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72631C" w14:textId="77777777" w:rsidR="005C75F4" w:rsidRDefault="005C75F4" w:rsidP="002F51E5">
      <w:pPr>
        <w:spacing w:before="0" w:after="0"/>
        <w:jc w:val="center"/>
        <w:rPr>
          <w:b/>
        </w:rPr>
      </w:pPr>
    </w:p>
    <w:p w14:paraId="53137F1F" w14:textId="77777777" w:rsidR="005C75F4" w:rsidRDefault="005C75F4" w:rsidP="002F51E5">
      <w:pPr>
        <w:spacing w:before="0" w:after="0"/>
        <w:jc w:val="center"/>
        <w:rPr>
          <w:b/>
        </w:rPr>
      </w:pPr>
    </w:p>
    <w:p w14:paraId="6CCCE948" w14:textId="77777777" w:rsidR="005C75F4" w:rsidRDefault="005C75F4" w:rsidP="002F51E5">
      <w:pPr>
        <w:spacing w:before="0" w:after="0"/>
        <w:jc w:val="center"/>
        <w:rPr>
          <w:b/>
        </w:rPr>
      </w:pPr>
    </w:p>
    <w:p w14:paraId="061334A4" w14:textId="77777777" w:rsidR="005C75F4" w:rsidRDefault="005C75F4" w:rsidP="002F51E5">
      <w:pPr>
        <w:spacing w:before="0" w:after="0"/>
        <w:jc w:val="center"/>
        <w:rPr>
          <w:b/>
        </w:rPr>
      </w:pPr>
    </w:p>
    <w:p w14:paraId="3BF80826" w14:textId="77777777" w:rsidR="005C75F4" w:rsidRDefault="005C75F4" w:rsidP="002F51E5">
      <w:pPr>
        <w:spacing w:before="0" w:after="0"/>
        <w:jc w:val="center"/>
        <w:rPr>
          <w:b/>
        </w:rPr>
      </w:pPr>
    </w:p>
    <w:p w14:paraId="5E806339" w14:textId="77777777" w:rsidR="005C75F4" w:rsidRDefault="005C75F4" w:rsidP="002F51E5">
      <w:pPr>
        <w:spacing w:before="0" w:after="0"/>
        <w:jc w:val="center"/>
        <w:rPr>
          <w:b/>
        </w:rPr>
      </w:pPr>
    </w:p>
    <w:p w14:paraId="78D1ADF3" w14:textId="77777777" w:rsidR="005C75F4" w:rsidRDefault="005C75F4" w:rsidP="002F51E5">
      <w:pPr>
        <w:spacing w:before="0" w:after="0"/>
        <w:jc w:val="center"/>
        <w:rPr>
          <w:b/>
        </w:rPr>
      </w:pPr>
    </w:p>
    <w:p w14:paraId="6E7F0813" w14:textId="57129EDD" w:rsidR="00CA409F" w:rsidRPr="00341741" w:rsidRDefault="00CA409F" w:rsidP="00CA409F">
      <w:pPr>
        <w:spacing w:after="200" w:line="276" w:lineRule="auto"/>
        <w:jc w:val="center"/>
        <w:rPr>
          <w:rFonts w:ascii="Calibri" w:eastAsia="Calibri" w:hAnsi="Calibri"/>
          <w:b/>
          <w:color w:val="00B0F0"/>
          <w:sz w:val="32"/>
          <w:szCs w:val="32"/>
        </w:rPr>
      </w:pPr>
      <w:r w:rsidRPr="00341741">
        <w:rPr>
          <w:rFonts w:ascii="Calibri" w:eastAsia="Calibri" w:hAnsi="Calibri"/>
          <w:b/>
          <w:color w:val="00B0F0"/>
          <w:sz w:val="32"/>
          <w:szCs w:val="32"/>
        </w:rPr>
        <w:t xml:space="preserve"> </w:t>
      </w:r>
    </w:p>
    <w:p w14:paraId="1A65C1B5" w14:textId="77777777" w:rsidR="00CA409F" w:rsidRPr="00CA409F" w:rsidRDefault="00CA409F" w:rsidP="00CA409F">
      <w:pPr>
        <w:spacing w:after="200" w:line="276" w:lineRule="auto"/>
        <w:jc w:val="center"/>
        <w:rPr>
          <w:rFonts w:ascii="Calibri" w:eastAsia="Calibri" w:hAnsi="Calibri"/>
          <w:b/>
          <w:color w:val="00B0F0"/>
          <w:sz w:val="36"/>
          <w:szCs w:val="36"/>
        </w:rPr>
      </w:pPr>
      <w:r w:rsidRPr="00CA409F">
        <w:rPr>
          <w:rFonts w:ascii="Calibri" w:eastAsia="Calibri" w:hAnsi="Calibri"/>
          <w:b/>
          <w:color w:val="00B0F0"/>
          <w:sz w:val="36"/>
          <w:szCs w:val="36"/>
        </w:rPr>
        <w:t>SPRAWOZDANIA Z WDRAŻANIA</w:t>
      </w:r>
    </w:p>
    <w:p w14:paraId="4CC4F985" w14:textId="77777777" w:rsidR="00CA409F" w:rsidRPr="007E02A9" w:rsidRDefault="00CA409F" w:rsidP="00CA409F">
      <w:pPr>
        <w:spacing w:after="200" w:line="276" w:lineRule="auto"/>
        <w:jc w:val="center"/>
        <w:rPr>
          <w:rFonts w:ascii="Calibri" w:eastAsia="Calibri" w:hAnsi="Calibri"/>
          <w:b/>
          <w:color w:val="00B0F0"/>
          <w:sz w:val="44"/>
          <w:szCs w:val="44"/>
        </w:rPr>
      </w:pPr>
      <w:r w:rsidRPr="007E02A9">
        <w:rPr>
          <w:noProof/>
          <w:sz w:val="44"/>
          <w:szCs w:val="44"/>
        </w:rPr>
        <mc:AlternateContent>
          <mc:Choice Requires="wps">
            <w:drawing>
              <wp:anchor distT="0" distB="0" distL="114300" distR="114300" simplePos="0" relativeHeight="251659264" behindDoc="1" locked="0" layoutInCell="1" allowOverlap="1" wp14:anchorId="6C8C7D9E" wp14:editId="64BC1806">
                <wp:simplePos x="0" y="0"/>
                <wp:positionH relativeFrom="column">
                  <wp:posOffset>-394970</wp:posOffset>
                </wp:positionH>
                <wp:positionV relativeFrom="paragraph">
                  <wp:posOffset>449580</wp:posOffset>
                </wp:positionV>
                <wp:extent cx="6562725" cy="2924175"/>
                <wp:effectExtent l="0" t="0" r="0" b="9525"/>
                <wp:wrapNone/>
                <wp:docPr id="6" name="Pole tekstowe 6"/>
                <wp:cNvGraphicFramePr/>
                <a:graphic xmlns:a="http://schemas.openxmlformats.org/drawingml/2006/main">
                  <a:graphicData uri="http://schemas.microsoft.com/office/word/2010/wordprocessingShape">
                    <wps:wsp>
                      <wps:cNvSpPr txBox="1"/>
                      <wps:spPr>
                        <a:xfrm>
                          <a:off x="0" y="0"/>
                          <a:ext cx="6562725" cy="2924175"/>
                        </a:xfrm>
                        <a:prstGeom prst="rect">
                          <a:avLst/>
                        </a:prstGeom>
                        <a:noFill/>
                        <a:ln>
                          <a:noFill/>
                        </a:ln>
                      </wps:spPr>
                      <wps:txbx>
                        <w:txbxContent>
                          <w:p w14:paraId="48D33DDC" w14:textId="77777777" w:rsidR="004D6897" w:rsidRPr="007E02A9" w:rsidRDefault="004D6897" w:rsidP="00CA409F">
                            <w:pPr>
                              <w:spacing w:after="200" w:line="276" w:lineRule="auto"/>
                              <w:jc w:val="center"/>
                              <w:rPr>
                                <w:b/>
                                <w:bCs/>
                                <w:color w:val="F2F2F2" w:themeColor="background1" w:themeShade="F2"/>
                                <w:spacing w:val="10"/>
                                <w:sz w:val="300"/>
                                <w:szCs w:val="300"/>
                                <w14:shadow w14:blurRad="63500" w14:dist="50800" w14:dir="13500000" w14:sx="0" w14:sy="0" w14:kx="0" w14:ky="0" w14:algn="none">
                                  <w14:srgbClr w14:val="000000">
                                    <w14:alpha w14:val="50000"/>
                                  </w14:srgbClr>
                                </w14:shadow>
                                <w14:textOutline w14:w="0" w14:cap="flat" w14:cmpd="sng" w14:algn="ctr">
                                  <w14:noFill/>
                                  <w14:prstDash w14:val="solid"/>
                                  <w14:round/>
                                </w14:textOutline>
                                <w14:textFill>
                                  <w14:solidFill>
                                    <w14:schemeClr w14:val="bg1">
                                      <w14:alpha w14:val="81000"/>
                                      <w14:lumMod w14:val="95000"/>
                                    </w14:schemeClr>
                                  </w14:solidFill>
                                </w14:textFill>
                              </w:rPr>
                            </w:pPr>
                            <w:r w:rsidRPr="007E02A9">
                              <w:rPr>
                                <w:b/>
                                <w:bCs/>
                                <w:color w:val="F2F2F2" w:themeColor="background1" w:themeShade="F2"/>
                                <w:spacing w:val="10"/>
                                <w:sz w:val="300"/>
                                <w:szCs w:val="300"/>
                                <w14:shadow w14:blurRad="63500" w14:dist="50800" w14:dir="13500000" w14:sx="0" w14:sy="0" w14:kx="0" w14:ky="0" w14:algn="none">
                                  <w14:srgbClr w14:val="000000">
                                    <w14:alpha w14:val="50000"/>
                                  </w14:srgbClr>
                                </w14:shadow>
                                <w14:textOutline w14:w="0" w14:cap="flat" w14:cmpd="sng" w14:algn="ctr">
                                  <w14:noFill/>
                                  <w14:prstDash w14:val="solid"/>
                                  <w14:round/>
                                </w14:textOutline>
                                <w14:textFill>
                                  <w14:solidFill>
                                    <w14:schemeClr w14:val="bg1">
                                      <w14:alpha w14:val="81000"/>
                                      <w14:lumMod w14:val="95000"/>
                                    </w14:schemeClr>
                                  </w14:solidFill>
                                </w14:textFill>
                              </w:rPr>
                              <w:t>201</w:t>
                            </w:r>
                            <w:r>
                              <w:rPr>
                                <w:b/>
                                <w:bCs/>
                                <w:color w:val="F2F2F2" w:themeColor="background1" w:themeShade="F2"/>
                                <w:spacing w:val="10"/>
                                <w:sz w:val="300"/>
                                <w:szCs w:val="300"/>
                                <w14:shadow w14:blurRad="63500" w14:dist="50800" w14:dir="13500000" w14:sx="0" w14:sy="0" w14:kx="0" w14:ky="0" w14:algn="none">
                                  <w14:srgbClr w14:val="000000">
                                    <w14:alpha w14:val="50000"/>
                                  </w14:srgbClr>
                                </w14:shadow>
                                <w14:textOutline w14:w="0" w14:cap="flat" w14:cmpd="sng" w14:algn="ctr">
                                  <w14:noFill/>
                                  <w14:prstDash w14:val="solid"/>
                                  <w14:round/>
                                </w14:textOutline>
                                <w14:textFill>
                                  <w14:solidFill>
                                    <w14:schemeClr w14:val="bg1">
                                      <w14:alpha w14:val="81000"/>
                                      <w14:lumMod w14:val="95000"/>
                                    </w14:schemeClr>
                                  </w14:solidFill>
                                </w14:textFill>
                              </w:rPr>
                              <w:t>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8C7D9E" id="_x0000_t202" coordsize="21600,21600" o:spt="202" path="m,l,21600r21600,l21600,xe">
                <v:stroke joinstyle="miter"/>
                <v:path gradientshapeok="t" o:connecttype="rect"/>
              </v:shapetype>
              <v:shape id="Pole tekstowe 6" o:spid="_x0000_s1026" type="#_x0000_t202" style="position:absolute;left:0;text-align:left;margin-left:-31.1pt;margin-top:35.4pt;width:516.75pt;height:230.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" filled="f" stroked="f">
                <v:textbox>
                  <w:txbxContent>
                    <w:p w14:paraId="48D33DDC" w14:textId="77777777" w:rsidR="004D6897" w:rsidRPr="007E02A9" w:rsidRDefault="004D6897" w:rsidP="00CA409F">
                      <w:pPr>
                        <w:spacing w:after="200" w:line="276" w:lineRule="auto"/>
                        <w:jc w:val="center"/>
                        <w:rPr>
                          <w:b/>
                          <w:bCs/>
                          <w:color w:val="F2F2F2" w:themeColor="background1" w:themeShade="F2"/>
                          <w:spacing w:val="10"/>
                          <w:sz w:val="300"/>
                          <w:szCs w:val="300"/>
                          <w14:shadow w14:blurRad="63500" w14:dist="50800" w14:dir="13500000" w14:sx="0" w14:sy="0" w14:kx="0" w14:ky="0" w14:algn="none">
                            <w14:srgbClr w14:val="000000">
                              <w14:alpha w14:val="50000"/>
                            </w14:srgbClr>
                          </w14:shadow>
                          <w14:textOutline w14:w="0" w14:cap="flat" w14:cmpd="sng" w14:algn="ctr">
                            <w14:noFill/>
                            <w14:prstDash w14:val="solid"/>
                            <w14:round/>
                          </w14:textOutline>
                          <w14:textFill>
                            <w14:solidFill>
                              <w14:schemeClr w14:val="bg1">
                                <w14:alpha w14:val="81000"/>
                                <w14:lumMod w14:val="95000"/>
                              </w14:schemeClr>
                            </w14:solidFill>
                          </w14:textFill>
                        </w:rPr>
                      </w:pPr>
                      <w:r w:rsidRPr="007E02A9">
                        <w:rPr>
                          <w:b/>
                          <w:bCs/>
                          <w:color w:val="F2F2F2" w:themeColor="background1" w:themeShade="F2"/>
                          <w:spacing w:val="10"/>
                          <w:sz w:val="300"/>
                          <w:szCs w:val="300"/>
                          <w14:shadow w14:blurRad="63500" w14:dist="50800" w14:dir="13500000" w14:sx="0" w14:sy="0" w14:kx="0" w14:ky="0" w14:algn="none">
                            <w14:srgbClr w14:val="000000">
                              <w14:alpha w14:val="50000"/>
                            </w14:srgbClr>
                          </w14:shadow>
                          <w14:textOutline w14:w="0" w14:cap="flat" w14:cmpd="sng" w14:algn="ctr">
                            <w14:noFill/>
                            <w14:prstDash w14:val="solid"/>
                            <w14:round/>
                          </w14:textOutline>
                          <w14:textFill>
                            <w14:solidFill>
                              <w14:schemeClr w14:val="bg1">
                                <w14:alpha w14:val="81000"/>
                                <w14:lumMod w14:val="95000"/>
                              </w14:schemeClr>
                            </w14:solidFill>
                          </w14:textFill>
                        </w:rPr>
                        <w:t>201</w:t>
                      </w:r>
                      <w:r>
                        <w:rPr>
                          <w:b/>
                          <w:bCs/>
                          <w:color w:val="F2F2F2" w:themeColor="background1" w:themeShade="F2"/>
                          <w:spacing w:val="10"/>
                          <w:sz w:val="300"/>
                          <w:szCs w:val="300"/>
                          <w14:shadow w14:blurRad="63500" w14:dist="50800" w14:dir="13500000" w14:sx="0" w14:sy="0" w14:kx="0" w14:ky="0" w14:algn="none">
                            <w14:srgbClr w14:val="000000">
                              <w14:alpha w14:val="50000"/>
                            </w14:srgbClr>
                          </w14:shadow>
                          <w14:textOutline w14:w="0" w14:cap="flat" w14:cmpd="sng" w14:algn="ctr">
                            <w14:noFill/>
                            <w14:prstDash w14:val="solid"/>
                            <w14:round/>
                          </w14:textOutline>
                          <w14:textFill>
                            <w14:solidFill>
                              <w14:schemeClr w14:val="bg1">
                                <w14:alpha w14:val="81000"/>
                                <w14:lumMod w14:val="95000"/>
                              </w14:schemeClr>
                            </w14:solidFill>
                          </w14:textFill>
                        </w:rPr>
                        <w:t>9</w:t>
                      </w:r>
                    </w:p>
                  </w:txbxContent>
                </v:textbox>
              </v:shape>
            </w:pict>
          </mc:Fallback>
        </mc:AlternateContent>
      </w:r>
      <w:r w:rsidRPr="007E02A9">
        <w:rPr>
          <w:rFonts w:ascii="Calibri" w:eastAsia="Calibri" w:hAnsi="Calibri"/>
          <w:b/>
          <w:color w:val="00B0F0"/>
          <w:sz w:val="44"/>
          <w:szCs w:val="44"/>
        </w:rPr>
        <w:t>REGIONALNEGO PROGRAMU OPERACYJNEGO</w:t>
      </w:r>
    </w:p>
    <w:p w14:paraId="3BA54912" w14:textId="77777777" w:rsidR="00CA409F" w:rsidRPr="007E02A9" w:rsidRDefault="00CA409F" w:rsidP="00CA409F">
      <w:pPr>
        <w:spacing w:after="200" w:line="276" w:lineRule="auto"/>
        <w:jc w:val="center"/>
        <w:rPr>
          <w:rFonts w:ascii="Calibri" w:eastAsia="Calibri" w:hAnsi="Calibri"/>
          <w:b/>
          <w:color w:val="00B0F0"/>
          <w:sz w:val="44"/>
          <w:szCs w:val="44"/>
        </w:rPr>
      </w:pPr>
      <w:r w:rsidRPr="007E02A9">
        <w:rPr>
          <w:rFonts w:ascii="Calibri" w:eastAsia="Calibri" w:hAnsi="Calibri"/>
          <w:b/>
          <w:color w:val="00B0F0"/>
          <w:sz w:val="44"/>
          <w:szCs w:val="44"/>
        </w:rPr>
        <w:t>WOJEWÓDZTWA ŚWIĘTOKRZYSKIEGO</w:t>
      </w:r>
    </w:p>
    <w:p w14:paraId="4EF104A4" w14:textId="77777777" w:rsidR="00CA409F" w:rsidRPr="007E02A9" w:rsidRDefault="00CA409F" w:rsidP="00CA409F">
      <w:pPr>
        <w:spacing w:after="200" w:line="276" w:lineRule="auto"/>
        <w:jc w:val="center"/>
        <w:rPr>
          <w:rFonts w:ascii="Calibri" w:eastAsia="Calibri" w:hAnsi="Calibri"/>
          <w:b/>
          <w:color w:val="00B0F0"/>
          <w:sz w:val="44"/>
          <w:szCs w:val="44"/>
        </w:rPr>
      </w:pPr>
      <w:r w:rsidRPr="007E02A9">
        <w:rPr>
          <w:rFonts w:ascii="Calibri" w:eastAsia="Calibri" w:hAnsi="Calibri"/>
          <w:b/>
          <w:color w:val="00B0F0"/>
          <w:sz w:val="44"/>
          <w:szCs w:val="44"/>
        </w:rPr>
        <w:t xml:space="preserve">NA LATA 2014-2020 </w:t>
      </w:r>
    </w:p>
    <w:p w14:paraId="0F4BDDE6" w14:textId="77777777" w:rsidR="00CA409F" w:rsidRPr="00341741" w:rsidRDefault="00CA409F" w:rsidP="00CA409F">
      <w:pPr>
        <w:spacing w:after="200" w:line="276" w:lineRule="auto"/>
        <w:jc w:val="center"/>
        <w:rPr>
          <w:rFonts w:ascii="Calibri" w:eastAsia="Calibri" w:hAnsi="Calibri"/>
          <w:b/>
          <w:color w:val="00B0F0"/>
          <w:sz w:val="32"/>
          <w:szCs w:val="32"/>
        </w:rPr>
      </w:pPr>
      <w:r w:rsidRPr="00341741">
        <w:rPr>
          <w:rFonts w:ascii="Calibri" w:eastAsia="Calibri" w:hAnsi="Calibri"/>
          <w:b/>
          <w:color w:val="00B0F0"/>
          <w:sz w:val="32"/>
          <w:szCs w:val="32"/>
        </w:rPr>
        <w:t>ZA ROK 20</w:t>
      </w:r>
      <w:r>
        <w:rPr>
          <w:rFonts w:ascii="Calibri" w:eastAsia="Calibri" w:hAnsi="Calibri"/>
          <w:b/>
          <w:color w:val="00B0F0"/>
          <w:sz w:val="32"/>
          <w:szCs w:val="32"/>
        </w:rPr>
        <w:t>19</w:t>
      </w:r>
    </w:p>
    <w:p w14:paraId="0C7F2A93" w14:textId="77777777" w:rsidR="005C75F4" w:rsidRDefault="005C75F4" w:rsidP="002F51E5">
      <w:pPr>
        <w:spacing w:before="0" w:after="0"/>
        <w:jc w:val="center"/>
        <w:rPr>
          <w:b/>
        </w:rPr>
      </w:pPr>
    </w:p>
    <w:p w14:paraId="26A6B0E3" w14:textId="77777777" w:rsidR="005C75F4" w:rsidRDefault="005C75F4" w:rsidP="002F51E5">
      <w:pPr>
        <w:spacing w:before="0" w:after="0"/>
        <w:jc w:val="center"/>
        <w:rPr>
          <w:b/>
        </w:rPr>
      </w:pPr>
    </w:p>
    <w:p w14:paraId="2473EB18" w14:textId="77777777" w:rsidR="005C75F4" w:rsidRDefault="005C75F4" w:rsidP="002F51E5">
      <w:pPr>
        <w:spacing w:before="0" w:after="0"/>
        <w:jc w:val="center"/>
        <w:rPr>
          <w:b/>
        </w:rPr>
      </w:pPr>
    </w:p>
    <w:p w14:paraId="66347307" w14:textId="77777777" w:rsidR="005C75F4" w:rsidRDefault="005C75F4" w:rsidP="002F51E5">
      <w:pPr>
        <w:spacing w:before="0" w:after="0"/>
        <w:jc w:val="center"/>
        <w:rPr>
          <w:b/>
        </w:rPr>
      </w:pPr>
    </w:p>
    <w:p w14:paraId="4982FF2C" w14:textId="77777777" w:rsidR="005C75F4" w:rsidRDefault="005C75F4" w:rsidP="002F51E5">
      <w:pPr>
        <w:spacing w:before="0" w:after="0"/>
        <w:jc w:val="center"/>
        <w:rPr>
          <w:b/>
        </w:rPr>
      </w:pPr>
    </w:p>
    <w:p w14:paraId="02875B2F" w14:textId="77777777" w:rsidR="005C75F4" w:rsidRDefault="005C75F4" w:rsidP="002F51E5">
      <w:pPr>
        <w:spacing w:before="0" w:after="0"/>
        <w:jc w:val="center"/>
        <w:rPr>
          <w:b/>
        </w:rPr>
      </w:pPr>
    </w:p>
    <w:p w14:paraId="2D22E0FA" w14:textId="77777777" w:rsidR="005C75F4" w:rsidRDefault="005C75F4" w:rsidP="002F51E5">
      <w:pPr>
        <w:spacing w:before="0" w:after="0"/>
        <w:jc w:val="center"/>
        <w:rPr>
          <w:b/>
        </w:rPr>
      </w:pPr>
    </w:p>
    <w:p w14:paraId="449ECE9A" w14:textId="77777777" w:rsidR="005C75F4" w:rsidRDefault="005C75F4" w:rsidP="002F51E5">
      <w:pPr>
        <w:spacing w:before="0" w:after="0"/>
        <w:jc w:val="center"/>
        <w:rPr>
          <w:b/>
        </w:rPr>
      </w:pPr>
    </w:p>
    <w:p w14:paraId="1AF8610B" w14:textId="77777777" w:rsidR="005C75F4" w:rsidRDefault="005C75F4" w:rsidP="002F51E5">
      <w:pPr>
        <w:spacing w:before="0" w:after="0"/>
        <w:jc w:val="center"/>
        <w:rPr>
          <w:b/>
        </w:rPr>
      </w:pPr>
    </w:p>
    <w:p w14:paraId="7C6BAEC8" w14:textId="77777777" w:rsidR="005C75F4" w:rsidRDefault="005C75F4" w:rsidP="002F51E5">
      <w:pPr>
        <w:spacing w:before="0" w:after="0"/>
        <w:jc w:val="center"/>
        <w:rPr>
          <w:b/>
        </w:rPr>
      </w:pPr>
    </w:p>
    <w:p w14:paraId="5A73987F" w14:textId="77777777" w:rsidR="005C75F4" w:rsidRDefault="005C75F4" w:rsidP="002F51E5">
      <w:pPr>
        <w:spacing w:before="0" w:after="0"/>
        <w:jc w:val="center"/>
        <w:rPr>
          <w:b/>
        </w:rPr>
      </w:pPr>
    </w:p>
    <w:p w14:paraId="79B948DA" w14:textId="77777777" w:rsidR="005C75F4" w:rsidRDefault="005C75F4" w:rsidP="002F51E5">
      <w:pPr>
        <w:spacing w:before="0" w:after="0"/>
        <w:jc w:val="center"/>
        <w:rPr>
          <w:b/>
        </w:rPr>
      </w:pPr>
    </w:p>
    <w:p w14:paraId="58409002" w14:textId="77777777" w:rsidR="005C75F4" w:rsidRDefault="005C75F4" w:rsidP="002F51E5">
      <w:pPr>
        <w:spacing w:before="0" w:after="0"/>
        <w:jc w:val="center"/>
        <w:rPr>
          <w:b/>
        </w:rPr>
      </w:pPr>
    </w:p>
    <w:p w14:paraId="491DF85F" w14:textId="77777777" w:rsidR="005C75F4" w:rsidRDefault="005C75F4" w:rsidP="002F51E5">
      <w:pPr>
        <w:spacing w:before="0" w:after="0"/>
        <w:jc w:val="center"/>
        <w:rPr>
          <w:b/>
        </w:rPr>
      </w:pPr>
    </w:p>
    <w:p w14:paraId="0A28609F" w14:textId="77777777" w:rsidR="005C75F4" w:rsidRDefault="005C75F4" w:rsidP="002F51E5">
      <w:pPr>
        <w:spacing w:before="0" w:after="0"/>
        <w:jc w:val="center"/>
        <w:rPr>
          <w:b/>
        </w:rPr>
      </w:pPr>
    </w:p>
    <w:p w14:paraId="4B3D893D" w14:textId="77777777" w:rsidR="005C75F4" w:rsidRDefault="005C75F4" w:rsidP="002F51E5">
      <w:pPr>
        <w:spacing w:before="0" w:after="0"/>
        <w:jc w:val="center"/>
        <w:rPr>
          <w:b/>
        </w:rPr>
      </w:pPr>
    </w:p>
    <w:p w14:paraId="6E088A9C" w14:textId="77777777" w:rsidR="005C75F4" w:rsidRDefault="005C75F4" w:rsidP="002F51E5">
      <w:pPr>
        <w:spacing w:before="0" w:after="0"/>
        <w:jc w:val="center"/>
        <w:rPr>
          <w:b/>
        </w:rPr>
      </w:pPr>
    </w:p>
    <w:p w14:paraId="03EE57B6" w14:textId="77777777" w:rsidR="005C75F4" w:rsidRDefault="005C75F4" w:rsidP="002F51E5">
      <w:pPr>
        <w:spacing w:before="0" w:after="0"/>
        <w:jc w:val="center"/>
        <w:rPr>
          <w:b/>
        </w:rPr>
      </w:pPr>
    </w:p>
    <w:p w14:paraId="5F216430" w14:textId="77777777" w:rsidR="005C75F4" w:rsidRDefault="005C75F4" w:rsidP="002F51E5">
      <w:pPr>
        <w:spacing w:before="0" w:after="0"/>
        <w:jc w:val="center"/>
        <w:rPr>
          <w:b/>
        </w:rPr>
      </w:pPr>
    </w:p>
    <w:p w14:paraId="61C1B94C" w14:textId="77777777" w:rsidR="005C75F4" w:rsidRDefault="005C75F4" w:rsidP="002F51E5">
      <w:pPr>
        <w:spacing w:before="0" w:after="0"/>
        <w:jc w:val="center"/>
        <w:rPr>
          <w:b/>
        </w:rPr>
      </w:pPr>
    </w:p>
    <w:p w14:paraId="5A3C10DA" w14:textId="77777777" w:rsidR="005C75F4" w:rsidRDefault="005C75F4" w:rsidP="002F51E5">
      <w:pPr>
        <w:spacing w:before="0" w:after="0"/>
        <w:jc w:val="center"/>
        <w:rPr>
          <w:b/>
        </w:rPr>
      </w:pPr>
    </w:p>
    <w:p w14:paraId="603C4A30" w14:textId="77777777" w:rsidR="005C75F4" w:rsidRDefault="005C75F4" w:rsidP="002F51E5">
      <w:pPr>
        <w:spacing w:before="0" w:after="0"/>
        <w:jc w:val="center"/>
        <w:rPr>
          <w:b/>
        </w:rPr>
      </w:pPr>
    </w:p>
    <w:p w14:paraId="32B1B1B3" w14:textId="77777777" w:rsidR="005C75F4" w:rsidRDefault="005C75F4" w:rsidP="002F51E5">
      <w:pPr>
        <w:spacing w:before="0" w:after="0"/>
        <w:jc w:val="center"/>
        <w:rPr>
          <w:b/>
        </w:rPr>
      </w:pPr>
    </w:p>
    <w:p w14:paraId="23EABA9D" w14:textId="77777777" w:rsidR="005C75F4" w:rsidRDefault="005C75F4" w:rsidP="00CA409F">
      <w:pPr>
        <w:spacing w:before="0" w:after="0"/>
        <w:rPr>
          <w:b/>
        </w:rPr>
      </w:pPr>
    </w:p>
    <w:p w14:paraId="220CAF82" w14:textId="77777777" w:rsidR="005C75F4" w:rsidRDefault="005C75F4" w:rsidP="002F51E5">
      <w:pPr>
        <w:spacing w:before="0" w:after="0"/>
        <w:jc w:val="center"/>
        <w:rPr>
          <w:b/>
        </w:rPr>
      </w:pPr>
    </w:p>
    <w:p w14:paraId="6702E5FE" w14:textId="77777777" w:rsidR="005C75F4" w:rsidRDefault="005C75F4" w:rsidP="002F51E5">
      <w:pPr>
        <w:spacing w:before="0" w:after="0"/>
        <w:jc w:val="center"/>
        <w:rPr>
          <w:b/>
        </w:rPr>
      </w:pPr>
    </w:p>
    <w:p w14:paraId="6C2FA75C" w14:textId="77777777" w:rsidR="005C75F4" w:rsidRDefault="005C75F4" w:rsidP="002F51E5">
      <w:pPr>
        <w:spacing w:before="0" w:after="0"/>
        <w:jc w:val="center"/>
        <w:rPr>
          <w:b/>
        </w:rPr>
      </w:pPr>
    </w:p>
    <w:p w14:paraId="5F8F48B6" w14:textId="753E2573" w:rsidR="002F51E5" w:rsidRDefault="00E82A60" w:rsidP="002F51E5">
      <w:pPr>
        <w:spacing w:before="0" w:after="0"/>
        <w:jc w:val="center"/>
        <w:rPr>
          <w:b/>
        </w:rPr>
      </w:pPr>
      <w:proofErr w:type="spellStart"/>
      <w:r>
        <w:rPr>
          <w:b/>
        </w:rPr>
        <w:t>Roczne</w:t>
      </w:r>
      <w:proofErr w:type="spellEnd"/>
      <w:r>
        <w:rPr>
          <w:b/>
        </w:rPr>
        <w:t xml:space="preserve"> </w:t>
      </w:r>
      <w:proofErr w:type="spellStart"/>
      <w:r>
        <w:rPr>
          <w:b/>
        </w:rPr>
        <w:t>sprawozdanie</w:t>
      </w:r>
      <w:proofErr w:type="spellEnd"/>
      <w:r>
        <w:rPr>
          <w:b/>
        </w:rPr>
        <w:t xml:space="preserve"> z </w:t>
      </w:r>
      <w:proofErr w:type="spellStart"/>
      <w:r>
        <w:rPr>
          <w:b/>
        </w:rPr>
        <w:t>wdrażania</w:t>
      </w:r>
      <w:proofErr w:type="spellEnd"/>
      <w:r>
        <w:rPr>
          <w:b/>
        </w:rPr>
        <w:t xml:space="preserve"> w </w:t>
      </w:r>
      <w:proofErr w:type="spellStart"/>
      <w:r>
        <w:rPr>
          <w:b/>
        </w:rPr>
        <w:t>ramach</w:t>
      </w:r>
      <w:proofErr w:type="spellEnd"/>
      <w:r>
        <w:rPr>
          <w:b/>
        </w:rPr>
        <w:t xml:space="preserve"> </w:t>
      </w:r>
      <w:proofErr w:type="spellStart"/>
      <w:r>
        <w:rPr>
          <w:b/>
        </w:rPr>
        <w:t>celu</w:t>
      </w:r>
      <w:proofErr w:type="spellEnd"/>
      <w:r>
        <w:rPr>
          <w:b/>
        </w:rPr>
        <w:t xml:space="preserve"> </w:t>
      </w:r>
      <w:r>
        <w:t>"</w:t>
      </w:r>
      <w:proofErr w:type="spellStart"/>
      <w:r>
        <w:rPr>
          <w:b/>
        </w:rPr>
        <w:t>Inwestycje</w:t>
      </w:r>
      <w:proofErr w:type="spellEnd"/>
      <w:r>
        <w:rPr>
          <w:b/>
        </w:rPr>
        <w:t xml:space="preserve"> </w:t>
      </w:r>
      <w:proofErr w:type="spellStart"/>
      <w:r>
        <w:rPr>
          <w:b/>
        </w:rPr>
        <w:t>na</w:t>
      </w:r>
      <w:proofErr w:type="spellEnd"/>
      <w:r>
        <w:rPr>
          <w:b/>
        </w:rPr>
        <w:t xml:space="preserve"> </w:t>
      </w:r>
      <w:proofErr w:type="spellStart"/>
      <w:r>
        <w:rPr>
          <w:b/>
        </w:rPr>
        <w:t>rzecz</w:t>
      </w:r>
      <w:proofErr w:type="spellEnd"/>
      <w:r>
        <w:rPr>
          <w:b/>
        </w:rPr>
        <w:t xml:space="preserve"> </w:t>
      </w:r>
      <w:proofErr w:type="spellStart"/>
      <w:r>
        <w:rPr>
          <w:b/>
        </w:rPr>
        <w:t>wzrostu</w:t>
      </w:r>
      <w:proofErr w:type="spellEnd"/>
      <w:r>
        <w:rPr>
          <w:b/>
        </w:rPr>
        <w:t xml:space="preserve"> i </w:t>
      </w:r>
      <w:proofErr w:type="spellStart"/>
      <w:r>
        <w:rPr>
          <w:b/>
        </w:rPr>
        <w:t>zatrudnienia</w:t>
      </w:r>
      <w:proofErr w:type="spellEnd"/>
      <w:r>
        <w:t>"</w:t>
      </w:r>
    </w:p>
    <w:p w14:paraId="16E54556" w14:textId="77777777" w:rsidR="008C5CFA" w:rsidRDefault="00E82A60" w:rsidP="00300A01">
      <w:pPr>
        <w:spacing w:before="0" w:after="0"/>
        <w:jc w:val="center"/>
        <w:rPr>
          <w:b/>
        </w:rPr>
      </w:pPr>
      <w:r w:rsidRPr="00686513">
        <w:rPr>
          <w:b/>
          <w:noProof/>
        </w:rPr>
        <w:t>CZĘŚĆ A</w:t>
      </w:r>
    </w:p>
    <w:p w14:paraId="74A1B833" w14:textId="77777777" w:rsidR="00AB7ABC" w:rsidRDefault="00AB7ABC" w:rsidP="00300A01">
      <w:pPr>
        <w:pStyle w:val="Nagwek1"/>
        <w:numPr>
          <w:ilvl w:val="0"/>
          <w:numId w:val="0"/>
        </w:numPr>
        <w:spacing w:before="0" w:after="0"/>
        <w:jc w:val="left"/>
      </w:pPr>
    </w:p>
    <w:p w14:paraId="7B247310" w14:textId="77777777" w:rsidR="008C5CFA" w:rsidRPr="00376B28" w:rsidRDefault="00334430" w:rsidP="00300A01">
      <w:pPr>
        <w:pStyle w:val="Nagwek1"/>
        <w:numPr>
          <w:ilvl w:val="0"/>
          <w:numId w:val="0"/>
        </w:numPr>
        <w:spacing w:before="0" w:after="0"/>
        <w:jc w:val="left"/>
      </w:pPr>
      <w:bookmarkStart w:id="0" w:name="_Toc46391687"/>
      <w:r w:rsidRPr="00376B28">
        <w:rPr>
          <w:noProof/>
        </w:rPr>
        <w:t>NR IDENTYFIKACYJNY ROCZNEGO SPRAWOZDANIA Z WDRAŻANIA</w:t>
      </w:r>
      <w:bookmarkEnd w:id="0"/>
    </w:p>
    <w:p w14:paraId="405F1470" w14:textId="77777777" w:rsidR="008C5CFA" w:rsidRPr="00D5173B" w:rsidRDefault="008C5CFA" w:rsidP="00300A01">
      <w:pPr>
        <w:pStyle w:val="Text1"/>
        <w:spacing w:before="0" w:after="0"/>
        <w:ind w:left="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7"/>
        <w:gridCol w:w="5664"/>
      </w:tblGrid>
      <w:tr w:rsidR="006B2EC1" w14:paraId="71FFE40F" w14:textId="77777777" w:rsidTr="0047688D">
        <w:trPr>
          <w:trHeight w:val="222"/>
        </w:trPr>
        <w:tc>
          <w:tcPr>
            <w:tcW w:w="0" w:type="auto"/>
            <w:shd w:val="clear" w:color="auto" w:fill="auto"/>
          </w:tcPr>
          <w:p w14:paraId="1A9FEE9F" w14:textId="77777777" w:rsidR="008C5CFA" w:rsidRPr="0019232D" w:rsidRDefault="00E82A60" w:rsidP="00300A01">
            <w:pPr>
              <w:spacing w:before="0" w:after="0"/>
            </w:pPr>
            <w:r>
              <w:rPr>
                <w:noProof/>
              </w:rPr>
              <w:t>CCI</w:t>
            </w:r>
          </w:p>
        </w:tc>
        <w:tc>
          <w:tcPr>
            <w:tcW w:w="0" w:type="auto"/>
            <w:shd w:val="clear" w:color="auto" w:fill="auto"/>
          </w:tcPr>
          <w:p w14:paraId="04920CC0" w14:textId="77777777" w:rsidR="008C5CFA" w:rsidRPr="0019232D" w:rsidRDefault="00E82A60" w:rsidP="00300A01">
            <w:pPr>
              <w:spacing w:before="0" w:after="0"/>
              <w:rPr>
                <w:color w:val="000000"/>
              </w:rPr>
            </w:pPr>
            <w:r>
              <w:rPr>
                <w:noProof/>
                <w:color w:val="000000"/>
              </w:rPr>
              <w:t>CCI</w:t>
            </w:r>
          </w:p>
        </w:tc>
      </w:tr>
      <w:tr w:rsidR="006B2EC1" w14:paraId="7295BDE1" w14:textId="77777777" w:rsidTr="0047688D">
        <w:trPr>
          <w:trHeight w:val="269"/>
        </w:trPr>
        <w:tc>
          <w:tcPr>
            <w:tcW w:w="0" w:type="auto"/>
            <w:shd w:val="clear" w:color="auto" w:fill="auto"/>
          </w:tcPr>
          <w:p w14:paraId="00DD0A24" w14:textId="77777777" w:rsidR="008C5CFA" w:rsidRPr="00F433EE" w:rsidRDefault="00E82A60" w:rsidP="00300A01">
            <w:pPr>
              <w:spacing w:before="0" w:after="0"/>
            </w:pPr>
            <w:r>
              <w:rPr>
                <w:noProof/>
              </w:rPr>
              <w:t>Tytuł</w:t>
            </w:r>
          </w:p>
        </w:tc>
        <w:tc>
          <w:tcPr>
            <w:tcW w:w="0" w:type="auto"/>
            <w:shd w:val="clear" w:color="auto" w:fill="auto"/>
          </w:tcPr>
          <w:p w14:paraId="3ADAAFC4" w14:textId="77777777" w:rsidR="008C5CFA" w:rsidRPr="0019232D" w:rsidRDefault="00E82A60" w:rsidP="00300A01">
            <w:pPr>
              <w:spacing w:before="0" w:after="0"/>
              <w:rPr>
                <w:color w:val="000000"/>
              </w:rPr>
            </w:pPr>
            <w:r>
              <w:rPr>
                <w:noProof/>
                <w:color w:val="000000"/>
              </w:rPr>
              <w:t>Regionalny Program Operacyjny Województwa Świętokrzyskiego na lata 2014-2020</w:t>
            </w:r>
          </w:p>
        </w:tc>
      </w:tr>
      <w:tr w:rsidR="006B2EC1" w14:paraId="4457A294" w14:textId="77777777" w:rsidTr="0047688D">
        <w:trPr>
          <w:trHeight w:val="138"/>
        </w:trPr>
        <w:tc>
          <w:tcPr>
            <w:tcW w:w="0" w:type="auto"/>
            <w:shd w:val="clear" w:color="auto" w:fill="auto"/>
          </w:tcPr>
          <w:p w14:paraId="75A25792" w14:textId="77777777" w:rsidR="008C5CFA" w:rsidRPr="0019232D" w:rsidRDefault="00E82A60" w:rsidP="00300A01">
            <w:pPr>
              <w:spacing w:before="0" w:after="0"/>
              <w:jc w:val="left"/>
            </w:pPr>
            <w:r>
              <w:rPr>
                <w:noProof/>
              </w:rPr>
              <w:t>Wersja</w:t>
            </w:r>
          </w:p>
        </w:tc>
        <w:tc>
          <w:tcPr>
            <w:tcW w:w="0" w:type="auto"/>
            <w:shd w:val="clear" w:color="auto" w:fill="auto"/>
          </w:tcPr>
          <w:p w14:paraId="70067F89" w14:textId="77777777" w:rsidR="008C5CFA" w:rsidRPr="0019232D" w:rsidRDefault="00E82A60" w:rsidP="00300A01">
            <w:pPr>
              <w:spacing w:before="0" w:after="0"/>
              <w:jc w:val="left"/>
              <w:rPr>
                <w:color w:val="000000"/>
              </w:rPr>
            </w:pPr>
            <w:r>
              <w:rPr>
                <w:noProof/>
                <w:color w:val="000000"/>
              </w:rPr>
              <w:t>2019.0</w:t>
            </w:r>
          </w:p>
        </w:tc>
      </w:tr>
      <w:tr w:rsidR="006B2EC1" w14:paraId="3D946DCB" w14:textId="77777777" w:rsidTr="0047688D">
        <w:trPr>
          <w:trHeight w:val="138"/>
        </w:trPr>
        <w:tc>
          <w:tcPr>
            <w:tcW w:w="0" w:type="auto"/>
            <w:shd w:val="clear" w:color="auto" w:fill="auto"/>
          </w:tcPr>
          <w:p w14:paraId="7104F2B0" w14:textId="5E2A1B75" w:rsidR="008C5CFA" w:rsidRPr="0019232D" w:rsidRDefault="00E82A60" w:rsidP="00300A01">
            <w:pPr>
              <w:spacing w:before="0" w:after="0"/>
              <w:jc w:val="left"/>
            </w:pPr>
            <w:r>
              <w:rPr>
                <w:noProof/>
                <w:color w:val="000000"/>
              </w:rPr>
              <w:t xml:space="preserve">Data zatwierdzenia sprawozdania przez </w:t>
            </w:r>
            <w:r w:rsidR="000A679B">
              <w:rPr>
                <w:noProof/>
                <w:color w:val="000000"/>
              </w:rPr>
              <w:t>K</w:t>
            </w:r>
            <w:r>
              <w:rPr>
                <w:noProof/>
                <w:color w:val="000000"/>
              </w:rPr>
              <w:t xml:space="preserve">omitet </w:t>
            </w:r>
            <w:r w:rsidR="000A679B">
              <w:rPr>
                <w:noProof/>
                <w:color w:val="000000"/>
              </w:rPr>
              <w:t>M</w:t>
            </w:r>
            <w:r>
              <w:rPr>
                <w:noProof/>
                <w:color w:val="000000"/>
              </w:rPr>
              <w:t>onitorujący</w:t>
            </w:r>
          </w:p>
        </w:tc>
        <w:tc>
          <w:tcPr>
            <w:tcW w:w="0" w:type="auto"/>
            <w:shd w:val="clear" w:color="auto" w:fill="auto"/>
          </w:tcPr>
          <w:p w14:paraId="65DF2B7E" w14:textId="77777777" w:rsidR="008C5CFA" w:rsidRPr="0019232D" w:rsidRDefault="00E82A60" w:rsidP="00300A01">
            <w:pPr>
              <w:spacing w:before="0" w:after="0"/>
              <w:jc w:val="left"/>
              <w:rPr>
                <w:color w:val="000000"/>
              </w:rPr>
            </w:pPr>
            <w:r>
              <w:rPr>
                <w:noProof/>
                <w:color w:val="000000"/>
              </w:rPr>
              <w:t>2020-06-01</w:t>
            </w:r>
          </w:p>
        </w:tc>
      </w:tr>
    </w:tbl>
    <w:p w14:paraId="0244E99B" w14:textId="77777777" w:rsidR="009E24C0" w:rsidRDefault="009E24C0" w:rsidP="00300A01">
      <w:pPr>
        <w:spacing w:before="0" w:after="0"/>
        <w:rPr>
          <w:color w:val="000000"/>
        </w:rPr>
      </w:pPr>
    </w:p>
    <w:p w14:paraId="06F2BF40" w14:textId="77777777" w:rsidR="007F2E23" w:rsidRDefault="009E24C0" w:rsidP="00D27135">
      <w:pPr>
        <w:spacing w:before="0" w:after="0"/>
        <w:jc w:val="left"/>
        <w:rPr>
          <w:noProof/>
        </w:rPr>
      </w:pPr>
      <w:r>
        <w:br w:type="page"/>
      </w:r>
      <w:r w:rsidR="00E82A60">
        <w:fldChar w:fldCharType="begin"/>
      </w:r>
      <w:r w:rsidR="00E82A60">
        <w:instrText xml:space="preserve"> TOC \o "1-3" \h \z \u </w:instrText>
      </w:r>
      <w:r w:rsidR="00E82A60">
        <w:fldChar w:fldCharType="separate"/>
      </w:r>
    </w:p>
    <w:p w14:paraId="6F009CEB" w14:textId="51982575" w:rsidR="007F2E23" w:rsidRDefault="002E7197">
      <w:pPr>
        <w:pStyle w:val="Spistreci1"/>
        <w:tabs>
          <w:tab w:val="right" w:leader="dot" w:pos="9911"/>
        </w:tabs>
        <w:rPr>
          <w:rFonts w:asciiTheme="minorHAnsi" w:eastAsiaTheme="minorEastAsia" w:hAnsiTheme="minorHAnsi" w:cstheme="minorBidi"/>
          <w:b w:val="0"/>
          <w:bCs w:val="0"/>
          <w:noProof/>
          <w:sz w:val="22"/>
          <w:szCs w:val="22"/>
          <w:lang w:val="pl-PL" w:eastAsia="pl-PL"/>
        </w:rPr>
      </w:pPr>
      <w:hyperlink w:anchor="_Toc46391687" w:history="1">
        <w:r w:rsidR="007F2E23" w:rsidRPr="00E57840">
          <w:rPr>
            <w:rStyle w:val="Hipercze"/>
            <w:noProof/>
          </w:rPr>
          <w:t>NR IDENTYFIKACYJNY ROCZNEGO SPRAWOZDANIA Z WDRAŻANIA</w:t>
        </w:r>
        <w:r w:rsidR="007F2E23">
          <w:rPr>
            <w:noProof/>
            <w:webHidden/>
          </w:rPr>
          <w:tab/>
        </w:r>
        <w:r w:rsidR="007F2E23">
          <w:rPr>
            <w:noProof/>
            <w:webHidden/>
          </w:rPr>
          <w:fldChar w:fldCharType="begin"/>
        </w:r>
        <w:r w:rsidR="007F2E23">
          <w:rPr>
            <w:noProof/>
            <w:webHidden/>
          </w:rPr>
          <w:instrText xml:space="preserve"> PAGEREF _Toc46391687 \h </w:instrText>
        </w:r>
        <w:r w:rsidR="007F2E23">
          <w:rPr>
            <w:noProof/>
            <w:webHidden/>
          </w:rPr>
        </w:r>
        <w:r w:rsidR="007F2E23">
          <w:rPr>
            <w:noProof/>
            <w:webHidden/>
          </w:rPr>
          <w:fldChar w:fldCharType="separate"/>
        </w:r>
        <w:r w:rsidR="007F2E23">
          <w:rPr>
            <w:noProof/>
            <w:webHidden/>
          </w:rPr>
          <w:t>2</w:t>
        </w:r>
        <w:r w:rsidR="007F2E23">
          <w:rPr>
            <w:noProof/>
            <w:webHidden/>
          </w:rPr>
          <w:fldChar w:fldCharType="end"/>
        </w:r>
      </w:hyperlink>
    </w:p>
    <w:p w14:paraId="0590E0A8" w14:textId="0BDD7B2E" w:rsidR="007F2E23" w:rsidRDefault="002E7197">
      <w:pPr>
        <w:pStyle w:val="Spistreci1"/>
        <w:tabs>
          <w:tab w:val="left" w:pos="480"/>
          <w:tab w:val="right" w:leader="dot" w:pos="9911"/>
        </w:tabs>
        <w:rPr>
          <w:rFonts w:asciiTheme="minorHAnsi" w:eastAsiaTheme="minorEastAsia" w:hAnsiTheme="minorHAnsi" w:cstheme="minorBidi"/>
          <w:b w:val="0"/>
          <w:bCs w:val="0"/>
          <w:noProof/>
          <w:sz w:val="22"/>
          <w:szCs w:val="22"/>
          <w:lang w:val="pl-PL" w:eastAsia="pl-PL"/>
        </w:rPr>
      </w:pPr>
      <w:hyperlink w:anchor="_Toc46391688" w:history="1">
        <w:r w:rsidR="007F2E23" w:rsidRPr="00E57840">
          <w:rPr>
            <w:rStyle w:val="Hipercze"/>
            <w:noProof/>
          </w:rPr>
          <w:t>2.</w:t>
        </w:r>
        <w:r w:rsidR="007F2E23">
          <w:rPr>
            <w:rFonts w:asciiTheme="minorHAnsi" w:eastAsiaTheme="minorEastAsia" w:hAnsiTheme="minorHAnsi" w:cstheme="minorBidi"/>
            <w:b w:val="0"/>
            <w:bCs w:val="0"/>
            <w:noProof/>
            <w:sz w:val="22"/>
            <w:szCs w:val="22"/>
            <w:lang w:val="pl-PL" w:eastAsia="pl-PL"/>
          </w:rPr>
          <w:tab/>
        </w:r>
        <w:r w:rsidR="007F2E23" w:rsidRPr="00E57840">
          <w:rPr>
            <w:rStyle w:val="Hipercze"/>
            <w:noProof/>
          </w:rPr>
          <w:t>PRZEGLĄD WDRAŻANIA PROGRAMU OPERACYJNEGO (art. 50 ust. 2 i art. 111 ust. 3 lit. a) rozporządzenia (UE) nr 1303/2013)</w:t>
        </w:r>
        <w:r w:rsidR="007F2E23">
          <w:rPr>
            <w:noProof/>
            <w:webHidden/>
          </w:rPr>
          <w:tab/>
        </w:r>
        <w:r w:rsidR="007F2E23">
          <w:rPr>
            <w:noProof/>
            <w:webHidden/>
          </w:rPr>
          <w:fldChar w:fldCharType="begin"/>
        </w:r>
        <w:r w:rsidR="007F2E23">
          <w:rPr>
            <w:noProof/>
            <w:webHidden/>
          </w:rPr>
          <w:instrText xml:space="preserve"> PAGEREF _Toc46391688 \h </w:instrText>
        </w:r>
        <w:r w:rsidR="007F2E23">
          <w:rPr>
            <w:noProof/>
            <w:webHidden/>
          </w:rPr>
        </w:r>
        <w:r w:rsidR="007F2E23">
          <w:rPr>
            <w:noProof/>
            <w:webHidden/>
          </w:rPr>
          <w:fldChar w:fldCharType="separate"/>
        </w:r>
        <w:r w:rsidR="007F2E23">
          <w:rPr>
            <w:noProof/>
            <w:webHidden/>
          </w:rPr>
          <w:t>7</w:t>
        </w:r>
        <w:r w:rsidR="007F2E23">
          <w:rPr>
            <w:noProof/>
            <w:webHidden/>
          </w:rPr>
          <w:fldChar w:fldCharType="end"/>
        </w:r>
      </w:hyperlink>
    </w:p>
    <w:p w14:paraId="2207351F" w14:textId="6F3FC178" w:rsidR="007F2E23" w:rsidRDefault="002E7197">
      <w:pPr>
        <w:pStyle w:val="Spistreci2"/>
        <w:tabs>
          <w:tab w:val="left" w:pos="960"/>
          <w:tab w:val="right" w:leader="dot" w:pos="9911"/>
        </w:tabs>
        <w:rPr>
          <w:rFonts w:asciiTheme="minorHAnsi" w:eastAsiaTheme="minorEastAsia" w:hAnsiTheme="minorHAnsi" w:cstheme="minorBidi"/>
          <w:noProof/>
          <w:sz w:val="22"/>
          <w:szCs w:val="22"/>
          <w:lang w:val="pl-PL" w:eastAsia="pl-PL"/>
        </w:rPr>
      </w:pPr>
      <w:hyperlink w:anchor="_Toc46391689" w:history="1">
        <w:r w:rsidR="007F2E23" w:rsidRPr="00E57840">
          <w:rPr>
            <w:rStyle w:val="Hipercze"/>
            <w:noProof/>
          </w:rPr>
          <w:t>2.1.</w:t>
        </w:r>
        <w:r w:rsidR="007F2E23">
          <w:rPr>
            <w:rFonts w:asciiTheme="minorHAnsi" w:eastAsiaTheme="minorEastAsia" w:hAnsiTheme="minorHAnsi" w:cstheme="minorBidi"/>
            <w:noProof/>
            <w:sz w:val="22"/>
            <w:szCs w:val="22"/>
            <w:lang w:val="pl-PL" w:eastAsia="pl-PL"/>
          </w:rPr>
          <w:tab/>
        </w:r>
        <w:r w:rsidR="007F2E23" w:rsidRPr="00E57840">
          <w:rPr>
            <w:rStyle w:val="Hipercze"/>
            <w:noProof/>
          </w:rPr>
          <w:t>Kluczowe informacje na temat wdrażania programu operacyjnego w danym roku, w tym informacje na temat instrumentów finansowych w odniesieniu do danych finansowych i danych na temat wskaźników.</w:t>
        </w:r>
        <w:r w:rsidR="007F2E23">
          <w:rPr>
            <w:noProof/>
            <w:webHidden/>
          </w:rPr>
          <w:tab/>
        </w:r>
        <w:r w:rsidR="007F2E23">
          <w:rPr>
            <w:noProof/>
            <w:webHidden/>
          </w:rPr>
          <w:fldChar w:fldCharType="begin"/>
        </w:r>
        <w:r w:rsidR="007F2E23">
          <w:rPr>
            <w:noProof/>
            <w:webHidden/>
          </w:rPr>
          <w:instrText xml:space="preserve"> PAGEREF _Toc46391689 \h </w:instrText>
        </w:r>
        <w:r w:rsidR="007F2E23">
          <w:rPr>
            <w:noProof/>
            <w:webHidden/>
          </w:rPr>
        </w:r>
        <w:r w:rsidR="007F2E23">
          <w:rPr>
            <w:noProof/>
            <w:webHidden/>
          </w:rPr>
          <w:fldChar w:fldCharType="separate"/>
        </w:r>
        <w:r w:rsidR="007F2E23">
          <w:rPr>
            <w:noProof/>
            <w:webHidden/>
          </w:rPr>
          <w:t>7</w:t>
        </w:r>
        <w:r w:rsidR="007F2E23">
          <w:rPr>
            <w:noProof/>
            <w:webHidden/>
          </w:rPr>
          <w:fldChar w:fldCharType="end"/>
        </w:r>
      </w:hyperlink>
    </w:p>
    <w:p w14:paraId="098DA08F" w14:textId="4685E4E6" w:rsidR="007F2E23" w:rsidRDefault="002E7197">
      <w:pPr>
        <w:pStyle w:val="Spistreci1"/>
        <w:tabs>
          <w:tab w:val="left" w:pos="480"/>
          <w:tab w:val="right" w:leader="dot" w:pos="9911"/>
        </w:tabs>
        <w:rPr>
          <w:rFonts w:asciiTheme="minorHAnsi" w:eastAsiaTheme="minorEastAsia" w:hAnsiTheme="minorHAnsi" w:cstheme="minorBidi"/>
          <w:b w:val="0"/>
          <w:bCs w:val="0"/>
          <w:noProof/>
          <w:sz w:val="22"/>
          <w:szCs w:val="22"/>
          <w:lang w:val="pl-PL" w:eastAsia="pl-PL"/>
        </w:rPr>
      </w:pPr>
      <w:hyperlink w:anchor="_Toc46391690" w:history="1">
        <w:r w:rsidR="007F2E23" w:rsidRPr="00E57840">
          <w:rPr>
            <w:rStyle w:val="Hipercze"/>
            <w:noProof/>
          </w:rPr>
          <w:t>3.</w:t>
        </w:r>
        <w:r w:rsidR="007F2E23">
          <w:rPr>
            <w:rFonts w:asciiTheme="minorHAnsi" w:eastAsiaTheme="minorEastAsia" w:hAnsiTheme="minorHAnsi" w:cstheme="minorBidi"/>
            <w:b w:val="0"/>
            <w:bCs w:val="0"/>
            <w:noProof/>
            <w:sz w:val="22"/>
            <w:szCs w:val="22"/>
            <w:lang w:val="pl-PL" w:eastAsia="pl-PL"/>
          </w:rPr>
          <w:tab/>
        </w:r>
        <w:r w:rsidR="007F2E23" w:rsidRPr="00E57840">
          <w:rPr>
            <w:rStyle w:val="Hipercze"/>
            <w:noProof/>
          </w:rPr>
          <w:t>WDRAŻANIE OSI PRIORYTETOWEJ (art. 50 ust. 2 rozporządzenia (UE) nr 1303/2013)</w:t>
        </w:r>
        <w:r w:rsidR="007F2E23">
          <w:rPr>
            <w:noProof/>
            <w:webHidden/>
          </w:rPr>
          <w:tab/>
        </w:r>
        <w:r w:rsidR="007F2E23">
          <w:rPr>
            <w:noProof/>
            <w:webHidden/>
          </w:rPr>
          <w:fldChar w:fldCharType="begin"/>
        </w:r>
        <w:r w:rsidR="007F2E23">
          <w:rPr>
            <w:noProof/>
            <w:webHidden/>
          </w:rPr>
          <w:instrText xml:space="preserve"> PAGEREF _Toc46391690 \h </w:instrText>
        </w:r>
        <w:r w:rsidR="007F2E23">
          <w:rPr>
            <w:noProof/>
            <w:webHidden/>
          </w:rPr>
        </w:r>
        <w:r w:rsidR="007F2E23">
          <w:rPr>
            <w:noProof/>
            <w:webHidden/>
          </w:rPr>
          <w:fldChar w:fldCharType="separate"/>
        </w:r>
        <w:r w:rsidR="007F2E23">
          <w:rPr>
            <w:noProof/>
            <w:webHidden/>
          </w:rPr>
          <w:t>11</w:t>
        </w:r>
        <w:r w:rsidR="007F2E23">
          <w:rPr>
            <w:noProof/>
            <w:webHidden/>
          </w:rPr>
          <w:fldChar w:fldCharType="end"/>
        </w:r>
      </w:hyperlink>
    </w:p>
    <w:p w14:paraId="19554D91" w14:textId="62BCD6A1" w:rsidR="007F2E23" w:rsidRDefault="002E7197">
      <w:pPr>
        <w:pStyle w:val="Spistreci2"/>
        <w:tabs>
          <w:tab w:val="left" w:pos="960"/>
          <w:tab w:val="right" w:leader="dot" w:pos="9911"/>
        </w:tabs>
        <w:rPr>
          <w:rFonts w:asciiTheme="minorHAnsi" w:eastAsiaTheme="minorEastAsia" w:hAnsiTheme="minorHAnsi" w:cstheme="minorBidi"/>
          <w:noProof/>
          <w:sz w:val="22"/>
          <w:szCs w:val="22"/>
          <w:lang w:val="pl-PL" w:eastAsia="pl-PL"/>
        </w:rPr>
      </w:pPr>
      <w:hyperlink w:anchor="_Toc46391691" w:history="1">
        <w:r w:rsidR="007F2E23" w:rsidRPr="00E57840">
          <w:rPr>
            <w:rStyle w:val="Hipercze"/>
            <w:noProof/>
          </w:rPr>
          <w:t>3.1.</w:t>
        </w:r>
        <w:r w:rsidR="007F2E23">
          <w:rPr>
            <w:rFonts w:asciiTheme="minorHAnsi" w:eastAsiaTheme="minorEastAsia" w:hAnsiTheme="minorHAnsi" w:cstheme="minorBidi"/>
            <w:noProof/>
            <w:sz w:val="22"/>
            <w:szCs w:val="22"/>
            <w:lang w:val="pl-PL" w:eastAsia="pl-PL"/>
          </w:rPr>
          <w:tab/>
        </w:r>
        <w:r w:rsidR="007F2E23" w:rsidRPr="00E57840">
          <w:rPr>
            <w:rStyle w:val="Hipercze"/>
            <w:noProof/>
          </w:rPr>
          <w:t>Przegląd wdrażania</w:t>
        </w:r>
        <w:r w:rsidR="007F2E23">
          <w:rPr>
            <w:noProof/>
            <w:webHidden/>
          </w:rPr>
          <w:tab/>
        </w:r>
        <w:r w:rsidR="007F2E23">
          <w:rPr>
            <w:noProof/>
            <w:webHidden/>
          </w:rPr>
          <w:fldChar w:fldCharType="begin"/>
        </w:r>
        <w:r w:rsidR="007F2E23">
          <w:rPr>
            <w:noProof/>
            <w:webHidden/>
          </w:rPr>
          <w:instrText xml:space="preserve"> PAGEREF _Toc46391691 \h </w:instrText>
        </w:r>
        <w:r w:rsidR="007F2E23">
          <w:rPr>
            <w:noProof/>
            <w:webHidden/>
          </w:rPr>
        </w:r>
        <w:r w:rsidR="007F2E23">
          <w:rPr>
            <w:noProof/>
            <w:webHidden/>
          </w:rPr>
          <w:fldChar w:fldCharType="separate"/>
        </w:r>
        <w:r w:rsidR="007F2E23">
          <w:rPr>
            <w:noProof/>
            <w:webHidden/>
          </w:rPr>
          <w:t>11</w:t>
        </w:r>
        <w:r w:rsidR="007F2E23">
          <w:rPr>
            <w:noProof/>
            <w:webHidden/>
          </w:rPr>
          <w:fldChar w:fldCharType="end"/>
        </w:r>
      </w:hyperlink>
    </w:p>
    <w:p w14:paraId="788D6F51" w14:textId="0A22FD15" w:rsidR="007F2E23" w:rsidRDefault="002E7197">
      <w:pPr>
        <w:pStyle w:val="Spistreci2"/>
        <w:tabs>
          <w:tab w:val="left" w:pos="960"/>
          <w:tab w:val="right" w:leader="dot" w:pos="9911"/>
        </w:tabs>
        <w:rPr>
          <w:rFonts w:asciiTheme="minorHAnsi" w:eastAsiaTheme="minorEastAsia" w:hAnsiTheme="minorHAnsi" w:cstheme="minorBidi"/>
          <w:noProof/>
          <w:sz w:val="22"/>
          <w:szCs w:val="22"/>
          <w:lang w:val="pl-PL" w:eastAsia="pl-PL"/>
        </w:rPr>
      </w:pPr>
      <w:hyperlink w:anchor="_Toc46391692" w:history="1">
        <w:r w:rsidR="007F2E23" w:rsidRPr="00E57840">
          <w:rPr>
            <w:rStyle w:val="Hipercze"/>
            <w:noProof/>
            <w:lang w:val="fr-BE"/>
          </w:rPr>
          <w:t>3.2.</w:t>
        </w:r>
        <w:r w:rsidR="007F2E23">
          <w:rPr>
            <w:rFonts w:asciiTheme="minorHAnsi" w:eastAsiaTheme="minorEastAsia" w:hAnsiTheme="minorHAnsi" w:cstheme="minorBidi"/>
            <w:noProof/>
            <w:sz w:val="22"/>
            <w:szCs w:val="22"/>
            <w:lang w:val="pl-PL" w:eastAsia="pl-PL"/>
          </w:rPr>
          <w:tab/>
        </w:r>
        <w:r w:rsidR="007F2E23" w:rsidRPr="00E57840">
          <w:rPr>
            <w:rStyle w:val="Hipercze"/>
            <w:noProof/>
          </w:rPr>
          <w:t>Wspólne wskaźniki i wskaźniki specyficzne dla programu (art. 50 ust. 2 rozporządzenia (UE) nr 1303/2013)</w:t>
        </w:r>
        <w:r w:rsidR="007F2E23">
          <w:rPr>
            <w:noProof/>
            <w:webHidden/>
          </w:rPr>
          <w:tab/>
        </w:r>
        <w:r w:rsidR="007F2E23">
          <w:rPr>
            <w:noProof/>
            <w:webHidden/>
          </w:rPr>
          <w:fldChar w:fldCharType="begin"/>
        </w:r>
        <w:r w:rsidR="007F2E23">
          <w:rPr>
            <w:noProof/>
            <w:webHidden/>
          </w:rPr>
          <w:instrText xml:space="preserve"> PAGEREF _Toc46391692 \h </w:instrText>
        </w:r>
        <w:r w:rsidR="007F2E23">
          <w:rPr>
            <w:noProof/>
            <w:webHidden/>
          </w:rPr>
        </w:r>
        <w:r w:rsidR="007F2E23">
          <w:rPr>
            <w:noProof/>
            <w:webHidden/>
          </w:rPr>
          <w:fldChar w:fldCharType="separate"/>
        </w:r>
        <w:r w:rsidR="007F2E23">
          <w:rPr>
            <w:noProof/>
            <w:webHidden/>
          </w:rPr>
          <w:t>20</w:t>
        </w:r>
        <w:r w:rsidR="007F2E23">
          <w:rPr>
            <w:noProof/>
            <w:webHidden/>
          </w:rPr>
          <w:fldChar w:fldCharType="end"/>
        </w:r>
      </w:hyperlink>
    </w:p>
    <w:p w14:paraId="64F466BE" w14:textId="00A60A30" w:rsidR="007F2E23" w:rsidRDefault="002E7197">
      <w:pPr>
        <w:pStyle w:val="Spistreci2"/>
        <w:tabs>
          <w:tab w:val="right" w:leader="dot" w:pos="9911"/>
        </w:tabs>
        <w:rPr>
          <w:rFonts w:asciiTheme="minorHAnsi" w:eastAsiaTheme="minorEastAsia" w:hAnsiTheme="minorHAnsi" w:cstheme="minorBidi"/>
          <w:noProof/>
          <w:sz w:val="22"/>
          <w:szCs w:val="22"/>
          <w:lang w:val="pl-PL" w:eastAsia="pl-PL"/>
        </w:rPr>
      </w:pPr>
      <w:hyperlink w:anchor="_Toc46391693" w:history="1">
        <w:r w:rsidR="007F2E23" w:rsidRPr="00E57840">
          <w:rPr>
            <w:rStyle w:val="Hipercze"/>
            <w:noProof/>
            <w:lang w:val="fr-BE"/>
          </w:rPr>
          <w:t>Tabela 3A: Wspólne i specyficzne dla danego programu wskaźniki produktu dla EFRR i Funduszu Spójności (wg osi priorytetowej, priorytetu inwestycyjnego, w podziale na kategorię regionu dla celów EFRR) - 1 / 1a</w:t>
        </w:r>
        <w:r w:rsidR="007F2E23">
          <w:rPr>
            <w:noProof/>
            <w:webHidden/>
          </w:rPr>
          <w:tab/>
        </w:r>
        <w:r w:rsidR="007F2E23">
          <w:rPr>
            <w:noProof/>
            <w:webHidden/>
          </w:rPr>
          <w:fldChar w:fldCharType="begin"/>
        </w:r>
        <w:r w:rsidR="007F2E23">
          <w:rPr>
            <w:noProof/>
            <w:webHidden/>
          </w:rPr>
          <w:instrText xml:space="preserve"> PAGEREF _Toc46391693 \h </w:instrText>
        </w:r>
        <w:r w:rsidR="007F2E23">
          <w:rPr>
            <w:noProof/>
            <w:webHidden/>
          </w:rPr>
        </w:r>
        <w:r w:rsidR="007F2E23">
          <w:rPr>
            <w:noProof/>
            <w:webHidden/>
          </w:rPr>
          <w:fldChar w:fldCharType="separate"/>
        </w:r>
        <w:r w:rsidR="007F2E23">
          <w:rPr>
            <w:noProof/>
            <w:webHidden/>
          </w:rPr>
          <w:t>20</w:t>
        </w:r>
        <w:r w:rsidR="007F2E23">
          <w:rPr>
            <w:noProof/>
            <w:webHidden/>
          </w:rPr>
          <w:fldChar w:fldCharType="end"/>
        </w:r>
      </w:hyperlink>
    </w:p>
    <w:p w14:paraId="0F166BA8" w14:textId="5D7E406C" w:rsidR="007F2E23" w:rsidRDefault="002E7197">
      <w:pPr>
        <w:pStyle w:val="Spistreci2"/>
        <w:tabs>
          <w:tab w:val="right" w:leader="dot" w:pos="9911"/>
        </w:tabs>
        <w:rPr>
          <w:rFonts w:asciiTheme="minorHAnsi" w:eastAsiaTheme="minorEastAsia" w:hAnsiTheme="minorHAnsi" w:cstheme="minorBidi"/>
          <w:noProof/>
          <w:sz w:val="22"/>
          <w:szCs w:val="22"/>
          <w:lang w:val="pl-PL" w:eastAsia="pl-PL"/>
        </w:rPr>
      </w:pPr>
      <w:hyperlink w:anchor="_Toc46391694" w:history="1">
        <w:r w:rsidR="007F2E23" w:rsidRPr="00E57840">
          <w:rPr>
            <w:rStyle w:val="Hipercze"/>
            <w:noProof/>
            <w:lang w:val="fr-BE"/>
          </w:rPr>
          <w:t>Tabela 3A: Wspólne i specyficzne dla danego programu wskaźniki produktu dla EFRR i Funduszu Spójności (wg osi priorytetowej, priorytetu inwestycyjnego, w podziale na kategorię regionu dla celów EFRR) - 1 / 1b</w:t>
        </w:r>
        <w:r w:rsidR="007F2E23">
          <w:rPr>
            <w:noProof/>
            <w:webHidden/>
          </w:rPr>
          <w:tab/>
        </w:r>
        <w:r w:rsidR="007F2E23">
          <w:rPr>
            <w:noProof/>
            <w:webHidden/>
          </w:rPr>
          <w:fldChar w:fldCharType="begin"/>
        </w:r>
        <w:r w:rsidR="007F2E23">
          <w:rPr>
            <w:noProof/>
            <w:webHidden/>
          </w:rPr>
          <w:instrText xml:space="preserve"> PAGEREF _Toc46391694 \h </w:instrText>
        </w:r>
        <w:r w:rsidR="007F2E23">
          <w:rPr>
            <w:noProof/>
            <w:webHidden/>
          </w:rPr>
        </w:r>
        <w:r w:rsidR="007F2E23">
          <w:rPr>
            <w:noProof/>
            <w:webHidden/>
          </w:rPr>
          <w:fldChar w:fldCharType="separate"/>
        </w:r>
        <w:r w:rsidR="007F2E23">
          <w:rPr>
            <w:noProof/>
            <w:webHidden/>
          </w:rPr>
          <w:t>23</w:t>
        </w:r>
        <w:r w:rsidR="007F2E23">
          <w:rPr>
            <w:noProof/>
            <w:webHidden/>
          </w:rPr>
          <w:fldChar w:fldCharType="end"/>
        </w:r>
      </w:hyperlink>
    </w:p>
    <w:p w14:paraId="6A2CBD55" w14:textId="3823165A" w:rsidR="007F2E23" w:rsidRDefault="002E7197">
      <w:pPr>
        <w:pStyle w:val="Spistreci2"/>
        <w:tabs>
          <w:tab w:val="right" w:leader="dot" w:pos="9911"/>
        </w:tabs>
        <w:rPr>
          <w:rFonts w:asciiTheme="minorHAnsi" w:eastAsiaTheme="minorEastAsia" w:hAnsiTheme="minorHAnsi" w:cstheme="minorBidi"/>
          <w:noProof/>
          <w:sz w:val="22"/>
          <w:szCs w:val="22"/>
          <w:lang w:val="pl-PL" w:eastAsia="pl-PL"/>
        </w:rPr>
      </w:pPr>
      <w:hyperlink w:anchor="_Toc46391695" w:history="1">
        <w:r w:rsidR="007F2E23" w:rsidRPr="00E57840">
          <w:rPr>
            <w:rStyle w:val="Hipercze"/>
            <w:noProof/>
          </w:rPr>
          <w:t xml:space="preserve">Tabela 2A : Wspólne wskaźniki rezultatu dla EFS (z podziałem na oś priorytetową, priorytet inwestycyjny i kategorię regionu) Dane na temat wszystkich wspólnych wskaźników rezultatu dla EFS (z wartością docelową i bez) przedstawia się w sprawozdaniu w podziale na płeć. W przypadku osi priorytetowej "Pomoc techniczna w sprawozdaniu przedstawia się jedynie te wskaźniki wspólne, w odniesieniu do których ustanowiono wartość docelową. - </w:t>
        </w:r>
        <w:r w:rsidR="007F2E23" w:rsidRPr="00E57840">
          <w:rPr>
            <w:rStyle w:val="Hipercze"/>
            <w:noProof/>
            <w:lang w:val="fr-BE"/>
          </w:rPr>
          <w:t>10 / 8i</w:t>
        </w:r>
        <w:r w:rsidR="007F2E23">
          <w:rPr>
            <w:noProof/>
            <w:webHidden/>
          </w:rPr>
          <w:tab/>
        </w:r>
        <w:r w:rsidR="007F2E23">
          <w:rPr>
            <w:noProof/>
            <w:webHidden/>
          </w:rPr>
          <w:fldChar w:fldCharType="begin"/>
        </w:r>
        <w:r w:rsidR="007F2E23">
          <w:rPr>
            <w:noProof/>
            <w:webHidden/>
          </w:rPr>
          <w:instrText xml:space="preserve"> PAGEREF _Toc46391695 \h </w:instrText>
        </w:r>
        <w:r w:rsidR="007F2E23">
          <w:rPr>
            <w:noProof/>
            <w:webHidden/>
          </w:rPr>
        </w:r>
        <w:r w:rsidR="007F2E23">
          <w:rPr>
            <w:noProof/>
            <w:webHidden/>
          </w:rPr>
          <w:fldChar w:fldCharType="separate"/>
        </w:r>
        <w:r w:rsidR="007F2E23">
          <w:rPr>
            <w:noProof/>
            <w:webHidden/>
          </w:rPr>
          <w:t>26</w:t>
        </w:r>
        <w:r w:rsidR="007F2E23">
          <w:rPr>
            <w:noProof/>
            <w:webHidden/>
          </w:rPr>
          <w:fldChar w:fldCharType="end"/>
        </w:r>
      </w:hyperlink>
    </w:p>
    <w:p w14:paraId="516853A6" w14:textId="2CCC377B" w:rsidR="007F2E23" w:rsidRDefault="002E7197">
      <w:pPr>
        <w:pStyle w:val="Spistreci2"/>
        <w:tabs>
          <w:tab w:val="right" w:leader="dot" w:pos="9911"/>
        </w:tabs>
        <w:rPr>
          <w:rFonts w:asciiTheme="minorHAnsi" w:eastAsiaTheme="minorEastAsia" w:hAnsiTheme="minorHAnsi" w:cstheme="minorBidi"/>
          <w:noProof/>
          <w:sz w:val="22"/>
          <w:szCs w:val="22"/>
          <w:lang w:val="pl-PL" w:eastAsia="pl-PL"/>
        </w:rPr>
      </w:pPr>
      <w:hyperlink w:anchor="_Toc46391696" w:history="1">
        <w:r w:rsidR="007F2E23" w:rsidRPr="00E57840">
          <w:rPr>
            <w:rStyle w:val="Hipercze"/>
            <w:noProof/>
            <w:lang w:val="fr-BE"/>
          </w:rPr>
          <w:t>Tabela 2C : Specyficzne dla programu wskaźniki rezultatu dla EFS oraz Inicjatywy na rzecz zatrudnienia ludzi młodych</w:t>
        </w:r>
        <w:r w:rsidR="007F2E23">
          <w:rPr>
            <w:noProof/>
            <w:webHidden/>
          </w:rPr>
          <w:tab/>
        </w:r>
        <w:r w:rsidR="007F2E23">
          <w:rPr>
            <w:noProof/>
            <w:webHidden/>
          </w:rPr>
          <w:fldChar w:fldCharType="begin"/>
        </w:r>
        <w:r w:rsidR="007F2E23">
          <w:rPr>
            <w:noProof/>
            <w:webHidden/>
          </w:rPr>
          <w:instrText xml:space="preserve"> PAGEREF _Toc46391696 \h </w:instrText>
        </w:r>
        <w:r w:rsidR="007F2E23">
          <w:rPr>
            <w:noProof/>
            <w:webHidden/>
          </w:rPr>
        </w:r>
        <w:r w:rsidR="007F2E23">
          <w:rPr>
            <w:noProof/>
            <w:webHidden/>
          </w:rPr>
          <w:fldChar w:fldCharType="separate"/>
        </w:r>
        <w:r w:rsidR="007F2E23">
          <w:rPr>
            <w:noProof/>
            <w:webHidden/>
          </w:rPr>
          <w:t>28</w:t>
        </w:r>
        <w:r w:rsidR="007F2E23">
          <w:rPr>
            <w:noProof/>
            <w:webHidden/>
          </w:rPr>
          <w:fldChar w:fldCharType="end"/>
        </w:r>
      </w:hyperlink>
    </w:p>
    <w:p w14:paraId="2A5DE51E" w14:textId="5C59B6B8" w:rsidR="007F2E23" w:rsidRDefault="002E7197">
      <w:pPr>
        <w:pStyle w:val="Spistreci2"/>
        <w:tabs>
          <w:tab w:val="right" w:leader="dot" w:pos="9911"/>
        </w:tabs>
        <w:rPr>
          <w:rFonts w:asciiTheme="minorHAnsi" w:eastAsiaTheme="minorEastAsia" w:hAnsiTheme="minorHAnsi" w:cstheme="minorBidi"/>
          <w:noProof/>
          <w:sz w:val="22"/>
          <w:szCs w:val="22"/>
          <w:lang w:val="pl-PL" w:eastAsia="pl-PL"/>
        </w:rPr>
      </w:pPr>
      <w:hyperlink w:anchor="_Toc46391697" w:history="1">
        <w:r w:rsidR="007F2E23" w:rsidRPr="00E57840">
          <w:rPr>
            <w:rStyle w:val="Hipercze"/>
            <w:noProof/>
            <w:lang w:val="fr-BE"/>
          </w:rPr>
          <w:t>Tabela 4A</w:t>
        </w:r>
        <w:r w:rsidR="007F2E23" w:rsidRPr="00E57840">
          <w:rPr>
            <w:rStyle w:val="Hipercze"/>
            <w:noProof/>
          </w:rPr>
          <w:t xml:space="preserve"> : </w:t>
        </w:r>
        <w:r w:rsidR="007F2E23" w:rsidRPr="00E57840">
          <w:rPr>
            <w:rStyle w:val="Hipercze"/>
            <w:noProof/>
            <w:lang w:val="fr-BE"/>
          </w:rPr>
          <w:t>Wspólne wskaźniki produktu dla EFS oraz Inicjatywy na rzecz zatrudnienia ludzi młodych</w:t>
        </w:r>
        <w:r w:rsidR="007F2E23" w:rsidRPr="00E57840">
          <w:rPr>
            <w:rStyle w:val="Hipercze"/>
            <w:noProof/>
          </w:rPr>
          <w:t xml:space="preserve"> - </w:t>
        </w:r>
        <w:r w:rsidR="007F2E23" w:rsidRPr="00E57840">
          <w:rPr>
            <w:rStyle w:val="Hipercze"/>
            <w:noProof/>
            <w:lang w:val="fr-BE"/>
          </w:rPr>
          <w:t>10 / 8i</w:t>
        </w:r>
        <w:r w:rsidR="007F2E23">
          <w:rPr>
            <w:noProof/>
            <w:webHidden/>
          </w:rPr>
          <w:tab/>
        </w:r>
        <w:r w:rsidR="007F2E23">
          <w:rPr>
            <w:noProof/>
            <w:webHidden/>
          </w:rPr>
          <w:fldChar w:fldCharType="begin"/>
        </w:r>
        <w:r w:rsidR="007F2E23">
          <w:rPr>
            <w:noProof/>
            <w:webHidden/>
          </w:rPr>
          <w:instrText xml:space="preserve"> PAGEREF _Toc46391697 \h </w:instrText>
        </w:r>
        <w:r w:rsidR="007F2E23">
          <w:rPr>
            <w:noProof/>
            <w:webHidden/>
          </w:rPr>
        </w:r>
        <w:r w:rsidR="007F2E23">
          <w:rPr>
            <w:noProof/>
            <w:webHidden/>
          </w:rPr>
          <w:fldChar w:fldCharType="separate"/>
        </w:r>
        <w:r w:rsidR="007F2E23">
          <w:rPr>
            <w:noProof/>
            <w:webHidden/>
          </w:rPr>
          <w:t>29</w:t>
        </w:r>
        <w:r w:rsidR="007F2E23">
          <w:rPr>
            <w:noProof/>
            <w:webHidden/>
          </w:rPr>
          <w:fldChar w:fldCharType="end"/>
        </w:r>
      </w:hyperlink>
    </w:p>
    <w:p w14:paraId="6F2B7342" w14:textId="35B18487" w:rsidR="007F2E23" w:rsidRDefault="002E7197">
      <w:pPr>
        <w:pStyle w:val="Spistreci2"/>
        <w:tabs>
          <w:tab w:val="right" w:leader="dot" w:pos="9911"/>
        </w:tabs>
        <w:rPr>
          <w:rFonts w:asciiTheme="minorHAnsi" w:eastAsiaTheme="minorEastAsia" w:hAnsiTheme="minorHAnsi" w:cstheme="minorBidi"/>
          <w:noProof/>
          <w:sz w:val="22"/>
          <w:szCs w:val="22"/>
          <w:lang w:val="pl-PL" w:eastAsia="pl-PL"/>
        </w:rPr>
      </w:pPr>
      <w:hyperlink w:anchor="_Toc46391698" w:history="1">
        <w:r w:rsidR="007F2E23" w:rsidRPr="00E57840">
          <w:rPr>
            <w:rStyle w:val="Hipercze"/>
            <w:noProof/>
            <w:lang w:val="fr-BE"/>
          </w:rPr>
          <w:t>Tabela 4B Specyficzne dla programu wskaźniki produktu dla EFS oraz Inicjatywy na rzecz zatrudnienia ludzi młodych</w:t>
        </w:r>
        <w:r w:rsidR="007F2E23" w:rsidRPr="00E57840">
          <w:rPr>
            <w:rStyle w:val="Hipercze"/>
            <w:noProof/>
          </w:rPr>
          <w:t xml:space="preserve"> - </w:t>
        </w:r>
        <w:r w:rsidR="007F2E23" w:rsidRPr="00E57840">
          <w:rPr>
            <w:rStyle w:val="Hipercze"/>
            <w:noProof/>
            <w:lang w:val="fr-BE"/>
          </w:rPr>
          <w:t>10</w:t>
        </w:r>
        <w:r w:rsidR="007F2E23">
          <w:rPr>
            <w:noProof/>
            <w:webHidden/>
          </w:rPr>
          <w:tab/>
        </w:r>
        <w:r w:rsidR="007F2E23">
          <w:rPr>
            <w:noProof/>
            <w:webHidden/>
          </w:rPr>
          <w:fldChar w:fldCharType="begin"/>
        </w:r>
        <w:r w:rsidR="007F2E23">
          <w:rPr>
            <w:noProof/>
            <w:webHidden/>
          </w:rPr>
          <w:instrText xml:space="preserve"> PAGEREF _Toc46391698 \h </w:instrText>
        </w:r>
        <w:r w:rsidR="007F2E23">
          <w:rPr>
            <w:noProof/>
            <w:webHidden/>
          </w:rPr>
        </w:r>
        <w:r w:rsidR="007F2E23">
          <w:rPr>
            <w:noProof/>
            <w:webHidden/>
          </w:rPr>
          <w:fldChar w:fldCharType="separate"/>
        </w:r>
        <w:r w:rsidR="007F2E23">
          <w:rPr>
            <w:noProof/>
            <w:webHidden/>
          </w:rPr>
          <w:t>31</w:t>
        </w:r>
        <w:r w:rsidR="007F2E23">
          <w:rPr>
            <w:noProof/>
            <w:webHidden/>
          </w:rPr>
          <w:fldChar w:fldCharType="end"/>
        </w:r>
      </w:hyperlink>
    </w:p>
    <w:p w14:paraId="70F19021" w14:textId="491E8863" w:rsidR="007F2E23" w:rsidRDefault="002E7197">
      <w:pPr>
        <w:pStyle w:val="Spistreci2"/>
        <w:tabs>
          <w:tab w:val="right" w:leader="dot" w:pos="9911"/>
        </w:tabs>
        <w:rPr>
          <w:rFonts w:asciiTheme="minorHAnsi" w:eastAsiaTheme="minorEastAsia" w:hAnsiTheme="minorHAnsi" w:cstheme="minorBidi"/>
          <w:noProof/>
          <w:sz w:val="22"/>
          <w:szCs w:val="22"/>
          <w:lang w:val="pl-PL" w:eastAsia="pl-PL"/>
        </w:rPr>
      </w:pPr>
      <w:hyperlink w:anchor="_Toc46391699" w:history="1">
        <w:r w:rsidR="007F2E23" w:rsidRPr="00E57840">
          <w:rPr>
            <w:rStyle w:val="Hipercze"/>
            <w:noProof/>
          </w:rPr>
          <w:t xml:space="preserve">Tabela 2A : Wspólne wskaźniki rezultatu dla EFS (z podziałem na oś priorytetową, priorytet inwestycyjny i kategorię regionu) Dane na temat wszystkich wspólnych wskaźników rezultatu dla EFS (z wartością docelową i bez) przedstawia się w sprawozdaniu w podziale na płeć. W przypadku osi priorytetowej "Pomoc techniczna w sprawozdaniu przedstawia się jedynie te wskaźniki wspólne, w odniesieniu do których ustanowiono wartość docelową. - </w:t>
        </w:r>
        <w:r w:rsidR="007F2E23" w:rsidRPr="00E57840">
          <w:rPr>
            <w:rStyle w:val="Hipercze"/>
            <w:noProof/>
            <w:lang w:val="fr-BE"/>
          </w:rPr>
          <w:t>10 / 8iii</w:t>
        </w:r>
        <w:r w:rsidR="007F2E23">
          <w:rPr>
            <w:noProof/>
            <w:webHidden/>
          </w:rPr>
          <w:tab/>
        </w:r>
        <w:r w:rsidR="007F2E23">
          <w:rPr>
            <w:noProof/>
            <w:webHidden/>
          </w:rPr>
          <w:fldChar w:fldCharType="begin"/>
        </w:r>
        <w:r w:rsidR="007F2E23">
          <w:rPr>
            <w:noProof/>
            <w:webHidden/>
          </w:rPr>
          <w:instrText xml:space="preserve"> PAGEREF _Toc46391699 \h </w:instrText>
        </w:r>
        <w:r w:rsidR="007F2E23">
          <w:rPr>
            <w:noProof/>
            <w:webHidden/>
          </w:rPr>
        </w:r>
        <w:r w:rsidR="007F2E23">
          <w:rPr>
            <w:noProof/>
            <w:webHidden/>
          </w:rPr>
          <w:fldChar w:fldCharType="separate"/>
        </w:r>
        <w:r w:rsidR="007F2E23">
          <w:rPr>
            <w:noProof/>
            <w:webHidden/>
          </w:rPr>
          <w:t>32</w:t>
        </w:r>
        <w:r w:rsidR="007F2E23">
          <w:rPr>
            <w:noProof/>
            <w:webHidden/>
          </w:rPr>
          <w:fldChar w:fldCharType="end"/>
        </w:r>
      </w:hyperlink>
    </w:p>
    <w:p w14:paraId="7E332437" w14:textId="752E7C08" w:rsidR="007F2E23" w:rsidRDefault="002E7197">
      <w:pPr>
        <w:pStyle w:val="Spistreci2"/>
        <w:tabs>
          <w:tab w:val="right" w:leader="dot" w:pos="9911"/>
        </w:tabs>
        <w:rPr>
          <w:rFonts w:asciiTheme="minorHAnsi" w:eastAsiaTheme="minorEastAsia" w:hAnsiTheme="minorHAnsi" w:cstheme="minorBidi"/>
          <w:noProof/>
          <w:sz w:val="22"/>
          <w:szCs w:val="22"/>
          <w:lang w:val="pl-PL" w:eastAsia="pl-PL"/>
        </w:rPr>
      </w:pPr>
      <w:hyperlink w:anchor="_Toc46391700" w:history="1">
        <w:r w:rsidR="007F2E23" w:rsidRPr="00E57840">
          <w:rPr>
            <w:rStyle w:val="Hipercze"/>
            <w:noProof/>
            <w:lang w:val="fr-BE"/>
          </w:rPr>
          <w:t>Tabela 2C : Specyficzne dla programu wskaźniki rezultatu dla EFS oraz Inicjatywy na rzecz zatrudnienia ludzi młodych</w:t>
        </w:r>
        <w:r w:rsidR="007F2E23">
          <w:rPr>
            <w:noProof/>
            <w:webHidden/>
          </w:rPr>
          <w:tab/>
        </w:r>
        <w:r w:rsidR="007F2E23">
          <w:rPr>
            <w:noProof/>
            <w:webHidden/>
          </w:rPr>
          <w:fldChar w:fldCharType="begin"/>
        </w:r>
        <w:r w:rsidR="007F2E23">
          <w:rPr>
            <w:noProof/>
            <w:webHidden/>
          </w:rPr>
          <w:instrText xml:space="preserve"> PAGEREF _Toc46391700 \h </w:instrText>
        </w:r>
        <w:r w:rsidR="007F2E23">
          <w:rPr>
            <w:noProof/>
            <w:webHidden/>
          </w:rPr>
        </w:r>
        <w:r w:rsidR="007F2E23">
          <w:rPr>
            <w:noProof/>
            <w:webHidden/>
          </w:rPr>
          <w:fldChar w:fldCharType="separate"/>
        </w:r>
        <w:r w:rsidR="007F2E23">
          <w:rPr>
            <w:noProof/>
            <w:webHidden/>
          </w:rPr>
          <w:t>33</w:t>
        </w:r>
        <w:r w:rsidR="007F2E23">
          <w:rPr>
            <w:noProof/>
            <w:webHidden/>
          </w:rPr>
          <w:fldChar w:fldCharType="end"/>
        </w:r>
      </w:hyperlink>
    </w:p>
    <w:p w14:paraId="0B015748" w14:textId="65B22C2E" w:rsidR="007F2E23" w:rsidRDefault="002E7197">
      <w:pPr>
        <w:pStyle w:val="Spistreci2"/>
        <w:tabs>
          <w:tab w:val="right" w:leader="dot" w:pos="9911"/>
        </w:tabs>
        <w:rPr>
          <w:rFonts w:asciiTheme="minorHAnsi" w:eastAsiaTheme="minorEastAsia" w:hAnsiTheme="minorHAnsi" w:cstheme="minorBidi"/>
          <w:noProof/>
          <w:sz w:val="22"/>
          <w:szCs w:val="22"/>
          <w:lang w:val="pl-PL" w:eastAsia="pl-PL"/>
        </w:rPr>
      </w:pPr>
      <w:hyperlink w:anchor="_Toc46391701" w:history="1">
        <w:r w:rsidR="007F2E23" w:rsidRPr="00E57840">
          <w:rPr>
            <w:rStyle w:val="Hipercze"/>
            <w:noProof/>
            <w:lang w:val="fr-BE"/>
          </w:rPr>
          <w:t>Tabela 4A</w:t>
        </w:r>
        <w:r w:rsidR="007F2E23" w:rsidRPr="00E57840">
          <w:rPr>
            <w:rStyle w:val="Hipercze"/>
            <w:noProof/>
          </w:rPr>
          <w:t xml:space="preserve"> : </w:t>
        </w:r>
        <w:r w:rsidR="007F2E23" w:rsidRPr="00E57840">
          <w:rPr>
            <w:rStyle w:val="Hipercze"/>
            <w:noProof/>
            <w:lang w:val="fr-BE"/>
          </w:rPr>
          <w:t>Wspólne wskaźniki produktu dla EFS oraz Inicjatywy na rzecz zatrudnienia ludzi młodych</w:t>
        </w:r>
        <w:r w:rsidR="007F2E23" w:rsidRPr="00E57840">
          <w:rPr>
            <w:rStyle w:val="Hipercze"/>
            <w:noProof/>
          </w:rPr>
          <w:t xml:space="preserve"> - </w:t>
        </w:r>
        <w:r w:rsidR="007F2E23" w:rsidRPr="00E57840">
          <w:rPr>
            <w:rStyle w:val="Hipercze"/>
            <w:noProof/>
            <w:lang w:val="fr-BE"/>
          </w:rPr>
          <w:t>10 / 8iii</w:t>
        </w:r>
        <w:r w:rsidR="007F2E23">
          <w:rPr>
            <w:noProof/>
            <w:webHidden/>
          </w:rPr>
          <w:tab/>
        </w:r>
        <w:r w:rsidR="007F2E23">
          <w:rPr>
            <w:noProof/>
            <w:webHidden/>
          </w:rPr>
          <w:fldChar w:fldCharType="begin"/>
        </w:r>
        <w:r w:rsidR="007F2E23">
          <w:rPr>
            <w:noProof/>
            <w:webHidden/>
          </w:rPr>
          <w:instrText xml:space="preserve"> PAGEREF _Toc46391701 \h </w:instrText>
        </w:r>
        <w:r w:rsidR="007F2E23">
          <w:rPr>
            <w:noProof/>
            <w:webHidden/>
          </w:rPr>
        </w:r>
        <w:r w:rsidR="007F2E23">
          <w:rPr>
            <w:noProof/>
            <w:webHidden/>
          </w:rPr>
          <w:fldChar w:fldCharType="separate"/>
        </w:r>
        <w:r w:rsidR="007F2E23">
          <w:rPr>
            <w:noProof/>
            <w:webHidden/>
          </w:rPr>
          <w:t>34</w:t>
        </w:r>
        <w:r w:rsidR="007F2E23">
          <w:rPr>
            <w:noProof/>
            <w:webHidden/>
          </w:rPr>
          <w:fldChar w:fldCharType="end"/>
        </w:r>
      </w:hyperlink>
    </w:p>
    <w:p w14:paraId="4D7E1E07" w14:textId="4CB52C91" w:rsidR="007F2E23" w:rsidRDefault="002E7197">
      <w:pPr>
        <w:pStyle w:val="Spistreci2"/>
        <w:tabs>
          <w:tab w:val="right" w:leader="dot" w:pos="9911"/>
        </w:tabs>
        <w:rPr>
          <w:rFonts w:asciiTheme="minorHAnsi" w:eastAsiaTheme="minorEastAsia" w:hAnsiTheme="minorHAnsi" w:cstheme="minorBidi"/>
          <w:noProof/>
          <w:sz w:val="22"/>
          <w:szCs w:val="22"/>
          <w:lang w:val="pl-PL" w:eastAsia="pl-PL"/>
        </w:rPr>
      </w:pPr>
      <w:hyperlink w:anchor="_Toc46391702" w:history="1">
        <w:r w:rsidR="007F2E23" w:rsidRPr="00E57840">
          <w:rPr>
            <w:rStyle w:val="Hipercze"/>
            <w:noProof/>
            <w:lang w:val="fr-BE"/>
          </w:rPr>
          <w:t>Tabela 4B Specyficzne dla programu wskaźniki produktu dla EFS oraz Inicjatywy na rzecz zatrudnienia ludzi młodych</w:t>
        </w:r>
        <w:r w:rsidR="007F2E23" w:rsidRPr="00E57840">
          <w:rPr>
            <w:rStyle w:val="Hipercze"/>
            <w:noProof/>
          </w:rPr>
          <w:t xml:space="preserve"> - </w:t>
        </w:r>
        <w:r w:rsidR="007F2E23" w:rsidRPr="00E57840">
          <w:rPr>
            <w:rStyle w:val="Hipercze"/>
            <w:noProof/>
            <w:lang w:val="fr-BE"/>
          </w:rPr>
          <w:t>10</w:t>
        </w:r>
        <w:r w:rsidR="007F2E23">
          <w:rPr>
            <w:noProof/>
            <w:webHidden/>
          </w:rPr>
          <w:tab/>
        </w:r>
        <w:r w:rsidR="007F2E23">
          <w:rPr>
            <w:noProof/>
            <w:webHidden/>
          </w:rPr>
          <w:fldChar w:fldCharType="begin"/>
        </w:r>
        <w:r w:rsidR="007F2E23">
          <w:rPr>
            <w:noProof/>
            <w:webHidden/>
          </w:rPr>
          <w:instrText xml:space="preserve"> PAGEREF _Toc46391702 \h </w:instrText>
        </w:r>
        <w:r w:rsidR="007F2E23">
          <w:rPr>
            <w:noProof/>
            <w:webHidden/>
          </w:rPr>
        </w:r>
        <w:r w:rsidR="007F2E23">
          <w:rPr>
            <w:noProof/>
            <w:webHidden/>
          </w:rPr>
          <w:fldChar w:fldCharType="separate"/>
        </w:r>
        <w:r w:rsidR="007F2E23">
          <w:rPr>
            <w:noProof/>
            <w:webHidden/>
          </w:rPr>
          <w:t>36</w:t>
        </w:r>
        <w:r w:rsidR="007F2E23">
          <w:rPr>
            <w:noProof/>
            <w:webHidden/>
          </w:rPr>
          <w:fldChar w:fldCharType="end"/>
        </w:r>
      </w:hyperlink>
    </w:p>
    <w:p w14:paraId="7A52C735" w14:textId="43670D0D" w:rsidR="007F2E23" w:rsidRDefault="002E7197">
      <w:pPr>
        <w:pStyle w:val="Spistreci2"/>
        <w:tabs>
          <w:tab w:val="right" w:leader="dot" w:pos="9911"/>
        </w:tabs>
        <w:rPr>
          <w:rFonts w:asciiTheme="minorHAnsi" w:eastAsiaTheme="minorEastAsia" w:hAnsiTheme="minorHAnsi" w:cstheme="minorBidi"/>
          <w:noProof/>
          <w:sz w:val="22"/>
          <w:szCs w:val="22"/>
          <w:lang w:val="pl-PL" w:eastAsia="pl-PL"/>
        </w:rPr>
      </w:pPr>
      <w:hyperlink w:anchor="_Toc46391703" w:history="1">
        <w:r w:rsidR="007F2E23" w:rsidRPr="00E57840">
          <w:rPr>
            <w:rStyle w:val="Hipercze"/>
            <w:noProof/>
          </w:rPr>
          <w:t xml:space="preserve">Tabela 2A : Wspólne wskaźniki rezultatu dla EFS (z podziałem na oś priorytetową, priorytet inwestycyjny i kategorię regionu) Dane na temat wszystkich wspólnych wskaźników rezultatu dla EFS (z wartością docelową i bez) przedstawia się w sprawozdaniu w podziale na płeć. W przypadku osi priorytetowej "Pomoc techniczna w sprawozdaniu przedstawia się jedynie te wskaźniki wspólne, w odniesieniu do których ustanowiono wartość docelową. - </w:t>
        </w:r>
        <w:r w:rsidR="007F2E23" w:rsidRPr="00E57840">
          <w:rPr>
            <w:rStyle w:val="Hipercze"/>
            <w:noProof/>
            <w:lang w:val="fr-BE"/>
          </w:rPr>
          <w:t>10 / 8v</w:t>
        </w:r>
        <w:r w:rsidR="007F2E23">
          <w:rPr>
            <w:noProof/>
            <w:webHidden/>
          </w:rPr>
          <w:tab/>
        </w:r>
        <w:r w:rsidR="007F2E23">
          <w:rPr>
            <w:noProof/>
            <w:webHidden/>
          </w:rPr>
          <w:fldChar w:fldCharType="begin"/>
        </w:r>
        <w:r w:rsidR="007F2E23">
          <w:rPr>
            <w:noProof/>
            <w:webHidden/>
          </w:rPr>
          <w:instrText xml:space="preserve"> PAGEREF _Toc46391703 \h </w:instrText>
        </w:r>
        <w:r w:rsidR="007F2E23">
          <w:rPr>
            <w:noProof/>
            <w:webHidden/>
          </w:rPr>
        </w:r>
        <w:r w:rsidR="007F2E23">
          <w:rPr>
            <w:noProof/>
            <w:webHidden/>
          </w:rPr>
          <w:fldChar w:fldCharType="separate"/>
        </w:r>
        <w:r w:rsidR="007F2E23">
          <w:rPr>
            <w:noProof/>
            <w:webHidden/>
          </w:rPr>
          <w:t>37</w:t>
        </w:r>
        <w:r w:rsidR="007F2E23">
          <w:rPr>
            <w:noProof/>
            <w:webHidden/>
          </w:rPr>
          <w:fldChar w:fldCharType="end"/>
        </w:r>
      </w:hyperlink>
    </w:p>
    <w:p w14:paraId="54B14632" w14:textId="3D95291A" w:rsidR="007F2E23" w:rsidRDefault="002E7197">
      <w:pPr>
        <w:pStyle w:val="Spistreci2"/>
        <w:tabs>
          <w:tab w:val="right" w:leader="dot" w:pos="9911"/>
        </w:tabs>
        <w:rPr>
          <w:rFonts w:asciiTheme="minorHAnsi" w:eastAsiaTheme="minorEastAsia" w:hAnsiTheme="minorHAnsi" w:cstheme="minorBidi"/>
          <w:noProof/>
          <w:sz w:val="22"/>
          <w:szCs w:val="22"/>
          <w:lang w:val="pl-PL" w:eastAsia="pl-PL"/>
        </w:rPr>
      </w:pPr>
      <w:hyperlink w:anchor="_Toc46391704" w:history="1">
        <w:r w:rsidR="007F2E23" w:rsidRPr="00E57840">
          <w:rPr>
            <w:rStyle w:val="Hipercze"/>
            <w:noProof/>
            <w:lang w:val="fr-BE"/>
          </w:rPr>
          <w:t>Tabela 2C : Specyficzne dla programu wskaźniki rezultatu dla EFS oraz Inicjatywy na rzecz zatrudnienia ludzi młodych</w:t>
        </w:r>
        <w:r w:rsidR="007F2E23">
          <w:rPr>
            <w:noProof/>
            <w:webHidden/>
          </w:rPr>
          <w:tab/>
        </w:r>
        <w:r w:rsidR="007F2E23">
          <w:rPr>
            <w:noProof/>
            <w:webHidden/>
          </w:rPr>
          <w:fldChar w:fldCharType="begin"/>
        </w:r>
        <w:r w:rsidR="007F2E23">
          <w:rPr>
            <w:noProof/>
            <w:webHidden/>
          </w:rPr>
          <w:instrText xml:space="preserve"> PAGEREF _Toc46391704 \h </w:instrText>
        </w:r>
        <w:r w:rsidR="007F2E23">
          <w:rPr>
            <w:noProof/>
            <w:webHidden/>
          </w:rPr>
        </w:r>
        <w:r w:rsidR="007F2E23">
          <w:rPr>
            <w:noProof/>
            <w:webHidden/>
          </w:rPr>
          <w:fldChar w:fldCharType="separate"/>
        </w:r>
        <w:r w:rsidR="007F2E23">
          <w:rPr>
            <w:noProof/>
            <w:webHidden/>
          </w:rPr>
          <w:t>39</w:t>
        </w:r>
        <w:r w:rsidR="007F2E23">
          <w:rPr>
            <w:noProof/>
            <w:webHidden/>
          </w:rPr>
          <w:fldChar w:fldCharType="end"/>
        </w:r>
      </w:hyperlink>
    </w:p>
    <w:p w14:paraId="2FDED571" w14:textId="1A060240" w:rsidR="007F2E23" w:rsidRDefault="002E7197">
      <w:pPr>
        <w:pStyle w:val="Spistreci2"/>
        <w:tabs>
          <w:tab w:val="right" w:leader="dot" w:pos="9911"/>
        </w:tabs>
        <w:rPr>
          <w:rFonts w:asciiTheme="minorHAnsi" w:eastAsiaTheme="minorEastAsia" w:hAnsiTheme="minorHAnsi" w:cstheme="minorBidi"/>
          <w:noProof/>
          <w:sz w:val="22"/>
          <w:szCs w:val="22"/>
          <w:lang w:val="pl-PL" w:eastAsia="pl-PL"/>
        </w:rPr>
      </w:pPr>
      <w:hyperlink w:anchor="_Toc46391705" w:history="1">
        <w:r w:rsidR="007F2E23" w:rsidRPr="00E57840">
          <w:rPr>
            <w:rStyle w:val="Hipercze"/>
            <w:noProof/>
            <w:lang w:val="fr-BE"/>
          </w:rPr>
          <w:t>Tabela 4A</w:t>
        </w:r>
        <w:r w:rsidR="007F2E23" w:rsidRPr="00E57840">
          <w:rPr>
            <w:rStyle w:val="Hipercze"/>
            <w:noProof/>
          </w:rPr>
          <w:t xml:space="preserve"> : </w:t>
        </w:r>
        <w:r w:rsidR="007F2E23" w:rsidRPr="00E57840">
          <w:rPr>
            <w:rStyle w:val="Hipercze"/>
            <w:noProof/>
            <w:lang w:val="fr-BE"/>
          </w:rPr>
          <w:t>Wspólne wskaźniki produktu dla EFS oraz Inicjatywy na rzecz zatrudnienia ludzi młodych</w:t>
        </w:r>
        <w:r w:rsidR="007F2E23" w:rsidRPr="00E57840">
          <w:rPr>
            <w:rStyle w:val="Hipercze"/>
            <w:noProof/>
          </w:rPr>
          <w:t xml:space="preserve"> - </w:t>
        </w:r>
        <w:r w:rsidR="007F2E23" w:rsidRPr="00E57840">
          <w:rPr>
            <w:rStyle w:val="Hipercze"/>
            <w:noProof/>
            <w:lang w:val="fr-BE"/>
          </w:rPr>
          <w:t>10 / 8v</w:t>
        </w:r>
        <w:r w:rsidR="007F2E23">
          <w:rPr>
            <w:noProof/>
            <w:webHidden/>
          </w:rPr>
          <w:tab/>
        </w:r>
        <w:r w:rsidR="007F2E23">
          <w:rPr>
            <w:noProof/>
            <w:webHidden/>
          </w:rPr>
          <w:fldChar w:fldCharType="begin"/>
        </w:r>
        <w:r w:rsidR="007F2E23">
          <w:rPr>
            <w:noProof/>
            <w:webHidden/>
          </w:rPr>
          <w:instrText xml:space="preserve"> PAGEREF _Toc46391705 \h </w:instrText>
        </w:r>
        <w:r w:rsidR="007F2E23">
          <w:rPr>
            <w:noProof/>
            <w:webHidden/>
          </w:rPr>
        </w:r>
        <w:r w:rsidR="007F2E23">
          <w:rPr>
            <w:noProof/>
            <w:webHidden/>
          </w:rPr>
          <w:fldChar w:fldCharType="separate"/>
        </w:r>
        <w:r w:rsidR="007F2E23">
          <w:rPr>
            <w:noProof/>
            <w:webHidden/>
          </w:rPr>
          <w:t>40</w:t>
        </w:r>
        <w:r w:rsidR="007F2E23">
          <w:rPr>
            <w:noProof/>
            <w:webHidden/>
          </w:rPr>
          <w:fldChar w:fldCharType="end"/>
        </w:r>
      </w:hyperlink>
    </w:p>
    <w:p w14:paraId="12AF0B66" w14:textId="647D3956" w:rsidR="007F2E23" w:rsidRDefault="002E7197">
      <w:pPr>
        <w:pStyle w:val="Spistreci2"/>
        <w:tabs>
          <w:tab w:val="right" w:leader="dot" w:pos="9911"/>
        </w:tabs>
        <w:rPr>
          <w:rFonts w:asciiTheme="minorHAnsi" w:eastAsiaTheme="minorEastAsia" w:hAnsiTheme="minorHAnsi" w:cstheme="minorBidi"/>
          <w:noProof/>
          <w:sz w:val="22"/>
          <w:szCs w:val="22"/>
          <w:lang w:val="pl-PL" w:eastAsia="pl-PL"/>
        </w:rPr>
      </w:pPr>
      <w:hyperlink w:anchor="_Toc46391706" w:history="1">
        <w:r w:rsidR="007F2E23" w:rsidRPr="00E57840">
          <w:rPr>
            <w:rStyle w:val="Hipercze"/>
            <w:noProof/>
            <w:lang w:val="fr-BE"/>
          </w:rPr>
          <w:t>Tabela 4B Specyficzne dla programu wskaźniki produktu dla EFS oraz Inicjatywy na rzecz zatrudnienia ludzi młodych</w:t>
        </w:r>
        <w:r w:rsidR="007F2E23" w:rsidRPr="00E57840">
          <w:rPr>
            <w:rStyle w:val="Hipercze"/>
            <w:noProof/>
          </w:rPr>
          <w:t xml:space="preserve"> - </w:t>
        </w:r>
        <w:r w:rsidR="007F2E23" w:rsidRPr="00E57840">
          <w:rPr>
            <w:rStyle w:val="Hipercze"/>
            <w:noProof/>
            <w:lang w:val="fr-BE"/>
          </w:rPr>
          <w:t>10</w:t>
        </w:r>
        <w:r w:rsidR="007F2E23">
          <w:rPr>
            <w:noProof/>
            <w:webHidden/>
          </w:rPr>
          <w:tab/>
        </w:r>
        <w:r w:rsidR="007F2E23">
          <w:rPr>
            <w:noProof/>
            <w:webHidden/>
          </w:rPr>
          <w:fldChar w:fldCharType="begin"/>
        </w:r>
        <w:r w:rsidR="007F2E23">
          <w:rPr>
            <w:noProof/>
            <w:webHidden/>
          </w:rPr>
          <w:instrText xml:space="preserve"> PAGEREF _Toc46391706 \h </w:instrText>
        </w:r>
        <w:r w:rsidR="007F2E23">
          <w:rPr>
            <w:noProof/>
            <w:webHidden/>
          </w:rPr>
        </w:r>
        <w:r w:rsidR="007F2E23">
          <w:rPr>
            <w:noProof/>
            <w:webHidden/>
          </w:rPr>
          <w:fldChar w:fldCharType="separate"/>
        </w:r>
        <w:r w:rsidR="007F2E23">
          <w:rPr>
            <w:noProof/>
            <w:webHidden/>
          </w:rPr>
          <w:t>42</w:t>
        </w:r>
        <w:r w:rsidR="007F2E23">
          <w:rPr>
            <w:noProof/>
            <w:webHidden/>
          </w:rPr>
          <w:fldChar w:fldCharType="end"/>
        </w:r>
      </w:hyperlink>
    </w:p>
    <w:p w14:paraId="6054F622" w14:textId="7B97430F" w:rsidR="007F2E23" w:rsidRDefault="002E7197">
      <w:pPr>
        <w:pStyle w:val="Spistreci2"/>
        <w:tabs>
          <w:tab w:val="right" w:leader="dot" w:pos="9911"/>
        </w:tabs>
        <w:rPr>
          <w:rFonts w:asciiTheme="minorHAnsi" w:eastAsiaTheme="minorEastAsia" w:hAnsiTheme="minorHAnsi" w:cstheme="minorBidi"/>
          <w:noProof/>
          <w:sz w:val="22"/>
          <w:szCs w:val="22"/>
          <w:lang w:val="pl-PL" w:eastAsia="pl-PL"/>
        </w:rPr>
      </w:pPr>
      <w:hyperlink w:anchor="_Toc46391707" w:history="1">
        <w:r w:rsidR="007F2E23" w:rsidRPr="00E57840">
          <w:rPr>
            <w:rStyle w:val="Hipercze"/>
            <w:noProof/>
            <w:lang w:val="fr-BE"/>
          </w:rPr>
          <w:t>Tabela 3A: Wspólne i specyficzne dla danego programu wskaźniki produktu dla EFRR i Funduszu Spójności (wg osi priorytetowej, priorytetu inwestycyjnego, w podziale na kategorię regionu dla celów EFRR) - 2 / 3a</w:t>
        </w:r>
        <w:r w:rsidR="007F2E23">
          <w:rPr>
            <w:noProof/>
            <w:webHidden/>
          </w:rPr>
          <w:tab/>
        </w:r>
        <w:r w:rsidR="007F2E23">
          <w:rPr>
            <w:noProof/>
            <w:webHidden/>
          </w:rPr>
          <w:fldChar w:fldCharType="begin"/>
        </w:r>
        <w:r w:rsidR="007F2E23">
          <w:rPr>
            <w:noProof/>
            <w:webHidden/>
          </w:rPr>
          <w:instrText xml:space="preserve"> PAGEREF _Toc46391707 \h </w:instrText>
        </w:r>
        <w:r w:rsidR="007F2E23">
          <w:rPr>
            <w:noProof/>
            <w:webHidden/>
          </w:rPr>
        </w:r>
        <w:r w:rsidR="007F2E23">
          <w:rPr>
            <w:noProof/>
            <w:webHidden/>
          </w:rPr>
          <w:fldChar w:fldCharType="separate"/>
        </w:r>
        <w:r w:rsidR="007F2E23">
          <w:rPr>
            <w:noProof/>
            <w:webHidden/>
          </w:rPr>
          <w:t>43</w:t>
        </w:r>
        <w:r w:rsidR="007F2E23">
          <w:rPr>
            <w:noProof/>
            <w:webHidden/>
          </w:rPr>
          <w:fldChar w:fldCharType="end"/>
        </w:r>
      </w:hyperlink>
    </w:p>
    <w:p w14:paraId="36736B64" w14:textId="2B88F96A" w:rsidR="007F2E23" w:rsidRDefault="002E7197">
      <w:pPr>
        <w:pStyle w:val="Spistreci2"/>
        <w:tabs>
          <w:tab w:val="right" w:leader="dot" w:pos="9911"/>
        </w:tabs>
        <w:rPr>
          <w:rFonts w:asciiTheme="minorHAnsi" w:eastAsiaTheme="minorEastAsia" w:hAnsiTheme="minorHAnsi" w:cstheme="minorBidi"/>
          <w:noProof/>
          <w:sz w:val="22"/>
          <w:szCs w:val="22"/>
          <w:lang w:val="pl-PL" w:eastAsia="pl-PL"/>
        </w:rPr>
      </w:pPr>
      <w:hyperlink w:anchor="_Toc46391708" w:history="1">
        <w:r w:rsidR="007F2E23" w:rsidRPr="00E57840">
          <w:rPr>
            <w:rStyle w:val="Hipercze"/>
            <w:noProof/>
            <w:lang w:val="fr-BE"/>
          </w:rPr>
          <w:t>Tabela 3A: Wspólne i specyficzne dla danego programu wskaźniki produktu dla EFRR i Funduszu Spójności (wg osi priorytetowej, priorytetu inwestycyjnego, w podziale na kategorię regionu dla celów EFRR) - 2 / 3b</w:t>
        </w:r>
        <w:r w:rsidR="007F2E23">
          <w:rPr>
            <w:noProof/>
            <w:webHidden/>
          </w:rPr>
          <w:tab/>
        </w:r>
        <w:r w:rsidR="007F2E23">
          <w:rPr>
            <w:noProof/>
            <w:webHidden/>
          </w:rPr>
          <w:fldChar w:fldCharType="begin"/>
        </w:r>
        <w:r w:rsidR="007F2E23">
          <w:rPr>
            <w:noProof/>
            <w:webHidden/>
          </w:rPr>
          <w:instrText xml:space="preserve"> PAGEREF _Toc46391708 \h </w:instrText>
        </w:r>
        <w:r w:rsidR="007F2E23">
          <w:rPr>
            <w:noProof/>
            <w:webHidden/>
          </w:rPr>
        </w:r>
        <w:r w:rsidR="007F2E23">
          <w:rPr>
            <w:noProof/>
            <w:webHidden/>
          </w:rPr>
          <w:fldChar w:fldCharType="separate"/>
        </w:r>
        <w:r w:rsidR="007F2E23">
          <w:rPr>
            <w:noProof/>
            <w:webHidden/>
          </w:rPr>
          <w:t>46</w:t>
        </w:r>
        <w:r w:rsidR="007F2E23">
          <w:rPr>
            <w:noProof/>
            <w:webHidden/>
          </w:rPr>
          <w:fldChar w:fldCharType="end"/>
        </w:r>
      </w:hyperlink>
    </w:p>
    <w:p w14:paraId="04EBAA88" w14:textId="4FB1B763" w:rsidR="007F2E23" w:rsidRDefault="002E7197">
      <w:pPr>
        <w:pStyle w:val="Spistreci2"/>
        <w:tabs>
          <w:tab w:val="right" w:leader="dot" w:pos="9911"/>
        </w:tabs>
        <w:rPr>
          <w:rFonts w:asciiTheme="minorHAnsi" w:eastAsiaTheme="minorEastAsia" w:hAnsiTheme="minorHAnsi" w:cstheme="minorBidi"/>
          <w:noProof/>
          <w:sz w:val="22"/>
          <w:szCs w:val="22"/>
          <w:lang w:val="pl-PL" w:eastAsia="pl-PL"/>
        </w:rPr>
      </w:pPr>
      <w:hyperlink w:anchor="_Toc46391709" w:history="1">
        <w:r w:rsidR="007F2E23" w:rsidRPr="00E57840">
          <w:rPr>
            <w:rStyle w:val="Hipercze"/>
            <w:noProof/>
            <w:lang w:val="fr-BE"/>
          </w:rPr>
          <w:t>Tabela 3A: Wspólne i specyficzne dla danego programu wskaźniki produktu dla EFRR i Funduszu Spójności (wg osi priorytetowej, priorytetu inwestycyjnego, w podziale na kategorię regionu dla celów EFRR) - 2 / 3c</w:t>
        </w:r>
        <w:r w:rsidR="007F2E23">
          <w:rPr>
            <w:noProof/>
            <w:webHidden/>
          </w:rPr>
          <w:tab/>
        </w:r>
        <w:r w:rsidR="007F2E23">
          <w:rPr>
            <w:noProof/>
            <w:webHidden/>
          </w:rPr>
          <w:fldChar w:fldCharType="begin"/>
        </w:r>
        <w:r w:rsidR="007F2E23">
          <w:rPr>
            <w:noProof/>
            <w:webHidden/>
          </w:rPr>
          <w:instrText xml:space="preserve"> PAGEREF _Toc46391709 \h </w:instrText>
        </w:r>
        <w:r w:rsidR="007F2E23">
          <w:rPr>
            <w:noProof/>
            <w:webHidden/>
          </w:rPr>
        </w:r>
        <w:r w:rsidR="007F2E23">
          <w:rPr>
            <w:noProof/>
            <w:webHidden/>
          </w:rPr>
          <w:fldChar w:fldCharType="separate"/>
        </w:r>
        <w:r w:rsidR="007F2E23">
          <w:rPr>
            <w:noProof/>
            <w:webHidden/>
          </w:rPr>
          <w:t>49</w:t>
        </w:r>
        <w:r w:rsidR="007F2E23">
          <w:rPr>
            <w:noProof/>
            <w:webHidden/>
          </w:rPr>
          <w:fldChar w:fldCharType="end"/>
        </w:r>
      </w:hyperlink>
    </w:p>
    <w:p w14:paraId="5FF9D6A8" w14:textId="60B994F2" w:rsidR="007F2E23" w:rsidRDefault="002E7197">
      <w:pPr>
        <w:pStyle w:val="Spistreci2"/>
        <w:tabs>
          <w:tab w:val="right" w:leader="dot" w:pos="9911"/>
        </w:tabs>
        <w:rPr>
          <w:rFonts w:asciiTheme="minorHAnsi" w:eastAsiaTheme="minorEastAsia" w:hAnsiTheme="minorHAnsi" w:cstheme="minorBidi"/>
          <w:noProof/>
          <w:sz w:val="22"/>
          <w:szCs w:val="22"/>
          <w:lang w:val="pl-PL" w:eastAsia="pl-PL"/>
        </w:rPr>
      </w:pPr>
      <w:hyperlink w:anchor="_Toc46391710" w:history="1">
        <w:r w:rsidR="007F2E23" w:rsidRPr="00E57840">
          <w:rPr>
            <w:rStyle w:val="Hipercze"/>
            <w:noProof/>
            <w:lang w:val="fr-BE"/>
          </w:rPr>
          <w:t>Tabela 3A: Wspólne i specyficzne dla danego programu wskaźniki produktu dla EFRR i Funduszu Spójności (wg osi priorytetowej, priorytetu inwestycyjnego, w podziale na kategorię regionu dla celów EFRR) - 3 / 4a</w:t>
        </w:r>
        <w:r w:rsidR="007F2E23">
          <w:rPr>
            <w:noProof/>
            <w:webHidden/>
          </w:rPr>
          <w:tab/>
        </w:r>
        <w:r w:rsidR="007F2E23">
          <w:rPr>
            <w:noProof/>
            <w:webHidden/>
          </w:rPr>
          <w:fldChar w:fldCharType="begin"/>
        </w:r>
        <w:r w:rsidR="007F2E23">
          <w:rPr>
            <w:noProof/>
            <w:webHidden/>
          </w:rPr>
          <w:instrText xml:space="preserve"> PAGEREF _Toc46391710 \h </w:instrText>
        </w:r>
        <w:r w:rsidR="007F2E23">
          <w:rPr>
            <w:noProof/>
            <w:webHidden/>
          </w:rPr>
        </w:r>
        <w:r w:rsidR="007F2E23">
          <w:rPr>
            <w:noProof/>
            <w:webHidden/>
          </w:rPr>
          <w:fldChar w:fldCharType="separate"/>
        </w:r>
        <w:r w:rsidR="007F2E23">
          <w:rPr>
            <w:noProof/>
            <w:webHidden/>
          </w:rPr>
          <w:t>53</w:t>
        </w:r>
        <w:r w:rsidR="007F2E23">
          <w:rPr>
            <w:noProof/>
            <w:webHidden/>
          </w:rPr>
          <w:fldChar w:fldCharType="end"/>
        </w:r>
      </w:hyperlink>
    </w:p>
    <w:p w14:paraId="0EACCE2A" w14:textId="06E18E4B" w:rsidR="007F2E23" w:rsidRDefault="002E7197">
      <w:pPr>
        <w:pStyle w:val="Spistreci2"/>
        <w:tabs>
          <w:tab w:val="right" w:leader="dot" w:pos="9911"/>
        </w:tabs>
        <w:rPr>
          <w:rFonts w:asciiTheme="minorHAnsi" w:eastAsiaTheme="minorEastAsia" w:hAnsiTheme="minorHAnsi" w:cstheme="minorBidi"/>
          <w:noProof/>
          <w:sz w:val="22"/>
          <w:szCs w:val="22"/>
          <w:lang w:val="pl-PL" w:eastAsia="pl-PL"/>
        </w:rPr>
      </w:pPr>
      <w:hyperlink w:anchor="_Toc46391711" w:history="1">
        <w:r w:rsidR="007F2E23" w:rsidRPr="00E57840">
          <w:rPr>
            <w:rStyle w:val="Hipercze"/>
            <w:noProof/>
            <w:lang w:val="fr-BE"/>
          </w:rPr>
          <w:t>Tabela 3A: Wspólne i specyficzne dla danego programu wskaźniki produktu dla EFRR i Funduszu Spójności (wg osi priorytetowej, priorytetu inwestycyjnego, w podziale na kategorię regionu dla celów EFRR) - 3 / 4b</w:t>
        </w:r>
        <w:r w:rsidR="007F2E23">
          <w:rPr>
            <w:noProof/>
            <w:webHidden/>
          </w:rPr>
          <w:tab/>
        </w:r>
        <w:r w:rsidR="007F2E23">
          <w:rPr>
            <w:noProof/>
            <w:webHidden/>
          </w:rPr>
          <w:fldChar w:fldCharType="begin"/>
        </w:r>
        <w:r w:rsidR="007F2E23">
          <w:rPr>
            <w:noProof/>
            <w:webHidden/>
          </w:rPr>
          <w:instrText xml:space="preserve"> PAGEREF _Toc46391711 \h </w:instrText>
        </w:r>
        <w:r w:rsidR="007F2E23">
          <w:rPr>
            <w:noProof/>
            <w:webHidden/>
          </w:rPr>
        </w:r>
        <w:r w:rsidR="007F2E23">
          <w:rPr>
            <w:noProof/>
            <w:webHidden/>
          </w:rPr>
          <w:fldChar w:fldCharType="separate"/>
        </w:r>
        <w:r w:rsidR="007F2E23">
          <w:rPr>
            <w:noProof/>
            <w:webHidden/>
          </w:rPr>
          <w:t>56</w:t>
        </w:r>
        <w:r w:rsidR="007F2E23">
          <w:rPr>
            <w:noProof/>
            <w:webHidden/>
          </w:rPr>
          <w:fldChar w:fldCharType="end"/>
        </w:r>
      </w:hyperlink>
    </w:p>
    <w:p w14:paraId="166DE0A6" w14:textId="6797DEE1" w:rsidR="007F2E23" w:rsidRDefault="002E7197">
      <w:pPr>
        <w:pStyle w:val="Spistreci2"/>
        <w:tabs>
          <w:tab w:val="right" w:leader="dot" w:pos="9911"/>
        </w:tabs>
        <w:rPr>
          <w:rFonts w:asciiTheme="minorHAnsi" w:eastAsiaTheme="minorEastAsia" w:hAnsiTheme="minorHAnsi" w:cstheme="minorBidi"/>
          <w:noProof/>
          <w:sz w:val="22"/>
          <w:szCs w:val="22"/>
          <w:lang w:val="pl-PL" w:eastAsia="pl-PL"/>
        </w:rPr>
      </w:pPr>
      <w:hyperlink w:anchor="_Toc46391712" w:history="1">
        <w:r w:rsidR="007F2E23" w:rsidRPr="00E57840">
          <w:rPr>
            <w:rStyle w:val="Hipercze"/>
            <w:noProof/>
            <w:lang w:val="fr-BE"/>
          </w:rPr>
          <w:t>Tabela 3A: Wspólne i specyficzne dla danego programu wskaźniki produktu dla EFRR i Funduszu Spójności (wg osi priorytetowej, priorytetu inwestycyjnego, w podziale na kategorię regionu dla celów EFRR) - 3 / 4c</w:t>
        </w:r>
        <w:r w:rsidR="007F2E23">
          <w:rPr>
            <w:noProof/>
            <w:webHidden/>
          </w:rPr>
          <w:tab/>
        </w:r>
        <w:r w:rsidR="007F2E23">
          <w:rPr>
            <w:noProof/>
            <w:webHidden/>
          </w:rPr>
          <w:fldChar w:fldCharType="begin"/>
        </w:r>
        <w:r w:rsidR="007F2E23">
          <w:rPr>
            <w:noProof/>
            <w:webHidden/>
          </w:rPr>
          <w:instrText xml:space="preserve"> PAGEREF _Toc46391712 \h </w:instrText>
        </w:r>
        <w:r w:rsidR="007F2E23">
          <w:rPr>
            <w:noProof/>
            <w:webHidden/>
          </w:rPr>
        </w:r>
        <w:r w:rsidR="007F2E23">
          <w:rPr>
            <w:noProof/>
            <w:webHidden/>
          </w:rPr>
          <w:fldChar w:fldCharType="separate"/>
        </w:r>
        <w:r w:rsidR="007F2E23">
          <w:rPr>
            <w:noProof/>
            <w:webHidden/>
          </w:rPr>
          <w:t>59</w:t>
        </w:r>
        <w:r w:rsidR="007F2E23">
          <w:rPr>
            <w:noProof/>
            <w:webHidden/>
          </w:rPr>
          <w:fldChar w:fldCharType="end"/>
        </w:r>
      </w:hyperlink>
    </w:p>
    <w:p w14:paraId="10500D69" w14:textId="4F02B1AA" w:rsidR="007F2E23" w:rsidRDefault="002E7197">
      <w:pPr>
        <w:pStyle w:val="Spistreci2"/>
        <w:tabs>
          <w:tab w:val="right" w:leader="dot" w:pos="9911"/>
        </w:tabs>
        <w:rPr>
          <w:rFonts w:asciiTheme="minorHAnsi" w:eastAsiaTheme="minorEastAsia" w:hAnsiTheme="minorHAnsi" w:cstheme="minorBidi"/>
          <w:noProof/>
          <w:sz w:val="22"/>
          <w:szCs w:val="22"/>
          <w:lang w:val="pl-PL" w:eastAsia="pl-PL"/>
        </w:rPr>
      </w:pPr>
      <w:hyperlink w:anchor="_Toc46391713" w:history="1">
        <w:r w:rsidR="007F2E23" w:rsidRPr="00E57840">
          <w:rPr>
            <w:rStyle w:val="Hipercze"/>
            <w:noProof/>
            <w:lang w:val="fr-BE"/>
          </w:rPr>
          <w:t>Tabela 3A: Wspólne i specyficzne dla danego programu wskaźniki produktu dla EFRR i Funduszu Spójności (wg osi priorytetowej, priorytetu inwestycyjnego, w podziale na kategorię regionu dla celów EFRR) - 3 / 4e</w:t>
        </w:r>
        <w:r w:rsidR="007F2E23">
          <w:rPr>
            <w:noProof/>
            <w:webHidden/>
          </w:rPr>
          <w:tab/>
        </w:r>
        <w:r w:rsidR="007F2E23">
          <w:rPr>
            <w:noProof/>
            <w:webHidden/>
          </w:rPr>
          <w:fldChar w:fldCharType="begin"/>
        </w:r>
        <w:r w:rsidR="007F2E23">
          <w:rPr>
            <w:noProof/>
            <w:webHidden/>
          </w:rPr>
          <w:instrText xml:space="preserve"> PAGEREF _Toc46391713 \h </w:instrText>
        </w:r>
        <w:r w:rsidR="007F2E23">
          <w:rPr>
            <w:noProof/>
            <w:webHidden/>
          </w:rPr>
        </w:r>
        <w:r w:rsidR="007F2E23">
          <w:rPr>
            <w:noProof/>
            <w:webHidden/>
          </w:rPr>
          <w:fldChar w:fldCharType="separate"/>
        </w:r>
        <w:r w:rsidR="007F2E23">
          <w:rPr>
            <w:noProof/>
            <w:webHidden/>
          </w:rPr>
          <w:t>62</w:t>
        </w:r>
        <w:r w:rsidR="007F2E23">
          <w:rPr>
            <w:noProof/>
            <w:webHidden/>
          </w:rPr>
          <w:fldChar w:fldCharType="end"/>
        </w:r>
      </w:hyperlink>
    </w:p>
    <w:p w14:paraId="6A1F2519" w14:textId="50DCB974" w:rsidR="007F2E23" w:rsidRDefault="002E7197">
      <w:pPr>
        <w:pStyle w:val="Spistreci2"/>
        <w:tabs>
          <w:tab w:val="right" w:leader="dot" w:pos="9911"/>
        </w:tabs>
        <w:rPr>
          <w:rFonts w:asciiTheme="minorHAnsi" w:eastAsiaTheme="minorEastAsia" w:hAnsiTheme="minorHAnsi" w:cstheme="minorBidi"/>
          <w:noProof/>
          <w:sz w:val="22"/>
          <w:szCs w:val="22"/>
          <w:lang w:val="pl-PL" w:eastAsia="pl-PL"/>
        </w:rPr>
      </w:pPr>
      <w:hyperlink w:anchor="_Toc46391714" w:history="1">
        <w:r w:rsidR="007F2E23" w:rsidRPr="00E57840">
          <w:rPr>
            <w:rStyle w:val="Hipercze"/>
            <w:noProof/>
            <w:lang w:val="fr-BE"/>
          </w:rPr>
          <w:t>Tabela 3A: Wspólne i specyficzne dla danego programu wskaźniki produktu dla EFRR i Funduszu Spójności (wg osi priorytetowej, priorytetu inwestycyjnego, w podziale na kategorię regionu dla celów EFRR) - 4 / 5b</w:t>
        </w:r>
        <w:r w:rsidR="007F2E23">
          <w:rPr>
            <w:noProof/>
            <w:webHidden/>
          </w:rPr>
          <w:tab/>
        </w:r>
        <w:r w:rsidR="007F2E23">
          <w:rPr>
            <w:noProof/>
            <w:webHidden/>
          </w:rPr>
          <w:fldChar w:fldCharType="begin"/>
        </w:r>
        <w:r w:rsidR="007F2E23">
          <w:rPr>
            <w:noProof/>
            <w:webHidden/>
          </w:rPr>
          <w:instrText xml:space="preserve"> PAGEREF _Toc46391714 \h </w:instrText>
        </w:r>
        <w:r w:rsidR="007F2E23">
          <w:rPr>
            <w:noProof/>
            <w:webHidden/>
          </w:rPr>
        </w:r>
        <w:r w:rsidR="007F2E23">
          <w:rPr>
            <w:noProof/>
            <w:webHidden/>
          </w:rPr>
          <w:fldChar w:fldCharType="separate"/>
        </w:r>
        <w:r w:rsidR="007F2E23">
          <w:rPr>
            <w:noProof/>
            <w:webHidden/>
          </w:rPr>
          <w:t>66</w:t>
        </w:r>
        <w:r w:rsidR="007F2E23">
          <w:rPr>
            <w:noProof/>
            <w:webHidden/>
          </w:rPr>
          <w:fldChar w:fldCharType="end"/>
        </w:r>
      </w:hyperlink>
    </w:p>
    <w:p w14:paraId="47DF1383" w14:textId="4E2C0204" w:rsidR="007F2E23" w:rsidRDefault="002E7197">
      <w:pPr>
        <w:pStyle w:val="Spistreci2"/>
        <w:tabs>
          <w:tab w:val="right" w:leader="dot" w:pos="9911"/>
        </w:tabs>
        <w:rPr>
          <w:rFonts w:asciiTheme="minorHAnsi" w:eastAsiaTheme="minorEastAsia" w:hAnsiTheme="minorHAnsi" w:cstheme="minorBidi"/>
          <w:noProof/>
          <w:sz w:val="22"/>
          <w:szCs w:val="22"/>
          <w:lang w:val="pl-PL" w:eastAsia="pl-PL"/>
        </w:rPr>
      </w:pPr>
      <w:hyperlink w:anchor="_Toc46391715" w:history="1">
        <w:r w:rsidR="007F2E23" w:rsidRPr="00E57840">
          <w:rPr>
            <w:rStyle w:val="Hipercze"/>
            <w:noProof/>
            <w:lang w:val="fr-BE"/>
          </w:rPr>
          <w:t>Tabela 3A: Wspólne i specyficzne dla danego programu wskaźniki produktu dla EFRR i Funduszu Spójności (wg osi priorytetowej, priorytetu inwestycyjnego, w podziale na kategorię regionu dla celów EFRR) - 4 / 6a</w:t>
        </w:r>
        <w:r w:rsidR="007F2E23">
          <w:rPr>
            <w:noProof/>
            <w:webHidden/>
          </w:rPr>
          <w:tab/>
        </w:r>
        <w:r w:rsidR="007F2E23">
          <w:rPr>
            <w:noProof/>
            <w:webHidden/>
          </w:rPr>
          <w:fldChar w:fldCharType="begin"/>
        </w:r>
        <w:r w:rsidR="007F2E23">
          <w:rPr>
            <w:noProof/>
            <w:webHidden/>
          </w:rPr>
          <w:instrText xml:space="preserve"> PAGEREF _Toc46391715 \h </w:instrText>
        </w:r>
        <w:r w:rsidR="007F2E23">
          <w:rPr>
            <w:noProof/>
            <w:webHidden/>
          </w:rPr>
        </w:r>
        <w:r w:rsidR="007F2E23">
          <w:rPr>
            <w:noProof/>
            <w:webHidden/>
          </w:rPr>
          <w:fldChar w:fldCharType="separate"/>
        </w:r>
        <w:r w:rsidR="007F2E23">
          <w:rPr>
            <w:noProof/>
            <w:webHidden/>
          </w:rPr>
          <w:t>69</w:t>
        </w:r>
        <w:r w:rsidR="007F2E23">
          <w:rPr>
            <w:noProof/>
            <w:webHidden/>
          </w:rPr>
          <w:fldChar w:fldCharType="end"/>
        </w:r>
      </w:hyperlink>
    </w:p>
    <w:p w14:paraId="53FC63DA" w14:textId="542A2CA5" w:rsidR="007F2E23" w:rsidRDefault="002E7197">
      <w:pPr>
        <w:pStyle w:val="Spistreci2"/>
        <w:tabs>
          <w:tab w:val="right" w:leader="dot" w:pos="9911"/>
        </w:tabs>
        <w:rPr>
          <w:rFonts w:asciiTheme="minorHAnsi" w:eastAsiaTheme="minorEastAsia" w:hAnsiTheme="minorHAnsi" w:cstheme="minorBidi"/>
          <w:noProof/>
          <w:sz w:val="22"/>
          <w:szCs w:val="22"/>
          <w:lang w:val="pl-PL" w:eastAsia="pl-PL"/>
        </w:rPr>
      </w:pPr>
      <w:hyperlink w:anchor="_Toc46391716" w:history="1">
        <w:r w:rsidR="007F2E23" w:rsidRPr="00E57840">
          <w:rPr>
            <w:rStyle w:val="Hipercze"/>
            <w:noProof/>
            <w:lang w:val="fr-BE"/>
          </w:rPr>
          <w:t>Tabela 3A: Wspólne i specyficzne dla danego programu wskaźniki produktu dla EFRR i Funduszu Spójności (wg osi priorytetowej, priorytetu inwestycyjnego, w podziale na kategorię regionu dla celów EFRR) - 4 / 6b</w:t>
        </w:r>
        <w:r w:rsidR="007F2E23">
          <w:rPr>
            <w:noProof/>
            <w:webHidden/>
          </w:rPr>
          <w:tab/>
        </w:r>
        <w:r w:rsidR="007F2E23">
          <w:rPr>
            <w:noProof/>
            <w:webHidden/>
          </w:rPr>
          <w:fldChar w:fldCharType="begin"/>
        </w:r>
        <w:r w:rsidR="007F2E23">
          <w:rPr>
            <w:noProof/>
            <w:webHidden/>
          </w:rPr>
          <w:instrText xml:space="preserve"> PAGEREF _Toc46391716 \h </w:instrText>
        </w:r>
        <w:r w:rsidR="007F2E23">
          <w:rPr>
            <w:noProof/>
            <w:webHidden/>
          </w:rPr>
        </w:r>
        <w:r w:rsidR="007F2E23">
          <w:rPr>
            <w:noProof/>
            <w:webHidden/>
          </w:rPr>
          <w:fldChar w:fldCharType="separate"/>
        </w:r>
        <w:r w:rsidR="007F2E23">
          <w:rPr>
            <w:noProof/>
            <w:webHidden/>
          </w:rPr>
          <w:t>72</w:t>
        </w:r>
        <w:r w:rsidR="007F2E23">
          <w:rPr>
            <w:noProof/>
            <w:webHidden/>
          </w:rPr>
          <w:fldChar w:fldCharType="end"/>
        </w:r>
      </w:hyperlink>
    </w:p>
    <w:p w14:paraId="148F852E" w14:textId="68EDA312" w:rsidR="007F2E23" w:rsidRDefault="002E7197">
      <w:pPr>
        <w:pStyle w:val="Spistreci2"/>
        <w:tabs>
          <w:tab w:val="right" w:leader="dot" w:pos="9911"/>
        </w:tabs>
        <w:rPr>
          <w:rFonts w:asciiTheme="minorHAnsi" w:eastAsiaTheme="minorEastAsia" w:hAnsiTheme="minorHAnsi" w:cstheme="minorBidi"/>
          <w:noProof/>
          <w:sz w:val="22"/>
          <w:szCs w:val="22"/>
          <w:lang w:val="pl-PL" w:eastAsia="pl-PL"/>
        </w:rPr>
      </w:pPr>
      <w:hyperlink w:anchor="_Toc46391717" w:history="1">
        <w:r w:rsidR="007F2E23" w:rsidRPr="00E57840">
          <w:rPr>
            <w:rStyle w:val="Hipercze"/>
            <w:noProof/>
            <w:lang w:val="fr-BE"/>
          </w:rPr>
          <w:t>Tabela 3A: Wspólne i specyficzne dla danego programu wskaźniki produktu dla EFRR i Funduszu Spójności (wg osi priorytetowej, priorytetu inwestycyjnego, w podziale na kategorię regionu dla celów EFRR) - 4 / 6c</w:t>
        </w:r>
        <w:r w:rsidR="007F2E23">
          <w:rPr>
            <w:noProof/>
            <w:webHidden/>
          </w:rPr>
          <w:tab/>
        </w:r>
        <w:r w:rsidR="007F2E23">
          <w:rPr>
            <w:noProof/>
            <w:webHidden/>
          </w:rPr>
          <w:fldChar w:fldCharType="begin"/>
        </w:r>
        <w:r w:rsidR="007F2E23">
          <w:rPr>
            <w:noProof/>
            <w:webHidden/>
          </w:rPr>
          <w:instrText xml:space="preserve"> PAGEREF _Toc46391717 \h </w:instrText>
        </w:r>
        <w:r w:rsidR="007F2E23">
          <w:rPr>
            <w:noProof/>
            <w:webHidden/>
          </w:rPr>
        </w:r>
        <w:r w:rsidR="007F2E23">
          <w:rPr>
            <w:noProof/>
            <w:webHidden/>
          </w:rPr>
          <w:fldChar w:fldCharType="separate"/>
        </w:r>
        <w:r w:rsidR="007F2E23">
          <w:rPr>
            <w:noProof/>
            <w:webHidden/>
          </w:rPr>
          <w:t>75</w:t>
        </w:r>
        <w:r w:rsidR="007F2E23">
          <w:rPr>
            <w:noProof/>
            <w:webHidden/>
          </w:rPr>
          <w:fldChar w:fldCharType="end"/>
        </w:r>
      </w:hyperlink>
    </w:p>
    <w:p w14:paraId="60F4E729" w14:textId="0B0AFDF8" w:rsidR="007F2E23" w:rsidRDefault="002E7197">
      <w:pPr>
        <w:pStyle w:val="Spistreci2"/>
        <w:tabs>
          <w:tab w:val="right" w:leader="dot" w:pos="9911"/>
        </w:tabs>
        <w:rPr>
          <w:rFonts w:asciiTheme="minorHAnsi" w:eastAsiaTheme="minorEastAsia" w:hAnsiTheme="minorHAnsi" w:cstheme="minorBidi"/>
          <w:noProof/>
          <w:sz w:val="22"/>
          <w:szCs w:val="22"/>
          <w:lang w:val="pl-PL" w:eastAsia="pl-PL"/>
        </w:rPr>
      </w:pPr>
      <w:hyperlink w:anchor="_Toc46391718" w:history="1">
        <w:r w:rsidR="007F2E23" w:rsidRPr="00E57840">
          <w:rPr>
            <w:rStyle w:val="Hipercze"/>
            <w:noProof/>
            <w:lang w:val="fr-BE"/>
          </w:rPr>
          <w:t>Tabela 3A: Wspólne i specyficzne dla danego programu wskaźniki produktu dla EFRR i Funduszu Spójności (wg osi priorytetowej, priorytetu inwestycyjnego, w podziale na kategorię regionu dla celów EFRR) - 4 / 6d</w:t>
        </w:r>
        <w:r w:rsidR="007F2E23">
          <w:rPr>
            <w:noProof/>
            <w:webHidden/>
          </w:rPr>
          <w:tab/>
        </w:r>
        <w:r w:rsidR="007F2E23">
          <w:rPr>
            <w:noProof/>
            <w:webHidden/>
          </w:rPr>
          <w:fldChar w:fldCharType="begin"/>
        </w:r>
        <w:r w:rsidR="007F2E23">
          <w:rPr>
            <w:noProof/>
            <w:webHidden/>
          </w:rPr>
          <w:instrText xml:space="preserve"> PAGEREF _Toc46391718 \h </w:instrText>
        </w:r>
        <w:r w:rsidR="007F2E23">
          <w:rPr>
            <w:noProof/>
            <w:webHidden/>
          </w:rPr>
        </w:r>
        <w:r w:rsidR="007F2E23">
          <w:rPr>
            <w:noProof/>
            <w:webHidden/>
          </w:rPr>
          <w:fldChar w:fldCharType="separate"/>
        </w:r>
        <w:r w:rsidR="007F2E23">
          <w:rPr>
            <w:noProof/>
            <w:webHidden/>
          </w:rPr>
          <w:t>78</w:t>
        </w:r>
        <w:r w:rsidR="007F2E23">
          <w:rPr>
            <w:noProof/>
            <w:webHidden/>
          </w:rPr>
          <w:fldChar w:fldCharType="end"/>
        </w:r>
      </w:hyperlink>
    </w:p>
    <w:p w14:paraId="2E550B9A" w14:textId="768DFD84" w:rsidR="007F2E23" w:rsidRDefault="002E7197">
      <w:pPr>
        <w:pStyle w:val="Spistreci2"/>
        <w:tabs>
          <w:tab w:val="right" w:leader="dot" w:pos="9911"/>
        </w:tabs>
        <w:rPr>
          <w:rFonts w:asciiTheme="minorHAnsi" w:eastAsiaTheme="minorEastAsia" w:hAnsiTheme="minorHAnsi" w:cstheme="minorBidi"/>
          <w:noProof/>
          <w:sz w:val="22"/>
          <w:szCs w:val="22"/>
          <w:lang w:val="pl-PL" w:eastAsia="pl-PL"/>
        </w:rPr>
      </w:pPr>
      <w:hyperlink w:anchor="_Toc46391719" w:history="1">
        <w:r w:rsidR="007F2E23" w:rsidRPr="00E57840">
          <w:rPr>
            <w:rStyle w:val="Hipercze"/>
            <w:noProof/>
            <w:lang w:val="fr-BE"/>
          </w:rPr>
          <w:t>Tabela 3A: Wspólne i specyficzne dla danego programu wskaźniki produktu dla EFRR i Funduszu Spójności (wg osi priorytetowej, priorytetu inwestycyjnego, w podziale na kategorię regionu dla celów EFRR) - 5 / 7b</w:t>
        </w:r>
        <w:r w:rsidR="007F2E23">
          <w:rPr>
            <w:noProof/>
            <w:webHidden/>
          </w:rPr>
          <w:tab/>
        </w:r>
        <w:r w:rsidR="007F2E23">
          <w:rPr>
            <w:noProof/>
            <w:webHidden/>
          </w:rPr>
          <w:fldChar w:fldCharType="begin"/>
        </w:r>
        <w:r w:rsidR="007F2E23">
          <w:rPr>
            <w:noProof/>
            <w:webHidden/>
          </w:rPr>
          <w:instrText xml:space="preserve"> PAGEREF _Toc46391719 \h </w:instrText>
        </w:r>
        <w:r w:rsidR="007F2E23">
          <w:rPr>
            <w:noProof/>
            <w:webHidden/>
          </w:rPr>
        </w:r>
        <w:r w:rsidR="007F2E23">
          <w:rPr>
            <w:noProof/>
            <w:webHidden/>
          </w:rPr>
          <w:fldChar w:fldCharType="separate"/>
        </w:r>
        <w:r w:rsidR="007F2E23">
          <w:rPr>
            <w:noProof/>
            <w:webHidden/>
          </w:rPr>
          <w:t>81</w:t>
        </w:r>
        <w:r w:rsidR="007F2E23">
          <w:rPr>
            <w:noProof/>
            <w:webHidden/>
          </w:rPr>
          <w:fldChar w:fldCharType="end"/>
        </w:r>
      </w:hyperlink>
    </w:p>
    <w:p w14:paraId="0FAAE884" w14:textId="244652BE" w:rsidR="007F2E23" w:rsidRDefault="002E7197">
      <w:pPr>
        <w:pStyle w:val="Spistreci2"/>
        <w:tabs>
          <w:tab w:val="right" w:leader="dot" w:pos="9911"/>
        </w:tabs>
        <w:rPr>
          <w:rFonts w:asciiTheme="minorHAnsi" w:eastAsiaTheme="minorEastAsia" w:hAnsiTheme="minorHAnsi" w:cstheme="minorBidi"/>
          <w:noProof/>
          <w:sz w:val="22"/>
          <w:szCs w:val="22"/>
          <w:lang w:val="pl-PL" w:eastAsia="pl-PL"/>
        </w:rPr>
      </w:pPr>
      <w:hyperlink w:anchor="_Toc46391720" w:history="1">
        <w:r w:rsidR="007F2E23" w:rsidRPr="00E57840">
          <w:rPr>
            <w:rStyle w:val="Hipercze"/>
            <w:noProof/>
            <w:lang w:val="fr-BE"/>
          </w:rPr>
          <w:t>Tabela 3A: Wspólne i specyficzne dla danego programu wskaźniki produktu dla EFRR i Funduszu Spójności (wg osi priorytetowej, priorytetu inwestycyjnego, w podziale na kategorię regionu dla celów EFRR) - 5 / 7d</w:t>
        </w:r>
        <w:r w:rsidR="007F2E23">
          <w:rPr>
            <w:noProof/>
            <w:webHidden/>
          </w:rPr>
          <w:tab/>
        </w:r>
        <w:r w:rsidR="007F2E23">
          <w:rPr>
            <w:noProof/>
            <w:webHidden/>
          </w:rPr>
          <w:fldChar w:fldCharType="begin"/>
        </w:r>
        <w:r w:rsidR="007F2E23">
          <w:rPr>
            <w:noProof/>
            <w:webHidden/>
          </w:rPr>
          <w:instrText xml:space="preserve"> PAGEREF _Toc46391720 \h </w:instrText>
        </w:r>
        <w:r w:rsidR="007F2E23">
          <w:rPr>
            <w:noProof/>
            <w:webHidden/>
          </w:rPr>
        </w:r>
        <w:r w:rsidR="007F2E23">
          <w:rPr>
            <w:noProof/>
            <w:webHidden/>
          </w:rPr>
          <w:fldChar w:fldCharType="separate"/>
        </w:r>
        <w:r w:rsidR="007F2E23">
          <w:rPr>
            <w:noProof/>
            <w:webHidden/>
          </w:rPr>
          <w:t>83</w:t>
        </w:r>
        <w:r w:rsidR="007F2E23">
          <w:rPr>
            <w:noProof/>
            <w:webHidden/>
          </w:rPr>
          <w:fldChar w:fldCharType="end"/>
        </w:r>
      </w:hyperlink>
    </w:p>
    <w:p w14:paraId="2AA6D411" w14:textId="4530D8D9" w:rsidR="007F2E23" w:rsidRDefault="002E7197">
      <w:pPr>
        <w:pStyle w:val="Spistreci2"/>
        <w:tabs>
          <w:tab w:val="right" w:leader="dot" w:pos="9911"/>
        </w:tabs>
        <w:rPr>
          <w:rFonts w:asciiTheme="minorHAnsi" w:eastAsiaTheme="minorEastAsia" w:hAnsiTheme="minorHAnsi" w:cstheme="minorBidi"/>
          <w:noProof/>
          <w:sz w:val="22"/>
          <w:szCs w:val="22"/>
          <w:lang w:val="pl-PL" w:eastAsia="pl-PL"/>
        </w:rPr>
      </w:pPr>
      <w:hyperlink w:anchor="_Toc46391721" w:history="1">
        <w:r w:rsidR="007F2E23" w:rsidRPr="00E57840">
          <w:rPr>
            <w:rStyle w:val="Hipercze"/>
            <w:noProof/>
            <w:lang w:val="fr-BE"/>
          </w:rPr>
          <w:t>Tabela 3A: Wspólne i specyficzne dla danego programu wskaźniki produktu dla EFRR i Funduszu Spójności (wg osi priorytetowej, priorytetu inwestycyjnego, w podziale na kategorię regionu dla celów EFRR) - 6 / 4c</w:t>
        </w:r>
        <w:r w:rsidR="007F2E23">
          <w:rPr>
            <w:noProof/>
            <w:webHidden/>
          </w:rPr>
          <w:tab/>
        </w:r>
        <w:r w:rsidR="007F2E23">
          <w:rPr>
            <w:noProof/>
            <w:webHidden/>
          </w:rPr>
          <w:fldChar w:fldCharType="begin"/>
        </w:r>
        <w:r w:rsidR="007F2E23">
          <w:rPr>
            <w:noProof/>
            <w:webHidden/>
          </w:rPr>
          <w:instrText xml:space="preserve"> PAGEREF _Toc46391721 \h </w:instrText>
        </w:r>
        <w:r w:rsidR="007F2E23">
          <w:rPr>
            <w:noProof/>
            <w:webHidden/>
          </w:rPr>
        </w:r>
        <w:r w:rsidR="007F2E23">
          <w:rPr>
            <w:noProof/>
            <w:webHidden/>
          </w:rPr>
          <w:fldChar w:fldCharType="separate"/>
        </w:r>
        <w:r w:rsidR="007F2E23">
          <w:rPr>
            <w:noProof/>
            <w:webHidden/>
          </w:rPr>
          <w:t>85</w:t>
        </w:r>
        <w:r w:rsidR="007F2E23">
          <w:rPr>
            <w:noProof/>
            <w:webHidden/>
          </w:rPr>
          <w:fldChar w:fldCharType="end"/>
        </w:r>
      </w:hyperlink>
    </w:p>
    <w:p w14:paraId="5D2247EC" w14:textId="4D432A7B" w:rsidR="007F2E23" w:rsidRDefault="002E7197">
      <w:pPr>
        <w:pStyle w:val="Spistreci2"/>
        <w:tabs>
          <w:tab w:val="right" w:leader="dot" w:pos="9911"/>
        </w:tabs>
        <w:rPr>
          <w:rFonts w:asciiTheme="minorHAnsi" w:eastAsiaTheme="minorEastAsia" w:hAnsiTheme="minorHAnsi" w:cstheme="minorBidi"/>
          <w:noProof/>
          <w:sz w:val="22"/>
          <w:szCs w:val="22"/>
          <w:lang w:val="pl-PL" w:eastAsia="pl-PL"/>
        </w:rPr>
      </w:pPr>
      <w:hyperlink w:anchor="_Toc46391722" w:history="1">
        <w:r w:rsidR="007F2E23" w:rsidRPr="00E57840">
          <w:rPr>
            <w:rStyle w:val="Hipercze"/>
            <w:noProof/>
            <w:lang w:val="fr-BE"/>
          </w:rPr>
          <w:t>Tabela 3A: Wspólne i specyficzne dla danego programu wskaźniki produktu dla EFRR i Funduszu Spójności (wg osi priorytetowej, priorytetu inwestycyjnego, w podziale na kategorię regionu dla celów EFRR) - 6 / 4e</w:t>
        </w:r>
        <w:r w:rsidR="007F2E23">
          <w:rPr>
            <w:noProof/>
            <w:webHidden/>
          </w:rPr>
          <w:tab/>
        </w:r>
        <w:r w:rsidR="007F2E23">
          <w:rPr>
            <w:noProof/>
            <w:webHidden/>
          </w:rPr>
          <w:fldChar w:fldCharType="begin"/>
        </w:r>
        <w:r w:rsidR="007F2E23">
          <w:rPr>
            <w:noProof/>
            <w:webHidden/>
          </w:rPr>
          <w:instrText xml:space="preserve"> PAGEREF _Toc46391722 \h </w:instrText>
        </w:r>
        <w:r w:rsidR="007F2E23">
          <w:rPr>
            <w:noProof/>
            <w:webHidden/>
          </w:rPr>
        </w:r>
        <w:r w:rsidR="007F2E23">
          <w:rPr>
            <w:noProof/>
            <w:webHidden/>
          </w:rPr>
          <w:fldChar w:fldCharType="separate"/>
        </w:r>
        <w:r w:rsidR="007F2E23">
          <w:rPr>
            <w:noProof/>
            <w:webHidden/>
          </w:rPr>
          <w:t>88</w:t>
        </w:r>
        <w:r w:rsidR="007F2E23">
          <w:rPr>
            <w:noProof/>
            <w:webHidden/>
          </w:rPr>
          <w:fldChar w:fldCharType="end"/>
        </w:r>
      </w:hyperlink>
    </w:p>
    <w:p w14:paraId="072E07F9" w14:textId="1F83DAEF" w:rsidR="007F2E23" w:rsidRDefault="002E7197">
      <w:pPr>
        <w:pStyle w:val="Spistreci2"/>
        <w:tabs>
          <w:tab w:val="right" w:leader="dot" w:pos="9911"/>
        </w:tabs>
        <w:rPr>
          <w:rFonts w:asciiTheme="minorHAnsi" w:eastAsiaTheme="minorEastAsia" w:hAnsiTheme="minorHAnsi" w:cstheme="minorBidi"/>
          <w:noProof/>
          <w:sz w:val="22"/>
          <w:szCs w:val="22"/>
          <w:lang w:val="pl-PL" w:eastAsia="pl-PL"/>
        </w:rPr>
      </w:pPr>
      <w:hyperlink w:anchor="_Toc46391723" w:history="1">
        <w:r w:rsidR="007F2E23" w:rsidRPr="00E57840">
          <w:rPr>
            <w:rStyle w:val="Hipercze"/>
            <w:noProof/>
            <w:lang w:val="fr-BE"/>
          </w:rPr>
          <w:t>Tabela 3A: Wspólne i specyficzne dla danego programu wskaźniki produktu dla EFRR i Funduszu Spójności (wg osi priorytetowej, priorytetu inwestycyjnego, w podziale na kategorię regionu dla celów EFRR) - 6 / 6d</w:t>
        </w:r>
        <w:r w:rsidR="007F2E23">
          <w:rPr>
            <w:noProof/>
            <w:webHidden/>
          </w:rPr>
          <w:tab/>
        </w:r>
        <w:r w:rsidR="007F2E23">
          <w:rPr>
            <w:noProof/>
            <w:webHidden/>
          </w:rPr>
          <w:fldChar w:fldCharType="begin"/>
        </w:r>
        <w:r w:rsidR="007F2E23">
          <w:rPr>
            <w:noProof/>
            <w:webHidden/>
          </w:rPr>
          <w:instrText xml:space="preserve"> PAGEREF _Toc46391723 \h </w:instrText>
        </w:r>
        <w:r w:rsidR="007F2E23">
          <w:rPr>
            <w:noProof/>
            <w:webHidden/>
          </w:rPr>
        </w:r>
        <w:r w:rsidR="007F2E23">
          <w:rPr>
            <w:noProof/>
            <w:webHidden/>
          </w:rPr>
          <w:fldChar w:fldCharType="separate"/>
        </w:r>
        <w:r w:rsidR="007F2E23">
          <w:rPr>
            <w:noProof/>
            <w:webHidden/>
          </w:rPr>
          <w:t>91</w:t>
        </w:r>
        <w:r w:rsidR="007F2E23">
          <w:rPr>
            <w:noProof/>
            <w:webHidden/>
          </w:rPr>
          <w:fldChar w:fldCharType="end"/>
        </w:r>
      </w:hyperlink>
    </w:p>
    <w:p w14:paraId="0BF489C4" w14:textId="74AC9638" w:rsidR="007F2E23" w:rsidRDefault="002E7197">
      <w:pPr>
        <w:pStyle w:val="Spistreci2"/>
        <w:tabs>
          <w:tab w:val="right" w:leader="dot" w:pos="9911"/>
        </w:tabs>
        <w:rPr>
          <w:rFonts w:asciiTheme="minorHAnsi" w:eastAsiaTheme="minorEastAsia" w:hAnsiTheme="minorHAnsi" w:cstheme="minorBidi"/>
          <w:noProof/>
          <w:sz w:val="22"/>
          <w:szCs w:val="22"/>
          <w:lang w:val="pl-PL" w:eastAsia="pl-PL"/>
        </w:rPr>
      </w:pPr>
      <w:hyperlink w:anchor="_Toc46391724" w:history="1">
        <w:r w:rsidR="007F2E23" w:rsidRPr="00E57840">
          <w:rPr>
            <w:rStyle w:val="Hipercze"/>
            <w:noProof/>
            <w:lang w:val="fr-BE"/>
          </w:rPr>
          <w:t>Tabela 3A: Wspólne i specyficzne dla danego programu wskaźniki produktu dla EFRR i Funduszu Spójności (wg osi priorytetowej, priorytetu inwestycyjnego, w podziale na kategorię regionu dla celów EFRR) - 6 / 7b</w:t>
        </w:r>
        <w:r w:rsidR="007F2E23">
          <w:rPr>
            <w:noProof/>
            <w:webHidden/>
          </w:rPr>
          <w:tab/>
        </w:r>
        <w:r w:rsidR="007F2E23">
          <w:rPr>
            <w:noProof/>
            <w:webHidden/>
          </w:rPr>
          <w:fldChar w:fldCharType="begin"/>
        </w:r>
        <w:r w:rsidR="007F2E23">
          <w:rPr>
            <w:noProof/>
            <w:webHidden/>
          </w:rPr>
          <w:instrText xml:space="preserve"> PAGEREF _Toc46391724 \h </w:instrText>
        </w:r>
        <w:r w:rsidR="007F2E23">
          <w:rPr>
            <w:noProof/>
            <w:webHidden/>
          </w:rPr>
        </w:r>
        <w:r w:rsidR="007F2E23">
          <w:rPr>
            <w:noProof/>
            <w:webHidden/>
          </w:rPr>
          <w:fldChar w:fldCharType="separate"/>
        </w:r>
        <w:r w:rsidR="007F2E23">
          <w:rPr>
            <w:noProof/>
            <w:webHidden/>
          </w:rPr>
          <w:t>93</w:t>
        </w:r>
        <w:r w:rsidR="007F2E23">
          <w:rPr>
            <w:noProof/>
            <w:webHidden/>
          </w:rPr>
          <w:fldChar w:fldCharType="end"/>
        </w:r>
      </w:hyperlink>
    </w:p>
    <w:p w14:paraId="3F55E16B" w14:textId="60C50F94" w:rsidR="007F2E23" w:rsidRDefault="002E7197">
      <w:pPr>
        <w:pStyle w:val="Spistreci2"/>
        <w:tabs>
          <w:tab w:val="right" w:leader="dot" w:pos="9911"/>
        </w:tabs>
        <w:rPr>
          <w:rFonts w:asciiTheme="minorHAnsi" w:eastAsiaTheme="minorEastAsia" w:hAnsiTheme="minorHAnsi" w:cstheme="minorBidi"/>
          <w:noProof/>
          <w:sz w:val="22"/>
          <w:szCs w:val="22"/>
          <w:lang w:val="pl-PL" w:eastAsia="pl-PL"/>
        </w:rPr>
      </w:pPr>
      <w:hyperlink w:anchor="_Toc46391725" w:history="1">
        <w:r w:rsidR="007F2E23" w:rsidRPr="00E57840">
          <w:rPr>
            <w:rStyle w:val="Hipercze"/>
            <w:noProof/>
            <w:lang w:val="fr-BE"/>
          </w:rPr>
          <w:t>Tabela 3A: Wspólne i specyficzne dla danego programu wskaźniki produktu dla EFRR i Funduszu Spójności (wg osi priorytetowej, priorytetu inwestycyjnego, w podziale na kategorię regionu dla celów EFRR) - 6 / 9b</w:t>
        </w:r>
        <w:r w:rsidR="007F2E23">
          <w:rPr>
            <w:noProof/>
            <w:webHidden/>
          </w:rPr>
          <w:tab/>
        </w:r>
        <w:r w:rsidR="007F2E23">
          <w:rPr>
            <w:noProof/>
            <w:webHidden/>
          </w:rPr>
          <w:fldChar w:fldCharType="begin"/>
        </w:r>
        <w:r w:rsidR="007F2E23">
          <w:rPr>
            <w:noProof/>
            <w:webHidden/>
          </w:rPr>
          <w:instrText xml:space="preserve"> PAGEREF _Toc46391725 \h </w:instrText>
        </w:r>
        <w:r w:rsidR="007F2E23">
          <w:rPr>
            <w:noProof/>
            <w:webHidden/>
          </w:rPr>
        </w:r>
        <w:r w:rsidR="007F2E23">
          <w:rPr>
            <w:noProof/>
            <w:webHidden/>
          </w:rPr>
          <w:fldChar w:fldCharType="separate"/>
        </w:r>
        <w:r w:rsidR="007F2E23">
          <w:rPr>
            <w:noProof/>
            <w:webHidden/>
          </w:rPr>
          <w:t>95</w:t>
        </w:r>
        <w:r w:rsidR="007F2E23">
          <w:rPr>
            <w:noProof/>
            <w:webHidden/>
          </w:rPr>
          <w:fldChar w:fldCharType="end"/>
        </w:r>
      </w:hyperlink>
    </w:p>
    <w:p w14:paraId="5CB5AF12" w14:textId="644F52B4" w:rsidR="007F2E23" w:rsidRDefault="002E7197">
      <w:pPr>
        <w:pStyle w:val="Spistreci2"/>
        <w:tabs>
          <w:tab w:val="right" w:leader="dot" w:pos="9911"/>
        </w:tabs>
        <w:rPr>
          <w:rFonts w:asciiTheme="minorHAnsi" w:eastAsiaTheme="minorEastAsia" w:hAnsiTheme="minorHAnsi" w:cstheme="minorBidi"/>
          <w:noProof/>
          <w:sz w:val="22"/>
          <w:szCs w:val="22"/>
          <w:lang w:val="pl-PL" w:eastAsia="pl-PL"/>
        </w:rPr>
      </w:pPr>
      <w:hyperlink w:anchor="_Toc46391726" w:history="1">
        <w:r w:rsidR="007F2E23" w:rsidRPr="00E57840">
          <w:rPr>
            <w:rStyle w:val="Hipercze"/>
            <w:noProof/>
            <w:lang w:val="fr-BE"/>
          </w:rPr>
          <w:t>Tabela 3A: Wspólne i specyficzne dla danego programu wskaźniki produktu dla EFRR i Funduszu Spójności (wg osi priorytetowej, priorytetu inwestycyjnego, w podziale na kategorię regionu dla celów EFRR) - 6 / 10a</w:t>
        </w:r>
        <w:r w:rsidR="007F2E23">
          <w:rPr>
            <w:noProof/>
            <w:webHidden/>
          </w:rPr>
          <w:tab/>
        </w:r>
        <w:r w:rsidR="007F2E23">
          <w:rPr>
            <w:noProof/>
            <w:webHidden/>
          </w:rPr>
          <w:fldChar w:fldCharType="begin"/>
        </w:r>
        <w:r w:rsidR="007F2E23">
          <w:rPr>
            <w:noProof/>
            <w:webHidden/>
          </w:rPr>
          <w:instrText xml:space="preserve"> PAGEREF _Toc46391726 \h </w:instrText>
        </w:r>
        <w:r w:rsidR="007F2E23">
          <w:rPr>
            <w:noProof/>
            <w:webHidden/>
          </w:rPr>
        </w:r>
        <w:r w:rsidR="007F2E23">
          <w:rPr>
            <w:noProof/>
            <w:webHidden/>
          </w:rPr>
          <w:fldChar w:fldCharType="separate"/>
        </w:r>
        <w:r w:rsidR="007F2E23">
          <w:rPr>
            <w:noProof/>
            <w:webHidden/>
          </w:rPr>
          <w:t>98</w:t>
        </w:r>
        <w:r w:rsidR="007F2E23">
          <w:rPr>
            <w:noProof/>
            <w:webHidden/>
          </w:rPr>
          <w:fldChar w:fldCharType="end"/>
        </w:r>
      </w:hyperlink>
    </w:p>
    <w:p w14:paraId="410A2047" w14:textId="175DD86C" w:rsidR="007F2E23" w:rsidRDefault="002E7197">
      <w:pPr>
        <w:pStyle w:val="Spistreci2"/>
        <w:tabs>
          <w:tab w:val="right" w:leader="dot" w:pos="9911"/>
        </w:tabs>
        <w:rPr>
          <w:rFonts w:asciiTheme="minorHAnsi" w:eastAsiaTheme="minorEastAsia" w:hAnsiTheme="minorHAnsi" w:cstheme="minorBidi"/>
          <w:noProof/>
          <w:sz w:val="22"/>
          <w:szCs w:val="22"/>
          <w:lang w:val="pl-PL" w:eastAsia="pl-PL"/>
        </w:rPr>
      </w:pPr>
      <w:hyperlink w:anchor="_Toc46391727" w:history="1">
        <w:r w:rsidR="007F2E23" w:rsidRPr="00E57840">
          <w:rPr>
            <w:rStyle w:val="Hipercze"/>
            <w:noProof/>
            <w:lang w:val="fr-BE"/>
          </w:rPr>
          <w:t>Tabela 3A: Wspólne i specyficzne dla danego programu wskaźniki produktu dla EFRR i Funduszu Spójności (wg osi priorytetowej, priorytetu inwestycyjnego, w podziale na kategorię regionu dla celów EFRR) - 7 / 2c</w:t>
        </w:r>
        <w:r w:rsidR="007F2E23">
          <w:rPr>
            <w:noProof/>
            <w:webHidden/>
          </w:rPr>
          <w:tab/>
        </w:r>
        <w:r w:rsidR="007F2E23">
          <w:rPr>
            <w:noProof/>
            <w:webHidden/>
          </w:rPr>
          <w:fldChar w:fldCharType="begin"/>
        </w:r>
        <w:r w:rsidR="007F2E23">
          <w:rPr>
            <w:noProof/>
            <w:webHidden/>
          </w:rPr>
          <w:instrText xml:space="preserve"> PAGEREF _Toc46391727 \h </w:instrText>
        </w:r>
        <w:r w:rsidR="007F2E23">
          <w:rPr>
            <w:noProof/>
            <w:webHidden/>
          </w:rPr>
        </w:r>
        <w:r w:rsidR="007F2E23">
          <w:rPr>
            <w:noProof/>
            <w:webHidden/>
          </w:rPr>
          <w:fldChar w:fldCharType="separate"/>
        </w:r>
        <w:r w:rsidR="007F2E23">
          <w:rPr>
            <w:noProof/>
            <w:webHidden/>
          </w:rPr>
          <w:t>100</w:t>
        </w:r>
        <w:r w:rsidR="007F2E23">
          <w:rPr>
            <w:noProof/>
            <w:webHidden/>
          </w:rPr>
          <w:fldChar w:fldCharType="end"/>
        </w:r>
      </w:hyperlink>
    </w:p>
    <w:p w14:paraId="3C851C5C" w14:textId="6D13D199" w:rsidR="007F2E23" w:rsidRDefault="002E7197">
      <w:pPr>
        <w:pStyle w:val="Spistreci2"/>
        <w:tabs>
          <w:tab w:val="right" w:leader="dot" w:pos="9911"/>
        </w:tabs>
        <w:rPr>
          <w:rFonts w:asciiTheme="minorHAnsi" w:eastAsiaTheme="minorEastAsia" w:hAnsiTheme="minorHAnsi" w:cstheme="minorBidi"/>
          <w:noProof/>
          <w:sz w:val="22"/>
          <w:szCs w:val="22"/>
          <w:lang w:val="pl-PL" w:eastAsia="pl-PL"/>
        </w:rPr>
      </w:pPr>
      <w:hyperlink w:anchor="_Toc46391728" w:history="1">
        <w:r w:rsidR="007F2E23" w:rsidRPr="00E57840">
          <w:rPr>
            <w:rStyle w:val="Hipercze"/>
            <w:noProof/>
            <w:lang w:val="fr-BE"/>
          </w:rPr>
          <w:t>Tabela 3A: Wspólne i specyficzne dla danego programu wskaźniki produktu dla EFRR i Funduszu Spójności (wg osi priorytetowej, priorytetu inwestycyjnego, w podziale na kategorię regionu dla celów EFRR) - 7 / 8b</w:t>
        </w:r>
        <w:r w:rsidR="007F2E23">
          <w:rPr>
            <w:noProof/>
            <w:webHidden/>
          </w:rPr>
          <w:tab/>
        </w:r>
        <w:r w:rsidR="007F2E23">
          <w:rPr>
            <w:noProof/>
            <w:webHidden/>
          </w:rPr>
          <w:fldChar w:fldCharType="begin"/>
        </w:r>
        <w:r w:rsidR="007F2E23">
          <w:rPr>
            <w:noProof/>
            <w:webHidden/>
          </w:rPr>
          <w:instrText xml:space="preserve"> PAGEREF _Toc46391728 \h </w:instrText>
        </w:r>
        <w:r w:rsidR="007F2E23">
          <w:rPr>
            <w:noProof/>
            <w:webHidden/>
          </w:rPr>
        </w:r>
        <w:r w:rsidR="007F2E23">
          <w:rPr>
            <w:noProof/>
            <w:webHidden/>
          </w:rPr>
          <w:fldChar w:fldCharType="separate"/>
        </w:r>
        <w:r w:rsidR="007F2E23">
          <w:rPr>
            <w:noProof/>
            <w:webHidden/>
          </w:rPr>
          <w:t>103</w:t>
        </w:r>
        <w:r w:rsidR="007F2E23">
          <w:rPr>
            <w:noProof/>
            <w:webHidden/>
          </w:rPr>
          <w:fldChar w:fldCharType="end"/>
        </w:r>
      </w:hyperlink>
    </w:p>
    <w:p w14:paraId="599DC3B9" w14:textId="4AD1CCBD" w:rsidR="007F2E23" w:rsidRDefault="002E7197">
      <w:pPr>
        <w:pStyle w:val="Spistreci2"/>
        <w:tabs>
          <w:tab w:val="right" w:leader="dot" w:pos="9911"/>
        </w:tabs>
        <w:rPr>
          <w:rFonts w:asciiTheme="minorHAnsi" w:eastAsiaTheme="minorEastAsia" w:hAnsiTheme="minorHAnsi" w:cstheme="minorBidi"/>
          <w:noProof/>
          <w:sz w:val="22"/>
          <w:szCs w:val="22"/>
          <w:lang w:val="pl-PL" w:eastAsia="pl-PL"/>
        </w:rPr>
      </w:pPr>
      <w:hyperlink w:anchor="_Toc46391729" w:history="1">
        <w:r w:rsidR="007F2E23" w:rsidRPr="00E57840">
          <w:rPr>
            <w:rStyle w:val="Hipercze"/>
            <w:noProof/>
            <w:lang w:val="fr-BE"/>
          </w:rPr>
          <w:t>Tabela 3A: Wspólne i specyficzne dla danego programu wskaźniki produktu dla EFRR i Funduszu Spójności (wg osi priorytetowej, priorytetu inwestycyjnego, w podziale na kategorię regionu dla celów EFRR) - 7 / 9a</w:t>
        </w:r>
        <w:r w:rsidR="007F2E23">
          <w:rPr>
            <w:noProof/>
            <w:webHidden/>
          </w:rPr>
          <w:tab/>
        </w:r>
        <w:r w:rsidR="007F2E23">
          <w:rPr>
            <w:noProof/>
            <w:webHidden/>
          </w:rPr>
          <w:fldChar w:fldCharType="begin"/>
        </w:r>
        <w:r w:rsidR="007F2E23">
          <w:rPr>
            <w:noProof/>
            <w:webHidden/>
          </w:rPr>
          <w:instrText xml:space="preserve"> PAGEREF _Toc46391729 \h </w:instrText>
        </w:r>
        <w:r w:rsidR="007F2E23">
          <w:rPr>
            <w:noProof/>
            <w:webHidden/>
          </w:rPr>
        </w:r>
        <w:r w:rsidR="007F2E23">
          <w:rPr>
            <w:noProof/>
            <w:webHidden/>
          </w:rPr>
          <w:fldChar w:fldCharType="separate"/>
        </w:r>
        <w:r w:rsidR="007F2E23">
          <w:rPr>
            <w:noProof/>
            <w:webHidden/>
          </w:rPr>
          <w:t>106</w:t>
        </w:r>
        <w:r w:rsidR="007F2E23">
          <w:rPr>
            <w:noProof/>
            <w:webHidden/>
          </w:rPr>
          <w:fldChar w:fldCharType="end"/>
        </w:r>
      </w:hyperlink>
    </w:p>
    <w:p w14:paraId="146A62EE" w14:textId="09933D0B" w:rsidR="007F2E23" w:rsidRDefault="002E7197">
      <w:pPr>
        <w:pStyle w:val="Spistreci2"/>
        <w:tabs>
          <w:tab w:val="right" w:leader="dot" w:pos="9911"/>
        </w:tabs>
        <w:rPr>
          <w:rFonts w:asciiTheme="minorHAnsi" w:eastAsiaTheme="minorEastAsia" w:hAnsiTheme="minorHAnsi" w:cstheme="minorBidi"/>
          <w:noProof/>
          <w:sz w:val="22"/>
          <w:szCs w:val="22"/>
          <w:lang w:val="pl-PL" w:eastAsia="pl-PL"/>
        </w:rPr>
      </w:pPr>
      <w:hyperlink w:anchor="_Toc46391730" w:history="1">
        <w:r w:rsidR="007F2E23" w:rsidRPr="00E57840">
          <w:rPr>
            <w:rStyle w:val="Hipercze"/>
            <w:noProof/>
            <w:lang w:val="fr-BE"/>
          </w:rPr>
          <w:t>Tabela 3A: Wspólne i specyficzne dla danego programu wskaźniki produktu dla EFRR i Funduszu Spójności (wg osi priorytetowej, priorytetu inwestycyjnego, w podziale na kategorię regionu dla celów EFRR) - 7 / 10a</w:t>
        </w:r>
        <w:r w:rsidR="007F2E23">
          <w:rPr>
            <w:noProof/>
            <w:webHidden/>
          </w:rPr>
          <w:tab/>
        </w:r>
        <w:r w:rsidR="007F2E23">
          <w:rPr>
            <w:noProof/>
            <w:webHidden/>
          </w:rPr>
          <w:fldChar w:fldCharType="begin"/>
        </w:r>
        <w:r w:rsidR="007F2E23">
          <w:rPr>
            <w:noProof/>
            <w:webHidden/>
          </w:rPr>
          <w:instrText xml:space="preserve"> PAGEREF _Toc46391730 \h </w:instrText>
        </w:r>
        <w:r w:rsidR="007F2E23">
          <w:rPr>
            <w:noProof/>
            <w:webHidden/>
          </w:rPr>
        </w:r>
        <w:r w:rsidR="007F2E23">
          <w:rPr>
            <w:noProof/>
            <w:webHidden/>
          </w:rPr>
          <w:fldChar w:fldCharType="separate"/>
        </w:r>
        <w:r w:rsidR="007F2E23">
          <w:rPr>
            <w:noProof/>
            <w:webHidden/>
          </w:rPr>
          <w:t>110</w:t>
        </w:r>
        <w:r w:rsidR="007F2E23">
          <w:rPr>
            <w:noProof/>
            <w:webHidden/>
          </w:rPr>
          <w:fldChar w:fldCharType="end"/>
        </w:r>
      </w:hyperlink>
    </w:p>
    <w:p w14:paraId="50620C51" w14:textId="52885122" w:rsidR="007F2E23" w:rsidRDefault="002E7197">
      <w:pPr>
        <w:pStyle w:val="Spistreci2"/>
        <w:tabs>
          <w:tab w:val="right" w:leader="dot" w:pos="9911"/>
        </w:tabs>
        <w:rPr>
          <w:rFonts w:asciiTheme="minorHAnsi" w:eastAsiaTheme="minorEastAsia" w:hAnsiTheme="minorHAnsi" w:cstheme="minorBidi"/>
          <w:noProof/>
          <w:sz w:val="22"/>
          <w:szCs w:val="22"/>
          <w:lang w:val="pl-PL" w:eastAsia="pl-PL"/>
        </w:rPr>
      </w:pPr>
      <w:hyperlink w:anchor="_Toc46391731" w:history="1">
        <w:r w:rsidR="007F2E23" w:rsidRPr="00E57840">
          <w:rPr>
            <w:rStyle w:val="Hipercze"/>
            <w:noProof/>
          </w:rPr>
          <w:t xml:space="preserve">Tabela 2A : Wspólne wskaźniki rezultatu dla EFS (z podziałem na oś priorytetową, priorytet inwestycyjny i kategorię regionu) Dane na temat wszystkich wspólnych wskaźników rezultatu dla EFS (z wartością docelową i bez) przedstawia się w sprawozdaniu w podziale na płeć. W przypadku osi priorytetowej "Pomoc techniczna w sprawozdaniu przedstawia się jedynie te wskaźniki wspólne, w odniesieniu do których ustanowiono wartość docelową. - </w:t>
        </w:r>
        <w:r w:rsidR="007F2E23" w:rsidRPr="00E57840">
          <w:rPr>
            <w:rStyle w:val="Hipercze"/>
            <w:noProof/>
            <w:lang w:val="fr-BE"/>
          </w:rPr>
          <w:t>8 / 8iv</w:t>
        </w:r>
        <w:r w:rsidR="007F2E23">
          <w:rPr>
            <w:noProof/>
            <w:webHidden/>
          </w:rPr>
          <w:tab/>
        </w:r>
        <w:r w:rsidR="007F2E23">
          <w:rPr>
            <w:noProof/>
            <w:webHidden/>
          </w:rPr>
          <w:fldChar w:fldCharType="begin"/>
        </w:r>
        <w:r w:rsidR="007F2E23">
          <w:rPr>
            <w:noProof/>
            <w:webHidden/>
          </w:rPr>
          <w:instrText xml:space="preserve"> PAGEREF _Toc46391731 \h </w:instrText>
        </w:r>
        <w:r w:rsidR="007F2E23">
          <w:rPr>
            <w:noProof/>
            <w:webHidden/>
          </w:rPr>
        </w:r>
        <w:r w:rsidR="007F2E23">
          <w:rPr>
            <w:noProof/>
            <w:webHidden/>
          </w:rPr>
          <w:fldChar w:fldCharType="separate"/>
        </w:r>
        <w:r w:rsidR="007F2E23">
          <w:rPr>
            <w:noProof/>
            <w:webHidden/>
          </w:rPr>
          <w:t>115</w:t>
        </w:r>
        <w:r w:rsidR="007F2E23">
          <w:rPr>
            <w:noProof/>
            <w:webHidden/>
          </w:rPr>
          <w:fldChar w:fldCharType="end"/>
        </w:r>
      </w:hyperlink>
    </w:p>
    <w:p w14:paraId="5C7F60AE" w14:textId="32B9D230" w:rsidR="007F2E23" w:rsidRDefault="002E7197">
      <w:pPr>
        <w:pStyle w:val="Spistreci2"/>
        <w:tabs>
          <w:tab w:val="right" w:leader="dot" w:pos="9911"/>
        </w:tabs>
        <w:rPr>
          <w:rFonts w:asciiTheme="minorHAnsi" w:eastAsiaTheme="minorEastAsia" w:hAnsiTheme="minorHAnsi" w:cstheme="minorBidi"/>
          <w:noProof/>
          <w:sz w:val="22"/>
          <w:szCs w:val="22"/>
          <w:lang w:val="pl-PL" w:eastAsia="pl-PL"/>
        </w:rPr>
      </w:pPr>
      <w:hyperlink w:anchor="_Toc46391732" w:history="1">
        <w:r w:rsidR="007F2E23" w:rsidRPr="00E57840">
          <w:rPr>
            <w:rStyle w:val="Hipercze"/>
            <w:noProof/>
            <w:lang w:val="fr-BE"/>
          </w:rPr>
          <w:t>Tabela 2C : Specyficzne dla programu wskaźniki rezultatu dla EFS oraz Inicjatywy na rzecz zatrudnienia ludzi młodych</w:t>
        </w:r>
        <w:r w:rsidR="007F2E23">
          <w:rPr>
            <w:noProof/>
            <w:webHidden/>
          </w:rPr>
          <w:tab/>
        </w:r>
        <w:r w:rsidR="007F2E23">
          <w:rPr>
            <w:noProof/>
            <w:webHidden/>
          </w:rPr>
          <w:fldChar w:fldCharType="begin"/>
        </w:r>
        <w:r w:rsidR="007F2E23">
          <w:rPr>
            <w:noProof/>
            <w:webHidden/>
          </w:rPr>
          <w:instrText xml:space="preserve"> PAGEREF _Toc46391732 \h </w:instrText>
        </w:r>
        <w:r w:rsidR="007F2E23">
          <w:rPr>
            <w:noProof/>
            <w:webHidden/>
          </w:rPr>
        </w:r>
        <w:r w:rsidR="007F2E23">
          <w:rPr>
            <w:noProof/>
            <w:webHidden/>
          </w:rPr>
          <w:fldChar w:fldCharType="separate"/>
        </w:r>
        <w:r w:rsidR="007F2E23">
          <w:rPr>
            <w:noProof/>
            <w:webHidden/>
          </w:rPr>
          <w:t>116</w:t>
        </w:r>
        <w:r w:rsidR="007F2E23">
          <w:rPr>
            <w:noProof/>
            <w:webHidden/>
          </w:rPr>
          <w:fldChar w:fldCharType="end"/>
        </w:r>
      </w:hyperlink>
    </w:p>
    <w:p w14:paraId="1DACEA93" w14:textId="3FE85CFE" w:rsidR="007F2E23" w:rsidRDefault="002E7197">
      <w:pPr>
        <w:pStyle w:val="Spistreci2"/>
        <w:tabs>
          <w:tab w:val="right" w:leader="dot" w:pos="9911"/>
        </w:tabs>
        <w:rPr>
          <w:rFonts w:asciiTheme="minorHAnsi" w:eastAsiaTheme="minorEastAsia" w:hAnsiTheme="minorHAnsi" w:cstheme="minorBidi"/>
          <w:noProof/>
          <w:sz w:val="22"/>
          <w:szCs w:val="22"/>
          <w:lang w:val="pl-PL" w:eastAsia="pl-PL"/>
        </w:rPr>
      </w:pPr>
      <w:hyperlink w:anchor="_Toc46391733" w:history="1">
        <w:r w:rsidR="007F2E23" w:rsidRPr="00E57840">
          <w:rPr>
            <w:rStyle w:val="Hipercze"/>
            <w:noProof/>
            <w:lang w:val="fr-BE"/>
          </w:rPr>
          <w:t>Tabela 4A</w:t>
        </w:r>
        <w:r w:rsidR="007F2E23" w:rsidRPr="00E57840">
          <w:rPr>
            <w:rStyle w:val="Hipercze"/>
            <w:noProof/>
          </w:rPr>
          <w:t xml:space="preserve"> : </w:t>
        </w:r>
        <w:r w:rsidR="007F2E23" w:rsidRPr="00E57840">
          <w:rPr>
            <w:rStyle w:val="Hipercze"/>
            <w:noProof/>
            <w:lang w:val="fr-BE"/>
          </w:rPr>
          <w:t>Wspólne wskaźniki produktu dla EFS oraz Inicjatywy na rzecz zatrudnienia ludzi młodych</w:t>
        </w:r>
        <w:r w:rsidR="007F2E23" w:rsidRPr="00E57840">
          <w:rPr>
            <w:rStyle w:val="Hipercze"/>
            <w:noProof/>
          </w:rPr>
          <w:t xml:space="preserve"> - </w:t>
        </w:r>
        <w:r w:rsidR="007F2E23" w:rsidRPr="00E57840">
          <w:rPr>
            <w:rStyle w:val="Hipercze"/>
            <w:noProof/>
            <w:lang w:val="fr-BE"/>
          </w:rPr>
          <w:t>8 / 8iv</w:t>
        </w:r>
        <w:r w:rsidR="007F2E23">
          <w:rPr>
            <w:noProof/>
            <w:webHidden/>
          </w:rPr>
          <w:tab/>
        </w:r>
        <w:r w:rsidR="007F2E23">
          <w:rPr>
            <w:noProof/>
            <w:webHidden/>
          </w:rPr>
          <w:fldChar w:fldCharType="begin"/>
        </w:r>
        <w:r w:rsidR="007F2E23">
          <w:rPr>
            <w:noProof/>
            <w:webHidden/>
          </w:rPr>
          <w:instrText xml:space="preserve"> PAGEREF _Toc46391733 \h </w:instrText>
        </w:r>
        <w:r w:rsidR="007F2E23">
          <w:rPr>
            <w:noProof/>
            <w:webHidden/>
          </w:rPr>
        </w:r>
        <w:r w:rsidR="007F2E23">
          <w:rPr>
            <w:noProof/>
            <w:webHidden/>
          </w:rPr>
          <w:fldChar w:fldCharType="separate"/>
        </w:r>
        <w:r w:rsidR="007F2E23">
          <w:rPr>
            <w:noProof/>
            <w:webHidden/>
          </w:rPr>
          <w:t>117</w:t>
        </w:r>
        <w:r w:rsidR="007F2E23">
          <w:rPr>
            <w:noProof/>
            <w:webHidden/>
          </w:rPr>
          <w:fldChar w:fldCharType="end"/>
        </w:r>
      </w:hyperlink>
    </w:p>
    <w:p w14:paraId="0DAFCA72" w14:textId="24603A6C" w:rsidR="007F2E23" w:rsidRDefault="002E7197">
      <w:pPr>
        <w:pStyle w:val="Spistreci2"/>
        <w:tabs>
          <w:tab w:val="right" w:leader="dot" w:pos="9911"/>
        </w:tabs>
        <w:rPr>
          <w:rFonts w:asciiTheme="minorHAnsi" w:eastAsiaTheme="minorEastAsia" w:hAnsiTheme="minorHAnsi" w:cstheme="minorBidi"/>
          <w:noProof/>
          <w:sz w:val="22"/>
          <w:szCs w:val="22"/>
          <w:lang w:val="pl-PL" w:eastAsia="pl-PL"/>
        </w:rPr>
      </w:pPr>
      <w:hyperlink w:anchor="_Toc46391734" w:history="1">
        <w:r w:rsidR="007F2E23" w:rsidRPr="00E57840">
          <w:rPr>
            <w:rStyle w:val="Hipercze"/>
            <w:noProof/>
            <w:lang w:val="fr-BE"/>
          </w:rPr>
          <w:t>Tabela 4B Specyficzne dla programu wskaźniki produktu dla EFS oraz Inicjatywy na rzecz zatrudnienia ludzi młodych</w:t>
        </w:r>
        <w:r w:rsidR="007F2E23" w:rsidRPr="00E57840">
          <w:rPr>
            <w:rStyle w:val="Hipercze"/>
            <w:noProof/>
          </w:rPr>
          <w:t xml:space="preserve"> - </w:t>
        </w:r>
        <w:r w:rsidR="007F2E23" w:rsidRPr="00E57840">
          <w:rPr>
            <w:rStyle w:val="Hipercze"/>
            <w:noProof/>
            <w:lang w:val="fr-BE"/>
          </w:rPr>
          <w:t>8</w:t>
        </w:r>
        <w:r w:rsidR="007F2E23">
          <w:rPr>
            <w:noProof/>
            <w:webHidden/>
          </w:rPr>
          <w:tab/>
        </w:r>
        <w:r w:rsidR="007F2E23">
          <w:rPr>
            <w:noProof/>
            <w:webHidden/>
          </w:rPr>
          <w:fldChar w:fldCharType="begin"/>
        </w:r>
        <w:r w:rsidR="007F2E23">
          <w:rPr>
            <w:noProof/>
            <w:webHidden/>
          </w:rPr>
          <w:instrText xml:space="preserve"> PAGEREF _Toc46391734 \h </w:instrText>
        </w:r>
        <w:r w:rsidR="007F2E23">
          <w:rPr>
            <w:noProof/>
            <w:webHidden/>
          </w:rPr>
        </w:r>
        <w:r w:rsidR="007F2E23">
          <w:rPr>
            <w:noProof/>
            <w:webHidden/>
          </w:rPr>
          <w:fldChar w:fldCharType="separate"/>
        </w:r>
        <w:r w:rsidR="007F2E23">
          <w:rPr>
            <w:noProof/>
            <w:webHidden/>
          </w:rPr>
          <w:t>119</w:t>
        </w:r>
        <w:r w:rsidR="007F2E23">
          <w:rPr>
            <w:noProof/>
            <w:webHidden/>
          </w:rPr>
          <w:fldChar w:fldCharType="end"/>
        </w:r>
      </w:hyperlink>
    </w:p>
    <w:p w14:paraId="2BF61E01" w14:textId="602FD821" w:rsidR="007F2E23" w:rsidRDefault="002E7197">
      <w:pPr>
        <w:pStyle w:val="Spistreci2"/>
        <w:tabs>
          <w:tab w:val="right" w:leader="dot" w:pos="9911"/>
        </w:tabs>
        <w:rPr>
          <w:rFonts w:asciiTheme="minorHAnsi" w:eastAsiaTheme="minorEastAsia" w:hAnsiTheme="minorHAnsi" w:cstheme="minorBidi"/>
          <w:noProof/>
          <w:sz w:val="22"/>
          <w:szCs w:val="22"/>
          <w:lang w:val="pl-PL" w:eastAsia="pl-PL"/>
        </w:rPr>
      </w:pPr>
      <w:hyperlink w:anchor="_Toc46391735" w:history="1">
        <w:r w:rsidR="007F2E23" w:rsidRPr="00E57840">
          <w:rPr>
            <w:rStyle w:val="Hipercze"/>
            <w:noProof/>
          </w:rPr>
          <w:t xml:space="preserve">Tabela 2A : Wspólne wskaźniki rezultatu dla EFS (z podziałem na oś priorytetową, priorytet inwestycyjny i kategorię regionu) Dane na temat wszystkich wspólnych wskaźników rezultatu dla EFS (z wartością docelową i bez) przedstawia się w sprawozdaniu w podziale na płeć. W przypadku osi priorytetowej "Pomoc techniczna w sprawozdaniu przedstawia się jedynie te wskaźniki wspólne, w odniesieniu do których ustanowiono wartość docelową. - </w:t>
        </w:r>
        <w:r w:rsidR="007F2E23" w:rsidRPr="00E57840">
          <w:rPr>
            <w:rStyle w:val="Hipercze"/>
            <w:noProof/>
            <w:lang w:val="fr-BE"/>
          </w:rPr>
          <w:t>8 / 8vi</w:t>
        </w:r>
        <w:r w:rsidR="007F2E23">
          <w:rPr>
            <w:noProof/>
            <w:webHidden/>
          </w:rPr>
          <w:tab/>
        </w:r>
        <w:r w:rsidR="007F2E23">
          <w:rPr>
            <w:noProof/>
            <w:webHidden/>
          </w:rPr>
          <w:fldChar w:fldCharType="begin"/>
        </w:r>
        <w:r w:rsidR="007F2E23">
          <w:rPr>
            <w:noProof/>
            <w:webHidden/>
          </w:rPr>
          <w:instrText xml:space="preserve"> PAGEREF _Toc46391735 \h </w:instrText>
        </w:r>
        <w:r w:rsidR="007F2E23">
          <w:rPr>
            <w:noProof/>
            <w:webHidden/>
          </w:rPr>
        </w:r>
        <w:r w:rsidR="007F2E23">
          <w:rPr>
            <w:noProof/>
            <w:webHidden/>
          </w:rPr>
          <w:fldChar w:fldCharType="separate"/>
        </w:r>
        <w:r w:rsidR="007F2E23">
          <w:rPr>
            <w:noProof/>
            <w:webHidden/>
          </w:rPr>
          <w:t>120</w:t>
        </w:r>
        <w:r w:rsidR="007F2E23">
          <w:rPr>
            <w:noProof/>
            <w:webHidden/>
          </w:rPr>
          <w:fldChar w:fldCharType="end"/>
        </w:r>
      </w:hyperlink>
    </w:p>
    <w:p w14:paraId="1BE9D4BF" w14:textId="7C271430" w:rsidR="007F2E23" w:rsidRDefault="002E7197">
      <w:pPr>
        <w:pStyle w:val="Spistreci2"/>
        <w:tabs>
          <w:tab w:val="right" w:leader="dot" w:pos="9911"/>
        </w:tabs>
        <w:rPr>
          <w:rFonts w:asciiTheme="minorHAnsi" w:eastAsiaTheme="minorEastAsia" w:hAnsiTheme="minorHAnsi" w:cstheme="minorBidi"/>
          <w:noProof/>
          <w:sz w:val="22"/>
          <w:szCs w:val="22"/>
          <w:lang w:val="pl-PL" w:eastAsia="pl-PL"/>
        </w:rPr>
      </w:pPr>
      <w:hyperlink w:anchor="_Toc46391736" w:history="1">
        <w:r w:rsidR="007F2E23" w:rsidRPr="00E57840">
          <w:rPr>
            <w:rStyle w:val="Hipercze"/>
            <w:noProof/>
            <w:lang w:val="fr-BE"/>
          </w:rPr>
          <w:t>Tabela 2C : Specyficzne dla programu wskaźniki rezultatu dla EFS oraz Inicjatywy na rzecz zatrudnienia ludzi młodych</w:t>
        </w:r>
        <w:r w:rsidR="007F2E23">
          <w:rPr>
            <w:noProof/>
            <w:webHidden/>
          </w:rPr>
          <w:tab/>
        </w:r>
        <w:r w:rsidR="007F2E23">
          <w:rPr>
            <w:noProof/>
            <w:webHidden/>
          </w:rPr>
          <w:fldChar w:fldCharType="begin"/>
        </w:r>
        <w:r w:rsidR="007F2E23">
          <w:rPr>
            <w:noProof/>
            <w:webHidden/>
          </w:rPr>
          <w:instrText xml:space="preserve"> PAGEREF _Toc46391736 \h </w:instrText>
        </w:r>
        <w:r w:rsidR="007F2E23">
          <w:rPr>
            <w:noProof/>
            <w:webHidden/>
          </w:rPr>
        </w:r>
        <w:r w:rsidR="007F2E23">
          <w:rPr>
            <w:noProof/>
            <w:webHidden/>
          </w:rPr>
          <w:fldChar w:fldCharType="separate"/>
        </w:r>
        <w:r w:rsidR="007F2E23">
          <w:rPr>
            <w:noProof/>
            <w:webHidden/>
          </w:rPr>
          <w:t>121</w:t>
        </w:r>
        <w:r w:rsidR="007F2E23">
          <w:rPr>
            <w:noProof/>
            <w:webHidden/>
          </w:rPr>
          <w:fldChar w:fldCharType="end"/>
        </w:r>
      </w:hyperlink>
    </w:p>
    <w:p w14:paraId="749368B1" w14:textId="6E4E4966" w:rsidR="007F2E23" w:rsidRDefault="002E7197">
      <w:pPr>
        <w:pStyle w:val="Spistreci2"/>
        <w:tabs>
          <w:tab w:val="right" w:leader="dot" w:pos="9911"/>
        </w:tabs>
        <w:rPr>
          <w:rFonts w:asciiTheme="minorHAnsi" w:eastAsiaTheme="minorEastAsia" w:hAnsiTheme="minorHAnsi" w:cstheme="minorBidi"/>
          <w:noProof/>
          <w:sz w:val="22"/>
          <w:szCs w:val="22"/>
          <w:lang w:val="pl-PL" w:eastAsia="pl-PL"/>
        </w:rPr>
      </w:pPr>
      <w:hyperlink w:anchor="_Toc46391737" w:history="1">
        <w:r w:rsidR="007F2E23" w:rsidRPr="00E57840">
          <w:rPr>
            <w:rStyle w:val="Hipercze"/>
            <w:noProof/>
            <w:lang w:val="fr-BE"/>
          </w:rPr>
          <w:t>Tabela 4A</w:t>
        </w:r>
        <w:r w:rsidR="007F2E23" w:rsidRPr="00E57840">
          <w:rPr>
            <w:rStyle w:val="Hipercze"/>
            <w:noProof/>
          </w:rPr>
          <w:t xml:space="preserve"> : </w:t>
        </w:r>
        <w:r w:rsidR="007F2E23" w:rsidRPr="00E57840">
          <w:rPr>
            <w:rStyle w:val="Hipercze"/>
            <w:noProof/>
            <w:lang w:val="fr-BE"/>
          </w:rPr>
          <w:t>Wspólne wskaźniki produktu dla EFS oraz Inicjatywy na rzecz zatrudnienia ludzi młodych</w:t>
        </w:r>
        <w:r w:rsidR="007F2E23" w:rsidRPr="00E57840">
          <w:rPr>
            <w:rStyle w:val="Hipercze"/>
            <w:noProof/>
          </w:rPr>
          <w:t xml:space="preserve"> - </w:t>
        </w:r>
        <w:r w:rsidR="007F2E23" w:rsidRPr="00E57840">
          <w:rPr>
            <w:rStyle w:val="Hipercze"/>
            <w:noProof/>
            <w:lang w:val="fr-BE"/>
          </w:rPr>
          <w:t>8 / 8vi</w:t>
        </w:r>
        <w:r w:rsidR="007F2E23">
          <w:rPr>
            <w:noProof/>
            <w:webHidden/>
          </w:rPr>
          <w:tab/>
        </w:r>
        <w:r w:rsidR="007F2E23">
          <w:rPr>
            <w:noProof/>
            <w:webHidden/>
          </w:rPr>
          <w:fldChar w:fldCharType="begin"/>
        </w:r>
        <w:r w:rsidR="007F2E23">
          <w:rPr>
            <w:noProof/>
            <w:webHidden/>
          </w:rPr>
          <w:instrText xml:space="preserve"> PAGEREF _Toc46391737 \h </w:instrText>
        </w:r>
        <w:r w:rsidR="007F2E23">
          <w:rPr>
            <w:noProof/>
            <w:webHidden/>
          </w:rPr>
        </w:r>
        <w:r w:rsidR="007F2E23">
          <w:rPr>
            <w:noProof/>
            <w:webHidden/>
          </w:rPr>
          <w:fldChar w:fldCharType="separate"/>
        </w:r>
        <w:r w:rsidR="007F2E23">
          <w:rPr>
            <w:noProof/>
            <w:webHidden/>
          </w:rPr>
          <w:t>122</w:t>
        </w:r>
        <w:r w:rsidR="007F2E23">
          <w:rPr>
            <w:noProof/>
            <w:webHidden/>
          </w:rPr>
          <w:fldChar w:fldCharType="end"/>
        </w:r>
      </w:hyperlink>
    </w:p>
    <w:p w14:paraId="56244F2D" w14:textId="222C4EAB" w:rsidR="007F2E23" w:rsidRDefault="002E7197">
      <w:pPr>
        <w:pStyle w:val="Spistreci2"/>
        <w:tabs>
          <w:tab w:val="right" w:leader="dot" w:pos="9911"/>
        </w:tabs>
        <w:rPr>
          <w:rFonts w:asciiTheme="minorHAnsi" w:eastAsiaTheme="minorEastAsia" w:hAnsiTheme="minorHAnsi" w:cstheme="minorBidi"/>
          <w:noProof/>
          <w:sz w:val="22"/>
          <w:szCs w:val="22"/>
          <w:lang w:val="pl-PL" w:eastAsia="pl-PL"/>
        </w:rPr>
      </w:pPr>
      <w:hyperlink w:anchor="_Toc46391738" w:history="1">
        <w:r w:rsidR="007F2E23" w:rsidRPr="00E57840">
          <w:rPr>
            <w:rStyle w:val="Hipercze"/>
            <w:noProof/>
            <w:lang w:val="fr-BE"/>
          </w:rPr>
          <w:t>Tabela 4B Specyficzne dla programu wskaźniki produktu dla EFS oraz Inicjatywy na rzecz zatrudnienia ludzi młodych</w:t>
        </w:r>
        <w:r w:rsidR="007F2E23" w:rsidRPr="00E57840">
          <w:rPr>
            <w:rStyle w:val="Hipercze"/>
            <w:noProof/>
          </w:rPr>
          <w:t xml:space="preserve"> - </w:t>
        </w:r>
        <w:r w:rsidR="007F2E23" w:rsidRPr="00E57840">
          <w:rPr>
            <w:rStyle w:val="Hipercze"/>
            <w:noProof/>
            <w:lang w:val="fr-BE"/>
          </w:rPr>
          <w:t>8</w:t>
        </w:r>
        <w:r w:rsidR="007F2E23">
          <w:rPr>
            <w:noProof/>
            <w:webHidden/>
          </w:rPr>
          <w:tab/>
        </w:r>
        <w:r w:rsidR="007F2E23">
          <w:rPr>
            <w:noProof/>
            <w:webHidden/>
          </w:rPr>
          <w:fldChar w:fldCharType="begin"/>
        </w:r>
        <w:r w:rsidR="007F2E23">
          <w:rPr>
            <w:noProof/>
            <w:webHidden/>
          </w:rPr>
          <w:instrText xml:space="preserve"> PAGEREF _Toc46391738 \h </w:instrText>
        </w:r>
        <w:r w:rsidR="007F2E23">
          <w:rPr>
            <w:noProof/>
            <w:webHidden/>
          </w:rPr>
        </w:r>
        <w:r w:rsidR="007F2E23">
          <w:rPr>
            <w:noProof/>
            <w:webHidden/>
          </w:rPr>
          <w:fldChar w:fldCharType="separate"/>
        </w:r>
        <w:r w:rsidR="007F2E23">
          <w:rPr>
            <w:noProof/>
            <w:webHidden/>
          </w:rPr>
          <w:t>124</w:t>
        </w:r>
        <w:r w:rsidR="007F2E23">
          <w:rPr>
            <w:noProof/>
            <w:webHidden/>
          </w:rPr>
          <w:fldChar w:fldCharType="end"/>
        </w:r>
      </w:hyperlink>
    </w:p>
    <w:p w14:paraId="49FE5B5F" w14:textId="5329D638" w:rsidR="007F2E23" w:rsidRDefault="002E7197">
      <w:pPr>
        <w:pStyle w:val="Spistreci2"/>
        <w:tabs>
          <w:tab w:val="right" w:leader="dot" w:pos="9911"/>
        </w:tabs>
        <w:rPr>
          <w:rFonts w:asciiTheme="minorHAnsi" w:eastAsiaTheme="minorEastAsia" w:hAnsiTheme="minorHAnsi" w:cstheme="minorBidi"/>
          <w:noProof/>
          <w:sz w:val="22"/>
          <w:szCs w:val="22"/>
          <w:lang w:val="pl-PL" w:eastAsia="pl-PL"/>
        </w:rPr>
      </w:pPr>
      <w:hyperlink w:anchor="_Toc46391739" w:history="1">
        <w:r w:rsidR="007F2E23" w:rsidRPr="00E57840">
          <w:rPr>
            <w:rStyle w:val="Hipercze"/>
            <w:noProof/>
          </w:rPr>
          <w:t xml:space="preserve">Tabela 2A : Wspólne wskaźniki rezultatu dla EFS (z podziałem na oś priorytetową, priorytet inwestycyjny i kategorię regionu) Dane na temat wszystkich wspólnych wskaźników rezultatu dla EFS (z wartością docelową i bez) przedstawia się w sprawozdaniu w podziale na płeć. W przypadku osi priorytetowej "Pomoc techniczna w sprawozdaniu przedstawia się jedynie te wskaźniki wspólne, w odniesieniu do których ustanowiono wartość docelową. - </w:t>
        </w:r>
        <w:r w:rsidR="007F2E23" w:rsidRPr="00E57840">
          <w:rPr>
            <w:rStyle w:val="Hipercze"/>
            <w:noProof/>
            <w:lang w:val="fr-BE"/>
          </w:rPr>
          <w:t>8 / 10i</w:t>
        </w:r>
        <w:r w:rsidR="007F2E23">
          <w:rPr>
            <w:noProof/>
            <w:webHidden/>
          </w:rPr>
          <w:tab/>
        </w:r>
        <w:r w:rsidR="007F2E23">
          <w:rPr>
            <w:noProof/>
            <w:webHidden/>
          </w:rPr>
          <w:fldChar w:fldCharType="begin"/>
        </w:r>
        <w:r w:rsidR="007F2E23">
          <w:rPr>
            <w:noProof/>
            <w:webHidden/>
          </w:rPr>
          <w:instrText xml:space="preserve"> PAGEREF _Toc46391739 \h </w:instrText>
        </w:r>
        <w:r w:rsidR="007F2E23">
          <w:rPr>
            <w:noProof/>
            <w:webHidden/>
          </w:rPr>
        </w:r>
        <w:r w:rsidR="007F2E23">
          <w:rPr>
            <w:noProof/>
            <w:webHidden/>
          </w:rPr>
          <w:fldChar w:fldCharType="separate"/>
        </w:r>
        <w:r w:rsidR="007F2E23">
          <w:rPr>
            <w:noProof/>
            <w:webHidden/>
          </w:rPr>
          <w:t>125</w:t>
        </w:r>
        <w:r w:rsidR="007F2E23">
          <w:rPr>
            <w:noProof/>
            <w:webHidden/>
          </w:rPr>
          <w:fldChar w:fldCharType="end"/>
        </w:r>
      </w:hyperlink>
    </w:p>
    <w:p w14:paraId="3E04262D" w14:textId="2A1332BF" w:rsidR="007F2E23" w:rsidRDefault="002E7197">
      <w:pPr>
        <w:pStyle w:val="Spistreci2"/>
        <w:tabs>
          <w:tab w:val="right" w:leader="dot" w:pos="9911"/>
        </w:tabs>
        <w:rPr>
          <w:rFonts w:asciiTheme="minorHAnsi" w:eastAsiaTheme="minorEastAsia" w:hAnsiTheme="minorHAnsi" w:cstheme="minorBidi"/>
          <w:noProof/>
          <w:sz w:val="22"/>
          <w:szCs w:val="22"/>
          <w:lang w:val="pl-PL" w:eastAsia="pl-PL"/>
        </w:rPr>
      </w:pPr>
      <w:hyperlink w:anchor="_Toc46391740" w:history="1">
        <w:r w:rsidR="007F2E23" w:rsidRPr="00E57840">
          <w:rPr>
            <w:rStyle w:val="Hipercze"/>
            <w:noProof/>
            <w:lang w:val="fr-BE"/>
          </w:rPr>
          <w:t>Tabela 2C : Specyficzne dla programu wskaźniki rezultatu dla EFS oraz Inicjatywy na rzecz zatrudnienia ludzi młodych</w:t>
        </w:r>
        <w:r w:rsidR="007F2E23">
          <w:rPr>
            <w:noProof/>
            <w:webHidden/>
          </w:rPr>
          <w:tab/>
        </w:r>
        <w:r w:rsidR="007F2E23">
          <w:rPr>
            <w:noProof/>
            <w:webHidden/>
          </w:rPr>
          <w:fldChar w:fldCharType="begin"/>
        </w:r>
        <w:r w:rsidR="007F2E23">
          <w:rPr>
            <w:noProof/>
            <w:webHidden/>
          </w:rPr>
          <w:instrText xml:space="preserve"> PAGEREF _Toc46391740 \h </w:instrText>
        </w:r>
        <w:r w:rsidR="007F2E23">
          <w:rPr>
            <w:noProof/>
            <w:webHidden/>
          </w:rPr>
        </w:r>
        <w:r w:rsidR="007F2E23">
          <w:rPr>
            <w:noProof/>
            <w:webHidden/>
          </w:rPr>
          <w:fldChar w:fldCharType="separate"/>
        </w:r>
        <w:r w:rsidR="007F2E23">
          <w:rPr>
            <w:noProof/>
            <w:webHidden/>
          </w:rPr>
          <w:t>126</w:t>
        </w:r>
        <w:r w:rsidR="007F2E23">
          <w:rPr>
            <w:noProof/>
            <w:webHidden/>
          </w:rPr>
          <w:fldChar w:fldCharType="end"/>
        </w:r>
      </w:hyperlink>
    </w:p>
    <w:p w14:paraId="40395DF2" w14:textId="2E5E4748" w:rsidR="007F2E23" w:rsidRDefault="002E7197">
      <w:pPr>
        <w:pStyle w:val="Spistreci2"/>
        <w:tabs>
          <w:tab w:val="right" w:leader="dot" w:pos="9911"/>
        </w:tabs>
        <w:rPr>
          <w:rFonts w:asciiTheme="minorHAnsi" w:eastAsiaTheme="minorEastAsia" w:hAnsiTheme="minorHAnsi" w:cstheme="minorBidi"/>
          <w:noProof/>
          <w:sz w:val="22"/>
          <w:szCs w:val="22"/>
          <w:lang w:val="pl-PL" w:eastAsia="pl-PL"/>
        </w:rPr>
      </w:pPr>
      <w:hyperlink w:anchor="_Toc46391741" w:history="1">
        <w:r w:rsidR="007F2E23" w:rsidRPr="00E57840">
          <w:rPr>
            <w:rStyle w:val="Hipercze"/>
            <w:noProof/>
            <w:lang w:val="fr-BE"/>
          </w:rPr>
          <w:t>Tabela 4A</w:t>
        </w:r>
        <w:r w:rsidR="007F2E23" w:rsidRPr="00E57840">
          <w:rPr>
            <w:rStyle w:val="Hipercze"/>
            <w:noProof/>
          </w:rPr>
          <w:t xml:space="preserve"> : </w:t>
        </w:r>
        <w:r w:rsidR="007F2E23" w:rsidRPr="00E57840">
          <w:rPr>
            <w:rStyle w:val="Hipercze"/>
            <w:noProof/>
            <w:lang w:val="fr-BE"/>
          </w:rPr>
          <w:t>Wspólne wskaźniki produktu dla EFS oraz Inicjatywy na rzecz zatrudnienia ludzi młodych</w:t>
        </w:r>
        <w:r w:rsidR="007F2E23" w:rsidRPr="00E57840">
          <w:rPr>
            <w:rStyle w:val="Hipercze"/>
            <w:noProof/>
          </w:rPr>
          <w:t xml:space="preserve"> - </w:t>
        </w:r>
        <w:r w:rsidR="007F2E23" w:rsidRPr="00E57840">
          <w:rPr>
            <w:rStyle w:val="Hipercze"/>
            <w:noProof/>
            <w:lang w:val="fr-BE"/>
          </w:rPr>
          <w:t>8 / 10i</w:t>
        </w:r>
        <w:r w:rsidR="007F2E23">
          <w:rPr>
            <w:noProof/>
            <w:webHidden/>
          </w:rPr>
          <w:tab/>
        </w:r>
        <w:r w:rsidR="007F2E23">
          <w:rPr>
            <w:noProof/>
            <w:webHidden/>
          </w:rPr>
          <w:fldChar w:fldCharType="begin"/>
        </w:r>
        <w:r w:rsidR="007F2E23">
          <w:rPr>
            <w:noProof/>
            <w:webHidden/>
          </w:rPr>
          <w:instrText xml:space="preserve"> PAGEREF _Toc46391741 \h </w:instrText>
        </w:r>
        <w:r w:rsidR="007F2E23">
          <w:rPr>
            <w:noProof/>
            <w:webHidden/>
          </w:rPr>
        </w:r>
        <w:r w:rsidR="007F2E23">
          <w:rPr>
            <w:noProof/>
            <w:webHidden/>
          </w:rPr>
          <w:fldChar w:fldCharType="separate"/>
        </w:r>
        <w:r w:rsidR="007F2E23">
          <w:rPr>
            <w:noProof/>
            <w:webHidden/>
          </w:rPr>
          <w:t>127</w:t>
        </w:r>
        <w:r w:rsidR="007F2E23">
          <w:rPr>
            <w:noProof/>
            <w:webHidden/>
          </w:rPr>
          <w:fldChar w:fldCharType="end"/>
        </w:r>
      </w:hyperlink>
    </w:p>
    <w:p w14:paraId="73D5DF55" w14:textId="13FA9A6E" w:rsidR="007F2E23" w:rsidRDefault="002E7197">
      <w:pPr>
        <w:pStyle w:val="Spistreci2"/>
        <w:tabs>
          <w:tab w:val="right" w:leader="dot" w:pos="9911"/>
        </w:tabs>
        <w:rPr>
          <w:rFonts w:asciiTheme="minorHAnsi" w:eastAsiaTheme="minorEastAsia" w:hAnsiTheme="minorHAnsi" w:cstheme="minorBidi"/>
          <w:noProof/>
          <w:sz w:val="22"/>
          <w:szCs w:val="22"/>
          <w:lang w:val="pl-PL" w:eastAsia="pl-PL"/>
        </w:rPr>
      </w:pPr>
      <w:hyperlink w:anchor="_Toc46391742" w:history="1">
        <w:r w:rsidR="007F2E23" w:rsidRPr="00E57840">
          <w:rPr>
            <w:rStyle w:val="Hipercze"/>
            <w:noProof/>
            <w:lang w:val="fr-BE"/>
          </w:rPr>
          <w:t>Tabela 4B Specyficzne dla programu wskaźniki produktu dla EFS oraz Inicjatywy na rzecz zatrudnienia ludzi młodych</w:t>
        </w:r>
        <w:r w:rsidR="007F2E23" w:rsidRPr="00E57840">
          <w:rPr>
            <w:rStyle w:val="Hipercze"/>
            <w:noProof/>
          </w:rPr>
          <w:t xml:space="preserve"> - </w:t>
        </w:r>
        <w:r w:rsidR="007F2E23" w:rsidRPr="00E57840">
          <w:rPr>
            <w:rStyle w:val="Hipercze"/>
            <w:noProof/>
            <w:lang w:val="fr-BE"/>
          </w:rPr>
          <w:t>8</w:t>
        </w:r>
        <w:r w:rsidR="007F2E23">
          <w:rPr>
            <w:noProof/>
            <w:webHidden/>
          </w:rPr>
          <w:tab/>
        </w:r>
        <w:r w:rsidR="007F2E23">
          <w:rPr>
            <w:noProof/>
            <w:webHidden/>
          </w:rPr>
          <w:fldChar w:fldCharType="begin"/>
        </w:r>
        <w:r w:rsidR="007F2E23">
          <w:rPr>
            <w:noProof/>
            <w:webHidden/>
          </w:rPr>
          <w:instrText xml:space="preserve"> PAGEREF _Toc46391742 \h </w:instrText>
        </w:r>
        <w:r w:rsidR="007F2E23">
          <w:rPr>
            <w:noProof/>
            <w:webHidden/>
          </w:rPr>
        </w:r>
        <w:r w:rsidR="007F2E23">
          <w:rPr>
            <w:noProof/>
            <w:webHidden/>
          </w:rPr>
          <w:fldChar w:fldCharType="separate"/>
        </w:r>
        <w:r w:rsidR="007F2E23">
          <w:rPr>
            <w:noProof/>
            <w:webHidden/>
          </w:rPr>
          <w:t>129</w:t>
        </w:r>
        <w:r w:rsidR="007F2E23">
          <w:rPr>
            <w:noProof/>
            <w:webHidden/>
          </w:rPr>
          <w:fldChar w:fldCharType="end"/>
        </w:r>
      </w:hyperlink>
    </w:p>
    <w:p w14:paraId="6EE5B896" w14:textId="11FC9EAE" w:rsidR="007F2E23" w:rsidRDefault="002E7197">
      <w:pPr>
        <w:pStyle w:val="Spistreci2"/>
        <w:tabs>
          <w:tab w:val="right" w:leader="dot" w:pos="9911"/>
        </w:tabs>
        <w:rPr>
          <w:rFonts w:asciiTheme="minorHAnsi" w:eastAsiaTheme="minorEastAsia" w:hAnsiTheme="minorHAnsi" w:cstheme="minorBidi"/>
          <w:noProof/>
          <w:sz w:val="22"/>
          <w:szCs w:val="22"/>
          <w:lang w:val="pl-PL" w:eastAsia="pl-PL"/>
        </w:rPr>
      </w:pPr>
      <w:hyperlink w:anchor="_Toc46391743" w:history="1">
        <w:r w:rsidR="007F2E23" w:rsidRPr="00E57840">
          <w:rPr>
            <w:rStyle w:val="Hipercze"/>
            <w:noProof/>
          </w:rPr>
          <w:t xml:space="preserve">Tabela 2A : Wspólne wskaźniki rezultatu dla EFS (z podziałem na oś priorytetową, priorytet inwestycyjny i kategorię regionu) Dane na temat wszystkich wspólnych wskaźników rezultatu dla EFS (z wartością docelową i bez) przedstawia </w:t>
        </w:r>
        <w:r w:rsidR="007F2E23" w:rsidRPr="00E57840">
          <w:rPr>
            <w:rStyle w:val="Hipercze"/>
            <w:noProof/>
          </w:rPr>
          <w:lastRenderedPageBreak/>
          <w:t xml:space="preserve">się w sprawozdaniu w podziale na płeć. W przypadku osi priorytetowej "Pomoc techniczna w sprawozdaniu przedstawia się jedynie te wskaźniki wspólne, w odniesieniu do których ustanowiono wartość docelową. - </w:t>
        </w:r>
        <w:r w:rsidR="007F2E23" w:rsidRPr="00E57840">
          <w:rPr>
            <w:rStyle w:val="Hipercze"/>
            <w:noProof/>
            <w:lang w:val="fr-BE"/>
          </w:rPr>
          <w:t>8 / 10iii</w:t>
        </w:r>
        <w:r w:rsidR="007F2E23">
          <w:rPr>
            <w:noProof/>
            <w:webHidden/>
          </w:rPr>
          <w:tab/>
        </w:r>
        <w:r w:rsidR="007F2E23">
          <w:rPr>
            <w:noProof/>
            <w:webHidden/>
          </w:rPr>
          <w:fldChar w:fldCharType="begin"/>
        </w:r>
        <w:r w:rsidR="007F2E23">
          <w:rPr>
            <w:noProof/>
            <w:webHidden/>
          </w:rPr>
          <w:instrText xml:space="preserve"> PAGEREF _Toc46391743 \h </w:instrText>
        </w:r>
        <w:r w:rsidR="007F2E23">
          <w:rPr>
            <w:noProof/>
            <w:webHidden/>
          </w:rPr>
        </w:r>
        <w:r w:rsidR="007F2E23">
          <w:rPr>
            <w:noProof/>
            <w:webHidden/>
          </w:rPr>
          <w:fldChar w:fldCharType="separate"/>
        </w:r>
        <w:r w:rsidR="007F2E23">
          <w:rPr>
            <w:noProof/>
            <w:webHidden/>
          </w:rPr>
          <w:t>130</w:t>
        </w:r>
        <w:r w:rsidR="007F2E23">
          <w:rPr>
            <w:noProof/>
            <w:webHidden/>
          </w:rPr>
          <w:fldChar w:fldCharType="end"/>
        </w:r>
      </w:hyperlink>
    </w:p>
    <w:p w14:paraId="7DE7444E" w14:textId="25120B90" w:rsidR="007F2E23" w:rsidRDefault="002E7197">
      <w:pPr>
        <w:pStyle w:val="Spistreci2"/>
        <w:tabs>
          <w:tab w:val="right" w:leader="dot" w:pos="9911"/>
        </w:tabs>
        <w:rPr>
          <w:rFonts w:asciiTheme="minorHAnsi" w:eastAsiaTheme="minorEastAsia" w:hAnsiTheme="minorHAnsi" w:cstheme="minorBidi"/>
          <w:noProof/>
          <w:sz w:val="22"/>
          <w:szCs w:val="22"/>
          <w:lang w:val="pl-PL" w:eastAsia="pl-PL"/>
        </w:rPr>
      </w:pPr>
      <w:hyperlink w:anchor="_Toc46391744" w:history="1">
        <w:r w:rsidR="007F2E23" w:rsidRPr="00E57840">
          <w:rPr>
            <w:rStyle w:val="Hipercze"/>
            <w:noProof/>
            <w:lang w:val="fr-BE"/>
          </w:rPr>
          <w:t>Tabela 2C : Specyficzne dla programu wskaźniki rezultatu dla EFS oraz Inicjatywy na rzecz zatrudnienia ludzi młodych</w:t>
        </w:r>
        <w:r w:rsidR="007F2E23">
          <w:rPr>
            <w:noProof/>
            <w:webHidden/>
          </w:rPr>
          <w:tab/>
        </w:r>
        <w:r w:rsidR="007F2E23">
          <w:rPr>
            <w:noProof/>
            <w:webHidden/>
          </w:rPr>
          <w:fldChar w:fldCharType="begin"/>
        </w:r>
        <w:r w:rsidR="007F2E23">
          <w:rPr>
            <w:noProof/>
            <w:webHidden/>
          </w:rPr>
          <w:instrText xml:space="preserve"> PAGEREF _Toc46391744 \h </w:instrText>
        </w:r>
        <w:r w:rsidR="007F2E23">
          <w:rPr>
            <w:noProof/>
            <w:webHidden/>
          </w:rPr>
        </w:r>
        <w:r w:rsidR="007F2E23">
          <w:rPr>
            <w:noProof/>
            <w:webHidden/>
          </w:rPr>
          <w:fldChar w:fldCharType="separate"/>
        </w:r>
        <w:r w:rsidR="007F2E23">
          <w:rPr>
            <w:noProof/>
            <w:webHidden/>
          </w:rPr>
          <w:t>131</w:t>
        </w:r>
        <w:r w:rsidR="007F2E23">
          <w:rPr>
            <w:noProof/>
            <w:webHidden/>
          </w:rPr>
          <w:fldChar w:fldCharType="end"/>
        </w:r>
      </w:hyperlink>
    </w:p>
    <w:p w14:paraId="2C34613E" w14:textId="1BF3A567" w:rsidR="007F2E23" w:rsidRDefault="002E7197">
      <w:pPr>
        <w:pStyle w:val="Spistreci2"/>
        <w:tabs>
          <w:tab w:val="right" w:leader="dot" w:pos="9911"/>
        </w:tabs>
        <w:rPr>
          <w:rFonts w:asciiTheme="minorHAnsi" w:eastAsiaTheme="minorEastAsia" w:hAnsiTheme="minorHAnsi" w:cstheme="minorBidi"/>
          <w:noProof/>
          <w:sz w:val="22"/>
          <w:szCs w:val="22"/>
          <w:lang w:val="pl-PL" w:eastAsia="pl-PL"/>
        </w:rPr>
      </w:pPr>
      <w:hyperlink w:anchor="_Toc46391745" w:history="1">
        <w:r w:rsidR="007F2E23" w:rsidRPr="00E57840">
          <w:rPr>
            <w:rStyle w:val="Hipercze"/>
            <w:noProof/>
            <w:lang w:val="fr-BE"/>
          </w:rPr>
          <w:t>Tabela 4A</w:t>
        </w:r>
        <w:r w:rsidR="007F2E23" w:rsidRPr="00E57840">
          <w:rPr>
            <w:rStyle w:val="Hipercze"/>
            <w:noProof/>
          </w:rPr>
          <w:t xml:space="preserve"> : </w:t>
        </w:r>
        <w:r w:rsidR="007F2E23" w:rsidRPr="00E57840">
          <w:rPr>
            <w:rStyle w:val="Hipercze"/>
            <w:noProof/>
            <w:lang w:val="fr-BE"/>
          </w:rPr>
          <w:t>Wspólne wskaźniki produktu dla EFS oraz Inicjatywy na rzecz zatrudnienia ludzi młodych</w:t>
        </w:r>
        <w:r w:rsidR="007F2E23" w:rsidRPr="00E57840">
          <w:rPr>
            <w:rStyle w:val="Hipercze"/>
            <w:noProof/>
          </w:rPr>
          <w:t xml:space="preserve"> - </w:t>
        </w:r>
        <w:r w:rsidR="007F2E23" w:rsidRPr="00E57840">
          <w:rPr>
            <w:rStyle w:val="Hipercze"/>
            <w:noProof/>
            <w:lang w:val="fr-BE"/>
          </w:rPr>
          <w:t>8 / 10iii</w:t>
        </w:r>
        <w:r w:rsidR="007F2E23">
          <w:rPr>
            <w:noProof/>
            <w:webHidden/>
          </w:rPr>
          <w:tab/>
        </w:r>
        <w:r w:rsidR="007F2E23">
          <w:rPr>
            <w:noProof/>
            <w:webHidden/>
          </w:rPr>
          <w:fldChar w:fldCharType="begin"/>
        </w:r>
        <w:r w:rsidR="007F2E23">
          <w:rPr>
            <w:noProof/>
            <w:webHidden/>
          </w:rPr>
          <w:instrText xml:space="preserve"> PAGEREF _Toc46391745 \h </w:instrText>
        </w:r>
        <w:r w:rsidR="007F2E23">
          <w:rPr>
            <w:noProof/>
            <w:webHidden/>
          </w:rPr>
        </w:r>
        <w:r w:rsidR="007F2E23">
          <w:rPr>
            <w:noProof/>
            <w:webHidden/>
          </w:rPr>
          <w:fldChar w:fldCharType="separate"/>
        </w:r>
        <w:r w:rsidR="007F2E23">
          <w:rPr>
            <w:noProof/>
            <w:webHidden/>
          </w:rPr>
          <w:t>132</w:t>
        </w:r>
        <w:r w:rsidR="007F2E23">
          <w:rPr>
            <w:noProof/>
            <w:webHidden/>
          </w:rPr>
          <w:fldChar w:fldCharType="end"/>
        </w:r>
      </w:hyperlink>
    </w:p>
    <w:p w14:paraId="70835991" w14:textId="43753B24" w:rsidR="007F2E23" w:rsidRDefault="002E7197">
      <w:pPr>
        <w:pStyle w:val="Spistreci2"/>
        <w:tabs>
          <w:tab w:val="right" w:leader="dot" w:pos="9911"/>
        </w:tabs>
        <w:rPr>
          <w:rFonts w:asciiTheme="minorHAnsi" w:eastAsiaTheme="minorEastAsia" w:hAnsiTheme="minorHAnsi" w:cstheme="minorBidi"/>
          <w:noProof/>
          <w:sz w:val="22"/>
          <w:szCs w:val="22"/>
          <w:lang w:val="pl-PL" w:eastAsia="pl-PL"/>
        </w:rPr>
      </w:pPr>
      <w:hyperlink w:anchor="_Toc46391746" w:history="1">
        <w:r w:rsidR="007F2E23" w:rsidRPr="00E57840">
          <w:rPr>
            <w:rStyle w:val="Hipercze"/>
            <w:noProof/>
            <w:lang w:val="fr-BE"/>
          </w:rPr>
          <w:t>Tabela 4B Specyficzne dla programu wskaźniki produktu dla EFS oraz Inicjatywy na rzecz zatrudnienia ludzi młodych</w:t>
        </w:r>
        <w:r w:rsidR="007F2E23" w:rsidRPr="00E57840">
          <w:rPr>
            <w:rStyle w:val="Hipercze"/>
            <w:noProof/>
          </w:rPr>
          <w:t xml:space="preserve"> - </w:t>
        </w:r>
        <w:r w:rsidR="007F2E23" w:rsidRPr="00E57840">
          <w:rPr>
            <w:rStyle w:val="Hipercze"/>
            <w:noProof/>
            <w:lang w:val="fr-BE"/>
          </w:rPr>
          <w:t>8</w:t>
        </w:r>
        <w:r w:rsidR="007F2E23">
          <w:rPr>
            <w:noProof/>
            <w:webHidden/>
          </w:rPr>
          <w:tab/>
        </w:r>
        <w:r w:rsidR="007F2E23">
          <w:rPr>
            <w:noProof/>
            <w:webHidden/>
          </w:rPr>
          <w:fldChar w:fldCharType="begin"/>
        </w:r>
        <w:r w:rsidR="007F2E23">
          <w:rPr>
            <w:noProof/>
            <w:webHidden/>
          </w:rPr>
          <w:instrText xml:space="preserve"> PAGEREF _Toc46391746 \h </w:instrText>
        </w:r>
        <w:r w:rsidR="007F2E23">
          <w:rPr>
            <w:noProof/>
            <w:webHidden/>
          </w:rPr>
        </w:r>
        <w:r w:rsidR="007F2E23">
          <w:rPr>
            <w:noProof/>
            <w:webHidden/>
          </w:rPr>
          <w:fldChar w:fldCharType="separate"/>
        </w:r>
        <w:r w:rsidR="007F2E23">
          <w:rPr>
            <w:noProof/>
            <w:webHidden/>
          </w:rPr>
          <w:t>134</w:t>
        </w:r>
        <w:r w:rsidR="007F2E23">
          <w:rPr>
            <w:noProof/>
            <w:webHidden/>
          </w:rPr>
          <w:fldChar w:fldCharType="end"/>
        </w:r>
      </w:hyperlink>
    </w:p>
    <w:p w14:paraId="7A100BE7" w14:textId="544BE407" w:rsidR="007F2E23" w:rsidRDefault="002E7197">
      <w:pPr>
        <w:pStyle w:val="Spistreci2"/>
        <w:tabs>
          <w:tab w:val="right" w:leader="dot" w:pos="9911"/>
        </w:tabs>
        <w:rPr>
          <w:rFonts w:asciiTheme="minorHAnsi" w:eastAsiaTheme="minorEastAsia" w:hAnsiTheme="minorHAnsi" w:cstheme="minorBidi"/>
          <w:noProof/>
          <w:sz w:val="22"/>
          <w:szCs w:val="22"/>
          <w:lang w:val="pl-PL" w:eastAsia="pl-PL"/>
        </w:rPr>
      </w:pPr>
      <w:hyperlink w:anchor="_Toc46391747" w:history="1">
        <w:r w:rsidR="007F2E23" w:rsidRPr="00E57840">
          <w:rPr>
            <w:rStyle w:val="Hipercze"/>
            <w:noProof/>
          </w:rPr>
          <w:t xml:space="preserve">Tabela 2A : Wspólne wskaźniki rezultatu dla EFS (z podziałem na oś priorytetową, priorytet inwestycyjny i kategorię regionu) Dane na temat wszystkich wspólnych wskaźników rezultatu dla EFS (z wartością docelową i bez) przedstawia się w sprawozdaniu w podziale na płeć. W przypadku osi priorytetowej "Pomoc techniczna w sprawozdaniu przedstawia się jedynie te wskaźniki wspólne, w odniesieniu do których ustanowiono wartość docelową. - </w:t>
        </w:r>
        <w:r w:rsidR="007F2E23" w:rsidRPr="00E57840">
          <w:rPr>
            <w:rStyle w:val="Hipercze"/>
            <w:noProof/>
            <w:lang w:val="fr-BE"/>
          </w:rPr>
          <w:t>8 / 10iv</w:t>
        </w:r>
        <w:r w:rsidR="007F2E23">
          <w:rPr>
            <w:noProof/>
            <w:webHidden/>
          </w:rPr>
          <w:tab/>
        </w:r>
        <w:r w:rsidR="007F2E23">
          <w:rPr>
            <w:noProof/>
            <w:webHidden/>
          </w:rPr>
          <w:fldChar w:fldCharType="begin"/>
        </w:r>
        <w:r w:rsidR="007F2E23">
          <w:rPr>
            <w:noProof/>
            <w:webHidden/>
          </w:rPr>
          <w:instrText xml:space="preserve"> PAGEREF _Toc46391747 \h </w:instrText>
        </w:r>
        <w:r w:rsidR="007F2E23">
          <w:rPr>
            <w:noProof/>
            <w:webHidden/>
          </w:rPr>
        </w:r>
        <w:r w:rsidR="007F2E23">
          <w:rPr>
            <w:noProof/>
            <w:webHidden/>
          </w:rPr>
          <w:fldChar w:fldCharType="separate"/>
        </w:r>
        <w:r w:rsidR="007F2E23">
          <w:rPr>
            <w:noProof/>
            <w:webHidden/>
          </w:rPr>
          <w:t>135</w:t>
        </w:r>
        <w:r w:rsidR="007F2E23">
          <w:rPr>
            <w:noProof/>
            <w:webHidden/>
          </w:rPr>
          <w:fldChar w:fldCharType="end"/>
        </w:r>
      </w:hyperlink>
    </w:p>
    <w:p w14:paraId="54A5A36A" w14:textId="273F715B" w:rsidR="007F2E23" w:rsidRDefault="002E7197">
      <w:pPr>
        <w:pStyle w:val="Spistreci2"/>
        <w:tabs>
          <w:tab w:val="right" w:leader="dot" w:pos="9911"/>
        </w:tabs>
        <w:rPr>
          <w:rFonts w:asciiTheme="minorHAnsi" w:eastAsiaTheme="minorEastAsia" w:hAnsiTheme="minorHAnsi" w:cstheme="minorBidi"/>
          <w:noProof/>
          <w:sz w:val="22"/>
          <w:szCs w:val="22"/>
          <w:lang w:val="pl-PL" w:eastAsia="pl-PL"/>
        </w:rPr>
      </w:pPr>
      <w:hyperlink w:anchor="_Toc46391748" w:history="1">
        <w:r w:rsidR="007F2E23" w:rsidRPr="00E57840">
          <w:rPr>
            <w:rStyle w:val="Hipercze"/>
            <w:noProof/>
            <w:lang w:val="fr-BE"/>
          </w:rPr>
          <w:t>Tabela 2C : Specyficzne dla programu wskaźniki rezultatu dla EFS oraz Inicjatywy na rzecz zatrudnienia ludzi młodych</w:t>
        </w:r>
        <w:r w:rsidR="007F2E23">
          <w:rPr>
            <w:noProof/>
            <w:webHidden/>
          </w:rPr>
          <w:tab/>
        </w:r>
        <w:r w:rsidR="007F2E23">
          <w:rPr>
            <w:noProof/>
            <w:webHidden/>
          </w:rPr>
          <w:fldChar w:fldCharType="begin"/>
        </w:r>
        <w:r w:rsidR="007F2E23">
          <w:rPr>
            <w:noProof/>
            <w:webHidden/>
          </w:rPr>
          <w:instrText xml:space="preserve"> PAGEREF _Toc46391748 \h </w:instrText>
        </w:r>
        <w:r w:rsidR="007F2E23">
          <w:rPr>
            <w:noProof/>
            <w:webHidden/>
          </w:rPr>
        </w:r>
        <w:r w:rsidR="007F2E23">
          <w:rPr>
            <w:noProof/>
            <w:webHidden/>
          </w:rPr>
          <w:fldChar w:fldCharType="separate"/>
        </w:r>
        <w:r w:rsidR="007F2E23">
          <w:rPr>
            <w:noProof/>
            <w:webHidden/>
          </w:rPr>
          <w:t>136</w:t>
        </w:r>
        <w:r w:rsidR="007F2E23">
          <w:rPr>
            <w:noProof/>
            <w:webHidden/>
          </w:rPr>
          <w:fldChar w:fldCharType="end"/>
        </w:r>
      </w:hyperlink>
    </w:p>
    <w:p w14:paraId="717AF524" w14:textId="3EF7A512" w:rsidR="007F2E23" w:rsidRDefault="002E7197">
      <w:pPr>
        <w:pStyle w:val="Spistreci2"/>
        <w:tabs>
          <w:tab w:val="right" w:leader="dot" w:pos="9911"/>
        </w:tabs>
        <w:rPr>
          <w:rFonts w:asciiTheme="minorHAnsi" w:eastAsiaTheme="minorEastAsia" w:hAnsiTheme="minorHAnsi" w:cstheme="minorBidi"/>
          <w:noProof/>
          <w:sz w:val="22"/>
          <w:szCs w:val="22"/>
          <w:lang w:val="pl-PL" w:eastAsia="pl-PL"/>
        </w:rPr>
      </w:pPr>
      <w:hyperlink w:anchor="_Toc46391749" w:history="1">
        <w:r w:rsidR="007F2E23" w:rsidRPr="00E57840">
          <w:rPr>
            <w:rStyle w:val="Hipercze"/>
            <w:noProof/>
            <w:lang w:val="fr-BE"/>
          </w:rPr>
          <w:t>Tabela 4A</w:t>
        </w:r>
        <w:r w:rsidR="007F2E23" w:rsidRPr="00E57840">
          <w:rPr>
            <w:rStyle w:val="Hipercze"/>
            <w:noProof/>
          </w:rPr>
          <w:t xml:space="preserve"> : </w:t>
        </w:r>
        <w:r w:rsidR="007F2E23" w:rsidRPr="00E57840">
          <w:rPr>
            <w:rStyle w:val="Hipercze"/>
            <w:noProof/>
            <w:lang w:val="fr-BE"/>
          </w:rPr>
          <w:t>Wspólne wskaźniki produktu dla EFS oraz Inicjatywy na rzecz zatrudnienia ludzi młodych</w:t>
        </w:r>
        <w:r w:rsidR="007F2E23" w:rsidRPr="00E57840">
          <w:rPr>
            <w:rStyle w:val="Hipercze"/>
            <w:noProof/>
          </w:rPr>
          <w:t xml:space="preserve"> - </w:t>
        </w:r>
        <w:r w:rsidR="007F2E23" w:rsidRPr="00E57840">
          <w:rPr>
            <w:rStyle w:val="Hipercze"/>
            <w:noProof/>
            <w:lang w:val="fr-BE"/>
          </w:rPr>
          <w:t>8 / 10iv</w:t>
        </w:r>
        <w:r w:rsidR="007F2E23">
          <w:rPr>
            <w:noProof/>
            <w:webHidden/>
          </w:rPr>
          <w:tab/>
        </w:r>
        <w:r w:rsidR="007F2E23">
          <w:rPr>
            <w:noProof/>
            <w:webHidden/>
          </w:rPr>
          <w:fldChar w:fldCharType="begin"/>
        </w:r>
        <w:r w:rsidR="007F2E23">
          <w:rPr>
            <w:noProof/>
            <w:webHidden/>
          </w:rPr>
          <w:instrText xml:space="preserve"> PAGEREF _Toc46391749 \h </w:instrText>
        </w:r>
        <w:r w:rsidR="007F2E23">
          <w:rPr>
            <w:noProof/>
            <w:webHidden/>
          </w:rPr>
        </w:r>
        <w:r w:rsidR="007F2E23">
          <w:rPr>
            <w:noProof/>
            <w:webHidden/>
          </w:rPr>
          <w:fldChar w:fldCharType="separate"/>
        </w:r>
        <w:r w:rsidR="007F2E23">
          <w:rPr>
            <w:noProof/>
            <w:webHidden/>
          </w:rPr>
          <w:t>137</w:t>
        </w:r>
        <w:r w:rsidR="007F2E23">
          <w:rPr>
            <w:noProof/>
            <w:webHidden/>
          </w:rPr>
          <w:fldChar w:fldCharType="end"/>
        </w:r>
      </w:hyperlink>
    </w:p>
    <w:p w14:paraId="151B6BE7" w14:textId="38667192" w:rsidR="007F2E23" w:rsidRDefault="002E7197">
      <w:pPr>
        <w:pStyle w:val="Spistreci2"/>
        <w:tabs>
          <w:tab w:val="right" w:leader="dot" w:pos="9911"/>
        </w:tabs>
        <w:rPr>
          <w:rFonts w:asciiTheme="minorHAnsi" w:eastAsiaTheme="minorEastAsia" w:hAnsiTheme="minorHAnsi" w:cstheme="minorBidi"/>
          <w:noProof/>
          <w:sz w:val="22"/>
          <w:szCs w:val="22"/>
          <w:lang w:val="pl-PL" w:eastAsia="pl-PL"/>
        </w:rPr>
      </w:pPr>
      <w:hyperlink w:anchor="_Toc46391750" w:history="1">
        <w:r w:rsidR="007F2E23" w:rsidRPr="00E57840">
          <w:rPr>
            <w:rStyle w:val="Hipercze"/>
            <w:noProof/>
            <w:lang w:val="fr-BE"/>
          </w:rPr>
          <w:t>Tabela 4B Specyficzne dla programu wskaźniki produktu dla EFS oraz Inicjatywy na rzecz zatrudnienia ludzi młodych</w:t>
        </w:r>
        <w:r w:rsidR="007F2E23" w:rsidRPr="00E57840">
          <w:rPr>
            <w:rStyle w:val="Hipercze"/>
            <w:noProof/>
          </w:rPr>
          <w:t xml:space="preserve"> - </w:t>
        </w:r>
        <w:r w:rsidR="007F2E23" w:rsidRPr="00E57840">
          <w:rPr>
            <w:rStyle w:val="Hipercze"/>
            <w:noProof/>
            <w:lang w:val="fr-BE"/>
          </w:rPr>
          <w:t>8</w:t>
        </w:r>
        <w:r w:rsidR="007F2E23">
          <w:rPr>
            <w:noProof/>
            <w:webHidden/>
          </w:rPr>
          <w:tab/>
        </w:r>
        <w:r w:rsidR="007F2E23">
          <w:rPr>
            <w:noProof/>
            <w:webHidden/>
          </w:rPr>
          <w:fldChar w:fldCharType="begin"/>
        </w:r>
        <w:r w:rsidR="007F2E23">
          <w:rPr>
            <w:noProof/>
            <w:webHidden/>
          </w:rPr>
          <w:instrText xml:space="preserve"> PAGEREF _Toc46391750 \h </w:instrText>
        </w:r>
        <w:r w:rsidR="007F2E23">
          <w:rPr>
            <w:noProof/>
            <w:webHidden/>
          </w:rPr>
        </w:r>
        <w:r w:rsidR="007F2E23">
          <w:rPr>
            <w:noProof/>
            <w:webHidden/>
          </w:rPr>
          <w:fldChar w:fldCharType="separate"/>
        </w:r>
        <w:r w:rsidR="007F2E23">
          <w:rPr>
            <w:noProof/>
            <w:webHidden/>
          </w:rPr>
          <w:t>139</w:t>
        </w:r>
        <w:r w:rsidR="007F2E23">
          <w:rPr>
            <w:noProof/>
            <w:webHidden/>
          </w:rPr>
          <w:fldChar w:fldCharType="end"/>
        </w:r>
      </w:hyperlink>
    </w:p>
    <w:p w14:paraId="58074047" w14:textId="560051A9" w:rsidR="007F2E23" w:rsidRDefault="002E7197">
      <w:pPr>
        <w:pStyle w:val="Spistreci2"/>
        <w:tabs>
          <w:tab w:val="right" w:leader="dot" w:pos="9911"/>
        </w:tabs>
        <w:rPr>
          <w:rFonts w:asciiTheme="minorHAnsi" w:eastAsiaTheme="minorEastAsia" w:hAnsiTheme="minorHAnsi" w:cstheme="minorBidi"/>
          <w:noProof/>
          <w:sz w:val="22"/>
          <w:szCs w:val="22"/>
          <w:lang w:val="pl-PL" w:eastAsia="pl-PL"/>
        </w:rPr>
      </w:pPr>
      <w:hyperlink w:anchor="_Toc46391751" w:history="1">
        <w:r w:rsidR="007F2E23" w:rsidRPr="00E57840">
          <w:rPr>
            <w:rStyle w:val="Hipercze"/>
            <w:noProof/>
          </w:rPr>
          <w:t xml:space="preserve">Tabela 2A : Wspólne wskaźniki rezultatu dla EFS (z podziałem na oś priorytetową, priorytet inwestycyjny i kategorię regionu) Dane na temat wszystkich wspólnych wskaźników rezultatu dla EFS (z wartością docelową i bez) przedstawia się w sprawozdaniu w podziale na płeć. W przypadku osi priorytetowej "Pomoc techniczna w sprawozdaniu przedstawia się jedynie te wskaźniki wspólne, w odniesieniu do których ustanowiono wartość docelową. - </w:t>
        </w:r>
        <w:r w:rsidR="007F2E23" w:rsidRPr="00E57840">
          <w:rPr>
            <w:rStyle w:val="Hipercze"/>
            <w:noProof/>
            <w:lang w:val="fr-BE"/>
          </w:rPr>
          <w:t>9 / 9i</w:t>
        </w:r>
        <w:r w:rsidR="007F2E23">
          <w:rPr>
            <w:noProof/>
            <w:webHidden/>
          </w:rPr>
          <w:tab/>
        </w:r>
        <w:r w:rsidR="007F2E23">
          <w:rPr>
            <w:noProof/>
            <w:webHidden/>
          </w:rPr>
          <w:fldChar w:fldCharType="begin"/>
        </w:r>
        <w:r w:rsidR="007F2E23">
          <w:rPr>
            <w:noProof/>
            <w:webHidden/>
          </w:rPr>
          <w:instrText xml:space="preserve"> PAGEREF _Toc46391751 \h </w:instrText>
        </w:r>
        <w:r w:rsidR="007F2E23">
          <w:rPr>
            <w:noProof/>
            <w:webHidden/>
          </w:rPr>
        </w:r>
        <w:r w:rsidR="007F2E23">
          <w:rPr>
            <w:noProof/>
            <w:webHidden/>
          </w:rPr>
          <w:fldChar w:fldCharType="separate"/>
        </w:r>
        <w:r w:rsidR="007F2E23">
          <w:rPr>
            <w:noProof/>
            <w:webHidden/>
          </w:rPr>
          <w:t>140</w:t>
        </w:r>
        <w:r w:rsidR="007F2E23">
          <w:rPr>
            <w:noProof/>
            <w:webHidden/>
          </w:rPr>
          <w:fldChar w:fldCharType="end"/>
        </w:r>
      </w:hyperlink>
    </w:p>
    <w:p w14:paraId="2939C8F3" w14:textId="2F54199F" w:rsidR="007F2E23" w:rsidRDefault="002E7197">
      <w:pPr>
        <w:pStyle w:val="Spistreci2"/>
        <w:tabs>
          <w:tab w:val="right" w:leader="dot" w:pos="9911"/>
        </w:tabs>
        <w:rPr>
          <w:rFonts w:asciiTheme="minorHAnsi" w:eastAsiaTheme="minorEastAsia" w:hAnsiTheme="minorHAnsi" w:cstheme="minorBidi"/>
          <w:noProof/>
          <w:sz w:val="22"/>
          <w:szCs w:val="22"/>
          <w:lang w:val="pl-PL" w:eastAsia="pl-PL"/>
        </w:rPr>
      </w:pPr>
      <w:hyperlink w:anchor="_Toc46391752" w:history="1">
        <w:r w:rsidR="007F2E23" w:rsidRPr="00E57840">
          <w:rPr>
            <w:rStyle w:val="Hipercze"/>
            <w:noProof/>
            <w:lang w:val="fr-BE"/>
          </w:rPr>
          <w:t>Tabela 2C : Specyficzne dla programu wskaźniki rezultatu dla EFS oraz Inicjatywy na rzecz zatrudnienia ludzi młodych</w:t>
        </w:r>
        <w:r w:rsidR="007F2E23">
          <w:rPr>
            <w:noProof/>
            <w:webHidden/>
          </w:rPr>
          <w:tab/>
        </w:r>
        <w:r w:rsidR="007F2E23">
          <w:rPr>
            <w:noProof/>
            <w:webHidden/>
          </w:rPr>
          <w:fldChar w:fldCharType="begin"/>
        </w:r>
        <w:r w:rsidR="007F2E23">
          <w:rPr>
            <w:noProof/>
            <w:webHidden/>
          </w:rPr>
          <w:instrText xml:space="preserve"> PAGEREF _Toc46391752 \h </w:instrText>
        </w:r>
        <w:r w:rsidR="007F2E23">
          <w:rPr>
            <w:noProof/>
            <w:webHidden/>
          </w:rPr>
        </w:r>
        <w:r w:rsidR="007F2E23">
          <w:rPr>
            <w:noProof/>
            <w:webHidden/>
          </w:rPr>
          <w:fldChar w:fldCharType="separate"/>
        </w:r>
        <w:r w:rsidR="007F2E23">
          <w:rPr>
            <w:noProof/>
            <w:webHidden/>
          </w:rPr>
          <w:t>141</w:t>
        </w:r>
        <w:r w:rsidR="007F2E23">
          <w:rPr>
            <w:noProof/>
            <w:webHidden/>
          </w:rPr>
          <w:fldChar w:fldCharType="end"/>
        </w:r>
      </w:hyperlink>
    </w:p>
    <w:p w14:paraId="28DECDFF" w14:textId="6B71EF94" w:rsidR="007F2E23" w:rsidRDefault="002E7197">
      <w:pPr>
        <w:pStyle w:val="Spistreci2"/>
        <w:tabs>
          <w:tab w:val="right" w:leader="dot" w:pos="9911"/>
        </w:tabs>
        <w:rPr>
          <w:rFonts w:asciiTheme="minorHAnsi" w:eastAsiaTheme="minorEastAsia" w:hAnsiTheme="minorHAnsi" w:cstheme="minorBidi"/>
          <w:noProof/>
          <w:sz w:val="22"/>
          <w:szCs w:val="22"/>
          <w:lang w:val="pl-PL" w:eastAsia="pl-PL"/>
        </w:rPr>
      </w:pPr>
      <w:hyperlink w:anchor="_Toc46391753" w:history="1">
        <w:r w:rsidR="007F2E23" w:rsidRPr="00E57840">
          <w:rPr>
            <w:rStyle w:val="Hipercze"/>
            <w:noProof/>
            <w:lang w:val="fr-BE"/>
          </w:rPr>
          <w:t>Tabela 4A</w:t>
        </w:r>
        <w:r w:rsidR="007F2E23" w:rsidRPr="00E57840">
          <w:rPr>
            <w:rStyle w:val="Hipercze"/>
            <w:noProof/>
          </w:rPr>
          <w:t xml:space="preserve"> : </w:t>
        </w:r>
        <w:r w:rsidR="007F2E23" w:rsidRPr="00E57840">
          <w:rPr>
            <w:rStyle w:val="Hipercze"/>
            <w:noProof/>
            <w:lang w:val="fr-BE"/>
          </w:rPr>
          <w:t>Wspólne wskaźniki produktu dla EFS oraz Inicjatywy na rzecz zatrudnienia ludzi młodych</w:t>
        </w:r>
        <w:r w:rsidR="007F2E23" w:rsidRPr="00E57840">
          <w:rPr>
            <w:rStyle w:val="Hipercze"/>
            <w:noProof/>
          </w:rPr>
          <w:t xml:space="preserve"> - </w:t>
        </w:r>
        <w:r w:rsidR="007F2E23" w:rsidRPr="00E57840">
          <w:rPr>
            <w:rStyle w:val="Hipercze"/>
            <w:noProof/>
            <w:lang w:val="fr-BE"/>
          </w:rPr>
          <w:t>9 / 9i</w:t>
        </w:r>
        <w:r w:rsidR="007F2E23">
          <w:rPr>
            <w:noProof/>
            <w:webHidden/>
          </w:rPr>
          <w:tab/>
        </w:r>
        <w:r w:rsidR="007F2E23">
          <w:rPr>
            <w:noProof/>
            <w:webHidden/>
          </w:rPr>
          <w:fldChar w:fldCharType="begin"/>
        </w:r>
        <w:r w:rsidR="007F2E23">
          <w:rPr>
            <w:noProof/>
            <w:webHidden/>
          </w:rPr>
          <w:instrText xml:space="preserve"> PAGEREF _Toc46391753 \h </w:instrText>
        </w:r>
        <w:r w:rsidR="007F2E23">
          <w:rPr>
            <w:noProof/>
            <w:webHidden/>
          </w:rPr>
        </w:r>
        <w:r w:rsidR="007F2E23">
          <w:rPr>
            <w:noProof/>
            <w:webHidden/>
          </w:rPr>
          <w:fldChar w:fldCharType="separate"/>
        </w:r>
        <w:r w:rsidR="007F2E23">
          <w:rPr>
            <w:noProof/>
            <w:webHidden/>
          </w:rPr>
          <w:t>142</w:t>
        </w:r>
        <w:r w:rsidR="007F2E23">
          <w:rPr>
            <w:noProof/>
            <w:webHidden/>
          </w:rPr>
          <w:fldChar w:fldCharType="end"/>
        </w:r>
      </w:hyperlink>
    </w:p>
    <w:p w14:paraId="06918090" w14:textId="0E731BB3" w:rsidR="007F2E23" w:rsidRDefault="002E7197">
      <w:pPr>
        <w:pStyle w:val="Spistreci2"/>
        <w:tabs>
          <w:tab w:val="right" w:leader="dot" w:pos="9911"/>
        </w:tabs>
        <w:rPr>
          <w:rFonts w:asciiTheme="minorHAnsi" w:eastAsiaTheme="minorEastAsia" w:hAnsiTheme="minorHAnsi" w:cstheme="minorBidi"/>
          <w:noProof/>
          <w:sz w:val="22"/>
          <w:szCs w:val="22"/>
          <w:lang w:val="pl-PL" w:eastAsia="pl-PL"/>
        </w:rPr>
      </w:pPr>
      <w:hyperlink w:anchor="_Toc46391754" w:history="1">
        <w:r w:rsidR="007F2E23" w:rsidRPr="00E57840">
          <w:rPr>
            <w:rStyle w:val="Hipercze"/>
            <w:noProof/>
            <w:lang w:val="fr-BE"/>
          </w:rPr>
          <w:t>Tabela 4B Specyficzne dla programu wskaźniki produktu dla EFS oraz Inicjatywy na rzecz zatrudnienia ludzi młodych</w:t>
        </w:r>
        <w:r w:rsidR="007F2E23" w:rsidRPr="00E57840">
          <w:rPr>
            <w:rStyle w:val="Hipercze"/>
            <w:noProof/>
          </w:rPr>
          <w:t xml:space="preserve"> - </w:t>
        </w:r>
        <w:r w:rsidR="007F2E23" w:rsidRPr="00E57840">
          <w:rPr>
            <w:rStyle w:val="Hipercze"/>
            <w:noProof/>
            <w:lang w:val="fr-BE"/>
          </w:rPr>
          <w:t>9</w:t>
        </w:r>
        <w:r w:rsidR="007F2E23">
          <w:rPr>
            <w:noProof/>
            <w:webHidden/>
          </w:rPr>
          <w:tab/>
        </w:r>
        <w:r w:rsidR="007F2E23">
          <w:rPr>
            <w:noProof/>
            <w:webHidden/>
          </w:rPr>
          <w:fldChar w:fldCharType="begin"/>
        </w:r>
        <w:r w:rsidR="007F2E23">
          <w:rPr>
            <w:noProof/>
            <w:webHidden/>
          </w:rPr>
          <w:instrText xml:space="preserve"> PAGEREF _Toc46391754 \h </w:instrText>
        </w:r>
        <w:r w:rsidR="007F2E23">
          <w:rPr>
            <w:noProof/>
            <w:webHidden/>
          </w:rPr>
        </w:r>
        <w:r w:rsidR="007F2E23">
          <w:rPr>
            <w:noProof/>
            <w:webHidden/>
          </w:rPr>
          <w:fldChar w:fldCharType="separate"/>
        </w:r>
        <w:r w:rsidR="007F2E23">
          <w:rPr>
            <w:noProof/>
            <w:webHidden/>
          </w:rPr>
          <w:t>144</w:t>
        </w:r>
        <w:r w:rsidR="007F2E23">
          <w:rPr>
            <w:noProof/>
            <w:webHidden/>
          </w:rPr>
          <w:fldChar w:fldCharType="end"/>
        </w:r>
      </w:hyperlink>
    </w:p>
    <w:p w14:paraId="16FDCE62" w14:textId="3E21973A" w:rsidR="007F2E23" w:rsidRDefault="002E7197">
      <w:pPr>
        <w:pStyle w:val="Spistreci2"/>
        <w:tabs>
          <w:tab w:val="right" w:leader="dot" w:pos="9911"/>
        </w:tabs>
        <w:rPr>
          <w:rFonts w:asciiTheme="minorHAnsi" w:eastAsiaTheme="minorEastAsia" w:hAnsiTheme="minorHAnsi" w:cstheme="minorBidi"/>
          <w:noProof/>
          <w:sz w:val="22"/>
          <w:szCs w:val="22"/>
          <w:lang w:val="pl-PL" w:eastAsia="pl-PL"/>
        </w:rPr>
      </w:pPr>
      <w:hyperlink w:anchor="_Toc46391755" w:history="1">
        <w:r w:rsidR="007F2E23" w:rsidRPr="00E57840">
          <w:rPr>
            <w:rStyle w:val="Hipercze"/>
            <w:noProof/>
          </w:rPr>
          <w:t xml:space="preserve">Tabela 2A : Wspólne wskaźniki rezultatu dla EFS (z podziałem na oś priorytetową, priorytet inwestycyjny i kategorię regionu) Dane na temat wszystkich wspólnych wskaźników rezultatu dla EFS (z wartością docelową i bez) przedstawia się w sprawozdaniu w podziale na płeć. W przypadku osi priorytetowej "Pomoc techniczna w sprawozdaniu przedstawia się jedynie te wskaźniki wspólne, w odniesieniu do których ustanowiono wartość docelową. - </w:t>
        </w:r>
        <w:r w:rsidR="007F2E23" w:rsidRPr="00E57840">
          <w:rPr>
            <w:rStyle w:val="Hipercze"/>
            <w:noProof/>
            <w:lang w:val="fr-BE"/>
          </w:rPr>
          <w:t>9 / 9iv</w:t>
        </w:r>
        <w:r w:rsidR="007F2E23">
          <w:rPr>
            <w:noProof/>
            <w:webHidden/>
          </w:rPr>
          <w:tab/>
        </w:r>
        <w:r w:rsidR="007F2E23">
          <w:rPr>
            <w:noProof/>
            <w:webHidden/>
          </w:rPr>
          <w:fldChar w:fldCharType="begin"/>
        </w:r>
        <w:r w:rsidR="007F2E23">
          <w:rPr>
            <w:noProof/>
            <w:webHidden/>
          </w:rPr>
          <w:instrText xml:space="preserve"> PAGEREF _Toc46391755 \h </w:instrText>
        </w:r>
        <w:r w:rsidR="007F2E23">
          <w:rPr>
            <w:noProof/>
            <w:webHidden/>
          </w:rPr>
        </w:r>
        <w:r w:rsidR="007F2E23">
          <w:rPr>
            <w:noProof/>
            <w:webHidden/>
          </w:rPr>
          <w:fldChar w:fldCharType="separate"/>
        </w:r>
        <w:r w:rsidR="007F2E23">
          <w:rPr>
            <w:noProof/>
            <w:webHidden/>
          </w:rPr>
          <w:t>145</w:t>
        </w:r>
        <w:r w:rsidR="007F2E23">
          <w:rPr>
            <w:noProof/>
            <w:webHidden/>
          </w:rPr>
          <w:fldChar w:fldCharType="end"/>
        </w:r>
      </w:hyperlink>
    </w:p>
    <w:p w14:paraId="21E356AD" w14:textId="4E36589C" w:rsidR="007F2E23" w:rsidRDefault="002E7197">
      <w:pPr>
        <w:pStyle w:val="Spistreci2"/>
        <w:tabs>
          <w:tab w:val="right" w:leader="dot" w:pos="9911"/>
        </w:tabs>
        <w:rPr>
          <w:rFonts w:asciiTheme="minorHAnsi" w:eastAsiaTheme="minorEastAsia" w:hAnsiTheme="minorHAnsi" w:cstheme="minorBidi"/>
          <w:noProof/>
          <w:sz w:val="22"/>
          <w:szCs w:val="22"/>
          <w:lang w:val="pl-PL" w:eastAsia="pl-PL"/>
        </w:rPr>
      </w:pPr>
      <w:hyperlink w:anchor="_Toc46391756" w:history="1">
        <w:r w:rsidR="007F2E23" w:rsidRPr="00E57840">
          <w:rPr>
            <w:rStyle w:val="Hipercze"/>
            <w:noProof/>
            <w:lang w:val="fr-BE"/>
          </w:rPr>
          <w:t>Tabela 2C : Specyficzne dla programu wskaźniki rezultatu dla EFS oraz Inicjatywy na rzecz zatrudnienia ludzi młodych</w:t>
        </w:r>
        <w:r w:rsidR="007F2E23">
          <w:rPr>
            <w:noProof/>
            <w:webHidden/>
          </w:rPr>
          <w:tab/>
        </w:r>
        <w:r w:rsidR="007F2E23">
          <w:rPr>
            <w:noProof/>
            <w:webHidden/>
          </w:rPr>
          <w:fldChar w:fldCharType="begin"/>
        </w:r>
        <w:r w:rsidR="007F2E23">
          <w:rPr>
            <w:noProof/>
            <w:webHidden/>
          </w:rPr>
          <w:instrText xml:space="preserve"> PAGEREF _Toc46391756 \h </w:instrText>
        </w:r>
        <w:r w:rsidR="007F2E23">
          <w:rPr>
            <w:noProof/>
            <w:webHidden/>
          </w:rPr>
        </w:r>
        <w:r w:rsidR="007F2E23">
          <w:rPr>
            <w:noProof/>
            <w:webHidden/>
          </w:rPr>
          <w:fldChar w:fldCharType="separate"/>
        </w:r>
        <w:r w:rsidR="007F2E23">
          <w:rPr>
            <w:noProof/>
            <w:webHidden/>
          </w:rPr>
          <w:t>146</w:t>
        </w:r>
        <w:r w:rsidR="007F2E23">
          <w:rPr>
            <w:noProof/>
            <w:webHidden/>
          </w:rPr>
          <w:fldChar w:fldCharType="end"/>
        </w:r>
      </w:hyperlink>
    </w:p>
    <w:p w14:paraId="2980F2DB" w14:textId="0245BE0A" w:rsidR="007F2E23" w:rsidRDefault="002E7197">
      <w:pPr>
        <w:pStyle w:val="Spistreci2"/>
        <w:tabs>
          <w:tab w:val="right" w:leader="dot" w:pos="9911"/>
        </w:tabs>
        <w:rPr>
          <w:rFonts w:asciiTheme="minorHAnsi" w:eastAsiaTheme="minorEastAsia" w:hAnsiTheme="minorHAnsi" w:cstheme="minorBidi"/>
          <w:noProof/>
          <w:sz w:val="22"/>
          <w:szCs w:val="22"/>
          <w:lang w:val="pl-PL" w:eastAsia="pl-PL"/>
        </w:rPr>
      </w:pPr>
      <w:hyperlink w:anchor="_Toc46391757" w:history="1">
        <w:r w:rsidR="007F2E23" w:rsidRPr="00E57840">
          <w:rPr>
            <w:rStyle w:val="Hipercze"/>
            <w:noProof/>
            <w:lang w:val="fr-BE"/>
          </w:rPr>
          <w:t>Tabela 4A</w:t>
        </w:r>
        <w:r w:rsidR="007F2E23" w:rsidRPr="00E57840">
          <w:rPr>
            <w:rStyle w:val="Hipercze"/>
            <w:noProof/>
          </w:rPr>
          <w:t xml:space="preserve"> : </w:t>
        </w:r>
        <w:r w:rsidR="007F2E23" w:rsidRPr="00E57840">
          <w:rPr>
            <w:rStyle w:val="Hipercze"/>
            <w:noProof/>
            <w:lang w:val="fr-BE"/>
          </w:rPr>
          <w:t>Wspólne wskaźniki produktu dla EFS oraz Inicjatywy na rzecz zatrudnienia ludzi młodych</w:t>
        </w:r>
        <w:r w:rsidR="007F2E23" w:rsidRPr="00E57840">
          <w:rPr>
            <w:rStyle w:val="Hipercze"/>
            <w:noProof/>
          </w:rPr>
          <w:t xml:space="preserve"> - </w:t>
        </w:r>
        <w:r w:rsidR="007F2E23" w:rsidRPr="00E57840">
          <w:rPr>
            <w:rStyle w:val="Hipercze"/>
            <w:noProof/>
            <w:lang w:val="fr-BE"/>
          </w:rPr>
          <w:t>9 / 9iv</w:t>
        </w:r>
        <w:r w:rsidR="007F2E23">
          <w:rPr>
            <w:noProof/>
            <w:webHidden/>
          </w:rPr>
          <w:tab/>
        </w:r>
        <w:r w:rsidR="007F2E23">
          <w:rPr>
            <w:noProof/>
            <w:webHidden/>
          </w:rPr>
          <w:fldChar w:fldCharType="begin"/>
        </w:r>
        <w:r w:rsidR="007F2E23">
          <w:rPr>
            <w:noProof/>
            <w:webHidden/>
          </w:rPr>
          <w:instrText xml:space="preserve"> PAGEREF _Toc46391757 \h </w:instrText>
        </w:r>
        <w:r w:rsidR="007F2E23">
          <w:rPr>
            <w:noProof/>
            <w:webHidden/>
          </w:rPr>
        </w:r>
        <w:r w:rsidR="007F2E23">
          <w:rPr>
            <w:noProof/>
            <w:webHidden/>
          </w:rPr>
          <w:fldChar w:fldCharType="separate"/>
        </w:r>
        <w:r w:rsidR="007F2E23">
          <w:rPr>
            <w:noProof/>
            <w:webHidden/>
          </w:rPr>
          <w:t>147</w:t>
        </w:r>
        <w:r w:rsidR="007F2E23">
          <w:rPr>
            <w:noProof/>
            <w:webHidden/>
          </w:rPr>
          <w:fldChar w:fldCharType="end"/>
        </w:r>
      </w:hyperlink>
    </w:p>
    <w:p w14:paraId="52F18463" w14:textId="6F9E8CB6" w:rsidR="007F2E23" w:rsidRDefault="002E7197">
      <w:pPr>
        <w:pStyle w:val="Spistreci2"/>
        <w:tabs>
          <w:tab w:val="right" w:leader="dot" w:pos="9911"/>
        </w:tabs>
        <w:rPr>
          <w:rFonts w:asciiTheme="minorHAnsi" w:eastAsiaTheme="minorEastAsia" w:hAnsiTheme="minorHAnsi" w:cstheme="minorBidi"/>
          <w:noProof/>
          <w:sz w:val="22"/>
          <w:szCs w:val="22"/>
          <w:lang w:val="pl-PL" w:eastAsia="pl-PL"/>
        </w:rPr>
      </w:pPr>
      <w:hyperlink w:anchor="_Toc46391758" w:history="1">
        <w:r w:rsidR="007F2E23" w:rsidRPr="00E57840">
          <w:rPr>
            <w:rStyle w:val="Hipercze"/>
            <w:noProof/>
            <w:lang w:val="fr-BE"/>
          </w:rPr>
          <w:t>Tabela 4B Specyficzne dla programu wskaźniki produktu dla EFS oraz Inicjatywy na rzecz zatrudnienia ludzi młodych</w:t>
        </w:r>
        <w:r w:rsidR="007F2E23" w:rsidRPr="00E57840">
          <w:rPr>
            <w:rStyle w:val="Hipercze"/>
            <w:noProof/>
          </w:rPr>
          <w:t xml:space="preserve"> - </w:t>
        </w:r>
        <w:r w:rsidR="007F2E23" w:rsidRPr="00E57840">
          <w:rPr>
            <w:rStyle w:val="Hipercze"/>
            <w:noProof/>
            <w:lang w:val="fr-BE"/>
          </w:rPr>
          <w:t>9</w:t>
        </w:r>
        <w:r w:rsidR="007F2E23">
          <w:rPr>
            <w:noProof/>
            <w:webHidden/>
          </w:rPr>
          <w:tab/>
        </w:r>
        <w:r w:rsidR="007F2E23">
          <w:rPr>
            <w:noProof/>
            <w:webHidden/>
          </w:rPr>
          <w:fldChar w:fldCharType="begin"/>
        </w:r>
        <w:r w:rsidR="007F2E23">
          <w:rPr>
            <w:noProof/>
            <w:webHidden/>
          </w:rPr>
          <w:instrText xml:space="preserve"> PAGEREF _Toc46391758 \h </w:instrText>
        </w:r>
        <w:r w:rsidR="007F2E23">
          <w:rPr>
            <w:noProof/>
            <w:webHidden/>
          </w:rPr>
        </w:r>
        <w:r w:rsidR="007F2E23">
          <w:rPr>
            <w:noProof/>
            <w:webHidden/>
          </w:rPr>
          <w:fldChar w:fldCharType="separate"/>
        </w:r>
        <w:r w:rsidR="007F2E23">
          <w:rPr>
            <w:noProof/>
            <w:webHidden/>
          </w:rPr>
          <w:t>149</w:t>
        </w:r>
        <w:r w:rsidR="007F2E23">
          <w:rPr>
            <w:noProof/>
            <w:webHidden/>
          </w:rPr>
          <w:fldChar w:fldCharType="end"/>
        </w:r>
      </w:hyperlink>
    </w:p>
    <w:p w14:paraId="1670B916" w14:textId="77CEE229" w:rsidR="007F2E23" w:rsidRDefault="002E7197">
      <w:pPr>
        <w:pStyle w:val="Spistreci2"/>
        <w:tabs>
          <w:tab w:val="right" w:leader="dot" w:pos="9911"/>
        </w:tabs>
        <w:rPr>
          <w:rFonts w:asciiTheme="minorHAnsi" w:eastAsiaTheme="minorEastAsia" w:hAnsiTheme="minorHAnsi" w:cstheme="minorBidi"/>
          <w:noProof/>
          <w:sz w:val="22"/>
          <w:szCs w:val="22"/>
          <w:lang w:val="pl-PL" w:eastAsia="pl-PL"/>
        </w:rPr>
      </w:pPr>
      <w:hyperlink w:anchor="_Toc46391759" w:history="1">
        <w:r w:rsidR="007F2E23" w:rsidRPr="00E57840">
          <w:rPr>
            <w:rStyle w:val="Hipercze"/>
            <w:noProof/>
          </w:rPr>
          <w:t xml:space="preserve">Tabela 2A : Wspólne wskaźniki rezultatu dla EFS (z podziałem na oś priorytetową, priorytet inwestycyjny i kategorię regionu) Dane na temat wszystkich wspólnych wskaźników rezultatu dla EFS (z wartością docelową i bez) przedstawia się w sprawozdaniu w podziale na płeć. W przypadku osi priorytetowej "Pomoc techniczna w sprawozdaniu przedstawia się jedynie te wskaźniki wspólne, w odniesieniu do których ustanowiono wartość docelową. - </w:t>
        </w:r>
        <w:r w:rsidR="007F2E23" w:rsidRPr="00E57840">
          <w:rPr>
            <w:rStyle w:val="Hipercze"/>
            <w:noProof/>
            <w:lang w:val="fr-BE"/>
          </w:rPr>
          <w:t>9 / 9v</w:t>
        </w:r>
        <w:r w:rsidR="007F2E23">
          <w:rPr>
            <w:noProof/>
            <w:webHidden/>
          </w:rPr>
          <w:tab/>
        </w:r>
        <w:r w:rsidR="007F2E23">
          <w:rPr>
            <w:noProof/>
            <w:webHidden/>
          </w:rPr>
          <w:fldChar w:fldCharType="begin"/>
        </w:r>
        <w:r w:rsidR="007F2E23">
          <w:rPr>
            <w:noProof/>
            <w:webHidden/>
          </w:rPr>
          <w:instrText xml:space="preserve"> PAGEREF _Toc46391759 \h </w:instrText>
        </w:r>
        <w:r w:rsidR="007F2E23">
          <w:rPr>
            <w:noProof/>
            <w:webHidden/>
          </w:rPr>
        </w:r>
        <w:r w:rsidR="007F2E23">
          <w:rPr>
            <w:noProof/>
            <w:webHidden/>
          </w:rPr>
          <w:fldChar w:fldCharType="separate"/>
        </w:r>
        <w:r w:rsidR="007F2E23">
          <w:rPr>
            <w:noProof/>
            <w:webHidden/>
          </w:rPr>
          <w:t>150</w:t>
        </w:r>
        <w:r w:rsidR="007F2E23">
          <w:rPr>
            <w:noProof/>
            <w:webHidden/>
          </w:rPr>
          <w:fldChar w:fldCharType="end"/>
        </w:r>
      </w:hyperlink>
    </w:p>
    <w:p w14:paraId="7D7942C7" w14:textId="734FD017" w:rsidR="007F2E23" w:rsidRDefault="002E7197">
      <w:pPr>
        <w:pStyle w:val="Spistreci2"/>
        <w:tabs>
          <w:tab w:val="right" w:leader="dot" w:pos="9911"/>
        </w:tabs>
        <w:rPr>
          <w:rFonts w:asciiTheme="minorHAnsi" w:eastAsiaTheme="minorEastAsia" w:hAnsiTheme="minorHAnsi" w:cstheme="minorBidi"/>
          <w:noProof/>
          <w:sz w:val="22"/>
          <w:szCs w:val="22"/>
          <w:lang w:val="pl-PL" w:eastAsia="pl-PL"/>
        </w:rPr>
      </w:pPr>
      <w:hyperlink w:anchor="_Toc46391760" w:history="1">
        <w:r w:rsidR="007F2E23" w:rsidRPr="00E57840">
          <w:rPr>
            <w:rStyle w:val="Hipercze"/>
            <w:noProof/>
            <w:lang w:val="fr-BE"/>
          </w:rPr>
          <w:t>Tabela 2C : Specyficzne dla programu wskaźniki rezultatu dla EFS oraz Inicjatywy na rzecz zatrudnienia ludzi młodych</w:t>
        </w:r>
        <w:r w:rsidR="007F2E23">
          <w:rPr>
            <w:noProof/>
            <w:webHidden/>
          </w:rPr>
          <w:tab/>
        </w:r>
        <w:r w:rsidR="007F2E23">
          <w:rPr>
            <w:noProof/>
            <w:webHidden/>
          </w:rPr>
          <w:fldChar w:fldCharType="begin"/>
        </w:r>
        <w:r w:rsidR="007F2E23">
          <w:rPr>
            <w:noProof/>
            <w:webHidden/>
          </w:rPr>
          <w:instrText xml:space="preserve"> PAGEREF _Toc46391760 \h </w:instrText>
        </w:r>
        <w:r w:rsidR="007F2E23">
          <w:rPr>
            <w:noProof/>
            <w:webHidden/>
          </w:rPr>
        </w:r>
        <w:r w:rsidR="007F2E23">
          <w:rPr>
            <w:noProof/>
            <w:webHidden/>
          </w:rPr>
          <w:fldChar w:fldCharType="separate"/>
        </w:r>
        <w:r w:rsidR="007F2E23">
          <w:rPr>
            <w:noProof/>
            <w:webHidden/>
          </w:rPr>
          <w:t>151</w:t>
        </w:r>
        <w:r w:rsidR="007F2E23">
          <w:rPr>
            <w:noProof/>
            <w:webHidden/>
          </w:rPr>
          <w:fldChar w:fldCharType="end"/>
        </w:r>
      </w:hyperlink>
    </w:p>
    <w:p w14:paraId="3003B891" w14:textId="7D537EF6" w:rsidR="007F2E23" w:rsidRDefault="002E7197">
      <w:pPr>
        <w:pStyle w:val="Spistreci2"/>
        <w:tabs>
          <w:tab w:val="right" w:leader="dot" w:pos="9911"/>
        </w:tabs>
        <w:rPr>
          <w:rFonts w:asciiTheme="minorHAnsi" w:eastAsiaTheme="minorEastAsia" w:hAnsiTheme="minorHAnsi" w:cstheme="minorBidi"/>
          <w:noProof/>
          <w:sz w:val="22"/>
          <w:szCs w:val="22"/>
          <w:lang w:val="pl-PL" w:eastAsia="pl-PL"/>
        </w:rPr>
      </w:pPr>
      <w:hyperlink w:anchor="_Toc46391761" w:history="1">
        <w:r w:rsidR="007F2E23" w:rsidRPr="00E57840">
          <w:rPr>
            <w:rStyle w:val="Hipercze"/>
            <w:noProof/>
            <w:lang w:val="fr-BE"/>
          </w:rPr>
          <w:t>Tabela 4A</w:t>
        </w:r>
        <w:r w:rsidR="007F2E23" w:rsidRPr="00E57840">
          <w:rPr>
            <w:rStyle w:val="Hipercze"/>
            <w:noProof/>
          </w:rPr>
          <w:t xml:space="preserve"> : </w:t>
        </w:r>
        <w:r w:rsidR="007F2E23" w:rsidRPr="00E57840">
          <w:rPr>
            <w:rStyle w:val="Hipercze"/>
            <w:noProof/>
            <w:lang w:val="fr-BE"/>
          </w:rPr>
          <w:t>Wspólne wskaźniki produktu dla EFS oraz Inicjatywy na rzecz zatrudnienia ludzi młodych</w:t>
        </w:r>
        <w:r w:rsidR="007F2E23" w:rsidRPr="00E57840">
          <w:rPr>
            <w:rStyle w:val="Hipercze"/>
            <w:noProof/>
          </w:rPr>
          <w:t xml:space="preserve"> - </w:t>
        </w:r>
        <w:r w:rsidR="007F2E23" w:rsidRPr="00E57840">
          <w:rPr>
            <w:rStyle w:val="Hipercze"/>
            <w:noProof/>
            <w:lang w:val="fr-BE"/>
          </w:rPr>
          <w:t>9 / 9v</w:t>
        </w:r>
        <w:r w:rsidR="007F2E23">
          <w:rPr>
            <w:noProof/>
            <w:webHidden/>
          </w:rPr>
          <w:tab/>
        </w:r>
        <w:r w:rsidR="007F2E23">
          <w:rPr>
            <w:noProof/>
            <w:webHidden/>
          </w:rPr>
          <w:fldChar w:fldCharType="begin"/>
        </w:r>
        <w:r w:rsidR="007F2E23">
          <w:rPr>
            <w:noProof/>
            <w:webHidden/>
          </w:rPr>
          <w:instrText xml:space="preserve"> PAGEREF _Toc46391761 \h </w:instrText>
        </w:r>
        <w:r w:rsidR="007F2E23">
          <w:rPr>
            <w:noProof/>
            <w:webHidden/>
          </w:rPr>
        </w:r>
        <w:r w:rsidR="007F2E23">
          <w:rPr>
            <w:noProof/>
            <w:webHidden/>
          </w:rPr>
          <w:fldChar w:fldCharType="separate"/>
        </w:r>
        <w:r w:rsidR="007F2E23">
          <w:rPr>
            <w:noProof/>
            <w:webHidden/>
          </w:rPr>
          <w:t>152</w:t>
        </w:r>
        <w:r w:rsidR="007F2E23">
          <w:rPr>
            <w:noProof/>
            <w:webHidden/>
          </w:rPr>
          <w:fldChar w:fldCharType="end"/>
        </w:r>
      </w:hyperlink>
    </w:p>
    <w:p w14:paraId="19CC5849" w14:textId="129185E1" w:rsidR="007F2E23" w:rsidRDefault="002E7197">
      <w:pPr>
        <w:pStyle w:val="Spistreci2"/>
        <w:tabs>
          <w:tab w:val="right" w:leader="dot" w:pos="9911"/>
        </w:tabs>
        <w:rPr>
          <w:rFonts w:asciiTheme="minorHAnsi" w:eastAsiaTheme="minorEastAsia" w:hAnsiTheme="minorHAnsi" w:cstheme="minorBidi"/>
          <w:noProof/>
          <w:sz w:val="22"/>
          <w:szCs w:val="22"/>
          <w:lang w:val="pl-PL" w:eastAsia="pl-PL"/>
        </w:rPr>
      </w:pPr>
      <w:hyperlink w:anchor="_Toc46391762" w:history="1">
        <w:r w:rsidR="007F2E23" w:rsidRPr="00E57840">
          <w:rPr>
            <w:rStyle w:val="Hipercze"/>
            <w:noProof/>
            <w:lang w:val="fr-BE"/>
          </w:rPr>
          <w:t>Tabela 4B Specyficzne dla programu wskaźniki produktu dla EFS oraz Inicjatywy na rzecz zatrudnienia ludzi młodych</w:t>
        </w:r>
        <w:r w:rsidR="007F2E23" w:rsidRPr="00E57840">
          <w:rPr>
            <w:rStyle w:val="Hipercze"/>
            <w:noProof/>
          </w:rPr>
          <w:t xml:space="preserve"> - </w:t>
        </w:r>
        <w:r w:rsidR="007F2E23" w:rsidRPr="00E57840">
          <w:rPr>
            <w:rStyle w:val="Hipercze"/>
            <w:noProof/>
            <w:lang w:val="fr-BE"/>
          </w:rPr>
          <w:t>9</w:t>
        </w:r>
        <w:r w:rsidR="007F2E23">
          <w:rPr>
            <w:noProof/>
            <w:webHidden/>
          </w:rPr>
          <w:tab/>
        </w:r>
        <w:r w:rsidR="007F2E23">
          <w:rPr>
            <w:noProof/>
            <w:webHidden/>
          </w:rPr>
          <w:fldChar w:fldCharType="begin"/>
        </w:r>
        <w:r w:rsidR="007F2E23">
          <w:rPr>
            <w:noProof/>
            <w:webHidden/>
          </w:rPr>
          <w:instrText xml:space="preserve"> PAGEREF _Toc46391762 \h </w:instrText>
        </w:r>
        <w:r w:rsidR="007F2E23">
          <w:rPr>
            <w:noProof/>
            <w:webHidden/>
          </w:rPr>
        </w:r>
        <w:r w:rsidR="007F2E23">
          <w:rPr>
            <w:noProof/>
            <w:webHidden/>
          </w:rPr>
          <w:fldChar w:fldCharType="separate"/>
        </w:r>
        <w:r w:rsidR="007F2E23">
          <w:rPr>
            <w:noProof/>
            <w:webHidden/>
          </w:rPr>
          <w:t>154</w:t>
        </w:r>
        <w:r w:rsidR="007F2E23">
          <w:rPr>
            <w:noProof/>
            <w:webHidden/>
          </w:rPr>
          <w:fldChar w:fldCharType="end"/>
        </w:r>
      </w:hyperlink>
    </w:p>
    <w:p w14:paraId="4F63B88B" w14:textId="42FA15D8" w:rsidR="007F2E23" w:rsidRDefault="002E7197">
      <w:pPr>
        <w:pStyle w:val="Spistreci2"/>
        <w:tabs>
          <w:tab w:val="right" w:leader="dot" w:pos="9911"/>
        </w:tabs>
        <w:rPr>
          <w:rFonts w:asciiTheme="minorHAnsi" w:eastAsiaTheme="minorEastAsia" w:hAnsiTheme="minorHAnsi" w:cstheme="minorBidi"/>
          <w:noProof/>
          <w:sz w:val="22"/>
          <w:szCs w:val="22"/>
          <w:lang w:val="pl-PL" w:eastAsia="pl-PL"/>
        </w:rPr>
      </w:pPr>
      <w:hyperlink w:anchor="_Toc46391763" w:history="1">
        <w:r w:rsidR="007F2E23" w:rsidRPr="00E57840">
          <w:rPr>
            <w:rStyle w:val="Hipercze"/>
            <w:noProof/>
            <w:lang w:val="fr-BE"/>
          </w:rPr>
          <w:t>Tabela 4A</w:t>
        </w:r>
        <w:r w:rsidR="007F2E23" w:rsidRPr="00E57840">
          <w:rPr>
            <w:rStyle w:val="Hipercze"/>
            <w:noProof/>
          </w:rPr>
          <w:t xml:space="preserve"> : </w:t>
        </w:r>
        <w:r w:rsidR="007F2E23" w:rsidRPr="00E57840">
          <w:rPr>
            <w:rStyle w:val="Hipercze"/>
            <w:noProof/>
            <w:lang w:val="fr-BE"/>
          </w:rPr>
          <w:t>Wspólne wskaźniki produktu dla EFS oraz Inicjatywy na rzecz zatrudnienia ludzi młodych</w:t>
        </w:r>
        <w:r w:rsidR="007F2E23" w:rsidRPr="00E57840">
          <w:rPr>
            <w:rStyle w:val="Hipercze"/>
            <w:noProof/>
          </w:rPr>
          <w:t xml:space="preserve"> - </w:t>
        </w:r>
        <w:r w:rsidR="007F2E23" w:rsidRPr="00E57840">
          <w:rPr>
            <w:rStyle w:val="Hipercze"/>
            <w:noProof/>
            <w:lang w:val="fr-BE"/>
          </w:rPr>
          <w:t>11</w:t>
        </w:r>
        <w:r w:rsidR="007F2E23">
          <w:rPr>
            <w:noProof/>
            <w:webHidden/>
          </w:rPr>
          <w:tab/>
        </w:r>
        <w:r w:rsidR="007F2E23">
          <w:rPr>
            <w:noProof/>
            <w:webHidden/>
          </w:rPr>
          <w:fldChar w:fldCharType="begin"/>
        </w:r>
        <w:r w:rsidR="007F2E23">
          <w:rPr>
            <w:noProof/>
            <w:webHidden/>
          </w:rPr>
          <w:instrText xml:space="preserve"> PAGEREF _Toc46391763 \h </w:instrText>
        </w:r>
        <w:r w:rsidR="007F2E23">
          <w:rPr>
            <w:noProof/>
            <w:webHidden/>
          </w:rPr>
        </w:r>
        <w:r w:rsidR="007F2E23">
          <w:rPr>
            <w:noProof/>
            <w:webHidden/>
          </w:rPr>
          <w:fldChar w:fldCharType="separate"/>
        </w:r>
        <w:r w:rsidR="007F2E23">
          <w:rPr>
            <w:noProof/>
            <w:webHidden/>
          </w:rPr>
          <w:t>155</w:t>
        </w:r>
        <w:r w:rsidR="007F2E23">
          <w:rPr>
            <w:noProof/>
            <w:webHidden/>
          </w:rPr>
          <w:fldChar w:fldCharType="end"/>
        </w:r>
      </w:hyperlink>
    </w:p>
    <w:p w14:paraId="3FAB8609" w14:textId="46C1AA65" w:rsidR="007F2E23" w:rsidRDefault="002E7197">
      <w:pPr>
        <w:pStyle w:val="Spistreci2"/>
        <w:tabs>
          <w:tab w:val="right" w:leader="dot" w:pos="9911"/>
        </w:tabs>
        <w:rPr>
          <w:rFonts w:asciiTheme="minorHAnsi" w:eastAsiaTheme="minorEastAsia" w:hAnsiTheme="minorHAnsi" w:cstheme="minorBidi"/>
          <w:noProof/>
          <w:sz w:val="22"/>
          <w:szCs w:val="22"/>
          <w:lang w:val="pl-PL" w:eastAsia="pl-PL"/>
        </w:rPr>
      </w:pPr>
      <w:hyperlink w:anchor="_Toc46391764" w:history="1">
        <w:r w:rsidR="007F2E23" w:rsidRPr="00E57840">
          <w:rPr>
            <w:rStyle w:val="Hipercze"/>
            <w:noProof/>
            <w:lang w:val="fr-BE"/>
          </w:rPr>
          <w:t>Tabela 4B Specyficzne dla programu wskaźniki produktu dla EFS oraz Inicjatywy na rzecz zatrudnienia ludzi młodych</w:t>
        </w:r>
        <w:r w:rsidR="007F2E23" w:rsidRPr="00E57840">
          <w:rPr>
            <w:rStyle w:val="Hipercze"/>
            <w:noProof/>
          </w:rPr>
          <w:t xml:space="preserve"> - </w:t>
        </w:r>
        <w:r w:rsidR="007F2E23" w:rsidRPr="00E57840">
          <w:rPr>
            <w:rStyle w:val="Hipercze"/>
            <w:noProof/>
            <w:lang w:val="fr-BE"/>
          </w:rPr>
          <w:t>11</w:t>
        </w:r>
        <w:r w:rsidR="007F2E23">
          <w:rPr>
            <w:noProof/>
            <w:webHidden/>
          </w:rPr>
          <w:tab/>
        </w:r>
        <w:r w:rsidR="007F2E23">
          <w:rPr>
            <w:noProof/>
            <w:webHidden/>
          </w:rPr>
          <w:fldChar w:fldCharType="begin"/>
        </w:r>
        <w:r w:rsidR="007F2E23">
          <w:rPr>
            <w:noProof/>
            <w:webHidden/>
          </w:rPr>
          <w:instrText xml:space="preserve"> PAGEREF _Toc46391764 \h </w:instrText>
        </w:r>
        <w:r w:rsidR="007F2E23">
          <w:rPr>
            <w:noProof/>
            <w:webHidden/>
          </w:rPr>
        </w:r>
        <w:r w:rsidR="007F2E23">
          <w:rPr>
            <w:noProof/>
            <w:webHidden/>
          </w:rPr>
          <w:fldChar w:fldCharType="separate"/>
        </w:r>
        <w:r w:rsidR="007F2E23">
          <w:rPr>
            <w:noProof/>
            <w:webHidden/>
          </w:rPr>
          <w:t>156</w:t>
        </w:r>
        <w:r w:rsidR="007F2E23">
          <w:rPr>
            <w:noProof/>
            <w:webHidden/>
          </w:rPr>
          <w:fldChar w:fldCharType="end"/>
        </w:r>
      </w:hyperlink>
    </w:p>
    <w:p w14:paraId="3241E36F" w14:textId="27873267" w:rsidR="007F2E23" w:rsidRDefault="002E7197">
      <w:pPr>
        <w:pStyle w:val="Spistreci2"/>
        <w:tabs>
          <w:tab w:val="right" w:leader="dot" w:pos="9911"/>
        </w:tabs>
        <w:rPr>
          <w:rFonts w:asciiTheme="minorHAnsi" w:eastAsiaTheme="minorEastAsia" w:hAnsiTheme="minorHAnsi" w:cstheme="minorBidi"/>
          <w:noProof/>
          <w:sz w:val="22"/>
          <w:szCs w:val="22"/>
          <w:lang w:val="pl-PL" w:eastAsia="pl-PL"/>
        </w:rPr>
      </w:pPr>
      <w:hyperlink w:anchor="_Toc46391765" w:history="1">
        <w:r w:rsidR="007F2E23" w:rsidRPr="00E57840">
          <w:rPr>
            <w:rStyle w:val="Hipercze"/>
            <w:noProof/>
            <w:lang w:val="fr-BE"/>
          </w:rPr>
          <w:t>Tabela 2C</w:t>
        </w:r>
        <w:r w:rsidR="007F2E23" w:rsidRPr="00E57840">
          <w:rPr>
            <w:rStyle w:val="Hipercze"/>
            <w:noProof/>
          </w:rPr>
          <w:t xml:space="preserve"> : </w:t>
        </w:r>
        <w:r w:rsidR="007F2E23" w:rsidRPr="00E57840">
          <w:rPr>
            <w:rStyle w:val="Hipercze"/>
            <w:noProof/>
            <w:lang w:val="fr-BE"/>
          </w:rPr>
          <w:t>Specyficzne dla programu wskaźniki rezultatu dla EFS oraz Inicjatywy na rzecz zatrudnienia ludzi młodych</w:t>
        </w:r>
        <w:r w:rsidR="007F2E23" w:rsidRPr="00E57840">
          <w:rPr>
            <w:rStyle w:val="Hipercze"/>
            <w:noProof/>
          </w:rPr>
          <w:t xml:space="preserve"> - </w:t>
        </w:r>
        <w:r w:rsidR="007F2E23" w:rsidRPr="00E57840">
          <w:rPr>
            <w:rStyle w:val="Hipercze"/>
            <w:noProof/>
            <w:lang w:val="fr-BE"/>
          </w:rPr>
          <w:t>11 / 1</w:t>
        </w:r>
        <w:r w:rsidR="007F2E23">
          <w:rPr>
            <w:noProof/>
            <w:webHidden/>
          </w:rPr>
          <w:tab/>
        </w:r>
        <w:r w:rsidR="007F2E23">
          <w:rPr>
            <w:noProof/>
            <w:webHidden/>
          </w:rPr>
          <w:fldChar w:fldCharType="begin"/>
        </w:r>
        <w:r w:rsidR="007F2E23">
          <w:rPr>
            <w:noProof/>
            <w:webHidden/>
          </w:rPr>
          <w:instrText xml:space="preserve"> PAGEREF _Toc46391765 \h </w:instrText>
        </w:r>
        <w:r w:rsidR="007F2E23">
          <w:rPr>
            <w:noProof/>
            <w:webHidden/>
          </w:rPr>
        </w:r>
        <w:r w:rsidR="007F2E23">
          <w:rPr>
            <w:noProof/>
            <w:webHidden/>
          </w:rPr>
          <w:fldChar w:fldCharType="separate"/>
        </w:r>
        <w:r w:rsidR="007F2E23">
          <w:rPr>
            <w:noProof/>
            <w:webHidden/>
          </w:rPr>
          <w:t>157</w:t>
        </w:r>
        <w:r w:rsidR="007F2E23">
          <w:rPr>
            <w:noProof/>
            <w:webHidden/>
          </w:rPr>
          <w:fldChar w:fldCharType="end"/>
        </w:r>
      </w:hyperlink>
    </w:p>
    <w:p w14:paraId="24BEDCD6" w14:textId="43FAAECE" w:rsidR="007F2E23" w:rsidRDefault="002E7197">
      <w:pPr>
        <w:pStyle w:val="Spistreci2"/>
        <w:tabs>
          <w:tab w:val="right" w:leader="dot" w:pos="9911"/>
        </w:tabs>
        <w:rPr>
          <w:rFonts w:asciiTheme="minorHAnsi" w:eastAsiaTheme="minorEastAsia" w:hAnsiTheme="minorHAnsi" w:cstheme="minorBidi"/>
          <w:noProof/>
          <w:sz w:val="22"/>
          <w:szCs w:val="22"/>
          <w:lang w:val="pl-PL" w:eastAsia="pl-PL"/>
        </w:rPr>
      </w:pPr>
      <w:hyperlink w:anchor="_Toc46391766" w:history="1">
        <w:r w:rsidR="007F2E23" w:rsidRPr="00E57840">
          <w:rPr>
            <w:rStyle w:val="Hipercze"/>
            <w:noProof/>
            <w:lang w:val="fr-BE"/>
          </w:rPr>
          <w:t>Tabela 2C</w:t>
        </w:r>
        <w:r w:rsidR="007F2E23" w:rsidRPr="00E57840">
          <w:rPr>
            <w:rStyle w:val="Hipercze"/>
            <w:noProof/>
          </w:rPr>
          <w:t xml:space="preserve"> : </w:t>
        </w:r>
        <w:r w:rsidR="007F2E23" w:rsidRPr="00E57840">
          <w:rPr>
            <w:rStyle w:val="Hipercze"/>
            <w:noProof/>
            <w:lang w:val="fr-BE"/>
          </w:rPr>
          <w:t>Specyficzne dla programu wskaźniki rezultatu dla EFS oraz Inicjatywy na rzecz zatrudnienia ludzi młodych</w:t>
        </w:r>
        <w:r w:rsidR="007F2E23" w:rsidRPr="00E57840">
          <w:rPr>
            <w:rStyle w:val="Hipercze"/>
            <w:noProof/>
          </w:rPr>
          <w:t xml:space="preserve"> - </w:t>
        </w:r>
        <w:r w:rsidR="007F2E23" w:rsidRPr="00E57840">
          <w:rPr>
            <w:rStyle w:val="Hipercze"/>
            <w:noProof/>
            <w:lang w:val="fr-BE"/>
          </w:rPr>
          <w:t>11 / 2</w:t>
        </w:r>
        <w:r w:rsidR="007F2E23">
          <w:rPr>
            <w:noProof/>
            <w:webHidden/>
          </w:rPr>
          <w:tab/>
        </w:r>
        <w:r w:rsidR="007F2E23">
          <w:rPr>
            <w:noProof/>
            <w:webHidden/>
          </w:rPr>
          <w:fldChar w:fldCharType="begin"/>
        </w:r>
        <w:r w:rsidR="007F2E23">
          <w:rPr>
            <w:noProof/>
            <w:webHidden/>
          </w:rPr>
          <w:instrText xml:space="preserve"> PAGEREF _Toc46391766 \h </w:instrText>
        </w:r>
        <w:r w:rsidR="007F2E23">
          <w:rPr>
            <w:noProof/>
            <w:webHidden/>
          </w:rPr>
        </w:r>
        <w:r w:rsidR="007F2E23">
          <w:rPr>
            <w:noProof/>
            <w:webHidden/>
          </w:rPr>
          <w:fldChar w:fldCharType="separate"/>
        </w:r>
        <w:r w:rsidR="007F2E23">
          <w:rPr>
            <w:noProof/>
            <w:webHidden/>
          </w:rPr>
          <w:t>158</w:t>
        </w:r>
        <w:r w:rsidR="007F2E23">
          <w:rPr>
            <w:noProof/>
            <w:webHidden/>
          </w:rPr>
          <w:fldChar w:fldCharType="end"/>
        </w:r>
      </w:hyperlink>
    </w:p>
    <w:p w14:paraId="492ACA78" w14:textId="175A6A59" w:rsidR="007F2E23" w:rsidRDefault="002E7197">
      <w:pPr>
        <w:pStyle w:val="Spistreci2"/>
        <w:tabs>
          <w:tab w:val="right" w:leader="dot" w:pos="9911"/>
        </w:tabs>
        <w:rPr>
          <w:rFonts w:asciiTheme="minorHAnsi" w:eastAsiaTheme="minorEastAsia" w:hAnsiTheme="minorHAnsi" w:cstheme="minorBidi"/>
          <w:noProof/>
          <w:sz w:val="22"/>
          <w:szCs w:val="22"/>
          <w:lang w:val="pl-PL" w:eastAsia="pl-PL"/>
        </w:rPr>
      </w:pPr>
      <w:hyperlink w:anchor="_Toc46391767" w:history="1">
        <w:r w:rsidR="007F2E23" w:rsidRPr="00E57840">
          <w:rPr>
            <w:rStyle w:val="Hipercze"/>
            <w:noProof/>
            <w:lang w:val="fr-BE"/>
          </w:rPr>
          <w:t>Tabela 2C</w:t>
        </w:r>
        <w:r w:rsidR="007F2E23" w:rsidRPr="00E57840">
          <w:rPr>
            <w:rStyle w:val="Hipercze"/>
            <w:noProof/>
          </w:rPr>
          <w:t xml:space="preserve"> : </w:t>
        </w:r>
        <w:r w:rsidR="007F2E23" w:rsidRPr="00E57840">
          <w:rPr>
            <w:rStyle w:val="Hipercze"/>
            <w:noProof/>
            <w:lang w:val="fr-BE"/>
          </w:rPr>
          <w:t>Specyficzne dla programu wskaźniki rezultatu dla EFS oraz Inicjatywy na rzecz zatrudnienia ludzi młodych</w:t>
        </w:r>
        <w:r w:rsidR="007F2E23" w:rsidRPr="00E57840">
          <w:rPr>
            <w:rStyle w:val="Hipercze"/>
            <w:noProof/>
          </w:rPr>
          <w:t xml:space="preserve"> - </w:t>
        </w:r>
        <w:r w:rsidR="007F2E23" w:rsidRPr="00E57840">
          <w:rPr>
            <w:rStyle w:val="Hipercze"/>
            <w:noProof/>
            <w:lang w:val="fr-BE"/>
          </w:rPr>
          <w:t>11 / 3</w:t>
        </w:r>
        <w:r w:rsidR="007F2E23">
          <w:rPr>
            <w:noProof/>
            <w:webHidden/>
          </w:rPr>
          <w:tab/>
        </w:r>
        <w:r w:rsidR="007F2E23">
          <w:rPr>
            <w:noProof/>
            <w:webHidden/>
          </w:rPr>
          <w:fldChar w:fldCharType="begin"/>
        </w:r>
        <w:r w:rsidR="007F2E23">
          <w:rPr>
            <w:noProof/>
            <w:webHidden/>
          </w:rPr>
          <w:instrText xml:space="preserve"> PAGEREF _Toc46391767 \h </w:instrText>
        </w:r>
        <w:r w:rsidR="007F2E23">
          <w:rPr>
            <w:noProof/>
            <w:webHidden/>
          </w:rPr>
        </w:r>
        <w:r w:rsidR="007F2E23">
          <w:rPr>
            <w:noProof/>
            <w:webHidden/>
          </w:rPr>
          <w:fldChar w:fldCharType="separate"/>
        </w:r>
        <w:r w:rsidR="007F2E23">
          <w:rPr>
            <w:noProof/>
            <w:webHidden/>
          </w:rPr>
          <w:t>159</w:t>
        </w:r>
        <w:r w:rsidR="007F2E23">
          <w:rPr>
            <w:noProof/>
            <w:webHidden/>
          </w:rPr>
          <w:fldChar w:fldCharType="end"/>
        </w:r>
      </w:hyperlink>
    </w:p>
    <w:p w14:paraId="09A63770" w14:textId="799FEFC9" w:rsidR="007F2E23" w:rsidRDefault="002E7197">
      <w:pPr>
        <w:pStyle w:val="Spistreci2"/>
        <w:tabs>
          <w:tab w:val="right" w:leader="dot" w:pos="9911"/>
        </w:tabs>
        <w:rPr>
          <w:rFonts w:asciiTheme="minorHAnsi" w:eastAsiaTheme="minorEastAsia" w:hAnsiTheme="minorHAnsi" w:cstheme="minorBidi"/>
          <w:noProof/>
          <w:sz w:val="22"/>
          <w:szCs w:val="22"/>
          <w:lang w:val="pl-PL" w:eastAsia="pl-PL"/>
        </w:rPr>
      </w:pPr>
      <w:hyperlink w:anchor="_Toc46391768" w:history="1">
        <w:r w:rsidR="007F2E23" w:rsidRPr="00E57840">
          <w:rPr>
            <w:rStyle w:val="Hipercze"/>
            <w:noProof/>
            <w:lang w:val="fr-BE"/>
          </w:rPr>
          <w:t>Tabela 3B: Liczba przedsiębiorstw otrzymujących wsparcie w ramach programu operacyjnego — przy czym każde przedsiębiorstwo liczone jest tylko raz, niezależnie od liczby projektów w ramach danego przedsiębiorstwa</w:t>
        </w:r>
        <w:r w:rsidR="007F2E23">
          <w:rPr>
            <w:noProof/>
            <w:webHidden/>
          </w:rPr>
          <w:tab/>
        </w:r>
        <w:r w:rsidR="007F2E23">
          <w:rPr>
            <w:noProof/>
            <w:webHidden/>
          </w:rPr>
          <w:fldChar w:fldCharType="begin"/>
        </w:r>
        <w:r w:rsidR="007F2E23">
          <w:rPr>
            <w:noProof/>
            <w:webHidden/>
          </w:rPr>
          <w:instrText xml:space="preserve"> PAGEREF _Toc46391768 \h </w:instrText>
        </w:r>
        <w:r w:rsidR="007F2E23">
          <w:rPr>
            <w:noProof/>
            <w:webHidden/>
          </w:rPr>
        </w:r>
        <w:r w:rsidR="007F2E23">
          <w:rPr>
            <w:noProof/>
            <w:webHidden/>
          </w:rPr>
          <w:fldChar w:fldCharType="separate"/>
        </w:r>
        <w:r w:rsidR="007F2E23">
          <w:rPr>
            <w:noProof/>
            <w:webHidden/>
          </w:rPr>
          <w:t>160</w:t>
        </w:r>
        <w:r w:rsidR="007F2E23">
          <w:rPr>
            <w:noProof/>
            <w:webHidden/>
          </w:rPr>
          <w:fldChar w:fldCharType="end"/>
        </w:r>
      </w:hyperlink>
    </w:p>
    <w:p w14:paraId="48A96EFF" w14:textId="6952C35A" w:rsidR="007F2E23" w:rsidRDefault="002E7197">
      <w:pPr>
        <w:pStyle w:val="Spistreci2"/>
        <w:tabs>
          <w:tab w:val="right" w:leader="dot" w:pos="9911"/>
        </w:tabs>
        <w:rPr>
          <w:rFonts w:asciiTheme="minorHAnsi" w:eastAsiaTheme="minorEastAsia" w:hAnsiTheme="minorHAnsi" w:cstheme="minorBidi"/>
          <w:noProof/>
          <w:sz w:val="22"/>
          <w:szCs w:val="22"/>
          <w:lang w:val="pl-PL" w:eastAsia="pl-PL"/>
        </w:rPr>
      </w:pPr>
      <w:hyperlink w:anchor="_Toc46391769" w:history="1">
        <w:r w:rsidR="007F2E23" w:rsidRPr="00E57840">
          <w:rPr>
            <w:rStyle w:val="Hipercze"/>
            <w:noProof/>
            <w:lang w:val="fr-BE"/>
          </w:rPr>
          <w:t>Tabela 5: Informacje na temat celów pośrednich i końcowych określonych w ramach wykonania</w:t>
        </w:r>
        <w:r w:rsidR="007F2E23">
          <w:rPr>
            <w:noProof/>
            <w:webHidden/>
          </w:rPr>
          <w:tab/>
        </w:r>
        <w:r w:rsidR="007F2E23">
          <w:rPr>
            <w:noProof/>
            <w:webHidden/>
          </w:rPr>
          <w:fldChar w:fldCharType="begin"/>
        </w:r>
        <w:r w:rsidR="007F2E23">
          <w:rPr>
            <w:noProof/>
            <w:webHidden/>
          </w:rPr>
          <w:instrText xml:space="preserve"> PAGEREF _Toc46391769 \h </w:instrText>
        </w:r>
        <w:r w:rsidR="007F2E23">
          <w:rPr>
            <w:noProof/>
            <w:webHidden/>
          </w:rPr>
        </w:r>
        <w:r w:rsidR="007F2E23">
          <w:rPr>
            <w:noProof/>
            <w:webHidden/>
          </w:rPr>
          <w:fldChar w:fldCharType="separate"/>
        </w:r>
        <w:r w:rsidR="007F2E23">
          <w:rPr>
            <w:noProof/>
            <w:webHidden/>
          </w:rPr>
          <w:t>161</w:t>
        </w:r>
        <w:r w:rsidR="007F2E23">
          <w:rPr>
            <w:noProof/>
            <w:webHidden/>
          </w:rPr>
          <w:fldChar w:fldCharType="end"/>
        </w:r>
      </w:hyperlink>
    </w:p>
    <w:p w14:paraId="27140607" w14:textId="241BD81C" w:rsidR="007F2E23" w:rsidRDefault="002E7197">
      <w:pPr>
        <w:pStyle w:val="Spistreci2"/>
        <w:tabs>
          <w:tab w:val="right" w:leader="dot" w:pos="9911"/>
        </w:tabs>
        <w:rPr>
          <w:rFonts w:asciiTheme="minorHAnsi" w:eastAsiaTheme="minorEastAsia" w:hAnsiTheme="minorHAnsi" w:cstheme="minorBidi"/>
          <w:noProof/>
          <w:sz w:val="22"/>
          <w:szCs w:val="22"/>
          <w:lang w:val="pl-PL" w:eastAsia="pl-PL"/>
        </w:rPr>
      </w:pPr>
      <w:hyperlink w:anchor="_Toc46391770" w:history="1">
        <w:r w:rsidR="007F2E23" w:rsidRPr="00E57840">
          <w:rPr>
            <w:rStyle w:val="Hipercze"/>
            <w:noProof/>
            <w:lang w:val="fr-BE"/>
          </w:rPr>
          <w:t>3.4 Dane finansowe (art. 50 ust. 2 rozporządzenia (UE) nr 1303/2013)</w:t>
        </w:r>
        <w:r w:rsidR="007F2E23">
          <w:rPr>
            <w:noProof/>
            <w:webHidden/>
          </w:rPr>
          <w:tab/>
        </w:r>
        <w:r w:rsidR="007F2E23">
          <w:rPr>
            <w:noProof/>
            <w:webHidden/>
          </w:rPr>
          <w:fldChar w:fldCharType="begin"/>
        </w:r>
        <w:r w:rsidR="007F2E23">
          <w:rPr>
            <w:noProof/>
            <w:webHidden/>
          </w:rPr>
          <w:instrText xml:space="preserve"> PAGEREF _Toc46391770 \h </w:instrText>
        </w:r>
        <w:r w:rsidR="007F2E23">
          <w:rPr>
            <w:noProof/>
            <w:webHidden/>
          </w:rPr>
        </w:r>
        <w:r w:rsidR="007F2E23">
          <w:rPr>
            <w:noProof/>
            <w:webHidden/>
          </w:rPr>
          <w:fldChar w:fldCharType="separate"/>
        </w:r>
        <w:r w:rsidR="007F2E23">
          <w:rPr>
            <w:noProof/>
            <w:webHidden/>
          </w:rPr>
          <w:t>165</w:t>
        </w:r>
        <w:r w:rsidR="007F2E23">
          <w:rPr>
            <w:noProof/>
            <w:webHidden/>
          </w:rPr>
          <w:fldChar w:fldCharType="end"/>
        </w:r>
      </w:hyperlink>
    </w:p>
    <w:p w14:paraId="463808C5" w14:textId="10FA82BD" w:rsidR="007F2E23" w:rsidRDefault="002E7197">
      <w:pPr>
        <w:pStyle w:val="Spistreci2"/>
        <w:tabs>
          <w:tab w:val="right" w:leader="dot" w:pos="9911"/>
        </w:tabs>
        <w:rPr>
          <w:rFonts w:asciiTheme="minorHAnsi" w:eastAsiaTheme="minorEastAsia" w:hAnsiTheme="minorHAnsi" w:cstheme="minorBidi"/>
          <w:noProof/>
          <w:sz w:val="22"/>
          <w:szCs w:val="22"/>
          <w:lang w:val="pl-PL" w:eastAsia="pl-PL"/>
        </w:rPr>
      </w:pPr>
      <w:hyperlink w:anchor="_Toc46391771" w:history="1">
        <w:r w:rsidR="007F2E23" w:rsidRPr="00E57840">
          <w:rPr>
            <w:rStyle w:val="Hipercze"/>
            <w:noProof/>
            <w:lang w:val="fr-BE"/>
          </w:rPr>
          <w:t>Tabela 6: Informacje finansowe na poziomie osi priorytetowej i programu</w:t>
        </w:r>
        <w:r w:rsidR="007F2E23">
          <w:rPr>
            <w:noProof/>
            <w:webHidden/>
          </w:rPr>
          <w:tab/>
        </w:r>
        <w:r w:rsidR="007F2E23">
          <w:rPr>
            <w:noProof/>
            <w:webHidden/>
          </w:rPr>
          <w:fldChar w:fldCharType="begin"/>
        </w:r>
        <w:r w:rsidR="007F2E23">
          <w:rPr>
            <w:noProof/>
            <w:webHidden/>
          </w:rPr>
          <w:instrText xml:space="preserve"> PAGEREF _Toc46391771 \h </w:instrText>
        </w:r>
        <w:r w:rsidR="007F2E23">
          <w:rPr>
            <w:noProof/>
            <w:webHidden/>
          </w:rPr>
        </w:r>
        <w:r w:rsidR="007F2E23">
          <w:rPr>
            <w:noProof/>
            <w:webHidden/>
          </w:rPr>
          <w:fldChar w:fldCharType="separate"/>
        </w:r>
        <w:r w:rsidR="007F2E23">
          <w:rPr>
            <w:noProof/>
            <w:webHidden/>
          </w:rPr>
          <w:t>165</w:t>
        </w:r>
        <w:r w:rsidR="007F2E23">
          <w:rPr>
            <w:noProof/>
            <w:webHidden/>
          </w:rPr>
          <w:fldChar w:fldCharType="end"/>
        </w:r>
      </w:hyperlink>
    </w:p>
    <w:p w14:paraId="6EB53951" w14:textId="6A4B1188" w:rsidR="007F2E23" w:rsidRDefault="002E7197">
      <w:pPr>
        <w:pStyle w:val="Spistreci2"/>
        <w:tabs>
          <w:tab w:val="right" w:leader="dot" w:pos="9911"/>
        </w:tabs>
        <w:rPr>
          <w:rFonts w:asciiTheme="minorHAnsi" w:eastAsiaTheme="minorEastAsia" w:hAnsiTheme="minorHAnsi" w:cstheme="minorBidi"/>
          <w:noProof/>
          <w:sz w:val="22"/>
          <w:szCs w:val="22"/>
          <w:lang w:val="pl-PL" w:eastAsia="pl-PL"/>
        </w:rPr>
      </w:pPr>
      <w:hyperlink w:anchor="_Toc46391772" w:history="1">
        <w:r w:rsidR="007F2E23" w:rsidRPr="00E57840">
          <w:rPr>
            <w:rStyle w:val="Hipercze"/>
            <w:noProof/>
            <w:lang w:val="fr-BE"/>
          </w:rPr>
          <w:t>Tabela 7: Podział zbiorczych danych finansowych według kategorii interwencji dla EFRR, EFS i Funduszu Spójności (art. 112 ust. 1 i 2 rozporządzenia (UE) nr 1303/2013 i art. 5 rozporządzenia (UE) nr 1304/2013)</w:t>
        </w:r>
        <w:r w:rsidR="007F2E23">
          <w:rPr>
            <w:noProof/>
            <w:webHidden/>
          </w:rPr>
          <w:tab/>
        </w:r>
        <w:r w:rsidR="007F2E23">
          <w:rPr>
            <w:noProof/>
            <w:webHidden/>
          </w:rPr>
          <w:fldChar w:fldCharType="begin"/>
        </w:r>
        <w:r w:rsidR="007F2E23">
          <w:rPr>
            <w:noProof/>
            <w:webHidden/>
          </w:rPr>
          <w:instrText xml:space="preserve"> PAGEREF _Toc46391772 \h </w:instrText>
        </w:r>
        <w:r w:rsidR="007F2E23">
          <w:rPr>
            <w:noProof/>
            <w:webHidden/>
          </w:rPr>
        </w:r>
        <w:r w:rsidR="007F2E23">
          <w:rPr>
            <w:noProof/>
            <w:webHidden/>
          </w:rPr>
          <w:fldChar w:fldCharType="separate"/>
        </w:r>
        <w:r w:rsidR="007F2E23">
          <w:rPr>
            <w:noProof/>
            <w:webHidden/>
          </w:rPr>
          <w:t>166</w:t>
        </w:r>
        <w:r w:rsidR="007F2E23">
          <w:rPr>
            <w:noProof/>
            <w:webHidden/>
          </w:rPr>
          <w:fldChar w:fldCharType="end"/>
        </w:r>
      </w:hyperlink>
    </w:p>
    <w:p w14:paraId="3964CAC4" w14:textId="249D8C22" w:rsidR="007F2E23" w:rsidRDefault="002E7197">
      <w:pPr>
        <w:pStyle w:val="Spistreci2"/>
        <w:tabs>
          <w:tab w:val="right" w:leader="dot" w:pos="9911"/>
        </w:tabs>
        <w:rPr>
          <w:rFonts w:asciiTheme="minorHAnsi" w:eastAsiaTheme="minorEastAsia" w:hAnsiTheme="minorHAnsi" w:cstheme="minorBidi"/>
          <w:noProof/>
          <w:sz w:val="22"/>
          <w:szCs w:val="22"/>
          <w:lang w:val="pl-PL" w:eastAsia="pl-PL"/>
        </w:rPr>
      </w:pPr>
      <w:hyperlink w:anchor="_Toc46391773" w:history="1">
        <w:r w:rsidR="007F2E23" w:rsidRPr="00E57840">
          <w:rPr>
            <w:rStyle w:val="Hipercze"/>
            <w:noProof/>
          </w:rPr>
          <w:t>Tabela 8: Wykorzystanie finansowania krzyżowego</w:t>
        </w:r>
        <w:r w:rsidR="007F2E23">
          <w:rPr>
            <w:noProof/>
            <w:webHidden/>
          </w:rPr>
          <w:tab/>
        </w:r>
        <w:r w:rsidR="007F2E23">
          <w:rPr>
            <w:noProof/>
            <w:webHidden/>
          </w:rPr>
          <w:fldChar w:fldCharType="begin"/>
        </w:r>
        <w:r w:rsidR="007F2E23">
          <w:rPr>
            <w:noProof/>
            <w:webHidden/>
          </w:rPr>
          <w:instrText xml:space="preserve"> PAGEREF _Toc46391773 \h </w:instrText>
        </w:r>
        <w:r w:rsidR="007F2E23">
          <w:rPr>
            <w:noProof/>
            <w:webHidden/>
          </w:rPr>
        </w:r>
        <w:r w:rsidR="007F2E23">
          <w:rPr>
            <w:noProof/>
            <w:webHidden/>
          </w:rPr>
          <w:fldChar w:fldCharType="separate"/>
        </w:r>
        <w:r w:rsidR="007F2E23">
          <w:rPr>
            <w:noProof/>
            <w:webHidden/>
          </w:rPr>
          <w:t>175</w:t>
        </w:r>
        <w:r w:rsidR="007F2E23">
          <w:rPr>
            <w:noProof/>
            <w:webHidden/>
          </w:rPr>
          <w:fldChar w:fldCharType="end"/>
        </w:r>
      </w:hyperlink>
    </w:p>
    <w:p w14:paraId="6AC3A23C" w14:textId="2AC1D3DF" w:rsidR="007F2E23" w:rsidRDefault="002E7197">
      <w:pPr>
        <w:pStyle w:val="Spistreci2"/>
        <w:tabs>
          <w:tab w:val="right" w:leader="dot" w:pos="9911"/>
        </w:tabs>
        <w:rPr>
          <w:rFonts w:asciiTheme="minorHAnsi" w:eastAsiaTheme="minorEastAsia" w:hAnsiTheme="minorHAnsi" w:cstheme="minorBidi"/>
          <w:noProof/>
          <w:sz w:val="22"/>
          <w:szCs w:val="22"/>
          <w:lang w:val="pl-PL" w:eastAsia="pl-PL"/>
        </w:rPr>
      </w:pPr>
      <w:hyperlink w:anchor="_Toc46391774" w:history="1">
        <w:r w:rsidR="007F2E23" w:rsidRPr="00E57840">
          <w:rPr>
            <w:rStyle w:val="Hipercze"/>
            <w:noProof/>
            <w:lang w:val="fr-BE"/>
          </w:rPr>
          <w:t xml:space="preserve">Tabela 9: Koszt operacji realizowanych poza obszarem objętym programem (EFRR i Fundusz Spójności w ramach celu </w:t>
        </w:r>
        <w:r w:rsidR="007F2E23" w:rsidRPr="00E57840">
          <w:rPr>
            <w:rStyle w:val="Hipercze"/>
            <w:noProof/>
          </w:rPr>
          <w:t>"</w:t>
        </w:r>
        <w:r w:rsidR="007F2E23" w:rsidRPr="00E57840">
          <w:rPr>
            <w:rStyle w:val="Hipercze"/>
            <w:noProof/>
            <w:lang w:val="fr-BE"/>
          </w:rPr>
          <w:t>Inwestycje na rzecz wzrostu gospodarczego i zatrudnienia</w:t>
        </w:r>
        <w:r w:rsidR="007F2E23" w:rsidRPr="00E57840">
          <w:rPr>
            <w:rStyle w:val="Hipercze"/>
            <w:noProof/>
          </w:rPr>
          <w:t>"</w:t>
        </w:r>
        <w:r w:rsidR="007F2E23" w:rsidRPr="00E57840">
          <w:rPr>
            <w:rStyle w:val="Hipercze"/>
            <w:noProof/>
            <w:lang w:val="fr-BE"/>
          </w:rPr>
          <w:t>)</w:t>
        </w:r>
        <w:r w:rsidR="007F2E23">
          <w:rPr>
            <w:noProof/>
            <w:webHidden/>
          </w:rPr>
          <w:tab/>
        </w:r>
        <w:r w:rsidR="007F2E23">
          <w:rPr>
            <w:noProof/>
            <w:webHidden/>
          </w:rPr>
          <w:fldChar w:fldCharType="begin"/>
        </w:r>
        <w:r w:rsidR="007F2E23">
          <w:rPr>
            <w:noProof/>
            <w:webHidden/>
          </w:rPr>
          <w:instrText xml:space="preserve"> PAGEREF _Toc46391774 \h </w:instrText>
        </w:r>
        <w:r w:rsidR="007F2E23">
          <w:rPr>
            <w:noProof/>
            <w:webHidden/>
          </w:rPr>
        </w:r>
        <w:r w:rsidR="007F2E23">
          <w:rPr>
            <w:noProof/>
            <w:webHidden/>
          </w:rPr>
          <w:fldChar w:fldCharType="separate"/>
        </w:r>
        <w:r w:rsidR="007F2E23">
          <w:rPr>
            <w:noProof/>
            <w:webHidden/>
          </w:rPr>
          <w:t>177</w:t>
        </w:r>
        <w:r w:rsidR="007F2E23">
          <w:rPr>
            <w:noProof/>
            <w:webHidden/>
          </w:rPr>
          <w:fldChar w:fldCharType="end"/>
        </w:r>
      </w:hyperlink>
    </w:p>
    <w:p w14:paraId="6E33BA40" w14:textId="02D57799" w:rsidR="007F2E23" w:rsidRDefault="002E7197">
      <w:pPr>
        <w:pStyle w:val="Spistreci2"/>
        <w:tabs>
          <w:tab w:val="right" w:leader="dot" w:pos="9911"/>
        </w:tabs>
        <w:rPr>
          <w:rFonts w:asciiTheme="minorHAnsi" w:eastAsiaTheme="minorEastAsia" w:hAnsiTheme="minorHAnsi" w:cstheme="minorBidi"/>
          <w:noProof/>
          <w:sz w:val="22"/>
          <w:szCs w:val="22"/>
          <w:lang w:val="pl-PL" w:eastAsia="pl-PL"/>
        </w:rPr>
      </w:pPr>
      <w:hyperlink w:anchor="_Toc46391775" w:history="1">
        <w:r w:rsidR="007F2E23" w:rsidRPr="00E57840">
          <w:rPr>
            <w:rStyle w:val="Hipercze"/>
            <w:noProof/>
            <w:lang w:val="fr-BE"/>
          </w:rPr>
          <w:t>Tabela 10: Wydatki poniesione poza terytorium Unii (EFS)</w:t>
        </w:r>
        <w:r w:rsidR="007F2E23">
          <w:rPr>
            <w:noProof/>
            <w:webHidden/>
          </w:rPr>
          <w:tab/>
        </w:r>
        <w:r w:rsidR="007F2E23">
          <w:rPr>
            <w:noProof/>
            <w:webHidden/>
          </w:rPr>
          <w:fldChar w:fldCharType="begin"/>
        </w:r>
        <w:r w:rsidR="007F2E23">
          <w:rPr>
            <w:noProof/>
            <w:webHidden/>
          </w:rPr>
          <w:instrText xml:space="preserve"> PAGEREF _Toc46391775 \h </w:instrText>
        </w:r>
        <w:r w:rsidR="007F2E23">
          <w:rPr>
            <w:noProof/>
            <w:webHidden/>
          </w:rPr>
        </w:r>
        <w:r w:rsidR="007F2E23">
          <w:rPr>
            <w:noProof/>
            <w:webHidden/>
          </w:rPr>
          <w:fldChar w:fldCharType="separate"/>
        </w:r>
        <w:r w:rsidR="007F2E23">
          <w:rPr>
            <w:noProof/>
            <w:webHidden/>
          </w:rPr>
          <w:t>178</w:t>
        </w:r>
        <w:r w:rsidR="007F2E23">
          <w:rPr>
            <w:noProof/>
            <w:webHidden/>
          </w:rPr>
          <w:fldChar w:fldCharType="end"/>
        </w:r>
      </w:hyperlink>
    </w:p>
    <w:p w14:paraId="517D1D03" w14:textId="6F245A19" w:rsidR="007F2E23" w:rsidRDefault="002E7197">
      <w:pPr>
        <w:pStyle w:val="Spistreci1"/>
        <w:tabs>
          <w:tab w:val="left" w:pos="480"/>
          <w:tab w:val="right" w:leader="dot" w:pos="9911"/>
        </w:tabs>
        <w:rPr>
          <w:rFonts w:asciiTheme="minorHAnsi" w:eastAsiaTheme="minorEastAsia" w:hAnsiTheme="minorHAnsi" w:cstheme="minorBidi"/>
          <w:b w:val="0"/>
          <w:bCs w:val="0"/>
          <w:noProof/>
          <w:sz w:val="22"/>
          <w:szCs w:val="22"/>
          <w:lang w:val="pl-PL" w:eastAsia="pl-PL"/>
        </w:rPr>
      </w:pPr>
      <w:hyperlink w:anchor="_Toc46391776" w:history="1">
        <w:r w:rsidR="007F2E23" w:rsidRPr="00E57840">
          <w:rPr>
            <w:rStyle w:val="Hipercze"/>
            <w:noProof/>
          </w:rPr>
          <w:t>4.</w:t>
        </w:r>
        <w:r w:rsidR="007F2E23">
          <w:rPr>
            <w:rFonts w:asciiTheme="minorHAnsi" w:eastAsiaTheme="minorEastAsia" w:hAnsiTheme="minorHAnsi" w:cstheme="minorBidi"/>
            <w:b w:val="0"/>
            <w:bCs w:val="0"/>
            <w:noProof/>
            <w:sz w:val="22"/>
            <w:szCs w:val="22"/>
            <w:lang w:val="pl-PL" w:eastAsia="pl-PL"/>
          </w:rPr>
          <w:tab/>
        </w:r>
        <w:r w:rsidR="007F2E23" w:rsidRPr="00E57840">
          <w:rPr>
            <w:rStyle w:val="Hipercze"/>
            <w:noProof/>
          </w:rPr>
          <w:t>SYNTEZA EWALUACJI</w:t>
        </w:r>
        <w:r w:rsidR="007F2E23">
          <w:rPr>
            <w:noProof/>
            <w:webHidden/>
          </w:rPr>
          <w:tab/>
        </w:r>
        <w:r w:rsidR="007F2E23">
          <w:rPr>
            <w:noProof/>
            <w:webHidden/>
          </w:rPr>
          <w:fldChar w:fldCharType="begin"/>
        </w:r>
        <w:r w:rsidR="007F2E23">
          <w:rPr>
            <w:noProof/>
            <w:webHidden/>
          </w:rPr>
          <w:instrText xml:space="preserve"> PAGEREF _Toc46391776 \h </w:instrText>
        </w:r>
        <w:r w:rsidR="007F2E23">
          <w:rPr>
            <w:noProof/>
            <w:webHidden/>
          </w:rPr>
        </w:r>
        <w:r w:rsidR="007F2E23">
          <w:rPr>
            <w:noProof/>
            <w:webHidden/>
          </w:rPr>
          <w:fldChar w:fldCharType="separate"/>
        </w:r>
        <w:r w:rsidR="007F2E23">
          <w:rPr>
            <w:noProof/>
            <w:webHidden/>
          </w:rPr>
          <w:t>179</w:t>
        </w:r>
        <w:r w:rsidR="007F2E23">
          <w:rPr>
            <w:noProof/>
            <w:webHidden/>
          </w:rPr>
          <w:fldChar w:fldCharType="end"/>
        </w:r>
      </w:hyperlink>
    </w:p>
    <w:p w14:paraId="47CEEE5B" w14:textId="7BDF933E" w:rsidR="007F2E23" w:rsidRDefault="002E7197">
      <w:pPr>
        <w:pStyle w:val="Spistreci1"/>
        <w:tabs>
          <w:tab w:val="left" w:pos="480"/>
          <w:tab w:val="right" w:leader="dot" w:pos="9911"/>
        </w:tabs>
        <w:rPr>
          <w:rFonts w:asciiTheme="minorHAnsi" w:eastAsiaTheme="minorEastAsia" w:hAnsiTheme="minorHAnsi" w:cstheme="minorBidi"/>
          <w:b w:val="0"/>
          <w:bCs w:val="0"/>
          <w:noProof/>
          <w:sz w:val="22"/>
          <w:szCs w:val="22"/>
          <w:lang w:val="pl-PL" w:eastAsia="pl-PL"/>
        </w:rPr>
      </w:pPr>
      <w:hyperlink w:anchor="_Toc46391777" w:history="1">
        <w:r w:rsidR="007F2E23" w:rsidRPr="00E57840">
          <w:rPr>
            <w:rStyle w:val="Hipercze"/>
            <w:noProof/>
          </w:rPr>
          <w:t>6</w:t>
        </w:r>
        <w:r w:rsidR="007F2E23">
          <w:rPr>
            <w:rFonts w:asciiTheme="minorHAnsi" w:eastAsiaTheme="minorEastAsia" w:hAnsiTheme="minorHAnsi" w:cstheme="minorBidi"/>
            <w:b w:val="0"/>
            <w:bCs w:val="0"/>
            <w:noProof/>
            <w:sz w:val="22"/>
            <w:szCs w:val="22"/>
            <w:lang w:val="pl-PL" w:eastAsia="pl-PL"/>
          </w:rPr>
          <w:tab/>
        </w:r>
        <w:r w:rsidR="007F2E23" w:rsidRPr="00E57840">
          <w:rPr>
            <w:rStyle w:val="Hipercze"/>
            <w:noProof/>
          </w:rPr>
          <w:t>KWESTIE MAJĄCE WPŁYW NA WYKONANIE PROGRAMU I PODJĘTE DZIAŁANIA (art. 50 ust. 2 rozporządzenia (UE) nr 1303/2013)</w:t>
        </w:r>
        <w:r w:rsidR="007F2E23">
          <w:rPr>
            <w:noProof/>
            <w:webHidden/>
          </w:rPr>
          <w:tab/>
        </w:r>
        <w:r w:rsidR="007F2E23">
          <w:rPr>
            <w:noProof/>
            <w:webHidden/>
          </w:rPr>
          <w:fldChar w:fldCharType="begin"/>
        </w:r>
        <w:r w:rsidR="007F2E23">
          <w:rPr>
            <w:noProof/>
            <w:webHidden/>
          </w:rPr>
          <w:instrText xml:space="preserve"> PAGEREF _Toc46391777 \h </w:instrText>
        </w:r>
        <w:r w:rsidR="007F2E23">
          <w:rPr>
            <w:noProof/>
            <w:webHidden/>
          </w:rPr>
        </w:r>
        <w:r w:rsidR="007F2E23">
          <w:rPr>
            <w:noProof/>
            <w:webHidden/>
          </w:rPr>
          <w:fldChar w:fldCharType="separate"/>
        </w:r>
        <w:r w:rsidR="007F2E23">
          <w:rPr>
            <w:noProof/>
            <w:webHidden/>
          </w:rPr>
          <w:t>194</w:t>
        </w:r>
        <w:r w:rsidR="007F2E23">
          <w:rPr>
            <w:noProof/>
            <w:webHidden/>
          </w:rPr>
          <w:fldChar w:fldCharType="end"/>
        </w:r>
      </w:hyperlink>
    </w:p>
    <w:p w14:paraId="689AF2F8" w14:textId="3EB55480" w:rsidR="007F2E23" w:rsidRDefault="002E7197">
      <w:pPr>
        <w:pStyle w:val="Spistreci1"/>
        <w:tabs>
          <w:tab w:val="left" w:pos="480"/>
          <w:tab w:val="right" w:leader="dot" w:pos="9911"/>
        </w:tabs>
        <w:rPr>
          <w:rFonts w:asciiTheme="minorHAnsi" w:eastAsiaTheme="minorEastAsia" w:hAnsiTheme="minorHAnsi" w:cstheme="minorBidi"/>
          <w:b w:val="0"/>
          <w:bCs w:val="0"/>
          <w:noProof/>
          <w:sz w:val="22"/>
          <w:szCs w:val="22"/>
          <w:lang w:val="pl-PL" w:eastAsia="pl-PL"/>
        </w:rPr>
      </w:pPr>
      <w:hyperlink w:anchor="_Toc46391778" w:history="1">
        <w:r w:rsidR="007F2E23" w:rsidRPr="00E57840">
          <w:rPr>
            <w:rStyle w:val="Hipercze"/>
            <w:noProof/>
          </w:rPr>
          <w:t>7.</w:t>
        </w:r>
        <w:r w:rsidR="007F2E23">
          <w:rPr>
            <w:rFonts w:asciiTheme="minorHAnsi" w:eastAsiaTheme="minorEastAsia" w:hAnsiTheme="minorHAnsi" w:cstheme="minorBidi"/>
            <w:b w:val="0"/>
            <w:bCs w:val="0"/>
            <w:noProof/>
            <w:sz w:val="22"/>
            <w:szCs w:val="22"/>
            <w:lang w:val="pl-PL" w:eastAsia="pl-PL"/>
          </w:rPr>
          <w:tab/>
        </w:r>
        <w:r w:rsidR="007F2E23" w:rsidRPr="00E57840">
          <w:rPr>
            <w:rStyle w:val="Hipercze"/>
            <w:noProof/>
          </w:rPr>
          <w:t>STRESZCZENIE PODAWANE DO WIADOMOŚCI PUBLICZNEJ – Stanowi odrębny załącznik do dokumantu.</w:t>
        </w:r>
        <w:r w:rsidR="007F2E23">
          <w:rPr>
            <w:noProof/>
            <w:webHidden/>
          </w:rPr>
          <w:tab/>
        </w:r>
        <w:r w:rsidR="007F2E23">
          <w:rPr>
            <w:noProof/>
            <w:webHidden/>
          </w:rPr>
          <w:fldChar w:fldCharType="begin"/>
        </w:r>
        <w:r w:rsidR="007F2E23">
          <w:rPr>
            <w:noProof/>
            <w:webHidden/>
          </w:rPr>
          <w:instrText xml:space="preserve"> PAGEREF _Toc46391778 \h </w:instrText>
        </w:r>
        <w:r w:rsidR="007F2E23">
          <w:rPr>
            <w:noProof/>
            <w:webHidden/>
          </w:rPr>
        </w:r>
        <w:r w:rsidR="007F2E23">
          <w:rPr>
            <w:noProof/>
            <w:webHidden/>
          </w:rPr>
          <w:fldChar w:fldCharType="separate"/>
        </w:r>
        <w:r w:rsidR="007F2E23">
          <w:rPr>
            <w:noProof/>
            <w:webHidden/>
          </w:rPr>
          <w:t>199</w:t>
        </w:r>
        <w:r w:rsidR="007F2E23">
          <w:rPr>
            <w:noProof/>
            <w:webHidden/>
          </w:rPr>
          <w:fldChar w:fldCharType="end"/>
        </w:r>
      </w:hyperlink>
    </w:p>
    <w:p w14:paraId="1B68131A" w14:textId="4FB8FFB2" w:rsidR="007F2E23" w:rsidRDefault="002E7197">
      <w:pPr>
        <w:pStyle w:val="Spistreci1"/>
        <w:tabs>
          <w:tab w:val="left" w:pos="480"/>
          <w:tab w:val="right" w:leader="dot" w:pos="9911"/>
        </w:tabs>
        <w:rPr>
          <w:rFonts w:asciiTheme="minorHAnsi" w:eastAsiaTheme="minorEastAsia" w:hAnsiTheme="minorHAnsi" w:cstheme="minorBidi"/>
          <w:b w:val="0"/>
          <w:bCs w:val="0"/>
          <w:noProof/>
          <w:sz w:val="22"/>
          <w:szCs w:val="22"/>
          <w:lang w:val="pl-PL" w:eastAsia="pl-PL"/>
        </w:rPr>
      </w:pPr>
      <w:hyperlink w:anchor="_Toc46391779" w:history="1">
        <w:r w:rsidR="007F2E23" w:rsidRPr="00E57840">
          <w:rPr>
            <w:rStyle w:val="Hipercze"/>
            <w:noProof/>
          </w:rPr>
          <w:t>8.</w:t>
        </w:r>
        <w:r w:rsidR="007F2E23">
          <w:rPr>
            <w:rFonts w:asciiTheme="minorHAnsi" w:eastAsiaTheme="minorEastAsia" w:hAnsiTheme="minorHAnsi" w:cstheme="minorBidi"/>
            <w:b w:val="0"/>
            <w:bCs w:val="0"/>
            <w:noProof/>
            <w:sz w:val="22"/>
            <w:szCs w:val="22"/>
            <w:lang w:val="pl-PL" w:eastAsia="pl-PL"/>
          </w:rPr>
          <w:tab/>
        </w:r>
        <w:r w:rsidR="007F2E23" w:rsidRPr="00E57840">
          <w:rPr>
            <w:rStyle w:val="Hipercze"/>
            <w:noProof/>
          </w:rPr>
          <w:t>SPRAWOZDANIE Z WDRAŻANIA INSTRUMENTÓW FINANSOWYCH</w:t>
        </w:r>
        <w:r w:rsidR="007F2E23">
          <w:rPr>
            <w:noProof/>
            <w:webHidden/>
          </w:rPr>
          <w:tab/>
        </w:r>
        <w:r w:rsidR="007F2E23">
          <w:rPr>
            <w:noProof/>
            <w:webHidden/>
          </w:rPr>
          <w:fldChar w:fldCharType="begin"/>
        </w:r>
        <w:r w:rsidR="007F2E23">
          <w:rPr>
            <w:noProof/>
            <w:webHidden/>
          </w:rPr>
          <w:instrText xml:space="preserve"> PAGEREF _Toc46391779 \h </w:instrText>
        </w:r>
        <w:r w:rsidR="007F2E23">
          <w:rPr>
            <w:noProof/>
            <w:webHidden/>
          </w:rPr>
        </w:r>
        <w:r w:rsidR="007F2E23">
          <w:rPr>
            <w:noProof/>
            <w:webHidden/>
          </w:rPr>
          <w:fldChar w:fldCharType="separate"/>
        </w:r>
        <w:r w:rsidR="007F2E23">
          <w:rPr>
            <w:noProof/>
            <w:webHidden/>
          </w:rPr>
          <w:t>200</w:t>
        </w:r>
        <w:r w:rsidR="007F2E23">
          <w:rPr>
            <w:noProof/>
            <w:webHidden/>
          </w:rPr>
          <w:fldChar w:fldCharType="end"/>
        </w:r>
      </w:hyperlink>
    </w:p>
    <w:p w14:paraId="02B17B5B" w14:textId="574FE391" w:rsidR="007F2E23" w:rsidRDefault="002E7197">
      <w:pPr>
        <w:pStyle w:val="Spistreci2"/>
        <w:tabs>
          <w:tab w:val="right" w:leader="dot" w:pos="9911"/>
        </w:tabs>
        <w:rPr>
          <w:rFonts w:asciiTheme="minorHAnsi" w:eastAsiaTheme="minorEastAsia" w:hAnsiTheme="minorHAnsi" w:cstheme="minorBidi"/>
          <w:noProof/>
          <w:sz w:val="22"/>
          <w:szCs w:val="22"/>
          <w:lang w:val="pl-PL" w:eastAsia="pl-PL"/>
        </w:rPr>
      </w:pPr>
      <w:hyperlink w:anchor="_Toc46391780" w:history="1">
        <w:r w:rsidR="007F2E23" w:rsidRPr="00E57840">
          <w:rPr>
            <w:rStyle w:val="Hipercze"/>
            <w:noProof/>
          </w:rPr>
          <w:t>Fundusz Funduszy Województwa Świętokrzyskiego</w:t>
        </w:r>
        <w:r w:rsidR="007F2E23">
          <w:rPr>
            <w:noProof/>
            <w:webHidden/>
          </w:rPr>
          <w:tab/>
        </w:r>
        <w:r w:rsidR="007F2E23">
          <w:rPr>
            <w:noProof/>
            <w:webHidden/>
          </w:rPr>
          <w:fldChar w:fldCharType="begin"/>
        </w:r>
        <w:r w:rsidR="007F2E23">
          <w:rPr>
            <w:noProof/>
            <w:webHidden/>
          </w:rPr>
          <w:instrText xml:space="preserve"> PAGEREF _Toc46391780 \h </w:instrText>
        </w:r>
        <w:r w:rsidR="007F2E23">
          <w:rPr>
            <w:noProof/>
            <w:webHidden/>
          </w:rPr>
        </w:r>
        <w:r w:rsidR="007F2E23">
          <w:rPr>
            <w:noProof/>
            <w:webHidden/>
          </w:rPr>
          <w:fldChar w:fldCharType="separate"/>
        </w:r>
        <w:r w:rsidR="007F2E23">
          <w:rPr>
            <w:noProof/>
            <w:webHidden/>
          </w:rPr>
          <w:t>200</w:t>
        </w:r>
        <w:r w:rsidR="007F2E23">
          <w:rPr>
            <w:noProof/>
            <w:webHidden/>
          </w:rPr>
          <w:fldChar w:fldCharType="end"/>
        </w:r>
      </w:hyperlink>
    </w:p>
    <w:p w14:paraId="6DD5FA4B" w14:textId="2F190A0D" w:rsidR="007F2E23" w:rsidRDefault="002E7197">
      <w:pPr>
        <w:pStyle w:val="Spistreci3"/>
        <w:tabs>
          <w:tab w:val="right" w:leader="dot" w:pos="9911"/>
        </w:tabs>
        <w:rPr>
          <w:rFonts w:asciiTheme="minorHAnsi" w:eastAsiaTheme="minorEastAsia" w:hAnsiTheme="minorHAnsi" w:cstheme="minorBidi"/>
          <w:i w:val="0"/>
          <w:iCs w:val="0"/>
          <w:noProof/>
          <w:sz w:val="22"/>
          <w:szCs w:val="22"/>
          <w:lang w:val="pl-PL" w:eastAsia="pl-PL"/>
        </w:rPr>
      </w:pPr>
      <w:hyperlink w:anchor="_Toc46391781" w:history="1">
        <w:r w:rsidR="007F2E23" w:rsidRPr="00E57840">
          <w:rPr>
            <w:rStyle w:val="Hipercze"/>
            <w:b/>
            <w:noProof/>
          </w:rPr>
          <w:t>Pożyczki dla MŚP</w:t>
        </w:r>
        <w:r w:rsidR="007F2E23">
          <w:rPr>
            <w:noProof/>
            <w:webHidden/>
          </w:rPr>
          <w:tab/>
        </w:r>
        <w:r w:rsidR="007F2E23">
          <w:rPr>
            <w:noProof/>
            <w:webHidden/>
          </w:rPr>
          <w:fldChar w:fldCharType="begin"/>
        </w:r>
        <w:r w:rsidR="007F2E23">
          <w:rPr>
            <w:noProof/>
            <w:webHidden/>
          </w:rPr>
          <w:instrText xml:space="preserve"> PAGEREF _Toc46391781 \h </w:instrText>
        </w:r>
        <w:r w:rsidR="007F2E23">
          <w:rPr>
            <w:noProof/>
            <w:webHidden/>
          </w:rPr>
        </w:r>
        <w:r w:rsidR="007F2E23">
          <w:rPr>
            <w:noProof/>
            <w:webHidden/>
          </w:rPr>
          <w:fldChar w:fldCharType="separate"/>
        </w:r>
        <w:r w:rsidR="007F2E23">
          <w:rPr>
            <w:noProof/>
            <w:webHidden/>
          </w:rPr>
          <w:t>203</w:t>
        </w:r>
        <w:r w:rsidR="007F2E23">
          <w:rPr>
            <w:noProof/>
            <w:webHidden/>
          </w:rPr>
          <w:fldChar w:fldCharType="end"/>
        </w:r>
      </w:hyperlink>
    </w:p>
    <w:p w14:paraId="44EFFDD8" w14:textId="41FBD386" w:rsidR="007F2E23" w:rsidRDefault="002E7197">
      <w:pPr>
        <w:pStyle w:val="Spistreci3"/>
        <w:tabs>
          <w:tab w:val="right" w:leader="dot" w:pos="9911"/>
        </w:tabs>
        <w:rPr>
          <w:rFonts w:asciiTheme="minorHAnsi" w:eastAsiaTheme="minorEastAsia" w:hAnsiTheme="minorHAnsi" w:cstheme="minorBidi"/>
          <w:i w:val="0"/>
          <w:iCs w:val="0"/>
          <w:noProof/>
          <w:sz w:val="22"/>
          <w:szCs w:val="22"/>
          <w:lang w:val="pl-PL" w:eastAsia="pl-PL"/>
        </w:rPr>
      </w:pPr>
      <w:hyperlink w:anchor="_Toc46391782" w:history="1">
        <w:r w:rsidR="007F2E23" w:rsidRPr="00E57840">
          <w:rPr>
            <w:rStyle w:val="Hipercze"/>
            <w:b/>
            <w:noProof/>
          </w:rPr>
          <w:t>Poręczenia dla MŚP</w:t>
        </w:r>
        <w:r w:rsidR="007F2E23">
          <w:rPr>
            <w:noProof/>
            <w:webHidden/>
          </w:rPr>
          <w:tab/>
        </w:r>
        <w:r w:rsidR="007F2E23">
          <w:rPr>
            <w:noProof/>
            <w:webHidden/>
          </w:rPr>
          <w:fldChar w:fldCharType="begin"/>
        </w:r>
        <w:r w:rsidR="007F2E23">
          <w:rPr>
            <w:noProof/>
            <w:webHidden/>
          </w:rPr>
          <w:instrText xml:space="preserve"> PAGEREF _Toc46391782 \h </w:instrText>
        </w:r>
        <w:r w:rsidR="007F2E23">
          <w:rPr>
            <w:noProof/>
            <w:webHidden/>
          </w:rPr>
        </w:r>
        <w:r w:rsidR="007F2E23">
          <w:rPr>
            <w:noProof/>
            <w:webHidden/>
          </w:rPr>
          <w:fldChar w:fldCharType="separate"/>
        </w:r>
        <w:r w:rsidR="007F2E23">
          <w:rPr>
            <w:noProof/>
            <w:webHidden/>
          </w:rPr>
          <w:t>204</w:t>
        </w:r>
        <w:r w:rsidR="007F2E23">
          <w:rPr>
            <w:noProof/>
            <w:webHidden/>
          </w:rPr>
          <w:fldChar w:fldCharType="end"/>
        </w:r>
      </w:hyperlink>
    </w:p>
    <w:p w14:paraId="45EA15EB" w14:textId="205281CD" w:rsidR="007F2E23" w:rsidRDefault="002E7197">
      <w:pPr>
        <w:pStyle w:val="Spistreci2"/>
        <w:tabs>
          <w:tab w:val="right" w:leader="dot" w:pos="9911"/>
        </w:tabs>
        <w:rPr>
          <w:rFonts w:asciiTheme="minorHAnsi" w:eastAsiaTheme="minorEastAsia" w:hAnsiTheme="minorHAnsi" w:cstheme="minorBidi"/>
          <w:noProof/>
          <w:sz w:val="22"/>
          <w:szCs w:val="22"/>
          <w:lang w:val="pl-PL" w:eastAsia="pl-PL"/>
        </w:rPr>
      </w:pPr>
      <w:hyperlink w:anchor="_Toc46391783" w:history="1">
        <w:r w:rsidR="007F2E23" w:rsidRPr="00E57840">
          <w:rPr>
            <w:rStyle w:val="Hipercze"/>
            <w:noProof/>
          </w:rPr>
          <w:t>Wsparcie rynku pracy przez Fundusz Funduszy Województwa Świętokrzyskiego</w:t>
        </w:r>
        <w:r w:rsidR="007F2E23">
          <w:rPr>
            <w:noProof/>
            <w:webHidden/>
          </w:rPr>
          <w:tab/>
        </w:r>
        <w:r w:rsidR="007F2E23">
          <w:rPr>
            <w:noProof/>
            <w:webHidden/>
          </w:rPr>
          <w:fldChar w:fldCharType="begin"/>
        </w:r>
        <w:r w:rsidR="007F2E23">
          <w:rPr>
            <w:noProof/>
            <w:webHidden/>
          </w:rPr>
          <w:instrText xml:space="preserve"> PAGEREF _Toc46391783 \h </w:instrText>
        </w:r>
        <w:r w:rsidR="007F2E23">
          <w:rPr>
            <w:noProof/>
            <w:webHidden/>
          </w:rPr>
        </w:r>
        <w:r w:rsidR="007F2E23">
          <w:rPr>
            <w:noProof/>
            <w:webHidden/>
          </w:rPr>
          <w:fldChar w:fldCharType="separate"/>
        </w:r>
        <w:r w:rsidR="007F2E23">
          <w:rPr>
            <w:noProof/>
            <w:webHidden/>
          </w:rPr>
          <w:t>208</w:t>
        </w:r>
        <w:r w:rsidR="007F2E23">
          <w:rPr>
            <w:noProof/>
            <w:webHidden/>
          </w:rPr>
          <w:fldChar w:fldCharType="end"/>
        </w:r>
      </w:hyperlink>
    </w:p>
    <w:p w14:paraId="4057B907" w14:textId="4BCC31AE" w:rsidR="007F2E23" w:rsidRDefault="002E7197">
      <w:pPr>
        <w:pStyle w:val="Spistreci3"/>
        <w:tabs>
          <w:tab w:val="right" w:leader="dot" w:pos="9911"/>
        </w:tabs>
        <w:rPr>
          <w:rFonts w:asciiTheme="minorHAnsi" w:eastAsiaTheme="minorEastAsia" w:hAnsiTheme="minorHAnsi" w:cstheme="minorBidi"/>
          <w:i w:val="0"/>
          <w:iCs w:val="0"/>
          <w:noProof/>
          <w:sz w:val="22"/>
          <w:szCs w:val="22"/>
          <w:lang w:val="pl-PL" w:eastAsia="pl-PL"/>
        </w:rPr>
      </w:pPr>
      <w:hyperlink w:anchor="_Toc46391784" w:history="1">
        <w:r w:rsidR="007F2E23" w:rsidRPr="00E57840">
          <w:rPr>
            <w:rStyle w:val="Hipercze"/>
            <w:b/>
            <w:noProof/>
          </w:rPr>
          <w:t>Mikropożyczki</w:t>
        </w:r>
        <w:r w:rsidR="007F2E23">
          <w:rPr>
            <w:noProof/>
            <w:webHidden/>
          </w:rPr>
          <w:tab/>
        </w:r>
        <w:r w:rsidR="007F2E23">
          <w:rPr>
            <w:noProof/>
            <w:webHidden/>
          </w:rPr>
          <w:fldChar w:fldCharType="begin"/>
        </w:r>
        <w:r w:rsidR="007F2E23">
          <w:rPr>
            <w:noProof/>
            <w:webHidden/>
          </w:rPr>
          <w:instrText xml:space="preserve"> PAGEREF _Toc46391784 \h </w:instrText>
        </w:r>
        <w:r w:rsidR="007F2E23">
          <w:rPr>
            <w:noProof/>
            <w:webHidden/>
          </w:rPr>
        </w:r>
        <w:r w:rsidR="007F2E23">
          <w:rPr>
            <w:noProof/>
            <w:webHidden/>
          </w:rPr>
          <w:fldChar w:fldCharType="separate"/>
        </w:r>
        <w:r w:rsidR="007F2E23">
          <w:rPr>
            <w:noProof/>
            <w:webHidden/>
          </w:rPr>
          <w:t>210</w:t>
        </w:r>
        <w:r w:rsidR="007F2E23">
          <w:rPr>
            <w:noProof/>
            <w:webHidden/>
          </w:rPr>
          <w:fldChar w:fldCharType="end"/>
        </w:r>
      </w:hyperlink>
    </w:p>
    <w:p w14:paraId="00622786" w14:textId="288EDC3D" w:rsidR="007F2E23" w:rsidRDefault="002E7197">
      <w:pPr>
        <w:pStyle w:val="Spistreci1"/>
        <w:tabs>
          <w:tab w:val="left" w:pos="480"/>
          <w:tab w:val="right" w:leader="dot" w:pos="9911"/>
        </w:tabs>
        <w:rPr>
          <w:rFonts w:asciiTheme="minorHAnsi" w:eastAsiaTheme="minorEastAsia" w:hAnsiTheme="minorHAnsi" w:cstheme="minorBidi"/>
          <w:b w:val="0"/>
          <w:bCs w:val="0"/>
          <w:noProof/>
          <w:sz w:val="22"/>
          <w:szCs w:val="22"/>
          <w:lang w:val="pl-PL" w:eastAsia="pl-PL"/>
        </w:rPr>
      </w:pPr>
      <w:hyperlink w:anchor="_Toc46391785" w:history="1">
        <w:r w:rsidR="007F2E23" w:rsidRPr="00E57840">
          <w:rPr>
            <w:rStyle w:val="Hipercze"/>
            <w:noProof/>
          </w:rPr>
          <w:t>11.</w:t>
        </w:r>
        <w:r w:rsidR="007F2E23">
          <w:rPr>
            <w:rFonts w:asciiTheme="minorHAnsi" w:eastAsiaTheme="minorEastAsia" w:hAnsiTheme="minorHAnsi" w:cstheme="minorBidi"/>
            <w:b w:val="0"/>
            <w:bCs w:val="0"/>
            <w:noProof/>
            <w:sz w:val="22"/>
            <w:szCs w:val="22"/>
            <w:lang w:val="pl-PL" w:eastAsia="pl-PL"/>
          </w:rPr>
          <w:tab/>
        </w:r>
        <w:r w:rsidR="007F2E23" w:rsidRPr="00E57840">
          <w:rPr>
            <w:rStyle w:val="Hipercze"/>
            <w:noProof/>
          </w:rPr>
          <w:t>OCENA WDRAŻANIA PROGRAMU OPERACYJNEGO (art. 50 ust. 4 i art. 111 ust. 4 rozporządzenia (UE) nr 1303/2013)</w:t>
        </w:r>
        <w:r w:rsidR="007F2E23">
          <w:rPr>
            <w:noProof/>
            <w:webHidden/>
          </w:rPr>
          <w:tab/>
        </w:r>
        <w:r w:rsidR="007F2E23">
          <w:rPr>
            <w:noProof/>
            <w:webHidden/>
          </w:rPr>
          <w:fldChar w:fldCharType="begin"/>
        </w:r>
        <w:r w:rsidR="007F2E23">
          <w:rPr>
            <w:noProof/>
            <w:webHidden/>
          </w:rPr>
          <w:instrText xml:space="preserve"> PAGEREF _Toc46391785 \h </w:instrText>
        </w:r>
        <w:r w:rsidR="007F2E23">
          <w:rPr>
            <w:noProof/>
            <w:webHidden/>
          </w:rPr>
        </w:r>
        <w:r w:rsidR="007F2E23">
          <w:rPr>
            <w:noProof/>
            <w:webHidden/>
          </w:rPr>
          <w:fldChar w:fldCharType="separate"/>
        </w:r>
        <w:r w:rsidR="007F2E23">
          <w:rPr>
            <w:noProof/>
            <w:webHidden/>
          </w:rPr>
          <w:t>216</w:t>
        </w:r>
        <w:r w:rsidR="007F2E23">
          <w:rPr>
            <w:noProof/>
            <w:webHidden/>
          </w:rPr>
          <w:fldChar w:fldCharType="end"/>
        </w:r>
      </w:hyperlink>
    </w:p>
    <w:p w14:paraId="5092FB52" w14:textId="7CCF06B1" w:rsidR="007F2E23" w:rsidRDefault="002E7197">
      <w:pPr>
        <w:pStyle w:val="Spistreci2"/>
        <w:tabs>
          <w:tab w:val="left" w:pos="960"/>
          <w:tab w:val="right" w:leader="dot" w:pos="9911"/>
        </w:tabs>
        <w:rPr>
          <w:rFonts w:asciiTheme="minorHAnsi" w:eastAsiaTheme="minorEastAsia" w:hAnsiTheme="minorHAnsi" w:cstheme="minorBidi"/>
          <w:noProof/>
          <w:sz w:val="22"/>
          <w:szCs w:val="22"/>
          <w:lang w:val="pl-PL" w:eastAsia="pl-PL"/>
        </w:rPr>
      </w:pPr>
      <w:hyperlink w:anchor="_Toc46391789" w:history="1">
        <w:r w:rsidR="007F2E23" w:rsidRPr="00E57840">
          <w:rPr>
            <w:rStyle w:val="Hipercze"/>
            <w:noProof/>
          </w:rPr>
          <w:t>11.1.</w:t>
        </w:r>
        <w:r w:rsidR="007F2E23">
          <w:rPr>
            <w:rFonts w:asciiTheme="minorHAnsi" w:eastAsiaTheme="minorEastAsia" w:hAnsiTheme="minorHAnsi" w:cstheme="minorBidi"/>
            <w:noProof/>
            <w:sz w:val="22"/>
            <w:szCs w:val="22"/>
            <w:lang w:val="pl-PL" w:eastAsia="pl-PL"/>
          </w:rPr>
          <w:tab/>
        </w:r>
        <w:r w:rsidR="007F2E23" w:rsidRPr="00E57840">
          <w:rPr>
            <w:rStyle w:val="Hipercze"/>
            <w:noProof/>
          </w:rPr>
          <w:t>Informacje zawarte w części A i osiąganie celów programu (art. 50 ust. 4 rozporządzenia (UE) nr 1303/2013)</w:t>
        </w:r>
        <w:r w:rsidR="007F2E23">
          <w:rPr>
            <w:noProof/>
            <w:webHidden/>
          </w:rPr>
          <w:tab/>
        </w:r>
        <w:r w:rsidR="007F2E23">
          <w:rPr>
            <w:noProof/>
            <w:webHidden/>
          </w:rPr>
          <w:fldChar w:fldCharType="begin"/>
        </w:r>
        <w:r w:rsidR="007F2E23">
          <w:rPr>
            <w:noProof/>
            <w:webHidden/>
          </w:rPr>
          <w:instrText xml:space="preserve"> PAGEREF _Toc46391789 \h </w:instrText>
        </w:r>
        <w:r w:rsidR="007F2E23">
          <w:rPr>
            <w:noProof/>
            <w:webHidden/>
          </w:rPr>
        </w:r>
        <w:r w:rsidR="007F2E23">
          <w:rPr>
            <w:noProof/>
            <w:webHidden/>
          </w:rPr>
          <w:fldChar w:fldCharType="separate"/>
        </w:r>
        <w:r w:rsidR="007F2E23">
          <w:rPr>
            <w:noProof/>
            <w:webHidden/>
          </w:rPr>
          <w:t>216</w:t>
        </w:r>
        <w:r w:rsidR="007F2E23">
          <w:rPr>
            <w:noProof/>
            <w:webHidden/>
          </w:rPr>
          <w:fldChar w:fldCharType="end"/>
        </w:r>
      </w:hyperlink>
    </w:p>
    <w:p w14:paraId="31C0691C" w14:textId="0FD589FB" w:rsidR="007F2E23" w:rsidRDefault="002E7197">
      <w:pPr>
        <w:pStyle w:val="Spistreci2"/>
        <w:tabs>
          <w:tab w:val="left" w:pos="960"/>
          <w:tab w:val="right" w:leader="dot" w:pos="9911"/>
        </w:tabs>
        <w:rPr>
          <w:rFonts w:asciiTheme="minorHAnsi" w:eastAsiaTheme="minorEastAsia" w:hAnsiTheme="minorHAnsi" w:cstheme="minorBidi"/>
          <w:noProof/>
          <w:sz w:val="22"/>
          <w:szCs w:val="22"/>
          <w:lang w:val="pl-PL" w:eastAsia="pl-PL"/>
        </w:rPr>
      </w:pPr>
      <w:hyperlink w:anchor="_Toc46391790" w:history="1">
        <w:r w:rsidR="007F2E23" w:rsidRPr="00E57840">
          <w:rPr>
            <w:rStyle w:val="Hipercze"/>
            <w:noProof/>
          </w:rPr>
          <w:t>11.2.</w:t>
        </w:r>
        <w:r w:rsidR="007F2E23">
          <w:rPr>
            <w:rFonts w:asciiTheme="minorHAnsi" w:eastAsiaTheme="minorEastAsia" w:hAnsiTheme="minorHAnsi" w:cstheme="minorBidi"/>
            <w:noProof/>
            <w:sz w:val="22"/>
            <w:szCs w:val="22"/>
            <w:lang w:val="pl-PL" w:eastAsia="pl-PL"/>
          </w:rPr>
          <w:tab/>
        </w:r>
        <w:r w:rsidR="007F2E23" w:rsidRPr="00E57840">
          <w:rPr>
            <w:rStyle w:val="Hipercze"/>
            <w:noProof/>
          </w:rPr>
          <w:t>Szczególne przedsięwzięcia mające na celu promowanie równouprawnienia płci oraz zapobieganie dyskryminacji, w tym w szczególności zapewnienie dostępności dla osób z niepełnosprawnościami, i rozwiązania wdrożone, aby zapewnić włączenie punktu widzenia płci do programów operacyjnych i operacji (art. 50 ust. 4 i art. 111 ust. 4 akapit drugi lit. e) rozporządzenia (UE) nr 1303/2013)</w:t>
        </w:r>
        <w:r w:rsidR="007F2E23">
          <w:rPr>
            <w:noProof/>
            <w:webHidden/>
          </w:rPr>
          <w:tab/>
        </w:r>
        <w:r w:rsidR="007F2E23">
          <w:rPr>
            <w:noProof/>
            <w:webHidden/>
          </w:rPr>
          <w:fldChar w:fldCharType="begin"/>
        </w:r>
        <w:r w:rsidR="007F2E23">
          <w:rPr>
            <w:noProof/>
            <w:webHidden/>
          </w:rPr>
          <w:instrText xml:space="preserve"> PAGEREF _Toc46391790 \h </w:instrText>
        </w:r>
        <w:r w:rsidR="007F2E23">
          <w:rPr>
            <w:noProof/>
            <w:webHidden/>
          </w:rPr>
        </w:r>
        <w:r w:rsidR="007F2E23">
          <w:rPr>
            <w:noProof/>
            <w:webHidden/>
          </w:rPr>
          <w:fldChar w:fldCharType="separate"/>
        </w:r>
        <w:r w:rsidR="007F2E23">
          <w:rPr>
            <w:noProof/>
            <w:webHidden/>
          </w:rPr>
          <w:t>216</w:t>
        </w:r>
        <w:r w:rsidR="007F2E23">
          <w:rPr>
            <w:noProof/>
            <w:webHidden/>
          </w:rPr>
          <w:fldChar w:fldCharType="end"/>
        </w:r>
      </w:hyperlink>
    </w:p>
    <w:p w14:paraId="3D8D23C0" w14:textId="3FE2E87B" w:rsidR="007F2E23" w:rsidRDefault="002E7197">
      <w:pPr>
        <w:pStyle w:val="Spistreci2"/>
        <w:tabs>
          <w:tab w:val="left" w:pos="960"/>
          <w:tab w:val="right" w:leader="dot" w:pos="9911"/>
        </w:tabs>
        <w:rPr>
          <w:rFonts w:asciiTheme="minorHAnsi" w:eastAsiaTheme="minorEastAsia" w:hAnsiTheme="minorHAnsi" w:cstheme="minorBidi"/>
          <w:noProof/>
          <w:sz w:val="22"/>
          <w:szCs w:val="22"/>
          <w:lang w:val="pl-PL" w:eastAsia="pl-PL"/>
        </w:rPr>
      </w:pPr>
      <w:hyperlink w:anchor="_Toc46391791" w:history="1">
        <w:r w:rsidR="007F2E23" w:rsidRPr="00E57840">
          <w:rPr>
            <w:rStyle w:val="Hipercze"/>
            <w:noProof/>
          </w:rPr>
          <w:t>11.3.</w:t>
        </w:r>
        <w:r w:rsidR="007F2E23">
          <w:rPr>
            <w:rFonts w:asciiTheme="minorHAnsi" w:eastAsiaTheme="minorEastAsia" w:hAnsiTheme="minorHAnsi" w:cstheme="minorBidi"/>
            <w:noProof/>
            <w:sz w:val="22"/>
            <w:szCs w:val="22"/>
            <w:lang w:val="pl-PL" w:eastAsia="pl-PL"/>
          </w:rPr>
          <w:tab/>
        </w:r>
        <w:r w:rsidR="007F2E23" w:rsidRPr="00E57840">
          <w:rPr>
            <w:rStyle w:val="Hipercze"/>
            <w:noProof/>
          </w:rPr>
          <w:t>Zrównoważony rozwój (art. 50 ust. 4 i art. 111 ust. 4 akapit drugi lit. f) rozporządzenia (UE) nr 1303/2013)</w:t>
        </w:r>
        <w:r w:rsidR="007F2E23">
          <w:rPr>
            <w:noProof/>
            <w:webHidden/>
          </w:rPr>
          <w:tab/>
        </w:r>
        <w:r w:rsidR="007F2E23">
          <w:rPr>
            <w:noProof/>
            <w:webHidden/>
          </w:rPr>
          <w:fldChar w:fldCharType="begin"/>
        </w:r>
        <w:r w:rsidR="007F2E23">
          <w:rPr>
            <w:noProof/>
            <w:webHidden/>
          </w:rPr>
          <w:instrText xml:space="preserve"> PAGEREF _Toc46391791 \h </w:instrText>
        </w:r>
        <w:r w:rsidR="007F2E23">
          <w:rPr>
            <w:noProof/>
            <w:webHidden/>
          </w:rPr>
        </w:r>
        <w:r w:rsidR="007F2E23">
          <w:rPr>
            <w:noProof/>
            <w:webHidden/>
          </w:rPr>
          <w:fldChar w:fldCharType="separate"/>
        </w:r>
        <w:r w:rsidR="007F2E23">
          <w:rPr>
            <w:noProof/>
            <w:webHidden/>
          </w:rPr>
          <w:t>216</w:t>
        </w:r>
        <w:r w:rsidR="007F2E23">
          <w:rPr>
            <w:noProof/>
            <w:webHidden/>
          </w:rPr>
          <w:fldChar w:fldCharType="end"/>
        </w:r>
      </w:hyperlink>
    </w:p>
    <w:p w14:paraId="6AA148A6" w14:textId="52DE7A8F" w:rsidR="007F2E23" w:rsidRDefault="002E7197">
      <w:pPr>
        <w:pStyle w:val="Spistreci2"/>
        <w:tabs>
          <w:tab w:val="left" w:pos="960"/>
          <w:tab w:val="right" w:leader="dot" w:pos="9911"/>
        </w:tabs>
        <w:rPr>
          <w:rFonts w:asciiTheme="minorHAnsi" w:eastAsiaTheme="minorEastAsia" w:hAnsiTheme="minorHAnsi" w:cstheme="minorBidi"/>
          <w:noProof/>
          <w:sz w:val="22"/>
          <w:szCs w:val="22"/>
          <w:lang w:val="pl-PL" w:eastAsia="pl-PL"/>
        </w:rPr>
      </w:pPr>
      <w:hyperlink w:anchor="_Toc46391792" w:history="1">
        <w:r w:rsidR="007F2E23" w:rsidRPr="00E57840">
          <w:rPr>
            <w:rStyle w:val="Hipercze"/>
            <w:noProof/>
          </w:rPr>
          <w:t>11.4.</w:t>
        </w:r>
        <w:r w:rsidR="007F2E23">
          <w:rPr>
            <w:rFonts w:asciiTheme="minorHAnsi" w:eastAsiaTheme="minorEastAsia" w:hAnsiTheme="minorHAnsi" w:cstheme="minorBidi"/>
            <w:noProof/>
            <w:sz w:val="22"/>
            <w:szCs w:val="22"/>
            <w:lang w:val="pl-PL" w:eastAsia="pl-PL"/>
          </w:rPr>
          <w:tab/>
        </w:r>
        <w:r w:rsidR="007F2E23" w:rsidRPr="00E57840">
          <w:rPr>
            <w:rStyle w:val="Hipercze"/>
            <w:noProof/>
          </w:rPr>
          <w:t>Sprawozdania dotyczące wsparcia wykorzystanego na cele dotyczące zmiany klimatu (art. 50 ust. 4 rozporządzenia (UE) nr 1303/2013)</w:t>
        </w:r>
        <w:r w:rsidR="007F2E23">
          <w:rPr>
            <w:noProof/>
            <w:webHidden/>
          </w:rPr>
          <w:tab/>
        </w:r>
        <w:r w:rsidR="007F2E23">
          <w:rPr>
            <w:noProof/>
            <w:webHidden/>
          </w:rPr>
          <w:fldChar w:fldCharType="begin"/>
        </w:r>
        <w:r w:rsidR="007F2E23">
          <w:rPr>
            <w:noProof/>
            <w:webHidden/>
          </w:rPr>
          <w:instrText xml:space="preserve"> PAGEREF _Toc46391792 \h </w:instrText>
        </w:r>
        <w:r w:rsidR="007F2E23">
          <w:rPr>
            <w:noProof/>
            <w:webHidden/>
          </w:rPr>
        </w:r>
        <w:r w:rsidR="007F2E23">
          <w:rPr>
            <w:noProof/>
            <w:webHidden/>
          </w:rPr>
          <w:fldChar w:fldCharType="separate"/>
        </w:r>
        <w:r w:rsidR="007F2E23">
          <w:rPr>
            <w:noProof/>
            <w:webHidden/>
          </w:rPr>
          <w:t>216</w:t>
        </w:r>
        <w:r w:rsidR="007F2E23">
          <w:rPr>
            <w:noProof/>
            <w:webHidden/>
          </w:rPr>
          <w:fldChar w:fldCharType="end"/>
        </w:r>
      </w:hyperlink>
    </w:p>
    <w:p w14:paraId="486D0895" w14:textId="0BB72AD7" w:rsidR="007F2E23" w:rsidRDefault="002E7197">
      <w:pPr>
        <w:pStyle w:val="Spistreci2"/>
        <w:tabs>
          <w:tab w:val="left" w:pos="960"/>
          <w:tab w:val="right" w:leader="dot" w:pos="9911"/>
        </w:tabs>
        <w:rPr>
          <w:rFonts w:asciiTheme="minorHAnsi" w:eastAsiaTheme="minorEastAsia" w:hAnsiTheme="minorHAnsi" w:cstheme="minorBidi"/>
          <w:noProof/>
          <w:sz w:val="22"/>
          <w:szCs w:val="22"/>
          <w:lang w:val="pl-PL" w:eastAsia="pl-PL"/>
        </w:rPr>
      </w:pPr>
      <w:hyperlink w:anchor="_Toc46391793" w:history="1">
        <w:r w:rsidR="007F2E23" w:rsidRPr="00E57840">
          <w:rPr>
            <w:rStyle w:val="Hipercze"/>
            <w:noProof/>
            <w:lang w:val="fr-BE"/>
          </w:rPr>
          <w:t>11.5.</w:t>
        </w:r>
        <w:r w:rsidR="007F2E23">
          <w:rPr>
            <w:rFonts w:asciiTheme="minorHAnsi" w:eastAsiaTheme="minorEastAsia" w:hAnsiTheme="minorHAnsi" w:cstheme="minorBidi"/>
            <w:noProof/>
            <w:sz w:val="22"/>
            <w:szCs w:val="22"/>
            <w:lang w:val="pl-PL" w:eastAsia="pl-PL"/>
          </w:rPr>
          <w:tab/>
        </w:r>
        <w:r w:rsidR="007F2E23" w:rsidRPr="00E57840">
          <w:rPr>
            <w:rStyle w:val="Hipercze"/>
            <w:noProof/>
            <w:lang w:val="fr-BE"/>
          </w:rPr>
          <w:t>Rola partnerów we wdrażaniu programu</w:t>
        </w:r>
        <w:r w:rsidR="007F2E23">
          <w:rPr>
            <w:noProof/>
            <w:webHidden/>
          </w:rPr>
          <w:tab/>
        </w:r>
        <w:r w:rsidR="007F2E23">
          <w:rPr>
            <w:noProof/>
            <w:webHidden/>
          </w:rPr>
          <w:fldChar w:fldCharType="begin"/>
        </w:r>
        <w:r w:rsidR="007F2E23">
          <w:rPr>
            <w:noProof/>
            <w:webHidden/>
          </w:rPr>
          <w:instrText xml:space="preserve"> PAGEREF _Toc46391793 \h </w:instrText>
        </w:r>
        <w:r w:rsidR="007F2E23">
          <w:rPr>
            <w:noProof/>
            <w:webHidden/>
          </w:rPr>
        </w:r>
        <w:r w:rsidR="007F2E23">
          <w:rPr>
            <w:noProof/>
            <w:webHidden/>
          </w:rPr>
          <w:fldChar w:fldCharType="separate"/>
        </w:r>
        <w:r w:rsidR="007F2E23">
          <w:rPr>
            <w:noProof/>
            <w:webHidden/>
          </w:rPr>
          <w:t>216</w:t>
        </w:r>
        <w:r w:rsidR="007F2E23">
          <w:rPr>
            <w:noProof/>
            <w:webHidden/>
          </w:rPr>
          <w:fldChar w:fldCharType="end"/>
        </w:r>
      </w:hyperlink>
    </w:p>
    <w:p w14:paraId="19EF14C6" w14:textId="4B2E5432" w:rsidR="007F2E23" w:rsidRDefault="002E7197">
      <w:pPr>
        <w:pStyle w:val="Spistreci1"/>
        <w:tabs>
          <w:tab w:val="left" w:pos="480"/>
          <w:tab w:val="right" w:leader="dot" w:pos="9911"/>
        </w:tabs>
        <w:rPr>
          <w:rFonts w:asciiTheme="minorHAnsi" w:eastAsiaTheme="minorEastAsia" w:hAnsiTheme="minorHAnsi" w:cstheme="minorBidi"/>
          <w:b w:val="0"/>
          <w:bCs w:val="0"/>
          <w:noProof/>
          <w:sz w:val="22"/>
          <w:szCs w:val="22"/>
          <w:lang w:val="pl-PL" w:eastAsia="pl-PL"/>
        </w:rPr>
      </w:pPr>
      <w:hyperlink w:anchor="_Toc46391794" w:history="1">
        <w:r w:rsidR="007F2E23" w:rsidRPr="00E57840">
          <w:rPr>
            <w:rStyle w:val="Hipercze"/>
            <w:noProof/>
          </w:rPr>
          <w:t>14.</w:t>
        </w:r>
        <w:r w:rsidR="007F2E23">
          <w:rPr>
            <w:rFonts w:asciiTheme="minorHAnsi" w:eastAsiaTheme="minorEastAsia" w:hAnsiTheme="minorHAnsi" w:cstheme="minorBidi"/>
            <w:b w:val="0"/>
            <w:bCs w:val="0"/>
            <w:noProof/>
            <w:sz w:val="22"/>
            <w:szCs w:val="22"/>
            <w:lang w:val="pl-PL" w:eastAsia="pl-PL"/>
          </w:rPr>
          <w:tab/>
        </w:r>
        <w:r w:rsidR="007F2E23" w:rsidRPr="00E57840">
          <w:rPr>
            <w:rStyle w:val="Hipercze"/>
            <w:noProof/>
          </w:rPr>
          <w:t>DODATKOWE INFORMACJE, KTÓRE MOŻNA DOŁĄCZYĆ, W ZALEŻNOŚCI OD TREŚCI I CELÓW PROGRAMU OPERACYJNEGO (art. 111 ust. 4 akapit drugi lit. a), b), c), d), g) i h) rozporządzenia (UE) nr 1303/2013)</w:t>
        </w:r>
        <w:r w:rsidR="007F2E23">
          <w:rPr>
            <w:noProof/>
            <w:webHidden/>
          </w:rPr>
          <w:tab/>
        </w:r>
        <w:r w:rsidR="007F2E23">
          <w:rPr>
            <w:noProof/>
            <w:webHidden/>
          </w:rPr>
          <w:fldChar w:fldCharType="begin"/>
        </w:r>
        <w:r w:rsidR="007F2E23">
          <w:rPr>
            <w:noProof/>
            <w:webHidden/>
          </w:rPr>
          <w:instrText xml:space="preserve"> PAGEREF _Toc46391794 \h </w:instrText>
        </w:r>
        <w:r w:rsidR="007F2E23">
          <w:rPr>
            <w:noProof/>
            <w:webHidden/>
          </w:rPr>
        </w:r>
        <w:r w:rsidR="007F2E23">
          <w:rPr>
            <w:noProof/>
            <w:webHidden/>
          </w:rPr>
          <w:fldChar w:fldCharType="separate"/>
        </w:r>
        <w:r w:rsidR="007F2E23">
          <w:rPr>
            <w:noProof/>
            <w:webHidden/>
          </w:rPr>
          <w:t>220</w:t>
        </w:r>
        <w:r w:rsidR="007F2E23">
          <w:rPr>
            <w:noProof/>
            <w:webHidden/>
          </w:rPr>
          <w:fldChar w:fldCharType="end"/>
        </w:r>
      </w:hyperlink>
    </w:p>
    <w:p w14:paraId="03FC9ED7" w14:textId="56CD51C6" w:rsidR="007F2E23" w:rsidRDefault="002E7197">
      <w:pPr>
        <w:pStyle w:val="Spistreci2"/>
        <w:tabs>
          <w:tab w:val="left" w:pos="960"/>
          <w:tab w:val="right" w:leader="dot" w:pos="9911"/>
        </w:tabs>
        <w:rPr>
          <w:rFonts w:asciiTheme="minorHAnsi" w:eastAsiaTheme="minorEastAsia" w:hAnsiTheme="minorHAnsi" w:cstheme="minorBidi"/>
          <w:noProof/>
          <w:sz w:val="22"/>
          <w:szCs w:val="22"/>
          <w:lang w:val="pl-PL" w:eastAsia="pl-PL"/>
        </w:rPr>
      </w:pPr>
      <w:hyperlink w:anchor="_Toc46391798" w:history="1">
        <w:r w:rsidR="007F2E23" w:rsidRPr="00E57840">
          <w:rPr>
            <w:rStyle w:val="Hipercze"/>
            <w:noProof/>
          </w:rPr>
          <w:t>14.1.</w:t>
        </w:r>
        <w:r w:rsidR="007F2E23">
          <w:rPr>
            <w:rFonts w:asciiTheme="minorHAnsi" w:eastAsiaTheme="minorEastAsia" w:hAnsiTheme="minorHAnsi" w:cstheme="minorBidi"/>
            <w:noProof/>
            <w:sz w:val="22"/>
            <w:szCs w:val="22"/>
            <w:lang w:val="pl-PL" w:eastAsia="pl-PL"/>
          </w:rPr>
          <w:tab/>
        </w:r>
        <w:r w:rsidR="007F2E23" w:rsidRPr="00E57840">
          <w:rPr>
            <w:rStyle w:val="Hipercze"/>
            <w:noProof/>
          </w:rPr>
          <w:t>Postępy w realizacji zintegrowanego podejścia do rozwoju terytorialnego, w tym rozwoju regionów, które cierpią na skutek sytuacji demograficznej oraz stałych lub naturalnych niekorzystnych warunków, zintegrowanych inwestycji terytorialnych, zrównoważonego rozwoju obszarów miejskich oraz rozwoju lokalnego kierowanego przez społeczność w ramach programu operacyjnego</w:t>
        </w:r>
        <w:r w:rsidR="007F2E23">
          <w:rPr>
            <w:noProof/>
            <w:webHidden/>
          </w:rPr>
          <w:tab/>
        </w:r>
        <w:r w:rsidR="007F2E23">
          <w:rPr>
            <w:noProof/>
            <w:webHidden/>
          </w:rPr>
          <w:fldChar w:fldCharType="begin"/>
        </w:r>
        <w:r w:rsidR="007F2E23">
          <w:rPr>
            <w:noProof/>
            <w:webHidden/>
          </w:rPr>
          <w:instrText xml:space="preserve"> PAGEREF _Toc46391798 \h </w:instrText>
        </w:r>
        <w:r w:rsidR="007F2E23">
          <w:rPr>
            <w:noProof/>
            <w:webHidden/>
          </w:rPr>
        </w:r>
        <w:r w:rsidR="007F2E23">
          <w:rPr>
            <w:noProof/>
            <w:webHidden/>
          </w:rPr>
          <w:fldChar w:fldCharType="separate"/>
        </w:r>
        <w:r w:rsidR="007F2E23">
          <w:rPr>
            <w:noProof/>
            <w:webHidden/>
          </w:rPr>
          <w:t>220</w:t>
        </w:r>
        <w:r w:rsidR="007F2E23">
          <w:rPr>
            <w:noProof/>
            <w:webHidden/>
          </w:rPr>
          <w:fldChar w:fldCharType="end"/>
        </w:r>
      </w:hyperlink>
    </w:p>
    <w:p w14:paraId="0D664658" w14:textId="40D3F1EC" w:rsidR="007F2E23" w:rsidRDefault="002E7197">
      <w:pPr>
        <w:pStyle w:val="Spistreci2"/>
        <w:tabs>
          <w:tab w:val="left" w:pos="960"/>
          <w:tab w:val="right" w:leader="dot" w:pos="9911"/>
        </w:tabs>
        <w:rPr>
          <w:rFonts w:asciiTheme="minorHAnsi" w:eastAsiaTheme="minorEastAsia" w:hAnsiTheme="minorHAnsi" w:cstheme="minorBidi"/>
          <w:noProof/>
          <w:sz w:val="22"/>
          <w:szCs w:val="22"/>
          <w:lang w:val="pl-PL" w:eastAsia="pl-PL"/>
        </w:rPr>
      </w:pPr>
      <w:hyperlink w:anchor="_Toc46391799" w:history="1">
        <w:r w:rsidR="007F2E23" w:rsidRPr="00E57840">
          <w:rPr>
            <w:rStyle w:val="Hipercze"/>
            <w:noProof/>
          </w:rPr>
          <w:t>14.2.</w:t>
        </w:r>
        <w:r w:rsidR="007F2E23">
          <w:rPr>
            <w:rFonts w:asciiTheme="minorHAnsi" w:eastAsiaTheme="minorEastAsia" w:hAnsiTheme="minorHAnsi" w:cstheme="minorBidi"/>
            <w:noProof/>
            <w:sz w:val="22"/>
            <w:szCs w:val="22"/>
            <w:lang w:val="pl-PL" w:eastAsia="pl-PL"/>
          </w:rPr>
          <w:tab/>
        </w:r>
        <w:r w:rsidR="007F2E23" w:rsidRPr="00E57840">
          <w:rPr>
            <w:rStyle w:val="Hipercze"/>
            <w:noProof/>
          </w:rPr>
          <w:t>Postępy w realizacji przedsięwzięć mających na celu zwiększenie zdolności instytucji i beneficjentów w państwach członkowskich w zakresie zarządzania funduszami i korzystania z nich</w:t>
        </w:r>
        <w:r w:rsidR="007F2E23">
          <w:rPr>
            <w:noProof/>
            <w:webHidden/>
          </w:rPr>
          <w:tab/>
        </w:r>
        <w:r w:rsidR="007F2E23">
          <w:rPr>
            <w:noProof/>
            <w:webHidden/>
          </w:rPr>
          <w:fldChar w:fldCharType="begin"/>
        </w:r>
        <w:r w:rsidR="007F2E23">
          <w:rPr>
            <w:noProof/>
            <w:webHidden/>
          </w:rPr>
          <w:instrText xml:space="preserve"> PAGEREF _Toc46391799 \h </w:instrText>
        </w:r>
        <w:r w:rsidR="007F2E23">
          <w:rPr>
            <w:noProof/>
            <w:webHidden/>
          </w:rPr>
        </w:r>
        <w:r w:rsidR="007F2E23">
          <w:rPr>
            <w:noProof/>
            <w:webHidden/>
          </w:rPr>
          <w:fldChar w:fldCharType="separate"/>
        </w:r>
        <w:r w:rsidR="007F2E23">
          <w:rPr>
            <w:noProof/>
            <w:webHidden/>
          </w:rPr>
          <w:t>220</w:t>
        </w:r>
        <w:r w:rsidR="007F2E23">
          <w:rPr>
            <w:noProof/>
            <w:webHidden/>
          </w:rPr>
          <w:fldChar w:fldCharType="end"/>
        </w:r>
      </w:hyperlink>
    </w:p>
    <w:p w14:paraId="27A56634" w14:textId="67637D0D" w:rsidR="007F2E23" w:rsidRDefault="002E7197">
      <w:pPr>
        <w:pStyle w:val="Spistreci2"/>
        <w:tabs>
          <w:tab w:val="left" w:pos="960"/>
          <w:tab w:val="right" w:leader="dot" w:pos="9911"/>
        </w:tabs>
        <w:rPr>
          <w:rFonts w:asciiTheme="minorHAnsi" w:eastAsiaTheme="minorEastAsia" w:hAnsiTheme="minorHAnsi" w:cstheme="minorBidi"/>
          <w:noProof/>
          <w:sz w:val="22"/>
          <w:szCs w:val="22"/>
          <w:lang w:val="pl-PL" w:eastAsia="pl-PL"/>
        </w:rPr>
      </w:pPr>
      <w:hyperlink w:anchor="_Toc46391800" w:history="1">
        <w:r w:rsidR="007F2E23" w:rsidRPr="00E57840">
          <w:rPr>
            <w:rStyle w:val="Hipercze"/>
            <w:noProof/>
          </w:rPr>
          <w:t>14.3.</w:t>
        </w:r>
        <w:r w:rsidR="007F2E23">
          <w:rPr>
            <w:rFonts w:asciiTheme="minorHAnsi" w:eastAsiaTheme="minorEastAsia" w:hAnsiTheme="minorHAnsi" w:cstheme="minorBidi"/>
            <w:noProof/>
            <w:sz w:val="22"/>
            <w:szCs w:val="22"/>
            <w:lang w:val="pl-PL" w:eastAsia="pl-PL"/>
          </w:rPr>
          <w:tab/>
        </w:r>
        <w:r w:rsidR="007F2E23" w:rsidRPr="00E57840">
          <w:rPr>
            <w:rStyle w:val="Hipercze"/>
            <w:noProof/>
          </w:rPr>
          <w:t>Postępy w realizacji wszelkich przedsięwzięć międzyregionalnych i transnarodowych</w:t>
        </w:r>
        <w:r w:rsidR="007F2E23">
          <w:rPr>
            <w:noProof/>
            <w:webHidden/>
          </w:rPr>
          <w:tab/>
        </w:r>
        <w:r w:rsidR="007F2E23">
          <w:rPr>
            <w:noProof/>
            <w:webHidden/>
          </w:rPr>
          <w:fldChar w:fldCharType="begin"/>
        </w:r>
        <w:r w:rsidR="007F2E23">
          <w:rPr>
            <w:noProof/>
            <w:webHidden/>
          </w:rPr>
          <w:instrText xml:space="preserve"> PAGEREF _Toc46391800 \h </w:instrText>
        </w:r>
        <w:r w:rsidR="007F2E23">
          <w:rPr>
            <w:noProof/>
            <w:webHidden/>
          </w:rPr>
        </w:r>
        <w:r w:rsidR="007F2E23">
          <w:rPr>
            <w:noProof/>
            <w:webHidden/>
          </w:rPr>
          <w:fldChar w:fldCharType="separate"/>
        </w:r>
        <w:r w:rsidR="007F2E23">
          <w:rPr>
            <w:noProof/>
            <w:webHidden/>
          </w:rPr>
          <w:t>220</w:t>
        </w:r>
        <w:r w:rsidR="007F2E23">
          <w:rPr>
            <w:noProof/>
            <w:webHidden/>
          </w:rPr>
          <w:fldChar w:fldCharType="end"/>
        </w:r>
      </w:hyperlink>
    </w:p>
    <w:p w14:paraId="0F4E9044" w14:textId="4CDE17DA" w:rsidR="007F2E23" w:rsidRDefault="002E7197">
      <w:pPr>
        <w:pStyle w:val="Spistreci2"/>
        <w:tabs>
          <w:tab w:val="left" w:pos="960"/>
          <w:tab w:val="right" w:leader="dot" w:pos="9911"/>
        </w:tabs>
        <w:rPr>
          <w:rFonts w:asciiTheme="minorHAnsi" w:eastAsiaTheme="minorEastAsia" w:hAnsiTheme="minorHAnsi" w:cstheme="minorBidi"/>
          <w:noProof/>
          <w:sz w:val="22"/>
          <w:szCs w:val="22"/>
          <w:lang w:val="pl-PL" w:eastAsia="pl-PL"/>
        </w:rPr>
      </w:pPr>
      <w:hyperlink w:anchor="_Toc46391801" w:history="1">
        <w:r w:rsidR="007F2E23" w:rsidRPr="00E57840">
          <w:rPr>
            <w:rStyle w:val="Hipercze"/>
            <w:noProof/>
          </w:rPr>
          <w:t>14.4.</w:t>
        </w:r>
        <w:r w:rsidR="007F2E23">
          <w:rPr>
            <w:rFonts w:asciiTheme="minorHAnsi" w:eastAsiaTheme="minorEastAsia" w:hAnsiTheme="minorHAnsi" w:cstheme="minorBidi"/>
            <w:noProof/>
            <w:sz w:val="22"/>
            <w:szCs w:val="22"/>
            <w:lang w:val="pl-PL" w:eastAsia="pl-PL"/>
          </w:rPr>
          <w:tab/>
        </w:r>
        <w:r w:rsidR="007F2E23" w:rsidRPr="00E57840">
          <w:rPr>
            <w:rStyle w:val="Hipercze"/>
            <w:noProof/>
          </w:rPr>
          <w:t>W stosownych przypadkach — wkład w strategie makroregionalne i strategie morskie</w:t>
        </w:r>
        <w:r w:rsidR="007F2E23">
          <w:rPr>
            <w:noProof/>
            <w:webHidden/>
          </w:rPr>
          <w:tab/>
        </w:r>
        <w:r w:rsidR="007F2E23">
          <w:rPr>
            <w:noProof/>
            <w:webHidden/>
          </w:rPr>
          <w:fldChar w:fldCharType="begin"/>
        </w:r>
        <w:r w:rsidR="007F2E23">
          <w:rPr>
            <w:noProof/>
            <w:webHidden/>
          </w:rPr>
          <w:instrText xml:space="preserve"> PAGEREF _Toc46391801 \h </w:instrText>
        </w:r>
        <w:r w:rsidR="007F2E23">
          <w:rPr>
            <w:noProof/>
            <w:webHidden/>
          </w:rPr>
        </w:r>
        <w:r w:rsidR="007F2E23">
          <w:rPr>
            <w:noProof/>
            <w:webHidden/>
          </w:rPr>
          <w:fldChar w:fldCharType="separate"/>
        </w:r>
        <w:r w:rsidR="007F2E23">
          <w:rPr>
            <w:noProof/>
            <w:webHidden/>
          </w:rPr>
          <w:t>220</w:t>
        </w:r>
        <w:r w:rsidR="007F2E23">
          <w:rPr>
            <w:noProof/>
            <w:webHidden/>
          </w:rPr>
          <w:fldChar w:fldCharType="end"/>
        </w:r>
      </w:hyperlink>
    </w:p>
    <w:p w14:paraId="54013D18" w14:textId="73EB0E53" w:rsidR="007F2E23" w:rsidRDefault="002E7197">
      <w:pPr>
        <w:pStyle w:val="Spistreci3"/>
        <w:tabs>
          <w:tab w:val="right" w:leader="dot" w:pos="9911"/>
        </w:tabs>
        <w:rPr>
          <w:rFonts w:asciiTheme="minorHAnsi" w:eastAsiaTheme="minorEastAsia" w:hAnsiTheme="minorHAnsi" w:cstheme="minorBidi"/>
          <w:i w:val="0"/>
          <w:iCs w:val="0"/>
          <w:noProof/>
          <w:sz w:val="22"/>
          <w:szCs w:val="22"/>
          <w:lang w:val="pl-PL" w:eastAsia="pl-PL"/>
        </w:rPr>
      </w:pPr>
      <w:hyperlink w:anchor="_Toc46391802" w:history="1">
        <w:r w:rsidR="007F2E23" w:rsidRPr="00E57840">
          <w:rPr>
            <w:rStyle w:val="Hipercze"/>
            <w:noProof/>
          </w:rPr>
          <w:t>EUSBSR</w:t>
        </w:r>
        <w:r w:rsidR="007F2E23">
          <w:rPr>
            <w:noProof/>
            <w:webHidden/>
          </w:rPr>
          <w:tab/>
        </w:r>
        <w:r w:rsidR="007F2E23">
          <w:rPr>
            <w:noProof/>
            <w:webHidden/>
          </w:rPr>
          <w:fldChar w:fldCharType="begin"/>
        </w:r>
        <w:r w:rsidR="007F2E23">
          <w:rPr>
            <w:noProof/>
            <w:webHidden/>
          </w:rPr>
          <w:instrText xml:space="preserve"> PAGEREF _Toc46391802 \h </w:instrText>
        </w:r>
        <w:r w:rsidR="007F2E23">
          <w:rPr>
            <w:noProof/>
            <w:webHidden/>
          </w:rPr>
        </w:r>
        <w:r w:rsidR="007F2E23">
          <w:rPr>
            <w:noProof/>
            <w:webHidden/>
          </w:rPr>
          <w:fldChar w:fldCharType="separate"/>
        </w:r>
        <w:r w:rsidR="007F2E23">
          <w:rPr>
            <w:noProof/>
            <w:webHidden/>
          </w:rPr>
          <w:t>221</w:t>
        </w:r>
        <w:r w:rsidR="007F2E23">
          <w:rPr>
            <w:noProof/>
            <w:webHidden/>
          </w:rPr>
          <w:fldChar w:fldCharType="end"/>
        </w:r>
      </w:hyperlink>
    </w:p>
    <w:p w14:paraId="6BCD4847" w14:textId="299FB572" w:rsidR="00D27135" w:rsidRDefault="00E82A60" w:rsidP="007F2E23">
      <w:pPr>
        <w:pStyle w:val="Spistreci1"/>
        <w:tabs>
          <w:tab w:val="right" w:leader="dot" w:pos="9911"/>
        </w:tabs>
      </w:pPr>
      <w:r>
        <w:fldChar w:fldCharType="end"/>
      </w:r>
    </w:p>
    <w:p w14:paraId="3D5AC9F9" w14:textId="77777777" w:rsidR="00B0109F" w:rsidRDefault="00B0109F" w:rsidP="00B0109F">
      <w:pPr>
        <w:sectPr w:rsidR="00B0109F" w:rsidSect="0053468B">
          <w:headerReference w:type="default" r:id="rId8"/>
          <w:footerReference w:type="default" r:id="rId9"/>
          <w:headerReference w:type="first" r:id="rId10"/>
          <w:footerReference w:type="first" r:id="rId11"/>
          <w:pgSz w:w="11906" w:h="16838"/>
          <w:pgMar w:top="567" w:right="851" w:bottom="567" w:left="1134" w:header="283" w:footer="283" w:gutter="0"/>
          <w:cols w:space="708"/>
          <w:docGrid w:linePitch="360"/>
        </w:sectPr>
      </w:pPr>
    </w:p>
    <w:p w14:paraId="5F032ACC" w14:textId="77777777" w:rsidR="00B0109F" w:rsidRPr="00B0109F" w:rsidRDefault="00B0109F" w:rsidP="00B0109F"/>
    <w:p w14:paraId="178DD00B" w14:textId="77777777" w:rsidR="00A7518A" w:rsidRDefault="00D27135" w:rsidP="00E82A60">
      <w:pPr>
        <w:pStyle w:val="Nagwek1"/>
        <w:numPr>
          <w:ilvl w:val="0"/>
          <w:numId w:val="35"/>
        </w:numPr>
        <w:ind w:left="0" w:firstLine="0"/>
      </w:pPr>
      <w:bookmarkStart w:id="4" w:name="_Toc46391688"/>
      <w:r>
        <w:rPr>
          <w:noProof/>
        </w:rPr>
        <w:t>PRZEGLĄD WDRAŻANIA PROGRAMU OPERACYJNEGO (art. 50 ust. 2 i art. 111 ust. 3 lit. a) rozporządzenia (UE) nr 1303/2013)</w:t>
      </w:r>
      <w:bookmarkEnd w:id="4"/>
    </w:p>
    <w:p w14:paraId="3672FA1B" w14:textId="77777777" w:rsidR="00D27135" w:rsidRPr="00A7518A" w:rsidRDefault="00D27135" w:rsidP="00D27135">
      <w:pPr>
        <w:spacing w:before="0" w:after="0"/>
      </w:pPr>
    </w:p>
    <w:p w14:paraId="73F1BBEA" w14:textId="77777777" w:rsidR="008C5CFA" w:rsidRDefault="00E82A60" w:rsidP="00300A01">
      <w:pPr>
        <w:pStyle w:val="Nagwek2"/>
        <w:numPr>
          <w:ilvl w:val="1"/>
          <w:numId w:val="15"/>
        </w:numPr>
        <w:tabs>
          <w:tab w:val="clear" w:pos="850"/>
          <w:tab w:val="num" w:pos="426"/>
        </w:tabs>
        <w:spacing w:before="0" w:after="0"/>
        <w:ind w:left="0" w:firstLine="0"/>
        <w:jc w:val="left"/>
      </w:pPr>
      <w:bookmarkStart w:id="5" w:name="_Toc46391689"/>
      <w:r>
        <w:rPr>
          <w:noProof/>
        </w:rPr>
        <w:t>Kluczowe informacje na temat wdrażania programu operacyjnego w danym roku, w tym informacje na temat instrumentów finansowych w odniesieniu do danych finansowych i danych na temat wskaźników.</w:t>
      </w:r>
      <w:bookmarkEnd w:id="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1"/>
      </w:tblGrid>
      <w:tr w:rsidR="006B2EC1" w14:paraId="0E8518EE" w14:textId="77777777" w:rsidTr="0047688D">
        <w:tc>
          <w:tcPr>
            <w:tcW w:w="0" w:type="auto"/>
            <w:shd w:val="clear" w:color="auto" w:fill="auto"/>
          </w:tcPr>
          <w:p w14:paraId="1BC3059C" w14:textId="77777777" w:rsidR="006B2EC1" w:rsidRDefault="00E82A60">
            <w:pPr>
              <w:spacing w:before="0" w:after="240"/>
              <w:jc w:val="left"/>
            </w:pPr>
            <w:r>
              <w:t xml:space="preserve">W 2019 r. </w:t>
            </w:r>
            <w:proofErr w:type="spellStart"/>
            <w:r>
              <w:t>nastąpiło</w:t>
            </w:r>
            <w:proofErr w:type="spellEnd"/>
            <w:r>
              <w:t xml:space="preserve"> </w:t>
            </w:r>
            <w:proofErr w:type="spellStart"/>
            <w:r>
              <w:t>przyspieszenie</w:t>
            </w:r>
            <w:proofErr w:type="spellEnd"/>
            <w:r>
              <w:t xml:space="preserve"> </w:t>
            </w:r>
            <w:proofErr w:type="spellStart"/>
            <w:r>
              <w:t>wdrażania</w:t>
            </w:r>
            <w:proofErr w:type="spellEnd"/>
            <w:r>
              <w:t xml:space="preserve"> i </w:t>
            </w:r>
            <w:proofErr w:type="spellStart"/>
            <w:r>
              <w:t>realizacji</w:t>
            </w:r>
            <w:proofErr w:type="spellEnd"/>
            <w:r>
              <w:t xml:space="preserve"> RPOWŚ. IW </w:t>
            </w:r>
            <w:proofErr w:type="spellStart"/>
            <w:r>
              <w:t>aktualizowano</w:t>
            </w:r>
            <w:proofErr w:type="spellEnd"/>
            <w:r>
              <w:t xml:space="preserve"> 1 </w:t>
            </w:r>
            <w:proofErr w:type="spellStart"/>
            <w:r>
              <w:t>raz</w:t>
            </w:r>
            <w:proofErr w:type="spellEnd"/>
            <w:r>
              <w:t xml:space="preserve">, OFIP-1 </w:t>
            </w:r>
            <w:proofErr w:type="spellStart"/>
            <w:r>
              <w:t>raz</w:t>
            </w:r>
            <w:proofErr w:type="spellEnd"/>
            <w:r>
              <w:t xml:space="preserve">. SZOOP </w:t>
            </w:r>
            <w:proofErr w:type="spellStart"/>
            <w:r>
              <w:t>aktualizowano</w:t>
            </w:r>
            <w:proofErr w:type="spellEnd"/>
            <w:r>
              <w:t xml:space="preserve"> 7 </w:t>
            </w:r>
            <w:proofErr w:type="spellStart"/>
            <w:r>
              <w:t>razy</w:t>
            </w:r>
            <w:proofErr w:type="spellEnd"/>
            <w:r>
              <w:t xml:space="preserve">. </w:t>
            </w:r>
            <w:proofErr w:type="spellStart"/>
            <w:r>
              <w:t>Aktualizacje</w:t>
            </w:r>
            <w:proofErr w:type="spellEnd"/>
            <w:r>
              <w:t xml:space="preserve"> dot. </w:t>
            </w:r>
            <w:proofErr w:type="spellStart"/>
            <w:r>
              <w:t>zmian</w:t>
            </w:r>
            <w:proofErr w:type="spellEnd"/>
            <w:r>
              <w:t xml:space="preserve"> </w:t>
            </w:r>
            <w:proofErr w:type="spellStart"/>
            <w:r>
              <w:t>kryteriów</w:t>
            </w:r>
            <w:proofErr w:type="spellEnd"/>
            <w:r>
              <w:t xml:space="preserve"> </w:t>
            </w:r>
            <w:proofErr w:type="spellStart"/>
            <w:r>
              <w:t>wyboru</w:t>
            </w:r>
            <w:proofErr w:type="spellEnd"/>
            <w:r>
              <w:t xml:space="preserve"> </w:t>
            </w:r>
            <w:proofErr w:type="spellStart"/>
            <w:r>
              <w:t>projektów</w:t>
            </w:r>
            <w:proofErr w:type="spellEnd"/>
            <w:r>
              <w:t xml:space="preserve">, </w:t>
            </w:r>
            <w:proofErr w:type="spellStart"/>
            <w:r>
              <w:t>urealnienia</w:t>
            </w:r>
            <w:proofErr w:type="spellEnd"/>
            <w:r>
              <w:t xml:space="preserve"> </w:t>
            </w:r>
            <w:proofErr w:type="spellStart"/>
            <w:r>
              <w:t>wskaźników</w:t>
            </w:r>
            <w:proofErr w:type="spellEnd"/>
            <w:r>
              <w:t xml:space="preserve">, </w:t>
            </w:r>
            <w:proofErr w:type="spellStart"/>
            <w:r>
              <w:t>dostosowania</w:t>
            </w:r>
            <w:proofErr w:type="spellEnd"/>
            <w:r>
              <w:t xml:space="preserve"> </w:t>
            </w:r>
            <w:proofErr w:type="spellStart"/>
            <w:r>
              <w:t>zapisów</w:t>
            </w:r>
            <w:proofErr w:type="spellEnd"/>
            <w:r>
              <w:t xml:space="preserve"> do </w:t>
            </w:r>
            <w:proofErr w:type="spellStart"/>
            <w:r>
              <w:t>znowelizowanych</w:t>
            </w:r>
            <w:proofErr w:type="spellEnd"/>
            <w:r>
              <w:t xml:space="preserve"> </w:t>
            </w:r>
            <w:proofErr w:type="spellStart"/>
            <w:r>
              <w:t>wytycznych</w:t>
            </w:r>
            <w:proofErr w:type="spellEnd"/>
            <w:r>
              <w:t xml:space="preserve">. </w:t>
            </w:r>
            <w:proofErr w:type="spellStart"/>
            <w:r>
              <w:t>Dokonano</w:t>
            </w:r>
            <w:proofErr w:type="spellEnd"/>
            <w:r>
              <w:t xml:space="preserve"> </w:t>
            </w:r>
            <w:proofErr w:type="spellStart"/>
            <w:r>
              <w:t>zmian</w:t>
            </w:r>
            <w:proofErr w:type="spellEnd"/>
            <w:r>
              <w:t xml:space="preserve"> w </w:t>
            </w:r>
            <w:proofErr w:type="spellStart"/>
            <w:r>
              <w:t>wykazie</w:t>
            </w:r>
            <w:proofErr w:type="spellEnd"/>
            <w:r>
              <w:t xml:space="preserve"> </w:t>
            </w:r>
            <w:proofErr w:type="spellStart"/>
            <w:r>
              <w:t>projektów</w:t>
            </w:r>
            <w:proofErr w:type="spellEnd"/>
            <w:r>
              <w:t xml:space="preserve"> </w:t>
            </w:r>
            <w:proofErr w:type="spellStart"/>
            <w:r>
              <w:t>zidentyfikowanych</w:t>
            </w:r>
            <w:proofErr w:type="spellEnd"/>
            <w:r>
              <w:t xml:space="preserve"> (</w:t>
            </w:r>
            <w:proofErr w:type="spellStart"/>
            <w:r>
              <w:t>tryb</w:t>
            </w:r>
            <w:proofErr w:type="spellEnd"/>
            <w:r>
              <w:t xml:space="preserve"> </w:t>
            </w:r>
            <w:proofErr w:type="spellStart"/>
            <w:r>
              <w:t>pozakonkursowy</w:t>
            </w:r>
            <w:proofErr w:type="spellEnd"/>
            <w:r>
              <w:t>)-</w:t>
            </w:r>
            <w:proofErr w:type="spellStart"/>
            <w:r>
              <w:t>uwzględniono</w:t>
            </w:r>
            <w:proofErr w:type="spellEnd"/>
            <w:r>
              <w:t xml:space="preserve"> III i IV </w:t>
            </w:r>
            <w:proofErr w:type="spellStart"/>
            <w:r>
              <w:t>edycję</w:t>
            </w:r>
            <w:proofErr w:type="spellEnd"/>
            <w:r>
              <w:t xml:space="preserve"> </w:t>
            </w:r>
            <w:proofErr w:type="spellStart"/>
            <w:r>
              <w:t>projektów</w:t>
            </w:r>
            <w:proofErr w:type="spellEnd"/>
            <w:r>
              <w:t xml:space="preserve"> </w:t>
            </w:r>
            <w:proofErr w:type="spellStart"/>
            <w:r>
              <w:t>stypendialnych</w:t>
            </w:r>
            <w:proofErr w:type="spellEnd"/>
            <w:r>
              <w:t xml:space="preserve">. </w:t>
            </w:r>
            <w:proofErr w:type="spellStart"/>
            <w:r>
              <w:t>Uwzględniono</w:t>
            </w:r>
            <w:proofErr w:type="spellEnd"/>
            <w:r>
              <w:t xml:space="preserve"> </w:t>
            </w:r>
            <w:proofErr w:type="spellStart"/>
            <w:r>
              <w:t>odstąpienie</w:t>
            </w:r>
            <w:proofErr w:type="spellEnd"/>
            <w:r>
              <w:t xml:space="preserve"> </w:t>
            </w:r>
            <w:proofErr w:type="spellStart"/>
            <w:r>
              <w:t>od</w:t>
            </w:r>
            <w:proofErr w:type="spellEnd"/>
            <w:r>
              <w:t xml:space="preserve"> </w:t>
            </w:r>
            <w:proofErr w:type="spellStart"/>
            <w:r>
              <w:t>limitów</w:t>
            </w:r>
            <w:proofErr w:type="spellEnd"/>
            <w:r>
              <w:t xml:space="preserve"> </w:t>
            </w:r>
            <w:proofErr w:type="spellStart"/>
            <w:r>
              <w:t>linii</w:t>
            </w:r>
            <w:proofErr w:type="spellEnd"/>
            <w:r>
              <w:t xml:space="preserve"> </w:t>
            </w:r>
            <w:proofErr w:type="spellStart"/>
            <w:r>
              <w:t>demarkacyjnej</w:t>
            </w:r>
            <w:proofErr w:type="spellEnd"/>
            <w:r>
              <w:t xml:space="preserve"> </w:t>
            </w:r>
            <w:proofErr w:type="spellStart"/>
            <w:r>
              <w:t>dla</w:t>
            </w:r>
            <w:proofErr w:type="spellEnd"/>
            <w:r>
              <w:t xml:space="preserve"> PI6a (</w:t>
            </w:r>
            <w:proofErr w:type="spellStart"/>
            <w:r>
              <w:t>gospodarka</w:t>
            </w:r>
            <w:proofErr w:type="spellEnd"/>
            <w:r>
              <w:t xml:space="preserve"> </w:t>
            </w:r>
            <w:proofErr w:type="spellStart"/>
            <w:r>
              <w:t>odpadami</w:t>
            </w:r>
            <w:proofErr w:type="spellEnd"/>
            <w:r>
              <w:t xml:space="preserve">) - </w:t>
            </w:r>
            <w:proofErr w:type="spellStart"/>
            <w:r>
              <w:t>indywidualne</w:t>
            </w:r>
            <w:proofErr w:type="spellEnd"/>
            <w:r>
              <w:t xml:space="preserve"> </w:t>
            </w:r>
            <w:proofErr w:type="spellStart"/>
            <w:r>
              <w:t>odstępstwo</w:t>
            </w:r>
            <w:proofErr w:type="spellEnd"/>
            <w:r>
              <w:t xml:space="preserve"> </w:t>
            </w:r>
            <w:proofErr w:type="spellStart"/>
            <w:r>
              <w:t>dla</w:t>
            </w:r>
            <w:proofErr w:type="spellEnd"/>
            <w:r>
              <w:t xml:space="preserve"> RPOWŚ </w:t>
            </w:r>
            <w:proofErr w:type="spellStart"/>
            <w:r>
              <w:t>od</w:t>
            </w:r>
            <w:proofErr w:type="spellEnd"/>
            <w:r>
              <w:t xml:space="preserve"> </w:t>
            </w:r>
            <w:proofErr w:type="spellStart"/>
            <w:r>
              <w:t>linii</w:t>
            </w:r>
            <w:proofErr w:type="spellEnd"/>
            <w:r>
              <w:t xml:space="preserve"> </w:t>
            </w:r>
            <w:proofErr w:type="spellStart"/>
            <w:r>
              <w:t>demarkacyjnej</w:t>
            </w:r>
            <w:proofErr w:type="spellEnd"/>
            <w:r>
              <w:t xml:space="preserve"> </w:t>
            </w:r>
            <w:proofErr w:type="spellStart"/>
            <w:r>
              <w:t>dla</w:t>
            </w:r>
            <w:proofErr w:type="spellEnd"/>
            <w:r>
              <w:t xml:space="preserve"> </w:t>
            </w:r>
            <w:proofErr w:type="spellStart"/>
            <w:r>
              <w:t>planowanego</w:t>
            </w:r>
            <w:proofErr w:type="spellEnd"/>
            <w:r>
              <w:t xml:space="preserve"> </w:t>
            </w:r>
            <w:proofErr w:type="spellStart"/>
            <w:r>
              <w:t>konkursu</w:t>
            </w:r>
            <w:proofErr w:type="spellEnd"/>
            <w:r>
              <w:t xml:space="preserve">. </w:t>
            </w:r>
            <w:proofErr w:type="spellStart"/>
            <w:r>
              <w:t>Zaktualizowano</w:t>
            </w:r>
            <w:proofErr w:type="spellEnd"/>
            <w:r>
              <w:t xml:space="preserve"> </w:t>
            </w:r>
            <w:proofErr w:type="spellStart"/>
            <w:r>
              <w:t>zapisy</w:t>
            </w:r>
            <w:proofErr w:type="spellEnd"/>
            <w:r>
              <w:t xml:space="preserve"> </w:t>
            </w:r>
            <w:proofErr w:type="spellStart"/>
            <w:r>
              <w:t>Planów</w:t>
            </w:r>
            <w:proofErr w:type="spellEnd"/>
            <w:r>
              <w:t xml:space="preserve"> </w:t>
            </w:r>
            <w:proofErr w:type="spellStart"/>
            <w:r>
              <w:t>działań</w:t>
            </w:r>
            <w:proofErr w:type="spellEnd"/>
            <w:r>
              <w:t xml:space="preserve"> </w:t>
            </w:r>
            <w:proofErr w:type="spellStart"/>
            <w:r>
              <w:t>dla</w:t>
            </w:r>
            <w:proofErr w:type="spellEnd"/>
            <w:r>
              <w:t xml:space="preserve"> OP 8,9,10.</w:t>
            </w:r>
          </w:p>
          <w:p w14:paraId="23BAE00E" w14:textId="77777777" w:rsidR="006B2EC1" w:rsidRDefault="00E82A60">
            <w:pPr>
              <w:spacing w:before="240" w:after="240"/>
              <w:jc w:val="left"/>
            </w:pPr>
            <w:r>
              <w:t xml:space="preserve">3 </w:t>
            </w:r>
            <w:proofErr w:type="spellStart"/>
            <w:r>
              <w:t>razy</w:t>
            </w:r>
            <w:proofErr w:type="spellEnd"/>
            <w:r>
              <w:t xml:space="preserve"> </w:t>
            </w:r>
            <w:proofErr w:type="spellStart"/>
            <w:r>
              <w:t>zmieniano</w:t>
            </w:r>
            <w:proofErr w:type="spellEnd"/>
            <w:r>
              <w:t xml:space="preserve"> </w:t>
            </w:r>
            <w:proofErr w:type="spellStart"/>
            <w:r>
              <w:t>Warunki</w:t>
            </w:r>
            <w:proofErr w:type="spellEnd"/>
            <w:r>
              <w:t xml:space="preserve"> WUP, </w:t>
            </w:r>
            <w:proofErr w:type="spellStart"/>
            <w:r>
              <w:t>nie</w:t>
            </w:r>
            <w:proofErr w:type="spellEnd"/>
            <w:r>
              <w:t xml:space="preserve"> </w:t>
            </w:r>
            <w:proofErr w:type="spellStart"/>
            <w:r>
              <w:t>aktualizowano</w:t>
            </w:r>
            <w:proofErr w:type="spellEnd"/>
            <w:r>
              <w:t xml:space="preserve"> </w:t>
            </w:r>
            <w:proofErr w:type="spellStart"/>
            <w:r>
              <w:t>Strategii</w:t>
            </w:r>
            <w:proofErr w:type="spellEnd"/>
            <w:r>
              <w:t xml:space="preserve"> ZIT. </w:t>
            </w:r>
            <w:proofErr w:type="spellStart"/>
            <w:r>
              <w:t>Odbyło</w:t>
            </w:r>
            <w:proofErr w:type="spellEnd"/>
            <w:r>
              <w:t xml:space="preserve"> </w:t>
            </w:r>
            <w:proofErr w:type="spellStart"/>
            <w:r>
              <w:t>się</w:t>
            </w:r>
            <w:proofErr w:type="spellEnd"/>
            <w:r>
              <w:t xml:space="preserve"> 5 </w:t>
            </w:r>
            <w:proofErr w:type="spellStart"/>
            <w:r>
              <w:t>posiedzeń</w:t>
            </w:r>
            <w:proofErr w:type="spellEnd"/>
            <w:r>
              <w:t xml:space="preserve"> KM, </w:t>
            </w:r>
            <w:proofErr w:type="spellStart"/>
            <w:r>
              <w:t>narastająco</w:t>
            </w:r>
            <w:proofErr w:type="spellEnd"/>
            <w:r>
              <w:t xml:space="preserve"> 26. W 19 r. 2 </w:t>
            </w:r>
            <w:proofErr w:type="spellStart"/>
            <w:r>
              <w:t>razy</w:t>
            </w:r>
            <w:proofErr w:type="spellEnd"/>
            <w:r>
              <w:t xml:space="preserve"> </w:t>
            </w:r>
            <w:proofErr w:type="spellStart"/>
            <w:r>
              <w:t>uruchomiono</w:t>
            </w:r>
            <w:proofErr w:type="spellEnd"/>
            <w:r>
              <w:t xml:space="preserve"> </w:t>
            </w:r>
            <w:proofErr w:type="spellStart"/>
            <w:r>
              <w:t>tryb</w:t>
            </w:r>
            <w:proofErr w:type="spellEnd"/>
            <w:r>
              <w:t xml:space="preserve"> </w:t>
            </w:r>
            <w:proofErr w:type="spellStart"/>
            <w:r>
              <w:t>obiegowy</w:t>
            </w:r>
            <w:proofErr w:type="spellEnd"/>
            <w:r>
              <w:t>.</w:t>
            </w:r>
          </w:p>
          <w:p w14:paraId="53323D45" w14:textId="77777777" w:rsidR="006B2EC1" w:rsidRDefault="00E82A60">
            <w:pPr>
              <w:spacing w:before="240" w:after="240"/>
              <w:jc w:val="left"/>
            </w:pPr>
            <w:r>
              <w:t xml:space="preserve">IZ </w:t>
            </w:r>
            <w:proofErr w:type="spellStart"/>
            <w:r>
              <w:t>opracowała</w:t>
            </w:r>
            <w:proofErr w:type="spellEnd"/>
            <w:r>
              <w:t xml:space="preserve"> 3 </w:t>
            </w:r>
            <w:proofErr w:type="spellStart"/>
            <w:r>
              <w:t>analizy</w:t>
            </w:r>
            <w:proofErr w:type="spellEnd"/>
            <w:r>
              <w:t xml:space="preserve"> </w:t>
            </w:r>
            <w:proofErr w:type="spellStart"/>
            <w:r>
              <w:t>tematyczne</w:t>
            </w:r>
            <w:proofErr w:type="spellEnd"/>
            <w:r>
              <w:t xml:space="preserve"> (dot. </w:t>
            </w:r>
            <w:proofErr w:type="spellStart"/>
            <w:r>
              <w:t>żłobków</w:t>
            </w:r>
            <w:proofErr w:type="spellEnd"/>
            <w:r>
              <w:t>/</w:t>
            </w:r>
            <w:proofErr w:type="spellStart"/>
            <w:r>
              <w:t>klubów</w:t>
            </w:r>
            <w:proofErr w:type="spellEnd"/>
            <w:r>
              <w:t xml:space="preserve"> </w:t>
            </w:r>
            <w:proofErr w:type="spellStart"/>
            <w:r>
              <w:t>dziecięcych</w:t>
            </w:r>
            <w:proofErr w:type="spellEnd"/>
            <w:r>
              <w:t xml:space="preserve">, </w:t>
            </w:r>
            <w:proofErr w:type="spellStart"/>
            <w:r>
              <w:t>edukacji</w:t>
            </w:r>
            <w:proofErr w:type="spellEnd"/>
            <w:r>
              <w:t xml:space="preserve"> </w:t>
            </w:r>
            <w:proofErr w:type="spellStart"/>
            <w:r>
              <w:t>przedszkolnej</w:t>
            </w:r>
            <w:proofErr w:type="spellEnd"/>
            <w:r>
              <w:t xml:space="preserve">, </w:t>
            </w:r>
            <w:proofErr w:type="spellStart"/>
            <w:r>
              <w:t>zapotrzebowania</w:t>
            </w:r>
            <w:proofErr w:type="spellEnd"/>
            <w:r>
              <w:t xml:space="preserve"> </w:t>
            </w:r>
            <w:proofErr w:type="spellStart"/>
            <w:r>
              <w:t>rynku</w:t>
            </w:r>
            <w:proofErr w:type="spellEnd"/>
            <w:r>
              <w:t xml:space="preserve"> </w:t>
            </w:r>
            <w:proofErr w:type="spellStart"/>
            <w:r>
              <w:t>pracy</w:t>
            </w:r>
            <w:proofErr w:type="spellEnd"/>
            <w:r>
              <w:t xml:space="preserve"> </w:t>
            </w:r>
            <w:proofErr w:type="spellStart"/>
            <w:r>
              <w:t>na</w:t>
            </w:r>
            <w:proofErr w:type="spellEnd"/>
            <w:r>
              <w:t xml:space="preserve"> </w:t>
            </w:r>
            <w:proofErr w:type="spellStart"/>
            <w:r>
              <w:t>określone</w:t>
            </w:r>
            <w:proofErr w:type="spellEnd"/>
            <w:r>
              <w:t xml:space="preserve"> </w:t>
            </w:r>
            <w:proofErr w:type="spellStart"/>
            <w:r>
              <w:t>zawody</w:t>
            </w:r>
            <w:proofErr w:type="spellEnd"/>
            <w:r>
              <w:t xml:space="preserve"> i </w:t>
            </w:r>
            <w:proofErr w:type="spellStart"/>
            <w:r>
              <w:t>wykształcenie</w:t>
            </w:r>
            <w:proofErr w:type="spellEnd"/>
            <w:r>
              <w:t>.</w:t>
            </w:r>
          </w:p>
          <w:p w14:paraId="49656525" w14:textId="77777777" w:rsidR="006B2EC1" w:rsidRDefault="00E82A60">
            <w:pPr>
              <w:spacing w:before="240" w:after="240"/>
              <w:jc w:val="left"/>
            </w:pPr>
            <w:r>
              <w:t xml:space="preserve">W 19 r. </w:t>
            </w:r>
            <w:proofErr w:type="spellStart"/>
            <w:r>
              <w:t>trwały</w:t>
            </w:r>
            <w:proofErr w:type="spellEnd"/>
            <w:r>
              <w:t xml:space="preserve"> </w:t>
            </w:r>
            <w:proofErr w:type="spellStart"/>
            <w:r>
              <w:t>ró</w:t>
            </w:r>
            <w:proofErr w:type="spellEnd"/>
            <w:r>
              <w:t>)</w:t>
            </w:r>
            <w:proofErr w:type="spellStart"/>
            <w:r>
              <w:t>wnież</w:t>
            </w:r>
            <w:proofErr w:type="spellEnd"/>
            <w:r>
              <w:t xml:space="preserve"> </w:t>
            </w:r>
            <w:proofErr w:type="spellStart"/>
            <w:r>
              <w:t>prace</w:t>
            </w:r>
            <w:proofErr w:type="spellEnd"/>
            <w:r>
              <w:t xml:space="preserve"> </w:t>
            </w:r>
            <w:proofErr w:type="spellStart"/>
            <w:r>
              <w:t>związane</w:t>
            </w:r>
            <w:proofErr w:type="spellEnd"/>
            <w:r>
              <w:t xml:space="preserve"> </w:t>
            </w:r>
            <w:proofErr w:type="spellStart"/>
            <w:r>
              <w:t>ze</w:t>
            </w:r>
            <w:proofErr w:type="spellEnd"/>
            <w:r>
              <w:t xml:space="preserve"> </w:t>
            </w:r>
            <w:proofErr w:type="spellStart"/>
            <w:r>
              <w:t>zmianą</w:t>
            </w:r>
            <w:proofErr w:type="spellEnd"/>
            <w:r>
              <w:t xml:space="preserve"> RPOWŚ po </w:t>
            </w:r>
            <w:proofErr w:type="spellStart"/>
            <w:r>
              <w:t>przeglądzie</w:t>
            </w:r>
            <w:proofErr w:type="spellEnd"/>
            <w:r>
              <w:t xml:space="preserve"> </w:t>
            </w:r>
            <w:proofErr w:type="spellStart"/>
            <w:r>
              <w:t>śródokresowym</w:t>
            </w:r>
            <w:proofErr w:type="spellEnd"/>
            <w:r>
              <w:t xml:space="preserve">. Na </w:t>
            </w:r>
            <w:proofErr w:type="spellStart"/>
            <w:r>
              <w:t>koniec</w:t>
            </w:r>
            <w:proofErr w:type="spellEnd"/>
            <w:r>
              <w:t xml:space="preserve"> </w:t>
            </w:r>
            <w:proofErr w:type="spellStart"/>
            <w:r>
              <w:t>roku</w:t>
            </w:r>
            <w:proofErr w:type="spellEnd"/>
            <w:r>
              <w:t xml:space="preserve"> </w:t>
            </w:r>
            <w:proofErr w:type="spellStart"/>
            <w:r>
              <w:t>nie</w:t>
            </w:r>
            <w:proofErr w:type="spellEnd"/>
            <w:r>
              <w:t xml:space="preserve"> </w:t>
            </w:r>
            <w:proofErr w:type="spellStart"/>
            <w:r>
              <w:t>zostały</w:t>
            </w:r>
            <w:proofErr w:type="spellEnd"/>
            <w:r>
              <w:t xml:space="preserve"> </w:t>
            </w:r>
            <w:proofErr w:type="spellStart"/>
            <w:r>
              <w:t>zakończone</w:t>
            </w:r>
            <w:proofErr w:type="spellEnd"/>
            <w:r>
              <w:t>.</w:t>
            </w:r>
          </w:p>
          <w:p w14:paraId="51E6178E" w14:textId="77777777" w:rsidR="006B2EC1" w:rsidRDefault="00E82A60">
            <w:pPr>
              <w:spacing w:before="240" w:after="240"/>
              <w:jc w:val="left"/>
            </w:pPr>
            <w:proofErr w:type="spellStart"/>
            <w:r>
              <w:rPr>
                <w:b/>
                <w:bCs/>
              </w:rPr>
              <w:t>Postęp</w:t>
            </w:r>
            <w:proofErr w:type="spellEnd"/>
            <w:r>
              <w:rPr>
                <w:b/>
                <w:bCs/>
              </w:rPr>
              <w:t xml:space="preserve"> </w:t>
            </w:r>
            <w:proofErr w:type="spellStart"/>
            <w:r>
              <w:rPr>
                <w:b/>
                <w:bCs/>
              </w:rPr>
              <w:t>finansowy</w:t>
            </w:r>
            <w:proofErr w:type="spellEnd"/>
            <w:r>
              <w:rPr>
                <w:b/>
                <w:bCs/>
              </w:rPr>
              <w:t xml:space="preserve"> i </w:t>
            </w:r>
            <w:proofErr w:type="spellStart"/>
            <w:r>
              <w:rPr>
                <w:b/>
                <w:bCs/>
              </w:rPr>
              <w:t>rzeczowy</w:t>
            </w:r>
            <w:proofErr w:type="spellEnd"/>
            <w:r>
              <w:rPr>
                <w:b/>
                <w:bCs/>
              </w:rPr>
              <w:t>:</w:t>
            </w:r>
          </w:p>
          <w:p w14:paraId="032277A2" w14:textId="77777777" w:rsidR="006B2EC1" w:rsidRDefault="00E82A60">
            <w:pPr>
              <w:spacing w:before="240" w:after="240"/>
              <w:jc w:val="left"/>
            </w:pPr>
            <w:proofErr w:type="spellStart"/>
            <w:r>
              <w:rPr>
                <w:b/>
                <w:bCs/>
                <w:u w:val="single"/>
              </w:rPr>
              <w:t>Nabory</w:t>
            </w:r>
            <w:proofErr w:type="spellEnd"/>
            <w:r>
              <w:rPr>
                <w:b/>
                <w:bCs/>
                <w:u w:val="single"/>
              </w:rPr>
              <w:t>:</w:t>
            </w:r>
          </w:p>
          <w:p w14:paraId="5C543B8C" w14:textId="77777777" w:rsidR="006B2EC1" w:rsidRDefault="00E82A60">
            <w:pPr>
              <w:spacing w:before="240" w:after="240"/>
              <w:jc w:val="left"/>
            </w:pPr>
            <w:r>
              <w:t xml:space="preserve">W 19 r. </w:t>
            </w:r>
            <w:proofErr w:type="spellStart"/>
            <w:r>
              <w:t>rozpoczęto</w:t>
            </w:r>
            <w:proofErr w:type="spellEnd"/>
            <w:r>
              <w:t xml:space="preserve"> 62 </w:t>
            </w:r>
            <w:proofErr w:type="spellStart"/>
            <w:r>
              <w:t>nabory</w:t>
            </w:r>
            <w:proofErr w:type="spellEnd"/>
            <w:r>
              <w:t xml:space="preserve">/EFRR-8, EFS-51, PT-3 (52 </w:t>
            </w:r>
            <w:proofErr w:type="spellStart"/>
            <w:r>
              <w:t>konkursowe</w:t>
            </w:r>
            <w:proofErr w:type="spellEnd"/>
            <w:r>
              <w:t xml:space="preserve">, 10 </w:t>
            </w:r>
            <w:proofErr w:type="spellStart"/>
            <w:r>
              <w:t>pozakonkursowe</w:t>
            </w:r>
            <w:proofErr w:type="spellEnd"/>
            <w:r>
              <w:t xml:space="preserve">)-budżet-138,9 </w:t>
            </w:r>
            <w:proofErr w:type="spellStart"/>
            <w:r>
              <w:t>mln</w:t>
            </w:r>
            <w:proofErr w:type="spellEnd"/>
            <w:r>
              <w:t xml:space="preserve"> €, </w:t>
            </w:r>
            <w:proofErr w:type="spellStart"/>
            <w:r>
              <w:t>narastająco</w:t>
            </w:r>
            <w:proofErr w:type="spellEnd"/>
            <w:r>
              <w:t xml:space="preserve"> 304-budżet 1,555 </w:t>
            </w:r>
            <w:proofErr w:type="spellStart"/>
            <w:r>
              <w:t>mld</w:t>
            </w:r>
            <w:proofErr w:type="spellEnd"/>
            <w:r>
              <w:t xml:space="preserve"> €. W 19 r. </w:t>
            </w:r>
            <w:proofErr w:type="spellStart"/>
            <w:r>
              <w:t>zakończono</w:t>
            </w:r>
            <w:proofErr w:type="spellEnd"/>
            <w:r>
              <w:t xml:space="preserve"> 64 </w:t>
            </w:r>
            <w:proofErr w:type="spellStart"/>
            <w:r>
              <w:t>nabory</w:t>
            </w:r>
            <w:proofErr w:type="spellEnd"/>
            <w:r>
              <w:t xml:space="preserve"> /EFRR-11, EFS-50, PT-3, </w:t>
            </w:r>
            <w:proofErr w:type="spellStart"/>
            <w:r>
              <w:t>narastająco</w:t>
            </w:r>
            <w:proofErr w:type="spellEnd"/>
            <w:r>
              <w:t xml:space="preserve"> 279.</w:t>
            </w:r>
          </w:p>
          <w:p w14:paraId="267D3E75" w14:textId="77777777" w:rsidR="006B2EC1" w:rsidRDefault="00E82A60">
            <w:pPr>
              <w:spacing w:before="240" w:after="240"/>
              <w:jc w:val="left"/>
            </w:pPr>
            <w:r>
              <w:rPr>
                <w:b/>
                <w:bCs/>
                <w:u w:val="single"/>
              </w:rPr>
              <w:t>WND:</w:t>
            </w:r>
          </w:p>
          <w:p w14:paraId="2DD1DBC2" w14:textId="77777777" w:rsidR="006B2EC1" w:rsidRDefault="00E82A60">
            <w:pPr>
              <w:spacing w:before="240" w:after="240"/>
              <w:jc w:val="left"/>
            </w:pPr>
            <w:r>
              <w:t xml:space="preserve">W 19 r. WND </w:t>
            </w:r>
            <w:proofErr w:type="spellStart"/>
            <w:r>
              <w:t>poprawnych</w:t>
            </w:r>
            <w:proofErr w:type="spellEnd"/>
            <w:r>
              <w:t xml:space="preserve"> </w:t>
            </w:r>
            <w:proofErr w:type="spellStart"/>
            <w:r>
              <w:t>formalnie</w:t>
            </w:r>
            <w:proofErr w:type="spellEnd"/>
            <w:r>
              <w:t xml:space="preserve"> </w:t>
            </w:r>
            <w:proofErr w:type="spellStart"/>
            <w:r>
              <w:t>wpłynęło</w:t>
            </w:r>
            <w:proofErr w:type="spellEnd"/>
            <w:r>
              <w:t xml:space="preserve"> 901 </w:t>
            </w:r>
            <w:proofErr w:type="spellStart"/>
            <w:r>
              <w:t>na</w:t>
            </w:r>
            <w:proofErr w:type="spellEnd"/>
            <w:r>
              <w:t xml:space="preserve"> </w:t>
            </w:r>
            <w:proofErr w:type="spellStart"/>
            <w:r>
              <w:t>kwotę</w:t>
            </w:r>
            <w:proofErr w:type="spellEnd"/>
            <w:r>
              <w:t xml:space="preserve"> </w:t>
            </w:r>
            <w:proofErr w:type="spellStart"/>
            <w:r>
              <w:t>wkładu</w:t>
            </w:r>
            <w:proofErr w:type="spellEnd"/>
            <w:r>
              <w:t xml:space="preserve"> UE-316,87 </w:t>
            </w:r>
            <w:proofErr w:type="spellStart"/>
            <w:r>
              <w:t>mln</w:t>
            </w:r>
            <w:proofErr w:type="spellEnd"/>
            <w:r>
              <w:t xml:space="preserve"> €. </w:t>
            </w:r>
            <w:proofErr w:type="spellStart"/>
            <w:r>
              <w:t>Narastająco</w:t>
            </w:r>
            <w:proofErr w:type="spellEnd"/>
            <w:r>
              <w:t xml:space="preserve"> WND </w:t>
            </w:r>
            <w:proofErr w:type="spellStart"/>
            <w:r>
              <w:t>poprawnych</w:t>
            </w:r>
            <w:proofErr w:type="spellEnd"/>
            <w:r>
              <w:t xml:space="preserve"> </w:t>
            </w:r>
            <w:proofErr w:type="spellStart"/>
            <w:r>
              <w:t>formalnie</w:t>
            </w:r>
            <w:proofErr w:type="spellEnd"/>
            <w:r>
              <w:t xml:space="preserve"> </w:t>
            </w:r>
            <w:proofErr w:type="spellStart"/>
            <w:r>
              <w:t>było</w:t>
            </w:r>
            <w:proofErr w:type="spellEnd"/>
            <w:r>
              <w:t xml:space="preserve"> 5 256 </w:t>
            </w:r>
            <w:proofErr w:type="spellStart"/>
            <w:r>
              <w:t>na</w:t>
            </w:r>
            <w:proofErr w:type="spellEnd"/>
            <w:r>
              <w:t xml:space="preserve"> </w:t>
            </w:r>
            <w:proofErr w:type="spellStart"/>
            <w:r>
              <w:t>kwotę</w:t>
            </w:r>
            <w:proofErr w:type="spellEnd"/>
            <w:r>
              <w:t xml:space="preserve"> </w:t>
            </w:r>
            <w:proofErr w:type="spellStart"/>
            <w:r>
              <w:t>wydatków</w:t>
            </w:r>
            <w:proofErr w:type="spellEnd"/>
            <w:r>
              <w:t xml:space="preserve"> </w:t>
            </w:r>
            <w:proofErr w:type="spellStart"/>
            <w:r>
              <w:t>kwalifikowalnych</w:t>
            </w:r>
            <w:proofErr w:type="spellEnd"/>
            <w:r>
              <w:t xml:space="preserve"> 2 729,4 </w:t>
            </w:r>
            <w:proofErr w:type="spellStart"/>
            <w:r>
              <w:t>mln</w:t>
            </w:r>
            <w:proofErr w:type="spellEnd"/>
            <w:r>
              <w:t xml:space="preserve"> € /</w:t>
            </w:r>
            <w:proofErr w:type="spellStart"/>
            <w:r>
              <w:t>wkład</w:t>
            </w:r>
            <w:proofErr w:type="spellEnd"/>
            <w:r>
              <w:t xml:space="preserve"> UE-2 101,8 </w:t>
            </w:r>
            <w:proofErr w:type="spellStart"/>
            <w:r>
              <w:t>mln</w:t>
            </w:r>
            <w:proofErr w:type="spellEnd"/>
            <w:r>
              <w:t xml:space="preserve"> €. W 19 r. </w:t>
            </w:r>
            <w:proofErr w:type="spellStart"/>
            <w:r>
              <w:t>zatwierdzono</w:t>
            </w:r>
            <w:proofErr w:type="spellEnd"/>
            <w:r>
              <w:t xml:space="preserve"> 519 WND-</w:t>
            </w:r>
            <w:proofErr w:type="spellStart"/>
            <w:r>
              <w:t>na</w:t>
            </w:r>
            <w:proofErr w:type="spellEnd"/>
            <w:r>
              <w:t xml:space="preserve"> </w:t>
            </w:r>
            <w:proofErr w:type="spellStart"/>
            <w:r>
              <w:t>kwotę</w:t>
            </w:r>
            <w:proofErr w:type="spellEnd"/>
            <w:r>
              <w:t xml:space="preserve"> </w:t>
            </w:r>
            <w:proofErr w:type="spellStart"/>
            <w:r>
              <w:t>wkładu</w:t>
            </w:r>
            <w:proofErr w:type="spellEnd"/>
            <w:r>
              <w:t xml:space="preserve"> UE 218,0 </w:t>
            </w:r>
            <w:proofErr w:type="spellStart"/>
            <w:r>
              <w:t>mln</w:t>
            </w:r>
            <w:proofErr w:type="spellEnd"/>
            <w:r>
              <w:t xml:space="preserve"> €. </w:t>
            </w:r>
            <w:proofErr w:type="spellStart"/>
            <w:r>
              <w:t>Narastająco</w:t>
            </w:r>
            <w:proofErr w:type="spellEnd"/>
            <w:r>
              <w:t xml:space="preserve"> </w:t>
            </w:r>
            <w:proofErr w:type="spellStart"/>
            <w:r>
              <w:t>zatwierdzono</w:t>
            </w:r>
            <w:proofErr w:type="spellEnd"/>
            <w:r>
              <w:t xml:space="preserve"> 2 318 WND-</w:t>
            </w:r>
            <w:proofErr w:type="spellStart"/>
            <w:r>
              <w:t>na</w:t>
            </w:r>
            <w:proofErr w:type="spellEnd"/>
            <w:r>
              <w:t xml:space="preserve"> </w:t>
            </w:r>
            <w:proofErr w:type="spellStart"/>
            <w:r>
              <w:t>kwotę</w:t>
            </w:r>
            <w:proofErr w:type="spellEnd"/>
            <w:r>
              <w:t xml:space="preserve"> </w:t>
            </w:r>
            <w:proofErr w:type="spellStart"/>
            <w:r>
              <w:t>wydatków</w:t>
            </w:r>
            <w:proofErr w:type="spellEnd"/>
            <w:r>
              <w:t xml:space="preserve"> </w:t>
            </w:r>
            <w:proofErr w:type="spellStart"/>
            <w:r>
              <w:t>kwalifikowalnych</w:t>
            </w:r>
            <w:proofErr w:type="spellEnd"/>
            <w:r>
              <w:t xml:space="preserve"> 1 475,4 </w:t>
            </w:r>
            <w:proofErr w:type="spellStart"/>
            <w:r>
              <w:t>mln</w:t>
            </w:r>
            <w:proofErr w:type="spellEnd"/>
            <w:r>
              <w:t xml:space="preserve"> €/</w:t>
            </w:r>
            <w:proofErr w:type="spellStart"/>
            <w:r>
              <w:t>wkład</w:t>
            </w:r>
            <w:proofErr w:type="spellEnd"/>
            <w:r>
              <w:t xml:space="preserve"> UE 1 139,0 </w:t>
            </w:r>
            <w:proofErr w:type="spellStart"/>
            <w:r>
              <w:t>mln</w:t>
            </w:r>
            <w:proofErr w:type="spellEnd"/>
            <w:r>
              <w:t xml:space="preserve"> €.</w:t>
            </w:r>
          </w:p>
          <w:p w14:paraId="66E85F5E" w14:textId="77777777" w:rsidR="006B2EC1" w:rsidRDefault="00E82A60">
            <w:pPr>
              <w:spacing w:before="240" w:after="240"/>
              <w:jc w:val="left"/>
            </w:pPr>
            <w:r>
              <w:rPr>
                <w:b/>
                <w:bCs/>
                <w:u w:val="single"/>
              </w:rPr>
              <w:lastRenderedPageBreak/>
              <w:t>UDA:</w:t>
            </w:r>
          </w:p>
          <w:p w14:paraId="7B9F7455" w14:textId="77777777" w:rsidR="006B2EC1" w:rsidRDefault="00E82A60">
            <w:pPr>
              <w:spacing w:before="240" w:after="240"/>
              <w:jc w:val="left"/>
            </w:pPr>
            <w:r>
              <w:t xml:space="preserve">W 19 r. </w:t>
            </w:r>
            <w:proofErr w:type="spellStart"/>
            <w:r>
              <w:t>podpisano</w:t>
            </w:r>
            <w:proofErr w:type="spellEnd"/>
            <w:r>
              <w:t xml:space="preserve"> 473 UDA </w:t>
            </w:r>
            <w:proofErr w:type="spellStart"/>
            <w:r>
              <w:t>na</w:t>
            </w:r>
            <w:proofErr w:type="spellEnd"/>
            <w:r>
              <w:t xml:space="preserve"> </w:t>
            </w:r>
            <w:proofErr w:type="spellStart"/>
            <w:r>
              <w:t>kwotę</w:t>
            </w:r>
            <w:proofErr w:type="spellEnd"/>
            <w:r>
              <w:t xml:space="preserve"> </w:t>
            </w:r>
            <w:proofErr w:type="spellStart"/>
            <w:r>
              <w:t>wydatków</w:t>
            </w:r>
            <w:proofErr w:type="spellEnd"/>
            <w:r>
              <w:t xml:space="preserve"> </w:t>
            </w:r>
            <w:proofErr w:type="spellStart"/>
            <w:r>
              <w:t>kwalifikowalnych</w:t>
            </w:r>
            <w:proofErr w:type="spellEnd"/>
            <w:r>
              <w:t xml:space="preserve"> 262,0 </w:t>
            </w:r>
            <w:proofErr w:type="spellStart"/>
            <w:r>
              <w:t>mln</w:t>
            </w:r>
            <w:proofErr w:type="spellEnd"/>
            <w:r>
              <w:t xml:space="preserve"> €/ 200,2 </w:t>
            </w:r>
            <w:proofErr w:type="spellStart"/>
            <w:r>
              <w:t>mln</w:t>
            </w:r>
            <w:proofErr w:type="spellEnd"/>
            <w:r>
              <w:t xml:space="preserve"> € </w:t>
            </w:r>
            <w:proofErr w:type="spellStart"/>
            <w:r>
              <w:t>wkładu</w:t>
            </w:r>
            <w:proofErr w:type="spellEnd"/>
            <w:r>
              <w:t xml:space="preserve"> UE. Na 31.12.2019 r. w SL2014 </w:t>
            </w:r>
            <w:proofErr w:type="spellStart"/>
            <w:r>
              <w:t>były</w:t>
            </w:r>
            <w:proofErr w:type="spellEnd"/>
            <w:r>
              <w:t xml:space="preserve"> 2 074 UDA-bez UDA </w:t>
            </w:r>
            <w:proofErr w:type="spellStart"/>
            <w:r>
              <w:t>rozwiązanych</w:t>
            </w:r>
            <w:proofErr w:type="spellEnd"/>
            <w:r>
              <w:t xml:space="preserve"> (w </w:t>
            </w:r>
            <w:proofErr w:type="spellStart"/>
            <w:r>
              <w:t>tym</w:t>
            </w:r>
            <w:proofErr w:type="spellEnd"/>
            <w:r>
              <w:t xml:space="preserve"> 1 018 EFRR, 1 056 EFS) o </w:t>
            </w:r>
            <w:proofErr w:type="spellStart"/>
            <w:r>
              <w:t>wartości</w:t>
            </w:r>
            <w:proofErr w:type="spellEnd"/>
            <w:r>
              <w:t xml:space="preserve"> </w:t>
            </w:r>
            <w:proofErr w:type="spellStart"/>
            <w:r>
              <w:t>wydatków</w:t>
            </w:r>
            <w:proofErr w:type="spellEnd"/>
            <w:r>
              <w:t xml:space="preserve"> </w:t>
            </w:r>
            <w:proofErr w:type="spellStart"/>
            <w:r>
              <w:t>kwalifikowalnych</w:t>
            </w:r>
            <w:proofErr w:type="spellEnd"/>
            <w:r>
              <w:t xml:space="preserve"> 1 348 </w:t>
            </w:r>
            <w:proofErr w:type="spellStart"/>
            <w:r>
              <w:t>mln</w:t>
            </w:r>
            <w:proofErr w:type="spellEnd"/>
            <w:r>
              <w:t xml:space="preserve"> €/</w:t>
            </w:r>
            <w:proofErr w:type="spellStart"/>
            <w:r>
              <w:t>wkład</w:t>
            </w:r>
            <w:proofErr w:type="spellEnd"/>
            <w:r>
              <w:t xml:space="preserve"> UE 1 043,2 </w:t>
            </w:r>
            <w:proofErr w:type="spellStart"/>
            <w:r>
              <w:t>mln</w:t>
            </w:r>
            <w:proofErr w:type="spellEnd"/>
            <w:r>
              <w:t xml:space="preserve"> € (EFRR-</w:t>
            </w:r>
            <w:proofErr w:type="spellStart"/>
            <w:r>
              <w:t>wydatki</w:t>
            </w:r>
            <w:proofErr w:type="spellEnd"/>
            <w:r>
              <w:t xml:space="preserve"> </w:t>
            </w:r>
            <w:proofErr w:type="spellStart"/>
            <w:r>
              <w:t>kwalifikowalne</w:t>
            </w:r>
            <w:proofErr w:type="spellEnd"/>
            <w:r>
              <w:t xml:space="preserve"> 1 027,1 </w:t>
            </w:r>
            <w:proofErr w:type="spellStart"/>
            <w:r>
              <w:t>mln</w:t>
            </w:r>
            <w:proofErr w:type="spellEnd"/>
            <w:r>
              <w:t xml:space="preserve"> €/</w:t>
            </w:r>
            <w:proofErr w:type="spellStart"/>
            <w:r>
              <w:t>wkład</w:t>
            </w:r>
            <w:proofErr w:type="spellEnd"/>
            <w:r>
              <w:t xml:space="preserve"> UE 771,8 </w:t>
            </w:r>
            <w:proofErr w:type="spellStart"/>
            <w:r>
              <w:t>mln</w:t>
            </w:r>
            <w:proofErr w:type="spellEnd"/>
            <w:r>
              <w:t xml:space="preserve"> €, EFS-</w:t>
            </w:r>
            <w:proofErr w:type="spellStart"/>
            <w:r>
              <w:t>wydatki</w:t>
            </w:r>
            <w:proofErr w:type="spellEnd"/>
            <w:r>
              <w:t xml:space="preserve"> </w:t>
            </w:r>
            <w:proofErr w:type="spellStart"/>
            <w:r>
              <w:t>kwalifikowalne</w:t>
            </w:r>
            <w:proofErr w:type="spellEnd"/>
            <w:r>
              <w:t xml:space="preserve"> 320,8 </w:t>
            </w:r>
            <w:proofErr w:type="spellStart"/>
            <w:r>
              <w:t>mln</w:t>
            </w:r>
            <w:proofErr w:type="spellEnd"/>
            <w:r>
              <w:t xml:space="preserve"> €/ </w:t>
            </w:r>
            <w:proofErr w:type="spellStart"/>
            <w:r>
              <w:t>wkład</w:t>
            </w:r>
            <w:proofErr w:type="spellEnd"/>
            <w:r>
              <w:t xml:space="preserve"> UE 271,4 </w:t>
            </w:r>
            <w:proofErr w:type="spellStart"/>
            <w:r>
              <w:t>mln</w:t>
            </w:r>
            <w:proofErr w:type="spellEnd"/>
            <w:r>
              <w:t xml:space="preserve"> €). </w:t>
            </w:r>
            <w:proofErr w:type="spellStart"/>
            <w:r>
              <w:t>Dla</w:t>
            </w:r>
            <w:proofErr w:type="spellEnd"/>
            <w:r>
              <w:t xml:space="preserve"> RPOWŚ </w:t>
            </w:r>
            <w:proofErr w:type="spellStart"/>
            <w:r>
              <w:t>zakontraktowane</w:t>
            </w:r>
            <w:proofErr w:type="spellEnd"/>
            <w:r>
              <w:t xml:space="preserve"> </w:t>
            </w:r>
            <w:proofErr w:type="spellStart"/>
            <w:r>
              <w:t>było</w:t>
            </w:r>
            <w:proofErr w:type="spellEnd"/>
            <w:r>
              <w:t xml:space="preserve"> 76,5% </w:t>
            </w:r>
            <w:proofErr w:type="spellStart"/>
            <w:r>
              <w:t>wkładu</w:t>
            </w:r>
            <w:proofErr w:type="spellEnd"/>
            <w:r>
              <w:t xml:space="preserve"> UE (EFRR-78,7%, EFS-70,7%). Na 31.12.2019 r. </w:t>
            </w:r>
            <w:proofErr w:type="spellStart"/>
            <w:r>
              <w:t>zawarte</w:t>
            </w:r>
            <w:proofErr w:type="spellEnd"/>
            <w:r>
              <w:t xml:space="preserve"> </w:t>
            </w:r>
            <w:proofErr w:type="spellStart"/>
            <w:r>
              <w:t>było</w:t>
            </w:r>
            <w:proofErr w:type="spellEnd"/>
            <w:r>
              <w:t xml:space="preserve"> 69 pre-</w:t>
            </w:r>
            <w:proofErr w:type="spellStart"/>
            <w:r>
              <w:t>umów</w:t>
            </w:r>
            <w:proofErr w:type="spellEnd"/>
            <w:r>
              <w:t xml:space="preserve"> o </w:t>
            </w:r>
            <w:proofErr w:type="spellStart"/>
            <w:r>
              <w:t>wartości</w:t>
            </w:r>
            <w:proofErr w:type="spellEnd"/>
            <w:r>
              <w:t xml:space="preserve"> </w:t>
            </w:r>
            <w:proofErr w:type="spellStart"/>
            <w:r>
              <w:t>wkładu</w:t>
            </w:r>
            <w:proofErr w:type="spellEnd"/>
            <w:r>
              <w:t xml:space="preserve"> UE 80,3 </w:t>
            </w:r>
            <w:proofErr w:type="spellStart"/>
            <w:r>
              <w:t>mln</w:t>
            </w:r>
            <w:proofErr w:type="spellEnd"/>
            <w:r>
              <w:t xml:space="preserve"> € (dot. EFRR).</w:t>
            </w:r>
          </w:p>
          <w:p w14:paraId="2F3EE341" w14:textId="77777777" w:rsidR="006B2EC1" w:rsidRDefault="00E82A60">
            <w:pPr>
              <w:spacing w:before="240" w:after="240"/>
              <w:jc w:val="left"/>
            </w:pPr>
            <w:proofErr w:type="spellStart"/>
            <w:r>
              <w:t>W</w:t>
            </w:r>
            <w:proofErr w:type="spellEnd"/>
            <w:r>
              <w:t xml:space="preserve"> </w:t>
            </w:r>
            <w:proofErr w:type="spellStart"/>
            <w:r>
              <w:t>odniesieniu</w:t>
            </w:r>
            <w:proofErr w:type="spellEnd"/>
            <w:r>
              <w:t xml:space="preserve"> do </w:t>
            </w:r>
            <w:proofErr w:type="spellStart"/>
            <w:r>
              <w:t>wszystkich</w:t>
            </w:r>
            <w:proofErr w:type="spellEnd"/>
            <w:r>
              <w:t xml:space="preserve"> </w:t>
            </w:r>
            <w:proofErr w:type="spellStart"/>
            <w:r>
              <w:t>jedenastu</w:t>
            </w:r>
            <w:proofErr w:type="spellEnd"/>
            <w:r>
              <w:t xml:space="preserve"> </w:t>
            </w:r>
            <w:proofErr w:type="spellStart"/>
            <w:r>
              <w:t>osi</w:t>
            </w:r>
            <w:proofErr w:type="spellEnd"/>
            <w:r>
              <w:t xml:space="preserve"> </w:t>
            </w:r>
            <w:proofErr w:type="spellStart"/>
            <w:r>
              <w:t>priorytetowych</w:t>
            </w:r>
            <w:proofErr w:type="spellEnd"/>
            <w:r>
              <w:t xml:space="preserve"> (OP) RPOWŚ </w:t>
            </w:r>
            <w:proofErr w:type="spellStart"/>
            <w:r>
              <w:t>poziom</w:t>
            </w:r>
            <w:proofErr w:type="spellEnd"/>
            <w:r>
              <w:t xml:space="preserve"> </w:t>
            </w:r>
            <w:proofErr w:type="spellStart"/>
            <w:r>
              <w:t>kontraktacji</w:t>
            </w:r>
            <w:proofErr w:type="spellEnd"/>
            <w:r>
              <w:t xml:space="preserve"> </w:t>
            </w:r>
            <w:proofErr w:type="spellStart"/>
            <w:r>
              <w:t>przekroczył</w:t>
            </w:r>
            <w:proofErr w:type="spellEnd"/>
            <w:r>
              <w:t xml:space="preserve"> 50%.</w:t>
            </w:r>
          </w:p>
          <w:p w14:paraId="1AA1108E" w14:textId="77777777" w:rsidR="006B2EC1" w:rsidRDefault="00E82A60">
            <w:pPr>
              <w:spacing w:before="240" w:after="240"/>
              <w:jc w:val="left"/>
            </w:pPr>
            <w:r>
              <w:rPr>
                <w:b/>
                <w:bCs/>
                <w:u w:val="single"/>
              </w:rPr>
              <w:t>WNP:</w:t>
            </w:r>
          </w:p>
          <w:p w14:paraId="3004C631" w14:textId="77777777" w:rsidR="006B2EC1" w:rsidRDefault="00E82A60">
            <w:pPr>
              <w:spacing w:before="240" w:after="240"/>
              <w:jc w:val="left"/>
            </w:pPr>
            <w:r>
              <w:t xml:space="preserve">W 19 r. </w:t>
            </w:r>
            <w:proofErr w:type="spellStart"/>
            <w:r>
              <w:t>zatwierdzono</w:t>
            </w:r>
            <w:proofErr w:type="spellEnd"/>
            <w:r>
              <w:t xml:space="preserve"> 4 118 WNP </w:t>
            </w:r>
            <w:proofErr w:type="spellStart"/>
            <w:r>
              <w:t>na</w:t>
            </w:r>
            <w:proofErr w:type="spellEnd"/>
            <w:r>
              <w:t xml:space="preserve"> </w:t>
            </w:r>
            <w:proofErr w:type="spellStart"/>
            <w:r>
              <w:t>kwotę</w:t>
            </w:r>
            <w:proofErr w:type="spellEnd"/>
            <w:r>
              <w:t xml:space="preserve"> </w:t>
            </w:r>
            <w:proofErr w:type="spellStart"/>
            <w:r>
              <w:t>wydatków</w:t>
            </w:r>
            <w:proofErr w:type="spellEnd"/>
            <w:r>
              <w:t xml:space="preserve"> </w:t>
            </w:r>
            <w:proofErr w:type="spellStart"/>
            <w:r>
              <w:t>uznanych</w:t>
            </w:r>
            <w:proofErr w:type="spellEnd"/>
            <w:r>
              <w:t xml:space="preserve"> za kwalifikowalne-283,1 </w:t>
            </w:r>
            <w:proofErr w:type="spellStart"/>
            <w:r>
              <w:t>mln</w:t>
            </w:r>
            <w:proofErr w:type="spellEnd"/>
            <w:r>
              <w:t xml:space="preserve"> € (UE-217,5 </w:t>
            </w:r>
            <w:proofErr w:type="spellStart"/>
            <w:r>
              <w:t>mln</w:t>
            </w:r>
            <w:proofErr w:type="spellEnd"/>
            <w:r>
              <w:t xml:space="preserve"> €). </w:t>
            </w:r>
            <w:proofErr w:type="spellStart"/>
            <w:r>
              <w:t>Narastająco</w:t>
            </w:r>
            <w:proofErr w:type="spellEnd"/>
            <w:r>
              <w:t xml:space="preserve"> </w:t>
            </w:r>
            <w:proofErr w:type="spellStart"/>
            <w:r>
              <w:t>zatwierdzono</w:t>
            </w:r>
            <w:proofErr w:type="spellEnd"/>
            <w:r>
              <w:t xml:space="preserve"> 10 348 WNP </w:t>
            </w:r>
            <w:proofErr w:type="spellStart"/>
            <w:r>
              <w:t>na</w:t>
            </w:r>
            <w:proofErr w:type="spellEnd"/>
            <w:r>
              <w:t xml:space="preserve"> </w:t>
            </w:r>
            <w:proofErr w:type="spellStart"/>
            <w:r>
              <w:t>kwotę</w:t>
            </w:r>
            <w:proofErr w:type="spellEnd"/>
            <w:r>
              <w:t xml:space="preserve"> </w:t>
            </w:r>
            <w:proofErr w:type="spellStart"/>
            <w:r>
              <w:t>wydatków</w:t>
            </w:r>
            <w:proofErr w:type="spellEnd"/>
            <w:r>
              <w:t xml:space="preserve"> </w:t>
            </w:r>
            <w:proofErr w:type="spellStart"/>
            <w:r>
              <w:t>uznanych</w:t>
            </w:r>
            <w:proofErr w:type="spellEnd"/>
            <w:r>
              <w:t xml:space="preserve"> za kwalifikowalne-594,5 </w:t>
            </w:r>
            <w:proofErr w:type="spellStart"/>
            <w:r>
              <w:t>mln</w:t>
            </w:r>
            <w:proofErr w:type="spellEnd"/>
            <w:r>
              <w:t xml:space="preserve"> €, w </w:t>
            </w:r>
            <w:proofErr w:type="spellStart"/>
            <w:r>
              <w:t>tym</w:t>
            </w:r>
            <w:proofErr w:type="spellEnd"/>
            <w:r>
              <w:t xml:space="preserve"> </w:t>
            </w:r>
            <w:proofErr w:type="spellStart"/>
            <w:r>
              <w:t>wkład</w:t>
            </w:r>
            <w:proofErr w:type="spellEnd"/>
            <w:r>
              <w:t xml:space="preserve"> UE-466,1 </w:t>
            </w:r>
            <w:proofErr w:type="spellStart"/>
            <w:r>
              <w:t>mln</w:t>
            </w:r>
            <w:proofErr w:type="spellEnd"/>
            <w:r>
              <w:t xml:space="preserve"> €, co </w:t>
            </w:r>
            <w:proofErr w:type="spellStart"/>
            <w:r>
              <w:t>stanowi</w:t>
            </w:r>
            <w:proofErr w:type="spellEnd"/>
            <w:r>
              <w:t xml:space="preserve"> </w:t>
            </w:r>
            <w:proofErr w:type="spellStart"/>
            <w:r>
              <w:t>ponad</w:t>
            </w:r>
            <w:proofErr w:type="spellEnd"/>
            <w:r>
              <w:t xml:space="preserve"> 34%</w:t>
            </w:r>
            <w:r>
              <w:rPr>
                <w:b/>
                <w:bCs/>
              </w:rPr>
              <w:t xml:space="preserve"> </w:t>
            </w:r>
            <w:proofErr w:type="spellStart"/>
            <w:r>
              <w:t>alokacji</w:t>
            </w:r>
            <w:proofErr w:type="spellEnd"/>
            <w:r>
              <w:t xml:space="preserve"> </w:t>
            </w:r>
            <w:proofErr w:type="spellStart"/>
            <w:r>
              <w:t>Programu</w:t>
            </w:r>
            <w:proofErr w:type="spellEnd"/>
            <w:r>
              <w:t>.</w:t>
            </w:r>
          </w:p>
          <w:p w14:paraId="42341EE4" w14:textId="77777777" w:rsidR="006B2EC1" w:rsidRDefault="00E82A60">
            <w:pPr>
              <w:spacing w:before="240" w:after="240"/>
              <w:jc w:val="left"/>
            </w:pPr>
            <w:proofErr w:type="spellStart"/>
            <w:r>
              <w:rPr>
                <w:b/>
                <w:bCs/>
                <w:u w:val="single"/>
              </w:rPr>
              <w:t>Certyfikacja</w:t>
            </w:r>
            <w:proofErr w:type="spellEnd"/>
            <w:r>
              <w:rPr>
                <w:b/>
                <w:bCs/>
                <w:u w:val="single"/>
              </w:rPr>
              <w:t>:</w:t>
            </w:r>
          </w:p>
          <w:p w14:paraId="6491E98B" w14:textId="77777777" w:rsidR="006B2EC1" w:rsidRDefault="00E82A60">
            <w:pPr>
              <w:spacing w:before="240" w:after="240"/>
              <w:jc w:val="left"/>
            </w:pPr>
            <w:r>
              <w:t xml:space="preserve">W 2019 r. </w:t>
            </w:r>
            <w:proofErr w:type="spellStart"/>
            <w:r>
              <w:t>certyfikowano</w:t>
            </w:r>
            <w:proofErr w:type="spellEnd"/>
            <w:r>
              <w:t xml:space="preserve"> 261,1 </w:t>
            </w:r>
            <w:proofErr w:type="spellStart"/>
            <w:r>
              <w:t>mln</w:t>
            </w:r>
            <w:proofErr w:type="spellEnd"/>
            <w:r>
              <w:t xml:space="preserve"> € </w:t>
            </w:r>
            <w:proofErr w:type="spellStart"/>
            <w:r>
              <w:t>wkładu</w:t>
            </w:r>
            <w:proofErr w:type="spellEnd"/>
            <w:r>
              <w:t xml:space="preserve"> UE. </w:t>
            </w:r>
            <w:proofErr w:type="spellStart"/>
            <w:r>
              <w:t>Prognozy</w:t>
            </w:r>
            <w:proofErr w:type="spellEnd"/>
            <w:r>
              <w:t xml:space="preserve"> </w:t>
            </w:r>
            <w:proofErr w:type="spellStart"/>
            <w:r>
              <w:t>certyfikacji</w:t>
            </w:r>
            <w:proofErr w:type="spellEnd"/>
            <w:r>
              <w:t xml:space="preserve"> IZ i Rady </w:t>
            </w:r>
            <w:proofErr w:type="spellStart"/>
            <w:r>
              <w:t>Ministrów</w:t>
            </w:r>
            <w:proofErr w:type="spellEnd"/>
            <w:r>
              <w:t xml:space="preserve"> </w:t>
            </w:r>
            <w:proofErr w:type="spellStart"/>
            <w:r>
              <w:t>zrealizowano</w:t>
            </w:r>
            <w:proofErr w:type="spellEnd"/>
            <w:r>
              <w:t xml:space="preserve"> </w:t>
            </w:r>
            <w:proofErr w:type="spellStart"/>
            <w:r>
              <w:t>na</w:t>
            </w:r>
            <w:proofErr w:type="spellEnd"/>
            <w:r>
              <w:t xml:space="preserve"> </w:t>
            </w:r>
            <w:proofErr w:type="spellStart"/>
            <w:r>
              <w:t>poziomie</w:t>
            </w:r>
            <w:proofErr w:type="spellEnd"/>
            <w:r>
              <w:t xml:space="preserve"> 106,9% (</w:t>
            </w:r>
            <w:proofErr w:type="spellStart"/>
            <w:r>
              <w:t>cel</w:t>
            </w:r>
            <w:proofErr w:type="spellEnd"/>
            <w:r>
              <w:t xml:space="preserve"> </w:t>
            </w:r>
            <w:proofErr w:type="spellStart"/>
            <w:r>
              <w:t>certyfikacji</w:t>
            </w:r>
            <w:proofErr w:type="spellEnd"/>
            <w:r>
              <w:t xml:space="preserve"> </w:t>
            </w:r>
            <w:proofErr w:type="spellStart"/>
            <w:r>
              <w:t>dla</w:t>
            </w:r>
            <w:proofErr w:type="spellEnd"/>
            <w:r>
              <w:t xml:space="preserve"> 19 r. </w:t>
            </w:r>
            <w:proofErr w:type="spellStart"/>
            <w:r>
              <w:t>wynosił</w:t>
            </w:r>
            <w:proofErr w:type="spellEnd"/>
            <w:r>
              <w:t xml:space="preserve"> 244,2 </w:t>
            </w:r>
            <w:proofErr w:type="spellStart"/>
            <w:r>
              <w:t>mln</w:t>
            </w:r>
            <w:proofErr w:type="spellEnd"/>
            <w:r>
              <w:t xml:space="preserve"> €).</w:t>
            </w:r>
          </w:p>
          <w:p w14:paraId="4CB955BB" w14:textId="77777777" w:rsidR="006B2EC1" w:rsidRDefault="00E82A60">
            <w:pPr>
              <w:spacing w:before="240" w:after="240"/>
              <w:jc w:val="left"/>
            </w:pPr>
            <w:r>
              <w:t xml:space="preserve">Na </w:t>
            </w:r>
            <w:proofErr w:type="spellStart"/>
            <w:r>
              <w:t>koniec</w:t>
            </w:r>
            <w:proofErr w:type="spellEnd"/>
            <w:r>
              <w:t xml:space="preserve"> 19 r. </w:t>
            </w:r>
            <w:proofErr w:type="spellStart"/>
            <w:r>
              <w:t>wartość</w:t>
            </w:r>
            <w:proofErr w:type="spellEnd"/>
            <w:r>
              <w:t xml:space="preserve"> </w:t>
            </w:r>
            <w:proofErr w:type="spellStart"/>
            <w:r>
              <w:t>certyfikowanych</w:t>
            </w:r>
            <w:proofErr w:type="spellEnd"/>
            <w:r>
              <w:t xml:space="preserve"> </w:t>
            </w:r>
            <w:proofErr w:type="spellStart"/>
            <w:r>
              <w:t>wydatków</w:t>
            </w:r>
            <w:proofErr w:type="spellEnd"/>
            <w:r>
              <w:t xml:space="preserve"> </w:t>
            </w:r>
            <w:proofErr w:type="spellStart"/>
            <w:r>
              <w:t>kwalifikowalnych</w:t>
            </w:r>
            <w:proofErr w:type="spellEnd"/>
            <w:r>
              <w:t xml:space="preserve"> </w:t>
            </w:r>
            <w:proofErr w:type="spellStart"/>
            <w:r>
              <w:t>wyniosła</w:t>
            </w:r>
            <w:proofErr w:type="spellEnd"/>
            <w:r>
              <w:t xml:space="preserve"> 590,7 </w:t>
            </w:r>
            <w:proofErr w:type="spellStart"/>
            <w:r>
              <w:t>mln</w:t>
            </w:r>
            <w:proofErr w:type="spellEnd"/>
            <w:r>
              <w:t>€.</w:t>
            </w:r>
          </w:p>
          <w:p w14:paraId="7D1AD7C6" w14:textId="77777777" w:rsidR="006B2EC1" w:rsidRDefault="00E82A60">
            <w:pPr>
              <w:spacing w:before="240" w:after="240"/>
              <w:jc w:val="left"/>
            </w:pPr>
            <w:proofErr w:type="spellStart"/>
            <w:r>
              <w:t>Certyfikacja</w:t>
            </w:r>
            <w:proofErr w:type="spellEnd"/>
            <w:r>
              <w:t xml:space="preserve"> </w:t>
            </w:r>
            <w:proofErr w:type="spellStart"/>
            <w:r>
              <w:t>wkładu</w:t>
            </w:r>
            <w:proofErr w:type="spellEnd"/>
            <w:r>
              <w:t xml:space="preserve"> UE </w:t>
            </w:r>
            <w:proofErr w:type="spellStart"/>
            <w:r>
              <w:t>na</w:t>
            </w:r>
            <w:proofErr w:type="spellEnd"/>
            <w:r>
              <w:t xml:space="preserve"> </w:t>
            </w:r>
            <w:proofErr w:type="spellStart"/>
            <w:r>
              <w:t>koniec</w:t>
            </w:r>
            <w:proofErr w:type="spellEnd"/>
            <w:r>
              <w:t xml:space="preserve"> 19 r. UE </w:t>
            </w:r>
            <w:proofErr w:type="spellStart"/>
            <w:r>
              <w:t>wyniosła</w:t>
            </w:r>
            <w:proofErr w:type="spellEnd"/>
            <w:r>
              <w:t xml:space="preserve"> 502,1 </w:t>
            </w:r>
            <w:proofErr w:type="spellStart"/>
            <w:r>
              <w:t>mln</w:t>
            </w:r>
            <w:proofErr w:type="spellEnd"/>
            <w:r>
              <w:t xml:space="preserve"> € (36,8% </w:t>
            </w:r>
            <w:proofErr w:type="spellStart"/>
            <w:r>
              <w:t>alokacji</w:t>
            </w:r>
            <w:proofErr w:type="spellEnd"/>
            <w:r>
              <w:t xml:space="preserve"> RPOWŚ)-w </w:t>
            </w:r>
            <w:proofErr w:type="spellStart"/>
            <w:r>
              <w:t>tym</w:t>
            </w:r>
            <w:proofErr w:type="spellEnd"/>
            <w:r>
              <w:t xml:space="preserve"> EFRR-341,3 </w:t>
            </w:r>
            <w:proofErr w:type="spellStart"/>
            <w:r>
              <w:t>mln</w:t>
            </w:r>
            <w:proofErr w:type="spellEnd"/>
            <w:r>
              <w:t xml:space="preserve"> € (34,8% </w:t>
            </w:r>
            <w:proofErr w:type="spellStart"/>
            <w:r>
              <w:t>alokacji</w:t>
            </w:r>
            <w:proofErr w:type="spellEnd"/>
            <w:r>
              <w:t xml:space="preserve"> EFRR); w </w:t>
            </w:r>
            <w:proofErr w:type="spellStart"/>
            <w:r>
              <w:t>tym</w:t>
            </w:r>
            <w:proofErr w:type="spellEnd"/>
            <w:r>
              <w:t xml:space="preserve"> EFS 160,9 </w:t>
            </w:r>
            <w:proofErr w:type="spellStart"/>
            <w:r>
              <w:t>mln</w:t>
            </w:r>
            <w:proofErr w:type="spellEnd"/>
            <w:r>
              <w:t xml:space="preserve"> € (41,9% </w:t>
            </w:r>
            <w:proofErr w:type="spellStart"/>
            <w:r>
              <w:t>alokacji</w:t>
            </w:r>
            <w:proofErr w:type="spellEnd"/>
            <w:r>
              <w:t xml:space="preserve"> EFS). </w:t>
            </w:r>
            <w:proofErr w:type="spellStart"/>
            <w:r>
              <w:t>Cel</w:t>
            </w:r>
            <w:proofErr w:type="spellEnd"/>
            <w:r>
              <w:t xml:space="preserve"> n+3 </w:t>
            </w:r>
            <w:proofErr w:type="spellStart"/>
            <w:r>
              <w:t>na</w:t>
            </w:r>
            <w:proofErr w:type="spellEnd"/>
            <w:r>
              <w:t xml:space="preserve"> </w:t>
            </w:r>
            <w:proofErr w:type="spellStart"/>
            <w:r>
              <w:t>koniec</w:t>
            </w:r>
            <w:proofErr w:type="spellEnd"/>
            <w:r>
              <w:t xml:space="preserve"> 2019 r. </w:t>
            </w:r>
            <w:proofErr w:type="spellStart"/>
            <w:r>
              <w:t>został</w:t>
            </w:r>
            <w:proofErr w:type="spellEnd"/>
            <w:r>
              <w:t xml:space="preserve"> </w:t>
            </w:r>
            <w:proofErr w:type="spellStart"/>
            <w:r>
              <w:t>osiągnięty-wynosił</w:t>
            </w:r>
            <w:proofErr w:type="spellEnd"/>
            <w:r>
              <w:t xml:space="preserve"> 326,3 </w:t>
            </w:r>
            <w:proofErr w:type="spellStart"/>
            <w:r>
              <w:t>mln</w:t>
            </w:r>
            <w:proofErr w:type="spellEnd"/>
            <w:r>
              <w:t xml:space="preserve"> €-</w:t>
            </w:r>
            <w:proofErr w:type="spellStart"/>
            <w:r>
              <w:t>realizacja</w:t>
            </w:r>
            <w:proofErr w:type="spellEnd"/>
            <w:r>
              <w:t xml:space="preserve"> 502,1 </w:t>
            </w:r>
            <w:proofErr w:type="spellStart"/>
            <w:r>
              <w:t>mln</w:t>
            </w:r>
            <w:proofErr w:type="spellEnd"/>
            <w:r>
              <w:t xml:space="preserve"> €.</w:t>
            </w:r>
          </w:p>
          <w:p w14:paraId="09D4B5E7" w14:textId="77777777" w:rsidR="006B2EC1" w:rsidRDefault="00E82A60">
            <w:pPr>
              <w:spacing w:before="240" w:after="240"/>
              <w:jc w:val="left"/>
            </w:pPr>
            <w:r>
              <w:t xml:space="preserve">W 2019 r. IC </w:t>
            </w:r>
            <w:proofErr w:type="spellStart"/>
            <w:r>
              <w:t>zatwierdziła</w:t>
            </w:r>
            <w:proofErr w:type="spellEnd"/>
            <w:r>
              <w:t xml:space="preserve"> 32 </w:t>
            </w:r>
            <w:proofErr w:type="spellStart"/>
            <w:r>
              <w:t>deklaracje</w:t>
            </w:r>
            <w:proofErr w:type="spellEnd"/>
            <w:r>
              <w:t xml:space="preserve"> (13-EFRR i 19-EFS), </w:t>
            </w:r>
            <w:proofErr w:type="spellStart"/>
            <w:r>
              <w:t>narastająco</w:t>
            </w:r>
            <w:proofErr w:type="spellEnd"/>
            <w:r>
              <w:t xml:space="preserve"> 97 (EFRR-40, EFS-57).</w:t>
            </w:r>
          </w:p>
          <w:p w14:paraId="405312D8" w14:textId="77777777" w:rsidR="006B2EC1" w:rsidRDefault="00E82A60">
            <w:pPr>
              <w:spacing w:before="240" w:after="240"/>
              <w:jc w:val="left"/>
            </w:pPr>
            <w:proofErr w:type="spellStart"/>
            <w:r>
              <w:rPr>
                <w:b/>
                <w:bCs/>
                <w:u w:val="single"/>
              </w:rPr>
              <w:t>Ramy</w:t>
            </w:r>
            <w:proofErr w:type="spellEnd"/>
            <w:r>
              <w:rPr>
                <w:b/>
                <w:bCs/>
                <w:u w:val="single"/>
              </w:rPr>
              <w:t xml:space="preserve"> </w:t>
            </w:r>
            <w:proofErr w:type="spellStart"/>
            <w:r>
              <w:rPr>
                <w:b/>
                <w:bCs/>
                <w:u w:val="single"/>
              </w:rPr>
              <w:t>wykonania</w:t>
            </w:r>
            <w:proofErr w:type="spellEnd"/>
            <w:r>
              <w:rPr>
                <w:b/>
                <w:bCs/>
                <w:u w:val="single"/>
              </w:rPr>
              <w:t>:</w:t>
            </w:r>
          </w:p>
          <w:p w14:paraId="4E06BD96" w14:textId="77777777" w:rsidR="006B2EC1" w:rsidRDefault="00E82A60">
            <w:pPr>
              <w:spacing w:before="240" w:after="240"/>
              <w:jc w:val="left"/>
            </w:pPr>
            <w:proofErr w:type="spellStart"/>
            <w:r>
              <w:t>Spośród</w:t>
            </w:r>
            <w:proofErr w:type="spellEnd"/>
            <w:r>
              <w:t xml:space="preserve"> 30 </w:t>
            </w:r>
            <w:proofErr w:type="spellStart"/>
            <w:r>
              <w:t>wskaźników</w:t>
            </w:r>
            <w:proofErr w:type="spellEnd"/>
            <w:r>
              <w:t xml:space="preserve"> </w:t>
            </w:r>
            <w:proofErr w:type="spellStart"/>
            <w:r>
              <w:t>zawartych</w:t>
            </w:r>
            <w:proofErr w:type="spellEnd"/>
            <w:r>
              <w:t xml:space="preserve"> w </w:t>
            </w:r>
            <w:proofErr w:type="spellStart"/>
            <w:r>
              <w:t>ramach</w:t>
            </w:r>
            <w:proofErr w:type="spellEnd"/>
            <w:r>
              <w:t xml:space="preserve"> </w:t>
            </w:r>
            <w:proofErr w:type="spellStart"/>
            <w:r>
              <w:t>wykonania</w:t>
            </w:r>
            <w:proofErr w:type="spellEnd"/>
            <w:r>
              <w:t xml:space="preserve"> RPOWŚ 2014-2020 (</w:t>
            </w:r>
            <w:proofErr w:type="spellStart"/>
            <w:r>
              <w:t>zarówno</w:t>
            </w:r>
            <w:proofErr w:type="spellEnd"/>
            <w:r>
              <w:t xml:space="preserve"> </w:t>
            </w:r>
            <w:proofErr w:type="spellStart"/>
            <w:r>
              <w:t>wskaźników</w:t>
            </w:r>
            <w:proofErr w:type="spellEnd"/>
            <w:r>
              <w:t xml:space="preserve"> </w:t>
            </w:r>
            <w:proofErr w:type="spellStart"/>
            <w:r>
              <w:t>produktu</w:t>
            </w:r>
            <w:proofErr w:type="spellEnd"/>
            <w:r>
              <w:t xml:space="preserve"> jak i </w:t>
            </w:r>
            <w:proofErr w:type="spellStart"/>
            <w:r>
              <w:t>wskaźnika</w:t>
            </w:r>
            <w:proofErr w:type="spellEnd"/>
            <w:r>
              <w:t xml:space="preserve"> </w:t>
            </w:r>
            <w:proofErr w:type="spellStart"/>
            <w:r>
              <w:t>finansowego</w:t>
            </w:r>
            <w:proofErr w:type="spellEnd"/>
            <w:r>
              <w:t xml:space="preserve">, z </w:t>
            </w:r>
            <w:proofErr w:type="spellStart"/>
            <w:r>
              <w:t>wyłączeniem</w:t>
            </w:r>
            <w:proofErr w:type="spellEnd"/>
            <w:r>
              <w:t xml:space="preserve"> KEW), </w:t>
            </w:r>
            <w:proofErr w:type="spellStart"/>
            <w:r>
              <w:t>osiągnięta</w:t>
            </w:r>
            <w:proofErr w:type="spellEnd"/>
            <w:r>
              <w:t xml:space="preserve"> </w:t>
            </w:r>
            <w:proofErr w:type="spellStart"/>
            <w:r>
              <w:t>wartość</w:t>
            </w:r>
            <w:proofErr w:type="spellEnd"/>
            <w:r>
              <w:rPr>
                <w:b/>
                <w:bCs/>
              </w:rPr>
              <w:t xml:space="preserve"> </w:t>
            </w:r>
            <w:proofErr w:type="spellStart"/>
            <w:r>
              <w:rPr>
                <w:b/>
                <w:bCs/>
              </w:rPr>
              <w:t>celu</w:t>
            </w:r>
            <w:proofErr w:type="spellEnd"/>
            <w:r>
              <w:rPr>
                <w:b/>
                <w:bCs/>
              </w:rPr>
              <w:t xml:space="preserve"> </w:t>
            </w:r>
            <w:proofErr w:type="spellStart"/>
            <w:r>
              <w:rPr>
                <w:b/>
                <w:bCs/>
              </w:rPr>
              <w:t>końcowego</w:t>
            </w:r>
            <w:proofErr w:type="spellEnd"/>
            <w:r>
              <w:rPr>
                <w:b/>
                <w:bCs/>
              </w:rPr>
              <w:t xml:space="preserve"> </w:t>
            </w:r>
            <w:proofErr w:type="spellStart"/>
            <w:r>
              <w:rPr>
                <w:b/>
                <w:bCs/>
              </w:rPr>
              <w:t>określonego</w:t>
            </w:r>
            <w:proofErr w:type="spellEnd"/>
            <w:r>
              <w:rPr>
                <w:b/>
                <w:bCs/>
              </w:rPr>
              <w:t xml:space="preserve"> </w:t>
            </w:r>
            <w:proofErr w:type="spellStart"/>
            <w:r>
              <w:rPr>
                <w:b/>
                <w:bCs/>
              </w:rPr>
              <w:t>na</w:t>
            </w:r>
            <w:proofErr w:type="spellEnd"/>
            <w:r>
              <w:rPr>
                <w:b/>
                <w:bCs/>
              </w:rPr>
              <w:t xml:space="preserve"> </w:t>
            </w:r>
            <w:proofErr w:type="spellStart"/>
            <w:r>
              <w:rPr>
                <w:b/>
                <w:bCs/>
              </w:rPr>
              <w:t>koniec</w:t>
            </w:r>
            <w:proofErr w:type="spellEnd"/>
            <w:r>
              <w:rPr>
                <w:b/>
                <w:bCs/>
              </w:rPr>
              <w:t xml:space="preserve"> 2023 </w:t>
            </w:r>
            <w:proofErr w:type="spellStart"/>
            <w:r>
              <w:rPr>
                <w:b/>
                <w:bCs/>
              </w:rPr>
              <w:t>roku</w:t>
            </w:r>
            <w:proofErr w:type="spellEnd"/>
            <w:r>
              <w:t>:</w:t>
            </w:r>
          </w:p>
          <w:p w14:paraId="73A40A84" w14:textId="77777777" w:rsidR="006B2EC1" w:rsidRDefault="00E82A60" w:rsidP="00E82A60">
            <w:pPr>
              <w:numPr>
                <w:ilvl w:val="0"/>
                <w:numId w:val="38"/>
              </w:numPr>
              <w:spacing w:before="240" w:after="0"/>
              <w:ind w:hanging="210"/>
              <w:jc w:val="left"/>
            </w:pPr>
            <w:proofErr w:type="spellStart"/>
            <w:r>
              <w:t>dla</w:t>
            </w:r>
            <w:proofErr w:type="spellEnd"/>
            <w:r>
              <w:t xml:space="preserve"> 5 </w:t>
            </w:r>
            <w:proofErr w:type="spellStart"/>
            <w:r>
              <w:t>wskaźników</w:t>
            </w:r>
            <w:proofErr w:type="spellEnd"/>
            <w:r>
              <w:t xml:space="preserve"> </w:t>
            </w:r>
            <w:proofErr w:type="spellStart"/>
            <w:r>
              <w:t>wynosi</w:t>
            </w:r>
            <w:proofErr w:type="spellEnd"/>
            <w:r>
              <w:t xml:space="preserve"> </w:t>
            </w:r>
            <w:proofErr w:type="spellStart"/>
            <w:r>
              <w:t>poniżej</w:t>
            </w:r>
            <w:proofErr w:type="spellEnd"/>
            <w:r>
              <w:t xml:space="preserve"> </w:t>
            </w:r>
            <w:r>
              <w:rPr>
                <w:b/>
                <w:bCs/>
              </w:rPr>
              <w:t>25%,</w:t>
            </w:r>
          </w:p>
          <w:p w14:paraId="773460C9" w14:textId="77777777" w:rsidR="006B2EC1" w:rsidRDefault="00E82A60" w:rsidP="00E82A60">
            <w:pPr>
              <w:numPr>
                <w:ilvl w:val="0"/>
                <w:numId w:val="38"/>
              </w:numPr>
              <w:spacing w:before="0" w:after="0"/>
              <w:ind w:hanging="210"/>
              <w:jc w:val="left"/>
            </w:pPr>
            <w:proofErr w:type="spellStart"/>
            <w:r>
              <w:lastRenderedPageBreak/>
              <w:t>dla</w:t>
            </w:r>
            <w:proofErr w:type="spellEnd"/>
            <w:r>
              <w:t xml:space="preserve"> 7 </w:t>
            </w:r>
            <w:proofErr w:type="spellStart"/>
            <w:r>
              <w:t>wskaźników</w:t>
            </w:r>
            <w:proofErr w:type="spellEnd"/>
            <w:r>
              <w:t xml:space="preserve"> </w:t>
            </w:r>
            <w:proofErr w:type="spellStart"/>
            <w:r>
              <w:t>mieści</w:t>
            </w:r>
            <w:proofErr w:type="spellEnd"/>
            <w:r>
              <w:t xml:space="preserve"> </w:t>
            </w:r>
            <w:proofErr w:type="spellStart"/>
            <w:r>
              <w:t>się</w:t>
            </w:r>
            <w:proofErr w:type="spellEnd"/>
            <w:r>
              <w:t xml:space="preserve"> w </w:t>
            </w:r>
            <w:proofErr w:type="spellStart"/>
            <w:r>
              <w:t>przedziale</w:t>
            </w:r>
            <w:proofErr w:type="spellEnd"/>
            <w:r>
              <w:t xml:space="preserve"> </w:t>
            </w:r>
            <w:r>
              <w:rPr>
                <w:b/>
                <w:bCs/>
              </w:rPr>
              <w:t>25% - 50%,</w:t>
            </w:r>
          </w:p>
          <w:p w14:paraId="2F720285" w14:textId="77777777" w:rsidR="006B2EC1" w:rsidRDefault="00E82A60" w:rsidP="00E82A60">
            <w:pPr>
              <w:numPr>
                <w:ilvl w:val="0"/>
                <w:numId w:val="38"/>
              </w:numPr>
              <w:spacing w:before="0" w:after="240"/>
              <w:ind w:hanging="210"/>
              <w:jc w:val="left"/>
            </w:pPr>
            <w:proofErr w:type="spellStart"/>
            <w:r>
              <w:t>dla</w:t>
            </w:r>
            <w:proofErr w:type="spellEnd"/>
            <w:r>
              <w:t xml:space="preserve"> 18 </w:t>
            </w:r>
            <w:proofErr w:type="spellStart"/>
            <w:r>
              <w:t>wynosi</w:t>
            </w:r>
            <w:proofErr w:type="spellEnd"/>
            <w:r>
              <w:t xml:space="preserve"> </w:t>
            </w:r>
            <w:proofErr w:type="spellStart"/>
            <w:r>
              <w:rPr>
                <w:b/>
                <w:bCs/>
              </w:rPr>
              <w:t>powyżej</w:t>
            </w:r>
            <w:proofErr w:type="spellEnd"/>
            <w:r>
              <w:rPr>
                <w:b/>
                <w:bCs/>
              </w:rPr>
              <w:t xml:space="preserve"> 50%,</w:t>
            </w:r>
            <w:r>
              <w:t xml:space="preserve"> w </w:t>
            </w:r>
            <w:proofErr w:type="spellStart"/>
            <w:r>
              <w:t>tym</w:t>
            </w:r>
            <w:proofErr w:type="spellEnd"/>
            <w:r>
              <w:t xml:space="preserve"> 8 </w:t>
            </w:r>
            <w:proofErr w:type="spellStart"/>
            <w:r>
              <w:t>wskaźników</w:t>
            </w:r>
            <w:proofErr w:type="spellEnd"/>
            <w:r>
              <w:t xml:space="preserve"> </w:t>
            </w:r>
            <w:proofErr w:type="spellStart"/>
            <w:r>
              <w:t>osiągnęło</w:t>
            </w:r>
            <w:proofErr w:type="spellEnd"/>
            <w:r>
              <w:t xml:space="preserve"> </w:t>
            </w:r>
            <w:proofErr w:type="spellStart"/>
            <w:r>
              <w:rPr>
                <w:b/>
                <w:bCs/>
              </w:rPr>
              <w:t>powyżej</w:t>
            </w:r>
            <w:proofErr w:type="spellEnd"/>
            <w:r>
              <w:rPr>
                <w:b/>
                <w:bCs/>
              </w:rPr>
              <w:t xml:space="preserve"> 100%</w:t>
            </w:r>
            <w:r>
              <w:t xml:space="preserve"> </w:t>
            </w:r>
            <w:proofErr w:type="spellStart"/>
            <w:r>
              <w:t>wartości</w:t>
            </w:r>
            <w:proofErr w:type="spellEnd"/>
            <w:r>
              <w:t xml:space="preserve"> </w:t>
            </w:r>
            <w:proofErr w:type="spellStart"/>
            <w:r>
              <w:t>docelowej</w:t>
            </w:r>
            <w:proofErr w:type="spellEnd"/>
            <w:r>
              <w:t xml:space="preserve"> </w:t>
            </w:r>
            <w:proofErr w:type="spellStart"/>
            <w:r>
              <w:t>na</w:t>
            </w:r>
            <w:proofErr w:type="spellEnd"/>
            <w:r>
              <w:t xml:space="preserve"> 2023 </w:t>
            </w:r>
            <w:proofErr w:type="spellStart"/>
            <w:r>
              <w:t>rok</w:t>
            </w:r>
            <w:proofErr w:type="spellEnd"/>
            <w:r>
              <w:t>.</w:t>
            </w:r>
          </w:p>
          <w:p w14:paraId="43D779C3" w14:textId="77777777" w:rsidR="006B2EC1" w:rsidRDefault="00E82A60">
            <w:pPr>
              <w:spacing w:before="240" w:after="240"/>
              <w:jc w:val="left"/>
            </w:pPr>
            <w:proofErr w:type="spellStart"/>
            <w:r>
              <w:t>Dla</w:t>
            </w:r>
            <w:proofErr w:type="spellEnd"/>
            <w:r>
              <w:t xml:space="preserve"> 2 OP </w:t>
            </w:r>
            <w:proofErr w:type="spellStart"/>
            <w:r>
              <w:t>poziom</w:t>
            </w:r>
            <w:proofErr w:type="spellEnd"/>
            <w:r>
              <w:t xml:space="preserve"> </w:t>
            </w:r>
            <w:proofErr w:type="spellStart"/>
            <w:r>
              <w:t>realizacji</w:t>
            </w:r>
            <w:proofErr w:type="spellEnd"/>
            <w:r>
              <w:t xml:space="preserve"> </w:t>
            </w:r>
            <w:proofErr w:type="spellStart"/>
            <w:r>
              <w:t>celu</w:t>
            </w:r>
            <w:proofErr w:type="spellEnd"/>
            <w:r>
              <w:t xml:space="preserve"> </w:t>
            </w:r>
            <w:proofErr w:type="spellStart"/>
            <w:r>
              <w:t>końcowego</w:t>
            </w:r>
            <w:proofErr w:type="spellEnd"/>
            <w:r>
              <w:t xml:space="preserve"> </w:t>
            </w:r>
            <w:proofErr w:type="spellStart"/>
            <w:r>
              <w:t>wskaźnika</w:t>
            </w:r>
            <w:proofErr w:type="spellEnd"/>
            <w:r>
              <w:t xml:space="preserve"> </w:t>
            </w:r>
            <w:proofErr w:type="spellStart"/>
            <w:r>
              <w:t>finansowego</w:t>
            </w:r>
            <w:proofErr w:type="spellEnd"/>
            <w:r>
              <w:t xml:space="preserve"> </w:t>
            </w:r>
            <w:proofErr w:type="spellStart"/>
            <w:r>
              <w:t>przekroczył</w:t>
            </w:r>
            <w:proofErr w:type="spellEnd"/>
            <w:r>
              <w:t xml:space="preserve"> 50%, </w:t>
            </w:r>
            <w:proofErr w:type="spellStart"/>
            <w:r>
              <w:t>dla</w:t>
            </w:r>
            <w:proofErr w:type="spellEnd"/>
            <w:r>
              <w:t xml:space="preserve"> 8 OP </w:t>
            </w:r>
            <w:proofErr w:type="spellStart"/>
            <w:r>
              <w:t>jeszcze</w:t>
            </w:r>
            <w:proofErr w:type="spellEnd"/>
            <w:r>
              <w:t xml:space="preserve"> </w:t>
            </w:r>
            <w:proofErr w:type="spellStart"/>
            <w:r>
              <w:t>nie</w:t>
            </w:r>
            <w:proofErr w:type="spellEnd"/>
            <w:r>
              <w:t xml:space="preserve"> </w:t>
            </w:r>
            <w:proofErr w:type="spellStart"/>
            <w:r>
              <w:t>osiągnął</w:t>
            </w:r>
            <w:proofErr w:type="spellEnd"/>
            <w:r>
              <w:t xml:space="preserve"> 50%.</w:t>
            </w:r>
          </w:p>
          <w:p w14:paraId="3C6718B0" w14:textId="77777777" w:rsidR="006B2EC1" w:rsidRDefault="00E82A60">
            <w:pPr>
              <w:spacing w:before="240" w:after="240"/>
              <w:jc w:val="left"/>
            </w:pPr>
            <w:r>
              <w:t xml:space="preserve">W 19  r. </w:t>
            </w:r>
            <w:proofErr w:type="spellStart"/>
            <w:r>
              <w:t>kontynuowano</w:t>
            </w:r>
            <w:proofErr w:type="spellEnd"/>
            <w:r>
              <w:t xml:space="preserve"> </w:t>
            </w:r>
            <w:proofErr w:type="spellStart"/>
            <w:r>
              <w:t>prace</w:t>
            </w:r>
            <w:proofErr w:type="spellEnd"/>
            <w:r>
              <w:t xml:space="preserve"> </w:t>
            </w:r>
            <w:proofErr w:type="spellStart"/>
            <w:r>
              <w:t>powołanego</w:t>
            </w:r>
            <w:proofErr w:type="spellEnd"/>
            <w:r>
              <w:t xml:space="preserve"> w 2016 r. </w:t>
            </w:r>
            <w:proofErr w:type="spellStart"/>
            <w:r>
              <w:t>Zespołu</w:t>
            </w:r>
            <w:proofErr w:type="spellEnd"/>
            <w:r>
              <w:t xml:space="preserve"> ds. </w:t>
            </w:r>
            <w:proofErr w:type="spellStart"/>
            <w:r>
              <w:t>oceny</w:t>
            </w:r>
            <w:proofErr w:type="spellEnd"/>
            <w:r>
              <w:t xml:space="preserve"> </w:t>
            </w:r>
            <w:proofErr w:type="spellStart"/>
            <w:r>
              <w:t>ryzyka</w:t>
            </w:r>
            <w:proofErr w:type="spellEnd"/>
            <w:r>
              <w:t xml:space="preserve"> </w:t>
            </w:r>
            <w:proofErr w:type="spellStart"/>
            <w:r>
              <w:t>wystąpienia</w:t>
            </w:r>
            <w:proofErr w:type="spellEnd"/>
            <w:r>
              <w:t xml:space="preserve"> </w:t>
            </w:r>
            <w:proofErr w:type="spellStart"/>
            <w:r>
              <w:t>nadużyć</w:t>
            </w:r>
            <w:proofErr w:type="spellEnd"/>
            <w:r>
              <w:t xml:space="preserve"> </w:t>
            </w:r>
            <w:proofErr w:type="spellStart"/>
            <w:r>
              <w:t>finansowych</w:t>
            </w:r>
            <w:proofErr w:type="spellEnd"/>
            <w:r>
              <w:t xml:space="preserve">. Na </w:t>
            </w:r>
            <w:proofErr w:type="spellStart"/>
            <w:r>
              <w:t>stronie</w:t>
            </w:r>
            <w:proofErr w:type="spellEnd"/>
            <w:r>
              <w:t xml:space="preserve"> </w:t>
            </w:r>
            <w:proofErr w:type="spellStart"/>
            <w:r>
              <w:t>internetowej</w:t>
            </w:r>
            <w:proofErr w:type="spellEnd"/>
            <w:r>
              <w:t xml:space="preserve"> RPOWŚ 2014-2020, </w:t>
            </w:r>
            <w:proofErr w:type="spellStart"/>
            <w:r>
              <w:t>znajdują</w:t>
            </w:r>
            <w:proofErr w:type="spellEnd"/>
            <w:r>
              <w:t xml:space="preserve"> </w:t>
            </w:r>
            <w:proofErr w:type="spellStart"/>
            <w:r>
              <w:t>się</w:t>
            </w:r>
            <w:proofErr w:type="spellEnd"/>
            <w:r>
              <w:t xml:space="preserve"> </w:t>
            </w:r>
            <w:proofErr w:type="spellStart"/>
            <w:r>
              <w:t>informacje</w:t>
            </w:r>
            <w:proofErr w:type="spellEnd"/>
            <w:r>
              <w:t xml:space="preserve"> dot. </w:t>
            </w:r>
            <w:proofErr w:type="spellStart"/>
            <w:r>
              <w:t>sposobu</w:t>
            </w:r>
            <w:proofErr w:type="spellEnd"/>
            <w:r>
              <w:t xml:space="preserve"> </w:t>
            </w:r>
            <w:proofErr w:type="spellStart"/>
            <w:r>
              <w:t>zgłaszania</w:t>
            </w:r>
            <w:proofErr w:type="spellEnd"/>
            <w:r>
              <w:t xml:space="preserve"> </w:t>
            </w:r>
            <w:proofErr w:type="spellStart"/>
            <w:r>
              <w:t>nadużyć</w:t>
            </w:r>
            <w:proofErr w:type="spellEnd"/>
            <w:r>
              <w:t xml:space="preserve"> </w:t>
            </w:r>
            <w:proofErr w:type="spellStart"/>
            <w:r>
              <w:t>finansowych</w:t>
            </w:r>
            <w:proofErr w:type="spellEnd"/>
            <w:r>
              <w:t xml:space="preserve">. </w:t>
            </w:r>
            <w:proofErr w:type="spellStart"/>
            <w:r>
              <w:t>Podano</w:t>
            </w:r>
            <w:proofErr w:type="spellEnd"/>
            <w:r>
              <w:t xml:space="preserve"> tam m.in. </w:t>
            </w:r>
            <w:proofErr w:type="spellStart"/>
            <w:r>
              <w:t>adres</w:t>
            </w:r>
            <w:proofErr w:type="spellEnd"/>
            <w:r>
              <w:t xml:space="preserve"> e-mail </w:t>
            </w:r>
            <w:proofErr w:type="spellStart"/>
            <w:r>
              <w:t>skrzynki</w:t>
            </w:r>
            <w:proofErr w:type="spellEnd"/>
            <w:r>
              <w:t xml:space="preserve"> </w:t>
            </w:r>
            <w:proofErr w:type="spellStart"/>
            <w:r>
              <w:t>służącej</w:t>
            </w:r>
            <w:proofErr w:type="spellEnd"/>
            <w:r>
              <w:t xml:space="preserve"> w IZ do </w:t>
            </w:r>
            <w:proofErr w:type="spellStart"/>
            <w:r>
              <w:t>przyjmowania</w:t>
            </w:r>
            <w:proofErr w:type="spellEnd"/>
            <w:r>
              <w:t xml:space="preserve"> </w:t>
            </w:r>
            <w:proofErr w:type="spellStart"/>
            <w:r>
              <w:t>zgłoszeń</w:t>
            </w:r>
            <w:proofErr w:type="spellEnd"/>
            <w:r>
              <w:t>/</w:t>
            </w:r>
            <w:proofErr w:type="spellStart"/>
            <w:r>
              <w:t>sygnałów</w:t>
            </w:r>
            <w:proofErr w:type="spellEnd"/>
            <w:r>
              <w:t xml:space="preserve"> w </w:t>
            </w:r>
            <w:proofErr w:type="spellStart"/>
            <w:r>
              <w:t>zakresie</w:t>
            </w:r>
            <w:proofErr w:type="spellEnd"/>
            <w:r>
              <w:t xml:space="preserve"> </w:t>
            </w:r>
            <w:proofErr w:type="spellStart"/>
            <w:r>
              <w:t>nadużyć</w:t>
            </w:r>
            <w:proofErr w:type="spellEnd"/>
            <w:r>
              <w:t>.</w:t>
            </w:r>
          </w:p>
          <w:p w14:paraId="5A2AF286" w14:textId="77777777" w:rsidR="006B2EC1" w:rsidRDefault="00E82A60">
            <w:pPr>
              <w:spacing w:before="240" w:after="240"/>
              <w:jc w:val="left"/>
            </w:pPr>
            <w:r>
              <w:t xml:space="preserve">W 19 r. </w:t>
            </w:r>
            <w:proofErr w:type="spellStart"/>
            <w:r>
              <w:t>odbyło</w:t>
            </w:r>
            <w:proofErr w:type="spellEnd"/>
            <w:r>
              <w:t xml:space="preserve"> </w:t>
            </w:r>
            <w:proofErr w:type="spellStart"/>
            <w:r>
              <w:t>się</w:t>
            </w:r>
            <w:proofErr w:type="spellEnd"/>
            <w:r>
              <w:t xml:space="preserve"> 1 </w:t>
            </w:r>
            <w:proofErr w:type="spellStart"/>
            <w:r>
              <w:t>spotkanie</w:t>
            </w:r>
            <w:proofErr w:type="spellEnd"/>
            <w:r>
              <w:t xml:space="preserve"> </w:t>
            </w:r>
            <w:proofErr w:type="spellStart"/>
            <w:r>
              <w:t>Zespołu</w:t>
            </w:r>
            <w:proofErr w:type="spellEnd"/>
            <w:r>
              <w:t xml:space="preserve">. </w:t>
            </w:r>
            <w:proofErr w:type="spellStart"/>
            <w:r>
              <w:t>Zgodnie</w:t>
            </w:r>
            <w:proofErr w:type="spellEnd"/>
            <w:r>
              <w:t xml:space="preserve"> z </w:t>
            </w:r>
            <w:proofErr w:type="spellStart"/>
            <w:r>
              <w:t>Regulaminem</w:t>
            </w:r>
            <w:proofErr w:type="spellEnd"/>
            <w:r>
              <w:t xml:space="preserve"> w 19 r. </w:t>
            </w:r>
            <w:proofErr w:type="spellStart"/>
            <w:r>
              <w:t>przeprowadzono</w:t>
            </w:r>
            <w:proofErr w:type="spellEnd"/>
            <w:r>
              <w:t xml:space="preserve"> </w:t>
            </w:r>
            <w:proofErr w:type="spellStart"/>
            <w:r>
              <w:t>ocenę</w:t>
            </w:r>
            <w:proofErr w:type="spellEnd"/>
            <w:r>
              <w:t xml:space="preserve"> </w:t>
            </w:r>
            <w:proofErr w:type="spellStart"/>
            <w:r>
              <w:t>ryzyka</w:t>
            </w:r>
            <w:proofErr w:type="spellEnd"/>
            <w:r>
              <w:t xml:space="preserve"> </w:t>
            </w:r>
            <w:proofErr w:type="spellStart"/>
            <w:r>
              <w:t>wystąpienia</w:t>
            </w:r>
            <w:proofErr w:type="spellEnd"/>
            <w:r>
              <w:t xml:space="preserve"> </w:t>
            </w:r>
            <w:proofErr w:type="spellStart"/>
            <w:r>
              <w:t>nadużyć</w:t>
            </w:r>
            <w:proofErr w:type="spellEnd"/>
            <w:r>
              <w:t xml:space="preserve"> </w:t>
            </w:r>
            <w:proofErr w:type="spellStart"/>
            <w:r>
              <w:t>finansowych</w:t>
            </w:r>
            <w:proofErr w:type="spellEnd"/>
            <w:r>
              <w:t xml:space="preserve">. Na </w:t>
            </w:r>
            <w:proofErr w:type="spellStart"/>
            <w:r>
              <w:t>koniec</w:t>
            </w:r>
            <w:proofErr w:type="spellEnd"/>
            <w:r>
              <w:t xml:space="preserve"> 19 r. </w:t>
            </w:r>
            <w:proofErr w:type="spellStart"/>
            <w:r>
              <w:t>nie</w:t>
            </w:r>
            <w:proofErr w:type="spellEnd"/>
            <w:r>
              <w:t xml:space="preserve"> </w:t>
            </w:r>
            <w:proofErr w:type="spellStart"/>
            <w:r>
              <w:t>odnotowano</w:t>
            </w:r>
            <w:proofErr w:type="spellEnd"/>
            <w:r>
              <w:t xml:space="preserve"> </w:t>
            </w:r>
            <w:proofErr w:type="spellStart"/>
            <w:r>
              <w:t>sygnałów</w:t>
            </w:r>
            <w:proofErr w:type="spellEnd"/>
            <w:r>
              <w:t xml:space="preserve"> o </w:t>
            </w:r>
            <w:proofErr w:type="spellStart"/>
            <w:r>
              <w:t>wystąpieniu</w:t>
            </w:r>
            <w:proofErr w:type="spellEnd"/>
            <w:r>
              <w:t xml:space="preserve"> </w:t>
            </w:r>
            <w:proofErr w:type="spellStart"/>
            <w:r>
              <w:t>nadużyć</w:t>
            </w:r>
            <w:proofErr w:type="spellEnd"/>
            <w:r>
              <w:t>.</w:t>
            </w:r>
          </w:p>
          <w:p w14:paraId="3CA6EFAC" w14:textId="77777777" w:rsidR="006B2EC1" w:rsidRDefault="00E82A60">
            <w:pPr>
              <w:spacing w:before="240" w:after="240"/>
              <w:jc w:val="left"/>
            </w:pPr>
            <w:r>
              <w:t xml:space="preserve">W 19 r. </w:t>
            </w:r>
            <w:proofErr w:type="spellStart"/>
            <w:r>
              <w:t>nie</w:t>
            </w:r>
            <w:proofErr w:type="spellEnd"/>
            <w:r>
              <w:t xml:space="preserve"> </w:t>
            </w:r>
            <w:proofErr w:type="spellStart"/>
            <w:r>
              <w:t>wystąpiły</w:t>
            </w:r>
            <w:proofErr w:type="spellEnd"/>
            <w:r>
              <w:t xml:space="preserve"> </w:t>
            </w:r>
            <w:proofErr w:type="spellStart"/>
            <w:r>
              <w:t>korekty</w:t>
            </w:r>
            <w:proofErr w:type="spellEnd"/>
            <w:r>
              <w:t xml:space="preserve"> </w:t>
            </w:r>
            <w:proofErr w:type="spellStart"/>
            <w:r>
              <w:t>systemowe</w:t>
            </w:r>
            <w:proofErr w:type="spellEnd"/>
            <w:r>
              <w:t>.</w:t>
            </w:r>
          </w:p>
          <w:p w14:paraId="6B457006" w14:textId="77777777" w:rsidR="006B2EC1" w:rsidRDefault="00E82A60">
            <w:pPr>
              <w:spacing w:before="240" w:after="240"/>
              <w:jc w:val="left"/>
            </w:pPr>
            <w:r>
              <w:t xml:space="preserve">Na </w:t>
            </w:r>
            <w:proofErr w:type="spellStart"/>
            <w:r>
              <w:t>koniec</w:t>
            </w:r>
            <w:proofErr w:type="spellEnd"/>
            <w:r>
              <w:t xml:space="preserve"> 19 r. w SL2014 </w:t>
            </w:r>
            <w:proofErr w:type="spellStart"/>
            <w:r>
              <w:t>zarejestrowanych</w:t>
            </w:r>
            <w:proofErr w:type="spellEnd"/>
            <w:r>
              <w:t xml:space="preserve"> </w:t>
            </w:r>
            <w:proofErr w:type="spellStart"/>
            <w:r>
              <w:t>było</w:t>
            </w:r>
            <w:proofErr w:type="spellEnd"/>
            <w:r>
              <w:t xml:space="preserve"> 2 911 </w:t>
            </w:r>
            <w:proofErr w:type="spellStart"/>
            <w:r>
              <w:t>kontroli</w:t>
            </w:r>
            <w:proofErr w:type="spellEnd"/>
            <w:r>
              <w:t xml:space="preserve"> (1 297-EFRR,1 343-EFS, 271-PT),w </w:t>
            </w:r>
            <w:proofErr w:type="spellStart"/>
            <w:r>
              <w:t>tym</w:t>
            </w:r>
            <w:proofErr w:type="spellEnd"/>
            <w:r>
              <w:t xml:space="preserve"> 129 </w:t>
            </w:r>
            <w:proofErr w:type="spellStart"/>
            <w:r>
              <w:t>audytów</w:t>
            </w:r>
            <w:proofErr w:type="spellEnd"/>
            <w:r>
              <w:t xml:space="preserve"> </w:t>
            </w:r>
            <w:proofErr w:type="spellStart"/>
            <w:r>
              <w:t>operacji</w:t>
            </w:r>
            <w:proofErr w:type="spellEnd"/>
            <w:r>
              <w:t xml:space="preserve"> (IA KAS </w:t>
            </w:r>
            <w:proofErr w:type="spellStart"/>
            <w:r>
              <w:t>oraz</w:t>
            </w:r>
            <w:proofErr w:type="spellEnd"/>
            <w:r>
              <w:t xml:space="preserve"> IA MF)/50-EFRR, 71-EFS, 8-PT.</w:t>
            </w:r>
          </w:p>
          <w:p w14:paraId="61E78E83" w14:textId="77777777" w:rsidR="006B2EC1" w:rsidRDefault="00E82A60">
            <w:pPr>
              <w:spacing w:before="240" w:after="240"/>
              <w:jc w:val="left"/>
            </w:pPr>
            <w:proofErr w:type="spellStart"/>
            <w:r>
              <w:t>Wartość</w:t>
            </w:r>
            <w:proofErr w:type="spellEnd"/>
            <w:r>
              <w:t xml:space="preserve"> </w:t>
            </w:r>
            <w:proofErr w:type="spellStart"/>
            <w:r>
              <w:t>korekt</w:t>
            </w:r>
            <w:proofErr w:type="spellEnd"/>
            <w:r>
              <w:t xml:space="preserve"> </w:t>
            </w:r>
            <w:proofErr w:type="spellStart"/>
            <w:r>
              <w:t>finansowych</w:t>
            </w:r>
            <w:proofErr w:type="spellEnd"/>
            <w:r>
              <w:t xml:space="preserve"> </w:t>
            </w:r>
            <w:proofErr w:type="spellStart"/>
            <w:r>
              <w:t>dla</w:t>
            </w:r>
            <w:proofErr w:type="spellEnd"/>
            <w:r>
              <w:t xml:space="preserve"> </w:t>
            </w:r>
            <w:proofErr w:type="spellStart"/>
            <w:r>
              <w:t>wszystkich</w:t>
            </w:r>
            <w:proofErr w:type="spellEnd"/>
            <w:r>
              <w:t xml:space="preserve"> w/w </w:t>
            </w:r>
            <w:proofErr w:type="spellStart"/>
            <w:r>
              <w:t>kontroli</w:t>
            </w:r>
            <w:proofErr w:type="spellEnd"/>
            <w:r>
              <w:t xml:space="preserve"> </w:t>
            </w:r>
            <w:proofErr w:type="spellStart"/>
            <w:r>
              <w:t>narastająco</w:t>
            </w:r>
            <w:proofErr w:type="spellEnd"/>
            <w:r>
              <w:t xml:space="preserve"> </w:t>
            </w:r>
            <w:proofErr w:type="spellStart"/>
            <w:r>
              <w:t>wyniosła</w:t>
            </w:r>
            <w:proofErr w:type="spellEnd"/>
            <w:r>
              <w:t xml:space="preserve"> 3,86 </w:t>
            </w:r>
            <w:proofErr w:type="spellStart"/>
            <w:r>
              <w:t>mln</w:t>
            </w:r>
            <w:proofErr w:type="spellEnd"/>
            <w:r>
              <w:t xml:space="preserve"> €.</w:t>
            </w:r>
          </w:p>
          <w:p w14:paraId="0B532D02" w14:textId="77777777" w:rsidR="006B2EC1" w:rsidRDefault="00E82A60">
            <w:pPr>
              <w:spacing w:before="240" w:after="240"/>
              <w:jc w:val="left"/>
            </w:pPr>
            <w:r>
              <w:t xml:space="preserve">W 19 r. </w:t>
            </w:r>
            <w:proofErr w:type="spellStart"/>
            <w:r>
              <w:t>rozpoczęto</w:t>
            </w:r>
            <w:proofErr w:type="spellEnd"/>
            <w:r>
              <w:t xml:space="preserve"> 1 121 </w:t>
            </w:r>
            <w:proofErr w:type="spellStart"/>
            <w:r>
              <w:t>kontrole</w:t>
            </w:r>
            <w:proofErr w:type="spellEnd"/>
            <w:r>
              <w:t xml:space="preserve"> (565-EFRR, 488-EFS, 68-PT), </w:t>
            </w:r>
            <w:proofErr w:type="spellStart"/>
            <w:r>
              <w:t>zakończonych</w:t>
            </w:r>
            <w:proofErr w:type="spellEnd"/>
            <w:r>
              <w:t xml:space="preserve"> </w:t>
            </w:r>
            <w:proofErr w:type="spellStart"/>
            <w:r>
              <w:t>zostało</w:t>
            </w:r>
            <w:proofErr w:type="spellEnd"/>
            <w:r>
              <w:t xml:space="preserve"> 1 130 </w:t>
            </w:r>
            <w:proofErr w:type="spellStart"/>
            <w:r>
              <w:t>kontroli</w:t>
            </w:r>
            <w:proofErr w:type="spellEnd"/>
            <w:r>
              <w:t xml:space="preserve"> (569-EFRR, 493-EFS, 68-PT).</w:t>
            </w:r>
          </w:p>
          <w:p w14:paraId="10F24B0B" w14:textId="77777777" w:rsidR="006B2EC1" w:rsidRDefault="00E82A60">
            <w:pPr>
              <w:spacing w:before="240" w:after="240"/>
              <w:jc w:val="left"/>
            </w:pPr>
            <w:proofErr w:type="spellStart"/>
            <w:r>
              <w:t>Narastająco</w:t>
            </w:r>
            <w:proofErr w:type="spellEnd"/>
            <w:r>
              <w:t xml:space="preserve"> </w:t>
            </w:r>
            <w:proofErr w:type="spellStart"/>
            <w:r>
              <w:t>przeprowadzono</w:t>
            </w:r>
            <w:proofErr w:type="spellEnd"/>
            <w:r>
              <w:t xml:space="preserve"> 21 </w:t>
            </w:r>
            <w:proofErr w:type="spellStart"/>
            <w:r>
              <w:t>kontroli</w:t>
            </w:r>
            <w:proofErr w:type="spellEnd"/>
            <w:r>
              <w:t xml:space="preserve"> </w:t>
            </w:r>
            <w:proofErr w:type="spellStart"/>
            <w:r>
              <w:t>trwałości</w:t>
            </w:r>
            <w:proofErr w:type="spellEnd"/>
            <w:r>
              <w:t xml:space="preserve"> (1-EFRR, 19-EFS), w </w:t>
            </w:r>
            <w:proofErr w:type="spellStart"/>
            <w:r>
              <w:t>tym</w:t>
            </w:r>
            <w:proofErr w:type="spellEnd"/>
            <w:r>
              <w:t xml:space="preserve"> 13 </w:t>
            </w:r>
            <w:proofErr w:type="spellStart"/>
            <w:r>
              <w:t>rozpoczęto</w:t>
            </w:r>
            <w:proofErr w:type="spellEnd"/>
            <w:r>
              <w:t xml:space="preserve"> w 19 r. (1-EFRR, 12-EFS)</w:t>
            </w:r>
          </w:p>
          <w:p w14:paraId="3A35AA01" w14:textId="77777777" w:rsidR="006B2EC1" w:rsidRDefault="00E82A60">
            <w:pPr>
              <w:spacing w:before="240" w:after="240"/>
              <w:jc w:val="left"/>
            </w:pPr>
            <w:r>
              <w:t xml:space="preserve">W 2018 r. </w:t>
            </w:r>
            <w:proofErr w:type="spellStart"/>
            <w:r>
              <w:t>cele</w:t>
            </w:r>
            <w:proofErr w:type="spellEnd"/>
            <w:r>
              <w:t xml:space="preserve"> </w:t>
            </w:r>
            <w:proofErr w:type="spellStart"/>
            <w:r>
              <w:t>pośrednie</w:t>
            </w:r>
            <w:proofErr w:type="spellEnd"/>
            <w:r>
              <w:t xml:space="preserve"> Ram </w:t>
            </w:r>
            <w:proofErr w:type="spellStart"/>
            <w:r>
              <w:t>Wykonania</w:t>
            </w:r>
            <w:proofErr w:type="spellEnd"/>
            <w:r>
              <w:t xml:space="preserve"> </w:t>
            </w:r>
            <w:proofErr w:type="spellStart"/>
            <w:r>
              <w:t>dla</w:t>
            </w:r>
            <w:proofErr w:type="spellEnd"/>
            <w:r>
              <w:t xml:space="preserve"> </w:t>
            </w:r>
            <w:proofErr w:type="spellStart"/>
            <w:r>
              <w:t>wszystkich</w:t>
            </w:r>
            <w:proofErr w:type="spellEnd"/>
            <w:r>
              <w:t xml:space="preserve"> OP </w:t>
            </w:r>
            <w:proofErr w:type="spellStart"/>
            <w:r>
              <w:t>zostały</w:t>
            </w:r>
            <w:proofErr w:type="spellEnd"/>
            <w:r>
              <w:t xml:space="preserve"> </w:t>
            </w:r>
            <w:proofErr w:type="spellStart"/>
            <w:r>
              <w:t>osiągnięte</w:t>
            </w:r>
            <w:proofErr w:type="spellEnd"/>
            <w:r>
              <w:t xml:space="preserve">. 16 </w:t>
            </w:r>
            <w:proofErr w:type="spellStart"/>
            <w:r>
              <w:t>sierpnia</w:t>
            </w:r>
            <w:proofErr w:type="spellEnd"/>
            <w:r>
              <w:t xml:space="preserve"> 2019 r. KE  </w:t>
            </w:r>
            <w:proofErr w:type="spellStart"/>
            <w:r>
              <w:t>Decyzją</w:t>
            </w:r>
            <w:proofErr w:type="spellEnd"/>
            <w:r>
              <w:t xml:space="preserve"> </w:t>
            </w:r>
            <w:proofErr w:type="spellStart"/>
            <w:r>
              <w:t>wykonawczą</w:t>
            </w:r>
            <w:proofErr w:type="spellEnd"/>
            <w:r>
              <w:t xml:space="preserve"> C(2019)6164 </w:t>
            </w:r>
            <w:proofErr w:type="spellStart"/>
            <w:r>
              <w:t>ostatecznie</w:t>
            </w:r>
            <w:proofErr w:type="spellEnd"/>
            <w:r>
              <w:t xml:space="preserve"> </w:t>
            </w:r>
            <w:proofErr w:type="spellStart"/>
            <w:r>
              <w:t>przyznała</w:t>
            </w:r>
            <w:proofErr w:type="spellEnd"/>
            <w:r>
              <w:t xml:space="preserve"> RPOWŚ </w:t>
            </w:r>
            <w:proofErr w:type="spellStart"/>
            <w:r>
              <w:t>środki</w:t>
            </w:r>
            <w:proofErr w:type="spellEnd"/>
            <w:r>
              <w:t xml:space="preserve"> </w:t>
            </w:r>
            <w:proofErr w:type="spellStart"/>
            <w:r>
              <w:t>rezerw</w:t>
            </w:r>
            <w:proofErr w:type="spellEnd"/>
            <w:r>
              <w:t xml:space="preserve"> </w:t>
            </w:r>
            <w:proofErr w:type="spellStart"/>
            <w:r>
              <w:t>wykonania</w:t>
            </w:r>
            <w:proofErr w:type="spellEnd"/>
            <w:r>
              <w:t>.</w:t>
            </w:r>
          </w:p>
          <w:p w14:paraId="37C7CD5E" w14:textId="77777777" w:rsidR="006B2EC1" w:rsidRDefault="00E82A60">
            <w:pPr>
              <w:spacing w:before="240" w:after="240"/>
              <w:jc w:val="left"/>
            </w:pPr>
            <w:proofErr w:type="spellStart"/>
            <w:r>
              <w:rPr>
                <w:b/>
                <w:bCs/>
              </w:rPr>
              <w:t>Instrumenty</w:t>
            </w:r>
            <w:proofErr w:type="spellEnd"/>
            <w:r>
              <w:rPr>
                <w:b/>
                <w:bCs/>
              </w:rPr>
              <w:t xml:space="preserve"> </w:t>
            </w:r>
            <w:proofErr w:type="spellStart"/>
            <w:r>
              <w:rPr>
                <w:b/>
                <w:bCs/>
              </w:rPr>
              <w:t>Finansowe</w:t>
            </w:r>
            <w:proofErr w:type="spellEnd"/>
          </w:p>
          <w:p w14:paraId="071E634C" w14:textId="77777777" w:rsidR="006B2EC1" w:rsidRDefault="00E82A60">
            <w:pPr>
              <w:spacing w:before="240" w:after="240"/>
              <w:jc w:val="left"/>
            </w:pPr>
            <w:r>
              <w:t xml:space="preserve">IF </w:t>
            </w:r>
            <w:proofErr w:type="spellStart"/>
            <w:r>
              <w:t>wdrażane</w:t>
            </w:r>
            <w:proofErr w:type="spellEnd"/>
            <w:r>
              <w:t xml:space="preserve"> </w:t>
            </w:r>
            <w:proofErr w:type="spellStart"/>
            <w:r>
              <w:t>są</w:t>
            </w:r>
            <w:proofErr w:type="spellEnd"/>
            <w:r>
              <w:t xml:space="preserve"> w OP 2 (EFRR) i OP 10 (EFS) z </w:t>
            </w:r>
            <w:proofErr w:type="spellStart"/>
            <w:r>
              <w:t>wykorzystaniem</w:t>
            </w:r>
            <w:proofErr w:type="spellEnd"/>
            <w:r>
              <w:t xml:space="preserve"> </w:t>
            </w:r>
            <w:proofErr w:type="spellStart"/>
            <w:r>
              <w:t>modelu</w:t>
            </w:r>
            <w:proofErr w:type="spellEnd"/>
            <w:r>
              <w:t xml:space="preserve"> Funduszu </w:t>
            </w:r>
            <w:proofErr w:type="spellStart"/>
            <w:r>
              <w:t>Funduszy</w:t>
            </w:r>
            <w:proofErr w:type="spellEnd"/>
            <w:r>
              <w:t xml:space="preserve">. </w:t>
            </w:r>
            <w:proofErr w:type="spellStart"/>
            <w:r>
              <w:t>Wsparcie</w:t>
            </w:r>
            <w:proofErr w:type="spellEnd"/>
            <w:r>
              <w:t xml:space="preserve"> </w:t>
            </w:r>
            <w:proofErr w:type="spellStart"/>
            <w:r>
              <w:t>ostatecznych</w:t>
            </w:r>
            <w:proofErr w:type="spellEnd"/>
            <w:r>
              <w:t xml:space="preserve"> </w:t>
            </w:r>
            <w:proofErr w:type="spellStart"/>
            <w:r>
              <w:t>odbiorców</w:t>
            </w:r>
            <w:proofErr w:type="spellEnd"/>
            <w:r>
              <w:t xml:space="preserve"> </w:t>
            </w:r>
            <w:proofErr w:type="spellStart"/>
            <w:r>
              <w:t>odbywa</w:t>
            </w:r>
            <w:proofErr w:type="spellEnd"/>
            <w:r>
              <w:t xml:space="preserve"> </w:t>
            </w:r>
            <w:proofErr w:type="spellStart"/>
            <w:r>
              <w:t>się</w:t>
            </w:r>
            <w:proofErr w:type="spellEnd"/>
            <w:r>
              <w:t xml:space="preserve"> za </w:t>
            </w:r>
            <w:proofErr w:type="spellStart"/>
            <w:r>
              <w:t>pośrednictwem</w:t>
            </w:r>
            <w:proofErr w:type="spellEnd"/>
            <w:r>
              <w:t xml:space="preserve"> </w:t>
            </w:r>
            <w:proofErr w:type="spellStart"/>
            <w:r>
              <w:t>pośredników</w:t>
            </w:r>
            <w:proofErr w:type="spellEnd"/>
            <w:r>
              <w:t xml:space="preserve"> </w:t>
            </w:r>
            <w:proofErr w:type="spellStart"/>
            <w:r>
              <w:t>wybranych</w:t>
            </w:r>
            <w:proofErr w:type="spellEnd"/>
            <w:r>
              <w:t xml:space="preserve"> </w:t>
            </w:r>
            <w:proofErr w:type="spellStart"/>
            <w:r>
              <w:t>przez</w:t>
            </w:r>
            <w:proofErr w:type="spellEnd"/>
            <w:r>
              <w:t xml:space="preserve"> </w:t>
            </w:r>
            <w:proofErr w:type="spellStart"/>
            <w:r>
              <w:t>Menedżera</w:t>
            </w:r>
            <w:proofErr w:type="spellEnd"/>
            <w:r>
              <w:t xml:space="preserve"> Funduszu </w:t>
            </w:r>
            <w:proofErr w:type="spellStart"/>
            <w:r>
              <w:t>Funduszy</w:t>
            </w:r>
            <w:proofErr w:type="spellEnd"/>
            <w:r>
              <w:t xml:space="preserve"> (BGK). </w:t>
            </w:r>
            <w:proofErr w:type="spellStart"/>
            <w:r>
              <w:t>Dla</w:t>
            </w:r>
            <w:proofErr w:type="spellEnd"/>
            <w:r>
              <w:t xml:space="preserve"> </w:t>
            </w:r>
            <w:proofErr w:type="spellStart"/>
            <w:r>
              <w:t>realizacji</w:t>
            </w:r>
            <w:proofErr w:type="spellEnd"/>
            <w:r>
              <w:t xml:space="preserve"> </w:t>
            </w:r>
            <w:proofErr w:type="spellStart"/>
            <w:r>
              <w:t>wsparcia</w:t>
            </w:r>
            <w:proofErr w:type="spellEnd"/>
            <w:r>
              <w:t xml:space="preserve"> w OP 2 BGK </w:t>
            </w:r>
            <w:proofErr w:type="spellStart"/>
            <w:r>
              <w:t>wybrał</w:t>
            </w:r>
            <w:proofErr w:type="spellEnd"/>
            <w:r>
              <w:t xml:space="preserve"> 5 </w:t>
            </w:r>
            <w:proofErr w:type="spellStart"/>
            <w:r>
              <w:t>pośredników</w:t>
            </w:r>
            <w:proofErr w:type="spellEnd"/>
            <w:r>
              <w:t xml:space="preserve"> </w:t>
            </w:r>
            <w:proofErr w:type="spellStart"/>
            <w:r>
              <w:t>dla</w:t>
            </w:r>
            <w:proofErr w:type="spellEnd"/>
            <w:r>
              <w:t xml:space="preserve"> OP 10-1.</w:t>
            </w:r>
          </w:p>
          <w:p w14:paraId="33D40D69" w14:textId="77777777" w:rsidR="006B2EC1" w:rsidRDefault="00E82A60">
            <w:pPr>
              <w:spacing w:before="240" w:after="240"/>
              <w:jc w:val="left"/>
            </w:pPr>
            <w:r>
              <w:t xml:space="preserve">W 19 r. </w:t>
            </w:r>
            <w:proofErr w:type="spellStart"/>
            <w:r>
              <w:t>wystąpiły</w:t>
            </w:r>
            <w:proofErr w:type="spellEnd"/>
            <w:r>
              <w:t xml:space="preserve"> </w:t>
            </w:r>
            <w:proofErr w:type="spellStart"/>
            <w:r>
              <w:t>problemy</w:t>
            </w:r>
            <w:proofErr w:type="spellEnd"/>
            <w:r>
              <w:t xml:space="preserve"> z </w:t>
            </w:r>
            <w:proofErr w:type="spellStart"/>
            <w:r>
              <w:t>uruchomieniem</w:t>
            </w:r>
            <w:proofErr w:type="spellEnd"/>
            <w:r>
              <w:t xml:space="preserve"> </w:t>
            </w:r>
            <w:proofErr w:type="spellStart"/>
            <w:r>
              <w:t>poręczeń</w:t>
            </w:r>
            <w:proofErr w:type="spellEnd"/>
            <w:r>
              <w:t xml:space="preserve"> (</w:t>
            </w:r>
            <w:proofErr w:type="spellStart"/>
            <w:r>
              <w:t>nie</w:t>
            </w:r>
            <w:proofErr w:type="spellEnd"/>
            <w:r>
              <w:t xml:space="preserve"> </w:t>
            </w:r>
            <w:proofErr w:type="spellStart"/>
            <w:r>
              <w:t>wyłoniono</w:t>
            </w:r>
            <w:proofErr w:type="spellEnd"/>
            <w:r>
              <w:t xml:space="preserve"> </w:t>
            </w:r>
            <w:proofErr w:type="spellStart"/>
            <w:r>
              <w:t>pośredników</w:t>
            </w:r>
            <w:proofErr w:type="spellEnd"/>
            <w:r>
              <w:t xml:space="preserve">). </w:t>
            </w:r>
            <w:proofErr w:type="spellStart"/>
            <w:r>
              <w:t>Środki</w:t>
            </w:r>
            <w:proofErr w:type="spellEnd"/>
            <w:r>
              <w:t xml:space="preserve"> </w:t>
            </w:r>
            <w:proofErr w:type="spellStart"/>
            <w:r>
              <w:t>dedykowane</w:t>
            </w:r>
            <w:proofErr w:type="spellEnd"/>
            <w:r>
              <w:t xml:space="preserve"> </w:t>
            </w:r>
            <w:proofErr w:type="spellStart"/>
            <w:r>
              <w:t>poręczeniom</w:t>
            </w:r>
            <w:proofErr w:type="spellEnd"/>
            <w:r>
              <w:t xml:space="preserve"> w RPOWŚ (8.0) </w:t>
            </w:r>
            <w:proofErr w:type="spellStart"/>
            <w:r>
              <w:t>realokowano</w:t>
            </w:r>
            <w:proofErr w:type="spellEnd"/>
            <w:r>
              <w:t xml:space="preserve"> </w:t>
            </w:r>
            <w:proofErr w:type="spellStart"/>
            <w:r>
              <w:t>częściowo</w:t>
            </w:r>
            <w:proofErr w:type="spellEnd"/>
            <w:r>
              <w:t xml:space="preserve"> </w:t>
            </w:r>
            <w:proofErr w:type="spellStart"/>
            <w:r>
              <w:t>na</w:t>
            </w:r>
            <w:proofErr w:type="spellEnd"/>
            <w:r>
              <w:t xml:space="preserve"> </w:t>
            </w:r>
            <w:proofErr w:type="spellStart"/>
            <w:r>
              <w:t>pożyczki</w:t>
            </w:r>
            <w:proofErr w:type="spellEnd"/>
            <w:r>
              <w:t xml:space="preserve"> i </w:t>
            </w:r>
            <w:proofErr w:type="spellStart"/>
            <w:r>
              <w:t>wsparcie</w:t>
            </w:r>
            <w:proofErr w:type="spellEnd"/>
            <w:r>
              <w:t xml:space="preserve"> </w:t>
            </w:r>
            <w:proofErr w:type="spellStart"/>
            <w:r>
              <w:lastRenderedPageBreak/>
              <w:t>dotacyjne</w:t>
            </w:r>
            <w:proofErr w:type="spellEnd"/>
            <w:r>
              <w:t xml:space="preserve"> </w:t>
            </w:r>
            <w:proofErr w:type="spellStart"/>
            <w:r>
              <w:t>sektora</w:t>
            </w:r>
            <w:proofErr w:type="spellEnd"/>
            <w:r>
              <w:t xml:space="preserve"> MŚP (PI3c). W </w:t>
            </w:r>
            <w:proofErr w:type="spellStart"/>
            <w:r>
              <w:t>związku</w:t>
            </w:r>
            <w:proofErr w:type="spellEnd"/>
            <w:r>
              <w:t xml:space="preserve"> z </w:t>
            </w:r>
            <w:proofErr w:type="spellStart"/>
            <w:r>
              <w:t>wystąpieniem</w:t>
            </w:r>
            <w:proofErr w:type="spellEnd"/>
            <w:r>
              <w:t xml:space="preserve"> </w:t>
            </w:r>
            <w:proofErr w:type="spellStart"/>
            <w:r>
              <w:t>kryzysu</w:t>
            </w:r>
            <w:proofErr w:type="spellEnd"/>
            <w:r>
              <w:t xml:space="preserve"> </w:t>
            </w:r>
            <w:proofErr w:type="spellStart"/>
            <w:r>
              <w:t>wywołanego</w:t>
            </w:r>
            <w:proofErr w:type="spellEnd"/>
            <w:r>
              <w:t xml:space="preserve"> COVID-19 </w:t>
            </w:r>
            <w:proofErr w:type="spellStart"/>
            <w:r>
              <w:t>na</w:t>
            </w:r>
            <w:proofErr w:type="spellEnd"/>
            <w:r>
              <w:t xml:space="preserve"> </w:t>
            </w:r>
            <w:proofErr w:type="spellStart"/>
            <w:r>
              <w:t>realizację</w:t>
            </w:r>
            <w:proofErr w:type="spellEnd"/>
            <w:r>
              <w:t xml:space="preserve"> IF (PI3c) </w:t>
            </w:r>
            <w:proofErr w:type="spellStart"/>
            <w:r>
              <w:t>realokowane</w:t>
            </w:r>
            <w:proofErr w:type="spellEnd"/>
            <w:r>
              <w:t xml:space="preserve"> </w:t>
            </w:r>
            <w:proofErr w:type="spellStart"/>
            <w:r>
              <w:t>zostaną</w:t>
            </w:r>
            <w:proofErr w:type="spellEnd"/>
            <w:r>
              <w:t xml:space="preserve"> </w:t>
            </w:r>
            <w:proofErr w:type="spellStart"/>
            <w:r>
              <w:t>dodatkowe</w:t>
            </w:r>
            <w:proofErr w:type="spellEnd"/>
            <w:r>
              <w:t xml:space="preserve"> </w:t>
            </w:r>
            <w:proofErr w:type="spellStart"/>
            <w:r>
              <w:t>środki</w:t>
            </w:r>
            <w:proofErr w:type="spellEnd"/>
            <w:r>
              <w:t xml:space="preserve"> w </w:t>
            </w:r>
            <w:proofErr w:type="spellStart"/>
            <w:r>
              <w:t>wysokości</w:t>
            </w:r>
            <w:proofErr w:type="spellEnd"/>
            <w:r>
              <w:t xml:space="preserve"> 17,2 </w:t>
            </w:r>
            <w:proofErr w:type="spellStart"/>
            <w:r>
              <w:t>mln</w:t>
            </w:r>
            <w:proofErr w:type="spellEnd"/>
            <w:r>
              <w:t xml:space="preserve"> EUR, co </w:t>
            </w:r>
            <w:proofErr w:type="spellStart"/>
            <w:r>
              <w:t>pozwoli</w:t>
            </w:r>
            <w:proofErr w:type="spellEnd"/>
            <w:r>
              <w:t xml:space="preserve"> </w:t>
            </w:r>
            <w:proofErr w:type="spellStart"/>
            <w:r>
              <w:t>na</w:t>
            </w:r>
            <w:proofErr w:type="spellEnd"/>
            <w:r>
              <w:t xml:space="preserve"> </w:t>
            </w:r>
            <w:proofErr w:type="spellStart"/>
            <w:r>
              <w:t>wprowadzenie</w:t>
            </w:r>
            <w:proofErr w:type="spellEnd"/>
            <w:r>
              <w:t xml:space="preserve"> </w:t>
            </w:r>
            <w:proofErr w:type="spellStart"/>
            <w:r>
              <w:t>bardziej</w:t>
            </w:r>
            <w:proofErr w:type="spellEnd"/>
            <w:r>
              <w:t xml:space="preserve"> </w:t>
            </w:r>
            <w:proofErr w:type="spellStart"/>
            <w:r>
              <w:t>elastycznych</w:t>
            </w:r>
            <w:proofErr w:type="spellEnd"/>
            <w:r>
              <w:t xml:space="preserve"> </w:t>
            </w:r>
            <w:proofErr w:type="spellStart"/>
            <w:r>
              <w:t>mechanizmów</w:t>
            </w:r>
            <w:proofErr w:type="spellEnd"/>
            <w:r>
              <w:t xml:space="preserve"> </w:t>
            </w:r>
            <w:proofErr w:type="spellStart"/>
            <w:r>
              <w:t>wsparcia</w:t>
            </w:r>
            <w:proofErr w:type="spellEnd"/>
            <w:r>
              <w:t xml:space="preserve"> </w:t>
            </w:r>
            <w:proofErr w:type="spellStart"/>
            <w:r>
              <w:t>dla</w:t>
            </w:r>
            <w:proofErr w:type="spellEnd"/>
            <w:r>
              <w:t xml:space="preserve"> </w:t>
            </w:r>
            <w:proofErr w:type="spellStart"/>
            <w:r>
              <w:t>przedsiębiorców</w:t>
            </w:r>
            <w:proofErr w:type="spellEnd"/>
            <w:r>
              <w:t xml:space="preserve"> i </w:t>
            </w:r>
            <w:proofErr w:type="spellStart"/>
            <w:r>
              <w:t>pośredników</w:t>
            </w:r>
            <w:proofErr w:type="spellEnd"/>
            <w:r>
              <w:t>, m.in.:</w:t>
            </w:r>
          </w:p>
          <w:p w14:paraId="691354D3" w14:textId="77777777" w:rsidR="006B2EC1" w:rsidRDefault="00E82A60" w:rsidP="00E82A60">
            <w:pPr>
              <w:numPr>
                <w:ilvl w:val="0"/>
                <w:numId w:val="39"/>
              </w:numPr>
              <w:spacing w:before="240" w:after="0"/>
              <w:ind w:hanging="210"/>
              <w:jc w:val="left"/>
            </w:pPr>
            <w:proofErr w:type="spellStart"/>
            <w:r>
              <w:t>brak</w:t>
            </w:r>
            <w:proofErr w:type="spellEnd"/>
            <w:r>
              <w:t xml:space="preserve"> </w:t>
            </w:r>
            <w:proofErr w:type="spellStart"/>
            <w:r>
              <w:t>konieczności</w:t>
            </w:r>
            <w:proofErr w:type="spellEnd"/>
            <w:r>
              <w:t xml:space="preserve"> </w:t>
            </w:r>
            <w:proofErr w:type="spellStart"/>
            <w:r>
              <w:t>wnoszenia</w:t>
            </w:r>
            <w:proofErr w:type="spellEnd"/>
            <w:r>
              <w:t xml:space="preserve"> </w:t>
            </w:r>
            <w:proofErr w:type="spellStart"/>
            <w:r>
              <w:t>wkładu</w:t>
            </w:r>
            <w:proofErr w:type="spellEnd"/>
            <w:r>
              <w:t xml:space="preserve"> </w:t>
            </w:r>
            <w:proofErr w:type="spellStart"/>
            <w:r>
              <w:t>własnego</w:t>
            </w:r>
            <w:proofErr w:type="spellEnd"/>
            <w:r>
              <w:t xml:space="preserve"> </w:t>
            </w:r>
            <w:proofErr w:type="spellStart"/>
            <w:r>
              <w:t>pośrednika</w:t>
            </w:r>
            <w:proofErr w:type="spellEnd"/>
            <w:r>
              <w:t>/</w:t>
            </w:r>
            <w:proofErr w:type="spellStart"/>
            <w:r>
              <w:t>przedsiębiorcy</w:t>
            </w:r>
            <w:proofErr w:type="spellEnd"/>
            <w:r>
              <w:t xml:space="preserve"> do </w:t>
            </w:r>
            <w:proofErr w:type="spellStart"/>
            <w:r>
              <w:t>pożyczek</w:t>
            </w:r>
            <w:proofErr w:type="spellEnd"/>
            <w:r>
              <w:t xml:space="preserve"> </w:t>
            </w:r>
            <w:proofErr w:type="spellStart"/>
            <w:r>
              <w:t>udzielanych</w:t>
            </w:r>
            <w:proofErr w:type="spellEnd"/>
            <w:r>
              <w:t xml:space="preserve"> w </w:t>
            </w:r>
            <w:proofErr w:type="spellStart"/>
            <w:r>
              <w:t>okresie</w:t>
            </w:r>
            <w:proofErr w:type="spellEnd"/>
            <w:r>
              <w:t xml:space="preserve"> 1 luty-31 </w:t>
            </w:r>
            <w:proofErr w:type="spellStart"/>
            <w:r>
              <w:t>grudnia</w:t>
            </w:r>
            <w:proofErr w:type="spellEnd"/>
            <w:r>
              <w:t xml:space="preserve"> 20 r. w </w:t>
            </w:r>
            <w:proofErr w:type="spellStart"/>
            <w:r>
              <w:t>związku</w:t>
            </w:r>
            <w:proofErr w:type="spellEnd"/>
            <w:r>
              <w:t xml:space="preserve"> z </w:t>
            </w:r>
            <w:proofErr w:type="spellStart"/>
            <w:r>
              <w:t>koronawirusem</w:t>
            </w:r>
            <w:proofErr w:type="spellEnd"/>
          </w:p>
          <w:p w14:paraId="25AA2122" w14:textId="77777777" w:rsidR="006B2EC1" w:rsidRDefault="00E82A60" w:rsidP="00E82A60">
            <w:pPr>
              <w:numPr>
                <w:ilvl w:val="0"/>
                <w:numId w:val="39"/>
              </w:numPr>
              <w:spacing w:before="0" w:after="0"/>
              <w:ind w:hanging="210"/>
              <w:jc w:val="left"/>
            </w:pPr>
            <w:proofErr w:type="spellStart"/>
            <w:r>
              <w:t>wydłużenie</w:t>
            </w:r>
            <w:proofErr w:type="spellEnd"/>
            <w:r>
              <w:t xml:space="preserve"> </w:t>
            </w:r>
            <w:proofErr w:type="spellStart"/>
            <w:r>
              <w:t>spłaty</w:t>
            </w:r>
            <w:proofErr w:type="spellEnd"/>
            <w:r>
              <w:t xml:space="preserve"> </w:t>
            </w:r>
            <w:proofErr w:type="spellStart"/>
            <w:r>
              <w:t>pożyczki</w:t>
            </w:r>
            <w:proofErr w:type="spellEnd"/>
            <w:r>
              <w:t xml:space="preserve"> z 60 do 72 m-cy</w:t>
            </w:r>
          </w:p>
          <w:p w14:paraId="0AC5E035" w14:textId="77777777" w:rsidR="006B2EC1" w:rsidRDefault="00E82A60" w:rsidP="00E82A60">
            <w:pPr>
              <w:numPr>
                <w:ilvl w:val="0"/>
                <w:numId w:val="39"/>
              </w:numPr>
              <w:spacing w:before="0" w:after="0"/>
              <w:ind w:hanging="210"/>
              <w:jc w:val="left"/>
            </w:pPr>
            <w:proofErr w:type="spellStart"/>
            <w:r>
              <w:t>dodatkowa</w:t>
            </w:r>
            <w:proofErr w:type="spellEnd"/>
            <w:r>
              <w:t xml:space="preserve">  6-miesięczna </w:t>
            </w:r>
            <w:proofErr w:type="spellStart"/>
            <w:r>
              <w:t>karencja</w:t>
            </w:r>
            <w:proofErr w:type="spellEnd"/>
            <w:r>
              <w:t xml:space="preserve"> w </w:t>
            </w:r>
            <w:proofErr w:type="spellStart"/>
            <w:r>
              <w:t>spłacie</w:t>
            </w:r>
            <w:proofErr w:type="spellEnd"/>
            <w:r>
              <w:t xml:space="preserve"> </w:t>
            </w:r>
            <w:proofErr w:type="spellStart"/>
            <w:r>
              <w:t>kapitału</w:t>
            </w:r>
            <w:proofErr w:type="spellEnd"/>
            <w:r>
              <w:t xml:space="preserve"> w 20 r.</w:t>
            </w:r>
          </w:p>
          <w:p w14:paraId="64371656" w14:textId="77777777" w:rsidR="006B2EC1" w:rsidRDefault="00E82A60" w:rsidP="00E82A60">
            <w:pPr>
              <w:numPr>
                <w:ilvl w:val="0"/>
                <w:numId w:val="39"/>
              </w:numPr>
              <w:spacing w:before="0" w:after="0"/>
              <w:ind w:hanging="210"/>
              <w:jc w:val="left"/>
            </w:pPr>
            <w:r>
              <w:t xml:space="preserve">6-miesięczne </w:t>
            </w:r>
            <w:proofErr w:type="spellStart"/>
            <w:r>
              <w:t>wakacje</w:t>
            </w:r>
            <w:proofErr w:type="spellEnd"/>
            <w:r>
              <w:t xml:space="preserve"> </w:t>
            </w:r>
            <w:proofErr w:type="spellStart"/>
            <w:r>
              <w:t>kredytowe</w:t>
            </w:r>
            <w:proofErr w:type="spellEnd"/>
            <w:r>
              <w:t xml:space="preserve"> w </w:t>
            </w:r>
            <w:proofErr w:type="spellStart"/>
            <w:r>
              <w:t>spłacie</w:t>
            </w:r>
            <w:proofErr w:type="spellEnd"/>
            <w:r>
              <w:t xml:space="preserve"> </w:t>
            </w:r>
            <w:proofErr w:type="spellStart"/>
            <w:r>
              <w:t>kapitału</w:t>
            </w:r>
            <w:proofErr w:type="spellEnd"/>
            <w:r>
              <w:t xml:space="preserve"> i </w:t>
            </w:r>
            <w:proofErr w:type="spellStart"/>
            <w:r>
              <w:t>odsetek</w:t>
            </w:r>
            <w:proofErr w:type="spellEnd"/>
            <w:r>
              <w:t xml:space="preserve"> w 20 r.</w:t>
            </w:r>
          </w:p>
          <w:p w14:paraId="3060CD37" w14:textId="77777777" w:rsidR="006B2EC1" w:rsidRDefault="00E82A60" w:rsidP="00E82A60">
            <w:pPr>
              <w:numPr>
                <w:ilvl w:val="0"/>
                <w:numId w:val="39"/>
              </w:numPr>
              <w:spacing w:before="0" w:after="0"/>
              <w:ind w:hanging="210"/>
              <w:jc w:val="left"/>
            </w:pPr>
            <w:proofErr w:type="spellStart"/>
            <w:r>
              <w:t>możliwość</w:t>
            </w:r>
            <w:proofErr w:type="spellEnd"/>
            <w:r>
              <w:t xml:space="preserve"> </w:t>
            </w:r>
            <w:proofErr w:type="spellStart"/>
            <w:r>
              <w:t>przeznaczenia</w:t>
            </w:r>
            <w:proofErr w:type="spellEnd"/>
            <w:r>
              <w:t xml:space="preserve"> </w:t>
            </w:r>
            <w:proofErr w:type="spellStart"/>
            <w:r>
              <w:t>pożyczki</w:t>
            </w:r>
            <w:proofErr w:type="spellEnd"/>
            <w:r>
              <w:t xml:space="preserve"> w </w:t>
            </w:r>
            <w:proofErr w:type="spellStart"/>
            <w:r>
              <w:t>całości</w:t>
            </w:r>
            <w:proofErr w:type="spellEnd"/>
            <w:r>
              <w:t xml:space="preserve"> </w:t>
            </w:r>
            <w:proofErr w:type="spellStart"/>
            <w:r>
              <w:t>lub</w:t>
            </w:r>
            <w:proofErr w:type="spellEnd"/>
            <w:r>
              <w:t xml:space="preserve"> </w:t>
            </w:r>
            <w:proofErr w:type="spellStart"/>
            <w:r>
              <w:t>części</w:t>
            </w:r>
            <w:proofErr w:type="spellEnd"/>
            <w:r>
              <w:t xml:space="preserve"> </w:t>
            </w:r>
            <w:proofErr w:type="spellStart"/>
            <w:r>
              <w:t>na</w:t>
            </w:r>
            <w:proofErr w:type="spellEnd"/>
            <w:r>
              <w:t xml:space="preserve"> </w:t>
            </w:r>
            <w:proofErr w:type="spellStart"/>
            <w:r>
              <w:t>cele</w:t>
            </w:r>
            <w:proofErr w:type="spellEnd"/>
            <w:r>
              <w:t xml:space="preserve"> </w:t>
            </w:r>
            <w:proofErr w:type="spellStart"/>
            <w:r>
              <w:t>obrotowe</w:t>
            </w:r>
            <w:proofErr w:type="spellEnd"/>
          </w:p>
          <w:p w14:paraId="0CAD8702" w14:textId="77777777" w:rsidR="006B2EC1" w:rsidRDefault="00E82A60" w:rsidP="00E82A60">
            <w:pPr>
              <w:numPr>
                <w:ilvl w:val="0"/>
                <w:numId w:val="39"/>
              </w:numPr>
              <w:spacing w:before="0" w:after="0"/>
              <w:ind w:hanging="210"/>
              <w:jc w:val="left"/>
            </w:pPr>
            <w:proofErr w:type="spellStart"/>
            <w:r>
              <w:t>możliwość</w:t>
            </w:r>
            <w:proofErr w:type="spellEnd"/>
            <w:r>
              <w:t xml:space="preserve"> </w:t>
            </w:r>
            <w:proofErr w:type="spellStart"/>
            <w:r>
              <w:t>udzielania</w:t>
            </w:r>
            <w:proofErr w:type="spellEnd"/>
            <w:r>
              <w:t xml:space="preserve"> </w:t>
            </w:r>
            <w:proofErr w:type="spellStart"/>
            <w:r>
              <w:t>pożyczek</w:t>
            </w:r>
            <w:proofErr w:type="spellEnd"/>
            <w:r>
              <w:t xml:space="preserve"> z </w:t>
            </w:r>
            <w:proofErr w:type="spellStart"/>
            <w:r>
              <w:t>oprocentowaniem</w:t>
            </w:r>
            <w:proofErr w:type="spellEnd"/>
            <w:r>
              <w:t xml:space="preserve"> 0% </w:t>
            </w:r>
            <w:proofErr w:type="spellStart"/>
            <w:r>
              <w:t>jako</w:t>
            </w:r>
            <w:proofErr w:type="spellEnd"/>
            <w:r>
              <w:t xml:space="preserve"> </w:t>
            </w:r>
            <w:proofErr w:type="spellStart"/>
            <w:r>
              <w:t>pomoc</w:t>
            </w:r>
            <w:proofErr w:type="spellEnd"/>
            <w:r>
              <w:t xml:space="preserve"> de minimis do </w:t>
            </w:r>
            <w:proofErr w:type="spellStart"/>
            <w:r>
              <w:t>końca</w:t>
            </w:r>
            <w:proofErr w:type="spellEnd"/>
            <w:r>
              <w:t xml:space="preserve"> 2020 </w:t>
            </w:r>
            <w:proofErr w:type="spellStart"/>
            <w:r>
              <w:t>roku</w:t>
            </w:r>
            <w:proofErr w:type="spellEnd"/>
          </w:p>
          <w:p w14:paraId="78210AE6" w14:textId="77777777" w:rsidR="006B2EC1" w:rsidRDefault="00E82A60" w:rsidP="00E82A60">
            <w:pPr>
              <w:numPr>
                <w:ilvl w:val="0"/>
                <w:numId w:val="39"/>
              </w:numPr>
              <w:spacing w:before="0" w:after="0"/>
              <w:ind w:hanging="210"/>
              <w:jc w:val="left"/>
            </w:pPr>
            <w:proofErr w:type="spellStart"/>
            <w:r>
              <w:t>rekomendowane</w:t>
            </w:r>
            <w:proofErr w:type="spellEnd"/>
            <w:r>
              <w:t xml:space="preserve"> </w:t>
            </w:r>
            <w:proofErr w:type="spellStart"/>
            <w:r>
              <w:t>zabezpieczenie</w:t>
            </w:r>
            <w:proofErr w:type="spellEnd"/>
            <w:r>
              <w:t xml:space="preserve"> </w:t>
            </w:r>
            <w:proofErr w:type="spellStart"/>
            <w:r>
              <w:t>mniejszych</w:t>
            </w:r>
            <w:proofErr w:type="spellEnd"/>
            <w:r>
              <w:t xml:space="preserve"> </w:t>
            </w:r>
            <w:proofErr w:type="spellStart"/>
            <w:r>
              <w:t>pożyczek</w:t>
            </w:r>
            <w:proofErr w:type="spellEnd"/>
            <w:r>
              <w:t xml:space="preserve"> </w:t>
            </w:r>
            <w:proofErr w:type="spellStart"/>
            <w:r>
              <w:t>wekslem</w:t>
            </w:r>
            <w:proofErr w:type="spellEnd"/>
            <w:r>
              <w:t xml:space="preserve"> </w:t>
            </w:r>
            <w:proofErr w:type="spellStart"/>
            <w:r>
              <w:t>własnym</w:t>
            </w:r>
            <w:proofErr w:type="spellEnd"/>
            <w:r>
              <w:t xml:space="preserve"> in </w:t>
            </w:r>
            <w:proofErr w:type="spellStart"/>
            <w:r>
              <w:t>blanco</w:t>
            </w:r>
            <w:proofErr w:type="spellEnd"/>
          </w:p>
          <w:p w14:paraId="26AC1C15" w14:textId="77777777" w:rsidR="006B2EC1" w:rsidRDefault="00E82A60" w:rsidP="00E82A60">
            <w:pPr>
              <w:numPr>
                <w:ilvl w:val="0"/>
                <w:numId w:val="39"/>
              </w:numPr>
              <w:spacing w:before="0" w:after="240"/>
              <w:ind w:hanging="210"/>
              <w:jc w:val="left"/>
            </w:pPr>
            <w:proofErr w:type="spellStart"/>
            <w:r>
              <w:t>zwiększenie</w:t>
            </w:r>
            <w:proofErr w:type="spellEnd"/>
            <w:r>
              <w:t xml:space="preserve"> </w:t>
            </w:r>
            <w:proofErr w:type="spellStart"/>
            <w:r>
              <w:t>poziomu</w:t>
            </w:r>
            <w:proofErr w:type="spellEnd"/>
            <w:r>
              <w:t xml:space="preserve"> </w:t>
            </w:r>
            <w:proofErr w:type="spellStart"/>
            <w:r>
              <w:t>startowości</w:t>
            </w:r>
            <w:proofErr w:type="spellEnd"/>
            <w:r>
              <w:t xml:space="preserve"> </w:t>
            </w:r>
            <w:proofErr w:type="spellStart"/>
            <w:r>
              <w:t>portfela</w:t>
            </w:r>
            <w:proofErr w:type="spellEnd"/>
            <w:r>
              <w:t xml:space="preserve"> u PF</w:t>
            </w:r>
          </w:p>
          <w:p w14:paraId="33BE154A" w14:textId="77777777" w:rsidR="006B2EC1" w:rsidRDefault="00E82A60">
            <w:pPr>
              <w:spacing w:before="240" w:after="240"/>
              <w:jc w:val="left"/>
            </w:pPr>
            <w:r>
              <w:t> </w:t>
            </w:r>
            <w:proofErr w:type="spellStart"/>
            <w:r>
              <w:t>Podsumowanie</w:t>
            </w:r>
            <w:proofErr w:type="spellEnd"/>
            <w:r>
              <w:t xml:space="preserve"> </w:t>
            </w:r>
            <w:proofErr w:type="spellStart"/>
            <w:r>
              <w:t>stanu</w:t>
            </w:r>
            <w:proofErr w:type="spellEnd"/>
            <w:r>
              <w:t xml:space="preserve"> </w:t>
            </w:r>
            <w:proofErr w:type="spellStart"/>
            <w:r>
              <w:t>wdrażania</w:t>
            </w:r>
            <w:proofErr w:type="spellEnd"/>
            <w:r>
              <w:t xml:space="preserve"> IF </w:t>
            </w:r>
            <w:proofErr w:type="spellStart"/>
            <w:r>
              <w:t>znajduje</w:t>
            </w:r>
            <w:proofErr w:type="spellEnd"/>
            <w:r>
              <w:t xml:space="preserve"> </w:t>
            </w:r>
            <w:proofErr w:type="spellStart"/>
            <w:r>
              <w:t>się</w:t>
            </w:r>
            <w:proofErr w:type="spellEnd"/>
            <w:r>
              <w:t xml:space="preserve"> w </w:t>
            </w:r>
            <w:proofErr w:type="spellStart"/>
            <w:r>
              <w:t>załącznikach</w:t>
            </w:r>
            <w:proofErr w:type="spellEnd"/>
            <w:r>
              <w:t xml:space="preserve"> do </w:t>
            </w:r>
            <w:proofErr w:type="spellStart"/>
            <w:r>
              <w:t>Sprawozdania</w:t>
            </w:r>
            <w:proofErr w:type="spellEnd"/>
            <w:r>
              <w:t xml:space="preserve"> </w:t>
            </w:r>
            <w:proofErr w:type="spellStart"/>
            <w:r>
              <w:t>dedykowanych</w:t>
            </w:r>
            <w:proofErr w:type="spellEnd"/>
            <w:r>
              <w:t xml:space="preserve"> IF.</w:t>
            </w:r>
          </w:p>
          <w:p w14:paraId="1E43928C" w14:textId="77777777" w:rsidR="006B2EC1" w:rsidRDefault="00E82A60">
            <w:pPr>
              <w:spacing w:before="240" w:after="240"/>
              <w:jc w:val="left"/>
            </w:pPr>
            <w:r>
              <w:t xml:space="preserve">W OP 2 (PI3c) do 31.12.2019r. </w:t>
            </w:r>
            <w:proofErr w:type="spellStart"/>
            <w:r>
              <w:t>ze</w:t>
            </w:r>
            <w:proofErr w:type="spellEnd"/>
            <w:r>
              <w:t xml:space="preserve"> </w:t>
            </w:r>
            <w:proofErr w:type="spellStart"/>
            <w:r>
              <w:t>wsparcia</w:t>
            </w:r>
            <w:proofErr w:type="spellEnd"/>
            <w:r>
              <w:t xml:space="preserve"> </w:t>
            </w:r>
            <w:proofErr w:type="spellStart"/>
            <w:r>
              <w:t>finansowego</w:t>
            </w:r>
            <w:proofErr w:type="spellEnd"/>
            <w:r>
              <w:t xml:space="preserve"> </w:t>
            </w:r>
            <w:proofErr w:type="spellStart"/>
            <w:r>
              <w:t>skorzystało</w:t>
            </w:r>
            <w:proofErr w:type="spellEnd"/>
            <w:r>
              <w:t xml:space="preserve"> 583 </w:t>
            </w:r>
            <w:proofErr w:type="spellStart"/>
            <w:r>
              <w:t>przedsiębiorstwa</w:t>
            </w:r>
            <w:proofErr w:type="spellEnd"/>
            <w:r>
              <w:t>.</w:t>
            </w:r>
            <w:r>
              <w:br/>
            </w:r>
            <w:proofErr w:type="spellStart"/>
            <w:r>
              <w:t>W</w:t>
            </w:r>
            <w:proofErr w:type="spellEnd"/>
            <w:r>
              <w:t xml:space="preserve"> </w:t>
            </w:r>
            <w:proofErr w:type="spellStart"/>
            <w:r>
              <w:t>stosunku</w:t>
            </w:r>
            <w:proofErr w:type="spellEnd"/>
            <w:r>
              <w:t xml:space="preserve"> do </w:t>
            </w:r>
            <w:proofErr w:type="spellStart"/>
            <w:r>
              <w:t>danych</w:t>
            </w:r>
            <w:proofErr w:type="spellEnd"/>
            <w:r>
              <w:t xml:space="preserve"> </w:t>
            </w:r>
            <w:proofErr w:type="spellStart"/>
            <w:r>
              <w:t>na</w:t>
            </w:r>
            <w:proofErr w:type="spellEnd"/>
            <w:r>
              <w:t xml:space="preserve"> </w:t>
            </w:r>
            <w:proofErr w:type="spellStart"/>
            <w:r>
              <w:t>koniec</w:t>
            </w:r>
            <w:proofErr w:type="spellEnd"/>
            <w:r>
              <w:t xml:space="preserve"> 2018 r. </w:t>
            </w:r>
            <w:proofErr w:type="spellStart"/>
            <w:r>
              <w:t>liczba</w:t>
            </w:r>
            <w:proofErr w:type="spellEnd"/>
            <w:r>
              <w:t xml:space="preserve"> </w:t>
            </w:r>
            <w:proofErr w:type="spellStart"/>
            <w:r>
              <w:t>udzielonych</w:t>
            </w:r>
            <w:proofErr w:type="spellEnd"/>
            <w:r>
              <w:t xml:space="preserve"> </w:t>
            </w:r>
            <w:proofErr w:type="spellStart"/>
            <w:r>
              <w:t>pożyczek</w:t>
            </w:r>
            <w:proofErr w:type="spellEnd"/>
            <w:r>
              <w:t xml:space="preserve"> </w:t>
            </w:r>
            <w:proofErr w:type="spellStart"/>
            <w:r>
              <w:t>wzrosła</w:t>
            </w:r>
            <w:proofErr w:type="spellEnd"/>
            <w:r>
              <w:t xml:space="preserve"> </w:t>
            </w:r>
            <w:proofErr w:type="spellStart"/>
            <w:r>
              <w:t>dwukrotnie</w:t>
            </w:r>
            <w:proofErr w:type="spellEnd"/>
            <w:r>
              <w:t>.</w:t>
            </w:r>
            <w:r>
              <w:br/>
              <w:t xml:space="preserve">W OP 10 (PI8iii) </w:t>
            </w:r>
            <w:proofErr w:type="spellStart"/>
            <w:r>
              <w:t>udzielono</w:t>
            </w:r>
            <w:proofErr w:type="spellEnd"/>
            <w:r>
              <w:t xml:space="preserve"> 96 </w:t>
            </w:r>
            <w:proofErr w:type="spellStart"/>
            <w:r>
              <w:t>pożyczek</w:t>
            </w:r>
            <w:proofErr w:type="spellEnd"/>
            <w:r>
              <w:t xml:space="preserve"> </w:t>
            </w:r>
            <w:proofErr w:type="spellStart"/>
            <w:r>
              <w:t>na</w:t>
            </w:r>
            <w:proofErr w:type="spellEnd"/>
            <w:r>
              <w:t xml:space="preserve"> </w:t>
            </w:r>
            <w:proofErr w:type="spellStart"/>
            <w:r>
              <w:t>założenie</w:t>
            </w:r>
            <w:proofErr w:type="spellEnd"/>
            <w:r>
              <w:t xml:space="preserve"> </w:t>
            </w:r>
            <w:proofErr w:type="spellStart"/>
            <w:r>
              <w:t>działalności</w:t>
            </w:r>
            <w:proofErr w:type="spellEnd"/>
            <w:r>
              <w:t xml:space="preserve"> </w:t>
            </w:r>
            <w:proofErr w:type="spellStart"/>
            <w:r>
              <w:t>gospodarczej</w:t>
            </w:r>
            <w:proofErr w:type="spellEnd"/>
            <w:r>
              <w:t xml:space="preserve">, co </w:t>
            </w:r>
            <w:proofErr w:type="spellStart"/>
            <w:r>
              <w:t>pozwoliło</w:t>
            </w:r>
            <w:proofErr w:type="spellEnd"/>
            <w:r>
              <w:t xml:space="preserve"> </w:t>
            </w:r>
            <w:proofErr w:type="spellStart"/>
            <w:r>
              <w:t>na</w:t>
            </w:r>
            <w:proofErr w:type="spellEnd"/>
            <w:r>
              <w:t xml:space="preserve"> </w:t>
            </w:r>
            <w:proofErr w:type="spellStart"/>
            <w:r>
              <w:t>utworzenie</w:t>
            </w:r>
            <w:proofErr w:type="spellEnd"/>
            <w:r>
              <w:t xml:space="preserve"> 106 </w:t>
            </w:r>
            <w:proofErr w:type="spellStart"/>
            <w:r>
              <w:t>miejsc</w:t>
            </w:r>
            <w:proofErr w:type="spellEnd"/>
            <w:r>
              <w:t xml:space="preserve"> </w:t>
            </w:r>
            <w:proofErr w:type="spellStart"/>
            <w:r>
              <w:t>pracy</w:t>
            </w:r>
            <w:proofErr w:type="spellEnd"/>
            <w:r>
              <w:t xml:space="preserve">. W 19r. </w:t>
            </w:r>
            <w:proofErr w:type="spellStart"/>
            <w:r>
              <w:t>odnotowano</w:t>
            </w:r>
            <w:proofErr w:type="spellEnd"/>
            <w:r>
              <w:t xml:space="preserve"> </w:t>
            </w:r>
            <w:proofErr w:type="spellStart"/>
            <w:r>
              <w:t>trzykrotny</w:t>
            </w:r>
            <w:proofErr w:type="spellEnd"/>
            <w:r>
              <w:t xml:space="preserve"> </w:t>
            </w:r>
            <w:proofErr w:type="spellStart"/>
            <w:r>
              <w:t>przyrost</w:t>
            </w:r>
            <w:proofErr w:type="spellEnd"/>
            <w:r>
              <w:t xml:space="preserve"> </w:t>
            </w:r>
            <w:proofErr w:type="spellStart"/>
            <w:r>
              <w:t>liczby</w:t>
            </w:r>
            <w:proofErr w:type="spellEnd"/>
            <w:r>
              <w:t xml:space="preserve"> </w:t>
            </w:r>
            <w:proofErr w:type="spellStart"/>
            <w:r>
              <w:t>udzielonych</w:t>
            </w:r>
            <w:proofErr w:type="spellEnd"/>
            <w:r>
              <w:t xml:space="preserve"> </w:t>
            </w:r>
            <w:proofErr w:type="spellStart"/>
            <w:r>
              <w:t>pożyczek</w:t>
            </w:r>
            <w:proofErr w:type="spellEnd"/>
            <w:r>
              <w:t xml:space="preserve"> w </w:t>
            </w:r>
            <w:proofErr w:type="spellStart"/>
            <w:r>
              <w:t>stosunku</w:t>
            </w:r>
            <w:proofErr w:type="spellEnd"/>
            <w:r>
              <w:t xml:space="preserve"> do </w:t>
            </w:r>
            <w:proofErr w:type="spellStart"/>
            <w:r>
              <w:t>końca</w:t>
            </w:r>
            <w:proofErr w:type="spellEnd"/>
            <w:r>
              <w:t xml:space="preserve"> 18r. </w:t>
            </w:r>
            <w:proofErr w:type="spellStart"/>
            <w:r>
              <w:t>Zgodnie</w:t>
            </w:r>
            <w:proofErr w:type="spellEnd"/>
            <w:r>
              <w:t xml:space="preserve"> z </w:t>
            </w:r>
            <w:proofErr w:type="spellStart"/>
            <w:r>
              <w:t>Rocznym</w:t>
            </w:r>
            <w:proofErr w:type="spellEnd"/>
            <w:r>
              <w:t xml:space="preserve"> </w:t>
            </w:r>
            <w:proofErr w:type="spellStart"/>
            <w:r>
              <w:t>Planem</w:t>
            </w:r>
            <w:proofErr w:type="spellEnd"/>
            <w:r>
              <w:t xml:space="preserve"> </w:t>
            </w:r>
            <w:proofErr w:type="spellStart"/>
            <w:r>
              <w:t>Działania</w:t>
            </w:r>
            <w:proofErr w:type="spellEnd"/>
            <w:r>
              <w:t xml:space="preserve"> </w:t>
            </w:r>
            <w:proofErr w:type="spellStart"/>
            <w:r>
              <w:t>na</w:t>
            </w:r>
            <w:proofErr w:type="spellEnd"/>
            <w:r>
              <w:t xml:space="preserve"> 2020r., do </w:t>
            </w:r>
            <w:proofErr w:type="spellStart"/>
            <w:r>
              <w:t>końca</w:t>
            </w:r>
            <w:proofErr w:type="spellEnd"/>
            <w:r>
              <w:t xml:space="preserve"> 2020r. </w:t>
            </w:r>
            <w:proofErr w:type="spellStart"/>
            <w:r>
              <w:t>udzielone</w:t>
            </w:r>
            <w:proofErr w:type="spellEnd"/>
            <w:r>
              <w:t xml:space="preserve"> </w:t>
            </w:r>
            <w:proofErr w:type="spellStart"/>
            <w:r>
              <w:t>zostaną</w:t>
            </w:r>
            <w:proofErr w:type="spellEnd"/>
            <w:r>
              <w:t xml:space="preserve"> 162 </w:t>
            </w:r>
            <w:proofErr w:type="spellStart"/>
            <w:r>
              <w:t>pożyczki</w:t>
            </w:r>
            <w:proofErr w:type="spellEnd"/>
            <w:r>
              <w:t xml:space="preserve"> i </w:t>
            </w:r>
            <w:proofErr w:type="spellStart"/>
            <w:r>
              <w:t>powstaną</w:t>
            </w:r>
            <w:proofErr w:type="spellEnd"/>
            <w:r>
              <w:t xml:space="preserve"> 174 </w:t>
            </w:r>
            <w:proofErr w:type="spellStart"/>
            <w:r>
              <w:t>miejsca</w:t>
            </w:r>
            <w:proofErr w:type="spellEnd"/>
            <w:r>
              <w:t xml:space="preserve"> </w:t>
            </w:r>
            <w:proofErr w:type="spellStart"/>
            <w:r>
              <w:t>pracy</w:t>
            </w:r>
            <w:proofErr w:type="spellEnd"/>
            <w:r>
              <w:t xml:space="preserve">. </w:t>
            </w:r>
            <w:proofErr w:type="spellStart"/>
            <w:r>
              <w:t>Realizacja</w:t>
            </w:r>
            <w:proofErr w:type="spellEnd"/>
            <w:r>
              <w:t xml:space="preserve"> </w:t>
            </w:r>
            <w:proofErr w:type="spellStart"/>
            <w:r>
              <w:t>wymienionych</w:t>
            </w:r>
            <w:proofErr w:type="spellEnd"/>
            <w:r>
              <w:t xml:space="preserve"> </w:t>
            </w:r>
            <w:proofErr w:type="spellStart"/>
            <w:r>
              <w:t>założeń</w:t>
            </w:r>
            <w:proofErr w:type="spellEnd"/>
            <w:r>
              <w:t xml:space="preserve"> </w:t>
            </w:r>
            <w:proofErr w:type="spellStart"/>
            <w:r>
              <w:t>stanowić</w:t>
            </w:r>
            <w:proofErr w:type="spellEnd"/>
            <w:r>
              <w:t xml:space="preserve"> </w:t>
            </w:r>
            <w:proofErr w:type="spellStart"/>
            <w:r>
              <w:t>będzie</w:t>
            </w:r>
            <w:proofErr w:type="spellEnd"/>
            <w:r>
              <w:t xml:space="preserve"> </w:t>
            </w:r>
            <w:proofErr w:type="spellStart"/>
            <w:r>
              <w:t>około</w:t>
            </w:r>
            <w:proofErr w:type="spellEnd"/>
            <w:r>
              <w:t xml:space="preserve"> 36% </w:t>
            </w:r>
            <w:proofErr w:type="spellStart"/>
            <w:r>
              <w:t>docelowej</w:t>
            </w:r>
            <w:proofErr w:type="spellEnd"/>
            <w:r>
              <w:t xml:space="preserve"> </w:t>
            </w:r>
            <w:proofErr w:type="spellStart"/>
            <w:r>
              <w:t>wartości</w:t>
            </w:r>
            <w:proofErr w:type="spellEnd"/>
            <w:r>
              <w:t xml:space="preserve"> </w:t>
            </w:r>
            <w:proofErr w:type="spellStart"/>
            <w:r>
              <w:t>wskaźników</w:t>
            </w:r>
            <w:proofErr w:type="spellEnd"/>
            <w:r>
              <w:t>.</w:t>
            </w:r>
          </w:p>
          <w:p w14:paraId="2159D675" w14:textId="77777777" w:rsidR="008C5CFA" w:rsidRDefault="008C5CFA" w:rsidP="00300A01">
            <w:pPr>
              <w:pStyle w:val="Text1"/>
              <w:spacing w:before="0" w:after="0"/>
              <w:ind w:left="0"/>
            </w:pPr>
          </w:p>
        </w:tc>
      </w:tr>
    </w:tbl>
    <w:p w14:paraId="231A0E72" w14:textId="77777777" w:rsidR="008C5CFA" w:rsidRDefault="008C5CFA" w:rsidP="00300A01">
      <w:pPr>
        <w:pStyle w:val="Text1"/>
        <w:spacing w:before="0" w:after="0"/>
        <w:ind w:left="0"/>
      </w:pPr>
    </w:p>
    <w:p w14:paraId="39A8F6CB" w14:textId="77777777" w:rsidR="008C5CFA" w:rsidRPr="00421A8C" w:rsidRDefault="008C5CFA" w:rsidP="00300A01">
      <w:pPr>
        <w:pStyle w:val="Text1"/>
        <w:spacing w:before="0" w:after="0"/>
        <w:sectPr w:rsidR="008C5CFA" w:rsidRPr="00421A8C" w:rsidSect="0053468B">
          <w:pgSz w:w="11906" w:h="16838"/>
          <w:pgMar w:top="567" w:right="851" w:bottom="567" w:left="1134" w:header="283" w:footer="283" w:gutter="0"/>
          <w:cols w:space="708"/>
          <w:docGrid w:linePitch="360"/>
        </w:sectPr>
      </w:pPr>
    </w:p>
    <w:p w14:paraId="2210993F" w14:textId="77777777" w:rsidR="008C5CFA" w:rsidRDefault="00E82A60" w:rsidP="00300A01">
      <w:pPr>
        <w:pStyle w:val="Nagwek1"/>
        <w:numPr>
          <w:ilvl w:val="0"/>
          <w:numId w:val="33"/>
        </w:numPr>
        <w:tabs>
          <w:tab w:val="clear" w:pos="992"/>
          <w:tab w:val="num" w:pos="0"/>
        </w:tabs>
        <w:spacing w:before="0" w:after="0"/>
        <w:ind w:left="0" w:firstLine="0"/>
        <w:jc w:val="left"/>
      </w:pPr>
      <w:bookmarkStart w:id="6" w:name="_Toc46391690"/>
      <w:r>
        <w:rPr>
          <w:noProof/>
        </w:rPr>
        <w:lastRenderedPageBreak/>
        <w:t>WDRAŻANIE OSI PRIORYTETOWEJ (art. 50 ust. 2 rozporządzenia (UE) nr 1303/2013)</w:t>
      </w:r>
      <w:bookmarkEnd w:id="6"/>
    </w:p>
    <w:p w14:paraId="71D3D502" w14:textId="77777777" w:rsidR="008C5CFA" w:rsidRPr="00E81C33" w:rsidRDefault="008C5CFA" w:rsidP="00300A01">
      <w:pPr>
        <w:pStyle w:val="Text1"/>
        <w:spacing w:before="0" w:after="0"/>
        <w:ind w:left="0"/>
      </w:pPr>
    </w:p>
    <w:p w14:paraId="669FA6BC" w14:textId="77777777" w:rsidR="008C5CFA" w:rsidRDefault="00E82A60" w:rsidP="00300A01">
      <w:pPr>
        <w:pStyle w:val="Nagwek2"/>
        <w:numPr>
          <w:ilvl w:val="1"/>
          <w:numId w:val="15"/>
        </w:numPr>
        <w:tabs>
          <w:tab w:val="clear" w:pos="850"/>
          <w:tab w:val="num" w:pos="426"/>
        </w:tabs>
        <w:spacing w:before="0" w:after="0"/>
        <w:jc w:val="left"/>
      </w:pPr>
      <w:bookmarkStart w:id="7" w:name="_Toc46391691"/>
      <w:r>
        <w:rPr>
          <w:noProof/>
        </w:rPr>
        <w:t>Przegląd wdrażania</w:t>
      </w:r>
      <w:bookmarkEnd w:id="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
        <w:gridCol w:w="2715"/>
        <w:gridCol w:w="11999"/>
      </w:tblGrid>
      <w:tr w:rsidR="006B2EC1" w14:paraId="33679CC8" w14:textId="77777777" w:rsidTr="0047688D">
        <w:trPr>
          <w:tblHeader/>
        </w:trPr>
        <w:tc>
          <w:tcPr>
            <w:tcW w:w="0" w:type="auto"/>
            <w:shd w:val="clear" w:color="auto" w:fill="auto"/>
          </w:tcPr>
          <w:p w14:paraId="15CC61A0" w14:textId="77777777" w:rsidR="008C5CFA" w:rsidRDefault="00E82A60" w:rsidP="00300A01">
            <w:pPr>
              <w:spacing w:before="0" w:after="0"/>
              <w:jc w:val="center"/>
            </w:pPr>
            <w:r>
              <w:rPr>
                <w:noProof/>
              </w:rPr>
              <w:t>ID</w:t>
            </w:r>
          </w:p>
        </w:tc>
        <w:tc>
          <w:tcPr>
            <w:tcW w:w="0" w:type="auto"/>
            <w:shd w:val="clear" w:color="auto" w:fill="auto"/>
          </w:tcPr>
          <w:p w14:paraId="5CC9FD1B" w14:textId="77777777" w:rsidR="008C5CFA" w:rsidRDefault="00E82A60" w:rsidP="00300A01">
            <w:pPr>
              <w:spacing w:before="0" w:after="0"/>
            </w:pPr>
            <w:r>
              <w:rPr>
                <w:noProof/>
              </w:rPr>
              <w:t>Oś priorytetowa</w:t>
            </w:r>
          </w:p>
        </w:tc>
        <w:tc>
          <w:tcPr>
            <w:tcW w:w="0" w:type="auto"/>
            <w:shd w:val="clear" w:color="auto" w:fill="auto"/>
          </w:tcPr>
          <w:p w14:paraId="4BFFE7AC" w14:textId="77777777" w:rsidR="008C5CFA" w:rsidRDefault="00E82A60" w:rsidP="00300A01">
            <w:pPr>
              <w:spacing w:before="0" w:after="0"/>
            </w:pPr>
            <w:r>
              <w:rPr>
                <w:noProof/>
              </w:rPr>
              <w:t>Kluczowe informacje na temat wdrażania osi priorytetowej w odniesieniu do kluczowych zmian, znaczących problemów i działań podjętych w celu rozwiązania tych problemów</w:t>
            </w:r>
          </w:p>
        </w:tc>
      </w:tr>
      <w:tr w:rsidR="006B2EC1" w14:paraId="49294DA1" w14:textId="77777777" w:rsidTr="0047688D">
        <w:tc>
          <w:tcPr>
            <w:tcW w:w="0" w:type="auto"/>
            <w:shd w:val="clear" w:color="auto" w:fill="auto"/>
          </w:tcPr>
          <w:p w14:paraId="28F682B1" w14:textId="77777777" w:rsidR="008C5CFA" w:rsidRDefault="00E82A60" w:rsidP="00300A01">
            <w:pPr>
              <w:spacing w:before="0" w:after="0"/>
            </w:pPr>
            <w:r>
              <w:rPr>
                <w:noProof/>
              </w:rPr>
              <w:t>1</w:t>
            </w:r>
          </w:p>
        </w:tc>
        <w:tc>
          <w:tcPr>
            <w:tcW w:w="0" w:type="auto"/>
            <w:shd w:val="clear" w:color="auto" w:fill="auto"/>
          </w:tcPr>
          <w:p w14:paraId="14009892" w14:textId="77777777" w:rsidR="008C5CFA" w:rsidRDefault="00E82A60" w:rsidP="00300A01">
            <w:pPr>
              <w:spacing w:before="0" w:after="0"/>
            </w:pPr>
            <w:r>
              <w:rPr>
                <w:noProof/>
              </w:rPr>
              <w:t>Innowacje i nauka</w:t>
            </w:r>
          </w:p>
        </w:tc>
        <w:tc>
          <w:tcPr>
            <w:tcW w:w="0" w:type="auto"/>
            <w:shd w:val="clear" w:color="auto" w:fill="auto"/>
          </w:tcPr>
          <w:p w14:paraId="75E9CB76" w14:textId="77777777" w:rsidR="008C5CFA" w:rsidRDefault="00E82A60" w:rsidP="00300A01">
            <w:pPr>
              <w:spacing w:before="0" w:after="0"/>
            </w:pPr>
            <w:r>
              <w:rPr>
                <w:noProof/>
              </w:rPr>
              <w:t>POSTĘP FINANSOWY</w:t>
            </w:r>
          </w:p>
          <w:p w14:paraId="252F7770" w14:textId="77777777" w:rsidR="008C5CFA" w:rsidRDefault="00E82A60" w:rsidP="00300A01">
            <w:pPr>
              <w:spacing w:before="0" w:after="0"/>
            </w:pPr>
            <w:r>
              <w:rPr>
                <w:noProof/>
              </w:rPr>
              <w:t>•</w:t>
            </w:r>
            <w:r>
              <w:rPr>
                <w:noProof/>
              </w:rPr>
              <w:tab/>
              <w:t>NABORY: rozpoczęto 8 naborów o budżecie 129,9 mln€ (zakończono 8)</w:t>
            </w:r>
          </w:p>
          <w:p w14:paraId="2905CA0C" w14:textId="77777777" w:rsidR="008C5CFA" w:rsidRDefault="00E82A60" w:rsidP="00300A01">
            <w:pPr>
              <w:spacing w:before="0" w:after="0"/>
            </w:pPr>
            <w:r>
              <w:rPr>
                <w:noProof/>
              </w:rPr>
              <w:t>W 2019 r. nie rozpoczęto nowych naborów.</w:t>
            </w:r>
          </w:p>
          <w:p w14:paraId="5E24F757" w14:textId="77777777" w:rsidR="008C5CFA" w:rsidRDefault="00E82A60" w:rsidP="00300A01">
            <w:pPr>
              <w:spacing w:before="0" w:after="0"/>
            </w:pPr>
            <w:r>
              <w:rPr>
                <w:noProof/>
              </w:rPr>
              <w:t>•</w:t>
            </w:r>
            <w:r>
              <w:rPr>
                <w:noProof/>
              </w:rPr>
              <w:tab/>
              <w:t>UMOWY: 61 podpisanych umów o dofinansowanie o wartości wkładu UE 87,0 mln€ (90,4% alokacji OP)</w:t>
            </w:r>
          </w:p>
          <w:p w14:paraId="4B319B4C" w14:textId="77777777" w:rsidR="008C5CFA" w:rsidRDefault="00E82A60" w:rsidP="00300A01">
            <w:pPr>
              <w:spacing w:before="0" w:after="0"/>
            </w:pPr>
            <w:r>
              <w:rPr>
                <w:noProof/>
              </w:rPr>
              <w:t>W 2019: umowy o wartości 10,3 mln€ wkładu UE</w:t>
            </w:r>
          </w:p>
          <w:p w14:paraId="491F9284" w14:textId="77777777" w:rsidR="008C5CFA" w:rsidRDefault="00E82A60" w:rsidP="00300A01">
            <w:pPr>
              <w:spacing w:before="0" w:after="0"/>
            </w:pPr>
            <w:r>
              <w:rPr>
                <w:noProof/>
              </w:rPr>
              <w:t>•</w:t>
            </w:r>
            <w:r>
              <w:rPr>
                <w:noProof/>
              </w:rPr>
              <w:tab/>
              <w:t>WNIOSKI O PŁATNOŚĆ: zatwierdzono 243 WNP o wartości 16,3 mln€ wydatków uznanych za kwalifikowalne, w tym 13,3 mln€ UE (13,8% alokacji OP)</w:t>
            </w:r>
          </w:p>
          <w:p w14:paraId="5B44BEF9" w14:textId="77777777" w:rsidR="008C5CFA" w:rsidRDefault="00E82A60" w:rsidP="00300A01">
            <w:pPr>
              <w:spacing w:before="0" w:after="0"/>
            </w:pPr>
            <w:r>
              <w:rPr>
                <w:noProof/>
              </w:rPr>
              <w:t>W 2019: 183 WNP o wartości 13,6 mln€ wydatków uznanych za kwalifikowalne, w tym 11,3 mln€ UE</w:t>
            </w:r>
          </w:p>
          <w:p w14:paraId="775F3B4F" w14:textId="77777777" w:rsidR="008C5CFA" w:rsidRDefault="00E82A60" w:rsidP="00300A01">
            <w:pPr>
              <w:spacing w:before="0" w:after="0"/>
            </w:pPr>
            <w:r>
              <w:rPr>
                <w:noProof/>
              </w:rPr>
              <w:t>•</w:t>
            </w:r>
            <w:r>
              <w:rPr>
                <w:noProof/>
              </w:rPr>
              <w:tab/>
              <w:t>CERTYFIKACJA: na koniec 2019 r. certyfikowano 16,7 mln€ UE (17,4% alokacji OP)</w:t>
            </w:r>
          </w:p>
          <w:p w14:paraId="1B733246" w14:textId="77777777" w:rsidR="008C5CFA" w:rsidRDefault="00E82A60" w:rsidP="00300A01">
            <w:pPr>
              <w:spacing w:before="0" w:after="0"/>
            </w:pPr>
            <w:r>
              <w:rPr>
                <w:noProof/>
              </w:rPr>
              <w:t>POSTĘP RZECZOWY</w:t>
            </w:r>
          </w:p>
          <w:p w14:paraId="2D5C628D" w14:textId="77777777" w:rsidR="008C5CFA" w:rsidRDefault="00E82A60" w:rsidP="00300A01">
            <w:pPr>
              <w:spacing w:before="0" w:after="0"/>
            </w:pPr>
            <w:r>
              <w:rPr>
                <w:noProof/>
              </w:rPr>
              <w:t>Wskaźniki:</w:t>
            </w:r>
          </w:p>
          <w:p w14:paraId="4C3D7AC3" w14:textId="77777777" w:rsidR="008C5CFA" w:rsidRDefault="00E82A60" w:rsidP="00300A01">
            <w:pPr>
              <w:spacing w:before="0" w:after="0"/>
            </w:pPr>
            <w:r>
              <w:rPr>
                <w:noProof/>
              </w:rPr>
              <w:t xml:space="preserve">PI1a-na podstawie szacunków z UDA prognozuje się, że wszystkie 4 wskaźniki produktu zostaną zrealizowane. </w:t>
            </w:r>
          </w:p>
          <w:p w14:paraId="6D9B65E0" w14:textId="77777777" w:rsidR="008C5CFA" w:rsidRDefault="00E82A60" w:rsidP="00300A01">
            <w:pPr>
              <w:spacing w:before="0" w:after="0"/>
            </w:pPr>
            <w:r>
              <w:rPr>
                <w:noProof/>
              </w:rPr>
              <w:t xml:space="preserve">PI1b-wartość szacowana w UDA 2 z 5 wskaźników produktu nie osiągnęła jeszcze wartości docelowych. IZ zawnioskowała do KE </w:t>
            </w:r>
          </w:p>
          <w:p w14:paraId="7DA036CF" w14:textId="77777777" w:rsidR="008C5CFA" w:rsidRDefault="00E82A60" w:rsidP="00300A01">
            <w:pPr>
              <w:spacing w:before="0" w:after="0"/>
            </w:pPr>
            <w:r>
              <w:rPr>
                <w:noProof/>
              </w:rPr>
              <w:t xml:space="preserve">o zmniejszenie wartości docelowych tych 2 wskaźników i zmniejszenie alokacji PI1b. </w:t>
            </w:r>
          </w:p>
          <w:p w14:paraId="0663ADE5" w14:textId="77777777" w:rsidR="008C5CFA" w:rsidRDefault="00E82A60" w:rsidP="00300A01">
            <w:pPr>
              <w:spacing w:before="0" w:after="0"/>
            </w:pPr>
            <w:r>
              <w:rPr>
                <w:noProof/>
              </w:rPr>
              <w:t>Postęp rzeczowy prezentują Tabele 3A i  5 wraz z komentarzami.</w:t>
            </w:r>
          </w:p>
          <w:p w14:paraId="3912E60F" w14:textId="77777777" w:rsidR="008C5CFA" w:rsidRDefault="00E82A60" w:rsidP="00300A01">
            <w:pPr>
              <w:spacing w:before="0" w:after="0"/>
            </w:pPr>
            <w:r>
              <w:rPr>
                <w:noProof/>
              </w:rPr>
              <w:t>Problemy dot. wdrażania:</w:t>
            </w:r>
          </w:p>
          <w:p w14:paraId="2510AC4F" w14:textId="77777777" w:rsidR="008C5CFA" w:rsidRDefault="00E82A60" w:rsidP="00300A01">
            <w:pPr>
              <w:spacing w:before="0" w:after="0"/>
            </w:pPr>
            <w:r>
              <w:rPr>
                <w:noProof/>
              </w:rPr>
              <w:t xml:space="preserve">PI1a/Dz.1.1 o wsparcie mogły ubiegać się 3 podmioty, wpisane do KT-jeden wycofał się z realizacji. Długi proces negocjacji zakresu proj. </w:t>
            </w:r>
          </w:p>
          <w:p w14:paraId="0BAF2AE5" w14:textId="77777777" w:rsidR="008C5CFA" w:rsidRDefault="00E82A60" w:rsidP="00300A01">
            <w:pPr>
              <w:spacing w:before="0" w:after="0"/>
            </w:pPr>
            <w:r>
              <w:rPr>
                <w:noProof/>
              </w:rPr>
              <w:t xml:space="preserve">z MIiR opóźnił ogłoszenie naboru, ostatecznie podpisano umowę na realizację projektu GUM. </w:t>
            </w:r>
          </w:p>
          <w:p w14:paraId="5A0D3EA6" w14:textId="77777777" w:rsidR="008C5CFA" w:rsidRDefault="008C5CFA" w:rsidP="00300A01">
            <w:pPr>
              <w:spacing w:before="0" w:after="0"/>
            </w:pPr>
          </w:p>
        </w:tc>
      </w:tr>
      <w:tr w:rsidR="006B2EC1" w14:paraId="59B1795A" w14:textId="77777777" w:rsidTr="0047688D">
        <w:tc>
          <w:tcPr>
            <w:tcW w:w="0" w:type="auto"/>
            <w:shd w:val="clear" w:color="auto" w:fill="auto"/>
          </w:tcPr>
          <w:p w14:paraId="509405D5" w14:textId="77777777" w:rsidR="008C5CFA" w:rsidRDefault="00E82A60" w:rsidP="00300A01">
            <w:pPr>
              <w:spacing w:before="0" w:after="0"/>
            </w:pPr>
            <w:r>
              <w:rPr>
                <w:noProof/>
              </w:rPr>
              <w:t>10</w:t>
            </w:r>
          </w:p>
        </w:tc>
        <w:tc>
          <w:tcPr>
            <w:tcW w:w="0" w:type="auto"/>
            <w:shd w:val="clear" w:color="auto" w:fill="auto"/>
          </w:tcPr>
          <w:p w14:paraId="59B0AF3E" w14:textId="77777777" w:rsidR="008C5CFA" w:rsidRDefault="00E82A60" w:rsidP="00300A01">
            <w:pPr>
              <w:spacing w:before="0" w:after="0"/>
            </w:pPr>
            <w:r>
              <w:rPr>
                <w:noProof/>
              </w:rPr>
              <w:t>Otwarty rynek pracy</w:t>
            </w:r>
          </w:p>
        </w:tc>
        <w:tc>
          <w:tcPr>
            <w:tcW w:w="0" w:type="auto"/>
            <w:shd w:val="clear" w:color="auto" w:fill="auto"/>
          </w:tcPr>
          <w:p w14:paraId="6A3FC8D2" w14:textId="77777777" w:rsidR="008C5CFA" w:rsidRDefault="00E82A60" w:rsidP="00300A01">
            <w:pPr>
              <w:spacing w:before="0" w:after="0"/>
            </w:pPr>
            <w:r>
              <w:rPr>
                <w:noProof/>
              </w:rPr>
              <w:t>POSTĘP FINANSOWY</w:t>
            </w:r>
          </w:p>
          <w:p w14:paraId="2C07FE53" w14:textId="77777777" w:rsidR="008C5CFA" w:rsidRDefault="00E82A60" w:rsidP="00300A01">
            <w:pPr>
              <w:spacing w:before="0" w:after="0"/>
            </w:pPr>
            <w:r>
              <w:rPr>
                <w:noProof/>
              </w:rPr>
              <w:t>•</w:t>
            </w:r>
            <w:r>
              <w:rPr>
                <w:noProof/>
              </w:rPr>
              <w:tab/>
              <w:t xml:space="preserve">NABORY: ogłoszono 20 naborów, w tym 1 unieważniony </w:t>
            </w:r>
          </w:p>
          <w:p w14:paraId="49B48E6B" w14:textId="77777777" w:rsidR="008C5CFA" w:rsidRDefault="00E82A60" w:rsidP="00300A01">
            <w:pPr>
              <w:spacing w:before="0" w:after="0"/>
            </w:pPr>
            <w:r>
              <w:rPr>
                <w:noProof/>
              </w:rPr>
              <w:t>o budżecie 118,4 mln €, zakończono 19 naborów</w:t>
            </w:r>
          </w:p>
          <w:p w14:paraId="2EC877AA" w14:textId="77777777" w:rsidR="008C5CFA" w:rsidRDefault="00E82A60" w:rsidP="00300A01">
            <w:pPr>
              <w:spacing w:before="0" w:after="0"/>
            </w:pPr>
            <w:r>
              <w:rPr>
                <w:noProof/>
              </w:rPr>
              <w:t>W 2019 r. rozpoczęto 4 nowe nabory (3 konkursowe 1 pozakonkursowy) o budżecie 19,7 mln €, zakończono 1</w:t>
            </w:r>
          </w:p>
          <w:p w14:paraId="5BA37199" w14:textId="77777777" w:rsidR="008C5CFA" w:rsidRDefault="00E82A60" w:rsidP="00300A01">
            <w:pPr>
              <w:spacing w:before="0" w:after="0"/>
            </w:pPr>
            <w:r>
              <w:rPr>
                <w:noProof/>
              </w:rPr>
              <w:t>•</w:t>
            </w:r>
            <w:r>
              <w:rPr>
                <w:noProof/>
              </w:rPr>
              <w:tab/>
              <w:t>UMOWY: 200 podpisanych umów o dofinansowanie o wartości 101,5 mln € wkładu UE (81,1% alokacji OP)</w:t>
            </w:r>
          </w:p>
          <w:p w14:paraId="2849E74E" w14:textId="77777777" w:rsidR="008C5CFA" w:rsidRDefault="00E82A60" w:rsidP="00300A01">
            <w:pPr>
              <w:spacing w:before="0" w:after="0"/>
            </w:pPr>
            <w:r>
              <w:rPr>
                <w:noProof/>
              </w:rPr>
              <w:t>W 2019 podpisano 23 umowy o wartości 16,7 mln € wkładu UE</w:t>
            </w:r>
          </w:p>
          <w:p w14:paraId="363B6451" w14:textId="77777777" w:rsidR="008C5CFA" w:rsidRDefault="00E82A60" w:rsidP="00300A01">
            <w:pPr>
              <w:spacing w:before="0" w:after="0"/>
            </w:pPr>
            <w:r>
              <w:rPr>
                <w:noProof/>
              </w:rPr>
              <w:t>•</w:t>
            </w:r>
            <w:r>
              <w:rPr>
                <w:noProof/>
              </w:rPr>
              <w:tab/>
              <w:t>WNIOSKI O PŁATNOŚĆ: zatwierdzono 1 318  WNP o wartości 90,9 mln € wydatków uznanych za kwalifikowalne, w tym 76,7 mln € wkładu UE (61,3% alokacji OP)</w:t>
            </w:r>
          </w:p>
          <w:p w14:paraId="1F844E1F" w14:textId="77777777" w:rsidR="008C5CFA" w:rsidRDefault="00E82A60" w:rsidP="00300A01">
            <w:pPr>
              <w:spacing w:before="0" w:after="0"/>
            </w:pPr>
            <w:r>
              <w:rPr>
                <w:noProof/>
              </w:rPr>
              <w:lastRenderedPageBreak/>
              <w:t>W 2019 zatwierdzono 243 WNP o wartości 17,0 mln€ wydatków uznanych za kwalifikowalne, w tym 14,2 mln € wkładu UE.</w:t>
            </w:r>
          </w:p>
          <w:p w14:paraId="31B5B4CF" w14:textId="77777777" w:rsidR="008C5CFA" w:rsidRDefault="00E82A60" w:rsidP="00300A01">
            <w:pPr>
              <w:spacing w:before="0" w:after="0"/>
            </w:pPr>
            <w:r>
              <w:rPr>
                <w:noProof/>
              </w:rPr>
              <w:t>•</w:t>
            </w:r>
            <w:r>
              <w:rPr>
                <w:noProof/>
              </w:rPr>
              <w:tab/>
              <w:t>CERTYFIKACJA: do końca 2019 certyfikowano 78,1 mln € wkładu UE, tj. 62,5 % alokacji OP</w:t>
            </w:r>
          </w:p>
          <w:p w14:paraId="22E62FDC" w14:textId="77777777" w:rsidR="008C5CFA" w:rsidRDefault="00E82A60" w:rsidP="00300A01">
            <w:pPr>
              <w:spacing w:before="0" w:after="0"/>
            </w:pPr>
            <w:r>
              <w:rPr>
                <w:noProof/>
              </w:rPr>
              <w:t>POSTĘP RZECZOWY</w:t>
            </w:r>
          </w:p>
          <w:p w14:paraId="73C6C969" w14:textId="77777777" w:rsidR="008C5CFA" w:rsidRDefault="00E82A60" w:rsidP="00300A01">
            <w:pPr>
              <w:spacing w:before="0" w:after="0"/>
            </w:pPr>
            <w:r>
              <w:rPr>
                <w:noProof/>
              </w:rPr>
              <w:t xml:space="preserve">Postęp rzeczowy przedstawiono w Tabelach 2A, 2C, 4A, 4B i Tabeli 5 wraz z komentarzami do osiągniętych wartości wskaźników </w:t>
            </w:r>
          </w:p>
          <w:p w14:paraId="2C29ADB8" w14:textId="77777777" w:rsidR="008C5CFA" w:rsidRDefault="00E82A60" w:rsidP="00300A01">
            <w:pPr>
              <w:spacing w:before="0" w:after="0"/>
            </w:pPr>
            <w:r>
              <w:rPr>
                <w:noProof/>
              </w:rPr>
              <w:t>Wskaźniki:</w:t>
            </w:r>
          </w:p>
          <w:p w14:paraId="55FA26F6" w14:textId="77777777" w:rsidR="008C5CFA" w:rsidRDefault="00E82A60" w:rsidP="00300A01">
            <w:pPr>
              <w:spacing w:before="0" w:after="0"/>
            </w:pPr>
            <w:r>
              <w:rPr>
                <w:noProof/>
              </w:rPr>
              <w:t>Poziom realizacji wskaźników jest zadowalający. Część wskaźników została już zrealizowana.</w:t>
            </w:r>
          </w:p>
          <w:p w14:paraId="78B59144" w14:textId="77777777" w:rsidR="008C5CFA" w:rsidRDefault="00E82A60" w:rsidP="00300A01">
            <w:pPr>
              <w:spacing w:before="0" w:after="0"/>
            </w:pPr>
            <w:r>
              <w:rPr>
                <w:noProof/>
              </w:rPr>
              <w:t>PI8i nie został jeszcze zrealizowany wskaźnik prod. dotyczący osób, które otrzymały bezzwrotne środki na podjęcie działalności gospodarczej-75,7% - brak zagrożenia realizacji.</w:t>
            </w:r>
          </w:p>
          <w:p w14:paraId="6892DF1A" w14:textId="77777777" w:rsidR="008C5CFA" w:rsidRDefault="00E82A60" w:rsidP="00300A01">
            <w:pPr>
              <w:spacing w:before="0" w:after="0"/>
            </w:pPr>
            <w:r>
              <w:rPr>
                <w:noProof/>
              </w:rPr>
              <w:t xml:space="preserve">PI8iii-na niskim poziomie pozostaje wskaźnik dotyczący liczby osób, które skorzystały z instrumentów zwrotnych-21,1%, ale sukcesywnie rośnie. Realna wypłata mikropożyczek rozpoczęła się dopiero po wyborze przez BGK Pośrednika (2018 r.). </w:t>
            </w:r>
          </w:p>
          <w:p w14:paraId="6585DCF5" w14:textId="77777777" w:rsidR="008C5CFA" w:rsidRDefault="00E82A60" w:rsidP="00300A01">
            <w:pPr>
              <w:spacing w:before="0" w:after="0"/>
            </w:pPr>
            <w:r>
              <w:rPr>
                <w:noProof/>
              </w:rPr>
              <w:t>PI8v-nadal dość niska realizacja wskaźnika dotyczącego osób pracujących pow. 50 lat  objętych wsparciem-26,2% i o niskich kwalifilacjach-48,7%. Na koniec 2019 r. wybrano do dofin. kolejny projekt w Dz.10.5, przewidujący wsparcie ponad 7 tys. osób.</w:t>
            </w:r>
          </w:p>
          <w:p w14:paraId="5B7A8E26" w14:textId="77777777" w:rsidR="008C5CFA" w:rsidRDefault="00E82A60" w:rsidP="00300A01">
            <w:pPr>
              <w:spacing w:before="0" w:after="0"/>
            </w:pPr>
            <w:r>
              <w:rPr>
                <w:noProof/>
              </w:rPr>
              <w:t>Problemy:</w:t>
            </w:r>
          </w:p>
          <w:p w14:paraId="07AC3E45" w14:textId="77777777" w:rsidR="008C5CFA" w:rsidRDefault="00E82A60" w:rsidP="00300A01">
            <w:pPr>
              <w:spacing w:before="0" w:after="0"/>
            </w:pPr>
            <w:r>
              <w:rPr>
                <w:noProof/>
              </w:rPr>
              <w:t>-</w:t>
            </w:r>
            <w:r>
              <w:rPr>
                <w:noProof/>
              </w:rPr>
              <w:tab/>
              <w:t xml:space="preserve">nadal stosunkowo niski wskaźnik udzielonych pożyczek </w:t>
            </w:r>
          </w:p>
          <w:p w14:paraId="75DD9735" w14:textId="77777777" w:rsidR="008C5CFA" w:rsidRDefault="008C5CFA" w:rsidP="00300A01">
            <w:pPr>
              <w:spacing w:before="0" w:after="0"/>
            </w:pPr>
          </w:p>
          <w:p w14:paraId="50FECAA8" w14:textId="77777777" w:rsidR="008C5CFA" w:rsidRDefault="008C5CFA" w:rsidP="00300A01">
            <w:pPr>
              <w:spacing w:before="0" w:after="0"/>
            </w:pPr>
          </w:p>
        </w:tc>
      </w:tr>
      <w:tr w:rsidR="006B2EC1" w14:paraId="54388682" w14:textId="77777777" w:rsidTr="0047688D">
        <w:tc>
          <w:tcPr>
            <w:tcW w:w="0" w:type="auto"/>
            <w:shd w:val="clear" w:color="auto" w:fill="auto"/>
          </w:tcPr>
          <w:p w14:paraId="0889683C" w14:textId="77777777" w:rsidR="008C5CFA" w:rsidRDefault="00E82A60" w:rsidP="00300A01">
            <w:pPr>
              <w:spacing w:before="0" w:after="0"/>
            </w:pPr>
            <w:r>
              <w:rPr>
                <w:noProof/>
              </w:rPr>
              <w:lastRenderedPageBreak/>
              <w:t>11</w:t>
            </w:r>
          </w:p>
        </w:tc>
        <w:tc>
          <w:tcPr>
            <w:tcW w:w="0" w:type="auto"/>
            <w:shd w:val="clear" w:color="auto" w:fill="auto"/>
          </w:tcPr>
          <w:p w14:paraId="1A7086EA" w14:textId="77777777" w:rsidR="008C5CFA" w:rsidRDefault="00E82A60" w:rsidP="00300A01">
            <w:pPr>
              <w:spacing w:before="0" w:after="0"/>
            </w:pPr>
            <w:r>
              <w:rPr>
                <w:noProof/>
              </w:rPr>
              <w:t>Pomoc Techniczna</w:t>
            </w:r>
          </w:p>
        </w:tc>
        <w:tc>
          <w:tcPr>
            <w:tcW w:w="0" w:type="auto"/>
            <w:shd w:val="clear" w:color="auto" w:fill="auto"/>
          </w:tcPr>
          <w:p w14:paraId="69F46C90" w14:textId="77777777" w:rsidR="008C5CFA" w:rsidRDefault="00E82A60" w:rsidP="00300A01">
            <w:pPr>
              <w:spacing w:before="0" w:after="0"/>
            </w:pPr>
            <w:r>
              <w:rPr>
                <w:noProof/>
              </w:rPr>
              <w:t>POSTĘP FINANSOWY</w:t>
            </w:r>
          </w:p>
          <w:p w14:paraId="60F5BAEF" w14:textId="77777777" w:rsidR="008C5CFA" w:rsidRDefault="00E82A60" w:rsidP="00300A01">
            <w:pPr>
              <w:spacing w:before="0" w:after="0"/>
            </w:pPr>
            <w:r>
              <w:rPr>
                <w:noProof/>
              </w:rPr>
              <w:t>•</w:t>
            </w:r>
            <w:r>
              <w:rPr>
                <w:noProof/>
              </w:rPr>
              <w:tab/>
              <w:t>NABORY: ogłoszono 18 naborów pozakonkursowych o budżecie 40,4 mln €, 15 zakończono</w:t>
            </w:r>
          </w:p>
          <w:p w14:paraId="4E114EDF" w14:textId="77777777" w:rsidR="008C5CFA" w:rsidRDefault="00E82A60" w:rsidP="00300A01">
            <w:pPr>
              <w:spacing w:before="0" w:after="0"/>
            </w:pPr>
            <w:r>
              <w:rPr>
                <w:noProof/>
              </w:rPr>
              <w:t>W 2019 r. rozpoczęto 3 nowe nabory (pozakonkursowe) o budżecie 7,8 mln €</w:t>
            </w:r>
          </w:p>
          <w:p w14:paraId="090B9802" w14:textId="77777777" w:rsidR="008C5CFA" w:rsidRDefault="00E82A60" w:rsidP="00300A01">
            <w:pPr>
              <w:spacing w:before="0" w:after="0"/>
            </w:pPr>
            <w:r>
              <w:rPr>
                <w:noProof/>
              </w:rPr>
              <w:t>•</w:t>
            </w:r>
            <w:r>
              <w:rPr>
                <w:noProof/>
              </w:rPr>
              <w:tab/>
              <w:t>UMOWY: 156 podpisanych umów o dofinansowanie o wartości 32,7 mln € wkładu UE, tj. 65,4% alokacji OP</w:t>
            </w:r>
          </w:p>
          <w:p w14:paraId="1CD333C9" w14:textId="77777777" w:rsidR="008C5CFA" w:rsidRDefault="00E82A60" w:rsidP="00300A01">
            <w:pPr>
              <w:spacing w:before="0" w:after="0"/>
            </w:pPr>
            <w:r>
              <w:rPr>
                <w:noProof/>
              </w:rPr>
              <w:t>W 2019 podpisano 10 umów o wartości 6,7 mln € wkładu UE</w:t>
            </w:r>
          </w:p>
          <w:p w14:paraId="6D765C31" w14:textId="77777777" w:rsidR="008C5CFA" w:rsidRDefault="00E82A60" w:rsidP="00300A01">
            <w:pPr>
              <w:spacing w:before="0" w:after="0"/>
            </w:pPr>
            <w:r>
              <w:rPr>
                <w:noProof/>
              </w:rPr>
              <w:t>•</w:t>
            </w:r>
            <w:r>
              <w:rPr>
                <w:noProof/>
              </w:rPr>
              <w:tab/>
              <w:t>WNIOSKI O PŁATNOŚĆ: zatwierdzono 611 WNP o wartości 22,9 mln € wydatków uznanych za kwalifikowalne, w tym 19,5 mln € wkładu UE (38,9% alokacji OP)</w:t>
            </w:r>
          </w:p>
          <w:p w14:paraId="70BBAA26" w14:textId="77777777" w:rsidR="008C5CFA" w:rsidRDefault="00E82A60" w:rsidP="00300A01">
            <w:pPr>
              <w:spacing w:before="0" w:after="0"/>
            </w:pPr>
            <w:r>
              <w:rPr>
                <w:noProof/>
              </w:rPr>
              <w:t>W 2019 zatwierdzono 143 WNP o wartości 6,1 mln€ wydatków uznanych za kwalifikowalne, w tym 5,1 mln € wkładu UE</w:t>
            </w:r>
          </w:p>
          <w:p w14:paraId="6A7B78CD" w14:textId="77777777" w:rsidR="008C5CFA" w:rsidRDefault="00E82A60" w:rsidP="00300A01">
            <w:pPr>
              <w:spacing w:before="0" w:after="0"/>
            </w:pPr>
            <w:r>
              <w:rPr>
                <w:noProof/>
              </w:rPr>
              <w:t>•</w:t>
            </w:r>
            <w:r>
              <w:rPr>
                <w:noProof/>
              </w:rPr>
              <w:tab/>
              <w:t>CERTYFIKACJA: do końca 2019 certyfikowano 19,2 mln € wkładu UE, tj. 38,5 % alokacji OP.</w:t>
            </w:r>
          </w:p>
          <w:p w14:paraId="1DD63A33" w14:textId="77777777" w:rsidR="008C5CFA" w:rsidRDefault="00E82A60" w:rsidP="00300A01">
            <w:pPr>
              <w:spacing w:before="0" w:after="0"/>
            </w:pPr>
            <w:r>
              <w:rPr>
                <w:noProof/>
              </w:rPr>
              <w:t xml:space="preserve">POSTĘP RZECZOWY - przedstawiono w Tabelach 2C oraz 4B </w:t>
            </w:r>
          </w:p>
          <w:p w14:paraId="3E837551" w14:textId="77777777" w:rsidR="008C5CFA" w:rsidRDefault="008C5CFA" w:rsidP="00300A01">
            <w:pPr>
              <w:spacing w:before="0" w:after="0"/>
            </w:pPr>
          </w:p>
        </w:tc>
      </w:tr>
      <w:tr w:rsidR="006B2EC1" w14:paraId="103EB5D1" w14:textId="77777777" w:rsidTr="0047688D">
        <w:tc>
          <w:tcPr>
            <w:tcW w:w="0" w:type="auto"/>
            <w:shd w:val="clear" w:color="auto" w:fill="auto"/>
          </w:tcPr>
          <w:p w14:paraId="178CFA27" w14:textId="77777777" w:rsidR="008C5CFA" w:rsidRDefault="00E82A60" w:rsidP="00300A01">
            <w:pPr>
              <w:spacing w:before="0" w:after="0"/>
            </w:pPr>
            <w:r>
              <w:rPr>
                <w:noProof/>
              </w:rPr>
              <w:t>2</w:t>
            </w:r>
          </w:p>
        </w:tc>
        <w:tc>
          <w:tcPr>
            <w:tcW w:w="0" w:type="auto"/>
            <w:shd w:val="clear" w:color="auto" w:fill="auto"/>
          </w:tcPr>
          <w:p w14:paraId="1665643E" w14:textId="77777777" w:rsidR="008C5CFA" w:rsidRDefault="00E82A60" w:rsidP="00300A01">
            <w:pPr>
              <w:spacing w:before="0" w:after="0"/>
            </w:pPr>
            <w:r>
              <w:rPr>
                <w:noProof/>
              </w:rPr>
              <w:t>Konkurencyjna gospodarka</w:t>
            </w:r>
          </w:p>
        </w:tc>
        <w:tc>
          <w:tcPr>
            <w:tcW w:w="0" w:type="auto"/>
            <w:shd w:val="clear" w:color="auto" w:fill="auto"/>
          </w:tcPr>
          <w:p w14:paraId="4AC3493B" w14:textId="77777777" w:rsidR="008C5CFA" w:rsidRDefault="00E82A60" w:rsidP="00300A01">
            <w:pPr>
              <w:spacing w:before="0" w:after="0"/>
            </w:pPr>
            <w:r>
              <w:rPr>
                <w:noProof/>
              </w:rPr>
              <w:t>POSTĘP FINANSOWY</w:t>
            </w:r>
          </w:p>
          <w:p w14:paraId="40DD4ACE" w14:textId="77777777" w:rsidR="008C5CFA" w:rsidRDefault="00E82A60" w:rsidP="00300A01">
            <w:pPr>
              <w:spacing w:before="0" w:after="0"/>
            </w:pPr>
            <w:r>
              <w:rPr>
                <w:noProof/>
              </w:rPr>
              <w:t>•</w:t>
            </w:r>
            <w:r>
              <w:rPr>
                <w:noProof/>
              </w:rPr>
              <w:tab/>
              <w:t xml:space="preserve">NABORY: rozpoczęto 16 naborów o budżecie 173,7 mln€ (zakończono 16) </w:t>
            </w:r>
          </w:p>
          <w:p w14:paraId="048B89AC" w14:textId="77777777" w:rsidR="008C5CFA" w:rsidRDefault="00E82A60" w:rsidP="00300A01">
            <w:pPr>
              <w:spacing w:before="0" w:after="0"/>
            </w:pPr>
            <w:r>
              <w:rPr>
                <w:noProof/>
              </w:rPr>
              <w:lastRenderedPageBreak/>
              <w:t>W 2019 r. rozpoczęto 3 nabory (konkursowe) o budżecie 21,1 mln€ (zakończono 3)</w:t>
            </w:r>
          </w:p>
          <w:p w14:paraId="782D2DE0" w14:textId="77777777" w:rsidR="008C5CFA" w:rsidRDefault="00E82A60" w:rsidP="00300A01">
            <w:pPr>
              <w:spacing w:before="0" w:after="0"/>
            </w:pPr>
            <w:r>
              <w:rPr>
                <w:noProof/>
              </w:rPr>
              <w:t>•</w:t>
            </w:r>
            <w:r>
              <w:rPr>
                <w:noProof/>
              </w:rPr>
              <w:tab/>
              <w:t>UMOWY: 265 podpisanych umów o dofinansowanie o wartości wkładu UE 111,7 mln€ (69,3% alokacji OP) Na 31.12.19 r. było 5 pre-umów o wart. UE 7,7 mln €</w:t>
            </w:r>
          </w:p>
          <w:p w14:paraId="7845D286" w14:textId="77777777" w:rsidR="008C5CFA" w:rsidRDefault="00E82A60" w:rsidP="00300A01">
            <w:pPr>
              <w:spacing w:before="0" w:after="0"/>
            </w:pPr>
            <w:r>
              <w:rPr>
                <w:noProof/>
              </w:rPr>
              <w:t>W 2019: 6 umów o wartości 2,4 mln€ wkładu UE</w:t>
            </w:r>
          </w:p>
          <w:p w14:paraId="29AA4B1A" w14:textId="77777777" w:rsidR="008C5CFA" w:rsidRDefault="00E82A60" w:rsidP="00300A01">
            <w:pPr>
              <w:spacing w:before="0" w:after="0"/>
            </w:pPr>
            <w:r>
              <w:rPr>
                <w:noProof/>
              </w:rPr>
              <w:t>•</w:t>
            </w:r>
            <w:r>
              <w:rPr>
                <w:noProof/>
              </w:rPr>
              <w:tab/>
              <w:t>WNIOSKI O PŁATNOŚĆ: zatwierdzono 1 080 WNP o wartości 82,9 mln€ wydatków uznanych za kwalifikowalne, w tym 60,1 mln€ UE (37,3% alokacji OP)</w:t>
            </w:r>
          </w:p>
          <w:p w14:paraId="050FF7FF" w14:textId="77777777" w:rsidR="008C5CFA" w:rsidRDefault="00E82A60" w:rsidP="00300A01">
            <w:pPr>
              <w:spacing w:before="0" w:after="0"/>
            </w:pPr>
            <w:r>
              <w:rPr>
                <w:noProof/>
              </w:rPr>
              <w:t>W 2019: 334 WNP o wartości 37,8 mln€ wydatków uznanych za kwalifikowalne, w tym 25,8 mln€ UE</w:t>
            </w:r>
          </w:p>
          <w:p w14:paraId="50A9930E" w14:textId="77777777" w:rsidR="008C5CFA" w:rsidRDefault="00E82A60" w:rsidP="00300A01">
            <w:pPr>
              <w:spacing w:before="0" w:after="0"/>
            </w:pPr>
            <w:r>
              <w:rPr>
                <w:noProof/>
              </w:rPr>
              <w:t>•</w:t>
            </w:r>
            <w:r>
              <w:rPr>
                <w:noProof/>
              </w:rPr>
              <w:tab/>
              <w:t>CERTYFIKACJA: na koniec 2019 r. certyfikowano 71,7 mln€ UE (44,5% alokacji OP)</w:t>
            </w:r>
          </w:p>
          <w:p w14:paraId="147B5A61" w14:textId="77777777" w:rsidR="008C5CFA" w:rsidRDefault="00E82A60" w:rsidP="00300A01">
            <w:pPr>
              <w:spacing w:before="0" w:after="0"/>
            </w:pPr>
            <w:r>
              <w:rPr>
                <w:noProof/>
              </w:rPr>
              <w:t>POSTĘP RZECZOWY</w:t>
            </w:r>
          </w:p>
          <w:p w14:paraId="5B46E9FE" w14:textId="77777777" w:rsidR="008C5CFA" w:rsidRDefault="00E82A60" w:rsidP="00300A01">
            <w:pPr>
              <w:spacing w:before="0" w:after="0"/>
            </w:pPr>
            <w:r>
              <w:rPr>
                <w:noProof/>
              </w:rPr>
              <w:t xml:space="preserve">PI3a-brak możliwości osiągnięcia wskaźnika dot. wsparcia nowych MŚP-do KE zawnioskowano o zmniejszenie wart. docelowej. </w:t>
            </w:r>
          </w:p>
          <w:p w14:paraId="4A8B9C4D" w14:textId="77777777" w:rsidR="008C5CFA" w:rsidRDefault="00E82A60" w:rsidP="00300A01">
            <w:pPr>
              <w:spacing w:before="0" w:after="0"/>
            </w:pPr>
            <w:r>
              <w:rPr>
                <w:noProof/>
              </w:rPr>
              <w:t xml:space="preserve">PI3b-wskaźniki prod. zrealizowano. </w:t>
            </w:r>
          </w:p>
          <w:p w14:paraId="68F80672" w14:textId="77777777" w:rsidR="008C5CFA" w:rsidRDefault="00E82A60" w:rsidP="00300A01">
            <w:pPr>
              <w:spacing w:before="0" w:after="0"/>
            </w:pPr>
            <w:r>
              <w:rPr>
                <w:noProof/>
              </w:rPr>
              <w:t>PI3c-nastąpiły korekty wart. wskaźników (umowy rozwiązane).  Poziom realizacji wskaźników jest zadowalający, jedynie wsk. dot. inwestycji prywatnych uzupełniających wsparcie publiczne jest na stosunkowo niskim poziomie.</w:t>
            </w:r>
          </w:p>
          <w:p w14:paraId="0E1C2067" w14:textId="77777777" w:rsidR="008C5CFA" w:rsidRDefault="00E82A60" w:rsidP="00300A01">
            <w:pPr>
              <w:spacing w:before="0" w:after="0"/>
            </w:pPr>
            <w:r>
              <w:rPr>
                <w:noProof/>
              </w:rPr>
              <w:t xml:space="preserve">Postęp rzeczowy przedstawiono szczegółowo w Tabelach 3A i 5 wraz </w:t>
            </w:r>
          </w:p>
          <w:p w14:paraId="6813D2DA" w14:textId="77777777" w:rsidR="008C5CFA" w:rsidRDefault="00E82A60" w:rsidP="00300A01">
            <w:pPr>
              <w:spacing w:before="0" w:after="0"/>
            </w:pPr>
            <w:r>
              <w:rPr>
                <w:noProof/>
              </w:rPr>
              <w:t>z komentarzami.</w:t>
            </w:r>
          </w:p>
          <w:p w14:paraId="5B8CE151" w14:textId="77777777" w:rsidR="008C5CFA" w:rsidRDefault="00E82A60" w:rsidP="00300A01">
            <w:pPr>
              <w:spacing w:before="0" w:after="0"/>
            </w:pPr>
            <w:r>
              <w:rPr>
                <w:noProof/>
              </w:rPr>
              <w:t>Problemy dot. wdrażania</w:t>
            </w:r>
          </w:p>
          <w:p w14:paraId="46ACBE63" w14:textId="77777777" w:rsidR="008C5CFA" w:rsidRDefault="00E82A60" w:rsidP="00300A01">
            <w:pPr>
              <w:spacing w:before="0" w:after="0"/>
            </w:pPr>
            <w:r>
              <w:rPr>
                <w:noProof/>
              </w:rPr>
              <w:t xml:space="preserve">Dz. 2.1/PI 3a-pierwsze 2 konkursy na zasadach de minimis na rozszerzenie oferty usług dla MŚP-dla wnioskodawców bariera </w:t>
            </w:r>
          </w:p>
          <w:p w14:paraId="6C10AD42" w14:textId="77777777" w:rsidR="008C5CFA" w:rsidRDefault="00E82A60" w:rsidP="00300A01">
            <w:pPr>
              <w:spacing w:before="0" w:after="0"/>
            </w:pPr>
            <w:r>
              <w:rPr>
                <w:noProof/>
              </w:rPr>
              <w:t xml:space="preserve">w wysokości dofinansowania. IOB skoncentrowane na potrzebach lokalowych. Wybrano jedynie 5 projektów. Część środków </w:t>
            </w:r>
          </w:p>
          <w:p w14:paraId="56D3C040" w14:textId="77777777" w:rsidR="008C5CFA" w:rsidRDefault="00E82A60" w:rsidP="00300A01">
            <w:pPr>
              <w:spacing w:before="0" w:after="0"/>
            </w:pPr>
            <w:r>
              <w:rPr>
                <w:noProof/>
              </w:rPr>
              <w:t xml:space="preserve">z Dz.2.1/PI3a realokowano do Dz.2.5/PI3c. W trybie pozakonk. przyznano dofinansowanie na projekt voucherowy dla MSP. </w:t>
            </w:r>
          </w:p>
          <w:p w14:paraId="14833A15" w14:textId="77777777" w:rsidR="008C5CFA" w:rsidRDefault="00E82A60" w:rsidP="00300A01">
            <w:pPr>
              <w:spacing w:before="0" w:after="0"/>
            </w:pPr>
            <w:r>
              <w:rPr>
                <w:noProof/>
              </w:rPr>
              <w:t>W Dz.2.3/PI3b nie złożono WND. Środki realokowano do Dz. 2.6/PI3c.</w:t>
            </w:r>
          </w:p>
          <w:p w14:paraId="09580183" w14:textId="77777777" w:rsidR="008C5CFA" w:rsidRDefault="00E82A60" w:rsidP="00300A01">
            <w:pPr>
              <w:spacing w:before="0" w:after="0"/>
            </w:pPr>
            <w:r>
              <w:rPr>
                <w:noProof/>
              </w:rPr>
              <w:t>W Dz.2.6/PI3c -nie uruchomiono poręczeń. IZ zgłosiła zmiany do RPOWŚ (rezygnacja z poręczeń)</w:t>
            </w:r>
          </w:p>
        </w:tc>
      </w:tr>
      <w:tr w:rsidR="006B2EC1" w14:paraId="5C7D37AC" w14:textId="77777777" w:rsidTr="0047688D">
        <w:tc>
          <w:tcPr>
            <w:tcW w:w="0" w:type="auto"/>
            <w:shd w:val="clear" w:color="auto" w:fill="auto"/>
          </w:tcPr>
          <w:p w14:paraId="50D1C161" w14:textId="77777777" w:rsidR="008C5CFA" w:rsidRDefault="00E82A60" w:rsidP="00300A01">
            <w:pPr>
              <w:spacing w:before="0" w:after="0"/>
            </w:pPr>
            <w:r>
              <w:rPr>
                <w:noProof/>
              </w:rPr>
              <w:lastRenderedPageBreak/>
              <w:t>3</w:t>
            </w:r>
          </w:p>
        </w:tc>
        <w:tc>
          <w:tcPr>
            <w:tcW w:w="0" w:type="auto"/>
            <w:shd w:val="clear" w:color="auto" w:fill="auto"/>
          </w:tcPr>
          <w:p w14:paraId="19F497C2" w14:textId="77777777" w:rsidR="008C5CFA" w:rsidRDefault="00E82A60" w:rsidP="00300A01">
            <w:pPr>
              <w:spacing w:before="0" w:after="0"/>
            </w:pPr>
            <w:r>
              <w:rPr>
                <w:noProof/>
              </w:rPr>
              <w:t>Efektywna i zielona energia</w:t>
            </w:r>
          </w:p>
        </w:tc>
        <w:tc>
          <w:tcPr>
            <w:tcW w:w="0" w:type="auto"/>
            <w:shd w:val="clear" w:color="auto" w:fill="auto"/>
          </w:tcPr>
          <w:p w14:paraId="576EA812" w14:textId="77777777" w:rsidR="008C5CFA" w:rsidRDefault="00E82A60" w:rsidP="00300A01">
            <w:pPr>
              <w:spacing w:before="0" w:after="0"/>
            </w:pPr>
            <w:r>
              <w:rPr>
                <w:noProof/>
              </w:rPr>
              <w:t>POSTĘP FINANSOWY</w:t>
            </w:r>
          </w:p>
          <w:p w14:paraId="4B329607" w14:textId="77777777" w:rsidR="008C5CFA" w:rsidRDefault="00E82A60" w:rsidP="00300A01">
            <w:pPr>
              <w:spacing w:before="0" w:after="0"/>
            </w:pPr>
            <w:r>
              <w:rPr>
                <w:noProof/>
              </w:rPr>
              <w:t>•</w:t>
            </w:r>
            <w:r>
              <w:rPr>
                <w:noProof/>
              </w:rPr>
              <w:tab/>
              <w:t xml:space="preserve">NABORY: rozpoczęto 19 o budżecie 153,6 mln€ (zakończono 19) </w:t>
            </w:r>
          </w:p>
          <w:p w14:paraId="6EB25C10" w14:textId="77777777" w:rsidR="008C5CFA" w:rsidRDefault="00E82A60" w:rsidP="00300A01">
            <w:pPr>
              <w:spacing w:before="0" w:after="0"/>
            </w:pPr>
            <w:r>
              <w:rPr>
                <w:noProof/>
              </w:rPr>
              <w:t>W 2019 nie rozpoczęto nowych naborów, zakończono 3.</w:t>
            </w:r>
          </w:p>
          <w:p w14:paraId="4B82C3A1" w14:textId="77777777" w:rsidR="008C5CFA" w:rsidRDefault="00E82A60" w:rsidP="00300A01">
            <w:pPr>
              <w:spacing w:before="0" w:after="0"/>
            </w:pPr>
            <w:r>
              <w:rPr>
                <w:noProof/>
              </w:rPr>
              <w:t>•</w:t>
            </w:r>
            <w:r>
              <w:rPr>
                <w:noProof/>
              </w:rPr>
              <w:tab/>
              <w:t xml:space="preserve">UMOWY: 268 podpisanych umów o wartości wkładu UE 115,7 mln€ (66,2% alokacji OP) </w:t>
            </w:r>
          </w:p>
          <w:p w14:paraId="7297CE07" w14:textId="77777777" w:rsidR="008C5CFA" w:rsidRDefault="00E82A60" w:rsidP="00300A01">
            <w:pPr>
              <w:spacing w:before="0" w:after="0"/>
            </w:pPr>
            <w:r>
              <w:rPr>
                <w:noProof/>
              </w:rPr>
              <w:t>Na 31.12.19 r. było 31 pre-umów o wart. UE 36,1 mln €</w:t>
            </w:r>
          </w:p>
          <w:p w14:paraId="44C7DAE1" w14:textId="77777777" w:rsidR="008C5CFA" w:rsidRDefault="00E82A60" w:rsidP="00300A01">
            <w:pPr>
              <w:spacing w:before="0" w:after="0"/>
            </w:pPr>
            <w:r>
              <w:rPr>
                <w:noProof/>
              </w:rPr>
              <w:t>W 2019: 107 umów o wartości 46,2 mln€ wkładu UE</w:t>
            </w:r>
          </w:p>
          <w:p w14:paraId="4224B8CA" w14:textId="77777777" w:rsidR="008C5CFA" w:rsidRDefault="00E82A60" w:rsidP="00300A01">
            <w:pPr>
              <w:spacing w:before="0" w:after="0"/>
            </w:pPr>
            <w:r>
              <w:rPr>
                <w:noProof/>
              </w:rPr>
              <w:t>•</w:t>
            </w:r>
            <w:r>
              <w:rPr>
                <w:noProof/>
              </w:rPr>
              <w:tab/>
              <w:t>WNIOSKI O PŁATNOŚĆ: zatwierdzono 808 WNP o wartości 47,2 mln€ wydatków uznanych za kwalifikowalne, w tym 34,6 mln€ UE (22,4% alokacji OP)</w:t>
            </w:r>
          </w:p>
          <w:p w14:paraId="15D1E910" w14:textId="77777777" w:rsidR="008C5CFA" w:rsidRDefault="00E82A60" w:rsidP="00300A01">
            <w:pPr>
              <w:spacing w:before="0" w:after="0"/>
            </w:pPr>
            <w:r>
              <w:rPr>
                <w:noProof/>
              </w:rPr>
              <w:lastRenderedPageBreak/>
              <w:t>•</w:t>
            </w:r>
            <w:r>
              <w:rPr>
                <w:noProof/>
              </w:rPr>
              <w:tab/>
              <w:t>W 2019: 473 WNP o wartości 31,7 mln€ wydatków uznanych za kwalifikowalne, w tym 22,6 mln€ UE</w:t>
            </w:r>
          </w:p>
          <w:p w14:paraId="30E6CFD3" w14:textId="77777777" w:rsidR="008C5CFA" w:rsidRDefault="00E82A60" w:rsidP="00300A01">
            <w:pPr>
              <w:spacing w:before="0" w:after="0"/>
            </w:pPr>
            <w:r>
              <w:rPr>
                <w:noProof/>
              </w:rPr>
              <w:t>•</w:t>
            </w:r>
            <w:r>
              <w:rPr>
                <w:noProof/>
              </w:rPr>
              <w:tab/>
              <w:t>CERTYFIKACJA: na koniec 2019 r. certyfikowano 39,2 mln€ UE (22,4% alokacji OP)</w:t>
            </w:r>
          </w:p>
          <w:p w14:paraId="21BF904B" w14:textId="77777777" w:rsidR="008C5CFA" w:rsidRDefault="00E82A60" w:rsidP="00300A01">
            <w:pPr>
              <w:spacing w:before="0" w:after="0"/>
            </w:pPr>
            <w:r>
              <w:rPr>
                <w:noProof/>
              </w:rPr>
              <w:t>POSTĘP RZECZOWY</w:t>
            </w:r>
          </w:p>
          <w:p w14:paraId="4D0F6164" w14:textId="77777777" w:rsidR="008C5CFA" w:rsidRDefault="00E82A60" w:rsidP="00300A01">
            <w:pPr>
              <w:spacing w:before="0" w:after="0"/>
            </w:pPr>
            <w:r>
              <w:rPr>
                <w:noProof/>
              </w:rPr>
              <w:t>Wskaźniki:</w:t>
            </w:r>
          </w:p>
          <w:p w14:paraId="6218127E" w14:textId="77777777" w:rsidR="008C5CFA" w:rsidRDefault="00E82A60" w:rsidP="00300A01">
            <w:pPr>
              <w:spacing w:before="0" w:after="0"/>
            </w:pPr>
            <w:r>
              <w:rPr>
                <w:noProof/>
              </w:rPr>
              <w:t xml:space="preserve">PI4a-2 wskaźniki prod. zrealizowane, 1 w realizacji w umowach-do KE wystąpiono o urealnienie in plus. Dla wsk. dot. szacowanego zmniejszenia emisji gazów cieplarnianych zawnioskowano </w:t>
            </w:r>
          </w:p>
          <w:p w14:paraId="508A4B75" w14:textId="77777777" w:rsidR="008C5CFA" w:rsidRDefault="00E82A60" w:rsidP="00300A01">
            <w:pPr>
              <w:spacing w:before="0" w:after="0"/>
            </w:pPr>
            <w:r>
              <w:rPr>
                <w:noProof/>
              </w:rPr>
              <w:t>o zmniejszenie</w:t>
            </w:r>
          </w:p>
          <w:p w14:paraId="647D9F9E" w14:textId="77777777" w:rsidR="008C5CFA" w:rsidRDefault="00E82A60" w:rsidP="00300A01">
            <w:pPr>
              <w:spacing w:before="0" w:after="0"/>
            </w:pPr>
            <w:r>
              <w:rPr>
                <w:noProof/>
              </w:rPr>
              <w:t>PI4b-dla 3 z 4 wskaźników prod. wystąpiono o urealnienie wartości in plus. Dla  wskaźnika dot. inwestycji prywatnych uzupełniających wsparcie publiczne-zgłoszono konieczność zmniejszenia wart. docelowej</w:t>
            </w:r>
          </w:p>
          <w:p w14:paraId="4261619E" w14:textId="77777777" w:rsidR="008C5CFA" w:rsidRDefault="00E82A60" w:rsidP="00300A01">
            <w:pPr>
              <w:spacing w:before="0" w:after="0"/>
            </w:pPr>
            <w:r>
              <w:rPr>
                <w:noProof/>
              </w:rPr>
              <w:t>PI4c/4e-na bieżąco postęp w realizacji. Ryzyko nieosiągnięcia wybranych wskaźników-IZ zgłosiła KE konieczność zmian</w:t>
            </w:r>
          </w:p>
          <w:p w14:paraId="2CEAAF7C" w14:textId="77777777" w:rsidR="008C5CFA" w:rsidRDefault="008C5CFA" w:rsidP="00300A01">
            <w:pPr>
              <w:spacing w:before="0" w:after="0"/>
            </w:pPr>
          </w:p>
          <w:p w14:paraId="425AEDA8" w14:textId="77777777" w:rsidR="008C5CFA" w:rsidRDefault="00E82A60" w:rsidP="00300A01">
            <w:pPr>
              <w:spacing w:before="0" w:after="0"/>
            </w:pPr>
            <w:r>
              <w:rPr>
                <w:noProof/>
              </w:rPr>
              <w:t>Postęp rzeczowy-Tabele 3A i 5</w:t>
            </w:r>
          </w:p>
          <w:p w14:paraId="355C160E" w14:textId="77777777" w:rsidR="008C5CFA" w:rsidRDefault="00E82A60" w:rsidP="00300A01">
            <w:pPr>
              <w:spacing w:before="0" w:after="0"/>
            </w:pPr>
            <w:r>
              <w:rPr>
                <w:noProof/>
              </w:rPr>
              <w:t>Problemy dot. wdrażania</w:t>
            </w:r>
          </w:p>
          <w:p w14:paraId="28C6F0A1" w14:textId="77777777" w:rsidR="008C5CFA" w:rsidRDefault="00E82A60" w:rsidP="00300A01">
            <w:pPr>
              <w:spacing w:before="0" w:after="0"/>
            </w:pPr>
            <w:r>
              <w:rPr>
                <w:noProof/>
              </w:rPr>
              <w:t>-</w:t>
            </w:r>
            <w:r>
              <w:rPr>
                <w:noProof/>
              </w:rPr>
              <w:tab/>
              <w:t xml:space="preserve">z wyłonieniem wykonawców-brak ofert, wysokie ceny, wyższy koszt jednostkowy termomodernizacji </w:t>
            </w:r>
          </w:p>
          <w:p w14:paraId="730A0649" w14:textId="77777777" w:rsidR="008C5CFA" w:rsidRDefault="00E82A60" w:rsidP="00300A01">
            <w:pPr>
              <w:spacing w:before="0" w:after="0"/>
            </w:pPr>
            <w:r>
              <w:rPr>
                <w:noProof/>
              </w:rPr>
              <w:t>-</w:t>
            </w:r>
            <w:r>
              <w:rPr>
                <w:noProof/>
              </w:rPr>
              <w:tab/>
              <w:t>Dz.3.1/PI4a-trudności realizacji proj. partnerskich, rezygnacje partnerów</w:t>
            </w:r>
          </w:p>
          <w:p w14:paraId="62A00864" w14:textId="77777777" w:rsidR="008C5CFA" w:rsidRDefault="00E82A60" w:rsidP="00300A01">
            <w:pPr>
              <w:spacing w:before="0" w:after="0"/>
            </w:pPr>
            <w:r>
              <w:rPr>
                <w:noProof/>
              </w:rPr>
              <w:t>-</w:t>
            </w:r>
            <w:r>
              <w:rPr>
                <w:noProof/>
              </w:rPr>
              <w:tab/>
              <w:t>Błędy w audytach energetycznych/efektywności energetycznej</w:t>
            </w:r>
          </w:p>
          <w:p w14:paraId="306ED77F" w14:textId="77777777" w:rsidR="008C5CFA" w:rsidRDefault="00E82A60" w:rsidP="00300A01">
            <w:pPr>
              <w:spacing w:before="0" w:after="0"/>
            </w:pPr>
            <w:r>
              <w:rPr>
                <w:noProof/>
              </w:rPr>
              <w:t>-</w:t>
            </w:r>
            <w:r>
              <w:rPr>
                <w:noProof/>
              </w:rPr>
              <w:tab/>
              <w:t xml:space="preserve">Dz.3.2/PI4b małe zainteresowanie przedsiębiorców proj. modernizacji energetycznej budynków </w:t>
            </w:r>
          </w:p>
          <w:p w14:paraId="274DDD95" w14:textId="77777777" w:rsidR="008C5CFA" w:rsidRDefault="00E82A60" w:rsidP="00300A01">
            <w:pPr>
              <w:spacing w:before="0" w:after="0"/>
            </w:pPr>
            <w:r>
              <w:rPr>
                <w:noProof/>
              </w:rPr>
              <w:t>-</w:t>
            </w:r>
            <w:r>
              <w:rPr>
                <w:noProof/>
              </w:rPr>
              <w:tab/>
              <w:t xml:space="preserve">Dz.3.4/PI4d-wynikające z UP ograniczenie proj. dot. infrastruktury transportu publicznego do obszarów miejskich. Opóźnienia </w:t>
            </w:r>
          </w:p>
          <w:p w14:paraId="713A6AAD" w14:textId="77777777" w:rsidR="008C5CFA" w:rsidRDefault="00E82A60" w:rsidP="00300A01">
            <w:pPr>
              <w:spacing w:before="0" w:after="0"/>
            </w:pPr>
            <w:r>
              <w:rPr>
                <w:noProof/>
              </w:rPr>
              <w:t>w realizacji tych proj.-pozwolenia, uzgodnienia</w:t>
            </w:r>
          </w:p>
          <w:p w14:paraId="691B6EF9" w14:textId="77777777" w:rsidR="008C5CFA" w:rsidRDefault="008C5CFA" w:rsidP="00300A01">
            <w:pPr>
              <w:spacing w:before="0" w:after="0"/>
            </w:pPr>
          </w:p>
        </w:tc>
      </w:tr>
      <w:tr w:rsidR="006B2EC1" w14:paraId="0DE81692" w14:textId="77777777" w:rsidTr="0047688D">
        <w:tc>
          <w:tcPr>
            <w:tcW w:w="0" w:type="auto"/>
            <w:shd w:val="clear" w:color="auto" w:fill="auto"/>
          </w:tcPr>
          <w:p w14:paraId="4ACDACEE" w14:textId="77777777" w:rsidR="008C5CFA" w:rsidRDefault="00E82A60" w:rsidP="00300A01">
            <w:pPr>
              <w:spacing w:before="0" w:after="0"/>
            </w:pPr>
            <w:r>
              <w:rPr>
                <w:noProof/>
              </w:rPr>
              <w:lastRenderedPageBreak/>
              <w:t>4</w:t>
            </w:r>
          </w:p>
        </w:tc>
        <w:tc>
          <w:tcPr>
            <w:tcW w:w="0" w:type="auto"/>
            <w:shd w:val="clear" w:color="auto" w:fill="auto"/>
          </w:tcPr>
          <w:p w14:paraId="4F70126F" w14:textId="77777777" w:rsidR="008C5CFA" w:rsidRDefault="00E82A60" w:rsidP="00300A01">
            <w:pPr>
              <w:spacing w:before="0" w:after="0"/>
            </w:pPr>
            <w:r>
              <w:rPr>
                <w:noProof/>
              </w:rPr>
              <w:t>Dziedzictwo naturalne i kulturowe</w:t>
            </w:r>
          </w:p>
        </w:tc>
        <w:tc>
          <w:tcPr>
            <w:tcW w:w="0" w:type="auto"/>
            <w:shd w:val="clear" w:color="auto" w:fill="auto"/>
          </w:tcPr>
          <w:p w14:paraId="197FFC5A" w14:textId="77777777" w:rsidR="008C5CFA" w:rsidRDefault="00E82A60" w:rsidP="00300A01">
            <w:pPr>
              <w:spacing w:before="0" w:after="0"/>
            </w:pPr>
            <w:r>
              <w:rPr>
                <w:noProof/>
              </w:rPr>
              <w:t>POSTĘP FINANSOWY</w:t>
            </w:r>
          </w:p>
          <w:p w14:paraId="5E00BBDF" w14:textId="77777777" w:rsidR="008C5CFA" w:rsidRDefault="00E82A60" w:rsidP="00300A01">
            <w:pPr>
              <w:spacing w:before="0" w:after="0"/>
            </w:pPr>
            <w:r>
              <w:rPr>
                <w:noProof/>
              </w:rPr>
              <w:t>•</w:t>
            </w:r>
            <w:r>
              <w:rPr>
                <w:noProof/>
              </w:rPr>
              <w:tab/>
              <w:t xml:space="preserve">NABORY: rozpoczęto 23 nabory o budżecie 229,2 mln€ (zakończono 21) </w:t>
            </w:r>
          </w:p>
          <w:p w14:paraId="5D34362C" w14:textId="77777777" w:rsidR="008C5CFA" w:rsidRDefault="00E82A60" w:rsidP="00300A01">
            <w:pPr>
              <w:spacing w:before="0" w:after="0"/>
            </w:pPr>
            <w:r>
              <w:rPr>
                <w:noProof/>
              </w:rPr>
              <w:t>W 2019 rozpoczęto 2 nabory (konkursowe) o budżecie 2,8 mln€, zakończono 1</w:t>
            </w:r>
          </w:p>
          <w:p w14:paraId="370F1FDC" w14:textId="77777777" w:rsidR="008C5CFA" w:rsidRDefault="00E82A60" w:rsidP="00300A01">
            <w:pPr>
              <w:spacing w:before="0" w:after="0"/>
            </w:pPr>
            <w:r>
              <w:rPr>
                <w:noProof/>
              </w:rPr>
              <w:t>•</w:t>
            </w:r>
            <w:r>
              <w:rPr>
                <w:noProof/>
              </w:rPr>
              <w:tab/>
              <w:t>UMOWY: 133 podpisanych umów o dofinansowanie o wartości wkładu UE 124,9 mln€ (73,8% alokacji OP). Na 31.12.19 r. była 1 pre-umowa o wart. UE 3,7 mln €</w:t>
            </w:r>
          </w:p>
          <w:p w14:paraId="5A4607A6" w14:textId="77777777" w:rsidR="008C5CFA" w:rsidRDefault="00E82A60" w:rsidP="00300A01">
            <w:pPr>
              <w:spacing w:before="0" w:after="0"/>
            </w:pPr>
            <w:r>
              <w:rPr>
                <w:noProof/>
              </w:rPr>
              <w:t>W 2019: 22 umowy o wartości 26,9 mln€ wkładu UE</w:t>
            </w:r>
          </w:p>
          <w:p w14:paraId="4BA04525" w14:textId="77777777" w:rsidR="008C5CFA" w:rsidRDefault="00E82A60" w:rsidP="00300A01">
            <w:pPr>
              <w:spacing w:before="0" w:after="0"/>
            </w:pPr>
            <w:r>
              <w:rPr>
                <w:noProof/>
              </w:rPr>
              <w:t>•</w:t>
            </w:r>
            <w:r>
              <w:rPr>
                <w:noProof/>
              </w:rPr>
              <w:tab/>
              <w:t>WNIOSKI O PŁATNOŚĆ: zatwierdzono 745 WNP o wartości 47,0 mln€ wydatków uznanych za kwalifikowalne, w tym 36,4 mln€ UE (21,5% alokacji OP)</w:t>
            </w:r>
          </w:p>
          <w:p w14:paraId="5E896E1D" w14:textId="77777777" w:rsidR="008C5CFA" w:rsidRDefault="00E82A60" w:rsidP="00300A01">
            <w:pPr>
              <w:spacing w:before="0" w:after="0"/>
            </w:pPr>
            <w:r>
              <w:rPr>
                <w:noProof/>
              </w:rPr>
              <w:t>W 2019: 430 WNP o wartości 28,9 mln€ wydatków uznanych za kwalifikowalne, w tym 22,4 mln€ UE</w:t>
            </w:r>
          </w:p>
          <w:p w14:paraId="595227EC" w14:textId="77777777" w:rsidR="008C5CFA" w:rsidRDefault="00E82A60" w:rsidP="00300A01">
            <w:pPr>
              <w:spacing w:before="0" w:after="0"/>
            </w:pPr>
            <w:r>
              <w:rPr>
                <w:noProof/>
              </w:rPr>
              <w:t>•</w:t>
            </w:r>
            <w:r>
              <w:rPr>
                <w:noProof/>
              </w:rPr>
              <w:tab/>
              <w:t>CERTYFIKACJA: na koniec 2019 r. certyfikowano 39,2 mln€ UE (23,2% alokacji OP)</w:t>
            </w:r>
          </w:p>
          <w:p w14:paraId="3FD27D53" w14:textId="77777777" w:rsidR="008C5CFA" w:rsidRDefault="00E82A60" w:rsidP="00300A01">
            <w:pPr>
              <w:spacing w:before="0" w:after="0"/>
            </w:pPr>
            <w:r>
              <w:rPr>
                <w:noProof/>
              </w:rPr>
              <w:t>POSTĘP RZECZOWY</w:t>
            </w:r>
          </w:p>
          <w:p w14:paraId="091EA4E9" w14:textId="77777777" w:rsidR="008C5CFA" w:rsidRDefault="00E82A60" w:rsidP="00300A01">
            <w:pPr>
              <w:spacing w:before="0" w:after="0"/>
            </w:pPr>
            <w:r>
              <w:rPr>
                <w:noProof/>
              </w:rPr>
              <w:t>Wskaźniki:</w:t>
            </w:r>
          </w:p>
          <w:p w14:paraId="77A92441" w14:textId="77777777" w:rsidR="008C5CFA" w:rsidRDefault="00E82A60" w:rsidP="00300A01">
            <w:pPr>
              <w:spacing w:before="0" w:after="0"/>
            </w:pPr>
            <w:r>
              <w:rPr>
                <w:noProof/>
              </w:rPr>
              <w:lastRenderedPageBreak/>
              <w:t>-</w:t>
            </w:r>
            <w:r>
              <w:rPr>
                <w:noProof/>
              </w:rPr>
              <w:tab/>
              <w:t>PI5b-brak możliwości realizacji proj. i wskaźnika dot.: obiektów małej retencji- zgłoszono zmiany do Programu. Wskaźnik prod. dot. doposażenia w sprzęt jednostek ratowniczych-zrealizowany.</w:t>
            </w:r>
          </w:p>
          <w:p w14:paraId="2EE0D8DC" w14:textId="77777777" w:rsidR="008C5CFA" w:rsidRDefault="00E82A60" w:rsidP="00300A01">
            <w:pPr>
              <w:spacing w:before="0" w:after="0"/>
            </w:pPr>
            <w:r>
              <w:rPr>
                <w:noProof/>
              </w:rPr>
              <w:t>-</w:t>
            </w:r>
            <w:r>
              <w:rPr>
                <w:noProof/>
              </w:rPr>
              <w:tab/>
              <w:t>PI6a-masa unieszkodliwionych odpadów niebezp.-brak WND na ten typ proj.-zgłoszono zmianę do RPOWŚ.</w:t>
            </w:r>
          </w:p>
          <w:p w14:paraId="02EC4485" w14:textId="77777777" w:rsidR="008C5CFA" w:rsidRDefault="00E82A60" w:rsidP="00300A01">
            <w:pPr>
              <w:spacing w:before="0" w:after="0"/>
            </w:pPr>
            <w:r>
              <w:rPr>
                <w:noProof/>
              </w:rPr>
              <w:t>-</w:t>
            </w:r>
            <w:r>
              <w:rPr>
                <w:noProof/>
              </w:rPr>
              <w:tab/>
              <w:t>PI6b-najniżą realizację ma wskaźnik dot. dodatkowych osób korzystających z ulepszonego oczyszczania ścieków-zgłoszono zmianę do RPOWŚ. 2 pozostałe wsk. zabezpieczone w UDA.</w:t>
            </w:r>
          </w:p>
          <w:p w14:paraId="3D0D5891" w14:textId="77777777" w:rsidR="008C5CFA" w:rsidRDefault="00E82A60" w:rsidP="00300A01">
            <w:pPr>
              <w:spacing w:before="0" w:after="0"/>
            </w:pPr>
            <w:r>
              <w:rPr>
                <w:noProof/>
              </w:rPr>
              <w:t>-</w:t>
            </w:r>
            <w:r>
              <w:rPr>
                <w:noProof/>
              </w:rPr>
              <w:tab/>
              <w:t>PI6c-wskaźniki prod. zrealizowane.</w:t>
            </w:r>
          </w:p>
          <w:p w14:paraId="440B79A3" w14:textId="77777777" w:rsidR="008C5CFA" w:rsidRDefault="00E82A60" w:rsidP="00300A01">
            <w:pPr>
              <w:spacing w:before="0" w:after="0"/>
            </w:pPr>
            <w:r>
              <w:rPr>
                <w:noProof/>
              </w:rPr>
              <w:t>-</w:t>
            </w:r>
            <w:r>
              <w:rPr>
                <w:noProof/>
              </w:rPr>
              <w:tab/>
              <w:t>PI6d-zgodnie z wartościami w UDA zakłada się realizację  wskaźników</w:t>
            </w:r>
          </w:p>
          <w:p w14:paraId="07462D39" w14:textId="77777777" w:rsidR="008C5CFA" w:rsidRDefault="00E82A60" w:rsidP="00300A01">
            <w:pPr>
              <w:spacing w:before="0" w:after="0"/>
            </w:pPr>
            <w:r>
              <w:rPr>
                <w:noProof/>
              </w:rPr>
              <w:t>Problemy dot. wdrażania</w:t>
            </w:r>
          </w:p>
          <w:p w14:paraId="2A41905E" w14:textId="77777777" w:rsidR="008C5CFA" w:rsidRDefault="00E82A60" w:rsidP="00300A01">
            <w:pPr>
              <w:spacing w:before="0" w:after="0"/>
            </w:pPr>
            <w:r>
              <w:rPr>
                <w:noProof/>
              </w:rPr>
              <w:t>-</w:t>
            </w:r>
            <w:r>
              <w:rPr>
                <w:noProof/>
              </w:rPr>
              <w:tab/>
              <w:t>Dz.4.1/PI5b-brak możliwości kontraktacji proj. dot. zbiorników małej retencji. Przedłużająca się procedura oceny Jaspers  pozostałego projektu PGW Wody Polskie dot. polderów zalewowych</w:t>
            </w:r>
          </w:p>
          <w:p w14:paraId="304C2384" w14:textId="77777777" w:rsidR="008C5CFA" w:rsidRDefault="00E82A60" w:rsidP="00300A01">
            <w:pPr>
              <w:spacing w:before="0" w:after="0"/>
            </w:pPr>
            <w:r>
              <w:rPr>
                <w:noProof/>
              </w:rPr>
              <w:t>-</w:t>
            </w:r>
            <w:r>
              <w:rPr>
                <w:noProof/>
              </w:rPr>
              <w:tab/>
              <w:t>Dz.4.2/PI6a-brak WND z zakresu odpadów niebezpiecznych. Małe zainteresowanie proj. gospodarki odpadami</w:t>
            </w:r>
          </w:p>
          <w:p w14:paraId="73FB4FB9" w14:textId="77777777" w:rsidR="008C5CFA" w:rsidRDefault="00E82A60" w:rsidP="00300A01">
            <w:pPr>
              <w:spacing w:before="0" w:after="0"/>
            </w:pPr>
            <w:r>
              <w:rPr>
                <w:noProof/>
              </w:rPr>
              <w:t>-</w:t>
            </w:r>
            <w:r>
              <w:rPr>
                <w:noProof/>
              </w:rPr>
              <w:tab/>
              <w:t>Dz.6.3/PI6b-wymogi ujęcia inwestycji w KPOŚK, współczynnik koncentracji</w:t>
            </w:r>
          </w:p>
          <w:p w14:paraId="0B2E6512" w14:textId="77777777" w:rsidR="008C5CFA" w:rsidRDefault="00E82A60" w:rsidP="00300A01">
            <w:pPr>
              <w:spacing w:before="0" w:after="0"/>
            </w:pPr>
            <w:r>
              <w:rPr>
                <w:noProof/>
              </w:rPr>
              <w:t>-</w:t>
            </w:r>
            <w:r>
              <w:rPr>
                <w:noProof/>
              </w:rPr>
              <w:tab/>
              <w:t>Wysokie ceny robót budowlanych-powtarzanie przetargów, opóźnienia realizacji inwe</w:t>
            </w:r>
          </w:p>
        </w:tc>
      </w:tr>
      <w:tr w:rsidR="006B2EC1" w14:paraId="5E9EC4CC" w14:textId="77777777" w:rsidTr="0047688D">
        <w:tc>
          <w:tcPr>
            <w:tcW w:w="0" w:type="auto"/>
            <w:shd w:val="clear" w:color="auto" w:fill="auto"/>
          </w:tcPr>
          <w:p w14:paraId="1BB686E7" w14:textId="77777777" w:rsidR="008C5CFA" w:rsidRDefault="00E82A60" w:rsidP="00300A01">
            <w:pPr>
              <w:spacing w:before="0" w:after="0"/>
            </w:pPr>
            <w:r>
              <w:rPr>
                <w:noProof/>
              </w:rPr>
              <w:lastRenderedPageBreak/>
              <w:t>5</w:t>
            </w:r>
          </w:p>
        </w:tc>
        <w:tc>
          <w:tcPr>
            <w:tcW w:w="0" w:type="auto"/>
            <w:shd w:val="clear" w:color="auto" w:fill="auto"/>
          </w:tcPr>
          <w:p w14:paraId="446217AC" w14:textId="77777777" w:rsidR="008C5CFA" w:rsidRDefault="00E82A60" w:rsidP="00300A01">
            <w:pPr>
              <w:spacing w:before="0" w:after="0"/>
            </w:pPr>
            <w:r>
              <w:rPr>
                <w:noProof/>
              </w:rPr>
              <w:t>Nowoczesna komunikacja</w:t>
            </w:r>
          </w:p>
        </w:tc>
        <w:tc>
          <w:tcPr>
            <w:tcW w:w="0" w:type="auto"/>
            <w:shd w:val="clear" w:color="auto" w:fill="auto"/>
          </w:tcPr>
          <w:p w14:paraId="0232ED77" w14:textId="77777777" w:rsidR="008C5CFA" w:rsidRDefault="00E82A60" w:rsidP="00300A01">
            <w:pPr>
              <w:spacing w:before="0" w:after="0"/>
            </w:pPr>
            <w:r>
              <w:rPr>
                <w:noProof/>
              </w:rPr>
              <w:t>POSTĘP FINANSOWY</w:t>
            </w:r>
          </w:p>
          <w:p w14:paraId="76CCA8BF" w14:textId="77777777" w:rsidR="008C5CFA" w:rsidRDefault="00E82A60" w:rsidP="00300A01">
            <w:pPr>
              <w:spacing w:before="0" w:after="0"/>
            </w:pPr>
            <w:r>
              <w:rPr>
                <w:noProof/>
              </w:rPr>
              <w:t>•</w:t>
            </w:r>
            <w:r>
              <w:rPr>
                <w:noProof/>
              </w:rPr>
              <w:tab/>
              <w:t>NABORY: rozpoczęto 4 nabory o budżecie 135,9 mln€ (zakończono 3)</w:t>
            </w:r>
          </w:p>
          <w:p w14:paraId="2472A246" w14:textId="77777777" w:rsidR="008C5CFA" w:rsidRDefault="00E82A60" w:rsidP="00300A01">
            <w:pPr>
              <w:spacing w:before="0" w:after="0"/>
            </w:pPr>
            <w:r>
              <w:rPr>
                <w:noProof/>
              </w:rPr>
              <w:t>W 2019 r. nie rozpoczęto naborów.</w:t>
            </w:r>
          </w:p>
          <w:p w14:paraId="5CC81DC9" w14:textId="77777777" w:rsidR="008C5CFA" w:rsidRDefault="00E82A60" w:rsidP="00300A01">
            <w:pPr>
              <w:spacing w:before="0" w:after="0"/>
            </w:pPr>
            <w:r>
              <w:rPr>
                <w:noProof/>
              </w:rPr>
              <w:t>•</w:t>
            </w:r>
            <w:r>
              <w:rPr>
                <w:noProof/>
              </w:rPr>
              <w:tab/>
              <w:t>UMOWY: 14 podpisanych umów o dofinansowanie o wartości wkładu UE 112,7 mln€ (87,0% alokacji OP)</w:t>
            </w:r>
          </w:p>
          <w:p w14:paraId="042B975E" w14:textId="77777777" w:rsidR="008C5CFA" w:rsidRDefault="00E82A60" w:rsidP="00300A01">
            <w:pPr>
              <w:spacing w:before="0" w:after="0"/>
            </w:pPr>
            <w:r>
              <w:rPr>
                <w:noProof/>
              </w:rPr>
              <w:t>Na 31.12.19 r. były 3 pre-umowy o wart. UE 10,4 mln €</w:t>
            </w:r>
          </w:p>
          <w:p w14:paraId="175AA17B" w14:textId="77777777" w:rsidR="008C5CFA" w:rsidRDefault="00E82A60" w:rsidP="00300A01">
            <w:pPr>
              <w:spacing w:before="0" w:after="0"/>
            </w:pPr>
            <w:r>
              <w:rPr>
                <w:noProof/>
              </w:rPr>
              <w:t>W 2019: 1 umowa o wartości 9,4 mln€ wkładu UE</w:t>
            </w:r>
          </w:p>
          <w:p w14:paraId="0AF1A53B" w14:textId="77777777" w:rsidR="008C5CFA" w:rsidRDefault="00E82A60" w:rsidP="00300A01">
            <w:pPr>
              <w:spacing w:before="0" w:after="0"/>
            </w:pPr>
            <w:r>
              <w:rPr>
                <w:noProof/>
              </w:rPr>
              <w:t>•</w:t>
            </w:r>
            <w:r>
              <w:rPr>
                <w:noProof/>
              </w:rPr>
              <w:tab/>
              <w:t>WNIOSKI O PŁATNOŚĆ: zatwierdzono 249 WNP o wartości 78,7 mln€ wydatków uznanych za kwalifikowalne, w tym 65,5 mln€ UE (50,6% alokacji OP)</w:t>
            </w:r>
          </w:p>
          <w:p w14:paraId="735C8F17" w14:textId="77777777" w:rsidR="008C5CFA" w:rsidRDefault="00E82A60" w:rsidP="00300A01">
            <w:pPr>
              <w:spacing w:before="0" w:after="0"/>
            </w:pPr>
            <w:r>
              <w:rPr>
                <w:noProof/>
              </w:rPr>
              <w:t>W 2019: 114 WNP o wartości 35,4 mln€ wydatków uznanych za kwalifikowalne, w tym 28,8 mln€ UE</w:t>
            </w:r>
          </w:p>
          <w:p w14:paraId="40EA4A36" w14:textId="77777777" w:rsidR="008C5CFA" w:rsidRDefault="00E82A60" w:rsidP="00300A01">
            <w:pPr>
              <w:spacing w:before="0" w:after="0"/>
            </w:pPr>
            <w:r>
              <w:rPr>
                <w:noProof/>
              </w:rPr>
              <w:t>•</w:t>
            </w:r>
            <w:r>
              <w:rPr>
                <w:noProof/>
              </w:rPr>
              <w:tab/>
              <w:t>CERTYFIKACJA: do końca 2019 r. certyfikowano 66,4 mln€ UE (51,3% alokacji OP)</w:t>
            </w:r>
          </w:p>
          <w:p w14:paraId="772DBFF9" w14:textId="77777777" w:rsidR="008C5CFA" w:rsidRDefault="00E82A60" w:rsidP="00300A01">
            <w:pPr>
              <w:spacing w:before="0" w:after="0"/>
            </w:pPr>
            <w:r>
              <w:rPr>
                <w:noProof/>
              </w:rPr>
              <w:t>POSTĘP RZECZOWY</w:t>
            </w:r>
          </w:p>
          <w:p w14:paraId="312AA2CD" w14:textId="77777777" w:rsidR="008C5CFA" w:rsidRDefault="00E82A60" w:rsidP="00300A01">
            <w:pPr>
              <w:spacing w:before="0" w:after="0"/>
            </w:pPr>
            <w:r>
              <w:rPr>
                <w:noProof/>
              </w:rPr>
              <w:t>Wskaźniki:</w:t>
            </w:r>
          </w:p>
          <w:p w14:paraId="4BB46950" w14:textId="77777777" w:rsidR="008C5CFA" w:rsidRDefault="00E82A60" w:rsidP="00300A01">
            <w:pPr>
              <w:spacing w:before="0" w:after="0"/>
            </w:pPr>
            <w:r>
              <w:rPr>
                <w:noProof/>
              </w:rPr>
              <w:t xml:space="preserve">PI7b-1 wskaźnik produktu osiągnął szacowaną wartość wg umów, </w:t>
            </w:r>
          </w:p>
          <w:p w14:paraId="63390FE8" w14:textId="77777777" w:rsidR="008C5CFA" w:rsidRDefault="00E82A60" w:rsidP="00300A01">
            <w:pPr>
              <w:spacing w:before="0" w:after="0"/>
            </w:pPr>
            <w:r>
              <w:rPr>
                <w:noProof/>
              </w:rPr>
              <w:t xml:space="preserve">a drugi 93,8%. </w:t>
            </w:r>
          </w:p>
          <w:p w14:paraId="1F241C10" w14:textId="77777777" w:rsidR="008C5CFA" w:rsidRDefault="00E82A60" w:rsidP="00300A01">
            <w:pPr>
              <w:spacing w:before="0" w:after="0"/>
            </w:pPr>
            <w:r>
              <w:rPr>
                <w:noProof/>
              </w:rPr>
              <w:t>PI7d-szacowana wartość wskaźników wg umów – 83,3%. Realiozwany jest 1 projekt.</w:t>
            </w:r>
          </w:p>
          <w:p w14:paraId="4755510D" w14:textId="77777777" w:rsidR="008C5CFA" w:rsidRDefault="00E82A60" w:rsidP="00300A01">
            <w:pPr>
              <w:spacing w:before="0" w:after="0"/>
            </w:pPr>
            <w:r>
              <w:rPr>
                <w:noProof/>
              </w:rPr>
              <w:t>Problemy dot. wdrażania</w:t>
            </w:r>
          </w:p>
          <w:p w14:paraId="2F134540" w14:textId="77777777" w:rsidR="008C5CFA" w:rsidRDefault="00E82A60" w:rsidP="00300A01">
            <w:pPr>
              <w:spacing w:before="0" w:after="0"/>
            </w:pPr>
            <w:r>
              <w:rPr>
                <w:noProof/>
              </w:rPr>
              <w:t>-</w:t>
            </w:r>
            <w:r>
              <w:rPr>
                <w:noProof/>
              </w:rPr>
              <w:tab/>
              <w:t>w projektach drogowych (drogi wojewódzkie) pojawiają się problemy skutkujące aneksowanem terminu zakończenia realizacji rzeczowej projektu.</w:t>
            </w:r>
          </w:p>
          <w:p w14:paraId="115486D0" w14:textId="77777777" w:rsidR="008C5CFA" w:rsidRDefault="00E82A60" w:rsidP="00300A01">
            <w:pPr>
              <w:spacing w:before="0" w:after="0"/>
            </w:pPr>
            <w:r>
              <w:rPr>
                <w:noProof/>
              </w:rPr>
              <w:lastRenderedPageBreak/>
              <w:t>-</w:t>
            </w:r>
            <w:r>
              <w:rPr>
                <w:noProof/>
              </w:rPr>
              <w:tab/>
              <w:t xml:space="preserve">z uwagi na protesty mieszkańców na etapie uzyskiwania decyzji środowiskowej oraz ZRID ocena merytoryczna jednego z proj. drogowych trwała ponad rok (zawieszona do czasu wydania ZRID). Umowa podpisana dopiero we wrześniu 19 r. </w:t>
            </w:r>
          </w:p>
          <w:p w14:paraId="72C495E1" w14:textId="77777777" w:rsidR="008C5CFA" w:rsidRDefault="00E82A60" w:rsidP="00300A01">
            <w:pPr>
              <w:spacing w:before="0" w:after="0"/>
            </w:pPr>
            <w:r>
              <w:rPr>
                <w:noProof/>
              </w:rPr>
              <w:t>-</w:t>
            </w:r>
            <w:r>
              <w:rPr>
                <w:noProof/>
              </w:rPr>
              <w:tab/>
              <w:t>znaczny wzrost cen na rynku robót budowlanych-konieczność powtarzania procedur przetargowych, zwiększania dofinansowania.</w:t>
            </w:r>
          </w:p>
          <w:p w14:paraId="7AB6BB0A" w14:textId="77777777" w:rsidR="008C5CFA" w:rsidRDefault="00E82A60" w:rsidP="00300A01">
            <w:pPr>
              <w:spacing w:before="0" w:after="0"/>
            </w:pPr>
            <w:r>
              <w:rPr>
                <w:noProof/>
              </w:rPr>
              <w:t>-</w:t>
            </w:r>
            <w:r>
              <w:rPr>
                <w:noProof/>
              </w:rPr>
              <w:tab/>
              <w:t xml:space="preserve">W PI 7d - z uwagi na wartość złożonych ofert przekraczających budżet proj. Beneficjent PKP PLK SA zmniejszał zakres rzeczowy projektu. Na koniec 19r. IZ wyraziła zgodę na zmiany. </w:t>
            </w:r>
          </w:p>
          <w:p w14:paraId="4F327AD3" w14:textId="77777777" w:rsidR="008C5CFA" w:rsidRDefault="008C5CFA" w:rsidP="00300A01">
            <w:pPr>
              <w:spacing w:before="0" w:after="0"/>
            </w:pPr>
          </w:p>
        </w:tc>
      </w:tr>
      <w:tr w:rsidR="006B2EC1" w14:paraId="19D0F6E5" w14:textId="77777777" w:rsidTr="0047688D">
        <w:tc>
          <w:tcPr>
            <w:tcW w:w="0" w:type="auto"/>
            <w:shd w:val="clear" w:color="auto" w:fill="auto"/>
          </w:tcPr>
          <w:p w14:paraId="0BF09F47" w14:textId="77777777" w:rsidR="008C5CFA" w:rsidRDefault="00E82A60" w:rsidP="00300A01">
            <w:pPr>
              <w:spacing w:before="0" w:after="0"/>
            </w:pPr>
            <w:r>
              <w:rPr>
                <w:noProof/>
              </w:rPr>
              <w:lastRenderedPageBreak/>
              <w:t>6</w:t>
            </w:r>
          </w:p>
        </w:tc>
        <w:tc>
          <w:tcPr>
            <w:tcW w:w="0" w:type="auto"/>
            <w:shd w:val="clear" w:color="auto" w:fill="auto"/>
          </w:tcPr>
          <w:p w14:paraId="291B201D" w14:textId="77777777" w:rsidR="008C5CFA" w:rsidRDefault="00E82A60" w:rsidP="00300A01">
            <w:pPr>
              <w:spacing w:before="0" w:after="0"/>
            </w:pPr>
            <w:r>
              <w:rPr>
                <w:noProof/>
              </w:rPr>
              <w:t>Rozwój miast</w:t>
            </w:r>
          </w:p>
        </w:tc>
        <w:tc>
          <w:tcPr>
            <w:tcW w:w="0" w:type="auto"/>
            <w:shd w:val="clear" w:color="auto" w:fill="auto"/>
          </w:tcPr>
          <w:p w14:paraId="10ABD0A7" w14:textId="77777777" w:rsidR="008C5CFA" w:rsidRDefault="00E82A60" w:rsidP="00300A01">
            <w:pPr>
              <w:spacing w:before="0" w:after="0"/>
            </w:pPr>
            <w:r>
              <w:rPr>
                <w:noProof/>
              </w:rPr>
              <w:t>POSTĘP FINANSOWY</w:t>
            </w:r>
          </w:p>
          <w:p w14:paraId="2A706186" w14:textId="77777777" w:rsidR="008C5CFA" w:rsidRDefault="00E82A60" w:rsidP="00300A01">
            <w:pPr>
              <w:spacing w:before="0" w:after="0"/>
            </w:pPr>
            <w:r>
              <w:rPr>
                <w:noProof/>
              </w:rPr>
              <w:t>•</w:t>
            </w:r>
            <w:r>
              <w:rPr>
                <w:noProof/>
              </w:rPr>
              <w:tab/>
              <w:t xml:space="preserve">NABORY: ogłoszono 7 naborów o budżecie 122,0 mln €, </w:t>
            </w:r>
          </w:p>
          <w:p w14:paraId="345A16C4" w14:textId="77777777" w:rsidR="008C5CFA" w:rsidRDefault="00E82A60" w:rsidP="00300A01">
            <w:pPr>
              <w:spacing w:before="0" w:after="0"/>
            </w:pPr>
            <w:r>
              <w:rPr>
                <w:noProof/>
              </w:rPr>
              <w:t>4 zakończono</w:t>
            </w:r>
          </w:p>
          <w:p w14:paraId="7F2822CF" w14:textId="77777777" w:rsidR="008C5CFA" w:rsidRDefault="00E82A60" w:rsidP="00300A01">
            <w:pPr>
              <w:spacing w:before="0" w:after="0"/>
            </w:pPr>
            <w:r>
              <w:rPr>
                <w:noProof/>
              </w:rPr>
              <w:t>W 2019 r. nie rozpoczęto nowych naborów</w:t>
            </w:r>
          </w:p>
          <w:p w14:paraId="41CC5596" w14:textId="77777777" w:rsidR="008C5CFA" w:rsidRDefault="00E82A60" w:rsidP="00300A01">
            <w:pPr>
              <w:spacing w:before="0" w:after="0"/>
            </w:pPr>
            <w:r>
              <w:rPr>
                <w:noProof/>
              </w:rPr>
              <w:t>•</w:t>
            </w:r>
            <w:r>
              <w:rPr>
                <w:noProof/>
              </w:rPr>
              <w:tab/>
              <w:t xml:space="preserve">UMOWY: 57 podpisanych umów o dofinansowanie o wartości 93,3 mln€ wkładu UE (78,6% alokacji OP), oraz 26 pre-umów </w:t>
            </w:r>
          </w:p>
          <w:p w14:paraId="56FC3508" w14:textId="77777777" w:rsidR="008C5CFA" w:rsidRDefault="00E82A60" w:rsidP="00300A01">
            <w:pPr>
              <w:spacing w:before="0" w:after="0"/>
            </w:pPr>
            <w:r>
              <w:rPr>
                <w:noProof/>
              </w:rPr>
              <w:t>o wartości 21,3 mln € UE</w:t>
            </w:r>
          </w:p>
          <w:p w14:paraId="248B5012" w14:textId="77777777" w:rsidR="008C5CFA" w:rsidRDefault="00E82A60" w:rsidP="00300A01">
            <w:pPr>
              <w:spacing w:before="0" w:after="0"/>
            </w:pPr>
            <w:r>
              <w:rPr>
                <w:noProof/>
              </w:rPr>
              <w:t>W 2019: podpisano 9 umów o wartości 6,1 mln € UE</w:t>
            </w:r>
          </w:p>
          <w:p w14:paraId="0F8B860E" w14:textId="77777777" w:rsidR="008C5CFA" w:rsidRDefault="00E82A60" w:rsidP="00300A01">
            <w:pPr>
              <w:spacing w:before="0" w:after="0"/>
            </w:pPr>
            <w:r>
              <w:rPr>
                <w:noProof/>
              </w:rPr>
              <w:t>•</w:t>
            </w:r>
            <w:r>
              <w:rPr>
                <w:noProof/>
              </w:rPr>
              <w:tab/>
              <w:t>WNIOSKI O PŁATNOŚĆ: zatwierdzono 383  WNP o wartości 50,5 mln € wydatków uznanych za kwalifikowalne, w tym 39,4 mln € wkładu UE (33,2% alokacji OP)</w:t>
            </w:r>
          </w:p>
          <w:p w14:paraId="76A26D72" w14:textId="77777777" w:rsidR="008C5CFA" w:rsidRDefault="00E82A60" w:rsidP="00300A01">
            <w:pPr>
              <w:spacing w:before="0" w:after="0"/>
            </w:pPr>
            <w:r>
              <w:rPr>
                <w:noProof/>
              </w:rPr>
              <w:t>W 2019 zatwierdzono 189 WNP o wartości 34,1 mln € wydatków uznanych za kwalifikowalne, w tym 25,7 mln€ wkładu UE.</w:t>
            </w:r>
          </w:p>
          <w:p w14:paraId="504DAE9E" w14:textId="77777777" w:rsidR="008C5CFA" w:rsidRDefault="00E82A60" w:rsidP="00300A01">
            <w:pPr>
              <w:spacing w:before="0" w:after="0"/>
            </w:pPr>
            <w:r>
              <w:rPr>
                <w:noProof/>
              </w:rPr>
              <w:t>•</w:t>
            </w:r>
            <w:r>
              <w:rPr>
                <w:noProof/>
              </w:rPr>
              <w:tab/>
              <w:t>CERTYFIKACJA: do końca 2019 certyfikowano 42,4 mln € wkładu UE, tj. 35,8% alokacji OP.</w:t>
            </w:r>
          </w:p>
          <w:p w14:paraId="4F30B525" w14:textId="77777777" w:rsidR="008C5CFA" w:rsidRDefault="00E82A60" w:rsidP="00300A01">
            <w:pPr>
              <w:spacing w:before="0" w:after="0"/>
            </w:pPr>
            <w:r>
              <w:rPr>
                <w:noProof/>
              </w:rPr>
              <w:t>POSTĘP RZECZOWY</w:t>
            </w:r>
          </w:p>
          <w:p w14:paraId="1AA22CCD" w14:textId="77777777" w:rsidR="008C5CFA" w:rsidRDefault="00E82A60" w:rsidP="00300A01">
            <w:pPr>
              <w:spacing w:before="0" w:after="0"/>
            </w:pPr>
            <w:r>
              <w:rPr>
                <w:noProof/>
              </w:rPr>
              <w:t>Postęp rzeczowy przedstawiono w Tabelach 3A i 5</w:t>
            </w:r>
          </w:p>
          <w:p w14:paraId="5A9D7E93" w14:textId="77777777" w:rsidR="008C5CFA" w:rsidRDefault="00E82A60" w:rsidP="00300A01">
            <w:pPr>
              <w:spacing w:before="0" w:after="0"/>
            </w:pPr>
            <w:r>
              <w:rPr>
                <w:noProof/>
              </w:rPr>
              <w:t>Wskaźniki:</w:t>
            </w:r>
          </w:p>
          <w:p w14:paraId="670DBFE4" w14:textId="77777777" w:rsidR="008C5CFA" w:rsidRDefault="00E82A60" w:rsidP="00300A01">
            <w:pPr>
              <w:spacing w:before="0" w:after="0"/>
            </w:pPr>
            <w:r>
              <w:rPr>
                <w:noProof/>
              </w:rPr>
              <w:t xml:space="preserve">PI4c-1 z 3 wskaźników prod. zrealizowano, 2-brak realizacji na WNP,  zabezpieczone w UDA </w:t>
            </w:r>
          </w:p>
          <w:p w14:paraId="15877CA6" w14:textId="77777777" w:rsidR="008C5CFA" w:rsidRDefault="00E82A60" w:rsidP="00300A01">
            <w:pPr>
              <w:spacing w:before="0" w:after="0"/>
            </w:pPr>
            <w:r>
              <w:rPr>
                <w:noProof/>
              </w:rPr>
              <w:t>PI4e-z 3 wskaźników prod.-1 zrealizowano, wskaźnik dot. ścieżek rowerowych zgłoszono KE do zmniejszenia, 1 przekroczył 85% realizacji na WNP</w:t>
            </w:r>
          </w:p>
          <w:p w14:paraId="09C5B896" w14:textId="77777777" w:rsidR="008C5CFA" w:rsidRDefault="00E82A60" w:rsidP="00300A01">
            <w:pPr>
              <w:spacing w:before="0" w:after="0"/>
            </w:pPr>
            <w:r>
              <w:rPr>
                <w:noProof/>
              </w:rPr>
              <w:t xml:space="preserve">PI6d-wskaźnik produktu na szacunkach z UDA wzrósł do 170%, </w:t>
            </w:r>
          </w:p>
          <w:p w14:paraId="01470286" w14:textId="77777777" w:rsidR="008C5CFA" w:rsidRDefault="00E82A60" w:rsidP="00300A01">
            <w:pPr>
              <w:spacing w:before="0" w:after="0"/>
            </w:pPr>
            <w:r>
              <w:rPr>
                <w:noProof/>
              </w:rPr>
              <w:t>a w WNP-80%</w:t>
            </w:r>
          </w:p>
          <w:p w14:paraId="1C3892B8" w14:textId="77777777" w:rsidR="008C5CFA" w:rsidRDefault="00E82A60" w:rsidP="00300A01">
            <w:pPr>
              <w:spacing w:before="0" w:after="0"/>
            </w:pPr>
            <w:r>
              <w:rPr>
                <w:noProof/>
              </w:rPr>
              <w:t xml:space="preserve">PI7b-na szacunkach z UDA wskaźniki produktu przekroczyły w. doc. Dla 1 wskaźnika brak realizacji na WNP </w:t>
            </w:r>
          </w:p>
          <w:p w14:paraId="41614DA0" w14:textId="77777777" w:rsidR="008C5CFA" w:rsidRDefault="00E82A60" w:rsidP="00300A01">
            <w:pPr>
              <w:spacing w:before="0" w:after="0"/>
            </w:pPr>
            <w:r>
              <w:rPr>
                <w:noProof/>
              </w:rPr>
              <w:t>PI9b-1 wskaźnik produktu przekroczył na UDA doc. wartość., 1 nie posiada  wart. szacowanych w UDA</w:t>
            </w:r>
          </w:p>
          <w:p w14:paraId="4CEBBB9E" w14:textId="77777777" w:rsidR="008C5CFA" w:rsidRDefault="00E82A60" w:rsidP="00300A01">
            <w:pPr>
              <w:spacing w:before="0" w:after="0"/>
            </w:pPr>
            <w:r>
              <w:rPr>
                <w:noProof/>
              </w:rPr>
              <w:t>PI10a-1 wskaźnik  prod. na szacunkach z UDA przekracza wartość docelową, 1 nie posiada wartości w UDA</w:t>
            </w:r>
          </w:p>
          <w:p w14:paraId="0A897F4F" w14:textId="77777777" w:rsidR="008C5CFA" w:rsidRDefault="00E82A60" w:rsidP="00300A01">
            <w:pPr>
              <w:spacing w:before="0" w:after="0"/>
            </w:pPr>
            <w:r>
              <w:rPr>
                <w:noProof/>
              </w:rPr>
              <w:t>Problemy:</w:t>
            </w:r>
          </w:p>
          <w:p w14:paraId="57E5A42F" w14:textId="77777777" w:rsidR="008C5CFA" w:rsidRDefault="00E82A60" w:rsidP="00300A01">
            <w:pPr>
              <w:spacing w:before="0" w:after="0"/>
            </w:pPr>
            <w:r>
              <w:rPr>
                <w:noProof/>
              </w:rPr>
              <w:lastRenderedPageBreak/>
              <w:t>-</w:t>
            </w:r>
            <w:r>
              <w:rPr>
                <w:noProof/>
              </w:rPr>
              <w:tab/>
              <w:t>wzrost cen robót i materiałów budowlanych-w projektach dot. ścieżek rowerowych, konieczność zmniejszenia zakresu rzeczowego inwestycji</w:t>
            </w:r>
          </w:p>
          <w:p w14:paraId="1FD8788A" w14:textId="77777777" w:rsidR="008C5CFA" w:rsidRDefault="00E82A60" w:rsidP="00300A01">
            <w:pPr>
              <w:spacing w:before="0" w:after="0"/>
            </w:pPr>
            <w:r>
              <w:rPr>
                <w:noProof/>
              </w:rPr>
              <w:t>-</w:t>
            </w:r>
            <w:r>
              <w:rPr>
                <w:noProof/>
              </w:rPr>
              <w:tab/>
              <w:t>nieuregulowany stan prawny nieruchomości pod inwestycje, przedłużające się procedury uzyskania pozwoleń na budowę ciągów rowerowych</w:t>
            </w:r>
          </w:p>
          <w:p w14:paraId="4E951B53" w14:textId="77777777" w:rsidR="008C5CFA" w:rsidRDefault="00E82A60" w:rsidP="00300A01">
            <w:pPr>
              <w:spacing w:before="0" w:after="0"/>
            </w:pPr>
            <w:r>
              <w:rPr>
                <w:noProof/>
              </w:rPr>
              <w:t>-</w:t>
            </w:r>
            <w:r>
              <w:rPr>
                <w:noProof/>
              </w:rPr>
              <w:tab/>
              <w:t xml:space="preserve">w rewitalizacji problemy z pozwoleniami (np. uzgodnienia </w:t>
            </w:r>
          </w:p>
          <w:p w14:paraId="49462D26" w14:textId="77777777" w:rsidR="008C5CFA" w:rsidRDefault="00E82A60" w:rsidP="00300A01">
            <w:pPr>
              <w:spacing w:before="0" w:after="0"/>
            </w:pPr>
            <w:r>
              <w:rPr>
                <w:noProof/>
              </w:rPr>
              <w:t>z konserwatorem zabytków, wodami polskimi)</w:t>
            </w:r>
          </w:p>
          <w:p w14:paraId="243ED729" w14:textId="77777777" w:rsidR="008C5CFA" w:rsidRDefault="00E82A60" w:rsidP="00300A01">
            <w:pPr>
              <w:spacing w:before="0" w:after="0"/>
            </w:pPr>
            <w:r>
              <w:rPr>
                <w:noProof/>
              </w:rPr>
              <w:t>-</w:t>
            </w:r>
            <w:r>
              <w:rPr>
                <w:noProof/>
              </w:rPr>
              <w:tab/>
              <w:t>powtarzanie p</w:t>
            </w:r>
          </w:p>
        </w:tc>
      </w:tr>
      <w:tr w:rsidR="006B2EC1" w14:paraId="7253EAC1" w14:textId="77777777" w:rsidTr="0047688D">
        <w:tc>
          <w:tcPr>
            <w:tcW w:w="0" w:type="auto"/>
            <w:shd w:val="clear" w:color="auto" w:fill="auto"/>
          </w:tcPr>
          <w:p w14:paraId="009C6F1C" w14:textId="77777777" w:rsidR="008C5CFA" w:rsidRDefault="00E82A60" w:rsidP="00300A01">
            <w:pPr>
              <w:spacing w:before="0" w:after="0"/>
            </w:pPr>
            <w:r>
              <w:rPr>
                <w:noProof/>
              </w:rPr>
              <w:lastRenderedPageBreak/>
              <w:t>7</w:t>
            </w:r>
          </w:p>
        </w:tc>
        <w:tc>
          <w:tcPr>
            <w:tcW w:w="0" w:type="auto"/>
            <w:shd w:val="clear" w:color="auto" w:fill="auto"/>
          </w:tcPr>
          <w:p w14:paraId="0C5F3654" w14:textId="77777777" w:rsidR="008C5CFA" w:rsidRDefault="00E82A60" w:rsidP="00300A01">
            <w:pPr>
              <w:spacing w:before="0" w:after="0"/>
            </w:pPr>
            <w:r>
              <w:rPr>
                <w:noProof/>
              </w:rPr>
              <w:t>Sprawne usługi publiczne</w:t>
            </w:r>
          </w:p>
        </w:tc>
        <w:tc>
          <w:tcPr>
            <w:tcW w:w="0" w:type="auto"/>
            <w:shd w:val="clear" w:color="auto" w:fill="auto"/>
          </w:tcPr>
          <w:p w14:paraId="3BB3EDFD" w14:textId="77777777" w:rsidR="008C5CFA" w:rsidRDefault="00E82A60" w:rsidP="00300A01">
            <w:pPr>
              <w:spacing w:before="0" w:after="0"/>
            </w:pPr>
            <w:r>
              <w:rPr>
                <w:noProof/>
              </w:rPr>
              <w:t>POSTĘP FINANSOWY</w:t>
            </w:r>
          </w:p>
          <w:p w14:paraId="00BDCE1B" w14:textId="77777777" w:rsidR="008C5CFA" w:rsidRDefault="00E82A60" w:rsidP="00300A01">
            <w:pPr>
              <w:spacing w:before="0" w:after="0"/>
            </w:pPr>
            <w:r>
              <w:rPr>
                <w:noProof/>
              </w:rPr>
              <w:t>•</w:t>
            </w:r>
            <w:r>
              <w:rPr>
                <w:noProof/>
              </w:rPr>
              <w:tab/>
              <w:t>NABORY: ogłoszono 21 naborów o budżecie 125,0 mln €, zakończono 21 naborów</w:t>
            </w:r>
          </w:p>
          <w:p w14:paraId="0C988CAC" w14:textId="77777777" w:rsidR="008C5CFA" w:rsidRDefault="00E82A60" w:rsidP="00300A01">
            <w:pPr>
              <w:spacing w:before="0" w:after="0"/>
            </w:pPr>
            <w:r>
              <w:rPr>
                <w:noProof/>
              </w:rPr>
              <w:t>W 2019 r. rozpoczęto 3 nabory (konkursowe) o budżecie 4,0 mln €, zakończono 3</w:t>
            </w:r>
          </w:p>
          <w:p w14:paraId="53595210" w14:textId="77777777" w:rsidR="008C5CFA" w:rsidRDefault="00E82A60" w:rsidP="00300A01">
            <w:pPr>
              <w:spacing w:before="0" w:after="0"/>
            </w:pPr>
            <w:r>
              <w:rPr>
                <w:noProof/>
              </w:rPr>
              <w:t>•</w:t>
            </w:r>
            <w:r>
              <w:rPr>
                <w:noProof/>
              </w:rPr>
              <w:tab/>
              <w:t>UMOWY: 220 podpisanych umów o dofinansowanie o wartości 126,7 mln € wkładu UE tj. 96,5% alokacji OP, oraz 1 pre-umowa o wartości 1,1 mln €  wkładu UE</w:t>
            </w:r>
          </w:p>
          <w:p w14:paraId="24AE2244" w14:textId="77777777" w:rsidR="008C5CFA" w:rsidRDefault="00E82A60" w:rsidP="00300A01">
            <w:pPr>
              <w:spacing w:before="0" w:after="0"/>
            </w:pPr>
            <w:r>
              <w:rPr>
                <w:noProof/>
              </w:rPr>
              <w:t>W 2019 podpisano 79 umów o wartości 20,6 mln € wkładu UE.</w:t>
            </w:r>
          </w:p>
          <w:p w14:paraId="476562D2" w14:textId="77777777" w:rsidR="008C5CFA" w:rsidRDefault="00E82A60" w:rsidP="00300A01">
            <w:pPr>
              <w:spacing w:before="0" w:after="0"/>
            </w:pPr>
            <w:r>
              <w:rPr>
                <w:noProof/>
              </w:rPr>
              <w:t>•</w:t>
            </w:r>
            <w:r>
              <w:rPr>
                <w:noProof/>
              </w:rPr>
              <w:tab/>
              <w:t>WNIOSKI O PŁATNOŚĆ: zatwierdzono 1 063 WNP o wartości 78,9 mln € wydatków uznanych za kwalifikowalne, w tym 53,7 mln € wkładu UE (40,9% alokacji OP)</w:t>
            </w:r>
          </w:p>
          <w:p w14:paraId="178CDD25" w14:textId="77777777" w:rsidR="008C5CFA" w:rsidRDefault="00E82A60" w:rsidP="00300A01">
            <w:pPr>
              <w:spacing w:before="0" w:after="0"/>
            </w:pPr>
            <w:r>
              <w:rPr>
                <w:noProof/>
              </w:rPr>
              <w:t>W 2019 zatwierdzono 525 WNP o wartości 41,9 mln€ wydatków uznanych za kwalifikowalne, w tym 30,7 mln € wkładu UE</w:t>
            </w:r>
          </w:p>
          <w:p w14:paraId="120C9987" w14:textId="77777777" w:rsidR="008C5CFA" w:rsidRDefault="00E82A60" w:rsidP="00300A01">
            <w:pPr>
              <w:spacing w:before="0" w:after="0"/>
            </w:pPr>
            <w:r>
              <w:rPr>
                <w:noProof/>
              </w:rPr>
              <w:t>•</w:t>
            </w:r>
            <w:r>
              <w:rPr>
                <w:noProof/>
              </w:rPr>
              <w:tab/>
              <w:t>CERTYFIKACJA: do końca 2019 certyfikowano 65,5 mln € wkładu UE, tj. 49,9 % alokacji OP</w:t>
            </w:r>
          </w:p>
          <w:p w14:paraId="086A95A8" w14:textId="77777777" w:rsidR="008C5CFA" w:rsidRDefault="00E82A60" w:rsidP="00300A01">
            <w:pPr>
              <w:spacing w:before="0" w:after="0"/>
            </w:pPr>
            <w:r>
              <w:rPr>
                <w:noProof/>
              </w:rPr>
              <w:t>POSTĘP RZECZOWY</w:t>
            </w:r>
          </w:p>
          <w:p w14:paraId="7BFBF7B0" w14:textId="77777777" w:rsidR="008C5CFA" w:rsidRDefault="00E82A60" w:rsidP="00300A01">
            <w:pPr>
              <w:spacing w:before="0" w:after="0"/>
            </w:pPr>
            <w:r>
              <w:rPr>
                <w:noProof/>
              </w:rPr>
              <w:t xml:space="preserve">Postęp rzeczowy przedstawiono w Tabeli 3A i Tabeli 5 wraz </w:t>
            </w:r>
          </w:p>
          <w:p w14:paraId="0C5A1AD8" w14:textId="77777777" w:rsidR="008C5CFA" w:rsidRDefault="00E82A60" w:rsidP="00300A01">
            <w:pPr>
              <w:spacing w:before="0" w:after="0"/>
            </w:pPr>
            <w:r>
              <w:rPr>
                <w:noProof/>
              </w:rPr>
              <w:t xml:space="preserve">z komentarzami do osiągniętych wartości wskaźników </w:t>
            </w:r>
          </w:p>
          <w:p w14:paraId="77C48657" w14:textId="77777777" w:rsidR="008C5CFA" w:rsidRDefault="00E82A60" w:rsidP="00300A01">
            <w:pPr>
              <w:spacing w:before="0" w:after="0"/>
            </w:pPr>
            <w:r>
              <w:rPr>
                <w:noProof/>
              </w:rPr>
              <w:t>Wskaźniki:</w:t>
            </w:r>
          </w:p>
          <w:p w14:paraId="4962A872" w14:textId="77777777" w:rsidR="008C5CFA" w:rsidRDefault="00E82A60" w:rsidP="00300A01">
            <w:pPr>
              <w:spacing w:before="0" w:after="0"/>
            </w:pPr>
            <w:r>
              <w:rPr>
                <w:noProof/>
              </w:rPr>
              <w:t xml:space="preserve">PI 2c - 2 z 3 wskaźników produktu w UDA znacznie przekracza wartości docelowe. Dla 1 wskaźnika zbliża się do celu-93,5%. </w:t>
            </w:r>
          </w:p>
          <w:p w14:paraId="68E50C88" w14:textId="77777777" w:rsidR="008C5CFA" w:rsidRDefault="00E82A60" w:rsidP="00300A01">
            <w:pPr>
              <w:spacing w:before="0" w:after="0"/>
            </w:pPr>
            <w:r>
              <w:rPr>
                <w:noProof/>
              </w:rPr>
              <w:t xml:space="preserve">PI 8b - 2 wskaźniki produktu zostały zrealizowane, dla 1 projekty są </w:t>
            </w:r>
          </w:p>
          <w:p w14:paraId="361EA58F" w14:textId="77777777" w:rsidR="008C5CFA" w:rsidRDefault="00E82A60" w:rsidP="00300A01">
            <w:pPr>
              <w:spacing w:before="0" w:after="0"/>
            </w:pPr>
            <w:r>
              <w:rPr>
                <w:noProof/>
              </w:rPr>
              <w:t xml:space="preserve">w fazie realizacji. </w:t>
            </w:r>
          </w:p>
          <w:p w14:paraId="50C224DB" w14:textId="77777777" w:rsidR="008C5CFA" w:rsidRDefault="00E82A60" w:rsidP="00300A01">
            <w:pPr>
              <w:spacing w:before="0" w:after="0"/>
            </w:pPr>
            <w:r>
              <w:rPr>
                <w:noProof/>
              </w:rPr>
              <w:t>PI 9a - 4 z 5 wskaźników produktu zrealizowano. 1 we WNP wynosi  90%.</w:t>
            </w:r>
          </w:p>
          <w:p w14:paraId="430CD175" w14:textId="77777777" w:rsidR="008C5CFA" w:rsidRDefault="00E82A60" w:rsidP="00300A01">
            <w:pPr>
              <w:spacing w:before="0" w:after="0"/>
            </w:pPr>
            <w:r>
              <w:rPr>
                <w:noProof/>
              </w:rPr>
              <w:t xml:space="preserve">PI 10a- wskaźniki produktu zostały zrealizowane. </w:t>
            </w:r>
          </w:p>
          <w:p w14:paraId="5DCC3E8F" w14:textId="77777777" w:rsidR="008C5CFA" w:rsidRDefault="00E82A60" w:rsidP="00300A01">
            <w:pPr>
              <w:spacing w:before="0" w:after="0"/>
            </w:pPr>
            <w:r>
              <w:rPr>
                <w:noProof/>
              </w:rPr>
              <w:t>Problemy:</w:t>
            </w:r>
          </w:p>
          <w:p w14:paraId="7F88D19B" w14:textId="77777777" w:rsidR="008C5CFA" w:rsidRDefault="00E82A60" w:rsidP="00300A01">
            <w:pPr>
              <w:spacing w:before="0" w:after="0"/>
            </w:pPr>
            <w:r>
              <w:rPr>
                <w:noProof/>
              </w:rPr>
              <w:t>-</w:t>
            </w:r>
            <w:r>
              <w:rPr>
                <w:noProof/>
              </w:rPr>
              <w:tab/>
              <w:t xml:space="preserve">wysokie ceny robót budowlanych/usług (oferty wyższe niż budżety proj.) </w:t>
            </w:r>
          </w:p>
          <w:p w14:paraId="3EDE2976" w14:textId="77777777" w:rsidR="008C5CFA" w:rsidRDefault="00E82A60" w:rsidP="00300A01">
            <w:pPr>
              <w:spacing w:before="0" w:after="0"/>
            </w:pPr>
            <w:r>
              <w:rPr>
                <w:noProof/>
              </w:rPr>
              <w:t>-</w:t>
            </w:r>
            <w:r>
              <w:rPr>
                <w:noProof/>
              </w:rPr>
              <w:tab/>
              <w:t>odległe terminy realizacji projektów spowodowane powtarzaniem zamówień publicznych</w:t>
            </w:r>
          </w:p>
          <w:p w14:paraId="6BE95AF9" w14:textId="77777777" w:rsidR="008C5CFA" w:rsidRDefault="008C5CFA" w:rsidP="00300A01">
            <w:pPr>
              <w:spacing w:before="0" w:after="0"/>
            </w:pPr>
          </w:p>
        </w:tc>
      </w:tr>
      <w:tr w:rsidR="006B2EC1" w14:paraId="05640188" w14:textId="77777777" w:rsidTr="0047688D">
        <w:tc>
          <w:tcPr>
            <w:tcW w:w="0" w:type="auto"/>
            <w:shd w:val="clear" w:color="auto" w:fill="auto"/>
          </w:tcPr>
          <w:p w14:paraId="1861E853" w14:textId="77777777" w:rsidR="008C5CFA" w:rsidRDefault="00E82A60" w:rsidP="00300A01">
            <w:pPr>
              <w:spacing w:before="0" w:after="0"/>
            </w:pPr>
            <w:r>
              <w:rPr>
                <w:noProof/>
              </w:rPr>
              <w:lastRenderedPageBreak/>
              <w:t>8</w:t>
            </w:r>
          </w:p>
        </w:tc>
        <w:tc>
          <w:tcPr>
            <w:tcW w:w="0" w:type="auto"/>
            <w:shd w:val="clear" w:color="auto" w:fill="auto"/>
          </w:tcPr>
          <w:p w14:paraId="7F1A7584" w14:textId="77777777" w:rsidR="008C5CFA" w:rsidRDefault="00E82A60" w:rsidP="00300A01">
            <w:pPr>
              <w:spacing w:before="0" w:after="0"/>
            </w:pPr>
            <w:r>
              <w:rPr>
                <w:noProof/>
              </w:rPr>
              <w:t>Rozwój edukacji i aktywne społeczeństwo</w:t>
            </w:r>
          </w:p>
        </w:tc>
        <w:tc>
          <w:tcPr>
            <w:tcW w:w="0" w:type="auto"/>
            <w:shd w:val="clear" w:color="auto" w:fill="auto"/>
          </w:tcPr>
          <w:p w14:paraId="351B4017" w14:textId="77777777" w:rsidR="008C5CFA" w:rsidRDefault="00E82A60" w:rsidP="00300A01">
            <w:pPr>
              <w:spacing w:before="0" w:after="0"/>
            </w:pPr>
            <w:r>
              <w:rPr>
                <w:noProof/>
              </w:rPr>
              <w:t>POSTĘP FINANSOWY</w:t>
            </w:r>
          </w:p>
          <w:p w14:paraId="71768500" w14:textId="77777777" w:rsidR="008C5CFA" w:rsidRDefault="00E82A60" w:rsidP="00300A01">
            <w:pPr>
              <w:spacing w:before="0" w:after="0"/>
            </w:pPr>
            <w:r>
              <w:rPr>
                <w:noProof/>
              </w:rPr>
              <w:t>•</w:t>
            </w:r>
            <w:r>
              <w:rPr>
                <w:noProof/>
              </w:rPr>
              <w:tab/>
              <w:t>NABORY: ogłoszono 108 naborów o budżecie 152,0 mln €, zakończono 98 naborów</w:t>
            </w:r>
          </w:p>
          <w:p w14:paraId="6AD93840" w14:textId="77777777" w:rsidR="008C5CFA" w:rsidRDefault="00E82A60" w:rsidP="00300A01">
            <w:pPr>
              <w:spacing w:before="0" w:after="0"/>
            </w:pPr>
            <w:r>
              <w:rPr>
                <w:noProof/>
              </w:rPr>
              <w:t>W 2019 r. rozpoczęto 25 naborów (23 konkursowe, 2 pozakonkursowe) o budżecie 39,4 mln €, zakończono 21</w:t>
            </w:r>
          </w:p>
          <w:p w14:paraId="2A4FD4C8" w14:textId="77777777" w:rsidR="008C5CFA" w:rsidRDefault="00E82A60" w:rsidP="00300A01">
            <w:pPr>
              <w:spacing w:before="0" w:after="0"/>
            </w:pPr>
            <w:r>
              <w:rPr>
                <w:noProof/>
              </w:rPr>
              <w:t>•</w:t>
            </w:r>
            <w:r>
              <w:rPr>
                <w:noProof/>
              </w:rPr>
              <w:tab/>
              <w:t>UMOWY: 473 podpisane umowy o dofinansowanie o wartości 70,4 mln € wkładu UE, tj. 64,5% alokacji OP</w:t>
            </w:r>
          </w:p>
          <w:p w14:paraId="53A2B4ED" w14:textId="77777777" w:rsidR="008C5CFA" w:rsidRDefault="00E82A60" w:rsidP="00300A01">
            <w:pPr>
              <w:spacing w:before="0" w:after="0"/>
            </w:pPr>
            <w:r>
              <w:rPr>
                <w:noProof/>
              </w:rPr>
              <w:t>W 2019 podpisano 84 umów o wartości 14,9 mln € wkładu UE</w:t>
            </w:r>
          </w:p>
          <w:p w14:paraId="2403D1C0" w14:textId="77777777" w:rsidR="008C5CFA" w:rsidRDefault="00E82A60" w:rsidP="00300A01">
            <w:pPr>
              <w:spacing w:before="0" w:after="0"/>
            </w:pPr>
            <w:r>
              <w:rPr>
                <w:noProof/>
              </w:rPr>
              <w:t>•</w:t>
            </w:r>
            <w:r>
              <w:rPr>
                <w:noProof/>
              </w:rPr>
              <w:tab/>
              <w:t>WNIOSKI O PŁATNOŚĆ: zatwierdzono 2 725  WNP o wartości 51,2 mln € wydatków uznanych za kwalifikowalne, w tym 43,4 mln € wkładu UE (39,8% alokacji OP)</w:t>
            </w:r>
          </w:p>
          <w:p w14:paraId="41926A92" w14:textId="77777777" w:rsidR="008C5CFA" w:rsidRDefault="00E82A60" w:rsidP="00300A01">
            <w:pPr>
              <w:spacing w:before="0" w:after="0"/>
            </w:pPr>
            <w:r>
              <w:rPr>
                <w:noProof/>
              </w:rPr>
              <w:t>W 2019 zatwierdzono 1 009 WNP o wartości 22,4 mln € wydatków uznanych za kwalifikowalne, w tym 19,0 mln € wkładu UE</w:t>
            </w:r>
          </w:p>
          <w:p w14:paraId="290F493E" w14:textId="77777777" w:rsidR="008C5CFA" w:rsidRDefault="00E82A60" w:rsidP="00300A01">
            <w:pPr>
              <w:spacing w:before="0" w:after="0"/>
            </w:pPr>
            <w:r>
              <w:rPr>
                <w:noProof/>
              </w:rPr>
              <w:t>•</w:t>
            </w:r>
            <w:r>
              <w:rPr>
                <w:noProof/>
              </w:rPr>
              <w:tab/>
              <w:t>CERTYFIKACJA: do końca 2019 certyfikowano 41,5 mln € wkładu UE tj. 38,0 % alokacji OP</w:t>
            </w:r>
          </w:p>
          <w:p w14:paraId="4A79A012" w14:textId="77777777" w:rsidR="008C5CFA" w:rsidRDefault="00E82A60" w:rsidP="00300A01">
            <w:pPr>
              <w:spacing w:before="0" w:after="0"/>
            </w:pPr>
            <w:r>
              <w:rPr>
                <w:noProof/>
              </w:rPr>
              <w:t>POSTĘP RZECZOWY</w:t>
            </w:r>
          </w:p>
          <w:p w14:paraId="36FEB67F" w14:textId="77777777" w:rsidR="008C5CFA" w:rsidRDefault="00E82A60" w:rsidP="00300A01">
            <w:pPr>
              <w:spacing w:before="0" w:after="0"/>
            </w:pPr>
            <w:r>
              <w:rPr>
                <w:noProof/>
              </w:rPr>
              <w:t xml:space="preserve">Postęp rzeczowy przedstawiono w Tabelach 2A, 2C, 4A, 4B i Tabeli 5 wraz z komentarzami do osiągniętych wartości wskaźników </w:t>
            </w:r>
          </w:p>
          <w:p w14:paraId="64ABE573" w14:textId="77777777" w:rsidR="008C5CFA" w:rsidRDefault="00E82A60" w:rsidP="00300A01">
            <w:pPr>
              <w:spacing w:before="0" w:after="0"/>
            </w:pPr>
            <w:r>
              <w:rPr>
                <w:noProof/>
              </w:rPr>
              <w:t>Wskaźniki:</w:t>
            </w:r>
          </w:p>
          <w:p w14:paraId="318E5946" w14:textId="77777777" w:rsidR="008C5CFA" w:rsidRDefault="00E82A60" w:rsidP="00300A01">
            <w:pPr>
              <w:spacing w:before="0" w:after="0"/>
            </w:pPr>
            <w:r>
              <w:rPr>
                <w:noProof/>
              </w:rPr>
              <w:t>Większość wskaźników produktu i rezultatu wykonano na zadowalającym poziomie. Znaczna część wskaźników osiągnęła już wartości docelowe.</w:t>
            </w:r>
          </w:p>
          <w:p w14:paraId="3D03ACDE" w14:textId="77777777" w:rsidR="008C5CFA" w:rsidRDefault="00E82A60" w:rsidP="00300A01">
            <w:pPr>
              <w:spacing w:before="0" w:after="0"/>
            </w:pPr>
            <w:r>
              <w:rPr>
                <w:noProof/>
              </w:rPr>
              <w:t>Na dość niskim poziomie pozostają wskaźniki produktu PI8iv - dot. miejsc opieki nad dziećmi do lat 3 - 46% i PI10iv - Liczba osób uczestniczących w pozaszkolnych formach kształcenia w programie -20,9%.</w:t>
            </w:r>
          </w:p>
          <w:p w14:paraId="510BA3B4" w14:textId="77777777" w:rsidR="008C5CFA" w:rsidRDefault="00E82A60" w:rsidP="00300A01">
            <w:pPr>
              <w:spacing w:before="0" w:after="0"/>
            </w:pPr>
            <w:r>
              <w:rPr>
                <w:noProof/>
              </w:rPr>
              <w:t>Problemy:</w:t>
            </w:r>
          </w:p>
          <w:p w14:paraId="46940F2D" w14:textId="77777777" w:rsidR="008C5CFA" w:rsidRDefault="00E82A60" w:rsidP="00300A01">
            <w:pPr>
              <w:spacing w:before="0" w:after="0"/>
            </w:pPr>
            <w:r>
              <w:rPr>
                <w:noProof/>
              </w:rPr>
              <w:t>-</w:t>
            </w:r>
            <w:r>
              <w:rPr>
                <w:noProof/>
              </w:rPr>
              <w:tab/>
              <w:t>długi proces zatwierdzania RPZ, wymagające kryteria wyboru projektów, brak doświadczenia Wnioskodawców. Na etapie realizacji projektów -opóźnienia wynikające z PZP</w:t>
            </w:r>
          </w:p>
          <w:p w14:paraId="39170292" w14:textId="77777777" w:rsidR="008C5CFA" w:rsidRDefault="00E82A60" w:rsidP="00300A01">
            <w:pPr>
              <w:spacing w:before="0" w:after="0"/>
            </w:pPr>
            <w:r>
              <w:rPr>
                <w:noProof/>
              </w:rPr>
              <w:t>-</w:t>
            </w:r>
            <w:r>
              <w:rPr>
                <w:noProof/>
              </w:rPr>
              <w:tab/>
              <w:t>Zmiana Wytycznych - podział konkursów na proj. małe i duże-nie uwzględnienie specyfiki projektów rozliczanych stawkami jednostkowymi</w:t>
            </w:r>
          </w:p>
          <w:p w14:paraId="42CA70FB" w14:textId="77777777" w:rsidR="008C5CFA" w:rsidRDefault="00E82A60" w:rsidP="00300A01">
            <w:pPr>
              <w:spacing w:before="0" w:after="0"/>
            </w:pPr>
            <w:r>
              <w:rPr>
                <w:noProof/>
              </w:rPr>
              <w:t>-</w:t>
            </w:r>
            <w:r>
              <w:rPr>
                <w:noProof/>
              </w:rPr>
              <w:tab/>
              <w:t>Nieterminowe rozliczanie proj. przez Beneficjentów, zmiany harmonogramów płatności</w:t>
            </w:r>
          </w:p>
          <w:p w14:paraId="6B5D3422" w14:textId="77777777" w:rsidR="008C5CFA" w:rsidRDefault="00E82A60" w:rsidP="00300A01">
            <w:pPr>
              <w:spacing w:before="0" w:after="0"/>
            </w:pPr>
            <w:r>
              <w:rPr>
                <w:noProof/>
              </w:rPr>
              <w:t>-</w:t>
            </w:r>
            <w:r>
              <w:rPr>
                <w:noProof/>
              </w:rPr>
              <w:tab/>
              <w:t>W trakcie uzgodnienie z MFiPR certyfikacja projektów, w których przekroczono montaż finansowy</w:t>
            </w:r>
          </w:p>
          <w:p w14:paraId="71A5EC38" w14:textId="77777777" w:rsidR="008C5CFA" w:rsidRDefault="008C5CFA" w:rsidP="00300A01">
            <w:pPr>
              <w:spacing w:before="0" w:after="0"/>
            </w:pPr>
          </w:p>
        </w:tc>
      </w:tr>
      <w:tr w:rsidR="006B2EC1" w14:paraId="2D8F7D79" w14:textId="77777777" w:rsidTr="0047688D">
        <w:tc>
          <w:tcPr>
            <w:tcW w:w="0" w:type="auto"/>
            <w:shd w:val="clear" w:color="auto" w:fill="auto"/>
          </w:tcPr>
          <w:p w14:paraId="689B6225" w14:textId="77777777" w:rsidR="008C5CFA" w:rsidRDefault="00E82A60" w:rsidP="00300A01">
            <w:pPr>
              <w:spacing w:before="0" w:after="0"/>
            </w:pPr>
            <w:r>
              <w:rPr>
                <w:noProof/>
              </w:rPr>
              <w:t>9</w:t>
            </w:r>
          </w:p>
        </w:tc>
        <w:tc>
          <w:tcPr>
            <w:tcW w:w="0" w:type="auto"/>
            <w:shd w:val="clear" w:color="auto" w:fill="auto"/>
          </w:tcPr>
          <w:p w14:paraId="2C1117EF" w14:textId="77777777" w:rsidR="008C5CFA" w:rsidRDefault="00E82A60" w:rsidP="00300A01">
            <w:pPr>
              <w:spacing w:before="0" w:after="0"/>
            </w:pPr>
            <w:r>
              <w:rPr>
                <w:noProof/>
              </w:rPr>
              <w:t>Włączenie społeczne i walka z ubóstwem</w:t>
            </w:r>
          </w:p>
        </w:tc>
        <w:tc>
          <w:tcPr>
            <w:tcW w:w="0" w:type="auto"/>
            <w:shd w:val="clear" w:color="auto" w:fill="auto"/>
          </w:tcPr>
          <w:p w14:paraId="26CFF448" w14:textId="77777777" w:rsidR="008C5CFA" w:rsidRDefault="00E82A60" w:rsidP="00300A01">
            <w:pPr>
              <w:spacing w:before="0" w:after="0"/>
            </w:pPr>
            <w:r>
              <w:rPr>
                <w:noProof/>
              </w:rPr>
              <w:t>POSTĘP FINANSOWY</w:t>
            </w:r>
          </w:p>
          <w:p w14:paraId="12DB3A70" w14:textId="77777777" w:rsidR="008C5CFA" w:rsidRDefault="00E82A60" w:rsidP="00300A01">
            <w:pPr>
              <w:spacing w:before="0" w:after="0"/>
            </w:pPr>
            <w:r>
              <w:rPr>
                <w:noProof/>
              </w:rPr>
              <w:t>•</w:t>
            </w:r>
            <w:r>
              <w:rPr>
                <w:noProof/>
              </w:rPr>
              <w:tab/>
              <w:t xml:space="preserve">NABORY: ogłoszono 60 naborów, w tym 1 unieważniony </w:t>
            </w:r>
          </w:p>
          <w:p w14:paraId="7F5D8AB7" w14:textId="77777777" w:rsidR="008C5CFA" w:rsidRDefault="00E82A60" w:rsidP="00300A01">
            <w:pPr>
              <w:spacing w:before="0" w:after="0"/>
            </w:pPr>
            <w:r>
              <w:rPr>
                <w:noProof/>
              </w:rPr>
              <w:t>o budżecie 166,8 mln €, zakończono 55 naborów</w:t>
            </w:r>
          </w:p>
          <w:p w14:paraId="429F78E1" w14:textId="77777777" w:rsidR="008C5CFA" w:rsidRDefault="00E82A60" w:rsidP="00300A01">
            <w:pPr>
              <w:spacing w:before="0" w:after="0"/>
            </w:pPr>
            <w:r>
              <w:rPr>
                <w:noProof/>
              </w:rPr>
              <w:t xml:space="preserve">W 2019 r. rozpoczęto 22 nabory (18 konkursowych, </w:t>
            </w:r>
          </w:p>
          <w:p w14:paraId="7AED26E0" w14:textId="77777777" w:rsidR="008C5CFA" w:rsidRDefault="00E82A60" w:rsidP="00300A01">
            <w:pPr>
              <w:spacing w:before="0" w:after="0"/>
            </w:pPr>
            <w:r>
              <w:rPr>
                <w:noProof/>
              </w:rPr>
              <w:t>4 pozakonkursowe) o budżecie 44,0 mln €, zakończono 25.</w:t>
            </w:r>
          </w:p>
          <w:p w14:paraId="76F96917" w14:textId="77777777" w:rsidR="008C5CFA" w:rsidRDefault="00E82A60" w:rsidP="00300A01">
            <w:pPr>
              <w:spacing w:before="0" w:after="0"/>
            </w:pPr>
            <w:r>
              <w:rPr>
                <w:noProof/>
              </w:rPr>
              <w:t>•</w:t>
            </w:r>
            <w:r>
              <w:rPr>
                <w:noProof/>
              </w:rPr>
              <w:tab/>
              <w:t>UMOWY: 227 podpisanych umów o dofinansowanie o wartości 66,8 mln € wkładu UE, tj. 67,1% alokacji OP</w:t>
            </w:r>
          </w:p>
          <w:p w14:paraId="59419229" w14:textId="77777777" w:rsidR="008C5CFA" w:rsidRDefault="00E82A60" w:rsidP="00300A01">
            <w:pPr>
              <w:spacing w:before="0" w:after="0"/>
            </w:pPr>
            <w:r>
              <w:rPr>
                <w:noProof/>
              </w:rPr>
              <w:t>W 2019 podpisano 108 umów o wartości 40,0 mln € wkładu UE.</w:t>
            </w:r>
          </w:p>
          <w:p w14:paraId="43912402" w14:textId="77777777" w:rsidR="008C5CFA" w:rsidRDefault="00E82A60" w:rsidP="00300A01">
            <w:pPr>
              <w:spacing w:before="0" w:after="0"/>
            </w:pPr>
            <w:r>
              <w:rPr>
                <w:noProof/>
              </w:rPr>
              <w:lastRenderedPageBreak/>
              <w:t>•</w:t>
            </w:r>
            <w:r>
              <w:rPr>
                <w:noProof/>
              </w:rPr>
              <w:tab/>
              <w:t>WNIOSKI O PŁATNOŚĆ: zatwierdzono 1 123  WNP o wartości 28,1 mln € wydatków uznanych za kwalifikowalne, w tym 23,6 mln € wkładu UE (23,7% alokacji OP)</w:t>
            </w:r>
          </w:p>
          <w:p w14:paraId="321F36E5" w14:textId="77777777" w:rsidR="008C5CFA" w:rsidRDefault="00E82A60" w:rsidP="00300A01">
            <w:pPr>
              <w:spacing w:before="0" w:after="0"/>
            </w:pPr>
            <w:r>
              <w:rPr>
                <w:noProof/>
              </w:rPr>
              <w:t>W 2019 zatwierdzono 475 WNP o wartości 14,2 mln€ wydatków uznanych za kwalifikowalne, w tym 11,9 mln € wkładu UE</w:t>
            </w:r>
          </w:p>
          <w:p w14:paraId="7289C4AF" w14:textId="77777777" w:rsidR="008C5CFA" w:rsidRDefault="00E82A60" w:rsidP="00300A01">
            <w:pPr>
              <w:spacing w:before="0" w:after="0"/>
            </w:pPr>
            <w:r>
              <w:rPr>
                <w:noProof/>
              </w:rPr>
              <w:t>•</w:t>
            </w:r>
            <w:r>
              <w:rPr>
                <w:noProof/>
              </w:rPr>
              <w:tab/>
              <w:t>CERTYFIKACJA: do końca 2019 certyfikowano 22,0 mln € wkładu UE, tj. 22,1 % alokacji OP.</w:t>
            </w:r>
          </w:p>
          <w:p w14:paraId="2A4B5115" w14:textId="77777777" w:rsidR="008C5CFA" w:rsidRDefault="00E82A60" w:rsidP="00300A01">
            <w:pPr>
              <w:spacing w:before="0" w:after="0"/>
            </w:pPr>
            <w:r>
              <w:rPr>
                <w:noProof/>
              </w:rPr>
              <w:t>POSTĘP RZECZOWY</w:t>
            </w:r>
          </w:p>
          <w:p w14:paraId="26724E80" w14:textId="77777777" w:rsidR="008C5CFA" w:rsidRDefault="00E82A60" w:rsidP="00300A01">
            <w:pPr>
              <w:spacing w:before="0" w:after="0"/>
            </w:pPr>
            <w:r>
              <w:rPr>
                <w:noProof/>
              </w:rPr>
              <w:t xml:space="preserve">Postęp rzeczowy przedstawiono w Tabelach 2A, 2C, 4A, 4B i Tabeli 5 </w:t>
            </w:r>
          </w:p>
          <w:p w14:paraId="0A3A3D00" w14:textId="77777777" w:rsidR="008C5CFA" w:rsidRDefault="00E82A60" w:rsidP="00300A01">
            <w:pPr>
              <w:spacing w:before="0" w:after="0"/>
            </w:pPr>
            <w:r>
              <w:rPr>
                <w:noProof/>
              </w:rPr>
              <w:t>Wskaźniki:</w:t>
            </w:r>
          </w:p>
          <w:p w14:paraId="7742DAD3" w14:textId="77777777" w:rsidR="008C5CFA" w:rsidRDefault="00E82A60" w:rsidP="00300A01">
            <w:pPr>
              <w:spacing w:before="0" w:after="0"/>
            </w:pPr>
            <w:r>
              <w:rPr>
                <w:noProof/>
              </w:rPr>
              <w:t xml:space="preserve">Pomimo wzrostu, nadal dość niskie wartości wskaźników produktu </w:t>
            </w:r>
          </w:p>
          <w:p w14:paraId="5AD1C8D6" w14:textId="77777777" w:rsidR="008C5CFA" w:rsidRDefault="00E82A60" w:rsidP="00300A01">
            <w:pPr>
              <w:spacing w:before="0" w:after="0"/>
            </w:pPr>
            <w:r>
              <w:rPr>
                <w:noProof/>
              </w:rPr>
              <w:t>w PI9i-Liczba osób zagrożonych ubóstwem lub wykluczeniem społecznym objętych wsparciem w programie - 39,5%</w:t>
            </w:r>
          </w:p>
          <w:p w14:paraId="3D12A112" w14:textId="77777777" w:rsidR="008C5CFA" w:rsidRDefault="00E82A60" w:rsidP="00300A01">
            <w:pPr>
              <w:spacing w:before="0" w:after="0"/>
            </w:pPr>
            <w:r>
              <w:rPr>
                <w:noProof/>
              </w:rPr>
              <w:t>PI9iv-Liczba osób zagrożonych ubóstwem lub wykluczeniem społecznym objętych usługami zdrowotnymi-31,2%-planowane kolejne konkursy.</w:t>
            </w:r>
          </w:p>
          <w:p w14:paraId="0EB9F587" w14:textId="77777777" w:rsidR="008C5CFA" w:rsidRDefault="00E82A60" w:rsidP="00300A01">
            <w:pPr>
              <w:spacing w:before="0" w:after="0"/>
            </w:pPr>
            <w:r>
              <w:rPr>
                <w:noProof/>
              </w:rPr>
              <w:t>PI 9v-Liczba osób zagrożonych ubóstwem lub wykluczeniem społecznym objętych wsparciem w programie-41,1%.</w:t>
            </w:r>
          </w:p>
          <w:p w14:paraId="0F0CE22F" w14:textId="77777777" w:rsidR="008C5CFA" w:rsidRDefault="00E82A60" w:rsidP="00300A01">
            <w:pPr>
              <w:spacing w:before="0" w:after="0"/>
            </w:pPr>
            <w:r>
              <w:rPr>
                <w:noProof/>
              </w:rPr>
              <w:t>Problemy:</w:t>
            </w:r>
          </w:p>
          <w:p w14:paraId="7C4DEA01" w14:textId="77777777" w:rsidR="008C5CFA" w:rsidRDefault="00E82A60" w:rsidP="00300A01">
            <w:pPr>
              <w:spacing w:before="0" w:after="0"/>
            </w:pPr>
            <w:r>
              <w:rPr>
                <w:noProof/>
              </w:rPr>
              <w:t>Stosunkowo małe zainteresowanie konkursami, trudna grupa docelowa, zmiana sytuacji społeczno-gospodarczej, wprowadzenie krajowych programów zmniejszających ubóstwo, wzrost wynagrodzeń, spadek bezrobocia, poprawa sytuacji finansowej rodzin z dziećmi</w:t>
            </w:r>
          </w:p>
          <w:p w14:paraId="54172CC3" w14:textId="77777777" w:rsidR="008C5CFA" w:rsidRDefault="00E82A60" w:rsidP="00300A01">
            <w:pPr>
              <w:spacing w:before="0" w:after="0"/>
            </w:pPr>
            <w:r>
              <w:rPr>
                <w:noProof/>
              </w:rPr>
              <w:t xml:space="preserve">PI9iv-zagrożona realizacja wsk. dot. osób zagrożonych ubóstwem lub wykluczeniem społecznym poszukujących pracy, uczestniczących </w:t>
            </w:r>
          </w:p>
          <w:p w14:paraId="181D0D2F" w14:textId="77777777" w:rsidR="008C5CFA" w:rsidRDefault="00E82A60" w:rsidP="00300A01">
            <w:pPr>
              <w:spacing w:before="0" w:after="0"/>
            </w:pPr>
            <w:r>
              <w:rPr>
                <w:noProof/>
              </w:rPr>
              <w:t>w kształceniu lub szkoleniu, zdobywających kwalifikacje, pracujących po opuszczeniu programu-9,15 % - zgłoszono zmianę do</w:t>
            </w:r>
          </w:p>
        </w:tc>
      </w:tr>
    </w:tbl>
    <w:p w14:paraId="74CD43AD" w14:textId="77777777" w:rsidR="008C5CFA" w:rsidRDefault="008C5CFA" w:rsidP="00300A01">
      <w:pPr>
        <w:spacing w:before="0" w:after="0"/>
      </w:pPr>
    </w:p>
    <w:p w14:paraId="01AA30F3" w14:textId="77777777" w:rsidR="008C5CFA" w:rsidRDefault="00E82A60" w:rsidP="00300A01">
      <w:pPr>
        <w:spacing w:before="0" w:after="0"/>
      </w:pPr>
      <w:r>
        <w:br w:type="page"/>
      </w:r>
    </w:p>
    <w:p w14:paraId="7924795F" w14:textId="77777777" w:rsidR="008C5CFA" w:rsidRPr="00920B4D" w:rsidRDefault="00E82A60" w:rsidP="00300A01">
      <w:pPr>
        <w:pStyle w:val="Nagwek2"/>
        <w:numPr>
          <w:ilvl w:val="1"/>
          <w:numId w:val="15"/>
        </w:numPr>
        <w:tabs>
          <w:tab w:val="clear" w:pos="850"/>
          <w:tab w:val="num" w:pos="0"/>
        </w:tabs>
        <w:spacing w:before="0" w:after="0"/>
        <w:ind w:left="0" w:firstLine="0"/>
        <w:jc w:val="left"/>
        <w:rPr>
          <w:lang w:val="fr-BE"/>
        </w:rPr>
      </w:pPr>
      <w:bookmarkStart w:id="8" w:name="_Toc46391692"/>
      <w:r>
        <w:rPr>
          <w:noProof/>
        </w:rPr>
        <w:lastRenderedPageBreak/>
        <w:t>Wspólne wskaźniki i wskaźniki specyficzne dla programu (art. 50 ust. 2 rozporządzenia (UE) nr 1303/2013)</w:t>
      </w:r>
      <w:bookmarkEnd w:id="8"/>
      <w:r>
        <w:t xml:space="preserve"> </w:t>
      </w:r>
    </w:p>
    <w:p w14:paraId="075119F7" w14:textId="77777777" w:rsidR="008C5CFA" w:rsidRDefault="008C5CFA" w:rsidP="00300A01">
      <w:pPr>
        <w:spacing w:before="0" w:after="0"/>
        <w:rPr>
          <w:lang w:val="fr-BE"/>
        </w:rPr>
      </w:pPr>
    </w:p>
    <w:p w14:paraId="4D5DDFB0" w14:textId="77777777" w:rsidR="008C5CFA" w:rsidRPr="00496701" w:rsidRDefault="00E82A60" w:rsidP="00300A01">
      <w:pPr>
        <w:spacing w:before="0" w:after="0"/>
        <w:rPr>
          <w:b/>
          <w:lang w:val="fr-BE"/>
        </w:rPr>
      </w:pPr>
      <w:r w:rsidRPr="00496701">
        <w:rPr>
          <w:b/>
          <w:noProof/>
          <w:lang w:val="fr-BE"/>
        </w:rPr>
        <w:t>Osie priorytetowe inne niż pomoc techniczna</w:t>
      </w:r>
    </w:p>
    <w:p w14:paraId="255B3D4E" w14:textId="77777777" w:rsidR="008C5CFA" w:rsidRPr="00B27C43" w:rsidRDefault="008C5CFA" w:rsidP="00300A01">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6"/>
        <w:gridCol w:w="13338"/>
      </w:tblGrid>
      <w:tr w:rsidR="006B2EC1" w14:paraId="5B8C14E8" w14:textId="77777777" w:rsidTr="0047688D">
        <w:tc>
          <w:tcPr>
            <w:tcW w:w="0" w:type="auto"/>
            <w:shd w:val="clear" w:color="auto" w:fill="auto"/>
          </w:tcPr>
          <w:p w14:paraId="384B8F0F" w14:textId="77777777" w:rsidR="008C5CFA" w:rsidRPr="002124FC" w:rsidRDefault="00E82A60" w:rsidP="00300A01">
            <w:pPr>
              <w:spacing w:before="0" w:after="0"/>
              <w:rPr>
                <w:sz w:val="20"/>
                <w:szCs w:val="20"/>
                <w:lang w:val="fr-BE"/>
              </w:rPr>
            </w:pPr>
            <w:r>
              <w:rPr>
                <w:lang w:val="fr-BE"/>
              </w:rPr>
              <w:br w:type="page"/>
            </w:r>
            <w:r>
              <w:rPr>
                <w:lang w:val="fr-BE"/>
              </w:rPr>
              <w:br w:type="page"/>
            </w:r>
            <w:r w:rsidRPr="002124FC">
              <w:rPr>
                <w:noProof/>
                <w:sz w:val="20"/>
                <w:szCs w:val="20"/>
                <w:lang w:val="fr-BE"/>
              </w:rPr>
              <w:t>Oś priorytetowa</w:t>
            </w:r>
          </w:p>
        </w:tc>
        <w:tc>
          <w:tcPr>
            <w:tcW w:w="0" w:type="auto"/>
            <w:shd w:val="clear" w:color="auto" w:fill="auto"/>
          </w:tcPr>
          <w:p w14:paraId="45BC155B" w14:textId="77777777" w:rsidR="008C5CFA" w:rsidRPr="002124FC" w:rsidRDefault="00E82A60" w:rsidP="00300A01">
            <w:pPr>
              <w:spacing w:before="0" w:after="0"/>
              <w:rPr>
                <w:sz w:val="20"/>
                <w:szCs w:val="20"/>
                <w:lang w:val="fr-BE"/>
              </w:rPr>
            </w:pPr>
            <w:r w:rsidRPr="002124FC">
              <w:rPr>
                <w:noProof/>
                <w:sz w:val="20"/>
                <w:szCs w:val="20"/>
                <w:lang w:val="fr-BE"/>
              </w:rPr>
              <w:t>1</w:t>
            </w:r>
            <w:r w:rsidRPr="002124FC">
              <w:rPr>
                <w:sz w:val="20"/>
                <w:szCs w:val="20"/>
                <w:lang w:val="fr-BE"/>
              </w:rPr>
              <w:t xml:space="preserve"> - </w:t>
            </w:r>
            <w:r w:rsidRPr="002124FC">
              <w:rPr>
                <w:noProof/>
                <w:sz w:val="20"/>
                <w:szCs w:val="20"/>
                <w:lang w:val="fr-BE"/>
              </w:rPr>
              <w:t>Innowacje i nauka</w:t>
            </w:r>
          </w:p>
        </w:tc>
      </w:tr>
      <w:tr w:rsidR="006B2EC1" w14:paraId="7811E8C2" w14:textId="77777777" w:rsidTr="0047688D">
        <w:tc>
          <w:tcPr>
            <w:tcW w:w="0" w:type="auto"/>
            <w:shd w:val="clear" w:color="auto" w:fill="auto"/>
          </w:tcPr>
          <w:p w14:paraId="280AE1BF" w14:textId="77777777" w:rsidR="008C5CFA" w:rsidRPr="002124FC" w:rsidRDefault="00E82A60"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14:paraId="44833195" w14:textId="77777777" w:rsidR="008C5CFA" w:rsidRPr="002124FC" w:rsidRDefault="00E82A60" w:rsidP="00300A01">
            <w:pPr>
              <w:spacing w:before="0" w:after="0"/>
              <w:rPr>
                <w:sz w:val="20"/>
                <w:szCs w:val="20"/>
                <w:lang w:val="fr-BE"/>
              </w:rPr>
            </w:pPr>
            <w:r w:rsidRPr="002124FC">
              <w:rPr>
                <w:noProof/>
                <w:sz w:val="20"/>
                <w:szCs w:val="20"/>
                <w:lang w:val="fr-BE"/>
              </w:rPr>
              <w:t>1a</w:t>
            </w:r>
            <w:r w:rsidRPr="002124FC">
              <w:rPr>
                <w:sz w:val="20"/>
                <w:szCs w:val="20"/>
                <w:lang w:val="fr-BE"/>
              </w:rPr>
              <w:t xml:space="preserve"> - </w:t>
            </w:r>
            <w:r w:rsidRPr="002124FC">
              <w:rPr>
                <w:noProof/>
                <w:sz w:val="20"/>
                <w:szCs w:val="20"/>
                <w:lang w:val="fr-BE"/>
              </w:rPr>
              <w:t>Udoskonalanie infrastruktury badań i innowacji i zwiększanie zdolności do osiągania doskonałości w zakresie badań i innowacji oraz wspieranie ośrodków kompetencji, w szczególności tych, które leżą w interesie Europy</w:t>
            </w:r>
          </w:p>
        </w:tc>
      </w:tr>
    </w:tbl>
    <w:p w14:paraId="621B4D31" w14:textId="77777777" w:rsidR="008C5CFA" w:rsidRDefault="008C5CFA" w:rsidP="00300A01">
      <w:pPr>
        <w:spacing w:before="0" w:after="0"/>
        <w:rPr>
          <w:lang w:val="fr-BE"/>
        </w:rPr>
      </w:pPr>
    </w:p>
    <w:p w14:paraId="4C6D2E3C" w14:textId="77777777" w:rsidR="008C5CFA" w:rsidRDefault="00E82A60" w:rsidP="00300A01">
      <w:pPr>
        <w:pStyle w:val="Nagwek2"/>
        <w:spacing w:before="0" w:after="0"/>
        <w:rPr>
          <w:lang w:val="fr-BE"/>
        </w:rPr>
      </w:pPr>
      <w:bookmarkStart w:id="9" w:name="_Toc46391693"/>
      <w:r>
        <w:rPr>
          <w:noProof/>
          <w:lang w:val="fr-BE"/>
        </w:rPr>
        <w:t>Tabela 3A</w:t>
      </w:r>
      <w:r>
        <w:rPr>
          <w:lang w:val="fr-BE"/>
        </w:rPr>
        <w:t xml:space="preserve">: </w:t>
      </w:r>
      <w:r>
        <w:rPr>
          <w:noProof/>
          <w:lang w:val="fr-BE"/>
        </w:rPr>
        <w:t>Wspólne i specyficzne dla danego programu wskaźniki produktu dla EFRR i Funduszu Spójności (wg osi priorytetowej, priorytetu inwestycyjnego, w podziale na kategorię regionu dla celów EFRR)</w:t>
      </w:r>
      <w:r w:rsidR="009C5874">
        <w:rPr>
          <w:lang w:val="fr-BE"/>
        </w:rPr>
        <w:t xml:space="preserve"> - </w:t>
      </w:r>
      <w:r w:rsidR="00F022AC" w:rsidRPr="002124FC">
        <w:rPr>
          <w:noProof/>
          <w:sz w:val="20"/>
          <w:szCs w:val="20"/>
          <w:lang w:val="fr-BE"/>
        </w:rPr>
        <w:t>1</w:t>
      </w:r>
      <w:r w:rsidR="00F022AC">
        <w:rPr>
          <w:sz w:val="20"/>
          <w:szCs w:val="20"/>
          <w:lang w:val="fr-BE"/>
        </w:rPr>
        <w:t xml:space="preserve"> / </w:t>
      </w:r>
      <w:r w:rsidR="00F022AC" w:rsidRPr="002124FC">
        <w:rPr>
          <w:noProof/>
          <w:sz w:val="20"/>
          <w:szCs w:val="20"/>
          <w:lang w:val="fr-BE"/>
        </w:rPr>
        <w:t>1a</w:t>
      </w:r>
      <w:bookmarkEnd w:id="9"/>
    </w:p>
    <w:p w14:paraId="1393A10C"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01"/>
        <w:gridCol w:w="497"/>
        <w:gridCol w:w="2859"/>
        <w:gridCol w:w="1442"/>
        <w:gridCol w:w="921"/>
        <w:gridCol w:w="1257"/>
        <w:gridCol w:w="1194"/>
        <w:gridCol w:w="1097"/>
        <w:gridCol w:w="966"/>
        <w:gridCol w:w="912"/>
        <w:gridCol w:w="735"/>
        <w:gridCol w:w="3003"/>
      </w:tblGrid>
      <w:tr w:rsidR="006B2EC1" w14:paraId="4F67CB75" w14:textId="77777777" w:rsidTr="0047688D">
        <w:trPr>
          <w:tblHeader/>
        </w:trPr>
        <w:tc>
          <w:tcPr>
            <w:tcW w:w="0" w:type="auto"/>
          </w:tcPr>
          <w:p w14:paraId="2195F665" w14:textId="77777777" w:rsidR="008C5CFA" w:rsidRPr="009143B4" w:rsidRDefault="00E82A60" w:rsidP="00300A01">
            <w:pPr>
              <w:spacing w:before="0" w:after="0"/>
              <w:rPr>
                <w:b/>
                <w:sz w:val="16"/>
                <w:szCs w:val="16"/>
                <w:lang w:val="fr-BE"/>
              </w:rPr>
            </w:pPr>
            <w:r w:rsidRPr="009143B4">
              <w:rPr>
                <w:b/>
                <w:sz w:val="16"/>
                <w:szCs w:val="16"/>
                <w:lang w:val="fr-BE"/>
              </w:rPr>
              <w:t>(1)</w:t>
            </w:r>
          </w:p>
        </w:tc>
        <w:tc>
          <w:tcPr>
            <w:tcW w:w="0" w:type="auto"/>
            <w:shd w:val="clear" w:color="auto" w:fill="auto"/>
          </w:tcPr>
          <w:p w14:paraId="111A3A8A" w14:textId="77777777" w:rsidR="008C5CFA" w:rsidRPr="009143B4" w:rsidRDefault="00E82A60" w:rsidP="00300A01">
            <w:pPr>
              <w:spacing w:before="0" w:after="0"/>
              <w:rPr>
                <w:b/>
                <w:sz w:val="16"/>
                <w:szCs w:val="16"/>
                <w:lang w:val="fr-BE"/>
              </w:rPr>
            </w:pPr>
            <w:r w:rsidRPr="009143B4">
              <w:rPr>
                <w:b/>
                <w:noProof/>
                <w:sz w:val="16"/>
                <w:szCs w:val="16"/>
                <w:lang w:val="fr-BE"/>
              </w:rPr>
              <w:t>ID</w:t>
            </w:r>
          </w:p>
        </w:tc>
        <w:tc>
          <w:tcPr>
            <w:tcW w:w="0" w:type="auto"/>
            <w:shd w:val="clear" w:color="auto" w:fill="auto"/>
          </w:tcPr>
          <w:p w14:paraId="36447C4D" w14:textId="77777777" w:rsidR="008C5CFA" w:rsidRPr="009143B4" w:rsidRDefault="00E82A60" w:rsidP="00300A01">
            <w:pPr>
              <w:spacing w:before="0" w:after="0"/>
              <w:rPr>
                <w:b/>
                <w:sz w:val="16"/>
                <w:szCs w:val="16"/>
                <w:lang w:val="fr-BE"/>
              </w:rPr>
            </w:pPr>
            <w:r w:rsidRPr="009143B4">
              <w:rPr>
                <w:b/>
                <w:noProof/>
                <w:sz w:val="16"/>
                <w:szCs w:val="16"/>
                <w:lang w:val="fr-BE"/>
              </w:rPr>
              <w:t>Wskaźnik</w:t>
            </w:r>
          </w:p>
        </w:tc>
        <w:tc>
          <w:tcPr>
            <w:tcW w:w="0" w:type="auto"/>
            <w:shd w:val="clear" w:color="auto" w:fill="auto"/>
          </w:tcPr>
          <w:p w14:paraId="7C616A57" w14:textId="77777777" w:rsidR="008C5CFA" w:rsidRPr="009143B4" w:rsidRDefault="00E82A60" w:rsidP="00300A01">
            <w:pPr>
              <w:spacing w:before="0" w:after="0"/>
              <w:rPr>
                <w:b/>
                <w:sz w:val="16"/>
                <w:szCs w:val="16"/>
                <w:lang w:val="fr-BE"/>
              </w:rPr>
            </w:pPr>
            <w:r w:rsidRPr="009143B4">
              <w:rPr>
                <w:b/>
                <w:noProof/>
                <w:sz w:val="16"/>
                <w:szCs w:val="16"/>
                <w:lang w:val="fr-BE"/>
              </w:rPr>
              <w:t>Jednostka miary</w:t>
            </w:r>
          </w:p>
        </w:tc>
        <w:tc>
          <w:tcPr>
            <w:tcW w:w="0" w:type="auto"/>
            <w:shd w:val="clear" w:color="auto" w:fill="auto"/>
          </w:tcPr>
          <w:p w14:paraId="403979AD" w14:textId="77777777" w:rsidR="008C5CFA" w:rsidRPr="009143B4" w:rsidRDefault="00E82A60" w:rsidP="00300A01">
            <w:pPr>
              <w:spacing w:before="0" w:after="0"/>
              <w:rPr>
                <w:b/>
                <w:sz w:val="16"/>
                <w:szCs w:val="16"/>
                <w:lang w:val="fr-BE"/>
              </w:rPr>
            </w:pPr>
            <w:r w:rsidRPr="009143B4">
              <w:rPr>
                <w:b/>
                <w:noProof/>
                <w:sz w:val="16"/>
                <w:szCs w:val="16"/>
                <w:lang w:val="fr-BE"/>
              </w:rPr>
              <w:t>Kategoria regionu</w:t>
            </w:r>
          </w:p>
        </w:tc>
        <w:tc>
          <w:tcPr>
            <w:tcW w:w="0" w:type="auto"/>
            <w:shd w:val="clear" w:color="auto" w:fill="auto"/>
          </w:tcPr>
          <w:p w14:paraId="77FDB53D" w14:textId="77777777" w:rsidR="008C5CFA" w:rsidRPr="009143B4" w:rsidRDefault="00E82A60" w:rsidP="00300A01">
            <w:pPr>
              <w:spacing w:before="0" w:after="0"/>
              <w:jc w:val="center"/>
              <w:rPr>
                <w:b/>
                <w:sz w:val="16"/>
                <w:szCs w:val="16"/>
                <w:lang w:val="fr-BE"/>
              </w:rPr>
            </w:pPr>
            <w:r w:rsidRPr="009143B4">
              <w:rPr>
                <w:b/>
                <w:noProof/>
                <w:sz w:val="16"/>
                <w:szCs w:val="16"/>
                <w:lang w:val="fr-BE"/>
              </w:rPr>
              <w:t>Wartość docelowa (2023) ogółem</w:t>
            </w:r>
          </w:p>
        </w:tc>
        <w:tc>
          <w:tcPr>
            <w:tcW w:w="0" w:type="auto"/>
            <w:shd w:val="clear" w:color="auto" w:fill="auto"/>
          </w:tcPr>
          <w:p w14:paraId="5B1EEBBB" w14:textId="77777777" w:rsidR="008C5CFA" w:rsidRPr="009143B4" w:rsidRDefault="00E82A60" w:rsidP="00300A01">
            <w:pPr>
              <w:spacing w:before="0" w:after="0"/>
              <w:jc w:val="center"/>
              <w:rPr>
                <w:b/>
                <w:sz w:val="16"/>
                <w:szCs w:val="16"/>
                <w:lang w:val="fr-BE"/>
              </w:rPr>
            </w:pPr>
            <w:r w:rsidRPr="009143B4">
              <w:rPr>
                <w:b/>
                <w:noProof/>
                <w:sz w:val="16"/>
                <w:szCs w:val="16"/>
                <w:lang w:val="fr-BE"/>
              </w:rPr>
              <w:t>Wartość docelowa (2023) mężczyźni</w:t>
            </w:r>
          </w:p>
        </w:tc>
        <w:tc>
          <w:tcPr>
            <w:tcW w:w="0" w:type="auto"/>
          </w:tcPr>
          <w:p w14:paraId="4C464777" w14:textId="77777777" w:rsidR="008C5CFA" w:rsidRPr="009143B4" w:rsidRDefault="00E82A60" w:rsidP="00300A01">
            <w:pPr>
              <w:spacing w:before="0" w:after="0"/>
              <w:jc w:val="center"/>
              <w:rPr>
                <w:b/>
                <w:sz w:val="16"/>
                <w:szCs w:val="16"/>
                <w:lang w:val="fr-BE"/>
              </w:rPr>
            </w:pPr>
            <w:r w:rsidRPr="009143B4">
              <w:rPr>
                <w:b/>
                <w:noProof/>
                <w:sz w:val="16"/>
                <w:szCs w:val="16"/>
                <w:lang w:val="fr-BE"/>
              </w:rPr>
              <w:t>Wartość docelowa (2023) kobiety</w:t>
            </w:r>
          </w:p>
        </w:tc>
        <w:tc>
          <w:tcPr>
            <w:tcW w:w="0" w:type="auto"/>
            <w:shd w:val="clear" w:color="auto" w:fill="auto"/>
          </w:tcPr>
          <w:p w14:paraId="3F30749A" w14:textId="77777777" w:rsidR="008C5CFA" w:rsidRPr="009143B4" w:rsidRDefault="00E82A60" w:rsidP="00300A01">
            <w:pPr>
              <w:spacing w:before="0" w:after="0"/>
              <w:jc w:val="center"/>
              <w:rPr>
                <w:b/>
                <w:sz w:val="16"/>
                <w:szCs w:val="16"/>
                <w:lang w:val="fr-BE"/>
              </w:rPr>
            </w:pPr>
            <w:r>
              <w:rPr>
                <w:b/>
                <w:sz w:val="16"/>
                <w:szCs w:val="16"/>
                <w:lang w:val="fr-BE"/>
              </w:rPr>
              <w:t xml:space="preserve">2019 </w:t>
            </w:r>
            <w:r w:rsidRPr="009143B4">
              <w:rPr>
                <w:b/>
                <w:noProof/>
                <w:sz w:val="16"/>
                <w:szCs w:val="16"/>
                <w:lang w:val="fr-BE"/>
              </w:rPr>
              <w:t>Ogółem</w:t>
            </w:r>
          </w:p>
        </w:tc>
        <w:tc>
          <w:tcPr>
            <w:tcW w:w="0" w:type="auto"/>
            <w:shd w:val="clear" w:color="auto" w:fill="auto"/>
          </w:tcPr>
          <w:p w14:paraId="40F5FFA7" w14:textId="77777777" w:rsidR="008C5CFA" w:rsidRPr="009143B4" w:rsidRDefault="00E82A60" w:rsidP="00300A01">
            <w:pPr>
              <w:spacing w:before="0" w:after="0"/>
              <w:jc w:val="center"/>
              <w:rPr>
                <w:b/>
                <w:sz w:val="16"/>
                <w:szCs w:val="16"/>
                <w:lang w:val="fr-BE"/>
              </w:rPr>
            </w:pPr>
            <w:r>
              <w:rPr>
                <w:b/>
                <w:sz w:val="16"/>
                <w:szCs w:val="16"/>
                <w:lang w:val="fr-BE"/>
              </w:rPr>
              <w:t xml:space="preserve">2019 </w:t>
            </w:r>
            <w:r w:rsidRPr="009143B4">
              <w:rPr>
                <w:b/>
                <w:noProof/>
                <w:sz w:val="16"/>
                <w:szCs w:val="16"/>
                <w:lang w:val="fr-BE"/>
              </w:rPr>
              <w:t>Mężczyźni</w:t>
            </w:r>
          </w:p>
        </w:tc>
        <w:tc>
          <w:tcPr>
            <w:tcW w:w="0" w:type="auto"/>
            <w:shd w:val="clear" w:color="auto" w:fill="auto"/>
          </w:tcPr>
          <w:p w14:paraId="385D7CFD" w14:textId="77777777" w:rsidR="008C5CFA" w:rsidRPr="009143B4" w:rsidRDefault="00E82A60" w:rsidP="00300A01">
            <w:pPr>
              <w:spacing w:before="0" w:after="0"/>
              <w:jc w:val="center"/>
              <w:rPr>
                <w:b/>
                <w:sz w:val="16"/>
                <w:szCs w:val="16"/>
                <w:lang w:val="fr-BE"/>
              </w:rPr>
            </w:pPr>
            <w:r>
              <w:rPr>
                <w:b/>
                <w:sz w:val="16"/>
                <w:szCs w:val="16"/>
                <w:lang w:val="fr-BE"/>
              </w:rPr>
              <w:t xml:space="preserve">2019 </w:t>
            </w:r>
            <w:r w:rsidRPr="009143B4">
              <w:rPr>
                <w:b/>
                <w:noProof/>
                <w:sz w:val="16"/>
                <w:szCs w:val="16"/>
                <w:lang w:val="fr-BE"/>
              </w:rPr>
              <w:t>Kobiety</w:t>
            </w:r>
          </w:p>
        </w:tc>
        <w:tc>
          <w:tcPr>
            <w:tcW w:w="0" w:type="auto"/>
            <w:shd w:val="clear" w:color="auto" w:fill="auto"/>
          </w:tcPr>
          <w:p w14:paraId="7590CF26" w14:textId="77777777" w:rsidR="008C5CFA" w:rsidRPr="009143B4" w:rsidRDefault="00E82A60" w:rsidP="00300A01">
            <w:pPr>
              <w:spacing w:before="0" w:after="0"/>
              <w:jc w:val="center"/>
              <w:rPr>
                <w:b/>
                <w:sz w:val="16"/>
                <w:szCs w:val="16"/>
                <w:lang w:val="fr-BE"/>
              </w:rPr>
            </w:pPr>
            <w:r w:rsidRPr="009143B4">
              <w:rPr>
                <w:b/>
                <w:noProof/>
                <w:sz w:val="16"/>
                <w:szCs w:val="16"/>
                <w:lang w:val="fr-BE"/>
              </w:rPr>
              <w:t>Uwagi</w:t>
            </w:r>
          </w:p>
        </w:tc>
      </w:tr>
      <w:tr w:rsidR="006B2EC1" w14:paraId="037D7928" w14:textId="77777777" w:rsidTr="0047688D">
        <w:tc>
          <w:tcPr>
            <w:tcW w:w="0" w:type="auto"/>
          </w:tcPr>
          <w:p w14:paraId="5BF51BA6" w14:textId="77777777" w:rsidR="008C5CFA" w:rsidRPr="0024468B" w:rsidRDefault="00E82A60" w:rsidP="00300A01">
            <w:pPr>
              <w:spacing w:before="0" w:after="0"/>
              <w:rPr>
                <w:sz w:val="16"/>
                <w:szCs w:val="16"/>
                <w:lang w:val="fr-BE"/>
              </w:rPr>
            </w:pPr>
            <w:r>
              <w:rPr>
                <w:noProof/>
                <w:sz w:val="16"/>
                <w:szCs w:val="16"/>
                <w:lang w:val="fr-BE"/>
              </w:rPr>
              <w:t>F</w:t>
            </w:r>
          </w:p>
        </w:tc>
        <w:tc>
          <w:tcPr>
            <w:tcW w:w="0" w:type="auto"/>
            <w:shd w:val="clear" w:color="auto" w:fill="auto"/>
          </w:tcPr>
          <w:p w14:paraId="65328878" w14:textId="77777777" w:rsidR="008C5CFA" w:rsidRPr="0024468B" w:rsidRDefault="00E82A60" w:rsidP="00300A01">
            <w:pPr>
              <w:spacing w:before="0" w:after="0"/>
              <w:rPr>
                <w:sz w:val="16"/>
                <w:szCs w:val="16"/>
                <w:lang w:val="fr-BE"/>
              </w:rPr>
            </w:pPr>
            <w:r w:rsidRPr="0024468B">
              <w:rPr>
                <w:noProof/>
                <w:sz w:val="16"/>
                <w:szCs w:val="16"/>
                <w:lang w:val="fr-BE"/>
              </w:rPr>
              <w:t>CO25</w:t>
            </w:r>
          </w:p>
        </w:tc>
        <w:tc>
          <w:tcPr>
            <w:tcW w:w="0" w:type="auto"/>
            <w:shd w:val="clear" w:color="auto" w:fill="auto"/>
          </w:tcPr>
          <w:p w14:paraId="5EAA4347" w14:textId="77777777" w:rsidR="008C5CFA" w:rsidRPr="0024468B" w:rsidRDefault="00E82A60" w:rsidP="00300A01">
            <w:pPr>
              <w:spacing w:before="0" w:after="0"/>
              <w:rPr>
                <w:sz w:val="16"/>
                <w:szCs w:val="16"/>
                <w:lang w:val="fr-BE"/>
              </w:rPr>
            </w:pPr>
            <w:r w:rsidRPr="0024468B">
              <w:rPr>
                <w:noProof/>
                <w:sz w:val="16"/>
                <w:szCs w:val="16"/>
                <w:lang w:val="fr-BE"/>
              </w:rPr>
              <w:t>Badania i innowacje: liczba naukowców pracujących w ulepszonych obiektach infrastruktury badawczej</w:t>
            </w:r>
          </w:p>
        </w:tc>
        <w:tc>
          <w:tcPr>
            <w:tcW w:w="0" w:type="auto"/>
            <w:shd w:val="clear" w:color="auto" w:fill="auto"/>
          </w:tcPr>
          <w:p w14:paraId="44E3D2E9" w14:textId="77777777" w:rsidR="008C5CFA" w:rsidRPr="0024468B" w:rsidRDefault="00E82A60" w:rsidP="00300A01">
            <w:pPr>
              <w:spacing w:before="0" w:after="0"/>
              <w:rPr>
                <w:sz w:val="16"/>
                <w:szCs w:val="16"/>
                <w:lang w:val="fr-BE"/>
              </w:rPr>
            </w:pPr>
            <w:r>
              <w:rPr>
                <w:noProof/>
                <w:sz w:val="16"/>
                <w:szCs w:val="16"/>
                <w:lang w:val="fr-BE"/>
              </w:rPr>
              <w:t>Ekwiwalenty pełnego czasu pracy</w:t>
            </w:r>
          </w:p>
        </w:tc>
        <w:tc>
          <w:tcPr>
            <w:tcW w:w="0" w:type="auto"/>
            <w:shd w:val="clear" w:color="auto" w:fill="auto"/>
          </w:tcPr>
          <w:p w14:paraId="731EFF7F" w14:textId="77777777" w:rsidR="008C5CFA" w:rsidRPr="0024468B" w:rsidRDefault="00E82A60"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14:paraId="073C9696" w14:textId="77777777" w:rsidR="008C5CFA" w:rsidRPr="0024468B" w:rsidRDefault="00E82A60" w:rsidP="00300A01">
            <w:pPr>
              <w:spacing w:before="0" w:after="0"/>
              <w:jc w:val="right"/>
              <w:rPr>
                <w:sz w:val="16"/>
                <w:szCs w:val="16"/>
                <w:lang w:val="fr-BE"/>
              </w:rPr>
            </w:pPr>
            <w:r>
              <w:rPr>
                <w:noProof/>
                <w:sz w:val="16"/>
                <w:szCs w:val="16"/>
                <w:lang w:val="fr-BE"/>
              </w:rPr>
              <w:t>44,00</w:t>
            </w:r>
          </w:p>
        </w:tc>
        <w:tc>
          <w:tcPr>
            <w:tcW w:w="0" w:type="auto"/>
            <w:shd w:val="clear" w:color="auto" w:fill="auto"/>
          </w:tcPr>
          <w:p w14:paraId="3A69BE40" w14:textId="77777777" w:rsidR="008C5CFA" w:rsidRPr="0024468B" w:rsidRDefault="008C5CFA" w:rsidP="00300A01">
            <w:pPr>
              <w:spacing w:before="0" w:after="0"/>
              <w:jc w:val="right"/>
              <w:rPr>
                <w:sz w:val="16"/>
                <w:szCs w:val="16"/>
                <w:lang w:val="fr-BE"/>
              </w:rPr>
            </w:pPr>
          </w:p>
        </w:tc>
        <w:tc>
          <w:tcPr>
            <w:tcW w:w="0" w:type="auto"/>
          </w:tcPr>
          <w:p w14:paraId="05B47B37" w14:textId="77777777" w:rsidR="008C5CFA" w:rsidRPr="0024468B" w:rsidRDefault="008C5CFA" w:rsidP="00300A01">
            <w:pPr>
              <w:spacing w:before="0" w:after="0"/>
              <w:jc w:val="right"/>
              <w:rPr>
                <w:sz w:val="16"/>
                <w:szCs w:val="16"/>
                <w:lang w:val="fr-BE"/>
              </w:rPr>
            </w:pPr>
          </w:p>
        </w:tc>
        <w:tc>
          <w:tcPr>
            <w:tcW w:w="0" w:type="auto"/>
            <w:shd w:val="clear" w:color="auto" w:fill="auto"/>
          </w:tcPr>
          <w:p w14:paraId="77E797E9"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0ABBC8EC"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6117C233"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67820EC5" w14:textId="77777777" w:rsidR="008C5CFA" w:rsidRPr="0024468B" w:rsidRDefault="008C5CFA" w:rsidP="00300A01">
            <w:pPr>
              <w:spacing w:before="0" w:after="0"/>
              <w:rPr>
                <w:sz w:val="16"/>
                <w:szCs w:val="16"/>
                <w:lang w:val="fr-BE"/>
              </w:rPr>
            </w:pPr>
          </w:p>
        </w:tc>
      </w:tr>
      <w:tr w:rsidR="006B2EC1" w14:paraId="71592303" w14:textId="77777777" w:rsidTr="0047688D">
        <w:tc>
          <w:tcPr>
            <w:tcW w:w="0" w:type="auto"/>
          </w:tcPr>
          <w:p w14:paraId="7F9DA1FC" w14:textId="77777777" w:rsidR="008C5CFA" w:rsidRPr="0024468B" w:rsidRDefault="00E82A60" w:rsidP="00300A01">
            <w:pPr>
              <w:spacing w:before="0" w:after="0"/>
              <w:rPr>
                <w:sz w:val="16"/>
                <w:szCs w:val="16"/>
                <w:lang w:val="fr-BE"/>
              </w:rPr>
            </w:pPr>
            <w:r>
              <w:rPr>
                <w:noProof/>
                <w:sz w:val="16"/>
                <w:szCs w:val="16"/>
                <w:lang w:val="fr-BE"/>
              </w:rPr>
              <w:t>S</w:t>
            </w:r>
          </w:p>
        </w:tc>
        <w:tc>
          <w:tcPr>
            <w:tcW w:w="0" w:type="auto"/>
            <w:shd w:val="clear" w:color="auto" w:fill="auto"/>
          </w:tcPr>
          <w:p w14:paraId="5D5C3210" w14:textId="77777777" w:rsidR="008C5CFA" w:rsidRPr="0024468B" w:rsidRDefault="00E82A60" w:rsidP="00300A01">
            <w:pPr>
              <w:spacing w:before="0" w:after="0"/>
              <w:rPr>
                <w:sz w:val="16"/>
                <w:szCs w:val="16"/>
                <w:lang w:val="fr-BE"/>
              </w:rPr>
            </w:pPr>
            <w:r w:rsidRPr="0024468B">
              <w:rPr>
                <w:noProof/>
                <w:sz w:val="16"/>
                <w:szCs w:val="16"/>
                <w:lang w:val="fr-BE"/>
              </w:rPr>
              <w:t>CO25</w:t>
            </w:r>
          </w:p>
        </w:tc>
        <w:tc>
          <w:tcPr>
            <w:tcW w:w="0" w:type="auto"/>
            <w:shd w:val="clear" w:color="auto" w:fill="auto"/>
          </w:tcPr>
          <w:p w14:paraId="34F970D8" w14:textId="77777777" w:rsidR="008C5CFA" w:rsidRPr="0024468B" w:rsidRDefault="00E82A60" w:rsidP="00300A01">
            <w:pPr>
              <w:spacing w:before="0" w:after="0"/>
              <w:rPr>
                <w:sz w:val="16"/>
                <w:szCs w:val="16"/>
                <w:lang w:val="fr-BE"/>
              </w:rPr>
            </w:pPr>
            <w:r w:rsidRPr="0024468B">
              <w:rPr>
                <w:noProof/>
                <w:sz w:val="16"/>
                <w:szCs w:val="16"/>
                <w:lang w:val="fr-BE"/>
              </w:rPr>
              <w:t>Badania i innowacje: liczba naukowców pracujących w ulepszonych obiektach infrastruktury badawczej</w:t>
            </w:r>
          </w:p>
        </w:tc>
        <w:tc>
          <w:tcPr>
            <w:tcW w:w="0" w:type="auto"/>
            <w:shd w:val="clear" w:color="auto" w:fill="auto"/>
          </w:tcPr>
          <w:p w14:paraId="606AF0EC" w14:textId="77777777" w:rsidR="008C5CFA" w:rsidRPr="0024468B" w:rsidRDefault="00E82A60" w:rsidP="00300A01">
            <w:pPr>
              <w:spacing w:before="0" w:after="0"/>
              <w:rPr>
                <w:sz w:val="16"/>
                <w:szCs w:val="16"/>
                <w:lang w:val="fr-BE"/>
              </w:rPr>
            </w:pPr>
            <w:r>
              <w:rPr>
                <w:noProof/>
                <w:sz w:val="16"/>
                <w:szCs w:val="16"/>
                <w:lang w:val="fr-BE"/>
              </w:rPr>
              <w:t>Ekwiwalenty pełnego czasu pracy</w:t>
            </w:r>
          </w:p>
        </w:tc>
        <w:tc>
          <w:tcPr>
            <w:tcW w:w="0" w:type="auto"/>
            <w:shd w:val="clear" w:color="auto" w:fill="auto"/>
          </w:tcPr>
          <w:p w14:paraId="01A98181" w14:textId="77777777" w:rsidR="008C5CFA" w:rsidRPr="0024468B" w:rsidRDefault="00E82A60"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14:paraId="5ED9D753" w14:textId="77777777" w:rsidR="008C5CFA" w:rsidRPr="0024468B" w:rsidRDefault="00E82A60" w:rsidP="00300A01">
            <w:pPr>
              <w:spacing w:before="0" w:after="0"/>
              <w:jc w:val="right"/>
              <w:rPr>
                <w:sz w:val="16"/>
                <w:szCs w:val="16"/>
                <w:lang w:val="fr-BE"/>
              </w:rPr>
            </w:pPr>
            <w:r>
              <w:rPr>
                <w:noProof/>
                <w:sz w:val="16"/>
                <w:szCs w:val="16"/>
                <w:lang w:val="fr-BE"/>
              </w:rPr>
              <w:t>44,00</w:t>
            </w:r>
          </w:p>
        </w:tc>
        <w:tc>
          <w:tcPr>
            <w:tcW w:w="0" w:type="auto"/>
            <w:shd w:val="clear" w:color="auto" w:fill="auto"/>
          </w:tcPr>
          <w:p w14:paraId="66268476" w14:textId="77777777" w:rsidR="008C5CFA" w:rsidRPr="0024468B" w:rsidRDefault="008C5CFA" w:rsidP="00300A01">
            <w:pPr>
              <w:spacing w:before="0" w:after="0"/>
              <w:jc w:val="right"/>
              <w:rPr>
                <w:sz w:val="16"/>
                <w:szCs w:val="16"/>
                <w:lang w:val="fr-BE"/>
              </w:rPr>
            </w:pPr>
          </w:p>
        </w:tc>
        <w:tc>
          <w:tcPr>
            <w:tcW w:w="0" w:type="auto"/>
          </w:tcPr>
          <w:p w14:paraId="6EB48B17" w14:textId="77777777" w:rsidR="008C5CFA" w:rsidRPr="0024468B" w:rsidRDefault="008C5CFA" w:rsidP="00300A01">
            <w:pPr>
              <w:spacing w:before="0" w:after="0"/>
              <w:jc w:val="right"/>
              <w:rPr>
                <w:sz w:val="16"/>
                <w:szCs w:val="16"/>
                <w:lang w:val="fr-BE"/>
              </w:rPr>
            </w:pPr>
          </w:p>
        </w:tc>
        <w:tc>
          <w:tcPr>
            <w:tcW w:w="0" w:type="auto"/>
            <w:shd w:val="clear" w:color="auto" w:fill="auto"/>
          </w:tcPr>
          <w:p w14:paraId="1F48E499" w14:textId="77777777" w:rsidR="008C5CFA" w:rsidRPr="0024468B" w:rsidRDefault="00E82A60" w:rsidP="00300A01">
            <w:pPr>
              <w:spacing w:before="0" w:after="0"/>
              <w:jc w:val="right"/>
              <w:rPr>
                <w:sz w:val="16"/>
                <w:szCs w:val="16"/>
                <w:lang w:val="fr-BE"/>
              </w:rPr>
            </w:pPr>
            <w:r w:rsidRPr="0024468B">
              <w:rPr>
                <w:noProof/>
                <w:sz w:val="16"/>
                <w:szCs w:val="16"/>
                <w:lang w:val="fr-BE"/>
              </w:rPr>
              <w:t>125,00</w:t>
            </w:r>
          </w:p>
        </w:tc>
        <w:tc>
          <w:tcPr>
            <w:tcW w:w="0" w:type="auto"/>
            <w:shd w:val="clear" w:color="auto" w:fill="auto"/>
          </w:tcPr>
          <w:p w14:paraId="4A768325"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3F91F9CF"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5E294C18" w14:textId="77777777" w:rsidR="008C5CFA" w:rsidRPr="0024468B" w:rsidRDefault="008C5CFA" w:rsidP="00300A01">
            <w:pPr>
              <w:spacing w:before="0" w:after="0"/>
              <w:rPr>
                <w:sz w:val="16"/>
                <w:szCs w:val="16"/>
                <w:lang w:val="fr-BE"/>
              </w:rPr>
            </w:pPr>
          </w:p>
        </w:tc>
      </w:tr>
      <w:tr w:rsidR="006B2EC1" w14:paraId="6DB725B8" w14:textId="77777777" w:rsidTr="0047688D">
        <w:tc>
          <w:tcPr>
            <w:tcW w:w="0" w:type="auto"/>
          </w:tcPr>
          <w:p w14:paraId="03A11252" w14:textId="77777777" w:rsidR="008C5CFA" w:rsidRPr="0024468B" w:rsidRDefault="00E82A60" w:rsidP="00300A01">
            <w:pPr>
              <w:spacing w:before="0" w:after="0"/>
              <w:rPr>
                <w:sz w:val="16"/>
                <w:szCs w:val="16"/>
                <w:lang w:val="fr-BE"/>
              </w:rPr>
            </w:pPr>
            <w:r>
              <w:rPr>
                <w:noProof/>
                <w:sz w:val="16"/>
                <w:szCs w:val="16"/>
                <w:lang w:val="fr-BE"/>
              </w:rPr>
              <w:t>F</w:t>
            </w:r>
          </w:p>
        </w:tc>
        <w:tc>
          <w:tcPr>
            <w:tcW w:w="0" w:type="auto"/>
            <w:shd w:val="clear" w:color="auto" w:fill="auto"/>
          </w:tcPr>
          <w:p w14:paraId="55487A60" w14:textId="77777777" w:rsidR="008C5CFA" w:rsidRPr="0024468B" w:rsidRDefault="00E82A60" w:rsidP="00300A01">
            <w:pPr>
              <w:spacing w:before="0" w:after="0"/>
              <w:rPr>
                <w:sz w:val="16"/>
                <w:szCs w:val="16"/>
                <w:lang w:val="fr-BE"/>
              </w:rPr>
            </w:pPr>
            <w:r w:rsidRPr="0024468B">
              <w:rPr>
                <w:noProof/>
                <w:sz w:val="16"/>
                <w:szCs w:val="16"/>
                <w:lang w:val="fr-BE"/>
              </w:rPr>
              <w:t>CO26</w:t>
            </w:r>
          </w:p>
        </w:tc>
        <w:tc>
          <w:tcPr>
            <w:tcW w:w="0" w:type="auto"/>
            <w:shd w:val="clear" w:color="auto" w:fill="auto"/>
          </w:tcPr>
          <w:p w14:paraId="588BA39E" w14:textId="77777777" w:rsidR="008C5CFA" w:rsidRPr="0024468B" w:rsidRDefault="00E82A60" w:rsidP="00300A01">
            <w:pPr>
              <w:spacing w:before="0" w:after="0"/>
              <w:rPr>
                <w:sz w:val="16"/>
                <w:szCs w:val="16"/>
                <w:lang w:val="fr-BE"/>
              </w:rPr>
            </w:pPr>
            <w:r w:rsidRPr="0024468B">
              <w:rPr>
                <w:noProof/>
                <w:sz w:val="16"/>
                <w:szCs w:val="16"/>
                <w:lang w:val="fr-BE"/>
              </w:rPr>
              <w:t>Badania i innowacje: liczba przedsiębiorstw współpracujących z ośrodkami badawczymi</w:t>
            </w:r>
          </w:p>
        </w:tc>
        <w:tc>
          <w:tcPr>
            <w:tcW w:w="0" w:type="auto"/>
            <w:shd w:val="clear" w:color="auto" w:fill="auto"/>
          </w:tcPr>
          <w:p w14:paraId="0010D013" w14:textId="77777777" w:rsidR="008C5CFA" w:rsidRPr="0024468B" w:rsidRDefault="00E82A60" w:rsidP="00300A01">
            <w:pPr>
              <w:spacing w:before="0" w:after="0"/>
              <w:rPr>
                <w:sz w:val="16"/>
                <w:szCs w:val="16"/>
                <w:lang w:val="fr-BE"/>
              </w:rPr>
            </w:pPr>
            <w:r>
              <w:rPr>
                <w:noProof/>
                <w:sz w:val="16"/>
                <w:szCs w:val="16"/>
                <w:lang w:val="fr-BE"/>
              </w:rPr>
              <w:t>Przedsiębiorstwa</w:t>
            </w:r>
          </w:p>
        </w:tc>
        <w:tc>
          <w:tcPr>
            <w:tcW w:w="0" w:type="auto"/>
            <w:shd w:val="clear" w:color="auto" w:fill="auto"/>
          </w:tcPr>
          <w:p w14:paraId="200B1D0E" w14:textId="77777777" w:rsidR="008C5CFA" w:rsidRPr="0024468B" w:rsidRDefault="00E82A60"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14:paraId="656665BF" w14:textId="77777777" w:rsidR="008C5CFA" w:rsidRPr="0024468B" w:rsidRDefault="00E82A60" w:rsidP="00300A01">
            <w:pPr>
              <w:spacing w:before="0" w:after="0"/>
              <w:jc w:val="right"/>
              <w:rPr>
                <w:sz w:val="16"/>
                <w:szCs w:val="16"/>
                <w:lang w:val="fr-BE"/>
              </w:rPr>
            </w:pPr>
            <w:r>
              <w:rPr>
                <w:noProof/>
                <w:sz w:val="16"/>
                <w:szCs w:val="16"/>
                <w:lang w:val="fr-BE"/>
              </w:rPr>
              <w:t>66,00</w:t>
            </w:r>
          </w:p>
        </w:tc>
        <w:tc>
          <w:tcPr>
            <w:tcW w:w="0" w:type="auto"/>
            <w:shd w:val="clear" w:color="auto" w:fill="auto"/>
          </w:tcPr>
          <w:p w14:paraId="245A38B0" w14:textId="77777777" w:rsidR="008C5CFA" w:rsidRPr="0024468B" w:rsidRDefault="008C5CFA" w:rsidP="00300A01">
            <w:pPr>
              <w:spacing w:before="0" w:after="0"/>
              <w:jc w:val="right"/>
              <w:rPr>
                <w:sz w:val="16"/>
                <w:szCs w:val="16"/>
                <w:lang w:val="fr-BE"/>
              </w:rPr>
            </w:pPr>
          </w:p>
        </w:tc>
        <w:tc>
          <w:tcPr>
            <w:tcW w:w="0" w:type="auto"/>
          </w:tcPr>
          <w:p w14:paraId="343D8BC9" w14:textId="77777777" w:rsidR="008C5CFA" w:rsidRPr="0024468B" w:rsidRDefault="008C5CFA" w:rsidP="00300A01">
            <w:pPr>
              <w:spacing w:before="0" w:after="0"/>
              <w:jc w:val="right"/>
              <w:rPr>
                <w:sz w:val="16"/>
                <w:szCs w:val="16"/>
                <w:lang w:val="fr-BE"/>
              </w:rPr>
            </w:pPr>
          </w:p>
        </w:tc>
        <w:tc>
          <w:tcPr>
            <w:tcW w:w="0" w:type="auto"/>
            <w:shd w:val="clear" w:color="auto" w:fill="auto"/>
          </w:tcPr>
          <w:p w14:paraId="38285B50"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7F43D5DD"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68707C43"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3E5C15A5" w14:textId="77777777" w:rsidR="008C5CFA" w:rsidRPr="0024468B" w:rsidRDefault="008C5CFA" w:rsidP="00300A01">
            <w:pPr>
              <w:spacing w:before="0" w:after="0"/>
              <w:rPr>
                <w:sz w:val="16"/>
                <w:szCs w:val="16"/>
                <w:lang w:val="fr-BE"/>
              </w:rPr>
            </w:pPr>
          </w:p>
        </w:tc>
      </w:tr>
      <w:tr w:rsidR="006B2EC1" w14:paraId="1B820D93" w14:textId="77777777" w:rsidTr="0047688D">
        <w:tc>
          <w:tcPr>
            <w:tcW w:w="0" w:type="auto"/>
          </w:tcPr>
          <w:p w14:paraId="262EE853" w14:textId="77777777" w:rsidR="008C5CFA" w:rsidRPr="0024468B" w:rsidRDefault="00E82A60" w:rsidP="00300A01">
            <w:pPr>
              <w:spacing w:before="0" w:after="0"/>
              <w:rPr>
                <w:sz w:val="16"/>
                <w:szCs w:val="16"/>
                <w:lang w:val="fr-BE"/>
              </w:rPr>
            </w:pPr>
            <w:r>
              <w:rPr>
                <w:noProof/>
                <w:sz w:val="16"/>
                <w:szCs w:val="16"/>
                <w:lang w:val="fr-BE"/>
              </w:rPr>
              <w:t>S</w:t>
            </w:r>
          </w:p>
        </w:tc>
        <w:tc>
          <w:tcPr>
            <w:tcW w:w="0" w:type="auto"/>
            <w:shd w:val="clear" w:color="auto" w:fill="auto"/>
          </w:tcPr>
          <w:p w14:paraId="709381F4" w14:textId="77777777" w:rsidR="008C5CFA" w:rsidRPr="0024468B" w:rsidRDefault="00E82A60" w:rsidP="00300A01">
            <w:pPr>
              <w:spacing w:before="0" w:after="0"/>
              <w:rPr>
                <w:sz w:val="16"/>
                <w:szCs w:val="16"/>
                <w:lang w:val="fr-BE"/>
              </w:rPr>
            </w:pPr>
            <w:r w:rsidRPr="0024468B">
              <w:rPr>
                <w:noProof/>
                <w:sz w:val="16"/>
                <w:szCs w:val="16"/>
                <w:lang w:val="fr-BE"/>
              </w:rPr>
              <w:t>CO26</w:t>
            </w:r>
          </w:p>
        </w:tc>
        <w:tc>
          <w:tcPr>
            <w:tcW w:w="0" w:type="auto"/>
            <w:shd w:val="clear" w:color="auto" w:fill="auto"/>
          </w:tcPr>
          <w:p w14:paraId="65ED6A9E" w14:textId="77777777" w:rsidR="008C5CFA" w:rsidRPr="0024468B" w:rsidRDefault="00E82A60" w:rsidP="00300A01">
            <w:pPr>
              <w:spacing w:before="0" w:after="0"/>
              <w:rPr>
                <w:sz w:val="16"/>
                <w:szCs w:val="16"/>
                <w:lang w:val="fr-BE"/>
              </w:rPr>
            </w:pPr>
            <w:r w:rsidRPr="0024468B">
              <w:rPr>
                <w:noProof/>
                <w:sz w:val="16"/>
                <w:szCs w:val="16"/>
                <w:lang w:val="fr-BE"/>
              </w:rPr>
              <w:t>Badania i innowacje: liczba przedsiębiorstw współpracujących z ośrodkami badawczymi</w:t>
            </w:r>
          </w:p>
        </w:tc>
        <w:tc>
          <w:tcPr>
            <w:tcW w:w="0" w:type="auto"/>
            <w:shd w:val="clear" w:color="auto" w:fill="auto"/>
          </w:tcPr>
          <w:p w14:paraId="60202EB3" w14:textId="77777777" w:rsidR="008C5CFA" w:rsidRPr="0024468B" w:rsidRDefault="00E82A60" w:rsidP="00300A01">
            <w:pPr>
              <w:spacing w:before="0" w:after="0"/>
              <w:rPr>
                <w:sz w:val="16"/>
                <w:szCs w:val="16"/>
                <w:lang w:val="fr-BE"/>
              </w:rPr>
            </w:pPr>
            <w:r>
              <w:rPr>
                <w:noProof/>
                <w:sz w:val="16"/>
                <w:szCs w:val="16"/>
                <w:lang w:val="fr-BE"/>
              </w:rPr>
              <w:t>Przedsiębiorstwa</w:t>
            </w:r>
          </w:p>
        </w:tc>
        <w:tc>
          <w:tcPr>
            <w:tcW w:w="0" w:type="auto"/>
            <w:shd w:val="clear" w:color="auto" w:fill="auto"/>
          </w:tcPr>
          <w:p w14:paraId="4DAC7A2B" w14:textId="77777777" w:rsidR="008C5CFA" w:rsidRPr="0024468B" w:rsidRDefault="00E82A60"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14:paraId="6CD7A819" w14:textId="77777777" w:rsidR="008C5CFA" w:rsidRPr="0024468B" w:rsidRDefault="00E82A60" w:rsidP="00300A01">
            <w:pPr>
              <w:spacing w:before="0" w:after="0"/>
              <w:jc w:val="right"/>
              <w:rPr>
                <w:sz w:val="16"/>
                <w:szCs w:val="16"/>
                <w:lang w:val="fr-BE"/>
              </w:rPr>
            </w:pPr>
            <w:r>
              <w:rPr>
                <w:noProof/>
                <w:sz w:val="16"/>
                <w:szCs w:val="16"/>
                <w:lang w:val="fr-BE"/>
              </w:rPr>
              <w:t>66,00</w:t>
            </w:r>
          </w:p>
        </w:tc>
        <w:tc>
          <w:tcPr>
            <w:tcW w:w="0" w:type="auto"/>
            <w:shd w:val="clear" w:color="auto" w:fill="auto"/>
          </w:tcPr>
          <w:p w14:paraId="2858B72D" w14:textId="77777777" w:rsidR="008C5CFA" w:rsidRPr="0024468B" w:rsidRDefault="008C5CFA" w:rsidP="00300A01">
            <w:pPr>
              <w:spacing w:before="0" w:after="0"/>
              <w:jc w:val="right"/>
              <w:rPr>
                <w:sz w:val="16"/>
                <w:szCs w:val="16"/>
                <w:lang w:val="fr-BE"/>
              </w:rPr>
            </w:pPr>
          </w:p>
        </w:tc>
        <w:tc>
          <w:tcPr>
            <w:tcW w:w="0" w:type="auto"/>
          </w:tcPr>
          <w:p w14:paraId="6E7808FE" w14:textId="77777777" w:rsidR="008C5CFA" w:rsidRPr="0024468B" w:rsidRDefault="008C5CFA" w:rsidP="00300A01">
            <w:pPr>
              <w:spacing w:before="0" w:after="0"/>
              <w:jc w:val="right"/>
              <w:rPr>
                <w:sz w:val="16"/>
                <w:szCs w:val="16"/>
                <w:lang w:val="fr-BE"/>
              </w:rPr>
            </w:pPr>
          </w:p>
        </w:tc>
        <w:tc>
          <w:tcPr>
            <w:tcW w:w="0" w:type="auto"/>
            <w:shd w:val="clear" w:color="auto" w:fill="auto"/>
          </w:tcPr>
          <w:p w14:paraId="0DFDFBB3" w14:textId="77777777" w:rsidR="008C5CFA" w:rsidRPr="0024468B" w:rsidRDefault="00E82A60" w:rsidP="00300A01">
            <w:pPr>
              <w:spacing w:before="0" w:after="0"/>
              <w:jc w:val="right"/>
              <w:rPr>
                <w:sz w:val="16"/>
                <w:szCs w:val="16"/>
                <w:lang w:val="fr-BE"/>
              </w:rPr>
            </w:pPr>
            <w:r w:rsidRPr="0024468B">
              <w:rPr>
                <w:noProof/>
                <w:sz w:val="16"/>
                <w:szCs w:val="16"/>
                <w:lang w:val="fr-BE"/>
              </w:rPr>
              <w:t>81,00</w:t>
            </w:r>
          </w:p>
        </w:tc>
        <w:tc>
          <w:tcPr>
            <w:tcW w:w="0" w:type="auto"/>
            <w:shd w:val="clear" w:color="auto" w:fill="auto"/>
          </w:tcPr>
          <w:p w14:paraId="63ADCC94"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1D8E3FB5"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752EB27B" w14:textId="77777777" w:rsidR="008C5CFA" w:rsidRPr="0024468B" w:rsidRDefault="008C5CFA" w:rsidP="00300A01">
            <w:pPr>
              <w:spacing w:before="0" w:after="0"/>
              <w:rPr>
                <w:sz w:val="16"/>
                <w:szCs w:val="16"/>
                <w:lang w:val="fr-BE"/>
              </w:rPr>
            </w:pPr>
          </w:p>
        </w:tc>
      </w:tr>
      <w:tr w:rsidR="006B2EC1" w14:paraId="75932DE2" w14:textId="77777777" w:rsidTr="0047688D">
        <w:tc>
          <w:tcPr>
            <w:tcW w:w="0" w:type="auto"/>
          </w:tcPr>
          <w:p w14:paraId="674F81AA" w14:textId="77777777" w:rsidR="008C5CFA" w:rsidRPr="0024468B" w:rsidRDefault="00E82A60" w:rsidP="00300A01">
            <w:pPr>
              <w:spacing w:before="0" w:after="0"/>
              <w:rPr>
                <w:sz w:val="16"/>
                <w:szCs w:val="16"/>
                <w:lang w:val="fr-BE"/>
              </w:rPr>
            </w:pPr>
            <w:r>
              <w:rPr>
                <w:noProof/>
                <w:sz w:val="16"/>
                <w:szCs w:val="16"/>
                <w:lang w:val="fr-BE"/>
              </w:rPr>
              <w:t>F</w:t>
            </w:r>
          </w:p>
        </w:tc>
        <w:tc>
          <w:tcPr>
            <w:tcW w:w="0" w:type="auto"/>
            <w:shd w:val="clear" w:color="auto" w:fill="auto"/>
          </w:tcPr>
          <w:p w14:paraId="702E389D" w14:textId="77777777" w:rsidR="008C5CFA" w:rsidRPr="0024468B" w:rsidRDefault="00E82A60" w:rsidP="00300A01">
            <w:pPr>
              <w:spacing w:before="0" w:after="0"/>
              <w:rPr>
                <w:sz w:val="16"/>
                <w:szCs w:val="16"/>
                <w:lang w:val="fr-BE"/>
              </w:rPr>
            </w:pPr>
            <w:r w:rsidRPr="0024468B">
              <w:rPr>
                <w:noProof/>
                <w:sz w:val="16"/>
                <w:szCs w:val="16"/>
                <w:lang w:val="fr-BE"/>
              </w:rPr>
              <w:t>CO27</w:t>
            </w:r>
          </w:p>
        </w:tc>
        <w:tc>
          <w:tcPr>
            <w:tcW w:w="0" w:type="auto"/>
            <w:shd w:val="clear" w:color="auto" w:fill="auto"/>
          </w:tcPr>
          <w:p w14:paraId="383EC16B" w14:textId="77777777" w:rsidR="008C5CFA" w:rsidRPr="0024468B" w:rsidRDefault="00E82A60" w:rsidP="00300A01">
            <w:pPr>
              <w:spacing w:before="0" w:after="0"/>
              <w:rPr>
                <w:sz w:val="16"/>
                <w:szCs w:val="16"/>
                <w:lang w:val="fr-BE"/>
              </w:rPr>
            </w:pPr>
            <w:r w:rsidRPr="0024468B">
              <w:rPr>
                <w:noProof/>
                <w:sz w:val="16"/>
                <w:szCs w:val="16"/>
                <w:lang w:val="fr-BE"/>
              </w:rPr>
              <w:t>Badania i innowacje: inwestycje prywatne uzupełniające wsparcie publiczne dla projektów w zakresie innowacji lub badań i rozwoju</w:t>
            </w:r>
          </w:p>
        </w:tc>
        <w:tc>
          <w:tcPr>
            <w:tcW w:w="0" w:type="auto"/>
            <w:shd w:val="clear" w:color="auto" w:fill="auto"/>
          </w:tcPr>
          <w:p w14:paraId="5A8EEC61" w14:textId="77777777" w:rsidR="008C5CFA" w:rsidRPr="0024468B" w:rsidRDefault="00E82A60" w:rsidP="00300A01">
            <w:pPr>
              <w:spacing w:before="0" w:after="0"/>
              <w:rPr>
                <w:sz w:val="16"/>
                <w:szCs w:val="16"/>
                <w:lang w:val="fr-BE"/>
              </w:rPr>
            </w:pPr>
            <w:r>
              <w:rPr>
                <w:noProof/>
                <w:sz w:val="16"/>
                <w:szCs w:val="16"/>
                <w:lang w:val="fr-BE"/>
              </w:rPr>
              <w:t>EUR</w:t>
            </w:r>
          </w:p>
        </w:tc>
        <w:tc>
          <w:tcPr>
            <w:tcW w:w="0" w:type="auto"/>
            <w:shd w:val="clear" w:color="auto" w:fill="auto"/>
          </w:tcPr>
          <w:p w14:paraId="380F1C28" w14:textId="77777777" w:rsidR="008C5CFA" w:rsidRPr="0024468B" w:rsidRDefault="00E82A60"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14:paraId="36B7F8FB" w14:textId="77777777" w:rsidR="008C5CFA" w:rsidRPr="0024468B" w:rsidRDefault="00E82A60" w:rsidP="00300A01">
            <w:pPr>
              <w:spacing w:before="0" w:after="0"/>
              <w:jc w:val="right"/>
              <w:rPr>
                <w:sz w:val="16"/>
                <w:szCs w:val="16"/>
                <w:lang w:val="fr-BE"/>
              </w:rPr>
            </w:pPr>
            <w:r>
              <w:rPr>
                <w:noProof/>
                <w:sz w:val="16"/>
                <w:szCs w:val="16"/>
                <w:lang w:val="fr-BE"/>
              </w:rPr>
              <w:t>2 963 502,00</w:t>
            </w:r>
          </w:p>
        </w:tc>
        <w:tc>
          <w:tcPr>
            <w:tcW w:w="0" w:type="auto"/>
            <w:shd w:val="clear" w:color="auto" w:fill="auto"/>
          </w:tcPr>
          <w:p w14:paraId="4AD795D7" w14:textId="77777777" w:rsidR="008C5CFA" w:rsidRPr="0024468B" w:rsidRDefault="008C5CFA" w:rsidP="00300A01">
            <w:pPr>
              <w:spacing w:before="0" w:after="0"/>
              <w:jc w:val="right"/>
              <w:rPr>
                <w:sz w:val="16"/>
                <w:szCs w:val="16"/>
                <w:lang w:val="fr-BE"/>
              </w:rPr>
            </w:pPr>
          </w:p>
        </w:tc>
        <w:tc>
          <w:tcPr>
            <w:tcW w:w="0" w:type="auto"/>
          </w:tcPr>
          <w:p w14:paraId="4B9C3F15" w14:textId="77777777" w:rsidR="008C5CFA" w:rsidRPr="0024468B" w:rsidRDefault="008C5CFA" w:rsidP="00300A01">
            <w:pPr>
              <w:spacing w:before="0" w:after="0"/>
              <w:jc w:val="right"/>
              <w:rPr>
                <w:sz w:val="16"/>
                <w:szCs w:val="16"/>
                <w:lang w:val="fr-BE"/>
              </w:rPr>
            </w:pPr>
          </w:p>
        </w:tc>
        <w:tc>
          <w:tcPr>
            <w:tcW w:w="0" w:type="auto"/>
            <w:shd w:val="clear" w:color="auto" w:fill="auto"/>
          </w:tcPr>
          <w:p w14:paraId="442CEAA3" w14:textId="77777777" w:rsidR="008C5CFA" w:rsidRPr="0024468B" w:rsidRDefault="00E82A60" w:rsidP="00300A01">
            <w:pPr>
              <w:spacing w:before="0" w:after="0"/>
              <w:jc w:val="right"/>
              <w:rPr>
                <w:sz w:val="16"/>
                <w:szCs w:val="16"/>
                <w:lang w:val="fr-BE"/>
              </w:rPr>
            </w:pPr>
            <w:r w:rsidRPr="0024468B">
              <w:rPr>
                <w:noProof/>
                <w:sz w:val="16"/>
                <w:szCs w:val="16"/>
                <w:lang w:val="fr-BE"/>
              </w:rPr>
              <w:t>677 789,81</w:t>
            </w:r>
          </w:p>
        </w:tc>
        <w:tc>
          <w:tcPr>
            <w:tcW w:w="0" w:type="auto"/>
            <w:shd w:val="clear" w:color="auto" w:fill="auto"/>
          </w:tcPr>
          <w:p w14:paraId="0A32392C"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43C80B2D"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6C618E0B" w14:textId="77777777" w:rsidR="008C5CFA" w:rsidRPr="0024468B" w:rsidRDefault="008C5CFA" w:rsidP="00300A01">
            <w:pPr>
              <w:spacing w:before="0" w:after="0"/>
              <w:rPr>
                <w:sz w:val="16"/>
                <w:szCs w:val="16"/>
                <w:lang w:val="fr-BE"/>
              </w:rPr>
            </w:pPr>
          </w:p>
        </w:tc>
      </w:tr>
      <w:tr w:rsidR="006B2EC1" w14:paraId="54613694" w14:textId="77777777" w:rsidTr="0047688D">
        <w:tc>
          <w:tcPr>
            <w:tcW w:w="0" w:type="auto"/>
          </w:tcPr>
          <w:p w14:paraId="2A543AE7" w14:textId="77777777" w:rsidR="008C5CFA" w:rsidRPr="0024468B" w:rsidRDefault="00E82A60" w:rsidP="00300A01">
            <w:pPr>
              <w:spacing w:before="0" w:after="0"/>
              <w:rPr>
                <w:sz w:val="16"/>
                <w:szCs w:val="16"/>
                <w:lang w:val="fr-BE"/>
              </w:rPr>
            </w:pPr>
            <w:r>
              <w:rPr>
                <w:noProof/>
                <w:sz w:val="16"/>
                <w:szCs w:val="16"/>
                <w:lang w:val="fr-BE"/>
              </w:rPr>
              <w:t>S</w:t>
            </w:r>
          </w:p>
        </w:tc>
        <w:tc>
          <w:tcPr>
            <w:tcW w:w="0" w:type="auto"/>
            <w:shd w:val="clear" w:color="auto" w:fill="auto"/>
          </w:tcPr>
          <w:p w14:paraId="7C6476DF" w14:textId="77777777" w:rsidR="008C5CFA" w:rsidRPr="0024468B" w:rsidRDefault="00E82A60" w:rsidP="00300A01">
            <w:pPr>
              <w:spacing w:before="0" w:after="0"/>
              <w:rPr>
                <w:sz w:val="16"/>
                <w:szCs w:val="16"/>
                <w:lang w:val="fr-BE"/>
              </w:rPr>
            </w:pPr>
            <w:r w:rsidRPr="0024468B">
              <w:rPr>
                <w:noProof/>
                <w:sz w:val="16"/>
                <w:szCs w:val="16"/>
                <w:lang w:val="fr-BE"/>
              </w:rPr>
              <w:t>CO27</w:t>
            </w:r>
          </w:p>
        </w:tc>
        <w:tc>
          <w:tcPr>
            <w:tcW w:w="0" w:type="auto"/>
            <w:shd w:val="clear" w:color="auto" w:fill="auto"/>
          </w:tcPr>
          <w:p w14:paraId="353149BD" w14:textId="77777777" w:rsidR="008C5CFA" w:rsidRPr="0024468B" w:rsidRDefault="00E82A60" w:rsidP="00300A01">
            <w:pPr>
              <w:spacing w:before="0" w:after="0"/>
              <w:rPr>
                <w:sz w:val="16"/>
                <w:szCs w:val="16"/>
                <w:lang w:val="fr-BE"/>
              </w:rPr>
            </w:pPr>
            <w:r w:rsidRPr="0024468B">
              <w:rPr>
                <w:noProof/>
                <w:sz w:val="16"/>
                <w:szCs w:val="16"/>
                <w:lang w:val="fr-BE"/>
              </w:rPr>
              <w:t>Badania i innowacje: inwestycje prywatne uzupełniające wsparcie publiczne dla projektów w zakresie innowacji lub badań i rozwoju</w:t>
            </w:r>
          </w:p>
        </w:tc>
        <w:tc>
          <w:tcPr>
            <w:tcW w:w="0" w:type="auto"/>
            <w:shd w:val="clear" w:color="auto" w:fill="auto"/>
          </w:tcPr>
          <w:p w14:paraId="3EE6B3E6" w14:textId="77777777" w:rsidR="008C5CFA" w:rsidRPr="0024468B" w:rsidRDefault="00E82A60" w:rsidP="00300A01">
            <w:pPr>
              <w:spacing w:before="0" w:after="0"/>
              <w:rPr>
                <w:sz w:val="16"/>
                <w:szCs w:val="16"/>
                <w:lang w:val="fr-BE"/>
              </w:rPr>
            </w:pPr>
            <w:r>
              <w:rPr>
                <w:noProof/>
                <w:sz w:val="16"/>
                <w:szCs w:val="16"/>
                <w:lang w:val="fr-BE"/>
              </w:rPr>
              <w:t>EUR</w:t>
            </w:r>
          </w:p>
        </w:tc>
        <w:tc>
          <w:tcPr>
            <w:tcW w:w="0" w:type="auto"/>
            <w:shd w:val="clear" w:color="auto" w:fill="auto"/>
          </w:tcPr>
          <w:p w14:paraId="33904909" w14:textId="77777777" w:rsidR="008C5CFA" w:rsidRPr="0024468B" w:rsidRDefault="00E82A60"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14:paraId="414EA6E0" w14:textId="77777777" w:rsidR="008C5CFA" w:rsidRPr="0024468B" w:rsidRDefault="00E82A60" w:rsidP="00300A01">
            <w:pPr>
              <w:spacing w:before="0" w:after="0"/>
              <w:jc w:val="right"/>
              <w:rPr>
                <w:sz w:val="16"/>
                <w:szCs w:val="16"/>
                <w:lang w:val="fr-BE"/>
              </w:rPr>
            </w:pPr>
            <w:r>
              <w:rPr>
                <w:noProof/>
                <w:sz w:val="16"/>
                <w:szCs w:val="16"/>
                <w:lang w:val="fr-BE"/>
              </w:rPr>
              <w:t>2 963 502,00</w:t>
            </w:r>
          </w:p>
        </w:tc>
        <w:tc>
          <w:tcPr>
            <w:tcW w:w="0" w:type="auto"/>
            <w:shd w:val="clear" w:color="auto" w:fill="auto"/>
          </w:tcPr>
          <w:p w14:paraId="0164B998" w14:textId="77777777" w:rsidR="008C5CFA" w:rsidRPr="0024468B" w:rsidRDefault="008C5CFA" w:rsidP="00300A01">
            <w:pPr>
              <w:spacing w:before="0" w:after="0"/>
              <w:jc w:val="right"/>
              <w:rPr>
                <w:sz w:val="16"/>
                <w:szCs w:val="16"/>
                <w:lang w:val="fr-BE"/>
              </w:rPr>
            </w:pPr>
          </w:p>
        </w:tc>
        <w:tc>
          <w:tcPr>
            <w:tcW w:w="0" w:type="auto"/>
          </w:tcPr>
          <w:p w14:paraId="1030A402" w14:textId="77777777" w:rsidR="008C5CFA" w:rsidRPr="0024468B" w:rsidRDefault="008C5CFA" w:rsidP="00300A01">
            <w:pPr>
              <w:spacing w:before="0" w:after="0"/>
              <w:jc w:val="right"/>
              <w:rPr>
                <w:sz w:val="16"/>
                <w:szCs w:val="16"/>
                <w:lang w:val="fr-BE"/>
              </w:rPr>
            </w:pPr>
          </w:p>
        </w:tc>
        <w:tc>
          <w:tcPr>
            <w:tcW w:w="0" w:type="auto"/>
            <w:shd w:val="clear" w:color="auto" w:fill="auto"/>
          </w:tcPr>
          <w:p w14:paraId="3510A583" w14:textId="77777777" w:rsidR="008C5CFA" w:rsidRPr="0024468B" w:rsidRDefault="00E82A60" w:rsidP="00300A01">
            <w:pPr>
              <w:spacing w:before="0" w:after="0"/>
              <w:jc w:val="right"/>
              <w:rPr>
                <w:sz w:val="16"/>
                <w:szCs w:val="16"/>
                <w:lang w:val="fr-BE"/>
              </w:rPr>
            </w:pPr>
            <w:r w:rsidRPr="0024468B">
              <w:rPr>
                <w:noProof/>
                <w:sz w:val="16"/>
                <w:szCs w:val="16"/>
                <w:lang w:val="fr-BE"/>
              </w:rPr>
              <w:t>9 578 716,23</w:t>
            </w:r>
          </w:p>
        </w:tc>
        <w:tc>
          <w:tcPr>
            <w:tcW w:w="0" w:type="auto"/>
            <w:shd w:val="clear" w:color="auto" w:fill="auto"/>
          </w:tcPr>
          <w:p w14:paraId="5AAA6E30"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57521698"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03399DA3" w14:textId="77777777" w:rsidR="008C5CFA" w:rsidRPr="0024468B" w:rsidRDefault="00E82A60" w:rsidP="00300A01">
            <w:pPr>
              <w:spacing w:before="0" w:after="0"/>
              <w:rPr>
                <w:sz w:val="16"/>
                <w:szCs w:val="16"/>
                <w:lang w:val="fr-BE"/>
              </w:rPr>
            </w:pPr>
            <w:r w:rsidRPr="0024468B">
              <w:rPr>
                <w:noProof/>
                <w:sz w:val="16"/>
                <w:szCs w:val="16"/>
                <w:lang w:val="fr-BE"/>
              </w:rPr>
              <w:t>W związku ze zgłoszeniem w ramach zmian RPO zwiększenia alokacji w PI 1a,  wartość docelowa wskaźnika zostanie zwiększona do wartości 3 279 375,00 EUR.</w:t>
            </w:r>
          </w:p>
        </w:tc>
      </w:tr>
      <w:tr w:rsidR="006B2EC1" w14:paraId="6021AE43" w14:textId="77777777" w:rsidTr="0047688D">
        <w:tc>
          <w:tcPr>
            <w:tcW w:w="0" w:type="auto"/>
          </w:tcPr>
          <w:p w14:paraId="3077A6BB" w14:textId="77777777" w:rsidR="008C5CFA" w:rsidRPr="0024468B" w:rsidRDefault="00E82A60" w:rsidP="00300A01">
            <w:pPr>
              <w:spacing w:before="0" w:after="0"/>
              <w:rPr>
                <w:sz w:val="16"/>
                <w:szCs w:val="16"/>
                <w:lang w:val="fr-BE"/>
              </w:rPr>
            </w:pPr>
            <w:r>
              <w:rPr>
                <w:noProof/>
                <w:sz w:val="16"/>
                <w:szCs w:val="16"/>
                <w:lang w:val="fr-BE"/>
              </w:rPr>
              <w:t>F</w:t>
            </w:r>
          </w:p>
        </w:tc>
        <w:tc>
          <w:tcPr>
            <w:tcW w:w="0" w:type="auto"/>
            <w:shd w:val="clear" w:color="auto" w:fill="auto"/>
          </w:tcPr>
          <w:p w14:paraId="7944320A" w14:textId="77777777" w:rsidR="008C5CFA" w:rsidRPr="0024468B" w:rsidRDefault="00E82A60" w:rsidP="00300A01">
            <w:pPr>
              <w:spacing w:before="0" w:after="0"/>
              <w:rPr>
                <w:sz w:val="16"/>
                <w:szCs w:val="16"/>
                <w:lang w:val="fr-BE"/>
              </w:rPr>
            </w:pPr>
            <w:r>
              <w:rPr>
                <w:noProof/>
                <w:sz w:val="16"/>
                <w:szCs w:val="16"/>
                <w:lang w:val="fr-BE"/>
              </w:rPr>
              <w:t>025</w:t>
            </w:r>
          </w:p>
        </w:tc>
        <w:tc>
          <w:tcPr>
            <w:tcW w:w="0" w:type="auto"/>
            <w:shd w:val="clear" w:color="auto" w:fill="auto"/>
          </w:tcPr>
          <w:p w14:paraId="4840AF3B" w14:textId="77777777" w:rsidR="008C5CFA" w:rsidRPr="0024468B" w:rsidRDefault="00E82A60" w:rsidP="00300A01">
            <w:pPr>
              <w:spacing w:before="0" w:after="0"/>
              <w:rPr>
                <w:sz w:val="16"/>
                <w:szCs w:val="16"/>
                <w:lang w:val="fr-BE"/>
              </w:rPr>
            </w:pPr>
            <w:r>
              <w:rPr>
                <w:noProof/>
                <w:sz w:val="16"/>
                <w:szCs w:val="16"/>
                <w:lang w:val="fr-BE"/>
              </w:rPr>
              <w:t>Liczba jednostek naukowych ponoszących nakłady inwestycyjne na działalność B+R</w:t>
            </w:r>
          </w:p>
        </w:tc>
        <w:tc>
          <w:tcPr>
            <w:tcW w:w="0" w:type="auto"/>
            <w:shd w:val="clear" w:color="auto" w:fill="auto"/>
          </w:tcPr>
          <w:p w14:paraId="748F3F2D" w14:textId="77777777" w:rsidR="008C5CFA" w:rsidRPr="0024468B" w:rsidRDefault="00E82A60" w:rsidP="00300A01">
            <w:pPr>
              <w:spacing w:before="0" w:after="0"/>
              <w:rPr>
                <w:sz w:val="16"/>
                <w:szCs w:val="16"/>
                <w:lang w:val="fr-BE"/>
              </w:rPr>
            </w:pPr>
            <w:r w:rsidRPr="0024468B">
              <w:rPr>
                <w:noProof/>
                <w:sz w:val="16"/>
                <w:szCs w:val="16"/>
                <w:lang w:val="fr-BE"/>
              </w:rPr>
              <w:t>sztuka</w:t>
            </w:r>
          </w:p>
        </w:tc>
        <w:tc>
          <w:tcPr>
            <w:tcW w:w="0" w:type="auto"/>
            <w:shd w:val="clear" w:color="auto" w:fill="auto"/>
          </w:tcPr>
          <w:p w14:paraId="36778BE6" w14:textId="77777777" w:rsidR="008C5CFA" w:rsidRPr="0024468B" w:rsidRDefault="00E82A60"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14:paraId="233EB56C" w14:textId="77777777" w:rsidR="008C5CFA" w:rsidRPr="0024468B" w:rsidRDefault="00E82A60" w:rsidP="00300A01">
            <w:pPr>
              <w:spacing w:before="0" w:after="0"/>
              <w:jc w:val="right"/>
              <w:rPr>
                <w:sz w:val="16"/>
                <w:szCs w:val="16"/>
                <w:lang w:val="fr-BE"/>
              </w:rPr>
            </w:pPr>
            <w:r>
              <w:rPr>
                <w:noProof/>
                <w:sz w:val="16"/>
                <w:szCs w:val="16"/>
                <w:lang w:val="fr-BE"/>
              </w:rPr>
              <w:t>3,00</w:t>
            </w:r>
          </w:p>
        </w:tc>
        <w:tc>
          <w:tcPr>
            <w:tcW w:w="0" w:type="auto"/>
            <w:shd w:val="clear" w:color="auto" w:fill="auto"/>
          </w:tcPr>
          <w:p w14:paraId="37C2B2EC" w14:textId="77777777" w:rsidR="008C5CFA" w:rsidRPr="0024468B" w:rsidRDefault="008C5CFA" w:rsidP="00300A01">
            <w:pPr>
              <w:spacing w:before="0" w:after="0"/>
              <w:jc w:val="right"/>
              <w:rPr>
                <w:sz w:val="16"/>
                <w:szCs w:val="16"/>
                <w:lang w:val="fr-BE"/>
              </w:rPr>
            </w:pPr>
          </w:p>
        </w:tc>
        <w:tc>
          <w:tcPr>
            <w:tcW w:w="0" w:type="auto"/>
          </w:tcPr>
          <w:p w14:paraId="4356D489" w14:textId="77777777" w:rsidR="008C5CFA" w:rsidRPr="0024468B" w:rsidRDefault="008C5CFA" w:rsidP="00300A01">
            <w:pPr>
              <w:spacing w:before="0" w:after="0"/>
              <w:jc w:val="right"/>
              <w:rPr>
                <w:sz w:val="16"/>
                <w:szCs w:val="16"/>
                <w:lang w:val="fr-BE"/>
              </w:rPr>
            </w:pPr>
          </w:p>
        </w:tc>
        <w:tc>
          <w:tcPr>
            <w:tcW w:w="0" w:type="auto"/>
            <w:shd w:val="clear" w:color="auto" w:fill="auto"/>
          </w:tcPr>
          <w:p w14:paraId="75246C93" w14:textId="77777777" w:rsidR="008C5CFA" w:rsidRPr="0024468B" w:rsidRDefault="00E82A60" w:rsidP="00300A01">
            <w:pPr>
              <w:spacing w:before="0" w:after="0"/>
              <w:jc w:val="right"/>
              <w:rPr>
                <w:sz w:val="16"/>
                <w:szCs w:val="16"/>
                <w:lang w:val="fr-BE"/>
              </w:rPr>
            </w:pPr>
            <w:r w:rsidRPr="0024468B">
              <w:rPr>
                <w:noProof/>
                <w:sz w:val="16"/>
                <w:szCs w:val="16"/>
                <w:lang w:val="fr-BE"/>
              </w:rPr>
              <w:t>2,00</w:t>
            </w:r>
          </w:p>
        </w:tc>
        <w:tc>
          <w:tcPr>
            <w:tcW w:w="0" w:type="auto"/>
            <w:shd w:val="clear" w:color="auto" w:fill="auto"/>
          </w:tcPr>
          <w:p w14:paraId="11663752"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1964F844"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51951A60" w14:textId="77777777" w:rsidR="008C5CFA" w:rsidRPr="0024468B" w:rsidRDefault="008C5CFA" w:rsidP="00300A01">
            <w:pPr>
              <w:spacing w:before="0" w:after="0"/>
              <w:rPr>
                <w:sz w:val="16"/>
                <w:szCs w:val="16"/>
                <w:lang w:val="fr-BE"/>
              </w:rPr>
            </w:pPr>
          </w:p>
        </w:tc>
      </w:tr>
      <w:tr w:rsidR="006B2EC1" w14:paraId="571415D5" w14:textId="77777777" w:rsidTr="0047688D">
        <w:tc>
          <w:tcPr>
            <w:tcW w:w="0" w:type="auto"/>
          </w:tcPr>
          <w:p w14:paraId="072734EF" w14:textId="77777777" w:rsidR="008C5CFA" w:rsidRPr="0024468B" w:rsidRDefault="00E82A60" w:rsidP="00300A01">
            <w:pPr>
              <w:spacing w:before="0" w:after="0"/>
              <w:rPr>
                <w:sz w:val="16"/>
                <w:szCs w:val="16"/>
                <w:lang w:val="fr-BE"/>
              </w:rPr>
            </w:pPr>
            <w:r>
              <w:rPr>
                <w:noProof/>
                <w:sz w:val="16"/>
                <w:szCs w:val="16"/>
                <w:lang w:val="fr-BE"/>
              </w:rPr>
              <w:t>S</w:t>
            </w:r>
          </w:p>
        </w:tc>
        <w:tc>
          <w:tcPr>
            <w:tcW w:w="0" w:type="auto"/>
            <w:shd w:val="clear" w:color="auto" w:fill="auto"/>
          </w:tcPr>
          <w:p w14:paraId="06265A38" w14:textId="77777777" w:rsidR="008C5CFA" w:rsidRPr="0024468B" w:rsidRDefault="00E82A60" w:rsidP="00300A01">
            <w:pPr>
              <w:spacing w:before="0" w:after="0"/>
              <w:rPr>
                <w:sz w:val="16"/>
                <w:szCs w:val="16"/>
                <w:lang w:val="fr-BE"/>
              </w:rPr>
            </w:pPr>
            <w:r>
              <w:rPr>
                <w:noProof/>
                <w:sz w:val="16"/>
                <w:szCs w:val="16"/>
                <w:lang w:val="fr-BE"/>
              </w:rPr>
              <w:t>025</w:t>
            </w:r>
          </w:p>
        </w:tc>
        <w:tc>
          <w:tcPr>
            <w:tcW w:w="0" w:type="auto"/>
            <w:shd w:val="clear" w:color="auto" w:fill="auto"/>
          </w:tcPr>
          <w:p w14:paraId="085FBBF6" w14:textId="77777777" w:rsidR="008C5CFA" w:rsidRPr="0024468B" w:rsidRDefault="00E82A60" w:rsidP="00300A01">
            <w:pPr>
              <w:spacing w:before="0" w:after="0"/>
              <w:rPr>
                <w:sz w:val="16"/>
                <w:szCs w:val="16"/>
                <w:lang w:val="fr-BE"/>
              </w:rPr>
            </w:pPr>
            <w:r>
              <w:rPr>
                <w:noProof/>
                <w:sz w:val="16"/>
                <w:szCs w:val="16"/>
                <w:lang w:val="fr-BE"/>
              </w:rPr>
              <w:t>Liczba jednostek naukowych ponoszących nakłady inwestycyjne na działalność B+R</w:t>
            </w:r>
          </w:p>
        </w:tc>
        <w:tc>
          <w:tcPr>
            <w:tcW w:w="0" w:type="auto"/>
            <w:shd w:val="clear" w:color="auto" w:fill="auto"/>
          </w:tcPr>
          <w:p w14:paraId="5BBA86E3" w14:textId="77777777" w:rsidR="008C5CFA" w:rsidRPr="0024468B" w:rsidRDefault="00E82A60" w:rsidP="00300A01">
            <w:pPr>
              <w:spacing w:before="0" w:after="0"/>
              <w:rPr>
                <w:sz w:val="16"/>
                <w:szCs w:val="16"/>
                <w:lang w:val="fr-BE"/>
              </w:rPr>
            </w:pPr>
            <w:r w:rsidRPr="0024468B">
              <w:rPr>
                <w:noProof/>
                <w:sz w:val="16"/>
                <w:szCs w:val="16"/>
                <w:lang w:val="fr-BE"/>
              </w:rPr>
              <w:t>sztuka</w:t>
            </w:r>
          </w:p>
        </w:tc>
        <w:tc>
          <w:tcPr>
            <w:tcW w:w="0" w:type="auto"/>
            <w:shd w:val="clear" w:color="auto" w:fill="auto"/>
          </w:tcPr>
          <w:p w14:paraId="1DD586FD" w14:textId="77777777" w:rsidR="008C5CFA" w:rsidRPr="0024468B" w:rsidRDefault="00E82A60"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14:paraId="23A84731" w14:textId="77777777" w:rsidR="008C5CFA" w:rsidRPr="0024468B" w:rsidRDefault="00E82A60" w:rsidP="00300A01">
            <w:pPr>
              <w:spacing w:before="0" w:after="0"/>
              <w:jc w:val="right"/>
              <w:rPr>
                <w:sz w:val="16"/>
                <w:szCs w:val="16"/>
                <w:lang w:val="fr-BE"/>
              </w:rPr>
            </w:pPr>
            <w:r>
              <w:rPr>
                <w:noProof/>
                <w:sz w:val="16"/>
                <w:szCs w:val="16"/>
                <w:lang w:val="fr-BE"/>
              </w:rPr>
              <w:t>3,00</w:t>
            </w:r>
          </w:p>
        </w:tc>
        <w:tc>
          <w:tcPr>
            <w:tcW w:w="0" w:type="auto"/>
            <w:shd w:val="clear" w:color="auto" w:fill="auto"/>
          </w:tcPr>
          <w:p w14:paraId="09BFEDE2" w14:textId="77777777" w:rsidR="008C5CFA" w:rsidRPr="0024468B" w:rsidRDefault="008C5CFA" w:rsidP="00300A01">
            <w:pPr>
              <w:spacing w:before="0" w:after="0"/>
              <w:jc w:val="right"/>
              <w:rPr>
                <w:sz w:val="16"/>
                <w:szCs w:val="16"/>
                <w:lang w:val="fr-BE"/>
              </w:rPr>
            </w:pPr>
          </w:p>
        </w:tc>
        <w:tc>
          <w:tcPr>
            <w:tcW w:w="0" w:type="auto"/>
          </w:tcPr>
          <w:p w14:paraId="2315AABB" w14:textId="77777777" w:rsidR="008C5CFA" w:rsidRPr="0024468B" w:rsidRDefault="008C5CFA" w:rsidP="00300A01">
            <w:pPr>
              <w:spacing w:before="0" w:after="0"/>
              <w:jc w:val="right"/>
              <w:rPr>
                <w:sz w:val="16"/>
                <w:szCs w:val="16"/>
                <w:lang w:val="fr-BE"/>
              </w:rPr>
            </w:pPr>
          </w:p>
        </w:tc>
        <w:tc>
          <w:tcPr>
            <w:tcW w:w="0" w:type="auto"/>
            <w:shd w:val="clear" w:color="auto" w:fill="auto"/>
          </w:tcPr>
          <w:p w14:paraId="1143812F" w14:textId="77777777" w:rsidR="008C5CFA" w:rsidRPr="0024468B" w:rsidRDefault="00E82A60" w:rsidP="00300A01">
            <w:pPr>
              <w:spacing w:before="0" w:after="0"/>
              <w:jc w:val="right"/>
              <w:rPr>
                <w:sz w:val="16"/>
                <w:szCs w:val="16"/>
                <w:lang w:val="fr-BE"/>
              </w:rPr>
            </w:pPr>
            <w:r w:rsidRPr="0024468B">
              <w:rPr>
                <w:noProof/>
                <w:sz w:val="16"/>
                <w:szCs w:val="16"/>
                <w:lang w:val="fr-BE"/>
              </w:rPr>
              <w:t>4,00</w:t>
            </w:r>
          </w:p>
        </w:tc>
        <w:tc>
          <w:tcPr>
            <w:tcW w:w="0" w:type="auto"/>
            <w:shd w:val="clear" w:color="auto" w:fill="auto"/>
          </w:tcPr>
          <w:p w14:paraId="65BF92DB"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0171D0E7"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0667CC45" w14:textId="77777777" w:rsidR="008C5CFA" w:rsidRPr="0024468B" w:rsidRDefault="008C5CFA" w:rsidP="00300A01">
            <w:pPr>
              <w:spacing w:before="0" w:after="0"/>
              <w:rPr>
                <w:sz w:val="16"/>
                <w:szCs w:val="16"/>
                <w:lang w:val="fr-BE"/>
              </w:rPr>
            </w:pPr>
          </w:p>
        </w:tc>
      </w:tr>
    </w:tbl>
    <w:p w14:paraId="38967C81" w14:textId="77777777" w:rsidR="008C5CFA" w:rsidRDefault="00E82A60" w:rsidP="00300A01">
      <w:pPr>
        <w:spacing w:before="0" w:after="0"/>
        <w:rPr>
          <w:lang w:val="fr-BE"/>
        </w:rPr>
      </w:pPr>
      <w:r>
        <w:rPr>
          <w:noProof/>
          <w:lang w:val="fr-BE"/>
        </w:rPr>
        <w:t>1) S=wartość skumulowana – produkty, które mają być zrealizowane poprzez wybrane operacje [prognoza przedstawiona przez beneficjentów], F=wartość skumulowana – produkty zrealizowane poprzez operacje [rzeczywiste wykonanie]</w:t>
      </w:r>
    </w:p>
    <w:p w14:paraId="00333F94"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02"/>
        <w:gridCol w:w="498"/>
        <w:gridCol w:w="5844"/>
        <w:gridCol w:w="987"/>
        <w:gridCol w:w="1057"/>
        <w:gridCol w:w="880"/>
        <w:gridCol w:w="871"/>
        <w:gridCol w:w="1057"/>
        <w:gridCol w:w="880"/>
        <w:gridCol w:w="871"/>
        <w:gridCol w:w="1057"/>
        <w:gridCol w:w="880"/>
      </w:tblGrid>
      <w:tr w:rsidR="006B2EC1" w14:paraId="574F9A9E" w14:textId="77777777" w:rsidTr="0047688D">
        <w:trPr>
          <w:tblHeader/>
        </w:trPr>
        <w:tc>
          <w:tcPr>
            <w:tcW w:w="0" w:type="auto"/>
          </w:tcPr>
          <w:p w14:paraId="491AB4A8" w14:textId="77777777" w:rsidR="008C5CFA" w:rsidRPr="009143B4" w:rsidRDefault="00E82A60" w:rsidP="00300A01">
            <w:pPr>
              <w:spacing w:before="0" w:after="0"/>
              <w:rPr>
                <w:b/>
                <w:sz w:val="16"/>
                <w:szCs w:val="16"/>
                <w:lang w:val="fr-BE"/>
              </w:rPr>
            </w:pPr>
            <w:r w:rsidRPr="009143B4">
              <w:rPr>
                <w:b/>
                <w:sz w:val="16"/>
                <w:szCs w:val="16"/>
                <w:lang w:val="fr-BE"/>
              </w:rPr>
              <w:t>(1)</w:t>
            </w:r>
          </w:p>
        </w:tc>
        <w:tc>
          <w:tcPr>
            <w:tcW w:w="0" w:type="auto"/>
            <w:shd w:val="clear" w:color="auto" w:fill="auto"/>
          </w:tcPr>
          <w:p w14:paraId="20916B19" w14:textId="77777777" w:rsidR="008C5CFA" w:rsidRPr="009143B4" w:rsidRDefault="00E82A60" w:rsidP="00300A01">
            <w:pPr>
              <w:spacing w:before="0" w:after="0"/>
              <w:rPr>
                <w:b/>
                <w:sz w:val="16"/>
                <w:szCs w:val="16"/>
                <w:lang w:val="fr-BE"/>
              </w:rPr>
            </w:pPr>
            <w:r w:rsidRPr="009143B4">
              <w:rPr>
                <w:b/>
                <w:noProof/>
                <w:sz w:val="16"/>
                <w:szCs w:val="16"/>
                <w:lang w:val="fr-BE"/>
              </w:rPr>
              <w:t>ID</w:t>
            </w:r>
          </w:p>
        </w:tc>
        <w:tc>
          <w:tcPr>
            <w:tcW w:w="0" w:type="auto"/>
            <w:shd w:val="clear" w:color="auto" w:fill="auto"/>
          </w:tcPr>
          <w:p w14:paraId="05C66CB0" w14:textId="77777777" w:rsidR="008C5CFA" w:rsidRPr="009143B4" w:rsidRDefault="00E82A60" w:rsidP="00300A01">
            <w:pPr>
              <w:spacing w:before="0" w:after="0"/>
              <w:rPr>
                <w:b/>
                <w:sz w:val="16"/>
                <w:szCs w:val="16"/>
                <w:lang w:val="fr-BE"/>
              </w:rPr>
            </w:pPr>
            <w:r w:rsidRPr="009143B4">
              <w:rPr>
                <w:b/>
                <w:noProof/>
                <w:sz w:val="16"/>
                <w:szCs w:val="16"/>
                <w:lang w:val="fr-BE"/>
              </w:rPr>
              <w:t>Wskaźnik</w:t>
            </w:r>
          </w:p>
        </w:tc>
        <w:tc>
          <w:tcPr>
            <w:tcW w:w="0" w:type="auto"/>
          </w:tcPr>
          <w:p w14:paraId="28443DCF" w14:textId="77777777" w:rsidR="008C5CFA" w:rsidRPr="009143B4" w:rsidRDefault="00E82A60" w:rsidP="00300A01">
            <w:pPr>
              <w:spacing w:before="0" w:after="0"/>
              <w:jc w:val="center"/>
              <w:rPr>
                <w:b/>
                <w:sz w:val="16"/>
                <w:szCs w:val="16"/>
                <w:lang w:val="fr-BE"/>
              </w:rPr>
            </w:pPr>
            <w:r>
              <w:rPr>
                <w:b/>
                <w:sz w:val="16"/>
                <w:szCs w:val="16"/>
                <w:lang w:val="fr-BE"/>
              </w:rPr>
              <w:t xml:space="preserve">2018 </w:t>
            </w:r>
            <w:r w:rsidRPr="009143B4">
              <w:rPr>
                <w:b/>
                <w:noProof/>
                <w:sz w:val="16"/>
                <w:szCs w:val="16"/>
                <w:lang w:val="fr-BE"/>
              </w:rPr>
              <w:t>Ogółem</w:t>
            </w:r>
          </w:p>
        </w:tc>
        <w:tc>
          <w:tcPr>
            <w:tcW w:w="0" w:type="auto"/>
          </w:tcPr>
          <w:p w14:paraId="5D03E592" w14:textId="77777777" w:rsidR="008C5CFA" w:rsidRPr="009143B4" w:rsidRDefault="00E82A60" w:rsidP="00300A01">
            <w:pPr>
              <w:spacing w:before="0" w:after="0"/>
              <w:jc w:val="center"/>
              <w:rPr>
                <w:b/>
                <w:sz w:val="16"/>
                <w:szCs w:val="16"/>
                <w:lang w:val="fr-BE"/>
              </w:rPr>
            </w:pPr>
            <w:r>
              <w:rPr>
                <w:b/>
                <w:sz w:val="16"/>
                <w:szCs w:val="16"/>
                <w:lang w:val="fr-BE"/>
              </w:rPr>
              <w:t xml:space="preserve">2018 </w:t>
            </w:r>
            <w:r w:rsidRPr="009143B4">
              <w:rPr>
                <w:b/>
                <w:noProof/>
                <w:sz w:val="16"/>
                <w:szCs w:val="16"/>
                <w:lang w:val="fr-BE"/>
              </w:rPr>
              <w:t>Mężczyźni</w:t>
            </w:r>
          </w:p>
        </w:tc>
        <w:tc>
          <w:tcPr>
            <w:tcW w:w="0" w:type="auto"/>
          </w:tcPr>
          <w:p w14:paraId="798AF4CB" w14:textId="77777777" w:rsidR="008C5CFA" w:rsidRPr="009143B4" w:rsidRDefault="00E82A60" w:rsidP="00300A01">
            <w:pPr>
              <w:spacing w:before="0" w:after="0"/>
              <w:jc w:val="center"/>
              <w:rPr>
                <w:b/>
                <w:sz w:val="16"/>
                <w:szCs w:val="16"/>
                <w:lang w:val="fr-BE"/>
              </w:rPr>
            </w:pPr>
            <w:r>
              <w:rPr>
                <w:b/>
                <w:sz w:val="16"/>
                <w:szCs w:val="16"/>
                <w:lang w:val="fr-BE"/>
              </w:rPr>
              <w:t xml:space="preserve">2018 </w:t>
            </w:r>
            <w:r w:rsidRPr="009143B4">
              <w:rPr>
                <w:b/>
                <w:noProof/>
                <w:sz w:val="16"/>
                <w:szCs w:val="16"/>
                <w:lang w:val="fr-BE"/>
              </w:rPr>
              <w:t>Kobiety</w:t>
            </w:r>
          </w:p>
        </w:tc>
        <w:tc>
          <w:tcPr>
            <w:tcW w:w="0" w:type="auto"/>
          </w:tcPr>
          <w:p w14:paraId="62DDF905" w14:textId="77777777" w:rsidR="008C5CFA" w:rsidRPr="009143B4" w:rsidRDefault="00E82A60"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Ogółem</w:t>
            </w:r>
          </w:p>
        </w:tc>
        <w:tc>
          <w:tcPr>
            <w:tcW w:w="0" w:type="auto"/>
          </w:tcPr>
          <w:p w14:paraId="78A71698" w14:textId="77777777" w:rsidR="008C5CFA" w:rsidRPr="009143B4" w:rsidRDefault="00E82A60"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Mężczyźni</w:t>
            </w:r>
          </w:p>
        </w:tc>
        <w:tc>
          <w:tcPr>
            <w:tcW w:w="0" w:type="auto"/>
          </w:tcPr>
          <w:p w14:paraId="3D1AC6FF" w14:textId="77777777" w:rsidR="008C5CFA" w:rsidRPr="009143B4" w:rsidRDefault="00E82A60"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Kobiety</w:t>
            </w:r>
          </w:p>
        </w:tc>
        <w:tc>
          <w:tcPr>
            <w:tcW w:w="0" w:type="auto"/>
            <w:shd w:val="clear" w:color="auto" w:fill="auto"/>
          </w:tcPr>
          <w:p w14:paraId="4750EF31" w14:textId="77777777" w:rsidR="008C5CFA" w:rsidRPr="009143B4" w:rsidRDefault="00E82A60"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Ogółem</w:t>
            </w:r>
          </w:p>
        </w:tc>
        <w:tc>
          <w:tcPr>
            <w:tcW w:w="0" w:type="auto"/>
            <w:shd w:val="clear" w:color="auto" w:fill="auto"/>
          </w:tcPr>
          <w:p w14:paraId="06F4FA61" w14:textId="77777777" w:rsidR="008C5CFA" w:rsidRPr="009143B4" w:rsidRDefault="00E82A60"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Mężczyźni</w:t>
            </w:r>
          </w:p>
        </w:tc>
        <w:tc>
          <w:tcPr>
            <w:tcW w:w="0" w:type="auto"/>
            <w:shd w:val="clear" w:color="auto" w:fill="auto"/>
          </w:tcPr>
          <w:p w14:paraId="7F360AF7" w14:textId="77777777" w:rsidR="008C5CFA" w:rsidRPr="009143B4" w:rsidRDefault="00E82A60"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Kobiety</w:t>
            </w:r>
          </w:p>
        </w:tc>
      </w:tr>
      <w:tr w:rsidR="006B2EC1" w14:paraId="76C1BA4F" w14:textId="77777777" w:rsidTr="0047688D">
        <w:tc>
          <w:tcPr>
            <w:tcW w:w="0" w:type="auto"/>
          </w:tcPr>
          <w:p w14:paraId="23EB8707" w14:textId="77777777" w:rsidR="008C5CFA" w:rsidRPr="0024468B" w:rsidRDefault="00E82A60" w:rsidP="00300A01">
            <w:pPr>
              <w:spacing w:before="0" w:after="0"/>
              <w:rPr>
                <w:sz w:val="16"/>
                <w:szCs w:val="16"/>
                <w:lang w:val="fr-BE"/>
              </w:rPr>
            </w:pPr>
            <w:r>
              <w:rPr>
                <w:noProof/>
                <w:sz w:val="16"/>
                <w:szCs w:val="16"/>
                <w:lang w:val="fr-BE"/>
              </w:rPr>
              <w:t>F</w:t>
            </w:r>
          </w:p>
        </w:tc>
        <w:tc>
          <w:tcPr>
            <w:tcW w:w="0" w:type="auto"/>
            <w:shd w:val="clear" w:color="auto" w:fill="auto"/>
          </w:tcPr>
          <w:p w14:paraId="1DA7D30A" w14:textId="77777777" w:rsidR="008C5CFA" w:rsidRPr="0024468B" w:rsidRDefault="00E82A60" w:rsidP="00300A01">
            <w:pPr>
              <w:spacing w:before="0" w:after="0"/>
              <w:rPr>
                <w:sz w:val="16"/>
                <w:szCs w:val="16"/>
                <w:lang w:val="fr-BE"/>
              </w:rPr>
            </w:pPr>
            <w:r w:rsidRPr="0024468B">
              <w:rPr>
                <w:noProof/>
                <w:sz w:val="16"/>
                <w:szCs w:val="16"/>
                <w:lang w:val="fr-BE"/>
              </w:rPr>
              <w:t>CO25</w:t>
            </w:r>
          </w:p>
        </w:tc>
        <w:tc>
          <w:tcPr>
            <w:tcW w:w="0" w:type="auto"/>
            <w:shd w:val="clear" w:color="auto" w:fill="auto"/>
          </w:tcPr>
          <w:p w14:paraId="4A57E2A6" w14:textId="77777777" w:rsidR="008C5CFA" w:rsidRPr="0024468B" w:rsidRDefault="00E82A60" w:rsidP="00300A01">
            <w:pPr>
              <w:spacing w:before="0" w:after="0"/>
              <w:rPr>
                <w:sz w:val="16"/>
                <w:szCs w:val="16"/>
                <w:lang w:val="fr-BE"/>
              </w:rPr>
            </w:pPr>
            <w:r w:rsidRPr="0024468B">
              <w:rPr>
                <w:noProof/>
                <w:sz w:val="16"/>
                <w:szCs w:val="16"/>
                <w:lang w:val="fr-BE"/>
              </w:rPr>
              <w:t>Badania i innowacje: liczba naukowców pracujących w ulepszonych obiektach infrastruktury badawczej</w:t>
            </w:r>
          </w:p>
        </w:tc>
        <w:tc>
          <w:tcPr>
            <w:tcW w:w="0" w:type="auto"/>
          </w:tcPr>
          <w:p w14:paraId="289EE71A"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7314A064"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795A1542"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0FEE8BC7"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4D74FC14"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1BF75A3E"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7B4DC13B"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70FAE3ED"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6406DFB9"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r w:rsidR="006B2EC1" w14:paraId="461706A0" w14:textId="77777777" w:rsidTr="0047688D">
        <w:tc>
          <w:tcPr>
            <w:tcW w:w="0" w:type="auto"/>
          </w:tcPr>
          <w:p w14:paraId="01155D71" w14:textId="77777777" w:rsidR="008C5CFA" w:rsidRPr="0024468B" w:rsidRDefault="00E82A60" w:rsidP="00300A01">
            <w:pPr>
              <w:spacing w:before="0" w:after="0"/>
              <w:rPr>
                <w:sz w:val="16"/>
                <w:szCs w:val="16"/>
                <w:lang w:val="fr-BE"/>
              </w:rPr>
            </w:pPr>
            <w:r>
              <w:rPr>
                <w:noProof/>
                <w:sz w:val="16"/>
                <w:szCs w:val="16"/>
                <w:lang w:val="fr-BE"/>
              </w:rPr>
              <w:lastRenderedPageBreak/>
              <w:t>S</w:t>
            </w:r>
          </w:p>
        </w:tc>
        <w:tc>
          <w:tcPr>
            <w:tcW w:w="0" w:type="auto"/>
            <w:shd w:val="clear" w:color="auto" w:fill="auto"/>
          </w:tcPr>
          <w:p w14:paraId="2BAE6B87" w14:textId="77777777" w:rsidR="008C5CFA" w:rsidRPr="0024468B" w:rsidRDefault="00E82A60" w:rsidP="00300A01">
            <w:pPr>
              <w:spacing w:before="0" w:after="0"/>
              <w:rPr>
                <w:sz w:val="16"/>
                <w:szCs w:val="16"/>
                <w:lang w:val="fr-BE"/>
              </w:rPr>
            </w:pPr>
            <w:r w:rsidRPr="0024468B">
              <w:rPr>
                <w:noProof/>
                <w:sz w:val="16"/>
                <w:szCs w:val="16"/>
                <w:lang w:val="fr-BE"/>
              </w:rPr>
              <w:t>CO25</w:t>
            </w:r>
          </w:p>
        </w:tc>
        <w:tc>
          <w:tcPr>
            <w:tcW w:w="0" w:type="auto"/>
            <w:shd w:val="clear" w:color="auto" w:fill="auto"/>
          </w:tcPr>
          <w:p w14:paraId="5D5FEBB7" w14:textId="77777777" w:rsidR="008C5CFA" w:rsidRPr="0024468B" w:rsidRDefault="00E82A60" w:rsidP="00300A01">
            <w:pPr>
              <w:spacing w:before="0" w:after="0"/>
              <w:rPr>
                <w:sz w:val="16"/>
                <w:szCs w:val="16"/>
                <w:lang w:val="fr-BE"/>
              </w:rPr>
            </w:pPr>
            <w:r w:rsidRPr="0024468B">
              <w:rPr>
                <w:noProof/>
                <w:sz w:val="16"/>
                <w:szCs w:val="16"/>
                <w:lang w:val="fr-BE"/>
              </w:rPr>
              <w:t>Badania i innowacje: liczba naukowców pracujących w ulepszonych obiektach infrastruktury badawczej</w:t>
            </w:r>
          </w:p>
        </w:tc>
        <w:tc>
          <w:tcPr>
            <w:tcW w:w="0" w:type="auto"/>
          </w:tcPr>
          <w:p w14:paraId="43E2B05F" w14:textId="77777777" w:rsidR="008C5CFA" w:rsidRPr="0024468B" w:rsidRDefault="00E82A60" w:rsidP="00300A01">
            <w:pPr>
              <w:spacing w:before="0" w:after="0"/>
              <w:jc w:val="right"/>
              <w:rPr>
                <w:sz w:val="16"/>
                <w:szCs w:val="16"/>
                <w:lang w:val="fr-BE"/>
              </w:rPr>
            </w:pPr>
            <w:r w:rsidRPr="0024468B">
              <w:rPr>
                <w:noProof/>
                <w:sz w:val="16"/>
                <w:szCs w:val="16"/>
                <w:lang w:val="fr-BE"/>
              </w:rPr>
              <w:t>125,00</w:t>
            </w:r>
          </w:p>
        </w:tc>
        <w:tc>
          <w:tcPr>
            <w:tcW w:w="0" w:type="auto"/>
          </w:tcPr>
          <w:p w14:paraId="6A95096C"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72975710"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32F3F10E"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537383D2"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1194F20C"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1A167946"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6B372DC5"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3EE3D960"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r w:rsidR="006B2EC1" w14:paraId="46A32010" w14:textId="77777777" w:rsidTr="0047688D">
        <w:tc>
          <w:tcPr>
            <w:tcW w:w="0" w:type="auto"/>
          </w:tcPr>
          <w:p w14:paraId="7C65FE4A" w14:textId="77777777" w:rsidR="008C5CFA" w:rsidRPr="0024468B" w:rsidRDefault="00E82A60" w:rsidP="00300A01">
            <w:pPr>
              <w:spacing w:before="0" w:after="0"/>
              <w:rPr>
                <w:sz w:val="16"/>
                <w:szCs w:val="16"/>
                <w:lang w:val="fr-BE"/>
              </w:rPr>
            </w:pPr>
            <w:r>
              <w:rPr>
                <w:noProof/>
                <w:sz w:val="16"/>
                <w:szCs w:val="16"/>
                <w:lang w:val="fr-BE"/>
              </w:rPr>
              <w:t>F</w:t>
            </w:r>
          </w:p>
        </w:tc>
        <w:tc>
          <w:tcPr>
            <w:tcW w:w="0" w:type="auto"/>
            <w:shd w:val="clear" w:color="auto" w:fill="auto"/>
          </w:tcPr>
          <w:p w14:paraId="6FD958BD" w14:textId="77777777" w:rsidR="008C5CFA" w:rsidRPr="0024468B" w:rsidRDefault="00E82A60" w:rsidP="00300A01">
            <w:pPr>
              <w:spacing w:before="0" w:after="0"/>
              <w:rPr>
                <w:sz w:val="16"/>
                <w:szCs w:val="16"/>
                <w:lang w:val="fr-BE"/>
              </w:rPr>
            </w:pPr>
            <w:r w:rsidRPr="0024468B">
              <w:rPr>
                <w:noProof/>
                <w:sz w:val="16"/>
                <w:szCs w:val="16"/>
                <w:lang w:val="fr-BE"/>
              </w:rPr>
              <w:t>CO26</w:t>
            </w:r>
          </w:p>
        </w:tc>
        <w:tc>
          <w:tcPr>
            <w:tcW w:w="0" w:type="auto"/>
            <w:shd w:val="clear" w:color="auto" w:fill="auto"/>
          </w:tcPr>
          <w:p w14:paraId="002E2E3E" w14:textId="77777777" w:rsidR="008C5CFA" w:rsidRPr="0024468B" w:rsidRDefault="00E82A60" w:rsidP="00300A01">
            <w:pPr>
              <w:spacing w:before="0" w:after="0"/>
              <w:rPr>
                <w:sz w:val="16"/>
                <w:szCs w:val="16"/>
                <w:lang w:val="fr-BE"/>
              </w:rPr>
            </w:pPr>
            <w:r w:rsidRPr="0024468B">
              <w:rPr>
                <w:noProof/>
                <w:sz w:val="16"/>
                <w:szCs w:val="16"/>
                <w:lang w:val="fr-BE"/>
              </w:rPr>
              <w:t>Badania i innowacje: liczba przedsiębiorstw współpracujących z ośrodkami badawczymi</w:t>
            </w:r>
          </w:p>
        </w:tc>
        <w:tc>
          <w:tcPr>
            <w:tcW w:w="0" w:type="auto"/>
          </w:tcPr>
          <w:p w14:paraId="06B0C370"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46465B08"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141F24BB"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09D0D488"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2B761A88"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6CE4A4ED"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1A9809EB"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55C12C8D"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6ED6EF31"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r w:rsidR="006B2EC1" w14:paraId="660B1338" w14:textId="77777777" w:rsidTr="0047688D">
        <w:tc>
          <w:tcPr>
            <w:tcW w:w="0" w:type="auto"/>
          </w:tcPr>
          <w:p w14:paraId="7B11E9FD" w14:textId="77777777" w:rsidR="008C5CFA" w:rsidRPr="0024468B" w:rsidRDefault="00E82A60" w:rsidP="00300A01">
            <w:pPr>
              <w:spacing w:before="0" w:after="0"/>
              <w:rPr>
                <w:sz w:val="16"/>
                <w:szCs w:val="16"/>
                <w:lang w:val="fr-BE"/>
              </w:rPr>
            </w:pPr>
            <w:r>
              <w:rPr>
                <w:noProof/>
                <w:sz w:val="16"/>
                <w:szCs w:val="16"/>
                <w:lang w:val="fr-BE"/>
              </w:rPr>
              <w:t>S</w:t>
            </w:r>
          </w:p>
        </w:tc>
        <w:tc>
          <w:tcPr>
            <w:tcW w:w="0" w:type="auto"/>
            <w:shd w:val="clear" w:color="auto" w:fill="auto"/>
          </w:tcPr>
          <w:p w14:paraId="794A897D" w14:textId="77777777" w:rsidR="008C5CFA" w:rsidRPr="0024468B" w:rsidRDefault="00E82A60" w:rsidP="00300A01">
            <w:pPr>
              <w:spacing w:before="0" w:after="0"/>
              <w:rPr>
                <w:sz w:val="16"/>
                <w:szCs w:val="16"/>
                <w:lang w:val="fr-BE"/>
              </w:rPr>
            </w:pPr>
            <w:r w:rsidRPr="0024468B">
              <w:rPr>
                <w:noProof/>
                <w:sz w:val="16"/>
                <w:szCs w:val="16"/>
                <w:lang w:val="fr-BE"/>
              </w:rPr>
              <w:t>CO26</w:t>
            </w:r>
          </w:p>
        </w:tc>
        <w:tc>
          <w:tcPr>
            <w:tcW w:w="0" w:type="auto"/>
            <w:shd w:val="clear" w:color="auto" w:fill="auto"/>
          </w:tcPr>
          <w:p w14:paraId="3B8986E8" w14:textId="77777777" w:rsidR="008C5CFA" w:rsidRPr="0024468B" w:rsidRDefault="00E82A60" w:rsidP="00300A01">
            <w:pPr>
              <w:spacing w:before="0" w:after="0"/>
              <w:rPr>
                <w:sz w:val="16"/>
                <w:szCs w:val="16"/>
                <w:lang w:val="fr-BE"/>
              </w:rPr>
            </w:pPr>
            <w:r w:rsidRPr="0024468B">
              <w:rPr>
                <w:noProof/>
                <w:sz w:val="16"/>
                <w:szCs w:val="16"/>
                <w:lang w:val="fr-BE"/>
              </w:rPr>
              <w:t>Badania i innowacje: liczba przedsiębiorstw współpracujących z ośrodkami badawczymi</w:t>
            </w:r>
          </w:p>
        </w:tc>
        <w:tc>
          <w:tcPr>
            <w:tcW w:w="0" w:type="auto"/>
          </w:tcPr>
          <w:p w14:paraId="26094DEC" w14:textId="77777777" w:rsidR="008C5CFA" w:rsidRPr="0024468B" w:rsidRDefault="00E82A60" w:rsidP="00300A01">
            <w:pPr>
              <w:spacing w:before="0" w:after="0"/>
              <w:jc w:val="right"/>
              <w:rPr>
                <w:sz w:val="16"/>
                <w:szCs w:val="16"/>
                <w:lang w:val="fr-BE"/>
              </w:rPr>
            </w:pPr>
            <w:r w:rsidRPr="0024468B">
              <w:rPr>
                <w:noProof/>
                <w:sz w:val="16"/>
                <w:szCs w:val="16"/>
                <w:lang w:val="fr-BE"/>
              </w:rPr>
              <w:t>81,00</w:t>
            </w:r>
          </w:p>
        </w:tc>
        <w:tc>
          <w:tcPr>
            <w:tcW w:w="0" w:type="auto"/>
          </w:tcPr>
          <w:p w14:paraId="4DFF0FD4"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4D0F2197"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58887512"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06001DDE"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4D867775"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3AA1AAFB"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6729331A"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329A5712"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r w:rsidR="006B2EC1" w14:paraId="03D5B3B9" w14:textId="77777777" w:rsidTr="0047688D">
        <w:tc>
          <w:tcPr>
            <w:tcW w:w="0" w:type="auto"/>
          </w:tcPr>
          <w:p w14:paraId="51ED48B3" w14:textId="77777777" w:rsidR="008C5CFA" w:rsidRPr="0024468B" w:rsidRDefault="00E82A60" w:rsidP="00300A01">
            <w:pPr>
              <w:spacing w:before="0" w:after="0"/>
              <w:rPr>
                <w:sz w:val="16"/>
                <w:szCs w:val="16"/>
                <w:lang w:val="fr-BE"/>
              </w:rPr>
            </w:pPr>
            <w:r>
              <w:rPr>
                <w:noProof/>
                <w:sz w:val="16"/>
                <w:szCs w:val="16"/>
                <w:lang w:val="fr-BE"/>
              </w:rPr>
              <w:t>F</w:t>
            </w:r>
          </w:p>
        </w:tc>
        <w:tc>
          <w:tcPr>
            <w:tcW w:w="0" w:type="auto"/>
            <w:shd w:val="clear" w:color="auto" w:fill="auto"/>
          </w:tcPr>
          <w:p w14:paraId="170AD073" w14:textId="77777777" w:rsidR="008C5CFA" w:rsidRPr="0024468B" w:rsidRDefault="00E82A60" w:rsidP="00300A01">
            <w:pPr>
              <w:spacing w:before="0" w:after="0"/>
              <w:rPr>
                <w:sz w:val="16"/>
                <w:szCs w:val="16"/>
                <w:lang w:val="fr-BE"/>
              </w:rPr>
            </w:pPr>
            <w:r w:rsidRPr="0024468B">
              <w:rPr>
                <w:noProof/>
                <w:sz w:val="16"/>
                <w:szCs w:val="16"/>
                <w:lang w:val="fr-BE"/>
              </w:rPr>
              <w:t>CO27</w:t>
            </w:r>
          </w:p>
        </w:tc>
        <w:tc>
          <w:tcPr>
            <w:tcW w:w="0" w:type="auto"/>
            <w:shd w:val="clear" w:color="auto" w:fill="auto"/>
          </w:tcPr>
          <w:p w14:paraId="14EB81F4" w14:textId="77777777" w:rsidR="008C5CFA" w:rsidRPr="0024468B" w:rsidRDefault="00E82A60" w:rsidP="00300A01">
            <w:pPr>
              <w:spacing w:before="0" w:after="0"/>
              <w:rPr>
                <w:sz w:val="16"/>
                <w:szCs w:val="16"/>
                <w:lang w:val="fr-BE"/>
              </w:rPr>
            </w:pPr>
            <w:r w:rsidRPr="0024468B">
              <w:rPr>
                <w:noProof/>
                <w:sz w:val="16"/>
                <w:szCs w:val="16"/>
                <w:lang w:val="fr-BE"/>
              </w:rPr>
              <w:t>Badania i innowacje: inwestycje prywatne uzupełniające wsparcie publiczne dla projektów w zakresie innowacji lub badań i rozwoju</w:t>
            </w:r>
          </w:p>
        </w:tc>
        <w:tc>
          <w:tcPr>
            <w:tcW w:w="0" w:type="auto"/>
          </w:tcPr>
          <w:p w14:paraId="29E52DA2"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581457F9"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1F7FC72C"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0408A30D"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5A63E8D0"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45E74B27"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553AFDF8"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532DF506"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251DD088"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r w:rsidR="006B2EC1" w14:paraId="52703538" w14:textId="77777777" w:rsidTr="0047688D">
        <w:tc>
          <w:tcPr>
            <w:tcW w:w="0" w:type="auto"/>
          </w:tcPr>
          <w:p w14:paraId="385C6A2B" w14:textId="77777777" w:rsidR="008C5CFA" w:rsidRPr="0024468B" w:rsidRDefault="00E82A60" w:rsidP="00300A01">
            <w:pPr>
              <w:spacing w:before="0" w:after="0"/>
              <w:rPr>
                <w:sz w:val="16"/>
                <w:szCs w:val="16"/>
                <w:lang w:val="fr-BE"/>
              </w:rPr>
            </w:pPr>
            <w:r>
              <w:rPr>
                <w:noProof/>
                <w:sz w:val="16"/>
                <w:szCs w:val="16"/>
                <w:lang w:val="fr-BE"/>
              </w:rPr>
              <w:t>S</w:t>
            </w:r>
          </w:p>
        </w:tc>
        <w:tc>
          <w:tcPr>
            <w:tcW w:w="0" w:type="auto"/>
            <w:shd w:val="clear" w:color="auto" w:fill="auto"/>
          </w:tcPr>
          <w:p w14:paraId="4C61C2AC" w14:textId="77777777" w:rsidR="008C5CFA" w:rsidRPr="0024468B" w:rsidRDefault="00E82A60" w:rsidP="00300A01">
            <w:pPr>
              <w:spacing w:before="0" w:after="0"/>
              <w:rPr>
                <w:sz w:val="16"/>
                <w:szCs w:val="16"/>
                <w:lang w:val="fr-BE"/>
              </w:rPr>
            </w:pPr>
            <w:r w:rsidRPr="0024468B">
              <w:rPr>
                <w:noProof/>
                <w:sz w:val="16"/>
                <w:szCs w:val="16"/>
                <w:lang w:val="fr-BE"/>
              </w:rPr>
              <w:t>CO27</w:t>
            </w:r>
          </w:p>
        </w:tc>
        <w:tc>
          <w:tcPr>
            <w:tcW w:w="0" w:type="auto"/>
            <w:shd w:val="clear" w:color="auto" w:fill="auto"/>
          </w:tcPr>
          <w:p w14:paraId="5D760C29" w14:textId="77777777" w:rsidR="008C5CFA" w:rsidRPr="0024468B" w:rsidRDefault="00E82A60" w:rsidP="00300A01">
            <w:pPr>
              <w:spacing w:before="0" w:after="0"/>
              <w:rPr>
                <w:sz w:val="16"/>
                <w:szCs w:val="16"/>
                <w:lang w:val="fr-BE"/>
              </w:rPr>
            </w:pPr>
            <w:r w:rsidRPr="0024468B">
              <w:rPr>
                <w:noProof/>
                <w:sz w:val="16"/>
                <w:szCs w:val="16"/>
                <w:lang w:val="fr-BE"/>
              </w:rPr>
              <w:t>Badania i innowacje: inwestycje prywatne uzupełniające wsparcie publiczne dla projektów w zakresie innowacji lub badań i rozwoju</w:t>
            </w:r>
          </w:p>
        </w:tc>
        <w:tc>
          <w:tcPr>
            <w:tcW w:w="0" w:type="auto"/>
          </w:tcPr>
          <w:p w14:paraId="14BD6C45" w14:textId="77777777" w:rsidR="008C5CFA" w:rsidRPr="0024468B" w:rsidRDefault="00E82A60" w:rsidP="00300A01">
            <w:pPr>
              <w:spacing w:before="0" w:after="0"/>
              <w:jc w:val="right"/>
              <w:rPr>
                <w:sz w:val="16"/>
                <w:szCs w:val="16"/>
                <w:lang w:val="fr-BE"/>
              </w:rPr>
            </w:pPr>
            <w:r w:rsidRPr="0024468B">
              <w:rPr>
                <w:noProof/>
                <w:sz w:val="16"/>
                <w:szCs w:val="16"/>
                <w:lang w:val="fr-BE"/>
              </w:rPr>
              <w:t>5 528 512,50</w:t>
            </w:r>
          </w:p>
        </w:tc>
        <w:tc>
          <w:tcPr>
            <w:tcW w:w="0" w:type="auto"/>
          </w:tcPr>
          <w:p w14:paraId="41EF51B5"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151E60E7"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497830B8"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22F1E287"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348C2D29"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00AD48C1"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12CCB2D6"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51F5815A"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r w:rsidR="006B2EC1" w14:paraId="06274939" w14:textId="77777777" w:rsidTr="0047688D">
        <w:tc>
          <w:tcPr>
            <w:tcW w:w="0" w:type="auto"/>
          </w:tcPr>
          <w:p w14:paraId="35B68D7F" w14:textId="77777777" w:rsidR="008C5CFA" w:rsidRPr="0024468B" w:rsidRDefault="00E82A60" w:rsidP="00300A01">
            <w:pPr>
              <w:spacing w:before="0" w:after="0"/>
              <w:rPr>
                <w:sz w:val="16"/>
                <w:szCs w:val="16"/>
                <w:lang w:val="fr-BE"/>
              </w:rPr>
            </w:pPr>
            <w:r>
              <w:rPr>
                <w:noProof/>
                <w:sz w:val="16"/>
                <w:szCs w:val="16"/>
                <w:lang w:val="fr-BE"/>
              </w:rPr>
              <w:t>F</w:t>
            </w:r>
          </w:p>
        </w:tc>
        <w:tc>
          <w:tcPr>
            <w:tcW w:w="0" w:type="auto"/>
            <w:shd w:val="clear" w:color="auto" w:fill="auto"/>
          </w:tcPr>
          <w:p w14:paraId="375F070C" w14:textId="77777777" w:rsidR="008C5CFA" w:rsidRPr="0024468B" w:rsidRDefault="00E82A60" w:rsidP="00300A01">
            <w:pPr>
              <w:spacing w:before="0" w:after="0"/>
              <w:rPr>
                <w:sz w:val="16"/>
                <w:szCs w:val="16"/>
                <w:lang w:val="fr-BE"/>
              </w:rPr>
            </w:pPr>
            <w:r>
              <w:rPr>
                <w:noProof/>
                <w:sz w:val="16"/>
                <w:szCs w:val="16"/>
                <w:lang w:val="fr-BE"/>
              </w:rPr>
              <w:t>025</w:t>
            </w:r>
          </w:p>
        </w:tc>
        <w:tc>
          <w:tcPr>
            <w:tcW w:w="0" w:type="auto"/>
            <w:shd w:val="clear" w:color="auto" w:fill="auto"/>
          </w:tcPr>
          <w:p w14:paraId="539E1CE4" w14:textId="77777777" w:rsidR="008C5CFA" w:rsidRPr="0024468B" w:rsidRDefault="00E82A60" w:rsidP="00300A01">
            <w:pPr>
              <w:spacing w:before="0" w:after="0"/>
              <w:rPr>
                <w:sz w:val="16"/>
                <w:szCs w:val="16"/>
                <w:lang w:val="fr-BE"/>
              </w:rPr>
            </w:pPr>
            <w:r>
              <w:rPr>
                <w:noProof/>
                <w:sz w:val="16"/>
                <w:szCs w:val="16"/>
                <w:lang w:val="fr-BE"/>
              </w:rPr>
              <w:t>Liczba jednostek naukowych ponoszących nakłady inwestycyjne na działalność B+R</w:t>
            </w:r>
          </w:p>
        </w:tc>
        <w:tc>
          <w:tcPr>
            <w:tcW w:w="0" w:type="auto"/>
          </w:tcPr>
          <w:p w14:paraId="73C7463E" w14:textId="77777777" w:rsidR="008C5CFA" w:rsidRPr="0024468B" w:rsidRDefault="00E82A60" w:rsidP="00300A01">
            <w:pPr>
              <w:spacing w:before="0" w:after="0"/>
              <w:jc w:val="right"/>
              <w:rPr>
                <w:sz w:val="16"/>
                <w:szCs w:val="16"/>
                <w:lang w:val="fr-BE"/>
              </w:rPr>
            </w:pPr>
            <w:r w:rsidRPr="0024468B">
              <w:rPr>
                <w:noProof/>
                <w:sz w:val="16"/>
                <w:szCs w:val="16"/>
                <w:lang w:val="fr-BE"/>
              </w:rPr>
              <w:t>1,00</w:t>
            </w:r>
          </w:p>
        </w:tc>
        <w:tc>
          <w:tcPr>
            <w:tcW w:w="0" w:type="auto"/>
          </w:tcPr>
          <w:p w14:paraId="3EDEBC8C"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01F422CD"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0DE7C115"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0EE6F55C"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4D5F93C7"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66B50C76"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4AABFC88"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4303DC4D"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r w:rsidR="006B2EC1" w14:paraId="1E12486E" w14:textId="77777777" w:rsidTr="0047688D">
        <w:tc>
          <w:tcPr>
            <w:tcW w:w="0" w:type="auto"/>
          </w:tcPr>
          <w:p w14:paraId="2C30BB9E" w14:textId="77777777" w:rsidR="008C5CFA" w:rsidRPr="0024468B" w:rsidRDefault="00E82A60" w:rsidP="00300A01">
            <w:pPr>
              <w:spacing w:before="0" w:after="0"/>
              <w:rPr>
                <w:sz w:val="16"/>
                <w:szCs w:val="16"/>
                <w:lang w:val="fr-BE"/>
              </w:rPr>
            </w:pPr>
            <w:r>
              <w:rPr>
                <w:noProof/>
                <w:sz w:val="16"/>
                <w:szCs w:val="16"/>
                <w:lang w:val="fr-BE"/>
              </w:rPr>
              <w:t>S</w:t>
            </w:r>
          </w:p>
        </w:tc>
        <w:tc>
          <w:tcPr>
            <w:tcW w:w="0" w:type="auto"/>
            <w:shd w:val="clear" w:color="auto" w:fill="auto"/>
          </w:tcPr>
          <w:p w14:paraId="649A60CE" w14:textId="77777777" w:rsidR="008C5CFA" w:rsidRPr="0024468B" w:rsidRDefault="00E82A60" w:rsidP="00300A01">
            <w:pPr>
              <w:spacing w:before="0" w:after="0"/>
              <w:rPr>
                <w:sz w:val="16"/>
                <w:szCs w:val="16"/>
                <w:lang w:val="fr-BE"/>
              </w:rPr>
            </w:pPr>
            <w:r>
              <w:rPr>
                <w:noProof/>
                <w:sz w:val="16"/>
                <w:szCs w:val="16"/>
                <w:lang w:val="fr-BE"/>
              </w:rPr>
              <w:t>025</w:t>
            </w:r>
          </w:p>
        </w:tc>
        <w:tc>
          <w:tcPr>
            <w:tcW w:w="0" w:type="auto"/>
            <w:shd w:val="clear" w:color="auto" w:fill="auto"/>
          </w:tcPr>
          <w:p w14:paraId="1180B8D3" w14:textId="77777777" w:rsidR="008C5CFA" w:rsidRPr="0024468B" w:rsidRDefault="00E82A60" w:rsidP="00300A01">
            <w:pPr>
              <w:spacing w:before="0" w:after="0"/>
              <w:rPr>
                <w:sz w:val="16"/>
                <w:szCs w:val="16"/>
                <w:lang w:val="fr-BE"/>
              </w:rPr>
            </w:pPr>
            <w:r>
              <w:rPr>
                <w:noProof/>
                <w:sz w:val="16"/>
                <w:szCs w:val="16"/>
                <w:lang w:val="fr-BE"/>
              </w:rPr>
              <w:t>Liczba jednostek naukowych ponoszących nakłady inwestycyjne na działalność B+R</w:t>
            </w:r>
          </w:p>
        </w:tc>
        <w:tc>
          <w:tcPr>
            <w:tcW w:w="0" w:type="auto"/>
          </w:tcPr>
          <w:p w14:paraId="123F1F0B" w14:textId="77777777" w:rsidR="008C5CFA" w:rsidRPr="0024468B" w:rsidRDefault="00E82A60" w:rsidP="00300A01">
            <w:pPr>
              <w:spacing w:before="0" w:after="0"/>
              <w:jc w:val="right"/>
              <w:rPr>
                <w:sz w:val="16"/>
                <w:szCs w:val="16"/>
                <w:lang w:val="fr-BE"/>
              </w:rPr>
            </w:pPr>
            <w:r w:rsidRPr="0024468B">
              <w:rPr>
                <w:noProof/>
                <w:sz w:val="16"/>
                <w:szCs w:val="16"/>
                <w:lang w:val="fr-BE"/>
              </w:rPr>
              <w:t>4,00</w:t>
            </w:r>
          </w:p>
        </w:tc>
        <w:tc>
          <w:tcPr>
            <w:tcW w:w="0" w:type="auto"/>
          </w:tcPr>
          <w:p w14:paraId="1A9698CE"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1E70C5F8"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6767783C"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077C7808"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4D158367"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4D5EDE9C"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4B8ED87E"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4214411A"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bl>
    <w:p w14:paraId="3E717077"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01"/>
        <w:gridCol w:w="497"/>
        <w:gridCol w:w="8105"/>
        <w:gridCol w:w="981"/>
        <w:gridCol w:w="1168"/>
        <w:gridCol w:w="991"/>
        <w:gridCol w:w="982"/>
        <w:gridCol w:w="1168"/>
        <w:gridCol w:w="991"/>
      </w:tblGrid>
      <w:tr w:rsidR="006B2EC1" w14:paraId="273986DA" w14:textId="77777777" w:rsidTr="0047688D">
        <w:trPr>
          <w:tblHeader/>
        </w:trPr>
        <w:tc>
          <w:tcPr>
            <w:tcW w:w="0" w:type="auto"/>
          </w:tcPr>
          <w:p w14:paraId="20F44A2B" w14:textId="77777777" w:rsidR="008C5CFA" w:rsidRPr="009143B4" w:rsidRDefault="00E82A60" w:rsidP="00300A01">
            <w:pPr>
              <w:spacing w:before="0" w:after="0"/>
              <w:rPr>
                <w:b/>
                <w:sz w:val="16"/>
                <w:szCs w:val="16"/>
                <w:lang w:val="fr-BE"/>
              </w:rPr>
            </w:pPr>
            <w:r w:rsidRPr="009143B4">
              <w:rPr>
                <w:b/>
                <w:sz w:val="16"/>
                <w:szCs w:val="16"/>
                <w:lang w:val="fr-BE"/>
              </w:rPr>
              <w:t>(1)</w:t>
            </w:r>
          </w:p>
        </w:tc>
        <w:tc>
          <w:tcPr>
            <w:tcW w:w="0" w:type="auto"/>
            <w:shd w:val="clear" w:color="auto" w:fill="auto"/>
          </w:tcPr>
          <w:p w14:paraId="56CE0B4B" w14:textId="77777777" w:rsidR="008C5CFA" w:rsidRPr="009143B4" w:rsidRDefault="00E82A60" w:rsidP="00300A01">
            <w:pPr>
              <w:spacing w:before="0" w:after="0"/>
              <w:rPr>
                <w:b/>
                <w:sz w:val="16"/>
                <w:szCs w:val="16"/>
                <w:lang w:val="fr-BE"/>
              </w:rPr>
            </w:pPr>
            <w:r w:rsidRPr="009143B4">
              <w:rPr>
                <w:b/>
                <w:noProof/>
                <w:sz w:val="16"/>
                <w:szCs w:val="16"/>
                <w:lang w:val="fr-BE"/>
              </w:rPr>
              <w:t>ID</w:t>
            </w:r>
          </w:p>
        </w:tc>
        <w:tc>
          <w:tcPr>
            <w:tcW w:w="0" w:type="auto"/>
            <w:shd w:val="clear" w:color="auto" w:fill="auto"/>
          </w:tcPr>
          <w:p w14:paraId="39941483" w14:textId="77777777" w:rsidR="008C5CFA" w:rsidRPr="009143B4" w:rsidRDefault="00E82A60" w:rsidP="00300A01">
            <w:pPr>
              <w:spacing w:before="0" w:after="0"/>
              <w:rPr>
                <w:b/>
                <w:sz w:val="16"/>
                <w:szCs w:val="16"/>
                <w:lang w:val="fr-BE"/>
              </w:rPr>
            </w:pPr>
            <w:r w:rsidRPr="009143B4">
              <w:rPr>
                <w:b/>
                <w:noProof/>
                <w:sz w:val="16"/>
                <w:szCs w:val="16"/>
                <w:lang w:val="fr-BE"/>
              </w:rPr>
              <w:t>Wskaźnik</w:t>
            </w:r>
          </w:p>
        </w:tc>
        <w:tc>
          <w:tcPr>
            <w:tcW w:w="0" w:type="auto"/>
          </w:tcPr>
          <w:p w14:paraId="00E3BE62" w14:textId="77777777" w:rsidR="008C5CFA" w:rsidRPr="009143B4" w:rsidRDefault="00E82A60"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Ogółem</w:t>
            </w:r>
          </w:p>
        </w:tc>
        <w:tc>
          <w:tcPr>
            <w:tcW w:w="0" w:type="auto"/>
          </w:tcPr>
          <w:p w14:paraId="3C0B7272" w14:textId="77777777" w:rsidR="008C5CFA" w:rsidRPr="009143B4" w:rsidRDefault="00E82A60"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Mężczyźni</w:t>
            </w:r>
          </w:p>
        </w:tc>
        <w:tc>
          <w:tcPr>
            <w:tcW w:w="0" w:type="auto"/>
          </w:tcPr>
          <w:p w14:paraId="1E3245C6" w14:textId="77777777" w:rsidR="008C5CFA" w:rsidRPr="009143B4" w:rsidRDefault="00E82A60"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Kobiety</w:t>
            </w:r>
          </w:p>
        </w:tc>
        <w:tc>
          <w:tcPr>
            <w:tcW w:w="0" w:type="auto"/>
            <w:shd w:val="clear" w:color="auto" w:fill="auto"/>
          </w:tcPr>
          <w:p w14:paraId="09AB9161" w14:textId="77777777" w:rsidR="008C5CFA" w:rsidRPr="009143B4" w:rsidRDefault="00E82A60"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Ogółem</w:t>
            </w:r>
          </w:p>
        </w:tc>
        <w:tc>
          <w:tcPr>
            <w:tcW w:w="0" w:type="auto"/>
            <w:shd w:val="clear" w:color="auto" w:fill="auto"/>
          </w:tcPr>
          <w:p w14:paraId="15F4DE8D" w14:textId="77777777" w:rsidR="008C5CFA" w:rsidRPr="009143B4" w:rsidRDefault="00E82A60"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Mężczyźni</w:t>
            </w:r>
          </w:p>
        </w:tc>
        <w:tc>
          <w:tcPr>
            <w:tcW w:w="0" w:type="auto"/>
            <w:shd w:val="clear" w:color="auto" w:fill="auto"/>
          </w:tcPr>
          <w:p w14:paraId="6E0A966B" w14:textId="77777777" w:rsidR="008C5CFA" w:rsidRPr="009143B4" w:rsidRDefault="00E82A60"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Kobiety</w:t>
            </w:r>
          </w:p>
        </w:tc>
      </w:tr>
      <w:tr w:rsidR="006B2EC1" w14:paraId="5C356FC4" w14:textId="77777777" w:rsidTr="0047688D">
        <w:tc>
          <w:tcPr>
            <w:tcW w:w="0" w:type="auto"/>
          </w:tcPr>
          <w:p w14:paraId="64F715F6" w14:textId="77777777" w:rsidR="008C5CFA" w:rsidRPr="0024468B" w:rsidRDefault="00E82A60" w:rsidP="00300A01">
            <w:pPr>
              <w:spacing w:before="0" w:after="0"/>
              <w:rPr>
                <w:sz w:val="16"/>
                <w:szCs w:val="16"/>
                <w:lang w:val="fr-BE"/>
              </w:rPr>
            </w:pPr>
            <w:r>
              <w:rPr>
                <w:noProof/>
                <w:sz w:val="16"/>
                <w:szCs w:val="16"/>
                <w:lang w:val="fr-BE"/>
              </w:rPr>
              <w:t>F</w:t>
            </w:r>
          </w:p>
        </w:tc>
        <w:tc>
          <w:tcPr>
            <w:tcW w:w="0" w:type="auto"/>
            <w:shd w:val="clear" w:color="auto" w:fill="auto"/>
          </w:tcPr>
          <w:p w14:paraId="7612641E" w14:textId="77777777" w:rsidR="008C5CFA" w:rsidRPr="0024468B" w:rsidRDefault="00E82A60" w:rsidP="00300A01">
            <w:pPr>
              <w:spacing w:before="0" w:after="0"/>
              <w:rPr>
                <w:sz w:val="16"/>
                <w:szCs w:val="16"/>
                <w:lang w:val="fr-BE"/>
              </w:rPr>
            </w:pPr>
            <w:r w:rsidRPr="0024468B">
              <w:rPr>
                <w:noProof/>
                <w:sz w:val="16"/>
                <w:szCs w:val="16"/>
                <w:lang w:val="fr-BE"/>
              </w:rPr>
              <w:t>CO25</w:t>
            </w:r>
          </w:p>
        </w:tc>
        <w:tc>
          <w:tcPr>
            <w:tcW w:w="0" w:type="auto"/>
            <w:shd w:val="clear" w:color="auto" w:fill="auto"/>
          </w:tcPr>
          <w:p w14:paraId="3A97C65D" w14:textId="77777777" w:rsidR="008C5CFA" w:rsidRPr="0024468B" w:rsidRDefault="00E82A60" w:rsidP="00300A01">
            <w:pPr>
              <w:spacing w:before="0" w:after="0"/>
              <w:rPr>
                <w:sz w:val="16"/>
                <w:szCs w:val="16"/>
                <w:lang w:val="fr-BE"/>
              </w:rPr>
            </w:pPr>
            <w:r w:rsidRPr="0024468B">
              <w:rPr>
                <w:noProof/>
                <w:sz w:val="16"/>
                <w:szCs w:val="16"/>
                <w:lang w:val="fr-BE"/>
              </w:rPr>
              <w:t>Badania i innowacje: liczba naukowców pracujących w ulepszonych obiektach infrastruktury badawczej</w:t>
            </w:r>
          </w:p>
        </w:tc>
        <w:tc>
          <w:tcPr>
            <w:tcW w:w="0" w:type="auto"/>
          </w:tcPr>
          <w:p w14:paraId="6BA1B42D"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358A0CBF"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0C17D288"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08F46867"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2355E55A"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314C6E6F"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r w:rsidR="006B2EC1" w14:paraId="5271DBDE" w14:textId="77777777" w:rsidTr="0047688D">
        <w:tc>
          <w:tcPr>
            <w:tcW w:w="0" w:type="auto"/>
          </w:tcPr>
          <w:p w14:paraId="090D8B12" w14:textId="77777777" w:rsidR="008C5CFA" w:rsidRPr="0024468B" w:rsidRDefault="00E82A60" w:rsidP="00300A01">
            <w:pPr>
              <w:spacing w:before="0" w:after="0"/>
              <w:rPr>
                <w:sz w:val="16"/>
                <w:szCs w:val="16"/>
                <w:lang w:val="fr-BE"/>
              </w:rPr>
            </w:pPr>
            <w:r>
              <w:rPr>
                <w:noProof/>
                <w:sz w:val="16"/>
                <w:szCs w:val="16"/>
                <w:lang w:val="fr-BE"/>
              </w:rPr>
              <w:t>S</w:t>
            </w:r>
          </w:p>
        </w:tc>
        <w:tc>
          <w:tcPr>
            <w:tcW w:w="0" w:type="auto"/>
            <w:shd w:val="clear" w:color="auto" w:fill="auto"/>
          </w:tcPr>
          <w:p w14:paraId="679CF559" w14:textId="77777777" w:rsidR="008C5CFA" w:rsidRPr="0024468B" w:rsidRDefault="00E82A60" w:rsidP="00300A01">
            <w:pPr>
              <w:spacing w:before="0" w:after="0"/>
              <w:rPr>
                <w:sz w:val="16"/>
                <w:szCs w:val="16"/>
                <w:lang w:val="fr-BE"/>
              </w:rPr>
            </w:pPr>
            <w:r w:rsidRPr="0024468B">
              <w:rPr>
                <w:noProof/>
                <w:sz w:val="16"/>
                <w:szCs w:val="16"/>
                <w:lang w:val="fr-BE"/>
              </w:rPr>
              <w:t>CO25</w:t>
            </w:r>
          </w:p>
        </w:tc>
        <w:tc>
          <w:tcPr>
            <w:tcW w:w="0" w:type="auto"/>
            <w:shd w:val="clear" w:color="auto" w:fill="auto"/>
          </w:tcPr>
          <w:p w14:paraId="0B7D3FEF" w14:textId="77777777" w:rsidR="008C5CFA" w:rsidRPr="0024468B" w:rsidRDefault="00E82A60" w:rsidP="00300A01">
            <w:pPr>
              <w:spacing w:before="0" w:after="0"/>
              <w:rPr>
                <w:sz w:val="16"/>
                <w:szCs w:val="16"/>
                <w:lang w:val="fr-BE"/>
              </w:rPr>
            </w:pPr>
            <w:r w:rsidRPr="0024468B">
              <w:rPr>
                <w:noProof/>
                <w:sz w:val="16"/>
                <w:szCs w:val="16"/>
                <w:lang w:val="fr-BE"/>
              </w:rPr>
              <w:t>Badania i innowacje: liczba naukowców pracujących w ulepszonych obiektach infrastruktury badawczej</w:t>
            </w:r>
          </w:p>
        </w:tc>
        <w:tc>
          <w:tcPr>
            <w:tcW w:w="0" w:type="auto"/>
          </w:tcPr>
          <w:p w14:paraId="5F0A7D2D"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307120E2"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7F074967"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5597E350"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3EF8474F"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55D473F8"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r w:rsidR="006B2EC1" w14:paraId="335AA0DD" w14:textId="77777777" w:rsidTr="0047688D">
        <w:tc>
          <w:tcPr>
            <w:tcW w:w="0" w:type="auto"/>
          </w:tcPr>
          <w:p w14:paraId="750CA744" w14:textId="77777777" w:rsidR="008C5CFA" w:rsidRPr="0024468B" w:rsidRDefault="00E82A60" w:rsidP="00300A01">
            <w:pPr>
              <w:spacing w:before="0" w:after="0"/>
              <w:rPr>
                <w:sz w:val="16"/>
                <w:szCs w:val="16"/>
                <w:lang w:val="fr-BE"/>
              </w:rPr>
            </w:pPr>
            <w:r>
              <w:rPr>
                <w:noProof/>
                <w:sz w:val="16"/>
                <w:szCs w:val="16"/>
                <w:lang w:val="fr-BE"/>
              </w:rPr>
              <w:t>F</w:t>
            </w:r>
          </w:p>
        </w:tc>
        <w:tc>
          <w:tcPr>
            <w:tcW w:w="0" w:type="auto"/>
            <w:shd w:val="clear" w:color="auto" w:fill="auto"/>
          </w:tcPr>
          <w:p w14:paraId="0179D0D2" w14:textId="77777777" w:rsidR="008C5CFA" w:rsidRPr="0024468B" w:rsidRDefault="00E82A60" w:rsidP="00300A01">
            <w:pPr>
              <w:spacing w:before="0" w:after="0"/>
              <w:rPr>
                <w:sz w:val="16"/>
                <w:szCs w:val="16"/>
                <w:lang w:val="fr-BE"/>
              </w:rPr>
            </w:pPr>
            <w:r w:rsidRPr="0024468B">
              <w:rPr>
                <w:noProof/>
                <w:sz w:val="16"/>
                <w:szCs w:val="16"/>
                <w:lang w:val="fr-BE"/>
              </w:rPr>
              <w:t>CO26</w:t>
            </w:r>
          </w:p>
        </w:tc>
        <w:tc>
          <w:tcPr>
            <w:tcW w:w="0" w:type="auto"/>
            <w:shd w:val="clear" w:color="auto" w:fill="auto"/>
          </w:tcPr>
          <w:p w14:paraId="394CB82B" w14:textId="77777777" w:rsidR="008C5CFA" w:rsidRPr="0024468B" w:rsidRDefault="00E82A60" w:rsidP="00300A01">
            <w:pPr>
              <w:spacing w:before="0" w:after="0"/>
              <w:rPr>
                <w:sz w:val="16"/>
                <w:szCs w:val="16"/>
                <w:lang w:val="fr-BE"/>
              </w:rPr>
            </w:pPr>
            <w:r w:rsidRPr="0024468B">
              <w:rPr>
                <w:noProof/>
                <w:sz w:val="16"/>
                <w:szCs w:val="16"/>
                <w:lang w:val="fr-BE"/>
              </w:rPr>
              <w:t>Badania i innowacje: liczba przedsiębiorstw współpracujących z ośrodkami badawczymi</w:t>
            </w:r>
          </w:p>
        </w:tc>
        <w:tc>
          <w:tcPr>
            <w:tcW w:w="0" w:type="auto"/>
          </w:tcPr>
          <w:p w14:paraId="4F422615"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37BBDE7A"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3D52C8E9"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2BF25D46"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0BF11CFA"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3BF14E6E"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r w:rsidR="006B2EC1" w14:paraId="257D0D39" w14:textId="77777777" w:rsidTr="0047688D">
        <w:tc>
          <w:tcPr>
            <w:tcW w:w="0" w:type="auto"/>
          </w:tcPr>
          <w:p w14:paraId="36D9FC07" w14:textId="77777777" w:rsidR="008C5CFA" w:rsidRPr="0024468B" w:rsidRDefault="00E82A60" w:rsidP="00300A01">
            <w:pPr>
              <w:spacing w:before="0" w:after="0"/>
              <w:rPr>
                <w:sz w:val="16"/>
                <w:szCs w:val="16"/>
                <w:lang w:val="fr-BE"/>
              </w:rPr>
            </w:pPr>
            <w:r>
              <w:rPr>
                <w:noProof/>
                <w:sz w:val="16"/>
                <w:szCs w:val="16"/>
                <w:lang w:val="fr-BE"/>
              </w:rPr>
              <w:t>S</w:t>
            </w:r>
          </w:p>
        </w:tc>
        <w:tc>
          <w:tcPr>
            <w:tcW w:w="0" w:type="auto"/>
            <w:shd w:val="clear" w:color="auto" w:fill="auto"/>
          </w:tcPr>
          <w:p w14:paraId="63A665CB" w14:textId="77777777" w:rsidR="008C5CFA" w:rsidRPr="0024468B" w:rsidRDefault="00E82A60" w:rsidP="00300A01">
            <w:pPr>
              <w:spacing w:before="0" w:after="0"/>
              <w:rPr>
                <w:sz w:val="16"/>
                <w:szCs w:val="16"/>
                <w:lang w:val="fr-BE"/>
              </w:rPr>
            </w:pPr>
            <w:r w:rsidRPr="0024468B">
              <w:rPr>
                <w:noProof/>
                <w:sz w:val="16"/>
                <w:szCs w:val="16"/>
                <w:lang w:val="fr-BE"/>
              </w:rPr>
              <w:t>CO26</w:t>
            </w:r>
          </w:p>
        </w:tc>
        <w:tc>
          <w:tcPr>
            <w:tcW w:w="0" w:type="auto"/>
            <w:shd w:val="clear" w:color="auto" w:fill="auto"/>
          </w:tcPr>
          <w:p w14:paraId="019C0101" w14:textId="77777777" w:rsidR="008C5CFA" w:rsidRPr="0024468B" w:rsidRDefault="00E82A60" w:rsidP="00300A01">
            <w:pPr>
              <w:spacing w:before="0" w:after="0"/>
              <w:rPr>
                <w:sz w:val="16"/>
                <w:szCs w:val="16"/>
                <w:lang w:val="fr-BE"/>
              </w:rPr>
            </w:pPr>
            <w:r w:rsidRPr="0024468B">
              <w:rPr>
                <w:noProof/>
                <w:sz w:val="16"/>
                <w:szCs w:val="16"/>
                <w:lang w:val="fr-BE"/>
              </w:rPr>
              <w:t>Badania i innowacje: liczba przedsiębiorstw współpracujących z ośrodkami badawczymi</w:t>
            </w:r>
          </w:p>
        </w:tc>
        <w:tc>
          <w:tcPr>
            <w:tcW w:w="0" w:type="auto"/>
          </w:tcPr>
          <w:p w14:paraId="58DF3830"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067B6574"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46EFD42E"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79ABB5A9"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4B650323"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7D364189"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r w:rsidR="006B2EC1" w14:paraId="370A31F8" w14:textId="77777777" w:rsidTr="0047688D">
        <w:tc>
          <w:tcPr>
            <w:tcW w:w="0" w:type="auto"/>
          </w:tcPr>
          <w:p w14:paraId="4970FF46" w14:textId="77777777" w:rsidR="008C5CFA" w:rsidRPr="0024468B" w:rsidRDefault="00E82A60" w:rsidP="00300A01">
            <w:pPr>
              <w:spacing w:before="0" w:after="0"/>
              <w:rPr>
                <w:sz w:val="16"/>
                <w:szCs w:val="16"/>
                <w:lang w:val="fr-BE"/>
              </w:rPr>
            </w:pPr>
            <w:r>
              <w:rPr>
                <w:noProof/>
                <w:sz w:val="16"/>
                <w:szCs w:val="16"/>
                <w:lang w:val="fr-BE"/>
              </w:rPr>
              <w:t>F</w:t>
            </w:r>
          </w:p>
        </w:tc>
        <w:tc>
          <w:tcPr>
            <w:tcW w:w="0" w:type="auto"/>
            <w:shd w:val="clear" w:color="auto" w:fill="auto"/>
          </w:tcPr>
          <w:p w14:paraId="0EFE09C8" w14:textId="77777777" w:rsidR="008C5CFA" w:rsidRPr="0024468B" w:rsidRDefault="00E82A60" w:rsidP="00300A01">
            <w:pPr>
              <w:spacing w:before="0" w:after="0"/>
              <w:rPr>
                <w:sz w:val="16"/>
                <w:szCs w:val="16"/>
                <w:lang w:val="fr-BE"/>
              </w:rPr>
            </w:pPr>
            <w:r w:rsidRPr="0024468B">
              <w:rPr>
                <w:noProof/>
                <w:sz w:val="16"/>
                <w:szCs w:val="16"/>
                <w:lang w:val="fr-BE"/>
              </w:rPr>
              <w:t>CO27</w:t>
            </w:r>
          </w:p>
        </w:tc>
        <w:tc>
          <w:tcPr>
            <w:tcW w:w="0" w:type="auto"/>
            <w:shd w:val="clear" w:color="auto" w:fill="auto"/>
          </w:tcPr>
          <w:p w14:paraId="42C9FFF8" w14:textId="77777777" w:rsidR="008C5CFA" w:rsidRPr="0024468B" w:rsidRDefault="00E82A60" w:rsidP="00300A01">
            <w:pPr>
              <w:spacing w:before="0" w:after="0"/>
              <w:rPr>
                <w:sz w:val="16"/>
                <w:szCs w:val="16"/>
                <w:lang w:val="fr-BE"/>
              </w:rPr>
            </w:pPr>
            <w:r w:rsidRPr="0024468B">
              <w:rPr>
                <w:noProof/>
                <w:sz w:val="16"/>
                <w:szCs w:val="16"/>
                <w:lang w:val="fr-BE"/>
              </w:rPr>
              <w:t>Badania i innowacje: inwestycje prywatne uzupełniające wsparcie publiczne dla projektów w zakresie innowacji lub badań i rozwoju</w:t>
            </w:r>
          </w:p>
        </w:tc>
        <w:tc>
          <w:tcPr>
            <w:tcW w:w="0" w:type="auto"/>
          </w:tcPr>
          <w:p w14:paraId="5A6D9D6A"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3A3CE0EC"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4C8D8969"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6CDD6C84"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0598E8F6"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562DD326"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r w:rsidR="006B2EC1" w14:paraId="420E8E75" w14:textId="77777777" w:rsidTr="0047688D">
        <w:tc>
          <w:tcPr>
            <w:tcW w:w="0" w:type="auto"/>
          </w:tcPr>
          <w:p w14:paraId="1D2BD6C8" w14:textId="77777777" w:rsidR="008C5CFA" w:rsidRPr="0024468B" w:rsidRDefault="00E82A60" w:rsidP="00300A01">
            <w:pPr>
              <w:spacing w:before="0" w:after="0"/>
              <w:rPr>
                <w:sz w:val="16"/>
                <w:szCs w:val="16"/>
                <w:lang w:val="fr-BE"/>
              </w:rPr>
            </w:pPr>
            <w:r>
              <w:rPr>
                <w:noProof/>
                <w:sz w:val="16"/>
                <w:szCs w:val="16"/>
                <w:lang w:val="fr-BE"/>
              </w:rPr>
              <w:t>S</w:t>
            </w:r>
          </w:p>
        </w:tc>
        <w:tc>
          <w:tcPr>
            <w:tcW w:w="0" w:type="auto"/>
            <w:shd w:val="clear" w:color="auto" w:fill="auto"/>
          </w:tcPr>
          <w:p w14:paraId="35DB6869" w14:textId="77777777" w:rsidR="008C5CFA" w:rsidRPr="0024468B" w:rsidRDefault="00E82A60" w:rsidP="00300A01">
            <w:pPr>
              <w:spacing w:before="0" w:after="0"/>
              <w:rPr>
                <w:sz w:val="16"/>
                <w:szCs w:val="16"/>
                <w:lang w:val="fr-BE"/>
              </w:rPr>
            </w:pPr>
            <w:r w:rsidRPr="0024468B">
              <w:rPr>
                <w:noProof/>
                <w:sz w:val="16"/>
                <w:szCs w:val="16"/>
                <w:lang w:val="fr-BE"/>
              </w:rPr>
              <w:t>CO27</w:t>
            </w:r>
          </w:p>
        </w:tc>
        <w:tc>
          <w:tcPr>
            <w:tcW w:w="0" w:type="auto"/>
            <w:shd w:val="clear" w:color="auto" w:fill="auto"/>
          </w:tcPr>
          <w:p w14:paraId="3D414F00" w14:textId="77777777" w:rsidR="008C5CFA" w:rsidRPr="0024468B" w:rsidRDefault="00E82A60" w:rsidP="00300A01">
            <w:pPr>
              <w:spacing w:before="0" w:after="0"/>
              <w:rPr>
                <w:sz w:val="16"/>
                <w:szCs w:val="16"/>
                <w:lang w:val="fr-BE"/>
              </w:rPr>
            </w:pPr>
            <w:r w:rsidRPr="0024468B">
              <w:rPr>
                <w:noProof/>
                <w:sz w:val="16"/>
                <w:szCs w:val="16"/>
                <w:lang w:val="fr-BE"/>
              </w:rPr>
              <w:t>Badania i innowacje: inwestycje prywatne uzupełniające wsparcie publiczne dla projektów w zakresie innowacji lub badań i rozwoju</w:t>
            </w:r>
          </w:p>
        </w:tc>
        <w:tc>
          <w:tcPr>
            <w:tcW w:w="0" w:type="auto"/>
          </w:tcPr>
          <w:p w14:paraId="0D807816"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148BA99B"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4CF648F8"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1F5A2BA3"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6148C203"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3F47D6F7"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r w:rsidR="006B2EC1" w14:paraId="42E2D7A5" w14:textId="77777777" w:rsidTr="0047688D">
        <w:tc>
          <w:tcPr>
            <w:tcW w:w="0" w:type="auto"/>
          </w:tcPr>
          <w:p w14:paraId="437BF858" w14:textId="77777777" w:rsidR="008C5CFA" w:rsidRPr="0024468B" w:rsidRDefault="00E82A60" w:rsidP="00300A01">
            <w:pPr>
              <w:spacing w:before="0" w:after="0"/>
              <w:rPr>
                <w:sz w:val="16"/>
                <w:szCs w:val="16"/>
                <w:lang w:val="fr-BE"/>
              </w:rPr>
            </w:pPr>
            <w:r>
              <w:rPr>
                <w:noProof/>
                <w:sz w:val="16"/>
                <w:szCs w:val="16"/>
                <w:lang w:val="fr-BE"/>
              </w:rPr>
              <w:t>F</w:t>
            </w:r>
          </w:p>
        </w:tc>
        <w:tc>
          <w:tcPr>
            <w:tcW w:w="0" w:type="auto"/>
            <w:shd w:val="clear" w:color="auto" w:fill="auto"/>
          </w:tcPr>
          <w:p w14:paraId="05F319A5" w14:textId="77777777" w:rsidR="008C5CFA" w:rsidRPr="0024468B" w:rsidRDefault="00E82A60" w:rsidP="00300A01">
            <w:pPr>
              <w:spacing w:before="0" w:after="0"/>
              <w:rPr>
                <w:sz w:val="16"/>
                <w:szCs w:val="16"/>
                <w:lang w:val="fr-BE"/>
              </w:rPr>
            </w:pPr>
            <w:r>
              <w:rPr>
                <w:noProof/>
                <w:sz w:val="16"/>
                <w:szCs w:val="16"/>
                <w:lang w:val="fr-BE"/>
              </w:rPr>
              <w:t>025</w:t>
            </w:r>
          </w:p>
        </w:tc>
        <w:tc>
          <w:tcPr>
            <w:tcW w:w="0" w:type="auto"/>
            <w:shd w:val="clear" w:color="auto" w:fill="auto"/>
          </w:tcPr>
          <w:p w14:paraId="5A2B81F7" w14:textId="77777777" w:rsidR="008C5CFA" w:rsidRPr="0024468B" w:rsidRDefault="00E82A60" w:rsidP="00300A01">
            <w:pPr>
              <w:spacing w:before="0" w:after="0"/>
              <w:rPr>
                <w:sz w:val="16"/>
                <w:szCs w:val="16"/>
                <w:lang w:val="fr-BE"/>
              </w:rPr>
            </w:pPr>
            <w:r>
              <w:rPr>
                <w:noProof/>
                <w:sz w:val="16"/>
                <w:szCs w:val="16"/>
                <w:lang w:val="fr-BE"/>
              </w:rPr>
              <w:t>Liczba jednostek naukowych ponoszących nakłady inwestycyjne na działalność B+R</w:t>
            </w:r>
          </w:p>
        </w:tc>
        <w:tc>
          <w:tcPr>
            <w:tcW w:w="0" w:type="auto"/>
          </w:tcPr>
          <w:p w14:paraId="5225D551"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1075768B"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05517E7A"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226DC8D7"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68BEB49F"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772433C4"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r w:rsidR="006B2EC1" w14:paraId="4B9CEE6E" w14:textId="77777777" w:rsidTr="0047688D">
        <w:tc>
          <w:tcPr>
            <w:tcW w:w="0" w:type="auto"/>
          </w:tcPr>
          <w:p w14:paraId="1377AF15" w14:textId="77777777" w:rsidR="008C5CFA" w:rsidRPr="0024468B" w:rsidRDefault="00E82A60" w:rsidP="00300A01">
            <w:pPr>
              <w:spacing w:before="0" w:after="0"/>
              <w:rPr>
                <w:sz w:val="16"/>
                <w:szCs w:val="16"/>
                <w:lang w:val="fr-BE"/>
              </w:rPr>
            </w:pPr>
            <w:r>
              <w:rPr>
                <w:noProof/>
                <w:sz w:val="16"/>
                <w:szCs w:val="16"/>
                <w:lang w:val="fr-BE"/>
              </w:rPr>
              <w:t>S</w:t>
            </w:r>
          </w:p>
        </w:tc>
        <w:tc>
          <w:tcPr>
            <w:tcW w:w="0" w:type="auto"/>
            <w:shd w:val="clear" w:color="auto" w:fill="auto"/>
          </w:tcPr>
          <w:p w14:paraId="71847FCF" w14:textId="77777777" w:rsidR="008C5CFA" w:rsidRPr="0024468B" w:rsidRDefault="00E82A60" w:rsidP="00300A01">
            <w:pPr>
              <w:spacing w:before="0" w:after="0"/>
              <w:rPr>
                <w:sz w:val="16"/>
                <w:szCs w:val="16"/>
                <w:lang w:val="fr-BE"/>
              </w:rPr>
            </w:pPr>
            <w:r>
              <w:rPr>
                <w:noProof/>
                <w:sz w:val="16"/>
                <w:szCs w:val="16"/>
                <w:lang w:val="fr-BE"/>
              </w:rPr>
              <w:t>025</w:t>
            </w:r>
          </w:p>
        </w:tc>
        <w:tc>
          <w:tcPr>
            <w:tcW w:w="0" w:type="auto"/>
            <w:shd w:val="clear" w:color="auto" w:fill="auto"/>
          </w:tcPr>
          <w:p w14:paraId="03281779" w14:textId="77777777" w:rsidR="008C5CFA" w:rsidRPr="0024468B" w:rsidRDefault="00E82A60" w:rsidP="00300A01">
            <w:pPr>
              <w:spacing w:before="0" w:after="0"/>
              <w:rPr>
                <w:sz w:val="16"/>
                <w:szCs w:val="16"/>
                <w:lang w:val="fr-BE"/>
              </w:rPr>
            </w:pPr>
            <w:r>
              <w:rPr>
                <w:noProof/>
                <w:sz w:val="16"/>
                <w:szCs w:val="16"/>
                <w:lang w:val="fr-BE"/>
              </w:rPr>
              <w:t>Liczba jednostek naukowych ponoszących nakłady inwestycyjne na działalność B+R</w:t>
            </w:r>
          </w:p>
        </w:tc>
        <w:tc>
          <w:tcPr>
            <w:tcW w:w="0" w:type="auto"/>
          </w:tcPr>
          <w:p w14:paraId="34192665"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43E2B554"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6B5330AE"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717F62E4"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3F01C362"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41B15880"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bl>
    <w:p w14:paraId="5E73DA2F" w14:textId="77777777" w:rsidR="008C5CFA" w:rsidRDefault="008C5CFA" w:rsidP="00300A01">
      <w:pPr>
        <w:spacing w:before="0" w:after="0"/>
        <w:rPr>
          <w:lang w:val="fr-BE"/>
        </w:rPr>
      </w:pPr>
    </w:p>
    <w:p w14:paraId="1D863051" w14:textId="77777777" w:rsidR="008C5CFA" w:rsidRDefault="008C5CFA" w:rsidP="00300A01">
      <w:pPr>
        <w:spacing w:before="0" w:after="0"/>
        <w:rPr>
          <w:lang w:val="fr-BE"/>
        </w:rPr>
      </w:pPr>
    </w:p>
    <w:p w14:paraId="3FF854D7" w14:textId="77777777" w:rsidR="008C5CFA" w:rsidRDefault="00E82A60" w:rsidP="00300A01">
      <w:pPr>
        <w:spacing w:before="0" w:after="0"/>
        <w:rPr>
          <w:lang w:val="fr-BE"/>
        </w:rPr>
      </w:pPr>
      <w:r>
        <w:rPr>
          <w:lang w:val="fr-BE"/>
        </w:rPr>
        <w:br w:type="page"/>
      </w:r>
    </w:p>
    <w:p w14:paraId="34DB8589"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6"/>
        <w:gridCol w:w="13338"/>
      </w:tblGrid>
      <w:tr w:rsidR="006B2EC1" w14:paraId="07C99CED" w14:textId="77777777" w:rsidTr="0047688D">
        <w:tc>
          <w:tcPr>
            <w:tcW w:w="0" w:type="auto"/>
            <w:shd w:val="clear" w:color="auto" w:fill="auto"/>
          </w:tcPr>
          <w:p w14:paraId="649EB2E8" w14:textId="77777777" w:rsidR="008C5CFA" w:rsidRPr="002124FC" w:rsidRDefault="00E82A60" w:rsidP="00300A01">
            <w:pPr>
              <w:spacing w:before="0" w:after="0"/>
              <w:rPr>
                <w:sz w:val="20"/>
                <w:szCs w:val="20"/>
                <w:lang w:val="fr-BE"/>
              </w:rPr>
            </w:pPr>
            <w:r>
              <w:rPr>
                <w:lang w:val="fr-BE"/>
              </w:rPr>
              <w:br w:type="page"/>
            </w:r>
            <w:r>
              <w:rPr>
                <w:lang w:val="fr-BE"/>
              </w:rPr>
              <w:br w:type="page"/>
            </w:r>
            <w:r>
              <w:rPr>
                <w:lang w:val="fr-BE"/>
              </w:rPr>
              <w:br w:type="page"/>
            </w:r>
            <w:r w:rsidRPr="002124FC">
              <w:rPr>
                <w:noProof/>
                <w:sz w:val="20"/>
                <w:szCs w:val="20"/>
                <w:lang w:val="fr-BE"/>
              </w:rPr>
              <w:t>Oś priorytetowa</w:t>
            </w:r>
          </w:p>
        </w:tc>
        <w:tc>
          <w:tcPr>
            <w:tcW w:w="0" w:type="auto"/>
            <w:shd w:val="clear" w:color="auto" w:fill="auto"/>
          </w:tcPr>
          <w:p w14:paraId="37425BD4" w14:textId="77777777" w:rsidR="008C5CFA" w:rsidRPr="002124FC" w:rsidRDefault="00E82A60" w:rsidP="00300A01">
            <w:pPr>
              <w:spacing w:before="0" w:after="0"/>
              <w:rPr>
                <w:sz w:val="20"/>
                <w:szCs w:val="20"/>
                <w:lang w:val="fr-BE"/>
              </w:rPr>
            </w:pPr>
            <w:r>
              <w:rPr>
                <w:noProof/>
                <w:sz w:val="20"/>
                <w:szCs w:val="20"/>
                <w:lang w:val="fr-BE"/>
              </w:rPr>
              <w:t>1</w:t>
            </w:r>
            <w:r w:rsidRPr="002124FC">
              <w:rPr>
                <w:sz w:val="20"/>
                <w:szCs w:val="20"/>
                <w:lang w:val="fr-BE"/>
              </w:rPr>
              <w:t xml:space="preserve"> - </w:t>
            </w:r>
            <w:r>
              <w:rPr>
                <w:noProof/>
                <w:sz w:val="20"/>
                <w:szCs w:val="20"/>
                <w:lang w:val="fr-BE"/>
              </w:rPr>
              <w:t>Innowacje i nauka</w:t>
            </w:r>
          </w:p>
        </w:tc>
      </w:tr>
      <w:tr w:rsidR="006B2EC1" w14:paraId="3312EB0E" w14:textId="77777777" w:rsidTr="0047688D">
        <w:tc>
          <w:tcPr>
            <w:tcW w:w="0" w:type="auto"/>
            <w:shd w:val="clear" w:color="auto" w:fill="auto"/>
          </w:tcPr>
          <w:p w14:paraId="5C95D975" w14:textId="77777777" w:rsidR="008C5CFA" w:rsidRPr="002124FC" w:rsidRDefault="00E82A60"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14:paraId="7BC44188" w14:textId="77777777" w:rsidR="008C5CFA" w:rsidRPr="002124FC" w:rsidRDefault="00E82A60" w:rsidP="00300A01">
            <w:pPr>
              <w:spacing w:before="0" w:after="0"/>
              <w:rPr>
                <w:sz w:val="20"/>
                <w:szCs w:val="20"/>
                <w:lang w:val="fr-BE"/>
              </w:rPr>
            </w:pPr>
            <w:r w:rsidRPr="002124FC">
              <w:rPr>
                <w:noProof/>
                <w:sz w:val="20"/>
                <w:szCs w:val="20"/>
                <w:lang w:val="fr-BE"/>
              </w:rPr>
              <w:t>1a</w:t>
            </w:r>
            <w:r w:rsidRPr="002124FC">
              <w:rPr>
                <w:sz w:val="20"/>
                <w:szCs w:val="20"/>
                <w:lang w:val="fr-BE"/>
              </w:rPr>
              <w:t xml:space="preserve"> - </w:t>
            </w:r>
            <w:r>
              <w:rPr>
                <w:noProof/>
                <w:sz w:val="20"/>
                <w:szCs w:val="20"/>
                <w:lang w:val="fr-BE"/>
              </w:rPr>
              <w:t>Udoskonalanie infrastruktury badań i innowacji i zwiększanie zdolności do osiągania doskonałości w zakresie badań i innowacji oraz wspieranie ośrodków kompetencji, w szczególności tych, które leżą w interesie Europy</w:t>
            </w:r>
          </w:p>
        </w:tc>
      </w:tr>
      <w:tr w:rsidR="006B2EC1" w14:paraId="56C923A8" w14:textId="77777777" w:rsidTr="0047688D">
        <w:tc>
          <w:tcPr>
            <w:tcW w:w="0" w:type="auto"/>
            <w:shd w:val="clear" w:color="auto" w:fill="auto"/>
          </w:tcPr>
          <w:p w14:paraId="77D03A3F" w14:textId="77777777" w:rsidR="008C5CFA" w:rsidRPr="002124FC" w:rsidRDefault="00E82A60" w:rsidP="00300A01">
            <w:pPr>
              <w:spacing w:before="0" w:after="0"/>
              <w:ind w:left="113" w:hanging="113"/>
              <w:rPr>
                <w:sz w:val="20"/>
                <w:szCs w:val="20"/>
                <w:lang w:val="fr-BE"/>
              </w:rPr>
            </w:pPr>
            <w:r>
              <w:rPr>
                <w:noProof/>
                <w:sz w:val="20"/>
                <w:szCs w:val="20"/>
                <w:lang w:val="fr-BE"/>
              </w:rPr>
              <w:t>Cel szczegółowy</w:t>
            </w:r>
          </w:p>
        </w:tc>
        <w:tc>
          <w:tcPr>
            <w:tcW w:w="0" w:type="auto"/>
            <w:shd w:val="clear" w:color="auto" w:fill="auto"/>
          </w:tcPr>
          <w:p w14:paraId="0A576BA4" w14:textId="77777777" w:rsidR="008C5CFA" w:rsidRPr="002124FC" w:rsidRDefault="00E82A60" w:rsidP="00300A01">
            <w:pPr>
              <w:spacing w:before="0" w:after="0"/>
              <w:rPr>
                <w:sz w:val="20"/>
                <w:szCs w:val="20"/>
                <w:lang w:val="fr-BE"/>
              </w:rPr>
            </w:pPr>
            <w:r>
              <w:rPr>
                <w:noProof/>
                <w:sz w:val="20"/>
                <w:szCs w:val="20"/>
                <w:lang w:val="fr-BE"/>
              </w:rPr>
              <w:t>1</w:t>
            </w:r>
            <w:r>
              <w:rPr>
                <w:sz w:val="20"/>
                <w:szCs w:val="20"/>
                <w:lang w:val="fr-BE"/>
              </w:rPr>
              <w:t xml:space="preserve"> - </w:t>
            </w:r>
            <w:r>
              <w:rPr>
                <w:noProof/>
                <w:sz w:val="20"/>
                <w:szCs w:val="20"/>
                <w:lang w:val="fr-BE"/>
              </w:rPr>
              <w:t>Zwiększone urynkowienie działalności badawczo-rozwojowej.</w:t>
            </w:r>
          </w:p>
        </w:tc>
      </w:tr>
    </w:tbl>
    <w:p w14:paraId="7D69BCE5" w14:textId="77777777" w:rsidR="008C5CFA" w:rsidRDefault="008C5CFA" w:rsidP="00300A01">
      <w:pPr>
        <w:spacing w:before="0" w:after="0"/>
        <w:rPr>
          <w:lang w:val="fr-BE"/>
        </w:rPr>
      </w:pPr>
    </w:p>
    <w:p w14:paraId="5C80875D" w14:textId="77777777" w:rsidR="008C5CFA" w:rsidRDefault="00E82A60" w:rsidP="00300A01">
      <w:pPr>
        <w:spacing w:before="0" w:after="0"/>
        <w:rPr>
          <w:lang w:val="fr-BE"/>
        </w:rPr>
      </w:pPr>
      <w:r>
        <w:rPr>
          <w:lang w:val="fr-BE"/>
        </w:rPr>
        <w:t xml:space="preserve">Tabela 1: Wskaźniki rezultatu dla EFRR i Funduszu Spójności (według osi priorytetowej i celu szczegółowego); ma zastosowanie także do osi priorytetowej </w:t>
      </w:r>
      <w:r>
        <w:t>"</w:t>
      </w:r>
      <w:r>
        <w:rPr>
          <w:lang w:val="fr-BE"/>
        </w:rPr>
        <w:t>Pomoc techniczna</w:t>
      </w:r>
      <w:r>
        <w:t>"</w:t>
      </w:r>
    </w:p>
    <w:p w14:paraId="49D5E376"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
        <w:gridCol w:w="3308"/>
        <w:gridCol w:w="1085"/>
        <w:gridCol w:w="1169"/>
        <w:gridCol w:w="1052"/>
        <w:gridCol w:w="890"/>
        <w:gridCol w:w="1364"/>
        <w:gridCol w:w="938"/>
        <w:gridCol w:w="1160"/>
        <w:gridCol w:w="3761"/>
      </w:tblGrid>
      <w:tr w:rsidR="006B2EC1" w14:paraId="177ED34C" w14:textId="77777777" w:rsidTr="0047688D">
        <w:tc>
          <w:tcPr>
            <w:tcW w:w="0" w:type="auto"/>
            <w:shd w:val="clear" w:color="auto" w:fill="auto"/>
          </w:tcPr>
          <w:p w14:paraId="2D83F631" w14:textId="77777777" w:rsidR="008C5CFA" w:rsidRPr="0024468B" w:rsidRDefault="00E82A60" w:rsidP="00300A01">
            <w:pPr>
              <w:spacing w:before="0" w:after="0"/>
              <w:rPr>
                <w:sz w:val="16"/>
                <w:szCs w:val="16"/>
                <w:lang w:val="fr-BE"/>
              </w:rPr>
            </w:pPr>
            <w:r w:rsidRPr="0024468B">
              <w:rPr>
                <w:noProof/>
                <w:sz w:val="16"/>
                <w:szCs w:val="16"/>
                <w:lang w:val="fr-BE"/>
              </w:rPr>
              <w:t>ID</w:t>
            </w:r>
          </w:p>
        </w:tc>
        <w:tc>
          <w:tcPr>
            <w:tcW w:w="0" w:type="auto"/>
            <w:shd w:val="clear" w:color="auto" w:fill="auto"/>
          </w:tcPr>
          <w:p w14:paraId="3A8884DA" w14:textId="77777777" w:rsidR="008C5CFA" w:rsidRPr="0024468B" w:rsidRDefault="00E82A60" w:rsidP="00300A01">
            <w:pPr>
              <w:spacing w:before="0" w:after="0"/>
              <w:rPr>
                <w:sz w:val="16"/>
                <w:szCs w:val="16"/>
                <w:lang w:val="fr-BE"/>
              </w:rPr>
            </w:pPr>
            <w:r w:rsidRPr="0024468B">
              <w:rPr>
                <w:noProof/>
                <w:sz w:val="16"/>
                <w:szCs w:val="16"/>
                <w:lang w:val="fr-BE"/>
              </w:rPr>
              <w:t>Wskaźnik</w:t>
            </w:r>
          </w:p>
        </w:tc>
        <w:tc>
          <w:tcPr>
            <w:tcW w:w="0" w:type="auto"/>
            <w:shd w:val="clear" w:color="auto" w:fill="auto"/>
          </w:tcPr>
          <w:p w14:paraId="225D6AE0" w14:textId="77777777" w:rsidR="008C5CFA" w:rsidRPr="0024468B" w:rsidRDefault="00E82A60" w:rsidP="00300A01">
            <w:pPr>
              <w:spacing w:before="0" w:after="0"/>
              <w:rPr>
                <w:sz w:val="16"/>
                <w:szCs w:val="16"/>
                <w:lang w:val="fr-BE"/>
              </w:rPr>
            </w:pPr>
            <w:r w:rsidRPr="0024468B">
              <w:rPr>
                <w:noProof/>
                <w:sz w:val="16"/>
                <w:szCs w:val="16"/>
                <w:lang w:val="fr-BE"/>
              </w:rPr>
              <w:t>Jednostka miary</w:t>
            </w:r>
          </w:p>
        </w:tc>
        <w:tc>
          <w:tcPr>
            <w:tcW w:w="0" w:type="auto"/>
            <w:shd w:val="clear" w:color="auto" w:fill="auto"/>
          </w:tcPr>
          <w:p w14:paraId="74D9D862" w14:textId="77777777" w:rsidR="008C5CFA" w:rsidRPr="0024468B" w:rsidRDefault="00E82A60" w:rsidP="00300A01">
            <w:pPr>
              <w:spacing w:before="0" w:after="0"/>
              <w:rPr>
                <w:sz w:val="16"/>
                <w:szCs w:val="16"/>
                <w:lang w:val="fr-BE"/>
              </w:rPr>
            </w:pPr>
            <w:r w:rsidRPr="0024468B">
              <w:rPr>
                <w:noProof/>
                <w:sz w:val="16"/>
                <w:szCs w:val="16"/>
                <w:lang w:val="fr-BE"/>
              </w:rPr>
              <w:t>Kategoria regionu</w:t>
            </w:r>
          </w:p>
        </w:tc>
        <w:tc>
          <w:tcPr>
            <w:tcW w:w="0" w:type="auto"/>
            <w:shd w:val="clear" w:color="auto" w:fill="auto"/>
          </w:tcPr>
          <w:p w14:paraId="644F0C9A" w14:textId="77777777" w:rsidR="008C5CFA" w:rsidRPr="0024468B" w:rsidRDefault="00E82A60" w:rsidP="00300A01">
            <w:pPr>
              <w:spacing w:before="0" w:after="0"/>
              <w:rPr>
                <w:sz w:val="16"/>
                <w:szCs w:val="16"/>
                <w:lang w:val="fr-BE"/>
              </w:rPr>
            </w:pPr>
            <w:r w:rsidRPr="0024468B">
              <w:rPr>
                <w:noProof/>
                <w:sz w:val="16"/>
                <w:szCs w:val="16"/>
                <w:lang w:val="fr-BE"/>
              </w:rPr>
              <w:t>Wartość bazowa</w:t>
            </w:r>
          </w:p>
        </w:tc>
        <w:tc>
          <w:tcPr>
            <w:tcW w:w="0" w:type="auto"/>
            <w:shd w:val="clear" w:color="auto" w:fill="auto"/>
          </w:tcPr>
          <w:p w14:paraId="47A36A74" w14:textId="77777777" w:rsidR="008C5CFA" w:rsidRPr="0024468B" w:rsidRDefault="00E82A60" w:rsidP="00300A01">
            <w:pPr>
              <w:spacing w:before="0" w:after="0"/>
              <w:rPr>
                <w:sz w:val="16"/>
                <w:szCs w:val="16"/>
                <w:lang w:val="fr-BE"/>
              </w:rPr>
            </w:pPr>
            <w:r w:rsidRPr="0024468B">
              <w:rPr>
                <w:noProof/>
                <w:sz w:val="16"/>
                <w:szCs w:val="16"/>
                <w:lang w:val="fr-BE"/>
              </w:rPr>
              <w:t>Rok bazowy</w:t>
            </w:r>
          </w:p>
        </w:tc>
        <w:tc>
          <w:tcPr>
            <w:tcW w:w="0" w:type="auto"/>
            <w:shd w:val="clear" w:color="auto" w:fill="auto"/>
          </w:tcPr>
          <w:p w14:paraId="6337BD4E" w14:textId="77777777" w:rsidR="008C5CFA" w:rsidRPr="0024468B" w:rsidRDefault="00E82A60" w:rsidP="00300A01">
            <w:pPr>
              <w:spacing w:before="0" w:after="0"/>
              <w:rPr>
                <w:sz w:val="16"/>
                <w:szCs w:val="16"/>
                <w:lang w:val="fr-BE"/>
              </w:rPr>
            </w:pPr>
            <w:r w:rsidRPr="0024468B">
              <w:rPr>
                <w:noProof/>
                <w:sz w:val="16"/>
                <w:szCs w:val="16"/>
                <w:lang w:val="fr-BE"/>
              </w:rPr>
              <w:t>Wartość docelowa 2023</w:t>
            </w:r>
          </w:p>
        </w:tc>
        <w:tc>
          <w:tcPr>
            <w:tcW w:w="0" w:type="auto"/>
            <w:shd w:val="clear" w:color="auto" w:fill="auto"/>
          </w:tcPr>
          <w:p w14:paraId="6C663904" w14:textId="77777777" w:rsidR="008C5CFA" w:rsidRPr="0024468B" w:rsidRDefault="00E82A60" w:rsidP="00300A01">
            <w:pPr>
              <w:spacing w:before="0" w:after="0"/>
              <w:jc w:val="center"/>
              <w:rPr>
                <w:sz w:val="16"/>
                <w:szCs w:val="16"/>
                <w:lang w:val="fr-BE"/>
              </w:rPr>
            </w:pPr>
            <w:r>
              <w:rPr>
                <w:sz w:val="16"/>
                <w:szCs w:val="16"/>
                <w:lang w:val="fr-BE"/>
              </w:rPr>
              <w:t xml:space="preserve">2019 </w:t>
            </w:r>
            <w:r>
              <w:rPr>
                <w:noProof/>
                <w:sz w:val="16"/>
                <w:szCs w:val="16"/>
                <w:lang w:val="fr-BE"/>
              </w:rPr>
              <w:t>Ogółem</w:t>
            </w:r>
          </w:p>
        </w:tc>
        <w:tc>
          <w:tcPr>
            <w:tcW w:w="0" w:type="auto"/>
            <w:shd w:val="clear" w:color="auto" w:fill="auto"/>
          </w:tcPr>
          <w:p w14:paraId="28A64CEF" w14:textId="77777777" w:rsidR="008C5CFA" w:rsidRPr="0024468B" w:rsidRDefault="00E82A60" w:rsidP="00300A01">
            <w:pPr>
              <w:spacing w:before="0" w:after="0"/>
              <w:jc w:val="center"/>
              <w:rPr>
                <w:sz w:val="16"/>
                <w:szCs w:val="16"/>
                <w:lang w:val="fr-BE"/>
              </w:rPr>
            </w:pPr>
            <w:r>
              <w:rPr>
                <w:sz w:val="16"/>
                <w:szCs w:val="16"/>
                <w:lang w:val="fr-BE"/>
              </w:rPr>
              <w:t xml:space="preserve">2019 </w:t>
            </w:r>
            <w:r w:rsidRPr="0024468B">
              <w:rPr>
                <w:noProof/>
                <w:sz w:val="16"/>
                <w:szCs w:val="16"/>
                <w:lang w:val="fr-BE"/>
              </w:rPr>
              <w:t>Jakościowe</w:t>
            </w:r>
          </w:p>
        </w:tc>
        <w:tc>
          <w:tcPr>
            <w:tcW w:w="0" w:type="auto"/>
            <w:shd w:val="clear" w:color="auto" w:fill="auto"/>
          </w:tcPr>
          <w:p w14:paraId="0EE237AE" w14:textId="77777777" w:rsidR="008C5CFA" w:rsidRPr="0024468B" w:rsidRDefault="00E82A60" w:rsidP="00300A01">
            <w:pPr>
              <w:spacing w:before="0" w:after="0"/>
              <w:jc w:val="center"/>
              <w:rPr>
                <w:sz w:val="16"/>
                <w:szCs w:val="16"/>
                <w:lang w:val="fr-BE"/>
              </w:rPr>
            </w:pPr>
            <w:r w:rsidRPr="0024468B">
              <w:rPr>
                <w:noProof/>
                <w:sz w:val="16"/>
                <w:szCs w:val="16"/>
                <w:lang w:val="fr-BE"/>
              </w:rPr>
              <w:t>Uwagi</w:t>
            </w:r>
          </w:p>
        </w:tc>
      </w:tr>
      <w:tr w:rsidR="006B2EC1" w14:paraId="3BDD619F" w14:textId="77777777" w:rsidTr="0047688D">
        <w:tc>
          <w:tcPr>
            <w:tcW w:w="0" w:type="auto"/>
            <w:shd w:val="clear" w:color="auto" w:fill="auto"/>
          </w:tcPr>
          <w:p w14:paraId="777CD037" w14:textId="77777777" w:rsidR="008C5CFA" w:rsidRPr="0024468B" w:rsidRDefault="00E82A60" w:rsidP="00300A01">
            <w:pPr>
              <w:spacing w:before="0" w:after="0"/>
              <w:rPr>
                <w:sz w:val="16"/>
                <w:szCs w:val="16"/>
                <w:lang w:val="fr-BE"/>
              </w:rPr>
            </w:pPr>
            <w:r w:rsidRPr="0024468B">
              <w:rPr>
                <w:noProof/>
                <w:sz w:val="16"/>
                <w:szCs w:val="16"/>
                <w:lang w:val="fr-BE"/>
              </w:rPr>
              <w:t>1</w:t>
            </w:r>
          </w:p>
        </w:tc>
        <w:tc>
          <w:tcPr>
            <w:tcW w:w="0" w:type="auto"/>
            <w:shd w:val="clear" w:color="auto" w:fill="auto"/>
          </w:tcPr>
          <w:p w14:paraId="0A4CC45F" w14:textId="77777777" w:rsidR="008C5CFA" w:rsidRPr="0024468B" w:rsidRDefault="00E82A60" w:rsidP="00300A01">
            <w:pPr>
              <w:spacing w:before="0" w:after="0"/>
              <w:rPr>
                <w:sz w:val="16"/>
                <w:szCs w:val="16"/>
                <w:lang w:val="fr-BE"/>
              </w:rPr>
            </w:pPr>
            <w:r w:rsidRPr="0024468B">
              <w:rPr>
                <w:noProof/>
                <w:sz w:val="16"/>
                <w:szCs w:val="16"/>
                <w:lang w:val="fr-BE"/>
              </w:rPr>
              <w:t>Nakłady na działalność B+R w relacji do PKB</w:t>
            </w:r>
          </w:p>
        </w:tc>
        <w:tc>
          <w:tcPr>
            <w:tcW w:w="0" w:type="auto"/>
            <w:shd w:val="clear" w:color="auto" w:fill="auto"/>
          </w:tcPr>
          <w:p w14:paraId="3E1623B0" w14:textId="77777777" w:rsidR="008C5CFA" w:rsidRPr="0024468B" w:rsidRDefault="00E82A60" w:rsidP="00300A01">
            <w:pPr>
              <w:spacing w:before="0" w:after="0"/>
              <w:rPr>
                <w:sz w:val="16"/>
                <w:szCs w:val="16"/>
                <w:lang w:val="fr-BE"/>
              </w:rPr>
            </w:pPr>
            <w:r w:rsidRPr="0024468B">
              <w:rPr>
                <w:noProof/>
                <w:sz w:val="16"/>
                <w:szCs w:val="16"/>
                <w:lang w:val="fr-BE"/>
              </w:rPr>
              <w:t>%</w:t>
            </w:r>
          </w:p>
        </w:tc>
        <w:tc>
          <w:tcPr>
            <w:tcW w:w="0" w:type="auto"/>
            <w:shd w:val="clear" w:color="auto" w:fill="auto"/>
          </w:tcPr>
          <w:p w14:paraId="7263F319" w14:textId="77777777" w:rsidR="008C5CFA" w:rsidRPr="0024468B" w:rsidRDefault="00E82A60"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14:paraId="7F71EFF4" w14:textId="77777777" w:rsidR="008C5CFA" w:rsidRPr="00C3185A" w:rsidRDefault="00E82A60" w:rsidP="00300A01">
            <w:pPr>
              <w:spacing w:before="0" w:after="0"/>
              <w:jc w:val="right"/>
              <w:rPr>
                <w:sz w:val="16"/>
                <w:szCs w:val="16"/>
                <w:lang w:val="fr-BE"/>
              </w:rPr>
            </w:pPr>
            <w:r w:rsidRPr="00C3185A">
              <w:rPr>
                <w:noProof/>
                <w:sz w:val="16"/>
                <w:szCs w:val="16"/>
                <w:lang w:val="fr-BE"/>
              </w:rPr>
              <w:t>0,36</w:t>
            </w:r>
          </w:p>
        </w:tc>
        <w:tc>
          <w:tcPr>
            <w:tcW w:w="0" w:type="auto"/>
            <w:shd w:val="clear" w:color="auto" w:fill="auto"/>
          </w:tcPr>
          <w:p w14:paraId="510F56CE" w14:textId="77777777" w:rsidR="008C5CFA" w:rsidRPr="0024468B" w:rsidRDefault="00E82A60" w:rsidP="00300A01">
            <w:pPr>
              <w:spacing w:before="0" w:after="0"/>
              <w:rPr>
                <w:sz w:val="16"/>
                <w:szCs w:val="16"/>
                <w:lang w:val="fr-BE"/>
              </w:rPr>
            </w:pPr>
            <w:r w:rsidRPr="0024468B">
              <w:rPr>
                <w:noProof/>
                <w:sz w:val="16"/>
                <w:szCs w:val="16"/>
                <w:lang w:val="fr-BE"/>
              </w:rPr>
              <w:t>2011</w:t>
            </w:r>
          </w:p>
        </w:tc>
        <w:tc>
          <w:tcPr>
            <w:tcW w:w="0" w:type="auto"/>
            <w:shd w:val="clear" w:color="auto" w:fill="auto"/>
          </w:tcPr>
          <w:p w14:paraId="5481FDB8" w14:textId="77777777" w:rsidR="008C5CFA" w:rsidRPr="0024468B" w:rsidRDefault="00E82A60" w:rsidP="00300A01">
            <w:pPr>
              <w:spacing w:before="0" w:after="0"/>
              <w:jc w:val="right"/>
              <w:rPr>
                <w:sz w:val="16"/>
                <w:szCs w:val="16"/>
                <w:lang w:val="fr-BE"/>
              </w:rPr>
            </w:pPr>
            <w:r w:rsidRPr="0024468B">
              <w:rPr>
                <w:noProof/>
                <w:sz w:val="16"/>
                <w:szCs w:val="16"/>
                <w:lang w:val="fr-BE"/>
              </w:rPr>
              <w:t>0,47</w:t>
            </w:r>
          </w:p>
        </w:tc>
        <w:tc>
          <w:tcPr>
            <w:tcW w:w="0" w:type="auto"/>
            <w:shd w:val="clear" w:color="auto" w:fill="auto"/>
          </w:tcPr>
          <w:p w14:paraId="19EF505E"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0CEAD56E" w14:textId="77777777" w:rsidR="008C5CFA" w:rsidRPr="0024468B" w:rsidRDefault="008C5CFA" w:rsidP="00300A01">
            <w:pPr>
              <w:spacing w:before="0" w:after="0"/>
              <w:jc w:val="right"/>
              <w:rPr>
                <w:sz w:val="16"/>
                <w:szCs w:val="16"/>
                <w:lang w:val="fr-BE"/>
              </w:rPr>
            </w:pPr>
          </w:p>
        </w:tc>
        <w:tc>
          <w:tcPr>
            <w:tcW w:w="0" w:type="auto"/>
            <w:shd w:val="clear" w:color="auto" w:fill="auto"/>
          </w:tcPr>
          <w:p w14:paraId="280AA80A" w14:textId="77777777" w:rsidR="008C5CFA" w:rsidRPr="0024468B" w:rsidRDefault="00E82A60" w:rsidP="00300A01">
            <w:pPr>
              <w:spacing w:before="0" w:after="0"/>
              <w:rPr>
                <w:sz w:val="16"/>
                <w:szCs w:val="16"/>
                <w:lang w:val="fr-BE"/>
              </w:rPr>
            </w:pPr>
            <w:r w:rsidRPr="0024468B">
              <w:rPr>
                <w:noProof/>
                <w:sz w:val="16"/>
                <w:szCs w:val="16"/>
                <w:lang w:val="fr-BE"/>
              </w:rPr>
              <w:t>Brak aktualnych danych dostępnych w statystykach publicznych (systemie STRATEG)</w:t>
            </w:r>
          </w:p>
        </w:tc>
      </w:tr>
      <w:tr w:rsidR="006B2EC1" w14:paraId="6F9037A0" w14:textId="77777777" w:rsidTr="0047688D">
        <w:tc>
          <w:tcPr>
            <w:tcW w:w="0" w:type="auto"/>
            <w:shd w:val="clear" w:color="auto" w:fill="auto"/>
          </w:tcPr>
          <w:p w14:paraId="36F6F05F" w14:textId="77777777" w:rsidR="008C5CFA" w:rsidRPr="0024468B" w:rsidRDefault="00E82A60" w:rsidP="00300A01">
            <w:pPr>
              <w:spacing w:before="0" w:after="0"/>
              <w:rPr>
                <w:sz w:val="16"/>
                <w:szCs w:val="16"/>
                <w:lang w:val="fr-BE"/>
              </w:rPr>
            </w:pPr>
            <w:r w:rsidRPr="0024468B">
              <w:rPr>
                <w:noProof/>
                <w:sz w:val="16"/>
                <w:szCs w:val="16"/>
                <w:lang w:val="fr-BE"/>
              </w:rPr>
              <w:t>147</w:t>
            </w:r>
          </w:p>
        </w:tc>
        <w:tc>
          <w:tcPr>
            <w:tcW w:w="0" w:type="auto"/>
            <w:shd w:val="clear" w:color="auto" w:fill="auto"/>
          </w:tcPr>
          <w:p w14:paraId="3A703DA9" w14:textId="77777777" w:rsidR="008C5CFA" w:rsidRPr="0024468B" w:rsidRDefault="00E82A60" w:rsidP="00300A01">
            <w:pPr>
              <w:spacing w:before="0" w:after="0"/>
              <w:rPr>
                <w:sz w:val="16"/>
                <w:szCs w:val="16"/>
                <w:lang w:val="fr-BE"/>
              </w:rPr>
            </w:pPr>
            <w:r w:rsidRPr="0024468B">
              <w:rPr>
                <w:noProof/>
                <w:sz w:val="16"/>
                <w:szCs w:val="16"/>
                <w:lang w:val="fr-BE"/>
              </w:rPr>
              <w:t>Odsetek wartości aparatury naukowo-badawczej w relacji do Polski ogółem</w:t>
            </w:r>
          </w:p>
        </w:tc>
        <w:tc>
          <w:tcPr>
            <w:tcW w:w="0" w:type="auto"/>
            <w:shd w:val="clear" w:color="auto" w:fill="auto"/>
          </w:tcPr>
          <w:p w14:paraId="7EFA4B5E" w14:textId="77777777" w:rsidR="008C5CFA" w:rsidRPr="0024468B" w:rsidRDefault="00E82A60" w:rsidP="00300A01">
            <w:pPr>
              <w:spacing w:before="0" w:after="0"/>
              <w:rPr>
                <w:sz w:val="16"/>
                <w:szCs w:val="16"/>
                <w:lang w:val="fr-BE"/>
              </w:rPr>
            </w:pPr>
            <w:r w:rsidRPr="0024468B">
              <w:rPr>
                <w:noProof/>
                <w:sz w:val="16"/>
                <w:szCs w:val="16"/>
                <w:lang w:val="fr-BE"/>
              </w:rPr>
              <w:t>%</w:t>
            </w:r>
          </w:p>
        </w:tc>
        <w:tc>
          <w:tcPr>
            <w:tcW w:w="0" w:type="auto"/>
            <w:shd w:val="clear" w:color="auto" w:fill="auto"/>
          </w:tcPr>
          <w:p w14:paraId="632A4038" w14:textId="77777777" w:rsidR="008C5CFA" w:rsidRPr="0024468B" w:rsidRDefault="00E82A60"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14:paraId="66EE93E9" w14:textId="77777777" w:rsidR="008C5CFA" w:rsidRPr="00C3185A" w:rsidRDefault="00E82A60" w:rsidP="00300A01">
            <w:pPr>
              <w:spacing w:before="0" w:after="0"/>
              <w:jc w:val="right"/>
              <w:rPr>
                <w:sz w:val="16"/>
                <w:szCs w:val="16"/>
                <w:lang w:val="fr-BE"/>
              </w:rPr>
            </w:pPr>
            <w:r w:rsidRPr="00C3185A">
              <w:rPr>
                <w:noProof/>
                <w:sz w:val="16"/>
                <w:szCs w:val="16"/>
                <w:lang w:val="fr-BE"/>
              </w:rPr>
              <w:t>1,50</w:t>
            </w:r>
          </w:p>
        </w:tc>
        <w:tc>
          <w:tcPr>
            <w:tcW w:w="0" w:type="auto"/>
            <w:shd w:val="clear" w:color="auto" w:fill="auto"/>
          </w:tcPr>
          <w:p w14:paraId="69AD3D3D" w14:textId="77777777" w:rsidR="008C5CFA" w:rsidRPr="0024468B" w:rsidRDefault="00E82A60" w:rsidP="00300A01">
            <w:pPr>
              <w:spacing w:before="0" w:after="0"/>
              <w:rPr>
                <w:sz w:val="16"/>
                <w:szCs w:val="16"/>
                <w:lang w:val="fr-BE"/>
              </w:rPr>
            </w:pPr>
            <w:r w:rsidRPr="0024468B">
              <w:rPr>
                <w:noProof/>
                <w:sz w:val="16"/>
                <w:szCs w:val="16"/>
                <w:lang w:val="fr-BE"/>
              </w:rPr>
              <w:t>2012</w:t>
            </w:r>
          </w:p>
        </w:tc>
        <w:tc>
          <w:tcPr>
            <w:tcW w:w="0" w:type="auto"/>
            <w:shd w:val="clear" w:color="auto" w:fill="auto"/>
          </w:tcPr>
          <w:p w14:paraId="36134712" w14:textId="77777777" w:rsidR="008C5CFA" w:rsidRPr="0024468B" w:rsidRDefault="00E82A60" w:rsidP="00300A01">
            <w:pPr>
              <w:spacing w:before="0" w:after="0"/>
              <w:jc w:val="right"/>
              <w:rPr>
                <w:sz w:val="16"/>
                <w:szCs w:val="16"/>
                <w:lang w:val="fr-BE"/>
              </w:rPr>
            </w:pPr>
            <w:r w:rsidRPr="0024468B">
              <w:rPr>
                <w:noProof/>
                <w:sz w:val="16"/>
                <w:szCs w:val="16"/>
                <w:lang w:val="fr-BE"/>
              </w:rPr>
              <w:t>1,80</w:t>
            </w:r>
          </w:p>
        </w:tc>
        <w:tc>
          <w:tcPr>
            <w:tcW w:w="0" w:type="auto"/>
            <w:shd w:val="clear" w:color="auto" w:fill="auto"/>
          </w:tcPr>
          <w:p w14:paraId="1C9A4553"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65623513" w14:textId="77777777" w:rsidR="008C5CFA" w:rsidRPr="0024468B" w:rsidRDefault="008C5CFA" w:rsidP="00300A01">
            <w:pPr>
              <w:spacing w:before="0" w:after="0"/>
              <w:jc w:val="right"/>
              <w:rPr>
                <w:sz w:val="16"/>
                <w:szCs w:val="16"/>
                <w:lang w:val="fr-BE"/>
              </w:rPr>
            </w:pPr>
          </w:p>
        </w:tc>
        <w:tc>
          <w:tcPr>
            <w:tcW w:w="0" w:type="auto"/>
            <w:shd w:val="clear" w:color="auto" w:fill="auto"/>
          </w:tcPr>
          <w:p w14:paraId="039B1563" w14:textId="77777777" w:rsidR="008C5CFA" w:rsidRPr="0024468B" w:rsidRDefault="00E82A60" w:rsidP="00300A01">
            <w:pPr>
              <w:spacing w:before="0" w:after="0"/>
              <w:rPr>
                <w:sz w:val="16"/>
                <w:szCs w:val="16"/>
                <w:lang w:val="fr-BE"/>
              </w:rPr>
            </w:pPr>
            <w:r w:rsidRPr="0024468B">
              <w:rPr>
                <w:noProof/>
                <w:sz w:val="16"/>
                <w:szCs w:val="16"/>
                <w:lang w:val="fr-BE"/>
              </w:rPr>
              <w:t>Brak aktualnych danych dostępnych w statystykach publicznych (systemie STRATEG)</w:t>
            </w:r>
          </w:p>
        </w:tc>
      </w:tr>
    </w:tbl>
    <w:p w14:paraId="0AB2EBF7"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
        <w:gridCol w:w="5086"/>
        <w:gridCol w:w="1094"/>
        <w:gridCol w:w="1316"/>
        <w:gridCol w:w="1094"/>
        <w:gridCol w:w="1316"/>
        <w:gridCol w:w="1094"/>
        <w:gridCol w:w="1316"/>
        <w:gridCol w:w="1094"/>
        <w:gridCol w:w="1316"/>
      </w:tblGrid>
      <w:tr w:rsidR="006B2EC1" w14:paraId="376500DD" w14:textId="77777777" w:rsidTr="0047688D">
        <w:tc>
          <w:tcPr>
            <w:tcW w:w="0" w:type="auto"/>
            <w:shd w:val="clear" w:color="auto" w:fill="auto"/>
          </w:tcPr>
          <w:p w14:paraId="0D131982" w14:textId="77777777" w:rsidR="008C5CFA" w:rsidRPr="0024468B" w:rsidRDefault="00E82A60" w:rsidP="00300A01">
            <w:pPr>
              <w:spacing w:before="0" w:after="0"/>
              <w:rPr>
                <w:sz w:val="16"/>
                <w:szCs w:val="16"/>
                <w:lang w:val="fr-BE"/>
              </w:rPr>
            </w:pPr>
            <w:r w:rsidRPr="0024468B">
              <w:rPr>
                <w:noProof/>
                <w:sz w:val="16"/>
                <w:szCs w:val="16"/>
                <w:lang w:val="fr-BE"/>
              </w:rPr>
              <w:t>ID</w:t>
            </w:r>
          </w:p>
        </w:tc>
        <w:tc>
          <w:tcPr>
            <w:tcW w:w="0" w:type="auto"/>
            <w:shd w:val="clear" w:color="auto" w:fill="auto"/>
          </w:tcPr>
          <w:p w14:paraId="30C63B3D" w14:textId="77777777" w:rsidR="008C5CFA" w:rsidRPr="0024468B" w:rsidRDefault="00E82A60" w:rsidP="00300A01">
            <w:pPr>
              <w:spacing w:before="0" w:after="0"/>
              <w:rPr>
                <w:sz w:val="16"/>
                <w:szCs w:val="16"/>
                <w:lang w:val="fr-BE"/>
              </w:rPr>
            </w:pPr>
            <w:r w:rsidRPr="0024468B">
              <w:rPr>
                <w:noProof/>
                <w:sz w:val="16"/>
                <w:szCs w:val="16"/>
                <w:lang w:val="fr-BE"/>
              </w:rPr>
              <w:t>Wskaźnik</w:t>
            </w:r>
          </w:p>
        </w:tc>
        <w:tc>
          <w:tcPr>
            <w:tcW w:w="0" w:type="auto"/>
          </w:tcPr>
          <w:p w14:paraId="3FDB50AD" w14:textId="77777777" w:rsidR="008C5CFA" w:rsidRPr="0024468B" w:rsidRDefault="00E82A60" w:rsidP="00300A01">
            <w:pPr>
              <w:spacing w:before="0" w:after="0"/>
              <w:jc w:val="center"/>
              <w:rPr>
                <w:sz w:val="16"/>
                <w:szCs w:val="16"/>
                <w:lang w:val="fr-BE"/>
              </w:rPr>
            </w:pPr>
            <w:r>
              <w:rPr>
                <w:sz w:val="16"/>
                <w:szCs w:val="16"/>
                <w:lang w:val="fr-BE"/>
              </w:rPr>
              <w:t xml:space="preserve">2018 </w:t>
            </w:r>
            <w:r>
              <w:rPr>
                <w:noProof/>
                <w:sz w:val="16"/>
                <w:szCs w:val="16"/>
                <w:lang w:val="fr-BE"/>
              </w:rPr>
              <w:t>Ogółem</w:t>
            </w:r>
          </w:p>
        </w:tc>
        <w:tc>
          <w:tcPr>
            <w:tcW w:w="0" w:type="auto"/>
          </w:tcPr>
          <w:p w14:paraId="5BB2DB8E" w14:textId="77777777" w:rsidR="008C5CFA" w:rsidRPr="0024468B" w:rsidRDefault="00E82A60" w:rsidP="00300A01">
            <w:pPr>
              <w:spacing w:before="0" w:after="0"/>
              <w:jc w:val="center"/>
              <w:rPr>
                <w:sz w:val="16"/>
                <w:szCs w:val="16"/>
                <w:lang w:val="fr-BE"/>
              </w:rPr>
            </w:pPr>
            <w:r>
              <w:rPr>
                <w:sz w:val="16"/>
                <w:szCs w:val="16"/>
                <w:lang w:val="fr-BE"/>
              </w:rPr>
              <w:t xml:space="preserve">2018 </w:t>
            </w:r>
            <w:r w:rsidRPr="0024468B">
              <w:rPr>
                <w:noProof/>
                <w:sz w:val="16"/>
                <w:szCs w:val="16"/>
                <w:lang w:val="fr-BE"/>
              </w:rPr>
              <w:t>Jakościowe</w:t>
            </w:r>
          </w:p>
        </w:tc>
        <w:tc>
          <w:tcPr>
            <w:tcW w:w="0" w:type="auto"/>
          </w:tcPr>
          <w:p w14:paraId="779DC733" w14:textId="77777777" w:rsidR="008C5CFA" w:rsidRPr="0024468B" w:rsidRDefault="00E82A60" w:rsidP="00300A01">
            <w:pPr>
              <w:spacing w:before="0" w:after="0"/>
              <w:jc w:val="center"/>
              <w:rPr>
                <w:sz w:val="16"/>
                <w:szCs w:val="16"/>
                <w:lang w:val="fr-BE"/>
              </w:rPr>
            </w:pPr>
            <w:r>
              <w:rPr>
                <w:sz w:val="16"/>
                <w:szCs w:val="16"/>
                <w:lang w:val="fr-BE"/>
              </w:rPr>
              <w:t xml:space="preserve">2017 </w:t>
            </w:r>
            <w:r>
              <w:rPr>
                <w:noProof/>
                <w:sz w:val="16"/>
                <w:szCs w:val="16"/>
                <w:lang w:val="fr-BE"/>
              </w:rPr>
              <w:t>Ogółem</w:t>
            </w:r>
          </w:p>
        </w:tc>
        <w:tc>
          <w:tcPr>
            <w:tcW w:w="0" w:type="auto"/>
          </w:tcPr>
          <w:p w14:paraId="7AEFEFF4" w14:textId="77777777" w:rsidR="008C5CFA" w:rsidRPr="0024468B" w:rsidRDefault="00E82A60" w:rsidP="00300A01">
            <w:pPr>
              <w:spacing w:before="0" w:after="0"/>
              <w:jc w:val="center"/>
              <w:rPr>
                <w:sz w:val="16"/>
                <w:szCs w:val="16"/>
                <w:lang w:val="fr-BE"/>
              </w:rPr>
            </w:pPr>
            <w:r>
              <w:rPr>
                <w:sz w:val="16"/>
                <w:szCs w:val="16"/>
                <w:lang w:val="fr-BE"/>
              </w:rPr>
              <w:t xml:space="preserve">2017 </w:t>
            </w:r>
            <w:r w:rsidRPr="0024468B">
              <w:rPr>
                <w:noProof/>
                <w:sz w:val="16"/>
                <w:szCs w:val="16"/>
                <w:lang w:val="fr-BE"/>
              </w:rPr>
              <w:t>Jakościowe</w:t>
            </w:r>
          </w:p>
        </w:tc>
        <w:tc>
          <w:tcPr>
            <w:tcW w:w="0" w:type="auto"/>
          </w:tcPr>
          <w:p w14:paraId="61D54A5E" w14:textId="77777777" w:rsidR="008C5CFA" w:rsidRPr="0024468B" w:rsidRDefault="00E82A60" w:rsidP="00300A01">
            <w:pPr>
              <w:spacing w:before="0" w:after="0"/>
              <w:jc w:val="center"/>
              <w:rPr>
                <w:sz w:val="16"/>
                <w:szCs w:val="16"/>
                <w:lang w:val="fr-BE"/>
              </w:rPr>
            </w:pPr>
            <w:r>
              <w:rPr>
                <w:sz w:val="16"/>
                <w:szCs w:val="16"/>
                <w:lang w:val="fr-BE"/>
              </w:rPr>
              <w:t xml:space="preserve">2016 </w:t>
            </w:r>
            <w:r>
              <w:rPr>
                <w:noProof/>
                <w:sz w:val="16"/>
                <w:szCs w:val="16"/>
                <w:lang w:val="fr-BE"/>
              </w:rPr>
              <w:t>Ogółem</w:t>
            </w:r>
          </w:p>
        </w:tc>
        <w:tc>
          <w:tcPr>
            <w:tcW w:w="0" w:type="auto"/>
          </w:tcPr>
          <w:p w14:paraId="4E92D330" w14:textId="77777777" w:rsidR="008C5CFA" w:rsidRPr="0024468B" w:rsidRDefault="00E82A60" w:rsidP="00300A01">
            <w:pPr>
              <w:spacing w:before="0" w:after="0"/>
              <w:jc w:val="center"/>
              <w:rPr>
                <w:sz w:val="16"/>
                <w:szCs w:val="16"/>
                <w:lang w:val="fr-BE"/>
              </w:rPr>
            </w:pPr>
            <w:r>
              <w:rPr>
                <w:sz w:val="16"/>
                <w:szCs w:val="16"/>
                <w:lang w:val="fr-BE"/>
              </w:rPr>
              <w:t xml:space="preserve">2016 </w:t>
            </w:r>
            <w:r w:rsidRPr="0024468B">
              <w:rPr>
                <w:noProof/>
                <w:sz w:val="16"/>
                <w:szCs w:val="16"/>
                <w:lang w:val="fr-BE"/>
              </w:rPr>
              <w:t>Jakościowe</w:t>
            </w:r>
          </w:p>
        </w:tc>
        <w:tc>
          <w:tcPr>
            <w:tcW w:w="0" w:type="auto"/>
          </w:tcPr>
          <w:p w14:paraId="71BCA683" w14:textId="77777777" w:rsidR="008C5CFA" w:rsidRPr="0024468B" w:rsidRDefault="00E82A60" w:rsidP="00300A01">
            <w:pPr>
              <w:spacing w:before="0" w:after="0"/>
              <w:jc w:val="center"/>
              <w:rPr>
                <w:sz w:val="16"/>
                <w:szCs w:val="16"/>
                <w:lang w:val="fr-BE"/>
              </w:rPr>
            </w:pPr>
            <w:r>
              <w:rPr>
                <w:sz w:val="16"/>
                <w:szCs w:val="16"/>
                <w:lang w:val="fr-BE"/>
              </w:rPr>
              <w:t xml:space="preserve">2015 </w:t>
            </w:r>
            <w:r>
              <w:rPr>
                <w:noProof/>
                <w:sz w:val="16"/>
                <w:szCs w:val="16"/>
                <w:lang w:val="fr-BE"/>
              </w:rPr>
              <w:t>Ogółem</w:t>
            </w:r>
          </w:p>
        </w:tc>
        <w:tc>
          <w:tcPr>
            <w:tcW w:w="0" w:type="auto"/>
          </w:tcPr>
          <w:p w14:paraId="6D4CD3C4" w14:textId="77777777" w:rsidR="008C5CFA" w:rsidRPr="0024468B" w:rsidRDefault="00E82A60" w:rsidP="00300A01">
            <w:pPr>
              <w:spacing w:before="0" w:after="0"/>
              <w:jc w:val="center"/>
              <w:rPr>
                <w:sz w:val="16"/>
                <w:szCs w:val="16"/>
                <w:lang w:val="fr-BE"/>
              </w:rPr>
            </w:pPr>
            <w:r>
              <w:rPr>
                <w:sz w:val="16"/>
                <w:szCs w:val="16"/>
                <w:lang w:val="fr-BE"/>
              </w:rPr>
              <w:t xml:space="preserve">2015 </w:t>
            </w:r>
            <w:r w:rsidRPr="0024468B">
              <w:rPr>
                <w:noProof/>
                <w:sz w:val="16"/>
                <w:szCs w:val="16"/>
                <w:lang w:val="fr-BE"/>
              </w:rPr>
              <w:t>Jakościowe</w:t>
            </w:r>
          </w:p>
        </w:tc>
      </w:tr>
      <w:tr w:rsidR="006B2EC1" w14:paraId="59C8D038" w14:textId="77777777" w:rsidTr="0047688D">
        <w:tc>
          <w:tcPr>
            <w:tcW w:w="0" w:type="auto"/>
            <w:shd w:val="clear" w:color="auto" w:fill="auto"/>
          </w:tcPr>
          <w:p w14:paraId="38DEDF19" w14:textId="77777777" w:rsidR="008C5CFA" w:rsidRPr="0024468B" w:rsidRDefault="00E82A60" w:rsidP="00300A01">
            <w:pPr>
              <w:spacing w:before="0" w:after="0"/>
              <w:rPr>
                <w:sz w:val="16"/>
                <w:szCs w:val="16"/>
                <w:lang w:val="fr-BE"/>
              </w:rPr>
            </w:pPr>
            <w:r w:rsidRPr="0024468B">
              <w:rPr>
                <w:noProof/>
                <w:sz w:val="16"/>
                <w:szCs w:val="16"/>
                <w:lang w:val="fr-BE"/>
              </w:rPr>
              <w:t>1</w:t>
            </w:r>
          </w:p>
        </w:tc>
        <w:tc>
          <w:tcPr>
            <w:tcW w:w="0" w:type="auto"/>
            <w:shd w:val="clear" w:color="auto" w:fill="auto"/>
          </w:tcPr>
          <w:p w14:paraId="5921A07E" w14:textId="77777777" w:rsidR="008C5CFA" w:rsidRPr="0024468B" w:rsidRDefault="00E82A60" w:rsidP="00300A01">
            <w:pPr>
              <w:spacing w:before="0" w:after="0"/>
              <w:rPr>
                <w:sz w:val="16"/>
                <w:szCs w:val="16"/>
                <w:lang w:val="fr-BE"/>
              </w:rPr>
            </w:pPr>
            <w:r w:rsidRPr="0024468B">
              <w:rPr>
                <w:noProof/>
                <w:sz w:val="16"/>
                <w:szCs w:val="16"/>
                <w:lang w:val="fr-BE"/>
              </w:rPr>
              <w:t>Nakłady na działalność B+R w relacji do PKB</w:t>
            </w:r>
          </w:p>
        </w:tc>
        <w:tc>
          <w:tcPr>
            <w:tcW w:w="0" w:type="auto"/>
          </w:tcPr>
          <w:p w14:paraId="7A16D684"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59307080" w14:textId="77777777" w:rsidR="008C5CFA" w:rsidRPr="0024468B" w:rsidRDefault="008C5CFA" w:rsidP="00300A01">
            <w:pPr>
              <w:spacing w:before="0" w:after="0"/>
              <w:jc w:val="right"/>
              <w:rPr>
                <w:sz w:val="16"/>
                <w:szCs w:val="16"/>
                <w:lang w:val="fr-BE"/>
              </w:rPr>
            </w:pPr>
          </w:p>
        </w:tc>
        <w:tc>
          <w:tcPr>
            <w:tcW w:w="0" w:type="auto"/>
          </w:tcPr>
          <w:p w14:paraId="3258C3BB" w14:textId="77777777" w:rsidR="008C5CFA" w:rsidRPr="0024468B" w:rsidRDefault="00E82A60" w:rsidP="00300A01">
            <w:pPr>
              <w:spacing w:before="0" w:after="0"/>
              <w:jc w:val="right"/>
              <w:rPr>
                <w:sz w:val="16"/>
                <w:szCs w:val="16"/>
                <w:lang w:val="fr-BE"/>
              </w:rPr>
            </w:pPr>
            <w:r w:rsidRPr="0024468B">
              <w:rPr>
                <w:noProof/>
                <w:sz w:val="16"/>
                <w:szCs w:val="16"/>
                <w:lang w:val="fr-BE"/>
              </w:rPr>
              <w:t>0,31</w:t>
            </w:r>
          </w:p>
        </w:tc>
        <w:tc>
          <w:tcPr>
            <w:tcW w:w="0" w:type="auto"/>
          </w:tcPr>
          <w:p w14:paraId="12599F9F" w14:textId="77777777" w:rsidR="008C5CFA" w:rsidRPr="0024468B" w:rsidRDefault="008C5CFA" w:rsidP="00300A01">
            <w:pPr>
              <w:spacing w:before="0" w:after="0"/>
              <w:jc w:val="right"/>
              <w:rPr>
                <w:sz w:val="16"/>
                <w:szCs w:val="16"/>
                <w:lang w:val="fr-BE"/>
              </w:rPr>
            </w:pPr>
          </w:p>
        </w:tc>
        <w:tc>
          <w:tcPr>
            <w:tcW w:w="0" w:type="auto"/>
          </w:tcPr>
          <w:p w14:paraId="134D6391" w14:textId="77777777" w:rsidR="008C5CFA" w:rsidRPr="0024468B" w:rsidRDefault="00E82A60" w:rsidP="00300A01">
            <w:pPr>
              <w:spacing w:before="0" w:after="0"/>
              <w:jc w:val="right"/>
              <w:rPr>
                <w:sz w:val="16"/>
                <w:szCs w:val="16"/>
                <w:lang w:val="fr-BE"/>
              </w:rPr>
            </w:pPr>
            <w:r w:rsidRPr="0024468B">
              <w:rPr>
                <w:noProof/>
                <w:sz w:val="16"/>
                <w:szCs w:val="16"/>
                <w:lang w:val="fr-BE"/>
              </w:rPr>
              <w:t>0,31</w:t>
            </w:r>
          </w:p>
        </w:tc>
        <w:tc>
          <w:tcPr>
            <w:tcW w:w="0" w:type="auto"/>
          </w:tcPr>
          <w:p w14:paraId="1AF16C1F" w14:textId="77777777" w:rsidR="008C5CFA" w:rsidRPr="0024468B" w:rsidRDefault="008C5CFA" w:rsidP="00300A01">
            <w:pPr>
              <w:spacing w:before="0" w:after="0"/>
              <w:jc w:val="right"/>
              <w:rPr>
                <w:sz w:val="16"/>
                <w:szCs w:val="16"/>
                <w:lang w:val="fr-BE"/>
              </w:rPr>
            </w:pPr>
          </w:p>
        </w:tc>
        <w:tc>
          <w:tcPr>
            <w:tcW w:w="0" w:type="auto"/>
          </w:tcPr>
          <w:p w14:paraId="3ACDAED0" w14:textId="77777777" w:rsidR="008C5CFA" w:rsidRPr="0024468B" w:rsidRDefault="00E82A60" w:rsidP="00300A01">
            <w:pPr>
              <w:spacing w:before="0" w:after="0"/>
              <w:jc w:val="right"/>
              <w:rPr>
                <w:sz w:val="16"/>
                <w:szCs w:val="16"/>
                <w:lang w:val="fr-BE"/>
              </w:rPr>
            </w:pPr>
            <w:r w:rsidRPr="0024468B">
              <w:rPr>
                <w:noProof/>
                <w:sz w:val="16"/>
                <w:szCs w:val="16"/>
                <w:lang w:val="fr-BE"/>
              </w:rPr>
              <w:t>0,61</w:t>
            </w:r>
          </w:p>
        </w:tc>
        <w:tc>
          <w:tcPr>
            <w:tcW w:w="0" w:type="auto"/>
          </w:tcPr>
          <w:p w14:paraId="7FB83B53" w14:textId="77777777" w:rsidR="008C5CFA" w:rsidRPr="0024468B" w:rsidRDefault="008C5CFA" w:rsidP="00300A01">
            <w:pPr>
              <w:spacing w:before="0" w:after="0"/>
              <w:jc w:val="right"/>
              <w:rPr>
                <w:sz w:val="16"/>
                <w:szCs w:val="16"/>
                <w:lang w:val="fr-BE"/>
              </w:rPr>
            </w:pPr>
          </w:p>
        </w:tc>
      </w:tr>
      <w:tr w:rsidR="006B2EC1" w14:paraId="43C5DB6C" w14:textId="77777777" w:rsidTr="0047688D">
        <w:tc>
          <w:tcPr>
            <w:tcW w:w="0" w:type="auto"/>
            <w:shd w:val="clear" w:color="auto" w:fill="auto"/>
          </w:tcPr>
          <w:p w14:paraId="07E8D1EF" w14:textId="77777777" w:rsidR="008C5CFA" w:rsidRPr="0024468B" w:rsidRDefault="00E82A60" w:rsidP="00300A01">
            <w:pPr>
              <w:spacing w:before="0" w:after="0"/>
              <w:rPr>
                <w:sz w:val="16"/>
                <w:szCs w:val="16"/>
                <w:lang w:val="fr-BE"/>
              </w:rPr>
            </w:pPr>
            <w:r w:rsidRPr="0024468B">
              <w:rPr>
                <w:noProof/>
                <w:sz w:val="16"/>
                <w:szCs w:val="16"/>
                <w:lang w:val="fr-BE"/>
              </w:rPr>
              <w:t>147</w:t>
            </w:r>
          </w:p>
        </w:tc>
        <w:tc>
          <w:tcPr>
            <w:tcW w:w="0" w:type="auto"/>
            <w:shd w:val="clear" w:color="auto" w:fill="auto"/>
          </w:tcPr>
          <w:p w14:paraId="09CA6C49" w14:textId="77777777" w:rsidR="008C5CFA" w:rsidRPr="0024468B" w:rsidRDefault="00E82A60" w:rsidP="00300A01">
            <w:pPr>
              <w:spacing w:before="0" w:after="0"/>
              <w:rPr>
                <w:sz w:val="16"/>
                <w:szCs w:val="16"/>
                <w:lang w:val="fr-BE"/>
              </w:rPr>
            </w:pPr>
            <w:r w:rsidRPr="0024468B">
              <w:rPr>
                <w:noProof/>
                <w:sz w:val="16"/>
                <w:szCs w:val="16"/>
                <w:lang w:val="fr-BE"/>
              </w:rPr>
              <w:t>Odsetek wartości aparatury naukowo-badawczej w relacji do Polski ogółem</w:t>
            </w:r>
          </w:p>
        </w:tc>
        <w:tc>
          <w:tcPr>
            <w:tcW w:w="0" w:type="auto"/>
          </w:tcPr>
          <w:p w14:paraId="35A8D14F"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2872A4A8" w14:textId="77777777" w:rsidR="008C5CFA" w:rsidRPr="0024468B" w:rsidRDefault="008C5CFA" w:rsidP="00300A01">
            <w:pPr>
              <w:spacing w:before="0" w:after="0"/>
              <w:jc w:val="right"/>
              <w:rPr>
                <w:sz w:val="16"/>
                <w:szCs w:val="16"/>
                <w:lang w:val="fr-BE"/>
              </w:rPr>
            </w:pPr>
          </w:p>
        </w:tc>
        <w:tc>
          <w:tcPr>
            <w:tcW w:w="0" w:type="auto"/>
          </w:tcPr>
          <w:p w14:paraId="51239C85"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5E386BD6" w14:textId="77777777" w:rsidR="008C5CFA" w:rsidRPr="0024468B" w:rsidRDefault="008C5CFA" w:rsidP="00300A01">
            <w:pPr>
              <w:spacing w:before="0" w:after="0"/>
              <w:jc w:val="right"/>
              <w:rPr>
                <w:sz w:val="16"/>
                <w:szCs w:val="16"/>
                <w:lang w:val="fr-BE"/>
              </w:rPr>
            </w:pPr>
          </w:p>
        </w:tc>
        <w:tc>
          <w:tcPr>
            <w:tcW w:w="0" w:type="auto"/>
          </w:tcPr>
          <w:p w14:paraId="358DE28F" w14:textId="77777777" w:rsidR="008C5CFA" w:rsidRPr="0024468B" w:rsidRDefault="00E82A60" w:rsidP="00300A01">
            <w:pPr>
              <w:spacing w:before="0" w:after="0"/>
              <w:jc w:val="right"/>
              <w:rPr>
                <w:sz w:val="16"/>
                <w:szCs w:val="16"/>
                <w:lang w:val="fr-BE"/>
              </w:rPr>
            </w:pPr>
            <w:r w:rsidRPr="0024468B">
              <w:rPr>
                <w:noProof/>
                <w:sz w:val="16"/>
                <w:szCs w:val="16"/>
                <w:lang w:val="fr-BE"/>
              </w:rPr>
              <w:t>0,70</w:t>
            </w:r>
          </w:p>
        </w:tc>
        <w:tc>
          <w:tcPr>
            <w:tcW w:w="0" w:type="auto"/>
          </w:tcPr>
          <w:p w14:paraId="1F395E6B" w14:textId="77777777" w:rsidR="008C5CFA" w:rsidRPr="0024468B" w:rsidRDefault="008C5CFA" w:rsidP="00300A01">
            <w:pPr>
              <w:spacing w:before="0" w:after="0"/>
              <w:jc w:val="right"/>
              <w:rPr>
                <w:sz w:val="16"/>
                <w:szCs w:val="16"/>
                <w:lang w:val="fr-BE"/>
              </w:rPr>
            </w:pPr>
          </w:p>
        </w:tc>
        <w:tc>
          <w:tcPr>
            <w:tcW w:w="0" w:type="auto"/>
          </w:tcPr>
          <w:p w14:paraId="76E7F9DF" w14:textId="77777777" w:rsidR="008C5CFA" w:rsidRPr="0024468B" w:rsidRDefault="00E82A60" w:rsidP="00300A01">
            <w:pPr>
              <w:spacing w:before="0" w:after="0"/>
              <w:jc w:val="right"/>
              <w:rPr>
                <w:sz w:val="16"/>
                <w:szCs w:val="16"/>
                <w:lang w:val="fr-BE"/>
              </w:rPr>
            </w:pPr>
            <w:r w:rsidRPr="0024468B">
              <w:rPr>
                <w:noProof/>
                <w:sz w:val="16"/>
                <w:szCs w:val="16"/>
                <w:lang w:val="fr-BE"/>
              </w:rPr>
              <w:t>0,70</w:t>
            </w:r>
          </w:p>
        </w:tc>
        <w:tc>
          <w:tcPr>
            <w:tcW w:w="0" w:type="auto"/>
          </w:tcPr>
          <w:p w14:paraId="3C69D965" w14:textId="77777777" w:rsidR="008C5CFA" w:rsidRPr="0024468B" w:rsidRDefault="008C5CFA" w:rsidP="00300A01">
            <w:pPr>
              <w:spacing w:before="0" w:after="0"/>
              <w:jc w:val="right"/>
              <w:rPr>
                <w:sz w:val="16"/>
                <w:szCs w:val="16"/>
                <w:lang w:val="fr-BE"/>
              </w:rPr>
            </w:pPr>
          </w:p>
        </w:tc>
      </w:tr>
    </w:tbl>
    <w:p w14:paraId="187F8F03"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
        <w:gridCol w:w="9710"/>
        <w:gridCol w:w="2089"/>
        <w:gridCol w:w="2513"/>
      </w:tblGrid>
      <w:tr w:rsidR="006B2EC1" w14:paraId="36C0F2C9" w14:textId="77777777" w:rsidTr="0047688D">
        <w:tc>
          <w:tcPr>
            <w:tcW w:w="0" w:type="auto"/>
            <w:shd w:val="clear" w:color="auto" w:fill="auto"/>
          </w:tcPr>
          <w:p w14:paraId="709E1238" w14:textId="77777777" w:rsidR="008C5CFA" w:rsidRPr="0024468B" w:rsidRDefault="00E82A60" w:rsidP="00300A01">
            <w:pPr>
              <w:spacing w:before="0" w:after="0"/>
              <w:rPr>
                <w:sz w:val="16"/>
                <w:szCs w:val="16"/>
                <w:lang w:val="fr-BE"/>
              </w:rPr>
            </w:pPr>
            <w:r w:rsidRPr="0024468B">
              <w:rPr>
                <w:noProof/>
                <w:sz w:val="16"/>
                <w:szCs w:val="16"/>
                <w:lang w:val="fr-BE"/>
              </w:rPr>
              <w:t>ID</w:t>
            </w:r>
          </w:p>
        </w:tc>
        <w:tc>
          <w:tcPr>
            <w:tcW w:w="0" w:type="auto"/>
            <w:shd w:val="clear" w:color="auto" w:fill="auto"/>
          </w:tcPr>
          <w:p w14:paraId="7B2DEE05" w14:textId="77777777" w:rsidR="008C5CFA" w:rsidRPr="0024468B" w:rsidRDefault="00E82A60" w:rsidP="00300A01">
            <w:pPr>
              <w:spacing w:before="0" w:after="0"/>
              <w:rPr>
                <w:sz w:val="16"/>
                <w:szCs w:val="16"/>
                <w:lang w:val="fr-BE"/>
              </w:rPr>
            </w:pPr>
            <w:r w:rsidRPr="0024468B">
              <w:rPr>
                <w:noProof/>
                <w:sz w:val="16"/>
                <w:szCs w:val="16"/>
                <w:lang w:val="fr-BE"/>
              </w:rPr>
              <w:t>Wskaźnik</w:t>
            </w:r>
          </w:p>
        </w:tc>
        <w:tc>
          <w:tcPr>
            <w:tcW w:w="0" w:type="auto"/>
            <w:shd w:val="clear" w:color="auto" w:fill="auto"/>
          </w:tcPr>
          <w:p w14:paraId="2C112370" w14:textId="77777777" w:rsidR="008C5CFA" w:rsidRPr="0024468B" w:rsidRDefault="00E82A60" w:rsidP="00300A01">
            <w:pPr>
              <w:spacing w:before="0" w:after="0"/>
              <w:jc w:val="center"/>
              <w:rPr>
                <w:sz w:val="16"/>
                <w:szCs w:val="16"/>
                <w:lang w:val="fr-BE"/>
              </w:rPr>
            </w:pPr>
            <w:r>
              <w:rPr>
                <w:sz w:val="16"/>
                <w:szCs w:val="16"/>
                <w:lang w:val="fr-BE"/>
              </w:rPr>
              <w:t xml:space="preserve">2014 </w:t>
            </w:r>
            <w:r>
              <w:rPr>
                <w:noProof/>
                <w:sz w:val="16"/>
                <w:szCs w:val="16"/>
                <w:lang w:val="fr-BE"/>
              </w:rPr>
              <w:t>Ogółem</w:t>
            </w:r>
          </w:p>
        </w:tc>
        <w:tc>
          <w:tcPr>
            <w:tcW w:w="0" w:type="auto"/>
            <w:shd w:val="clear" w:color="auto" w:fill="auto"/>
          </w:tcPr>
          <w:p w14:paraId="28894FA3" w14:textId="77777777" w:rsidR="008C5CFA" w:rsidRPr="0024468B" w:rsidRDefault="00E82A60" w:rsidP="00300A01">
            <w:pPr>
              <w:spacing w:before="0" w:after="0"/>
              <w:jc w:val="center"/>
              <w:rPr>
                <w:sz w:val="16"/>
                <w:szCs w:val="16"/>
                <w:lang w:val="fr-BE"/>
              </w:rPr>
            </w:pPr>
            <w:r>
              <w:rPr>
                <w:sz w:val="16"/>
                <w:szCs w:val="16"/>
                <w:lang w:val="fr-BE"/>
              </w:rPr>
              <w:t xml:space="preserve">2014 </w:t>
            </w:r>
            <w:r w:rsidRPr="0024468B">
              <w:rPr>
                <w:noProof/>
                <w:sz w:val="16"/>
                <w:szCs w:val="16"/>
                <w:lang w:val="fr-BE"/>
              </w:rPr>
              <w:t>Jakościowe</w:t>
            </w:r>
          </w:p>
        </w:tc>
      </w:tr>
      <w:tr w:rsidR="006B2EC1" w14:paraId="5A6A620A" w14:textId="77777777" w:rsidTr="0047688D">
        <w:tc>
          <w:tcPr>
            <w:tcW w:w="0" w:type="auto"/>
            <w:shd w:val="clear" w:color="auto" w:fill="auto"/>
          </w:tcPr>
          <w:p w14:paraId="232EE94E" w14:textId="77777777" w:rsidR="008C5CFA" w:rsidRPr="0024468B" w:rsidRDefault="00E82A60" w:rsidP="00300A01">
            <w:pPr>
              <w:spacing w:before="0" w:after="0"/>
              <w:rPr>
                <w:sz w:val="16"/>
                <w:szCs w:val="16"/>
                <w:lang w:val="fr-BE"/>
              </w:rPr>
            </w:pPr>
            <w:r w:rsidRPr="0024468B">
              <w:rPr>
                <w:noProof/>
                <w:sz w:val="16"/>
                <w:szCs w:val="16"/>
                <w:lang w:val="fr-BE"/>
              </w:rPr>
              <w:t>1</w:t>
            </w:r>
          </w:p>
        </w:tc>
        <w:tc>
          <w:tcPr>
            <w:tcW w:w="0" w:type="auto"/>
            <w:shd w:val="clear" w:color="auto" w:fill="auto"/>
          </w:tcPr>
          <w:p w14:paraId="59B91878" w14:textId="77777777" w:rsidR="008C5CFA" w:rsidRPr="0024468B" w:rsidRDefault="00E82A60" w:rsidP="00300A01">
            <w:pPr>
              <w:spacing w:before="0" w:after="0"/>
              <w:rPr>
                <w:sz w:val="16"/>
                <w:szCs w:val="16"/>
                <w:lang w:val="fr-BE"/>
              </w:rPr>
            </w:pPr>
            <w:r w:rsidRPr="0024468B">
              <w:rPr>
                <w:noProof/>
                <w:sz w:val="16"/>
                <w:szCs w:val="16"/>
                <w:lang w:val="fr-BE"/>
              </w:rPr>
              <w:t>Nakłady na działalność B+R w relacji do PKB</w:t>
            </w:r>
          </w:p>
        </w:tc>
        <w:tc>
          <w:tcPr>
            <w:tcW w:w="0" w:type="auto"/>
            <w:shd w:val="clear" w:color="auto" w:fill="auto"/>
          </w:tcPr>
          <w:p w14:paraId="2CECAA35" w14:textId="77777777" w:rsidR="008C5CFA" w:rsidRPr="0024468B" w:rsidRDefault="00E82A60" w:rsidP="00300A01">
            <w:pPr>
              <w:spacing w:before="0" w:after="0"/>
              <w:jc w:val="right"/>
              <w:rPr>
                <w:sz w:val="16"/>
                <w:szCs w:val="16"/>
                <w:lang w:val="fr-BE"/>
              </w:rPr>
            </w:pPr>
            <w:r w:rsidRPr="0024468B">
              <w:rPr>
                <w:noProof/>
                <w:sz w:val="16"/>
                <w:szCs w:val="16"/>
                <w:lang w:val="fr-BE"/>
              </w:rPr>
              <w:t>0,34</w:t>
            </w:r>
          </w:p>
        </w:tc>
        <w:tc>
          <w:tcPr>
            <w:tcW w:w="0" w:type="auto"/>
            <w:shd w:val="clear" w:color="auto" w:fill="auto"/>
          </w:tcPr>
          <w:p w14:paraId="0E4A7B57" w14:textId="77777777" w:rsidR="008C5CFA" w:rsidRPr="0024468B" w:rsidRDefault="008C5CFA" w:rsidP="00300A01">
            <w:pPr>
              <w:spacing w:before="0" w:after="0"/>
              <w:jc w:val="right"/>
              <w:rPr>
                <w:sz w:val="16"/>
                <w:szCs w:val="16"/>
                <w:lang w:val="fr-BE"/>
              </w:rPr>
            </w:pPr>
          </w:p>
        </w:tc>
      </w:tr>
      <w:tr w:rsidR="006B2EC1" w14:paraId="1F006AFC" w14:textId="77777777" w:rsidTr="0047688D">
        <w:tc>
          <w:tcPr>
            <w:tcW w:w="0" w:type="auto"/>
            <w:shd w:val="clear" w:color="auto" w:fill="auto"/>
          </w:tcPr>
          <w:p w14:paraId="3E4004A1" w14:textId="77777777" w:rsidR="008C5CFA" w:rsidRPr="0024468B" w:rsidRDefault="00E82A60" w:rsidP="00300A01">
            <w:pPr>
              <w:spacing w:before="0" w:after="0"/>
              <w:rPr>
                <w:sz w:val="16"/>
                <w:szCs w:val="16"/>
                <w:lang w:val="fr-BE"/>
              </w:rPr>
            </w:pPr>
            <w:r w:rsidRPr="0024468B">
              <w:rPr>
                <w:noProof/>
                <w:sz w:val="16"/>
                <w:szCs w:val="16"/>
                <w:lang w:val="fr-BE"/>
              </w:rPr>
              <w:t>147</w:t>
            </w:r>
          </w:p>
        </w:tc>
        <w:tc>
          <w:tcPr>
            <w:tcW w:w="0" w:type="auto"/>
            <w:shd w:val="clear" w:color="auto" w:fill="auto"/>
          </w:tcPr>
          <w:p w14:paraId="38FE7D04" w14:textId="77777777" w:rsidR="008C5CFA" w:rsidRPr="0024468B" w:rsidRDefault="00E82A60" w:rsidP="00300A01">
            <w:pPr>
              <w:spacing w:before="0" w:after="0"/>
              <w:rPr>
                <w:sz w:val="16"/>
                <w:szCs w:val="16"/>
                <w:lang w:val="fr-BE"/>
              </w:rPr>
            </w:pPr>
            <w:r w:rsidRPr="0024468B">
              <w:rPr>
                <w:noProof/>
                <w:sz w:val="16"/>
                <w:szCs w:val="16"/>
                <w:lang w:val="fr-BE"/>
              </w:rPr>
              <w:t>Odsetek wartości aparatury naukowo-badawczej w relacji do Polski ogółem</w:t>
            </w:r>
          </w:p>
        </w:tc>
        <w:tc>
          <w:tcPr>
            <w:tcW w:w="0" w:type="auto"/>
            <w:shd w:val="clear" w:color="auto" w:fill="auto"/>
          </w:tcPr>
          <w:p w14:paraId="160EC4D8"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4FA24365" w14:textId="77777777" w:rsidR="008C5CFA" w:rsidRPr="0024468B" w:rsidRDefault="008C5CFA" w:rsidP="00300A01">
            <w:pPr>
              <w:spacing w:before="0" w:after="0"/>
              <w:jc w:val="right"/>
              <w:rPr>
                <w:sz w:val="16"/>
                <w:szCs w:val="16"/>
                <w:lang w:val="fr-BE"/>
              </w:rPr>
            </w:pPr>
          </w:p>
        </w:tc>
      </w:tr>
    </w:tbl>
    <w:p w14:paraId="6E151199" w14:textId="77777777" w:rsidR="008C5CFA" w:rsidRDefault="008C5CFA" w:rsidP="00300A01">
      <w:pPr>
        <w:spacing w:before="0" w:after="0"/>
        <w:rPr>
          <w:lang w:val="fr-BE"/>
        </w:rPr>
      </w:pPr>
    </w:p>
    <w:p w14:paraId="3951026F" w14:textId="77777777" w:rsidR="008C5CFA" w:rsidRDefault="00E82A60" w:rsidP="00300A01">
      <w:pPr>
        <w:spacing w:before="0" w:after="0"/>
        <w:rPr>
          <w:lang w:val="fr-BE"/>
        </w:rPr>
      </w:pPr>
      <w:r>
        <w:rPr>
          <w:lang w:val="fr-BE"/>
        </w:rPr>
        <w:br w:type="page"/>
      </w:r>
    </w:p>
    <w:p w14:paraId="73D72CDF" w14:textId="77777777" w:rsidR="008C5CFA" w:rsidRPr="00B27C43" w:rsidRDefault="008C5CFA" w:rsidP="00300A01">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6"/>
        <w:gridCol w:w="13538"/>
      </w:tblGrid>
      <w:tr w:rsidR="006B2EC1" w14:paraId="3F5F0105" w14:textId="77777777" w:rsidTr="0047688D">
        <w:tc>
          <w:tcPr>
            <w:tcW w:w="0" w:type="auto"/>
            <w:shd w:val="clear" w:color="auto" w:fill="auto"/>
          </w:tcPr>
          <w:p w14:paraId="20E14AF8" w14:textId="77777777" w:rsidR="008C5CFA" w:rsidRPr="002124FC" w:rsidRDefault="00E82A60" w:rsidP="00300A01">
            <w:pPr>
              <w:spacing w:before="0" w:after="0"/>
              <w:rPr>
                <w:sz w:val="20"/>
                <w:szCs w:val="20"/>
                <w:lang w:val="fr-BE"/>
              </w:rPr>
            </w:pPr>
            <w:r>
              <w:rPr>
                <w:lang w:val="fr-BE"/>
              </w:rPr>
              <w:br w:type="page"/>
            </w:r>
            <w:r>
              <w:rPr>
                <w:lang w:val="fr-BE"/>
              </w:rPr>
              <w:br w:type="page"/>
            </w:r>
            <w:r w:rsidRPr="002124FC">
              <w:rPr>
                <w:noProof/>
                <w:sz w:val="20"/>
                <w:szCs w:val="20"/>
                <w:lang w:val="fr-BE"/>
              </w:rPr>
              <w:t>Oś priorytetowa</w:t>
            </w:r>
          </w:p>
        </w:tc>
        <w:tc>
          <w:tcPr>
            <w:tcW w:w="0" w:type="auto"/>
            <w:shd w:val="clear" w:color="auto" w:fill="auto"/>
          </w:tcPr>
          <w:p w14:paraId="7E05CB8E" w14:textId="77777777" w:rsidR="008C5CFA" w:rsidRPr="002124FC" w:rsidRDefault="00E82A60" w:rsidP="00300A01">
            <w:pPr>
              <w:spacing w:before="0" w:after="0"/>
              <w:rPr>
                <w:sz w:val="20"/>
                <w:szCs w:val="20"/>
                <w:lang w:val="fr-BE"/>
              </w:rPr>
            </w:pPr>
            <w:r w:rsidRPr="002124FC">
              <w:rPr>
                <w:noProof/>
                <w:sz w:val="20"/>
                <w:szCs w:val="20"/>
                <w:lang w:val="fr-BE"/>
              </w:rPr>
              <w:t>1</w:t>
            </w:r>
            <w:r w:rsidRPr="002124FC">
              <w:rPr>
                <w:sz w:val="20"/>
                <w:szCs w:val="20"/>
                <w:lang w:val="fr-BE"/>
              </w:rPr>
              <w:t xml:space="preserve"> - </w:t>
            </w:r>
            <w:r w:rsidRPr="002124FC">
              <w:rPr>
                <w:noProof/>
                <w:sz w:val="20"/>
                <w:szCs w:val="20"/>
                <w:lang w:val="fr-BE"/>
              </w:rPr>
              <w:t>Innowacje i nauka</w:t>
            </w:r>
          </w:p>
        </w:tc>
      </w:tr>
      <w:tr w:rsidR="006B2EC1" w14:paraId="3F6CE1B7" w14:textId="77777777" w:rsidTr="0047688D">
        <w:tc>
          <w:tcPr>
            <w:tcW w:w="0" w:type="auto"/>
            <w:shd w:val="clear" w:color="auto" w:fill="auto"/>
          </w:tcPr>
          <w:p w14:paraId="3AB6EF2A" w14:textId="77777777" w:rsidR="008C5CFA" w:rsidRPr="002124FC" w:rsidRDefault="00E82A60"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14:paraId="1701E9A3" w14:textId="77777777" w:rsidR="008C5CFA" w:rsidRPr="002124FC" w:rsidRDefault="00E82A60" w:rsidP="00300A01">
            <w:pPr>
              <w:spacing w:before="0" w:after="0"/>
              <w:rPr>
                <w:sz w:val="20"/>
                <w:szCs w:val="20"/>
                <w:lang w:val="fr-BE"/>
              </w:rPr>
            </w:pPr>
            <w:r w:rsidRPr="002124FC">
              <w:rPr>
                <w:noProof/>
                <w:sz w:val="20"/>
                <w:szCs w:val="20"/>
                <w:lang w:val="fr-BE"/>
              </w:rPr>
              <w:t>1b</w:t>
            </w:r>
            <w:r w:rsidRPr="002124FC">
              <w:rPr>
                <w:sz w:val="20"/>
                <w:szCs w:val="20"/>
                <w:lang w:val="fr-BE"/>
              </w:rPr>
              <w:t xml:space="preserve"> - </w:t>
            </w:r>
            <w:r w:rsidRPr="002124FC">
              <w:rPr>
                <w:noProof/>
                <w:sz w:val="20"/>
                <w:szCs w:val="20"/>
                <w:lang w:val="fr-BE"/>
              </w:rPr>
              <w:t>Promowanie inwestycji przedsiębiorstw w badania i innowacje, rozwijanie powiązań i synergii między przedsiębiorstwami, ośrodkami badawczo-rozwojowymi i sektorem szkolnictwa wyższego, w szczególności promowanie inwestycji w zakresie rozwoju produktów i usług, transferu technologii, innowacji społecznych, ekoinnowacji, zastosowań w dziedzinie usług publicznych, pobudzania popytu, tworzenia sieci, klastrów i otwartych innowacji poprzez inteligentną specjalizację, oraz wspieranie badań technologicznych i stosowanych, linii pilotażowych, działań w zakresie wczesnej walidacji produktów, zaawansowanych zdolności produkcyjnych i pierwszej produkcji, w szczególności w dziedzinie kluczowych technologii wspomagających, oraz rozpowszechnianie technologii o ogólnym przeznaczeniu</w:t>
            </w:r>
          </w:p>
        </w:tc>
      </w:tr>
    </w:tbl>
    <w:p w14:paraId="4F1BF89B" w14:textId="77777777" w:rsidR="008C5CFA" w:rsidRDefault="008C5CFA" w:rsidP="00300A01">
      <w:pPr>
        <w:spacing w:before="0" w:after="0"/>
        <w:rPr>
          <w:lang w:val="fr-BE"/>
        </w:rPr>
      </w:pPr>
    </w:p>
    <w:p w14:paraId="7F1D24F3" w14:textId="77777777" w:rsidR="008C5CFA" w:rsidRDefault="00E82A60" w:rsidP="00300A01">
      <w:pPr>
        <w:pStyle w:val="Nagwek2"/>
        <w:spacing w:before="0" w:after="0"/>
        <w:rPr>
          <w:lang w:val="fr-BE"/>
        </w:rPr>
      </w:pPr>
      <w:bookmarkStart w:id="10" w:name="_Toc46391694"/>
      <w:r>
        <w:rPr>
          <w:noProof/>
          <w:lang w:val="fr-BE"/>
        </w:rPr>
        <w:t>Tabela 3A</w:t>
      </w:r>
      <w:r>
        <w:rPr>
          <w:lang w:val="fr-BE"/>
        </w:rPr>
        <w:t xml:space="preserve">: </w:t>
      </w:r>
      <w:r>
        <w:rPr>
          <w:noProof/>
          <w:lang w:val="fr-BE"/>
        </w:rPr>
        <w:t>Wspólne i specyficzne dla danego programu wskaźniki produktu dla EFRR i Funduszu Spójności (wg osi priorytetowej, priorytetu inwestycyjnego, w podziale na kategorię regionu dla celów EFRR)</w:t>
      </w:r>
      <w:r w:rsidR="009C5874">
        <w:rPr>
          <w:lang w:val="fr-BE"/>
        </w:rPr>
        <w:t xml:space="preserve"> - </w:t>
      </w:r>
      <w:r w:rsidR="00F022AC" w:rsidRPr="002124FC">
        <w:rPr>
          <w:noProof/>
          <w:sz w:val="20"/>
          <w:szCs w:val="20"/>
          <w:lang w:val="fr-BE"/>
        </w:rPr>
        <w:t>1</w:t>
      </w:r>
      <w:r w:rsidR="00F022AC">
        <w:rPr>
          <w:sz w:val="20"/>
          <w:szCs w:val="20"/>
          <w:lang w:val="fr-BE"/>
        </w:rPr>
        <w:t xml:space="preserve"> / </w:t>
      </w:r>
      <w:r w:rsidR="00F022AC" w:rsidRPr="002124FC">
        <w:rPr>
          <w:noProof/>
          <w:sz w:val="20"/>
          <w:szCs w:val="20"/>
          <w:lang w:val="fr-BE"/>
        </w:rPr>
        <w:t>1b</w:t>
      </w:r>
      <w:bookmarkEnd w:id="10"/>
    </w:p>
    <w:p w14:paraId="1C1F8BE5"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01"/>
        <w:gridCol w:w="497"/>
        <w:gridCol w:w="2753"/>
        <w:gridCol w:w="1219"/>
        <w:gridCol w:w="931"/>
        <w:gridCol w:w="1282"/>
        <w:gridCol w:w="1225"/>
        <w:gridCol w:w="1126"/>
        <w:gridCol w:w="1034"/>
        <w:gridCol w:w="918"/>
        <w:gridCol w:w="741"/>
        <w:gridCol w:w="3157"/>
      </w:tblGrid>
      <w:tr w:rsidR="006B2EC1" w14:paraId="3C5EEA4F" w14:textId="77777777" w:rsidTr="0047688D">
        <w:trPr>
          <w:tblHeader/>
        </w:trPr>
        <w:tc>
          <w:tcPr>
            <w:tcW w:w="0" w:type="auto"/>
          </w:tcPr>
          <w:p w14:paraId="01468F5C" w14:textId="77777777" w:rsidR="008C5CFA" w:rsidRPr="009143B4" w:rsidRDefault="00E82A60" w:rsidP="00300A01">
            <w:pPr>
              <w:spacing w:before="0" w:after="0"/>
              <w:rPr>
                <w:b/>
                <w:sz w:val="16"/>
                <w:szCs w:val="16"/>
                <w:lang w:val="fr-BE"/>
              </w:rPr>
            </w:pPr>
            <w:r w:rsidRPr="009143B4">
              <w:rPr>
                <w:b/>
                <w:sz w:val="16"/>
                <w:szCs w:val="16"/>
                <w:lang w:val="fr-BE"/>
              </w:rPr>
              <w:t>(1)</w:t>
            </w:r>
          </w:p>
        </w:tc>
        <w:tc>
          <w:tcPr>
            <w:tcW w:w="0" w:type="auto"/>
            <w:shd w:val="clear" w:color="auto" w:fill="auto"/>
          </w:tcPr>
          <w:p w14:paraId="0AF6749F" w14:textId="77777777" w:rsidR="008C5CFA" w:rsidRPr="009143B4" w:rsidRDefault="00E82A60" w:rsidP="00300A01">
            <w:pPr>
              <w:spacing w:before="0" w:after="0"/>
              <w:rPr>
                <w:b/>
                <w:sz w:val="16"/>
                <w:szCs w:val="16"/>
                <w:lang w:val="fr-BE"/>
              </w:rPr>
            </w:pPr>
            <w:r w:rsidRPr="009143B4">
              <w:rPr>
                <w:b/>
                <w:noProof/>
                <w:sz w:val="16"/>
                <w:szCs w:val="16"/>
                <w:lang w:val="fr-BE"/>
              </w:rPr>
              <w:t>ID</w:t>
            </w:r>
          </w:p>
        </w:tc>
        <w:tc>
          <w:tcPr>
            <w:tcW w:w="0" w:type="auto"/>
            <w:shd w:val="clear" w:color="auto" w:fill="auto"/>
          </w:tcPr>
          <w:p w14:paraId="2BE4B415" w14:textId="77777777" w:rsidR="008C5CFA" w:rsidRPr="009143B4" w:rsidRDefault="00E82A60" w:rsidP="00300A01">
            <w:pPr>
              <w:spacing w:before="0" w:after="0"/>
              <w:rPr>
                <w:b/>
                <w:sz w:val="16"/>
                <w:szCs w:val="16"/>
                <w:lang w:val="fr-BE"/>
              </w:rPr>
            </w:pPr>
            <w:r w:rsidRPr="009143B4">
              <w:rPr>
                <w:b/>
                <w:noProof/>
                <w:sz w:val="16"/>
                <w:szCs w:val="16"/>
                <w:lang w:val="fr-BE"/>
              </w:rPr>
              <w:t>Wskaźnik</w:t>
            </w:r>
          </w:p>
        </w:tc>
        <w:tc>
          <w:tcPr>
            <w:tcW w:w="0" w:type="auto"/>
            <w:shd w:val="clear" w:color="auto" w:fill="auto"/>
          </w:tcPr>
          <w:p w14:paraId="7FDD5112" w14:textId="77777777" w:rsidR="008C5CFA" w:rsidRPr="009143B4" w:rsidRDefault="00E82A60" w:rsidP="00300A01">
            <w:pPr>
              <w:spacing w:before="0" w:after="0"/>
              <w:rPr>
                <w:b/>
                <w:sz w:val="16"/>
                <w:szCs w:val="16"/>
                <w:lang w:val="fr-BE"/>
              </w:rPr>
            </w:pPr>
            <w:r w:rsidRPr="009143B4">
              <w:rPr>
                <w:b/>
                <w:noProof/>
                <w:sz w:val="16"/>
                <w:szCs w:val="16"/>
                <w:lang w:val="fr-BE"/>
              </w:rPr>
              <w:t>Jednostka miary</w:t>
            </w:r>
          </w:p>
        </w:tc>
        <w:tc>
          <w:tcPr>
            <w:tcW w:w="0" w:type="auto"/>
            <w:shd w:val="clear" w:color="auto" w:fill="auto"/>
          </w:tcPr>
          <w:p w14:paraId="687C1403" w14:textId="77777777" w:rsidR="008C5CFA" w:rsidRPr="009143B4" w:rsidRDefault="00E82A60" w:rsidP="00300A01">
            <w:pPr>
              <w:spacing w:before="0" w:after="0"/>
              <w:rPr>
                <w:b/>
                <w:sz w:val="16"/>
                <w:szCs w:val="16"/>
                <w:lang w:val="fr-BE"/>
              </w:rPr>
            </w:pPr>
            <w:r w:rsidRPr="009143B4">
              <w:rPr>
                <w:b/>
                <w:noProof/>
                <w:sz w:val="16"/>
                <w:szCs w:val="16"/>
                <w:lang w:val="fr-BE"/>
              </w:rPr>
              <w:t>Kategoria regionu</w:t>
            </w:r>
          </w:p>
        </w:tc>
        <w:tc>
          <w:tcPr>
            <w:tcW w:w="0" w:type="auto"/>
            <w:shd w:val="clear" w:color="auto" w:fill="auto"/>
          </w:tcPr>
          <w:p w14:paraId="7B18B20B" w14:textId="77777777" w:rsidR="008C5CFA" w:rsidRPr="009143B4" w:rsidRDefault="00E82A60" w:rsidP="00300A01">
            <w:pPr>
              <w:spacing w:before="0" w:after="0"/>
              <w:jc w:val="center"/>
              <w:rPr>
                <w:b/>
                <w:sz w:val="16"/>
                <w:szCs w:val="16"/>
                <w:lang w:val="fr-BE"/>
              </w:rPr>
            </w:pPr>
            <w:r w:rsidRPr="009143B4">
              <w:rPr>
                <w:b/>
                <w:noProof/>
                <w:sz w:val="16"/>
                <w:szCs w:val="16"/>
                <w:lang w:val="fr-BE"/>
              </w:rPr>
              <w:t>Wartość docelowa (2023) ogółem</w:t>
            </w:r>
          </w:p>
        </w:tc>
        <w:tc>
          <w:tcPr>
            <w:tcW w:w="0" w:type="auto"/>
            <w:shd w:val="clear" w:color="auto" w:fill="auto"/>
          </w:tcPr>
          <w:p w14:paraId="7D7352F8" w14:textId="77777777" w:rsidR="008C5CFA" w:rsidRPr="009143B4" w:rsidRDefault="00E82A60" w:rsidP="00300A01">
            <w:pPr>
              <w:spacing w:before="0" w:after="0"/>
              <w:jc w:val="center"/>
              <w:rPr>
                <w:b/>
                <w:sz w:val="16"/>
                <w:szCs w:val="16"/>
                <w:lang w:val="fr-BE"/>
              </w:rPr>
            </w:pPr>
            <w:r w:rsidRPr="009143B4">
              <w:rPr>
                <w:b/>
                <w:noProof/>
                <w:sz w:val="16"/>
                <w:szCs w:val="16"/>
                <w:lang w:val="fr-BE"/>
              </w:rPr>
              <w:t>Wartość docelowa (2023) mężczyźni</w:t>
            </w:r>
          </w:p>
        </w:tc>
        <w:tc>
          <w:tcPr>
            <w:tcW w:w="0" w:type="auto"/>
          </w:tcPr>
          <w:p w14:paraId="4C42E16A" w14:textId="77777777" w:rsidR="008C5CFA" w:rsidRPr="009143B4" w:rsidRDefault="00E82A60" w:rsidP="00300A01">
            <w:pPr>
              <w:spacing w:before="0" w:after="0"/>
              <w:jc w:val="center"/>
              <w:rPr>
                <w:b/>
                <w:sz w:val="16"/>
                <w:szCs w:val="16"/>
                <w:lang w:val="fr-BE"/>
              </w:rPr>
            </w:pPr>
            <w:r w:rsidRPr="009143B4">
              <w:rPr>
                <w:b/>
                <w:noProof/>
                <w:sz w:val="16"/>
                <w:szCs w:val="16"/>
                <w:lang w:val="fr-BE"/>
              </w:rPr>
              <w:t>Wartość docelowa (2023) kobiety</w:t>
            </w:r>
          </w:p>
        </w:tc>
        <w:tc>
          <w:tcPr>
            <w:tcW w:w="0" w:type="auto"/>
            <w:shd w:val="clear" w:color="auto" w:fill="auto"/>
          </w:tcPr>
          <w:p w14:paraId="3CCE79F2" w14:textId="77777777" w:rsidR="008C5CFA" w:rsidRPr="009143B4" w:rsidRDefault="00E82A60" w:rsidP="00300A01">
            <w:pPr>
              <w:spacing w:before="0" w:after="0"/>
              <w:jc w:val="center"/>
              <w:rPr>
                <w:b/>
                <w:sz w:val="16"/>
                <w:szCs w:val="16"/>
                <w:lang w:val="fr-BE"/>
              </w:rPr>
            </w:pPr>
            <w:r>
              <w:rPr>
                <w:b/>
                <w:sz w:val="16"/>
                <w:szCs w:val="16"/>
                <w:lang w:val="fr-BE"/>
              </w:rPr>
              <w:t xml:space="preserve">2019 </w:t>
            </w:r>
            <w:r w:rsidRPr="009143B4">
              <w:rPr>
                <w:b/>
                <w:noProof/>
                <w:sz w:val="16"/>
                <w:szCs w:val="16"/>
                <w:lang w:val="fr-BE"/>
              </w:rPr>
              <w:t>Ogółem</w:t>
            </w:r>
          </w:p>
        </w:tc>
        <w:tc>
          <w:tcPr>
            <w:tcW w:w="0" w:type="auto"/>
            <w:shd w:val="clear" w:color="auto" w:fill="auto"/>
          </w:tcPr>
          <w:p w14:paraId="58291BF8" w14:textId="77777777" w:rsidR="008C5CFA" w:rsidRPr="009143B4" w:rsidRDefault="00E82A60" w:rsidP="00300A01">
            <w:pPr>
              <w:spacing w:before="0" w:after="0"/>
              <w:jc w:val="center"/>
              <w:rPr>
                <w:b/>
                <w:sz w:val="16"/>
                <w:szCs w:val="16"/>
                <w:lang w:val="fr-BE"/>
              </w:rPr>
            </w:pPr>
            <w:r>
              <w:rPr>
                <w:b/>
                <w:sz w:val="16"/>
                <w:szCs w:val="16"/>
                <w:lang w:val="fr-BE"/>
              </w:rPr>
              <w:t xml:space="preserve">2019 </w:t>
            </w:r>
            <w:r w:rsidRPr="009143B4">
              <w:rPr>
                <w:b/>
                <w:noProof/>
                <w:sz w:val="16"/>
                <w:szCs w:val="16"/>
                <w:lang w:val="fr-BE"/>
              </w:rPr>
              <w:t>Mężczyźni</w:t>
            </w:r>
          </w:p>
        </w:tc>
        <w:tc>
          <w:tcPr>
            <w:tcW w:w="0" w:type="auto"/>
            <w:shd w:val="clear" w:color="auto" w:fill="auto"/>
          </w:tcPr>
          <w:p w14:paraId="3C22D7E1" w14:textId="77777777" w:rsidR="008C5CFA" w:rsidRPr="009143B4" w:rsidRDefault="00E82A60" w:rsidP="00300A01">
            <w:pPr>
              <w:spacing w:before="0" w:after="0"/>
              <w:jc w:val="center"/>
              <w:rPr>
                <w:b/>
                <w:sz w:val="16"/>
                <w:szCs w:val="16"/>
                <w:lang w:val="fr-BE"/>
              </w:rPr>
            </w:pPr>
            <w:r>
              <w:rPr>
                <w:b/>
                <w:sz w:val="16"/>
                <w:szCs w:val="16"/>
                <w:lang w:val="fr-BE"/>
              </w:rPr>
              <w:t xml:space="preserve">2019 </w:t>
            </w:r>
            <w:r w:rsidRPr="009143B4">
              <w:rPr>
                <w:b/>
                <w:noProof/>
                <w:sz w:val="16"/>
                <w:szCs w:val="16"/>
                <w:lang w:val="fr-BE"/>
              </w:rPr>
              <w:t>Kobiety</w:t>
            </w:r>
          </w:p>
        </w:tc>
        <w:tc>
          <w:tcPr>
            <w:tcW w:w="0" w:type="auto"/>
            <w:shd w:val="clear" w:color="auto" w:fill="auto"/>
          </w:tcPr>
          <w:p w14:paraId="1FC0A3F6" w14:textId="77777777" w:rsidR="008C5CFA" w:rsidRPr="009143B4" w:rsidRDefault="00E82A60" w:rsidP="00300A01">
            <w:pPr>
              <w:spacing w:before="0" w:after="0"/>
              <w:jc w:val="center"/>
              <w:rPr>
                <w:b/>
                <w:sz w:val="16"/>
                <w:szCs w:val="16"/>
                <w:lang w:val="fr-BE"/>
              </w:rPr>
            </w:pPr>
            <w:r w:rsidRPr="009143B4">
              <w:rPr>
                <w:b/>
                <w:noProof/>
                <w:sz w:val="16"/>
                <w:szCs w:val="16"/>
                <w:lang w:val="fr-BE"/>
              </w:rPr>
              <w:t>Uwagi</w:t>
            </w:r>
          </w:p>
        </w:tc>
      </w:tr>
      <w:tr w:rsidR="006B2EC1" w14:paraId="2A8B0721" w14:textId="77777777" w:rsidTr="0047688D">
        <w:tc>
          <w:tcPr>
            <w:tcW w:w="0" w:type="auto"/>
          </w:tcPr>
          <w:p w14:paraId="204FBFA7" w14:textId="77777777" w:rsidR="008C5CFA" w:rsidRPr="0024468B" w:rsidRDefault="00E82A60" w:rsidP="00300A01">
            <w:pPr>
              <w:spacing w:before="0" w:after="0"/>
              <w:rPr>
                <w:sz w:val="16"/>
                <w:szCs w:val="16"/>
                <w:lang w:val="fr-BE"/>
              </w:rPr>
            </w:pPr>
            <w:r>
              <w:rPr>
                <w:noProof/>
                <w:sz w:val="16"/>
                <w:szCs w:val="16"/>
                <w:lang w:val="fr-BE"/>
              </w:rPr>
              <w:t>F</w:t>
            </w:r>
          </w:p>
        </w:tc>
        <w:tc>
          <w:tcPr>
            <w:tcW w:w="0" w:type="auto"/>
            <w:shd w:val="clear" w:color="auto" w:fill="auto"/>
          </w:tcPr>
          <w:p w14:paraId="2E78332D" w14:textId="77777777" w:rsidR="008C5CFA" w:rsidRPr="0024468B" w:rsidRDefault="00E82A60" w:rsidP="00300A01">
            <w:pPr>
              <w:spacing w:before="0" w:after="0"/>
              <w:rPr>
                <w:sz w:val="16"/>
                <w:szCs w:val="16"/>
                <w:lang w:val="fr-BE"/>
              </w:rPr>
            </w:pPr>
            <w:r w:rsidRPr="0024468B">
              <w:rPr>
                <w:noProof/>
                <w:sz w:val="16"/>
                <w:szCs w:val="16"/>
                <w:lang w:val="fr-BE"/>
              </w:rPr>
              <w:t>CO01</w:t>
            </w:r>
          </w:p>
        </w:tc>
        <w:tc>
          <w:tcPr>
            <w:tcW w:w="0" w:type="auto"/>
            <w:shd w:val="clear" w:color="auto" w:fill="auto"/>
          </w:tcPr>
          <w:p w14:paraId="54500017" w14:textId="77777777" w:rsidR="008C5CFA" w:rsidRPr="0024468B" w:rsidRDefault="00E82A60" w:rsidP="00300A01">
            <w:pPr>
              <w:spacing w:before="0" w:after="0"/>
              <w:rPr>
                <w:sz w:val="16"/>
                <w:szCs w:val="16"/>
                <w:lang w:val="fr-BE"/>
              </w:rPr>
            </w:pPr>
            <w:r w:rsidRPr="0024468B">
              <w:rPr>
                <w:noProof/>
                <w:sz w:val="16"/>
                <w:szCs w:val="16"/>
                <w:lang w:val="fr-BE"/>
              </w:rPr>
              <w:t>Inwestycje produkcyjne: liczba przedsiębiorstw otrzymujących wsparcie</w:t>
            </w:r>
          </w:p>
        </w:tc>
        <w:tc>
          <w:tcPr>
            <w:tcW w:w="0" w:type="auto"/>
            <w:shd w:val="clear" w:color="auto" w:fill="auto"/>
          </w:tcPr>
          <w:p w14:paraId="1C205BC8" w14:textId="77777777" w:rsidR="008C5CFA" w:rsidRPr="0024468B" w:rsidRDefault="00E82A60" w:rsidP="00300A01">
            <w:pPr>
              <w:spacing w:before="0" w:after="0"/>
              <w:rPr>
                <w:sz w:val="16"/>
                <w:szCs w:val="16"/>
                <w:lang w:val="fr-BE"/>
              </w:rPr>
            </w:pPr>
            <w:r>
              <w:rPr>
                <w:noProof/>
                <w:sz w:val="16"/>
                <w:szCs w:val="16"/>
                <w:lang w:val="fr-BE"/>
              </w:rPr>
              <w:t>Przedsiębiorstwa</w:t>
            </w:r>
          </w:p>
        </w:tc>
        <w:tc>
          <w:tcPr>
            <w:tcW w:w="0" w:type="auto"/>
            <w:shd w:val="clear" w:color="auto" w:fill="auto"/>
          </w:tcPr>
          <w:p w14:paraId="206DD0F0" w14:textId="77777777" w:rsidR="008C5CFA" w:rsidRPr="0024468B" w:rsidRDefault="00E82A60"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14:paraId="2FF55364" w14:textId="77777777" w:rsidR="008C5CFA" w:rsidRPr="0024468B" w:rsidRDefault="00E82A60" w:rsidP="00300A01">
            <w:pPr>
              <w:spacing w:before="0" w:after="0"/>
              <w:jc w:val="right"/>
              <w:rPr>
                <w:sz w:val="16"/>
                <w:szCs w:val="16"/>
                <w:lang w:val="fr-BE"/>
              </w:rPr>
            </w:pPr>
            <w:r>
              <w:rPr>
                <w:noProof/>
                <w:sz w:val="16"/>
                <w:szCs w:val="16"/>
                <w:lang w:val="fr-BE"/>
              </w:rPr>
              <w:t>53,00</w:t>
            </w:r>
          </w:p>
        </w:tc>
        <w:tc>
          <w:tcPr>
            <w:tcW w:w="0" w:type="auto"/>
            <w:shd w:val="clear" w:color="auto" w:fill="auto"/>
          </w:tcPr>
          <w:p w14:paraId="718CF2C0" w14:textId="77777777" w:rsidR="008C5CFA" w:rsidRPr="0024468B" w:rsidRDefault="008C5CFA" w:rsidP="00300A01">
            <w:pPr>
              <w:spacing w:before="0" w:after="0"/>
              <w:jc w:val="right"/>
              <w:rPr>
                <w:sz w:val="16"/>
                <w:szCs w:val="16"/>
                <w:lang w:val="fr-BE"/>
              </w:rPr>
            </w:pPr>
          </w:p>
        </w:tc>
        <w:tc>
          <w:tcPr>
            <w:tcW w:w="0" w:type="auto"/>
          </w:tcPr>
          <w:p w14:paraId="47499E45" w14:textId="77777777" w:rsidR="008C5CFA" w:rsidRPr="0024468B" w:rsidRDefault="008C5CFA" w:rsidP="00300A01">
            <w:pPr>
              <w:spacing w:before="0" w:after="0"/>
              <w:jc w:val="right"/>
              <w:rPr>
                <w:sz w:val="16"/>
                <w:szCs w:val="16"/>
                <w:lang w:val="fr-BE"/>
              </w:rPr>
            </w:pPr>
          </w:p>
        </w:tc>
        <w:tc>
          <w:tcPr>
            <w:tcW w:w="0" w:type="auto"/>
            <w:shd w:val="clear" w:color="auto" w:fill="auto"/>
          </w:tcPr>
          <w:p w14:paraId="6E4993E8" w14:textId="77777777" w:rsidR="008C5CFA" w:rsidRPr="0024468B" w:rsidRDefault="00E82A60" w:rsidP="00300A01">
            <w:pPr>
              <w:spacing w:before="0" w:after="0"/>
              <w:jc w:val="right"/>
              <w:rPr>
                <w:sz w:val="16"/>
                <w:szCs w:val="16"/>
                <w:lang w:val="fr-BE"/>
              </w:rPr>
            </w:pPr>
            <w:r w:rsidRPr="0024468B">
              <w:rPr>
                <w:noProof/>
                <w:sz w:val="16"/>
                <w:szCs w:val="16"/>
                <w:lang w:val="fr-BE"/>
              </w:rPr>
              <w:t>48,00</w:t>
            </w:r>
          </w:p>
        </w:tc>
        <w:tc>
          <w:tcPr>
            <w:tcW w:w="0" w:type="auto"/>
            <w:shd w:val="clear" w:color="auto" w:fill="auto"/>
          </w:tcPr>
          <w:p w14:paraId="17BC1921"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261CC58E"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38D3A5C3" w14:textId="77777777" w:rsidR="008C5CFA" w:rsidRPr="0024468B" w:rsidRDefault="008C5CFA" w:rsidP="00300A01">
            <w:pPr>
              <w:spacing w:before="0" w:after="0"/>
              <w:rPr>
                <w:sz w:val="16"/>
                <w:szCs w:val="16"/>
                <w:lang w:val="fr-BE"/>
              </w:rPr>
            </w:pPr>
          </w:p>
        </w:tc>
      </w:tr>
      <w:tr w:rsidR="006B2EC1" w14:paraId="0ED8DDB8" w14:textId="77777777" w:rsidTr="0047688D">
        <w:tc>
          <w:tcPr>
            <w:tcW w:w="0" w:type="auto"/>
          </w:tcPr>
          <w:p w14:paraId="329D35EF" w14:textId="77777777" w:rsidR="008C5CFA" w:rsidRPr="0024468B" w:rsidRDefault="00E82A60" w:rsidP="00300A01">
            <w:pPr>
              <w:spacing w:before="0" w:after="0"/>
              <w:rPr>
                <w:sz w:val="16"/>
                <w:szCs w:val="16"/>
                <w:lang w:val="fr-BE"/>
              </w:rPr>
            </w:pPr>
            <w:r>
              <w:rPr>
                <w:noProof/>
                <w:sz w:val="16"/>
                <w:szCs w:val="16"/>
                <w:lang w:val="fr-BE"/>
              </w:rPr>
              <w:t>S</w:t>
            </w:r>
          </w:p>
        </w:tc>
        <w:tc>
          <w:tcPr>
            <w:tcW w:w="0" w:type="auto"/>
            <w:shd w:val="clear" w:color="auto" w:fill="auto"/>
          </w:tcPr>
          <w:p w14:paraId="542AED76" w14:textId="77777777" w:rsidR="008C5CFA" w:rsidRPr="0024468B" w:rsidRDefault="00E82A60" w:rsidP="00300A01">
            <w:pPr>
              <w:spacing w:before="0" w:after="0"/>
              <w:rPr>
                <w:sz w:val="16"/>
                <w:szCs w:val="16"/>
                <w:lang w:val="fr-BE"/>
              </w:rPr>
            </w:pPr>
            <w:r w:rsidRPr="0024468B">
              <w:rPr>
                <w:noProof/>
                <w:sz w:val="16"/>
                <w:szCs w:val="16"/>
                <w:lang w:val="fr-BE"/>
              </w:rPr>
              <w:t>CO01</w:t>
            </w:r>
          </w:p>
        </w:tc>
        <w:tc>
          <w:tcPr>
            <w:tcW w:w="0" w:type="auto"/>
            <w:shd w:val="clear" w:color="auto" w:fill="auto"/>
          </w:tcPr>
          <w:p w14:paraId="0DE4A754" w14:textId="77777777" w:rsidR="008C5CFA" w:rsidRPr="0024468B" w:rsidRDefault="00E82A60" w:rsidP="00300A01">
            <w:pPr>
              <w:spacing w:before="0" w:after="0"/>
              <w:rPr>
                <w:sz w:val="16"/>
                <w:szCs w:val="16"/>
                <w:lang w:val="fr-BE"/>
              </w:rPr>
            </w:pPr>
            <w:r w:rsidRPr="0024468B">
              <w:rPr>
                <w:noProof/>
                <w:sz w:val="16"/>
                <w:szCs w:val="16"/>
                <w:lang w:val="fr-BE"/>
              </w:rPr>
              <w:t>Inwestycje produkcyjne: liczba przedsiębiorstw otrzymujących wsparcie</w:t>
            </w:r>
          </w:p>
        </w:tc>
        <w:tc>
          <w:tcPr>
            <w:tcW w:w="0" w:type="auto"/>
            <w:shd w:val="clear" w:color="auto" w:fill="auto"/>
          </w:tcPr>
          <w:p w14:paraId="17F404BB" w14:textId="77777777" w:rsidR="008C5CFA" w:rsidRPr="0024468B" w:rsidRDefault="00E82A60" w:rsidP="00300A01">
            <w:pPr>
              <w:spacing w:before="0" w:after="0"/>
              <w:rPr>
                <w:sz w:val="16"/>
                <w:szCs w:val="16"/>
                <w:lang w:val="fr-BE"/>
              </w:rPr>
            </w:pPr>
            <w:r>
              <w:rPr>
                <w:noProof/>
                <w:sz w:val="16"/>
                <w:szCs w:val="16"/>
                <w:lang w:val="fr-BE"/>
              </w:rPr>
              <w:t>Przedsiębiorstwa</w:t>
            </w:r>
          </w:p>
        </w:tc>
        <w:tc>
          <w:tcPr>
            <w:tcW w:w="0" w:type="auto"/>
            <w:shd w:val="clear" w:color="auto" w:fill="auto"/>
          </w:tcPr>
          <w:p w14:paraId="07662ACA" w14:textId="77777777" w:rsidR="008C5CFA" w:rsidRPr="0024468B" w:rsidRDefault="00E82A60"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14:paraId="75844B57" w14:textId="77777777" w:rsidR="008C5CFA" w:rsidRPr="0024468B" w:rsidRDefault="00E82A60" w:rsidP="00300A01">
            <w:pPr>
              <w:spacing w:before="0" w:after="0"/>
              <w:jc w:val="right"/>
              <w:rPr>
                <w:sz w:val="16"/>
                <w:szCs w:val="16"/>
                <w:lang w:val="fr-BE"/>
              </w:rPr>
            </w:pPr>
            <w:r>
              <w:rPr>
                <w:noProof/>
                <w:sz w:val="16"/>
                <w:szCs w:val="16"/>
                <w:lang w:val="fr-BE"/>
              </w:rPr>
              <w:t>53,00</w:t>
            </w:r>
          </w:p>
        </w:tc>
        <w:tc>
          <w:tcPr>
            <w:tcW w:w="0" w:type="auto"/>
            <w:shd w:val="clear" w:color="auto" w:fill="auto"/>
          </w:tcPr>
          <w:p w14:paraId="6F4B3F24" w14:textId="77777777" w:rsidR="008C5CFA" w:rsidRPr="0024468B" w:rsidRDefault="008C5CFA" w:rsidP="00300A01">
            <w:pPr>
              <w:spacing w:before="0" w:after="0"/>
              <w:jc w:val="right"/>
              <w:rPr>
                <w:sz w:val="16"/>
                <w:szCs w:val="16"/>
                <w:lang w:val="fr-BE"/>
              </w:rPr>
            </w:pPr>
          </w:p>
        </w:tc>
        <w:tc>
          <w:tcPr>
            <w:tcW w:w="0" w:type="auto"/>
          </w:tcPr>
          <w:p w14:paraId="34C22FB4" w14:textId="77777777" w:rsidR="008C5CFA" w:rsidRPr="0024468B" w:rsidRDefault="008C5CFA" w:rsidP="00300A01">
            <w:pPr>
              <w:spacing w:before="0" w:after="0"/>
              <w:jc w:val="right"/>
              <w:rPr>
                <w:sz w:val="16"/>
                <w:szCs w:val="16"/>
                <w:lang w:val="fr-BE"/>
              </w:rPr>
            </w:pPr>
          </w:p>
        </w:tc>
        <w:tc>
          <w:tcPr>
            <w:tcW w:w="0" w:type="auto"/>
            <w:shd w:val="clear" w:color="auto" w:fill="auto"/>
          </w:tcPr>
          <w:p w14:paraId="18ACEE53" w14:textId="77777777" w:rsidR="008C5CFA" w:rsidRPr="0024468B" w:rsidRDefault="00E82A60" w:rsidP="00300A01">
            <w:pPr>
              <w:spacing w:before="0" w:after="0"/>
              <w:jc w:val="right"/>
              <w:rPr>
                <w:sz w:val="16"/>
                <w:szCs w:val="16"/>
                <w:lang w:val="fr-BE"/>
              </w:rPr>
            </w:pPr>
            <w:r w:rsidRPr="0024468B">
              <w:rPr>
                <w:noProof/>
                <w:sz w:val="16"/>
                <w:szCs w:val="16"/>
                <w:lang w:val="fr-BE"/>
              </w:rPr>
              <w:t>57,00</w:t>
            </w:r>
          </w:p>
        </w:tc>
        <w:tc>
          <w:tcPr>
            <w:tcW w:w="0" w:type="auto"/>
            <w:shd w:val="clear" w:color="auto" w:fill="auto"/>
          </w:tcPr>
          <w:p w14:paraId="3D3FA924"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4E488C64"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503EA8A7" w14:textId="77777777" w:rsidR="008C5CFA" w:rsidRPr="0024468B" w:rsidRDefault="008C5CFA" w:rsidP="00300A01">
            <w:pPr>
              <w:spacing w:before="0" w:after="0"/>
              <w:rPr>
                <w:sz w:val="16"/>
                <w:szCs w:val="16"/>
                <w:lang w:val="fr-BE"/>
              </w:rPr>
            </w:pPr>
          </w:p>
        </w:tc>
      </w:tr>
      <w:tr w:rsidR="006B2EC1" w14:paraId="3C19AA2C" w14:textId="77777777" w:rsidTr="0047688D">
        <w:tc>
          <w:tcPr>
            <w:tcW w:w="0" w:type="auto"/>
          </w:tcPr>
          <w:p w14:paraId="30BEA786" w14:textId="77777777" w:rsidR="008C5CFA" w:rsidRPr="0024468B" w:rsidRDefault="00E82A60" w:rsidP="00300A01">
            <w:pPr>
              <w:spacing w:before="0" w:after="0"/>
              <w:rPr>
                <w:sz w:val="16"/>
                <w:szCs w:val="16"/>
                <w:lang w:val="fr-BE"/>
              </w:rPr>
            </w:pPr>
            <w:r>
              <w:rPr>
                <w:noProof/>
                <w:sz w:val="16"/>
                <w:szCs w:val="16"/>
                <w:lang w:val="fr-BE"/>
              </w:rPr>
              <w:t>F</w:t>
            </w:r>
          </w:p>
        </w:tc>
        <w:tc>
          <w:tcPr>
            <w:tcW w:w="0" w:type="auto"/>
            <w:shd w:val="clear" w:color="auto" w:fill="auto"/>
          </w:tcPr>
          <w:p w14:paraId="1D2D84B1" w14:textId="77777777" w:rsidR="008C5CFA" w:rsidRPr="0024468B" w:rsidRDefault="00E82A60" w:rsidP="00300A01">
            <w:pPr>
              <w:spacing w:before="0" w:after="0"/>
              <w:rPr>
                <w:sz w:val="16"/>
                <w:szCs w:val="16"/>
                <w:lang w:val="fr-BE"/>
              </w:rPr>
            </w:pPr>
            <w:r w:rsidRPr="0024468B">
              <w:rPr>
                <w:noProof/>
                <w:sz w:val="16"/>
                <w:szCs w:val="16"/>
                <w:lang w:val="fr-BE"/>
              </w:rPr>
              <w:t>CO02</w:t>
            </w:r>
          </w:p>
        </w:tc>
        <w:tc>
          <w:tcPr>
            <w:tcW w:w="0" w:type="auto"/>
            <w:shd w:val="clear" w:color="auto" w:fill="auto"/>
          </w:tcPr>
          <w:p w14:paraId="764838F0" w14:textId="77777777" w:rsidR="008C5CFA" w:rsidRPr="0024468B" w:rsidRDefault="00E82A60" w:rsidP="00300A01">
            <w:pPr>
              <w:spacing w:before="0" w:after="0"/>
              <w:rPr>
                <w:sz w:val="16"/>
                <w:szCs w:val="16"/>
                <w:lang w:val="fr-BE"/>
              </w:rPr>
            </w:pPr>
            <w:r w:rsidRPr="0024468B">
              <w:rPr>
                <w:noProof/>
                <w:sz w:val="16"/>
                <w:szCs w:val="16"/>
                <w:lang w:val="fr-BE"/>
              </w:rPr>
              <w:t>Inwestycje produkcyjne: liczba przedsiębiorstw otrzymujących dotacje</w:t>
            </w:r>
          </w:p>
        </w:tc>
        <w:tc>
          <w:tcPr>
            <w:tcW w:w="0" w:type="auto"/>
            <w:shd w:val="clear" w:color="auto" w:fill="auto"/>
          </w:tcPr>
          <w:p w14:paraId="4BBD49B2" w14:textId="77777777" w:rsidR="008C5CFA" w:rsidRPr="0024468B" w:rsidRDefault="00E82A60" w:rsidP="00300A01">
            <w:pPr>
              <w:spacing w:before="0" w:after="0"/>
              <w:rPr>
                <w:sz w:val="16"/>
                <w:szCs w:val="16"/>
                <w:lang w:val="fr-BE"/>
              </w:rPr>
            </w:pPr>
            <w:r>
              <w:rPr>
                <w:noProof/>
                <w:sz w:val="16"/>
                <w:szCs w:val="16"/>
                <w:lang w:val="fr-BE"/>
              </w:rPr>
              <w:t>Przedsiębiorstwa</w:t>
            </w:r>
          </w:p>
        </w:tc>
        <w:tc>
          <w:tcPr>
            <w:tcW w:w="0" w:type="auto"/>
            <w:shd w:val="clear" w:color="auto" w:fill="auto"/>
          </w:tcPr>
          <w:p w14:paraId="37C10AE8" w14:textId="77777777" w:rsidR="008C5CFA" w:rsidRPr="0024468B" w:rsidRDefault="00E82A60"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14:paraId="03CC2693" w14:textId="77777777" w:rsidR="008C5CFA" w:rsidRPr="0024468B" w:rsidRDefault="00E82A60" w:rsidP="00300A01">
            <w:pPr>
              <w:spacing w:before="0" w:after="0"/>
              <w:jc w:val="right"/>
              <w:rPr>
                <w:sz w:val="16"/>
                <w:szCs w:val="16"/>
                <w:lang w:val="fr-BE"/>
              </w:rPr>
            </w:pPr>
            <w:r>
              <w:rPr>
                <w:noProof/>
                <w:sz w:val="16"/>
                <w:szCs w:val="16"/>
                <w:lang w:val="fr-BE"/>
              </w:rPr>
              <w:t>53,00</w:t>
            </w:r>
          </w:p>
        </w:tc>
        <w:tc>
          <w:tcPr>
            <w:tcW w:w="0" w:type="auto"/>
            <w:shd w:val="clear" w:color="auto" w:fill="auto"/>
          </w:tcPr>
          <w:p w14:paraId="49F08309" w14:textId="77777777" w:rsidR="008C5CFA" w:rsidRPr="0024468B" w:rsidRDefault="008C5CFA" w:rsidP="00300A01">
            <w:pPr>
              <w:spacing w:before="0" w:after="0"/>
              <w:jc w:val="right"/>
              <w:rPr>
                <w:sz w:val="16"/>
                <w:szCs w:val="16"/>
                <w:lang w:val="fr-BE"/>
              </w:rPr>
            </w:pPr>
          </w:p>
        </w:tc>
        <w:tc>
          <w:tcPr>
            <w:tcW w:w="0" w:type="auto"/>
          </w:tcPr>
          <w:p w14:paraId="2ADFBB80" w14:textId="77777777" w:rsidR="008C5CFA" w:rsidRPr="0024468B" w:rsidRDefault="008C5CFA" w:rsidP="00300A01">
            <w:pPr>
              <w:spacing w:before="0" w:after="0"/>
              <w:jc w:val="right"/>
              <w:rPr>
                <w:sz w:val="16"/>
                <w:szCs w:val="16"/>
                <w:lang w:val="fr-BE"/>
              </w:rPr>
            </w:pPr>
          </w:p>
        </w:tc>
        <w:tc>
          <w:tcPr>
            <w:tcW w:w="0" w:type="auto"/>
            <w:shd w:val="clear" w:color="auto" w:fill="auto"/>
          </w:tcPr>
          <w:p w14:paraId="6428DF0F" w14:textId="77777777" w:rsidR="008C5CFA" w:rsidRPr="0024468B" w:rsidRDefault="00E82A60" w:rsidP="00300A01">
            <w:pPr>
              <w:spacing w:before="0" w:after="0"/>
              <w:jc w:val="right"/>
              <w:rPr>
                <w:sz w:val="16"/>
                <w:szCs w:val="16"/>
                <w:lang w:val="fr-BE"/>
              </w:rPr>
            </w:pPr>
            <w:r w:rsidRPr="0024468B">
              <w:rPr>
                <w:noProof/>
                <w:sz w:val="16"/>
                <w:szCs w:val="16"/>
                <w:lang w:val="fr-BE"/>
              </w:rPr>
              <w:t>24,00</w:t>
            </w:r>
          </w:p>
        </w:tc>
        <w:tc>
          <w:tcPr>
            <w:tcW w:w="0" w:type="auto"/>
            <w:shd w:val="clear" w:color="auto" w:fill="auto"/>
          </w:tcPr>
          <w:p w14:paraId="0F02402F"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6464F69B"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1055869B" w14:textId="77777777" w:rsidR="008C5CFA" w:rsidRPr="0024468B" w:rsidRDefault="008C5CFA" w:rsidP="00300A01">
            <w:pPr>
              <w:spacing w:before="0" w:after="0"/>
              <w:rPr>
                <w:sz w:val="16"/>
                <w:szCs w:val="16"/>
                <w:lang w:val="fr-BE"/>
              </w:rPr>
            </w:pPr>
          </w:p>
        </w:tc>
      </w:tr>
      <w:tr w:rsidR="006B2EC1" w14:paraId="39BFC88C" w14:textId="77777777" w:rsidTr="0047688D">
        <w:tc>
          <w:tcPr>
            <w:tcW w:w="0" w:type="auto"/>
          </w:tcPr>
          <w:p w14:paraId="3FA226DC" w14:textId="77777777" w:rsidR="008C5CFA" w:rsidRPr="0024468B" w:rsidRDefault="00E82A60" w:rsidP="00300A01">
            <w:pPr>
              <w:spacing w:before="0" w:after="0"/>
              <w:rPr>
                <w:sz w:val="16"/>
                <w:szCs w:val="16"/>
                <w:lang w:val="fr-BE"/>
              </w:rPr>
            </w:pPr>
            <w:r>
              <w:rPr>
                <w:noProof/>
                <w:sz w:val="16"/>
                <w:szCs w:val="16"/>
                <w:lang w:val="fr-BE"/>
              </w:rPr>
              <w:t>S</w:t>
            </w:r>
          </w:p>
        </w:tc>
        <w:tc>
          <w:tcPr>
            <w:tcW w:w="0" w:type="auto"/>
            <w:shd w:val="clear" w:color="auto" w:fill="auto"/>
          </w:tcPr>
          <w:p w14:paraId="4AB9ADB2" w14:textId="77777777" w:rsidR="008C5CFA" w:rsidRPr="0024468B" w:rsidRDefault="00E82A60" w:rsidP="00300A01">
            <w:pPr>
              <w:spacing w:before="0" w:after="0"/>
              <w:rPr>
                <w:sz w:val="16"/>
                <w:szCs w:val="16"/>
                <w:lang w:val="fr-BE"/>
              </w:rPr>
            </w:pPr>
            <w:r w:rsidRPr="0024468B">
              <w:rPr>
                <w:noProof/>
                <w:sz w:val="16"/>
                <w:szCs w:val="16"/>
                <w:lang w:val="fr-BE"/>
              </w:rPr>
              <w:t>CO02</w:t>
            </w:r>
          </w:p>
        </w:tc>
        <w:tc>
          <w:tcPr>
            <w:tcW w:w="0" w:type="auto"/>
            <w:shd w:val="clear" w:color="auto" w:fill="auto"/>
          </w:tcPr>
          <w:p w14:paraId="50497575" w14:textId="77777777" w:rsidR="008C5CFA" w:rsidRPr="0024468B" w:rsidRDefault="00E82A60" w:rsidP="00300A01">
            <w:pPr>
              <w:spacing w:before="0" w:after="0"/>
              <w:rPr>
                <w:sz w:val="16"/>
                <w:szCs w:val="16"/>
                <w:lang w:val="fr-BE"/>
              </w:rPr>
            </w:pPr>
            <w:r w:rsidRPr="0024468B">
              <w:rPr>
                <w:noProof/>
                <w:sz w:val="16"/>
                <w:szCs w:val="16"/>
                <w:lang w:val="fr-BE"/>
              </w:rPr>
              <w:t>Inwestycje produkcyjne: liczba przedsiębiorstw otrzymujących dotacje</w:t>
            </w:r>
          </w:p>
        </w:tc>
        <w:tc>
          <w:tcPr>
            <w:tcW w:w="0" w:type="auto"/>
            <w:shd w:val="clear" w:color="auto" w:fill="auto"/>
          </w:tcPr>
          <w:p w14:paraId="2D2BE3A5" w14:textId="77777777" w:rsidR="008C5CFA" w:rsidRPr="0024468B" w:rsidRDefault="00E82A60" w:rsidP="00300A01">
            <w:pPr>
              <w:spacing w:before="0" w:after="0"/>
              <w:rPr>
                <w:sz w:val="16"/>
                <w:szCs w:val="16"/>
                <w:lang w:val="fr-BE"/>
              </w:rPr>
            </w:pPr>
            <w:r>
              <w:rPr>
                <w:noProof/>
                <w:sz w:val="16"/>
                <w:szCs w:val="16"/>
                <w:lang w:val="fr-BE"/>
              </w:rPr>
              <w:t>Przedsiębiorstwa</w:t>
            </w:r>
          </w:p>
        </w:tc>
        <w:tc>
          <w:tcPr>
            <w:tcW w:w="0" w:type="auto"/>
            <w:shd w:val="clear" w:color="auto" w:fill="auto"/>
          </w:tcPr>
          <w:p w14:paraId="07C8F821" w14:textId="77777777" w:rsidR="008C5CFA" w:rsidRPr="0024468B" w:rsidRDefault="00E82A60"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14:paraId="43E3AC88" w14:textId="77777777" w:rsidR="008C5CFA" w:rsidRPr="0024468B" w:rsidRDefault="00E82A60" w:rsidP="00300A01">
            <w:pPr>
              <w:spacing w:before="0" w:after="0"/>
              <w:jc w:val="right"/>
              <w:rPr>
                <w:sz w:val="16"/>
                <w:szCs w:val="16"/>
                <w:lang w:val="fr-BE"/>
              </w:rPr>
            </w:pPr>
            <w:r>
              <w:rPr>
                <w:noProof/>
                <w:sz w:val="16"/>
                <w:szCs w:val="16"/>
                <w:lang w:val="fr-BE"/>
              </w:rPr>
              <w:t>53,00</w:t>
            </w:r>
          </w:p>
        </w:tc>
        <w:tc>
          <w:tcPr>
            <w:tcW w:w="0" w:type="auto"/>
            <w:shd w:val="clear" w:color="auto" w:fill="auto"/>
          </w:tcPr>
          <w:p w14:paraId="105EAD22" w14:textId="77777777" w:rsidR="008C5CFA" w:rsidRPr="0024468B" w:rsidRDefault="008C5CFA" w:rsidP="00300A01">
            <w:pPr>
              <w:spacing w:before="0" w:after="0"/>
              <w:jc w:val="right"/>
              <w:rPr>
                <w:sz w:val="16"/>
                <w:szCs w:val="16"/>
                <w:lang w:val="fr-BE"/>
              </w:rPr>
            </w:pPr>
          </w:p>
        </w:tc>
        <w:tc>
          <w:tcPr>
            <w:tcW w:w="0" w:type="auto"/>
          </w:tcPr>
          <w:p w14:paraId="1B24AF05" w14:textId="77777777" w:rsidR="008C5CFA" w:rsidRPr="0024468B" w:rsidRDefault="008C5CFA" w:rsidP="00300A01">
            <w:pPr>
              <w:spacing w:before="0" w:after="0"/>
              <w:jc w:val="right"/>
              <w:rPr>
                <w:sz w:val="16"/>
                <w:szCs w:val="16"/>
                <w:lang w:val="fr-BE"/>
              </w:rPr>
            </w:pPr>
          </w:p>
        </w:tc>
        <w:tc>
          <w:tcPr>
            <w:tcW w:w="0" w:type="auto"/>
            <w:shd w:val="clear" w:color="auto" w:fill="auto"/>
          </w:tcPr>
          <w:p w14:paraId="695B1919" w14:textId="77777777" w:rsidR="008C5CFA" w:rsidRPr="0024468B" w:rsidRDefault="00E82A60" w:rsidP="00300A01">
            <w:pPr>
              <w:spacing w:before="0" w:after="0"/>
              <w:jc w:val="right"/>
              <w:rPr>
                <w:sz w:val="16"/>
                <w:szCs w:val="16"/>
                <w:lang w:val="fr-BE"/>
              </w:rPr>
            </w:pPr>
            <w:r w:rsidRPr="0024468B">
              <w:rPr>
                <w:noProof/>
                <w:sz w:val="16"/>
                <w:szCs w:val="16"/>
                <w:lang w:val="fr-BE"/>
              </w:rPr>
              <w:t>58,00</w:t>
            </w:r>
          </w:p>
        </w:tc>
        <w:tc>
          <w:tcPr>
            <w:tcW w:w="0" w:type="auto"/>
            <w:shd w:val="clear" w:color="auto" w:fill="auto"/>
          </w:tcPr>
          <w:p w14:paraId="66DEBC75"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09F0AF52"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718295F5" w14:textId="77777777" w:rsidR="008C5CFA" w:rsidRPr="0024468B" w:rsidRDefault="008C5CFA" w:rsidP="00300A01">
            <w:pPr>
              <w:spacing w:before="0" w:after="0"/>
              <w:rPr>
                <w:sz w:val="16"/>
                <w:szCs w:val="16"/>
                <w:lang w:val="fr-BE"/>
              </w:rPr>
            </w:pPr>
          </w:p>
        </w:tc>
      </w:tr>
      <w:tr w:rsidR="006B2EC1" w14:paraId="2B388B15" w14:textId="77777777" w:rsidTr="0047688D">
        <w:tc>
          <w:tcPr>
            <w:tcW w:w="0" w:type="auto"/>
          </w:tcPr>
          <w:p w14:paraId="0D7D761C" w14:textId="77777777" w:rsidR="008C5CFA" w:rsidRPr="0024468B" w:rsidRDefault="00E82A60" w:rsidP="00300A01">
            <w:pPr>
              <w:spacing w:before="0" w:after="0"/>
              <w:rPr>
                <w:sz w:val="16"/>
                <w:szCs w:val="16"/>
                <w:lang w:val="fr-BE"/>
              </w:rPr>
            </w:pPr>
            <w:r>
              <w:rPr>
                <w:noProof/>
                <w:sz w:val="16"/>
                <w:szCs w:val="16"/>
                <w:lang w:val="fr-BE"/>
              </w:rPr>
              <w:t>F</w:t>
            </w:r>
          </w:p>
        </w:tc>
        <w:tc>
          <w:tcPr>
            <w:tcW w:w="0" w:type="auto"/>
            <w:shd w:val="clear" w:color="auto" w:fill="auto"/>
          </w:tcPr>
          <w:p w14:paraId="2128BC15" w14:textId="77777777" w:rsidR="008C5CFA" w:rsidRPr="0024468B" w:rsidRDefault="00E82A60" w:rsidP="00300A01">
            <w:pPr>
              <w:spacing w:before="0" w:after="0"/>
              <w:rPr>
                <w:sz w:val="16"/>
                <w:szCs w:val="16"/>
                <w:lang w:val="fr-BE"/>
              </w:rPr>
            </w:pPr>
            <w:r w:rsidRPr="0024468B">
              <w:rPr>
                <w:noProof/>
                <w:sz w:val="16"/>
                <w:szCs w:val="16"/>
                <w:lang w:val="fr-BE"/>
              </w:rPr>
              <w:t>CO06</w:t>
            </w:r>
          </w:p>
        </w:tc>
        <w:tc>
          <w:tcPr>
            <w:tcW w:w="0" w:type="auto"/>
            <w:shd w:val="clear" w:color="auto" w:fill="auto"/>
          </w:tcPr>
          <w:p w14:paraId="32C4360A" w14:textId="77777777" w:rsidR="008C5CFA" w:rsidRPr="0024468B" w:rsidRDefault="00E82A60" w:rsidP="00300A01">
            <w:pPr>
              <w:spacing w:before="0" w:after="0"/>
              <w:rPr>
                <w:sz w:val="16"/>
                <w:szCs w:val="16"/>
                <w:lang w:val="fr-BE"/>
              </w:rPr>
            </w:pPr>
            <w:r w:rsidRPr="0024468B">
              <w:rPr>
                <w:noProof/>
                <w:sz w:val="16"/>
                <w:szCs w:val="16"/>
                <w:lang w:val="fr-BE"/>
              </w:rPr>
              <w:t>Inwestycje produkcyjne: inwestycje prywatne uzupełniające wsparcie publiczne dla przedsiębiorstw (dotacje)</w:t>
            </w:r>
          </w:p>
        </w:tc>
        <w:tc>
          <w:tcPr>
            <w:tcW w:w="0" w:type="auto"/>
            <w:shd w:val="clear" w:color="auto" w:fill="auto"/>
          </w:tcPr>
          <w:p w14:paraId="2C59F141" w14:textId="77777777" w:rsidR="008C5CFA" w:rsidRPr="0024468B" w:rsidRDefault="00E82A60" w:rsidP="00300A01">
            <w:pPr>
              <w:spacing w:before="0" w:after="0"/>
              <w:rPr>
                <w:sz w:val="16"/>
                <w:szCs w:val="16"/>
                <w:lang w:val="fr-BE"/>
              </w:rPr>
            </w:pPr>
            <w:r>
              <w:rPr>
                <w:noProof/>
                <w:sz w:val="16"/>
                <w:szCs w:val="16"/>
                <w:lang w:val="fr-BE"/>
              </w:rPr>
              <w:t>EUR</w:t>
            </w:r>
          </w:p>
        </w:tc>
        <w:tc>
          <w:tcPr>
            <w:tcW w:w="0" w:type="auto"/>
            <w:shd w:val="clear" w:color="auto" w:fill="auto"/>
          </w:tcPr>
          <w:p w14:paraId="1189195E" w14:textId="77777777" w:rsidR="008C5CFA" w:rsidRPr="0024468B" w:rsidRDefault="00E82A60"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14:paraId="539EDAF4" w14:textId="77777777" w:rsidR="008C5CFA" w:rsidRPr="0024468B" w:rsidRDefault="00E82A60" w:rsidP="00300A01">
            <w:pPr>
              <w:spacing w:before="0" w:after="0"/>
              <w:jc w:val="right"/>
              <w:rPr>
                <w:sz w:val="16"/>
                <w:szCs w:val="16"/>
                <w:lang w:val="fr-BE"/>
              </w:rPr>
            </w:pPr>
            <w:r>
              <w:rPr>
                <w:noProof/>
                <w:sz w:val="16"/>
                <w:szCs w:val="16"/>
                <w:lang w:val="fr-BE"/>
              </w:rPr>
              <w:t>5 100 000,00</w:t>
            </w:r>
          </w:p>
        </w:tc>
        <w:tc>
          <w:tcPr>
            <w:tcW w:w="0" w:type="auto"/>
            <w:shd w:val="clear" w:color="auto" w:fill="auto"/>
          </w:tcPr>
          <w:p w14:paraId="10429823" w14:textId="77777777" w:rsidR="008C5CFA" w:rsidRPr="0024468B" w:rsidRDefault="008C5CFA" w:rsidP="00300A01">
            <w:pPr>
              <w:spacing w:before="0" w:after="0"/>
              <w:jc w:val="right"/>
              <w:rPr>
                <w:sz w:val="16"/>
                <w:szCs w:val="16"/>
                <w:lang w:val="fr-BE"/>
              </w:rPr>
            </w:pPr>
          </w:p>
        </w:tc>
        <w:tc>
          <w:tcPr>
            <w:tcW w:w="0" w:type="auto"/>
          </w:tcPr>
          <w:p w14:paraId="65D333DB" w14:textId="77777777" w:rsidR="008C5CFA" w:rsidRPr="0024468B" w:rsidRDefault="008C5CFA" w:rsidP="00300A01">
            <w:pPr>
              <w:spacing w:before="0" w:after="0"/>
              <w:jc w:val="right"/>
              <w:rPr>
                <w:sz w:val="16"/>
                <w:szCs w:val="16"/>
                <w:lang w:val="fr-BE"/>
              </w:rPr>
            </w:pPr>
          </w:p>
        </w:tc>
        <w:tc>
          <w:tcPr>
            <w:tcW w:w="0" w:type="auto"/>
            <w:shd w:val="clear" w:color="auto" w:fill="auto"/>
          </w:tcPr>
          <w:p w14:paraId="72793AC9" w14:textId="77777777" w:rsidR="008C5CFA" w:rsidRPr="0024468B" w:rsidRDefault="00E82A60" w:rsidP="00300A01">
            <w:pPr>
              <w:spacing w:before="0" w:after="0"/>
              <w:jc w:val="right"/>
              <w:rPr>
                <w:sz w:val="16"/>
                <w:szCs w:val="16"/>
                <w:lang w:val="fr-BE"/>
              </w:rPr>
            </w:pPr>
            <w:r w:rsidRPr="0024468B">
              <w:rPr>
                <w:noProof/>
                <w:sz w:val="16"/>
                <w:szCs w:val="16"/>
                <w:lang w:val="fr-BE"/>
              </w:rPr>
              <w:t>3 773 877,77</w:t>
            </w:r>
          </w:p>
        </w:tc>
        <w:tc>
          <w:tcPr>
            <w:tcW w:w="0" w:type="auto"/>
            <w:shd w:val="clear" w:color="auto" w:fill="auto"/>
          </w:tcPr>
          <w:p w14:paraId="2FD1363E"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081AC0DE"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0565BE0C" w14:textId="77777777" w:rsidR="008C5CFA" w:rsidRPr="0024468B" w:rsidRDefault="00E82A60" w:rsidP="00300A01">
            <w:pPr>
              <w:spacing w:before="0" w:after="0"/>
              <w:rPr>
                <w:sz w:val="16"/>
                <w:szCs w:val="16"/>
                <w:lang w:val="fr-BE"/>
              </w:rPr>
            </w:pPr>
            <w:r w:rsidRPr="0024468B">
              <w:rPr>
                <w:noProof/>
                <w:sz w:val="16"/>
                <w:szCs w:val="16"/>
                <w:lang w:val="fr-BE"/>
              </w:rPr>
              <w:t>W związku ze zgłoszoną zmianą wartości docelowej wskaźnika do poziomu 4 587 736,50 EUR,  poziom jego realizacji wyniesie 83%.</w:t>
            </w:r>
          </w:p>
        </w:tc>
      </w:tr>
      <w:tr w:rsidR="006B2EC1" w14:paraId="0B026C56" w14:textId="77777777" w:rsidTr="0047688D">
        <w:tc>
          <w:tcPr>
            <w:tcW w:w="0" w:type="auto"/>
          </w:tcPr>
          <w:p w14:paraId="333C6B5D" w14:textId="77777777" w:rsidR="008C5CFA" w:rsidRPr="0024468B" w:rsidRDefault="00E82A60" w:rsidP="00300A01">
            <w:pPr>
              <w:spacing w:before="0" w:after="0"/>
              <w:rPr>
                <w:sz w:val="16"/>
                <w:szCs w:val="16"/>
                <w:lang w:val="fr-BE"/>
              </w:rPr>
            </w:pPr>
            <w:r>
              <w:rPr>
                <w:noProof/>
                <w:sz w:val="16"/>
                <w:szCs w:val="16"/>
                <w:lang w:val="fr-BE"/>
              </w:rPr>
              <w:t>S</w:t>
            </w:r>
          </w:p>
        </w:tc>
        <w:tc>
          <w:tcPr>
            <w:tcW w:w="0" w:type="auto"/>
            <w:shd w:val="clear" w:color="auto" w:fill="auto"/>
          </w:tcPr>
          <w:p w14:paraId="2FEF943F" w14:textId="77777777" w:rsidR="008C5CFA" w:rsidRPr="0024468B" w:rsidRDefault="00E82A60" w:rsidP="00300A01">
            <w:pPr>
              <w:spacing w:before="0" w:after="0"/>
              <w:rPr>
                <w:sz w:val="16"/>
                <w:szCs w:val="16"/>
                <w:lang w:val="fr-BE"/>
              </w:rPr>
            </w:pPr>
            <w:r w:rsidRPr="0024468B">
              <w:rPr>
                <w:noProof/>
                <w:sz w:val="16"/>
                <w:szCs w:val="16"/>
                <w:lang w:val="fr-BE"/>
              </w:rPr>
              <w:t>CO06</w:t>
            </w:r>
          </w:p>
        </w:tc>
        <w:tc>
          <w:tcPr>
            <w:tcW w:w="0" w:type="auto"/>
            <w:shd w:val="clear" w:color="auto" w:fill="auto"/>
          </w:tcPr>
          <w:p w14:paraId="1516F6FA" w14:textId="77777777" w:rsidR="008C5CFA" w:rsidRPr="0024468B" w:rsidRDefault="00E82A60" w:rsidP="00300A01">
            <w:pPr>
              <w:spacing w:before="0" w:after="0"/>
              <w:rPr>
                <w:sz w:val="16"/>
                <w:szCs w:val="16"/>
                <w:lang w:val="fr-BE"/>
              </w:rPr>
            </w:pPr>
            <w:r w:rsidRPr="0024468B">
              <w:rPr>
                <w:noProof/>
                <w:sz w:val="16"/>
                <w:szCs w:val="16"/>
                <w:lang w:val="fr-BE"/>
              </w:rPr>
              <w:t>Inwestycje produkcyjne: inwestycje prywatne uzupełniające wsparcie publiczne dla przedsiębiorstw (dotacje)</w:t>
            </w:r>
          </w:p>
        </w:tc>
        <w:tc>
          <w:tcPr>
            <w:tcW w:w="0" w:type="auto"/>
            <w:shd w:val="clear" w:color="auto" w:fill="auto"/>
          </w:tcPr>
          <w:p w14:paraId="2D0D903D" w14:textId="77777777" w:rsidR="008C5CFA" w:rsidRPr="0024468B" w:rsidRDefault="00E82A60" w:rsidP="00300A01">
            <w:pPr>
              <w:spacing w:before="0" w:after="0"/>
              <w:rPr>
                <w:sz w:val="16"/>
                <w:szCs w:val="16"/>
                <w:lang w:val="fr-BE"/>
              </w:rPr>
            </w:pPr>
            <w:r>
              <w:rPr>
                <w:noProof/>
                <w:sz w:val="16"/>
                <w:szCs w:val="16"/>
                <w:lang w:val="fr-BE"/>
              </w:rPr>
              <w:t>EUR</w:t>
            </w:r>
          </w:p>
        </w:tc>
        <w:tc>
          <w:tcPr>
            <w:tcW w:w="0" w:type="auto"/>
            <w:shd w:val="clear" w:color="auto" w:fill="auto"/>
          </w:tcPr>
          <w:p w14:paraId="7C634F92" w14:textId="77777777" w:rsidR="008C5CFA" w:rsidRPr="0024468B" w:rsidRDefault="00E82A60"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14:paraId="08F084F6" w14:textId="77777777" w:rsidR="008C5CFA" w:rsidRPr="0024468B" w:rsidRDefault="00E82A60" w:rsidP="00300A01">
            <w:pPr>
              <w:spacing w:before="0" w:after="0"/>
              <w:jc w:val="right"/>
              <w:rPr>
                <w:sz w:val="16"/>
                <w:szCs w:val="16"/>
                <w:lang w:val="fr-BE"/>
              </w:rPr>
            </w:pPr>
            <w:r>
              <w:rPr>
                <w:noProof/>
                <w:sz w:val="16"/>
                <w:szCs w:val="16"/>
                <w:lang w:val="fr-BE"/>
              </w:rPr>
              <w:t>5 100 000,00</w:t>
            </w:r>
          </w:p>
        </w:tc>
        <w:tc>
          <w:tcPr>
            <w:tcW w:w="0" w:type="auto"/>
            <w:shd w:val="clear" w:color="auto" w:fill="auto"/>
          </w:tcPr>
          <w:p w14:paraId="0E297AA8" w14:textId="77777777" w:rsidR="008C5CFA" w:rsidRPr="0024468B" w:rsidRDefault="008C5CFA" w:rsidP="00300A01">
            <w:pPr>
              <w:spacing w:before="0" w:after="0"/>
              <w:jc w:val="right"/>
              <w:rPr>
                <w:sz w:val="16"/>
                <w:szCs w:val="16"/>
                <w:lang w:val="fr-BE"/>
              </w:rPr>
            </w:pPr>
          </w:p>
        </w:tc>
        <w:tc>
          <w:tcPr>
            <w:tcW w:w="0" w:type="auto"/>
          </w:tcPr>
          <w:p w14:paraId="685335BA" w14:textId="77777777" w:rsidR="008C5CFA" w:rsidRPr="0024468B" w:rsidRDefault="008C5CFA" w:rsidP="00300A01">
            <w:pPr>
              <w:spacing w:before="0" w:after="0"/>
              <w:jc w:val="right"/>
              <w:rPr>
                <w:sz w:val="16"/>
                <w:szCs w:val="16"/>
                <w:lang w:val="fr-BE"/>
              </w:rPr>
            </w:pPr>
          </w:p>
        </w:tc>
        <w:tc>
          <w:tcPr>
            <w:tcW w:w="0" w:type="auto"/>
            <w:shd w:val="clear" w:color="auto" w:fill="auto"/>
          </w:tcPr>
          <w:p w14:paraId="5B411156" w14:textId="77777777" w:rsidR="008C5CFA" w:rsidRPr="0024468B" w:rsidRDefault="00E82A60" w:rsidP="00300A01">
            <w:pPr>
              <w:spacing w:before="0" w:after="0"/>
              <w:jc w:val="right"/>
              <w:rPr>
                <w:sz w:val="16"/>
                <w:szCs w:val="16"/>
                <w:lang w:val="fr-BE"/>
              </w:rPr>
            </w:pPr>
            <w:r w:rsidRPr="0024468B">
              <w:rPr>
                <w:noProof/>
                <w:sz w:val="16"/>
                <w:szCs w:val="16"/>
                <w:lang w:val="fr-BE"/>
              </w:rPr>
              <w:t>30 015 300,19</w:t>
            </w:r>
          </w:p>
        </w:tc>
        <w:tc>
          <w:tcPr>
            <w:tcW w:w="0" w:type="auto"/>
            <w:shd w:val="clear" w:color="auto" w:fill="auto"/>
          </w:tcPr>
          <w:p w14:paraId="6A42F83E"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263A40DC"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23D705B3" w14:textId="77777777" w:rsidR="008C5CFA" w:rsidRPr="0024468B" w:rsidRDefault="008C5CFA" w:rsidP="00300A01">
            <w:pPr>
              <w:spacing w:before="0" w:after="0"/>
              <w:rPr>
                <w:sz w:val="16"/>
                <w:szCs w:val="16"/>
                <w:lang w:val="fr-BE"/>
              </w:rPr>
            </w:pPr>
          </w:p>
        </w:tc>
      </w:tr>
      <w:tr w:rsidR="006B2EC1" w14:paraId="160E1D07" w14:textId="77777777" w:rsidTr="0047688D">
        <w:tc>
          <w:tcPr>
            <w:tcW w:w="0" w:type="auto"/>
          </w:tcPr>
          <w:p w14:paraId="7702DD94" w14:textId="77777777" w:rsidR="008C5CFA" w:rsidRPr="0024468B" w:rsidRDefault="00E82A60" w:rsidP="00300A01">
            <w:pPr>
              <w:spacing w:before="0" w:after="0"/>
              <w:rPr>
                <w:sz w:val="16"/>
                <w:szCs w:val="16"/>
                <w:lang w:val="fr-BE"/>
              </w:rPr>
            </w:pPr>
            <w:r>
              <w:rPr>
                <w:noProof/>
                <w:sz w:val="16"/>
                <w:szCs w:val="16"/>
                <w:lang w:val="fr-BE"/>
              </w:rPr>
              <w:t>F</w:t>
            </w:r>
          </w:p>
        </w:tc>
        <w:tc>
          <w:tcPr>
            <w:tcW w:w="0" w:type="auto"/>
            <w:shd w:val="clear" w:color="auto" w:fill="auto"/>
          </w:tcPr>
          <w:p w14:paraId="43FB7BC3" w14:textId="77777777" w:rsidR="008C5CFA" w:rsidRPr="0024468B" w:rsidRDefault="00E82A60" w:rsidP="00300A01">
            <w:pPr>
              <w:spacing w:before="0" w:after="0"/>
              <w:rPr>
                <w:sz w:val="16"/>
                <w:szCs w:val="16"/>
                <w:lang w:val="fr-BE"/>
              </w:rPr>
            </w:pPr>
            <w:r w:rsidRPr="0024468B">
              <w:rPr>
                <w:noProof/>
                <w:sz w:val="16"/>
                <w:szCs w:val="16"/>
                <w:lang w:val="fr-BE"/>
              </w:rPr>
              <w:t>CO26</w:t>
            </w:r>
          </w:p>
        </w:tc>
        <w:tc>
          <w:tcPr>
            <w:tcW w:w="0" w:type="auto"/>
            <w:shd w:val="clear" w:color="auto" w:fill="auto"/>
          </w:tcPr>
          <w:p w14:paraId="21C7D191" w14:textId="77777777" w:rsidR="008C5CFA" w:rsidRPr="0024468B" w:rsidRDefault="00E82A60" w:rsidP="00300A01">
            <w:pPr>
              <w:spacing w:before="0" w:after="0"/>
              <w:rPr>
                <w:sz w:val="16"/>
                <w:szCs w:val="16"/>
                <w:lang w:val="fr-BE"/>
              </w:rPr>
            </w:pPr>
            <w:r w:rsidRPr="0024468B">
              <w:rPr>
                <w:noProof/>
                <w:sz w:val="16"/>
                <w:szCs w:val="16"/>
                <w:lang w:val="fr-BE"/>
              </w:rPr>
              <w:t>Badania i innowacje: liczba przedsiębiorstw współpracujących z ośrodkami badawczymi</w:t>
            </w:r>
          </w:p>
        </w:tc>
        <w:tc>
          <w:tcPr>
            <w:tcW w:w="0" w:type="auto"/>
            <w:shd w:val="clear" w:color="auto" w:fill="auto"/>
          </w:tcPr>
          <w:p w14:paraId="09BF6678" w14:textId="77777777" w:rsidR="008C5CFA" w:rsidRPr="0024468B" w:rsidRDefault="00E82A60" w:rsidP="00300A01">
            <w:pPr>
              <w:spacing w:before="0" w:after="0"/>
              <w:rPr>
                <w:sz w:val="16"/>
                <w:szCs w:val="16"/>
                <w:lang w:val="fr-BE"/>
              </w:rPr>
            </w:pPr>
            <w:r>
              <w:rPr>
                <w:noProof/>
                <w:sz w:val="16"/>
                <w:szCs w:val="16"/>
                <w:lang w:val="fr-BE"/>
              </w:rPr>
              <w:t>Przedsiębiorstwa</w:t>
            </w:r>
          </w:p>
        </w:tc>
        <w:tc>
          <w:tcPr>
            <w:tcW w:w="0" w:type="auto"/>
            <w:shd w:val="clear" w:color="auto" w:fill="auto"/>
          </w:tcPr>
          <w:p w14:paraId="0ECAC551" w14:textId="77777777" w:rsidR="008C5CFA" w:rsidRPr="0024468B" w:rsidRDefault="00E82A60"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14:paraId="14005EFD" w14:textId="77777777" w:rsidR="008C5CFA" w:rsidRPr="0024468B" w:rsidRDefault="00E82A60" w:rsidP="00300A01">
            <w:pPr>
              <w:spacing w:before="0" w:after="0"/>
              <w:jc w:val="right"/>
              <w:rPr>
                <w:sz w:val="16"/>
                <w:szCs w:val="16"/>
                <w:lang w:val="fr-BE"/>
              </w:rPr>
            </w:pPr>
            <w:r>
              <w:rPr>
                <w:noProof/>
                <w:sz w:val="16"/>
                <w:szCs w:val="16"/>
                <w:lang w:val="fr-BE"/>
              </w:rPr>
              <w:t>66,00</w:t>
            </w:r>
          </w:p>
        </w:tc>
        <w:tc>
          <w:tcPr>
            <w:tcW w:w="0" w:type="auto"/>
            <w:shd w:val="clear" w:color="auto" w:fill="auto"/>
          </w:tcPr>
          <w:p w14:paraId="6D48C9FA" w14:textId="77777777" w:rsidR="008C5CFA" w:rsidRPr="0024468B" w:rsidRDefault="008C5CFA" w:rsidP="00300A01">
            <w:pPr>
              <w:spacing w:before="0" w:after="0"/>
              <w:jc w:val="right"/>
              <w:rPr>
                <w:sz w:val="16"/>
                <w:szCs w:val="16"/>
                <w:lang w:val="fr-BE"/>
              </w:rPr>
            </w:pPr>
          </w:p>
        </w:tc>
        <w:tc>
          <w:tcPr>
            <w:tcW w:w="0" w:type="auto"/>
          </w:tcPr>
          <w:p w14:paraId="1C797342" w14:textId="77777777" w:rsidR="008C5CFA" w:rsidRPr="0024468B" w:rsidRDefault="008C5CFA" w:rsidP="00300A01">
            <w:pPr>
              <w:spacing w:before="0" w:after="0"/>
              <w:jc w:val="right"/>
              <w:rPr>
                <w:sz w:val="16"/>
                <w:szCs w:val="16"/>
                <w:lang w:val="fr-BE"/>
              </w:rPr>
            </w:pPr>
          </w:p>
        </w:tc>
        <w:tc>
          <w:tcPr>
            <w:tcW w:w="0" w:type="auto"/>
            <w:shd w:val="clear" w:color="auto" w:fill="auto"/>
          </w:tcPr>
          <w:p w14:paraId="7A477321" w14:textId="77777777" w:rsidR="008C5CFA" w:rsidRPr="0024468B" w:rsidRDefault="00E82A60" w:rsidP="00300A01">
            <w:pPr>
              <w:spacing w:before="0" w:after="0"/>
              <w:jc w:val="right"/>
              <w:rPr>
                <w:sz w:val="16"/>
                <w:szCs w:val="16"/>
                <w:lang w:val="fr-BE"/>
              </w:rPr>
            </w:pPr>
            <w:r w:rsidRPr="0024468B">
              <w:rPr>
                <w:noProof/>
                <w:sz w:val="16"/>
                <w:szCs w:val="16"/>
                <w:lang w:val="fr-BE"/>
              </w:rPr>
              <w:t>22,00</w:t>
            </w:r>
          </w:p>
        </w:tc>
        <w:tc>
          <w:tcPr>
            <w:tcW w:w="0" w:type="auto"/>
            <w:shd w:val="clear" w:color="auto" w:fill="auto"/>
          </w:tcPr>
          <w:p w14:paraId="2218B61F"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290F83ED"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5344EB92" w14:textId="77777777" w:rsidR="008C5CFA" w:rsidRPr="0024468B" w:rsidRDefault="00E82A60" w:rsidP="00300A01">
            <w:pPr>
              <w:spacing w:before="0" w:after="0"/>
              <w:rPr>
                <w:sz w:val="16"/>
                <w:szCs w:val="16"/>
                <w:lang w:val="fr-BE"/>
              </w:rPr>
            </w:pPr>
            <w:r w:rsidRPr="0024468B">
              <w:rPr>
                <w:noProof/>
                <w:sz w:val="16"/>
                <w:szCs w:val="16"/>
                <w:lang w:val="fr-BE"/>
              </w:rPr>
              <w:t>Wobec zaproponowanej zmiany realizacja wskaźnika będzie wynosiła 53%</w:t>
            </w:r>
          </w:p>
        </w:tc>
      </w:tr>
      <w:tr w:rsidR="006B2EC1" w14:paraId="5FFB8FEE" w14:textId="77777777" w:rsidTr="0047688D">
        <w:tc>
          <w:tcPr>
            <w:tcW w:w="0" w:type="auto"/>
          </w:tcPr>
          <w:p w14:paraId="367C58FB" w14:textId="77777777" w:rsidR="008C5CFA" w:rsidRPr="0024468B" w:rsidRDefault="00E82A60" w:rsidP="00300A01">
            <w:pPr>
              <w:spacing w:before="0" w:after="0"/>
              <w:rPr>
                <w:sz w:val="16"/>
                <w:szCs w:val="16"/>
                <w:lang w:val="fr-BE"/>
              </w:rPr>
            </w:pPr>
            <w:r>
              <w:rPr>
                <w:noProof/>
                <w:sz w:val="16"/>
                <w:szCs w:val="16"/>
                <w:lang w:val="fr-BE"/>
              </w:rPr>
              <w:t>S</w:t>
            </w:r>
          </w:p>
        </w:tc>
        <w:tc>
          <w:tcPr>
            <w:tcW w:w="0" w:type="auto"/>
            <w:shd w:val="clear" w:color="auto" w:fill="auto"/>
          </w:tcPr>
          <w:p w14:paraId="5B6E5AF1" w14:textId="77777777" w:rsidR="008C5CFA" w:rsidRPr="0024468B" w:rsidRDefault="00E82A60" w:rsidP="00300A01">
            <w:pPr>
              <w:spacing w:before="0" w:after="0"/>
              <w:rPr>
                <w:sz w:val="16"/>
                <w:szCs w:val="16"/>
                <w:lang w:val="fr-BE"/>
              </w:rPr>
            </w:pPr>
            <w:r w:rsidRPr="0024468B">
              <w:rPr>
                <w:noProof/>
                <w:sz w:val="16"/>
                <w:szCs w:val="16"/>
                <w:lang w:val="fr-BE"/>
              </w:rPr>
              <w:t>CO26</w:t>
            </w:r>
          </w:p>
        </w:tc>
        <w:tc>
          <w:tcPr>
            <w:tcW w:w="0" w:type="auto"/>
            <w:shd w:val="clear" w:color="auto" w:fill="auto"/>
          </w:tcPr>
          <w:p w14:paraId="33A3AD83" w14:textId="77777777" w:rsidR="008C5CFA" w:rsidRPr="0024468B" w:rsidRDefault="00E82A60" w:rsidP="00300A01">
            <w:pPr>
              <w:spacing w:before="0" w:after="0"/>
              <w:rPr>
                <w:sz w:val="16"/>
                <w:szCs w:val="16"/>
                <w:lang w:val="fr-BE"/>
              </w:rPr>
            </w:pPr>
            <w:r w:rsidRPr="0024468B">
              <w:rPr>
                <w:noProof/>
                <w:sz w:val="16"/>
                <w:szCs w:val="16"/>
                <w:lang w:val="fr-BE"/>
              </w:rPr>
              <w:t>Badania i innowacje: liczba przedsiębiorstw współpracujących z ośrodkami badawczymi</w:t>
            </w:r>
          </w:p>
        </w:tc>
        <w:tc>
          <w:tcPr>
            <w:tcW w:w="0" w:type="auto"/>
            <w:shd w:val="clear" w:color="auto" w:fill="auto"/>
          </w:tcPr>
          <w:p w14:paraId="29444BE4" w14:textId="77777777" w:rsidR="008C5CFA" w:rsidRPr="0024468B" w:rsidRDefault="00E82A60" w:rsidP="00300A01">
            <w:pPr>
              <w:spacing w:before="0" w:after="0"/>
              <w:rPr>
                <w:sz w:val="16"/>
                <w:szCs w:val="16"/>
                <w:lang w:val="fr-BE"/>
              </w:rPr>
            </w:pPr>
            <w:r>
              <w:rPr>
                <w:noProof/>
                <w:sz w:val="16"/>
                <w:szCs w:val="16"/>
                <w:lang w:val="fr-BE"/>
              </w:rPr>
              <w:t>Przedsiębiorstwa</w:t>
            </w:r>
          </w:p>
        </w:tc>
        <w:tc>
          <w:tcPr>
            <w:tcW w:w="0" w:type="auto"/>
            <w:shd w:val="clear" w:color="auto" w:fill="auto"/>
          </w:tcPr>
          <w:p w14:paraId="3C202060" w14:textId="77777777" w:rsidR="008C5CFA" w:rsidRPr="0024468B" w:rsidRDefault="00E82A60"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14:paraId="3786E5B5" w14:textId="77777777" w:rsidR="008C5CFA" w:rsidRPr="0024468B" w:rsidRDefault="00E82A60" w:rsidP="00300A01">
            <w:pPr>
              <w:spacing w:before="0" w:after="0"/>
              <w:jc w:val="right"/>
              <w:rPr>
                <w:sz w:val="16"/>
                <w:szCs w:val="16"/>
                <w:lang w:val="fr-BE"/>
              </w:rPr>
            </w:pPr>
            <w:r>
              <w:rPr>
                <w:noProof/>
                <w:sz w:val="16"/>
                <w:szCs w:val="16"/>
                <w:lang w:val="fr-BE"/>
              </w:rPr>
              <w:t>66,00</w:t>
            </w:r>
          </w:p>
        </w:tc>
        <w:tc>
          <w:tcPr>
            <w:tcW w:w="0" w:type="auto"/>
            <w:shd w:val="clear" w:color="auto" w:fill="auto"/>
          </w:tcPr>
          <w:p w14:paraId="4D271AA2" w14:textId="77777777" w:rsidR="008C5CFA" w:rsidRPr="0024468B" w:rsidRDefault="008C5CFA" w:rsidP="00300A01">
            <w:pPr>
              <w:spacing w:before="0" w:after="0"/>
              <w:jc w:val="right"/>
              <w:rPr>
                <w:sz w:val="16"/>
                <w:szCs w:val="16"/>
                <w:lang w:val="fr-BE"/>
              </w:rPr>
            </w:pPr>
          </w:p>
        </w:tc>
        <w:tc>
          <w:tcPr>
            <w:tcW w:w="0" w:type="auto"/>
          </w:tcPr>
          <w:p w14:paraId="7035966F" w14:textId="77777777" w:rsidR="008C5CFA" w:rsidRPr="0024468B" w:rsidRDefault="008C5CFA" w:rsidP="00300A01">
            <w:pPr>
              <w:spacing w:before="0" w:after="0"/>
              <w:jc w:val="right"/>
              <w:rPr>
                <w:sz w:val="16"/>
                <w:szCs w:val="16"/>
                <w:lang w:val="fr-BE"/>
              </w:rPr>
            </w:pPr>
          </w:p>
        </w:tc>
        <w:tc>
          <w:tcPr>
            <w:tcW w:w="0" w:type="auto"/>
            <w:shd w:val="clear" w:color="auto" w:fill="auto"/>
          </w:tcPr>
          <w:p w14:paraId="52D91B81" w14:textId="77777777" w:rsidR="008C5CFA" w:rsidRPr="0024468B" w:rsidRDefault="00E82A60" w:rsidP="00300A01">
            <w:pPr>
              <w:spacing w:before="0" w:after="0"/>
              <w:jc w:val="right"/>
              <w:rPr>
                <w:sz w:val="16"/>
                <w:szCs w:val="16"/>
                <w:lang w:val="fr-BE"/>
              </w:rPr>
            </w:pPr>
            <w:r w:rsidRPr="0024468B">
              <w:rPr>
                <w:noProof/>
                <w:sz w:val="16"/>
                <w:szCs w:val="16"/>
                <w:lang w:val="fr-BE"/>
              </w:rPr>
              <w:t>45,00</w:t>
            </w:r>
          </w:p>
        </w:tc>
        <w:tc>
          <w:tcPr>
            <w:tcW w:w="0" w:type="auto"/>
            <w:shd w:val="clear" w:color="auto" w:fill="auto"/>
          </w:tcPr>
          <w:p w14:paraId="6E011561"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3A9E0B32"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5C2058CD" w14:textId="77777777" w:rsidR="008C5CFA" w:rsidRPr="0024468B" w:rsidRDefault="00E82A60" w:rsidP="00300A01">
            <w:pPr>
              <w:spacing w:before="0" w:after="0"/>
              <w:rPr>
                <w:sz w:val="16"/>
                <w:szCs w:val="16"/>
                <w:lang w:val="fr-BE"/>
              </w:rPr>
            </w:pPr>
            <w:r w:rsidRPr="0024468B">
              <w:rPr>
                <w:noProof/>
                <w:sz w:val="16"/>
                <w:szCs w:val="16"/>
                <w:lang w:val="fr-BE"/>
              </w:rPr>
              <w:t>W związku ze zgłoszeniem w ramach zmian RPO zmniejszenia alokacji w PI 1b,  wartość docelowa wskaźnika zostanie zmniejszona do wartości 42.</w:t>
            </w:r>
          </w:p>
        </w:tc>
      </w:tr>
      <w:tr w:rsidR="006B2EC1" w14:paraId="7023C613" w14:textId="77777777" w:rsidTr="0047688D">
        <w:tc>
          <w:tcPr>
            <w:tcW w:w="0" w:type="auto"/>
          </w:tcPr>
          <w:p w14:paraId="50CD8709" w14:textId="77777777" w:rsidR="008C5CFA" w:rsidRPr="0024468B" w:rsidRDefault="00E82A60" w:rsidP="00300A01">
            <w:pPr>
              <w:spacing w:before="0" w:after="0"/>
              <w:rPr>
                <w:sz w:val="16"/>
                <w:szCs w:val="16"/>
                <w:lang w:val="fr-BE"/>
              </w:rPr>
            </w:pPr>
            <w:r>
              <w:rPr>
                <w:noProof/>
                <w:sz w:val="16"/>
                <w:szCs w:val="16"/>
                <w:lang w:val="fr-BE"/>
              </w:rPr>
              <w:t>F</w:t>
            </w:r>
          </w:p>
        </w:tc>
        <w:tc>
          <w:tcPr>
            <w:tcW w:w="0" w:type="auto"/>
            <w:shd w:val="clear" w:color="auto" w:fill="auto"/>
          </w:tcPr>
          <w:p w14:paraId="77C23B7C" w14:textId="77777777" w:rsidR="008C5CFA" w:rsidRPr="0024468B" w:rsidRDefault="00E82A60" w:rsidP="00300A01">
            <w:pPr>
              <w:spacing w:before="0" w:after="0"/>
              <w:rPr>
                <w:sz w:val="16"/>
                <w:szCs w:val="16"/>
                <w:lang w:val="fr-BE"/>
              </w:rPr>
            </w:pPr>
            <w:r w:rsidRPr="0024468B">
              <w:rPr>
                <w:noProof/>
                <w:sz w:val="16"/>
                <w:szCs w:val="16"/>
                <w:lang w:val="fr-BE"/>
              </w:rPr>
              <w:t>CO28</w:t>
            </w:r>
          </w:p>
        </w:tc>
        <w:tc>
          <w:tcPr>
            <w:tcW w:w="0" w:type="auto"/>
            <w:shd w:val="clear" w:color="auto" w:fill="auto"/>
          </w:tcPr>
          <w:p w14:paraId="7170EE5E" w14:textId="77777777" w:rsidR="008C5CFA" w:rsidRPr="0024468B" w:rsidRDefault="00E82A60" w:rsidP="00300A01">
            <w:pPr>
              <w:spacing w:before="0" w:after="0"/>
              <w:rPr>
                <w:sz w:val="16"/>
                <w:szCs w:val="16"/>
                <w:lang w:val="fr-BE"/>
              </w:rPr>
            </w:pPr>
            <w:r w:rsidRPr="0024468B">
              <w:rPr>
                <w:noProof/>
                <w:sz w:val="16"/>
                <w:szCs w:val="16"/>
                <w:lang w:val="fr-BE"/>
              </w:rPr>
              <w:t>Badania i innowacje: liczba przedsiębiorstw objętych wsparciem w celu wprowadzenia produktów nowych dla rynku</w:t>
            </w:r>
          </w:p>
        </w:tc>
        <w:tc>
          <w:tcPr>
            <w:tcW w:w="0" w:type="auto"/>
            <w:shd w:val="clear" w:color="auto" w:fill="auto"/>
          </w:tcPr>
          <w:p w14:paraId="147582C3" w14:textId="77777777" w:rsidR="008C5CFA" w:rsidRPr="0024468B" w:rsidRDefault="00E82A60" w:rsidP="00300A01">
            <w:pPr>
              <w:spacing w:before="0" w:after="0"/>
              <w:rPr>
                <w:sz w:val="16"/>
                <w:szCs w:val="16"/>
                <w:lang w:val="fr-BE"/>
              </w:rPr>
            </w:pPr>
            <w:r>
              <w:rPr>
                <w:noProof/>
                <w:sz w:val="16"/>
                <w:szCs w:val="16"/>
                <w:lang w:val="fr-BE"/>
              </w:rPr>
              <w:t>Przedsiębiorstwa</w:t>
            </w:r>
          </w:p>
        </w:tc>
        <w:tc>
          <w:tcPr>
            <w:tcW w:w="0" w:type="auto"/>
            <w:shd w:val="clear" w:color="auto" w:fill="auto"/>
          </w:tcPr>
          <w:p w14:paraId="7B263AFE" w14:textId="77777777" w:rsidR="008C5CFA" w:rsidRPr="0024468B" w:rsidRDefault="00E82A60"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14:paraId="04B21F68" w14:textId="77777777" w:rsidR="008C5CFA" w:rsidRPr="0024468B" w:rsidRDefault="00E82A60" w:rsidP="00300A01">
            <w:pPr>
              <w:spacing w:before="0" w:after="0"/>
              <w:jc w:val="right"/>
              <w:rPr>
                <w:sz w:val="16"/>
                <w:szCs w:val="16"/>
                <w:lang w:val="fr-BE"/>
              </w:rPr>
            </w:pPr>
            <w:r>
              <w:rPr>
                <w:noProof/>
                <w:sz w:val="16"/>
                <w:szCs w:val="16"/>
                <w:lang w:val="fr-BE"/>
              </w:rPr>
              <w:t>53,00</w:t>
            </w:r>
          </w:p>
        </w:tc>
        <w:tc>
          <w:tcPr>
            <w:tcW w:w="0" w:type="auto"/>
            <w:shd w:val="clear" w:color="auto" w:fill="auto"/>
          </w:tcPr>
          <w:p w14:paraId="406B9972" w14:textId="77777777" w:rsidR="008C5CFA" w:rsidRPr="0024468B" w:rsidRDefault="008C5CFA" w:rsidP="00300A01">
            <w:pPr>
              <w:spacing w:before="0" w:after="0"/>
              <w:jc w:val="right"/>
              <w:rPr>
                <w:sz w:val="16"/>
                <w:szCs w:val="16"/>
                <w:lang w:val="fr-BE"/>
              </w:rPr>
            </w:pPr>
          </w:p>
        </w:tc>
        <w:tc>
          <w:tcPr>
            <w:tcW w:w="0" w:type="auto"/>
          </w:tcPr>
          <w:p w14:paraId="7AEA7AE2" w14:textId="77777777" w:rsidR="008C5CFA" w:rsidRPr="0024468B" w:rsidRDefault="008C5CFA" w:rsidP="00300A01">
            <w:pPr>
              <w:spacing w:before="0" w:after="0"/>
              <w:jc w:val="right"/>
              <w:rPr>
                <w:sz w:val="16"/>
                <w:szCs w:val="16"/>
                <w:lang w:val="fr-BE"/>
              </w:rPr>
            </w:pPr>
          </w:p>
        </w:tc>
        <w:tc>
          <w:tcPr>
            <w:tcW w:w="0" w:type="auto"/>
            <w:shd w:val="clear" w:color="auto" w:fill="auto"/>
          </w:tcPr>
          <w:p w14:paraId="10793374" w14:textId="77777777" w:rsidR="008C5CFA" w:rsidRPr="0024468B" w:rsidRDefault="00E82A60" w:rsidP="00300A01">
            <w:pPr>
              <w:spacing w:before="0" w:after="0"/>
              <w:jc w:val="right"/>
              <w:rPr>
                <w:sz w:val="16"/>
                <w:szCs w:val="16"/>
                <w:lang w:val="fr-BE"/>
              </w:rPr>
            </w:pPr>
            <w:r w:rsidRPr="0024468B">
              <w:rPr>
                <w:noProof/>
                <w:sz w:val="16"/>
                <w:szCs w:val="16"/>
                <w:lang w:val="fr-BE"/>
              </w:rPr>
              <w:t>41,00</w:t>
            </w:r>
          </w:p>
        </w:tc>
        <w:tc>
          <w:tcPr>
            <w:tcW w:w="0" w:type="auto"/>
            <w:shd w:val="clear" w:color="auto" w:fill="auto"/>
          </w:tcPr>
          <w:p w14:paraId="14B7ACA7"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65674F65"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475DAF88" w14:textId="77777777" w:rsidR="008C5CFA" w:rsidRPr="0024468B" w:rsidRDefault="00E82A60" w:rsidP="00300A01">
            <w:pPr>
              <w:spacing w:before="0" w:after="0"/>
              <w:rPr>
                <w:sz w:val="16"/>
                <w:szCs w:val="16"/>
                <w:lang w:val="fr-BE"/>
              </w:rPr>
            </w:pPr>
            <w:r w:rsidRPr="0024468B">
              <w:rPr>
                <w:noProof/>
                <w:sz w:val="16"/>
                <w:szCs w:val="16"/>
                <w:lang w:val="fr-BE"/>
              </w:rPr>
              <w:t>Zmniejszenie alokacji, a za tym i wartości docelowej wskaźnika pozwoli na realizację wartości docelowej  na poziomie 103%.</w:t>
            </w:r>
          </w:p>
        </w:tc>
      </w:tr>
      <w:tr w:rsidR="006B2EC1" w14:paraId="082F415C" w14:textId="77777777" w:rsidTr="0047688D">
        <w:tc>
          <w:tcPr>
            <w:tcW w:w="0" w:type="auto"/>
          </w:tcPr>
          <w:p w14:paraId="2772C6A8" w14:textId="77777777" w:rsidR="008C5CFA" w:rsidRPr="0024468B" w:rsidRDefault="00E82A60" w:rsidP="00300A01">
            <w:pPr>
              <w:spacing w:before="0" w:after="0"/>
              <w:rPr>
                <w:sz w:val="16"/>
                <w:szCs w:val="16"/>
                <w:lang w:val="fr-BE"/>
              </w:rPr>
            </w:pPr>
            <w:r>
              <w:rPr>
                <w:noProof/>
                <w:sz w:val="16"/>
                <w:szCs w:val="16"/>
                <w:lang w:val="fr-BE"/>
              </w:rPr>
              <w:t>S</w:t>
            </w:r>
          </w:p>
        </w:tc>
        <w:tc>
          <w:tcPr>
            <w:tcW w:w="0" w:type="auto"/>
            <w:shd w:val="clear" w:color="auto" w:fill="auto"/>
          </w:tcPr>
          <w:p w14:paraId="793BE954" w14:textId="77777777" w:rsidR="008C5CFA" w:rsidRPr="0024468B" w:rsidRDefault="00E82A60" w:rsidP="00300A01">
            <w:pPr>
              <w:spacing w:before="0" w:after="0"/>
              <w:rPr>
                <w:sz w:val="16"/>
                <w:szCs w:val="16"/>
                <w:lang w:val="fr-BE"/>
              </w:rPr>
            </w:pPr>
            <w:r w:rsidRPr="0024468B">
              <w:rPr>
                <w:noProof/>
                <w:sz w:val="16"/>
                <w:szCs w:val="16"/>
                <w:lang w:val="fr-BE"/>
              </w:rPr>
              <w:t>CO28</w:t>
            </w:r>
          </w:p>
        </w:tc>
        <w:tc>
          <w:tcPr>
            <w:tcW w:w="0" w:type="auto"/>
            <w:shd w:val="clear" w:color="auto" w:fill="auto"/>
          </w:tcPr>
          <w:p w14:paraId="0A73349A" w14:textId="77777777" w:rsidR="008C5CFA" w:rsidRPr="0024468B" w:rsidRDefault="00E82A60" w:rsidP="00300A01">
            <w:pPr>
              <w:spacing w:before="0" w:after="0"/>
              <w:rPr>
                <w:sz w:val="16"/>
                <w:szCs w:val="16"/>
                <w:lang w:val="fr-BE"/>
              </w:rPr>
            </w:pPr>
            <w:r w:rsidRPr="0024468B">
              <w:rPr>
                <w:noProof/>
                <w:sz w:val="16"/>
                <w:szCs w:val="16"/>
                <w:lang w:val="fr-BE"/>
              </w:rPr>
              <w:t>Badania i innowacje: liczba przedsiębiorstw objętych wsparciem w celu wprowadzenia produktów nowych dla rynku</w:t>
            </w:r>
          </w:p>
        </w:tc>
        <w:tc>
          <w:tcPr>
            <w:tcW w:w="0" w:type="auto"/>
            <w:shd w:val="clear" w:color="auto" w:fill="auto"/>
          </w:tcPr>
          <w:p w14:paraId="00B5BFCE" w14:textId="77777777" w:rsidR="008C5CFA" w:rsidRPr="0024468B" w:rsidRDefault="00E82A60" w:rsidP="00300A01">
            <w:pPr>
              <w:spacing w:before="0" w:after="0"/>
              <w:rPr>
                <w:sz w:val="16"/>
                <w:szCs w:val="16"/>
                <w:lang w:val="fr-BE"/>
              </w:rPr>
            </w:pPr>
            <w:r>
              <w:rPr>
                <w:noProof/>
                <w:sz w:val="16"/>
                <w:szCs w:val="16"/>
                <w:lang w:val="fr-BE"/>
              </w:rPr>
              <w:t>Przedsiębiorstwa</w:t>
            </w:r>
          </w:p>
        </w:tc>
        <w:tc>
          <w:tcPr>
            <w:tcW w:w="0" w:type="auto"/>
            <w:shd w:val="clear" w:color="auto" w:fill="auto"/>
          </w:tcPr>
          <w:p w14:paraId="578BFCBA" w14:textId="77777777" w:rsidR="008C5CFA" w:rsidRPr="0024468B" w:rsidRDefault="00E82A60"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14:paraId="306B62EF" w14:textId="77777777" w:rsidR="008C5CFA" w:rsidRPr="0024468B" w:rsidRDefault="00E82A60" w:rsidP="00300A01">
            <w:pPr>
              <w:spacing w:before="0" w:after="0"/>
              <w:jc w:val="right"/>
              <w:rPr>
                <w:sz w:val="16"/>
                <w:szCs w:val="16"/>
                <w:lang w:val="fr-BE"/>
              </w:rPr>
            </w:pPr>
            <w:r>
              <w:rPr>
                <w:noProof/>
                <w:sz w:val="16"/>
                <w:szCs w:val="16"/>
                <w:lang w:val="fr-BE"/>
              </w:rPr>
              <w:t>53,00</w:t>
            </w:r>
          </w:p>
        </w:tc>
        <w:tc>
          <w:tcPr>
            <w:tcW w:w="0" w:type="auto"/>
            <w:shd w:val="clear" w:color="auto" w:fill="auto"/>
          </w:tcPr>
          <w:p w14:paraId="22BF3754" w14:textId="77777777" w:rsidR="008C5CFA" w:rsidRPr="0024468B" w:rsidRDefault="008C5CFA" w:rsidP="00300A01">
            <w:pPr>
              <w:spacing w:before="0" w:after="0"/>
              <w:jc w:val="right"/>
              <w:rPr>
                <w:sz w:val="16"/>
                <w:szCs w:val="16"/>
                <w:lang w:val="fr-BE"/>
              </w:rPr>
            </w:pPr>
          </w:p>
        </w:tc>
        <w:tc>
          <w:tcPr>
            <w:tcW w:w="0" w:type="auto"/>
          </w:tcPr>
          <w:p w14:paraId="1CBA5674" w14:textId="77777777" w:rsidR="008C5CFA" w:rsidRPr="0024468B" w:rsidRDefault="008C5CFA" w:rsidP="00300A01">
            <w:pPr>
              <w:spacing w:before="0" w:after="0"/>
              <w:jc w:val="right"/>
              <w:rPr>
                <w:sz w:val="16"/>
                <w:szCs w:val="16"/>
                <w:lang w:val="fr-BE"/>
              </w:rPr>
            </w:pPr>
          </w:p>
        </w:tc>
        <w:tc>
          <w:tcPr>
            <w:tcW w:w="0" w:type="auto"/>
            <w:shd w:val="clear" w:color="auto" w:fill="auto"/>
          </w:tcPr>
          <w:p w14:paraId="339357D0" w14:textId="77777777" w:rsidR="008C5CFA" w:rsidRPr="0024468B" w:rsidRDefault="00E82A60" w:rsidP="00300A01">
            <w:pPr>
              <w:spacing w:before="0" w:after="0"/>
              <w:jc w:val="right"/>
              <w:rPr>
                <w:sz w:val="16"/>
                <w:szCs w:val="16"/>
                <w:lang w:val="fr-BE"/>
              </w:rPr>
            </w:pPr>
            <w:r w:rsidRPr="0024468B">
              <w:rPr>
                <w:noProof/>
                <w:sz w:val="16"/>
                <w:szCs w:val="16"/>
                <w:lang w:val="fr-BE"/>
              </w:rPr>
              <w:t>49,00</w:t>
            </w:r>
          </w:p>
        </w:tc>
        <w:tc>
          <w:tcPr>
            <w:tcW w:w="0" w:type="auto"/>
            <w:shd w:val="clear" w:color="auto" w:fill="auto"/>
          </w:tcPr>
          <w:p w14:paraId="369C9ED4"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318603CF"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7D4CD90A" w14:textId="77777777" w:rsidR="008C5CFA" w:rsidRPr="0024468B" w:rsidRDefault="00E82A60" w:rsidP="00300A01">
            <w:pPr>
              <w:spacing w:before="0" w:after="0"/>
              <w:rPr>
                <w:sz w:val="16"/>
                <w:szCs w:val="16"/>
                <w:lang w:val="fr-BE"/>
              </w:rPr>
            </w:pPr>
            <w:r w:rsidRPr="0024468B">
              <w:rPr>
                <w:noProof/>
                <w:sz w:val="16"/>
                <w:szCs w:val="16"/>
                <w:lang w:val="fr-BE"/>
              </w:rPr>
              <w:t>W związku ze zgłoszeniem w ramach zmian RPO zmniejszenia alokacji w PI 1b,  wartość docelowa wskaźnika zostanie zmniejszona do wartości 40.</w:t>
            </w:r>
          </w:p>
        </w:tc>
      </w:tr>
    </w:tbl>
    <w:p w14:paraId="17EB091E" w14:textId="77777777" w:rsidR="008C5CFA" w:rsidRDefault="00E82A60" w:rsidP="00300A01">
      <w:pPr>
        <w:spacing w:before="0" w:after="0"/>
        <w:rPr>
          <w:lang w:val="fr-BE"/>
        </w:rPr>
      </w:pPr>
      <w:r>
        <w:rPr>
          <w:noProof/>
          <w:lang w:val="fr-BE"/>
        </w:rPr>
        <w:t>1) S=wartość skumulowana – produkty, które mają być zrealizowane poprzez wybrane operacje [prognoza przedstawiona przez beneficjentów], F=wartość skumulowana – produkty zrealizowane poprzez operacje [rzeczywiste wykonanie]</w:t>
      </w:r>
    </w:p>
    <w:p w14:paraId="2EC97B32"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02"/>
        <w:gridCol w:w="497"/>
        <w:gridCol w:w="5546"/>
        <w:gridCol w:w="1034"/>
        <w:gridCol w:w="1076"/>
        <w:gridCol w:w="899"/>
        <w:gridCol w:w="990"/>
        <w:gridCol w:w="1076"/>
        <w:gridCol w:w="899"/>
        <w:gridCol w:w="890"/>
        <w:gridCol w:w="1076"/>
        <w:gridCol w:w="899"/>
      </w:tblGrid>
      <w:tr w:rsidR="006B2EC1" w14:paraId="43D8EB72" w14:textId="77777777" w:rsidTr="0047688D">
        <w:trPr>
          <w:tblHeader/>
        </w:trPr>
        <w:tc>
          <w:tcPr>
            <w:tcW w:w="0" w:type="auto"/>
          </w:tcPr>
          <w:p w14:paraId="028808F5" w14:textId="77777777" w:rsidR="008C5CFA" w:rsidRPr="009143B4" w:rsidRDefault="00E82A60" w:rsidP="00300A01">
            <w:pPr>
              <w:spacing w:before="0" w:after="0"/>
              <w:rPr>
                <w:b/>
                <w:sz w:val="16"/>
                <w:szCs w:val="16"/>
                <w:lang w:val="fr-BE"/>
              </w:rPr>
            </w:pPr>
            <w:r w:rsidRPr="009143B4">
              <w:rPr>
                <w:b/>
                <w:sz w:val="16"/>
                <w:szCs w:val="16"/>
                <w:lang w:val="fr-BE"/>
              </w:rPr>
              <w:lastRenderedPageBreak/>
              <w:t>(1)</w:t>
            </w:r>
          </w:p>
        </w:tc>
        <w:tc>
          <w:tcPr>
            <w:tcW w:w="0" w:type="auto"/>
            <w:shd w:val="clear" w:color="auto" w:fill="auto"/>
          </w:tcPr>
          <w:p w14:paraId="37CC3FAC" w14:textId="77777777" w:rsidR="008C5CFA" w:rsidRPr="009143B4" w:rsidRDefault="00E82A60" w:rsidP="00300A01">
            <w:pPr>
              <w:spacing w:before="0" w:after="0"/>
              <w:rPr>
                <w:b/>
                <w:sz w:val="16"/>
                <w:szCs w:val="16"/>
                <w:lang w:val="fr-BE"/>
              </w:rPr>
            </w:pPr>
            <w:r w:rsidRPr="009143B4">
              <w:rPr>
                <w:b/>
                <w:noProof/>
                <w:sz w:val="16"/>
                <w:szCs w:val="16"/>
                <w:lang w:val="fr-BE"/>
              </w:rPr>
              <w:t>ID</w:t>
            </w:r>
          </w:p>
        </w:tc>
        <w:tc>
          <w:tcPr>
            <w:tcW w:w="0" w:type="auto"/>
            <w:shd w:val="clear" w:color="auto" w:fill="auto"/>
          </w:tcPr>
          <w:p w14:paraId="31B38AD2" w14:textId="77777777" w:rsidR="008C5CFA" w:rsidRPr="009143B4" w:rsidRDefault="00E82A60" w:rsidP="00300A01">
            <w:pPr>
              <w:spacing w:before="0" w:after="0"/>
              <w:rPr>
                <w:b/>
                <w:sz w:val="16"/>
                <w:szCs w:val="16"/>
                <w:lang w:val="fr-BE"/>
              </w:rPr>
            </w:pPr>
            <w:r w:rsidRPr="009143B4">
              <w:rPr>
                <w:b/>
                <w:noProof/>
                <w:sz w:val="16"/>
                <w:szCs w:val="16"/>
                <w:lang w:val="fr-BE"/>
              </w:rPr>
              <w:t>Wskaźnik</w:t>
            </w:r>
          </w:p>
        </w:tc>
        <w:tc>
          <w:tcPr>
            <w:tcW w:w="0" w:type="auto"/>
          </w:tcPr>
          <w:p w14:paraId="4FE162E5" w14:textId="77777777" w:rsidR="008C5CFA" w:rsidRPr="009143B4" w:rsidRDefault="00E82A60" w:rsidP="00300A01">
            <w:pPr>
              <w:spacing w:before="0" w:after="0"/>
              <w:jc w:val="center"/>
              <w:rPr>
                <w:b/>
                <w:sz w:val="16"/>
                <w:szCs w:val="16"/>
                <w:lang w:val="fr-BE"/>
              </w:rPr>
            </w:pPr>
            <w:r>
              <w:rPr>
                <w:b/>
                <w:sz w:val="16"/>
                <w:szCs w:val="16"/>
                <w:lang w:val="fr-BE"/>
              </w:rPr>
              <w:t xml:space="preserve">2018 </w:t>
            </w:r>
            <w:r w:rsidRPr="009143B4">
              <w:rPr>
                <w:b/>
                <w:noProof/>
                <w:sz w:val="16"/>
                <w:szCs w:val="16"/>
                <w:lang w:val="fr-BE"/>
              </w:rPr>
              <w:t>Ogółem</w:t>
            </w:r>
          </w:p>
        </w:tc>
        <w:tc>
          <w:tcPr>
            <w:tcW w:w="0" w:type="auto"/>
          </w:tcPr>
          <w:p w14:paraId="149BC568" w14:textId="77777777" w:rsidR="008C5CFA" w:rsidRPr="009143B4" w:rsidRDefault="00E82A60" w:rsidP="00300A01">
            <w:pPr>
              <w:spacing w:before="0" w:after="0"/>
              <w:jc w:val="center"/>
              <w:rPr>
                <w:b/>
                <w:sz w:val="16"/>
                <w:szCs w:val="16"/>
                <w:lang w:val="fr-BE"/>
              </w:rPr>
            </w:pPr>
            <w:r>
              <w:rPr>
                <w:b/>
                <w:sz w:val="16"/>
                <w:szCs w:val="16"/>
                <w:lang w:val="fr-BE"/>
              </w:rPr>
              <w:t xml:space="preserve">2018 </w:t>
            </w:r>
            <w:r w:rsidRPr="009143B4">
              <w:rPr>
                <w:b/>
                <w:noProof/>
                <w:sz w:val="16"/>
                <w:szCs w:val="16"/>
                <w:lang w:val="fr-BE"/>
              </w:rPr>
              <w:t>Mężczyźni</w:t>
            </w:r>
          </w:p>
        </w:tc>
        <w:tc>
          <w:tcPr>
            <w:tcW w:w="0" w:type="auto"/>
          </w:tcPr>
          <w:p w14:paraId="36F0F4EF" w14:textId="77777777" w:rsidR="008C5CFA" w:rsidRPr="009143B4" w:rsidRDefault="00E82A60" w:rsidP="00300A01">
            <w:pPr>
              <w:spacing w:before="0" w:after="0"/>
              <w:jc w:val="center"/>
              <w:rPr>
                <w:b/>
                <w:sz w:val="16"/>
                <w:szCs w:val="16"/>
                <w:lang w:val="fr-BE"/>
              </w:rPr>
            </w:pPr>
            <w:r>
              <w:rPr>
                <w:b/>
                <w:sz w:val="16"/>
                <w:szCs w:val="16"/>
                <w:lang w:val="fr-BE"/>
              </w:rPr>
              <w:t xml:space="preserve">2018 </w:t>
            </w:r>
            <w:r w:rsidRPr="009143B4">
              <w:rPr>
                <w:b/>
                <w:noProof/>
                <w:sz w:val="16"/>
                <w:szCs w:val="16"/>
                <w:lang w:val="fr-BE"/>
              </w:rPr>
              <w:t>Kobiety</w:t>
            </w:r>
          </w:p>
        </w:tc>
        <w:tc>
          <w:tcPr>
            <w:tcW w:w="0" w:type="auto"/>
          </w:tcPr>
          <w:p w14:paraId="54F1399C" w14:textId="77777777" w:rsidR="008C5CFA" w:rsidRPr="009143B4" w:rsidRDefault="00E82A60"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Ogółem</w:t>
            </w:r>
          </w:p>
        </w:tc>
        <w:tc>
          <w:tcPr>
            <w:tcW w:w="0" w:type="auto"/>
          </w:tcPr>
          <w:p w14:paraId="453BE5C5" w14:textId="77777777" w:rsidR="008C5CFA" w:rsidRPr="009143B4" w:rsidRDefault="00E82A60"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Mężczyźni</w:t>
            </w:r>
          </w:p>
        </w:tc>
        <w:tc>
          <w:tcPr>
            <w:tcW w:w="0" w:type="auto"/>
          </w:tcPr>
          <w:p w14:paraId="25EA9713" w14:textId="77777777" w:rsidR="008C5CFA" w:rsidRPr="009143B4" w:rsidRDefault="00E82A60"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Kobiety</w:t>
            </w:r>
          </w:p>
        </w:tc>
        <w:tc>
          <w:tcPr>
            <w:tcW w:w="0" w:type="auto"/>
            <w:shd w:val="clear" w:color="auto" w:fill="auto"/>
          </w:tcPr>
          <w:p w14:paraId="33B28BF2" w14:textId="77777777" w:rsidR="008C5CFA" w:rsidRPr="009143B4" w:rsidRDefault="00E82A60"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Ogółem</w:t>
            </w:r>
          </w:p>
        </w:tc>
        <w:tc>
          <w:tcPr>
            <w:tcW w:w="0" w:type="auto"/>
            <w:shd w:val="clear" w:color="auto" w:fill="auto"/>
          </w:tcPr>
          <w:p w14:paraId="63AF86CC" w14:textId="77777777" w:rsidR="008C5CFA" w:rsidRPr="009143B4" w:rsidRDefault="00E82A60"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Mężczyźni</w:t>
            </w:r>
          </w:p>
        </w:tc>
        <w:tc>
          <w:tcPr>
            <w:tcW w:w="0" w:type="auto"/>
            <w:shd w:val="clear" w:color="auto" w:fill="auto"/>
          </w:tcPr>
          <w:p w14:paraId="5FD32FAD" w14:textId="77777777" w:rsidR="008C5CFA" w:rsidRPr="009143B4" w:rsidRDefault="00E82A60"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Kobiety</w:t>
            </w:r>
          </w:p>
        </w:tc>
      </w:tr>
      <w:tr w:rsidR="006B2EC1" w14:paraId="7AB6806C" w14:textId="77777777" w:rsidTr="0047688D">
        <w:tc>
          <w:tcPr>
            <w:tcW w:w="0" w:type="auto"/>
          </w:tcPr>
          <w:p w14:paraId="73CD47F5" w14:textId="77777777" w:rsidR="008C5CFA" w:rsidRPr="0024468B" w:rsidRDefault="00E82A60" w:rsidP="00300A01">
            <w:pPr>
              <w:spacing w:before="0" w:after="0"/>
              <w:rPr>
                <w:sz w:val="16"/>
                <w:szCs w:val="16"/>
                <w:lang w:val="fr-BE"/>
              </w:rPr>
            </w:pPr>
            <w:r>
              <w:rPr>
                <w:noProof/>
                <w:sz w:val="16"/>
                <w:szCs w:val="16"/>
                <w:lang w:val="fr-BE"/>
              </w:rPr>
              <w:t>F</w:t>
            </w:r>
          </w:p>
        </w:tc>
        <w:tc>
          <w:tcPr>
            <w:tcW w:w="0" w:type="auto"/>
            <w:shd w:val="clear" w:color="auto" w:fill="auto"/>
          </w:tcPr>
          <w:p w14:paraId="254E7027" w14:textId="77777777" w:rsidR="008C5CFA" w:rsidRPr="0024468B" w:rsidRDefault="00E82A60" w:rsidP="00300A01">
            <w:pPr>
              <w:spacing w:before="0" w:after="0"/>
              <w:rPr>
                <w:sz w:val="16"/>
                <w:szCs w:val="16"/>
                <w:lang w:val="fr-BE"/>
              </w:rPr>
            </w:pPr>
            <w:r w:rsidRPr="0024468B">
              <w:rPr>
                <w:noProof/>
                <w:sz w:val="16"/>
                <w:szCs w:val="16"/>
                <w:lang w:val="fr-BE"/>
              </w:rPr>
              <w:t>CO01</w:t>
            </w:r>
          </w:p>
        </w:tc>
        <w:tc>
          <w:tcPr>
            <w:tcW w:w="0" w:type="auto"/>
            <w:shd w:val="clear" w:color="auto" w:fill="auto"/>
          </w:tcPr>
          <w:p w14:paraId="4D313C3E" w14:textId="77777777" w:rsidR="008C5CFA" w:rsidRPr="0024468B" w:rsidRDefault="00E82A60" w:rsidP="00300A01">
            <w:pPr>
              <w:spacing w:before="0" w:after="0"/>
              <w:rPr>
                <w:sz w:val="16"/>
                <w:szCs w:val="16"/>
                <w:lang w:val="fr-BE"/>
              </w:rPr>
            </w:pPr>
            <w:r w:rsidRPr="0024468B">
              <w:rPr>
                <w:noProof/>
                <w:sz w:val="16"/>
                <w:szCs w:val="16"/>
                <w:lang w:val="fr-BE"/>
              </w:rPr>
              <w:t>Inwestycje produkcyjne: liczba przedsiębiorstw otrzymujących wsparcie</w:t>
            </w:r>
          </w:p>
        </w:tc>
        <w:tc>
          <w:tcPr>
            <w:tcW w:w="0" w:type="auto"/>
          </w:tcPr>
          <w:p w14:paraId="74E0F993" w14:textId="77777777" w:rsidR="008C5CFA" w:rsidRPr="0024468B" w:rsidRDefault="00E82A60" w:rsidP="00300A01">
            <w:pPr>
              <w:spacing w:before="0" w:after="0"/>
              <w:jc w:val="right"/>
              <w:rPr>
                <w:sz w:val="16"/>
                <w:szCs w:val="16"/>
                <w:lang w:val="fr-BE"/>
              </w:rPr>
            </w:pPr>
            <w:r w:rsidRPr="0024468B">
              <w:rPr>
                <w:noProof/>
                <w:sz w:val="16"/>
                <w:szCs w:val="16"/>
                <w:lang w:val="fr-BE"/>
              </w:rPr>
              <w:t>21,00</w:t>
            </w:r>
          </w:p>
        </w:tc>
        <w:tc>
          <w:tcPr>
            <w:tcW w:w="0" w:type="auto"/>
          </w:tcPr>
          <w:p w14:paraId="75D3818C"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4E1DCF85"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68AEFE4D"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1C5EB9C6"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7909A6AF"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024C8BE7"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4D9FC800"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05C892DB"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r w:rsidR="006B2EC1" w14:paraId="01655560" w14:textId="77777777" w:rsidTr="0047688D">
        <w:tc>
          <w:tcPr>
            <w:tcW w:w="0" w:type="auto"/>
          </w:tcPr>
          <w:p w14:paraId="46699729" w14:textId="77777777" w:rsidR="008C5CFA" w:rsidRPr="0024468B" w:rsidRDefault="00E82A60" w:rsidP="00300A01">
            <w:pPr>
              <w:spacing w:before="0" w:after="0"/>
              <w:rPr>
                <w:sz w:val="16"/>
                <w:szCs w:val="16"/>
                <w:lang w:val="fr-BE"/>
              </w:rPr>
            </w:pPr>
            <w:r>
              <w:rPr>
                <w:noProof/>
                <w:sz w:val="16"/>
                <w:szCs w:val="16"/>
                <w:lang w:val="fr-BE"/>
              </w:rPr>
              <w:t>S</w:t>
            </w:r>
          </w:p>
        </w:tc>
        <w:tc>
          <w:tcPr>
            <w:tcW w:w="0" w:type="auto"/>
            <w:shd w:val="clear" w:color="auto" w:fill="auto"/>
          </w:tcPr>
          <w:p w14:paraId="5BD8D756" w14:textId="77777777" w:rsidR="008C5CFA" w:rsidRPr="0024468B" w:rsidRDefault="00E82A60" w:rsidP="00300A01">
            <w:pPr>
              <w:spacing w:before="0" w:after="0"/>
              <w:rPr>
                <w:sz w:val="16"/>
                <w:szCs w:val="16"/>
                <w:lang w:val="fr-BE"/>
              </w:rPr>
            </w:pPr>
            <w:r w:rsidRPr="0024468B">
              <w:rPr>
                <w:noProof/>
                <w:sz w:val="16"/>
                <w:szCs w:val="16"/>
                <w:lang w:val="fr-BE"/>
              </w:rPr>
              <w:t>CO01</w:t>
            </w:r>
          </w:p>
        </w:tc>
        <w:tc>
          <w:tcPr>
            <w:tcW w:w="0" w:type="auto"/>
            <w:shd w:val="clear" w:color="auto" w:fill="auto"/>
          </w:tcPr>
          <w:p w14:paraId="28C9D71C" w14:textId="77777777" w:rsidR="008C5CFA" w:rsidRPr="0024468B" w:rsidRDefault="00E82A60" w:rsidP="00300A01">
            <w:pPr>
              <w:spacing w:before="0" w:after="0"/>
              <w:rPr>
                <w:sz w:val="16"/>
                <w:szCs w:val="16"/>
                <w:lang w:val="fr-BE"/>
              </w:rPr>
            </w:pPr>
            <w:r w:rsidRPr="0024468B">
              <w:rPr>
                <w:noProof/>
                <w:sz w:val="16"/>
                <w:szCs w:val="16"/>
                <w:lang w:val="fr-BE"/>
              </w:rPr>
              <w:t>Inwestycje produkcyjne: liczba przedsiębiorstw otrzymujących wsparcie</w:t>
            </w:r>
          </w:p>
        </w:tc>
        <w:tc>
          <w:tcPr>
            <w:tcW w:w="0" w:type="auto"/>
          </w:tcPr>
          <w:p w14:paraId="624E10FB" w14:textId="77777777" w:rsidR="008C5CFA" w:rsidRPr="0024468B" w:rsidRDefault="00E82A60" w:rsidP="00300A01">
            <w:pPr>
              <w:spacing w:before="0" w:after="0"/>
              <w:jc w:val="right"/>
              <w:rPr>
                <w:sz w:val="16"/>
                <w:szCs w:val="16"/>
                <w:lang w:val="fr-BE"/>
              </w:rPr>
            </w:pPr>
            <w:r w:rsidRPr="0024468B">
              <w:rPr>
                <w:noProof/>
                <w:sz w:val="16"/>
                <w:szCs w:val="16"/>
                <w:lang w:val="fr-BE"/>
              </w:rPr>
              <w:t>35,00</w:t>
            </w:r>
          </w:p>
        </w:tc>
        <w:tc>
          <w:tcPr>
            <w:tcW w:w="0" w:type="auto"/>
          </w:tcPr>
          <w:p w14:paraId="67EE55C8"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3D5DC960"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52033B0B" w14:textId="77777777" w:rsidR="008C5CFA" w:rsidRPr="0024468B" w:rsidRDefault="00E82A60" w:rsidP="00300A01">
            <w:pPr>
              <w:spacing w:before="0" w:after="0"/>
              <w:jc w:val="right"/>
              <w:rPr>
                <w:sz w:val="16"/>
                <w:szCs w:val="16"/>
                <w:lang w:val="fr-BE"/>
              </w:rPr>
            </w:pPr>
            <w:r w:rsidRPr="0024468B">
              <w:rPr>
                <w:noProof/>
                <w:sz w:val="16"/>
                <w:szCs w:val="16"/>
                <w:lang w:val="fr-BE"/>
              </w:rPr>
              <w:t>4,00</w:t>
            </w:r>
          </w:p>
        </w:tc>
        <w:tc>
          <w:tcPr>
            <w:tcW w:w="0" w:type="auto"/>
          </w:tcPr>
          <w:p w14:paraId="60FD06A9"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65F57049"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13E19A22"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50E2B642"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2476ECC0"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r w:rsidR="006B2EC1" w14:paraId="2B55C856" w14:textId="77777777" w:rsidTr="0047688D">
        <w:tc>
          <w:tcPr>
            <w:tcW w:w="0" w:type="auto"/>
          </w:tcPr>
          <w:p w14:paraId="2788EC43" w14:textId="77777777" w:rsidR="008C5CFA" w:rsidRPr="0024468B" w:rsidRDefault="00E82A60" w:rsidP="00300A01">
            <w:pPr>
              <w:spacing w:before="0" w:after="0"/>
              <w:rPr>
                <w:sz w:val="16"/>
                <w:szCs w:val="16"/>
                <w:lang w:val="fr-BE"/>
              </w:rPr>
            </w:pPr>
            <w:r>
              <w:rPr>
                <w:noProof/>
                <w:sz w:val="16"/>
                <w:szCs w:val="16"/>
                <w:lang w:val="fr-BE"/>
              </w:rPr>
              <w:t>F</w:t>
            </w:r>
          </w:p>
        </w:tc>
        <w:tc>
          <w:tcPr>
            <w:tcW w:w="0" w:type="auto"/>
            <w:shd w:val="clear" w:color="auto" w:fill="auto"/>
          </w:tcPr>
          <w:p w14:paraId="4ADC9C82" w14:textId="77777777" w:rsidR="008C5CFA" w:rsidRPr="0024468B" w:rsidRDefault="00E82A60" w:rsidP="00300A01">
            <w:pPr>
              <w:spacing w:before="0" w:after="0"/>
              <w:rPr>
                <w:sz w:val="16"/>
                <w:szCs w:val="16"/>
                <w:lang w:val="fr-BE"/>
              </w:rPr>
            </w:pPr>
            <w:r w:rsidRPr="0024468B">
              <w:rPr>
                <w:noProof/>
                <w:sz w:val="16"/>
                <w:szCs w:val="16"/>
                <w:lang w:val="fr-BE"/>
              </w:rPr>
              <w:t>CO02</w:t>
            </w:r>
          </w:p>
        </w:tc>
        <w:tc>
          <w:tcPr>
            <w:tcW w:w="0" w:type="auto"/>
            <w:shd w:val="clear" w:color="auto" w:fill="auto"/>
          </w:tcPr>
          <w:p w14:paraId="0C6D083A" w14:textId="77777777" w:rsidR="008C5CFA" w:rsidRPr="0024468B" w:rsidRDefault="00E82A60" w:rsidP="00300A01">
            <w:pPr>
              <w:spacing w:before="0" w:after="0"/>
              <w:rPr>
                <w:sz w:val="16"/>
                <w:szCs w:val="16"/>
                <w:lang w:val="fr-BE"/>
              </w:rPr>
            </w:pPr>
            <w:r w:rsidRPr="0024468B">
              <w:rPr>
                <w:noProof/>
                <w:sz w:val="16"/>
                <w:szCs w:val="16"/>
                <w:lang w:val="fr-BE"/>
              </w:rPr>
              <w:t>Inwestycje produkcyjne: liczba przedsiębiorstw otrzymujących dotacje</w:t>
            </w:r>
          </w:p>
        </w:tc>
        <w:tc>
          <w:tcPr>
            <w:tcW w:w="0" w:type="auto"/>
          </w:tcPr>
          <w:p w14:paraId="4DE13E89" w14:textId="77777777" w:rsidR="008C5CFA" w:rsidRPr="0024468B" w:rsidRDefault="00E82A60" w:rsidP="00300A01">
            <w:pPr>
              <w:spacing w:before="0" w:after="0"/>
              <w:jc w:val="right"/>
              <w:rPr>
                <w:sz w:val="16"/>
                <w:szCs w:val="16"/>
                <w:lang w:val="fr-BE"/>
              </w:rPr>
            </w:pPr>
            <w:r w:rsidRPr="0024468B">
              <w:rPr>
                <w:noProof/>
                <w:sz w:val="16"/>
                <w:szCs w:val="16"/>
                <w:lang w:val="fr-BE"/>
              </w:rPr>
              <w:t>6,00</w:t>
            </w:r>
          </w:p>
        </w:tc>
        <w:tc>
          <w:tcPr>
            <w:tcW w:w="0" w:type="auto"/>
          </w:tcPr>
          <w:p w14:paraId="5528E0B7"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1C41A93F"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1E06846B"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7B12CEFD"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1B9BC31D"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4198E51C"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219A3825"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3468962B"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r w:rsidR="006B2EC1" w14:paraId="348349F5" w14:textId="77777777" w:rsidTr="0047688D">
        <w:tc>
          <w:tcPr>
            <w:tcW w:w="0" w:type="auto"/>
          </w:tcPr>
          <w:p w14:paraId="14F3677B" w14:textId="77777777" w:rsidR="008C5CFA" w:rsidRPr="0024468B" w:rsidRDefault="00E82A60" w:rsidP="00300A01">
            <w:pPr>
              <w:spacing w:before="0" w:after="0"/>
              <w:rPr>
                <w:sz w:val="16"/>
                <w:szCs w:val="16"/>
                <w:lang w:val="fr-BE"/>
              </w:rPr>
            </w:pPr>
            <w:r>
              <w:rPr>
                <w:noProof/>
                <w:sz w:val="16"/>
                <w:szCs w:val="16"/>
                <w:lang w:val="fr-BE"/>
              </w:rPr>
              <w:t>S</w:t>
            </w:r>
          </w:p>
        </w:tc>
        <w:tc>
          <w:tcPr>
            <w:tcW w:w="0" w:type="auto"/>
            <w:shd w:val="clear" w:color="auto" w:fill="auto"/>
          </w:tcPr>
          <w:p w14:paraId="58D5A429" w14:textId="77777777" w:rsidR="008C5CFA" w:rsidRPr="0024468B" w:rsidRDefault="00E82A60" w:rsidP="00300A01">
            <w:pPr>
              <w:spacing w:before="0" w:after="0"/>
              <w:rPr>
                <w:sz w:val="16"/>
                <w:szCs w:val="16"/>
                <w:lang w:val="fr-BE"/>
              </w:rPr>
            </w:pPr>
            <w:r w:rsidRPr="0024468B">
              <w:rPr>
                <w:noProof/>
                <w:sz w:val="16"/>
                <w:szCs w:val="16"/>
                <w:lang w:val="fr-BE"/>
              </w:rPr>
              <w:t>CO02</w:t>
            </w:r>
          </w:p>
        </w:tc>
        <w:tc>
          <w:tcPr>
            <w:tcW w:w="0" w:type="auto"/>
            <w:shd w:val="clear" w:color="auto" w:fill="auto"/>
          </w:tcPr>
          <w:p w14:paraId="1707A7DE" w14:textId="77777777" w:rsidR="008C5CFA" w:rsidRPr="0024468B" w:rsidRDefault="00E82A60" w:rsidP="00300A01">
            <w:pPr>
              <w:spacing w:before="0" w:after="0"/>
              <w:rPr>
                <w:sz w:val="16"/>
                <w:szCs w:val="16"/>
                <w:lang w:val="fr-BE"/>
              </w:rPr>
            </w:pPr>
            <w:r w:rsidRPr="0024468B">
              <w:rPr>
                <w:noProof/>
                <w:sz w:val="16"/>
                <w:szCs w:val="16"/>
                <w:lang w:val="fr-BE"/>
              </w:rPr>
              <w:t>Inwestycje produkcyjne: liczba przedsiębiorstw otrzymujących dotacje</w:t>
            </w:r>
          </w:p>
        </w:tc>
        <w:tc>
          <w:tcPr>
            <w:tcW w:w="0" w:type="auto"/>
          </w:tcPr>
          <w:p w14:paraId="1BBFA380" w14:textId="77777777" w:rsidR="008C5CFA" w:rsidRPr="0024468B" w:rsidRDefault="00E82A60" w:rsidP="00300A01">
            <w:pPr>
              <w:spacing w:before="0" w:after="0"/>
              <w:jc w:val="right"/>
              <w:rPr>
                <w:sz w:val="16"/>
                <w:szCs w:val="16"/>
                <w:lang w:val="fr-BE"/>
              </w:rPr>
            </w:pPr>
            <w:r w:rsidRPr="0024468B">
              <w:rPr>
                <w:noProof/>
                <w:sz w:val="16"/>
                <w:szCs w:val="16"/>
                <w:lang w:val="fr-BE"/>
              </w:rPr>
              <w:t>35,00</w:t>
            </w:r>
          </w:p>
        </w:tc>
        <w:tc>
          <w:tcPr>
            <w:tcW w:w="0" w:type="auto"/>
          </w:tcPr>
          <w:p w14:paraId="21F033A7"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16FA5274"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1C39FC3E" w14:textId="77777777" w:rsidR="008C5CFA" w:rsidRPr="0024468B" w:rsidRDefault="00E82A60" w:rsidP="00300A01">
            <w:pPr>
              <w:spacing w:before="0" w:after="0"/>
              <w:jc w:val="right"/>
              <w:rPr>
                <w:sz w:val="16"/>
                <w:szCs w:val="16"/>
                <w:lang w:val="fr-BE"/>
              </w:rPr>
            </w:pPr>
            <w:r w:rsidRPr="0024468B">
              <w:rPr>
                <w:noProof/>
                <w:sz w:val="16"/>
                <w:szCs w:val="16"/>
                <w:lang w:val="fr-BE"/>
              </w:rPr>
              <w:t>4,00</w:t>
            </w:r>
          </w:p>
        </w:tc>
        <w:tc>
          <w:tcPr>
            <w:tcW w:w="0" w:type="auto"/>
          </w:tcPr>
          <w:p w14:paraId="778E90AA"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3350C82A"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3D1BB738"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6B50AF84"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116A426F"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r w:rsidR="006B2EC1" w14:paraId="23840C37" w14:textId="77777777" w:rsidTr="0047688D">
        <w:tc>
          <w:tcPr>
            <w:tcW w:w="0" w:type="auto"/>
          </w:tcPr>
          <w:p w14:paraId="2BB9073C" w14:textId="77777777" w:rsidR="008C5CFA" w:rsidRPr="0024468B" w:rsidRDefault="00E82A60" w:rsidP="00300A01">
            <w:pPr>
              <w:spacing w:before="0" w:after="0"/>
              <w:rPr>
                <w:sz w:val="16"/>
                <w:szCs w:val="16"/>
                <w:lang w:val="fr-BE"/>
              </w:rPr>
            </w:pPr>
            <w:r>
              <w:rPr>
                <w:noProof/>
                <w:sz w:val="16"/>
                <w:szCs w:val="16"/>
                <w:lang w:val="fr-BE"/>
              </w:rPr>
              <w:t>F</w:t>
            </w:r>
          </w:p>
        </w:tc>
        <w:tc>
          <w:tcPr>
            <w:tcW w:w="0" w:type="auto"/>
            <w:shd w:val="clear" w:color="auto" w:fill="auto"/>
          </w:tcPr>
          <w:p w14:paraId="74574A5B" w14:textId="77777777" w:rsidR="008C5CFA" w:rsidRPr="0024468B" w:rsidRDefault="00E82A60" w:rsidP="00300A01">
            <w:pPr>
              <w:spacing w:before="0" w:after="0"/>
              <w:rPr>
                <w:sz w:val="16"/>
                <w:szCs w:val="16"/>
                <w:lang w:val="fr-BE"/>
              </w:rPr>
            </w:pPr>
            <w:r w:rsidRPr="0024468B">
              <w:rPr>
                <w:noProof/>
                <w:sz w:val="16"/>
                <w:szCs w:val="16"/>
                <w:lang w:val="fr-BE"/>
              </w:rPr>
              <w:t>CO06</w:t>
            </w:r>
          </w:p>
        </w:tc>
        <w:tc>
          <w:tcPr>
            <w:tcW w:w="0" w:type="auto"/>
            <w:shd w:val="clear" w:color="auto" w:fill="auto"/>
          </w:tcPr>
          <w:p w14:paraId="53CC82CA" w14:textId="77777777" w:rsidR="008C5CFA" w:rsidRPr="0024468B" w:rsidRDefault="00E82A60" w:rsidP="00300A01">
            <w:pPr>
              <w:spacing w:before="0" w:after="0"/>
              <w:rPr>
                <w:sz w:val="16"/>
                <w:szCs w:val="16"/>
                <w:lang w:val="fr-BE"/>
              </w:rPr>
            </w:pPr>
            <w:r w:rsidRPr="0024468B">
              <w:rPr>
                <w:noProof/>
                <w:sz w:val="16"/>
                <w:szCs w:val="16"/>
                <w:lang w:val="fr-BE"/>
              </w:rPr>
              <w:t>Inwestycje produkcyjne: inwestycje prywatne uzupełniające wsparcie publiczne dla przedsiębiorstw (dotacje)</w:t>
            </w:r>
          </w:p>
        </w:tc>
        <w:tc>
          <w:tcPr>
            <w:tcW w:w="0" w:type="auto"/>
          </w:tcPr>
          <w:p w14:paraId="67C2516D" w14:textId="77777777" w:rsidR="008C5CFA" w:rsidRPr="0024468B" w:rsidRDefault="00E82A60" w:rsidP="00300A01">
            <w:pPr>
              <w:spacing w:before="0" w:after="0"/>
              <w:jc w:val="right"/>
              <w:rPr>
                <w:sz w:val="16"/>
                <w:szCs w:val="16"/>
                <w:lang w:val="fr-BE"/>
              </w:rPr>
            </w:pPr>
            <w:r w:rsidRPr="0024468B">
              <w:rPr>
                <w:noProof/>
                <w:sz w:val="16"/>
                <w:szCs w:val="16"/>
                <w:lang w:val="fr-BE"/>
              </w:rPr>
              <w:t>931 470,95</w:t>
            </w:r>
          </w:p>
        </w:tc>
        <w:tc>
          <w:tcPr>
            <w:tcW w:w="0" w:type="auto"/>
          </w:tcPr>
          <w:p w14:paraId="24BABED5"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2B37AB00"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11A7ECA1"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722D96DB"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5A013C81"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7C7AFEE5"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159195D3"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0D2D723B"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r w:rsidR="006B2EC1" w14:paraId="00CC2CFD" w14:textId="77777777" w:rsidTr="0047688D">
        <w:tc>
          <w:tcPr>
            <w:tcW w:w="0" w:type="auto"/>
          </w:tcPr>
          <w:p w14:paraId="1BD55819" w14:textId="77777777" w:rsidR="008C5CFA" w:rsidRPr="0024468B" w:rsidRDefault="00E82A60" w:rsidP="00300A01">
            <w:pPr>
              <w:spacing w:before="0" w:after="0"/>
              <w:rPr>
                <w:sz w:val="16"/>
                <w:szCs w:val="16"/>
                <w:lang w:val="fr-BE"/>
              </w:rPr>
            </w:pPr>
            <w:r>
              <w:rPr>
                <w:noProof/>
                <w:sz w:val="16"/>
                <w:szCs w:val="16"/>
                <w:lang w:val="fr-BE"/>
              </w:rPr>
              <w:t>S</w:t>
            </w:r>
          </w:p>
        </w:tc>
        <w:tc>
          <w:tcPr>
            <w:tcW w:w="0" w:type="auto"/>
            <w:shd w:val="clear" w:color="auto" w:fill="auto"/>
          </w:tcPr>
          <w:p w14:paraId="62A180CF" w14:textId="77777777" w:rsidR="008C5CFA" w:rsidRPr="0024468B" w:rsidRDefault="00E82A60" w:rsidP="00300A01">
            <w:pPr>
              <w:spacing w:before="0" w:after="0"/>
              <w:rPr>
                <w:sz w:val="16"/>
                <w:szCs w:val="16"/>
                <w:lang w:val="fr-BE"/>
              </w:rPr>
            </w:pPr>
            <w:r w:rsidRPr="0024468B">
              <w:rPr>
                <w:noProof/>
                <w:sz w:val="16"/>
                <w:szCs w:val="16"/>
                <w:lang w:val="fr-BE"/>
              </w:rPr>
              <w:t>CO06</w:t>
            </w:r>
          </w:p>
        </w:tc>
        <w:tc>
          <w:tcPr>
            <w:tcW w:w="0" w:type="auto"/>
            <w:shd w:val="clear" w:color="auto" w:fill="auto"/>
          </w:tcPr>
          <w:p w14:paraId="68D77B36" w14:textId="77777777" w:rsidR="008C5CFA" w:rsidRPr="0024468B" w:rsidRDefault="00E82A60" w:rsidP="00300A01">
            <w:pPr>
              <w:spacing w:before="0" w:after="0"/>
              <w:rPr>
                <w:sz w:val="16"/>
                <w:szCs w:val="16"/>
                <w:lang w:val="fr-BE"/>
              </w:rPr>
            </w:pPr>
            <w:r w:rsidRPr="0024468B">
              <w:rPr>
                <w:noProof/>
                <w:sz w:val="16"/>
                <w:szCs w:val="16"/>
                <w:lang w:val="fr-BE"/>
              </w:rPr>
              <w:t>Inwestycje produkcyjne: inwestycje prywatne uzupełniające wsparcie publiczne dla przedsiębiorstw (dotacje)</w:t>
            </w:r>
          </w:p>
        </w:tc>
        <w:tc>
          <w:tcPr>
            <w:tcW w:w="0" w:type="auto"/>
          </w:tcPr>
          <w:p w14:paraId="2D9EA3AE" w14:textId="77777777" w:rsidR="008C5CFA" w:rsidRPr="0024468B" w:rsidRDefault="00E82A60" w:rsidP="00300A01">
            <w:pPr>
              <w:spacing w:before="0" w:after="0"/>
              <w:jc w:val="right"/>
              <w:rPr>
                <w:sz w:val="16"/>
                <w:szCs w:val="16"/>
                <w:lang w:val="fr-BE"/>
              </w:rPr>
            </w:pPr>
            <w:r w:rsidRPr="0024468B">
              <w:rPr>
                <w:noProof/>
                <w:sz w:val="16"/>
                <w:szCs w:val="16"/>
                <w:lang w:val="fr-BE"/>
              </w:rPr>
              <w:t>19 295 946,45</w:t>
            </w:r>
          </w:p>
        </w:tc>
        <w:tc>
          <w:tcPr>
            <w:tcW w:w="0" w:type="auto"/>
          </w:tcPr>
          <w:p w14:paraId="39FA149E"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49F5B309"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71E23E9A" w14:textId="77777777" w:rsidR="008C5CFA" w:rsidRPr="0024468B" w:rsidRDefault="00E82A60" w:rsidP="00300A01">
            <w:pPr>
              <w:spacing w:before="0" w:after="0"/>
              <w:jc w:val="right"/>
              <w:rPr>
                <w:sz w:val="16"/>
                <w:szCs w:val="16"/>
                <w:lang w:val="fr-BE"/>
              </w:rPr>
            </w:pPr>
            <w:r w:rsidRPr="0024468B">
              <w:rPr>
                <w:noProof/>
                <w:sz w:val="16"/>
                <w:szCs w:val="16"/>
                <w:lang w:val="fr-BE"/>
              </w:rPr>
              <w:t>1 332 747,10</w:t>
            </w:r>
          </w:p>
        </w:tc>
        <w:tc>
          <w:tcPr>
            <w:tcW w:w="0" w:type="auto"/>
          </w:tcPr>
          <w:p w14:paraId="0F888E16"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04BFAA74"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47FACA0E"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7B26517A"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08109FB9"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r w:rsidR="006B2EC1" w14:paraId="280111A0" w14:textId="77777777" w:rsidTr="0047688D">
        <w:tc>
          <w:tcPr>
            <w:tcW w:w="0" w:type="auto"/>
          </w:tcPr>
          <w:p w14:paraId="33E6A2E7" w14:textId="77777777" w:rsidR="008C5CFA" w:rsidRPr="0024468B" w:rsidRDefault="00E82A60" w:rsidP="00300A01">
            <w:pPr>
              <w:spacing w:before="0" w:after="0"/>
              <w:rPr>
                <w:sz w:val="16"/>
                <w:szCs w:val="16"/>
                <w:lang w:val="fr-BE"/>
              </w:rPr>
            </w:pPr>
            <w:r>
              <w:rPr>
                <w:noProof/>
                <w:sz w:val="16"/>
                <w:szCs w:val="16"/>
                <w:lang w:val="fr-BE"/>
              </w:rPr>
              <w:t>F</w:t>
            </w:r>
          </w:p>
        </w:tc>
        <w:tc>
          <w:tcPr>
            <w:tcW w:w="0" w:type="auto"/>
            <w:shd w:val="clear" w:color="auto" w:fill="auto"/>
          </w:tcPr>
          <w:p w14:paraId="32044C37" w14:textId="77777777" w:rsidR="008C5CFA" w:rsidRPr="0024468B" w:rsidRDefault="00E82A60" w:rsidP="00300A01">
            <w:pPr>
              <w:spacing w:before="0" w:after="0"/>
              <w:rPr>
                <w:sz w:val="16"/>
                <w:szCs w:val="16"/>
                <w:lang w:val="fr-BE"/>
              </w:rPr>
            </w:pPr>
            <w:r w:rsidRPr="0024468B">
              <w:rPr>
                <w:noProof/>
                <w:sz w:val="16"/>
                <w:szCs w:val="16"/>
                <w:lang w:val="fr-BE"/>
              </w:rPr>
              <w:t>CO26</w:t>
            </w:r>
          </w:p>
        </w:tc>
        <w:tc>
          <w:tcPr>
            <w:tcW w:w="0" w:type="auto"/>
            <w:shd w:val="clear" w:color="auto" w:fill="auto"/>
          </w:tcPr>
          <w:p w14:paraId="69ECA638" w14:textId="77777777" w:rsidR="008C5CFA" w:rsidRPr="0024468B" w:rsidRDefault="00E82A60" w:rsidP="00300A01">
            <w:pPr>
              <w:spacing w:before="0" w:after="0"/>
              <w:rPr>
                <w:sz w:val="16"/>
                <w:szCs w:val="16"/>
                <w:lang w:val="fr-BE"/>
              </w:rPr>
            </w:pPr>
            <w:r w:rsidRPr="0024468B">
              <w:rPr>
                <w:noProof/>
                <w:sz w:val="16"/>
                <w:szCs w:val="16"/>
                <w:lang w:val="fr-BE"/>
              </w:rPr>
              <w:t>Badania i innowacje: liczba przedsiębiorstw współpracujących z ośrodkami badawczymi</w:t>
            </w:r>
          </w:p>
        </w:tc>
        <w:tc>
          <w:tcPr>
            <w:tcW w:w="0" w:type="auto"/>
          </w:tcPr>
          <w:p w14:paraId="36B1986F" w14:textId="77777777" w:rsidR="008C5CFA" w:rsidRPr="0024468B" w:rsidRDefault="00E82A60" w:rsidP="00300A01">
            <w:pPr>
              <w:spacing w:before="0" w:after="0"/>
              <w:jc w:val="right"/>
              <w:rPr>
                <w:sz w:val="16"/>
                <w:szCs w:val="16"/>
                <w:lang w:val="fr-BE"/>
              </w:rPr>
            </w:pPr>
            <w:r w:rsidRPr="0024468B">
              <w:rPr>
                <w:noProof/>
                <w:sz w:val="16"/>
                <w:szCs w:val="16"/>
                <w:lang w:val="fr-BE"/>
              </w:rPr>
              <w:t>7,00</w:t>
            </w:r>
          </w:p>
        </w:tc>
        <w:tc>
          <w:tcPr>
            <w:tcW w:w="0" w:type="auto"/>
          </w:tcPr>
          <w:p w14:paraId="5631B3A3"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4BC561D6"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6E471E9D"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396E5F00"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5A3F677A"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4D71A36A"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1B96E929"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077B8099"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r w:rsidR="006B2EC1" w14:paraId="232935C9" w14:textId="77777777" w:rsidTr="0047688D">
        <w:tc>
          <w:tcPr>
            <w:tcW w:w="0" w:type="auto"/>
          </w:tcPr>
          <w:p w14:paraId="4C0DE8C3" w14:textId="77777777" w:rsidR="008C5CFA" w:rsidRPr="0024468B" w:rsidRDefault="00E82A60" w:rsidP="00300A01">
            <w:pPr>
              <w:spacing w:before="0" w:after="0"/>
              <w:rPr>
                <w:sz w:val="16"/>
                <w:szCs w:val="16"/>
                <w:lang w:val="fr-BE"/>
              </w:rPr>
            </w:pPr>
            <w:r>
              <w:rPr>
                <w:noProof/>
                <w:sz w:val="16"/>
                <w:szCs w:val="16"/>
                <w:lang w:val="fr-BE"/>
              </w:rPr>
              <w:t>S</w:t>
            </w:r>
          </w:p>
        </w:tc>
        <w:tc>
          <w:tcPr>
            <w:tcW w:w="0" w:type="auto"/>
            <w:shd w:val="clear" w:color="auto" w:fill="auto"/>
          </w:tcPr>
          <w:p w14:paraId="4CA75F2D" w14:textId="77777777" w:rsidR="008C5CFA" w:rsidRPr="0024468B" w:rsidRDefault="00E82A60" w:rsidP="00300A01">
            <w:pPr>
              <w:spacing w:before="0" w:after="0"/>
              <w:rPr>
                <w:sz w:val="16"/>
                <w:szCs w:val="16"/>
                <w:lang w:val="fr-BE"/>
              </w:rPr>
            </w:pPr>
            <w:r w:rsidRPr="0024468B">
              <w:rPr>
                <w:noProof/>
                <w:sz w:val="16"/>
                <w:szCs w:val="16"/>
                <w:lang w:val="fr-BE"/>
              </w:rPr>
              <w:t>CO26</w:t>
            </w:r>
          </w:p>
        </w:tc>
        <w:tc>
          <w:tcPr>
            <w:tcW w:w="0" w:type="auto"/>
            <w:shd w:val="clear" w:color="auto" w:fill="auto"/>
          </w:tcPr>
          <w:p w14:paraId="4BFB0F1F" w14:textId="77777777" w:rsidR="008C5CFA" w:rsidRPr="0024468B" w:rsidRDefault="00E82A60" w:rsidP="00300A01">
            <w:pPr>
              <w:spacing w:before="0" w:after="0"/>
              <w:rPr>
                <w:sz w:val="16"/>
                <w:szCs w:val="16"/>
                <w:lang w:val="fr-BE"/>
              </w:rPr>
            </w:pPr>
            <w:r w:rsidRPr="0024468B">
              <w:rPr>
                <w:noProof/>
                <w:sz w:val="16"/>
                <w:szCs w:val="16"/>
                <w:lang w:val="fr-BE"/>
              </w:rPr>
              <w:t>Badania i innowacje: liczba przedsiębiorstw współpracujących z ośrodkami badawczymi</w:t>
            </w:r>
          </w:p>
        </w:tc>
        <w:tc>
          <w:tcPr>
            <w:tcW w:w="0" w:type="auto"/>
          </w:tcPr>
          <w:p w14:paraId="798006ED" w14:textId="77777777" w:rsidR="008C5CFA" w:rsidRPr="0024468B" w:rsidRDefault="00E82A60" w:rsidP="00300A01">
            <w:pPr>
              <w:spacing w:before="0" w:after="0"/>
              <w:jc w:val="right"/>
              <w:rPr>
                <w:sz w:val="16"/>
                <w:szCs w:val="16"/>
                <w:lang w:val="fr-BE"/>
              </w:rPr>
            </w:pPr>
            <w:r w:rsidRPr="0024468B">
              <w:rPr>
                <w:noProof/>
                <w:sz w:val="16"/>
                <w:szCs w:val="16"/>
                <w:lang w:val="fr-BE"/>
              </w:rPr>
              <w:t>28,00</w:t>
            </w:r>
          </w:p>
        </w:tc>
        <w:tc>
          <w:tcPr>
            <w:tcW w:w="0" w:type="auto"/>
          </w:tcPr>
          <w:p w14:paraId="3F96BD2A"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14E3D2E5"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031E5E7B" w14:textId="77777777" w:rsidR="008C5CFA" w:rsidRPr="0024468B" w:rsidRDefault="00E82A60" w:rsidP="00300A01">
            <w:pPr>
              <w:spacing w:before="0" w:after="0"/>
              <w:jc w:val="right"/>
              <w:rPr>
                <w:sz w:val="16"/>
                <w:szCs w:val="16"/>
                <w:lang w:val="fr-BE"/>
              </w:rPr>
            </w:pPr>
            <w:r w:rsidRPr="0024468B">
              <w:rPr>
                <w:noProof/>
                <w:sz w:val="16"/>
                <w:szCs w:val="16"/>
                <w:lang w:val="fr-BE"/>
              </w:rPr>
              <w:t>2,00</w:t>
            </w:r>
          </w:p>
        </w:tc>
        <w:tc>
          <w:tcPr>
            <w:tcW w:w="0" w:type="auto"/>
          </w:tcPr>
          <w:p w14:paraId="3F1B4C81"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1552D712"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26118EBB"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0A9D5076"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50247F01"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r w:rsidR="006B2EC1" w14:paraId="16035E5F" w14:textId="77777777" w:rsidTr="0047688D">
        <w:tc>
          <w:tcPr>
            <w:tcW w:w="0" w:type="auto"/>
          </w:tcPr>
          <w:p w14:paraId="7F01337C" w14:textId="77777777" w:rsidR="008C5CFA" w:rsidRPr="0024468B" w:rsidRDefault="00E82A60" w:rsidP="00300A01">
            <w:pPr>
              <w:spacing w:before="0" w:after="0"/>
              <w:rPr>
                <w:sz w:val="16"/>
                <w:szCs w:val="16"/>
                <w:lang w:val="fr-BE"/>
              </w:rPr>
            </w:pPr>
            <w:r>
              <w:rPr>
                <w:noProof/>
                <w:sz w:val="16"/>
                <w:szCs w:val="16"/>
                <w:lang w:val="fr-BE"/>
              </w:rPr>
              <w:t>F</w:t>
            </w:r>
          </w:p>
        </w:tc>
        <w:tc>
          <w:tcPr>
            <w:tcW w:w="0" w:type="auto"/>
            <w:shd w:val="clear" w:color="auto" w:fill="auto"/>
          </w:tcPr>
          <w:p w14:paraId="6C212996" w14:textId="77777777" w:rsidR="008C5CFA" w:rsidRPr="0024468B" w:rsidRDefault="00E82A60" w:rsidP="00300A01">
            <w:pPr>
              <w:spacing w:before="0" w:after="0"/>
              <w:rPr>
                <w:sz w:val="16"/>
                <w:szCs w:val="16"/>
                <w:lang w:val="fr-BE"/>
              </w:rPr>
            </w:pPr>
            <w:r w:rsidRPr="0024468B">
              <w:rPr>
                <w:noProof/>
                <w:sz w:val="16"/>
                <w:szCs w:val="16"/>
                <w:lang w:val="fr-BE"/>
              </w:rPr>
              <w:t>CO28</w:t>
            </w:r>
          </w:p>
        </w:tc>
        <w:tc>
          <w:tcPr>
            <w:tcW w:w="0" w:type="auto"/>
            <w:shd w:val="clear" w:color="auto" w:fill="auto"/>
          </w:tcPr>
          <w:p w14:paraId="4F453DFA" w14:textId="77777777" w:rsidR="008C5CFA" w:rsidRPr="0024468B" w:rsidRDefault="00E82A60" w:rsidP="00300A01">
            <w:pPr>
              <w:spacing w:before="0" w:after="0"/>
              <w:rPr>
                <w:sz w:val="16"/>
                <w:szCs w:val="16"/>
                <w:lang w:val="fr-BE"/>
              </w:rPr>
            </w:pPr>
            <w:r w:rsidRPr="0024468B">
              <w:rPr>
                <w:noProof/>
                <w:sz w:val="16"/>
                <w:szCs w:val="16"/>
                <w:lang w:val="fr-BE"/>
              </w:rPr>
              <w:t>Badania i innowacje: liczba przedsiębiorstw objętych wsparciem w celu wprowadzenia produktów nowych dla rynku</w:t>
            </w:r>
          </w:p>
        </w:tc>
        <w:tc>
          <w:tcPr>
            <w:tcW w:w="0" w:type="auto"/>
          </w:tcPr>
          <w:p w14:paraId="2E677B9C" w14:textId="77777777" w:rsidR="008C5CFA" w:rsidRPr="0024468B" w:rsidRDefault="00E82A60" w:rsidP="00300A01">
            <w:pPr>
              <w:spacing w:before="0" w:after="0"/>
              <w:jc w:val="right"/>
              <w:rPr>
                <w:sz w:val="16"/>
                <w:szCs w:val="16"/>
                <w:lang w:val="fr-BE"/>
              </w:rPr>
            </w:pPr>
            <w:r w:rsidRPr="0024468B">
              <w:rPr>
                <w:noProof/>
                <w:sz w:val="16"/>
                <w:szCs w:val="16"/>
                <w:lang w:val="fr-BE"/>
              </w:rPr>
              <w:t>22,00</w:t>
            </w:r>
          </w:p>
        </w:tc>
        <w:tc>
          <w:tcPr>
            <w:tcW w:w="0" w:type="auto"/>
          </w:tcPr>
          <w:p w14:paraId="52FDD6B4"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6F2298B8"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1D49C92D"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32B7806A"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44C63DC5"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043C918D"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22A87FAD"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3536E531"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r w:rsidR="006B2EC1" w14:paraId="6E47B326" w14:textId="77777777" w:rsidTr="0047688D">
        <w:tc>
          <w:tcPr>
            <w:tcW w:w="0" w:type="auto"/>
          </w:tcPr>
          <w:p w14:paraId="1A4826A0" w14:textId="77777777" w:rsidR="008C5CFA" w:rsidRPr="0024468B" w:rsidRDefault="00E82A60" w:rsidP="00300A01">
            <w:pPr>
              <w:spacing w:before="0" w:after="0"/>
              <w:rPr>
                <w:sz w:val="16"/>
                <w:szCs w:val="16"/>
                <w:lang w:val="fr-BE"/>
              </w:rPr>
            </w:pPr>
            <w:r>
              <w:rPr>
                <w:noProof/>
                <w:sz w:val="16"/>
                <w:szCs w:val="16"/>
                <w:lang w:val="fr-BE"/>
              </w:rPr>
              <w:t>S</w:t>
            </w:r>
          </w:p>
        </w:tc>
        <w:tc>
          <w:tcPr>
            <w:tcW w:w="0" w:type="auto"/>
            <w:shd w:val="clear" w:color="auto" w:fill="auto"/>
          </w:tcPr>
          <w:p w14:paraId="5CFE7FDF" w14:textId="77777777" w:rsidR="008C5CFA" w:rsidRPr="0024468B" w:rsidRDefault="00E82A60" w:rsidP="00300A01">
            <w:pPr>
              <w:spacing w:before="0" w:after="0"/>
              <w:rPr>
                <w:sz w:val="16"/>
                <w:szCs w:val="16"/>
                <w:lang w:val="fr-BE"/>
              </w:rPr>
            </w:pPr>
            <w:r w:rsidRPr="0024468B">
              <w:rPr>
                <w:noProof/>
                <w:sz w:val="16"/>
                <w:szCs w:val="16"/>
                <w:lang w:val="fr-BE"/>
              </w:rPr>
              <w:t>CO28</w:t>
            </w:r>
          </w:p>
        </w:tc>
        <w:tc>
          <w:tcPr>
            <w:tcW w:w="0" w:type="auto"/>
            <w:shd w:val="clear" w:color="auto" w:fill="auto"/>
          </w:tcPr>
          <w:p w14:paraId="2A7C6D3F" w14:textId="77777777" w:rsidR="008C5CFA" w:rsidRPr="0024468B" w:rsidRDefault="00E82A60" w:rsidP="00300A01">
            <w:pPr>
              <w:spacing w:before="0" w:after="0"/>
              <w:rPr>
                <w:sz w:val="16"/>
                <w:szCs w:val="16"/>
                <w:lang w:val="fr-BE"/>
              </w:rPr>
            </w:pPr>
            <w:r w:rsidRPr="0024468B">
              <w:rPr>
                <w:noProof/>
                <w:sz w:val="16"/>
                <w:szCs w:val="16"/>
                <w:lang w:val="fr-BE"/>
              </w:rPr>
              <w:t>Badania i innowacje: liczba przedsiębiorstw objętych wsparciem w celu wprowadzenia produktów nowych dla rynku</w:t>
            </w:r>
          </w:p>
        </w:tc>
        <w:tc>
          <w:tcPr>
            <w:tcW w:w="0" w:type="auto"/>
          </w:tcPr>
          <w:p w14:paraId="0277DE8F" w14:textId="77777777" w:rsidR="008C5CFA" w:rsidRPr="0024468B" w:rsidRDefault="00E82A60" w:rsidP="00300A01">
            <w:pPr>
              <w:spacing w:before="0" w:after="0"/>
              <w:jc w:val="right"/>
              <w:rPr>
                <w:sz w:val="16"/>
                <w:szCs w:val="16"/>
                <w:lang w:val="fr-BE"/>
              </w:rPr>
            </w:pPr>
            <w:r w:rsidRPr="0024468B">
              <w:rPr>
                <w:noProof/>
                <w:sz w:val="16"/>
                <w:szCs w:val="16"/>
                <w:lang w:val="fr-BE"/>
              </w:rPr>
              <w:t>30,00</w:t>
            </w:r>
          </w:p>
        </w:tc>
        <w:tc>
          <w:tcPr>
            <w:tcW w:w="0" w:type="auto"/>
          </w:tcPr>
          <w:p w14:paraId="4BA1D12A"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19E22176"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132A7740" w14:textId="77777777" w:rsidR="008C5CFA" w:rsidRPr="0024468B" w:rsidRDefault="00E82A60" w:rsidP="00300A01">
            <w:pPr>
              <w:spacing w:before="0" w:after="0"/>
              <w:jc w:val="right"/>
              <w:rPr>
                <w:sz w:val="16"/>
                <w:szCs w:val="16"/>
                <w:lang w:val="fr-BE"/>
              </w:rPr>
            </w:pPr>
            <w:r w:rsidRPr="0024468B">
              <w:rPr>
                <w:noProof/>
                <w:sz w:val="16"/>
                <w:szCs w:val="16"/>
                <w:lang w:val="fr-BE"/>
              </w:rPr>
              <w:t>4,00</w:t>
            </w:r>
          </w:p>
        </w:tc>
        <w:tc>
          <w:tcPr>
            <w:tcW w:w="0" w:type="auto"/>
          </w:tcPr>
          <w:p w14:paraId="5F2D7B62"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6EE35416"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221DC901"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6BB4EC53"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16DB1880"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bl>
    <w:p w14:paraId="4FB0B20A"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06"/>
        <w:gridCol w:w="508"/>
        <w:gridCol w:w="7792"/>
        <w:gridCol w:w="1030"/>
        <w:gridCol w:w="1220"/>
        <w:gridCol w:w="1039"/>
        <w:gridCol w:w="1030"/>
        <w:gridCol w:w="1220"/>
        <w:gridCol w:w="1039"/>
      </w:tblGrid>
      <w:tr w:rsidR="006B2EC1" w14:paraId="239AB643" w14:textId="77777777" w:rsidTr="0047688D">
        <w:trPr>
          <w:tblHeader/>
        </w:trPr>
        <w:tc>
          <w:tcPr>
            <w:tcW w:w="0" w:type="auto"/>
          </w:tcPr>
          <w:p w14:paraId="48AAFF93" w14:textId="77777777" w:rsidR="008C5CFA" w:rsidRPr="009143B4" w:rsidRDefault="00E82A60" w:rsidP="00300A01">
            <w:pPr>
              <w:spacing w:before="0" w:after="0"/>
              <w:rPr>
                <w:b/>
                <w:sz w:val="16"/>
                <w:szCs w:val="16"/>
                <w:lang w:val="fr-BE"/>
              </w:rPr>
            </w:pPr>
            <w:r w:rsidRPr="009143B4">
              <w:rPr>
                <w:b/>
                <w:sz w:val="16"/>
                <w:szCs w:val="16"/>
                <w:lang w:val="fr-BE"/>
              </w:rPr>
              <w:t>(1)</w:t>
            </w:r>
          </w:p>
        </w:tc>
        <w:tc>
          <w:tcPr>
            <w:tcW w:w="0" w:type="auto"/>
            <w:shd w:val="clear" w:color="auto" w:fill="auto"/>
          </w:tcPr>
          <w:p w14:paraId="631B915A" w14:textId="77777777" w:rsidR="008C5CFA" w:rsidRPr="009143B4" w:rsidRDefault="00E82A60" w:rsidP="00300A01">
            <w:pPr>
              <w:spacing w:before="0" w:after="0"/>
              <w:rPr>
                <w:b/>
                <w:sz w:val="16"/>
                <w:szCs w:val="16"/>
                <w:lang w:val="fr-BE"/>
              </w:rPr>
            </w:pPr>
            <w:r w:rsidRPr="009143B4">
              <w:rPr>
                <w:b/>
                <w:noProof/>
                <w:sz w:val="16"/>
                <w:szCs w:val="16"/>
                <w:lang w:val="fr-BE"/>
              </w:rPr>
              <w:t>ID</w:t>
            </w:r>
          </w:p>
        </w:tc>
        <w:tc>
          <w:tcPr>
            <w:tcW w:w="0" w:type="auto"/>
            <w:shd w:val="clear" w:color="auto" w:fill="auto"/>
          </w:tcPr>
          <w:p w14:paraId="33A41990" w14:textId="77777777" w:rsidR="008C5CFA" w:rsidRPr="009143B4" w:rsidRDefault="00E82A60" w:rsidP="00300A01">
            <w:pPr>
              <w:spacing w:before="0" w:after="0"/>
              <w:rPr>
                <w:b/>
                <w:sz w:val="16"/>
                <w:szCs w:val="16"/>
                <w:lang w:val="fr-BE"/>
              </w:rPr>
            </w:pPr>
            <w:r w:rsidRPr="009143B4">
              <w:rPr>
                <w:b/>
                <w:noProof/>
                <w:sz w:val="16"/>
                <w:szCs w:val="16"/>
                <w:lang w:val="fr-BE"/>
              </w:rPr>
              <w:t>Wskaźnik</w:t>
            </w:r>
          </w:p>
        </w:tc>
        <w:tc>
          <w:tcPr>
            <w:tcW w:w="0" w:type="auto"/>
          </w:tcPr>
          <w:p w14:paraId="39758A6C" w14:textId="77777777" w:rsidR="008C5CFA" w:rsidRPr="009143B4" w:rsidRDefault="00E82A60"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Ogółem</w:t>
            </w:r>
          </w:p>
        </w:tc>
        <w:tc>
          <w:tcPr>
            <w:tcW w:w="0" w:type="auto"/>
          </w:tcPr>
          <w:p w14:paraId="6D4C144B" w14:textId="77777777" w:rsidR="008C5CFA" w:rsidRPr="009143B4" w:rsidRDefault="00E82A60"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Mężczyźni</w:t>
            </w:r>
          </w:p>
        </w:tc>
        <w:tc>
          <w:tcPr>
            <w:tcW w:w="0" w:type="auto"/>
          </w:tcPr>
          <w:p w14:paraId="1AB370E4" w14:textId="77777777" w:rsidR="008C5CFA" w:rsidRPr="009143B4" w:rsidRDefault="00E82A60"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Kobiety</w:t>
            </w:r>
          </w:p>
        </w:tc>
        <w:tc>
          <w:tcPr>
            <w:tcW w:w="0" w:type="auto"/>
            <w:shd w:val="clear" w:color="auto" w:fill="auto"/>
          </w:tcPr>
          <w:p w14:paraId="70FEA72D" w14:textId="77777777" w:rsidR="008C5CFA" w:rsidRPr="009143B4" w:rsidRDefault="00E82A60"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Ogółem</w:t>
            </w:r>
          </w:p>
        </w:tc>
        <w:tc>
          <w:tcPr>
            <w:tcW w:w="0" w:type="auto"/>
            <w:shd w:val="clear" w:color="auto" w:fill="auto"/>
          </w:tcPr>
          <w:p w14:paraId="74606D12" w14:textId="77777777" w:rsidR="008C5CFA" w:rsidRPr="009143B4" w:rsidRDefault="00E82A60"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Mężczyźni</w:t>
            </w:r>
          </w:p>
        </w:tc>
        <w:tc>
          <w:tcPr>
            <w:tcW w:w="0" w:type="auto"/>
            <w:shd w:val="clear" w:color="auto" w:fill="auto"/>
          </w:tcPr>
          <w:p w14:paraId="324531F8" w14:textId="77777777" w:rsidR="008C5CFA" w:rsidRPr="009143B4" w:rsidRDefault="00E82A60"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Kobiety</w:t>
            </w:r>
          </w:p>
        </w:tc>
      </w:tr>
      <w:tr w:rsidR="006B2EC1" w14:paraId="5E5CEB4F" w14:textId="77777777" w:rsidTr="0047688D">
        <w:tc>
          <w:tcPr>
            <w:tcW w:w="0" w:type="auto"/>
          </w:tcPr>
          <w:p w14:paraId="014EE08A" w14:textId="77777777" w:rsidR="008C5CFA" w:rsidRPr="0024468B" w:rsidRDefault="00E82A60" w:rsidP="00300A01">
            <w:pPr>
              <w:spacing w:before="0" w:after="0"/>
              <w:rPr>
                <w:sz w:val="16"/>
                <w:szCs w:val="16"/>
                <w:lang w:val="fr-BE"/>
              </w:rPr>
            </w:pPr>
            <w:r>
              <w:rPr>
                <w:noProof/>
                <w:sz w:val="16"/>
                <w:szCs w:val="16"/>
                <w:lang w:val="fr-BE"/>
              </w:rPr>
              <w:t>F</w:t>
            </w:r>
          </w:p>
        </w:tc>
        <w:tc>
          <w:tcPr>
            <w:tcW w:w="0" w:type="auto"/>
            <w:shd w:val="clear" w:color="auto" w:fill="auto"/>
          </w:tcPr>
          <w:p w14:paraId="4A08CA73" w14:textId="77777777" w:rsidR="008C5CFA" w:rsidRPr="0024468B" w:rsidRDefault="00E82A60" w:rsidP="00300A01">
            <w:pPr>
              <w:spacing w:before="0" w:after="0"/>
              <w:rPr>
                <w:sz w:val="16"/>
                <w:szCs w:val="16"/>
                <w:lang w:val="fr-BE"/>
              </w:rPr>
            </w:pPr>
            <w:r w:rsidRPr="0024468B">
              <w:rPr>
                <w:noProof/>
                <w:sz w:val="16"/>
                <w:szCs w:val="16"/>
                <w:lang w:val="fr-BE"/>
              </w:rPr>
              <w:t>CO01</w:t>
            </w:r>
          </w:p>
        </w:tc>
        <w:tc>
          <w:tcPr>
            <w:tcW w:w="0" w:type="auto"/>
            <w:shd w:val="clear" w:color="auto" w:fill="auto"/>
          </w:tcPr>
          <w:p w14:paraId="4E4B8015" w14:textId="77777777" w:rsidR="008C5CFA" w:rsidRPr="0024468B" w:rsidRDefault="00E82A60" w:rsidP="00300A01">
            <w:pPr>
              <w:spacing w:before="0" w:after="0"/>
              <w:rPr>
                <w:sz w:val="16"/>
                <w:szCs w:val="16"/>
                <w:lang w:val="fr-BE"/>
              </w:rPr>
            </w:pPr>
            <w:r w:rsidRPr="0024468B">
              <w:rPr>
                <w:noProof/>
                <w:sz w:val="16"/>
                <w:szCs w:val="16"/>
                <w:lang w:val="fr-BE"/>
              </w:rPr>
              <w:t>Inwestycje produkcyjne: liczba przedsiębiorstw otrzymujących wsparcie</w:t>
            </w:r>
          </w:p>
        </w:tc>
        <w:tc>
          <w:tcPr>
            <w:tcW w:w="0" w:type="auto"/>
          </w:tcPr>
          <w:p w14:paraId="417D96EC"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0A13A7CA"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2F18B1DF"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616C8868"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1BB9FA2A"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48BEE4D0"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r w:rsidR="006B2EC1" w14:paraId="022D538E" w14:textId="77777777" w:rsidTr="0047688D">
        <w:tc>
          <w:tcPr>
            <w:tcW w:w="0" w:type="auto"/>
          </w:tcPr>
          <w:p w14:paraId="2DBC172F" w14:textId="77777777" w:rsidR="008C5CFA" w:rsidRPr="0024468B" w:rsidRDefault="00E82A60" w:rsidP="00300A01">
            <w:pPr>
              <w:spacing w:before="0" w:after="0"/>
              <w:rPr>
                <w:sz w:val="16"/>
                <w:szCs w:val="16"/>
                <w:lang w:val="fr-BE"/>
              </w:rPr>
            </w:pPr>
            <w:r>
              <w:rPr>
                <w:noProof/>
                <w:sz w:val="16"/>
                <w:szCs w:val="16"/>
                <w:lang w:val="fr-BE"/>
              </w:rPr>
              <w:t>S</w:t>
            </w:r>
          </w:p>
        </w:tc>
        <w:tc>
          <w:tcPr>
            <w:tcW w:w="0" w:type="auto"/>
            <w:shd w:val="clear" w:color="auto" w:fill="auto"/>
          </w:tcPr>
          <w:p w14:paraId="23D2259E" w14:textId="77777777" w:rsidR="008C5CFA" w:rsidRPr="0024468B" w:rsidRDefault="00E82A60" w:rsidP="00300A01">
            <w:pPr>
              <w:spacing w:before="0" w:after="0"/>
              <w:rPr>
                <w:sz w:val="16"/>
                <w:szCs w:val="16"/>
                <w:lang w:val="fr-BE"/>
              </w:rPr>
            </w:pPr>
            <w:r w:rsidRPr="0024468B">
              <w:rPr>
                <w:noProof/>
                <w:sz w:val="16"/>
                <w:szCs w:val="16"/>
                <w:lang w:val="fr-BE"/>
              </w:rPr>
              <w:t>CO01</w:t>
            </w:r>
          </w:p>
        </w:tc>
        <w:tc>
          <w:tcPr>
            <w:tcW w:w="0" w:type="auto"/>
            <w:shd w:val="clear" w:color="auto" w:fill="auto"/>
          </w:tcPr>
          <w:p w14:paraId="4FF9D313" w14:textId="77777777" w:rsidR="008C5CFA" w:rsidRPr="0024468B" w:rsidRDefault="00E82A60" w:rsidP="00300A01">
            <w:pPr>
              <w:spacing w:before="0" w:after="0"/>
              <w:rPr>
                <w:sz w:val="16"/>
                <w:szCs w:val="16"/>
                <w:lang w:val="fr-BE"/>
              </w:rPr>
            </w:pPr>
            <w:r w:rsidRPr="0024468B">
              <w:rPr>
                <w:noProof/>
                <w:sz w:val="16"/>
                <w:szCs w:val="16"/>
                <w:lang w:val="fr-BE"/>
              </w:rPr>
              <w:t>Inwestycje produkcyjne: liczba przedsiębiorstw otrzymujących wsparcie</w:t>
            </w:r>
          </w:p>
        </w:tc>
        <w:tc>
          <w:tcPr>
            <w:tcW w:w="0" w:type="auto"/>
          </w:tcPr>
          <w:p w14:paraId="3E234DFA"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6B7353FF"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426A5838"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04C73C7B"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6A67EFE1"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306A8998"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r w:rsidR="006B2EC1" w14:paraId="07E2B0CC" w14:textId="77777777" w:rsidTr="0047688D">
        <w:tc>
          <w:tcPr>
            <w:tcW w:w="0" w:type="auto"/>
          </w:tcPr>
          <w:p w14:paraId="1FEB1F11" w14:textId="77777777" w:rsidR="008C5CFA" w:rsidRPr="0024468B" w:rsidRDefault="00E82A60" w:rsidP="00300A01">
            <w:pPr>
              <w:spacing w:before="0" w:after="0"/>
              <w:rPr>
                <w:sz w:val="16"/>
                <w:szCs w:val="16"/>
                <w:lang w:val="fr-BE"/>
              </w:rPr>
            </w:pPr>
            <w:r>
              <w:rPr>
                <w:noProof/>
                <w:sz w:val="16"/>
                <w:szCs w:val="16"/>
                <w:lang w:val="fr-BE"/>
              </w:rPr>
              <w:t>F</w:t>
            </w:r>
          </w:p>
        </w:tc>
        <w:tc>
          <w:tcPr>
            <w:tcW w:w="0" w:type="auto"/>
            <w:shd w:val="clear" w:color="auto" w:fill="auto"/>
          </w:tcPr>
          <w:p w14:paraId="1A1396AA" w14:textId="77777777" w:rsidR="008C5CFA" w:rsidRPr="0024468B" w:rsidRDefault="00E82A60" w:rsidP="00300A01">
            <w:pPr>
              <w:spacing w:before="0" w:after="0"/>
              <w:rPr>
                <w:sz w:val="16"/>
                <w:szCs w:val="16"/>
                <w:lang w:val="fr-BE"/>
              </w:rPr>
            </w:pPr>
            <w:r w:rsidRPr="0024468B">
              <w:rPr>
                <w:noProof/>
                <w:sz w:val="16"/>
                <w:szCs w:val="16"/>
                <w:lang w:val="fr-BE"/>
              </w:rPr>
              <w:t>CO02</w:t>
            </w:r>
          </w:p>
        </w:tc>
        <w:tc>
          <w:tcPr>
            <w:tcW w:w="0" w:type="auto"/>
            <w:shd w:val="clear" w:color="auto" w:fill="auto"/>
          </w:tcPr>
          <w:p w14:paraId="7C87A6CF" w14:textId="77777777" w:rsidR="008C5CFA" w:rsidRPr="0024468B" w:rsidRDefault="00E82A60" w:rsidP="00300A01">
            <w:pPr>
              <w:spacing w:before="0" w:after="0"/>
              <w:rPr>
                <w:sz w:val="16"/>
                <w:szCs w:val="16"/>
                <w:lang w:val="fr-BE"/>
              </w:rPr>
            </w:pPr>
            <w:r w:rsidRPr="0024468B">
              <w:rPr>
                <w:noProof/>
                <w:sz w:val="16"/>
                <w:szCs w:val="16"/>
                <w:lang w:val="fr-BE"/>
              </w:rPr>
              <w:t>Inwestycje produkcyjne: liczba przedsiębiorstw otrzymujących dotacje</w:t>
            </w:r>
          </w:p>
        </w:tc>
        <w:tc>
          <w:tcPr>
            <w:tcW w:w="0" w:type="auto"/>
          </w:tcPr>
          <w:p w14:paraId="7B175618"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494EE382"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727AD7C0"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6DB3E5AC"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297EDA51"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028A1F62"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r w:rsidR="006B2EC1" w14:paraId="551569D1" w14:textId="77777777" w:rsidTr="0047688D">
        <w:tc>
          <w:tcPr>
            <w:tcW w:w="0" w:type="auto"/>
          </w:tcPr>
          <w:p w14:paraId="1EA52C73" w14:textId="77777777" w:rsidR="008C5CFA" w:rsidRPr="0024468B" w:rsidRDefault="00E82A60" w:rsidP="00300A01">
            <w:pPr>
              <w:spacing w:before="0" w:after="0"/>
              <w:rPr>
                <w:sz w:val="16"/>
                <w:szCs w:val="16"/>
                <w:lang w:val="fr-BE"/>
              </w:rPr>
            </w:pPr>
            <w:r>
              <w:rPr>
                <w:noProof/>
                <w:sz w:val="16"/>
                <w:szCs w:val="16"/>
                <w:lang w:val="fr-BE"/>
              </w:rPr>
              <w:t>S</w:t>
            </w:r>
          </w:p>
        </w:tc>
        <w:tc>
          <w:tcPr>
            <w:tcW w:w="0" w:type="auto"/>
            <w:shd w:val="clear" w:color="auto" w:fill="auto"/>
          </w:tcPr>
          <w:p w14:paraId="41A6F3F0" w14:textId="77777777" w:rsidR="008C5CFA" w:rsidRPr="0024468B" w:rsidRDefault="00E82A60" w:rsidP="00300A01">
            <w:pPr>
              <w:spacing w:before="0" w:after="0"/>
              <w:rPr>
                <w:sz w:val="16"/>
                <w:szCs w:val="16"/>
                <w:lang w:val="fr-BE"/>
              </w:rPr>
            </w:pPr>
            <w:r w:rsidRPr="0024468B">
              <w:rPr>
                <w:noProof/>
                <w:sz w:val="16"/>
                <w:szCs w:val="16"/>
                <w:lang w:val="fr-BE"/>
              </w:rPr>
              <w:t>CO02</w:t>
            </w:r>
          </w:p>
        </w:tc>
        <w:tc>
          <w:tcPr>
            <w:tcW w:w="0" w:type="auto"/>
            <w:shd w:val="clear" w:color="auto" w:fill="auto"/>
          </w:tcPr>
          <w:p w14:paraId="3CE9034F" w14:textId="77777777" w:rsidR="008C5CFA" w:rsidRPr="0024468B" w:rsidRDefault="00E82A60" w:rsidP="00300A01">
            <w:pPr>
              <w:spacing w:before="0" w:after="0"/>
              <w:rPr>
                <w:sz w:val="16"/>
                <w:szCs w:val="16"/>
                <w:lang w:val="fr-BE"/>
              </w:rPr>
            </w:pPr>
            <w:r w:rsidRPr="0024468B">
              <w:rPr>
                <w:noProof/>
                <w:sz w:val="16"/>
                <w:szCs w:val="16"/>
                <w:lang w:val="fr-BE"/>
              </w:rPr>
              <w:t>Inwestycje produkcyjne: liczba przedsiębiorstw otrzymujących dotacje</w:t>
            </w:r>
          </w:p>
        </w:tc>
        <w:tc>
          <w:tcPr>
            <w:tcW w:w="0" w:type="auto"/>
          </w:tcPr>
          <w:p w14:paraId="5230CA03"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34C2A68A"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2A7BC09E"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689947FC"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5B6B7F8A"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4608A7AD"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r w:rsidR="006B2EC1" w14:paraId="527D0B5A" w14:textId="77777777" w:rsidTr="0047688D">
        <w:tc>
          <w:tcPr>
            <w:tcW w:w="0" w:type="auto"/>
          </w:tcPr>
          <w:p w14:paraId="31896C31" w14:textId="77777777" w:rsidR="008C5CFA" w:rsidRPr="0024468B" w:rsidRDefault="00E82A60" w:rsidP="00300A01">
            <w:pPr>
              <w:spacing w:before="0" w:after="0"/>
              <w:rPr>
                <w:sz w:val="16"/>
                <w:szCs w:val="16"/>
                <w:lang w:val="fr-BE"/>
              </w:rPr>
            </w:pPr>
            <w:r>
              <w:rPr>
                <w:noProof/>
                <w:sz w:val="16"/>
                <w:szCs w:val="16"/>
                <w:lang w:val="fr-BE"/>
              </w:rPr>
              <w:t>F</w:t>
            </w:r>
          </w:p>
        </w:tc>
        <w:tc>
          <w:tcPr>
            <w:tcW w:w="0" w:type="auto"/>
            <w:shd w:val="clear" w:color="auto" w:fill="auto"/>
          </w:tcPr>
          <w:p w14:paraId="0008518C" w14:textId="77777777" w:rsidR="008C5CFA" w:rsidRPr="0024468B" w:rsidRDefault="00E82A60" w:rsidP="00300A01">
            <w:pPr>
              <w:spacing w:before="0" w:after="0"/>
              <w:rPr>
                <w:sz w:val="16"/>
                <w:szCs w:val="16"/>
                <w:lang w:val="fr-BE"/>
              </w:rPr>
            </w:pPr>
            <w:r w:rsidRPr="0024468B">
              <w:rPr>
                <w:noProof/>
                <w:sz w:val="16"/>
                <w:szCs w:val="16"/>
                <w:lang w:val="fr-BE"/>
              </w:rPr>
              <w:t>CO06</w:t>
            </w:r>
          </w:p>
        </w:tc>
        <w:tc>
          <w:tcPr>
            <w:tcW w:w="0" w:type="auto"/>
            <w:shd w:val="clear" w:color="auto" w:fill="auto"/>
          </w:tcPr>
          <w:p w14:paraId="5A2D0EBF" w14:textId="77777777" w:rsidR="008C5CFA" w:rsidRPr="0024468B" w:rsidRDefault="00E82A60" w:rsidP="00300A01">
            <w:pPr>
              <w:spacing w:before="0" w:after="0"/>
              <w:rPr>
                <w:sz w:val="16"/>
                <w:szCs w:val="16"/>
                <w:lang w:val="fr-BE"/>
              </w:rPr>
            </w:pPr>
            <w:r w:rsidRPr="0024468B">
              <w:rPr>
                <w:noProof/>
                <w:sz w:val="16"/>
                <w:szCs w:val="16"/>
                <w:lang w:val="fr-BE"/>
              </w:rPr>
              <w:t>Inwestycje produkcyjne: inwestycje prywatne uzupełniające wsparcie publiczne dla przedsiębiorstw (dotacje)</w:t>
            </w:r>
          </w:p>
        </w:tc>
        <w:tc>
          <w:tcPr>
            <w:tcW w:w="0" w:type="auto"/>
          </w:tcPr>
          <w:p w14:paraId="0D9B99A5"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25621168"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3E427AAE"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17692C05"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38CA883E"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4CD996DA"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r w:rsidR="006B2EC1" w14:paraId="28333206" w14:textId="77777777" w:rsidTr="0047688D">
        <w:tc>
          <w:tcPr>
            <w:tcW w:w="0" w:type="auto"/>
          </w:tcPr>
          <w:p w14:paraId="22295397" w14:textId="77777777" w:rsidR="008C5CFA" w:rsidRPr="0024468B" w:rsidRDefault="00E82A60" w:rsidP="00300A01">
            <w:pPr>
              <w:spacing w:before="0" w:after="0"/>
              <w:rPr>
                <w:sz w:val="16"/>
                <w:szCs w:val="16"/>
                <w:lang w:val="fr-BE"/>
              </w:rPr>
            </w:pPr>
            <w:r>
              <w:rPr>
                <w:noProof/>
                <w:sz w:val="16"/>
                <w:szCs w:val="16"/>
                <w:lang w:val="fr-BE"/>
              </w:rPr>
              <w:t>S</w:t>
            </w:r>
          </w:p>
        </w:tc>
        <w:tc>
          <w:tcPr>
            <w:tcW w:w="0" w:type="auto"/>
            <w:shd w:val="clear" w:color="auto" w:fill="auto"/>
          </w:tcPr>
          <w:p w14:paraId="26787DCE" w14:textId="77777777" w:rsidR="008C5CFA" w:rsidRPr="0024468B" w:rsidRDefault="00E82A60" w:rsidP="00300A01">
            <w:pPr>
              <w:spacing w:before="0" w:after="0"/>
              <w:rPr>
                <w:sz w:val="16"/>
                <w:szCs w:val="16"/>
                <w:lang w:val="fr-BE"/>
              </w:rPr>
            </w:pPr>
            <w:r w:rsidRPr="0024468B">
              <w:rPr>
                <w:noProof/>
                <w:sz w:val="16"/>
                <w:szCs w:val="16"/>
                <w:lang w:val="fr-BE"/>
              </w:rPr>
              <w:t>CO06</w:t>
            </w:r>
          </w:p>
        </w:tc>
        <w:tc>
          <w:tcPr>
            <w:tcW w:w="0" w:type="auto"/>
            <w:shd w:val="clear" w:color="auto" w:fill="auto"/>
          </w:tcPr>
          <w:p w14:paraId="777F1948" w14:textId="77777777" w:rsidR="008C5CFA" w:rsidRPr="0024468B" w:rsidRDefault="00E82A60" w:rsidP="00300A01">
            <w:pPr>
              <w:spacing w:before="0" w:after="0"/>
              <w:rPr>
                <w:sz w:val="16"/>
                <w:szCs w:val="16"/>
                <w:lang w:val="fr-BE"/>
              </w:rPr>
            </w:pPr>
            <w:r w:rsidRPr="0024468B">
              <w:rPr>
                <w:noProof/>
                <w:sz w:val="16"/>
                <w:szCs w:val="16"/>
                <w:lang w:val="fr-BE"/>
              </w:rPr>
              <w:t>Inwestycje produkcyjne: inwestycje prywatne uzupełniające wsparcie publiczne dla przedsiębiorstw (dotacje)</w:t>
            </w:r>
          </w:p>
        </w:tc>
        <w:tc>
          <w:tcPr>
            <w:tcW w:w="0" w:type="auto"/>
          </w:tcPr>
          <w:p w14:paraId="61F9CA01"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46C7631A"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6A31B502"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0FFA0265"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053A890E"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31A87F95"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r w:rsidR="006B2EC1" w14:paraId="1B3ABAE9" w14:textId="77777777" w:rsidTr="0047688D">
        <w:tc>
          <w:tcPr>
            <w:tcW w:w="0" w:type="auto"/>
          </w:tcPr>
          <w:p w14:paraId="4F12E12D" w14:textId="77777777" w:rsidR="008C5CFA" w:rsidRPr="0024468B" w:rsidRDefault="00E82A60" w:rsidP="00300A01">
            <w:pPr>
              <w:spacing w:before="0" w:after="0"/>
              <w:rPr>
                <w:sz w:val="16"/>
                <w:szCs w:val="16"/>
                <w:lang w:val="fr-BE"/>
              </w:rPr>
            </w:pPr>
            <w:r>
              <w:rPr>
                <w:noProof/>
                <w:sz w:val="16"/>
                <w:szCs w:val="16"/>
                <w:lang w:val="fr-BE"/>
              </w:rPr>
              <w:t>F</w:t>
            </w:r>
          </w:p>
        </w:tc>
        <w:tc>
          <w:tcPr>
            <w:tcW w:w="0" w:type="auto"/>
            <w:shd w:val="clear" w:color="auto" w:fill="auto"/>
          </w:tcPr>
          <w:p w14:paraId="225562C0" w14:textId="77777777" w:rsidR="008C5CFA" w:rsidRPr="0024468B" w:rsidRDefault="00E82A60" w:rsidP="00300A01">
            <w:pPr>
              <w:spacing w:before="0" w:after="0"/>
              <w:rPr>
                <w:sz w:val="16"/>
                <w:szCs w:val="16"/>
                <w:lang w:val="fr-BE"/>
              </w:rPr>
            </w:pPr>
            <w:r w:rsidRPr="0024468B">
              <w:rPr>
                <w:noProof/>
                <w:sz w:val="16"/>
                <w:szCs w:val="16"/>
                <w:lang w:val="fr-BE"/>
              </w:rPr>
              <w:t>CO26</w:t>
            </w:r>
          </w:p>
        </w:tc>
        <w:tc>
          <w:tcPr>
            <w:tcW w:w="0" w:type="auto"/>
            <w:shd w:val="clear" w:color="auto" w:fill="auto"/>
          </w:tcPr>
          <w:p w14:paraId="40BA2CB4" w14:textId="77777777" w:rsidR="008C5CFA" w:rsidRPr="0024468B" w:rsidRDefault="00E82A60" w:rsidP="00300A01">
            <w:pPr>
              <w:spacing w:before="0" w:after="0"/>
              <w:rPr>
                <w:sz w:val="16"/>
                <w:szCs w:val="16"/>
                <w:lang w:val="fr-BE"/>
              </w:rPr>
            </w:pPr>
            <w:r w:rsidRPr="0024468B">
              <w:rPr>
                <w:noProof/>
                <w:sz w:val="16"/>
                <w:szCs w:val="16"/>
                <w:lang w:val="fr-BE"/>
              </w:rPr>
              <w:t>Badania i innowacje: liczba przedsiębiorstw współpracujących z ośrodkami badawczymi</w:t>
            </w:r>
          </w:p>
        </w:tc>
        <w:tc>
          <w:tcPr>
            <w:tcW w:w="0" w:type="auto"/>
          </w:tcPr>
          <w:p w14:paraId="4151BDC6"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77EA1A3C"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6AFD70AC"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17D86083"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62FB35F7"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5A521D4B"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r w:rsidR="006B2EC1" w14:paraId="46824E0F" w14:textId="77777777" w:rsidTr="0047688D">
        <w:tc>
          <w:tcPr>
            <w:tcW w:w="0" w:type="auto"/>
          </w:tcPr>
          <w:p w14:paraId="37214F5E" w14:textId="77777777" w:rsidR="008C5CFA" w:rsidRPr="0024468B" w:rsidRDefault="00E82A60" w:rsidP="00300A01">
            <w:pPr>
              <w:spacing w:before="0" w:after="0"/>
              <w:rPr>
                <w:sz w:val="16"/>
                <w:szCs w:val="16"/>
                <w:lang w:val="fr-BE"/>
              </w:rPr>
            </w:pPr>
            <w:r>
              <w:rPr>
                <w:noProof/>
                <w:sz w:val="16"/>
                <w:szCs w:val="16"/>
                <w:lang w:val="fr-BE"/>
              </w:rPr>
              <w:t>S</w:t>
            </w:r>
          </w:p>
        </w:tc>
        <w:tc>
          <w:tcPr>
            <w:tcW w:w="0" w:type="auto"/>
            <w:shd w:val="clear" w:color="auto" w:fill="auto"/>
          </w:tcPr>
          <w:p w14:paraId="13EE9102" w14:textId="77777777" w:rsidR="008C5CFA" w:rsidRPr="0024468B" w:rsidRDefault="00E82A60" w:rsidP="00300A01">
            <w:pPr>
              <w:spacing w:before="0" w:after="0"/>
              <w:rPr>
                <w:sz w:val="16"/>
                <w:szCs w:val="16"/>
                <w:lang w:val="fr-BE"/>
              </w:rPr>
            </w:pPr>
            <w:r w:rsidRPr="0024468B">
              <w:rPr>
                <w:noProof/>
                <w:sz w:val="16"/>
                <w:szCs w:val="16"/>
                <w:lang w:val="fr-BE"/>
              </w:rPr>
              <w:t>CO26</w:t>
            </w:r>
          </w:p>
        </w:tc>
        <w:tc>
          <w:tcPr>
            <w:tcW w:w="0" w:type="auto"/>
            <w:shd w:val="clear" w:color="auto" w:fill="auto"/>
          </w:tcPr>
          <w:p w14:paraId="423DB49F" w14:textId="77777777" w:rsidR="008C5CFA" w:rsidRPr="0024468B" w:rsidRDefault="00E82A60" w:rsidP="00300A01">
            <w:pPr>
              <w:spacing w:before="0" w:after="0"/>
              <w:rPr>
                <w:sz w:val="16"/>
                <w:szCs w:val="16"/>
                <w:lang w:val="fr-BE"/>
              </w:rPr>
            </w:pPr>
            <w:r w:rsidRPr="0024468B">
              <w:rPr>
                <w:noProof/>
                <w:sz w:val="16"/>
                <w:szCs w:val="16"/>
                <w:lang w:val="fr-BE"/>
              </w:rPr>
              <w:t>Badania i innowacje: liczba przedsiębiorstw współpracujących z ośrodkami badawczymi</w:t>
            </w:r>
          </w:p>
        </w:tc>
        <w:tc>
          <w:tcPr>
            <w:tcW w:w="0" w:type="auto"/>
          </w:tcPr>
          <w:p w14:paraId="544708C2"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4427E1E1"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491141B0"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3611EBAF"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688B5DE1"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459D819D"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r w:rsidR="006B2EC1" w14:paraId="592044E8" w14:textId="77777777" w:rsidTr="0047688D">
        <w:tc>
          <w:tcPr>
            <w:tcW w:w="0" w:type="auto"/>
          </w:tcPr>
          <w:p w14:paraId="0FF9701E" w14:textId="77777777" w:rsidR="008C5CFA" w:rsidRPr="0024468B" w:rsidRDefault="00E82A60" w:rsidP="00300A01">
            <w:pPr>
              <w:spacing w:before="0" w:after="0"/>
              <w:rPr>
                <w:sz w:val="16"/>
                <w:szCs w:val="16"/>
                <w:lang w:val="fr-BE"/>
              </w:rPr>
            </w:pPr>
            <w:r>
              <w:rPr>
                <w:noProof/>
                <w:sz w:val="16"/>
                <w:szCs w:val="16"/>
                <w:lang w:val="fr-BE"/>
              </w:rPr>
              <w:t>F</w:t>
            </w:r>
          </w:p>
        </w:tc>
        <w:tc>
          <w:tcPr>
            <w:tcW w:w="0" w:type="auto"/>
            <w:shd w:val="clear" w:color="auto" w:fill="auto"/>
          </w:tcPr>
          <w:p w14:paraId="6F4EDA21" w14:textId="77777777" w:rsidR="008C5CFA" w:rsidRPr="0024468B" w:rsidRDefault="00E82A60" w:rsidP="00300A01">
            <w:pPr>
              <w:spacing w:before="0" w:after="0"/>
              <w:rPr>
                <w:sz w:val="16"/>
                <w:szCs w:val="16"/>
                <w:lang w:val="fr-BE"/>
              </w:rPr>
            </w:pPr>
            <w:r w:rsidRPr="0024468B">
              <w:rPr>
                <w:noProof/>
                <w:sz w:val="16"/>
                <w:szCs w:val="16"/>
                <w:lang w:val="fr-BE"/>
              </w:rPr>
              <w:t>CO28</w:t>
            </w:r>
          </w:p>
        </w:tc>
        <w:tc>
          <w:tcPr>
            <w:tcW w:w="0" w:type="auto"/>
            <w:shd w:val="clear" w:color="auto" w:fill="auto"/>
          </w:tcPr>
          <w:p w14:paraId="3F131CC6" w14:textId="77777777" w:rsidR="008C5CFA" w:rsidRPr="0024468B" w:rsidRDefault="00E82A60" w:rsidP="00300A01">
            <w:pPr>
              <w:spacing w:before="0" w:after="0"/>
              <w:rPr>
                <w:sz w:val="16"/>
                <w:szCs w:val="16"/>
                <w:lang w:val="fr-BE"/>
              </w:rPr>
            </w:pPr>
            <w:r w:rsidRPr="0024468B">
              <w:rPr>
                <w:noProof/>
                <w:sz w:val="16"/>
                <w:szCs w:val="16"/>
                <w:lang w:val="fr-BE"/>
              </w:rPr>
              <w:t>Badania i innowacje: liczba przedsiębiorstw objętych wsparciem w celu wprowadzenia produktów nowych dla rynku</w:t>
            </w:r>
          </w:p>
        </w:tc>
        <w:tc>
          <w:tcPr>
            <w:tcW w:w="0" w:type="auto"/>
          </w:tcPr>
          <w:p w14:paraId="5B43AA46"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4DE8312C"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5FB3347B"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78F1482B"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5B6A92A1"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228811D1"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r w:rsidR="006B2EC1" w14:paraId="5B629C99" w14:textId="77777777" w:rsidTr="0047688D">
        <w:tc>
          <w:tcPr>
            <w:tcW w:w="0" w:type="auto"/>
          </w:tcPr>
          <w:p w14:paraId="46006B25" w14:textId="77777777" w:rsidR="008C5CFA" w:rsidRPr="0024468B" w:rsidRDefault="00E82A60" w:rsidP="00300A01">
            <w:pPr>
              <w:spacing w:before="0" w:after="0"/>
              <w:rPr>
                <w:sz w:val="16"/>
                <w:szCs w:val="16"/>
                <w:lang w:val="fr-BE"/>
              </w:rPr>
            </w:pPr>
            <w:r>
              <w:rPr>
                <w:noProof/>
                <w:sz w:val="16"/>
                <w:szCs w:val="16"/>
                <w:lang w:val="fr-BE"/>
              </w:rPr>
              <w:t>S</w:t>
            </w:r>
          </w:p>
        </w:tc>
        <w:tc>
          <w:tcPr>
            <w:tcW w:w="0" w:type="auto"/>
            <w:shd w:val="clear" w:color="auto" w:fill="auto"/>
          </w:tcPr>
          <w:p w14:paraId="191B55BE" w14:textId="77777777" w:rsidR="008C5CFA" w:rsidRPr="0024468B" w:rsidRDefault="00E82A60" w:rsidP="00300A01">
            <w:pPr>
              <w:spacing w:before="0" w:after="0"/>
              <w:rPr>
                <w:sz w:val="16"/>
                <w:szCs w:val="16"/>
                <w:lang w:val="fr-BE"/>
              </w:rPr>
            </w:pPr>
            <w:r w:rsidRPr="0024468B">
              <w:rPr>
                <w:noProof/>
                <w:sz w:val="16"/>
                <w:szCs w:val="16"/>
                <w:lang w:val="fr-BE"/>
              </w:rPr>
              <w:t>CO28</w:t>
            </w:r>
          </w:p>
        </w:tc>
        <w:tc>
          <w:tcPr>
            <w:tcW w:w="0" w:type="auto"/>
            <w:shd w:val="clear" w:color="auto" w:fill="auto"/>
          </w:tcPr>
          <w:p w14:paraId="48B511B2" w14:textId="77777777" w:rsidR="008C5CFA" w:rsidRPr="0024468B" w:rsidRDefault="00E82A60" w:rsidP="00300A01">
            <w:pPr>
              <w:spacing w:before="0" w:after="0"/>
              <w:rPr>
                <w:sz w:val="16"/>
                <w:szCs w:val="16"/>
                <w:lang w:val="fr-BE"/>
              </w:rPr>
            </w:pPr>
            <w:r w:rsidRPr="0024468B">
              <w:rPr>
                <w:noProof/>
                <w:sz w:val="16"/>
                <w:szCs w:val="16"/>
                <w:lang w:val="fr-BE"/>
              </w:rPr>
              <w:t>Badania i innowacje: liczba przedsiębiorstw objętych wsparciem w celu wprowadzenia produktów nowych dla rynku</w:t>
            </w:r>
          </w:p>
        </w:tc>
        <w:tc>
          <w:tcPr>
            <w:tcW w:w="0" w:type="auto"/>
          </w:tcPr>
          <w:p w14:paraId="6574B1ED"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48DAD040"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0D740A75"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37C1F0DD"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26421744"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50836265"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bl>
    <w:p w14:paraId="711E869A" w14:textId="77777777" w:rsidR="008C5CFA" w:rsidRDefault="008C5CFA" w:rsidP="00300A01">
      <w:pPr>
        <w:spacing w:before="0" w:after="0"/>
        <w:rPr>
          <w:lang w:val="fr-BE"/>
        </w:rPr>
      </w:pPr>
    </w:p>
    <w:p w14:paraId="3B1EA6CD" w14:textId="77777777" w:rsidR="008C5CFA" w:rsidRDefault="008C5CFA" w:rsidP="00300A01">
      <w:pPr>
        <w:spacing w:before="0" w:after="0"/>
        <w:rPr>
          <w:lang w:val="fr-BE"/>
        </w:rPr>
      </w:pPr>
    </w:p>
    <w:p w14:paraId="21F1CCD5" w14:textId="77777777" w:rsidR="008C5CFA" w:rsidRDefault="00E82A60" w:rsidP="00300A01">
      <w:pPr>
        <w:spacing w:before="0" w:after="0"/>
        <w:rPr>
          <w:lang w:val="fr-BE"/>
        </w:rPr>
      </w:pPr>
      <w:r>
        <w:rPr>
          <w:lang w:val="fr-BE"/>
        </w:rPr>
        <w:br w:type="page"/>
      </w:r>
    </w:p>
    <w:p w14:paraId="544BD05C"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6"/>
        <w:gridCol w:w="13538"/>
      </w:tblGrid>
      <w:tr w:rsidR="006B2EC1" w14:paraId="1EB1E413" w14:textId="77777777" w:rsidTr="0047688D">
        <w:tc>
          <w:tcPr>
            <w:tcW w:w="0" w:type="auto"/>
            <w:shd w:val="clear" w:color="auto" w:fill="auto"/>
          </w:tcPr>
          <w:p w14:paraId="7B85301C" w14:textId="77777777" w:rsidR="008C5CFA" w:rsidRPr="002124FC" w:rsidRDefault="00E82A60" w:rsidP="00300A01">
            <w:pPr>
              <w:spacing w:before="0" w:after="0"/>
              <w:rPr>
                <w:sz w:val="20"/>
                <w:szCs w:val="20"/>
                <w:lang w:val="fr-BE"/>
              </w:rPr>
            </w:pPr>
            <w:r>
              <w:rPr>
                <w:lang w:val="fr-BE"/>
              </w:rPr>
              <w:br w:type="page"/>
            </w:r>
            <w:r>
              <w:rPr>
                <w:lang w:val="fr-BE"/>
              </w:rPr>
              <w:br w:type="page"/>
            </w:r>
            <w:r>
              <w:rPr>
                <w:lang w:val="fr-BE"/>
              </w:rPr>
              <w:br w:type="page"/>
            </w:r>
            <w:r w:rsidRPr="002124FC">
              <w:rPr>
                <w:noProof/>
                <w:sz w:val="20"/>
                <w:szCs w:val="20"/>
                <w:lang w:val="fr-BE"/>
              </w:rPr>
              <w:t>Oś priorytetowa</w:t>
            </w:r>
          </w:p>
        </w:tc>
        <w:tc>
          <w:tcPr>
            <w:tcW w:w="0" w:type="auto"/>
            <w:shd w:val="clear" w:color="auto" w:fill="auto"/>
          </w:tcPr>
          <w:p w14:paraId="3F93A872" w14:textId="77777777" w:rsidR="008C5CFA" w:rsidRPr="002124FC" w:rsidRDefault="00E82A60" w:rsidP="00300A01">
            <w:pPr>
              <w:spacing w:before="0" w:after="0"/>
              <w:rPr>
                <w:sz w:val="20"/>
                <w:szCs w:val="20"/>
                <w:lang w:val="fr-BE"/>
              </w:rPr>
            </w:pPr>
            <w:r>
              <w:rPr>
                <w:noProof/>
                <w:sz w:val="20"/>
                <w:szCs w:val="20"/>
                <w:lang w:val="fr-BE"/>
              </w:rPr>
              <w:t>1</w:t>
            </w:r>
            <w:r w:rsidRPr="002124FC">
              <w:rPr>
                <w:sz w:val="20"/>
                <w:szCs w:val="20"/>
                <w:lang w:val="fr-BE"/>
              </w:rPr>
              <w:t xml:space="preserve"> - </w:t>
            </w:r>
            <w:r>
              <w:rPr>
                <w:noProof/>
                <w:sz w:val="20"/>
                <w:szCs w:val="20"/>
                <w:lang w:val="fr-BE"/>
              </w:rPr>
              <w:t>Innowacje i nauka</w:t>
            </w:r>
          </w:p>
        </w:tc>
      </w:tr>
      <w:tr w:rsidR="006B2EC1" w14:paraId="0314A3F7" w14:textId="77777777" w:rsidTr="0047688D">
        <w:tc>
          <w:tcPr>
            <w:tcW w:w="0" w:type="auto"/>
            <w:shd w:val="clear" w:color="auto" w:fill="auto"/>
          </w:tcPr>
          <w:p w14:paraId="29876B65" w14:textId="77777777" w:rsidR="008C5CFA" w:rsidRPr="002124FC" w:rsidRDefault="00E82A60"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14:paraId="4B2FC7E6" w14:textId="77777777" w:rsidR="008C5CFA" w:rsidRPr="002124FC" w:rsidRDefault="00E82A60" w:rsidP="00300A01">
            <w:pPr>
              <w:spacing w:before="0" w:after="0"/>
              <w:rPr>
                <w:sz w:val="20"/>
                <w:szCs w:val="20"/>
                <w:lang w:val="fr-BE"/>
              </w:rPr>
            </w:pPr>
            <w:r w:rsidRPr="002124FC">
              <w:rPr>
                <w:noProof/>
                <w:sz w:val="20"/>
                <w:szCs w:val="20"/>
                <w:lang w:val="fr-BE"/>
              </w:rPr>
              <w:t>1b</w:t>
            </w:r>
            <w:r w:rsidRPr="002124FC">
              <w:rPr>
                <w:sz w:val="20"/>
                <w:szCs w:val="20"/>
                <w:lang w:val="fr-BE"/>
              </w:rPr>
              <w:t xml:space="preserve"> - </w:t>
            </w:r>
            <w:r>
              <w:rPr>
                <w:noProof/>
                <w:sz w:val="20"/>
                <w:szCs w:val="20"/>
                <w:lang w:val="fr-BE"/>
              </w:rPr>
              <w:t>Promowanie inwestycji przedsiębiorstw w badania i innowacje, rozwijanie powiązań i synergii między przedsiębiorstwami, ośrodkami badawczo-rozwojowymi i sektorem szkolnictwa wyższego, w szczególności promowanie inwestycji w zakresie rozwoju produktów i usług, transferu technologii, innowacji społecznych, ekoinnowacji, zastosowań w dziedzinie usług publicznych, pobudzania popytu, tworzenia sieci, klastrów i otwartych innowacji poprzez inteligentną specjalizację, oraz wspieranie badań technologicznych i stosowanych, linii pilotażowych, działań w zakresie wczesnej walidacji produktów, zaawansowanych zdolności produkcyjnych i pierwszej produkcji, w szczególności w dziedzinie kluczowych technologii wspomagających, oraz rozpowszechnianie technologii o ogólnym przeznaczeniu</w:t>
            </w:r>
          </w:p>
        </w:tc>
      </w:tr>
      <w:tr w:rsidR="006B2EC1" w14:paraId="701DED0D" w14:textId="77777777" w:rsidTr="0047688D">
        <w:tc>
          <w:tcPr>
            <w:tcW w:w="0" w:type="auto"/>
            <w:shd w:val="clear" w:color="auto" w:fill="auto"/>
          </w:tcPr>
          <w:p w14:paraId="49E2F34D" w14:textId="77777777" w:rsidR="008C5CFA" w:rsidRPr="002124FC" w:rsidRDefault="00E82A60" w:rsidP="00300A01">
            <w:pPr>
              <w:spacing w:before="0" w:after="0"/>
              <w:ind w:left="113" w:hanging="113"/>
              <w:rPr>
                <w:sz w:val="20"/>
                <w:szCs w:val="20"/>
                <w:lang w:val="fr-BE"/>
              </w:rPr>
            </w:pPr>
            <w:r>
              <w:rPr>
                <w:noProof/>
                <w:sz w:val="20"/>
                <w:szCs w:val="20"/>
                <w:lang w:val="fr-BE"/>
              </w:rPr>
              <w:t>Cel szczegółowy</w:t>
            </w:r>
          </w:p>
        </w:tc>
        <w:tc>
          <w:tcPr>
            <w:tcW w:w="0" w:type="auto"/>
            <w:shd w:val="clear" w:color="auto" w:fill="auto"/>
          </w:tcPr>
          <w:p w14:paraId="229CB023" w14:textId="77777777" w:rsidR="008C5CFA" w:rsidRPr="002124FC" w:rsidRDefault="00E82A60" w:rsidP="00300A01">
            <w:pPr>
              <w:spacing w:before="0" w:after="0"/>
              <w:rPr>
                <w:sz w:val="20"/>
                <w:szCs w:val="20"/>
                <w:lang w:val="fr-BE"/>
              </w:rPr>
            </w:pPr>
            <w:r>
              <w:rPr>
                <w:noProof/>
                <w:sz w:val="20"/>
                <w:szCs w:val="20"/>
                <w:lang w:val="fr-BE"/>
              </w:rPr>
              <w:t>1</w:t>
            </w:r>
            <w:r>
              <w:rPr>
                <w:sz w:val="20"/>
                <w:szCs w:val="20"/>
                <w:lang w:val="fr-BE"/>
              </w:rPr>
              <w:t xml:space="preserve"> - </w:t>
            </w:r>
            <w:r>
              <w:rPr>
                <w:noProof/>
                <w:sz w:val="20"/>
                <w:szCs w:val="20"/>
                <w:lang w:val="fr-BE"/>
              </w:rPr>
              <w:t>Zwiększona aktywność badawczo-rozwojowa przedsiębiorstw.</w:t>
            </w:r>
          </w:p>
        </w:tc>
      </w:tr>
    </w:tbl>
    <w:p w14:paraId="471C10B8" w14:textId="77777777" w:rsidR="008C5CFA" w:rsidRDefault="008C5CFA" w:rsidP="00300A01">
      <w:pPr>
        <w:spacing w:before="0" w:after="0"/>
        <w:rPr>
          <w:lang w:val="fr-BE"/>
        </w:rPr>
      </w:pPr>
    </w:p>
    <w:p w14:paraId="1ABA4C92" w14:textId="77777777" w:rsidR="008C5CFA" w:rsidRDefault="00E82A60" w:rsidP="00300A01">
      <w:pPr>
        <w:spacing w:before="0" w:after="0"/>
        <w:rPr>
          <w:lang w:val="fr-BE"/>
        </w:rPr>
      </w:pPr>
      <w:r>
        <w:rPr>
          <w:lang w:val="fr-BE"/>
        </w:rPr>
        <w:t xml:space="preserve">Tabela 1: Wskaźniki rezultatu dla EFRR i Funduszu Spójności (według osi priorytetowej i celu szczegółowego); ma zastosowanie także do osi priorytetowej </w:t>
      </w:r>
      <w:r>
        <w:t>"</w:t>
      </w:r>
      <w:r>
        <w:rPr>
          <w:lang w:val="fr-BE"/>
        </w:rPr>
        <w:t>Pomoc techniczna</w:t>
      </w:r>
      <w:r>
        <w:t>"</w:t>
      </w:r>
    </w:p>
    <w:p w14:paraId="78183BD3"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3973"/>
        <w:gridCol w:w="1051"/>
        <w:gridCol w:w="1130"/>
        <w:gridCol w:w="1010"/>
        <w:gridCol w:w="865"/>
        <w:gridCol w:w="1289"/>
        <w:gridCol w:w="909"/>
        <w:gridCol w:w="1131"/>
        <w:gridCol w:w="3370"/>
      </w:tblGrid>
      <w:tr w:rsidR="006B2EC1" w14:paraId="72AC6B9F" w14:textId="77777777" w:rsidTr="0047688D">
        <w:tc>
          <w:tcPr>
            <w:tcW w:w="0" w:type="auto"/>
            <w:shd w:val="clear" w:color="auto" w:fill="auto"/>
          </w:tcPr>
          <w:p w14:paraId="54BC1619" w14:textId="77777777" w:rsidR="008C5CFA" w:rsidRPr="0024468B" w:rsidRDefault="00E82A60" w:rsidP="00300A01">
            <w:pPr>
              <w:spacing w:before="0" w:after="0"/>
              <w:rPr>
                <w:sz w:val="16"/>
                <w:szCs w:val="16"/>
                <w:lang w:val="fr-BE"/>
              </w:rPr>
            </w:pPr>
            <w:r w:rsidRPr="0024468B">
              <w:rPr>
                <w:noProof/>
                <w:sz w:val="16"/>
                <w:szCs w:val="16"/>
                <w:lang w:val="fr-BE"/>
              </w:rPr>
              <w:t>ID</w:t>
            </w:r>
          </w:p>
        </w:tc>
        <w:tc>
          <w:tcPr>
            <w:tcW w:w="0" w:type="auto"/>
            <w:shd w:val="clear" w:color="auto" w:fill="auto"/>
          </w:tcPr>
          <w:p w14:paraId="4EA88E14" w14:textId="77777777" w:rsidR="008C5CFA" w:rsidRPr="0024468B" w:rsidRDefault="00E82A60" w:rsidP="00300A01">
            <w:pPr>
              <w:spacing w:before="0" w:after="0"/>
              <w:rPr>
                <w:sz w:val="16"/>
                <w:szCs w:val="16"/>
                <w:lang w:val="fr-BE"/>
              </w:rPr>
            </w:pPr>
            <w:r w:rsidRPr="0024468B">
              <w:rPr>
                <w:noProof/>
                <w:sz w:val="16"/>
                <w:szCs w:val="16"/>
                <w:lang w:val="fr-BE"/>
              </w:rPr>
              <w:t>Wskaźnik</w:t>
            </w:r>
          </w:p>
        </w:tc>
        <w:tc>
          <w:tcPr>
            <w:tcW w:w="0" w:type="auto"/>
            <w:shd w:val="clear" w:color="auto" w:fill="auto"/>
          </w:tcPr>
          <w:p w14:paraId="335F7CAB" w14:textId="77777777" w:rsidR="008C5CFA" w:rsidRPr="0024468B" w:rsidRDefault="00E82A60" w:rsidP="00300A01">
            <w:pPr>
              <w:spacing w:before="0" w:after="0"/>
              <w:rPr>
                <w:sz w:val="16"/>
                <w:szCs w:val="16"/>
                <w:lang w:val="fr-BE"/>
              </w:rPr>
            </w:pPr>
            <w:r w:rsidRPr="0024468B">
              <w:rPr>
                <w:noProof/>
                <w:sz w:val="16"/>
                <w:szCs w:val="16"/>
                <w:lang w:val="fr-BE"/>
              </w:rPr>
              <w:t>Jednostka miary</w:t>
            </w:r>
          </w:p>
        </w:tc>
        <w:tc>
          <w:tcPr>
            <w:tcW w:w="0" w:type="auto"/>
            <w:shd w:val="clear" w:color="auto" w:fill="auto"/>
          </w:tcPr>
          <w:p w14:paraId="713E7912" w14:textId="77777777" w:rsidR="008C5CFA" w:rsidRPr="0024468B" w:rsidRDefault="00E82A60" w:rsidP="00300A01">
            <w:pPr>
              <w:spacing w:before="0" w:after="0"/>
              <w:rPr>
                <w:sz w:val="16"/>
                <w:szCs w:val="16"/>
                <w:lang w:val="fr-BE"/>
              </w:rPr>
            </w:pPr>
            <w:r w:rsidRPr="0024468B">
              <w:rPr>
                <w:noProof/>
                <w:sz w:val="16"/>
                <w:szCs w:val="16"/>
                <w:lang w:val="fr-BE"/>
              </w:rPr>
              <w:t>Kategoria regionu</w:t>
            </w:r>
          </w:p>
        </w:tc>
        <w:tc>
          <w:tcPr>
            <w:tcW w:w="0" w:type="auto"/>
            <w:shd w:val="clear" w:color="auto" w:fill="auto"/>
          </w:tcPr>
          <w:p w14:paraId="04B79649" w14:textId="77777777" w:rsidR="008C5CFA" w:rsidRPr="0024468B" w:rsidRDefault="00E82A60" w:rsidP="00300A01">
            <w:pPr>
              <w:spacing w:before="0" w:after="0"/>
              <w:rPr>
                <w:sz w:val="16"/>
                <w:szCs w:val="16"/>
                <w:lang w:val="fr-BE"/>
              </w:rPr>
            </w:pPr>
            <w:r w:rsidRPr="0024468B">
              <w:rPr>
                <w:noProof/>
                <w:sz w:val="16"/>
                <w:szCs w:val="16"/>
                <w:lang w:val="fr-BE"/>
              </w:rPr>
              <w:t>Wartość bazowa</w:t>
            </w:r>
          </w:p>
        </w:tc>
        <w:tc>
          <w:tcPr>
            <w:tcW w:w="0" w:type="auto"/>
            <w:shd w:val="clear" w:color="auto" w:fill="auto"/>
          </w:tcPr>
          <w:p w14:paraId="120D33FB" w14:textId="77777777" w:rsidR="008C5CFA" w:rsidRPr="0024468B" w:rsidRDefault="00E82A60" w:rsidP="00300A01">
            <w:pPr>
              <w:spacing w:before="0" w:after="0"/>
              <w:rPr>
                <w:sz w:val="16"/>
                <w:szCs w:val="16"/>
                <w:lang w:val="fr-BE"/>
              </w:rPr>
            </w:pPr>
            <w:r w:rsidRPr="0024468B">
              <w:rPr>
                <w:noProof/>
                <w:sz w:val="16"/>
                <w:szCs w:val="16"/>
                <w:lang w:val="fr-BE"/>
              </w:rPr>
              <w:t>Rok bazowy</w:t>
            </w:r>
          </w:p>
        </w:tc>
        <w:tc>
          <w:tcPr>
            <w:tcW w:w="0" w:type="auto"/>
            <w:shd w:val="clear" w:color="auto" w:fill="auto"/>
          </w:tcPr>
          <w:p w14:paraId="1F8FE646" w14:textId="77777777" w:rsidR="008C5CFA" w:rsidRPr="0024468B" w:rsidRDefault="00E82A60" w:rsidP="00300A01">
            <w:pPr>
              <w:spacing w:before="0" w:after="0"/>
              <w:rPr>
                <w:sz w:val="16"/>
                <w:szCs w:val="16"/>
                <w:lang w:val="fr-BE"/>
              </w:rPr>
            </w:pPr>
            <w:r w:rsidRPr="0024468B">
              <w:rPr>
                <w:noProof/>
                <w:sz w:val="16"/>
                <w:szCs w:val="16"/>
                <w:lang w:val="fr-BE"/>
              </w:rPr>
              <w:t>Wartość docelowa 2023</w:t>
            </w:r>
          </w:p>
        </w:tc>
        <w:tc>
          <w:tcPr>
            <w:tcW w:w="0" w:type="auto"/>
            <w:shd w:val="clear" w:color="auto" w:fill="auto"/>
          </w:tcPr>
          <w:p w14:paraId="6E81C6D8" w14:textId="77777777" w:rsidR="008C5CFA" w:rsidRPr="0024468B" w:rsidRDefault="00E82A60" w:rsidP="00300A01">
            <w:pPr>
              <w:spacing w:before="0" w:after="0"/>
              <w:jc w:val="center"/>
              <w:rPr>
                <w:sz w:val="16"/>
                <w:szCs w:val="16"/>
                <w:lang w:val="fr-BE"/>
              </w:rPr>
            </w:pPr>
            <w:r>
              <w:rPr>
                <w:sz w:val="16"/>
                <w:szCs w:val="16"/>
                <w:lang w:val="fr-BE"/>
              </w:rPr>
              <w:t xml:space="preserve">2019 </w:t>
            </w:r>
            <w:r>
              <w:rPr>
                <w:noProof/>
                <w:sz w:val="16"/>
                <w:szCs w:val="16"/>
                <w:lang w:val="fr-BE"/>
              </w:rPr>
              <w:t>Ogółem</w:t>
            </w:r>
          </w:p>
        </w:tc>
        <w:tc>
          <w:tcPr>
            <w:tcW w:w="0" w:type="auto"/>
            <w:shd w:val="clear" w:color="auto" w:fill="auto"/>
          </w:tcPr>
          <w:p w14:paraId="03B64E40" w14:textId="77777777" w:rsidR="008C5CFA" w:rsidRPr="0024468B" w:rsidRDefault="00E82A60" w:rsidP="00300A01">
            <w:pPr>
              <w:spacing w:before="0" w:after="0"/>
              <w:jc w:val="center"/>
              <w:rPr>
                <w:sz w:val="16"/>
                <w:szCs w:val="16"/>
                <w:lang w:val="fr-BE"/>
              </w:rPr>
            </w:pPr>
            <w:r>
              <w:rPr>
                <w:sz w:val="16"/>
                <w:szCs w:val="16"/>
                <w:lang w:val="fr-BE"/>
              </w:rPr>
              <w:t xml:space="preserve">2019 </w:t>
            </w:r>
            <w:r w:rsidRPr="0024468B">
              <w:rPr>
                <w:noProof/>
                <w:sz w:val="16"/>
                <w:szCs w:val="16"/>
                <w:lang w:val="fr-BE"/>
              </w:rPr>
              <w:t>Jakościowe</w:t>
            </w:r>
          </w:p>
        </w:tc>
        <w:tc>
          <w:tcPr>
            <w:tcW w:w="0" w:type="auto"/>
            <w:shd w:val="clear" w:color="auto" w:fill="auto"/>
          </w:tcPr>
          <w:p w14:paraId="03E49172" w14:textId="77777777" w:rsidR="008C5CFA" w:rsidRPr="0024468B" w:rsidRDefault="00E82A60" w:rsidP="00300A01">
            <w:pPr>
              <w:spacing w:before="0" w:after="0"/>
              <w:jc w:val="center"/>
              <w:rPr>
                <w:sz w:val="16"/>
                <w:szCs w:val="16"/>
                <w:lang w:val="fr-BE"/>
              </w:rPr>
            </w:pPr>
            <w:r w:rsidRPr="0024468B">
              <w:rPr>
                <w:noProof/>
                <w:sz w:val="16"/>
                <w:szCs w:val="16"/>
                <w:lang w:val="fr-BE"/>
              </w:rPr>
              <w:t>Uwagi</w:t>
            </w:r>
          </w:p>
        </w:tc>
      </w:tr>
      <w:tr w:rsidR="006B2EC1" w14:paraId="603B68AE" w14:textId="77777777" w:rsidTr="0047688D">
        <w:tc>
          <w:tcPr>
            <w:tcW w:w="0" w:type="auto"/>
            <w:shd w:val="clear" w:color="auto" w:fill="auto"/>
          </w:tcPr>
          <w:p w14:paraId="5BA9AF37" w14:textId="77777777" w:rsidR="008C5CFA" w:rsidRPr="0024468B" w:rsidRDefault="00E82A60" w:rsidP="00300A01">
            <w:pPr>
              <w:spacing w:before="0" w:after="0"/>
              <w:rPr>
                <w:sz w:val="16"/>
                <w:szCs w:val="16"/>
                <w:lang w:val="fr-BE"/>
              </w:rPr>
            </w:pPr>
            <w:r w:rsidRPr="0024468B">
              <w:rPr>
                <w:noProof/>
                <w:sz w:val="16"/>
                <w:szCs w:val="16"/>
                <w:lang w:val="fr-BE"/>
              </w:rPr>
              <w:t>034</w:t>
            </w:r>
          </w:p>
        </w:tc>
        <w:tc>
          <w:tcPr>
            <w:tcW w:w="0" w:type="auto"/>
            <w:shd w:val="clear" w:color="auto" w:fill="auto"/>
          </w:tcPr>
          <w:p w14:paraId="17B3C5F2" w14:textId="77777777" w:rsidR="008C5CFA" w:rsidRPr="0024468B" w:rsidRDefault="00E82A60" w:rsidP="00300A01">
            <w:pPr>
              <w:spacing w:before="0" w:after="0"/>
              <w:rPr>
                <w:sz w:val="16"/>
                <w:szCs w:val="16"/>
                <w:lang w:val="fr-BE"/>
              </w:rPr>
            </w:pPr>
            <w:r w:rsidRPr="0024468B">
              <w:rPr>
                <w:noProof/>
                <w:sz w:val="16"/>
                <w:szCs w:val="16"/>
                <w:lang w:val="fr-BE"/>
              </w:rPr>
              <w:t>Odsetek przedsiębiorstw przemysłowych, które współpracowały w zakresie działalności innowacyjnej</w:t>
            </w:r>
          </w:p>
        </w:tc>
        <w:tc>
          <w:tcPr>
            <w:tcW w:w="0" w:type="auto"/>
            <w:shd w:val="clear" w:color="auto" w:fill="auto"/>
          </w:tcPr>
          <w:p w14:paraId="66BD9D25" w14:textId="77777777" w:rsidR="008C5CFA" w:rsidRPr="0024468B" w:rsidRDefault="00E82A60" w:rsidP="00300A01">
            <w:pPr>
              <w:spacing w:before="0" w:after="0"/>
              <w:rPr>
                <w:sz w:val="16"/>
                <w:szCs w:val="16"/>
                <w:lang w:val="fr-BE"/>
              </w:rPr>
            </w:pPr>
            <w:r w:rsidRPr="0024468B">
              <w:rPr>
                <w:noProof/>
                <w:sz w:val="16"/>
                <w:szCs w:val="16"/>
                <w:lang w:val="fr-BE"/>
              </w:rPr>
              <w:t>%</w:t>
            </w:r>
          </w:p>
        </w:tc>
        <w:tc>
          <w:tcPr>
            <w:tcW w:w="0" w:type="auto"/>
            <w:shd w:val="clear" w:color="auto" w:fill="auto"/>
          </w:tcPr>
          <w:p w14:paraId="1342722E" w14:textId="77777777" w:rsidR="008C5CFA" w:rsidRPr="0024468B" w:rsidRDefault="00E82A60"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14:paraId="77230B1A" w14:textId="77777777" w:rsidR="008C5CFA" w:rsidRPr="00C3185A" w:rsidRDefault="00E82A60" w:rsidP="00300A01">
            <w:pPr>
              <w:spacing w:before="0" w:after="0"/>
              <w:jc w:val="right"/>
              <w:rPr>
                <w:sz w:val="16"/>
                <w:szCs w:val="16"/>
                <w:lang w:val="fr-BE"/>
              </w:rPr>
            </w:pPr>
            <w:r w:rsidRPr="00C3185A">
              <w:rPr>
                <w:noProof/>
                <w:sz w:val="16"/>
                <w:szCs w:val="16"/>
                <w:lang w:val="fr-BE"/>
              </w:rPr>
              <w:t>6,30</w:t>
            </w:r>
          </w:p>
        </w:tc>
        <w:tc>
          <w:tcPr>
            <w:tcW w:w="0" w:type="auto"/>
            <w:shd w:val="clear" w:color="auto" w:fill="auto"/>
          </w:tcPr>
          <w:p w14:paraId="166DCDB9" w14:textId="77777777" w:rsidR="008C5CFA" w:rsidRPr="0024468B" w:rsidRDefault="00E82A60" w:rsidP="00300A01">
            <w:pPr>
              <w:spacing w:before="0" w:after="0"/>
              <w:rPr>
                <w:sz w:val="16"/>
                <w:szCs w:val="16"/>
                <w:lang w:val="fr-BE"/>
              </w:rPr>
            </w:pPr>
            <w:r w:rsidRPr="0024468B">
              <w:rPr>
                <w:noProof/>
                <w:sz w:val="16"/>
                <w:szCs w:val="16"/>
                <w:lang w:val="fr-BE"/>
              </w:rPr>
              <w:t>2012</w:t>
            </w:r>
          </w:p>
        </w:tc>
        <w:tc>
          <w:tcPr>
            <w:tcW w:w="0" w:type="auto"/>
            <w:shd w:val="clear" w:color="auto" w:fill="auto"/>
          </w:tcPr>
          <w:p w14:paraId="0D79EDA1" w14:textId="77777777" w:rsidR="008C5CFA" w:rsidRPr="0024468B" w:rsidRDefault="00E82A60" w:rsidP="00300A01">
            <w:pPr>
              <w:spacing w:before="0" w:after="0"/>
              <w:jc w:val="right"/>
              <w:rPr>
                <w:sz w:val="16"/>
                <w:szCs w:val="16"/>
                <w:lang w:val="fr-BE"/>
              </w:rPr>
            </w:pPr>
            <w:r w:rsidRPr="0024468B">
              <w:rPr>
                <w:noProof/>
                <w:sz w:val="16"/>
                <w:szCs w:val="16"/>
                <w:lang w:val="fr-BE"/>
              </w:rPr>
              <w:t>6,90</w:t>
            </w:r>
          </w:p>
        </w:tc>
        <w:tc>
          <w:tcPr>
            <w:tcW w:w="0" w:type="auto"/>
            <w:shd w:val="clear" w:color="auto" w:fill="auto"/>
          </w:tcPr>
          <w:p w14:paraId="199DEE8A"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5AD4EEAF" w14:textId="77777777" w:rsidR="008C5CFA" w:rsidRPr="0024468B" w:rsidRDefault="008C5CFA" w:rsidP="00300A01">
            <w:pPr>
              <w:spacing w:before="0" w:after="0"/>
              <w:jc w:val="right"/>
              <w:rPr>
                <w:sz w:val="16"/>
                <w:szCs w:val="16"/>
                <w:lang w:val="fr-BE"/>
              </w:rPr>
            </w:pPr>
          </w:p>
        </w:tc>
        <w:tc>
          <w:tcPr>
            <w:tcW w:w="0" w:type="auto"/>
            <w:shd w:val="clear" w:color="auto" w:fill="auto"/>
          </w:tcPr>
          <w:p w14:paraId="35D5A583" w14:textId="77777777" w:rsidR="008C5CFA" w:rsidRPr="0024468B" w:rsidRDefault="00E82A60" w:rsidP="00300A01">
            <w:pPr>
              <w:spacing w:before="0" w:after="0"/>
              <w:rPr>
                <w:sz w:val="16"/>
                <w:szCs w:val="16"/>
                <w:lang w:val="fr-BE"/>
              </w:rPr>
            </w:pPr>
            <w:r w:rsidRPr="0024468B">
              <w:rPr>
                <w:noProof/>
                <w:sz w:val="16"/>
                <w:szCs w:val="16"/>
                <w:lang w:val="fr-BE"/>
              </w:rPr>
              <w:t>Brak aktualnych danych dostępnych w statystykach publicznych (systemie STRATEG)</w:t>
            </w:r>
          </w:p>
        </w:tc>
      </w:tr>
      <w:tr w:rsidR="006B2EC1" w14:paraId="2F8C6776" w14:textId="77777777" w:rsidTr="0047688D">
        <w:tc>
          <w:tcPr>
            <w:tcW w:w="0" w:type="auto"/>
            <w:shd w:val="clear" w:color="auto" w:fill="auto"/>
          </w:tcPr>
          <w:p w14:paraId="622BD019" w14:textId="77777777" w:rsidR="008C5CFA" w:rsidRPr="0024468B" w:rsidRDefault="00E82A60" w:rsidP="00300A01">
            <w:pPr>
              <w:spacing w:before="0" w:after="0"/>
              <w:rPr>
                <w:sz w:val="16"/>
                <w:szCs w:val="16"/>
                <w:lang w:val="fr-BE"/>
              </w:rPr>
            </w:pPr>
            <w:r w:rsidRPr="0024468B">
              <w:rPr>
                <w:noProof/>
                <w:sz w:val="16"/>
                <w:szCs w:val="16"/>
                <w:lang w:val="fr-BE"/>
              </w:rPr>
              <w:t>035</w:t>
            </w:r>
          </w:p>
        </w:tc>
        <w:tc>
          <w:tcPr>
            <w:tcW w:w="0" w:type="auto"/>
            <w:shd w:val="clear" w:color="auto" w:fill="auto"/>
          </w:tcPr>
          <w:p w14:paraId="45DB36B5" w14:textId="77777777" w:rsidR="008C5CFA" w:rsidRPr="0024468B" w:rsidRDefault="00E82A60" w:rsidP="00300A01">
            <w:pPr>
              <w:spacing w:before="0" w:after="0"/>
              <w:rPr>
                <w:sz w:val="16"/>
                <w:szCs w:val="16"/>
                <w:lang w:val="fr-BE"/>
              </w:rPr>
            </w:pPr>
            <w:r w:rsidRPr="0024468B">
              <w:rPr>
                <w:noProof/>
                <w:sz w:val="16"/>
                <w:szCs w:val="16"/>
                <w:lang w:val="fr-BE"/>
              </w:rPr>
              <w:t>Nakłady sektora przedsiębiorstw na działalność B+R w relacji do PKB</w:t>
            </w:r>
          </w:p>
        </w:tc>
        <w:tc>
          <w:tcPr>
            <w:tcW w:w="0" w:type="auto"/>
            <w:shd w:val="clear" w:color="auto" w:fill="auto"/>
          </w:tcPr>
          <w:p w14:paraId="05CE9F9D" w14:textId="77777777" w:rsidR="008C5CFA" w:rsidRPr="0024468B" w:rsidRDefault="00E82A60" w:rsidP="00300A01">
            <w:pPr>
              <w:spacing w:before="0" w:after="0"/>
              <w:rPr>
                <w:sz w:val="16"/>
                <w:szCs w:val="16"/>
                <w:lang w:val="fr-BE"/>
              </w:rPr>
            </w:pPr>
            <w:r w:rsidRPr="0024468B">
              <w:rPr>
                <w:noProof/>
                <w:sz w:val="16"/>
                <w:szCs w:val="16"/>
                <w:lang w:val="fr-BE"/>
              </w:rPr>
              <w:t>%</w:t>
            </w:r>
          </w:p>
        </w:tc>
        <w:tc>
          <w:tcPr>
            <w:tcW w:w="0" w:type="auto"/>
            <w:shd w:val="clear" w:color="auto" w:fill="auto"/>
          </w:tcPr>
          <w:p w14:paraId="62CE060D" w14:textId="77777777" w:rsidR="008C5CFA" w:rsidRPr="0024468B" w:rsidRDefault="00E82A60"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14:paraId="14CB0D86" w14:textId="77777777" w:rsidR="008C5CFA" w:rsidRPr="00C3185A" w:rsidRDefault="00E82A60" w:rsidP="00300A01">
            <w:pPr>
              <w:spacing w:before="0" w:after="0"/>
              <w:jc w:val="right"/>
              <w:rPr>
                <w:sz w:val="16"/>
                <w:szCs w:val="16"/>
                <w:lang w:val="fr-BE"/>
              </w:rPr>
            </w:pPr>
            <w:r w:rsidRPr="00C3185A">
              <w:rPr>
                <w:noProof/>
                <w:sz w:val="16"/>
                <w:szCs w:val="16"/>
                <w:lang w:val="fr-BE"/>
              </w:rPr>
              <w:t>0,16</w:t>
            </w:r>
          </w:p>
        </w:tc>
        <w:tc>
          <w:tcPr>
            <w:tcW w:w="0" w:type="auto"/>
            <w:shd w:val="clear" w:color="auto" w:fill="auto"/>
          </w:tcPr>
          <w:p w14:paraId="4CD27744" w14:textId="77777777" w:rsidR="008C5CFA" w:rsidRPr="0024468B" w:rsidRDefault="00E82A60" w:rsidP="00300A01">
            <w:pPr>
              <w:spacing w:before="0" w:after="0"/>
              <w:rPr>
                <w:sz w:val="16"/>
                <w:szCs w:val="16"/>
                <w:lang w:val="fr-BE"/>
              </w:rPr>
            </w:pPr>
            <w:r w:rsidRPr="0024468B">
              <w:rPr>
                <w:noProof/>
                <w:sz w:val="16"/>
                <w:szCs w:val="16"/>
                <w:lang w:val="fr-BE"/>
              </w:rPr>
              <w:t>2010</w:t>
            </w:r>
          </w:p>
        </w:tc>
        <w:tc>
          <w:tcPr>
            <w:tcW w:w="0" w:type="auto"/>
            <w:shd w:val="clear" w:color="auto" w:fill="auto"/>
          </w:tcPr>
          <w:p w14:paraId="41363E46" w14:textId="77777777" w:rsidR="008C5CFA" w:rsidRPr="0024468B" w:rsidRDefault="00E82A60" w:rsidP="00300A01">
            <w:pPr>
              <w:spacing w:before="0" w:after="0"/>
              <w:jc w:val="right"/>
              <w:rPr>
                <w:sz w:val="16"/>
                <w:szCs w:val="16"/>
                <w:lang w:val="fr-BE"/>
              </w:rPr>
            </w:pPr>
            <w:r w:rsidRPr="0024468B">
              <w:rPr>
                <w:noProof/>
                <w:sz w:val="16"/>
                <w:szCs w:val="16"/>
                <w:lang w:val="fr-BE"/>
              </w:rPr>
              <w:t>0,19</w:t>
            </w:r>
          </w:p>
        </w:tc>
        <w:tc>
          <w:tcPr>
            <w:tcW w:w="0" w:type="auto"/>
            <w:shd w:val="clear" w:color="auto" w:fill="auto"/>
          </w:tcPr>
          <w:p w14:paraId="58FFE3B6"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6BCFA69D" w14:textId="77777777" w:rsidR="008C5CFA" w:rsidRPr="0024468B" w:rsidRDefault="008C5CFA" w:rsidP="00300A01">
            <w:pPr>
              <w:spacing w:before="0" w:after="0"/>
              <w:jc w:val="right"/>
              <w:rPr>
                <w:sz w:val="16"/>
                <w:szCs w:val="16"/>
                <w:lang w:val="fr-BE"/>
              </w:rPr>
            </w:pPr>
          </w:p>
        </w:tc>
        <w:tc>
          <w:tcPr>
            <w:tcW w:w="0" w:type="auto"/>
            <w:shd w:val="clear" w:color="auto" w:fill="auto"/>
          </w:tcPr>
          <w:p w14:paraId="1837CBA6" w14:textId="77777777" w:rsidR="008C5CFA" w:rsidRPr="0024468B" w:rsidRDefault="00E82A60" w:rsidP="00300A01">
            <w:pPr>
              <w:spacing w:before="0" w:after="0"/>
              <w:rPr>
                <w:sz w:val="16"/>
                <w:szCs w:val="16"/>
                <w:lang w:val="fr-BE"/>
              </w:rPr>
            </w:pPr>
            <w:r w:rsidRPr="0024468B">
              <w:rPr>
                <w:noProof/>
                <w:sz w:val="16"/>
                <w:szCs w:val="16"/>
                <w:lang w:val="fr-BE"/>
              </w:rPr>
              <w:t>Brak aktualnych danych dostępnych w statystykach publicznych (systemie STRATEG)</w:t>
            </w:r>
          </w:p>
        </w:tc>
      </w:tr>
    </w:tbl>
    <w:p w14:paraId="3869F0A3"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
        <w:gridCol w:w="5678"/>
        <w:gridCol w:w="1021"/>
        <w:gridCol w:w="1242"/>
        <w:gridCol w:w="1020"/>
        <w:gridCol w:w="1242"/>
        <w:gridCol w:w="1020"/>
        <w:gridCol w:w="1242"/>
        <w:gridCol w:w="1020"/>
        <w:gridCol w:w="1242"/>
      </w:tblGrid>
      <w:tr w:rsidR="006B2EC1" w14:paraId="7390B96E" w14:textId="77777777" w:rsidTr="0047688D">
        <w:tc>
          <w:tcPr>
            <w:tcW w:w="0" w:type="auto"/>
            <w:shd w:val="clear" w:color="auto" w:fill="auto"/>
          </w:tcPr>
          <w:p w14:paraId="53415DBA" w14:textId="77777777" w:rsidR="008C5CFA" w:rsidRPr="0024468B" w:rsidRDefault="00E82A60" w:rsidP="00300A01">
            <w:pPr>
              <w:spacing w:before="0" w:after="0"/>
              <w:rPr>
                <w:sz w:val="16"/>
                <w:szCs w:val="16"/>
                <w:lang w:val="fr-BE"/>
              </w:rPr>
            </w:pPr>
            <w:r w:rsidRPr="0024468B">
              <w:rPr>
                <w:noProof/>
                <w:sz w:val="16"/>
                <w:szCs w:val="16"/>
                <w:lang w:val="fr-BE"/>
              </w:rPr>
              <w:t>ID</w:t>
            </w:r>
          </w:p>
        </w:tc>
        <w:tc>
          <w:tcPr>
            <w:tcW w:w="0" w:type="auto"/>
            <w:shd w:val="clear" w:color="auto" w:fill="auto"/>
          </w:tcPr>
          <w:p w14:paraId="0DB59179" w14:textId="77777777" w:rsidR="008C5CFA" w:rsidRPr="0024468B" w:rsidRDefault="00E82A60" w:rsidP="00300A01">
            <w:pPr>
              <w:spacing w:before="0" w:after="0"/>
              <w:rPr>
                <w:sz w:val="16"/>
                <w:szCs w:val="16"/>
                <w:lang w:val="fr-BE"/>
              </w:rPr>
            </w:pPr>
            <w:r w:rsidRPr="0024468B">
              <w:rPr>
                <w:noProof/>
                <w:sz w:val="16"/>
                <w:szCs w:val="16"/>
                <w:lang w:val="fr-BE"/>
              </w:rPr>
              <w:t>Wskaźnik</w:t>
            </w:r>
          </w:p>
        </w:tc>
        <w:tc>
          <w:tcPr>
            <w:tcW w:w="0" w:type="auto"/>
          </w:tcPr>
          <w:p w14:paraId="099A8DD3" w14:textId="77777777" w:rsidR="008C5CFA" w:rsidRPr="0024468B" w:rsidRDefault="00E82A60" w:rsidP="00300A01">
            <w:pPr>
              <w:spacing w:before="0" w:after="0"/>
              <w:jc w:val="center"/>
              <w:rPr>
                <w:sz w:val="16"/>
                <w:szCs w:val="16"/>
                <w:lang w:val="fr-BE"/>
              </w:rPr>
            </w:pPr>
            <w:r>
              <w:rPr>
                <w:sz w:val="16"/>
                <w:szCs w:val="16"/>
                <w:lang w:val="fr-BE"/>
              </w:rPr>
              <w:t xml:space="preserve">2018 </w:t>
            </w:r>
            <w:r>
              <w:rPr>
                <w:noProof/>
                <w:sz w:val="16"/>
                <w:szCs w:val="16"/>
                <w:lang w:val="fr-BE"/>
              </w:rPr>
              <w:t>Ogółem</w:t>
            </w:r>
          </w:p>
        </w:tc>
        <w:tc>
          <w:tcPr>
            <w:tcW w:w="0" w:type="auto"/>
          </w:tcPr>
          <w:p w14:paraId="093F9A58" w14:textId="77777777" w:rsidR="008C5CFA" w:rsidRPr="0024468B" w:rsidRDefault="00E82A60" w:rsidP="00300A01">
            <w:pPr>
              <w:spacing w:before="0" w:after="0"/>
              <w:jc w:val="center"/>
              <w:rPr>
                <w:sz w:val="16"/>
                <w:szCs w:val="16"/>
                <w:lang w:val="fr-BE"/>
              </w:rPr>
            </w:pPr>
            <w:r>
              <w:rPr>
                <w:sz w:val="16"/>
                <w:szCs w:val="16"/>
                <w:lang w:val="fr-BE"/>
              </w:rPr>
              <w:t xml:space="preserve">2018 </w:t>
            </w:r>
            <w:r w:rsidRPr="0024468B">
              <w:rPr>
                <w:noProof/>
                <w:sz w:val="16"/>
                <w:szCs w:val="16"/>
                <w:lang w:val="fr-BE"/>
              </w:rPr>
              <w:t>Jakościowe</w:t>
            </w:r>
          </w:p>
        </w:tc>
        <w:tc>
          <w:tcPr>
            <w:tcW w:w="0" w:type="auto"/>
          </w:tcPr>
          <w:p w14:paraId="6810C868" w14:textId="77777777" w:rsidR="008C5CFA" w:rsidRPr="0024468B" w:rsidRDefault="00E82A60" w:rsidP="00300A01">
            <w:pPr>
              <w:spacing w:before="0" w:after="0"/>
              <w:jc w:val="center"/>
              <w:rPr>
                <w:sz w:val="16"/>
                <w:szCs w:val="16"/>
                <w:lang w:val="fr-BE"/>
              </w:rPr>
            </w:pPr>
            <w:r>
              <w:rPr>
                <w:sz w:val="16"/>
                <w:szCs w:val="16"/>
                <w:lang w:val="fr-BE"/>
              </w:rPr>
              <w:t xml:space="preserve">2017 </w:t>
            </w:r>
            <w:r>
              <w:rPr>
                <w:noProof/>
                <w:sz w:val="16"/>
                <w:szCs w:val="16"/>
                <w:lang w:val="fr-BE"/>
              </w:rPr>
              <w:t>Ogółem</w:t>
            </w:r>
          </w:p>
        </w:tc>
        <w:tc>
          <w:tcPr>
            <w:tcW w:w="0" w:type="auto"/>
          </w:tcPr>
          <w:p w14:paraId="66E51E96" w14:textId="77777777" w:rsidR="008C5CFA" w:rsidRPr="0024468B" w:rsidRDefault="00E82A60" w:rsidP="00300A01">
            <w:pPr>
              <w:spacing w:before="0" w:after="0"/>
              <w:jc w:val="center"/>
              <w:rPr>
                <w:sz w:val="16"/>
                <w:szCs w:val="16"/>
                <w:lang w:val="fr-BE"/>
              </w:rPr>
            </w:pPr>
            <w:r>
              <w:rPr>
                <w:sz w:val="16"/>
                <w:szCs w:val="16"/>
                <w:lang w:val="fr-BE"/>
              </w:rPr>
              <w:t xml:space="preserve">2017 </w:t>
            </w:r>
            <w:r w:rsidRPr="0024468B">
              <w:rPr>
                <w:noProof/>
                <w:sz w:val="16"/>
                <w:szCs w:val="16"/>
                <w:lang w:val="fr-BE"/>
              </w:rPr>
              <w:t>Jakościowe</w:t>
            </w:r>
          </w:p>
        </w:tc>
        <w:tc>
          <w:tcPr>
            <w:tcW w:w="0" w:type="auto"/>
          </w:tcPr>
          <w:p w14:paraId="7ED35467" w14:textId="77777777" w:rsidR="008C5CFA" w:rsidRPr="0024468B" w:rsidRDefault="00E82A60" w:rsidP="00300A01">
            <w:pPr>
              <w:spacing w:before="0" w:after="0"/>
              <w:jc w:val="center"/>
              <w:rPr>
                <w:sz w:val="16"/>
                <w:szCs w:val="16"/>
                <w:lang w:val="fr-BE"/>
              </w:rPr>
            </w:pPr>
            <w:r>
              <w:rPr>
                <w:sz w:val="16"/>
                <w:szCs w:val="16"/>
                <w:lang w:val="fr-BE"/>
              </w:rPr>
              <w:t xml:space="preserve">2016 </w:t>
            </w:r>
            <w:r>
              <w:rPr>
                <w:noProof/>
                <w:sz w:val="16"/>
                <w:szCs w:val="16"/>
                <w:lang w:val="fr-BE"/>
              </w:rPr>
              <w:t>Ogółem</w:t>
            </w:r>
          </w:p>
        </w:tc>
        <w:tc>
          <w:tcPr>
            <w:tcW w:w="0" w:type="auto"/>
          </w:tcPr>
          <w:p w14:paraId="0C59F38D" w14:textId="77777777" w:rsidR="008C5CFA" w:rsidRPr="0024468B" w:rsidRDefault="00E82A60" w:rsidP="00300A01">
            <w:pPr>
              <w:spacing w:before="0" w:after="0"/>
              <w:jc w:val="center"/>
              <w:rPr>
                <w:sz w:val="16"/>
                <w:szCs w:val="16"/>
                <w:lang w:val="fr-BE"/>
              </w:rPr>
            </w:pPr>
            <w:r>
              <w:rPr>
                <w:sz w:val="16"/>
                <w:szCs w:val="16"/>
                <w:lang w:val="fr-BE"/>
              </w:rPr>
              <w:t xml:space="preserve">2016 </w:t>
            </w:r>
            <w:r w:rsidRPr="0024468B">
              <w:rPr>
                <w:noProof/>
                <w:sz w:val="16"/>
                <w:szCs w:val="16"/>
                <w:lang w:val="fr-BE"/>
              </w:rPr>
              <w:t>Jakościowe</w:t>
            </w:r>
          </w:p>
        </w:tc>
        <w:tc>
          <w:tcPr>
            <w:tcW w:w="0" w:type="auto"/>
          </w:tcPr>
          <w:p w14:paraId="71E10CB6" w14:textId="77777777" w:rsidR="008C5CFA" w:rsidRPr="0024468B" w:rsidRDefault="00E82A60" w:rsidP="00300A01">
            <w:pPr>
              <w:spacing w:before="0" w:after="0"/>
              <w:jc w:val="center"/>
              <w:rPr>
                <w:sz w:val="16"/>
                <w:szCs w:val="16"/>
                <w:lang w:val="fr-BE"/>
              </w:rPr>
            </w:pPr>
            <w:r>
              <w:rPr>
                <w:sz w:val="16"/>
                <w:szCs w:val="16"/>
                <w:lang w:val="fr-BE"/>
              </w:rPr>
              <w:t xml:space="preserve">2015 </w:t>
            </w:r>
            <w:r>
              <w:rPr>
                <w:noProof/>
                <w:sz w:val="16"/>
                <w:szCs w:val="16"/>
                <w:lang w:val="fr-BE"/>
              </w:rPr>
              <w:t>Ogółem</w:t>
            </w:r>
          </w:p>
        </w:tc>
        <w:tc>
          <w:tcPr>
            <w:tcW w:w="0" w:type="auto"/>
          </w:tcPr>
          <w:p w14:paraId="61B18D90" w14:textId="77777777" w:rsidR="008C5CFA" w:rsidRPr="0024468B" w:rsidRDefault="00E82A60" w:rsidP="00300A01">
            <w:pPr>
              <w:spacing w:before="0" w:after="0"/>
              <w:jc w:val="center"/>
              <w:rPr>
                <w:sz w:val="16"/>
                <w:szCs w:val="16"/>
                <w:lang w:val="fr-BE"/>
              </w:rPr>
            </w:pPr>
            <w:r>
              <w:rPr>
                <w:sz w:val="16"/>
                <w:szCs w:val="16"/>
                <w:lang w:val="fr-BE"/>
              </w:rPr>
              <w:t xml:space="preserve">2015 </w:t>
            </w:r>
            <w:r w:rsidRPr="0024468B">
              <w:rPr>
                <w:noProof/>
                <w:sz w:val="16"/>
                <w:szCs w:val="16"/>
                <w:lang w:val="fr-BE"/>
              </w:rPr>
              <w:t>Jakościowe</w:t>
            </w:r>
          </w:p>
        </w:tc>
      </w:tr>
      <w:tr w:rsidR="006B2EC1" w14:paraId="088ED4E8" w14:textId="77777777" w:rsidTr="0047688D">
        <w:tc>
          <w:tcPr>
            <w:tcW w:w="0" w:type="auto"/>
            <w:shd w:val="clear" w:color="auto" w:fill="auto"/>
          </w:tcPr>
          <w:p w14:paraId="1226B54A" w14:textId="77777777" w:rsidR="008C5CFA" w:rsidRPr="0024468B" w:rsidRDefault="00E82A60" w:rsidP="00300A01">
            <w:pPr>
              <w:spacing w:before="0" w:after="0"/>
              <w:rPr>
                <w:sz w:val="16"/>
                <w:szCs w:val="16"/>
                <w:lang w:val="fr-BE"/>
              </w:rPr>
            </w:pPr>
            <w:r w:rsidRPr="0024468B">
              <w:rPr>
                <w:noProof/>
                <w:sz w:val="16"/>
                <w:szCs w:val="16"/>
                <w:lang w:val="fr-BE"/>
              </w:rPr>
              <w:t>034</w:t>
            </w:r>
          </w:p>
        </w:tc>
        <w:tc>
          <w:tcPr>
            <w:tcW w:w="0" w:type="auto"/>
            <w:shd w:val="clear" w:color="auto" w:fill="auto"/>
          </w:tcPr>
          <w:p w14:paraId="720582F7" w14:textId="77777777" w:rsidR="008C5CFA" w:rsidRPr="0024468B" w:rsidRDefault="00E82A60" w:rsidP="00300A01">
            <w:pPr>
              <w:spacing w:before="0" w:after="0"/>
              <w:rPr>
                <w:sz w:val="16"/>
                <w:szCs w:val="16"/>
                <w:lang w:val="fr-BE"/>
              </w:rPr>
            </w:pPr>
            <w:r w:rsidRPr="0024468B">
              <w:rPr>
                <w:noProof/>
                <w:sz w:val="16"/>
                <w:szCs w:val="16"/>
                <w:lang w:val="fr-BE"/>
              </w:rPr>
              <w:t>Odsetek przedsiębiorstw przemysłowych, które współpracowały w zakresie działalności innowacyjnej</w:t>
            </w:r>
          </w:p>
        </w:tc>
        <w:tc>
          <w:tcPr>
            <w:tcW w:w="0" w:type="auto"/>
          </w:tcPr>
          <w:p w14:paraId="587E2894" w14:textId="77777777" w:rsidR="008C5CFA" w:rsidRPr="0024468B" w:rsidRDefault="00E82A60" w:rsidP="00300A01">
            <w:pPr>
              <w:spacing w:before="0" w:after="0"/>
              <w:jc w:val="right"/>
              <w:rPr>
                <w:sz w:val="16"/>
                <w:szCs w:val="16"/>
                <w:lang w:val="fr-BE"/>
              </w:rPr>
            </w:pPr>
            <w:r w:rsidRPr="0024468B">
              <w:rPr>
                <w:noProof/>
                <w:sz w:val="16"/>
                <w:szCs w:val="16"/>
                <w:lang w:val="fr-BE"/>
              </w:rPr>
              <w:t>5,50</w:t>
            </w:r>
          </w:p>
        </w:tc>
        <w:tc>
          <w:tcPr>
            <w:tcW w:w="0" w:type="auto"/>
          </w:tcPr>
          <w:p w14:paraId="7AE79080" w14:textId="77777777" w:rsidR="008C5CFA" w:rsidRPr="0024468B" w:rsidRDefault="008C5CFA" w:rsidP="00300A01">
            <w:pPr>
              <w:spacing w:before="0" w:after="0"/>
              <w:jc w:val="right"/>
              <w:rPr>
                <w:sz w:val="16"/>
                <w:szCs w:val="16"/>
                <w:lang w:val="fr-BE"/>
              </w:rPr>
            </w:pPr>
          </w:p>
        </w:tc>
        <w:tc>
          <w:tcPr>
            <w:tcW w:w="0" w:type="auto"/>
          </w:tcPr>
          <w:p w14:paraId="209F7D6E" w14:textId="77777777" w:rsidR="008C5CFA" w:rsidRPr="0024468B" w:rsidRDefault="00E82A60" w:rsidP="00300A01">
            <w:pPr>
              <w:spacing w:before="0" w:after="0"/>
              <w:jc w:val="right"/>
              <w:rPr>
                <w:sz w:val="16"/>
                <w:szCs w:val="16"/>
                <w:lang w:val="fr-BE"/>
              </w:rPr>
            </w:pPr>
            <w:r w:rsidRPr="0024468B">
              <w:rPr>
                <w:noProof/>
                <w:sz w:val="16"/>
                <w:szCs w:val="16"/>
                <w:lang w:val="fr-BE"/>
              </w:rPr>
              <w:t>6,40</w:t>
            </w:r>
          </w:p>
        </w:tc>
        <w:tc>
          <w:tcPr>
            <w:tcW w:w="0" w:type="auto"/>
          </w:tcPr>
          <w:p w14:paraId="219BB36A" w14:textId="77777777" w:rsidR="008C5CFA" w:rsidRPr="0024468B" w:rsidRDefault="008C5CFA" w:rsidP="00300A01">
            <w:pPr>
              <w:spacing w:before="0" w:after="0"/>
              <w:jc w:val="right"/>
              <w:rPr>
                <w:sz w:val="16"/>
                <w:szCs w:val="16"/>
                <w:lang w:val="fr-BE"/>
              </w:rPr>
            </w:pPr>
          </w:p>
        </w:tc>
        <w:tc>
          <w:tcPr>
            <w:tcW w:w="0" w:type="auto"/>
          </w:tcPr>
          <w:p w14:paraId="6D3EA3CD" w14:textId="77777777" w:rsidR="008C5CFA" w:rsidRPr="0024468B" w:rsidRDefault="00E82A60" w:rsidP="00300A01">
            <w:pPr>
              <w:spacing w:before="0" w:after="0"/>
              <w:jc w:val="right"/>
              <w:rPr>
                <w:sz w:val="16"/>
                <w:szCs w:val="16"/>
                <w:lang w:val="fr-BE"/>
              </w:rPr>
            </w:pPr>
            <w:r w:rsidRPr="0024468B">
              <w:rPr>
                <w:noProof/>
                <w:sz w:val="16"/>
                <w:szCs w:val="16"/>
                <w:lang w:val="fr-BE"/>
              </w:rPr>
              <w:t>4,70</w:t>
            </w:r>
          </w:p>
        </w:tc>
        <w:tc>
          <w:tcPr>
            <w:tcW w:w="0" w:type="auto"/>
          </w:tcPr>
          <w:p w14:paraId="171ED574" w14:textId="77777777" w:rsidR="008C5CFA" w:rsidRPr="0024468B" w:rsidRDefault="008C5CFA" w:rsidP="00300A01">
            <w:pPr>
              <w:spacing w:before="0" w:after="0"/>
              <w:jc w:val="right"/>
              <w:rPr>
                <w:sz w:val="16"/>
                <w:szCs w:val="16"/>
                <w:lang w:val="fr-BE"/>
              </w:rPr>
            </w:pPr>
          </w:p>
        </w:tc>
        <w:tc>
          <w:tcPr>
            <w:tcW w:w="0" w:type="auto"/>
          </w:tcPr>
          <w:p w14:paraId="14EF7EDD" w14:textId="77777777" w:rsidR="008C5CFA" w:rsidRPr="0024468B" w:rsidRDefault="00E82A60" w:rsidP="00300A01">
            <w:pPr>
              <w:spacing w:before="0" w:after="0"/>
              <w:jc w:val="right"/>
              <w:rPr>
                <w:sz w:val="16"/>
                <w:szCs w:val="16"/>
                <w:lang w:val="fr-BE"/>
              </w:rPr>
            </w:pPr>
            <w:r w:rsidRPr="0024468B">
              <w:rPr>
                <w:noProof/>
                <w:sz w:val="16"/>
                <w:szCs w:val="16"/>
                <w:lang w:val="fr-BE"/>
              </w:rPr>
              <w:t>4,30</w:t>
            </w:r>
          </w:p>
        </w:tc>
        <w:tc>
          <w:tcPr>
            <w:tcW w:w="0" w:type="auto"/>
          </w:tcPr>
          <w:p w14:paraId="42E28ED8" w14:textId="77777777" w:rsidR="008C5CFA" w:rsidRPr="0024468B" w:rsidRDefault="008C5CFA" w:rsidP="00300A01">
            <w:pPr>
              <w:spacing w:before="0" w:after="0"/>
              <w:jc w:val="right"/>
              <w:rPr>
                <w:sz w:val="16"/>
                <w:szCs w:val="16"/>
                <w:lang w:val="fr-BE"/>
              </w:rPr>
            </w:pPr>
          </w:p>
        </w:tc>
      </w:tr>
      <w:tr w:rsidR="006B2EC1" w14:paraId="4002960C" w14:textId="77777777" w:rsidTr="0047688D">
        <w:tc>
          <w:tcPr>
            <w:tcW w:w="0" w:type="auto"/>
            <w:shd w:val="clear" w:color="auto" w:fill="auto"/>
          </w:tcPr>
          <w:p w14:paraId="6A8A72FD" w14:textId="77777777" w:rsidR="008C5CFA" w:rsidRPr="0024468B" w:rsidRDefault="00E82A60" w:rsidP="00300A01">
            <w:pPr>
              <w:spacing w:before="0" w:after="0"/>
              <w:rPr>
                <w:sz w:val="16"/>
                <w:szCs w:val="16"/>
                <w:lang w:val="fr-BE"/>
              </w:rPr>
            </w:pPr>
            <w:r w:rsidRPr="0024468B">
              <w:rPr>
                <w:noProof/>
                <w:sz w:val="16"/>
                <w:szCs w:val="16"/>
                <w:lang w:val="fr-BE"/>
              </w:rPr>
              <w:t>035</w:t>
            </w:r>
          </w:p>
        </w:tc>
        <w:tc>
          <w:tcPr>
            <w:tcW w:w="0" w:type="auto"/>
            <w:shd w:val="clear" w:color="auto" w:fill="auto"/>
          </w:tcPr>
          <w:p w14:paraId="5C6A4247" w14:textId="77777777" w:rsidR="008C5CFA" w:rsidRPr="0024468B" w:rsidRDefault="00E82A60" w:rsidP="00300A01">
            <w:pPr>
              <w:spacing w:before="0" w:after="0"/>
              <w:rPr>
                <w:sz w:val="16"/>
                <w:szCs w:val="16"/>
                <w:lang w:val="fr-BE"/>
              </w:rPr>
            </w:pPr>
            <w:r w:rsidRPr="0024468B">
              <w:rPr>
                <w:noProof/>
                <w:sz w:val="16"/>
                <w:szCs w:val="16"/>
                <w:lang w:val="fr-BE"/>
              </w:rPr>
              <w:t>Nakłady sektora przedsiębiorstw na działalność B+R w relacji do PKB</w:t>
            </w:r>
          </w:p>
        </w:tc>
        <w:tc>
          <w:tcPr>
            <w:tcW w:w="0" w:type="auto"/>
          </w:tcPr>
          <w:p w14:paraId="737D8CFC"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32968EAB" w14:textId="77777777" w:rsidR="008C5CFA" w:rsidRPr="0024468B" w:rsidRDefault="008C5CFA" w:rsidP="00300A01">
            <w:pPr>
              <w:spacing w:before="0" w:after="0"/>
              <w:jc w:val="right"/>
              <w:rPr>
                <w:sz w:val="16"/>
                <w:szCs w:val="16"/>
                <w:lang w:val="fr-BE"/>
              </w:rPr>
            </w:pPr>
          </w:p>
        </w:tc>
        <w:tc>
          <w:tcPr>
            <w:tcW w:w="0" w:type="auto"/>
          </w:tcPr>
          <w:p w14:paraId="54EBF7FB" w14:textId="77777777" w:rsidR="008C5CFA" w:rsidRPr="0024468B" w:rsidRDefault="00E82A60" w:rsidP="00300A01">
            <w:pPr>
              <w:spacing w:before="0" w:after="0"/>
              <w:jc w:val="right"/>
              <w:rPr>
                <w:sz w:val="16"/>
                <w:szCs w:val="16"/>
                <w:lang w:val="fr-BE"/>
              </w:rPr>
            </w:pPr>
            <w:r w:rsidRPr="0024468B">
              <w:rPr>
                <w:noProof/>
                <w:sz w:val="16"/>
                <w:szCs w:val="16"/>
                <w:lang w:val="fr-BE"/>
              </w:rPr>
              <w:t>0,24</w:t>
            </w:r>
          </w:p>
        </w:tc>
        <w:tc>
          <w:tcPr>
            <w:tcW w:w="0" w:type="auto"/>
          </w:tcPr>
          <w:p w14:paraId="7B954B6C" w14:textId="77777777" w:rsidR="008C5CFA" w:rsidRPr="0024468B" w:rsidRDefault="008C5CFA" w:rsidP="00300A01">
            <w:pPr>
              <w:spacing w:before="0" w:after="0"/>
              <w:jc w:val="right"/>
              <w:rPr>
                <w:sz w:val="16"/>
                <w:szCs w:val="16"/>
                <w:lang w:val="fr-BE"/>
              </w:rPr>
            </w:pPr>
          </w:p>
        </w:tc>
        <w:tc>
          <w:tcPr>
            <w:tcW w:w="0" w:type="auto"/>
          </w:tcPr>
          <w:p w14:paraId="297B5603" w14:textId="77777777" w:rsidR="008C5CFA" w:rsidRPr="0024468B" w:rsidRDefault="00E82A60" w:rsidP="00300A01">
            <w:pPr>
              <w:spacing w:before="0" w:after="0"/>
              <w:jc w:val="right"/>
              <w:rPr>
                <w:sz w:val="16"/>
                <w:szCs w:val="16"/>
                <w:lang w:val="fr-BE"/>
              </w:rPr>
            </w:pPr>
            <w:r w:rsidRPr="0024468B">
              <w:rPr>
                <w:noProof/>
                <w:sz w:val="16"/>
                <w:szCs w:val="16"/>
                <w:lang w:val="fr-BE"/>
              </w:rPr>
              <w:t>0,16</w:t>
            </w:r>
          </w:p>
        </w:tc>
        <w:tc>
          <w:tcPr>
            <w:tcW w:w="0" w:type="auto"/>
          </w:tcPr>
          <w:p w14:paraId="7B9F7A97" w14:textId="77777777" w:rsidR="008C5CFA" w:rsidRPr="0024468B" w:rsidRDefault="008C5CFA" w:rsidP="00300A01">
            <w:pPr>
              <w:spacing w:before="0" w:after="0"/>
              <w:jc w:val="right"/>
              <w:rPr>
                <w:sz w:val="16"/>
                <w:szCs w:val="16"/>
                <w:lang w:val="fr-BE"/>
              </w:rPr>
            </w:pPr>
          </w:p>
        </w:tc>
        <w:tc>
          <w:tcPr>
            <w:tcW w:w="0" w:type="auto"/>
          </w:tcPr>
          <w:p w14:paraId="302EFA54" w14:textId="77777777" w:rsidR="008C5CFA" w:rsidRPr="0024468B" w:rsidRDefault="00E82A60" w:rsidP="00300A01">
            <w:pPr>
              <w:spacing w:before="0" w:after="0"/>
              <w:jc w:val="right"/>
              <w:rPr>
                <w:sz w:val="16"/>
                <w:szCs w:val="16"/>
                <w:lang w:val="fr-BE"/>
              </w:rPr>
            </w:pPr>
            <w:r w:rsidRPr="0024468B">
              <w:rPr>
                <w:noProof/>
                <w:sz w:val="16"/>
                <w:szCs w:val="16"/>
                <w:lang w:val="fr-BE"/>
              </w:rPr>
              <w:t>0,27</w:t>
            </w:r>
          </w:p>
        </w:tc>
        <w:tc>
          <w:tcPr>
            <w:tcW w:w="0" w:type="auto"/>
          </w:tcPr>
          <w:p w14:paraId="15462B94" w14:textId="77777777" w:rsidR="008C5CFA" w:rsidRPr="0024468B" w:rsidRDefault="008C5CFA" w:rsidP="00300A01">
            <w:pPr>
              <w:spacing w:before="0" w:after="0"/>
              <w:jc w:val="right"/>
              <w:rPr>
                <w:sz w:val="16"/>
                <w:szCs w:val="16"/>
                <w:lang w:val="fr-BE"/>
              </w:rPr>
            </w:pPr>
          </w:p>
        </w:tc>
      </w:tr>
    </w:tbl>
    <w:p w14:paraId="3E431690"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10672"/>
        <w:gridCol w:w="1721"/>
        <w:gridCol w:w="2071"/>
      </w:tblGrid>
      <w:tr w:rsidR="006B2EC1" w14:paraId="65105B3F" w14:textId="77777777" w:rsidTr="0047688D">
        <w:tc>
          <w:tcPr>
            <w:tcW w:w="0" w:type="auto"/>
            <w:shd w:val="clear" w:color="auto" w:fill="auto"/>
          </w:tcPr>
          <w:p w14:paraId="2EC561BD" w14:textId="77777777" w:rsidR="008C5CFA" w:rsidRPr="0024468B" w:rsidRDefault="00E82A60" w:rsidP="00300A01">
            <w:pPr>
              <w:spacing w:before="0" w:after="0"/>
              <w:rPr>
                <w:sz w:val="16"/>
                <w:szCs w:val="16"/>
                <w:lang w:val="fr-BE"/>
              </w:rPr>
            </w:pPr>
            <w:r w:rsidRPr="0024468B">
              <w:rPr>
                <w:noProof/>
                <w:sz w:val="16"/>
                <w:szCs w:val="16"/>
                <w:lang w:val="fr-BE"/>
              </w:rPr>
              <w:t>ID</w:t>
            </w:r>
          </w:p>
        </w:tc>
        <w:tc>
          <w:tcPr>
            <w:tcW w:w="0" w:type="auto"/>
            <w:shd w:val="clear" w:color="auto" w:fill="auto"/>
          </w:tcPr>
          <w:p w14:paraId="654357D0" w14:textId="77777777" w:rsidR="008C5CFA" w:rsidRPr="0024468B" w:rsidRDefault="00E82A60" w:rsidP="00300A01">
            <w:pPr>
              <w:spacing w:before="0" w:after="0"/>
              <w:rPr>
                <w:sz w:val="16"/>
                <w:szCs w:val="16"/>
                <w:lang w:val="fr-BE"/>
              </w:rPr>
            </w:pPr>
            <w:r w:rsidRPr="0024468B">
              <w:rPr>
                <w:noProof/>
                <w:sz w:val="16"/>
                <w:szCs w:val="16"/>
                <w:lang w:val="fr-BE"/>
              </w:rPr>
              <w:t>Wskaźnik</w:t>
            </w:r>
          </w:p>
        </w:tc>
        <w:tc>
          <w:tcPr>
            <w:tcW w:w="0" w:type="auto"/>
            <w:shd w:val="clear" w:color="auto" w:fill="auto"/>
          </w:tcPr>
          <w:p w14:paraId="638CC3B1" w14:textId="77777777" w:rsidR="008C5CFA" w:rsidRPr="0024468B" w:rsidRDefault="00E82A60" w:rsidP="00300A01">
            <w:pPr>
              <w:spacing w:before="0" w:after="0"/>
              <w:jc w:val="center"/>
              <w:rPr>
                <w:sz w:val="16"/>
                <w:szCs w:val="16"/>
                <w:lang w:val="fr-BE"/>
              </w:rPr>
            </w:pPr>
            <w:r>
              <w:rPr>
                <w:sz w:val="16"/>
                <w:szCs w:val="16"/>
                <w:lang w:val="fr-BE"/>
              </w:rPr>
              <w:t xml:space="preserve">2014 </w:t>
            </w:r>
            <w:r>
              <w:rPr>
                <w:noProof/>
                <w:sz w:val="16"/>
                <w:szCs w:val="16"/>
                <w:lang w:val="fr-BE"/>
              </w:rPr>
              <w:t>Ogółem</w:t>
            </w:r>
          </w:p>
        </w:tc>
        <w:tc>
          <w:tcPr>
            <w:tcW w:w="0" w:type="auto"/>
            <w:shd w:val="clear" w:color="auto" w:fill="auto"/>
          </w:tcPr>
          <w:p w14:paraId="2A3C442E" w14:textId="77777777" w:rsidR="008C5CFA" w:rsidRPr="0024468B" w:rsidRDefault="00E82A60" w:rsidP="00300A01">
            <w:pPr>
              <w:spacing w:before="0" w:after="0"/>
              <w:jc w:val="center"/>
              <w:rPr>
                <w:sz w:val="16"/>
                <w:szCs w:val="16"/>
                <w:lang w:val="fr-BE"/>
              </w:rPr>
            </w:pPr>
            <w:r>
              <w:rPr>
                <w:sz w:val="16"/>
                <w:szCs w:val="16"/>
                <w:lang w:val="fr-BE"/>
              </w:rPr>
              <w:t xml:space="preserve">2014 </w:t>
            </w:r>
            <w:r w:rsidRPr="0024468B">
              <w:rPr>
                <w:noProof/>
                <w:sz w:val="16"/>
                <w:szCs w:val="16"/>
                <w:lang w:val="fr-BE"/>
              </w:rPr>
              <w:t>Jakościowe</w:t>
            </w:r>
          </w:p>
        </w:tc>
      </w:tr>
      <w:tr w:rsidR="006B2EC1" w14:paraId="365045A3" w14:textId="77777777" w:rsidTr="0047688D">
        <w:tc>
          <w:tcPr>
            <w:tcW w:w="0" w:type="auto"/>
            <w:shd w:val="clear" w:color="auto" w:fill="auto"/>
          </w:tcPr>
          <w:p w14:paraId="3F89651D" w14:textId="77777777" w:rsidR="008C5CFA" w:rsidRPr="0024468B" w:rsidRDefault="00E82A60" w:rsidP="00300A01">
            <w:pPr>
              <w:spacing w:before="0" w:after="0"/>
              <w:rPr>
                <w:sz w:val="16"/>
                <w:szCs w:val="16"/>
                <w:lang w:val="fr-BE"/>
              </w:rPr>
            </w:pPr>
            <w:r w:rsidRPr="0024468B">
              <w:rPr>
                <w:noProof/>
                <w:sz w:val="16"/>
                <w:szCs w:val="16"/>
                <w:lang w:val="fr-BE"/>
              </w:rPr>
              <w:t>034</w:t>
            </w:r>
          </w:p>
        </w:tc>
        <w:tc>
          <w:tcPr>
            <w:tcW w:w="0" w:type="auto"/>
            <w:shd w:val="clear" w:color="auto" w:fill="auto"/>
          </w:tcPr>
          <w:p w14:paraId="14F8F296" w14:textId="77777777" w:rsidR="008C5CFA" w:rsidRPr="0024468B" w:rsidRDefault="00E82A60" w:rsidP="00300A01">
            <w:pPr>
              <w:spacing w:before="0" w:after="0"/>
              <w:rPr>
                <w:sz w:val="16"/>
                <w:szCs w:val="16"/>
                <w:lang w:val="fr-BE"/>
              </w:rPr>
            </w:pPr>
            <w:r w:rsidRPr="0024468B">
              <w:rPr>
                <w:noProof/>
                <w:sz w:val="16"/>
                <w:szCs w:val="16"/>
                <w:lang w:val="fr-BE"/>
              </w:rPr>
              <w:t>Odsetek przedsiębiorstw przemysłowych, które współpracowały w zakresie działalności innowacyjnej</w:t>
            </w:r>
          </w:p>
        </w:tc>
        <w:tc>
          <w:tcPr>
            <w:tcW w:w="0" w:type="auto"/>
            <w:shd w:val="clear" w:color="auto" w:fill="auto"/>
          </w:tcPr>
          <w:p w14:paraId="2D7F314C" w14:textId="77777777" w:rsidR="008C5CFA" w:rsidRPr="0024468B" w:rsidRDefault="00E82A60" w:rsidP="00300A01">
            <w:pPr>
              <w:spacing w:before="0" w:after="0"/>
              <w:jc w:val="right"/>
              <w:rPr>
                <w:sz w:val="16"/>
                <w:szCs w:val="16"/>
                <w:lang w:val="fr-BE"/>
              </w:rPr>
            </w:pPr>
            <w:r w:rsidRPr="0024468B">
              <w:rPr>
                <w:noProof/>
                <w:sz w:val="16"/>
                <w:szCs w:val="16"/>
                <w:lang w:val="fr-BE"/>
              </w:rPr>
              <w:t>5,40</w:t>
            </w:r>
          </w:p>
        </w:tc>
        <w:tc>
          <w:tcPr>
            <w:tcW w:w="0" w:type="auto"/>
            <w:shd w:val="clear" w:color="auto" w:fill="auto"/>
          </w:tcPr>
          <w:p w14:paraId="0392EB0F" w14:textId="77777777" w:rsidR="008C5CFA" w:rsidRPr="0024468B" w:rsidRDefault="008C5CFA" w:rsidP="00300A01">
            <w:pPr>
              <w:spacing w:before="0" w:after="0"/>
              <w:jc w:val="right"/>
              <w:rPr>
                <w:sz w:val="16"/>
                <w:szCs w:val="16"/>
                <w:lang w:val="fr-BE"/>
              </w:rPr>
            </w:pPr>
          </w:p>
        </w:tc>
      </w:tr>
      <w:tr w:rsidR="006B2EC1" w14:paraId="1C74FCC3" w14:textId="77777777" w:rsidTr="0047688D">
        <w:tc>
          <w:tcPr>
            <w:tcW w:w="0" w:type="auto"/>
            <w:shd w:val="clear" w:color="auto" w:fill="auto"/>
          </w:tcPr>
          <w:p w14:paraId="408C57FB" w14:textId="77777777" w:rsidR="008C5CFA" w:rsidRPr="0024468B" w:rsidRDefault="00E82A60" w:rsidP="00300A01">
            <w:pPr>
              <w:spacing w:before="0" w:after="0"/>
              <w:rPr>
                <w:sz w:val="16"/>
                <w:szCs w:val="16"/>
                <w:lang w:val="fr-BE"/>
              </w:rPr>
            </w:pPr>
            <w:r w:rsidRPr="0024468B">
              <w:rPr>
                <w:noProof/>
                <w:sz w:val="16"/>
                <w:szCs w:val="16"/>
                <w:lang w:val="fr-BE"/>
              </w:rPr>
              <w:t>035</w:t>
            </w:r>
          </w:p>
        </w:tc>
        <w:tc>
          <w:tcPr>
            <w:tcW w:w="0" w:type="auto"/>
            <w:shd w:val="clear" w:color="auto" w:fill="auto"/>
          </w:tcPr>
          <w:p w14:paraId="631802E3" w14:textId="77777777" w:rsidR="008C5CFA" w:rsidRPr="0024468B" w:rsidRDefault="00E82A60" w:rsidP="00300A01">
            <w:pPr>
              <w:spacing w:before="0" w:after="0"/>
              <w:rPr>
                <w:sz w:val="16"/>
                <w:szCs w:val="16"/>
                <w:lang w:val="fr-BE"/>
              </w:rPr>
            </w:pPr>
            <w:r w:rsidRPr="0024468B">
              <w:rPr>
                <w:noProof/>
                <w:sz w:val="16"/>
                <w:szCs w:val="16"/>
                <w:lang w:val="fr-BE"/>
              </w:rPr>
              <w:t>Nakłady sektora przedsiębiorstw na działalność B+R w relacji do PKB</w:t>
            </w:r>
          </w:p>
        </w:tc>
        <w:tc>
          <w:tcPr>
            <w:tcW w:w="0" w:type="auto"/>
            <w:shd w:val="clear" w:color="auto" w:fill="auto"/>
          </w:tcPr>
          <w:p w14:paraId="2B339BFA" w14:textId="77777777" w:rsidR="008C5CFA" w:rsidRPr="0024468B" w:rsidRDefault="00E82A60" w:rsidP="00300A01">
            <w:pPr>
              <w:spacing w:before="0" w:after="0"/>
              <w:jc w:val="right"/>
              <w:rPr>
                <w:sz w:val="16"/>
                <w:szCs w:val="16"/>
                <w:lang w:val="fr-BE"/>
              </w:rPr>
            </w:pPr>
            <w:r w:rsidRPr="0024468B">
              <w:rPr>
                <w:noProof/>
                <w:sz w:val="16"/>
                <w:szCs w:val="16"/>
                <w:lang w:val="fr-BE"/>
              </w:rPr>
              <w:t>0,12</w:t>
            </w:r>
          </w:p>
        </w:tc>
        <w:tc>
          <w:tcPr>
            <w:tcW w:w="0" w:type="auto"/>
            <w:shd w:val="clear" w:color="auto" w:fill="auto"/>
          </w:tcPr>
          <w:p w14:paraId="75F393AB" w14:textId="77777777" w:rsidR="008C5CFA" w:rsidRPr="0024468B" w:rsidRDefault="008C5CFA" w:rsidP="00300A01">
            <w:pPr>
              <w:spacing w:before="0" w:after="0"/>
              <w:jc w:val="right"/>
              <w:rPr>
                <w:sz w:val="16"/>
                <w:szCs w:val="16"/>
                <w:lang w:val="fr-BE"/>
              </w:rPr>
            </w:pPr>
          </w:p>
        </w:tc>
      </w:tr>
    </w:tbl>
    <w:p w14:paraId="4F117F35" w14:textId="77777777" w:rsidR="008C5CFA" w:rsidRDefault="008C5CFA" w:rsidP="00300A01">
      <w:pPr>
        <w:spacing w:before="0" w:after="0"/>
        <w:rPr>
          <w:lang w:val="fr-BE"/>
        </w:rPr>
      </w:pPr>
    </w:p>
    <w:p w14:paraId="6D4A0132" w14:textId="77777777" w:rsidR="008C5CFA" w:rsidRDefault="00E82A60" w:rsidP="00300A01">
      <w:pPr>
        <w:spacing w:before="0" w:after="0"/>
        <w:rPr>
          <w:lang w:val="fr-BE"/>
        </w:rPr>
      </w:pPr>
      <w:r>
        <w:rPr>
          <w:lang w:val="fr-BE"/>
        </w:rPr>
        <w:br w:type="page"/>
      </w:r>
    </w:p>
    <w:p w14:paraId="4B1CDF6A" w14:textId="77777777" w:rsidR="008C5CFA" w:rsidRPr="00B27C43" w:rsidRDefault="008C5CFA" w:rsidP="00300A01">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2"/>
        <w:gridCol w:w="13382"/>
      </w:tblGrid>
      <w:tr w:rsidR="006B2EC1" w14:paraId="2FF84947" w14:textId="77777777" w:rsidTr="0047688D">
        <w:tc>
          <w:tcPr>
            <w:tcW w:w="0" w:type="auto"/>
            <w:shd w:val="clear" w:color="auto" w:fill="auto"/>
          </w:tcPr>
          <w:p w14:paraId="2DB3AFEA" w14:textId="77777777" w:rsidR="008C5CFA" w:rsidRPr="002124FC" w:rsidRDefault="00E82A60" w:rsidP="00300A01">
            <w:pPr>
              <w:spacing w:before="0" w:after="0"/>
              <w:rPr>
                <w:sz w:val="20"/>
                <w:szCs w:val="20"/>
                <w:lang w:val="fr-BE"/>
              </w:rPr>
            </w:pPr>
            <w:r w:rsidRPr="002124FC">
              <w:rPr>
                <w:noProof/>
                <w:sz w:val="20"/>
                <w:szCs w:val="20"/>
                <w:lang w:val="fr-BE"/>
              </w:rPr>
              <w:t>Oś priorytetowa</w:t>
            </w:r>
          </w:p>
        </w:tc>
        <w:tc>
          <w:tcPr>
            <w:tcW w:w="0" w:type="auto"/>
            <w:shd w:val="clear" w:color="auto" w:fill="auto"/>
          </w:tcPr>
          <w:p w14:paraId="617065A5" w14:textId="77777777" w:rsidR="008C5CFA" w:rsidRPr="002124FC" w:rsidRDefault="00E82A60" w:rsidP="00300A01">
            <w:pPr>
              <w:spacing w:before="0" w:after="0"/>
              <w:rPr>
                <w:sz w:val="20"/>
                <w:szCs w:val="20"/>
                <w:lang w:val="fr-BE"/>
              </w:rPr>
            </w:pPr>
            <w:r w:rsidRPr="002124FC">
              <w:rPr>
                <w:noProof/>
                <w:sz w:val="20"/>
                <w:szCs w:val="20"/>
                <w:lang w:val="fr-BE"/>
              </w:rPr>
              <w:t>10</w:t>
            </w:r>
            <w:r w:rsidRPr="002124FC">
              <w:rPr>
                <w:sz w:val="20"/>
                <w:szCs w:val="20"/>
                <w:lang w:val="fr-BE"/>
              </w:rPr>
              <w:t xml:space="preserve"> - </w:t>
            </w:r>
            <w:r w:rsidRPr="002124FC">
              <w:rPr>
                <w:noProof/>
                <w:sz w:val="20"/>
                <w:szCs w:val="20"/>
                <w:lang w:val="fr-BE"/>
              </w:rPr>
              <w:t>Otwarty rynek pracy</w:t>
            </w:r>
          </w:p>
        </w:tc>
      </w:tr>
      <w:tr w:rsidR="006B2EC1" w14:paraId="127D9FAD" w14:textId="77777777" w:rsidTr="0047688D">
        <w:tc>
          <w:tcPr>
            <w:tcW w:w="0" w:type="auto"/>
            <w:shd w:val="clear" w:color="auto" w:fill="auto"/>
          </w:tcPr>
          <w:p w14:paraId="631FF691" w14:textId="77777777" w:rsidR="008C5CFA" w:rsidRPr="002124FC" w:rsidRDefault="00E82A60"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14:paraId="5C430758" w14:textId="77777777" w:rsidR="008C5CFA" w:rsidRPr="002124FC" w:rsidRDefault="00E82A60" w:rsidP="00300A01">
            <w:pPr>
              <w:spacing w:before="0" w:after="0"/>
              <w:rPr>
                <w:sz w:val="20"/>
                <w:szCs w:val="20"/>
                <w:lang w:val="fr-BE"/>
              </w:rPr>
            </w:pPr>
            <w:r w:rsidRPr="002124FC">
              <w:rPr>
                <w:noProof/>
                <w:sz w:val="20"/>
                <w:szCs w:val="20"/>
                <w:lang w:val="fr-BE"/>
              </w:rPr>
              <w:t>8i</w:t>
            </w:r>
            <w:r w:rsidRPr="002124FC">
              <w:rPr>
                <w:sz w:val="20"/>
                <w:szCs w:val="20"/>
                <w:lang w:val="fr-BE"/>
              </w:rPr>
              <w:t xml:space="preserve"> - </w:t>
            </w:r>
            <w:r w:rsidRPr="002124FC">
              <w:rPr>
                <w:noProof/>
                <w:sz w:val="20"/>
                <w:szCs w:val="20"/>
                <w:lang w:val="fr-BE"/>
              </w:rPr>
              <w:t>Dostęp do zatrudnienia dla osób poszukujących pracy i osób biernych zawodowo, w tym długotrwale bezrobotnych oraz oddalonych od rynku pracy, także poprzez lokalne inicjatywy w zakresie zatrudnienia i wspieranie mobilności pracowników</w:t>
            </w:r>
          </w:p>
        </w:tc>
      </w:tr>
    </w:tbl>
    <w:p w14:paraId="7863681E" w14:textId="77777777" w:rsidR="008C5CFA" w:rsidRDefault="008C5CFA" w:rsidP="00300A01">
      <w:pPr>
        <w:spacing w:before="0" w:after="0"/>
        <w:ind w:left="113" w:hanging="113"/>
        <w:rPr>
          <w:sz w:val="20"/>
          <w:szCs w:val="20"/>
          <w:lang w:val="fr-BE"/>
        </w:rPr>
      </w:pPr>
    </w:p>
    <w:p w14:paraId="189E308D" w14:textId="77777777" w:rsidR="008C5CFA" w:rsidRPr="008E457C" w:rsidRDefault="00E82A60" w:rsidP="00300A01">
      <w:pPr>
        <w:pStyle w:val="Nagwek2"/>
        <w:spacing w:before="0" w:after="0"/>
      </w:pPr>
      <w:bookmarkStart w:id="11" w:name="_Toc46391695"/>
      <w:r w:rsidRPr="008E457C">
        <w:rPr>
          <w:noProof/>
        </w:rPr>
        <w:t>Tabela 2A</w:t>
      </w:r>
      <w:r w:rsidRPr="008E457C">
        <w:t xml:space="preserve"> : </w:t>
      </w:r>
      <w:proofErr w:type="spellStart"/>
      <w:r w:rsidRPr="008E457C">
        <w:t>Wspólne</w:t>
      </w:r>
      <w:proofErr w:type="spellEnd"/>
      <w:r w:rsidRPr="008E457C">
        <w:t xml:space="preserve"> </w:t>
      </w:r>
      <w:proofErr w:type="spellStart"/>
      <w:r w:rsidRPr="008E457C">
        <w:t>wskaźniki</w:t>
      </w:r>
      <w:proofErr w:type="spellEnd"/>
      <w:r w:rsidRPr="008E457C">
        <w:t xml:space="preserve"> </w:t>
      </w:r>
      <w:proofErr w:type="spellStart"/>
      <w:r w:rsidRPr="008E457C">
        <w:t>rezultatu</w:t>
      </w:r>
      <w:proofErr w:type="spellEnd"/>
      <w:r w:rsidRPr="008E457C">
        <w:t xml:space="preserve"> </w:t>
      </w:r>
      <w:proofErr w:type="spellStart"/>
      <w:r w:rsidRPr="008E457C">
        <w:t>dla</w:t>
      </w:r>
      <w:proofErr w:type="spellEnd"/>
      <w:r w:rsidRPr="008E457C">
        <w:t xml:space="preserve"> EFS (z </w:t>
      </w:r>
      <w:proofErr w:type="spellStart"/>
      <w:r w:rsidRPr="008E457C">
        <w:t>podziałem</w:t>
      </w:r>
      <w:proofErr w:type="spellEnd"/>
      <w:r w:rsidRPr="008E457C">
        <w:t xml:space="preserve"> </w:t>
      </w:r>
      <w:proofErr w:type="spellStart"/>
      <w:r w:rsidRPr="008E457C">
        <w:t>na</w:t>
      </w:r>
      <w:proofErr w:type="spellEnd"/>
      <w:r w:rsidRPr="008E457C">
        <w:t xml:space="preserve"> </w:t>
      </w:r>
      <w:proofErr w:type="spellStart"/>
      <w:r w:rsidRPr="008E457C">
        <w:t>oś</w:t>
      </w:r>
      <w:proofErr w:type="spellEnd"/>
      <w:r w:rsidRPr="008E457C">
        <w:t xml:space="preserve"> </w:t>
      </w:r>
      <w:proofErr w:type="spellStart"/>
      <w:r w:rsidRPr="008E457C">
        <w:t>priorytetową</w:t>
      </w:r>
      <w:proofErr w:type="spellEnd"/>
      <w:r w:rsidRPr="008E457C">
        <w:t xml:space="preserve">, </w:t>
      </w:r>
      <w:proofErr w:type="spellStart"/>
      <w:r w:rsidRPr="008E457C">
        <w:t>priorytet</w:t>
      </w:r>
      <w:proofErr w:type="spellEnd"/>
      <w:r w:rsidRPr="008E457C">
        <w:t xml:space="preserve"> </w:t>
      </w:r>
      <w:proofErr w:type="spellStart"/>
      <w:r w:rsidRPr="008E457C">
        <w:t>inwestycyjny</w:t>
      </w:r>
      <w:proofErr w:type="spellEnd"/>
      <w:r w:rsidRPr="008E457C">
        <w:t xml:space="preserve"> i </w:t>
      </w:r>
      <w:proofErr w:type="spellStart"/>
      <w:r w:rsidRPr="008E457C">
        <w:t>kategorię</w:t>
      </w:r>
      <w:proofErr w:type="spellEnd"/>
      <w:r w:rsidRPr="008E457C">
        <w:t xml:space="preserve"> </w:t>
      </w:r>
      <w:proofErr w:type="spellStart"/>
      <w:r w:rsidRPr="008E457C">
        <w:t>regionu</w:t>
      </w:r>
      <w:proofErr w:type="spellEnd"/>
      <w:r w:rsidRPr="008E457C">
        <w:t xml:space="preserve">) Dane </w:t>
      </w:r>
      <w:proofErr w:type="spellStart"/>
      <w:r w:rsidRPr="008E457C">
        <w:t>na</w:t>
      </w:r>
      <w:proofErr w:type="spellEnd"/>
      <w:r w:rsidRPr="008E457C">
        <w:t xml:space="preserve"> </w:t>
      </w:r>
      <w:proofErr w:type="spellStart"/>
      <w:r w:rsidRPr="008E457C">
        <w:t>temat</w:t>
      </w:r>
      <w:proofErr w:type="spellEnd"/>
      <w:r w:rsidRPr="008E457C">
        <w:t xml:space="preserve"> </w:t>
      </w:r>
      <w:proofErr w:type="spellStart"/>
      <w:r w:rsidRPr="008E457C">
        <w:t>wszystkich</w:t>
      </w:r>
      <w:proofErr w:type="spellEnd"/>
      <w:r w:rsidRPr="008E457C">
        <w:t xml:space="preserve"> </w:t>
      </w:r>
      <w:proofErr w:type="spellStart"/>
      <w:r w:rsidRPr="008E457C">
        <w:t>wspólnych</w:t>
      </w:r>
      <w:proofErr w:type="spellEnd"/>
      <w:r w:rsidRPr="008E457C">
        <w:t xml:space="preserve"> </w:t>
      </w:r>
      <w:proofErr w:type="spellStart"/>
      <w:r w:rsidRPr="008E457C">
        <w:t>wskaźników</w:t>
      </w:r>
      <w:proofErr w:type="spellEnd"/>
      <w:r w:rsidRPr="008E457C">
        <w:t xml:space="preserve"> </w:t>
      </w:r>
      <w:proofErr w:type="spellStart"/>
      <w:r w:rsidRPr="008E457C">
        <w:t>rezultatu</w:t>
      </w:r>
      <w:proofErr w:type="spellEnd"/>
      <w:r w:rsidRPr="008E457C">
        <w:t xml:space="preserve"> </w:t>
      </w:r>
      <w:proofErr w:type="spellStart"/>
      <w:r w:rsidRPr="008E457C">
        <w:t>dla</w:t>
      </w:r>
      <w:proofErr w:type="spellEnd"/>
      <w:r w:rsidRPr="008E457C">
        <w:t xml:space="preserve"> EFS (z </w:t>
      </w:r>
      <w:proofErr w:type="spellStart"/>
      <w:r w:rsidRPr="008E457C">
        <w:t>wartością</w:t>
      </w:r>
      <w:proofErr w:type="spellEnd"/>
      <w:r w:rsidRPr="008E457C">
        <w:t xml:space="preserve"> </w:t>
      </w:r>
      <w:proofErr w:type="spellStart"/>
      <w:r w:rsidRPr="008E457C">
        <w:t>docelową</w:t>
      </w:r>
      <w:proofErr w:type="spellEnd"/>
      <w:r w:rsidRPr="008E457C">
        <w:t xml:space="preserve"> i bez) </w:t>
      </w:r>
      <w:proofErr w:type="spellStart"/>
      <w:r w:rsidRPr="008E457C">
        <w:t>przedstawia</w:t>
      </w:r>
      <w:proofErr w:type="spellEnd"/>
      <w:r w:rsidRPr="008E457C">
        <w:t xml:space="preserve"> </w:t>
      </w:r>
      <w:proofErr w:type="spellStart"/>
      <w:r w:rsidRPr="008E457C">
        <w:t>się</w:t>
      </w:r>
      <w:proofErr w:type="spellEnd"/>
      <w:r w:rsidRPr="008E457C">
        <w:t xml:space="preserve"> w </w:t>
      </w:r>
      <w:proofErr w:type="spellStart"/>
      <w:r w:rsidRPr="008E457C">
        <w:t>sprawozdaniu</w:t>
      </w:r>
      <w:proofErr w:type="spellEnd"/>
      <w:r w:rsidRPr="008E457C">
        <w:t xml:space="preserve"> w </w:t>
      </w:r>
      <w:proofErr w:type="spellStart"/>
      <w:r w:rsidRPr="008E457C">
        <w:t>podziale</w:t>
      </w:r>
      <w:proofErr w:type="spellEnd"/>
      <w:r w:rsidRPr="008E457C">
        <w:t xml:space="preserve"> </w:t>
      </w:r>
      <w:proofErr w:type="spellStart"/>
      <w:r w:rsidRPr="008E457C">
        <w:t>na</w:t>
      </w:r>
      <w:proofErr w:type="spellEnd"/>
      <w:r w:rsidRPr="008E457C">
        <w:t xml:space="preserve"> </w:t>
      </w:r>
      <w:proofErr w:type="spellStart"/>
      <w:r w:rsidRPr="008E457C">
        <w:t>płeć</w:t>
      </w:r>
      <w:proofErr w:type="spellEnd"/>
      <w:r w:rsidRPr="008E457C">
        <w:t xml:space="preserve">. W </w:t>
      </w:r>
      <w:proofErr w:type="spellStart"/>
      <w:r w:rsidRPr="008E457C">
        <w:t>przypadku</w:t>
      </w:r>
      <w:proofErr w:type="spellEnd"/>
      <w:r w:rsidRPr="008E457C">
        <w:t xml:space="preserve"> </w:t>
      </w:r>
      <w:proofErr w:type="spellStart"/>
      <w:r w:rsidRPr="008E457C">
        <w:t>osi</w:t>
      </w:r>
      <w:proofErr w:type="spellEnd"/>
      <w:r w:rsidRPr="008E457C">
        <w:t xml:space="preserve"> </w:t>
      </w:r>
      <w:proofErr w:type="spellStart"/>
      <w:r w:rsidRPr="008E457C">
        <w:t>priorytetowej</w:t>
      </w:r>
      <w:proofErr w:type="spellEnd"/>
      <w:r w:rsidRPr="008E457C">
        <w:t xml:space="preserve"> </w:t>
      </w:r>
      <w:r>
        <w:t>"</w:t>
      </w:r>
      <w:proofErr w:type="spellStart"/>
      <w:r w:rsidRPr="008E457C">
        <w:t>Pomoc</w:t>
      </w:r>
      <w:proofErr w:type="spellEnd"/>
      <w:r w:rsidRPr="008E457C">
        <w:t xml:space="preserve"> </w:t>
      </w:r>
      <w:proofErr w:type="spellStart"/>
      <w:r w:rsidRPr="008E457C">
        <w:t>techniczna</w:t>
      </w:r>
      <w:proofErr w:type="spellEnd"/>
      <w:r w:rsidRPr="008E457C">
        <w:t xml:space="preserve"> w </w:t>
      </w:r>
      <w:proofErr w:type="spellStart"/>
      <w:r w:rsidRPr="008E457C">
        <w:t>sprawozdaniu</w:t>
      </w:r>
      <w:proofErr w:type="spellEnd"/>
      <w:r w:rsidRPr="008E457C">
        <w:t xml:space="preserve"> </w:t>
      </w:r>
      <w:proofErr w:type="spellStart"/>
      <w:r w:rsidRPr="008E457C">
        <w:t>przedstawia</w:t>
      </w:r>
      <w:proofErr w:type="spellEnd"/>
      <w:r w:rsidRPr="008E457C">
        <w:t xml:space="preserve"> </w:t>
      </w:r>
      <w:proofErr w:type="spellStart"/>
      <w:r w:rsidRPr="008E457C">
        <w:t>się</w:t>
      </w:r>
      <w:proofErr w:type="spellEnd"/>
      <w:r w:rsidRPr="008E457C">
        <w:t xml:space="preserve"> </w:t>
      </w:r>
      <w:proofErr w:type="spellStart"/>
      <w:r w:rsidRPr="008E457C">
        <w:t>jedynie</w:t>
      </w:r>
      <w:proofErr w:type="spellEnd"/>
      <w:r w:rsidRPr="008E457C">
        <w:t xml:space="preserve"> </w:t>
      </w:r>
      <w:proofErr w:type="spellStart"/>
      <w:r w:rsidRPr="008E457C">
        <w:t>te</w:t>
      </w:r>
      <w:proofErr w:type="spellEnd"/>
      <w:r w:rsidRPr="008E457C">
        <w:t xml:space="preserve"> </w:t>
      </w:r>
      <w:proofErr w:type="spellStart"/>
      <w:r w:rsidRPr="008E457C">
        <w:t>wskaźniki</w:t>
      </w:r>
      <w:proofErr w:type="spellEnd"/>
      <w:r w:rsidRPr="008E457C">
        <w:t xml:space="preserve"> </w:t>
      </w:r>
      <w:proofErr w:type="spellStart"/>
      <w:r w:rsidRPr="008E457C">
        <w:t>wspólne</w:t>
      </w:r>
      <w:proofErr w:type="spellEnd"/>
      <w:r w:rsidRPr="008E457C">
        <w:t xml:space="preserve">, w </w:t>
      </w:r>
      <w:proofErr w:type="spellStart"/>
      <w:r w:rsidRPr="008E457C">
        <w:t>odniesieniu</w:t>
      </w:r>
      <w:proofErr w:type="spellEnd"/>
      <w:r w:rsidRPr="008E457C">
        <w:t xml:space="preserve"> do </w:t>
      </w:r>
      <w:proofErr w:type="spellStart"/>
      <w:r w:rsidRPr="008E457C">
        <w:t>których</w:t>
      </w:r>
      <w:proofErr w:type="spellEnd"/>
      <w:r w:rsidRPr="008E457C">
        <w:t xml:space="preserve"> </w:t>
      </w:r>
      <w:proofErr w:type="spellStart"/>
      <w:r w:rsidRPr="008E457C">
        <w:t>ustanowiono</w:t>
      </w:r>
      <w:proofErr w:type="spellEnd"/>
      <w:r w:rsidRPr="008E457C">
        <w:t xml:space="preserve"> </w:t>
      </w:r>
      <w:proofErr w:type="spellStart"/>
      <w:r w:rsidRPr="008E457C">
        <w:t>wartość</w:t>
      </w:r>
      <w:proofErr w:type="spellEnd"/>
      <w:r w:rsidRPr="008E457C">
        <w:t xml:space="preserve"> </w:t>
      </w:r>
      <w:proofErr w:type="spellStart"/>
      <w:r w:rsidRPr="008E457C">
        <w:t>docelową</w:t>
      </w:r>
      <w:proofErr w:type="spellEnd"/>
      <w:r w:rsidRPr="008E457C">
        <w:t>.</w:t>
      </w:r>
      <w:r w:rsidR="00501DA0">
        <w:t xml:space="preserve"> - </w:t>
      </w:r>
      <w:r w:rsidR="00501DA0" w:rsidRPr="002124FC">
        <w:rPr>
          <w:noProof/>
          <w:sz w:val="20"/>
          <w:szCs w:val="20"/>
          <w:lang w:val="fr-BE"/>
        </w:rPr>
        <w:t>10</w:t>
      </w:r>
      <w:r w:rsidR="00501DA0">
        <w:rPr>
          <w:sz w:val="20"/>
          <w:szCs w:val="20"/>
          <w:lang w:val="fr-BE"/>
        </w:rPr>
        <w:t xml:space="preserve"> / </w:t>
      </w:r>
      <w:r w:rsidR="00501DA0" w:rsidRPr="002124FC">
        <w:rPr>
          <w:noProof/>
          <w:sz w:val="20"/>
          <w:szCs w:val="20"/>
          <w:lang w:val="fr-BE"/>
        </w:rPr>
        <w:t>8i</w:t>
      </w:r>
      <w:bookmarkEnd w:id="11"/>
    </w:p>
    <w:p w14:paraId="07B94933" w14:textId="77777777" w:rsidR="008C5CFA" w:rsidRDefault="008C5CFA" w:rsidP="00300A01">
      <w:pPr>
        <w:keepNext/>
        <w:spacing w:before="0" w:after="0"/>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37"/>
        <w:gridCol w:w="4773"/>
        <w:gridCol w:w="730"/>
        <w:gridCol w:w="2130"/>
        <w:gridCol w:w="1504"/>
        <w:gridCol w:w="456"/>
        <w:gridCol w:w="596"/>
        <w:gridCol w:w="463"/>
        <w:gridCol w:w="536"/>
        <w:gridCol w:w="596"/>
        <w:gridCol w:w="476"/>
        <w:gridCol w:w="456"/>
        <w:gridCol w:w="596"/>
        <w:gridCol w:w="463"/>
        <w:gridCol w:w="596"/>
        <w:gridCol w:w="476"/>
      </w:tblGrid>
      <w:tr w:rsidR="006B2EC1" w14:paraId="53273D9F" w14:textId="77777777" w:rsidTr="0047688D">
        <w:trPr>
          <w:tblHeader/>
        </w:trPr>
        <w:tc>
          <w:tcPr>
            <w:tcW w:w="0" w:type="auto"/>
            <w:shd w:val="clear" w:color="auto" w:fill="auto"/>
          </w:tcPr>
          <w:p w14:paraId="6A39D0F0" w14:textId="77777777" w:rsidR="008C5CFA" w:rsidRPr="00F53019" w:rsidRDefault="00E82A60" w:rsidP="00300A01">
            <w:pPr>
              <w:spacing w:before="0" w:after="0"/>
              <w:rPr>
                <w:b/>
                <w:sz w:val="12"/>
                <w:szCs w:val="12"/>
                <w:lang w:val="fr-BE"/>
              </w:rPr>
            </w:pPr>
            <w:r w:rsidRPr="00F53019">
              <w:rPr>
                <w:b/>
                <w:noProof/>
                <w:sz w:val="12"/>
                <w:szCs w:val="12"/>
                <w:lang w:val="fr-BE"/>
              </w:rPr>
              <w:t>ID</w:t>
            </w:r>
          </w:p>
        </w:tc>
        <w:tc>
          <w:tcPr>
            <w:tcW w:w="0" w:type="auto"/>
            <w:shd w:val="clear" w:color="auto" w:fill="auto"/>
          </w:tcPr>
          <w:p w14:paraId="471175DB" w14:textId="77777777" w:rsidR="008C5CFA" w:rsidRPr="00F53019" w:rsidRDefault="00E82A60" w:rsidP="00300A01">
            <w:pPr>
              <w:spacing w:before="0" w:after="0"/>
              <w:rPr>
                <w:b/>
                <w:sz w:val="12"/>
                <w:szCs w:val="12"/>
                <w:lang w:val="fr-BE"/>
              </w:rPr>
            </w:pPr>
            <w:r w:rsidRPr="00F53019">
              <w:rPr>
                <w:b/>
                <w:noProof/>
                <w:sz w:val="12"/>
                <w:szCs w:val="12"/>
                <w:lang w:val="fr-BE"/>
              </w:rPr>
              <w:t>Wskaźnik</w:t>
            </w:r>
          </w:p>
        </w:tc>
        <w:tc>
          <w:tcPr>
            <w:tcW w:w="0" w:type="auto"/>
            <w:shd w:val="clear" w:color="auto" w:fill="auto"/>
          </w:tcPr>
          <w:p w14:paraId="03E33744" w14:textId="77777777" w:rsidR="008C5CFA" w:rsidRPr="00F53019" w:rsidRDefault="00E82A60" w:rsidP="00300A01">
            <w:pPr>
              <w:spacing w:before="0" w:after="0"/>
              <w:rPr>
                <w:b/>
                <w:sz w:val="12"/>
                <w:szCs w:val="12"/>
                <w:lang w:val="fr-BE"/>
              </w:rPr>
            </w:pPr>
            <w:r w:rsidRPr="00F53019">
              <w:rPr>
                <w:b/>
                <w:noProof/>
                <w:sz w:val="12"/>
                <w:szCs w:val="12"/>
                <w:lang w:val="fr-BE"/>
              </w:rPr>
              <w:t>Kategoria regionu</w:t>
            </w:r>
          </w:p>
        </w:tc>
        <w:tc>
          <w:tcPr>
            <w:tcW w:w="0" w:type="auto"/>
            <w:shd w:val="clear" w:color="auto" w:fill="auto"/>
          </w:tcPr>
          <w:p w14:paraId="3ECBE3FA" w14:textId="77777777" w:rsidR="008C5CFA" w:rsidRPr="00F53019" w:rsidRDefault="00E82A60" w:rsidP="00300A01">
            <w:pPr>
              <w:spacing w:before="0" w:after="0"/>
              <w:rPr>
                <w:b/>
                <w:sz w:val="12"/>
                <w:szCs w:val="12"/>
                <w:lang w:val="fr-BE"/>
              </w:rPr>
            </w:pPr>
            <w:r w:rsidRPr="00F53019">
              <w:rPr>
                <w:b/>
                <w:noProof/>
                <w:sz w:val="12"/>
                <w:szCs w:val="12"/>
                <w:lang w:val="fr-BE"/>
              </w:rPr>
              <w:t>Wspólny wskaźnik produktu stosowany jako podstawa ustalania celów</w:t>
            </w:r>
          </w:p>
        </w:tc>
        <w:tc>
          <w:tcPr>
            <w:tcW w:w="0" w:type="auto"/>
            <w:shd w:val="clear" w:color="auto" w:fill="auto"/>
          </w:tcPr>
          <w:p w14:paraId="2EF5B11B" w14:textId="77777777" w:rsidR="008C5CFA" w:rsidRPr="00F53019" w:rsidRDefault="00E82A60" w:rsidP="00300A01">
            <w:pPr>
              <w:spacing w:before="0" w:after="0"/>
              <w:rPr>
                <w:b/>
                <w:sz w:val="12"/>
                <w:szCs w:val="12"/>
                <w:lang w:val="fr-BE"/>
              </w:rPr>
            </w:pPr>
            <w:r w:rsidRPr="00F53019">
              <w:rPr>
                <w:b/>
                <w:noProof/>
                <w:sz w:val="12"/>
                <w:szCs w:val="12"/>
                <w:lang w:val="fr-BE"/>
              </w:rPr>
              <w:t>Jednostka pomiaru dla wartości bazowej i docelowej</w:t>
            </w:r>
          </w:p>
        </w:tc>
        <w:tc>
          <w:tcPr>
            <w:tcW w:w="0" w:type="auto"/>
            <w:gridSpan w:val="3"/>
            <w:shd w:val="clear" w:color="auto" w:fill="auto"/>
          </w:tcPr>
          <w:p w14:paraId="229836FF" w14:textId="77777777" w:rsidR="008C5CFA" w:rsidRPr="00F53019" w:rsidRDefault="00E82A60" w:rsidP="00300A01">
            <w:pPr>
              <w:spacing w:before="0" w:after="0"/>
              <w:jc w:val="center"/>
              <w:rPr>
                <w:b/>
                <w:sz w:val="12"/>
                <w:szCs w:val="12"/>
                <w:lang w:val="fr-BE"/>
              </w:rPr>
            </w:pPr>
            <w:r w:rsidRPr="00F53019">
              <w:rPr>
                <w:b/>
                <w:noProof/>
                <w:sz w:val="12"/>
                <w:szCs w:val="12"/>
                <w:lang w:val="fr-BE"/>
              </w:rPr>
              <w:t>Wartość docelowa (2023)</w:t>
            </w:r>
          </w:p>
        </w:tc>
        <w:tc>
          <w:tcPr>
            <w:tcW w:w="0" w:type="auto"/>
            <w:gridSpan w:val="3"/>
            <w:shd w:val="clear" w:color="auto" w:fill="auto"/>
          </w:tcPr>
          <w:p w14:paraId="4482947A" w14:textId="77777777" w:rsidR="008C5CFA" w:rsidRPr="00F53019" w:rsidRDefault="00E82A60" w:rsidP="00300A01">
            <w:pPr>
              <w:spacing w:before="0" w:after="0"/>
              <w:jc w:val="center"/>
              <w:rPr>
                <w:b/>
                <w:sz w:val="12"/>
                <w:szCs w:val="12"/>
                <w:lang w:val="fr-BE"/>
              </w:rPr>
            </w:pPr>
            <w:r w:rsidRPr="00F53019">
              <w:rPr>
                <w:b/>
                <w:noProof/>
                <w:sz w:val="12"/>
                <w:szCs w:val="12"/>
                <w:lang w:val="fr-BE"/>
              </w:rPr>
              <w:t>Wartość skumulowana</w:t>
            </w:r>
          </w:p>
        </w:tc>
        <w:tc>
          <w:tcPr>
            <w:tcW w:w="0" w:type="auto"/>
            <w:gridSpan w:val="3"/>
            <w:shd w:val="clear" w:color="auto" w:fill="auto"/>
          </w:tcPr>
          <w:p w14:paraId="6086DCDE" w14:textId="77777777" w:rsidR="008C5CFA" w:rsidRPr="00F53019" w:rsidRDefault="00E82A60" w:rsidP="00300A01">
            <w:pPr>
              <w:spacing w:before="0" w:after="0"/>
              <w:jc w:val="center"/>
              <w:rPr>
                <w:b/>
                <w:sz w:val="12"/>
                <w:szCs w:val="12"/>
                <w:lang w:val="fr-BE"/>
              </w:rPr>
            </w:pPr>
            <w:r w:rsidRPr="00F53019">
              <w:rPr>
                <w:b/>
                <w:noProof/>
                <w:sz w:val="12"/>
                <w:szCs w:val="12"/>
                <w:lang w:val="fr-BE"/>
              </w:rPr>
              <w:t>Wskaźnik osiągnięć</w:t>
            </w:r>
          </w:p>
        </w:tc>
        <w:tc>
          <w:tcPr>
            <w:tcW w:w="0" w:type="auto"/>
            <w:gridSpan w:val="2"/>
            <w:shd w:val="clear" w:color="auto" w:fill="auto"/>
          </w:tcPr>
          <w:p w14:paraId="30D4149B" w14:textId="77777777" w:rsidR="008C5CFA" w:rsidRPr="00F53019" w:rsidRDefault="00E82A60" w:rsidP="00300A01">
            <w:pPr>
              <w:spacing w:before="0" w:after="0"/>
              <w:jc w:val="center"/>
              <w:rPr>
                <w:b/>
                <w:sz w:val="12"/>
                <w:szCs w:val="12"/>
                <w:lang w:val="fr-BE"/>
              </w:rPr>
            </w:pPr>
            <w:r>
              <w:rPr>
                <w:b/>
                <w:sz w:val="12"/>
                <w:szCs w:val="12"/>
                <w:lang w:val="fr-BE"/>
              </w:rPr>
              <w:t>2019</w:t>
            </w:r>
          </w:p>
        </w:tc>
      </w:tr>
      <w:tr w:rsidR="006B2EC1" w14:paraId="26F48040" w14:textId="77777777" w:rsidTr="0047688D">
        <w:trPr>
          <w:tblHeader/>
        </w:trPr>
        <w:tc>
          <w:tcPr>
            <w:tcW w:w="0" w:type="auto"/>
            <w:shd w:val="clear" w:color="auto" w:fill="auto"/>
          </w:tcPr>
          <w:p w14:paraId="2373E943" w14:textId="77777777" w:rsidR="008C5CFA" w:rsidRPr="00F53019" w:rsidRDefault="008C5CFA" w:rsidP="00300A01">
            <w:pPr>
              <w:spacing w:before="0" w:after="0"/>
              <w:rPr>
                <w:b/>
                <w:sz w:val="12"/>
                <w:szCs w:val="12"/>
                <w:lang w:val="fr-BE"/>
              </w:rPr>
            </w:pPr>
          </w:p>
        </w:tc>
        <w:tc>
          <w:tcPr>
            <w:tcW w:w="0" w:type="auto"/>
            <w:shd w:val="clear" w:color="auto" w:fill="auto"/>
          </w:tcPr>
          <w:p w14:paraId="30C8636B" w14:textId="77777777" w:rsidR="008C5CFA" w:rsidRPr="00F53019" w:rsidRDefault="008C5CFA" w:rsidP="00300A01">
            <w:pPr>
              <w:spacing w:before="0" w:after="0"/>
              <w:rPr>
                <w:b/>
                <w:sz w:val="12"/>
                <w:szCs w:val="12"/>
                <w:lang w:val="fr-BE"/>
              </w:rPr>
            </w:pPr>
          </w:p>
        </w:tc>
        <w:tc>
          <w:tcPr>
            <w:tcW w:w="0" w:type="auto"/>
            <w:shd w:val="clear" w:color="auto" w:fill="auto"/>
          </w:tcPr>
          <w:p w14:paraId="129ABC91" w14:textId="77777777" w:rsidR="008C5CFA" w:rsidRPr="00F53019" w:rsidRDefault="008C5CFA" w:rsidP="00300A01">
            <w:pPr>
              <w:spacing w:before="0" w:after="0"/>
              <w:rPr>
                <w:b/>
                <w:sz w:val="12"/>
                <w:szCs w:val="12"/>
                <w:lang w:val="fr-BE"/>
              </w:rPr>
            </w:pPr>
          </w:p>
        </w:tc>
        <w:tc>
          <w:tcPr>
            <w:tcW w:w="0" w:type="auto"/>
            <w:shd w:val="clear" w:color="auto" w:fill="auto"/>
          </w:tcPr>
          <w:p w14:paraId="5540BF19" w14:textId="77777777" w:rsidR="008C5CFA" w:rsidRPr="00F53019" w:rsidRDefault="008C5CFA" w:rsidP="00300A01">
            <w:pPr>
              <w:spacing w:before="0" w:after="0"/>
              <w:rPr>
                <w:b/>
                <w:sz w:val="12"/>
                <w:szCs w:val="12"/>
                <w:lang w:val="fr-BE"/>
              </w:rPr>
            </w:pPr>
          </w:p>
        </w:tc>
        <w:tc>
          <w:tcPr>
            <w:tcW w:w="0" w:type="auto"/>
            <w:shd w:val="clear" w:color="auto" w:fill="auto"/>
          </w:tcPr>
          <w:p w14:paraId="2FEFF34E" w14:textId="77777777" w:rsidR="008C5CFA" w:rsidRPr="00F53019" w:rsidRDefault="008C5CFA" w:rsidP="00300A01">
            <w:pPr>
              <w:spacing w:before="0" w:after="0"/>
              <w:rPr>
                <w:b/>
                <w:sz w:val="12"/>
                <w:szCs w:val="12"/>
                <w:lang w:val="fr-BE"/>
              </w:rPr>
            </w:pPr>
          </w:p>
        </w:tc>
        <w:tc>
          <w:tcPr>
            <w:tcW w:w="0" w:type="auto"/>
            <w:shd w:val="clear" w:color="auto" w:fill="auto"/>
          </w:tcPr>
          <w:p w14:paraId="2355CD48" w14:textId="77777777" w:rsidR="008C5CFA" w:rsidRPr="00F53019" w:rsidRDefault="00E82A60" w:rsidP="00300A01">
            <w:pPr>
              <w:spacing w:before="0" w:after="0"/>
              <w:jc w:val="center"/>
              <w:rPr>
                <w:b/>
                <w:sz w:val="12"/>
                <w:szCs w:val="12"/>
                <w:lang w:val="fr-BE"/>
              </w:rPr>
            </w:pPr>
            <w:r w:rsidRPr="00F53019">
              <w:rPr>
                <w:b/>
                <w:noProof/>
                <w:sz w:val="12"/>
                <w:szCs w:val="12"/>
                <w:lang w:val="fr-BE"/>
              </w:rPr>
              <w:t>Ogółem</w:t>
            </w:r>
          </w:p>
        </w:tc>
        <w:tc>
          <w:tcPr>
            <w:tcW w:w="0" w:type="auto"/>
            <w:shd w:val="clear" w:color="auto" w:fill="auto"/>
          </w:tcPr>
          <w:p w14:paraId="2DB103BF" w14:textId="77777777" w:rsidR="008C5CFA" w:rsidRPr="00F53019" w:rsidRDefault="00E82A60"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14:paraId="7AE97FE3" w14:textId="77777777" w:rsidR="008C5CFA" w:rsidRPr="00F53019" w:rsidRDefault="00E82A60" w:rsidP="00300A01">
            <w:pPr>
              <w:spacing w:before="0" w:after="0"/>
              <w:jc w:val="center"/>
              <w:rPr>
                <w:b/>
                <w:sz w:val="12"/>
                <w:szCs w:val="12"/>
                <w:lang w:val="fr-BE"/>
              </w:rPr>
            </w:pPr>
            <w:r w:rsidRPr="00F53019">
              <w:rPr>
                <w:b/>
                <w:noProof/>
                <w:sz w:val="12"/>
                <w:szCs w:val="12"/>
                <w:lang w:val="fr-BE"/>
              </w:rPr>
              <w:t>Kobiety</w:t>
            </w:r>
          </w:p>
        </w:tc>
        <w:tc>
          <w:tcPr>
            <w:tcW w:w="0" w:type="auto"/>
            <w:shd w:val="clear" w:color="auto" w:fill="auto"/>
          </w:tcPr>
          <w:p w14:paraId="6ADC2EEF" w14:textId="77777777" w:rsidR="008C5CFA" w:rsidRPr="00F53019" w:rsidRDefault="00E82A60" w:rsidP="00300A01">
            <w:pPr>
              <w:spacing w:before="0" w:after="0"/>
              <w:jc w:val="center"/>
              <w:rPr>
                <w:b/>
                <w:sz w:val="12"/>
                <w:szCs w:val="12"/>
                <w:lang w:val="fr-BE"/>
              </w:rPr>
            </w:pPr>
            <w:r w:rsidRPr="00F53019">
              <w:rPr>
                <w:b/>
                <w:noProof/>
                <w:sz w:val="12"/>
                <w:szCs w:val="12"/>
                <w:lang w:val="fr-BE"/>
              </w:rPr>
              <w:t>Ogółem</w:t>
            </w:r>
          </w:p>
        </w:tc>
        <w:tc>
          <w:tcPr>
            <w:tcW w:w="0" w:type="auto"/>
            <w:shd w:val="clear" w:color="auto" w:fill="auto"/>
          </w:tcPr>
          <w:p w14:paraId="1C017040" w14:textId="77777777" w:rsidR="008C5CFA" w:rsidRPr="00F53019" w:rsidRDefault="00E82A60"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14:paraId="7E3C109A" w14:textId="77777777" w:rsidR="008C5CFA" w:rsidRPr="00F53019" w:rsidRDefault="00E82A60" w:rsidP="00300A01">
            <w:pPr>
              <w:spacing w:before="0" w:after="0"/>
              <w:jc w:val="center"/>
              <w:rPr>
                <w:b/>
                <w:sz w:val="12"/>
                <w:szCs w:val="12"/>
                <w:lang w:val="fr-BE"/>
              </w:rPr>
            </w:pPr>
            <w:r w:rsidRPr="00F53019">
              <w:rPr>
                <w:b/>
                <w:noProof/>
                <w:sz w:val="12"/>
                <w:szCs w:val="12"/>
                <w:lang w:val="fr-BE"/>
              </w:rPr>
              <w:t>Kobiety</w:t>
            </w:r>
          </w:p>
        </w:tc>
        <w:tc>
          <w:tcPr>
            <w:tcW w:w="0" w:type="auto"/>
            <w:shd w:val="clear" w:color="auto" w:fill="auto"/>
          </w:tcPr>
          <w:p w14:paraId="6155DD7A" w14:textId="77777777" w:rsidR="008C5CFA" w:rsidRPr="00F53019" w:rsidRDefault="00E82A60" w:rsidP="00300A01">
            <w:pPr>
              <w:spacing w:before="0" w:after="0"/>
              <w:jc w:val="center"/>
              <w:rPr>
                <w:b/>
                <w:sz w:val="12"/>
                <w:szCs w:val="12"/>
                <w:lang w:val="fr-BE"/>
              </w:rPr>
            </w:pPr>
            <w:r w:rsidRPr="00F53019">
              <w:rPr>
                <w:b/>
                <w:noProof/>
                <w:sz w:val="12"/>
                <w:szCs w:val="12"/>
                <w:lang w:val="fr-BE"/>
              </w:rPr>
              <w:t>Ogółem</w:t>
            </w:r>
          </w:p>
        </w:tc>
        <w:tc>
          <w:tcPr>
            <w:tcW w:w="0" w:type="auto"/>
            <w:shd w:val="clear" w:color="auto" w:fill="auto"/>
          </w:tcPr>
          <w:p w14:paraId="361E8323" w14:textId="77777777" w:rsidR="008C5CFA" w:rsidRPr="00F53019" w:rsidRDefault="00E82A60"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14:paraId="4B99AC2F" w14:textId="77777777" w:rsidR="008C5CFA" w:rsidRPr="00F53019" w:rsidRDefault="00E82A60" w:rsidP="00300A01">
            <w:pPr>
              <w:spacing w:before="0" w:after="0"/>
              <w:jc w:val="center"/>
              <w:rPr>
                <w:b/>
                <w:sz w:val="12"/>
                <w:szCs w:val="12"/>
                <w:lang w:val="fr-BE"/>
              </w:rPr>
            </w:pPr>
            <w:r w:rsidRPr="00F53019">
              <w:rPr>
                <w:b/>
                <w:noProof/>
                <w:sz w:val="12"/>
                <w:szCs w:val="12"/>
                <w:lang w:val="fr-BE"/>
              </w:rPr>
              <w:t>Kobiety</w:t>
            </w:r>
          </w:p>
        </w:tc>
        <w:tc>
          <w:tcPr>
            <w:tcW w:w="0" w:type="auto"/>
            <w:shd w:val="clear" w:color="auto" w:fill="auto"/>
          </w:tcPr>
          <w:p w14:paraId="616F5213" w14:textId="77777777" w:rsidR="008C5CFA" w:rsidRPr="00F53019" w:rsidRDefault="00E82A60"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14:paraId="06AC9C4A" w14:textId="77777777" w:rsidR="008C5CFA" w:rsidRPr="00F53019" w:rsidRDefault="00E82A60" w:rsidP="00300A01">
            <w:pPr>
              <w:spacing w:before="0" w:after="0"/>
              <w:jc w:val="center"/>
              <w:rPr>
                <w:b/>
                <w:sz w:val="12"/>
                <w:szCs w:val="12"/>
                <w:lang w:val="fr-BE"/>
              </w:rPr>
            </w:pPr>
            <w:r w:rsidRPr="00F53019">
              <w:rPr>
                <w:b/>
                <w:noProof/>
                <w:sz w:val="12"/>
                <w:szCs w:val="12"/>
                <w:lang w:val="fr-BE"/>
              </w:rPr>
              <w:t>Kobiety</w:t>
            </w:r>
          </w:p>
        </w:tc>
      </w:tr>
      <w:tr w:rsidR="006B2EC1" w14:paraId="3CF9312B" w14:textId="77777777" w:rsidTr="0047688D">
        <w:tc>
          <w:tcPr>
            <w:tcW w:w="0" w:type="auto"/>
            <w:shd w:val="clear" w:color="auto" w:fill="auto"/>
          </w:tcPr>
          <w:p w14:paraId="0CE8E807" w14:textId="77777777" w:rsidR="008C5CFA" w:rsidRPr="00BA47B4" w:rsidRDefault="00E82A60" w:rsidP="00300A01">
            <w:pPr>
              <w:spacing w:before="0" w:after="0"/>
              <w:rPr>
                <w:sz w:val="12"/>
                <w:szCs w:val="12"/>
                <w:lang w:val="fr-BE"/>
              </w:rPr>
            </w:pPr>
            <w:r w:rsidRPr="00BA47B4">
              <w:rPr>
                <w:noProof/>
                <w:sz w:val="12"/>
                <w:szCs w:val="12"/>
                <w:lang w:val="fr-BE"/>
              </w:rPr>
              <w:t>CR01</w:t>
            </w:r>
          </w:p>
        </w:tc>
        <w:tc>
          <w:tcPr>
            <w:tcW w:w="0" w:type="auto"/>
            <w:shd w:val="clear" w:color="auto" w:fill="auto"/>
          </w:tcPr>
          <w:p w14:paraId="5E1A00AD" w14:textId="77777777" w:rsidR="008C5CFA" w:rsidRPr="00BA47B4" w:rsidRDefault="00E82A60" w:rsidP="00300A01">
            <w:pPr>
              <w:spacing w:before="0" w:after="0"/>
              <w:rPr>
                <w:sz w:val="12"/>
                <w:szCs w:val="12"/>
                <w:lang w:val="fr-BE"/>
              </w:rPr>
            </w:pPr>
            <w:r w:rsidRPr="00BA47B4">
              <w:rPr>
                <w:noProof/>
                <w:sz w:val="12"/>
                <w:szCs w:val="12"/>
                <w:lang w:val="fr-BE"/>
              </w:rPr>
              <w:t>bierni zawodowo uczestnicy poszukujący pracy po opuszczeniu programu</w:t>
            </w:r>
          </w:p>
        </w:tc>
        <w:tc>
          <w:tcPr>
            <w:tcW w:w="0" w:type="auto"/>
            <w:shd w:val="clear" w:color="auto" w:fill="auto"/>
          </w:tcPr>
          <w:p w14:paraId="2698C62A" w14:textId="77777777" w:rsidR="008C5CFA" w:rsidRPr="00BA47B4" w:rsidRDefault="00E82A60" w:rsidP="00300A01">
            <w:pPr>
              <w:spacing w:before="0" w:after="0"/>
              <w:rPr>
                <w:sz w:val="12"/>
                <w:szCs w:val="12"/>
                <w:lang w:val="fr-BE"/>
              </w:rPr>
            </w:pPr>
            <w:r w:rsidRPr="00BA47B4">
              <w:rPr>
                <w:noProof/>
                <w:sz w:val="12"/>
                <w:szCs w:val="12"/>
                <w:lang w:val="fr-BE"/>
              </w:rPr>
              <w:t>Słabiej rozwinięte</w:t>
            </w:r>
          </w:p>
        </w:tc>
        <w:tc>
          <w:tcPr>
            <w:tcW w:w="0" w:type="auto"/>
            <w:shd w:val="clear" w:color="auto" w:fill="auto"/>
          </w:tcPr>
          <w:p w14:paraId="4DF70084" w14:textId="77777777" w:rsidR="008C5CFA" w:rsidRPr="00BA47B4" w:rsidRDefault="00E82A60" w:rsidP="00300A01">
            <w:pPr>
              <w:spacing w:before="0" w:after="0"/>
              <w:rPr>
                <w:sz w:val="12"/>
                <w:szCs w:val="12"/>
                <w:lang w:val="fr-BE"/>
              </w:rPr>
            </w:pPr>
            <w:r w:rsidRPr="00BA47B4">
              <w:rPr>
                <w:sz w:val="12"/>
                <w:szCs w:val="12"/>
                <w:lang w:val="fr-BE"/>
              </w:rPr>
              <w:t xml:space="preserve"> </w:t>
            </w:r>
          </w:p>
        </w:tc>
        <w:tc>
          <w:tcPr>
            <w:tcW w:w="0" w:type="auto"/>
            <w:shd w:val="clear" w:color="auto" w:fill="auto"/>
          </w:tcPr>
          <w:p w14:paraId="17DB97D4" w14:textId="77777777" w:rsidR="008C5CFA" w:rsidRPr="00BA47B4" w:rsidRDefault="008C5CFA" w:rsidP="00300A01">
            <w:pPr>
              <w:spacing w:before="0" w:after="0"/>
              <w:jc w:val="center"/>
              <w:rPr>
                <w:sz w:val="12"/>
                <w:szCs w:val="12"/>
                <w:lang w:val="fr-BE"/>
              </w:rPr>
            </w:pPr>
          </w:p>
        </w:tc>
        <w:tc>
          <w:tcPr>
            <w:tcW w:w="0" w:type="auto"/>
            <w:shd w:val="clear" w:color="auto" w:fill="auto"/>
          </w:tcPr>
          <w:p w14:paraId="5E5C6B9E" w14:textId="77777777" w:rsidR="008C5CFA" w:rsidRPr="00BA47B4" w:rsidRDefault="008C5CFA" w:rsidP="00300A01">
            <w:pPr>
              <w:spacing w:before="0" w:after="0"/>
              <w:jc w:val="right"/>
              <w:rPr>
                <w:sz w:val="12"/>
                <w:szCs w:val="12"/>
                <w:lang w:val="fr-BE"/>
              </w:rPr>
            </w:pPr>
          </w:p>
        </w:tc>
        <w:tc>
          <w:tcPr>
            <w:tcW w:w="0" w:type="auto"/>
            <w:shd w:val="clear" w:color="auto" w:fill="auto"/>
          </w:tcPr>
          <w:p w14:paraId="1A9970CE" w14:textId="77777777" w:rsidR="008C5CFA" w:rsidRPr="00BA47B4" w:rsidRDefault="008C5CFA" w:rsidP="00300A01">
            <w:pPr>
              <w:spacing w:before="0" w:after="0"/>
              <w:jc w:val="right"/>
              <w:rPr>
                <w:sz w:val="12"/>
                <w:szCs w:val="12"/>
                <w:lang w:val="fr-BE"/>
              </w:rPr>
            </w:pPr>
          </w:p>
        </w:tc>
        <w:tc>
          <w:tcPr>
            <w:tcW w:w="0" w:type="auto"/>
            <w:shd w:val="clear" w:color="auto" w:fill="auto"/>
          </w:tcPr>
          <w:p w14:paraId="0B89519A" w14:textId="77777777" w:rsidR="008C5CFA" w:rsidRPr="00BA47B4" w:rsidRDefault="008C5CFA" w:rsidP="00300A01">
            <w:pPr>
              <w:spacing w:before="0" w:after="0"/>
              <w:jc w:val="right"/>
              <w:rPr>
                <w:sz w:val="12"/>
                <w:szCs w:val="12"/>
                <w:lang w:val="fr-BE"/>
              </w:rPr>
            </w:pPr>
          </w:p>
        </w:tc>
        <w:tc>
          <w:tcPr>
            <w:tcW w:w="0" w:type="auto"/>
            <w:shd w:val="clear" w:color="auto" w:fill="auto"/>
          </w:tcPr>
          <w:p w14:paraId="2E0C2E5A" w14:textId="77777777" w:rsidR="008C5CFA" w:rsidRPr="00BA47B4" w:rsidRDefault="00E82A60" w:rsidP="00300A01">
            <w:pPr>
              <w:spacing w:before="0" w:after="0"/>
              <w:jc w:val="right"/>
              <w:rPr>
                <w:sz w:val="12"/>
                <w:szCs w:val="12"/>
                <w:lang w:val="fr-BE"/>
              </w:rPr>
            </w:pPr>
            <w:r w:rsidRPr="00BA47B4">
              <w:rPr>
                <w:noProof/>
                <w:sz w:val="12"/>
                <w:szCs w:val="12"/>
                <w:lang w:val="fr-BE"/>
              </w:rPr>
              <w:t>70,00</w:t>
            </w:r>
          </w:p>
        </w:tc>
        <w:tc>
          <w:tcPr>
            <w:tcW w:w="0" w:type="auto"/>
            <w:shd w:val="clear" w:color="auto" w:fill="auto"/>
          </w:tcPr>
          <w:p w14:paraId="245B0F62" w14:textId="77777777" w:rsidR="008C5CFA" w:rsidRPr="00BA47B4" w:rsidRDefault="00E82A60" w:rsidP="00300A01">
            <w:pPr>
              <w:spacing w:before="0" w:after="0"/>
              <w:jc w:val="right"/>
              <w:rPr>
                <w:sz w:val="12"/>
                <w:szCs w:val="12"/>
                <w:lang w:val="fr-BE"/>
              </w:rPr>
            </w:pPr>
            <w:r w:rsidRPr="00BA47B4">
              <w:rPr>
                <w:noProof/>
                <w:sz w:val="12"/>
                <w:szCs w:val="12"/>
                <w:lang w:val="fr-BE"/>
              </w:rPr>
              <w:t>33,00</w:t>
            </w:r>
          </w:p>
        </w:tc>
        <w:tc>
          <w:tcPr>
            <w:tcW w:w="0" w:type="auto"/>
            <w:shd w:val="clear" w:color="auto" w:fill="auto"/>
          </w:tcPr>
          <w:p w14:paraId="5469F087" w14:textId="77777777" w:rsidR="008C5CFA" w:rsidRPr="00BA47B4" w:rsidRDefault="00E82A60" w:rsidP="00300A01">
            <w:pPr>
              <w:spacing w:before="0" w:after="0"/>
              <w:jc w:val="right"/>
              <w:rPr>
                <w:sz w:val="12"/>
                <w:szCs w:val="12"/>
                <w:lang w:val="fr-BE"/>
              </w:rPr>
            </w:pPr>
            <w:r w:rsidRPr="00BA47B4">
              <w:rPr>
                <w:noProof/>
                <w:sz w:val="12"/>
                <w:szCs w:val="12"/>
                <w:lang w:val="fr-BE"/>
              </w:rPr>
              <w:t>37,00</w:t>
            </w:r>
          </w:p>
        </w:tc>
        <w:tc>
          <w:tcPr>
            <w:tcW w:w="0" w:type="auto"/>
            <w:shd w:val="clear" w:color="auto" w:fill="auto"/>
          </w:tcPr>
          <w:p w14:paraId="7F3D4148" w14:textId="77777777" w:rsidR="008C5CFA" w:rsidRPr="00BA47B4" w:rsidRDefault="008C5CFA" w:rsidP="00300A01">
            <w:pPr>
              <w:spacing w:before="0" w:after="0"/>
              <w:jc w:val="right"/>
              <w:rPr>
                <w:sz w:val="12"/>
                <w:szCs w:val="12"/>
                <w:lang w:val="fr-BE"/>
              </w:rPr>
            </w:pPr>
          </w:p>
        </w:tc>
        <w:tc>
          <w:tcPr>
            <w:tcW w:w="0" w:type="auto"/>
            <w:shd w:val="clear" w:color="auto" w:fill="auto"/>
          </w:tcPr>
          <w:p w14:paraId="6BFE69FB" w14:textId="77777777" w:rsidR="008C5CFA" w:rsidRPr="00BA47B4" w:rsidRDefault="008C5CFA" w:rsidP="00300A01">
            <w:pPr>
              <w:spacing w:before="0" w:after="0"/>
              <w:jc w:val="right"/>
              <w:rPr>
                <w:sz w:val="12"/>
                <w:szCs w:val="12"/>
                <w:lang w:val="fr-BE"/>
              </w:rPr>
            </w:pPr>
          </w:p>
        </w:tc>
        <w:tc>
          <w:tcPr>
            <w:tcW w:w="0" w:type="auto"/>
            <w:shd w:val="clear" w:color="auto" w:fill="auto"/>
          </w:tcPr>
          <w:p w14:paraId="1A34A1B8" w14:textId="77777777" w:rsidR="008C5CFA" w:rsidRPr="00BA47B4" w:rsidRDefault="008C5CFA" w:rsidP="00300A01">
            <w:pPr>
              <w:spacing w:before="0" w:after="0"/>
              <w:jc w:val="right"/>
              <w:rPr>
                <w:sz w:val="12"/>
                <w:szCs w:val="12"/>
                <w:lang w:val="fr-BE"/>
              </w:rPr>
            </w:pPr>
          </w:p>
        </w:tc>
        <w:tc>
          <w:tcPr>
            <w:tcW w:w="0" w:type="auto"/>
            <w:shd w:val="clear" w:color="auto" w:fill="auto"/>
          </w:tcPr>
          <w:p w14:paraId="702CDA18" w14:textId="77777777" w:rsidR="008C5CFA" w:rsidRPr="00BA47B4" w:rsidRDefault="00E82A60" w:rsidP="00300A01">
            <w:pPr>
              <w:spacing w:before="0" w:after="0"/>
              <w:jc w:val="right"/>
              <w:rPr>
                <w:sz w:val="12"/>
                <w:szCs w:val="12"/>
                <w:lang w:val="fr-BE"/>
              </w:rPr>
            </w:pPr>
            <w:r w:rsidRPr="00BA47B4">
              <w:rPr>
                <w:noProof/>
                <w:sz w:val="12"/>
                <w:szCs w:val="12"/>
                <w:lang w:val="fr-BE"/>
              </w:rPr>
              <w:t>1,00</w:t>
            </w:r>
          </w:p>
        </w:tc>
        <w:tc>
          <w:tcPr>
            <w:tcW w:w="0" w:type="auto"/>
            <w:shd w:val="clear" w:color="auto" w:fill="auto"/>
          </w:tcPr>
          <w:p w14:paraId="03B7CB26" w14:textId="77777777" w:rsidR="008C5CFA" w:rsidRPr="00BA47B4" w:rsidRDefault="00E82A60" w:rsidP="00300A01">
            <w:pPr>
              <w:spacing w:before="0" w:after="0"/>
              <w:jc w:val="right"/>
              <w:rPr>
                <w:sz w:val="12"/>
                <w:szCs w:val="12"/>
                <w:lang w:val="fr-BE"/>
              </w:rPr>
            </w:pPr>
            <w:r w:rsidRPr="00BA47B4">
              <w:rPr>
                <w:noProof/>
                <w:sz w:val="12"/>
                <w:szCs w:val="12"/>
                <w:lang w:val="fr-BE"/>
              </w:rPr>
              <w:t>6,00</w:t>
            </w:r>
          </w:p>
        </w:tc>
      </w:tr>
      <w:tr w:rsidR="006B2EC1" w14:paraId="78BEEDF9" w14:textId="77777777" w:rsidTr="0047688D">
        <w:tc>
          <w:tcPr>
            <w:tcW w:w="0" w:type="auto"/>
            <w:shd w:val="clear" w:color="auto" w:fill="auto"/>
          </w:tcPr>
          <w:p w14:paraId="3EE01996" w14:textId="77777777" w:rsidR="008C5CFA" w:rsidRPr="00BA47B4" w:rsidRDefault="00E82A60" w:rsidP="00300A01">
            <w:pPr>
              <w:spacing w:before="0" w:after="0"/>
              <w:rPr>
                <w:sz w:val="12"/>
                <w:szCs w:val="12"/>
                <w:lang w:val="fr-BE"/>
              </w:rPr>
            </w:pPr>
            <w:r w:rsidRPr="00BA47B4">
              <w:rPr>
                <w:noProof/>
                <w:sz w:val="12"/>
                <w:szCs w:val="12"/>
                <w:lang w:val="fr-BE"/>
              </w:rPr>
              <w:t>CR02</w:t>
            </w:r>
          </w:p>
        </w:tc>
        <w:tc>
          <w:tcPr>
            <w:tcW w:w="0" w:type="auto"/>
            <w:shd w:val="clear" w:color="auto" w:fill="auto"/>
          </w:tcPr>
          <w:p w14:paraId="3642569A" w14:textId="77777777" w:rsidR="008C5CFA" w:rsidRPr="00BA47B4" w:rsidRDefault="00E82A60" w:rsidP="00300A01">
            <w:pPr>
              <w:spacing w:before="0" w:after="0"/>
              <w:rPr>
                <w:sz w:val="12"/>
                <w:szCs w:val="12"/>
                <w:lang w:val="fr-BE"/>
              </w:rPr>
            </w:pPr>
            <w:r w:rsidRPr="00BA47B4">
              <w:rPr>
                <w:noProof/>
                <w:sz w:val="12"/>
                <w:szCs w:val="12"/>
                <w:lang w:val="fr-BE"/>
              </w:rPr>
              <w:t>uczestnicy kształcący lub szkolący się po opuszczeniu programu</w:t>
            </w:r>
          </w:p>
        </w:tc>
        <w:tc>
          <w:tcPr>
            <w:tcW w:w="0" w:type="auto"/>
            <w:shd w:val="clear" w:color="auto" w:fill="auto"/>
          </w:tcPr>
          <w:p w14:paraId="2A0113E2" w14:textId="77777777" w:rsidR="008C5CFA" w:rsidRPr="00BA47B4" w:rsidRDefault="00E82A60" w:rsidP="00300A01">
            <w:pPr>
              <w:spacing w:before="0" w:after="0"/>
              <w:rPr>
                <w:sz w:val="12"/>
                <w:szCs w:val="12"/>
                <w:lang w:val="fr-BE"/>
              </w:rPr>
            </w:pPr>
            <w:r w:rsidRPr="00BA47B4">
              <w:rPr>
                <w:noProof/>
                <w:sz w:val="12"/>
                <w:szCs w:val="12"/>
                <w:lang w:val="fr-BE"/>
              </w:rPr>
              <w:t>Słabiej rozwinięte</w:t>
            </w:r>
          </w:p>
        </w:tc>
        <w:tc>
          <w:tcPr>
            <w:tcW w:w="0" w:type="auto"/>
            <w:shd w:val="clear" w:color="auto" w:fill="auto"/>
          </w:tcPr>
          <w:p w14:paraId="066498F3" w14:textId="77777777" w:rsidR="008C5CFA" w:rsidRPr="00BA47B4" w:rsidRDefault="00E82A60" w:rsidP="00300A01">
            <w:pPr>
              <w:spacing w:before="0" w:after="0"/>
              <w:rPr>
                <w:sz w:val="12"/>
                <w:szCs w:val="12"/>
                <w:lang w:val="fr-BE"/>
              </w:rPr>
            </w:pPr>
            <w:r w:rsidRPr="00BA47B4">
              <w:rPr>
                <w:sz w:val="12"/>
                <w:szCs w:val="12"/>
                <w:lang w:val="fr-BE"/>
              </w:rPr>
              <w:t xml:space="preserve"> </w:t>
            </w:r>
          </w:p>
        </w:tc>
        <w:tc>
          <w:tcPr>
            <w:tcW w:w="0" w:type="auto"/>
            <w:shd w:val="clear" w:color="auto" w:fill="auto"/>
          </w:tcPr>
          <w:p w14:paraId="5C4C5F91" w14:textId="77777777" w:rsidR="008C5CFA" w:rsidRPr="00BA47B4" w:rsidRDefault="008C5CFA" w:rsidP="00300A01">
            <w:pPr>
              <w:spacing w:before="0" w:after="0"/>
              <w:jc w:val="center"/>
              <w:rPr>
                <w:sz w:val="12"/>
                <w:szCs w:val="12"/>
                <w:lang w:val="fr-BE"/>
              </w:rPr>
            </w:pPr>
          </w:p>
        </w:tc>
        <w:tc>
          <w:tcPr>
            <w:tcW w:w="0" w:type="auto"/>
            <w:shd w:val="clear" w:color="auto" w:fill="auto"/>
          </w:tcPr>
          <w:p w14:paraId="78FB2DD7" w14:textId="77777777" w:rsidR="008C5CFA" w:rsidRPr="00BA47B4" w:rsidRDefault="008C5CFA" w:rsidP="00300A01">
            <w:pPr>
              <w:spacing w:before="0" w:after="0"/>
              <w:jc w:val="right"/>
              <w:rPr>
                <w:sz w:val="12"/>
                <w:szCs w:val="12"/>
                <w:lang w:val="fr-BE"/>
              </w:rPr>
            </w:pPr>
          </w:p>
        </w:tc>
        <w:tc>
          <w:tcPr>
            <w:tcW w:w="0" w:type="auto"/>
            <w:shd w:val="clear" w:color="auto" w:fill="auto"/>
          </w:tcPr>
          <w:p w14:paraId="571A8E16" w14:textId="77777777" w:rsidR="008C5CFA" w:rsidRPr="00BA47B4" w:rsidRDefault="008C5CFA" w:rsidP="00300A01">
            <w:pPr>
              <w:spacing w:before="0" w:after="0"/>
              <w:jc w:val="right"/>
              <w:rPr>
                <w:sz w:val="12"/>
                <w:szCs w:val="12"/>
                <w:lang w:val="fr-BE"/>
              </w:rPr>
            </w:pPr>
          </w:p>
        </w:tc>
        <w:tc>
          <w:tcPr>
            <w:tcW w:w="0" w:type="auto"/>
            <w:shd w:val="clear" w:color="auto" w:fill="auto"/>
          </w:tcPr>
          <w:p w14:paraId="30C9BAEF" w14:textId="77777777" w:rsidR="008C5CFA" w:rsidRPr="00BA47B4" w:rsidRDefault="008C5CFA" w:rsidP="00300A01">
            <w:pPr>
              <w:spacing w:before="0" w:after="0"/>
              <w:jc w:val="right"/>
              <w:rPr>
                <w:sz w:val="12"/>
                <w:szCs w:val="12"/>
                <w:lang w:val="fr-BE"/>
              </w:rPr>
            </w:pPr>
          </w:p>
        </w:tc>
        <w:tc>
          <w:tcPr>
            <w:tcW w:w="0" w:type="auto"/>
            <w:shd w:val="clear" w:color="auto" w:fill="auto"/>
          </w:tcPr>
          <w:p w14:paraId="46152D9A" w14:textId="77777777" w:rsidR="008C5CFA" w:rsidRPr="00BA47B4" w:rsidRDefault="00E82A60" w:rsidP="00300A01">
            <w:pPr>
              <w:spacing w:before="0" w:after="0"/>
              <w:jc w:val="right"/>
              <w:rPr>
                <w:sz w:val="12"/>
                <w:szCs w:val="12"/>
                <w:lang w:val="fr-BE"/>
              </w:rPr>
            </w:pPr>
            <w:r w:rsidRPr="00BA47B4">
              <w:rPr>
                <w:noProof/>
                <w:sz w:val="12"/>
                <w:szCs w:val="12"/>
                <w:lang w:val="fr-BE"/>
              </w:rPr>
              <w:t>36,00</w:t>
            </w:r>
          </w:p>
        </w:tc>
        <w:tc>
          <w:tcPr>
            <w:tcW w:w="0" w:type="auto"/>
            <w:shd w:val="clear" w:color="auto" w:fill="auto"/>
          </w:tcPr>
          <w:p w14:paraId="3583516D" w14:textId="77777777" w:rsidR="008C5CFA" w:rsidRPr="00BA47B4" w:rsidRDefault="00E82A60" w:rsidP="00300A01">
            <w:pPr>
              <w:spacing w:before="0" w:after="0"/>
              <w:jc w:val="right"/>
              <w:rPr>
                <w:sz w:val="12"/>
                <w:szCs w:val="12"/>
                <w:lang w:val="fr-BE"/>
              </w:rPr>
            </w:pPr>
            <w:r w:rsidRPr="00BA47B4">
              <w:rPr>
                <w:noProof/>
                <w:sz w:val="12"/>
                <w:szCs w:val="12"/>
                <w:lang w:val="fr-BE"/>
              </w:rPr>
              <w:t>11,00</w:t>
            </w:r>
          </w:p>
        </w:tc>
        <w:tc>
          <w:tcPr>
            <w:tcW w:w="0" w:type="auto"/>
            <w:shd w:val="clear" w:color="auto" w:fill="auto"/>
          </w:tcPr>
          <w:p w14:paraId="09D78C55" w14:textId="77777777" w:rsidR="008C5CFA" w:rsidRPr="00BA47B4" w:rsidRDefault="00E82A60" w:rsidP="00300A01">
            <w:pPr>
              <w:spacing w:before="0" w:after="0"/>
              <w:jc w:val="right"/>
              <w:rPr>
                <w:sz w:val="12"/>
                <w:szCs w:val="12"/>
                <w:lang w:val="fr-BE"/>
              </w:rPr>
            </w:pPr>
            <w:r w:rsidRPr="00BA47B4">
              <w:rPr>
                <w:noProof/>
                <w:sz w:val="12"/>
                <w:szCs w:val="12"/>
                <w:lang w:val="fr-BE"/>
              </w:rPr>
              <w:t>25,00</w:t>
            </w:r>
          </w:p>
        </w:tc>
        <w:tc>
          <w:tcPr>
            <w:tcW w:w="0" w:type="auto"/>
            <w:shd w:val="clear" w:color="auto" w:fill="auto"/>
          </w:tcPr>
          <w:p w14:paraId="2D2F422A" w14:textId="77777777" w:rsidR="008C5CFA" w:rsidRPr="00BA47B4" w:rsidRDefault="008C5CFA" w:rsidP="00300A01">
            <w:pPr>
              <w:spacing w:before="0" w:after="0"/>
              <w:jc w:val="right"/>
              <w:rPr>
                <w:sz w:val="12"/>
                <w:szCs w:val="12"/>
                <w:lang w:val="fr-BE"/>
              </w:rPr>
            </w:pPr>
          </w:p>
        </w:tc>
        <w:tc>
          <w:tcPr>
            <w:tcW w:w="0" w:type="auto"/>
            <w:shd w:val="clear" w:color="auto" w:fill="auto"/>
          </w:tcPr>
          <w:p w14:paraId="090A2253" w14:textId="77777777" w:rsidR="008C5CFA" w:rsidRPr="00BA47B4" w:rsidRDefault="008C5CFA" w:rsidP="00300A01">
            <w:pPr>
              <w:spacing w:before="0" w:after="0"/>
              <w:jc w:val="right"/>
              <w:rPr>
                <w:sz w:val="12"/>
                <w:szCs w:val="12"/>
                <w:lang w:val="fr-BE"/>
              </w:rPr>
            </w:pPr>
          </w:p>
        </w:tc>
        <w:tc>
          <w:tcPr>
            <w:tcW w:w="0" w:type="auto"/>
            <w:shd w:val="clear" w:color="auto" w:fill="auto"/>
          </w:tcPr>
          <w:p w14:paraId="64D36E31" w14:textId="77777777" w:rsidR="008C5CFA" w:rsidRPr="00BA47B4" w:rsidRDefault="008C5CFA" w:rsidP="00300A01">
            <w:pPr>
              <w:spacing w:before="0" w:after="0"/>
              <w:jc w:val="right"/>
              <w:rPr>
                <w:sz w:val="12"/>
                <w:szCs w:val="12"/>
                <w:lang w:val="fr-BE"/>
              </w:rPr>
            </w:pPr>
          </w:p>
        </w:tc>
        <w:tc>
          <w:tcPr>
            <w:tcW w:w="0" w:type="auto"/>
            <w:shd w:val="clear" w:color="auto" w:fill="auto"/>
          </w:tcPr>
          <w:p w14:paraId="1E3735CE" w14:textId="77777777" w:rsidR="008C5CFA" w:rsidRPr="00BA47B4" w:rsidRDefault="00E82A60" w:rsidP="00300A01">
            <w:pPr>
              <w:spacing w:before="0" w:after="0"/>
              <w:jc w:val="right"/>
              <w:rPr>
                <w:sz w:val="12"/>
                <w:szCs w:val="12"/>
                <w:lang w:val="fr-BE"/>
              </w:rPr>
            </w:pPr>
            <w:r w:rsidRPr="00BA47B4">
              <w:rPr>
                <w:noProof/>
                <w:sz w:val="12"/>
                <w:szCs w:val="12"/>
                <w:lang w:val="fr-BE"/>
              </w:rPr>
              <w:t>2,00</w:t>
            </w:r>
          </w:p>
        </w:tc>
        <w:tc>
          <w:tcPr>
            <w:tcW w:w="0" w:type="auto"/>
            <w:shd w:val="clear" w:color="auto" w:fill="auto"/>
          </w:tcPr>
          <w:p w14:paraId="4717D7CF" w14:textId="77777777" w:rsidR="008C5CFA" w:rsidRPr="00BA47B4" w:rsidRDefault="00E82A60" w:rsidP="00300A01">
            <w:pPr>
              <w:spacing w:before="0" w:after="0"/>
              <w:jc w:val="right"/>
              <w:rPr>
                <w:sz w:val="12"/>
                <w:szCs w:val="12"/>
                <w:lang w:val="fr-BE"/>
              </w:rPr>
            </w:pPr>
            <w:r w:rsidRPr="00BA47B4">
              <w:rPr>
                <w:noProof/>
                <w:sz w:val="12"/>
                <w:szCs w:val="12"/>
                <w:lang w:val="fr-BE"/>
              </w:rPr>
              <w:t>3,00</w:t>
            </w:r>
          </w:p>
        </w:tc>
      </w:tr>
      <w:tr w:rsidR="006B2EC1" w14:paraId="47513D74" w14:textId="77777777" w:rsidTr="0047688D">
        <w:tc>
          <w:tcPr>
            <w:tcW w:w="0" w:type="auto"/>
            <w:shd w:val="clear" w:color="auto" w:fill="auto"/>
          </w:tcPr>
          <w:p w14:paraId="4FBC5820" w14:textId="77777777" w:rsidR="008C5CFA" w:rsidRPr="00BA47B4" w:rsidRDefault="00E82A60" w:rsidP="00300A01">
            <w:pPr>
              <w:spacing w:before="0" w:after="0"/>
              <w:rPr>
                <w:sz w:val="12"/>
                <w:szCs w:val="12"/>
                <w:lang w:val="fr-BE"/>
              </w:rPr>
            </w:pPr>
            <w:r w:rsidRPr="00BA47B4">
              <w:rPr>
                <w:noProof/>
                <w:sz w:val="12"/>
                <w:szCs w:val="12"/>
                <w:lang w:val="fr-BE"/>
              </w:rPr>
              <w:t>CR03</w:t>
            </w:r>
          </w:p>
        </w:tc>
        <w:tc>
          <w:tcPr>
            <w:tcW w:w="0" w:type="auto"/>
            <w:shd w:val="clear" w:color="auto" w:fill="auto"/>
          </w:tcPr>
          <w:p w14:paraId="078DA868" w14:textId="77777777" w:rsidR="008C5CFA" w:rsidRPr="00BA47B4" w:rsidRDefault="00E82A60" w:rsidP="00300A01">
            <w:pPr>
              <w:spacing w:before="0" w:after="0"/>
              <w:rPr>
                <w:sz w:val="12"/>
                <w:szCs w:val="12"/>
                <w:lang w:val="fr-BE"/>
              </w:rPr>
            </w:pPr>
            <w:r w:rsidRPr="00BA47B4">
              <w:rPr>
                <w:noProof/>
                <w:sz w:val="12"/>
                <w:szCs w:val="12"/>
                <w:lang w:val="fr-BE"/>
              </w:rPr>
              <w:t>uczestnicy uzyskujący kwalifikacje po opuszczeniu programu</w:t>
            </w:r>
          </w:p>
        </w:tc>
        <w:tc>
          <w:tcPr>
            <w:tcW w:w="0" w:type="auto"/>
            <w:shd w:val="clear" w:color="auto" w:fill="auto"/>
          </w:tcPr>
          <w:p w14:paraId="60825D05" w14:textId="77777777" w:rsidR="008C5CFA" w:rsidRPr="00BA47B4" w:rsidRDefault="00E82A60" w:rsidP="00300A01">
            <w:pPr>
              <w:spacing w:before="0" w:after="0"/>
              <w:rPr>
                <w:sz w:val="12"/>
                <w:szCs w:val="12"/>
                <w:lang w:val="fr-BE"/>
              </w:rPr>
            </w:pPr>
            <w:r w:rsidRPr="00BA47B4">
              <w:rPr>
                <w:noProof/>
                <w:sz w:val="12"/>
                <w:szCs w:val="12"/>
                <w:lang w:val="fr-BE"/>
              </w:rPr>
              <w:t>Słabiej rozwinięte</w:t>
            </w:r>
          </w:p>
        </w:tc>
        <w:tc>
          <w:tcPr>
            <w:tcW w:w="0" w:type="auto"/>
            <w:shd w:val="clear" w:color="auto" w:fill="auto"/>
          </w:tcPr>
          <w:p w14:paraId="04376E59" w14:textId="77777777" w:rsidR="008C5CFA" w:rsidRPr="00BA47B4" w:rsidRDefault="00E82A60" w:rsidP="00300A01">
            <w:pPr>
              <w:spacing w:before="0" w:after="0"/>
              <w:rPr>
                <w:sz w:val="12"/>
                <w:szCs w:val="12"/>
                <w:lang w:val="fr-BE"/>
              </w:rPr>
            </w:pPr>
            <w:r w:rsidRPr="00BA47B4">
              <w:rPr>
                <w:sz w:val="12"/>
                <w:szCs w:val="12"/>
                <w:lang w:val="fr-BE"/>
              </w:rPr>
              <w:t xml:space="preserve"> </w:t>
            </w:r>
          </w:p>
        </w:tc>
        <w:tc>
          <w:tcPr>
            <w:tcW w:w="0" w:type="auto"/>
            <w:shd w:val="clear" w:color="auto" w:fill="auto"/>
          </w:tcPr>
          <w:p w14:paraId="5D910487" w14:textId="77777777" w:rsidR="008C5CFA" w:rsidRPr="00BA47B4" w:rsidRDefault="008C5CFA" w:rsidP="00300A01">
            <w:pPr>
              <w:spacing w:before="0" w:after="0"/>
              <w:jc w:val="center"/>
              <w:rPr>
                <w:sz w:val="12"/>
                <w:szCs w:val="12"/>
                <w:lang w:val="fr-BE"/>
              </w:rPr>
            </w:pPr>
          </w:p>
        </w:tc>
        <w:tc>
          <w:tcPr>
            <w:tcW w:w="0" w:type="auto"/>
            <w:shd w:val="clear" w:color="auto" w:fill="auto"/>
          </w:tcPr>
          <w:p w14:paraId="1F6791BA" w14:textId="77777777" w:rsidR="008C5CFA" w:rsidRPr="00BA47B4" w:rsidRDefault="008C5CFA" w:rsidP="00300A01">
            <w:pPr>
              <w:spacing w:before="0" w:after="0"/>
              <w:jc w:val="right"/>
              <w:rPr>
                <w:sz w:val="12"/>
                <w:szCs w:val="12"/>
                <w:lang w:val="fr-BE"/>
              </w:rPr>
            </w:pPr>
          </w:p>
        </w:tc>
        <w:tc>
          <w:tcPr>
            <w:tcW w:w="0" w:type="auto"/>
            <w:shd w:val="clear" w:color="auto" w:fill="auto"/>
          </w:tcPr>
          <w:p w14:paraId="634E4883" w14:textId="77777777" w:rsidR="008C5CFA" w:rsidRPr="00BA47B4" w:rsidRDefault="008C5CFA" w:rsidP="00300A01">
            <w:pPr>
              <w:spacing w:before="0" w:after="0"/>
              <w:jc w:val="right"/>
              <w:rPr>
                <w:sz w:val="12"/>
                <w:szCs w:val="12"/>
                <w:lang w:val="fr-BE"/>
              </w:rPr>
            </w:pPr>
          </w:p>
        </w:tc>
        <w:tc>
          <w:tcPr>
            <w:tcW w:w="0" w:type="auto"/>
            <w:shd w:val="clear" w:color="auto" w:fill="auto"/>
          </w:tcPr>
          <w:p w14:paraId="4D40AF6B" w14:textId="77777777" w:rsidR="008C5CFA" w:rsidRPr="00BA47B4" w:rsidRDefault="008C5CFA" w:rsidP="00300A01">
            <w:pPr>
              <w:spacing w:before="0" w:after="0"/>
              <w:jc w:val="right"/>
              <w:rPr>
                <w:sz w:val="12"/>
                <w:szCs w:val="12"/>
                <w:lang w:val="fr-BE"/>
              </w:rPr>
            </w:pPr>
          </w:p>
        </w:tc>
        <w:tc>
          <w:tcPr>
            <w:tcW w:w="0" w:type="auto"/>
            <w:shd w:val="clear" w:color="auto" w:fill="auto"/>
          </w:tcPr>
          <w:p w14:paraId="45966FF1" w14:textId="77777777" w:rsidR="008C5CFA" w:rsidRPr="00BA47B4" w:rsidRDefault="00E82A60" w:rsidP="00300A01">
            <w:pPr>
              <w:spacing w:before="0" w:after="0"/>
              <w:jc w:val="right"/>
              <w:rPr>
                <w:sz w:val="12"/>
                <w:szCs w:val="12"/>
                <w:lang w:val="fr-BE"/>
              </w:rPr>
            </w:pPr>
            <w:r w:rsidRPr="00BA47B4">
              <w:rPr>
                <w:noProof/>
                <w:sz w:val="12"/>
                <w:szCs w:val="12"/>
                <w:lang w:val="fr-BE"/>
              </w:rPr>
              <w:t>4 870,00</w:t>
            </w:r>
          </w:p>
        </w:tc>
        <w:tc>
          <w:tcPr>
            <w:tcW w:w="0" w:type="auto"/>
            <w:shd w:val="clear" w:color="auto" w:fill="auto"/>
          </w:tcPr>
          <w:p w14:paraId="375142BF" w14:textId="77777777" w:rsidR="008C5CFA" w:rsidRPr="00BA47B4" w:rsidRDefault="00E82A60" w:rsidP="00300A01">
            <w:pPr>
              <w:spacing w:before="0" w:after="0"/>
              <w:jc w:val="right"/>
              <w:rPr>
                <w:sz w:val="12"/>
                <w:szCs w:val="12"/>
                <w:lang w:val="fr-BE"/>
              </w:rPr>
            </w:pPr>
            <w:r w:rsidRPr="00BA47B4">
              <w:rPr>
                <w:noProof/>
                <w:sz w:val="12"/>
                <w:szCs w:val="12"/>
                <w:lang w:val="fr-BE"/>
              </w:rPr>
              <w:t>2 603,00</w:t>
            </w:r>
          </w:p>
        </w:tc>
        <w:tc>
          <w:tcPr>
            <w:tcW w:w="0" w:type="auto"/>
            <w:shd w:val="clear" w:color="auto" w:fill="auto"/>
          </w:tcPr>
          <w:p w14:paraId="437A7D31" w14:textId="77777777" w:rsidR="008C5CFA" w:rsidRPr="00BA47B4" w:rsidRDefault="00E82A60" w:rsidP="00300A01">
            <w:pPr>
              <w:spacing w:before="0" w:after="0"/>
              <w:jc w:val="right"/>
              <w:rPr>
                <w:sz w:val="12"/>
                <w:szCs w:val="12"/>
                <w:lang w:val="fr-BE"/>
              </w:rPr>
            </w:pPr>
            <w:r w:rsidRPr="00BA47B4">
              <w:rPr>
                <w:noProof/>
                <w:sz w:val="12"/>
                <w:szCs w:val="12"/>
                <w:lang w:val="fr-BE"/>
              </w:rPr>
              <w:t>2 267,00</w:t>
            </w:r>
          </w:p>
        </w:tc>
        <w:tc>
          <w:tcPr>
            <w:tcW w:w="0" w:type="auto"/>
            <w:shd w:val="clear" w:color="auto" w:fill="auto"/>
          </w:tcPr>
          <w:p w14:paraId="4D21988B" w14:textId="77777777" w:rsidR="008C5CFA" w:rsidRPr="00BA47B4" w:rsidRDefault="008C5CFA" w:rsidP="00300A01">
            <w:pPr>
              <w:spacing w:before="0" w:after="0"/>
              <w:jc w:val="right"/>
              <w:rPr>
                <w:sz w:val="12"/>
                <w:szCs w:val="12"/>
                <w:lang w:val="fr-BE"/>
              </w:rPr>
            </w:pPr>
          </w:p>
        </w:tc>
        <w:tc>
          <w:tcPr>
            <w:tcW w:w="0" w:type="auto"/>
            <w:shd w:val="clear" w:color="auto" w:fill="auto"/>
          </w:tcPr>
          <w:p w14:paraId="1CE5DAE0" w14:textId="77777777" w:rsidR="008C5CFA" w:rsidRPr="00BA47B4" w:rsidRDefault="008C5CFA" w:rsidP="00300A01">
            <w:pPr>
              <w:spacing w:before="0" w:after="0"/>
              <w:jc w:val="right"/>
              <w:rPr>
                <w:sz w:val="12"/>
                <w:szCs w:val="12"/>
                <w:lang w:val="fr-BE"/>
              </w:rPr>
            </w:pPr>
          </w:p>
        </w:tc>
        <w:tc>
          <w:tcPr>
            <w:tcW w:w="0" w:type="auto"/>
            <w:shd w:val="clear" w:color="auto" w:fill="auto"/>
          </w:tcPr>
          <w:p w14:paraId="390A76B4" w14:textId="77777777" w:rsidR="008C5CFA" w:rsidRPr="00BA47B4" w:rsidRDefault="008C5CFA" w:rsidP="00300A01">
            <w:pPr>
              <w:spacing w:before="0" w:after="0"/>
              <w:jc w:val="right"/>
              <w:rPr>
                <w:sz w:val="12"/>
                <w:szCs w:val="12"/>
                <w:lang w:val="fr-BE"/>
              </w:rPr>
            </w:pPr>
          </w:p>
        </w:tc>
        <w:tc>
          <w:tcPr>
            <w:tcW w:w="0" w:type="auto"/>
            <w:shd w:val="clear" w:color="auto" w:fill="auto"/>
          </w:tcPr>
          <w:p w14:paraId="61789B20" w14:textId="77777777" w:rsidR="008C5CFA" w:rsidRPr="00BA47B4" w:rsidRDefault="00E82A60" w:rsidP="00300A01">
            <w:pPr>
              <w:spacing w:before="0" w:after="0"/>
              <w:jc w:val="right"/>
              <w:rPr>
                <w:sz w:val="12"/>
                <w:szCs w:val="12"/>
                <w:lang w:val="fr-BE"/>
              </w:rPr>
            </w:pPr>
            <w:r w:rsidRPr="00BA47B4">
              <w:rPr>
                <w:noProof/>
                <w:sz w:val="12"/>
                <w:szCs w:val="12"/>
                <w:lang w:val="fr-BE"/>
              </w:rPr>
              <w:t>486,00</w:t>
            </w:r>
          </w:p>
        </w:tc>
        <w:tc>
          <w:tcPr>
            <w:tcW w:w="0" w:type="auto"/>
            <w:shd w:val="clear" w:color="auto" w:fill="auto"/>
          </w:tcPr>
          <w:p w14:paraId="6AE3FC41" w14:textId="77777777" w:rsidR="008C5CFA" w:rsidRPr="00BA47B4" w:rsidRDefault="00E82A60" w:rsidP="00300A01">
            <w:pPr>
              <w:spacing w:before="0" w:after="0"/>
              <w:jc w:val="right"/>
              <w:rPr>
                <w:sz w:val="12"/>
                <w:szCs w:val="12"/>
                <w:lang w:val="fr-BE"/>
              </w:rPr>
            </w:pPr>
            <w:r w:rsidRPr="00BA47B4">
              <w:rPr>
                <w:noProof/>
                <w:sz w:val="12"/>
                <w:szCs w:val="12"/>
                <w:lang w:val="fr-BE"/>
              </w:rPr>
              <w:t>486,00</w:t>
            </w:r>
          </w:p>
        </w:tc>
      </w:tr>
      <w:tr w:rsidR="006B2EC1" w14:paraId="305DDC45" w14:textId="77777777" w:rsidTr="0047688D">
        <w:tc>
          <w:tcPr>
            <w:tcW w:w="0" w:type="auto"/>
            <w:shd w:val="clear" w:color="auto" w:fill="auto"/>
          </w:tcPr>
          <w:p w14:paraId="12AF5E17" w14:textId="77777777" w:rsidR="008C5CFA" w:rsidRPr="00BA47B4" w:rsidRDefault="00E82A60" w:rsidP="00300A01">
            <w:pPr>
              <w:spacing w:before="0" w:after="0"/>
              <w:rPr>
                <w:sz w:val="12"/>
                <w:szCs w:val="12"/>
                <w:lang w:val="fr-BE"/>
              </w:rPr>
            </w:pPr>
            <w:r w:rsidRPr="00BA47B4">
              <w:rPr>
                <w:noProof/>
                <w:sz w:val="12"/>
                <w:szCs w:val="12"/>
                <w:lang w:val="fr-BE"/>
              </w:rPr>
              <w:t>CR03</w:t>
            </w:r>
          </w:p>
        </w:tc>
        <w:tc>
          <w:tcPr>
            <w:tcW w:w="0" w:type="auto"/>
            <w:shd w:val="clear" w:color="auto" w:fill="auto"/>
          </w:tcPr>
          <w:p w14:paraId="6CB94EC0" w14:textId="77777777" w:rsidR="008C5CFA" w:rsidRPr="00BA47B4" w:rsidRDefault="00E82A60" w:rsidP="00300A01">
            <w:pPr>
              <w:spacing w:before="0" w:after="0"/>
              <w:rPr>
                <w:sz w:val="12"/>
                <w:szCs w:val="12"/>
                <w:lang w:val="fr-BE"/>
              </w:rPr>
            </w:pPr>
            <w:r w:rsidRPr="00BA47B4">
              <w:rPr>
                <w:noProof/>
                <w:sz w:val="12"/>
                <w:szCs w:val="12"/>
                <w:lang w:val="fr-BE"/>
              </w:rPr>
              <w:t>uczestnicy uzyskujący kwalifikacje po opuszczeniu programu</w:t>
            </w:r>
          </w:p>
        </w:tc>
        <w:tc>
          <w:tcPr>
            <w:tcW w:w="0" w:type="auto"/>
            <w:shd w:val="clear" w:color="auto" w:fill="auto"/>
          </w:tcPr>
          <w:p w14:paraId="1C0F1702" w14:textId="77777777" w:rsidR="008C5CFA" w:rsidRPr="00BA47B4" w:rsidRDefault="00E82A60" w:rsidP="00300A01">
            <w:pPr>
              <w:spacing w:before="0" w:after="0"/>
              <w:rPr>
                <w:sz w:val="12"/>
                <w:szCs w:val="12"/>
                <w:lang w:val="fr-BE"/>
              </w:rPr>
            </w:pPr>
            <w:r w:rsidRPr="00BA47B4">
              <w:rPr>
                <w:noProof/>
                <w:sz w:val="12"/>
                <w:szCs w:val="12"/>
                <w:lang w:val="fr-BE"/>
              </w:rPr>
              <w:t>Słabiej rozwinięte</w:t>
            </w:r>
          </w:p>
        </w:tc>
        <w:tc>
          <w:tcPr>
            <w:tcW w:w="0" w:type="auto"/>
            <w:shd w:val="clear" w:color="auto" w:fill="auto"/>
          </w:tcPr>
          <w:p w14:paraId="09F279ED" w14:textId="77777777" w:rsidR="008C5CFA" w:rsidRPr="00BA47B4" w:rsidRDefault="00E82A60" w:rsidP="00300A01">
            <w:pPr>
              <w:spacing w:before="0" w:after="0"/>
              <w:rPr>
                <w:sz w:val="12"/>
                <w:szCs w:val="12"/>
                <w:lang w:val="fr-BE"/>
              </w:rPr>
            </w:pPr>
            <w:r w:rsidRPr="00BA47B4">
              <w:rPr>
                <w:noProof/>
                <w:sz w:val="12"/>
                <w:szCs w:val="12"/>
                <w:lang w:val="fr-BE"/>
              </w:rPr>
              <w:t>CO01</w:t>
            </w:r>
            <w:r w:rsidRPr="00BA47B4">
              <w:rPr>
                <w:sz w:val="12"/>
                <w:szCs w:val="12"/>
                <w:lang w:val="fr-BE"/>
              </w:rPr>
              <w:t xml:space="preserve"> </w:t>
            </w:r>
            <w:r w:rsidRPr="00BA47B4">
              <w:rPr>
                <w:noProof/>
                <w:sz w:val="12"/>
                <w:szCs w:val="12"/>
                <w:lang w:val="fr-BE"/>
              </w:rPr>
              <w:t>bezrobotni, w tym długotrwale bezrobotni</w:t>
            </w:r>
          </w:p>
        </w:tc>
        <w:tc>
          <w:tcPr>
            <w:tcW w:w="0" w:type="auto"/>
            <w:shd w:val="clear" w:color="auto" w:fill="auto"/>
          </w:tcPr>
          <w:p w14:paraId="363C368A" w14:textId="77777777" w:rsidR="008C5CFA" w:rsidRPr="00BA47B4" w:rsidRDefault="00E82A60" w:rsidP="00300A01">
            <w:pPr>
              <w:spacing w:before="0" w:after="0"/>
              <w:jc w:val="center"/>
              <w:rPr>
                <w:sz w:val="12"/>
                <w:szCs w:val="12"/>
                <w:lang w:val="fr-BE"/>
              </w:rPr>
            </w:pPr>
            <w:r>
              <w:rPr>
                <w:noProof/>
                <w:sz w:val="12"/>
                <w:szCs w:val="12"/>
                <w:lang w:val="fr-BE"/>
              </w:rPr>
              <w:t>Współczynnik</w:t>
            </w:r>
          </w:p>
        </w:tc>
        <w:tc>
          <w:tcPr>
            <w:tcW w:w="0" w:type="auto"/>
            <w:shd w:val="clear" w:color="auto" w:fill="auto"/>
          </w:tcPr>
          <w:p w14:paraId="3F0523E0" w14:textId="77777777" w:rsidR="008C5CFA" w:rsidRPr="00BA47B4" w:rsidRDefault="00E82A60" w:rsidP="00300A01">
            <w:pPr>
              <w:spacing w:before="0" w:after="0"/>
              <w:jc w:val="right"/>
              <w:rPr>
                <w:sz w:val="12"/>
                <w:szCs w:val="12"/>
                <w:lang w:val="fr-BE"/>
              </w:rPr>
            </w:pPr>
            <w:r>
              <w:rPr>
                <w:noProof/>
                <w:sz w:val="12"/>
                <w:szCs w:val="12"/>
                <w:lang w:val="fr-BE"/>
              </w:rPr>
              <w:t>39,00</w:t>
            </w:r>
            <w:r>
              <w:rPr>
                <w:sz w:val="12"/>
                <w:szCs w:val="12"/>
                <w:lang w:val="fr-BE"/>
              </w:rPr>
              <w:t>%</w:t>
            </w:r>
          </w:p>
        </w:tc>
        <w:tc>
          <w:tcPr>
            <w:tcW w:w="0" w:type="auto"/>
            <w:shd w:val="clear" w:color="auto" w:fill="auto"/>
          </w:tcPr>
          <w:p w14:paraId="433E16C0" w14:textId="77777777" w:rsidR="008C5CFA" w:rsidRPr="00BA47B4" w:rsidRDefault="00E82A60" w:rsidP="00300A01">
            <w:pPr>
              <w:spacing w:before="0" w:after="0"/>
              <w:jc w:val="right"/>
              <w:rPr>
                <w:sz w:val="12"/>
                <w:szCs w:val="12"/>
                <w:lang w:val="fr-BE"/>
              </w:rPr>
            </w:pPr>
            <w:r>
              <w:rPr>
                <w:sz w:val="12"/>
                <w:szCs w:val="12"/>
                <w:lang w:val="fr-BE"/>
              </w:rPr>
              <w:t>%</w:t>
            </w:r>
          </w:p>
        </w:tc>
        <w:tc>
          <w:tcPr>
            <w:tcW w:w="0" w:type="auto"/>
            <w:shd w:val="clear" w:color="auto" w:fill="auto"/>
          </w:tcPr>
          <w:p w14:paraId="3FFB9D71" w14:textId="77777777" w:rsidR="008C5CFA" w:rsidRPr="00BA47B4" w:rsidRDefault="00E82A60" w:rsidP="00300A01">
            <w:pPr>
              <w:spacing w:before="0" w:after="0"/>
              <w:jc w:val="right"/>
              <w:rPr>
                <w:sz w:val="12"/>
                <w:szCs w:val="12"/>
                <w:lang w:val="fr-BE"/>
              </w:rPr>
            </w:pPr>
            <w:r>
              <w:rPr>
                <w:sz w:val="12"/>
                <w:szCs w:val="12"/>
                <w:lang w:val="fr-BE"/>
              </w:rPr>
              <w:t>%</w:t>
            </w:r>
          </w:p>
        </w:tc>
        <w:tc>
          <w:tcPr>
            <w:tcW w:w="0" w:type="auto"/>
            <w:shd w:val="clear" w:color="auto" w:fill="auto"/>
          </w:tcPr>
          <w:p w14:paraId="32D3BBC9" w14:textId="77777777" w:rsidR="008C5CFA" w:rsidRPr="00BA47B4" w:rsidRDefault="00E82A60" w:rsidP="00300A01">
            <w:pPr>
              <w:spacing w:before="0" w:after="0"/>
              <w:jc w:val="right"/>
              <w:rPr>
                <w:sz w:val="12"/>
                <w:szCs w:val="12"/>
                <w:lang w:val="fr-BE"/>
              </w:rPr>
            </w:pPr>
            <w:r w:rsidRPr="00BA47B4">
              <w:rPr>
                <w:noProof/>
                <w:sz w:val="12"/>
                <w:szCs w:val="12"/>
                <w:lang w:val="fr-BE"/>
              </w:rPr>
              <w:t>3 967,00</w:t>
            </w:r>
          </w:p>
        </w:tc>
        <w:tc>
          <w:tcPr>
            <w:tcW w:w="0" w:type="auto"/>
            <w:shd w:val="clear" w:color="auto" w:fill="auto"/>
          </w:tcPr>
          <w:p w14:paraId="7FD7EFA6" w14:textId="77777777" w:rsidR="008C5CFA" w:rsidRPr="00BA47B4" w:rsidRDefault="00E82A60" w:rsidP="00300A01">
            <w:pPr>
              <w:spacing w:before="0" w:after="0"/>
              <w:jc w:val="right"/>
              <w:rPr>
                <w:sz w:val="12"/>
                <w:szCs w:val="12"/>
                <w:lang w:val="fr-BE"/>
              </w:rPr>
            </w:pPr>
            <w:r w:rsidRPr="00BA47B4">
              <w:rPr>
                <w:noProof/>
                <w:sz w:val="12"/>
                <w:szCs w:val="12"/>
                <w:lang w:val="fr-BE"/>
              </w:rPr>
              <w:t>2 201,00</w:t>
            </w:r>
          </w:p>
        </w:tc>
        <w:tc>
          <w:tcPr>
            <w:tcW w:w="0" w:type="auto"/>
            <w:shd w:val="clear" w:color="auto" w:fill="auto"/>
          </w:tcPr>
          <w:p w14:paraId="1A11A725" w14:textId="77777777" w:rsidR="008C5CFA" w:rsidRPr="00BA47B4" w:rsidRDefault="00E82A60" w:rsidP="00300A01">
            <w:pPr>
              <w:spacing w:before="0" w:after="0"/>
              <w:jc w:val="right"/>
              <w:rPr>
                <w:sz w:val="12"/>
                <w:szCs w:val="12"/>
                <w:lang w:val="fr-BE"/>
              </w:rPr>
            </w:pPr>
            <w:r w:rsidRPr="00BA47B4">
              <w:rPr>
                <w:noProof/>
                <w:sz w:val="12"/>
                <w:szCs w:val="12"/>
                <w:lang w:val="fr-BE"/>
              </w:rPr>
              <w:t>1 766,00</w:t>
            </w:r>
          </w:p>
        </w:tc>
        <w:tc>
          <w:tcPr>
            <w:tcW w:w="0" w:type="auto"/>
            <w:shd w:val="clear" w:color="auto" w:fill="auto"/>
          </w:tcPr>
          <w:p w14:paraId="32460963" w14:textId="77777777" w:rsidR="008C5CFA" w:rsidRPr="00BA47B4" w:rsidRDefault="00E82A60" w:rsidP="00300A01">
            <w:pPr>
              <w:spacing w:before="0" w:after="0"/>
              <w:jc w:val="right"/>
              <w:rPr>
                <w:sz w:val="12"/>
                <w:szCs w:val="12"/>
                <w:lang w:val="fr-BE"/>
              </w:rPr>
            </w:pPr>
            <w:r>
              <w:rPr>
                <w:noProof/>
                <w:sz w:val="12"/>
                <w:szCs w:val="12"/>
                <w:lang w:val="fr-BE"/>
              </w:rPr>
              <w:t>0,51</w:t>
            </w:r>
          </w:p>
        </w:tc>
        <w:tc>
          <w:tcPr>
            <w:tcW w:w="0" w:type="auto"/>
            <w:shd w:val="clear" w:color="auto" w:fill="auto"/>
          </w:tcPr>
          <w:p w14:paraId="43E2F7BA" w14:textId="77777777" w:rsidR="008C5CFA" w:rsidRPr="00BA47B4" w:rsidRDefault="008C5CFA" w:rsidP="00300A01">
            <w:pPr>
              <w:spacing w:before="0" w:after="0"/>
              <w:jc w:val="right"/>
              <w:rPr>
                <w:sz w:val="12"/>
                <w:szCs w:val="12"/>
                <w:lang w:val="fr-BE"/>
              </w:rPr>
            </w:pPr>
          </w:p>
        </w:tc>
        <w:tc>
          <w:tcPr>
            <w:tcW w:w="0" w:type="auto"/>
            <w:shd w:val="clear" w:color="auto" w:fill="auto"/>
          </w:tcPr>
          <w:p w14:paraId="75466F76" w14:textId="77777777" w:rsidR="008C5CFA" w:rsidRPr="00BA47B4" w:rsidRDefault="008C5CFA" w:rsidP="00300A01">
            <w:pPr>
              <w:spacing w:before="0" w:after="0"/>
              <w:jc w:val="right"/>
              <w:rPr>
                <w:sz w:val="12"/>
                <w:szCs w:val="12"/>
                <w:lang w:val="fr-BE"/>
              </w:rPr>
            </w:pPr>
          </w:p>
        </w:tc>
        <w:tc>
          <w:tcPr>
            <w:tcW w:w="0" w:type="auto"/>
            <w:shd w:val="clear" w:color="auto" w:fill="auto"/>
          </w:tcPr>
          <w:p w14:paraId="2A2EFA5B" w14:textId="77777777" w:rsidR="008C5CFA" w:rsidRPr="00BA47B4" w:rsidRDefault="00E82A60" w:rsidP="00300A01">
            <w:pPr>
              <w:spacing w:before="0" w:after="0"/>
              <w:jc w:val="right"/>
              <w:rPr>
                <w:sz w:val="12"/>
                <w:szCs w:val="12"/>
                <w:lang w:val="fr-BE"/>
              </w:rPr>
            </w:pPr>
            <w:r w:rsidRPr="00BA47B4">
              <w:rPr>
                <w:noProof/>
                <w:sz w:val="12"/>
                <w:szCs w:val="12"/>
                <w:lang w:val="fr-BE"/>
              </w:rPr>
              <w:t>394,00</w:t>
            </w:r>
          </w:p>
        </w:tc>
        <w:tc>
          <w:tcPr>
            <w:tcW w:w="0" w:type="auto"/>
            <w:shd w:val="clear" w:color="auto" w:fill="auto"/>
          </w:tcPr>
          <w:p w14:paraId="67472B88" w14:textId="77777777" w:rsidR="008C5CFA" w:rsidRPr="00BA47B4" w:rsidRDefault="00E82A60" w:rsidP="00300A01">
            <w:pPr>
              <w:spacing w:before="0" w:after="0"/>
              <w:jc w:val="right"/>
              <w:rPr>
                <w:sz w:val="12"/>
                <w:szCs w:val="12"/>
                <w:lang w:val="fr-BE"/>
              </w:rPr>
            </w:pPr>
            <w:r w:rsidRPr="00BA47B4">
              <w:rPr>
                <w:noProof/>
                <w:sz w:val="12"/>
                <w:szCs w:val="12"/>
                <w:lang w:val="fr-BE"/>
              </w:rPr>
              <w:t>359,00</w:t>
            </w:r>
          </w:p>
        </w:tc>
      </w:tr>
      <w:tr w:rsidR="006B2EC1" w14:paraId="47576E73" w14:textId="77777777" w:rsidTr="0047688D">
        <w:tc>
          <w:tcPr>
            <w:tcW w:w="0" w:type="auto"/>
            <w:shd w:val="clear" w:color="auto" w:fill="auto"/>
          </w:tcPr>
          <w:p w14:paraId="1BD81112" w14:textId="77777777" w:rsidR="008C5CFA" w:rsidRPr="00BA47B4" w:rsidRDefault="00E82A60" w:rsidP="00300A01">
            <w:pPr>
              <w:spacing w:before="0" w:after="0"/>
              <w:rPr>
                <w:sz w:val="12"/>
                <w:szCs w:val="12"/>
                <w:lang w:val="fr-BE"/>
              </w:rPr>
            </w:pPr>
            <w:r w:rsidRPr="00BA47B4">
              <w:rPr>
                <w:noProof/>
                <w:sz w:val="12"/>
                <w:szCs w:val="12"/>
                <w:lang w:val="fr-BE"/>
              </w:rPr>
              <w:t>CR03</w:t>
            </w:r>
          </w:p>
        </w:tc>
        <w:tc>
          <w:tcPr>
            <w:tcW w:w="0" w:type="auto"/>
            <w:shd w:val="clear" w:color="auto" w:fill="auto"/>
          </w:tcPr>
          <w:p w14:paraId="4B139663" w14:textId="77777777" w:rsidR="008C5CFA" w:rsidRPr="00BA47B4" w:rsidRDefault="00E82A60" w:rsidP="00300A01">
            <w:pPr>
              <w:spacing w:before="0" w:after="0"/>
              <w:rPr>
                <w:sz w:val="12"/>
                <w:szCs w:val="12"/>
                <w:lang w:val="fr-BE"/>
              </w:rPr>
            </w:pPr>
            <w:r w:rsidRPr="00BA47B4">
              <w:rPr>
                <w:noProof/>
                <w:sz w:val="12"/>
                <w:szCs w:val="12"/>
                <w:lang w:val="fr-BE"/>
              </w:rPr>
              <w:t>uczestnicy uzyskujący kwalifikacje po opuszczeniu programu</w:t>
            </w:r>
          </w:p>
        </w:tc>
        <w:tc>
          <w:tcPr>
            <w:tcW w:w="0" w:type="auto"/>
            <w:shd w:val="clear" w:color="auto" w:fill="auto"/>
          </w:tcPr>
          <w:p w14:paraId="497D2C4E" w14:textId="77777777" w:rsidR="008C5CFA" w:rsidRPr="00BA47B4" w:rsidRDefault="00E82A60" w:rsidP="00300A01">
            <w:pPr>
              <w:spacing w:before="0" w:after="0"/>
              <w:rPr>
                <w:sz w:val="12"/>
                <w:szCs w:val="12"/>
                <w:lang w:val="fr-BE"/>
              </w:rPr>
            </w:pPr>
            <w:r w:rsidRPr="00BA47B4">
              <w:rPr>
                <w:noProof/>
                <w:sz w:val="12"/>
                <w:szCs w:val="12"/>
                <w:lang w:val="fr-BE"/>
              </w:rPr>
              <w:t>Słabiej rozwinięte</w:t>
            </w:r>
          </w:p>
        </w:tc>
        <w:tc>
          <w:tcPr>
            <w:tcW w:w="0" w:type="auto"/>
            <w:shd w:val="clear" w:color="auto" w:fill="auto"/>
          </w:tcPr>
          <w:p w14:paraId="62198C18" w14:textId="77777777" w:rsidR="008C5CFA" w:rsidRPr="00BA47B4" w:rsidRDefault="00E82A60" w:rsidP="00300A01">
            <w:pPr>
              <w:spacing w:before="0" w:after="0"/>
              <w:rPr>
                <w:sz w:val="12"/>
                <w:szCs w:val="12"/>
                <w:lang w:val="fr-BE"/>
              </w:rPr>
            </w:pPr>
            <w:r w:rsidRPr="00BA47B4">
              <w:rPr>
                <w:noProof/>
                <w:sz w:val="12"/>
                <w:szCs w:val="12"/>
                <w:lang w:val="fr-BE"/>
              </w:rPr>
              <w:t>CO02</w:t>
            </w:r>
            <w:r w:rsidRPr="00BA47B4">
              <w:rPr>
                <w:sz w:val="12"/>
                <w:szCs w:val="12"/>
                <w:lang w:val="fr-BE"/>
              </w:rPr>
              <w:t xml:space="preserve"> </w:t>
            </w:r>
            <w:r w:rsidRPr="00BA47B4">
              <w:rPr>
                <w:noProof/>
                <w:sz w:val="12"/>
                <w:szCs w:val="12"/>
                <w:lang w:val="fr-BE"/>
              </w:rPr>
              <w:t>długotrwale bezrobotni</w:t>
            </w:r>
          </w:p>
        </w:tc>
        <w:tc>
          <w:tcPr>
            <w:tcW w:w="0" w:type="auto"/>
            <w:shd w:val="clear" w:color="auto" w:fill="auto"/>
          </w:tcPr>
          <w:p w14:paraId="092053CE" w14:textId="77777777" w:rsidR="008C5CFA" w:rsidRPr="00BA47B4" w:rsidRDefault="00E82A60" w:rsidP="00300A01">
            <w:pPr>
              <w:spacing w:before="0" w:after="0"/>
              <w:jc w:val="center"/>
              <w:rPr>
                <w:sz w:val="12"/>
                <w:szCs w:val="12"/>
                <w:lang w:val="fr-BE"/>
              </w:rPr>
            </w:pPr>
            <w:r>
              <w:rPr>
                <w:noProof/>
                <w:sz w:val="12"/>
                <w:szCs w:val="12"/>
                <w:lang w:val="fr-BE"/>
              </w:rPr>
              <w:t>Współczynnik</w:t>
            </w:r>
          </w:p>
        </w:tc>
        <w:tc>
          <w:tcPr>
            <w:tcW w:w="0" w:type="auto"/>
            <w:shd w:val="clear" w:color="auto" w:fill="auto"/>
          </w:tcPr>
          <w:p w14:paraId="383BCC92" w14:textId="77777777" w:rsidR="008C5CFA" w:rsidRPr="00BA47B4" w:rsidRDefault="00E82A60" w:rsidP="00300A01">
            <w:pPr>
              <w:spacing w:before="0" w:after="0"/>
              <w:jc w:val="right"/>
              <w:rPr>
                <w:sz w:val="12"/>
                <w:szCs w:val="12"/>
                <w:lang w:val="fr-BE"/>
              </w:rPr>
            </w:pPr>
            <w:r>
              <w:rPr>
                <w:noProof/>
                <w:sz w:val="12"/>
                <w:szCs w:val="12"/>
                <w:lang w:val="fr-BE"/>
              </w:rPr>
              <w:t>39,00</w:t>
            </w:r>
            <w:r>
              <w:rPr>
                <w:sz w:val="12"/>
                <w:szCs w:val="12"/>
                <w:lang w:val="fr-BE"/>
              </w:rPr>
              <w:t>%</w:t>
            </w:r>
          </w:p>
        </w:tc>
        <w:tc>
          <w:tcPr>
            <w:tcW w:w="0" w:type="auto"/>
            <w:shd w:val="clear" w:color="auto" w:fill="auto"/>
          </w:tcPr>
          <w:p w14:paraId="6923C27F" w14:textId="77777777" w:rsidR="008C5CFA" w:rsidRPr="00BA47B4" w:rsidRDefault="00E82A60" w:rsidP="00300A01">
            <w:pPr>
              <w:spacing w:before="0" w:after="0"/>
              <w:jc w:val="right"/>
              <w:rPr>
                <w:sz w:val="12"/>
                <w:szCs w:val="12"/>
                <w:lang w:val="fr-BE"/>
              </w:rPr>
            </w:pPr>
            <w:r>
              <w:rPr>
                <w:sz w:val="12"/>
                <w:szCs w:val="12"/>
                <w:lang w:val="fr-BE"/>
              </w:rPr>
              <w:t>%</w:t>
            </w:r>
          </w:p>
        </w:tc>
        <w:tc>
          <w:tcPr>
            <w:tcW w:w="0" w:type="auto"/>
            <w:shd w:val="clear" w:color="auto" w:fill="auto"/>
          </w:tcPr>
          <w:p w14:paraId="1BE96A97" w14:textId="77777777" w:rsidR="008C5CFA" w:rsidRPr="00BA47B4" w:rsidRDefault="00E82A60" w:rsidP="00300A01">
            <w:pPr>
              <w:spacing w:before="0" w:after="0"/>
              <w:jc w:val="right"/>
              <w:rPr>
                <w:sz w:val="12"/>
                <w:szCs w:val="12"/>
                <w:lang w:val="fr-BE"/>
              </w:rPr>
            </w:pPr>
            <w:r>
              <w:rPr>
                <w:sz w:val="12"/>
                <w:szCs w:val="12"/>
                <w:lang w:val="fr-BE"/>
              </w:rPr>
              <w:t>%</w:t>
            </w:r>
          </w:p>
        </w:tc>
        <w:tc>
          <w:tcPr>
            <w:tcW w:w="0" w:type="auto"/>
            <w:shd w:val="clear" w:color="auto" w:fill="auto"/>
          </w:tcPr>
          <w:p w14:paraId="64AADE46" w14:textId="77777777" w:rsidR="008C5CFA" w:rsidRPr="00BA47B4" w:rsidRDefault="00E82A60" w:rsidP="00300A01">
            <w:pPr>
              <w:spacing w:before="0" w:after="0"/>
              <w:jc w:val="right"/>
              <w:rPr>
                <w:sz w:val="12"/>
                <w:szCs w:val="12"/>
                <w:lang w:val="fr-BE"/>
              </w:rPr>
            </w:pPr>
            <w:r w:rsidRPr="00BA47B4">
              <w:rPr>
                <w:noProof/>
                <w:sz w:val="12"/>
                <w:szCs w:val="12"/>
                <w:lang w:val="fr-BE"/>
              </w:rPr>
              <w:t>1 903,00</w:t>
            </w:r>
          </w:p>
        </w:tc>
        <w:tc>
          <w:tcPr>
            <w:tcW w:w="0" w:type="auto"/>
            <w:shd w:val="clear" w:color="auto" w:fill="auto"/>
          </w:tcPr>
          <w:p w14:paraId="0A1DFED9" w14:textId="77777777" w:rsidR="008C5CFA" w:rsidRPr="00BA47B4" w:rsidRDefault="00E82A60" w:rsidP="00300A01">
            <w:pPr>
              <w:spacing w:before="0" w:after="0"/>
              <w:jc w:val="right"/>
              <w:rPr>
                <w:sz w:val="12"/>
                <w:szCs w:val="12"/>
                <w:lang w:val="fr-BE"/>
              </w:rPr>
            </w:pPr>
            <w:r w:rsidRPr="00BA47B4">
              <w:rPr>
                <w:noProof/>
                <w:sz w:val="12"/>
                <w:szCs w:val="12"/>
                <w:lang w:val="fr-BE"/>
              </w:rPr>
              <w:t>1 009,00</w:t>
            </w:r>
          </w:p>
        </w:tc>
        <w:tc>
          <w:tcPr>
            <w:tcW w:w="0" w:type="auto"/>
            <w:shd w:val="clear" w:color="auto" w:fill="auto"/>
          </w:tcPr>
          <w:p w14:paraId="3BC66F06" w14:textId="77777777" w:rsidR="008C5CFA" w:rsidRPr="00BA47B4" w:rsidRDefault="00E82A60" w:rsidP="00300A01">
            <w:pPr>
              <w:spacing w:before="0" w:after="0"/>
              <w:jc w:val="right"/>
              <w:rPr>
                <w:sz w:val="12"/>
                <w:szCs w:val="12"/>
                <w:lang w:val="fr-BE"/>
              </w:rPr>
            </w:pPr>
            <w:r w:rsidRPr="00BA47B4">
              <w:rPr>
                <w:noProof/>
                <w:sz w:val="12"/>
                <w:szCs w:val="12"/>
                <w:lang w:val="fr-BE"/>
              </w:rPr>
              <w:t>894,00</w:t>
            </w:r>
          </w:p>
        </w:tc>
        <w:tc>
          <w:tcPr>
            <w:tcW w:w="0" w:type="auto"/>
            <w:shd w:val="clear" w:color="auto" w:fill="auto"/>
          </w:tcPr>
          <w:p w14:paraId="469E08C1" w14:textId="77777777" w:rsidR="008C5CFA" w:rsidRPr="00BA47B4" w:rsidRDefault="00E82A60" w:rsidP="00300A01">
            <w:pPr>
              <w:spacing w:before="0" w:after="0"/>
              <w:jc w:val="right"/>
              <w:rPr>
                <w:sz w:val="12"/>
                <w:szCs w:val="12"/>
                <w:lang w:val="fr-BE"/>
              </w:rPr>
            </w:pPr>
            <w:r>
              <w:rPr>
                <w:noProof/>
                <w:sz w:val="12"/>
                <w:szCs w:val="12"/>
                <w:lang w:val="fr-BE"/>
              </w:rPr>
              <w:t>0,55</w:t>
            </w:r>
          </w:p>
        </w:tc>
        <w:tc>
          <w:tcPr>
            <w:tcW w:w="0" w:type="auto"/>
            <w:shd w:val="clear" w:color="auto" w:fill="auto"/>
          </w:tcPr>
          <w:p w14:paraId="37C2AA35" w14:textId="77777777" w:rsidR="008C5CFA" w:rsidRPr="00BA47B4" w:rsidRDefault="008C5CFA" w:rsidP="00300A01">
            <w:pPr>
              <w:spacing w:before="0" w:after="0"/>
              <w:jc w:val="right"/>
              <w:rPr>
                <w:sz w:val="12"/>
                <w:szCs w:val="12"/>
                <w:lang w:val="fr-BE"/>
              </w:rPr>
            </w:pPr>
          </w:p>
        </w:tc>
        <w:tc>
          <w:tcPr>
            <w:tcW w:w="0" w:type="auto"/>
            <w:shd w:val="clear" w:color="auto" w:fill="auto"/>
          </w:tcPr>
          <w:p w14:paraId="420881C7" w14:textId="77777777" w:rsidR="008C5CFA" w:rsidRPr="00BA47B4" w:rsidRDefault="008C5CFA" w:rsidP="00300A01">
            <w:pPr>
              <w:spacing w:before="0" w:after="0"/>
              <w:jc w:val="right"/>
              <w:rPr>
                <w:sz w:val="12"/>
                <w:szCs w:val="12"/>
                <w:lang w:val="fr-BE"/>
              </w:rPr>
            </w:pPr>
          </w:p>
        </w:tc>
        <w:tc>
          <w:tcPr>
            <w:tcW w:w="0" w:type="auto"/>
            <w:shd w:val="clear" w:color="auto" w:fill="auto"/>
          </w:tcPr>
          <w:p w14:paraId="5B6796EB" w14:textId="77777777" w:rsidR="008C5CFA" w:rsidRPr="00BA47B4" w:rsidRDefault="00E82A60" w:rsidP="00300A01">
            <w:pPr>
              <w:spacing w:before="0" w:after="0"/>
              <w:jc w:val="right"/>
              <w:rPr>
                <w:sz w:val="12"/>
                <w:szCs w:val="12"/>
                <w:lang w:val="fr-BE"/>
              </w:rPr>
            </w:pPr>
            <w:r w:rsidRPr="00BA47B4">
              <w:rPr>
                <w:noProof/>
                <w:sz w:val="12"/>
                <w:szCs w:val="12"/>
                <w:lang w:val="fr-BE"/>
              </w:rPr>
              <w:t>137,00</w:t>
            </w:r>
          </w:p>
        </w:tc>
        <w:tc>
          <w:tcPr>
            <w:tcW w:w="0" w:type="auto"/>
            <w:shd w:val="clear" w:color="auto" w:fill="auto"/>
          </w:tcPr>
          <w:p w14:paraId="3015973B" w14:textId="77777777" w:rsidR="008C5CFA" w:rsidRPr="00BA47B4" w:rsidRDefault="00E82A60" w:rsidP="00300A01">
            <w:pPr>
              <w:spacing w:before="0" w:after="0"/>
              <w:jc w:val="right"/>
              <w:rPr>
                <w:sz w:val="12"/>
                <w:szCs w:val="12"/>
                <w:lang w:val="fr-BE"/>
              </w:rPr>
            </w:pPr>
            <w:r w:rsidRPr="00BA47B4">
              <w:rPr>
                <w:noProof/>
                <w:sz w:val="12"/>
                <w:szCs w:val="12"/>
                <w:lang w:val="fr-BE"/>
              </w:rPr>
              <w:t>139,00</w:t>
            </w:r>
          </w:p>
        </w:tc>
      </w:tr>
      <w:tr w:rsidR="006B2EC1" w14:paraId="4E6E73A2" w14:textId="77777777" w:rsidTr="0047688D">
        <w:tc>
          <w:tcPr>
            <w:tcW w:w="0" w:type="auto"/>
            <w:shd w:val="clear" w:color="auto" w:fill="auto"/>
          </w:tcPr>
          <w:p w14:paraId="00351E94" w14:textId="77777777" w:rsidR="008C5CFA" w:rsidRPr="00BA47B4" w:rsidRDefault="00E82A60" w:rsidP="00300A01">
            <w:pPr>
              <w:spacing w:before="0" w:after="0"/>
              <w:rPr>
                <w:sz w:val="12"/>
                <w:szCs w:val="12"/>
                <w:lang w:val="fr-BE"/>
              </w:rPr>
            </w:pPr>
            <w:r w:rsidRPr="00BA47B4">
              <w:rPr>
                <w:noProof/>
                <w:sz w:val="12"/>
                <w:szCs w:val="12"/>
                <w:lang w:val="fr-BE"/>
              </w:rPr>
              <w:t>CR03</w:t>
            </w:r>
          </w:p>
        </w:tc>
        <w:tc>
          <w:tcPr>
            <w:tcW w:w="0" w:type="auto"/>
            <w:shd w:val="clear" w:color="auto" w:fill="auto"/>
          </w:tcPr>
          <w:p w14:paraId="10E2BD5B" w14:textId="77777777" w:rsidR="008C5CFA" w:rsidRPr="00BA47B4" w:rsidRDefault="00E82A60" w:rsidP="00300A01">
            <w:pPr>
              <w:spacing w:before="0" w:after="0"/>
              <w:rPr>
                <w:sz w:val="12"/>
                <w:szCs w:val="12"/>
                <w:lang w:val="fr-BE"/>
              </w:rPr>
            </w:pPr>
            <w:r w:rsidRPr="00BA47B4">
              <w:rPr>
                <w:noProof/>
                <w:sz w:val="12"/>
                <w:szCs w:val="12"/>
                <w:lang w:val="fr-BE"/>
              </w:rPr>
              <w:t>uczestnicy uzyskujący kwalifikacje po opuszczeniu programu</w:t>
            </w:r>
          </w:p>
        </w:tc>
        <w:tc>
          <w:tcPr>
            <w:tcW w:w="0" w:type="auto"/>
            <w:shd w:val="clear" w:color="auto" w:fill="auto"/>
          </w:tcPr>
          <w:p w14:paraId="6586F844" w14:textId="77777777" w:rsidR="008C5CFA" w:rsidRPr="00BA47B4" w:rsidRDefault="00E82A60" w:rsidP="00300A01">
            <w:pPr>
              <w:spacing w:before="0" w:after="0"/>
              <w:rPr>
                <w:sz w:val="12"/>
                <w:szCs w:val="12"/>
                <w:lang w:val="fr-BE"/>
              </w:rPr>
            </w:pPr>
            <w:r w:rsidRPr="00BA47B4">
              <w:rPr>
                <w:noProof/>
                <w:sz w:val="12"/>
                <w:szCs w:val="12"/>
                <w:lang w:val="fr-BE"/>
              </w:rPr>
              <w:t>Słabiej rozwinięte</w:t>
            </w:r>
          </w:p>
        </w:tc>
        <w:tc>
          <w:tcPr>
            <w:tcW w:w="0" w:type="auto"/>
            <w:shd w:val="clear" w:color="auto" w:fill="auto"/>
          </w:tcPr>
          <w:p w14:paraId="05EF375B" w14:textId="77777777" w:rsidR="008C5CFA" w:rsidRPr="00BA47B4" w:rsidRDefault="00E82A60" w:rsidP="00300A01">
            <w:pPr>
              <w:spacing w:before="0" w:after="0"/>
              <w:rPr>
                <w:sz w:val="12"/>
                <w:szCs w:val="12"/>
                <w:lang w:val="fr-BE"/>
              </w:rPr>
            </w:pPr>
            <w:r w:rsidRPr="00BA47B4">
              <w:rPr>
                <w:noProof/>
                <w:sz w:val="12"/>
                <w:szCs w:val="12"/>
                <w:lang w:val="fr-BE"/>
              </w:rPr>
              <w:t>CO03</w:t>
            </w:r>
            <w:r w:rsidRPr="00BA47B4">
              <w:rPr>
                <w:sz w:val="12"/>
                <w:szCs w:val="12"/>
                <w:lang w:val="fr-BE"/>
              </w:rPr>
              <w:t xml:space="preserve"> </w:t>
            </w:r>
            <w:r w:rsidRPr="00BA47B4">
              <w:rPr>
                <w:noProof/>
                <w:sz w:val="12"/>
                <w:szCs w:val="12"/>
                <w:lang w:val="fr-BE"/>
              </w:rPr>
              <w:t>osoby bierne zawodowo</w:t>
            </w:r>
          </w:p>
        </w:tc>
        <w:tc>
          <w:tcPr>
            <w:tcW w:w="0" w:type="auto"/>
            <w:shd w:val="clear" w:color="auto" w:fill="auto"/>
          </w:tcPr>
          <w:p w14:paraId="452B6444" w14:textId="77777777" w:rsidR="008C5CFA" w:rsidRPr="00BA47B4" w:rsidRDefault="00E82A60" w:rsidP="00300A01">
            <w:pPr>
              <w:spacing w:before="0" w:after="0"/>
              <w:jc w:val="center"/>
              <w:rPr>
                <w:sz w:val="12"/>
                <w:szCs w:val="12"/>
                <w:lang w:val="fr-BE"/>
              </w:rPr>
            </w:pPr>
            <w:r>
              <w:rPr>
                <w:noProof/>
                <w:sz w:val="12"/>
                <w:szCs w:val="12"/>
                <w:lang w:val="fr-BE"/>
              </w:rPr>
              <w:t>Współczynnik</w:t>
            </w:r>
          </w:p>
        </w:tc>
        <w:tc>
          <w:tcPr>
            <w:tcW w:w="0" w:type="auto"/>
            <w:shd w:val="clear" w:color="auto" w:fill="auto"/>
          </w:tcPr>
          <w:p w14:paraId="2CB2661D" w14:textId="77777777" w:rsidR="008C5CFA" w:rsidRPr="00BA47B4" w:rsidRDefault="00E82A60" w:rsidP="00300A01">
            <w:pPr>
              <w:spacing w:before="0" w:after="0"/>
              <w:jc w:val="right"/>
              <w:rPr>
                <w:sz w:val="12"/>
                <w:szCs w:val="12"/>
                <w:lang w:val="fr-BE"/>
              </w:rPr>
            </w:pPr>
            <w:r>
              <w:rPr>
                <w:noProof/>
                <w:sz w:val="12"/>
                <w:szCs w:val="12"/>
                <w:lang w:val="fr-BE"/>
              </w:rPr>
              <w:t>39,00</w:t>
            </w:r>
            <w:r>
              <w:rPr>
                <w:sz w:val="12"/>
                <w:szCs w:val="12"/>
                <w:lang w:val="fr-BE"/>
              </w:rPr>
              <w:t>%</w:t>
            </w:r>
          </w:p>
        </w:tc>
        <w:tc>
          <w:tcPr>
            <w:tcW w:w="0" w:type="auto"/>
            <w:shd w:val="clear" w:color="auto" w:fill="auto"/>
          </w:tcPr>
          <w:p w14:paraId="53041F1B" w14:textId="77777777" w:rsidR="008C5CFA" w:rsidRPr="00BA47B4" w:rsidRDefault="00E82A60" w:rsidP="00300A01">
            <w:pPr>
              <w:spacing w:before="0" w:after="0"/>
              <w:jc w:val="right"/>
              <w:rPr>
                <w:sz w:val="12"/>
                <w:szCs w:val="12"/>
                <w:lang w:val="fr-BE"/>
              </w:rPr>
            </w:pPr>
            <w:r>
              <w:rPr>
                <w:sz w:val="12"/>
                <w:szCs w:val="12"/>
                <w:lang w:val="fr-BE"/>
              </w:rPr>
              <w:t>%</w:t>
            </w:r>
          </w:p>
        </w:tc>
        <w:tc>
          <w:tcPr>
            <w:tcW w:w="0" w:type="auto"/>
            <w:shd w:val="clear" w:color="auto" w:fill="auto"/>
          </w:tcPr>
          <w:p w14:paraId="602A2DF7" w14:textId="77777777" w:rsidR="008C5CFA" w:rsidRPr="00BA47B4" w:rsidRDefault="00E82A60" w:rsidP="00300A01">
            <w:pPr>
              <w:spacing w:before="0" w:after="0"/>
              <w:jc w:val="right"/>
              <w:rPr>
                <w:sz w:val="12"/>
                <w:szCs w:val="12"/>
                <w:lang w:val="fr-BE"/>
              </w:rPr>
            </w:pPr>
            <w:r>
              <w:rPr>
                <w:sz w:val="12"/>
                <w:szCs w:val="12"/>
                <w:lang w:val="fr-BE"/>
              </w:rPr>
              <w:t>%</w:t>
            </w:r>
          </w:p>
        </w:tc>
        <w:tc>
          <w:tcPr>
            <w:tcW w:w="0" w:type="auto"/>
            <w:shd w:val="clear" w:color="auto" w:fill="auto"/>
          </w:tcPr>
          <w:p w14:paraId="4D3250CB" w14:textId="77777777" w:rsidR="008C5CFA" w:rsidRPr="00BA47B4" w:rsidRDefault="00E82A60" w:rsidP="00300A01">
            <w:pPr>
              <w:spacing w:before="0" w:after="0"/>
              <w:jc w:val="right"/>
              <w:rPr>
                <w:sz w:val="12"/>
                <w:szCs w:val="12"/>
                <w:lang w:val="fr-BE"/>
              </w:rPr>
            </w:pPr>
            <w:r w:rsidRPr="00BA47B4">
              <w:rPr>
                <w:noProof/>
                <w:sz w:val="12"/>
                <w:szCs w:val="12"/>
                <w:lang w:val="fr-BE"/>
              </w:rPr>
              <w:t>903,00</w:t>
            </w:r>
          </w:p>
        </w:tc>
        <w:tc>
          <w:tcPr>
            <w:tcW w:w="0" w:type="auto"/>
            <w:shd w:val="clear" w:color="auto" w:fill="auto"/>
          </w:tcPr>
          <w:p w14:paraId="1E526373" w14:textId="77777777" w:rsidR="008C5CFA" w:rsidRPr="00BA47B4" w:rsidRDefault="00E82A60" w:rsidP="00300A01">
            <w:pPr>
              <w:spacing w:before="0" w:after="0"/>
              <w:jc w:val="right"/>
              <w:rPr>
                <w:sz w:val="12"/>
                <w:szCs w:val="12"/>
                <w:lang w:val="fr-BE"/>
              </w:rPr>
            </w:pPr>
            <w:r w:rsidRPr="00BA47B4">
              <w:rPr>
                <w:noProof/>
                <w:sz w:val="12"/>
                <w:szCs w:val="12"/>
                <w:lang w:val="fr-BE"/>
              </w:rPr>
              <w:t>402,00</w:t>
            </w:r>
          </w:p>
        </w:tc>
        <w:tc>
          <w:tcPr>
            <w:tcW w:w="0" w:type="auto"/>
            <w:shd w:val="clear" w:color="auto" w:fill="auto"/>
          </w:tcPr>
          <w:p w14:paraId="59BDF53D" w14:textId="77777777" w:rsidR="008C5CFA" w:rsidRPr="00BA47B4" w:rsidRDefault="00E82A60" w:rsidP="00300A01">
            <w:pPr>
              <w:spacing w:before="0" w:after="0"/>
              <w:jc w:val="right"/>
              <w:rPr>
                <w:sz w:val="12"/>
                <w:szCs w:val="12"/>
                <w:lang w:val="fr-BE"/>
              </w:rPr>
            </w:pPr>
            <w:r w:rsidRPr="00BA47B4">
              <w:rPr>
                <w:noProof/>
                <w:sz w:val="12"/>
                <w:szCs w:val="12"/>
                <w:lang w:val="fr-BE"/>
              </w:rPr>
              <w:t>501,00</w:t>
            </w:r>
          </w:p>
        </w:tc>
        <w:tc>
          <w:tcPr>
            <w:tcW w:w="0" w:type="auto"/>
            <w:shd w:val="clear" w:color="auto" w:fill="auto"/>
          </w:tcPr>
          <w:p w14:paraId="6776036B" w14:textId="77777777" w:rsidR="008C5CFA" w:rsidRPr="00BA47B4" w:rsidRDefault="00E82A60" w:rsidP="00300A01">
            <w:pPr>
              <w:spacing w:before="0" w:after="0"/>
              <w:jc w:val="right"/>
              <w:rPr>
                <w:sz w:val="12"/>
                <w:szCs w:val="12"/>
                <w:lang w:val="fr-BE"/>
              </w:rPr>
            </w:pPr>
            <w:r>
              <w:rPr>
                <w:noProof/>
                <w:sz w:val="12"/>
                <w:szCs w:val="12"/>
                <w:lang w:val="fr-BE"/>
              </w:rPr>
              <w:t>1,72</w:t>
            </w:r>
          </w:p>
        </w:tc>
        <w:tc>
          <w:tcPr>
            <w:tcW w:w="0" w:type="auto"/>
            <w:shd w:val="clear" w:color="auto" w:fill="auto"/>
          </w:tcPr>
          <w:p w14:paraId="356E0D0B" w14:textId="77777777" w:rsidR="008C5CFA" w:rsidRPr="00BA47B4" w:rsidRDefault="008C5CFA" w:rsidP="00300A01">
            <w:pPr>
              <w:spacing w:before="0" w:after="0"/>
              <w:jc w:val="right"/>
              <w:rPr>
                <w:sz w:val="12"/>
                <w:szCs w:val="12"/>
                <w:lang w:val="fr-BE"/>
              </w:rPr>
            </w:pPr>
          </w:p>
        </w:tc>
        <w:tc>
          <w:tcPr>
            <w:tcW w:w="0" w:type="auto"/>
            <w:shd w:val="clear" w:color="auto" w:fill="auto"/>
          </w:tcPr>
          <w:p w14:paraId="59F72B6C" w14:textId="77777777" w:rsidR="008C5CFA" w:rsidRPr="00BA47B4" w:rsidRDefault="008C5CFA" w:rsidP="00300A01">
            <w:pPr>
              <w:spacing w:before="0" w:after="0"/>
              <w:jc w:val="right"/>
              <w:rPr>
                <w:sz w:val="12"/>
                <w:szCs w:val="12"/>
                <w:lang w:val="fr-BE"/>
              </w:rPr>
            </w:pPr>
          </w:p>
        </w:tc>
        <w:tc>
          <w:tcPr>
            <w:tcW w:w="0" w:type="auto"/>
            <w:shd w:val="clear" w:color="auto" w:fill="auto"/>
          </w:tcPr>
          <w:p w14:paraId="7A49B28F" w14:textId="77777777" w:rsidR="008C5CFA" w:rsidRPr="00BA47B4" w:rsidRDefault="00E82A60" w:rsidP="00300A01">
            <w:pPr>
              <w:spacing w:before="0" w:after="0"/>
              <w:jc w:val="right"/>
              <w:rPr>
                <w:sz w:val="12"/>
                <w:szCs w:val="12"/>
                <w:lang w:val="fr-BE"/>
              </w:rPr>
            </w:pPr>
            <w:r w:rsidRPr="00BA47B4">
              <w:rPr>
                <w:noProof/>
                <w:sz w:val="12"/>
                <w:szCs w:val="12"/>
                <w:lang w:val="fr-BE"/>
              </w:rPr>
              <w:t>92,00</w:t>
            </w:r>
          </w:p>
        </w:tc>
        <w:tc>
          <w:tcPr>
            <w:tcW w:w="0" w:type="auto"/>
            <w:shd w:val="clear" w:color="auto" w:fill="auto"/>
          </w:tcPr>
          <w:p w14:paraId="78542077" w14:textId="77777777" w:rsidR="008C5CFA" w:rsidRPr="00BA47B4" w:rsidRDefault="00E82A60" w:rsidP="00300A01">
            <w:pPr>
              <w:spacing w:before="0" w:after="0"/>
              <w:jc w:val="right"/>
              <w:rPr>
                <w:sz w:val="12"/>
                <w:szCs w:val="12"/>
                <w:lang w:val="fr-BE"/>
              </w:rPr>
            </w:pPr>
            <w:r w:rsidRPr="00BA47B4">
              <w:rPr>
                <w:noProof/>
                <w:sz w:val="12"/>
                <w:szCs w:val="12"/>
                <w:lang w:val="fr-BE"/>
              </w:rPr>
              <w:t>127,00</w:t>
            </w:r>
          </w:p>
        </w:tc>
      </w:tr>
      <w:tr w:rsidR="006B2EC1" w14:paraId="698D473C" w14:textId="77777777" w:rsidTr="0047688D">
        <w:tc>
          <w:tcPr>
            <w:tcW w:w="0" w:type="auto"/>
            <w:shd w:val="clear" w:color="auto" w:fill="auto"/>
          </w:tcPr>
          <w:p w14:paraId="7E56F82C" w14:textId="77777777" w:rsidR="008C5CFA" w:rsidRPr="00BA47B4" w:rsidRDefault="00E82A60" w:rsidP="00300A01">
            <w:pPr>
              <w:spacing w:before="0" w:after="0"/>
              <w:rPr>
                <w:sz w:val="12"/>
                <w:szCs w:val="12"/>
                <w:lang w:val="fr-BE"/>
              </w:rPr>
            </w:pPr>
            <w:r w:rsidRPr="00BA47B4">
              <w:rPr>
                <w:noProof/>
                <w:sz w:val="12"/>
                <w:szCs w:val="12"/>
                <w:lang w:val="fr-BE"/>
              </w:rPr>
              <w:t>CR03</w:t>
            </w:r>
          </w:p>
        </w:tc>
        <w:tc>
          <w:tcPr>
            <w:tcW w:w="0" w:type="auto"/>
            <w:shd w:val="clear" w:color="auto" w:fill="auto"/>
          </w:tcPr>
          <w:p w14:paraId="697BA685" w14:textId="77777777" w:rsidR="008C5CFA" w:rsidRPr="00BA47B4" w:rsidRDefault="00E82A60" w:rsidP="00300A01">
            <w:pPr>
              <w:spacing w:before="0" w:after="0"/>
              <w:rPr>
                <w:sz w:val="12"/>
                <w:szCs w:val="12"/>
                <w:lang w:val="fr-BE"/>
              </w:rPr>
            </w:pPr>
            <w:r w:rsidRPr="00BA47B4">
              <w:rPr>
                <w:noProof/>
                <w:sz w:val="12"/>
                <w:szCs w:val="12"/>
                <w:lang w:val="fr-BE"/>
              </w:rPr>
              <w:t>uczestnicy uzyskujący kwalifikacje po opuszczeniu programu</w:t>
            </w:r>
          </w:p>
        </w:tc>
        <w:tc>
          <w:tcPr>
            <w:tcW w:w="0" w:type="auto"/>
            <w:shd w:val="clear" w:color="auto" w:fill="auto"/>
          </w:tcPr>
          <w:p w14:paraId="47B023F1" w14:textId="77777777" w:rsidR="008C5CFA" w:rsidRPr="00BA47B4" w:rsidRDefault="00E82A60" w:rsidP="00300A01">
            <w:pPr>
              <w:spacing w:before="0" w:after="0"/>
              <w:rPr>
                <w:sz w:val="12"/>
                <w:szCs w:val="12"/>
                <w:lang w:val="fr-BE"/>
              </w:rPr>
            </w:pPr>
            <w:r w:rsidRPr="00BA47B4">
              <w:rPr>
                <w:noProof/>
                <w:sz w:val="12"/>
                <w:szCs w:val="12"/>
                <w:lang w:val="fr-BE"/>
              </w:rPr>
              <w:t>Słabiej rozwinięte</w:t>
            </w:r>
          </w:p>
        </w:tc>
        <w:tc>
          <w:tcPr>
            <w:tcW w:w="0" w:type="auto"/>
            <w:shd w:val="clear" w:color="auto" w:fill="auto"/>
          </w:tcPr>
          <w:p w14:paraId="4B5FB668" w14:textId="77777777" w:rsidR="008C5CFA" w:rsidRPr="00BA47B4" w:rsidRDefault="00E82A60" w:rsidP="00300A01">
            <w:pPr>
              <w:spacing w:before="0" w:after="0"/>
              <w:rPr>
                <w:sz w:val="12"/>
                <w:szCs w:val="12"/>
                <w:lang w:val="fr-BE"/>
              </w:rPr>
            </w:pPr>
            <w:r w:rsidRPr="00BA47B4">
              <w:rPr>
                <w:noProof/>
                <w:sz w:val="12"/>
                <w:szCs w:val="12"/>
                <w:lang w:val="fr-BE"/>
              </w:rPr>
              <w:t>CO16</w:t>
            </w:r>
            <w:r w:rsidRPr="00BA47B4">
              <w:rPr>
                <w:sz w:val="12"/>
                <w:szCs w:val="12"/>
                <w:lang w:val="fr-BE"/>
              </w:rPr>
              <w:t xml:space="preserve"> </w:t>
            </w:r>
            <w:r w:rsidRPr="00BA47B4">
              <w:rPr>
                <w:noProof/>
                <w:sz w:val="12"/>
                <w:szCs w:val="12"/>
                <w:lang w:val="fr-BE"/>
              </w:rPr>
              <w:t>uczestnicy z niepełnosprawnościami</w:t>
            </w:r>
          </w:p>
        </w:tc>
        <w:tc>
          <w:tcPr>
            <w:tcW w:w="0" w:type="auto"/>
            <w:shd w:val="clear" w:color="auto" w:fill="auto"/>
          </w:tcPr>
          <w:p w14:paraId="31E5962A" w14:textId="77777777" w:rsidR="008C5CFA" w:rsidRPr="00BA47B4" w:rsidRDefault="00E82A60" w:rsidP="00300A01">
            <w:pPr>
              <w:spacing w:before="0" w:after="0"/>
              <w:jc w:val="center"/>
              <w:rPr>
                <w:sz w:val="12"/>
                <w:szCs w:val="12"/>
                <w:lang w:val="fr-BE"/>
              </w:rPr>
            </w:pPr>
            <w:r>
              <w:rPr>
                <w:noProof/>
                <w:sz w:val="12"/>
                <w:szCs w:val="12"/>
                <w:lang w:val="fr-BE"/>
              </w:rPr>
              <w:t>Współczynnik</w:t>
            </w:r>
          </w:p>
        </w:tc>
        <w:tc>
          <w:tcPr>
            <w:tcW w:w="0" w:type="auto"/>
            <w:shd w:val="clear" w:color="auto" w:fill="auto"/>
          </w:tcPr>
          <w:p w14:paraId="4FBE8FB1" w14:textId="77777777" w:rsidR="008C5CFA" w:rsidRPr="00BA47B4" w:rsidRDefault="00E82A60" w:rsidP="00300A01">
            <w:pPr>
              <w:spacing w:before="0" w:after="0"/>
              <w:jc w:val="right"/>
              <w:rPr>
                <w:sz w:val="12"/>
                <w:szCs w:val="12"/>
                <w:lang w:val="fr-BE"/>
              </w:rPr>
            </w:pPr>
            <w:r>
              <w:rPr>
                <w:noProof/>
                <w:sz w:val="12"/>
                <w:szCs w:val="12"/>
                <w:lang w:val="fr-BE"/>
              </w:rPr>
              <w:t>39,00</w:t>
            </w:r>
            <w:r>
              <w:rPr>
                <w:sz w:val="12"/>
                <w:szCs w:val="12"/>
                <w:lang w:val="fr-BE"/>
              </w:rPr>
              <w:t>%</w:t>
            </w:r>
          </w:p>
        </w:tc>
        <w:tc>
          <w:tcPr>
            <w:tcW w:w="0" w:type="auto"/>
            <w:shd w:val="clear" w:color="auto" w:fill="auto"/>
          </w:tcPr>
          <w:p w14:paraId="5C9B493F" w14:textId="77777777" w:rsidR="008C5CFA" w:rsidRPr="00BA47B4" w:rsidRDefault="00E82A60" w:rsidP="00300A01">
            <w:pPr>
              <w:spacing w:before="0" w:after="0"/>
              <w:jc w:val="right"/>
              <w:rPr>
                <w:sz w:val="12"/>
                <w:szCs w:val="12"/>
                <w:lang w:val="fr-BE"/>
              </w:rPr>
            </w:pPr>
            <w:r>
              <w:rPr>
                <w:sz w:val="12"/>
                <w:szCs w:val="12"/>
                <w:lang w:val="fr-BE"/>
              </w:rPr>
              <w:t>%</w:t>
            </w:r>
          </w:p>
        </w:tc>
        <w:tc>
          <w:tcPr>
            <w:tcW w:w="0" w:type="auto"/>
            <w:shd w:val="clear" w:color="auto" w:fill="auto"/>
          </w:tcPr>
          <w:p w14:paraId="4C55EED2" w14:textId="77777777" w:rsidR="008C5CFA" w:rsidRPr="00BA47B4" w:rsidRDefault="00E82A60" w:rsidP="00300A01">
            <w:pPr>
              <w:spacing w:before="0" w:after="0"/>
              <w:jc w:val="right"/>
              <w:rPr>
                <w:sz w:val="12"/>
                <w:szCs w:val="12"/>
                <w:lang w:val="fr-BE"/>
              </w:rPr>
            </w:pPr>
            <w:r>
              <w:rPr>
                <w:sz w:val="12"/>
                <w:szCs w:val="12"/>
                <w:lang w:val="fr-BE"/>
              </w:rPr>
              <w:t>%</w:t>
            </w:r>
          </w:p>
        </w:tc>
        <w:tc>
          <w:tcPr>
            <w:tcW w:w="0" w:type="auto"/>
            <w:shd w:val="clear" w:color="auto" w:fill="auto"/>
          </w:tcPr>
          <w:p w14:paraId="17B7CE93" w14:textId="77777777" w:rsidR="008C5CFA" w:rsidRPr="00BA47B4" w:rsidRDefault="00E82A60" w:rsidP="00300A01">
            <w:pPr>
              <w:spacing w:before="0" w:after="0"/>
              <w:jc w:val="right"/>
              <w:rPr>
                <w:sz w:val="12"/>
                <w:szCs w:val="12"/>
                <w:lang w:val="fr-BE"/>
              </w:rPr>
            </w:pPr>
            <w:r w:rsidRPr="00BA47B4">
              <w:rPr>
                <w:noProof/>
                <w:sz w:val="12"/>
                <w:szCs w:val="12"/>
                <w:lang w:val="fr-BE"/>
              </w:rPr>
              <w:t>754,00</w:t>
            </w:r>
          </w:p>
        </w:tc>
        <w:tc>
          <w:tcPr>
            <w:tcW w:w="0" w:type="auto"/>
            <w:shd w:val="clear" w:color="auto" w:fill="auto"/>
          </w:tcPr>
          <w:p w14:paraId="017CA08B" w14:textId="77777777" w:rsidR="008C5CFA" w:rsidRPr="00BA47B4" w:rsidRDefault="00E82A60" w:rsidP="00300A01">
            <w:pPr>
              <w:spacing w:before="0" w:after="0"/>
              <w:jc w:val="right"/>
              <w:rPr>
                <w:sz w:val="12"/>
                <w:szCs w:val="12"/>
                <w:lang w:val="fr-BE"/>
              </w:rPr>
            </w:pPr>
            <w:r w:rsidRPr="00BA47B4">
              <w:rPr>
                <w:noProof/>
                <w:sz w:val="12"/>
                <w:szCs w:val="12"/>
                <w:lang w:val="fr-BE"/>
              </w:rPr>
              <w:t>367,00</w:t>
            </w:r>
          </w:p>
        </w:tc>
        <w:tc>
          <w:tcPr>
            <w:tcW w:w="0" w:type="auto"/>
            <w:shd w:val="clear" w:color="auto" w:fill="auto"/>
          </w:tcPr>
          <w:p w14:paraId="25279E62" w14:textId="77777777" w:rsidR="008C5CFA" w:rsidRPr="00BA47B4" w:rsidRDefault="00E82A60" w:rsidP="00300A01">
            <w:pPr>
              <w:spacing w:before="0" w:after="0"/>
              <w:jc w:val="right"/>
              <w:rPr>
                <w:sz w:val="12"/>
                <w:szCs w:val="12"/>
                <w:lang w:val="fr-BE"/>
              </w:rPr>
            </w:pPr>
            <w:r w:rsidRPr="00BA47B4">
              <w:rPr>
                <w:noProof/>
                <w:sz w:val="12"/>
                <w:szCs w:val="12"/>
                <w:lang w:val="fr-BE"/>
              </w:rPr>
              <w:t>387,00</w:t>
            </w:r>
          </w:p>
        </w:tc>
        <w:tc>
          <w:tcPr>
            <w:tcW w:w="0" w:type="auto"/>
            <w:shd w:val="clear" w:color="auto" w:fill="auto"/>
          </w:tcPr>
          <w:p w14:paraId="7BF3DDAE" w14:textId="77777777" w:rsidR="008C5CFA" w:rsidRPr="00BA47B4" w:rsidRDefault="00E82A60" w:rsidP="00300A01">
            <w:pPr>
              <w:spacing w:before="0" w:after="0"/>
              <w:jc w:val="right"/>
              <w:rPr>
                <w:sz w:val="12"/>
                <w:szCs w:val="12"/>
                <w:lang w:val="fr-BE"/>
              </w:rPr>
            </w:pPr>
            <w:r>
              <w:rPr>
                <w:noProof/>
                <w:sz w:val="12"/>
                <w:szCs w:val="12"/>
                <w:lang w:val="fr-BE"/>
              </w:rPr>
              <w:t>0,89</w:t>
            </w:r>
          </w:p>
        </w:tc>
        <w:tc>
          <w:tcPr>
            <w:tcW w:w="0" w:type="auto"/>
            <w:shd w:val="clear" w:color="auto" w:fill="auto"/>
          </w:tcPr>
          <w:p w14:paraId="558C5DE0" w14:textId="77777777" w:rsidR="008C5CFA" w:rsidRPr="00BA47B4" w:rsidRDefault="008C5CFA" w:rsidP="00300A01">
            <w:pPr>
              <w:spacing w:before="0" w:after="0"/>
              <w:jc w:val="right"/>
              <w:rPr>
                <w:sz w:val="12"/>
                <w:szCs w:val="12"/>
                <w:lang w:val="fr-BE"/>
              </w:rPr>
            </w:pPr>
          </w:p>
        </w:tc>
        <w:tc>
          <w:tcPr>
            <w:tcW w:w="0" w:type="auto"/>
            <w:shd w:val="clear" w:color="auto" w:fill="auto"/>
          </w:tcPr>
          <w:p w14:paraId="04FA2DC6" w14:textId="77777777" w:rsidR="008C5CFA" w:rsidRPr="00BA47B4" w:rsidRDefault="008C5CFA" w:rsidP="00300A01">
            <w:pPr>
              <w:spacing w:before="0" w:after="0"/>
              <w:jc w:val="right"/>
              <w:rPr>
                <w:sz w:val="12"/>
                <w:szCs w:val="12"/>
                <w:lang w:val="fr-BE"/>
              </w:rPr>
            </w:pPr>
          </w:p>
        </w:tc>
        <w:tc>
          <w:tcPr>
            <w:tcW w:w="0" w:type="auto"/>
            <w:shd w:val="clear" w:color="auto" w:fill="auto"/>
          </w:tcPr>
          <w:p w14:paraId="0CBABEC7" w14:textId="77777777" w:rsidR="008C5CFA" w:rsidRPr="00BA47B4" w:rsidRDefault="00E82A60" w:rsidP="00300A01">
            <w:pPr>
              <w:spacing w:before="0" w:after="0"/>
              <w:jc w:val="right"/>
              <w:rPr>
                <w:sz w:val="12"/>
                <w:szCs w:val="12"/>
                <w:lang w:val="fr-BE"/>
              </w:rPr>
            </w:pPr>
            <w:r w:rsidRPr="00BA47B4">
              <w:rPr>
                <w:noProof/>
                <w:sz w:val="12"/>
                <w:szCs w:val="12"/>
                <w:lang w:val="fr-BE"/>
              </w:rPr>
              <w:t>62,00</w:t>
            </w:r>
          </w:p>
        </w:tc>
        <w:tc>
          <w:tcPr>
            <w:tcW w:w="0" w:type="auto"/>
            <w:shd w:val="clear" w:color="auto" w:fill="auto"/>
          </w:tcPr>
          <w:p w14:paraId="73359475" w14:textId="77777777" w:rsidR="008C5CFA" w:rsidRPr="00BA47B4" w:rsidRDefault="00E82A60" w:rsidP="00300A01">
            <w:pPr>
              <w:spacing w:before="0" w:after="0"/>
              <w:jc w:val="right"/>
              <w:rPr>
                <w:sz w:val="12"/>
                <w:szCs w:val="12"/>
                <w:lang w:val="fr-BE"/>
              </w:rPr>
            </w:pPr>
            <w:r w:rsidRPr="00BA47B4">
              <w:rPr>
                <w:noProof/>
                <w:sz w:val="12"/>
                <w:szCs w:val="12"/>
                <w:lang w:val="fr-BE"/>
              </w:rPr>
              <w:t>65,00</w:t>
            </w:r>
          </w:p>
        </w:tc>
      </w:tr>
      <w:tr w:rsidR="006B2EC1" w14:paraId="6FB921F8" w14:textId="77777777" w:rsidTr="0047688D">
        <w:tc>
          <w:tcPr>
            <w:tcW w:w="0" w:type="auto"/>
            <w:shd w:val="clear" w:color="auto" w:fill="auto"/>
          </w:tcPr>
          <w:p w14:paraId="6BF2B704" w14:textId="77777777" w:rsidR="008C5CFA" w:rsidRPr="00BA47B4" w:rsidRDefault="00E82A60" w:rsidP="00300A01">
            <w:pPr>
              <w:spacing w:before="0" w:after="0"/>
              <w:rPr>
                <w:sz w:val="12"/>
                <w:szCs w:val="12"/>
                <w:lang w:val="fr-BE"/>
              </w:rPr>
            </w:pPr>
            <w:r w:rsidRPr="00BA47B4">
              <w:rPr>
                <w:noProof/>
                <w:sz w:val="12"/>
                <w:szCs w:val="12"/>
                <w:lang w:val="fr-BE"/>
              </w:rPr>
              <w:t>CR04</w:t>
            </w:r>
          </w:p>
        </w:tc>
        <w:tc>
          <w:tcPr>
            <w:tcW w:w="0" w:type="auto"/>
            <w:shd w:val="clear" w:color="auto" w:fill="auto"/>
          </w:tcPr>
          <w:p w14:paraId="5963F5B5" w14:textId="77777777" w:rsidR="008C5CFA" w:rsidRPr="00BA47B4" w:rsidRDefault="00E82A60" w:rsidP="00300A01">
            <w:pPr>
              <w:spacing w:before="0" w:after="0"/>
              <w:rPr>
                <w:sz w:val="12"/>
                <w:szCs w:val="12"/>
                <w:lang w:val="fr-BE"/>
              </w:rPr>
            </w:pPr>
            <w:r w:rsidRPr="00BA47B4">
              <w:rPr>
                <w:noProof/>
                <w:sz w:val="12"/>
                <w:szCs w:val="12"/>
                <w:lang w:val="fr-BE"/>
              </w:rPr>
              <w:t>uczestnicy pracujący, łącznie z prowadzącymi działalność na własny rachunek, po opuszczeniu programu</w:t>
            </w:r>
          </w:p>
        </w:tc>
        <w:tc>
          <w:tcPr>
            <w:tcW w:w="0" w:type="auto"/>
            <w:shd w:val="clear" w:color="auto" w:fill="auto"/>
          </w:tcPr>
          <w:p w14:paraId="6AD61843" w14:textId="77777777" w:rsidR="008C5CFA" w:rsidRPr="00BA47B4" w:rsidRDefault="00E82A60" w:rsidP="00300A01">
            <w:pPr>
              <w:spacing w:before="0" w:after="0"/>
              <w:rPr>
                <w:sz w:val="12"/>
                <w:szCs w:val="12"/>
                <w:lang w:val="fr-BE"/>
              </w:rPr>
            </w:pPr>
            <w:r w:rsidRPr="00BA47B4">
              <w:rPr>
                <w:noProof/>
                <w:sz w:val="12"/>
                <w:szCs w:val="12"/>
                <w:lang w:val="fr-BE"/>
              </w:rPr>
              <w:t>Słabiej rozwinięte</w:t>
            </w:r>
          </w:p>
        </w:tc>
        <w:tc>
          <w:tcPr>
            <w:tcW w:w="0" w:type="auto"/>
            <w:shd w:val="clear" w:color="auto" w:fill="auto"/>
          </w:tcPr>
          <w:p w14:paraId="326DB7AE" w14:textId="77777777" w:rsidR="008C5CFA" w:rsidRPr="00BA47B4" w:rsidRDefault="00E82A60" w:rsidP="00300A01">
            <w:pPr>
              <w:spacing w:before="0" w:after="0"/>
              <w:rPr>
                <w:sz w:val="12"/>
                <w:szCs w:val="12"/>
                <w:lang w:val="fr-BE"/>
              </w:rPr>
            </w:pPr>
            <w:r w:rsidRPr="00BA47B4">
              <w:rPr>
                <w:sz w:val="12"/>
                <w:szCs w:val="12"/>
                <w:lang w:val="fr-BE"/>
              </w:rPr>
              <w:t xml:space="preserve"> </w:t>
            </w:r>
          </w:p>
        </w:tc>
        <w:tc>
          <w:tcPr>
            <w:tcW w:w="0" w:type="auto"/>
            <w:shd w:val="clear" w:color="auto" w:fill="auto"/>
          </w:tcPr>
          <w:p w14:paraId="362C5312" w14:textId="77777777" w:rsidR="008C5CFA" w:rsidRPr="00BA47B4" w:rsidRDefault="008C5CFA" w:rsidP="00300A01">
            <w:pPr>
              <w:spacing w:before="0" w:after="0"/>
              <w:jc w:val="center"/>
              <w:rPr>
                <w:sz w:val="12"/>
                <w:szCs w:val="12"/>
                <w:lang w:val="fr-BE"/>
              </w:rPr>
            </w:pPr>
          </w:p>
        </w:tc>
        <w:tc>
          <w:tcPr>
            <w:tcW w:w="0" w:type="auto"/>
            <w:shd w:val="clear" w:color="auto" w:fill="auto"/>
          </w:tcPr>
          <w:p w14:paraId="5D7BB09B" w14:textId="77777777" w:rsidR="008C5CFA" w:rsidRPr="00BA47B4" w:rsidRDefault="008C5CFA" w:rsidP="00300A01">
            <w:pPr>
              <w:spacing w:before="0" w:after="0"/>
              <w:jc w:val="right"/>
              <w:rPr>
                <w:sz w:val="12"/>
                <w:szCs w:val="12"/>
                <w:lang w:val="fr-BE"/>
              </w:rPr>
            </w:pPr>
          </w:p>
        </w:tc>
        <w:tc>
          <w:tcPr>
            <w:tcW w:w="0" w:type="auto"/>
            <w:shd w:val="clear" w:color="auto" w:fill="auto"/>
          </w:tcPr>
          <w:p w14:paraId="6D3306B1" w14:textId="77777777" w:rsidR="008C5CFA" w:rsidRPr="00BA47B4" w:rsidRDefault="008C5CFA" w:rsidP="00300A01">
            <w:pPr>
              <w:spacing w:before="0" w:after="0"/>
              <w:jc w:val="right"/>
              <w:rPr>
                <w:sz w:val="12"/>
                <w:szCs w:val="12"/>
                <w:lang w:val="fr-BE"/>
              </w:rPr>
            </w:pPr>
          </w:p>
        </w:tc>
        <w:tc>
          <w:tcPr>
            <w:tcW w:w="0" w:type="auto"/>
            <w:shd w:val="clear" w:color="auto" w:fill="auto"/>
          </w:tcPr>
          <w:p w14:paraId="5994B314" w14:textId="77777777" w:rsidR="008C5CFA" w:rsidRPr="00BA47B4" w:rsidRDefault="008C5CFA" w:rsidP="00300A01">
            <w:pPr>
              <w:spacing w:before="0" w:after="0"/>
              <w:jc w:val="right"/>
              <w:rPr>
                <w:sz w:val="12"/>
                <w:szCs w:val="12"/>
                <w:lang w:val="fr-BE"/>
              </w:rPr>
            </w:pPr>
          </w:p>
        </w:tc>
        <w:tc>
          <w:tcPr>
            <w:tcW w:w="0" w:type="auto"/>
            <w:shd w:val="clear" w:color="auto" w:fill="auto"/>
          </w:tcPr>
          <w:p w14:paraId="38A6ECFE" w14:textId="77777777" w:rsidR="008C5CFA" w:rsidRPr="00BA47B4" w:rsidRDefault="00E82A60" w:rsidP="00300A01">
            <w:pPr>
              <w:spacing w:before="0" w:after="0"/>
              <w:jc w:val="right"/>
              <w:rPr>
                <w:sz w:val="12"/>
                <w:szCs w:val="12"/>
                <w:lang w:val="fr-BE"/>
              </w:rPr>
            </w:pPr>
            <w:r w:rsidRPr="00BA47B4">
              <w:rPr>
                <w:noProof/>
                <w:sz w:val="12"/>
                <w:szCs w:val="12"/>
                <w:lang w:val="fr-BE"/>
              </w:rPr>
              <w:t>12 095,00</w:t>
            </w:r>
          </w:p>
        </w:tc>
        <w:tc>
          <w:tcPr>
            <w:tcW w:w="0" w:type="auto"/>
            <w:shd w:val="clear" w:color="auto" w:fill="auto"/>
          </w:tcPr>
          <w:p w14:paraId="76DEA73C" w14:textId="77777777" w:rsidR="008C5CFA" w:rsidRPr="00BA47B4" w:rsidRDefault="00E82A60" w:rsidP="00300A01">
            <w:pPr>
              <w:spacing w:before="0" w:after="0"/>
              <w:jc w:val="right"/>
              <w:rPr>
                <w:sz w:val="12"/>
                <w:szCs w:val="12"/>
                <w:lang w:val="fr-BE"/>
              </w:rPr>
            </w:pPr>
            <w:r w:rsidRPr="00BA47B4">
              <w:rPr>
                <w:noProof/>
                <w:sz w:val="12"/>
                <w:szCs w:val="12"/>
                <w:lang w:val="fr-BE"/>
              </w:rPr>
              <w:t>5 038,00</w:t>
            </w:r>
          </w:p>
        </w:tc>
        <w:tc>
          <w:tcPr>
            <w:tcW w:w="0" w:type="auto"/>
            <w:shd w:val="clear" w:color="auto" w:fill="auto"/>
          </w:tcPr>
          <w:p w14:paraId="56C29644" w14:textId="77777777" w:rsidR="008C5CFA" w:rsidRPr="00BA47B4" w:rsidRDefault="00E82A60" w:rsidP="00300A01">
            <w:pPr>
              <w:spacing w:before="0" w:after="0"/>
              <w:jc w:val="right"/>
              <w:rPr>
                <w:sz w:val="12"/>
                <w:szCs w:val="12"/>
                <w:lang w:val="fr-BE"/>
              </w:rPr>
            </w:pPr>
            <w:r w:rsidRPr="00BA47B4">
              <w:rPr>
                <w:noProof/>
                <w:sz w:val="12"/>
                <w:szCs w:val="12"/>
                <w:lang w:val="fr-BE"/>
              </w:rPr>
              <w:t>7 057,00</w:t>
            </w:r>
          </w:p>
        </w:tc>
        <w:tc>
          <w:tcPr>
            <w:tcW w:w="0" w:type="auto"/>
            <w:shd w:val="clear" w:color="auto" w:fill="auto"/>
          </w:tcPr>
          <w:p w14:paraId="020B9715" w14:textId="77777777" w:rsidR="008C5CFA" w:rsidRPr="00BA47B4" w:rsidRDefault="008C5CFA" w:rsidP="00300A01">
            <w:pPr>
              <w:spacing w:before="0" w:after="0"/>
              <w:jc w:val="right"/>
              <w:rPr>
                <w:sz w:val="12"/>
                <w:szCs w:val="12"/>
                <w:lang w:val="fr-BE"/>
              </w:rPr>
            </w:pPr>
          </w:p>
        </w:tc>
        <w:tc>
          <w:tcPr>
            <w:tcW w:w="0" w:type="auto"/>
            <w:shd w:val="clear" w:color="auto" w:fill="auto"/>
          </w:tcPr>
          <w:p w14:paraId="11AFB515" w14:textId="77777777" w:rsidR="008C5CFA" w:rsidRPr="00BA47B4" w:rsidRDefault="008C5CFA" w:rsidP="00300A01">
            <w:pPr>
              <w:spacing w:before="0" w:after="0"/>
              <w:jc w:val="right"/>
              <w:rPr>
                <w:sz w:val="12"/>
                <w:szCs w:val="12"/>
                <w:lang w:val="fr-BE"/>
              </w:rPr>
            </w:pPr>
          </w:p>
        </w:tc>
        <w:tc>
          <w:tcPr>
            <w:tcW w:w="0" w:type="auto"/>
            <w:shd w:val="clear" w:color="auto" w:fill="auto"/>
          </w:tcPr>
          <w:p w14:paraId="1CC29FCE" w14:textId="77777777" w:rsidR="008C5CFA" w:rsidRPr="00BA47B4" w:rsidRDefault="008C5CFA" w:rsidP="00300A01">
            <w:pPr>
              <w:spacing w:before="0" w:after="0"/>
              <w:jc w:val="right"/>
              <w:rPr>
                <w:sz w:val="12"/>
                <w:szCs w:val="12"/>
                <w:lang w:val="fr-BE"/>
              </w:rPr>
            </w:pPr>
          </w:p>
        </w:tc>
        <w:tc>
          <w:tcPr>
            <w:tcW w:w="0" w:type="auto"/>
            <w:shd w:val="clear" w:color="auto" w:fill="auto"/>
          </w:tcPr>
          <w:p w14:paraId="71795CA7" w14:textId="77777777" w:rsidR="008C5CFA" w:rsidRPr="00BA47B4" w:rsidRDefault="00E82A60" w:rsidP="00300A01">
            <w:pPr>
              <w:spacing w:before="0" w:after="0"/>
              <w:jc w:val="right"/>
              <w:rPr>
                <w:sz w:val="12"/>
                <w:szCs w:val="12"/>
                <w:lang w:val="fr-BE"/>
              </w:rPr>
            </w:pPr>
            <w:r w:rsidRPr="00BA47B4">
              <w:rPr>
                <w:noProof/>
                <w:sz w:val="12"/>
                <w:szCs w:val="12"/>
                <w:lang w:val="fr-BE"/>
              </w:rPr>
              <w:t>837,00</w:t>
            </w:r>
          </w:p>
        </w:tc>
        <w:tc>
          <w:tcPr>
            <w:tcW w:w="0" w:type="auto"/>
            <w:shd w:val="clear" w:color="auto" w:fill="auto"/>
          </w:tcPr>
          <w:p w14:paraId="57E4630F" w14:textId="77777777" w:rsidR="008C5CFA" w:rsidRPr="00BA47B4" w:rsidRDefault="00E82A60" w:rsidP="00300A01">
            <w:pPr>
              <w:spacing w:before="0" w:after="0"/>
              <w:jc w:val="right"/>
              <w:rPr>
                <w:sz w:val="12"/>
                <w:szCs w:val="12"/>
                <w:lang w:val="fr-BE"/>
              </w:rPr>
            </w:pPr>
            <w:r w:rsidRPr="00BA47B4">
              <w:rPr>
                <w:noProof/>
                <w:sz w:val="12"/>
                <w:szCs w:val="12"/>
                <w:lang w:val="fr-BE"/>
              </w:rPr>
              <w:t>1 178,00</w:t>
            </w:r>
          </w:p>
        </w:tc>
      </w:tr>
      <w:tr w:rsidR="006B2EC1" w14:paraId="2A2BC6BB" w14:textId="77777777" w:rsidTr="0047688D">
        <w:tc>
          <w:tcPr>
            <w:tcW w:w="0" w:type="auto"/>
            <w:shd w:val="clear" w:color="auto" w:fill="auto"/>
          </w:tcPr>
          <w:p w14:paraId="2C591A09" w14:textId="77777777" w:rsidR="008C5CFA" w:rsidRPr="00BA47B4" w:rsidRDefault="00E82A60" w:rsidP="00300A01">
            <w:pPr>
              <w:spacing w:before="0" w:after="0"/>
              <w:rPr>
                <w:sz w:val="12"/>
                <w:szCs w:val="12"/>
                <w:lang w:val="fr-BE"/>
              </w:rPr>
            </w:pPr>
            <w:r w:rsidRPr="00BA47B4">
              <w:rPr>
                <w:noProof/>
                <w:sz w:val="12"/>
                <w:szCs w:val="12"/>
                <w:lang w:val="fr-BE"/>
              </w:rPr>
              <w:t>CR04</w:t>
            </w:r>
          </w:p>
        </w:tc>
        <w:tc>
          <w:tcPr>
            <w:tcW w:w="0" w:type="auto"/>
            <w:shd w:val="clear" w:color="auto" w:fill="auto"/>
          </w:tcPr>
          <w:p w14:paraId="71489752" w14:textId="77777777" w:rsidR="008C5CFA" w:rsidRPr="00BA47B4" w:rsidRDefault="00E82A60" w:rsidP="00300A01">
            <w:pPr>
              <w:spacing w:before="0" w:after="0"/>
              <w:rPr>
                <w:sz w:val="12"/>
                <w:szCs w:val="12"/>
                <w:lang w:val="fr-BE"/>
              </w:rPr>
            </w:pPr>
            <w:r w:rsidRPr="00BA47B4">
              <w:rPr>
                <w:noProof/>
                <w:sz w:val="12"/>
                <w:szCs w:val="12"/>
                <w:lang w:val="fr-BE"/>
              </w:rPr>
              <w:t>uczestnicy pracujący, łącznie z prowadzącymi działalność na własny rachunek, po opuszczeniu programu</w:t>
            </w:r>
          </w:p>
        </w:tc>
        <w:tc>
          <w:tcPr>
            <w:tcW w:w="0" w:type="auto"/>
            <w:shd w:val="clear" w:color="auto" w:fill="auto"/>
          </w:tcPr>
          <w:p w14:paraId="08E20CA5" w14:textId="77777777" w:rsidR="008C5CFA" w:rsidRPr="00BA47B4" w:rsidRDefault="00E82A60" w:rsidP="00300A01">
            <w:pPr>
              <w:spacing w:before="0" w:after="0"/>
              <w:rPr>
                <w:sz w:val="12"/>
                <w:szCs w:val="12"/>
                <w:lang w:val="fr-BE"/>
              </w:rPr>
            </w:pPr>
            <w:r w:rsidRPr="00BA47B4">
              <w:rPr>
                <w:noProof/>
                <w:sz w:val="12"/>
                <w:szCs w:val="12"/>
                <w:lang w:val="fr-BE"/>
              </w:rPr>
              <w:t>Słabiej rozwinięte</w:t>
            </w:r>
          </w:p>
        </w:tc>
        <w:tc>
          <w:tcPr>
            <w:tcW w:w="0" w:type="auto"/>
            <w:shd w:val="clear" w:color="auto" w:fill="auto"/>
          </w:tcPr>
          <w:p w14:paraId="630BC020" w14:textId="77777777" w:rsidR="008C5CFA" w:rsidRPr="00BA47B4" w:rsidRDefault="00E82A60" w:rsidP="00300A01">
            <w:pPr>
              <w:spacing w:before="0" w:after="0"/>
              <w:rPr>
                <w:sz w:val="12"/>
                <w:szCs w:val="12"/>
                <w:lang w:val="fr-BE"/>
              </w:rPr>
            </w:pPr>
            <w:r w:rsidRPr="00BA47B4">
              <w:rPr>
                <w:noProof/>
                <w:sz w:val="12"/>
                <w:szCs w:val="12"/>
                <w:lang w:val="fr-BE"/>
              </w:rPr>
              <w:t>CO01</w:t>
            </w:r>
            <w:r w:rsidRPr="00BA47B4">
              <w:rPr>
                <w:sz w:val="12"/>
                <w:szCs w:val="12"/>
                <w:lang w:val="fr-BE"/>
              </w:rPr>
              <w:t xml:space="preserve"> </w:t>
            </w:r>
            <w:r w:rsidRPr="00BA47B4">
              <w:rPr>
                <w:noProof/>
                <w:sz w:val="12"/>
                <w:szCs w:val="12"/>
                <w:lang w:val="fr-BE"/>
              </w:rPr>
              <w:t>bezrobotni, w tym długotrwale bezrobotni</w:t>
            </w:r>
          </w:p>
        </w:tc>
        <w:tc>
          <w:tcPr>
            <w:tcW w:w="0" w:type="auto"/>
            <w:shd w:val="clear" w:color="auto" w:fill="auto"/>
          </w:tcPr>
          <w:p w14:paraId="54D66F94" w14:textId="77777777" w:rsidR="008C5CFA" w:rsidRPr="00BA47B4" w:rsidRDefault="00E82A60" w:rsidP="00300A01">
            <w:pPr>
              <w:spacing w:before="0" w:after="0"/>
              <w:jc w:val="center"/>
              <w:rPr>
                <w:sz w:val="12"/>
                <w:szCs w:val="12"/>
                <w:lang w:val="fr-BE"/>
              </w:rPr>
            </w:pPr>
            <w:r>
              <w:rPr>
                <w:noProof/>
                <w:sz w:val="12"/>
                <w:szCs w:val="12"/>
                <w:lang w:val="fr-BE"/>
              </w:rPr>
              <w:t>Współczynnik</w:t>
            </w:r>
          </w:p>
        </w:tc>
        <w:tc>
          <w:tcPr>
            <w:tcW w:w="0" w:type="auto"/>
            <w:shd w:val="clear" w:color="auto" w:fill="auto"/>
          </w:tcPr>
          <w:p w14:paraId="41836672" w14:textId="77777777" w:rsidR="008C5CFA" w:rsidRPr="00BA47B4" w:rsidRDefault="00E82A60" w:rsidP="00300A01">
            <w:pPr>
              <w:spacing w:before="0" w:after="0"/>
              <w:jc w:val="right"/>
              <w:rPr>
                <w:sz w:val="12"/>
                <w:szCs w:val="12"/>
                <w:lang w:val="fr-BE"/>
              </w:rPr>
            </w:pPr>
            <w:r>
              <w:rPr>
                <w:noProof/>
                <w:sz w:val="12"/>
                <w:szCs w:val="12"/>
                <w:lang w:val="fr-BE"/>
              </w:rPr>
              <w:t>55,00</w:t>
            </w:r>
            <w:r>
              <w:rPr>
                <w:sz w:val="12"/>
                <w:szCs w:val="12"/>
                <w:lang w:val="fr-BE"/>
              </w:rPr>
              <w:t>%</w:t>
            </w:r>
          </w:p>
        </w:tc>
        <w:tc>
          <w:tcPr>
            <w:tcW w:w="0" w:type="auto"/>
            <w:shd w:val="clear" w:color="auto" w:fill="auto"/>
          </w:tcPr>
          <w:p w14:paraId="68FDE98B" w14:textId="77777777" w:rsidR="008C5CFA" w:rsidRPr="00BA47B4" w:rsidRDefault="00E82A60" w:rsidP="00300A01">
            <w:pPr>
              <w:spacing w:before="0" w:after="0"/>
              <w:jc w:val="right"/>
              <w:rPr>
                <w:sz w:val="12"/>
                <w:szCs w:val="12"/>
                <w:lang w:val="fr-BE"/>
              </w:rPr>
            </w:pPr>
            <w:r>
              <w:rPr>
                <w:sz w:val="12"/>
                <w:szCs w:val="12"/>
                <w:lang w:val="fr-BE"/>
              </w:rPr>
              <w:t>%</w:t>
            </w:r>
          </w:p>
        </w:tc>
        <w:tc>
          <w:tcPr>
            <w:tcW w:w="0" w:type="auto"/>
            <w:shd w:val="clear" w:color="auto" w:fill="auto"/>
          </w:tcPr>
          <w:p w14:paraId="6FF57A4C" w14:textId="77777777" w:rsidR="008C5CFA" w:rsidRPr="00BA47B4" w:rsidRDefault="00E82A60" w:rsidP="00300A01">
            <w:pPr>
              <w:spacing w:before="0" w:after="0"/>
              <w:jc w:val="right"/>
              <w:rPr>
                <w:sz w:val="12"/>
                <w:szCs w:val="12"/>
                <w:lang w:val="fr-BE"/>
              </w:rPr>
            </w:pPr>
            <w:r>
              <w:rPr>
                <w:sz w:val="12"/>
                <w:szCs w:val="12"/>
                <w:lang w:val="fr-BE"/>
              </w:rPr>
              <w:t>%</w:t>
            </w:r>
          </w:p>
        </w:tc>
        <w:tc>
          <w:tcPr>
            <w:tcW w:w="0" w:type="auto"/>
            <w:shd w:val="clear" w:color="auto" w:fill="auto"/>
          </w:tcPr>
          <w:p w14:paraId="376198AA" w14:textId="77777777" w:rsidR="008C5CFA" w:rsidRPr="00BA47B4" w:rsidRDefault="00E82A60" w:rsidP="00300A01">
            <w:pPr>
              <w:spacing w:before="0" w:after="0"/>
              <w:jc w:val="right"/>
              <w:rPr>
                <w:sz w:val="12"/>
                <w:szCs w:val="12"/>
                <w:lang w:val="fr-BE"/>
              </w:rPr>
            </w:pPr>
            <w:r w:rsidRPr="00BA47B4">
              <w:rPr>
                <w:noProof/>
                <w:sz w:val="12"/>
                <w:szCs w:val="12"/>
                <w:lang w:val="fr-BE"/>
              </w:rPr>
              <w:t>11 631,00</w:t>
            </w:r>
          </w:p>
        </w:tc>
        <w:tc>
          <w:tcPr>
            <w:tcW w:w="0" w:type="auto"/>
            <w:shd w:val="clear" w:color="auto" w:fill="auto"/>
          </w:tcPr>
          <w:p w14:paraId="362A90B1" w14:textId="77777777" w:rsidR="008C5CFA" w:rsidRPr="00BA47B4" w:rsidRDefault="00E82A60" w:rsidP="00300A01">
            <w:pPr>
              <w:spacing w:before="0" w:after="0"/>
              <w:jc w:val="right"/>
              <w:rPr>
                <w:sz w:val="12"/>
                <w:szCs w:val="12"/>
                <w:lang w:val="fr-BE"/>
              </w:rPr>
            </w:pPr>
            <w:r w:rsidRPr="00BA47B4">
              <w:rPr>
                <w:noProof/>
                <w:sz w:val="12"/>
                <w:szCs w:val="12"/>
                <w:lang w:val="fr-BE"/>
              </w:rPr>
              <w:t>4 826,00</w:t>
            </w:r>
          </w:p>
        </w:tc>
        <w:tc>
          <w:tcPr>
            <w:tcW w:w="0" w:type="auto"/>
            <w:shd w:val="clear" w:color="auto" w:fill="auto"/>
          </w:tcPr>
          <w:p w14:paraId="19FDB576" w14:textId="77777777" w:rsidR="008C5CFA" w:rsidRPr="00BA47B4" w:rsidRDefault="00E82A60" w:rsidP="00300A01">
            <w:pPr>
              <w:spacing w:before="0" w:after="0"/>
              <w:jc w:val="right"/>
              <w:rPr>
                <w:sz w:val="12"/>
                <w:szCs w:val="12"/>
                <w:lang w:val="fr-BE"/>
              </w:rPr>
            </w:pPr>
            <w:r w:rsidRPr="00BA47B4">
              <w:rPr>
                <w:noProof/>
                <w:sz w:val="12"/>
                <w:szCs w:val="12"/>
                <w:lang w:val="fr-BE"/>
              </w:rPr>
              <w:t>6 805,00</w:t>
            </w:r>
          </w:p>
        </w:tc>
        <w:tc>
          <w:tcPr>
            <w:tcW w:w="0" w:type="auto"/>
            <w:shd w:val="clear" w:color="auto" w:fill="auto"/>
          </w:tcPr>
          <w:p w14:paraId="35273D92" w14:textId="77777777" w:rsidR="008C5CFA" w:rsidRPr="00BA47B4" w:rsidRDefault="00E82A60" w:rsidP="00300A01">
            <w:pPr>
              <w:spacing w:before="0" w:after="0"/>
              <w:jc w:val="right"/>
              <w:rPr>
                <w:sz w:val="12"/>
                <w:szCs w:val="12"/>
                <w:lang w:val="fr-BE"/>
              </w:rPr>
            </w:pPr>
            <w:r>
              <w:rPr>
                <w:noProof/>
                <w:sz w:val="12"/>
                <w:szCs w:val="12"/>
                <w:lang w:val="fr-BE"/>
              </w:rPr>
              <w:t>1,07</w:t>
            </w:r>
          </w:p>
        </w:tc>
        <w:tc>
          <w:tcPr>
            <w:tcW w:w="0" w:type="auto"/>
            <w:shd w:val="clear" w:color="auto" w:fill="auto"/>
          </w:tcPr>
          <w:p w14:paraId="3D71CB61" w14:textId="77777777" w:rsidR="008C5CFA" w:rsidRPr="00BA47B4" w:rsidRDefault="008C5CFA" w:rsidP="00300A01">
            <w:pPr>
              <w:spacing w:before="0" w:after="0"/>
              <w:jc w:val="right"/>
              <w:rPr>
                <w:sz w:val="12"/>
                <w:szCs w:val="12"/>
                <w:lang w:val="fr-BE"/>
              </w:rPr>
            </w:pPr>
          </w:p>
        </w:tc>
        <w:tc>
          <w:tcPr>
            <w:tcW w:w="0" w:type="auto"/>
            <w:shd w:val="clear" w:color="auto" w:fill="auto"/>
          </w:tcPr>
          <w:p w14:paraId="51940AB3" w14:textId="77777777" w:rsidR="008C5CFA" w:rsidRPr="00BA47B4" w:rsidRDefault="008C5CFA" w:rsidP="00300A01">
            <w:pPr>
              <w:spacing w:before="0" w:after="0"/>
              <w:jc w:val="right"/>
              <w:rPr>
                <w:sz w:val="12"/>
                <w:szCs w:val="12"/>
                <w:lang w:val="fr-BE"/>
              </w:rPr>
            </w:pPr>
          </w:p>
        </w:tc>
        <w:tc>
          <w:tcPr>
            <w:tcW w:w="0" w:type="auto"/>
            <w:shd w:val="clear" w:color="auto" w:fill="auto"/>
          </w:tcPr>
          <w:p w14:paraId="376B534A" w14:textId="77777777" w:rsidR="008C5CFA" w:rsidRPr="00BA47B4" w:rsidRDefault="00E82A60" w:rsidP="00300A01">
            <w:pPr>
              <w:spacing w:before="0" w:after="0"/>
              <w:jc w:val="right"/>
              <w:rPr>
                <w:sz w:val="12"/>
                <w:szCs w:val="12"/>
                <w:lang w:val="fr-BE"/>
              </w:rPr>
            </w:pPr>
            <w:r w:rsidRPr="00BA47B4">
              <w:rPr>
                <w:noProof/>
                <w:sz w:val="12"/>
                <w:szCs w:val="12"/>
                <w:lang w:val="fr-BE"/>
              </w:rPr>
              <w:t>790,00</w:t>
            </w:r>
          </w:p>
        </w:tc>
        <w:tc>
          <w:tcPr>
            <w:tcW w:w="0" w:type="auto"/>
            <w:shd w:val="clear" w:color="auto" w:fill="auto"/>
          </w:tcPr>
          <w:p w14:paraId="2B6704B1" w14:textId="77777777" w:rsidR="008C5CFA" w:rsidRPr="00BA47B4" w:rsidRDefault="00E82A60" w:rsidP="00300A01">
            <w:pPr>
              <w:spacing w:before="0" w:after="0"/>
              <w:jc w:val="right"/>
              <w:rPr>
                <w:sz w:val="12"/>
                <w:szCs w:val="12"/>
                <w:lang w:val="fr-BE"/>
              </w:rPr>
            </w:pPr>
            <w:r w:rsidRPr="00BA47B4">
              <w:rPr>
                <w:noProof/>
                <w:sz w:val="12"/>
                <w:szCs w:val="12"/>
                <w:lang w:val="fr-BE"/>
              </w:rPr>
              <w:t>1 109,00</w:t>
            </w:r>
          </w:p>
        </w:tc>
      </w:tr>
      <w:tr w:rsidR="006B2EC1" w14:paraId="1A59FABB" w14:textId="77777777" w:rsidTr="0047688D">
        <w:tc>
          <w:tcPr>
            <w:tcW w:w="0" w:type="auto"/>
            <w:shd w:val="clear" w:color="auto" w:fill="auto"/>
          </w:tcPr>
          <w:p w14:paraId="6C73B1E6" w14:textId="77777777" w:rsidR="008C5CFA" w:rsidRPr="00BA47B4" w:rsidRDefault="00E82A60" w:rsidP="00300A01">
            <w:pPr>
              <w:spacing w:before="0" w:after="0"/>
              <w:rPr>
                <w:sz w:val="12"/>
                <w:szCs w:val="12"/>
                <w:lang w:val="fr-BE"/>
              </w:rPr>
            </w:pPr>
            <w:r w:rsidRPr="00BA47B4">
              <w:rPr>
                <w:noProof/>
                <w:sz w:val="12"/>
                <w:szCs w:val="12"/>
                <w:lang w:val="fr-BE"/>
              </w:rPr>
              <w:t>CR04</w:t>
            </w:r>
          </w:p>
        </w:tc>
        <w:tc>
          <w:tcPr>
            <w:tcW w:w="0" w:type="auto"/>
            <w:shd w:val="clear" w:color="auto" w:fill="auto"/>
          </w:tcPr>
          <w:p w14:paraId="2D7CA6B6" w14:textId="77777777" w:rsidR="008C5CFA" w:rsidRPr="00BA47B4" w:rsidRDefault="00E82A60" w:rsidP="00300A01">
            <w:pPr>
              <w:spacing w:before="0" w:after="0"/>
              <w:rPr>
                <w:sz w:val="12"/>
                <w:szCs w:val="12"/>
                <w:lang w:val="fr-BE"/>
              </w:rPr>
            </w:pPr>
            <w:r w:rsidRPr="00BA47B4">
              <w:rPr>
                <w:noProof/>
                <w:sz w:val="12"/>
                <w:szCs w:val="12"/>
                <w:lang w:val="fr-BE"/>
              </w:rPr>
              <w:t>uczestnicy pracujący, łącznie z prowadzącymi działalność na własny rachunek, po opuszczeniu programu</w:t>
            </w:r>
          </w:p>
        </w:tc>
        <w:tc>
          <w:tcPr>
            <w:tcW w:w="0" w:type="auto"/>
            <w:shd w:val="clear" w:color="auto" w:fill="auto"/>
          </w:tcPr>
          <w:p w14:paraId="22146C29" w14:textId="77777777" w:rsidR="008C5CFA" w:rsidRPr="00BA47B4" w:rsidRDefault="00E82A60" w:rsidP="00300A01">
            <w:pPr>
              <w:spacing w:before="0" w:after="0"/>
              <w:rPr>
                <w:sz w:val="12"/>
                <w:szCs w:val="12"/>
                <w:lang w:val="fr-BE"/>
              </w:rPr>
            </w:pPr>
            <w:r w:rsidRPr="00BA47B4">
              <w:rPr>
                <w:noProof/>
                <w:sz w:val="12"/>
                <w:szCs w:val="12"/>
                <w:lang w:val="fr-BE"/>
              </w:rPr>
              <w:t>Słabiej rozwinięte</w:t>
            </w:r>
          </w:p>
        </w:tc>
        <w:tc>
          <w:tcPr>
            <w:tcW w:w="0" w:type="auto"/>
            <w:shd w:val="clear" w:color="auto" w:fill="auto"/>
          </w:tcPr>
          <w:p w14:paraId="048624C9" w14:textId="77777777" w:rsidR="008C5CFA" w:rsidRPr="00BA47B4" w:rsidRDefault="00E82A60" w:rsidP="00300A01">
            <w:pPr>
              <w:spacing w:before="0" w:after="0"/>
              <w:rPr>
                <w:sz w:val="12"/>
                <w:szCs w:val="12"/>
                <w:lang w:val="fr-BE"/>
              </w:rPr>
            </w:pPr>
            <w:r w:rsidRPr="00BA47B4">
              <w:rPr>
                <w:noProof/>
                <w:sz w:val="12"/>
                <w:szCs w:val="12"/>
                <w:lang w:val="fr-BE"/>
              </w:rPr>
              <w:t>CO02</w:t>
            </w:r>
            <w:r w:rsidRPr="00BA47B4">
              <w:rPr>
                <w:sz w:val="12"/>
                <w:szCs w:val="12"/>
                <w:lang w:val="fr-BE"/>
              </w:rPr>
              <w:t xml:space="preserve"> </w:t>
            </w:r>
            <w:r w:rsidRPr="00BA47B4">
              <w:rPr>
                <w:noProof/>
                <w:sz w:val="12"/>
                <w:szCs w:val="12"/>
                <w:lang w:val="fr-BE"/>
              </w:rPr>
              <w:t>długotrwale bezrobotni</w:t>
            </w:r>
          </w:p>
        </w:tc>
        <w:tc>
          <w:tcPr>
            <w:tcW w:w="0" w:type="auto"/>
            <w:shd w:val="clear" w:color="auto" w:fill="auto"/>
          </w:tcPr>
          <w:p w14:paraId="293DD5DD" w14:textId="77777777" w:rsidR="008C5CFA" w:rsidRPr="00BA47B4" w:rsidRDefault="00E82A60" w:rsidP="00300A01">
            <w:pPr>
              <w:spacing w:before="0" w:after="0"/>
              <w:jc w:val="center"/>
              <w:rPr>
                <w:sz w:val="12"/>
                <w:szCs w:val="12"/>
                <w:lang w:val="fr-BE"/>
              </w:rPr>
            </w:pPr>
            <w:r>
              <w:rPr>
                <w:noProof/>
                <w:sz w:val="12"/>
                <w:szCs w:val="12"/>
                <w:lang w:val="fr-BE"/>
              </w:rPr>
              <w:t>Współczynnik</w:t>
            </w:r>
          </w:p>
        </w:tc>
        <w:tc>
          <w:tcPr>
            <w:tcW w:w="0" w:type="auto"/>
            <w:shd w:val="clear" w:color="auto" w:fill="auto"/>
          </w:tcPr>
          <w:p w14:paraId="44424485" w14:textId="77777777" w:rsidR="008C5CFA" w:rsidRPr="00BA47B4" w:rsidRDefault="00E82A60" w:rsidP="00300A01">
            <w:pPr>
              <w:spacing w:before="0" w:after="0"/>
              <w:jc w:val="right"/>
              <w:rPr>
                <w:sz w:val="12"/>
                <w:szCs w:val="12"/>
                <w:lang w:val="fr-BE"/>
              </w:rPr>
            </w:pPr>
            <w:r>
              <w:rPr>
                <w:noProof/>
                <w:sz w:val="12"/>
                <w:szCs w:val="12"/>
                <w:lang w:val="fr-BE"/>
              </w:rPr>
              <w:t>54,00</w:t>
            </w:r>
            <w:r>
              <w:rPr>
                <w:sz w:val="12"/>
                <w:szCs w:val="12"/>
                <w:lang w:val="fr-BE"/>
              </w:rPr>
              <w:t>%</w:t>
            </w:r>
          </w:p>
        </w:tc>
        <w:tc>
          <w:tcPr>
            <w:tcW w:w="0" w:type="auto"/>
            <w:shd w:val="clear" w:color="auto" w:fill="auto"/>
          </w:tcPr>
          <w:p w14:paraId="3D4B75DD" w14:textId="77777777" w:rsidR="008C5CFA" w:rsidRPr="00BA47B4" w:rsidRDefault="00E82A60" w:rsidP="00300A01">
            <w:pPr>
              <w:spacing w:before="0" w:after="0"/>
              <w:jc w:val="right"/>
              <w:rPr>
                <w:sz w:val="12"/>
                <w:szCs w:val="12"/>
                <w:lang w:val="fr-BE"/>
              </w:rPr>
            </w:pPr>
            <w:r>
              <w:rPr>
                <w:sz w:val="12"/>
                <w:szCs w:val="12"/>
                <w:lang w:val="fr-BE"/>
              </w:rPr>
              <w:t>%</w:t>
            </w:r>
          </w:p>
        </w:tc>
        <w:tc>
          <w:tcPr>
            <w:tcW w:w="0" w:type="auto"/>
            <w:shd w:val="clear" w:color="auto" w:fill="auto"/>
          </w:tcPr>
          <w:p w14:paraId="12F56712" w14:textId="77777777" w:rsidR="008C5CFA" w:rsidRPr="00BA47B4" w:rsidRDefault="00E82A60" w:rsidP="00300A01">
            <w:pPr>
              <w:spacing w:before="0" w:after="0"/>
              <w:jc w:val="right"/>
              <w:rPr>
                <w:sz w:val="12"/>
                <w:szCs w:val="12"/>
                <w:lang w:val="fr-BE"/>
              </w:rPr>
            </w:pPr>
            <w:r>
              <w:rPr>
                <w:sz w:val="12"/>
                <w:szCs w:val="12"/>
                <w:lang w:val="fr-BE"/>
              </w:rPr>
              <w:t>%</w:t>
            </w:r>
          </w:p>
        </w:tc>
        <w:tc>
          <w:tcPr>
            <w:tcW w:w="0" w:type="auto"/>
            <w:shd w:val="clear" w:color="auto" w:fill="auto"/>
          </w:tcPr>
          <w:p w14:paraId="6B7FD176" w14:textId="77777777" w:rsidR="008C5CFA" w:rsidRPr="00BA47B4" w:rsidRDefault="00E82A60" w:rsidP="00300A01">
            <w:pPr>
              <w:spacing w:before="0" w:after="0"/>
              <w:jc w:val="right"/>
              <w:rPr>
                <w:sz w:val="12"/>
                <w:szCs w:val="12"/>
                <w:lang w:val="fr-BE"/>
              </w:rPr>
            </w:pPr>
            <w:r w:rsidRPr="00BA47B4">
              <w:rPr>
                <w:noProof/>
                <w:sz w:val="12"/>
                <w:szCs w:val="12"/>
                <w:lang w:val="fr-BE"/>
              </w:rPr>
              <w:t>4 918,00</w:t>
            </w:r>
          </w:p>
        </w:tc>
        <w:tc>
          <w:tcPr>
            <w:tcW w:w="0" w:type="auto"/>
            <w:shd w:val="clear" w:color="auto" w:fill="auto"/>
          </w:tcPr>
          <w:p w14:paraId="2193975A" w14:textId="77777777" w:rsidR="008C5CFA" w:rsidRPr="00BA47B4" w:rsidRDefault="00E82A60" w:rsidP="00300A01">
            <w:pPr>
              <w:spacing w:before="0" w:after="0"/>
              <w:jc w:val="right"/>
              <w:rPr>
                <w:sz w:val="12"/>
                <w:szCs w:val="12"/>
                <w:lang w:val="fr-BE"/>
              </w:rPr>
            </w:pPr>
            <w:r w:rsidRPr="00BA47B4">
              <w:rPr>
                <w:noProof/>
                <w:sz w:val="12"/>
                <w:szCs w:val="12"/>
                <w:lang w:val="fr-BE"/>
              </w:rPr>
              <w:t>2 094,00</w:t>
            </w:r>
          </w:p>
        </w:tc>
        <w:tc>
          <w:tcPr>
            <w:tcW w:w="0" w:type="auto"/>
            <w:shd w:val="clear" w:color="auto" w:fill="auto"/>
          </w:tcPr>
          <w:p w14:paraId="3622185C" w14:textId="77777777" w:rsidR="008C5CFA" w:rsidRPr="00BA47B4" w:rsidRDefault="00E82A60" w:rsidP="00300A01">
            <w:pPr>
              <w:spacing w:before="0" w:after="0"/>
              <w:jc w:val="right"/>
              <w:rPr>
                <w:sz w:val="12"/>
                <w:szCs w:val="12"/>
                <w:lang w:val="fr-BE"/>
              </w:rPr>
            </w:pPr>
            <w:r w:rsidRPr="00BA47B4">
              <w:rPr>
                <w:noProof/>
                <w:sz w:val="12"/>
                <w:szCs w:val="12"/>
                <w:lang w:val="fr-BE"/>
              </w:rPr>
              <w:t>2 824,00</w:t>
            </w:r>
          </w:p>
        </w:tc>
        <w:tc>
          <w:tcPr>
            <w:tcW w:w="0" w:type="auto"/>
            <w:shd w:val="clear" w:color="auto" w:fill="auto"/>
          </w:tcPr>
          <w:p w14:paraId="550D51E5" w14:textId="77777777" w:rsidR="008C5CFA" w:rsidRPr="00BA47B4" w:rsidRDefault="00E82A60" w:rsidP="00300A01">
            <w:pPr>
              <w:spacing w:before="0" w:after="0"/>
              <w:jc w:val="right"/>
              <w:rPr>
                <w:sz w:val="12"/>
                <w:szCs w:val="12"/>
                <w:lang w:val="fr-BE"/>
              </w:rPr>
            </w:pPr>
            <w:r>
              <w:rPr>
                <w:noProof/>
                <w:sz w:val="12"/>
                <w:szCs w:val="12"/>
                <w:lang w:val="fr-BE"/>
              </w:rPr>
              <w:t>1,03</w:t>
            </w:r>
          </w:p>
        </w:tc>
        <w:tc>
          <w:tcPr>
            <w:tcW w:w="0" w:type="auto"/>
            <w:shd w:val="clear" w:color="auto" w:fill="auto"/>
          </w:tcPr>
          <w:p w14:paraId="7B0B9B2D" w14:textId="77777777" w:rsidR="008C5CFA" w:rsidRPr="00BA47B4" w:rsidRDefault="008C5CFA" w:rsidP="00300A01">
            <w:pPr>
              <w:spacing w:before="0" w:after="0"/>
              <w:jc w:val="right"/>
              <w:rPr>
                <w:sz w:val="12"/>
                <w:szCs w:val="12"/>
                <w:lang w:val="fr-BE"/>
              </w:rPr>
            </w:pPr>
          </w:p>
        </w:tc>
        <w:tc>
          <w:tcPr>
            <w:tcW w:w="0" w:type="auto"/>
            <w:shd w:val="clear" w:color="auto" w:fill="auto"/>
          </w:tcPr>
          <w:p w14:paraId="074CF726" w14:textId="77777777" w:rsidR="008C5CFA" w:rsidRPr="00BA47B4" w:rsidRDefault="008C5CFA" w:rsidP="00300A01">
            <w:pPr>
              <w:spacing w:before="0" w:after="0"/>
              <w:jc w:val="right"/>
              <w:rPr>
                <w:sz w:val="12"/>
                <w:szCs w:val="12"/>
                <w:lang w:val="fr-BE"/>
              </w:rPr>
            </w:pPr>
          </w:p>
        </w:tc>
        <w:tc>
          <w:tcPr>
            <w:tcW w:w="0" w:type="auto"/>
            <w:shd w:val="clear" w:color="auto" w:fill="auto"/>
          </w:tcPr>
          <w:p w14:paraId="2EB23290" w14:textId="77777777" w:rsidR="008C5CFA" w:rsidRPr="00BA47B4" w:rsidRDefault="00E82A60" w:rsidP="00300A01">
            <w:pPr>
              <w:spacing w:before="0" w:after="0"/>
              <w:jc w:val="right"/>
              <w:rPr>
                <w:sz w:val="12"/>
                <w:szCs w:val="12"/>
                <w:lang w:val="fr-BE"/>
              </w:rPr>
            </w:pPr>
            <w:r w:rsidRPr="00BA47B4">
              <w:rPr>
                <w:noProof/>
                <w:sz w:val="12"/>
                <w:szCs w:val="12"/>
                <w:lang w:val="fr-BE"/>
              </w:rPr>
              <w:t>292,00</w:t>
            </w:r>
          </w:p>
        </w:tc>
        <w:tc>
          <w:tcPr>
            <w:tcW w:w="0" w:type="auto"/>
            <w:shd w:val="clear" w:color="auto" w:fill="auto"/>
          </w:tcPr>
          <w:p w14:paraId="054A9C47" w14:textId="77777777" w:rsidR="008C5CFA" w:rsidRPr="00BA47B4" w:rsidRDefault="00E82A60" w:rsidP="00300A01">
            <w:pPr>
              <w:spacing w:before="0" w:after="0"/>
              <w:jc w:val="right"/>
              <w:rPr>
                <w:sz w:val="12"/>
                <w:szCs w:val="12"/>
                <w:lang w:val="fr-BE"/>
              </w:rPr>
            </w:pPr>
            <w:r w:rsidRPr="00BA47B4">
              <w:rPr>
                <w:noProof/>
                <w:sz w:val="12"/>
                <w:szCs w:val="12"/>
                <w:lang w:val="fr-BE"/>
              </w:rPr>
              <w:t>363,00</w:t>
            </w:r>
          </w:p>
        </w:tc>
      </w:tr>
      <w:tr w:rsidR="006B2EC1" w14:paraId="35A9298A" w14:textId="77777777" w:rsidTr="0047688D">
        <w:tc>
          <w:tcPr>
            <w:tcW w:w="0" w:type="auto"/>
            <w:shd w:val="clear" w:color="auto" w:fill="auto"/>
          </w:tcPr>
          <w:p w14:paraId="08F48E7C" w14:textId="77777777" w:rsidR="008C5CFA" w:rsidRPr="00BA47B4" w:rsidRDefault="00E82A60" w:rsidP="00300A01">
            <w:pPr>
              <w:spacing w:before="0" w:after="0"/>
              <w:rPr>
                <w:sz w:val="12"/>
                <w:szCs w:val="12"/>
                <w:lang w:val="fr-BE"/>
              </w:rPr>
            </w:pPr>
            <w:r w:rsidRPr="00BA47B4">
              <w:rPr>
                <w:noProof/>
                <w:sz w:val="12"/>
                <w:szCs w:val="12"/>
                <w:lang w:val="fr-BE"/>
              </w:rPr>
              <w:t>CR04</w:t>
            </w:r>
          </w:p>
        </w:tc>
        <w:tc>
          <w:tcPr>
            <w:tcW w:w="0" w:type="auto"/>
            <w:shd w:val="clear" w:color="auto" w:fill="auto"/>
          </w:tcPr>
          <w:p w14:paraId="290AE784" w14:textId="77777777" w:rsidR="008C5CFA" w:rsidRPr="00BA47B4" w:rsidRDefault="00E82A60" w:rsidP="00300A01">
            <w:pPr>
              <w:spacing w:before="0" w:after="0"/>
              <w:rPr>
                <w:sz w:val="12"/>
                <w:szCs w:val="12"/>
                <w:lang w:val="fr-BE"/>
              </w:rPr>
            </w:pPr>
            <w:r w:rsidRPr="00BA47B4">
              <w:rPr>
                <w:noProof/>
                <w:sz w:val="12"/>
                <w:szCs w:val="12"/>
                <w:lang w:val="fr-BE"/>
              </w:rPr>
              <w:t>uczestnicy pracujący, łącznie z prowadzącymi działalność na własny rachunek, po opuszczeniu programu</w:t>
            </w:r>
          </w:p>
        </w:tc>
        <w:tc>
          <w:tcPr>
            <w:tcW w:w="0" w:type="auto"/>
            <w:shd w:val="clear" w:color="auto" w:fill="auto"/>
          </w:tcPr>
          <w:p w14:paraId="22607CD6" w14:textId="77777777" w:rsidR="008C5CFA" w:rsidRPr="00BA47B4" w:rsidRDefault="00E82A60" w:rsidP="00300A01">
            <w:pPr>
              <w:spacing w:before="0" w:after="0"/>
              <w:rPr>
                <w:sz w:val="12"/>
                <w:szCs w:val="12"/>
                <w:lang w:val="fr-BE"/>
              </w:rPr>
            </w:pPr>
            <w:r w:rsidRPr="00BA47B4">
              <w:rPr>
                <w:noProof/>
                <w:sz w:val="12"/>
                <w:szCs w:val="12"/>
                <w:lang w:val="fr-BE"/>
              </w:rPr>
              <w:t>Słabiej rozwinięte</w:t>
            </w:r>
          </w:p>
        </w:tc>
        <w:tc>
          <w:tcPr>
            <w:tcW w:w="0" w:type="auto"/>
            <w:shd w:val="clear" w:color="auto" w:fill="auto"/>
          </w:tcPr>
          <w:p w14:paraId="6AA1D4F6" w14:textId="77777777" w:rsidR="008C5CFA" w:rsidRPr="00BA47B4" w:rsidRDefault="00E82A60" w:rsidP="00300A01">
            <w:pPr>
              <w:spacing w:before="0" w:after="0"/>
              <w:rPr>
                <w:sz w:val="12"/>
                <w:szCs w:val="12"/>
                <w:lang w:val="fr-BE"/>
              </w:rPr>
            </w:pPr>
            <w:r w:rsidRPr="00BA47B4">
              <w:rPr>
                <w:noProof/>
                <w:sz w:val="12"/>
                <w:szCs w:val="12"/>
                <w:lang w:val="fr-BE"/>
              </w:rPr>
              <w:t>CO03</w:t>
            </w:r>
            <w:r w:rsidRPr="00BA47B4">
              <w:rPr>
                <w:sz w:val="12"/>
                <w:szCs w:val="12"/>
                <w:lang w:val="fr-BE"/>
              </w:rPr>
              <w:t xml:space="preserve"> </w:t>
            </w:r>
            <w:r w:rsidRPr="00BA47B4">
              <w:rPr>
                <w:noProof/>
                <w:sz w:val="12"/>
                <w:szCs w:val="12"/>
                <w:lang w:val="fr-BE"/>
              </w:rPr>
              <w:t>osoby bierne zawodowo</w:t>
            </w:r>
          </w:p>
        </w:tc>
        <w:tc>
          <w:tcPr>
            <w:tcW w:w="0" w:type="auto"/>
            <w:shd w:val="clear" w:color="auto" w:fill="auto"/>
          </w:tcPr>
          <w:p w14:paraId="5D73DC8C" w14:textId="77777777" w:rsidR="008C5CFA" w:rsidRPr="00BA47B4" w:rsidRDefault="00E82A60" w:rsidP="00300A01">
            <w:pPr>
              <w:spacing w:before="0" w:after="0"/>
              <w:jc w:val="center"/>
              <w:rPr>
                <w:sz w:val="12"/>
                <w:szCs w:val="12"/>
                <w:lang w:val="fr-BE"/>
              </w:rPr>
            </w:pPr>
            <w:r>
              <w:rPr>
                <w:noProof/>
                <w:sz w:val="12"/>
                <w:szCs w:val="12"/>
                <w:lang w:val="fr-BE"/>
              </w:rPr>
              <w:t>Współczynnik</w:t>
            </w:r>
          </w:p>
        </w:tc>
        <w:tc>
          <w:tcPr>
            <w:tcW w:w="0" w:type="auto"/>
            <w:shd w:val="clear" w:color="auto" w:fill="auto"/>
          </w:tcPr>
          <w:p w14:paraId="40E0D860" w14:textId="77777777" w:rsidR="008C5CFA" w:rsidRPr="00BA47B4" w:rsidRDefault="00E82A60" w:rsidP="00300A01">
            <w:pPr>
              <w:spacing w:before="0" w:after="0"/>
              <w:jc w:val="right"/>
              <w:rPr>
                <w:sz w:val="12"/>
                <w:szCs w:val="12"/>
                <w:lang w:val="fr-BE"/>
              </w:rPr>
            </w:pPr>
            <w:r>
              <w:rPr>
                <w:noProof/>
                <w:sz w:val="12"/>
                <w:szCs w:val="12"/>
                <w:lang w:val="fr-BE"/>
              </w:rPr>
              <w:t>41,00</w:t>
            </w:r>
            <w:r>
              <w:rPr>
                <w:sz w:val="12"/>
                <w:szCs w:val="12"/>
                <w:lang w:val="fr-BE"/>
              </w:rPr>
              <w:t>%</w:t>
            </w:r>
          </w:p>
        </w:tc>
        <w:tc>
          <w:tcPr>
            <w:tcW w:w="0" w:type="auto"/>
            <w:shd w:val="clear" w:color="auto" w:fill="auto"/>
          </w:tcPr>
          <w:p w14:paraId="0CD9BBD6" w14:textId="77777777" w:rsidR="008C5CFA" w:rsidRPr="00BA47B4" w:rsidRDefault="00E82A60" w:rsidP="00300A01">
            <w:pPr>
              <w:spacing w:before="0" w:after="0"/>
              <w:jc w:val="right"/>
              <w:rPr>
                <w:sz w:val="12"/>
                <w:szCs w:val="12"/>
                <w:lang w:val="fr-BE"/>
              </w:rPr>
            </w:pPr>
            <w:r>
              <w:rPr>
                <w:sz w:val="12"/>
                <w:szCs w:val="12"/>
                <w:lang w:val="fr-BE"/>
              </w:rPr>
              <w:t>%</w:t>
            </w:r>
          </w:p>
        </w:tc>
        <w:tc>
          <w:tcPr>
            <w:tcW w:w="0" w:type="auto"/>
            <w:shd w:val="clear" w:color="auto" w:fill="auto"/>
          </w:tcPr>
          <w:p w14:paraId="1807B5DE" w14:textId="77777777" w:rsidR="008C5CFA" w:rsidRPr="00BA47B4" w:rsidRDefault="00E82A60" w:rsidP="00300A01">
            <w:pPr>
              <w:spacing w:before="0" w:after="0"/>
              <w:jc w:val="right"/>
              <w:rPr>
                <w:sz w:val="12"/>
                <w:szCs w:val="12"/>
                <w:lang w:val="fr-BE"/>
              </w:rPr>
            </w:pPr>
            <w:r>
              <w:rPr>
                <w:sz w:val="12"/>
                <w:szCs w:val="12"/>
                <w:lang w:val="fr-BE"/>
              </w:rPr>
              <w:t>%</w:t>
            </w:r>
          </w:p>
        </w:tc>
        <w:tc>
          <w:tcPr>
            <w:tcW w:w="0" w:type="auto"/>
            <w:shd w:val="clear" w:color="auto" w:fill="auto"/>
          </w:tcPr>
          <w:p w14:paraId="7AD8D72B" w14:textId="77777777" w:rsidR="008C5CFA" w:rsidRPr="00BA47B4" w:rsidRDefault="00E82A60" w:rsidP="00300A01">
            <w:pPr>
              <w:spacing w:before="0" w:after="0"/>
              <w:jc w:val="right"/>
              <w:rPr>
                <w:sz w:val="12"/>
                <w:szCs w:val="12"/>
                <w:lang w:val="fr-BE"/>
              </w:rPr>
            </w:pPr>
            <w:r w:rsidRPr="00BA47B4">
              <w:rPr>
                <w:noProof/>
                <w:sz w:val="12"/>
                <w:szCs w:val="12"/>
                <w:lang w:val="fr-BE"/>
              </w:rPr>
              <w:t>464,00</w:t>
            </w:r>
          </w:p>
        </w:tc>
        <w:tc>
          <w:tcPr>
            <w:tcW w:w="0" w:type="auto"/>
            <w:shd w:val="clear" w:color="auto" w:fill="auto"/>
          </w:tcPr>
          <w:p w14:paraId="6BC37E6F" w14:textId="77777777" w:rsidR="008C5CFA" w:rsidRPr="00BA47B4" w:rsidRDefault="00E82A60" w:rsidP="00300A01">
            <w:pPr>
              <w:spacing w:before="0" w:after="0"/>
              <w:jc w:val="right"/>
              <w:rPr>
                <w:sz w:val="12"/>
                <w:szCs w:val="12"/>
                <w:lang w:val="fr-BE"/>
              </w:rPr>
            </w:pPr>
            <w:r w:rsidRPr="00BA47B4">
              <w:rPr>
                <w:noProof/>
                <w:sz w:val="12"/>
                <w:szCs w:val="12"/>
                <w:lang w:val="fr-BE"/>
              </w:rPr>
              <w:t>212,00</w:t>
            </w:r>
          </w:p>
        </w:tc>
        <w:tc>
          <w:tcPr>
            <w:tcW w:w="0" w:type="auto"/>
            <w:shd w:val="clear" w:color="auto" w:fill="auto"/>
          </w:tcPr>
          <w:p w14:paraId="45D6653B" w14:textId="77777777" w:rsidR="008C5CFA" w:rsidRPr="00BA47B4" w:rsidRDefault="00E82A60" w:rsidP="00300A01">
            <w:pPr>
              <w:spacing w:before="0" w:after="0"/>
              <w:jc w:val="right"/>
              <w:rPr>
                <w:sz w:val="12"/>
                <w:szCs w:val="12"/>
                <w:lang w:val="fr-BE"/>
              </w:rPr>
            </w:pPr>
            <w:r w:rsidRPr="00BA47B4">
              <w:rPr>
                <w:noProof/>
                <w:sz w:val="12"/>
                <w:szCs w:val="12"/>
                <w:lang w:val="fr-BE"/>
              </w:rPr>
              <w:t>252,00</w:t>
            </w:r>
          </w:p>
        </w:tc>
        <w:tc>
          <w:tcPr>
            <w:tcW w:w="0" w:type="auto"/>
            <w:shd w:val="clear" w:color="auto" w:fill="auto"/>
          </w:tcPr>
          <w:p w14:paraId="4CF65A7B" w14:textId="77777777" w:rsidR="008C5CFA" w:rsidRPr="00BA47B4" w:rsidRDefault="00E82A60" w:rsidP="00300A01">
            <w:pPr>
              <w:spacing w:before="0" w:after="0"/>
              <w:jc w:val="right"/>
              <w:rPr>
                <w:sz w:val="12"/>
                <w:szCs w:val="12"/>
                <w:lang w:val="fr-BE"/>
              </w:rPr>
            </w:pPr>
            <w:r>
              <w:rPr>
                <w:noProof/>
                <w:sz w:val="12"/>
                <w:szCs w:val="12"/>
                <w:lang w:val="fr-BE"/>
              </w:rPr>
              <w:t>0,84</w:t>
            </w:r>
          </w:p>
        </w:tc>
        <w:tc>
          <w:tcPr>
            <w:tcW w:w="0" w:type="auto"/>
            <w:shd w:val="clear" w:color="auto" w:fill="auto"/>
          </w:tcPr>
          <w:p w14:paraId="21F9F68E" w14:textId="77777777" w:rsidR="008C5CFA" w:rsidRPr="00BA47B4" w:rsidRDefault="008C5CFA" w:rsidP="00300A01">
            <w:pPr>
              <w:spacing w:before="0" w:after="0"/>
              <w:jc w:val="right"/>
              <w:rPr>
                <w:sz w:val="12"/>
                <w:szCs w:val="12"/>
                <w:lang w:val="fr-BE"/>
              </w:rPr>
            </w:pPr>
          </w:p>
        </w:tc>
        <w:tc>
          <w:tcPr>
            <w:tcW w:w="0" w:type="auto"/>
            <w:shd w:val="clear" w:color="auto" w:fill="auto"/>
          </w:tcPr>
          <w:p w14:paraId="0D745F36" w14:textId="77777777" w:rsidR="008C5CFA" w:rsidRPr="00BA47B4" w:rsidRDefault="008C5CFA" w:rsidP="00300A01">
            <w:pPr>
              <w:spacing w:before="0" w:after="0"/>
              <w:jc w:val="right"/>
              <w:rPr>
                <w:sz w:val="12"/>
                <w:szCs w:val="12"/>
                <w:lang w:val="fr-BE"/>
              </w:rPr>
            </w:pPr>
          </w:p>
        </w:tc>
        <w:tc>
          <w:tcPr>
            <w:tcW w:w="0" w:type="auto"/>
            <w:shd w:val="clear" w:color="auto" w:fill="auto"/>
          </w:tcPr>
          <w:p w14:paraId="447541E1" w14:textId="77777777" w:rsidR="008C5CFA" w:rsidRPr="00BA47B4" w:rsidRDefault="00E82A60" w:rsidP="00300A01">
            <w:pPr>
              <w:spacing w:before="0" w:after="0"/>
              <w:jc w:val="right"/>
              <w:rPr>
                <w:sz w:val="12"/>
                <w:szCs w:val="12"/>
                <w:lang w:val="fr-BE"/>
              </w:rPr>
            </w:pPr>
            <w:r w:rsidRPr="00BA47B4">
              <w:rPr>
                <w:noProof/>
                <w:sz w:val="12"/>
                <w:szCs w:val="12"/>
                <w:lang w:val="fr-BE"/>
              </w:rPr>
              <w:t>47,00</w:t>
            </w:r>
          </w:p>
        </w:tc>
        <w:tc>
          <w:tcPr>
            <w:tcW w:w="0" w:type="auto"/>
            <w:shd w:val="clear" w:color="auto" w:fill="auto"/>
          </w:tcPr>
          <w:p w14:paraId="616D3578" w14:textId="77777777" w:rsidR="008C5CFA" w:rsidRPr="00BA47B4" w:rsidRDefault="00E82A60" w:rsidP="00300A01">
            <w:pPr>
              <w:spacing w:before="0" w:after="0"/>
              <w:jc w:val="right"/>
              <w:rPr>
                <w:sz w:val="12"/>
                <w:szCs w:val="12"/>
                <w:lang w:val="fr-BE"/>
              </w:rPr>
            </w:pPr>
            <w:r w:rsidRPr="00BA47B4">
              <w:rPr>
                <w:noProof/>
                <w:sz w:val="12"/>
                <w:szCs w:val="12"/>
                <w:lang w:val="fr-BE"/>
              </w:rPr>
              <w:t>69,00</w:t>
            </w:r>
          </w:p>
        </w:tc>
      </w:tr>
      <w:tr w:rsidR="006B2EC1" w14:paraId="6CFC7F8C" w14:textId="77777777" w:rsidTr="0047688D">
        <w:tc>
          <w:tcPr>
            <w:tcW w:w="0" w:type="auto"/>
            <w:shd w:val="clear" w:color="auto" w:fill="auto"/>
          </w:tcPr>
          <w:p w14:paraId="35AB7105" w14:textId="77777777" w:rsidR="008C5CFA" w:rsidRPr="00BA47B4" w:rsidRDefault="00E82A60" w:rsidP="00300A01">
            <w:pPr>
              <w:spacing w:before="0" w:after="0"/>
              <w:rPr>
                <w:sz w:val="12"/>
                <w:szCs w:val="12"/>
                <w:lang w:val="fr-BE"/>
              </w:rPr>
            </w:pPr>
            <w:r w:rsidRPr="00BA47B4">
              <w:rPr>
                <w:noProof/>
                <w:sz w:val="12"/>
                <w:szCs w:val="12"/>
                <w:lang w:val="fr-BE"/>
              </w:rPr>
              <w:t>CR05</w:t>
            </w:r>
          </w:p>
        </w:tc>
        <w:tc>
          <w:tcPr>
            <w:tcW w:w="0" w:type="auto"/>
            <w:shd w:val="clear" w:color="auto" w:fill="auto"/>
          </w:tcPr>
          <w:p w14:paraId="0D1B9726" w14:textId="77777777" w:rsidR="008C5CFA" w:rsidRPr="00BA47B4" w:rsidRDefault="00E82A60" w:rsidP="00300A01">
            <w:pPr>
              <w:spacing w:before="0" w:after="0"/>
              <w:rPr>
                <w:sz w:val="12"/>
                <w:szCs w:val="12"/>
                <w:lang w:val="fr-BE"/>
              </w:rPr>
            </w:pPr>
            <w:r w:rsidRPr="00BA47B4">
              <w:rPr>
                <w:noProof/>
                <w:sz w:val="12"/>
                <w:szCs w:val="12"/>
                <w:lang w:val="fr-BE"/>
              </w:rPr>
              <w:t>uczestnicy w niekorzystnej sytuacji społecznej poszukujący pracy, uczestniczący w kształceniu lub szkoleniu, zdobywający kwalifikacje lub pracujący (łącznie z prowadzącymi działalność na własny rachunek) po opuszczeniu programu</w:t>
            </w:r>
          </w:p>
        </w:tc>
        <w:tc>
          <w:tcPr>
            <w:tcW w:w="0" w:type="auto"/>
            <w:shd w:val="clear" w:color="auto" w:fill="auto"/>
          </w:tcPr>
          <w:p w14:paraId="76824778" w14:textId="77777777" w:rsidR="008C5CFA" w:rsidRPr="00BA47B4" w:rsidRDefault="00E82A60" w:rsidP="00300A01">
            <w:pPr>
              <w:spacing w:before="0" w:after="0"/>
              <w:rPr>
                <w:sz w:val="12"/>
                <w:szCs w:val="12"/>
                <w:lang w:val="fr-BE"/>
              </w:rPr>
            </w:pPr>
            <w:r w:rsidRPr="00BA47B4">
              <w:rPr>
                <w:noProof/>
                <w:sz w:val="12"/>
                <w:szCs w:val="12"/>
                <w:lang w:val="fr-BE"/>
              </w:rPr>
              <w:t>Słabiej rozwinięte</w:t>
            </w:r>
          </w:p>
        </w:tc>
        <w:tc>
          <w:tcPr>
            <w:tcW w:w="0" w:type="auto"/>
            <w:shd w:val="clear" w:color="auto" w:fill="auto"/>
          </w:tcPr>
          <w:p w14:paraId="7EFCCF69" w14:textId="77777777" w:rsidR="008C5CFA" w:rsidRPr="00BA47B4" w:rsidRDefault="00E82A60" w:rsidP="00300A01">
            <w:pPr>
              <w:spacing w:before="0" w:after="0"/>
              <w:rPr>
                <w:sz w:val="12"/>
                <w:szCs w:val="12"/>
                <w:lang w:val="fr-BE"/>
              </w:rPr>
            </w:pPr>
            <w:r w:rsidRPr="00BA47B4">
              <w:rPr>
                <w:sz w:val="12"/>
                <w:szCs w:val="12"/>
                <w:lang w:val="fr-BE"/>
              </w:rPr>
              <w:t xml:space="preserve"> </w:t>
            </w:r>
          </w:p>
        </w:tc>
        <w:tc>
          <w:tcPr>
            <w:tcW w:w="0" w:type="auto"/>
            <w:shd w:val="clear" w:color="auto" w:fill="auto"/>
          </w:tcPr>
          <w:p w14:paraId="43ADE30F" w14:textId="77777777" w:rsidR="008C5CFA" w:rsidRPr="00BA47B4" w:rsidRDefault="008C5CFA" w:rsidP="00300A01">
            <w:pPr>
              <w:spacing w:before="0" w:after="0"/>
              <w:jc w:val="center"/>
              <w:rPr>
                <w:sz w:val="12"/>
                <w:szCs w:val="12"/>
                <w:lang w:val="fr-BE"/>
              </w:rPr>
            </w:pPr>
          </w:p>
        </w:tc>
        <w:tc>
          <w:tcPr>
            <w:tcW w:w="0" w:type="auto"/>
            <w:shd w:val="clear" w:color="auto" w:fill="auto"/>
          </w:tcPr>
          <w:p w14:paraId="00EC904B" w14:textId="77777777" w:rsidR="008C5CFA" w:rsidRPr="00BA47B4" w:rsidRDefault="008C5CFA" w:rsidP="00300A01">
            <w:pPr>
              <w:spacing w:before="0" w:after="0"/>
              <w:jc w:val="right"/>
              <w:rPr>
                <w:sz w:val="12"/>
                <w:szCs w:val="12"/>
                <w:lang w:val="fr-BE"/>
              </w:rPr>
            </w:pPr>
          </w:p>
        </w:tc>
        <w:tc>
          <w:tcPr>
            <w:tcW w:w="0" w:type="auto"/>
            <w:shd w:val="clear" w:color="auto" w:fill="auto"/>
          </w:tcPr>
          <w:p w14:paraId="0E68388F" w14:textId="77777777" w:rsidR="008C5CFA" w:rsidRPr="00BA47B4" w:rsidRDefault="008C5CFA" w:rsidP="00300A01">
            <w:pPr>
              <w:spacing w:before="0" w:after="0"/>
              <w:jc w:val="right"/>
              <w:rPr>
                <w:sz w:val="12"/>
                <w:szCs w:val="12"/>
                <w:lang w:val="fr-BE"/>
              </w:rPr>
            </w:pPr>
          </w:p>
        </w:tc>
        <w:tc>
          <w:tcPr>
            <w:tcW w:w="0" w:type="auto"/>
            <w:shd w:val="clear" w:color="auto" w:fill="auto"/>
          </w:tcPr>
          <w:p w14:paraId="4F4E78FA" w14:textId="77777777" w:rsidR="008C5CFA" w:rsidRPr="00BA47B4" w:rsidRDefault="008C5CFA" w:rsidP="00300A01">
            <w:pPr>
              <w:spacing w:before="0" w:after="0"/>
              <w:jc w:val="right"/>
              <w:rPr>
                <w:sz w:val="12"/>
                <w:szCs w:val="12"/>
                <w:lang w:val="fr-BE"/>
              </w:rPr>
            </w:pPr>
          </w:p>
        </w:tc>
        <w:tc>
          <w:tcPr>
            <w:tcW w:w="0" w:type="auto"/>
            <w:shd w:val="clear" w:color="auto" w:fill="auto"/>
          </w:tcPr>
          <w:p w14:paraId="1083E88D" w14:textId="77777777" w:rsidR="008C5CFA" w:rsidRPr="00BA47B4" w:rsidRDefault="00E82A60" w:rsidP="00300A01">
            <w:pPr>
              <w:spacing w:before="0" w:after="0"/>
              <w:jc w:val="right"/>
              <w:rPr>
                <w:sz w:val="12"/>
                <w:szCs w:val="12"/>
                <w:lang w:val="fr-BE"/>
              </w:rPr>
            </w:pPr>
            <w:r w:rsidRPr="00BA47B4">
              <w:rPr>
                <w:noProof/>
                <w:sz w:val="12"/>
                <w:szCs w:val="12"/>
                <w:lang w:val="fr-BE"/>
              </w:rPr>
              <w:t>7 442,00</w:t>
            </w:r>
          </w:p>
        </w:tc>
        <w:tc>
          <w:tcPr>
            <w:tcW w:w="0" w:type="auto"/>
            <w:shd w:val="clear" w:color="auto" w:fill="auto"/>
          </w:tcPr>
          <w:p w14:paraId="2F7D1D39" w14:textId="77777777" w:rsidR="008C5CFA" w:rsidRPr="00BA47B4" w:rsidRDefault="00E82A60" w:rsidP="00300A01">
            <w:pPr>
              <w:spacing w:before="0" w:after="0"/>
              <w:jc w:val="right"/>
              <w:rPr>
                <w:sz w:val="12"/>
                <w:szCs w:val="12"/>
                <w:lang w:val="fr-BE"/>
              </w:rPr>
            </w:pPr>
            <w:r w:rsidRPr="00BA47B4">
              <w:rPr>
                <w:noProof/>
                <w:sz w:val="12"/>
                <w:szCs w:val="12"/>
                <w:lang w:val="fr-BE"/>
              </w:rPr>
              <w:t>3 258,00</w:t>
            </w:r>
          </w:p>
        </w:tc>
        <w:tc>
          <w:tcPr>
            <w:tcW w:w="0" w:type="auto"/>
            <w:shd w:val="clear" w:color="auto" w:fill="auto"/>
          </w:tcPr>
          <w:p w14:paraId="6DD6EFCB" w14:textId="77777777" w:rsidR="008C5CFA" w:rsidRPr="00BA47B4" w:rsidRDefault="00E82A60" w:rsidP="00300A01">
            <w:pPr>
              <w:spacing w:before="0" w:after="0"/>
              <w:jc w:val="right"/>
              <w:rPr>
                <w:sz w:val="12"/>
                <w:szCs w:val="12"/>
                <w:lang w:val="fr-BE"/>
              </w:rPr>
            </w:pPr>
            <w:r w:rsidRPr="00BA47B4">
              <w:rPr>
                <w:noProof/>
                <w:sz w:val="12"/>
                <w:szCs w:val="12"/>
                <w:lang w:val="fr-BE"/>
              </w:rPr>
              <w:t>4 184,00</w:t>
            </w:r>
          </w:p>
        </w:tc>
        <w:tc>
          <w:tcPr>
            <w:tcW w:w="0" w:type="auto"/>
            <w:shd w:val="clear" w:color="auto" w:fill="auto"/>
          </w:tcPr>
          <w:p w14:paraId="69BA21A6" w14:textId="77777777" w:rsidR="008C5CFA" w:rsidRPr="00BA47B4" w:rsidRDefault="008C5CFA" w:rsidP="00300A01">
            <w:pPr>
              <w:spacing w:before="0" w:after="0"/>
              <w:jc w:val="right"/>
              <w:rPr>
                <w:sz w:val="12"/>
                <w:szCs w:val="12"/>
                <w:lang w:val="fr-BE"/>
              </w:rPr>
            </w:pPr>
          </w:p>
        </w:tc>
        <w:tc>
          <w:tcPr>
            <w:tcW w:w="0" w:type="auto"/>
            <w:shd w:val="clear" w:color="auto" w:fill="auto"/>
          </w:tcPr>
          <w:p w14:paraId="24A9D485" w14:textId="77777777" w:rsidR="008C5CFA" w:rsidRPr="00BA47B4" w:rsidRDefault="008C5CFA" w:rsidP="00300A01">
            <w:pPr>
              <w:spacing w:before="0" w:after="0"/>
              <w:jc w:val="right"/>
              <w:rPr>
                <w:sz w:val="12"/>
                <w:szCs w:val="12"/>
                <w:lang w:val="fr-BE"/>
              </w:rPr>
            </w:pPr>
          </w:p>
        </w:tc>
        <w:tc>
          <w:tcPr>
            <w:tcW w:w="0" w:type="auto"/>
            <w:shd w:val="clear" w:color="auto" w:fill="auto"/>
          </w:tcPr>
          <w:p w14:paraId="224AA56B" w14:textId="77777777" w:rsidR="008C5CFA" w:rsidRPr="00BA47B4" w:rsidRDefault="008C5CFA" w:rsidP="00300A01">
            <w:pPr>
              <w:spacing w:before="0" w:after="0"/>
              <w:jc w:val="right"/>
              <w:rPr>
                <w:sz w:val="12"/>
                <w:szCs w:val="12"/>
                <w:lang w:val="fr-BE"/>
              </w:rPr>
            </w:pPr>
          </w:p>
        </w:tc>
        <w:tc>
          <w:tcPr>
            <w:tcW w:w="0" w:type="auto"/>
            <w:shd w:val="clear" w:color="auto" w:fill="auto"/>
          </w:tcPr>
          <w:p w14:paraId="24B8CF11" w14:textId="77777777" w:rsidR="008C5CFA" w:rsidRPr="00BA47B4" w:rsidRDefault="00E82A60" w:rsidP="00300A01">
            <w:pPr>
              <w:spacing w:before="0" w:after="0"/>
              <w:jc w:val="right"/>
              <w:rPr>
                <w:sz w:val="12"/>
                <w:szCs w:val="12"/>
                <w:lang w:val="fr-BE"/>
              </w:rPr>
            </w:pPr>
            <w:r w:rsidRPr="00BA47B4">
              <w:rPr>
                <w:noProof/>
                <w:sz w:val="12"/>
                <w:szCs w:val="12"/>
                <w:lang w:val="fr-BE"/>
              </w:rPr>
              <w:t>614,00</w:t>
            </w:r>
          </w:p>
        </w:tc>
        <w:tc>
          <w:tcPr>
            <w:tcW w:w="0" w:type="auto"/>
            <w:shd w:val="clear" w:color="auto" w:fill="auto"/>
          </w:tcPr>
          <w:p w14:paraId="60EC86CE" w14:textId="77777777" w:rsidR="008C5CFA" w:rsidRPr="00BA47B4" w:rsidRDefault="00E82A60" w:rsidP="00300A01">
            <w:pPr>
              <w:spacing w:before="0" w:after="0"/>
              <w:jc w:val="right"/>
              <w:rPr>
                <w:sz w:val="12"/>
                <w:szCs w:val="12"/>
                <w:lang w:val="fr-BE"/>
              </w:rPr>
            </w:pPr>
            <w:r w:rsidRPr="00BA47B4">
              <w:rPr>
                <w:noProof/>
                <w:sz w:val="12"/>
                <w:szCs w:val="12"/>
                <w:lang w:val="fr-BE"/>
              </w:rPr>
              <w:t>856,00</w:t>
            </w:r>
          </w:p>
        </w:tc>
      </w:tr>
      <w:tr w:rsidR="006B2EC1" w14:paraId="34C80603" w14:textId="77777777" w:rsidTr="0047688D">
        <w:tc>
          <w:tcPr>
            <w:tcW w:w="0" w:type="auto"/>
            <w:shd w:val="clear" w:color="auto" w:fill="auto"/>
          </w:tcPr>
          <w:p w14:paraId="2DB62196" w14:textId="77777777" w:rsidR="008C5CFA" w:rsidRPr="00BA47B4" w:rsidRDefault="00E82A60" w:rsidP="00300A01">
            <w:pPr>
              <w:spacing w:before="0" w:after="0"/>
              <w:rPr>
                <w:sz w:val="12"/>
                <w:szCs w:val="12"/>
                <w:lang w:val="fr-BE"/>
              </w:rPr>
            </w:pPr>
            <w:r w:rsidRPr="00BA47B4">
              <w:rPr>
                <w:noProof/>
                <w:sz w:val="12"/>
                <w:szCs w:val="12"/>
                <w:lang w:val="fr-BE"/>
              </w:rPr>
              <w:t>CR06</w:t>
            </w:r>
          </w:p>
        </w:tc>
        <w:tc>
          <w:tcPr>
            <w:tcW w:w="0" w:type="auto"/>
            <w:shd w:val="clear" w:color="auto" w:fill="auto"/>
          </w:tcPr>
          <w:p w14:paraId="3F33378E" w14:textId="77777777" w:rsidR="008C5CFA" w:rsidRPr="00BA47B4" w:rsidRDefault="00E82A60" w:rsidP="00300A01">
            <w:pPr>
              <w:spacing w:before="0" w:after="0"/>
              <w:rPr>
                <w:sz w:val="12"/>
                <w:szCs w:val="12"/>
                <w:lang w:val="fr-BE"/>
              </w:rPr>
            </w:pPr>
            <w:r w:rsidRPr="00BA47B4">
              <w:rPr>
                <w:noProof/>
                <w:sz w:val="12"/>
                <w:szCs w:val="12"/>
                <w:lang w:val="fr-BE"/>
              </w:rPr>
              <w:t>uczestnicy pracujący, łącznie z prowadzącymi działalność na własny rachunek, sześć miesięcy po opuszczeniu programu</w:t>
            </w:r>
          </w:p>
        </w:tc>
        <w:tc>
          <w:tcPr>
            <w:tcW w:w="0" w:type="auto"/>
            <w:shd w:val="clear" w:color="auto" w:fill="auto"/>
          </w:tcPr>
          <w:p w14:paraId="2AE7280A" w14:textId="77777777" w:rsidR="008C5CFA" w:rsidRPr="00BA47B4" w:rsidRDefault="00E82A60" w:rsidP="00300A01">
            <w:pPr>
              <w:spacing w:before="0" w:after="0"/>
              <w:rPr>
                <w:sz w:val="12"/>
                <w:szCs w:val="12"/>
                <w:lang w:val="fr-BE"/>
              </w:rPr>
            </w:pPr>
            <w:r w:rsidRPr="00BA47B4">
              <w:rPr>
                <w:noProof/>
                <w:sz w:val="12"/>
                <w:szCs w:val="12"/>
                <w:lang w:val="fr-BE"/>
              </w:rPr>
              <w:t>Słabiej rozwinięte</w:t>
            </w:r>
          </w:p>
        </w:tc>
        <w:tc>
          <w:tcPr>
            <w:tcW w:w="0" w:type="auto"/>
            <w:shd w:val="clear" w:color="auto" w:fill="auto"/>
          </w:tcPr>
          <w:p w14:paraId="00F7DF3A" w14:textId="77777777" w:rsidR="008C5CFA" w:rsidRPr="00BA47B4" w:rsidRDefault="00E82A60" w:rsidP="00300A01">
            <w:pPr>
              <w:spacing w:before="0" w:after="0"/>
              <w:rPr>
                <w:sz w:val="12"/>
                <w:szCs w:val="12"/>
                <w:lang w:val="fr-BE"/>
              </w:rPr>
            </w:pPr>
            <w:r w:rsidRPr="00BA47B4">
              <w:rPr>
                <w:sz w:val="12"/>
                <w:szCs w:val="12"/>
                <w:lang w:val="fr-BE"/>
              </w:rPr>
              <w:t xml:space="preserve"> </w:t>
            </w:r>
          </w:p>
        </w:tc>
        <w:tc>
          <w:tcPr>
            <w:tcW w:w="0" w:type="auto"/>
            <w:shd w:val="clear" w:color="auto" w:fill="auto"/>
          </w:tcPr>
          <w:p w14:paraId="403B7482" w14:textId="77777777" w:rsidR="008C5CFA" w:rsidRPr="00BA47B4" w:rsidRDefault="008C5CFA" w:rsidP="00300A01">
            <w:pPr>
              <w:spacing w:before="0" w:after="0"/>
              <w:jc w:val="center"/>
              <w:rPr>
                <w:sz w:val="12"/>
                <w:szCs w:val="12"/>
                <w:lang w:val="fr-BE"/>
              </w:rPr>
            </w:pPr>
          </w:p>
        </w:tc>
        <w:tc>
          <w:tcPr>
            <w:tcW w:w="0" w:type="auto"/>
            <w:shd w:val="clear" w:color="auto" w:fill="auto"/>
          </w:tcPr>
          <w:p w14:paraId="43F18129" w14:textId="77777777" w:rsidR="008C5CFA" w:rsidRPr="00BA47B4" w:rsidRDefault="008C5CFA" w:rsidP="00300A01">
            <w:pPr>
              <w:spacing w:before="0" w:after="0"/>
              <w:jc w:val="right"/>
              <w:rPr>
                <w:sz w:val="12"/>
                <w:szCs w:val="12"/>
                <w:lang w:val="fr-BE"/>
              </w:rPr>
            </w:pPr>
          </w:p>
        </w:tc>
        <w:tc>
          <w:tcPr>
            <w:tcW w:w="0" w:type="auto"/>
            <w:shd w:val="clear" w:color="auto" w:fill="auto"/>
          </w:tcPr>
          <w:p w14:paraId="22F4D059" w14:textId="77777777" w:rsidR="008C5CFA" w:rsidRPr="00BA47B4" w:rsidRDefault="008C5CFA" w:rsidP="00300A01">
            <w:pPr>
              <w:spacing w:before="0" w:after="0"/>
              <w:jc w:val="right"/>
              <w:rPr>
                <w:sz w:val="12"/>
                <w:szCs w:val="12"/>
                <w:lang w:val="fr-BE"/>
              </w:rPr>
            </w:pPr>
          </w:p>
        </w:tc>
        <w:tc>
          <w:tcPr>
            <w:tcW w:w="0" w:type="auto"/>
            <w:shd w:val="clear" w:color="auto" w:fill="auto"/>
          </w:tcPr>
          <w:p w14:paraId="24E9A0A1" w14:textId="77777777" w:rsidR="008C5CFA" w:rsidRPr="00BA47B4" w:rsidRDefault="008C5CFA" w:rsidP="00300A01">
            <w:pPr>
              <w:spacing w:before="0" w:after="0"/>
              <w:jc w:val="right"/>
              <w:rPr>
                <w:sz w:val="12"/>
                <w:szCs w:val="12"/>
                <w:lang w:val="fr-BE"/>
              </w:rPr>
            </w:pPr>
          </w:p>
        </w:tc>
        <w:tc>
          <w:tcPr>
            <w:tcW w:w="0" w:type="auto"/>
            <w:shd w:val="clear" w:color="auto" w:fill="auto"/>
          </w:tcPr>
          <w:p w14:paraId="31C4001B" w14:textId="77777777" w:rsidR="008C5CFA" w:rsidRPr="00BA47B4" w:rsidRDefault="00E82A60" w:rsidP="00300A01">
            <w:pPr>
              <w:spacing w:before="0" w:after="0"/>
              <w:jc w:val="right"/>
              <w:rPr>
                <w:sz w:val="12"/>
                <w:szCs w:val="12"/>
                <w:lang w:val="fr-BE"/>
              </w:rPr>
            </w:pPr>
            <w:r w:rsidRPr="00BA47B4">
              <w:rPr>
                <w:noProof/>
                <w:sz w:val="12"/>
                <w:szCs w:val="12"/>
                <w:lang w:val="fr-BE"/>
              </w:rPr>
              <w:t>9 353,00</w:t>
            </w:r>
          </w:p>
        </w:tc>
        <w:tc>
          <w:tcPr>
            <w:tcW w:w="0" w:type="auto"/>
            <w:shd w:val="clear" w:color="auto" w:fill="auto"/>
          </w:tcPr>
          <w:p w14:paraId="4744C774" w14:textId="77777777" w:rsidR="008C5CFA" w:rsidRPr="00BA47B4" w:rsidRDefault="00E82A60" w:rsidP="00300A01">
            <w:pPr>
              <w:spacing w:before="0" w:after="0"/>
              <w:jc w:val="right"/>
              <w:rPr>
                <w:sz w:val="12"/>
                <w:szCs w:val="12"/>
                <w:lang w:val="fr-BE"/>
              </w:rPr>
            </w:pPr>
            <w:r w:rsidRPr="00BA47B4">
              <w:rPr>
                <w:noProof/>
                <w:sz w:val="12"/>
                <w:szCs w:val="12"/>
                <w:lang w:val="fr-BE"/>
              </w:rPr>
              <w:t>3 959,00</w:t>
            </w:r>
          </w:p>
        </w:tc>
        <w:tc>
          <w:tcPr>
            <w:tcW w:w="0" w:type="auto"/>
            <w:shd w:val="clear" w:color="auto" w:fill="auto"/>
          </w:tcPr>
          <w:p w14:paraId="34A47719" w14:textId="77777777" w:rsidR="008C5CFA" w:rsidRPr="00BA47B4" w:rsidRDefault="00E82A60" w:rsidP="00300A01">
            <w:pPr>
              <w:spacing w:before="0" w:after="0"/>
              <w:jc w:val="right"/>
              <w:rPr>
                <w:sz w:val="12"/>
                <w:szCs w:val="12"/>
                <w:lang w:val="fr-BE"/>
              </w:rPr>
            </w:pPr>
            <w:r w:rsidRPr="00BA47B4">
              <w:rPr>
                <w:noProof/>
                <w:sz w:val="12"/>
                <w:szCs w:val="12"/>
                <w:lang w:val="fr-BE"/>
              </w:rPr>
              <w:t>5 394,00</w:t>
            </w:r>
          </w:p>
        </w:tc>
        <w:tc>
          <w:tcPr>
            <w:tcW w:w="0" w:type="auto"/>
            <w:shd w:val="clear" w:color="auto" w:fill="auto"/>
          </w:tcPr>
          <w:p w14:paraId="2479B846" w14:textId="77777777" w:rsidR="008C5CFA" w:rsidRPr="00BA47B4" w:rsidRDefault="008C5CFA" w:rsidP="00300A01">
            <w:pPr>
              <w:spacing w:before="0" w:after="0"/>
              <w:jc w:val="right"/>
              <w:rPr>
                <w:sz w:val="12"/>
                <w:szCs w:val="12"/>
                <w:lang w:val="fr-BE"/>
              </w:rPr>
            </w:pPr>
          </w:p>
        </w:tc>
        <w:tc>
          <w:tcPr>
            <w:tcW w:w="0" w:type="auto"/>
            <w:shd w:val="clear" w:color="auto" w:fill="auto"/>
          </w:tcPr>
          <w:p w14:paraId="6C9F2620" w14:textId="77777777" w:rsidR="008C5CFA" w:rsidRPr="00BA47B4" w:rsidRDefault="008C5CFA" w:rsidP="00300A01">
            <w:pPr>
              <w:spacing w:before="0" w:after="0"/>
              <w:jc w:val="right"/>
              <w:rPr>
                <w:sz w:val="12"/>
                <w:szCs w:val="12"/>
                <w:lang w:val="fr-BE"/>
              </w:rPr>
            </w:pPr>
          </w:p>
        </w:tc>
        <w:tc>
          <w:tcPr>
            <w:tcW w:w="0" w:type="auto"/>
            <w:shd w:val="clear" w:color="auto" w:fill="auto"/>
          </w:tcPr>
          <w:p w14:paraId="30868B84" w14:textId="77777777" w:rsidR="008C5CFA" w:rsidRPr="00BA47B4" w:rsidRDefault="008C5CFA" w:rsidP="00300A01">
            <w:pPr>
              <w:spacing w:before="0" w:after="0"/>
              <w:jc w:val="right"/>
              <w:rPr>
                <w:sz w:val="12"/>
                <w:szCs w:val="12"/>
                <w:lang w:val="fr-BE"/>
              </w:rPr>
            </w:pPr>
          </w:p>
        </w:tc>
        <w:tc>
          <w:tcPr>
            <w:tcW w:w="0" w:type="auto"/>
            <w:shd w:val="clear" w:color="auto" w:fill="auto"/>
          </w:tcPr>
          <w:p w14:paraId="34A32464"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71B7D735"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r>
      <w:tr w:rsidR="006B2EC1" w14:paraId="58307D7D" w14:textId="77777777" w:rsidTr="0047688D">
        <w:tc>
          <w:tcPr>
            <w:tcW w:w="0" w:type="auto"/>
            <w:shd w:val="clear" w:color="auto" w:fill="auto"/>
          </w:tcPr>
          <w:p w14:paraId="789B815F" w14:textId="77777777" w:rsidR="008C5CFA" w:rsidRPr="00BA47B4" w:rsidRDefault="00E82A60" w:rsidP="00300A01">
            <w:pPr>
              <w:spacing w:before="0" w:after="0"/>
              <w:rPr>
                <w:sz w:val="12"/>
                <w:szCs w:val="12"/>
                <w:lang w:val="fr-BE"/>
              </w:rPr>
            </w:pPr>
            <w:r w:rsidRPr="00BA47B4">
              <w:rPr>
                <w:noProof/>
                <w:sz w:val="12"/>
                <w:szCs w:val="12"/>
                <w:lang w:val="fr-BE"/>
              </w:rPr>
              <w:t>CR06</w:t>
            </w:r>
          </w:p>
        </w:tc>
        <w:tc>
          <w:tcPr>
            <w:tcW w:w="0" w:type="auto"/>
            <w:shd w:val="clear" w:color="auto" w:fill="auto"/>
          </w:tcPr>
          <w:p w14:paraId="00BF0304" w14:textId="77777777" w:rsidR="008C5CFA" w:rsidRPr="00BA47B4" w:rsidRDefault="00E82A60" w:rsidP="00300A01">
            <w:pPr>
              <w:spacing w:before="0" w:after="0"/>
              <w:rPr>
                <w:sz w:val="12"/>
                <w:szCs w:val="12"/>
                <w:lang w:val="fr-BE"/>
              </w:rPr>
            </w:pPr>
            <w:r w:rsidRPr="00BA47B4">
              <w:rPr>
                <w:noProof/>
                <w:sz w:val="12"/>
                <w:szCs w:val="12"/>
                <w:lang w:val="fr-BE"/>
              </w:rPr>
              <w:t>uczestnicy pracujący, łącznie z prowadzącymi działalność na własny rachunek, sześć miesięcy po opuszczeniu programu</w:t>
            </w:r>
          </w:p>
        </w:tc>
        <w:tc>
          <w:tcPr>
            <w:tcW w:w="0" w:type="auto"/>
            <w:shd w:val="clear" w:color="auto" w:fill="auto"/>
          </w:tcPr>
          <w:p w14:paraId="3AE35A57" w14:textId="77777777" w:rsidR="008C5CFA" w:rsidRPr="00BA47B4" w:rsidRDefault="00E82A60" w:rsidP="00300A01">
            <w:pPr>
              <w:spacing w:before="0" w:after="0"/>
              <w:rPr>
                <w:sz w:val="12"/>
                <w:szCs w:val="12"/>
                <w:lang w:val="fr-BE"/>
              </w:rPr>
            </w:pPr>
            <w:r w:rsidRPr="00BA47B4">
              <w:rPr>
                <w:noProof/>
                <w:sz w:val="12"/>
                <w:szCs w:val="12"/>
                <w:lang w:val="fr-BE"/>
              </w:rPr>
              <w:t>Słabiej rozwinięte</w:t>
            </w:r>
          </w:p>
        </w:tc>
        <w:tc>
          <w:tcPr>
            <w:tcW w:w="0" w:type="auto"/>
            <w:shd w:val="clear" w:color="auto" w:fill="auto"/>
          </w:tcPr>
          <w:p w14:paraId="3F0D83B0" w14:textId="77777777" w:rsidR="008C5CFA" w:rsidRPr="00BA47B4" w:rsidRDefault="00E82A60" w:rsidP="00300A01">
            <w:pPr>
              <w:spacing w:before="0" w:after="0"/>
              <w:rPr>
                <w:sz w:val="12"/>
                <w:szCs w:val="12"/>
                <w:lang w:val="fr-BE"/>
              </w:rPr>
            </w:pPr>
            <w:r w:rsidRPr="00BA47B4">
              <w:rPr>
                <w:noProof/>
                <w:sz w:val="12"/>
                <w:szCs w:val="12"/>
                <w:lang w:val="fr-BE"/>
              </w:rPr>
              <w:t>CO01</w:t>
            </w:r>
            <w:r w:rsidRPr="00BA47B4">
              <w:rPr>
                <w:sz w:val="12"/>
                <w:szCs w:val="12"/>
                <w:lang w:val="fr-BE"/>
              </w:rPr>
              <w:t xml:space="preserve"> </w:t>
            </w:r>
            <w:r w:rsidRPr="00BA47B4">
              <w:rPr>
                <w:noProof/>
                <w:sz w:val="12"/>
                <w:szCs w:val="12"/>
                <w:lang w:val="fr-BE"/>
              </w:rPr>
              <w:t>bezrobotni, w tym długotrwale bezrobotni</w:t>
            </w:r>
          </w:p>
        </w:tc>
        <w:tc>
          <w:tcPr>
            <w:tcW w:w="0" w:type="auto"/>
            <w:shd w:val="clear" w:color="auto" w:fill="auto"/>
          </w:tcPr>
          <w:p w14:paraId="0481D234" w14:textId="77777777" w:rsidR="008C5CFA" w:rsidRPr="00BA47B4" w:rsidRDefault="00E82A60" w:rsidP="00300A01">
            <w:pPr>
              <w:spacing w:before="0" w:after="0"/>
              <w:jc w:val="center"/>
              <w:rPr>
                <w:sz w:val="12"/>
                <w:szCs w:val="12"/>
                <w:lang w:val="fr-BE"/>
              </w:rPr>
            </w:pPr>
            <w:r>
              <w:rPr>
                <w:noProof/>
                <w:sz w:val="12"/>
                <w:szCs w:val="12"/>
                <w:lang w:val="fr-BE"/>
              </w:rPr>
              <w:t>Współczynnik</w:t>
            </w:r>
          </w:p>
        </w:tc>
        <w:tc>
          <w:tcPr>
            <w:tcW w:w="0" w:type="auto"/>
            <w:shd w:val="clear" w:color="auto" w:fill="auto"/>
          </w:tcPr>
          <w:p w14:paraId="0369D183" w14:textId="77777777" w:rsidR="008C5CFA" w:rsidRPr="00BA47B4" w:rsidRDefault="00E82A60" w:rsidP="00300A01">
            <w:pPr>
              <w:spacing w:before="0" w:after="0"/>
              <w:jc w:val="right"/>
              <w:rPr>
                <w:sz w:val="12"/>
                <w:szCs w:val="12"/>
                <w:lang w:val="fr-BE"/>
              </w:rPr>
            </w:pPr>
            <w:r>
              <w:rPr>
                <w:noProof/>
                <w:sz w:val="12"/>
                <w:szCs w:val="12"/>
                <w:lang w:val="fr-BE"/>
              </w:rPr>
              <w:t>59,00</w:t>
            </w:r>
            <w:r>
              <w:rPr>
                <w:sz w:val="12"/>
                <w:szCs w:val="12"/>
                <w:lang w:val="fr-BE"/>
              </w:rPr>
              <w:t>%</w:t>
            </w:r>
          </w:p>
        </w:tc>
        <w:tc>
          <w:tcPr>
            <w:tcW w:w="0" w:type="auto"/>
            <w:shd w:val="clear" w:color="auto" w:fill="auto"/>
          </w:tcPr>
          <w:p w14:paraId="0D97400C" w14:textId="77777777" w:rsidR="008C5CFA" w:rsidRPr="00BA47B4" w:rsidRDefault="00E82A60" w:rsidP="00300A01">
            <w:pPr>
              <w:spacing w:before="0" w:after="0"/>
              <w:jc w:val="right"/>
              <w:rPr>
                <w:sz w:val="12"/>
                <w:szCs w:val="12"/>
                <w:lang w:val="fr-BE"/>
              </w:rPr>
            </w:pPr>
            <w:r>
              <w:rPr>
                <w:sz w:val="12"/>
                <w:szCs w:val="12"/>
                <w:lang w:val="fr-BE"/>
              </w:rPr>
              <w:t>%</w:t>
            </w:r>
          </w:p>
        </w:tc>
        <w:tc>
          <w:tcPr>
            <w:tcW w:w="0" w:type="auto"/>
            <w:shd w:val="clear" w:color="auto" w:fill="auto"/>
          </w:tcPr>
          <w:p w14:paraId="7E80BB56" w14:textId="77777777" w:rsidR="008C5CFA" w:rsidRPr="00BA47B4" w:rsidRDefault="00E82A60" w:rsidP="00300A01">
            <w:pPr>
              <w:spacing w:before="0" w:after="0"/>
              <w:jc w:val="right"/>
              <w:rPr>
                <w:sz w:val="12"/>
                <w:szCs w:val="12"/>
                <w:lang w:val="fr-BE"/>
              </w:rPr>
            </w:pPr>
            <w:r>
              <w:rPr>
                <w:sz w:val="12"/>
                <w:szCs w:val="12"/>
                <w:lang w:val="fr-BE"/>
              </w:rPr>
              <w:t>%</w:t>
            </w:r>
          </w:p>
        </w:tc>
        <w:tc>
          <w:tcPr>
            <w:tcW w:w="0" w:type="auto"/>
            <w:shd w:val="clear" w:color="auto" w:fill="auto"/>
          </w:tcPr>
          <w:p w14:paraId="2B9FCE2D" w14:textId="77777777" w:rsidR="008C5CFA" w:rsidRPr="00BA47B4" w:rsidRDefault="00E82A60" w:rsidP="00300A01">
            <w:pPr>
              <w:spacing w:before="0" w:after="0"/>
              <w:jc w:val="right"/>
              <w:rPr>
                <w:sz w:val="12"/>
                <w:szCs w:val="12"/>
                <w:lang w:val="fr-BE"/>
              </w:rPr>
            </w:pPr>
            <w:r w:rsidRPr="00BA47B4">
              <w:rPr>
                <w:noProof/>
                <w:sz w:val="12"/>
                <w:szCs w:val="12"/>
                <w:lang w:val="fr-BE"/>
              </w:rPr>
              <w:t>8 909,00</w:t>
            </w:r>
          </w:p>
        </w:tc>
        <w:tc>
          <w:tcPr>
            <w:tcW w:w="0" w:type="auto"/>
            <w:shd w:val="clear" w:color="auto" w:fill="auto"/>
          </w:tcPr>
          <w:p w14:paraId="2CB5589C" w14:textId="77777777" w:rsidR="008C5CFA" w:rsidRPr="00BA47B4" w:rsidRDefault="00E82A60" w:rsidP="00300A01">
            <w:pPr>
              <w:spacing w:before="0" w:after="0"/>
              <w:jc w:val="right"/>
              <w:rPr>
                <w:sz w:val="12"/>
                <w:szCs w:val="12"/>
                <w:lang w:val="fr-BE"/>
              </w:rPr>
            </w:pPr>
            <w:r w:rsidRPr="00BA47B4">
              <w:rPr>
                <w:noProof/>
                <w:sz w:val="12"/>
                <w:szCs w:val="12"/>
                <w:lang w:val="fr-BE"/>
              </w:rPr>
              <w:t>3 739,00</w:t>
            </w:r>
          </w:p>
        </w:tc>
        <w:tc>
          <w:tcPr>
            <w:tcW w:w="0" w:type="auto"/>
            <w:shd w:val="clear" w:color="auto" w:fill="auto"/>
          </w:tcPr>
          <w:p w14:paraId="44151E5B" w14:textId="77777777" w:rsidR="008C5CFA" w:rsidRPr="00BA47B4" w:rsidRDefault="00E82A60" w:rsidP="00300A01">
            <w:pPr>
              <w:spacing w:before="0" w:after="0"/>
              <w:jc w:val="right"/>
              <w:rPr>
                <w:sz w:val="12"/>
                <w:szCs w:val="12"/>
                <w:lang w:val="fr-BE"/>
              </w:rPr>
            </w:pPr>
            <w:r w:rsidRPr="00BA47B4">
              <w:rPr>
                <w:noProof/>
                <w:sz w:val="12"/>
                <w:szCs w:val="12"/>
                <w:lang w:val="fr-BE"/>
              </w:rPr>
              <w:t>5 170,00</w:t>
            </w:r>
          </w:p>
        </w:tc>
        <w:tc>
          <w:tcPr>
            <w:tcW w:w="0" w:type="auto"/>
            <w:shd w:val="clear" w:color="auto" w:fill="auto"/>
          </w:tcPr>
          <w:p w14:paraId="793A600C" w14:textId="77777777" w:rsidR="008C5CFA" w:rsidRPr="00BA47B4" w:rsidRDefault="00E82A60" w:rsidP="00300A01">
            <w:pPr>
              <w:spacing w:before="0" w:after="0"/>
              <w:jc w:val="right"/>
              <w:rPr>
                <w:sz w:val="12"/>
                <w:szCs w:val="12"/>
                <w:lang w:val="fr-BE"/>
              </w:rPr>
            </w:pPr>
            <w:r>
              <w:rPr>
                <w:noProof/>
                <w:sz w:val="12"/>
                <w:szCs w:val="12"/>
                <w:lang w:val="fr-BE"/>
              </w:rPr>
              <w:t>0,76</w:t>
            </w:r>
          </w:p>
        </w:tc>
        <w:tc>
          <w:tcPr>
            <w:tcW w:w="0" w:type="auto"/>
            <w:shd w:val="clear" w:color="auto" w:fill="auto"/>
          </w:tcPr>
          <w:p w14:paraId="4F83A824" w14:textId="77777777" w:rsidR="008C5CFA" w:rsidRPr="00BA47B4" w:rsidRDefault="008C5CFA" w:rsidP="00300A01">
            <w:pPr>
              <w:spacing w:before="0" w:after="0"/>
              <w:jc w:val="right"/>
              <w:rPr>
                <w:sz w:val="12"/>
                <w:szCs w:val="12"/>
                <w:lang w:val="fr-BE"/>
              </w:rPr>
            </w:pPr>
          </w:p>
        </w:tc>
        <w:tc>
          <w:tcPr>
            <w:tcW w:w="0" w:type="auto"/>
            <w:shd w:val="clear" w:color="auto" w:fill="auto"/>
          </w:tcPr>
          <w:p w14:paraId="08D6499E" w14:textId="77777777" w:rsidR="008C5CFA" w:rsidRPr="00BA47B4" w:rsidRDefault="008C5CFA" w:rsidP="00300A01">
            <w:pPr>
              <w:spacing w:before="0" w:after="0"/>
              <w:jc w:val="right"/>
              <w:rPr>
                <w:sz w:val="12"/>
                <w:szCs w:val="12"/>
                <w:lang w:val="fr-BE"/>
              </w:rPr>
            </w:pPr>
          </w:p>
        </w:tc>
        <w:tc>
          <w:tcPr>
            <w:tcW w:w="0" w:type="auto"/>
            <w:shd w:val="clear" w:color="auto" w:fill="auto"/>
          </w:tcPr>
          <w:p w14:paraId="1FD2F264"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7AA99E72"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r>
      <w:tr w:rsidR="006B2EC1" w14:paraId="47762533" w14:textId="77777777" w:rsidTr="0047688D">
        <w:tc>
          <w:tcPr>
            <w:tcW w:w="0" w:type="auto"/>
            <w:shd w:val="clear" w:color="auto" w:fill="auto"/>
          </w:tcPr>
          <w:p w14:paraId="574B0AD6" w14:textId="77777777" w:rsidR="008C5CFA" w:rsidRPr="00BA47B4" w:rsidRDefault="00E82A60" w:rsidP="00300A01">
            <w:pPr>
              <w:spacing w:before="0" w:after="0"/>
              <w:rPr>
                <w:sz w:val="12"/>
                <w:szCs w:val="12"/>
                <w:lang w:val="fr-BE"/>
              </w:rPr>
            </w:pPr>
            <w:r w:rsidRPr="00BA47B4">
              <w:rPr>
                <w:noProof/>
                <w:sz w:val="12"/>
                <w:szCs w:val="12"/>
                <w:lang w:val="fr-BE"/>
              </w:rPr>
              <w:t>CR06</w:t>
            </w:r>
          </w:p>
        </w:tc>
        <w:tc>
          <w:tcPr>
            <w:tcW w:w="0" w:type="auto"/>
            <w:shd w:val="clear" w:color="auto" w:fill="auto"/>
          </w:tcPr>
          <w:p w14:paraId="74EB9931" w14:textId="77777777" w:rsidR="008C5CFA" w:rsidRPr="00BA47B4" w:rsidRDefault="00E82A60" w:rsidP="00300A01">
            <w:pPr>
              <w:spacing w:before="0" w:after="0"/>
              <w:rPr>
                <w:sz w:val="12"/>
                <w:szCs w:val="12"/>
                <w:lang w:val="fr-BE"/>
              </w:rPr>
            </w:pPr>
            <w:r w:rsidRPr="00BA47B4">
              <w:rPr>
                <w:noProof/>
                <w:sz w:val="12"/>
                <w:szCs w:val="12"/>
                <w:lang w:val="fr-BE"/>
              </w:rPr>
              <w:t>uczestnicy pracujący, łącznie z prowadzącymi działalność na własny rachunek, sześć miesięcy po opuszczeniu programu</w:t>
            </w:r>
          </w:p>
        </w:tc>
        <w:tc>
          <w:tcPr>
            <w:tcW w:w="0" w:type="auto"/>
            <w:shd w:val="clear" w:color="auto" w:fill="auto"/>
          </w:tcPr>
          <w:p w14:paraId="0D60EAC2" w14:textId="77777777" w:rsidR="008C5CFA" w:rsidRPr="00BA47B4" w:rsidRDefault="00E82A60" w:rsidP="00300A01">
            <w:pPr>
              <w:spacing w:before="0" w:after="0"/>
              <w:rPr>
                <w:sz w:val="12"/>
                <w:szCs w:val="12"/>
                <w:lang w:val="fr-BE"/>
              </w:rPr>
            </w:pPr>
            <w:r w:rsidRPr="00BA47B4">
              <w:rPr>
                <w:noProof/>
                <w:sz w:val="12"/>
                <w:szCs w:val="12"/>
                <w:lang w:val="fr-BE"/>
              </w:rPr>
              <w:t>Słabiej rozwinięte</w:t>
            </w:r>
          </w:p>
        </w:tc>
        <w:tc>
          <w:tcPr>
            <w:tcW w:w="0" w:type="auto"/>
            <w:shd w:val="clear" w:color="auto" w:fill="auto"/>
          </w:tcPr>
          <w:p w14:paraId="5A1AD4FD" w14:textId="77777777" w:rsidR="008C5CFA" w:rsidRPr="00BA47B4" w:rsidRDefault="00E82A60" w:rsidP="00300A01">
            <w:pPr>
              <w:spacing w:before="0" w:after="0"/>
              <w:rPr>
                <w:sz w:val="12"/>
                <w:szCs w:val="12"/>
                <w:lang w:val="fr-BE"/>
              </w:rPr>
            </w:pPr>
            <w:r w:rsidRPr="00BA47B4">
              <w:rPr>
                <w:noProof/>
                <w:sz w:val="12"/>
                <w:szCs w:val="12"/>
                <w:lang w:val="fr-BE"/>
              </w:rPr>
              <w:t>CO02</w:t>
            </w:r>
            <w:r w:rsidRPr="00BA47B4">
              <w:rPr>
                <w:sz w:val="12"/>
                <w:szCs w:val="12"/>
                <w:lang w:val="fr-BE"/>
              </w:rPr>
              <w:t xml:space="preserve"> </w:t>
            </w:r>
            <w:r w:rsidRPr="00BA47B4">
              <w:rPr>
                <w:noProof/>
                <w:sz w:val="12"/>
                <w:szCs w:val="12"/>
                <w:lang w:val="fr-BE"/>
              </w:rPr>
              <w:t>długotrwale bezrobotni</w:t>
            </w:r>
          </w:p>
        </w:tc>
        <w:tc>
          <w:tcPr>
            <w:tcW w:w="0" w:type="auto"/>
            <w:shd w:val="clear" w:color="auto" w:fill="auto"/>
          </w:tcPr>
          <w:p w14:paraId="5269D6CF" w14:textId="77777777" w:rsidR="008C5CFA" w:rsidRPr="00BA47B4" w:rsidRDefault="00E82A60" w:rsidP="00300A01">
            <w:pPr>
              <w:spacing w:before="0" w:after="0"/>
              <w:jc w:val="center"/>
              <w:rPr>
                <w:sz w:val="12"/>
                <w:szCs w:val="12"/>
                <w:lang w:val="fr-BE"/>
              </w:rPr>
            </w:pPr>
            <w:r>
              <w:rPr>
                <w:noProof/>
                <w:sz w:val="12"/>
                <w:szCs w:val="12"/>
                <w:lang w:val="fr-BE"/>
              </w:rPr>
              <w:t>Współczynnik</w:t>
            </w:r>
          </w:p>
        </w:tc>
        <w:tc>
          <w:tcPr>
            <w:tcW w:w="0" w:type="auto"/>
            <w:shd w:val="clear" w:color="auto" w:fill="auto"/>
          </w:tcPr>
          <w:p w14:paraId="4162A86D" w14:textId="77777777" w:rsidR="008C5CFA" w:rsidRPr="00BA47B4" w:rsidRDefault="00E82A60" w:rsidP="00300A01">
            <w:pPr>
              <w:spacing w:before="0" w:after="0"/>
              <w:jc w:val="right"/>
              <w:rPr>
                <w:sz w:val="12"/>
                <w:szCs w:val="12"/>
                <w:lang w:val="fr-BE"/>
              </w:rPr>
            </w:pPr>
            <w:r>
              <w:rPr>
                <w:noProof/>
                <w:sz w:val="12"/>
                <w:szCs w:val="12"/>
                <w:lang w:val="fr-BE"/>
              </w:rPr>
              <w:t>57,00</w:t>
            </w:r>
            <w:r>
              <w:rPr>
                <w:sz w:val="12"/>
                <w:szCs w:val="12"/>
                <w:lang w:val="fr-BE"/>
              </w:rPr>
              <w:t>%</w:t>
            </w:r>
          </w:p>
        </w:tc>
        <w:tc>
          <w:tcPr>
            <w:tcW w:w="0" w:type="auto"/>
            <w:shd w:val="clear" w:color="auto" w:fill="auto"/>
          </w:tcPr>
          <w:p w14:paraId="00E446A7" w14:textId="77777777" w:rsidR="008C5CFA" w:rsidRPr="00BA47B4" w:rsidRDefault="00E82A60" w:rsidP="00300A01">
            <w:pPr>
              <w:spacing w:before="0" w:after="0"/>
              <w:jc w:val="right"/>
              <w:rPr>
                <w:sz w:val="12"/>
                <w:szCs w:val="12"/>
                <w:lang w:val="fr-BE"/>
              </w:rPr>
            </w:pPr>
            <w:r>
              <w:rPr>
                <w:sz w:val="12"/>
                <w:szCs w:val="12"/>
                <w:lang w:val="fr-BE"/>
              </w:rPr>
              <w:t>%</w:t>
            </w:r>
          </w:p>
        </w:tc>
        <w:tc>
          <w:tcPr>
            <w:tcW w:w="0" w:type="auto"/>
            <w:shd w:val="clear" w:color="auto" w:fill="auto"/>
          </w:tcPr>
          <w:p w14:paraId="50771B1B" w14:textId="77777777" w:rsidR="008C5CFA" w:rsidRPr="00BA47B4" w:rsidRDefault="00E82A60" w:rsidP="00300A01">
            <w:pPr>
              <w:spacing w:before="0" w:after="0"/>
              <w:jc w:val="right"/>
              <w:rPr>
                <w:sz w:val="12"/>
                <w:szCs w:val="12"/>
                <w:lang w:val="fr-BE"/>
              </w:rPr>
            </w:pPr>
            <w:r>
              <w:rPr>
                <w:sz w:val="12"/>
                <w:szCs w:val="12"/>
                <w:lang w:val="fr-BE"/>
              </w:rPr>
              <w:t>%</w:t>
            </w:r>
          </w:p>
        </w:tc>
        <w:tc>
          <w:tcPr>
            <w:tcW w:w="0" w:type="auto"/>
            <w:shd w:val="clear" w:color="auto" w:fill="auto"/>
          </w:tcPr>
          <w:p w14:paraId="0457BB9F" w14:textId="77777777" w:rsidR="008C5CFA" w:rsidRPr="00BA47B4" w:rsidRDefault="00E82A60" w:rsidP="00300A01">
            <w:pPr>
              <w:spacing w:before="0" w:after="0"/>
              <w:jc w:val="right"/>
              <w:rPr>
                <w:sz w:val="12"/>
                <w:szCs w:val="12"/>
                <w:lang w:val="fr-BE"/>
              </w:rPr>
            </w:pPr>
            <w:r w:rsidRPr="00BA47B4">
              <w:rPr>
                <w:noProof/>
                <w:sz w:val="12"/>
                <w:szCs w:val="12"/>
                <w:lang w:val="fr-BE"/>
              </w:rPr>
              <w:t>3 691,00</w:t>
            </w:r>
          </w:p>
        </w:tc>
        <w:tc>
          <w:tcPr>
            <w:tcW w:w="0" w:type="auto"/>
            <w:shd w:val="clear" w:color="auto" w:fill="auto"/>
          </w:tcPr>
          <w:p w14:paraId="34C5756A" w14:textId="77777777" w:rsidR="008C5CFA" w:rsidRPr="00BA47B4" w:rsidRDefault="00E82A60" w:rsidP="00300A01">
            <w:pPr>
              <w:spacing w:before="0" w:after="0"/>
              <w:jc w:val="right"/>
              <w:rPr>
                <w:sz w:val="12"/>
                <w:szCs w:val="12"/>
                <w:lang w:val="fr-BE"/>
              </w:rPr>
            </w:pPr>
            <w:r w:rsidRPr="00BA47B4">
              <w:rPr>
                <w:noProof/>
                <w:sz w:val="12"/>
                <w:szCs w:val="12"/>
                <w:lang w:val="fr-BE"/>
              </w:rPr>
              <w:t>1 551,00</w:t>
            </w:r>
          </w:p>
        </w:tc>
        <w:tc>
          <w:tcPr>
            <w:tcW w:w="0" w:type="auto"/>
            <w:shd w:val="clear" w:color="auto" w:fill="auto"/>
          </w:tcPr>
          <w:p w14:paraId="16363542" w14:textId="77777777" w:rsidR="008C5CFA" w:rsidRPr="00BA47B4" w:rsidRDefault="00E82A60" w:rsidP="00300A01">
            <w:pPr>
              <w:spacing w:before="0" w:after="0"/>
              <w:jc w:val="right"/>
              <w:rPr>
                <w:sz w:val="12"/>
                <w:szCs w:val="12"/>
                <w:lang w:val="fr-BE"/>
              </w:rPr>
            </w:pPr>
            <w:r w:rsidRPr="00BA47B4">
              <w:rPr>
                <w:noProof/>
                <w:sz w:val="12"/>
                <w:szCs w:val="12"/>
                <w:lang w:val="fr-BE"/>
              </w:rPr>
              <w:t>2 140,00</w:t>
            </w:r>
          </w:p>
        </w:tc>
        <w:tc>
          <w:tcPr>
            <w:tcW w:w="0" w:type="auto"/>
            <w:shd w:val="clear" w:color="auto" w:fill="auto"/>
          </w:tcPr>
          <w:p w14:paraId="38A5DEF9" w14:textId="77777777" w:rsidR="008C5CFA" w:rsidRPr="00BA47B4" w:rsidRDefault="00E82A60" w:rsidP="00300A01">
            <w:pPr>
              <w:spacing w:before="0" w:after="0"/>
              <w:jc w:val="right"/>
              <w:rPr>
                <w:sz w:val="12"/>
                <w:szCs w:val="12"/>
                <w:lang w:val="fr-BE"/>
              </w:rPr>
            </w:pPr>
            <w:r>
              <w:rPr>
                <w:noProof/>
                <w:sz w:val="12"/>
                <w:szCs w:val="12"/>
                <w:lang w:val="fr-BE"/>
              </w:rPr>
              <w:t>0,73</w:t>
            </w:r>
          </w:p>
        </w:tc>
        <w:tc>
          <w:tcPr>
            <w:tcW w:w="0" w:type="auto"/>
            <w:shd w:val="clear" w:color="auto" w:fill="auto"/>
          </w:tcPr>
          <w:p w14:paraId="4E67C090" w14:textId="77777777" w:rsidR="008C5CFA" w:rsidRPr="00BA47B4" w:rsidRDefault="008C5CFA" w:rsidP="00300A01">
            <w:pPr>
              <w:spacing w:before="0" w:after="0"/>
              <w:jc w:val="right"/>
              <w:rPr>
                <w:sz w:val="12"/>
                <w:szCs w:val="12"/>
                <w:lang w:val="fr-BE"/>
              </w:rPr>
            </w:pPr>
          </w:p>
        </w:tc>
        <w:tc>
          <w:tcPr>
            <w:tcW w:w="0" w:type="auto"/>
            <w:shd w:val="clear" w:color="auto" w:fill="auto"/>
          </w:tcPr>
          <w:p w14:paraId="7D532070" w14:textId="77777777" w:rsidR="008C5CFA" w:rsidRPr="00BA47B4" w:rsidRDefault="008C5CFA" w:rsidP="00300A01">
            <w:pPr>
              <w:spacing w:before="0" w:after="0"/>
              <w:jc w:val="right"/>
              <w:rPr>
                <w:sz w:val="12"/>
                <w:szCs w:val="12"/>
                <w:lang w:val="fr-BE"/>
              </w:rPr>
            </w:pPr>
          </w:p>
        </w:tc>
        <w:tc>
          <w:tcPr>
            <w:tcW w:w="0" w:type="auto"/>
            <w:shd w:val="clear" w:color="auto" w:fill="auto"/>
          </w:tcPr>
          <w:p w14:paraId="79105781"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02F9E295"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r>
      <w:tr w:rsidR="006B2EC1" w14:paraId="590F8FC0" w14:textId="77777777" w:rsidTr="0047688D">
        <w:tc>
          <w:tcPr>
            <w:tcW w:w="0" w:type="auto"/>
            <w:shd w:val="clear" w:color="auto" w:fill="auto"/>
          </w:tcPr>
          <w:p w14:paraId="1A7E02C7" w14:textId="77777777" w:rsidR="008C5CFA" w:rsidRPr="00BA47B4" w:rsidRDefault="00E82A60" w:rsidP="00300A01">
            <w:pPr>
              <w:spacing w:before="0" w:after="0"/>
              <w:rPr>
                <w:sz w:val="12"/>
                <w:szCs w:val="12"/>
                <w:lang w:val="fr-BE"/>
              </w:rPr>
            </w:pPr>
            <w:r w:rsidRPr="00BA47B4">
              <w:rPr>
                <w:noProof/>
                <w:sz w:val="12"/>
                <w:szCs w:val="12"/>
                <w:lang w:val="fr-BE"/>
              </w:rPr>
              <w:t>CR06</w:t>
            </w:r>
          </w:p>
        </w:tc>
        <w:tc>
          <w:tcPr>
            <w:tcW w:w="0" w:type="auto"/>
            <w:shd w:val="clear" w:color="auto" w:fill="auto"/>
          </w:tcPr>
          <w:p w14:paraId="6F3D5053" w14:textId="77777777" w:rsidR="008C5CFA" w:rsidRPr="00BA47B4" w:rsidRDefault="00E82A60" w:rsidP="00300A01">
            <w:pPr>
              <w:spacing w:before="0" w:after="0"/>
              <w:rPr>
                <w:sz w:val="12"/>
                <w:szCs w:val="12"/>
                <w:lang w:val="fr-BE"/>
              </w:rPr>
            </w:pPr>
            <w:r w:rsidRPr="00BA47B4">
              <w:rPr>
                <w:noProof/>
                <w:sz w:val="12"/>
                <w:szCs w:val="12"/>
                <w:lang w:val="fr-BE"/>
              </w:rPr>
              <w:t>uczestnicy pracujący, łącznie z prowadzącymi działalność na własny rachunek, sześć miesięcy po opuszczeniu programu</w:t>
            </w:r>
          </w:p>
        </w:tc>
        <w:tc>
          <w:tcPr>
            <w:tcW w:w="0" w:type="auto"/>
            <w:shd w:val="clear" w:color="auto" w:fill="auto"/>
          </w:tcPr>
          <w:p w14:paraId="1E3F7DA9" w14:textId="77777777" w:rsidR="008C5CFA" w:rsidRPr="00BA47B4" w:rsidRDefault="00E82A60" w:rsidP="00300A01">
            <w:pPr>
              <w:spacing w:before="0" w:after="0"/>
              <w:rPr>
                <w:sz w:val="12"/>
                <w:szCs w:val="12"/>
                <w:lang w:val="fr-BE"/>
              </w:rPr>
            </w:pPr>
            <w:r w:rsidRPr="00BA47B4">
              <w:rPr>
                <w:noProof/>
                <w:sz w:val="12"/>
                <w:szCs w:val="12"/>
                <w:lang w:val="fr-BE"/>
              </w:rPr>
              <w:t>Słabiej rozwinięte</w:t>
            </w:r>
          </w:p>
        </w:tc>
        <w:tc>
          <w:tcPr>
            <w:tcW w:w="0" w:type="auto"/>
            <w:shd w:val="clear" w:color="auto" w:fill="auto"/>
          </w:tcPr>
          <w:p w14:paraId="04C47977" w14:textId="77777777" w:rsidR="008C5CFA" w:rsidRPr="00BA47B4" w:rsidRDefault="00E82A60" w:rsidP="00300A01">
            <w:pPr>
              <w:spacing w:before="0" w:after="0"/>
              <w:rPr>
                <w:sz w:val="12"/>
                <w:szCs w:val="12"/>
                <w:lang w:val="fr-BE"/>
              </w:rPr>
            </w:pPr>
            <w:r w:rsidRPr="00BA47B4">
              <w:rPr>
                <w:noProof/>
                <w:sz w:val="12"/>
                <w:szCs w:val="12"/>
                <w:lang w:val="fr-BE"/>
              </w:rPr>
              <w:t>CO03</w:t>
            </w:r>
            <w:r w:rsidRPr="00BA47B4">
              <w:rPr>
                <w:sz w:val="12"/>
                <w:szCs w:val="12"/>
                <w:lang w:val="fr-BE"/>
              </w:rPr>
              <w:t xml:space="preserve"> </w:t>
            </w:r>
            <w:r w:rsidRPr="00BA47B4">
              <w:rPr>
                <w:noProof/>
                <w:sz w:val="12"/>
                <w:szCs w:val="12"/>
                <w:lang w:val="fr-BE"/>
              </w:rPr>
              <w:t>osoby bierne zawodowo</w:t>
            </w:r>
          </w:p>
        </w:tc>
        <w:tc>
          <w:tcPr>
            <w:tcW w:w="0" w:type="auto"/>
            <w:shd w:val="clear" w:color="auto" w:fill="auto"/>
          </w:tcPr>
          <w:p w14:paraId="00747F22" w14:textId="77777777" w:rsidR="008C5CFA" w:rsidRPr="00BA47B4" w:rsidRDefault="00E82A60" w:rsidP="00300A01">
            <w:pPr>
              <w:spacing w:before="0" w:after="0"/>
              <w:jc w:val="center"/>
              <w:rPr>
                <w:sz w:val="12"/>
                <w:szCs w:val="12"/>
                <w:lang w:val="fr-BE"/>
              </w:rPr>
            </w:pPr>
            <w:r>
              <w:rPr>
                <w:noProof/>
                <w:sz w:val="12"/>
                <w:szCs w:val="12"/>
                <w:lang w:val="fr-BE"/>
              </w:rPr>
              <w:t>Współczynnik</w:t>
            </w:r>
          </w:p>
        </w:tc>
        <w:tc>
          <w:tcPr>
            <w:tcW w:w="0" w:type="auto"/>
            <w:shd w:val="clear" w:color="auto" w:fill="auto"/>
          </w:tcPr>
          <w:p w14:paraId="103DF7F9" w14:textId="77777777" w:rsidR="008C5CFA" w:rsidRPr="00BA47B4" w:rsidRDefault="00E82A60" w:rsidP="00300A01">
            <w:pPr>
              <w:spacing w:before="0" w:after="0"/>
              <w:jc w:val="right"/>
              <w:rPr>
                <w:sz w:val="12"/>
                <w:szCs w:val="12"/>
                <w:lang w:val="fr-BE"/>
              </w:rPr>
            </w:pPr>
            <w:r>
              <w:rPr>
                <w:noProof/>
                <w:sz w:val="12"/>
                <w:szCs w:val="12"/>
                <w:lang w:val="fr-BE"/>
              </w:rPr>
              <w:t>40,00</w:t>
            </w:r>
            <w:r>
              <w:rPr>
                <w:sz w:val="12"/>
                <w:szCs w:val="12"/>
                <w:lang w:val="fr-BE"/>
              </w:rPr>
              <w:t>%</w:t>
            </w:r>
          </w:p>
        </w:tc>
        <w:tc>
          <w:tcPr>
            <w:tcW w:w="0" w:type="auto"/>
            <w:shd w:val="clear" w:color="auto" w:fill="auto"/>
          </w:tcPr>
          <w:p w14:paraId="345EBCE9" w14:textId="77777777" w:rsidR="008C5CFA" w:rsidRPr="00BA47B4" w:rsidRDefault="00E82A60" w:rsidP="00300A01">
            <w:pPr>
              <w:spacing w:before="0" w:after="0"/>
              <w:jc w:val="right"/>
              <w:rPr>
                <w:sz w:val="12"/>
                <w:szCs w:val="12"/>
                <w:lang w:val="fr-BE"/>
              </w:rPr>
            </w:pPr>
            <w:r>
              <w:rPr>
                <w:sz w:val="12"/>
                <w:szCs w:val="12"/>
                <w:lang w:val="fr-BE"/>
              </w:rPr>
              <w:t>%</w:t>
            </w:r>
          </w:p>
        </w:tc>
        <w:tc>
          <w:tcPr>
            <w:tcW w:w="0" w:type="auto"/>
            <w:shd w:val="clear" w:color="auto" w:fill="auto"/>
          </w:tcPr>
          <w:p w14:paraId="3182177E" w14:textId="77777777" w:rsidR="008C5CFA" w:rsidRPr="00BA47B4" w:rsidRDefault="00E82A60" w:rsidP="00300A01">
            <w:pPr>
              <w:spacing w:before="0" w:after="0"/>
              <w:jc w:val="right"/>
              <w:rPr>
                <w:sz w:val="12"/>
                <w:szCs w:val="12"/>
                <w:lang w:val="fr-BE"/>
              </w:rPr>
            </w:pPr>
            <w:r>
              <w:rPr>
                <w:sz w:val="12"/>
                <w:szCs w:val="12"/>
                <w:lang w:val="fr-BE"/>
              </w:rPr>
              <w:t>%</w:t>
            </w:r>
          </w:p>
        </w:tc>
        <w:tc>
          <w:tcPr>
            <w:tcW w:w="0" w:type="auto"/>
            <w:shd w:val="clear" w:color="auto" w:fill="auto"/>
          </w:tcPr>
          <w:p w14:paraId="66CBFAA0" w14:textId="77777777" w:rsidR="008C5CFA" w:rsidRPr="00BA47B4" w:rsidRDefault="00E82A60" w:rsidP="00300A01">
            <w:pPr>
              <w:spacing w:before="0" w:after="0"/>
              <w:jc w:val="right"/>
              <w:rPr>
                <w:sz w:val="12"/>
                <w:szCs w:val="12"/>
                <w:lang w:val="fr-BE"/>
              </w:rPr>
            </w:pPr>
            <w:r w:rsidRPr="00BA47B4">
              <w:rPr>
                <w:noProof/>
                <w:sz w:val="12"/>
                <w:szCs w:val="12"/>
                <w:lang w:val="fr-BE"/>
              </w:rPr>
              <w:t>322,00</w:t>
            </w:r>
          </w:p>
        </w:tc>
        <w:tc>
          <w:tcPr>
            <w:tcW w:w="0" w:type="auto"/>
            <w:shd w:val="clear" w:color="auto" w:fill="auto"/>
          </w:tcPr>
          <w:p w14:paraId="3A5AB703" w14:textId="77777777" w:rsidR="008C5CFA" w:rsidRPr="00BA47B4" w:rsidRDefault="00E82A60" w:rsidP="00300A01">
            <w:pPr>
              <w:spacing w:before="0" w:after="0"/>
              <w:jc w:val="right"/>
              <w:rPr>
                <w:sz w:val="12"/>
                <w:szCs w:val="12"/>
                <w:lang w:val="fr-BE"/>
              </w:rPr>
            </w:pPr>
            <w:r w:rsidRPr="00BA47B4">
              <w:rPr>
                <w:noProof/>
                <w:sz w:val="12"/>
                <w:szCs w:val="12"/>
                <w:lang w:val="fr-BE"/>
              </w:rPr>
              <w:t>153,00</w:t>
            </w:r>
          </w:p>
        </w:tc>
        <w:tc>
          <w:tcPr>
            <w:tcW w:w="0" w:type="auto"/>
            <w:shd w:val="clear" w:color="auto" w:fill="auto"/>
          </w:tcPr>
          <w:p w14:paraId="452BB905" w14:textId="77777777" w:rsidR="008C5CFA" w:rsidRPr="00BA47B4" w:rsidRDefault="00E82A60" w:rsidP="00300A01">
            <w:pPr>
              <w:spacing w:before="0" w:after="0"/>
              <w:jc w:val="right"/>
              <w:rPr>
                <w:sz w:val="12"/>
                <w:szCs w:val="12"/>
                <w:lang w:val="fr-BE"/>
              </w:rPr>
            </w:pPr>
            <w:r w:rsidRPr="00BA47B4">
              <w:rPr>
                <w:noProof/>
                <w:sz w:val="12"/>
                <w:szCs w:val="12"/>
                <w:lang w:val="fr-BE"/>
              </w:rPr>
              <w:t>169,00</w:t>
            </w:r>
          </w:p>
        </w:tc>
        <w:tc>
          <w:tcPr>
            <w:tcW w:w="0" w:type="auto"/>
            <w:shd w:val="clear" w:color="auto" w:fill="auto"/>
          </w:tcPr>
          <w:p w14:paraId="3965C0DF" w14:textId="77777777" w:rsidR="008C5CFA" w:rsidRPr="00BA47B4" w:rsidRDefault="00E82A60" w:rsidP="00300A01">
            <w:pPr>
              <w:spacing w:before="0" w:after="0"/>
              <w:jc w:val="right"/>
              <w:rPr>
                <w:sz w:val="12"/>
                <w:szCs w:val="12"/>
                <w:lang w:val="fr-BE"/>
              </w:rPr>
            </w:pPr>
            <w:r>
              <w:rPr>
                <w:noProof/>
                <w:sz w:val="12"/>
                <w:szCs w:val="12"/>
                <w:lang w:val="fr-BE"/>
              </w:rPr>
              <w:t>0,60</w:t>
            </w:r>
          </w:p>
        </w:tc>
        <w:tc>
          <w:tcPr>
            <w:tcW w:w="0" w:type="auto"/>
            <w:shd w:val="clear" w:color="auto" w:fill="auto"/>
          </w:tcPr>
          <w:p w14:paraId="0FA4EC81" w14:textId="77777777" w:rsidR="008C5CFA" w:rsidRPr="00BA47B4" w:rsidRDefault="008C5CFA" w:rsidP="00300A01">
            <w:pPr>
              <w:spacing w:before="0" w:after="0"/>
              <w:jc w:val="right"/>
              <w:rPr>
                <w:sz w:val="12"/>
                <w:szCs w:val="12"/>
                <w:lang w:val="fr-BE"/>
              </w:rPr>
            </w:pPr>
          </w:p>
        </w:tc>
        <w:tc>
          <w:tcPr>
            <w:tcW w:w="0" w:type="auto"/>
            <w:shd w:val="clear" w:color="auto" w:fill="auto"/>
          </w:tcPr>
          <w:p w14:paraId="4511BAE6" w14:textId="77777777" w:rsidR="008C5CFA" w:rsidRPr="00BA47B4" w:rsidRDefault="008C5CFA" w:rsidP="00300A01">
            <w:pPr>
              <w:spacing w:before="0" w:after="0"/>
              <w:jc w:val="right"/>
              <w:rPr>
                <w:sz w:val="12"/>
                <w:szCs w:val="12"/>
                <w:lang w:val="fr-BE"/>
              </w:rPr>
            </w:pPr>
          </w:p>
        </w:tc>
        <w:tc>
          <w:tcPr>
            <w:tcW w:w="0" w:type="auto"/>
            <w:shd w:val="clear" w:color="auto" w:fill="auto"/>
          </w:tcPr>
          <w:p w14:paraId="543BDF92"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17FCD1F6"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r>
      <w:tr w:rsidR="006B2EC1" w14:paraId="02948CCE" w14:textId="77777777" w:rsidTr="0047688D">
        <w:tc>
          <w:tcPr>
            <w:tcW w:w="0" w:type="auto"/>
            <w:shd w:val="clear" w:color="auto" w:fill="auto"/>
          </w:tcPr>
          <w:p w14:paraId="450A9A3B" w14:textId="77777777" w:rsidR="008C5CFA" w:rsidRPr="00BA47B4" w:rsidRDefault="00E82A60" w:rsidP="00300A01">
            <w:pPr>
              <w:spacing w:before="0" w:after="0"/>
              <w:rPr>
                <w:sz w:val="12"/>
                <w:szCs w:val="12"/>
                <w:lang w:val="fr-BE"/>
              </w:rPr>
            </w:pPr>
            <w:r w:rsidRPr="00BA47B4">
              <w:rPr>
                <w:noProof/>
                <w:sz w:val="12"/>
                <w:szCs w:val="12"/>
                <w:lang w:val="fr-BE"/>
              </w:rPr>
              <w:t>CR07</w:t>
            </w:r>
          </w:p>
        </w:tc>
        <w:tc>
          <w:tcPr>
            <w:tcW w:w="0" w:type="auto"/>
            <w:shd w:val="clear" w:color="auto" w:fill="auto"/>
          </w:tcPr>
          <w:p w14:paraId="42CBAF56" w14:textId="77777777" w:rsidR="008C5CFA" w:rsidRPr="00BA47B4" w:rsidRDefault="00E82A60" w:rsidP="00300A01">
            <w:pPr>
              <w:spacing w:before="0" w:after="0"/>
              <w:rPr>
                <w:sz w:val="12"/>
                <w:szCs w:val="12"/>
                <w:lang w:val="fr-BE"/>
              </w:rPr>
            </w:pPr>
            <w:r w:rsidRPr="00BA47B4">
              <w:rPr>
                <w:noProof/>
                <w:sz w:val="12"/>
                <w:szCs w:val="12"/>
                <w:lang w:val="fr-BE"/>
              </w:rPr>
              <w:t>uczestnicy znajdujący się w lepszej sytuacji na rynku pracy sześć miesięcy po opuszczeniu programu</w:t>
            </w:r>
          </w:p>
        </w:tc>
        <w:tc>
          <w:tcPr>
            <w:tcW w:w="0" w:type="auto"/>
            <w:shd w:val="clear" w:color="auto" w:fill="auto"/>
          </w:tcPr>
          <w:p w14:paraId="1B125148" w14:textId="77777777" w:rsidR="008C5CFA" w:rsidRPr="00BA47B4" w:rsidRDefault="00E82A60" w:rsidP="00300A01">
            <w:pPr>
              <w:spacing w:before="0" w:after="0"/>
              <w:rPr>
                <w:sz w:val="12"/>
                <w:szCs w:val="12"/>
                <w:lang w:val="fr-BE"/>
              </w:rPr>
            </w:pPr>
            <w:r w:rsidRPr="00BA47B4">
              <w:rPr>
                <w:noProof/>
                <w:sz w:val="12"/>
                <w:szCs w:val="12"/>
                <w:lang w:val="fr-BE"/>
              </w:rPr>
              <w:t>Słabiej rozwinięte</w:t>
            </w:r>
          </w:p>
        </w:tc>
        <w:tc>
          <w:tcPr>
            <w:tcW w:w="0" w:type="auto"/>
            <w:shd w:val="clear" w:color="auto" w:fill="auto"/>
          </w:tcPr>
          <w:p w14:paraId="28C5053C" w14:textId="77777777" w:rsidR="008C5CFA" w:rsidRPr="00BA47B4" w:rsidRDefault="00E82A60" w:rsidP="00300A01">
            <w:pPr>
              <w:spacing w:before="0" w:after="0"/>
              <w:rPr>
                <w:sz w:val="12"/>
                <w:szCs w:val="12"/>
                <w:lang w:val="fr-BE"/>
              </w:rPr>
            </w:pPr>
            <w:r w:rsidRPr="00BA47B4">
              <w:rPr>
                <w:sz w:val="12"/>
                <w:szCs w:val="12"/>
                <w:lang w:val="fr-BE"/>
              </w:rPr>
              <w:t xml:space="preserve"> </w:t>
            </w:r>
          </w:p>
        </w:tc>
        <w:tc>
          <w:tcPr>
            <w:tcW w:w="0" w:type="auto"/>
            <w:shd w:val="clear" w:color="auto" w:fill="auto"/>
          </w:tcPr>
          <w:p w14:paraId="29668C9D" w14:textId="77777777" w:rsidR="008C5CFA" w:rsidRPr="00BA47B4" w:rsidRDefault="008C5CFA" w:rsidP="00300A01">
            <w:pPr>
              <w:spacing w:before="0" w:after="0"/>
              <w:jc w:val="center"/>
              <w:rPr>
                <w:sz w:val="12"/>
                <w:szCs w:val="12"/>
                <w:lang w:val="fr-BE"/>
              </w:rPr>
            </w:pPr>
          </w:p>
        </w:tc>
        <w:tc>
          <w:tcPr>
            <w:tcW w:w="0" w:type="auto"/>
            <w:shd w:val="clear" w:color="auto" w:fill="auto"/>
          </w:tcPr>
          <w:p w14:paraId="5E2D3741" w14:textId="77777777" w:rsidR="008C5CFA" w:rsidRPr="00BA47B4" w:rsidRDefault="008C5CFA" w:rsidP="00300A01">
            <w:pPr>
              <w:spacing w:before="0" w:after="0"/>
              <w:jc w:val="right"/>
              <w:rPr>
                <w:sz w:val="12"/>
                <w:szCs w:val="12"/>
                <w:lang w:val="fr-BE"/>
              </w:rPr>
            </w:pPr>
          </w:p>
        </w:tc>
        <w:tc>
          <w:tcPr>
            <w:tcW w:w="0" w:type="auto"/>
            <w:shd w:val="clear" w:color="auto" w:fill="auto"/>
          </w:tcPr>
          <w:p w14:paraId="07AD98C0" w14:textId="77777777" w:rsidR="008C5CFA" w:rsidRPr="00BA47B4" w:rsidRDefault="008C5CFA" w:rsidP="00300A01">
            <w:pPr>
              <w:spacing w:before="0" w:after="0"/>
              <w:jc w:val="right"/>
              <w:rPr>
                <w:sz w:val="12"/>
                <w:szCs w:val="12"/>
                <w:lang w:val="fr-BE"/>
              </w:rPr>
            </w:pPr>
          </w:p>
        </w:tc>
        <w:tc>
          <w:tcPr>
            <w:tcW w:w="0" w:type="auto"/>
            <w:shd w:val="clear" w:color="auto" w:fill="auto"/>
          </w:tcPr>
          <w:p w14:paraId="29C9B2F3" w14:textId="77777777" w:rsidR="008C5CFA" w:rsidRPr="00BA47B4" w:rsidRDefault="008C5CFA" w:rsidP="00300A01">
            <w:pPr>
              <w:spacing w:before="0" w:after="0"/>
              <w:jc w:val="right"/>
              <w:rPr>
                <w:sz w:val="12"/>
                <w:szCs w:val="12"/>
                <w:lang w:val="fr-BE"/>
              </w:rPr>
            </w:pPr>
          </w:p>
        </w:tc>
        <w:tc>
          <w:tcPr>
            <w:tcW w:w="0" w:type="auto"/>
            <w:shd w:val="clear" w:color="auto" w:fill="auto"/>
          </w:tcPr>
          <w:p w14:paraId="39E2ECC5"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51A208E6"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503C3665"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30FFAE8A" w14:textId="77777777" w:rsidR="008C5CFA" w:rsidRPr="00BA47B4" w:rsidRDefault="008C5CFA" w:rsidP="00300A01">
            <w:pPr>
              <w:spacing w:before="0" w:after="0"/>
              <w:jc w:val="right"/>
              <w:rPr>
                <w:sz w:val="12"/>
                <w:szCs w:val="12"/>
                <w:lang w:val="fr-BE"/>
              </w:rPr>
            </w:pPr>
          </w:p>
        </w:tc>
        <w:tc>
          <w:tcPr>
            <w:tcW w:w="0" w:type="auto"/>
            <w:shd w:val="clear" w:color="auto" w:fill="auto"/>
          </w:tcPr>
          <w:p w14:paraId="5BD7A28C" w14:textId="77777777" w:rsidR="008C5CFA" w:rsidRPr="00BA47B4" w:rsidRDefault="008C5CFA" w:rsidP="00300A01">
            <w:pPr>
              <w:spacing w:before="0" w:after="0"/>
              <w:jc w:val="right"/>
              <w:rPr>
                <w:sz w:val="12"/>
                <w:szCs w:val="12"/>
                <w:lang w:val="fr-BE"/>
              </w:rPr>
            </w:pPr>
          </w:p>
        </w:tc>
        <w:tc>
          <w:tcPr>
            <w:tcW w:w="0" w:type="auto"/>
            <w:shd w:val="clear" w:color="auto" w:fill="auto"/>
          </w:tcPr>
          <w:p w14:paraId="7A83BA75" w14:textId="77777777" w:rsidR="008C5CFA" w:rsidRPr="00BA47B4" w:rsidRDefault="008C5CFA" w:rsidP="00300A01">
            <w:pPr>
              <w:spacing w:before="0" w:after="0"/>
              <w:jc w:val="right"/>
              <w:rPr>
                <w:sz w:val="12"/>
                <w:szCs w:val="12"/>
                <w:lang w:val="fr-BE"/>
              </w:rPr>
            </w:pPr>
          </w:p>
        </w:tc>
        <w:tc>
          <w:tcPr>
            <w:tcW w:w="0" w:type="auto"/>
            <w:shd w:val="clear" w:color="auto" w:fill="auto"/>
          </w:tcPr>
          <w:p w14:paraId="2A952666"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36EECF54"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r>
      <w:tr w:rsidR="006B2EC1" w14:paraId="568709E1" w14:textId="77777777" w:rsidTr="0047688D">
        <w:tc>
          <w:tcPr>
            <w:tcW w:w="0" w:type="auto"/>
            <w:shd w:val="clear" w:color="auto" w:fill="auto"/>
          </w:tcPr>
          <w:p w14:paraId="17EA72A9" w14:textId="77777777" w:rsidR="008C5CFA" w:rsidRPr="00BA47B4" w:rsidRDefault="00E82A60" w:rsidP="00300A01">
            <w:pPr>
              <w:spacing w:before="0" w:after="0"/>
              <w:rPr>
                <w:sz w:val="12"/>
                <w:szCs w:val="12"/>
                <w:lang w:val="fr-BE"/>
              </w:rPr>
            </w:pPr>
            <w:r w:rsidRPr="00BA47B4">
              <w:rPr>
                <w:noProof/>
                <w:sz w:val="12"/>
                <w:szCs w:val="12"/>
                <w:lang w:val="fr-BE"/>
              </w:rPr>
              <w:t>CR08</w:t>
            </w:r>
          </w:p>
        </w:tc>
        <w:tc>
          <w:tcPr>
            <w:tcW w:w="0" w:type="auto"/>
            <w:shd w:val="clear" w:color="auto" w:fill="auto"/>
          </w:tcPr>
          <w:p w14:paraId="183D7D3D" w14:textId="77777777" w:rsidR="008C5CFA" w:rsidRPr="00BA47B4" w:rsidRDefault="00E82A60" w:rsidP="00300A01">
            <w:pPr>
              <w:spacing w:before="0" w:after="0"/>
              <w:rPr>
                <w:sz w:val="12"/>
                <w:szCs w:val="12"/>
                <w:lang w:val="fr-BE"/>
              </w:rPr>
            </w:pPr>
            <w:r w:rsidRPr="00BA47B4">
              <w:rPr>
                <w:noProof/>
                <w:sz w:val="12"/>
                <w:szCs w:val="12"/>
                <w:lang w:val="fr-BE"/>
              </w:rPr>
              <w:t>uczestnicy powyżej 54 roku życia, pracujący, łącznie z prowadzącymi działalność na własny rachunek, sześć miesięcy po opuszczeniu programu</w:t>
            </w:r>
          </w:p>
        </w:tc>
        <w:tc>
          <w:tcPr>
            <w:tcW w:w="0" w:type="auto"/>
            <w:shd w:val="clear" w:color="auto" w:fill="auto"/>
          </w:tcPr>
          <w:p w14:paraId="09FA4E5A" w14:textId="77777777" w:rsidR="008C5CFA" w:rsidRPr="00BA47B4" w:rsidRDefault="00E82A60" w:rsidP="00300A01">
            <w:pPr>
              <w:spacing w:before="0" w:after="0"/>
              <w:rPr>
                <w:sz w:val="12"/>
                <w:szCs w:val="12"/>
                <w:lang w:val="fr-BE"/>
              </w:rPr>
            </w:pPr>
            <w:r w:rsidRPr="00BA47B4">
              <w:rPr>
                <w:noProof/>
                <w:sz w:val="12"/>
                <w:szCs w:val="12"/>
                <w:lang w:val="fr-BE"/>
              </w:rPr>
              <w:t>Słabiej rozwinięte</w:t>
            </w:r>
          </w:p>
        </w:tc>
        <w:tc>
          <w:tcPr>
            <w:tcW w:w="0" w:type="auto"/>
            <w:shd w:val="clear" w:color="auto" w:fill="auto"/>
          </w:tcPr>
          <w:p w14:paraId="629C8738" w14:textId="77777777" w:rsidR="008C5CFA" w:rsidRPr="00BA47B4" w:rsidRDefault="00E82A60" w:rsidP="00300A01">
            <w:pPr>
              <w:spacing w:before="0" w:after="0"/>
              <w:rPr>
                <w:sz w:val="12"/>
                <w:szCs w:val="12"/>
                <w:lang w:val="fr-BE"/>
              </w:rPr>
            </w:pPr>
            <w:r w:rsidRPr="00BA47B4">
              <w:rPr>
                <w:sz w:val="12"/>
                <w:szCs w:val="12"/>
                <w:lang w:val="fr-BE"/>
              </w:rPr>
              <w:t xml:space="preserve"> </w:t>
            </w:r>
          </w:p>
        </w:tc>
        <w:tc>
          <w:tcPr>
            <w:tcW w:w="0" w:type="auto"/>
            <w:shd w:val="clear" w:color="auto" w:fill="auto"/>
          </w:tcPr>
          <w:p w14:paraId="29FC55D9" w14:textId="77777777" w:rsidR="008C5CFA" w:rsidRPr="00BA47B4" w:rsidRDefault="008C5CFA" w:rsidP="00300A01">
            <w:pPr>
              <w:spacing w:before="0" w:after="0"/>
              <w:jc w:val="center"/>
              <w:rPr>
                <w:sz w:val="12"/>
                <w:szCs w:val="12"/>
                <w:lang w:val="fr-BE"/>
              </w:rPr>
            </w:pPr>
          </w:p>
        </w:tc>
        <w:tc>
          <w:tcPr>
            <w:tcW w:w="0" w:type="auto"/>
            <w:shd w:val="clear" w:color="auto" w:fill="auto"/>
          </w:tcPr>
          <w:p w14:paraId="50762BE4" w14:textId="77777777" w:rsidR="008C5CFA" w:rsidRPr="00BA47B4" w:rsidRDefault="008C5CFA" w:rsidP="00300A01">
            <w:pPr>
              <w:spacing w:before="0" w:after="0"/>
              <w:jc w:val="right"/>
              <w:rPr>
                <w:sz w:val="12"/>
                <w:szCs w:val="12"/>
                <w:lang w:val="fr-BE"/>
              </w:rPr>
            </w:pPr>
          </w:p>
        </w:tc>
        <w:tc>
          <w:tcPr>
            <w:tcW w:w="0" w:type="auto"/>
            <w:shd w:val="clear" w:color="auto" w:fill="auto"/>
          </w:tcPr>
          <w:p w14:paraId="607E9D4C" w14:textId="77777777" w:rsidR="008C5CFA" w:rsidRPr="00BA47B4" w:rsidRDefault="008C5CFA" w:rsidP="00300A01">
            <w:pPr>
              <w:spacing w:before="0" w:after="0"/>
              <w:jc w:val="right"/>
              <w:rPr>
                <w:sz w:val="12"/>
                <w:szCs w:val="12"/>
                <w:lang w:val="fr-BE"/>
              </w:rPr>
            </w:pPr>
          </w:p>
        </w:tc>
        <w:tc>
          <w:tcPr>
            <w:tcW w:w="0" w:type="auto"/>
            <w:shd w:val="clear" w:color="auto" w:fill="auto"/>
          </w:tcPr>
          <w:p w14:paraId="746553C8" w14:textId="77777777" w:rsidR="008C5CFA" w:rsidRPr="00BA47B4" w:rsidRDefault="008C5CFA" w:rsidP="00300A01">
            <w:pPr>
              <w:spacing w:before="0" w:after="0"/>
              <w:jc w:val="right"/>
              <w:rPr>
                <w:sz w:val="12"/>
                <w:szCs w:val="12"/>
                <w:lang w:val="fr-BE"/>
              </w:rPr>
            </w:pPr>
          </w:p>
        </w:tc>
        <w:tc>
          <w:tcPr>
            <w:tcW w:w="0" w:type="auto"/>
            <w:shd w:val="clear" w:color="auto" w:fill="auto"/>
          </w:tcPr>
          <w:p w14:paraId="6E4C246D" w14:textId="77777777" w:rsidR="008C5CFA" w:rsidRPr="00BA47B4" w:rsidRDefault="00E82A60" w:rsidP="00300A01">
            <w:pPr>
              <w:spacing w:before="0" w:after="0"/>
              <w:jc w:val="right"/>
              <w:rPr>
                <w:sz w:val="12"/>
                <w:szCs w:val="12"/>
                <w:lang w:val="fr-BE"/>
              </w:rPr>
            </w:pPr>
            <w:r w:rsidRPr="00BA47B4">
              <w:rPr>
                <w:noProof/>
                <w:sz w:val="12"/>
                <w:szCs w:val="12"/>
                <w:lang w:val="fr-BE"/>
              </w:rPr>
              <w:t>773,00</w:t>
            </w:r>
          </w:p>
        </w:tc>
        <w:tc>
          <w:tcPr>
            <w:tcW w:w="0" w:type="auto"/>
            <w:shd w:val="clear" w:color="auto" w:fill="auto"/>
          </w:tcPr>
          <w:p w14:paraId="7A1E64B4" w14:textId="77777777" w:rsidR="008C5CFA" w:rsidRPr="00BA47B4" w:rsidRDefault="00E82A60" w:rsidP="00300A01">
            <w:pPr>
              <w:spacing w:before="0" w:after="0"/>
              <w:jc w:val="right"/>
              <w:rPr>
                <w:sz w:val="12"/>
                <w:szCs w:val="12"/>
                <w:lang w:val="fr-BE"/>
              </w:rPr>
            </w:pPr>
            <w:r w:rsidRPr="00BA47B4">
              <w:rPr>
                <w:noProof/>
                <w:sz w:val="12"/>
                <w:szCs w:val="12"/>
                <w:lang w:val="fr-BE"/>
              </w:rPr>
              <w:t>510,00</w:t>
            </w:r>
          </w:p>
        </w:tc>
        <w:tc>
          <w:tcPr>
            <w:tcW w:w="0" w:type="auto"/>
            <w:shd w:val="clear" w:color="auto" w:fill="auto"/>
          </w:tcPr>
          <w:p w14:paraId="7B0A3803" w14:textId="77777777" w:rsidR="008C5CFA" w:rsidRPr="00BA47B4" w:rsidRDefault="00E82A60" w:rsidP="00300A01">
            <w:pPr>
              <w:spacing w:before="0" w:after="0"/>
              <w:jc w:val="right"/>
              <w:rPr>
                <w:sz w:val="12"/>
                <w:szCs w:val="12"/>
                <w:lang w:val="fr-BE"/>
              </w:rPr>
            </w:pPr>
            <w:r w:rsidRPr="00BA47B4">
              <w:rPr>
                <w:noProof/>
                <w:sz w:val="12"/>
                <w:szCs w:val="12"/>
                <w:lang w:val="fr-BE"/>
              </w:rPr>
              <w:t>263,00</w:t>
            </w:r>
          </w:p>
        </w:tc>
        <w:tc>
          <w:tcPr>
            <w:tcW w:w="0" w:type="auto"/>
            <w:shd w:val="clear" w:color="auto" w:fill="auto"/>
          </w:tcPr>
          <w:p w14:paraId="5213B736" w14:textId="77777777" w:rsidR="008C5CFA" w:rsidRPr="00BA47B4" w:rsidRDefault="008C5CFA" w:rsidP="00300A01">
            <w:pPr>
              <w:spacing w:before="0" w:after="0"/>
              <w:jc w:val="right"/>
              <w:rPr>
                <w:sz w:val="12"/>
                <w:szCs w:val="12"/>
                <w:lang w:val="fr-BE"/>
              </w:rPr>
            </w:pPr>
          </w:p>
        </w:tc>
        <w:tc>
          <w:tcPr>
            <w:tcW w:w="0" w:type="auto"/>
            <w:shd w:val="clear" w:color="auto" w:fill="auto"/>
          </w:tcPr>
          <w:p w14:paraId="596870A7" w14:textId="77777777" w:rsidR="008C5CFA" w:rsidRPr="00BA47B4" w:rsidRDefault="008C5CFA" w:rsidP="00300A01">
            <w:pPr>
              <w:spacing w:before="0" w:after="0"/>
              <w:jc w:val="right"/>
              <w:rPr>
                <w:sz w:val="12"/>
                <w:szCs w:val="12"/>
                <w:lang w:val="fr-BE"/>
              </w:rPr>
            </w:pPr>
          </w:p>
        </w:tc>
        <w:tc>
          <w:tcPr>
            <w:tcW w:w="0" w:type="auto"/>
            <w:shd w:val="clear" w:color="auto" w:fill="auto"/>
          </w:tcPr>
          <w:p w14:paraId="16B68EF0" w14:textId="77777777" w:rsidR="008C5CFA" w:rsidRPr="00BA47B4" w:rsidRDefault="008C5CFA" w:rsidP="00300A01">
            <w:pPr>
              <w:spacing w:before="0" w:after="0"/>
              <w:jc w:val="right"/>
              <w:rPr>
                <w:sz w:val="12"/>
                <w:szCs w:val="12"/>
                <w:lang w:val="fr-BE"/>
              </w:rPr>
            </w:pPr>
          </w:p>
        </w:tc>
        <w:tc>
          <w:tcPr>
            <w:tcW w:w="0" w:type="auto"/>
            <w:shd w:val="clear" w:color="auto" w:fill="auto"/>
          </w:tcPr>
          <w:p w14:paraId="74963F9D"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43134D3E"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r>
      <w:tr w:rsidR="006B2EC1" w14:paraId="4EF35936" w14:textId="77777777" w:rsidTr="0047688D">
        <w:tc>
          <w:tcPr>
            <w:tcW w:w="0" w:type="auto"/>
            <w:shd w:val="clear" w:color="auto" w:fill="auto"/>
          </w:tcPr>
          <w:p w14:paraId="1592EC16" w14:textId="77777777" w:rsidR="008C5CFA" w:rsidRPr="00BA47B4" w:rsidRDefault="00E82A60" w:rsidP="00300A01">
            <w:pPr>
              <w:spacing w:before="0" w:after="0"/>
              <w:rPr>
                <w:sz w:val="12"/>
                <w:szCs w:val="12"/>
                <w:lang w:val="fr-BE"/>
              </w:rPr>
            </w:pPr>
            <w:r w:rsidRPr="00BA47B4">
              <w:rPr>
                <w:noProof/>
                <w:sz w:val="12"/>
                <w:szCs w:val="12"/>
                <w:lang w:val="fr-BE"/>
              </w:rPr>
              <w:t>CR09</w:t>
            </w:r>
          </w:p>
        </w:tc>
        <w:tc>
          <w:tcPr>
            <w:tcW w:w="0" w:type="auto"/>
            <w:shd w:val="clear" w:color="auto" w:fill="auto"/>
          </w:tcPr>
          <w:p w14:paraId="4077B852" w14:textId="77777777" w:rsidR="008C5CFA" w:rsidRPr="00BA47B4" w:rsidRDefault="00E82A60" w:rsidP="00300A01">
            <w:pPr>
              <w:spacing w:before="0" w:after="0"/>
              <w:rPr>
                <w:sz w:val="12"/>
                <w:szCs w:val="12"/>
                <w:lang w:val="fr-BE"/>
              </w:rPr>
            </w:pPr>
            <w:r w:rsidRPr="00BA47B4">
              <w:rPr>
                <w:noProof/>
                <w:sz w:val="12"/>
                <w:szCs w:val="12"/>
                <w:lang w:val="fr-BE"/>
              </w:rPr>
              <w:t>uczestnicy w niekorzystnej sytuacji społecznej, pracujący, łącznie z prowadzącymi działalność na własny rachunek, sześć miesięcy po opuszczeniu programu</w:t>
            </w:r>
          </w:p>
        </w:tc>
        <w:tc>
          <w:tcPr>
            <w:tcW w:w="0" w:type="auto"/>
            <w:shd w:val="clear" w:color="auto" w:fill="auto"/>
          </w:tcPr>
          <w:p w14:paraId="4BE701B2" w14:textId="77777777" w:rsidR="008C5CFA" w:rsidRPr="00BA47B4" w:rsidRDefault="00E82A60" w:rsidP="00300A01">
            <w:pPr>
              <w:spacing w:before="0" w:after="0"/>
              <w:rPr>
                <w:sz w:val="12"/>
                <w:szCs w:val="12"/>
                <w:lang w:val="fr-BE"/>
              </w:rPr>
            </w:pPr>
            <w:r w:rsidRPr="00BA47B4">
              <w:rPr>
                <w:noProof/>
                <w:sz w:val="12"/>
                <w:szCs w:val="12"/>
                <w:lang w:val="fr-BE"/>
              </w:rPr>
              <w:t>Słabiej rozwinięte</w:t>
            </w:r>
          </w:p>
        </w:tc>
        <w:tc>
          <w:tcPr>
            <w:tcW w:w="0" w:type="auto"/>
            <w:shd w:val="clear" w:color="auto" w:fill="auto"/>
          </w:tcPr>
          <w:p w14:paraId="7838F6AE" w14:textId="77777777" w:rsidR="008C5CFA" w:rsidRPr="00BA47B4" w:rsidRDefault="00E82A60" w:rsidP="00300A01">
            <w:pPr>
              <w:spacing w:before="0" w:after="0"/>
              <w:rPr>
                <w:sz w:val="12"/>
                <w:szCs w:val="12"/>
                <w:lang w:val="fr-BE"/>
              </w:rPr>
            </w:pPr>
            <w:r w:rsidRPr="00BA47B4">
              <w:rPr>
                <w:sz w:val="12"/>
                <w:szCs w:val="12"/>
                <w:lang w:val="fr-BE"/>
              </w:rPr>
              <w:t xml:space="preserve"> </w:t>
            </w:r>
          </w:p>
        </w:tc>
        <w:tc>
          <w:tcPr>
            <w:tcW w:w="0" w:type="auto"/>
            <w:shd w:val="clear" w:color="auto" w:fill="auto"/>
          </w:tcPr>
          <w:p w14:paraId="3C5C7C6E" w14:textId="77777777" w:rsidR="008C5CFA" w:rsidRPr="00BA47B4" w:rsidRDefault="008C5CFA" w:rsidP="00300A01">
            <w:pPr>
              <w:spacing w:before="0" w:after="0"/>
              <w:jc w:val="center"/>
              <w:rPr>
                <w:sz w:val="12"/>
                <w:szCs w:val="12"/>
                <w:lang w:val="fr-BE"/>
              </w:rPr>
            </w:pPr>
          </w:p>
        </w:tc>
        <w:tc>
          <w:tcPr>
            <w:tcW w:w="0" w:type="auto"/>
            <w:shd w:val="clear" w:color="auto" w:fill="auto"/>
          </w:tcPr>
          <w:p w14:paraId="431E4E52" w14:textId="77777777" w:rsidR="008C5CFA" w:rsidRPr="00BA47B4" w:rsidRDefault="008C5CFA" w:rsidP="00300A01">
            <w:pPr>
              <w:spacing w:before="0" w:after="0"/>
              <w:jc w:val="right"/>
              <w:rPr>
                <w:sz w:val="12"/>
                <w:szCs w:val="12"/>
                <w:lang w:val="fr-BE"/>
              </w:rPr>
            </w:pPr>
          </w:p>
        </w:tc>
        <w:tc>
          <w:tcPr>
            <w:tcW w:w="0" w:type="auto"/>
            <w:shd w:val="clear" w:color="auto" w:fill="auto"/>
          </w:tcPr>
          <w:p w14:paraId="7CAF68C4" w14:textId="77777777" w:rsidR="008C5CFA" w:rsidRPr="00BA47B4" w:rsidRDefault="008C5CFA" w:rsidP="00300A01">
            <w:pPr>
              <w:spacing w:before="0" w:after="0"/>
              <w:jc w:val="right"/>
              <w:rPr>
                <w:sz w:val="12"/>
                <w:szCs w:val="12"/>
                <w:lang w:val="fr-BE"/>
              </w:rPr>
            </w:pPr>
          </w:p>
        </w:tc>
        <w:tc>
          <w:tcPr>
            <w:tcW w:w="0" w:type="auto"/>
            <w:shd w:val="clear" w:color="auto" w:fill="auto"/>
          </w:tcPr>
          <w:p w14:paraId="70532441" w14:textId="77777777" w:rsidR="008C5CFA" w:rsidRPr="00BA47B4" w:rsidRDefault="008C5CFA" w:rsidP="00300A01">
            <w:pPr>
              <w:spacing w:before="0" w:after="0"/>
              <w:jc w:val="right"/>
              <w:rPr>
                <w:sz w:val="12"/>
                <w:szCs w:val="12"/>
                <w:lang w:val="fr-BE"/>
              </w:rPr>
            </w:pPr>
          </w:p>
        </w:tc>
        <w:tc>
          <w:tcPr>
            <w:tcW w:w="0" w:type="auto"/>
            <w:shd w:val="clear" w:color="auto" w:fill="auto"/>
          </w:tcPr>
          <w:p w14:paraId="40A2D7F6" w14:textId="77777777" w:rsidR="008C5CFA" w:rsidRPr="00BA47B4" w:rsidRDefault="00E82A60" w:rsidP="00300A01">
            <w:pPr>
              <w:spacing w:before="0" w:after="0"/>
              <w:jc w:val="right"/>
              <w:rPr>
                <w:sz w:val="12"/>
                <w:szCs w:val="12"/>
                <w:lang w:val="fr-BE"/>
              </w:rPr>
            </w:pPr>
            <w:r w:rsidRPr="00BA47B4">
              <w:rPr>
                <w:noProof/>
                <w:sz w:val="12"/>
                <w:szCs w:val="12"/>
                <w:lang w:val="fr-BE"/>
              </w:rPr>
              <w:t>2 821,00</w:t>
            </w:r>
          </w:p>
        </w:tc>
        <w:tc>
          <w:tcPr>
            <w:tcW w:w="0" w:type="auto"/>
            <w:shd w:val="clear" w:color="auto" w:fill="auto"/>
          </w:tcPr>
          <w:p w14:paraId="4243C611" w14:textId="77777777" w:rsidR="008C5CFA" w:rsidRPr="00BA47B4" w:rsidRDefault="00E82A60" w:rsidP="00300A01">
            <w:pPr>
              <w:spacing w:before="0" w:after="0"/>
              <w:jc w:val="right"/>
              <w:rPr>
                <w:sz w:val="12"/>
                <w:szCs w:val="12"/>
                <w:lang w:val="fr-BE"/>
              </w:rPr>
            </w:pPr>
            <w:r w:rsidRPr="00BA47B4">
              <w:rPr>
                <w:noProof/>
                <w:sz w:val="12"/>
                <w:szCs w:val="12"/>
                <w:lang w:val="fr-BE"/>
              </w:rPr>
              <w:t>1 272,00</w:t>
            </w:r>
          </w:p>
        </w:tc>
        <w:tc>
          <w:tcPr>
            <w:tcW w:w="0" w:type="auto"/>
            <w:shd w:val="clear" w:color="auto" w:fill="auto"/>
          </w:tcPr>
          <w:p w14:paraId="3D1261E1" w14:textId="77777777" w:rsidR="008C5CFA" w:rsidRPr="00BA47B4" w:rsidRDefault="00E82A60" w:rsidP="00300A01">
            <w:pPr>
              <w:spacing w:before="0" w:after="0"/>
              <w:jc w:val="right"/>
              <w:rPr>
                <w:sz w:val="12"/>
                <w:szCs w:val="12"/>
                <w:lang w:val="fr-BE"/>
              </w:rPr>
            </w:pPr>
            <w:r w:rsidRPr="00BA47B4">
              <w:rPr>
                <w:noProof/>
                <w:sz w:val="12"/>
                <w:szCs w:val="12"/>
                <w:lang w:val="fr-BE"/>
              </w:rPr>
              <w:t>1 549,00</w:t>
            </w:r>
          </w:p>
        </w:tc>
        <w:tc>
          <w:tcPr>
            <w:tcW w:w="0" w:type="auto"/>
            <w:shd w:val="clear" w:color="auto" w:fill="auto"/>
          </w:tcPr>
          <w:p w14:paraId="0541B734" w14:textId="77777777" w:rsidR="008C5CFA" w:rsidRPr="00BA47B4" w:rsidRDefault="008C5CFA" w:rsidP="00300A01">
            <w:pPr>
              <w:spacing w:before="0" w:after="0"/>
              <w:jc w:val="right"/>
              <w:rPr>
                <w:sz w:val="12"/>
                <w:szCs w:val="12"/>
                <w:lang w:val="fr-BE"/>
              </w:rPr>
            </w:pPr>
          </w:p>
        </w:tc>
        <w:tc>
          <w:tcPr>
            <w:tcW w:w="0" w:type="auto"/>
            <w:shd w:val="clear" w:color="auto" w:fill="auto"/>
          </w:tcPr>
          <w:p w14:paraId="451DFDCA" w14:textId="77777777" w:rsidR="008C5CFA" w:rsidRPr="00BA47B4" w:rsidRDefault="008C5CFA" w:rsidP="00300A01">
            <w:pPr>
              <w:spacing w:before="0" w:after="0"/>
              <w:jc w:val="right"/>
              <w:rPr>
                <w:sz w:val="12"/>
                <w:szCs w:val="12"/>
                <w:lang w:val="fr-BE"/>
              </w:rPr>
            </w:pPr>
          </w:p>
        </w:tc>
        <w:tc>
          <w:tcPr>
            <w:tcW w:w="0" w:type="auto"/>
            <w:shd w:val="clear" w:color="auto" w:fill="auto"/>
          </w:tcPr>
          <w:p w14:paraId="2A9DF531" w14:textId="77777777" w:rsidR="008C5CFA" w:rsidRPr="00BA47B4" w:rsidRDefault="008C5CFA" w:rsidP="00300A01">
            <w:pPr>
              <w:spacing w:before="0" w:after="0"/>
              <w:jc w:val="right"/>
              <w:rPr>
                <w:sz w:val="12"/>
                <w:szCs w:val="12"/>
                <w:lang w:val="fr-BE"/>
              </w:rPr>
            </w:pPr>
          </w:p>
        </w:tc>
        <w:tc>
          <w:tcPr>
            <w:tcW w:w="0" w:type="auto"/>
            <w:shd w:val="clear" w:color="auto" w:fill="auto"/>
          </w:tcPr>
          <w:p w14:paraId="08D4253B"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4DA50666"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r>
    </w:tbl>
    <w:p w14:paraId="68B24482" w14:textId="77777777" w:rsidR="008C5CFA" w:rsidRDefault="008C5CFA" w:rsidP="00300A01">
      <w:pPr>
        <w:keepNext/>
        <w:spacing w:before="0" w:after="0"/>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37"/>
        <w:gridCol w:w="8630"/>
        <w:gridCol w:w="883"/>
        <w:gridCol w:w="596"/>
        <w:gridCol w:w="476"/>
        <w:gridCol w:w="596"/>
        <w:gridCol w:w="476"/>
        <w:gridCol w:w="596"/>
        <w:gridCol w:w="476"/>
        <w:gridCol w:w="596"/>
        <w:gridCol w:w="463"/>
        <w:gridCol w:w="596"/>
        <w:gridCol w:w="463"/>
      </w:tblGrid>
      <w:tr w:rsidR="006B2EC1" w14:paraId="5CBAD955" w14:textId="77777777" w:rsidTr="0047688D">
        <w:trPr>
          <w:tblHeader/>
        </w:trPr>
        <w:tc>
          <w:tcPr>
            <w:tcW w:w="0" w:type="auto"/>
            <w:shd w:val="clear" w:color="auto" w:fill="auto"/>
          </w:tcPr>
          <w:p w14:paraId="19FB0B8A" w14:textId="77777777" w:rsidR="008C5CFA" w:rsidRPr="00F53019" w:rsidRDefault="00E82A60" w:rsidP="00300A01">
            <w:pPr>
              <w:spacing w:before="0" w:after="0"/>
              <w:rPr>
                <w:b/>
                <w:sz w:val="12"/>
                <w:szCs w:val="12"/>
                <w:lang w:val="fr-BE"/>
              </w:rPr>
            </w:pPr>
            <w:r w:rsidRPr="00F53019">
              <w:rPr>
                <w:b/>
                <w:noProof/>
                <w:sz w:val="12"/>
                <w:szCs w:val="12"/>
                <w:lang w:val="fr-BE"/>
              </w:rPr>
              <w:t>ID</w:t>
            </w:r>
          </w:p>
        </w:tc>
        <w:tc>
          <w:tcPr>
            <w:tcW w:w="0" w:type="auto"/>
            <w:shd w:val="clear" w:color="auto" w:fill="auto"/>
          </w:tcPr>
          <w:p w14:paraId="4EF67E94" w14:textId="77777777" w:rsidR="008C5CFA" w:rsidRPr="00F53019" w:rsidRDefault="00E82A60" w:rsidP="00300A01">
            <w:pPr>
              <w:spacing w:before="0" w:after="0"/>
              <w:rPr>
                <w:b/>
                <w:sz w:val="12"/>
                <w:szCs w:val="12"/>
                <w:lang w:val="fr-BE"/>
              </w:rPr>
            </w:pPr>
            <w:r w:rsidRPr="00F53019">
              <w:rPr>
                <w:b/>
                <w:noProof/>
                <w:sz w:val="12"/>
                <w:szCs w:val="12"/>
                <w:lang w:val="fr-BE"/>
              </w:rPr>
              <w:t>Wskaźnik</w:t>
            </w:r>
          </w:p>
        </w:tc>
        <w:tc>
          <w:tcPr>
            <w:tcW w:w="0" w:type="auto"/>
            <w:shd w:val="clear" w:color="auto" w:fill="auto"/>
          </w:tcPr>
          <w:p w14:paraId="6162DE9D" w14:textId="77777777" w:rsidR="008C5CFA" w:rsidRPr="00F53019" w:rsidRDefault="00E82A60" w:rsidP="00300A01">
            <w:pPr>
              <w:spacing w:before="0" w:after="0"/>
              <w:rPr>
                <w:b/>
                <w:sz w:val="12"/>
                <w:szCs w:val="12"/>
                <w:lang w:val="fr-BE"/>
              </w:rPr>
            </w:pPr>
            <w:r w:rsidRPr="00F53019">
              <w:rPr>
                <w:b/>
                <w:noProof/>
                <w:sz w:val="12"/>
                <w:szCs w:val="12"/>
                <w:lang w:val="fr-BE"/>
              </w:rPr>
              <w:t>Kategoria regionu</w:t>
            </w:r>
          </w:p>
        </w:tc>
        <w:tc>
          <w:tcPr>
            <w:tcW w:w="0" w:type="auto"/>
            <w:gridSpan w:val="2"/>
          </w:tcPr>
          <w:p w14:paraId="290307A0" w14:textId="77777777" w:rsidR="008C5CFA" w:rsidRPr="00F53019" w:rsidRDefault="00E82A60" w:rsidP="00300A01">
            <w:pPr>
              <w:spacing w:before="0" w:after="0"/>
              <w:jc w:val="center"/>
              <w:rPr>
                <w:b/>
                <w:sz w:val="12"/>
                <w:szCs w:val="12"/>
                <w:lang w:val="fr-BE"/>
              </w:rPr>
            </w:pPr>
            <w:r>
              <w:rPr>
                <w:b/>
                <w:sz w:val="12"/>
                <w:szCs w:val="12"/>
                <w:lang w:val="fr-BE"/>
              </w:rPr>
              <w:t>2018</w:t>
            </w:r>
          </w:p>
        </w:tc>
        <w:tc>
          <w:tcPr>
            <w:tcW w:w="0" w:type="auto"/>
            <w:gridSpan w:val="2"/>
          </w:tcPr>
          <w:p w14:paraId="74484FC0" w14:textId="77777777" w:rsidR="008C5CFA" w:rsidRPr="00F53019" w:rsidRDefault="00E82A60" w:rsidP="00300A01">
            <w:pPr>
              <w:spacing w:before="0" w:after="0"/>
              <w:jc w:val="center"/>
              <w:rPr>
                <w:b/>
                <w:sz w:val="12"/>
                <w:szCs w:val="12"/>
                <w:lang w:val="fr-BE"/>
              </w:rPr>
            </w:pPr>
            <w:r>
              <w:rPr>
                <w:b/>
                <w:sz w:val="12"/>
                <w:szCs w:val="12"/>
                <w:lang w:val="fr-BE"/>
              </w:rPr>
              <w:t>2017</w:t>
            </w:r>
          </w:p>
        </w:tc>
        <w:tc>
          <w:tcPr>
            <w:tcW w:w="0" w:type="auto"/>
            <w:gridSpan w:val="2"/>
          </w:tcPr>
          <w:p w14:paraId="152875A9" w14:textId="77777777" w:rsidR="008C5CFA" w:rsidRPr="00F53019" w:rsidRDefault="00E82A60" w:rsidP="00300A01">
            <w:pPr>
              <w:spacing w:before="0" w:after="0"/>
              <w:jc w:val="center"/>
              <w:rPr>
                <w:b/>
                <w:sz w:val="12"/>
                <w:szCs w:val="12"/>
                <w:lang w:val="fr-BE"/>
              </w:rPr>
            </w:pPr>
            <w:r>
              <w:rPr>
                <w:b/>
                <w:sz w:val="12"/>
                <w:szCs w:val="12"/>
                <w:lang w:val="fr-BE"/>
              </w:rPr>
              <w:t>2016</w:t>
            </w:r>
          </w:p>
        </w:tc>
        <w:tc>
          <w:tcPr>
            <w:tcW w:w="0" w:type="auto"/>
            <w:gridSpan w:val="2"/>
          </w:tcPr>
          <w:p w14:paraId="4C368014" w14:textId="77777777" w:rsidR="008C5CFA" w:rsidRPr="00F53019" w:rsidRDefault="00E82A60" w:rsidP="00300A01">
            <w:pPr>
              <w:spacing w:before="0" w:after="0"/>
              <w:jc w:val="center"/>
              <w:rPr>
                <w:b/>
                <w:sz w:val="12"/>
                <w:szCs w:val="12"/>
                <w:lang w:val="fr-BE"/>
              </w:rPr>
            </w:pPr>
            <w:r>
              <w:rPr>
                <w:b/>
                <w:sz w:val="12"/>
                <w:szCs w:val="12"/>
                <w:lang w:val="fr-BE"/>
              </w:rPr>
              <w:t>2015</w:t>
            </w:r>
          </w:p>
        </w:tc>
        <w:tc>
          <w:tcPr>
            <w:tcW w:w="0" w:type="auto"/>
            <w:gridSpan w:val="2"/>
            <w:shd w:val="clear" w:color="auto" w:fill="auto"/>
          </w:tcPr>
          <w:p w14:paraId="61DC5522" w14:textId="77777777" w:rsidR="008C5CFA" w:rsidRPr="00F53019" w:rsidRDefault="00E82A60" w:rsidP="00300A01">
            <w:pPr>
              <w:spacing w:before="0" w:after="0"/>
              <w:jc w:val="center"/>
              <w:rPr>
                <w:b/>
                <w:sz w:val="12"/>
                <w:szCs w:val="12"/>
                <w:lang w:val="fr-BE"/>
              </w:rPr>
            </w:pPr>
            <w:r>
              <w:rPr>
                <w:b/>
                <w:sz w:val="12"/>
                <w:szCs w:val="12"/>
                <w:lang w:val="fr-BE"/>
              </w:rPr>
              <w:t>2014</w:t>
            </w:r>
          </w:p>
        </w:tc>
      </w:tr>
      <w:tr w:rsidR="006B2EC1" w14:paraId="6F47E928" w14:textId="77777777" w:rsidTr="0047688D">
        <w:trPr>
          <w:tblHeader/>
        </w:trPr>
        <w:tc>
          <w:tcPr>
            <w:tcW w:w="0" w:type="auto"/>
            <w:shd w:val="clear" w:color="auto" w:fill="auto"/>
          </w:tcPr>
          <w:p w14:paraId="073085DF" w14:textId="77777777" w:rsidR="008C5CFA" w:rsidRPr="00F53019" w:rsidRDefault="008C5CFA" w:rsidP="00300A01">
            <w:pPr>
              <w:spacing w:before="0" w:after="0"/>
              <w:rPr>
                <w:b/>
                <w:sz w:val="12"/>
                <w:szCs w:val="12"/>
                <w:lang w:val="fr-BE"/>
              </w:rPr>
            </w:pPr>
          </w:p>
        </w:tc>
        <w:tc>
          <w:tcPr>
            <w:tcW w:w="0" w:type="auto"/>
            <w:shd w:val="clear" w:color="auto" w:fill="auto"/>
          </w:tcPr>
          <w:p w14:paraId="6B8C7661" w14:textId="77777777" w:rsidR="008C5CFA" w:rsidRPr="00F53019" w:rsidRDefault="008C5CFA" w:rsidP="00300A01">
            <w:pPr>
              <w:spacing w:before="0" w:after="0"/>
              <w:rPr>
                <w:b/>
                <w:sz w:val="12"/>
                <w:szCs w:val="12"/>
                <w:lang w:val="fr-BE"/>
              </w:rPr>
            </w:pPr>
          </w:p>
        </w:tc>
        <w:tc>
          <w:tcPr>
            <w:tcW w:w="0" w:type="auto"/>
            <w:shd w:val="clear" w:color="auto" w:fill="auto"/>
          </w:tcPr>
          <w:p w14:paraId="06A65430" w14:textId="77777777" w:rsidR="008C5CFA" w:rsidRPr="00F53019" w:rsidRDefault="008C5CFA" w:rsidP="00300A01">
            <w:pPr>
              <w:spacing w:before="0" w:after="0"/>
              <w:rPr>
                <w:b/>
                <w:sz w:val="12"/>
                <w:szCs w:val="12"/>
                <w:lang w:val="fr-BE"/>
              </w:rPr>
            </w:pPr>
          </w:p>
        </w:tc>
        <w:tc>
          <w:tcPr>
            <w:tcW w:w="0" w:type="auto"/>
          </w:tcPr>
          <w:p w14:paraId="35F86D1C" w14:textId="77777777" w:rsidR="008C5CFA" w:rsidRPr="00F53019" w:rsidRDefault="00E82A60" w:rsidP="00300A01">
            <w:pPr>
              <w:spacing w:before="0" w:after="0"/>
              <w:jc w:val="center"/>
              <w:rPr>
                <w:b/>
                <w:sz w:val="12"/>
                <w:szCs w:val="12"/>
                <w:lang w:val="fr-BE"/>
              </w:rPr>
            </w:pPr>
            <w:r w:rsidRPr="00F53019">
              <w:rPr>
                <w:b/>
                <w:noProof/>
                <w:sz w:val="12"/>
                <w:szCs w:val="12"/>
                <w:lang w:val="fr-BE"/>
              </w:rPr>
              <w:t>Mężczyźni</w:t>
            </w:r>
          </w:p>
        </w:tc>
        <w:tc>
          <w:tcPr>
            <w:tcW w:w="0" w:type="auto"/>
          </w:tcPr>
          <w:p w14:paraId="167EA371" w14:textId="77777777" w:rsidR="008C5CFA" w:rsidRPr="00F53019" w:rsidRDefault="00E82A60" w:rsidP="00300A01">
            <w:pPr>
              <w:spacing w:before="0" w:after="0"/>
              <w:jc w:val="center"/>
              <w:rPr>
                <w:b/>
                <w:sz w:val="12"/>
                <w:szCs w:val="12"/>
                <w:lang w:val="fr-BE"/>
              </w:rPr>
            </w:pPr>
            <w:r w:rsidRPr="00F53019">
              <w:rPr>
                <w:b/>
                <w:noProof/>
                <w:sz w:val="12"/>
                <w:szCs w:val="12"/>
                <w:lang w:val="fr-BE"/>
              </w:rPr>
              <w:t>Kobiety</w:t>
            </w:r>
          </w:p>
        </w:tc>
        <w:tc>
          <w:tcPr>
            <w:tcW w:w="0" w:type="auto"/>
          </w:tcPr>
          <w:p w14:paraId="1350D87B" w14:textId="77777777" w:rsidR="008C5CFA" w:rsidRPr="00F53019" w:rsidRDefault="00E82A60" w:rsidP="00300A01">
            <w:pPr>
              <w:spacing w:before="0" w:after="0"/>
              <w:jc w:val="center"/>
              <w:rPr>
                <w:b/>
                <w:sz w:val="12"/>
                <w:szCs w:val="12"/>
                <w:lang w:val="fr-BE"/>
              </w:rPr>
            </w:pPr>
            <w:r w:rsidRPr="00F53019">
              <w:rPr>
                <w:b/>
                <w:noProof/>
                <w:sz w:val="12"/>
                <w:szCs w:val="12"/>
                <w:lang w:val="fr-BE"/>
              </w:rPr>
              <w:t>Mężczyźni</w:t>
            </w:r>
          </w:p>
        </w:tc>
        <w:tc>
          <w:tcPr>
            <w:tcW w:w="0" w:type="auto"/>
          </w:tcPr>
          <w:p w14:paraId="1F8DA387" w14:textId="77777777" w:rsidR="008C5CFA" w:rsidRPr="00F53019" w:rsidRDefault="00E82A60" w:rsidP="00300A01">
            <w:pPr>
              <w:spacing w:before="0" w:after="0"/>
              <w:jc w:val="center"/>
              <w:rPr>
                <w:b/>
                <w:sz w:val="12"/>
                <w:szCs w:val="12"/>
                <w:lang w:val="fr-BE"/>
              </w:rPr>
            </w:pPr>
            <w:r w:rsidRPr="00F53019">
              <w:rPr>
                <w:b/>
                <w:noProof/>
                <w:sz w:val="12"/>
                <w:szCs w:val="12"/>
                <w:lang w:val="fr-BE"/>
              </w:rPr>
              <w:t>Kobiety</w:t>
            </w:r>
          </w:p>
        </w:tc>
        <w:tc>
          <w:tcPr>
            <w:tcW w:w="0" w:type="auto"/>
          </w:tcPr>
          <w:p w14:paraId="17C73867" w14:textId="77777777" w:rsidR="008C5CFA" w:rsidRPr="00F53019" w:rsidRDefault="00E82A60" w:rsidP="00300A01">
            <w:pPr>
              <w:spacing w:before="0" w:after="0"/>
              <w:jc w:val="center"/>
              <w:rPr>
                <w:b/>
                <w:sz w:val="12"/>
                <w:szCs w:val="12"/>
                <w:lang w:val="fr-BE"/>
              </w:rPr>
            </w:pPr>
            <w:r w:rsidRPr="00F53019">
              <w:rPr>
                <w:b/>
                <w:noProof/>
                <w:sz w:val="12"/>
                <w:szCs w:val="12"/>
                <w:lang w:val="fr-BE"/>
              </w:rPr>
              <w:t>Mężczyźni</w:t>
            </w:r>
          </w:p>
        </w:tc>
        <w:tc>
          <w:tcPr>
            <w:tcW w:w="0" w:type="auto"/>
          </w:tcPr>
          <w:p w14:paraId="50CB9066" w14:textId="77777777" w:rsidR="008C5CFA" w:rsidRPr="00F53019" w:rsidRDefault="00E82A60" w:rsidP="00300A01">
            <w:pPr>
              <w:spacing w:before="0" w:after="0"/>
              <w:jc w:val="center"/>
              <w:rPr>
                <w:b/>
                <w:sz w:val="12"/>
                <w:szCs w:val="12"/>
                <w:lang w:val="fr-BE"/>
              </w:rPr>
            </w:pPr>
            <w:r w:rsidRPr="00F53019">
              <w:rPr>
                <w:b/>
                <w:noProof/>
                <w:sz w:val="12"/>
                <w:szCs w:val="12"/>
                <w:lang w:val="fr-BE"/>
              </w:rPr>
              <w:t>Kobiety</w:t>
            </w:r>
          </w:p>
        </w:tc>
        <w:tc>
          <w:tcPr>
            <w:tcW w:w="0" w:type="auto"/>
          </w:tcPr>
          <w:p w14:paraId="2C6F6FC0" w14:textId="77777777" w:rsidR="008C5CFA" w:rsidRPr="00F53019" w:rsidRDefault="00E82A60" w:rsidP="00300A01">
            <w:pPr>
              <w:spacing w:before="0" w:after="0"/>
              <w:jc w:val="center"/>
              <w:rPr>
                <w:b/>
                <w:sz w:val="12"/>
                <w:szCs w:val="12"/>
                <w:lang w:val="fr-BE"/>
              </w:rPr>
            </w:pPr>
            <w:r w:rsidRPr="00F53019">
              <w:rPr>
                <w:b/>
                <w:noProof/>
                <w:sz w:val="12"/>
                <w:szCs w:val="12"/>
                <w:lang w:val="fr-BE"/>
              </w:rPr>
              <w:t>Mężczyźni</w:t>
            </w:r>
          </w:p>
        </w:tc>
        <w:tc>
          <w:tcPr>
            <w:tcW w:w="0" w:type="auto"/>
          </w:tcPr>
          <w:p w14:paraId="4A1ED24B" w14:textId="77777777" w:rsidR="008C5CFA" w:rsidRPr="00F53019" w:rsidRDefault="00E82A60" w:rsidP="00300A01">
            <w:pPr>
              <w:spacing w:before="0" w:after="0"/>
              <w:jc w:val="center"/>
              <w:rPr>
                <w:b/>
                <w:sz w:val="12"/>
                <w:szCs w:val="12"/>
                <w:lang w:val="fr-BE"/>
              </w:rPr>
            </w:pPr>
            <w:r w:rsidRPr="00F53019">
              <w:rPr>
                <w:b/>
                <w:noProof/>
                <w:sz w:val="12"/>
                <w:szCs w:val="12"/>
                <w:lang w:val="fr-BE"/>
              </w:rPr>
              <w:t>Kobiety</w:t>
            </w:r>
          </w:p>
        </w:tc>
        <w:tc>
          <w:tcPr>
            <w:tcW w:w="0" w:type="auto"/>
            <w:shd w:val="clear" w:color="auto" w:fill="auto"/>
          </w:tcPr>
          <w:p w14:paraId="1B767445" w14:textId="77777777" w:rsidR="008C5CFA" w:rsidRPr="00F53019" w:rsidRDefault="00E82A60"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14:paraId="2A57398F" w14:textId="77777777" w:rsidR="008C5CFA" w:rsidRPr="00F53019" w:rsidRDefault="00E82A60" w:rsidP="00300A01">
            <w:pPr>
              <w:spacing w:before="0" w:after="0"/>
              <w:jc w:val="center"/>
              <w:rPr>
                <w:b/>
                <w:sz w:val="12"/>
                <w:szCs w:val="12"/>
                <w:lang w:val="fr-BE"/>
              </w:rPr>
            </w:pPr>
            <w:r w:rsidRPr="00F53019">
              <w:rPr>
                <w:b/>
                <w:noProof/>
                <w:sz w:val="12"/>
                <w:szCs w:val="12"/>
                <w:lang w:val="fr-BE"/>
              </w:rPr>
              <w:t>Kobiety</w:t>
            </w:r>
          </w:p>
        </w:tc>
      </w:tr>
      <w:tr w:rsidR="006B2EC1" w14:paraId="542047D6" w14:textId="77777777" w:rsidTr="0047688D">
        <w:tc>
          <w:tcPr>
            <w:tcW w:w="0" w:type="auto"/>
            <w:shd w:val="clear" w:color="auto" w:fill="auto"/>
          </w:tcPr>
          <w:p w14:paraId="34C884F0" w14:textId="77777777" w:rsidR="008C5CFA" w:rsidRPr="00BA47B4" w:rsidRDefault="00E82A60" w:rsidP="00300A01">
            <w:pPr>
              <w:spacing w:before="0" w:after="0"/>
              <w:rPr>
                <w:sz w:val="12"/>
                <w:szCs w:val="12"/>
                <w:lang w:val="fr-BE"/>
              </w:rPr>
            </w:pPr>
            <w:r w:rsidRPr="00BA47B4">
              <w:rPr>
                <w:noProof/>
                <w:sz w:val="12"/>
                <w:szCs w:val="12"/>
                <w:lang w:val="fr-BE"/>
              </w:rPr>
              <w:t>CR01</w:t>
            </w:r>
          </w:p>
        </w:tc>
        <w:tc>
          <w:tcPr>
            <w:tcW w:w="0" w:type="auto"/>
            <w:shd w:val="clear" w:color="auto" w:fill="auto"/>
          </w:tcPr>
          <w:p w14:paraId="0BA0CA20" w14:textId="77777777" w:rsidR="008C5CFA" w:rsidRPr="00BA47B4" w:rsidRDefault="00E82A60" w:rsidP="00300A01">
            <w:pPr>
              <w:spacing w:before="0" w:after="0"/>
              <w:rPr>
                <w:sz w:val="12"/>
                <w:szCs w:val="12"/>
                <w:lang w:val="fr-BE"/>
              </w:rPr>
            </w:pPr>
            <w:r w:rsidRPr="00BA47B4">
              <w:rPr>
                <w:noProof/>
                <w:sz w:val="12"/>
                <w:szCs w:val="12"/>
                <w:lang w:val="fr-BE"/>
              </w:rPr>
              <w:t>bierni zawodowo uczestnicy poszukujący pracy po opuszczeniu programu</w:t>
            </w:r>
          </w:p>
        </w:tc>
        <w:tc>
          <w:tcPr>
            <w:tcW w:w="0" w:type="auto"/>
            <w:shd w:val="clear" w:color="auto" w:fill="auto"/>
          </w:tcPr>
          <w:p w14:paraId="3276E66C" w14:textId="77777777" w:rsidR="008C5CFA" w:rsidRPr="00BA47B4" w:rsidRDefault="00E82A60" w:rsidP="00300A01">
            <w:pPr>
              <w:spacing w:before="0" w:after="0"/>
              <w:rPr>
                <w:sz w:val="12"/>
                <w:szCs w:val="12"/>
                <w:lang w:val="fr-BE"/>
              </w:rPr>
            </w:pPr>
            <w:r w:rsidRPr="00BA47B4">
              <w:rPr>
                <w:noProof/>
                <w:sz w:val="12"/>
                <w:szCs w:val="12"/>
                <w:lang w:val="fr-BE"/>
              </w:rPr>
              <w:t>Słabiej rozwinięte</w:t>
            </w:r>
          </w:p>
        </w:tc>
        <w:tc>
          <w:tcPr>
            <w:tcW w:w="0" w:type="auto"/>
          </w:tcPr>
          <w:p w14:paraId="16728AF0" w14:textId="77777777" w:rsidR="008C5CFA" w:rsidRPr="00BA47B4" w:rsidRDefault="00E82A60" w:rsidP="00300A01">
            <w:pPr>
              <w:spacing w:before="0" w:after="0"/>
              <w:jc w:val="right"/>
              <w:rPr>
                <w:sz w:val="12"/>
                <w:szCs w:val="12"/>
                <w:lang w:val="fr-BE"/>
              </w:rPr>
            </w:pPr>
            <w:r w:rsidRPr="00BA47B4">
              <w:rPr>
                <w:noProof/>
                <w:sz w:val="12"/>
                <w:szCs w:val="12"/>
                <w:lang w:val="fr-BE"/>
              </w:rPr>
              <w:t>9,00</w:t>
            </w:r>
          </w:p>
        </w:tc>
        <w:tc>
          <w:tcPr>
            <w:tcW w:w="0" w:type="auto"/>
          </w:tcPr>
          <w:p w14:paraId="4348DA86" w14:textId="77777777" w:rsidR="008C5CFA" w:rsidRPr="00BA47B4" w:rsidRDefault="00E82A60" w:rsidP="00300A01">
            <w:pPr>
              <w:spacing w:before="0" w:after="0"/>
              <w:jc w:val="right"/>
              <w:rPr>
                <w:sz w:val="12"/>
                <w:szCs w:val="12"/>
                <w:lang w:val="fr-BE"/>
              </w:rPr>
            </w:pPr>
            <w:r w:rsidRPr="00BA47B4">
              <w:rPr>
                <w:noProof/>
                <w:sz w:val="12"/>
                <w:szCs w:val="12"/>
                <w:lang w:val="fr-BE"/>
              </w:rPr>
              <w:t>5,00</w:t>
            </w:r>
          </w:p>
        </w:tc>
        <w:tc>
          <w:tcPr>
            <w:tcW w:w="0" w:type="auto"/>
          </w:tcPr>
          <w:p w14:paraId="5CF42F81" w14:textId="77777777" w:rsidR="008C5CFA" w:rsidRPr="00BA47B4" w:rsidRDefault="00E82A60" w:rsidP="00300A01">
            <w:pPr>
              <w:spacing w:before="0" w:after="0"/>
              <w:jc w:val="right"/>
              <w:rPr>
                <w:sz w:val="12"/>
                <w:szCs w:val="12"/>
                <w:lang w:val="fr-BE"/>
              </w:rPr>
            </w:pPr>
            <w:r w:rsidRPr="00BA47B4">
              <w:rPr>
                <w:noProof/>
                <w:sz w:val="12"/>
                <w:szCs w:val="12"/>
                <w:lang w:val="fr-BE"/>
              </w:rPr>
              <w:t>12,00</w:t>
            </w:r>
          </w:p>
        </w:tc>
        <w:tc>
          <w:tcPr>
            <w:tcW w:w="0" w:type="auto"/>
          </w:tcPr>
          <w:p w14:paraId="1ECF4620" w14:textId="77777777" w:rsidR="008C5CFA" w:rsidRPr="00BA47B4" w:rsidRDefault="00E82A60" w:rsidP="00300A01">
            <w:pPr>
              <w:spacing w:before="0" w:after="0"/>
              <w:jc w:val="right"/>
              <w:rPr>
                <w:sz w:val="12"/>
                <w:szCs w:val="12"/>
                <w:lang w:val="fr-BE"/>
              </w:rPr>
            </w:pPr>
            <w:r w:rsidRPr="00BA47B4">
              <w:rPr>
                <w:noProof/>
                <w:sz w:val="12"/>
                <w:szCs w:val="12"/>
                <w:lang w:val="fr-BE"/>
              </w:rPr>
              <w:t>20,00</w:t>
            </w:r>
          </w:p>
        </w:tc>
        <w:tc>
          <w:tcPr>
            <w:tcW w:w="0" w:type="auto"/>
          </w:tcPr>
          <w:p w14:paraId="10C2006F" w14:textId="77777777" w:rsidR="008C5CFA" w:rsidRPr="00BA47B4" w:rsidRDefault="00E82A60" w:rsidP="00300A01">
            <w:pPr>
              <w:spacing w:before="0" w:after="0"/>
              <w:jc w:val="right"/>
              <w:rPr>
                <w:sz w:val="12"/>
                <w:szCs w:val="12"/>
                <w:lang w:val="fr-BE"/>
              </w:rPr>
            </w:pPr>
            <w:r w:rsidRPr="00BA47B4">
              <w:rPr>
                <w:noProof/>
                <w:sz w:val="12"/>
                <w:szCs w:val="12"/>
                <w:lang w:val="fr-BE"/>
              </w:rPr>
              <w:t>11,00</w:t>
            </w:r>
          </w:p>
        </w:tc>
        <w:tc>
          <w:tcPr>
            <w:tcW w:w="0" w:type="auto"/>
          </w:tcPr>
          <w:p w14:paraId="7D976EBF" w14:textId="77777777" w:rsidR="008C5CFA" w:rsidRPr="00BA47B4" w:rsidRDefault="00E82A60" w:rsidP="00300A01">
            <w:pPr>
              <w:spacing w:before="0" w:after="0"/>
              <w:jc w:val="right"/>
              <w:rPr>
                <w:sz w:val="12"/>
                <w:szCs w:val="12"/>
                <w:lang w:val="fr-BE"/>
              </w:rPr>
            </w:pPr>
            <w:r w:rsidRPr="00BA47B4">
              <w:rPr>
                <w:noProof/>
                <w:sz w:val="12"/>
                <w:szCs w:val="12"/>
                <w:lang w:val="fr-BE"/>
              </w:rPr>
              <w:t>6,00</w:t>
            </w:r>
          </w:p>
        </w:tc>
        <w:tc>
          <w:tcPr>
            <w:tcW w:w="0" w:type="auto"/>
          </w:tcPr>
          <w:p w14:paraId="3580A014"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228A0180"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236843FF"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720565D3"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r>
      <w:tr w:rsidR="006B2EC1" w14:paraId="0B08154A" w14:textId="77777777" w:rsidTr="0047688D">
        <w:tc>
          <w:tcPr>
            <w:tcW w:w="0" w:type="auto"/>
            <w:shd w:val="clear" w:color="auto" w:fill="auto"/>
          </w:tcPr>
          <w:p w14:paraId="7570C411" w14:textId="77777777" w:rsidR="008C5CFA" w:rsidRPr="00BA47B4" w:rsidRDefault="00E82A60" w:rsidP="00300A01">
            <w:pPr>
              <w:spacing w:before="0" w:after="0"/>
              <w:rPr>
                <w:sz w:val="12"/>
                <w:szCs w:val="12"/>
                <w:lang w:val="fr-BE"/>
              </w:rPr>
            </w:pPr>
            <w:r w:rsidRPr="00BA47B4">
              <w:rPr>
                <w:noProof/>
                <w:sz w:val="12"/>
                <w:szCs w:val="12"/>
                <w:lang w:val="fr-BE"/>
              </w:rPr>
              <w:lastRenderedPageBreak/>
              <w:t>CR02</w:t>
            </w:r>
          </w:p>
        </w:tc>
        <w:tc>
          <w:tcPr>
            <w:tcW w:w="0" w:type="auto"/>
            <w:shd w:val="clear" w:color="auto" w:fill="auto"/>
          </w:tcPr>
          <w:p w14:paraId="021EAC87" w14:textId="77777777" w:rsidR="008C5CFA" w:rsidRPr="00BA47B4" w:rsidRDefault="00E82A60" w:rsidP="00300A01">
            <w:pPr>
              <w:spacing w:before="0" w:after="0"/>
              <w:rPr>
                <w:sz w:val="12"/>
                <w:szCs w:val="12"/>
                <w:lang w:val="fr-BE"/>
              </w:rPr>
            </w:pPr>
            <w:r w:rsidRPr="00BA47B4">
              <w:rPr>
                <w:noProof/>
                <w:sz w:val="12"/>
                <w:szCs w:val="12"/>
                <w:lang w:val="fr-BE"/>
              </w:rPr>
              <w:t>uczestnicy kształcący lub szkolący się po opuszczeniu programu</w:t>
            </w:r>
          </w:p>
        </w:tc>
        <w:tc>
          <w:tcPr>
            <w:tcW w:w="0" w:type="auto"/>
            <w:shd w:val="clear" w:color="auto" w:fill="auto"/>
          </w:tcPr>
          <w:p w14:paraId="6DCD5D54" w14:textId="77777777" w:rsidR="008C5CFA" w:rsidRPr="00BA47B4" w:rsidRDefault="00E82A60" w:rsidP="00300A01">
            <w:pPr>
              <w:spacing w:before="0" w:after="0"/>
              <w:rPr>
                <w:sz w:val="12"/>
                <w:szCs w:val="12"/>
                <w:lang w:val="fr-BE"/>
              </w:rPr>
            </w:pPr>
            <w:r w:rsidRPr="00BA47B4">
              <w:rPr>
                <w:noProof/>
                <w:sz w:val="12"/>
                <w:szCs w:val="12"/>
                <w:lang w:val="fr-BE"/>
              </w:rPr>
              <w:t>Słabiej rozwinięte</w:t>
            </w:r>
          </w:p>
        </w:tc>
        <w:tc>
          <w:tcPr>
            <w:tcW w:w="0" w:type="auto"/>
          </w:tcPr>
          <w:p w14:paraId="7A8258C0" w14:textId="77777777" w:rsidR="008C5CFA" w:rsidRPr="00BA47B4" w:rsidRDefault="00E82A60" w:rsidP="00300A01">
            <w:pPr>
              <w:spacing w:before="0" w:after="0"/>
              <w:jc w:val="right"/>
              <w:rPr>
                <w:sz w:val="12"/>
                <w:szCs w:val="12"/>
                <w:lang w:val="fr-BE"/>
              </w:rPr>
            </w:pPr>
            <w:r w:rsidRPr="00BA47B4">
              <w:rPr>
                <w:noProof/>
                <w:sz w:val="12"/>
                <w:szCs w:val="12"/>
                <w:lang w:val="fr-BE"/>
              </w:rPr>
              <w:t>4,00</w:t>
            </w:r>
          </w:p>
        </w:tc>
        <w:tc>
          <w:tcPr>
            <w:tcW w:w="0" w:type="auto"/>
          </w:tcPr>
          <w:p w14:paraId="7593AA9E" w14:textId="77777777" w:rsidR="008C5CFA" w:rsidRPr="00BA47B4" w:rsidRDefault="00E82A60" w:rsidP="00300A01">
            <w:pPr>
              <w:spacing w:before="0" w:after="0"/>
              <w:jc w:val="right"/>
              <w:rPr>
                <w:sz w:val="12"/>
                <w:szCs w:val="12"/>
                <w:lang w:val="fr-BE"/>
              </w:rPr>
            </w:pPr>
            <w:r w:rsidRPr="00BA47B4">
              <w:rPr>
                <w:noProof/>
                <w:sz w:val="12"/>
                <w:szCs w:val="12"/>
                <w:lang w:val="fr-BE"/>
              </w:rPr>
              <w:t>2,00</w:t>
            </w:r>
          </w:p>
        </w:tc>
        <w:tc>
          <w:tcPr>
            <w:tcW w:w="0" w:type="auto"/>
          </w:tcPr>
          <w:p w14:paraId="3D056CC1" w14:textId="77777777" w:rsidR="008C5CFA" w:rsidRPr="00BA47B4" w:rsidRDefault="00E82A60" w:rsidP="00300A01">
            <w:pPr>
              <w:spacing w:before="0" w:after="0"/>
              <w:jc w:val="right"/>
              <w:rPr>
                <w:sz w:val="12"/>
                <w:szCs w:val="12"/>
                <w:lang w:val="fr-BE"/>
              </w:rPr>
            </w:pPr>
            <w:r w:rsidRPr="00BA47B4">
              <w:rPr>
                <w:noProof/>
                <w:sz w:val="12"/>
                <w:szCs w:val="12"/>
                <w:lang w:val="fr-BE"/>
              </w:rPr>
              <w:t>5,00</w:t>
            </w:r>
          </w:p>
        </w:tc>
        <w:tc>
          <w:tcPr>
            <w:tcW w:w="0" w:type="auto"/>
          </w:tcPr>
          <w:p w14:paraId="1429FD9C" w14:textId="77777777" w:rsidR="008C5CFA" w:rsidRPr="00BA47B4" w:rsidRDefault="00E82A60" w:rsidP="00300A01">
            <w:pPr>
              <w:spacing w:before="0" w:after="0"/>
              <w:jc w:val="right"/>
              <w:rPr>
                <w:sz w:val="12"/>
                <w:szCs w:val="12"/>
                <w:lang w:val="fr-BE"/>
              </w:rPr>
            </w:pPr>
            <w:r w:rsidRPr="00BA47B4">
              <w:rPr>
                <w:noProof/>
                <w:sz w:val="12"/>
                <w:szCs w:val="12"/>
                <w:lang w:val="fr-BE"/>
              </w:rPr>
              <w:t>18,00</w:t>
            </w:r>
          </w:p>
        </w:tc>
        <w:tc>
          <w:tcPr>
            <w:tcW w:w="0" w:type="auto"/>
          </w:tcPr>
          <w:p w14:paraId="29F306D1"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6B593BCB" w14:textId="77777777" w:rsidR="008C5CFA" w:rsidRPr="00BA47B4" w:rsidRDefault="00E82A60" w:rsidP="00300A01">
            <w:pPr>
              <w:spacing w:before="0" w:after="0"/>
              <w:jc w:val="right"/>
              <w:rPr>
                <w:sz w:val="12"/>
                <w:szCs w:val="12"/>
                <w:lang w:val="fr-BE"/>
              </w:rPr>
            </w:pPr>
            <w:r w:rsidRPr="00BA47B4">
              <w:rPr>
                <w:noProof/>
                <w:sz w:val="12"/>
                <w:szCs w:val="12"/>
                <w:lang w:val="fr-BE"/>
              </w:rPr>
              <w:t>2,00</w:t>
            </w:r>
          </w:p>
        </w:tc>
        <w:tc>
          <w:tcPr>
            <w:tcW w:w="0" w:type="auto"/>
          </w:tcPr>
          <w:p w14:paraId="5957B99B"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157847A7"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42618B10"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3320C3E6"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r>
      <w:tr w:rsidR="006B2EC1" w14:paraId="53A90D3C" w14:textId="77777777" w:rsidTr="0047688D">
        <w:tc>
          <w:tcPr>
            <w:tcW w:w="0" w:type="auto"/>
            <w:shd w:val="clear" w:color="auto" w:fill="auto"/>
          </w:tcPr>
          <w:p w14:paraId="50257D57" w14:textId="77777777" w:rsidR="008C5CFA" w:rsidRPr="00BA47B4" w:rsidRDefault="00E82A60" w:rsidP="00300A01">
            <w:pPr>
              <w:spacing w:before="0" w:after="0"/>
              <w:rPr>
                <w:sz w:val="12"/>
                <w:szCs w:val="12"/>
                <w:lang w:val="fr-BE"/>
              </w:rPr>
            </w:pPr>
            <w:r w:rsidRPr="00BA47B4">
              <w:rPr>
                <w:noProof/>
                <w:sz w:val="12"/>
                <w:szCs w:val="12"/>
                <w:lang w:val="fr-BE"/>
              </w:rPr>
              <w:t>CR03</w:t>
            </w:r>
          </w:p>
        </w:tc>
        <w:tc>
          <w:tcPr>
            <w:tcW w:w="0" w:type="auto"/>
            <w:shd w:val="clear" w:color="auto" w:fill="auto"/>
          </w:tcPr>
          <w:p w14:paraId="49465B0E" w14:textId="77777777" w:rsidR="008C5CFA" w:rsidRPr="00BA47B4" w:rsidRDefault="00E82A60" w:rsidP="00300A01">
            <w:pPr>
              <w:spacing w:before="0" w:after="0"/>
              <w:rPr>
                <w:sz w:val="12"/>
                <w:szCs w:val="12"/>
                <w:lang w:val="fr-BE"/>
              </w:rPr>
            </w:pPr>
            <w:r w:rsidRPr="00BA47B4">
              <w:rPr>
                <w:noProof/>
                <w:sz w:val="12"/>
                <w:szCs w:val="12"/>
                <w:lang w:val="fr-BE"/>
              </w:rPr>
              <w:t>uczestnicy uzyskujący kwalifikacje po opuszczeniu programu</w:t>
            </w:r>
          </w:p>
        </w:tc>
        <w:tc>
          <w:tcPr>
            <w:tcW w:w="0" w:type="auto"/>
            <w:shd w:val="clear" w:color="auto" w:fill="auto"/>
          </w:tcPr>
          <w:p w14:paraId="2B2009DE" w14:textId="77777777" w:rsidR="008C5CFA" w:rsidRPr="00BA47B4" w:rsidRDefault="00E82A60" w:rsidP="00300A01">
            <w:pPr>
              <w:spacing w:before="0" w:after="0"/>
              <w:rPr>
                <w:sz w:val="12"/>
                <w:szCs w:val="12"/>
                <w:lang w:val="fr-BE"/>
              </w:rPr>
            </w:pPr>
            <w:r w:rsidRPr="00BA47B4">
              <w:rPr>
                <w:noProof/>
                <w:sz w:val="12"/>
                <w:szCs w:val="12"/>
                <w:lang w:val="fr-BE"/>
              </w:rPr>
              <w:t>Słabiej rozwinięte</w:t>
            </w:r>
          </w:p>
        </w:tc>
        <w:tc>
          <w:tcPr>
            <w:tcW w:w="0" w:type="auto"/>
          </w:tcPr>
          <w:p w14:paraId="07276511" w14:textId="77777777" w:rsidR="008C5CFA" w:rsidRPr="00BA47B4" w:rsidRDefault="00E82A60" w:rsidP="00300A01">
            <w:pPr>
              <w:spacing w:before="0" w:after="0"/>
              <w:jc w:val="right"/>
              <w:rPr>
                <w:sz w:val="12"/>
                <w:szCs w:val="12"/>
                <w:lang w:val="fr-BE"/>
              </w:rPr>
            </w:pPr>
            <w:r w:rsidRPr="00BA47B4">
              <w:rPr>
                <w:noProof/>
                <w:sz w:val="12"/>
                <w:szCs w:val="12"/>
                <w:lang w:val="fr-BE"/>
              </w:rPr>
              <w:t>671,00</w:t>
            </w:r>
          </w:p>
        </w:tc>
        <w:tc>
          <w:tcPr>
            <w:tcW w:w="0" w:type="auto"/>
          </w:tcPr>
          <w:p w14:paraId="0D5CE15F" w14:textId="77777777" w:rsidR="008C5CFA" w:rsidRPr="00BA47B4" w:rsidRDefault="00E82A60" w:rsidP="00300A01">
            <w:pPr>
              <w:spacing w:before="0" w:after="0"/>
              <w:jc w:val="right"/>
              <w:rPr>
                <w:sz w:val="12"/>
                <w:szCs w:val="12"/>
                <w:lang w:val="fr-BE"/>
              </w:rPr>
            </w:pPr>
            <w:r w:rsidRPr="00BA47B4">
              <w:rPr>
                <w:noProof/>
                <w:sz w:val="12"/>
                <w:szCs w:val="12"/>
                <w:lang w:val="fr-BE"/>
              </w:rPr>
              <w:t>609,00</w:t>
            </w:r>
          </w:p>
        </w:tc>
        <w:tc>
          <w:tcPr>
            <w:tcW w:w="0" w:type="auto"/>
          </w:tcPr>
          <w:p w14:paraId="3F3EA2B9" w14:textId="77777777" w:rsidR="008C5CFA" w:rsidRPr="00BA47B4" w:rsidRDefault="00E82A60" w:rsidP="00300A01">
            <w:pPr>
              <w:spacing w:before="0" w:after="0"/>
              <w:jc w:val="right"/>
              <w:rPr>
                <w:sz w:val="12"/>
                <w:szCs w:val="12"/>
                <w:lang w:val="fr-BE"/>
              </w:rPr>
            </w:pPr>
            <w:r w:rsidRPr="00BA47B4">
              <w:rPr>
                <w:noProof/>
                <w:sz w:val="12"/>
                <w:szCs w:val="12"/>
                <w:lang w:val="fr-BE"/>
              </w:rPr>
              <w:t>898,00</w:t>
            </w:r>
          </w:p>
        </w:tc>
        <w:tc>
          <w:tcPr>
            <w:tcW w:w="0" w:type="auto"/>
          </w:tcPr>
          <w:p w14:paraId="60F5694C" w14:textId="77777777" w:rsidR="008C5CFA" w:rsidRPr="00BA47B4" w:rsidRDefault="00E82A60" w:rsidP="00300A01">
            <w:pPr>
              <w:spacing w:before="0" w:after="0"/>
              <w:jc w:val="right"/>
              <w:rPr>
                <w:sz w:val="12"/>
                <w:szCs w:val="12"/>
                <w:lang w:val="fr-BE"/>
              </w:rPr>
            </w:pPr>
            <w:r w:rsidRPr="00BA47B4">
              <w:rPr>
                <w:noProof/>
                <w:sz w:val="12"/>
                <w:szCs w:val="12"/>
                <w:lang w:val="fr-BE"/>
              </w:rPr>
              <w:t>849,00</w:t>
            </w:r>
          </w:p>
        </w:tc>
        <w:tc>
          <w:tcPr>
            <w:tcW w:w="0" w:type="auto"/>
          </w:tcPr>
          <w:p w14:paraId="41D57D7F" w14:textId="77777777" w:rsidR="008C5CFA" w:rsidRPr="00BA47B4" w:rsidRDefault="00E82A60" w:rsidP="00300A01">
            <w:pPr>
              <w:spacing w:before="0" w:after="0"/>
              <w:jc w:val="right"/>
              <w:rPr>
                <w:sz w:val="12"/>
                <w:szCs w:val="12"/>
                <w:lang w:val="fr-BE"/>
              </w:rPr>
            </w:pPr>
            <w:r w:rsidRPr="00BA47B4">
              <w:rPr>
                <w:noProof/>
                <w:sz w:val="12"/>
                <w:szCs w:val="12"/>
                <w:lang w:val="fr-BE"/>
              </w:rPr>
              <w:t>448,00</w:t>
            </w:r>
          </w:p>
        </w:tc>
        <w:tc>
          <w:tcPr>
            <w:tcW w:w="0" w:type="auto"/>
          </w:tcPr>
          <w:p w14:paraId="363C58C3" w14:textId="77777777" w:rsidR="008C5CFA" w:rsidRPr="00BA47B4" w:rsidRDefault="00E82A60" w:rsidP="00300A01">
            <w:pPr>
              <w:spacing w:before="0" w:after="0"/>
              <w:jc w:val="right"/>
              <w:rPr>
                <w:sz w:val="12"/>
                <w:szCs w:val="12"/>
                <w:lang w:val="fr-BE"/>
              </w:rPr>
            </w:pPr>
            <w:r w:rsidRPr="00BA47B4">
              <w:rPr>
                <w:noProof/>
                <w:sz w:val="12"/>
                <w:szCs w:val="12"/>
                <w:lang w:val="fr-BE"/>
              </w:rPr>
              <w:t>315,00</w:t>
            </w:r>
          </w:p>
        </w:tc>
        <w:tc>
          <w:tcPr>
            <w:tcW w:w="0" w:type="auto"/>
          </w:tcPr>
          <w:p w14:paraId="442612B2" w14:textId="77777777" w:rsidR="008C5CFA" w:rsidRPr="00BA47B4" w:rsidRDefault="00E82A60" w:rsidP="00300A01">
            <w:pPr>
              <w:spacing w:before="0" w:after="0"/>
              <w:jc w:val="right"/>
              <w:rPr>
                <w:sz w:val="12"/>
                <w:szCs w:val="12"/>
                <w:lang w:val="fr-BE"/>
              </w:rPr>
            </w:pPr>
            <w:r w:rsidRPr="00BA47B4">
              <w:rPr>
                <w:noProof/>
                <w:sz w:val="12"/>
                <w:szCs w:val="12"/>
                <w:lang w:val="fr-BE"/>
              </w:rPr>
              <w:t>100,00</w:t>
            </w:r>
          </w:p>
        </w:tc>
        <w:tc>
          <w:tcPr>
            <w:tcW w:w="0" w:type="auto"/>
          </w:tcPr>
          <w:p w14:paraId="03A8190D" w14:textId="77777777" w:rsidR="008C5CFA" w:rsidRPr="00BA47B4" w:rsidRDefault="00E82A60" w:rsidP="00300A01">
            <w:pPr>
              <w:spacing w:before="0" w:after="0"/>
              <w:jc w:val="right"/>
              <w:rPr>
                <w:sz w:val="12"/>
                <w:szCs w:val="12"/>
                <w:lang w:val="fr-BE"/>
              </w:rPr>
            </w:pPr>
            <w:r w:rsidRPr="00BA47B4">
              <w:rPr>
                <w:noProof/>
                <w:sz w:val="12"/>
                <w:szCs w:val="12"/>
                <w:lang w:val="fr-BE"/>
              </w:rPr>
              <w:t>8,00</w:t>
            </w:r>
          </w:p>
        </w:tc>
        <w:tc>
          <w:tcPr>
            <w:tcW w:w="0" w:type="auto"/>
            <w:shd w:val="clear" w:color="auto" w:fill="auto"/>
          </w:tcPr>
          <w:p w14:paraId="62D5A7CA"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3992E6B2"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r>
      <w:tr w:rsidR="006B2EC1" w14:paraId="7E129D54" w14:textId="77777777" w:rsidTr="0047688D">
        <w:tc>
          <w:tcPr>
            <w:tcW w:w="0" w:type="auto"/>
            <w:shd w:val="clear" w:color="auto" w:fill="auto"/>
          </w:tcPr>
          <w:p w14:paraId="176D9715" w14:textId="77777777" w:rsidR="008C5CFA" w:rsidRPr="00BA47B4" w:rsidRDefault="00E82A60" w:rsidP="00300A01">
            <w:pPr>
              <w:spacing w:before="0" w:after="0"/>
              <w:rPr>
                <w:sz w:val="12"/>
                <w:szCs w:val="12"/>
                <w:lang w:val="fr-BE"/>
              </w:rPr>
            </w:pPr>
            <w:r w:rsidRPr="00BA47B4">
              <w:rPr>
                <w:noProof/>
                <w:sz w:val="12"/>
                <w:szCs w:val="12"/>
                <w:lang w:val="fr-BE"/>
              </w:rPr>
              <w:t>CR03</w:t>
            </w:r>
          </w:p>
        </w:tc>
        <w:tc>
          <w:tcPr>
            <w:tcW w:w="0" w:type="auto"/>
            <w:shd w:val="clear" w:color="auto" w:fill="auto"/>
          </w:tcPr>
          <w:p w14:paraId="6249C3C3" w14:textId="77777777" w:rsidR="008C5CFA" w:rsidRPr="00BA47B4" w:rsidRDefault="00E82A60" w:rsidP="00300A01">
            <w:pPr>
              <w:spacing w:before="0" w:after="0"/>
              <w:rPr>
                <w:sz w:val="12"/>
                <w:szCs w:val="12"/>
                <w:lang w:val="fr-BE"/>
              </w:rPr>
            </w:pPr>
            <w:r w:rsidRPr="00BA47B4">
              <w:rPr>
                <w:noProof/>
                <w:sz w:val="12"/>
                <w:szCs w:val="12"/>
                <w:lang w:val="fr-BE"/>
              </w:rPr>
              <w:t>uczestnicy uzyskujący kwalifikacje po opuszczeniu programu</w:t>
            </w:r>
          </w:p>
        </w:tc>
        <w:tc>
          <w:tcPr>
            <w:tcW w:w="0" w:type="auto"/>
            <w:shd w:val="clear" w:color="auto" w:fill="auto"/>
          </w:tcPr>
          <w:p w14:paraId="42E80674" w14:textId="77777777" w:rsidR="008C5CFA" w:rsidRPr="00BA47B4" w:rsidRDefault="00E82A60" w:rsidP="00300A01">
            <w:pPr>
              <w:spacing w:before="0" w:after="0"/>
              <w:rPr>
                <w:sz w:val="12"/>
                <w:szCs w:val="12"/>
                <w:lang w:val="fr-BE"/>
              </w:rPr>
            </w:pPr>
            <w:r w:rsidRPr="00BA47B4">
              <w:rPr>
                <w:noProof/>
                <w:sz w:val="12"/>
                <w:szCs w:val="12"/>
                <w:lang w:val="fr-BE"/>
              </w:rPr>
              <w:t>Słabiej rozwinięte</w:t>
            </w:r>
          </w:p>
        </w:tc>
        <w:tc>
          <w:tcPr>
            <w:tcW w:w="0" w:type="auto"/>
          </w:tcPr>
          <w:p w14:paraId="5A4C5838" w14:textId="77777777" w:rsidR="008C5CFA" w:rsidRPr="00BA47B4" w:rsidRDefault="00E82A60" w:rsidP="00300A01">
            <w:pPr>
              <w:spacing w:before="0" w:after="0"/>
              <w:jc w:val="right"/>
              <w:rPr>
                <w:sz w:val="12"/>
                <w:szCs w:val="12"/>
                <w:lang w:val="fr-BE"/>
              </w:rPr>
            </w:pPr>
            <w:r w:rsidRPr="00BA47B4">
              <w:rPr>
                <w:noProof/>
                <w:sz w:val="12"/>
                <w:szCs w:val="12"/>
                <w:lang w:val="fr-BE"/>
              </w:rPr>
              <w:t>545,00</w:t>
            </w:r>
          </w:p>
        </w:tc>
        <w:tc>
          <w:tcPr>
            <w:tcW w:w="0" w:type="auto"/>
          </w:tcPr>
          <w:p w14:paraId="3DE15282" w14:textId="77777777" w:rsidR="008C5CFA" w:rsidRPr="00BA47B4" w:rsidRDefault="00E82A60" w:rsidP="00300A01">
            <w:pPr>
              <w:spacing w:before="0" w:after="0"/>
              <w:jc w:val="right"/>
              <w:rPr>
                <w:sz w:val="12"/>
                <w:szCs w:val="12"/>
                <w:lang w:val="fr-BE"/>
              </w:rPr>
            </w:pPr>
            <w:r w:rsidRPr="00BA47B4">
              <w:rPr>
                <w:noProof/>
                <w:sz w:val="12"/>
                <w:szCs w:val="12"/>
                <w:lang w:val="fr-BE"/>
              </w:rPr>
              <w:t>455,00</w:t>
            </w:r>
          </w:p>
        </w:tc>
        <w:tc>
          <w:tcPr>
            <w:tcW w:w="0" w:type="auto"/>
          </w:tcPr>
          <w:p w14:paraId="082709DD" w14:textId="77777777" w:rsidR="008C5CFA" w:rsidRPr="00BA47B4" w:rsidRDefault="00E82A60" w:rsidP="00300A01">
            <w:pPr>
              <w:spacing w:before="0" w:after="0"/>
              <w:jc w:val="right"/>
              <w:rPr>
                <w:sz w:val="12"/>
                <w:szCs w:val="12"/>
                <w:lang w:val="fr-BE"/>
              </w:rPr>
            </w:pPr>
            <w:r w:rsidRPr="00BA47B4">
              <w:rPr>
                <w:noProof/>
                <w:sz w:val="12"/>
                <w:szCs w:val="12"/>
                <w:lang w:val="fr-BE"/>
              </w:rPr>
              <w:t>756,00</w:t>
            </w:r>
          </w:p>
        </w:tc>
        <w:tc>
          <w:tcPr>
            <w:tcW w:w="0" w:type="auto"/>
          </w:tcPr>
          <w:p w14:paraId="5CB22572" w14:textId="77777777" w:rsidR="008C5CFA" w:rsidRPr="00BA47B4" w:rsidRDefault="00E82A60" w:rsidP="00300A01">
            <w:pPr>
              <w:spacing w:before="0" w:after="0"/>
              <w:jc w:val="right"/>
              <w:rPr>
                <w:sz w:val="12"/>
                <w:szCs w:val="12"/>
                <w:lang w:val="fr-BE"/>
              </w:rPr>
            </w:pPr>
            <w:r w:rsidRPr="00BA47B4">
              <w:rPr>
                <w:noProof/>
                <w:sz w:val="12"/>
                <w:szCs w:val="12"/>
                <w:lang w:val="fr-BE"/>
              </w:rPr>
              <w:t>651,00</w:t>
            </w:r>
          </w:p>
        </w:tc>
        <w:tc>
          <w:tcPr>
            <w:tcW w:w="0" w:type="auto"/>
          </w:tcPr>
          <w:p w14:paraId="39536F2A" w14:textId="77777777" w:rsidR="008C5CFA" w:rsidRPr="00BA47B4" w:rsidRDefault="00E82A60" w:rsidP="00300A01">
            <w:pPr>
              <w:spacing w:before="0" w:after="0"/>
              <w:jc w:val="right"/>
              <w:rPr>
                <w:sz w:val="12"/>
                <w:szCs w:val="12"/>
                <w:lang w:val="fr-BE"/>
              </w:rPr>
            </w:pPr>
            <w:r w:rsidRPr="00BA47B4">
              <w:rPr>
                <w:noProof/>
                <w:sz w:val="12"/>
                <w:szCs w:val="12"/>
                <w:lang w:val="fr-BE"/>
              </w:rPr>
              <w:t>406,00</w:t>
            </w:r>
          </w:p>
        </w:tc>
        <w:tc>
          <w:tcPr>
            <w:tcW w:w="0" w:type="auto"/>
          </w:tcPr>
          <w:p w14:paraId="50DC758C" w14:textId="77777777" w:rsidR="008C5CFA" w:rsidRPr="00BA47B4" w:rsidRDefault="00E82A60" w:rsidP="00300A01">
            <w:pPr>
              <w:spacing w:before="0" w:after="0"/>
              <w:jc w:val="right"/>
              <w:rPr>
                <w:sz w:val="12"/>
                <w:szCs w:val="12"/>
                <w:lang w:val="fr-BE"/>
              </w:rPr>
            </w:pPr>
            <w:r w:rsidRPr="00BA47B4">
              <w:rPr>
                <w:noProof/>
                <w:sz w:val="12"/>
                <w:szCs w:val="12"/>
                <w:lang w:val="fr-BE"/>
              </w:rPr>
              <w:t>293,00</w:t>
            </w:r>
          </w:p>
        </w:tc>
        <w:tc>
          <w:tcPr>
            <w:tcW w:w="0" w:type="auto"/>
          </w:tcPr>
          <w:p w14:paraId="34966D27" w14:textId="77777777" w:rsidR="008C5CFA" w:rsidRPr="00BA47B4" w:rsidRDefault="00E82A60" w:rsidP="00300A01">
            <w:pPr>
              <w:spacing w:before="0" w:after="0"/>
              <w:jc w:val="right"/>
              <w:rPr>
                <w:sz w:val="12"/>
                <w:szCs w:val="12"/>
                <w:lang w:val="fr-BE"/>
              </w:rPr>
            </w:pPr>
            <w:r w:rsidRPr="00BA47B4">
              <w:rPr>
                <w:noProof/>
                <w:sz w:val="12"/>
                <w:szCs w:val="12"/>
                <w:lang w:val="fr-BE"/>
              </w:rPr>
              <w:t>100,00</w:t>
            </w:r>
          </w:p>
        </w:tc>
        <w:tc>
          <w:tcPr>
            <w:tcW w:w="0" w:type="auto"/>
          </w:tcPr>
          <w:p w14:paraId="09E63D39" w14:textId="77777777" w:rsidR="008C5CFA" w:rsidRPr="00BA47B4" w:rsidRDefault="00E82A60" w:rsidP="00300A01">
            <w:pPr>
              <w:spacing w:before="0" w:after="0"/>
              <w:jc w:val="right"/>
              <w:rPr>
                <w:sz w:val="12"/>
                <w:szCs w:val="12"/>
                <w:lang w:val="fr-BE"/>
              </w:rPr>
            </w:pPr>
            <w:r w:rsidRPr="00BA47B4">
              <w:rPr>
                <w:noProof/>
                <w:sz w:val="12"/>
                <w:szCs w:val="12"/>
                <w:lang w:val="fr-BE"/>
              </w:rPr>
              <w:t>8,00</w:t>
            </w:r>
          </w:p>
        </w:tc>
        <w:tc>
          <w:tcPr>
            <w:tcW w:w="0" w:type="auto"/>
            <w:shd w:val="clear" w:color="auto" w:fill="auto"/>
          </w:tcPr>
          <w:p w14:paraId="60C77531"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5EE7CF90"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r>
      <w:tr w:rsidR="006B2EC1" w14:paraId="7FAB1106" w14:textId="77777777" w:rsidTr="0047688D">
        <w:tc>
          <w:tcPr>
            <w:tcW w:w="0" w:type="auto"/>
            <w:shd w:val="clear" w:color="auto" w:fill="auto"/>
          </w:tcPr>
          <w:p w14:paraId="2B2A8D70" w14:textId="77777777" w:rsidR="008C5CFA" w:rsidRPr="00BA47B4" w:rsidRDefault="00E82A60" w:rsidP="00300A01">
            <w:pPr>
              <w:spacing w:before="0" w:after="0"/>
              <w:rPr>
                <w:sz w:val="12"/>
                <w:szCs w:val="12"/>
                <w:lang w:val="fr-BE"/>
              </w:rPr>
            </w:pPr>
            <w:r w:rsidRPr="00BA47B4">
              <w:rPr>
                <w:noProof/>
                <w:sz w:val="12"/>
                <w:szCs w:val="12"/>
                <w:lang w:val="fr-BE"/>
              </w:rPr>
              <w:t>CR03</w:t>
            </w:r>
          </w:p>
        </w:tc>
        <w:tc>
          <w:tcPr>
            <w:tcW w:w="0" w:type="auto"/>
            <w:shd w:val="clear" w:color="auto" w:fill="auto"/>
          </w:tcPr>
          <w:p w14:paraId="1A80C726" w14:textId="77777777" w:rsidR="008C5CFA" w:rsidRPr="00BA47B4" w:rsidRDefault="00E82A60" w:rsidP="00300A01">
            <w:pPr>
              <w:spacing w:before="0" w:after="0"/>
              <w:rPr>
                <w:sz w:val="12"/>
                <w:szCs w:val="12"/>
                <w:lang w:val="fr-BE"/>
              </w:rPr>
            </w:pPr>
            <w:r w:rsidRPr="00BA47B4">
              <w:rPr>
                <w:noProof/>
                <w:sz w:val="12"/>
                <w:szCs w:val="12"/>
                <w:lang w:val="fr-BE"/>
              </w:rPr>
              <w:t>uczestnicy uzyskujący kwalifikacje po opuszczeniu programu</w:t>
            </w:r>
          </w:p>
        </w:tc>
        <w:tc>
          <w:tcPr>
            <w:tcW w:w="0" w:type="auto"/>
            <w:shd w:val="clear" w:color="auto" w:fill="auto"/>
          </w:tcPr>
          <w:p w14:paraId="5964BEE4" w14:textId="77777777" w:rsidR="008C5CFA" w:rsidRPr="00BA47B4" w:rsidRDefault="00E82A60" w:rsidP="00300A01">
            <w:pPr>
              <w:spacing w:before="0" w:after="0"/>
              <w:rPr>
                <w:sz w:val="12"/>
                <w:szCs w:val="12"/>
                <w:lang w:val="fr-BE"/>
              </w:rPr>
            </w:pPr>
            <w:r w:rsidRPr="00BA47B4">
              <w:rPr>
                <w:noProof/>
                <w:sz w:val="12"/>
                <w:szCs w:val="12"/>
                <w:lang w:val="fr-BE"/>
              </w:rPr>
              <w:t>Słabiej rozwinięte</w:t>
            </w:r>
          </w:p>
        </w:tc>
        <w:tc>
          <w:tcPr>
            <w:tcW w:w="0" w:type="auto"/>
          </w:tcPr>
          <w:p w14:paraId="08FC129D" w14:textId="77777777" w:rsidR="008C5CFA" w:rsidRPr="00BA47B4" w:rsidRDefault="00E82A60" w:rsidP="00300A01">
            <w:pPr>
              <w:spacing w:before="0" w:after="0"/>
              <w:jc w:val="right"/>
              <w:rPr>
                <w:sz w:val="12"/>
                <w:szCs w:val="12"/>
                <w:lang w:val="fr-BE"/>
              </w:rPr>
            </w:pPr>
            <w:r w:rsidRPr="00BA47B4">
              <w:rPr>
                <w:noProof/>
                <w:sz w:val="12"/>
                <w:szCs w:val="12"/>
                <w:lang w:val="fr-BE"/>
              </w:rPr>
              <w:t>270,00</w:t>
            </w:r>
          </w:p>
        </w:tc>
        <w:tc>
          <w:tcPr>
            <w:tcW w:w="0" w:type="auto"/>
          </w:tcPr>
          <w:p w14:paraId="4962C616" w14:textId="77777777" w:rsidR="008C5CFA" w:rsidRPr="00BA47B4" w:rsidRDefault="00E82A60" w:rsidP="00300A01">
            <w:pPr>
              <w:spacing w:before="0" w:after="0"/>
              <w:jc w:val="right"/>
              <w:rPr>
                <w:sz w:val="12"/>
                <w:szCs w:val="12"/>
                <w:lang w:val="fr-BE"/>
              </w:rPr>
            </w:pPr>
            <w:r w:rsidRPr="00BA47B4">
              <w:rPr>
                <w:noProof/>
                <w:sz w:val="12"/>
                <w:szCs w:val="12"/>
                <w:lang w:val="fr-BE"/>
              </w:rPr>
              <w:t>245,00</w:t>
            </w:r>
          </w:p>
        </w:tc>
        <w:tc>
          <w:tcPr>
            <w:tcW w:w="0" w:type="auto"/>
          </w:tcPr>
          <w:p w14:paraId="6D56048B" w14:textId="77777777" w:rsidR="008C5CFA" w:rsidRPr="00BA47B4" w:rsidRDefault="00E82A60" w:rsidP="00300A01">
            <w:pPr>
              <w:spacing w:before="0" w:after="0"/>
              <w:jc w:val="right"/>
              <w:rPr>
                <w:sz w:val="12"/>
                <w:szCs w:val="12"/>
                <w:lang w:val="fr-BE"/>
              </w:rPr>
            </w:pPr>
            <w:r w:rsidRPr="00BA47B4">
              <w:rPr>
                <w:noProof/>
                <w:sz w:val="12"/>
                <w:szCs w:val="12"/>
                <w:lang w:val="fr-BE"/>
              </w:rPr>
              <w:t>372,00</w:t>
            </w:r>
          </w:p>
        </w:tc>
        <w:tc>
          <w:tcPr>
            <w:tcW w:w="0" w:type="auto"/>
          </w:tcPr>
          <w:p w14:paraId="17F93E70" w14:textId="77777777" w:rsidR="008C5CFA" w:rsidRPr="00BA47B4" w:rsidRDefault="00E82A60" w:rsidP="00300A01">
            <w:pPr>
              <w:spacing w:before="0" w:after="0"/>
              <w:jc w:val="right"/>
              <w:rPr>
                <w:sz w:val="12"/>
                <w:szCs w:val="12"/>
                <w:lang w:val="fr-BE"/>
              </w:rPr>
            </w:pPr>
            <w:r w:rsidRPr="00BA47B4">
              <w:rPr>
                <w:noProof/>
                <w:sz w:val="12"/>
                <w:szCs w:val="12"/>
                <w:lang w:val="fr-BE"/>
              </w:rPr>
              <w:t>383,00</w:t>
            </w:r>
          </w:p>
        </w:tc>
        <w:tc>
          <w:tcPr>
            <w:tcW w:w="0" w:type="auto"/>
          </w:tcPr>
          <w:p w14:paraId="4FDCFE91" w14:textId="77777777" w:rsidR="008C5CFA" w:rsidRPr="00BA47B4" w:rsidRDefault="00E82A60" w:rsidP="00300A01">
            <w:pPr>
              <w:spacing w:before="0" w:after="0"/>
              <w:jc w:val="right"/>
              <w:rPr>
                <w:sz w:val="12"/>
                <w:szCs w:val="12"/>
                <w:lang w:val="fr-BE"/>
              </w:rPr>
            </w:pPr>
            <w:r w:rsidRPr="00BA47B4">
              <w:rPr>
                <w:noProof/>
                <w:sz w:val="12"/>
                <w:szCs w:val="12"/>
                <w:lang w:val="fr-BE"/>
              </w:rPr>
              <w:t>183,00</w:t>
            </w:r>
          </w:p>
        </w:tc>
        <w:tc>
          <w:tcPr>
            <w:tcW w:w="0" w:type="auto"/>
          </w:tcPr>
          <w:p w14:paraId="6C1EDD23" w14:textId="77777777" w:rsidR="008C5CFA" w:rsidRPr="00BA47B4" w:rsidRDefault="00E82A60" w:rsidP="00300A01">
            <w:pPr>
              <w:spacing w:before="0" w:after="0"/>
              <w:jc w:val="right"/>
              <w:rPr>
                <w:sz w:val="12"/>
                <w:szCs w:val="12"/>
                <w:lang w:val="fr-BE"/>
              </w:rPr>
            </w:pPr>
            <w:r w:rsidRPr="00BA47B4">
              <w:rPr>
                <w:noProof/>
                <w:sz w:val="12"/>
                <w:szCs w:val="12"/>
                <w:lang w:val="fr-BE"/>
              </w:rPr>
              <w:t>123,00</w:t>
            </w:r>
          </w:p>
        </w:tc>
        <w:tc>
          <w:tcPr>
            <w:tcW w:w="0" w:type="auto"/>
          </w:tcPr>
          <w:p w14:paraId="77166718" w14:textId="77777777" w:rsidR="008C5CFA" w:rsidRPr="00BA47B4" w:rsidRDefault="00E82A60" w:rsidP="00300A01">
            <w:pPr>
              <w:spacing w:before="0" w:after="0"/>
              <w:jc w:val="right"/>
              <w:rPr>
                <w:sz w:val="12"/>
                <w:szCs w:val="12"/>
                <w:lang w:val="fr-BE"/>
              </w:rPr>
            </w:pPr>
            <w:r w:rsidRPr="00BA47B4">
              <w:rPr>
                <w:noProof/>
                <w:sz w:val="12"/>
                <w:szCs w:val="12"/>
                <w:lang w:val="fr-BE"/>
              </w:rPr>
              <w:t>47,00</w:t>
            </w:r>
          </w:p>
        </w:tc>
        <w:tc>
          <w:tcPr>
            <w:tcW w:w="0" w:type="auto"/>
          </w:tcPr>
          <w:p w14:paraId="317E0CC4" w14:textId="77777777" w:rsidR="008C5CFA" w:rsidRPr="00BA47B4" w:rsidRDefault="00E82A60" w:rsidP="00300A01">
            <w:pPr>
              <w:spacing w:before="0" w:after="0"/>
              <w:jc w:val="right"/>
              <w:rPr>
                <w:sz w:val="12"/>
                <w:szCs w:val="12"/>
                <w:lang w:val="fr-BE"/>
              </w:rPr>
            </w:pPr>
            <w:r w:rsidRPr="00BA47B4">
              <w:rPr>
                <w:noProof/>
                <w:sz w:val="12"/>
                <w:szCs w:val="12"/>
                <w:lang w:val="fr-BE"/>
              </w:rPr>
              <w:t>4,00</w:t>
            </w:r>
          </w:p>
        </w:tc>
        <w:tc>
          <w:tcPr>
            <w:tcW w:w="0" w:type="auto"/>
            <w:shd w:val="clear" w:color="auto" w:fill="auto"/>
          </w:tcPr>
          <w:p w14:paraId="4BBC7738"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18368C24"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r>
      <w:tr w:rsidR="006B2EC1" w14:paraId="301158BB" w14:textId="77777777" w:rsidTr="0047688D">
        <w:tc>
          <w:tcPr>
            <w:tcW w:w="0" w:type="auto"/>
            <w:shd w:val="clear" w:color="auto" w:fill="auto"/>
          </w:tcPr>
          <w:p w14:paraId="60B90C1D" w14:textId="77777777" w:rsidR="008C5CFA" w:rsidRPr="00BA47B4" w:rsidRDefault="00E82A60" w:rsidP="00300A01">
            <w:pPr>
              <w:spacing w:before="0" w:after="0"/>
              <w:rPr>
                <w:sz w:val="12"/>
                <w:szCs w:val="12"/>
                <w:lang w:val="fr-BE"/>
              </w:rPr>
            </w:pPr>
            <w:r w:rsidRPr="00BA47B4">
              <w:rPr>
                <w:noProof/>
                <w:sz w:val="12"/>
                <w:szCs w:val="12"/>
                <w:lang w:val="fr-BE"/>
              </w:rPr>
              <w:t>CR03</w:t>
            </w:r>
          </w:p>
        </w:tc>
        <w:tc>
          <w:tcPr>
            <w:tcW w:w="0" w:type="auto"/>
            <w:shd w:val="clear" w:color="auto" w:fill="auto"/>
          </w:tcPr>
          <w:p w14:paraId="361294F8" w14:textId="77777777" w:rsidR="008C5CFA" w:rsidRPr="00BA47B4" w:rsidRDefault="00E82A60" w:rsidP="00300A01">
            <w:pPr>
              <w:spacing w:before="0" w:after="0"/>
              <w:rPr>
                <w:sz w:val="12"/>
                <w:szCs w:val="12"/>
                <w:lang w:val="fr-BE"/>
              </w:rPr>
            </w:pPr>
            <w:r w:rsidRPr="00BA47B4">
              <w:rPr>
                <w:noProof/>
                <w:sz w:val="12"/>
                <w:szCs w:val="12"/>
                <w:lang w:val="fr-BE"/>
              </w:rPr>
              <w:t>uczestnicy uzyskujący kwalifikacje po opuszczeniu programu</w:t>
            </w:r>
          </w:p>
        </w:tc>
        <w:tc>
          <w:tcPr>
            <w:tcW w:w="0" w:type="auto"/>
            <w:shd w:val="clear" w:color="auto" w:fill="auto"/>
          </w:tcPr>
          <w:p w14:paraId="01E9BF2C" w14:textId="77777777" w:rsidR="008C5CFA" w:rsidRPr="00BA47B4" w:rsidRDefault="00E82A60" w:rsidP="00300A01">
            <w:pPr>
              <w:spacing w:before="0" w:after="0"/>
              <w:rPr>
                <w:sz w:val="12"/>
                <w:szCs w:val="12"/>
                <w:lang w:val="fr-BE"/>
              </w:rPr>
            </w:pPr>
            <w:r w:rsidRPr="00BA47B4">
              <w:rPr>
                <w:noProof/>
                <w:sz w:val="12"/>
                <w:szCs w:val="12"/>
                <w:lang w:val="fr-BE"/>
              </w:rPr>
              <w:t>Słabiej rozwinięte</w:t>
            </w:r>
          </w:p>
        </w:tc>
        <w:tc>
          <w:tcPr>
            <w:tcW w:w="0" w:type="auto"/>
          </w:tcPr>
          <w:p w14:paraId="7F579CA0" w14:textId="77777777" w:rsidR="008C5CFA" w:rsidRPr="00BA47B4" w:rsidRDefault="00E82A60" w:rsidP="00300A01">
            <w:pPr>
              <w:spacing w:before="0" w:after="0"/>
              <w:jc w:val="right"/>
              <w:rPr>
                <w:sz w:val="12"/>
                <w:szCs w:val="12"/>
                <w:lang w:val="fr-BE"/>
              </w:rPr>
            </w:pPr>
            <w:r w:rsidRPr="00BA47B4">
              <w:rPr>
                <w:noProof/>
                <w:sz w:val="12"/>
                <w:szCs w:val="12"/>
                <w:lang w:val="fr-BE"/>
              </w:rPr>
              <w:t>126,00</w:t>
            </w:r>
          </w:p>
        </w:tc>
        <w:tc>
          <w:tcPr>
            <w:tcW w:w="0" w:type="auto"/>
          </w:tcPr>
          <w:p w14:paraId="5F209552" w14:textId="77777777" w:rsidR="008C5CFA" w:rsidRPr="00BA47B4" w:rsidRDefault="00E82A60" w:rsidP="00300A01">
            <w:pPr>
              <w:spacing w:before="0" w:after="0"/>
              <w:jc w:val="right"/>
              <w:rPr>
                <w:sz w:val="12"/>
                <w:szCs w:val="12"/>
                <w:lang w:val="fr-BE"/>
              </w:rPr>
            </w:pPr>
            <w:r w:rsidRPr="00BA47B4">
              <w:rPr>
                <w:noProof/>
                <w:sz w:val="12"/>
                <w:szCs w:val="12"/>
                <w:lang w:val="fr-BE"/>
              </w:rPr>
              <w:t>154,00</w:t>
            </w:r>
          </w:p>
        </w:tc>
        <w:tc>
          <w:tcPr>
            <w:tcW w:w="0" w:type="auto"/>
          </w:tcPr>
          <w:p w14:paraId="000D4AA0" w14:textId="77777777" w:rsidR="008C5CFA" w:rsidRPr="00BA47B4" w:rsidRDefault="00E82A60" w:rsidP="00300A01">
            <w:pPr>
              <w:spacing w:before="0" w:after="0"/>
              <w:jc w:val="right"/>
              <w:rPr>
                <w:sz w:val="12"/>
                <w:szCs w:val="12"/>
                <w:lang w:val="fr-BE"/>
              </w:rPr>
            </w:pPr>
            <w:r w:rsidRPr="00BA47B4">
              <w:rPr>
                <w:noProof/>
                <w:sz w:val="12"/>
                <w:szCs w:val="12"/>
                <w:lang w:val="fr-BE"/>
              </w:rPr>
              <w:t>142,00</w:t>
            </w:r>
          </w:p>
        </w:tc>
        <w:tc>
          <w:tcPr>
            <w:tcW w:w="0" w:type="auto"/>
          </w:tcPr>
          <w:p w14:paraId="18F49BD1" w14:textId="77777777" w:rsidR="008C5CFA" w:rsidRPr="00BA47B4" w:rsidRDefault="00E82A60" w:rsidP="00300A01">
            <w:pPr>
              <w:spacing w:before="0" w:after="0"/>
              <w:jc w:val="right"/>
              <w:rPr>
                <w:sz w:val="12"/>
                <w:szCs w:val="12"/>
                <w:lang w:val="fr-BE"/>
              </w:rPr>
            </w:pPr>
            <w:r w:rsidRPr="00BA47B4">
              <w:rPr>
                <w:noProof/>
                <w:sz w:val="12"/>
                <w:szCs w:val="12"/>
                <w:lang w:val="fr-BE"/>
              </w:rPr>
              <w:t>198,00</w:t>
            </w:r>
          </w:p>
        </w:tc>
        <w:tc>
          <w:tcPr>
            <w:tcW w:w="0" w:type="auto"/>
          </w:tcPr>
          <w:p w14:paraId="7B0A6389" w14:textId="77777777" w:rsidR="008C5CFA" w:rsidRPr="00BA47B4" w:rsidRDefault="00E82A60" w:rsidP="00300A01">
            <w:pPr>
              <w:spacing w:before="0" w:after="0"/>
              <w:jc w:val="right"/>
              <w:rPr>
                <w:sz w:val="12"/>
                <w:szCs w:val="12"/>
                <w:lang w:val="fr-BE"/>
              </w:rPr>
            </w:pPr>
            <w:r w:rsidRPr="00BA47B4">
              <w:rPr>
                <w:noProof/>
                <w:sz w:val="12"/>
                <w:szCs w:val="12"/>
                <w:lang w:val="fr-BE"/>
              </w:rPr>
              <w:t>42,00</w:t>
            </w:r>
          </w:p>
        </w:tc>
        <w:tc>
          <w:tcPr>
            <w:tcW w:w="0" w:type="auto"/>
          </w:tcPr>
          <w:p w14:paraId="5899789F" w14:textId="77777777" w:rsidR="008C5CFA" w:rsidRPr="00BA47B4" w:rsidRDefault="00E82A60" w:rsidP="00300A01">
            <w:pPr>
              <w:spacing w:before="0" w:after="0"/>
              <w:jc w:val="right"/>
              <w:rPr>
                <w:sz w:val="12"/>
                <w:szCs w:val="12"/>
                <w:lang w:val="fr-BE"/>
              </w:rPr>
            </w:pPr>
            <w:r w:rsidRPr="00BA47B4">
              <w:rPr>
                <w:noProof/>
                <w:sz w:val="12"/>
                <w:szCs w:val="12"/>
                <w:lang w:val="fr-BE"/>
              </w:rPr>
              <w:t>22,00</w:t>
            </w:r>
          </w:p>
        </w:tc>
        <w:tc>
          <w:tcPr>
            <w:tcW w:w="0" w:type="auto"/>
          </w:tcPr>
          <w:p w14:paraId="12B54B26"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5010AD0C"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2ACB80B3"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5C15169C"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r>
      <w:tr w:rsidR="006B2EC1" w14:paraId="4EFBB8DD" w14:textId="77777777" w:rsidTr="0047688D">
        <w:tc>
          <w:tcPr>
            <w:tcW w:w="0" w:type="auto"/>
            <w:shd w:val="clear" w:color="auto" w:fill="auto"/>
          </w:tcPr>
          <w:p w14:paraId="2485D3A7" w14:textId="77777777" w:rsidR="008C5CFA" w:rsidRPr="00BA47B4" w:rsidRDefault="00E82A60" w:rsidP="00300A01">
            <w:pPr>
              <w:spacing w:before="0" w:after="0"/>
              <w:rPr>
                <w:sz w:val="12"/>
                <w:szCs w:val="12"/>
                <w:lang w:val="fr-BE"/>
              </w:rPr>
            </w:pPr>
            <w:r w:rsidRPr="00BA47B4">
              <w:rPr>
                <w:noProof/>
                <w:sz w:val="12"/>
                <w:szCs w:val="12"/>
                <w:lang w:val="fr-BE"/>
              </w:rPr>
              <w:t>CR03</w:t>
            </w:r>
          </w:p>
        </w:tc>
        <w:tc>
          <w:tcPr>
            <w:tcW w:w="0" w:type="auto"/>
            <w:shd w:val="clear" w:color="auto" w:fill="auto"/>
          </w:tcPr>
          <w:p w14:paraId="3D157FB7" w14:textId="77777777" w:rsidR="008C5CFA" w:rsidRPr="00BA47B4" w:rsidRDefault="00E82A60" w:rsidP="00300A01">
            <w:pPr>
              <w:spacing w:before="0" w:after="0"/>
              <w:rPr>
                <w:sz w:val="12"/>
                <w:szCs w:val="12"/>
                <w:lang w:val="fr-BE"/>
              </w:rPr>
            </w:pPr>
            <w:r w:rsidRPr="00BA47B4">
              <w:rPr>
                <w:noProof/>
                <w:sz w:val="12"/>
                <w:szCs w:val="12"/>
                <w:lang w:val="fr-BE"/>
              </w:rPr>
              <w:t>uczestnicy uzyskujący kwalifikacje po opuszczeniu programu</w:t>
            </w:r>
          </w:p>
        </w:tc>
        <w:tc>
          <w:tcPr>
            <w:tcW w:w="0" w:type="auto"/>
            <w:shd w:val="clear" w:color="auto" w:fill="auto"/>
          </w:tcPr>
          <w:p w14:paraId="7CD16558" w14:textId="77777777" w:rsidR="008C5CFA" w:rsidRPr="00BA47B4" w:rsidRDefault="00E82A60" w:rsidP="00300A01">
            <w:pPr>
              <w:spacing w:before="0" w:after="0"/>
              <w:rPr>
                <w:sz w:val="12"/>
                <w:szCs w:val="12"/>
                <w:lang w:val="fr-BE"/>
              </w:rPr>
            </w:pPr>
            <w:r w:rsidRPr="00BA47B4">
              <w:rPr>
                <w:noProof/>
                <w:sz w:val="12"/>
                <w:szCs w:val="12"/>
                <w:lang w:val="fr-BE"/>
              </w:rPr>
              <w:t>Słabiej rozwinięte</w:t>
            </w:r>
          </w:p>
        </w:tc>
        <w:tc>
          <w:tcPr>
            <w:tcW w:w="0" w:type="auto"/>
          </w:tcPr>
          <w:p w14:paraId="0829E752" w14:textId="77777777" w:rsidR="008C5CFA" w:rsidRPr="00BA47B4" w:rsidRDefault="00E82A60" w:rsidP="00300A01">
            <w:pPr>
              <w:spacing w:before="0" w:after="0"/>
              <w:jc w:val="right"/>
              <w:rPr>
                <w:sz w:val="12"/>
                <w:szCs w:val="12"/>
                <w:lang w:val="fr-BE"/>
              </w:rPr>
            </w:pPr>
            <w:r w:rsidRPr="00BA47B4">
              <w:rPr>
                <w:noProof/>
                <w:sz w:val="12"/>
                <w:szCs w:val="12"/>
                <w:lang w:val="fr-BE"/>
              </w:rPr>
              <w:t>112,00</w:t>
            </w:r>
          </w:p>
        </w:tc>
        <w:tc>
          <w:tcPr>
            <w:tcW w:w="0" w:type="auto"/>
          </w:tcPr>
          <w:p w14:paraId="4A9BDC20" w14:textId="77777777" w:rsidR="008C5CFA" w:rsidRPr="00BA47B4" w:rsidRDefault="00E82A60" w:rsidP="00300A01">
            <w:pPr>
              <w:spacing w:before="0" w:after="0"/>
              <w:jc w:val="right"/>
              <w:rPr>
                <w:sz w:val="12"/>
                <w:szCs w:val="12"/>
                <w:lang w:val="fr-BE"/>
              </w:rPr>
            </w:pPr>
            <w:r w:rsidRPr="00BA47B4">
              <w:rPr>
                <w:noProof/>
                <w:sz w:val="12"/>
                <w:szCs w:val="12"/>
                <w:lang w:val="fr-BE"/>
              </w:rPr>
              <w:t>130,00</w:t>
            </w:r>
          </w:p>
        </w:tc>
        <w:tc>
          <w:tcPr>
            <w:tcW w:w="0" w:type="auto"/>
          </w:tcPr>
          <w:p w14:paraId="58589F53" w14:textId="77777777" w:rsidR="008C5CFA" w:rsidRPr="00BA47B4" w:rsidRDefault="00E82A60" w:rsidP="00300A01">
            <w:pPr>
              <w:spacing w:before="0" w:after="0"/>
              <w:jc w:val="right"/>
              <w:rPr>
                <w:sz w:val="12"/>
                <w:szCs w:val="12"/>
                <w:lang w:val="fr-BE"/>
              </w:rPr>
            </w:pPr>
            <w:r w:rsidRPr="00BA47B4">
              <w:rPr>
                <w:noProof/>
                <w:sz w:val="12"/>
                <w:szCs w:val="12"/>
                <w:lang w:val="fr-BE"/>
              </w:rPr>
              <w:t>144,00</w:t>
            </w:r>
          </w:p>
        </w:tc>
        <w:tc>
          <w:tcPr>
            <w:tcW w:w="0" w:type="auto"/>
          </w:tcPr>
          <w:p w14:paraId="5AE51BFA" w14:textId="77777777" w:rsidR="008C5CFA" w:rsidRPr="00BA47B4" w:rsidRDefault="00E82A60" w:rsidP="00300A01">
            <w:pPr>
              <w:spacing w:before="0" w:after="0"/>
              <w:jc w:val="right"/>
              <w:rPr>
                <w:sz w:val="12"/>
                <w:szCs w:val="12"/>
                <w:lang w:val="fr-BE"/>
              </w:rPr>
            </w:pPr>
            <w:r w:rsidRPr="00BA47B4">
              <w:rPr>
                <w:noProof/>
                <w:sz w:val="12"/>
                <w:szCs w:val="12"/>
                <w:lang w:val="fr-BE"/>
              </w:rPr>
              <w:t>156,00</w:t>
            </w:r>
          </w:p>
        </w:tc>
        <w:tc>
          <w:tcPr>
            <w:tcW w:w="0" w:type="auto"/>
          </w:tcPr>
          <w:p w14:paraId="226F2415" w14:textId="77777777" w:rsidR="008C5CFA" w:rsidRPr="00BA47B4" w:rsidRDefault="00E82A60" w:rsidP="00300A01">
            <w:pPr>
              <w:spacing w:before="0" w:after="0"/>
              <w:jc w:val="right"/>
              <w:rPr>
                <w:sz w:val="12"/>
                <w:szCs w:val="12"/>
                <w:lang w:val="fr-BE"/>
              </w:rPr>
            </w:pPr>
            <w:r w:rsidRPr="00BA47B4">
              <w:rPr>
                <w:noProof/>
                <w:sz w:val="12"/>
                <w:szCs w:val="12"/>
                <w:lang w:val="fr-BE"/>
              </w:rPr>
              <w:t>39,00</w:t>
            </w:r>
          </w:p>
        </w:tc>
        <w:tc>
          <w:tcPr>
            <w:tcW w:w="0" w:type="auto"/>
          </w:tcPr>
          <w:p w14:paraId="1CC80070" w14:textId="77777777" w:rsidR="008C5CFA" w:rsidRPr="00BA47B4" w:rsidRDefault="00E82A60" w:rsidP="00300A01">
            <w:pPr>
              <w:spacing w:before="0" w:after="0"/>
              <w:jc w:val="right"/>
              <w:rPr>
                <w:sz w:val="12"/>
                <w:szCs w:val="12"/>
                <w:lang w:val="fr-BE"/>
              </w:rPr>
            </w:pPr>
            <w:r w:rsidRPr="00BA47B4">
              <w:rPr>
                <w:noProof/>
                <w:sz w:val="12"/>
                <w:szCs w:val="12"/>
                <w:lang w:val="fr-BE"/>
              </w:rPr>
              <w:t>35,00</w:t>
            </w:r>
          </w:p>
        </w:tc>
        <w:tc>
          <w:tcPr>
            <w:tcW w:w="0" w:type="auto"/>
          </w:tcPr>
          <w:p w14:paraId="3FC5951D" w14:textId="77777777" w:rsidR="008C5CFA" w:rsidRPr="00BA47B4" w:rsidRDefault="00E82A60" w:rsidP="00300A01">
            <w:pPr>
              <w:spacing w:before="0" w:after="0"/>
              <w:jc w:val="right"/>
              <w:rPr>
                <w:sz w:val="12"/>
                <w:szCs w:val="12"/>
                <w:lang w:val="fr-BE"/>
              </w:rPr>
            </w:pPr>
            <w:r w:rsidRPr="00BA47B4">
              <w:rPr>
                <w:noProof/>
                <w:sz w:val="12"/>
                <w:szCs w:val="12"/>
                <w:lang w:val="fr-BE"/>
              </w:rPr>
              <w:t>10,00</w:t>
            </w:r>
          </w:p>
        </w:tc>
        <w:tc>
          <w:tcPr>
            <w:tcW w:w="0" w:type="auto"/>
          </w:tcPr>
          <w:p w14:paraId="19F65DDE" w14:textId="77777777" w:rsidR="008C5CFA" w:rsidRPr="00BA47B4" w:rsidRDefault="00E82A60" w:rsidP="00300A01">
            <w:pPr>
              <w:spacing w:before="0" w:after="0"/>
              <w:jc w:val="right"/>
              <w:rPr>
                <w:sz w:val="12"/>
                <w:szCs w:val="12"/>
                <w:lang w:val="fr-BE"/>
              </w:rPr>
            </w:pPr>
            <w:r w:rsidRPr="00BA47B4">
              <w:rPr>
                <w:noProof/>
                <w:sz w:val="12"/>
                <w:szCs w:val="12"/>
                <w:lang w:val="fr-BE"/>
              </w:rPr>
              <w:t>1,00</w:t>
            </w:r>
          </w:p>
        </w:tc>
        <w:tc>
          <w:tcPr>
            <w:tcW w:w="0" w:type="auto"/>
            <w:shd w:val="clear" w:color="auto" w:fill="auto"/>
          </w:tcPr>
          <w:p w14:paraId="1B7BC972"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76EBCBF0"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r>
      <w:tr w:rsidR="006B2EC1" w14:paraId="0F859A5D" w14:textId="77777777" w:rsidTr="0047688D">
        <w:tc>
          <w:tcPr>
            <w:tcW w:w="0" w:type="auto"/>
            <w:shd w:val="clear" w:color="auto" w:fill="auto"/>
          </w:tcPr>
          <w:p w14:paraId="29EFC7BC" w14:textId="77777777" w:rsidR="008C5CFA" w:rsidRPr="00BA47B4" w:rsidRDefault="00E82A60" w:rsidP="00300A01">
            <w:pPr>
              <w:spacing w:before="0" w:after="0"/>
              <w:rPr>
                <w:sz w:val="12"/>
                <w:szCs w:val="12"/>
                <w:lang w:val="fr-BE"/>
              </w:rPr>
            </w:pPr>
            <w:r w:rsidRPr="00BA47B4">
              <w:rPr>
                <w:noProof/>
                <w:sz w:val="12"/>
                <w:szCs w:val="12"/>
                <w:lang w:val="fr-BE"/>
              </w:rPr>
              <w:t>CR04</w:t>
            </w:r>
          </w:p>
        </w:tc>
        <w:tc>
          <w:tcPr>
            <w:tcW w:w="0" w:type="auto"/>
            <w:shd w:val="clear" w:color="auto" w:fill="auto"/>
          </w:tcPr>
          <w:p w14:paraId="6ECE3BC7" w14:textId="77777777" w:rsidR="008C5CFA" w:rsidRPr="00BA47B4" w:rsidRDefault="00E82A60" w:rsidP="00300A01">
            <w:pPr>
              <w:spacing w:before="0" w:after="0"/>
              <w:rPr>
                <w:sz w:val="12"/>
                <w:szCs w:val="12"/>
                <w:lang w:val="fr-BE"/>
              </w:rPr>
            </w:pPr>
            <w:r w:rsidRPr="00BA47B4">
              <w:rPr>
                <w:noProof/>
                <w:sz w:val="12"/>
                <w:szCs w:val="12"/>
                <w:lang w:val="fr-BE"/>
              </w:rPr>
              <w:t>uczestnicy pracujący, łącznie z prowadzącymi działalność na własny rachunek, po opuszczeniu programu</w:t>
            </w:r>
          </w:p>
        </w:tc>
        <w:tc>
          <w:tcPr>
            <w:tcW w:w="0" w:type="auto"/>
            <w:shd w:val="clear" w:color="auto" w:fill="auto"/>
          </w:tcPr>
          <w:p w14:paraId="78D8423E" w14:textId="77777777" w:rsidR="008C5CFA" w:rsidRPr="00BA47B4" w:rsidRDefault="00E82A60" w:rsidP="00300A01">
            <w:pPr>
              <w:spacing w:before="0" w:after="0"/>
              <w:rPr>
                <w:sz w:val="12"/>
                <w:szCs w:val="12"/>
                <w:lang w:val="fr-BE"/>
              </w:rPr>
            </w:pPr>
            <w:r w:rsidRPr="00BA47B4">
              <w:rPr>
                <w:noProof/>
                <w:sz w:val="12"/>
                <w:szCs w:val="12"/>
                <w:lang w:val="fr-BE"/>
              </w:rPr>
              <w:t>Słabiej rozwinięte</w:t>
            </w:r>
          </w:p>
        </w:tc>
        <w:tc>
          <w:tcPr>
            <w:tcW w:w="0" w:type="auto"/>
          </w:tcPr>
          <w:p w14:paraId="1B723598" w14:textId="77777777" w:rsidR="008C5CFA" w:rsidRPr="00BA47B4" w:rsidRDefault="00E82A60" w:rsidP="00300A01">
            <w:pPr>
              <w:spacing w:before="0" w:after="0"/>
              <w:jc w:val="right"/>
              <w:rPr>
                <w:sz w:val="12"/>
                <w:szCs w:val="12"/>
                <w:lang w:val="fr-BE"/>
              </w:rPr>
            </w:pPr>
            <w:r w:rsidRPr="00BA47B4">
              <w:rPr>
                <w:noProof/>
                <w:sz w:val="12"/>
                <w:szCs w:val="12"/>
                <w:lang w:val="fr-BE"/>
              </w:rPr>
              <w:t>1 304,00</w:t>
            </w:r>
          </w:p>
        </w:tc>
        <w:tc>
          <w:tcPr>
            <w:tcW w:w="0" w:type="auto"/>
          </w:tcPr>
          <w:p w14:paraId="077EBF72" w14:textId="77777777" w:rsidR="008C5CFA" w:rsidRPr="00BA47B4" w:rsidRDefault="00E82A60" w:rsidP="00300A01">
            <w:pPr>
              <w:spacing w:before="0" w:after="0"/>
              <w:jc w:val="right"/>
              <w:rPr>
                <w:sz w:val="12"/>
                <w:szCs w:val="12"/>
                <w:lang w:val="fr-BE"/>
              </w:rPr>
            </w:pPr>
            <w:r w:rsidRPr="00BA47B4">
              <w:rPr>
                <w:noProof/>
                <w:sz w:val="12"/>
                <w:szCs w:val="12"/>
                <w:lang w:val="fr-BE"/>
              </w:rPr>
              <w:t>1 880,00</w:t>
            </w:r>
          </w:p>
        </w:tc>
        <w:tc>
          <w:tcPr>
            <w:tcW w:w="0" w:type="auto"/>
          </w:tcPr>
          <w:p w14:paraId="248326DF" w14:textId="77777777" w:rsidR="008C5CFA" w:rsidRPr="00BA47B4" w:rsidRDefault="00E82A60" w:rsidP="00300A01">
            <w:pPr>
              <w:spacing w:before="0" w:after="0"/>
              <w:jc w:val="right"/>
              <w:rPr>
                <w:sz w:val="12"/>
                <w:szCs w:val="12"/>
                <w:lang w:val="fr-BE"/>
              </w:rPr>
            </w:pPr>
            <w:r w:rsidRPr="00BA47B4">
              <w:rPr>
                <w:noProof/>
                <w:sz w:val="12"/>
                <w:szCs w:val="12"/>
                <w:lang w:val="fr-BE"/>
              </w:rPr>
              <w:t>1 362,00</w:t>
            </w:r>
          </w:p>
        </w:tc>
        <w:tc>
          <w:tcPr>
            <w:tcW w:w="0" w:type="auto"/>
          </w:tcPr>
          <w:p w14:paraId="5677042A" w14:textId="77777777" w:rsidR="008C5CFA" w:rsidRPr="00BA47B4" w:rsidRDefault="00E82A60" w:rsidP="00300A01">
            <w:pPr>
              <w:spacing w:before="0" w:after="0"/>
              <w:jc w:val="right"/>
              <w:rPr>
                <w:sz w:val="12"/>
                <w:szCs w:val="12"/>
                <w:lang w:val="fr-BE"/>
              </w:rPr>
            </w:pPr>
            <w:r w:rsidRPr="00BA47B4">
              <w:rPr>
                <w:noProof/>
                <w:sz w:val="12"/>
                <w:szCs w:val="12"/>
                <w:lang w:val="fr-BE"/>
              </w:rPr>
              <w:t>1 789,00</w:t>
            </w:r>
          </w:p>
        </w:tc>
        <w:tc>
          <w:tcPr>
            <w:tcW w:w="0" w:type="auto"/>
          </w:tcPr>
          <w:p w14:paraId="2EE7A037" w14:textId="77777777" w:rsidR="008C5CFA" w:rsidRPr="00BA47B4" w:rsidRDefault="00E82A60" w:rsidP="00300A01">
            <w:pPr>
              <w:spacing w:before="0" w:after="0"/>
              <w:jc w:val="right"/>
              <w:rPr>
                <w:sz w:val="12"/>
                <w:szCs w:val="12"/>
                <w:lang w:val="fr-BE"/>
              </w:rPr>
            </w:pPr>
            <w:r w:rsidRPr="00BA47B4">
              <w:rPr>
                <w:noProof/>
                <w:sz w:val="12"/>
                <w:szCs w:val="12"/>
                <w:lang w:val="fr-BE"/>
              </w:rPr>
              <w:t>1 066,00</w:t>
            </w:r>
          </w:p>
        </w:tc>
        <w:tc>
          <w:tcPr>
            <w:tcW w:w="0" w:type="auto"/>
          </w:tcPr>
          <w:p w14:paraId="06FA3979" w14:textId="77777777" w:rsidR="008C5CFA" w:rsidRPr="00BA47B4" w:rsidRDefault="00E82A60" w:rsidP="00300A01">
            <w:pPr>
              <w:spacing w:before="0" w:after="0"/>
              <w:jc w:val="right"/>
              <w:rPr>
                <w:sz w:val="12"/>
                <w:szCs w:val="12"/>
                <w:lang w:val="fr-BE"/>
              </w:rPr>
            </w:pPr>
            <w:r w:rsidRPr="00BA47B4">
              <w:rPr>
                <w:noProof/>
                <w:sz w:val="12"/>
                <w:szCs w:val="12"/>
                <w:lang w:val="fr-BE"/>
              </w:rPr>
              <w:t>1 629,00</w:t>
            </w:r>
          </w:p>
        </w:tc>
        <w:tc>
          <w:tcPr>
            <w:tcW w:w="0" w:type="auto"/>
          </w:tcPr>
          <w:p w14:paraId="487B821E" w14:textId="77777777" w:rsidR="008C5CFA" w:rsidRPr="00BA47B4" w:rsidRDefault="00E82A60" w:rsidP="00300A01">
            <w:pPr>
              <w:spacing w:before="0" w:after="0"/>
              <w:jc w:val="right"/>
              <w:rPr>
                <w:sz w:val="12"/>
                <w:szCs w:val="12"/>
                <w:lang w:val="fr-BE"/>
              </w:rPr>
            </w:pPr>
            <w:r w:rsidRPr="00BA47B4">
              <w:rPr>
                <w:noProof/>
                <w:sz w:val="12"/>
                <w:szCs w:val="12"/>
                <w:lang w:val="fr-BE"/>
              </w:rPr>
              <w:t>469,00</w:t>
            </w:r>
          </w:p>
        </w:tc>
        <w:tc>
          <w:tcPr>
            <w:tcW w:w="0" w:type="auto"/>
          </w:tcPr>
          <w:p w14:paraId="453B845A" w14:textId="77777777" w:rsidR="008C5CFA" w:rsidRPr="00BA47B4" w:rsidRDefault="00E82A60" w:rsidP="00300A01">
            <w:pPr>
              <w:spacing w:before="0" w:after="0"/>
              <w:jc w:val="right"/>
              <w:rPr>
                <w:sz w:val="12"/>
                <w:szCs w:val="12"/>
                <w:lang w:val="fr-BE"/>
              </w:rPr>
            </w:pPr>
            <w:r w:rsidRPr="00BA47B4">
              <w:rPr>
                <w:noProof/>
                <w:sz w:val="12"/>
                <w:szCs w:val="12"/>
                <w:lang w:val="fr-BE"/>
              </w:rPr>
              <w:t>581,00</w:t>
            </w:r>
          </w:p>
        </w:tc>
        <w:tc>
          <w:tcPr>
            <w:tcW w:w="0" w:type="auto"/>
            <w:shd w:val="clear" w:color="auto" w:fill="auto"/>
          </w:tcPr>
          <w:p w14:paraId="1751472A"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2423E143"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r>
      <w:tr w:rsidR="006B2EC1" w14:paraId="01095AB7" w14:textId="77777777" w:rsidTr="0047688D">
        <w:tc>
          <w:tcPr>
            <w:tcW w:w="0" w:type="auto"/>
            <w:shd w:val="clear" w:color="auto" w:fill="auto"/>
          </w:tcPr>
          <w:p w14:paraId="137F9F28" w14:textId="77777777" w:rsidR="008C5CFA" w:rsidRPr="00BA47B4" w:rsidRDefault="00E82A60" w:rsidP="00300A01">
            <w:pPr>
              <w:spacing w:before="0" w:after="0"/>
              <w:rPr>
                <w:sz w:val="12"/>
                <w:szCs w:val="12"/>
                <w:lang w:val="fr-BE"/>
              </w:rPr>
            </w:pPr>
            <w:r w:rsidRPr="00BA47B4">
              <w:rPr>
                <w:noProof/>
                <w:sz w:val="12"/>
                <w:szCs w:val="12"/>
                <w:lang w:val="fr-BE"/>
              </w:rPr>
              <w:t>CR04</w:t>
            </w:r>
          </w:p>
        </w:tc>
        <w:tc>
          <w:tcPr>
            <w:tcW w:w="0" w:type="auto"/>
            <w:shd w:val="clear" w:color="auto" w:fill="auto"/>
          </w:tcPr>
          <w:p w14:paraId="22096BF1" w14:textId="77777777" w:rsidR="008C5CFA" w:rsidRPr="00BA47B4" w:rsidRDefault="00E82A60" w:rsidP="00300A01">
            <w:pPr>
              <w:spacing w:before="0" w:after="0"/>
              <w:rPr>
                <w:sz w:val="12"/>
                <w:szCs w:val="12"/>
                <w:lang w:val="fr-BE"/>
              </w:rPr>
            </w:pPr>
            <w:r w:rsidRPr="00BA47B4">
              <w:rPr>
                <w:noProof/>
                <w:sz w:val="12"/>
                <w:szCs w:val="12"/>
                <w:lang w:val="fr-BE"/>
              </w:rPr>
              <w:t>uczestnicy pracujący, łącznie z prowadzącymi działalność na własny rachunek, po opuszczeniu programu</w:t>
            </w:r>
          </w:p>
        </w:tc>
        <w:tc>
          <w:tcPr>
            <w:tcW w:w="0" w:type="auto"/>
            <w:shd w:val="clear" w:color="auto" w:fill="auto"/>
          </w:tcPr>
          <w:p w14:paraId="5E7ECF0C" w14:textId="77777777" w:rsidR="008C5CFA" w:rsidRPr="00BA47B4" w:rsidRDefault="00E82A60" w:rsidP="00300A01">
            <w:pPr>
              <w:spacing w:before="0" w:after="0"/>
              <w:rPr>
                <w:sz w:val="12"/>
                <w:szCs w:val="12"/>
                <w:lang w:val="fr-BE"/>
              </w:rPr>
            </w:pPr>
            <w:r w:rsidRPr="00BA47B4">
              <w:rPr>
                <w:noProof/>
                <w:sz w:val="12"/>
                <w:szCs w:val="12"/>
                <w:lang w:val="fr-BE"/>
              </w:rPr>
              <w:t>Słabiej rozwinięte</w:t>
            </w:r>
          </w:p>
        </w:tc>
        <w:tc>
          <w:tcPr>
            <w:tcW w:w="0" w:type="auto"/>
          </w:tcPr>
          <w:p w14:paraId="41D9D8AD" w14:textId="77777777" w:rsidR="008C5CFA" w:rsidRPr="00BA47B4" w:rsidRDefault="00E82A60" w:rsidP="00300A01">
            <w:pPr>
              <w:spacing w:before="0" w:after="0"/>
              <w:jc w:val="right"/>
              <w:rPr>
                <w:sz w:val="12"/>
                <w:szCs w:val="12"/>
                <w:lang w:val="fr-BE"/>
              </w:rPr>
            </w:pPr>
            <w:r w:rsidRPr="00BA47B4">
              <w:rPr>
                <w:noProof/>
                <w:sz w:val="12"/>
                <w:szCs w:val="12"/>
                <w:lang w:val="fr-BE"/>
              </w:rPr>
              <w:t>1 235,00</w:t>
            </w:r>
          </w:p>
        </w:tc>
        <w:tc>
          <w:tcPr>
            <w:tcW w:w="0" w:type="auto"/>
          </w:tcPr>
          <w:p w14:paraId="5D5A2C1A" w14:textId="77777777" w:rsidR="008C5CFA" w:rsidRPr="00BA47B4" w:rsidRDefault="00E82A60" w:rsidP="00300A01">
            <w:pPr>
              <w:spacing w:before="0" w:after="0"/>
              <w:jc w:val="right"/>
              <w:rPr>
                <w:sz w:val="12"/>
                <w:szCs w:val="12"/>
                <w:lang w:val="fr-BE"/>
              </w:rPr>
            </w:pPr>
            <w:r w:rsidRPr="00BA47B4">
              <w:rPr>
                <w:noProof/>
                <w:sz w:val="12"/>
                <w:szCs w:val="12"/>
                <w:lang w:val="fr-BE"/>
              </w:rPr>
              <w:t>1 791,00</w:t>
            </w:r>
          </w:p>
        </w:tc>
        <w:tc>
          <w:tcPr>
            <w:tcW w:w="0" w:type="auto"/>
          </w:tcPr>
          <w:p w14:paraId="675AD7AE" w14:textId="77777777" w:rsidR="008C5CFA" w:rsidRPr="00BA47B4" w:rsidRDefault="00E82A60" w:rsidP="00300A01">
            <w:pPr>
              <w:spacing w:before="0" w:after="0"/>
              <w:jc w:val="right"/>
              <w:rPr>
                <w:sz w:val="12"/>
                <w:szCs w:val="12"/>
                <w:lang w:val="fr-BE"/>
              </w:rPr>
            </w:pPr>
            <w:r w:rsidRPr="00BA47B4">
              <w:rPr>
                <w:noProof/>
                <w:sz w:val="12"/>
                <w:szCs w:val="12"/>
                <w:lang w:val="fr-BE"/>
              </w:rPr>
              <w:t>1 289,00</w:t>
            </w:r>
          </w:p>
        </w:tc>
        <w:tc>
          <w:tcPr>
            <w:tcW w:w="0" w:type="auto"/>
          </w:tcPr>
          <w:p w14:paraId="2311202E" w14:textId="77777777" w:rsidR="008C5CFA" w:rsidRPr="00BA47B4" w:rsidRDefault="00E82A60" w:rsidP="00300A01">
            <w:pPr>
              <w:spacing w:before="0" w:after="0"/>
              <w:jc w:val="right"/>
              <w:rPr>
                <w:sz w:val="12"/>
                <w:szCs w:val="12"/>
                <w:lang w:val="fr-BE"/>
              </w:rPr>
            </w:pPr>
            <w:r w:rsidRPr="00BA47B4">
              <w:rPr>
                <w:noProof/>
                <w:sz w:val="12"/>
                <w:szCs w:val="12"/>
                <w:lang w:val="fr-BE"/>
              </w:rPr>
              <w:t>1 705,00</w:t>
            </w:r>
          </w:p>
        </w:tc>
        <w:tc>
          <w:tcPr>
            <w:tcW w:w="0" w:type="auto"/>
          </w:tcPr>
          <w:p w14:paraId="630C42C0" w14:textId="77777777" w:rsidR="008C5CFA" w:rsidRPr="00BA47B4" w:rsidRDefault="00E82A60" w:rsidP="00300A01">
            <w:pPr>
              <w:spacing w:before="0" w:after="0"/>
              <w:jc w:val="right"/>
              <w:rPr>
                <w:sz w:val="12"/>
                <w:szCs w:val="12"/>
                <w:lang w:val="fr-BE"/>
              </w:rPr>
            </w:pPr>
            <w:r w:rsidRPr="00BA47B4">
              <w:rPr>
                <w:noProof/>
                <w:sz w:val="12"/>
                <w:szCs w:val="12"/>
                <w:lang w:val="fr-BE"/>
              </w:rPr>
              <w:t>1 043,00</w:t>
            </w:r>
          </w:p>
        </w:tc>
        <w:tc>
          <w:tcPr>
            <w:tcW w:w="0" w:type="auto"/>
          </w:tcPr>
          <w:p w14:paraId="6869A8DF" w14:textId="77777777" w:rsidR="008C5CFA" w:rsidRPr="00BA47B4" w:rsidRDefault="00E82A60" w:rsidP="00300A01">
            <w:pPr>
              <w:spacing w:before="0" w:after="0"/>
              <w:jc w:val="right"/>
              <w:rPr>
                <w:sz w:val="12"/>
                <w:szCs w:val="12"/>
                <w:lang w:val="fr-BE"/>
              </w:rPr>
            </w:pPr>
            <w:r w:rsidRPr="00BA47B4">
              <w:rPr>
                <w:noProof/>
                <w:sz w:val="12"/>
                <w:szCs w:val="12"/>
                <w:lang w:val="fr-BE"/>
              </w:rPr>
              <w:t>1 619,00</w:t>
            </w:r>
          </w:p>
        </w:tc>
        <w:tc>
          <w:tcPr>
            <w:tcW w:w="0" w:type="auto"/>
          </w:tcPr>
          <w:p w14:paraId="38806D25" w14:textId="77777777" w:rsidR="008C5CFA" w:rsidRPr="00BA47B4" w:rsidRDefault="00E82A60" w:rsidP="00300A01">
            <w:pPr>
              <w:spacing w:before="0" w:after="0"/>
              <w:jc w:val="right"/>
              <w:rPr>
                <w:sz w:val="12"/>
                <w:szCs w:val="12"/>
                <w:lang w:val="fr-BE"/>
              </w:rPr>
            </w:pPr>
            <w:r w:rsidRPr="00BA47B4">
              <w:rPr>
                <w:noProof/>
                <w:sz w:val="12"/>
                <w:szCs w:val="12"/>
                <w:lang w:val="fr-BE"/>
              </w:rPr>
              <w:t>469,00</w:t>
            </w:r>
          </w:p>
        </w:tc>
        <w:tc>
          <w:tcPr>
            <w:tcW w:w="0" w:type="auto"/>
          </w:tcPr>
          <w:p w14:paraId="31E80121" w14:textId="77777777" w:rsidR="008C5CFA" w:rsidRPr="00BA47B4" w:rsidRDefault="00E82A60" w:rsidP="00300A01">
            <w:pPr>
              <w:spacing w:before="0" w:after="0"/>
              <w:jc w:val="right"/>
              <w:rPr>
                <w:sz w:val="12"/>
                <w:szCs w:val="12"/>
                <w:lang w:val="fr-BE"/>
              </w:rPr>
            </w:pPr>
            <w:r w:rsidRPr="00BA47B4">
              <w:rPr>
                <w:noProof/>
                <w:sz w:val="12"/>
                <w:szCs w:val="12"/>
                <w:lang w:val="fr-BE"/>
              </w:rPr>
              <w:t>581,00</w:t>
            </w:r>
          </w:p>
        </w:tc>
        <w:tc>
          <w:tcPr>
            <w:tcW w:w="0" w:type="auto"/>
            <w:shd w:val="clear" w:color="auto" w:fill="auto"/>
          </w:tcPr>
          <w:p w14:paraId="2C801CEA"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49E21340"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r>
      <w:tr w:rsidR="006B2EC1" w14:paraId="54A124D7" w14:textId="77777777" w:rsidTr="0047688D">
        <w:tc>
          <w:tcPr>
            <w:tcW w:w="0" w:type="auto"/>
            <w:shd w:val="clear" w:color="auto" w:fill="auto"/>
          </w:tcPr>
          <w:p w14:paraId="5EE9D780" w14:textId="77777777" w:rsidR="008C5CFA" w:rsidRPr="00BA47B4" w:rsidRDefault="00E82A60" w:rsidP="00300A01">
            <w:pPr>
              <w:spacing w:before="0" w:after="0"/>
              <w:rPr>
                <w:sz w:val="12"/>
                <w:szCs w:val="12"/>
                <w:lang w:val="fr-BE"/>
              </w:rPr>
            </w:pPr>
            <w:r w:rsidRPr="00BA47B4">
              <w:rPr>
                <w:noProof/>
                <w:sz w:val="12"/>
                <w:szCs w:val="12"/>
                <w:lang w:val="fr-BE"/>
              </w:rPr>
              <w:t>CR04</w:t>
            </w:r>
          </w:p>
        </w:tc>
        <w:tc>
          <w:tcPr>
            <w:tcW w:w="0" w:type="auto"/>
            <w:shd w:val="clear" w:color="auto" w:fill="auto"/>
          </w:tcPr>
          <w:p w14:paraId="4BFD2C1B" w14:textId="77777777" w:rsidR="008C5CFA" w:rsidRPr="00BA47B4" w:rsidRDefault="00E82A60" w:rsidP="00300A01">
            <w:pPr>
              <w:spacing w:before="0" w:after="0"/>
              <w:rPr>
                <w:sz w:val="12"/>
                <w:szCs w:val="12"/>
                <w:lang w:val="fr-BE"/>
              </w:rPr>
            </w:pPr>
            <w:r w:rsidRPr="00BA47B4">
              <w:rPr>
                <w:noProof/>
                <w:sz w:val="12"/>
                <w:szCs w:val="12"/>
                <w:lang w:val="fr-BE"/>
              </w:rPr>
              <w:t>uczestnicy pracujący, łącznie z prowadzącymi działalność na własny rachunek, po opuszczeniu programu</w:t>
            </w:r>
          </w:p>
        </w:tc>
        <w:tc>
          <w:tcPr>
            <w:tcW w:w="0" w:type="auto"/>
            <w:shd w:val="clear" w:color="auto" w:fill="auto"/>
          </w:tcPr>
          <w:p w14:paraId="4A91EE9C" w14:textId="77777777" w:rsidR="008C5CFA" w:rsidRPr="00BA47B4" w:rsidRDefault="00E82A60" w:rsidP="00300A01">
            <w:pPr>
              <w:spacing w:before="0" w:after="0"/>
              <w:rPr>
                <w:sz w:val="12"/>
                <w:szCs w:val="12"/>
                <w:lang w:val="fr-BE"/>
              </w:rPr>
            </w:pPr>
            <w:r w:rsidRPr="00BA47B4">
              <w:rPr>
                <w:noProof/>
                <w:sz w:val="12"/>
                <w:szCs w:val="12"/>
                <w:lang w:val="fr-BE"/>
              </w:rPr>
              <w:t>Słabiej rozwinięte</w:t>
            </w:r>
          </w:p>
        </w:tc>
        <w:tc>
          <w:tcPr>
            <w:tcW w:w="0" w:type="auto"/>
          </w:tcPr>
          <w:p w14:paraId="5B7BB89A" w14:textId="77777777" w:rsidR="008C5CFA" w:rsidRPr="00BA47B4" w:rsidRDefault="00E82A60" w:rsidP="00300A01">
            <w:pPr>
              <w:spacing w:before="0" w:after="0"/>
              <w:jc w:val="right"/>
              <w:rPr>
                <w:sz w:val="12"/>
                <w:szCs w:val="12"/>
                <w:lang w:val="fr-BE"/>
              </w:rPr>
            </w:pPr>
            <w:r w:rsidRPr="00BA47B4">
              <w:rPr>
                <w:noProof/>
                <w:sz w:val="12"/>
                <w:szCs w:val="12"/>
                <w:lang w:val="fr-BE"/>
              </w:rPr>
              <w:t>492,00</w:t>
            </w:r>
          </w:p>
        </w:tc>
        <w:tc>
          <w:tcPr>
            <w:tcW w:w="0" w:type="auto"/>
          </w:tcPr>
          <w:p w14:paraId="3465D54C" w14:textId="77777777" w:rsidR="008C5CFA" w:rsidRPr="00BA47B4" w:rsidRDefault="00E82A60" w:rsidP="00300A01">
            <w:pPr>
              <w:spacing w:before="0" w:after="0"/>
              <w:jc w:val="right"/>
              <w:rPr>
                <w:sz w:val="12"/>
                <w:szCs w:val="12"/>
                <w:lang w:val="fr-BE"/>
              </w:rPr>
            </w:pPr>
            <w:r w:rsidRPr="00BA47B4">
              <w:rPr>
                <w:noProof/>
                <w:sz w:val="12"/>
                <w:szCs w:val="12"/>
                <w:lang w:val="fr-BE"/>
              </w:rPr>
              <w:t>684,00</w:t>
            </w:r>
          </w:p>
        </w:tc>
        <w:tc>
          <w:tcPr>
            <w:tcW w:w="0" w:type="auto"/>
          </w:tcPr>
          <w:p w14:paraId="41B486EC" w14:textId="77777777" w:rsidR="008C5CFA" w:rsidRPr="00BA47B4" w:rsidRDefault="00E82A60" w:rsidP="00300A01">
            <w:pPr>
              <w:spacing w:before="0" w:after="0"/>
              <w:jc w:val="right"/>
              <w:rPr>
                <w:sz w:val="12"/>
                <w:szCs w:val="12"/>
                <w:lang w:val="fr-BE"/>
              </w:rPr>
            </w:pPr>
            <w:r w:rsidRPr="00BA47B4">
              <w:rPr>
                <w:noProof/>
                <w:sz w:val="12"/>
                <w:szCs w:val="12"/>
                <w:lang w:val="fr-BE"/>
              </w:rPr>
              <w:t>598,00</w:t>
            </w:r>
          </w:p>
        </w:tc>
        <w:tc>
          <w:tcPr>
            <w:tcW w:w="0" w:type="auto"/>
          </w:tcPr>
          <w:p w14:paraId="45A8DC0F" w14:textId="77777777" w:rsidR="008C5CFA" w:rsidRPr="00BA47B4" w:rsidRDefault="00E82A60" w:rsidP="00300A01">
            <w:pPr>
              <w:spacing w:before="0" w:after="0"/>
              <w:jc w:val="right"/>
              <w:rPr>
                <w:sz w:val="12"/>
                <w:szCs w:val="12"/>
                <w:lang w:val="fr-BE"/>
              </w:rPr>
            </w:pPr>
            <w:r w:rsidRPr="00BA47B4">
              <w:rPr>
                <w:noProof/>
                <w:sz w:val="12"/>
                <w:szCs w:val="12"/>
                <w:lang w:val="fr-BE"/>
              </w:rPr>
              <w:t>758,00</w:t>
            </w:r>
          </w:p>
        </w:tc>
        <w:tc>
          <w:tcPr>
            <w:tcW w:w="0" w:type="auto"/>
          </w:tcPr>
          <w:p w14:paraId="7A0EFA7F" w14:textId="77777777" w:rsidR="008C5CFA" w:rsidRPr="00BA47B4" w:rsidRDefault="00E82A60" w:rsidP="00300A01">
            <w:pPr>
              <w:spacing w:before="0" w:after="0"/>
              <w:jc w:val="right"/>
              <w:rPr>
                <w:sz w:val="12"/>
                <w:szCs w:val="12"/>
                <w:lang w:val="fr-BE"/>
              </w:rPr>
            </w:pPr>
            <w:r w:rsidRPr="00BA47B4">
              <w:rPr>
                <w:noProof/>
                <w:sz w:val="12"/>
                <w:szCs w:val="12"/>
                <w:lang w:val="fr-BE"/>
              </w:rPr>
              <w:t>473,00</w:t>
            </w:r>
          </w:p>
        </w:tc>
        <w:tc>
          <w:tcPr>
            <w:tcW w:w="0" w:type="auto"/>
          </w:tcPr>
          <w:p w14:paraId="2BACCC2E" w14:textId="77777777" w:rsidR="008C5CFA" w:rsidRPr="00BA47B4" w:rsidRDefault="00E82A60" w:rsidP="00300A01">
            <w:pPr>
              <w:spacing w:before="0" w:after="0"/>
              <w:jc w:val="right"/>
              <w:rPr>
                <w:sz w:val="12"/>
                <w:szCs w:val="12"/>
                <w:lang w:val="fr-BE"/>
              </w:rPr>
            </w:pPr>
            <w:r w:rsidRPr="00BA47B4">
              <w:rPr>
                <w:noProof/>
                <w:sz w:val="12"/>
                <w:szCs w:val="12"/>
                <w:lang w:val="fr-BE"/>
              </w:rPr>
              <w:t>754,00</w:t>
            </w:r>
          </w:p>
        </w:tc>
        <w:tc>
          <w:tcPr>
            <w:tcW w:w="0" w:type="auto"/>
          </w:tcPr>
          <w:p w14:paraId="1F21C5DF" w14:textId="77777777" w:rsidR="008C5CFA" w:rsidRPr="00BA47B4" w:rsidRDefault="00E82A60" w:rsidP="00300A01">
            <w:pPr>
              <w:spacing w:before="0" w:after="0"/>
              <w:jc w:val="right"/>
              <w:rPr>
                <w:sz w:val="12"/>
                <w:szCs w:val="12"/>
                <w:lang w:val="fr-BE"/>
              </w:rPr>
            </w:pPr>
            <w:r w:rsidRPr="00BA47B4">
              <w:rPr>
                <w:noProof/>
                <w:sz w:val="12"/>
                <w:szCs w:val="12"/>
                <w:lang w:val="fr-BE"/>
              </w:rPr>
              <w:t>239,00</w:t>
            </w:r>
          </w:p>
        </w:tc>
        <w:tc>
          <w:tcPr>
            <w:tcW w:w="0" w:type="auto"/>
          </w:tcPr>
          <w:p w14:paraId="6DB0C896" w14:textId="77777777" w:rsidR="008C5CFA" w:rsidRPr="00BA47B4" w:rsidRDefault="00E82A60" w:rsidP="00300A01">
            <w:pPr>
              <w:spacing w:before="0" w:after="0"/>
              <w:jc w:val="right"/>
              <w:rPr>
                <w:sz w:val="12"/>
                <w:szCs w:val="12"/>
                <w:lang w:val="fr-BE"/>
              </w:rPr>
            </w:pPr>
            <w:r w:rsidRPr="00BA47B4">
              <w:rPr>
                <w:noProof/>
                <w:sz w:val="12"/>
                <w:szCs w:val="12"/>
                <w:lang w:val="fr-BE"/>
              </w:rPr>
              <w:t>265,00</w:t>
            </w:r>
          </w:p>
        </w:tc>
        <w:tc>
          <w:tcPr>
            <w:tcW w:w="0" w:type="auto"/>
            <w:shd w:val="clear" w:color="auto" w:fill="auto"/>
          </w:tcPr>
          <w:p w14:paraId="320C14C2"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14853078"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r>
      <w:tr w:rsidR="006B2EC1" w14:paraId="7A964D44" w14:textId="77777777" w:rsidTr="0047688D">
        <w:tc>
          <w:tcPr>
            <w:tcW w:w="0" w:type="auto"/>
            <w:shd w:val="clear" w:color="auto" w:fill="auto"/>
          </w:tcPr>
          <w:p w14:paraId="450F1D41" w14:textId="77777777" w:rsidR="008C5CFA" w:rsidRPr="00BA47B4" w:rsidRDefault="00E82A60" w:rsidP="00300A01">
            <w:pPr>
              <w:spacing w:before="0" w:after="0"/>
              <w:rPr>
                <w:sz w:val="12"/>
                <w:szCs w:val="12"/>
                <w:lang w:val="fr-BE"/>
              </w:rPr>
            </w:pPr>
            <w:r w:rsidRPr="00BA47B4">
              <w:rPr>
                <w:noProof/>
                <w:sz w:val="12"/>
                <w:szCs w:val="12"/>
                <w:lang w:val="fr-BE"/>
              </w:rPr>
              <w:t>CR04</w:t>
            </w:r>
          </w:p>
        </w:tc>
        <w:tc>
          <w:tcPr>
            <w:tcW w:w="0" w:type="auto"/>
            <w:shd w:val="clear" w:color="auto" w:fill="auto"/>
          </w:tcPr>
          <w:p w14:paraId="6FE21596" w14:textId="77777777" w:rsidR="008C5CFA" w:rsidRPr="00BA47B4" w:rsidRDefault="00E82A60" w:rsidP="00300A01">
            <w:pPr>
              <w:spacing w:before="0" w:after="0"/>
              <w:rPr>
                <w:sz w:val="12"/>
                <w:szCs w:val="12"/>
                <w:lang w:val="fr-BE"/>
              </w:rPr>
            </w:pPr>
            <w:r w:rsidRPr="00BA47B4">
              <w:rPr>
                <w:noProof/>
                <w:sz w:val="12"/>
                <w:szCs w:val="12"/>
                <w:lang w:val="fr-BE"/>
              </w:rPr>
              <w:t>uczestnicy pracujący, łącznie z prowadzącymi działalność na własny rachunek, po opuszczeniu programu</w:t>
            </w:r>
          </w:p>
        </w:tc>
        <w:tc>
          <w:tcPr>
            <w:tcW w:w="0" w:type="auto"/>
            <w:shd w:val="clear" w:color="auto" w:fill="auto"/>
          </w:tcPr>
          <w:p w14:paraId="4F630690" w14:textId="77777777" w:rsidR="008C5CFA" w:rsidRPr="00BA47B4" w:rsidRDefault="00E82A60" w:rsidP="00300A01">
            <w:pPr>
              <w:spacing w:before="0" w:after="0"/>
              <w:rPr>
                <w:sz w:val="12"/>
                <w:szCs w:val="12"/>
                <w:lang w:val="fr-BE"/>
              </w:rPr>
            </w:pPr>
            <w:r w:rsidRPr="00BA47B4">
              <w:rPr>
                <w:noProof/>
                <w:sz w:val="12"/>
                <w:szCs w:val="12"/>
                <w:lang w:val="fr-BE"/>
              </w:rPr>
              <w:t>Słabiej rozwinięte</w:t>
            </w:r>
          </w:p>
        </w:tc>
        <w:tc>
          <w:tcPr>
            <w:tcW w:w="0" w:type="auto"/>
          </w:tcPr>
          <w:p w14:paraId="24FFB1E2" w14:textId="77777777" w:rsidR="008C5CFA" w:rsidRPr="00BA47B4" w:rsidRDefault="00E82A60" w:rsidP="00300A01">
            <w:pPr>
              <w:spacing w:before="0" w:after="0"/>
              <w:jc w:val="right"/>
              <w:rPr>
                <w:sz w:val="12"/>
                <w:szCs w:val="12"/>
                <w:lang w:val="fr-BE"/>
              </w:rPr>
            </w:pPr>
            <w:r w:rsidRPr="00BA47B4">
              <w:rPr>
                <w:noProof/>
                <w:sz w:val="12"/>
                <w:szCs w:val="12"/>
                <w:lang w:val="fr-BE"/>
              </w:rPr>
              <w:t>69,00</w:t>
            </w:r>
          </w:p>
        </w:tc>
        <w:tc>
          <w:tcPr>
            <w:tcW w:w="0" w:type="auto"/>
          </w:tcPr>
          <w:p w14:paraId="0057F057" w14:textId="77777777" w:rsidR="008C5CFA" w:rsidRPr="00BA47B4" w:rsidRDefault="00E82A60" w:rsidP="00300A01">
            <w:pPr>
              <w:spacing w:before="0" w:after="0"/>
              <w:jc w:val="right"/>
              <w:rPr>
                <w:sz w:val="12"/>
                <w:szCs w:val="12"/>
                <w:lang w:val="fr-BE"/>
              </w:rPr>
            </w:pPr>
            <w:r w:rsidRPr="00BA47B4">
              <w:rPr>
                <w:noProof/>
                <w:sz w:val="12"/>
                <w:szCs w:val="12"/>
                <w:lang w:val="fr-BE"/>
              </w:rPr>
              <w:t>89,00</w:t>
            </w:r>
          </w:p>
        </w:tc>
        <w:tc>
          <w:tcPr>
            <w:tcW w:w="0" w:type="auto"/>
          </w:tcPr>
          <w:p w14:paraId="48ABE6C9" w14:textId="77777777" w:rsidR="008C5CFA" w:rsidRPr="00BA47B4" w:rsidRDefault="00E82A60" w:rsidP="00300A01">
            <w:pPr>
              <w:spacing w:before="0" w:after="0"/>
              <w:jc w:val="right"/>
              <w:rPr>
                <w:sz w:val="12"/>
                <w:szCs w:val="12"/>
                <w:lang w:val="fr-BE"/>
              </w:rPr>
            </w:pPr>
            <w:r w:rsidRPr="00BA47B4">
              <w:rPr>
                <w:noProof/>
                <w:sz w:val="12"/>
                <w:szCs w:val="12"/>
                <w:lang w:val="fr-BE"/>
              </w:rPr>
              <w:t>73,00</w:t>
            </w:r>
          </w:p>
        </w:tc>
        <w:tc>
          <w:tcPr>
            <w:tcW w:w="0" w:type="auto"/>
          </w:tcPr>
          <w:p w14:paraId="05C19B2B" w14:textId="77777777" w:rsidR="008C5CFA" w:rsidRPr="00BA47B4" w:rsidRDefault="00E82A60" w:rsidP="00300A01">
            <w:pPr>
              <w:spacing w:before="0" w:after="0"/>
              <w:jc w:val="right"/>
              <w:rPr>
                <w:sz w:val="12"/>
                <w:szCs w:val="12"/>
                <w:lang w:val="fr-BE"/>
              </w:rPr>
            </w:pPr>
            <w:r w:rsidRPr="00BA47B4">
              <w:rPr>
                <w:noProof/>
                <w:sz w:val="12"/>
                <w:szCs w:val="12"/>
                <w:lang w:val="fr-BE"/>
              </w:rPr>
              <w:t>84,00</w:t>
            </w:r>
          </w:p>
        </w:tc>
        <w:tc>
          <w:tcPr>
            <w:tcW w:w="0" w:type="auto"/>
          </w:tcPr>
          <w:p w14:paraId="6F6A82EE" w14:textId="77777777" w:rsidR="008C5CFA" w:rsidRPr="00BA47B4" w:rsidRDefault="00E82A60" w:rsidP="00300A01">
            <w:pPr>
              <w:spacing w:before="0" w:after="0"/>
              <w:jc w:val="right"/>
              <w:rPr>
                <w:sz w:val="12"/>
                <w:szCs w:val="12"/>
                <w:lang w:val="fr-BE"/>
              </w:rPr>
            </w:pPr>
            <w:r w:rsidRPr="00BA47B4">
              <w:rPr>
                <w:noProof/>
                <w:sz w:val="12"/>
                <w:szCs w:val="12"/>
                <w:lang w:val="fr-BE"/>
              </w:rPr>
              <w:t>23,00</w:t>
            </w:r>
          </w:p>
        </w:tc>
        <w:tc>
          <w:tcPr>
            <w:tcW w:w="0" w:type="auto"/>
          </w:tcPr>
          <w:p w14:paraId="642DDB25" w14:textId="77777777" w:rsidR="008C5CFA" w:rsidRPr="00BA47B4" w:rsidRDefault="00E82A60" w:rsidP="00300A01">
            <w:pPr>
              <w:spacing w:before="0" w:after="0"/>
              <w:jc w:val="right"/>
              <w:rPr>
                <w:sz w:val="12"/>
                <w:szCs w:val="12"/>
                <w:lang w:val="fr-BE"/>
              </w:rPr>
            </w:pPr>
            <w:r w:rsidRPr="00BA47B4">
              <w:rPr>
                <w:noProof/>
                <w:sz w:val="12"/>
                <w:szCs w:val="12"/>
                <w:lang w:val="fr-BE"/>
              </w:rPr>
              <w:t>10,00</w:t>
            </w:r>
          </w:p>
        </w:tc>
        <w:tc>
          <w:tcPr>
            <w:tcW w:w="0" w:type="auto"/>
          </w:tcPr>
          <w:p w14:paraId="4E3D0FDA"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1796103D"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72F9B92B"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71418B9F"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r>
      <w:tr w:rsidR="006B2EC1" w14:paraId="51770F3D" w14:textId="77777777" w:rsidTr="0047688D">
        <w:tc>
          <w:tcPr>
            <w:tcW w:w="0" w:type="auto"/>
            <w:shd w:val="clear" w:color="auto" w:fill="auto"/>
          </w:tcPr>
          <w:p w14:paraId="731F294E" w14:textId="77777777" w:rsidR="008C5CFA" w:rsidRPr="00BA47B4" w:rsidRDefault="00E82A60" w:rsidP="00300A01">
            <w:pPr>
              <w:spacing w:before="0" w:after="0"/>
              <w:rPr>
                <w:sz w:val="12"/>
                <w:szCs w:val="12"/>
                <w:lang w:val="fr-BE"/>
              </w:rPr>
            </w:pPr>
            <w:r w:rsidRPr="00BA47B4">
              <w:rPr>
                <w:noProof/>
                <w:sz w:val="12"/>
                <w:szCs w:val="12"/>
                <w:lang w:val="fr-BE"/>
              </w:rPr>
              <w:t>CR05</w:t>
            </w:r>
          </w:p>
        </w:tc>
        <w:tc>
          <w:tcPr>
            <w:tcW w:w="0" w:type="auto"/>
            <w:shd w:val="clear" w:color="auto" w:fill="auto"/>
          </w:tcPr>
          <w:p w14:paraId="0D807C11" w14:textId="77777777" w:rsidR="008C5CFA" w:rsidRPr="00BA47B4" w:rsidRDefault="00E82A60" w:rsidP="00300A01">
            <w:pPr>
              <w:spacing w:before="0" w:after="0"/>
              <w:rPr>
                <w:sz w:val="12"/>
                <w:szCs w:val="12"/>
                <w:lang w:val="fr-BE"/>
              </w:rPr>
            </w:pPr>
            <w:r w:rsidRPr="00BA47B4">
              <w:rPr>
                <w:noProof/>
                <w:sz w:val="12"/>
                <w:szCs w:val="12"/>
                <w:lang w:val="fr-BE"/>
              </w:rPr>
              <w:t>uczestnicy w niekorzystnej sytuacji społecznej poszukujący pracy, uczestniczący w kształceniu lub szkoleniu, zdobywający kwalifikacje lub pracujący (łącznie z prowadzącymi działalność na własny rachunek) po opuszczeniu programu</w:t>
            </w:r>
          </w:p>
        </w:tc>
        <w:tc>
          <w:tcPr>
            <w:tcW w:w="0" w:type="auto"/>
            <w:shd w:val="clear" w:color="auto" w:fill="auto"/>
          </w:tcPr>
          <w:p w14:paraId="15244CDA" w14:textId="77777777" w:rsidR="008C5CFA" w:rsidRPr="00BA47B4" w:rsidRDefault="00E82A60" w:rsidP="00300A01">
            <w:pPr>
              <w:spacing w:before="0" w:after="0"/>
              <w:rPr>
                <w:sz w:val="12"/>
                <w:szCs w:val="12"/>
                <w:lang w:val="fr-BE"/>
              </w:rPr>
            </w:pPr>
            <w:r w:rsidRPr="00BA47B4">
              <w:rPr>
                <w:noProof/>
                <w:sz w:val="12"/>
                <w:szCs w:val="12"/>
                <w:lang w:val="fr-BE"/>
              </w:rPr>
              <w:t>Słabiej rozwinięte</w:t>
            </w:r>
          </w:p>
        </w:tc>
        <w:tc>
          <w:tcPr>
            <w:tcW w:w="0" w:type="auto"/>
          </w:tcPr>
          <w:p w14:paraId="2CA51546" w14:textId="77777777" w:rsidR="008C5CFA" w:rsidRPr="00BA47B4" w:rsidRDefault="00E82A60" w:rsidP="00300A01">
            <w:pPr>
              <w:spacing w:before="0" w:after="0"/>
              <w:jc w:val="right"/>
              <w:rPr>
                <w:sz w:val="12"/>
                <w:szCs w:val="12"/>
                <w:lang w:val="fr-BE"/>
              </w:rPr>
            </w:pPr>
            <w:r w:rsidRPr="00BA47B4">
              <w:rPr>
                <w:noProof/>
                <w:sz w:val="12"/>
                <w:szCs w:val="12"/>
                <w:lang w:val="fr-BE"/>
              </w:rPr>
              <w:t>1 024,00</w:t>
            </w:r>
          </w:p>
        </w:tc>
        <w:tc>
          <w:tcPr>
            <w:tcW w:w="0" w:type="auto"/>
          </w:tcPr>
          <w:p w14:paraId="542DDC3F" w14:textId="77777777" w:rsidR="008C5CFA" w:rsidRPr="00BA47B4" w:rsidRDefault="00E82A60" w:rsidP="00300A01">
            <w:pPr>
              <w:spacing w:before="0" w:after="0"/>
              <w:jc w:val="right"/>
              <w:rPr>
                <w:sz w:val="12"/>
                <w:szCs w:val="12"/>
                <w:lang w:val="fr-BE"/>
              </w:rPr>
            </w:pPr>
            <w:r w:rsidRPr="00BA47B4">
              <w:rPr>
                <w:noProof/>
                <w:sz w:val="12"/>
                <w:szCs w:val="12"/>
                <w:lang w:val="fr-BE"/>
              </w:rPr>
              <w:t>1 335,00</w:t>
            </w:r>
          </w:p>
        </w:tc>
        <w:tc>
          <w:tcPr>
            <w:tcW w:w="0" w:type="auto"/>
          </w:tcPr>
          <w:p w14:paraId="7E67311A" w14:textId="77777777" w:rsidR="008C5CFA" w:rsidRPr="00BA47B4" w:rsidRDefault="00E82A60" w:rsidP="00300A01">
            <w:pPr>
              <w:spacing w:before="0" w:after="0"/>
              <w:jc w:val="right"/>
              <w:rPr>
                <w:sz w:val="12"/>
                <w:szCs w:val="12"/>
                <w:lang w:val="fr-BE"/>
              </w:rPr>
            </w:pPr>
            <w:r w:rsidRPr="00BA47B4">
              <w:rPr>
                <w:noProof/>
                <w:sz w:val="12"/>
                <w:szCs w:val="12"/>
                <w:lang w:val="fr-BE"/>
              </w:rPr>
              <w:t>1 136,00</w:t>
            </w:r>
          </w:p>
        </w:tc>
        <w:tc>
          <w:tcPr>
            <w:tcW w:w="0" w:type="auto"/>
          </w:tcPr>
          <w:p w14:paraId="57D3B8F1" w14:textId="77777777" w:rsidR="008C5CFA" w:rsidRPr="00BA47B4" w:rsidRDefault="00E82A60" w:rsidP="00300A01">
            <w:pPr>
              <w:spacing w:before="0" w:after="0"/>
              <w:jc w:val="right"/>
              <w:rPr>
                <w:sz w:val="12"/>
                <w:szCs w:val="12"/>
                <w:lang w:val="fr-BE"/>
              </w:rPr>
            </w:pPr>
            <w:r w:rsidRPr="00BA47B4">
              <w:rPr>
                <w:noProof/>
                <w:sz w:val="12"/>
                <w:szCs w:val="12"/>
                <w:lang w:val="fr-BE"/>
              </w:rPr>
              <w:t>1 466,00</w:t>
            </w:r>
          </w:p>
        </w:tc>
        <w:tc>
          <w:tcPr>
            <w:tcW w:w="0" w:type="auto"/>
          </w:tcPr>
          <w:p w14:paraId="706AD12F" w14:textId="77777777" w:rsidR="008C5CFA" w:rsidRPr="00BA47B4" w:rsidRDefault="00E82A60" w:rsidP="00300A01">
            <w:pPr>
              <w:spacing w:before="0" w:after="0"/>
              <w:jc w:val="right"/>
              <w:rPr>
                <w:sz w:val="12"/>
                <w:szCs w:val="12"/>
                <w:lang w:val="fr-BE"/>
              </w:rPr>
            </w:pPr>
            <w:r w:rsidRPr="00BA47B4">
              <w:rPr>
                <w:noProof/>
                <w:sz w:val="12"/>
                <w:szCs w:val="12"/>
                <w:lang w:val="fr-BE"/>
              </w:rPr>
              <w:t>352,00</w:t>
            </w:r>
          </w:p>
        </w:tc>
        <w:tc>
          <w:tcPr>
            <w:tcW w:w="0" w:type="auto"/>
          </w:tcPr>
          <w:p w14:paraId="4CE7FDE5" w14:textId="77777777" w:rsidR="008C5CFA" w:rsidRPr="00BA47B4" w:rsidRDefault="00E82A60" w:rsidP="00300A01">
            <w:pPr>
              <w:spacing w:before="0" w:after="0"/>
              <w:jc w:val="right"/>
              <w:rPr>
                <w:sz w:val="12"/>
                <w:szCs w:val="12"/>
                <w:lang w:val="fr-BE"/>
              </w:rPr>
            </w:pPr>
            <w:r w:rsidRPr="00BA47B4">
              <w:rPr>
                <w:noProof/>
                <w:sz w:val="12"/>
                <w:szCs w:val="12"/>
                <w:lang w:val="fr-BE"/>
              </w:rPr>
              <w:t>405,00</w:t>
            </w:r>
          </w:p>
        </w:tc>
        <w:tc>
          <w:tcPr>
            <w:tcW w:w="0" w:type="auto"/>
          </w:tcPr>
          <w:p w14:paraId="7B0423E9" w14:textId="77777777" w:rsidR="008C5CFA" w:rsidRPr="00BA47B4" w:rsidRDefault="00E82A60" w:rsidP="00300A01">
            <w:pPr>
              <w:spacing w:before="0" w:after="0"/>
              <w:jc w:val="right"/>
              <w:rPr>
                <w:sz w:val="12"/>
                <w:szCs w:val="12"/>
                <w:lang w:val="fr-BE"/>
              </w:rPr>
            </w:pPr>
            <w:r w:rsidRPr="00BA47B4">
              <w:rPr>
                <w:noProof/>
                <w:sz w:val="12"/>
                <w:szCs w:val="12"/>
                <w:lang w:val="fr-BE"/>
              </w:rPr>
              <w:t>132,00</w:t>
            </w:r>
          </w:p>
        </w:tc>
        <w:tc>
          <w:tcPr>
            <w:tcW w:w="0" w:type="auto"/>
          </w:tcPr>
          <w:p w14:paraId="68E2AD29" w14:textId="77777777" w:rsidR="008C5CFA" w:rsidRPr="00BA47B4" w:rsidRDefault="00E82A60" w:rsidP="00300A01">
            <w:pPr>
              <w:spacing w:before="0" w:after="0"/>
              <w:jc w:val="right"/>
              <w:rPr>
                <w:sz w:val="12"/>
                <w:szCs w:val="12"/>
                <w:lang w:val="fr-BE"/>
              </w:rPr>
            </w:pPr>
            <w:r w:rsidRPr="00BA47B4">
              <w:rPr>
                <w:noProof/>
                <w:sz w:val="12"/>
                <w:szCs w:val="12"/>
                <w:lang w:val="fr-BE"/>
              </w:rPr>
              <w:t>122,00</w:t>
            </w:r>
          </w:p>
        </w:tc>
        <w:tc>
          <w:tcPr>
            <w:tcW w:w="0" w:type="auto"/>
            <w:shd w:val="clear" w:color="auto" w:fill="auto"/>
          </w:tcPr>
          <w:p w14:paraId="5B19E020"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0AB80A7D"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r>
      <w:tr w:rsidR="006B2EC1" w14:paraId="0BF481A3" w14:textId="77777777" w:rsidTr="0047688D">
        <w:tc>
          <w:tcPr>
            <w:tcW w:w="0" w:type="auto"/>
            <w:shd w:val="clear" w:color="auto" w:fill="auto"/>
          </w:tcPr>
          <w:p w14:paraId="5F9068FB" w14:textId="77777777" w:rsidR="008C5CFA" w:rsidRPr="00BA47B4" w:rsidRDefault="00E82A60" w:rsidP="00300A01">
            <w:pPr>
              <w:spacing w:before="0" w:after="0"/>
              <w:rPr>
                <w:sz w:val="12"/>
                <w:szCs w:val="12"/>
                <w:lang w:val="fr-BE"/>
              </w:rPr>
            </w:pPr>
            <w:r w:rsidRPr="00BA47B4">
              <w:rPr>
                <w:noProof/>
                <w:sz w:val="12"/>
                <w:szCs w:val="12"/>
                <w:lang w:val="fr-BE"/>
              </w:rPr>
              <w:t>CR06</w:t>
            </w:r>
          </w:p>
        </w:tc>
        <w:tc>
          <w:tcPr>
            <w:tcW w:w="0" w:type="auto"/>
            <w:shd w:val="clear" w:color="auto" w:fill="auto"/>
          </w:tcPr>
          <w:p w14:paraId="42184C83" w14:textId="77777777" w:rsidR="008C5CFA" w:rsidRPr="00BA47B4" w:rsidRDefault="00E82A60" w:rsidP="00300A01">
            <w:pPr>
              <w:spacing w:before="0" w:after="0"/>
              <w:rPr>
                <w:sz w:val="12"/>
                <w:szCs w:val="12"/>
                <w:lang w:val="fr-BE"/>
              </w:rPr>
            </w:pPr>
            <w:r w:rsidRPr="00BA47B4">
              <w:rPr>
                <w:noProof/>
                <w:sz w:val="12"/>
                <w:szCs w:val="12"/>
                <w:lang w:val="fr-BE"/>
              </w:rPr>
              <w:t>uczestnicy pracujący, łącznie z prowadzącymi działalność na własny rachunek, sześć miesięcy po opuszczeniu programu</w:t>
            </w:r>
          </w:p>
        </w:tc>
        <w:tc>
          <w:tcPr>
            <w:tcW w:w="0" w:type="auto"/>
            <w:shd w:val="clear" w:color="auto" w:fill="auto"/>
          </w:tcPr>
          <w:p w14:paraId="393C0393" w14:textId="77777777" w:rsidR="008C5CFA" w:rsidRPr="00BA47B4" w:rsidRDefault="00E82A60" w:rsidP="00300A01">
            <w:pPr>
              <w:spacing w:before="0" w:after="0"/>
              <w:rPr>
                <w:sz w:val="12"/>
                <w:szCs w:val="12"/>
                <w:lang w:val="fr-BE"/>
              </w:rPr>
            </w:pPr>
            <w:r w:rsidRPr="00BA47B4">
              <w:rPr>
                <w:noProof/>
                <w:sz w:val="12"/>
                <w:szCs w:val="12"/>
                <w:lang w:val="fr-BE"/>
              </w:rPr>
              <w:t>Słabiej rozwinięte</w:t>
            </w:r>
          </w:p>
        </w:tc>
        <w:tc>
          <w:tcPr>
            <w:tcW w:w="0" w:type="auto"/>
          </w:tcPr>
          <w:p w14:paraId="4E61EAE7" w14:textId="77777777" w:rsidR="008C5CFA" w:rsidRPr="00BA47B4" w:rsidRDefault="00E82A60" w:rsidP="00300A01">
            <w:pPr>
              <w:spacing w:before="0" w:after="0"/>
              <w:jc w:val="right"/>
              <w:rPr>
                <w:sz w:val="12"/>
                <w:szCs w:val="12"/>
                <w:lang w:val="fr-BE"/>
              </w:rPr>
            </w:pPr>
            <w:r w:rsidRPr="00BA47B4">
              <w:rPr>
                <w:noProof/>
                <w:sz w:val="12"/>
                <w:szCs w:val="12"/>
                <w:lang w:val="fr-BE"/>
              </w:rPr>
              <w:t>3 959,00</w:t>
            </w:r>
          </w:p>
        </w:tc>
        <w:tc>
          <w:tcPr>
            <w:tcW w:w="0" w:type="auto"/>
          </w:tcPr>
          <w:p w14:paraId="1D7D8B38" w14:textId="77777777" w:rsidR="008C5CFA" w:rsidRPr="00BA47B4" w:rsidRDefault="00E82A60" w:rsidP="00300A01">
            <w:pPr>
              <w:spacing w:before="0" w:after="0"/>
              <w:jc w:val="right"/>
              <w:rPr>
                <w:sz w:val="12"/>
                <w:szCs w:val="12"/>
                <w:lang w:val="fr-BE"/>
              </w:rPr>
            </w:pPr>
            <w:r w:rsidRPr="00BA47B4">
              <w:rPr>
                <w:noProof/>
                <w:sz w:val="12"/>
                <w:szCs w:val="12"/>
                <w:lang w:val="fr-BE"/>
              </w:rPr>
              <w:t>5 394,00</w:t>
            </w:r>
          </w:p>
        </w:tc>
        <w:tc>
          <w:tcPr>
            <w:tcW w:w="0" w:type="auto"/>
          </w:tcPr>
          <w:p w14:paraId="74529B03"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2011C0B9"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641B2BC8"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016B88CD"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156BDE97"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66471096"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4F5425A4"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6A34F053"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r>
      <w:tr w:rsidR="006B2EC1" w14:paraId="6C49949C" w14:textId="77777777" w:rsidTr="0047688D">
        <w:tc>
          <w:tcPr>
            <w:tcW w:w="0" w:type="auto"/>
            <w:shd w:val="clear" w:color="auto" w:fill="auto"/>
          </w:tcPr>
          <w:p w14:paraId="3E1E09C1" w14:textId="77777777" w:rsidR="008C5CFA" w:rsidRPr="00BA47B4" w:rsidRDefault="00E82A60" w:rsidP="00300A01">
            <w:pPr>
              <w:spacing w:before="0" w:after="0"/>
              <w:rPr>
                <w:sz w:val="12"/>
                <w:szCs w:val="12"/>
                <w:lang w:val="fr-BE"/>
              </w:rPr>
            </w:pPr>
            <w:r w:rsidRPr="00BA47B4">
              <w:rPr>
                <w:noProof/>
                <w:sz w:val="12"/>
                <w:szCs w:val="12"/>
                <w:lang w:val="fr-BE"/>
              </w:rPr>
              <w:t>CR06</w:t>
            </w:r>
          </w:p>
        </w:tc>
        <w:tc>
          <w:tcPr>
            <w:tcW w:w="0" w:type="auto"/>
            <w:shd w:val="clear" w:color="auto" w:fill="auto"/>
          </w:tcPr>
          <w:p w14:paraId="21690C27" w14:textId="77777777" w:rsidR="008C5CFA" w:rsidRPr="00BA47B4" w:rsidRDefault="00E82A60" w:rsidP="00300A01">
            <w:pPr>
              <w:spacing w:before="0" w:after="0"/>
              <w:rPr>
                <w:sz w:val="12"/>
                <w:szCs w:val="12"/>
                <w:lang w:val="fr-BE"/>
              </w:rPr>
            </w:pPr>
            <w:r w:rsidRPr="00BA47B4">
              <w:rPr>
                <w:noProof/>
                <w:sz w:val="12"/>
                <w:szCs w:val="12"/>
                <w:lang w:val="fr-BE"/>
              </w:rPr>
              <w:t>uczestnicy pracujący, łącznie z prowadzącymi działalność na własny rachunek, sześć miesięcy po opuszczeniu programu</w:t>
            </w:r>
          </w:p>
        </w:tc>
        <w:tc>
          <w:tcPr>
            <w:tcW w:w="0" w:type="auto"/>
            <w:shd w:val="clear" w:color="auto" w:fill="auto"/>
          </w:tcPr>
          <w:p w14:paraId="5604023E" w14:textId="77777777" w:rsidR="008C5CFA" w:rsidRPr="00BA47B4" w:rsidRDefault="00E82A60" w:rsidP="00300A01">
            <w:pPr>
              <w:spacing w:before="0" w:after="0"/>
              <w:rPr>
                <w:sz w:val="12"/>
                <w:szCs w:val="12"/>
                <w:lang w:val="fr-BE"/>
              </w:rPr>
            </w:pPr>
            <w:r w:rsidRPr="00BA47B4">
              <w:rPr>
                <w:noProof/>
                <w:sz w:val="12"/>
                <w:szCs w:val="12"/>
                <w:lang w:val="fr-BE"/>
              </w:rPr>
              <w:t>Słabiej rozwinięte</w:t>
            </w:r>
          </w:p>
        </w:tc>
        <w:tc>
          <w:tcPr>
            <w:tcW w:w="0" w:type="auto"/>
          </w:tcPr>
          <w:p w14:paraId="72D6E8B3" w14:textId="77777777" w:rsidR="008C5CFA" w:rsidRPr="00BA47B4" w:rsidRDefault="00E82A60" w:rsidP="00300A01">
            <w:pPr>
              <w:spacing w:before="0" w:after="0"/>
              <w:jc w:val="right"/>
              <w:rPr>
                <w:sz w:val="12"/>
                <w:szCs w:val="12"/>
                <w:lang w:val="fr-BE"/>
              </w:rPr>
            </w:pPr>
            <w:r w:rsidRPr="00BA47B4">
              <w:rPr>
                <w:noProof/>
                <w:sz w:val="12"/>
                <w:szCs w:val="12"/>
                <w:lang w:val="fr-BE"/>
              </w:rPr>
              <w:t>3 739,00</w:t>
            </w:r>
          </w:p>
        </w:tc>
        <w:tc>
          <w:tcPr>
            <w:tcW w:w="0" w:type="auto"/>
          </w:tcPr>
          <w:p w14:paraId="39AA159C" w14:textId="77777777" w:rsidR="008C5CFA" w:rsidRPr="00BA47B4" w:rsidRDefault="00E82A60" w:rsidP="00300A01">
            <w:pPr>
              <w:spacing w:before="0" w:after="0"/>
              <w:jc w:val="right"/>
              <w:rPr>
                <w:sz w:val="12"/>
                <w:szCs w:val="12"/>
                <w:lang w:val="fr-BE"/>
              </w:rPr>
            </w:pPr>
            <w:r w:rsidRPr="00BA47B4">
              <w:rPr>
                <w:noProof/>
                <w:sz w:val="12"/>
                <w:szCs w:val="12"/>
                <w:lang w:val="fr-BE"/>
              </w:rPr>
              <w:t>5 170,00</w:t>
            </w:r>
          </w:p>
        </w:tc>
        <w:tc>
          <w:tcPr>
            <w:tcW w:w="0" w:type="auto"/>
          </w:tcPr>
          <w:p w14:paraId="4D0BE1CE"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5BE27766"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1A0B5C8C"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40EA2E31"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72FAE4A4"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1E22556D"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2633F52A"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3251196F"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r>
      <w:tr w:rsidR="006B2EC1" w14:paraId="3C4173D7" w14:textId="77777777" w:rsidTr="0047688D">
        <w:tc>
          <w:tcPr>
            <w:tcW w:w="0" w:type="auto"/>
            <w:shd w:val="clear" w:color="auto" w:fill="auto"/>
          </w:tcPr>
          <w:p w14:paraId="5DD703FB" w14:textId="77777777" w:rsidR="008C5CFA" w:rsidRPr="00BA47B4" w:rsidRDefault="00E82A60" w:rsidP="00300A01">
            <w:pPr>
              <w:spacing w:before="0" w:after="0"/>
              <w:rPr>
                <w:sz w:val="12"/>
                <w:szCs w:val="12"/>
                <w:lang w:val="fr-BE"/>
              </w:rPr>
            </w:pPr>
            <w:r w:rsidRPr="00BA47B4">
              <w:rPr>
                <w:noProof/>
                <w:sz w:val="12"/>
                <w:szCs w:val="12"/>
                <w:lang w:val="fr-BE"/>
              </w:rPr>
              <w:t>CR06</w:t>
            </w:r>
          </w:p>
        </w:tc>
        <w:tc>
          <w:tcPr>
            <w:tcW w:w="0" w:type="auto"/>
            <w:shd w:val="clear" w:color="auto" w:fill="auto"/>
          </w:tcPr>
          <w:p w14:paraId="1CC08FD3" w14:textId="77777777" w:rsidR="008C5CFA" w:rsidRPr="00BA47B4" w:rsidRDefault="00E82A60" w:rsidP="00300A01">
            <w:pPr>
              <w:spacing w:before="0" w:after="0"/>
              <w:rPr>
                <w:sz w:val="12"/>
                <w:szCs w:val="12"/>
                <w:lang w:val="fr-BE"/>
              </w:rPr>
            </w:pPr>
            <w:r w:rsidRPr="00BA47B4">
              <w:rPr>
                <w:noProof/>
                <w:sz w:val="12"/>
                <w:szCs w:val="12"/>
                <w:lang w:val="fr-BE"/>
              </w:rPr>
              <w:t>uczestnicy pracujący, łącznie z prowadzącymi działalność na własny rachunek, sześć miesięcy po opuszczeniu programu</w:t>
            </w:r>
          </w:p>
        </w:tc>
        <w:tc>
          <w:tcPr>
            <w:tcW w:w="0" w:type="auto"/>
            <w:shd w:val="clear" w:color="auto" w:fill="auto"/>
          </w:tcPr>
          <w:p w14:paraId="225A4AC0" w14:textId="77777777" w:rsidR="008C5CFA" w:rsidRPr="00BA47B4" w:rsidRDefault="00E82A60" w:rsidP="00300A01">
            <w:pPr>
              <w:spacing w:before="0" w:after="0"/>
              <w:rPr>
                <w:sz w:val="12"/>
                <w:szCs w:val="12"/>
                <w:lang w:val="fr-BE"/>
              </w:rPr>
            </w:pPr>
            <w:r w:rsidRPr="00BA47B4">
              <w:rPr>
                <w:noProof/>
                <w:sz w:val="12"/>
                <w:szCs w:val="12"/>
                <w:lang w:val="fr-BE"/>
              </w:rPr>
              <w:t>Słabiej rozwinięte</w:t>
            </w:r>
          </w:p>
        </w:tc>
        <w:tc>
          <w:tcPr>
            <w:tcW w:w="0" w:type="auto"/>
          </w:tcPr>
          <w:p w14:paraId="7CF26AF5" w14:textId="77777777" w:rsidR="008C5CFA" w:rsidRPr="00BA47B4" w:rsidRDefault="00E82A60" w:rsidP="00300A01">
            <w:pPr>
              <w:spacing w:before="0" w:after="0"/>
              <w:jc w:val="right"/>
              <w:rPr>
                <w:sz w:val="12"/>
                <w:szCs w:val="12"/>
                <w:lang w:val="fr-BE"/>
              </w:rPr>
            </w:pPr>
            <w:r w:rsidRPr="00BA47B4">
              <w:rPr>
                <w:noProof/>
                <w:sz w:val="12"/>
                <w:szCs w:val="12"/>
                <w:lang w:val="fr-BE"/>
              </w:rPr>
              <w:t>1 551,00</w:t>
            </w:r>
          </w:p>
        </w:tc>
        <w:tc>
          <w:tcPr>
            <w:tcW w:w="0" w:type="auto"/>
          </w:tcPr>
          <w:p w14:paraId="7AFE3695" w14:textId="77777777" w:rsidR="008C5CFA" w:rsidRPr="00BA47B4" w:rsidRDefault="00E82A60" w:rsidP="00300A01">
            <w:pPr>
              <w:spacing w:before="0" w:after="0"/>
              <w:jc w:val="right"/>
              <w:rPr>
                <w:sz w:val="12"/>
                <w:szCs w:val="12"/>
                <w:lang w:val="fr-BE"/>
              </w:rPr>
            </w:pPr>
            <w:r w:rsidRPr="00BA47B4">
              <w:rPr>
                <w:noProof/>
                <w:sz w:val="12"/>
                <w:szCs w:val="12"/>
                <w:lang w:val="fr-BE"/>
              </w:rPr>
              <w:t>2 140,00</w:t>
            </w:r>
          </w:p>
        </w:tc>
        <w:tc>
          <w:tcPr>
            <w:tcW w:w="0" w:type="auto"/>
          </w:tcPr>
          <w:p w14:paraId="0580DC75"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3B961E64"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0918AA6A"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124E4DF2"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6111018C"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64754062"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0133D85B"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3CFFCBFD"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r>
      <w:tr w:rsidR="006B2EC1" w14:paraId="31D0AF3C" w14:textId="77777777" w:rsidTr="0047688D">
        <w:tc>
          <w:tcPr>
            <w:tcW w:w="0" w:type="auto"/>
            <w:shd w:val="clear" w:color="auto" w:fill="auto"/>
          </w:tcPr>
          <w:p w14:paraId="3605D69F" w14:textId="77777777" w:rsidR="008C5CFA" w:rsidRPr="00BA47B4" w:rsidRDefault="00E82A60" w:rsidP="00300A01">
            <w:pPr>
              <w:spacing w:before="0" w:after="0"/>
              <w:rPr>
                <w:sz w:val="12"/>
                <w:szCs w:val="12"/>
                <w:lang w:val="fr-BE"/>
              </w:rPr>
            </w:pPr>
            <w:r w:rsidRPr="00BA47B4">
              <w:rPr>
                <w:noProof/>
                <w:sz w:val="12"/>
                <w:szCs w:val="12"/>
                <w:lang w:val="fr-BE"/>
              </w:rPr>
              <w:t>CR06</w:t>
            </w:r>
          </w:p>
        </w:tc>
        <w:tc>
          <w:tcPr>
            <w:tcW w:w="0" w:type="auto"/>
            <w:shd w:val="clear" w:color="auto" w:fill="auto"/>
          </w:tcPr>
          <w:p w14:paraId="19077199" w14:textId="77777777" w:rsidR="008C5CFA" w:rsidRPr="00BA47B4" w:rsidRDefault="00E82A60" w:rsidP="00300A01">
            <w:pPr>
              <w:spacing w:before="0" w:after="0"/>
              <w:rPr>
                <w:sz w:val="12"/>
                <w:szCs w:val="12"/>
                <w:lang w:val="fr-BE"/>
              </w:rPr>
            </w:pPr>
            <w:r w:rsidRPr="00BA47B4">
              <w:rPr>
                <w:noProof/>
                <w:sz w:val="12"/>
                <w:szCs w:val="12"/>
                <w:lang w:val="fr-BE"/>
              </w:rPr>
              <w:t>uczestnicy pracujący, łącznie z prowadzącymi działalność na własny rachunek, sześć miesięcy po opuszczeniu programu</w:t>
            </w:r>
          </w:p>
        </w:tc>
        <w:tc>
          <w:tcPr>
            <w:tcW w:w="0" w:type="auto"/>
            <w:shd w:val="clear" w:color="auto" w:fill="auto"/>
          </w:tcPr>
          <w:p w14:paraId="4D9DBA45" w14:textId="77777777" w:rsidR="008C5CFA" w:rsidRPr="00BA47B4" w:rsidRDefault="00E82A60" w:rsidP="00300A01">
            <w:pPr>
              <w:spacing w:before="0" w:after="0"/>
              <w:rPr>
                <w:sz w:val="12"/>
                <w:szCs w:val="12"/>
                <w:lang w:val="fr-BE"/>
              </w:rPr>
            </w:pPr>
            <w:r w:rsidRPr="00BA47B4">
              <w:rPr>
                <w:noProof/>
                <w:sz w:val="12"/>
                <w:szCs w:val="12"/>
                <w:lang w:val="fr-BE"/>
              </w:rPr>
              <w:t>Słabiej rozwinięte</w:t>
            </w:r>
          </w:p>
        </w:tc>
        <w:tc>
          <w:tcPr>
            <w:tcW w:w="0" w:type="auto"/>
          </w:tcPr>
          <w:p w14:paraId="36FFD20B" w14:textId="77777777" w:rsidR="008C5CFA" w:rsidRPr="00BA47B4" w:rsidRDefault="00E82A60" w:rsidP="00300A01">
            <w:pPr>
              <w:spacing w:before="0" w:after="0"/>
              <w:jc w:val="right"/>
              <w:rPr>
                <w:sz w:val="12"/>
                <w:szCs w:val="12"/>
                <w:lang w:val="fr-BE"/>
              </w:rPr>
            </w:pPr>
            <w:r w:rsidRPr="00BA47B4">
              <w:rPr>
                <w:noProof/>
                <w:sz w:val="12"/>
                <w:szCs w:val="12"/>
                <w:lang w:val="fr-BE"/>
              </w:rPr>
              <w:t>153,00</w:t>
            </w:r>
          </w:p>
        </w:tc>
        <w:tc>
          <w:tcPr>
            <w:tcW w:w="0" w:type="auto"/>
          </w:tcPr>
          <w:p w14:paraId="0F29B5D5" w14:textId="77777777" w:rsidR="008C5CFA" w:rsidRPr="00BA47B4" w:rsidRDefault="00E82A60" w:rsidP="00300A01">
            <w:pPr>
              <w:spacing w:before="0" w:after="0"/>
              <w:jc w:val="right"/>
              <w:rPr>
                <w:sz w:val="12"/>
                <w:szCs w:val="12"/>
                <w:lang w:val="fr-BE"/>
              </w:rPr>
            </w:pPr>
            <w:r w:rsidRPr="00BA47B4">
              <w:rPr>
                <w:noProof/>
                <w:sz w:val="12"/>
                <w:szCs w:val="12"/>
                <w:lang w:val="fr-BE"/>
              </w:rPr>
              <w:t>169,00</w:t>
            </w:r>
          </w:p>
        </w:tc>
        <w:tc>
          <w:tcPr>
            <w:tcW w:w="0" w:type="auto"/>
          </w:tcPr>
          <w:p w14:paraId="4E316AF2"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58E09317"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3A77B6A4"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1DA690E4"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1A11301B"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206F34E8"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654D6B7D"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662197FD"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r>
      <w:tr w:rsidR="006B2EC1" w14:paraId="6E31CE47" w14:textId="77777777" w:rsidTr="0047688D">
        <w:tc>
          <w:tcPr>
            <w:tcW w:w="0" w:type="auto"/>
            <w:shd w:val="clear" w:color="auto" w:fill="auto"/>
          </w:tcPr>
          <w:p w14:paraId="2DDF60F9" w14:textId="77777777" w:rsidR="008C5CFA" w:rsidRPr="00BA47B4" w:rsidRDefault="00E82A60" w:rsidP="00300A01">
            <w:pPr>
              <w:spacing w:before="0" w:after="0"/>
              <w:rPr>
                <w:sz w:val="12"/>
                <w:szCs w:val="12"/>
                <w:lang w:val="fr-BE"/>
              </w:rPr>
            </w:pPr>
            <w:r w:rsidRPr="00BA47B4">
              <w:rPr>
                <w:noProof/>
                <w:sz w:val="12"/>
                <w:szCs w:val="12"/>
                <w:lang w:val="fr-BE"/>
              </w:rPr>
              <w:t>CR07</w:t>
            </w:r>
          </w:p>
        </w:tc>
        <w:tc>
          <w:tcPr>
            <w:tcW w:w="0" w:type="auto"/>
            <w:shd w:val="clear" w:color="auto" w:fill="auto"/>
          </w:tcPr>
          <w:p w14:paraId="6D97F191" w14:textId="77777777" w:rsidR="008C5CFA" w:rsidRPr="00BA47B4" w:rsidRDefault="00E82A60" w:rsidP="00300A01">
            <w:pPr>
              <w:spacing w:before="0" w:after="0"/>
              <w:rPr>
                <w:sz w:val="12"/>
                <w:szCs w:val="12"/>
                <w:lang w:val="fr-BE"/>
              </w:rPr>
            </w:pPr>
            <w:r w:rsidRPr="00BA47B4">
              <w:rPr>
                <w:noProof/>
                <w:sz w:val="12"/>
                <w:szCs w:val="12"/>
                <w:lang w:val="fr-BE"/>
              </w:rPr>
              <w:t>uczestnicy znajdujący się w lepszej sytuacji na rynku pracy sześć miesięcy po opuszczeniu programu</w:t>
            </w:r>
          </w:p>
        </w:tc>
        <w:tc>
          <w:tcPr>
            <w:tcW w:w="0" w:type="auto"/>
            <w:shd w:val="clear" w:color="auto" w:fill="auto"/>
          </w:tcPr>
          <w:p w14:paraId="791B41F5" w14:textId="77777777" w:rsidR="008C5CFA" w:rsidRPr="00BA47B4" w:rsidRDefault="00E82A60" w:rsidP="00300A01">
            <w:pPr>
              <w:spacing w:before="0" w:after="0"/>
              <w:rPr>
                <w:sz w:val="12"/>
                <w:szCs w:val="12"/>
                <w:lang w:val="fr-BE"/>
              </w:rPr>
            </w:pPr>
            <w:r w:rsidRPr="00BA47B4">
              <w:rPr>
                <w:noProof/>
                <w:sz w:val="12"/>
                <w:szCs w:val="12"/>
                <w:lang w:val="fr-BE"/>
              </w:rPr>
              <w:t>Słabiej rozwinięte</w:t>
            </w:r>
          </w:p>
        </w:tc>
        <w:tc>
          <w:tcPr>
            <w:tcW w:w="0" w:type="auto"/>
          </w:tcPr>
          <w:p w14:paraId="25BE3EA1"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0E756C40"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49C68AD9"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60C97821"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2C1266E7"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59026862"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4C6B67D8"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4F7BA70E"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55C498E7"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722AC76E"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r>
      <w:tr w:rsidR="006B2EC1" w14:paraId="3B9838D1" w14:textId="77777777" w:rsidTr="0047688D">
        <w:tc>
          <w:tcPr>
            <w:tcW w:w="0" w:type="auto"/>
            <w:shd w:val="clear" w:color="auto" w:fill="auto"/>
          </w:tcPr>
          <w:p w14:paraId="07C37BCC" w14:textId="77777777" w:rsidR="008C5CFA" w:rsidRPr="00BA47B4" w:rsidRDefault="00E82A60" w:rsidP="00300A01">
            <w:pPr>
              <w:spacing w:before="0" w:after="0"/>
              <w:rPr>
                <w:sz w:val="12"/>
                <w:szCs w:val="12"/>
                <w:lang w:val="fr-BE"/>
              </w:rPr>
            </w:pPr>
            <w:r w:rsidRPr="00BA47B4">
              <w:rPr>
                <w:noProof/>
                <w:sz w:val="12"/>
                <w:szCs w:val="12"/>
                <w:lang w:val="fr-BE"/>
              </w:rPr>
              <w:t>CR08</w:t>
            </w:r>
          </w:p>
        </w:tc>
        <w:tc>
          <w:tcPr>
            <w:tcW w:w="0" w:type="auto"/>
            <w:shd w:val="clear" w:color="auto" w:fill="auto"/>
          </w:tcPr>
          <w:p w14:paraId="7170FA47" w14:textId="77777777" w:rsidR="008C5CFA" w:rsidRPr="00BA47B4" w:rsidRDefault="00E82A60" w:rsidP="00300A01">
            <w:pPr>
              <w:spacing w:before="0" w:after="0"/>
              <w:rPr>
                <w:sz w:val="12"/>
                <w:szCs w:val="12"/>
                <w:lang w:val="fr-BE"/>
              </w:rPr>
            </w:pPr>
            <w:r w:rsidRPr="00BA47B4">
              <w:rPr>
                <w:noProof/>
                <w:sz w:val="12"/>
                <w:szCs w:val="12"/>
                <w:lang w:val="fr-BE"/>
              </w:rPr>
              <w:t>uczestnicy powyżej 54 roku życia, pracujący, łącznie z prowadzącymi działalność na własny rachunek, sześć miesięcy po opuszczeniu programu</w:t>
            </w:r>
          </w:p>
        </w:tc>
        <w:tc>
          <w:tcPr>
            <w:tcW w:w="0" w:type="auto"/>
            <w:shd w:val="clear" w:color="auto" w:fill="auto"/>
          </w:tcPr>
          <w:p w14:paraId="163E6657" w14:textId="77777777" w:rsidR="008C5CFA" w:rsidRPr="00BA47B4" w:rsidRDefault="00E82A60" w:rsidP="00300A01">
            <w:pPr>
              <w:spacing w:before="0" w:after="0"/>
              <w:rPr>
                <w:sz w:val="12"/>
                <w:szCs w:val="12"/>
                <w:lang w:val="fr-BE"/>
              </w:rPr>
            </w:pPr>
            <w:r w:rsidRPr="00BA47B4">
              <w:rPr>
                <w:noProof/>
                <w:sz w:val="12"/>
                <w:szCs w:val="12"/>
                <w:lang w:val="fr-BE"/>
              </w:rPr>
              <w:t>Słabiej rozwinięte</w:t>
            </w:r>
          </w:p>
        </w:tc>
        <w:tc>
          <w:tcPr>
            <w:tcW w:w="0" w:type="auto"/>
          </w:tcPr>
          <w:p w14:paraId="72E8C47C" w14:textId="77777777" w:rsidR="008C5CFA" w:rsidRPr="00BA47B4" w:rsidRDefault="00E82A60" w:rsidP="00300A01">
            <w:pPr>
              <w:spacing w:before="0" w:after="0"/>
              <w:jc w:val="right"/>
              <w:rPr>
                <w:sz w:val="12"/>
                <w:szCs w:val="12"/>
                <w:lang w:val="fr-BE"/>
              </w:rPr>
            </w:pPr>
            <w:r w:rsidRPr="00BA47B4">
              <w:rPr>
                <w:noProof/>
                <w:sz w:val="12"/>
                <w:szCs w:val="12"/>
                <w:lang w:val="fr-BE"/>
              </w:rPr>
              <w:t>510,00</w:t>
            </w:r>
          </w:p>
        </w:tc>
        <w:tc>
          <w:tcPr>
            <w:tcW w:w="0" w:type="auto"/>
          </w:tcPr>
          <w:p w14:paraId="66C6C1AE" w14:textId="77777777" w:rsidR="008C5CFA" w:rsidRPr="00BA47B4" w:rsidRDefault="00E82A60" w:rsidP="00300A01">
            <w:pPr>
              <w:spacing w:before="0" w:after="0"/>
              <w:jc w:val="right"/>
              <w:rPr>
                <w:sz w:val="12"/>
                <w:szCs w:val="12"/>
                <w:lang w:val="fr-BE"/>
              </w:rPr>
            </w:pPr>
            <w:r w:rsidRPr="00BA47B4">
              <w:rPr>
                <w:noProof/>
                <w:sz w:val="12"/>
                <w:szCs w:val="12"/>
                <w:lang w:val="fr-BE"/>
              </w:rPr>
              <w:t>263,00</w:t>
            </w:r>
          </w:p>
        </w:tc>
        <w:tc>
          <w:tcPr>
            <w:tcW w:w="0" w:type="auto"/>
          </w:tcPr>
          <w:p w14:paraId="72011B22"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2F7AC8E9"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147A594E"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34C0C3D4"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62256239"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4F36061D"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66956578"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0C628BC2"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r>
      <w:tr w:rsidR="006B2EC1" w14:paraId="409F5CB2" w14:textId="77777777" w:rsidTr="0047688D">
        <w:tc>
          <w:tcPr>
            <w:tcW w:w="0" w:type="auto"/>
            <w:shd w:val="clear" w:color="auto" w:fill="auto"/>
          </w:tcPr>
          <w:p w14:paraId="59C86B43" w14:textId="77777777" w:rsidR="008C5CFA" w:rsidRPr="00BA47B4" w:rsidRDefault="00E82A60" w:rsidP="00300A01">
            <w:pPr>
              <w:spacing w:before="0" w:after="0"/>
              <w:rPr>
                <w:sz w:val="12"/>
                <w:szCs w:val="12"/>
                <w:lang w:val="fr-BE"/>
              </w:rPr>
            </w:pPr>
            <w:r w:rsidRPr="00BA47B4">
              <w:rPr>
                <w:noProof/>
                <w:sz w:val="12"/>
                <w:szCs w:val="12"/>
                <w:lang w:val="fr-BE"/>
              </w:rPr>
              <w:t>CR09</w:t>
            </w:r>
          </w:p>
        </w:tc>
        <w:tc>
          <w:tcPr>
            <w:tcW w:w="0" w:type="auto"/>
            <w:shd w:val="clear" w:color="auto" w:fill="auto"/>
          </w:tcPr>
          <w:p w14:paraId="78C7D229" w14:textId="77777777" w:rsidR="008C5CFA" w:rsidRPr="00BA47B4" w:rsidRDefault="00E82A60" w:rsidP="00300A01">
            <w:pPr>
              <w:spacing w:before="0" w:after="0"/>
              <w:rPr>
                <w:sz w:val="12"/>
                <w:szCs w:val="12"/>
                <w:lang w:val="fr-BE"/>
              </w:rPr>
            </w:pPr>
            <w:r w:rsidRPr="00BA47B4">
              <w:rPr>
                <w:noProof/>
                <w:sz w:val="12"/>
                <w:szCs w:val="12"/>
                <w:lang w:val="fr-BE"/>
              </w:rPr>
              <w:t>uczestnicy w niekorzystnej sytuacji społecznej, pracujący, łącznie z prowadzącymi działalność na własny rachunek, sześć miesięcy po opuszczeniu programu</w:t>
            </w:r>
          </w:p>
        </w:tc>
        <w:tc>
          <w:tcPr>
            <w:tcW w:w="0" w:type="auto"/>
            <w:shd w:val="clear" w:color="auto" w:fill="auto"/>
          </w:tcPr>
          <w:p w14:paraId="24D67385" w14:textId="77777777" w:rsidR="008C5CFA" w:rsidRPr="00BA47B4" w:rsidRDefault="00E82A60" w:rsidP="00300A01">
            <w:pPr>
              <w:spacing w:before="0" w:after="0"/>
              <w:rPr>
                <w:sz w:val="12"/>
                <w:szCs w:val="12"/>
                <w:lang w:val="fr-BE"/>
              </w:rPr>
            </w:pPr>
            <w:r w:rsidRPr="00BA47B4">
              <w:rPr>
                <w:noProof/>
                <w:sz w:val="12"/>
                <w:szCs w:val="12"/>
                <w:lang w:val="fr-BE"/>
              </w:rPr>
              <w:t>Słabiej rozwinięte</w:t>
            </w:r>
          </w:p>
        </w:tc>
        <w:tc>
          <w:tcPr>
            <w:tcW w:w="0" w:type="auto"/>
          </w:tcPr>
          <w:p w14:paraId="521A7C46" w14:textId="77777777" w:rsidR="008C5CFA" w:rsidRPr="00BA47B4" w:rsidRDefault="00E82A60" w:rsidP="00300A01">
            <w:pPr>
              <w:spacing w:before="0" w:after="0"/>
              <w:jc w:val="right"/>
              <w:rPr>
                <w:sz w:val="12"/>
                <w:szCs w:val="12"/>
                <w:lang w:val="fr-BE"/>
              </w:rPr>
            </w:pPr>
            <w:r w:rsidRPr="00BA47B4">
              <w:rPr>
                <w:noProof/>
                <w:sz w:val="12"/>
                <w:szCs w:val="12"/>
                <w:lang w:val="fr-BE"/>
              </w:rPr>
              <w:t>1 272,00</w:t>
            </w:r>
          </w:p>
        </w:tc>
        <w:tc>
          <w:tcPr>
            <w:tcW w:w="0" w:type="auto"/>
          </w:tcPr>
          <w:p w14:paraId="5D1E63CB" w14:textId="77777777" w:rsidR="008C5CFA" w:rsidRPr="00BA47B4" w:rsidRDefault="00E82A60" w:rsidP="00300A01">
            <w:pPr>
              <w:spacing w:before="0" w:after="0"/>
              <w:jc w:val="right"/>
              <w:rPr>
                <w:sz w:val="12"/>
                <w:szCs w:val="12"/>
                <w:lang w:val="fr-BE"/>
              </w:rPr>
            </w:pPr>
            <w:r w:rsidRPr="00BA47B4">
              <w:rPr>
                <w:noProof/>
                <w:sz w:val="12"/>
                <w:szCs w:val="12"/>
                <w:lang w:val="fr-BE"/>
              </w:rPr>
              <w:t>1 549,00</w:t>
            </w:r>
          </w:p>
        </w:tc>
        <w:tc>
          <w:tcPr>
            <w:tcW w:w="0" w:type="auto"/>
          </w:tcPr>
          <w:p w14:paraId="71E73ED5"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4F625449"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0A48455F"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119A009E"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5C165C3A"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60DD0B10"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1AFE5788"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2A70B368"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r>
    </w:tbl>
    <w:p w14:paraId="3CB3F02E" w14:textId="77777777" w:rsidR="008C5CFA" w:rsidRPr="00530285" w:rsidRDefault="008C5CFA" w:rsidP="00300A01">
      <w:pPr>
        <w:keepNext/>
        <w:spacing w:before="0" w:after="0"/>
        <w:rPr>
          <w:sz w:val="20"/>
          <w:szCs w:val="20"/>
        </w:rPr>
      </w:pPr>
    </w:p>
    <w:p w14:paraId="5E11F48B" w14:textId="77777777" w:rsidR="008C5CFA" w:rsidRDefault="00E82A60" w:rsidP="00300A01">
      <w:pPr>
        <w:spacing w:before="0" w:after="0"/>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2"/>
        <w:gridCol w:w="13382"/>
      </w:tblGrid>
      <w:tr w:rsidR="006B2EC1" w14:paraId="70F51CA6" w14:textId="77777777" w:rsidTr="0047688D">
        <w:tc>
          <w:tcPr>
            <w:tcW w:w="0" w:type="auto"/>
            <w:shd w:val="clear" w:color="auto" w:fill="auto"/>
          </w:tcPr>
          <w:p w14:paraId="71DF5E8C" w14:textId="77777777" w:rsidR="008C5CFA" w:rsidRPr="002124FC" w:rsidRDefault="00E82A60" w:rsidP="00300A01">
            <w:pPr>
              <w:spacing w:before="0" w:after="0"/>
              <w:rPr>
                <w:sz w:val="20"/>
                <w:szCs w:val="20"/>
                <w:lang w:val="fr-BE"/>
              </w:rPr>
            </w:pPr>
            <w:r>
              <w:rPr>
                <w:lang w:val="fr-BE"/>
              </w:rPr>
              <w:lastRenderedPageBreak/>
              <w:br w:type="page"/>
            </w:r>
            <w:r>
              <w:rPr>
                <w:lang w:val="fr-BE"/>
              </w:rPr>
              <w:br w:type="page"/>
            </w:r>
            <w:r w:rsidRPr="002124FC">
              <w:rPr>
                <w:noProof/>
                <w:sz w:val="20"/>
                <w:szCs w:val="20"/>
                <w:lang w:val="fr-BE"/>
              </w:rPr>
              <w:t>Oś priorytetowa</w:t>
            </w:r>
          </w:p>
        </w:tc>
        <w:tc>
          <w:tcPr>
            <w:tcW w:w="0" w:type="auto"/>
            <w:shd w:val="clear" w:color="auto" w:fill="auto"/>
          </w:tcPr>
          <w:p w14:paraId="213B09D6" w14:textId="77777777" w:rsidR="008C5CFA" w:rsidRPr="002124FC" w:rsidRDefault="00E82A60" w:rsidP="00300A01">
            <w:pPr>
              <w:spacing w:before="0" w:after="0"/>
              <w:rPr>
                <w:sz w:val="20"/>
                <w:szCs w:val="20"/>
                <w:lang w:val="fr-BE"/>
              </w:rPr>
            </w:pPr>
            <w:r w:rsidRPr="002124FC">
              <w:rPr>
                <w:noProof/>
                <w:sz w:val="20"/>
                <w:szCs w:val="20"/>
                <w:lang w:val="fr-BE"/>
              </w:rPr>
              <w:t>10</w:t>
            </w:r>
            <w:r w:rsidRPr="002124FC">
              <w:rPr>
                <w:sz w:val="20"/>
                <w:szCs w:val="20"/>
                <w:lang w:val="fr-BE"/>
              </w:rPr>
              <w:t xml:space="preserve"> - </w:t>
            </w:r>
            <w:r w:rsidRPr="002124FC">
              <w:rPr>
                <w:noProof/>
                <w:sz w:val="20"/>
                <w:szCs w:val="20"/>
                <w:lang w:val="fr-BE"/>
              </w:rPr>
              <w:t>Otwarty rynek pracy</w:t>
            </w:r>
          </w:p>
        </w:tc>
      </w:tr>
      <w:tr w:rsidR="006B2EC1" w14:paraId="326F4093" w14:textId="77777777" w:rsidTr="0047688D">
        <w:tc>
          <w:tcPr>
            <w:tcW w:w="0" w:type="auto"/>
            <w:shd w:val="clear" w:color="auto" w:fill="auto"/>
          </w:tcPr>
          <w:p w14:paraId="0658F835" w14:textId="77777777" w:rsidR="008C5CFA" w:rsidRPr="002124FC" w:rsidRDefault="00E82A60"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14:paraId="1E36ABF3" w14:textId="77777777" w:rsidR="008C5CFA" w:rsidRPr="002124FC" w:rsidRDefault="00E82A60" w:rsidP="00300A01">
            <w:pPr>
              <w:spacing w:before="0" w:after="0"/>
              <w:rPr>
                <w:sz w:val="20"/>
                <w:szCs w:val="20"/>
                <w:lang w:val="fr-BE"/>
              </w:rPr>
            </w:pPr>
            <w:r w:rsidRPr="002124FC">
              <w:rPr>
                <w:noProof/>
                <w:sz w:val="20"/>
                <w:szCs w:val="20"/>
                <w:lang w:val="fr-BE"/>
              </w:rPr>
              <w:t>8i</w:t>
            </w:r>
            <w:r w:rsidRPr="002124FC">
              <w:rPr>
                <w:sz w:val="20"/>
                <w:szCs w:val="20"/>
                <w:lang w:val="fr-BE"/>
              </w:rPr>
              <w:t xml:space="preserve"> - </w:t>
            </w:r>
            <w:r w:rsidRPr="002124FC">
              <w:rPr>
                <w:noProof/>
                <w:sz w:val="20"/>
                <w:szCs w:val="20"/>
                <w:lang w:val="fr-BE"/>
              </w:rPr>
              <w:t>Dostęp do zatrudnienia dla osób poszukujących pracy i osób biernych zawodowo, w tym długotrwale bezrobotnych oraz oddalonych od rynku pracy, także poprzez lokalne inicjatywy w zakresie zatrudnienia i wspieranie mobilności pracowników</w:t>
            </w:r>
          </w:p>
        </w:tc>
      </w:tr>
    </w:tbl>
    <w:p w14:paraId="710D2330" w14:textId="77777777" w:rsidR="008C5CFA" w:rsidRPr="00920B4D" w:rsidRDefault="008C5CFA" w:rsidP="00300A01">
      <w:pPr>
        <w:spacing w:before="0" w:after="0"/>
        <w:rPr>
          <w:lang w:val="fr-BE"/>
        </w:rPr>
      </w:pPr>
    </w:p>
    <w:p w14:paraId="200BD5D6" w14:textId="77777777" w:rsidR="008C5CFA" w:rsidRPr="008E457C" w:rsidRDefault="00E82A60" w:rsidP="005272C2">
      <w:pPr>
        <w:pStyle w:val="Nagwek2"/>
        <w:spacing w:before="0" w:after="0"/>
        <w:rPr>
          <w:lang w:val="fr-BE"/>
        </w:rPr>
      </w:pPr>
      <w:bookmarkStart w:id="12" w:name="_Toc46391696"/>
      <w:r w:rsidRPr="008E457C">
        <w:rPr>
          <w:noProof/>
          <w:lang w:val="fr-BE"/>
        </w:rPr>
        <w:t>Tabela 2C</w:t>
      </w:r>
      <w:r w:rsidRPr="008E457C">
        <w:rPr>
          <w:lang w:val="fr-BE"/>
        </w:rPr>
        <w:t xml:space="preserve"> : </w:t>
      </w:r>
      <w:r w:rsidRPr="008E457C">
        <w:rPr>
          <w:noProof/>
          <w:lang w:val="fr-BE"/>
        </w:rPr>
        <w:t>Specyficzne dla programu wskaźniki rezultatu dla EFS oraz Inicjatywy na rzecz zatrudnienia ludzi młodych</w:t>
      </w:r>
      <w:bookmarkEnd w:id="12"/>
    </w:p>
    <w:p w14:paraId="01172DB7"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64"/>
        <w:gridCol w:w="3811"/>
        <w:gridCol w:w="674"/>
        <w:gridCol w:w="883"/>
        <w:gridCol w:w="1745"/>
        <w:gridCol w:w="1317"/>
        <w:gridCol w:w="464"/>
        <w:gridCol w:w="564"/>
        <w:gridCol w:w="453"/>
        <w:gridCol w:w="448"/>
        <w:gridCol w:w="564"/>
        <w:gridCol w:w="453"/>
        <w:gridCol w:w="464"/>
        <w:gridCol w:w="564"/>
        <w:gridCol w:w="453"/>
        <w:gridCol w:w="448"/>
        <w:gridCol w:w="564"/>
        <w:gridCol w:w="453"/>
        <w:gridCol w:w="598"/>
      </w:tblGrid>
      <w:tr w:rsidR="006B2EC1" w14:paraId="3F4A6EA9" w14:textId="77777777" w:rsidTr="0047688D">
        <w:trPr>
          <w:tblHeader/>
        </w:trPr>
        <w:tc>
          <w:tcPr>
            <w:tcW w:w="0" w:type="auto"/>
            <w:shd w:val="clear" w:color="auto" w:fill="auto"/>
          </w:tcPr>
          <w:p w14:paraId="71417715" w14:textId="77777777" w:rsidR="008C5CFA" w:rsidRPr="00601E29" w:rsidRDefault="00E82A60" w:rsidP="00300A01">
            <w:pPr>
              <w:spacing w:before="0" w:after="0"/>
              <w:rPr>
                <w:b/>
                <w:sz w:val="10"/>
                <w:szCs w:val="10"/>
                <w:lang w:val="fr-BE"/>
              </w:rPr>
            </w:pPr>
            <w:r w:rsidRPr="00601E29">
              <w:rPr>
                <w:b/>
                <w:noProof/>
                <w:sz w:val="10"/>
                <w:szCs w:val="10"/>
                <w:lang w:val="fr-BE"/>
              </w:rPr>
              <w:t>ID</w:t>
            </w:r>
          </w:p>
        </w:tc>
        <w:tc>
          <w:tcPr>
            <w:tcW w:w="0" w:type="auto"/>
            <w:shd w:val="clear" w:color="auto" w:fill="auto"/>
          </w:tcPr>
          <w:p w14:paraId="778243E8" w14:textId="77777777" w:rsidR="008C5CFA" w:rsidRPr="00601E29" w:rsidRDefault="00E82A60" w:rsidP="00300A01">
            <w:pPr>
              <w:spacing w:before="0" w:after="0"/>
              <w:rPr>
                <w:b/>
                <w:sz w:val="10"/>
                <w:szCs w:val="10"/>
                <w:lang w:val="fr-BE"/>
              </w:rPr>
            </w:pPr>
            <w:r w:rsidRPr="00601E29">
              <w:rPr>
                <w:b/>
                <w:noProof/>
                <w:sz w:val="10"/>
                <w:szCs w:val="10"/>
                <w:lang w:val="fr-BE"/>
              </w:rPr>
              <w:t>Wskaźnik</w:t>
            </w:r>
          </w:p>
        </w:tc>
        <w:tc>
          <w:tcPr>
            <w:tcW w:w="0" w:type="auto"/>
            <w:shd w:val="clear" w:color="auto" w:fill="auto"/>
          </w:tcPr>
          <w:p w14:paraId="5B741A95" w14:textId="77777777" w:rsidR="008C5CFA" w:rsidRPr="00601E29" w:rsidRDefault="00E82A60" w:rsidP="00300A01">
            <w:pPr>
              <w:spacing w:before="0" w:after="0"/>
              <w:rPr>
                <w:b/>
                <w:sz w:val="10"/>
                <w:szCs w:val="10"/>
                <w:lang w:val="fr-BE"/>
              </w:rPr>
            </w:pPr>
            <w:r w:rsidRPr="00601E29">
              <w:rPr>
                <w:b/>
                <w:noProof/>
                <w:sz w:val="10"/>
                <w:szCs w:val="10"/>
                <w:lang w:val="fr-BE"/>
              </w:rPr>
              <w:t>Kategoria regionu</w:t>
            </w:r>
          </w:p>
        </w:tc>
        <w:tc>
          <w:tcPr>
            <w:tcW w:w="0" w:type="auto"/>
            <w:shd w:val="clear" w:color="auto" w:fill="auto"/>
          </w:tcPr>
          <w:p w14:paraId="102CB759" w14:textId="77777777" w:rsidR="008C5CFA" w:rsidRPr="00601E29" w:rsidRDefault="00E82A60" w:rsidP="00300A01">
            <w:pPr>
              <w:spacing w:before="0" w:after="0"/>
              <w:rPr>
                <w:b/>
                <w:sz w:val="10"/>
                <w:szCs w:val="10"/>
                <w:lang w:val="fr-BE"/>
              </w:rPr>
            </w:pPr>
            <w:r w:rsidRPr="00785F4A">
              <w:rPr>
                <w:b/>
                <w:noProof/>
                <w:sz w:val="10"/>
                <w:szCs w:val="10"/>
                <w:lang w:val="fr-BE"/>
              </w:rPr>
              <w:t>Jednostka pomiaru wskaźnika</w:t>
            </w:r>
          </w:p>
        </w:tc>
        <w:tc>
          <w:tcPr>
            <w:tcW w:w="0" w:type="auto"/>
            <w:shd w:val="clear" w:color="auto" w:fill="auto"/>
          </w:tcPr>
          <w:p w14:paraId="1E82966B" w14:textId="77777777" w:rsidR="008C5CFA" w:rsidRPr="00601E29" w:rsidRDefault="00E82A60" w:rsidP="00300A01">
            <w:pPr>
              <w:spacing w:before="0" w:after="0"/>
              <w:rPr>
                <w:b/>
                <w:sz w:val="10"/>
                <w:szCs w:val="10"/>
                <w:lang w:val="fr-BE"/>
              </w:rPr>
            </w:pPr>
            <w:r w:rsidRPr="00601E29">
              <w:rPr>
                <w:b/>
                <w:noProof/>
                <w:sz w:val="10"/>
                <w:szCs w:val="10"/>
                <w:lang w:val="fr-BE"/>
              </w:rPr>
              <w:t>Wskaźnik produktu stosowany jako podstawa do ustalania celów</w:t>
            </w:r>
          </w:p>
        </w:tc>
        <w:tc>
          <w:tcPr>
            <w:tcW w:w="0" w:type="auto"/>
            <w:shd w:val="clear" w:color="auto" w:fill="auto"/>
          </w:tcPr>
          <w:p w14:paraId="12D14C7C" w14:textId="77777777" w:rsidR="008C5CFA" w:rsidRPr="00601E29" w:rsidRDefault="00E82A60" w:rsidP="00300A01">
            <w:pPr>
              <w:spacing w:before="0" w:after="0"/>
              <w:rPr>
                <w:b/>
                <w:sz w:val="10"/>
                <w:szCs w:val="10"/>
                <w:lang w:val="fr-BE"/>
              </w:rPr>
            </w:pPr>
            <w:r w:rsidRPr="00601E29">
              <w:rPr>
                <w:b/>
                <w:noProof/>
                <w:sz w:val="10"/>
                <w:szCs w:val="10"/>
                <w:lang w:val="fr-BE"/>
              </w:rPr>
              <w:t>Jednostka pomiaru dla wartości bazowej i docelowej</w:t>
            </w:r>
          </w:p>
        </w:tc>
        <w:tc>
          <w:tcPr>
            <w:tcW w:w="0" w:type="auto"/>
            <w:gridSpan w:val="3"/>
            <w:shd w:val="clear" w:color="auto" w:fill="auto"/>
          </w:tcPr>
          <w:p w14:paraId="026FDAB6" w14:textId="77777777" w:rsidR="008C5CFA" w:rsidRPr="00601E29" w:rsidRDefault="00E82A60" w:rsidP="00300A01">
            <w:pPr>
              <w:spacing w:before="0" w:after="0"/>
              <w:jc w:val="center"/>
              <w:rPr>
                <w:b/>
                <w:sz w:val="10"/>
                <w:szCs w:val="10"/>
                <w:lang w:val="fr-BE"/>
              </w:rPr>
            </w:pPr>
            <w:r w:rsidRPr="00601E29">
              <w:rPr>
                <w:b/>
                <w:noProof/>
                <w:sz w:val="10"/>
                <w:szCs w:val="10"/>
                <w:lang w:val="fr-BE"/>
              </w:rPr>
              <w:t>Wartość docelowa (2023)</w:t>
            </w:r>
          </w:p>
        </w:tc>
        <w:tc>
          <w:tcPr>
            <w:tcW w:w="0" w:type="auto"/>
            <w:gridSpan w:val="3"/>
            <w:shd w:val="clear" w:color="auto" w:fill="auto"/>
          </w:tcPr>
          <w:p w14:paraId="18262B4C" w14:textId="77777777" w:rsidR="008C5CFA" w:rsidRPr="00601E29" w:rsidRDefault="00E82A60" w:rsidP="00300A01">
            <w:pPr>
              <w:spacing w:before="0" w:after="0"/>
              <w:jc w:val="center"/>
              <w:rPr>
                <w:b/>
                <w:sz w:val="10"/>
                <w:szCs w:val="10"/>
                <w:lang w:val="fr-BE"/>
              </w:rPr>
            </w:pPr>
            <w:r w:rsidRPr="00601E29">
              <w:rPr>
                <w:b/>
                <w:noProof/>
                <w:sz w:val="10"/>
                <w:szCs w:val="10"/>
                <w:lang w:val="fr-BE"/>
              </w:rPr>
              <w:t>Wskaźnik osiągnięć</w:t>
            </w:r>
          </w:p>
        </w:tc>
        <w:tc>
          <w:tcPr>
            <w:tcW w:w="0" w:type="auto"/>
            <w:gridSpan w:val="7"/>
            <w:shd w:val="clear" w:color="auto" w:fill="auto"/>
          </w:tcPr>
          <w:p w14:paraId="0B57B86A" w14:textId="77777777" w:rsidR="008C5CFA" w:rsidRPr="00601E29" w:rsidRDefault="00E82A60" w:rsidP="00300A01">
            <w:pPr>
              <w:spacing w:before="0" w:after="0"/>
              <w:jc w:val="center"/>
              <w:rPr>
                <w:b/>
                <w:sz w:val="10"/>
                <w:szCs w:val="10"/>
                <w:lang w:val="fr-BE"/>
              </w:rPr>
            </w:pPr>
            <w:r>
              <w:rPr>
                <w:b/>
                <w:sz w:val="10"/>
                <w:szCs w:val="10"/>
                <w:lang w:val="fr-BE"/>
              </w:rPr>
              <w:t>2019</w:t>
            </w:r>
          </w:p>
        </w:tc>
      </w:tr>
      <w:tr w:rsidR="006B2EC1" w14:paraId="4EB43D25" w14:textId="77777777" w:rsidTr="0047688D">
        <w:trPr>
          <w:tblHeader/>
        </w:trPr>
        <w:tc>
          <w:tcPr>
            <w:tcW w:w="0" w:type="auto"/>
            <w:shd w:val="clear" w:color="auto" w:fill="auto"/>
          </w:tcPr>
          <w:p w14:paraId="25840D0F" w14:textId="77777777" w:rsidR="008C5CFA" w:rsidRPr="00601E29" w:rsidRDefault="008C5CFA" w:rsidP="00300A01">
            <w:pPr>
              <w:spacing w:before="0" w:after="0"/>
              <w:rPr>
                <w:b/>
                <w:sz w:val="10"/>
                <w:szCs w:val="10"/>
                <w:lang w:val="fr-BE"/>
              </w:rPr>
            </w:pPr>
          </w:p>
        </w:tc>
        <w:tc>
          <w:tcPr>
            <w:tcW w:w="0" w:type="auto"/>
            <w:shd w:val="clear" w:color="auto" w:fill="auto"/>
          </w:tcPr>
          <w:p w14:paraId="55F5ACC0" w14:textId="77777777" w:rsidR="008C5CFA" w:rsidRPr="00601E29" w:rsidRDefault="008C5CFA" w:rsidP="00300A01">
            <w:pPr>
              <w:spacing w:before="0" w:after="0"/>
              <w:rPr>
                <w:b/>
                <w:sz w:val="10"/>
                <w:szCs w:val="10"/>
                <w:lang w:val="fr-BE"/>
              </w:rPr>
            </w:pPr>
          </w:p>
        </w:tc>
        <w:tc>
          <w:tcPr>
            <w:tcW w:w="0" w:type="auto"/>
            <w:shd w:val="clear" w:color="auto" w:fill="auto"/>
          </w:tcPr>
          <w:p w14:paraId="4CF11359" w14:textId="77777777" w:rsidR="008C5CFA" w:rsidRPr="00601E29" w:rsidRDefault="008C5CFA" w:rsidP="00300A01">
            <w:pPr>
              <w:spacing w:before="0" w:after="0"/>
              <w:rPr>
                <w:b/>
                <w:sz w:val="10"/>
                <w:szCs w:val="10"/>
                <w:lang w:val="fr-BE"/>
              </w:rPr>
            </w:pPr>
          </w:p>
        </w:tc>
        <w:tc>
          <w:tcPr>
            <w:tcW w:w="0" w:type="auto"/>
            <w:shd w:val="clear" w:color="auto" w:fill="auto"/>
          </w:tcPr>
          <w:p w14:paraId="57800FC1" w14:textId="77777777" w:rsidR="008C5CFA" w:rsidRPr="00601E29" w:rsidRDefault="008C5CFA" w:rsidP="00300A01">
            <w:pPr>
              <w:spacing w:before="0" w:after="0"/>
              <w:rPr>
                <w:b/>
                <w:sz w:val="10"/>
                <w:szCs w:val="10"/>
                <w:lang w:val="fr-BE"/>
              </w:rPr>
            </w:pPr>
          </w:p>
        </w:tc>
        <w:tc>
          <w:tcPr>
            <w:tcW w:w="0" w:type="auto"/>
            <w:shd w:val="clear" w:color="auto" w:fill="auto"/>
          </w:tcPr>
          <w:p w14:paraId="66E93175" w14:textId="77777777" w:rsidR="008C5CFA" w:rsidRPr="00601E29" w:rsidRDefault="008C5CFA" w:rsidP="00300A01">
            <w:pPr>
              <w:spacing w:before="0" w:after="0"/>
              <w:rPr>
                <w:b/>
                <w:sz w:val="10"/>
                <w:szCs w:val="10"/>
                <w:lang w:val="fr-BE"/>
              </w:rPr>
            </w:pPr>
          </w:p>
        </w:tc>
        <w:tc>
          <w:tcPr>
            <w:tcW w:w="0" w:type="auto"/>
            <w:shd w:val="clear" w:color="auto" w:fill="auto"/>
          </w:tcPr>
          <w:p w14:paraId="1B1B473F" w14:textId="77777777" w:rsidR="008C5CFA" w:rsidRPr="00601E29" w:rsidRDefault="008C5CFA" w:rsidP="00300A01">
            <w:pPr>
              <w:spacing w:before="0" w:after="0"/>
              <w:rPr>
                <w:b/>
                <w:sz w:val="10"/>
                <w:szCs w:val="10"/>
                <w:lang w:val="fr-BE"/>
              </w:rPr>
            </w:pPr>
          </w:p>
        </w:tc>
        <w:tc>
          <w:tcPr>
            <w:tcW w:w="0" w:type="auto"/>
            <w:shd w:val="clear" w:color="auto" w:fill="auto"/>
          </w:tcPr>
          <w:p w14:paraId="00890B64" w14:textId="77777777" w:rsidR="008C5CFA" w:rsidRPr="00601E29" w:rsidRDefault="008C5CFA" w:rsidP="00300A01">
            <w:pPr>
              <w:spacing w:before="0" w:after="0"/>
              <w:jc w:val="center"/>
              <w:rPr>
                <w:b/>
                <w:sz w:val="10"/>
                <w:szCs w:val="10"/>
                <w:lang w:val="fr-BE"/>
              </w:rPr>
            </w:pPr>
          </w:p>
        </w:tc>
        <w:tc>
          <w:tcPr>
            <w:tcW w:w="0" w:type="auto"/>
            <w:shd w:val="clear" w:color="auto" w:fill="auto"/>
          </w:tcPr>
          <w:p w14:paraId="2486A417" w14:textId="77777777" w:rsidR="008C5CFA" w:rsidRPr="00601E29" w:rsidRDefault="008C5CFA" w:rsidP="00300A01">
            <w:pPr>
              <w:spacing w:before="0" w:after="0"/>
              <w:jc w:val="center"/>
              <w:rPr>
                <w:b/>
                <w:sz w:val="10"/>
                <w:szCs w:val="10"/>
                <w:lang w:val="fr-BE"/>
              </w:rPr>
            </w:pPr>
          </w:p>
        </w:tc>
        <w:tc>
          <w:tcPr>
            <w:tcW w:w="0" w:type="auto"/>
            <w:shd w:val="clear" w:color="auto" w:fill="auto"/>
          </w:tcPr>
          <w:p w14:paraId="5C51D900" w14:textId="77777777" w:rsidR="008C5CFA" w:rsidRPr="00601E29" w:rsidRDefault="008C5CFA" w:rsidP="00300A01">
            <w:pPr>
              <w:spacing w:before="0" w:after="0"/>
              <w:jc w:val="center"/>
              <w:rPr>
                <w:b/>
                <w:sz w:val="10"/>
                <w:szCs w:val="10"/>
                <w:lang w:val="fr-BE"/>
              </w:rPr>
            </w:pPr>
          </w:p>
        </w:tc>
        <w:tc>
          <w:tcPr>
            <w:tcW w:w="0" w:type="auto"/>
            <w:shd w:val="clear" w:color="auto" w:fill="auto"/>
          </w:tcPr>
          <w:p w14:paraId="4AFEC7C1" w14:textId="77777777" w:rsidR="008C5CFA" w:rsidRPr="00601E29" w:rsidRDefault="008C5CFA" w:rsidP="00300A01">
            <w:pPr>
              <w:spacing w:before="0" w:after="0"/>
              <w:jc w:val="center"/>
              <w:rPr>
                <w:b/>
                <w:sz w:val="10"/>
                <w:szCs w:val="10"/>
                <w:lang w:val="fr-BE"/>
              </w:rPr>
            </w:pPr>
          </w:p>
        </w:tc>
        <w:tc>
          <w:tcPr>
            <w:tcW w:w="0" w:type="auto"/>
            <w:shd w:val="clear" w:color="auto" w:fill="auto"/>
          </w:tcPr>
          <w:p w14:paraId="2B4204BE" w14:textId="77777777" w:rsidR="008C5CFA" w:rsidRPr="00601E29" w:rsidRDefault="008C5CFA" w:rsidP="00300A01">
            <w:pPr>
              <w:spacing w:before="0" w:after="0"/>
              <w:jc w:val="center"/>
              <w:rPr>
                <w:b/>
                <w:sz w:val="10"/>
                <w:szCs w:val="10"/>
                <w:lang w:val="fr-BE"/>
              </w:rPr>
            </w:pPr>
          </w:p>
        </w:tc>
        <w:tc>
          <w:tcPr>
            <w:tcW w:w="0" w:type="auto"/>
            <w:shd w:val="clear" w:color="auto" w:fill="auto"/>
          </w:tcPr>
          <w:p w14:paraId="1EBCA765" w14:textId="77777777" w:rsidR="008C5CFA" w:rsidRPr="00601E29" w:rsidRDefault="008C5CFA" w:rsidP="00300A01">
            <w:pPr>
              <w:spacing w:before="0" w:after="0"/>
              <w:jc w:val="center"/>
              <w:rPr>
                <w:b/>
                <w:sz w:val="10"/>
                <w:szCs w:val="10"/>
                <w:lang w:val="fr-BE"/>
              </w:rPr>
            </w:pPr>
          </w:p>
        </w:tc>
        <w:tc>
          <w:tcPr>
            <w:tcW w:w="0" w:type="auto"/>
            <w:gridSpan w:val="3"/>
            <w:shd w:val="clear" w:color="auto" w:fill="auto"/>
          </w:tcPr>
          <w:p w14:paraId="466E9446" w14:textId="77777777" w:rsidR="008C5CFA" w:rsidRPr="00601E29" w:rsidRDefault="00E82A60" w:rsidP="00300A01">
            <w:pPr>
              <w:spacing w:before="0" w:after="0"/>
              <w:jc w:val="center"/>
              <w:rPr>
                <w:b/>
                <w:sz w:val="10"/>
                <w:szCs w:val="10"/>
                <w:lang w:val="fr-BE"/>
              </w:rPr>
            </w:pPr>
            <w:r w:rsidRPr="00601E29">
              <w:rPr>
                <w:b/>
                <w:noProof/>
                <w:sz w:val="10"/>
                <w:szCs w:val="10"/>
                <w:lang w:val="fr-BE"/>
              </w:rPr>
              <w:t>Łącznie</w:t>
            </w:r>
          </w:p>
        </w:tc>
        <w:tc>
          <w:tcPr>
            <w:tcW w:w="0" w:type="auto"/>
            <w:gridSpan w:val="3"/>
          </w:tcPr>
          <w:p w14:paraId="1B3B1F51" w14:textId="77777777" w:rsidR="008C5CFA" w:rsidRPr="00601E29" w:rsidRDefault="00E82A60" w:rsidP="00300A01">
            <w:pPr>
              <w:spacing w:before="0" w:after="0"/>
              <w:jc w:val="center"/>
              <w:rPr>
                <w:b/>
                <w:sz w:val="10"/>
                <w:szCs w:val="10"/>
                <w:lang w:val="fr-BE"/>
              </w:rPr>
            </w:pPr>
            <w:r w:rsidRPr="00601E29">
              <w:rPr>
                <w:b/>
                <w:noProof/>
                <w:sz w:val="10"/>
                <w:szCs w:val="10"/>
                <w:lang w:val="fr-BE"/>
              </w:rPr>
              <w:t>Łącznie w roku</w:t>
            </w:r>
          </w:p>
        </w:tc>
        <w:tc>
          <w:tcPr>
            <w:tcW w:w="0" w:type="auto"/>
          </w:tcPr>
          <w:p w14:paraId="462D30C1" w14:textId="77777777" w:rsidR="008C5CFA" w:rsidRPr="00601E29" w:rsidRDefault="00E82A60" w:rsidP="00300A01">
            <w:pPr>
              <w:spacing w:before="0" w:after="0"/>
              <w:jc w:val="center"/>
              <w:rPr>
                <w:b/>
                <w:sz w:val="10"/>
                <w:szCs w:val="10"/>
                <w:lang w:val="fr-BE"/>
              </w:rPr>
            </w:pPr>
            <w:r w:rsidRPr="00601E29">
              <w:rPr>
                <w:b/>
                <w:noProof/>
                <w:sz w:val="10"/>
                <w:szCs w:val="10"/>
                <w:lang w:val="fr-BE"/>
              </w:rPr>
              <w:t>Jakościowe</w:t>
            </w:r>
          </w:p>
        </w:tc>
      </w:tr>
      <w:tr w:rsidR="006B2EC1" w14:paraId="2C836E9B" w14:textId="77777777" w:rsidTr="0047688D">
        <w:trPr>
          <w:tblHeader/>
        </w:trPr>
        <w:tc>
          <w:tcPr>
            <w:tcW w:w="0" w:type="auto"/>
            <w:shd w:val="clear" w:color="auto" w:fill="auto"/>
          </w:tcPr>
          <w:p w14:paraId="739A96E5" w14:textId="77777777" w:rsidR="008C5CFA" w:rsidRPr="00601E29" w:rsidRDefault="008C5CFA" w:rsidP="00300A01">
            <w:pPr>
              <w:spacing w:before="0" w:after="0"/>
              <w:rPr>
                <w:b/>
                <w:sz w:val="10"/>
                <w:szCs w:val="10"/>
                <w:lang w:val="fr-BE"/>
              </w:rPr>
            </w:pPr>
          </w:p>
        </w:tc>
        <w:tc>
          <w:tcPr>
            <w:tcW w:w="0" w:type="auto"/>
            <w:shd w:val="clear" w:color="auto" w:fill="auto"/>
          </w:tcPr>
          <w:p w14:paraId="0C9BC2F6" w14:textId="77777777" w:rsidR="008C5CFA" w:rsidRPr="00601E29" w:rsidRDefault="008C5CFA" w:rsidP="00300A01">
            <w:pPr>
              <w:spacing w:before="0" w:after="0"/>
              <w:rPr>
                <w:b/>
                <w:sz w:val="10"/>
                <w:szCs w:val="10"/>
                <w:lang w:val="fr-BE"/>
              </w:rPr>
            </w:pPr>
          </w:p>
        </w:tc>
        <w:tc>
          <w:tcPr>
            <w:tcW w:w="0" w:type="auto"/>
            <w:shd w:val="clear" w:color="auto" w:fill="auto"/>
          </w:tcPr>
          <w:p w14:paraId="4E92FCE8" w14:textId="77777777" w:rsidR="008C5CFA" w:rsidRPr="00601E29" w:rsidRDefault="008C5CFA" w:rsidP="00300A01">
            <w:pPr>
              <w:spacing w:before="0" w:after="0"/>
              <w:rPr>
                <w:b/>
                <w:sz w:val="10"/>
                <w:szCs w:val="10"/>
                <w:lang w:val="fr-BE"/>
              </w:rPr>
            </w:pPr>
          </w:p>
        </w:tc>
        <w:tc>
          <w:tcPr>
            <w:tcW w:w="0" w:type="auto"/>
            <w:shd w:val="clear" w:color="auto" w:fill="auto"/>
          </w:tcPr>
          <w:p w14:paraId="77FD2A31" w14:textId="77777777" w:rsidR="008C5CFA" w:rsidRPr="00601E29" w:rsidRDefault="008C5CFA" w:rsidP="00300A01">
            <w:pPr>
              <w:spacing w:before="0" w:after="0"/>
              <w:rPr>
                <w:b/>
                <w:sz w:val="10"/>
                <w:szCs w:val="10"/>
                <w:lang w:val="fr-BE"/>
              </w:rPr>
            </w:pPr>
          </w:p>
        </w:tc>
        <w:tc>
          <w:tcPr>
            <w:tcW w:w="0" w:type="auto"/>
            <w:shd w:val="clear" w:color="auto" w:fill="auto"/>
          </w:tcPr>
          <w:p w14:paraId="464898CE" w14:textId="77777777" w:rsidR="008C5CFA" w:rsidRPr="00601E29" w:rsidRDefault="008C5CFA" w:rsidP="00300A01">
            <w:pPr>
              <w:spacing w:before="0" w:after="0"/>
              <w:rPr>
                <w:b/>
                <w:sz w:val="10"/>
                <w:szCs w:val="10"/>
                <w:lang w:val="fr-BE"/>
              </w:rPr>
            </w:pPr>
          </w:p>
        </w:tc>
        <w:tc>
          <w:tcPr>
            <w:tcW w:w="0" w:type="auto"/>
            <w:shd w:val="clear" w:color="auto" w:fill="auto"/>
          </w:tcPr>
          <w:p w14:paraId="6A1AEC2D" w14:textId="77777777" w:rsidR="008C5CFA" w:rsidRPr="00601E29" w:rsidRDefault="008C5CFA" w:rsidP="00300A01">
            <w:pPr>
              <w:spacing w:before="0" w:after="0"/>
              <w:rPr>
                <w:b/>
                <w:sz w:val="10"/>
                <w:szCs w:val="10"/>
                <w:lang w:val="fr-BE"/>
              </w:rPr>
            </w:pPr>
          </w:p>
        </w:tc>
        <w:tc>
          <w:tcPr>
            <w:tcW w:w="0" w:type="auto"/>
            <w:shd w:val="clear" w:color="auto" w:fill="auto"/>
          </w:tcPr>
          <w:p w14:paraId="25E37648" w14:textId="77777777" w:rsidR="008C5CFA" w:rsidRPr="00601E29" w:rsidRDefault="00E82A60" w:rsidP="00300A01">
            <w:pPr>
              <w:spacing w:before="0" w:after="0"/>
              <w:jc w:val="center"/>
              <w:rPr>
                <w:b/>
                <w:sz w:val="10"/>
                <w:szCs w:val="10"/>
                <w:lang w:val="fr-BE"/>
              </w:rPr>
            </w:pPr>
            <w:r w:rsidRPr="00601E29">
              <w:rPr>
                <w:b/>
                <w:noProof/>
                <w:sz w:val="10"/>
                <w:szCs w:val="10"/>
                <w:lang w:val="fr-BE"/>
              </w:rPr>
              <w:t>Ogółem</w:t>
            </w:r>
          </w:p>
        </w:tc>
        <w:tc>
          <w:tcPr>
            <w:tcW w:w="0" w:type="auto"/>
            <w:shd w:val="clear" w:color="auto" w:fill="auto"/>
          </w:tcPr>
          <w:p w14:paraId="223D6C45" w14:textId="77777777" w:rsidR="008C5CFA" w:rsidRPr="00601E29" w:rsidRDefault="00E82A60" w:rsidP="00300A01">
            <w:pPr>
              <w:spacing w:before="0" w:after="0"/>
              <w:jc w:val="center"/>
              <w:rPr>
                <w:b/>
                <w:sz w:val="10"/>
                <w:szCs w:val="10"/>
                <w:lang w:val="fr-BE"/>
              </w:rPr>
            </w:pPr>
            <w:r w:rsidRPr="00601E29">
              <w:rPr>
                <w:b/>
                <w:noProof/>
                <w:sz w:val="10"/>
                <w:szCs w:val="10"/>
                <w:lang w:val="fr-BE"/>
              </w:rPr>
              <w:t>Mężczyźni</w:t>
            </w:r>
          </w:p>
        </w:tc>
        <w:tc>
          <w:tcPr>
            <w:tcW w:w="0" w:type="auto"/>
            <w:shd w:val="clear" w:color="auto" w:fill="auto"/>
          </w:tcPr>
          <w:p w14:paraId="296F4AD1" w14:textId="77777777" w:rsidR="008C5CFA" w:rsidRPr="00601E29" w:rsidRDefault="00E82A60" w:rsidP="00300A01">
            <w:pPr>
              <w:spacing w:before="0" w:after="0"/>
              <w:jc w:val="center"/>
              <w:rPr>
                <w:b/>
                <w:sz w:val="10"/>
                <w:szCs w:val="10"/>
                <w:lang w:val="fr-BE"/>
              </w:rPr>
            </w:pPr>
            <w:r w:rsidRPr="00601E29">
              <w:rPr>
                <w:b/>
                <w:noProof/>
                <w:sz w:val="10"/>
                <w:szCs w:val="10"/>
                <w:lang w:val="fr-BE"/>
              </w:rPr>
              <w:t>Kobiety</w:t>
            </w:r>
          </w:p>
        </w:tc>
        <w:tc>
          <w:tcPr>
            <w:tcW w:w="0" w:type="auto"/>
            <w:shd w:val="clear" w:color="auto" w:fill="auto"/>
          </w:tcPr>
          <w:p w14:paraId="2D95ECCC" w14:textId="77777777" w:rsidR="008C5CFA" w:rsidRPr="00601E29" w:rsidRDefault="00E82A60" w:rsidP="00300A01">
            <w:pPr>
              <w:spacing w:before="0" w:after="0"/>
              <w:jc w:val="center"/>
              <w:rPr>
                <w:b/>
                <w:sz w:val="10"/>
                <w:szCs w:val="10"/>
                <w:lang w:val="fr-BE"/>
              </w:rPr>
            </w:pPr>
            <w:r w:rsidRPr="00601E29">
              <w:rPr>
                <w:b/>
                <w:noProof/>
                <w:sz w:val="10"/>
                <w:szCs w:val="10"/>
                <w:lang w:val="fr-BE"/>
              </w:rPr>
              <w:t>Ogółem</w:t>
            </w:r>
          </w:p>
        </w:tc>
        <w:tc>
          <w:tcPr>
            <w:tcW w:w="0" w:type="auto"/>
            <w:shd w:val="clear" w:color="auto" w:fill="auto"/>
          </w:tcPr>
          <w:p w14:paraId="6BAA22C7" w14:textId="77777777" w:rsidR="008C5CFA" w:rsidRPr="00601E29" w:rsidRDefault="00E82A60" w:rsidP="00300A01">
            <w:pPr>
              <w:spacing w:before="0" w:after="0"/>
              <w:jc w:val="center"/>
              <w:rPr>
                <w:b/>
                <w:sz w:val="10"/>
                <w:szCs w:val="10"/>
                <w:lang w:val="fr-BE"/>
              </w:rPr>
            </w:pPr>
            <w:r w:rsidRPr="00601E29">
              <w:rPr>
                <w:b/>
                <w:noProof/>
                <w:sz w:val="10"/>
                <w:szCs w:val="10"/>
                <w:lang w:val="fr-BE"/>
              </w:rPr>
              <w:t>Mężczyźni</w:t>
            </w:r>
          </w:p>
        </w:tc>
        <w:tc>
          <w:tcPr>
            <w:tcW w:w="0" w:type="auto"/>
            <w:shd w:val="clear" w:color="auto" w:fill="auto"/>
          </w:tcPr>
          <w:p w14:paraId="79050FDF" w14:textId="77777777" w:rsidR="008C5CFA" w:rsidRPr="00601E29" w:rsidRDefault="00E82A60" w:rsidP="00300A01">
            <w:pPr>
              <w:spacing w:before="0" w:after="0"/>
              <w:jc w:val="center"/>
              <w:rPr>
                <w:b/>
                <w:sz w:val="10"/>
                <w:szCs w:val="10"/>
                <w:lang w:val="fr-BE"/>
              </w:rPr>
            </w:pPr>
            <w:r w:rsidRPr="00601E29">
              <w:rPr>
                <w:b/>
                <w:noProof/>
                <w:sz w:val="10"/>
                <w:szCs w:val="10"/>
                <w:lang w:val="fr-BE"/>
              </w:rPr>
              <w:t>Kobiety</w:t>
            </w:r>
          </w:p>
        </w:tc>
        <w:tc>
          <w:tcPr>
            <w:tcW w:w="0" w:type="auto"/>
            <w:shd w:val="clear" w:color="auto" w:fill="auto"/>
          </w:tcPr>
          <w:p w14:paraId="523EC749" w14:textId="77777777" w:rsidR="008C5CFA" w:rsidRPr="00601E29" w:rsidRDefault="00E82A60" w:rsidP="00300A01">
            <w:pPr>
              <w:spacing w:before="0" w:after="0"/>
              <w:jc w:val="center"/>
              <w:rPr>
                <w:b/>
                <w:sz w:val="10"/>
                <w:szCs w:val="10"/>
                <w:lang w:val="fr-BE"/>
              </w:rPr>
            </w:pPr>
            <w:r w:rsidRPr="00601E29">
              <w:rPr>
                <w:b/>
                <w:noProof/>
                <w:sz w:val="10"/>
                <w:szCs w:val="10"/>
                <w:lang w:val="fr-BE"/>
              </w:rPr>
              <w:t>Ogółem</w:t>
            </w:r>
          </w:p>
        </w:tc>
        <w:tc>
          <w:tcPr>
            <w:tcW w:w="0" w:type="auto"/>
            <w:shd w:val="clear" w:color="auto" w:fill="auto"/>
          </w:tcPr>
          <w:p w14:paraId="4D701D4D" w14:textId="77777777" w:rsidR="008C5CFA" w:rsidRPr="00601E29" w:rsidRDefault="00E82A60" w:rsidP="00300A01">
            <w:pPr>
              <w:spacing w:before="0" w:after="0"/>
              <w:jc w:val="center"/>
              <w:rPr>
                <w:b/>
                <w:sz w:val="10"/>
                <w:szCs w:val="10"/>
                <w:lang w:val="fr-BE"/>
              </w:rPr>
            </w:pPr>
            <w:r w:rsidRPr="00601E29">
              <w:rPr>
                <w:b/>
                <w:noProof/>
                <w:sz w:val="10"/>
                <w:szCs w:val="10"/>
                <w:lang w:val="fr-BE"/>
              </w:rPr>
              <w:t>Mężczyźni</w:t>
            </w:r>
          </w:p>
        </w:tc>
        <w:tc>
          <w:tcPr>
            <w:tcW w:w="0" w:type="auto"/>
            <w:shd w:val="clear" w:color="auto" w:fill="auto"/>
          </w:tcPr>
          <w:p w14:paraId="6120EE62" w14:textId="77777777" w:rsidR="008C5CFA" w:rsidRPr="00601E29" w:rsidRDefault="00E82A60" w:rsidP="00300A01">
            <w:pPr>
              <w:spacing w:before="0" w:after="0"/>
              <w:jc w:val="center"/>
              <w:rPr>
                <w:b/>
                <w:sz w:val="10"/>
                <w:szCs w:val="10"/>
                <w:lang w:val="fr-BE"/>
              </w:rPr>
            </w:pPr>
            <w:r w:rsidRPr="00601E29">
              <w:rPr>
                <w:b/>
                <w:noProof/>
                <w:sz w:val="10"/>
                <w:szCs w:val="10"/>
                <w:lang w:val="fr-BE"/>
              </w:rPr>
              <w:t>Kobiety</w:t>
            </w:r>
          </w:p>
        </w:tc>
        <w:tc>
          <w:tcPr>
            <w:tcW w:w="0" w:type="auto"/>
          </w:tcPr>
          <w:p w14:paraId="47661685" w14:textId="77777777" w:rsidR="008C5CFA" w:rsidRPr="00601E29" w:rsidRDefault="00E82A60" w:rsidP="00300A01">
            <w:pPr>
              <w:spacing w:before="0" w:after="0"/>
              <w:jc w:val="center"/>
              <w:rPr>
                <w:b/>
                <w:sz w:val="10"/>
                <w:szCs w:val="10"/>
                <w:lang w:val="fr-BE"/>
              </w:rPr>
            </w:pPr>
            <w:r w:rsidRPr="00601E29">
              <w:rPr>
                <w:b/>
                <w:noProof/>
                <w:sz w:val="10"/>
                <w:szCs w:val="10"/>
                <w:lang w:val="fr-BE"/>
              </w:rPr>
              <w:t>Ogółem</w:t>
            </w:r>
          </w:p>
        </w:tc>
        <w:tc>
          <w:tcPr>
            <w:tcW w:w="0" w:type="auto"/>
            <w:shd w:val="clear" w:color="auto" w:fill="auto"/>
          </w:tcPr>
          <w:p w14:paraId="327ABBE4" w14:textId="77777777" w:rsidR="008C5CFA" w:rsidRPr="00601E29" w:rsidRDefault="00E82A60" w:rsidP="00300A01">
            <w:pPr>
              <w:spacing w:before="0" w:after="0"/>
              <w:jc w:val="center"/>
              <w:rPr>
                <w:b/>
                <w:sz w:val="10"/>
                <w:szCs w:val="10"/>
                <w:lang w:val="fr-BE"/>
              </w:rPr>
            </w:pPr>
            <w:r w:rsidRPr="00601E29">
              <w:rPr>
                <w:b/>
                <w:noProof/>
                <w:sz w:val="10"/>
                <w:szCs w:val="10"/>
                <w:lang w:val="fr-BE"/>
              </w:rPr>
              <w:t>Mężczyźni</w:t>
            </w:r>
          </w:p>
        </w:tc>
        <w:tc>
          <w:tcPr>
            <w:tcW w:w="0" w:type="auto"/>
            <w:shd w:val="clear" w:color="auto" w:fill="auto"/>
          </w:tcPr>
          <w:p w14:paraId="2986EFEC" w14:textId="77777777" w:rsidR="008C5CFA" w:rsidRPr="00601E29" w:rsidRDefault="00E82A60" w:rsidP="00300A01">
            <w:pPr>
              <w:spacing w:before="0" w:after="0"/>
              <w:jc w:val="center"/>
              <w:rPr>
                <w:b/>
                <w:sz w:val="10"/>
                <w:szCs w:val="10"/>
                <w:lang w:val="fr-BE"/>
              </w:rPr>
            </w:pPr>
            <w:r w:rsidRPr="00601E29">
              <w:rPr>
                <w:b/>
                <w:noProof/>
                <w:sz w:val="10"/>
                <w:szCs w:val="10"/>
                <w:lang w:val="fr-BE"/>
              </w:rPr>
              <w:t>Kobiety</w:t>
            </w:r>
          </w:p>
        </w:tc>
        <w:tc>
          <w:tcPr>
            <w:tcW w:w="0" w:type="auto"/>
          </w:tcPr>
          <w:p w14:paraId="38AEFF43" w14:textId="77777777" w:rsidR="008C5CFA" w:rsidRPr="00601E29" w:rsidRDefault="008C5CFA" w:rsidP="00300A01">
            <w:pPr>
              <w:spacing w:before="0" w:after="0"/>
              <w:jc w:val="center"/>
              <w:rPr>
                <w:b/>
                <w:sz w:val="10"/>
                <w:szCs w:val="10"/>
                <w:lang w:val="fr-BE"/>
              </w:rPr>
            </w:pPr>
          </w:p>
        </w:tc>
      </w:tr>
      <w:tr w:rsidR="006B2EC1" w14:paraId="7F107F03" w14:textId="77777777" w:rsidTr="0047688D">
        <w:tc>
          <w:tcPr>
            <w:tcW w:w="0" w:type="auto"/>
            <w:shd w:val="clear" w:color="auto" w:fill="auto"/>
          </w:tcPr>
          <w:p w14:paraId="4936EBCD" w14:textId="77777777" w:rsidR="008C5CFA" w:rsidRPr="00601E29" w:rsidRDefault="00E82A60" w:rsidP="00300A01">
            <w:pPr>
              <w:spacing w:before="0" w:after="0"/>
              <w:rPr>
                <w:sz w:val="10"/>
                <w:szCs w:val="10"/>
                <w:lang w:val="fr-BE"/>
              </w:rPr>
            </w:pPr>
            <w:r w:rsidRPr="00601E29">
              <w:rPr>
                <w:noProof/>
                <w:sz w:val="10"/>
                <w:szCs w:val="10"/>
                <w:lang w:val="fr-BE"/>
              </w:rPr>
              <w:t>023</w:t>
            </w:r>
          </w:p>
        </w:tc>
        <w:tc>
          <w:tcPr>
            <w:tcW w:w="0" w:type="auto"/>
            <w:shd w:val="clear" w:color="auto" w:fill="auto"/>
          </w:tcPr>
          <w:p w14:paraId="5B00F9DA" w14:textId="77777777" w:rsidR="008C5CFA" w:rsidRPr="00601E29" w:rsidRDefault="00E82A60" w:rsidP="00300A01">
            <w:pPr>
              <w:spacing w:before="0" w:after="0"/>
              <w:rPr>
                <w:sz w:val="10"/>
                <w:szCs w:val="10"/>
                <w:lang w:val="fr-BE"/>
              </w:rPr>
            </w:pPr>
            <w:r w:rsidRPr="00601E29">
              <w:rPr>
                <w:noProof/>
                <w:sz w:val="10"/>
                <w:szCs w:val="10"/>
                <w:lang w:val="fr-BE"/>
              </w:rPr>
              <w:t>Liczba osób pracujących po opuszczeniu programu (łącznie z pracującymi na własny rachunek) (C) - CR04 - Liczba osób z niepełnosprawnościami objętych wsparciem w programie (C) - CO16</w:t>
            </w:r>
          </w:p>
        </w:tc>
        <w:tc>
          <w:tcPr>
            <w:tcW w:w="0" w:type="auto"/>
            <w:shd w:val="clear" w:color="auto" w:fill="auto"/>
          </w:tcPr>
          <w:p w14:paraId="4F7E0CFE" w14:textId="77777777" w:rsidR="008C5CFA" w:rsidRPr="00601E29" w:rsidRDefault="00E82A60" w:rsidP="00300A01">
            <w:pPr>
              <w:spacing w:before="0" w:after="0"/>
              <w:rPr>
                <w:sz w:val="10"/>
                <w:szCs w:val="10"/>
                <w:lang w:val="fr-BE"/>
              </w:rPr>
            </w:pPr>
            <w:r w:rsidRPr="00601E29">
              <w:rPr>
                <w:noProof/>
                <w:sz w:val="10"/>
                <w:szCs w:val="10"/>
                <w:lang w:val="fr-BE"/>
              </w:rPr>
              <w:t>Słabiej rozwinięte</w:t>
            </w:r>
          </w:p>
        </w:tc>
        <w:tc>
          <w:tcPr>
            <w:tcW w:w="0" w:type="auto"/>
            <w:shd w:val="clear" w:color="auto" w:fill="auto"/>
          </w:tcPr>
          <w:p w14:paraId="31C53C39" w14:textId="77777777" w:rsidR="008C5CFA" w:rsidRPr="00601E29" w:rsidRDefault="00E82A60" w:rsidP="00300A01">
            <w:pPr>
              <w:spacing w:before="0" w:after="0"/>
              <w:rPr>
                <w:sz w:val="10"/>
                <w:szCs w:val="10"/>
                <w:lang w:val="fr-BE"/>
              </w:rPr>
            </w:pPr>
            <w:r w:rsidRPr="00785F4A">
              <w:rPr>
                <w:noProof/>
                <w:sz w:val="10"/>
                <w:szCs w:val="10"/>
                <w:lang w:val="fr-BE"/>
              </w:rPr>
              <w:t>Liczba</w:t>
            </w:r>
            <w:r w:rsidR="00CE4603">
              <w:rPr>
                <w:sz w:val="10"/>
                <w:szCs w:val="10"/>
                <w:lang w:val="fr-BE"/>
              </w:rPr>
              <w:t xml:space="preserve"> </w:t>
            </w:r>
            <w:r w:rsidR="00CE4603">
              <w:rPr>
                <w:noProof/>
                <w:sz w:val="10"/>
                <w:szCs w:val="10"/>
                <w:lang w:val="fr-BE"/>
              </w:rPr>
              <w:t>(osoba)</w:t>
            </w:r>
          </w:p>
        </w:tc>
        <w:tc>
          <w:tcPr>
            <w:tcW w:w="0" w:type="auto"/>
            <w:shd w:val="clear" w:color="auto" w:fill="auto"/>
          </w:tcPr>
          <w:p w14:paraId="76A42946" w14:textId="77777777" w:rsidR="008C5CFA" w:rsidRPr="00601E29" w:rsidRDefault="00E82A60" w:rsidP="00300A01">
            <w:pPr>
              <w:spacing w:before="0" w:after="0"/>
              <w:rPr>
                <w:sz w:val="10"/>
                <w:szCs w:val="10"/>
                <w:lang w:val="fr-BE"/>
              </w:rPr>
            </w:pPr>
            <w:r w:rsidRPr="00601E29">
              <w:rPr>
                <w:noProof/>
                <w:sz w:val="10"/>
                <w:szCs w:val="10"/>
                <w:lang w:val="fr-BE"/>
              </w:rPr>
              <w:t>CO16</w:t>
            </w:r>
            <w:r w:rsidRPr="00601E29">
              <w:rPr>
                <w:sz w:val="10"/>
                <w:szCs w:val="10"/>
                <w:lang w:val="fr-BE"/>
              </w:rPr>
              <w:t xml:space="preserve"> </w:t>
            </w:r>
            <w:r w:rsidRPr="00601E29">
              <w:rPr>
                <w:noProof/>
                <w:sz w:val="10"/>
                <w:szCs w:val="10"/>
                <w:lang w:val="fr-BE"/>
              </w:rPr>
              <w:t>uczestnicy z niepełnosprawnościami</w:t>
            </w:r>
          </w:p>
        </w:tc>
        <w:tc>
          <w:tcPr>
            <w:tcW w:w="0" w:type="auto"/>
            <w:shd w:val="clear" w:color="auto" w:fill="auto"/>
          </w:tcPr>
          <w:p w14:paraId="12D06914" w14:textId="77777777" w:rsidR="008C5CFA" w:rsidRPr="00601E29" w:rsidRDefault="00E82A60" w:rsidP="00300A01">
            <w:pPr>
              <w:spacing w:before="0" w:after="0"/>
              <w:jc w:val="center"/>
              <w:rPr>
                <w:sz w:val="10"/>
                <w:szCs w:val="10"/>
                <w:lang w:val="fr-BE"/>
              </w:rPr>
            </w:pPr>
            <w:r w:rsidRPr="00601E29">
              <w:rPr>
                <w:noProof/>
                <w:sz w:val="10"/>
                <w:szCs w:val="10"/>
                <w:lang w:val="fr-BE"/>
              </w:rPr>
              <w:t>Współczynnik</w:t>
            </w:r>
          </w:p>
        </w:tc>
        <w:tc>
          <w:tcPr>
            <w:tcW w:w="0" w:type="auto"/>
            <w:shd w:val="clear" w:color="auto" w:fill="auto"/>
          </w:tcPr>
          <w:p w14:paraId="605BE77A" w14:textId="77777777" w:rsidR="008C5CFA" w:rsidRPr="00601E29" w:rsidRDefault="00E82A60" w:rsidP="00300A01">
            <w:pPr>
              <w:spacing w:before="0" w:after="0"/>
              <w:jc w:val="right"/>
              <w:rPr>
                <w:sz w:val="10"/>
                <w:szCs w:val="10"/>
                <w:lang w:val="fr-BE"/>
              </w:rPr>
            </w:pPr>
            <w:r w:rsidRPr="00601E29">
              <w:rPr>
                <w:noProof/>
                <w:sz w:val="10"/>
                <w:szCs w:val="10"/>
                <w:lang w:val="fr-BE"/>
              </w:rPr>
              <w:t>53,00</w:t>
            </w:r>
            <w:r>
              <w:rPr>
                <w:noProof/>
                <w:sz w:val="10"/>
                <w:szCs w:val="10"/>
                <w:lang w:val="fr-BE"/>
              </w:rPr>
              <w:t>%</w:t>
            </w:r>
          </w:p>
        </w:tc>
        <w:tc>
          <w:tcPr>
            <w:tcW w:w="0" w:type="auto"/>
            <w:shd w:val="clear" w:color="auto" w:fill="auto"/>
          </w:tcPr>
          <w:p w14:paraId="40CC0A8A" w14:textId="77777777" w:rsidR="008C5CFA" w:rsidRPr="00601E29" w:rsidRDefault="008C5CFA" w:rsidP="00300A01">
            <w:pPr>
              <w:spacing w:before="0" w:after="0"/>
              <w:jc w:val="right"/>
              <w:rPr>
                <w:sz w:val="10"/>
                <w:szCs w:val="10"/>
                <w:lang w:val="fr-BE"/>
              </w:rPr>
            </w:pPr>
          </w:p>
        </w:tc>
        <w:tc>
          <w:tcPr>
            <w:tcW w:w="0" w:type="auto"/>
            <w:shd w:val="clear" w:color="auto" w:fill="auto"/>
          </w:tcPr>
          <w:p w14:paraId="6EBD1417" w14:textId="77777777" w:rsidR="008C5CFA" w:rsidRPr="00601E29" w:rsidRDefault="008C5CFA" w:rsidP="00300A01">
            <w:pPr>
              <w:spacing w:before="0" w:after="0"/>
              <w:jc w:val="right"/>
              <w:rPr>
                <w:sz w:val="10"/>
                <w:szCs w:val="10"/>
                <w:lang w:val="fr-BE"/>
              </w:rPr>
            </w:pPr>
          </w:p>
        </w:tc>
        <w:tc>
          <w:tcPr>
            <w:tcW w:w="0" w:type="auto"/>
            <w:shd w:val="clear" w:color="auto" w:fill="auto"/>
          </w:tcPr>
          <w:p w14:paraId="66B8ACE4" w14:textId="77777777" w:rsidR="008C5CFA" w:rsidRPr="00601E29" w:rsidRDefault="00E82A60" w:rsidP="00300A01">
            <w:pPr>
              <w:spacing w:before="0" w:after="0"/>
              <w:jc w:val="right"/>
              <w:rPr>
                <w:sz w:val="10"/>
                <w:szCs w:val="10"/>
                <w:lang w:val="fr-BE"/>
              </w:rPr>
            </w:pPr>
            <w:r>
              <w:rPr>
                <w:noProof/>
                <w:sz w:val="10"/>
                <w:szCs w:val="10"/>
                <w:lang w:val="fr-BE"/>
              </w:rPr>
              <w:t>1,00</w:t>
            </w:r>
          </w:p>
        </w:tc>
        <w:tc>
          <w:tcPr>
            <w:tcW w:w="0" w:type="auto"/>
            <w:shd w:val="clear" w:color="auto" w:fill="auto"/>
          </w:tcPr>
          <w:p w14:paraId="55CD8E74" w14:textId="77777777" w:rsidR="008C5CFA" w:rsidRPr="00601E29" w:rsidRDefault="008C5CFA" w:rsidP="00300A01">
            <w:pPr>
              <w:spacing w:before="0" w:after="0"/>
              <w:jc w:val="right"/>
              <w:rPr>
                <w:sz w:val="10"/>
                <w:szCs w:val="10"/>
                <w:lang w:val="fr-BE"/>
              </w:rPr>
            </w:pPr>
          </w:p>
        </w:tc>
        <w:tc>
          <w:tcPr>
            <w:tcW w:w="0" w:type="auto"/>
            <w:shd w:val="clear" w:color="auto" w:fill="auto"/>
          </w:tcPr>
          <w:p w14:paraId="49DED9FF" w14:textId="77777777" w:rsidR="008C5CFA" w:rsidRPr="00601E29" w:rsidRDefault="008C5CFA" w:rsidP="00300A01">
            <w:pPr>
              <w:spacing w:before="0" w:after="0"/>
              <w:jc w:val="right"/>
              <w:rPr>
                <w:sz w:val="10"/>
                <w:szCs w:val="10"/>
                <w:lang w:val="fr-BE"/>
              </w:rPr>
            </w:pPr>
          </w:p>
        </w:tc>
        <w:tc>
          <w:tcPr>
            <w:tcW w:w="0" w:type="auto"/>
            <w:shd w:val="clear" w:color="auto" w:fill="auto"/>
          </w:tcPr>
          <w:p w14:paraId="055DEE05" w14:textId="77777777" w:rsidR="008C5CFA" w:rsidRPr="00601E29" w:rsidRDefault="00E82A60" w:rsidP="00300A01">
            <w:pPr>
              <w:spacing w:before="0" w:after="0"/>
              <w:jc w:val="right"/>
              <w:rPr>
                <w:sz w:val="10"/>
                <w:szCs w:val="10"/>
                <w:lang w:val="fr-BE"/>
              </w:rPr>
            </w:pPr>
            <w:r w:rsidRPr="00601E29">
              <w:rPr>
                <w:noProof/>
                <w:sz w:val="10"/>
                <w:szCs w:val="10"/>
                <w:lang w:val="fr-BE"/>
              </w:rPr>
              <w:t>1 149,00</w:t>
            </w:r>
          </w:p>
        </w:tc>
        <w:tc>
          <w:tcPr>
            <w:tcW w:w="0" w:type="auto"/>
            <w:shd w:val="clear" w:color="auto" w:fill="auto"/>
          </w:tcPr>
          <w:p w14:paraId="7F80FC3F"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shd w:val="clear" w:color="auto" w:fill="auto"/>
          </w:tcPr>
          <w:p w14:paraId="1259F334"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1FD3BE2D" w14:textId="77777777" w:rsidR="008C5CFA" w:rsidRPr="00601E29" w:rsidRDefault="00E82A60" w:rsidP="00300A01">
            <w:pPr>
              <w:spacing w:before="0" w:after="0"/>
              <w:jc w:val="right"/>
              <w:rPr>
                <w:sz w:val="10"/>
                <w:szCs w:val="10"/>
                <w:lang w:val="fr-BE"/>
              </w:rPr>
            </w:pPr>
            <w:r w:rsidRPr="00601E29">
              <w:rPr>
                <w:noProof/>
                <w:sz w:val="10"/>
                <w:szCs w:val="10"/>
                <w:lang w:val="fr-BE"/>
              </w:rPr>
              <w:t>177,00</w:t>
            </w:r>
          </w:p>
        </w:tc>
        <w:tc>
          <w:tcPr>
            <w:tcW w:w="0" w:type="auto"/>
            <w:shd w:val="clear" w:color="auto" w:fill="auto"/>
          </w:tcPr>
          <w:p w14:paraId="1933853D"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shd w:val="clear" w:color="auto" w:fill="auto"/>
          </w:tcPr>
          <w:p w14:paraId="688B342C"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3F5D72F9" w14:textId="77777777" w:rsidR="008C5CFA" w:rsidRPr="00601E29" w:rsidRDefault="008C5CFA" w:rsidP="00300A01">
            <w:pPr>
              <w:spacing w:before="0" w:after="0"/>
              <w:jc w:val="right"/>
              <w:rPr>
                <w:sz w:val="10"/>
                <w:szCs w:val="10"/>
                <w:lang w:val="fr-BE"/>
              </w:rPr>
            </w:pPr>
          </w:p>
        </w:tc>
      </w:tr>
      <w:tr w:rsidR="006B2EC1" w14:paraId="534B7CE2" w14:textId="77777777" w:rsidTr="0047688D">
        <w:tc>
          <w:tcPr>
            <w:tcW w:w="0" w:type="auto"/>
            <w:shd w:val="clear" w:color="auto" w:fill="auto"/>
          </w:tcPr>
          <w:p w14:paraId="36E59E03" w14:textId="77777777" w:rsidR="008C5CFA" w:rsidRPr="00601E29" w:rsidRDefault="00E82A60" w:rsidP="00300A01">
            <w:pPr>
              <w:spacing w:before="0" w:after="0"/>
              <w:rPr>
                <w:sz w:val="10"/>
                <w:szCs w:val="10"/>
                <w:lang w:val="fr-BE"/>
              </w:rPr>
            </w:pPr>
            <w:r w:rsidRPr="00601E29">
              <w:rPr>
                <w:noProof/>
                <w:sz w:val="10"/>
                <w:szCs w:val="10"/>
                <w:lang w:val="fr-BE"/>
              </w:rPr>
              <w:t>118</w:t>
            </w:r>
          </w:p>
        </w:tc>
        <w:tc>
          <w:tcPr>
            <w:tcW w:w="0" w:type="auto"/>
            <w:shd w:val="clear" w:color="auto" w:fill="auto"/>
          </w:tcPr>
          <w:p w14:paraId="21EB9FC0" w14:textId="77777777" w:rsidR="008C5CFA" w:rsidRPr="00601E29" w:rsidRDefault="00E82A60" w:rsidP="00300A01">
            <w:pPr>
              <w:spacing w:before="0" w:after="0"/>
              <w:rPr>
                <w:sz w:val="10"/>
                <w:szCs w:val="10"/>
                <w:lang w:val="fr-BE"/>
              </w:rPr>
            </w:pPr>
            <w:r w:rsidRPr="00601E29">
              <w:rPr>
                <w:noProof/>
                <w:sz w:val="10"/>
                <w:szCs w:val="10"/>
                <w:lang w:val="fr-BE"/>
              </w:rPr>
              <w:t>Liczba utworzonych miejsc pracy w ramach udzielonych z EFS środków na podjęcie działalności gospodarczej</w:t>
            </w:r>
          </w:p>
        </w:tc>
        <w:tc>
          <w:tcPr>
            <w:tcW w:w="0" w:type="auto"/>
            <w:shd w:val="clear" w:color="auto" w:fill="auto"/>
          </w:tcPr>
          <w:p w14:paraId="675C473D" w14:textId="77777777" w:rsidR="008C5CFA" w:rsidRPr="00601E29" w:rsidRDefault="00E82A60" w:rsidP="00300A01">
            <w:pPr>
              <w:spacing w:before="0" w:after="0"/>
              <w:rPr>
                <w:sz w:val="10"/>
                <w:szCs w:val="10"/>
                <w:lang w:val="fr-BE"/>
              </w:rPr>
            </w:pPr>
            <w:r w:rsidRPr="00601E29">
              <w:rPr>
                <w:noProof/>
                <w:sz w:val="10"/>
                <w:szCs w:val="10"/>
                <w:lang w:val="fr-BE"/>
              </w:rPr>
              <w:t>Słabiej rozwinięte</w:t>
            </w:r>
          </w:p>
        </w:tc>
        <w:tc>
          <w:tcPr>
            <w:tcW w:w="0" w:type="auto"/>
            <w:shd w:val="clear" w:color="auto" w:fill="auto"/>
          </w:tcPr>
          <w:p w14:paraId="5A25DBBB" w14:textId="77777777" w:rsidR="008C5CFA" w:rsidRPr="00601E29" w:rsidRDefault="00E82A60" w:rsidP="00300A01">
            <w:pPr>
              <w:spacing w:before="0" w:after="0"/>
              <w:rPr>
                <w:sz w:val="10"/>
                <w:szCs w:val="10"/>
                <w:lang w:val="fr-BE"/>
              </w:rPr>
            </w:pPr>
            <w:r w:rsidRPr="00785F4A">
              <w:rPr>
                <w:noProof/>
                <w:sz w:val="10"/>
                <w:szCs w:val="10"/>
                <w:lang w:val="fr-BE"/>
              </w:rPr>
              <w:t>Liczba</w:t>
            </w:r>
            <w:r w:rsidR="00CE4603">
              <w:rPr>
                <w:sz w:val="10"/>
                <w:szCs w:val="10"/>
                <w:lang w:val="fr-BE"/>
              </w:rPr>
              <w:t xml:space="preserve"> </w:t>
            </w:r>
            <w:r w:rsidR="00CE4603">
              <w:rPr>
                <w:noProof/>
                <w:sz w:val="10"/>
                <w:szCs w:val="10"/>
                <w:lang w:val="fr-BE"/>
              </w:rPr>
              <w:t>(szt.)</w:t>
            </w:r>
          </w:p>
        </w:tc>
        <w:tc>
          <w:tcPr>
            <w:tcW w:w="0" w:type="auto"/>
            <w:shd w:val="clear" w:color="auto" w:fill="auto"/>
          </w:tcPr>
          <w:p w14:paraId="796B7656" w14:textId="77777777" w:rsidR="008C5CFA" w:rsidRPr="00601E29" w:rsidRDefault="00E82A60" w:rsidP="00300A01">
            <w:pPr>
              <w:spacing w:before="0" w:after="0"/>
              <w:rPr>
                <w:sz w:val="10"/>
                <w:szCs w:val="10"/>
                <w:lang w:val="fr-BE"/>
              </w:rPr>
            </w:pPr>
            <w:r w:rsidRPr="00601E29">
              <w:rPr>
                <w:sz w:val="10"/>
                <w:szCs w:val="10"/>
                <w:lang w:val="fr-BE"/>
              </w:rPr>
              <w:t xml:space="preserve"> </w:t>
            </w:r>
          </w:p>
        </w:tc>
        <w:tc>
          <w:tcPr>
            <w:tcW w:w="0" w:type="auto"/>
            <w:shd w:val="clear" w:color="auto" w:fill="auto"/>
          </w:tcPr>
          <w:p w14:paraId="2AA7C68B" w14:textId="77777777" w:rsidR="008C5CFA" w:rsidRPr="00601E29" w:rsidRDefault="00E82A60" w:rsidP="00300A01">
            <w:pPr>
              <w:spacing w:before="0" w:after="0"/>
              <w:jc w:val="center"/>
              <w:rPr>
                <w:sz w:val="10"/>
                <w:szCs w:val="10"/>
                <w:lang w:val="fr-BE"/>
              </w:rPr>
            </w:pPr>
            <w:r w:rsidRPr="00601E29">
              <w:rPr>
                <w:noProof/>
                <w:sz w:val="10"/>
                <w:szCs w:val="10"/>
                <w:lang w:val="fr-BE"/>
              </w:rPr>
              <w:t>Liczba</w:t>
            </w:r>
          </w:p>
        </w:tc>
        <w:tc>
          <w:tcPr>
            <w:tcW w:w="0" w:type="auto"/>
            <w:shd w:val="clear" w:color="auto" w:fill="auto"/>
          </w:tcPr>
          <w:p w14:paraId="01787B5F" w14:textId="77777777" w:rsidR="008C5CFA" w:rsidRPr="00601E29" w:rsidRDefault="00E82A60" w:rsidP="00300A01">
            <w:pPr>
              <w:spacing w:before="0" w:after="0"/>
              <w:jc w:val="right"/>
              <w:rPr>
                <w:sz w:val="10"/>
                <w:szCs w:val="10"/>
                <w:lang w:val="fr-BE"/>
              </w:rPr>
            </w:pPr>
            <w:r w:rsidRPr="00601E29">
              <w:rPr>
                <w:noProof/>
                <w:sz w:val="10"/>
                <w:szCs w:val="10"/>
                <w:lang w:val="fr-BE"/>
              </w:rPr>
              <w:t>2 163,00</w:t>
            </w:r>
          </w:p>
        </w:tc>
        <w:tc>
          <w:tcPr>
            <w:tcW w:w="0" w:type="auto"/>
            <w:shd w:val="clear" w:color="auto" w:fill="auto"/>
          </w:tcPr>
          <w:p w14:paraId="062199D2" w14:textId="77777777" w:rsidR="008C5CFA" w:rsidRPr="00601E29" w:rsidRDefault="008C5CFA" w:rsidP="00300A01">
            <w:pPr>
              <w:spacing w:before="0" w:after="0"/>
              <w:jc w:val="right"/>
              <w:rPr>
                <w:sz w:val="10"/>
                <w:szCs w:val="10"/>
                <w:lang w:val="fr-BE"/>
              </w:rPr>
            </w:pPr>
          </w:p>
        </w:tc>
        <w:tc>
          <w:tcPr>
            <w:tcW w:w="0" w:type="auto"/>
            <w:shd w:val="clear" w:color="auto" w:fill="auto"/>
          </w:tcPr>
          <w:p w14:paraId="5216CA82" w14:textId="77777777" w:rsidR="008C5CFA" w:rsidRPr="00601E29" w:rsidRDefault="008C5CFA" w:rsidP="00300A01">
            <w:pPr>
              <w:spacing w:before="0" w:after="0"/>
              <w:jc w:val="right"/>
              <w:rPr>
                <w:sz w:val="10"/>
                <w:szCs w:val="10"/>
                <w:lang w:val="fr-BE"/>
              </w:rPr>
            </w:pPr>
          </w:p>
        </w:tc>
        <w:tc>
          <w:tcPr>
            <w:tcW w:w="0" w:type="auto"/>
            <w:shd w:val="clear" w:color="auto" w:fill="auto"/>
          </w:tcPr>
          <w:p w14:paraId="4F63AB8F" w14:textId="77777777" w:rsidR="008C5CFA" w:rsidRPr="00601E29" w:rsidRDefault="00E82A60" w:rsidP="00300A01">
            <w:pPr>
              <w:spacing w:before="0" w:after="0"/>
              <w:jc w:val="right"/>
              <w:rPr>
                <w:sz w:val="10"/>
                <w:szCs w:val="10"/>
                <w:lang w:val="fr-BE"/>
              </w:rPr>
            </w:pPr>
            <w:r>
              <w:rPr>
                <w:noProof/>
                <w:sz w:val="10"/>
                <w:szCs w:val="10"/>
                <w:lang w:val="fr-BE"/>
              </w:rPr>
              <w:t>0,74</w:t>
            </w:r>
          </w:p>
        </w:tc>
        <w:tc>
          <w:tcPr>
            <w:tcW w:w="0" w:type="auto"/>
            <w:shd w:val="clear" w:color="auto" w:fill="auto"/>
          </w:tcPr>
          <w:p w14:paraId="3DB96EBB" w14:textId="77777777" w:rsidR="008C5CFA" w:rsidRPr="00601E29" w:rsidRDefault="008C5CFA" w:rsidP="00300A01">
            <w:pPr>
              <w:spacing w:before="0" w:after="0"/>
              <w:jc w:val="right"/>
              <w:rPr>
                <w:sz w:val="10"/>
                <w:szCs w:val="10"/>
                <w:lang w:val="fr-BE"/>
              </w:rPr>
            </w:pPr>
          </w:p>
        </w:tc>
        <w:tc>
          <w:tcPr>
            <w:tcW w:w="0" w:type="auto"/>
            <w:shd w:val="clear" w:color="auto" w:fill="auto"/>
          </w:tcPr>
          <w:p w14:paraId="0DD9D759" w14:textId="77777777" w:rsidR="008C5CFA" w:rsidRPr="00601E29" w:rsidRDefault="008C5CFA" w:rsidP="00300A01">
            <w:pPr>
              <w:spacing w:before="0" w:after="0"/>
              <w:jc w:val="right"/>
              <w:rPr>
                <w:sz w:val="10"/>
                <w:szCs w:val="10"/>
                <w:lang w:val="fr-BE"/>
              </w:rPr>
            </w:pPr>
          </w:p>
        </w:tc>
        <w:tc>
          <w:tcPr>
            <w:tcW w:w="0" w:type="auto"/>
            <w:shd w:val="clear" w:color="auto" w:fill="auto"/>
          </w:tcPr>
          <w:p w14:paraId="79273BE2" w14:textId="77777777" w:rsidR="008C5CFA" w:rsidRPr="00601E29" w:rsidRDefault="00E82A60" w:rsidP="00300A01">
            <w:pPr>
              <w:spacing w:before="0" w:after="0"/>
              <w:jc w:val="right"/>
              <w:rPr>
                <w:sz w:val="10"/>
                <w:szCs w:val="10"/>
                <w:lang w:val="fr-BE"/>
              </w:rPr>
            </w:pPr>
            <w:r w:rsidRPr="00601E29">
              <w:rPr>
                <w:noProof/>
                <w:sz w:val="10"/>
                <w:szCs w:val="10"/>
                <w:lang w:val="fr-BE"/>
              </w:rPr>
              <w:t>1 608,00</w:t>
            </w:r>
          </w:p>
        </w:tc>
        <w:tc>
          <w:tcPr>
            <w:tcW w:w="0" w:type="auto"/>
            <w:shd w:val="clear" w:color="auto" w:fill="auto"/>
          </w:tcPr>
          <w:p w14:paraId="71314309"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shd w:val="clear" w:color="auto" w:fill="auto"/>
          </w:tcPr>
          <w:p w14:paraId="09E5ACE1"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4B25E9E9" w14:textId="77777777" w:rsidR="008C5CFA" w:rsidRPr="00601E29" w:rsidRDefault="00E82A60" w:rsidP="00300A01">
            <w:pPr>
              <w:spacing w:before="0" w:after="0"/>
              <w:jc w:val="right"/>
              <w:rPr>
                <w:sz w:val="10"/>
                <w:szCs w:val="10"/>
                <w:lang w:val="fr-BE"/>
              </w:rPr>
            </w:pPr>
            <w:r w:rsidRPr="00601E29">
              <w:rPr>
                <w:noProof/>
                <w:sz w:val="10"/>
                <w:szCs w:val="10"/>
                <w:lang w:val="fr-BE"/>
              </w:rPr>
              <w:t>362,00</w:t>
            </w:r>
          </w:p>
        </w:tc>
        <w:tc>
          <w:tcPr>
            <w:tcW w:w="0" w:type="auto"/>
            <w:shd w:val="clear" w:color="auto" w:fill="auto"/>
          </w:tcPr>
          <w:p w14:paraId="088B7600"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shd w:val="clear" w:color="auto" w:fill="auto"/>
          </w:tcPr>
          <w:p w14:paraId="693A961E"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079DFEFA" w14:textId="77777777" w:rsidR="008C5CFA" w:rsidRPr="00601E29" w:rsidRDefault="008C5CFA" w:rsidP="00300A01">
            <w:pPr>
              <w:spacing w:before="0" w:after="0"/>
              <w:jc w:val="right"/>
              <w:rPr>
                <w:sz w:val="10"/>
                <w:szCs w:val="10"/>
                <w:lang w:val="fr-BE"/>
              </w:rPr>
            </w:pPr>
          </w:p>
        </w:tc>
      </w:tr>
      <w:tr w:rsidR="006B2EC1" w14:paraId="6DF29E97" w14:textId="77777777" w:rsidTr="0047688D">
        <w:tc>
          <w:tcPr>
            <w:tcW w:w="0" w:type="auto"/>
            <w:shd w:val="clear" w:color="auto" w:fill="auto"/>
          </w:tcPr>
          <w:p w14:paraId="1202CF8F" w14:textId="77777777" w:rsidR="008C5CFA" w:rsidRPr="00601E29" w:rsidRDefault="00E82A60" w:rsidP="00300A01">
            <w:pPr>
              <w:spacing w:before="0" w:after="0"/>
              <w:rPr>
                <w:sz w:val="10"/>
                <w:szCs w:val="10"/>
                <w:lang w:val="fr-BE"/>
              </w:rPr>
            </w:pPr>
            <w:r w:rsidRPr="00601E29">
              <w:rPr>
                <w:noProof/>
                <w:sz w:val="10"/>
                <w:szCs w:val="10"/>
                <w:lang w:val="fr-BE"/>
              </w:rPr>
              <w:t>024</w:t>
            </w:r>
          </w:p>
        </w:tc>
        <w:tc>
          <w:tcPr>
            <w:tcW w:w="0" w:type="auto"/>
            <w:shd w:val="clear" w:color="auto" w:fill="auto"/>
          </w:tcPr>
          <w:p w14:paraId="10E1522E" w14:textId="77777777" w:rsidR="008C5CFA" w:rsidRPr="00601E29" w:rsidRDefault="00E82A60" w:rsidP="00300A01">
            <w:pPr>
              <w:spacing w:before="0" w:after="0"/>
              <w:rPr>
                <w:sz w:val="10"/>
                <w:szCs w:val="10"/>
                <w:lang w:val="fr-BE"/>
              </w:rPr>
            </w:pPr>
            <w:r w:rsidRPr="00601E29">
              <w:rPr>
                <w:noProof/>
                <w:sz w:val="10"/>
                <w:szCs w:val="10"/>
                <w:lang w:val="fr-BE"/>
              </w:rPr>
              <w:t>Liczba osób pracujących 6 miesięcy po opuszczeniu programu  (łącznie  z pracującymi na własny rachunek) (C) - CR06 - Liczba osób z niepełnosprawnościami objętych wsparciem  w programie (C) - CO16</w:t>
            </w:r>
          </w:p>
        </w:tc>
        <w:tc>
          <w:tcPr>
            <w:tcW w:w="0" w:type="auto"/>
            <w:shd w:val="clear" w:color="auto" w:fill="auto"/>
          </w:tcPr>
          <w:p w14:paraId="2F1A6F27" w14:textId="77777777" w:rsidR="008C5CFA" w:rsidRPr="00601E29" w:rsidRDefault="00E82A60" w:rsidP="00300A01">
            <w:pPr>
              <w:spacing w:before="0" w:after="0"/>
              <w:rPr>
                <w:sz w:val="10"/>
                <w:szCs w:val="10"/>
                <w:lang w:val="fr-BE"/>
              </w:rPr>
            </w:pPr>
            <w:r w:rsidRPr="00601E29">
              <w:rPr>
                <w:noProof/>
                <w:sz w:val="10"/>
                <w:szCs w:val="10"/>
                <w:lang w:val="fr-BE"/>
              </w:rPr>
              <w:t>Słabiej rozwinięte</w:t>
            </w:r>
          </w:p>
        </w:tc>
        <w:tc>
          <w:tcPr>
            <w:tcW w:w="0" w:type="auto"/>
            <w:shd w:val="clear" w:color="auto" w:fill="auto"/>
          </w:tcPr>
          <w:p w14:paraId="2426E6BD" w14:textId="77777777" w:rsidR="008C5CFA" w:rsidRPr="00601E29" w:rsidRDefault="00E82A60" w:rsidP="00300A01">
            <w:pPr>
              <w:spacing w:before="0" w:after="0"/>
              <w:rPr>
                <w:sz w:val="10"/>
                <w:szCs w:val="10"/>
                <w:lang w:val="fr-BE"/>
              </w:rPr>
            </w:pPr>
            <w:r w:rsidRPr="00785F4A">
              <w:rPr>
                <w:noProof/>
                <w:sz w:val="10"/>
                <w:szCs w:val="10"/>
                <w:lang w:val="fr-BE"/>
              </w:rPr>
              <w:t>Liczba</w:t>
            </w:r>
            <w:r w:rsidR="00CE4603">
              <w:rPr>
                <w:sz w:val="10"/>
                <w:szCs w:val="10"/>
                <w:lang w:val="fr-BE"/>
              </w:rPr>
              <w:t xml:space="preserve"> </w:t>
            </w:r>
            <w:r w:rsidR="00CE4603">
              <w:rPr>
                <w:noProof/>
                <w:sz w:val="10"/>
                <w:szCs w:val="10"/>
                <w:lang w:val="fr-BE"/>
              </w:rPr>
              <w:t>(osoba)</w:t>
            </w:r>
          </w:p>
        </w:tc>
        <w:tc>
          <w:tcPr>
            <w:tcW w:w="0" w:type="auto"/>
            <w:shd w:val="clear" w:color="auto" w:fill="auto"/>
          </w:tcPr>
          <w:p w14:paraId="036EA3A6" w14:textId="77777777" w:rsidR="008C5CFA" w:rsidRPr="00601E29" w:rsidRDefault="00E82A60" w:rsidP="00300A01">
            <w:pPr>
              <w:spacing w:before="0" w:after="0"/>
              <w:rPr>
                <w:sz w:val="10"/>
                <w:szCs w:val="10"/>
                <w:lang w:val="fr-BE"/>
              </w:rPr>
            </w:pPr>
            <w:r w:rsidRPr="00601E29">
              <w:rPr>
                <w:noProof/>
                <w:sz w:val="10"/>
                <w:szCs w:val="10"/>
                <w:lang w:val="fr-BE"/>
              </w:rPr>
              <w:t>CO16</w:t>
            </w:r>
            <w:r w:rsidRPr="00601E29">
              <w:rPr>
                <w:sz w:val="10"/>
                <w:szCs w:val="10"/>
                <w:lang w:val="fr-BE"/>
              </w:rPr>
              <w:t xml:space="preserve"> </w:t>
            </w:r>
            <w:r w:rsidRPr="00601E29">
              <w:rPr>
                <w:noProof/>
                <w:sz w:val="10"/>
                <w:szCs w:val="10"/>
                <w:lang w:val="fr-BE"/>
              </w:rPr>
              <w:t>uczestnicy z niepełnosprawnościami</w:t>
            </w:r>
          </w:p>
        </w:tc>
        <w:tc>
          <w:tcPr>
            <w:tcW w:w="0" w:type="auto"/>
            <w:shd w:val="clear" w:color="auto" w:fill="auto"/>
          </w:tcPr>
          <w:p w14:paraId="4688D99E" w14:textId="77777777" w:rsidR="008C5CFA" w:rsidRPr="00601E29" w:rsidRDefault="00E82A60" w:rsidP="00300A01">
            <w:pPr>
              <w:spacing w:before="0" w:after="0"/>
              <w:jc w:val="center"/>
              <w:rPr>
                <w:sz w:val="10"/>
                <w:szCs w:val="10"/>
                <w:lang w:val="fr-BE"/>
              </w:rPr>
            </w:pPr>
            <w:r w:rsidRPr="00601E29">
              <w:rPr>
                <w:noProof/>
                <w:sz w:val="10"/>
                <w:szCs w:val="10"/>
                <w:lang w:val="fr-BE"/>
              </w:rPr>
              <w:t>Współczynnik</w:t>
            </w:r>
          </w:p>
        </w:tc>
        <w:tc>
          <w:tcPr>
            <w:tcW w:w="0" w:type="auto"/>
            <w:shd w:val="clear" w:color="auto" w:fill="auto"/>
          </w:tcPr>
          <w:p w14:paraId="0B1152BA" w14:textId="77777777" w:rsidR="008C5CFA" w:rsidRPr="00601E29" w:rsidRDefault="00E82A60" w:rsidP="00300A01">
            <w:pPr>
              <w:spacing w:before="0" w:after="0"/>
              <w:jc w:val="right"/>
              <w:rPr>
                <w:sz w:val="10"/>
                <w:szCs w:val="10"/>
                <w:lang w:val="fr-BE"/>
              </w:rPr>
            </w:pPr>
            <w:r w:rsidRPr="00601E29">
              <w:rPr>
                <w:noProof/>
                <w:sz w:val="10"/>
                <w:szCs w:val="10"/>
                <w:lang w:val="fr-BE"/>
              </w:rPr>
              <w:t>41,00</w:t>
            </w:r>
            <w:r>
              <w:rPr>
                <w:noProof/>
                <w:sz w:val="10"/>
                <w:szCs w:val="10"/>
                <w:lang w:val="fr-BE"/>
              </w:rPr>
              <w:t>%</w:t>
            </w:r>
          </w:p>
        </w:tc>
        <w:tc>
          <w:tcPr>
            <w:tcW w:w="0" w:type="auto"/>
            <w:shd w:val="clear" w:color="auto" w:fill="auto"/>
          </w:tcPr>
          <w:p w14:paraId="329F5242" w14:textId="77777777" w:rsidR="008C5CFA" w:rsidRPr="00601E29" w:rsidRDefault="008C5CFA" w:rsidP="00300A01">
            <w:pPr>
              <w:spacing w:before="0" w:after="0"/>
              <w:jc w:val="right"/>
              <w:rPr>
                <w:sz w:val="10"/>
                <w:szCs w:val="10"/>
                <w:lang w:val="fr-BE"/>
              </w:rPr>
            </w:pPr>
          </w:p>
        </w:tc>
        <w:tc>
          <w:tcPr>
            <w:tcW w:w="0" w:type="auto"/>
            <w:shd w:val="clear" w:color="auto" w:fill="auto"/>
          </w:tcPr>
          <w:p w14:paraId="252379A8" w14:textId="77777777" w:rsidR="008C5CFA" w:rsidRPr="00601E29" w:rsidRDefault="008C5CFA" w:rsidP="00300A01">
            <w:pPr>
              <w:spacing w:before="0" w:after="0"/>
              <w:jc w:val="right"/>
              <w:rPr>
                <w:sz w:val="10"/>
                <w:szCs w:val="10"/>
                <w:lang w:val="fr-BE"/>
              </w:rPr>
            </w:pPr>
          </w:p>
        </w:tc>
        <w:tc>
          <w:tcPr>
            <w:tcW w:w="0" w:type="auto"/>
            <w:shd w:val="clear" w:color="auto" w:fill="auto"/>
          </w:tcPr>
          <w:p w14:paraId="5CFEE70A" w14:textId="77777777" w:rsidR="008C5CFA" w:rsidRPr="00601E29" w:rsidRDefault="00E82A60" w:rsidP="00300A01">
            <w:pPr>
              <w:spacing w:before="0" w:after="0"/>
              <w:jc w:val="right"/>
              <w:rPr>
                <w:sz w:val="10"/>
                <w:szCs w:val="10"/>
                <w:lang w:val="fr-BE"/>
              </w:rPr>
            </w:pPr>
            <w:r>
              <w:rPr>
                <w:noProof/>
                <w:sz w:val="10"/>
                <w:szCs w:val="10"/>
                <w:lang w:val="fr-BE"/>
              </w:rPr>
              <w:t>1,01</w:t>
            </w:r>
          </w:p>
        </w:tc>
        <w:tc>
          <w:tcPr>
            <w:tcW w:w="0" w:type="auto"/>
            <w:shd w:val="clear" w:color="auto" w:fill="auto"/>
          </w:tcPr>
          <w:p w14:paraId="39F24FA3" w14:textId="77777777" w:rsidR="008C5CFA" w:rsidRPr="00601E29" w:rsidRDefault="008C5CFA" w:rsidP="00300A01">
            <w:pPr>
              <w:spacing w:before="0" w:after="0"/>
              <w:jc w:val="right"/>
              <w:rPr>
                <w:sz w:val="10"/>
                <w:szCs w:val="10"/>
                <w:lang w:val="fr-BE"/>
              </w:rPr>
            </w:pPr>
          </w:p>
        </w:tc>
        <w:tc>
          <w:tcPr>
            <w:tcW w:w="0" w:type="auto"/>
            <w:shd w:val="clear" w:color="auto" w:fill="auto"/>
          </w:tcPr>
          <w:p w14:paraId="1FE5F45D" w14:textId="77777777" w:rsidR="008C5CFA" w:rsidRPr="00601E29" w:rsidRDefault="008C5CFA" w:rsidP="00300A01">
            <w:pPr>
              <w:spacing w:before="0" w:after="0"/>
              <w:jc w:val="right"/>
              <w:rPr>
                <w:sz w:val="10"/>
                <w:szCs w:val="10"/>
                <w:lang w:val="fr-BE"/>
              </w:rPr>
            </w:pPr>
          </w:p>
        </w:tc>
        <w:tc>
          <w:tcPr>
            <w:tcW w:w="0" w:type="auto"/>
            <w:shd w:val="clear" w:color="auto" w:fill="auto"/>
          </w:tcPr>
          <w:p w14:paraId="53DC4696" w14:textId="77777777" w:rsidR="008C5CFA" w:rsidRPr="00601E29" w:rsidRDefault="00E82A60" w:rsidP="00300A01">
            <w:pPr>
              <w:spacing w:before="0" w:after="0"/>
              <w:jc w:val="right"/>
              <w:rPr>
                <w:sz w:val="10"/>
                <w:szCs w:val="10"/>
                <w:lang w:val="fr-BE"/>
              </w:rPr>
            </w:pPr>
            <w:r w:rsidRPr="00601E29">
              <w:rPr>
                <w:noProof/>
                <w:sz w:val="10"/>
                <w:szCs w:val="10"/>
                <w:lang w:val="fr-BE"/>
              </w:rPr>
              <w:t>900,00</w:t>
            </w:r>
          </w:p>
        </w:tc>
        <w:tc>
          <w:tcPr>
            <w:tcW w:w="0" w:type="auto"/>
            <w:shd w:val="clear" w:color="auto" w:fill="auto"/>
          </w:tcPr>
          <w:p w14:paraId="448CC82D" w14:textId="77777777" w:rsidR="008C5CFA" w:rsidRPr="00601E29" w:rsidRDefault="00E82A60" w:rsidP="00300A01">
            <w:pPr>
              <w:spacing w:before="0" w:after="0"/>
              <w:jc w:val="right"/>
              <w:rPr>
                <w:sz w:val="10"/>
                <w:szCs w:val="10"/>
                <w:lang w:val="fr-BE"/>
              </w:rPr>
            </w:pPr>
            <w:r w:rsidRPr="00601E29">
              <w:rPr>
                <w:noProof/>
                <w:sz w:val="10"/>
                <w:szCs w:val="10"/>
                <w:lang w:val="fr-BE"/>
              </w:rPr>
              <w:t>390,00</w:t>
            </w:r>
          </w:p>
        </w:tc>
        <w:tc>
          <w:tcPr>
            <w:tcW w:w="0" w:type="auto"/>
            <w:shd w:val="clear" w:color="auto" w:fill="auto"/>
          </w:tcPr>
          <w:p w14:paraId="67E83E76" w14:textId="77777777" w:rsidR="008C5CFA" w:rsidRPr="00601E29" w:rsidRDefault="00E82A60" w:rsidP="00300A01">
            <w:pPr>
              <w:spacing w:before="0" w:after="0"/>
              <w:jc w:val="right"/>
              <w:rPr>
                <w:sz w:val="10"/>
                <w:szCs w:val="10"/>
                <w:lang w:val="fr-BE"/>
              </w:rPr>
            </w:pPr>
            <w:r w:rsidRPr="00601E29">
              <w:rPr>
                <w:noProof/>
                <w:sz w:val="10"/>
                <w:szCs w:val="10"/>
                <w:lang w:val="fr-BE"/>
              </w:rPr>
              <w:t>510,00</w:t>
            </w:r>
          </w:p>
        </w:tc>
        <w:tc>
          <w:tcPr>
            <w:tcW w:w="0" w:type="auto"/>
          </w:tcPr>
          <w:p w14:paraId="53B12615"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shd w:val="clear" w:color="auto" w:fill="auto"/>
          </w:tcPr>
          <w:p w14:paraId="4E0EDF13"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shd w:val="clear" w:color="auto" w:fill="auto"/>
          </w:tcPr>
          <w:p w14:paraId="2B90C7E0"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6C50AC65" w14:textId="77777777" w:rsidR="008C5CFA" w:rsidRPr="00601E29" w:rsidRDefault="008C5CFA" w:rsidP="00300A01">
            <w:pPr>
              <w:spacing w:before="0" w:after="0"/>
              <w:jc w:val="right"/>
              <w:rPr>
                <w:sz w:val="10"/>
                <w:szCs w:val="10"/>
                <w:lang w:val="fr-BE"/>
              </w:rPr>
            </w:pPr>
          </w:p>
        </w:tc>
      </w:tr>
      <w:tr w:rsidR="006B2EC1" w14:paraId="0A18C1E1" w14:textId="77777777" w:rsidTr="0047688D">
        <w:tc>
          <w:tcPr>
            <w:tcW w:w="0" w:type="auto"/>
            <w:shd w:val="clear" w:color="auto" w:fill="auto"/>
          </w:tcPr>
          <w:p w14:paraId="0FBB0975" w14:textId="77777777" w:rsidR="008C5CFA" w:rsidRPr="00601E29" w:rsidRDefault="00E82A60" w:rsidP="00300A01">
            <w:pPr>
              <w:spacing w:before="0" w:after="0"/>
              <w:rPr>
                <w:sz w:val="10"/>
                <w:szCs w:val="10"/>
                <w:lang w:val="fr-BE"/>
              </w:rPr>
            </w:pPr>
            <w:r w:rsidRPr="00601E29">
              <w:rPr>
                <w:noProof/>
                <w:sz w:val="10"/>
                <w:szCs w:val="10"/>
                <w:lang w:val="fr-BE"/>
              </w:rPr>
              <w:t>119</w:t>
            </w:r>
          </w:p>
        </w:tc>
        <w:tc>
          <w:tcPr>
            <w:tcW w:w="0" w:type="auto"/>
            <w:shd w:val="clear" w:color="auto" w:fill="auto"/>
          </w:tcPr>
          <w:p w14:paraId="1566980F" w14:textId="77777777" w:rsidR="008C5CFA" w:rsidRPr="00601E29" w:rsidRDefault="00E82A60" w:rsidP="00300A01">
            <w:pPr>
              <w:spacing w:before="0" w:after="0"/>
              <w:rPr>
                <w:sz w:val="10"/>
                <w:szCs w:val="10"/>
                <w:lang w:val="fr-BE"/>
              </w:rPr>
            </w:pPr>
            <w:r w:rsidRPr="00601E29">
              <w:rPr>
                <w:noProof/>
                <w:sz w:val="10"/>
                <w:szCs w:val="10"/>
                <w:lang w:val="fr-BE"/>
              </w:rPr>
              <w:t>Liczba utworzonych mikroprzedsiębiorstw działających 30 miesięcy po uzyskaniu wsparcia finansowego</w:t>
            </w:r>
          </w:p>
        </w:tc>
        <w:tc>
          <w:tcPr>
            <w:tcW w:w="0" w:type="auto"/>
            <w:shd w:val="clear" w:color="auto" w:fill="auto"/>
          </w:tcPr>
          <w:p w14:paraId="1BE44707" w14:textId="77777777" w:rsidR="008C5CFA" w:rsidRPr="00601E29" w:rsidRDefault="00E82A60" w:rsidP="00300A01">
            <w:pPr>
              <w:spacing w:before="0" w:after="0"/>
              <w:rPr>
                <w:sz w:val="10"/>
                <w:szCs w:val="10"/>
                <w:lang w:val="fr-BE"/>
              </w:rPr>
            </w:pPr>
            <w:r w:rsidRPr="00601E29">
              <w:rPr>
                <w:noProof/>
                <w:sz w:val="10"/>
                <w:szCs w:val="10"/>
                <w:lang w:val="fr-BE"/>
              </w:rPr>
              <w:t>Słabiej rozwinięte</w:t>
            </w:r>
          </w:p>
        </w:tc>
        <w:tc>
          <w:tcPr>
            <w:tcW w:w="0" w:type="auto"/>
            <w:shd w:val="clear" w:color="auto" w:fill="auto"/>
          </w:tcPr>
          <w:p w14:paraId="1F858746" w14:textId="77777777" w:rsidR="008C5CFA" w:rsidRPr="00601E29" w:rsidRDefault="00E82A60" w:rsidP="00300A01">
            <w:pPr>
              <w:spacing w:before="0" w:after="0"/>
              <w:rPr>
                <w:sz w:val="10"/>
                <w:szCs w:val="10"/>
                <w:lang w:val="fr-BE"/>
              </w:rPr>
            </w:pPr>
            <w:r w:rsidRPr="00785F4A">
              <w:rPr>
                <w:noProof/>
                <w:sz w:val="10"/>
                <w:szCs w:val="10"/>
                <w:lang w:val="fr-BE"/>
              </w:rPr>
              <w:t>Liczba</w:t>
            </w:r>
            <w:r w:rsidR="00CE4603">
              <w:rPr>
                <w:sz w:val="10"/>
                <w:szCs w:val="10"/>
                <w:lang w:val="fr-BE"/>
              </w:rPr>
              <w:t xml:space="preserve"> </w:t>
            </w:r>
            <w:r w:rsidR="00CE4603">
              <w:rPr>
                <w:noProof/>
                <w:sz w:val="10"/>
                <w:szCs w:val="10"/>
                <w:lang w:val="fr-BE"/>
              </w:rPr>
              <w:t>(szt.)</w:t>
            </w:r>
          </w:p>
        </w:tc>
        <w:tc>
          <w:tcPr>
            <w:tcW w:w="0" w:type="auto"/>
            <w:shd w:val="clear" w:color="auto" w:fill="auto"/>
          </w:tcPr>
          <w:p w14:paraId="60A356F4" w14:textId="77777777" w:rsidR="008C5CFA" w:rsidRPr="00601E29" w:rsidRDefault="00E82A60" w:rsidP="00300A01">
            <w:pPr>
              <w:spacing w:before="0" w:after="0"/>
              <w:rPr>
                <w:sz w:val="10"/>
                <w:szCs w:val="10"/>
                <w:lang w:val="fr-BE"/>
              </w:rPr>
            </w:pPr>
            <w:r w:rsidRPr="00601E29">
              <w:rPr>
                <w:sz w:val="10"/>
                <w:szCs w:val="10"/>
                <w:lang w:val="fr-BE"/>
              </w:rPr>
              <w:t xml:space="preserve"> </w:t>
            </w:r>
          </w:p>
        </w:tc>
        <w:tc>
          <w:tcPr>
            <w:tcW w:w="0" w:type="auto"/>
            <w:shd w:val="clear" w:color="auto" w:fill="auto"/>
          </w:tcPr>
          <w:p w14:paraId="754BB643" w14:textId="77777777" w:rsidR="008C5CFA" w:rsidRPr="00601E29" w:rsidRDefault="00E82A60" w:rsidP="00300A01">
            <w:pPr>
              <w:spacing w:before="0" w:after="0"/>
              <w:jc w:val="center"/>
              <w:rPr>
                <w:sz w:val="10"/>
                <w:szCs w:val="10"/>
                <w:lang w:val="fr-BE"/>
              </w:rPr>
            </w:pPr>
            <w:r w:rsidRPr="00601E29">
              <w:rPr>
                <w:noProof/>
                <w:sz w:val="10"/>
                <w:szCs w:val="10"/>
                <w:lang w:val="fr-BE"/>
              </w:rPr>
              <w:t>Współczynnik</w:t>
            </w:r>
          </w:p>
        </w:tc>
        <w:tc>
          <w:tcPr>
            <w:tcW w:w="0" w:type="auto"/>
            <w:shd w:val="clear" w:color="auto" w:fill="auto"/>
          </w:tcPr>
          <w:p w14:paraId="749C308E" w14:textId="77777777" w:rsidR="008C5CFA" w:rsidRPr="00601E29" w:rsidRDefault="00E82A60" w:rsidP="00300A01">
            <w:pPr>
              <w:spacing w:before="0" w:after="0"/>
              <w:jc w:val="right"/>
              <w:rPr>
                <w:sz w:val="10"/>
                <w:szCs w:val="10"/>
                <w:lang w:val="fr-BE"/>
              </w:rPr>
            </w:pPr>
            <w:r w:rsidRPr="00601E29">
              <w:rPr>
                <w:noProof/>
                <w:sz w:val="10"/>
                <w:szCs w:val="10"/>
                <w:lang w:val="fr-BE"/>
              </w:rPr>
              <w:t>48,00</w:t>
            </w:r>
            <w:r>
              <w:rPr>
                <w:noProof/>
                <w:sz w:val="10"/>
                <w:szCs w:val="10"/>
                <w:lang w:val="fr-BE"/>
              </w:rPr>
              <w:t>%</w:t>
            </w:r>
          </w:p>
        </w:tc>
        <w:tc>
          <w:tcPr>
            <w:tcW w:w="0" w:type="auto"/>
            <w:shd w:val="clear" w:color="auto" w:fill="auto"/>
          </w:tcPr>
          <w:p w14:paraId="26FFC07B" w14:textId="77777777" w:rsidR="008C5CFA" w:rsidRPr="00601E29" w:rsidRDefault="008C5CFA" w:rsidP="00300A01">
            <w:pPr>
              <w:spacing w:before="0" w:after="0"/>
              <w:jc w:val="right"/>
              <w:rPr>
                <w:sz w:val="10"/>
                <w:szCs w:val="10"/>
                <w:lang w:val="fr-BE"/>
              </w:rPr>
            </w:pPr>
          </w:p>
        </w:tc>
        <w:tc>
          <w:tcPr>
            <w:tcW w:w="0" w:type="auto"/>
            <w:shd w:val="clear" w:color="auto" w:fill="auto"/>
          </w:tcPr>
          <w:p w14:paraId="3C880321" w14:textId="77777777" w:rsidR="008C5CFA" w:rsidRPr="00601E29" w:rsidRDefault="008C5CFA" w:rsidP="00300A01">
            <w:pPr>
              <w:spacing w:before="0" w:after="0"/>
              <w:jc w:val="right"/>
              <w:rPr>
                <w:sz w:val="10"/>
                <w:szCs w:val="10"/>
                <w:lang w:val="fr-BE"/>
              </w:rPr>
            </w:pPr>
          </w:p>
        </w:tc>
        <w:tc>
          <w:tcPr>
            <w:tcW w:w="0" w:type="auto"/>
            <w:shd w:val="clear" w:color="auto" w:fill="auto"/>
          </w:tcPr>
          <w:p w14:paraId="48ECD7AA" w14:textId="77777777" w:rsidR="008C5CFA" w:rsidRPr="00601E29" w:rsidRDefault="00E82A60" w:rsidP="00300A01">
            <w:pPr>
              <w:spacing w:before="0" w:after="0"/>
              <w:jc w:val="right"/>
              <w:rPr>
                <w:sz w:val="10"/>
                <w:szCs w:val="10"/>
                <w:lang w:val="fr-BE"/>
              </w:rPr>
            </w:pPr>
            <w:r>
              <w:rPr>
                <w:noProof/>
                <w:sz w:val="10"/>
                <w:szCs w:val="10"/>
                <w:lang w:val="fr-BE"/>
              </w:rPr>
              <w:t>0,36</w:t>
            </w:r>
          </w:p>
        </w:tc>
        <w:tc>
          <w:tcPr>
            <w:tcW w:w="0" w:type="auto"/>
            <w:shd w:val="clear" w:color="auto" w:fill="auto"/>
          </w:tcPr>
          <w:p w14:paraId="411A63F5" w14:textId="77777777" w:rsidR="008C5CFA" w:rsidRPr="00601E29" w:rsidRDefault="008C5CFA" w:rsidP="00300A01">
            <w:pPr>
              <w:spacing w:before="0" w:after="0"/>
              <w:jc w:val="right"/>
              <w:rPr>
                <w:sz w:val="10"/>
                <w:szCs w:val="10"/>
                <w:lang w:val="fr-BE"/>
              </w:rPr>
            </w:pPr>
          </w:p>
        </w:tc>
        <w:tc>
          <w:tcPr>
            <w:tcW w:w="0" w:type="auto"/>
            <w:shd w:val="clear" w:color="auto" w:fill="auto"/>
          </w:tcPr>
          <w:p w14:paraId="2C79879F" w14:textId="77777777" w:rsidR="008C5CFA" w:rsidRPr="00601E29" w:rsidRDefault="008C5CFA" w:rsidP="00300A01">
            <w:pPr>
              <w:spacing w:before="0" w:after="0"/>
              <w:jc w:val="right"/>
              <w:rPr>
                <w:sz w:val="10"/>
                <w:szCs w:val="10"/>
                <w:lang w:val="fr-BE"/>
              </w:rPr>
            </w:pPr>
          </w:p>
        </w:tc>
        <w:tc>
          <w:tcPr>
            <w:tcW w:w="0" w:type="auto"/>
            <w:shd w:val="clear" w:color="auto" w:fill="auto"/>
          </w:tcPr>
          <w:p w14:paraId="4D549B87" w14:textId="77777777" w:rsidR="008C5CFA" w:rsidRPr="00601E29" w:rsidRDefault="00E82A60" w:rsidP="00300A01">
            <w:pPr>
              <w:spacing w:before="0" w:after="0"/>
              <w:jc w:val="right"/>
              <w:rPr>
                <w:sz w:val="10"/>
                <w:szCs w:val="10"/>
                <w:lang w:val="fr-BE"/>
              </w:rPr>
            </w:pPr>
            <w:r w:rsidRPr="00601E29">
              <w:rPr>
                <w:noProof/>
                <w:sz w:val="10"/>
                <w:szCs w:val="10"/>
                <w:lang w:val="fr-BE"/>
              </w:rPr>
              <w:t>270,00</w:t>
            </w:r>
          </w:p>
        </w:tc>
        <w:tc>
          <w:tcPr>
            <w:tcW w:w="0" w:type="auto"/>
            <w:shd w:val="clear" w:color="auto" w:fill="auto"/>
          </w:tcPr>
          <w:p w14:paraId="41DF6FCC"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shd w:val="clear" w:color="auto" w:fill="auto"/>
          </w:tcPr>
          <w:p w14:paraId="33D0B236"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685197EF"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shd w:val="clear" w:color="auto" w:fill="auto"/>
          </w:tcPr>
          <w:p w14:paraId="1D3E8F42"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shd w:val="clear" w:color="auto" w:fill="auto"/>
          </w:tcPr>
          <w:p w14:paraId="040A8BE1"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23A4F35B" w14:textId="77777777" w:rsidR="008C5CFA" w:rsidRPr="00601E29" w:rsidRDefault="008C5CFA" w:rsidP="00300A01">
            <w:pPr>
              <w:spacing w:before="0" w:after="0"/>
              <w:jc w:val="right"/>
              <w:rPr>
                <w:sz w:val="10"/>
                <w:szCs w:val="10"/>
                <w:lang w:val="fr-BE"/>
              </w:rPr>
            </w:pPr>
          </w:p>
        </w:tc>
      </w:tr>
    </w:tbl>
    <w:p w14:paraId="72D283B7"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64"/>
        <w:gridCol w:w="7019"/>
        <w:gridCol w:w="829"/>
        <w:gridCol w:w="464"/>
        <w:gridCol w:w="564"/>
        <w:gridCol w:w="453"/>
        <w:gridCol w:w="448"/>
        <w:gridCol w:w="564"/>
        <w:gridCol w:w="453"/>
        <w:gridCol w:w="598"/>
        <w:gridCol w:w="448"/>
        <w:gridCol w:w="564"/>
        <w:gridCol w:w="453"/>
        <w:gridCol w:w="448"/>
        <w:gridCol w:w="564"/>
        <w:gridCol w:w="453"/>
        <w:gridCol w:w="598"/>
      </w:tblGrid>
      <w:tr w:rsidR="006B2EC1" w14:paraId="3E06AB16" w14:textId="77777777" w:rsidTr="0047688D">
        <w:trPr>
          <w:tblHeader/>
        </w:trPr>
        <w:tc>
          <w:tcPr>
            <w:tcW w:w="0" w:type="auto"/>
            <w:shd w:val="clear" w:color="auto" w:fill="auto"/>
          </w:tcPr>
          <w:p w14:paraId="1113FF6A" w14:textId="77777777" w:rsidR="008C5CFA" w:rsidRPr="00601E29" w:rsidRDefault="00E82A60" w:rsidP="00300A01">
            <w:pPr>
              <w:spacing w:before="0" w:after="0"/>
              <w:rPr>
                <w:b/>
                <w:sz w:val="10"/>
                <w:szCs w:val="10"/>
                <w:lang w:val="fr-BE"/>
              </w:rPr>
            </w:pPr>
            <w:r w:rsidRPr="00601E29">
              <w:rPr>
                <w:b/>
                <w:noProof/>
                <w:sz w:val="10"/>
                <w:szCs w:val="10"/>
                <w:lang w:val="fr-BE"/>
              </w:rPr>
              <w:t>ID</w:t>
            </w:r>
          </w:p>
        </w:tc>
        <w:tc>
          <w:tcPr>
            <w:tcW w:w="0" w:type="auto"/>
            <w:shd w:val="clear" w:color="auto" w:fill="auto"/>
          </w:tcPr>
          <w:p w14:paraId="473A49C4" w14:textId="77777777" w:rsidR="008C5CFA" w:rsidRPr="00601E29" w:rsidRDefault="00E82A60" w:rsidP="00300A01">
            <w:pPr>
              <w:spacing w:before="0" w:after="0"/>
              <w:rPr>
                <w:b/>
                <w:sz w:val="10"/>
                <w:szCs w:val="10"/>
                <w:lang w:val="fr-BE"/>
              </w:rPr>
            </w:pPr>
            <w:r w:rsidRPr="00601E29">
              <w:rPr>
                <w:b/>
                <w:noProof/>
                <w:sz w:val="10"/>
                <w:szCs w:val="10"/>
                <w:lang w:val="fr-BE"/>
              </w:rPr>
              <w:t>Wskaźnik</w:t>
            </w:r>
          </w:p>
        </w:tc>
        <w:tc>
          <w:tcPr>
            <w:tcW w:w="0" w:type="auto"/>
            <w:shd w:val="clear" w:color="auto" w:fill="auto"/>
          </w:tcPr>
          <w:p w14:paraId="222CD040" w14:textId="77777777" w:rsidR="008C5CFA" w:rsidRPr="00601E29" w:rsidRDefault="00E82A60" w:rsidP="00300A01">
            <w:pPr>
              <w:spacing w:before="0" w:after="0"/>
              <w:rPr>
                <w:b/>
                <w:sz w:val="10"/>
                <w:szCs w:val="10"/>
                <w:lang w:val="fr-BE"/>
              </w:rPr>
            </w:pPr>
            <w:r w:rsidRPr="00601E29">
              <w:rPr>
                <w:b/>
                <w:noProof/>
                <w:sz w:val="10"/>
                <w:szCs w:val="10"/>
                <w:lang w:val="fr-BE"/>
              </w:rPr>
              <w:t>Kategoria regionu</w:t>
            </w:r>
          </w:p>
        </w:tc>
        <w:tc>
          <w:tcPr>
            <w:tcW w:w="0" w:type="auto"/>
            <w:gridSpan w:val="7"/>
          </w:tcPr>
          <w:p w14:paraId="2C3DFE3E" w14:textId="77777777" w:rsidR="008C5CFA" w:rsidRPr="00601E29" w:rsidRDefault="00E82A60" w:rsidP="00300A01">
            <w:pPr>
              <w:spacing w:before="0" w:after="0"/>
              <w:jc w:val="center"/>
              <w:rPr>
                <w:b/>
                <w:sz w:val="10"/>
                <w:szCs w:val="10"/>
                <w:lang w:val="fr-BE"/>
              </w:rPr>
            </w:pPr>
            <w:r>
              <w:rPr>
                <w:b/>
                <w:sz w:val="10"/>
                <w:szCs w:val="10"/>
                <w:lang w:val="fr-BE"/>
              </w:rPr>
              <w:t>2018</w:t>
            </w:r>
          </w:p>
        </w:tc>
        <w:tc>
          <w:tcPr>
            <w:tcW w:w="0" w:type="auto"/>
            <w:gridSpan w:val="7"/>
          </w:tcPr>
          <w:p w14:paraId="614F65F1" w14:textId="77777777" w:rsidR="008C5CFA" w:rsidRPr="00601E29" w:rsidRDefault="00E82A60" w:rsidP="00300A01">
            <w:pPr>
              <w:spacing w:before="0" w:after="0"/>
              <w:jc w:val="center"/>
              <w:rPr>
                <w:b/>
                <w:sz w:val="10"/>
                <w:szCs w:val="10"/>
                <w:lang w:val="fr-BE"/>
              </w:rPr>
            </w:pPr>
            <w:r>
              <w:rPr>
                <w:b/>
                <w:sz w:val="10"/>
                <w:szCs w:val="10"/>
                <w:lang w:val="fr-BE"/>
              </w:rPr>
              <w:t>2017</w:t>
            </w:r>
          </w:p>
        </w:tc>
      </w:tr>
      <w:tr w:rsidR="006B2EC1" w14:paraId="270F7AD0" w14:textId="77777777" w:rsidTr="0047688D">
        <w:trPr>
          <w:tblHeader/>
        </w:trPr>
        <w:tc>
          <w:tcPr>
            <w:tcW w:w="0" w:type="auto"/>
            <w:shd w:val="clear" w:color="auto" w:fill="auto"/>
          </w:tcPr>
          <w:p w14:paraId="20DE5159" w14:textId="77777777" w:rsidR="008C5CFA" w:rsidRPr="00601E29" w:rsidRDefault="008C5CFA" w:rsidP="00300A01">
            <w:pPr>
              <w:spacing w:before="0" w:after="0"/>
              <w:rPr>
                <w:b/>
                <w:sz w:val="10"/>
                <w:szCs w:val="10"/>
                <w:lang w:val="fr-BE"/>
              </w:rPr>
            </w:pPr>
          </w:p>
        </w:tc>
        <w:tc>
          <w:tcPr>
            <w:tcW w:w="0" w:type="auto"/>
            <w:shd w:val="clear" w:color="auto" w:fill="auto"/>
          </w:tcPr>
          <w:p w14:paraId="0BE37B75" w14:textId="77777777" w:rsidR="008C5CFA" w:rsidRPr="00601E29" w:rsidRDefault="008C5CFA" w:rsidP="00300A01">
            <w:pPr>
              <w:spacing w:before="0" w:after="0"/>
              <w:rPr>
                <w:b/>
                <w:sz w:val="10"/>
                <w:szCs w:val="10"/>
                <w:lang w:val="fr-BE"/>
              </w:rPr>
            </w:pPr>
          </w:p>
        </w:tc>
        <w:tc>
          <w:tcPr>
            <w:tcW w:w="0" w:type="auto"/>
            <w:shd w:val="clear" w:color="auto" w:fill="auto"/>
          </w:tcPr>
          <w:p w14:paraId="3103ECDB" w14:textId="77777777" w:rsidR="008C5CFA" w:rsidRPr="00601E29" w:rsidRDefault="008C5CFA" w:rsidP="00300A01">
            <w:pPr>
              <w:spacing w:before="0" w:after="0"/>
              <w:rPr>
                <w:b/>
                <w:sz w:val="10"/>
                <w:szCs w:val="10"/>
                <w:lang w:val="fr-BE"/>
              </w:rPr>
            </w:pPr>
          </w:p>
        </w:tc>
        <w:tc>
          <w:tcPr>
            <w:tcW w:w="0" w:type="auto"/>
            <w:gridSpan w:val="3"/>
          </w:tcPr>
          <w:p w14:paraId="7EA24D9E" w14:textId="77777777" w:rsidR="008C5CFA" w:rsidRPr="00601E29" w:rsidRDefault="00E82A60" w:rsidP="00300A01">
            <w:pPr>
              <w:spacing w:before="0" w:after="0"/>
              <w:jc w:val="center"/>
              <w:rPr>
                <w:b/>
                <w:sz w:val="10"/>
                <w:szCs w:val="10"/>
                <w:lang w:val="fr-BE"/>
              </w:rPr>
            </w:pPr>
            <w:r w:rsidRPr="00601E29">
              <w:rPr>
                <w:b/>
                <w:noProof/>
                <w:sz w:val="10"/>
                <w:szCs w:val="10"/>
                <w:lang w:val="fr-BE"/>
              </w:rPr>
              <w:t>Łącznie</w:t>
            </w:r>
          </w:p>
        </w:tc>
        <w:tc>
          <w:tcPr>
            <w:tcW w:w="0" w:type="auto"/>
            <w:gridSpan w:val="3"/>
          </w:tcPr>
          <w:p w14:paraId="3388B237" w14:textId="77777777" w:rsidR="008C5CFA" w:rsidRPr="00601E29" w:rsidRDefault="00E82A60" w:rsidP="00300A01">
            <w:pPr>
              <w:spacing w:before="0" w:after="0"/>
              <w:jc w:val="center"/>
              <w:rPr>
                <w:b/>
                <w:sz w:val="10"/>
                <w:szCs w:val="10"/>
                <w:lang w:val="fr-BE"/>
              </w:rPr>
            </w:pPr>
            <w:r w:rsidRPr="00601E29">
              <w:rPr>
                <w:b/>
                <w:noProof/>
                <w:sz w:val="10"/>
                <w:szCs w:val="10"/>
                <w:lang w:val="fr-BE"/>
              </w:rPr>
              <w:t>Łącznie w roku</w:t>
            </w:r>
          </w:p>
        </w:tc>
        <w:tc>
          <w:tcPr>
            <w:tcW w:w="0" w:type="auto"/>
          </w:tcPr>
          <w:p w14:paraId="1E29BFB9" w14:textId="77777777" w:rsidR="008C5CFA" w:rsidRPr="00601E29" w:rsidRDefault="00E82A60" w:rsidP="00300A01">
            <w:pPr>
              <w:spacing w:before="0" w:after="0"/>
              <w:jc w:val="center"/>
              <w:rPr>
                <w:b/>
                <w:sz w:val="10"/>
                <w:szCs w:val="10"/>
                <w:lang w:val="fr-BE"/>
              </w:rPr>
            </w:pPr>
            <w:r w:rsidRPr="00601E29">
              <w:rPr>
                <w:b/>
                <w:noProof/>
                <w:sz w:val="10"/>
                <w:szCs w:val="10"/>
                <w:lang w:val="fr-BE"/>
              </w:rPr>
              <w:t>Jakościowe</w:t>
            </w:r>
          </w:p>
        </w:tc>
        <w:tc>
          <w:tcPr>
            <w:tcW w:w="0" w:type="auto"/>
            <w:gridSpan w:val="3"/>
          </w:tcPr>
          <w:p w14:paraId="42ACEA95" w14:textId="77777777" w:rsidR="008C5CFA" w:rsidRPr="00601E29" w:rsidRDefault="00E82A60" w:rsidP="00300A01">
            <w:pPr>
              <w:spacing w:before="0" w:after="0"/>
              <w:jc w:val="center"/>
              <w:rPr>
                <w:b/>
                <w:sz w:val="10"/>
                <w:szCs w:val="10"/>
                <w:lang w:val="fr-BE"/>
              </w:rPr>
            </w:pPr>
            <w:r w:rsidRPr="00601E29">
              <w:rPr>
                <w:b/>
                <w:noProof/>
                <w:sz w:val="10"/>
                <w:szCs w:val="10"/>
                <w:lang w:val="fr-BE"/>
              </w:rPr>
              <w:t>Łącznie</w:t>
            </w:r>
          </w:p>
        </w:tc>
        <w:tc>
          <w:tcPr>
            <w:tcW w:w="0" w:type="auto"/>
            <w:gridSpan w:val="3"/>
          </w:tcPr>
          <w:p w14:paraId="7EB02FD1" w14:textId="77777777" w:rsidR="008C5CFA" w:rsidRPr="00601E29" w:rsidRDefault="00E82A60" w:rsidP="00300A01">
            <w:pPr>
              <w:spacing w:before="0" w:after="0"/>
              <w:jc w:val="center"/>
              <w:rPr>
                <w:b/>
                <w:sz w:val="10"/>
                <w:szCs w:val="10"/>
                <w:lang w:val="fr-BE"/>
              </w:rPr>
            </w:pPr>
            <w:r w:rsidRPr="00601E29">
              <w:rPr>
                <w:b/>
                <w:noProof/>
                <w:sz w:val="10"/>
                <w:szCs w:val="10"/>
                <w:lang w:val="fr-BE"/>
              </w:rPr>
              <w:t>Łącznie w roku</w:t>
            </w:r>
          </w:p>
        </w:tc>
        <w:tc>
          <w:tcPr>
            <w:tcW w:w="0" w:type="auto"/>
          </w:tcPr>
          <w:p w14:paraId="48274F06" w14:textId="77777777" w:rsidR="008C5CFA" w:rsidRPr="00601E29" w:rsidRDefault="00E82A60" w:rsidP="00300A01">
            <w:pPr>
              <w:spacing w:before="0" w:after="0"/>
              <w:jc w:val="center"/>
              <w:rPr>
                <w:b/>
                <w:sz w:val="10"/>
                <w:szCs w:val="10"/>
                <w:lang w:val="fr-BE"/>
              </w:rPr>
            </w:pPr>
            <w:r w:rsidRPr="00601E29">
              <w:rPr>
                <w:b/>
                <w:noProof/>
                <w:sz w:val="10"/>
                <w:szCs w:val="10"/>
                <w:lang w:val="fr-BE"/>
              </w:rPr>
              <w:t>Jakościowe</w:t>
            </w:r>
          </w:p>
        </w:tc>
      </w:tr>
      <w:tr w:rsidR="006B2EC1" w14:paraId="1BDEDF19" w14:textId="77777777" w:rsidTr="0047688D">
        <w:trPr>
          <w:tblHeader/>
        </w:trPr>
        <w:tc>
          <w:tcPr>
            <w:tcW w:w="0" w:type="auto"/>
            <w:shd w:val="clear" w:color="auto" w:fill="auto"/>
          </w:tcPr>
          <w:p w14:paraId="17E74B0B" w14:textId="77777777" w:rsidR="008C5CFA" w:rsidRPr="00601E29" w:rsidRDefault="008C5CFA" w:rsidP="00300A01">
            <w:pPr>
              <w:spacing w:before="0" w:after="0"/>
              <w:rPr>
                <w:b/>
                <w:sz w:val="10"/>
                <w:szCs w:val="10"/>
                <w:lang w:val="fr-BE"/>
              </w:rPr>
            </w:pPr>
          </w:p>
        </w:tc>
        <w:tc>
          <w:tcPr>
            <w:tcW w:w="0" w:type="auto"/>
            <w:shd w:val="clear" w:color="auto" w:fill="auto"/>
          </w:tcPr>
          <w:p w14:paraId="1F36916E" w14:textId="77777777" w:rsidR="008C5CFA" w:rsidRPr="00601E29" w:rsidRDefault="008C5CFA" w:rsidP="00300A01">
            <w:pPr>
              <w:spacing w:before="0" w:after="0"/>
              <w:rPr>
                <w:b/>
                <w:sz w:val="10"/>
                <w:szCs w:val="10"/>
                <w:lang w:val="fr-BE"/>
              </w:rPr>
            </w:pPr>
          </w:p>
        </w:tc>
        <w:tc>
          <w:tcPr>
            <w:tcW w:w="0" w:type="auto"/>
            <w:shd w:val="clear" w:color="auto" w:fill="auto"/>
          </w:tcPr>
          <w:p w14:paraId="0B75F7CA" w14:textId="77777777" w:rsidR="008C5CFA" w:rsidRPr="00601E29" w:rsidRDefault="008C5CFA" w:rsidP="00300A01">
            <w:pPr>
              <w:spacing w:before="0" w:after="0"/>
              <w:rPr>
                <w:b/>
                <w:sz w:val="10"/>
                <w:szCs w:val="10"/>
                <w:lang w:val="fr-BE"/>
              </w:rPr>
            </w:pPr>
          </w:p>
        </w:tc>
        <w:tc>
          <w:tcPr>
            <w:tcW w:w="0" w:type="auto"/>
          </w:tcPr>
          <w:p w14:paraId="47AFB728" w14:textId="77777777" w:rsidR="008C5CFA" w:rsidRPr="00601E29" w:rsidRDefault="00E82A60" w:rsidP="00300A01">
            <w:pPr>
              <w:spacing w:before="0" w:after="0"/>
              <w:jc w:val="center"/>
              <w:rPr>
                <w:b/>
                <w:sz w:val="10"/>
                <w:szCs w:val="10"/>
                <w:lang w:val="fr-BE"/>
              </w:rPr>
            </w:pPr>
            <w:r w:rsidRPr="00601E29">
              <w:rPr>
                <w:b/>
                <w:noProof/>
                <w:sz w:val="10"/>
                <w:szCs w:val="10"/>
                <w:lang w:val="fr-BE"/>
              </w:rPr>
              <w:t>Ogółem</w:t>
            </w:r>
          </w:p>
        </w:tc>
        <w:tc>
          <w:tcPr>
            <w:tcW w:w="0" w:type="auto"/>
          </w:tcPr>
          <w:p w14:paraId="3B124AE7" w14:textId="77777777" w:rsidR="008C5CFA" w:rsidRPr="00601E29" w:rsidRDefault="00E82A60" w:rsidP="00300A01">
            <w:pPr>
              <w:spacing w:before="0" w:after="0"/>
              <w:jc w:val="center"/>
              <w:rPr>
                <w:b/>
                <w:sz w:val="10"/>
                <w:szCs w:val="10"/>
                <w:lang w:val="fr-BE"/>
              </w:rPr>
            </w:pPr>
            <w:r w:rsidRPr="00601E29">
              <w:rPr>
                <w:b/>
                <w:noProof/>
                <w:sz w:val="10"/>
                <w:szCs w:val="10"/>
                <w:lang w:val="fr-BE"/>
              </w:rPr>
              <w:t>Mężczyźni</w:t>
            </w:r>
          </w:p>
        </w:tc>
        <w:tc>
          <w:tcPr>
            <w:tcW w:w="0" w:type="auto"/>
          </w:tcPr>
          <w:p w14:paraId="47D063CC" w14:textId="77777777" w:rsidR="008C5CFA" w:rsidRPr="00601E29" w:rsidRDefault="00E82A60" w:rsidP="00300A01">
            <w:pPr>
              <w:spacing w:before="0" w:after="0"/>
              <w:jc w:val="center"/>
              <w:rPr>
                <w:b/>
                <w:sz w:val="10"/>
                <w:szCs w:val="10"/>
                <w:lang w:val="fr-BE"/>
              </w:rPr>
            </w:pPr>
            <w:r w:rsidRPr="00601E29">
              <w:rPr>
                <w:b/>
                <w:noProof/>
                <w:sz w:val="10"/>
                <w:szCs w:val="10"/>
                <w:lang w:val="fr-BE"/>
              </w:rPr>
              <w:t>Kobiety</w:t>
            </w:r>
          </w:p>
        </w:tc>
        <w:tc>
          <w:tcPr>
            <w:tcW w:w="0" w:type="auto"/>
          </w:tcPr>
          <w:p w14:paraId="209167D2" w14:textId="77777777" w:rsidR="008C5CFA" w:rsidRPr="00601E29" w:rsidRDefault="00E82A60" w:rsidP="00300A01">
            <w:pPr>
              <w:spacing w:before="0" w:after="0"/>
              <w:jc w:val="center"/>
              <w:rPr>
                <w:b/>
                <w:sz w:val="10"/>
                <w:szCs w:val="10"/>
                <w:lang w:val="fr-BE"/>
              </w:rPr>
            </w:pPr>
            <w:r w:rsidRPr="00601E29">
              <w:rPr>
                <w:b/>
                <w:noProof/>
                <w:sz w:val="10"/>
                <w:szCs w:val="10"/>
                <w:lang w:val="fr-BE"/>
              </w:rPr>
              <w:t>Ogółem</w:t>
            </w:r>
          </w:p>
        </w:tc>
        <w:tc>
          <w:tcPr>
            <w:tcW w:w="0" w:type="auto"/>
          </w:tcPr>
          <w:p w14:paraId="0548AD8C" w14:textId="77777777" w:rsidR="008C5CFA" w:rsidRPr="00601E29" w:rsidRDefault="00E82A60" w:rsidP="00300A01">
            <w:pPr>
              <w:spacing w:before="0" w:after="0"/>
              <w:jc w:val="center"/>
              <w:rPr>
                <w:b/>
                <w:sz w:val="10"/>
                <w:szCs w:val="10"/>
                <w:lang w:val="fr-BE"/>
              </w:rPr>
            </w:pPr>
            <w:r w:rsidRPr="00601E29">
              <w:rPr>
                <w:b/>
                <w:noProof/>
                <w:sz w:val="10"/>
                <w:szCs w:val="10"/>
                <w:lang w:val="fr-BE"/>
              </w:rPr>
              <w:t>Mężczyźni</w:t>
            </w:r>
          </w:p>
        </w:tc>
        <w:tc>
          <w:tcPr>
            <w:tcW w:w="0" w:type="auto"/>
          </w:tcPr>
          <w:p w14:paraId="5036878F" w14:textId="77777777" w:rsidR="008C5CFA" w:rsidRPr="00601E29" w:rsidRDefault="00E82A60" w:rsidP="00300A01">
            <w:pPr>
              <w:spacing w:before="0" w:after="0"/>
              <w:jc w:val="center"/>
              <w:rPr>
                <w:b/>
                <w:sz w:val="10"/>
                <w:szCs w:val="10"/>
                <w:lang w:val="fr-BE"/>
              </w:rPr>
            </w:pPr>
            <w:r w:rsidRPr="00601E29">
              <w:rPr>
                <w:b/>
                <w:noProof/>
                <w:sz w:val="10"/>
                <w:szCs w:val="10"/>
                <w:lang w:val="fr-BE"/>
              </w:rPr>
              <w:t>Kobiety</w:t>
            </w:r>
          </w:p>
        </w:tc>
        <w:tc>
          <w:tcPr>
            <w:tcW w:w="0" w:type="auto"/>
          </w:tcPr>
          <w:p w14:paraId="56FB5F86" w14:textId="77777777" w:rsidR="008C5CFA" w:rsidRPr="00601E29" w:rsidRDefault="008C5CFA" w:rsidP="00300A01">
            <w:pPr>
              <w:spacing w:before="0" w:after="0"/>
              <w:jc w:val="center"/>
              <w:rPr>
                <w:b/>
                <w:sz w:val="10"/>
                <w:szCs w:val="10"/>
                <w:lang w:val="fr-BE"/>
              </w:rPr>
            </w:pPr>
          </w:p>
        </w:tc>
        <w:tc>
          <w:tcPr>
            <w:tcW w:w="0" w:type="auto"/>
          </w:tcPr>
          <w:p w14:paraId="048C8B13" w14:textId="77777777" w:rsidR="008C5CFA" w:rsidRPr="00601E29" w:rsidRDefault="00E82A60" w:rsidP="00300A01">
            <w:pPr>
              <w:spacing w:before="0" w:after="0"/>
              <w:jc w:val="center"/>
              <w:rPr>
                <w:b/>
                <w:sz w:val="10"/>
                <w:szCs w:val="10"/>
                <w:lang w:val="fr-BE"/>
              </w:rPr>
            </w:pPr>
            <w:r w:rsidRPr="00601E29">
              <w:rPr>
                <w:b/>
                <w:noProof/>
                <w:sz w:val="10"/>
                <w:szCs w:val="10"/>
                <w:lang w:val="fr-BE"/>
              </w:rPr>
              <w:t>Ogółem</w:t>
            </w:r>
          </w:p>
        </w:tc>
        <w:tc>
          <w:tcPr>
            <w:tcW w:w="0" w:type="auto"/>
          </w:tcPr>
          <w:p w14:paraId="1EC000E4" w14:textId="77777777" w:rsidR="008C5CFA" w:rsidRPr="00601E29" w:rsidRDefault="00E82A60" w:rsidP="00300A01">
            <w:pPr>
              <w:spacing w:before="0" w:after="0"/>
              <w:jc w:val="center"/>
              <w:rPr>
                <w:b/>
                <w:sz w:val="10"/>
                <w:szCs w:val="10"/>
                <w:lang w:val="fr-BE"/>
              </w:rPr>
            </w:pPr>
            <w:r w:rsidRPr="00601E29">
              <w:rPr>
                <w:b/>
                <w:noProof/>
                <w:sz w:val="10"/>
                <w:szCs w:val="10"/>
                <w:lang w:val="fr-BE"/>
              </w:rPr>
              <w:t>Mężczyźni</w:t>
            </w:r>
          </w:p>
        </w:tc>
        <w:tc>
          <w:tcPr>
            <w:tcW w:w="0" w:type="auto"/>
          </w:tcPr>
          <w:p w14:paraId="46EEEC04" w14:textId="77777777" w:rsidR="008C5CFA" w:rsidRPr="00601E29" w:rsidRDefault="00E82A60" w:rsidP="00300A01">
            <w:pPr>
              <w:spacing w:before="0" w:after="0"/>
              <w:jc w:val="center"/>
              <w:rPr>
                <w:b/>
                <w:sz w:val="10"/>
                <w:szCs w:val="10"/>
                <w:lang w:val="fr-BE"/>
              </w:rPr>
            </w:pPr>
            <w:r w:rsidRPr="00601E29">
              <w:rPr>
                <w:b/>
                <w:noProof/>
                <w:sz w:val="10"/>
                <w:szCs w:val="10"/>
                <w:lang w:val="fr-BE"/>
              </w:rPr>
              <w:t>Kobiety</w:t>
            </w:r>
          </w:p>
        </w:tc>
        <w:tc>
          <w:tcPr>
            <w:tcW w:w="0" w:type="auto"/>
          </w:tcPr>
          <w:p w14:paraId="56E13057" w14:textId="77777777" w:rsidR="008C5CFA" w:rsidRPr="00601E29" w:rsidRDefault="00E82A60" w:rsidP="00300A01">
            <w:pPr>
              <w:spacing w:before="0" w:after="0"/>
              <w:jc w:val="center"/>
              <w:rPr>
                <w:b/>
                <w:sz w:val="10"/>
                <w:szCs w:val="10"/>
                <w:lang w:val="fr-BE"/>
              </w:rPr>
            </w:pPr>
            <w:r w:rsidRPr="00601E29">
              <w:rPr>
                <w:b/>
                <w:noProof/>
                <w:sz w:val="10"/>
                <w:szCs w:val="10"/>
                <w:lang w:val="fr-BE"/>
              </w:rPr>
              <w:t>Ogółem</w:t>
            </w:r>
          </w:p>
        </w:tc>
        <w:tc>
          <w:tcPr>
            <w:tcW w:w="0" w:type="auto"/>
          </w:tcPr>
          <w:p w14:paraId="1808601C" w14:textId="77777777" w:rsidR="008C5CFA" w:rsidRPr="00601E29" w:rsidRDefault="00E82A60" w:rsidP="00300A01">
            <w:pPr>
              <w:spacing w:before="0" w:after="0"/>
              <w:jc w:val="center"/>
              <w:rPr>
                <w:b/>
                <w:sz w:val="10"/>
                <w:szCs w:val="10"/>
                <w:lang w:val="fr-BE"/>
              </w:rPr>
            </w:pPr>
            <w:r w:rsidRPr="00601E29">
              <w:rPr>
                <w:b/>
                <w:noProof/>
                <w:sz w:val="10"/>
                <w:szCs w:val="10"/>
                <w:lang w:val="fr-BE"/>
              </w:rPr>
              <w:t>Mężczyźni</w:t>
            </w:r>
          </w:p>
        </w:tc>
        <w:tc>
          <w:tcPr>
            <w:tcW w:w="0" w:type="auto"/>
          </w:tcPr>
          <w:p w14:paraId="145BD83C" w14:textId="77777777" w:rsidR="008C5CFA" w:rsidRPr="00601E29" w:rsidRDefault="00E82A60" w:rsidP="00300A01">
            <w:pPr>
              <w:spacing w:before="0" w:after="0"/>
              <w:jc w:val="center"/>
              <w:rPr>
                <w:b/>
                <w:sz w:val="10"/>
                <w:szCs w:val="10"/>
                <w:lang w:val="fr-BE"/>
              </w:rPr>
            </w:pPr>
            <w:r w:rsidRPr="00601E29">
              <w:rPr>
                <w:b/>
                <w:noProof/>
                <w:sz w:val="10"/>
                <w:szCs w:val="10"/>
                <w:lang w:val="fr-BE"/>
              </w:rPr>
              <w:t>Kobiety</w:t>
            </w:r>
          </w:p>
        </w:tc>
        <w:tc>
          <w:tcPr>
            <w:tcW w:w="0" w:type="auto"/>
          </w:tcPr>
          <w:p w14:paraId="228322E8" w14:textId="77777777" w:rsidR="008C5CFA" w:rsidRPr="00601E29" w:rsidRDefault="008C5CFA" w:rsidP="00300A01">
            <w:pPr>
              <w:spacing w:before="0" w:after="0"/>
              <w:jc w:val="center"/>
              <w:rPr>
                <w:b/>
                <w:sz w:val="10"/>
                <w:szCs w:val="10"/>
                <w:lang w:val="fr-BE"/>
              </w:rPr>
            </w:pPr>
          </w:p>
        </w:tc>
      </w:tr>
      <w:tr w:rsidR="006B2EC1" w14:paraId="7F8EDD51" w14:textId="77777777" w:rsidTr="0047688D">
        <w:tc>
          <w:tcPr>
            <w:tcW w:w="0" w:type="auto"/>
            <w:shd w:val="clear" w:color="auto" w:fill="auto"/>
          </w:tcPr>
          <w:p w14:paraId="50217A21" w14:textId="77777777" w:rsidR="008C5CFA" w:rsidRPr="00601E29" w:rsidRDefault="00E82A60" w:rsidP="00300A01">
            <w:pPr>
              <w:spacing w:before="0" w:after="0"/>
              <w:rPr>
                <w:sz w:val="10"/>
                <w:szCs w:val="10"/>
                <w:lang w:val="fr-BE"/>
              </w:rPr>
            </w:pPr>
            <w:r w:rsidRPr="00601E29">
              <w:rPr>
                <w:noProof/>
                <w:sz w:val="10"/>
                <w:szCs w:val="10"/>
                <w:lang w:val="fr-BE"/>
              </w:rPr>
              <w:t>023</w:t>
            </w:r>
          </w:p>
        </w:tc>
        <w:tc>
          <w:tcPr>
            <w:tcW w:w="0" w:type="auto"/>
            <w:shd w:val="clear" w:color="auto" w:fill="auto"/>
          </w:tcPr>
          <w:p w14:paraId="2F5718BC" w14:textId="77777777" w:rsidR="008C5CFA" w:rsidRPr="00601E29" w:rsidRDefault="00E82A60" w:rsidP="00300A01">
            <w:pPr>
              <w:spacing w:before="0" w:after="0"/>
              <w:rPr>
                <w:sz w:val="10"/>
                <w:szCs w:val="10"/>
                <w:lang w:val="fr-BE"/>
              </w:rPr>
            </w:pPr>
            <w:r w:rsidRPr="00601E29">
              <w:rPr>
                <w:noProof/>
                <w:sz w:val="10"/>
                <w:szCs w:val="10"/>
                <w:lang w:val="fr-BE"/>
              </w:rPr>
              <w:t>Liczba osób pracujących po opuszczeniu programu (łącznie z pracującymi na własny rachunek) (C) - CR04 - Liczba osób z niepełnosprawnościami objętych wsparciem w programie (C) - CO16</w:t>
            </w:r>
          </w:p>
        </w:tc>
        <w:tc>
          <w:tcPr>
            <w:tcW w:w="0" w:type="auto"/>
            <w:shd w:val="clear" w:color="auto" w:fill="auto"/>
          </w:tcPr>
          <w:p w14:paraId="3B5CA87B" w14:textId="77777777" w:rsidR="008C5CFA" w:rsidRPr="00601E29" w:rsidRDefault="00E82A60" w:rsidP="00300A01">
            <w:pPr>
              <w:spacing w:before="0" w:after="0"/>
              <w:rPr>
                <w:sz w:val="10"/>
                <w:szCs w:val="10"/>
                <w:lang w:val="fr-BE"/>
              </w:rPr>
            </w:pPr>
            <w:r w:rsidRPr="00601E29">
              <w:rPr>
                <w:noProof/>
                <w:sz w:val="10"/>
                <w:szCs w:val="10"/>
                <w:lang w:val="fr-BE"/>
              </w:rPr>
              <w:t>Słabiej rozwinięte</w:t>
            </w:r>
          </w:p>
        </w:tc>
        <w:tc>
          <w:tcPr>
            <w:tcW w:w="0" w:type="auto"/>
          </w:tcPr>
          <w:p w14:paraId="6CB85BC2" w14:textId="77777777" w:rsidR="008C5CFA" w:rsidRPr="00601E29" w:rsidRDefault="00E82A60" w:rsidP="00300A01">
            <w:pPr>
              <w:spacing w:before="0" w:after="0"/>
              <w:jc w:val="right"/>
              <w:rPr>
                <w:sz w:val="10"/>
                <w:szCs w:val="10"/>
                <w:lang w:val="fr-BE"/>
              </w:rPr>
            </w:pPr>
            <w:r w:rsidRPr="00601E29">
              <w:rPr>
                <w:noProof/>
                <w:sz w:val="10"/>
                <w:szCs w:val="10"/>
                <w:lang w:val="fr-BE"/>
              </w:rPr>
              <w:t>972,00</w:t>
            </w:r>
          </w:p>
        </w:tc>
        <w:tc>
          <w:tcPr>
            <w:tcW w:w="0" w:type="auto"/>
          </w:tcPr>
          <w:p w14:paraId="77A522F3"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153ABFB0"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09D87CB6" w14:textId="77777777" w:rsidR="008C5CFA" w:rsidRPr="00601E29" w:rsidRDefault="00E82A60" w:rsidP="00300A01">
            <w:pPr>
              <w:spacing w:before="0" w:after="0"/>
              <w:jc w:val="right"/>
              <w:rPr>
                <w:sz w:val="10"/>
                <w:szCs w:val="10"/>
                <w:lang w:val="fr-BE"/>
              </w:rPr>
            </w:pPr>
            <w:r w:rsidRPr="00601E29">
              <w:rPr>
                <w:noProof/>
                <w:sz w:val="10"/>
                <w:szCs w:val="10"/>
                <w:lang w:val="fr-BE"/>
              </w:rPr>
              <w:t>296,00</w:t>
            </w:r>
          </w:p>
        </w:tc>
        <w:tc>
          <w:tcPr>
            <w:tcW w:w="0" w:type="auto"/>
          </w:tcPr>
          <w:p w14:paraId="51350751"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7A6686EA"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4A52ACB4" w14:textId="77777777" w:rsidR="008C5CFA" w:rsidRPr="00601E29" w:rsidRDefault="008C5CFA" w:rsidP="00300A01">
            <w:pPr>
              <w:spacing w:before="0" w:after="0"/>
              <w:jc w:val="right"/>
              <w:rPr>
                <w:sz w:val="10"/>
                <w:szCs w:val="10"/>
                <w:lang w:val="fr-BE"/>
              </w:rPr>
            </w:pPr>
          </w:p>
        </w:tc>
        <w:tc>
          <w:tcPr>
            <w:tcW w:w="0" w:type="auto"/>
          </w:tcPr>
          <w:p w14:paraId="60B84C3B" w14:textId="77777777" w:rsidR="008C5CFA" w:rsidRPr="00601E29" w:rsidRDefault="00E82A60" w:rsidP="00300A01">
            <w:pPr>
              <w:spacing w:before="0" w:after="0"/>
              <w:jc w:val="right"/>
              <w:rPr>
                <w:sz w:val="10"/>
                <w:szCs w:val="10"/>
                <w:lang w:val="fr-BE"/>
              </w:rPr>
            </w:pPr>
            <w:r w:rsidRPr="00601E29">
              <w:rPr>
                <w:noProof/>
                <w:sz w:val="10"/>
                <w:szCs w:val="10"/>
                <w:lang w:val="fr-BE"/>
              </w:rPr>
              <w:t>676,00</w:t>
            </w:r>
          </w:p>
        </w:tc>
        <w:tc>
          <w:tcPr>
            <w:tcW w:w="0" w:type="auto"/>
          </w:tcPr>
          <w:p w14:paraId="19516148"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620DC592"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456157A4" w14:textId="77777777" w:rsidR="008C5CFA" w:rsidRPr="00601E29" w:rsidRDefault="00E82A60" w:rsidP="00300A01">
            <w:pPr>
              <w:spacing w:before="0" w:after="0"/>
              <w:jc w:val="right"/>
              <w:rPr>
                <w:sz w:val="10"/>
                <w:szCs w:val="10"/>
                <w:lang w:val="fr-BE"/>
              </w:rPr>
            </w:pPr>
            <w:r w:rsidRPr="00601E29">
              <w:rPr>
                <w:noProof/>
                <w:sz w:val="10"/>
                <w:szCs w:val="10"/>
                <w:lang w:val="fr-BE"/>
              </w:rPr>
              <w:t>325,00</w:t>
            </w:r>
          </w:p>
        </w:tc>
        <w:tc>
          <w:tcPr>
            <w:tcW w:w="0" w:type="auto"/>
          </w:tcPr>
          <w:p w14:paraId="426C141B"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474C2E5E"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509BAED4" w14:textId="77777777" w:rsidR="008C5CFA" w:rsidRPr="00601E29" w:rsidRDefault="008C5CFA" w:rsidP="00300A01">
            <w:pPr>
              <w:spacing w:before="0" w:after="0"/>
              <w:jc w:val="right"/>
              <w:rPr>
                <w:sz w:val="10"/>
                <w:szCs w:val="10"/>
                <w:lang w:val="fr-BE"/>
              </w:rPr>
            </w:pPr>
          </w:p>
        </w:tc>
      </w:tr>
      <w:tr w:rsidR="006B2EC1" w14:paraId="205ED1ED" w14:textId="77777777" w:rsidTr="0047688D">
        <w:tc>
          <w:tcPr>
            <w:tcW w:w="0" w:type="auto"/>
            <w:shd w:val="clear" w:color="auto" w:fill="auto"/>
          </w:tcPr>
          <w:p w14:paraId="26CD789E" w14:textId="77777777" w:rsidR="008C5CFA" w:rsidRPr="00601E29" w:rsidRDefault="00E82A60" w:rsidP="00300A01">
            <w:pPr>
              <w:spacing w:before="0" w:after="0"/>
              <w:rPr>
                <w:sz w:val="10"/>
                <w:szCs w:val="10"/>
                <w:lang w:val="fr-BE"/>
              </w:rPr>
            </w:pPr>
            <w:r w:rsidRPr="00601E29">
              <w:rPr>
                <w:noProof/>
                <w:sz w:val="10"/>
                <w:szCs w:val="10"/>
                <w:lang w:val="fr-BE"/>
              </w:rPr>
              <w:t>118</w:t>
            </w:r>
          </w:p>
        </w:tc>
        <w:tc>
          <w:tcPr>
            <w:tcW w:w="0" w:type="auto"/>
            <w:shd w:val="clear" w:color="auto" w:fill="auto"/>
          </w:tcPr>
          <w:p w14:paraId="3399198B" w14:textId="77777777" w:rsidR="008C5CFA" w:rsidRPr="00601E29" w:rsidRDefault="00E82A60" w:rsidP="00300A01">
            <w:pPr>
              <w:spacing w:before="0" w:after="0"/>
              <w:rPr>
                <w:sz w:val="10"/>
                <w:szCs w:val="10"/>
                <w:lang w:val="fr-BE"/>
              </w:rPr>
            </w:pPr>
            <w:r w:rsidRPr="00601E29">
              <w:rPr>
                <w:noProof/>
                <w:sz w:val="10"/>
                <w:szCs w:val="10"/>
                <w:lang w:val="fr-BE"/>
              </w:rPr>
              <w:t>Liczba utworzonych miejsc pracy w ramach udzielonych z EFS środków na podjęcie działalności gospodarczej</w:t>
            </w:r>
          </w:p>
        </w:tc>
        <w:tc>
          <w:tcPr>
            <w:tcW w:w="0" w:type="auto"/>
            <w:shd w:val="clear" w:color="auto" w:fill="auto"/>
          </w:tcPr>
          <w:p w14:paraId="1375C2AA" w14:textId="77777777" w:rsidR="008C5CFA" w:rsidRPr="00601E29" w:rsidRDefault="00E82A60" w:rsidP="00300A01">
            <w:pPr>
              <w:spacing w:before="0" w:after="0"/>
              <w:rPr>
                <w:sz w:val="10"/>
                <w:szCs w:val="10"/>
                <w:lang w:val="fr-BE"/>
              </w:rPr>
            </w:pPr>
            <w:r w:rsidRPr="00601E29">
              <w:rPr>
                <w:noProof/>
                <w:sz w:val="10"/>
                <w:szCs w:val="10"/>
                <w:lang w:val="fr-BE"/>
              </w:rPr>
              <w:t>Słabiej rozwinięte</w:t>
            </w:r>
          </w:p>
        </w:tc>
        <w:tc>
          <w:tcPr>
            <w:tcW w:w="0" w:type="auto"/>
          </w:tcPr>
          <w:p w14:paraId="27B9AD14" w14:textId="77777777" w:rsidR="008C5CFA" w:rsidRPr="00601E29" w:rsidRDefault="00E82A60" w:rsidP="00300A01">
            <w:pPr>
              <w:spacing w:before="0" w:after="0"/>
              <w:jc w:val="right"/>
              <w:rPr>
                <w:sz w:val="10"/>
                <w:szCs w:val="10"/>
                <w:lang w:val="fr-BE"/>
              </w:rPr>
            </w:pPr>
            <w:r w:rsidRPr="00601E29">
              <w:rPr>
                <w:noProof/>
                <w:sz w:val="10"/>
                <w:szCs w:val="10"/>
                <w:lang w:val="fr-BE"/>
              </w:rPr>
              <w:t>1 246,00</w:t>
            </w:r>
          </w:p>
        </w:tc>
        <w:tc>
          <w:tcPr>
            <w:tcW w:w="0" w:type="auto"/>
          </w:tcPr>
          <w:p w14:paraId="1931B062"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22486A75"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4F28CF96" w14:textId="77777777" w:rsidR="008C5CFA" w:rsidRPr="00601E29" w:rsidRDefault="00E82A60" w:rsidP="00300A01">
            <w:pPr>
              <w:spacing w:before="0" w:after="0"/>
              <w:jc w:val="right"/>
              <w:rPr>
                <w:sz w:val="10"/>
                <w:szCs w:val="10"/>
                <w:lang w:val="fr-BE"/>
              </w:rPr>
            </w:pPr>
            <w:r w:rsidRPr="00601E29">
              <w:rPr>
                <w:noProof/>
                <w:sz w:val="10"/>
                <w:szCs w:val="10"/>
                <w:lang w:val="fr-BE"/>
              </w:rPr>
              <w:t>269,00</w:t>
            </w:r>
          </w:p>
        </w:tc>
        <w:tc>
          <w:tcPr>
            <w:tcW w:w="0" w:type="auto"/>
          </w:tcPr>
          <w:p w14:paraId="6BB09976"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70FC3A40"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1753A928" w14:textId="77777777" w:rsidR="008C5CFA" w:rsidRPr="00601E29" w:rsidRDefault="008C5CFA" w:rsidP="00300A01">
            <w:pPr>
              <w:spacing w:before="0" w:after="0"/>
              <w:jc w:val="right"/>
              <w:rPr>
                <w:sz w:val="10"/>
                <w:szCs w:val="10"/>
                <w:lang w:val="fr-BE"/>
              </w:rPr>
            </w:pPr>
          </w:p>
        </w:tc>
        <w:tc>
          <w:tcPr>
            <w:tcW w:w="0" w:type="auto"/>
          </w:tcPr>
          <w:p w14:paraId="7F8D1967" w14:textId="77777777" w:rsidR="008C5CFA" w:rsidRPr="00601E29" w:rsidRDefault="00E82A60" w:rsidP="00300A01">
            <w:pPr>
              <w:spacing w:before="0" w:after="0"/>
              <w:jc w:val="right"/>
              <w:rPr>
                <w:sz w:val="10"/>
                <w:szCs w:val="10"/>
                <w:lang w:val="fr-BE"/>
              </w:rPr>
            </w:pPr>
            <w:r w:rsidRPr="00601E29">
              <w:rPr>
                <w:noProof/>
                <w:sz w:val="10"/>
                <w:szCs w:val="10"/>
                <w:lang w:val="fr-BE"/>
              </w:rPr>
              <w:t>977,00</w:t>
            </w:r>
          </w:p>
        </w:tc>
        <w:tc>
          <w:tcPr>
            <w:tcW w:w="0" w:type="auto"/>
          </w:tcPr>
          <w:p w14:paraId="63147542"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22E35419"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061E04DF" w14:textId="77777777" w:rsidR="008C5CFA" w:rsidRPr="00601E29" w:rsidRDefault="00E82A60" w:rsidP="00300A01">
            <w:pPr>
              <w:spacing w:before="0" w:after="0"/>
              <w:jc w:val="right"/>
              <w:rPr>
                <w:sz w:val="10"/>
                <w:szCs w:val="10"/>
                <w:lang w:val="fr-BE"/>
              </w:rPr>
            </w:pPr>
            <w:r w:rsidRPr="00601E29">
              <w:rPr>
                <w:noProof/>
                <w:sz w:val="10"/>
                <w:szCs w:val="10"/>
                <w:lang w:val="fr-BE"/>
              </w:rPr>
              <w:t>313,00</w:t>
            </w:r>
          </w:p>
        </w:tc>
        <w:tc>
          <w:tcPr>
            <w:tcW w:w="0" w:type="auto"/>
          </w:tcPr>
          <w:p w14:paraId="48ADA4EB"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489CB745"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3F2F9B1F" w14:textId="77777777" w:rsidR="008C5CFA" w:rsidRPr="00601E29" w:rsidRDefault="008C5CFA" w:rsidP="00300A01">
            <w:pPr>
              <w:spacing w:before="0" w:after="0"/>
              <w:jc w:val="right"/>
              <w:rPr>
                <w:sz w:val="10"/>
                <w:szCs w:val="10"/>
                <w:lang w:val="fr-BE"/>
              </w:rPr>
            </w:pPr>
          </w:p>
        </w:tc>
      </w:tr>
      <w:tr w:rsidR="006B2EC1" w14:paraId="1BB38E0E" w14:textId="77777777" w:rsidTr="0047688D">
        <w:tc>
          <w:tcPr>
            <w:tcW w:w="0" w:type="auto"/>
            <w:shd w:val="clear" w:color="auto" w:fill="auto"/>
          </w:tcPr>
          <w:p w14:paraId="70A82685" w14:textId="77777777" w:rsidR="008C5CFA" w:rsidRPr="00601E29" w:rsidRDefault="00E82A60" w:rsidP="00300A01">
            <w:pPr>
              <w:spacing w:before="0" w:after="0"/>
              <w:rPr>
                <w:sz w:val="10"/>
                <w:szCs w:val="10"/>
                <w:lang w:val="fr-BE"/>
              </w:rPr>
            </w:pPr>
            <w:r w:rsidRPr="00601E29">
              <w:rPr>
                <w:noProof/>
                <w:sz w:val="10"/>
                <w:szCs w:val="10"/>
                <w:lang w:val="fr-BE"/>
              </w:rPr>
              <w:t>024</w:t>
            </w:r>
          </w:p>
        </w:tc>
        <w:tc>
          <w:tcPr>
            <w:tcW w:w="0" w:type="auto"/>
            <w:shd w:val="clear" w:color="auto" w:fill="auto"/>
          </w:tcPr>
          <w:p w14:paraId="7DDAA9B5" w14:textId="77777777" w:rsidR="008C5CFA" w:rsidRPr="00601E29" w:rsidRDefault="00E82A60" w:rsidP="00300A01">
            <w:pPr>
              <w:spacing w:before="0" w:after="0"/>
              <w:rPr>
                <w:sz w:val="10"/>
                <w:szCs w:val="10"/>
                <w:lang w:val="fr-BE"/>
              </w:rPr>
            </w:pPr>
            <w:r w:rsidRPr="00601E29">
              <w:rPr>
                <w:noProof/>
                <w:sz w:val="10"/>
                <w:szCs w:val="10"/>
                <w:lang w:val="fr-BE"/>
              </w:rPr>
              <w:t>Liczba osób pracujących 6 miesięcy po opuszczeniu programu  (łącznie  z pracującymi na własny rachunek) (C) - CR06 - Liczba osób z niepełnosprawnościami objętych wsparciem  w programie (C) - CO16</w:t>
            </w:r>
          </w:p>
        </w:tc>
        <w:tc>
          <w:tcPr>
            <w:tcW w:w="0" w:type="auto"/>
            <w:shd w:val="clear" w:color="auto" w:fill="auto"/>
          </w:tcPr>
          <w:p w14:paraId="48AD8C73" w14:textId="77777777" w:rsidR="008C5CFA" w:rsidRPr="00601E29" w:rsidRDefault="00E82A60" w:rsidP="00300A01">
            <w:pPr>
              <w:spacing w:before="0" w:after="0"/>
              <w:rPr>
                <w:sz w:val="10"/>
                <w:szCs w:val="10"/>
                <w:lang w:val="fr-BE"/>
              </w:rPr>
            </w:pPr>
            <w:r w:rsidRPr="00601E29">
              <w:rPr>
                <w:noProof/>
                <w:sz w:val="10"/>
                <w:szCs w:val="10"/>
                <w:lang w:val="fr-BE"/>
              </w:rPr>
              <w:t>Słabiej rozwinięte</w:t>
            </w:r>
          </w:p>
        </w:tc>
        <w:tc>
          <w:tcPr>
            <w:tcW w:w="0" w:type="auto"/>
          </w:tcPr>
          <w:p w14:paraId="44F1EFD1" w14:textId="77777777" w:rsidR="008C5CFA" w:rsidRPr="00601E29" w:rsidRDefault="00E82A60" w:rsidP="00300A01">
            <w:pPr>
              <w:spacing w:before="0" w:after="0"/>
              <w:jc w:val="right"/>
              <w:rPr>
                <w:sz w:val="10"/>
                <w:szCs w:val="10"/>
                <w:lang w:val="fr-BE"/>
              </w:rPr>
            </w:pPr>
            <w:r w:rsidRPr="00601E29">
              <w:rPr>
                <w:noProof/>
                <w:sz w:val="10"/>
                <w:szCs w:val="10"/>
                <w:lang w:val="fr-BE"/>
              </w:rPr>
              <w:t>900,00</w:t>
            </w:r>
          </w:p>
        </w:tc>
        <w:tc>
          <w:tcPr>
            <w:tcW w:w="0" w:type="auto"/>
          </w:tcPr>
          <w:p w14:paraId="108A0F2D" w14:textId="77777777" w:rsidR="008C5CFA" w:rsidRPr="00601E29" w:rsidRDefault="00E82A60" w:rsidP="00300A01">
            <w:pPr>
              <w:spacing w:before="0" w:after="0"/>
              <w:jc w:val="right"/>
              <w:rPr>
                <w:sz w:val="10"/>
                <w:szCs w:val="10"/>
                <w:lang w:val="fr-BE"/>
              </w:rPr>
            </w:pPr>
            <w:r w:rsidRPr="00601E29">
              <w:rPr>
                <w:noProof/>
                <w:sz w:val="10"/>
                <w:szCs w:val="10"/>
                <w:lang w:val="fr-BE"/>
              </w:rPr>
              <w:t>390,00</w:t>
            </w:r>
          </w:p>
        </w:tc>
        <w:tc>
          <w:tcPr>
            <w:tcW w:w="0" w:type="auto"/>
          </w:tcPr>
          <w:p w14:paraId="1B74FA8E" w14:textId="77777777" w:rsidR="008C5CFA" w:rsidRPr="00601E29" w:rsidRDefault="00E82A60" w:rsidP="00300A01">
            <w:pPr>
              <w:spacing w:before="0" w:after="0"/>
              <w:jc w:val="right"/>
              <w:rPr>
                <w:sz w:val="10"/>
                <w:szCs w:val="10"/>
                <w:lang w:val="fr-BE"/>
              </w:rPr>
            </w:pPr>
            <w:r w:rsidRPr="00601E29">
              <w:rPr>
                <w:noProof/>
                <w:sz w:val="10"/>
                <w:szCs w:val="10"/>
                <w:lang w:val="fr-BE"/>
              </w:rPr>
              <w:t>510,00</w:t>
            </w:r>
          </w:p>
        </w:tc>
        <w:tc>
          <w:tcPr>
            <w:tcW w:w="0" w:type="auto"/>
          </w:tcPr>
          <w:p w14:paraId="71BCDED1" w14:textId="77777777" w:rsidR="008C5CFA" w:rsidRPr="00601E29" w:rsidRDefault="00E82A60" w:rsidP="00300A01">
            <w:pPr>
              <w:spacing w:before="0" w:after="0"/>
              <w:jc w:val="right"/>
              <w:rPr>
                <w:sz w:val="10"/>
                <w:szCs w:val="10"/>
                <w:lang w:val="fr-BE"/>
              </w:rPr>
            </w:pPr>
            <w:r w:rsidRPr="00601E29">
              <w:rPr>
                <w:noProof/>
                <w:sz w:val="10"/>
                <w:szCs w:val="10"/>
                <w:lang w:val="fr-BE"/>
              </w:rPr>
              <w:t>900,00</w:t>
            </w:r>
          </w:p>
        </w:tc>
        <w:tc>
          <w:tcPr>
            <w:tcW w:w="0" w:type="auto"/>
          </w:tcPr>
          <w:p w14:paraId="75BCF1D5" w14:textId="77777777" w:rsidR="008C5CFA" w:rsidRPr="00601E29" w:rsidRDefault="00E82A60" w:rsidP="00300A01">
            <w:pPr>
              <w:spacing w:before="0" w:after="0"/>
              <w:jc w:val="right"/>
              <w:rPr>
                <w:sz w:val="10"/>
                <w:szCs w:val="10"/>
                <w:lang w:val="fr-BE"/>
              </w:rPr>
            </w:pPr>
            <w:r w:rsidRPr="00601E29">
              <w:rPr>
                <w:noProof/>
                <w:sz w:val="10"/>
                <w:szCs w:val="10"/>
                <w:lang w:val="fr-BE"/>
              </w:rPr>
              <w:t>390,00</w:t>
            </w:r>
          </w:p>
        </w:tc>
        <w:tc>
          <w:tcPr>
            <w:tcW w:w="0" w:type="auto"/>
          </w:tcPr>
          <w:p w14:paraId="6C966699" w14:textId="77777777" w:rsidR="008C5CFA" w:rsidRPr="00601E29" w:rsidRDefault="00E82A60" w:rsidP="00300A01">
            <w:pPr>
              <w:spacing w:before="0" w:after="0"/>
              <w:jc w:val="right"/>
              <w:rPr>
                <w:sz w:val="10"/>
                <w:szCs w:val="10"/>
                <w:lang w:val="fr-BE"/>
              </w:rPr>
            </w:pPr>
            <w:r w:rsidRPr="00601E29">
              <w:rPr>
                <w:noProof/>
                <w:sz w:val="10"/>
                <w:szCs w:val="10"/>
                <w:lang w:val="fr-BE"/>
              </w:rPr>
              <w:t>510,00</w:t>
            </w:r>
          </w:p>
        </w:tc>
        <w:tc>
          <w:tcPr>
            <w:tcW w:w="0" w:type="auto"/>
          </w:tcPr>
          <w:p w14:paraId="60EADCEA" w14:textId="77777777" w:rsidR="008C5CFA" w:rsidRPr="00601E29" w:rsidRDefault="008C5CFA" w:rsidP="00300A01">
            <w:pPr>
              <w:spacing w:before="0" w:after="0"/>
              <w:jc w:val="right"/>
              <w:rPr>
                <w:sz w:val="10"/>
                <w:szCs w:val="10"/>
                <w:lang w:val="fr-BE"/>
              </w:rPr>
            </w:pPr>
          </w:p>
        </w:tc>
        <w:tc>
          <w:tcPr>
            <w:tcW w:w="0" w:type="auto"/>
          </w:tcPr>
          <w:p w14:paraId="2D29D50D"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38DF179C"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619984E0"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598B70F9"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5579D400"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3DC6F225"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14444FBC" w14:textId="77777777" w:rsidR="008C5CFA" w:rsidRPr="00601E29" w:rsidRDefault="008C5CFA" w:rsidP="00300A01">
            <w:pPr>
              <w:spacing w:before="0" w:after="0"/>
              <w:jc w:val="right"/>
              <w:rPr>
                <w:sz w:val="10"/>
                <w:szCs w:val="10"/>
                <w:lang w:val="fr-BE"/>
              </w:rPr>
            </w:pPr>
          </w:p>
        </w:tc>
      </w:tr>
      <w:tr w:rsidR="006B2EC1" w14:paraId="15750F55" w14:textId="77777777" w:rsidTr="0047688D">
        <w:tc>
          <w:tcPr>
            <w:tcW w:w="0" w:type="auto"/>
            <w:shd w:val="clear" w:color="auto" w:fill="auto"/>
          </w:tcPr>
          <w:p w14:paraId="525D6FC0" w14:textId="77777777" w:rsidR="008C5CFA" w:rsidRPr="00601E29" w:rsidRDefault="00E82A60" w:rsidP="00300A01">
            <w:pPr>
              <w:spacing w:before="0" w:after="0"/>
              <w:rPr>
                <w:sz w:val="10"/>
                <w:szCs w:val="10"/>
                <w:lang w:val="fr-BE"/>
              </w:rPr>
            </w:pPr>
            <w:r w:rsidRPr="00601E29">
              <w:rPr>
                <w:noProof/>
                <w:sz w:val="10"/>
                <w:szCs w:val="10"/>
                <w:lang w:val="fr-BE"/>
              </w:rPr>
              <w:t>119</w:t>
            </w:r>
          </w:p>
        </w:tc>
        <w:tc>
          <w:tcPr>
            <w:tcW w:w="0" w:type="auto"/>
            <w:shd w:val="clear" w:color="auto" w:fill="auto"/>
          </w:tcPr>
          <w:p w14:paraId="6594E939" w14:textId="77777777" w:rsidR="008C5CFA" w:rsidRPr="00601E29" w:rsidRDefault="00E82A60" w:rsidP="00300A01">
            <w:pPr>
              <w:spacing w:before="0" w:after="0"/>
              <w:rPr>
                <w:sz w:val="10"/>
                <w:szCs w:val="10"/>
                <w:lang w:val="fr-BE"/>
              </w:rPr>
            </w:pPr>
            <w:r w:rsidRPr="00601E29">
              <w:rPr>
                <w:noProof/>
                <w:sz w:val="10"/>
                <w:szCs w:val="10"/>
                <w:lang w:val="fr-BE"/>
              </w:rPr>
              <w:t>Liczba utworzonych mikroprzedsiębiorstw działających 30 miesięcy po uzyskaniu wsparcia finansowego</w:t>
            </w:r>
          </w:p>
        </w:tc>
        <w:tc>
          <w:tcPr>
            <w:tcW w:w="0" w:type="auto"/>
            <w:shd w:val="clear" w:color="auto" w:fill="auto"/>
          </w:tcPr>
          <w:p w14:paraId="1CC40CB2" w14:textId="77777777" w:rsidR="008C5CFA" w:rsidRPr="00601E29" w:rsidRDefault="00E82A60" w:rsidP="00300A01">
            <w:pPr>
              <w:spacing w:before="0" w:after="0"/>
              <w:rPr>
                <w:sz w:val="10"/>
                <w:szCs w:val="10"/>
                <w:lang w:val="fr-BE"/>
              </w:rPr>
            </w:pPr>
            <w:r w:rsidRPr="00601E29">
              <w:rPr>
                <w:noProof/>
                <w:sz w:val="10"/>
                <w:szCs w:val="10"/>
                <w:lang w:val="fr-BE"/>
              </w:rPr>
              <w:t>Słabiej rozwinięte</w:t>
            </w:r>
          </w:p>
        </w:tc>
        <w:tc>
          <w:tcPr>
            <w:tcW w:w="0" w:type="auto"/>
          </w:tcPr>
          <w:p w14:paraId="2827CC1A" w14:textId="77777777" w:rsidR="008C5CFA" w:rsidRPr="00601E29" w:rsidRDefault="00E82A60" w:rsidP="00300A01">
            <w:pPr>
              <w:spacing w:before="0" w:after="0"/>
              <w:jc w:val="right"/>
              <w:rPr>
                <w:sz w:val="10"/>
                <w:szCs w:val="10"/>
                <w:lang w:val="fr-BE"/>
              </w:rPr>
            </w:pPr>
            <w:r w:rsidRPr="00601E29">
              <w:rPr>
                <w:noProof/>
                <w:sz w:val="10"/>
                <w:szCs w:val="10"/>
                <w:lang w:val="fr-BE"/>
              </w:rPr>
              <w:t>270,00</w:t>
            </w:r>
          </w:p>
        </w:tc>
        <w:tc>
          <w:tcPr>
            <w:tcW w:w="0" w:type="auto"/>
          </w:tcPr>
          <w:p w14:paraId="19CDC735"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065FF3DB"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2A1AC37F" w14:textId="77777777" w:rsidR="008C5CFA" w:rsidRPr="00601E29" w:rsidRDefault="00E82A60" w:rsidP="00300A01">
            <w:pPr>
              <w:spacing w:before="0" w:after="0"/>
              <w:jc w:val="right"/>
              <w:rPr>
                <w:sz w:val="10"/>
                <w:szCs w:val="10"/>
                <w:lang w:val="fr-BE"/>
              </w:rPr>
            </w:pPr>
            <w:r w:rsidRPr="00601E29">
              <w:rPr>
                <w:noProof/>
                <w:sz w:val="10"/>
                <w:szCs w:val="10"/>
                <w:lang w:val="fr-BE"/>
              </w:rPr>
              <w:t>270,00</w:t>
            </w:r>
          </w:p>
        </w:tc>
        <w:tc>
          <w:tcPr>
            <w:tcW w:w="0" w:type="auto"/>
          </w:tcPr>
          <w:p w14:paraId="5FCA95AF"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79DD3D67"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378988A9" w14:textId="77777777" w:rsidR="008C5CFA" w:rsidRPr="00601E29" w:rsidRDefault="008C5CFA" w:rsidP="00300A01">
            <w:pPr>
              <w:spacing w:before="0" w:after="0"/>
              <w:jc w:val="right"/>
              <w:rPr>
                <w:sz w:val="10"/>
                <w:szCs w:val="10"/>
                <w:lang w:val="fr-BE"/>
              </w:rPr>
            </w:pPr>
          </w:p>
        </w:tc>
        <w:tc>
          <w:tcPr>
            <w:tcW w:w="0" w:type="auto"/>
          </w:tcPr>
          <w:p w14:paraId="324C9922"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3F9B69BE"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4834874C"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22375051"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3F1107DF"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0B67C4B1"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26F16323" w14:textId="77777777" w:rsidR="008C5CFA" w:rsidRPr="00601E29" w:rsidRDefault="008C5CFA" w:rsidP="00300A01">
            <w:pPr>
              <w:spacing w:before="0" w:after="0"/>
              <w:jc w:val="right"/>
              <w:rPr>
                <w:sz w:val="10"/>
                <w:szCs w:val="10"/>
                <w:lang w:val="fr-BE"/>
              </w:rPr>
            </w:pPr>
          </w:p>
        </w:tc>
      </w:tr>
    </w:tbl>
    <w:p w14:paraId="46D9ECA5"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64"/>
        <w:gridCol w:w="7035"/>
        <w:gridCol w:w="829"/>
        <w:gridCol w:w="448"/>
        <w:gridCol w:w="564"/>
        <w:gridCol w:w="453"/>
        <w:gridCol w:w="448"/>
        <w:gridCol w:w="564"/>
        <w:gridCol w:w="453"/>
        <w:gridCol w:w="598"/>
        <w:gridCol w:w="448"/>
        <w:gridCol w:w="564"/>
        <w:gridCol w:w="453"/>
        <w:gridCol w:w="448"/>
        <w:gridCol w:w="564"/>
        <w:gridCol w:w="453"/>
        <w:gridCol w:w="598"/>
      </w:tblGrid>
      <w:tr w:rsidR="006B2EC1" w14:paraId="60283F6F" w14:textId="77777777" w:rsidTr="0047688D">
        <w:trPr>
          <w:tblHeader/>
        </w:trPr>
        <w:tc>
          <w:tcPr>
            <w:tcW w:w="0" w:type="auto"/>
            <w:shd w:val="clear" w:color="auto" w:fill="auto"/>
          </w:tcPr>
          <w:p w14:paraId="31585BB2" w14:textId="77777777" w:rsidR="008C5CFA" w:rsidRPr="00601E29" w:rsidRDefault="00E82A60" w:rsidP="00300A01">
            <w:pPr>
              <w:spacing w:before="0" w:after="0"/>
              <w:rPr>
                <w:b/>
                <w:sz w:val="10"/>
                <w:szCs w:val="10"/>
                <w:lang w:val="fr-BE"/>
              </w:rPr>
            </w:pPr>
            <w:r w:rsidRPr="00601E29">
              <w:rPr>
                <w:b/>
                <w:noProof/>
                <w:sz w:val="10"/>
                <w:szCs w:val="10"/>
                <w:lang w:val="fr-BE"/>
              </w:rPr>
              <w:t>ID</w:t>
            </w:r>
          </w:p>
        </w:tc>
        <w:tc>
          <w:tcPr>
            <w:tcW w:w="0" w:type="auto"/>
            <w:shd w:val="clear" w:color="auto" w:fill="auto"/>
          </w:tcPr>
          <w:p w14:paraId="25C288C4" w14:textId="77777777" w:rsidR="008C5CFA" w:rsidRPr="00601E29" w:rsidRDefault="00E82A60" w:rsidP="00300A01">
            <w:pPr>
              <w:spacing w:before="0" w:after="0"/>
              <w:rPr>
                <w:b/>
                <w:sz w:val="10"/>
                <w:szCs w:val="10"/>
                <w:lang w:val="fr-BE"/>
              </w:rPr>
            </w:pPr>
            <w:r w:rsidRPr="00601E29">
              <w:rPr>
                <w:b/>
                <w:noProof/>
                <w:sz w:val="10"/>
                <w:szCs w:val="10"/>
                <w:lang w:val="fr-BE"/>
              </w:rPr>
              <w:t>Wskaźnik</w:t>
            </w:r>
          </w:p>
        </w:tc>
        <w:tc>
          <w:tcPr>
            <w:tcW w:w="0" w:type="auto"/>
            <w:shd w:val="clear" w:color="auto" w:fill="auto"/>
          </w:tcPr>
          <w:p w14:paraId="33059D86" w14:textId="77777777" w:rsidR="008C5CFA" w:rsidRPr="00601E29" w:rsidRDefault="00E82A60" w:rsidP="00300A01">
            <w:pPr>
              <w:spacing w:before="0" w:after="0"/>
              <w:rPr>
                <w:b/>
                <w:sz w:val="10"/>
                <w:szCs w:val="10"/>
                <w:lang w:val="fr-BE"/>
              </w:rPr>
            </w:pPr>
            <w:r w:rsidRPr="00601E29">
              <w:rPr>
                <w:b/>
                <w:noProof/>
                <w:sz w:val="10"/>
                <w:szCs w:val="10"/>
                <w:lang w:val="fr-BE"/>
              </w:rPr>
              <w:t>Kategoria regionu</w:t>
            </w:r>
          </w:p>
        </w:tc>
        <w:tc>
          <w:tcPr>
            <w:tcW w:w="0" w:type="auto"/>
            <w:gridSpan w:val="7"/>
          </w:tcPr>
          <w:p w14:paraId="7978DABE" w14:textId="77777777" w:rsidR="008C5CFA" w:rsidRPr="00601E29" w:rsidRDefault="00E82A60" w:rsidP="00300A01">
            <w:pPr>
              <w:spacing w:before="0" w:after="0"/>
              <w:jc w:val="center"/>
              <w:rPr>
                <w:b/>
                <w:sz w:val="10"/>
                <w:szCs w:val="10"/>
                <w:lang w:val="fr-BE"/>
              </w:rPr>
            </w:pPr>
            <w:r>
              <w:rPr>
                <w:b/>
                <w:sz w:val="10"/>
                <w:szCs w:val="10"/>
                <w:lang w:val="fr-BE"/>
              </w:rPr>
              <w:t>2016</w:t>
            </w:r>
          </w:p>
        </w:tc>
        <w:tc>
          <w:tcPr>
            <w:tcW w:w="0" w:type="auto"/>
            <w:gridSpan w:val="7"/>
          </w:tcPr>
          <w:p w14:paraId="2C6CACA7" w14:textId="77777777" w:rsidR="008C5CFA" w:rsidRPr="00601E29" w:rsidRDefault="00E82A60" w:rsidP="00300A01">
            <w:pPr>
              <w:spacing w:before="0" w:after="0"/>
              <w:jc w:val="center"/>
              <w:rPr>
                <w:b/>
                <w:sz w:val="10"/>
                <w:szCs w:val="10"/>
                <w:lang w:val="fr-BE"/>
              </w:rPr>
            </w:pPr>
            <w:r>
              <w:rPr>
                <w:b/>
                <w:sz w:val="10"/>
                <w:szCs w:val="10"/>
                <w:lang w:val="fr-BE"/>
              </w:rPr>
              <w:t>2015</w:t>
            </w:r>
          </w:p>
        </w:tc>
      </w:tr>
      <w:tr w:rsidR="006B2EC1" w14:paraId="2845EAEF" w14:textId="77777777" w:rsidTr="0047688D">
        <w:trPr>
          <w:tblHeader/>
        </w:trPr>
        <w:tc>
          <w:tcPr>
            <w:tcW w:w="0" w:type="auto"/>
            <w:shd w:val="clear" w:color="auto" w:fill="auto"/>
          </w:tcPr>
          <w:p w14:paraId="03166B15" w14:textId="77777777" w:rsidR="008C5CFA" w:rsidRPr="00601E29" w:rsidRDefault="008C5CFA" w:rsidP="00300A01">
            <w:pPr>
              <w:spacing w:before="0" w:after="0"/>
              <w:rPr>
                <w:b/>
                <w:sz w:val="10"/>
                <w:szCs w:val="10"/>
                <w:lang w:val="fr-BE"/>
              </w:rPr>
            </w:pPr>
          </w:p>
        </w:tc>
        <w:tc>
          <w:tcPr>
            <w:tcW w:w="0" w:type="auto"/>
            <w:shd w:val="clear" w:color="auto" w:fill="auto"/>
          </w:tcPr>
          <w:p w14:paraId="0E16AB5F" w14:textId="77777777" w:rsidR="008C5CFA" w:rsidRPr="00601E29" w:rsidRDefault="008C5CFA" w:rsidP="00300A01">
            <w:pPr>
              <w:spacing w:before="0" w:after="0"/>
              <w:rPr>
                <w:b/>
                <w:sz w:val="10"/>
                <w:szCs w:val="10"/>
                <w:lang w:val="fr-BE"/>
              </w:rPr>
            </w:pPr>
          </w:p>
        </w:tc>
        <w:tc>
          <w:tcPr>
            <w:tcW w:w="0" w:type="auto"/>
            <w:shd w:val="clear" w:color="auto" w:fill="auto"/>
          </w:tcPr>
          <w:p w14:paraId="16B90B79" w14:textId="77777777" w:rsidR="008C5CFA" w:rsidRPr="00601E29" w:rsidRDefault="008C5CFA" w:rsidP="00300A01">
            <w:pPr>
              <w:spacing w:before="0" w:after="0"/>
              <w:rPr>
                <w:b/>
                <w:sz w:val="10"/>
                <w:szCs w:val="10"/>
                <w:lang w:val="fr-BE"/>
              </w:rPr>
            </w:pPr>
          </w:p>
        </w:tc>
        <w:tc>
          <w:tcPr>
            <w:tcW w:w="0" w:type="auto"/>
            <w:gridSpan w:val="3"/>
          </w:tcPr>
          <w:p w14:paraId="53F9CEAA" w14:textId="77777777" w:rsidR="008C5CFA" w:rsidRPr="00601E29" w:rsidRDefault="00E82A60" w:rsidP="00300A01">
            <w:pPr>
              <w:spacing w:before="0" w:after="0"/>
              <w:jc w:val="center"/>
              <w:rPr>
                <w:b/>
                <w:sz w:val="10"/>
                <w:szCs w:val="10"/>
                <w:lang w:val="fr-BE"/>
              </w:rPr>
            </w:pPr>
            <w:r w:rsidRPr="00601E29">
              <w:rPr>
                <w:b/>
                <w:noProof/>
                <w:sz w:val="10"/>
                <w:szCs w:val="10"/>
                <w:lang w:val="fr-BE"/>
              </w:rPr>
              <w:t>Łącznie</w:t>
            </w:r>
          </w:p>
        </w:tc>
        <w:tc>
          <w:tcPr>
            <w:tcW w:w="0" w:type="auto"/>
            <w:gridSpan w:val="3"/>
          </w:tcPr>
          <w:p w14:paraId="317A21F5" w14:textId="77777777" w:rsidR="008C5CFA" w:rsidRPr="00601E29" w:rsidRDefault="00E82A60" w:rsidP="00300A01">
            <w:pPr>
              <w:spacing w:before="0" w:after="0"/>
              <w:jc w:val="center"/>
              <w:rPr>
                <w:b/>
                <w:sz w:val="10"/>
                <w:szCs w:val="10"/>
                <w:lang w:val="fr-BE"/>
              </w:rPr>
            </w:pPr>
            <w:r w:rsidRPr="00601E29">
              <w:rPr>
                <w:b/>
                <w:noProof/>
                <w:sz w:val="10"/>
                <w:szCs w:val="10"/>
                <w:lang w:val="fr-BE"/>
              </w:rPr>
              <w:t>Łącznie w roku</w:t>
            </w:r>
          </w:p>
        </w:tc>
        <w:tc>
          <w:tcPr>
            <w:tcW w:w="0" w:type="auto"/>
          </w:tcPr>
          <w:p w14:paraId="35757172" w14:textId="77777777" w:rsidR="008C5CFA" w:rsidRPr="00601E29" w:rsidRDefault="00E82A60" w:rsidP="00300A01">
            <w:pPr>
              <w:spacing w:before="0" w:after="0"/>
              <w:jc w:val="center"/>
              <w:rPr>
                <w:b/>
                <w:sz w:val="10"/>
                <w:szCs w:val="10"/>
                <w:lang w:val="fr-BE"/>
              </w:rPr>
            </w:pPr>
            <w:r w:rsidRPr="00601E29">
              <w:rPr>
                <w:b/>
                <w:noProof/>
                <w:sz w:val="10"/>
                <w:szCs w:val="10"/>
                <w:lang w:val="fr-BE"/>
              </w:rPr>
              <w:t>Jakościowe</w:t>
            </w:r>
          </w:p>
        </w:tc>
        <w:tc>
          <w:tcPr>
            <w:tcW w:w="0" w:type="auto"/>
            <w:gridSpan w:val="3"/>
          </w:tcPr>
          <w:p w14:paraId="758DFA27" w14:textId="77777777" w:rsidR="008C5CFA" w:rsidRPr="00601E29" w:rsidRDefault="00E82A60" w:rsidP="00300A01">
            <w:pPr>
              <w:spacing w:before="0" w:after="0"/>
              <w:jc w:val="center"/>
              <w:rPr>
                <w:b/>
                <w:sz w:val="10"/>
                <w:szCs w:val="10"/>
                <w:lang w:val="fr-BE"/>
              </w:rPr>
            </w:pPr>
            <w:r w:rsidRPr="00601E29">
              <w:rPr>
                <w:b/>
                <w:noProof/>
                <w:sz w:val="10"/>
                <w:szCs w:val="10"/>
                <w:lang w:val="fr-BE"/>
              </w:rPr>
              <w:t>Łącznie</w:t>
            </w:r>
          </w:p>
        </w:tc>
        <w:tc>
          <w:tcPr>
            <w:tcW w:w="0" w:type="auto"/>
            <w:gridSpan w:val="3"/>
          </w:tcPr>
          <w:p w14:paraId="62C29EE8" w14:textId="77777777" w:rsidR="008C5CFA" w:rsidRPr="00601E29" w:rsidRDefault="00E82A60" w:rsidP="00300A01">
            <w:pPr>
              <w:spacing w:before="0" w:after="0"/>
              <w:jc w:val="center"/>
              <w:rPr>
                <w:b/>
                <w:sz w:val="10"/>
                <w:szCs w:val="10"/>
                <w:lang w:val="fr-BE"/>
              </w:rPr>
            </w:pPr>
            <w:r w:rsidRPr="00601E29">
              <w:rPr>
                <w:b/>
                <w:noProof/>
                <w:sz w:val="10"/>
                <w:szCs w:val="10"/>
                <w:lang w:val="fr-BE"/>
              </w:rPr>
              <w:t>Łącznie w roku</w:t>
            </w:r>
          </w:p>
        </w:tc>
        <w:tc>
          <w:tcPr>
            <w:tcW w:w="0" w:type="auto"/>
          </w:tcPr>
          <w:p w14:paraId="5F57041E" w14:textId="77777777" w:rsidR="008C5CFA" w:rsidRPr="00601E29" w:rsidRDefault="00E82A60" w:rsidP="00300A01">
            <w:pPr>
              <w:spacing w:before="0" w:after="0"/>
              <w:jc w:val="center"/>
              <w:rPr>
                <w:b/>
                <w:sz w:val="10"/>
                <w:szCs w:val="10"/>
                <w:lang w:val="fr-BE"/>
              </w:rPr>
            </w:pPr>
            <w:r w:rsidRPr="00601E29">
              <w:rPr>
                <w:b/>
                <w:noProof/>
                <w:sz w:val="10"/>
                <w:szCs w:val="10"/>
                <w:lang w:val="fr-BE"/>
              </w:rPr>
              <w:t>Jakościowe</w:t>
            </w:r>
          </w:p>
        </w:tc>
      </w:tr>
      <w:tr w:rsidR="006B2EC1" w14:paraId="3AC41E5E" w14:textId="77777777" w:rsidTr="0047688D">
        <w:trPr>
          <w:tblHeader/>
        </w:trPr>
        <w:tc>
          <w:tcPr>
            <w:tcW w:w="0" w:type="auto"/>
            <w:shd w:val="clear" w:color="auto" w:fill="auto"/>
          </w:tcPr>
          <w:p w14:paraId="1D52AC37" w14:textId="77777777" w:rsidR="008C5CFA" w:rsidRPr="00601E29" w:rsidRDefault="008C5CFA" w:rsidP="00300A01">
            <w:pPr>
              <w:spacing w:before="0" w:after="0"/>
              <w:rPr>
                <w:b/>
                <w:sz w:val="10"/>
                <w:szCs w:val="10"/>
                <w:lang w:val="fr-BE"/>
              </w:rPr>
            </w:pPr>
          </w:p>
        </w:tc>
        <w:tc>
          <w:tcPr>
            <w:tcW w:w="0" w:type="auto"/>
            <w:shd w:val="clear" w:color="auto" w:fill="auto"/>
          </w:tcPr>
          <w:p w14:paraId="07A58836" w14:textId="77777777" w:rsidR="008C5CFA" w:rsidRPr="00601E29" w:rsidRDefault="008C5CFA" w:rsidP="00300A01">
            <w:pPr>
              <w:spacing w:before="0" w:after="0"/>
              <w:rPr>
                <w:b/>
                <w:sz w:val="10"/>
                <w:szCs w:val="10"/>
                <w:lang w:val="fr-BE"/>
              </w:rPr>
            </w:pPr>
          </w:p>
        </w:tc>
        <w:tc>
          <w:tcPr>
            <w:tcW w:w="0" w:type="auto"/>
            <w:shd w:val="clear" w:color="auto" w:fill="auto"/>
          </w:tcPr>
          <w:p w14:paraId="74672501" w14:textId="77777777" w:rsidR="008C5CFA" w:rsidRPr="00601E29" w:rsidRDefault="008C5CFA" w:rsidP="00300A01">
            <w:pPr>
              <w:spacing w:before="0" w:after="0"/>
              <w:rPr>
                <w:b/>
                <w:sz w:val="10"/>
                <w:szCs w:val="10"/>
                <w:lang w:val="fr-BE"/>
              </w:rPr>
            </w:pPr>
          </w:p>
        </w:tc>
        <w:tc>
          <w:tcPr>
            <w:tcW w:w="0" w:type="auto"/>
          </w:tcPr>
          <w:p w14:paraId="340389B4" w14:textId="77777777" w:rsidR="008C5CFA" w:rsidRPr="00601E29" w:rsidRDefault="00E82A60" w:rsidP="00300A01">
            <w:pPr>
              <w:spacing w:before="0" w:after="0"/>
              <w:jc w:val="center"/>
              <w:rPr>
                <w:b/>
                <w:sz w:val="10"/>
                <w:szCs w:val="10"/>
                <w:lang w:val="fr-BE"/>
              </w:rPr>
            </w:pPr>
            <w:r w:rsidRPr="00601E29">
              <w:rPr>
                <w:b/>
                <w:noProof/>
                <w:sz w:val="10"/>
                <w:szCs w:val="10"/>
                <w:lang w:val="fr-BE"/>
              </w:rPr>
              <w:t>Ogółem</w:t>
            </w:r>
          </w:p>
        </w:tc>
        <w:tc>
          <w:tcPr>
            <w:tcW w:w="0" w:type="auto"/>
          </w:tcPr>
          <w:p w14:paraId="06C69F6D" w14:textId="77777777" w:rsidR="008C5CFA" w:rsidRPr="00601E29" w:rsidRDefault="00E82A60" w:rsidP="00300A01">
            <w:pPr>
              <w:spacing w:before="0" w:after="0"/>
              <w:jc w:val="center"/>
              <w:rPr>
                <w:b/>
                <w:sz w:val="10"/>
                <w:szCs w:val="10"/>
                <w:lang w:val="fr-BE"/>
              </w:rPr>
            </w:pPr>
            <w:r w:rsidRPr="00601E29">
              <w:rPr>
                <w:b/>
                <w:noProof/>
                <w:sz w:val="10"/>
                <w:szCs w:val="10"/>
                <w:lang w:val="fr-BE"/>
              </w:rPr>
              <w:t>Mężczyźni</w:t>
            </w:r>
          </w:p>
        </w:tc>
        <w:tc>
          <w:tcPr>
            <w:tcW w:w="0" w:type="auto"/>
          </w:tcPr>
          <w:p w14:paraId="0CDED4B2" w14:textId="77777777" w:rsidR="008C5CFA" w:rsidRPr="00601E29" w:rsidRDefault="00E82A60" w:rsidP="00300A01">
            <w:pPr>
              <w:spacing w:before="0" w:after="0"/>
              <w:jc w:val="center"/>
              <w:rPr>
                <w:b/>
                <w:sz w:val="10"/>
                <w:szCs w:val="10"/>
                <w:lang w:val="fr-BE"/>
              </w:rPr>
            </w:pPr>
            <w:r w:rsidRPr="00601E29">
              <w:rPr>
                <w:b/>
                <w:noProof/>
                <w:sz w:val="10"/>
                <w:szCs w:val="10"/>
                <w:lang w:val="fr-BE"/>
              </w:rPr>
              <w:t>Kobiety</w:t>
            </w:r>
          </w:p>
        </w:tc>
        <w:tc>
          <w:tcPr>
            <w:tcW w:w="0" w:type="auto"/>
          </w:tcPr>
          <w:p w14:paraId="5B9257B3" w14:textId="77777777" w:rsidR="008C5CFA" w:rsidRPr="00601E29" w:rsidRDefault="00E82A60" w:rsidP="00300A01">
            <w:pPr>
              <w:spacing w:before="0" w:after="0"/>
              <w:jc w:val="center"/>
              <w:rPr>
                <w:b/>
                <w:sz w:val="10"/>
                <w:szCs w:val="10"/>
                <w:lang w:val="fr-BE"/>
              </w:rPr>
            </w:pPr>
            <w:r w:rsidRPr="00601E29">
              <w:rPr>
                <w:b/>
                <w:noProof/>
                <w:sz w:val="10"/>
                <w:szCs w:val="10"/>
                <w:lang w:val="fr-BE"/>
              </w:rPr>
              <w:t>Ogółem</w:t>
            </w:r>
          </w:p>
        </w:tc>
        <w:tc>
          <w:tcPr>
            <w:tcW w:w="0" w:type="auto"/>
          </w:tcPr>
          <w:p w14:paraId="183B6039" w14:textId="77777777" w:rsidR="008C5CFA" w:rsidRPr="00601E29" w:rsidRDefault="00E82A60" w:rsidP="00300A01">
            <w:pPr>
              <w:spacing w:before="0" w:after="0"/>
              <w:jc w:val="center"/>
              <w:rPr>
                <w:b/>
                <w:sz w:val="10"/>
                <w:szCs w:val="10"/>
                <w:lang w:val="fr-BE"/>
              </w:rPr>
            </w:pPr>
            <w:r w:rsidRPr="00601E29">
              <w:rPr>
                <w:b/>
                <w:noProof/>
                <w:sz w:val="10"/>
                <w:szCs w:val="10"/>
                <w:lang w:val="fr-BE"/>
              </w:rPr>
              <w:t>Mężczyźni</w:t>
            </w:r>
          </w:p>
        </w:tc>
        <w:tc>
          <w:tcPr>
            <w:tcW w:w="0" w:type="auto"/>
          </w:tcPr>
          <w:p w14:paraId="38E7174A" w14:textId="77777777" w:rsidR="008C5CFA" w:rsidRPr="00601E29" w:rsidRDefault="00E82A60" w:rsidP="00300A01">
            <w:pPr>
              <w:spacing w:before="0" w:after="0"/>
              <w:jc w:val="center"/>
              <w:rPr>
                <w:b/>
                <w:sz w:val="10"/>
                <w:szCs w:val="10"/>
                <w:lang w:val="fr-BE"/>
              </w:rPr>
            </w:pPr>
            <w:r w:rsidRPr="00601E29">
              <w:rPr>
                <w:b/>
                <w:noProof/>
                <w:sz w:val="10"/>
                <w:szCs w:val="10"/>
                <w:lang w:val="fr-BE"/>
              </w:rPr>
              <w:t>Kobiety</w:t>
            </w:r>
          </w:p>
        </w:tc>
        <w:tc>
          <w:tcPr>
            <w:tcW w:w="0" w:type="auto"/>
          </w:tcPr>
          <w:p w14:paraId="14754EA6" w14:textId="77777777" w:rsidR="008C5CFA" w:rsidRPr="00601E29" w:rsidRDefault="008C5CFA" w:rsidP="00300A01">
            <w:pPr>
              <w:spacing w:before="0" w:after="0"/>
              <w:jc w:val="center"/>
              <w:rPr>
                <w:b/>
                <w:sz w:val="10"/>
                <w:szCs w:val="10"/>
                <w:lang w:val="fr-BE"/>
              </w:rPr>
            </w:pPr>
          </w:p>
        </w:tc>
        <w:tc>
          <w:tcPr>
            <w:tcW w:w="0" w:type="auto"/>
          </w:tcPr>
          <w:p w14:paraId="7356E4D5" w14:textId="77777777" w:rsidR="008C5CFA" w:rsidRPr="00601E29" w:rsidRDefault="00E82A60" w:rsidP="00300A01">
            <w:pPr>
              <w:spacing w:before="0" w:after="0"/>
              <w:jc w:val="center"/>
              <w:rPr>
                <w:b/>
                <w:sz w:val="10"/>
                <w:szCs w:val="10"/>
                <w:lang w:val="fr-BE"/>
              </w:rPr>
            </w:pPr>
            <w:r w:rsidRPr="00601E29">
              <w:rPr>
                <w:b/>
                <w:noProof/>
                <w:sz w:val="10"/>
                <w:szCs w:val="10"/>
                <w:lang w:val="fr-BE"/>
              </w:rPr>
              <w:t>Ogółem</w:t>
            </w:r>
          </w:p>
        </w:tc>
        <w:tc>
          <w:tcPr>
            <w:tcW w:w="0" w:type="auto"/>
          </w:tcPr>
          <w:p w14:paraId="6795B7DD" w14:textId="77777777" w:rsidR="008C5CFA" w:rsidRPr="00601E29" w:rsidRDefault="00E82A60" w:rsidP="00300A01">
            <w:pPr>
              <w:spacing w:before="0" w:after="0"/>
              <w:jc w:val="center"/>
              <w:rPr>
                <w:b/>
                <w:sz w:val="10"/>
                <w:szCs w:val="10"/>
                <w:lang w:val="fr-BE"/>
              </w:rPr>
            </w:pPr>
            <w:r w:rsidRPr="00601E29">
              <w:rPr>
                <w:b/>
                <w:noProof/>
                <w:sz w:val="10"/>
                <w:szCs w:val="10"/>
                <w:lang w:val="fr-BE"/>
              </w:rPr>
              <w:t>Mężczyźni</w:t>
            </w:r>
          </w:p>
        </w:tc>
        <w:tc>
          <w:tcPr>
            <w:tcW w:w="0" w:type="auto"/>
          </w:tcPr>
          <w:p w14:paraId="75BB761E" w14:textId="77777777" w:rsidR="008C5CFA" w:rsidRPr="00601E29" w:rsidRDefault="00E82A60" w:rsidP="00300A01">
            <w:pPr>
              <w:spacing w:before="0" w:after="0"/>
              <w:jc w:val="center"/>
              <w:rPr>
                <w:b/>
                <w:sz w:val="10"/>
                <w:szCs w:val="10"/>
                <w:lang w:val="fr-BE"/>
              </w:rPr>
            </w:pPr>
            <w:r w:rsidRPr="00601E29">
              <w:rPr>
                <w:b/>
                <w:noProof/>
                <w:sz w:val="10"/>
                <w:szCs w:val="10"/>
                <w:lang w:val="fr-BE"/>
              </w:rPr>
              <w:t>Kobiety</w:t>
            </w:r>
          </w:p>
        </w:tc>
        <w:tc>
          <w:tcPr>
            <w:tcW w:w="0" w:type="auto"/>
          </w:tcPr>
          <w:p w14:paraId="33AF5F20" w14:textId="77777777" w:rsidR="008C5CFA" w:rsidRPr="00601E29" w:rsidRDefault="00E82A60" w:rsidP="00300A01">
            <w:pPr>
              <w:spacing w:before="0" w:after="0"/>
              <w:jc w:val="center"/>
              <w:rPr>
                <w:b/>
                <w:sz w:val="10"/>
                <w:szCs w:val="10"/>
                <w:lang w:val="fr-BE"/>
              </w:rPr>
            </w:pPr>
            <w:r w:rsidRPr="00601E29">
              <w:rPr>
                <w:b/>
                <w:noProof/>
                <w:sz w:val="10"/>
                <w:szCs w:val="10"/>
                <w:lang w:val="fr-BE"/>
              </w:rPr>
              <w:t>Ogółem</w:t>
            </w:r>
          </w:p>
        </w:tc>
        <w:tc>
          <w:tcPr>
            <w:tcW w:w="0" w:type="auto"/>
          </w:tcPr>
          <w:p w14:paraId="69E11CC6" w14:textId="77777777" w:rsidR="008C5CFA" w:rsidRPr="00601E29" w:rsidRDefault="00E82A60" w:rsidP="00300A01">
            <w:pPr>
              <w:spacing w:before="0" w:after="0"/>
              <w:jc w:val="center"/>
              <w:rPr>
                <w:b/>
                <w:sz w:val="10"/>
                <w:szCs w:val="10"/>
                <w:lang w:val="fr-BE"/>
              </w:rPr>
            </w:pPr>
            <w:r w:rsidRPr="00601E29">
              <w:rPr>
                <w:b/>
                <w:noProof/>
                <w:sz w:val="10"/>
                <w:szCs w:val="10"/>
                <w:lang w:val="fr-BE"/>
              </w:rPr>
              <w:t>Mężczyźni</w:t>
            </w:r>
          </w:p>
        </w:tc>
        <w:tc>
          <w:tcPr>
            <w:tcW w:w="0" w:type="auto"/>
          </w:tcPr>
          <w:p w14:paraId="7C19C313" w14:textId="77777777" w:rsidR="008C5CFA" w:rsidRPr="00601E29" w:rsidRDefault="00E82A60" w:rsidP="00300A01">
            <w:pPr>
              <w:spacing w:before="0" w:after="0"/>
              <w:jc w:val="center"/>
              <w:rPr>
                <w:b/>
                <w:sz w:val="10"/>
                <w:szCs w:val="10"/>
                <w:lang w:val="fr-BE"/>
              </w:rPr>
            </w:pPr>
            <w:r w:rsidRPr="00601E29">
              <w:rPr>
                <w:b/>
                <w:noProof/>
                <w:sz w:val="10"/>
                <w:szCs w:val="10"/>
                <w:lang w:val="fr-BE"/>
              </w:rPr>
              <w:t>Kobiety</w:t>
            </w:r>
          </w:p>
        </w:tc>
        <w:tc>
          <w:tcPr>
            <w:tcW w:w="0" w:type="auto"/>
          </w:tcPr>
          <w:p w14:paraId="035DA65E" w14:textId="77777777" w:rsidR="008C5CFA" w:rsidRPr="00601E29" w:rsidRDefault="008C5CFA" w:rsidP="00300A01">
            <w:pPr>
              <w:spacing w:before="0" w:after="0"/>
              <w:jc w:val="center"/>
              <w:rPr>
                <w:b/>
                <w:sz w:val="10"/>
                <w:szCs w:val="10"/>
                <w:lang w:val="fr-BE"/>
              </w:rPr>
            </w:pPr>
          </w:p>
        </w:tc>
      </w:tr>
      <w:tr w:rsidR="006B2EC1" w14:paraId="089F97E7" w14:textId="77777777" w:rsidTr="0047688D">
        <w:tc>
          <w:tcPr>
            <w:tcW w:w="0" w:type="auto"/>
            <w:shd w:val="clear" w:color="auto" w:fill="auto"/>
          </w:tcPr>
          <w:p w14:paraId="10CDDB29" w14:textId="77777777" w:rsidR="008C5CFA" w:rsidRPr="00601E29" w:rsidRDefault="00E82A60" w:rsidP="00300A01">
            <w:pPr>
              <w:spacing w:before="0" w:after="0"/>
              <w:rPr>
                <w:sz w:val="10"/>
                <w:szCs w:val="10"/>
                <w:lang w:val="fr-BE"/>
              </w:rPr>
            </w:pPr>
            <w:r w:rsidRPr="00601E29">
              <w:rPr>
                <w:noProof/>
                <w:sz w:val="10"/>
                <w:szCs w:val="10"/>
                <w:lang w:val="fr-BE"/>
              </w:rPr>
              <w:t>023</w:t>
            </w:r>
          </w:p>
        </w:tc>
        <w:tc>
          <w:tcPr>
            <w:tcW w:w="0" w:type="auto"/>
            <w:shd w:val="clear" w:color="auto" w:fill="auto"/>
          </w:tcPr>
          <w:p w14:paraId="445D73A9" w14:textId="77777777" w:rsidR="008C5CFA" w:rsidRPr="00601E29" w:rsidRDefault="00E82A60" w:rsidP="00300A01">
            <w:pPr>
              <w:spacing w:before="0" w:after="0"/>
              <w:rPr>
                <w:sz w:val="10"/>
                <w:szCs w:val="10"/>
                <w:lang w:val="fr-BE"/>
              </w:rPr>
            </w:pPr>
            <w:r w:rsidRPr="00601E29">
              <w:rPr>
                <w:noProof/>
                <w:sz w:val="10"/>
                <w:szCs w:val="10"/>
                <w:lang w:val="fr-BE"/>
              </w:rPr>
              <w:t>Liczba osób pracujących po opuszczeniu programu (łącznie z pracującymi na własny rachunek) (C) - CR04 - Liczba osób z niepełnosprawnościami objętych wsparciem w programie (C) - CO16</w:t>
            </w:r>
          </w:p>
        </w:tc>
        <w:tc>
          <w:tcPr>
            <w:tcW w:w="0" w:type="auto"/>
            <w:shd w:val="clear" w:color="auto" w:fill="auto"/>
          </w:tcPr>
          <w:p w14:paraId="502AE3F9" w14:textId="77777777" w:rsidR="008C5CFA" w:rsidRPr="00601E29" w:rsidRDefault="00E82A60" w:rsidP="00300A01">
            <w:pPr>
              <w:spacing w:before="0" w:after="0"/>
              <w:rPr>
                <w:sz w:val="10"/>
                <w:szCs w:val="10"/>
                <w:lang w:val="fr-BE"/>
              </w:rPr>
            </w:pPr>
            <w:r w:rsidRPr="00601E29">
              <w:rPr>
                <w:noProof/>
                <w:sz w:val="10"/>
                <w:szCs w:val="10"/>
                <w:lang w:val="fr-BE"/>
              </w:rPr>
              <w:t>Słabiej rozwinięte</w:t>
            </w:r>
          </w:p>
        </w:tc>
        <w:tc>
          <w:tcPr>
            <w:tcW w:w="0" w:type="auto"/>
          </w:tcPr>
          <w:p w14:paraId="1878AF89" w14:textId="77777777" w:rsidR="008C5CFA" w:rsidRPr="00601E29" w:rsidRDefault="00E82A60" w:rsidP="00300A01">
            <w:pPr>
              <w:spacing w:before="0" w:after="0"/>
              <w:jc w:val="right"/>
              <w:rPr>
                <w:sz w:val="10"/>
                <w:szCs w:val="10"/>
                <w:lang w:val="fr-BE"/>
              </w:rPr>
            </w:pPr>
            <w:r w:rsidRPr="00601E29">
              <w:rPr>
                <w:noProof/>
                <w:sz w:val="10"/>
                <w:szCs w:val="10"/>
                <w:lang w:val="fr-BE"/>
              </w:rPr>
              <w:t>351,00</w:t>
            </w:r>
          </w:p>
        </w:tc>
        <w:tc>
          <w:tcPr>
            <w:tcW w:w="0" w:type="auto"/>
          </w:tcPr>
          <w:p w14:paraId="68F2D9B5"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4796E4C6"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02D3489D" w14:textId="77777777" w:rsidR="008C5CFA" w:rsidRPr="00601E29" w:rsidRDefault="00E82A60" w:rsidP="00300A01">
            <w:pPr>
              <w:spacing w:before="0" w:after="0"/>
              <w:jc w:val="right"/>
              <w:rPr>
                <w:sz w:val="10"/>
                <w:szCs w:val="10"/>
                <w:lang w:val="fr-BE"/>
              </w:rPr>
            </w:pPr>
            <w:r w:rsidRPr="00601E29">
              <w:rPr>
                <w:noProof/>
                <w:sz w:val="10"/>
                <w:szCs w:val="10"/>
                <w:lang w:val="fr-BE"/>
              </w:rPr>
              <w:t>257,00</w:t>
            </w:r>
          </w:p>
        </w:tc>
        <w:tc>
          <w:tcPr>
            <w:tcW w:w="0" w:type="auto"/>
          </w:tcPr>
          <w:p w14:paraId="7E9569DA"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450AC097"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488B3D18" w14:textId="77777777" w:rsidR="008C5CFA" w:rsidRPr="00601E29" w:rsidRDefault="008C5CFA" w:rsidP="00300A01">
            <w:pPr>
              <w:spacing w:before="0" w:after="0"/>
              <w:jc w:val="right"/>
              <w:rPr>
                <w:sz w:val="10"/>
                <w:szCs w:val="10"/>
                <w:lang w:val="fr-BE"/>
              </w:rPr>
            </w:pPr>
          </w:p>
        </w:tc>
        <w:tc>
          <w:tcPr>
            <w:tcW w:w="0" w:type="auto"/>
          </w:tcPr>
          <w:p w14:paraId="20B38C33" w14:textId="77777777" w:rsidR="008C5CFA" w:rsidRPr="00601E29" w:rsidRDefault="00E82A60" w:rsidP="00300A01">
            <w:pPr>
              <w:spacing w:before="0" w:after="0"/>
              <w:jc w:val="right"/>
              <w:rPr>
                <w:sz w:val="10"/>
                <w:szCs w:val="10"/>
                <w:lang w:val="fr-BE"/>
              </w:rPr>
            </w:pPr>
            <w:r w:rsidRPr="00601E29">
              <w:rPr>
                <w:noProof/>
                <w:sz w:val="10"/>
                <w:szCs w:val="10"/>
                <w:lang w:val="fr-BE"/>
              </w:rPr>
              <w:t>94,00</w:t>
            </w:r>
          </w:p>
        </w:tc>
        <w:tc>
          <w:tcPr>
            <w:tcW w:w="0" w:type="auto"/>
          </w:tcPr>
          <w:p w14:paraId="23164923"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29007791"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11F7C3D4" w14:textId="77777777" w:rsidR="008C5CFA" w:rsidRPr="00601E29" w:rsidRDefault="00E82A60" w:rsidP="00300A01">
            <w:pPr>
              <w:spacing w:before="0" w:after="0"/>
              <w:jc w:val="right"/>
              <w:rPr>
                <w:sz w:val="10"/>
                <w:szCs w:val="10"/>
                <w:lang w:val="fr-BE"/>
              </w:rPr>
            </w:pPr>
            <w:r w:rsidRPr="00601E29">
              <w:rPr>
                <w:noProof/>
                <w:sz w:val="10"/>
                <w:szCs w:val="10"/>
                <w:lang w:val="fr-BE"/>
              </w:rPr>
              <w:t>94,00</w:t>
            </w:r>
          </w:p>
        </w:tc>
        <w:tc>
          <w:tcPr>
            <w:tcW w:w="0" w:type="auto"/>
          </w:tcPr>
          <w:p w14:paraId="692060CC"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1A2E6893"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016E898D" w14:textId="77777777" w:rsidR="008C5CFA" w:rsidRPr="00601E29" w:rsidRDefault="008C5CFA" w:rsidP="00300A01">
            <w:pPr>
              <w:spacing w:before="0" w:after="0"/>
              <w:jc w:val="right"/>
              <w:rPr>
                <w:sz w:val="10"/>
                <w:szCs w:val="10"/>
                <w:lang w:val="fr-BE"/>
              </w:rPr>
            </w:pPr>
          </w:p>
        </w:tc>
      </w:tr>
      <w:tr w:rsidR="006B2EC1" w14:paraId="59C7A1C0" w14:textId="77777777" w:rsidTr="0047688D">
        <w:tc>
          <w:tcPr>
            <w:tcW w:w="0" w:type="auto"/>
            <w:shd w:val="clear" w:color="auto" w:fill="auto"/>
          </w:tcPr>
          <w:p w14:paraId="6D933CCD" w14:textId="77777777" w:rsidR="008C5CFA" w:rsidRPr="00601E29" w:rsidRDefault="00E82A60" w:rsidP="00300A01">
            <w:pPr>
              <w:spacing w:before="0" w:after="0"/>
              <w:rPr>
                <w:sz w:val="10"/>
                <w:szCs w:val="10"/>
                <w:lang w:val="fr-BE"/>
              </w:rPr>
            </w:pPr>
            <w:r w:rsidRPr="00601E29">
              <w:rPr>
                <w:noProof/>
                <w:sz w:val="10"/>
                <w:szCs w:val="10"/>
                <w:lang w:val="fr-BE"/>
              </w:rPr>
              <w:t>118</w:t>
            </w:r>
          </w:p>
        </w:tc>
        <w:tc>
          <w:tcPr>
            <w:tcW w:w="0" w:type="auto"/>
            <w:shd w:val="clear" w:color="auto" w:fill="auto"/>
          </w:tcPr>
          <w:p w14:paraId="44907F8B" w14:textId="77777777" w:rsidR="008C5CFA" w:rsidRPr="00601E29" w:rsidRDefault="00E82A60" w:rsidP="00300A01">
            <w:pPr>
              <w:spacing w:before="0" w:after="0"/>
              <w:rPr>
                <w:sz w:val="10"/>
                <w:szCs w:val="10"/>
                <w:lang w:val="fr-BE"/>
              </w:rPr>
            </w:pPr>
            <w:r w:rsidRPr="00601E29">
              <w:rPr>
                <w:noProof/>
                <w:sz w:val="10"/>
                <w:szCs w:val="10"/>
                <w:lang w:val="fr-BE"/>
              </w:rPr>
              <w:t>Liczba utworzonych miejsc pracy w ramach udzielonych z EFS środków na podjęcie działalności gospodarczej</w:t>
            </w:r>
          </w:p>
        </w:tc>
        <w:tc>
          <w:tcPr>
            <w:tcW w:w="0" w:type="auto"/>
            <w:shd w:val="clear" w:color="auto" w:fill="auto"/>
          </w:tcPr>
          <w:p w14:paraId="7679CB7D" w14:textId="77777777" w:rsidR="008C5CFA" w:rsidRPr="00601E29" w:rsidRDefault="00E82A60" w:rsidP="00300A01">
            <w:pPr>
              <w:spacing w:before="0" w:after="0"/>
              <w:rPr>
                <w:sz w:val="10"/>
                <w:szCs w:val="10"/>
                <w:lang w:val="fr-BE"/>
              </w:rPr>
            </w:pPr>
            <w:r w:rsidRPr="00601E29">
              <w:rPr>
                <w:noProof/>
                <w:sz w:val="10"/>
                <w:szCs w:val="10"/>
                <w:lang w:val="fr-BE"/>
              </w:rPr>
              <w:t>Słabiej rozwinięte</w:t>
            </w:r>
          </w:p>
        </w:tc>
        <w:tc>
          <w:tcPr>
            <w:tcW w:w="0" w:type="auto"/>
          </w:tcPr>
          <w:p w14:paraId="39806C01" w14:textId="77777777" w:rsidR="008C5CFA" w:rsidRPr="00601E29" w:rsidRDefault="00E82A60" w:rsidP="00300A01">
            <w:pPr>
              <w:spacing w:before="0" w:after="0"/>
              <w:jc w:val="right"/>
              <w:rPr>
                <w:sz w:val="10"/>
                <w:szCs w:val="10"/>
                <w:lang w:val="fr-BE"/>
              </w:rPr>
            </w:pPr>
            <w:r w:rsidRPr="00601E29">
              <w:rPr>
                <w:noProof/>
                <w:sz w:val="10"/>
                <w:szCs w:val="10"/>
                <w:lang w:val="fr-BE"/>
              </w:rPr>
              <w:t>664,00</w:t>
            </w:r>
          </w:p>
        </w:tc>
        <w:tc>
          <w:tcPr>
            <w:tcW w:w="0" w:type="auto"/>
          </w:tcPr>
          <w:p w14:paraId="0EBC23EE"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62BB1276"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3DC03121" w14:textId="77777777" w:rsidR="008C5CFA" w:rsidRPr="00601E29" w:rsidRDefault="00E82A60" w:rsidP="00300A01">
            <w:pPr>
              <w:spacing w:before="0" w:after="0"/>
              <w:jc w:val="right"/>
              <w:rPr>
                <w:sz w:val="10"/>
                <w:szCs w:val="10"/>
                <w:lang w:val="fr-BE"/>
              </w:rPr>
            </w:pPr>
            <w:r w:rsidRPr="00601E29">
              <w:rPr>
                <w:noProof/>
                <w:sz w:val="10"/>
                <w:szCs w:val="10"/>
                <w:lang w:val="fr-BE"/>
              </w:rPr>
              <w:t>664,00</w:t>
            </w:r>
          </w:p>
        </w:tc>
        <w:tc>
          <w:tcPr>
            <w:tcW w:w="0" w:type="auto"/>
          </w:tcPr>
          <w:p w14:paraId="112986EC"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0129CD9A"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3BC13376" w14:textId="77777777" w:rsidR="008C5CFA" w:rsidRPr="00601E29" w:rsidRDefault="008C5CFA" w:rsidP="00300A01">
            <w:pPr>
              <w:spacing w:before="0" w:after="0"/>
              <w:jc w:val="right"/>
              <w:rPr>
                <w:sz w:val="10"/>
                <w:szCs w:val="10"/>
                <w:lang w:val="fr-BE"/>
              </w:rPr>
            </w:pPr>
          </w:p>
        </w:tc>
        <w:tc>
          <w:tcPr>
            <w:tcW w:w="0" w:type="auto"/>
          </w:tcPr>
          <w:p w14:paraId="7DDFF747"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141E5A0E"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6B7176EB"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7AEBF92C"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49C30B17"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5A8D3FCE"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77D5A27E" w14:textId="77777777" w:rsidR="008C5CFA" w:rsidRPr="00601E29" w:rsidRDefault="008C5CFA" w:rsidP="00300A01">
            <w:pPr>
              <w:spacing w:before="0" w:after="0"/>
              <w:jc w:val="right"/>
              <w:rPr>
                <w:sz w:val="10"/>
                <w:szCs w:val="10"/>
                <w:lang w:val="fr-BE"/>
              </w:rPr>
            </w:pPr>
          </w:p>
        </w:tc>
      </w:tr>
      <w:tr w:rsidR="006B2EC1" w14:paraId="17B8B537" w14:textId="77777777" w:rsidTr="0047688D">
        <w:tc>
          <w:tcPr>
            <w:tcW w:w="0" w:type="auto"/>
            <w:shd w:val="clear" w:color="auto" w:fill="auto"/>
          </w:tcPr>
          <w:p w14:paraId="5A9524D4" w14:textId="77777777" w:rsidR="008C5CFA" w:rsidRPr="00601E29" w:rsidRDefault="00E82A60" w:rsidP="00300A01">
            <w:pPr>
              <w:spacing w:before="0" w:after="0"/>
              <w:rPr>
                <w:sz w:val="10"/>
                <w:szCs w:val="10"/>
                <w:lang w:val="fr-BE"/>
              </w:rPr>
            </w:pPr>
            <w:r w:rsidRPr="00601E29">
              <w:rPr>
                <w:noProof/>
                <w:sz w:val="10"/>
                <w:szCs w:val="10"/>
                <w:lang w:val="fr-BE"/>
              </w:rPr>
              <w:t>024</w:t>
            </w:r>
          </w:p>
        </w:tc>
        <w:tc>
          <w:tcPr>
            <w:tcW w:w="0" w:type="auto"/>
            <w:shd w:val="clear" w:color="auto" w:fill="auto"/>
          </w:tcPr>
          <w:p w14:paraId="26B2D04E" w14:textId="77777777" w:rsidR="008C5CFA" w:rsidRPr="00601E29" w:rsidRDefault="00E82A60" w:rsidP="00300A01">
            <w:pPr>
              <w:spacing w:before="0" w:after="0"/>
              <w:rPr>
                <w:sz w:val="10"/>
                <w:szCs w:val="10"/>
                <w:lang w:val="fr-BE"/>
              </w:rPr>
            </w:pPr>
            <w:r w:rsidRPr="00601E29">
              <w:rPr>
                <w:noProof/>
                <w:sz w:val="10"/>
                <w:szCs w:val="10"/>
                <w:lang w:val="fr-BE"/>
              </w:rPr>
              <w:t>Liczba osób pracujących 6 miesięcy po opuszczeniu programu  (łącznie  z pracującymi na własny rachunek) (C) - CR06 - Liczba osób z niepełnosprawnościami objętych wsparciem  w programie (C) - CO16</w:t>
            </w:r>
          </w:p>
        </w:tc>
        <w:tc>
          <w:tcPr>
            <w:tcW w:w="0" w:type="auto"/>
            <w:shd w:val="clear" w:color="auto" w:fill="auto"/>
          </w:tcPr>
          <w:p w14:paraId="34EDFA68" w14:textId="77777777" w:rsidR="008C5CFA" w:rsidRPr="00601E29" w:rsidRDefault="00E82A60" w:rsidP="00300A01">
            <w:pPr>
              <w:spacing w:before="0" w:after="0"/>
              <w:rPr>
                <w:sz w:val="10"/>
                <w:szCs w:val="10"/>
                <w:lang w:val="fr-BE"/>
              </w:rPr>
            </w:pPr>
            <w:r w:rsidRPr="00601E29">
              <w:rPr>
                <w:noProof/>
                <w:sz w:val="10"/>
                <w:szCs w:val="10"/>
                <w:lang w:val="fr-BE"/>
              </w:rPr>
              <w:t>Słabiej rozwinięte</w:t>
            </w:r>
          </w:p>
        </w:tc>
        <w:tc>
          <w:tcPr>
            <w:tcW w:w="0" w:type="auto"/>
          </w:tcPr>
          <w:p w14:paraId="28AC38DB"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720DF190"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1BF91082"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3CFB13FC"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073A6C56"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675AE526"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2515CEB4" w14:textId="77777777" w:rsidR="008C5CFA" w:rsidRPr="00601E29" w:rsidRDefault="008C5CFA" w:rsidP="00300A01">
            <w:pPr>
              <w:spacing w:before="0" w:after="0"/>
              <w:jc w:val="right"/>
              <w:rPr>
                <w:sz w:val="10"/>
                <w:szCs w:val="10"/>
                <w:lang w:val="fr-BE"/>
              </w:rPr>
            </w:pPr>
          </w:p>
        </w:tc>
        <w:tc>
          <w:tcPr>
            <w:tcW w:w="0" w:type="auto"/>
          </w:tcPr>
          <w:p w14:paraId="50A79872"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48902B13"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5DD153B0"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42847455"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6E6FC235"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507A6995"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03315C90" w14:textId="77777777" w:rsidR="008C5CFA" w:rsidRPr="00601E29" w:rsidRDefault="008C5CFA" w:rsidP="00300A01">
            <w:pPr>
              <w:spacing w:before="0" w:after="0"/>
              <w:jc w:val="right"/>
              <w:rPr>
                <w:sz w:val="10"/>
                <w:szCs w:val="10"/>
                <w:lang w:val="fr-BE"/>
              </w:rPr>
            </w:pPr>
          </w:p>
        </w:tc>
      </w:tr>
      <w:tr w:rsidR="006B2EC1" w14:paraId="6334E287" w14:textId="77777777" w:rsidTr="0047688D">
        <w:tc>
          <w:tcPr>
            <w:tcW w:w="0" w:type="auto"/>
            <w:shd w:val="clear" w:color="auto" w:fill="auto"/>
          </w:tcPr>
          <w:p w14:paraId="240CBB9A" w14:textId="77777777" w:rsidR="008C5CFA" w:rsidRPr="00601E29" w:rsidRDefault="00E82A60" w:rsidP="00300A01">
            <w:pPr>
              <w:spacing w:before="0" w:after="0"/>
              <w:rPr>
                <w:sz w:val="10"/>
                <w:szCs w:val="10"/>
                <w:lang w:val="fr-BE"/>
              </w:rPr>
            </w:pPr>
            <w:r w:rsidRPr="00601E29">
              <w:rPr>
                <w:noProof/>
                <w:sz w:val="10"/>
                <w:szCs w:val="10"/>
                <w:lang w:val="fr-BE"/>
              </w:rPr>
              <w:t>119</w:t>
            </w:r>
          </w:p>
        </w:tc>
        <w:tc>
          <w:tcPr>
            <w:tcW w:w="0" w:type="auto"/>
            <w:shd w:val="clear" w:color="auto" w:fill="auto"/>
          </w:tcPr>
          <w:p w14:paraId="1785CB67" w14:textId="77777777" w:rsidR="008C5CFA" w:rsidRPr="00601E29" w:rsidRDefault="00E82A60" w:rsidP="00300A01">
            <w:pPr>
              <w:spacing w:before="0" w:after="0"/>
              <w:rPr>
                <w:sz w:val="10"/>
                <w:szCs w:val="10"/>
                <w:lang w:val="fr-BE"/>
              </w:rPr>
            </w:pPr>
            <w:r w:rsidRPr="00601E29">
              <w:rPr>
                <w:noProof/>
                <w:sz w:val="10"/>
                <w:szCs w:val="10"/>
                <w:lang w:val="fr-BE"/>
              </w:rPr>
              <w:t>Liczba utworzonych mikroprzedsiębiorstw działających 30 miesięcy po uzyskaniu wsparcia finansowego</w:t>
            </w:r>
          </w:p>
        </w:tc>
        <w:tc>
          <w:tcPr>
            <w:tcW w:w="0" w:type="auto"/>
            <w:shd w:val="clear" w:color="auto" w:fill="auto"/>
          </w:tcPr>
          <w:p w14:paraId="02D8FAB3" w14:textId="77777777" w:rsidR="008C5CFA" w:rsidRPr="00601E29" w:rsidRDefault="00E82A60" w:rsidP="00300A01">
            <w:pPr>
              <w:spacing w:before="0" w:after="0"/>
              <w:rPr>
                <w:sz w:val="10"/>
                <w:szCs w:val="10"/>
                <w:lang w:val="fr-BE"/>
              </w:rPr>
            </w:pPr>
            <w:r w:rsidRPr="00601E29">
              <w:rPr>
                <w:noProof/>
                <w:sz w:val="10"/>
                <w:szCs w:val="10"/>
                <w:lang w:val="fr-BE"/>
              </w:rPr>
              <w:t>Słabiej rozwinięte</w:t>
            </w:r>
          </w:p>
        </w:tc>
        <w:tc>
          <w:tcPr>
            <w:tcW w:w="0" w:type="auto"/>
          </w:tcPr>
          <w:p w14:paraId="5916550E"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48C9E47C"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044F5732"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72D0CD16"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4F58C079"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1ADCC8FC"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23173C06" w14:textId="77777777" w:rsidR="008C5CFA" w:rsidRPr="00601E29" w:rsidRDefault="008C5CFA" w:rsidP="00300A01">
            <w:pPr>
              <w:spacing w:before="0" w:after="0"/>
              <w:jc w:val="right"/>
              <w:rPr>
                <w:sz w:val="10"/>
                <w:szCs w:val="10"/>
                <w:lang w:val="fr-BE"/>
              </w:rPr>
            </w:pPr>
          </w:p>
        </w:tc>
        <w:tc>
          <w:tcPr>
            <w:tcW w:w="0" w:type="auto"/>
          </w:tcPr>
          <w:p w14:paraId="4D6668CD"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6CCF6A45"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6C2CC530"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0C95A07A"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633A1A4C"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470FB55E"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40ADB63C" w14:textId="77777777" w:rsidR="008C5CFA" w:rsidRPr="00601E29" w:rsidRDefault="008C5CFA" w:rsidP="00300A01">
            <w:pPr>
              <w:spacing w:before="0" w:after="0"/>
              <w:jc w:val="right"/>
              <w:rPr>
                <w:sz w:val="10"/>
                <w:szCs w:val="10"/>
                <w:lang w:val="fr-BE"/>
              </w:rPr>
            </w:pPr>
          </w:p>
        </w:tc>
      </w:tr>
    </w:tbl>
    <w:p w14:paraId="7EE340DC"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07"/>
        <w:gridCol w:w="9747"/>
        <w:gridCol w:w="1038"/>
        <w:gridCol w:w="520"/>
        <w:gridCol w:w="654"/>
        <w:gridCol w:w="525"/>
        <w:gridCol w:w="520"/>
        <w:gridCol w:w="654"/>
        <w:gridCol w:w="525"/>
        <w:gridCol w:w="694"/>
      </w:tblGrid>
      <w:tr w:rsidR="006B2EC1" w14:paraId="4078F7F2" w14:textId="77777777" w:rsidTr="0047688D">
        <w:trPr>
          <w:tblHeader/>
        </w:trPr>
        <w:tc>
          <w:tcPr>
            <w:tcW w:w="0" w:type="auto"/>
            <w:shd w:val="clear" w:color="auto" w:fill="auto"/>
          </w:tcPr>
          <w:p w14:paraId="6F3C46BC" w14:textId="77777777" w:rsidR="008C5CFA" w:rsidRPr="00601E29" w:rsidRDefault="00E82A60" w:rsidP="00300A01">
            <w:pPr>
              <w:spacing w:before="0" w:after="0"/>
              <w:rPr>
                <w:b/>
                <w:sz w:val="10"/>
                <w:szCs w:val="10"/>
                <w:lang w:val="fr-BE"/>
              </w:rPr>
            </w:pPr>
            <w:r w:rsidRPr="00601E29">
              <w:rPr>
                <w:b/>
                <w:noProof/>
                <w:sz w:val="10"/>
                <w:szCs w:val="10"/>
                <w:lang w:val="fr-BE"/>
              </w:rPr>
              <w:t>ID</w:t>
            </w:r>
          </w:p>
        </w:tc>
        <w:tc>
          <w:tcPr>
            <w:tcW w:w="0" w:type="auto"/>
            <w:shd w:val="clear" w:color="auto" w:fill="auto"/>
          </w:tcPr>
          <w:p w14:paraId="76727C3A" w14:textId="77777777" w:rsidR="008C5CFA" w:rsidRPr="00601E29" w:rsidRDefault="00E82A60" w:rsidP="00300A01">
            <w:pPr>
              <w:spacing w:before="0" w:after="0"/>
              <w:rPr>
                <w:b/>
                <w:sz w:val="10"/>
                <w:szCs w:val="10"/>
                <w:lang w:val="fr-BE"/>
              </w:rPr>
            </w:pPr>
            <w:r w:rsidRPr="00601E29">
              <w:rPr>
                <w:b/>
                <w:noProof/>
                <w:sz w:val="10"/>
                <w:szCs w:val="10"/>
                <w:lang w:val="fr-BE"/>
              </w:rPr>
              <w:t>Wskaźnik</w:t>
            </w:r>
          </w:p>
        </w:tc>
        <w:tc>
          <w:tcPr>
            <w:tcW w:w="0" w:type="auto"/>
            <w:shd w:val="clear" w:color="auto" w:fill="auto"/>
          </w:tcPr>
          <w:p w14:paraId="2114A67F" w14:textId="77777777" w:rsidR="008C5CFA" w:rsidRPr="00601E29" w:rsidRDefault="00E82A60" w:rsidP="00300A01">
            <w:pPr>
              <w:spacing w:before="0" w:after="0"/>
              <w:rPr>
                <w:b/>
                <w:sz w:val="10"/>
                <w:szCs w:val="10"/>
                <w:lang w:val="fr-BE"/>
              </w:rPr>
            </w:pPr>
            <w:r w:rsidRPr="00601E29">
              <w:rPr>
                <w:b/>
                <w:noProof/>
                <w:sz w:val="10"/>
                <w:szCs w:val="10"/>
                <w:lang w:val="fr-BE"/>
              </w:rPr>
              <w:t>Kategoria regionu</w:t>
            </w:r>
          </w:p>
        </w:tc>
        <w:tc>
          <w:tcPr>
            <w:tcW w:w="0" w:type="auto"/>
            <w:gridSpan w:val="7"/>
          </w:tcPr>
          <w:p w14:paraId="30441F7E" w14:textId="77777777" w:rsidR="008C5CFA" w:rsidRPr="00601E29" w:rsidRDefault="00E82A60" w:rsidP="00300A01">
            <w:pPr>
              <w:spacing w:before="0" w:after="0"/>
              <w:jc w:val="center"/>
              <w:rPr>
                <w:b/>
                <w:sz w:val="10"/>
                <w:szCs w:val="10"/>
                <w:lang w:val="fr-BE"/>
              </w:rPr>
            </w:pPr>
            <w:r>
              <w:rPr>
                <w:b/>
                <w:sz w:val="10"/>
                <w:szCs w:val="10"/>
                <w:lang w:val="fr-BE"/>
              </w:rPr>
              <w:t>2014</w:t>
            </w:r>
          </w:p>
        </w:tc>
      </w:tr>
      <w:tr w:rsidR="006B2EC1" w14:paraId="58CE7512" w14:textId="77777777" w:rsidTr="0047688D">
        <w:trPr>
          <w:tblHeader/>
        </w:trPr>
        <w:tc>
          <w:tcPr>
            <w:tcW w:w="0" w:type="auto"/>
            <w:shd w:val="clear" w:color="auto" w:fill="auto"/>
          </w:tcPr>
          <w:p w14:paraId="7BCCCA37" w14:textId="77777777" w:rsidR="008C5CFA" w:rsidRPr="00601E29" w:rsidRDefault="008C5CFA" w:rsidP="00300A01">
            <w:pPr>
              <w:spacing w:before="0" w:after="0"/>
              <w:rPr>
                <w:b/>
                <w:sz w:val="10"/>
                <w:szCs w:val="10"/>
                <w:lang w:val="fr-BE"/>
              </w:rPr>
            </w:pPr>
          </w:p>
        </w:tc>
        <w:tc>
          <w:tcPr>
            <w:tcW w:w="0" w:type="auto"/>
            <w:shd w:val="clear" w:color="auto" w:fill="auto"/>
          </w:tcPr>
          <w:p w14:paraId="7A768EDF" w14:textId="77777777" w:rsidR="008C5CFA" w:rsidRPr="00601E29" w:rsidRDefault="008C5CFA" w:rsidP="00300A01">
            <w:pPr>
              <w:spacing w:before="0" w:after="0"/>
              <w:rPr>
                <w:b/>
                <w:sz w:val="10"/>
                <w:szCs w:val="10"/>
                <w:lang w:val="fr-BE"/>
              </w:rPr>
            </w:pPr>
          </w:p>
        </w:tc>
        <w:tc>
          <w:tcPr>
            <w:tcW w:w="0" w:type="auto"/>
            <w:shd w:val="clear" w:color="auto" w:fill="auto"/>
          </w:tcPr>
          <w:p w14:paraId="3153FA9F" w14:textId="77777777" w:rsidR="008C5CFA" w:rsidRPr="00601E29" w:rsidRDefault="008C5CFA" w:rsidP="00300A01">
            <w:pPr>
              <w:spacing w:before="0" w:after="0"/>
              <w:rPr>
                <w:b/>
                <w:sz w:val="10"/>
                <w:szCs w:val="10"/>
                <w:lang w:val="fr-BE"/>
              </w:rPr>
            </w:pPr>
          </w:p>
        </w:tc>
        <w:tc>
          <w:tcPr>
            <w:tcW w:w="0" w:type="auto"/>
            <w:gridSpan w:val="3"/>
          </w:tcPr>
          <w:p w14:paraId="7DC2781B" w14:textId="77777777" w:rsidR="008C5CFA" w:rsidRPr="00601E29" w:rsidRDefault="00E82A60" w:rsidP="00300A01">
            <w:pPr>
              <w:spacing w:before="0" w:after="0"/>
              <w:jc w:val="center"/>
              <w:rPr>
                <w:b/>
                <w:sz w:val="10"/>
                <w:szCs w:val="10"/>
                <w:lang w:val="fr-BE"/>
              </w:rPr>
            </w:pPr>
            <w:r w:rsidRPr="00601E29">
              <w:rPr>
                <w:b/>
                <w:noProof/>
                <w:sz w:val="10"/>
                <w:szCs w:val="10"/>
                <w:lang w:val="fr-BE"/>
              </w:rPr>
              <w:t>Łącznie</w:t>
            </w:r>
          </w:p>
        </w:tc>
        <w:tc>
          <w:tcPr>
            <w:tcW w:w="0" w:type="auto"/>
            <w:gridSpan w:val="3"/>
          </w:tcPr>
          <w:p w14:paraId="2886958D" w14:textId="77777777" w:rsidR="008C5CFA" w:rsidRPr="00601E29" w:rsidRDefault="00E82A60" w:rsidP="00300A01">
            <w:pPr>
              <w:spacing w:before="0" w:after="0"/>
              <w:jc w:val="center"/>
              <w:rPr>
                <w:b/>
                <w:sz w:val="10"/>
                <w:szCs w:val="10"/>
                <w:lang w:val="fr-BE"/>
              </w:rPr>
            </w:pPr>
            <w:r w:rsidRPr="00601E29">
              <w:rPr>
                <w:b/>
                <w:noProof/>
                <w:sz w:val="10"/>
                <w:szCs w:val="10"/>
                <w:lang w:val="fr-BE"/>
              </w:rPr>
              <w:t>Łącznie w roku</w:t>
            </w:r>
          </w:p>
        </w:tc>
        <w:tc>
          <w:tcPr>
            <w:tcW w:w="0" w:type="auto"/>
          </w:tcPr>
          <w:p w14:paraId="4E2411DF" w14:textId="77777777" w:rsidR="008C5CFA" w:rsidRPr="00601E29" w:rsidRDefault="00E82A60" w:rsidP="00300A01">
            <w:pPr>
              <w:spacing w:before="0" w:after="0"/>
              <w:jc w:val="center"/>
              <w:rPr>
                <w:b/>
                <w:sz w:val="10"/>
                <w:szCs w:val="10"/>
                <w:lang w:val="fr-BE"/>
              </w:rPr>
            </w:pPr>
            <w:r w:rsidRPr="00601E29">
              <w:rPr>
                <w:b/>
                <w:noProof/>
                <w:sz w:val="10"/>
                <w:szCs w:val="10"/>
                <w:lang w:val="fr-BE"/>
              </w:rPr>
              <w:t>Jakościowe</w:t>
            </w:r>
          </w:p>
        </w:tc>
      </w:tr>
      <w:tr w:rsidR="006B2EC1" w14:paraId="559BBECF" w14:textId="77777777" w:rsidTr="0047688D">
        <w:trPr>
          <w:tblHeader/>
        </w:trPr>
        <w:tc>
          <w:tcPr>
            <w:tcW w:w="0" w:type="auto"/>
            <w:shd w:val="clear" w:color="auto" w:fill="auto"/>
          </w:tcPr>
          <w:p w14:paraId="036E244F" w14:textId="77777777" w:rsidR="008C5CFA" w:rsidRPr="00601E29" w:rsidRDefault="008C5CFA" w:rsidP="00300A01">
            <w:pPr>
              <w:spacing w:before="0" w:after="0"/>
              <w:rPr>
                <w:b/>
                <w:sz w:val="10"/>
                <w:szCs w:val="10"/>
                <w:lang w:val="fr-BE"/>
              </w:rPr>
            </w:pPr>
          </w:p>
        </w:tc>
        <w:tc>
          <w:tcPr>
            <w:tcW w:w="0" w:type="auto"/>
            <w:shd w:val="clear" w:color="auto" w:fill="auto"/>
          </w:tcPr>
          <w:p w14:paraId="3373AC56" w14:textId="77777777" w:rsidR="008C5CFA" w:rsidRPr="00601E29" w:rsidRDefault="008C5CFA" w:rsidP="00300A01">
            <w:pPr>
              <w:spacing w:before="0" w:after="0"/>
              <w:rPr>
                <w:b/>
                <w:sz w:val="10"/>
                <w:szCs w:val="10"/>
                <w:lang w:val="fr-BE"/>
              </w:rPr>
            </w:pPr>
          </w:p>
        </w:tc>
        <w:tc>
          <w:tcPr>
            <w:tcW w:w="0" w:type="auto"/>
            <w:shd w:val="clear" w:color="auto" w:fill="auto"/>
          </w:tcPr>
          <w:p w14:paraId="77A73D93" w14:textId="77777777" w:rsidR="008C5CFA" w:rsidRPr="00601E29" w:rsidRDefault="008C5CFA" w:rsidP="00300A01">
            <w:pPr>
              <w:spacing w:before="0" w:after="0"/>
              <w:rPr>
                <w:b/>
                <w:sz w:val="10"/>
                <w:szCs w:val="10"/>
                <w:lang w:val="fr-BE"/>
              </w:rPr>
            </w:pPr>
          </w:p>
        </w:tc>
        <w:tc>
          <w:tcPr>
            <w:tcW w:w="0" w:type="auto"/>
          </w:tcPr>
          <w:p w14:paraId="65F2248A" w14:textId="77777777" w:rsidR="008C5CFA" w:rsidRPr="00601E29" w:rsidRDefault="00E82A60" w:rsidP="00300A01">
            <w:pPr>
              <w:spacing w:before="0" w:after="0"/>
              <w:jc w:val="center"/>
              <w:rPr>
                <w:b/>
                <w:sz w:val="10"/>
                <w:szCs w:val="10"/>
                <w:lang w:val="fr-BE"/>
              </w:rPr>
            </w:pPr>
            <w:r w:rsidRPr="00601E29">
              <w:rPr>
                <w:b/>
                <w:noProof/>
                <w:sz w:val="10"/>
                <w:szCs w:val="10"/>
                <w:lang w:val="fr-BE"/>
              </w:rPr>
              <w:t>Ogółem</w:t>
            </w:r>
          </w:p>
        </w:tc>
        <w:tc>
          <w:tcPr>
            <w:tcW w:w="0" w:type="auto"/>
          </w:tcPr>
          <w:p w14:paraId="1570B0F4" w14:textId="77777777" w:rsidR="008C5CFA" w:rsidRPr="00601E29" w:rsidRDefault="00E82A60" w:rsidP="00300A01">
            <w:pPr>
              <w:spacing w:before="0" w:after="0"/>
              <w:jc w:val="center"/>
              <w:rPr>
                <w:b/>
                <w:sz w:val="10"/>
                <w:szCs w:val="10"/>
                <w:lang w:val="fr-BE"/>
              </w:rPr>
            </w:pPr>
            <w:r w:rsidRPr="00601E29">
              <w:rPr>
                <w:b/>
                <w:noProof/>
                <w:sz w:val="10"/>
                <w:szCs w:val="10"/>
                <w:lang w:val="fr-BE"/>
              </w:rPr>
              <w:t>Mężczyźni</w:t>
            </w:r>
          </w:p>
        </w:tc>
        <w:tc>
          <w:tcPr>
            <w:tcW w:w="0" w:type="auto"/>
          </w:tcPr>
          <w:p w14:paraId="1F414CEC" w14:textId="77777777" w:rsidR="008C5CFA" w:rsidRPr="00601E29" w:rsidRDefault="00E82A60" w:rsidP="00300A01">
            <w:pPr>
              <w:spacing w:before="0" w:after="0"/>
              <w:jc w:val="center"/>
              <w:rPr>
                <w:b/>
                <w:sz w:val="10"/>
                <w:szCs w:val="10"/>
                <w:lang w:val="fr-BE"/>
              </w:rPr>
            </w:pPr>
            <w:r w:rsidRPr="00601E29">
              <w:rPr>
                <w:b/>
                <w:noProof/>
                <w:sz w:val="10"/>
                <w:szCs w:val="10"/>
                <w:lang w:val="fr-BE"/>
              </w:rPr>
              <w:t>Kobiety</w:t>
            </w:r>
          </w:p>
        </w:tc>
        <w:tc>
          <w:tcPr>
            <w:tcW w:w="0" w:type="auto"/>
          </w:tcPr>
          <w:p w14:paraId="2730A9C4" w14:textId="77777777" w:rsidR="008C5CFA" w:rsidRPr="00601E29" w:rsidRDefault="00E82A60" w:rsidP="00300A01">
            <w:pPr>
              <w:spacing w:before="0" w:after="0"/>
              <w:jc w:val="center"/>
              <w:rPr>
                <w:b/>
                <w:sz w:val="10"/>
                <w:szCs w:val="10"/>
                <w:lang w:val="fr-BE"/>
              </w:rPr>
            </w:pPr>
            <w:r w:rsidRPr="00601E29">
              <w:rPr>
                <w:b/>
                <w:noProof/>
                <w:sz w:val="10"/>
                <w:szCs w:val="10"/>
                <w:lang w:val="fr-BE"/>
              </w:rPr>
              <w:t>Ogółem</w:t>
            </w:r>
          </w:p>
        </w:tc>
        <w:tc>
          <w:tcPr>
            <w:tcW w:w="0" w:type="auto"/>
          </w:tcPr>
          <w:p w14:paraId="10ED883E" w14:textId="77777777" w:rsidR="008C5CFA" w:rsidRPr="00601E29" w:rsidRDefault="00E82A60" w:rsidP="00300A01">
            <w:pPr>
              <w:spacing w:before="0" w:after="0"/>
              <w:jc w:val="center"/>
              <w:rPr>
                <w:b/>
                <w:sz w:val="10"/>
                <w:szCs w:val="10"/>
                <w:lang w:val="fr-BE"/>
              </w:rPr>
            </w:pPr>
            <w:r w:rsidRPr="00601E29">
              <w:rPr>
                <w:b/>
                <w:noProof/>
                <w:sz w:val="10"/>
                <w:szCs w:val="10"/>
                <w:lang w:val="fr-BE"/>
              </w:rPr>
              <w:t>Mężczyźni</w:t>
            </w:r>
          </w:p>
        </w:tc>
        <w:tc>
          <w:tcPr>
            <w:tcW w:w="0" w:type="auto"/>
          </w:tcPr>
          <w:p w14:paraId="0390634E" w14:textId="77777777" w:rsidR="008C5CFA" w:rsidRPr="00601E29" w:rsidRDefault="00E82A60" w:rsidP="00300A01">
            <w:pPr>
              <w:spacing w:before="0" w:after="0"/>
              <w:jc w:val="center"/>
              <w:rPr>
                <w:b/>
                <w:sz w:val="10"/>
                <w:szCs w:val="10"/>
                <w:lang w:val="fr-BE"/>
              </w:rPr>
            </w:pPr>
            <w:r w:rsidRPr="00601E29">
              <w:rPr>
                <w:b/>
                <w:noProof/>
                <w:sz w:val="10"/>
                <w:szCs w:val="10"/>
                <w:lang w:val="fr-BE"/>
              </w:rPr>
              <w:t>Kobiety</w:t>
            </w:r>
          </w:p>
        </w:tc>
        <w:tc>
          <w:tcPr>
            <w:tcW w:w="0" w:type="auto"/>
          </w:tcPr>
          <w:p w14:paraId="553E6454" w14:textId="77777777" w:rsidR="008C5CFA" w:rsidRPr="00601E29" w:rsidRDefault="008C5CFA" w:rsidP="00300A01">
            <w:pPr>
              <w:spacing w:before="0" w:after="0"/>
              <w:jc w:val="center"/>
              <w:rPr>
                <w:b/>
                <w:sz w:val="10"/>
                <w:szCs w:val="10"/>
                <w:lang w:val="fr-BE"/>
              </w:rPr>
            </w:pPr>
          </w:p>
        </w:tc>
      </w:tr>
      <w:tr w:rsidR="006B2EC1" w14:paraId="39AA5D9D" w14:textId="77777777" w:rsidTr="0047688D">
        <w:tc>
          <w:tcPr>
            <w:tcW w:w="0" w:type="auto"/>
            <w:shd w:val="clear" w:color="auto" w:fill="auto"/>
          </w:tcPr>
          <w:p w14:paraId="52F3F24D" w14:textId="77777777" w:rsidR="008C5CFA" w:rsidRPr="00601E29" w:rsidRDefault="00E82A60" w:rsidP="00300A01">
            <w:pPr>
              <w:spacing w:before="0" w:after="0"/>
              <w:rPr>
                <w:sz w:val="10"/>
                <w:szCs w:val="10"/>
                <w:lang w:val="fr-BE"/>
              </w:rPr>
            </w:pPr>
            <w:r w:rsidRPr="00601E29">
              <w:rPr>
                <w:noProof/>
                <w:sz w:val="10"/>
                <w:szCs w:val="10"/>
                <w:lang w:val="fr-BE"/>
              </w:rPr>
              <w:t>023</w:t>
            </w:r>
          </w:p>
        </w:tc>
        <w:tc>
          <w:tcPr>
            <w:tcW w:w="0" w:type="auto"/>
            <w:shd w:val="clear" w:color="auto" w:fill="auto"/>
          </w:tcPr>
          <w:p w14:paraId="73A34B69" w14:textId="77777777" w:rsidR="008C5CFA" w:rsidRPr="00601E29" w:rsidRDefault="00E82A60" w:rsidP="00300A01">
            <w:pPr>
              <w:spacing w:before="0" w:after="0"/>
              <w:rPr>
                <w:sz w:val="10"/>
                <w:szCs w:val="10"/>
                <w:lang w:val="fr-BE"/>
              </w:rPr>
            </w:pPr>
            <w:r w:rsidRPr="00601E29">
              <w:rPr>
                <w:noProof/>
                <w:sz w:val="10"/>
                <w:szCs w:val="10"/>
                <w:lang w:val="fr-BE"/>
              </w:rPr>
              <w:t>Liczba osób pracujących po opuszczeniu programu (łącznie z pracującymi na własny rachunek) (C) - CR04 - Liczba osób z niepełnosprawnościami objętych wsparciem w programie (C) - CO16</w:t>
            </w:r>
          </w:p>
        </w:tc>
        <w:tc>
          <w:tcPr>
            <w:tcW w:w="0" w:type="auto"/>
            <w:shd w:val="clear" w:color="auto" w:fill="auto"/>
          </w:tcPr>
          <w:p w14:paraId="5A90FA5F" w14:textId="77777777" w:rsidR="008C5CFA" w:rsidRPr="00601E29" w:rsidRDefault="00E82A60" w:rsidP="00300A01">
            <w:pPr>
              <w:spacing w:before="0" w:after="0"/>
              <w:rPr>
                <w:sz w:val="10"/>
                <w:szCs w:val="10"/>
                <w:lang w:val="fr-BE"/>
              </w:rPr>
            </w:pPr>
            <w:r w:rsidRPr="00601E29">
              <w:rPr>
                <w:noProof/>
                <w:sz w:val="10"/>
                <w:szCs w:val="10"/>
                <w:lang w:val="fr-BE"/>
              </w:rPr>
              <w:t>Słabiej rozwinięte</w:t>
            </w:r>
          </w:p>
        </w:tc>
        <w:tc>
          <w:tcPr>
            <w:tcW w:w="0" w:type="auto"/>
          </w:tcPr>
          <w:p w14:paraId="06E1F8D7"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2613F9EB"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67676D7B"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05E001F8"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7DB84B5A"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222FA7BE"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1942FB2B" w14:textId="77777777" w:rsidR="008C5CFA" w:rsidRPr="00601E29" w:rsidRDefault="008C5CFA" w:rsidP="00300A01">
            <w:pPr>
              <w:spacing w:before="0" w:after="0"/>
              <w:jc w:val="right"/>
              <w:rPr>
                <w:sz w:val="10"/>
                <w:szCs w:val="10"/>
                <w:lang w:val="fr-BE"/>
              </w:rPr>
            </w:pPr>
          </w:p>
        </w:tc>
      </w:tr>
      <w:tr w:rsidR="006B2EC1" w14:paraId="0C0F0A0F" w14:textId="77777777" w:rsidTr="0047688D">
        <w:tc>
          <w:tcPr>
            <w:tcW w:w="0" w:type="auto"/>
            <w:shd w:val="clear" w:color="auto" w:fill="auto"/>
          </w:tcPr>
          <w:p w14:paraId="57D62454" w14:textId="77777777" w:rsidR="008C5CFA" w:rsidRPr="00601E29" w:rsidRDefault="00E82A60" w:rsidP="00300A01">
            <w:pPr>
              <w:spacing w:before="0" w:after="0"/>
              <w:rPr>
                <w:sz w:val="10"/>
                <w:szCs w:val="10"/>
                <w:lang w:val="fr-BE"/>
              </w:rPr>
            </w:pPr>
            <w:r w:rsidRPr="00601E29">
              <w:rPr>
                <w:noProof/>
                <w:sz w:val="10"/>
                <w:szCs w:val="10"/>
                <w:lang w:val="fr-BE"/>
              </w:rPr>
              <w:t>118</w:t>
            </w:r>
          </w:p>
        </w:tc>
        <w:tc>
          <w:tcPr>
            <w:tcW w:w="0" w:type="auto"/>
            <w:shd w:val="clear" w:color="auto" w:fill="auto"/>
          </w:tcPr>
          <w:p w14:paraId="4D3C919E" w14:textId="77777777" w:rsidR="008C5CFA" w:rsidRPr="00601E29" w:rsidRDefault="00E82A60" w:rsidP="00300A01">
            <w:pPr>
              <w:spacing w:before="0" w:after="0"/>
              <w:rPr>
                <w:sz w:val="10"/>
                <w:szCs w:val="10"/>
                <w:lang w:val="fr-BE"/>
              </w:rPr>
            </w:pPr>
            <w:r w:rsidRPr="00601E29">
              <w:rPr>
                <w:noProof/>
                <w:sz w:val="10"/>
                <w:szCs w:val="10"/>
                <w:lang w:val="fr-BE"/>
              </w:rPr>
              <w:t>Liczba utworzonych miejsc pracy w ramach udzielonych z EFS środków na podjęcie działalności gospodarczej</w:t>
            </w:r>
          </w:p>
        </w:tc>
        <w:tc>
          <w:tcPr>
            <w:tcW w:w="0" w:type="auto"/>
            <w:shd w:val="clear" w:color="auto" w:fill="auto"/>
          </w:tcPr>
          <w:p w14:paraId="27AB31D7" w14:textId="77777777" w:rsidR="008C5CFA" w:rsidRPr="00601E29" w:rsidRDefault="00E82A60" w:rsidP="00300A01">
            <w:pPr>
              <w:spacing w:before="0" w:after="0"/>
              <w:rPr>
                <w:sz w:val="10"/>
                <w:szCs w:val="10"/>
                <w:lang w:val="fr-BE"/>
              </w:rPr>
            </w:pPr>
            <w:r w:rsidRPr="00601E29">
              <w:rPr>
                <w:noProof/>
                <w:sz w:val="10"/>
                <w:szCs w:val="10"/>
                <w:lang w:val="fr-BE"/>
              </w:rPr>
              <w:t>Słabiej rozwinięte</w:t>
            </w:r>
          </w:p>
        </w:tc>
        <w:tc>
          <w:tcPr>
            <w:tcW w:w="0" w:type="auto"/>
          </w:tcPr>
          <w:p w14:paraId="6DA3DDF8"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42875D44"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5E11E260"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6F26738F"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312C2A5D"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0661FD8B"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7848631B" w14:textId="77777777" w:rsidR="008C5CFA" w:rsidRPr="00601E29" w:rsidRDefault="008C5CFA" w:rsidP="00300A01">
            <w:pPr>
              <w:spacing w:before="0" w:after="0"/>
              <w:jc w:val="right"/>
              <w:rPr>
                <w:sz w:val="10"/>
                <w:szCs w:val="10"/>
                <w:lang w:val="fr-BE"/>
              </w:rPr>
            </w:pPr>
          </w:p>
        </w:tc>
      </w:tr>
      <w:tr w:rsidR="006B2EC1" w14:paraId="7A581D07" w14:textId="77777777" w:rsidTr="0047688D">
        <w:tc>
          <w:tcPr>
            <w:tcW w:w="0" w:type="auto"/>
            <w:shd w:val="clear" w:color="auto" w:fill="auto"/>
          </w:tcPr>
          <w:p w14:paraId="38018FAE" w14:textId="77777777" w:rsidR="008C5CFA" w:rsidRPr="00601E29" w:rsidRDefault="00E82A60" w:rsidP="00300A01">
            <w:pPr>
              <w:spacing w:before="0" w:after="0"/>
              <w:rPr>
                <w:sz w:val="10"/>
                <w:szCs w:val="10"/>
                <w:lang w:val="fr-BE"/>
              </w:rPr>
            </w:pPr>
            <w:r w:rsidRPr="00601E29">
              <w:rPr>
                <w:noProof/>
                <w:sz w:val="10"/>
                <w:szCs w:val="10"/>
                <w:lang w:val="fr-BE"/>
              </w:rPr>
              <w:t>024</w:t>
            </w:r>
          </w:p>
        </w:tc>
        <w:tc>
          <w:tcPr>
            <w:tcW w:w="0" w:type="auto"/>
            <w:shd w:val="clear" w:color="auto" w:fill="auto"/>
          </w:tcPr>
          <w:p w14:paraId="2EF1E2D3" w14:textId="77777777" w:rsidR="008C5CFA" w:rsidRPr="00601E29" w:rsidRDefault="00E82A60" w:rsidP="00300A01">
            <w:pPr>
              <w:spacing w:before="0" w:after="0"/>
              <w:rPr>
                <w:sz w:val="10"/>
                <w:szCs w:val="10"/>
                <w:lang w:val="fr-BE"/>
              </w:rPr>
            </w:pPr>
            <w:r w:rsidRPr="00601E29">
              <w:rPr>
                <w:noProof/>
                <w:sz w:val="10"/>
                <w:szCs w:val="10"/>
                <w:lang w:val="fr-BE"/>
              </w:rPr>
              <w:t>Liczba osób pracujących 6 miesięcy po opuszczeniu programu  (łącznie  z pracującymi na własny rachunek) (C) - CR06 - Liczba osób z niepełnosprawnościami objętych wsparciem  w programie (C) - CO16</w:t>
            </w:r>
          </w:p>
        </w:tc>
        <w:tc>
          <w:tcPr>
            <w:tcW w:w="0" w:type="auto"/>
            <w:shd w:val="clear" w:color="auto" w:fill="auto"/>
          </w:tcPr>
          <w:p w14:paraId="10977F9D" w14:textId="77777777" w:rsidR="008C5CFA" w:rsidRPr="00601E29" w:rsidRDefault="00E82A60" w:rsidP="00300A01">
            <w:pPr>
              <w:spacing w:before="0" w:after="0"/>
              <w:rPr>
                <w:sz w:val="10"/>
                <w:szCs w:val="10"/>
                <w:lang w:val="fr-BE"/>
              </w:rPr>
            </w:pPr>
            <w:r w:rsidRPr="00601E29">
              <w:rPr>
                <w:noProof/>
                <w:sz w:val="10"/>
                <w:szCs w:val="10"/>
                <w:lang w:val="fr-BE"/>
              </w:rPr>
              <w:t>Słabiej rozwinięte</w:t>
            </w:r>
          </w:p>
        </w:tc>
        <w:tc>
          <w:tcPr>
            <w:tcW w:w="0" w:type="auto"/>
          </w:tcPr>
          <w:p w14:paraId="1F075E0A"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78AF5B5A"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7A5094F6"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006F9895"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543D3F4E"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4CB26F80"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746C5079" w14:textId="77777777" w:rsidR="008C5CFA" w:rsidRPr="00601E29" w:rsidRDefault="008C5CFA" w:rsidP="00300A01">
            <w:pPr>
              <w:spacing w:before="0" w:after="0"/>
              <w:jc w:val="right"/>
              <w:rPr>
                <w:sz w:val="10"/>
                <w:szCs w:val="10"/>
                <w:lang w:val="fr-BE"/>
              </w:rPr>
            </w:pPr>
          </w:p>
        </w:tc>
      </w:tr>
      <w:tr w:rsidR="006B2EC1" w14:paraId="6C4FA049" w14:textId="77777777" w:rsidTr="0047688D">
        <w:tc>
          <w:tcPr>
            <w:tcW w:w="0" w:type="auto"/>
            <w:shd w:val="clear" w:color="auto" w:fill="auto"/>
          </w:tcPr>
          <w:p w14:paraId="215E851D" w14:textId="77777777" w:rsidR="008C5CFA" w:rsidRPr="00601E29" w:rsidRDefault="00E82A60" w:rsidP="00300A01">
            <w:pPr>
              <w:spacing w:before="0" w:after="0"/>
              <w:rPr>
                <w:sz w:val="10"/>
                <w:szCs w:val="10"/>
                <w:lang w:val="fr-BE"/>
              </w:rPr>
            </w:pPr>
            <w:r w:rsidRPr="00601E29">
              <w:rPr>
                <w:noProof/>
                <w:sz w:val="10"/>
                <w:szCs w:val="10"/>
                <w:lang w:val="fr-BE"/>
              </w:rPr>
              <w:t>119</w:t>
            </w:r>
          </w:p>
        </w:tc>
        <w:tc>
          <w:tcPr>
            <w:tcW w:w="0" w:type="auto"/>
            <w:shd w:val="clear" w:color="auto" w:fill="auto"/>
          </w:tcPr>
          <w:p w14:paraId="42256ED8" w14:textId="77777777" w:rsidR="008C5CFA" w:rsidRPr="00601E29" w:rsidRDefault="00E82A60" w:rsidP="00300A01">
            <w:pPr>
              <w:spacing w:before="0" w:after="0"/>
              <w:rPr>
                <w:sz w:val="10"/>
                <w:szCs w:val="10"/>
                <w:lang w:val="fr-BE"/>
              </w:rPr>
            </w:pPr>
            <w:r w:rsidRPr="00601E29">
              <w:rPr>
                <w:noProof/>
                <w:sz w:val="10"/>
                <w:szCs w:val="10"/>
                <w:lang w:val="fr-BE"/>
              </w:rPr>
              <w:t>Liczba utworzonych mikroprzedsiębiorstw działających 30 miesięcy po uzyskaniu wsparcia finansowego</w:t>
            </w:r>
          </w:p>
        </w:tc>
        <w:tc>
          <w:tcPr>
            <w:tcW w:w="0" w:type="auto"/>
            <w:shd w:val="clear" w:color="auto" w:fill="auto"/>
          </w:tcPr>
          <w:p w14:paraId="311A2EFC" w14:textId="77777777" w:rsidR="008C5CFA" w:rsidRPr="00601E29" w:rsidRDefault="00E82A60" w:rsidP="00300A01">
            <w:pPr>
              <w:spacing w:before="0" w:after="0"/>
              <w:rPr>
                <w:sz w:val="10"/>
                <w:szCs w:val="10"/>
                <w:lang w:val="fr-BE"/>
              </w:rPr>
            </w:pPr>
            <w:r w:rsidRPr="00601E29">
              <w:rPr>
                <w:noProof/>
                <w:sz w:val="10"/>
                <w:szCs w:val="10"/>
                <w:lang w:val="fr-BE"/>
              </w:rPr>
              <w:t>Słabiej rozwinięte</w:t>
            </w:r>
          </w:p>
        </w:tc>
        <w:tc>
          <w:tcPr>
            <w:tcW w:w="0" w:type="auto"/>
          </w:tcPr>
          <w:p w14:paraId="54893D35"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2FFDF4EB"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3CA9ACF8"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545D7884"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20E5324D"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13C77F5B"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676D6F31" w14:textId="77777777" w:rsidR="008C5CFA" w:rsidRPr="00601E29" w:rsidRDefault="008C5CFA" w:rsidP="00300A01">
            <w:pPr>
              <w:spacing w:before="0" w:after="0"/>
              <w:jc w:val="right"/>
              <w:rPr>
                <w:sz w:val="10"/>
                <w:szCs w:val="10"/>
                <w:lang w:val="fr-BE"/>
              </w:rPr>
            </w:pPr>
          </w:p>
        </w:tc>
      </w:tr>
    </w:tbl>
    <w:p w14:paraId="45C50987" w14:textId="77777777" w:rsidR="008C5CFA" w:rsidRPr="007C3A6B" w:rsidRDefault="008C5CFA" w:rsidP="00300A01">
      <w:pPr>
        <w:spacing w:before="0" w:after="0"/>
        <w:rPr>
          <w:lang w:val="fr-BE"/>
        </w:rPr>
      </w:pPr>
    </w:p>
    <w:p w14:paraId="330B675F" w14:textId="77777777" w:rsidR="008C5CFA" w:rsidRDefault="00E82A60" w:rsidP="00300A01">
      <w:pPr>
        <w:spacing w:before="0" w:after="0"/>
        <w:rPr>
          <w:lang w:val="fr-BE"/>
        </w:rPr>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2"/>
        <w:gridCol w:w="13382"/>
      </w:tblGrid>
      <w:tr w:rsidR="006B2EC1" w14:paraId="328CF183" w14:textId="77777777" w:rsidTr="0047688D">
        <w:tc>
          <w:tcPr>
            <w:tcW w:w="0" w:type="auto"/>
            <w:shd w:val="clear" w:color="auto" w:fill="auto"/>
          </w:tcPr>
          <w:p w14:paraId="57896D7E" w14:textId="77777777" w:rsidR="008C5CFA" w:rsidRPr="002124FC" w:rsidRDefault="00E82A60" w:rsidP="00300A01">
            <w:pPr>
              <w:spacing w:before="0" w:after="0"/>
              <w:rPr>
                <w:sz w:val="20"/>
                <w:szCs w:val="20"/>
                <w:lang w:val="fr-BE"/>
              </w:rPr>
            </w:pPr>
            <w:r>
              <w:rPr>
                <w:lang w:val="fr-BE"/>
              </w:rPr>
              <w:lastRenderedPageBreak/>
              <w:br w:type="page"/>
            </w:r>
            <w:r>
              <w:rPr>
                <w:lang w:val="fr-BE"/>
              </w:rPr>
              <w:br w:type="page"/>
            </w:r>
            <w:r w:rsidRPr="002124FC">
              <w:rPr>
                <w:noProof/>
                <w:sz w:val="20"/>
                <w:szCs w:val="20"/>
                <w:lang w:val="fr-BE"/>
              </w:rPr>
              <w:t>Oś priorytetowa</w:t>
            </w:r>
          </w:p>
        </w:tc>
        <w:tc>
          <w:tcPr>
            <w:tcW w:w="0" w:type="auto"/>
            <w:shd w:val="clear" w:color="auto" w:fill="auto"/>
          </w:tcPr>
          <w:p w14:paraId="4E3A6DA3" w14:textId="77777777" w:rsidR="008C5CFA" w:rsidRPr="002124FC" w:rsidRDefault="00E82A60" w:rsidP="00300A01">
            <w:pPr>
              <w:spacing w:before="0" w:after="0"/>
              <w:rPr>
                <w:sz w:val="20"/>
                <w:szCs w:val="20"/>
                <w:lang w:val="fr-BE"/>
              </w:rPr>
            </w:pPr>
            <w:r w:rsidRPr="002124FC">
              <w:rPr>
                <w:noProof/>
                <w:sz w:val="20"/>
                <w:szCs w:val="20"/>
                <w:lang w:val="fr-BE"/>
              </w:rPr>
              <w:t>10</w:t>
            </w:r>
            <w:r w:rsidRPr="002124FC">
              <w:rPr>
                <w:sz w:val="20"/>
                <w:szCs w:val="20"/>
                <w:lang w:val="fr-BE"/>
              </w:rPr>
              <w:t xml:space="preserve"> - </w:t>
            </w:r>
            <w:r w:rsidRPr="002124FC">
              <w:rPr>
                <w:noProof/>
                <w:sz w:val="20"/>
                <w:szCs w:val="20"/>
                <w:lang w:val="fr-BE"/>
              </w:rPr>
              <w:t>Otwarty rynek pracy</w:t>
            </w:r>
          </w:p>
        </w:tc>
      </w:tr>
      <w:tr w:rsidR="006B2EC1" w14:paraId="35F78B1E" w14:textId="77777777" w:rsidTr="0047688D">
        <w:tc>
          <w:tcPr>
            <w:tcW w:w="0" w:type="auto"/>
            <w:shd w:val="clear" w:color="auto" w:fill="auto"/>
          </w:tcPr>
          <w:p w14:paraId="641A0C9F" w14:textId="77777777" w:rsidR="008C5CFA" w:rsidRPr="002124FC" w:rsidRDefault="00E82A60"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14:paraId="56632E64" w14:textId="77777777" w:rsidR="008C5CFA" w:rsidRPr="002124FC" w:rsidRDefault="00E82A60" w:rsidP="00300A01">
            <w:pPr>
              <w:spacing w:before="0" w:after="0"/>
              <w:rPr>
                <w:sz w:val="20"/>
                <w:szCs w:val="20"/>
                <w:lang w:val="fr-BE"/>
              </w:rPr>
            </w:pPr>
            <w:r w:rsidRPr="002124FC">
              <w:rPr>
                <w:noProof/>
                <w:sz w:val="20"/>
                <w:szCs w:val="20"/>
                <w:lang w:val="fr-BE"/>
              </w:rPr>
              <w:t>8i</w:t>
            </w:r>
            <w:r w:rsidRPr="002124FC">
              <w:rPr>
                <w:sz w:val="20"/>
                <w:szCs w:val="20"/>
                <w:lang w:val="fr-BE"/>
              </w:rPr>
              <w:t xml:space="preserve"> - </w:t>
            </w:r>
            <w:r w:rsidRPr="002124FC">
              <w:rPr>
                <w:noProof/>
                <w:sz w:val="20"/>
                <w:szCs w:val="20"/>
                <w:lang w:val="fr-BE"/>
              </w:rPr>
              <w:t>Dostęp do zatrudnienia dla osób poszukujących pracy i osób biernych zawodowo, w tym długotrwale bezrobotnych oraz oddalonych od rynku pracy, także poprzez lokalne inicjatywy w zakresie zatrudnienia i wspieranie mobilności pracowników</w:t>
            </w:r>
          </w:p>
        </w:tc>
      </w:tr>
    </w:tbl>
    <w:p w14:paraId="74A0E11A" w14:textId="77777777" w:rsidR="008C5CFA" w:rsidRDefault="008C5CFA" w:rsidP="00300A01">
      <w:pPr>
        <w:spacing w:before="0" w:after="0"/>
      </w:pPr>
    </w:p>
    <w:p w14:paraId="5AE88F2A" w14:textId="77777777" w:rsidR="008C5CFA" w:rsidRPr="008E457C" w:rsidRDefault="00E82A60" w:rsidP="00300A01">
      <w:pPr>
        <w:pStyle w:val="Nagwek2"/>
        <w:spacing w:before="0" w:after="0"/>
        <w:rPr>
          <w:b w:val="0"/>
        </w:rPr>
      </w:pPr>
      <w:bookmarkStart w:id="13" w:name="_Toc46391697"/>
      <w:r w:rsidRPr="008E457C">
        <w:rPr>
          <w:b w:val="0"/>
          <w:noProof/>
          <w:lang w:val="fr-BE"/>
        </w:rPr>
        <w:t>Tabela 4A</w:t>
      </w:r>
      <w:r w:rsidRPr="008E457C">
        <w:rPr>
          <w:b w:val="0"/>
        </w:rPr>
        <w:t xml:space="preserve"> : </w:t>
      </w:r>
      <w:r w:rsidRPr="008E457C">
        <w:rPr>
          <w:b w:val="0"/>
          <w:noProof/>
          <w:lang w:val="fr-BE"/>
        </w:rPr>
        <w:t>Wspólne wskaźniki produktu dla EFS oraz Inicjatywy na rzecz zatrudnienia ludzi młodych</w:t>
      </w:r>
      <w:r w:rsidR="00A11A16">
        <w:rPr>
          <w:b w:val="0"/>
        </w:rPr>
        <w:t xml:space="preserve"> - </w:t>
      </w:r>
      <w:r w:rsidR="00A11A16" w:rsidRPr="002124FC">
        <w:rPr>
          <w:noProof/>
          <w:sz w:val="20"/>
          <w:szCs w:val="20"/>
          <w:lang w:val="fr-BE"/>
        </w:rPr>
        <w:t>10</w:t>
      </w:r>
      <w:r w:rsidR="00A11A16">
        <w:rPr>
          <w:sz w:val="20"/>
          <w:szCs w:val="20"/>
          <w:lang w:val="fr-BE"/>
        </w:rPr>
        <w:t xml:space="preserve"> / </w:t>
      </w:r>
      <w:r w:rsidR="00A11A16" w:rsidRPr="002124FC">
        <w:rPr>
          <w:noProof/>
          <w:sz w:val="20"/>
          <w:szCs w:val="20"/>
          <w:lang w:val="fr-BE"/>
        </w:rPr>
        <w:t>8i</w:t>
      </w:r>
      <w:bookmarkEnd w:id="13"/>
    </w:p>
    <w:p w14:paraId="26C92DAE" w14:textId="77777777" w:rsidR="008C5CFA" w:rsidRDefault="008C5CFA" w:rsidP="00300A01">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01"/>
        <w:gridCol w:w="6714"/>
        <w:gridCol w:w="1007"/>
        <w:gridCol w:w="594"/>
        <w:gridCol w:w="654"/>
        <w:gridCol w:w="594"/>
        <w:gridCol w:w="594"/>
        <w:gridCol w:w="654"/>
        <w:gridCol w:w="594"/>
        <w:gridCol w:w="514"/>
        <w:gridCol w:w="654"/>
        <w:gridCol w:w="521"/>
        <w:gridCol w:w="514"/>
        <w:gridCol w:w="654"/>
        <w:gridCol w:w="521"/>
      </w:tblGrid>
      <w:tr w:rsidR="006B2EC1" w14:paraId="5257DA20" w14:textId="77777777" w:rsidTr="0047688D">
        <w:trPr>
          <w:cantSplit/>
          <w:tblHeader/>
        </w:trPr>
        <w:tc>
          <w:tcPr>
            <w:tcW w:w="0" w:type="auto"/>
            <w:shd w:val="clear" w:color="auto" w:fill="auto"/>
          </w:tcPr>
          <w:p w14:paraId="0EEA2383" w14:textId="77777777" w:rsidR="008C5CFA" w:rsidRPr="00F53019" w:rsidRDefault="00E82A60" w:rsidP="00300A01">
            <w:pPr>
              <w:spacing w:before="0" w:after="0"/>
              <w:rPr>
                <w:b/>
                <w:sz w:val="12"/>
                <w:szCs w:val="12"/>
                <w:lang w:val="fr-BE"/>
              </w:rPr>
            </w:pPr>
            <w:r w:rsidRPr="00F53019">
              <w:rPr>
                <w:b/>
                <w:noProof/>
                <w:sz w:val="12"/>
                <w:szCs w:val="12"/>
                <w:lang w:val="fr-BE"/>
              </w:rPr>
              <w:t>ID</w:t>
            </w:r>
          </w:p>
        </w:tc>
        <w:tc>
          <w:tcPr>
            <w:tcW w:w="0" w:type="auto"/>
            <w:shd w:val="clear" w:color="auto" w:fill="auto"/>
          </w:tcPr>
          <w:p w14:paraId="47610E03" w14:textId="77777777" w:rsidR="008C5CFA" w:rsidRPr="00F53019" w:rsidRDefault="00E82A60" w:rsidP="00300A01">
            <w:pPr>
              <w:spacing w:before="0" w:after="0"/>
              <w:rPr>
                <w:b/>
                <w:sz w:val="12"/>
                <w:szCs w:val="12"/>
                <w:lang w:val="fr-BE"/>
              </w:rPr>
            </w:pPr>
            <w:r w:rsidRPr="00F53019">
              <w:rPr>
                <w:b/>
                <w:noProof/>
                <w:sz w:val="12"/>
                <w:szCs w:val="12"/>
                <w:lang w:val="fr-BE"/>
              </w:rPr>
              <w:t>Wskaźnik</w:t>
            </w:r>
          </w:p>
        </w:tc>
        <w:tc>
          <w:tcPr>
            <w:tcW w:w="0" w:type="auto"/>
            <w:shd w:val="clear" w:color="auto" w:fill="auto"/>
          </w:tcPr>
          <w:p w14:paraId="7163767C" w14:textId="77777777" w:rsidR="008C5CFA" w:rsidRPr="00F53019" w:rsidRDefault="00E82A60" w:rsidP="00300A01">
            <w:pPr>
              <w:spacing w:before="0" w:after="0"/>
              <w:rPr>
                <w:b/>
                <w:sz w:val="12"/>
                <w:szCs w:val="12"/>
                <w:lang w:val="fr-BE"/>
              </w:rPr>
            </w:pPr>
            <w:r w:rsidRPr="00F53019">
              <w:rPr>
                <w:b/>
                <w:noProof/>
                <w:sz w:val="12"/>
                <w:szCs w:val="12"/>
                <w:lang w:val="fr-BE"/>
              </w:rPr>
              <w:t>Kategoria regionu</w:t>
            </w:r>
          </w:p>
        </w:tc>
        <w:tc>
          <w:tcPr>
            <w:tcW w:w="0" w:type="auto"/>
            <w:gridSpan w:val="3"/>
            <w:shd w:val="clear" w:color="auto" w:fill="auto"/>
          </w:tcPr>
          <w:p w14:paraId="0FC55462" w14:textId="77777777" w:rsidR="008C5CFA" w:rsidRPr="00F53019" w:rsidRDefault="00E82A60" w:rsidP="00300A01">
            <w:pPr>
              <w:spacing w:before="0" w:after="0"/>
              <w:jc w:val="center"/>
              <w:rPr>
                <w:b/>
                <w:sz w:val="12"/>
                <w:szCs w:val="12"/>
                <w:lang w:val="fr-BE"/>
              </w:rPr>
            </w:pPr>
            <w:r w:rsidRPr="00F53019">
              <w:rPr>
                <w:b/>
                <w:noProof/>
                <w:sz w:val="12"/>
                <w:szCs w:val="12"/>
                <w:lang w:val="fr-BE"/>
              </w:rPr>
              <w:t>Wartość docelowa (2023)</w:t>
            </w:r>
          </w:p>
        </w:tc>
        <w:tc>
          <w:tcPr>
            <w:tcW w:w="0" w:type="auto"/>
            <w:gridSpan w:val="3"/>
            <w:shd w:val="clear" w:color="auto" w:fill="auto"/>
          </w:tcPr>
          <w:p w14:paraId="2042E548" w14:textId="77777777" w:rsidR="008C5CFA" w:rsidRPr="00F53019" w:rsidRDefault="00E82A60" w:rsidP="00300A01">
            <w:pPr>
              <w:spacing w:before="0" w:after="0"/>
              <w:jc w:val="center"/>
              <w:rPr>
                <w:b/>
                <w:sz w:val="12"/>
                <w:szCs w:val="12"/>
                <w:lang w:val="fr-BE"/>
              </w:rPr>
            </w:pPr>
            <w:r w:rsidRPr="00F53019">
              <w:rPr>
                <w:b/>
                <w:noProof/>
                <w:sz w:val="12"/>
                <w:szCs w:val="12"/>
                <w:lang w:val="fr-BE"/>
              </w:rPr>
              <w:t>Wartość skumulowana</w:t>
            </w:r>
          </w:p>
        </w:tc>
        <w:tc>
          <w:tcPr>
            <w:tcW w:w="0" w:type="auto"/>
            <w:gridSpan w:val="3"/>
            <w:shd w:val="clear" w:color="auto" w:fill="auto"/>
          </w:tcPr>
          <w:p w14:paraId="4162BF0B" w14:textId="77777777" w:rsidR="008C5CFA" w:rsidRPr="00F53019" w:rsidRDefault="00E82A60" w:rsidP="00300A01">
            <w:pPr>
              <w:spacing w:before="0" w:after="0"/>
              <w:jc w:val="center"/>
              <w:rPr>
                <w:b/>
                <w:sz w:val="12"/>
                <w:szCs w:val="12"/>
                <w:lang w:val="fr-BE"/>
              </w:rPr>
            </w:pPr>
            <w:r w:rsidRPr="00F53019">
              <w:rPr>
                <w:b/>
                <w:noProof/>
                <w:sz w:val="12"/>
                <w:szCs w:val="12"/>
                <w:lang w:val="fr-BE"/>
              </w:rPr>
              <w:t>Wskaźnik osiągnięć</w:t>
            </w:r>
          </w:p>
        </w:tc>
        <w:tc>
          <w:tcPr>
            <w:tcW w:w="0" w:type="auto"/>
            <w:gridSpan w:val="3"/>
          </w:tcPr>
          <w:p w14:paraId="0447D234" w14:textId="77777777" w:rsidR="008C5CFA" w:rsidRPr="00F53019" w:rsidRDefault="0047688D" w:rsidP="00300A01">
            <w:pPr>
              <w:spacing w:before="0" w:after="0"/>
              <w:jc w:val="center"/>
              <w:rPr>
                <w:b/>
                <w:sz w:val="12"/>
                <w:szCs w:val="12"/>
                <w:lang w:val="fr-BE"/>
              </w:rPr>
            </w:pPr>
            <w:r w:rsidRPr="008C2BD7">
              <w:rPr>
                <w:noProof/>
                <w:sz w:val="12"/>
                <w:szCs w:val="12"/>
              </w:rPr>
              <w:t>2019</w:t>
            </w:r>
          </w:p>
        </w:tc>
      </w:tr>
      <w:tr w:rsidR="006B2EC1" w14:paraId="229722B4" w14:textId="77777777" w:rsidTr="0047688D">
        <w:trPr>
          <w:cantSplit/>
          <w:tblHeader/>
        </w:trPr>
        <w:tc>
          <w:tcPr>
            <w:tcW w:w="0" w:type="auto"/>
            <w:shd w:val="clear" w:color="auto" w:fill="auto"/>
          </w:tcPr>
          <w:p w14:paraId="0F57D12C" w14:textId="77777777" w:rsidR="008C5CFA" w:rsidRPr="00F53019" w:rsidRDefault="008C5CFA" w:rsidP="00300A01">
            <w:pPr>
              <w:spacing w:before="0" w:after="0"/>
              <w:rPr>
                <w:b/>
                <w:sz w:val="12"/>
                <w:szCs w:val="12"/>
                <w:lang w:val="fr-BE"/>
              </w:rPr>
            </w:pPr>
          </w:p>
        </w:tc>
        <w:tc>
          <w:tcPr>
            <w:tcW w:w="0" w:type="auto"/>
            <w:shd w:val="clear" w:color="auto" w:fill="auto"/>
          </w:tcPr>
          <w:p w14:paraId="37004CC4" w14:textId="77777777" w:rsidR="008C5CFA" w:rsidRPr="00F53019" w:rsidRDefault="008C5CFA" w:rsidP="00300A01">
            <w:pPr>
              <w:spacing w:before="0" w:after="0"/>
              <w:rPr>
                <w:b/>
                <w:sz w:val="12"/>
                <w:szCs w:val="12"/>
                <w:lang w:val="fr-BE"/>
              </w:rPr>
            </w:pPr>
          </w:p>
        </w:tc>
        <w:tc>
          <w:tcPr>
            <w:tcW w:w="0" w:type="auto"/>
            <w:shd w:val="clear" w:color="auto" w:fill="auto"/>
          </w:tcPr>
          <w:p w14:paraId="218DD57E" w14:textId="77777777" w:rsidR="008C5CFA" w:rsidRPr="00F53019" w:rsidRDefault="008C5CFA" w:rsidP="00300A01">
            <w:pPr>
              <w:spacing w:before="0" w:after="0"/>
              <w:rPr>
                <w:b/>
                <w:sz w:val="12"/>
                <w:szCs w:val="12"/>
                <w:lang w:val="fr-BE"/>
              </w:rPr>
            </w:pPr>
          </w:p>
        </w:tc>
        <w:tc>
          <w:tcPr>
            <w:tcW w:w="0" w:type="auto"/>
            <w:shd w:val="clear" w:color="auto" w:fill="auto"/>
          </w:tcPr>
          <w:p w14:paraId="594417E4" w14:textId="77777777" w:rsidR="008C5CFA" w:rsidRPr="00F53019" w:rsidRDefault="00E82A60" w:rsidP="00300A01">
            <w:pPr>
              <w:spacing w:before="0" w:after="0"/>
              <w:jc w:val="center"/>
              <w:rPr>
                <w:b/>
                <w:sz w:val="12"/>
                <w:szCs w:val="12"/>
                <w:lang w:val="fr-BE"/>
              </w:rPr>
            </w:pPr>
            <w:r w:rsidRPr="00F53019">
              <w:rPr>
                <w:b/>
                <w:noProof/>
                <w:sz w:val="12"/>
                <w:szCs w:val="12"/>
                <w:lang w:val="fr-BE"/>
              </w:rPr>
              <w:t>Ogółem</w:t>
            </w:r>
          </w:p>
        </w:tc>
        <w:tc>
          <w:tcPr>
            <w:tcW w:w="0" w:type="auto"/>
            <w:shd w:val="clear" w:color="auto" w:fill="auto"/>
          </w:tcPr>
          <w:p w14:paraId="24556CDB" w14:textId="77777777" w:rsidR="008C5CFA" w:rsidRPr="00F53019" w:rsidRDefault="00E82A60"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14:paraId="7C3DDE07" w14:textId="77777777" w:rsidR="008C5CFA" w:rsidRPr="00F53019" w:rsidRDefault="00E82A60" w:rsidP="00300A01">
            <w:pPr>
              <w:spacing w:before="0" w:after="0"/>
              <w:jc w:val="center"/>
              <w:rPr>
                <w:b/>
                <w:sz w:val="12"/>
                <w:szCs w:val="12"/>
                <w:lang w:val="fr-BE"/>
              </w:rPr>
            </w:pPr>
            <w:r w:rsidRPr="00F53019">
              <w:rPr>
                <w:b/>
                <w:noProof/>
                <w:sz w:val="12"/>
                <w:szCs w:val="12"/>
                <w:lang w:val="fr-BE"/>
              </w:rPr>
              <w:t>Kobiety</w:t>
            </w:r>
          </w:p>
        </w:tc>
        <w:tc>
          <w:tcPr>
            <w:tcW w:w="0" w:type="auto"/>
            <w:shd w:val="clear" w:color="auto" w:fill="auto"/>
          </w:tcPr>
          <w:p w14:paraId="6C7BB5E4" w14:textId="77777777" w:rsidR="008C5CFA" w:rsidRPr="00F53019" w:rsidRDefault="00E82A60" w:rsidP="00300A01">
            <w:pPr>
              <w:spacing w:before="0" w:after="0"/>
              <w:jc w:val="center"/>
              <w:rPr>
                <w:b/>
                <w:sz w:val="12"/>
                <w:szCs w:val="12"/>
                <w:lang w:val="fr-BE"/>
              </w:rPr>
            </w:pPr>
            <w:r w:rsidRPr="00F53019">
              <w:rPr>
                <w:b/>
                <w:noProof/>
                <w:sz w:val="12"/>
                <w:szCs w:val="12"/>
                <w:lang w:val="fr-BE"/>
              </w:rPr>
              <w:t>Ogółem</w:t>
            </w:r>
          </w:p>
        </w:tc>
        <w:tc>
          <w:tcPr>
            <w:tcW w:w="0" w:type="auto"/>
            <w:shd w:val="clear" w:color="auto" w:fill="auto"/>
          </w:tcPr>
          <w:p w14:paraId="60FDD5B3" w14:textId="77777777" w:rsidR="008C5CFA" w:rsidRPr="00F53019" w:rsidRDefault="00E82A60"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14:paraId="04FC2732" w14:textId="77777777" w:rsidR="008C5CFA" w:rsidRPr="00F53019" w:rsidRDefault="00E82A60" w:rsidP="00300A01">
            <w:pPr>
              <w:spacing w:before="0" w:after="0"/>
              <w:jc w:val="center"/>
              <w:rPr>
                <w:b/>
                <w:sz w:val="12"/>
                <w:szCs w:val="12"/>
                <w:lang w:val="fr-BE"/>
              </w:rPr>
            </w:pPr>
            <w:r w:rsidRPr="00F53019">
              <w:rPr>
                <w:b/>
                <w:noProof/>
                <w:sz w:val="12"/>
                <w:szCs w:val="12"/>
                <w:lang w:val="fr-BE"/>
              </w:rPr>
              <w:t>Kobiety</w:t>
            </w:r>
          </w:p>
        </w:tc>
        <w:tc>
          <w:tcPr>
            <w:tcW w:w="0" w:type="auto"/>
            <w:shd w:val="clear" w:color="auto" w:fill="auto"/>
          </w:tcPr>
          <w:p w14:paraId="5878639B" w14:textId="77777777" w:rsidR="008C5CFA" w:rsidRPr="00F53019" w:rsidRDefault="00E82A60" w:rsidP="00300A01">
            <w:pPr>
              <w:spacing w:before="0" w:after="0"/>
              <w:jc w:val="center"/>
              <w:rPr>
                <w:b/>
                <w:sz w:val="12"/>
                <w:szCs w:val="12"/>
                <w:lang w:val="fr-BE"/>
              </w:rPr>
            </w:pPr>
            <w:r w:rsidRPr="00F53019">
              <w:rPr>
                <w:b/>
                <w:noProof/>
                <w:sz w:val="12"/>
                <w:szCs w:val="12"/>
                <w:lang w:val="fr-BE"/>
              </w:rPr>
              <w:t>Ogółem</w:t>
            </w:r>
          </w:p>
        </w:tc>
        <w:tc>
          <w:tcPr>
            <w:tcW w:w="0" w:type="auto"/>
            <w:shd w:val="clear" w:color="auto" w:fill="auto"/>
          </w:tcPr>
          <w:p w14:paraId="1D92253A" w14:textId="77777777" w:rsidR="008C5CFA" w:rsidRPr="00F53019" w:rsidRDefault="00E82A60"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14:paraId="0AAAD57A" w14:textId="77777777" w:rsidR="008C5CFA" w:rsidRPr="00F53019" w:rsidRDefault="00E82A60" w:rsidP="00300A01">
            <w:pPr>
              <w:spacing w:before="0" w:after="0"/>
              <w:jc w:val="center"/>
              <w:rPr>
                <w:b/>
                <w:sz w:val="12"/>
                <w:szCs w:val="12"/>
                <w:lang w:val="fr-BE"/>
              </w:rPr>
            </w:pPr>
            <w:r w:rsidRPr="00F53019">
              <w:rPr>
                <w:b/>
                <w:noProof/>
                <w:sz w:val="12"/>
                <w:szCs w:val="12"/>
                <w:lang w:val="fr-BE"/>
              </w:rPr>
              <w:t>Kobiety</w:t>
            </w:r>
          </w:p>
        </w:tc>
        <w:tc>
          <w:tcPr>
            <w:tcW w:w="0" w:type="auto"/>
          </w:tcPr>
          <w:p w14:paraId="56CC4DA9" w14:textId="77777777" w:rsidR="008C5CFA" w:rsidRPr="00F53019" w:rsidRDefault="00E82A60" w:rsidP="00300A01">
            <w:pPr>
              <w:spacing w:before="0" w:after="0"/>
              <w:jc w:val="center"/>
              <w:rPr>
                <w:b/>
                <w:sz w:val="12"/>
                <w:szCs w:val="12"/>
                <w:lang w:val="fr-BE"/>
              </w:rPr>
            </w:pPr>
            <w:r w:rsidRPr="00F53019">
              <w:rPr>
                <w:b/>
                <w:noProof/>
                <w:sz w:val="12"/>
                <w:szCs w:val="12"/>
                <w:lang w:val="fr-BE"/>
              </w:rPr>
              <w:t>Ogółem</w:t>
            </w:r>
          </w:p>
        </w:tc>
        <w:tc>
          <w:tcPr>
            <w:tcW w:w="0" w:type="auto"/>
            <w:shd w:val="clear" w:color="auto" w:fill="auto"/>
          </w:tcPr>
          <w:p w14:paraId="76CC29E7" w14:textId="77777777" w:rsidR="008C5CFA" w:rsidRPr="00F53019" w:rsidRDefault="00E82A60"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14:paraId="11707723" w14:textId="77777777" w:rsidR="008C5CFA" w:rsidRPr="00F53019" w:rsidRDefault="00E82A60" w:rsidP="00300A01">
            <w:pPr>
              <w:spacing w:before="0" w:after="0"/>
              <w:jc w:val="center"/>
              <w:rPr>
                <w:b/>
                <w:sz w:val="12"/>
                <w:szCs w:val="12"/>
                <w:lang w:val="fr-BE"/>
              </w:rPr>
            </w:pPr>
            <w:r w:rsidRPr="00F53019">
              <w:rPr>
                <w:b/>
                <w:noProof/>
                <w:sz w:val="12"/>
                <w:szCs w:val="12"/>
                <w:lang w:val="fr-BE"/>
              </w:rPr>
              <w:t>Kobiety</w:t>
            </w:r>
          </w:p>
        </w:tc>
      </w:tr>
      <w:tr w:rsidR="006B2EC1" w14:paraId="5BD4F66F" w14:textId="77777777" w:rsidTr="0047688D">
        <w:tc>
          <w:tcPr>
            <w:tcW w:w="0" w:type="auto"/>
            <w:shd w:val="clear" w:color="auto" w:fill="auto"/>
          </w:tcPr>
          <w:p w14:paraId="1B1B1495" w14:textId="77777777" w:rsidR="008C5CFA" w:rsidRPr="00BA47B4" w:rsidRDefault="00E82A60" w:rsidP="00300A01">
            <w:pPr>
              <w:spacing w:before="0" w:after="0"/>
              <w:rPr>
                <w:sz w:val="12"/>
                <w:szCs w:val="12"/>
                <w:lang w:val="fr-BE"/>
              </w:rPr>
            </w:pPr>
            <w:r>
              <w:rPr>
                <w:noProof/>
                <w:sz w:val="12"/>
                <w:szCs w:val="12"/>
                <w:lang w:val="fr-BE"/>
              </w:rPr>
              <w:t>CO01</w:t>
            </w:r>
          </w:p>
        </w:tc>
        <w:tc>
          <w:tcPr>
            <w:tcW w:w="0" w:type="auto"/>
            <w:shd w:val="clear" w:color="auto" w:fill="auto"/>
          </w:tcPr>
          <w:p w14:paraId="78F14CA7" w14:textId="77777777" w:rsidR="008C5CFA" w:rsidRPr="00BA47B4" w:rsidRDefault="00E82A60" w:rsidP="00300A01">
            <w:pPr>
              <w:spacing w:before="0" w:after="0"/>
              <w:rPr>
                <w:sz w:val="12"/>
                <w:szCs w:val="12"/>
                <w:lang w:val="fr-BE"/>
              </w:rPr>
            </w:pPr>
            <w:r>
              <w:rPr>
                <w:noProof/>
                <w:sz w:val="12"/>
                <w:szCs w:val="12"/>
                <w:lang w:val="fr-BE"/>
              </w:rPr>
              <w:t>bezrobotni, w tym długotrwale bezrobotni</w:t>
            </w:r>
          </w:p>
        </w:tc>
        <w:tc>
          <w:tcPr>
            <w:tcW w:w="0" w:type="auto"/>
            <w:shd w:val="clear" w:color="auto" w:fill="auto"/>
          </w:tcPr>
          <w:p w14:paraId="5C16892B" w14:textId="77777777" w:rsidR="008C5CFA" w:rsidRPr="00BA47B4" w:rsidRDefault="00E82A60"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14:paraId="6799230A" w14:textId="77777777" w:rsidR="008C5CFA" w:rsidRPr="00BA47B4" w:rsidRDefault="00E82A60" w:rsidP="00300A01">
            <w:pPr>
              <w:spacing w:before="0" w:after="0"/>
              <w:jc w:val="right"/>
              <w:rPr>
                <w:sz w:val="12"/>
                <w:szCs w:val="12"/>
                <w:lang w:val="fr-BE"/>
              </w:rPr>
            </w:pPr>
            <w:r>
              <w:rPr>
                <w:noProof/>
                <w:sz w:val="12"/>
                <w:szCs w:val="12"/>
                <w:lang w:val="fr-BE"/>
              </w:rPr>
              <w:t>29 790,00</w:t>
            </w:r>
          </w:p>
        </w:tc>
        <w:tc>
          <w:tcPr>
            <w:tcW w:w="0" w:type="auto"/>
            <w:shd w:val="clear" w:color="auto" w:fill="auto"/>
          </w:tcPr>
          <w:p w14:paraId="78E23077" w14:textId="77777777" w:rsidR="008C5CFA" w:rsidRPr="00BA47B4" w:rsidRDefault="00E82A60" w:rsidP="00300A01">
            <w:pPr>
              <w:spacing w:before="0" w:after="0"/>
              <w:jc w:val="right"/>
              <w:rPr>
                <w:sz w:val="12"/>
                <w:szCs w:val="12"/>
                <w:lang w:val="fr-BE"/>
              </w:rPr>
            </w:pPr>
            <w:r>
              <w:rPr>
                <w:noProof/>
                <w:sz w:val="12"/>
                <w:szCs w:val="12"/>
                <w:lang w:val="fr-BE"/>
              </w:rPr>
              <w:t>12 154,00</w:t>
            </w:r>
          </w:p>
        </w:tc>
        <w:tc>
          <w:tcPr>
            <w:tcW w:w="0" w:type="auto"/>
            <w:shd w:val="clear" w:color="auto" w:fill="auto"/>
          </w:tcPr>
          <w:p w14:paraId="186A2C69" w14:textId="77777777" w:rsidR="008C5CFA" w:rsidRPr="00BA47B4" w:rsidRDefault="00E82A60" w:rsidP="00300A01">
            <w:pPr>
              <w:spacing w:before="0" w:after="0"/>
              <w:jc w:val="right"/>
              <w:rPr>
                <w:sz w:val="12"/>
                <w:szCs w:val="12"/>
                <w:lang w:val="fr-BE"/>
              </w:rPr>
            </w:pPr>
            <w:r>
              <w:rPr>
                <w:noProof/>
                <w:sz w:val="12"/>
                <w:szCs w:val="12"/>
                <w:lang w:val="fr-BE"/>
              </w:rPr>
              <w:t>17 636,00</w:t>
            </w:r>
          </w:p>
        </w:tc>
        <w:tc>
          <w:tcPr>
            <w:tcW w:w="0" w:type="auto"/>
            <w:shd w:val="clear" w:color="auto" w:fill="auto"/>
          </w:tcPr>
          <w:p w14:paraId="3C367044" w14:textId="77777777" w:rsidR="008C5CFA" w:rsidRPr="00BA47B4" w:rsidRDefault="00E82A60" w:rsidP="00300A01">
            <w:pPr>
              <w:spacing w:before="0" w:after="0"/>
              <w:jc w:val="right"/>
              <w:rPr>
                <w:sz w:val="12"/>
                <w:szCs w:val="12"/>
                <w:lang w:val="fr-BE"/>
              </w:rPr>
            </w:pPr>
            <w:r w:rsidRPr="00BA47B4">
              <w:rPr>
                <w:noProof/>
                <w:sz w:val="12"/>
                <w:szCs w:val="12"/>
                <w:lang w:val="fr-BE"/>
              </w:rPr>
              <w:t>19 823,00</w:t>
            </w:r>
          </w:p>
        </w:tc>
        <w:tc>
          <w:tcPr>
            <w:tcW w:w="0" w:type="auto"/>
            <w:shd w:val="clear" w:color="auto" w:fill="auto"/>
          </w:tcPr>
          <w:p w14:paraId="0F7DBC6B" w14:textId="77777777" w:rsidR="008C5CFA" w:rsidRPr="00BA47B4" w:rsidRDefault="00E82A60" w:rsidP="00300A01">
            <w:pPr>
              <w:spacing w:before="0" w:after="0"/>
              <w:jc w:val="right"/>
              <w:rPr>
                <w:sz w:val="12"/>
                <w:szCs w:val="12"/>
                <w:lang w:val="fr-BE"/>
              </w:rPr>
            </w:pPr>
            <w:r w:rsidRPr="00BA47B4">
              <w:rPr>
                <w:noProof/>
                <w:sz w:val="12"/>
                <w:szCs w:val="12"/>
                <w:lang w:val="fr-BE"/>
              </w:rPr>
              <w:t>8 346,00</w:t>
            </w:r>
          </w:p>
        </w:tc>
        <w:tc>
          <w:tcPr>
            <w:tcW w:w="0" w:type="auto"/>
            <w:shd w:val="clear" w:color="auto" w:fill="auto"/>
          </w:tcPr>
          <w:p w14:paraId="65B214EF" w14:textId="77777777" w:rsidR="008C5CFA" w:rsidRPr="00BA47B4" w:rsidRDefault="00E82A60" w:rsidP="00300A01">
            <w:pPr>
              <w:spacing w:before="0" w:after="0"/>
              <w:jc w:val="right"/>
              <w:rPr>
                <w:sz w:val="12"/>
                <w:szCs w:val="12"/>
                <w:lang w:val="fr-BE"/>
              </w:rPr>
            </w:pPr>
            <w:r w:rsidRPr="00BA47B4">
              <w:rPr>
                <w:noProof/>
                <w:sz w:val="12"/>
                <w:szCs w:val="12"/>
                <w:lang w:val="fr-BE"/>
              </w:rPr>
              <w:t>11 477,00</w:t>
            </w:r>
          </w:p>
        </w:tc>
        <w:tc>
          <w:tcPr>
            <w:tcW w:w="0" w:type="auto"/>
            <w:shd w:val="clear" w:color="auto" w:fill="auto"/>
          </w:tcPr>
          <w:p w14:paraId="7BD9FA46" w14:textId="77777777" w:rsidR="008C5CFA" w:rsidRPr="00BA47B4" w:rsidRDefault="00E82A60" w:rsidP="00300A01">
            <w:pPr>
              <w:spacing w:before="0" w:after="0"/>
              <w:jc w:val="right"/>
              <w:rPr>
                <w:sz w:val="12"/>
                <w:szCs w:val="12"/>
                <w:lang w:val="fr-BE"/>
              </w:rPr>
            </w:pPr>
            <w:r>
              <w:rPr>
                <w:noProof/>
                <w:sz w:val="12"/>
                <w:szCs w:val="12"/>
                <w:lang w:val="fr-BE"/>
              </w:rPr>
              <w:t>0,67</w:t>
            </w:r>
          </w:p>
        </w:tc>
        <w:tc>
          <w:tcPr>
            <w:tcW w:w="0" w:type="auto"/>
            <w:shd w:val="clear" w:color="auto" w:fill="auto"/>
          </w:tcPr>
          <w:p w14:paraId="74634D62" w14:textId="77777777" w:rsidR="008C5CFA" w:rsidRPr="00BA47B4" w:rsidRDefault="00E82A60" w:rsidP="00300A01">
            <w:pPr>
              <w:spacing w:before="0" w:after="0"/>
              <w:jc w:val="right"/>
              <w:rPr>
                <w:sz w:val="12"/>
                <w:szCs w:val="12"/>
                <w:lang w:val="fr-BE"/>
              </w:rPr>
            </w:pPr>
            <w:r>
              <w:rPr>
                <w:noProof/>
                <w:sz w:val="12"/>
                <w:szCs w:val="12"/>
                <w:lang w:val="fr-BE"/>
              </w:rPr>
              <w:t>0,69</w:t>
            </w:r>
          </w:p>
        </w:tc>
        <w:tc>
          <w:tcPr>
            <w:tcW w:w="0" w:type="auto"/>
            <w:shd w:val="clear" w:color="auto" w:fill="auto"/>
          </w:tcPr>
          <w:p w14:paraId="209C8F7B" w14:textId="77777777" w:rsidR="008C5CFA" w:rsidRPr="00BA47B4" w:rsidRDefault="00E82A60" w:rsidP="00300A01">
            <w:pPr>
              <w:spacing w:before="0" w:after="0"/>
              <w:jc w:val="right"/>
              <w:rPr>
                <w:sz w:val="12"/>
                <w:szCs w:val="12"/>
                <w:lang w:val="fr-BE"/>
              </w:rPr>
            </w:pPr>
            <w:r>
              <w:rPr>
                <w:noProof/>
                <w:sz w:val="12"/>
                <w:szCs w:val="12"/>
                <w:lang w:val="fr-BE"/>
              </w:rPr>
              <w:t>0,65</w:t>
            </w:r>
          </w:p>
        </w:tc>
        <w:tc>
          <w:tcPr>
            <w:tcW w:w="0" w:type="auto"/>
          </w:tcPr>
          <w:p w14:paraId="3139244C" w14:textId="77777777" w:rsidR="008C5CFA" w:rsidRPr="00A92B39" w:rsidRDefault="00E82A60" w:rsidP="00300A01">
            <w:pPr>
              <w:spacing w:before="0" w:after="0"/>
              <w:jc w:val="right"/>
              <w:rPr>
                <w:sz w:val="10"/>
                <w:szCs w:val="10"/>
                <w:lang w:val="fr-BE"/>
              </w:rPr>
            </w:pPr>
            <w:r w:rsidRPr="00A92B39">
              <w:rPr>
                <w:noProof/>
                <w:sz w:val="10"/>
                <w:szCs w:val="10"/>
                <w:lang w:val="fr-BE"/>
              </w:rPr>
              <w:t>3 797,00</w:t>
            </w:r>
          </w:p>
        </w:tc>
        <w:tc>
          <w:tcPr>
            <w:tcW w:w="0" w:type="auto"/>
            <w:shd w:val="clear" w:color="auto" w:fill="auto"/>
          </w:tcPr>
          <w:p w14:paraId="78323D70" w14:textId="77777777" w:rsidR="008C5CFA" w:rsidRPr="00A92B39" w:rsidRDefault="00E82A60" w:rsidP="00300A01">
            <w:pPr>
              <w:spacing w:before="0" w:after="0"/>
              <w:jc w:val="right"/>
              <w:rPr>
                <w:sz w:val="10"/>
                <w:szCs w:val="10"/>
                <w:lang w:val="fr-BE"/>
              </w:rPr>
            </w:pPr>
            <w:r w:rsidRPr="00A92B39">
              <w:rPr>
                <w:noProof/>
                <w:sz w:val="10"/>
                <w:szCs w:val="10"/>
                <w:lang w:val="fr-BE"/>
              </w:rPr>
              <w:t>1 572,00</w:t>
            </w:r>
          </w:p>
        </w:tc>
        <w:tc>
          <w:tcPr>
            <w:tcW w:w="0" w:type="auto"/>
            <w:shd w:val="clear" w:color="auto" w:fill="auto"/>
          </w:tcPr>
          <w:p w14:paraId="3A6BFCFB" w14:textId="77777777" w:rsidR="008C5CFA" w:rsidRPr="00BA47B4" w:rsidRDefault="00E82A60" w:rsidP="00300A01">
            <w:pPr>
              <w:spacing w:before="0" w:after="0"/>
              <w:jc w:val="right"/>
              <w:rPr>
                <w:sz w:val="12"/>
                <w:szCs w:val="12"/>
                <w:lang w:val="fr-BE"/>
              </w:rPr>
            </w:pPr>
            <w:r w:rsidRPr="00A92B39">
              <w:rPr>
                <w:noProof/>
                <w:sz w:val="10"/>
                <w:szCs w:val="10"/>
                <w:lang w:val="fr-BE"/>
              </w:rPr>
              <w:t>2 225,00</w:t>
            </w:r>
          </w:p>
        </w:tc>
      </w:tr>
      <w:tr w:rsidR="006B2EC1" w14:paraId="12418339" w14:textId="77777777" w:rsidTr="0047688D">
        <w:tc>
          <w:tcPr>
            <w:tcW w:w="0" w:type="auto"/>
            <w:shd w:val="clear" w:color="auto" w:fill="auto"/>
          </w:tcPr>
          <w:p w14:paraId="13FEE495" w14:textId="77777777" w:rsidR="008C5CFA" w:rsidRPr="00BA47B4" w:rsidRDefault="00E82A60" w:rsidP="00300A01">
            <w:pPr>
              <w:spacing w:before="0" w:after="0"/>
              <w:rPr>
                <w:sz w:val="12"/>
                <w:szCs w:val="12"/>
                <w:lang w:val="fr-BE"/>
              </w:rPr>
            </w:pPr>
            <w:r>
              <w:rPr>
                <w:noProof/>
                <w:sz w:val="12"/>
                <w:szCs w:val="12"/>
                <w:lang w:val="fr-BE"/>
              </w:rPr>
              <w:t>CO02</w:t>
            </w:r>
          </w:p>
        </w:tc>
        <w:tc>
          <w:tcPr>
            <w:tcW w:w="0" w:type="auto"/>
            <w:shd w:val="clear" w:color="auto" w:fill="auto"/>
          </w:tcPr>
          <w:p w14:paraId="3493DCF4" w14:textId="77777777" w:rsidR="008C5CFA" w:rsidRPr="00BA47B4" w:rsidRDefault="00E82A60" w:rsidP="00300A01">
            <w:pPr>
              <w:spacing w:before="0" w:after="0"/>
              <w:rPr>
                <w:sz w:val="12"/>
                <w:szCs w:val="12"/>
                <w:lang w:val="fr-BE"/>
              </w:rPr>
            </w:pPr>
            <w:r>
              <w:rPr>
                <w:noProof/>
                <w:sz w:val="12"/>
                <w:szCs w:val="12"/>
                <w:lang w:val="fr-BE"/>
              </w:rPr>
              <w:t>długotrwale bezrobotni</w:t>
            </w:r>
          </w:p>
        </w:tc>
        <w:tc>
          <w:tcPr>
            <w:tcW w:w="0" w:type="auto"/>
            <w:shd w:val="clear" w:color="auto" w:fill="auto"/>
          </w:tcPr>
          <w:p w14:paraId="279058A8" w14:textId="77777777" w:rsidR="008C5CFA" w:rsidRPr="00BA47B4" w:rsidRDefault="00E82A60"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14:paraId="67A5DA9A" w14:textId="77777777" w:rsidR="008C5CFA" w:rsidRPr="00BA47B4" w:rsidRDefault="00E82A60" w:rsidP="00300A01">
            <w:pPr>
              <w:spacing w:before="0" w:after="0"/>
              <w:jc w:val="right"/>
              <w:rPr>
                <w:sz w:val="12"/>
                <w:szCs w:val="12"/>
                <w:lang w:val="fr-BE"/>
              </w:rPr>
            </w:pPr>
            <w:r>
              <w:rPr>
                <w:noProof/>
                <w:sz w:val="12"/>
                <w:szCs w:val="12"/>
                <w:lang w:val="fr-BE"/>
              </w:rPr>
              <w:t>10 903,00</w:t>
            </w:r>
          </w:p>
        </w:tc>
        <w:tc>
          <w:tcPr>
            <w:tcW w:w="0" w:type="auto"/>
            <w:shd w:val="clear" w:color="auto" w:fill="auto"/>
          </w:tcPr>
          <w:p w14:paraId="60C04147" w14:textId="77777777" w:rsidR="008C5CFA" w:rsidRPr="00BA47B4" w:rsidRDefault="00E82A60" w:rsidP="00300A01">
            <w:pPr>
              <w:spacing w:before="0" w:after="0"/>
              <w:jc w:val="right"/>
              <w:rPr>
                <w:sz w:val="12"/>
                <w:szCs w:val="12"/>
                <w:lang w:val="fr-BE"/>
              </w:rPr>
            </w:pPr>
            <w:r>
              <w:rPr>
                <w:noProof/>
                <w:sz w:val="12"/>
                <w:szCs w:val="12"/>
                <w:lang w:val="fr-BE"/>
              </w:rPr>
              <w:t>3 827,00</w:t>
            </w:r>
          </w:p>
        </w:tc>
        <w:tc>
          <w:tcPr>
            <w:tcW w:w="0" w:type="auto"/>
            <w:shd w:val="clear" w:color="auto" w:fill="auto"/>
          </w:tcPr>
          <w:p w14:paraId="4A9519E2" w14:textId="77777777" w:rsidR="008C5CFA" w:rsidRPr="00BA47B4" w:rsidRDefault="00E82A60" w:rsidP="00300A01">
            <w:pPr>
              <w:spacing w:before="0" w:after="0"/>
              <w:jc w:val="right"/>
              <w:rPr>
                <w:sz w:val="12"/>
                <w:szCs w:val="12"/>
                <w:lang w:val="fr-BE"/>
              </w:rPr>
            </w:pPr>
            <w:r>
              <w:rPr>
                <w:noProof/>
                <w:sz w:val="12"/>
                <w:szCs w:val="12"/>
                <w:lang w:val="fr-BE"/>
              </w:rPr>
              <w:t>7 076,00</w:t>
            </w:r>
          </w:p>
        </w:tc>
        <w:tc>
          <w:tcPr>
            <w:tcW w:w="0" w:type="auto"/>
            <w:shd w:val="clear" w:color="auto" w:fill="auto"/>
          </w:tcPr>
          <w:p w14:paraId="550ECBD1" w14:textId="77777777" w:rsidR="008C5CFA" w:rsidRPr="00BA47B4" w:rsidRDefault="00E82A60" w:rsidP="00300A01">
            <w:pPr>
              <w:spacing w:before="0" w:after="0"/>
              <w:jc w:val="right"/>
              <w:rPr>
                <w:sz w:val="12"/>
                <w:szCs w:val="12"/>
                <w:lang w:val="fr-BE"/>
              </w:rPr>
            </w:pPr>
            <w:r w:rsidRPr="00BA47B4">
              <w:rPr>
                <w:noProof/>
                <w:sz w:val="12"/>
                <w:szCs w:val="12"/>
                <w:lang w:val="fr-BE"/>
              </w:rPr>
              <w:t>8 877,00</w:t>
            </w:r>
          </w:p>
        </w:tc>
        <w:tc>
          <w:tcPr>
            <w:tcW w:w="0" w:type="auto"/>
            <w:shd w:val="clear" w:color="auto" w:fill="auto"/>
          </w:tcPr>
          <w:p w14:paraId="33ADED2A" w14:textId="77777777" w:rsidR="008C5CFA" w:rsidRPr="00BA47B4" w:rsidRDefault="00E82A60" w:rsidP="00300A01">
            <w:pPr>
              <w:spacing w:before="0" w:after="0"/>
              <w:jc w:val="right"/>
              <w:rPr>
                <w:sz w:val="12"/>
                <w:szCs w:val="12"/>
                <w:lang w:val="fr-BE"/>
              </w:rPr>
            </w:pPr>
            <w:r w:rsidRPr="00BA47B4">
              <w:rPr>
                <w:noProof/>
                <w:sz w:val="12"/>
                <w:szCs w:val="12"/>
                <w:lang w:val="fr-BE"/>
              </w:rPr>
              <w:t>3 721,00</w:t>
            </w:r>
          </w:p>
        </w:tc>
        <w:tc>
          <w:tcPr>
            <w:tcW w:w="0" w:type="auto"/>
            <w:shd w:val="clear" w:color="auto" w:fill="auto"/>
          </w:tcPr>
          <w:p w14:paraId="32702EBD" w14:textId="77777777" w:rsidR="008C5CFA" w:rsidRPr="00BA47B4" w:rsidRDefault="00E82A60" w:rsidP="00300A01">
            <w:pPr>
              <w:spacing w:before="0" w:after="0"/>
              <w:jc w:val="right"/>
              <w:rPr>
                <w:sz w:val="12"/>
                <w:szCs w:val="12"/>
                <w:lang w:val="fr-BE"/>
              </w:rPr>
            </w:pPr>
            <w:r w:rsidRPr="00BA47B4">
              <w:rPr>
                <w:noProof/>
                <w:sz w:val="12"/>
                <w:szCs w:val="12"/>
                <w:lang w:val="fr-BE"/>
              </w:rPr>
              <w:t>5 156,00</w:t>
            </w:r>
          </w:p>
        </w:tc>
        <w:tc>
          <w:tcPr>
            <w:tcW w:w="0" w:type="auto"/>
            <w:shd w:val="clear" w:color="auto" w:fill="auto"/>
          </w:tcPr>
          <w:p w14:paraId="14BDD145" w14:textId="77777777" w:rsidR="008C5CFA" w:rsidRPr="00BA47B4" w:rsidRDefault="00E82A60" w:rsidP="00300A01">
            <w:pPr>
              <w:spacing w:before="0" w:after="0"/>
              <w:jc w:val="right"/>
              <w:rPr>
                <w:sz w:val="12"/>
                <w:szCs w:val="12"/>
                <w:lang w:val="fr-BE"/>
              </w:rPr>
            </w:pPr>
            <w:r>
              <w:rPr>
                <w:noProof/>
                <w:sz w:val="12"/>
                <w:szCs w:val="12"/>
                <w:lang w:val="fr-BE"/>
              </w:rPr>
              <w:t>0,81</w:t>
            </w:r>
          </w:p>
        </w:tc>
        <w:tc>
          <w:tcPr>
            <w:tcW w:w="0" w:type="auto"/>
            <w:shd w:val="clear" w:color="auto" w:fill="auto"/>
          </w:tcPr>
          <w:p w14:paraId="5111F7EB" w14:textId="77777777" w:rsidR="008C5CFA" w:rsidRPr="00BA47B4" w:rsidRDefault="00E82A60" w:rsidP="00300A01">
            <w:pPr>
              <w:spacing w:before="0" w:after="0"/>
              <w:jc w:val="right"/>
              <w:rPr>
                <w:sz w:val="12"/>
                <w:szCs w:val="12"/>
                <w:lang w:val="fr-BE"/>
              </w:rPr>
            </w:pPr>
            <w:r>
              <w:rPr>
                <w:noProof/>
                <w:sz w:val="12"/>
                <w:szCs w:val="12"/>
                <w:lang w:val="fr-BE"/>
              </w:rPr>
              <w:t>0,97</w:t>
            </w:r>
          </w:p>
        </w:tc>
        <w:tc>
          <w:tcPr>
            <w:tcW w:w="0" w:type="auto"/>
            <w:shd w:val="clear" w:color="auto" w:fill="auto"/>
          </w:tcPr>
          <w:p w14:paraId="3960C086" w14:textId="77777777" w:rsidR="008C5CFA" w:rsidRPr="00BA47B4" w:rsidRDefault="00E82A60" w:rsidP="00300A01">
            <w:pPr>
              <w:spacing w:before="0" w:after="0"/>
              <w:jc w:val="right"/>
              <w:rPr>
                <w:sz w:val="12"/>
                <w:szCs w:val="12"/>
                <w:lang w:val="fr-BE"/>
              </w:rPr>
            </w:pPr>
            <w:r>
              <w:rPr>
                <w:noProof/>
                <w:sz w:val="12"/>
                <w:szCs w:val="12"/>
                <w:lang w:val="fr-BE"/>
              </w:rPr>
              <w:t>0,73</w:t>
            </w:r>
          </w:p>
        </w:tc>
        <w:tc>
          <w:tcPr>
            <w:tcW w:w="0" w:type="auto"/>
          </w:tcPr>
          <w:p w14:paraId="4FC69977" w14:textId="77777777" w:rsidR="008C5CFA" w:rsidRPr="00A92B39" w:rsidRDefault="00E82A60" w:rsidP="00300A01">
            <w:pPr>
              <w:spacing w:before="0" w:after="0"/>
              <w:jc w:val="right"/>
              <w:rPr>
                <w:sz w:val="10"/>
                <w:szCs w:val="10"/>
                <w:lang w:val="fr-BE"/>
              </w:rPr>
            </w:pPr>
            <w:r w:rsidRPr="00A92B39">
              <w:rPr>
                <w:noProof/>
                <w:sz w:val="10"/>
                <w:szCs w:val="10"/>
                <w:lang w:val="fr-BE"/>
              </w:rPr>
              <w:t>1 437,00</w:t>
            </w:r>
          </w:p>
        </w:tc>
        <w:tc>
          <w:tcPr>
            <w:tcW w:w="0" w:type="auto"/>
            <w:shd w:val="clear" w:color="auto" w:fill="auto"/>
          </w:tcPr>
          <w:p w14:paraId="10FA3A55" w14:textId="77777777" w:rsidR="008C5CFA" w:rsidRPr="00A92B39" w:rsidRDefault="00E82A60" w:rsidP="00300A01">
            <w:pPr>
              <w:spacing w:before="0" w:after="0"/>
              <w:jc w:val="right"/>
              <w:rPr>
                <w:sz w:val="10"/>
                <w:szCs w:val="10"/>
                <w:lang w:val="fr-BE"/>
              </w:rPr>
            </w:pPr>
            <w:r w:rsidRPr="00A92B39">
              <w:rPr>
                <w:noProof/>
                <w:sz w:val="10"/>
                <w:szCs w:val="10"/>
                <w:lang w:val="fr-BE"/>
              </w:rPr>
              <w:t>578,00</w:t>
            </w:r>
          </w:p>
        </w:tc>
        <w:tc>
          <w:tcPr>
            <w:tcW w:w="0" w:type="auto"/>
            <w:shd w:val="clear" w:color="auto" w:fill="auto"/>
          </w:tcPr>
          <w:p w14:paraId="6A9C8905" w14:textId="77777777" w:rsidR="008C5CFA" w:rsidRPr="00BA47B4" w:rsidRDefault="00E82A60" w:rsidP="00300A01">
            <w:pPr>
              <w:spacing w:before="0" w:after="0"/>
              <w:jc w:val="right"/>
              <w:rPr>
                <w:sz w:val="12"/>
                <w:szCs w:val="12"/>
                <w:lang w:val="fr-BE"/>
              </w:rPr>
            </w:pPr>
            <w:r w:rsidRPr="00A92B39">
              <w:rPr>
                <w:noProof/>
                <w:sz w:val="10"/>
                <w:szCs w:val="10"/>
                <w:lang w:val="fr-BE"/>
              </w:rPr>
              <w:t>859,00</w:t>
            </w:r>
          </w:p>
        </w:tc>
      </w:tr>
      <w:tr w:rsidR="006B2EC1" w14:paraId="1975C990" w14:textId="77777777" w:rsidTr="0047688D">
        <w:tc>
          <w:tcPr>
            <w:tcW w:w="0" w:type="auto"/>
            <w:shd w:val="clear" w:color="auto" w:fill="auto"/>
          </w:tcPr>
          <w:p w14:paraId="7653E597" w14:textId="77777777" w:rsidR="008C5CFA" w:rsidRPr="00BA47B4" w:rsidRDefault="00E82A60" w:rsidP="00300A01">
            <w:pPr>
              <w:spacing w:before="0" w:after="0"/>
              <w:rPr>
                <w:sz w:val="12"/>
                <w:szCs w:val="12"/>
                <w:lang w:val="fr-BE"/>
              </w:rPr>
            </w:pPr>
            <w:r>
              <w:rPr>
                <w:noProof/>
                <w:sz w:val="12"/>
                <w:szCs w:val="12"/>
                <w:lang w:val="fr-BE"/>
              </w:rPr>
              <w:t>CO03</w:t>
            </w:r>
          </w:p>
        </w:tc>
        <w:tc>
          <w:tcPr>
            <w:tcW w:w="0" w:type="auto"/>
            <w:shd w:val="clear" w:color="auto" w:fill="auto"/>
          </w:tcPr>
          <w:p w14:paraId="0B9BC16D" w14:textId="77777777" w:rsidR="008C5CFA" w:rsidRPr="00BA47B4" w:rsidRDefault="00E82A60" w:rsidP="00300A01">
            <w:pPr>
              <w:spacing w:before="0" w:after="0"/>
              <w:rPr>
                <w:sz w:val="12"/>
                <w:szCs w:val="12"/>
                <w:lang w:val="fr-BE"/>
              </w:rPr>
            </w:pPr>
            <w:r>
              <w:rPr>
                <w:noProof/>
                <w:sz w:val="12"/>
                <w:szCs w:val="12"/>
                <w:lang w:val="fr-BE"/>
              </w:rPr>
              <w:t>osoby bierne zawodowo</w:t>
            </w:r>
          </w:p>
        </w:tc>
        <w:tc>
          <w:tcPr>
            <w:tcW w:w="0" w:type="auto"/>
            <w:shd w:val="clear" w:color="auto" w:fill="auto"/>
          </w:tcPr>
          <w:p w14:paraId="715837E7" w14:textId="77777777" w:rsidR="008C5CFA" w:rsidRPr="00BA47B4" w:rsidRDefault="00E82A60"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14:paraId="606599CB" w14:textId="77777777" w:rsidR="008C5CFA" w:rsidRPr="00BA47B4" w:rsidRDefault="00E82A60" w:rsidP="00300A01">
            <w:pPr>
              <w:spacing w:before="0" w:after="0"/>
              <w:jc w:val="right"/>
              <w:rPr>
                <w:sz w:val="12"/>
                <w:szCs w:val="12"/>
                <w:lang w:val="fr-BE"/>
              </w:rPr>
            </w:pPr>
            <w:r>
              <w:rPr>
                <w:noProof/>
                <w:sz w:val="12"/>
                <w:szCs w:val="12"/>
                <w:lang w:val="fr-BE"/>
              </w:rPr>
              <w:t>861,00</w:t>
            </w:r>
          </w:p>
        </w:tc>
        <w:tc>
          <w:tcPr>
            <w:tcW w:w="0" w:type="auto"/>
            <w:shd w:val="clear" w:color="auto" w:fill="auto"/>
          </w:tcPr>
          <w:p w14:paraId="34C9EAC5" w14:textId="77777777" w:rsidR="008C5CFA" w:rsidRPr="00BA47B4" w:rsidRDefault="00E82A60" w:rsidP="00300A01">
            <w:pPr>
              <w:spacing w:before="0" w:after="0"/>
              <w:jc w:val="right"/>
              <w:rPr>
                <w:sz w:val="12"/>
                <w:szCs w:val="12"/>
                <w:lang w:val="fr-BE"/>
              </w:rPr>
            </w:pPr>
            <w:r>
              <w:rPr>
                <w:noProof/>
                <w:sz w:val="12"/>
                <w:szCs w:val="12"/>
                <w:lang w:val="fr-BE"/>
              </w:rPr>
              <w:t>291,00</w:t>
            </w:r>
          </w:p>
        </w:tc>
        <w:tc>
          <w:tcPr>
            <w:tcW w:w="0" w:type="auto"/>
            <w:shd w:val="clear" w:color="auto" w:fill="auto"/>
          </w:tcPr>
          <w:p w14:paraId="4140623B" w14:textId="77777777" w:rsidR="008C5CFA" w:rsidRPr="00BA47B4" w:rsidRDefault="00E82A60" w:rsidP="00300A01">
            <w:pPr>
              <w:spacing w:before="0" w:after="0"/>
              <w:jc w:val="right"/>
              <w:rPr>
                <w:sz w:val="12"/>
                <w:szCs w:val="12"/>
                <w:lang w:val="fr-BE"/>
              </w:rPr>
            </w:pPr>
            <w:r>
              <w:rPr>
                <w:noProof/>
                <w:sz w:val="12"/>
                <w:szCs w:val="12"/>
                <w:lang w:val="fr-BE"/>
              </w:rPr>
              <w:t>570,00</w:t>
            </w:r>
          </w:p>
        </w:tc>
        <w:tc>
          <w:tcPr>
            <w:tcW w:w="0" w:type="auto"/>
            <w:shd w:val="clear" w:color="auto" w:fill="auto"/>
          </w:tcPr>
          <w:p w14:paraId="5E054307" w14:textId="77777777" w:rsidR="008C5CFA" w:rsidRPr="00BA47B4" w:rsidRDefault="00E82A60" w:rsidP="00300A01">
            <w:pPr>
              <w:spacing w:before="0" w:after="0"/>
              <w:jc w:val="right"/>
              <w:rPr>
                <w:sz w:val="12"/>
                <w:szCs w:val="12"/>
                <w:lang w:val="fr-BE"/>
              </w:rPr>
            </w:pPr>
            <w:r w:rsidRPr="00BA47B4">
              <w:rPr>
                <w:noProof/>
                <w:sz w:val="12"/>
                <w:szCs w:val="12"/>
                <w:lang w:val="fr-BE"/>
              </w:rPr>
              <w:t>1 344,00</w:t>
            </w:r>
          </w:p>
        </w:tc>
        <w:tc>
          <w:tcPr>
            <w:tcW w:w="0" w:type="auto"/>
            <w:shd w:val="clear" w:color="auto" w:fill="auto"/>
          </w:tcPr>
          <w:p w14:paraId="0AE95C55" w14:textId="77777777" w:rsidR="008C5CFA" w:rsidRPr="00BA47B4" w:rsidRDefault="00E82A60" w:rsidP="00300A01">
            <w:pPr>
              <w:spacing w:before="0" w:after="0"/>
              <w:jc w:val="right"/>
              <w:rPr>
                <w:sz w:val="12"/>
                <w:szCs w:val="12"/>
                <w:lang w:val="fr-BE"/>
              </w:rPr>
            </w:pPr>
            <w:r w:rsidRPr="00BA47B4">
              <w:rPr>
                <w:noProof/>
                <w:sz w:val="12"/>
                <w:szCs w:val="12"/>
                <w:lang w:val="fr-BE"/>
              </w:rPr>
              <w:t>639,00</w:t>
            </w:r>
          </w:p>
        </w:tc>
        <w:tc>
          <w:tcPr>
            <w:tcW w:w="0" w:type="auto"/>
            <w:shd w:val="clear" w:color="auto" w:fill="auto"/>
          </w:tcPr>
          <w:p w14:paraId="3587D4DD" w14:textId="77777777" w:rsidR="008C5CFA" w:rsidRPr="00BA47B4" w:rsidRDefault="00E82A60" w:rsidP="00300A01">
            <w:pPr>
              <w:spacing w:before="0" w:after="0"/>
              <w:jc w:val="right"/>
              <w:rPr>
                <w:sz w:val="12"/>
                <w:szCs w:val="12"/>
                <w:lang w:val="fr-BE"/>
              </w:rPr>
            </w:pPr>
            <w:r w:rsidRPr="00BA47B4">
              <w:rPr>
                <w:noProof/>
                <w:sz w:val="12"/>
                <w:szCs w:val="12"/>
                <w:lang w:val="fr-BE"/>
              </w:rPr>
              <w:t>705,00</w:t>
            </w:r>
          </w:p>
        </w:tc>
        <w:tc>
          <w:tcPr>
            <w:tcW w:w="0" w:type="auto"/>
            <w:shd w:val="clear" w:color="auto" w:fill="auto"/>
          </w:tcPr>
          <w:p w14:paraId="36FDEDAA" w14:textId="77777777" w:rsidR="008C5CFA" w:rsidRPr="00BA47B4" w:rsidRDefault="00E82A60" w:rsidP="00300A01">
            <w:pPr>
              <w:spacing w:before="0" w:after="0"/>
              <w:jc w:val="right"/>
              <w:rPr>
                <w:sz w:val="12"/>
                <w:szCs w:val="12"/>
                <w:lang w:val="fr-BE"/>
              </w:rPr>
            </w:pPr>
            <w:r>
              <w:rPr>
                <w:noProof/>
                <w:sz w:val="12"/>
                <w:szCs w:val="12"/>
                <w:lang w:val="fr-BE"/>
              </w:rPr>
              <w:t>1,56</w:t>
            </w:r>
          </w:p>
        </w:tc>
        <w:tc>
          <w:tcPr>
            <w:tcW w:w="0" w:type="auto"/>
            <w:shd w:val="clear" w:color="auto" w:fill="auto"/>
          </w:tcPr>
          <w:p w14:paraId="46936242" w14:textId="77777777" w:rsidR="008C5CFA" w:rsidRPr="00BA47B4" w:rsidRDefault="00E82A60" w:rsidP="00300A01">
            <w:pPr>
              <w:spacing w:before="0" w:after="0"/>
              <w:jc w:val="right"/>
              <w:rPr>
                <w:sz w:val="12"/>
                <w:szCs w:val="12"/>
                <w:lang w:val="fr-BE"/>
              </w:rPr>
            </w:pPr>
            <w:r>
              <w:rPr>
                <w:noProof/>
                <w:sz w:val="12"/>
                <w:szCs w:val="12"/>
                <w:lang w:val="fr-BE"/>
              </w:rPr>
              <w:t>2,20</w:t>
            </w:r>
          </w:p>
        </w:tc>
        <w:tc>
          <w:tcPr>
            <w:tcW w:w="0" w:type="auto"/>
            <w:shd w:val="clear" w:color="auto" w:fill="auto"/>
          </w:tcPr>
          <w:p w14:paraId="1F2D4D1A" w14:textId="77777777" w:rsidR="008C5CFA" w:rsidRPr="00BA47B4" w:rsidRDefault="00E82A60" w:rsidP="00300A01">
            <w:pPr>
              <w:spacing w:before="0" w:after="0"/>
              <w:jc w:val="right"/>
              <w:rPr>
                <w:sz w:val="12"/>
                <w:szCs w:val="12"/>
                <w:lang w:val="fr-BE"/>
              </w:rPr>
            </w:pPr>
            <w:r>
              <w:rPr>
                <w:noProof/>
                <w:sz w:val="12"/>
                <w:szCs w:val="12"/>
                <w:lang w:val="fr-BE"/>
              </w:rPr>
              <w:t>1,24</w:t>
            </w:r>
          </w:p>
        </w:tc>
        <w:tc>
          <w:tcPr>
            <w:tcW w:w="0" w:type="auto"/>
          </w:tcPr>
          <w:p w14:paraId="27F3B118" w14:textId="77777777" w:rsidR="008C5CFA" w:rsidRPr="00A92B39" w:rsidRDefault="00E82A60" w:rsidP="00300A01">
            <w:pPr>
              <w:spacing w:before="0" w:after="0"/>
              <w:jc w:val="right"/>
              <w:rPr>
                <w:sz w:val="10"/>
                <w:szCs w:val="10"/>
                <w:lang w:val="fr-BE"/>
              </w:rPr>
            </w:pPr>
            <w:r w:rsidRPr="00A92B39">
              <w:rPr>
                <w:noProof/>
                <w:sz w:val="10"/>
                <w:szCs w:val="10"/>
                <w:lang w:val="fr-BE"/>
              </w:rPr>
              <w:t>191,00</w:t>
            </w:r>
          </w:p>
        </w:tc>
        <w:tc>
          <w:tcPr>
            <w:tcW w:w="0" w:type="auto"/>
            <w:shd w:val="clear" w:color="auto" w:fill="auto"/>
          </w:tcPr>
          <w:p w14:paraId="4ADDA69B" w14:textId="77777777" w:rsidR="008C5CFA" w:rsidRPr="00A92B39" w:rsidRDefault="00E82A60" w:rsidP="00300A01">
            <w:pPr>
              <w:spacing w:before="0" w:after="0"/>
              <w:jc w:val="right"/>
              <w:rPr>
                <w:sz w:val="10"/>
                <w:szCs w:val="10"/>
                <w:lang w:val="fr-BE"/>
              </w:rPr>
            </w:pPr>
            <w:r w:rsidRPr="00A92B39">
              <w:rPr>
                <w:noProof/>
                <w:sz w:val="10"/>
                <w:szCs w:val="10"/>
                <w:lang w:val="fr-BE"/>
              </w:rPr>
              <w:t>93,00</w:t>
            </w:r>
          </w:p>
        </w:tc>
        <w:tc>
          <w:tcPr>
            <w:tcW w:w="0" w:type="auto"/>
            <w:shd w:val="clear" w:color="auto" w:fill="auto"/>
          </w:tcPr>
          <w:p w14:paraId="344D6DB0" w14:textId="77777777" w:rsidR="008C5CFA" w:rsidRPr="00BA47B4" w:rsidRDefault="00E82A60" w:rsidP="00300A01">
            <w:pPr>
              <w:spacing w:before="0" w:after="0"/>
              <w:jc w:val="right"/>
              <w:rPr>
                <w:sz w:val="12"/>
                <w:szCs w:val="12"/>
                <w:lang w:val="fr-BE"/>
              </w:rPr>
            </w:pPr>
            <w:r w:rsidRPr="00A92B39">
              <w:rPr>
                <w:noProof/>
                <w:sz w:val="10"/>
                <w:szCs w:val="10"/>
                <w:lang w:val="fr-BE"/>
              </w:rPr>
              <w:t>98,00</w:t>
            </w:r>
          </w:p>
        </w:tc>
      </w:tr>
      <w:tr w:rsidR="006B2EC1" w14:paraId="4E17F493" w14:textId="77777777" w:rsidTr="0047688D">
        <w:tc>
          <w:tcPr>
            <w:tcW w:w="0" w:type="auto"/>
            <w:shd w:val="clear" w:color="auto" w:fill="auto"/>
          </w:tcPr>
          <w:p w14:paraId="56C25DDF" w14:textId="77777777" w:rsidR="008C5CFA" w:rsidRPr="00BA47B4" w:rsidRDefault="00E82A60" w:rsidP="00300A01">
            <w:pPr>
              <w:spacing w:before="0" w:after="0"/>
              <w:rPr>
                <w:sz w:val="12"/>
                <w:szCs w:val="12"/>
                <w:lang w:val="fr-BE"/>
              </w:rPr>
            </w:pPr>
            <w:r>
              <w:rPr>
                <w:noProof/>
                <w:sz w:val="12"/>
                <w:szCs w:val="12"/>
                <w:lang w:val="fr-BE"/>
              </w:rPr>
              <w:t>CO04</w:t>
            </w:r>
          </w:p>
        </w:tc>
        <w:tc>
          <w:tcPr>
            <w:tcW w:w="0" w:type="auto"/>
            <w:shd w:val="clear" w:color="auto" w:fill="auto"/>
          </w:tcPr>
          <w:p w14:paraId="79981591" w14:textId="77777777" w:rsidR="008C5CFA" w:rsidRPr="00BA47B4" w:rsidRDefault="00E82A60" w:rsidP="00300A01">
            <w:pPr>
              <w:spacing w:before="0" w:after="0"/>
              <w:rPr>
                <w:sz w:val="12"/>
                <w:szCs w:val="12"/>
                <w:lang w:val="fr-BE"/>
              </w:rPr>
            </w:pPr>
            <w:r>
              <w:rPr>
                <w:noProof/>
                <w:sz w:val="12"/>
                <w:szCs w:val="12"/>
                <w:lang w:val="fr-BE"/>
              </w:rPr>
              <w:t>osoby bierne zawodowo, nieuczestniczące w kształceniu ani szkoleniu</w:t>
            </w:r>
          </w:p>
        </w:tc>
        <w:tc>
          <w:tcPr>
            <w:tcW w:w="0" w:type="auto"/>
            <w:shd w:val="clear" w:color="auto" w:fill="auto"/>
          </w:tcPr>
          <w:p w14:paraId="5A80488C" w14:textId="77777777" w:rsidR="008C5CFA" w:rsidRPr="00BA47B4" w:rsidRDefault="00E82A60"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14:paraId="066BF9DB" w14:textId="77777777" w:rsidR="008C5CFA" w:rsidRPr="00BA47B4" w:rsidRDefault="008C5CFA" w:rsidP="00300A01">
            <w:pPr>
              <w:spacing w:before="0" w:after="0"/>
              <w:jc w:val="right"/>
              <w:rPr>
                <w:sz w:val="12"/>
                <w:szCs w:val="12"/>
                <w:lang w:val="fr-BE"/>
              </w:rPr>
            </w:pPr>
          </w:p>
        </w:tc>
        <w:tc>
          <w:tcPr>
            <w:tcW w:w="0" w:type="auto"/>
            <w:shd w:val="clear" w:color="auto" w:fill="auto"/>
          </w:tcPr>
          <w:p w14:paraId="775CF59C" w14:textId="77777777" w:rsidR="008C5CFA" w:rsidRPr="00BA47B4" w:rsidRDefault="008C5CFA" w:rsidP="00300A01">
            <w:pPr>
              <w:spacing w:before="0" w:after="0"/>
              <w:jc w:val="right"/>
              <w:rPr>
                <w:sz w:val="12"/>
                <w:szCs w:val="12"/>
                <w:lang w:val="fr-BE"/>
              </w:rPr>
            </w:pPr>
          </w:p>
        </w:tc>
        <w:tc>
          <w:tcPr>
            <w:tcW w:w="0" w:type="auto"/>
            <w:shd w:val="clear" w:color="auto" w:fill="auto"/>
          </w:tcPr>
          <w:p w14:paraId="44476492" w14:textId="77777777" w:rsidR="008C5CFA" w:rsidRPr="00BA47B4" w:rsidRDefault="008C5CFA" w:rsidP="00300A01">
            <w:pPr>
              <w:spacing w:before="0" w:after="0"/>
              <w:jc w:val="right"/>
              <w:rPr>
                <w:sz w:val="12"/>
                <w:szCs w:val="12"/>
                <w:lang w:val="fr-BE"/>
              </w:rPr>
            </w:pPr>
          </w:p>
        </w:tc>
        <w:tc>
          <w:tcPr>
            <w:tcW w:w="0" w:type="auto"/>
            <w:shd w:val="clear" w:color="auto" w:fill="auto"/>
          </w:tcPr>
          <w:p w14:paraId="01EA1B78" w14:textId="77777777" w:rsidR="008C5CFA" w:rsidRPr="00BA47B4" w:rsidRDefault="00E82A60" w:rsidP="00300A01">
            <w:pPr>
              <w:spacing w:before="0" w:after="0"/>
              <w:jc w:val="right"/>
              <w:rPr>
                <w:sz w:val="12"/>
                <w:szCs w:val="12"/>
                <w:lang w:val="fr-BE"/>
              </w:rPr>
            </w:pPr>
            <w:r w:rsidRPr="00BA47B4">
              <w:rPr>
                <w:noProof/>
                <w:sz w:val="12"/>
                <w:szCs w:val="12"/>
                <w:lang w:val="fr-BE"/>
              </w:rPr>
              <w:t>258,00</w:t>
            </w:r>
          </w:p>
        </w:tc>
        <w:tc>
          <w:tcPr>
            <w:tcW w:w="0" w:type="auto"/>
            <w:shd w:val="clear" w:color="auto" w:fill="auto"/>
          </w:tcPr>
          <w:p w14:paraId="0D2C89B0" w14:textId="77777777" w:rsidR="008C5CFA" w:rsidRPr="00BA47B4" w:rsidRDefault="00E82A60" w:rsidP="00300A01">
            <w:pPr>
              <w:spacing w:before="0" w:after="0"/>
              <w:jc w:val="right"/>
              <w:rPr>
                <w:sz w:val="12"/>
                <w:szCs w:val="12"/>
                <w:lang w:val="fr-BE"/>
              </w:rPr>
            </w:pPr>
            <w:r w:rsidRPr="00BA47B4">
              <w:rPr>
                <w:noProof/>
                <w:sz w:val="12"/>
                <w:szCs w:val="12"/>
                <w:lang w:val="fr-BE"/>
              </w:rPr>
              <w:t>128,00</w:t>
            </w:r>
          </w:p>
        </w:tc>
        <w:tc>
          <w:tcPr>
            <w:tcW w:w="0" w:type="auto"/>
            <w:shd w:val="clear" w:color="auto" w:fill="auto"/>
          </w:tcPr>
          <w:p w14:paraId="00AAD62C" w14:textId="77777777" w:rsidR="008C5CFA" w:rsidRPr="00BA47B4" w:rsidRDefault="00E82A60" w:rsidP="00300A01">
            <w:pPr>
              <w:spacing w:before="0" w:after="0"/>
              <w:jc w:val="right"/>
              <w:rPr>
                <w:sz w:val="12"/>
                <w:szCs w:val="12"/>
                <w:lang w:val="fr-BE"/>
              </w:rPr>
            </w:pPr>
            <w:r w:rsidRPr="00BA47B4">
              <w:rPr>
                <w:noProof/>
                <w:sz w:val="12"/>
                <w:szCs w:val="12"/>
                <w:lang w:val="fr-BE"/>
              </w:rPr>
              <w:t>130,00</w:t>
            </w:r>
          </w:p>
        </w:tc>
        <w:tc>
          <w:tcPr>
            <w:tcW w:w="0" w:type="auto"/>
            <w:shd w:val="clear" w:color="auto" w:fill="auto"/>
          </w:tcPr>
          <w:p w14:paraId="34E7070E" w14:textId="77777777" w:rsidR="008C5CFA" w:rsidRPr="00BA47B4" w:rsidRDefault="008C5CFA" w:rsidP="00300A01">
            <w:pPr>
              <w:spacing w:before="0" w:after="0"/>
              <w:jc w:val="right"/>
              <w:rPr>
                <w:sz w:val="12"/>
                <w:szCs w:val="12"/>
                <w:lang w:val="fr-BE"/>
              </w:rPr>
            </w:pPr>
          </w:p>
        </w:tc>
        <w:tc>
          <w:tcPr>
            <w:tcW w:w="0" w:type="auto"/>
            <w:shd w:val="clear" w:color="auto" w:fill="auto"/>
          </w:tcPr>
          <w:p w14:paraId="1E066DB2" w14:textId="77777777" w:rsidR="008C5CFA" w:rsidRPr="00BA47B4" w:rsidRDefault="008C5CFA" w:rsidP="00300A01">
            <w:pPr>
              <w:spacing w:before="0" w:after="0"/>
              <w:jc w:val="right"/>
              <w:rPr>
                <w:sz w:val="12"/>
                <w:szCs w:val="12"/>
                <w:lang w:val="fr-BE"/>
              </w:rPr>
            </w:pPr>
          </w:p>
        </w:tc>
        <w:tc>
          <w:tcPr>
            <w:tcW w:w="0" w:type="auto"/>
            <w:shd w:val="clear" w:color="auto" w:fill="auto"/>
          </w:tcPr>
          <w:p w14:paraId="77AB1A4B" w14:textId="77777777" w:rsidR="008C5CFA" w:rsidRPr="00BA47B4" w:rsidRDefault="008C5CFA" w:rsidP="00300A01">
            <w:pPr>
              <w:spacing w:before="0" w:after="0"/>
              <w:jc w:val="right"/>
              <w:rPr>
                <w:sz w:val="12"/>
                <w:szCs w:val="12"/>
                <w:lang w:val="fr-BE"/>
              </w:rPr>
            </w:pPr>
          </w:p>
        </w:tc>
        <w:tc>
          <w:tcPr>
            <w:tcW w:w="0" w:type="auto"/>
          </w:tcPr>
          <w:p w14:paraId="7A1CA285" w14:textId="77777777" w:rsidR="008C5CFA" w:rsidRPr="00A92B39" w:rsidRDefault="00E82A60" w:rsidP="00300A01">
            <w:pPr>
              <w:spacing w:before="0" w:after="0"/>
              <w:jc w:val="right"/>
              <w:rPr>
                <w:sz w:val="10"/>
                <w:szCs w:val="10"/>
                <w:lang w:val="fr-BE"/>
              </w:rPr>
            </w:pPr>
            <w:r w:rsidRPr="00A92B39">
              <w:rPr>
                <w:noProof/>
                <w:sz w:val="10"/>
                <w:szCs w:val="10"/>
                <w:lang w:val="fr-BE"/>
              </w:rPr>
              <w:t>8,00</w:t>
            </w:r>
          </w:p>
        </w:tc>
        <w:tc>
          <w:tcPr>
            <w:tcW w:w="0" w:type="auto"/>
            <w:shd w:val="clear" w:color="auto" w:fill="auto"/>
          </w:tcPr>
          <w:p w14:paraId="3793C6DF" w14:textId="77777777" w:rsidR="008C5CFA" w:rsidRPr="00A92B39" w:rsidRDefault="00E82A60" w:rsidP="00300A01">
            <w:pPr>
              <w:spacing w:before="0" w:after="0"/>
              <w:jc w:val="right"/>
              <w:rPr>
                <w:sz w:val="10"/>
                <w:szCs w:val="10"/>
                <w:lang w:val="fr-BE"/>
              </w:rPr>
            </w:pPr>
            <w:r w:rsidRPr="00A92B39">
              <w:rPr>
                <w:noProof/>
                <w:sz w:val="10"/>
                <w:szCs w:val="10"/>
                <w:lang w:val="fr-BE"/>
              </w:rPr>
              <w:t>7,00</w:t>
            </w:r>
          </w:p>
        </w:tc>
        <w:tc>
          <w:tcPr>
            <w:tcW w:w="0" w:type="auto"/>
            <w:shd w:val="clear" w:color="auto" w:fill="auto"/>
          </w:tcPr>
          <w:p w14:paraId="3B412AE9" w14:textId="77777777" w:rsidR="008C5CFA" w:rsidRPr="00BA47B4" w:rsidRDefault="00E82A60" w:rsidP="00300A01">
            <w:pPr>
              <w:spacing w:before="0" w:after="0"/>
              <w:jc w:val="right"/>
              <w:rPr>
                <w:sz w:val="12"/>
                <w:szCs w:val="12"/>
                <w:lang w:val="fr-BE"/>
              </w:rPr>
            </w:pPr>
            <w:r w:rsidRPr="00A92B39">
              <w:rPr>
                <w:noProof/>
                <w:sz w:val="10"/>
                <w:szCs w:val="10"/>
                <w:lang w:val="fr-BE"/>
              </w:rPr>
              <w:t>1,00</w:t>
            </w:r>
          </w:p>
        </w:tc>
      </w:tr>
      <w:tr w:rsidR="006B2EC1" w14:paraId="49BE1561" w14:textId="77777777" w:rsidTr="0047688D">
        <w:tc>
          <w:tcPr>
            <w:tcW w:w="0" w:type="auto"/>
            <w:shd w:val="clear" w:color="auto" w:fill="auto"/>
          </w:tcPr>
          <w:p w14:paraId="080E93A2" w14:textId="77777777" w:rsidR="008C5CFA" w:rsidRPr="00BA47B4" w:rsidRDefault="00E82A60" w:rsidP="00300A01">
            <w:pPr>
              <w:spacing w:before="0" w:after="0"/>
              <w:rPr>
                <w:sz w:val="12"/>
                <w:szCs w:val="12"/>
                <w:lang w:val="fr-BE"/>
              </w:rPr>
            </w:pPr>
            <w:r>
              <w:rPr>
                <w:noProof/>
                <w:sz w:val="12"/>
                <w:szCs w:val="12"/>
                <w:lang w:val="fr-BE"/>
              </w:rPr>
              <w:t>CO05</w:t>
            </w:r>
          </w:p>
        </w:tc>
        <w:tc>
          <w:tcPr>
            <w:tcW w:w="0" w:type="auto"/>
            <w:shd w:val="clear" w:color="auto" w:fill="auto"/>
          </w:tcPr>
          <w:p w14:paraId="3242545E" w14:textId="77777777" w:rsidR="008C5CFA" w:rsidRPr="00BA47B4" w:rsidRDefault="00E82A60" w:rsidP="00300A01">
            <w:pPr>
              <w:spacing w:before="0" w:after="0"/>
              <w:rPr>
                <w:sz w:val="12"/>
                <w:szCs w:val="12"/>
                <w:lang w:val="fr-BE"/>
              </w:rPr>
            </w:pPr>
            <w:r>
              <w:rPr>
                <w:noProof/>
                <w:sz w:val="12"/>
                <w:szCs w:val="12"/>
                <w:lang w:val="fr-BE"/>
              </w:rPr>
              <w:t>osoby pracujące, łącznie z prowadzącymi działalność na własny rachunek</w:t>
            </w:r>
          </w:p>
        </w:tc>
        <w:tc>
          <w:tcPr>
            <w:tcW w:w="0" w:type="auto"/>
            <w:shd w:val="clear" w:color="auto" w:fill="auto"/>
          </w:tcPr>
          <w:p w14:paraId="35AB5B90" w14:textId="77777777" w:rsidR="008C5CFA" w:rsidRPr="00BA47B4" w:rsidRDefault="00E82A60"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14:paraId="09E46CBF" w14:textId="77777777" w:rsidR="008C5CFA" w:rsidRPr="00BA47B4" w:rsidRDefault="008C5CFA" w:rsidP="00300A01">
            <w:pPr>
              <w:spacing w:before="0" w:after="0"/>
              <w:jc w:val="right"/>
              <w:rPr>
                <w:sz w:val="12"/>
                <w:szCs w:val="12"/>
                <w:lang w:val="fr-BE"/>
              </w:rPr>
            </w:pPr>
          </w:p>
        </w:tc>
        <w:tc>
          <w:tcPr>
            <w:tcW w:w="0" w:type="auto"/>
            <w:shd w:val="clear" w:color="auto" w:fill="auto"/>
          </w:tcPr>
          <w:p w14:paraId="1B2C8F2A" w14:textId="77777777" w:rsidR="008C5CFA" w:rsidRPr="00BA47B4" w:rsidRDefault="008C5CFA" w:rsidP="00300A01">
            <w:pPr>
              <w:spacing w:before="0" w:after="0"/>
              <w:jc w:val="right"/>
              <w:rPr>
                <w:sz w:val="12"/>
                <w:szCs w:val="12"/>
                <w:lang w:val="fr-BE"/>
              </w:rPr>
            </w:pPr>
          </w:p>
        </w:tc>
        <w:tc>
          <w:tcPr>
            <w:tcW w:w="0" w:type="auto"/>
            <w:shd w:val="clear" w:color="auto" w:fill="auto"/>
          </w:tcPr>
          <w:p w14:paraId="177D0571" w14:textId="77777777" w:rsidR="008C5CFA" w:rsidRPr="00BA47B4" w:rsidRDefault="008C5CFA" w:rsidP="00300A01">
            <w:pPr>
              <w:spacing w:before="0" w:after="0"/>
              <w:jc w:val="right"/>
              <w:rPr>
                <w:sz w:val="12"/>
                <w:szCs w:val="12"/>
                <w:lang w:val="fr-BE"/>
              </w:rPr>
            </w:pPr>
          </w:p>
        </w:tc>
        <w:tc>
          <w:tcPr>
            <w:tcW w:w="0" w:type="auto"/>
            <w:shd w:val="clear" w:color="auto" w:fill="auto"/>
          </w:tcPr>
          <w:p w14:paraId="324688F5"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5700EEBA"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59D33999"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17558F3B" w14:textId="77777777" w:rsidR="008C5CFA" w:rsidRPr="00BA47B4" w:rsidRDefault="008C5CFA" w:rsidP="00300A01">
            <w:pPr>
              <w:spacing w:before="0" w:after="0"/>
              <w:jc w:val="right"/>
              <w:rPr>
                <w:sz w:val="12"/>
                <w:szCs w:val="12"/>
                <w:lang w:val="fr-BE"/>
              </w:rPr>
            </w:pPr>
          </w:p>
        </w:tc>
        <w:tc>
          <w:tcPr>
            <w:tcW w:w="0" w:type="auto"/>
            <w:shd w:val="clear" w:color="auto" w:fill="auto"/>
          </w:tcPr>
          <w:p w14:paraId="48648C72" w14:textId="77777777" w:rsidR="008C5CFA" w:rsidRPr="00BA47B4" w:rsidRDefault="008C5CFA" w:rsidP="00300A01">
            <w:pPr>
              <w:spacing w:before="0" w:after="0"/>
              <w:jc w:val="right"/>
              <w:rPr>
                <w:sz w:val="12"/>
                <w:szCs w:val="12"/>
                <w:lang w:val="fr-BE"/>
              </w:rPr>
            </w:pPr>
          </w:p>
        </w:tc>
        <w:tc>
          <w:tcPr>
            <w:tcW w:w="0" w:type="auto"/>
            <w:shd w:val="clear" w:color="auto" w:fill="auto"/>
          </w:tcPr>
          <w:p w14:paraId="546CCC3A" w14:textId="77777777" w:rsidR="008C5CFA" w:rsidRPr="00BA47B4" w:rsidRDefault="008C5CFA" w:rsidP="00300A01">
            <w:pPr>
              <w:spacing w:before="0" w:after="0"/>
              <w:jc w:val="right"/>
              <w:rPr>
                <w:sz w:val="12"/>
                <w:szCs w:val="12"/>
                <w:lang w:val="fr-BE"/>
              </w:rPr>
            </w:pPr>
          </w:p>
        </w:tc>
        <w:tc>
          <w:tcPr>
            <w:tcW w:w="0" w:type="auto"/>
          </w:tcPr>
          <w:p w14:paraId="6CE3AC9A"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14:paraId="7561807C"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14:paraId="388B0EA8" w14:textId="77777777" w:rsidR="008C5CFA" w:rsidRPr="00BA47B4" w:rsidRDefault="00E82A60" w:rsidP="00300A01">
            <w:pPr>
              <w:spacing w:before="0" w:after="0"/>
              <w:jc w:val="right"/>
              <w:rPr>
                <w:sz w:val="12"/>
                <w:szCs w:val="12"/>
                <w:lang w:val="fr-BE"/>
              </w:rPr>
            </w:pPr>
            <w:r w:rsidRPr="00A92B39">
              <w:rPr>
                <w:noProof/>
                <w:sz w:val="10"/>
                <w:szCs w:val="10"/>
                <w:lang w:val="fr-BE"/>
              </w:rPr>
              <w:t>0,00</w:t>
            </w:r>
          </w:p>
        </w:tc>
      </w:tr>
      <w:tr w:rsidR="006B2EC1" w14:paraId="55175EE2" w14:textId="77777777" w:rsidTr="0047688D">
        <w:tc>
          <w:tcPr>
            <w:tcW w:w="0" w:type="auto"/>
            <w:shd w:val="clear" w:color="auto" w:fill="auto"/>
          </w:tcPr>
          <w:p w14:paraId="1C46F59E" w14:textId="77777777" w:rsidR="008C5CFA" w:rsidRPr="00BA47B4" w:rsidRDefault="00E82A60" w:rsidP="00300A01">
            <w:pPr>
              <w:spacing w:before="0" w:after="0"/>
              <w:rPr>
                <w:sz w:val="12"/>
                <w:szCs w:val="12"/>
                <w:lang w:val="fr-BE"/>
              </w:rPr>
            </w:pPr>
            <w:r>
              <w:rPr>
                <w:noProof/>
                <w:sz w:val="12"/>
                <w:szCs w:val="12"/>
                <w:lang w:val="fr-BE"/>
              </w:rPr>
              <w:t>CO06</w:t>
            </w:r>
          </w:p>
        </w:tc>
        <w:tc>
          <w:tcPr>
            <w:tcW w:w="0" w:type="auto"/>
            <w:shd w:val="clear" w:color="auto" w:fill="auto"/>
          </w:tcPr>
          <w:p w14:paraId="69497DE5" w14:textId="77777777" w:rsidR="008C5CFA" w:rsidRPr="00BA47B4" w:rsidRDefault="00E82A60" w:rsidP="00300A01">
            <w:pPr>
              <w:spacing w:before="0" w:after="0"/>
              <w:rPr>
                <w:sz w:val="12"/>
                <w:szCs w:val="12"/>
                <w:lang w:val="fr-BE"/>
              </w:rPr>
            </w:pPr>
            <w:r>
              <w:rPr>
                <w:noProof/>
                <w:sz w:val="12"/>
                <w:szCs w:val="12"/>
                <w:lang w:val="fr-BE"/>
              </w:rPr>
              <w:t>osoby w wieku poniżej 25 lat</w:t>
            </w:r>
          </w:p>
        </w:tc>
        <w:tc>
          <w:tcPr>
            <w:tcW w:w="0" w:type="auto"/>
            <w:shd w:val="clear" w:color="auto" w:fill="auto"/>
          </w:tcPr>
          <w:p w14:paraId="436FAFAE" w14:textId="77777777" w:rsidR="008C5CFA" w:rsidRPr="00BA47B4" w:rsidRDefault="00E82A60"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14:paraId="2EB378DC" w14:textId="77777777" w:rsidR="008C5CFA" w:rsidRPr="00BA47B4" w:rsidRDefault="008C5CFA" w:rsidP="00300A01">
            <w:pPr>
              <w:spacing w:before="0" w:after="0"/>
              <w:jc w:val="right"/>
              <w:rPr>
                <w:sz w:val="12"/>
                <w:szCs w:val="12"/>
                <w:lang w:val="fr-BE"/>
              </w:rPr>
            </w:pPr>
          </w:p>
        </w:tc>
        <w:tc>
          <w:tcPr>
            <w:tcW w:w="0" w:type="auto"/>
            <w:shd w:val="clear" w:color="auto" w:fill="auto"/>
          </w:tcPr>
          <w:p w14:paraId="363050D0" w14:textId="77777777" w:rsidR="008C5CFA" w:rsidRPr="00BA47B4" w:rsidRDefault="008C5CFA" w:rsidP="00300A01">
            <w:pPr>
              <w:spacing w:before="0" w:after="0"/>
              <w:jc w:val="right"/>
              <w:rPr>
                <w:sz w:val="12"/>
                <w:szCs w:val="12"/>
                <w:lang w:val="fr-BE"/>
              </w:rPr>
            </w:pPr>
          </w:p>
        </w:tc>
        <w:tc>
          <w:tcPr>
            <w:tcW w:w="0" w:type="auto"/>
            <w:shd w:val="clear" w:color="auto" w:fill="auto"/>
          </w:tcPr>
          <w:p w14:paraId="7698FA93" w14:textId="77777777" w:rsidR="008C5CFA" w:rsidRPr="00BA47B4" w:rsidRDefault="008C5CFA" w:rsidP="00300A01">
            <w:pPr>
              <w:spacing w:before="0" w:after="0"/>
              <w:jc w:val="right"/>
              <w:rPr>
                <w:sz w:val="12"/>
                <w:szCs w:val="12"/>
                <w:lang w:val="fr-BE"/>
              </w:rPr>
            </w:pPr>
          </w:p>
        </w:tc>
        <w:tc>
          <w:tcPr>
            <w:tcW w:w="0" w:type="auto"/>
            <w:shd w:val="clear" w:color="auto" w:fill="auto"/>
          </w:tcPr>
          <w:p w14:paraId="65D1D063"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3D3450E3"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1B0FF606"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4E5E0AB0" w14:textId="77777777" w:rsidR="008C5CFA" w:rsidRPr="00BA47B4" w:rsidRDefault="008C5CFA" w:rsidP="00300A01">
            <w:pPr>
              <w:spacing w:before="0" w:after="0"/>
              <w:jc w:val="right"/>
              <w:rPr>
                <w:sz w:val="12"/>
                <w:szCs w:val="12"/>
                <w:lang w:val="fr-BE"/>
              </w:rPr>
            </w:pPr>
          </w:p>
        </w:tc>
        <w:tc>
          <w:tcPr>
            <w:tcW w:w="0" w:type="auto"/>
            <w:shd w:val="clear" w:color="auto" w:fill="auto"/>
          </w:tcPr>
          <w:p w14:paraId="08CCD8DC" w14:textId="77777777" w:rsidR="008C5CFA" w:rsidRPr="00BA47B4" w:rsidRDefault="008C5CFA" w:rsidP="00300A01">
            <w:pPr>
              <w:spacing w:before="0" w:after="0"/>
              <w:jc w:val="right"/>
              <w:rPr>
                <w:sz w:val="12"/>
                <w:szCs w:val="12"/>
                <w:lang w:val="fr-BE"/>
              </w:rPr>
            </w:pPr>
          </w:p>
        </w:tc>
        <w:tc>
          <w:tcPr>
            <w:tcW w:w="0" w:type="auto"/>
            <w:shd w:val="clear" w:color="auto" w:fill="auto"/>
          </w:tcPr>
          <w:p w14:paraId="35A81802" w14:textId="77777777" w:rsidR="008C5CFA" w:rsidRPr="00BA47B4" w:rsidRDefault="008C5CFA" w:rsidP="00300A01">
            <w:pPr>
              <w:spacing w:before="0" w:after="0"/>
              <w:jc w:val="right"/>
              <w:rPr>
                <w:sz w:val="12"/>
                <w:szCs w:val="12"/>
                <w:lang w:val="fr-BE"/>
              </w:rPr>
            </w:pPr>
          </w:p>
        </w:tc>
        <w:tc>
          <w:tcPr>
            <w:tcW w:w="0" w:type="auto"/>
          </w:tcPr>
          <w:p w14:paraId="0CADE563"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14:paraId="0645C695"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14:paraId="3DDFFDC6" w14:textId="77777777" w:rsidR="008C5CFA" w:rsidRPr="00BA47B4" w:rsidRDefault="00E82A60" w:rsidP="00300A01">
            <w:pPr>
              <w:spacing w:before="0" w:after="0"/>
              <w:jc w:val="right"/>
              <w:rPr>
                <w:sz w:val="12"/>
                <w:szCs w:val="12"/>
                <w:lang w:val="fr-BE"/>
              </w:rPr>
            </w:pPr>
            <w:r w:rsidRPr="00A92B39">
              <w:rPr>
                <w:noProof/>
                <w:sz w:val="10"/>
                <w:szCs w:val="10"/>
                <w:lang w:val="fr-BE"/>
              </w:rPr>
              <w:t>0,00</w:t>
            </w:r>
          </w:p>
        </w:tc>
      </w:tr>
      <w:tr w:rsidR="006B2EC1" w14:paraId="489489F0" w14:textId="77777777" w:rsidTr="0047688D">
        <w:tc>
          <w:tcPr>
            <w:tcW w:w="0" w:type="auto"/>
            <w:shd w:val="clear" w:color="auto" w:fill="auto"/>
          </w:tcPr>
          <w:p w14:paraId="7C9FE8A7" w14:textId="77777777" w:rsidR="008C5CFA" w:rsidRPr="00BA47B4" w:rsidRDefault="00E82A60" w:rsidP="00300A01">
            <w:pPr>
              <w:spacing w:before="0" w:after="0"/>
              <w:rPr>
                <w:sz w:val="12"/>
                <w:szCs w:val="12"/>
                <w:lang w:val="fr-BE"/>
              </w:rPr>
            </w:pPr>
            <w:r>
              <w:rPr>
                <w:noProof/>
                <w:sz w:val="12"/>
                <w:szCs w:val="12"/>
                <w:lang w:val="fr-BE"/>
              </w:rPr>
              <w:t>CO07</w:t>
            </w:r>
          </w:p>
        </w:tc>
        <w:tc>
          <w:tcPr>
            <w:tcW w:w="0" w:type="auto"/>
            <w:shd w:val="clear" w:color="auto" w:fill="auto"/>
          </w:tcPr>
          <w:p w14:paraId="1DAD45BB" w14:textId="77777777" w:rsidR="008C5CFA" w:rsidRPr="00BA47B4" w:rsidRDefault="00E82A60" w:rsidP="00300A01">
            <w:pPr>
              <w:spacing w:before="0" w:after="0"/>
              <w:rPr>
                <w:sz w:val="12"/>
                <w:szCs w:val="12"/>
                <w:lang w:val="fr-BE"/>
              </w:rPr>
            </w:pPr>
            <w:r>
              <w:rPr>
                <w:noProof/>
                <w:sz w:val="12"/>
                <w:szCs w:val="12"/>
                <w:lang w:val="fr-BE"/>
              </w:rPr>
              <w:t>osoby w wieku powyżej 54 lat</w:t>
            </w:r>
          </w:p>
        </w:tc>
        <w:tc>
          <w:tcPr>
            <w:tcW w:w="0" w:type="auto"/>
            <w:shd w:val="clear" w:color="auto" w:fill="auto"/>
          </w:tcPr>
          <w:p w14:paraId="1B58E28A" w14:textId="77777777" w:rsidR="008C5CFA" w:rsidRPr="00BA47B4" w:rsidRDefault="00E82A60"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14:paraId="3BF7862D" w14:textId="77777777" w:rsidR="008C5CFA" w:rsidRPr="00BA47B4" w:rsidRDefault="008C5CFA" w:rsidP="00300A01">
            <w:pPr>
              <w:spacing w:before="0" w:after="0"/>
              <w:jc w:val="right"/>
              <w:rPr>
                <w:sz w:val="12"/>
                <w:szCs w:val="12"/>
                <w:lang w:val="fr-BE"/>
              </w:rPr>
            </w:pPr>
          </w:p>
        </w:tc>
        <w:tc>
          <w:tcPr>
            <w:tcW w:w="0" w:type="auto"/>
            <w:shd w:val="clear" w:color="auto" w:fill="auto"/>
          </w:tcPr>
          <w:p w14:paraId="21E32F1C" w14:textId="77777777" w:rsidR="008C5CFA" w:rsidRPr="00BA47B4" w:rsidRDefault="008C5CFA" w:rsidP="00300A01">
            <w:pPr>
              <w:spacing w:before="0" w:after="0"/>
              <w:jc w:val="right"/>
              <w:rPr>
                <w:sz w:val="12"/>
                <w:szCs w:val="12"/>
                <w:lang w:val="fr-BE"/>
              </w:rPr>
            </w:pPr>
          </w:p>
        </w:tc>
        <w:tc>
          <w:tcPr>
            <w:tcW w:w="0" w:type="auto"/>
            <w:shd w:val="clear" w:color="auto" w:fill="auto"/>
          </w:tcPr>
          <w:p w14:paraId="239318F2" w14:textId="77777777" w:rsidR="008C5CFA" w:rsidRPr="00BA47B4" w:rsidRDefault="008C5CFA" w:rsidP="00300A01">
            <w:pPr>
              <w:spacing w:before="0" w:after="0"/>
              <w:jc w:val="right"/>
              <w:rPr>
                <w:sz w:val="12"/>
                <w:szCs w:val="12"/>
                <w:lang w:val="fr-BE"/>
              </w:rPr>
            </w:pPr>
          </w:p>
        </w:tc>
        <w:tc>
          <w:tcPr>
            <w:tcW w:w="0" w:type="auto"/>
            <w:shd w:val="clear" w:color="auto" w:fill="auto"/>
          </w:tcPr>
          <w:p w14:paraId="5D30B23C" w14:textId="77777777" w:rsidR="008C5CFA" w:rsidRPr="00BA47B4" w:rsidRDefault="00E82A60" w:rsidP="00300A01">
            <w:pPr>
              <w:spacing w:before="0" w:after="0"/>
              <w:jc w:val="right"/>
              <w:rPr>
                <w:sz w:val="12"/>
                <w:szCs w:val="12"/>
                <w:lang w:val="fr-BE"/>
              </w:rPr>
            </w:pPr>
            <w:r w:rsidRPr="00BA47B4">
              <w:rPr>
                <w:noProof/>
                <w:sz w:val="12"/>
                <w:szCs w:val="12"/>
                <w:lang w:val="fr-BE"/>
              </w:rPr>
              <w:t>2 739,00</w:t>
            </w:r>
          </w:p>
        </w:tc>
        <w:tc>
          <w:tcPr>
            <w:tcW w:w="0" w:type="auto"/>
            <w:shd w:val="clear" w:color="auto" w:fill="auto"/>
          </w:tcPr>
          <w:p w14:paraId="30329C16" w14:textId="77777777" w:rsidR="008C5CFA" w:rsidRPr="00BA47B4" w:rsidRDefault="00E82A60" w:rsidP="00300A01">
            <w:pPr>
              <w:spacing w:before="0" w:after="0"/>
              <w:jc w:val="right"/>
              <w:rPr>
                <w:sz w:val="12"/>
                <w:szCs w:val="12"/>
                <w:lang w:val="fr-BE"/>
              </w:rPr>
            </w:pPr>
            <w:r w:rsidRPr="00BA47B4">
              <w:rPr>
                <w:noProof/>
                <w:sz w:val="12"/>
                <w:szCs w:val="12"/>
                <w:lang w:val="fr-BE"/>
              </w:rPr>
              <w:t>1 627,00</w:t>
            </w:r>
          </w:p>
        </w:tc>
        <w:tc>
          <w:tcPr>
            <w:tcW w:w="0" w:type="auto"/>
            <w:shd w:val="clear" w:color="auto" w:fill="auto"/>
          </w:tcPr>
          <w:p w14:paraId="209ACE3D" w14:textId="77777777" w:rsidR="008C5CFA" w:rsidRPr="00BA47B4" w:rsidRDefault="00E82A60" w:rsidP="00300A01">
            <w:pPr>
              <w:spacing w:before="0" w:after="0"/>
              <w:jc w:val="right"/>
              <w:rPr>
                <w:sz w:val="12"/>
                <w:szCs w:val="12"/>
                <w:lang w:val="fr-BE"/>
              </w:rPr>
            </w:pPr>
            <w:r w:rsidRPr="00BA47B4">
              <w:rPr>
                <w:noProof/>
                <w:sz w:val="12"/>
                <w:szCs w:val="12"/>
                <w:lang w:val="fr-BE"/>
              </w:rPr>
              <w:t>1 112,00</w:t>
            </w:r>
          </w:p>
        </w:tc>
        <w:tc>
          <w:tcPr>
            <w:tcW w:w="0" w:type="auto"/>
            <w:shd w:val="clear" w:color="auto" w:fill="auto"/>
          </w:tcPr>
          <w:p w14:paraId="6DE6B042" w14:textId="77777777" w:rsidR="008C5CFA" w:rsidRPr="00BA47B4" w:rsidRDefault="008C5CFA" w:rsidP="00300A01">
            <w:pPr>
              <w:spacing w:before="0" w:after="0"/>
              <w:jc w:val="right"/>
              <w:rPr>
                <w:sz w:val="12"/>
                <w:szCs w:val="12"/>
                <w:lang w:val="fr-BE"/>
              </w:rPr>
            </w:pPr>
          </w:p>
        </w:tc>
        <w:tc>
          <w:tcPr>
            <w:tcW w:w="0" w:type="auto"/>
            <w:shd w:val="clear" w:color="auto" w:fill="auto"/>
          </w:tcPr>
          <w:p w14:paraId="4604B35C" w14:textId="77777777" w:rsidR="008C5CFA" w:rsidRPr="00BA47B4" w:rsidRDefault="008C5CFA" w:rsidP="00300A01">
            <w:pPr>
              <w:spacing w:before="0" w:after="0"/>
              <w:jc w:val="right"/>
              <w:rPr>
                <w:sz w:val="12"/>
                <w:szCs w:val="12"/>
                <w:lang w:val="fr-BE"/>
              </w:rPr>
            </w:pPr>
          </w:p>
        </w:tc>
        <w:tc>
          <w:tcPr>
            <w:tcW w:w="0" w:type="auto"/>
            <w:shd w:val="clear" w:color="auto" w:fill="auto"/>
          </w:tcPr>
          <w:p w14:paraId="3D61B31A" w14:textId="77777777" w:rsidR="008C5CFA" w:rsidRPr="00BA47B4" w:rsidRDefault="008C5CFA" w:rsidP="00300A01">
            <w:pPr>
              <w:spacing w:before="0" w:after="0"/>
              <w:jc w:val="right"/>
              <w:rPr>
                <w:sz w:val="12"/>
                <w:szCs w:val="12"/>
                <w:lang w:val="fr-BE"/>
              </w:rPr>
            </w:pPr>
          </w:p>
        </w:tc>
        <w:tc>
          <w:tcPr>
            <w:tcW w:w="0" w:type="auto"/>
          </w:tcPr>
          <w:p w14:paraId="6820CEC0" w14:textId="77777777" w:rsidR="008C5CFA" w:rsidRPr="00A92B39" w:rsidRDefault="00E82A60" w:rsidP="00300A01">
            <w:pPr>
              <w:spacing w:before="0" w:after="0"/>
              <w:jc w:val="right"/>
              <w:rPr>
                <w:sz w:val="10"/>
                <w:szCs w:val="10"/>
                <w:lang w:val="fr-BE"/>
              </w:rPr>
            </w:pPr>
            <w:r w:rsidRPr="00A92B39">
              <w:rPr>
                <w:noProof/>
                <w:sz w:val="10"/>
                <w:szCs w:val="10"/>
                <w:lang w:val="fr-BE"/>
              </w:rPr>
              <w:t>493,00</w:t>
            </w:r>
          </w:p>
        </w:tc>
        <w:tc>
          <w:tcPr>
            <w:tcW w:w="0" w:type="auto"/>
            <w:shd w:val="clear" w:color="auto" w:fill="auto"/>
          </w:tcPr>
          <w:p w14:paraId="4DA88194" w14:textId="77777777" w:rsidR="008C5CFA" w:rsidRPr="00A92B39" w:rsidRDefault="00E82A60" w:rsidP="00300A01">
            <w:pPr>
              <w:spacing w:before="0" w:after="0"/>
              <w:jc w:val="right"/>
              <w:rPr>
                <w:sz w:val="10"/>
                <w:szCs w:val="10"/>
                <w:lang w:val="fr-BE"/>
              </w:rPr>
            </w:pPr>
            <w:r w:rsidRPr="00A92B39">
              <w:rPr>
                <w:noProof/>
                <w:sz w:val="10"/>
                <w:szCs w:val="10"/>
                <w:lang w:val="fr-BE"/>
              </w:rPr>
              <w:t>287,00</w:t>
            </w:r>
          </w:p>
        </w:tc>
        <w:tc>
          <w:tcPr>
            <w:tcW w:w="0" w:type="auto"/>
            <w:shd w:val="clear" w:color="auto" w:fill="auto"/>
          </w:tcPr>
          <w:p w14:paraId="547FDED6" w14:textId="77777777" w:rsidR="008C5CFA" w:rsidRPr="00BA47B4" w:rsidRDefault="00E82A60" w:rsidP="00300A01">
            <w:pPr>
              <w:spacing w:before="0" w:after="0"/>
              <w:jc w:val="right"/>
              <w:rPr>
                <w:sz w:val="12"/>
                <w:szCs w:val="12"/>
                <w:lang w:val="fr-BE"/>
              </w:rPr>
            </w:pPr>
            <w:r w:rsidRPr="00A92B39">
              <w:rPr>
                <w:noProof/>
                <w:sz w:val="10"/>
                <w:szCs w:val="10"/>
                <w:lang w:val="fr-BE"/>
              </w:rPr>
              <w:t>206,00</w:t>
            </w:r>
          </w:p>
        </w:tc>
      </w:tr>
      <w:tr w:rsidR="006B2EC1" w14:paraId="44558FFF" w14:textId="77777777" w:rsidTr="0047688D">
        <w:tc>
          <w:tcPr>
            <w:tcW w:w="0" w:type="auto"/>
            <w:shd w:val="clear" w:color="auto" w:fill="auto"/>
          </w:tcPr>
          <w:p w14:paraId="057C9FFF" w14:textId="77777777" w:rsidR="008C5CFA" w:rsidRPr="00BA47B4" w:rsidRDefault="00E82A60" w:rsidP="00300A01">
            <w:pPr>
              <w:spacing w:before="0" w:after="0"/>
              <w:rPr>
                <w:sz w:val="12"/>
                <w:szCs w:val="12"/>
                <w:lang w:val="fr-BE"/>
              </w:rPr>
            </w:pPr>
            <w:r>
              <w:rPr>
                <w:noProof/>
                <w:sz w:val="12"/>
                <w:szCs w:val="12"/>
                <w:lang w:val="fr-BE"/>
              </w:rPr>
              <w:t>CO08</w:t>
            </w:r>
          </w:p>
        </w:tc>
        <w:tc>
          <w:tcPr>
            <w:tcW w:w="0" w:type="auto"/>
            <w:shd w:val="clear" w:color="auto" w:fill="auto"/>
          </w:tcPr>
          <w:p w14:paraId="1912AB04" w14:textId="77777777" w:rsidR="008C5CFA" w:rsidRPr="00BA47B4" w:rsidRDefault="00E82A60" w:rsidP="00300A01">
            <w:pPr>
              <w:spacing w:before="0" w:after="0"/>
              <w:rPr>
                <w:sz w:val="12"/>
                <w:szCs w:val="12"/>
                <w:lang w:val="fr-BE"/>
              </w:rPr>
            </w:pPr>
            <w:r>
              <w:rPr>
                <w:noProof/>
                <w:sz w:val="12"/>
                <w:szCs w:val="12"/>
                <w:lang w:val="fr-BE"/>
              </w:rPr>
              <w:t>osoby powyżej 54 lat, które są bezrobotne, łącznie z długotrwale bezrobotnymi, lub są bierne zawodowo i nie uczestniczą w kształceniu ani szkoleniu</w:t>
            </w:r>
          </w:p>
        </w:tc>
        <w:tc>
          <w:tcPr>
            <w:tcW w:w="0" w:type="auto"/>
            <w:shd w:val="clear" w:color="auto" w:fill="auto"/>
          </w:tcPr>
          <w:p w14:paraId="7C3786D3" w14:textId="77777777" w:rsidR="008C5CFA" w:rsidRPr="00BA47B4" w:rsidRDefault="00E82A60"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14:paraId="793C4CB4" w14:textId="77777777" w:rsidR="008C5CFA" w:rsidRPr="00BA47B4" w:rsidRDefault="008C5CFA" w:rsidP="00300A01">
            <w:pPr>
              <w:spacing w:before="0" w:after="0"/>
              <w:jc w:val="right"/>
              <w:rPr>
                <w:sz w:val="12"/>
                <w:szCs w:val="12"/>
                <w:lang w:val="fr-BE"/>
              </w:rPr>
            </w:pPr>
          </w:p>
        </w:tc>
        <w:tc>
          <w:tcPr>
            <w:tcW w:w="0" w:type="auto"/>
            <w:shd w:val="clear" w:color="auto" w:fill="auto"/>
          </w:tcPr>
          <w:p w14:paraId="19577F91" w14:textId="77777777" w:rsidR="008C5CFA" w:rsidRPr="00BA47B4" w:rsidRDefault="008C5CFA" w:rsidP="00300A01">
            <w:pPr>
              <w:spacing w:before="0" w:after="0"/>
              <w:jc w:val="right"/>
              <w:rPr>
                <w:sz w:val="12"/>
                <w:szCs w:val="12"/>
                <w:lang w:val="fr-BE"/>
              </w:rPr>
            </w:pPr>
          </w:p>
        </w:tc>
        <w:tc>
          <w:tcPr>
            <w:tcW w:w="0" w:type="auto"/>
            <w:shd w:val="clear" w:color="auto" w:fill="auto"/>
          </w:tcPr>
          <w:p w14:paraId="4CC59FFD" w14:textId="77777777" w:rsidR="008C5CFA" w:rsidRPr="00BA47B4" w:rsidRDefault="008C5CFA" w:rsidP="00300A01">
            <w:pPr>
              <w:spacing w:before="0" w:after="0"/>
              <w:jc w:val="right"/>
              <w:rPr>
                <w:sz w:val="12"/>
                <w:szCs w:val="12"/>
                <w:lang w:val="fr-BE"/>
              </w:rPr>
            </w:pPr>
          </w:p>
        </w:tc>
        <w:tc>
          <w:tcPr>
            <w:tcW w:w="0" w:type="auto"/>
            <w:shd w:val="clear" w:color="auto" w:fill="auto"/>
          </w:tcPr>
          <w:p w14:paraId="54977D3B" w14:textId="77777777" w:rsidR="008C5CFA" w:rsidRPr="00BA47B4" w:rsidRDefault="00E82A60" w:rsidP="00300A01">
            <w:pPr>
              <w:spacing w:before="0" w:after="0"/>
              <w:jc w:val="right"/>
              <w:rPr>
                <w:sz w:val="12"/>
                <w:szCs w:val="12"/>
                <w:lang w:val="fr-BE"/>
              </w:rPr>
            </w:pPr>
            <w:r w:rsidRPr="00BA47B4">
              <w:rPr>
                <w:noProof/>
                <w:sz w:val="12"/>
                <w:szCs w:val="12"/>
                <w:lang w:val="fr-BE"/>
              </w:rPr>
              <w:t>2 428,00</w:t>
            </w:r>
          </w:p>
        </w:tc>
        <w:tc>
          <w:tcPr>
            <w:tcW w:w="0" w:type="auto"/>
            <w:shd w:val="clear" w:color="auto" w:fill="auto"/>
          </w:tcPr>
          <w:p w14:paraId="52AC35D8" w14:textId="77777777" w:rsidR="008C5CFA" w:rsidRPr="00BA47B4" w:rsidRDefault="00E82A60" w:rsidP="00300A01">
            <w:pPr>
              <w:spacing w:before="0" w:after="0"/>
              <w:jc w:val="right"/>
              <w:rPr>
                <w:sz w:val="12"/>
                <w:szCs w:val="12"/>
                <w:lang w:val="fr-BE"/>
              </w:rPr>
            </w:pPr>
            <w:r w:rsidRPr="00BA47B4">
              <w:rPr>
                <w:noProof/>
                <w:sz w:val="12"/>
                <w:szCs w:val="12"/>
                <w:lang w:val="fr-BE"/>
              </w:rPr>
              <w:t>1 498,00</w:t>
            </w:r>
          </w:p>
        </w:tc>
        <w:tc>
          <w:tcPr>
            <w:tcW w:w="0" w:type="auto"/>
            <w:shd w:val="clear" w:color="auto" w:fill="auto"/>
          </w:tcPr>
          <w:p w14:paraId="339A9183" w14:textId="77777777" w:rsidR="008C5CFA" w:rsidRPr="00BA47B4" w:rsidRDefault="00E82A60" w:rsidP="00300A01">
            <w:pPr>
              <w:spacing w:before="0" w:after="0"/>
              <w:jc w:val="right"/>
              <w:rPr>
                <w:sz w:val="12"/>
                <w:szCs w:val="12"/>
                <w:lang w:val="fr-BE"/>
              </w:rPr>
            </w:pPr>
            <w:r w:rsidRPr="00BA47B4">
              <w:rPr>
                <w:noProof/>
                <w:sz w:val="12"/>
                <w:szCs w:val="12"/>
                <w:lang w:val="fr-BE"/>
              </w:rPr>
              <w:t>930,00</w:t>
            </w:r>
          </w:p>
        </w:tc>
        <w:tc>
          <w:tcPr>
            <w:tcW w:w="0" w:type="auto"/>
            <w:shd w:val="clear" w:color="auto" w:fill="auto"/>
          </w:tcPr>
          <w:p w14:paraId="4BCD1399" w14:textId="77777777" w:rsidR="008C5CFA" w:rsidRPr="00BA47B4" w:rsidRDefault="008C5CFA" w:rsidP="00300A01">
            <w:pPr>
              <w:spacing w:before="0" w:after="0"/>
              <w:jc w:val="right"/>
              <w:rPr>
                <w:sz w:val="12"/>
                <w:szCs w:val="12"/>
                <w:lang w:val="fr-BE"/>
              </w:rPr>
            </w:pPr>
          </w:p>
        </w:tc>
        <w:tc>
          <w:tcPr>
            <w:tcW w:w="0" w:type="auto"/>
            <w:shd w:val="clear" w:color="auto" w:fill="auto"/>
          </w:tcPr>
          <w:p w14:paraId="1575B997" w14:textId="77777777" w:rsidR="008C5CFA" w:rsidRPr="00BA47B4" w:rsidRDefault="008C5CFA" w:rsidP="00300A01">
            <w:pPr>
              <w:spacing w:before="0" w:after="0"/>
              <w:jc w:val="right"/>
              <w:rPr>
                <w:sz w:val="12"/>
                <w:szCs w:val="12"/>
                <w:lang w:val="fr-BE"/>
              </w:rPr>
            </w:pPr>
          </w:p>
        </w:tc>
        <w:tc>
          <w:tcPr>
            <w:tcW w:w="0" w:type="auto"/>
            <w:shd w:val="clear" w:color="auto" w:fill="auto"/>
          </w:tcPr>
          <w:p w14:paraId="605D83A3" w14:textId="77777777" w:rsidR="008C5CFA" w:rsidRPr="00BA47B4" w:rsidRDefault="008C5CFA" w:rsidP="00300A01">
            <w:pPr>
              <w:spacing w:before="0" w:after="0"/>
              <w:jc w:val="right"/>
              <w:rPr>
                <w:sz w:val="12"/>
                <w:szCs w:val="12"/>
                <w:lang w:val="fr-BE"/>
              </w:rPr>
            </w:pPr>
          </w:p>
        </w:tc>
        <w:tc>
          <w:tcPr>
            <w:tcW w:w="0" w:type="auto"/>
          </w:tcPr>
          <w:p w14:paraId="7E8FDD60" w14:textId="77777777" w:rsidR="008C5CFA" w:rsidRPr="00A92B39" w:rsidRDefault="00E82A60" w:rsidP="00300A01">
            <w:pPr>
              <w:spacing w:before="0" w:after="0"/>
              <w:jc w:val="right"/>
              <w:rPr>
                <w:sz w:val="10"/>
                <w:szCs w:val="10"/>
                <w:lang w:val="fr-BE"/>
              </w:rPr>
            </w:pPr>
            <w:r w:rsidRPr="00A92B39">
              <w:rPr>
                <w:noProof/>
                <w:sz w:val="10"/>
                <w:szCs w:val="10"/>
                <w:lang w:val="fr-BE"/>
              </w:rPr>
              <w:t>440,00</w:t>
            </w:r>
          </w:p>
        </w:tc>
        <w:tc>
          <w:tcPr>
            <w:tcW w:w="0" w:type="auto"/>
            <w:shd w:val="clear" w:color="auto" w:fill="auto"/>
          </w:tcPr>
          <w:p w14:paraId="702CB1EB" w14:textId="77777777" w:rsidR="008C5CFA" w:rsidRPr="00A92B39" w:rsidRDefault="00E82A60" w:rsidP="00300A01">
            <w:pPr>
              <w:spacing w:before="0" w:after="0"/>
              <w:jc w:val="right"/>
              <w:rPr>
                <w:sz w:val="10"/>
                <w:szCs w:val="10"/>
                <w:lang w:val="fr-BE"/>
              </w:rPr>
            </w:pPr>
            <w:r w:rsidRPr="00A92B39">
              <w:rPr>
                <w:noProof/>
                <w:sz w:val="10"/>
                <w:szCs w:val="10"/>
                <w:lang w:val="fr-BE"/>
              </w:rPr>
              <w:t>270,00</w:t>
            </w:r>
          </w:p>
        </w:tc>
        <w:tc>
          <w:tcPr>
            <w:tcW w:w="0" w:type="auto"/>
            <w:shd w:val="clear" w:color="auto" w:fill="auto"/>
          </w:tcPr>
          <w:p w14:paraId="7DB282EC" w14:textId="77777777" w:rsidR="008C5CFA" w:rsidRPr="00BA47B4" w:rsidRDefault="00E82A60" w:rsidP="00300A01">
            <w:pPr>
              <w:spacing w:before="0" w:after="0"/>
              <w:jc w:val="right"/>
              <w:rPr>
                <w:sz w:val="12"/>
                <w:szCs w:val="12"/>
                <w:lang w:val="fr-BE"/>
              </w:rPr>
            </w:pPr>
            <w:r w:rsidRPr="00A92B39">
              <w:rPr>
                <w:noProof/>
                <w:sz w:val="10"/>
                <w:szCs w:val="10"/>
                <w:lang w:val="fr-BE"/>
              </w:rPr>
              <w:t>170,00</w:t>
            </w:r>
          </w:p>
        </w:tc>
      </w:tr>
      <w:tr w:rsidR="006B2EC1" w14:paraId="665A2822" w14:textId="77777777" w:rsidTr="0047688D">
        <w:tc>
          <w:tcPr>
            <w:tcW w:w="0" w:type="auto"/>
            <w:shd w:val="clear" w:color="auto" w:fill="auto"/>
          </w:tcPr>
          <w:p w14:paraId="2181F1A5" w14:textId="77777777" w:rsidR="008C5CFA" w:rsidRPr="00BA47B4" w:rsidRDefault="00E82A60" w:rsidP="00300A01">
            <w:pPr>
              <w:spacing w:before="0" w:after="0"/>
              <w:rPr>
                <w:sz w:val="12"/>
                <w:szCs w:val="12"/>
                <w:lang w:val="fr-BE"/>
              </w:rPr>
            </w:pPr>
            <w:r>
              <w:rPr>
                <w:noProof/>
                <w:sz w:val="12"/>
                <w:szCs w:val="12"/>
                <w:lang w:val="fr-BE"/>
              </w:rPr>
              <w:t>CO09</w:t>
            </w:r>
          </w:p>
        </w:tc>
        <w:tc>
          <w:tcPr>
            <w:tcW w:w="0" w:type="auto"/>
            <w:shd w:val="clear" w:color="auto" w:fill="auto"/>
          </w:tcPr>
          <w:p w14:paraId="11200FC6" w14:textId="77777777" w:rsidR="008C5CFA" w:rsidRPr="00BA47B4" w:rsidRDefault="00E82A60" w:rsidP="00300A01">
            <w:pPr>
              <w:spacing w:before="0" w:after="0"/>
              <w:rPr>
                <w:sz w:val="12"/>
                <w:szCs w:val="12"/>
                <w:lang w:val="fr-BE"/>
              </w:rPr>
            </w:pPr>
            <w:r>
              <w:rPr>
                <w:noProof/>
                <w:sz w:val="12"/>
                <w:szCs w:val="12"/>
                <w:lang w:val="fr-BE"/>
              </w:rPr>
              <w:t>osoby z wykształceniem podstawowym (ISCED 1) lub średnim I stopnia (ISCED 2)</w:t>
            </w:r>
          </w:p>
        </w:tc>
        <w:tc>
          <w:tcPr>
            <w:tcW w:w="0" w:type="auto"/>
            <w:shd w:val="clear" w:color="auto" w:fill="auto"/>
          </w:tcPr>
          <w:p w14:paraId="1609E7B0" w14:textId="77777777" w:rsidR="008C5CFA" w:rsidRPr="00BA47B4" w:rsidRDefault="00E82A60"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14:paraId="150A0CBA" w14:textId="77777777" w:rsidR="008C5CFA" w:rsidRPr="00BA47B4" w:rsidRDefault="008C5CFA" w:rsidP="00300A01">
            <w:pPr>
              <w:spacing w:before="0" w:after="0"/>
              <w:jc w:val="right"/>
              <w:rPr>
                <w:sz w:val="12"/>
                <w:szCs w:val="12"/>
                <w:lang w:val="fr-BE"/>
              </w:rPr>
            </w:pPr>
          </w:p>
        </w:tc>
        <w:tc>
          <w:tcPr>
            <w:tcW w:w="0" w:type="auto"/>
            <w:shd w:val="clear" w:color="auto" w:fill="auto"/>
          </w:tcPr>
          <w:p w14:paraId="3D97017B" w14:textId="77777777" w:rsidR="008C5CFA" w:rsidRPr="00BA47B4" w:rsidRDefault="008C5CFA" w:rsidP="00300A01">
            <w:pPr>
              <w:spacing w:before="0" w:after="0"/>
              <w:jc w:val="right"/>
              <w:rPr>
                <w:sz w:val="12"/>
                <w:szCs w:val="12"/>
                <w:lang w:val="fr-BE"/>
              </w:rPr>
            </w:pPr>
          </w:p>
        </w:tc>
        <w:tc>
          <w:tcPr>
            <w:tcW w:w="0" w:type="auto"/>
            <w:shd w:val="clear" w:color="auto" w:fill="auto"/>
          </w:tcPr>
          <w:p w14:paraId="65209137" w14:textId="77777777" w:rsidR="008C5CFA" w:rsidRPr="00BA47B4" w:rsidRDefault="008C5CFA" w:rsidP="00300A01">
            <w:pPr>
              <w:spacing w:before="0" w:after="0"/>
              <w:jc w:val="right"/>
              <w:rPr>
                <w:sz w:val="12"/>
                <w:szCs w:val="12"/>
                <w:lang w:val="fr-BE"/>
              </w:rPr>
            </w:pPr>
          </w:p>
        </w:tc>
        <w:tc>
          <w:tcPr>
            <w:tcW w:w="0" w:type="auto"/>
            <w:shd w:val="clear" w:color="auto" w:fill="auto"/>
          </w:tcPr>
          <w:p w14:paraId="2D6FDA66" w14:textId="77777777" w:rsidR="008C5CFA" w:rsidRPr="00BA47B4" w:rsidRDefault="00E82A60" w:rsidP="00300A01">
            <w:pPr>
              <w:spacing w:before="0" w:after="0"/>
              <w:jc w:val="right"/>
              <w:rPr>
                <w:sz w:val="12"/>
                <w:szCs w:val="12"/>
                <w:lang w:val="fr-BE"/>
              </w:rPr>
            </w:pPr>
            <w:r w:rsidRPr="00BA47B4">
              <w:rPr>
                <w:noProof/>
                <w:sz w:val="12"/>
                <w:szCs w:val="12"/>
                <w:lang w:val="fr-BE"/>
              </w:rPr>
              <w:t>3 381,00</w:t>
            </w:r>
          </w:p>
        </w:tc>
        <w:tc>
          <w:tcPr>
            <w:tcW w:w="0" w:type="auto"/>
            <w:shd w:val="clear" w:color="auto" w:fill="auto"/>
          </w:tcPr>
          <w:p w14:paraId="371A58B7" w14:textId="77777777" w:rsidR="008C5CFA" w:rsidRPr="00BA47B4" w:rsidRDefault="00E82A60" w:rsidP="00300A01">
            <w:pPr>
              <w:spacing w:before="0" w:after="0"/>
              <w:jc w:val="right"/>
              <w:rPr>
                <w:sz w:val="12"/>
                <w:szCs w:val="12"/>
                <w:lang w:val="fr-BE"/>
              </w:rPr>
            </w:pPr>
            <w:r w:rsidRPr="00BA47B4">
              <w:rPr>
                <w:noProof/>
                <w:sz w:val="12"/>
                <w:szCs w:val="12"/>
                <w:lang w:val="fr-BE"/>
              </w:rPr>
              <w:t>1 950,00</w:t>
            </w:r>
          </w:p>
        </w:tc>
        <w:tc>
          <w:tcPr>
            <w:tcW w:w="0" w:type="auto"/>
            <w:shd w:val="clear" w:color="auto" w:fill="auto"/>
          </w:tcPr>
          <w:p w14:paraId="08CA4045" w14:textId="77777777" w:rsidR="008C5CFA" w:rsidRPr="00BA47B4" w:rsidRDefault="00E82A60" w:rsidP="00300A01">
            <w:pPr>
              <w:spacing w:before="0" w:after="0"/>
              <w:jc w:val="right"/>
              <w:rPr>
                <w:sz w:val="12"/>
                <w:szCs w:val="12"/>
                <w:lang w:val="fr-BE"/>
              </w:rPr>
            </w:pPr>
            <w:r w:rsidRPr="00BA47B4">
              <w:rPr>
                <w:noProof/>
                <w:sz w:val="12"/>
                <w:szCs w:val="12"/>
                <w:lang w:val="fr-BE"/>
              </w:rPr>
              <w:t>1 431,00</w:t>
            </w:r>
          </w:p>
        </w:tc>
        <w:tc>
          <w:tcPr>
            <w:tcW w:w="0" w:type="auto"/>
            <w:shd w:val="clear" w:color="auto" w:fill="auto"/>
          </w:tcPr>
          <w:p w14:paraId="52105E19" w14:textId="77777777" w:rsidR="008C5CFA" w:rsidRPr="00BA47B4" w:rsidRDefault="008C5CFA" w:rsidP="00300A01">
            <w:pPr>
              <w:spacing w:before="0" w:after="0"/>
              <w:jc w:val="right"/>
              <w:rPr>
                <w:sz w:val="12"/>
                <w:szCs w:val="12"/>
                <w:lang w:val="fr-BE"/>
              </w:rPr>
            </w:pPr>
          </w:p>
        </w:tc>
        <w:tc>
          <w:tcPr>
            <w:tcW w:w="0" w:type="auto"/>
            <w:shd w:val="clear" w:color="auto" w:fill="auto"/>
          </w:tcPr>
          <w:p w14:paraId="58F6C66A" w14:textId="77777777" w:rsidR="008C5CFA" w:rsidRPr="00BA47B4" w:rsidRDefault="008C5CFA" w:rsidP="00300A01">
            <w:pPr>
              <w:spacing w:before="0" w:after="0"/>
              <w:jc w:val="right"/>
              <w:rPr>
                <w:sz w:val="12"/>
                <w:szCs w:val="12"/>
                <w:lang w:val="fr-BE"/>
              </w:rPr>
            </w:pPr>
          </w:p>
        </w:tc>
        <w:tc>
          <w:tcPr>
            <w:tcW w:w="0" w:type="auto"/>
            <w:shd w:val="clear" w:color="auto" w:fill="auto"/>
          </w:tcPr>
          <w:p w14:paraId="0E26A87A" w14:textId="77777777" w:rsidR="008C5CFA" w:rsidRPr="00BA47B4" w:rsidRDefault="008C5CFA" w:rsidP="00300A01">
            <w:pPr>
              <w:spacing w:before="0" w:after="0"/>
              <w:jc w:val="right"/>
              <w:rPr>
                <w:sz w:val="12"/>
                <w:szCs w:val="12"/>
                <w:lang w:val="fr-BE"/>
              </w:rPr>
            </w:pPr>
          </w:p>
        </w:tc>
        <w:tc>
          <w:tcPr>
            <w:tcW w:w="0" w:type="auto"/>
          </w:tcPr>
          <w:p w14:paraId="7C1A0D3C" w14:textId="77777777" w:rsidR="008C5CFA" w:rsidRPr="00A92B39" w:rsidRDefault="00E82A60" w:rsidP="00300A01">
            <w:pPr>
              <w:spacing w:before="0" w:after="0"/>
              <w:jc w:val="right"/>
              <w:rPr>
                <w:sz w:val="10"/>
                <w:szCs w:val="10"/>
                <w:lang w:val="fr-BE"/>
              </w:rPr>
            </w:pPr>
            <w:r w:rsidRPr="00A92B39">
              <w:rPr>
                <w:noProof/>
                <w:sz w:val="10"/>
                <w:szCs w:val="10"/>
                <w:lang w:val="fr-BE"/>
              </w:rPr>
              <w:t>525,00</w:t>
            </w:r>
          </w:p>
        </w:tc>
        <w:tc>
          <w:tcPr>
            <w:tcW w:w="0" w:type="auto"/>
            <w:shd w:val="clear" w:color="auto" w:fill="auto"/>
          </w:tcPr>
          <w:p w14:paraId="0E7AAA7D" w14:textId="77777777" w:rsidR="008C5CFA" w:rsidRPr="00A92B39" w:rsidRDefault="00E82A60" w:rsidP="00300A01">
            <w:pPr>
              <w:spacing w:before="0" w:after="0"/>
              <w:jc w:val="right"/>
              <w:rPr>
                <w:sz w:val="10"/>
                <w:szCs w:val="10"/>
                <w:lang w:val="fr-BE"/>
              </w:rPr>
            </w:pPr>
            <w:r w:rsidRPr="00A92B39">
              <w:rPr>
                <w:noProof/>
                <w:sz w:val="10"/>
                <w:szCs w:val="10"/>
                <w:lang w:val="fr-BE"/>
              </w:rPr>
              <w:t>336,00</w:t>
            </w:r>
          </w:p>
        </w:tc>
        <w:tc>
          <w:tcPr>
            <w:tcW w:w="0" w:type="auto"/>
            <w:shd w:val="clear" w:color="auto" w:fill="auto"/>
          </w:tcPr>
          <w:p w14:paraId="12EB4246" w14:textId="77777777" w:rsidR="008C5CFA" w:rsidRPr="00BA47B4" w:rsidRDefault="00E82A60" w:rsidP="00300A01">
            <w:pPr>
              <w:spacing w:before="0" w:after="0"/>
              <w:jc w:val="right"/>
              <w:rPr>
                <w:sz w:val="12"/>
                <w:szCs w:val="12"/>
                <w:lang w:val="fr-BE"/>
              </w:rPr>
            </w:pPr>
            <w:r w:rsidRPr="00A92B39">
              <w:rPr>
                <w:noProof/>
                <w:sz w:val="10"/>
                <w:szCs w:val="10"/>
                <w:lang w:val="fr-BE"/>
              </w:rPr>
              <w:t>189,00</w:t>
            </w:r>
          </w:p>
        </w:tc>
      </w:tr>
      <w:tr w:rsidR="006B2EC1" w14:paraId="35972D34" w14:textId="77777777" w:rsidTr="0047688D">
        <w:tc>
          <w:tcPr>
            <w:tcW w:w="0" w:type="auto"/>
            <w:shd w:val="clear" w:color="auto" w:fill="auto"/>
          </w:tcPr>
          <w:p w14:paraId="2BC27CBD" w14:textId="77777777" w:rsidR="008C5CFA" w:rsidRPr="00BA47B4" w:rsidRDefault="00E82A60" w:rsidP="00300A01">
            <w:pPr>
              <w:spacing w:before="0" w:after="0"/>
              <w:rPr>
                <w:sz w:val="12"/>
                <w:szCs w:val="12"/>
                <w:lang w:val="fr-BE"/>
              </w:rPr>
            </w:pPr>
            <w:r>
              <w:rPr>
                <w:noProof/>
                <w:sz w:val="12"/>
                <w:szCs w:val="12"/>
                <w:lang w:val="fr-BE"/>
              </w:rPr>
              <w:t>CO10</w:t>
            </w:r>
          </w:p>
        </w:tc>
        <w:tc>
          <w:tcPr>
            <w:tcW w:w="0" w:type="auto"/>
            <w:shd w:val="clear" w:color="auto" w:fill="auto"/>
          </w:tcPr>
          <w:p w14:paraId="5F383713" w14:textId="77777777" w:rsidR="008C5CFA" w:rsidRPr="00BA47B4" w:rsidRDefault="00E82A60" w:rsidP="00300A01">
            <w:pPr>
              <w:spacing w:before="0" w:after="0"/>
              <w:rPr>
                <w:sz w:val="12"/>
                <w:szCs w:val="12"/>
                <w:lang w:val="fr-BE"/>
              </w:rPr>
            </w:pPr>
            <w:r>
              <w:rPr>
                <w:noProof/>
                <w:sz w:val="12"/>
                <w:szCs w:val="12"/>
                <w:lang w:val="fr-BE"/>
              </w:rPr>
              <w:t>osoby z wykształceniem średnim II stopnia (ISCED 3) lub policealnym (ISCED 4)</w:t>
            </w:r>
          </w:p>
        </w:tc>
        <w:tc>
          <w:tcPr>
            <w:tcW w:w="0" w:type="auto"/>
            <w:shd w:val="clear" w:color="auto" w:fill="auto"/>
          </w:tcPr>
          <w:p w14:paraId="0AA5BAA2" w14:textId="77777777" w:rsidR="008C5CFA" w:rsidRPr="00BA47B4" w:rsidRDefault="00E82A60"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14:paraId="12F58D74" w14:textId="77777777" w:rsidR="008C5CFA" w:rsidRPr="00BA47B4" w:rsidRDefault="008C5CFA" w:rsidP="00300A01">
            <w:pPr>
              <w:spacing w:before="0" w:after="0"/>
              <w:jc w:val="right"/>
              <w:rPr>
                <w:sz w:val="12"/>
                <w:szCs w:val="12"/>
                <w:lang w:val="fr-BE"/>
              </w:rPr>
            </w:pPr>
          </w:p>
        </w:tc>
        <w:tc>
          <w:tcPr>
            <w:tcW w:w="0" w:type="auto"/>
            <w:shd w:val="clear" w:color="auto" w:fill="auto"/>
          </w:tcPr>
          <w:p w14:paraId="7140623F" w14:textId="77777777" w:rsidR="008C5CFA" w:rsidRPr="00BA47B4" w:rsidRDefault="008C5CFA" w:rsidP="00300A01">
            <w:pPr>
              <w:spacing w:before="0" w:after="0"/>
              <w:jc w:val="right"/>
              <w:rPr>
                <w:sz w:val="12"/>
                <w:szCs w:val="12"/>
                <w:lang w:val="fr-BE"/>
              </w:rPr>
            </w:pPr>
          </w:p>
        </w:tc>
        <w:tc>
          <w:tcPr>
            <w:tcW w:w="0" w:type="auto"/>
            <w:shd w:val="clear" w:color="auto" w:fill="auto"/>
          </w:tcPr>
          <w:p w14:paraId="4E05F330" w14:textId="77777777" w:rsidR="008C5CFA" w:rsidRPr="00BA47B4" w:rsidRDefault="008C5CFA" w:rsidP="00300A01">
            <w:pPr>
              <w:spacing w:before="0" w:after="0"/>
              <w:jc w:val="right"/>
              <w:rPr>
                <w:sz w:val="12"/>
                <w:szCs w:val="12"/>
                <w:lang w:val="fr-BE"/>
              </w:rPr>
            </w:pPr>
          </w:p>
        </w:tc>
        <w:tc>
          <w:tcPr>
            <w:tcW w:w="0" w:type="auto"/>
            <w:shd w:val="clear" w:color="auto" w:fill="auto"/>
          </w:tcPr>
          <w:p w14:paraId="554F4C48" w14:textId="77777777" w:rsidR="008C5CFA" w:rsidRPr="00BA47B4" w:rsidRDefault="00E82A60" w:rsidP="00300A01">
            <w:pPr>
              <w:spacing w:before="0" w:after="0"/>
              <w:jc w:val="right"/>
              <w:rPr>
                <w:sz w:val="12"/>
                <w:szCs w:val="12"/>
                <w:lang w:val="fr-BE"/>
              </w:rPr>
            </w:pPr>
            <w:r w:rsidRPr="00BA47B4">
              <w:rPr>
                <w:noProof/>
                <w:sz w:val="12"/>
                <w:szCs w:val="12"/>
                <w:lang w:val="fr-BE"/>
              </w:rPr>
              <w:t>13 640,00</w:t>
            </w:r>
          </w:p>
        </w:tc>
        <w:tc>
          <w:tcPr>
            <w:tcW w:w="0" w:type="auto"/>
            <w:shd w:val="clear" w:color="auto" w:fill="auto"/>
          </w:tcPr>
          <w:p w14:paraId="5E2E49CF" w14:textId="77777777" w:rsidR="008C5CFA" w:rsidRPr="00BA47B4" w:rsidRDefault="00E82A60" w:rsidP="00300A01">
            <w:pPr>
              <w:spacing w:before="0" w:after="0"/>
              <w:jc w:val="right"/>
              <w:rPr>
                <w:sz w:val="12"/>
                <w:szCs w:val="12"/>
                <w:lang w:val="fr-BE"/>
              </w:rPr>
            </w:pPr>
            <w:r w:rsidRPr="00BA47B4">
              <w:rPr>
                <w:noProof/>
                <w:sz w:val="12"/>
                <w:szCs w:val="12"/>
                <w:lang w:val="fr-BE"/>
              </w:rPr>
              <w:t>6 403,00</w:t>
            </w:r>
          </w:p>
        </w:tc>
        <w:tc>
          <w:tcPr>
            <w:tcW w:w="0" w:type="auto"/>
            <w:shd w:val="clear" w:color="auto" w:fill="auto"/>
          </w:tcPr>
          <w:p w14:paraId="30D27A5E" w14:textId="77777777" w:rsidR="008C5CFA" w:rsidRPr="00BA47B4" w:rsidRDefault="00E82A60" w:rsidP="00300A01">
            <w:pPr>
              <w:spacing w:before="0" w:after="0"/>
              <w:jc w:val="right"/>
              <w:rPr>
                <w:sz w:val="12"/>
                <w:szCs w:val="12"/>
                <w:lang w:val="fr-BE"/>
              </w:rPr>
            </w:pPr>
            <w:r w:rsidRPr="00BA47B4">
              <w:rPr>
                <w:noProof/>
                <w:sz w:val="12"/>
                <w:szCs w:val="12"/>
                <w:lang w:val="fr-BE"/>
              </w:rPr>
              <w:t>7 237,00</w:t>
            </w:r>
          </w:p>
        </w:tc>
        <w:tc>
          <w:tcPr>
            <w:tcW w:w="0" w:type="auto"/>
            <w:shd w:val="clear" w:color="auto" w:fill="auto"/>
          </w:tcPr>
          <w:p w14:paraId="15AD3EC5" w14:textId="77777777" w:rsidR="008C5CFA" w:rsidRPr="00BA47B4" w:rsidRDefault="008C5CFA" w:rsidP="00300A01">
            <w:pPr>
              <w:spacing w:before="0" w:after="0"/>
              <w:jc w:val="right"/>
              <w:rPr>
                <w:sz w:val="12"/>
                <w:szCs w:val="12"/>
                <w:lang w:val="fr-BE"/>
              </w:rPr>
            </w:pPr>
          </w:p>
        </w:tc>
        <w:tc>
          <w:tcPr>
            <w:tcW w:w="0" w:type="auto"/>
            <w:shd w:val="clear" w:color="auto" w:fill="auto"/>
          </w:tcPr>
          <w:p w14:paraId="324DBE25" w14:textId="77777777" w:rsidR="008C5CFA" w:rsidRPr="00BA47B4" w:rsidRDefault="008C5CFA" w:rsidP="00300A01">
            <w:pPr>
              <w:spacing w:before="0" w:after="0"/>
              <w:jc w:val="right"/>
              <w:rPr>
                <w:sz w:val="12"/>
                <w:szCs w:val="12"/>
                <w:lang w:val="fr-BE"/>
              </w:rPr>
            </w:pPr>
          </w:p>
        </w:tc>
        <w:tc>
          <w:tcPr>
            <w:tcW w:w="0" w:type="auto"/>
            <w:shd w:val="clear" w:color="auto" w:fill="auto"/>
          </w:tcPr>
          <w:p w14:paraId="6B845C38" w14:textId="77777777" w:rsidR="008C5CFA" w:rsidRPr="00BA47B4" w:rsidRDefault="008C5CFA" w:rsidP="00300A01">
            <w:pPr>
              <w:spacing w:before="0" w:after="0"/>
              <w:jc w:val="right"/>
              <w:rPr>
                <w:sz w:val="12"/>
                <w:szCs w:val="12"/>
                <w:lang w:val="fr-BE"/>
              </w:rPr>
            </w:pPr>
          </w:p>
        </w:tc>
        <w:tc>
          <w:tcPr>
            <w:tcW w:w="0" w:type="auto"/>
          </w:tcPr>
          <w:p w14:paraId="4FD2B4D2" w14:textId="77777777" w:rsidR="008C5CFA" w:rsidRPr="00A92B39" w:rsidRDefault="00E82A60" w:rsidP="00300A01">
            <w:pPr>
              <w:spacing w:before="0" w:after="0"/>
              <w:jc w:val="right"/>
              <w:rPr>
                <w:sz w:val="10"/>
                <w:szCs w:val="10"/>
                <w:lang w:val="fr-BE"/>
              </w:rPr>
            </w:pPr>
            <w:r w:rsidRPr="00A92B39">
              <w:rPr>
                <w:noProof/>
                <w:sz w:val="10"/>
                <w:szCs w:val="10"/>
                <w:lang w:val="fr-BE"/>
              </w:rPr>
              <w:t>2 650,00</w:t>
            </w:r>
          </w:p>
        </w:tc>
        <w:tc>
          <w:tcPr>
            <w:tcW w:w="0" w:type="auto"/>
            <w:shd w:val="clear" w:color="auto" w:fill="auto"/>
          </w:tcPr>
          <w:p w14:paraId="616FCC74" w14:textId="77777777" w:rsidR="008C5CFA" w:rsidRPr="00A92B39" w:rsidRDefault="00E82A60" w:rsidP="00300A01">
            <w:pPr>
              <w:spacing w:before="0" w:after="0"/>
              <w:jc w:val="right"/>
              <w:rPr>
                <w:sz w:val="10"/>
                <w:szCs w:val="10"/>
                <w:lang w:val="fr-BE"/>
              </w:rPr>
            </w:pPr>
            <w:r w:rsidRPr="00A92B39">
              <w:rPr>
                <w:noProof/>
                <w:sz w:val="10"/>
                <w:szCs w:val="10"/>
                <w:lang w:val="fr-BE"/>
              </w:rPr>
              <w:t>1 236,00</w:t>
            </w:r>
          </w:p>
        </w:tc>
        <w:tc>
          <w:tcPr>
            <w:tcW w:w="0" w:type="auto"/>
            <w:shd w:val="clear" w:color="auto" w:fill="auto"/>
          </w:tcPr>
          <w:p w14:paraId="19037B20" w14:textId="77777777" w:rsidR="008C5CFA" w:rsidRPr="00BA47B4" w:rsidRDefault="00E82A60" w:rsidP="00300A01">
            <w:pPr>
              <w:spacing w:before="0" w:after="0"/>
              <w:jc w:val="right"/>
              <w:rPr>
                <w:sz w:val="12"/>
                <w:szCs w:val="12"/>
                <w:lang w:val="fr-BE"/>
              </w:rPr>
            </w:pPr>
            <w:r w:rsidRPr="00A92B39">
              <w:rPr>
                <w:noProof/>
                <w:sz w:val="10"/>
                <w:szCs w:val="10"/>
                <w:lang w:val="fr-BE"/>
              </w:rPr>
              <w:t>1 414,00</w:t>
            </w:r>
          </w:p>
        </w:tc>
      </w:tr>
      <w:tr w:rsidR="006B2EC1" w14:paraId="0C3E9213" w14:textId="77777777" w:rsidTr="0047688D">
        <w:tc>
          <w:tcPr>
            <w:tcW w:w="0" w:type="auto"/>
            <w:shd w:val="clear" w:color="auto" w:fill="auto"/>
          </w:tcPr>
          <w:p w14:paraId="03ADEEAC" w14:textId="77777777" w:rsidR="008C5CFA" w:rsidRPr="00BA47B4" w:rsidRDefault="00E82A60" w:rsidP="00300A01">
            <w:pPr>
              <w:spacing w:before="0" w:after="0"/>
              <w:rPr>
                <w:sz w:val="12"/>
                <w:szCs w:val="12"/>
                <w:lang w:val="fr-BE"/>
              </w:rPr>
            </w:pPr>
            <w:r>
              <w:rPr>
                <w:noProof/>
                <w:sz w:val="12"/>
                <w:szCs w:val="12"/>
                <w:lang w:val="fr-BE"/>
              </w:rPr>
              <w:t>CO11</w:t>
            </w:r>
          </w:p>
        </w:tc>
        <w:tc>
          <w:tcPr>
            <w:tcW w:w="0" w:type="auto"/>
            <w:shd w:val="clear" w:color="auto" w:fill="auto"/>
          </w:tcPr>
          <w:p w14:paraId="42A9FA9A" w14:textId="77777777" w:rsidR="008C5CFA" w:rsidRPr="00BA47B4" w:rsidRDefault="00E82A60" w:rsidP="00300A01">
            <w:pPr>
              <w:spacing w:before="0" w:after="0"/>
              <w:rPr>
                <w:sz w:val="12"/>
                <w:szCs w:val="12"/>
                <w:lang w:val="fr-BE"/>
              </w:rPr>
            </w:pPr>
            <w:r>
              <w:rPr>
                <w:noProof/>
                <w:sz w:val="12"/>
                <w:szCs w:val="12"/>
                <w:lang w:val="fr-BE"/>
              </w:rPr>
              <w:t>osoby z wykształceniem wyższym (ISCED 5 do 8)</w:t>
            </w:r>
          </w:p>
        </w:tc>
        <w:tc>
          <w:tcPr>
            <w:tcW w:w="0" w:type="auto"/>
            <w:shd w:val="clear" w:color="auto" w:fill="auto"/>
          </w:tcPr>
          <w:p w14:paraId="0DFFAFAE" w14:textId="77777777" w:rsidR="008C5CFA" w:rsidRPr="00BA47B4" w:rsidRDefault="00E82A60"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14:paraId="25034F80" w14:textId="77777777" w:rsidR="008C5CFA" w:rsidRPr="00BA47B4" w:rsidRDefault="008C5CFA" w:rsidP="00300A01">
            <w:pPr>
              <w:spacing w:before="0" w:after="0"/>
              <w:jc w:val="right"/>
              <w:rPr>
                <w:sz w:val="12"/>
                <w:szCs w:val="12"/>
                <w:lang w:val="fr-BE"/>
              </w:rPr>
            </w:pPr>
          </w:p>
        </w:tc>
        <w:tc>
          <w:tcPr>
            <w:tcW w:w="0" w:type="auto"/>
            <w:shd w:val="clear" w:color="auto" w:fill="auto"/>
          </w:tcPr>
          <w:p w14:paraId="0B0D9834" w14:textId="77777777" w:rsidR="008C5CFA" w:rsidRPr="00BA47B4" w:rsidRDefault="008C5CFA" w:rsidP="00300A01">
            <w:pPr>
              <w:spacing w:before="0" w:after="0"/>
              <w:jc w:val="right"/>
              <w:rPr>
                <w:sz w:val="12"/>
                <w:szCs w:val="12"/>
                <w:lang w:val="fr-BE"/>
              </w:rPr>
            </w:pPr>
          </w:p>
        </w:tc>
        <w:tc>
          <w:tcPr>
            <w:tcW w:w="0" w:type="auto"/>
            <w:shd w:val="clear" w:color="auto" w:fill="auto"/>
          </w:tcPr>
          <w:p w14:paraId="2394A6EF" w14:textId="77777777" w:rsidR="008C5CFA" w:rsidRPr="00BA47B4" w:rsidRDefault="008C5CFA" w:rsidP="00300A01">
            <w:pPr>
              <w:spacing w:before="0" w:after="0"/>
              <w:jc w:val="right"/>
              <w:rPr>
                <w:sz w:val="12"/>
                <w:szCs w:val="12"/>
                <w:lang w:val="fr-BE"/>
              </w:rPr>
            </w:pPr>
          </w:p>
        </w:tc>
        <w:tc>
          <w:tcPr>
            <w:tcW w:w="0" w:type="auto"/>
            <w:shd w:val="clear" w:color="auto" w:fill="auto"/>
          </w:tcPr>
          <w:p w14:paraId="18D4E077" w14:textId="77777777" w:rsidR="008C5CFA" w:rsidRPr="00BA47B4" w:rsidRDefault="00E82A60" w:rsidP="00300A01">
            <w:pPr>
              <w:spacing w:before="0" w:after="0"/>
              <w:jc w:val="right"/>
              <w:rPr>
                <w:sz w:val="12"/>
                <w:szCs w:val="12"/>
                <w:lang w:val="fr-BE"/>
              </w:rPr>
            </w:pPr>
            <w:r w:rsidRPr="00BA47B4">
              <w:rPr>
                <w:noProof/>
                <w:sz w:val="12"/>
                <w:szCs w:val="12"/>
                <w:lang w:val="fr-BE"/>
              </w:rPr>
              <w:t>4 095,00</w:t>
            </w:r>
          </w:p>
        </w:tc>
        <w:tc>
          <w:tcPr>
            <w:tcW w:w="0" w:type="auto"/>
            <w:shd w:val="clear" w:color="auto" w:fill="auto"/>
          </w:tcPr>
          <w:p w14:paraId="39B3ED34" w14:textId="77777777" w:rsidR="008C5CFA" w:rsidRPr="00BA47B4" w:rsidRDefault="00E82A60" w:rsidP="00300A01">
            <w:pPr>
              <w:spacing w:before="0" w:after="0"/>
              <w:jc w:val="right"/>
              <w:rPr>
                <w:sz w:val="12"/>
                <w:szCs w:val="12"/>
                <w:lang w:val="fr-BE"/>
              </w:rPr>
            </w:pPr>
            <w:r w:rsidRPr="00BA47B4">
              <w:rPr>
                <w:noProof/>
                <w:sz w:val="12"/>
                <w:szCs w:val="12"/>
                <w:lang w:val="fr-BE"/>
              </w:rPr>
              <w:t>600,00</w:t>
            </w:r>
          </w:p>
        </w:tc>
        <w:tc>
          <w:tcPr>
            <w:tcW w:w="0" w:type="auto"/>
            <w:shd w:val="clear" w:color="auto" w:fill="auto"/>
          </w:tcPr>
          <w:p w14:paraId="469FB1AB" w14:textId="77777777" w:rsidR="008C5CFA" w:rsidRPr="00BA47B4" w:rsidRDefault="00E82A60" w:rsidP="00300A01">
            <w:pPr>
              <w:spacing w:before="0" w:after="0"/>
              <w:jc w:val="right"/>
              <w:rPr>
                <w:sz w:val="12"/>
                <w:szCs w:val="12"/>
                <w:lang w:val="fr-BE"/>
              </w:rPr>
            </w:pPr>
            <w:r w:rsidRPr="00BA47B4">
              <w:rPr>
                <w:noProof/>
                <w:sz w:val="12"/>
                <w:szCs w:val="12"/>
                <w:lang w:val="fr-BE"/>
              </w:rPr>
              <w:t>3 495,00</w:t>
            </w:r>
          </w:p>
        </w:tc>
        <w:tc>
          <w:tcPr>
            <w:tcW w:w="0" w:type="auto"/>
            <w:shd w:val="clear" w:color="auto" w:fill="auto"/>
          </w:tcPr>
          <w:p w14:paraId="776FB56D" w14:textId="77777777" w:rsidR="008C5CFA" w:rsidRPr="00BA47B4" w:rsidRDefault="008C5CFA" w:rsidP="00300A01">
            <w:pPr>
              <w:spacing w:before="0" w:after="0"/>
              <w:jc w:val="right"/>
              <w:rPr>
                <w:sz w:val="12"/>
                <w:szCs w:val="12"/>
                <w:lang w:val="fr-BE"/>
              </w:rPr>
            </w:pPr>
          </w:p>
        </w:tc>
        <w:tc>
          <w:tcPr>
            <w:tcW w:w="0" w:type="auto"/>
            <w:shd w:val="clear" w:color="auto" w:fill="auto"/>
          </w:tcPr>
          <w:p w14:paraId="138FFB4E" w14:textId="77777777" w:rsidR="008C5CFA" w:rsidRPr="00BA47B4" w:rsidRDefault="008C5CFA" w:rsidP="00300A01">
            <w:pPr>
              <w:spacing w:before="0" w:after="0"/>
              <w:jc w:val="right"/>
              <w:rPr>
                <w:sz w:val="12"/>
                <w:szCs w:val="12"/>
                <w:lang w:val="fr-BE"/>
              </w:rPr>
            </w:pPr>
          </w:p>
        </w:tc>
        <w:tc>
          <w:tcPr>
            <w:tcW w:w="0" w:type="auto"/>
            <w:shd w:val="clear" w:color="auto" w:fill="auto"/>
          </w:tcPr>
          <w:p w14:paraId="15A8979C" w14:textId="77777777" w:rsidR="008C5CFA" w:rsidRPr="00BA47B4" w:rsidRDefault="008C5CFA" w:rsidP="00300A01">
            <w:pPr>
              <w:spacing w:before="0" w:after="0"/>
              <w:jc w:val="right"/>
              <w:rPr>
                <w:sz w:val="12"/>
                <w:szCs w:val="12"/>
                <w:lang w:val="fr-BE"/>
              </w:rPr>
            </w:pPr>
          </w:p>
        </w:tc>
        <w:tc>
          <w:tcPr>
            <w:tcW w:w="0" w:type="auto"/>
          </w:tcPr>
          <w:p w14:paraId="7FCCFEF4" w14:textId="77777777" w:rsidR="008C5CFA" w:rsidRPr="00A92B39" w:rsidRDefault="00E82A60" w:rsidP="00300A01">
            <w:pPr>
              <w:spacing w:before="0" w:after="0"/>
              <w:jc w:val="right"/>
              <w:rPr>
                <w:sz w:val="10"/>
                <w:szCs w:val="10"/>
                <w:lang w:val="fr-BE"/>
              </w:rPr>
            </w:pPr>
            <w:r w:rsidRPr="00A92B39">
              <w:rPr>
                <w:noProof/>
                <w:sz w:val="10"/>
                <w:szCs w:val="10"/>
                <w:lang w:val="fr-BE"/>
              </w:rPr>
              <w:t>806,00</w:t>
            </w:r>
          </w:p>
        </w:tc>
        <w:tc>
          <w:tcPr>
            <w:tcW w:w="0" w:type="auto"/>
            <w:shd w:val="clear" w:color="auto" w:fill="auto"/>
          </w:tcPr>
          <w:p w14:paraId="765DDB30" w14:textId="77777777" w:rsidR="008C5CFA" w:rsidRPr="00A92B39" w:rsidRDefault="00E82A60" w:rsidP="00300A01">
            <w:pPr>
              <w:spacing w:before="0" w:after="0"/>
              <w:jc w:val="right"/>
              <w:rPr>
                <w:sz w:val="10"/>
                <w:szCs w:val="10"/>
                <w:lang w:val="fr-BE"/>
              </w:rPr>
            </w:pPr>
            <w:r w:rsidRPr="00A92B39">
              <w:rPr>
                <w:noProof/>
                <w:sz w:val="10"/>
                <w:szCs w:val="10"/>
                <w:lang w:val="fr-BE"/>
              </w:rPr>
              <w:t>88,00</w:t>
            </w:r>
          </w:p>
        </w:tc>
        <w:tc>
          <w:tcPr>
            <w:tcW w:w="0" w:type="auto"/>
            <w:shd w:val="clear" w:color="auto" w:fill="auto"/>
          </w:tcPr>
          <w:p w14:paraId="09AEA6B8" w14:textId="77777777" w:rsidR="008C5CFA" w:rsidRPr="00BA47B4" w:rsidRDefault="00E82A60" w:rsidP="00300A01">
            <w:pPr>
              <w:spacing w:before="0" w:after="0"/>
              <w:jc w:val="right"/>
              <w:rPr>
                <w:sz w:val="12"/>
                <w:szCs w:val="12"/>
                <w:lang w:val="fr-BE"/>
              </w:rPr>
            </w:pPr>
            <w:r w:rsidRPr="00A92B39">
              <w:rPr>
                <w:noProof/>
                <w:sz w:val="10"/>
                <w:szCs w:val="10"/>
                <w:lang w:val="fr-BE"/>
              </w:rPr>
              <w:t>718,00</w:t>
            </w:r>
          </w:p>
        </w:tc>
      </w:tr>
      <w:tr w:rsidR="006B2EC1" w14:paraId="05DDFA06" w14:textId="77777777" w:rsidTr="0047688D">
        <w:tc>
          <w:tcPr>
            <w:tcW w:w="0" w:type="auto"/>
            <w:shd w:val="clear" w:color="auto" w:fill="auto"/>
          </w:tcPr>
          <w:p w14:paraId="5776A357" w14:textId="77777777" w:rsidR="008C5CFA" w:rsidRPr="00BA47B4" w:rsidRDefault="00E82A60" w:rsidP="00300A01">
            <w:pPr>
              <w:spacing w:before="0" w:after="0"/>
              <w:rPr>
                <w:sz w:val="12"/>
                <w:szCs w:val="12"/>
                <w:lang w:val="fr-BE"/>
              </w:rPr>
            </w:pPr>
            <w:r>
              <w:rPr>
                <w:noProof/>
                <w:sz w:val="12"/>
                <w:szCs w:val="12"/>
                <w:lang w:val="fr-BE"/>
              </w:rPr>
              <w:t>CO15</w:t>
            </w:r>
          </w:p>
        </w:tc>
        <w:tc>
          <w:tcPr>
            <w:tcW w:w="0" w:type="auto"/>
            <w:shd w:val="clear" w:color="auto" w:fill="auto"/>
          </w:tcPr>
          <w:p w14:paraId="7D652289" w14:textId="77777777" w:rsidR="008C5CFA" w:rsidRPr="00BA47B4" w:rsidRDefault="00E82A60" w:rsidP="00300A01">
            <w:pPr>
              <w:spacing w:before="0" w:after="0"/>
              <w:rPr>
                <w:sz w:val="12"/>
                <w:szCs w:val="12"/>
                <w:lang w:val="fr-BE"/>
              </w:rPr>
            </w:pPr>
            <w:r>
              <w:rPr>
                <w:noProof/>
                <w:sz w:val="12"/>
                <w:szCs w:val="12"/>
                <w:lang w:val="fr-BE"/>
              </w:rPr>
              <w:t>migranci, uczestnicy obcego pochodzenia, mniejszości (w tym społeczności marginalizowane, takie jak Romowie)</w:t>
            </w:r>
          </w:p>
        </w:tc>
        <w:tc>
          <w:tcPr>
            <w:tcW w:w="0" w:type="auto"/>
            <w:shd w:val="clear" w:color="auto" w:fill="auto"/>
          </w:tcPr>
          <w:p w14:paraId="2BEACB1F" w14:textId="77777777" w:rsidR="008C5CFA" w:rsidRPr="00BA47B4" w:rsidRDefault="00E82A60"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14:paraId="697F26B9" w14:textId="77777777" w:rsidR="008C5CFA" w:rsidRPr="00BA47B4" w:rsidRDefault="008C5CFA" w:rsidP="00300A01">
            <w:pPr>
              <w:spacing w:before="0" w:after="0"/>
              <w:jc w:val="right"/>
              <w:rPr>
                <w:sz w:val="12"/>
                <w:szCs w:val="12"/>
                <w:lang w:val="fr-BE"/>
              </w:rPr>
            </w:pPr>
          </w:p>
        </w:tc>
        <w:tc>
          <w:tcPr>
            <w:tcW w:w="0" w:type="auto"/>
            <w:shd w:val="clear" w:color="auto" w:fill="auto"/>
          </w:tcPr>
          <w:p w14:paraId="4DFD6577" w14:textId="77777777" w:rsidR="008C5CFA" w:rsidRPr="00BA47B4" w:rsidRDefault="008C5CFA" w:rsidP="00300A01">
            <w:pPr>
              <w:spacing w:before="0" w:after="0"/>
              <w:jc w:val="right"/>
              <w:rPr>
                <w:sz w:val="12"/>
                <w:szCs w:val="12"/>
                <w:lang w:val="fr-BE"/>
              </w:rPr>
            </w:pPr>
          </w:p>
        </w:tc>
        <w:tc>
          <w:tcPr>
            <w:tcW w:w="0" w:type="auto"/>
            <w:shd w:val="clear" w:color="auto" w:fill="auto"/>
          </w:tcPr>
          <w:p w14:paraId="0D2A7368" w14:textId="77777777" w:rsidR="008C5CFA" w:rsidRPr="00BA47B4" w:rsidRDefault="008C5CFA" w:rsidP="00300A01">
            <w:pPr>
              <w:spacing w:before="0" w:after="0"/>
              <w:jc w:val="right"/>
              <w:rPr>
                <w:sz w:val="12"/>
                <w:szCs w:val="12"/>
                <w:lang w:val="fr-BE"/>
              </w:rPr>
            </w:pPr>
          </w:p>
        </w:tc>
        <w:tc>
          <w:tcPr>
            <w:tcW w:w="0" w:type="auto"/>
            <w:shd w:val="clear" w:color="auto" w:fill="auto"/>
          </w:tcPr>
          <w:p w14:paraId="309A02D9" w14:textId="77777777" w:rsidR="008C5CFA" w:rsidRPr="00BA47B4" w:rsidRDefault="00E82A60" w:rsidP="00300A01">
            <w:pPr>
              <w:spacing w:before="0" w:after="0"/>
              <w:jc w:val="right"/>
              <w:rPr>
                <w:sz w:val="12"/>
                <w:szCs w:val="12"/>
                <w:lang w:val="fr-BE"/>
              </w:rPr>
            </w:pPr>
            <w:r w:rsidRPr="00BA47B4">
              <w:rPr>
                <w:noProof/>
                <w:sz w:val="12"/>
                <w:szCs w:val="12"/>
                <w:lang w:val="fr-BE"/>
              </w:rPr>
              <w:t>108,00</w:t>
            </w:r>
          </w:p>
        </w:tc>
        <w:tc>
          <w:tcPr>
            <w:tcW w:w="0" w:type="auto"/>
            <w:shd w:val="clear" w:color="auto" w:fill="auto"/>
          </w:tcPr>
          <w:p w14:paraId="1F6BFCCD" w14:textId="77777777" w:rsidR="008C5CFA" w:rsidRPr="00BA47B4" w:rsidRDefault="00E82A60" w:rsidP="00300A01">
            <w:pPr>
              <w:spacing w:before="0" w:after="0"/>
              <w:jc w:val="right"/>
              <w:rPr>
                <w:sz w:val="12"/>
                <w:szCs w:val="12"/>
                <w:lang w:val="fr-BE"/>
              </w:rPr>
            </w:pPr>
            <w:r w:rsidRPr="00BA47B4">
              <w:rPr>
                <w:noProof/>
                <w:sz w:val="12"/>
                <w:szCs w:val="12"/>
                <w:lang w:val="fr-BE"/>
              </w:rPr>
              <w:t>44,00</w:t>
            </w:r>
          </w:p>
        </w:tc>
        <w:tc>
          <w:tcPr>
            <w:tcW w:w="0" w:type="auto"/>
            <w:shd w:val="clear" w:color="auto" w:fill="auto"/>
          </w:tcPr>
          <w:p w14:paraId="0CCE0045" w14:textId="77777777" w:rsidR="008C5CFA" w:rsidRPr="00BA47B4" w:rsidRDefault="00E82A60" w:rsidP="00300A01">
            <w:pPr>
              <w:spacing w:before="0" w:after="0"/>
              <w:jc w:val="right"/>
              <w:rPr>
                <w:sz w:val="12"/>
                <w:szCs w:val="12"/>
                <w:lang w:val="fr-BE"/>
              </w:rPr>
            </w:pPr>
            <w:r w:rsidRPr="00BA47B4">
              <w:rPr>
                <w:noProof/>
                <w:sz w:val="12"/>
                <w:szCs w:val="12"/>
                <w:lang w:val="fr-BE"/>
              </w:rPr>
              <w:t>64,00</w:t>
            </w:r>
          </w:p>
        </w:tc>
        <w:tc>
          <w:tcPr>
            <w:tcW w:w="0" w:type="auto"/>
            <w:shd w:val="clear" w:color="auto" w:fill="auto"/>
          </w:tcPr>
          <w:p w14:paraId="55ED0898" w14:textId="77777777" w:rsidR="008C5CFA" w:rsidRPr="00BA47B4" w:rsidRDefault="008C5CFA" w:rsidP="00300A01">
            <w:pPr>
              <w:spacing w:before="0" w:after="0"/>
              <w:jc w:val="right"/>
              <w:rPr>
                <w:sz w:val="12"/>
                <w:szCs w:val="12"/>
                <w:lang w:val="fr-BE"/>
              </w:rPr>
            </w:pPr>
          </w:p>
        </w:tc>
        <w:tc>
          <w:tcPr>
            <w:tcW w:w="0" w:type="auto"/>
            <w:shd w:val="clear" w:color="auto" w:fill="auto"/>
          </w:tcPr>
          <w:p w14:paraId="016F8B89" w14:textId="77777777" w:rsidR="008C5CFA" w:rsidRPr="00BA47B4" w:rsidRDefault="008C5CFA" w:rsidP="00300A01">
            <w:pPr>
              <w:spacing w:before="0" w:after="0"/>
              <w:jc w:val="right"/>
              <w:rPr>
                <w:sz w:val="12"/>
                <w:szCs w:val="12"/>
                <w:lang w:val="fr-BE"/>
              </w:rPr>
            </w:pPr>
          </w:p>
        </w:tc>
        <w:tc>
          <w:tcPr>
            <w:tcW w:w="0" w:type="auto"/>
            <w:shd w:val="clear" w:color="auto" w:fill="auto"/>
          </w:tcPr>
          <w:p w14:paraId="2F48B1DB" w14:textId="77777777" w:rsidR="008C5CFA" w:rsidRPr="00BA47B4" w:rsidRDefault="008C5CFA" w:rsidP="00300A01">
            <w:pPr>
              <w:spacing w:before="0" w:after="0"/>
              <w:jc w:val="right"/>
              <w:rPr>
                <w:sz w:val="12"/>
                <w:szCs w:val="12"/>
                <w:lang w:val="fr-BE"/>
              </w:rPr>
            </w:pPr>
          </w:p>
        </w:tc>
        <w:tc>
          <w:tcPr>
            <w:tcW w:w="0" w:type="auto"/>
          </w:tcPr>
          <w:p w14:paraId="12DBE30C" w14:textId="77777777" w:rsidR="008C5CFA" w:rsidRPr="00A92B39" w:rsidRDefault="00E82A60" w:rsidP="00300A01">
            <w:pPr>
              <w:spacing w:before="0" w:after="0"/>
              <w:jc w:val="right"/>
              <w:rPr>
                <w:sz w:val="10"/>
                <w:szCs w:val="10"/>
                <w:lang w:val="fr-BE"/>
              </w:rPr>
            </w:pPr>
            <w:r w:rsidRPr="00A92B39">
              <w:rPr>
                <w:noProof/>
                <w:sz w:val="10"/>
                <w:szCs w:val="10"/>
                <w:lang w:val="fr-BE"/>
              </w:rPr>
              <w:t>12,00</w:t>
            </w:r>
          </w:p>
        </w:tc>
        <w:tc>
          <w:tcPr>
            <w:tcW w:w="0" w:type="auto"/>
            <w:shd w:val="clear" w:color="auto" w:fill="auto"/>
          </w:tcPr>
          <w:p w14:paraId="18A20317" w14:textId="77777777" w:rsidR="008C5CFA" w:rsidRPr="00A92B39" w:rsidRDefault="00E82A60" w:rsidP="00300A01">
            <w:pPr>
              <w:spacing w:before="0" w:after="0"/>
              <w:jc w:val="right"/>
              <w:rPr>
                <w:sz w:val="10"/>
                <w:szCs w:val="10"/>
                <w:lang w:val="fr-BE"/>
              </w:rPr>
            </w:pPr>
            <w:r w:rsidRPr="00A92B39">
              <w:rPr>
                <w:noProof/>
                <w:sz w:val="10"/>
                <w:szCs w:val="10"/>
                <w:lang w:val="fr-BE"/>
              </w:rPr>
              <w:t>3,00</w:t>
            </w:r>
          </w:p>
        </w:tc>
        <w:tc>
          <w:tcPr>
            <w:tcW w:w="0" w:type="auto"/>
            <w:shd w:val="clear" w:color="auto" w:fill="auto"/>
          </w:tcPr>
          <w:p w14:paraId="1A5D3C46" w14:textId="77777777" w:rsidR="008C5CFA" w:rsidRPr="00BA47B4" w:rsidRDefault="00E82A60" w:rsidP="00300A01">
            <w:pPr>
              <w:spacing w:before="0" w:after="0"/>
              <w:jc w:val="right"/>
              <w:rPr>
                <w:sz w:val="12"/>
                <w:szCs w:val="12"/>
                <w:lang w:val="fr-BE"/>
              </w:rPr>
            </w:pPr>
            <w:r w:rsidRPr="00A92B39">
              <w:rPr>
                <w:noProof/>
                <w:sz w:val="10"/>
                <w:szCs w:val="10"/>
                <w:lang w:val="fr-BE"/>
              </w:rPr>
              <w:t>9,00</w:t>
            </w:r>
          </w:p>
        </w:tc>
      </w:tr>
      <w:tr w:rsidR="006B2EC1" w14:paraId="7C92740B" w14:textId="77777777" w:rsidTr="0047688D">
        <w:tc>
          <w:tcPr>
            <w:tcW w:w="0" w:type="auto"/>
            <w:shd w:val="clear" w:color="auto" w:fill="auto"/>
          </w:tcPr>
          <w:p w14:paraId="2FCD76EF" w14:textId="77777777" w:rsidR="008C5CFA" w:rsidRPr="00BA47B4" w:rsidRDefault="00E82A60" w:rsidP="00300A01">
            <w:pPr>
              <w:spacing w:before="0" w:after="0"/>
              <w:rPr>
                <w:sz w:val="12"/>
                <w:szCs w:val="12"/>
                <w:lang w:val="fr-BE"/>
              </w:rPr>
            </w:pPr>
            <w:r>
              <w:rPr>
                <w:noProof/>
                <w:sz w:val="12"/>
                <w:szCs w:val="12"/>
                <w:lang w:val="fr-BE"/>
              </w:rPr>
              <w:t>CO16</w:t>
            </w:r>
          </w:p>
        </w:tc>
        <w:tc>
          <w:tcPr>
            <w:tcW w:w="0" w:type="auto"/>
            <w:shd w:val="clear" w:color="auto" w:fill="auto"/>
          </w:tcPr>
          <w:p w14:paraId="78587A3D" w14:textId="77777777" w:rsidR="008C5CFA" w:rsidRPr="00BA47B4" w:rsidRDefault="00E82A60" w:rsidP="00300A01">
            <w:pPr>
              <w:spacing w:before="0" w:after="0"/>
              <w:rPr>
                <w:sz w:val="12"/>
                <w:szCs w:val="12"/>
                <w:lang w:val="fr-BE"/>
              </w:rPr>
            </w:pPr>
            <w:r>
              <w:rPr>
                <w:noProof/>
                <w:sz w:val="12"/>
                <w:szCs w:val="12"/>
                <w:lang w:val="fr-BE"/>
              </w:rPr>
              <w:t>uczestnicy z niepełnosprawnościami</w:t>
            </w:r>
          </w:p>
        </w:tc>
        <w:tc>
          <w:tcPr>
            <w:tcW w:w="0" w:type="auto"/>
            <w:shd w:val="clear" w:color="auto" w:fill="auto"/>
          </w:tcPr>
          <w:p w14:paraId="75565C52" w14:textId="77777777" w:rsidR="008C5CFA" w:rsidRPr="00BA47B4" w:rsidRDefault="00E82A60"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14:paraId="0D20BC70" w14:textId="77777777" w:rsidR="008C5CFA" w:rsidRPr="00BA47B4" w:rsidRDefault="00E82A60" w:rsidP="00300A01">
            <w:pPr>
              <w:spacing w:before="0" w:after="0"/>
              <w:jc w:val="right"/>
              <w:rPr>
                <w:sz w:val="12"/>
                <w:szCs w:val="12"/>
                <w:lang w:val="fr-BE"/>
              </w:rPr>
            </w:pPr>
            <w:r>
              <w:rPr>
                <w:noProof/>
                <w:sz w:val="12"/>
                <w:szCs w:val="12"/>
                <w:lang w:val="fr-BE"/>
              </w:rPr>
              <w:t>1 132,00</w:t>
            </w:r>
          </w:p>
        </w:tc>
        <w:tc>
          <w:tcPr>
            <w:tcW w:w="0" w:type="auto"/>
            <w:shd w:val="clear" w:color="auto" w:fill="auto"/>
          </w:tcPr>
          <w:p w14:paraId="3BE9D7E6" w14:textId="77777777" w:rsidR="008C5CFA" w:rsidRPr="00BA47B4" w:rsidRDefault="00E82A60" w:rsidP="00300A01">
            <w:pPr>
              <w:spacing w:before="0" w:after="0"/>
              <w:jc w:val="right"/>
              <w:rPr>
                <w:sz w:val="12"/>
                <w:szCs w:val="12"/>
                <w:lang w:val="fr-BE"/>
              </w:rPr>
            </w:pPr>
            <w:r>
              <w:rPr>
                <w:noProof/>
                <w:sz w:val="12"/>
                <w:szCs w:val="12"/>
                <w:lang w:val="fr-BE"/>
              </w:rPr>
              <w:t>439,00</w:t>
            </w:r>
          </w:p>
        </w:tc>
        <w:tc>
          <w:tcPr>
            <w:tcW w:w="0" w:type="auto"/>
            <w:shd w:val="clear" w:color="auto" w:fill="auto"/>
          </w:tcPr>
          <w:p w14:paraId="150C69C6" w14:textId="77777777" w:rsidR="008C5CFA" w:rsidRPr="00BA47B4" w:rsidRDefault="00E82A60" w:rsidP="00300A01">
            <w:pPr>
              <w:spacing w:before="0" w:after="0"/>
              <w:jc w:val="right"/>
              <w:rPr>
                <w:sz w:val="12"/>
                <w:szCs w:val="12"/>
                <w:lang w:val="fr-BE"/>
              </w:rPr>
            </w:pPr>
            <w:r>
              <w:rPr>
                <w:noProof/>
                <w:sz w:val="12"/>
                <w:szCs w:val="12"/>
                <w:lang w:val="fr-BE"/>
              </w:rPr>
              <w:t>693,00</w:t>
            </w:r>
          </w:p>
        </w:tc>
        <w:tc>
          <w:tcPr>
            <w:tcW w:w="0" w:type="auto"/>
            <w:shd w:val="clear" w:color="auto" w:fill="auto"/>
          </w:tcPr>
          <w:p w14:paraId="184294E4" w14:textId="77777777" w:rsidR="008C5CFA" w:rsidRPr="00BA47B4" w:rsidRDefault="00E82A60" w:rsidP="00300A01">
            <w:pPr>
              <w:spacing w:before="0" w:after="0"/>
              <w:jc w:val="right"/>
              <w:rPr>
                <w:sz w:val="12"/>
                <w:szCs w:val="12"/>
                <w:lang w:val="fr-BE"/>
              </w:rPr>
            </w:pPr>
            <w:r w:rsidRPr="00BA47B4">
              <w:rPr>
                <w:noProof/>
                <w:sz w:val="12"/>
                <w:szCs w:val="12"/>
                <w:lang w:val="fr-BE"/>
              </w:rPr>
              <w:t>2 164,00</w:t>
            </w:r>
          </w:p>
        </w:tc>
        <w:tc>
          <w:tcPr>
            <w:tcW w:w="0" w:type="auto"/>
            <w:shd w:val="clear" w:color="auto" w:fill="auto"/>
          </w:tcPr>
          <w:p w14:paraId="4D56BF00" w14:textId="77777777" w:rsidR="008C5CFA" w:rsidRPr="00BA47B4" w:rsidRDefault="00E82A60" w:rsidP="00300A01">
            <w:pPr>
              <w:spacing w:before="0" w:after="0"/>
              <w:jc w:val="right"/>
              <w:rPr>
                <w:sz w:val="12"/>
                <w:szCs w:val="12"/>
                <w:lang w:val="fr-BE"/>
              </w:rPr>
            </w:pPr>
            <w:r w:rsidRPr="00BA47B4">
              <w:rPr>
                <w:noProof/>
                <w:sz w:val="12"/>
                <w:szCs w:val="12"/>
                <w:lang w:val="fr-BE"/>
              </w:rPr>
              <w:t>939,00</w:t>
            </w:r>
          </w:p>
        </w:tc>
        <w:tc>
          <w:tcPr>
            <w:tcW w:w="0" w:type="auto"/>
            <w:shd w:val="clear" w:color="auto" w:fill="auto"/>
          </w:tcPr>
          <w:p w14:paraId="13EA4A7B" w14:textId="77777777" w:rsidR="008C5CFA" w:rsidRPr="00BA47B4" w:rsidRDefault="00E82A60" w:rsidP="00300A01">
            <w:pPr>
              <w:spacing w:before="0" w:after="0"/>
              <w:jc w:val="right"/>
              <w:rPr>
                <w:sz w:val="12"/>
                <w:szCs w:val="12"/>
                <w:lang w:val="fr-BE"/>
              </w:rPr>
            </w:pPr>
            <w:r w:rsidRPr="00BA47B4">
              <w:rPr>
                <w:noProof/>
                <w:sz w:val="12"/>
                <w:szCs w:val="12"/>
                <w:lang w:val="fr-BE"/>
              </w:rPr>
              <w:t>1 225,00</w:t>
            </w:r>
          </w:p>
        </w:tc>
        <w:tc>
          <w:tcPr>
            <w:tcW w:w="0" w:type="auto"/>
            <w:shd w:val="clear" w:color="auto" w:fill="auto"/>
          </w:tcPr>
          <w:p w14:paraId="1E37FE3E" w14:textId="77777777" w:rsidR="008C5CFA" w:rsidRPr="00BA47B4" w:rsidRDefault="00E82A60" w:rsidP="00300A01">
            <w:pPr>
              <w:spacing w:before="0" w:after="0"/>
              <w:jc w:val="right"/>
              <w:rPr>
                <w:sz w:val="12"/>
                <w:szCs w:val="12"/>
                <w:lang w:val="fr-BE"/>
              </w:rPr>
            </w:pPr>
            <w:r>
              <w:rPr>
                <w:noProof/>
                <w:sz w:val="12"/>
                <w:szCs w:val="12"/>
                <w:lang w:val="fr-BE"/>
              </w:rPr>
              <w:t>1,91</w:t>
            </w:r>
          </w:p>
        </w:tc>
        <w:tc>
          <w:tcPr>
            <w:tcW w:w="0" w:type="auto"/>
            <w:shd w:val="clear" w:color="auto" w:fill="auto"/>
          </w:tcPr>
          <w:p w14:paraId="652154C8" w14:textId="77777777" w:rsidR="008C5CFA" w:rsidRPr="00BA47B4" w:rsidRDefault="00E82A60" w:rsidP="00300A01">
            <w:pPr>
              <w:spacing w:before="0" w:after="0"/>
              <w:jc w:val="right"/>
              <w:rPr>
                <w:sz w:val="12"/>
                <w:szCs w:val="12"/>
                <w:lang w:val="fr-BE"/>
              </w:rPr>
            </w:pPr>
            <w:r>
              <w:rPr>
                <w:noProof/>
                <w:sz w:val="12"/>
                <w:szCs w:val="12"/>
                <w:lang w:val="fr-BE"/>
              </w:rPr>
              <w:t>2,14</w:t>
            </w:r>
          </w:p>
        </w:tc>
        <w:tc>
          <w:tcPr>
            <w:tcW w:w="0" w:type="auto"/>
            <w:shd w:val="clear" w:color="auto" w:fill="auto"/>
          </w:tcPr>
          <w:p w14:paraId="4ABE68B4" w14:textId="77777777" w:rsidR="008C5CFA" w:rsidRPr="00BA47B4" w:rsidRDefault="00E82A60" w:rsidP="00300A01">
            <w:pPr>
              <w:spacing w:before="0" w:after="0"/>
              <w:jc w:val="right"/>
              <w:rPr>
                <w:sz w:val="12"/>
                <w:szCs w:val="12"/>
                <w:lang w:val="fr-BE"/>
              </w:rPr>
            </w:pPr>
            <w:r>
              <w:rPr>
                <w:noProof/>
                <w:sz w:val="12"/>
                <w:szCs w:val="12"/>
                <w:lang w:val="fr-BE"/>
              </w:rPr>
              <w:t>1,77</w:t>
            </w:r>
          </w:p>
        </w:tc>
        <w:tc>
          <w:tcPr>
            <w:tcW w:w="0" w:type="auto"/>
          </w:tcPr>
          <w:p w14:paraId="05C39863" w14:textId="77777777" w:rsidR="008C5CFA" w:rsidRPr="00A92B39" w:rsidRDefault="00E82A60" w:rsidP="00300A01">
            <w:pPr>
              <w:spacing w:before="0" w:after="0"/>
              <w:jc w:val="right"/>
              <w:rPr>
                <w:sz w:val="10"/>
                <w:szCs w:val="10"/>
                <w:lang w:val="fr-BE"/>
              </w:rPr>
            </w:pPr>
            <w:r w:rsidRPr="00A92B39">
              <w:rPr>
                <w:noProof/>
                <w:sz w:val="10"/>
                <w:szCs w:val="10"/>
                <w:lang w:val="fr-BE"/>
              </w:rPr>
              <w:t>318,00</w:t>
            </w:r>
          </w:p>
        </w:tc>
        <w:tc>
          <w:tcPr>
            <w:tcW w:w="0" w:type="auto"/>
            <w:shd w:val="clear" w:color="auto" w:fill="auto"/>
          </w:tcPr>
          <w:p w14:paraId="3BB9BD05" w14:textId="77777777" w:rsidR="008C5CFA" w:rsidRPr="00A92B39" w:rsidRDefault="00E82A60" w:rsidP="00300A01">
            <w:pPr>
              <w:spacing w:before="0" w:after="0"/>
              <w:jc w:val="right"/>
              <w:rPr>
                <w:sz w:val="10"/>
                <w:szCs w:val="10"/>
                <w:lang w:val="fr-BE"/>
              </w:rPr>
            </w:pPr>
            <w:r w:rsidRPr="00A92B39">
              <w:rPr>
                <w:noProof/>
                <w:sz w:val="10"/>
                <w:szCs w:val="10"/>
                <w:lang w:val="fr-BE"/>
              </w:rPr>
              <w:t>140,00</w:t>
            </w:r>
          </w:p>
        </w:tc>
        <w:tc>
          <w:tcPr>
            <w:tcW w:w="0" w:type="auto"/>
            <w:shd w:val="clear" w:color="auto" w:fill="auto"/>
          </w:tcPr>
          <w:p w14:paraId="5F95455A" w14:textId="77777777" w:rsidR="008C5CFA" w:rsidRPr="00BA47B4" w:rsidRDefault="00E82A60" w:rsidP="00300A01">
            <w:pPr>
              <w:spacing w:before="0" w:after="0"/>
              <w:jc w:val="right"/>
              <w:rPr>
                <w:sz w:val="12"/>
                <w:szCs w:val="12"/>
                <w:lang w:val="fr-BE"/>
              </w:rPr>
            </w:pPr>
            <w:r w:rsidRPr="00A92B39">
              <w:rPr>
                <w:noProof/>
                <w:sz w:val="10"/>
                <w:szCs w:val="10"/>
                <w:lang w:val="fr-BE"/>
              </w:rPr>
              <w:t>178,00</w:t>
            </w:r>
          </w:p>
        </w:tc>
      </w:tr>
      <w:tr w:rsidR="006B2EC1" w14:paraId="0F3EB675" w14:textId="77777777" w:rsidTr="0047688D">
        <w:tc>
          <w:tcPr>
            <w:tcW w:w="0" w:type="auto"/>
            <w:shd w:val="clear" w:color="auto" w:fill="auto"/>
          </w:tcPr>
          <w:p w14:paraId="197ACED9" w14:textId="77777777" w:rsidR="008C5CFA" w:rsidRPr="00BA47B4" w:rsidRDefault="00E82A60" w:rsidP="00300A01">
            <w:pPr>
              <w:spacing w:before="0" w:after="0"/>
              <w:rPr>
                <w:sz w:val="12"/>
                <w:szCs w:val="12"/>
                <w:lang w:val="fr-BE"/>
              </w:rPr>
            </w:pPr>
            <w:r>
              <w:rPr>
                <w:noProof/>
                <w:sz w:val="12"/>
                <w:szCs w:val="12"/>
                <w:lang w:val="fr-BE"/>
              </w:rPr>
              <w:t>CO17</w:t>
            </w:r>
          </w:p>
        </w:tc>
        <w:tc>
          <w:tcPr>
            <w:tcW w:w="0" w:type="auto"/>
            <w:shd w:val="clear" w:color="auto" w:fill="auto"/>
          </w:tcPr>
          <w:p w14:paraId="175E1042" w14:textId="77777777" w:rsidR="008C5CFA" w:rsidRPr="00BA47B4" w:rsidRDefault="00E82A60" w:rsidP="00300A01">
            <w:pPr>
              <w:spacing w:before="0" w:after="0"/>
              <w:rPr>
                <w:sz w:val="12"/>
                <w:szCs w:val="12"/>
                <w:lang w:val="fr-BE"/>
              </w:rPr>
            </w:pPr>
            <w:r>
              <w:rPr>
                <w:noProof/>
                <w:sz w:val="12"/>
                <w:szCs w:val="12"/>
                <w:lang w:val="fr-BE"/>
              </w:rPr>
              <w:t>inne osoby w niekorzystnej sytuacji społecznej</w:t>
            </w:r>
          </w:p>
        </w:tc>
        <w:tc>
          <w:tcPr>
            <w:tcW w:w="0" w:type="auto"/>
            <w:shd w:val="clear" w:color="auto" w:fill="auto"/>
          </w:tcPr>
          <w:p w14:paraId="0EA27B03" w14:textId="77777777" w:rsidR="008C5CFA" w:rsidRPr="00BA47B4" w:rsidRDefault="00E82A60"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14:paraId="0A55DD10" w14:textId="77777777" w:rsidR="008C5CFA" w:rsidRPr="00BA47B4" w:rsidRDefault="008C5CFA" w:rsidP="00300A01">
            <w:pPr>
              <w:spacing w:before="0" w:after="0"/>
              <w:jc w:val="right"/>
              <w:rPr>
                <w:sz w:val="12"/>
                <w:szCs w:val="12"/>
                <w:lang w:val="fr-BE"/>
              </w:rPr>
            </w:pPr>
          </w:p>
        </w:tc>
        <w:tc>
          <w:tcPr>
            <w:tcW w:w="0" w:type="auto"/>
            <w:shd w:val="clear" w:color="auto" w:fill="auto"/>
          </w:tcPr>
          <w:p w14:paraId="1B0E606B" w14:textId="77777777" w:rsidR="008C5CFA" w:rsidRPr="00BA47B4" w:rsidRDefault="008C5CFA" w:rsidP="00300A01">
            <w:pPr>
              <w:spacing w:before="0" w:after="0"/>
              <w:jc w:val="right"/>
              <w:rPr>
                <w:sz w:val="12"/>
                <w:szCs w:val="12"/>
                <w:lang w:val="fr-BE"/>
              </w:rPr>
            </w:pPr>
          </w:p>
        </w:tc>
        <w:tc>
          <w:tcPr>
            <w:tcW w:w="0" w:type="auto"/>
            <w:shd w:val="clear" w:color="auto" w:fill="auto"/>
          </w:tcPr>
          <w:p w14:paraId="1195A5CA" w14:textId="77777777" w:rsidR="008C5CFA" w:rsidRPr="00BA47B4" w:rsidRDefault="008C5CFA" w:rsidP="00300A01">
            <w:pPr>
              <w:spacing w:before="0" w:after="0"/>
              <w:jc w:val="right"/>
              <w:rPr>
                <w:sz w:val="12"/>
                <w:szCs w:val="12"/>
                <w:lang w:val="fr-BE"/>
              </w:rPr>
            </w:pPr>
          </w:p>
        </w:tc>
        <w:tc>
          <w:tcPr>
            <w:tcW w:w="0" w:type="auto"/>
            <w:shd w:val="clear" w:color="auto" w:fill="auto"/>
          </w:tcPr>
          <w:p w14:paraId="350603B6" w14:textId="77777777" w:rsidR="008C5CFA" w:rsidRPr="00BA47B4" w:rsidRDefault="00E82A60" w:rsidP="00300A01">
            <w:pPr>
              <w:spacing w:before="0" w:after="0"/>
              <w:jc w:val="right"/>
              <w:rPr>
                <w:sz w:val="12"/>
                <w:szCs w:val="12"/>
                <w:lang w:val="fr-BE"/>
              </w:rPr>
            </w:pPr>
            <w:r w:rsidRPr="00BA47B4">
              <w:rPr>
                <w:noProof/>
                <w:sz w:val="12"/>
                <w:szCs w:val="12"/>
                <w:lang w:val="fr-BE"/>
              </w:rPr>
              <w:t>8 966,00</w:t>
            </w:r>
          </w:p>
        </w:tc>
        <w:tc>
          <w:tcPr>
            <w:tcW w:w="0" w:type="auto"/>
            <w:shd w:val="clear" w:color="auto" w:fill="auto"/>
          </w:tcPr>
          <w:p w14:paraId="42C921FA" w14:textId="77777777" w:rsidR="008C5CFA" w:rsidRPr="00BA47B4" w:rsidRDefault="00E82A60" w:rsidP="00300A01">
            <w:pPr>
              <w:spacing w:before="0" w:after="0"/>
              <w:jc w:val="right"/>
              <w:rPr>
                <w:sz w:val="12"/>
                <w:szCs w:val="12"/>
                <w:lang w:val="fr-BE"/>
              </w:rPr>
            </w:pPr>
            <w:r w:rsidRPr="00BA47B4">
              <w:rPr>
                <w:noProof/>
                <w:sz w:val="12"/>
                <w:szCs w:val="12"/>
                <w:lang w:val="fr-BE"/>
              </w:rPr>
              <w:t>3 658,00</w:t>
            </w:r>
          </w:p>
        </w:tc>
        <w:tc>
          <w:tcPr>
            <w:tcW w:w="0" w:type="auto"/>
            <w:shd w:val="clear" w:color="auto" w:fill="auto"/>
          </w:tcPr>
          <w:p w14:paraId="39294AE3" w14:textId="77777777" w:rsidR="008C5CFA" w:rsidRPr="00BA47B4" w:rsidRDefault="00E82A60" w:rsidP="00300A01">
            <w:pPr>
              <w:spacing w:before="0" w:after="0"/>
              <w:jc w:val="right"/>
              <w:rPr>
                <w:sz w:val="12"/>
                <w:szCs w:val="12"/>
                <w:lang w:val="fr-BE"/>
              </w:rPr>
            </w:pPr>
            <w:r w:rsidRPr="00BA47B4">
              <w:rPr>
                <w:noProof/>
                <w:sz w:val="12"/>
                <w:szCs w:val="12"/>
                <w:lang w:val="fr-BE"/>
              </w:rPr>
              <w:t>5 308,00</w:t>
            </w:r>
          </w:p>
        </w:tc>
        <w:tc>
          <w:tcPr>
            <w:tcW w:w="0" w:type="auto"/>
            <w:shd w:val="clear" w:color="auto" w:fill="auto"/>
          </w:tcPr>
          <w:p w14:paraId="002AC2DB" w14:textId="77777777" w:rsidR="008C5CFA" w:rsidRPr="00BA47B4" w:rsidRDefault="008C5CFA" w:rsidP="00300A01">
            <w:pPr>
              <w:spacing w:before="0" w:after="0"/>
              <w:jc w:val="right"/>
              <w:rPr>
                <w:sz w:val="12"/>
                <w:szCs w:val="12"/>
                <w:lang w:val="fr-BE"/>
              </w:rPr>
            </w:pPr>
          </w:p>
        </w:tc>
        <w:tc>
          <w:tcPr>
            <w:tcW w:w="0" w:type="auto"/>
            <w:shd w:val="clear" w:color="auto" w:fill="auto"/>
          </w:tcPr>
          <w:p w14:paraId="0381FD9D" w14:textId="77777777" w:rsidR="008C5CFA" w:rsidRPr="00BA47B4" w:rsidRDefault="008C5CFA" w:rsidP="00300A01">
            <w:pPr>
              <w:spacing w:before="0" w:after="0"/>
              <w:jc w:val="right"/>
              <w:rPr>
                <w:sz w:val="12"/>
                <w:szCs w:val="12"/>
                <w:lang w:val="fr-BE"/>
              </w:rPr>
            </w:pPr>
          </w:p>
        </w:tc>
        <w:tc>
          <w:tcPr>
            <w:tcW w:w="0" w:type="auto"/>
            <w:shd w:val="clear" w:color="auto" w:fill="auto"/>
          </w:tcPr>
          <w:p w14:paraId="2CEB3067" w14:textId="77777777" w:rsidR="008C5CFA" w:rsidRPr="00BA47B4" w:rsidRDefault="008C5CFA" w:rsidP="00300A01">
            <w:pPr>
              <w:spacing w:before="0" w:after="0"/>
              <w:jc w:val="right"/>
              <w:rPr>
                <w:sz w:val="12"/>
                <w:szCs w:val="12"/>
                <w:lang w:val="fr-BE"/>
              </w:rPr>
            </w:pPr>
          </w:p>
        </w:tc>
        <w:tc>
          <w:tcPr>
            <w:tcW w:w="0" w:type="auto"/>
          </w:tcPr>
          <w:p w14:paraId="55ACA264" w14:textId="77777777" w:rsidR="008C5CFA" w:rsidRPr="00A92B39" w:rsidRDefault="00E82A60" w:rsidP="00300A01">
            <w:pPr>
              <w:spacing w:before="0" w:after="0"/>
              <w:jc w:val="right"/>
              <w:rPr>
                <w:sz w:val="10"/>
                <w:szCs w:val="10"/>
                <w:lang w:val="fr-BE"/>
              </w:rPr>
            </w:pPr>
            <w:r w:rsidRPr="00A92B39">
              <w:rPr>
                <w:noProof/>
                <w:sz w:val="10"/>
                <w:szCs w:val="10"/>
                <w:lang w:val="fr-BE"/>
              </w:rPr>
              <w:t>2 197,00</w:t>
            </w:r>
          </w:p>
        </w:tc>
        <w:tc>
          <w:tcPr>
            <w:tcW w:w="0" w:type="auto"/>
            <w:shd w:val="clear" w:color="auto" w:fill="auto"/>
          </w:tcPr>
          <w:p w14:paraId="5ADEA81C" w14:textId="77777777" w:rsidR="008C5CFA" w:rsidRPr="00A92B39" w:rsidRDefault="00E82A60" w:rsidP="00300A01">
            <w:pPr>
              <w:spacing w:before="0" w:after="0"/>
              <w:jc w:val="right"/>
              <w:rPr>
                <w:sz w:val="10"/>
                <w:szCs w:val="10"/>
                <w:lang w:val="fr-BE"/>
              </w:rPr>
            </w:pPr>
            <w:r w:rsidRPr="00A92B39">
              <w:rPr>
                <w:noProof/>
                <w:sz w:val="10"/>
                <w:szCs w:val="10"/>
                <w:lang w:val="fr-BE"/>
              </w:rPr>
              <w:t>862,00</w:t>
            </w:r>
          </w:p>
        </w:tc>
        <w:tc>
          <w:tcPr>
            <w:tcW w:w="0" w:type="auto"/>
            <w:shd w:val="clear" w:color="auto" w:fill="auto"/>
          </w:tcPr>
          <w:p w14:paraId="2AE43129" w14:textId="77777777" w:rsidR="008C5CFA" w:rsidRPr="00BA47B4" w:rsidRDefault="00E82A60" w:rsidP="00300A01">
            <w:pPr>
              <w:spacing w:before="0" w:after="0"/>
              <w:jc w:val="right"/>
              <w:rPr>
                <w:sz w:val="12"/>
                <w:szCs w:val="12"/>
                <w:lang w:val="fr-BE"/>
              </w:rPr>
            </w:pPr>
            <w:r w:rsidRPr="00A92B39">
              <w:rPr>
                <w:noProof/>
                <w:sz w:val="10"/>
                <w:szCs w:val="10"/>
                <w:lang w:val="fr-BE"/>
              </w:rPr>
              <w:t>1 335,00</w:t>
            </w:r>
          </w:p>
        </w:tc>
      </w:tr>
      <w:tr w:rsidR="006B2EC1" w14:paraId="62466250" w14:textId="77777777" w:rsidTr="0047688D">
        <w:tc>
          <w:tcPr>
            <w:tcW w:w="0" w:type="auto"/>
            <w:shd w:val="clear" w:color="auto" w:fill="auto"/>
          </w:tcPr>
          <w:p w14:paraId="73EA61B2" w14:textId="77777777" w:rsidR="008C5CFA" w:rsidRPr="00BA47B4" w:rsidRDefault="00E82A60" w:rsidP="00300A01">
            <w:pPr>
              <w:spacing w:before="0" w:after="0"/>
              <w:rPr>
                <w:sz w:val="12"/>
                <w:szCs w:val="12"/>
                <w:lang w:val="fr-BE"/>
              </w:rPr>
            </w:pPr>
            <w:r>
              <w:rPr>
                <w:noProof/>
                <w:sz w:val="12"/>
                <w:szCs w:val="12"/>
                <w:lang w:val="fr-BE"/>
              </w:rPr>
              <w:t>CO18</w:t>
            </w:r>
          </w:p>
        </w:tc>
        <w:tc>
          <w:tcPr>
            <w:tcW w:w="0" w:type="auto"/>
            <w:shd w:val="clear" w:color="auto" w:fill="auto"/>
          </w:tcPr>
          <w:p w14:paraId="01B2D68A" w14:textId="77777777" w:rsidR="008C5CFA" w:rsidRPr="00BA47B4" w:rsidRDefault="00E82A60" w:rsidP="00300A01">
            <w:pPr>
              <w:spacing w:before="0" w:after="0"/>
              <w:rPr>
                <w:sz w:val="12"/>
                <w:szCs w:val="12"/>
                <w:lang w:val="fr-BE"/>
              </w:rPr>
            </w:pPr>
            <w:r>
              <w:rPr>
                <w:noProof/>
                <w:sz w:val="12"/>
                <w:szCs w:val="12"/>
                <w:lang w:val="fr-BE"/>
              </w:rPr>
              <w:t>osoby bezdomne lub dotknięte wykluczeniem z dostępu do mieszkań</w:t>
            </w:r>
          </w:p>
        </w:tc>
        <w:tc>
          <w:tcPr>
            <w:tcW w:w="0" w:type="auto"/>
            <w:shd w:val="clear" w:color="auto" w:fill="auto"/>
          </w:tcPr>
          <w:p w14:paraId="44DD1CC3" w14:textId="77777777" w:rsidR="008C5CFA" w:rsidRPr="00BA47B4" w:rsidRDefault="00E82A60"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14:paraId="71A53A42" w14:textId="77777777" w:rsidR="008C5CFA" w:rsidRPr="00BA47B4" w:rsidRDefault="008C5CFA" w:rsidP="00300A01">
            <w:pPr>
              <w:spacing w:before="0" w:after="0"/>
              <w:jc w:val="right"/>
              <w:rPr>
                <w:sz w:val="12"/>
                <w:szCs w:val="12"/>
                <w:lang w:val="fr-BE"/>
              </w:rPr>
            </w:pPr>
          </w:p>
        </w:tc>
        <w:tc>
          <w:tcPr>
            <w:tcW w:w="0" w:type="auto"/>
            <w:shd w:val="clear" w:color="auto" w:fill="auto"/>
          </w:tcPr>
          <w:p w14:paraId="6AB8E984" w14:textId="77777777" w:rsidR="008C5CFA" w:rsidRPr="00BA47B4" w:rsidRDefault="008C5CFA" w:rsidP="00300A01">
            <w:pPr>
              <w:spacing w:before="0" w:after="0"/>
              <w:jc w:val="right"/>
              <w:rPr>
                <w:sz w:val="12"/>
                <w:szCs w:val="12"/>
                <w:lang w:val="fr-BE"/>
              </w:rPr>
            </w:pPr>
          </w:p>
        </w:tc>
        <w:tc>
          <w:tcPr>
            <w:tcW w:w="0" w:type="auto"/>
            <w:shd w:val="clear" w:color="auto" w:fill="auto"/>
          </w:tcPr>
          <w:p w14:paraId="52E34A63" w14:textId="77777777" w:rsidR="008C5CFA" w:rsidRPr="00BA47B4" w:rsidRDefault="008C5CFA" w:rsidP="00300A01">
            <w:pPr>
              <w:spacing w:before="0" w:after="0"/>
              <w:jc w:val="right"/>
              <w:rPr>
                <w:sz w:val="12"/>
                <w:szCs w:val="12"/>
                <w:lang w:val="fr-BE"/>
              </w:rPr>
            </w:pPr>
          </w:p>
        </w:tc>
        <w:tc>
          <w:tcPr>
            <w:tcW w:w="0" w:type="auto"/>
            <w:shd w:val="clear" w:color="auto" w:fill="auto"/>
          </w:tcPr>
          <w:p w14:paraId="74A9A535" w14:textId="77777777" w:rsidR="008C5CFA" w:rsidRPr="00BA47B4" w:rsidRDefault="00E82A60" w:rsidP="00300A01">
            <w:pPr>
              <w:spacing w:before="0" w:after="0"/>
              <w:jc w:val="right"/>
              <w:rPr>
                <w:sz w:val="12"/>
                <w:szCs w:val="12"/>
                <w:lang w:val="fr-BE"/>
              </w:rPr>
            </w:pPr>
            <w:r w:rsidRPr="00BA47B4">
              <w:rPr>
                <w:noProof/>
                <w:sz w:val="12"/>
                <w:szCs w:val="12"/>
                <w:lang w:val="fr-BE"/>
              </w:rPr>
              <w:t>146,00</w:t>
            </w:r>
          </w:p>
        </w:tc>
        <w:tc>
          <w:tcPr>
            <w:tcW w:w="0" w:type="auto"/>
            <w:shd w:val="clear" w:color="auto" w:fill="auto"/>
          </w:tcPr>
          <w:p w14:paraId="2B33DC04" w14:textId="77777777" w:rsidR="008C5CFA" w:rsidRPr="00BA47B4" w:rsidRDefault="00E82A60" w:rsidP="00300A01">
            <w:pPr>
              <w:spacing w:before="0" w:after="0"/>
              <w:jc w:val="right"/>
              <w:rPr>
                <w:sz w:val="12"/>
                <w:szCs w:val="12"/>
                <w:lang w:val="fr-BE"/>
              </w:rPr>
            </w:pPr>
            <w:r w:rsidRPr="00BA47B4">
              <w:rPr>
                <w:noProof/>
                <w:sz w:val="12"/>
                <w:szCs w:val="12"/>
                <w:lang w:val="fr-BE"/>
              </w:rPr>
              <w:t>99,00</w:t>
            </w:r>
          </w:p>
        </w:tc>
        <w:tc>
          <w:tcPr>
            <w:tcW w:w="0" w:type="auto"/>
            <w:shd w:val="clear" w:color="auto" w:fill="auto"/>
          </w:tcPr>
          <w:p w14:paraId="7F8C3F5F" w14:textId="77777777" w:rsidR="008C5CFA" w:rsidRPr="00BA47B4" w:rsidRDefault="00E82A60" w:rsidP="00300A01">
            <w:pPr>
              <w:spacing w:before="0" w:after="0"/>
              <w:jc w:val="right"/>
              <w:rPr>
                <w:sz w:val="12"/>
                <w:szCs w:val="12"/>
                <w:lang w:val="fr-BE"/>
              </w:rPr>
            </w:pPr>
            <w:r w:rsidRPr="00BA47B4">
              <w:rPr>
                <w:noProof/>
                <w:sz w:val="12"/>
                <w:szCs w:val="12"/>
                <w:lang w:val="fr-BE"/>
              </w:rPr>
              <w:t>47,00</w:t>
            </w:r>
          </w:p>
        </w:tc>
        <w:tc>
          <w:tcPr>
            <w:tcW w:w="0" w:type="auto"/>
            <w:shd w:val="clear" w:color="auto" w:fill="auto"/>
          </w:tcPr>
          <w:p w14:paraId="42680903" w14:textId="77777777" w:rsidR="008C5CFA" w:rsidRPr="00BA47B4" w:rsidRDefault="008C5CFA" w:rsidP="00300A01">
            <w:pPr>
              <w:spacing w:before="0" w:after="0"/>
              <w:jc w:val="right"/>
              <w:rPr>
                <w:sz w:val="12"/>
                <w:szCs w:val="12"/>
                <w:lang w:val="fr-BE"/>
              </w:rPr>
            </w:pPr>
          </w:p>
        </w:tc>
        <w:tc>
          <w:tcPr>
            <w:tcW w:w="0" w:type="auto"/>
            <w:shd w:val="clear" w:color="auto" w:fill="auto"/>
          </w:tcPr>
          <w:p w14:paraId="2C2E8857" w14:textId="77777777" w:rsidR="008C5CFA" w:rsidRPr="00BA47B4" w:rsidRDefault="008C5CFA" w:rsidP="00300A01">
            <w:pPr>
              <w:spacing w:before="0" w:after="0"/>
              <w:jc w:val="right"/>
              <w:rPr>
                <w:sz w:val="12"/>
                <w:szCs w:val="12"/>
                <w:lang w:val="fr-BE"/>
              </w:rPr>
            </w:pPr>
          </w:p>
        </w:tc>
        <w:tc>
          <w:tcPr>
            <w:tcW w:w="0" w:type="auto"/>
            <w:shd w:val="clear" w:color="auto" w:fill="auto"/>
          </w:tcPr>
          <w:p w14:paraId="103139B1" w14:textId="77777777" w:rsidR="008C5CFA" w:rsidRPr="00BA47B4" w:rsidRDefault="008C5CFA" w:rsidP="00300A01">
            <w:pPr>
              <w:spacing w:before="0" w:after="0"/>
              <w:jc w:val="right"/>
              <w:rPr>
                <w:sz w:val="12"/>
                <w:szCs w:val="12"/>
                <w:lang w:val="fr-BE"/>
              </w:rPr>
            </w:pPr>
          </w:p>
        </w:tc>
        <w:tc>
          <w:tcPr>
            <w:tcW w:w="0" w:type="auto"/>
          </w:tcPr>
          <w:p w14:paraId="4B7EE4BC" w14:textId="77777777" w:rsidR="008C5CFA" w:rsidRPr="00A92B39" w:rsidRDefault="00E82A60" w:rsidP="00300A01">
            <w:pPr>
              <w:spacing w:before="0" w:after="0"/>
              <w:jc w:val="right"/>
              <w:rPr>
                <w:sz w:val="10"/>
                <w:szCs w:val="10"/>
                <w:lang w:val="fr-BE"/>
              </w:rPr>
            </w:pPr>
            <w:r w:rsidRPr="00A92B39">
              <w:rPr>
                <w:noProof/>
                <w:sz w:val="10"/>
                <w:szCs w:val="10"/>
                <w:lang w:val="fr-BE"/>
              </w:rPr>
              <w:t>23,00</w:t>
            </w:r>
          </w:p>
        </w:tc>
        <w:tc>
          <w:tcPr>
            <w:tcW w:w="0" w:type="auto"/>
            <w:shd w:val="clear" w:color="auto" w:fill="auto"/>
          </w:tcPr>
          <w:p w14:paraId="5E19EB4B" w14:textId="77777777" w:rsidR="008C5CFA" w:rsidRPr="00A92B39" w:rsidRDefault="00E82A60" w:rsidP="00300A01">
            <w:pPr>
              <w:spacing w:before="0" w:after="0"/>
              <w:jc w:val="right"/>
              <w:rPr>
                <w:sz w:val="10"/>
                <w:szCs w:val="10"/>
                <w:lang w:val="fr-BE"/>
              </w:rPr>
            </w:pPr>
            <w:r w:rsidRPr="00A92B39">
              <w:rPr>
                <w:noProof/>
                <w:sz w:val="10"/>
                <w:szCs w:val="10"/>
                <w:lang w:val="fr-BE"/>
              </w:rPr>
              <w:t>16,00</w:t>
            </w:r>
          </w:p>
        </w:tc>
        <w:tc>
          <w:tcPr>
            <w:tcW w:w="0" w:type="auto"/>
            <w:shd w:val="clear" w:color="auto" w:fill="auto"/>
          </w:tcPr>
          <w:p w14:paraId="236484C6" w14:textId="77777777" w:rsidR="008C5CFA" w:rsidRPr="00BA47B4" w:rsidRDefault="00E82A60" w:rsidP="00300A01">
            <w:pPr>
              <w:spacing w:before="0" w:after="0"/>
              <w:jc w:val="right"/>
              <w:rPr>
                <w:sz w:val="12"/>
                <w:szCs w:val="12"/>
                <w:lang w:val="fr-BE"/>
              </w:rPr>
            </w:pPr>
            <w:r w:rsidRPr="00A92B39">
              <w:rPr>
                <w:noProof/>
                <w:sz w:val="10"/>
                <w:szCs w:val="10"/>
                <w:lang w:val="fr-BE"/>
              </w:rPr>
              <w:t>7,00</w:t>
            </w:r>
          </w:p>
        </w:tc>
      </w:tr>
      <w:tr w:rsidR="006B2EC1" w14:paraId="6725E72E" w14:textId="77777777" w:rsidTr="0047688D">
        <w:tc>
          <w:tcPr>
            <w:tcW w:w="0" w:type="auto"/>
            <w:shd w:val="clear" w:color="auto" w:fill="auto"/>
          </w:tcPr>
          <w:p w14:paraId="413694B8" w14:textId="77777777" w:rsidR="008C5CFA" w:rsidRPr="00BA47B4" w:rsidRDefault="00E82A60" w:rsidP="00300A01">
            <w:pPr>
              <w:spacing w:before="0" w:after="0"/>
              <w:rPr>
                <w:sz w:val="12"/>
                <w:szCs w:val="12"/>
                <w:lang w:val="fr-BE"/>
              </w:rPr>
            </w:pPr>
            <w:r>
              <w:rPr>
                <w:noProof/>
                <w:sz w:val="12"/>
                <w:szCs w:val="12"/>
                <w:lang w:val="fr-BE"/>
              </w:rPr>
              <w:t>CO19</w:t>
            </w:r>
          </w:p>
        </w:tc>
        <w:tc>
          <w:tcPr>
            <w:tcW w:w="0" w:type="auto"/>
            <w:shd w:val="clear" w:color="auto" w:fill="auto"/>
          </w:tcPr>
          <w:p w14:paraId="65F421C5" w14:textId="77777777" w:rsidR="008C5CFA" w:rsidRPr="00BA47B4" w:rsidRDefault="00E82A60" w:rsidP="00300A01">
            <w:pPr>
              <w:spacing w:before="0" w:after="0"/>
              <w:rPr>
                <w:sz w:val="12"/>
                <w:szCs w:val="12"/>
                <w:lang w:val="fr-BE"/>
              </w:rPr>
            </w:pPr>
            <w:r>
              <w:rPr>
                <w:noProof/>
                <w:sz w:val="12"/>
                <w:szCs w:val="12"/>
                <w:lang w:val="fr-BE"/>
              </w:rPr>
              <w:t>osoby pochodzące z obszarów wiejskich</w:t>
            </w:r>
          </w:p>
        </w:tc>
        <w:tc>
          <w:tcPr>
            <w:tcW w:w="0" w:type="auto"/>
            <w:shd w:val="clear" w:color="auto" w:fill="auto"/>
          </w:tcPr>
          <w:p w14:paraId="61C074FB" w14:textId="77777777" w:rsidR="008C5CFA" w:rsidRPr="00BA47B4" w:rsidRDefault="00E82A60"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14:paraId="2F54A909" w14:textId="77777777" w:rsidR="008C5CFA" w:rsidRPr="00BA47B4" w:rsidRDefault="008C5CFA" w:rsidP="00300A01">
            <w:pPr>
              <w:spacing w:before="0" w:after="0"/>
              <w:jc w:val="right"/>
              <w:rPr>
                <w:sz w:val="12"/>
                <w:szCs w:val="12"/>
                <w:lang w:val="fr-BE"/>
              </w:rPr>
            </w:pPr>
          </w:p>
        </w:tc>
        <w:tc>
          <w:tcPr>
            <w:tcW w:w="0" w:type="auto"/>
            <w:shd w:val="clear" w:color="auto" w:fill="auto"/>
          </w:tcPr>
          <w:p w14:paraId="5DE58EAB" w14:textId="77777777" w:rsidR="008C5CFA" w:rsidRPr="00BA47B4" w:rsidRDefault="008C5CFA" w:rsidP="00300A01">
            <w:pPr>
              <w:spacing w:before="0" w:after="0"/>
              <w:jc w:val="right"/>
              <w:rPr>
                <w:sz w:val="12"/>
                <w:szCs w:val="12"/>
                <w:lang w:val="fr-BE"/>
              </w:rPr>
            </w:pPr>
          </w:p>
        </w:tc>
        <w:tc>
          <w:tcPr>
            <w:tcW w:w="0" w:type="auto"/>
            <w:shd w:val="clear" w:color="auto" w:fill="auto"/>
          </w:tcPr>
          <w:p w14:paraId="4A9F0C23" w14:textId="77777777" w:rsidR="008C5CFA" w:rsidRPr="00BA47B4" w:rsidRDefault="008C5CFA" w:rsidP="00300A01">
            <w:pPr>
              <w:spacing w:before="0" w:after="0"/>
              <w:jc w:val="right"/>
              <w:rPr>
                <w:sz w:val="12"/>
                <w:szCs w:val="12"/>
                <w:lang w:val="fr-BE"/>
              </w:rPr>
            </w:pPr>
          </w:p>
        </w:tc>
        <w:tc>
          <w:tcPr>
            <w:tcW w:w="0" w:type="auto"/>
            <w:shd w:val="clear" w:color="auto" w:fill="auto"/>
          </w:tcPr>
          <w:p w14:paraId="52A188A2" w14:textId="77777777" w:rsidR="008C5CFA" w:rsidRPr="00BA47B4" w:rsidRDefault="00E82A60" w:rsidP="00300A01">
            <w:pPr>
              <w:spacing w:before="0" w:after="0"/>
              <w:jc w:val="right"/>
              <w:rPr>
                <w:sz w:val="12"/>
                <w:szCs w:val="12"/>
                <w:lang w:val="fr-BE"/>
              </w:rPr>
            </w:pPr>
            <w:r w:rsidRPr="00BA47B4">
              <w:rPr>
                <w:noProof/>
                <w:sz w:val="12"/>
                <w:szCs w:val="12"/>
                <w:lang w:val="fr-BE"/>
              </w:rPr>
              <w:t>10 935,00</w:t>
            </w:r>
          </w:p>
        </w:tc>
        <w:tc>
          <w:tcPr>
            <w:tcW w:w="0" w:type="auto"/>
            <w:shd w:val="clear" w:color="auto" w:fill="auto"/>
          </w:tcPr>
          <w:p w14:paraId="1A039A9A" w14:textId="77777777" w:rsidR="008C5CFA" w:rsidRPr="00BA47B4" w:rsidRDefault="00E82A60" w:rsidP="00300A01">
            <w:pPr>
              <w:spacing w:before="0" w:after="0"/>
              <w:jc w:val="right"/>
              <w:rPr>
                <w:sz w:val="12"/>
                <w:szCs w:val="12"/>
                <w:lang w:val="fr-BE"/>
              </w:rPr>
            </w:pPr>
            <w:r w:rsidRPr="00BA47B4">
              <w:rPr>
                <w:noProof/>
                <w:sz w:val="12"/>
                <w:szCs w:val="12"/>
                <w:lang w:val="fr-BE"/>
              </w:rPr>
              <w:t>4 350,00</w:t>
            </w:r>
          </w:p>
        </w:tc>
        <w:tc>
          <w:tcPr>
            <w:tcW w:w="0" w:type="auto"/>
            <w:shd w:val="clear" w:color="auto" w:fill="auto"/>
          </w:tcPr>
          <w:p w14:paraId="174EC111" w14:textId="77777777" w:rsidR="008C5CFA" w:rsidRPr="00BA47B4" w:rsidRDefault="00E82A60" w:rsidP="00300A01">
            <w:pPr>
              <w:spacing w:before="0" w:after="0"/>
              <w:jc w:val="right"/>
              <w:rPr>
                <w:sz w:val="12"/>
                <w:szCs w:val="12"/>
                <w:lang w:val="fr-BE"/>
              </w:rPr>
            </w:pPr>
            <w:r w:rsidRPr="00BA47B4">
              <w:rPr>
                <w:noProof/>
                <w:sz w:val="12"/>
                <w:szCs w:val="12"/>
                <w:lang w:val="fr-BE"/>
              </w:rPr>
              <w:t>6 585,00</w:t>
            </w:r>
          </w:p>
        </w:tc>
        <w:tc>
          <w:tcPr>
            <w:tcW w:w="0" w:type="auto"/>
            <w:shd w:val="clear" w:color="auto" w:fill="auto"/>
          </w:tcPr>
          <w:p w14:paraId="435168B7" w14:textId="77777777" w:rsidR="008C5CFA" w:rsidRPr="00BA47B4" w:rsidRDefault="008C5CFA" w:rsidP="00300A01">
            <w:pPr>
              <w:spacing w:before="0" w:after="0"/>
              <w:jc w:val="right"/>
              <w:rPr>
                <w:sz w:val="12"/>
                <w:szCs w:val="12"/>
                <w:lang w:val="fr-BE"/>
              </w:rPr>
            </w:pPr>
          </w:p>
        </w:tc>
        <w:tc>
          <w:tcPr>
            <w:tcW w:w="0" w:type="auto"/>
            <w:shd w:val="clear" w:color="auto" w:fill="auto"/>
          </w:tcPr>
          <w:p w14:paraId="252B0F85" w14:textId="77777777" w:rsidR="008C5CFA" w:rsidRPr="00BA47B4" w:rsidRDefault="008C5CFA" w:rsidP="00300A01">
            <w:pPr>
              <w:spacing w:before="0" w:after="0"/>
              <w:jc w:val="right"/>
              <w:rPr>
                <w:sz w:val="12"/>
                <w:szCs w:val="12"/>
                <w:lang w:val="fr-BE"/>
              </w:rPr>
            </w:pPr>
          </w:p>
        </w:tc>
        <w:tc>
          <w:tcPr>
            <w:tcW w:w="0" w:type="auto"/>
            <w:shd w:val="clear" w:color="auto" w:fill="auto"/>
          </w:tcPr>
          <w:p w14:paraId="7FFF2F63" w14:textId="77777777" w:rsidR="008C5CFA" w:rsidRPr="00BA47B4" w:rsidRDefault="008C5CFA" w:rsidP="00300A01">
            <w:pPr>
              <w:spacing w:before="0" w:after="0"/>
              <w:jc w:val="right"/>
              <w:rPr>
                <w:sz w:val="12"/>
                <w:szCs w:val="12"/>
                <w:lang w:val="fr-BE"/>
              </w:rPr>
            </w:pPr>
          </w:p>
        </w:tc>
        <w:tc>
          <w:tcPr>
            <w:tcW w:w="0" w:type="auto"/>
          </w:tcPr>
          <w:p w14:paraId="7BC9F381" w14:textId="77777777" w:rsidR="008C5CFA" w:rsidRPr="00A92B39" w:rsidRDefault="00E82A60" w:rsidP="00300A01">
            <w:pPr>
              <w:spacing w:before="0" w:after="0"/>
              <w:jc w:val="right"/>
              <w:rPr>
                <w:sz w:val="10"/>
                <w:szCs w:val="10"/>
                <w:lang w:val="fr-BE"/>
              </w:rPr>
            </w:pPr>
            <w:r w:rsidRPr="00A92B39">
              <w:rPr>
                <w:noProof/>
                <w:sz w:val="10"/>
                <w:szCs w:val="10"/>
                <w:lang w:val="fr-BE"/>
              </w:rPr>
              <w:t>2 076,00</w:t>
            </w:r>
          </w:p>
        </w:tc>
        <w:tc>
          <w:tcPr>
            <w:tcW w:w="0" w:type="auto"/>
            <w:shd w:val="clear" w:color="auto" w:fill="auto"/>
          </w:tcPr>
          <w:p w14:paraId="0D8F9686" w14:textId="77777777" w:rsidR="008C5CFA" w:rsidRPr="00A92B39" w:rsidRDefault="00E82A60" w:rsidP="00300A01">
            <w:pPr>
              <w:spacing w:before="0" w:after="0"/>
              <w:jc w:val="right"/>
              <w:rPr>
                <w:sz w:val="10"/>
                <w:szCs w:val="10"/>
                <w:lang w:val="fr-BE"/>
              </w:rPr>
            </w:pPr>
            <w:r w:rsidRPr="00A92B39">
              <w:rPr>
                <w:noProof/>
                <w:sz w:val="10"/>
                <w:szCs w:val="10"/>
                <w:lang w:val="fr-BE"/>
              </w:rPr>
              <w:t>812,00</w:t>
            </w:r>
          </w:p>
        </w:tc>
        <w:tc>
          <w:tcPr>
            <w:tcW w:w="0" w:type="auto"/>
            <w:shd w:val="clear" w:color="auto" w:fill="auto"/>
          </w:tcPr>
          <w:p w14:paraId="588E537E" w14:textId="77777777" w:rsidR="008C5CFA" w:rsidRPr="00BA47B4" w:rsidRDefault="00E82A60" w:rsidP="00300A01">
            <w:pPr>
              <w:spacing w:before="0" w:after="0"/>
              <w:jc w:val="right"/>
              <w:rPr>
                <w:sz w:val="12"/>
                <w:szCs w:val="12"/>
                <w:lang w:val="fr-BE"/>
              </w:rPr>
            </w:pPr>
            <w:r w:rsidRPr="00A92B39">
              <w:rPr>
                <w:noProof/>
                <w:sz w:val="10"/>
                <w:szCs w:val="10"/>
                <w:lang w:val="fr-BE"/>
              </w:rPr>
              <w:t>1 264,00</w:t>
            </w:r>
          </w:p>
        </w:tc>
      </w:tr>
      <w:tr w:rsidR="006B2EC1" w14:paraId="6B12A53C" w14:textId="77777777" w:rsidTr="0047688D">
        <w:tc>
          <w:tcPr>
            <w:tcW w:w="0" w:type="auto"/>
            <w:shd w:val="clear" w:color="auto" w:fill="auto"/>
          </w:tcPr>
          <w:p w14:paraId="3422CAD2" w14:textId="77777777" w:rsidR="008C5CFA" w:rsidRPr="00BA47B4" w:rsidRDefault="00E82A60" w:rsidP="00300A01">
            <w:pPr>
              <w:spacing w:before="0" w:after="0"/>
              <w:rPr>
                <w:sz w:val="12"/>
                <w:szCs w:val="12"/>
                <w:lang w:val="fr-BE"/>
              </w:rPr>
            </w:pPr>
            <w:r>
              <w:rPr>
                <w:noProof/>
                <w:sz w:val="12"/>
                <w:szCs w:val="12"/>
                <w:lang w:val="fr-BE"/>
              </w:rPr>
              <w:t>CO20</w:t>
            </w:r>
          </w:p>
        </w:tc>
        <w:tc>
          <w:tcPr>
            <w:tcW w:w="0" w:type="auto"/>
            <w:shd w:val="clear" w:color="auto" w:fill="auto"/>
          </w:tcPr>
          <w:p w14:paraId="35CB9E7A" w14:textId="77777777" w:rsidR="008C5CFA" w:rsidRPr="00BA47B4" w:rsidRDefault="00E82A60" w:rsidP="00300A01">
            <w:pPr>
              <w:spacing w:before="0" w:after="0"/>
              <w:rPr>
                <w:sz w:val="12"/>
                <w:szCs w:val="12"/>
                <w:lang w:val="fr-BE"/>
              </w:rPr>
            </w:pPr>
            <w:r>
              <w:rPr>
                <w:noProof/>
                <w:sz w:val="12"/>
                <w:szCs w:val="12"/>
                <w:lang w:val="fr-BE"/>
              </w:rPr>
              <w:t>liczba projektów zrealizowanych w pełni lub częściowo przez partnerów społecznych lub organizacje pozarządowe</w:t>
            </w:r>
          </w:p>
        </w:tc>
        <w:tc>
          <w:tcPr>
            <w:tcW w:w="0" w:type="auto"/>
            <w:shd w:val="clear" w:color="auto" w:fill="auto"/>
          </w:tcPr>
          <w:p w14:paraId="5F8B6D09" w14:textId="77777777" w:rsidR="008C5CFA" w:rsidRPr="00BA47B4" w:rsidRDefault="00E82A60"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14:paraId="02E2CD63" w14:textId="77777777" w:rsidR="008C5CFA" w:rsidRPr="00BA47B4" w:rsidRDefault="008C5CFA" w:rsidP="00300A01">
            <w:pPr>
              <w:spacing w:before="0" w:after="0"/>
              <w:jc w:val="right"/>
              <w:rPr>
                <w:sz w:val="12"/>
                <w:szCs w:val="12"/>
                <w:lang w:val="fr-BE"/>
              </w:rPr>
            </w:pPr>
          </w:p>
        </w:tc>
        <w:tc>
          <w:tcPr>
            <w:tcW w:w="0" w:type="auto"/>
            <w:shd w:val="clear" w:color="auto" w:fill="auto"/>
          </w:tcPr>
          <w:p w14:paraId="51EDFDA5" w14:textId="77777777" w:rsidR="008C5CFA" w:rsidRPr="00BA47B4" w:rsidRDefault="008C5CFA" w:rsidP="00300A01">
            <w:pPr>
              <w:spacing w:before="0" w:after="0"/>
              <w:jc w:val="right"/>
              <w:rPr>
                <w:sz w:val="12"/>
                <w:szCs w:val="12"/>
                <w:lang w:val="fr-BE"/>
              </w:rPr>
            </w:pPr>
          </w:p>
        </w:tc>
        <w:tc>
          <w:tcPr>
            <w:tcW w:w="0" w:type="auto"/>
            <w:shd w:val="clear" w:color="auto" w:fill="auto"/>
          </w:tcPr>
          <w:p w14:paraId="32288301" w14:textId="77777777" w:rsidR="008C5CFA" w:rsidRPr="00BA47B4" w:rsidRDefault="008C5CFA" w:rsidP="00300A01">
            <w:pPr>
              <w:spacing w:before="0" w:after="0"/>
              <w:jc w:val="right"/>
              <w:rPr>
                <w:sz w:val="12"/>
                <w:szCs w:val="12"/>
                <w:lang w:val="fr-BE"/>
              </w:rPr>
            </w:pPr>
          </w:p>
        </w:tc>
        <w:tc>
          <w:tcPr>
            <w:tcW w:w="0" w:type="auto"/>
            <w:shd w:val="clear" w:color="auto" w:fill="auto"/>
          </w:tcPr>
          <w:p w14:paraId="57368299" w14:textId="77777777" w:rsidR="008C5CFA" w:rsidRPr="00BA47B4" w:rsidRDefault="00E82A60" w:rsidP="00300A01">
            <w:pPr>
              <w:spacing w:before="0" w:after="0"/>
              <w:jc w:val="right"/>
              <w:rPr>
                <w:sz w:val="12"/>
                <w:szCs w:val="12"/>
                <w:lang w:val="fr-BE"/>
              </w:rPr>
            </w:pPr>
            <w:r w:rsidRPr="00BA47B4">
              <w:rPr>
                <w:noProof/>
                <w:sz w:val="12"/>
                <w:szCs w:val="12"/>
                <w:lang w:val="fr-BE"/>
              </w:rPr>
              <w:t>12,00</w:t>
            </w:r>
          </w:p>
        </w:tc>
        <w:tc>
          <w:tcPr>
            <w:tcW w:w="0" w:type="auto"/>
            <w:shd w:val="clear" w:color="auto" w:fill="auto"/>
          </w:tcPr>
          <w:p w14:paraId="613CFB20" w14:textId="77777777" w:rsidR="008C5CFA" w:rsidRPr="00BA47B4" w:rsidRDefault="008C5CFA" w:rsidP="00300A01">
            <w:pPr>
              <w:spacing w:before="0" w:after="0"/>
              <w:jc w:val="right"/>
              <w:rPr>
                <w:sz w:val="12"/>
                <w:szCs w:val="12"/>
                <w:lang w:val="fr-BE"/>
              </w:rPr>
            </w:pPr>
          </w:p>
        </w:tc>
        <w:tc>
          <w:tcPr>
            <w:tcW w:w="0" w:type="auto"/>
            <w:shd w:val="clear" w:color="auto" w:fill="auto"/>
          </w:tcPr>
          <w:p w14:paraId="7B7AE8C4" w14:textId="77777777" w:rsidR="008C5CFA" w:rsidRPr="00BA47B4" w:rsidRDefault="008C5CFA" w:rsidP="00300A01">
            <w:pPr>
              <w:spacing w:before="0" w:after="0"/>
              <w:jc w:val="right"/>
              <w:rPr>
                <w:sz w:val="12"/>
                <w:szCs w:val="12"/>
                <w:lang w:val="fr-BE"/>
              </w:rPr>
            </w:pPr>
          </w:p>
        </w:tc>
        <w:tc>
          <w:tcPr>
            <w:tcW w:w="0" w:type="auto"/>
            <w:shd w:val="clear" w:color="auto" w:fill="auto"/>
          </w:tcPr>
          <w:p w14:paraId="3540A7DB" w14:textId="77777777" w:rsidR="008C5CFA" w:rsidRPr="00BA47B4" w:rsidRDefault="008C5CFA" w:rsidP="00300A01">
            <w:pPr>
              <w:spacing w:before="0" w:after="0"/>
              <w:jc w:val="right"/>
              <w:rPr>
                <w:sz w:val="12"/>
                <w:szCs w:val="12"/>
                <w:lang w:val="fr-BE"/>
              </w:rPr>
            </w:pPr>
          </w:p>
        </w:tc>
        <w:tc>
          <w:tcPr>
            <w:tcW w:w="0" w:type="auto"/>
            <w:shd w:val="clear" w:color="auto" w:fill="auto"/>
          </w:tcPr>
          <w:p w14:paraId="0C7451C1" w14:textId="77777777" w:rsidR="008C5CFA" w:rsidRPr="00BA47B4" w:rsidRDefault="008C5CFA" w:rsidP="00300A01">
            <w:pPr>
              <w:spacing w:before="0" w:after="0"/>
              <w:jc w:val="right"/>
              <w:rPr>
                <w:sz w:val="12"/>
                <w:szCs w:val="12"/>
                <w:lang w:val="fr-BE"/>
              </w:rPr>
            </w:pPr>
          </w:p>
        </w:tc>
        <w:tc>
          <w:tcPr>
            <w:tcW w:w="0" w:type="auto"/>
            <w:shd w:val="clear" w:color="auto" w:fill="auto"/>
          </w:tcPr>
          <w:p w14:paraId="657120BE" w14:textId="77777777" w:rsidR="008C5CFA" w:rsidRPr="00BA47B4" w:rsidRDefault="008C5CFA" w:rsidP="00300A01">
            <w:pPr>
              <w:spacing w:before="0" w:after="0"/>
              <w:jc w:val="right"/>
              <w:rPr>
                <w:sz w:val="12"/>
                <w:szCs w:val="12"/>
                <w:lang w:val="fr-BE"/>
              </w:rPr>
            </w:pPr>
          </w:p>
        </w:tc>
        <w:tc>
          <w:tcPr>
            <w:tcW w:w="0" w:type="auto"/>
          </w:tcPr>
          <w:p w14:paraId="40020BBD" w14:textId="77777777" w:rsidR="008C5CFA" w:rsidRPr="00A92B39" w:rsidRDefault="00E82A60" w:rsidP="00300A01">
            <w:pPr>
              <w:spacing w:before="0" w:after="0"/>
              <w:jc w:val="right"/>
              <w:rPr>
                <w:sz w:val="10"/>
                <w:szCs w:val="10"/>
                <w:lang w:val="fr-BE"/>
              </w:rPr>
            </w:pPr>
            <w:r w:rsidRPr="00A92B39">
              <w:rPr>
                <w:noProof/>
                <w:sz w:val="10"/>
                <w:szCs w:val="10"/>
                <w:lang w:val="fr-BE"/>
              </w:rPr>
              <w:t>1,00</w:t>
            </w:r>
          </w:p>
        </w:tc>
        <w:tc>
          <w:tcPr>
            <w:tcW w:w="0" w:type="auto"/>
            <w:shd w:val="clear" w:color="auto" w:fill="auto"/>
          </w:tcPr>
          <w:p w14:paraId="29892F06" w14:textId="77777777" w:rsidR="008C5CFA" w:rsidRPr="00A92B39" w:rsidRDefault="008C5CFA" w:rsidP="00300A01">
            <w:pPr>
              <w:spacing w:before="0" w:after="0"/>
              <w:jc w:val="right"/>
              <w:rPr>
                <w:sz w:val="10"/>
                <w:szCs w:val="10"/>
                <w:lang w:val="fr-BE"/>
              </w:rPr>
            </w:pPr>
          </w:p>
        </w:tc>
        <w:tc>
          <w:tcPr>
            <w:tcW w:w="0" w:type="auto"/>
            <w:shd w:val="clear" w:color="auto" w:fill="auto"/>
          </w:tcPr>
          <w:p w14:paraId="0EDDB919" w14:textId="77777777" w:rsidR="008C5CFA" w:rsidRPr="00BA47B4" w:rsidRDefault="008C5CFA" w:rsidP="00300A01">
            <w:pPr>
              <w:spacing w:before="0" w:after="0"/>
              <w:jc w:val="right"/>
              <w:rPr>
                <w:sz w:val="12"/>
                <w:szCs w:val="12"/>
                <w:lang w:val="fr-BE"/>
              </w:rPr>
            </w:pPr>
          </w:p>
        </w:tc>
      </w:tr>
      <w:tr w:rsidR="006B2EC1" w14:paraId="0C7B750D" w14:textId="77777777" w:rsidTr="0047688D">
        <w:tc>
          <w:tcPr>
            <w:tcW w:w="0" w:type="auto"/>
            <w:shd w:val="clear" w:color="auto" w:fill="auto"/>
          </w:tcPr>
          <w:p w14:paraId="4559CEA1" w14:textId="77777777" w:rsidR="008C5CFA" w:rsidRPr="00BA47B4" w:rsidRDefault="00E82A60" w:rsidP="00300A01">
            <w:pPr>
              <w:spacing w:before="0" w:after="0"/>
              <w:rPr>
                <w:sz w:val="12"/>
                <w:szCs w:val="12"/>
                <w:lang w:val="fr-BE"/>
              </w:rPr>
            </w:pPr>
            <w:r>
              <w:rPr>
                <w:noProof/>
                <w:sz w:val="12"/>
                <w:szCs w:val="12"/>
                <w:lang w:val="fr-BE"/>
              </w:rPr>
              <w:t>CO21</w:t>
            </w:r>
          </w:p>
        </w:tc>
        <w:tc>
          <w:tcPr>
            <w:tcW w:w="0" w:type="auto"/>
            <w:shd w:val="clear" w:color="auto" w:fill="auto"/>
          </w:tcPr>
          <w:p w14:paraId="2158DC9E" w14:textId="77777777" w:rsidR="008C5CFA" w:rsidRPr="00BA47B4" w:rsidRDefault="00E82A60" w:rsidP="00300A01">
            <w:pPr>
              <w:spacing w:before="0" w:after="0"/>
              <w:rPr>
                <w:sz w:val="12"/>
                <w:szCs w:val="12"/>
                <w:lang w:val="fr-BE"/>
              </w:rPr>
            </w:pPr>
            <w:r>
              <w:rPr>
                <w:noProof/>
                <w:sz w:val="12"/>
                <w:szCs w:val="12"/>
                <w:lang w:val="fr-BE"/>
              </w:rPr>
              <w:t>liczba projektów ukierunkowanych na trwały udział kobiet w zatrudnieniu i rozwój ich kariery zawodowej</w:t>
            </w:r>
          </w:p>
        </w:tc>
        <w:tc>
          <w:tcPr>
            <w:tcW w:w="0" w:type="auto"/>
            <w:shd w:val="clear" w:color="auto" w:fill="auto"/>
          </w:tcPr>
          <w:p w14:paraId="691462FA" w14:textId="77777777" w:rsidR="008C5CFA" w:rsidRPr="00BA47B4" w:rsidRDefault="00E82A60"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14:paraId="4E25F8E5" w14:textId="77777777" w:rsidR="008C5CFA" w:rsidRPr="00BA47B4" w:rsidRDefault="008C5CFA" w:rsidP="00300A01">
            <w:pPr>
              <w:spacing w:before="0" w:after="0"/>
              <w:jc w:val="right"/>
              <w:rPr>
                <w:sz w:val="12"/>
                <w:szCs w:val="12"/>
                <w:lang w:val="fr-BE"/>
              </w:rPr>
            </w:pPr>
          </w:p>
        </w:tc>
        <w:tc>
          <w:tcPr>
            <w:tcW w:w="0" w:type="auto"/>
            <w:shd w:val="clear" w:color="auto" w:fill="auto"/>
          </w:tcPr>
          <w:p w14:paraId="21CA4E7F" w14:textId="77777777" w:rsidR="008C5CFA" w:rsidRPr="00BA47B4" w:rsidRDefault="008C5CFA" w:rsidP="00300A01">
            <w:pPr>
              <w:spacing w:before="0" w:after="0"/>
              <w:jc w:val="right"/>
              <w:rPr>
                <w:sz w:val="12"/>
                <w:szCs w:val="12"/>
                <w:lang w:val="fr-BE"/>
              </w:rPr>
            </w:pPr>
          </w:p>
        </w:tc>
        <w:tc>
          <w:tcPr>
            <w:tcW w:w="0" w:type="auto"/>
            <w:shd w:val="clear" w:color="auto" w:fill="auto"/>
          </w:tcPr>
          <w:p w14:paraId="693227CA" w14:textId="77777777" w:rsidR="008C5CFA" w:rsidRPr="00BA47B4" w:rsidRDefault="008C5CFA" w:rsidP="00300A01">
            <w:pPr>
              <w:spacing w:before="0" w:after="0"/>
              <w:jc w:val="right"/>
              <w:rPr>
                <w:sz w:val="12"/>
                <w:szCs w:val="12"/>
                <w:lang w:val="fr-BE"/>
              </w:rPr>
            </w:pPr>
          </w:p>
        </w:tc>
        <w:tc>
          <w:tcPr>
            <w:tcW w:w="0" w:type="auto"/>
            <w:shd w:val="clear" w:color="auto" w:fill="auto"/>
          </w:tcPr>
          <w:p w14:paraId="442D5F6D" w14:textId="77777777" w:rsidR="008C5CFA" w:rsidRPr="00BA47B4" w:rsidRDefault="00E82A60" w:rsidP="00300A01">
            <w:pPr>
              <w:spacing w:before="0" w:after="0"/>
              <w:jc w:val="right"/>
              <w:rPr>
                <w:sz w:val="12"/>
                <w:szCs w:val="12"/>
                <w:lang w:val="fr-BE"/>
              </w:rPr>
            </w:pPr>
            <w:r w:rsidRPr="00BA47B4">
              <w:rPr>
                <w:noProof/>
                <w:sz w:val="12"/>
                <w:szCs w:val="12"/>
                <w:lang w:val="fr-BE"/>
              </w:rPr>
              <w:t>9,00</w:t>
            </w:r>
          </w:p>
        </w:tc>
        <w:tc>
          <w:tcPr>
            <w:tcW w:w="0" w:type="auto"/>
            <w:shd w:val="clear" w:color="auto" w:fill="auto"/>
          </w:tcPr>
          <w:p w14:paraId="1BB2B9C8" w14:textId="77777777" w:rsidR="008C5CFA" w:rsidRPr="00BA47B4" w:rsidRDefault="008C5CFA" w:rsidP="00300A01">
            <w:pPr>
              <w:spacing w:before="0" w:after="0"/>
              <w:jc w:val="right"/>
              <w:rPr>
                <w:sz w:val="12"/>
                <w:szCs w:val="12"/>
                <w:lang w:val="fr-BE"/>
              </w:rPr>
            </w:pPr>
          </w:p>
        </w:tc>
        <w:tc>
          <w:tcPr>
            <w:tcW w:w="0" w:type="auto"/>
            <w:shd w:val="clear" w:color="auto" w:fill="auto"/>
          </w:tcPr>
          <w:p w14:paraId="328DF7B0" w14:textId="77777777" w:rsidR="008C5CFA" w:rsidRPr="00BA47B4" w:rsidRDefault="008C5CFA" w:rsidP="00300A01">
            <w:pPr>
              <w:spacing w:before="0" w:after="0"/>
              <w:jc w:val="right"/>
              <w:rPr>
                <w:sz w:val="12"/>
                <w:szCs w:val="12"/>
                <w:lang w:val="fr-BE"/>
              </w:rPr>
            </w:pPr>
          </w:p>
        </w:tc>
        <w:tc>
          <w:tcPr>
            <w:tcW w:w="0" w:type="auto"/>
            <w:shd w:val="clear" w:color="auto" w:fill="auto"/>
          </w:tcPr>
          <w:p w14:paraId="0B63E01A" w14:textId="77777777" w:rsidR="008C5CFA" w:rsidRPr="00BA47B4" w:rsidRDefault="008C5CFA" w:rsidP="00300A01">
            <w:pPr>
              <w:spacing w:before="0" w:after="0"/>
              <w:jc w:val="right"/>
              <w:rPr>
                <w:sz w:val="12"/>
                <w:szCs w:val="12"/>
                <w:lang w:val="fr-BE"/>
              </w:rPr>
            </w:pPr>
          </w:p>
        </w:tc>
        <w:tc>
          <w:tcPr>
            <w:tcW w:w="0" w:type="auto"/>
            <w:shd w:val="clear" w:color="auto" w:fill="auto"/>
          </w:tcPr>
          <w:p w14:paraId="1198EBA9" w14:textId="77777777" w:rsidR="008C5CFA" w:rsidRPr="00BA47B4" w:rsidRDefault="008C5CFA" w:rsidP="00300A01">
            <w:pPr>
              <w:spacing w:before="0" w:after="0"/>
              <w:jc w:val="right"/>
              <w:rPr>
                <w:sz w:val="12"/>
                <w:szCs w:val="12"/>
                <w:lang w:val="fr-BE"/>
              </w:rPr>
            </w:pPr>
          </w:p>
        </w:tc>
        <w:tc>
          <w:tcPr>
            <w:tcW w:w="0" w:type="auto"/>
            <w:shd w:val="clear" w:color="auto" w:fill="auto"/>
          </w:tcPr>
          <w:p w14:paraId="32957E4C" w14:textId="77777777" w:rsidR="008C5CFA" w:rsidRPr="00BA47B4" w:rsidRDefault="008C5CFA" w:rsidP="00300A01">
            <w:pPr>
              <w:spacing w:before="0" w:after="0"/>
              <w:jc w:val="right"/>
              <w:rPr>
                <w:sz w:val="12"/>
                <w:szCs w:val="12"/>
                <w:lang w:val="fr-BE"/>
              </w:rPr>
            </w:pPr>
          </w:p>
        </w:tc>
        <w:tc>
          <w:tcPr>
            <w:tcW w:w="0" w:type="auto"/>
          </w:tcPr>
          <w:p w14:paraId="2C1B0386" w14:textId="77777777" w:rsidR="008C5CFA" w:rsidRPr="00A92B39" w:rsidRDefault="00E82A60" w:rsidP="00300A01">
            <w:pPr>
              <w:spacing w:before="0" w:after="0"/>
              <w:jc w:val="right"/>
              <w:rPr>
                <w:sz w:val="10"/>
                <w:szCs w:val="10"/>
                <w:lang w:val="fr-BE"/>
              </w:rPr>
            </w:pPr>
            <w:r w:rsidRPr="00A92B39">
              <w:rPr>
                <w:noProof/>
                <w:sz w:val="10"/>
                <w:szCs w:val="10"/>
                <w:lang w:val="fr-BE"/>
              </w:rPr>
              <w:t>1,00</w:t>
            </w:r>
          </w:p>
        </w:tc>
        <w:tc>
          <w:tcPr>
            <w:tcW w:w="0" w:type="auto"/>
            <w:shd w:val="clear" w:color="auto" w:fill="auto"/>
          </w:tcPr>
          <w:p w14:paraId="23630452" w14:textId="77777777" w:rsidR="008C5CFA" w:rsidRPr="00A92B39" w:rsidRDefault="008C5CFA" w:rsidP="00300A01">
            <w:pPr>
              <w:spacing w:before="0" w:after="0"/>
              <w:jc w:val="right"/>
              <w:rPr>
                <w:sz w:val="10"/>
                <w:szCs w:val="10"/>
                <w:lang w:val="fr-BE"/>
              </w:rPr>
            </w:pPr>
          </w:p>
        </w:tc>
        <w:tc>
          <w:tcPr>
            <w:tcW w:w="0" w:type="auto"/>
            <w:shd w:val="clear" w:color="auto" w:fill="auto"/>
          </w:tcPr>
          <w:p w14:paraId="28A9930F" w14:textId="77777777" w:rsidR="008C5CFA" w:rsidRPr="00BA47B4" w:rsidRDefault="008C5CFA" w:rsidP="00300A01">
            <w:pPr>
              <w:spacing w:before="0" w:after="0"/>
              <w:jc w:val="right"/>
              <w:rPr>
                <w:sz w:val="12"/>
                <w:szCs w:val="12"/>
                <w:lang w:val="fr-BE"/>
              </w:rPr>
            </w:pPr>
          </w:p>
        </w:tc>
      </w:tr>
      <w:tr w:rsidR="006B2EC1" w14:paraId="085310CD" w14:textId="77777777" w:rsidTr="0047688D">
        <w:tc>
          <w:tcPr>
            <w:tcW w:w="0" w:type="auto"/>
            <w:shd w:val="clear" w:color="auto" w:fill="auto"/>
          </w:tcPr>
          <w:p w14:paraId="77463BF3" w14:textId="77777777" w:rsidR="008C5CFA" w:rsidRPr="00BA47B4" w:rsidRDefault="00E82A60" w:rsidP="00300A01">
            <w:pPr>
              <w:spacing w:before="0" w:after="0"/>
              <w:rPr>
                <w:sz w:val="12"/>
                <w:szCs w:val="12"/>
                <w:lang w:val="fr-BE"/>
              </w:rPr>
            </w:pPr>
            <w:r>
              <w:rPr>
                <w:noProof/>
                <w:sz w:val="12"/>
                <w:szCs w:val="12"/>
                <w:lang w:val="fr-BE"/>
              </w:rPr>
              <w:t>CO22</w:t>
            </w:r>
          </w:p>
        </w:tc>
        <w:tc>
          <w:tcPr>
            <w:tcW w:w="0" w:type="auto"/>
            <w:shd w:val="clear" w:color="auto" w:fill="auto"/>
          </w:tcPr>
          <w:p w14:paraId="5C76DD60" w14:textId="77777777" w:rsidR="008C5CFA" w:rsidRPr="00BA47B4" w:rsidRDefault="00E82A60" w:rsidP="00300A01">
            <w:pPr>
              <w:spacing w:before="0" w:after="0"/>
              <w:rPr>
                <w:sz w:val="12"/>
                <w:szCs w:val="12"/>
                <w:lang w:val="fr-BE"/>
              </w:rPr>
            </w:pPr>
            <w:r>
              <w:rPr>
                <w:noProof/>
                <w:sz w:val="12"/>
                <w:szCs w:val="12"/>
                <w:lang w:val="fr-BE"/>
              </w:rPr>
              <w:t>liczba projektów obejmujących administrację publiczną lub służby publiczne na szczeblu krajowym, regionalnym lub lokalnym</w:t>
            </w:r>
          </w:p>
        </w:tc>
        <w:tc>
          <w:tcPr>
            <w:tcW w:w="0" w:type="auto"/>
            <w:shd w:val="clear" w:color="auto" w:fill="auto"/>
          </w:tcPr>
          <w:p w14:paraId="57178EB4" w14:textId="77777777" w:rsidR="008C5CFA" w:rsidRPr="00BA47B4" w:rsidRDefault="00E82A60"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14:paraId="3DCA7FA2" w14:textId="77777777" w:rsidR="008C5CFA" w:rsidRPr="00BA47B4" w:rsidRDefault="008C5CFA" w:rsidP="00300A01">
            <w:pPr>
              <w:spacing w:before="0" w:after="0"/>
              <w:jc w:val="right"/>
              <w:rPr>
                <w:sz w:val="12"/>
                <w:szCs w:val="12"/>
                <w:lang w:val="fr-BE"/>
              </w:rPr>
            </w:pPr>
          </w:p>
        </w:tc>
        <w:tc>
          <w:tcPr>
            <w:tcW w:w="0" w:type="auto"/>
            <w:shd w:val="clear" w:color="auto" w:fill="auto"/>
          </w:tcPr>
          <w:p w14:paraId="1C8F4771" w14:textId="77777777" w:rsidR="008C5CFA" w:rsidRPr="00BA47B4" w:rsidRDefault="008C5CFA" w:rsidP="00300A01">
            <w:pPr>
              <w:spacing w:before="0" w:after="0"/>
              <w:jc w:val="right"/>
              <w:rPr>
                <w:sz w:val="12"/>
                <w:szCs w:val="12"/>
                <w:lang w:val="fr-BE"/>
              </w:rPr>
            </w:pPr>
          </w:p>
        </w:tc>
        <w:tc>
          <w:tcPr>
            <w:tcW w:w="0" w:type="auto"/>
            <w:shd w:val="clear" w:color="auto" w:fill="auto"/>
          </w:tcPr>
          <w:p w14:paraId="3FB46882" w14:textId="77777777" w:rsidR="008C5CFA" w:rsidRPr="00BA47B4" w:rsidRDefault="008C5CFA" w:rsidP="00300A01">
            <w:pPr>
              <w:spacing w:before="0" w:after="0"/>
              <w:jc w:val="right"/>
              <w:rPr>
                <w:sz w:val="12"/>
                <w:szCs w:val="12"/>
                <w:lang w:val="fr-BE"/>
              </w:rPr>
            </w:pPr>
          </w:p>
        </w:tc>
        <w:tc>
          <w:tcPr>
            <w:tcW w:w="0" w:type="auto"/>
            <w:shd w:val="clear" w:color="auto" w:fill="auto"/>
          </w:tcPr>
          <w:p w14:paraId="071A0E62"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0DA68033" w14:textId="77777777" w:rsidR="008C5CFA" w:rsidRPr="00BA47B4" w:rsidRDefault="008C5CFA" w:rsidP="00300A01">
            <w:pPr>
              <w:spacing w:before="0" w:after="0"/>
              <w:jc w:val="right"/>
              <w:rPr>
                <w:sz w:val="12"/>
                <w:szCs w:val="12"/>
                <w:lang w:val="fr-BE"/>
              </w:rPr>
            </w:pPr>
          </w:p>
        </w:tc>
        <w:tc>
          <w:tcPr>
            <w:tcW w:w="0" w:type="auto"/>
            <w:shd w:val="clear" w:color="auto" w:fill="auto"/>
          </w:tcPr>
          <w:p w14:paraId="4790D9A7" w14:textId="77777777" w:rsidR="008C5CFA" w:rsidRPr="00BA47B4" w:rsidRDefault="008C5CFA" w:rsidP="00300A01">
            <w:pPr>
              <w:spacing w:before="0" w:after="0"/>
              <w:jc w:val="right"/>
              <w:rPr>
                <w:sz w:val="12"/>
                <w:szCs w:val="12"/>
                <w:lang w:val="fr-BE"/>
              </w:rPr>
            </w:pPr>
          </w:p>
        </w:tc>
        <w:tc>
          <w:tcPr>
            <w:tcW w:w="0" w:type="auto"/>
            <w:shd w:val="clear" w:color="auto" w:fill="auto"/>
          </w:tcPr>
          <w:p w14:paraId="1AFAAD31" w14:textId="77777777" w:rsidR="008C5CFA" w:rsidRPr="00BA47B4" w:rsidRDefault="008C5CFA" w:rsidP="00300A01">
            <w:pPr>
              <w:spacing w:before="0" w:after="0"/>
              <w:jc w:val="right"/>
              <w:rPr>
                <w:sz w:val="12"/>
                <w:szCs w:val="12"/>
                <w:lang w:val="fr-BE"/>
              </w:rPr>
            </w:pPr>
          </w:p>
        </w:tc>
        <w:tc>
          <w:tcPr>
            <w:tcW w:w="0" w:type="auto"/>
            <w:shd w:val="clear" w:color="auto" w:fill="auto"/>
          </w:tcPr>
          <w:p w14:paraId="1DD2FC42" w14:textId="77777777" w:rsidR="008C5CFA" w:rsidRPr="00BA47B4" w:rsidRDefault="008C5CFA" w:rsidP="00300A01">
            <w:pPr>
              <w:spacing w:before="0" w:after="0"/>
              <w:jc w:val="right"/>
              <w:rPr>
                <w:sz w:val="12"/>
                <w:szCs w:val="12"/>
                <w:lang w:val="fr-BE"/>
              </w:rPr>
            </w:pPr>
          </w:p>
        </w:tc>
        <w:tc>
          <w:tcPr>
            <w:tcW w:w="0" w:type="auto"/>
            <w:shd w:val="clear" w:color="auto" w:fill="auto"/>
          </w:tcPr>
          <w:p w14:paraId="42242015" w14:textId="77777777" w:rsidR="008C5CFA" w:rsidRPr="00BA47B4" w:rsidRDefault="008C5CFA" w:rsidP="00300A01">
            <w:pPr>
              <w:spacing w:before="0" w:after="0"/>
              <w:jc w:val="right"/>
              <w:rPr>
                <w:sz w:val="12"/>
                <w:szCs w:val="12"/>
                <w:lang w:val="fr-BE"/>
              </w:rPr>
            </w:pPr>
          </w:p>
        </w:tc>
        <w:tc>
          <w:tcPr>
            <w:tcW w:w="0" w:type="auto"/>
          </w:tcPr>
          <w:p w14:paraId="7EEF90A1"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14:paraId="478C69DF" w14:textId="77777777" w:rsidR="008C5CFA" w:rsidRPr="00A92B39" w:rsidRDefault="008C5CFA" w:rsidP="00300A01">
            <w:pPr>
              <w:spacing w:before="0" w:after="0"/>
              <w:jc w:val="right"/>
              <w:rPr>
                <w:sz w:val="10"/>
                <w:szCs w:val="10"/>
                <w:lang w:val="fr-BE"/>
              </w:rPr>
            </w:pPr>
          </w:p>
        </w:tc>
        <w:tc>
          <w:tcPr>
            <w:tcW w:w="0" w:type="auto"/>
            <w:shd w:val="clear" w:color="auto" w:fill="auto"/>
          </w:tcPr>
          <w:p w14:paraId="70C673BD" w14:textId="77777777" w:rsidR="008C5CFA" w:rsidRPr="00BA47B4" w:rsidRDefault="008C5CFA" w:rsidP="00300A01">
            <w:pPr>
              <w:spacing w:before="0" w:after="0"/>
              <w:jc w:val="right"/>
              <w:rPr>
                <w:sz w:val="12"/>
                <w:szCs w:val="12"/>
                <w:lang w:val="fr-BE"/>
              </w:rPr>
            </w:pPr>
          </w:p>
        </w:tc>
      </w:tr>
      <w:tr w:rsidR="006B2EC1" w14:paraId="4E2D0C4D" w14:textId="77777777" w:rsidTr="0047688D">
        <w:tc>
          <w:tcPr>
            <w:tcW w:w="0" w:type="auto"/>
            <w:shd w:val="clear" w:color="auto" w:fill="auto"/>
          </w:tcPr>
          <w:p w14:paraId="75B834C1" w14:textId="77777777" w:rsidR="008C5CFA" w:rsidRPr="00BA47B4" w:rsidRDefault="00E82A60" w:rsidP="00300A01">
            <w:pPr>
              <w:spacing w:before="0" w:after="0"/>
              <w:rPr>
                <w:sz w:val="12"/>
                <w:szCs w:val="12"/>
                <w:lang w:val="fr-BE"/>
              </w:rPr>
            </w:pPr>
            <w:r>
              <w:rPr>
                <w:noProof/>
                <w:sz w:val="12"/>
                <w:szCs w:val="12"/>
                <w:lang w:val="fr-BE"/>
              </w:rPr>
              <w:t>CO23</w:t>
            </w:r>
          </w:p>
        </w:tc>
        <w:tc>
          <w:tcPr>
            <w:tcW w:w="0" w:type="auto"/>
            <w:shd w:val="clear" w:color="auto" w:fill="auto"/>
          </w:tcPr>
          <w:p w14:paraId="36CCB75E" w14:textId="77777777" w:rsidR="008C5CFA" w:rsidRPr="00BA47B4" w:rsidRDefault="00E82A60" w:rsidP="00300A01">
            <w:pPr>
              <w:spacing w:before="0" w:after="0"/>
              <w:rPr>
                <w:sz w:val="12"/>
                <w:szCs w:val="12"/>
                <w:lang w:val="fr-BE"/>
              </w:rPr>
            </w:pPr>
            <w:r>
              <w:rPr>
                <w:noProof/>
                <w:sz w:val="12"/>
                <w:szCs w:val="12"/>
                <w:lang w:val="fr-BE"/>
              </w:rPr>
              <w:t>liczba objętych wsparciem mikro-, małych i średnich przedsiębiorstw (w tym przedsiębiorstw spółdzielczych i przedsiębiorstw gospodarki społecznej)</w:t>
            </w:r>
          </w:p>
        </w:tc>
        <w:tc>
          <w:tcPr>
            <w:tcW w:w="0" w:type="auto"/>
            <w:shd w:val="clear" w:color="auto" w:fill="auto"/>
          </w:tcPr>
          <w:p w14:paraId="66A35050" w14:textId="77777777" w:rsidR="008C5CFA" w:rsidRPr="00BA47B4" w:rsidRDefault="00E82A60"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14:paraId="224CEBA0" w14:textId="77777777" w:rsidR="008C5CFA" w:rsidRPr="00BA47B4" w:rsidRDefault="008C5CFA" w:rsidP="00300A01">
            <w:pPr>
              <w:spacing w:before="0" w:after="0"/>
              <w:jc w:val="right"/>
              <w:rPr>
                <w:sz w:val="12"/>
                <w:szCs w:val="12"/>
                <w:lang w:val="fr-BE"/>
              </w:rPr>
            </w:pPr>
          </w:p>
        </w:tc>
        <w:tc>
          <w:tcPr>
            <w:tcW w:w="0" w:type="auto"/>
            <w:shd w:val="clear" w:color="auto" w:fill="auto"/>
          </w:tcPr>
          <w:p w14:paraId="7BF81570" w14:textId="77777777" w:rsidR="008C5CFA" w:rsidRPr="00BA47B4" w:rsidRDefault="008C5CFA" w:rsidP="00300A01">
            <w:pPr>
              <w:spacing w:before="0" w:after="0"/>
              <w:jc w:val="right"/>
              <w:rPr>
                <w:sz w:val="12"/>
                <w:szCs w:val="12"/>
                <w:lang w:val="fr-BE"/>
              </w:rPr>
            </w:pPr>
          </w:p>
        </w:tc>
        <w:tc>
          <w:tcPr>
            <w:tcW w:w="0" w:type="auto"/>
            <w:shd w:val="clear" w:color="auto" w:fill="auto"/>
          </w:tcPr>
          <w:p w14:paraId="775B725B" w14:textId="77777777" w:rsidR="008C5CFA" w:rsidRPr="00BA47B4" w:rsidRDefault="008C5CFA" w:rsidP="00300A01">
            <w:pPr>
              <w:spacing w:before="0" w:after="0"/>
              <w:jc w:val="right"/>
              <w:rPr>
                <w:sz w:val="12"/>
                <w:szCs w:val="12"/>
                <w:lang w:val="fr-BE"/>
              </w:rPr>
            </w:pPr>
          </w:p>
        </w:tc>
        <w:tc>
          <w:tcPr>
            <w:tcW w:w="0" w:type="auto"/>
            <w:shd w:val="clear" w:color="auto" w:fill="auto"/>
          </w:tcPr>
          <w:p w14:paraId="0A3EF2E4"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2BF8C29C" w14:textId="77777777" w:rsidR="008C5CFA" w:rsidRPr="00BA47B4" w:rsidRDefault="008C5CFA" w:rsidP="00300A01">
            <w:pPr>
              <w:spacing w:before="0" w:after="0"/>
              <w:jc w:val="right"/>
              <w:rPr>
                <w:sz w:val="12"/>
                <w:szCs w:val="12"/>
                <w:lang w:val="fr-BE"/>
              </w:rPr>
            </w:pPr>
          </w:p>
        </w:tc>
        <w:tc>
          <w:tcPr>
            <w:tcW w:w="0" w:type="auto"/>
            <w:shd w:val="clear" w:color="auto" w:fill="auto"/>
          </w:tcPr>
          <w:p w14:paraId="014EB3D7" w14:textId="77777777" w:rsidR="008C5CFA" w:rsidRPr="00BA47B4" w:rsidRDefault="008C5CFA" w:rsidP="00300A01">
            <w:pPr>
              <w:spacing w:before="0" w:after="0"/>
              <w:jc w:val="right"/>
              <w:rPr>
                <w:sz w:val="12"/>
                <w:szCs w:val="12"/>
                <w:lang w:val="fr-BE"/>
              </w:rPr>
            </w:pPr>
          </w:p>
        </w:tc>
        <w:tc>
          <w:tcPr>
            <w:tcW w:w="0" w:type="auto"/>
            <w:shd w:val="clear" w:color="auto" w:fill="auto"/>
          </w:tcPr>
          <w:p w14:paraId="4355F86D" w14:textId="77777777" w:rsidR="008C5CFA" w:rsidRPr="00BA47B4" w:rsidRDefault="008C5CFA" w:rsidP="00300A01">
            <w:pPr>
              <w:spacing w:before="0" w:after="0"/>
              <w:jc w:val="right"/>
              <w:rPr>
                <w:sz w:val="12"/>
                <w:szCs w:val="12"/>
                <w:lang w:val="fr-BE"/>
              </w:rPr>
            </w:pPr>
          </w:p>
        </w:tc>
        <w:tc>
          <w:tcPr>
            <w:tcW w:w="0" w:type="auto"/>
            <w:shd w:val="clear" w:color="auto" w:fill="auto"/>
          </w:tcPr>
          <w:p w14:paraId="542845B7" w14:textId="77777777" w:rsidR="008C5CFA" w:rsidRPr="00BA47B4" w:rsidRDefault="008C5CFA" w:rsidP="00300A01">
            <w:pPr>
              <w:spacing w:before="0" w:after="0"/>
              <w:jc w:val="right"/>
              <w:rPr>
                <w:sz w:val="12"/>
                <w:szCs w:val="12"/>
                <w:lang w:val="fr-BE"/>
              </w:rPr>
            </w:pPr>
          </w:p>
        </w:tc>
        <w:tc>
          <w:tcPr>
            <w:tcW w:w="0" w:type="auto"/>
            <w:shd w:val="clear" w:color="auto" w:fill="auto"/>
          </w:tcPr>
          <w:p w14:paraId="280753CD" w14:textId="77777777" w:rsidR="008C5CFA" w:rsidRPr="00BA47B4" w:rsidRDefault="008C5CFA" w:rsidP="00300A01">
            <w:pPr>
              <w:spacing w:before="0" w:after="0"/>
              <w:jc w:val="right"/>
              <w:rPr>
                <w:sz w:val="12"/>
                <w:szCs w:val="12"/>
                <w:lang w:val="fr-BE"/>
              </w:rPr>
            </w:pPr>
          </w:p>
        </w:tc>
        <w:tc>
          <w:tcPr>
            <w:tcW w:w="0" w:type="auto"/>
          </w:tcPr>
          <w:p w14:paraId="3C269C8A"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14:paraId="30503566" w14:textId="77777777" w:rsidR="008C5CFA" w:rsidRPr="00A92B39" w:rsidRDefault="008C5CFA" w:rsidP="00300A01">
            <w:pPr>
              <w:spacing w:before="0" w:after="0"/>
              <w:jc w:val="right"/>
              <w:rPr>
                <w:sz w:val="10"/>
                <w:szCs w:val="10"/>
                <w:lang w:val="fr-BE"/>
              </w:rPr>
            </w:pPr>
          </w:p>
        </w:tc>
        <w:tc>
          <w:tcPr>
            <w:tcW w:w="0" w:type="auto"/>
            <w:shd w:val="clear" w:color="auto" w:fill="auto"/>
          </w:tcPr>
          <w:p w14:paraId="101D46AD" w14:textId="77777777" w:rsidR="008C5CFA" w:rsidRPr="00BA47B4" w:rsidRDefault="008C5CFA" w:rsidP="00300A01">
            <w:pPr>
              <w:spacing w:before="0" w:after="0"/>
              <w:jc w:val="right"/>
              <w:rPr>
                <w:sz w:val="12"/>
                <w:szCs w:val="12"/>
                <w:lang w:val="fr-BE"/>
              </w:rPr>
            </w:pPr>
          </w:p>
        </w:tc>
      </w:tr>
      <w:tr w:rsidR="006B2EC1" w14:paraId="6C161296" w14:textId="77777777" w:rsidTr="0047688D">
        <w:tc>
          <w:tcPr>
            <w:tcW w:w="0" w:type="auto"/>
            <w:shd w:val="clear" w:color="auto" w:fill="auto"/>
          </w:tcPr>
          <w:p w14:paraId="313DBB51" w14:textId="77777777" w:rsidR="008C5CFA" w:rsidRPr="00BA47B4" w:rsidRDefault="008C5CFA" w:rsidP="00300A01">
            <w:pPr>
              <w:spacing w:before="0" w:after="0"/>
              <w:rPr>
                <w:sz w:val="12"/>
                <w:szCs w:val="12"/>
                <w:lang w:val="fr-BE"/>
              </w:rPr>
            </w:pPr>
          </w:p>
        </w:tc>
        <w:tc>
          <w:tcPr>
            <w:tcW w:w="0" w:type="auto"/>
            <w:shd w:val="clear" w:color="auto" w:fill="auto"/>
          </w:tcPr>
          <w:p w14:paraId="2847E7FF" w14:textId="77777777" w:rsidR="008C5CFA" w:rsidRPr="00BA47B4" w:rsidRDefault="00E82A60" w:rsidP="00300A01">
            <w:pPr>
              <w:spacing w:before="0" w:after="0"/>
              <w:rPr>
                <w:sz w:val="12"/>
                <w:szCs w:val="12"/>
                <w:lang w:val="fr-BE"/>
              </w:rPr>
            </w:pPr>
            <w:r>
              <w:rPr>
                <w:noProof/>
                <w:sz w:val="12"/>
                <w:szCs w:val="12"/>
                <w:lang w:val="fr-BE"/>
              </w:rPr>
              <w:t>Całkowita łączna liczba uczestników</w:t>
            </w:r>
          </w:p>
        </w:tc>
        <w:tc>
          <w:tcPr>
            <w:tcW w:w="0" w:type="auto"/>
            <w:shd w:val="clear" w:color="auto" w:fill="auto"/>
          </w:tcPr>
          <w:p w14:paraId="699BE5BF" w14:textId="77777777" w:rsidR="008C5CFA" w:rsidRPr="00BA47B4" w:rsidRDefault="008C5CFA" w:rsidP="00300A01">
            <w:pPr>
              <w:spacing w:before="0" w:after="0"/>
              <w:rPr>
                <w:sz w:val="12"/>
                <w:szCs w:val="12"/>
                <w:lang w:val="fr-BE"/>
              </w:rPr>
            </w:pPr>
          </w:p>
        </w:tc>
        <w:tc>
          <w:tcPr>
            <w:tcW w:w="0" w:type="auto"/>
            <w:shd w:val="clear" w:color="auto" w:fill="auto"/>
          </w:tcPr>
          <w:p w14:paraId="1CC9AE80" w14:textId="77777777" w:rsidR="008C5CFA" w:rsidRPr="00BA47B4" w:rsidRDefault="008C5CFA" w:rsidP="00300A01">
            <w:pPr>
              <w:spacing w:before="0" w:after="0"/>
              <w:jc w:val="right"/>
              <w:rPr>
                <w:sz w:val="12"/>
                <w:szCs w:val="12"/>
                <w:lang w:val="fr-BE"/>
              </w:rPr>
            </w:pPr>
          </w:p>
        </w:tc>
        <w:tc>
          <w:tcPr>
            <w:tcW w:w="0" w:type="auto"/>
            <w:shd w:val="clear" w:color="auto" w:fill="auto"/>
          </w:tcPr>
          <w:p w14:paraId="00381D60" w14:textId="77777777" w:rsidR="008C5CFA" w:rsidRPr="00BA47B4" w:rsidRDefault="008C5CFA" w:rsidP="00300A01">
            <w:pPr>
              <w:spacing w:before="0" w:after="0"/>
              <w:jc w:val="right"/>
              <w:rPr>
                <w:sz w:val="12"/>
                <w:szCs w:val="12"/>
                <w:lang w:val="fr-BE"/>
              </w:rPr>
            </w:pPr>
          </w:p>
        </w:tc>
        <w:tc>
          <w:tcPr>
            <w:tcW w:w="0" w:type="auto"/>
            <w:shd w:val="clear" w:color="auto" w:fill="auto"/>
          </w:tcPr>
          <w:p w14:paraId="03CB9A2F" w14:textId="77777777" w:rsidR="008C5CFA" w:rsidRPr="00BA47B4" w:rsidRDefault="008C5CFA" w:rsidP="00300A01">
            <w:pPr>
              <w:spacing w:before="0" w:after="0"/>
              <w:jc w:val="right"/>
              <w:rPr>
                <w:sz w:val="12"/>
                <w:szCs w:val="12"/>
                <w:lang w:val="fr-BE"/>
              </w:rPr>
            </w:pPr>
          </w:p>
        </w:tc>
        <w:tc>
          <w:tcPr>
            <w:tcW w:w="0" w:type="auto"/>
            <w:shd w:val="clear" w:color="auto" w:fill="auto"/>
          </w:tcPr>
          <w:p w14:paraId="34E6BA4B" w14:textId="77777777" w:rsidR="008C5CFA" w:rsidRPr="00BA47B4" w:rsidRDefault="00E82A60" w:rsidP="00300A01">
            <w:pPr>
              <w:spacing w:before="0" w:after="0"/>
              <w:jc w:val="right"/>
              <w:rPr>
                <w:sz w:val="12"/>
                <w:szCs w:val="12"/>
                <w:lang w:val="fr-BE"/>
              </w:rPr>
            </w:pPr>
            <w:r w:rsidRPr="00BA47B4">
              <w:rPr>
                <w:noProof/>
                <w:sz w:val="12"/>
                <w:szCs w:val="12"/>
                <w:lang w:val="fr-BE"/>
              </w:rPr>
              <w:t>21 167,00</w:t>
            </w:r>
          </w:p>
        </w:tc>
        <w:tc>
          <w:tcPr>
            <w:tcW w:w="0" w:type="auto"/>
            <w:shd w:val="clear" w:color="auto" w:fill="auto"/>
          </w:tcPr>
          <w:p w14:paraId="1285A075" w14:textId="77777777" w:rsidR="008C5CFA" w:rsidRPr="00BA47B4" w:rsidRDefault="008C5CFA" w:rsidP="00300A01">
            <w:pPr>
              <w:spacing w:before="0" w:after="0"/>
              <w:jc w:val="right"/>
              <w:rPr>
                <w:sz w:val="12"/>
                <w:szCs w:val="12"/>
                <w:lang w:val="fr-BE"/>
              </w:rPr>
            </w:pPr>
          </w:p>
        </w:tc>
        <w:tc>
          <w:tcPr>
            <w:tcW w:w="0" w:type="auto"/>
            <w:shd w:val="clear" w:color="auto" w:fill="auto"/>
          </w:tcPr>
          <w:p w14:paraId="2B69678F" w14:textId="77777777" w:rsidR="008C5CFA" w:rsidRPr="00BA47B4" w:rsidRDefault="008C5CFA" w:rsidP="00300A01">
            <w:pPr>
              <w:spacing w:before="0" w:after="0"/>
              <w:jc w:val="right"/>
              <w:rPr>
                <w:sz w:val="12"/>
                <w:szCs w:val="12"/>
                <w:lang w:val="fr-BE"/>
              </w:rPr>
            </w:pPr>
          </w:p>
        </w:tc>
        <w:tc>
          <w:tcPr>
            <w:tcW w:w="0" w:type="auto"/>
            <w:shd w:val="clear" w:color="auto" w:fill="auto"/>
          </w:tcPr>
          <w:p w14:paraId="05B699E1" w14:textId="77777777" w:rsidR="008C5CFA" w:rsidRPr="00BA47B4" w:rsidRDefault="008C5CFA" w:rsidP="00300A01">
            <w:pPr>
              <w:spacing w:before="0" w:after="0"/>
              <w:jc w:val="right"/>
              <w:rPr>
                <w:sz w:val="12"/>
                <w:szCs w:val="12"/>
                <w:lang w:val="fr-BE"/>
              </w:rPr>
            </w:pPr>
          </w:p>
        </w:tc>
        <w:tc>
          <w:tcPr>
            <w:tcW w:w="0" w:type="auto"/>
            <w:shd w:val="clear" w:color="auto" w:fill="auto"/>
          </w:tcPr>
          <w:p w14:paraId="4939FC0E" w14:textId="77777777" w:rsidR="008C5CFA" w:rsidRPr="00BA47B4" w:rsidRDefault="008C5CFA" w:rsidP="00300A01">
            <w:pPr>
              <w:spacing w:before="0" w:after="0"/>
              <w:jc w:val="right"/>
              <w:rPr>
                <w:sz w:val="12"/>
                <w:szCs w:val="12"/>
                <w:lang w:val="fr-BE"/>
              </w:rPr>
            </w:pPr>
          </w:p>
        </w:tc>
        <w:tc>
          <w:tcPr>
            <w:tcW w:w="0" w:type="auto"/>
            <w:shd w:val="clear" w:color="auto" w:fill="auto"/>
          </w:tcPr>
          <w:p w14:paraId="508786D4" w14:textId="77777777" w:rsidR="008C5CFA" w:rsidRPr="00BA47B4" w:rsidRDefault="008C5CFA" w:rsidP="00300A01">
            <w:pPr>
              <w:spacing w:before="0" w:after="0"/>
              <w:jc w:val="right"/>
              <w:rPr>
                <w:sz w:val="12"/>
                <w:szCs w:val="12"/>
                <w:lang w:val="fr-BE"/>
              </w:rPr>
            </w:pPr>
          </w:p>
        </w:tc>
        <w:tc>
          <w:tcPr>
            <w:tcW w:w="0" w:type="auto"/>
          </w:tcPr>
          <w:p w14:paraId="7A4C5E29" w14:textId="77777777" w:rsidR="008C5CFA" w:rsidRPr="00A92B39" w:rsidRDefault="00E82A60" w:rsidP="00300A01">
            <w:pPr>
              <w:spacing w:before="0" w:after="0"/>
              <w:jc w:val="right"/>
              <w:rPr>
                <w:sz w:val="10"/>
                <w:szCs w:val="10"/>
                <w:lang w:val="fr-BE"/>
              </w:rPr>
            </w:pPr>
            <w:r w:rsidRPr="00A92B39">
              <w:rPr>
                <w:noProof/>
                <w:sz w:val="10"/>
                <w:szCs w:val="10"/>
                <w:lang w:val="fr-BE"/>
              </w:rPr>
              <w:t>3 988,00</w:t>
            </w:r>
          </w:p>
        </w:tc>
        <w:tc>
          <w:tcPr>
            <w:tcW w:w="0" w:type="auto"/>
            <w:shd w:val="clear" w:color="auto" w:fill="auto"/>
          </w:tcPr>
          <w:p w14:paraId="5EC5415B" w14:textId="77777777" w:rsidR="008C5CFA" w:rsidRPr="00A92B39" w:rsidRDefault="008C5CFA" w:rsidP="00300A01">
            <w:pPr>
              <w:spacing w:before="0" w:after="0"/>
              <w:jc w:val="right"/>
              <w:rPr>
                <w:sz w:val="10"/>
                <w:szCs w:val="10"/>
                <w:lang w:val="fr-BE"/>
              </w:rPr>
            </w:pPr>
          </w:p>
        </w:tc>
        <w:tc>
          <w:tcPr>
            <w:tcW w:w="0" w:type="auto"/>
            <w:shd w:val="clear" w:color="auto" w:fill="auto"/>
          </w:tcPr>
          <w:p w14:paraId="506920A4" w14:textId="77777777" w:rsidR="008C5CFA" w:rsidRPr="00BA47B4" w:rsidRDefault="008C5CFA" w:rsidP="00300A01">
            <w:pPr>
              <w:spacing w:before="0" w:after="0"/>
              <w:jc w:val="right"/>
              <w:rPr>
                <w:sz w:val="12"/>
                <w:szCs w:val="12"/>
                <w:lang w:val="fr-BE"/>
              </w:rPr>
            </w:pPr>
          </w:p>
        </w:tc>
      </w:tr>
    </w:tbl>
    <w:p w14:paraId="25D3EA9F"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48"/>
        <w:gridCol w:w="7782"/>
        <w:gridCol w:w="1332"/>
        <w:gridCol w:w="587"/>
        <w:gridCol w:w="700"/>
        <w:gridCol w:w="587"/>
        <w:gridCol w:w="587"/>
        <w:gridCol w:w="700"/>
        <w:gridCol w:w="587"/>
        <w:gridCol w:w="587"/>
        <w:gridCol w:w="700"/>
        <w:gridCol w:w="587"/>
      </w:tblGrid>
      <w:tr w:rsidR="006B2EC1" w14:paraId="2E900CCB" w14:textId="77777777" w:rsidTr="0047688D">
        <w:tc>
          <w:tcPr>
            <w:tcW w:w="0" w:type="auto"/>
            <w:shd w:val="clear" w:color="auto" w:fill="auto"/>
          </w:tcPr>
          <w:p w14:paraId="4DDC9F6A" w14:textId="77777777" w:rsidR="008C5CFA" w:rsidRPr="001C4484" w:rsidRDefault="00E82A60" w:rsidP="00300A01">
            <w:pPr>
              <w:spacing w:before="0" w:after="0"/>
              <w:rPr>
                <w:sz w:val="10"/>
                <w:szCs w:val="10"/>
              </w:rPr>
            </w:pPr>
            <w:r w:rsidRPr="001C4484">
              <w:rPr>
                <w:b/>
                <w:noProof/>
                <w:sz w:val="12"/>
                <w:szCs w:val="12"/>
                <w:lang w:val="fr-BE"/>
              </w:rPr>
              <w:t>ID</w:t>
            </w:r>
          </w:p>
        </w:tc>
        <w:tc>
          <w:tcPr>
            <w:tcW w:w="0" w:type="auto"/>
            <w:shd w:val="clear" w:color="auto" w:fill="auto"/>
          </w:tcPr>
          <w:p w14:paraId="23DC948E" w14:textId="77777777" w:rsidR="008C5CFA" w:rsidRPr="001C4484" w:rsidRDefault="00E82A60" w:rsidP="00300A01">
            <w:pPr>
              <w:spacing w:before="0" w:after="0"/>
              <w:rPr>
                <w:sz w:val="10"/>
                <w:szCs w:val="10"/>
              </w:rPr>
            </w:pPr>
            <w:r w:rsidRPr="001C4484">
              <w:rPr>
                <w:b/>
                <w:noProof/>
                <w:sz w:val="12"/>
                <w:szCs w:val="12"/>
                <w:lang w:val="fr-BE"/>
              </w:rPr>
              <w:t>Wskaźnik</w:t>
            </w:r>
          </w:p>
        </w:tc>
        <w:tc>
          <w:tcPr>
            <w:tcW w:w="0" w:type="auto"/>
            <w:shd w:val="clear" w:color="auto" w:fill="auto"/>
          </w:tcPr>
          <w:p w14:paraId="603BC667" w14:textId="77777777" w:rsidR="008C5CFA" w:rsidRPr="001C4484" w:rsidRDefault="00E82A60" w:rsidP="00300A01">
            <w:pPr>
              <w:spacing w:before="0" w:after="0"/>
              <w:rPr>
                <w:sz w:val="10"/>
                <w:szCs w:val="10"/>
              </w:rPr>
            </w:pPr>
            <w:r w:rsidRPr="001C4484">
              <w:rPr>
                <w:b/>
                <w:noProof/>
                <w:sz w:val="12"/>
                <w:szCs w:val="12"/>
                <w:lang w:val="fr-BE"/>
              </w:rPr>
              <w:t>Kategoria regionu</w:t>
            </w:r>
          </w:p>
        </w:tc>
        <w:tc>
          <w:tcPr>
            <w:tcW w:w="0" w:type="auto"/>
            <w:gridSpan w:val="3"/>
          </w:tcPr>
          <w:p w14:paraId="70374DCF" w14:textId="77777777" w:rsidR="008C5CFA" w:rsidRPr="001C4484" w:rsidRDefault="00E82A60" w:rsidP="00300A01">
            <w:pPr>
              <w:spacing w:before="0" w:after="0"/>
              <w:jc w:val="center"/>
              <w:rPr>
                <w:sz w:val="10"/>
                <w:szCs w:val="10"/>
              </w:rPr>
            </w:pPr>
            <w:r w:rsidRPr="001C4484">
              <w:rPr>
                <w:sz w:val="10"/>
                <w:szCs w:val="10"/>
              </w:rPr>
              <w:t>2018</w:t>
            </w:r>
          </w:p>
        </w:tc>
        <w:tc>
          <w:tcPr>
            <w:tcW w:w="0" w:type="auto"/>
            <w:gridSpan w:val="3"/>
          </w:tcPr>
          <w:p w14:paraId="14B0E9B9" w14:textId="77777777" w:rsidR="008C5CFA" w:rsidRPr="001C4484" w:rsidRDefault="00E82A60" w:rsidP="00300A01">
            <w:pPr>
              <w:spacing w:before="0" w:after="0"/>
              <w:jc w:val="center"/>
              <w:rPr>
                <w:sz w:val="10"/>
                <w:szCs w:val="10"/>
              </w:rPr>
            </w:pPr>
            <w:r w:rsidRPr="001C4484">
              <w:rPr>
                <w:sz w:val="10"/>
                <w:szCs w:val="10"/>
              </w:rPr>
              <w:t>2017</w:t>
            </w:r>
          </w:p>
        </w:tc>
        <w:tc>
          <w:tcPr>
            <w:tcW w:w="0" w:type="auto"/>
            <w:gridSpan w:val="3"/>
          </w:tcPr>
          <w:p w14:paraId="62032ADB" w14:textId="77777777" w:rsidR="008C5CFA" w:rsidRPr="001C4484" w:rsidRDefault="00E82A60" w:rsidP="00300A01">
            <w:pPr>
              <w:spacing w:before="0" w:after="0"/>
              <w:jc w:val="center"/>
              <w:rPr>
                <w:sz w:val="10"/>
                <w:szCs w:val="10"/>
              </w:rPr>
            </w:pPr>
            <w:r w:rsidRPr="001C4484">
              <w:rPr>
                <w:sz w:val="10"/>
                <w:szCs w:val="10"/>
              </w:rPr>
              <w:t>2016</w:t>
            </w:r>
          </w:p>
        </w:tc>
      </w:tr>
      <w:tr w:rsidR="006B2EC1" w14:paraId="62C02296" w14:textId="77777777" w:rsidTr="0047688D">
        <w:tc>
          <w:tcPr>
            <w:tcW w:w="0" w:type="auto"/>
            <w:shd w:val="clear" w:color="auto" w:fill="auto"/>
          </w:tcPr>
          <w:p w14:paraId="67479D89" w14:textId="77777777" w:rsidR="008C5CFA" w:rsidRPr="001C4484" w:rsidRDefault="008C5CFA" w:rsidP="00300A01">
            <w:pPr>
              <w:spacing w:before="0" w:after="0"/>
              <w:rPr>
                <w:sz w:val="10"/>
                <w:szCs w:val="10"/>
              </w:rPr>
            </w:pPr>
          </w:p>
        </w:tc>
        <w:tc>
          <w:tcPr>
            <w:tcW w:w="0" w:type="auto"/>
            <w:shd w:val="clear" w:color="auto" w:fill="auto"/>
          </w:tcPr>
          <w:p w14:paraId="41739026" w14:textId="77777777" w:rsidR="008C5CFA" w:rsidRPr="001C4484" w:rsidRDefault="008C5CFA" w:rsidP="00300A01">
            <w:pPr>
              <w:spacing w:before="0" w:after="0"/>
              <w:rPr>
                <w:sz w:val="10"/>
                <w:szCs w:val="10"/>
              </w:rPr>
            </w:pPr>
          </w:p>
        </w:tc>
        <w:tc>
          <w:tcPr>
            <w:tcW w:w="0" w:type="auto"/>
            <w:shd w:val="clear" w:color="auto" w:fill="auto"/>
          </w:tcPr>
          <w:p w14:paraId="096DD38E" w14:textId="77777777" w:rsidR="008C5CFA" w:rsidRPr="001C4484" w:rsidRDefault="008C5CFA" w:rsidP="00300A01">
            <w:pPr>
              <w:spacing w:before="0" w:after="0"/>
              <w:rPr>
                <w:sz w:val="10"/>
                <w:szCs w:val="10"/>
              </w:rPr>
            </w:pPr>
          </w:p>
        </w:tc>
        <w:tc>
          <w:tcPr>
            <w:tcW w:w="0" w:type="auto"/>
          </w:tcPr>
          <w:p w14:paraId="5559A894" w14:textId="77777777" w:rsidR="008C5CFA" w:rsidRPr="001C4484" w:rsidRDefault="00E82A60" w:rsidP="00300A01">
            <w:pPr>
              <w:spacing w:before="0" w:after="0"/>
              <w:jc w:val="center"/>
              <w:rPr>
                <w:sz w:val="10"/>
                <w:szCs w:val="10"/>
              </w:rPr>
            </w:pPr>
            <w:r>
              <w:rPr>
                <w:noProof/>
                <w:sz w:val="10"/>
                <w:szCs w:val="10"/>
              </w:rPr>
              <w:t>Ogółem</w:t>
            </w:r>
          </w:p>
        </w:tc>
        <w:tc>
          <w:tcPr>
            <w:tcW w:w="0" w:type="auto"/>
            <w:shd w:val="clear" w:color="auto" w:fill="auto"/>
          </w:tcPr>
          <w:p w14:paraId="6BA5263B" w14:textId="77777777" w:rsidR="008C5CFA" w:rsidRPr="001C4484" w:rsidRDefault="00E82A60" w:rsidP="00300A01">
            <w:pPr>
              <w:spacing w:before="0" w:after="0"/>
              <w:jc w:val="center"/>
              <w:rPr>
                <w:sz w:val="10"/>
                <w:szCs w:val="10"/>
              </w:rPr>
            </w:pPr>
            <w:r w:rsidRPr="001C4484">
              <w:rPr>
                <w:noProof/>
                <w:sz w:val="10"/>
                <w:szCs w:val="10"/>
              </w:rPr>
              <w:t>Mężczyźni</w:t>
            </w:r>
          </w:p>
        </w:tc>
        <w:tc>
          <w:tcPr>
            <w:tcW w:w="0" w:type="auto"/>
            <w:shd w:val="clear" w:color="auto" w:fill="auto"/>
          </w:tcPr>
          <w:p w14:paraId="39B897ED" w14:textId="77777777" w:rsidR="008C5CFA" w:rsidRPr="001C4484" w:rsidRDefault="00E82A60" w:rsidP="00300A01">
            <w:pPr>
              <w:spacing w:before="0" w:after="0"/>
              <w:jc w:val="center"/>
              <w:rPr>
                <w:sz w:val="10"/>
                <w:szCs w:val="10"/>
              </w:rPr>
            </w:pPr>
            <w:r w:rsidRPr="001C4484">
              <w:rPr>
                <w:noProof/>
                <w:sz w:val="10"/>
                <w:szCs w:val="10"/>
              </w:rPr>
              <w:t>Kobiety</w:t>
            </w:r>
          </w:p>
        </w:tc>
        <w:tc>
          <w:tcPr>
            <w:tcW w:w="0" w:type="auto"/>
          </w:tcPr>
          <w:p w14:paraId="79A9278D" w14:textId="77777777" w:rsidR="008C5CFA" w:rsidRPr="001C4484" w:rsidRDefault="00E82A60" w:rsidP="00300A01">
            <w:pPr>
              <w:spacing w:before="0" w:after="0"/>
              <w:jc w:val="center"/>
              <w:rPr>
                <w:sz w:val="10"/>
                <w:szCs w:val="10"/>
              </w:rPr>
            </w:pPr>
            <w:r>
              <w:rPr>
                <w:noProof/>
                <w:sz w:val="10"/>
                <w:szCs w:val="10"/>
              </w:rPr>
              <w:t>Ogółem</w:t>
            </w:r>
          </w:p>
        </w:tc>
        <w:tc>
          <w:tcPr>
            <w:tcW w:w="0" w:type="auto"/>
            <w:shd w:val="clear" w:color="auto" w:fill="auto"/>
          </w:tcPr>
          <w:p w14:paraId="695F3EDC" w14:textId="77777777" w:rsidR="008C5CFA" w:rsidRPr="001C4484" w:rsidRDefault="00E82A60" w:rsidP="00300A01">
            <w:pPr>
              <w:spacing w:before="0" w:after="0"/>
              <w:jc w:val="center"/>
              <w:rPr>
                <w:sz w:val="10"/>
                <w:szCs w:val="10"/>
              </w:rPr>
            </w:pPr>
            <w:r w:rsidRPr="001C4484">
              <w:rPr>
                <w:noProof/>
                <w:sz w:val="10"/>
                <w:szCs w:val="10"/>
              </w:rPr>
              <w:t>Mężczyźni</w:t>
            </w:r>
          </w:p>
        </w:tc>
        <w:tc>
          <w:tcPr>
            <w:tcW w:w="0" w:type="auto"/>
            <w:shd w:val="clear" w:color="auto" w:fill="auto"/>
          </w:tcPr>
          <w:p w14:paraId="05FB7AD5" w14:textId="77777777" w:rsidR="008C5CFA" w:rsidRPr="001C4484" w:rsidRDefault="00E82A60" w:rsidP="00300A01">
            <w:pPr>
              <w:spacing w:before="0" w:after="0"/>
              <w:jc w:val="center"/>
              <w:rPr>
                <w:sz w:val="10"/>
                <w:szCs w:val="10"/>
              </w:rPr>
            </w:pPr>
            <w:r w:rsidRPr="001C4484">
              <w:rPr>
                <w:noProof/>
                <w:sz w:val="10"/>
                <w:szCs w:val="10"/>
              </w:rPr>
              <w:t>Kobiety</w:t>
            </w:r>
          </w:p>
        </w:tc>
        <w:tc>
          <w:tcPr>
            <w:tcW w:w="0" w:type="auto"/>
          </w:tcPr>
          <w:p w14:paraId="1BA3E8FD" w14:textId="77777777" w:rsidR="008C5CFA" w:rsidRPr="001C4484" w:rsidRDefault="00E82A60" w:rsidP="00300A01">
            <w:pPr>
              <w:spacing w:before="0" w:after="0"/>
              <w:jc w:val="center"/>
              <w:rPr>
                <w:sz w:val="10"/>
                <w:szCs w:val="10"/>
              </w:rPr>
            </w:pPr>
            <w:r>
              <w:rPr>
                <w:noProof/>
                <w:sz w:val="10"/>
                <w:szCs w:val="10"/>
              </w:rPr>
              <w:t>Ogółem</w:t>
            </w:r>
          </w:p>
        </w:tc>
        <w:tc>
          <w:tcPr>
            <w:tcW w:w="0" w:type="auto"/>
            <w:shd w:val="clear" w:color="auto" w:fill="auto"/>
          </w:tcPr>
          <w:p w14:paraId="7A2E00CE" w14:textId="77777777" w:rsidR="008C5CFA" w:rsidRPr="001C4484" w:rsidRDefault="00E82A60" w:rsidP="00300A01">
            <w:pPr>
              <w:spacing w:before="0" w:after="0"/>
              <w:jc w:val="center"/>
              <w:rPr>
                <w:sz w:val="10"/>
                <w:szCs w:val="10"/>
              </w:rPr>
            </w:pPr>
            <w:r w:rsidRPr="001C4484">
              <w:rPr>
                <w:noProof/>
                <w:sz w:val="10"/>
                <w:szCs w:val="10"/>
              </w:rPr>
              <w:t>Mężczyźni</w:t>
            </w:r>
          </w:p>
        </w:tc>
        <w:tc>
          <w:tcPr>
            <w:tcW w:w="0" w:type="auto"/>
            <w:shd w:val="clear" w:color="auto" w:fill="auto"/>
          </w:tcPr>
          <w:p w14:paraId="51E1E94D" w14:textId="77777777" w:rsidR="008C5CFA" w:rsidRPr="001C4484" w:rsidRDefault="00E82A60" w:rsidP="00300A01">
            <w:pPr>
              <w:spacing w:before="0" w:after="0"/>
              <w:jc w:val="center"/>
              <w:rPr>
                <w:sz w:val="10"/>
                <w:szCs w:val="10"/>
              </w:rPr>
            </w:pPr>
            <w:r w:rsidRPr="001C4484">
              <w:rPr>
                <w:noProof/>
                <w:sz w:val="10"/>
                <w:szCs w:val="10"/>
              </w:rPr>
              <w:t>Kobiety</w:t>
            </w:r>
          </w:p>
        </w:tc>
      </w:tr>
      <w:tr w:rsidR="006B2EC1" w14:paraId="50895362" w14:textId="77777777" w:rsidTr="0047688D">
        <w:tc>
          <w:tcPr>
            <w:tcW w:w="0" w:type="auto"/>
            <w:shd w:val="clear" w:color="auto" w:fill="auto"/>
          </w:tcPr>
          <w:p w14:paraId="7FFBB8BE" w14:textId="77777777" w:rsidR="008C5CFA" w:rsidRPr="001C4484" w:rsidRDefault="00E82A60" w:rsidP="00300A01">
            <w:pPr>
              <w:spacing w:before="0" w:after="0"/>
              <w:rPr>
                <w:sz w:val="10"/>
                <w:szCs w:val="10"/>
                <w:lang w:val="fr-BE"/>
              </w:rPr>
            </w:pPr>
            <w:r w:rsidRPr="001C4484">
              <w:rPr>
                <w:noProof/>
                <w:sz w:val="10"/>
                <w:szCs w:val="10"/>
                <w:lang w:val="fr-BE"/>
              </w:rPr>
              <w:t>CO01</w:t>
            </w:r>
          </w:p>
        </w:tc>
        <w:tc>
          <w:tcPr>
            <w:tcW w:w="0" w:type="auto"/>
            <w:shd w:val="clear" w:color="auto" w:fill="auto"/>
          </w:tcPr>
          <w:p w14:paraId="76EB5292" w14:textId="77777777" w:rsidR="008C5CFA" w:rsidRPr="001C4484" w:rsidRDefault="00E82A60" w:rsidP="00300A01">
            <w:pPr>
              <w:spacing w:before="0" w:after="0"/>
              <w:rPr>
                <w:sz w:val="10"/>
                <w:szCs w:val="10"/>
                <w:lang w:val="fr-BE"/>
              </w:rPr>
            </w:pPr>
            <w:r w:rsidRPr="001C4484">
              <w:rPr>
                <w:noProof/>
                <w:sz w:val="10"/>
                <w:szCs w:val="10"/>
                <w:lang w:val="fr-BE"/>
              </w:rPr>
              <w:t>bezrobotni, w tym długotrwale bezrobotni</w:t>
            </w:r>
          </w:p>
        </w:tc>
        <w:tc>
          <w:tcPr>
            <w:tcW w:w="0" w:type="auto"/>
            <w:shd w:val="clear" w:color="auto" w:fill="auto"/>
          </w:tcPr>
          <w:p w14:paraId="3CCBAD7D"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6CCB7763" w14:textId="77777777" w:rsidR="008C5CFA" w:rsidRPr="001C4484" w:rsidRDefault="00E82A60" w:rsidP="00300A01">
            <w:pPr>
              <w:spacing w:before="0" w:after="0"/>
              <w:jc w:val="right"/>
              <w:rPr>
                <w:sz w:val="10"/>
                <w:szCs w:val="10"/>
              </w:rPr>
            </w:pPr>
            <w:r>
              <w:rPr>
                <w:noProof/>
                <w:sz w:val="10"/>
                <w:szCs w:val="10"/>
              </w:rPr>
              <w:t>4 136,00</w:t>
            </w:r>
          </w:p>
        </w:tc>
        <w:tc>
          <w:tcPr>
            <w:tcW w:w="0" w:type="auto"/>
            <w:shd w:val="clear" w:color="auto" w:fill="auto"/>
          </w:tcPr>
          <w:p w14:paraId="54B00F25" w14:textId="77777777" w:rsidR="008C5CFA" w:rsidRPr="001C4484" w:rsidRDefault="00E82A60" w:rsidP="00300A01">
            <w:pPr>
              <w:spacing w:before="0" w:after="0"/>
              <w:jc w:val="right"/>
              <w:rPr>
                <w:sz w:val="10"/>
                <w:szCs w:val="10"/>
              </w:rPr>
            </w:pPr>
            <w:r w:rsidRPr="001C4484">
              <w:rPr>
                <w:noProof/>
                <w:sz w:val="10"/>
                <w:szCs w:val="10"/>
              </w:rPr>
              <w:t>1 716,00</w:t>
            </w:r>
          </w:p>
        </w:tc>
        <w:tc>
          <w:tcPr>
            <w:tcW w:w="0" w:type="auto"/>
            <w:shd w:val="clear" w:color="auto" w:fill="auto"/>
          </w:tcPr>
          <w:p w14:paraId="0141D3CA" w14:textId="77777777" w:rsidR="008C5CFA" w:rsidRPr="001C4484" w:rsidRDefault="00E82A60" w:rsidP="00300A01">
            <w:pPr>
              <w:spacing w:before="0" w:after="0"/>
              <w:jc w:val="right"/>
              <w:rPr>
                <w:sz w:val="10"/>
                <w:szCs w:val="10"/>
                <w:lang w:val="fr-BE"/>
              </w:rPr>
            </w:pPr>
            <w:r w:rsidRPr="001C4484">
              <w:rPr>
                <w:noProof/>
                <w:sz w:val="10"/>
                <w:szCs w:val="10"/>
              </w:rPr>
              <w:t>2 420,00</w:t>
            </w:r>
          </w:p>
        </w:tc>
        <w:tc>
          <w:tcPr>
            <w:tcW w:w="0" w:type="auto"/>
          </w:tcPr>
          <w:p w14:paraId="55669B96" w14:textId="77777777" w:rsidR="008C5CFA" w:rsidRPr="001C4484" w:rsidRDefault="00E82A60" w:rsidP="00300A01">
            <w:pPr>
              <w:spacing w:before="0" w:after="0"/>
              <w:jc w:val="right"/>
              <w:rPr>
                <w:sz w:val="10"/>
                <w:szCs w:val="10"/>
              </w:rPr>
            </w:pPr>
            <w:r>
              <w:rPr>
                <w:noProof/>
                <w:sz w:val="10"/>
                <w:szCs w:val="10"/>
              </w:rPr>
              <w:t>5 050,00</w:t>
            </w:r>
          </w:p>
        </w:tc>
        <w:tc>
          <w:tcPr>
            <w:tcW w:w="0" w:type="auto"/>
            <w:shd w:val="clear" w:color="auto" w:fill="auto"/>
          </w:tcPr>
          <w:p w14:paraId="5C6BB3F7" w14:textId="77777777" w:rsidR="008C5CFA" w:rsidRPr="001C4484" w:rsidRDefault="00E82A60" w:rsidP="00300A01">
            <w:pPr>
              <w:spacing w:before="0" w:after="0"/>
              <w:jc w:val="right"/>
              <w:rPr>
                <w:sz w:val="10"/>
                <w:szCs w:val="10"/>
              </w:rPr>
            </w:pPr>
            <w:r w:rsidRPr="001C4484">
              <w:rPr>
                <w:noProof/>
                <w:sz w:val="10"/>
                <w:szCs w:val="10"/>
              </w:rPr>
              <w:t>2 208,00</w:t>
            </w:r>
          </w:p>
        </w:tc>
        <w:tc>
          <w:tcPr>
            <w:tcW w:w="0" w:type="auto"/>
            <w:shd w:val="clear" w:color="auto" w:fill="auto"/>
          </w:tcPr>
          <w:p w14:paraId="2AE3F44E" w14:textId="77777777" w:rsidR="008C5CFA" w:rsidRPr="001C4484" w:rsidRDefault="00E82A60" w:rsidP="00300A01">
            <w:pPr>
              <w:spacing w:before="0" w:after="0"/>
              <w:jc w:val="right"/>
              <w:rPr>
                <w:sz w:val="10"/>
                <w:szCs w:val="10"/>
                <w:lang w:val="fr-BE"/>
              </w:rPr>
            </w:pPr>
            <w:r w:rsidRPr="001C4484">
              <w:rPr>
                <w:noProof/>
                <w:sz w:val="10"/>
                <w:szCs w:val="10"/>
              </w:rPr>
              <w:t>2 842,00</w:t>
            </w:r>
          </w:p>
        </w:tc>
        <w:tc>
          <w:tcPr>
            <w:tcW w:w="0" w:type="auto"/>
          </w:tcPr>
          <w:p w14:paraId="06202B8E" w14:textId="77777777" w:rsidR="008C5CFA" w:rsidRPr="001C4484" w:rsidRDefault="00E82A60" w:rsidP="00300A01">
            <w:pPr>
              <w:spacing w:before="0" w:after="0"/>
              <w:jc w:val="right"/>
              <w:rPr>
                <w:sz w:val="10"/>
                <w:szCs w:val="10"/>
              </w:rPr>
            </w:pPr>
            <w:r>
              <w:rPr>
                <w:noProof/>
                <w:sz w:val="10"/>
                <w:szCs w:val="10"/>
              </w:rPr>
              <w:t>3 954,00</w:t>
            </w:r>
          </w:p>
        </w:tc>
        <w:tc>
          <w:tcPr>
            <w:tcW w:w="0" w:type="auto"/>
            <w:shd w:val="clear" w:color="auto" w:fill="auto"/>
          </w:tcPr>
          <w:p w14:paraId="1B33AA8C" w14:textId="77777777" w:rsidR="008C5CFA" w:rsidRPr="001C4484" w:rsidRDefault="00E82A60" w:rsidP="00300A01">
            <w:pPr>
              <w:spacing w:before="0" w:after="0"/>
              <w:jc w:val="right"/>
              <w:rPr>
                <w:sz w:val="10"/>
                <w:szCs w:val="10"/>
              </w:rPr>
            </w:pPr>
            <w:r w:rsidRPr="001C4484">
              <w:rPr>
                <w:noProof/>
                <w:sz w:val="10"/>
                <w:szCs w:val="10"/>
              </w:rPr>
              <w:t>1 770,00</w:t>
            </w:r>
          </w:p>
        </w:tc>
        <w:tc>
          <w:tcPr>
            <w:tcW w:w="0" w:type="auto"/>
            <w:shd w:val="clear" w:color="auto" w:fill="auto"/>
          </w:tcPr>
          <w:p w14:paraId="28228D09" w14:textId="77777777" w:rsidR="008C5CFA" w:rsidRPr="001C4484" w:rsidRDefault="00E82A60" w:rsidP="00300A01">
            <w:pPr>
              <w:spacing w:before="0" w:after="0"/>
              <w:jc w:val="right"/>
              <w:rPr>
                <w:sz w:val="10"/>
                <w:szCs w:val="10"/>
                <w:lang w:val="fr-BE"/>
              </w:rPr>
            </w:pPr>
            <w:r w:rsidRPr="001C4484">
              <w:rPr>
                <w:noProof/>
                <w:sz w:val="10"/>
                <w:szCs w:val="10"/>
              </w:rPr>
              <w:t>2 184,00</w:t>
            </w:r>
          </w:p>
        </w:tc>
      </w:tr>
      <w:tr w:rsidR="006B2EC1" w14:paraId="48AD9648" w14:textId="77777777" w:rsidTr="0047688D">
        <w:tc>
          <w:tcPr>
            <w:tcW w:w="0" w:type="auto"/>
            <w:shd w:val="clear" w:color="auto" w:fill="auto"/>
          </w:tcPr>
          <w:p w14:paraId="3F50AA86" w14:textId="77777777" w:rsidR="008C5CFA" w:rsidRPr="001C4484" w:rsidRDefault="00E82A60" w:rsidP="00300A01">
            <w:pPr>
              <w:spacing w:before="0" w:after="0"/>
              <w:rPr>
                <w:sz w:val="10"/>
                <w:szCs w:val="10"/>
                <w:lang w:val="fr-BE"/>
              </w:rPr>
            </w:pPr>
            <w:r w:rsidRPr="001C4484">
              <w:rPr>
                <w:noProof/>
                <w:sz w:val="10"/>
                <w:szCs w:val="10"/>
                <w:lang w:val="fr-BE"/>
              </w:rPr>
              <w:t>CO02</w:t>
            </w:r>
          </w:p>
        </w:tc>
        <w:tc>
          <w:tcPr>
            <w:tcW w:w="0" w:type="auto"/>
            <w:shd w:val="clear" w:color="auto" w:fill="auto"/>
          </w:tcPr>
          <w:p w14:paraId="14AA9AF1" w14:textId="77777777" w:rsidR="008C5CFA" w:rsidRPr="001C4484" w:rsidRDefault="00E82A60" w:rsidP="00300A01">
            <w:pPr>
              <w:spacing w:before="0" w:after="0"/>
              <w:rPr>
                <w:sz w:val="10"/>
                <w:szCs w:val="10"/>
                <w:lang w:val="fr-BE"/>
              </w:rPr>
            </w:pPr>
            <w:r w:rsidRPr="001C4484">
              <w:rPr>
                <w:noProof/>
                <w:sz w:val="10"/>
                <w:szCs w:val="10"/>
                <w:lang w:val="fr-BE"/>
              </w:rPr>
              <w:t>długotrwale bezrobotni</w:t>
            </w:r>
          </w:p>
        </w:tc>
        <w:tc>
          <w:tcPr>
            <w:tcW w:w="0" w:type="auto"/>
            <w:shd w:val="clear" w:color="auto" w:fill="auto"/>
          </w:tcPr>
          <w:p w14:paraId="7006D53B"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512F35CA" w14:textId="77777777" w:rsidR="008C5CFA" w:rsidRPr="001C4484" w:rsidRDefault="00E82A60" w:rsidP="00300A01">
            <w:pPr>
              <w:spacing w:before="0" w:after="0"/>
              <w:jc w:val="right"/>
              <w:rPr>
                <w:sz w:val="10"/>
                <w:szCs w:val="10"/>
              </w:rPr>
            </w:pPr>
            <w:r>
              <w:rPr>
                <w:noProof/>
                <w:sz w:val="10"/>
                <w:szCs w:val="10"/>
              </w:rPr>
              <w:t>1 602,00</w:t>
            </w:r>
          </w:p>
        </w:tc>
        <w:tc>
          <w:tcPr>
            <w:tcW w:w="0" w:type="auto"/>
            <w:shd w:val="clear" w:color="auto" w:fill="auto"/>
          </w:tcPr>
          <w:p w14:paraId="1B2F5BE1" w14:textId="77777777" w:rsidR="008C5CFA" w:rsidRPr="001C4484" w:rsidRDefault="00E82A60" w:rsidP="00300A01">
            <w:pPr>
              <w:spacing w:before="0" w:after="0"/>
              <w:jc w:val="right"/>
              <w:rPr>
                <w:sz w:val="10"/>
                <w:szCs w:val="10"/>
              </w:rPr>
            </w:pPr>
            <w:r w:rsidRPr="001C4484">
              <w:rPr>
                <w:noProof/>
                <w:sz w:val="10"/>
                <w:szCs w:val="10"/>
              </w:rPr>
              <w:t>677,00</w:t>
            </w:r>
          </w:p>
        </w:tc>
        <w:tc>
          <w:tcPr>
            <w:tcW w:w="0" w:type="auto"/>
            <w:shd w:val="clear" w:color="auto" w:fill="auto"/>
          </w:tcPr>
          <w:p w14:paraId="02E483E2" w14:textId="77777777" w:rsidR="008C5CFA" w:rsidRPr="001C4484" w:rsidRDefault="00E82A60" w:rsidP="00300A01">
            <w:pPr>
              <w:spacing w:before="0" w:after="0"/>
              <w:jc w:val="right"/>
              <w:rPr>
                <w:sz w:val="10"/>
                <w:szCs w:val="10"/>
                <w:lang w:val="fr-BE"/>
              </w:rPr>
            </w:pPr>
            <w:r w:rsidRPr="001C4484">
              <w:rPr>
                <w:noProof/>
                <w:sz w:val="10"/>
                <w:szCs w:val="10"/>
              </w:rPr>
              <w:t>925,00</w:t>
            </w:r>
          </w:p>
        </w:tc>
        <w:tc>
          <w:tcPr>
            <w:tcW w:w="0" w:type="auto"/>
          </w:tcPr>
          <w:p w14:paraId="13A430F9" w14:textId="77777777" w:rsidR="008C5CFA" w:rsidRPr="001C4484" w:rsidRDefault="00E82A60" w:rsidP="00300A01">
            <w:pPr>
              <w:spacing w:before="0" w:after="0"/>
              <w:jc w:val="right"/>
              <w:rPr>
                <w:sz w:val="10"/>
                <w:szCs w:val="10"/>
              </w:rPr>
            </w:pPr>
            <w:r>
              <w:rPr>
                <w:noProof/>
                <w:sz w:val="10"/>
                <w:szCs w:val="10"/>
              </w:rPr>
              <w:t>2 493,00</w:t>
            </w:r>
          </w:p>
        </w:tc>
        <w:tc>
          <w:tcPr>
            <w:tcW w:w="0" w:type="auto"/>
            <w:shd w:val="clear" w:color="auto" w:fill="auto"/>
          </w:tcPr>
          <w:p w14:paraId="1CF778F5" w14:textId="77777777" w:rsidR="008C5CFA" w:rsidRPr="001C4484" w:rsidRDefault="00E82A60" w:rsidP="00300A01">
            <w:pPr>
              <w:spacing w:before="0" w:after="0"/>
              <w:jc w:val="right"/>
              <w:rPr>
                <w:sz w:val="10"/>
                <w:szCs w:val="10"/>
              </w:rPr>
            </w:pPr>
            <w:r w:rsidRPr="001C4484">
              <w:rPr>
                <w:noProof/>
                <w:sz w:val="10"/>
                <w:szCs w:val="10"/>
              </w:rPr>
              <w:t>1 099,00</w:t>
            </w:r>
          </w:p>
        </w:tc>
        <w:tc>
          <w:tcPr>
            <w:tcW w:w="0" w:type="auto"/>
            <w:shd w:val="clear" w:color="auto" w:fill="auto"/>
          </w:tcPr>
          <w:p w14:paraId="5CE817D5" w14:textId="77777777" w:rsidR="008C5CFA" w:rsidRPr="001C4484" w:rsidRDefault="00E82A60" w:rsidP="00300A01">
            <w:pPr>
              <w:spacing w:before="0" w:after="0"/>
              <w:jc w:val="right"/>
              <w:rPr>
                <w:sz w:val="10"/>
                <w:szCs w:val="10"/>
                <w:lang w:val="fr-BE"/>
              </w:rPr>
            </w:pPr>
            <w:r w:rsidRPr="001C4484">
              <w:rPr>
                <w:noProof/>
                <w:sz w:val="10"/>
                <w:szCs w:val="10"/>
              </w:rPr>
              <w:t>1 394,00</w:t>
            </w:r>
          </w:p>
        </w:tc>
        <w:tc>
          <w:tcPr>
            <w:tcW w:w="0" w:type="auto"/>
          </w:tcPr>
          <w:p w14:paraId="4EE7357F" w14:textId="77777777" w:rsidR="008C5CFA" w:rsidRPr="001C4484" w:rsidRDefault="00E82A60" w:rsidP="00300A01">
            <w:pPr>
              <w:spacing w:before="0" w:after="0"/>
              <w:jc w:val="right"/>
              <w:rPr>
                <w:sz w:val="10"/>
                <w:szCs w:val="10"/>
              </w:rPr>
            </w:pPr>
            <w:r>
              <w:rPr>
                <w:noProof/>
                <w:sz w:val="10"/>
                <w:szCs w:val="10"/>
              </w:rPr>
              <w:t>1 924,00</w:t>
            </w:r>
          </w:p>
        </w:tc>
        <w:tc>
          <w:tcPr>
            <w:tcW w:w="0" w:type="auto"/>
            <w:shd w:val="clear" w:color="auto" w:fill="auto"/>
          </w:tcPr>
          <w:p w14:paraId="16FC314A" w14:textId="77777777" w:rsidR="008C5CFA" w:rsidRPr="001C4484" w:rsidRDefault="00E82A60" w:rsidP="00300A01">
            <w:pPr>
              <w:spacing w:before="0" w:after="0"/>
              <w:jc w:val="right"/>
              <w:rPr>
                <w:sz w:val="10"/>
                <w:szCs w:val="10"/>
              </w:rPr>
            </w:pPr>
            <w:r w:rsidRPr="001C4484">
              <w:rPr>
                <w:noProof/>
                <w:sz w:val="10"/>
                <w:szCs w:val="10"/>
              </w:rPr>
              <w:t>835,00</w:t>
            </w:r>
          </w:p>
        </w:tc>
        <w:tc>
          <w:tcPr>
            <w:tcW w:w="0" w:type="auto"/>
            <w:shd w:val="clear" w:color="auto" w:fill="auto"/>
          </w:tcPr>
          <w:p w14:paraId="63FBA9CA" w14:textId="77777777" w:rsidR="008C5CFA" w:rsidRPr="001C4484" w:rsidRDefault="00E82A60" w:rsidP="00300A01">
            <w:pPr>
              <w:spacing w:before="0" w:after="0"/>
              <w:jc w:val="right"/>
              <w:rPr>
                <w:sz w:val="10"/>
                <w:szCs w:val="10"/>
                <w:lang w:val="fr-BE"/>
              </w:rPr>
            </w:pPr>
            <w:r w:rsidRPr="001C4484">
              <w:rPr>
                <w:noProof/>
                <w:sz w:val="10"/>
                <w:szCs w:val="10"/>
              </w:rPr>
              <w:t>1 089,00</w:t>
            </w:r>
          </w:p>
        </w:tc>
      </w:tr>
      <w:tr w:rsidR="006B2EC1" w14:paraId="0EA1758E" w14:textId="77777777" w:rsidTr="0047688D">
        <w:tc>
          <w:tcPr>
            <w:tcW w:w="0" w:type="auto"/>
            <w:shd w:val="clear" w:color="auto" w:fill="auto"/>
          </w:tcPr>
          <w:p w14:paraId="466B1136" w14:textId="77777777" w:rsidR="008C5CFA" w:rsidRPr="001C4484" w:rsidRDefault="00E82A60" w:rsidP="00300A01">
            <w:pPr>
              <w:spacing w:before="0" w:after="0"/>
              <w:rPr>
                <w:sz w:val="10"/>
                <w:szCs w:val="10"/>
                <w:lang w:val="fr-BE"/>
              </w:rPr>
            </w:pPr>
            <w:r w:rsidRPr="001C4484">
              <w:rPr>
                <w:noProof/>
                <w:sz w:val="10"/>
                <w:szCs w:val="10"/>
                <w:lang w:val="fr-BE"/>
              </w:rPr>
              <w:t>CO03</w:t>
            </w:r>
          </w:p>
        </w:tc>
        <w:tc>
          <w:tcPr>
            <w:tcW w:w="0" w:type="auto"/>
            <w:shd w:val="clear" w:color="auto" w:fill="auto"/>
          </w:tcPr>
          <w:p w14:paraId="14802248" w14:textId="77777777" w:rsidR="008C5CFA" w:rsidRPr="001C4484" w:rsidRDefault="00E82A60" w:rsidP="00300A01">
            <w:pPr>
              <w:spacing w:before="0" w:after="0"/>
              <w:rPr>
                <w:sz w:val="10"/>
                <w:szCs w:val="10"/>
                <w:lang w:val="fr-BE"/>
              </w:rPr>
            </w:pPr>
            <w:r w:rsidRPr="001C4484">
              <w:rPr>
                <w:noProof/>
                <w:sz w:val="10"/>
                <w:szCs w:val="10"/>
                <w:lang w:val="fr-BE"/>
              </w:rPr>
              <w:t>osoby bierne zawodowo</w:t>
            </w:r>
          </w:p>
        </w:tc>
        <w:tc>
          <w:tcPr>
            <w:tcW w:w="0" w:type="auto"/>
            <w:shd w:val="clear" w:color="auto" w:fill="auto"/>
          </w:tcPr>
          <w:p w14:paraId="12AFD995"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7F3AF028" w14:textId="77777777" w:rsidR="008C5CFA" w:rsidRPr="001C4484" w:rsidRDefault="00E82A60" w:rsidP="00300A01">
            <w:pPr>
              <w:spacing w:before="0" w:after="0"/>
              <w:jc w:val="right"/>
              <w:rPr>
                <w:sz w:val="10"/>
                <w:szCs w:val="10"/>
              </w:rPr>
            </w:pPr>
            <w:r>
              <w:rPr>
                <w:noProof/>
                <w:sz w:val="10"/>
                <w:szCs w:val="10"/>
              </w:rPr>
              <w:t>338,00</w:t>
            </w:r>
          </w:p>
        </w:tc>
        <w:tc>
          <w:tcPr>
            <w:tcW w:w="0" w:type="auto"/>
            <w:shd w:val="clear" w:color="auto" w:fill="auto"/>
          </w:tcPr>
          <w:p w14:paraId="131C363B" w14:textId="77777777" w:rsidR="008C5CFA" w:rsidRPr="001C4484" w:rsidRDefault="00E82A60" w:rsidP="00300A01">
            <w:pPr>
              <w:spacing w:before="0" w:after="0"/>
              <w:jc w:val="right"/>
              <w:rPr>
                <w:sz w:val="10"/>
                <w:szCs w:val="10"/>
              </w:rPr>
            </w:pPr>
            <w:r w:rsidRPr="001C4484">
              <w:rPr>
                <w:noProof/>
                <w:sz w:val="10"/>
                <w:szCs w:val="10"/>
              </w:rPr>
              <w:t>173,00</w:t>
            </w:r>
          </w:p>
        </w:tc>
        <w:tc>
          <w:tcPr>
            <w:tcW w:w="0" w:type="auto"/>
            <w:shd w:val="clear" w:color="auto" w:fill="auto"/>
          </w:tcPr>
          <w:p w14:paraId="3C59271D" w14:textId="77777777" w:rsidR="008C5CFA" w:rsidRPr="001C4484" w:rsidRDefault="00E82A60" w:rsidP="00300A01">
            <w:pPr>
              <w:spacing w:before="0" w:after="0"/>
              <w:jc w:val="right"/>
              <w:rPr>
                <w:sz w:val="10"/>
                <w:szCs w:val="10"/>
                <w:lang w:val="fr-BE"/>
              </w:rPr>
            </w:pPr>
            <w:r w:rsidRPr="001C4484">
              <w:rPr>
                <w:noProof/>
                <w:sz w:val="10"/>
                <w:szCs w:val="10"/>
              </w:rPr>
              <w:t>165,00</w:t>
            </w:r>
          </w:p>
        </w:tc>
        <w:tc>
          <w:tcPr>
            <w:tcW w:w="0" w:type="auto"/>
          </w:tcPr>
          <w:p w14:paraId="433E476C" w14:textId="77777777" w:rsidR="008C5CFA" w:rsidRPr="001C4484" w:rsidRDefault="00E82A60" w:rsidP="00300A01">
            <w:pPr>
              <w:spacing w:before="0" w:after="0"/>
              <w:jc w:val="right"/>
              <w:rPr>
                <w:sz w:val="10"/>
                <w:szCs w:val="10"/>
              </w:rPr>
            </w:pPr>
            <w:r>
              <w:rPr>
                <w:noProof/>
                <w:sz w:val="10"/>
                <w:szCs w:val="10"/>
              </w:rPr>
              <w:t>546,00</w:t>
            </w:r>
          </w:p>
        </w:tc>
        <w:tc>
          <w:tcPr>
            <w:tcW w:w="0" w:type="auto"/>
            <w:shd w:val="clear" w:color="auto" w:fill="auto"/>
          </w:tcPr>
          <w:p w14:paraId="4746C370" w14:textId="77777777" w:rsidR="008C5CFA" w:rsidRPr="001C4484" w:rsidRDefault="00E82A60" w:rsidP="00300A01">
            <w:pPr>
              <w:spacing w:before="0" w:after="0"/>
              <w:jc w:val="right"/>
              <w:rPr>
                <w:sz w:val="10"/>
                <w:szCs w:val="10"/>
              </w:rPr>
            </w:pPr>
            <w:r w:rsidRPr="001C4484">
              <w:rPr>
                <w:noProof/>
                <w:sz w:val="10"/>
                <w:szCs w:val="10"/>
              </w:rPr>
              <w:t>231,00</w:t>
            </w:r>
          </w:p>
        </w:tc>
        <w:tc>
          <w:tcPr>
            <w:tcW w:w="0" w:type="auto"/>
            <w:shd w:val="clear" w:color="auto" w:fill="auto"/>
          </w:tcPr>
          <w:p w14:paraId="00C48B4A" w14:textId="77777777" w:rsidR="008C5CFA" w:rsidRPr="001C4484" w:rsidRDefault="00E82A60" w:rsidP="00300A01">
            <w:pPr>
              <w:spacing w:before="0" w:after="0"/>
              <w:jc w:val="right"/>
              <w:rPr>
                <w:sz w:val="10"/>
                <w:szCs w:val="10"/>
                <w:lang w:val="fr-BE"/>
              </w:rPr>
            </w:pPr>
            <w:r w:rsidRPr="001C4484">
              <w:rPr>
                <w:noProof/>
                <w:sz w:val="10"/>
                <w:szCs w:val="10"/>
              </w:rPr>
              <w:t>315,00</w:t>
            </w:r>
          </w:p>
        </w:tc>
        <w:tc>
          <w:tcPr>
            <w:tcW w:w="0" w:type="auto"/>
          </w:tcPr>
          <w:p w14:paraId="0F204311" w14:textId="77777777" w:rsidR="008C5CFA" w:rsidRPr="001C4484" w:rsidRDefault="00E82A60" w:rsidP="00300A01">
            <w:pPr>
              <w:spacing w:before="0" w:after="0"/>
              <w:jc w:val="right"/>
              <w:rPr>
                <w:sz w:val="10"/>
                <w:szCs w:val="10"/>
              </w:rPr>
            </w:pPr>
            <w:r>
              <w:rPr>
                <w:noProof/>
                <w:sz w:val="10"/>
                <w:szCs w:val="10"/>
              </w:rPr>
              <w:t>269,00</w:t>
            </w:r>
          </w:p>
        </w:tc>
        <w:tc>
          <w:tcPr>
            <w:tcW w:w="0" w:type="auto"/>
            <w:shd w:val="clear" w:color="auto" w:fill="auto"/>
          </w:tcPr>
          <w:p w14:paraId="63B9AAF5" w14:textId="77777777" w:rsidR="008C5CFA" w:rsidRPr="001C4484" w:rsidRDefault="00E82A60" w:rsidP="00300A01">
            <w:pPr>
              <w:spacing w:before="0" w:after="0"/>
              <w:jc w:val="right"/>
              <w:rPr>
                <w:sz w:val="10"/>
                <w:szCs w:val="10"/>
              </w:rPr>
            </w:pPr>
            <w:r w:rsidRPr="001C4484">
              <w:rPr>
                <w:noProof/>
                <w:sz w:val="10"/>
                <w:szCs w:val="10"/>
              </w:rPr>
              <w:t>142,00</w:t>
            </w:r>
          </w:p>
        </w:tc>
        <w:tc>
          <w:tcPr>
            <w:tcW w:w="0" w:type="auto"/>
            <w:shd w:val="clear" w:color="auto" w:fill="auto"/>
          </w:tcPr>
          <w:p w14:paraId="64E05ECB" w14:textId="77777777" w:rsidR="008C5CFA" w:rsidRPr="001C4484" w:rsidRDefault="00E82A60" w:rsidP="00300A01">
            <w:pPr>
              <w:spacing w:before="0" w:after="0"/>
              <w:jc w:val="right"/>
              <w:rPr>
                <w:sz w:val="10"/>
                <w:szCs w:val="10"/>
                <w:lang w:val="fr-BE"/>
              </w:rPr>
            </w:pPr>
            <w:r w:rsidRPr="001C4484">
              <w:rPr>
                <w:noProof/>
                <w:sz w:val="10"/>
                <w:szCs w:val="10"/>
              </w:rPr>
              <w:t>127,00</w:t>
            </w:r>
          </w:p>
        </w:tc>
      </w:tr>
      <w:tr w:rsidR="006B2EC1" w14:paraId="333AEB63" w14:textId="77777777" w:rsidTr="0047688D">
        <w:tc>
          <w:tcPr>
            <w:tcW w:w="0" w:type="auto"/>
            <w:shd w:val="clear" w:color="auto" w:fill="auto"/>
          </w:tcPr>
          <w:p w14:paraId="632779F6" w14:textId="77777777" w:rsidR="008C5CFA" w:rsidRPr="001C4484" w:rsidRDefault="00E82A60" w:rsidP="00300A01">
            <w:pPr>
              <w:spacing w:before="0" w:after="0"/>
              <w:rPr>
                <w:sz w:val="10"/>
                <w:szCs w:val="10"/>
                <w:lang w:val="fr-BE"/>
              </w:rPr>
            </w:pPr>
            <w:r w:rsidRPr="001C4484">
              <w:rPr>
                <w:noProof/>
                <w:sz w:val="10"/>
                <w:szCs w:val="10"/>
                <w:lang w:val="fr-BE"/>
              </w:rPr>
              <w:t>CO04</w:t>
            </w:r>
          </w:p>
        </w:tc>
        <w:tc>
          <w:tcPr>
            <w:tcW w:w="0" w:type="auto"/>
            <w:shd w:val="clear" w:color="auto" w:fill="auto"/>
          </w:tcPr>
          <w:p w14:paraId="7C7EC71A" w14:textId="77777777" w:rsidR="008C5CFA" w:rsidRPr="001C4484" w:rsidRDefault="00E82A60" w:rsidP="00300A01">
            <w:pPr>
              <w:spacing w:before="0" w:after="0"/>
              <w:rPr>
                <w:sz w:val="10"/>
                <w:szCs w:val="10"/>
                <w:lang w:val="fr-BE"/>
              </w:rPr>
            </w:pPr>
            <w:r w:rsidRPr="001C4484">
              <w:rPr>
                <w:noProof/>
                <w:sz w:val="10"/>
                <w:szCs w:val="10"/>
                <w:lang w:val="fr-BE"/>
              </w:rPr>
              <w:t>osoby bierne zawodowo, nieuczestniczące w kształceniu ani szkoleniu</w:t>
            </w:r>
          </w:p>
        </w:tc>
        <w:tc>
          <w:tcPr>
            <w:tcW w:w="0" w:type="auto"/>
            <w:shd w:val="clear" w:color="auto" w:fill="auto"/>
          </w:tcPr>
          <w:p w14:paraId="26A93080"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43B6624F" w14:textId="77777777" w:rsidR="008C5CFA" w:rsidRPr="001C4484" w:rsidRDefault="00E82A60" w:rsidP="00300A01">
            <w:pPr>
              <w:spacing w:before="0" w:after="0"/>
              <w:jc w:val="right"/>
              <w:rPr>
                <w:sz w:val="10"/>
                <w:szCs w:val="10"/>
              </w:rPr>
            </w:pPr>
            <w:r>
              <w:rPr>
                <w:noProof/>
                <w:sz w:val="10"/>
                <w:szCs w:val="10"/>
              </w:rPr>
              <w:t>23,00</w:t>
            </w:r>
          </w:p>
        </w:tc>
        <w:tc>
          <w:tcPr>
            <w:tcW w:w="0" w:type="auto"/>
            <w:shd w:val="clear" w:color="auto" w:fill="auto"/>
          </w:tcPr>
          <w:p w14:paraId="46E6594D" w14:textId="77777777" w:rsidR="008C5CFA" w:rsidRPr="001C4484" w:rsidRDefault="00E82A60" w:rsidP="00300A01">
            <w:pPr>
              <w:spacing w:before="0" w:after="0"/>
              <w:jc w:val="right"/>
              <w:rPr>
                <w:sz w:val="10"/>
                <w:szCs w:val="10"/>
              </w:rPr>
            </w:pPr>
            <w:r w:rsidRPr="001C4484">
              <w:rPr>
                <w:noProof/>
                <w:sz w:val="10"/>
                <w:szCs w:val="10"/>
              </w:rPr>
              <w:t>13,00</w:t>
            </w:r>
          </w:p>
        </w:tc>
        <w:tc>
          <w:tcPr>
            <w:tcW w:w="0" w:type="auto"/>
            <w:shd w:val="clear" w:color="auto" w:fill="auto"/>
          </w:tcPr>
          <w:p w14:paraId="0DFCA855" w14:textId="77777777" w:rsidR="008C5CFA" w:rsidRPr="001C4484" w:rsidRDefault="00E82A60" w:rsidP="00300A01">
            <w:pPr>
              <w:spacing w:before="0" w:after="0"/>
              <w:jc w:val="right"/>
              <w:rPr>
                <w:sz w:val="10"/>
                <w:szCs w:val="10"/>
                <w:lang w:val="fr-BE"/>
              </w:rPr>
            </w:pPr>
            <w:r w:rsidRPr="001C4484">
              <w:rPr>
                <w:noProof/>
                <w:sz w:val="10"/>
                <w:szCs w:val="10"/>
              </w:rPr>
              <w:t>10,00</w:t>
            </w:r>
          </w:p>
        </w:tc>
        <w:tc>
          <w:tcPr>
            <w:tcW w:w="0" w:type="auto"/>
          </w:tcPr>
          <w:p w14:paraId="30D271B0" w14:textId="77777777" w:rsidR="008C5CFA" w:rsidRPr="001C4484" w:rsidRDefault="00E82A60" w:rsidP="00300A01">
            <w:pPr>
              <w:spacing w:before="0" w:after="0"/>
              <w:jc w:val="right"/>
              <w:rPr>
                <w:sz w:val="10"/>
                <w:szCs w:val="10"/>
              </w:rPr>
            </w:pPr>
            <w:r>
              <w:rPr>
                <w:noProof/>
                <w:sz w:val="10"/>
                <w:szCs w:val="10"/>
              </w:rPr>
              <w:t>152,00</w:t>
            </w:r>
          </w:p>
        </w:tc>
        <w:tc>
          <w:tcPr>
            <w:tcW w:w="0" w:type="auto"/>
            <w:shd w:val="clear" w:color="auto" w:fill="auto"/>
          </w:tcPr>
          <w:p w14:paraId="1460383E" w14:textId="77777777" w:rsidR="008C5CFA" w:rsidRPr="001C4484" w:rsidRDefault="00E82A60" w:rsidP="00300A01">
            <w:pPr>
              <w:spacing w:before="0" w:after="0"/>
              <w:jc w:val="right"/>
              <w:rPr>
                <w:sz w:val="10"/>
                <w:szCs w:val="10"/>
              </w:rPr>
            </w:pPr>
            <w:r w:rsidRPr="001C4484">
              <w:rPr>
                <w:noProof/>
                <w:sz w:val="10"/>
                <w:szCs w:val="10"/>
              </w:rPr>
              <w:t>56,00</w:t>
            </w:r>
          </w:p>
        </w:tc>
        <w:tc>
          <w:tcPr>
            <w:tcW w:w="0" w:type="auto"/>
            <w:shd w:val="clear" w:color="auto" w:fill="auto"/>
          </w:tcPr>
          <w:p w14:paraId="4A5A6B0E" w14:textId="77777777" w:rsidR="008C5CFA" w:rsidRPr="001C4484" w:rsidRDefault="00E82A60" w:rsidP="00300A01">
            <w:pPr>
              <w:spacing w:before="0" w:after="0"/>
              <w:jc w:val="right"/>
              <w:rPr>
                <w:sz w:val="10"/>
                <w:szCs w:val="10"/>
                <w:lang w:val="fr-BE"/>
              </w:rPr>
            </w:pPr>
            <w:r w:rsidRPr="001C4484">
              <w:rPr>
                <w:noProof/>
                <w:sz w:val="10"/>
                <w:szCs w:val="10"/>
              </w:rPr>
              <w:t>96,00</w:t>
            </w:r>
          </w:p>
        </w:tc>
        <w:tc>
          <w:tcPr>
            <w:tcW w:w="0" w:type="auto"/>
          </w:tcPr>
          <w:p w14:paraId="09C9CB56" w14:textId="77777777" w:rsidR="008C5CFA" w:rsidRPr="001C4484" w:rsidRDefault="00E82A60" w:rsidP="00300A01">
            <w:pPr>
              <w:spacing w:before="0" w:after="0"/>
              <w:jc w:val="right"/>
              <w:rPr>
                <w:sz w:val="10"/>
                <w:szCs w:val="10"/>
              </w:rPr>
            </w:pPr>
            <w:r>
              <w:rPr>
                <w:noProof/>
                <w:sz w:val="10"/>
                <w:szCs w:val="10"/>
              </w:rPr>
              <w:t>75,00</w:t>
            </w:r>
          </w:p>
        </w:tc>
        <w:tc>
          <w:tcPr>
            <w:tcW w:w="0" w:type="auto"/>
            <w:shd w:val="clear" w:color="auto" w:fill="auto"/>
          </w:tcPr>
          <w:p w14:paraId="1D8A4E27" w14:textId="77777777" w:rsidR="008C5CFA" w:rsidRPr="001C4484" w:rsidRDefault="00E82A60" w:rsidP="00300A01">
            <w:pPr>
              <w:spacing w:before="0" w:after="0"/>
              <w:jc w:val="right"/>
              <w:rPr>
                <w:sz w:val="10"/>
                <w:szCs w:val="10"/>
              </w:rPr>
            </w:pPr>
            <w:r w:rsidRPr="001C4484">
              <w:rPr>
                <w:noProof/>
                <w:sz w:val="10"/>
                <w:szCs w:val="10"/>
              </w:rPr>
              <w:t>52,00</w:t>
            </w:r>
          </w:p>
        </w:tc>
        <w:tc>
          <w:tcPr>
            <w:tcW w:w="0" w:type="auto"/>
            <w:shd w:val="clear" w:color="auto" w:fill="auto"/>
          </w:tcPr>
          <w:p w14:paraId="5DE4F293" w14:textId="77777777" w:rsidR="008C5CFA" w:rsidRPr="001C4484" w:rsidRDefault="00E82A60" w:rsidP="00300A01">
            <w:pPr>
              <w:spacing w:before="0" w:after="0"/>
              <w:jc w:val="right"/>
              <w:rPr>
                <w:sz w:val="10"/>
                <w:szCs w:val="10"/>
                <w:lang w:val="fr-BE"/>
              </w:rPr>
            </w:pPr>
            <w:r w:rsidRPr="001C4484">
              <w:rPr>
                <w:noProof/>
                <w:sz w:val="10"/>
                <w:szCs w:val="10"/>
              </w:rPr>
              <w:t>23,00</w:t>
            </w:r>
          </w:p>
        </w:tc>
      </w:tr>
      <w:tr w:rsidR="006B2EC1" w14:paraId="12A1079E" w14:textId="77777777" w:rsidTr="0047688D">
        <w:tc>
          <w:tcPr>
            <w:tcW w:w="0" w:type="auto"/>
            <w:shd w:val="clear" w:color="auto" w:fill="auto"/>
          </w:tcPr>
          <w:p w14:paraId="766503B6" w14:textId="77777777" w:rsidR="008C5CFA" w:rsidRPr="001C4484" w:rsidRDefault="00E82A60" w:rsidP="00300A01">
            <w:pPr>
              <w:spacing w:before="0" w:after="0"/>
              <w:rPr>
                <w:sz w:val="10"/>
                <w:szCs w:val="10"/>
                <w:lang w:val="fr-BE"/>
              </w:rPr>
            </w:pPr>
            <w:r w:rsidRPr="001C4484">
              <w:rPr>
                <w:noProof/>
                <w:sz w:val="10"/>
                <w:szCs w:val="10"/>
                <w:lang w:val="fr-BE"/>
              </w:rPr>
              <w:t>CO05</w:t>
            </w:r>
          </w:p>
        </w:tc>
        <w:tc>
          <w:tcPr>
            <w:tcW w:w="0" w:type="auto"/>
            <w:shd w:val="clear" w:color="auto" w:fill="auto"/>
          </w:tcPr>
          <w:p w14:paraId="1C4C59A7" w14:textId="77777777" w:rsidR="008C5CFA" w:rsidRPr="001C4484" w:rsidRDefault="00E82A60" w:rsidP="00300A01">
            <w:pPr>
              <w:spacing w:before="0" w:after="0"/>
              <w:rPr>
                <w:sz w:val="10"/>
                <w:szCs w:val="10"/>
                <w:lang w:val="fr-BE"/>
              </w:rPr>
            </w:pPr>
            <w:r w:rsidRPr="001C4484">
              <w:rPr>
                <w:noProof/>
                <w:sz w:val="10"/>
                <w:szCs w:val="10"/>
                <w:lang w:val="fr-BE"/>
              </w:rPr>
              <w:t>osoby pracujące, łącznie z prowadzącymi działalność na własny rachunek</w:t>
            </w:r>
          </w:p>
        </w:tc>
        <w:tc>
          <w:tcPr>
            <w:tcW w:w="0" w:type="auto"/>
            <w:shd w:val="clear" w:color="auto" w:fill="auto"/>
          </w:tcPr>
          <w:p w14:paraId="38180AF3"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0D68D75C"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0A1A980D"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3947E3F8" w14:textId="77777777" w:rsidR="008C5CFA" w:rsidRPr="001C4484" w:rsidRDefault="00E82A60" w:rsidP="00300A01">
            <w:pPr>
              <w:spacing w:before="0" w:after="0"/>
              <w:jc w:val="right"/>
              <w:rPr>
                <w:sz w:val="10"/>
                <w:szCs w:val="10"/>
                <w:lang w:val="fr-BE"/>
              </w:rPr>
            </w:pPr>
            <w:r w:rsidRPr="001C4484">
              <w:rPr>
                <w:noProof/>
                <w:sz w:val="10"/>
                <w:szCs w:val="10"/>
              </w:rPr>
              <w:t>0,00</w:t>
            </w:r>
          </w:p>
        </w:tc>
        <w:tc>
          <w:tcPr>
            <w:tcW w:w="0" w:type="auto"/>
          </w:tcPr>
          <w:p w14:paraId="1601723E"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5088837F"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20298A36" w14:textId="77777777" w:rsidR="008C5CFA" w:rsidRPr="001C4484" w:rsidRDefault="00E82A60" w:rsidP="00300A01">
            <w:pPr>
              <w:spacing w:before="0" w:after="0"/>
              <w:jc w:val="right"/>
              <w:rPr>
                <w:sz w:val="10"/>
                <w:szCs w:val="10"/>
                <w:lang w:val="fr-BE"/>
              </w:rPr>
            </w:pPr>
            <w:r w:rsidRPr="001C4484">
              <w:rPr>
                <w:noProof/>
                <w:sz w:val="10"/>
                <w:szCs w:val="10"/>
              </w:rPr>
              <w:t>0,00</w:t>
            </w:r>
          </w:p>
        </w:tc>
        <w:tc>
          <w:tcPr>
            <w:tcW w:w="0" w:type="auto"/>
          </w:tcPr>
          <w:p w14:paraId="74A802BF"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6C7E3E03"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421DF732" w14:textId="77777777" w:rsidR="008C5CFA" w:rsidRPr="001C4484" w:rsidRDefault="00E82A60" w:rsidP="00300A01">
            <w:pPr>
              <w:spacing w:before="0" w:after="0"/>
              <w:jc w:val="right"/>
              <w:rPr>
                <w:sz w:val="10"/>
                <w:szCs w:val="10"/>
                <w:lang w:val="fr-BE"/>
              </w:rPr>
            </w:pPr>
            <w:r w:rsidRPr="001C4484">
              <w:rPr>
                <w:noProof/>
                <w:sz w:val="10"/>
                <w:szCs w:val="10"/>
              </w:rPr>
              <w:t>0,00</w:t>
            </w:r>
          </w:p>
        </w:tc>
      </w:tr>
      <w:tr w:rsidR="006B2EC1" w14:paraId="4175EBF4" w14:textId="77777777" w:rsidTr="0047688D">
        <w:tc>
          <w:tcPr>
            <w:tcW w:w="0" w:type="auto"/>
            <w:shd w:val="clear" w:color="auto" w:fill="auto"/>
          </w:tcPr>
          <w:p w14:paraId="46ADF2B1" w14:textId="77777777" w:rsidR="008C5CFA" w:rsidRPr="001C4484" w:rsidRDefault="00E82A60" w:rsidP="00300A01">
            <w:pPr>
              <w:spacing w:before="0" w:after="0"/>
              <w:rPr>
                <w:sz w:val="10"/>
                <w:szCs w:val="10"/>
                <w:lang w:val="fr-BE"/>
              </w:rPr>
            </w:pPr>
            <w:r w:rsidRPr="001C4484">
              <w:rPr>
                <w:noProof/>
                <w:sz w:val="10"/>
                <w:szCs w:val="10"/>
                <w:lang w:val="fr-BE"/>
              </w:rPr>
              <w:t>CO06</w:t>
            </w:r>
          </w:p>
        </w:tc>
        <w:tc>
          <w:tcPr>
            <w:tcW w:w="0" w:type="auto"/>
            <w:shd w:val="clear" w:color="auto" w:fill="auto"/>
          </w:tcPr>
          <w:p w14:paraId="1A445648" w14:textId="77777777" w:rsidR="008C5CFA" w:rsidRPr="001C4484" w:rsidRDefault="00E82A60" w:rsidP="00300A01">
            <w:pPr>
              <w:spacing w:before="0" w:after="0"/>
              <w:rPr>
                <w:sz w:val="10"/>
                <w:szCs w:val="10"/>
                <w:lang w:val="fr-BE"/>
              </w:rPr>
            </w:pPr>
            <w:r w:rsidRPr="001C4484">
              <w:rPr>
                <w:noProof/>
                <w:sz w:val="10"/>
                <w:szCs w:val="10"/>
                <w:lang w:val="fr-BE"/>
              </w:rPr>
              <w:t>osoby w wieku poniżej 25 lat</w:t>
            </w:r>
          </w:p>
        </w:tc>
        <w:tc>
          <w:tcPr>
            <w:tcW w:w="0" w:type="auto"/>
            <w:shd w:val="clear" w:color="auto" w:fill="auto"/>
          </w:tcPr>
          <w:p w14:paraId="4AAEC3CD"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2D9A596E"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15658F28"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74319BDD" w14:textId="77777777" w:rsidR="008C5CFA" w:rsidRPr="001C4484" w:rsidRDefault="00E82A60" w:rsidP="00300A01">
            <w:pPr>
              <w:spacing w:before="0" w:after="0"/>
              <w:jc w:val="right"/>
              <w:rPr>
                <w:sz w:val="10"/>
                <w:szCs w:val="10"/>
                <w:lang w:val="fr-BE"/>
              </w:rPr>
            </w:pPr>
            <w:r w:rsidRPr="001C4484">
              <w:rPr>
                <w:noProof/>
                <w:sz w:val="10"/>
                <w:szCs w:val="10"/>
              </w:rPr>
              <w:t>0,00</w:t>
            </w:r>
          </w:p>
        </w:tc>
        <w:tc>
          <w:tcPr>
            <w:tcW w:w="0" w:type="auto"/>
          </w:tcPr>
          <w:p w14:paraId="2E355F2D"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50911EC8"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6A56CBE6" w14:textId="77777777" w:rsidR="008C5CFA" w:rsidRPr="001C4484" w:rsidRDefault="00E82A60" w:rsidP="00300A01">
            <w:pPr>
              <w:spacing w:before="0" w:after="0"/>
              <w:jc w:val="right"/>
              <w:rPr>
                <w:sz w:val="10"/>
                <w:szCs w:val="10"/>
                <w:lang w:val="fr-BE"/>
              </w:rPr>
            </w:pPr>
            <w:r w:rsidRPr="001C4484">
              <w:rPr>
                <w:noProof/>
                <w:sz w:val="10"/>
                <w:szCs w:val="10"/>
              </w:rPr>
              <w:t>0,00</w:t>
            </w:r>
          </w:p>
        </w:tc>
        <w:tc>
          <w:tcPr>
            <w:tcW w:w="0" w:type="auto"/>
          </w:tcPr>
          <w:p w14:paraId="1ED93051"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0D1F4D46"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04E4329A" w14:textId="77777777" w:rsidR="008C5CFA" w:rsidRPr="001C4484" w:rsidRDefault="00E82A60" w:rsidP="00300A01">
            <w:pPr>
              <w:spacing w:before="0" w:after="0"/>
              <w:jc w:val="right"/>
              <w:rPr>
                <w:sz w:val="10"/>
                <w:szCs w:val="10"/>
                <w:lang w:val="fr-BE"/>
              </w:rPr>
            </w:pPr>
            <w:r w:rsidRPr="001C4484">
              <w:rPr>
                <w:noProof/>
                <w:sz w:val="10"/>
                <w:szCs w:val="10"/>
              </w:rPr>
              <w:t>0,00</w:t>
            </w:r>
          </w:p>
        </w:tc>
      </w:tr>
      <w:tr w:rsidR="006B2EC1" w14:paraId="7E17B21B" w14:textId="77777777" w:rsidTr="0047688D">
        <w:tc>
          <w:tcPr>
            <w:tcW w:w="0" w:type="auto"/>
            <w:shd w:val="clear" w:color="auto" w:fill="auto"/>
          </w:tcPr>
          <w:p w14:paraId="63E9B758" w14:textId="77777777" w:rsidR="008C5CFA" w:rsidRPr="001C4484" w:rsidRDefault="00E82A60" w:rsidP="00300A01">
            <w:pPr>
              <w:spacing w:before="0" w:after="0"/>
              <w:rPr>
                <w:sz w:val="10"/>
                <w:szCs w:val="10"/>
                <w:lang w:val="fr-BE"/>
              </w:rPr>
            </w:pPr>
            <w:r w:rsidRPr="001C4484">
              <w:rPr>
                <w:noProof/>
                <w:sz w:val="10"/>
                <w:szCs w:val="10"/>
                <w:lang w:val="fr-BE"/>
              </w:rPr>
              <w:t>CO07</w:t>
            </w:r>
          </w:p>
        </w:tc>
        <w:tc>
          <w:tcPr>
            <w:tcW w:w="0" w:type="auto"/>
            <w:shd w:val="clear" w:color="auto" w:fill="auto"/>
          </w:tcPr>
          <w:p w14:paraId="182BA4A8" w14:textId="77777777" w:rsidR="008C5CFA" w:rsidRPr="001C4484" w:rsidRDefault="00E82A60" w:rsidP="00300A01">
            <w:pPr>
              <w:spacing w:before="0" w:after="0"/>
              <w:rPr>
                <w:sz w:val="10"/>
                <w:szCs w:val="10"/>
                <w:lang w:val="fr-BE"/>
              </w:rPr>
            </w:pPr>
            <w:r w:rsidRPr="001C4484">
              <w:rPr>
                <w:noProof/>
                <w:sz w:val="10"/>
                <w:szCs w:val="10"/>
                <w:lang w:val="fr-BE"/>
              </w:rPr>
              <w:t>osoby w wieku powyżej 54 lat</w:t>
            </w:r>
          </w:p>
        </w:tc>
        <w:tc>
          <w:tcPr>
            <w:tcW w:w="0" w:type="auto"/>
            <w:shd w:val="clear" w:color="auto" w:fill="auto"/>
          </w:tcPr>
          <w:p w14:paraId="5D5873E8"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256371EF" w14:textId="77777777" w:rsidR="008C5CFA" w:rsidRPr="001C4484" w:rsidRDefault="00E82A60" w:rsidP="00300A01">
            <w:pPr>
              <w:spacing w:before="0" w:after="0"/>
              <w:jc w:val="right"/>
              <w:rPr>
                <w:sz w:val="10"/>
                <w:szCs w:val="10"/>
              </w:rPr>
            </w:pPr>
            <w:r>
              <w:rPr>
                <w:noProof/>
                <w:sz w:val="10"/>
                <w:szCs w:val="10"/>
              </w:rPr>
              <w:t>501,00</w:t>
            </w:r>
          </w:p>
        </w:tc>
        <w:tc>
          <w:tcPr>
            <w:tcW w:w="0" w:type="auto"/>
            <w:shd w:val="clear" w:color="auto" w:fill="auto"/>
          </w:tcPr>
          <w:p w14:paraId="7316B1D1" w14:textId="77777777" w:rsidR="008C5CFA" w:rsidRPr="001C4484" w:rsidRDefault="00E82A60" w:rsidP="00300A01">
            <w:pPr>
              <w:spacing w:before="0" w:after="0"/>
              <w:jc w:val="right"/>
              <w:rPr>
                <w:sz w:val="10"/>
                <w:szCs w:val="10"/>
              </w:rPr>
            </w:pPr>
            <w:r w:rsidRPr="001C4484">
              <w:rPr>
                <w:noProof/>
                <w:sz w:val="10"/>
                <w:szCs w:val="10"/>
              </w:rPr>
              <w:t>288,00</w:t>
            </w:r>
          </w:p>
        </w:tc>
        <w:tc>
          <w:tcPr>
            <w:tcW w:w="0" w:type="auto"/>
            <w:shd w:val="clear" w:color="auto" w:fill="auto"/>
          </w:tcPr>
          <w:p w14:paraId="48B09084" w14:textId="77777777" w:rsidR="008C5CFA" w:rsidRPr="001C4484" w:rsidRDefault="00E82A60" w:rsidP="00300A01">
            <w:pPr>
              <w:spacing w:before="0" w:after="0"/>
              <w:jc w:val="right"/>
              <w:rPr>
                <w:sz w:val="10"/>
                <w:szCs w:val="10"/>
                <w:lang w:val="fr-BE"/>
              </w:rPr>
            </w:pPr>
            <w:r w:rsidRPr="001C4484">
              <w:rPr>
                <w:noProof/>
                <w:sz w:val="10"/>
                <w:szCs w:val="10"/>
              </w:rPr>
              <w:t>213,00</w:t>
            </w:r>
          </w:p>
        </w:tc>
        <w:tc>
          <w:tcPr>
            <w:tcW w:w="0" w:type="auto"/>
          </w:tcPr>
          <w:p w14:paraId="38A4FFE1" w14:textId="77777777" w:rsidR="008C5CFA" w:rsidRPr="001C4484" w:rsidRDefault="00E82A60" w:rsidP="00300A01">
            <w:pPr>
              <w:spacing w:before="0" w:after="0"/>
              <w:jc w:val="right"/>
              <w:rPr>
                <w:sz w:val="10"/>
                <w:szCs w:val="10"/>
              </w:rPr>
            </w:pPr>
            <w:r>
              <w:rPr>
                <w:noProof/>
                <w:sz w:val="10"/>
                <w:szCs w:val="10"/>
              </w:rPr>
              <w:t>836,00</w:t>
            </w:r>
          </w:p>
        </w:tc>
        <w:tc>
          <w:tcPr>
            <w:tcW w:w="0" w:type="auto"/>
            <w:shd w:val="clear" w:color="auto" w:fill="auto"/>
          </w:tcPr>
          <w:p w14:paraId="2CF9321B" w14:textId="77777777" w:rsidR="008C5CFA" w:rsidRPr="001C4484" w:rsidRDefault="00E82A60" w:rsidP="00300A01">
            <w:pPr>
              <w:spacing w:before="0" w:after="0"/>
              <w:jc w:val="right"/>
              <w:rPr>
                <w:sz w:val="10"/>
                <w:szCs w:val="10"/>
              </w:rPr>
            </w:pPr>
            <w:r w:rsidRPr="001C4484">
              <w:rPr>
                <w:noProof/>
                <w:sz w:val="10"/>
                <w:szCs w:val="10"/>
              </w:rPr>
              <w:t>496,00</w:t>
            </w:r>
          </w:p>
        </w:tc>
        <w:tc>
          <w:tcPr>
            <w:tcW w:w="0" w:type="auto"/>
            <w:shd w:val="clear" w:color="auto" w:fill="auto"/>
          </w:tcPr>
          <w:p w14:paraId="6F0407B4" w14:textId="77777777" w:rsidR="008C5CFA" w:rsidRPr="001C4484" w:rsidRDefault="00E82A60" w:rsidP="00300A01">
            <w:pPr>
              <w:spacing w:before="0" w:after="0"/>
              <w:jc w:val="right"/>
              <w:rPr>
                <w:sz w:val="10"/>
                <w:szCs w:val="10"/>
                <w:lang w:val="fr-BE"/>
              </w:rPr>
            </w:pPr>
            <w:r w:rsidRPr="001C4484">
              <w:rPr>
                <w:noProof/>
                <w:sz w:val="10"/>
                <w:szCs w:val="10"/>
              </w:rPr>
              <w:t>340,00</w:t>
            </w:r>
          </w:p>
        </w:tc>
        <w:tc>
          <w:tcPr>
            <w:tcW w:w="0" w:type="auto"/>
          </w:tcPr>
          <w:p w14:paraId="08A872B0" w14:textId="77777777" w:rsidR="008C5CFA" w:rsidRPr="001C4484" w:rsidRDefault="00E82A60" w:rsidP="00300A01">
            <w:pPr>
              <w:spacing w:before="0" w:after="0"/>
              <w:jc w:val="right"/>
              <w:rPr>
                <w:sz w:val="10"/>
                <w:szCs w:val="10"/>
              </w:rPr>
            </w:pPr>
            <w:r>
              <w:rPr>
                <w:noProof/>
                <w:sz w:val="10"/>
                <w:szCs w:val="10"/>
              </w:rPr>
              <w:t>571,00</w:t>
            </w:r>
          </w:p>
        </w:tc>
        <w:tc>
          <w:tcPr>
            <w:tcW w:w="0" w:type="auto"/>
            <w:shd w:val="clear" w:color="auto" w:fill="auto"/>
          </w:tcPr>
          <w:p w14:paraId="41448BCD" w14:textId="77777777" w:rsidR="008C5CFA" w:rsidRPr="001C4484" w:rsidRDefault="00E82A60" w:rsidP="00300A01">
            <w:pPr>
              <w:spacing w:before="0" w:after="0"/>
              <w:jc w:val="right"/>
              <w:rPr>
                <w:sz w:val="10"/>
                <w:szCs w:val="10"/>
              </w:rPr>
            </w:pPr>
            <w:r w:rsidRPr="001C4484">
              <w:rPr>
                <w:noProof/>
                <w:sz w:val="10"/>
                <w:szCs w:val="10"/>
              </w:rPr>
              <w:t>345,00</w:t>
            </w:r>
          </w:p>
        </w:tc>
        <w:tc>
          <w:tcPr>
            <w:tcW w:w="0" w:type="auto"/>
            <w:shd w:val="clear" w:color="auto" w:fill="auto"/>
          </w:tcPr>
          <w:p w14:paraId="7DB40458" w14:textId="77777777" w:rsidR="008C5CFA" w:rsidRPr="001C4484" w:rsidRDefault="00E82A60" w:rsidP="00300A01">
            <w:pPr>
              <w:spacing w:before="0" w:after="0"/>
              <w:jc w:val="right"/>
              <w:rPr>
                <w:sz w:val="10"/>
                <w:szCs w:val="10"/>
                <w:lang w:val="fr-BE"/>
              </w:rPr>
            </w:pPr>
            <w:r w:rsidRPr="001C4484">
              <w:rPr>
                <w:noProof/>
                <w:sz w:val="10"/>
                <w:szCs w:val="10"/>
              </w:rPr>
              <w:t>226,00</w:t>
            </w:r>
          </w:p>
        </w:tc>
      </w:tr>
      <w:tr w:rsidR="006B2EC1" w14:paraId="761C49C1" w14:textId="77777777" w:rsidTr="0047688D">
        <w:tc>
          <w:tcPr>
            <w:tcW w:w="0" w:type="auto"/>
            <w:shd w:val="clear" w:color="auto" w:fill="auto"/>
          </w:tcPr>
          <w:p w14:paraId="6E18A5AD" w14:textId="77777777" w:rsidR="008C5CFA" w:rsidRPr="001C4484" w:rsidRDefault="00E82A60" w:rsidP="00300A01">
            <w:pPr>
              <w:spacing w:before="0" w:after="0"/>
              <w:rPr>
                <w:sz w:val="10"/>
                <w:szCs w:val="10"/>
                <w:lang w:val="fr-BE"/>
              </w:rPr>
            </w:pPr>
            <w:r w:rsidRPr="001C4484">
              <w:rPr>
                <w:noProof/>
                <w:sz w:val="10"/>
                <w:szCs w:val="10"/>
                <w:lang w:val="fr-BE"/>
              </w:rPr>
              <w:t>CO08</w:t>
            </w:r>
          </w:p>
        </w:tc>
        <w:tc>
          <w:tcPr>
            <w:tcW w:w="0" w:type="auto"/>
            <w:shd w:val="clear" w:color="auto" w:fill="auto"/>
          </w:tcPr>
          <w:p w14:paraId="4298BF08" w14:textId="77777777" w:rsidR="008C5CFA" w:rsidRPr="001C4484" w:rsidRDefault="00E82A60" w:rsidP="00300A01">
            <w:pPr>
              <w:spacing w:before="0" w:after="0"/>
              <w:rPr>
                <w:sz w:val="10"/>
                <w:szCs w:val="10"/>
                <w:lang w:val="fr-BE"/>
              </w:rPr>
            </w:pPr>
            <w:r w:rsidRPr="001C4484">
              <w:rPr>
                <w:noProof/>
                <w:sz w:val="10"/>
                <w:szCs w:val="10"/>
                <w:lang w:val="fr-BE"/>
              </w:rPr>
              <w:t>osoby powyżej 54 lat, które są bezrobotne, łącznie z długotrwale bezrobotnymi, lub są bierne zawodowo i nie uczestniczą w kształceniu ani szkoleniu</w:t>
            </w:r>
          </w:p>
        </w:tc>
        <w:tc>
          <w:tcPr>
            <w:tcW w:w="0" w:type="auto"/>
            <w:shd w:val="clear" w:color="auto" w:fill="auto"/>
          </w:tcPr>
          <w:p w14:paraId="78E56002"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12A11F38" w14:textId="77777777" w:rsidR="008C5CFA" w:rsidRPr="001C4484" w:rsidRDefault="00E82A60" w:rsidP="00300A01">
            <w:pPr>
              <w:spacing w:before="0" w:after="0"/>
              <w:jc w:val="right"/>
              <w:rPr>
                <w:sz w:val="10"/>
                <w:szCs w:val="10"/>
              </w:rPr>
            </w:pPr>
            <w:r>
              <w:rPr>
                <w:noProof/>
                <w:sz w:val="10"/>
                <w:szCs w:val="10"/>
              </w:rPr>
              <w:t>395,00</w:t>
            </w:r>
          </w:p>
        </w:tc>
        <w:tc>
          <w:tcPr>
            <w:tcW w:w="0" w:type="auto"/>
            <w:shd w:val="clear" w:color="auto" w:fill="auto"/>
          </w:tcPr>
          <w:p w14:paraId="4A376FCD" w14:textId="77777777" w:rsidR="008C5CFA" w:rsidRPr="001C4484" w:rsidRDefault="00E82A60" w:rsidP="00300A01">
            <w:pPr>
              <w:spacing w:before="0" w:after="0"/>
              <w:jc w:val="right"/>
              <w:rPr>
                <w:sz w:val="10"/>
                <w:szCs w:val="10"/>
              </w:rPr>
            </w:pPr>
            <w:r w:rsidRPr="001C4484">
              <w:rPr>
                <w:noProof/>
                <w:sz w:val="10"/>
                <w:szCs w:val="10"/>
              </w:rPr>
              <w:t>247,00</w:t>
            </w:r>
          </w:p>
        </w:tc>
        <w:tc>
          <w:tcPr>
            <w:tcW w:w="0" w:type="auto"/>
            <w:shd w:val="clear" w:color="auto" w:fill="auto"/>
          </w:tcPr>
          <w:p w14:paraId="4BC8D7C0" w14:textId="77777777" w:rsidR="008C5CFA" w:rsidRPr="001C4484" w:rsidRDefault="00E82A60" w:rsidP="00300A01">
            <w:pPr>
              <w:spacing w:before="0" w:after="0"/>
              <w:jc w:val="right"/>
              <w:rPr>
                <w:sz w:val="10"/>
                <w:szCs w:val="10"/>
                <w:lang w:val="fr-BE"/>
              </w:rPr>
            </w:pPr>
            <w:r w:rsidRPr="001C4484">
              <w:rPr>
                <w:noProof/>
                <w:sz w:val="10"/>
                <w:szCs w:val="10"/>
              </w:rPr>
              <w:t>148,00</w:t>
            </w:r>
          </w:p>
        </w:tc>
        <w:tc>
          <w:tcPr>
            <w:tcW w:w="0" w:type="auto"/>
          </w:tcPr>
          <w:p w14:paraId="7309B724" w14:textId="77777777" w:rsidR="008C5CFA" w:rsidRPr="001C4484" w:rsidRDefault="00E82A60" w:rsidP="00300A01">
            <w:pPr>
              <w:spacing w:before="0" w:after="0"/>
              <w:jc w:val="right"/>
              <w:rPr>
                <w:sz w:val="10"/>
                <w:szCs w:val="10"/>
              </w:rPr>
            </w:pPr>
            <w:r>
              <w:rPr>
                <w:noProof/>
                <w:sz w:val="10"/>
                <w:szCs w:val="10"/>
              </w:rPr>
              <w:t>734,00</w:t>
            </w:r>
          </w:p>
        </w:tc>
        <w:tc>
          <w:tcPr>
            <w:tcW w:w="0" w:type="auto"/>
            <w:shd w:val="clear" w:color="auto" w:fill="auto"/>
          </w:tcPr>
          <w:p w14:paraId="56C3CA7A" w14:textId="77777777" w:rsidR="008C5CFA" w:rsidRPr="001C4484" w:rsidRDefault="00E82A60" w:rsidP="00300A01">
            <w:pPr>
              <w:spacing w:before="0" w:after="0"/>
              <w:jc w:val="right"/>
              <w:rPr>
                <w:sz w:val="10"/>
                <w:szCs w:val="10"/>
              </w:rPr>
            </w:pPr>
            <w:r w:rsidRPr="001C4484">
              <w:rPr>
                <w:noProof/>
                <w:sz w:val="10"/>
                <w:szCs w:val="10"/>
              </w:rPr>
              <w:t>444,00</w:t>
            </w:r>
          </w:p>
        </w:tc>
        <w:tc>
          <w:tcPr>
            <w:tcW w:w="0" w:type="auto"/>
            <w:shd w:val="clear" w:color="auto" w:fill="auto"/>
          </w:tcPr>
          <w:p w14:paraId="303B8177" w14:textId="77777777" w:rsidR="008C5CFA" w:rsidRPr="001C4484" w:rsidRDefault="00E82A60" w:rsidP="00300A01">
            <w:pPr>
              <w:spacing w:before="0" w:after="0"/>
              <w:jc w:val="right"/>
              <w:rPr>
                <w:sz w:val="10"/>
                <w:szCs w:val="10"/>
                <w:lang w:val="fr-BE"/>
              </w:rPr>
            </w:pPr>
            <w:r w:rsidRPr="001C4484">
              <w:rPr>
                <w:noProof/>
                <w:sz w:val="10"/>
                <w:szCs w:val="10"/>
              </w:rPr>
              <w:t>290,00</w:t>
            </w:r>
          </w:p>
        </w:tc>
        <w:tc>
          <w:tcPr>
            <w:tcW w:w="0" w:type="auto"/>
          </w:tcPr>
          <w:p w14:paraId="75E26F38" w14:textId="77777777" w:rsidR="008C5CFA" w:rsidRPr="001C4484" w:rsidRDefault="00E82A60" w:rsidP="00300A01">
            <w:pPr>
              <w:spacing w:before="0" w:after="0"/>
              <w:jc w:val="right"/>
              <w:rPr>
                <w:sz w:val="10"/>
                <w:szCs w:val="10"/>
              </w:rPr>
            </w:pPr>
            <w:r>
              <w:rPr>
                <w:noProof/>
                <w:sz w:val="10"/>
                <w:szCs w:val="10"/>
              </w:rPr>
              <w:t>521,00</w:t>
            </w:r>
          </w:p>
        </w:tc>
        <w:tc>
          <w:tcPr>
            <w:tcW w:w="0" w:type="auto"/>
            <w:shd w:val="clear" w:color="auto" w:fill="auto"/>
          </w:tcPr>
          <w:p w14:paraId="0AD1B201" w14:textId="77777777" w:rsidR="008C5CFA" w:rsidRPr="001C4484" w:rsidRDefault="00E82A60" w:rsidP="00300A01">
            <w:pPr>
              <w:spacing w:before="0" w:after="0"/>
              <w:jc w:val="right"/>
              <w:rPr>
                <w:sz w:val="10"/>
                <w:szCs w:val="10"/>
              </w:rPr>
            </w:pPr>
            <w:r w:rsidRPr="001C4484">
              <w:rPr>
                <w:noProof/>
                <w:sz w:val="10"/>
                <w:szCs w:val="10"/>
              </w:rPr>
              <w:t>326,00</w:t>
            </w:r>
          </w:p>
        </w:tc>
        <w:tc>
          <w:tcPr>
            <w:tcW w:w="0" w:type="auto"/>
            <w:shd w:val="clear" w:color="auto" w:fill="auto"/>
          </w:tcPr>
          <w:p w14:paraId="29A6912E" w14:textId="77777777" w:rsidR="008C5CFA" w:rsidRPr="001C4484" w:rsidRDefault="00E82A60" w:rsidP="00300A01">
            <w:pPr>
              <w:spacing w:before="0" w:after="0"/>
              <w:jc w:val="right"/>
              <w:rPr>
                <w:sz w:val="10"/>
                <w:szCs w:val="10"/>
                <w:lang w:val="fr-BE"/>
              </w:rPr>
            </w:pPr>
            <w:r w:rsidRPr="001C4484">
              <w:rPr>
                <w:noProof/>
                <w:sz w:val="10"/>
                <w:szCs w:val="10"/>
              </w:rPr>
              <w:t>195,00</w:t>
            </w:r>
          </w:p>
        </w:tc>
      </w:tr>
      <w:tr w:rsidR="006B2EC1" w14:paraId="3A59D050" w14:textId="77777777" w:rsidTr="0047688D">
        <w:tc>
          <w:tcPr>
            <w:tcW w:w="0" w:type="auto"/>
            <w:shd w:val="clear" w:color="auto" w:fill="auto"/>
          </w:tcPr>
          <w:p w14:paraId="36466C39" w14:textId="77777777" w:rsidR="008C5CFA" w:rsidRPr="001C4484" w:rsidRDefault="00E82A60" w:rsidP="00300A01">
            <w:pPr>
              <w:spacing w:before="0" w:after="0"/>
              <w:rPr>
                <w:sz w:val="10"/>
                <w:szCs w:val="10"/>
                <w:lang w:val="fr-BE"/>
              </w:rPr>
            </w:pPr>
            <w:r w:rsidRPr="001C4484">
              <w:rPr>
                <w:noProof/>
                <w:sz w:val="10"/>
                <w:szCs w:val="10"/>
                <w:lang w:val="fr-BE"/>
              </w:rPr>
              <w:t>CO09</w:t>
            </w:r>
          </w:p>
        </w:tc>
        <w:tc>
          <w:tcPr>
            <w:tcW w:w="0" w:type="auto"/>
            <w:shd w:val="clear" w:color="auto" w:fill="auto"/>
          </w:tcPr>
          <w:p w14:paraId="46B28AF7" w14:textId="77777777" w:rsidR="008C5CFA" w:rsidRPr="001C4484" w:rsidRDefault="00E82A60" w:rsidP="00300A01">
            <w:pPr>
              <w:spacing w:before="0" w:after="0"/>
              <w:rPr>
                <w:sz w:val="10"/>
                <w:szCs w:val="10"/>
                <w:lang w:val="fr-BE"/>
              </w:rPr>
            </w:pPr>
            <w:r w:rsidRPr="001C4484">
              <w:rPr>
                <w:noProof/>
                <w:sz w:val="10"/>
                <w:szCs w:val="10"/>
                <w:lang w:val="fr-BE"/>
              </w:rPr>
              <w:t>osoby z wykształceniem podstawowym (ISCED 1) lub średnim I stopnia (ISCED 2)</w:t>
            </w:r>
          </w:p>
        </w:tc>
        <w:tc>
          <w:tcPr>
            <w:tcW w:w="0" w:type="auto"/>
            <w:shd w:val="clear" w:color="auto" w:fill="auto"/>
          </w:tcPr>
          <w:p w14:paraId="4A8A11C7"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2DD8D649" w14:textId="77777777" w:rsidR="008C5CFA" w:rsidRPr="001C4484" w:rsidRDefault="00E82A60" w:rsidP="00300A01">
            <w:pPr>
              <w:spacing w:before="0" w:after="0"/>
              <w:jc w:val="right"/>
              <w:rPr>
                <w:sz w:val="10"/>
                <w:szCs w:val="10"/>
              </w:rPr>
            </w:pPr>
            <w:r>
              <w:rPr>
                <w:noProof/>
                <w:sz w:val="10"/>
                <w:szCs w:val="10"/>
              </w:rPr>
              <w:t>647,00</w:t>
            </w:r>
          </w:p>
        </w:tc>
        <w:tc>
          <w:tcPr>
            <w:tcW w:w="0" w:type="auto"/>
            <w:shd w:val="clear" w:color="auto" w:fill="auto"/>
          </w:tcPr>
          <w:p w14:paraId="72A183EF" w14:textId="77777777" w:rsidR="008C5CFA" w:rsidRPr="001C4484" w:rsidRDefault="00E82A60" w:rsidP="00300A01">
            <w:pPr>
              <w:spacing w:before="0" w:after="0"/>
              <w:jc w:val="right"/>
              <w:rPr>
                <w:sz w:val="10"/>
                <w:szCs w:val="10"/>
              </w:rPr>
            </w:pPr>
            <w:r w:rsidRPr="001C4484">
              <w:rPr>
                <w:noProof/>
                <w:sz w:val="10"/>
                <w:szCs w:val="10"/>
              </w:rPr>
              <w:t>385,00</w:t>
            </w:r>
          </w:p>
        </w:tc>
        <w:tc>
          <w:tcPr>
            <w:tcW w:w="0" w:type="auto"/>
            <w:shd w:val="clear" w:color="auto" w:fill="auto"/>
          </w:tcPr>
          <w:p w14:paraId="394F6ABA" w14:textId="77777777" w:rsidR="008C5CFA" w:rsidRPr="001C4484" w:rsidRDefault="00E82A60" w:rsidP="00300A01">
            <w:pPr>
              <w:spacing w:before="0" w:after="0"/>
              <w:jc w:val="right"/>
              <w:rPr>
                <w:sz w:val="10"/>
                <w:szCs w:val="10"/>
                <w:lang w:val="fr-BE"/>
              </w:rPr>
            </w:pPr>
            <w:r w:rsidRPr="001C4484">
              <w:rPr>
                <w:noProof/>
                <w:sz w:val="10"/>
                <w:szCs w:val="10"/>
              </w:rPr>
              <w:t>262,00</w:t>
            </w:r>
          </w:p>
        </w:tc>
        <w:tc>
          <w:tcPr>
            <w:tcW w:w="0" w:type="auto"/>
          </w:tcPr>
          <w:p w14:paraId="36BE21A3" w14:textId="77777777" w:rsidR="008C5CFA" w:rsidRPr="001C4484" w:rsidRDefault="00E82A60" w:rsidP="00300A01">
            <w:pPr>
              <w:spacing w:before="0" w:after="0"/>
              <w:jc w:val="right"/>
              <w:rPr>
                <w:sz w:val="10"/>
                <w:szCs w:val="10"/>
              </w:rPr>
            </w:pPr>
            <w:r>
              <w:rPr>
                <w:noProof/>
                <w:sz w:val="10"/>
                <w:szCs w:val="10"/>
              </w:rPr>
              <w:t>1 253,00</w:t>
            </w:r>
          </w:p>
        </w:tc>
        <w:tc>
          <w:tcPr>
            <w:tcW w:w="0" w:type="auto"/>
            <w:shd w:val="clear" w:color="auto" w:fill="auto"/>
          </w:tcPr>
          <w:p w14:paraId="371D294E" w14:textId="77777777" w:rsidR="008C5CFA" w:rsidRPr="001C4484" w:rsidRDefault="00E82A60" w:rsidP="00300A01">
            <w:pPr>
              <w:spacing w:before="0" w:after="0"/>
              <w:jc w:val="right"/>
              <w:rPr>
                <w:sz w:val="10"/>
                <w:szCs w:val="10"/>
              </w:rPr>
            </w:pPr>
            <w:r w:rsidRPr="001C4484">
              <w:rPr>
                <w:noProof/>
                <w:sz w:val="10"/>
                <w:szCs w:val="10"/>
              </w:rPr>
              <w:t>709,00</w:t>
            </w:r>
          </w:p>
        </w:tc>
        <w:tc>
          <w:tcPr>
            <w:tcW w:w="0" w:type="auto"/>
            <w:shd w:val="clear" w:color="auto" w:fill="auto"/>
          </w:tcPr>
          <w:p w14:paraId="74C66CED" w14:textId="77777777" w:rsidR="008C5CFA" w:rsidRPr="001C4484" w:rsidRDefault="00E82A60" w:rsidP="00300A01">
            <w:pPr>
              <w:spacing w:before="0" w:after="0"/>
              <w:jc w:val="right"/>
              <w:rPr>
                <w:sz w:val="10"/>
                <w:szCs w:val="10"/>
                <w:lang w:val="fr-BE"/>
              </w:rPr>
            </w:pPr>
            <w:r w:rsidRPr="001C4484">
              <w:rPr>
                <w:noProof/>
                <w:sz w:val="10"/>
                <w:szCs w:val="10"/>
              </w:rPr>
              <w:t>544,00</w:t>
            </w:r>
          </w:p>
        </w:tc>
        <w:tc>
          <w:tcPr>
            <w:tcW w:w="0" w:type="auto"/>
          </w:tcPr>
          <w:p w14:paraId="7B4DA6E5" w14:textId="77777777" w:rsidR="008C5CFA" w:rsidRPr="001C4484" w:rsidRDefault="00E82A60" w:rsidP="00300A01">
            <w:pPr>
              <w:spacing w:before="0" w:after="0"/>
              <w:jc w:val="right"/>
              <w:rPr>
                <w:sz w:val="10"/>
                <w:szCs w:val="10"/>
              </w:rPr>
            </w:pPr>
            <w:r>
              <w:rPr>
                <w:noProof/>
                <w:sz w:val="10"/>
                <w:szCs w:val="10"/>
              </w:rPr>
              <w:t>588,00</w:t>
            </w:r>
          </w:p>
        </w:tc>
        <w:tc>
          <w:tcPr>
            <w:tcW w:w="0" w:type="auto"/>
            <w:shd w:val="clear" w:color="auto" w:fill="auto"/>
          </w:tcPr>
          <w:p w14:paraId="6D08A77C" w14:textId="77777777" w:rsidR="008C5CFA" w:rsidRPr="001C4484" w:rsidRDefault="00E82A60" w:rsidP="00300A01">
            <w:pPr>
              <w:spacing w:before="0" w:after="0"/>
              <w:jc w:val="right"/>
              <w:rPr>
                <w:sz w:val="10"/>
                <w:szCs w:val="10"/>
              </w:rPr>
            </w:pPr>
            <w:r w:rsidRPr="001C4484">
              <w:rPr>
                <w:noProof/>
                <w:sz w:val="10"/>
                <w:szCs w:val="10"/>
              </w:rPr>
              <w:t>328,00</w:t>
            </w:r>
          </w:p>
        </w:tc>
        <w:tc>
          <w:tcPr>
            <w:tcW w:w="0" w:type="auto"/>
            <w:shd w:val="clear" w:color="auto" w:fill="auto"/>
          </w:tcPr>
          <w:p w14:paraId="000E297A" w14:textId="77777777" w:rsidR="008C5CFA" w:rsidRPr="001C4484" w:rsidRDefault="00E82A60" w:rsidP="00300A01">
            <w:pPr>
              <w:spacing w:before="0" w:after="0"/>
              <w:jc w:val="right"/>
              <w:rPr>
                <w:sz w:val="10"/>
                <w:szCs w:val="10"/>
                <w:lang w:val="fr-BE"/>
              </w:rPr>
            </w:pPr>
            <w:r w:rsidRPr="001C4484">
              <w:rPr>
                <w:noProof/>
                <w:sz w:val="10"/>
                <w:szCs w:val="10"/>
              </w:rPr>
              <w:t>260,00</w:t>
            </w:r>
          </w:p>
        </w:tc>
      </w:tr>
      <w:tr w:rsidR="006B2EC1" w14:paraId="18354317" w14:textId="77777777" w:rsidTr="0047688D">
        <w:tc>
          <w:tcPr>
            <w:tcW w:w="0" w:type="auto"/>
            <w:shd w:val="clear" w:color="auto" w:fill="auto"/>
          </w:tcPr>
          <w:p w14:paraId="2299603D" w14:textId="77777777" w:rsidR="008C5CFA" w:rsidRPr="001C4484" w:rsidRDefault="00E82A60" w:rsidP="00300A01">
            <w:pPr>
              <w:spacing w:before="0" w:after="0"/>
              <w:rPr>
                <w:sz w:val="10"/>
                <w:szCs w:val="10"/>
                <w:lang w:val="fr-BE"/>
              </w:rPr>
            </w:pPr>
            <w:r w:rsidRPr="001C4484">
              <w:rPr>
                <w:noProof/>
                <w:sz w:val="10"/>
                <w:szCs w:val="10"/>
                <w:lang w:val="fr-BE"/>
              </w:rPr>
              <w:t>CO10</w:t>
            </w:r>
          </w:p>
        </w:tc>
        <w:tc>
          <w:tcPr>
            <w:tcW w:w="0" w:type="auto"/>
            <w:shd w:val="clear" w:color="auto" w:fill="auto"/>
          </w:tcPr>
          <w:p w14:paraId="710DB6BC" w14:textId="77777777" w:rsidR="008C5CFA" w:rsidRPr="001C4484" w:rsidRDefault="00E82A60" w:rsidP="00300A01">
            <w:pPr>
              <w:spacing w:before="0" w:after="0"/>
              <w:rPr>
                <w:sz w:val="10"/>
                <w:szCs w:val="10"/>
                <w:lang w:val="fr-BE"/>
              </w:rPr>
            </w:pPr>
            <w:r w:rsidRPr="001C4484">
              <w:rPr>
                <w:noProof/>
                <w:sz w:val="10"/>
                <w:szCs w:val="10"/>
                <w:lang w:val="fr-BE"/>
              </w:rPr>
              <w:t>osoby z wykształceniem średnim II stopnia (ISCED 3) lub policealnym (ISCED 4)</w:t>
            </w:r>
          </w:p>
        </w:tc>
        <w:tc>
          <w:tcPr>
            <w:tcW w:w="0" w:type="auto"/>
            <w:shd w:val="clear" w:color="auto" w:fill="auto"/>
          </w:tcPr>
          <w:p w14:paraId="36283B71"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407D1C51" w14:textId="77777777" w:rsidR="008C5CFA" w:rsidRPr="001C4484" w:rsidRDefault="00E82A60" w:rsidP="00300A01">
            <w:pPr>
              <w:spacing w:before="0" w:after="0"/>
              <w:jc w:val="right"/>
              <w:rPr>
                <w:sz w:val="10"/>
                <w:szCs w:val="10"/>
              </w:rPr>
            </w:pPr>
            <w:r>
              <w:rPr>
                <w:noProof/>
                <w:sz w:val="10"/>
                <w:szCs w:val="10"/>
              </w:rPr>
              <w:t>2 920,00</w:t>
            </w:r>
          </w:p>
        </w:tc>
        <w:tc>
          <w:tcPr>
            <w:tcW w:w="0" w:type="auto"/>
            <w:shd w:val="clear" w:color="auto" w:fill="auto"/>
          </w:tcPr>
          <w:p w14:paraId="1AB42718" w14:textId="77777777" w:rsidR="008C5CFA" w:rsidRPr="001C4484" w:rsidRDefault="00E82A60" w:rsidP="00300A01">
            <w:pPr>
              <w:spacing w:before="0" w:after="0"/>
              <w:jc w:val="right"/>
              <w:rPr>
                <w:sz w:val="10"/>
                <w:szCs w:val="10"/>
              </w:rPr>
            </w:pPr>
            <w:r w:rsidRPr="001C4484">
              <w:rPr>
                <w:noProof/>
                <w:sz w:val="10"/>
                <w:szCs w:val="10"/>
              </w:rPr>
              <w:t>1 367,00</w:t>
            </w:r>
          </w:p>
        </w:tc>
        <w:tc>
          <w:tcPr>
            <w:tcW w:w="0" w:type="auto"/>
            <w:shd w:val="clear" w:color="auto" w:fill="auto"/>
          </w:tcPr>
          <w:p w14:paraId="0C4C8B21" w14:textId="77777777" w:rsidR="008C5CFA" w:rsidRPr="001C4484" w:rsidRDefault="00E82A60" w:rsidP="00300A01">
            <w:pPr>
              <w:spacing w:before="0" w:after="0"/>
              <w:jc w:val="right"/>
              <w:rPr>
                <w:sz w:val="10"/>
                <w:szCs w:val="10"/>
                <w:lang w:val="fr-BE"/>
              </w:rPr>
            </w:pPr>
            <w:r w:rsidRPr="001C4484">
              <w:rPr>
                <w:noProof/>
                <w:sz w:val="10"/>
                <w:szCs w:val="10"/>
              </w:rPr>
              <w:t>1 553,00</w:t>
            </w:r>
          </w:p>
        </w:tc>
        <w:tc>
          <w:tcPr>
            <w:tcW w:w="0" w:type="auto"/>
          </w:tcPr>
          <w:p w14:paraId="6F82286F" w14:textId="77777777" w:rsidR="008C5CFA" w:rsidRPr="001C4484" w:rsidRDefault="00E82A60" w:rsidP="00300A01">
            <w:pPr>
              <w:spacing w:before="0" w:after="0"/>
              <w:jc w:val="right"/>
              <w:rPr>
                <w:sz w:val="10"/>
                <w:szCs w:val="10"/>
              </w:rPr>
            </w:pPr>
            <w:r>
              <w:rPr>
                <w:noProof/>
                <w:sz w:val="10"/>
                <w:szCs w:val="10"/>
              </w:rPr>
              <w:t>3 373,00</w:t>
            </w:r>
          </w:p>
        </w:tc>
        <w:tc>
          <w:tcPr>
            <w:tcW w:w="0" w:type="auto"/>
            <w:shd w:val="clear" w:color="auto" w:fill="auto"/>
          </w:tcPr>
          <w:p w14:paraId="6F56140C" w14:textId="77777777" w:rsidR="008C5CFA" w:rsidRPr="001C4484" w:rsidRDefault="00E82A60" w:rsidP="00300A01">
            <w:pPr>
              <w:spacing w:before="0" w:after="0"/>
              <w:jc w:val="right"/>
              <w:rPr>
                <w:sz w:val="10"/>
                <w:szCs w:val="10"/>
              </w:rPr>
            </w:pPr>
            <w:r w:rsidRPr="001C4484">
              <w:rPr>
                <w:noProof/>
                <w:sz w:val="10"/>
                <w:szCs w:val="10"/>
              </w:rPr>
              <w:t>1 576,00</w:t>
            </w:r>
          </w:p>
        </w:tc>
        <w:tc>
          <w:tcPr>
            <w:tcW w:w="0" w:type="auto"/>
            <w:shd w:val="clear" w:color="auto" w:fill="auto"/>
          </w:tcPr>
          <w:p w14:paraId="544BF596" w14:textId="77777777" w:rsidR="008C5CFA" w:rsidRPr="001C4484" w:rsidRDefault="00E82A60" w:rsidP="00300A01">
            <w:pPr>
              <w:spacing w:before="0" w:after="0"/>
              <w:jc w:val="right"/>
              <w:rPr>
                <w:sz w:val="10"/>
                <w:szCs w:val="10"/>
                <w:lang w:val="fr-BE"/>
              </w:rPr>
            </w:pPr>
            <w:r w:rsidRPr="001C4484">
              <w:rPr>
                <w:noProof/>
                <w:sz w:val="10"/>
                <w:szCs w:val="10"/>
              </w:rPr>
              <w:t>1 797,00</w:t>
            </w:r>
          </w:p>
        </w:tc>
        <w:tc>
          <w:tcPr>
            <w:tcW w:w="0" w:type="auto"/>
          </w:tcPr>
          <w:p w14:paraId="0119649F" w14:textId="77777777" w:rsidR="008C5CFA" w:rsidRPr="001C4484" w:rsidRDefault="00E82A60" w:rsidP="00300A01">
            <w:pPr>
              <w:spacing w:before="0" w:after="0"/>
              <w:jc w:val="right"/>
              <w:rPr>
                <w:sz w:val="10"/>
                <w:szCs w:val="10"/>
              </w:rPr>
            </w:pPr>
            <w:r>
              <w:rPr>
                <w:noProof/>
                <w:sz w:val="10"/>
                <w:szCs w:val="10"/>
              </w:rPr>
              <w:t>2 800,00</w:t>
            </w:r>
          </w:p>
        </w:tc>
        <w:tc>
          <w:tcPr>
            <w:tcW w:w="0" w:type="auto"/>
            <w:shd w:val="clear" w:color="auto" w:fill="auto"/>
          </w:tcPr>
          <w:p w14:paraId="4635D52B" w14:textId="77777777" w:rsidR="008C5CFA" w:rsidRPr="001C4484" w:rsidRDefault="00E82A60" w:rsidP="00300A01">
            <w:pPr>
              <w:spacing w:before="0" w:after="0"/>
              <w:jc w:val="right"/>
              <w:rPr>
                <w:sz w:val="10"/>
                <w:szCs w:val="10"/>
              </w:rPr>
            </w:pPr>
            <w:r w:rsidRPr="001C4484">
              <w:rPr>
                <w:noProof/>
                <w:sz w:val="10"/>
                <w:szCs w:val="10"/>
              </w:rPr>
              <w:t>1 423,00</w:t>
            </w:r>
          </w:p>
        </w:tc>
        <w:tc>
          <w:tcPr>
            <w:tcW w:w="0" w:type="auto"/>
            <w:shd w:val="clear" w:color="auto" w:fill="auto"/>
          </w:tcPr>
          <w:p w14:paraId="1A3FAF50" w14:textId="77777777" w:rsidR="008C5CFA" w:rsidRPr="001C4484" w:rsidRDefault="00E82A60" w:rsidP="00300A01">
            <w:pPr>
              <w:spacing w:before="0" w:after="0"/>
              <w:jc w:val="right"/>
              <w:rPr>
                <w:sz w:val="10"/>
                <w:szCs w:val="10"/>
                <w:lang w:val="fr-BE"/>
              </w:rPr>
            </w:pPr>
            <w:r w:rsidRPr="001C4484">
              <w:rPr>
                <w:noProof/>
                <w:sz w:val="10"/>
                <w:szCs w:val="10"/>
              </w:rPr>
              <w:t>1 377,00</w:t>
            </w:r>
          </w:p>
        </w:tc>
      </w:tr>
      <w:tr w:rsidR="006B2EC1" w14:paraId="63927840" w14:textId="77777777" w:rsidTr="0047688D">
        <w:tc>
          <w:tcPr>
            <w:tcW w:w="0" w:type="auto"/>
            <w:shd w:val="clear" w:color="auto" w:fill="auto"/>
          </w:tcPr>
          <w:p w14:paraId="4E5B9794" w14:textId="77777777" w:rsidR="008C5CFA" w:rsidRPr="001C4484" w:rsidRDefault="00E82A60" w:rsidP="00300A01">
            <w:pPr>
              <w:spacing w:before="0" w:after="0"/>
              <w:rPr>
                <w:sz w:val="10"/>
                <w:szCs w:val="10"/>
                <w:lang w:val="fr-BE"/>
              </w:rPr>
            </w:pPr>
            <w:r w:rsidRPr="001C4484">
              <w:rPr>
                <w:noProof/>
                <w:sz w:val="10"/>
                <w:szCs w:val="10"/>
                <w:lang w:val="fr-BE"/>
              </w:rPr>
              <w:t>CO11</w:t>
            </w:r>
          </w:p>
        </w:tc>
        <w:tc>
          <w:tcPr>
            <w:tcW w:w="0" w:type="auto"/>
            <w:shd w:val="clear" w:color="auto" w:fill="auto"/>
          </w:tcPr>
          <w:p w14:paraId="2AD2FAE2" w14:textId="77777777" w:rsidR="008C5CFA" w:rsidRPr="001C4484" w:rsidRDefault="00E82A60" w:rsidP="00300A01">
            <w:pPr>
              <w:spacing w:before="0" w:after="0"/>
              <w:rPr>
                <w:sz w:val="10"/>
                <w:szCs w:val="10"/>
                <w:lang w:val="fr-BE"/>
              </w:rPr>
            </w:pPr>
            <w:r w:rsidRPr="001C4484">
              <w:rPr>
                <w:noProof/>
                <w:sz w:val="10"/>
                <w:szCs w:val="10"/>
                <w:lang w:val="fr-BE"/>
              </w:rPr>
              <w:t>osoby z wykształceniem wyższym (ISCED 5 do 8)</w:t>
            </w:r>
          </w:p>
        </w:tc>
        <w:tc>
          <w:tcPr>
            <w:tcW w:w="0" w:type="auto"/>
            <w:shd w:val="clear" w:color="auto" w:fill="auto"/>
          </w:tcPr>
          <w:p w14:paraId="7AEF7C13"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5077EC26" w14:textId="77777777" w:rsidR="008C5CFA" w:rsidRPr="001C4484" w:rsidRDefault="00E82A60" w:rsidP="00300A01">
            <w:pPr>
              <w:spacing w:before="0" w:after="0"/>
              <w:jc w:val="right"/>
              <w:rPr>
                <w:sz w:val="10"/>
                <w:szCs w:val="10"/>
              </w:rPr>
            </w:pPr>
            <w:r>
              <w:rPr>
                <w:noProof/>
                <w:sz w:val="10"/>
                <w:szCs w:val="10"/>
              </w:rPr>
              <w:t>902,00</w:t>
            </w:r>
          </w:p>
        </w:tc>
        <w:tc>
          <w:tcPr>
            <w:tcW w:w="0" w:type="auto"/>
            <w:shd w:val="clear" w:color="auto" w:fill="auto"/>
          </w:tcPr>
          <w:p w14:paraId="23AB4267" w14:textId="77777777" w:rsidR="008C5CFA" w:rsidRPr="001C4484" w:rsidRDefault="00E82A60" w:rsidP="00300A01">
            <w:pPr>
              <w:spacing w:before="0" w:after="0"/>
              <w:jc w:val="right"/>
              <w:rPr>
                <w:sz w:val="10"/>
                <w:szCs w:val="10"/>
              </w:rPr>
            </w:pPr>
            <w:r w:rsidRPr="001C4484">
              <w:rPr>
                <w:noProof/>
                <w:sz w:val="10"/>
                <w:szCs w:val="10"/>
              </w:rPr>
              <w:t>132,00</w:t>
            </w:r>
          </w:p>
        </w:tc>
        <w:tc>
          <w:tcPr>
            <w:tcW w:w="0" w:type="auto"/>
            <w:shd w:val="clear" w:color="auto" w:fill="auto"/>
          </w:tcPr>
          <w:p w14:paraId="7C1F1FAA" w14:textId="77777777" w:rsidR="008C5CFA" w:rsidRPr="001C4484" w:rsidRDefault="00E82A60" w:rsidP="00300A01">
            <w:pPr>
              <w:spacing w:before="0" w:after="0"/>
              <w:jc w:val="right"/>
              <w:rPr>
                <w:sz w:val="10"/>
                <w:szCs w:val="10"/>
                <w:lang w:val="fr-BE"/>
              </w:rPr>
            </w:pPr>
            <w:r w:rsidRPr="001C4484">
              <w:rPr>
                <w:noProof/>
                <w:sz w:val="10"/>
                <w:szCs w:val="10"/>
              </w:rPr>
              <w:t>770,00</w:t>
            </w:r>
          </w:p>
        </w:tc>
        <w:tc>
          <w:tcPr>
            <w:tcW w:w="0" w:type="auto"/>
          </w:tcPr>
          <w:p w14:paraId="510EAA14" w14:textId="77777777" w:rsidR="008C5CFA" w:rsidRPr="001C4484" w:rsidRDefault="00E82A60" w:rsidP="00300A01">
            <w:pPr>
              <w:spacing w:before="0" w:after="0"/>
              <w:jc w:val="right"/>
              <w:rPr>
                <w:sz w:val="10"/>
                <w:szCs w:val="10"/>
              </w:rPr>
            </w:pPr>
            <w:r>
              <w:rPr>
                <w:noProof/>
                <w:sz w:val="10"/>
                <w:szCs w:val="10"/>
              </w:rPr>
              <w:t>959,00</w:t>
            </w:r>
          </w:p>
        </w:tc>
        <w:tc>
          <w:tcPr>
            <w:tcW w:w="0" w:type="auto"/>
            <w:shd w:val="clear" w:color="auto" w:fill="auto"/>
          </w:tcPr>
          <w:p w14:paraId="3A9F9BB4" w14:textId="77777777" w:rsidR="008C5CFA" w:rsidRPr="001C4484" w:rsidRDefault="00E82A60" w:rsidP="00300A01">
            <w:pPr>
              <w:spacing w:before="0" w:after="0"/>
              <w:jc w:val="right"/>
              <w:rPr>
                <w:sz w:val="10"/>
                <w:szCs w:val="10"/>
              </w:rPr>
            </w:pPr>
            <w:r w:rsidRPr="001C4484">
              <w:rPr>
                <w:noProof/>
                <w:sz w:val="10"/>
                <w:szCs w:val="10"/>
              </w:rPr>
              <w:t>148,00</w:t>
            </w:r>
          </w:p>
        </w:tc>
        <w:tc>
          <w:tcPr>
            <w:tcW w:w="0" w:type="auto"/>
            <w:shd w:val="clear" w:color="auto" w:fill="auto"/>
          </w:tcPr>
          <w:p w14:paraId="18252B73" w14:textId="77777777" w:rsidR="008C5CFA" w:rsidRPr="001C4484" w:rsidRDefault="00E82A60" w:rsidP="00300A01">
            <w:pPr>
              <w:spacing w:before="0" w:after="0"/>
              <w:jc w:val="right"/>
              <w:rPr>
                <w:sz w:val="10"/>
                <w:szCs w:val="10"/>
                <w:lang w:val="fr-BE"/>
              </w:rPr>
            </w:pPr>
            <w:r w:rsidRPr="001C4484">
              <w:rPr>
                <w:noProof/>
                <w:sz w:val="10"/>
                <w:szCs w:val="10"/>
              </w:rPr>
              <w:t>811,00</w:t>
            </w:r>
          </w:p>
        </w:tc>
        <w:tc>
          <w:tcPr>
            <w:tcW w:w="0" w:type="auto"/>
          </w:tcPr>
          <w:p w14:paraId="65009332" w14:textId="77777777" w:rsidR="008C5CFA" w:rsidRPr="001C4484" w:rsidRDefault="00E82A60" w:rsidP="00300A01">
            <w:pPr>
              <w:spacing w:before="0" w:after="0"/>
              <w:jc w:val="right"/>
              <w:rPr>
                <w:sz w:val="10"/>
                <w:szCs w:val="10"/>
              </w:rPr>
            </w:pPr>
            <w:r>
              <w:rPr>
                <w:noProof/>
                <w:sz w:val="10"/>
                <w:szCs w:val="10"/>
              </w:rPr>
              <w:t>811,00</w:t>
            </w:r>
          </w:p>
        </w:tc>
        <w:tc>
          <w:tcPr>
            <w:tcW w:w="0" w:type="auto"/>
            <w:shd w:val="clear" w:color="auto" w:fill="auto"/>
          </w:tcPr>
          <w:p w14:paraId="621BDCBF" w14:textId="77777777" w:rsidR="008C5CFA" w:rsidRPr="001C4484" w:rsidRDefault="00E82A60" w:rsidP="00300A01">
            <w:pPr>
              <w:spacing w:before="0" w:after="0"/>
              <w:jc w:val="right"/>
              <w:rPr>
                <w:sz w:val="10"/>
                <w:szCs w:val="10"/>
              </w:rPr>
            </w:pPr>
            <w:r w:rsidRPr="001C4484">
              <w:rPr>
                <w:noProof/>
                <w:sz w:val="10"/>
                <w:szCs w:val="10"/>
              </w:rPr>
              <w:t>147,00</w:t>
            </w:r>
          </w:p>
        </w:tc>
        <w:tc>
          <w:tcPr>
            <w:tcW w:w="0" w:type="auto"/>
            <w:shd w:val="clear" w:color="auto" w:fill="auto"/>
          </w:tcPr>
          <w:p w14:paraId="61F087B1" w14:textId="77777777" w:rsidR="008C5CFA" w:rsidRPr="001C4484" w:rsidRDefault="00E82A60" w:rsidP="00300A01">
            <w:pPr>
              <w:spacing w:before="0" w:after="0"/>
              <w:jc w:val="right"/>
              <w:rPr>
                <w:sz w:val="10"/>
                <w:szCs w:val="10"/>
                <w:lang w:val="fr-BE"/>
              </w:rPr>
            </w:pPr>
            <w:r w:rsidRPr="001C4484">
              <w:rPr>
                <w:noProof/>
                <w:sz w:val="10"/>
                <w:szCs w:val="10"/>
              </w:rPr>
              <w:t>664,00</w:t>
            </w:r>
          </w:p>
        </w:tc>
      </w:tr>
      <w:tr w:rsidR="006B2EC1" w14:paraId="2A26680A" w14:textId="77777777" w:rsidTr="0047688D">
        <w:tc>
          <w:tcPr>
            <w:tcW w:w="0" w:type="auto"/>
            <w:shd w:val="clear" w:color="auto" w:fill="auto"/>
          </w:tcPr>
          <w:p w14:paraId="051C1F1F" w14:textId="77777777" w:rsidR="008C5CFA" w:rsidRPr="001C4484" w:rsidRDefault="00E82A60" w:rsidP="00300A01">
            <w:pPr>
              <w:spacing w:before="0" w:after="0"/>
              <w:rPr>
                <w:sz w:val="10"/>
                <w:szCs w:val="10"/>
                <w:lang w:val="fr-BE"/>
              </w:rPr>
            </w:pPr>
            <w:r w:rsidRPr="001C4484">
              <w:rPr>
                <w:noProof/>
                <w:sz w:val="10"/>
                <w:szCs w:val="10"/>
                <w:lang w:val="fr-BE"/>
              </w:rPr>
              <w:t>CO15</w:t>
            </w:r>
          </w:p>
        </w:tc>
        <w:tc>
          <w:tcPr>
            <w:tcW w:w="0" w:type="auto"/>
            <w:shd w:val="clear" w:color="auto" w:fill="auto"/>
          </w:tcPr>
          <w:p w14:paraId="22E2A302" w14:textId="77777777" w:rsidR="008C5CFA" w:rsidRPr="001C4484" w:rsidRDefault="00E82A60" w:rsidP="00300A01">
            <w:pPr>
              <w:spacing w:before="0" w:after="0"/>
              <w:rPr>
                <w:sz w:val="10"/>
                <w:szCs w:val="10"/>
                <w:lang w:val="fr-BE"/>
              </w:rPr>
            </w:pPr>
            <w:r w:rsidRPr="001C4484">
              <w:rPr>
                <w:noProof/>
                <w:sz w:val="10"/>
                <w:szCs w:val="10"/>
                <w:lang w:val="fr-BE"/>
              </w:rPr>
              <w:t>migranci, uczestnicy obcego pochodzenia, mniejszości (w tym społeczności marginalizowane, takie jak Romowie)</w:t>
            </w:r>
          </w:p>
        </w:tc>
        <w:tc>
          <w:tcPr>
            <w:tcW w:w="0" w:type="auto"/>
            <w:shd w:val="clear" w:color="auto" w:fill="auto"/>
          </w:tcPr>
          <w:p w14:paraId="6B9446C9"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326C7CAA" w14:textId="77777777" w:rsidR="008C5CFA" w:rsidRPr="001C4484" w:rsidRDefault="00E82A60" w:rsidP="00300A01">
            <w:pPr>
              <w:spacing w:before="0" w:after="0"/>
              <w:jc w:val="right"/>
              <w:rPr>
                <w:sz w:val="10"/>
                <w:szCs w:val="10"/>
              </w:rPr>
            </w:pPr>
            <w:r>
              <w:rPr>
                <w:noProof/>
                <w:sz w:val="10"/>
                <w:szCs w:val="10"/>
              </w:rPr>
              <w:t>13,00</w:t>
            </w:r>
          </w:p>
        </w:tc>
        <w:tc>
          <w:tcPr>
            <w:tcW w:w="0" w:type="auto"/>
            <w:shd w:val="clear" w:color="auto" w:fill="auto"/>
          </w:tcPr>
          <w:p w14:paraId="06F7521D" w14:textId="77777777" w:rsidR="008C5CFA" w:rsidRPr="001C4484" w:rsidRDefault="00E82A60" w:rsidP="00300A01">
            <w:pPr>
              <w:spacing w:before="0" w:after="0"/>
              <w:jc w:val="right"/>
              <w:rPr>
                <w:sz w:val="10"/>
                <w:szCs w:val="10"/>
              </w:rPr>
            </w:pPr>
            <w:r w:rsidRPr="001C4484">
              <w:rPr>
                <w:noProof/>
                <w:sz w:val="10"/>
                <w:szCs w:val="10"/>
              </w:rPr>
              <w:t>4,00</w:t>
            </w:r>
          </w:p>
        </w:tc>
        <w:tc>
          <w:tcPr>
            <w:tcW w:w="0" w:type="auto"/>
            <w:shd w:val="clear" w:color="auto" w:fill="auto"/>
          </w:tcPr>
          <w:p w14:paraId="5915D988" w14:textId="77777777" w:rsidR="008C5CFA" w:rsidRPr="001C4484" w:rsidRDefault="00E82A60" w:rsidP="00300A01">
            <w:pPr>
              <w:spacing w:before="0" w:after="0"/>
              <w:jc w:val="right"/>
              <w:rPr>
                <w:sz w:val="10"/>
                <w:szCs w:val="10"/>
                <w:lang w:val="fr-BE"/>
              </w:rPr>
            </w:pPr>
            <w:r w:rsidRPr="001C4484">
              <w:rPr>
                <w:noProof/>
                <w:sz w:val="10"/>
                <w:szCs w:val="10"/>
              </w:rPr>
              <w:t>9,00</w:t>
            </w:r>
          </w:p>
        </w:tc>
        <w:tc>
          <w:tcPr>
            <w:tcW w:w="0" w:type="auto"/>
          </w:tcPr>
          <w:p w14:paraId="36471CAF" w14:textId="77777777" w:rsidR="008C5CFA" w:rsidRPr="001C4484" w:rsidRDefault="00E82A60" w:rsidP="00300A01">
            <w:pPr>
              <w:spacing w:before="0" w:after="0"/>
              <w:jc w:val="right"/>
              <w:rPr>
                <w:sz w:val="10"/>
                <w:szCs w:val="10"/>
              </w:rPr>
            </w:pPr>
            <w:r>
              <w:rPr>
                <w:noProof/>
                <w:sz w:val="10"/>
                <w:szCs w:val="10"/>
              </w:rPr>
              <w:t>17,00</w:t>
            </w:r>
          </w:p>
        </w:tc>
        <w:tc>
          <w:tcPr>
            <w:tcW w:w="0" w:type="auto"/>
            <w:shd w:val="clear" w:color="auto" w:fill="auto"/>
          </w:tcPr>
          <w:p w14:paraId="61243D17" w14:textId="77777777" w:rsidR="008C5CFA" w:rsidRPr="001C4484" w:rsidRDefault="00E82A60" w:rsidP="00300A01">
            <w:pPr>
              <w:spacing w:before="0" w:after="0"/>
              <w:jc w:val="right"/>
              <w:rPr>
                <w:sz w:val="10"/>
                <w:szCs w:val="10"/>
              </w:rPr>
            </w:pPr>
            <w:r w:rsidRPr="001C4484">
              <w:rPr>
                <w:noProof/>
                <w:sz w:val="10"/>
                <w:szCs w:val="10"/>
              </w:rPr>
              <w:t>3,00</w:t>
            </w:r>
          </w:p>
        </w:tc>
        <w:tc>
          <w:tcPr>
            <w:tcW w:w="0" w:type="auto"/>
            <w:shd w:val="clear" w:color="auto" w:fill="auto"/>
          </w:tcPr>
          <w:p w14:paraId="46487B30" w14:textId="77777777" w:rsidR="008C5CFA" w:rsidRPr="001C4484" w:rsidRDefault="00E82A60" w:rsidP="00300A01">
            <w:pPr>
              <w:spacing w:before="0" w:after="0"/>
              <w:jc w:val="right"/>
              <w:rPr>
                <w:sz w:val="10"/>
                <w:szCs w:val="10"/>
                <w:lang w:val="fr-BE"/>
              </w:rPr>
            </w:pPr>
            <w:r w:rsidRPr="001C4484">
              <w:rPr>
                <w:noProof/>
                <w:sz w:val="10"/>
                <w:szCs w:val="10"/>
              </w:rPr>
              <w:t>14,00</w:t>
            </w:r>
          </w:p>
        </w:tc>
        <w:tc>
          <w:tcPr>
            <w:tcW w:w="0" w:type="auto"/>
          </w:tcPr>
          <w:p w14:paraId="65AAC67D" w14:textId="77777777" w:rsidR="008C5CFA" w:rsidRPr="001C4484" w:rsidRDefault="00E82A60" w:rsidP="00300A01">
            <w:pPr>
              <w:spacing w:before="0" w:after="0"/>
              <w:jc w:val="right"/>
              <w:rPr>
                <w:sz w:val="10"/>
                <w:szCs w:val="10"/>
              </w:rPr>
            </w:pPr>
            <w:r>
              <w:rPr>
                <w:noProof/>
                <w:sz w:val="10"/>
                <w:szCs w:val="10"/>
              </w:rPr>
              <w:t>56,00</w:t>
            </w:r>
          </w:p>
        </w:tc>
        <w:tc>
          <w:tcPr>
            <w:tcW w:w="0" w:type="auto"/>
            <w:shd w:val="clear" w:color="auto" w:fill="auto"/>
          </w:tcPr>
          <w:p w14:paraId="638D9262" w14:textId="77777777" w:rsidR="008C5CFA" w:rsidRPr="001C4484" w:rsidRDefault="00E82A60" w:rsidP="00300A01">
            <w:pPr>
              <w:spacing w:before="0" w:after="0"/>
              <w:jc w:val="right"/>
              <w:rPr>
                <w:sz w:val="10"/>
                <w:szCs w:val="10"/>
              </w:rPr>
            </w:pPr>
            <w:r w:rsidRPr="001C4484">
              <w:rPr>
                <w:noProof/>
                <w:sz w:val="10"/>
                <w:szCs w:val="10"/>
              </w:rPr>
              <w:t>31,00</w:t>
            </w:r>
          </w:p>
        </w:tc>
        <w:tc>
          <w:tcPr>
            <w:tcW w:w="0" w:type="auto"/>
            <w:shd w:val="clear" w:color="auto" w:fill="auto"/>
          </w:tcPr>
          <w:p w14:paraId="4935A5CC" w14:textId="77777777" w:rsidR="008C5CFA" w:rsidRPr="001C4484" w:rsidRDefault="00E82A60" w:rsidP="00300A01">
            <w:pPr>
              <w:spacing w:before="0" w:after="0"/>
              <w:jc w:val="right"/>
              <w:rPr>
                <w:sz w:val="10"/>
                <w:szCs w:val="10"/>
                <w:lang w:val="fr-BE"/>
              </w:rPr>
            </w:pPr>
            <w:r w:rsidRPr="001C4484">
              <w:rPr>
                <w:noProof/>
                <w:sz w:val="10"/>
                <w:szCs w:val="10"/>
              </w:rPr>
              <w:t>25,00</w:t>
            </w:r>
          </w:p>
        </w:tc>
      </w:tr>
      <w:tr w:rsidR="006B2EC1" w14:paraId="00D6F5C3" w14:textId="77777777" w:rsidTr="0047688D">
        <w:tc>
          <w:tcPr>
            <w:tcW w:w="0" w:type="auto"/>
            <w:shd w:val="clear" w:color="auto" w:fill="auto"/>
          </w:tcPr>
          <w:p w14:paraId="1E7214D0" w14:textId="77777777" w:rsidR="008C5CFA" w:rsidRPr="001C4484" w:rsidRDefault="00E82A60" w:rsidP="00300A01">
            <w:pPr>
              <w:spacing w:before="0" w:after="0"/>
              <w:rPr>
                <w:sz w:val="10"/>
                <w:szCs w:val="10"/>
                <w:lang w:val="fr-BE"/>
              </w:rPr>
            </w:pPr>
            <w:r w:rsidRPr="001C4484">
              <w:rPr>
                <w:noProof/>
                <w:sz w:val="10"/>
                <w:szCs w:val="10"/>
                <w:lang w:val="fr-BE"/>
              </w:rPr>
              <w:t>CO16</w:t>
            </w:r>
          </w:p>
        </w:tc>
        <w:tc>
          <w:tcPr>
            <w:tcW w:w="0" w:type="auto"/>
            <w:shd w:val="clear" w:color="auto" w:fill="auto"/>
          </w:tcPr>
          <w:p w14:paraId="1995267D" w14:textId="77777777" w:rsidR="008C5CFA" w:rsidRPr="001C4484" w:rsidRDefault="00E82A60" w:rsidP="00300A01">
            <w:pPr>
              <w:spacing w:before="0" w:after="0"/>
              <w:rPr>
                <w:sz w:val="10"/>
                <w:szCs w:val="10"/>
                <w:lang w:val="fr-BE"/>
              </w:rPr>
            </w:pPr>
            <w:r w:rsidRPr="001C4484">
              <w:rPr>
                <w:noProof/>
                <w:sz w:val="10"/>
                <w:szCs w:val="10"/>
                <w:lang w:val="fr-BE"/>
              </w:rPr>
              <w:t>uczestnicy z niepełnosprawnościami</w:t>
            </w:r>
          </w:p>
        </w:tc>
        <w:tc>
          <w:tcPr>
            <w:tcW w:w="0" w:type="auto"/>
            <w:shd w:val="clear" w:color="auto" w:fill="auto"/>
          </w:tcPr>
          <w:p w14:paraId="09F2425C"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2DE878B3" w14:textId="77777777" w:rsidR="008C5CFA" w:rsidRPr="001C4484" w:rsidRDefault="00E82A60" w:rsidP="00300A01">
            <w:pPr>
              <w:spacing w:before="0" w:after="0"/>
              <w:jc w:val="right"/>
              <w:rPr>
                <w:sz w:val="10"/>
                <w:szCs w:val="10"/>
              </w:rPr>
            </w:pPr>
            <w:r>
              <w:rPr>
                <w:noProof/>
                <w:sz w:val="10"/>
                <w:szCs w:val="10"/>
              </w:rPr>
              <w:t>403,00</w:t>
            </w:r>
          </w:p>
        </w:tc>
        <w:tc>
          <w:tcPr>
            <w:tcW w:w="0" w:type="auto"/>
            <w:shd w:val="clear" w:color="auto" w:fill="auto"/>
          </w:tcPr>
          <w:p w14:paraId="4A6B241F" w14:textId="77777777" w:rsidR="008C5CFA" w:rsidRPr="001C4484" w:rsidRDefault="00E82A60" w:rsidP="00300A01">
            <w:pPr>
              <w:spacing w:before="0" w:after="0"/>
              <w:jc w:val="right"/>
              <w:rPr>
                <w:sz w:val="10"/>
                <w:szCs w:val="10"/>
              </w:rPr>
            </w:pPr>
            <w:r w:rsidRPr="001C4484">
              <w:rPr>
                <w:noProof/>
                <w:sz w:val="10"/>
                <w:szCs w:val="10"/>
              </w:rPr>
              <w:t>173,00</w:t>
            </w:r>
          </w:p>
        </w:tc>
        <w:tc>
          <w:tcPr>
            <w:tcW w:w="0" w:type="auto"/>
            <w:shd w:val="clear" w:color="auto" w:fill="auto"/>
          </w:tcPr>
          <w:p w14:paraId="0B55A2D7" w14:textId="77777777" w:rsidR="008C5CFA" w:rsidRPr="001C4484" w:rsidRDefault="00E82A60" w:rsidP="00300A01">
            <w:pPr>
              <w:spacing w:before="0" w:after="0"/>
              <w:jc w:val="right"/>
              <w:rPr>
                <w:sz w:val="10"/>
                <w:szCs w:val="10"/>
                <w:lang w:val="fr-BE"/>
              </w:rPr>
            </w:pPr>
            <w:r w:rsidRPr="001C4484">
              <w:rPr>
                <w:noProof/>
                <w:sz w:val="10"/>
                <w:szCs w:val="10"/>
              </w:rPr>
              <w:t>230,00</w:t>
            </w:r>
          </w:p>
        </w:tc>
        <w:tc>
          <w:tcPr>
            <w:tcW w:w="0" w:type="auto"/>
          </w:tcPr>
          <w:p w14:paraId="6F54C2F5" w14:textId="77777777" w:rsidR="008C5CFA" w:rsidRPr="001C4484" w:rsidRDefault="00E82A60" w:rsidP="00300A01">
            <w:pPr>
              <w:spacing w:before="0" w:after="0"/>
              <w:jc w:val="right"/>
              <w:rPr>
                <w:sz w:val="10"/>
                <w:szCs w:val="10"/>
              </w:rPr>
            </w:pPr>
            <w:r>
              <w:rPr>
                <w:noProof/>
                <w:sz w:val="10"/>
                <w:szCs w:val="10"/>
              </w:rPr>
              <w:t>697,00</w:t>
            </w:r>
          </w:p>
        </w:tc>
        <w:tc>
          <w:tcPr>
            <w:tcW w:w="0" w:type="auto"/>
            <w:shd w:val="clear" w:color="auto" w:fill="auto"/>
          </w:tcPr>
          <w:p w14:paraId="21C81B54" w14:textId="77777777" w:rsidR="008C5CFA" w:rsidRPr="001C4484" w:rsidRDefault="00E82A60" w:rsidP="00300A01">
            <w:pPr>
              <w:spacing w:before="0" w:after="0"/>
              <w:jc w:val="right"/>
              <w:rPr>
                <w:sz w:val="10"/>
                <w:szCs w:val="10"/>
              </w:rPr>
            </w:pPr>
            <w:r w:rsidRPr="001C4484">
              <w:rPr>
                <w:noProof/>
                <w:sz w:val="10"/>
                <w:szCs w:val="10"/>
              </w:rPr>
              <w:t>300,00</w:t>
            </w:r>
          </w:p>
        </w:tc>
        <w:tc>
          <w:tcPr>
            <w:tcW w:w="0" w:type="auto"/>
            <w:shd w:val="clear" w:color="auto" w:fill="auto"/>
          </w:tcPr>
          <w:p w14:paraId="14CD35C4" w14:textId="77777777" w:rsidR="008C5CFA" w:rsidRPr="001C4484" w:rsidRDefault="00E82A60" w:rsidP="00300A01">
            <w:pPr>
              <w:spacing w:before="0" w:after="0"/>
              <w:jc w:val="right"/>
              <w:rPr>
                <w:sz w:val="10"/>
                <w:szCs w:val="10"/>
                <w:lang w:val="fr-BE"/>
              </w:rPr>
            </w:pPr>
            <w:r w:rsidRPr="001C4484">
              <w:rPr>
                <w:noProof/>
                <w:sz w:val="10"/>
                <w:szCs w:val="10"/>
              </w:rPr>
              <w:t>397,00</w:t>
            </w:r>
          </w:p>
        </w:tc>
        <w:tc>
          <w:tcPr>
            <w:tcW w:w="0" w:type="auto"/>
          </w:tcPr>
          <w:p w14:paraId="1F946849" w14:textId="77777777" w:rsidR="008C5CFA" w:rsidRPr="001C4484" w:rsidRDefault="00E82A60" w:rsidP="00300A01">
            <w:pPr>
              <w:spacing w:before="0" w:after="0"/>
              <w:jc w:val="right"/>
              <w:rPr>
                <w:sz w:val="10"/>
                <w:szCs w:val="10"/>
              </w:rPr>
            </w:pPr>
            <w:r>
              <w:rPr>
                <w:noProof/>
                <w:sz w:val="10"/>
                <w:szCs w:val="10"/>
              </w:rPr>
              <w:t>517,00</w:t>
            </w:r>
          </w:p>
        </w:tc>
        <w:tc>
          <w:tcPr>
            <w:tcW w:w="0" w:type="auto"/>
            <w:shd w:val="clear" w:color="auto" w:fill="auto"/>
          </w:tcPr>
          <w:p w14:paraId="1B718852" w14:textId="77777777" w:rsidR="008C5CFA" w:rsidRPr="001C4484" w:rsidRDefault="00E82A60" w:rsidP="00300A01">
            <w:pPr>
              <w:spacing w:before="0" w:after="0"/>
              <w:jc w:val="right"/>
              <w:rPr>
                <w:sz w:val="10"/>
                <w:szCs w:val="10"/>
              </w:rPr>
            </w:pPr>
            <w:r w:rsidRPr="001C4484">
              <w:rPr>
                <w:noProof/>
                <w:sz w:val="10"/>
                <w:szCs w:val="10"/>
              </w:rPr>
              <w:t>231,00</w:t>
            </w:r>
          </w:p>
        </w:tc>
        <w:tc>
          <w:tcPr>
            <w:tcW w:w="0" w:type="auto"/>
            <w:shd w:val="clear" w:color="auto" w:fill="auto"/>
          </w:tcPr>
          <w:p w14:paraId="6D87766C" w14:textId="77777777" w:rsidR="008C5CFA" w:rsidRPr="001C4484" w:rsidRDefault="00E82A60" w:rsidP="00300A01">
            <w:pPr>
              <w:spacing w:before="0" w:after="0"/>
              <w:jc w:val="right"/>
              <w:rPr>
                <w:sz w:val="10"/>
                <w:szCs w:val="10"/>
                <w:lang w:val="fr-BE"/>
              </w:rPr>
            </w:pPr>
            <w:r w:rsidRPr="001C4484">
              <w:rPr>
                <w:noProof/>
                <w:sz w:val="10"/>
                <w:szCs w:val="10"/>
              </w:rPr>
              <w:t>286,00</w:t>
            </w:r>
          </w:p>
        </w:tc>
      </w:tr>
      <w:tr w:rsidR="006B2EC1" w14:paraId="69385BD0" w14:textId="77777777" w:rsidTr="0047688D">
        <w:tc>
          <w:tcPr>
            <w:tcW w:w="0" w:type="auto"/>
            <w:shd w:val="clear" w:color="auto" w:fill="auto"/>
          </w:tcPr>
          <w:p w14:paraId="519EFC4D" w14:textId="77777777" w:rsidR="008C5CFA" w:rsidRPr="001C4484" w:rsidRDefault="00E82A60" w:rsidP="00300A01">
            <w:pPr>
              <w:spacing w:before="0" w:after="0"/>
              <w:rPr>
                <w:sz w:val="10"/>
                <w:szCs w:val="10"/>
                <w:lang w:val="fr-BE"/>
              </w:rPr>
            </w:pPr>
            <w:r w:rsidRPr="001C4484">
              <w:rPr>
                <w:noProof/>
                <w:sz w:val="10"/>
                <w:szCs w:val="10"/>
                <w:lang w:val="fr-BE"/>
              </w:rPr>
              <w:t>CO17</w:t>
            </w:r>
          </w:p>
        </w:tc>
        <w:tc>
          <w:tcPr>
            <w:tcW w:w="0" w:type="auto"/>
            <w:shd w:val="clear" w:color="auto" w:fill="auto"/>
          </w:tcPr>
          <w:p w14:paraId="5B41F43B" w14:textId="77777777" w:rsidR="008C5CFA" w:rsidRPr="001C4484" w:rsidRDefault="00E82A60" w:rsidP="00300A01">
            <w:pPr>
              <w:spacing w:before="0" w:after="0"/>
              <w:rPr>
                <w:sz w:val="10"/>
                <w:szCs w:val="10"/>
                <w:lang w:val="fr-BE"/>
              </w:rPr>
            </w:pPr>
            <w:r w:rsidRPr="001C4484">
              <w:rPr>
                <w:noProof/>
                <w:sz w:val="10"/>
                <w:szCs w:val="10"/>
                <w:lang w:val="fr-BE"/>
              </w:rPr>
              <w:t>inne osoby w niekorzystnej sytuacji społecznej</w:t>
            </w:r>
          </w:p>
        </w:tc>
        <w:tc>
          <w:tcPr>
            <w:tcW w:w="0" w:type="auto"/>
            <w:shd w:val="clear" w:color="auto" w:fill="auto"/>
          </w:tcPr>
          <w:p w14:paraId="0C437412"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12C89AF4" w14:textId="77777777" w:rsidR="008C5CFA" w:rsidRPr="001C4484" w:rsidRDefault="00E82A60" w:rsidP="00300A01">
            <w:pPr>
              <w:spacing w:before="0" w:after="0"/>
              <w:jc w:val="right"/>
              <w:rPr>
                <w:sz w:val="10"/>
                <w:szCs w:val="10"/>
              </w:rPr>
            </w:pPr>
            <w:r>
              <w:rPr>
                <w:noProof/>
                <w:sz w:val="10"/>
                <w:szCs w:val="10"/>
              </w:rPr>
              <w:t>2 352,00</w:t>
            </w:r>
          </w:p>
        </w:tc>
        <w:tc>
          <w:tcPr>
            <w:tcW w:w="0" w:type="auto"/>
            <w:shd w:val="clear" w:color="auto" w:fill="auto"/>
          </w:tcPr>
          <w:p w14:paraId="34ED2FE6" w14:textId="77777777" w:rsidR="008C5CFA" w:rsidRPr="001C4484" w:rsidRDefault="00E82A60" w:rsidP="00300A01">
            <w:pPr>
              <w:spacing w:before="0" w:after="0"/>
              <w:jc w:val="right"/>
              <w:rPr>
                <w:sz w:val="10"/>
                <w:szCs w:val="10"/>
              </w:rPr>
            </w:pPr>
            <w:r w:rsidRPr="001C4484">
              <w:rPr>
                <w:noProof/>
                <w:sz w:val="10"/>
                <w:szCs w:val="10"/>
              </w:rPr>
              <w:t>979,00</w:t>
            </w:r>
          </w:p>
        </w:tc>
        <w:tc>
          <w:tcPr>
            <w:tcW w:w="0" w:type="auto"/>
            <w:shd w:val="clear" w:color="auto" w:fill="auto"/>
          </w:tcPr>
          <w:p w14:paraId="0A53594F" w14:textId="77777777" w:rsidR="008C5CFA" w:rsidRPr="001C4484" w:rsidRDefault="00E82A60" w:rsidP="00300A01">
            <w:pPr>
              <w:spacing w:before="0" w:after="0"/>
              <w:jc w:val="right"/>
              <w:rPr>
                <w:sz w:val="10"/>
                <w:szCs w:val="10"/>
                <w:lang w:val="fr-BE"/>
              </w:rPr>
            </w:pPr>
            <w:r w:rsidRPr="001C4484">
              <w:rPr>
                <w:noProof/>
                <w:sz w:val="10"/>
                <w:szCs w:val="10"/>
              </w:rPr>
              <w:t>1 373,00</w:t>
            </w:r>
          </w:p>
        </w:tc>
        <w:tc>
          <w:tcPr>
            <w:tcW w:w="0" w:type="auto"/>
          </w:tcPr>
          <w:p w14:paraId="3A95DB81" w14:textId="77777777" w:rsidR="008C5CFA" w:rsidRPr="001C4484" w:rsidRDefault="00E82A60" w:rsidP="00300A01">
            <w:pPr>
              <w:spacing w:before="0" w:after="0"/>
              <w:jc w:val="right"/>
              <w:rPr>
                <w:sz w:val="10"/>
                <w:szCs w:val="10"/>
              </w:rPr>
            </w:pPr>
            <w:r>
              <w:rPr>
                <w:noProof/>
                <w:sz w:val="10"/>
                <w:szCs w:val="10"/>
              </w:rPr>
              <w:t>3 234,00</w:t>
            </w:r>
          </w:p>
        </w:tc>
        <w:tc>
          <w:tcPr>
            <w:tcW w:w="0" w:type="auto"/>
            <w:shd w:val="clear" w:color="auto" w:fill="auto"/>
          </w:tcPr>
          <w:p w14:paraId="2212B95C" w14:textId="77777777" w:rsidR="008C5CFA" w:rsidRPr="001C4484" w:rsidRDefault="00E82A60" w:rsidP="00300A01">
            <w:pPr>
              <w:spacing w:before="0" w:after="0"/>
              <w:jc w:val="right"/>
              <w:rPr>
                <w:sz w:val="10"/>
                <w:szCs w:val="10"/>
              </w:rPr>
            </w:pPr>
            <w:r w:rsidRPr="001C4484">
              <w:rPr>
                <w:noProof/>
                <w:sz w:val="10"/>
                <w:szCs w:val="10"/>
              </w:rPr>
              <w:t>1 343,00</w:t>
            </w:r>
          </w:p>
        </w:tc>
        <w:tc>
          <w:tcPr>
            <w:tcW w:w="0" w:type="auto"/>
            <w:shd w:val="clear" w:color="auto" w:fill="auto"/>
          </w:tcPr>
          <w:p w14:paraId="435DBB90" w14:textId="77777777" w:rsidR="008C5CFA" w:rsidRPr="001C4484" w:rsidRDefault="00E82A60" w:rsidP="00300A01">
            <w:pPr>
              <w:spacing w:before="0" w:after="0"/>
              <w:jc w:val="right"/>
              <w:rPr>
                <w:sz w:val="10"/>
                <w:szCs w:val="10"/>
                <w:lang w:val="fr-BE"/>
              </w:rPr>
            </w:pPr>
            <w:r w:rsidRPr="001C4484">
              <w:rPr>
                <w:noProof/>
                <w:sz w:val="10"/>
                <w:szCs w:val="10"/>
              </w:rPr>
              <w:t>1 891,00</w:t>
            </w:r>
          </w:p>
        </w:tc>
        <w:tc>
          <w:tcPr>
            <w:tcW w:w="0" w:type="auto"/>
          </w:tcPr>
          <w:p w14:paraId="7DF1658A" w14:textId="77777777" w:rsidR="008C5CFA" w:rsidRPr="001C4484" w:rsidRDefault="00E82A60" w:rsidP="00300A01">
            <w:pPr>
              <w:spacing w:before="0" w:after="0"/>
              <w:jc w:val="right"/>
              <w:rPr>
                <w:sz w:val="10"/>
                <w:szCs w:val="10"/>
              </w:rPr>
            </w:pPr>
            <w:r>
              <w:rPr>
                <w:noProof/>
                <w:sz w:val="10"/>
                <w:szCs w:val="10"/>
              </w:rPr>
              <w:t>853,00</w:t>
            </w:r>
          </w:p>
        </w:tc>
        <w:tc>
          <w:tcPr>
            <w:tcW w:w="0" w:type="auto"/>
            <w:shd w:val="clear" w:color="auto" w:fill="auto"/>
          </w:tcPr>
          <w:p w14:paraId="30D1645B" w14:textId="77777777" w:rsidR="008C5CFA" w:rsidRPr="001C4484" w:rsidRDefault="00E82A60" w:rsidP="00300A01">
            <w:pPr>
              <w:spacing w:before="0" w:after="0"/>
              <w:jc w:val="right"/>
              <w:rPr>
                <w:sz w:val="10"/>
                <w:szCs w:val="10"/>
              </w:rPr>
            </w:pPr>
            <w:r w:rsidRPr="001C4484">
              <w:rPr>
                <w:noProof/>
                <w:sz w:val="10"/>
                <w:szCs w:val="10"/>
              </w:rPr>
              <w:t>337,00</w:t>
            </w:r>
          </w:p>
        </w:tc>
        <w:tc>
          <w:tcPr>
            <w:tcW w:w="0" w:type="auto"/>
            <w:shd w:val="clear" w:color="auto" w:fill="auto"/>
          </w:tcPr>
          <w:p w14:paraId="6C03CF66" w14:textId="77777777" w:rsidR="008C5CFA" w:rsidRPr="001C4484" w:rsidRDefault="00E82A60" w:rsidP="00300A01">
            <w:pPr>
              <w:spacing w:before="0" w:after="0"/>
              <w:jc w:val="right"/>
              <w:rPr>
                <w:sz w:val="10"/>
                <w:szCs w:val="10"/>
                <w:lang w:val="fr-BE"/>
              </w:rPr>
            </w:pPr>
            <w:r w:rsidRPr="001C4484">
              <w:rPr>
                <w:noProof/>
                <w:sz w:val="10"/>
                <w:szCs w:val="10"/>
              </w:rPr>
              <w:t>516,00</w:t>
            </w:r>
          </w:p>
        </w:tc>
      </w:tr>
      <w:tr w:rsidR="006B2EC1" w14:paraId="4666D181" w14:textId="77777777" w:rsidTr="0047688D">
        <w:tc>
          <w:tcPr>
            <w:tcW w:w="0" w:type="auto"/>
            <w:shd w:val="clear" w:color="auto" w:fill="auto"/>
          </w:tcPr>
          <w:p w14:paraId="322719CC" w14:textId="77777777" w:rsidR="008C5CFA" w:rsidRPr="001C4484" w:rsidRDefault="00E82A60" w:rsidP="00300A01">
            <w:pPr>
              <w:spacing w:before="0" w:after="0"/>
              <w:rPr>
                <w:sz w:val="10"/>
                <w:szCs w:val="10"/>
                <w:lang w:val="fr-BE"/>
              </w:rPr>
            </w:pPr>
            <w:r w:rsidRPr="001C4484">
              <w:rPr>
                <w:noProof/>
                <w:sz w:val="10"/>
                <w:szCs w:val="10"/>
                <w:lang w:val="fr-BE"/>
              </w:rPr>
              <w:t>CO18</w:t>
            </w:r>
          </w:p>
        </w:tc>
        <w:tc>
          <w:tcPr>
            <w:tcW w:w="0" w:type="auto"/>
            <w:shd w:val="clear" w:color="auto" w:fill="auto"/>
          </w:tcPr>
          <w:p w14:paraId="21157BC8" w14:textId="77777777" w:rsidR="008C5CFA" w:rsidRPr="001C4484" w:rsidRDefault="00E82A60" w:rsidP="00300A01">
            <w:pPr>
              <w:spacing w:before="0" w:after="0"/>
              <w:rPr>
                <w:sz w:val="10"/>
                <w:szCs w:val="10"/>
                <w:lang w:val="fr-BE"/>
              </w:rPr>
            </w:pPr>
            <w:r w:rsidRPr="001C4484">
              <w:rPr>
                <w:noProof/>
                <w:sz w:val="10"/>
                <w:szCs w:val="10"/>
                <w:lang w:val="fr-BE"/>
              </w:rPr>
              <w:t>osoby bezdomne lub dotknięte wykluczeniem z dostępu do mieszkań</w:t>
            </w:r>
          </w:p>
        </w:tc>
        <w:tc>
          <w:tcPr>
            <w:tcW w:w="0" w:type="auto"/>
            <w:shd w:val="clear" w:color="auto" w:fill="auto"/>
          </w:tcPr>
          <w:p w14:paraId="503A64DF"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6B3CA835" w14:textId="77777777" w:rsidR="008C5CFA" w:rsidRPr="001C4484" w:rsidRDefault="00E82A60" w:rsidP="00300A01">
            <w:pPr>
              <w:spacing w:before="0" w:after="0"/>
              <w:jc w:val="right"/>
              <w:rPr>
                <w:sz w:val="10"/>
                <w:szCs w:val="10"/>
              </w:rPr>
            </w:pPr>
            <w:r>
              <w:rPr>
                <w:noProof/>
                <w:sz w:val="10"/>
                <w:szCs w:val="10"/>
              </w:rPr>
              <w:t>30,00</w:t>
            </w:r>
          </w:p>
        </w:tc>
        <w:tc>
          <w:tcPr>
            <w:tcW w:w="0" w:type="auto"/>
            <w:shd w:val="clear" w:color="auto" w:fill="auto"/>
          </w:tcPr>
          <w:p w14:paraId="110DFA5C" w14:textId="77777777" w:rsidR="008C5CFA" w:rsidRPr="001C4484" w:rsidRDefault="00E82A60" w:rsidP="00300A01">
            <w:pPr>
              <w:spacing w:before="0" w:after="0"/>
              <w:jc w:val="right"/>
              <w:rPr>
                <w:sz w:val="10"/>
                <w:szCs w:val="10"/>
              </w:rPr>
            </w:pPr>
            <w:r w:rsidRPr="001C4484">
              <w:rPr>
                <w:noProof/>
                <w:sz w:val="10"/>
                <w:szCs w:val="10"/>
              </w:rPr>
              <w:t>22,00</w:t>
            </w:r>
          </w:p>
        </w:tc>
        <w:tc>
          <w:tcPr>
            <w:tcW w:w="0" w:type="auto"/>
            <w:shd w:val="clear" w:color="auto" w:fill="auto"/>
          </w:tcPr>
          <w:p w14:paraId="604A4DB2" w14:textId="77777777" w:rsidR="008C5CFA" w:rsidRPr="001C4484" w:rsidRDefault="00E82A60" w:rsidP="00300A01">
            <w:pPr>
              <w:spacing w:before="0" w:after="0"/>
              <w:jc w:val="right"/>
              <w:rPr>
                <w:sz w:val="10"/>
                <w:szCs w:val="10"/>
                <w:lang w:val="fr-BE"/>
              </w:rPr>
            </w:pPr>
            <w:r w:rsidRPr="001C4484">
              <w:rPr>
                <w:noProof/>
                <w:sz w:val="10"/>
                <w:szCs w:val="10"/>
              </w:rPr>
              <w:t>8,00</w:t>
            </w:r>
          </w:p>
        </w:tc>
        <w:tc>
          <w:tcPr>
            <w:tcW w:w="0" w:type="auto"/>
          </w:tcPr>
          <w:p w14:paraId="1D93A14C" w14:textId="77777777" w:rsidR="008C5CFA" w:rsidRPr="001C4484" w:rsidRDefault="00E82A60" w:rsidP="00300A01">
            <w:pPr>
              <w:spacing w:before="0" w:after="0"/>
              <w:jc w:val="right"/>
              <w:rPr>
                <w:sz w:val="10"/>
                <w:szCs w:val="10"/>
              </w:rPr>
            </w:pPr>
            <w:r>
              <w:rPr>
                <w:noProof/>
                <w:sz w:val="10"/>
                <w:szCs w:val="10"/>
              </w:rPr>
              <w:t>43,00</w:t>
            </w:r>
          </w:p>
        </w:tc>
        <w:tc>
          <w:tcPr>
            <w:tcW w:w="0" w:type="auto"/>
            <w:shd w:val="clear" w:color="auto" w:fill="auto"/>
          </w:tcPr>
          <w:p w14:paraId="439FAF36" w14:textId="77777777" w:rsidR="008C5CFA" w:rsidRPr="001C4484" w:rsidRDefault="00E82A60" w:rsidP="00300A01">
            <w:pPr>
              <w:spacing w:before="0" w:after="0"/>
              <w:jc w:val="right"/>
              <w:rPr>
                <w:sz w:val="10"/>
                <w:szCs w:val="10"/>
              </w:rPr>
            </w:pPr>
            <w:r w:rsidRPr="001C4484">
              <w:rPr>
                <w:noProof/>
                <w:sz w:val="10"/>
                <w:szCs w:val="10"/>
              </w:rPr>
              <w:t>26,00</w:t>
            </w:r>
          </w:p>
        </w:tc>
        <w:tc>
          <w:tcPr>
            <w:tcW w:w="0" w:type="auto"/>
            <w:shd w:val="clear" w:color="auto" w:fill="auto"/>
          </w:tcPr>
          <w:p w14:paraId="601172D9" w14:textId="77777777" w:rsidR="008C5CFA" w:rsidRPr="001C4484" w:rsidRDefault="00E82A60" w:rsidP="00300A01">
            <w:pPr>
              <w:spacing w:before="0" w:after="0"/>
              <w:jc w:val="right"/>
              <w:rPr>
                <w:sz w:val="10"/>
                <w:szCs w:val="10"/>
                <w:lang w:val="fr-BE"/>
              </w:rPr>
            </w:pPr>
            <w:r w:rsidRPr="001C4484">
              <w:rPr>
                <w:noProof/>
                <w:sz w:val="10"/>
                <w:szCs w:val="10"/>
              </w:rPr>
              <w:t>17,00</w:t>
            </w:r>
          </w:p>
        </w:tc>
        <w:tc>
          <w:tcPr>
            <w:tcW w:w="0" w:type="auto"/>
          </w:tcPr>
          <w:p w14:paraId="186FCC92" w14:textId="77777777" w:rsidR="008C5CFA" w:rsidRPr="001C4484" w:rsidRDefault="00E82A60" w:rsidP="00300A01">
            <w:pPr>
              <w:spacing w:before="0" w:after="0"/>
              <w:jc w:val="right"/>
              <w:rPr>
                <w:sz w:val="10"/>
                <w:szCs w:val="10"/>
              </w:rPr>
            </w:pPr>
            <w:r>
              <w:rPr>
                <w:noProof/>
                <w:sz w:val="10"/>
                <w:szCs w:val="10"/>
              </w:rPr>
              <w:t>37,00</w:t>
            </w:r>
          </w:p>
        </w:tc>
        <w:tc>
          <w:tcPr>
            <w:tcW w:w="0" w:type="auto"/>
            <w:shd w:val="clear" w:color="auto" w:fill="auto"/>
          </w:tcPr>
          <w:p w14:paraId="1407B96F" w14:textId="77777777" w:rsidR="008C5CFA" w:rsidRPr="001C4484" w:rsidRDefault="00E82A60" w:rsidP="00300A01">
            <w:pPr>
              <w:spacing w:before="0" w:after="0"/>
              <w:jc w:val="right"/>
              <w:rPr>
                <w:sz w:val="10"/>
                <w:szCs w:val="10"/>
              </w:rPr>
            </w:pPr>
            <w:r w:rsidRPr="001C4484">
              <w:rPr>
                <w:noProof/>
                <w:sz w:val="10"/>
                <w:szCs w:val="10"/>
              </w:rPr>
              <w:t>28,00</w:t>
            </w:r>
          </w:p>
        </w:tc>
        <w:tc>
          <w:tcPr>
            <w:tcW w:w="0" w:type="auto"/>
            <w:shd w:val="clear" w:color="auto" w:fill="auto"/>
          </w:tcPr>
          <w:p w14:paraId="07619A3D" w14:textId="77777777" w:rsidR="008C5CFA" w:rsidRPr="001C4484" w:rsidRDefault="00E82A60" w:rsidP="00300A01">
            <w:pPr>
              <w:spacing w:before="0" w:after="0"/>
              <w:jc w:val="right"/>
              <w:rPr>
                <w:sz w:val="10"/>
                <w:szCs w:val="10"/>
                <w:lang w:val="fr-BE"/>
              </w:rPr>
            </w:pPr>
            <w:r w:rsidRPr="001C4484">
              <w:rPr>
                <w:noProof/>
                <w:sz w:val="10"/>
                <w:szCs w:val="10"/>
              </w:rPr>
              <w:t>9,00</w:t>
            </w:r>
          </w:p>
        </w:tc>
      </w:tr>
      <w:tr w:rsidR="006B2EC1" w14:paraId="7E4EDFD8" w14:textId="77777777" w:rsidTr="0047688D">
        <w:tc>
          <w:tcPr>
            <w:tcW w:w="0" w:type="auto"/>
            <w:shd w:val="clear" w:color="auto" w:fill="auto"/>
          </w:tcPr>
          <w:p w14:paraId="7180164E" w14:textId="77777777" w:rsidR="008C5CFA" w:rsidRPr="001C4484" w:rsidRDefault="00E82A60" w:rsidP="00300A01">
            <w:pPr>
              <w:spacing w:before="0" w:after="0"/>
              <w:rPr>
                <w:sz w:val="10"/>
                <w:szCs w:val="10"/>
                <w:lang w:val="fr-BE"/>
              </w:rPr>
            </w:pPr>
            <w:r w:rsidRPr="001C4484">
              <w:rPr>
                <w:noProof/>
                <w:sz w:val="10"/>
                <w:szCs w:val="10"/>
                <w:lang w:val="fr-BE"/>
              </w:rPr>
              <w:t>CO19</w:t>
            </w:r>
          </w:p>
        </w:tc>
        <w:tc>
          <w:tcPr>
            <w:tcW w:w="0" w:type="auto"/>
            <w:shd w:val="clear" w:color="auto" w:fill="auto"/>
          </w:tcPr>
          <w:p w14:paraId="59E4A35F" w14:textId="77777777" w:rsidR="008C5CFA" w:rsidRPr="001C4484" w:rsidRDefault="00E82A60" w:rsidP="00300A01">
            <w:pPr>
              <w:spacing w:before="0" w:after="0"/>
              <w:rPr>
                <w:sz w:val="10"/>
                <w:szCs w:val="10"/>
                <w:lang w:val="fr-BE"/>
              </w:rPr>
            </w:pPr>
            <w:r w:rsidRPr="001C4484">
              <w:rPr>
                <w:noProof/>
                <w:sz w:val="10"/>
                <w:szCs w:val="10"/>
                <w:lang w:val="fr-BE"/>
              </w:rPr>
              <w:t>osoby pochodzące z obszarów wiejskich</w:t>
            </w:r>
          </w:p>
        </w:tc>
        <w:tc>
          <w:tcPr>
            <w:tcW w:w="0" w:type="auto"/>
            <w:shd w:val="clear" w:color="auto" w:fill="auto"/>
          </w:tcPr>
          <w:p w14:paraId="335C693A"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7B3D9741" w14:textId="77777777" w:rsidR="008C5CFA" w:rsidRPr="001C4484" w:rsidRDefault="00E82A60" w:rsidP="00300A01">
            <w:pPr>
              <w:spacing w:before="0" w:after="0"/>
              <w:jc w:val="right"/>
              <w:rPr>
                <w:sz w:val="10"/>
                <w:szCs w:val="10"/>
              </w:rPr>
            </w:pPr>
            <w:r>
              <w:rPr>
                <w:noProof/>
                <w:sz w:val="10"/>
                <w:szCs w:val="10"/>
              </w:rPr>
              <w:t>2 160,00</w:t>
            </w:r>
          </w:p>
        </w:tc>
        <w:tc>
          <w:tcPr>
            <w:tcW w:w="0" w:type="auto"/>
            <w:shd w:val="clear" w:color="auto" w:fill="auto"/>
          </w:tcPr>
          <w:p w14:paraId="04E099DE" w14:textId="77777777" w:rsidR="008C5CFA" w:rsidRPr="001C4484" w:rsidRDefault="00E82A60" w:rsidP="00300A01">
            <w:pPr>
              <w:spacing w:before="0" w:after="0"/>
              <w:jc w:val="right"/>
              <w:rPr>
                <w:sz w:val="10"/>
                <w:szCs w:val="10"/>
              </w:rPr>
            </w:pPr>
            <w:r w:rsidRPr="001C4484">
              <w:rPr>
                <w:noProof/>
                <w:sz w:val="10"/>
                <w:szCs w:val="10"/>
              </w:rPr>
              <w:t>886,00</w:t>
            </w:r>
          </w:p>
        </w:tc>
        <w:tc>
          <w:tcPr>
            <w:tcW w:w="0" w:type="auto"/>
            <w:shd w:val="clear" w:color="auto" w:fill="auto"/>
          </w:tcPr>
          <w:p w14:paraId="377B99DD" w14:textId="77777777" w:rsidR="008C5CFA" w:rsidRPr="001C4484" w:rsidRDefault="00E82A60" w:rsidP="00300A01">
            <w:pPr>
              <w:spacing w:before="0" w:after="0"/>
              <w:jc w:val="right"/>
              <w:rPr>
                <w:sz w:val="10"/>
                <w:szCs w:val="10"/>
                <w:lang w:val="fr-BE"/>
              </w:rPr>
            </w:pPr>
            <w:r w:rsidRPr="001C4484">
              <w:rPr>
                <w:noProof/>
                <w:sz w:val="10"/>
                <w:szCs w:val="10"/>
              </w:rPr>
              <w:t>1 274,00</w:t>
            </w:r>
          </w:p>
        </w:tc>
        <w:tc>
          <w:tcPr>
            <w:tcW w:w="0" w:type="auto"/>
          </w:tcPr>
          <w:p w14:paraId="1BCA8050" w14:textId="77777777" w:rsidR="008C5CFA" w:rsidRPr="001C4484" w:rsidRDefault="00E82A60" w:rsidP="00300A01">
            <w:pPr>
              <w:spacing w:before="0" w:after="0"/>
              <w:jc w:val="right"/>
              <w:rPr>
                <w:sz w:val="10"/>
                <w:szCs w:val="10"/>
              </w:rPr>
            </w:pPr>
            <w:r>
              <w:rPr>
                <w:noProof/>
                <w:sz w:val="10"/>
                <w:szCs w:val="10"/>
              </w:rPr>
              <w:t>2 922,00</w:t>
            </w:r>
          </w:p>
        </w:tc>
        <w:tc>
          <w:tcPr>
            <w:tcW w:w="0" w:type="auto"/>
            <w:shd w:val="clear" w:color="auto" w:fill="auto"/>
          </w:tcPr>
          <w:p w14:paraId="42A94C69" w14:textId="77777777" w:rsidR="008C5CFA" w:rsidRPr="001C4484" w:rsidRDefault="00E82A60" w:rsidP="00300A01">
            <w:pPr>
              <w:spacing w:before="0" w:after="0"/>
              <w:jc w:val="right"/>
              <w:rPr>
                <w:sz w:val="10"/>
                <w:szCs w:val="10"/>
              </w:rPr>
            </w:pPr>
            <w:r w:rsidRPr="001C4484">
              <w:rPr>
                <w:noProof/>
                <w:sz w:val="10"/>
                <w:szCs w:val="10"/>
              </w:rPr>
              <w:t>1 208,00</w:t>
            </w:r>
          </w:p>
        </w:tc>
        <w:tc>
          <w:tcPr>
            <w:tcW w:w="0" w:type="auto"/>
            <w:shd w:val="clear" w:color="auto" w:fill="auto"/>
          </w:tcPr>
          <w:p w14:paraId="73E53FB1" w14:textId="77777777" w:rsidR="008C5CFA" w:rsidRPr="001C4484" w:rsidRDefault="00E82A60" w:rsidP="00300A01">
            <w:pPr>
              <w:spacing w:before="0" w:after="0"/>
              <w:jc w:val="right"/>
              <w:rPr>
                <w:sz w:val="10"/>
                <w:szCs w:val="10"/>
                <w:lang w:val="fr-BE"/>
              </w:rPr>
            </w:pPr>
            <w:r w:rsidRPr="001C4484">
              <w:rPr>
                <w:noProof/>
                <w:sz w:val="10"/>
                <w:szCs w:val="10"/>
              </w:rPr>
              <w:t>1 714,00</w:t>
            </w:r>
          </w:p>
        </w:tc>
        <w:tc>
          <w:tcPr>
            <w:tcW w:w="0" w:type="auto"/>
          </w:tcPr>
          <w:p w14:paraId="3CC96A8D" w14:textId="77777777" w:rsidR="008C5CFA" w:rsidRPr="001C4484" w:rsidRDefault="00E82A60" w:rsidP="00300A01">
            <w:pPr>
              <w:spacing w:before="0" w:after="0"/>
              <w:jc w:val="right"/>
              <w:rPr>
                <w:sz w:val="10"/>
                <w:szCs w:val="10"/>
              </w:rPr>
            </w:pPr>
            <w:r>
              <w:rPr>
                <w:noProof/>
                <w:sz w:val="10"/>
                <w:szCs w:val="10"/>
              </w:rPr>
              <w:t>2 122,00</w:t>
            </w:r>
          </w:p>
        </w:tc>
        <w:tc>
          <w:tcPr>
            <w:tcW w:w="0" w:type="auto"/>
            <w:shd w:val="clear" w:color="auto" w:fill="auto"/>
          </w:tcPr>
          <w:p w14:paraId="160989CD" w14:textId="77777777" w:rsidR="008C5CFA" w:rsidRPr="001C4484" w:rsidRDefault="00E82A60" w:rsidP="00300A01">
            <w:pPr>
              <w:spacing w:before="0" w:after="0"/>
              <w:jc w:val="right"/>
              <w:rPr>
                <w:sz w:val="10"/>
                <w:szCs w:val="10"/>
              </w:rPr>
            </w:pPr>
            <w:r w:rsidRPr="001C4484">
              <w:rPr>
                <w:noProof/>
                <w:sz w:val="10"/>
                <w:szCs w:val="10"/>
              </w:rPr>
              <w:t>910,00</w:t>
            </w:r>
          </w:p>
        </w:tc>
        <w:tc>
          <w:tcPr>
            <w:tcW w:w="0" w:type="auto"/>
            <w:shd w:val="clear" w:color="auto" w:fill="auto"/>
          </w:tcPr>
          <w:p w14:paraId="06F84A81" w14:textId="77777777" w:rsidR="008C5CFA" w:rsidRPr="001C4484" w:rsidRDefault="00E82A60" w:rsidP="00300A01">
            <w:pPr>
              <w:spacing w:before="0" w:after="0"/>
              <w:jc w:val="right"/>
              <w:rPr>
                <w:sz w:val="10"/>
                <w:szCs w:val="10"/>
                <w:lang w:val="fr-BE"/>
              </w:rPr>
            </w:pPr>
            <w:r w:rsidRPr="001C4484">
              <w:rPr>
                <w:noProof/>
                <w:sz w:val="10"/>
                <w:szCs w:val="10"/>
              </w:rPr>
              <w:t>1 212,00</w:t>
            </w:r>
          </w:p>
        </w:tc>
      </w:tr>
      <w:tr w:rsidR="006B2EC1" w14:paraId="1372F6C2" w14:textId="77777777" w:rsidTr="0047688D">
        <w:tc>
          <w:tcPr>
            <w:tcW w:w="0" w:type="auto"/>
            <w:shd w:val="clear" w:color="auto" w:fill="auto"/>
          </w:tcPr>
          <w:p w14:paraId="32EE6F62" w14:textId="77777777" w:rsidR="008C5CFA" w:rsidRPr="001C4484" w:rsidRDefault="00E82A60" w:rsidP="00300A01">
            <w:pPr>
              <w:spacing w:before="0" w:after="0"/>
              <w:rPr>
                <w:sz w:val="10"/>
                <w:szCs w:val="10"/>
                <w:lang w:val="fr-BE"/>
              </w:rPr>
            </w:pPr>
            <w:r w:rsidRPr="001C4484">
              <w:rPr>
                <w:noProof/>
                <w:sz w:val="10"/>
                <w:szCs w:val="10"/>
                <w:lang w:val="fr-BE"/>
              </w:rPr>
              <w:t>CO20</w:t>
            </w:r>
          </w:p>
        </w:tc>
        <w:tc>
          <w:tcPr>
            <w:tcW w:w="0" w:type="auto"/>
            <w:shd w:val="clear" w:color="auto" w:fill="auto"/>
          </w:tcPr>
          <w:p w14:paraId="0033DDA5" w14:textId="77777777" w:rsidR="008C5CFA" w:rsidRPr="001C4484" w:rsidRDefault="00E82A60" w:rsidP="00300A01">
            <w:pPr>
              <w:spacing w:before="0" w:after="0"/>
              <w:rPr>
                <w:sz w:val="10"/>
                <w:szCs w:val="10"/>
                <w:lang w:val="fr-BE"/>
              </w:rPr>
            </w:pPr>
            <w:r w:rsidRPr="001C4484">
              <w:rPr>
                <w:noProof/>
                <w:sz w:val="10"/>
                <w:szCs w:val="10"/>
                <w:lang w:val="fr-BE"/>
              </w:rPr>
              <w:t>liczba projektów zrealizowanych w pełni lub częściowo przez partnerów społecznych lub organizacje pozarządowe</w:t>
            </w:r>
          </w:p>
        </w:tc>
        <w:tc>
          <w:tcPr>
            <w:tcW w:w="0" w:type="auto"/>
            <w:shd w:val="clear" w:color="auto" w:fill="auto"/>
          </w:tcPr>
          <w:p w14:paraId="60CAAAA7"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5A01ACD9" w14:textId="77777777" w:rsidR="008C5CFA" w:rsidRPr="001C4484" w:rsidRDefault="00E82A60" w:rsidP="00300A01">
            <w:pPr>
              <w:spacing w:before="0" w:after="0"/>
              <w:jc w:val="right"/>
              <w:rPr>
                <w:sz w:val="10"/>
                <w:szCs w:val="10"/>
              </w:rPr>
            </w:pPr>
            <w:r>
              <w:rPr>
                <w:noProof/>
                <w:sz w:val="10"/>
                <w:szCs w:val="10"/>
              </w:rPr>
              <w:t>3,00</w:t>
            </w:r>
          </w:p>
        </w:tc>
        <w:tc>
          <w:tcPr>
            <w:tcW w:w="0" w:type="auto"/>
            <w:shd w:val="clear" w:color="auto" w:fill="auto"/>
          </w:tcPr>
          <w:p w14:paraId="0D50E371" w14:textId="77777777" w:rsidR="008C5CFA" w:rsidRPr="001C4484" w:rsidRDefault="008C5CFA" w:rsidP="00300A01">
            <w:pPr>
              <w:spacing w:before="0" w:after="0"/>
              <w:jc w:val="right"/>
              <w:rPr>
                <w:sz w:val="10"/>
                <w:szCs w:val="10"/>
              </w:rPr>
            </w:pPr>
          </w:p>
        </w:tc>
        <w:tc>
          <w:tcPr>
            <w:tcW w:w="0" w:type="auto"/>
            <w:shd w:val="clear" w:color="auto" w:fill="auto"/>
          </w:tcPr>
          <w:p w14:paraId="73321B06" w14:textId="77777777" w:rsidR="008C5CFA" w:rsidRPr="001C4484" w:rsidRDefault="008C5CFA" w:rsidP="00300A01">
            <w:pPr>
              <w:spacing w:before="0" w:after="0"/>
              <w:jc w:val="right"/>
              <w:rPr>
                <w:sz w:val="10"/>
                <w:szCs w:val="10"/>
                <w:lang w:val="fr-BE"/>
              </w:rPr>
            </w:pPr>
          </w:p>
        </w:tc>
        <w:tc>
          <w:tcPr>
            <w:tcW w:w="0" w:type="auto"/>
          </w:tcPr>
          <w:p w14:paraId="64439F20" w14:textId="77777777" w:rsidR="008C5CFA" w:rsidRPr="001C4484" w:rsidRDefault="00E82A60" w:rsidP="00300A01">
            <w:pPr>
              <w:spacing w:before="0" w:after="0"/>
              <w:jc w:val="right"/>
              <w:rPr>
                <w:sz w:val="10"/>
                <w:szCs w:val="10"/>
              </w:rPr>
            </w:pPr>
            <w:r>
              <w:rPr>
                <w:noProof/>
                <w:sz w:val="10"/>
                <w:szCs w:val="10"/>
              </w:rPr>
              <w:t>1,00</w:t>
            </w:r>
          </w:p>
        </w:tc>
        <w:tc>
          <w:tcPr>
            <w:tcW w:w="0" w:type="auto"/>
            <w:shd w:val="clear" w:color="auto" w:fill="auto"/>
          </w:tcPr>
          <w:p w14:paraId="113C88D6" w14:textId="77777777" w:rsidR="008C5CFA" w:rsidRPr="001C4484" w:rsidRDefault="008C5CFA" w:rsidP="00300A01">
            <w:pPr>
              <w:spacing w:before="0" w:after="0"/>
              <w:jc w:val="right"/>
              <w:rPr>
                <w:sz w:val="10"/>
                <w:szCs w:val="10"/>
              </w:rPr>
            </w:pPr>
          </w:p>
        </w:tc>
        <w:tc>
          <w:tcPr>
            <w:tcW w:w="0" w:type="auto"/>
            <w:shd w:val="clear" w:color="auto" w:fill="auto"/>
          </w:tcPr>
          <w:p w14:paraId="5A5A3708" w14:textId="77777777" w:rsidR="008C5CFA" w:rsidRPr="001C4484" w:rsidRDefault="008C5CFA" w:rsidP="00300A01">
            <w:pPr>
              <w:spacing w:before="0" w:after="0"/>
              <w:jc w:val="right"/>
              <w:rPr>
                <w:sz w:val="10"/>
                <w:szCs w:val="10"/>
                <w:lang w:val="fr-BE"/>
              </w:rPr>
            </w:pPr>
          </w:p>
        </w:tc>
        <w:tc>
          <w:tcPr>
            <w:tcW w:w="0" w:type="auto"/>
          </w:tcPr>
          <w:p w14:paraId="51FE1E13" w14:textId="77777777" w:rsidR="008C5CFA" w:rsidRPr="001C4484" w:rsidRDefault="00E82A60" w:rsidP="00300A01">
            <w:pPr>
              <w:spacing w:before="0" w:after="0"/>
              <w:jc w:val="right"/>
              <w:rPr>
                <w:sz w:val="10"/>
                <w:szCs w:val="10"/>
              </w:rPr>
            </w:pPr>
            <w:r>
              <w:rPr>
                <w:noProof/>
                <w:sz w:val="10"/>
                <w:szCs w:val="10"/>
              </w:rPr>
              <w:t>7,00</w:t>
            </w:r>
          </w:p>
        </w:tc>
        <w:tc>
          <w:tcPr>
            <w:tcW w:w="0" w:type="auto"/>
            <w:shd w:val="clear" w:color="auto" w:fill="auto"/>
          </w:tcPr>
          <w:p w14:paraId="1CD49586" w14:textId="77777777" w:rsidR="008C5CFA" w:rsidRPr="001C4484" w:rsidRDefault="008C5CFA" w:rsidP="00300A01">
            <w:pPr>
              <w:spacing w:before="0" w:after="0"/>
              <w:jc w:val="right"/>
              <w:rPr>
                <w:sz w:val="10"/>
                <w:szCs w:val="10"/>
              </w:rPr>
            </w:pPr>
          </w:p>
        </w:tc>
        <w:tc>
          <w:tcPr>
            <w:tcW w:w="0" w:type="auto"/>
            <w:shd w:val="clear" w:color="auto" w:fill="auto"/>
          </w:tcPr>
          <w:p w14:paraId="2278E842" w14:textId="77777777" w:rsidR="008C5CFA" w:rsidRPr="001C4484" w:rsidRDefault="008C5CFA" w:rsidP="00300A01">
            <w:pPr>
              <w:spacing w:before="0" w:after="0"/>
              <w:jc w:val="right"/>
              <w:rPr>
                <w:sz w:val="10"/>
                <w:szCs w:val="10"/>
                <w:lang w:val="fr-BE"/>
              </w:rPr>
            </w:pPr>
          </w:p>
        </w:tc>
      </w:tr>
      <w:tr w:rsidR="006B2EC1" w14:paraId="6E9B371A" w14:textId="77777777" w:rsidTr="0047688D">
        <w:tc>
          <w:tcPr>
            <w:tcW w:w="0" w:type="auto"/>
            <w:shd w:val="clear" w:color="auto" w:fill="auto"/>
          </w:tcPr>
          <w:p w14:paraId="3C712E98" w14:textId="77777777" w:rsidR="008C5CFA" w:rsidRPr="001C4484" w:rsidRDefault="00E82A60" w:rsidP="00300A01">
            <w:pPr>
              <w:spacing w:before="0" w:after="0"/>
              <w:rPr>
                <w:sz w:val="10"/>
                <w:szCs w:val="10"/>
                <w:lang w:val="fr-BE"/>
              </w:rPr>
            </w:pPr>
            <w:r w:rsidRPr="001C4484">
              <w:rPr>
                <w:noProof/>
                <w:sz w:val="10"/>
                <w:szCs w:val="10"/>
                <w:lang w:val="fr-BE"/>
              </w:rPr>
              <w:t>CO21</w:t>
            </w:r>
          </w:p>
        </w:tc>
        <w:tc>
          <w:tcPr>
            <w:tcW w:w="0" w:type="auto"/>
            <w:shd w:val="clear" w:color="auto" w:fill="auto"/>
          </w:tcPr>
          <w:p w14:paraId="5D1546F2" w14:textId="77777777" w:rsidR="008C5CFA" w:rsidRPr="001C4484" w:rsidRDefault="00E82A60" w:rsidP="00300A01">
            <w:pPr>
              <w:spacing w:before="0" w:after="0"/>
              <w:rPr>
                <w:sz w:val="10"/>
                <w:szCs w:val="10"/>
                <w:lang w:val="fr-BE"/>
              </w:rPr>
            </w:pPr>
            <w:r w:rsidRPr="001C4484">
              <w:rPr>
                <w:noProof/>
                <w:sz w:val="10"/>
                <w:szCs w:val="10"/>
                <w:lang w:val="fr-BE"/>
              </w:rPr>
              <w:t>liczba projektów ukierunkowanych na trwały udział kobiet w zatrudnieniu i rozwój ich kariery zawodowej</w:t>
            </w:r>
          </w:p>
        </w:tc>
        <w:tc>
          <w:tcPr>
            <w:tcW w:w="0" w:type="auto"/>
            <w:shd w:val="clear" w:color="auto" w:fill="auto"/>
          </w:tcPr>
          <w:p w14:paraId="144FA7EE"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4EEA0C28" w14:textId="77777777" w:rsidR="008C5CFA" w:rsidRPr="001C4484" w:rsidRDefault="00E82A60" w:rsidP="00300A01">
            <w:pPr>
              <w:spacing w:before="0" w:after="0"/>
              <w:jc w:val="right"/>
              <w:rPr>
                <w:sz w:val="10"/>
                <w:szCs w:val="10"/>
              </w:rPr>
            </w:pPr>
            <w:r>
              <w:rPr>
                <w:noProof/>
                <w:sz w:val="10"/>
                <w:szCs w:val="10"/>
              </w:rPr>
              <w:t>3,00</w:t>
            </w:r>
          </w:p>
        </w:tc>
        <w:tc>
          <w:tcPr>
            <w:tcW w:w="0" w:type="auto"/>
            <w:shd w:val="clear" w:color="auto" w:fill="auto"/>
          </w:tcPr>
          <w:p w14:paraId="03E14B4D" w14:textId="77777777" w:rsidR="008C5CFA" w:rsidRPr="001C4484" w:rsidRDefault="008C5CFA" w:rsidP="00300A01">
            <w:pPr>
              <w:spacing w:before="0" w:after="0"/>
              <w:jc w:val="right"/>
              <w:rPr>
                <w:sz w:val="10"/>
                <w:szCs w:val="10"/>
              </w:rPr>
            </w:pPr>
          </w:p>
        </w:tc>
        <w:tc>
          <w:tcPr>
            <w:tcW w:w="0" w:type="auto"/>
            <w:shd w:val="clear" w:color="auto" w:fill="auto"/>
          </w:tcPr>
          <w:p w14:paraId="75128A9B" w14:textId="77777777" w:rsidR="008C5CFA" w:rsidRPr="001C4484" w:rsidRDefault="008C5CFA" w:rsidP="00300A01">
            <w:pPr>
              <w:spacing w:before="0" w:after="0"/>
              <w:jc w:val="right"/>
              <w:rPr>
                <w:sz w:val="10"/>
                <w:szCs w:val="10"/>
                <w:lang w:val="fr-BE"/>
              </w:rPr>
            </w:pPr>
          </w:p>
        </w:tc>
        <w:tc>
          <w:tcPr>
            <w:tcW w:w="0" w:type="auto"/>
          </w:tcPr>
          <w:p w14:paraId="635C6101" w14:textId="77777777" w:rsidR="008C5CFA" w:rsidRPr="001C4484" w:rsidRDefault="00E82A60" w:rsidP="00300A01">
            <w:pPr>
              <w:spacing w:before="0" w:after="0"/>
              <w:jc w:val="right"/>
              <w:rPr>
                <w:sz w:val="10"/>
                <w:szCs w:val="10"/>
              </w:rPr>
            </w:pPr>
            <w:r>
              <w:rPr>
                <w:noProof/>
                <w:sz w:val="10"/>
                <w:szCs w:val="10"/>
              </w:rPr>
              <w:t>3,00</w:t>
            </w:r>
          </w:p>
        </w:tc>
        <w:tc>
          <w:tcPr>
            <w:tcW w:w="0" w:type="auto"/>
            <w:shd w:val="clear" w:color="auto" w:fill="auto"/>
          </w:tcPr>
          <w:p w14:paraId="6A025793" w14:textId="77777777" w:rsidR="008C5CFA" w:rsidRPr="001C4484" w:rsidRDefault="008C5CFA" w:rsidP="00300A01">
            <w:pPr>
              <w:spacing w:before="0" w:after="0"/>
              <w:jc w:val="right"/>
              <w:rPr>
                <w:sz w:val="10"/>
                <w:szCs w:val="10"/>
              </w:rPr>
            </w:pPr>
          </w:p>
        </w:tc>
        <w:tc>
          <w:tcPr>
            <w:tcW w:w="0" w:type="auto"/>
            <w:shd w:val="clear" w:color="auto" w:fill="auto"/>
          </w:tcPr>
          <w:p w14:paraId="76E69809" w14:textId="77777777" w:rsidR="008C5CFA" w:rsidRPr="001C4484" w:rsidRDefault="008C5CFA" w:rsidP="00300A01">
            <w:pPr>
              <w:spacing w:before="0" w:after="0"/>
              <w:jc w:val="right"/>
              <w:rPr>
                <w:sz w:val="10"/>
                <w:szCs w:val="10"/>
                <w:lang w:val="fr-BE"/>
              </w:rPr>
            </w:pPr>
          </w:p>
        </w:tc>
        <w:tc>
          <w:tcPr>
            <w:tcW w:w="0" w:type="auto"/>
          </w:tcPr>
          <w:p w14:paraId="07639838" w14:textId="77777777" w:rsidR="008C5CFA" w:rsidRPr="001C4484" w:rsidRDefault="00E82A60" w:rsidP="00300A01">
            <w:pPr>
              <w:spacing w:before="0" w:after="0"/>
              <w:jc w:val="right"/>
              <w:rPr>
                <w:sz w:val="10"/>
                <w:szCs w:val="10"/>
              </w:rPr>
            </w:pPr>
            <w:r>
              <w:rPr>
                <w:noProof/>
                <w:sz w:val="10"/>
                <w:szCs w:val="10"/>
              </w:rPr>
              <w:t>2,00</w:t>
            </w:r>
          </w:p>
        </w:tc>
        <w:tc>
          <w:tcPr>
            <w:tcW w:w="0" w:type="auto"/>
            <w:shd w:val="clear" w:color="auto" w:fill="auto"/>
          </w:tcPr>
          <w:p w14:paraId="12D35511" w14:textId="77777777" w:rsidR="008C5CFA" w:rsidRPr="001C4484" w:rsidRDefault="008C5CFA" w:rsidP="00300A01">
            <w:pPr>
              <w:spacing w:before="0" w:after="0"/>
              <w:jc w:val="right"/>
              <w:rPr>
                <w:sz w:val="10"/>
                <w:szCs w:val="10"/>
              </w:rPr>
            </w:pPr>
          </w:p>
        </w:tc>
        <w:tc>
          <w:tcPr>
            <w:tcW w:w="0" w:type="auto"/>
            <w:shd w:val="clear" w:color="auto" w:fill="auto"/>
          </w:tcPr>
          <w:p w14:paraId="507333E8" w14:textId="77777777" w:rsidR="008C5CFA" w:rsidRPr="001C4484" w:rsidRDefault="008C5CFA" w:rsidP="00300A01">
            <w:pPr>
              <w:spacing w:before="0" w:after="0"/>
              <w:jc w:val="right"/>
              <w:rPr>
                <w:sz w:val="10"/>
                <w:szCs w:val="10"/>
                <w:lang w:val="fr-BE"/>
              </w:rPr>
            </w:pPr>
          </w:p>
        </w:tc>
      </w:tr>
      <w:tr w:rsidR="006B2EC1" w14:paraId="25D83F96" w14:textId="77777777" w:rsidTr="0047688D">
        <w:tc>
          <w:tcPr>
            <w:tcW w:w="0" w:type="auto"/>
            <w:shd w:val="clear" w:color="auto" w:fill="auto"/>
          </w:tcPr>
          <w:p w14:paraId="539DC8E5" w14:textId="77777777" w:rsidR="008C5CFA" w:rsidRPr="001C4484" w:rsidRDefault="00E82A60" w:rsidP="00300A01">
            <w:pPr>
              <w:spacing w:before="0" w:after="0"/>
              <w:rPr>
                <w:sz w:val="10"/>
                <w:szCs w:val="10"/>
                <w:lang w:val="fr-BE"/>
              </w:rPr>
            </w:pPr>
            <w:r w:rsidRPr="001C4484">
              <w:rPr>
                <w:noProof/>
                <w:sz w:val="10"/>
                <w:szCs w:val="10"/>
                <w:lang w:val="fr-BE"/>
              </w:rPr>
              <w:t>CO22</w:t>
            </w:r>
          </w:p>
        </w:tc>
        <w:tc>
          <w:tcPr>
            <w:tcW w:w="0" w:type="auto"/>
            <w:shd w:val="clear" w:color="auto" w:fill="auto"/>
          </w:tcPr>
          <w:p w14:paraId="6730DB1F" w14:textId="77777777" w:rsidR="008C5CFA" w:rsidRPr="001C4484" w:rsidRDefault="00E82A60" w:rsidP="00300A01">
            <w:pPr>
              <w:spacing w:before="0" w:after="0"/>
              <w:rPr>
                <w:sz w:val="10"/>
                <w:szCs w:val="10"/>
                <w:lang w:val="fr-BE"/>
              </w:rPr>
            </w:pPr>
            <w:r w:rsidRPr="001C4484">
              <w:rPr>
                <w:noProof/>
                <w:sz w:val="10"/>
                <w:szCs w:val="10"/>
                <w:lang w:val="fr-BE"/>
              </w:rPr>
              <w:t>liczba projektów obejmujących administrację publiczną lub służby publiczne na szczeblu krajowym, regionalnym lub lokalnym</w:t>
            </w:r>
          </w:p>
        </w:tc>
        <w:tc>
          <w:tcPr>
            <w:tcW w:w="0" w:type="auto"/>
            <w:shd w:val="clear" w:color="auto" w:fill="auto"/>
          </w:tcPr>
          <w:p w14:paraId="58531D9C"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07A3D25A"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32C970A8" w14:textId="77777777" w:rsidR="008C5CFA" w:rsidRPr="001C4484" w:rsidRDefault="008C5CFA" w:rsidP="00300A01">
            <w:pPr>
              <w:spacing w:before="0" w:after="0"/>
              <w:jc w:val="right"/>
              <w:rPr>
                <w:sz w:val="10"/>
                <w:szCs w:val="10"/>
              </w:rPr>
            </w:pPr>
          </w:p>
        </w:tc>
        <w:tc>
          <w:tcPr>
            <w:tcW w:w="0" w:type="auto"/>
            <w:shd w:val="clear" w:color="auto" w:fill="auto"/>
          </w:tcPr>
          <w:p w14:paraId="74F3AC14" w14:textId="77777777" w:rsidR="008C5CFA" w:rsidRPr="001C4484" w:rsidRDefault="008C5CFA" w:rsidP="00300A01">
            <w:pPr>
              <w:spacing w:before="0" w:after="0"/>
              <w:jc w:val="right"/>
              <w:rPr>
                <w:sz w:val="10"/>
                <w:szCs w:val="10"/>
                <w:lang w:val="fr-BE"/>
              </w:rPr>
            </w:pPr>
          </w:p>
        </w:tc>
        <w:tc>
          <w:tcPr>
            <w:tcW w:w="0" w:type="auto"/>
          </w:tcPr>
          <w:p w14:paraId="431D6D4E"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5AF734DB" w14:textId="77777777" w:rsidR="008C5CFA" w:rsidRPr="001C4484" w:rsidRDefault="008C5CFA" w:rsidP="00300A01">
            <w:pPr>
              <w:spacing w:before="0" w:after="0"/>
              <w:jc w:val="right"/>
              <w:rPr>
                <w:sz w:val="10"/>
                <w:szCs w:val="10"/>
              </w:rPr>
            </w:pPr>
          </w:p>
        </w:tc>
        <w:tc>
          <w:tcPr>
            <w:tcW w:w="0" w:type="auto"/>
            <w:shd w:val="clear" w:color="auto" w:fill="auto"/>
          </w:tcPr>
          <w:p w14:paraId="58B3A87F" w14:textId="77777777" w:rsidR="008C5CFA" w:rsidRPr="001C4484" w:rsidRDefault="008C5CFA" w:rsidP="00300A01">
            <w:pPr>
              <w:spacing w:before="0" w:after="0"/>
              <w:jc w:val="right"/>
              <w:rPr>
                <w:sz w:val="10"/>
                <w:szCs w:val="10"/>
                <w:lang w:val="fr-BE"/>
              </w:rPr>
            </w:pPr>
          </w:p>
        </w:tc>
        <w:tc>
          <w:tcPr>
            <w:tcW w:w="0" w:type="auto"/>
          </w:tcPr>
          <w:p w14:paraId="7F540266"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54ED0355" w14:textId="77777777" w:rsidR="008C5CFA" w:rsidRPr="001C4484" w:rsidRDefault="008C5CFA" w:rsidP="00300A01">
            <w:pPr>
              <w:spacing w:before="0" w:after="0"/>
              <w:jc w:val="right"/>
              <w:rPr>
                <w:sz w:val="10"/>
                <w:szCs w:val="10"/>
              </w:rPr>
            </w:pPr>
          </w:p>
        </w:tc>
        <w:tc>
          <w:tcPr>
            <w:tcW w:w="0" w:type="auto"/>
            <w:shd w:val="clear" w:color="auto" w:fill="auto"/>
          </w:tcPr>
          <w:p w14:paraId="23A5AC85" w14:textId="77777777" w:rsidR="008C5CFA" w:rsidRPr="001C4484" w:rsidRDefault="008C5CFA" w:rsidP="00300A01">
            <w:pPr>
              <w:spacing w:before="0" w:after="0"/>
              <w:jc w:val="right"/>
              <w:rPr>
                <w:sz w:val="10"/>
                <w:szCs w:val="10"/>
                <w:lang w:val="fr-BE"/>
              </w:rPr>
            </w:pPr>
          </w:p>
        </w:tc>
      </w:tr>
      <w:tr w:rsidR="006B2EC1" w14:paraId="3306CF8E" w14:textId="77777777" w:rsidTr="0047688D">
        <w:tc>
          <w:tcPr>
            <w:tcW w:w="0" w:type="auto"/>
            <w:shd w:val="clear" w:color="auto" w:fill="auto"/>
          </w:tcPr>
          <w:p w14:paraId="740C2C17" w14:textId="77777777" w:rsidR="008C5CFA" w:rsidRPr="001C4484" w:rsidRDefault="00E82A60" w:rsidP="00300A01">
            <w:pPr>
              <w:spacing w:before="0" w:after="0"/>
              <w:rPr>
                <w:sz w:val="10"/>
                <w:szCs w:val="10"/>
                <w:lang w:val="fr-BE"/>
              </w:rPr>
            </w:pPr>
            <w:r w:rsidRPr="001C4484">
              <w:rPr>
                <w:noProof/>
                <w:sz w:val="10"/>
                <w:szCs w:val="10"/>
                <w:lang w:val="fr-BE"/>
              </w:rPr>
              <w:t>CO23</w:t>
            </w:r>
          </w:p>
        </w:tc>
        <w:tc>
          <w:tcPr>
            <w:tcW w:w="0" w:type="auto"/>
            <w:shd w:val="clear" w:color="auto" w:fill="auto"/>
          </w:tcPr>
          <w:p w14:paraId="12045CF4" w14:textId="77777777" w:rsidR="008C5CFA" w:rsidRPr="001C4484" w:rsidRDefault="00E82A60" w:rsidP="00300A01">
            <w:pPr>
              <w:spacing w:before="0" w:after="0"/>
              <w:rPr>
                <w:sz w:val="10"/>
                <w:szCs w:val="10"/>
                <w:lang w:val="fr-BE"/>
              </w:rPr>
            </w:pPr>
            <w:r w:rsidRPr="001C4484">
              <w:rPr>
                <w:noProof/>
                <w:sz w:val="10"/>
                <w:szCs w:val="10"/>
                <w:lang w:val="fr-BE"/>
              </w:rPr>
              <w:t>liczba objętych wsparciem mikro-, małych i średnich przedsiębiorstw (w tym przedsiębiorstw spółdzielczych i przedsiębiorstw gospodarki społecznej)</w:t>
            </w:r>
          </w:p>
        </w:tc>
        <w:tc>
          <w:tcPr>
            <w:tcW w:w="0" w:type="auto"/>
            <w:shd w:val="clear" w:color="auto" w:fill="auto"/>
          </w:tcPr>
          <w:p w14:paraId="4C6EB403"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4DFCB9D8"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73727CBD" w14:textId="77777777" w:rsidR="008C5CFA" w:rsidRPr="001C4484" w:rsidRDefault="008C5CFA" w:rsidP="00300A01">
            <w:pPr>
              <w:spacing w:before="0" w:after="0"/>
              <w:jc w:val="right"/>
              <w:rPr>
                <w:sz w:val="10"/>
                <w:szCs w:val="10"/>
              </w:rPr>
            </w:pPr>
          </w:p>
        </w:tc>
        <w:tc>
          <w:tcPr>
            <w:tcW w:w="0" w:type="auto"/>
            <w:shd w:val="clear" w:color="auto" w:fill="auto"/>
          </w:tcPr>
          <w:p w14:paraId="0A2866BC" w14:textId="77777777" w:rsidR="008C5CFA" w:rsidRPr="001C4484" w:rsidRDefault="008C5CFA" w:rsidP="00300A01">
            <w:pPr>
              <w:spacing w:before="0" w:after="0"/>
              <w:jc w:val="right"/>
              <w:rPr>
                <w:sz w:val="10"/>
                <w:szCs w:val="10"/>
                <w:lang w:val="fr-BE"/>
              </w:rPr>
            </w:pPr>
          </w:p>
        </w:tc>
        <w:tc>
          <w:tcPr>
            <w:tcW w:w="0" w:type="auto"/>
          </w:tcPr>
          <w:p w14:paraId="4AF9E861"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70549FE9" w14:textId="77777777" w:rsidR="008C5CFA" w:rsidRPr="001C4484" w:rsidRDefault="008C5CFA" w:rsidP="00300A01">
            <w:pPr>
              <w:spacing w:before="0" w:after="0"/>
              <w:jc w:val="right"/>
              <w:rPr>
                <w:sz w:val="10"/>
                <w:szCs w:val="10"/>
              </w:rPr>
            </w:pPr>
          </w:p>
        </w:tc>
        <w:tc>
          <w:tcPr>
            <w:tcW w:w="0" w:type="auto"/>
            <w:shd w:val="clear" w:color="auto" w:fill="auto"/>
          </w:tcPr>
          <w:p w14:paraId="7987A334" w14:textId="77777777" w:rsidR="008C5CFA" w:rsidRPr="001C4484" w:rsidRDefault="008C5CFA" w:rsidP="00300A01">
            <w:pPr>
              <w:spacing w:before="0" w:after="0"/>
              <w:jc w:val="right"/>
              <w:rPr>
                <w:sz w:val="10"/>
                <w:szCs w:val="10"/>
                <w:lang w:val="fr-BE"/>
              </w:rPr>
            </w:pPr>
          </w:p>
        </w:tc>
        <w:tc>
          <w:tcPr>
            <w:tcW w:w="0" w:type="auto"/>
          </w:tcPr>
          <w:p w14:paraId="638D01F1"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339064BA" w14:textId="77777777" w:rsidR="008C5CFA" w:rsidRPr="001C4484" w:rsidRDefault="008C5CFA" w:rsidP="00300A01">
            <w:pPr>
              <w:spacing w:before="0" w:after="0"/>
              <w:jc w:val="right"/>
              <w:rPr>
                <w:sz w:val="10"/>
                <w:szCs w:val="10"/>
              </w:rPr>
            </w:pPr>
          </w:p>
        </w:tc>
        <w:tc>
          <w:tcPr>
            <w:tcW w:w="0" w:type="auto"/>
            <w:shd w:val="clear" w:color="auto" w:fill="auto"/>
          </w:tcPr>
          <w:p w14:paraId="4574F5CF" w14:textId="77777777" w:rsidR="008C5CFA" w:rsidRPr="001C4484" w:rsidRDefault="008C5CFA" w:rsidP="00300A01">
            <w:pPr>
              <w:spacing w:before="0" w:after="0"/>
              <w:jc w:val="right"/>
              <w:rPr>
                <w:sz w:val="10"/>
                <w:szCs w:val="10"/>
                <w:lang w:val="fr-BE"/>
              </w:rPr>
            </w:pPr>
          </w:p>
        </w:tc>
      </w:tr>
      <w:tr w:rsidR="006B2EC1" w14:paraId="4DC30182" w14:textId="77777777" w:rsidTr="0047688D">
        <w:tc>
          <w:tcPr>
            <w:tcW w:w="0" w:type="auto"/>
            <w:shd w:val="clear" w:color="auto" w:fill="auto"/>
          </w:tcPr>
          <w:p w14:paraId="27554DC2" w14:textId="77777777" w:rsidR="008C5CFA" w:rsidRPr="001C4484" w:rsidRDefault="008C5CFA" w:rsidP="00300A01">
            <w:pPr>
              <w:spacing w:before="0" w:after="0"/>
              <w:rPr>
                <w:sz w:val="10"/>
                <w:szCs w:val="10"/>
                <w:lang w:val="fr-BE"/>
              </w:rPr>
            </w:pPr>
          </w:p>
        </w:tc>
        <w:tc>
          <w:tcPr>
            <w:tcW w:w="0" w:type="auto"/>
            <w:shd w:val="clear" w:color="auto" w:fill="auto"/>
          </w:tcPr>
          <w:p w14:paraId="0E94D6C8" w14:textId="77777777" w:rsidR="008C5CFA" w:rsidRPr="001C4484" w:rsidRDefault="00E82A60" w:rsidP="00300A01">
            <w:pPr>
              <w:spacing w:before="0" w:after="0"/>
              <w:rPr>
                <w:sz w:val="10"/>
                <w:szCs w:val="10"/>
                <w:lang w:val="fr-BE"/>
              </w:rPr>
            </w:pPr>
            <w:r w:rsidRPr="001C4484">
              <w:rPr>
                <w:noProof/>
                <w:sz w:val="10"/>
                <w:szCs w:val="10"/>
                <w:lang w:val="fr-BE"/>
              </w:rPr>
              <w:t>Całkowita łączna liczba uczestników</w:t>
            </w:r>
          </w:p>
        </w:tc>
        <w:tc>
          <w:tcPr>
            <w:tcW w:w="0" w:type="auto"/>
            <w:shd w:val="clear" w:color="auto" w:fill="auto"/>
          </w:tcPr>
          <w:p w14:paraId="7F007F2F" w14:textId="77777777" w:rsidR="008C5CFA" w:rsidRPr="001C4484" w:rsidRDefault="008C5CFA" w:rsidP="00300A01">
            <w:pPr>
              <w:spacing w:before="0" w:after="0"/>
              <w:rPr>
                <w:sz w:val="10"/>
                <w:szCs w:val="10"/>
                <w:lang w:val="fr-BE"/>
              </w:rPr>
            </w:pPr>
          </w:p>
        </w:tc>
        <w:tc>
          <w:tcPr>
            <w:tcW w:w="0" w:type="auto"/>
          </w:tcPr>
          <w:p w14:paraId="511C27AF" w14:textId="77777777" w:rsidR="008C5CFA" w:rsidRPr="001C4484" w:rsidRDefault="00E82A60" w:rsidP="00300A01">
            <w:pPr>
              <w:spacing w:before="0" w:after="0"/>
              <w:jc w:val="right"/>
              <w:rPr>
                <w:sz w:val="10"/>
                <w:szCs w:val="10"/>
              </w:rPr>
            </w:pPr>
            <w:r>
              <w:rPr>
                <w:noProof/>
                <w:sz w:val="10"/>
                <w:szCs w:val="10"/>
              </w:rPr>
              <w:t>4 474,00</w:t>
            </w:r>
          </w:p>
        </w:tc>
        <w:tc>
          <w:tcPr>
            <w:tcW w:w="0" w:type="auto"/>
            <w:shd w:val="clear" w:color="auto" w:fill="auto"/>
          </w:tcPr>
          <w:p w14:paraId="402B36EC" w14:textId="77777777" w:rsidR="008C5CFA" w:rsidRPr="001C4484" w:rsidRDefault="008C5CFA" w:rsidP="00300A01">
            <w:pPr>
              <w:spacing w:before="0" w:after="0"/>
              <w:jc w:val="right"/>
              <w:rPr>
                <w:sz w:val="10"/>
                <w:szCs w:val="10"/>
              </w:rPr>
            </w:pPr>
          </w:p>
        </w:tc>
        <w:tc>
          <w:tcPr>
            <w:tcW w:w="0" w:type="auto"/>
            <w:shd w:val="clear" w:color="auto" w:fill="auto"/>
          </w:tcPr>
          <w:p w14:paraId="54E6C71C" w14:textId="77777777" w:rsidR="008C5CFA" w:rsidRPr="001C4484" w:rsidRDefault="008C5CFA" w:rsidP="00300A01">
            <w:pPr>
              <w:spacing w:before="0" w:after="0"/>
              <w:jc w:val="right"/>
              <w:rPr>
                <w:sz w:val="10"/>
                <w:szCs w:val="10"/>
                <w:lang w:val="fr-BE"/>
              </w:rPr>
            </w:pPr>
          </w:p>
        </w:tc>
        <w:tc>
          <w:tcPr>
            <w:tcW w:w="0" w:type="auto"/>
          </w:tcPr>
          <w:p w14:paraId="34717309" w14:textId="77777777" w:rsidR="008C5CFA" w:rsidRPr="001C4484" w:rsidRDefault="00E82A60" w:rsidP="00300A01">
            <w:pPr>
              <w:spacing w:before="0" w:after="0"/>
              <w:jc w:val="right"/>
              <w:rPr>
                <w:sz w:val="10"/>
                <w:szCs w:val="10"/>
              </w:rPr>
            </w:pPr>
            <w:r>
              <w:rPr>
                <w:noProof/>
                <w:sz w:val="10"/>
                <w:szCs w:val="10"/>
              </w:rPr>
              <w:t>5 596,00</w:t>
            </w:r>
          </w:p>
        </w:tc>
        <w:tc>
          <w:tcPr>
            <w:tcW w:w="0" w:type="auto"/>
            <w:shd w:val="clear" w:color="auto" w:fill="auto"/>
          </w:tcPr>
          <w:p w14:paraId="7F56EF64" w14:textId="77777777" w:rsidR="008C5CFA" w:rsidRPr="001C4484" w:rsidRDefault="008C5CFA" w:rsidP="00300A01">
            <w:pPr>
              <w:spacing w:before="0" w:after="0"/>
              <w:jc w:val="right"/>
              <w:rPr>
                <w:sz w:val="10"/>
                <w:szCs w:val="10"/>
              </w:rPr>
            </w:pPr>
          </w:p>
        </w:tc>
        <w:tc>
          <w:tcPr>
            <w:tcW w:w="0" w:type="auto"/>
            <w:shd w:val="clear" w:color="auto" w:fill="auto"/>
          </w:tcPr>
          <w:p w14:paraId="452AC856" w14:textId="77777777" w:rsidR="008C5CFA" w:rsidRPr="001C4484" w:rsidRDefault="008C5CFA" w:rsidP="00300A01">
            <w:pPr>
              <w:spacing w:before="0" w:after="0"/>
              <w:jc w:val="right"/>
              <w:rPr>
                <w:sz w:val="10"/>
                <w:szCs w:val="10"/>
                <w:lang w:val="fr-BE"/>
              </w:rPr>
            </w:pPr>
          </w:p>
        </w:tc>
        <w:tc>
          <w:tcPr>
            <w:tcW w:w="0" w:type="auto"/>
          </w:tcPr>
          <w:p w14:paraId="15547292" w14:textId="77777777" w:rsidR="008C5CFA" w:rsidRPr="001C4484" w:rsidRDefault="00E82A60" w:rsidP="00300A01">
            <w:pPr>
              <w:spacing w:before="0" w:after="0"/>
              <w:jc w:val="right"/>
              <w:rPr>
                <w:sz w:val="10"/>
                <w:szCs w:val="10"/>
              </w:rPr>
            </w:pPr>
            <w:r>
              <w:rPr>
                <w:noProof/>
                <w:sz w:val="10"/>
                <w:szCs w:val="10"/>
              </w:rPr>
              <w:t>4 223,00</w:t>
            </w:r>
          </w:p>
        </w:tc>
        <w:tc>
          <w:tcPr>
            <w:tcW w:w="0" w:type="auto"/>
            <w:shd w:val="clear" w:color="auto" w:fill="auto"/>
          </w:tcPr>
          <w:p w14:paraId="63BC1105" w14:textId="77777777" w:rsidR="008C5CFA" w:rsidRPr="001C4484" w:rsidRDefault="008C5CFA" w:rsidP="00300A01">
            <w:pPr>
              <w:spacing w:before="0" w:after="0"/>
              <w:jc w:val="right"/>
              <w:rPr>
                <w:sz w:val="10"/>
                <w:szCs w:val="10"/>
              </w:rPr>
            </w:pPr>
          </w:p>
        </w:tc>
        <w:tc>
          <w:tcPr>
            <w:tcW w:w="0" w:type="auto"/>
            <w:shd w:val="clear" w:color="auto" w:fill="auto"/>
          </w:tcPr>
          <w:p w14:paraId="40E5DFAF" w14:textId="77777777" w:rsidR="008C5CFA" w:rsidRPr="001C4484" w:rsidRDefault="008C5CFA" w:rsidP="00300A01">
            <w:pPr>
              <w:spacing w:before="0" w:after="0"/>
              <w:jc w:val="right"/>
              <w:rPr>
                <w:sz w:val="10"/>
                <w:szCs w:val="10"/>
                <w:lang w:val="fr-BE"/>
              </w:rPr>
            </w:pPr>
          </w:p>
        </w:tc>
      </w:tr>
    </w:tbl>
    <w:p w14:paraId="4D1DB643"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513"/>
        <w:gridCol w:w="8923"/>
        <w:gridCol w:w="1526"/>
        <w:gridCol w:w="674"/>
        <w:gridCol w:w="803"/>
        <w:gridCol w:w="674"/>
        <w:gridCol w:w="634"/>
        <w:gridCol w:w="803"/>
        <w:gridCol w:w="634"/>
      </w:tblGrid>
      <w:tr w:rsidR="006B2EC1" w14:paraId="4FC6448E" w14:textId="77777777" w:rsidTr="0047688D">
        <w:tc>
          <w:tcPr>
            <w:tcW w:w="0" w:type="auto"/>
            <w:shd w:val="clear" w:color="auto" w:fill="auto"/>
          </w:tcPr>
          <w:p w14:paraId="07E6009C" w14:textId="77777777" w:rsidR="008C5CFA" w:rsidRPr="001C4484" w:rsidRDefault="00E82A60" w:rsidP="00300A01">
            <w:pPr>
              <w:spacing w:before="0" w:after="0"/>
              <w:rPr>
                <w:sz w:val="10"/>
                <w:szCs w:val="10"/>
              </w:rPr>
            </w:pPr>
            <w:r w:rsidRPr="001C4484">
              <w:rPr>
                <w:b/>
                <w:noProof/>
                <w:sz w:val="12"/>
                <w:szCs w:val="12"/>
                <w:lang w:val="fr-BE"/>
              </w:rPr>
              <w:t>ID</w:t>
            </w:r>
          </w:p>
        </w:tc>
        <w:tc>
          <w:tcPr>
            <w:tcW w:w="0" w:type="auto"/>
            <w:shd w:val="clear" w:color="auto" w:fill="auto"/>
          </w:tcPr>
          <w:p w14:paraId="1DB2131A" w14:textId="77777777" w:rsidR="008C5CFA" w:rsidRPr="001C4484" w:rsidRDefault="00E82A60" w:rsidP="00300A01">
            <w:pPr>
              <w:spacing w:before="0" w:after="0"/>
              <w:rPr>
                <w:sz w:val="10"/>
                <w:szCs w:val="10"/>
              </w:rPr>
            </w:pPr>
            <w:r w:rsidRPr="001C4484">
              <w:rPr>
                <w:b/>
                <w:noProof/>
                <w:sz w:val="12"/>
                <w:szCs w:val="12"/>
                <w:lang w:val="fr-BE"/>
              </w:rPr>
              <w:t>Wskaźnik</w:t>
            </w:r>
          </w:p>
        </w:tc>
        <w:tc>
          <w:tcPr>
            <w:tcW w:w="0" w:type="auto"/>
            <w:shd w:val="clear" w:color="auto" w:fill="auto"/>
          </w:tcPr>
          <w:p w14:paraId="53938949" w14:textId="77777777" w:rsidR="008C5CFA" w:rsidRPr="001C4484" w:rsidRDefault="00E82A60" w:rsidP="00300A01">
            <w:pPr>
              <w:spacing w:before="0" w:after="0"/>
              <w:rPr>
                <w:sz w:val="10"/>
                <w:szCs w:val="10"/>
              </w:rPr>
            </w:pPr>
            <w:r w:rsidRPr="001C4484">
              <w:rPr>
                <w:b/>
                <w:noProof/>
                <w:sz w:val="12"/>
                <w:szCs w:val="12"/>
                <w:lang w:val="fr-BE"/>
              </w:rPr>
              <w:t>Kategoria regionu</w:t>
            </w:r>
          </w:p>
        </w:tc>
        <w:tc>
          <w:tcPr>
            <w:tcW w:w="0" w:type="auto"/>
            <w:gridSpan w:val="3"/>
          </w:tcPr>
          <w:p w14:paraId="5E06A23D" w14:textId="77777777" w:rsidR="008C5CFA" w:rsidRPr="001C4484" w:rsidRDefault="00E82A60" w:rsidP="00300A01">
            <w:pPr>
              <w:spacing w:before="0" w:after="0"/>
              <w:jc w:val="center"/>
              <w:rPr>
                <w:sz w:val="10"/>
                <w:szCs w:val="10"/>
              </w:rPr>
            </w:pPr>
            <w:r w:rsidRPr="001C4484">
              <w:rPr>
                <w:sz w:val="10"/>
                <w:szCs w:val="10"/>
              </w:rPr>
              <w:t>2015</w:t>
            </w:r>
          </w:p>
        </w:tc>
        <w:tc>
          <w:tcPr>
            <w:tcW w:w="0" w:type="auto"/>
            <w:gridSpan w:val="3"/>
          </w:tcPr>
          <w:p w14:paraId="3F8AED81" w14:textId="77777777" w:rsidR="008C5CFA" w:rsidRPr="001C4484" w:rsidRDefault="00E82A60" w:rsidP="00300A01">
            <w:pPr>
              <w:spacing w:before="0" w:after="0"/>
              <w:jc w:val="center"/>
              <w:rPr>
                <w:sz w:val="10"/>
                <w:szCs w:val="10"/>
              </w:rPr>
            </w:pPr>
            <w:r w:rsidRPr="001C4484">
              <w:rPr>
                <w:sz w:val="10"/>
                <w:szCs w:val="10"/>
              </w:rPr>
              <w:t>2014</w:t>
            </w:r>
          </w:p>
        </w:tc>
      </w:tr>
      <w:tr w:rsidR="006B2EC1" w14:paraId="1B7CD548" w14:textId="77777777" w:rsidTr="0047688D">
        <w:tc>
          <w:tcPr>
            <w:tcW w:w="0" w:type="auto"/>
            <w:shd w:val="clear" w:color="auto" w:fill="auto"/>
          </w:tcPr>
          <w:p w14:paraId="0440DB80" w14:textId="77777777" w:rsidR="008C5CFA" w:rsidRPr="001C4484" w:rsidRDefault="008C5CFA" w:rsidP="00300A01">
            <w:pPr>
              <w:spacing w:before="0" w:after="0"/>
              <w:rPr>
                <w:sz w:val="10"/>
                <w:szCs w:val="10"/>
              </w:rPr>
            </w:pPr>
          </w:p>
        </w:tc>
        <w:tc>
          <w:tcPr>
            <w:tcW w:w="0" w:type="auto"/>
            <w:shd w:val="clear" w:color="auto" w:fill="auto"/>
          </w:tcPr>
          <w:p w14:paraId="47315DCB" w14:textId="77777777" w:rsidR="008C5CFA" w:rsidRPr="001C4484" w:rsidRDefault="008C5CFA" w:rsidP="00300A01">
            <w:pPr>
              <w:spacing w:before="0" w:after="0"/>
              <w:rPr>
                <w:sz w:val="10"/>
                <w:szCs w:val="10"/>
              </w:rPr>
            </w:pPr>
          </w:p>
        </w:tc>
        <w:tc>
          <w:tcPr>
            <w:tcW w:w="0" w:type="auto"/>
            <w:shd w:val="clear" w:color="auto" w:fill="auto"/>
          </w:tcPr>
          <w:p w14:paraId="4BE81999" w14:textId="77777777" w:rsidR="008C5CFA" w:rsidRPr="001C4484" w:rsidRDefault="008C5CFA" w:rsidP="00300A01">
            <w:pPr>
              <w:spacing w:before="0" w:after="0"/>
              <w:rPr>
                <w:sz w:val="10"/>
                <w:szCs w:val="10"/>
              </w:rPr>
            </w:pPr>
          </w:p>
        </w:tc>
        <w:tc>
          <w:tcPr>
            <w:tcW w:w="0" w:type="auto"/>
          </w:tcPr>
          <w:p w14:paraId="222AEF28" w14:textId="77777777" w:rsidR="008C5CFA" w:rsidRPr="001C4484" w:rsidRDefault="00E82A60" w:rsidP="00300A01">
            <w:pPr>
              <w:spacing w:before="0" w:after="0"/>
              <w:jc w:val="center"/>
              <w:rPr>
                <w:sz w:val="10"/>
                <w:szCs w:val="10"/>
              </w:rPr>
            </w:pPr>
            <w:r>
              <w:rPr>
                <w:noProof/>
                <w:sz w:val="10"/>
                <w:szCs w:val="10"/>
              </w:rPr>
              <w:t>Ogółem</w:t>
            </w:r>
          </w:p>
        </w:tc>
        <w:tc>
          <w:tcPr>
            <w:tcW w:w="0" w:type="auto"/>
            <w:shd w:val="clear" w:color="auto" w:fill="auto"/>
          </w:tcPr>
          <w:p w14:paraId="64258C93" w14:textId="77777777" w:rsidR="008C5CFA" w:rsidRPr="001C4484" w:rsidRDefault="00E82A60" w:rsidP="00300A01">
            <w:pPr>
              <w:spacing w:before="0" w:after="0"/>
              <w:jc w:val="center"/>
              <w:rPr>
                <w:sz w:val="10"/>
                <w:szCs w:val="10"/>
              </w:rPr>
            </w:pPr>
            <w:r w:rsidRPr="001C4484">
              <w:rPr>
                <w:noProof/>
                <w:sz w:val="10"/>
                <w:szCs w:val="10"/>
              </w:rPr>
              <w:t>Mężczyźni</w:t>
            </w:r>
          </w:p>
        </w:tc>
        <w:tc>
          <w:tcPr>
            <w:tcW w:w="0" w:type="auto"/>
            <w:shd w:val="clear" w:color="auto" w:fill="auto"/>
          </w:tcPr>
          <w:p w14:paraId="0F8EC257" w14:textId="77777777" w:rsidR="008C5CFA" w:rsidRPr="001C4484" w:rsidRDefault="00E82A60" w:rsidP="00300A01">
            <w:pPr>
              <w:spacing w:before="0" w:after="0"/>
              <w:jc w:val="center"/>
              <w:rPr>
                <w:sz w:val="10"/>
                <w:szCs w:val="10"/>
              </w:rPr>
            </w:pPr>
            <w:r w:rsidRPr="001C4484">
              <w:rPr>
                <w:noProof/>
                <w:sz w:val="10"/>
                <w:szCs w:val="10"/>
              </w:rPr>
              <w:t>Kobiety</w:t>
            </w:r>
          </w:p>
        </w:tc>
        <w:tc>
          <w:tcPr>
            <w:tcW w:w="0" w:type="auto"/>
          </w:tcPr>
          <w:p w14:paraId="72C23C66" w14:textId="77777777" w:rsidR="008C5CFA" w:rsidRPr="001C4484" w:rsidRDefault="00E82A60" w:rsidP="00300A01">
            <w:pPr>
              <w:spacing w:before="0" w:after="0"/>
              <w:jc w:val="center"/>
              <w:rPr>
                <w:sz w:val="10"/>
                <w:szCs w:val="10"/>
              </w:rPr>
            </w:pPr>
            <w:r>
              <w:rPr>
                <w:noProof/>
                <w:sz w:val="10"/>
                <w:szCs w:val="10"/>
              </w:rPr>
              <w:t>Ogółem</w:t>
            </w:r>
          </w:p>
        </w:tc>
        <w:tc>
          <w:tcPr>
            <w:tcW w:w="0" w:type="auto"/>
            <w:shd w:val="clear" w:color="auto" w:fill="auto"/>
          </w:tcPr>
          <w:p w14:paraId="2094091F" w14:textId="77777777" w:rsidR="008C5CFA" w:rsidRPr="001C4484" w:rsidRDefault="00E82A60" w:rsidP="00300A01">
            <w:pPr>
              <w:spacing w:before="0" w:after="0"/>
              <w:jc w:val="center"/>
              <w:rPr>
                <w:sz w:val="10"/>
                <w:szCs w:val="10"/>
              </w:rPr>
            </w:pPr>
            <w:r w:rsidRPr="001C4484">
              <w:rPr>
                <w:noProof/>
                <w:sz w:val="10"/>
                <w:szCs w:val="10"/>
              </w:rPr>
              <w:t>Mężczyźni</w:t>
            </w:r>
          </w:p>
        </w:tc>
        <w:tc>
          <w:tcPr>
            <w:tcW w:w="0" w:type="auto"/>
            <w:shd w:val="clear" w:color="auto" w:fill="auto"/>
          </w:tcPr>
          <w:p w14:paraId="6A2EABAC" w14:textId="77777777" w:rsidR="008C5CFA" w:rsidRPr="001C4484" w:rsidRDefault="00E82A60" w:rsidP="00300A01">
            <w:pPr>
              <w:spacing w:before="0" w:after="0"/>
              <w:jc w:val="center"/>
              <w:rPr>
                <w:sz w:val="10"/>
                <w:szCs w:val="10"/>
              </w:rPr>
            </w:pPr>
            <w:r w:rsidRPr="001C4484">
              <w:rPr>
                <w:noProof/>
                <w:sz w:val="10"/>
                <w:szCs w:val="10"/>
              </w:rPr>
              <w:t>Kobiety</w:t>
            </w:r>
          </w:p>
        </w:tc>
      </w:tr>
      <w:tr w:rsidR="006B2EC1" w14:paraId="58766BC1" w14:textId="77777777" w:rsidTr="0047688D">
        <w:tc>
          <w:tcPr>
            <w:tcW w:w="0" w:type="auto"/>
            <w:shd w:val="clear" w:color="auto" w:fill="auto"/>
          </w:tcPr>
          <w:p w14:paraId="1F0EDEEF" w14:textId="77777777" w:rsidR="008C5CFA" w:rsidRPr="001C4484" w:rsidRDefault="00E82A60" w:rsidP="00300A01">
            <w:pPr>
              <w:spacing w:before="0" w:after="0"/>
              <w:rPr>
                <w:sz w:val="10"/>
                <w:szCs w:val="10"/>
                <w:lang w:val="fr-BE"/>
              </w:rPr>
            </w:pPr>
            <w:r w:rsidRPr="001C4484">
              <w:rPr>
                <w:noProof/>
                <w:sz w:val="10"/>
                <w:szCs w:val="10"/>
                <w:lang w:val="fr-BE"/>
              </w:rPr>
              <w:t>CO01</w:t>
            </w:r>
          </w:p>
        </w:tc>
        <w:tc>
          <w:tcPr>
            <w:tcW w:w="0" w:type="auto"/>
            <w:shd w:val="clear" w:color="auto" w:fill="auto"/>
          </w:tcPr>
          <w:p w14:paraId="188B3E02" w14:textId="77777777" w:rsidR="008C5CFA" w:rsidRPr="001C4484" w:rsidRDefault="00E82A60" w:rsidP="00300A01">
            <w:pPr>
              <w:spacing w:before="0" w:after="0"/>
              <w:rPr>
                <w:sz w:val="10"/>
                <w:szCs w:val="10"/>
                <w:lang w:val="fr-BE"/>
              </w:rPr>
            </w:pPr>
            <w:r w:rsidRPr="001C4484">
              <w:rPr>
                <w:noProof/>
                <w:sz w:val="10"/>
                <w:szCs w:val="10"/>
                <w:lang w:val="fr-BE"/>
              </w:rPr>
              <w:t>bezrobotni, w tym długotrwale bezrobotni</w:t>
            </w:r>
          </w:p>
        </w:tc>
        <w:tc>
          <w:tcPr>
            <w:tcW w:w="0" w:type="auto"/>
            <w:shd w:val="clear" w:color="auto" w:fill="auto"/>
          </w:tcPr>
          <w:p w14:paraId="30D69BA2"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341D6594" w14:textId="77777777" w:rsidR="008C5CFA" w:rsidRPr="001C4484" w:rsidRDefault="00E82A60" w:rsidP="00300A01">
            <w:pPr>
              <w:spacing w:before="0" w:after="0"/>
              <w:jc w:val="right"/>
              <w:rPr>
                <w:sz w:val="10"/>
                <w:szCs w:val="10"/>
              </w:rPr>
            </w:pPr>
            <w:r>
              <w:rPr>
                <w:noProof/>
                <w:sz w:val="10"/>
                <w:szCs w:val="10"/>
              </w:rPr>
              <w:t>2 886,00</w:t>
            </w:r>
          </w:p>
        </w:tc>
        <w:tc>
          <w:tcPr>
            <w:tcW w:w="0" w:type="auto"/>
            <w:shd w:val="clear" w:color="auto" w:fill="auto"/>
          </w:tcPr>
          <w:p w14:paraId="66CE9C6E" w14:textId="77777777" w:rsidR="008C5CFA" w:rsidRPr="001C4484" w:rsidRDefault="00E82A60" w:rsidP="00300A01">
            <w:pPr>
              <w:spacing w:before="0" w:after="0"/>
              <w:jc w:val="right"/>
              <w:rPr>
                <w:sz w:val="10"/>
                <w:szCs w:val="10"/>
              </w:rPr>
            </w:pPr>
            <w:r w:rsidRPr="001C4484">
              <w:rPr>
                <w:noProof/>
                <w:sz w:val="10"/>
                <w:szCs w:val="10"/>
              </w:rPr>
              <w:t>1 080,00</w:t>
            </w:r>
          </w:p>
        </w:tc>
        <w:tc>
          <w:tcPr>
            <w:tcW w:w="0" w:type="auto"/>
            <w:shd w:val="clear" w:color="auto" w:fill="auto"/>
          </w:tcPr>
          <w:p w14:paraId="1F54149C" w14:textId="77777777" w:rsidR="008C5CFA" w:rsidRPr="001C4484" w:rsidRDefault="00E82A60" w:rsidP="00300A01">
            <w:pPr>
              <w:spacing w:before="0" w:after="0"/>
              <w:jc w:val="right"/>
              <w:rPr>
                <w:sz w:val="10"/>
                <w:szCs w:val="10"/>
                <w:lang w:val="fr-BE"/>
              </w:rPr>
            </w:pPr>
            <w:r w:rsidRPr="001C4484">
              <w:rPr>
                <w:noProof/>
                <w:sz w:val="10"/>
                <w:szCs w:val="10"/>
              </w:rPr>
              <w:t>1 806,00</w:t>
            </w:r>
          </w:p>
        </w:tc>
        <w:tc>
          <w:tcPr>
            <w:tcW w:w="0" w:type="auto"/>
          </w:tcPr>
          <w:p w14:paraId="77A766AE"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6C1B2263"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68030F7F" w14:textId="77777777" w:rsidR="008C5CFA" w:rsidRPr="001C4484" w:rsidRDefault="00E82A60" w:rsidP="00300A01">
            <w:pPr>
              <w:spacing w:before="0" w:after="0"/>
              <w:jc w:val="right"/>
              <w:rPr>
                <w:sz w:val="10"/>
                <w:szCs w:val="10"/>
                <w:lang w:val="fr-BE"/>
              </w:rPr>
            </w:pPr>
            <w:r w:rsidRPr="001C4484">
              <w:rPr>
                <w:noProof/>
                <w:sz w:val="10"/>
                <w:szCs w:val="10"/>
                <w:lang w:val="fr-BE"/>
              </w:rPr>
              <w:t>0,00</w:t>
            </w:r>
          </w:p>
        </w:tc>
      </w:tr>
      <w:tr w:rsidR="006B2EC1" w14:paraId="2F3F253E" w14:textId="77777777" w:rsidTr="0047688D">
        <w:tc>
          <w:tcPr>
            <w:tcW w:w="0" w:type="auto"/>
            <w:shd w:val="clear" w:color="auto" w:fill="auto"/>
          </w:tcPr>
          <w:p w14:paraId="5210A52D" w14:textId="77777777" w:rsidR="008C5CFA" w:rsidRPr="001C4484" w:rsidRDefault="00E82A60" w:rsidP="00300A01">
            <w:pPr>
              <w:spacing w:before="0" w:after="0"/>
              <w:rPr>
                <w:sz w:val="10"/>
                <w:szCs w:val="10"/>
                <w:lang w:val="fr-BE"/>
              </w:rPr>
            </w:pPr>
            <w:r w:rsidRPr="001C4484">
              <w:rPr>
                <w:noProof/>
                <w:sz w:val="10"/>
                <w:szCs w:val="10"/>
                <w:lang w:val="fr-BE"/>
              </w:rPr>
              <w:t>CO02</w:t>
            </w:r>
          </w:p>
        </w:tc>
        <w:tc>
          <w:tcPr>
            <w:tcW w:w="0" w:type="auto"/>
            <w:shd w:val="clear" w:color="auto" w:fill="auto"/>
          </w:tcPr>
          <w:p w14:paraId="639D95EC" w14:textId="77777777" w:rsidR="008C5CFA" w:rsidRPr="001C4484" w:rsidRDefault="00E82A60" w:rsidP="00300A01">
            <w:pPr>
              <w:spacing w:before="0" w:after="0"/>
              <w:rPr>
                <w:sz w:val="10"/>
                <w:szCs w:val="10"/>
                <w:lang w:val="fr-BE"/>
              </w:rPr>
            </w:pPr>
            <w:r w:rsidRPr="001C4484">
              <w:rPr>
                <w:noProof/>
                <w:sz w:val="10"/>
                <w:szCs w:val="10"/>
                <w:lang w:val="fr-BE"/>
              </w:rPr>
              <w:t>długotrwale bezrobotni</w:t>
            </w:r>
          </w:p>
        </w:tc>
        <w:tc>
          <w:tcPr>
            <w:tcW w:w="0" w:type="auto"/>
            <w:shd w:val="clear" w:color="auto" w:fill="auto"/>
          </w:tcPr>
          <w:p w14:paraId="2F8D7220"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606004F9" w14:textId="77777777" w:rsidR="008C5CFA" w:rsidRPr="001C4484" w:rsidRDefault="00E82A60" w:rsidP="00300A01">
            <w:pPr>
              <w:spacing w:before="0" w:after="0"/>
              <w:jc w:val="right"/>
              <w:rPr>
                <w:sz w:val="10"/>
                <w:szCs w:val="10"/>
              </w:rPr>
            </w:pPr>
            <w:r>
              <w:rPr>
                <w:noProof/>
                <w:sz w:val="10"/>
                <w:szCs w:val="10"/>
              </w:rPr>
              <w:t>1 421,00</w:t>
            </w:r>
          </w:p>
        </w:tc>
        <w:tc>
          <w:tcPr>
            <w:tcW w:w="0" w:type="auto"/>
            <w:shd w:val="clear" w:color="auto" w:fill="auto"/>
          </w:tcPr>
          <w:p w14:paraId="5EABAC02" w14:textId="77777777" w:rsidR="008C5CFA" w:rsidRPr="001C4484" w:rsidRDefault="00E82A60" w:rsidP="00300A01">
            <w:pPr>
              <w:spacing w:before="0" w:after="0"/>
              <w:jc w:val="right"/>
              <w:rPr>
                <w:sz w:val="10"/>
                <w:szCs w:val="10"/>
              </w:rPr>
            </w:pPr>
            <w:r w:rsidRPr="001C4484">
              <w:rPr>
                <w:noProof/>
                <w:sz w:val="10"/>
                <w:szCs w:val="10"/>
              </w:rPr>
              <w:t>532,00</w:t>
            </w:r>
          </w:p>
        </w:tc>
        <w:tc>
          <w:tcPr>
            <w:tcW w:w="0" w:type="auto"/>
            <w:shd w:val="clear" w:color="auto" w:fill="auto"/>
          </w:tcPr>
          <w:p w14:paraId="7AF2A39C" w14:textId="77777777" w:rsidR="008C5CFA" w:rsidRPr="001C4484" w:rsidRDefault="00E82A60" w:rsidP="00300A01">
            <w:pPr>
              <w:spacing w:before="0" w:after="0"/>
              <w:jc w:val="right"/>
              <w:rPr>
                <w:sz w:val="10"/>
                <w:szCs w:val="10"/>
                <w:lang w:val="fr-BE"/>
              </w:rPr>
            </w:pPr>
            <w:r w:rsidRPr="001C4484">
              <w:rPr>
                <w:noProof/>
                <w:sz w:val="10"/>
                <w:szCs w:val="10"/>
              </w:rPr>
              <w:t>889,00</w:t>
            </w:r>
          </w:p>
        </w:tc>
        <w:tc>
          <w:tcPr>
            <w:tcW w:w="0" w:type="auto"/>
          </w:tcPr>
          <w:p w14:paraId="497BA489"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27640831"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439B1345" w14:textId="77777777" w:rsidR="008C5CFA" w:rsidRPr="001C4484" w:rsidRDefault="00E82A60" w:rsidP="00300A01">
            <w:pPr>
              <w:spacing w:before="0" w:after="0"/>
              <w:jc w:val="right"/>
              <w:rPr>
                <w:sz w:val="10"/>
                <w:szCs w:val="10"/>
                <w:lang w:val="fr-BE"/>
              </w:rPr>
            </w:pPr>
            <w:r w:rsidRPr="001C4484">
              <w:rPr>
                <w:noProof/>
                <w:sz w:val="10"/>
                <w:szCs w:val="10"/>
                <w:lang w:val="fr-BE"/>
              </w:rPr>
              <w:t>0,00</w:t>
            </w:r>
          </w:p>
        </w:tc>
      </w:tr>
      <w:tr w:rsidR="006B2EC1" w14:paraId="2358C0C1" w14:textId="77777777" w:rsidTr="0047688D">
        <w:tc>
          <w:tcPr>
            <w:tcW w:w="0" w:type="auto"/>
            <w:shd w:val="clear" w:color="auto" w:fill="auto"/>
          </w:tcPr>
          <w:p w14:paraId="248499EF" w14:textId="77777777" w:rsidR="008C5CFA" w:rsidRPr="001C4484" w:rsidRDefault="00E82A60" w:rsidP="00300A01">
            <w:pPr>
              <w:spacing w:before="0" w:after="0"/>
              <w:rPr>
                <w:sz w:val="10"/>
                <w:szCs w:val="10"/>
                <w:lang w:val="fr-BE"/>
              </w:rPr>
            </w:pPr>
            <w:r w:rsidRPr="001C4484">
              <w:rPr>
                <w:noProof/>
                <w:sz w:val="10"/>
                <w:szCs w:val="10"/>
                <w:lang w:val="fr-BE"/>
              </w:rPr>
              <w:t>CO03</w:t>
            </w:r>
          </w:p>
        </w:tc>
        <w:tc>
          <w:tcPr>
            <w:tcW w:w="0" w:type="auto"/>
            <w:shd w:val="clear" w:color="auto" w:fill="auto"/>
          </w:tcPr>
          <w:p w14:paraId="0E123A92" w14:textId="77777777" w:rsidR="008C5CFA" w:rsidRPr="001C4484" w:rsidRDefault="00E82A60" w:rsidP="00300A01">
            <w:pPr>
              <w:spacing w:before="0" w:after="0"/>
              <w:rPr>
                <w:sz w:val="10"/>
                <w:szCs w:val="10"/>
                <w:lang w:val="fr-BE"/>
              </w:rPr>
            </w:pPr>
            <w:r w:rsidRPr="001C4484">
              <w:rPr>
                <w:noProof/>
                <w:sz w:val="10"/>
                <w:szCs w:val="10"/>
                <w:lang w:val="fr-BE"/>
              </w:rPr>
              <w:t>osoby bierne zawodowo</w:t>
            </w:r>
          </w:p>
        </w:tc>
        <w:tc>
          <w:tcPr>
            <w:tcW w:w="0" w:type="auto"/>
            <w:shd w:val="clear" w:color="auto" w:fill="auto"/>
          </w:tcPr>
          <w:p w14:paraId="6C5DB739"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624AEAC9"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6F1DFC34"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6C615943" w14:textId="77777777" w:rsidR="008C5CFA" w:rsidRPr="001C4484" w:rsidRDefault="00E82A60" w:rsidP="00300A01">
            <w:pPr>
              <w:spacing w:before="0" w:after="0"/>
              <w:jc w:val="right"/>
              <w:rPr>
                <w:sz w:val="10"/>
                <w:szCs w:val="10"/>
                <w:lang w:val="fr-BE"/>
              </w:rPr>
            </w:pPr>
            <w:r w:rsidRPr="001C4484">
              <w:rPr>
                <w:noProof/>
                <w:sz w:val="10"/>
                <w:szCs w:val="10"/>
              </w:rPr>
              <w:t>0,00</w:t>
            </w:r>
          </w:p>
        </w:tc>
        <w:tc>
          <w:tcPr>
            <w:tcW w:w="0" w:type="auto"/>
          </w:tcPr>
          <w:p w14:paraId="6DAA61A3"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3C70A59F"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488EA4E5" w14:textId="77777777" w:rsidR="008C5CFA" w:rsidRPr="001C4484" w:rsidRDefault="00E82A60" w:rsidP="00300A01">
            <w:pPr>
              <w:spacing w:before="0" w:after="0"/>
              <w:jc w:val="right"/>
              <w:rPr>
                <w:sz w:val="10"/>
                <w:szCs w:val="10"/>
                <w:lang w:val="fr-BE"/>
              </w:rPr>
            </w:pPr>
            <w:r w:rsidRPr="001C4484">
              <w:rPr>
                <w:noProof/>
                <w:sz w:val="10"/>
                <w:szCs w:val="10"/>
                <w:lang w:val="fr-BE"/>
              </w:rPr>
              <w:t>0,00</w:t>
            </w:r>
          </w:p>
        </w:tc>
      </w:tr>
      <w:tr w:rsidR="006B2EC1" w14:paraId="5B289971" w14:textId="77777777" w:rsidTr="0047688D">
        <w:tc>
          <w:tcPr>
            <w:tcW w:w="0" w:type="auto"/>
            <w:shd w:val="clear" w:color="auto" w:fill="auto"/>
          </w:tcPr>
          <w:p w14:paraId="1EE7849B" w14:textId="77777777" w:rsidR="008C5CFA" w:rsidRPr="001C4484" w:rsidRDefault="00E82A60" w:rsidP="00300A01">
            <w:pPr>
              <w:spacing w:before="0" w:after="0"/>
              <w:rPr>
                <w:sz w:val="10"/>
                <w:szCs w:val="10"/>
                <w:lang w:val="fr-BE"/>
              </w:rPr>
            </w:pPr>
            <w:r w:rsidRPr="001C4484">
              <w:rPr>
                <w:noProof/>
                <w:sz w:val="10"/>
                <w:szCs w:val="10"/>
                <w:lang w:val="fr-BE"/>
              </w:rPr>
              <w:t>CO04</w:t>
            </w:r>
          </w:p>
        </w:tc>
        <w:tc>
          <w:tcPr>
            <w:tcW w:w="0" w:type="auto"/>
            <w:shd w:val="clear" w:color="auto" w:fill="auto"/>
          </w:tcPr>
          <w:p w14:paraId="32D6F5A4" w14:textId="77777777" w:rsidR="008C5CFA" w:rsidRPr="001C4484" w:rsidRDefault="00E82A60" w:rsidP="00300A01">
            <w:pPr>
              <w:spacing w:before="0" w:after="0"/>
              <w:rPr>
                <w:sz w:val="10"/>
                <w:szCs w:val="10"/>
                <w:lang w:val="fr-BE"/>
              </w:rPr>
            </w:pPr>
            <w:r w:rsidRPr="001C4484">
              <w:rPr>
                <w:noProof/>
                <w:sz w:val="10"/>
                <w:szCs w:val="10"/>
                <w:lang w:val="fr-BE"/>
              </w:rPr>
              <w:t>osoby bierne zawodowo, nieuczestniczące w kształceniu ani szkoleniu</w:t>
            </w:r>
          </w:p>
        </w:tc>
        <w:tc>
          <w:tcPr>
            <w:tcW w:w="0" w:type="auto"/>
            <w:shd w:val="clear" w:color="auto" w:fill="auto"/>
          </w:tcPr>
          <w:p w14:paraId="7B9A6B6B"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6E17D5B7"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236EB269"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68BF3365" w14:textId="77777777" w:rsidR="008C5CFA" w:rsidRPr="001C4484" w:rsidRDefault="00E82A60" w:rsidP="00300A01">
            <w:pPr>
              <w:spacing w:before="0" w:after="0"/>
              <w:jc w:val="right"/>
              <w:rPr>
                <w:sz w:val="10"/>
                <w:szCs w:val="10"/>
                <w:lang w:val="fr-BE"/>
              </w:rPr>
            </w:pPr>
            <w:r w:rsidRPr="001C4484">
              <w:rPr>
                <w:noProof/>
                <w:sz w:val="10"/>
                <w:szCs w:val="10"/>
              </w:rPr>
              <w:t>0,00</w:t>
            </w:r>
          </w:p>
        </w:tc>
        <w:tc>
          <w:tcPr>
            <w:tcW w:w="0" w:type="auto"/>
          </w:tcPr>
          <w:p w14:paraId="0A238DF3"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1109581B"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2E85B975" w14:textId="77777777" w:rsidR="008C5CFA" w:rsidRPr="001C4484" w:rsidRDefault="00E82A60" w:rsidP="00300A01">
            <w:pPr>
              <w:spacing w:before="0" w:after="0"/>
              <w:jc w:val="right"/>
              <w:rPr>
                <w:sz w:val="10"/>
                <w:szCs w:val="10"/>
                <w:lang w:val="fr-BE"/>
              </w:rPr>
            </w:pPr>
            <w:r w:rsidRPr="001C4484">
              <w:rPr>
                <w:noProof/>
                <w:sz w:val="10"/>
                <w:szCs w:val="10"/>
                <w:lang w:val="fr-BE"/>
              </w:rPr>
              <w:t>0,00</w:t>
            </w:r>
          </w:p>
        </w:tc>
      </w:tr>
      <w:tr w:rsidR="006B2EC1" w14:paraId="631150D7" w14:textId="77777777" w:rsidTr="0047688D">
        <w:tc>
          <w:tcPr>
            <w:tcW w:w="0" w:type="auto"/>
            <w:shd w:val="clear" w:color="auto" w:fill="auto"/>
          </w:tcPr>
          <w:p w14:paraId="3F935905" w14:textId="77777777" w:rsidR="008C5CFA" w:rsidRPr="001C4484" w:rsidRDefault="00E82A60" w:rsidP="00300A01">
            <w:pPr>
              <w:spacing w:before="0" w:after="0"/>
              <w:rPr>
                <w:sz w:val="10"/>
                <w:szCs w:val="10"/>
                <w:lang w:val="fr-BE"/>
              </w:rPr>
            </w:pPr>
            <w:r w:rsidRPr="001C4484">
              <w:rPr>
                <w:noProof/>
                <w:sz w:val="10"/>
                <w:szCs w:val="10"/>
                <w:lang w:val="fr-BE"/>
              </w:rPr>
              <w:t>CO05</w:t>
            </w:r>
          </w:p>
        </w:tc>
        <w:tc>
          <w:tcPr>
            <w:tcW w:w="0" w:type="auto"/>
            <w:shd w:val="clear" w:color="auto" w:fill="auto"/>
          </w:tcPr>
          <w:p w14:paraId="12CAEDE9" w14:textId="77777777" w:rsidR="008C5CFA" w:rsidRPr="001C4484" w:rsidRDefault="00E82A60" w:rsidP="00300A01">
            <w:pPr>
              <w:spacing w:before="0" w:after="0"/>
              <w:rPr>
                <w:sz w:val="10"/>
                <w:szCs w:val="10"/>
                <w:lang w:val="fr-BE"/>
              </w:rPr>
            </w:pPr>
            <w:r w:rsidRPr="001C4484">
              <w:rPr>
                <w:noProof/>
                <w:sz w:val="10"/>
                <w:szCs w:val="10"/>
                <w:lang w:val="fr-BE"/>
              </w:rPr>
              <w:t>osoby pracujące, łącznie z prowadzącymi działalność na własny rachunek</w:t>
            </w:r>
          </w:p>
        </w:tc>
        <w:tc>
          <w:tcPr>
            <w:tcW w:w="0" w:type="auto"/>
            <w:shd w:val="clear" w:color="auto" w:fill="auto"/>
          </w:tcPr>
          <w:p w14:paraId="0E15B600"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71F3D3DF"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321402DB"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44BE5450" w14:textId="77777777" w:rsidR="008C5CFA" w:rsidRPr="001C4484" w:rsidRDefault="00E82A60" w:rsidP="00300A01">
            <w:pPr>
              <w:spacing w:before="0" w:after="0"/>
              <w:jc w:val="right"/>
              <w:rPr>
                <w:sz w:val="10"/>
                <w:szCs w:val="10"/>
                <w:lang w:val="fr-BE"/>
              </w:rPr>
            </w:pPr>
            <w:r w:rsidRPr="001C4484">
              <w:rPr>
                <w:noProof/>
                <w:sz w:val="10"/>
                <w:szCs w:val="10"/>
              </w:rPr>
              <w:t>0,00</w:t>
            </w:r>
          </w:p>
        </w:tc>
        <w:tc>
          <w:tcPr>
            <w:tcW w:w="0" w:type="auto"/>
          </w:tcPr>
          <w:p w14:paraId="54B56936"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4E9228E3"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5837785C" w14:textId="77777777" w:rsidR="008C5CFA" w:rsidRPr="001C4484" w:rsidRDefault="00E82A60" w:rsidP="00300A01">
            <w:pPr>
              <w:spacing w:before="0" w:after="0"/>
              <w:jc w:val="right"/>
              <w:rPr>
                <w:sz w:val="10"/>
                <w:szCs w:val="10"/>
                <w:lang w:val="fr-BE"/>
              </w:rPr>
            </w:pPr>
            <w:r w:rsidRPr="001C4484">
              <w:rPr>
                <w:noProof/>
                <w:sz w:val="10"/>
                <w:szCs w:val="10"/>
                <w:lang w:val="fr-BE"/>
              </w:rPr>
              <w:t>0,00</w:t>
            </w:r>
          </w:p>
        </w:tc>
      </w:tr>
      <w:tr w:rsidR="006B2EC1" w14:paraId="45C6A14A" w14:textId="77777777" w:rsidTr="0047688D">
        <w:tc>
          <w:tcPr>
            <w:tcW w:w="0" w:type="auto"/>
            <w:shd w:val="clear" w:color="auto" w:fill="auto"/>
          </w:tcPr>
          <w:p w14:paraId="2A5725C4" w14:textId="77777777" w:rsidR="008C5CFA" w:rsidRPr="001C4484" w:rsidRDefault="00E82A60" w:rsidP="00300A01">
            <w:pPr>
              <w:spacing w:before="0" w:after="0"/>
              <w:rPr>
                <w:sz w:val="10"/>
                <w:szCs w:val="10"/>
                <w:lang w:val="fr-BE"/>
              </w:rPr>
            </w:pPr>
            <w:r w:rsidRPr="001C4484">
              <w:rPr>
                <w:noProof/>
                <w:sz w:val="10"/>
                <w:szCs w:val="10"/>
                <w:lang w:val="fr-BE"/>
              </w:rPr>
              <w:t>CO06</w:t>
            </w:r>
          </w:p>
        </w:tc>
        <w:tc>
          <w:tcPr>
            <w:tcW w:w="0" w:type="auto"/>
            <w:shd w:val="clear" w:color="auto" w:fill="auto"/>
          </w:tcPr>
          <w:p w14:paraId="6C50ABFD" w14:textId="77777777" w:rsidR="008C5CFA" w:rsidRPr="001C4484" w:rsidRDefault="00E82A60" w:rsidP="00300A01">
            <w:pPr>
              <w:spacing w:before="0" w:after="0"/>
              <w:rPr>
                <w:sz w:val="10"/>
                <w:szCs w:val="10"/>
                <w:lang w:val="fr-BE"/>
              </w:rPr>
            </w:pPr>
            <w:r w:rsidRPr="001C4484">
              <w:rPr>
                <w:noProof/>
                <w:sz w:val="10"/>
                <w:szCs w:val="10"/>
                <w:lang w:val="fr-BE"/>
              </w:rPr>
              <w:t>osoby w wieku poniżej 25 lat</w:t>
            </w:r>
          </w:p>
        </w:tc>
        <w:tc>
          <w:tcPr>
            <w:tcW w:w="0" w:type="auto"/>
            <w:shd w:val="clear" w:color="auto" w:fill="auto"/>
          </w:tcPr>
          <w:p w14:paraId="6DE2F64E"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370FEFAB"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796A4B29"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7DD24E24" w14:textId="77777777" w:rsidR="008C5CFA" w:rsidRPr="001C4484" w:rsidRDefault="00E82A60" w:rsidP="00300A01">
            <w:pPr>
              <w:spacing w:before="0" w:after="0"/>
              <w:jc w:val="right"/>
              <w:rPr>
                <w:sz w:val="10"/>
                <w:szCs w:val="10"/>
                <w:lang w:val="fr-BE"/>
              </w:rPr>
            </w:pPr>
            <w:r w:rsidRPr="001C4484">
              <w:rPr>
                <w:noProof/>
                <w:sz w:val="10"/>
                <w:szCs w:val="10"/>
              </w:rPr>
              <w:t>0,00</w:t>
            </w:r>
          </w:p>
        </w:tc>
        <w:tc>
          <w:tcPr>
            <w:tcW w:w="0" w:type="auto"/>
          </w:tcPr>
          <w:p w14:paraId="080CAACD"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6901275A"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6C4FA054" w14:textId="77777777" w:rsidR="008C5CFA" w:rsidRPr="001C4484" w:rsidRDefault="00E82A60" w:rsidP="00300A01">
            <w:pPr>
              <w:spacing w:before="0" w:after="0"/>
              <w:jc w:val="right"/>
              <w:rPr>
                <w:sz w:val="10"/>
                <w:szCs w:val="10"/>
                <w:lang w:val="fr-BE"/>
              </w:rPr>
            </w:pPr>
            <w:r w:rsidRPr="001C4484">
              <w:rPr>
                <w:noProof/>
                <w:sz w:val="10"/>
                <w:szCs w:val="10"/>
                <w:lang w:val="fr-BE"/>
              </w:rPr>
              <w:t>0,00</w:t>
            </w:r>
          </w:p>
        </w:tc>
      </w:tr>
      <w:tr w:rsidR="006B2EC1" w14:paraId="78534105" w14:textId="77777777" w:rsidTr="0047688D">
        <w:tc>
          <w:tcPr>
            <w:tcW w:w="0" w:type="auto"/>
            <w:shd w:val="clear" w:color="auto" w:fill="auto"/>
          </w:tcPr>
          <w:p w14:paraId="70266793" w14:textId="77777777" w:rsidR="008C5CFA" w:rsidRPr="001C4484" w:rsidRDefault="00E82A60" w:rsidP="00300A01">
            <w:pPr>
              <w:spacing w:before="0" w:after="0"/>
              <w:rPr>
                <w:sz w:val="10"/>
                <w:szCs w:val="10"/>
                <w:lang w:val="fr-BE"/>
              </w:rPr>
            </w:pPr>
            <w:r w:rsidRPr="001C4484">
              <w:rPr>
                <w:noProof/>
                <w:sz w:val="10"/>
                <w:szCs w:val="10"/>
                <w:lang w:val="fr-BE"/>
              </w:rPr>
              <w:lastRenderedPageBreak/>
              <w:t>CO07</w:t>
            </w:r>
          </w:p>
        </w:tc>
        <w:tc>
          <w:tcPr>
            <w:tcW w:w="0" w:type="auto"/>
            <w:shd w:val="clear" w:color="auto" w:fill="auto"/>
          </w:tcPr>
          <w:p w14:paraId="0C606E7D" w14:textId="77777777" w:rsidR="008C5CFA" w:rsidRPr="001C4484" w:rsidRDefault="00E82A60" w:rsidP="00300A01">
            <w:pPr>
              <w:spacing w:before="0" w:after="0"/>
              <w:rPr>
                <w:sz w:val="10"/>
                <w:szCs w:val="10"/>
                <w:lang w:val="fr-BE"/>
              </w:rPr>
            </w:pPr>
            <w:r w:rsidRPr="001C4484">
              <w:rPr>
                <w:noProof/>
                <w:sz w:val="10"/>
                <w:szCs w:val="10"/>
                <w:lang w:val="fr-BE"/>
              </w:rPr>
              <w:t>osoby w wieku powyżej 54 lat</w:t>
            </w:r>
          </w:p>
        </w:tc>
        <w:tc>
          <w:tcPr>
            <w:tcW w:w="0" w:type="auto"/>
            <w:shd w:val="clear" w:color="auto" w:fill="auto"/>
          </w:tcPr>
          <w:p w14:paraId="6A7B5D17"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19AF3797" w14:textId="77777777" w:rsidR="008C5CFA" w:rsidRPr="001C4484" w:rsidRDefault="00E82A60" w:rsidP="00300A01">
            <w:pPr>
              <w:spacing w:before="0" w:after="0"/>
              <w:jc w:val="right"/>
              <w:rPr>
                <w:sz w:val="10"/>
                <w:szCs w:val="10"/>
              </w:rPr>
            </w:pPr>
            <w:r>
              <w:rPr>
                <w:noProof/>
                <w:sz w:val="10"/>
                <w:szCs w:val="10"/>
              </w:rPr>
              <w:t>338,00</w:t>
            </w:r>
          </w:p>
        </w:tc>
        <w:tc>
          <w:tcPr>
            <w:tcW w:w="0" w:type="auto"/>
            <w:shd w:val="clear" w:color="auto" w:fill="auto"/>
          </w:tcPr>
          <w:p w14:paraId="71F45579" w14:textId="77777777" w:rsidR="008C5CFA" w:rsidRPr="001C4484" w:rsidRDefault="00E82A60" w:rsidP="00300A01">
            <w:pPr>
              <w:spacing w:before="0" w:after="0"/>
              <w:jc w:val="right"/>
              <w:rPr>
                <w:sz w:val="10"/>
                <w:szCs w:val="10"/>
              </w:rPr>
            </w:pPr>
            <w:r w:rsidRPr="001C4484">
              <w:rPr>
                <w:noProof/>
                <w:sz w:val="10"/>
                <w:szCs w:val="10"/>
              </w:rPr>
              <w:t>211,00</w:t>
            </w:r>
          </w:p>
        </w:tc>
        <w:tc>
          <w:tcPr>
            <w:tcW w:w="0" w:type="auto"/>
            <w:shd w:val="clear" w:color="auto" w:fill="auto"/>
          </w:tcPr>
          <w:p w14:paraId="457FF6F2" w14:textId="77777777" w:rsidR="008C5CFA" w:rsidRPr="001C4484" w:rsidRDefault="00E82A60" w:rsidP="00300A01">
            <w:pPr>
              <w:spacing w:before="0" w:after="0"/>
              <w:jc w:val="right"/>
              <w:rPr>
                <w:sz w:val="10"/>
                <w:szCs w:val="10"/>
                <w:lang w:val="fr-BE"/>
              </w:rPr>
            </w:pPr>
            <w:r w:rsidRPr="001C4484">
              <w:rPr>
                <w:noProof/>
                <w:sz w:val="10"/>
                <w:szCs w:val="10"/>
              </w:rPr>
              <w:t>127,00</w:t>
            </w:r>
          </w:p>
        </w:tc>
        <w:tc>
          <w:tcPr>
            <w:tcW w:w="0" w:type="auto"/>
          </w:tcPr>
          <w:p w14:paraId="593182A5"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5B6DE0E3"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2159425A" w14:textId="77777777" w:rsidR="008C5CFA" w:rsidRPr="001C4484" w:rsidRDefault="00E82A60" w:rsidP="00300A01">
            <w:pPr>
              <w:spacing w:before="0" w:after="0"/>
              <w:jc w:val="right"/>
              <w:rPr>
                <w:sz w:val="10"/>
                <w:szCs w:val="10"/>
                <w:lang w:val="fr-BE"/>
              </w:rPr>
            </w:pPr>
            <w:r w:rsidRPr="001C4484">
              <w:rPr>
                <w:noProof/>
                <w:sz w:val="10"/>
                <w:szCs w:val="10"/>
                <w:lang w:val="fr-BE"/>
              </w:rPr>
              <w:t>0,00</w:t>
            </w:r>
          </w:p>
        </w:tc>
      </w:tr>
      <w:tr w:rsidR="006B2EC1" w14:paraId="75BD9BC1" w14:textId="77777777" w:rsidTr="0047688D">
        <w:tc>
          <w:tcPr>
            <w:tcW w:w="0" w:type="auto"/>
            <w:shd w:val="clear" w:color="auto" w:fill="auto"/>
          </w:tcPr>
          <w:p w14:paraId="2CF26437" w14:textId="77777777" w:rsidR="008C5CFA" w:rsidRPr="001C4484" w:rsidRDefault="00E82A60" w:rsidP="00300A01">
            <w:pPr>
              <w:spacing w:before="0" w:after="0"/>
              <w:rPr>
                <w:sz w:val="10"/>
                <w:szCs w:val="10"/>
                <w:lang w:val="fr-BE"/>
              </w:rPr>
            </w:pPr>
            <w:r w:rsidRPr="001C4484">
              <w:rPr>
                <w:noProof/>
                <w:sz w:val="10"/>
                <w:szCs w:val="10"/>
                <w:lang w:val="fr-BE"/>
              </w:rPr>
              <w:t>CO08</w:t>
            </w:r>
          </w:p>
        </w:tc>
        <w:tc>
          <w:tcPr>
            <w:tcW w:w="0" w:type="auto"/>
            <w:shd w:val="clear" w:color="auto" w:fill="auto"/>
          </w:tcPr>
          <w:p w14:paraId="69FB4E25" w14:textId="77777777" w:rsidR="008C5CFA" w:rsidRPr="001C4484" w:rsidRDefault="00E82A60" w:rsidP="00300A01">
            <w:pPr>
              <w:spacing w:before="0" w:after="0"/>
              <w:rPr>
                <w:sz w:val="10"/>
                <w:szCs w:val="10"/>
                <w:lang w:val="fr-BE"/>
              </w:rPr>
            </w:pPr>
            <w:r w:rsidRPr="001C4484">
              <w:rPr>
                <w:noProof/>
                <w:sz w:val="10"/>
                <w:szCs w:val="10"/>
                <w:lang w:val="fr-BE"/>
              </w:rPr>
              <w:t>osoby powyżej 54 lat, które są bezrobotne, łącznie z długotrwale bezrobotnymi, lub są bierne zawodowo i nie uczestniczą w kształceniu ani szkoleniu</w:t>
            </w:r>
          </w:p>
        </w:tc>
        <w:tc>
          <w:tcPr>
            <w:tcW w:w="0" w:type="auto"/>
            <w:shd w:val="clear" w:color="auto" w:fill="auto"/>
          </w:tcPr>
          <w:p w14:paraId="68F1DC2C"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2198720E" w14:textId="77777777" w:rsidR="008C5CFA" w:rsidRPr="001C4484" w:rsidRDefault="00E82A60" w:rsidP="00300A01">
            <w:pPr>
              <w:spacing w:before="0" w:after="0"/>
              <w:jc w:val="right"/>
              <w:rPr>
                <w:sz w:val="10"/>
                <w:szCs w:val="10"/>
              </w:rPr>
            </w:pPr>
            <w:r>
              <w:rPr>
                <w:noProof/>
                <w:sz w:val="10"/>
                <w:szCs w:val="10"/>
              </w:rPr>
              <w:t>338,00</w:t>
            </w:r>
          </w:p>
        </w:tc>
        <w:tc>
          <w:tcPr>
            <w:tcW w:w="0" w:type="auto"/>
            <w:shd w:val="clear" w:color="auto" w:fill="auto"/>
          </w:tcPr>
          <w:p w14:paraId="705C5667" w14:textId="77777777" w:rsidR="008C5CFA" w:rsidRPr="001C4484" w:rsidRDefault="00E82A60" w:rsidP="00300A01">
            <w:pPr>
              <w:spacing w:before="0" w:after="0"/>
              <w:jc w:val="right"/>
              <w:rPr>
                <w:sz w:val="10"/>
                <w:szCs w:val="10"/>
              </w:rPr>
            </w:pPr>
            <w:r w:rsidRPr="001C4484">
              <w:rPr>
                <w:noProof/>
                <w:sz w:val="10"/>
                <w:szCs w:val="10"/>
              </w:rPr>
              <w:t>211,00</w:t>
            </w:r>
          </w:p>
        </w:tc>
        <w:tc>
          <w:tcPr>
            <w:tcW w:w="0" w:type="auto"/>
            <w:shd w:val="clear" w:color="auto" w:fill="auto"/>
          </w:tcPr>
          <w:p w14:paraId="216BAD06" w14:textId="77777777" w:rsidR="008C5CFA" w:rsidRPr="001C4484" w:rsidRDefault="00E82A60" w:rsidP="00300A01">
            <w:pPr>
              <w:spacing w:before="0" w:after="0"/>
              <w:jc w:val="right"/>
              <w:rPr>
                <w:sz w:val="10"/>
                <w:szCs w:val="10"/>
                <w:lang w:val="fr-BE"/>
              </w:rPr>
            </w:pPr>
            <w:r w:rsidRPr="001C4484">
              <w:rPr>
                <w:noProof/>
                <w:sz w:val="10"/>
                <w:szCs w:val="10"/>
              </w:rPr>
              <w:t>127,00</w:t>
            </w:r>
          </w:p>
        </w:tc>
        <w:tc>
          <w:tcPr>
            <w:tcW w:w="0" w:type="auto"/>
          </w:tcPr>
          <w:p w14:paraId="3AD97F8B"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44FED276"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7EDCBFF8" w14:textId="77777777" w:rsidR="008C5CFA" w:rsidRPr="001C4484" w:rsidRDefault="00E82A60" w:rsidP="00300A01">
            <w:pPr>
              <w:spacing w:before="0" w:after="0"/>
              <w:jc w:val="right"/>
              <w:rPr>
                <w:sz w:val="10"/>
                <w:szCs w:val="10"/>
                <w:lang w:val="fr-BE"/>
              </w:rPr>
            </w:pPr>
            <w:r w:rsidRPr="001C4484">
              <w:rPr>
                <w:noProof/>
                <w:sz w:val="10"/>
                <w:szCs w:val="10"/>
                <w:lang w:val="fr-BE"/>
              </w:rPr>
              <w:t>0,00</w:t>
            </w:r>
          </w:p>
        </w:tc>
      </w:tr>
      <w:tr w:rsidR="006B2EC1" w14:paraId="65471D15" w14:textId="77777777" w:rsidTr="0047688D">
        <w:tc>
          <w:tcPr>
            <w:tcW w:w="0" w:type="auto"/>
            <w:shd w:val="clear" w:color="auto" w:fill="auto"/>
          </w:tcPr>
          <w:p w14:paraId="060D3553" w14:textId="77777777" w:rsidR="008C5CFA" w:rsidRPr="001C4484" w:rsidRDefault="00E82A60" w:rsidP="00300A01">
            <w:pPr>
              <w:spacing w:before="0" w:after="0"/>
              <w:rPr>
                <w:sz w:val="10"/>
                <w:szCs w:val="10"/>
                <w:lang w:val="fr-BE"/>
              </w:rPr>
            </w:pPr>
            <w:r w:rsidRPr="001C4484">
              <w:rPr>
                <w:noProof/>
                <w:sz w:val="10"/>
                <w:szCs w:val="10"/>
                <w:lang w:val="fr-BE"/>
              </w:rPr>
              <w:t>CO09</w:t>
            </w:r>
          </w:p>
        </w:tc>
        <w:tc>
          <w:tcPr>
            <w:tcW w:w="0" w:type="auto"/>
            <w:shd w:val="clear" w:color="auto" w:fill="auto"/>
          </w:tcPr>
          <w:p w14:paraId="43C36E85" w14:textId="77777777" w:rsidR="008C5CFA" w:rsidRPr="001C4484" w:rsidRDefault="00E82A60" w:rsidP="00300A01">
            <w:pPr>
              <w:spacing w:before="0" w:after="0"/>
              <w:rPr>
                <w:sz w:val="10"/>
                <w:szCs w:val="10"/>
                <w:lang w:val="fr-BE"/>
              </w:rPr>
            </w:pPr>
            <w:r w:rsidRPr="001C4484">
              <w:rPr>
                <w:noProof/>
                <w:sz w:val="10"/>
                <w:szCs w:val="10"/>
                <w:lang w:val="fr-BE"/>
              </w:rPr>
              <w:t>osoby z wykształceniem podstawowym (ISCED 1) lub średnim I stopnia (ISCED 2)</w:t>
            </w:r>
          </w:p>
        </w:tc>
        <w:tc>
          <w:tcPr>
            <w:tcW w:w="0" w:type="auto"/>
            <w:shd w:val="clear" w:color="auto" w:fill="auto"/>
          </w:tcPr>
          <w:p w14:paraId="3B73B517"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60F705DA" w14:textId="77777777" w:rsidR="008C5CFA" w:rsidRPr="001C4484" w:rsidRDefault="00E82A60" w:rsidP="00300A01">
            <w:pPr>
              <w:spacing w:before="0" w:after="0"/>
              <w:jc w:val="right"/>
              <w:rPr>
                <w:sz w:val="10"/>
                <w:szCs w:val="10"/>
              </w:rPr>
            </w:pPr>
            <w:r>
              <w:rPr>
                <w:noProof/>
                <w:sz w:val="10"/>
                <w:szCs w:val="10"/>
              </w:rPr>
              <w:t>368,00</w:t>
            </w:r>
          </w:p>
        </w:tc>
        <w:tc>
          <w:tcPr>
            <w:tcW w:w="0" w:type="auto"/>
            <w:shd w:val="clear" w:color="auto" w:fill="auto"/>
          </w:tcPr>
          <w:p w14:paraId="7FA85582" w14:textId="77777777" w:rsidR="008C5CFA" w:rsidRPr="001C4484" w:rsidRDefault="00E82A60" w:rsidP="00300A01">
            <w:pPr>
              <w:spacing w:before="0" w:after="0"/>
              <w:jc w:val="right"/>
              <w:rPr>
                <w:sz w:val="10"/>
                <w:szCs w:val="10"/>
              </w:rPr>
            </w:pPr>
            <w:r w:rsidRPr="001C4484">
              <w:rPr>
                <w:noProof/>
                <w:sz w:val="10"/>
                <w:szCs w:val="10"/>
              </w:rPr>
              <w:t>192,00</w:t>
            </w:r>
          </w:p>
        </w:tc>
        <w:tc>
          <w:tcPr>
            <w:tcW w:w="0" w:type="auto"/>
            <w:shd w:val="clear" w:color="auto" w:fill="auto"/>
          </w:tcPr>
          <w:p w14:paraId="77E549D8" w14:textId="77777777" w:rsidR="008C5CFA" w:rsidRPr="001C4484" w:rsidRDefault="00E82A60" w:rsidP="00300A01">
            <w:pPr>
              <w:spacing w:before="0" w:after="0"/>
              <w:jc w:val="right"/>
              <w:rPr>
                <w:sz w:val="10"/>
                <w:szCs w:val="10"/>
                <w:lang w:val="fr-BE"/>
              </w:rPr>
            </w:pPr>
            <w:r w:rsidRPr="001C4484">
              <w:rPr>
                <w:noProof/>
                <w:sz w:val="10"/>
                <w:szCs w:val="10"/>
              </w:rPr>
              <w:t>176,00</w:t>
            </w:r>
          </w:p>
        </w:tc>
        <w:tc>
          <w:tcPr>
            <w:tcW w:w="0" w:type="auto"/>
          </w:tcPr>
          <w:p w14:paraId="324ED9C8"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1605A04E"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70E39139" w14:textId="77777777" w:rsidR="008C5CFA" w:rsidRPr="001C4484" w:rsidRDefault="00E82A60" w:rsidP="00300A01">
            <w:pPr>
              <w:spacing w:before="0" w:after="0"/>
              <w:jc w:val="right"/>
              <w:rPr>
                <w:sz w:val="10"/>
                <w:szCs w:val="10"/>
                <w:lang w:val="fr-BE"/>
              </w:rPr>
            </w:pPr>
            <w:r w:rsidRPr="001C4484">
              <w:rPr>
                <w:noProof/>
                <w:sz w:val="10"/>
                <w:szCs w:val="10"/>
                <w:lang w:val="fr-BE"/>
              </w:rPr>
              <w:t>0,00</w:t>
            </w:r>
          </w:p>
        </w:tc>
      </w:tr>
      <w:tr w:rsidR="006B2EC1" w14:paraId="1CAA0785" w14:textId="77777777" w:rsidTr="0047688D">
        <w:tc>
          <w:tcPr>
            <w:tcW w:w="0" w:type="auto"/>
            <w:shd w:val="clear" w:color="auto" w:fill="auto"/>
          </w:tcPr>
          <w:p w14:paraId="7433A5B0" w14:textId="77777777" w:rsidR="008C5CFA" w:rsidRPr="001C4484" w:rsidRDefault="00E82A60" w:rsidP="00300A01">
            <w:pPr>
              <w:spacing w:before="0" w:after="0"/>
              <w:rPr>
                <w:sz w:val="10"/>
                <w:szCs w:val="10"/>
                <w:lang w:val="fr-BE"/>
              </w:rPr>
            </w:pPr>
            <w:r w:rsidRPr="001C4484">
              <w:rPr>
                <w:noProof/>
                <w:sz w:val="10"/>
                <w:szCs w:val="10"/>
                <w:lang w:val="fr-BE"/>
              </w:rPr>
              <w:t>CO10</w:t>
            </w:r>
          </w:p>
        </w:tc>
        <w:tc>
          <w:tcPr>
            <w:tcW w:w="0" w:type="auto"/>
            <w:shd w:val="clear" w:color="auto" w:fill="auto"/>
          </w:tcPr>
          <w:p w14:paraId="7C6842D3" w14:textId="77777777" w:rsidR="008C5CFA" w:rsidRPr="001C4484" w:rsidRDefault="00E82A60" w:rsidP="00300A01">
            <w:pPr>
              <w:spacing w:before="0" w:after="0"/>
              <w:rPr>
                <w:sz w:val="10"/>
                <w:szCs w:val="10"/>
                <w:lang w:val="fr-BE"/>
              </w:rPr>
            </w:pPr>
            <w:r w:rsidRPr="001C4484">
              <w:rPr>
                <w:noProof/>
                <w:sz w:val="10"/>
                <w:szCs w:val="10"/>
                <w:lang w:val="fr-BE"/>
              </w:rPr>
              <w:t>osoby z wykształceniem średnim II stopnia (ISCED 3) lub policealnym (ISCED 4)</w:t>
            </w:r>
          </w:p>
        </w:tc>
        <w:tc>
          <w:tcPr>
            <w:tcW w:w="0" w:type="auto"/>
            <w:shd w:val="clear" w:color="auto" w:fill="auto"/>
          </w:tcPr>
          <w:p w14:paraId="46D89C73"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7EF6D518" w14:textId="77777777" w:rsidR="008C5CFA" w:rsidRPr="001C4484" w:rsidRDefault="00E82A60" w:rsidP="00300A01">
            <w:pPr>
              <w:spacing w:before="0" w:after="0"/>
              <w:jc w:val="right"/>
              <w:rPr>
                <w:sz w:val="10"/>
                <w:szCs w:val="10"/>
              </w:rPr>
            </w:pPr>
            <w:r>
              <w:rPr>
                <w:noProof/>
                <w:sz w:val="10"/>
                <w:szCs w:val="10"/>
              </w:rPr>
              <w:t>1 897,00</w:t>
            </w:r>
          </w:p>
        </w:tc>
        <w:tc>
          <w:tcPr>
            <w:tcW w:w="0" w:type="auto"/>
            <w:shd w:val="clear" w:color="auto" w:fill="auto"/>
          </w:tcPr>
          <w:p w14:paraId="5E59FA72" w14:textId="77777777" w:rsidR="008C5CFA" w:rsidRPr="001C4484" w:rsidRDefault="00E82A60" w:rsidP="00300A01">
            <w:pPr>
              <w:spacing w:before="0" w:after="0"/>
              <w:jc w:val="right"/>
              <w:rPr>
                <w:sz w:val="10"/>
                <w:szCs w:val="10"/>
              </w:rPr>
            </w:pPr>
            <w:r w:rsidRPr="001C4484">
              <w:rPr>
                <w:noProof/>
                <w:sz w:val="10"/>
                <w:szCs w:val="10"/>
              </w:rPr>
              <w:t>801,00</w:t>
            </w:r>
          </w:p>
        </w:tc>
        <w:tc>
          <w:tcPr>
            <w:tcW w:w="0" w:type="auto"/>
            <w:shd w:val="clear" w:color="auto" w:fill="auto"/>
          </w:tcPr>
          <w:p w14:paraId="3CE9C3A7" w14:textId="77777777" w:rsidR="008C5CFA" w:rsidRPr="001C4484" w:rsidRDefault="00E82A60" w:rsidP="00300A01">
            <w:pPr>
              <w:spacing w:before="0" w:after="0"/>
              <w:jc w:val="right"/>
              <w:rPr>
                <w:sz w:val="10"/>
                <w:szCs w:val="10"/>
                <w:lang w:val="fr-BE"/>
              </w:rPr>
            </w:pPr>
            <w:r w:rsidRPr="001C4484">
              <w:rPr>
                <w:noProof/>
                <w:sz w:val="10"/>
                <w:szCs w:val="10"/>
              </w:rPr>
              <w:t>1 096,00</w:t>
            </w:r>
          </w:p>
        </w:tc>
        <w:tc>
          <w:tcPr>
            <w:tcW w:w="0" w:type="auto"/>
          </w:tcPr>
          <w:p w14:paraId="6F03A825"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7A568268"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63D5D06E" w14:textId="77777777" w:rsidR="008C5CFA" w:rsidRPr="001C4484" w:rsidRDefault="00E82A60" w:rsidP="00300A01">
            <w:pPr>
              <w:spacing w:before="0" w:after="0"/>
              <w:jc w:val="right"/>
              <w:rPr>
                <w:sz w:val="10"/>
                <w:szCs w:val="10"/>
                <w:lang w:val="fr-BE"/>
              </w:rPr>
            </w:pPr>
            <w:r w:rsidRPr="001C4484">
              <w:rPr>
                <w:noProof/>
                <w:sz w:val="10"/>
                <w:szCs w:val="10"/>
                <w:lang w:val="fr-BE"/>
              </w:rPr>
              <w:t>0,00</w:t>
            </w:r>
          </w:p>
        </w:tc>
      </w:tr>
      <w:tr w:rsidR="006B2EC1" w14:paraId="10D4DA98" w14:textId="77777777" w:rsidTr="0047688D">
        <w:tc>
          <w:tcPr>
            <w:tcW w:w="0" w:type="auto"/>
            <w:shd w:val="clear" w:color="auto" w:fill="auto"/>
          </w:tcPr>
          <w:p w14:paraId="41EF40F3" w14:textId="77777777" w:rsidR="008C5CFA" w:rsidRPr="001C4484" w:rsidRDefault="00E82A60" w:rsidP="00300A01">
            <w:pPr>
              <w:spacing w:before="0" w:after="0"/>
              <w:rPr>
                <w:sz w:val="10"/>
                <w:szCs w:val="10"/>
                <w:lang w:val="fr-BE"/>
              </w:rPr>
            </w:pPr>
            <w:r w:rsidRPr="001C4484">
              <w:rPr>
                <w:noProof/>
                <w:sz w:val="10"/>
                <w:szCs w:val="10"/>
                <w:lang w:val="fr-BE"/>
              </w:rPr>
              <w:t>CO11</w:t>
            </w:r>
          </w:p>
        </w:tc>
        <w:tc>
          <w:tcPr>
            <w:tcW w:w="0" w:type="auto"/>
            <w:shd w:val="clear" w:color="auto" w:fill="auto"/>
          </w:tcPr>
          <w:p w14:paraId="129B76A2" w14:textId="77777777" w:rsidR="008C5CFA" w:rsidRPr="001C4484" w:rsidRDefault="00E82A60" w:rsidP="00300A01">
            <w:pPr>
              <w:spacing w:before="0" w:after="0"/>
              <w:rPr>
                <w:sz w:val="10"/>
                <w:szCs w:val="10"/>
                <w:lang w:val="fr-BE"/>
              </w:rPr>
            </w:pPr>
            <w:r w:rsidRPr="001C4484">
              <w:rPr>
                <w:noProof/>
                <w:sz w:val="10"/>
                <w:szCs w:val="10"/>
                <w:lang w:val="fr-BE"/>
              </w:rPr>
              <w:t>osoby z wykształceniem wyższym (ISCED 5 do 8)</w:t>
            </w:r>
          </w:p>
        </w:tc>
        <w:tc>
          <w:tcPr>
            <w:tcW w:w="0" w:type="auto"/>
            <w:shd w:val="clear" w:color="auto" w:fill="auto"/>
          </w:tcPr>
          <w:p w14:paraId="7122DBD9"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6158FA1C" w14:textId="77777777" w:rsidR="008C5CFA" w:rsidRPr="001C4484" w:rsidRDefault="00E82A60" w:rsidP="00300A01">
            <w:pPr>
              <w:spacing w:before="0" w:after="0"/>
              <w:jc w:val="right"/>
              <w:rPr>
                <w:sz w:val="10"/>
                <w:szCs w:val="10"/>
              </w:rPr>
            </w:pPr>
            <w:r>
              <w:rPr>
                <w:noProof/>
                <w:sz w:val="10"/>
                <w:szCs w:val="10"/>
              </w:rPr>
              <w:t>617,00</w:t>
            </w:r>
          </w:p>
        </w:tc>
        <w:tc>
          <w:tcPr>
            <w:tcW w:w="0" w:type="auto"/>
            <w:shd w:val="clear" w:color="auto" w:fill="auto"/>
          </w:tcPr>
          <w:p w14:paraId="2D7FDBC4" w14:textId="77777777" w:rsidR="008C5CFA" w:rsidRPr="001C4484" w:rsidRDefault="00E82A60" w:rsidP="00300A01">
            <w:pPr>
              <w:spacing w:before="0" w:after="0"/>
              <w:jc w:val="right"/>
              <w:rPr>
                <w:sz w:val="10"/>
                <w:szCs w:val="10"/>
              </w:rPr>
            </w:pPr>
            <w:r w:rsidRPr="001C4484">
              <w:rPr>
                <w:noProof/>
                <w:sz w:val="10"/>
                <w:szCs w:val="10"/>
              </w:rPr>
              <w:t>85,00</w:t>
            </w:r>
          </w:p>
        </w:tc>
        <w:tc>
          <w:tcPr>
            <w:tcW w:w="0" w:type="auto"/>
            <w:shd w:val="clear" w:color="auto" w:fill="auto"/>
          </w:tcPr>
          <w:p w14:paraId="1D1EAEA5" w14:textId="77777777" w:rsidR="008C5CFA" w:rsidRPr="001C4484" w:rsidRDefault="00E82A60" w:rsidP="00300A01">
            <w:pPr>
              <w:spacing w:before="0" w:after="0"/>
              <w:jc w:val="right"/>
              <w:rPr>
                <w:sz w:val="10"/>
                <w:szCs w:val="10"/>
                <w:lang w:val="fr-BE"/>
              </w:rPr>
            </w:pPr>
            <w:r w:rsidRPr="001C4484">
              <w:rPr>
                <w:noProof/>
                <w:sz w:val="10"/>
                <w:szCs w:val="10"/>
              </w:rPr>
              <w:t>532,00</w:t>
            </w:r>
          </w:p>
        </w:tc>
        <w:tc>
          <w:tcPr>
            <w:tcW w:w="0" w:type="auto"/>
          </w:tcPr>
          <w:p w14:paraId="3D1EAB83"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5CA68393"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7B128713" w14:textId="77777777" w:rsidR="008C5CFA" w:rsidRPr="001C4484" w:rsidRDefault="00E82A60" w:rsidP="00300A01">
            <w:pPr>
              <w:spacing w:before="0" w:after="0"/>
              <w:jc w:val="right"/>
              <w:rPr>
                <w:sz w:val="10"/>
                <w:szCs w:val="10"/>
                <w:lang w:val="fr-BE"/>
              </w:rPr>
            </w:pPr>
            <w:r w:rsidRPr="001C4484">
              <w:rPr>
                <w:noProof/>
                <w:sz w:val="10"/>
                <w:szCs w:val="10"/>
                <w:lang w:val="fr-BE"/>
              </w:rPr>
              <w:t>0,00</w:t>
            </w:r>
          </w:p>
        </w:tc>
      </w:tr>
      <w:tr w:rsidR="006B2EC1" w14:paraId="23095322" w14:textId="77777777" w:rsidTr="0047688D">
        <w:tc>
          <w:tcPr>
            <w:tcW w:w="0" w:type="auto"/>
            <w:shd w:val="clear" w:color="auto" w:fill="auto"/>
          </w:tcPr>
          <w:p w14:paraId="50D2A1E7" w14:textId="77777777" w:rsidR="008C5CFA" w:rsidRPr="001C4484" w:rsidRDefault="00E82A60" w:rsidP="00300A01">
            <w:pPr>
              <w:spacing w:before="0" w:after="0"/>
              <w:rPr>
                <w:sz w:val="10"/>
                <w:szCs w:val="10"/>
                <w:lang w:val="fr-BE"/>
              </w:rPr>
            </w:pPr>
            <w:r w:rsidRPr="001C4484">
              <w:rPr>
                <w:noProof/>
                <w:sz w:val="10"/>
                <w:szCs w:val="10"/>
                <w:lang w:val="fr-BE"/>
              </w:rPr>
              <w:t>CO15</w:t>
            </w:r>
          </w:p>
        </w:tc>
        <w:tc>
          <w:tcPr>
            <w:tcW w:w="0" w:type="auto"/>
            <w:shd w:val="clear" w:color="auto" w:fill="auto"/>
          </w:tcPr>
          <w:p w14:paraId="3B9A0CF6" w14:textId="77777777" w:rsidR="008C5CFA" w:rsidRPr="001C4484" w:rsidRDefault="00E82A60" w:rsidP="00300A01">
            <w:pPr>
              <w:spacing w:before="0" w:after="0"/>
              <w:rPr>
                <w:sz w:val="10"/>
                <w:szCs w:val="10"/>
                <w:lang w:val="fr-BE"/>
              </w:rPr>
            </w:pPr>
            <w:r w:rsidRPr="001C4484">
              <w:rPr>
                <w:noProof/>
                <w:sz w:val="10"/>
                <w:szCs w:val="10"/>
                <w:lang w:val="fr-BE"/>
              </w:rPr>
              <w:t>migranci, uczestnicy obcego pochodzenia, mniejszości (w tym społeczności marginalizowane, takie jak Romowie)</w:t>
            </w:r>
          </w:p>
        </w:tc>
        <w:tc>
          <w:tcPr>
            <w:tcW w:w="0" w:type="auto"/>
            <w:shd w:val="clear" w:color="auto" w:fill="auto"/>
          </w:tcPr>
          <w:p w14:paraId="1FEFFE61"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54FE8DE1" w14:textId="77777777" w:rsidR="008C5CFA" w:rsidRPr="001C4484" w:rsidRDefault="00E82A60" w:rsidP="00300A01">
            <w:pPr>
              <w:spacing w:before="0" w:after="0"/>
              <w:jc w:val="right"/>
              <w:rPr>
                <w:sz w:val="10"/>
                <w:szCs w:val="10"/>
              </w:rPr>
            </w:pPr>
            <w:r>
              <w:rPr>
                <w:noProof/>
                <w:sz w:val="10"/>
                <w:szCs w:val="10"/>
              </w:rPr>
              <w:t>10,00</w:t>
            </w:r>
          </w:p>
        </w:tc>
        <w:tc>
          <w:tcPr>
            <w:tcW w:w="0" w:type="auto"/>
            <w:shd w:val="clear" w:color="auto" w:fill="auto"/>
          </w:tcPr>
          <w:p w14:paraId="4495C4E2" w14:textId="77777777" w:rsidR="008C5CFA" w:rsidRPr="001C4484" w:rsidRDefault="00E82A60" w:rsidP="00300A01">
            <w:pPr>
              <w:spacing w:before="0" w:after="0"/>
              <w:jc w:val="right"/>
              <w:rPr>
                <w:sz w:val="10"/>
                <w:szCs w:val="10"/>
              </w:rPr>
            </w:pPr>
            <w:r w:rsidRPr="001C4484">
              <w:rPr>
                <w:noProof/>
                <w:sz w:val="10"/>
                <w:szCs w:val="10"/>
              </w:rPr>
              <w:t>3,00</w:t>
            </w:r>
          </w:p>
        </w:tc>
        <w:tc>
          <w:tcPr>
            <w:tcW w:w="0" w:type="auto"/>
            <w:shd w:val="clear" w:color="auto" w:fill="auto"/>
          </w:tcPr>
          <w:p w14:paraId="40AEEB44" w14:textId="77777777" w:rsidR="008C5CFA" w:rsidRPr="001C4484" w:rsidRDefault="00E82A60" w:rsidP="00300A01">
            <w:pPr>
              <w:spacing w:before="0" w:after="0"/>
              <w:jc w:val="right"/>
              <w:rPr>
                <w:sz w:val="10"/>
                <w:szCs w:val="10"/>
                <w:lang w:val="fr-BE"/>
              </w:rPr>
            </w:pPr>
            <w:r w:rsidRPr="001C4484">
              <w:rPr>
                <w:noProof/>
                <w:sz w:val="10"/>
                <w:szCs w:val="10"/>
              </w:rPr>
              <w:t>7,00</w:t>
            </w:r>
          </w:p>
        </w:tc>
        <w:tc>
          <w:tcPr>
            <w:tcW w:w="0" w:type="auto"/>
          </w:tcPr>
          <w:p w14:paraId="11846F64"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20B20115"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67E04D7B" w14:textId="77777777" w:rsidR="008C5CFA" w:rsidRPr="001C4484" w:rsidRDefault="00E82A60" w:rsidP="00300A01">
            <w:pPr>
              <w:spacing w:before="0" w:after="0"/>
              <w:jc w:val="right"/>
              <w:rPr>
                <w:sz w:val="10"/>
                <w:szCs w:val="10"/>
                <w:lang w:val="fr-BE"/>
              </w:rPr>
            </w:pPr>
            <w:r w:rsidRPr="001C4484">
              <w:rPr>
                <w:noProof/>
                <w:sz w:val="10"/>
                <w:szCs w:val="10"/>
                <w:lang w:val="fr-BE"/>
              </w:rPr>
              <w:t>0,00</w:t>
            </w:r>
          </w:p>
        </w:tc>
      </w:tr>
      <w:tr w:rsidR="006B2EC1" w14:paraId="209A7B22" w14:textId="77777777" w:rsidTr="0047688D">
        <w:tc>
          <w:tcPr>
            <w:tcW w:w="0" w:type="auto"/>
            <w:shd w:val="clear" w:color="auto" w:fill="auto"/>
          </w:tcPr>
          <w:p w14:paraId="37C704F6" w14:textId="77777777" w:rsidR="008C5CFA" w:rsidRPr="001C4484" w:rsidRDefault="00E82A60" w:rsidP="00300A01">
            <w:pPr>
              <w:spacing w:before="0" w:after="0"/>
              <w:rPr>
                <w:sz w:val="10"/>
                <w:szCs w:val="10"/>
                <w:lang w:val="fr-BE"/>
              </w:rPr>
            </w:pPr>
            <w:r w:rsidRPr="001C4484">
              <w:rPr>
                <w:noProof/>
                <w:sz w:val="10"/>
                <w:szCs w:val="10"/>
                <w:lang w:val="fr-BE"/>
              </w:rPr>
              <w:t>CO16</w:t>
            </w:r>
          </w:p>
        </w:tc>
        <w:tc>
          <w:tcPr>
            <w:tcW w:w="0" w:type="auto"/>
            <w:shd w:val="clear" w:color="auto" w:fill="auto"/>
          </w:tcPr>
          <w:p w14:paraId="69162163" w14:textId="77777777" w:rsidR="008C5CFA" w:rsidRPr="001C4484" w:rsidRDefault="00E82A60" w:rsidP="00300A01">
            <w:pPr>
              <w:spacing w:before="0" w:after="0"/>
              <w:rPr>
                <w:sz w:val="10"/>
                <w:szCs w:val="10"/>
                <w:lang w:val="fr-BE"/>
              </w:rPr>
            </w:pPr>
            <w:r w:rsidRPr="001C4484">
              <w:rPr>
                <w:noProof/>
                <w:sz w:val="10"/>
                <w:szCs w:val="10"/>
                <w:lang w:val="fr-BE"/>
              </w:rPr>
              <w:t>uczestnicy z niepełnosprawnościami</w:t>
            </w:r>
          </w:p>
        </w:tc>
        <w:tc>
          <w:tcPr>
            <w:tcW w:w="0" w:type="auto"/>
            <w:shd w:val="clear" w:color="auto" w:fill="auto"/>
          </w:tcPr>
          <w:p w14:paraId="110BD2DF"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0DA56AD0" w14:textId="77777777" w:rsidR="008C5CFA" w:rsidRPr="001C4484" w:rsidRDefault="00E82A60" w:rsidP="00300A01">
            <w:pPr>
              <w:spacing w:before="0" w:after="0"/>
              <w:jc w:val="right"/>
              <w:rPr>
                <w:sz w:val="10"/>
                <w:szCs w:val="10"/>
              </w:rPr>
            </w:pPr>
            <w:r>
              <w:rPr>
                <w:noProof/>
                <w:sz w:val="10"/>
                <w:szCs w:val="10"/>
              </w:rPr>
              <w:t>229,00</w:t>
            </w:r>
          </w:p>
        </w:tc>
        <w:tc>
          <w:tcPr>
            <w:tcW w:w="0" w:type="auto"/>
            <w:shd w:val="clear" w:color="auto" w:fill="auto"/>
          </w:tcPr>
          <w:p w14:paraId="1DFF7113" w14:textId="77777777" w:rsidR="008C5CFA" w:rsidRPr="001C4484" w:rsidRDefault="00E82A60" w:rsidP="00300A01">
            <w:pPr>
              <w:spacing w:before="0" w:after="0"/>
              <w:jc w:val="right"/>
              <w:rPr>
                <w:sz w:val="10"/>
                <w:szCs w:val="10"/>
              </w:rPr>
            </w:pPr>
            <w:r w:rsidRPr="001C4484">
              <w:rPr>
                <w:noProof/>
                <w:sz w:val="10"/>
                <w:szCs w:val="10"/>
              </w:rPr>
              <w:t>95,00</w:t>
            </w:r>
          </w:p>
        </w:tc>
        <w:tc>
          <w:tcPr>
            <w:tcW w:w="0" w:type="auto"/>
            <w:shd w:val="clear" w:color="auto" w:fill="auto"/>
          </w:tcPr>
          <w:p w14:paraId="6BA1B2A0" w14:textId="77777777" w:rsidR="008C5CFA" w:rsidRPr="001C4484" w:rsidRDefault="00E82A60" w:rsidP="00300A01">
            <w:pPr>
              <w:spacing w:before="0" w:after="0"/>
              <w:jc w:val="right"/>
              <w:rPr>
                <w:sz w:val="10"/>
                <w:szCs w:val="10"/>
                <w:lang w:val="fr-BE"/>
              </w:rPr>
            </w:pPr>
            <w:r w:rsidRPr="001C4484">
              <w:rPr>
                <w:noProof/>
                <w:sz w:val="10"/>
                <w:szCs w:val="10"/>
              </w:rPr>
              <w:t>134,00</w:t>
            </w:r>
          </w:p>
        </w:tc>
        <w:tc>
          <w:tcPr>
            <w:tcW w:w="0" w:type="auto"/>
          </w:tcPr>
          <w:p w14:paraId="354EA454"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2502FC44"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7E9476B2" w14:textId="77777777" w:rsidR="008C5CFA" w:rsidRPr="001C4484" w:rsidRDefault="00E82A60" w:rsidP="00300A01">
            <w:pPr>
              <w:spacing w:before="0" w:after="0"/>
              <w:jc w:val="right"/>
              <w:rPr>
                <w:sz w:val="10"/>
                <w:szCs w:val="10"/>
                <w:lang w:val="fr-BE"/>
              </w:rPr>
            </w:pPr>
            <w:r w:rsidRPr="001C4484">
              <w:rPr>
                <w:noProof/>
                <w:sz w:val="10"/>
                <w:szCs w:val="10"/>
                <w:lang w:val="fr-BE"/>
              </w:rPr>
              <w:t>0,00</w:t>
            </w:r>
          </w:p>
        </w:tc>
      </w:tr>
      <w:tr w:rsidR="006B2EC1" w14:paraId="0F63C315" w14:textId="77777777" w:rsidTr="0047688D">
        <w:tc>
          <w:tcPr>
            <w:tcW w:w="0" w:type="auto"/>
            <w:shd w:val="clear" w:color="auto" w:fill="auto"/>
          </w:tcPr>
          <w:p w14:paraId="6172938D" w14:textId="77777777" w:rsidR="008C5CFA" w:rsidRPr="001C4484" w:rsidRDefault="00E82A60" w:rsidP="00300A01">
            <w:pPr>
              <w:spacing w:before="0" w:after="0"/>
              <w:rPr>
                <w:sz w:val="10"/>
                <w:szCs w:val="10"/>
                <w:lang w:val="fr-BE"/>
              </w:rPr>
            </w:pPr>
            <w:r w:rsidRPr="001C4484">
              <w:rPr>
                <w:noProof/>
                <w:sz w:val="10"/>
                <w:szCs w:val="10"/>
                <w:lang w:val="fr-BE"/>
              </w:rPr>
              <w:t>CO17</w:t>
            </w:r>
          </w:p>
        </w:tc>
        <w:tc>
          <w:tcPr>
            <w:tcW w:w="0" w:type="auto"/>
            <w:shd w:val="clear" w:color="auto" w:fill="auto"/>
          </w:tcPr>
          <w:p w14:paraId="03937E04" w14:textId="77777777" w:rsidR="008C5CFA" w:rsidRPr="001C4484" w:rsidRDefault="00E82A60" w:rsidP="00300A01">
            <w:pPr>
              <w:spacing w:before="0" w:after="0"/>
              <w:rPr>
                <w:sz w:val="10"/>
                <w:szCs w:val="10"/>
                <w:lang w:val="fr-BE"/>
              </w:rPr>
            </w:pPr>
            <w:r w:rsidRPr="001C4484">
              <w:rPr>
                <w:noProof/>
                <w:sz w:val="10"/>
                <w:szCs w:val="10"/>
                <w:lang w:val="fr-BE"/>
              </w:rPr>
              <w:t>inne osoby w niekorzystnej sytuacji społecznej</w:t>
            </w:r>
          </w:p>
        </w:tc>
        <w:tc>
          <w:tcPr>
            <w:tcW w:w="0" w:type="auto"/>
            <w:shd w:val="clear" w:color="auto" w:fill="auto"/>
          </w:tcPr>
          <w:p w14:paraId="4C56013F"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1A7AA4A8" w14:textId="77777777" w:rsidR="008C5CFA" w:rsidRPr="001C4484" w:rsidRDefault="00E82A60" w:rsidP="00300A01">
            <w:pPr>
              <w:spacing w:before="0" w:after="0"/>
              <w:jc w:val="right"/>
              <w:rPr>
                <w:sz w:val="10"/>
                <w:szCs w:val="10"/>
              </w:rPr>
            </w:pPr>
            <w:r>
              <w:rPr>
                <w:noProof/>
                <w:sz w:val="10"/>
                <w:szCs w:val="10"/>
              </w:rPr>
              <w:t>330,00</w:t>
            </w:r>
          </w:p>
        </w:tc>
        <w:tc>
          <w:tcPr>
            <w:tcW w:w="0" w:type="auto"/>
            <w:shd w:val="clear" w:color="auto" w:fill="auto"/>
          </w:tcPr>
          <w:p w14:paraId="6E0B818B" w14:textId="77777777" w:rsidR="008C5CFA" w:rsidRPr="001C4484" w:rsidRDefault="00E82A60" w:rsidP="00300A01">
            <w:pPr>
              <w:spacing w:before="0" w:after="0"/>
              <w:jc w:val="right"/>
              <w:rPr>
                <w:sz w:val="10"/>
                <w:szCs w:val="10"/>
              </w:rPr>
            </w:pPr>
            <w:r w:rsidRPr="001C4484">
              <w:rPr>
                <w:noProof/>
                <w:sz w:val="10"/>
                <w:szCs w:val="10"/>
              </w:rPr>
              <w:t>137,00</w:t>
            </w:r>
          </w:p>
        </w:tc>
        <w:tc>
          <w:tcPr>
            <w:tcW w:w="0" w:type="auto"/>
            <w:shd w:val="clear" w:color="auto" w:fill="auto"/>
          </w:tcPr>
          <w:p w14:paraId="4A759A65" w14:textId="77777777" w:rsidR="008C5CFA" w:rsidRPr="001C4484" w:rsidRDefault="00E82A60" w:rsidP="00300A01">
            <w:pPr>
              <w:spacing w:before="0" w:after="0"/>
              <w:jc w:val="right"/>
              <w:rPr>
                <w:sz w:val="10"/>
                <w:szCs w:val="10"/>
                <w:lang w:val="fr-BE"/>
              </w:rPr>
            </w:pPr>
            <w:r w:rsidRPr="001C4484">
              <w:rPr>
                <w:noProof/>
                <w:sz w:val="10"/>
                <w:szCs w:val="10"/>
              </w:rPr>
              <w:t>193,00</w:t>
            </w:r>
          </w:p>
        </w:tc>
        <w:tc>
          <w:tcPr>
            <w:tcW w:w="0" w:type="auto"/>
          </w:tcPr>
          <w:p w14:paraId="1CB0F9EC"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4C70956C"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16211D0A" w14:textId="77777777" w:rsidR="008C5CFA" w:rsidRPr="001C4484" w:rsidRDefault="00E82A60" w:rsidP="00300A01">
            <w:pPr>
              <w:spacing w:before="0" w:after="0"/>
              <w:jc w:val="right"/>
              <w:rPr>
                <w:sz w:val="10"/>
                <w:szCs w:val="10"/>
                <w:lang w:val="fr-BE"/>
              </w:rPr>
            </w:pPr>
            <w:r w:rsidRPr="001C4484">
              <w:rPr>
                <w:noProof/>
                <w:sz w:val="10"/>
                <w:szCs w:val="10"/>
                <w:lang w:val="fr-BE"/>
              </w:rPr>
              <w:t>0,00</w:t>
            </w:r>
          </w:p>
        </w:tc>
      </w:tr>
      <w:tr w:rsidR="006B2EC1" w14:paraId="4800C302" w14:textId="77777777" w:rsidTr="0047688D">
        <w:tc>
          <w:tcPr>
            <w:tcW w:w="0" w:type="auto"/>
            <w:shd w:val="clear" w:color="auto" w:fill="auto"/>
          </w:tcPr>
          <w:p w14:paraId="013FA3D2" w14:textId="77777777" w:rsidR="008C5CFA" w:rsidRPr="001C4484" w:rsidRDefault="00E82A60" w:rsidP="00300A01">
            <w:pPr>
              <w:spacing w:before="0" w:after="0"/>
              <w:rPr>
                <w:sz w:val="10"/>
                <w:szCs w:val="10"/>
                <w:lang w:val="fr-BE"/>
              </w:rPr>
            </w:pPr>
            <w:r w:rsidRPr="001C4484">
              <w:rPr>
                <w:noProof/>
                <w:sz w:val="10"/>
                <w:szCs w:val="10"/>
                <w:lang w:val="fr-BE"/>
              </w:rPr>
              <w:t>CO18</w:t>
            </w:r>
          </w:p>
        </w:tc>
        <w:tc>
          <w:tcPr>
            <w:tcW w:w="0" w:type="auto"/>
            <w:shd w:val="clear" w:color="auto" w:fill="auto"/>
          </w:tcPr>
          <w:p w14:paraId="017C62B2" w14:textId="77777777" w:rsidR="008C5CFA" w:rsidRPr="001C4484" w:rsidRDefault="00E82A60" w:rsidP="00300A01">
            <w:pPr>
              <w:spacing w:before="0" w:after="0"/>
              <w:rPr>
                <w:sz w:val="10"/>
                <w:szCs w:val="10"/>
                <w:lang w:val="fr-BE"/>
              </w:rPr>
            </w:pPr>
            <w:r w:rsidRPr="001C4484">
              <w:rPr>
                <w:noProof/>
                <w:sz w:val="10"/>
                <w:szCs w:val="10"/>
                <w:lang w:val="fr-BE"/>
              </w:rPr>
              <w:t>osoby bezdomne lub dotknięte wykluczeniem z dostępu do mieszkań</w:t>
            </w:r>
          </w:p>
        </w:tc>
        <w:tc>
          <w:tcPr>
            <w:tcW w:w="0" w:type="auto"/>
            <w:shd w:val="clear" w:color="auto" w:fill="auto"/>
          </w:tcPr>
          <w:p w14:paraId="1BE2EB02"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6B5E6E5F" w14:textId="77777777" w:rsidR="008C5CFA" w:rsidRPr="001C4484" w:rsidRDefault="00E82A60" w:rsidP="00300A01">
            <w:pPr>
              <w:spacing w:before="0" w:after="0"/>
              <w:jc w:val="right"/>
              <w:rPr>
                <w:sz w:val="10"/>
                <w:szCs w:val="10"/>
              </w:rPr>
            </w:pPr>
            <w:r>
              <w:rPr>
                <w:noProof/>
                <w:sz w:val="10"/>
                <w:szCs w:val="10"/>
              </w:rPr>
              <w:t>13,00</w:t>
            </w:r>
          </w:p>
        </w:tc>
        <w:tc>
          <w:tcPr>
            <w:tcW w:w="0" w:type="auto"/>
            <w:shd w:val="clear" w:color="auto" w:fill="auto"/>
          </w:tcPr>
          <w:p w14:paraId="20BD1E60" w14:textId="77777777" w:rsidR="008C5CFA" w:rsidRPr="001C4484" w:rsidRDefault="00E82A60" w:rsidP="00300A01">
            <w:pPr>
              <w:spacing w:before="0" w:after="0"/>
              <w:jc w:val="right"/>
              <w:rPr>
                <w:sz w:val="10"/>
                <w:szCs w:val="10"/>
              </w:rPr>
            </w:pPr>
            <w:r w:rsidRPr="001C4484">
              <w:rPr>
                <w:noProof/>
                <w:sz w:val="10"/>
                <w:szCs w:val="10"/>
              </w:rPr>
              <w:t>7,00</w:t>
            </w:r>
          </w:p>
        </w:tc>
        <w:tc>
          <w:tcPr>
            <w:tcW w:w="0" w:type="auto"/>
            <w:shd w:val="clear" w:color="auto" w:fill="auto"/>
          </w:tcPr>
          <w:p w14:paraId="1242FB4E" w14:textId="77777777" w:rsidR="008C5CFA" w:rsidRPr="001C4484" w:rsidRDefault="00E82A60" w:rsidP="00300A01">
            <w:pPr>
              <w:spacing w:before="0" w:after="0"/>
              <w:jc w:val="right"/>
              <w:rPr>
                <w:sz w:val="10"/>
                <w:szCs w:val="10"/>
                <w:lang w:val="fr-BE"/>
              </w:rPr>
            </w:pPr>
            <w:r w:rsidRPr="001C4484">
              <w:rPr>
                <w:noProof/>
                <w:sz w:val="10"/>
                <w:szCs w:val="10"/>
              </w:rPr>
              <w:t>6,00</w:t>
            </w:r>
          </w:p>
        </w:tc>
        <w:tc>
          <w:tcPr>
            <w:tcW w:w="0" w:type="auto"/>
          </w:tcPr>
          <w:p w14:paraId="2EAF9C2E"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22075712"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0EA41686" w14:textId="77777777" w:rsidR="008C5CFA" w:rsidRPr="001C4484" w:rsidRDefault="00E82A60" w:rsidP="00300A01">
            <w:pPr>
              <w:spacing w:before="0" w:after="0"/>
              <w:jc w:val="right"/>
              <w:rPr>
                <w:sz w:val="10"/>
                <w:szCs w:val="10"/>
                <w:lang w:val="fr-BE"/>
              </w:rPr>
            </w:pPr>
            <w:r w:rsidRPr="001C4484">
              <w:rPr>
                <w:noProof/>
                <w:sz w:val="10"/>
                <w:szCs w:val="10"/>
                <w:lang w:val="fr-BE"/>
              </w:rPr>
              <w:t>0,00</w:t>
            </w:r>
          </w:p>
        </w:tc>
      </w:tr>
      <w:tr w:rsidR="006B2EC1" w14:paraId="5EAA26C0" w14:textId="77777777" w:rsidTr="0047688D">
        <w:tc>
          <w:tcPr>
            <w:tcW w:w="0" w:type="auto"/>
            <w:shd w:val="clear" w:color="auto" w:fill="auto"/>
          </w:tcPr>
          <w:p w14:paraId="604603A2" w14:textId="77777777" w:rsidR="008C5CFA" w:rsidRPr="001C4484" w:rsidRDefault="00E82A60" w:rsidP="00300A01">
            <w:pPr>
              <w:spacing w:before="0" w:after="0"/>
              <w:rPr>
                <w:sz w:val="10"/>
                <w:szCs w:val="10"/>
                <w:lang w:val="fr-BE"/>
              </w:rPr>
            </w:pPr>
            <w:r w:rsidRPr="001C4484">
              <w:rPr>
                <w:noProof/>
                <w:sz w:val="10"/>
                <w:szCs w:val="10"/>
                <w:lang w:val="fr-BE"/>
              </w:rPr>
              <w:t>CO19</w:t>
            </w:r>
          </w:p>
        </w:tc>
        <w:tc>
          <w:tcPr>
            <w:tcW w:w="0" w:type="auto"/>
            <w:shd w:val="clear" w:color="auto" w:fill="auto"/>
          </w:tcPr>
          <w:p w14:paraId="79064ADE" w14:textId="77777777" w:rsidR="008C5CFA" w:rsidRPr="001C4484" w:rsidRDefault="00E82A60" w:rsidP="00300A01">
            <w:pPr>
              <w:spacing w:before="0" w:after="0"/>
              <w:rPr>
                <w:sz w:val="10"/>
                <w:szCs w:val="10"/>
                <w:lang w:val="fr-BE"/>
              </w:rPr>
            </w:pPr>
            <w:r w:rsidRPr="001C4484">
              <w:rPr>
                <w:noProof/>
                <w:sz w:val="10"/>
                <w:szCs w:val="10"/>
                <w:lang w:val="fr-BE"/>
              </w:rPr>
              <w:t>osoby pochodzące z obszarów wiejskich</w:t>
            </w:r>
          </w:p>
        </w:tc>
        <w:tc>
          <w:tcPr>
            <w:tcW w:w="0" w:type="auto"/>
            <w:shd w:val="clear" w:color="auto" w:fill="auto"/>
          </w:tcPr>
          <w:p w14:paraId="017331DF"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3B4CD802" w14:textId="77777777" w:rsidR="008C5CFA" w:rsidRPr="001C4484" w:rsidRDefault="00E82A60" w:rsidP="00300A01">
            <w:pPr>
              <w:spacing w:before="0" w:after="0"/>
              <w:jc w:val="right"/>
              <w:rPr>
                <w:sz w:val="10"/>
                <w:szCs w:val="10"/>
              </w:rPr>
            </w:pPr>
            <w:r>
              <w:rPr>
                <w:noProof/>
                <w:sz w:val="10"/>
                <w:szCs w:val="10"/>
              </w:rPr>
              <w:t>1 655,00</w:t>
            </w:r>
          </w:p>
        </w:tc>
        <w:tc>
          <w:tcPr>
            <w:tcW w:w="0" w:type="auto"/>
            <w:shd w:val="clear" w:color="auto" w:fill="auto"/>
          </w:tcPr>
          <w:p w14:paraId="0E078DB6" w14:textId="77777777" w:rsidR="008C5CFA" w:rsidRPr="001C4484" w:rsidRDefault="00E82A60" w:rsidP="00300A01">
            <w:pPr>
              <w:spacing w:before="0" w:after="0"/>
              <w:jc w:val="right"/>
              <w:rPr>
                <w:sz w:val="10"/>
                <w:szCs w:val="10"/>
              </w:rPr>
            </w:pPr>
            <w:r w:rsidRPr="001C4484">
              <w:rPr>
                <w:noProof/>
                <w:sz w:val="10"/>
                <w:szCs w:val="10"/>
              </w:rPr>
              <w:t>534,00</w:t>
            </w:r>
          </w:p>
        </w:tc>
        <w:tc>
          <w:tcPr>
            <w:tcW w:w="0" w:type="auto"/>
            <w:shd w:val="clear" w:color="auto" w:fill="auto"/>
          </w:tcPr>
          <w:p w14:paraId="52D43AE9" w14:textId="77777777" w:rsidR="008C5CFA" w:rsidRPr="001C4484" w:rsidRDefault="00E82A60" w:rsidP="00300A01">
            <w:pPr>
              <w:spacing w:before="0" w:after="0"/>
              <w:jc w:val="right"/>
              <w:rPr>
                <w:sz w:val="10"/>
                <w:szCs w:val="10"/>
                <w:lang w:val="fr-BE"/>
              </w:rPr>
            </w:pPr>
            <w:r w:rsidRPr="001C4484">
              <w:rPr>
                <w:noProof/>
                <w:sz w:val="10"/>
                <w:szCs w:val="10"/>
              </w:rPr>
              <w:t>1 121,00</w:t>
            </w:r>
          </w:p>
        </w:tc>
        <w:tc>
          <w:tcPr>
            <w:tcW w:w="0" w:type="auto"/>
          </w:tcPr>
          <w:p w14:paraId="32E4D489"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0FBA6816"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7D37BF13" w14:textId="77777777" w:rsidR="008C5CFA" w:rsidRPr="001C4484" w:rsidRDefault="00E82A60" w:rsidP="00300A01">
            <w:pPr>
              <w:spacing w:before="0" w:after="0"/>
              <w:jc w:val="right"/>
              <w:rPr>
                <w:sz w:val="10"/>
                <w:szCs w:val="10"/>
                <w:lang w:val="fr-BE"/>
              </w:rPr>
            </w:pPr>
            <w:r w:rsidRPr="001C4484">
              <w:rPr>
                <w:noProof/>
                <w:sz w:val="10"/>
                <w:szCs w:val="10"/>
                <w:lang w:val="fr-BE"/>
              </w:rPr>
              <w:t>0,00</w:t>
            </w:r>
          </w:p>
        </w:tc>
      </w:tr>
      <w:tr w:rsidR="006B2EC1" w14:paraId="3FBD88EB" w14:textId="77777777" w:rsidTr="0047688D">
        <w:tc>
          <w:tcPr>
            <w:tcW w:w="0" w:type="auto"/>
            <w:shd w:val="clear" w:color="auto" w:fill="auto"/>
          </w:tcPr>
          <w:p w14:paraId="409D6E7D" w14:textId="77777777" w:rsidR="008C5CFA" w:rsidRPr="001C4484" w:rsidRDefault="00E82A60" w:rsidP="00300A01">
            <w:pPr>
              <w:spacing w:before="0" w:after="0"/>
              <w:rPr>
                <w:sz w:val="10"/>
                <w:szCs w:val="10"/>
                <w:lang w:val="fr-BE"/>
              </w:rPr>
            </w:pPr>
            <w:r w:rsidRPr="001C4484">
              <w:rPr>
                <w:noProof/>
                <w:sz w:val="10"/>
                <w:szCs w:val="10"/>
                <w:lang w:val="fr-BE"/>
              </w:rPr>
              <w:t>CO20</w:t>
            </w:r>
          </w:p>
        </w:tc>
        <w:tc>
          <w:tcPr>
            <w:tcW w:w="0" w:type="auto"/>
            <w:shd w:val="clear" w:color="auto" w:fill="auto"/>
          </w:tcPr>
          <w:p w14:paraId="72A489F9" w14:textId="77777777" w:rsidR="008C5CFA" w:rsidRPr="001C4484" w:rsidRDefault="00E82A60" w:rsidP="00300A01">
            <w:pPr>
              <w:spacing w:before="0" w:after="0"/>
              <w:rPr>
                <w:sz w:val="10"/>
                <w:szCs w:val="10"/>
                <w:lang w:val="fr-BE"/>
              </w:rPr>
            </w:pPr>
            <w:r w:rsidRPr="001C4484">
              <w:rPr>
                <w:noProof/>
                <w:sz w:val="10"/>
                <w:szCs w:val="10"/>
                <w:lang w:val="fr-BE"/>
              </w:rPr>
              <w:t>liczba projektów zrealizowanych w pełni lub częściowo przez partnerów społecznych lub organizacje pozarządowe</w:t>
            </w:r>
          </w:p>
        </w:tc>
        <w:tc>
          <w:tcPr>
            <w:tcW w:w="0" w:type="auto"/>
            <w:shd w:val="clear" w:color="auto" w:fill="auto"/>
          </w:tcPr>
          <w:p w14:paraId="2D4E0A1F"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25E71A0F"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2DDF8046" w14:textId="77777777" w:rsidR="008C5CFA" w:rsidRPr="001C4484" w:rsidRDefault="008C5CFA" w:rsidP="00300A01">
            <w:pPr>
              <w:spacing w:before="0" w:after="0"/>
              <w:jc w:val="right"/>
              <w:rPr>
                <w:sz w:val="10"/>
                <w:szCs w:val="10"/>
              </w:rPr>
            </w:pPr>
          </w:p>
        </w:tc>
        <w:tc>
          <w:tcPr>
            <w:tcW w:w="0" w:type="auto"/>
            <w:shd w:val="clear" w:color="auto" w:fill="auto"/>
          </w:tcPr>
          <w:p w14:paraId="7248DA90" w14:textId="77777777" w:rsidR="008C5CFA" w:rsidRPr="001C4484" w:rsidRDefault="008C5CFA" w:rsidP="00300A01">
            <w:pPr>
              <w:spacing w:before="0" w:after="0"/>
              <w:jc w:val="right"/>
              <w:rPr>
                <w:sz w:val="10"/>
                <w:szCs w:val="10"/>
                <w:lang w:val="fr-BE"/>
              </w:rPr>
            </w:pPr>
          </w:p>
        </w:tc>
        <w:tc>
          <w:tcPr>
            <w:tcW w:w="0" w:type="auto"/>
          </w:tcPr>
          <w:p w14:paraId="6FF5BE0C"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4188B664" w14:textId="77777777" w:rsidR="008C5CFA" w:rsidRPr="001C4484" w:rsidRDefault="008C5CFA" w:rsidP="00300A01">
            <w:pPr>
              <w:spacing w:before="0" w:after="0"/>
              <w:jc w:val="right"/>
              <w:rPr>
                <w:sz w:val="10"/>
                <w:szCs w:val="10"/>
              </w:rPr>
            </w:pPr>
          </w:p>
        </w:tc>
        <w:tc>
          <w:tcPr>
            <w:tcW w:w="0" w:type="auto"/>
            <w:shd w:val="clear" w:color="auto" w:fill="auto"/>
          </w:tcPr>
          <w:p w14:paraId="34C9E0B0" w14:textId="77777777" w:rsidR="008C5CFA" w:rsidRPr="001C4484" w:rsidRDefault="008C5CFA" w:rsidP="00300A01">
            <w:pPr>
              <w:spacing w:before="0" w:after="0"/>
              <w:jc w:val="right"/>
              <w:rPr>
                <w:sz w:val="10"/>
                <w:szCs w:val="10"/>
                <w:lang w:val="fr-BE"/>
              </w:rPr>
            </w:pPr>
          </w:p>
        </w:tc>
      </w:tr>
      <w:tr w:rsidR="006B2EC1" w14:paraId="15660814" w14:textId="77777777" w:rsidTr="0047688D">
        <w:tc>
          <w:tcPr>
            <w:tcW w:w="0" w:type="auto"/>
            <w:shd w:val="clear" w:color="auto" w:fill="auto"/>
          </w:tcPr>
          <w:p w14:paraId="653A7610" w14:textId="77777777" w:rsidR="008C5CFA" w:rsidRPr="001C4484" w:rsidRDefault="00E82A60" w:rsidP="00300A01">
            <w:pPr>
              <w:spacing w:before="0" w:after="0"/>
              <w:rPr>
                <w:sz w:val="10"/>
                <w:szCs w:val="10"/>
                <w:lang w:val="fr-BE"/>
              </w:rPr>
            </w:pPr>
            <w:r w:rsidRPr="001C4484">
              <w:rPr>
                <w:noProof/>
                <w:sz w:val="10"/>
                <w:szCs w:val="10"/>
                <w:lang w:val="fr-BE"/>
              </w:rPr>
              <w:t>CO21</w:t>
            </w:r>
          </w:p>
        </w:tc>
        <w:tc>
          <w:tcPr>
            <w:tcW w:w="0" w:type="auto"/>
            <w:shd w:val="clear" w:color="auto" w:fill="auto"/>
          </w:tcPr>
          <w:p w14:paraId="0ED023B9" w14:textId="77777777" w:rsidR="008C5CFA" w:rsidRPr="001C4484" w:rsidRDefault="00E82A60" w:rsidP="00300A01">
            <w:pPr>
              <w:spacing w:before="0" w:after="0"/>
              <w:rPr>
                <w:sz w:val="10"/>
                <w:szCs w:val="10"/>
                <w:lang w:val="fr-BE"/>
              </w:rPr>
            </w:pPr>
            <w:r w:rsidRPr="001C4484">
              <w:rPr>
                <w:noProof/>
                <w:sz w:val="10"/>
                <w:szCs w:val="10"/>
                <w:lang w:val="fr-BE"/>
              </w:rPr>
              <w:t>liczba projektów ukierunkowanych na trwały udział kobiet w zatrudnieniu i rozwój ich kariery zawodowej</w:t>
            </w:r>
          </w:p>
        </w:tc>
        <w:tc>
          <w:tcPr>
            <w:tcW w:w="0" w:type="auto"/>
            <w:shd w:val="clear" w:color="auto" w:fill="auto"/>
          </w:tcPr>
          <w:p w14:paraId="61F736DD"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6400A123"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0732A84A" w14:textId="77777777" w:rsidR="008C5CFA" w:rsidRPr="001C4484" w:rsidRDefault="008C5CFA" w:rsidP="00300A01">
            <w:pPr>
              <w:spacing w:before="0" w:after="0"/>
              <w:jc w:val="right"/>
              <w:rPr>
                <w:sz w:val="10"/>
                <w:szCs w:val="10"/>
              </w:rPr>
            </w:pPr>
          </w:p>
        </w:tc>
        <w:tc>
          <w:tcPr>
            <w:tcW w:w="0" w:type="auto"/>
            <w:shd w:val="clear" w:color="auto" w:fill="auto"/>
          </w:tcPr>
          <w:p w14:paraId="3D6ED9ED" w14:textId="77777777" w:rsidR="008C5CFA" w:rsidRPr="001C4484" w:rsidRDefault="008C5CFA" w:rsidP="00300A01">
            <w:pPr>
              <w:spacing w:before="0" w:after="0"/>
              <w:jc w:val="right"/>
              <w:rPr>
                <w:sz w:val="10"/>
                <w:szCs w:val="10"/>
                <w:lang w:val="fr-BE"/>
              </w:rPr>
            </w:pPr>
          </w:p>
        </w:tc>
        <w:tc>
          <w:tcPr>
            <w:tcW w:w="0" w:type="auto"/>
          </w:tcPr>
          <w:p w14:paraId="60AB3808"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23916A11" w14:textId="77777777" w:rsidR="008C5CFA" w:rsidRPr="001C4484" w:rsidRDefault="008C5CFA" w:rsidP="00300A01">
            <w:pPr>
              <w:spacing w:before="0" w:after="0"/>
              <w:jc w:val="right"/>
              <w:rPr>
                <w:sz w:val="10"/>
                <w:szCs w:val="10"/>
              </w:rPr>
            </w:pPr>
          </w:p>
        </w:tc>
        <w:tc>
          <w:tcPr>
            <w:tcW w:w="0" w:type="auto"/>
            <w:shd w:val="clear" w:color="auto" w:fill="auto"/>
          </w:tcPr>
          <w:p w14:paraId="1C9EDBE1" w14:textId="77777777" w:rsidR="008C5CFA" w:rsidRPr="001C4484" w:rsidRDefault="008C5CFA" w:rsidP="00300A01">
            <w:pPr>
              <w:spacing w:before="0" w:after="0"/>
              <w:jc w:val="right"/>
              <w:rPr>
                <w:sz w:val="10"/>
                <w:szCs w:val="10"/>
                <w:lang w:val="fr-BE"/>
              </w:rPr>
            </w:pPr>
          </w:p>
        </w:tc>
      </w:tr>
      <w:tr w:rsidR="006B2EC1" w14:paraId="2FA99A1B" w14:textId="77777777" w:rsidTr="0047688D">
        <w:tc>
          <w:tcPr>
            <w:tcW w:w="0" w:type="auto"/>
            <w:shd w:val="clear" w:color="auto" w:fill="auto"/>
          </w:tcPr>
          <w:p w14:paraId="0650A9BB" w14:textId="77777777" w:rsidR="008C5CFA" w:rsidRPr="001C4484" w:rsidRDefault="00E82A60" w:rsidP="00300A01">
            <w:pPr>
              <w:spacing w:before="0" w:after="0"/>
              <w:rPr>
                <w:sz w:val="10"/>
                <w:szCs w:val="10"/>
                <w:lang w:val="fr-BE"/>
              </w:rPr>
            </w:pPr>
            <w:r w:rsidRPr="001C4484">
              <w:rPr>
                <w:noProof/>
                <w:sz w:val="10"/>
                <w:szCs w:val="10"/>
                <w:lang w:val="fr-BE"/>
              </w:rPr>
              <w:t>CO22</w:t>
            </w:r>
          </w:p>
        </w:tc>
        <w:tc>
          <w:tcPr>
            <w:tcW w:w="0" w:type="auto"/>
            <w:shd w:val="clear" w:color="auto" w:fill="auto"/>
          </w:tcPr>
          <w:p w14:paraId="5F8C22D4" w14:textId="77777777" w:rsidR="008C5CFA" w:rsidRPr="001C4484" w:rsidRDefault="00E82A60" w:rsidP="00300A01">
            <w:pPr>
              <w:spacing w:before="0" w:after="0"/>
              <w:rPr>
                <w:sz w:val="10"/>
                <w:szCs w:val="10"/>
                <w:lang w:val="fr-BE"/>
              </w:rPr>
            </w:pPr>
            <w:r w:rsidRPr="001C4484">
              <w:rPr>
                <w:noProof/>
                <w:sz w:val="10"/>
                <w:szCs w:val="10"/>
                <w:lang w:val="fr-BE"/>
              </w:rPr>
              <w:t>liczba projektów obejmujących administrację publiczną lub służby publiczne na szczeblu krajowym, regionalnym lub lokalnym</w:t>
            </w:r>
          </w:p>
        </w:tc>
        <w:tc>
          <w:tcPr>
            <w:tcW w:w="0" w:type="auto"/>
            <w:shd w:val="clear" w:color="auto" w:fill="auto"/>
          </w:tcPr>
          <w:p w14:paraId="1E210C30"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74DD59DD"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6ACD579D" w14:textId="77777777" w:rsidR="008C5CFA" w:rsidRPr="001C4484" w:rsidRDefault="008C5CFA" w:rsidP="00300A01">
            <w:pPr>
              <w:spacing w:before="0" w:after="0"/>
              <w:jc w:val="right"/>
              <w:rPr>
                <w:sz w:val="10"/>
                <w:szCs w:val="10"/>
              </w:rPr>
            </w:pPr>
          </w:p>
        </w:tc>
        <w:tc>
          <w:tcPr>
            <w:tcW w:w="0" w:type="auto"/>
            <w:shd w:val="clear" w:color="auto" w:fill="auto"/>
          </w:tcPr>
          <w:p w14:paraId="62A70444" w14:textId="77777777" w:rsidR="008C5CFA" w:rsidRPr="001C4484" w:rsidRDefault="008C5CFA" w:rsidP="00300A01">
            <w:pPr>
              <w:spacing w:before="0" w:after="0"/>
              <w:jc w:val="right"/>
              <w:rPr>
                <w:sz w:val="10"/>
                <w:szCs w:val="10"/>
                <w:lang w:val="fr-BE"/>
              </w:rPr>
            </w:pPr>
          </w:p>
        </w:tc>
        <w:tc>
          <w:tcPr>
            <w:tcW w:w="0" w:type="auto"/>
          </w:tcPr>
          <w:p w14:paraId="3C5B83A3"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1DD5E360" w14:textId="77777777" w:rsidR="008C5CFA" w:rsidRPr="001C4484" w:rsidRDefault="008C5CFA" w:rsidP="00300A01">
            <w:pPr>
              <w:spacing w:before="0" w:after="0"/>
              <w:jc w:val="right"/>
              <w:rPr>
                <w:sz w:val="10"/>
                <w:szCs w:val="10"/>
              </w:rPr>
            </w:pPr>
          </w:p>
        </w:tc>
        <w:tc>
          <w:tcPr>
            <w:tcW w:w="0" w:type="auto"/>
            <w:shd w:val="clear" w:color="auto" w:fill="auto"/>
          </w:tcPr>
          <w:p w14:paraId="3180A794" w14:textId="77777777" w:rsidR="008C5CFA" w:rsidRPr="001C4484" w:rsidRDefault="008C5CFA" w:rsidP="00300A01">
            <w:pPr>
              <w:spacing w:before="0" w:after="0"/>
              <w:jc w:val="right"/>
              <w:rPr>
                <w:sz w:val="10"/>
                <w:szCs w:val="10"/>
                <w:lang w:val="fr-BE"/>
              </w:rPr>
            </w:pPr>
          </w:p>
        </w:tc>
      </w:tr>
      <w:tr w:rsidR="006B2EC1" w14:paraId="33D0EACF" w14:textId="77777777" w:rsidTr="0047688D">
        <w:tc>
          <w:tcPr>
            <w:tcW w:w="0" w:type="auto"/>
            <w:shd w:val="clear" w:color="auto" w:fill="auto"/>
          </w:tcPr>
          <w:p w14:paraId="1889C046" w14:textId="77777777" w:rsidR="008C5CFA" w:rsidRPr="001C4484" w:rsidRDefault="00E82A60" w:rsidP="00300A01">
            <w:pPr>
              <w:spacing w:before="0" w:after="0"/>
              <w:rPr>
                <w:sz w:val="10"/>
                <w:szCs w:val="10"/>
                <w:lang w:val="fr-BE"/>
              </w:rPr>
            </w:pPr>
            <w:r w:rsidRPr="001C4484">
              <w:rPr>
                <w:noProof/>
                <w:sz w:val="10"/>
                <w:szCs w:val="10"/>
                <w:lang w:val="fr-BE"/>
              </w:rPr>
              <w:t>CO23</w:t>
            </w:r>
          </w:p>
        </w:tc>
        <w:tc>
          <w:tcPr>
            <w:tcW w:w="0" w:type="auto"/>
            <w:shd w:val="clear" w:color="auto" w:fill="auto"/>
          </w:tcPr>
          <w:p w14:paraId="77A1F553" w14:textId="77777777" w:rsidR="008C5CFA" w:rsidRPr="001C4484" w:rsidRDefault="00E82A60" w:rsidP="00300A01">
            <w:pPr>
              <w:spacing w:before="0" w:after="0"/>
              <w:rPr>
                <w:sz w:val="10"/>
                <w:szCs w:val="10"/>
                <w:lang w:val="fr-BE"/>
              </w:rPr>
            </w:pPr>
            <w:r w:rsidRPr="001C4484">
              <w:rPr>
                <w:noProof/>
                <w:sz w:val="10"/>
                <w:szCs w:val="10"/>
                <w:lang w:val="fr-BE"/>
              </w:rPr>
              <w:t>liczba objętych wsparciem mikro-, małych i średnich przedsiębiorstw (w tym przedsiębiorstw spółdzielczych i przedsiębiorstw gospodarki społecznej)</w:t>
            </w:r>
          </w:p>
        </w:tc>
        <w:tc>
          <w:tcPr>
            <w:tcW w:w="0" w:type="auto"/>
            <w:shd w:val="clear" w:color="auto" w:fill="auto"/>
          </w:tcPr>
          <w:p w14:paraId="1B4D5E53"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022862A9"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625D8BF7" w14:textId="77777777" w:rsidR="008C5CFA" w:rsidRPr="001C4484" w:rsidRDefault="008C5CFA" w:rsidP="00300A01">
            <w:pPr>
              <w:spacing w:before="0" w:after="0"/>
              <w:jc w:val="right"/>
              <w:rPr>
                <w:sz w:val="10"/>
                <w:szCs w:val="10"/>
              </w:rPr>
            </w:pPr>
          </w:p>
        </w:tc>
        <w:tc>
          <w:tcPr>
            <w:tcW w:w="0" w:type="auto"/>
            <w:shd w:val="clear" w:color="auto" w:fill="auto"/>
          </w:tcPr>
          <w:p w14:paraId="39CF60C5" w14:textId="77777777" w:rsidR="008C5CFA" w:rsidRPr="001C4484" w:rsidRDefault="008C5CFA" w:rsidP="00300A01">
            <w:pPr>
              <w:spacing w:before="0" w:after="0"/>
              <w:jc w:val="right"/>
              <w:rPr>
                <w:sz w:val="10"/>
                <w:szCs w:val="10"/>
                <w:lang w:val="fr-BE"/>
              </w:rPr>
            </w:pPr>
          </w:p>
        </w:tc>
        <w:tc>
          <w:tcPr>
            <w:tcW w:w="0" w:type="auto"/>
          </w:tcPr>
          <w:p w14:paraId="63C02E78"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5EC3A7AE" w14:textId="77777777" w:rsidR="008C5CFA" w:rsidRPr="001C4484" w:rsidRDefault="008C5CFA" w:rsidP="00300A01">
            <w:pPr>
              <w:spacing w:before="0" w:after="0"/>
              <w:jc w:val="right"/>
              <w:rPr>
                <w:sz w:val="10"/>
                <w:szCs w:val="10"/>
              </w:rPr>
            </w:pPr>
          </w:p>
        </w:tc>
        <w:tc>
          <w:tcPr>
            <w:tcW w:w="0" w:type="auto"/>
            <w:shd w:val="clear" w:color="auto" w:fill="auto"/>
          </w:tcPr>
          <w:p w14:paraId="1304A23E" w14:textId="77777777" w:rsidR="008C5CFA" w:rsidRPr="001C4484" w:rsidRDefault="008C5CFA" w:rsidP="00300A01">
            <w:pPr>
              <w:spacing w:before="0" w:after="0"/>
              <w:jc w:val="right"/>
              <w:rPr>
                <w:sz w:val="10"/>
                <w:szCs w:val="10"/>
                <w:lang w:val="fr-BE"/>
              </w:rPr>
            </w:pPr>
          </w:p>
        </w:tc>
      </w:tr>
      <w:tr w:rsidR="006B2EC1" w14:paraId="7A17DF8A" w14:textId="77777777" w:rsidTr="0047688D">
        <w:tc>
          <w:tcPr>
            <w:tcW w:w="0" w:type="auto"/>
            <w:shd w:val="clear" w:color="auto" w:fill="auto"/>
          </w:tcPr>
          <w:p w14:paraId="70CCC935" w14:textId="77777777" w:rsidR="008C5CFA" w:rsidRPr="001C4484" w:rsidRDefault="008C5CFA" w:rsidP="00300A01">
            <w:pPr>
              <w:spacing w:before="0" w:after="0"/>
              <w:rPr>
                <w:sz w:val="10"/>
                <w:szCs w:val="10"/>
                <w:lang w:val="fr-BE"/>
              </w:rPr>
            </w:pPr>
          </w:p>
        </w:tc>
        <w:tc>
          <w:tcPr>
            <w:tcW w:w="0" w:type="auto"/>
            <w:shd w:val="clear" w:color="auto" w:fill="auto"/>
          </w:tcPr>
          <w:p w14:paraId="7B4FF76D" w14:textId="77777777" w:rsidR="008C5CFA" w:rsidRPr="001C4484" w:rsidRDefault="00E82A60" w:rsidP="00300A01">
            <w:pPr>
              <w:spacing w:before="0" w:after="0"/>
              <w:rPr>
                <w:sz w:val="10"/>
                <w:szCs w:val="10"/>
                <w:lang w:val="fr-BE"/>
              </w:rPr>
            </w:pPr>
            <w:r w:rsidRPr="001C4484">
              <w:rPr>
                <w:noProof/>
                <w:sz w:val="10"/>
                <w:szCs w:val="10"/>
                <w:lang w:val="fr-BE"/>
              </w:rPr>
              <w:t>Całkowita łączna liczba uczestników</w:t>
            </w:r>
          </w:p>
        </w:tc>
        <w:tc>
          <w:tcPr>
            <w:tcW w:w="0" w:type="auto"/>
            <w:shd w:val="clear" w:color="auto" w:fill="auto"/>
          </w:tcPr>
          <w:p w14:paraId="45D4167F" w14:textId="77777777" w:rsidR="008C5CFA" w:rsidRPr="001C4484" w:rsidRDefault="008C5CFA" w:rsidP="00300A01">
            <w:pPr>
              <w:spacing w:before="0" w:after="0"/>
              <w:rPr>
                <w:sz w:val="10"/>
                <w:szCs w:val="10"/>
                <w:lang w:val="fr-BE"/>
              </w:rPr>
            </w:pPr>
          </w:p>
        </w:tc>
        <w:tc>
          <w:tcPr>
            <w:tcW w:w="0" w:type="auto"/>
          </w:tcPr>
          <w:p w14:paraId="746FD063" w14:textId="77777777" w:rsidR="008C5CFA" w:rsidRPr="001C4484" w:rsidRDefault="00E82A60" w:rsidP="00300A01">
            <w:pPr>
              <w:spacing w:before="0" w:after="0"/>
              <w:jc w:val="right"/>
              <w:rPr>
                <w:sz w:val="10"/>
                <w:szCs w:val="10"/>
              </w:rPr>
            </w:pPr>
            <w:r>
              <w:rPr>
                <w:noProof/>
                <w:sz w:val="10"/>
                <w:szCs w:val="10"/>
              </w:rPr>
              <w:t>2 886,00</w:t>
            </w:r>
          </w:p>
        </w:tc>
        <w:tc>
          <w:tcPr>
            <w:tcW w:w="0" w:type="auto"/>
            <w:shd w:val="clear" w:color="auto" w:fill="auto"/>
          </w:tcPr>
          <w:p w14:paraId="009A6665" w14:textId="77777777" w:rsidR="008C5CFA" w:rsidRPr="001C4484" w:rsidRDefault="008C5CFA" w:rsidP="00300A01">
            <w:pPr>
              <w:spacing w:before="0" w:after="0"/>
              <w:jc w:val="right"/>
              <w:rPr>
                <w:sz w:val="10"/>
                <w:szCs w:val="10"/>
              </w:rPr>
            </w:pPr>
          </w:p>
        </w:tc>
        <w:tc>
          <w:tcPr>
            <w:tcW w:w="0" w:type="auto"/>
            <w:shd w:val="clear" w:color="auto" w:fill="auto"/>
          </w:tcPr>
          <w:p w14:paraId="3E56F10E" w14:textId="77777777" w:rsidR="008C5CFA" w:rsidRPr="001C4484" w:rsidRDefault="008C5CFA" w:rsidP="00300A01">
            <w:pPr>
              <w:spacing w:before="0" w:after="0"/>
              <w:jc w:val="right"/>
              <w:rPr>
                <w:sz w:val="10"/>
                <w:szCs w:val="10"/>
                <w:lang w:val="fr-BE"/>
              </w:rPr>
            </w:pPr>
          </w:p>
        </w:tc>
        <w:tc>
          <w:tcPr>
            <w:tcW w:w="0" w:type="auto"/>
          </w:tcPr>
          <w:p w14:paraId="286A810D"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18E5A24C" w14:textId="77777777" w:rsidR="008C5CFA" w:rsidRPr="001C4484" w:rsidRDefault="008C5CFA" w:rsidP="00300A01">
            <w:pPr>
              <w:spacing w:before="0" w:after="0"/>
              <w:jc w:val="right"/>
              <w:rPr>
                <w:sz w:val="10"/>
                <w:szCs w:val="10"/>
              </w:rPr>
            </w:pPr>
          </w:p>
        </w:tc>
        <w:tc>
          <w:tcPr>
            <w:tcW w:w="0" w:type="auto"/>
            <w:shd w:val="clear" w:color="auto" w:fill="auto"/>
          </w:tcPr>
          <w:p w14:paraId="3C8FF788" w14:textId="77777777" w:rsidR="008C5CFA" w:rsidRPr="001C4484" w:rsidRDefault="008C5CFA" w:rsidP="00300A01">
            <w:pPr>
              <w:spacing w:before="0" w:after="0"/>
              <w:jc w:val="right"/>
              <w:rPr>
                <w:sz w:val="10"/>
                <w:szCs w:val="10"/>
                <w:lang w:val="fr-BE"/>
              </w:rPr>
            </w:pPr>
          </w:p>
        </w:tc>
      </w:tr>
    </w:tbl>
    <w:p w14:paraId="00E7A7C0" w14:textId="77777777" w:rsidR="008C5CFA" w:rsidRDefault="00E82A60" w:rsidP="00300A01">
      <w:pPr>
        <w:spacing w:before="0" w:after="0"/>
        <w:rPr>
          <w:lang w:val="fr-BE"/>
        </w:rPr>
      </w:pPr>
      <w:r>
        <w:rPr>
          <w:lang w:val="fr-BE"/>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2"/>
        <w:gridCol w:w="13382"/>
      </w:tblGrid>
      <w:tr w:rsidR="006B2EC1" w14:paraId="573F3DAE" w14:textId="77777777" w:rsidTr="0047688D">
        <w:tc>
          <w:tcPr>
            <w:tcW w:w="0" w:type="auto"/>
            <w:shd w:val="clear" w:color="auto" w:fill="auto"/>
          </w:tcPr>
          <w:p w14:paraId="521B128B" w14:textId="77777777" w:rsidR="008C5CFA" w:rsidRPr="002124FC" w:rsidRDefault="00E82A60" w:rsidP="00300A01">
            <w:pPr>
              <w:spacing w:before="0" w:after="0"/>
              <w:rPr>
                <w:sz w:val="20"/>
                <w:szCs w:val="20"/>
                <w:lang w:val="fr-BE"/>
              </w:rPr>
            </w:pPr>
            <w:r>
              <w:rPr>
                <w:lang w:val="fr-BE"/>
              </w:rPr>
              <w:lastRenderedPageBreak/>
              <w:br w:type="page"/>
            </w:r>
            <w:r>
              <w:rPr>
                <w:lang w:val="fr-BE"/>
              </w:rPr>
              <w:br w:type="page"/>
            </w:r>
            <w:r w:rsidRPr="002124FC">
              <w:rPr>
                <w:noProof/>
                <w:sz w:val="20"/>
                <w:szCs w:val="20"/>
                <w:lang w:val="fr-BE"/>
              </w:rPr>
              <w:t>Oś priorytetowa</w:t>
            </w:r>
          </w:p>
        </w:tc>
        <w:tc>
          <w:tcPr>
            <w:tcW w:w="0" w:type="auto"/>
            <w:shd w:val="clear" w:color="auto" w:fill="auto"/>
          </w:tcPr>
          <w:p w14:paraId="73A33543" w14:textId="77777777" w:rsidR="008C5CFA" w:rsidRPr="002124FC" w:rsidRDefault="00E82A60" w:rsidP="00300A01">
            <w:pPr>
              <w:spacing w:before="0" w:after="0"/>
              <w:rPr>
                <w:sz w:val="20"/>
                <w:szCs w:val="20"/>
                <w:lang w:val="fr-BE"/>
              </w:rPr>
            </w:pPr>
            <w:r w:rsidRPr="002124FC">
              <w:rPr>
                <w:noProof/>
                <w:sz w:val="20"/>
                <w:szCs w:val="20"/>
                <w:lang w:val="fr-BE"/>
              </w:rPr>
              <w:t>10</w:t>
            </w:r>
            <w:r w:rsidRPr="002124FC">
              <w:rPr>
                <w:sz w:val="20"/>
                <w:szCs w:val="20"/>
                <w:lang w:val="fr-BE"/>
              </w:rPr>
              <w:t xml:space="preserve"> - </w:t>
            </w:r>
            <w:r w:rsidRPr="002124FC">
              <w:rPr>
                <w:noProof/>
                <w:sz w:val="20"/>
                <w:szCs w:val="20"/>
                <w:lang w:val="fr-BE"/>
              </w:rPr>
              <w:t>Otwarty rynek pracy</w:t>
            </w:r>
          </w:p>
        </w:tc>
      </w:tr>
      <w:tr w:rsidR="006B2EC1" w14:paraId="3F662B96" w14:textId="77777777" w:rsidTr="0047688D">
        <w:tc>
          <w:tcPr>
            <w:tcW w:w="0" w:type="auto"/>
            <w:shd w:val="clear" w:color="auto" w:fill="auto"/>
          </w:tcPr>
          <w:p w14:paraId="302E1D3F" w14:textId="77777777" w:rsidR="008C5CFA" w:rsidRPr="002124FC" w:rsidRDefault="00E82A60"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14:paraId="7424B5FA" w14:textId="77777777" w:rsidR="008C5CFA" w:rsidRPr="002124FC" w:rsidRDefault="00E82A60" w:rsidP="00300A01">
            <w:pPr>
              <w:spacing w:before="0" w:after="0"/>
              <w:rPr>
                <w:sz w:val="20"/>
                <w:szCs w:val="20"/>
                <w:lang w:val="fr-BE"/>
              </w:rPr>
            </w:pPr>
            <w:r w:rsidRPr="002124FC">
              <w:rPr>
                <w:noProof/>
                <w:sz w:val="20"/>
                <w:szCs w:val="20"/>
                <w:lang w:val="fr-BE"/>
              </w:rPr>
              <w:t>8i</w:t>
            </w:r>
            <w:r w:rsidRPr="002124FC">
              <w:rPr>
                <w:sz w:val="20"/>
                <w:szCs w:val="20"/>
                <w:lang w:val="fr-BE"/>
              </w:rPr>
              <w:t xml:space="preserve"> - </w:t>
            </w:r>
            <w:r w:rsidRPr="002124FC">
              <w:rPr>
                <w:noProof/>
                <w:sz w:val="20"/>
                <w:szCs w:val="20"/>
                <w:lang w:val="fr-BE"/>
              </w:rPr>
              <w:t>Dostęp do zatrudnienia dla osób poszukujących pracy i osób biernych zawodowo, w tym długotrwale bezrobotnych oraz oddalonych od rynku pracy, także poprzez lokalne inicjatywy w zakresie zatrudnienia i wspieranie mobilności pracowników</w:t>
            </w:r>
          </w:p>
        </w:tc>
      </w:tr>
    </w:tbl>
    <w:p w14:paraId="4DA2E565" w14:textId="77777777" w:rsidR="008C5CFA" w:rsidRDefault="008C5CFA" w:rsidP="00300A01">
      <w:pPr>
        <w:spacing w:before="0" w:after="0"/>
      </w:pPr>
    </w:p>
    <w:p w14:paraId="7D472D9A" w14:textId="77777777" w:rsidR="008C5CFA" w:rsidRPr="008E457C" w:rsidRDefault="00E82A60" w:rsidP="00300A01">
      <w:pPr>
        <w:pStyle w:val="Nagwek2"/>
        <w:spacing w:before="0" w:after="0"/>
        <w:rPr>
          <w:b w:val="0"/>
        </w:rPr>
      </w:pPr>
      <w:bookmarkStart w:id="14" w:name="_Toc46391698"/>
      <w:r w:rsidRPr="008E457C">
        <w:rPr>
          <w:b w:val="0"/>
          <w:noProof/>
          <w:lang w:val="fr-BE"/>
        </w:rPr>
        <w:t>Tabela 4B Specyficzne dla programu wskaźniki produktu dla EFS oraz Inicjatywy na rzecz zatrudnienia ludzi młodych</w:t>
      </w:r>
      <w:r w:rsidR="009A51C8">
        <w:rPr>
          <w:b w:val="0"/>
        </w:rPr>
        <w:t xml:space="preserve"> - </w:t>
      </w:r>
      <w:r w:rsidR="009A51C8" w:rsidRPr="002124FC">
        <w:rPr>
          <w:noProof/>
          <w:sz w:val="20"/>
          <w:szCs w:val="20"/>
          <w:lang w:val="fr-BE"/>
        </w:rPr>
        <w:t>10</w:t>
      </w:r>
      <w:bookmarkEnd w:id="14"/>
    </w:p>
    <w:p w14:paraId="2EAD6BF3" w14:textId="77777777" w:rsidR="008C5CFA" w:rsidRDefault="008C5CFA" w:rsidP="00300A01">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32"/>
        <w:gridCol w:w="5171"/>
        <w:gridCol w:w="1124"/>
        <w:gridCol w:w="1039"/>
        <w:gridCol w:w="582"/>
        <w:gridCol w:w="708"/>
        <w:gridCol w:w="582"/>
        <w:gridCol w:w="645"/>
        <w:gridCol w:w="708"/>
        <w:gridCol w:w="582"/>
        <w:gridCol w:w="562"/>
        <w:gridCol w:w="708"/>
        <w:gridCol w:w="569"/>
        <w:gridCol w:w="582"/>
        <w:gridCol w:w="708"/>
        <w:gridCol w:w="582"/>
      </w:tblGrid>
      <w:tr w:rsidR="006B2EC1" w14:paraId="4F5D4E6C" w14:textId="77777777" w:rsidTr="002A1502">
        <w:trPr>
          <w:tblHeader/>
        </w:trPr>
        <w:tc>
          <w:tcPr>
            <w:tcW w:w="0" w:type="auto"/>
            <w:shd w:val="clear" w:color="auto" w:fill="auto"/>
          </w:tcPr>
          <w:p w14:paraId="4E131E9F" w14:textId="77777777" w:rsidR="008C5CFA" w:rsidRPr="00A92B39" w:rsidRDefault="00E82A60" w:rsidP="00300A01">
            <w:pPr>
              <w:spacing w:before="0" w:after="0"/>
              <w:rPr>
                <w:b/>
                <w:sz w:val="10"/>
                <w:szCs w:val="10"/>
                <w:lang w:val="fr-BE"/>
              </w:rPr>
            </w:pPr>
            <w:r w:rsidRPr="00A92B39">
              <w:rPr>
                <w:b/>
                <w:noProof/>
                <w:sz w:val="10"/>
                <w:szCs w:val="10"/>
                <w:lang w:val="fr-BE"/>
              </w:rPr>
              <w:t>ID</w:t>
            </w:r>
          </w:p>
        </w:tc>
        <w:tc>
          <w:tcPr>
            <w:tcW w:w="0" w:type="auto"/>
            <w:shd w:val="clear" w:color="auto" w:fill="auto"/>
          </w:tcPr>
          <w:p w14:paraId="4E8A8F54" w14:textId="77777777" w:rsidR="008C5CFA" w:rsidRPr="00A92B39" w:rsidRDefault="00E82A60" w:rsidP="00300A01">
            <w:pPr>
              <w:spacing w:before="0" w:after="0"/>
              <w:rPr>
                <w:b/>
                <w:sz w:val="10"/>
                <w:szCs w:val="10"/>
                <w:lang w:val="fr-BE"/>
              </w:rPr>
            </w:pPr>
            <w:r w:rsidRPr="00A92B39">
              <w:rPr>
                <w:b/>
                <w:noProof/>
                <w:sz w:val="10"/>
                <w:szCs w:val="10"/>
                <w:lang w:val="fr-BE"/>
              </w:rPr>
              <w:t>Wskaźnik</w:t>
            </w:r>
          </w:p>
        </w:tc>
        <w:tc>
          <w:tcPr>
            <w:tcW w:w="0" w:type="auto"/>
            <w:shd w:val="clear" w:color="auto" w:fill="auto"/>
          </w:tcPr>
          <w:p w14:paraId="34A973FD" w14:textId="77777777" w:rsidR="008C5CFA" w:rsidRPr="00A92B39" w:rsidRDefault="00E82A60" w:rsidP="00300A01">
            <w:pPr>
              <w:spacing w:before="0" w:after="0"/>
              <w:rPr>
                <w:b/>
                <w:sz w:val="10"/>
                <w:szCs w:val="10"/>
                <w:lang w:val="fr-BE"/>
              </w:rPr>
            </w:pPr>
            <w:r w:rsidRPr="00A92B39">
              <w:rPr>
                <w:b/>
                <w:noProof/>
                <w:sz w:val="10"/>
                <w:szCs w:val="10"/>
                <w:lang w:val="fr-BE"/>
              </w:rPr>
              <w:t>Kategoria regionu</w:t>
            </w:r>
          </w:p>
        </w:tc>
        <w:tc>
          <w:tcPr>
            <w:tcW w:w="0" w:type="auto"/>
          </w:tcPr>
          <w:p w14:paraId="63D38F05" w14:textId="77777777" w:rsidR="008C5CFA" w:rsidRPr="00A92B39" w:rsidRDefault="00E82A60" w:rsidP="00300A01">
            <w:pPr>
              <w:spacing w:before="0" w:after="0"/>
              <w:jc w:val="center"/>
              <w:rPr>
                <w:b/>
                <w:sz w:val="10"/>
                <w:szCs w:val="10"/>
                <w:lang w:val="fr-BE"/>
              </w:rPr>
            </w:pPr>
            <w:r w:rsidRPr="00A92B39">
              <w:rPr>
                <w:b/>
                <w:noProof/>
                <w:sz w:val="10"/>
                <w:szCs w:val="10"/>
                <w:lang w:val="fr-BE"/>
              </w:rPr>
              <w:t>Jednostka miary</w:t>
            </w:r>
          </w:p>
        </w:tc>
        <w:tc>
          <w:tcPr>
            <w:tcW w:w="0" w:type="auto"/>
            <w:gridSpan w:val="3"/>
            <w:shd w:val="clear" w:color="auto" w:fill="auto"/>
          </w:tcPr>
          <w:p w14:paraId="4622920D" w14:textId="77777777" w:rsidR="008C5CFA" w:rsidRPr="00A92B39" w:rsidRDefault="00E82A60" w:rsidP="00300A01">
            <w:pPr>
              <w:spacing w:before="0" w:after="0"/>
              <w:jc w:val="center"/>
              <w:rPr>
                <w:b/>
                <w:sz w:val="10"/>
                <w:szCs w:val="10"/>
                <w:lang w:val="fr-BE"/>
              </w:rPr>
            </w:pPr>
            <w:r w:rsidRPr="00A92B39">
              <w:rPr>
                <w:b/>
                <w:noProof/>
                <w:sz w:val="10"/>
                <w:szCs w:val="10"/>
                <w:lang w:val="fr-BE"/>
              </w:rPr>
              <w:t>Wartość docelowa (2023)</w:t>
            </w:r>
          </w:p>
        </w:tc>
        <w:tc>
          <w:tcPr>
            <w:tcW w:w="0" w:type="auto"/>
            <w:gridSpan w:val="3"/>
            <w:shd w:val="clear" w:color="auto" w:fill="auto"/>
          </w:tcPr>
          <w:p w14:paraId="3749D164" w14:textId="77777777" w:rsidR="008C5CFA" w:rsidRPr="00A92B39" w:rsidRDefault="00E82A60" w:rsidP="00300A01">
            <w:pPr>
              <w:spacing w:before="0" w:after="0"/>
              <w:jc w:val="center"/>
              <w:rPr>
                <w:b/>
                <w:sz w:val="10"/>
                <w:szCs w:val="10"/>
                <w:lang w:val="fr-BE"/>
              </w:rPr>
            </w:pPr>
            <w:r w:rsidRPr="00A92B39">
              <w:rPr>
                <w:b/>
                <w:noProof/>
                <w:sz w:val="10"/>
                <w:szCs w:val="10"/>
                <w:lang w:val="fr-BE"/>
              </w:rPr>
              <w:t>Wartość skumulowana</w:t>
            </w:r>
          </w:p>
        </w:tc>
        <w:tc>
          <w:tcPr>
            <w:tcW w:w="0" w:type="auto"/>
            <w:gridSpan w:val="3"/>
            <w:shd w:val="clear" w:color="auto" w:fill="auto"/>
          </w:tcPr>
          <w:p w14:paraId="25F2CCE9" w14:textId="77777777" w:rsidR="008C5CFA" w:rsidRPr="00A92B39" w:rsidRDefault="00E82A60" w:rsidP="00300A01">
            <w:pPr>
              <w:spacing w:before="0" w:after="0"/>
              <w:jc w:val="center"/>
              <w:rPr>
                <w:b/>
                <w:sz w:val="10"/>
                <w:szCs w:val="10"/>
                <w:lang w:val="fr-BE"/>
              </w:rPr>
            </w:pPr>
            <w:r w:rsidRPr="00A92B39">
              <w:rPr>
                <w:b/>
                <w:noProof/>
                <w:sz w:val="10"/>
                <w:szCs w:val="10"/>
                <w:lang w:val="fr-BE"/>
              </w:rPr>
              <w:t>Wskaźnik osiągnięć</w:t>
            </w:r>
          </w:p>
        </w:tc>
        <w:tc>
          <w:tcPr>
            <w:tcW w:w="0" w:type="auto"/>
            <w:gridSpan w:val="3"/>
          </w:tcPr>
          <w:p w14:paraId="6EABC97A" w14:textId="77777777" w:rsidR="008C5CFA" w:rsidRPr="00A92B39" w:rsidRDefault="00E82A60" w:rsidP="00300A01">
            <w:pPr>
              <w:spacing w:before="0" w:after="0"/>
              <w:jc w:val="center"/>
              <w:rPr>
                <w:b/>
                <w:sz w:val="10"/>
                <w:szCs w:val="10"/>
                <w:lang w:val="fr-BE"/>
              </w:rPr>
            </w:pPr>
            <w:r w:rsidRPr="00A92B39">
              <w:rPr>
                <w:bCs/>
                <w:sz w:val="10"/>
                <w:szCs w:val="10"/>
                <w:lang w:val="en-US"/>
              </w:rPr>
              <w:t>2019</w:t>
            </w:r>
          </w:p>
        </w:tc>
      </w:tr>
      <w:tr w:rsidR="006B2EC1" w14:paraId="5F16CD7E" w14:textId="77777777" w:rsidTr="002A1502">
        <w:trPr>
          <w:tblHeader/>
        </w:trPr>
        <w:tc>
          <w:tcPr>
            <w:tcW w:w="0" w:type="auto"/>
            <w:shd w:val="clear" w:color="auto" w:fill="auto"/>
          </w:tcPr>
          <w:p w14:paraId="49965DE0" w14:textId="77777777" w:rsidR="008C5CFA" w:rsidRPr="00A92B39" w:rsidRDefault="008C5CFA" w:rsidP="00300A01">
            <w:pPr>
              <w:spacing w:before="0" w:after="0"/>
              <w:rPr>
                <w:b/>
                <w:sz w:val="10"/>
                <w:szCs w:val="10"/>
                <w:lang w:val="fr-BE"/>
              </w:rPr>
            </w:pPr>
          </w:p>
        </w:tc>
        <w:tc>
          <w:tcPr>
            <w:tcW w:w="0" w:type="auto"/>
            <w:shd w:val="clear" w:color="auto" w:fill="auto"/>
          </w:tcPr>
          <w:p w14:paraId="289C2FA5" w14:textId="77777777" w:rsidR="008C5CFA" w:rsidRPr="00A92B39" w:rsidRDefault="008C5CFA" w:rsidP="00300A01">
            <w:pPr>
              <w:spacing w:before="0" w:after="0"/>
              <w:rPr>
                <w:b/>
                <w:sz w:val="10"/>
                <w:szCs w:val="10"/>
                <w:lang w:val="fr-BE"/>
              </w:rPr>
            </w:pPr>
          </w:p>
        </w:tc>
        <w:tc>
          <w:tcPr>
            <w:tcW w:w="0" w:type="auto"/>
            <w:shd w:val="clear" w:color="auto" w:fill="auto"/>
          </w:tcPr>
          <w:p w14:paraId="0ADC9B8B" w14:textId="77777777" w:rsidR="008C5CFA" w:rsidRPr="00A92B39" w:rsidRDefault="008C5CFA" w:rsidP="00300A01">
            <w:pPr>
              <w:spacing w:before="0" w:after="0"/>
              <w:rPr>
                <w:b/>
                <w:sz w:val="10"/>
                <w:szCs w:val="10"/>
                <w:lang w:val="fr-BE"/>
              </w:rPr>
            </w:pPr>
          </w:p>
        </w:tc>
        <w:tc>
          <w:tcPr>
            <w:tcW w:w="0" w:type="auto"/>
          </w:tcPr>
          <w:p w14:paraId="4C47EBBA" w14:textId="77777777" w:rsidR="008C5CFA" w:rsidRPr="00A92B39" w:rsidRDefault="008C5CFA" w:rsidP="00300A01">
            <w:pPr>
              <w:spacing w:before="0" w:after="0"/>
              <w:jc w:val="center"/>
              <w:rPr>
                <w:b/>
                <w:sz w:val="10"/>
                <w:szCs w:val="10"/>
                <w:lang w:val="fr-BE"/>
              </w:rPr>
            </w:pPr>
          </w:p>
        </w:tc>
        <w:tc>
          <w:tcPr>
            <w:tcW w:w="0" w:type="auto"/>
            <w:shd w:val="clear" w:color="auto" w:fill="auto"/>
          </w:tcPr>
          <w:p w14:paraId="7E2B1C4D" w14:textId="77777777" w:rsidR="008C5CFA" w:rsidRPr="00A92B39" w:rsidRDefault="00E82A60" w:rsidP="00300A01">
            <w:pPr>
              <w:spacing w:before="0" w:after="0"/>
              <w:jc w:val="center"/>
              <w:rPr>
                <w:b/>
                <w:sz w:val="10"/>
                <w:szCs w:val="10"/>
                <w:lang w:val="fr-BE"/>
              </w:rPr>
            </w:pPr>
            <w:r w:rsidRPr="00A92B39">
              <w:rPr>
                <w:b/>
                <w:noProof/>
                <w:sz w:val="10"/>
                <w:szCs w:val="10"/>
                <w:lang w:val="fr-BE"/>
              </w:rPr>
              <w:t>Ogółem</w:t>
            </w:r>
          </w:p>
        </w:tc>
        <w:tc>
          <w:tcPr>
            <w:tcW w:w="0" w:type="auto"/>
            <w:shd w:val="clear" w:color="auto" w:fill="auto"/>
          </w:tcPr>
          <w:p w14:paraId="56E9BF17" w14:textId="77777777" w:rsidR="008C5CFA" w:rsidRPr="00A92B39" w:rsidRDefault="00E82A60" w:rsidP="00300A01">
            <w:pPr>
              <w:spacing w:before="0" w:after="0"/>
              <w:jc w:val="center"/>
              <w:rPr>
                <w:b/>
                <w:sz w:val="10"/>
                <w:szCs w:val="10"/>
                <w:lang w:val="fr-BE"/>
              </w:rPr>
            </w:pPr>
            <w:r w:rsidRPr="00A92B39">
              <w:rPr>
                <w:b/>
                <w:noProof/>
                <w:sz w:val="10"/>
                <w:szCs w:val="10"/>
                <w:lang w:val="fr-BE"/>
              </w:rPr>
              <w:t>Mężczyźni</w:t>
            </w:r>
          </w:p>
        </w:tc>
        <w:tc>
          <w:tcPr>
            <w:tcW w:w="0" w:type="auto"/>
            <w:shd w:val="clear" w:color="auto" w:fill="auto"/>
          </w:tcPr>
          <w:p w14:paraId="6054BEC7" w14:textId="77777777" w:rsidR="008C5CFA" w:rsidRPr="00A92B39" w:rsidRDefault="00E82A60" w:rsidP="00300A01">
            <w:pPr>
              <w:spacing w:before="0" w:after="0"/>
              <w:jc w:val="center"/>
              <w:rPr>
                <w:b/>
                <w:sz w:val="10"/>
                <w:szCs w:val="10"/>
                <w:lang w:val="fr-BE"/>
              </w:rPr>
            </w:pPr>
            <w:r w:rsidRPr="00A92B39">
              <w:rPr>
                <w:b/>
                <w:noProof/>
                <w:sz w:val="10"/>
                <w:szCs w:val="10"/>
                <w:lang w:val="fr-BE"/>
              </w:rPr>
              <w:t>Kobiety</w:t>
            </w:r>
          </w:p>
        </w:tc>
        <w:tc>
          <w:tcPr>
            <w:tcW w:w="0" w:type="auto"/>
            <w:shd w:val="clear" w:color="auto" w:fill="auto"/>
          </w:tcPr>
          <w:p w14:paraId="2E27C7F0" w14:textId="77777777" w:rsidR="008C5CFA" w:rsidRPr="00A92B39" w:rsidRDefault="00E82A60" w:rsidP="00300A01">
            <w:pPr>
              <w:spacing w:before="0" w:after="0"/>
              <w:jc w:val="center"/>
              <w:rPr>
                <w:b/>
                <w:sz w:val="10"/>
                <w:szCs w:val="10"/>
                <w:lang w:val="fr-BE"/>
              </w:rPr>
            </w:pPr>
            <w:r w:rsidRPr="00A92B39">
              <w:rPr>
                <w:b/>
                <w:noProof/>
                <w:sz w:val="10"/>
                <w:szCs w:val="10"/>
                <w:lang w:val="fr-BE"/>
              </w:rPr>
              <w:t>Ogółem</w:t>
            </w:r>
          </w:p>
        </w:tc>
        <w:tc>
          <w:tcPr>
            <w:tcW w:w="0" w:type="auto"/>
            <w:shd w:val="clear" w:color="auto" w:fill="auto"/>
          </w:tcPr>
          <w:p w14:paraId="472E0E64" w14:textId="77777777" w:rsidR="008C5CFA" w:rsidRPr="00A92B39" w:rsidRDefault="00E82A60" w:rsidP="00300A01">
            <w:pPr>
              <w:spacing w:before="0" w:after="0"/>
              <w:jc w:val="center"/>
              <w:rPr>
                <w:b/>
                <w:sz w:val="10"/>
                <w:szCs w:val="10"/>
                <w:lang w:val="fr-BE"/>
              </w:rPr>
            </w:pPr>
            <w:r w:rsidRPr="00A92B39">
              <w:rPr>
                <w:b/>
                <w:noProof/>
                <w:sz w:val="10"/>
                <w:szCs w:val="10"/>
                <w:lang w:val="fr-BE"/>
              </w:rPr>
              <w:t>Mężczyźni</w:t>
            </w:r>
          </w:p>
        </w:tc>
        <w:tc>
          <w:tcPr>
            <w:tcW w:w="0" w:type="auto"/>
            <w:shd w:val="clear" w:color="auto" w:fill="auto"/>
          </w:tcPr>
          <w:p w14:paraId="4CEAE1C0" w14:textId="77777777" w:rsidR="008C5CFA" w:rsidRPr="00A92B39" w:rsidRDefault="00E82A60" w:rsidP="00300A01">
            <w:pPr>
              <w:spacing w:before="0" w:after="0"/>
              <w:jc w:val="center"/>
              <w:rPr>
                <w:b/>
                <w:sz w:val="10"/>
                <w:szCs w:val="10"/>
                <w:lang w:val="fr-BE"/>
              </w:rPr>
            </w:pPr>
            <w:r w:rsidRPr="00A92B39">
              <w:rPr>
                <w:b/>
                <w:noProof/>
                <w:sz w:val="10"/>
                <w:szCs w:val="10"/>
                <w:lang w:val="fr-BE"/>
              </w:rPr>
              <w:t>Kobiety</w:t>
            </w:r>
          </w:p>
        </w:tc>
        <w:tc>
          <w:tcPr>
            <w:tcW w:w="0" w:type="auto"/>
            <w:shd w:val="clear" w:color="auto" w:fill="auto"/>
          </w:tcPr>
          <w:p w14:paraId="69E37144" w14:textId="77777777" w:rsidR="008C5CFA" w:rsidRPr="00A92B39" w:rsidRDefault="00E82A60" w:rsidP="00300A01">
            <w:pPr>
              <w:spacing w:before="0" w:after="0"/>
              <w:jc w:val="center"/>
              <w:rPr>
                <w:b/>
                <w:sz w:val="10"/>
                <w:szCs w:val="10"/>
                <w:lang w:val="fr-BE"/>
              </w:rPr>
            </w:pPr>
            <w:r w:rsidRPr="00A92B39">
              <w:rPr>
                <w:b/>
                <w:noProof/>
                <w:sz w:val="10"/>
                <w:szCs w:val="10"/>
                <w:lang w:val="fr-BE"/>
              </w:rPr>
              <w:t>Ogółem</w:t>
            </w:r>
          </w:p>
        </w:tc>
        <w:tc>
          <w:tcPr>
            <w:tcW w:w="0" w:type="auto"/>
            <w:shd w:val="clear" w:color="auto" w:fill="auto"/>
          </w:tcPr>
          <w:p w14:paraId="557D3AD5" w14:textId="77777777" w:rsidR="008C5CFA" w:rsidRPr="00A92B39" w:rsidRDefault="00E82A60" w:rsidP="00300A01">
            <w:pPr>
              <w:spacing w:before="0" w:after="0"/>
              <w:jc w:val="center"/>
              <w:rPr>
                <w:b/>
                <w:sz w:val="10"/>
                <w:szCs w:val="10"/>
                <w:lang w:val="fr-BE"/>
              </w:rPr>
            </w:pPr>
            <w:r w:rsidRPr="00A92B39">
              <w:rPr>
                <w:b/>
                <w:noProof/>
                <w:sz w:val="10"/>
                <w:szCs w:val="10"/>
                <w:lang w:val="fr-BE"/>
              </w:rPr>
              <w:t>Mężczyźni</w:t>
            </w:r>
          </w:p>
        </w:tc>
        <w:tc>
          <w:tcPr>
            <w:tcW w:w="0" w:type="auto"/>
            <w:shd w:val="clear" w:color="auto" w:fill="auto"/>
          </w:tcPr>
          <w:p w14:paraId="4046E441" w14:textId="77777777" w:rsidR="008C5CFA" w:rsidRPr="00A92B39" w:rsidRDefault="00E82A60" w:rsidP="00300A01">
            <w:pPr>
              <w:spacing w:before="0" w:after="0"/>
              <w:jc w:val="center"/>
              <w:rPr>
                <w:b/>
                <w:sz w:val="10"/>
                <w:szCs w:val="10"/>
                <w:lang w:val="fr-BE"/>
              </w:rPr>
            </w:pPr>
            <w:r w:rsidRPr="00A92B39">
              <w:rPr>
                <w:b/>
                <w:noProof/>
                <w:sz w:val="10"/>
                <w:szCs w:val="10"/>
                <w:lang w:val="fr-BE"/>
              </w:rPr>
              <w:t>Kobiety</w:t>
            </w:r>
          </w:p>
        </w:tc>
        <w:tc>
          <w:tcPr>
            <w:tcW w:w="0" w:type="auto"/>
          </w:tcPr>
          <w:p w14:paraId="7AAF7A82" w14:textId="77777777" w:rsidR="008C5CFA" w:rsidRPr="00A92B39" w:rsidRDefault="00E82A60" w:rsidP="00300A01">
            <w:pPr>
              <w:spacing w:before="0" w:after="0"/>
              <w:jc w:val="center"/>
              <w:rPr>
                <w:b/>
                <w:sz w:val="10"/>
                <w:szCs w:val="10"/>
                <w:lang w:val="fr-BE"/>
              </w:rPr>
            </w:pPr>
            <w:r w:rsidRPr="00A92B39">
              <w:rPr>
                <w:b/>
                <w:noProof/>
                <w:sz w:val="10"/>
                <w:szCs w:val="10"/>
                <w:lang w:val="fr-BE"/>
              </w:rPr>
              <w:t>Ogółem</w:t>
            </w:r>
          </w:p>
        </w:tc>
        <w:tc>
          <w:tcPr>
            <w:tcW w:w="0" w:type="auto"/>
            <w:shd w:val="clear" w:color="auto" w:fill="auto"/>
          </w:tcPr>
          <w:p w14:paraId="38FBD8D2" w14:textId="77777777" w:rsidR="008C5CFA" w:rsidRPr="00A92B39" w:rsidRDefault="00E82A60" w:rsidP="00300A01">
            <w:pPr>
              <w:spacing w:before="0" w:after="0"/>
              <w:jc w:val="center"/>
              <w:rPr>
                <w:b/>
                <w:sz w:val="10"/>
                <w:szCs w:val="10"/>
                <w:lang w:val="fr-BE"/>
              </w:rPr>
            </w:pPr>
            <w:r w:rsidRPr="00A92B39">
              <w:rPr>
                <w:b/>
                <w:noProof/>
                <w:sz w:val="10"/>
                <w:szCs w:val="10"/>
                <w:lang w:val="fr-BE"/>
              </w:rPr>
              <w:t>Mężczyźni</w:t>
            </w:r>
          </w:p>
        </w:tc>
        <w:tc>
          <w:tcPr>
            <w:tcW w:w="0" w:type="auto"/>
            <w:shd w:val="clear" w:color="auto" w:fill="auto"/>
          </w:tcPr>
          <w:p w14:paraId="30B9B30D" w14:textId="77777777" w:rsidR="008C5CFA" w:rsidRPr="00A92B39" w:rsidRDefault="00E82A60" w:rsidP="00300A01">
            <w:pPr>
              <w:spacing w:before="0" w:after="0"/>
              <w:jc w:val="center"/>
              <w:rPr>
                <w:b/>
                <w:sz w:val="10"/>
                <w:szCs w:val="10"/>
                <w:lang w:val="fr-BE"/>
              </w:rPr>
            </w:pPr>
            <w:r w:rsidRPr="00A92B39">
              <w:rPr>
                <w:b/>
                <w:noProof/>
                <w:sz w:val="10"/>
                <w:szCs w:val="10"/>
                <w:lang w:val="fr-BE"/>
              </w:rPr>
              <w:t>Kobiety</w:t>
            </w:r>
          </w:p>
        </w:tc>
      </w:tr>
      <w:tr w:rsidR="006B2EC1" w14:paraId="781722A0" w14:textId="77777777" w:rsidTr="002A1502">
        <w:tc>
          <w:tcPr>
            <w:tcW w:w="0" w:type="auto"/>
            <w:shd w:val="clear" w:color="auto" w:fill="auto"/>
          </w:tcPr>
          <w:p w14:paraId="08D63777" w14:textId="77777777" w:rsidR="008C5CFA" w:rsidRPr="00A92B39" w:rsidRDefault="00E82A60" w:rsidP="00300A01">
            <w:pPr>
              <w:spacing w:before="0" w:after="0"/>
              <w:rPr>
                <w:sz w:val="10"/>
                <w:szCs w:val="10"/>
                <w:lang w:val="fr-BE"/>
              </w:rPr>
            </w:pPr>
            <w:r w:rsidRPr="00A92B39">
              <w:rPr>
                <w:noProof/>
                <w:sz w:val="10"/>
                <w:szCs w:val="10"/>
                <w:lang w:val="fr-BE"/>
              </w:rPr>
              <w:t>007</w:t>
            </w:r>
          </w:p>
        </w:tc>
        <w:tc>
          <w:tcPr>
            <w:tcW w:w="0" w:type="auto"/>
            <w:shd w:val="clear" w:color="auto" w:fill="auto"/>
          </w:tcPr>
          <w:p w14:paraId="1D1A77CC" w14:textId="77777777" w:rsidR="008C5CFA" w:rsidRPr="00A92B39" w:rsidRDefault="00E82A60" w:rsidP="00300A01">
            <w:pPr>
              <w:spacing w:before="0" w:after="0"/>
              <w:rPr>
                <w:sz w:val="10"/>
                <w:szCs w:val="10"/>
                <w:lang w:val="fr-BE"/>
              </w:rPr>
            </w:pPr>
            <w:r w:rsidRPr="00A92B39">
              <w:rPr>
                <w:noProof/>
                <w:sz w:val="10"/>
                <w:szCs w:val="10"/>
                <w:lang w:val="fr-BE"/>
              </w:rPr>
              <w:t>Liczba osób o niskich kwalifikacjach, objętych wsparciem  w programie</w:t>
            </w:r>
          </w:p>
        </w:tc>
        <w:tc>
          <w:tcPr>
            <w:tcW w:w="0" w:type="auto"/>
            <w:shd w:val="clear" w:color="auto" w:fill="auto"/>
          </w:tcPr>
          <w:p w14:paraId="1B727CFE" w14:textId="77777777" w:rsidR="008C5CFA" w:rsidRPr="00A92B39" w:rsidRDefault="00E82A60" w:rsidP="00300A01">
            <w:pPr>
              <w:spacing w:before="0" w:after="0"/>
              <w:rPr>
                <w:sz w:val="10"/>
                <w:szCs w:val="10"/>
                <w:lang w:val="fr-BE"/>
              </w:rPr>
            </w:pPr>
            <w:r w:rsidRPr="00A92B39">
              <w:rPr>
                <w:noProof/>
                <w:sz w:val="10"/>
                <w:szCs w:val="10"/>
                <w:lang w:val="fr-BE"/>
              </w:rPr>
              <w:t>Słabiej rozwinięte</w:t>
            </w:r>
          </w:p>
        </w:tc>
        <w:tc>
          <w:tcPr>
            <w:tcW w:w="0" w:type="auto"/>
          </w:tcPr>
          <w:p w14:paraId="1231D260" w14:textId="77777777" w:rsidR="008C5CFA" w:rsidRPr="00A92B39" w:rsidRDefault="00E82A60" w:rsidP="00300A01">
            <w:pPr>
              <w:spacing w:before="0" w:after="0"/>
              <w:rPr>
                <w:sz w:val="10"/>
                <w:szCs w:val="10"/>
                <w:lang w:val="fr-BE"/>
              </w:rPr>
            </w:pPr>
            <w:r w:rsidRPr="00A92B39">
              <w:rPr>
                <w:noProof/>
                <w:sz w:val="10"/>
                <w:szCs w:val="10"/>
                <w:lang w:val="fr-BE"/>
              </w:rPr>
              <w:t>osoba</w:t>
            </w:r>
          </w:p>
        </w:tc>
        <w:tc>
          <w:tcPr>
            <w:tcW w:w="0" w:type="auto"/>
            <w:shd w:val="clear" w:color="auto" w:fill="auto"/>
          </w:tcPr>
          <w:p w14:paraId="1C6065E6" w14:textId="77777777" w:rsidR="008C5CFA" w:rsidRPr="00A92B39" w:rsidRDefault="00E82A60" w:rsidP="00300A01">
            <w:pPr>
              <w:spacing w:before="0" w:after="0"/>
              <w:jc w:val="right"/>
              <w:rPr>
                <w:sz w:val="10"/>
                <w:szCs w:val="10"/>
                <w:lang w:val="fr-BE"/>
              </w:rPr>
            </w:pPr>
            <w:r w:rsidRPr="00A92B39">
              <w:rPr>
                <w:noProof/>
                <w:sz w:val="10"/>
                <w:szCs w:val="10"/>
                <w:lang w:val="fr-BE"/>
              </w:rPr>
              <w:t>8 937,00</w:t>
            </w:r>
          </w:p>
        </w:tc>
        <w:tc>
          <w:tcPr>
            <w:tcW w:w="0" w:type="auto"/>
            <w:shd w:val="clear" w:color="auto" w:fill="auto"/>
          </w:tcPr>
          <w:p w14:paraId="3931E4CC" w14:textId="77777777" w:rsidR="008C5CFA" w:rsidRPr="00A92B39" w:rsidRDefault="00E82A60" w:rsidP="00300A01">
            <w:pPr>
              <w:spacing w:before="0" w:after="0"/>
              <w:jc w:val="right"/>
              <w:rPr>
                <w:sz w:val="10"/>
                <w:szCs w:val="10"/>
                <w:lang w:val="fr-BE"/>
              </w:rPr>
            </w:pPr>
            <w:r w:rsidRPr="00A92B39">
              <w:rPr>
                <w:noProof/>
                <w:sz w:val="10"/>
                <w:szCs w:val="10"/>
                <w:lang w:val="fr-BE"/>
              </w:rPr>
              <w:t>3 646,00</w:t>
            </w:r>
          </w:p>
        </w:tc>
        <w:tc>
          <w:tcPr>
            <w:tcW w:w="0" w:type="auto"/>
            <w:shd w:val="clear" w:color="auto" w:fill="auto"/>
          </w:tcPr>
          <w:p w14:paraId="4A234172" w14:textId="77777777" w:rsidR="008C5CFA" w:rsidRPr="00A92B39" w:rsidRDefault="00E82A60" w:rsidP="00300A01">
            <w:pPr>
              <w:spacing w:before="0" w:after="0"/>
              <w:jc w:val="right"/>
              <w:rPr>
                <w:sz w:val="10"/>
                <w:szCs w:val="10"/>
                <w:lang w:val="fr-BE"/>
              </w:rPr>
            </w:pPr>
            <w:r w:rsidRPr="00A92B39">
              <w:rPr>
                <w:noProof/>
                <w:sz w:val="10"/>
                <w:szCs w:val="10"/>
                <w:lang w:val="fr-BE"/>
              </w:rPr>
              <w:t>5 291,00</w:t>
            </w:r>
          </w:p>
        </w:tc>
        <w:tc>
          <w:tcPr>
            <w:tcW w:w="0" w:type="auto"/>
            <w:shd w:val="clear" w:color="auto" w:fill="auto"/>
          </w:tcPr>
          <w:p w14:paraId="45929C5D" w14:textId="77777777" w:rsidR="008C5CFA" w:rsidRPr="00A92B39" w:rsidRDefault="00E82A60" w:rsidP="00300A01">
            <w:pPr>
              <w:spacing w:before="0" w:after="0"/>
              <w:jc w:val="right"/>
              <w:rPr>
                <w:sz w:val="10"/>
                <w:szCs w:val="10"/>
                <w:lang w:val="fr-BE"/>
              </w:rPr>
            </w:pPr>
            <w:r w:rsidRPr="00A92B39">
              <w:rPr>
                <w:noProof/>
                <w:sz w:val="10"/>
                <w:szCs w:val="10"/>
                <w:lang w:val="fr-BE"/>
              </w:rPr>
              <w:t>14 407,00</w:t>
            </w:r>
          </w:p>
        </w:tc>
        <w:tc>
          <w:tcPr>
            <w:tcW w:w="0" w:type="auto"/>
            <w:shd w:val="clear" w:color="auto" w:fill="auto"/>
          </w:tcPr>
          <w:p w14:paraId="24856F7B" w14:textId="77777777" w:rsidR="008C5CFA" w:rsidRPr="00A92B39" w:rsidRDefault="00E82A60" w:rsidP="00300A01">
            <w:pPr>
              <w:spacing w:before="0" w:after="0"/>
              <w:jc w:val="right"/>
              <w:rPr>
                <w:sz w:val="10"/>
                <w:szCs w:val="10"/>
                <w:lang w:val="fr-BE"/>
              </w:rPr>
            </w:pPr>
            <w:r w:rsidRPr="00A92B39">
              <w:rPr>
                <w:noProof/>
                <w:sz w:val="10"/>
                <w:szCs w:val="10"/>
                <w:lang w:val="fr-BE"/>
              </w:rPr>
              <w:t>7 523,00</w:t>
            </w:r>
          </w:p>
        </w:tc>
        <w:tc>
          <w:tcPr>
            <w:tcW w:w="0" w:type="auto"/>
            <w:shd w:val="clear" w:color="auto" w:fill="auto"/>
          </w:tcPr>
          <w:p w14:paraId="2E129767" w14:textId="77777777" w:rsidR="008C5CFA" w:rsidRPr="00A92B39" w:rsidRDefault="00E82A60" w:rsidP="00300A01">
            <w:pPr>
              <w:spacing w:before="0" w:after="0"/>
              <w:jc w:val="right"/>
              <w:rPr>
                <w:sz w:val="10"/>
                <w:szCs w:val="10"/>
                <w:lang w:val="fr-BE"/>
              </w:rPr>
            </w:pPr>
            <w:r w:rsidRPr="00A92B39">
              <w:rPr>
                <w:noProof/>
                <w:sz w:val="10"/>
                <w:szCs w:val="10"/>
                <w:lang w:val="fr-BE"/>
              </w:rPr>
              <w:t>6 884,00</w:t>
            </w:r>
          </w:p>
        </w:tc>
        <w:tc>
          <w:tcPr>
            <w:tcW w:w="0" w:type="auto"/>
            <w:shd w:val="clear" w:color="auto" w:fill="auto"/>
          </w:tcPr>
          <w:p w14:paraId="1A471C78" w14:textId="77777777" w:rsidR="008C5CFA" w:rsidRPr="00A92B39" w:rsidRDefault="00E82A60" w:rsidP="00300A01">
            <w:pPr>
              <w:spacing w:before="0" w:after="0"/>
              <w:jc w:val="right"/>
              <w:rPr>
                <w:sz w:val="10"/>
                <w:szCs w:val="10"/>
                <w:lang w:val="fr-BE"/>
              </w:rPr>
            </w:pPr>
            <w:r>
              <w:rPr>
                <w:noProof/>
                <w:sz w:val="10"/>
                <w:szCs w:val="10"/>
                <w:lang w:val="fr-BE"/>
              </w:rPr>
              <w:t>1,61</w:t>
            </w:r>
          </w:p>
        </w:tc>
        <w:tc>
          <w:tcPr>
            <w:tcW w:w="0" w:type="auto"/>
            <w:shd w:val="clear" w:color="auto" w:fill="auto"/>
          </w:tcPr>
          <w:p w14:paraId="351BD719" w14:textId="77777777" w:rsidR="008C5CFA" w:rsidRPr="00A92B39" w:rsidRDefault="00E82A60" w:rsidP="00300A01">
            <w:pPr>
              <w:spacing w:before="0" w:after="0"/>
              <w:jc w:val="right"/>
              <w:rPr>
                <w:sz w:val="10"/>
                <w:szCs w:val="10"/>
                <w:lang w:val="fr-BE"/>
              </w:rPr>
            </w:pPr>
            <w:r>
              <w:rPr>
                <w:noProof/>
                <w:sz w:val="10"/>
                <w:szCs w:val="10"/>
                <w:lang w:val="fr-BE"/>
              </w:rPr>
              <w:t>2,06</w:t>
            </w:r>
          </w:p>
        </w:tc>
        <w:tc>
          <w:tcPr>
            <w:tcW w:w="0" w:type="auto"/>
            <w:shd w:val="clear" w:color="auto" w:fill="auto"/>
          </w:tcPr>
          <w:p w14:paraId="0817BA12" w14:textId="77777777" w:rsidR="008C5CFA" w:rsidRPr="00A92B39" w:rsidRDefault="00E82A60" w:rsidP="00300A01">
            <w:pPr>
              <w:spacing w:before="0" w:after="0"/>
              <w:jc w:val="right"/>
              <w:rPr>
                <w:sz w:val="10"/>
                <w:szCs w:val="10"/>
                <w:lang w:val="fr-BE"/>
              </w:rPr>
            </w:pPr>
            <w:r>
              <w:rPr>
                <w:noProof/>
                <w:sz w:val="10"/>
                <w:szCs w:val="10"/>
                <w:lang w:val="fr-BE"/>
              </w:rPr>
              <w:t>1,30</w:t>
            </w:r>
          </w:p>
        </w:tc>
        <w:tc>
          <w:tcPr>
            <w:tcW w:w="0" w:type="auto"/>
          </w:tcPr>
          <w:p w14:paraId="1149EBCE" w14:textId="77777777" w:rsidR="008C5CFA" w:rsidRPr="00A92B39" w:rsidRDefault="00E82A60" w:rsidP="00300A01">
            <w:pPr>
              <w:spacing w:before="0" w:after="0"/>
              <w:jc w:val="right"/>
              <w:rPr>
                <w:sz w:val="10"/>
                <w:szCs w:val="10"/>
                <w:lang w:val="fr-BE"/>
              </w:rPr>
            </w:pPr>
            <w:r w:rsidRPr="00A92B39">
              <w:rPr>
                <w:noProof/>
                <w:sz w:val="10"/>
                <w:szCs w:val="10"/>
                <w:lang w:val="fr-BE"/>
              </w:rPr>
              <w:t>3 489,00</w:t>
            </w:r>
          </w:p>
        </w:tc>
        <w:tc>
          <w:tcPr>
            <w:tcW w:w="0" w:type="auto"/>
            <w:shd w:val="clear" w:color="auto" w:fill="auto"/>
          </w:tcPr>
          <w:p w14:paraId="5BE7F834" w14:textId="77777777" w:rsidR="008C5CFA" w:rsidRPr="00A92B39" w:rsidRDefault="00E82A60" w:rsidP="00300A01">
            <w:pPr>
              <w:spacing w:before="0" w:after="0"/>
              <w:jc w:val="right"/>
              <w:rPr>
                <w:sz w:val="10"/>
                <w:szCs w:val="10"/>
                <w:lang w:val="fr-BE"/>
              </w:rPr>
            </w:pPr>
            <w:r w:rsidRPr="00A92B39">
              <w:rPr>
                <w:noProof/>
                <w:sz w:val="10"/>
                <w:szCs w:val="10"/>
                <w:lang w:val="fr-BE"/>
              </w:rPr>
              <w:t>1 878,00</w:t>
            </w:r>
          </w:p>
        </w:tc>
        <w:tc>
          <w:tcPr>
            <w:tcW w:w="0" w:type="auto"/>
            <w:shd w:val="clear" w:color="auto" w:fill="auto"/>
          </w:tcPr>
          <w:p w14:paraId="6D29CFD5" w14:textId="77777777" w:rsidR="008C5CFA" w:rsidRPr="00A92B39" w:rsidRDefault="00E82A60" w:rsidP="00300A01">
            <w:pPr>
              <w:spacing w:before="0" w:after="0"/>
              <w:jc w:val="right"/>
              <w:rPr>
                <w:sz w:val="10"/>
                <w:szCs w:val="10"/>
                <w:lang w:val="fr-BE"/>
              </w:rPr>
            </w:pPr>
            <w:r w:rsidRPr="00A92B39">
              <w:rPr>
                <w:noProof/>
                <w:sz w:val="10"/>
                <w:szCs w:val="10"/>
                <w:lang w:val="fr-BE"/>
              </w:rPr>
              <w:t>1 611,00</w:t>
            </w:r>
          </w:p>
        </w:tc>
      </w:tr>
      <w:tr w:rsidR="006B2EC1" w14:paraId="3F3049FB" w14:textId="77777777" w:rsidTr="002A1502">
        <w:tc>
          <w:tcPr>
            <w:tcW w:w="0" w:type="auto"/>
            <w:shd w:val="clear" w:color="auto" w:fill="auto"/>
          </w:tcPr>
          <w:p w14:paraId="2A9844E5" w14:textId="77777777" w:rsidR="008C5CFA" w:rsidRPr="00A92B39" w:rsidRDefault="00E82A60" w:rsidP="00300A01">
            <w:pPr>
              <w:spacing w:before="0" w:after="0"/>
              <w:rPr>
                <w:sz w:val="10"/>
                <w:szCs w:val="10"/>
                <w:lang w:val="fr-BE"/>
              </w:rPr>
            </w:pPr>
            <w:r w:rsidRPr="00A92B39">
              <w:rPr>
                <w:noProof/>
                <w:sz w:val="10"/>
                <w:szCs w:val="10"/>
                <w:lang w:val="fr-BE"/>
              </w:rPr>
              <w:t>018</w:t>
            </w:r>
          </w:p>
        </w:tc>
        <w:tc>
          <w:tcPr>
            <w:tcW w:w="0" w:type="auto"/>
            <w:shd w:val="clear" w:color="auto" w:fill="auto"/>
          </w:tcPr>
          <w:p w14:paraId="2E97C6E8" w14:textId="77777777" w:rsidR="008C5CFA" w:rsidRPr="00A92B39" w:rsidRDefault="00E82A60" w:rsidP="00300A01">
            <w:pPr>
              <w:spacing w:before="0" w:after="0"/>
              <w:rPr>
                <w:sz w:val="10"/>
                <w:szCs w:val="10"/>
                <w:lang w:val="fr-BE"/>
              </w:rPr>
            </w:pPr>
            <w:r w:rsidRPr="00A92B39">
              <w:rPr>
                <w:noProof/>
                <w:sz w:val="10"/>
                <w:szCs w:val="10"/>
                <w:lang w:val="fr-BE"/>
              </w:rPr>
              <w:t>Liczba osób, które otrzymały bezzwrotne środki na podjęcie działalności gospodarczej w programie</w:t>
            </w:r>
          </w:p>
        </w:tc>
        <w:tc>
          <w:tcPr>
            <w:tcW w:w="0" w:type="auto"/>
            <w:shd w:val="clear" w:color="auto" w:fill="auto"/>
          </w:tcPr>
          <w:p w14:paraId="0FB67139" w14:textId="77777777" w:rsidR="008C5CFA" w:rsidRPr="00A92B39" w:rsidRDefault="00E82A60" w:rsidP="00300A01">
            <w:pPr>
              <w:spacing w:before="0" w:after="0"/>
              <w:rPr>
                <w:sz w:val="10"/>
                <w:szCs w:val="10"/>
                <w:lang w:val="fr-BE"/>
              </w:rPr>
            </w:pPr>
            <w:r w:rsidRPr="00A92B39">
              <w:rPr>
                <w:noProof/>
                <w:sz w:val="10"/>
                <w:szCs w:val="10"/>
                <w:lang w:val="fr-BE"/>
              </w:rPr>
              <w:t>Słabiej rozwinięte</w:t>
            </w:r>
          </w:p>
        </w:tc>
        <w:tc>
          <w:tcPr>
            <w:tcW w:w="0" w:type="auto"/>
          </w:tcPr>
          <w:p w14:paraId="6522615C" w14:textId="77777777" w:rsidR="008C5CFA" w:rsidRPr="00A92B39" w:rsidRDefault="00E82A60" w:rsidP="00300A01">
            <w:pPr>
              <w:spacing w:before="0" w:after="0"/>
              <w:rPr>
                <w:sz w:val="10"/>
                <w:szCs w:val="10"/>
                <w:lang w:val="fr-BE"/>
              </w:rPr>
            </w:pPr>
            <w:r w:rsidRPr="00A92B39">
              <w:rPr>
                <w:noProof/>
                <w:sz w:val="10"/>
                <w:szCs w:val="10"/>
                <w:lang w:val="fr-BE"/>
              </w:rPr>
              <w:t>osoba</w:t>
            </w:r>
          </w:p>
        </w:tc>
        <w:tc>
          <w:tcPr>
            <w:tcW w:w="0" w:type="auto"/>
            <w:shd w:val="clear" w:color="auto" w:fill="auto"/>
          </w:tcPr>
          <w:p w14:paraId="72FDF576" w14:textId="77777777" w:rsidR="008C5CFA" w:rsidRPr="00A92B39" w:rsidRDefault="00E82A60" w:rsidP="00300A01">
            <w:pPr>
              <w:spacing w:before="0" w:after="0"/>
              <w:jc w:val="right"/>
              <w:rPr>
                <w:sz w:val="10"/>
                <w:szCs w:val="10"/>
                <w:lang w:val="fr-BE"/>
              </w:rPr>
            </w:pPr>
            <w:r w:rsidRPr="00A92B39">
              <w:rPr>
                <w:noProof/>
                <w:sz w:val="10"/>
                <w:szCs w:val="10"/>
                <w:lang w:val="fr-BE"/>
              </w:rPr>
              <w:t>2 068,00</w:t>
            </w:r>
          </w:p>
        </w:tc>
        <w:tc>
          <w:tcPr>
            <w:tcW w:w="0" w:type="auto"/>
            <w:shd w:val="clear" w:color="auto" w:fill="auto"/>
          </w:tcPr>
          <w:p w14:paraId="13BEB76A" w14:textId="77777777" w:rsidR="008C5CFA" w:rsidRPr="00A92B39" w:rsidRDefault="00E82A60" w:rsidP="00300A01">
            <w:pPr>
              <w:spacing w:before="0" w:after="0"/>
              <w:jc w:val="right"/>
              <w:rPr>
                <w:sz w:val="10"/>
                <w:szCs w:val="10"/>
                <w:lang w:val="fr-BE"/>
              </w:rPr>
            </w:pPr>
            <w:r w:rsidRPr="00A92B39">
              <w:rPr>
                <w:noProof/>
                <w:sz w:val="10"/>
                <w:szCs w:val="10"/>
                <w:lang w:val="fr-BE"/>
              </w:rPr>
              <w:t>1 386,00</w:t>
            </w:r>
          </w:p>
        </w:tc>
        <w:tc>
          <w:tcPr>
            <w:tcW w:w="0" w:type="auto"/>
            <w:shd w:val="clear" w:color="auto" w:fill="auto"/>
          </w:tcPr>
          <w:p w14:paraId="168F279D" w14:textId="77777777" w:rsidR="008C5CFA" w:rsidRPr="00A92B39" w:rsidRDefault="00E82A60" w:rsidP="00300A01">
            <w:pPr>
              <w:spacing w:before="0" w:after="0"/>
              <w:jc w:val="right"/>
              <w:rPr>
                <w:sz w:val="10"/>
                <w:szCs w:val="10"/>
                <w:lang w:val="fr-BE"/>
              </w:rPr>
            </w:pPr>
            <w:r w:rsidRPr="00A92B39">
              <w:rPr>
                <w:noProof/>
                <w:sz w:val="10"/>
                <w:szCs w:val="10"/>
                <w:lang w:val="fr-BE"/>
              </w:rPr>
              <w:t>682,00</w:t>
            </w:r>
          </w:p>
        </w:tc>
        <w:tc>
          <w:tcPr>
            <w:tcW w:w="0" w:type="auto"/>
            <w:shd w:val="clear" w:color="auto" w:fill="auto"/>
          </w:tcPr>
          <w:p w14:paraId="0CEF7E2A" w14:textId="77777777" w:rsidR="008C5CFA" w:rsidRPr="00A92B39" w:rsidRDefault="00E82A60" w:rsidP="00300A01">
            <w:pPr>
              <w:spacing w:before="0" w:after="0"/>
              <w:jc w:val="right"/>
              <w:rPr>
                <w:sz w:val="10"/>
                <w:szCs w:val="10"/>
                <w:lang w:val="fr-BE"/>
              </w:rPr>
            </w:pPr>
            <w:r w:rsidRPr="00A92B39">
              <w:rPr>
                <w:noProof/>
                <w:sz w:val="10"/>
                <w:szCs w:val="10"/>
                <w:lang w:val="fr-BE"/>
              </w:rPr>
              <w:t>1 565,00</w:t>
            </w:r>
          </w:p>
        </w:tc>
        <w:tc>
          <w:tcPr>
            <w:tcW w:w="0" w:type="auto"/>
            <w:shd w:val="clear" w:color="auto" w:fill="auto"/>
          </w:tcPr>
          <w:p w14:paraId="5AC7D9B6" w14:textId="77777777" w:rsidR="008C5CFA" w:rsidRPr="00A92B39" w:rsidRDefault="00E82A60" w:rsidP="00300A01">
            <w:pPr>
              <w:spacing w:before="0" w:after="0"/>
              <w:jc w:val="right"/>
              <w:rPr>
                <w:sz w:val="10"/>
                <w:szCs w:val="10"/>
                <w:lang w:val="fr-BE"/>
              </w:rPr>
            </w:pPr>
            <w:r w:rsidRPr="00A92B39">
              <w:rPr>
                <w:noProof/>
                <w:sz w:val="10"/>
                <w:szCs w:val="10"/>
                <w:lang w:val="fr-BE"/>
              </w:rPr>
              <w:t>855,00</w:t>
            </w:r>
          </w:p>
        </w:tc>
        <w:tc>
          <w:tcPr>
            <w:tcW w:w="0" w:type="auto"/>
            <w:shd w:val="clear" w:color="auto" w:fill="auto"/>
          </w:tcPr>
          <w:p w14:paraId="3FF80DC2" w14:textId="77777777" w:rsidR="008C5CFA" w:rsidRPr="00A92B39" w:rsidRDefault="00E82A60" w:rsidP="00300A01">
            <w:pPr>
              <w:spacing w:before="0" w:after="0"/>
              <w:jc w:val="right"/>
              <w:rPr>
                <w:sz w:val="10"/>
                <w:szCs w:val="10"/>
                <w:lang w:val="fr-BE"/>
              </w:rPr>
            </w:pPr>
            <w:r w:rsidRPr="00A92B39">
              <w:rPr>
                <w:noProof/>
                <w:sz w:val="10"/>
                <w:szCs w:val="10"/>
                <w:lang w:val="fr-BE"/>
              </w:rPr>
              <w:t>710,00</w:t>
            </w:r>
          </w:p>
        </w:tc>
        <w:tc>
          <w:tcPr>
            <w:tcW w:w="0" w:type="auto"/>
            <w:shd w:val="clear" w:color="auto" w:fill="auto"/>
          </w:tcPr>
          <w:p w14:paraId="2A34A1DF" w14:textId="77777777" w:rsidR="008C5CFA" w:rsidRPr="00A92B39" w:rsidRDefault="00E82A60" w:rsidP="00300A01">
            <w:pPr>
              <w:spacing w:before="0" w:after="0"/>
              <w:jc w:val="right"/>
              <w:rPr>
                <w:sz w:val="10"/>
                <w:szCs w:val="10"/>
                <w:lang w:val="fr-BE"/>
              </w:rPr>
            </w:pPr>
            <w:r>
              <w:rPr>
                <w:noProof/>
                <w:sz w:val="10"/>
                <w:szCs w:val="10"/>
                <w:lang w:val="fr-BE"/>
              </w:rPr>
              <w:t>0,76</w:t>
            </w:r>
          </w:p>
        </w:tc>
        <w:tc>
          <w:tcPr>
            <w:tcW w:w="0" w:type="auto"/>
            <w:shd w:val="clear" w:color="auto" w:fill="auto"/>
          </w:tcPr>
          <w:p w14:paraId="4032AC0C" w14:textId="77777777" w:rsidR="008C5CFA" w:rsidRPr="00A92B39" w:rsidRDefault="00E82A60" w:rsidP="00300A01">
            <w:pPr>
              <w:spacing w:before="0" w:after="0"/>
              <w:jc w:val="right"/>
              <w:rPr>
                <w:sz w:val="10"/>
                <w:szCs w:val="10"/>
                <w:lang w:val="fr-BE"/>
              </w:rPr>
            </w:pPr>
            <w:r>
              <w:rPr>
                <w:noProof/>
                <w:sz w:val="10"/>
                <w:szCs w:val="10"/>
                <w:lang w:val="fr-BE"/>
              </w:rPr>
              <w:t>0,62</w:t>
            </w:r>
          </w:p>
        </w:tc>
        <w:tc>
          <w:tcPr>
            <w:tcW w:w="0" w:type="auto"/>
            <w:shd w:val="clear" w:color="auto" w:fill="auto"/>
          </w:tcPr>
          <w:p w14:paraId="72FF1F80" w14:textId="77777777" w:rsidR="008C5CFA" w:rsidRPr="00A92B39" w:rsidRDefault="00E82A60" w:rsidP="00300A01">
            <w:pPr>
              <w:spacing w:before="0" w:after="0"/>
              <w:jc w:val="right"/>
              <w:rPr>
                <w:sz w:val="10"/>
                <w:szCs w:val="10"/>
                <w:lang w:val="fr-BE"/>
              </w:rPr>
            </w:pPr>
            <w:r>
              <w:rPr>
                <w:noProof/>
                <w:sz w:val="10"/>
                <w:szCs w:val="10"/>
                <w:lang w:val="fr-BE"/>
              </w:rPr>
              <w:t>1,04</w:t>
            </w:r>
          </w:p>
        </w:tc>
        <w:tc>
          <w:tcPr>
            <w:tcW w:w="0" w:type="auto"/>
          </w:tcPr>
          <w:p w14:paraId="406854DB" w14:textId="77777777" w:rsidR="008C5CFA" w:rsidRPr="00A92B39" w:rsidRDefault="00E82A60" w:rsidP="00300A01">
            <w:pPr>
              <w:spacing w:before="0" w:after="0"/>
              <w:jc w:val="right"/>
              <w:rPr>
                <w:sz w:val="10"/>
                <w:szCs w:val="10"/>
                <w:lang w:val="fr-BE"/>
              </w:rPr>
            </w:pPr>
            <w:r w:rsidRPr="00A92B39">
              <w:rPr>
                <w:noProof/>
                <w:sz w:val="10"/>
                <w:szCs w:val="10"/>
                <w:lang w:val="fr-BE"/>
              </w:rPr>
              <w:t>360,00</w:t>
            </w:r>
          </w:p>
        </w:tc>
        <w:tc>
          <w:tcPr>
            <w:tcW w:w="0" w:type="auto"/>
            <w:shd w:val="clear" w:color="auto" w:fill="auto"/>
          </w:tcPr>
          <w:p w14:paraId="7D8C2A00" w14:textId="77777777" w:rsidR="008C5CFA" w:rsidRPr="00A92B39" w:rsidRDefault="00E82A60" w:rsidP="00300A01">
            <w:pPr>
              <w:spacing w:before="0" w:after="0"/>
              <w:jc w:val="right"/>
              <w:rPr>
                <w:sz w:val="10"/>
                <w:szCs w:val="10"/>
                <w:lang w:val="fr-BE"/>
              </w:rPr>
            </w:pPr>
            <w:r w:rsidRPr="00A92B39">
              <w:rPr>
                <w:noProof/>
                <w:sz w:val="10"/>
                <w:szCs w:val="10"/>
                <w:lang w:val="fr-BE"/>
              </w:rPr>
              <w:t>191,00</w:t>
            </w:r>
          </w:p>
        </w:tc>
        <w:tc>
          <w:tcPr>
            <w:tcW w:w="0" w:type="auto"/>
            <w:shd w:val="clear" w:color="auto" w:fill="auto"/>
          </w:tcPr>
          <w:p w14:paraId="0534370B" w14:textId="77777777" w:rsidR="008C5CFA" w:rsidRPr="00A92B39" w:rsidRDefault="00E82A60" w:rsidP="00300A01">
            <w:pPr>
              <w:spacing w:before="0" w:after="0"/>
              <w:jc w:val="right"/>
              <w:rPr>
                <w:sz w:val="10"/>
                <w:szCs w:val="10"/>
                <w:lang w:val="fr-BE"/>
              </w:rPr>
            </w:pPr>
            <w:r w:rsidRPr="00A92B39">
              <w:rPr>
                <w:noProof/>
                <w:sz w:val="10"/>
                <w:szCs w:val="10"/>
                <w:lang w:val="fr-BE"/>
              </w:rPr>
              <w:t>169,00</w:t>
            </w:r>
          </w:p>
        </w:tc>
      </w:tr>
      <w:tr w:rsidR="006B2EC1" w14:paraId="6EA31894" w14:textId="77777777" w:rsidTr="002A1502">
        <w:tc>
          <w:tcPr>
            <w:tcW w:w="0" w:type="auto"/>
            <w:shd w:val="clear" w:color="auto" w:fill="auto"/>
          </w:tcPr>
          <w:p w14:paraId="3A9309BC" w14:textId="77777777" w:rsidR="008C5CFA" w:rsidRPr="00A92B39" w:rsidRDefault="00E82A60" w:rsidP="00300A01">
            <w:pPr>
              <w:spacing w:before="0" w:after="0"/>
              <w:rPr>
                <w:sz w:val="10"/>
                <w:szCs w:val="10"/>
                <w:lang w:val="fr-BE"/>
              </w:rPr>
            </w:pPr>
            <w:r w:rsidRPr="00A92B39">
              <w:rPr>
                <w:noProof/>
                <w:sz w:val="10"/>
                <w:szCs w:val="10"/>
                <w:lang w:val="fr-BE"/>
              </w:rPr>
              <w:t>117</w:t>
            </w:r>
          </w:p>
        </w:tc>
        <w:tc>
          <w:tcPr>
            <w:tcW w:w="0" w:type="auto"/>
            <w:shd w:val="clear" w:color="auto" w:fill="auto"/>
          </w:tcPr>
          <w:p w14:paraId="35E94C30" w14:textId="77777777" w:rsidR="008C5CFA" w:rsidRPr="00A92B39" w:rsidRDefault="00E82A60" w:rsidP="00300A01">
            <w:pPr>
              <w:spacing w:before="0" w:after="0"/>
              <w:rPr>
                <w:sz w:val="10"/>
                <w:szCs w:val="10"/>
                <w:lang w:val="fr-BE"/>
              </w:rPr>
            </w:pPr>
            <w:r w:rsidRPr="00A92B39">
              <w:rPr>
                <w:noProof/>
                <w:sz w:val="10"/>
                <w:szCs w:val="10"/>
                <w:lang w:val="fr-BE"/>
              </w:rPr>
              <w:t>Liczba osób w wieku 50 lat i więcej objętych wsparciem w programie</w:t>
            </w:r>
          </w:p>
        </w:tc>
        <w:tc>
          <w:tcPr>
            <w:tcW w:w="0" w:type="auto"/>
            <w:shd w:val="clear" w:color="auto" w:fill="auto"/>
          </w:tcPr>
          <w:p w14:paraId="521C8D93" w14:textId="77777777" w:rsidR="008C5CFA" w:rsidRPr="00A92B39" w:rsidRDefault="00E82A60" w:rsidP="00300A01">
            <w:pPr>
              <w:spacing w:before="0" w:after="0"/>
              <w:rPr>
                <w:sz w:val="10"/>
                <w:szCs w:val="10"/>
                <w:lang w:val="fr-BE"/>
              </w:rPr>
            </w:pPr>
            <w:r w:rsidRPr="00A92B39">
              <w:rPr>
                <w:noProof/>
                <w:sz w:val="10"/>
                <w:szCs w:val="10"/>
                <w:lang w:val="fr-BE"/>
              </w:rPr>
              <w:t>Słabiej rozwinięte</w:t>
            </w:r>
          </w:p>
        </w:tc>
        <w:tc>
          <w:tcPr>
            <w:tcW w:w="0" w:type="auto"/>
          </w:tcPr>
          <w:p w14:paraId="2C702CD3" w14:textId="77777777" w:rsidR="008C5CFA" w:rsidRPr="00A92B39" w:rsidRDefault="00E82A60" w:rsidP="00300A01">
            <w:pPr>
              <w:spacing w:before="0" w:after="0"/>
              <w:rPr>
                <w:sz w:val="10"/>
                <w:szCs w:val="10"/>
                <w:lang w:val="fr-BE"/>
              </w:rPr>
            </w:pPr>
            <w:r w:rsidRPr="00A92B39">
              <w:rPr>
                <w:noProof/>
                <w:sz w:val="10"/>
                <w:szCs w:val="10"/>
                <w:lang w:val="fr-BE"/>
              </w:rPr>
              <w:t>osoba</w:t>
            </w:r>
          </w:p>
        </w:tc>
        <w:tc>
          <w:tcPr>
            <w:tcW w:w="0" w:type="auto"/>
            <w:shd w:val="clear" w:color="auto" w:fill="auto"/>
          </w:tcPr>
          <w:p w14:paraId="66746E1F" w14:textId="77777777" w:rsidR="008C5CFA" w:rsidRPr="00A92B39" w:rsidRDefault="00E82A60" w:rsidP="00300A01">
            <w:pPr>
              <w:spacing w:before="0" w:after="0"/>
              <w:jc w:val="right"/>
              <w:rPr>
                <w:sz w:val="10"/>
                <w:szCs w:val="10"/>
                <w:lang w:val="fr-BE"/>
              </w:rPr>
            </w:pPr>
            <w:r w:rsidRPr="00A92B39">
              <w:rPr>
                <w:noProof/>
                <w:sz w:val="10"/>
                <w:szCs w:val="10"/>
                <w:lang w:val="fr-BE"/>
              </w:rPr>
              <w:t>3 307,00</w:t>
            </w:r>
          </w:p>
        </w:tc>
        <w:tc>
          <w:tcPr>
            <w:tcW w:w="0" w:type="auto"/>
            <w:shd w:val="clear" w:color="auto" w:fill="auto"/>
          </w:tcPr>
          <w:p w14:paraId="1BB18271" w14:textId="77777777" w:rsidR="008C5CFA" w:rsidRPr="00A92B39" w:rsidRDefault="00E82A60" w:rsidP="00300A01">
            <w:pPr>
              <w:spacing w:before="0" w:after="0"/>
              <w:jc w:val="right"/>
              <w:rPr>
                <w:sz w:val="10"/>
                <w:szCs w:val="10"/>
                <w:lang w:val="fr-BE"/>
              </w:rPr>
            </w:pPr>
            <w:r w:rsidRPr="00A92B39">
              <w:rPr>
                <w:noProof/>
                <w:sz w:val="10"/>
                <w:szCs w:val="10"/>
                <w:lang w:val="fr-BE"/>
              </w:rPr>
              <w:t>1 584,00</w:t>
            </w:r>
          </w:p>
        </w:tc>
        <w:tc>
          <w:tcPr>
            <w:tcW w:w="0" w:type="auto"/>
            <w:shd w:val="clear" w:color="auto" w:fill="auto"/>
          </w:tcPr>
          <w:p w14:paraId="03E5E11A" w14:textId="77777777" w:rsidR="008C5CFA" w:rsidRPr="00A92B39" w:rsidRDefault="00E82A60" w:rsidP="00300A01">
            <w:pPr>
              <w:spacing w:before="0" w:after="0"/>
              <w:jc w:val="right"/>
              <w:rPr>
                <w:sz w:val="10"/>
                <w:szCs w:val="10"/>
                <w:lang w:val="fr-BE"/>
              </w:rPr>
            </w:pPr>
            <w:r w:rsidRPr="00A92B39">
              <w:rPr>
                <w:noProof/>
                <w:sz w:val="10"/>
                <w:szCs w:val="10"/>
                <w:lang w:val="fr-BE"/>
              </w:rPr>
              <w:t>1 723,00</w:t>
            </w:r>
          </w:p>
        </w:tc>
        <w:tc>
          <w:tcPr>
            <w:tcW w:w="0" w:type="auto"/>
            <w:shd w:val="clear" w:color="auto" w:fill="auto"/>
          </w:tcPr>
          <w:p w14:paraId="24F950D4" w14:textId="77777777" w:rsidR="008C5CFA" w:rsidRPr="00A92B39" w:rsidRDefault="00E82A60" w:rsidP="00300A01">
            <w:pPr>
              <w:spacing w:before="0" w:after="0"/>
              <w:jc w:val="right"/>
              <w:rPr>
                <w:sz w:val="10"/>
                <w:szCs w:val="10"/>
                <w:lang w:val="fr-BE"/>
              </w:rPr>
            </w:pPr>
            <w:r w:rsidRPr="00A92B39">
              <w:rPr>
                <w:noProof/>
                <w:sz w:val="10"/>
                <w:szCs w:val="10"/>
                <w:lang w:val="fr-BE"/>
              </w:rPr>
              <w:t>4 794,00</w:t>
            </w:r>
          </w:p>
        </w:tc>
        <w:tc>
          <w:tcPr>
            <w:tcW w:w="0" w:type="auto"/>
            <w:shd w:val="clear" w:color="auto" w:fill="auto"/>
          </w:tcPr>
          <w:p w14:paraId="0B9E9934" w14:textId="77777777" w:rsidR="008C5CFA" w:rsidRPr="00A92B39" w:rsidRDefault="00E82A60" w:rsidP="00300A01">
            <w:pPr>
              <w:spacing w:before="0" w:after="0"/>
              <w:jc w:val="right"/>
              <w:rPr>
                <w:sz w:val="10"/>
                <w:szCs w:val="10"/>
                <w:lang w:val="fr-BE"/>
              </w:rPr>
            </w:pPr>
            <w:r w:rsidRPr="00A92B39">
              <w:rPr>
                <w:noProof/>
                <w:sz w:val="10"/>
                <w:szCs w:val="10"/>
                <w:lang w:val="fr-BE"/>
              </w:rPr>
              <w:t>2 535,00</w:t>
            </w:r>
          </w:p>
        </w:tc>
        <w:tc>
          <w:tcPr>
            <w:tcW w:w="0" w:type="auto"/>
            <w:shd w:val="clear" w:color="auto" w:fill="auto"/>
          </w:tcPr>
          <w:p w14:paraId="5E681E9B" w14:textId="77777777" w:rsidR="008C5CFA" w:rsidRPr="00A92B39" w:rsidRDefault="00E82A60" w:rsidP="00300A01">
            <w:pPr>
              <w:spacing w:before="0" w:after="0"/>
              <w:jc w:val="right"/>
              <w:rPr>
                <w:sz w:val="10"/>
                <w:szCs w:val="10"/>
                <w:lang w:val="fr-BE"/>
              </w:rPr>
            </w:pPr>
            <w:r w:rsidRPr="00A92B39">
              <w:rPr>
                <w:noProof/>
                <w:sz w:val="10"/>
                <w:szCs w:val="10"/>
                <w:lang w:val="fr-BE"/>
              </w:rPr>
              <w:t>2 259,00</w:t>
            </w:r>
          </w:p>
        </w:tc>
        <w:tc>
          <w:tcPr>
            <w:tcW w:w="0" w:type="auto"/>
            <w:shd w:val="clear" w:color="auto" w:fill="auto"/>
          </w:tcPr>
          <w:p w14:paraId="5B6AFB6C" w14:textId="77777777" w:rsidR="008C5CFA" w:rsidRPr="00A92B39" w:rsidRDefault="00E82A60" w:rsidP="00300A01">
            <w:pPr>
              <w:spacing w:before="0" w:after="0"/>
              <w:jc w:val="right"/>
              <w:rPr>
                <w:sz w:val="10"/>
                <w:szCs w:val="10"/>
                <w:lang w:val="fr-BE"/>
              </w:rPr>
            </w:pPr>
            <w:r>
              <w:rPr>
                <w:noProof/>
                <w:sz w:val="10"/>
                <w:szCs w:val="10"/>
                <w:lang w:val="fr-BE"/>
              </w:rPr>
              <w:t>1,45</w:t>
            </w:r>
          </w:p>
        </w:tc>
        <w:tc>
          <w:tcPr>
            <w:tcW w:w="0" w:type="auto"/>
            <w:shd w:val="clear" w:color="auto" w:fill="auto"/>
          </w:tcPr>
          <w:p w14:paraId="323C3347" w14:textId="77777777" w:rsidR="008C5CFA" w:rsidRPr="00A92B39" w:rsidRDefault="00E82A60" w:rsidP="00300A01">
            <w:pPr>
              <w:spacing w:before="0" w:after="0"/>
              <w:jc w:val="right"/>
              <w:rPr>
                <w:sz w:val="10"/>
                <w:szCs w:val="10"/>
                <w:lang w:val="fr-BE"/>
              </w:rPr>
            </w:pPr>
            <w:r>
              <w:rPr>
                <w:noProof/>
                <w:sz w:val="10"/>
                <w:szCs w:val="10"/>
                <w:lang w:val="fr-BE"/>
              </w:rPr>
              <w:t>1,60</w:t>
            </w:r>
          </w:p>
        </w:tc>
        <w:tc>
          <w:tcPr>
            <w:tcW w:w="0" w:type="auto"/>
            <w:shd w:val="clear" w:color="auto" w:fill="auto"/>
          </w:tcPr>
          <w:p w14:paraId="4A880ADA" w14:textId="77777777" w:rsidR="008C5CFA" w:rsidRPr="00A92B39" w:rsidRDefault="00E82A60" w:rsidP="00300A01">
            <w:pPr>
              <w:spacing w:before="0" w:after="0"/>
              <w:jc w:val="right"/>
              <w:rPr>
                <w:sz w:val="10"/>
                <w:szCs w:val="10"/>
                <w:lang w:val="fr-BE"/>
              </w:rPr>
            </w:pPr>
            <w:r>
              <w:rPr>
                <w:noProof/>
                <w:sz w:val="10"/>
                <w:szCs w:val="10"/>
                <w:lang w:val="fr-BE"/>
              </w:rPr>
              <w:t>1,31</w:t>
            </w:r>
          </w:p>
        </w:tc>
        <w:tc>
          <w:tcPr>
            <w:tcW w:w="0" w:type="auto"/>
          </w:tcPr>
          <w:p w14:paraId="601521CA" w14:textId="77777777" w:rsidR="008C5CFA" w:rsidRPr="00A92B39" w:rsidRDefault="00E82A60" w:rsidP="00300A01">
            <w:pPr>
              <w:spacing w:before="0" w:after="0"/>
              <w:jc w:val="right"/>
              <w:rPr>
                <w:sz w:val="10"/>
                <w:szCs w:val="10"/>
                <w:lang w:val="fr-BE"/>
              </w:rPr>
            </w:pPr>
            <w:r w:rsidRPr="00A92B39">
              <w:rPr>
                <w:noProof/>
                <w:sz w:val="10"/>
                <w:szCs w:val="10"/>
                <w:lang w:val="fr-BE"/>
              </w:rPr>
              <w:t>994,00</w:t>
            </w:r>
          </w:p>
        </w:tc>
        <w:tc>
          <w:tcPr>
            <w:tcW w:w="0" w:type="auto"/>
            <w:shd w:val="clear" w:color="auto" w:fill="auto"/>
          </w:tcPr>
          <w:p w14:paraId="25BE1EFF" w14:textId="77777777" w:rsidR="008C5CFA" w:rsidRPr="00A92B39" w:rsidRDefault="00E82A60" w:rsidP="00300A01">
            <w:pPr>
              <w:spacing w:before="0" w:after="0"/>
              <w:jc w:val="right"/>
              <w:rPr>
                <w:sz w:val="10"/>
                <w:szCs w:val="10"/>
                <w:lang w:val="fr-BE"/>
              </w:rPr>
            </w:pPr>
            <w:r w:rsidRPr="00A92B39">
              <w:rPr>
                <w:noProof/>
                <w:sz w:val="10"/>
                <w:szCs w:val="10"/>
                <w:lang w:val="fr-BE"/>
              </w:rPr>
              <w:t>523,00</w:t>
            </w:r>
          </w:p>
        </w:tc>
        <w:tc>
          <w:tcPr>
            <w:tcW w:w="0" w:type="auto"/>
            <w:shd w:val="clear" w:color="auto" w:fill="auto"/>
          </w:tcPr>
          <w:p w14:paraId="09B7E399" w14:textId="77777777" w:rsidR="008C5CFA" w:rsidRPr="00A92B39" w:rsidRDefault="00E82A60" w:rsidP="00300A01">
            <w:pPr>
              <w:spacing w:before="0" w:after="0"/>
              <w:jc w:val="right"/>
              <w:rPr>
                <w:sz w:val="10"/>
                <w:szCs w:val="10"/>
                <w:lang w:val="fr-BE"/>
              </w:rPr>
            </w:pPr>
            <w:r w:rsidRPr="00A92B39">
              <w:rPr>
                <w:noProof/>
                <w:sz w:val="10"/>
                <w:szCs w:val="10"/>
                <w:lang w:val="fr-BE"/>
              </w:rPr>
              <w:t>471,00</w:t>
            </w:r>
          </w:p>
        </w:tc>
      </w:tr>
    </w:tbl>
    <w:p w14:paraId="01F2E838"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68"/>
        <w:gridCol w:w="5296"/>
        <w:gridCol w:w="1092"/>
        <w:gridCol w:w="530"/>
        <w:gridCol w:w="660"/>
        <w:gridCol w:w="530"/>
        <w:gridCol w:w="530"/>
        <w:gridCol w:w="660"/>
        <w:gridCol w:w="530"/>
        <w:gridCol w:w="530"/>
        <w:gridCol w:w="660"/>
        <w:gridCol w:w="530"/>
        <w:gridCol w:w="509"/>
        <w:gridCol w:w="660"/>
        <w:gridCol w:w="515"/>
        <w:gridCol w:w="509"/>
        <w:gridCol w:w="660"/>
        <w:gridCol w:w="515"/>
      </w:tblGrid>
      <w:tr w:rsidR="006B2EC1" w14:paraId="53F2E9FD" w14:textId="77777777" w:rsidTr="0047688D">
        <w:trPr>
          <w:tblHeader/>
        </w:trPr>
        <w:tc>
          <w:tcPr>
            <w:tcW w:w="0" w:type="auto"/>
            <w:shd w:val="clear" w:color="auto" w:fill="auto"/>
          </w:tcPr>
          <w:p w14:paraId="5EC368F6" w14:textId="77777777" w:rsidR="008C5CFA" w:rsidRPr="00A92B39" w:rsidRDefault="00E82A60" w:rsidP="00300A01">
            <w:pPr>
              <w:spacing w:before="0" w:after="0"/>
              <w:rPr>
                <w:b/>
                <w:sz w:val="10"/>
                <w:szCs w:val="10"/>
                <w:lang w:val="fr-BE"/>
              </w:rPr>
            </w:pPr>
            <w:r w:rsidRPr="00A92B39">
              <w:rPr>
                <w:b/>
                <w:noProof/>
                <w:sz w:val="10"/>
                <w:szCs w:val="10"/>
                <w:lang w:val="fr-BE"/>
              </w:rPr>
              <w:t>ID</w:t>
            </w:r>
          </w:p>
        </w:tc>
        <w:tc>
          <w:tcPr>
            <w:tcW w:w="0" w:type="auto"/>
            <w:shd w:val="clear" w:color="auto" w:fill="auto"/>
          </w:tcPr>
          <w:p w14:paraId="099E7D30" w14:textId="77777777" w:rsidR="008C5CFA" w:rsidRPr="00A92B39" w:rsidRDefault="00E82A60" w:rsidP="00300A01">
            <w:pPr>
              <w:spacing w:before="0" w:after="0"/>
              <w:rPr>
                <w:b/>
                <w:sz w:val="10"/>
                <w:szCs w:val="10"/>
                <w:lang w:val="fr-BE"/>
              </w:rPr>
            </w:pPr>
            <w:r w:rsidRPr="00A92B39">
              <w:rPr>
                <w:b/>
                <w:noProof/>
                <w:sz w:val="10"/>
                <w:szCs w:val="10"/>
                <w:lang w:val="fr-BE"/>
              </w:rPr>
              <w:t>Wskaźnik</w:t>
            </w:r>
          </w:p>
        </w:tc>
        <w:tc>
          <w:tcPr>
            <w:tcW w:w="0" w:type="auto"/>
            <w:shd w:val="clear" w:color="auto" w:fill="auto"/>
          </w:tcPr>
          <w:p w14:paraId="2035606C" w14:textId="77777777" w:rsidR="008C5CFA" w:rsidRPr="00A92B39" w:rsidRDefault="00E82A60" w:rsidP="00300A01">
            <w:pPr>
              <w:spacing w:before="0" w:after="0"/>
              <w:rPr>
                <w:b/>
                <w:sz w:val="10"/>
                <w:szCs w:val="10"/>
                <w:lang w:val="fr-BE"/>
              </w:rPr>
            </w:pPr>
            <w:r w:rsidRPr="00A92B39">
              <w:rPr>
                <w:b/>
                <w:noProof/>
                <w:sz w:val="10"/>
                <w:szCs w:val="10"/>
                <w:lang w:val="fr-BE"/>
              </w:rPr>
              <w:t>Kategoria regionu</w:t>
            </w:r>
          </w:p>
        </w:tc>
        <w:tc>
          <w:tcPr>
            <w:tcW w:w="0" w:type="auto"/>
            <w:gridSpan w:val="3"/>
            <w:shd w:val="clear" w:color="auto" w:fill="auto"/>
          </w:tcPr>
          <w:p w14:paraId="3AC0DBBD" w14:textId="77777777" w:rsidR="008C5CFA" w:rsidRPr="00A92B39" w:rsidRDefault="00E82A60" w:rsidP="00300A01">
            <w:pPr>
              <w:spacing w:before="0" w:after="0"/>
              <w:jc w:val="center"/>
              <w:rPr>
                <w:b/>
                <w:sz w:val="10"/>
                <w:szCs w:val="10"/>
                <w:lang w:val="fr-BE"/>
              </w:rPr>
            </w:pPr>
            <w:r w:rsidRPr="00A92B39">
              <w:rPr>
                <w:b/>
                <w:sz w:val="10"/>
                <w:szCs w:val="10"/>
                <w:lang w:val="fr-BE"/>
              </w:rPr>
              <w:t>20</w:t>
            </w:r>
            <w:r>
              <w:rPr>
                <w:b/>
                <w:sz w:val="10"/>
                <w:szCs w:val="10"/>
                <w:lang w:val="fr-BE"/>
              </w:rPr>
              <w:t>18</w:t>
            </w:r>
          </w:p>
        </w:tc>
        <w:tc>
          <w:tcPr>
            <w:tcW w:w="0" w:type="auto"/>
            <w:gridSpan w:val="3"/>
          </w:tcPr>
          <w:p w14:paraId="13BAA699" w14:textId="77777777" w:rsidR="008C5CFA" w:rsidRPr="00A92B39" w:rsidRDefault="00E82A60" w:rsidP="00300A01">
            <w:pPr>
              <w:spacing w:before="0" w:after="0"/>
              <w:jc w:val="center"/>
              <w:rPr>
                <w:b/>
                <w:sz w:val="10"/>
                <w:szCs w:val="10"/>
                <w:lang w:val="fr-BE"/>
              </w:rPr>
            </w:pPr>
            <w:r>
              <w:rPr>
                <w:b/>
                <w:sz w:val="10"/>
                <w:szCs w:val="10"/>
                <w:lang w:val="fr-BE"/>
              </w:rPr>
              <w:t>2017</w:t>
            </w:r>
          </w:p>
        </w:tc>
        <w:tc>
          <w:tcPr>
            <w:tcW w:w="0" w:type="auto"/>
            <w:gridSpan w:val="3"/>
          </w:tcPr>
          <w:p w14:paraId="7A95F340" w14:textId="77777777" w:rsidR="008C5CFA" w:rsidRDefault="00E82A60" w:rsidP="00300A01">
            <w:pPr>
              <w:spacing w:before="0" w:after="0"/>
              <w:jc w:val="center"/>
              <w:rPr>
                <w:b/>
                <w:sz w:val="10"/>
                <w:szCs w:val="10"/>
                <w:lang w:val="fr-BE"/>
              </w:rPr>
            </w:pPr>
            <w:r>
              <w:rPr>
                <w:b/>
                <w:sz w:val="10"/>
                <w:szCs w:val="10"/>
                <w:lang w:val="fr-BE"/>
              </w:rPr>
              <w:t>2016</w:t>
            </w:r>
          </w:p>
        </w:tc>
        <w:tc>
          <w:tcPr>
            <w:tcW w:w="0" w:type="auto"/>
            <w:gridSpan w:val="3"/>
          </w:tcPr>
          <w:p w14:paraId="65A1DCE0" w14:textId="77777777" w:rsidR="008C5CFA" w:rsidRDefault="00E82A60" w:rsidP="00300A01">
            <w:pPr>
              <w:spacing w:before="0" w:after="0"/>
              <w:jc w:val="center"/>
              <w:rPr>
                <w:b/>
                <w:sz w:val="10"/>
                <w:szCs w:val="10"/>
                <w:lang w:val="fr-BE"/>
              </w:rPr>
            </w:pPr>
            <w:r>
              <w:rPr>
                <w:b/>
                <w:sz w:val="10"/>
                <w:szCs w:val="10"/>
                <w:lang w:val="fr-BE"/>
              </w:rPr>
              <w:t>2015</w:t>
            </w:r>
          </w:p>
        </w:tc>
        <w:tc>
          <w:tcPr>
            <w:tcW w:w="0" w:type="auto"/>
            <w:gridSpan w:val="3"/>
          </w:tcPr>
          <w:p w14:paraId="0DA37CAE" w14:textId="77777777" w:rsidR="008C5CFA" w:rsidRDefault="00E82A60" w:rsidP="00300A01">
            <w:pPr>
              <w:spacing w:before="0" w:after="0"/>
              <w:jc w:val="center"/>
              <w:rPr>
                <w:b/>
                <w:sz w:val="10"/>
                <w:szCs w:val="10"/>
                <w:lang w:val="fr-BE"/>
              </w:rPr>
            </w:pPr>
            <w:r>
              <w:rPr>
                <w:b/>
                <w:sz w:val="10"/>
                <w:szCs w:val="10"/>
                <w:lang w:val="fr-BE"/>
              </w:rPr>
              <w:t>2014</w:t>
            </w:r>
          </w:p>
        </w:tc>
      </w:tr>
      <w:tr w:rsidR="006B2EC1" w14:paraId="2A98AD46" w14:textId="77777777" w:rsidTr="0047688D">
        <w:trPr>
          <w:tblHeader/>
        </w:trPr>
        <w:tc>
          <w:tcPr>
            <w:tcW w:w="0" w:type="auto"/>
            <w:shd w:val="clear" w:color="auto" w:fill="auto"/>
          </w:tcPr>
          <w:p w14:paraId="29077364" w14:textId="77777777" w:rsidR="008C5CFA" w:rsidRPr="00A92B39" w:rsidRDefault="008C5CFA" w:rsidP="00300A01">
            <w:pPr>
              <w:spacing w:before="0" w:after="0"/>
              <w:rPr>
                <w:sz w:val="10"/>
                <w:szCs w:val="10"/>
                <w:lang w:val="fr-BE"/>
              </w:rPr>
            </w:pPr>
          </w:p>
        </w:tc>
        <w:tc>
          <w:tcPr>
            <w:tcW w:w="0" w:type="auto"/>
            <w:shd w:val="clear" w:color="auto" w:fill="auto"/>
          </w:tcPr>
          <w:p w14:paraId="1DE28D0F" w14:textId="77777777" w:rsidR="008C5CFA" w:rsidRPr="00A92B39" w:rsidRDefault="008C5CFA" w:rsidP="00300A01">
            <w:pPr>
              <w:spacing w:before="0" w:after="0"/>
              <w:rPr>
                <w:sz w:val="10"/>
                <w:szCs w:val="10"/>
                <w:lang w:val="fr-BE"/>
              </w:rPr>
            </w:pPr>
          </w:p>
        </w:tc>
        <w:tc>
          <w:tcPr>
            <w:tcW w:w="0" w:type="auto"/>
            <w:shd w:val="clear" w:color="auto" w:fill="auto"/>
          </w:tcPr>
          <w:p w14:paraId="174A481A" w14:textId="77777777" w:rsidR="008C5CFA" w:rsidRPr="00A92B39" w:rsidRDefault="008C5CFA" w:rsidP="00300A01">
            <w:pPr>
              <w:spacing w:before="0" w:after="0"/>
              <w:rPr>
                <w:sz w:val="10"/>
                <w:szCs w:val="10"/>
                <w:lang w:val="fr-BE"/>
              </w:rPr>
            </w:pPr>
          </w:p>
        </w:tc>
        <w:tc>
          <w:tcPr>
            <w:tcW w:w="0" w:type="auto"/>
            <w:shd w:val="clear" w:color="auto" w:fill="auto"/>
          </w:tcPr>
          <w:p w14:paraId="17BCC425" w14:textId="77777777" w:rsidR="008C5CFA" w:rsidRPr="00A92B39" w:rsidRDefault="00E82A60" w:rsidP="00300A01">
            <w:pPr>
              <w:spacing w:before="0" w:after="0"/>
              <w:jc w:val="center"/>
              <w:rPr>
                <w:b/>
                <w:sz w:val="10"/>
                <w:szCs w:val="10"/>
                <w:lang w:val="fr-BE"/>
              </w:rPr>
            </w:pPr>
            <w:r w:rsidRPr="00A92B39">
              <w:rPr>
                <w:b/>
                <w:noProof/>
                <w:sz w:val="10"/>
                <w:szCs w:val="10"/>
                <w:lang w:val="fr-BE"/>
              </w:rPr>
              <w:t>Ogółem</w:t>
            </w:r>
          </w:p>
        </w:tc>
        <w:tc>
          <w:tcPr>
            <w:tcW w:w="0" w:type="auto"/>
            <w:shd w:val="clear" w:color="auto" w:fill="auto"/>
          </w:tcPr>
          <w:p w14:paraId="3FBD89D8" w14:textId="77777777" w:rsidR="008C5CFA" w:rsidRPr="00A92B39" w:rsidRDefault="00E82A60" w:rsidP="00300A01">
            <w:pPr>
              <w:spacing w:before="0" w:after="0"/>
              <w:jc w:val="center"/>
              <w:rPr>
                <w:b/>
                <w:sz w:val="10"/>
                <w:szCs w:val="10"/>
                <w:lang w:val="fr-BE"/>
              </w:rPr>
            </w:pPr>
            <w:r w:rsidRPr="00A92B39">
              <w:rPr>
                <w:b/>
                <w:noProof/>
                <w:sz w:val="10"/>
                <w:szCs w:val="10"/>
                <w:lang w:val="fr-BE"/>
              </w:rPr>
              <w:t>Mężczyźni</w:t>
            </w:r>
          </w:p>
        </w:tc>
        <w:tc>
          <w:tcPr>
            <w:tcW w:w="0" w:type="auto"/>
            <w:shd w:val="clear" w:color="auto" w:fill="auto"/>
          </w:tcPr>
          <w:p w14:paraId="655E0B78" w14:textId="77777777" w:rsidR="008C5CFA" w:rsidRPr="00A92B39" w:rsidRDefault="00E82A60" w:rsidP="00300A01">
            <w:pPr>
              <w:spacing w:before="0" w:after="0"/>
              <w:jc w:val="center"/>
              <w:rPr>
                <w:b/>
                <w:sz w:val="10"/>
                <w:szCs w:val="10"/>
                <w:lang w:val="fr-BE"/>
              </w:rPr>
            </w:pPr>
            <w:r w:rsidRPr="00A92B39">
              <w:rPr>
                <w:b/>
                <w:noProof/>
                <w:sz w:val="10"/>
                <w:szCs w:val="10"/>
                <w:lang w:val="fr-BE"/>
              </w:rPr>
              <w:t>Kobiety</w:t>
            </w:r>
          </w:p>
        </w:tc>
        <w:tc>
          <w:tcPr>
            <w:tcW w:w="0" w:type="auto"/>
          </w:tcPr>
          <w:p w14:paraId="63EAD8ED" w14:textId="77777777" w:rsidR="008C5CFA" w:rsidRPr="00A92B39" w:rsidRDefault="00E82A60" w:rsidP="00300A01">
            <w:pPr>
              <w:spacing w:before="0" w:after="0"/>
              <w:jc w:val="center"/>
              <w:rPr>
                <w:b/>
                <w:sz w:val="10"/>
                <w:szCs w:val="10"/>
                <w:lang w:val="fr-BE"/>
              </w:rPr>
            </w:pPr>
            <w:r w:rsidRPr="00A92B39">
              <w:rPr>
                <w:b/>
                <w:noProof/>
                <w:sz w:val="10"/>
                <w:szCs w:val="10"/>
                <w:lang w:val="fr-BE"/>
              </w:rPr>
              <w:t>Ogółem</w:t>
            </w:r>
          </w:p>
        </w:tc>
        <w:tc>
          <w:tcPr>
            <w:tcW w:w="0" w:type="auto"/>
          </w:tcPr>
          <w:p w14:paraId="4390F03D" w14:textId="77777777" w:rsidR="008C5CFA" w:rsidRPr="00A92B39" w:rsidRDefault="00E82A60" w:rsidP="00300A01">
            <w:pPr>
              <w:spacing w:before="0" w:after="0"/>
              <w:jc w:val="center"/>
              <w:rPr>
                <w:b/>
                <w:sz w:val="10"/>
                <w:szCs w:val="10"/>
                <w:lang w:val="fr-BE"/>
              </w:rPr>
            </w:pPr>
            <w:r w:rsidRPr="00A92B39">
              <w:rPr>
                <w:b/>
                <w:noProof/>
                <w:sz w:val="10"/>
                <w:szCs w:val="10"/>
                <w:lang w:val="fr-BE"/>
              </w:rPr>
              <w:t>Mężczyźni</w:t>
            </w:r>
          </w:p>
        </w:tc>
        <w:tc>
          <w:tcPr>
            <w:tcW w:w="0" w:type="auto"/>
          </w:tcPr>
          <w:p w14:paraId="2A5D1C78" w14:textId="77777777" w:rsidR="008C5CFA" w:rsidRPr="00A92B39" w:rsidRDefault="00E82A60" w:rsidP="00300A01">
            <w:pPr>
              <w:spacing w:before="0" w:after="0"/>
              <w:jc w:val="center"/>
              <w:rPr>
                <w:b/>
                <w:sz w:val="10"/>
                <w:szCs w:val="10"/>
                <w:lang w:val="fr-BE"/>
              </w:rPr>
            </w:pPr>
            <w:r w:rsidRPr="00A92B39">
              <w:rPr>
                <w:b/>
                <w:noProof/>
                <w:sz w:val="10"/>
                <w:szCs w:val="10"/>
                <w:lang w:val="fr-BE"/>
              </w:rPr>
              <w:t>Kobiety</w:t>
            </w:r>
          </w:p>
        </w:tc>
        <w:tc>
          <w:tcPr>
            <w:tcW w:w="0" w:type="auto"/>
          </w:tcPr>
          <w:p w14:paraId="5119E5EF" w14:textId="77777777" w:rsidR="008C5CFA" w:rsidRPr="00A92B39" w:rsidRDefault="00E82A60" w:rsidP="00300A01">
            <w:pPr>
              <w:spacing w:before="0" w:after="0"/>
              <w:jc w:val="center"/>
              <w:rPr>
                <w:b/>
                <w:sz w:val="10"/>
                <w:szCs w:val="10"/>
                <w:lang w:val="fr-BE"/>
              </w:rPr>
            </w:pPr>
            <w:r w:rsidRPr="00A92B39">
              <w:rPr>
                <w:b/>
                <w:noProof/>
                <w:sz w:val="10"/>
                <w:szCs w:val="10"/>
                <w:lang w:val="fr-BE"/>
              </w:rPr>
              <w:t>Ogółem</w:t>
            </w:r>
          </w:p>
        </w:tc>
        <w:tc>
          <w:tcPr>
            <w:tcW w:w="0" w:type="auto"/>
          </w:tcPr>
          <w:p w14:paraId="6996E075" w14:textId="77777777" w:rsidR="008C5CFA" w:rsidRPr="00A92B39" w:rsidRDefault="00E82A60" w:rsidP="00300A01">
            <w:pPr>
              <w:spacing w:before="0" w:after="0"/>
              <w:jc w:val="center"/>
              <w:rPr>
                <w:b/>
                <w:sz w:val="10"/>
                <w:szCs w:val="10"/>
                <w:lang w:val="fr-BE"/>
              </w:rPr>
            </w:pPr>
            <w:r w:rsidRPr="00A92B39">
              <w:rPr>
                <w:b/>
                <w:noProof/>
                <w:sz w:val="10"/>
                <w:szCs w:val="10"/>
                <w:lang w:val="fr-BE"/>
              </w:rPr>
              <w:t>Mężczyźni</w:t>
            </w:r>
          </w:p>
        </w:tc>
        <w:tc>
          <w:tcPr>
            <w:tcW w:w="0" w:type="auto"/>
          </w:tcPr>
          <w:p w14:paraId="5C2DD227" w14:textId="77777777" w:rsidR="008C5CFA" w:rsidRPr="00A92B39" w:rsidRDefault="00E82A60" w:rsidP="00300A01">
            <w:pPr>
              <w:spacing w:before="0" w:after="0"/>
              <w:jc w:val="center"/>
              <w:rPr>
                <w:b/>
                <w:sz w:val="10"/>
                <w:szCs w:val="10"/>
                <w:lang w:val="fr-BE"/>
              </w:rPr>
            </w:pPr>
            <w:r w:rsidRPr="00A92B39">
              <w:rPr>
                <w:b/>
                <w:noProof/>
                <w:sz w:val="10"/>
                <w:szCs w:val="10"/>
                <w:lang w:val="fr-BE"/>
              </w:rPr>
              <w:t>Kobiety</w:t>
            </w:r>
          </w:p>
        </w:tc>
        <w:tc>
          <w:tcPr>
            <w:tcW w:w="0" w:type="auto"/>
          </w:tcPr>
          <w:p w14:paraId="64E4005A" w14:textId="77777777" w:rsidR="008C5CFA" w:rsidRPr="00A92B39" w:rsidRDefault="00E82A60" w:rsidP="00300A01">
            <w:pPr>
              <w:spacing w:before="0" w:after="0"/>
              <w:jc w:val="center"/>
              <w:rPr>
                <w:b/>
                <w:sz w:val="10"/>
                <w:szCs w:val="10"/>
                <w:lang w:val="fr-BE"/>
              </w:rPr>
            </w:pPr>
            <w:r w:rsidRPr="00A92B39">
              <w:rPr>
                <w:b/>
                <w:noProof/>
                <w:sz w:val="10"/>
                <w:szCs w:val="10"/>
                <w:lang w:val="fr-BE"/>
              </w:rPr>
              <w:t>Ogółem</w:t>
            </w:r>
          </w:p>
        </w:tc>
        <w:tc>
          <w:tcPr>
            <w:tcW w:w="0" w:type="auto"/>
          </w:tcPr>
          <w:p w14:paraId="19EE62E6" w14:textId="77777777" w:rsidR="008C5CFA" w:rsidRPr="00A92B39" w:rsidRDefault="00E82A60" w:rsidP="00300A01">
            <w:pPr>
              <w:spacing w:before="0" w:after="0"/>
              <w:jc w:val="center"/>
              <w:rPr>
                <w:b/>
                <w:sz w:val="10"/>
                <w:szCs w:val="10"/>
                <w:lang w:val="fr-BE"/>
              </w:rPr>
            </w:pPr>
            <w:r w:rsidRPr="00A92B39">
              <w:rPr>
                <w:b/>
                <w:noProof/>
                <w:sz w:val="10"/>
                <w:szCs w:val="10"/>
                <w:lang w:val="fr-BE"/>
              </w:rPr>
              <w:t>Mężczyźni</w:t>
            </w:r>
          </w:p>
        </w:tc>
        <w:tc>
          <w:tcPr>
            <w:tcW w:w="0" w:type="auto"/>
          </w:tcPr>
          <w:p w14:paraId="6954E21A" w14:textId="77777777" w:rsidR="008C5CFA" w:rsidRPr="00A92B39" w:rsidRDefault="00E82A60" w:rsidP="00300A01">
            <w:pPr>
              <w:spacing w:before="0" w:after="0"/>
              <w:jc w:val="center"/>
              <w:rPr>
                <w:b/>
                <w:sz w:val="10"/>
                <w:szCs w:val="10"/>
                <w:lang w:val="fr-BE"/>
              </w:rPr>
            </w:pPr>
            <w:r w:rsidRPr="00A92B39">
              <w:rPr>
                <w:b/>
                <w:noProof/>
                <w:sz w:val="10"/>
                <w:szCs w:val="10"/>
                <w:lang w:val="fr-BE"/>
              </w:rPr>
              <w:t>Kobiety</w:t>
            </w:r>
          </w:p>
        </w:tc>
        <w:tc>
          <w:tcPr>
            <w:tcW w:w="0" w:type="auto"/>
          </w:tcPr>
          <w:p w14:paraId="7872E366" w14:textId="77777777" w:rsidR="008C5CFA" w:rsidRPr="00A92B39" w:rsidRDefault="00E82A60" w:rsidP="00300A01">
            <w:pPr>
              <w:spacing w:before="0" w:after="0"/>
              <w:jc w:val="center"/>
              <w:rPr>
                <w:b/>
                <w:sz w:val="10"/>
                <w:szCs w:val="10"/>
                <w:lang w:val="fr-BE"/>
              </w:rPr>
            </w:pPr>
            <w:r w:rsidRPr="00A92B39">
              <w:rPr>
                <w:b/>
                <w:noProof/>
                <w:sz w:val="10"/>
                <w:szCs w:val="10"/>
                <w:lang w:val="fr-BE"/>
              </w:rPr>
              <w:t>Ogółem</w:t>
            </w:r>
          </w:p>
        </w:tc>
        <w:tc>
          <w:tcPr>
            <w:tcW w:w="0" w:type="auto"/>
          </w:tcPr>
          <w:p w14:paraId="6A8AA5BB" w14:textId="77777777" w:rsidR="008C5CFA" w:rsidRPr="00A92B39" w:rsidRDefault="00E82A60" w:rsidP="00300A01">
            <w:pPr>
              <w:spacing w:before="0" w:after="0"/>
              <w:jc w:val="center"/>
              <w:rPr>
                <w:b/>
                <w:sz w:val="10"/>
                <w:szCs w:val="10"/>
                <w:lang w:val="fr-BE"/>
              </w:rPr>
            </w:pPr>
            <w:r w:rsidRPr="00A92B39">
              <w:rPr>
                <w:b/>
                <w:noProof/>
                <w:sz w:val="10"/>
                <w:szCs w:val="10"/>
                <w:lang w:val="fr-BE"/>
              </w:rPr>
              <w:t>Mężczyźni</w:t>
            </w:r>
          </w:p>
        </w:tc>
        <w:tc>
          <w:tcPr>
            <w:tcW w:w="0" w:type="auto"/>
          </w:tcPr>
          <w:p w14:paraId="6404E381" w14:textId="77777777" w:rsidR="008C5CFA" w:rsidRPr="00A92B39" w:rsidRDefault="00E82A60" w:rsidP="00300A01">
            <w:pPr>
              <w:spacing w:before="0" w:after="0"/>
              <w:jc w:val="center"/>
              <w:rPr>
                <w:b/>
                <w:sz w:val="10"/>
                <w:szCs w:val="10"/>
                <w:lang w:val="fr-BE"/>
              </w:rPr>
            </w:pPr>
            <w:r w:rsidRPr="00A92B39">
              <w:rPr>
                <w:b/>
                <w:noProof/>
                <w:sz w:val="10"/>
                <w:szCs w:val="10"/>
                <w:lang w:val="fr-BE"/>
              </w:rPr>
              <w:t>Kobiety</w:t>
            </w:r>
          </w:p>
        </w:tc>
      </w:tr>
      <w:tr w:rsidR="006B2EC1" w14:paraId="73CCB1DB" w14:textId="77777777" w:rsidTr="0047688D">
        <w:tc>
          <w:tcPr>
            <w:tcW w:w="0" w:type="auto"/>
            <w:shd w:val="clear" w:color="auto" w:fill="auto"/>
          </w:tcPr>
          <w:p w14:paraId="3E3C0F00" w14:textId="77777777" w:rsidR="008C5CFA" w:rsidRPr="00A92B39" w:rsidRDefault="00E82A60" w:rsidP="00300A01">
            <w:pPr>
              <w:spacing w:before="0" w:after="0"/>
              <w:rPr>
                <w:sz w:val="10"/>
                <w:szCs w:val="10"/>
                <w:lang w:val="fr-BE"/>
              </w:rPr>
            </w:pPr>
            <w:r w:rsidRPr="00A92B39">
              <w:rPr>
                <w:noProof/>
                <w:sz w:val="10"/>
                <w:szCs w:val="10"/>
                <w:lang w:val="fr-BE"/>
              </w:rPr>
              <w:t>007</w:t>
            </w:r>
          </w:p>
        </w:tc>
        <w:tc>
          <w:tcPr>
            <w:tcW w:w="0" w:type="auto"/>
            <w:shd w:val="clear" w:color="auto" w:fill="auto"/>
          </w:tcPr>
          <w:p w14:paraId="21185229" w14:textId="77777777" w:rsidR="008C5CFA" w:rsidRPr="00A92B39" w:rsidRDefault="00E82A60" w:rsidP="00300A01">
            <w:pPr>
              <w:spacing w:before="0" w:after="0"/>
              <w:rPr>
                <w:sz w:val="10"/>
                <w:szCs w:val="10"/>
                <w:lang w:val="fr-BE"/>
              </w:rPr>
            </w:pPr>
            <w:r w:rsidRPr="00A92B39">
              <w:rPr>
                <w:noProof/>
                <w:sz w:val="10"/>
                <w:szCs w:val="10"/>
                <w:lang w:val="fr-BE"/>
              </w:rPr>
              <w:t>Liczba osób o niskich kwalifikacjach, objętych wsparciem  w programie</w:t>
            </w:r>
          </w:p>
        </w:tc>
        <w:tc>
          <w:tcPr>
            <w:tcW w:w="0" w:type="auto"/>
            <w:shd w:val="clear" w:color="auto" w:fill="auto"/>
          </w:tcPr>
          <w:p w14:paraId="3D14BC98" w14:textId="77777777" w:rsidR="008C5CFA" w:rsidRPr="00A92B39" w:rsidRDefault="00E82A60" w:rsidP="00300A01">
            <w:pPr>
              <w:spacing w:before="0" w:after="0"/>
              <w:rPr>
                <w:sz w:val="10"/>
                <w:szCs w:val="10"/>
                <w:lang w:val="fr-BE"/>
              </w:rPr>
            </w:pPr>
            <w:r w:rsidRPr="00A92B39">
              <w:rPr>
                <w:noProof/>
                <w:sz w:val="10"/>
                <w:szCs w:val="10"/>
                <w:lang w:val="fr-BE"/>
              </w:rPr>
              <w:t>Słabiej rozwinięte</w:t>
            </w:r>
          </w:p>
        </w:tc>
        <w:tc>
          <w:tcPr>
            <w:tcW w:w="0" w:type="auto"/>
            <w:shd w:val="clear" w:color="auto" w:fill="auto"/>
          </w:tcPr>
          <w:p w14:paraId="5F93FAEB" w14:textId="77777777" w:rsidR="008C5CFA" w:rsidRPr="00A92B39" w:rsidRDefault="00E82A60" w:rsidP="00300A01">
            <w:pPr>
              <w:spacing w:before="0" w:after="0"/>
              <w:jc w:val="right"/>
              <w:rPr>
                <w:sz w:val="10"/>
                <w:szCs w:val="10"/>
                <w:lang w:val="fr-BE"/>
              </w:rPr>
            </w:pPr>
            <w:r w:rsidRPr="00A92B39">
              <w:rPr>
                <w:noProof/>
                <w:sz w:val="10"/>
                <w:szCs w:val="10"/>
                <w:lang w:val="fr-BE"/>
              </w:rPr>
              <w:t>2 380,00</w:t>
            </w:r>
          </w:p>
        </w:tc>
        <w:tc>
          <w:tcPr>
            <w:tcW w:w="0" w:type="auto"/>
            <w:shd w:val="clear" w:color="auto" w:fill="auto"/>
          </w:tcPr>
          <w:p w14:paraId="4B0DF232" w14:textId="77777777" w:rsidR="008C5CFA" w:rsidRPr="00A92B39" w:rsidRDefault="00E82A60" w:rsidP="00300A01">
            <w:pPr>
              <w:spacing w:before="0" w:after="0"/>
              <w:jc w:val="right"/>
              <w:rPr>
                <w:sz w:val="10"/>
                <w:szCs w:val="10"/>
                <w:lang w:val="fr-BE"/>
              </w:rPr>
            </w:pPr>
            <w:r w:rsidRPr="00A92B39">
              <w:rPr>
                <w:noProof/>
                <w:sz w:val="10"/>
                <w:szCs w:val="10"/>
                <w:lang w:val="fr-BE"/>
              </w:rPr>
              <w:t>1 238,00</w:t>
            </w:r>
          </w:p>
        </w:tc>
        <w:tc>
          <w:tcPr>
            <w:tcW w:w="0" w:type="auto"/>
            <w:shd w:val="clear" w:color="auto" w:fill="auto"/>
          </w:tcPr>
          <w:p w14:paraId="7111466C" w14:textId="77777777" w:rsidR="008C5CFA" w:rsidRPr="00A92B39" w:rsidRDefault="00E82A60" w:rsidP="00300A01">
            <w:pPr>
              <w:spacing w:before="0" w:after="0"/>
              <w:jc w:val="right"/>
              <w:rPr>
                <w:sz w:val="10"/>
                <w:szCs w:val="10"/>
                <w:lang w:val="fr-BE"/>
              </w:rPr>
            </w:pPr>
            <w:r w:rsidRPr="00A92B39">
              <w:rPr>
                <w:noProof/>
                <w:sz w:val="10"/>
                <w:szCs w:val="10"/>
                <w:lang w:val="fr-BE"/>
              </w:rPr>
              <w:t>1 142,00</w:t>
            </w:r>
          </w:p>
        </w:tc>
        <w:tc>
          <w:tcPr>
            <w:tcW w:w="0" w:type="auto"/>
          </w:tcPr>
          <w:p w14:paraId="3EC78A68" w14:textId="77777777" w:rsidR="008C5CFA" w:rsidRPr="00A92B39" w:rsidRDefault="00E82A60" w:rsidP="00300A01">
            <w:pPr>
              <w:spacing w:before="0" w:after="0"/>
              <w:jc w:val="right"/>
              <w:rPr>
                <w:sz w:val="10"/>
                <w:szCs w:val="10"/>
                <w:lang w:val="fr-BE"/>
              </w:rPr>
            </w:pPr>
            <w:r w:rsidRPr="00A92B39">
              <w:rPr>
                <w:noProof/>
                <w:sz w:val="10"/>
                <w:szCs w:val="10"/>
                <w:lang w:val="fr-BE"/>
              </w:rPr>
              <w:t>3 399,00</w:t>
            </w:r>
          </w:p>
        </w:tc>
        <w:tc>
          <w:tcPr>
            <w:tcW w:w="0" w:type="auto"/>
          </w:tcPr>
          <w:p w14:paraId="08158449" w14:textId="77777777" w:rsidR="008C5CFA" w:rsidRPr="00A92B39" w:rsidRDefault="00E82A60" w:rsidP="00300A01">
            <w:pPr>
              <w:spacing w:before="0" w:after="0"/>
              <w:jc w:val="right"/>
              <w:rPr>
                <w:sz w:val="10"/>
                <w:szCs w:val="10"/>
                <w:lang w:val="fr-BE"/>
              </w:rPr>
            </w:pPr>
            <w:r w:rsidRPr="00A92B39">
              <w:rPr>
                <w:noProof/>
                <w:sz w:val="10"/>
                <w:szCs w:val="10"/>
                <w:lang w:val="fr-BE"/>
              </w:rPr>
              <w:t>1 801,00</w:t>
            </w:r>
          </w:p>
        </w:tc>
        <w:tc>
          <w:tcPr>
            <w:tcW w:w="0" w:type="auto"/>
          </w:tcPr>
          <w:p w14:paraId="3C80A974" w14:textId="77777777" w:rsidR="008C5CFA" w:rsidRPr="00A92B39" w:rsidRDefault="00E82A60" w:rsidP="00300A01">
            <w:pPr>
              <w:spacing w:before="0" w:after="0"/>
              <w:jc w:val="right"/>
              <w:rPr>
                <w:sz w:val="10"/>
                <w:szCs w:val="10"/>
                <w:lang w:val="fr-BE"/>
              </w:rPr>
            </w:pPr>
            <w:r w:rsidRPr="00A92B39">
              <w:rPr>
                <w:noProof/>
                <w:sz w:val="10"/>
                <w:szCs w:val="10"/>
                <w:lang w:val="fr-BE"/>
              </w:rPr>
              <w:t>1 598,00</w:t>
            </w:r>
          </w:p>
        </w:tc>
        <w:tc>
          <w:tcPr>
            <w:tcW w:w="0" w:type="auto"/>
          </w:tcPr>
          <w:p w14:paraId="2EF1A52D" w14:textId="77777777" w:rsidR="008C5CFA" w:rsidRPr="00A92B39" w:rsidRDefault="00E82A60" w:rsidP="00300A01">
            <w:pPr>
              <w:spacing w:before="0" w:after="0"/>
              <w:jc w:val="right"/>
              <w:rPr>
                <w:sz w:val="10"/>
                <w:szCs w:val="10"/>
                <w:lang w:val="fr-BE"/>
              </w:rPr>
            </w:pPr>
            <w:r w:rsidRPr="00A92B39">
              <w:rPr>
                <w:noProof/>
                <w:sz w:val="10"/>
                <w:szCs w:val="10"/>
                <w:lang w:val="fr-BE"/>
              </w:rPr>
              <w:t>5 139,00</w:t>
            </w:r>
          </w:p>
        </w:tc>
        <w:tc>
          <w:tcPr>
            <w:tcW w:w="0" w:type="auto"/>
          </w:tcPr>
          <w:p w14:paraId="075A879E" w14:textId="77777777" w:rsidR="008C5CFA" w:rsidRPr="00A92B39" w:rsidRDefault="00E82A60" w:rsidP="00300A01">
            <w:pPr>
              <w:spacing w:before="0" w:after="0"/>
              <w:jc w:val="right"/>
              <w:rPr>
                <w:sz w:val="10"/>
                <w:szCs w:val="10"/>
                <w:lang w:val="fr-BE"/>
              </w:rPr>
            </w:pPr>
            <w:r w:rsidRPr="00A92B39">
              <w:rPr>
                <w:noProof/>
                <w:sz w:val="10"/>
                <w:szCs w:val="10"/>
                <w:lang w:val="fr-BE"/>
              </w:rPr>
              <w:t>2 606,00</w:t>
            </w:r>
          </w:p>
        </w:tc>
        <w:tc>
          <w:tcPr>
            <w:tcW w:w="0" w:type="auto"/>
          </w:tcPr>
          <w:p w14:paraId="37116AD3" w14:textId="77777777" w:rsidR="008C5CFA" w:rsidRPr="00A92B39" w:rsidRDefault="00E82A60" w:rsidP="00300A01">
            <w:pPr>
              <w:spacing w:before="0" w:after="0"/>
              <w:jc w:val="right"/>
              <w:rPr>
                <w:sz w:val="10"/>
                <w:szCs w:val="10"/>
                <w:lang w:val="fr-BE"/>
              </w:rPr>
            </w:pPr>
            <w:r w:rsidRPr="00A92B39">
              <w:rPr>
                <w:noProof/>
                <w:sz w:val="10"/>
                <w:szCs w:val="10"/>
                <w:lang w:val="fr-BE"/>
              </w:rPr>
              <w:t>2 533,00</w:t>
            </w:r>
          </w:p>
        </w:tc>
        <w:tc>
          <w:tcPr>
            <w:tcW w:w="0" w:type="auto"/>
          </w:tcPr>
          <w:p w14:paraId="323C03DC"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436CD548"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413EF423"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2728B969"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605DAAB0"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046A0EF6"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r>
      <w:tr w:rsidR="006B2EC1" w14:paraId="4F3EA36B" w14:textId="77777777" w:rsidTr="0047688D">
        <w:tc>
          <w:tcPr>
            <w:tcW w:w="0" w:type="auto"/>
            <w:shd w:val="clear" w:color="auto" w:fill="auto"/>
          </w:tcPr>
          <w:p w14:paraId="0ED00B22" w14:textId="77777777" w:rsidR="008C5CFA" w:rsidRPr="00A92B39" w:rsidRDefault="00E82A60" w:rsidP="00300A01">
            <w:pPr>
              <w:spacing w:before="0" w:after="0"/>
              <w:rPr>
                <w:sz w:val="10"/>
                <w:szCs w:val="10"/>
                <w:lang w:val="fr-BE"/>
              </w:rPr>
            </w:pPr>
            <w:r w:rsidRPr="00A92B39">
              <w:rPr>
                <w:noProof/>
                <w:sz w:val="10"/>
                <w:szCs w:val="10"/>
                <w:lang w:val="fr-BE"/>
              </w:rPr>
              <w:t>018</w:t>
            </w:r>
          </w:p>
        </w:tc>
        <w:tc>
          <w:tcPr>
            <w:tcW w:w="0" w:type="auto"/>
            <w:shd w:val="clear" w:color="auto" w:fill="auto"/>
          </w:tcPr>
          <w:p w14:paraId="5E47D278" w14:textId="77777777" w:rsidR="008C5CFA" w:rsidRPr="00A92B39" w:rsidRDefault="00E82A60" w:rsidP="00300A01">
            <w:pPr>
              <w:spacing w:before="0" w:after="0"/>
              <w:rPr>
                <w:sz w:val="10"/>
                <w:szCs w:val="10"/>
                <w:lang w:val="fr-BE"/>
              </w:rPr>
            </w:pPr>
            <w:r w:rsidRPr="00A92B39">
              <w:rPr>
                <w:noProof/>
                <w:sz w:val="10"/>
                <w:szCs w:val="10"/>
                <w:lang w:val="fr-BE"/>
              </w:rPr>
              <w:t>Liczba osób, które otrzymały bezzwrotne środki na podjęcie działalności gospodarczej w programie</w:t>
            </w:r>
          </w:p>
        </w:tc>
        <w:tc>
          <w:tcPr>
            <w:tcW w:w="0" w:type="auto"/>
            <w:shd w:val="clear" w:color="auto" w:fill="auto"/>
          </w:tcPr>
          <w:p w14:paraId="04622B80" w14:textId="77777777" w:rsidR="008C5CFA" w:rsidRPr="00A92B39" w:rsidRDefault="00E82A60" w:rsidP="00300A01">
            <w:pPr>
              <w:spacing w:before="0" w:after="0"/>
              <w:rPr>
                <w:sz w:val="10"/>
                <w:szCs w:val="10"/>
                <w:lang w:val="fr-BE"/>
              </w:rPr>
            </w:pPr>
            <w:r w:rsidRPr="00A92B39">
              <w:rPr>
                <w:noProof/>
                <w:sz w:val="10"/>
                <w:szCs w:val="10"/>
                <w:lang w:val="fr-BE"/>
              </w:rPr>
              <w:t>Słabiej rozwinięte</w:t>
            </w:r>
          </w:p>
        </w:tc>
        <w:tc>
          <w:tcPr>
            <w:tcW w:w="0" w:type="auto"/>
            <w:shd w:val="clear" w:color="auto" w:fill="auto"/>
          </w:tcPr>
          <w:p w14:paraId="452B822D" w14:textId="77777777" w:rsidR="008C5CFA" w:rsidRPr="00A92B39" w:rsidRDefault="00E82A60" w:rsidP="00300A01">
            <w:pPr>
              <w:spacing w:before="0" w:after="0"/>
              <w:jc w:val="right"/>
              <w:rPr>
                <w:sz w:val="10"/>
                <w:szCs w:val="10"/>
                <w:lang w:val="fr-BE"/>
              </w:rPr>
            </w:pPr>
            <w:r w:rsidRPr="00A92B39">
              <w:rPr>
                <w:noProof/>
                <w:sz w:val="10"/>
                <w:szCs w:val="10"/>
                <w:lang w:val="fr-BE"/>
              </w:rPr>
              <w:t>233,00</w:t>
            </w:r>
          </w:p>
        </w:tc>
        <w:tc>
          <w:tcPr>
            <w:tcW w:w="0" w:type="auto"/>
            <w:shd w:val="clear" w:color="auto" w:fill="auto"/>
          </w:tcPr>
          <w:p w14:paraId="312DC66D" w14:textId="77777777" w:rsidR="008C5CFA" w:rsidRPr="00A92B39" w:rsidRDefault="00E82A60" w:rsidP="00300A01">
            <w:pPr>
              <w:spacing w:before="0" w:after="0"/>
              <w:jc w:val="right"/>
              <w:rPr>
                <w:sz w:val="10"/>
                <w:szCs w:val="10"/>
                <w:lang w:val="fr-BE"/>
              </w:rPr>
            </w:pPr>
            <w:r w:rsidRPr="00A92B39">
              <w:rPr>
                <w:noProof/>
                <w:sz w:val="10"/>
                <w:szCs w:val="10"/>
                <w:lang w:val="fr-BE"/>
              </w:rPr>
              <w:t>132,00</w:t>
            </w:r>
          </w:p>
        </w:tc>
        <w:tc>
          <w:tcPr>
            <w:tcW w:w="0" w:type="auto"/>
            <w:shd w:val="clear" w:color="auto" w:fill="auto"/>
          </w:tcPr>
          <w:p w14:paraId="4422016A" w14:textId="77777777" w:rsidR="008C5CFA" w:rsidRPr="00A92B39" w:rsidRDefault="00E82A60" w:rsidP="00300A01">
            <w:pPr>
              <w:spacing w:before="0" w:after="0"/>
              <w:jc w:val="right"/>
              <w:rPr>
                <w:sz w:val="10"/>
                <w:szCs w:val="10"/>
                <w:lang w:val="fr-BE"/>
              </w:rPr>
            </w:pPr>
            <w:r w:rsidRPr="00A92B39">
              <w:rPr>
                <w:noProof/>
                <w:sz w:val="10"/>
                <w:szCs w:val="10"/>
                <w:lang w:val="fr-BE"/>
              </w:rPr>
              <w:t>101,00</w:t>
            </w:r>
          </w:p>
        </w:tc>
        <w:tc>
          <w:tcPr>
            <w:tcW w:w="0" w:type="auto"/>
          </w:tcPr>
          <w:p w14:paraId="679D13BA" w14:textId="77777777" w:rsidR="008C5CFA" w:rsidRPr="00A92B39" w:rsidRDefault="00E82A60" w:rsidP="00300A01">
            <w:pPr>
              <w:spacing w:before="0" w:after="0"/>
              <w:jc w:val="right"/>
              <w:rPr>
                <w:sz w:val="10"/>
                <w:szCs w:val="10"/>
                <w:lang w:val="fr-BE"/>
              </w:rPr>
            </w:pPr>
            <w:r w:rsidRPr="00A92B39">
              <w:rPr>
                <w:noProof/>
                <w:sz w:val="10"/>
                <w:szCs w:val="10"/>
                <w:lang w:val="fr-BE"/>
              </w:rPr>
              <w:t>312,00</w:t>
            </w:r>
          </w:p>
        </w:tc>
        <w:tc>
          <w:tcPr>
            <w:tcW w:w="0" w:type="auto"/>
          </w:tcPr>
          <w:p w14:paraId="100AA6B5" w14:textId="77777777" w:rsidR="008C5CFA" w:rsidRPr="00A92B39" w:rsidRDefault="00E82A60" w:rsidP="00300A01">
            <w:pPr>
              <w:spacing w:before="0" w:after="0"/>
              <w:jc w:val="right"/>
              <w:rPr>
                <w:sz w:val="10"/>
                <w:szCs w:val="10"/>
                <w:lang w:val="fr-BE"/>
              </w:rPr>
            </w:pPr>
            <w:r w:rsidRPr="00A92B39">
              <w:rPr>
                <w:noProof/>
                <w:sz w:val="10"/>
                <w:szCs w:val="10"/>
                <w:lang w:val="fr-BE"/>
              </w:rPr>
              <w:t>185,00</w:t>
            </w:r>
          </w:p>
        </w:tc>
        <w:tc>
          <w:tcPr>
            <w:tcW w:w="0" w:type="auto"/>
          </w:tcPr>
          <w:p w14:paraId="03AA22F5" w14:textId="77777777" w:rsidR="008C5CFA" w:rsidRPr="00A92B39" w:rsidRDefault="00E82A60" w:rsidP="00300A01">
            <w:pPr>
              <w:spacing w:before="0" w:after="0"/>
              <w:jc w:val="right"/>
              <w:rPr>
                <w:sz w:val="10"/>
                <w:szCs w:val="10"/>
                <w:lang w:val="fr-BE"/>
              </w:rPr>
            </w:pPr>
            <w:r w:rsidRPr="00A92B39">
              <w:rPr>
                <w:noProof/>
                <w:sz w:val="10"/>
                <w:szCs w:val="10"/>
                <w:lang w:val="fr-BE"/>
              </w:rPr>
              <w:t>127,00</w:t>
            </w:r>
          </w:p>
        </w:tc>
        <w:tc>
          <w:tcPr>
            <w:tcW w:w="0" w:type="auto"/>
          </w:tcPr>
          <w:p w14:paraId="310BC322" w14:textId="77777777" w:rsidR="008C5CFA" w:rsidRPr="00A92B39" w:rsidRDefault="00E82A60" w:rsidP="00300A01">
            <w:pPr>
              <w:spacing w:before="0" w:after="0"/>
              <w:jc w:val="right"/>
              <w:rPr>
                <w:sz w:val="10"/>
                <w:szCs w:val="10"/>
                <w:lang w:val="fr-BE"/>
              </w:rPr>
            </w:pPr>
            <w:r w:rsidRPr="00A92B39">
              <w:rPr>
                <w:noProof/>
                <w:sz w:val="10"/>
                <w:szCs w:val="10"/>
                <w:lang w:val="fr-BE"/>
              </w:rPr>
              <w:t>660,00</w:t>
            </w:r>
          </w:p>
        </w:tc>
        <w:tc>
          <w:tcPr>
            <w:tcW w:w="0" w:type="auto"/>
          </w:tcPr>
          <w:p w14:paraId="2B49B6AF" w14:textId="77777777" w:rsidR="008C5CFA" w:rsidRPr="00A92B39" w:rsidRDefault="00E82A60" w:rsidP="00300A01">
            <w:pPr>
              <w:spacing w:before="0" w:after="0"/>
              <w:jc w:val="right"/>
              <w:rPr>
                <w:sz w:val="10"/>
                <w:szCs w:val="10"/>
                <w:lang w:val="fr-BE"/>
              </w:rPr>
            </w:pPr>
            <w:r w:rsidRPr="00A92B39">
              <w:rPr>
                <w:noProof/>
                <w:sz w:val="10"/>
                <w:szCs w:val="10"/>
                <w:lang w:val="fr-BE"/>
              </w:rPr>
              <w:t>347,00</w:t>
            </w:r>
          </w:p>
        </w:tc>
        <w:tc>
          <w:tcPr>
            <w:tcW w:w="0" w:type="auto"/>
          </w:tcPr>
          <w:p w14:paraId="45F22E6B" w14:textId="77777777" w:rsidR="008C5CFA" w:rsidRPr="00A92B39" w:rsidRDefault="00E82A60" w:rsidP="00300A01">
            <w:pPr>
              <w:spacing w:before="0" w:after="0"/>
              <w:jc w:val="right"/>
              <w:rPr>
                <w:sz w:val="10"/>
                <w:szCs w:val="10"/>
                <w:lang w:val="fr-BE"/>
              </w:rPr>
            </w:pPr>
            <w:r w:rsidRPr="00A92B39">
              <w:rPr>
                <w:noProof/>
                <w:sz w:val="10"/>
                <w:szCs w:val="10"/>
                <w:lang w:val="fr-BE"/>
              </w:rPr>
              <w:t>313,00</w:t>
            </w:r>
          </w:p>
        </w:tc>
        <w:tc>
          <w:tcPr>
            <w:tcW w:w="0" w:type="auto"/>
          </w:tcPr>
          <w:p w14:paraId="76EB865A"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448E0F79"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18F47AA3"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76118558"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193581C6"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34C045B3"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r>
      <w:tr w:rsidR="006B2EC1" w14:paraId="34BF8C88" w14:textId="77777777" w:rsidTr="0047688D">
        <w:tc>
          <w:tcPr>
            <w:tcW w:w="0" w:type="auto"/>
            <w:shd w:val="clear" w:color="auto" w:fill="auto"/>
          </w:tcPr>
          <w:p w14:paraId="31100CF9" w14:textId="77777777" w:rsidR="008C5CFA" w:rsidRPr="00A92B39" w:rsidRDefault="00E82A60" w:rsidP="00300A01">
            <w:pPr>
              <w:spacing w:before="0" w:after="0"/>
              <w:rPr>
                <w:sz w:val="10"/>
                <w:szCs w:val="10"/>
                <w:lang w:val="fr-BE"/>
              </w:rPr>
            </w:pPr>
            <w:r w:rsidRPr="00A92B39">
              <w:rPr>
                <w:noProof/>
                <w:sz w:val="10"/>
                <w:szCs w:val="10"/>
                <w:lang w:val="fr-BE"/>
              </w:rPr>
              <w:t>117</w:t>
            </w:r>
          </w:p>
        </w:tc>
        <w:tc>
          <w:tcPr>
            <w:tcW w:w="0" w:type="auto"/>
            <w:shd w:val="clear" w:color="auto" w:fill="auto"/>
          </w:tcPr>
          <w:p w14:paraId="4FCE82C6" w14:textId="77777777" w:rsidR="008C5CFA" w:rsidRPr="00A92B39" w:rsidRDefault="00E82A60" w:rsidP="00300A01">
            <w:pPr>
              <w:spacing w:before="0" w:after="0"/>
              <w:rPr>
                <w:sz w:val="10"/>
                <w:szCs w:val="10"/>
                <w:lang w:val="fr-BE"/>
              </w:rPr>
            </w:pPr>
            <w:r w:rsidRPr="00A92B39">
              <w:rPr>
                <w:noProof/>
                <w:sz w:val="10"/>
                <w:szCs w:val="10"/>
                <w:lang w:val="fr-BE"/>
              </w:rPr>
              <w:t>Liczba osób w wieku 50 lat i więcej objętych wsparciem w programie</w:t>
            </w:r>
          </w:p>
        </w:tc>
        <w:tc>
          <w:tcPr>
            <w:tcW w:w="0" w:type="auto"/>
            <w:shd w:val="clear" w:color="auto" w:fill="auto"/>
          </w:tcPr>
          <w:p w14:paraId="407BC95C" w14:textId="77777777" w:rsidR="008C5CFA" w:rsidRPr="00A92B39" w:rsidRDefault="00E82A60" w:rsidP="00300A01">
            <w:pPr>
              <w:spacing w:before="0" w:after="0"/>
              <w:rPr>
                <w:sz w:val="10"/>
                <w:szCs w:val="10"/>
                <w:lang w:val="fr-BE"/>
              </w:rPr>
            </w:pPr>
            <w:r w:rsidRPr="00A92B39">
              <w:rPr>
                <w:noProof/>
                <w:sz w:val="10"/>
                <w:szCs w:val="10"/>
                <w:lang w:val="fr-BE"/>
              </w:rPr>
              <w:t>Słabiej rozwinięte</w:t>
            </w:r>
          </w:p>
        </w:tc>
        <w:tc>
          <w:tcPr>
            <w:tcW w:w="0" w:type="auto"/>
            <w:shd w:val="clear" w:color="auto" w:fill="auto"/>
          </w:tcPr>
          <w:p w14:paraId="67E8A9AF" w14:textId="77777777" w:rsidR="008C5CFA" w:rsidRPr="00A92B39" w:rsidRDefault="00E82A60" w:rsidP="00300A01">
            <w:pPr>
              <w:spacing w:before="0" w:after="0"/>
              <w:jc w:val="right"/>
              <w:rPr>
                <w:sz w:val="10"/>
                <w:szCs w:val="10"/>
                <w:lang w:val="fr-BE"/>
              </w:rPr>
            </w:pPr>
            <w:r w:rsidRPr="00A92B39">
              <w:rPr>
                <w:noProof/>
                <w:sz w:val="10"/>
                <w:szCs w:val="10"/>
                <w:lang w:val="fr-BE"/>
              </w:rPr>
              <w:t>690,00</w:t>
            </w:r>
          </w:p>
        </w:tc>
        <w:tc>
          <w:tcPr>
            <w:tcW w:w="0" w:type="auto"/>
            <w:shd w:val="clear" w:color="auto" w:fill="auto"/>
          </w:tcPr>
          <w:p w14:paraId="63C2818D" w14:textId="77777777" w:rsidR="008C5CFA" w:rsidRPr="00A92B39" w:rsidRDefault="00E82A60" w:rsidP="00300A01">
            <w:pPr>
              <w:spacing w:before="0" w:after="0"/>
              <w:jc w:val="right"/>
              <w:rPr>
                <w:sz w:val="10"/>
                <w:szCs w:val="10"/>
                <w:lang w:val="fr-BE"/>
              </w:rPr>
            </w:pPr>
            <w:r w:rsidRPr="00A92B39">
              <w:rPr>
                <w:noProof/>
                <w:sz w:val="10"/>
                <w:szCs w:val="10"/>
                <w:lang w:val="fr-BE"/>
              </w:rPr>
              <w:t>350,00</w:t>
            </w:r>
          </w:p>
        </w:tc>
        <w:tc>
          <w:tcPr>
            <w:tcW w:w="0" w:type="auto"/>
            <w:shd w:val="clear" w:color="auto" w:fill="auto"/>
          </w:tcPr>
          <w:p w14:paraId="37F0FC67" w14:textId="77777777" w:rsidR="008C5CFA" w:rsidRPr="00A92B39" w:rsidRDefault="00E82A60" w:rsidP="00300A01">
            <w:pPr>
              <w:spacing w:before="0" w:after="0"/>
              <w:jc w:val="right"/>
              <w:rPr>
                <w:sz w:val="10"/>
                <w:szCs w:val="10"/>
                <w:lang w:val="fr-BE"/>
              </w:rPr>
            </w:pPr>
            <w:r w:rsidRPr="00A92B39">
              <w:rPr>
                <w:noProof/>
                <w:sz w:val="10"/>
                <w:szCs w:val="10"/>
                <w:lang w:val="fr-BE"/>
              </w:rPr>
              <w:t>340,00</w:t>
            </w:r>
          </w:p>
        </w:tc>
        <w:tc>
          <w:tcPr>
            <w:tcW w:w="0" w:type="auto"/>
          </w:tcPr>
          <w:p w14:paraId="330FD0C3" w14:textId="77777777" w:rsidR="008C5CFA" w:rsidRPr="00A92B39" w:rsidRDefault="00E82A60" w:rsidP="00300A01">
            <w:pPr>
              <w:spacing w:before="0" w:after="0"/>
              <w:jc w:val="right"/>
              <w:rPr>
                <w:sz w:val="10"/>
                <w:szCs w:val="10"/>
                <w:lang w:val="fr-BE"/>
              </w:rPr>
            </w:pPr>
            <w:r w:rsidRPr="00A92B39">
              <w:rPr>
                <w:noProof/>
                <w:sz w:val="10"/>
                <w:szCs w:val="10"/>
                <w:lang w:val="fr-BE"/>
              </w:rPr>
              <w:t>1 489,00</w:t>
            </w:r>
          </w:p>
        </w:tc>
        <w:tc>
          <w:tcPr>
            <w:tcW w:w="0" w:type="auto"/>
          </w:tcPr>
          <w:p w14:paraId="00C89E6A" w14:textId="77777777" w:rsidR="008C5CFA" w:rsidRPr="00A92B39" w:rsidRDefault="00E82A60" w:rsidP="00300A01">
            <w:pPr>
              <w:spacing w:before="0" w:after="0"/>
              <w:jc w:val="right"/>
              <w:rPr>
                <w:sz w:val="10"/>
                <w:szCs w:val="10"/>
                <w:lang w:val="fr-BE"/>
              </w:rPr>
            </w:pPr>
            <w:r w:rsidRPr="00A92B39">
              <w:rPr>
                <w:noProof/>
                <w:sz w:val="10"/>
                <w:szCs w:val="10"/>
                <w:lang w:val="fr-BE"/>
              </w:rPr>
              <w:t>794,00</w:t>
            </w:r>
          </w:p>
        </w:tc>
        <w:tc>
          <w:tcPr>
            <w:tcW w:w="0" w:type="auto"/>
          </w:tcPr>
          <w:p w14:paraId="2B71E642" w14:textId="77777777" w:rsidR="008C5CFA" w:rsidRPr="00A92B39" w:rsidRDefault="00E82A60" w:rsidP="00300A01">
            <w:pPr>
              <w:spacing w:before="0" w:after="0"/>
              <w:jc w:val="right"/>
              <w:rPr>
                <w:sz w:val="10"/>
                <w:szCs w:val="10"/>
                <w:lang w:val="fr-BE"/>
              </w:rPr>
            </w:pPr>
            <w:r w:rsidRPr="00A92B39">
              <w:rPr>
                <w:noProof/>
                <w:sz w:val="10"/>
                <w:szCs w:val="10"/>
                <w:lang w:val="fr-BE"/>
              </w:rPr>
              <w:t>695,00</w:t>
            </w:r>
          </w:p>
        </w:tc>
        <w:tc>
          <w:tcPr>
            <w:tcW w:w="0" w:type="auto"/>
          </w:tcPr>
          <w:p w14:paraId="4B9B29B9" w14:textId="77777777" w:rsidR="008C5CFA" w:rsidRPr="00A92B39" w:rsidRDefault="00E82A60" w:rsidP="00300A01">
            <w:pPr>
              <w:spacing w:before="0" w:after="0"/>
              <w:jc w:val="right"/>
              <w:rPr>
                <w:sz w:val="10"/>
                <w:szCs w:val="10"/>
                <w:lang w:val="fr-BE"/>
              </w:rPr>
            </w:pPr>
            <w:r w:rsidRPr="00A92B39">
              <w:rPr>
                <w:noProof/>
                <w:sz w:val="10"/>
                <w:szCs w:val="10"/>
                <w:lang w:val="fr-BE"/>
              </w:rPr>
              <w:t>1 621,00</w:t>
            </w:r>
          </w:p>
        </w:tc>
        <w:tc>
          <w:tcPr>
            <w:tcW w:w="0" w:type="auto"/>
          </w:tcPr>
          <w:p w14:paraId="1A9C88F2" w14:textId="77777777" w:rsidR="008C5CFA" w:rsidRPr="00A92B39" w:rsidRDefault="00E82A60" w:rsidP="00300A01">
            <w:pPr>
              <w:spacing w:before="0" w:after="0"/>
              <w:jc w:val="right"/>
              <w:rPr>
                <w:sz w:val="10"/>
                <w:szCs w:val="10"/>
                <w:lang w:val="fr-BE"/>
              </w:rPr>
            </w:pPr>
            <w:r w:rsidRPr="00A92B39">
              <w:rPr>
                <w:noProof/>
                <w:sz w:val="10"/>
                <w:szCs w:val="10"/>
                <w:lang w:val="fr-BE"/>
              </w:rPr>
              <w:t>868,00</w:t>
            </w:r>
          </w:p>
        </w:tc>
        <w:tc>
          <w:tcPr>
            <w:tcW w:w="0" w:type="auto"/>
          </w:tcPr>
          <w:p w14:paraId="023E68E9" w14:textId="77777777" w:rsidR="008C5CFA" w:rsidRPr="00A92B39" w:rsidRDefault="00E82A60" w:rsidP="00300A01">
            <w:pPr>
              <w:spacing w:before="0" w:after="0"/>
              <w:jc w:val="right"/>
              <w:rPr>
                <w:sz w:val="10"/>
                <w:szCs w:val="10"/>
                <w:lang w:val="fr-BE"/>
              </w:rPr>
            </w:pPr>
            <w:r w:rsidRPr="00A92B39">
              <w:rPr>
                <w:noProof/>
                <w:sz w:val="10"/>
                <w:szCs w:val="10"/>
                <w:lang w:val="fr-BE"/>
              </w:rPr>
              <w:t>753,00</w:t>
            </w:r>
          </w:p>
        </w:tc>
        <w:tc>
          <w:tcPr>
            <w:tcW w:w="0" w:type="auto"/>
          </w:tcPr>
          <w:p w14:paraId="2F4B6094"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79C4CE81"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0E331950"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595EBBA6"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2251A1E1"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30BBEEA9"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r>
    </w:tbl>
    <w:p w14:paraId="337F0DA8" w14:textId="77777777" w:rsidR="008C5CFA" w:rsidRDefault="008C5CFA" w:rsidP="00300A01">
      <w:pPr>
        <w:spacing w:before="0" w:after="0"/>
        <w:rPr>
          <w:lang w:val="fr-BE"/>
        </w:rPr>
      </w:pPr>
    </w:p>
    <w:p w14:paraId="2C3BAE1D" w14:textId="77777777" w:rsidR="008C5CFA" w:rsidRDefault="00E82A60" w:rsidP="00300A01">
      <w:pPr>
        <w:spacing w:before="0" w:after="0"/>
        <w:rPr>
          <w:lang w:val="fr-BE"/>
        </w:rPr>
      </w:pPr>
      <w:r>
        <w:rPr>
          <w:lang w:val="fr-BE"/>
        </w:rPr>
        <w:br w:type="page"/>
      </w:r>
    </w:p>
    <w:p w14:paraId="08935E56" w14:textId="77777777" w:rsidR="008C5CFA" w:rsidRPr="00B27C43" w:rsidRDefault="008C5CFA" w:rsidP="00300A01">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6"/>
        <w:gridCol w:w="12958"/>
      </w:tblGrid>
      <w:tr w:rsidR="006B2EC1" w14:paraId="77C74A4D" w14:textId="77777777" w:rsidTr="0047688D">
        <w:tc>
          <w:tcPr>
            <w:tcW w:w="0" w:type="auto"/>
            <w:shd w:val="clear" w:color="auto" w:fill="auto"/>
          </w:tcPr>
          <w:p w14:paraId="1896CDE1" w14:textId="77777777" w:rsidR="008C5CFA" w:rsidRPr="002124FC" w:rsidRDefault="00E82A60" w:rsidP="00300A01">
            <w:pPr>
              <w:spacing w:before="0" w:after="0"/>
              <w:rPr>
                <w:sz w:val="20"/>
                <w:szCs w:val="20"/>
                <w:lang w:val="fr-BE"/>
              </w:rPr>
            </w:pPr>
            <w:r w:rsidRPr="002124FC">
              <w:rPr>
                <w:noProof/>
                <w:sz w:val="20"/>
                <w:szCs w:val="20"/>
                <w:lang w:val="fr-BE"/>
              </w:rPr>
              <w:t>Oś priorytetowa</w:t>
            </w:r>
          </w:p>
        </w:tc>
        <w:tc>
          <w:tcPr>
            <w:tcW w:w="0" w:type="auto"/>
            <w:shd w:val="clear" w:color="auto" w:fill="auto"/>
          </w:tcPr>
          <w:p w14:paraId="6C64F2E6" w14:textId="77777777" w:rsidR="008C5CFA" w:rsidRPr="002124FC" w:rsidRDefault="00E82A60" w:rsidP="00300A01">
            <w:pPr>
              <w:spacing w:before="0" w:after="0"/>
              <w:rPr>
                <w:sz w:val="20"/>
                <w:szCs w:val="20"/>
                <w:lang w:val="fr-BE"/>
              </w:rPr>
            </w:pPr>
            <w:r w:rsidRPr="002124FC">
              <w:rPr>
                <w:noProof/>
                <w:sz w:val="20"/>
                <w:szCs w:val="20"/>
                <w:lang w:val="fr-BE"/>
              </w:rPr>
              <w:t>10</w:t>
            </w:r>
            <w:r w:rsidRPr="002124FC">
              <w:rPr>
                <w:sz w:val="20"/>
                <w:szCs w:val="20"/>
                <w:lang w:val="fr-BE"/>
              </w:rPr>
              <w:t xml:space="preserve"> - </w:t>
            </w:r>
            <w:r w:rsidRPr="002124FC">
              <w:rPr>
                <w:noProof/>
                <w:sz w:val="20"/>
                <w:szCs w:val="20"/>
                <w:lang w:val="fr-BE"/>
              </w:rPr>
              <w:t>Otwarty rynek pracy</w:t>
            </w:r>
          </w:p>
        </w:tc>
      </w:tr>
      <w:tr w:rsidR="006B2EC1" w14:paraId="70995893" w14:textId="77777777" w:rsidTr="0047688D">
        <w:tc>
          <w:tcPr>
            <w:tcW w:w="0" w:type="auto"/>
            <w:shd w:val="clear" w:color="auto" w:fill="auto"/>
          </w:tcPr>
          <w:p w14:paraId="337A69C7" w14:textId="77777777" w:rsidR="008C5CFA" w:rsidRPr="002124FC" w:rsidRDefault="00E82A60"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14:paraId="7A38D03B" w14:textId="77777777" w:rsidR="008C5CFA" w:rsidRPr="002124FC" w:rsidRDefault="00E82A60" w:rsidP="00300A01">
            <w:pPr>
              <w:spacing w:before="0" w:after="0"/>
              <w:rPr>
                <w:sz w:val="20"/>
                <w:szCs w:val="20"/>
                <w:lang w:val="fr-BE"/>
              </w:rPr>
            </w:pPr>
            <w:r w:rsidRPr="002124FC">
              <w:rPr>
                <w:noProof/>
                <w:sz w:val="20"/>
                <w:szCs w:val="20"/>
                <w:lang w:val="fr-BE"/>
              </w:rPr>
              <w:t>8iii</w:t>
            </w:r>
            <w:r w:rsidRPr="002124FC">
              <w:rPr>
                <w:sz w:val="20"/>
                <w:szCs w:val="20"/>
                <w:lang w:val="fr-BE"/>
              </w:rPr>
              <w:t xml:space="preserve"> - </w:t>
            </w:r>
            <w:r w:rsidRPr="002124FC">
              <w:rPr>
                <w:noProof/>
                <w:sz w:val="20"/>
                <w:szCs w:val="20"/>
                <w:lang w:val="fr-BE"/>
              </w:rPr>
              <w:t>Praca na własny rachunek, przedsiębiorczość i tworzenie przedsiębiorstw, w tym innowacyjnych mikro-, małych i średnich przedsiębiorstw</w:t>
            </w:r>
          </w:p>
        </w:tc>
      </w:tr>
    </w:tbl>
    <w:p w14:paraId="45E7E408" w14:textId="77777777" w:rsidR="008C5CFA" w:rsidRDefault="008C5CFA" w:rsidP="00300A01">
      <w:pPr>
        <w:spacing w:before="0" w:after="0"/>
        <w:ind w:left="113" w:hanging="113"/>
        <w:rPr>
          <w:sz w:val="20"/>
          <w:szCs w:val="20"/>
          <w:lang w:val="fr-BE"/>
        </w:rPr>
      </w:pPr>
    </w:p>
    <w:p w14:paraId="6C23DEA5" w14:textId="77777777" w:rsidR="008C5CFA" w:rsidRPr="008E457C" w:rsidRDefault="00E82A60" w:rsidP="00300A01">
      <w:pPr>
        <w:pStyle w:val="Nagwek2"/>
        <w:spacing w:before="0" w:after="0"/>
      </w:pPr>
      <w:bookmarkStart w:id="15" w:name="_Toc46391699"/>
      <w:r w:rsidRPr="008E457C">
        <w:rPr>
          <w:noProof/>
        </w:rPr>
        <w:t>Tabela 2A</w:t>
      </w:r>
      <w:r w:rsidRPr="008E457C">
        <w:t xml:space="preserve"> : </w:t>
      </w:r>
      <w:proofErr w:type="spellStart"/>
      <w:r w:rsidRPr="008E457C">
        <w:t>Wspólne</w:t>
      </w:r>
      <w:proofErr w:type="spellEnd"/>
      <w:r w:rsidRPr="008E457C">
        <w:t xml:space="preserve"> </w:t>
      </w:r>
      <w:proofErr w:type="spellStart"/>
      <w:r w:rsidRPr="008E457C">
        <w:t>wskaźniki</w:t>
      </w:r>
      <w:proofErr w:type="spellEnd"/>
      <w:r w:rsidRPr="008E457C">
        <w:t xml:space="preserve"> </w:t>
      </w:r>
      <w:proofErr w:type="spellStart"/>
      <w:r w:rsidRPr="008E457C">
        <w:t>rezultatu</w:t>
      </w:r>
      <w:proofErr w:type="spellEnd"/>
      <w:r w:rsidRPr="008E457C">
        <w:t xml:space="preserve"> </w:t>
      </w:r>
      <w:proofErr w:type="spellStart"/>
      <w:r w:rsidRPr="008E457C">
        <w:t>dla</w:t>
      </w:r>
      <w:proofErr w:type="spellEnd"/>
      <w:r w:rsidRPr="008E457C">
        <w:t xml:space="preserve"> EFS (z </w:t>
      </w:r>
      <w:proofErr w:type="spellStart"/>
      <w:r w:rsidRPr="008E457C">
        <w:t>podziałem</w:t>
      </w:r>
      <w:proofErr w:type="spellEnd"/>
      <w:r w:rsidRPr="008E457C">
        <w:t xml:space="preserve"> </w:t>
      </w:r>
      <w:proofErr w:type="spellStart"/>
      <w:r w:rsidRPr="008E457C">
        <w:t>na</w:t>
      </w:r>
      <w:proofErr w:type="spellEnd"/>
      <w:r w:rsidRPr="008E457C">
        <w:t xml:space="preserve"> </w:t>
      </w:r>
      <w:proofErr w:type="spellStart"/>
      <w:r w:rsidRPr="008E457C">
        <w:t>oś</w:t>
      </w:r>
      <w:proofErr w:type="spellEnd"/>
      <w:r w:rsidRPr="008E457C">
        <w:t xml:space="preserve"> </w:t>
      </w:r>
      <w:proofErr w:type="spellStart"/>
      <w:r w:rsidRPr="008E457C">
        <w:t>priorytetową</w:t>
      </w:r>
      <w:proofErr w:type="spellEnd"/>
      <w:r w:rsidRPr="008E457C">
        <w:t xml:space="preserve">, </w:t>
      </w:r>
      <w:proofErr w:type="spellStart"/>
      <w:r w:rsidRPr="008E457C">
        <w:t>priorytet</w:t>
      </w:r>
      <w:proofErr w:type="spellEnd"/>
      <w:r w:rsidRPr="008E457C">
        <w:t xml:space="preserve"> </w:t>
      </w:r>
      <w:proofErr w:type="spellStart"/>
      <w:r w:rsidRPr="008E457C">
        <w:t>inwestycyjny</w:t>
      </w:r>
      <w:proofErr w:type="spellEnd"/>
      <w:r w:rsidRPr="008E457C">
        <w:t xml:space="preserve"> i </w:t>
      </w:r>
      <w:proofErr w:type="spellStart"/>
      <w:r w:rsidRPr="008E457C">
        <w:t>kategorię</w:t>
      </w:r>
      <w:proofErr w:type="spellEnd"/>
      <w:r w:rsidRPr="008E457C">
        <w:t xml:space="preserve"> </w:t>
      </w:r>
      <w:proofErr w:type="spellStart"/>
      <w:r w:rsidRPr="008E457C">
        <w:t>regionu</w:t>
      </w:r>
      <w:proofErr w:type="spellEnd"/>
      <w:r w:rsidRPr="008E457C">
        <w:t xml:space="preserve">) Dane </w:t>
      </w:r>
      <w:proofErr w:type="spellStart"/>
      <w:r w:rsidRPr="008E457C">
        <w:t>na</w:t>
      </w:r>
      <w:proofErr w:type="spellEnd"/>
      <w:r w:rsidRPr="008E457C">
        <w:t xml:space="preserve"> </w:t>
      </w:r>
      <w:proofErr w:type="spellStart"/>
      <w:r w:rsidRPr="008E457C">
        <w:t>temat</w:t>
      </w:r>
      <w:proofErr w:type="spellEnd"/>
      <w:r w:rsidRPr="008E457C">
        <w:t xml:space="preserve"> </w:t>
      </w:r>
      <w:proofErr w:type="spellStart"/>
      <w:r w:rsidRPr="008E457C">
        <w:t>wszystkich</w:t>
      </w:r>
      <w:proofErr w:type="spellEnd"/>
      <w:r w:rsidRPr="008E457C">
        <w:t xml:space="preserve"> </w:t>
      </w:r>
      <w:proofErr w:type="spellStart"/>
      <w:r w:rsidRPr="008E457C">
        <w:t>wspólnych</w:t>
      </w:r>
      <w:proofErr w:type="spellEnd"/>
      <w:r w:rsidRPr="008E457C">
        <w:t xml:space="preserve"> </w:t>
      </w:r>
      <w:proofErr w:type="spellStart"/>
      <w:r w:rsidRPr="008E457C">
        <w:t>wskaźników</w:t>
      </w:r>
      <w:proofErr w:type="spellEnd"/>
      <w:r w:rsidRPr="008E457C">
        <w:t xml:space="preserve"> </w:t>
      </w:r>
      <w:proofErr w:type="spellStart"/>
      <w:r w:rsidRPr="008E457C">
        <w:t>rezultatu</w:t>
      </w:r>
      <w:proofErr w:type="spellEnd"/>
      <w:r w:rsidRPr="008E457C">
        <w:t xml:space="preserve"> </w:t>
      </w:r>
      <w:proofErr w:type="spellStart"/>
      <w:r w:rsidRPr="008E457C">
        <w:t>dla</w:t>
      </w:r>
      <w:proofErr w:type="spellEnd"/>
      <w:r w:rsidRPr="008E457C">
        <w:t xml:space="preserve"> EFS (z </w:t>
      </w:r>
      <w:proofErr w:type="spellStart"/>
      <w:r w:rsidRPr="008E457C">
        <w:t>wartością</w:t>
      </w:r>
      <w:proofErr w:type="spellEnd"/>
      <w:r w:rsidRPr="008E457C">
        <w:t xml:space="preserve"> </w:t>
      </w:r>
      <w:proofErr w:type="spellStart"/>
      <w:r w:rsidRPr="008E457C">
        <w:t>docelową</w:t>
      </w:r>
      <w:proofErr w:type="spellEnd"/>
      <w:r w:rsidRPr="008E457C">
        <w:t xml:space="preserve"> i bez) </w:t>
      </w:r>
      <w:proofErr w:type="spellStart"/>
      <w:r w:rsidRPr="008E457C">
        <w:t>przedstawia</w:t>
      </w:r>
      <w:proofErr w:type="spellEnd"/>
      <w:r w:rsidRPr="008E457C">
        <w:t xml:space="preserve"> </w:t>
      </w:r>
      <w:proofErr w:type="spellStart"/>
      <w:r w:rsidRPr="008E457C">
        <w:t>się</w:t>
      </w:r>
      <w:proofErr w:type="spellEnd"/>
      <w:r w:rsidRPr="008E457C">
        <w:t xml:space="preserve"> w </w:t>
      </w:r>
      <w:proofErr w:type="spellStart"/>
      <w:r w:rsidRPr="008E457C">
        <w:t>sprawozdaniu</w:t>
      </w:r>
      <w:proofErr w:type="spellEnd"/>
      <w:r w:rsidRPr="008E457C">
        <w:t xml:space="preserve"> w </w:t>
      </w:r>
      <w:proofErr w:type="spellStart"/>
      <w:r w:rsidRPr="008E457C">
        <w:t>podziale</w:t>
      </w:r>
      <w:proofErr w:type="spellEnd"/>
      <w:r w:rsidRPr="008E457C">
        <w:t xml:space="preserve"> </w:t>
      </w:r>
      <w:proofErr w:type="spellStart"/>
      <w:r w:rsidRPr="008E457C">
        <w:t>na</w:t>
      </w:r>
      <w:proofErr w:type="spellEnd"/>
      <w:r w:rsidRPr="008E457C">
        <w:t xml:space="preserve"> </w:t>
      </w:r>
      <w:proofErr w:type="spellStart"/>
      <w:r w:rsidRPr="008E457C">
        <w:t>płeć</w:t>
      </w:r>
      <w:proofErr w:type="spellEnd"/>
      <w:r w:rsidRPr="008E457C">
        <w:t xml:space="preserve">. W </w:t>
      </w:r>
      <w:proofErr w:type="spellStart"/>
      <w:r w:rsidRPr="008E457C">
        <w:t>przypadku</w:t>
      </w:r>
      <w:proofErr w:type="spellEnd"/>
      <w:r w:rsidRPr="008E457C">
        <w:t xml:space="preserve"> </w:t>
      </w:r>
      <w:proofErr w:type="spellStart"/>
      <w:r w:rsidRPr="008E457C">
        <w:t>osi</w:t>
      </w:r>
      <w:proofErr w:type="spellEnd"/>
      <w:r w:rsidRPr="008E457C">
        <w:t xml:space="preserve"> </w:t>
      </w:r>
      <w:proofErr w:type="spellStart"/>
      <w:r w:rsidRPr="008E457C">
        <w:t>priorytetowej</w:t>
      </w:r>
      <w:proofErr w:type="spellEnd"/>
      <w:r w:rsidRPr="008E457C">
        <w:t xml:space="preserve"> </w:t>
      </w:r>
      <w:r>
        <w:t>"</w:t>
      </w:r>
      <w:proofErr w:type="spellStart"/>
      <w:r w:rsidRPr="008E457C">
        <w:t>Pomoc</w:t>
      </w:r>
      <w:proofErr w:type="spellEnd"/>
      <w:r w:rsidRPr="008E457C">
        <w:t xml:space="preserve"> </w:t>
      </w:r>
      <w:proofErr w:type="spellStart"/>
      <w:r w:rsidRPr="008E457C">
        <w:t>techniczna</w:t>
      </w:r>
      <w:proofErr w:type="spellEnd"/>
      <w:r w:rsidRPr="008E457C">
        <w:t xml:space="preserve"> w </w:t>
      </w:r>
      <w:proofErr w:type="spellStart"/>
      <w:r w:rsidRPr="008E457C">
        <w:t>sprawozdaniu</w:t>
      </w:r>
      <w:proofErr w:type="spellEnd"/>
      <w:r w:rsidRPr="008E457C">
        <w:t xml:space="preserve"> </w:t>
      </w:r>
      <w:proofErr w:type="spellStart"/>
      <w:r w:rsidRPr="008E457C">
        <w:t>przedstawia</w:t>
      </w:r>
      <w:proofErr w:type="spellEnd"/>
      <w:r w:rsidRPr="008E457C">
        <w:t xml:space="preserve"> </w:t>
      </w:r>
      <w:proofErr w:type="spellStart"/>
      <w:r w:rsidRPr="008E457C">
        <w:t>się</w:t>
      </w:r>
      <w:proofErr w:type="spellEnd"/>
      <w:r w:rsidRPr="008E457C">
        <w:t xml:space="preserve"> </w:t>
      </w:r>
      <w:proofErr w:type="spellStart"/>
      <w:r w:rsidRPr="008E457C">
        <w:t>jedynie</w:t>
      </w:r>
      <w:proofErr w:type="spellEnd"/>
      <w:r w:rsidRPr="008E457C">
        <w:t xml:space="preserve"> </w:t>
      </w:r>
      <w:proofErr w:type="spellStart"/>
      <w:r w:rsidRPr="008E457C">
        <w:t>te</w:t>
      </w:r>
      <w:proofErr w:type="spellEnd"/>
      <w:r w:rsidRPr="008E457C">
        <w:t xml:space="preserve"> </w:t>
      </w:r>
      <w:proofErr w:type="spellStart"/>
      <w:r w:rsidRPr="008E457C">
        <w:t>wskaźniki</w:t>
      </w:r>
      <w:proofErr w:type="spellEnd"/>
      <w:r w:rsidRPr="008E457C">
        <w:t xml:space="preserve"> </w:t>
      </w:r>
      <w:proofErr w:type="spellStart"/>
      <w:r w:rsidRPr="008E457C">
        <w:t>wspólne</w:t>
      </w:r>
      <w:proofErr w:type="spellEnd"/>
      <w:r w:rsidRPr="008E457C">
        <w:t xml:space="preserve">, w </w:t>
      </w:r>
      <w:proofErr w:type="spellStart"/>
      <w:r w:rsidRPr="008E457C">
        <w:t>odniesieniu</w:t>
      </w:r>
      <w:proofErr w:type="spellEnd"/>
      <w:r w:rsidRPr="008E457C">
        <w:t xml:space="preserve"> do </w:t>
      </w:r>
      <w:proofErr w:type="spellStart"/>
      <w:r w:rsidRPr="008E457C">
        <w:t>których</w:t>
      </w:r>
      <w:proofErr w:type="spellEnd"/>
      <w:r w:rsidRPr="008E457C">
        <w:t xml:space="preserve"> </w:t>
      </w:r>
      <w:proofErr w:type="spellStart"/>
      <w:r w:rsidRPr="008E457C">
        <w:t>ustanowiono</w:t>
      </w:r>
      <w:proofErr w:type="spellEnd"/>
      <w:r w:rsidRPr="008E457C">
        <w:t xml:space="preserve"> </w:t>
      </w:r>
      <w:proofErr w:type="spellStart"/>
      <w:r w:rsidRPr="008E457C">
        <w:t>wartość</w:t>
      </w:r>
      <w:proofErr w:type="spellEnd"/>
      <w:r w:rsidRPr="008E457C">
        <w:t xml:space="preserve"> </w:t>
      </w:r>
      <w:proofErr w:type="spellStart"/>
      <w:r w:rsidRPr="008E457C">
        <w:t>docelową</w:t>
      </w:r>
      <w:proofErr w:type="spellEnd"/>
      <w:r w:rsidRPr="008E457C">
        <w:t>.</w:t>
      </w:r>
      <w:r w:rsidR="00501DA0">
        <w:t xml:space="preserve"> - </w:t>
      </w:r>
      <w:r w:rsidR="00501DA0" w:rsidRPr="002124FC">
        <w:rPr>
          <w:noProof/>
          <w:sz w:val="20"/>
          <w:szCs w:val="20"/>
          <w:lang w:val="fr-BE"/>
        </w:rPr>
        <w:t>10</w:t>
      </w:r>
      <w:r w:rsidR="00501DA0">
        <w:rPr>
          <w:sz w:val="20"/>
          <w:szCs w:val="20"/>
          <w:lang w:val="fr-BE"/>
        </w:rPr>
        <w:t xml:space="preserve"> / </w:t>
      </w:r>
      <w:r w:rsidR="00501DA0" w:rsidRPr="002124FC">
        <w:rPr>
          <w:noProof/>
          <w:sz w:val="20"/>
          <w:szCs w:val="20"/>
          <w:lang w:val="fr-BE"/>
        </w:rPr>
        <w:t>8iii</w:t>
      </w:r>
      <w:bookmarkEnd w:id="15"/>
    </w:p>
    <w:p w14:paraId="372154AE" w14:textId="77777777" w:rsidR="008C5CFA" w:rsidRDefault="008C5CFA" w:rsidP="00300A01">
      <w:pPr>
        <w:keepNext/>
        <w:spacing w:before="0" w:after="0"/>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37"/>
        <w:gridCol w:w="5137"/>
        <w:gridCol w:w="744"/>
        <w:gridCol w:w="1858"/>
        <w:gridCol w:w="1471"/>
        <w:gridCol w:w="456"/>
        <w:gridCol w:w="596"/>
        <w:gridCol w:w="463"/>
        <w:gridCol w:w="476"/>
        <w:gridCol w:w="596"/>
        <w:gridCol w:w="476"/>
        <w:gridCol w:w="456"/>
        <w:gridCol w:w="596"/>
        <w:gridCol w:w="463"/>
        <w:gridCol w:w="596"/>
        <w:gridCol w:w="463"/>
      </w:tblGrid>
      <w:tr w:rsidR="006B2EC1" w14:paraId="112EE06F" w14:textId="77777777" w:rsidTr="0047688D">
        <w:trPr>
          <w:tblHeader/>
        </w:trPr>
        <w:tc>
          <w:tcPr>
            <w:tcW w:w="0" w:type="auto"/>
            <w:shd w:val="clear" w:color="auto" w:fill="auto"/>
          </w:tcPr>
          <w:p w14:paraId="14BA710E" w14:textId="77777777" w:rsidR="008C5CFA" w:rsidRPr="00F53019" w:rsidRDefault="00E82A60" w:rsidP="00300A01">
            <w:pPr>
              <w:spacing w:before="0" w:after="0"/>
              <w:rPr>
                <w:b/>
                <w:sz w:val="12"/>
                <w:szCs w:val="12"/>
                <w:lang w:val="fr-BE"/>
              </w:rPr>
            </w:pPr>
            <w:r w:rsidRPr="00F53019">
              <w:rPr>
                <w:b/>
                <w:noProof/>
                <w:sz w:val="12"/>
                <w:szCs w:val="12"/>
                <w:lang w:val="fr-BE"/>
              </w:rPr>
              <w:t>ID</w:t>
            </w:r>
          </w:p>
        </w:tc>
        <w:tc>
          <w:tcPr>
            <w:tcW w:w="0" w:type="auto"/>
            <w:shd w:val="clear" w:color="auto" w:fill="auto"/>
          </w:tcPr>
          <w:p w14:paraId="4F8FD165" w14:textId="77777777" w:rsidR="008C5CFA" w:rsidRPr="00F53019" w:rsidRDefault="00E82A60" w:rsidP="00300A01">
            <w:pPr>
              <w:spacing w:before="0" w:after="0"/>
              <w:rPr>
                <w:b/>
                <w:sz w:val="12"/>
                <w:szCs w:val="12"/>
                <w:lang w:val="fr-BE"/>
              </w:rPr>
            </w:pPr>
            <w:r w:rsidRPr="00F53019">
              <w:rPr>
                <w:b/>
                <w:noProof/>
                <w:sz w:val="12"/>
                <w:szCs w:val="12"/>
                <w:lang w:val="fr-BE"/>
              </w:rPr>
              <w:t>Wskaźnik</w:t>
            </w:r>
          </w:p>
        </w:tc>
        <w:tc>
          <w:tcPr>
            <w:tcW w:w="0" w:type="auto"/>
            <w:shd w:val="clear" w:color="auto" w:fill="auto"/>
          </w:tcPr>
          <w:p w14:paraId="5B60E914" w14:textId="77777777" w:rsidR="008C5CFA" w:rsidRPr="00F53019" w:rsidRDefault="00E82A60" w:rsidP="00300A01">
            <w:pPr>
              <w:spacing w:before="0" w:after="0"/>
              <w:rPr>
                <w:b/>
                <w:sz w:val="12"/>
                <w:szCs w:val="12"/>
                <w:lang w:val="fr-BE"/>
              </w:rPr>
            </w:pPr>
            <w:r w:rsidRPr="00F53019">
              <w:rPr>
                <w:b/>
                <w:noProof/>
                <w:sz w:val="12"/>
                <w:szCs w:val="12"/>
                <w:lang w:val="fr-BE"/>
              </w:rPr>
              <w:t>Kategoria regionu</w:t>
            </w:r>
          </w:p>
        </w:tc>
        <w:tc>
          <w:tcPr>
            <w:tcW w:w="0" w:type="auto"/>
            <w:shd w:val="clear" w:color="auto" w:fill="auto"/>
          </w:tcPr>
          <w:p w14:paraId="2FDA98DB" w14:textId="77777777" w:rsidR="008C5CFA" w:rsidRPr="00F53019" w:rsidRDefault="00E82A60" w:rsidP="00300A01">
            <w:pPr>
              <w:spacing w:before="0" w:after="0"/>
              <w:rPr>
                <w:b/>
                <w:sz w:val="12"/>
                <w:szCs w:val="12"/>
                <w:lang w:val="fr-BE"/>
              </w:rPr>
            </w:pPr>
            <w:r w:rsidRPr="00F53019">
              <w:rPr>
                <w:b/>
                <w:noProof/>
                <w:sz w:val="12"/>
                <w:szCs w:val="12"/>
                <w:lang w:val="fr-BE"/>
              </w:rPr>
              <w:t>Wspólny wskaźnik produktu stosowany jako podstawa ustalania celów</w:t>
            </w:r>
          </w:p>
        </w:tc>
        <w:tc>
          <w:tcPr>
            <w:tcW w:w="0" w:type="auto"/>
            <w:shd w:val="clear" w:color="auto" w:fill="auto"/>
          </w:tcPr>
          <w:p w14:paraId="7026D54F" w14:textId="77777777" w:rsidR="008C5CFA" w:rsidRPr="00F53019" w:rsidRDefault="00E82A60" w:rsidP="00300A01">
            <w:pPr>
              <w:spacing w:before="0" w:after="0"/>
              <w:rPr>
                <w:b/>
                <w:sz w:val="12"/>
                <w:szCs w:val="12"/>
                <w:lang w:val="fr-BE"/>
              </w:rPr>
            </w:pPr>
            <w:r w:rsidRPr="00F53019">
              <w:rPr>
                <w:b/>
                <w:noProof/>
                <w:sz w:val="12"/>
                <w:szCs w:val="12"/>
                <w:lang w:val="fr-BE"/>
              </w:rPr>
              <w:t>Jednostka pomiaru dla wartości bazowej i docelowej</w:t>
            </w:r>
          </w:p>
        </w:tc>
        <w:tc>
          <w:tcPr>
            <w:tcW w:w="0" w:type="auto"/>
            <w:gridSpan w:val="3"/>
            <w:shd w:val="clear" w:color="auto" w:fill="auto"/>
          </w:tcPr>
          <w:p w14:paraId="1CD22A0B" w14:textId="77777777" w:rsidR="008C5CFA" w:rsidRPr="00F53019" w:rsidRDefault="00E82A60" w:rsidP="00300A01">
            <w:pPr>
              <w:spacing w:before="0" w:after="0"/>
              <w:jc w:val="center"/>
              <w:rPr>
                <w:b/>
                <w:sz w:val="12"/>
                <w:szCs w:val="12"/>
                <w:lang w:val="fr-BE"/>
              </w:rPr>
            </w:pPr>
            <w:r w:rsidRPr="00F53019">
              <w:rPr>
                <w:b/>
                <w:noProof/>
                <w:sz w:val="12"/>
                <w:szCs w:val="12"/>
                <w:lang w:val="fr-BE"/>
              </w:rPr>
              <w:t>Wartość docelowa (2023)</w:t>
            </w:r>
          </w:p>
        </w:tc>
        <w:tc>
          <w:tcPr>
            <w:tcW w:w="0" w:type="auto"/>
            <w:gridSpan w:val="3"/>
            <w:shd w:val="clear" w:color="auto" w:fill="auto"/>
          </w:tcPr>
          <w:p w14:paraId="45A3A2AA" w14:textId="77777777" w:rsidR="008C5CFA" w:rsidRPr="00F53019" w:rsidRDefault="00E82A60" w:rsidP="00300A01">
            <w:pPr>
              <w:spacing w:before="0" w:after="0"/>
              <w:jc w:val="center"/>
              <w:rPr>
                <w:b/>
                <w:sz w:val="12"/>
                <w:szCs w:val="12"/>
                <w:lang w:val="fr-BE"/>
              </w:rPr>
            </w:pPr>
            <w:r w:rsidRPr="00F53019">
              <w:rPr>
                <w:b/>
                <w:noProof/>
                <w:sz w:val="12"/>
                <w:szCs w:val="12"/>
                <w:lang w:val="fr-BE"/>
              </w:rPr>
              <w:t>Wartość skumulowana</w:t>
            </w:r>
          </w:p>
        </w:tc>
        <w:tc>
          <w:tcPr>
            <w:tcW w:w="0" w:type="auto"/>
            <w:gridSpan w:val="3"/>
            <w:shd w:val="clear" w:color="auto" w:fill="auto"/>
          </w:tcPr>
          <w:p w14:paraId="31A43637" w14:textId="77777777" w:rsidR="008C5CFA" w:rsidRPr="00F53019" w:rsidRDefault="00E82A60" w:rsidP="00300A01">
            <w:pPr>
              <w:spacing w:before="0" w:after="0"/>
              <w:jc w:val="center"/>
              <w:rPr>
                <w:b/>
                <w:sz w:val="12"/>
                <w:szCs w:val="12"/>
                <w:lang w:val="fr-BE"/>
              </w:rPr>
            </w:pPr>
            <w:r w:rsidRPr="00F53019">
              <w:rPr>
                <w:b/>
                <w:noProof/>
                <w:sz w:val="12"/>
                <w:szCs w:val="12"/>
                <w:lang w:val="fr-BE"/>
              </w:rPr>
              <w:t>Wskaźnik osiągnięć</w:t>
            </w:r>
          </w:p>
        </w:tc>
        <w:tc>
          <w:tcPr>
            <w:tcW w:w="0" w:type="auto"/>
            <w:gridSpan w:val="2"/>
            <w:shd w:val="clear" w:color="auto" w:fill="auto"/>
          </w:tcPr>
          <w:p w14:paraId="03C0A963" w14:textId="77777777" w:rsidR="008C5CFA" w:rsidRPr="00F53019" w:rsidRDefault="00E82A60" w:rsidP="00300A01">
            <w:pPr>
              <w:spacing w:before="0" w:after="0"/>
              <w:jc w:val="center"/>
              <w:rPr>
                <w:b/>
                <w:sz w:val="12"/>
                <w:szCs w:val="12"/>
                <w:lang w:val="fr-BE"/>
              </w:rPr>
            </w:pPr>
            <w:r>
              <w:rPr>
                <w:b/>
                <w:sz w:val="12"/>
                <w:szCs w:val="12"/>
                <w:lang w:val="fr-BE"/>
              </w:rPr>
              <w:t>2019</w:t>
            </w:r>
          </w:p>
        </w:tc>
      </w:tr>
      <w:tr w:rsidR="006B2EC1" w14:paraId="575CEB6C" w14:textId="77777777" w:rsidTr="0047688D">
        <w:trPr>
          <w:tblHeader/>
        </w:trPr>
        <w:tc>
          <w:tcPr>
            <w:tcW w:w="0" w:type="auto"/>
            <w:shd w:val="clear" w:color="auto" w:fill="auto"/>
          </w:tcPr>
          <w:p w14:paraId="4E64AEE8" w14:textId="77777777" w:rsidR="008C5CFA" w:rsidRPr="00F53019" w:rsidRDefault="008C5CFA" w:rsidP="00300A01">
            <w:pPr>
              <w:spacing w:before="0" w:after="0"/>
              <w:rPr>
                <w:b/>
                <w:sz w:val="12"/>
                <w:szCs w:val="12"/>
                <w:lang w:val="fr-BE"/>
              </w:rPr>
            </w:pPr>
          </w:p>
        </w:tc>
        <w:tc>
          <w:tcPr>
            <w:tcW w:w="0" w:type="auto"/>
            <w:shd w:val="clear" w:color="auto" w:fill="auto"/>
          </w:tcPr>
          <w:p w14:paraId="0796D70C" w14:textId="77777777" w:rsidR="008C5CFA" w:rsidRPr="00F53019" w:rsidRDefault="008C5CFA" w:rsidP="00300A01">
            <w:pPr>
              <w:spacing w:before="0" w:after="0"/>
              <w:rPr>
                <w:b/>
                <w:sz w:val="12"/>
                <w:szCs w:val="12"/>
                <w:lang w:val="fr-BE"/>
              </w:rPr>
            </w:pPr>
          </w:p>
        </w:tc>
        <w:tc>
          <w:tcPr>
            <w:tcW w:w="0" w:type="auto"/>
            <w:shd w:val="clear" w:color="auto" w:fill="auto"/>
          </w:tcPr>
          <w:p w14:paraId="40C495E4" w14:textId="77777777" w:rsidR="008C5CFA" w:rsidRPr="00F53019" w:rsidRDefault="008C5CFA" w:rsidP="00300A01">
            <w:pPr>
              <w:spacing w:before="0" w:after="0"/>
              <w:rPr>
                <w:b/>
                <w:sz w:val="12"/>
                <w:szCs w:val="12"/>
                <w:lang w:val="fr-BE"/>
              </w:rPr>
            </w:pPr>
          </w:p>
        </w:tc>
        <w:tc>
          <w:tcPr>
            <w:tcW w:w="0" w:type="auto"/>
            <w:shd w:val="clear" w:color="auto" w:fill="auto"/>
          </w:tcPr>
          <w:p w14:paraId="50B71DF3" w14:textId="77777777" w:rsidR="008C5CFA" w:rsidRPr="00F53019" w:rsidRDefault="008C5CFA" w:rsidP="00300A01">
            <w:pPr>
              <w:spacing w:before="0" w:after="0"/>
              <w:rPr>
                <w:b/>
                <w:sz w:val="12"/>
                <w:szCs w:val="12"/>
                <w:lang w:val="fr-BE"/>
              </w:rPr>
            </w:pPr>
          </w:p>
        </w:tc>
        <w:tc>
          <w:tcPr>
            <w:tcW w:w="0" w:type="auto"/>
            <w:shd w:val="clear" w:color="auto" w:fill="auto"/>
          </w:tcPr>
          <w:p w14:paraId="1C04D01E" w14:textId="77777777" w:rsidR="008C5CFA" w:rsidRPr="00F53019" w:rsidRDefault="008C5CFA" w:rsidP="00300A01">
            <w:pPr>
              <w:spacing w:before="0" w:after="0"/>
              <w:rPr>
                <w:b/>
                <w:sz w:val="12"/>
                <w:szCs w:val="12"/>
                <w:lang w:val="fr-BE"/>
              </w:rPr>
            </w:pPr>
          </w:p>
        </w:tc>
        <w:tc>
          <w:tcPr>
            <w:tcW w:w="0" w:type="auto"/>
            <w:shd w:val="clear" w:color="auto" w:fill="auto"/>
          </w:tcPr>
          <w:p w14:paraId="7FB0C465" w14:textId="77777777" w:rsidR="008C5CFA" w:rsidRPr="00F53019" w:rsidRDefault="00E82A60" w:rsidP="00300A01">
            <w:pPr>
              <w:spacing w:before="0" w:after="0"/>
              <w:jc w:val="center"/>
              <w:rPr>
                <w:b/>
                <w:sz w:val="12"/>
                <w:szCs w:val="12"/>
                <w:lang w:val="fr-BE"/>
              </w:rPr>
            </w:pPr>
            <w:r w:rsidRPr="00F53019">
              <w:rPr>
                <w:b/>
                <w:noProof/>
                <w:sz w:val="12"/>
                <w:szCs w:val="12"/>
                <w:lang w:val="fr-BE"/>
              </w:rPr>
              <w:t>Ogółem</w:t>
            </w:r>
          </w:p>
        </w:tc>
        <w:tc>
          <w:tcPr>
            <w:tcW w:w="0" w:type="auto"/>
            <w:shd w:val="clear" w:color="auto" w:fill="auto"/>
          </w:tcPr>
          <w:p w14:paraId="3B6B4B0E" w14:textId="77777777" w:rsidR="008C5CFA" w:rsidRPr="00F53019" w:rsidRDefault="00E82A60"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14:paraId="1E2B3560" w14:textId="77777777" w:rsidR="008C5CFA" w:rsidRPr="00F53019" w:rsidRDefault="00E82A60" w:rsidP="00300A01">
            <w:pPr>
              <w:spacing w:before="0" w:after="0"/>
              <w:jc w:val="center"/>
              <w:rPr>
                <w:b/>
                <w:sz w:val="12"/>
                <w:szCs w:val="12"/>
                <w:lang w:val="fr-BE"/>
              </w:rPr>
            </w:pPr>
            <w:r w:rsidRPr="00F53019">
              <w:rPr>
                <w:b/>
                <w:noProof/>
                <w:sz w:val="12"/>
                <w:szCs w:val="12"/>
                <w:lang w:val="fr-BE"/>
              </w:rPr>
              <w:t>Kobiety</w:t>
            </w:r>
          </w:p>
        </w:tc>
        <w:tc>
          <w:tcPr>
            <w:tcW w:w="0" w:type="auto"/>
            <w:shd w:val="clear" w:color="auto" w:fill="auto"/>
          </w:tcPr>
          <w:p w14:paraId="7AAB5CD1" w14:textId="77777777" w:rsidR="008C5CFA" w:rsidRPr="00F53019" w:rsidRDefault="00E82A60" w:rsidP="00300A01">
            <w:pPr>
              <w:spacing w:before="0" w:after="0"/>
              <w:jc w:val="center"/>
              <w:rPr>
                <w:b/>
                <w:sz w:val="12"/>
                <w:szCs w:val="12"/>
                <w:lang w:val="fr-BE"/>
              </w:rPr>
            </w:pPr>
            <w:r w:rsidRPr="00F53019">
              <w:rPr>
                <w:b/>
                <w:noProof/>
                <w:sz w:val="12"/>
                <w:szCs w:val="12"/>
                <w:lang w:val="fr-BE"/>
              </w:rPr>
              <w:t>Ogółem</w:t>
            </w:r>
          </w:p>
        </w:tc>
        <w:tc>
          <w:tcPr>
            <w:tcW w:w="0" w:type="auto"/>
            <w:shd w:val="clear" w:color="auto" w:fill="auto"/>
          </w:tcPr>
          <w:p w14:paraId="1B14BFEE" w14:textId="77777777" w:rsidR="008C5CFA" w:rsidRPr="00F53019" w:rsidRDefault="00E82A60"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14:paraId="0613C6A3" w14:textId="77777777" w:rsidR="008C5CFA" w:rsidRPr="00F53019" w:rsidRDefault="00E82A60" w:rsidP="00300A01">
            <w:pPr>
              <w:spacing w:before="0" w:after="0"/>
              <w:jc w:val="center"/>
              <w:rPr>
                <w:b/>
                <w:sz w:val="12"/>
                <w:szCs w:val="12"/>
                <w:lang w:val="fr-BE"/>
              </w:rPr>
            </w:pPr>
            <w:r w:rsidRPr="00F53019">
              <w:rPr>
                <w:b/>
                <w:noProof/>
                <w:sz w:val="12"/>
                <w:szCs w:val="12"/>
                <w:lang w:val="fr-BE"/>
              </w:rPr>
              <w:t>Kobiety</w:t>
            </w:r>
          </w:p>
        </w:tc>
        <w:tc>
          <w:tcPr>
            <w:tcW w:w="0" w:type="auto"/>
            <w:shd w:val="clear" w:color="auto" w:fill="auto"/>
          </w:tcPr>
          <w:p w14:paraId="3FB7FF08" w14:textId="77777777" w:rsidR="008C5CFA" w:rsidRPr="00F53019" w:rsidRDefault="00E82A60" w:rsidP="00300A01">
            <w:pPr>
              <w:spacing w:before="0" w:after="0"/>
              <w:jc w:val="center"/>
              <w:rPr>
                <w:b/>
                <w:sz w:val="12"/>
                <w:szCs w:val="12"/>
                <w:lang w:val="fr-BE"/>
              </w:rPr>
            </w:pPr>
            <w:r w:rsidRPr="00F53019">
              <w:rPr>
                <w:b/>
                <w:noProof/>
                <w:sz w:val="12"/>
                <w:szCs w:val="12"/>
                <w:lang w:val="fr-BE"/>
              </w:rPr>
              <w:t>Ogółem</w:t>
            </w:r>
          </w:p>
        </w:tc>
        <w:tc>
          <w:tcPr>
            <w:tcW w:w="0" w:type="auto"/>
            <w:shd w:val="clear" w:color="auto" w:fill="auto"/>
          </w:tcPr>
          <w:p w14:paraId="10BFA901" w14:textId="77777777" w:rsidR="008C5CFA" w:rsidRPr="00F53019" w:rsidRDefault="00E82A60"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14:paraId="23C34FB3" w14:textId="77777777" w:rsidR="008C5CFA" w:rsidRPr="00F53019" w:rsidRDefault="00E82A60" w:rsidP="00300A01">
            <w:pPr>
              <w:spacing w:before="0" w:after="0"/>
              <w:jc w:val="center"/>
              <w:rPr>
                <w:b/>
                <w:sz w:val="12"/>
                <w:szCs w:val="12"/>
                <w:lang w:val="fr-BE"/>
              </w:rPr>
            </w:pPr>
            <w:r w:rsidRPr="00F53019">
              <w:rPr>
                <w:b/>
                <w:noProof/>
                <w:sz w:val="12"/>
                <w:szCs w:val="12"/>
                <w:lang w:val="fr-BE"/>
              </w:rPr>
              <w:t>Kobiety</w:t>
            </w:r>
          </w:p>
        </w:tc>
        <w:tc>
          <w:tcPr>
            <w:tcW w:w="0" w:type="auto"/>
            <w:shd w:val="clear" w:color="auto" w:fill="auto"/>
          </w:tcPr>
          <w:p w14:paraId="16D552AF" w14:textId="77777777" w:rsidR="008C5CFA" w:rsidRPr="00F53019" w:rsidRDefault="00E82A60"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14:paraId="10D1B016" w14:textId="77777777" w:rsidR="008C5CFA" w:rsidRPr="00F53019" w:rsidRDefault="00E82A60" w:rsidP="00300A01">
            <w:pPr>
              <w:spacing w:before="0" w:after="0"/>
              <w:jc w:val="center"/>
              <w:rPr>
                <w:b/>
                <w:sz w:val="12"/>
                <w:szCs w:val="12"/>
                <w:lang w:val="fr-BE"/>
              </w:rPr>
            </w:pPr>
            <w:r w:rsidRPr="00F53019">
              <w:rPr>
                <w:b/>
                <w:noProof/>
                <w:sz w:val="12"/>
                <w:szCs w:val="12"/>
                <w:lang w:val="fr-BE"/>
              </w:rPr>
              <w:t>Kobiety</w:t>
            </w:r>
          </w:p>
        </w:tc>
      </w:tr>
      <w:tr w:rsidR="006B2EC1" w14:paraId="2C97996C" w14:textId="77777777" w:rsidTr="0047688D">
        <w:tc>
          <w:tcPr>
            <w:tcW w:w="0" w:type="auto"/>
            <w:shd w:val="clear" w:color="auto" w:fill="auto"/>
          </w:tcPr>
          <w:p w14:paraId="22C06740" w14:textId="77777777" w:rsidR="008C5CFA" w:rsidRPr="00BA47B4" w:rsidRDefault="00E82A60" w:rsidP="00300A01">
            <w:pPr>
              <w:spacing w:before="0" w:after="0"/>
              <w:rPr>
                <w:sz w:val="12"/>
                <w:szCs w:val="12"/>
                <w:lang w:val="fr-BE"/>
              </w:rPr>
            </w:pPr>
            <w:r w:rsidRPr="00BA47B4">
              <w:rPr>
                <w:noProof/>
                <w:sz w:val="12"/>
                <w:szCs w:val="12"/>
                <w:lang w:val="fr-BE"/>
              </w:rPr>
              <w:t>CR01</w:t>
            </w:r>
          </w:p>
        </w:tc>
        <w:tc>
          <w:tcPr>
            <w:tcW w:w="0" w:type="auto"/>
            <w:shd w:val="clear" w:color="auto" w:fill="auto"/>
          </w:tcPr>
          <w:p w14:paraId="4A45D3FF" w14:textId="77777777" w:rsidR="008C5CFA" w:rsidRPr="00BA47B4" w:rsidRDefault="00E82A60" w:rsidP="00300A01">
            <w:pPr>
              <w:spacing w:before="0" w:after="0"/>
              <w:rPr>
                <w:sz w:val="12"/>
                <w:szCs w:val="12"/>
                <w:lang w:val="fr-BE"/>
              </w:rPr>
            </w:pPr>
            <w:r w:rsidRPr="00BA47B4">
              <w:rPr>
                <w:noProof/>
                <w:sz w:val="12"/>
                <w:szCs w:val="12"/>
                <w:lang w:val="fr-BE"/>
              </w:rPr>
              <w:t>bierni zawodowo uczestnicy poszukujący pracy po opuszczeniu programu</w:t>
            </w:r>
          </w:p>
        </w:tc>
        <w:tc>
          <w:tcPr>
            <w:tcW w:w="0" w:type="auto"/>
            <w:shd w:val="clear" w:color="auto" w:fill="auto"/>
          </w:tcPr>
          <w:p w14:paraId="73E2BDFE" w14:textId="77777777" w:rsidR="008C5CFA" w:rsidRPr="00BA47B4" w:rsidRDefault="00E82A60" w:rsidP="00300A01">
            <w:pPr>
              <w:spacing w:before="0" w:after="0"/>
              <w:rPr>
                <w:sz w:val="12"/>
                <w:szCs w:val="12"/>
                <w:lang w:val="fr-BE"/>
              </w:rPr>
            </w:pPr>
            <w:r w:rsidRPr="00BA47B4">
              <w:rPr>
                <w:noProof/>
                <w:sz w:val="12"/>
                <w:szCs w:val="12"/>
                <w:lang w:val="fr-BE"/>
              </w:rPr>
              <w:t>Słabiej rozwinięte</w:t>
            </w:r>
          </w:p>
        </w:tc>
        <w:tc>
          <w:tcPr>
            <w:tcW w:w="0" w:type="auto"/>
            <w:shd w:val="clear" w:color="auto" w:fill="auto"/>
          </w:tcPr>
          <w:p w14:paraId="5C9FA9BD" w14:textId="77777777" w:rsidR="008C5CFA" w:rsidRPr="00BA47B4" w:rsidRDefault="00E82A60" w:rsidP="00300A01">
            <w:pPr>
              <w:spacing w:before="0" w:after="0"/>
              <w:rPr>
                <w:sz w:val="12"/>
                <w:szCs w:val="12"/>
                <w:lang w:val="fr-BE"/>
              </w:rPr>
            </w:pPr>
            <w:r w:rsidRPr="00BA47B4">
              <w:rPr>
                <w:sz w:val="12"/>
                <w:szCs w:val="12"/>
                <w:lang w:val="fr-BE"/>
              </w:rPr>
              <w:t xml:space="preserve"> </w:t>
            </w:r>
          </w:p>
        </w:tc>
        <w:tc>
          <w:tcPr>
            <w:tcW w:w="0" w:type="auto"/>
            <w:shd w:val="clear" w:color="auto" w:fill="auto"/>
          </w:tcPr>
          <w:p w14:paraId="743FAA39" w14:textId="77777777" w:rsidR="008C5CFA" w:rsidRPr="00BA47B4" w:rsidRDefault="008C5CFA" w:rsidP="00300A01">
            <w:pPr>
              <w:spacing w:before="0" w:after="0"/>
              <w:jc w:val="center"/>
              <w:rPr>
                <w:sz w:val="12"/>
                <w:szCs w:val="12"/>
                <w:lang w:val="fr-BE"/>
              </w:rPr>
            </w:pPr>
          </w:p>
        </w:tc>
        <w:tc>
          <w:tcPr>
            <w:tcW w:w="0" w:type="auto"/>
            <w:shd w:val="clear" w:color="auto" w:fill="auto"/>
          </w:tcPr>
          <w:p w14:paraId="4972427E" w14:textId="77777777" w:rsidR="008C5CFA" w:rsidRPr="00BA47B4" w:rsidRDefault="008C5CFA" w:rsidP="00300A01">
            <w:pPr>
              <w:spacing w:before="0" w:after="0"/>
              <w:jc w:val="right"/>
              <w:rPr>
                <w:sz w:val="12"/>
                <w:szCs w:val="12"/>
                <w:lang w:val="fr-BE"/>
              </w:rPr>
            </w:pPr>
          </w:p>
        </w:tc>
        <w:tc>
          <w:tcPr>
            <w:tcW w:w="0" w:type="auto"/>
            <w:shd w:val="clear" w:color="auto" w:fill="auto"/>
          </w:tcPr>
          <w:p w14:paraId="3F6DCA4B" w14:textId="77777777" w:rsidR="008C5CFA" w:rsidRPr="00BA47B4" w:rsidRDefault="008C5CFA" w:rsidP="00300A01">
            <w:pPr>
              <w:spacing w:before="0" w:after="0"/>
              <w:jc w:val="right"/>
              <w:rPr>
                <w:sz w:val="12"/>
                <w:szCs w:val="12"/>
                <w:lang w:val="fr-BE"/>
              </w:rPr>
            </w:pPr>
          </w:p>
        </w:tc>
        <w:tc>
          <w:tcPr>
            <w:tcW w:w="0" w:type="auto"/>
            <w:shd w:val="clear" w:color="auto" w:fill="auto"/>
          </w:tcPr>
          <w:p w14:paraId="71F67603" w14:textId="77777777" w:rsidR="008C5CFA" w:rsidRPr="00BA47B4" w:rsidRDefault="008C5CFA" w:rsidP="00300A01">
            <w:pPr>
              <w:spacing w:before="0" w:after="0"/>
              <w:jc w:val="right"/>
              <w:rPr>
                <w:sz w:val="12"/>
                <w:szCs w:val="12"/>
                <w:lang w:val="fr-BE"/>
              </w:rPr>
            </w:pPr>
          </w:p>
        </w:tc>
        <w:tc>
          <w:tcPr>
            <w:tcW w:w="0" w:type="auto"/>
            <w:shd w:val="clear" w:color="auto" w:fill="auto"/>
          </w:tcPr>
          <w:p w14:paraId="171A37F8" w14:textId="77777777" w:rsidR="008C5CFA" w:rsidRPr="00BA47B4" w:rsidRDefault="00E82A60" w:rsidP="00300A01">
            <w:pPr>
              <w:spacing w:before="0" w:after="0"/>
              <w:jc w:val="right"/>
              <w:rPr>
                <w:sz w:val="12"/>
                <w:szCs w:val="12"/>
                <w:lang w:val="fr-BE"/>
              </w:rPr>
            </w:pPr>
            <w:r w:rsidRPr="00BA47B4">
              <w:rPr>
                <w:noProof/>
                <w:sz w:val="12"/>
                <w:szCs w:val="12"/>
                <w:lang w:val="fr-BE"/>
              </w:rPr>
              <w:t>5,00</w:t>
            </w:r>
          </w:p>
        </w:tc>
        <w:tc>
          <w:tcPr>
            <w:tcW w:w="0" w:type="auto"/>
            <w:shd w:val="clear" w:color="auto" w:fill="auto"/>
          </w:tcPr>
          <w:p w14:paraId="63E1E7B4" w14:textId="77777777" w:rsidR="008C5CFA" w:rsidRPr="00BA47B4" w:rsidRDefault="00E82A60" w:rsidP="00300A01">
            <w:pPr>
              <w:spacing w:before="0" w:after="0"/>
              <w:jc w:val="right"/>
              <w:rPr>
                <w:sz w:val="12"/>
                <w:szCs w:val="12"/>
                <w:lang w:val="fr-BE"/>
              </w:rPr>
            </w:pPr>
            <w:r w:rsidRPr="00BA47B4">
              <w:rPr>
                <w:noProof/>
                <w:sz w:val="12"/>
                <w:szCs w:val="12"/>
                <w:lang w:val="fr-BE"/>
              </w:rPr>
              <w:t>3,00</w:t>
            </w:r>
          </w:p>
        </w:tc>
        <w:tc>
          <w:tcPr>
            <w:tcW w:w="0" w:type="auto"/>
            <w:shd w:val="clear" w:color="auto" w:fill="auto"/>
          </w:tcPr>
          <w:p w14:paraId="6C82D096" w14:textId="77777777" w:rsidR="008C5CFA" w:rsidRPr="00BA47B4" w:rsidRDefault="00E82A60" w:rsidP="00300A01">
            <w:pPr>
              <w:spacing w:before="0" w:after="0"/>
              <w:jc w:val="right"/>
              <w:rPr>
                <w:sz w:val="12"/>
                <w:szCs w:val="12"/>
                <w:lang w:val="fr-BE"/>
              </w:rPr>
            </w:pPr>
            <w:r w:rsidRPr="00BA47B4">
              <w:rPr>
                <w:noProof/>
                <w:sz w:val="12"/>
                <w:szCs w:val="12"/>
                <w:lang w:val="fr-BE"/>
              </w:rPr>
              <w:t>2,00</w:t>
            </w:r>
          </w:p>
        </w:tc>
        <w:tc>
          <w:tcPr>
            <w:tcW w:w="0" w:type="auto"/>
            <w:shd w:val="clear" w:color="auto" w:fill="auto"/>
          </w:tcPr>
          <w:p w14:paraId="7188EF6B" w14:textId="77777777" w:rsidR="008C5CFA" w:rsidRPr="00BA47B4" w:rsidRDefault="008C5CFA" w:rsidP="00300A01">
            <w:pPr>
              <w:spacing w:before="0" w:after="0"/>
              <w:jc w:val="right"/>
              <w:rPr>
                <w:sz w:val="12"/>
                <w:szCs w:val="12"/>
                <w:lang w:val="fr-BE"/>
              </w:rPr>
            </w:pPr>
          </w:p>
        </w:tc>
        <w:tc>
          <w:tcPr>
            <w:tcW w:w="0" w:type="auto"/>
            <w:shd w:val="clear" w:color="auto" w:fill="auto"/>
          </w:tcPr>
          <w:p w14:paraId="2D55CF7D" w14:textId="77777777" w:rsidR="008C5CFA" w:rsidRPr="00BA47B4" w:rsidRDefault="008C5CFA" w:rsidP="00300A01">
            <w:pPr>
              <w:spacing w:before="0" w:after="0"/>
              <w:jc w:val="right"/>
              <w:rPr>
                <w:sz w:val="12"/>
                <w:szCs w:val="12"/>
                <w:lang w:val="fr-BE"/>
              </w:rPr>
            </w:pPr>
          </w:p>
        </w:tc>
        <w:tc>
          <w:tcPr>
            <w:tcW w:w="0" w:type="auto"/>
            <w:shd w:val="clear" w:color="auto" w:fill="auto"/>
          </w:tcPr>
          <w:p w14:paraId="5005AC60" w14:textId="77777777" w:rsidR="008C5CFA" w:rsidRPr="00BA47B4" w:rsidRDefault="008C5CFA" w:rsidP="00300A01">
            <w:pPr>
              <w:spacing w:before="0" w:after="0"/>
              <w:jc w:val="right"/>
              <w:rPr>
                <w:sz w:val="12"/>
                <w:szCs w:val="12"/>
                <w:lang w:val="fr-BE"/>
              </w:rPr>
            </w:pPr>
          </w:p>
        </w:tc>
        <w:tc>
          <w:tcPr>
            <w:tcW w:w="0" w:type="auto"/>
            <w:shd w:val="clear" w:color="auto" w:fill="auto"/>
          </w:tcPr>
          <w:p w14:paraId="04B2C109"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58A427CC"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r>
      <w:tr w:rsidR="006B2EC1" w14:paraId="36B9F479" w14:textId="77777777" w:rsidTr="0047688D">
        <w:tc>
          <w:tcPr>
            <w:tcW w:w="0" w:type="auto"/>
            <w:shd w:val="clear" w:color="auto" w:fill="auto"/>
          </w:tcPr>
          <w:p w14:paraId="4EE595AE" w14:textId="77777777" w:rsidR="008C5CFA" w:rsidRPr="00BA47B4" w:rsidRDefault="00E82A60" w:rsidP="00300A01">
            <w:pPr>
              <w:spacing w:before="0" w:after="0"/>
              <w:rPr>
                <w:sz w:val="12"/>
                <w:szCs w:val="12"/>
                <w:lang w:val="fr-BE"/>
              </w:rPr>
            </w:pPr>
            <w:r w:rsidRPr="00BA47B4">
              <w:rPr>
                <w:noProof/>
                <w:sz w:val="12"/>
                <w:szCs w:val="12"/>
                <w:lang w:val="fr-BE"/>
              </w:rPr>
              <w:t>CR02</w:t>
            </w:r>
          </w:p>
        </w:tc>
        <w:tc>
          <w:tcPr>
            <w:tcW w:w="0" w:type="auto"/>
            <w:shd w:val="clear" w:color="auto" w:fill="auto"/>
          </w:tcPr>
          <w:p w14:paraId="58AC1F0F" w14:textId="77777777" w:rsidR="008C5CFA" w:rsidRPr="00BA47B4" w:rsidRDefault="00E82A60" w:rsidP="00300A01">
            <w:pPr>
              <w:spacing w:before="0" w:after="0"/>
              <w:rPr>
                <w:sz w:val="12"/>
                <w:szCs w:val="12"/>
                <w:lang w:val="fr-BE"/>
              </w:rPr>
            </w:pPr>
            <w:r w:rsidRPr="00BA47B4">
              <w:rPr>
                <w:noProof/>
                <w:sz w:val="12"/>
                <w:szCs w:val="12"/>
                <w:lang w:val="fr-BE"/>
              </w:rPr>
              <w:t>uczestnicy kształcący lub szkolący się po opuszczeniu programu</w:t>
            </w:r>
          </w:p>
        </w:tc>
        <w:tc>
          <w:tcPr>
            <w:tcW w:w="0" w:type="auto"/>
            <w:shd w:val="clear" w:color="auto" w:fill="auto"/>
          </w:tcPr>
          <w:p w14:paraId="5E305D09" w14:textId="77777777" w:rsidR="008C5CFA" w:rsidRPr="00BA47B4" w:rsidRDefault="00E82A60" w:rsidP="00300A01">
            <w:pPr>
              <w:spacing w:before="0" w:after="0"/>
              <w:rPr>
                <w:sz w:val="12"/>
                <w:szCs w:val="12"/>
                <w:lang w:val="fr-BE"/>
              </w:rPr>
            </w:pPr>
            <w:r w:rsidRPr="00BA47B4">
              <w:rPr>
                <w:noProof/>
                <w:sz w:val="12"/>
                <w:szCs w:val="12"/>
                <w:lang w:val="fr-BE"/>
              </w:rPr>
              <w:t>Słabiej rozwinięte</w:t>
            </w:r>
          </w:p>
        </w:tc>
        <w:tc>
          <w:tcPr>
            <w:tcW w:w="0" w:type="auto"/>
            <w:shd w:val="clear" w:color="auto" w:fill="auto"/>
          </w:tcPr>
          <w:p w14:paraId="006E1344" w14:textId="77777777" w:rsidR="008C5CFA" w:rsidRPr="00BA47B4" w:rsidRDefault="00E82A60" w:rsidP="00300A01">
            <w:pPr>
              <w:spacing w:before="0" w:after="0"/>
              <w:rPr>
                <w:sz w:val="12"/>
                <w:szCs w:val="12"/>
                <w:lang w:val="fr-BE"/>
              </w:rPr>
            </w:pPr>
            <w:r w:rsidRPr="00BA47B4">
              <w:rPr>
                <w:sz w:val="12"/>
                <w:szCs w:val="12"/>
                <w:lang w:val="fr-BE"/>
              </w:rPr>
              <w:t xml:space="preserve"> </w:t>
            </w:r>
          </w:p>
        </w:tc>
        <w:tc>
          <w:tcPr>
            <w:tcW w:w="0" w:type="auto"/>
            <w:shd w:val="clear" w:color="auto" w:fill="auto"/>
          </w:tcPr>
          <w:p w14:paraId="19E5C7E2" w14:textId="77777777" w:rsidR="008C5CFA" w:rsidRPr="00BA47B4" w:rsidRDefault="008C5CFA" w:rsidP="00300A01">
            <w:pPr>
              <w:spacing w:before="0" w:after="0"/>
              <w:jc w:val="center"/>
              <w:rPr>
                <w:sz w:val="12"/>
                <w:szCs w:val="12"/>
                <w:lang w:val="fr-BE"/>
              </w:rPr>
            </w:pPr>
          </w:p>
        </w:tc>
        <w:tc>
          <w:tcPr>
            <w:tcW w:w="0" w:type="auto"/>
            <w:shd w:val="clear" w:color="auto" w:fill="auto"/>
          </w:tcPr>
          <w:p w14:paraId="1F31FB14" w14:textId="77777777" w:rsidR="008C5CFA" w:rsidRPr="00BA47B4" w:rsidRDefault="008C5CFA" w:rsidP="00300A01">
            <w:pPr>
              <w:spacing w:before="0" w:after="0"/>
              <w:jc w:val="right"/>
              <w:rPr>
                <w:sz w:val="12"/>
                <w:szCs w:val="12"/>
                <w:lang w:val="fr-BE"/>
              </w:rPr>
            </w:pPr>
          </w:p>
        </w:tc>
        <w:tc>
          <w:tcPr>
            <w:tcW w:w="0" w:type="auto"/>
            <w:shd w:val="clear" w:color="auto" w:fill="auto"/>
          </w:tcPr>
          <w:p w14:paraId="5B79E24D" w14:textId="77777777" w:rsidR="008C5CFA" w:rsidRPr="00BA47B4" w:rsidRDefault="008C5CFA" w:rsidP="00300A01">
            <w:pPr>
              <w:spacing w:before="0" w:after="0"/>
              <w:jc w:val="right"/>
              <w:rPr>
                <w:sz w:val="12"/>
                <w:szCs w:val="12"/>
                <w:lang w:val="fr-BE"/>
              </w:rPr>
            </w:pPr>
          </w:p>
        </w:tc>
        <w:tc>
          <w:tcPr>
            <w:tcW w:w="0" w:type="auto"/>
            <w:shd w:val="clear" w:color="auto" w:fill="auto"/>
          </w:tcPr>
          <w:p w14:paraId="6DEB96B9" w14:textId="77777777" w:rsidR="008C5CFA" w:rsidRPr="00BA47B4" w:rsidRDefault="008C5CFA" w:rsidP="00300A01">
            <w:pPr>
              <w:spacing w:before="0" w:after="0"/>
              <w:jc w:val="right"/>
              <w:rPr>
                <w:sz w:val="12"/>
                <w:szCs w:val="12"/>
                <w:lang w:val="fr-BE"/>
              </w:rPr>
            </w:pPr>
          </w:p>
        </w:tc>
        <w:tc>
          <w:tcPr>
            <w:tcW w:w="0" w:type="auto"/>
            <w:shd w:val="clear" w:color="auto" w:fill="auto"/>
          </w:tcPr>
          <w:p w14:paraId="02022B33" w14:textId="77777777" w:rsidR="008C5CFA" w:rsidRPr="00BA47B4" w:rsidRDefault="00E82A60" w:rsidP="00300A01">
            <w:pPr>
              <w:spacing w:before="0" w:after="0"/>
              <w:jc w:val="right"/>
              <w:rPr>
                <w:sz w:val="12"/>
                <w:szCs w:val="12"/>
                <w:lang w:val="fr-BE"/>
              </w:rPr>
            </w:pPr>
            <w:r w:rsidRPr="00BA47B4">
              <w:rPr>
                <w:noProof/>
                <w:sz w:val="12"/>
                <w:szCs w:val="12"/>
                <w:lang w:val="fr-BE"/>
              </w:rPr>
              <w:t>1,00</w:t>
            </w:r>
          </w:p>
        </w:tc>
        <w:tc>
          <w:tcPr>
            <w:tcW w:w="0" w:type="auto"/>
            <w:shd w:val="clear" w:color="auto" w:fill="auto"/>
          </w:tcPr>
          <w:p w14:paraId="283FFDE6" w14:textId="77777777" w:rsidR="008C5CFA" w:rsidRPr="00BA47B4" w:rsidRDefault="00E82A60" w:rsidP="00300A01">
            <w:pPr>
              <w:spacing w:before="0" w:after="0"/>
              <w:jc w:val="right"/>
              <w:rPr>
                <w:sz w:val="12"/>
                <w:szCs w:val="12"/>
                <w:lang w:val="fr-BE"/>
              </w:rPr>
            </w:pPr>
            <w:r w:rsidRPr="00BA47B4">
              <w:rPr>
                <w:noProof/>
                <w:sz w:val="12"/>
                <w:szCs w:val="12"/>
                <w:lang w:val="fr-BE"/>
              </w:rPr>
              <w:t>1,00</w:t>
            </w:r>
          </w:p>
        </w:tc>
        <w:tc>
          <w:tcPr>
            <w:tcW w:w="0" w:type="auto"/>
            <w:shd w:val="clear" w:color="auto" w:fill="auto"/>
          </w:tcPr>
          <w:p w14:paraId="39FC2724"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19765E9B" w14:textId="77777777" w:rsidR="008C5CFA" w:rsidRPr="00BA47B4" w:rsidRDefault="008C5CFA" w:rsidP="00300A01">
            <w:pPr>
              <w:spacing w:before="0" w:after="0"/>
              <w:jc w:val="right"/>
              <w:rPr>
                <w:sz w:val="12"/>
                <w:szCs w:val="12"/>
                <w:lang w:val="fr-BE"/>
              </w:rPr>
            </w:pPr>
          </w:p>
        </w:tc>
        <w:tc>
          <w:tcPr>
            <w:tcW w:w="0" w:type="auto"/>
            <w:shd w:val="clear" w:color="auto" w:fill="auto"/>
          </w:tcPr>
          <w:p w14:paraId="6D182192" w14:textId="77777777" w:rsidR="008C5CFA" w:rsidRPr="00BA47B4" w:rsidRDefault="008C5CFA" w:rsidP="00300A01">
            <w:pPr>
              <w:spacing w:before="0" w:after="0"/>
              <w:jc w:val="right"/>
              <w:rPr>
                <w:sz w:val="12"/>
                <w:szCs w:val="12"/>
                <w:lang w:val="fr-BE"/>
              </w:rPr>
            </w:pPr>
          </w:p>
        </w:tc>
        <w:tc>
          <w:tcPr>
            <w:tcW w:w="0" w:type="auto"/>
            <w:shd w:val="clear" w:color="auto" w:fill="auto"/>
          </w:tcPr>
          <w:p w14:paraId="51CCBFE5" w14:textId="77777777" w:rsidR="008C5CFA" w:rsidRPr="00BA47B4" w:rsidRDefault="008C5CFA" w:rsidP="00300A01">
            <w:pPr>
              <w:spacing w:before="0" w:after="0"/>
              <w:jc w:val="right"/>
              <w:rPr>
                <w:sz w:val="12"/>
                <w:szCs w:val="12"/>
                <w:lang w:val="fr-BE"/>
              </w:rPr>
            </w:pPr>
          </w:p>
        </w:tc>
        <w:tc>
          <w:tcPr>
            <w:tcW w:w="0" w:type="auto"/>
            <w:shd w:val="clear" w:color="auto" w:fill="auto"/>
          </w:tcPr>
          <w:p w14:paraId="36EA96B9"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60A50B93"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r>
      <w:tr w:rsidR="006B2EC1" w14:paraId="74A800C2" w14:textId="77777777" w:rsidTr="0047688D">
        <w:tc>
          <w:tcPr>
            <w:tcW w:w="0" w:type="auto"/>
            <w:shd w:val="clear" w:color="auto" w:fill="auto"/>
          </w:tcPr>
          <w:p w14:paraId="16E49948" w14:textId="77777777" w:rsidR="008C5CFA" w:rsidRPr="00BA47B4" w:rsidRDefault="00E82A60" w:rsidP="00300A01">
            <w:pPr>
              <w:spacing w:before="0" w:after="0"/>
              <w:rPr>
                <w:sz w:val="12"/>
                <w:szCs w:val="12"/>
                <w:lang w:val="fr-BE"/>
              </w:rPr>
            </w:pPr>
            <w:r w:rsidRPr="00BA47B4">
              <w:rPr>
                <w:noProof/>
                <w:sz w:val="12"/>
                <w:szCs w:val="12"/>
                <w:lang w:val="fr-BE"/>
              </w:rPr>
              <w:t>CR03</w:t>
            </w:r>
          </w:p>
        </w:tc>
        <w:tc>
          <w:tcPr>
            <w:tcW w:w="0" w:type="auto"/>
            <w:shd w:val="clear" w:color="auto" w:fill="auto"/>
          </w:tcPr>
          <w:p w14:paraId="5AD91208" w14:textId="77777777" w:rsidR="008C5CFA" w:rsidRPr="00BA47B4" w:rsidRDefault="00E82A60" w:rsidP="00300A01">
            <w:pPr>
              <w:spacing w:before="0" w:after="0"/>
              <w:rPr>
                <w:sz w:val="12"/>
                <w:szCs w:val="12"/>
                <w:lang w:val="fr-BE"/>
              </w:rPr>
            </w:pPr>
            <w:r w:rsidRPr="00BA47B4">
              <w:rPr>
                <w:noProof/>
                <w:sz w:val="12"/>
                <w:szCs w:val="12"/>
                <w:lang w:val="fr-BE"/>
              </w:rPr>
              <w:t>uczestnicy uzyskujący kwalifikacje po opuszczeniu programu</w:t>
            </w:r>
          </w:p>
        </w:tc>
        <w:tc>
          <w:tcPr>
            <w:tcW w:w="0" w:type="auto"/>
            <w:shd w:val="clear" w:color="auto" w:fill="auto"/>
          </w:tcPr>
          <w:p w14:paraId="5495A38F" w14:textId="77777777" w:rsidR="008C5CFA" w:rsidRPr="00BA47B4" w:rsidRDefault="00E82A60" w:rsidP="00300A01">
            <w:pPr>
              <w:spacing w:before="0" w:after="0"/>
              <w:rPr>
                <w:sz w:val="12"/>
                <w:szCs w:val="12"/>
                <w:lang w:val="fr-BE"/>
              </w:rPr>
            </w:pPr>
            <w:r w:rsidRPr="00BA47B4">
              <w:rPr>
                <w:noProof/>
                <w:sz w:val="12"/>
                <w:szCs w:val="12"/>
                <w:lang w:val="fr-BE"/>
              </w:rPr>
              <w:t>Słabiej rozwinięte</w:t>
            </w:r>
          </w:p>
        </w:tc>
        <w:tc>
          <w:tcPr>
            <w:tcW w:w="0" w:type="auto"/>
            <w:shd w:val="clear" w:color="auto" w:fill="auto"/>
          </w:tcPr>
          <w:p w14:paraId="0BB078F3" w14:textId="77777777" w:rsidR="008C5CFA" w:rsidRPr="00BA47B4" w:rsidRDefault="00E82A60" w:rsidP="00300A01">
            <w:pPr>
              <w:spacing w:before="0" w:after="0"/>
              <w:rPr>
                <w:sz w:val="12"/>
                <w:szCs w:val="12"/>
                <w:lang w:val="fr-BE"/>
              </w:rPr>
            </w:pPr>
            <w:r w:rsidRPr="00BA47B4">
              <w:rPr>
                <w:sz w:val="12"/>
                <w:szCs w:val="12"/>
                <w:lang w:val="fr-BE"/>
              </w:rPr>
              <w:t xml:space="preserve"> </w:t>
            </w:r>
          </w:p>
        </w:tc>
        <w:tc>
          <w:tcPr>
            <w:tcW w:w="0" w:type="auto"/>
            <w:shd w:val="clear" w:color="auto" w:fill="auto"/>
          </w:tcPr>
          <w:p w14:paraId="0C1CA725" w14:textId="77777777" w:rsidR="008C5CFA" w:rsidRPr="00BA47B4" w:rsidRDefault="008C5CFA" w:rsidP="00300A01">
            <w:pPr>
              <w:spacing w:before="0" w:after="0"/>
              <w:jc w:val="center"/>
              <w:rPr>
                <w:sz w:val="12"/>
                <w:szCs w:val="12"/>
                <w:lang w:val="fr-BE"/>
              </w:rPr>
            </w:pPr>
          </w:p>
        </w:tc>
        <w:tc>
          <w:tcPr>
            <w:tcW w:w="0" w:type="auto"/>
            <w:shd w:val="clear" w:color="auto" w:fill="auto"/>
          </w:tcPr>
          <w:p w14:paraId="4244F801" w14:textId="77777777" w:rsidR="008C5CFA" w:rsidRPr="00BA47B4" w:rsidRDefault="008C5CFA" w:rsidP="00300A01">
            <w:pPr>
              <w:spacing w:before="0" w:after="0"/>
              <w:jc w:val="right"/>
              <w:rPr>
                <w:sz w:val="12"/>
                <w:szCs w:val="12"/>
                <w:lang w:val="fr-BE"/>
              </w:rPr>
            </w:pPr>
          </w:p>
        </w:tc>
        <w:tc>
          <w:tcPr>
            <w:tcW w:w="0" w:type="auto"/>
            <w:shd w:val="clear" w:color="auto" w:fill="auto"/>
          </w:tcPr>
          <w:p w14:paraId="6AEB15BA" w14:textId="77777777" w:rsidR="008C5CFA" w:rsidRPr="00BA47B4" w:rsidRDefault="008C5CFA" w:rsidP="00300A01">
            <w:pPr>
              <w:spacing w:before="0" w:after="0"/>
              <w:jc w:val="right"/>
              <w:rPr>
                <w:sz w:val="12"/>
                <w:szCs w:val="12"/>
                <w:lang w:val="fr-BE"/>
              </w:rPr>
            </w:pPr>
          </w:p>
        </w:tc>
        <w:tc>
          <w:tcPr>
            <w:tcW w:w="0" w:type="auto"/>
            <w:shd w:val="clear" w:color="auto" w:fill="auto"/>
          </w:tcPr>
          <w:p w14:paraId="57AD78D4" w14:textId="77777777" w:rsidR="008C5CFA" w:rsidRPr="00BA47B4" w:rsidRDefault="008C5CFA" w:rsidP="00300A01">
            <w:pPr>
              <w:spacing w:before="0" w:after="0"/>
              <w:jc w:val="right"/>
              <w:rPr>
                <w:sz w:val="12"/>
                <w:szCs w:val="12"/>
                <w:lang w:val="fr-BE"/>
              </w:rPr>
            </w:pPr>
          </w:p>
        </w:tc>
        <w:tc>
          <w:tcPr>
            <w:tcW w:w="0" w:type="auto"/>
            <w:shd w:val="clear" w:color="auto" w:fill="auto"/>
          </w:tcPr>
          <w:p w14:paraId="35014B63" w14:textId="77777777" w:rsidR="008C5CFA" w:rsidRPr="00BA47B4" w:rsidRDefault="00E82A60" w:rsidP="00300A01">
            <w:pPr>
              <w:spacing w:before="0" w:after="0"/>
              <w:jc w:val="right"/>
              <w:rPr>
                <w:sz w:val="12"/>
                <w:szCs w:val="12"/>
                <w:lang w:val="fr-BE"/>
              </w:rPr>
            </w:pPr>
            <w:r w:rsidRPr="00BA47B4">
              <w:rPr>
                <w:noProof/>
                <w:sz w:val="12"/>
                <w:szCs w:val="12"/>
                <w:lang w:val="fr-BE"/>
              </w:rPr>
              <w:t>70,00</w:t>
            </w:r>
          </w:p>
        </w:tc>
        <w:tc>
          <w:tcPr>
            <w:tcW w:w="0" w:type="auto"/>
            <w:shd w:val="clear" w:color="auto" w:fill="auto"/>
          </w:tcPr>
          <w:p w14:paraId="0DB5DDCC" w14:textId="77777777" w:rsidR="008C5CFA" w:rsidRPr="00BA47B4" w:rsidRDefault="00E82A60" w:rsidP="00300A01">
            <w:pPr>
              <w:spacing w:before="0" w:after="0"/>
              <w:jc w:val="right"/>
              <w:rPr>
                <w:sz w:val="12"/>
                <w:szCs w:val="12"/>
                <w:lang w:val="fr-BE"/>
              </w:rPr>
            </w:pPr>
            <w:r w:rsidRPr="00BA47B4">
              <w:rPr>
                <w:noProof/>
                <w:sz w:val="12"/>
                <w:szCs w:val="12"/>
                <w:lang w:val="fr-BE"/>
              </w:rPr>
              <w:t>42,00</w:t>
            </w:r>
          </w:p>
        </w:tc>
        <w:tc>
          <w:tcPr>
            <w:tcW w:w="0" w:type="auto"/>
            <w:shd w:val="clear" w:color="auto" w:fill="auto"/>
          </w:tcPr>
          <w:p w14:paraId="150AA3DE" w14:textId="77777777" w:rsidR="008C5CFA" w:rsidRPr="00BA47B4" w:rsidRDefault="00E82A60" w:rsidP="00300A01">
            <w:pPr>
              <w:spacing w:before="0" w:after="0"/>
              <w:jc w:val="right"/>
              <w:rPr>
                <w:sz w:val="12"/>
                <w:szCs w:val="12"/>
                <w:lang w:val="fr-BE"/>
              </w:rPr>
            </w:pPr>
            <w:r w:rsidRPr="00BA47B4">
              <w:rPr>
                <w:noProof/>
                <w:sz w:val="12"/>
                <w:szCs w:val="12"/>
                <w:lang w:val="fr-BE"/>
              </w:rPr>
              <w:t>28,00</w:t>
            </w:r>
          </w:p>
        </w:tc>
        <w:tc>
          <w:tcPr>
            <w:tcW w:w="0" w:type="auto"/>
            <w:shd w:val="clear" w:color="auto" w:fill="auto"/>
          </w:tcPr>
          <w:p w14:paraId="543D3D6F" w14:textId="77777777" w:rsidR="008C5CFA" w:rsidRPr="00BA47B4" w:rsidRDefault="008C5CFA" w:rsidP="00300A01">
            <w:pPr>
              <w:spacing w:before="0" w:after="0"/>
              <w:jc w:val="right"/>
              <w:rPr>
                <w:sz w:val="12"/>
                <w:szCs w:val="12"/>
                <w:lang w:val="fr-BE"/>
              </w:rPr>
            </w:pPr>
          </w:p>
        </w:tc>
        <w:tc>
          <w:tcPr>
            <w:tcW w:w="0" w:type="auto"/>
            <w:shd w:val="clear" w:color="auto" w:fill="auto"/>
          </w:tcPr>
          <w:p w14:paraId="4C6AB798" w14:textId="77777777" w:rsidR="008C5CFA" w:rsidRPr="00BA47B4" w:rsidRDefault="008C5CFA" w:rsidP="00300A01">
            <w:pPr>
              <w:spacing w:before="0" w:after="0"/>
              <w:jc w:val="right"/>
              <w:rPr>
                <w:sz w:val="12"/>
                <w:szCs w:val="12"/>
                <w:lang w:val="fr-BE"/>
              </w:rPr>
            </w:pPr>
          </w:p>
        </w:tc>
        <w:tc>
          <w:tcPr>
            <w:tcW w:w="0" w:type="auto"/>
            <w:shd w:val="clear" w:color="auto" w:fill="auto"/>
          </w:tcPr>
          <w:p w14:paraId="35122E1E" w14:textId="77777777" w:rsidR="008C5CFA" w:rsidRPr="00BA47B4" w:rsidRDefault="008C5CFA" w:rsidP="00300A01">
            <w:pPr>
              <w:spacing w:before="0" w:after="0"/>
              <w:jc w:val="right"/>
              <w:rPr>
                <w:sz w:val="12"/>
                <w:szCs w:val="12"/>
                <w:lang w:val="fr-BE"/>
              </w:rPr>
            </w:pPr>
          </w:p>
        </w:tc>
        <w:tc>
          <w:tcPr>
            <w:tcW w:w="0" w:type="auto"/>
            <w:shd w:val="clear" w:color="auto" w:fill="auto"/>
          </w:tcPr>
          <w:p w14:paraId="157FFDF5"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6A3E574C"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r>
      <w:tr w:rsidR="006B2EC1" w14:paraId="03342B08" w14:textId="77777777" w:rsidTr="0047688D">
        <w:tc>
          <w:tcPr>
            <w:tcW w:w="0" w:type="auto"/>
            <w:shd w:val="clear" w:color="auto" w:fill="auto"/>
          </w:tcPr>
          <w:p w14:paraId="6C31FFDF" w14:textId="77777777" w:rsidR="008C5CFA" w:rsidRPr="00BA47B4" w:rsidRDefault="00E82A60" w:rsidP="00300A01">
            <w:pPr>
              <w:spacing w:before="0" w:after="0"/>
              <w:rPr>
                <w:sz w:val="12"/>
                <w:szCs w:val="12"/>
                <w:lang w:val="fr-BE"/>
              </w:rPr>
            </w:pPr>
            <w:r w:rsidRPr="00BA47B4">
              <w:rPr>
                <w:noProof/>
                <w:sz w:val="12"/>
                <w:szCs w:val="12"/>
                <w:lang w:val="fr-BE"/>
              </w:rPr>
              <w:t>CR04</w:t>
            </w:r>
          </w:p>
        </w:tc>
        <w:tc>
          <w:tcPr>
            <w:tcW w:w="0" w:type="auto"/>
            <w:shd w:val="clear" w:color="auto" w:fill="auto"/>
          </w:tcPr>
          <w:p w14:paraId="5531EF58" w14:textId="77777777" w:rsidR="008C5CFA" w:rsidRPr="00BA47B4" w:rsidRDefault="00E82A60" w:rsidP="00300A01">
            <w:pPr>
              <w:spacing w:before="0" w:after="0"/>
              <w:rPr>
                <w:sz w:val="12"/>
                <w:szCs w:val="12"/>
                <w:lang w:val="fr-BE"/>
              </w:rPr>
            </w:pPr>
            <w:r w:rsidRPr="00BA47B4">
              <w:rPr>
                <w:noProof/>
                <w:sz w:val="12"/>
                <w:szCs w:val="12"/>
                <w:lang w:val="fr-BE"/>
              </w:rPr>
              <w:t>uczestnicy pracujący, łącznie z prowadzącymi działalność na własny rachunek, po opuszczeniu programu</w:t>
            </w:r>
          </w:p>
        </w:tc>
        <w:tc>
          <w:tcPr>
            <w:tcW w:w="0" w:type="auto"/>
            <w:shd w:val="clear" w:color="auto" w:fill="auto"/>
          </w:tcPr>
          <w:p w14:paraId="77B7DB02" w14:textId="77777777" w:rsidR="008C5CFA" w:rsidRPr="00BA47B4" w:rsidRDefault="00E82A60" w:rsidP="00300A01">
            <w:pPr>
              <w:spacing w:before="0" w:after="0"/>
              <w:rPr>
                <w:sz w:val="12"/>
                <w:szCs w:val="12"/>
                <w:lang w:val="fr-BE"/>
              </w:rPr>
            </w:pPr>
            <w:r w:rsidRPr="00BA47B4">
              <w:rPr>
                <w:noProof/>
                <w:sz w:val="12"/>
                <w:szCs w:val="12"/>
                <w:lang w:val="fr-BE"/>
              </w:rPr>
              <w:t>Słabiej rozwinięte</w:t>
            </w:r>
          </w:p>
        </w:tc>
        <w:tc>
          <w:tcPr>
            <w:tcW w:w="0" w:type="auto"/>
            <w:shd w:val="clear" w:color="auto" w:fill="auto"/>
          </w:tcPr>
          <w:p w14:paraId="6359C5F9" w14:textId="77777777" w:rsidR="008C5CFA" w:rsidRPr="00BA47B4" w:rsidRDefault="00E82A60" w:rsidP="00300A01">
            <w:pPr>
              <w:spacing w:before="0" w:after="0"/>
              <w:rPr>
                <w:sz w:val="12"/>
                <w:szCs w:val="12"/>
                <w:lang w:val="fr-BE"/>
              </w:rPr>
            </w:pPr>
            <w:r w:rsidRPr="00BA47B4">
              <w:rPr>
                <w:sz w:val="12"/>
                <w:szCs w:val="12"/>
                <w:lang w:val="fr-BE"/>
              </w:rPr>
              <w:t xml:space="preserve"> </w:t>
            </w:r>
          </w:p>
        </w:tc>
        <w:tc>
          <w:tcPr>
            <w:tcW w:w="0" w:type="auto"/>
            <w:shd w:val="clear" w:color="auto" w:fill="auto"/>
          </w:tcPr>
          <w:p w14:paraId="060CD12E" w14:textId="77777777" w:rsidR="008C5CFA" w:rsidRPr="00BA47B4" w:rsidRDefault="008C5CFA" w:rsidP="00300A01">
            <w:pPr>
              <w:spacing w:before="0" w:after="0"/>
              <w:jc w:val="center"/>
              <w:rPr>
                <w:sz w:val="12"/>
                <w:szCs w:val="12"/>
                <w:lang w:val="fr-BE"/>
              </w:rPr>
            </w:pPr>
          </w:p>
        </w:tc>
        <w:tc>
          <w:tcPr>
            <w:tcW w:w="0" w:type="auto"/>
            <w:shd w:val="clear" w:color="auto" w:fill="auto"/>
          </w:tcPr>
          <w:p w14:paraId="34C17E85" w14:textId="77777777" w:rsidR="008C5CFA" w:rsidRPr="00BA47B4" w:rsidRDefault="008C5CFA" w:rsidP="00300A01">
            <w:pPr>
              <w:spacing w:before="0" w:after="0"/>
              <w:jc w:val="right"/>
              <w:rPr>
                <w:sz w:val="12"/>
                <w:szCs w:val="12"/>
                <w:lang w:val="fr-BE"/>
              </w:rPr>
            </w:pPr>
          </w:p>
        </w:tc>
        <w:tc>
          <w:tcPr>
            <w:tcW w:w="0" w:type="auto"/>
            <w:shd w:val="clear" w:color="auto" w:fill="auto"/>
          </w:tcPr>
          <w:p w14:paraId="7E1F7F9E" w14:textId="77777777" w:rsidR="008C5CFA" w:rsidRPr="00BA47B4" w:rsidRDefault="008C5CFA" w:rsidP="00300A01">
            <w:pPr>
              <w:spacing w:before="0" w:after="0"/>
              <w:jc w:val="right"/>
              <w:rPr>
                <w:sz w:val="12"/>
                <w:szCs w:val="12"/>
                <w:lang w:val="fr-BE"/>
              </w:rPr>
            </w:pPr>
          </w:p>
        </w:tc>
        <w:tc>
          <w:tcPr>
            <w:tcW w:w="0" w:type="auto"/>
            <w:shd w:val="clear" w:color="auto" w:fill="auto"/>
          </w:tcPr>
          <w:p w14:paraId="196FBF4C" w14:textId="77777777" w:rsidR="008C5CFA" w:rsidRPr="00BA47B4" w:rsidRDefault="008C5CFA" w:rsidP="00300A01">
            <w:pPr>
              <w:spacing w:before="0" w:after="0"/>
              <w:jc w:val="right"/>
              <w:rPr>
                <w:sz w:val="12"/>
                <w:szCs w:val="12"/>
                <w:lang w:val="fr-BE"/>
              </w:rPr>
            </w:pPr>
          </w:p>
        </w:tc>
        <w:tc>
          <w:tcPr>
            <w:tcW w:w="0" w:type="auto"/>
            <w:shd w:val="clear" w:color="auto" w:fill="auto"/>
          </w:tcPr>
          <w:p w14:paraId="6F0A737D" w14:textId="77777777" w:rsidR="008C5CFA" w:rsidRPr="00BA47B4" w:rsidRDefault="00E82A60" w:rsidP="00300A01">
            <w:pPr>
              <w:spacing w:before="0" w:after="0"/>
              <w:jc w:val="right"/>
              <w:rPr>
                <w:sz w:val="12"/>
                <w:szCs w:val="12"/>
                <w:lang w:val="fr-BE"/>
              </w:rPr>
            </w:pPr>
            <w:r w:rsidRPr="00BA47B4">
              <w:rPr>
                <w:noProof/>
                <w:sz w:val="12"/>
                <w:szCs w:val="12"/>
                <w:lang w:val="fr-BE"/>
              </w:rPr>
              <w:t>1 480,00</w:t>
            </w:r>
          </w:p>
        </w:tc>
        <w:tc>
          <w:tcPr>
            <w:tcW w:w="0" w:type="auto"/>
            <w:shd w:val="clear" w:color="auto" w:fill="auto"/>
          </w:tcPr>
          <w:p w14:paraId="7EFD7B0B" w14:textId="77777777" w:rsidR="008C5CFA" w:rsidRPr="00BA47B4" w:rsidRDefault="00E82A60" w:rsidP="00300A01">
            <w:pPr>
              <w:spacing w:before="0" w:after="0"/>
              <w:jc w:val="right"/>
              <w:rPr>
                <w:sz w:val="12"/>
                <w:szCs w:val="12"/>
                <w:lang w:val="fr-BE"/>
              </w:rPr>
            </w:pPr>
            <w:r w:rsidRPr="00BA47B4">
              <w:rPr>
                <w:noProof/>
                <w:sz w:val="12"/>
                <w:szCs w:val="12"/>
                <w:lang w:val="fr-BE"/>
              </w:rPr>
              <w:t>719,00</w:t>
            </w:r>
          </w:p>
        </w:tc>
        <w:tc>
          <w:tcPr>
            <w:tcW w:w="0" w:type="auto"/>
            <w:shd w:val="clear" w:color="auto" w:fill="auto"/>
          </w:tcPr>
          <w:p w14:paraId="5D663FEB" w14:textId="77777777" w:rsidR="008C5CFA" w:rsidRPr="00BA47B4" w:rsidRDefault="00E82A60" w:rsidP="00300A01">
            <w:pPr>
              <w:spacing w:before="0" w:after="0"/>
              <w:jc w:val="right"/>
              <w:rPr>
                <w:sz w:val="12"/>
                <w:szCs w:val="12"/>
                <w:lang w:val="fr-BE"/>
              </w:rPr>
            </w:pPr>
            <w:r w:rsidRPr="00BA47B4">
              <w:rPr>
                <w:noProof/>
                <w:sz w:val="12"/>
                <w:szCs w:val="12"/>
                <w:lang w:val="fr-BE"/>
              </w:rPr>
              <w:t>761,00</w:t>
            </w:r>
          </w:p>
        </w:tc>
        <w:tc>
          <w:tcPr>
            <w:tcW w:w="0" w:type="auto"/>
            <w:shd w:val="clear" w:color="auto" w:fill="auto"/>
          </w:tcPr>
          <w:p w14:paraId="36AEFC01" w14:textId="77777777" w:rsidR="008C5CFA" w:rsidRPr="00BA47B4" w:rsidRDefault="008C5CFA" w:rsidP="00300A01">
            <w:pPr>
              <w:spacing w:before="0" w:after="0"/>
              <w:jc w:val="right"/>
              <w:rPr>
                <w:sz w:val="12"/>
                <w:szCs w:val="12"/>
                <w:lang w:val="fr-BE"/>
              </w:rPr>
            </w:pPr>
          </w:p>
        </w:tc>
        <w:tc>
          <w:tcPr>
            <w:tcW w:w="0" w:type="auto"/>
            <w:shd w:val="clear" w:color="auto" w:fill="auto"/>
          </w:tcPr>
          <w:p w14:paraId="72067FD6" w14:textId="77777777" w:rsidR="008C5CFA" w:rsidRPr="00BA47B4" w:rsidRDefault="008C5CFA" w:rsidP="00300A01">
            <w:pPr>
              <w:spacing w:before="0" w:after="0"/>
              <w:jc w:val="right"/>
              <w:rPr>
                <w:sz w:val="12"/>
                <w:szCs w:val="12"/>
                <w:lang w:val="fr-BE"/>
              </w:rPr>
            </w:pPr>
          </w:p>
        </w:tc>
        <w:tc>
          <w:tcPr>
            <w:tcW w:w="0" w:type="auto"/>
            <w:shd w:val="clear" w:color="auto" w:fill="auto"/>
          </w:tcPr>
          <w:p w14:paraId="7E632DE6" w14:textId="77777777" w:rsidR="008C5CFA" w:rsidRPr="00BA47B4" w:rsidRDefault="008C5CFA" w:rsidP="00300A01">
            <w:pPr>
              <w:spacing w:before="0" w:after="0"/>
              <w:jc w:val="right"/>
              <w:rPr>
                <w:sz w:val="12"/>
                <w:szCs w:val="12"/>
                <w:lang w:val="fr-BE"/>
              </w:rPr>
            </w:pPr>
          </w:p>
        </w:tc>
        <w:tc>
          <w:tcPr>
            <w:tcW w:w="0" w:type="auto"/>
            <w:shd w:val="clear" w:color="auto" w:fill="auto"/>
          </w:tcPr>
          <w:p w14:paraId="3DE4C5D1" w14:textId="77777777" w:rsidR="008C5CFA" w:rsidRPr="00BA47B4" w:rsidRDefault="00E82A60" w:rsidP="00300A01">
            <w:pPr>
              <w:spacing w:before="0" w:after="0"/>
              <w:jc w:val="right"/>
              <w:rPr>
                <w:sz w:val="12"/>
                <w:szCs w:val="12"/>
                <w:lang w:val="fr-BE"/>
              </w:rPr>
            </w:pPr>
            <w:r w:rsidRPr="00BA47B4">
              <w:rPr>
                <w:noProof/>
                <w:sz w:val="12"/>
                <w:szCs w:val="12"/>
                <w:lang w:val="fr-BE"/>
              </w:rPr>
              <w:t>240,00</w:t>
            </w:r>
          </w:p>
        </w:tc>
        <w:tc>
          <w:tcPr>
            <w:tcW w:w="0" w:type="auto"/>
            <w:shd w:val="clear" w:color="auto" w:fill="auto"/>
          </w:tcPr>
          <w:p w14:paraId="0C85C71C" w14:textId="77777777" w:rsidR="008C5CFA" w:rsidRPr="00BA47B4" w:rsidRDefault="00E82A60" w:rsidP="00300A01">
            <w:pPr>
              <w:spacing w:before="0" w:after="0"/>
              <w:jc w:val="right"/>
              <w:rPr>
                <w:sz w:val="12"/>
                <w:szCs w:val="12"/>
                <w:lang w:val="fr-BE"/>
              </w:rPr>
            </w:pPr>
            <w:r w:rsidRPr="00BA47B4">
              <w:rPr>
                <w:noProof/>
                <w:sz w:val="12"/>
                <w:szCs w:val="12"/>
                <w:lang w:val="fr-BE"/>
              </w:rPr>
              <w:t>213,00</w:t>
            </w:r>
          </w:p>
        </w:tc>
      </w:tr>
      <w:tr w:rsidR="006B2EC1" w14:paraId="7C5D0323" w14:textId="77777777" w:rsidTr="0047688D">
        <w:tc>
          <w:tcPr>
            <w:tcW w:w="0" w:type="auto"/>
            <w:shd w:val="clear" w:color="auto" w:fill="auto"/>
          </w:tcPr>
          <w:p w14:paraId="03638BAE" w14:textId="77777777" w:rsidR="008C5CFA" w:rsidRPr="00BA47B4" w:rsidRDefault="00E82A60" w:rsidP="00300A01">
            <w:pPr>
              <w:spacing w:before="0" w:after="0"/>
              <w:rPr>
                <w:sz w:val="12"/>
                <w:szCs w:val="12"/>
                <w:lang w:val="fr-BE"/>
              </w:rPr>
            </w:pPr>
            <w:r w:rsidRPr="00BA47B4">
              <w:rPr>
                <w:noProof/>
                <w:sz w:val="12"/>
                <w:szCs w:val="12"/>
                <w:lang w:val="fr-BE"/>
              </w:rPr>
              <w:t>CR05</w:t>
            </w:r>
          </w:p>
        </w:tc>
        <w:tc>
          <w:tcPr>
            <w:tcW w:w="0" w:type="auto"/>
            <w:shd w:val="clear" w:color="auto" w:fill="auto"/>
          </w:tcPr>
          <w:p w14:paraId="1CF2476A" w14:textId="77777777" w:rsidR="008C5CFA" w:rsidRPr="00BA47B4" w:rsidRDefault="00E82A60" w:rsidP="00300A01">
            <w:pPr>
              <w:spacing w:before="0" w:after="0"/>
              <w:rPr>
                <w:sz w:val="12"/>
                <w:szCs w:val="12"/>
                <w:lang w:val="fr-BE"/>
              </w:rPr>
            </w:pPr>
            <w:r w:rsidRPr="00BA47B4">
              <w:rPr>
                <w:noProof/>
                <w:sz w:val="12"/>
                <w:szCs w:val="12"/>
                <w:lang w:val="fr-BE"/>
              </w:rPr>
              <w:t>uczestnicy w niekorzystnej sytuacji społecznej poszukujący pracy, uczestniczący w kształceniu lub szkoleniu, zdobywający kwalifikacje lub pracujący (łącznie z prowadzącymi działalność na własny rachunek) po opuszczeniu programu</w:t>
            </w:r>
          </w:p>
        </w:tc>
        <w:tc>
          <w:tcPr>
            <w:tcW w:w="0" w:type="auto"/>
            <w:shd w:val="clear" w:color="auto" w:fill="auto"/>
          </w:tcPr>
          <w:p w14:paraId="15AA76A2" w14:textId="77777777" w:rsidR="008C5CFA" w:rsidRPr="00BA47B4" w:rsidRDefault="00E82A60" w:rsidP="00300A01">
            <w:pPr>
              <w:spacing w:before="0" w:after="0"/>
              <w:rPr>
                <w:sz w:val="12"/>
                <w:szCs w:val="12"/>
                <w:lang w:val="fr-BE"/>
              </w:rPr>
            </w:pPr>
            <w:r w:rsidRPr="00BA47B4">
              <w:rPr>
                <w:noProof/>
                <w:sz w:val="12"/>
                <w:szCs w:val="12"/>
                <w:lang w:val="fr-BE"/>
              </w:rPr>
              <w:t>Słabiej rozwinięte</w:t>
            </w:r>
          </w:p>
        </w:tc>
        <w:tc>
          <w:tcPr>
            <w:tcW w:w="0" w:type="auto"/>
            <w:shd w:val="clear" w:color="auto" w:fill="auto"/>
          </w:tcPr>
          <w:p w14:paraId="4795D3DE" w14:textId="77777777" w:rsidR="008C5CFA" w:rsidRPr="00BA47B4" w:rsidRDefault="00E82A60" w:rsidP="00300A01">
            <w:pPr>
              <w:spacing w:before="0" w:after="0"/>
              <w:rPr>
                <w:sz w:val="12"/>
                <w:szCs w:val="12"/>
                <w:lang w:val="fr-BE"/>
              </w:rPr>
            </w:pPr>
            <w:r w:rsidRPr="00BA47B4">
              <w:rPr>
                <w:sz w:val="12"/>
                <w:szCs w:val="12"/>
                <w:lang w:val="fr-BE"/>
              </w:rPr>
              <w:t xml:space="preserve"> </w:t>
            </w:r>
          </w:p>
        </w:tc>
        <w:tc>
          <w:tcPr>
            <w:tcW w:w="0" w:type="auto"/>
            <w:shd w:val="clear" w:color="auto" w:fill="auto"/>
          </w:tcPr>
          <w:p w14:paraId="59EDD7E2" w14:textId="77777777" w:rsidR="008C5CFA" w:rsidRPr="00BA47B4" w:rsidRDefault="008C5CFA" w:rsidP="00300A01">
            <w:pPr>
              <w:spacing w:before="0" w:after="0"/>
              <w:jc w:val="center"/>
              <w:rPr>
                <w:sz w:val="12"/>
                <w:szCs w:val="12"/>
                <w:lang w:val="fr-BE"/>
              </w:rPr>
            </w:pPr>
          </w:p>
        </w:tc>
        <w:tc>
          <w:tcPr>
            <w:tcW w:w="0" w:type="auto"/>
            <w:shd w:val="clear" w:color="auto" w:fill="auto"/>
          </w:tcPr>
          <w:p w14:paraId="147FCE5F" w14:textId="77777777" w:rsidR="008C5CFA" w:rsidRPr="00BA47B4" w:rsidRDefault="008C5CFA" w:rsidP="00300A01">
            <w:pPr>
              <w:spacing w:before="0" w:after="0"/>
              <w:jc w:val="right"/>
              <w:rPr>
                <w:sz w:val="12"/>
                <w:szCs w:val="12"/>
                <w:lang w:val="fr-BE"/>
              </w:rPr>
            </w:pPr>
          </w:p>
        </w:tc>
        <w:tc>
          <w:tcPr>
            <w:tcW w:w="0" w:type="auto"/>
            <w:shd w:val="clear" w:color="auto" w:fill="auto"/>
          </w:tcPr>
          <w:p w14:paraId="061CE11E" w14:textId="77777777" w:rsidR="008C5CFA" w:rsidRPr="00BA47B4" w:rsidRDefault="008C5CFA" w:rsidP="00300A01">
            <w:pPr>
              <w:spacing w:before="0" w:after="0"/>
              <w:jc w:val="right"/>
              <w:rPr>
                <w:sz w:val="12"/>
                <w:szCs w:val="12"/>
                <w:lang w:val="fr-BE"/>
              </w:rPr>
            </w:pPr>
          </w:p>
        </w:tc>
        <w:tc>
          <w:tcPr>
            <w:tcW w:w="0" w:type="auto"/>
            <w:shd w:val="clear" w:color="auto" w:fill="auto"/>
          </w:tcPr>
          <w:p w14:paraId="1CF4DDC5" w14:textId="77777777" w:rsidR="008C5CFA" w:rsidRPr="00BA47B4" w:rsidRDefault="008C5CFA" w:rsidP="00300A01">
            <w:pPr>
              <w:spacing w:before="0" w:after="0"/>
              <w:jc w:val="right"/>
              <w:rPr>
                <w:sz w:val="12"/>
                <w:szCs w:val="12"/>
                <w:lang w:val="fr-BE"/>
              </w:rPr>
            </w:pPr>
          </w:p>
        </w:tc>
        <w:tc>
          <w:tcPr>
            <w:tcW w:w="0" w:type="auto"/>
            <w:shd w:val="clear" w:color="auto" w:fill="auto"/>
          </w:tcPr>
          <w:p w14:paraId="78EC85EF" w14:textId="77777777" w:rsidR="008C5CFA" w:rsidRPr="00BA47B4" w:rsidRDefault="00E82A60" w:rsidP="00300A01">
            <w:pPr>
              <w:spacing w:before="0" w:after="0"/>
              <w:jc w:val="right"/>
              <w:rPr>
                <w:sz w:val="12"/>
                <w:szCs w:val="12"/>
                <w:lang w:val="fr-BE"/>
              </w:rPr>
            </w:pPr>
            <w:r w:rsidRPr="00BA47B4">
              <w:rPr>
                <w:noProof/>
                <w:sz w:val="12"/>
                <w:szCs w:val="12"/>
                <w:lang w:val="fr-BE"/>
              </w:rPr>
              <w:t>1 075,00</w:t>
            </w:r>
          </w:p>
        </w:tc>
        <w:tc>
          <w:tcPr>
            <w:tcW w:w="0" w:type="auto"/>
            <w:shd w:val="clear" w:color="auto" w:fill="auto"/>
          </w:tcPr>
          <w:p w14:paraId="24DB2AF2" w14:textId="77777777" w:rsidR="008C5CFA" w:rsidRPr="00BA47B4" w:rsidRDefault="00E82A60" w:rsidP="00300A01">
            <w:pPr>
              <w:spacing w:before="0" w:after="0"/>
              <w:jc w:val="right"/>
              <w:rPr>
                <w:sz w:val="12"/>
                <w:szCs w:val="12"/>
                <w:lang w:val="fr-BE"/>
              </w:rPr>
            </w:pPr>
            <w:r w:rsidRPr="00BA47B4">
              <w:rPr>
                <w:noProof/>
                <w:sz w:val="12"/>
                <w:szCs w:val="12"/>
                <w:lang w:val="fr-BE"/>
              </w:rPr>
              <w:t>541,00</w:t>
            </w:r>
          </w:p>
        </w:tc>
        <w:tc>
          <w:tcPr>
            <w:tcW w:w="0" w:type="auto"/>
            <w:shd w:val="clear" w:color="auto" w:fill="auto"/>
          </w:tcPr>
          <w:p w14:paraId="070B48FB" w14:textId="77777777" w:rsidR="008C5CFA" w:rsidRPr="00BA47B4" w:rsidRDefault="00E82A60" w:rsidP="00300A01">
            <w:pPr>
              <w:spacing w:before="0" w:after="0"/>
              <w:jc w:val="right"/>
              <w:rPr>
                <w:sz w:val="12"/>
                <w:szCs w:val="12"/>
                <w:lang w:val="fr-BE"/>
              </w:rPr>
            </w:pPr>
            <w:r w:rsidRPr="00BA47B4">
              <w:rPr>
                <w:noProof/>
                <w:sz w:val="12"/>
                <w:szCs w:val="12"/>
                <w:lang w:val="fr-BE"/>
              </w:rPr>
              <w:t>534,00</w:t>
            </w:r>
          </w:p>
        </w:tc>
        <w:tc>
          <w:tcPr>
            <w:tcW w:w="0" w:type="auto"/>
            <w:shd w:val="clear" w:color="auto" w:fill="auto"/>
          </w:tcPr>
          <w:p w14:paraId="56FB6819" w14:textId="77777777" w:rsidR="008C5CFA" w:rsidRPr="00BA47B4" w:rsidRDefault="008C5CFA" w:rsidP="00300A01">
            <w:pPr>
              <w:spacing w:before="0" w:after="0"/>
              <w:jc w:val="right"/>
              <w:rPr>
                <w:sz w:val="12"/>
                <w:szCs w:val="12"/>
                <w:lang w:val="fr-BE"/>
              </w:rPr>
            </w:pPr>
          </w:p>
        </w:tc>
        <w:tc>
          <w:tcPr>
            <w:tcW w:w="0" w:type="auto"/>
            <w:shd w:val="clear" w:color="auto" w:fill="auto"/>
          </w:tcPr>
          <w:p w14:paraId="05D579A7" w14:textId="77777777" w:rsidR="008C5CFA" w:rsidRPr="00BA47B4" w:rsidRDefault="008C5CFA" w:rsidP="00300A01">
            <w:pPr>
              <w:spacing w:before="0" w:after="0"/>
              <w:jc w:val="right"/>
              <w:rPr>
                <w:sz w:val="12"/>
                <w:szCs w:val="12"/>
                <w:lang w:val="fr-BE"/>
              </w:rPr>
            </w:pPr>
          </w:p>
        </w:tc>
        <w:tc>
          <w:tcPr>
            <w:tcW w:w="0" w:type="auto"/>
            <w:shd w:val="clear" w:color="auto" w:fill="auto"/>
          </w:tcPr>
          <w:p w14:paraId="69A8A4BA" w14:textId="77777777" w:rsidR="008C5CFA" w:rsidRPr="00BA47B4" w:rsidRDefault="008C5CFA" w:rsidP="00300A01">
            <w:pPr>
              <w:spacing w:before="0" w:after="0"/>
              <w:jc w:val="right"/>
              <w:rPr>
                <w:sz w:val="12"/>
                <w:szCs w:val="12"/>
                <w:lang w:val="fr-BE"/>
              </w:rPr>
            </w:pPr>
          </w:p>
        </w:tc>
        <w:tc>
          <w:tcPr>
            <w:tcW w:w="0" w:type="auto"/>
            <w:shd w:val="clear" w:color="auto" w:fill="auto"/>
          </w:tcPr>
          <w:p w14:paraId="05C46218" w14:textId="77777777" w:rsidR="008C5CFA" w:rsidRPr="00BA47B4" w:rsidRDefault="00E82A60" w:rsidP="00300A01">
            <w:pPr>
              <w:spacing w:before="0" w:after="0"/>
              <w:jc w:val="right"/>
              <w:rPr>
                <w:sz w:val="12"/>
                <w:szCs w:val="12"/>
                <w:lang w:val="fr-BE"/>
              </w:rPr>
            </w:pPr>
            <w:r w:rsidRPr="00BA47B4">
              <w:rPr>
                <w:noProof/>
                <w:sz w:val="12"/>
                <w:szCs w:val="12"/>
                <w:lang w:val="fr-BE"/>
              </w:rPr>
              <w:t>193,00</w:t>
            </w:r>
          </w:p>
        </w:tc>
        <w:tc>
          <w:tcPr>
            <w:tcW w:w="0" w:type="auto"/>
            <w:shd w:val="clear" w:color="auto" w:fill="auto"/>
          </w:tcPr>
          <w:p w14:paraId="59F3E31F" w14:textId="77777777" w:rsidR="008C5CFA" w:rsidRPr="00BA47B4" w:rsidRDefault="00E82A60" w:rsidP="00300A01">
            <w:pPr>
              <w:spacing w:before="0" w:after="0"/>
              <w:jc w:val="right"/>
              <w:rPr>
                <w:sz w:val="12"/>
                <w:szCs w:val="12"/>
                <w:lang w:val="fr-BE"/>
              </w:rPr>
            </w:pPr>
            <w:r w:rsidRPr="00BA47B4">
              <w:rPr>
                <w:noProof/>
                <w:sz w:val="12"/>
                <w:szCs w:val="12"/>
                <w:lang w:val="fr-BE"/>
              </w:rPr>
              <w:t>159,00</w:t>
            </w:r>
          </w:p>
        </w:tc>
      </w:tr>
      <w:tr w:rsidR="006B2EC1" w14:paraId="3B41F325" w14:textId="77777777" w:rsidTr="0047688D">
        <w:tc>
          <w:tcPr>
            <w:tcW w:w="0" w:type="auto"/>
            <w:shd w:val="clear" w:color="auto" w:fill="auto"/>
          </w:tcPr>
          <w:p w14:paraId="174E3E9E" w14:textId="77777777" w:rsidR="008C5CFA" w:rsidRPr="00BA47B4" w:rsidRDefault="00E82A60" w:rsidP="00300A01">
            <w:pPr>
              <w:spacing w:before="0" w:after="0"/>
              <w:rPr>
                <w:sz w:val="12"/>
                <w:szCs w:val="12"/>
                <w:lang w:val="fr-BE"/>
              </w:rPr>
            </w:pPr>
            <w:r w:rsidRPr="00BA47B4">
              <w:rPr>
                <w:noProof/>
                <w:sz w:val="12"/>
                <w:szCs w:val="12"/>
                <w:lang w:val="fr-BE"/>
              </w:rPr>
              <w:t>CR06</w:t>
            </w:r>
          </w:p>
        </w:tc>
        <w:tc>
          <w:tcPr>
            <w:tcW w:w="0" w:type="auto"/>
            <w:shd w:val="clear" w:color="auto" w:fill="auto"/>
          </w:tcPr>
          <w:p w14:paraId="2FC4F244" w14:textId="77777777" w:rsidR="008C5CFA" w:rsidRPr="00BA47B4" w:rsidRDefault="00E82A60" w:rsidP="00300A01">
            <w:pPr>
              <w:spacing w:before="0" w:after="0"/>
              <w:rPr>
                <w:sz w:val="12"/>
                <w:szCs w:val="12"/>
                <w:lang w:val="fr-BE"/>
              </w:rPr>
            </w:pPr>
            <w:r w:rsidRPr="00BA47B4">
              <w:rPr>
                <w:noProof/>
                <w:sz w:val="12"/>
                <w:szCs w:val="12"/>
                <w:lang w:val="fr-BE"/>
              </w:rPr>
              <w:t>uczestnicy pracujący, łącznie z prowadzącymi działalność na własny rachunek, sześć miesięcy po opuszczeniu programu</w:t>
            </w:r>
          </w:p>
        </w:tc>
        <w:tc>
          <w:tcPr>
            <w:tcW w:w="0" w:type="auto"/>
            <w:shd w:val="clear" w:color="auto" w:fill="auto"/>
          </w:tcPr>
          <w:p w14:paraId="318EDD64" w14:textId="77777777" w:rsidR="008C5CFA" w:rsidRPr="00BA47B4" w:rsidRDefault="00E82A60" w:rsidP="00300A01">
            <w:pPr>
              <w:spacing w:before="0" w:after="0"/>
              <w:rPr>
                <w:sz w:val="12"/>
                <w:szCs w:val="12"/>
                <w:lang w:val="fr-BE"/>
              </w:rPr>
            </w:pPr>
            <w:r w:rsidRPr="00BA47B4">
              <w:rPr>
                <w:noProof/>
                <w:sz w:val="12"/>
                <w:szCs w:val="12"/>
                <w:lang w:val="fr-BE"/>
              </w:rPr>
              <w:t>Słabiej rozwinięte</w:t>
            </w:r>
          </w:p>
        </w:tc>
        <w:tc>
          <w:tcPr>
            <w:tcW w:w="0" w:type="auto"/>
            <w:shd w:val="clear" w:color="auto" w:fill="auto"/>
          </w:tcPr>
          <w:p w14:paraId="50D01221" w14:textId="77777777" w:rsidR="008C5CFA" w:rsidRPr="00BA47B4" w:rsidRDefault="00E82A60" w:rsidP="00300A01">
            <w:pPr>
              <w:spacing w:before="0" w:after="0"/>
              <w:rPr>
                <w:sz w:val="12"/>
                <w:szCs w:val="12"/>
                <w:lang w:val="fr-BE"/>
              </w:rPr>
            </w:pPr>
            <w:r w:rsidRPr="00BA47B4">
              <w:rPr>
                <w:sz w:val="12"/>
                <w:szCs w:val="12"/>
                <w:lang w:val="fr-BE"/>
              </w:rPr>
              <w:t xml:space="preserve"> </w:t>
            </w:r>
          </w:p>
        </w:tc>
        <w:tc>
          <w:tcPr>
            <w:tcW w:w="0" w:type="auto"/>
            <w:shd w:val="clear" w:color="auto" w:fill="auto"/>
          </w:tcPr>
          <w:p w14:paraId="59545CCB" w14:textId="77777777" w:rsidR="008C5CFA" w:rsidRPr="00BA47B4" w:rsidRDefault="008C5CFA" w:rsidP="00300A01">
            <w:pPr>
              <w:spacing w:before="0" w:after="0"/>
              <w:jc w:val="center"/>
              <w:rPr>
                <w:sz w:val="12"/>
                <w:szCs w:val="12"/>
                <w:lang w:val="fr-BE"/>
              </w:rPr>
            </w:pPr>
          </w:p>
        </w:tc>
        <w:tc>
          <w:tcPr>
            <w:tcW w:w="0" w:type="auto"/>
            <w:shd w:val="clear" w:color="auto" w:fill="auto"/>
          </w:tcPr>
          <w:p w14:paraId="1478CBAA" w14:textId="77777777" w:rsidR="008C5CFA" w:rsidRPr="00BA47B4" w:rsidRDefault="008C5CFA" w:rsidP="00300A01">
            <w:pPr>
              <w:spacing w:before="0" w:after="0"/>
              <w:jc w:val="right"/>
              <w:rPr>
                <w:sz w:val="12"/>
                <w:szCs w:val="12"/>
                <w:lang w:val="fr-BE"/>
              </w:rPr>
            </w:pPr>
          </w:p>
        </w:tc>
        <w:tc>
          <w:tcPr>
            <w:tcW w:w="0" w:type="auto"/>
            <w:shd w:val="clear" w:color="auto" w:fill="auto"/>
          </w:tcPr>
          <w:p w14:paraId="7929EC28" w14:textId="77777777" w:rsidR="008C5CFA" w:rsidRPr="00BA47B4" w:rsidRDefault="008C5CFA" w:rsidP="00300A01">
            <w:pPr>
              <w:spacing w:before="0" w:after="0"/>
              <w:jc w:val="right"/>
              <w:rPr>
                <w:sz w:val="12"/>
                <w:szCs w:val="12"/>
                <w:lang w:val="fr-BE"/>
              </w:rPr>
            </w:pPr>
          </w:p>
        </w:tc>
        <w:tc>
          <w:tcPr>
            <w:tcW w:w="0" w:type="auto"/>
            <w:shd w:val="clear" w:color="auto" w:fill="auto"/>
          </w:tcPr>
          <w:p w14:paraId="5855AB99" w14:textId="77777777" w:rsidR="008C5CFA" w:rsidRPr="00BA47B4" w:rsidRDefault="008C5CFA" w:rsidP="00300A01">
            <w:pPr>
              <w:spacing w:before="0" w:after="0"/>
              <w:jc w:val="right"/>
              <w:rPr>
                <w:sz w:val="12"/>
                <w:szCs w:val="12"/>
                <w:lang w:val="fr-BE"/>
              </w:rPr>
            </w:pPr>
          </w:p>
        </w:tc>
        <w:tc>
          <w:tcPr>
            <w:tcW w:w="0" w:type="auto"/>
            <w:shd w:val="clear" w:color="auto" w:fill="auto"/>
          </w:tcPr>
          <w:p w14:paraId="69A4EA2A" w14:textId="77777777" w:rsidR="008C5CFA" w:rsidRPr="00BA47B4" w:rsidRDefault="00E82A60" w:rsidP="00300A01">
            <w:pPr>
              <w:spacing w:before="0" w:after="0"/>
              <w:jc w:val="right"/>
              <w:rPr>
                <w:sz w:val="12"/>
                <w:szCs w:val="12"/>
                <w:lang w:val="fr-BE"/>
              </w:rPr>
            </w:pPr>
            <w:r w:rsidRPr="00BA47B4">
              <w:rPr>
                <w:noProof/>
                <w:sz w:val="12"/>
                <w:szCs w:val="12"/>
                <w:lang w:val="fr-BE"/>
              </w:rPr>
              <w:t>2 625,00</w:t>
            </w:r>
          </w:p>
        </w:tc>
        <w:tc>
          <w:tcPr>
            <w:tcW w:w="0" w:type="auto"/>
            <w:shd w:val="clear" w:color="auto" w:fill="auto"/>
          </w:tcPr>
          <w:p w14:paraId="76B84870" w14:textId="77777777" w:rsidR="008C5CFA" w:rsidRPr="00BA47B4" w:rsidRDefault="00E82A60" w:rsidP="00300A01">
            <w:pPr>
              <w:spacing w:before="0" w:after="0"/>
              <w:jc w:val="right"/>
              <w:rPr>
                <w:sz w:val="12"/>
                <w:szCs w:val="12"/>
                <w:lang w:val="fr-BE"/>
              </w:rPr>
            </w:pPr>
            <w:r w:rsidRPr="00BA47B4">
              <w:rPr>
                <w:noProof/>
                <w:sz w:val="12"/>
                <w:szCs w:val="12"/>
                <w:lang w:val="fr-BE"/>
              </w:rPr>
              <w:t>1 259,00</w:t>
            </w:r>
          </w:p>
        </w:tc>
        <w:tc>
          <w:tcPr>
            <w:tcW w:w="0" w:type="auto"/>
            <w:shd w:val="clear" w:color="auto" w:fill="auto"/>
          </w:tcPr>
          <w:p w14:paraId="16BFE235" w14:textId="77777777" w:rsidR="008C5CFA" w:rsidRPr="00BA47B4" w:rsidRDefault="00E82A60" w:rsidP="00300A01">
            <w:pPr>
              <w:spacing w:before="0" w:after="0"/>
              <w:jc w:val="right"/>
              <w:rPr>
                <w:sz w:val="12"/>
                <w:szCs w:val="12"/>
                <w:lang w:val="fr-BE"/>
              </w:rPr>
            </w:pPr>
            <w:r w:rsidRPr="00BA47B4">
              <w:rPr>
                <w:noProof/>
                <w:sz w:val="12"/>
                <w:szCs w:val="12"/>
                <w:lang w:val="fr-BE"/>
              </w:rPr>
              <w:t>1 366,00</w:t>
            </w:r>
          </w:p>
        </w:tc>
        <w:tc>
          <w:tcPr>
            <w:tcW w:w="0" w:type="auto"/>
            <w:shd w:val="clear" w:color="auto" w:fill="auto"/>
          </w:tcPr>
          <w:p w14:paraId="5A55C5EC" w14:textId="77777777" w:rsidR="008C5CFA" w:rsidRPr="00BA47B4" w:rsidRDefault="008C5CFA" w:rsidP="00300A01">
            <w:pPr>
              <w:spacing w:before="0" w:after="0"/>
              <w:jc w:val="right"/>
              <w:rPr>
                <w:sz w:val="12"/>
                <w:szCs w:val="12"/>
                <w:lang w:val="fr-BE"/>
              </w:rPr>
            </w:pPr>
          </w:p>
        </w:tc>
        <w:tc>
          <w:tcPr>
            <w:tcW w:w="0" w:type="auto"/>
            <w:shd w:val="clear" w:color="auto" w:fill="auto"/>
          </w:tcPr>
          <w:p w14:paraId="2796D131" w14:textId="77777777" w:rsidR="008C5CFA" w:rsidRPr="00BA47B4" w:rsidRDefault="008C5CFA" w:rsidP="00300A01">
            <w:pPr>
              <w:spacing w:before="0" w:after="0"/>
              <w:jc w:val="right"/>
              <w:rPr>
                <w:sz w:val="12"/>
                <w:szCs w:val="12"/>
                <w:lang w:val="fr-BE"/>
              </w:rPr>
            </w:pPr>
          </w:p>
        </w:tc>
        <w:tc>
          <w:tcPr>
            <w:tcW w:w="0" w:type="auto"/>
            <w:shd w:val="clear" w:color="auto" w:fill="auto"/>
          </w:tcPr>
          <w:p w14:paraId="5FE41233" w14:textId="77777777" w:rsidR="008C5CFA" w:rsidRPr="00BA47B4" w:rsidRDefault="008C5CFA" w:rsidP="00300A01">
            <w:pPr>
              <w:spacing w:before="0" w:after="0"/>
              <w:jc w:val="right"/>
              <w:rPr>
                <w:sz w:val="12"/>
                <w:szCs w:val="12"/>
                <w:lang w:val="fr-BE"/>
              </w:rPr>
            </w:pPr>
          </w:p>
        </w:tc>
        <w:tc>
          <w:tcPr>
            <w:tcW w:w="0" w:type="auto"/>
            <w:shd w:val="clear" w:color="auto" w:fill="auto"/>
          </w:tcPr>
          <w:p w14:paraId="4B9B20B8"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194305CB"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r>
      <w:tr w:rsidR="006B2EC1" w14:paraId="677F9047" w14:textId="77777777" w:rsidTr="0047688D">
        <w:tc>
          <w:tcPr>
            <w:tcW w:w="0" w:type="auto"/>
            <w:shd w:val="clear" w:color="auto" w:fill="auto"/>
          </w:tcPr>
          <w:p w14:paraId="6C19A755" w14:textId="77777777" w:rsidR="008C5CFA" w:rsidRPr="00BA47B4" w:rsidRDefault="00E82A60" w:rsidP="00300A01">
            <w:pPr>
              <w:spacing w:before="0" w:after="0"/>
              <w:rPr>
                <w:sz w:val="12"/>
                <w:szCs w:val="12"/>
                <w:lang w:val="fr-BE"/>
              </w:rPr>
            </w:pPr>
            <w:r w:rsidRPr="00BA47B4">
              <w:rPr>
                <w:noProof/>
                <w:sz w:val="12"/>
                <w:szCs w:val="12"/>
                <w:lang w:val="fr-BE"/>
              </w:rPr>
              <w:t>CR07</w:t>
            </w:r>
          </w:p>
        </w:tc>
        <w:tc>
          <w:tcPr>
            <w:tcW w:w="0" w:type="auto"/>
            <w:shd w:val="clear" w:color="auto" w:fill="auto"/>
          </w:tcPr>
          <w:p w14:paraId="2F35605D" w14:textId="77777777" w:rsidR="008C5CFA" w:rsidRPr="00BA47B4" w:rsidRDefault="00E82A60" w:rsidP="00300A01">
            <w:pPr>
              <w:spacing w:before="0" w:after="0"/>
              <w:rPr>
                <w:sz w:val="12"/>
                <w:szCs w:val="12"/>
                <w:lang w:val="fr-BE"/>
              </w:rPr>
            </w:pPr>
            <w:r w:rsidRPr="00BA47B4">
              <w:rPr>
                <w:noProof/>
                <w:sz w:val="12"/>
                <w:szCs w:val="12"/>
                <w:lang w:val="fr-BE"/>
              </w:rPr>
              <w:t>uczestnicy znajdujący się w lepszej sytuacji na rynku pracy sześć miesięcy po opuszczeniu programu</w:t>
            </w:r>
          </w:p>
        </w:tc>
        <w:tc>
          <w:tcPr>
            <w:tcW w:w="0" w:type="auto"/>
            <w:shd w:val="clear" w:color="auto" w:fill="auto"/>
          </w:tcPr>
          <w:p w14:paraId="2DBEAC9F" w14:textId="77777777" w:rsidR="008C5CFA" w:rsidRPr="00BA47B4" w:rsidRDefault="00E82A60" w:rsidP="00300A01">
            <w:pPr>
              <w:spacing w:before="0" w:after="0"/>
              <w:rPr>
                <w:sz w:val="12"/>
                <w:szCs w:val="12"/>
                <w:lang w:val="fr-BE"/>
              </w:rPr>
            </w:pPr>
            <w:r w:rsidRPr="00BA47B4">
              <w:rPr>
                <w:noProof/>
                <w:sz w:val="12"/>
                <w:szCs w:val="12"/>
                <w:lang w:val="fr-BE"/>
              </w:rPr>
              <w:t>Słabiej rozwinięte</w:t>
            </w:r>
          </w:p>
        </w:tc>
        <w:tc>
          <w:tcPr>
            <w:tcW w:w="0" w:type="auto"/>
            <w:shd w:val="clear" w:color="auto" w:fill="auto"/>
          </w:tcPr>
          <w:p w14:paraId="06F12BA1" w14:textId="77777777" w:rsidR="008C5CFA" w:rsidRPr="00BA47B4" w:rsidRDefault="00E82A60" w:rsidP="00300A01">
            <w:pPr>
              <w:spacing w:before="0" w:after="0"/>
              <w:rPr>
                <w:sz w:val="12"/>
                <w:szCs w:val="12"/>
                <w:lang w:val="fr-BE"/>
              </w:rPr>
            </w:pPr>
            <w:r w:rsidRPr="00BA47B4">
              <w:rPr>
                <w:sz w:val="12"/>
                <w:szCs w:val="12"/>
                <w:lang w:val="fr-BE"/>
              </w:rPr>
              <w:t xml:space="preserve"> </w:t>
            </w:r>
          </w:p>
        </w:tc>
        <w:tc>
          <w:tcPr>
            <w:tcW w:w="0" w:type="auto"/>
            <w:shd w:val="clear" w:color="auto" w:fill="auto"/>
          </w:tcPr>
          <w:p w14:paraId="6D23671F" w14:textId="77777777" w:rsidR="008C5CFA" w:rsidRPr="00BA47B4" w:rsidRDefault="008C5CFA" w:rsidP="00300A01">
            <w:pPr>
              <w:spacing w:before="0" w:after="0"/>
              <w:jc w:val="center"/>
              <w:rPr>
                <w:sz w:val="12"/>
                <w:szCs w:val="12"/>
                <w:lang w:val="fr-BE"/>
              </w:rPr>
            </w:pPr>
          </w:p>
        </w:tc>
        <w:tc>
          <w:tcPr>
            <w:tcW w:w="0" w:type="auto"/>
            <w:shd w:val="clear" w:color="auto" w:fill="auto"/>
          </w:tcPr>
          <w:p w14:paraId="023813D7" w14:textId="77777777" w:rsidR="008C5CFA" w:rsidRPr="00BA47B4" w:rsidRDefault="008C5CFA" w:rsidP="00300A01">
            <w:pPr>
              <w:spacing w:before="0" w:after="0"/>
              <w:jc w:val="right"/>
              <w:rPr>
                <w:sz w:val="12"/>
                <w:szCs w:val="12"/>
                <w:lang w:val="fr-BE"/>
              </w:rPr>
            </w:pPr>
          </w:p>
        </w:tc>
        <w:tc>
          <w:tcPr>
            <w:tcW w:w="0" w:type="auto"/>
            <w:shd w:val="clear" w:color="auto" w:fill="auto"/>
          </w:tcPr>
          <w:p w14:paraId="3C5DD115" w14:textId="77777777" w:rsidR="008C5CFA" w:rsidRPr="00BA47B4" w:rsidRDefault="008C5CFA" w:rsidP="00300A01">
            <w:pPr>
              <w:spacing w:before="0" w:after="0"/>
              <w:jc w:val="right"/>
              <w:rPr>
                <w:sz w:val="12"/>
                <w:szCs w:val="12"/>
                <w:lang w:val="fr-BE"/>
              </w:rPr>
            </w:pPr>
          </w:p>
        </w:tc>
        <w:tc>
          <w:tcPr>
            <w:tcW w:w="0" w:type="auto"/>
            <w:shd w:val="clear" w:color="auto" w:fill="auto"/>
          </w:tcPr>
          <w:p w14:paraId="762AF263" w14:textId="77777777" w:rsidR="008C5CFA" w:rsidRPr="00BA47B4" w:rsidRDefault="008C5CFA" w:rsidP="00300A01">
            <w:pPr>
              <w:spacing w:before="0" w:after="0"/>
              <w:jc w:val="right"/>
              <w:rPr>
                <w:sz w:val="12"/>
                <w:szCs w:val="12"/>
                <w:lang w:val="fr-BE"/>
              </w:rPr>
            </w:pPr>
          </w:p>
        </w:tc>
        <w:tc>
          <w:tcPr>
            <w:tcW w:w="0" w:type="auto"/>
            <w:shd w:val="clear" w:color="auto" w:fill="auto"/>
          </w:tcPr>
          <w:p w14:paraId="68A1B60D"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1ED1F4C1"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77A75665"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69AA4910" w14:textId="77777777" w:rsidR="008C5CFA" w:rsidRPr="00BA47B4" w:rsidRDefault="008C5CFA" w:rsidP="00300A01">
            <w:pPr>
              <w:spacing w:before="0" w:after="0"/>
              <w:jc w:val="right"/>
              <w:rPr>
                <w:sz w:val="12"/>
                <w:szCs w:val="12"/>
                <w:lang w:val="fr-BE"/>
              </w:rPr>
            </w:pPr>
          </w:p>
        </w:tc>
        <w:tc>
          <w:tcPr>
            <w:tcW w:w="0" w:type="auto"/>
            <w:shd w:val="clear" w:color="auto" w:fill="auto"/>
          </w:tcPr>
          <w:p w14:paraId="44C1EC10" w14:textId="77777777" w:rsidR="008C5CFA" w:rsidRPr="00BA47B4" w:rsidRDefault="008C5CFA" w:rsidP="00300A01">
            <w:pPr>
              <w:spacing w:before="0" w:after="0"/>
              <w:jc w:val="right"/>
              <w:rPr>
                <w:sz w:val="12"/>
                <w:szCs w:val="12"/>
                <w:lang w:val="fr-BE"/>
              </w:rPr>
            </w:pPr>
          </w:p>
        </w:tc>
        <w:tc>
          <w:tcPr>
            <w:tcW w:w="0" w:type="auto"/>
            <w:shd w:val="clear" w:color="auto" w:fill="auto"/>
          </w:tcPr>
          <w:p w14:paraId="5E8A0850" w14:textId="77777777" w:rsidR="008C5CFA" w:rsidRPr="00BA47B4" w:rsidRDefault="008C5CFA" w:rsidP="00300A01">
            <w:pPr>
              <w:spacing w:before="0" w:after="0"/>
              <w:jc w:val="right"/>
              <w:rPr>
                <w:sz w:val="12"/>
                <w:szCs w:val="12"/>
                <w:lang w:val="fr-BE"/>
              </w:rPr>
            </w:pPr>
          </w:p>
        </w:tc>
        <w:tc>
          <w:tcPr>
            <w:tcW w:w="0" w:type="auto"/>
            <w:shd w:val="clear" w:color="auto" w:fill="auto"/>
          </w:tcPr>
          <w:p w14:paraId="706DD17B"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400A5584"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r>
      <w:tr w:rsidR="006B2EC1" w14:paraId="1E424905" w14:textId="77777777" w:rsidTr="0047688D">
        <w:tc>
          <w:tcPr>
            <w:tcW w:w="0" w:type="auto"/>
            <w:shd w:val="clear" w:color="auto" w:fill="auto"/>
          </w:tcPr>
          <w:p w14:paraId="23CEE024" w14:textId="77777777" w:rsidR="008C5CFA" w:rsidRPr="00BA47B4" w:rsidRDefault="00E82A60" w:rsidP="00300A01">
            <w:pPr>
              <w:spacing w:before="0" w:after="0"/>
              <w:rPr>
                <w:sz w:val="12"/>
                <w:szCs w:val="12"/>
                <w:lang w:val="fr-BE"/>
              </w:rPr>
            </w:pPr>
            <w:r w:rsidRPr="00BA47B4">
              <w:rPr>
                <w:noProof/>
                <w:sz w:val="12"/>
                <w:szCs w:val="12"/>
                <w:lang w:val="fr-BE"/>
              </w:rPr>
              <w:t>CR08</w:t>
            </w:r>
          </w:p>
        </w:tc>
        <w:tc>
          <w:tcPr>
            <w:tcW w:w="0" w:type="auto"/>
            <w:shd w:val="clear" w:color="auto" w:fill="auto"/>
          </w:tcPr>
          <w:p w14:paraId="52799194" w14:textId="77777777" w:rsidR="008C5CFA" w:rsidRPr="00BA47B4" w:rsidRDefault="00E82A60" w:rsidP="00300A01">
            <w:pPr>
              <w:spacing w:before="0" w:after="0"/>
              <w:rPr>
                <w:sz w:val="12"/>
                <w:szCs w:val="12"/>
                <w:lang w:val="fr-BE"/>
              </w:rPr>
            </w:pPr>
            <w:r w:rsidRPr="00BA47B4">
              <w:rPr>
                <w:noProof/>
                <w:sz w:val="12"/>
                <w:szCs w:val="12"/>
                <w:lang w:val="fr-BE"/>
              </w:rPr>
              <w:t>uczestnicy powyżej 54 roku życia, pracujący, łącznie z prowadzącymi działalność na własny rachunek, sześć miesięcy po opuszczeniu programu</w:t>
            </w:r>
          </w:p>
        </w:tc>
        <w:tc>
          <w:tcPr>
            <w:tcW w:w="0" w:type="auto"/>
            <w:shd w:val="clear" w:color="auto" w:fill="auto"/>
          </w:tcPr>
          <w:p w14:paraId="1CD2C611" w14:textId="77777777" w:rsidR="008C5CFA" w:rsidRPr="00BA47B4" w:rsidRDefault="00E82A60" w:rsidP="00300A01">
            <w:pPr>
              <w:spacing w:before="0" w:after="0"/>
              <w:rPr>
                <w:sz w:val="12"/>
                <w:szCs w:val="12"/>
                <w:lang w:val="fr-BE"/>
              </w:rPr>
            </w:pPr>
            <w:r w:rsidRPr="00BA47B4">
              <w:rPr>
                <w:noProof/>
                <w:sz w:val="12"/>
                <w:szCs w:val="12"/>
                <w:lang w:val="fr-BE"/>
              </w:rPr>
              <w:t>Słabiej rozwinięte</w:t>
            </w:r>
          </w:p>
        </w:tc>
        <w:tc>
          <w:tcPr>
            <w:tcW w:w="0" w:type="auto"/>
            <w:shd w:val="clear" w:color="auto" w:fill="auto"/>
          </w:tcPr>
          <w:p w14:paraId="5D0531D9" w14:textId="77777777" w:rsidR="008C5CFA" w:rsidRPr="00BA47B4" w:rsidRDefault="00E82A60" w:rsidP="00300A01">
            <w:pPr>
              <w:spacing w:before="0" w:after="0"/>
              <w:rPr>
                <w:sz w:val="12"/>
                <w:szCs w:val="12"/>
                <w:lang w:val="fr-BE"/>
              </w:rPr>
            </w:pPr>
            <w:r w:rsidRPr="00BA47B4">
              <w:rPr>
                <w:sz w:val="12"/>
                <w:szCs w:val="12"/>
                <w:lang w:val="fr-BE"/>
              </w:rPr>
              <w:t xml:space="preserve"> </w:t>
            </w:r>
          </w:p>
        </w:tc>
        <w:tc>
          <w:tcPr>
            <w:tcW w:w="0" w:type="auto"/>
            <w:shd w:val="clear" w:color="auto" w:fill="auto"/>
          </w:tcPr>
          <w:p w14:paraId="2B562A19" w14:textId="77777777" w:rsidR="008C5CFA" w:rsidRPr="00BA47B4" w:rsidRDefault="008C5CFA" w:rsidP="00300A01">
            <w:pPr>
              <w:spacing w:before="0" w:after="0"/>
              <w:jc w:val="center"/>
              <w:rPr>
                <w:sz w:val="12"/>
                <w:szCs w:val="12"/>
                <w:lang w:val="fr-BE"/>
              </w:rPr>
            </w:pPr>
          </w:p>
        </w:tc>
        <w:tc>
          <w:tcPr>
            <w:tcW w:w="0" w:type="auto"/>
            <w:shd w:val="clear" w:color="auto" w:fill="auto"/>
          </w:tcPr>
          <w:p w14:paraId="2399D9E0" w14:textId="77777777" w:rsidR="008C5CFA" w:rsidRPr="00BA47B4" w:rsidRDefault="008C5CFA" w:rsidP="00300A01">
            <w:pPr>
              <w:spacing w:before="0" w:after="0"/>
              <w:jc w:val="right"/>
              <w:rPr>
                <w:sz w:val="12"/>
                <w:szCs w:val="12"/>
                <w:lang w:val="fr-BE"/>
              </w:rPr>
            </w:pPr>
          </w:p>
        </w:tc>
        <w:tc>
          <w:tcPr>
            <w:tcW w:w="0" w:type="auto"/>
            <w:shd w:val="clear" w:color="auto" w:fill="auto"/>
          </w:tcPr>
          <w:p w14:paraId="60482337" w14:textId="77777777" w:rsidR="008C5CFA" w:rsidRPr="00BA47B4" w:rsidRDefault="008C5CFA" w:rsidP="00300A01">
            <w:pPr>
              <w:spacing w:before="0" w:after="0"/>
              <w:jc w:val="right"/>
              <w:rPr>
                <w:sz w:val="12"/>
                <w:szCs w:val="12"/>
                <w:lang w:val="fr-BE"/>
              </w:rPr>
            </w:pPr>
          </w:p>
        </w:tc>
        <w:tc>
          <w:tcPr>
            <w:tcW w:w="0" w:type="auto"/>
            <w:shd w:val="clear" w:color="auto" w:fill="auto"/>
          </w:tcPr>
          <w:p w14:paraId="4A7BE1B3" w14:textId="77777777" w:rsidR="008C5CFA" w:rsidRPr="00BA47B4" w:rsidRDefault="008C5CFA" w:rsidP="00300A01">
            <w:pPr>
              <w:spacing w:before="0" w:after="0"/>
              <w:jc w:val="right"/>
              <w:rPr>
                <w:sz w:val="12"/>
                <w:szCs w:val="12"/>
                <w:lang w:val="fr-BE"/>
              </w:rPr>
            </w:pPr>
          </w:p>
        </w:tc>
        <w:tc>
          <w:tcPr>
            <w:tcW w:w="0" w:type="auto"/>
            <w:shd w:val="clear" w:color="auto" w:fill="auto"/>
          </w:tcPr>
          <w:p w14:paraId="0D8E7F60" w14:textId="77777777" w:rsidR="008C5CFA" w:rsidRPr="00BA47B4" w:rsidRDefault="00E82A60" w:rsidP="00300A01">
            <w:pPr>
              <w:spacing w:before="0" w:after="0"/>
              <w:jc w:val="right"/>
              <w:rPr>
                <w:sz w:val="12"/>
                <w:szCs w:val="12"/>
                <w:lang w:val="fr-BE"/>
              </w:rPr>
            </w:pPr>
            <w:r w:rsidRPr="00BA47B4">
              <w:rPr>
                <w:noProof/>
                <w:sz w:val="12"/>
                <w:szCs w:val="12"/>
                <w:lang w:val="fr-BE"/>
              </w:rPr>
              <w:t>142,00</w:t>
            </w:r>
          </w:p>
        </w:tc>
        <w:tc>
          <w:tcPr>
            <w:tcW w:w="0" w:type="auto"/>
            <w:shd w:val="clear" w:color="auto" w:fill="auto"/>
          </w:tcPr>
          <w:p w14:paraId="2EB93635" w14:textId="77777777" w:rsidR="008C5CFA" w:rsidRPr="00BA47B4" w:rsidRDefault="00E82A60" w:rsidP="00300A01">
            <w:pPr>
              <w:spacing w:before="0" w:after="0"/>
              <w:jc w:val="right"/>
              <w:rPr>
                <w:sz w:val="12"/>
                <w:szCs w:val="12"/>
                <w:lang w:val="fr-BE"/>
              </w:rPr>
            </w:pPr>
            <w:r w:rsidRPr="00BA47B4">
              <w:rPr>
                <w:noProof/>
                <w:sz w:val="12"/>
                <w:szCs w:val="12"/>
                <w:lang w:val="fr-BE"/>
              </w:rPr>
              <w:t>85,00</w:t>
            </w:r>
          </w:p>
        </w:tc>
        <w:tc>
          <w:tcPr>
            <w:tcW w:w="0" w:type="auto"/>
            <w:shd w:val="clear" w:color="auto" w:fill="auto"/>
          </w:tcPr>
          <w:p w14:paraId="126148CD" w14:textId="77777777" w:rsidR="008C5CFA" w:rsidRPr="00BA47B4" w:rsidRDefault="00E82A60" w:rsidP="00300A01">
            <w:pPr>
              <w:spacing w:before="0" w:after="0"/>
              <w:jc w:val="right"/>
              <w:rPr>
                <w:sz w:val="12"/>
                <w:szCs w:val="12"/>
                <w:lang w:val="fr-BE"/>
              </w:rPr>
            </w:pPr>
            <w:r w:rsidRPr="00BA47B4">
              <w:rPr>
                <w:noProof/>
                <w:sz w:val="12"/>
                <w:szCs w:val="12"/>
                <w:lang w:val="fr-BE"/>
              </w:rPr>
              <w:t>57,00</w:t>
            </w:r>
          </w:p>
        </w:tc>
        <w:tc>
          <w:tcPr>
            <w:tcW w:w="0" w:type="auto"/>
            <w:shd w:val="clear" w:color="auto" w:fill="auto"/>
          </w:tcPr>
          <w:p w14:paraId="3932A721" w14:textId="77777777" w:rsidR="008C5CFA" w:rsidRPr="00BA47B4" w:rsidRDefault="008C5CFA" w:rsidP="00300A01">
            <w:pPr>
              <w:spacing w:before="0" w:after="0"/>
              <w:jc w:val="right"/>
              <w:rPr>
                <w:sz w:val="12"/>
                <w:szCs w:val="12"/>
                <w:lang w:val="fr-BE"/>
              </w:rPr>
            </w:pPr>
          </w:p>
        </w:tc>
        <w:tc>
          <w:tcPr>
            <w:tcW w:w="0" w:type="auto"/>
            <w:shd w:val="clear" w:color="auto" w:fill="auto"/>
          </w:tcPr>
          <w:p w14:paraId="674281D7" w14:textId="77777777" w:rsidR="008C5CFA" w:rsidRPr="00BA47B4" w:rsidRDefault="008C5CFA" w:rsidP="00300A01">
            <w:pPr>
              <w:spacing w:before="0" w:after="0"/>
              <w:jc w:val="right"/>
              <w:rPr>
                <w:sz w:val="12"/>
                <w:szCs w:val="12"/>
                <w:lang w:val="fr-BE"/>
              </w:rPr>
            </w:pPr>
          </w:p>
        </w:tc>
        <w:tc>
          <w:tcPr>
            <w:tcW w:w="0" w:type="auto"/>
            <w:shd w:val="clear" w:color="auto" w:fill="auto"/>
          </w:tcPr>
          <w:p w14:paraId="7D7C01AC" w14:textId="77777777" w:rsidR="008C5CFA" w:rsidRPr="00BA47B4" w:rsidRDefault="008C5CFA" w:rsidP="00300A01">
            <w:pPr>
              <w:spacing w:before="0" w:after="0"/>
              <w:jc w:val="right"/>
              <w:rPr>
                <w:sz w:val="12"/>
                <w:szCs w:val="12"/>
                <w:lang w:val="fr-BE"/>
              </w:rPr>
            </w:pPr>
          </w:p>
        </w:tc>
        <w:tc>
          <w:tcPr>
            <w:tcW w:w="0" w:type="auto"/>
            <w:shd w:val="clear" w:color="auto" w:fill="auto"/>
          </w:tcPr>
          <w:p w14:paraId="19592B42"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0CDD3B8D"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r>
      <w:tr w:rsidR="006B2EC1" w14:paraId="0869DEC8" w14:textId="77777777" w:rsidTr="0047688D">
        <w:tc>
          <w:tcPr>
            <w:tcW w:w="0" w:type="auto"/>
            <w:shd w:val="clear" w:color="auto" w:fill="auto"/>
          </w:tcPr>
          <w:p w14:paraId="6FF81284" w14:textId="77777777" w:rsidR="008C5CFA" w:rsidRPr="00BA47B4" w:rsidRDefault="00E82A60" w:rsidP="00300A01">
            <w:pPr>
              <w:spacing w:before="0" w:after="0"/>
              <w:rPr>
                <w:sz w:val="12"/>
                <w:szCs w:val="12"/>
                <w:lang w:val="fr-BE"/>
              </w:rPr>
            </w:pPr>
            <w:r w:rsidRPr="00BA47B4">
              <w:rPr>
                <w:noProof/>
                <w:sz w:val="12"/>
                <w:szCs w:val="12"/>
                <w:lang w:val="fr-BE"/>
              </w:rPr>
              <w:t>CR09</w:t>
            </w:r>
          </w:p>
        </w:tc>
        <w:tc>
          <w:tcPr>
            <w:tcW w:w="0" w:type="auto"/>
            <w:shd w:val="clear" w:color="auto" w:fill="auto"/>
          </w:tcPr>
          <w:p w14:paraId="1AEB39A8" w14:textId="77777777" w:rsidR="008C5CFA" w:rsidRPr="00BA47B4" w:rsidRDefault="00E82A60" w:rsidP="00300A01">
            <w:pPr>
              <w:spacing w:before="0" w:after="0"/>
              <w:rPr>
                <w:sz w:val="12"/>
                <w:szCs w:val="12"/>
                <w:lang w:val="fr-BE"/>
              </w:rPr>
            </w:pPr>
            <w:r w:rsidRPr="00BA47B4">
              <w:rPr>
                <w:noProof/>
                <w:sz w:val="12"/>
                <w:szCs w:val="12"/>
                <w:lang w:val="fr-BE"/>
              </w:rPr>
              <w:t>uczestnicy w niekorzystnej sytuacji społecznej, pracujący, łącznie z prowadzącymi działalność na własny rachunek, sześć miesięcy po opuszczeniu programu</w:t>
            </w:r>
          </w:p>
        </w:tc>
        <w:tc>
          <w:tcPr>
            <w:tcW w:w="0" w:type="auto"/>
            <w:shd w:val="clear" w:color="auto" w:fill="auto"/>
          </w:tcPr>
          <w:p w14:paraId="4D0FA47E" w14:textId="77777777" w:rsidR="008C5CFA" w:rsidRPr="00BA47B4" w:rsidRDefault="00E82A60" w:rsidP="00300A01">
            <w:pPr>
              <w:spacing w:before="0" w:after="0"/>
              <w:rPr>
                <w:sz w:val="12"/>
                <w:szCs w:val="12"/>
                <w:lang w:val="fr-BE"/>
              </w:rPr>
            </w:pPr>
            <w:r w:rsidRPr="00BA47B4">
              <w:rPr>
                <w:noProof/>
                <w:sz w:val="12"/>
                <w:szCs w:val="12"/>
                <w:lang w:val="fr-BE"/>
              </w:rPr>
              <w:t>Słabiej rozwinięte</w:t>
            </w:r>
          </w:p>
        </w:tc>
        <w:tc>
          <w:tcPr>
            <w:tcW w:w="0" w:type="auto"/>
            <w:shd w:val="clear" w:color="auto" w:fill="auto"/>
          </w:tcPr>
          <w:p w14:paraId="6C265408" w14:textId="77777777" w:rsidR="008C5CFA" w:rsidRPr="00BA47B4" w:rsidRDefault="00E82A60" w:rsidP="00300A01">
            <w:pPr>
              <w:spacing w:before="0" w:after="0"/>
              <w:rPr>
                <w:sz w:val="12"/>
                <w:szCs w:val="12"/>
                <w:lang w:val="fr-BE"/>
              </w:rPr>
            </w:pPr>
            <w:r w:rsidRPr="00BA47B4">
              <w:rPr>
                <w:sz w:val="12"/>
                <w:szCs w:val="12"/>
                <w:lang w:val="fr-BE"/>
              </w:rPr>
              <w:t xml:space="preserve"> </w:t>
            </w:r>
          </w:p>
        </w:tc>
        <w:tc>
          <w:tcPr>
            <w:tcW w:w="0" w:type="auto"/>
            <w:shd w:val="clear" w:color="auto" w:fill="auto"/>
          </w:tcPr>
          <w:p w14:paraId="1572A414" w14:textId="77777777" w:rsidR="008C5CFA" w:rsidRPr="00BA47B4" w:rsidRDefault="008C5CFA" w:rsidP="00300A01">
            <w:pPr>
              <w:spacing w:before="0" w:after="0"/>
              <w:jc w:val="center"/>
              <w:rPr>
                <w:sz w:val="12"/>
                <w:szCs w:val="12"/>
                <w:lang w:val="fr-BE"/>
              </w:rPr>
            </w:pPr>
          </w:p>
        </w:tc>
        <w:tc>
          <w:tcPr>
            <w:tcW w:w="0" w:type="auto"/>
            <w:shd w:val="clear" w:color="auto" w:fill="auto"/>
          </w:tcPr>
          <w:p w14:paraId="6A0D5FC4" w14:textId="77777777" w:rsidR="008C5CFA" w:rsidRPr="00BA47B4" w:rsidRDefault="008C5CFA" w:rsidP="00300A01">
            <w:pPr>
              <w:spacing w:before="0" w:after="0"/>
              <w:jc w:val="right"/>
              <w:rPr>
                <w:sz w:val="12"/>
                <w:szCs w:val="12"/>
                <w:lang w:val="fr-BE"/>
              </w:rPr>
            </w:pPr>
          </w:p>
        </w:tc>
        <w:tc>
          <w:tcPr>
            <w:tcW w:w="0" w:type="auto"/>
            <w:shd w:val="clear" w:color="auto" w:fill="auto"/>
          </w:tcPr>
          <w:p w14:paraId="1E1FCD81" w14:textId="77777777" w:rsidR="008C5CFA" w:rsidRPr="00BA47B4" w:rsidRDefault="008C5CFA" w:rsidP="00300A01">
            <w:pPr>
              <w:spacing w:before="0" w:after="0"/>
              <w:jc w:val="right"/>
              <w:rPr>
                <w:sz w:val="12"/>
                <w:szCs w:val="12"/>
                <w:lang w:val="fr-BE"/>
              </w:rPr>
            </w:pPr>
          </w:p>
        </w:tc>
        <w:tc>
          <w:tcPr>
            <w:tcW w:w="0" w:type="auto"/>
            <w:shd w:val="clear" w:color="auto" w:fill="auto"/>
          </w:tcPr>
          <w:p w14:paraId="451B8589" w14:textId="77777777" w:rsidR="008C5CFA" w:rsidRPr="00BA47B4" w:rsidRDefault="008C5CFA" w:rsidP="00300A01">
            <w:pPr>
              <w:spacing w:before="0" w:after="0"/>
              <w:jc w:val="right"/>
              <w:rPr>
                <w:sz w:val="12"/>
                <w:szCs w:val="12"/>
                <w:lang w:val="fr-BE"/>
              </w:rPr>
            </w:pPr>
          </w:p>
        </w:tc>
        <w:tc>
          <w:tcPr>
            <w:tcW w:w="0" w:type="auto"/>
            <w:shd w:val="clear" w:color="auto" w:fill="auto"/>
          </w:tcPr>
          <w:p w14:paraId="4BDEB109" w14:textId="77777777" w:rsidR="008C5CFA" w:rsidRPr="00BA47B4" w:rsidRDefault="00E82A60" w:rsidP="00300A01">
            <w:pPr>
              <w:spacing w:before="0" w:after="0"/>
              <w:jc w:val="right"/>
              <w:rPr>
                <w:sz w:val="12"/>
                <w:szCs w:val="12"/>
                <w:lang w:val="fr-BE"/>
              </w:rPr>
            </w:pPr>
            <w:r w:rsidRPr="00BA47B4">
              <w:rPr>
                <w:noProof/>
                <w:sz w:val="12"/>
                <w:szCs w:val="12"/>
                <w:lang w:val="fr-BE"/>
              </w:rPr>
              <w:t>835,00</w:t>
            </w:r>
          </w:p>
        </w:tc>
        <w:tc>
          <w:tcPr>
            <w:tcW w:w="0" w:type="auto"/>
            <w:shd w:val="clear" w:color="auto" w:fill="auto"/>
          </w:tcPr>
          <w:p w14:paraId="393A7F0F" w14:textId="77777777" w:rsidR="008C5CFA" w:rsidRPr="00BA47B4" w:rsidRDefault="00E82A60" w:rsidP="00300A01">
            <w:pPr>
              <w:spacing w:before="0" w:after="0"/>
              <w:jc w:val="right"/>
              <w:rPr>
                <w:sz w:val="12"/>
                <w:szCs w:val="12"/>
                <w:lang w:val="fr-BE"/>
              </w:rPr>
            </w:pPr>
            <w:r w:rsidRPr="00BA47B4">
              <w:rPr>
                <w:noProof/>
                <w:sz w:val="12"/>
                <w:szCs w:val="12"/>
                <w:lang w:val="fr-BE"/>
              </w:rPr>
              <w:t>413,00</w:t>
            </w:r>
          </w:p>
        </w:tc>
        <w:tc>
          <w:tcPr>
            <w:tcW w:w="0" w:type="auto"/>
            <w:shd w:val="clear" w:color="auto" w:fill="auto"/>
          </w:tcPr>
          <w:p w14:paraId="142945A8" w14:textId="77777777" w:rsidR="008C5CFA" w:rsidRPr="00BA47B4" w:rsidRDefault="00E82A60" w:rsidP="00300A01">
            <w:pPr>
              <w:spacing w:before="0" w:after="0"/>
              <w:jc w:val="right"/>
              <w:rPr>
                <w:sz w:val="12"/>
                <w:szCs w:val="12"/>
                <w:lang w:val="fr-BE"/>
              </w:rPr>
            </w:pPr>
            <w:r w:rsidRPr="00BA47B4">
              <w:rPr>
                <w:noProof/>
                <w:sz w:val="12"/>
                <w:szCs w:val="12"/>
                <w:lang w:val="fr-BE"/>
              </w:rPr>
              <w:t>422,00</w:t>
            </w:r>
          </w:p>
        </w:tc>
        <w:tc>
          <w:tcPr>
            <w:tcW w:w="0" w:type="auto"/>
            <w:shd w:val="clear" w:color="auto" w:fill="auto"/>
          </w:tcPr>
          <w:p w14:paraId="0E620464" w14:textId="77777777" w:rsidR="008C5CFA" w:rsidRPr="00BA47B4" w:rsidRDefault="008C5CFA" w:rsidP="00300A01">
            <w:pPr>
              <w:spacing w:before="0" w:after="0"/>
              <w:jc w:val="right"/>
              <w:rPr>
                <w:sz w:val="12"/>
                <w:szCs w:val="12"/>
                <w:lang w:val="fr-BE"/>
              </w:rPr>
            </w:pPr>
          </w:p>
        </w:tc>
        <w:tc>
          <w:tcPr>
            <w:tcW w:w="0" w:type="auto"/>
            <w:shd w:val="clear" w:color="auto" w:fill="auto"/>
          </w:tcPr>
          <w:p w14:paraId="614F394E" w14:textId="77777777" w:rsidR="008C5CFA" w:rsidRPr="00BA47B4" w:rsidRDefault="008C5CFA" w:rsidP="00300A01">
            <w:pPr>
              <w:spacing w:before="0" w:after="0"/>
              <w:jc w:val="right"/>
              <w:rPr>
                <w:sz w:val="12"/>
                <w:szCs w:val="12"/>
                <w:lang w:val="fr-BE"/>
              </w:rPr>
            </w:pPr>
          </w:p>
        </w:tc>
        <w:tc>
          <w:tcPr>
            <w:tcW w:w="0" w:type="auto"/>
            <w:shd w:val="clear" w:color="auto" w:fill="auto"/>
          </w:tcPr>
          <w:p w14:paraId="37566264" w14:textId="77777777" w:rsidR="008C5CFA" w:rsidRPr="00BA47B4" w:rsidRDefault="008C5CFA" w:rsidP="00300A01">
            <w:pPr>
              <w:spacing w:before="0" w:after="0"/>
              <w:jc w:val="right"/>
              <w:rPr>
                <w:sz w:val="12"/>
                <w:szCs w:val="12"/>
                <w:lang w:val="fr-BE"/>
              </w:rPr>
            </w:pPr>
          </w:p>
        </w:tc>
        <w:tc>
          <w:tcPr>
            <w:tcW w:w="0" w:type="auto"/>
            <w:shd w:val="clear" w:color="auto" w:fill="auto"/>
          </w:tcPr>
          <w:p w14:paraId="0809763D"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6E09C8D1"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r>
    </w:tbl>
    <w:p w14:paraId="60946503" w14:textId="77777777" w:rsidR="008C5CFA" w:rsidRDefault="008C5CFA" w:rsidP="00300A01">
      <w:pPr>
        <w:keepNext/>
        <w:spacing w:before="0" w:after="0"/>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37"/>
        <w:gridCol w:w="8655"/>
        <w:gridCol w:w="884"/>
        <w:gridCol w:w="596"/>
        <w:gridCol w:w="476"/>
        <w:gridCol w:w="596"/>
        <w:gridCol w:w="463"/>
        <w:gridCol w:w="596"/>
        <w:gridCol w:w="463"/>
        <w:gridCol w:w="596"/>
        <w:gridCol w:w="463"/>
        <w:gridCol w:w="596"/>
        <w:gridCol w:w="463"/>
      </w:tblGrid>
      <w:tr w:rsidR="006B2EC1" w14:paraId="54E850F8" w14:textId="77777777" w:rsidTr="0047688D">
        <w:trPr>
          <w:tblHeader/>
        </w:trPr>
        <w:tc>
          <w:tcPr>
            <w:tcW w:w="0" w:type="auto"/>
            <w:shd w:val="clear" w:color="auto" w:fill="auto"/>
          </w:tcPr>
          <w:p w14:paraId="37F4136F" w14:textId="77777777" w:rsidR="008C5CFA" w:rsidRPr="00F53019" w:rsidRDefault="00E82A60" w:rsidP="00300A01">
            <w:pPr>
              <w:spacing w:before="0" w:after="0"/>
              <w:rPr>
                <w:b/>
                <w:sz w:val="12"/>
                <w:szCs w:val="12"/>
                <w:lang w:val="fr-BE"/>
              </w:rPr>
            </w:pPr>
            <w:r w:rsidRPr="00F53019">
              <w:rPr>
                <w:b/>
                <w:noProof/>
                <w:sz w:val="12"/>
                <w:szCs w:val="12"/>
                <w:lang w:val="fr-BE"/>
              </w:rPr>
              <w:t>ID</w:t>
            </w:r>
          </w:p>
        </w:tc>
        <w:tc>
          <w:tcPr>
            <w:tcW w:w="0" w:type="auto"/>
            <w:shd w:val="clear" w:color="auto" w:fill="auto"/>
          </w:tcPr>
          <w:p w14:paraId="299A6005" w14:textId="77777777" w:rsidR="008C5CFA" w:rsidRPr="00F53019" w:rsidRDefault="00E82A60" w:rsidP="00300A01">
            <w:pPr>
              <w:spacing w:before="0" w:after="0"/>
              <w:rPr>
                <w:b/>
                <w:sz w:val="12"/>
                <w:szCs w:val="12"/>
                <w:lang w:val="fr-BE"/>
              </w:rPr>
            </w:pPr>
            <w:r w:rsidRPr="00F53019">
              <w:rPr>
                <w:b/>
                <w:noProof/>
                <w:sz w:val="12"/>
                <w:szCs w:val="12"/>
                <w:lang w:val="fr-BE"/>
              </w:rPr>
              <w:t>Wskaźnik</w:t>
            </w:r>
          </w:p>
        </w:tc>
        <w:tc>
          <w:tcPr>
            <w:tcW w:w="0" w:type="auto"/>
            <w:shd w:val="clear" w:color="auto" w:fill="auto"/>
          </w:tcPr>
          <w:p w14:paraId="2262595D" w14:textId="77777777" w:rsidR="008C5CFA" w:rsidRPr="00F53019" w:rsidRDefault="00E82A60" w:rsidP="00300A01">
            <w:pPr>
              <w:spacing w:before="0" w:after="0"/>
              <w:rPr>
                <w:b/>
                <w:sz w:val="12"/>
                <w:szCs w:val="12"/>
                <w:lang w:val="fr-BE"/>
              </w:rPr>
            </w:pPr>
            <w:r w:rsidRPr="00F53019">
              <w:rPr>
                <w:b/>
                <w:noProof/>
                <w:sz w:val="12"/>
                <w:szCs w:val="12"/>
                <w:lang w:val="fr-BE"/>
              </w:rPr>
              <w:t>Kategoria regionu</w:t>
            </w:r>
          </w:p>
        </w:tc>
        <w:tc>
          <w:tcPr>
            <w:tcW w:w="0" w:type="auto"/>
            <w:gridSpan w:val="2"/>
          </w:tcPr>
          <w:p w14:paraId="320B0B72" w14:textId="77777777" w:rsidR="008C5CFA" w:rsidRPr="00F53019" w:rsidRDefault="00E82A60" w:rsidP="00300A01">
            <w:pPr>
              <w:spacing w:before="0" w:after="0"/>
              <w:jc w:val="center"/>
              <w:rPr>
                <w:b/>
                <w:sz w:val="12"/>
                <w:szCs w:val="12"/>
                <w:lang w:val="fr-BE"/>
              </w:rPr>
            </w:pPr>
            <w:r>
              <w:rPr>
                <w:b/>
                <w:sz w:val="12"/>
                <w:szCs w:val="12"/>
                <w:lang w:val="fr-BE"/>
              </w:rPr>
              <w:t>2018</w:t>
            </w:r>
          </w:p>
        </w:tc>
        <w:tc>
          <w:tcPr>
            <w:tcW w:w="0" w:type="auto"/>
            <w:gridSpan w:val="2"/>
          </w:tcPr>
          <w:p w14:paraId="6CC2D2E7" w14:textId="77777777" w:rsidR="008C5CFA" w:rsidRPr="00F53019" w:rsidRDefault="00E82A60" w:rsidP="00300A01">
            <w:pPr>
              <w:spacing w:before="0" w:after="0"/>
              <w:jc w:val="center"/>
              <w:rPr>
                <w:b/>
                <w:sz w:val="12"/>
                <w:szCs w:val="12"/>
                <w:lang w:val="fr-BE"/>
              </w:rPr>
            </w:pPr>
            <w:r>
              <w:rPr>
                <w:b/>
                <w:sz w:val="12"/>
                <w:szCs w:val="12"/>
                <w:lang w:val="fr-BE"/>
              </w:rPr>
              <w:t>2017</w:t>
            </w:r>
          </w:p>
        </w:tc>
        <w:tc>
          <w:tcPr>
            <w:tcW w:w="0" w:type="auto"/>
            <w:gridSpan w:val="2"/>
          </w:tcPr>
          <w:p w14:paraId="0921D47E" w14:textId="77777777" w:rsidR="008C5CFA" w:rsidRPr="00F53019" w:rsidRDefault="00E82A60" w:rsidP="00300A01">
            <w:pPr>
              <w:spacing w:before="0" w:after="0"/>
              <w:jc w:val="center"/>
              <w:rPr>
                <w:b/>
                <w:sz w:val="12"/>
                <w:szCs w:val="12"/>
                <w:lang w:val="fr-BE"/>
              </w:rPr>
            </w:pPr>
            <w:r>
              <w:rPr>
                <w:b/>
                <w:sz w:val="12"/>
                <w:szCs w:val="12"/>
                <w:lang w:val="fr-BE"/>
              </w:rPr>
              <w:t>2016</w:t>
            </w:r>
          </w:p>
        </w:tc>
        <w:tc>
          <w:tcPr>
            <w:tcW w:w="0" w:type="auto"/>
            <w:gridSpan w:val="2"/>
          </w:tcPr>
          <w:p w14:paraId="71E1A0E4" w14:textId="77777777" w:rsidR="008C5CFA" w:rsidRPr="00F53019" w:rsidRDefault="00E82A60" w:rsidP="00300A01">
            <w:pPr>
              <w:spacing w:before="0" w:after="0"/>
              <w:jc w:val="center"/>
              <w:rPr>
                <w:b/>
                <w:sz w:val="12"/>
                <w:szCs w:val="12"/>
                <w:lang w:val="fr-BE"/>
              </w:rPr>
            </w:pPr>
            <w:r>
              <w:rPr>
                <w:b/>
                <w:sz w:val="12"/>
                <w:szCs w:val="12"/>
                <w:lang w:val="fr-BE"/>
              </w:rPr>
              <w:t>2015</w:t>
            </w:r>
          </w:p>
        </w:tc>
        <w:tc>
          <w:tcPr>
            <w:tcW w:w="0" w:type="auto"/>
            <w:gridSpan w:val="2"/>
            <w:shd w:val="clear" w:color="auto" w:fill="auto"/>
          </w:tcPr>
          <w:p w14:paraId="77E630BA" w14:textId="77777777" w:rsidR="008C5CFA" w:rsidRPr="00F53019" w:rsidRDefault="00E82A60" w:rsidP="00300A01">
            <w:pPr>
              <w:spacing w:before="0" w:after="0"/>
              <w:jc w:val="center"/>
              <w:rPr>
                <w:b/>
                <w:sz w:val="12"/>
                <w:szCs w:val="12"/>
                <w:lang w:val="fr-BE"/>
              </w:rPr>
            </w:pPr>
            <w:r>
              <w:rPr>
                <w:b/>
                <w:sz w:val="12"/>
                <w:szCs w:val="12"/>
                <w:lang w:val="fr-BE"/>
              </w:rPr>
              <w:t>2014</w:t>
            </w:r>
          </w:p>
        </w:tc>
      </w:tr>
      <w:tr w:rsidR="006B2EC1" w14:paraId="1F4D9A5B" w14:textId="77777777" w:rsidTr="0047688D">
        <w:trPr>
          <w:tblHeader/>
        </w:trPr>
        <w:tc>
          <w:tcPr>
            <w:tcW w:w="0" w:type="auto"/>
            <w:shd w:val="clear" w:color="auto" w:fill="auto"/>
          </w:tcPr>
          <w:p w14:paraId="6F772E9B" w14:textId="77777777" w:rsidR="008C5CFA" w:rsidRPr="00F53019" w:rsidRDefault="008C5CFA" w:rsidP="00300A01">
            <w:pPr>
              <w:spacing w:before="0" w:after="0"/>
              <w:rPr>
                <w:b/>
                <w:sz w:val="12"/>
                <w:szCs w:val="12"/>
                <w:lang w:val="fr-BE"/>
              </w:rPr>
            </w:pPr>
          </w:p>
        </w:tc>
        <w:tc>
          <w:tcPr>
            <w:tcW w:w="0" w:type="auto"/>
            <w:shd w:val="clear" w:color="auto" w:fill="auto"/>
          </w:tcPr>
          <w:p w14:paraId="4A43DB75" w14:textId="77777777" w:rsidR="008C5CFA" w:rsidRPr="00F53019" w:rsidRDefault="008C5CFA" w:rsidP="00300A01">
            <w:pPr>
              <w:spacing w:before="0" w:after="0"/>
              <w:rPr>
                <w:b/>
                <w:sz w:val="12"/>
                <w:szCs w:val="12"/>
                <w:lang w:val="fr-BE"/>
              </w:rPr>
            </w:pPr>
          </w:p>
        </w:tc>
        <w:tc>
          <w:tcPr>
            <w:tcW w:w="0" w:type="auto"/>
            <w:shd w:val="clear" w:color="auto" w:fill="auto"/>
          </w:tcPr>
          <w:p w14:paraId="2846E7C1" w14:textId="77777777" w:rsidR="008C5CFA" w:rsidRPr="00F53019" w:rsidRDefault="008C5CFA" w:rsidP="00300A01">
            <w:pPr>
              <w:spacing w:before="0" w:after="0"/>
              <w:rPr>
                <w:b/>
                <w:sz w:val="12"/>
                <w:szCs w:val="12"/>
                <w:lang w:val="fr-BE"/>
              </w:rPr>
            </w:pPr>
          </w:p>
        </w:tc>
        <w:tc>
          <w:tcPr>
            <w:tcW w:w="0" w:type="auto"/>
          </w:tcPr>
          <w:p w14:paraId="43359F32" w14:textId="77777777" w:rsidR="008C5CFA" w:rsidRPr="00F53019" w:rsidRDefault="00E82A60" w:rsidP="00300A01">
            <w:pPr>
              <w:spacing w:before="0" w:after="0"/>
              <w:jc w:val="center"/>
              <w:rPr>
                <w:b/>
                <w:sz w:val="12"/>
                <w:szCs w:val="12"/>
                <w:lang w:val="fr-BE"/>
              </w:rPr>
            </w:pPr>
            <w:r w:rsidRPr="00F53019">
              <w:rPr>
                <w:b/>
                <w:noProof/>
                <w:sz w:val="12"/>
                <w:szCs w:val="12"/>
                <w:lang w:val="fr-BE"/>
              </w:rPr>
              <w:t>Mężczyźni</w:t>
            </w:r>
          </w:p>
        </w:tc>
        <w:tc>
          <w:tcPr>
            <w:tcW w:w="0" w:type="auto"/>
          </w:tcPr>
          <w:p w14:paraId="7B2910F6" w14:textId="77777777" w:rsidR="008C5CFA" w:rsidRPr="00F53019" w:rsidRDefault="00E82A60" w:rsidP="00300A01">
            <w:pPr>
              <w:spacing w:before="0" w:after="0"/>
              <w:jc w:val="center"/>
              <w:rPr>
                <w:b/>
                <w:sz w:val="12"/>
                <w:szCs w:val="12"/>
                <w:lang w:val="fr-BE"/>
              </w:rPr>
            </w:pPr>
            <w:r w:rsidRPr="00F53019">
              <w:rPr>
                <w:b/>
                <w:noProof/>
                <w:sz w:val="12"/>
                <w:szCs w:val="12"/>
                <w:lang w:val="fr-BE"/>
              </w:rPr>
              <w:t>Kobiety</w:t>
            </w:r>
          </w:p>
        </w:tc>
        <w:tc>
          <w:tcPr>
            <w:tcW w:w="0" w:type="auto"/>
          </w:tcPr>
          <w:p w14:paraId="717C985D" w14:textId="77777777" w:rsidR="008C5CFA" w:rsidRPr="00F53019" w:rsidRDefault="00E82A60" w:rsidP="00300A01">
            <w:pPr>
              <w:spacing w:before="0" w:after="0"/>
              <w:jc w:val="center"/>
              <w:rPr>
                <w:b/>
                <w:sz w:val="12"/>
                <w:szCs w:val="12"/>
                <w:lang w:val="fr-BE"/>
              </w:rPr>
            </w:pPr>
            <w:r w:rsidRPr="00F53019">
              <w:rPr>
                <w:b/>
                <w:noProof/>
                <w:sz w:val="12"/>
                <w:szCs w:val="12"/>
                <w:lang w:val="fr-BE"/>
              </w:rPr>
              <w:t>Mężczyźni</w:t>
            </w:r>
          </w:p>
        </w:tc>
        <w:tc>
          <w:tcPr>
            <w:tcW w:w="0" w:type="auto"/>
          </w:tcPr>
          <w:p w14:paraId="53EE104F" w14:textId="77777777" w:rsidR="008C5CFA" w:rsidRPr="00F53019" w:rsidRDefault="00E82A60" w:rsidP="00300A01">
            <w:pPr>
              <w:spacing w:before="0" w:after="0"/>
              <w:jc w:val="center"/>
              <w:rPr>
                <w:b/>
                <w:sz w:val="12"/>
                <w:szCs w:val="12"/>
                <w:lang w:val="fr-BE"/>
              </w:rPr>
            </w:pPr>
            <w:r w:rsidRPr="00F53019">
              <w:rPr>
                <w:b/>
                <w:noProof/>
                <w:sz w:val="12"/>
                <w:szCs w:val="12"/>
                <w:lang w:val="fr-BE"/>
              </w:rPr>
              <w:t>Kobiety</w:t>
            </w:r>
          </w:p>
        </w:tc>
        <w:tc>
          <w:tcPr>
            <w:tcW w:w="0" w:type="auto"/>
          </w:tcPr>
          <w:p w14:paraId="6EF48F85" w14:textId="77777777" w:rsidR="008C5CFA" w:rsidRPr="00F53019" w:rsidRDefault="00E82A60" w:rsidP="00300A01">
            <w:pPr>
              <w:spacing w:before="0" w:after="0"/>
              <w:jc w:val="center"/>
              <w:rPr>
                <w:b/>
                <w:sz w:val="12"/>
                <w:szCs w:val="12"/>
                <w:lang w:val="fr-BE"/>
              </w:rPr>
            </w:pPr>
            <w:r w:rsidRPr="00F53019">
              <w:rPr>
                <w:b/>
                <w:noProof/>
                <w:sz w:val="12"/>
                <w:szCs w:val="12"/>
                <w:lang w:val="fr-BE"/>
              </w:rPr>
              <w:t>Mężczyźni</w:t>
            </w:r>
          </w:p>
        </w:tc>
        <w:tc>
          <w:tcPr>
            <w:tcW w:w="0" w:type="auto"/>
          </w:tcPr>
          <w:p w14:paraId="3732E5F1" w14:textId="77777777" w:rsidR="008C5CFA" w:rsidRPr="00F53019" w:rsidRDefault="00E82A60" w:rsidP="00300A01">
            <w:pPr>
              <w:spacing w:before="0" w:after="0"/>
              <w:jc w:val="center"/>
              <w:rPr>
                <w:b/>
                <w:sz w:val="12"/>
                <w:szCs w:val="12"/>
                <w:lang w:val="fr-BE"/>
              </w:rPr>
            </w:pPr>
            <w:r w:rsidRPr="00F53019">
              <w:rPr>
                <w:b/>
                <w:noProof/>
                <w:sz w:val="12"/>
                <w:szCs w:val="12"/>
                <w:lang w:val="fr-BE"/>
              </w:rPr>
              <w:t>Kobiety</w:t>
            </w:r>
          </w:p>
        </w:tc>
        <w:tc>
          <w:tcPr>
            <w:tcW w:w="0" w:type="auto"/>
          </w:tcPr>
          <w:p w14:paraId="36AC1582" w14:textId="77777777" w:rsidR="008C5CFA" w:rsidRPr="00F53019" w:rsidRDefault="00E82A60" w:rsidP="00300A01">
            <w:pPr>
              <w:spacing w:before="0" w:after="0"/>
              <w:jc w:val="center"/>
              <w:rPr>
                <w:b/>
                <w:sz w:val="12"/>
                <w:szCs w:val="12"/>
                <w:lang w:val="fr-BE"/>
              </w:rPr>
            </w:pPr>
            <w:r w:rsidRPr="00F53019">
              <w:rPr>
                <w:b/>
                <w:noProof/>
                <w:sz w:val="12"/>
                <w:szCs w:val="12"/>
                <w:lang w:val="fr-BE"/>
              </w:rPr>
              <w:t>Mężczyźni</w:t>
            </w:r>
          </w:p>
        </w:tc>
        <w:tc>
          <w:tcPr>
            <w:tcW w:w="0" w:type="auto"/>
          </w:tcPr>
          <w:p w14:paraId="02C1F698" w14:textId="77777777" w:rsidR="008C5CFA" w:rsidRPr="00F53019" w:rsidRDefault="00E82A60" w:rsidP="00300A01">
            <w:pPr>
              <w:spacing w:before="0" w:after="0"/>
              <w:jc w:val="center"/>
              <w:rPr>
                <w:b/>
                <w:sz w:val="12"/>
                <w:szCs w:val="12"/>
                <w:lang w:val="fr-BE"/>
              </w:rPr>
            </w:pPr>
            <w:r w:rsidRPr="00F53019">
              <w:rPr>
                <w:b/>
                <w:noProof/>
                <w:sz w:val="12"/>
                <w:szCs w:val="12"/>
                <w:lang w:val="fr-BE"/>
              </w:rPr>
              <w:t>Kobiety</w:t>
            </w:r>
          </w:p>
        </w:tc>
        <w:tc>
          <w:tcPr>
            <w:tcW w:w="0" w:type="auto"/>
            <w:shd w:val="clear" w:color="auto" w:fill="auto"/>
          </w:tcPr>
          <w:p w14:paraId="661DDAF1" w14:textId="77777777" w:rsidR="008C5CFA" w:rsidRPr="00F53019" w:rsidRDefault="00E82A60"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14:paraId="22653276" w14:textId="77777777" w:rsidR="008C5CFA" w:rsidRPr="00F53019" w:rsidRDefault="00E82A60" w:rsidP="00300A01">
            <w:pPr>
              <w:spacing w:before="0" w:after="0"/>
              <w:jc w:val="center"/>
              <w:rPr>
                <w:b/>
                <w:sz w:val="12"/>
                <w:szCs w:val="12"/>
                <w:lang w:val="fr-BE"/>
              </w:rPr>
            </w:pPr>
            <w:r w:rsidRPr="00F53019">
              <w:rPr>
                <w:b/>
                <w:noProof/>
                <w:sz w:val="12"/>
                <w:szCs w:val="12"/>
                <w:lang w:val="fr-BE"/>
              </w:rPr>
              <w:t>Kobiety</w:t>
            </w:r>
          </w:p>
        </w:tc>
      </w:tr>
      <w:tr w:rsidR="006B2EC1" w14:paraId="16517EFA" w14:textId="77777777" w:rsidTr="0047688D">
        <w:tc>
          <w:tcPr>
            <w:tcW w:w="0" w:type="auto"/>
            <w:shd w:val="clear" w:color="auto" w:fill="auto"/>
          </w:tcPr>
          <w:p w14:paraId="7F276574" w14:textId="77777777" w:rsidR="008C5CFA" w:rsidRPr="00BA47B4" w:rsidRDefault="00E82A60" w:rsidP="00300A01">
            <w:pPr>
              <w:spacing w:before="0" w:after="0"/>
              <w:rPr>
                <w:sz w:val="12"/>
                <w:szCs w:val="12"/>
                <w:lang w:val="fr-BE"/>
              </w:rPr>
            </w:pPr>
            <w:r w:rsidRPr="00BA47B4">
              <w:rPr>
                <w:noProof/>
                <w:sz w:val="12"/>
                <w:szCs w:val="12"/>
                <w:lang w:val="fr-BE"/>
              </w:rPr>
              <w:t>CR01</w:t>
            </w:r>
          </w:p>
        </w:tc>
        <w:tc>
          <w:tcPr>
            <w:tcW w:w="0" w:type="auto"/>
            <w:shd w:val="clear" w:color="auto" w:fill="auto"/>
          </w:tcPr>
          <w:p w14:paraId="256C0F86" w14:textId="77777777" w:rsidR="008C5CFA" w:rsidRPr="00BA47B4" w:rsidRDefault="00E82A60" w:rsidP="00300A01">
            <w:pPr>
              <w:spacing w:before="0" w:after="0"/>
              <w:rPr>
                <w:sz w:val="12"/>
                <w:szCs w:val="12"/>
                <w:lang w:val="fr-BE"/>
              </w:rPr>
            </w:pPr>
            <w:r w:rsidRPr="00BA47B4">
              <w:rPr>
                <w:noProof/>
                <w:sz w:val="12"/>
                <w:szCs w:val="12"/>
                <w:lang w:val="fr-BE"/>
              </w:rPr>
              <w:t>bierni zawodowo uczestnicy poszukujący pracy po opuszczeniu programu</w:t>
            </w:r>
          </w:p>
        </w:tc>
        <w:tc>
          <w:tcPr>
            <w:tcW w:w="0" w:type="auto"/>
            <w:shd w:val="clear" w:color="auto" w:fill="auto"/>
          </w:tcPr>
          <w:p w14:paraId="3D9C4F3D" w14:textId="77777777" w:rsidR="008C5CFA" w:rsidRPr="00BA47B4" w:rsidRDefault="00E82A60" w:rsidP="00300A01">
            <w:pPr>
              <w:spacing w:before="0" w:after="0"/>
              <w:rPr>
                <w:sz w:val="12"/>
                <w:szCs w:val="12"/>
                <w:lang w:val="fr-BE"/>
              </w:rPr>
            </w:pPr>
            <w:r w:rsidRPr="00BA47B4">
              <w:rPr>
                <w:noProof/>
                <w:sz w:val="12"/>
                <w:szCs w:val="12"/>
                <w:lang w:val="fr-BE"/>
              </w:rPr>
              <w:t>Słabiej rozwinięte</w:t>
            </w:r>
          </w:p>
        </w:tc>
        <w:tc>
          <w:tcPr>
            <w:tcW w:w="0" w:type="auto"/>
          </w:tcPr>
          <w:p w14:paraId="30989C8C"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69BA61FA" w14:textId="77777777" w:rsidR="008C5CFA" w:rsidRPr="00BA47B4" w:rsidRDefault="00E82A60" w:rsidP="00300A01">
            <w:pPr>
              <w:spacing w:before="0" w:after="0"/>
              <w:jc w:val="right"/>
              <w:rPr>
                <w:sz w:val="12"/>
                <w:szCs w:val="12"/>
                <w:lang w:val="fr-BE"/>
              </w:rPr>
            </w:pPr>
            <w:r w:rsidRPr="00BA47B4">
              <w:rPr>
                <w:noProof/>
                <w:sz w:val="12"/>
                <w:szCs w:val="12"/>
                <w:lang w:val="fr-BE"/>
              </w:rPr>
              <w:t>1,00</w:t>
            </w:r>
          </w:p>
        </w:tc>
        <w:tc>
          <w:tcPr>
            <w:tcW w:w="0" w:type="auto"/>
          </w:tcPr>
          <w:p w14:paraId="2E4D99B9" w14:textId="77777777" w:rsidR="008C5CFA" w:rsidRPr="00BA47B4" w:rsidRDefault="00E82A60" w:rsidP="00300A01">
            <w:pPr>
              <w:spacing w:before="0" w:after="0"/>
              <w:jc w:val="right"/>
              <w:rPr>
                <w:sz w:val="12"/>
                <w:szCs w:val="12"/>
                <w:lang w:val="fr-BE"/>
              </w:rPr>
            </w:pPr>
            <w:r w:rsidRPr="00BA47B4">
              <w:rPr>
                <w:noProof/>
                <w:sz w:val="12"/>
                <w:szCs w:val="12"/>
                <w:lang w:val="fr-BE"/>
              </w:rPr>
              <w:t>2,00</w:t>
            </w:r>
          </w:p>
        </w:tc>
        <w:tc>
          <w:tcPr>
            <w:tcW w:w="0" w:type="auto"/>
          </w:tcPr>
          <w:p w14:paraId="720F293E"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4AAE23F6" w14:textId="77777777" w:rsidR="008C5CFA" w:rsidRPr="00BA47B4" w:rsidRDefault="00E82A60" w:rsidP="00300A01">
            <w:pPr>
              <w:spacing w:before="0" w:after="0"/>
              <w:jc w:val="right"/>
              <w:rPr>
                <w:sz w:val="12"/>
                <w:szCs w:val="12"/>
                <w:lang w:val="fr-BE"/>
              </w:rPr>
            </w:pPr>
            <w:r w:rsidRPr="00BA47B4">
              <w:rPr>
                <w:noProof/>
                <w:sz w:val="12"/>
                <w:szCs w:val="12"/>
                <w:lang w:val="fr-BE"/>
              </w:rPr>
              <w:t>1,00</w:t>
            </w:r>
          </w:p>
        </w:tc>
        <w:tc>
          <w:tcPr>
            <w:tcW w:w="0" w:type="auto"/>
          </w:tcPr>
          <w:p w14:paraId="15A678B3" w14:textId="77777777" w:rsidR="008C5CFA" w:rsidRPr="00BA47B4" w:rsidRDefault="00E82A60" w:rsidP="00300A01">
            <w:pPr>
              <w:spacing w:before="0" w:after="0"/>
              <w:jc w:val="right"/>
              <w:rPr>
                <w:sz w:val="12"/>
                <w:szCs w:val="12"/>
                <w:lang w:val="fr-BE"/>
              </w:rPr>
            </w:pPr>
            <w:r w:rsidRPr="00BA47B4">
              <w:rPr>
                <w:noProof/>
                <w:sz w:val="12"/>
                <w:szCs w:val="12"/>
                <w:lang w:val="fr-BE"/>
              </w:rPr>
              <w:t>1,00</w:t>
            </w:r>
          </w:p>
        </w:tc>
        <w:tc>
          <w:tcPr>
            <w:tcW w:w="0" w:type="auto"/>
          </w:tcPr>
          <w:p w14:paraId="2E7126D2"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45EB1E2E"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67F1A705"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3CA162A1"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r>
      <w:tr w:rsidR="006B2EC1" w14:paraId="19EF412F" w14:textId="77777777" w:rsidTr="0047688D">
        <w:tc>
          <w:tcPr>
            <w:tcW w:w="0" w:type="auto"/>
            <w:shd w:val="clear" w:color="auto" w:fill="auto"/>
          </w:tcPr>
          <w:p w14:paraId="4F80F10B" w14:textId="77777777" w:rsidR="008C5CFA" w:rsidRPr="00BA47B4" w:rsidRDefault="00E82A60" w:rsidP="00300A01">
            <w:pPr>
              <w:spacing w:before="0" w:after="0"/>
              <w:rPr>
                <w:sz w:val="12"/>
                <w:szCs w:val="12"/>
                <w:lang w:val="fr-BE"/>
              </w:rPr>
            </w:pPr>
            <w:r w:rsidRPr="00BA47B4">
              <w:rPr>
                <w:noProof/>
                <w:sz w:val="12"/>
                <w:szCs w:val="12"/>
                <w:lang w:val="fr-BE"/>
              </w:rPr>
              <w:t>CR02</w:t>
            </w:r>
          </w:p>
        </w:tc>
        <w:tc>
          <w:tcPr>
            <w:tcW w:w="0" w:type="auto"/>
            <w:shd w:val="clear" w:color="auto" w:fill="auto"/>
          </w:tcPr>
          <w:p w14:paraId="20AC23FD" w14:textId="77777777" w:rsidR="008C5CFA" w:rsidRPr="00BA47B4" w:rsidRDefault="00E82A60" w:rsidP="00300A01">
            <w:pPr>
              <w:spacing w:before="0" w:after="0"/>
              <w:rPr>
                <w:sz w:val="12"/>
                <w:szCs w:val="12"/>
                <w:lang w:val="fr-BE"/>
              </w:rPr>
            </w:pPr>
            <w:r w:rsidRPr="00BA47B4">
              <w:rPr>
                <w:noProof/>
                <w:sz w:val="12"/>
                <w:szCs w:val="12"/>
                <w:lang w:val="fr-BE"/>
              </w:rPr>
              <w:t>uczestnicy kształcący lub szkolący się po opuszczeniu programu</w:t>
            </w:r>
          </w:p>
        </w:tc>
        <w:tc>
          <w:tcPr>
            <w:tcW w:w="0" w:type="auto"/>
            <w:shd w:val="clear" w:color="auto" w:fill="auto"/>
          </w:tcPr>
          <w:p w14:paraId="06ED7775" w14:textId="77777777" w:rsidR="008C5CFA" w:rsidRPr="00BA47B4" w:rsidRDefault="00E82A60" w:rsidP="00300A01">
            <w:pPr>
              <w:spacing w:before="0" w:after="0"/>
              <w:rPr>
                <w:sz w:val="12"/>
                <w:szCs w:val="12"/>
                <w:lang w:val="fr-BE"/>
              </w:rPr>
            </w:pPr>
            <w:r w:rsidRPr="00BA47B4">
              <w:rPr>
                <w:noProof/>
                <w:sz w:val="12"/>
                <w:szCs w:val="12"/>
                <w:lang w:val="fr-BE"/>
              </w:rPr>
              <w:t>Słabiej rozwinięte</w:t>
            </w:r>
          </w:p>
        </w:tc>
        <w:tc>
          <w:tcPr>
            <w:tcW w:w="0" w:type="auto"/>
          </w:tcPr>
          <w:p w14:paraId="5F0C6F1C"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7B0F7A6E"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1BD8D86E"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68F3C136"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6A4818DE" w14:textId="77777777" w:rsidR="008C5CFA" w:rsidRPr="00BA47B4" w:rsidRDefault="00E82A60" w:rsidP="00300A01">
            <w:pPr>
              <w:spacing w:before="0" w:after="0"/>
              <w:jc w:val="right"/>
              <w:rPr>
                <w:sz w:val="12"/>
                <w:szCs w:val="12"/>
                <w:lang w:val="fr-BE"/>
              </w:rPr>
            </w:pPr>
            <w:r w:rsidRPr="00BA47B4">
              <w:rPr>
                <w:noProof/>
                <w:sz w:val="12"/>
                <w:szCs w:val="12"/>
                <w:lang w:val="fr-BE"/>
              </w:rPr>
              <w:t>1,00</w:t>
            </w:r>
          </w:p>
        </w:tc>
        <w:tc>
          <w:tcPr>
            <w:tcW w:w="0" w:type="auto"/>
          </w:tcPr>
          <w:p w14:paraId="6AEEFE32"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6D9AC689"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65BF7811"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7D6E1F94"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04BE7731"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r>
      <w:tr w:rsidR="006B2EC1" w14:paraId="4B05CE46" w14:textId="77777777" w:rsidTr="0047688D">
        <w:tc>
          <w:tcPr>
            <w:tcW w:w="0" w:type="auto"/>
            <w:shd w:val="clear" w:color="auto" w:fill="auto"/>
          </w:tcPr>
          <w:p w14:paraId="0AA46C43" w14:textId="77777777" w:rsidR="008C5CFA" w:rsidRPr="00BA47B4" w:rsidRDefault="00E82A60" w:rsidP="00300A01">
            <w:pPr>
              <w:spacing w:before="0" w:after="0"/>
              <w:rPr>
                <w:sz w:val="12"/>
                <w:szCs w:val="12"/>
                <w:lang w:val="fr-BE"/>
              </w:rPr>
            </w:pPr>
            <w:r w:rsidRPr="00BA47B4">
              <w:rPr>
                <w:noProof/>
                <w:sz w:val="12"/>
                <w:szCs w:val="12"/>
                <w:lang w:val="fr-BE"/>
              </w:rPr>
              <w:t>CR03</w:t>
            </w:r>
          </w:p>
        </w:tc>
        <w:tc>
          <w:tcPr>
            <w:tcW w:w="0" w:type="auto"/>
            <w:shd w:val="clear" w:color="auto" w:fill="auto"/>
          </w:tcPr>
          <w:p w14:paraId="60DA050E" w14:textId="77777777" w:rsidR="008C5CFA" w:rsidRPr="00BA47B4" w:rsidRDefault="00E82A60" w:rsidP="00300A01">
            <w:pPr>
              <w:spacing w:before="0" w:after="0"/>
              <w:rPr>
                <w:sz w:val="12"/>
                <w:szCs w:val="12"/>
                <w:lang w:val="fr-BE"/>
              </w:rPr>
            </w:pPr>
            <w:r w:rsidRPr="00BA47B4">
              <w:rPr>
                <w:noProof/>
                <w:sz w:val="12"/>
                <w:szCs w:val="12"/>
                <w:lang w:val="fr-BE"/>
              </w:rPr>
              <w:t>uczestnicy uzyskujący kwalifikacje po opuszczeniu programu</w:t>
            </w:r>
          </w:p>
        </w:tc>
        <w:tc>
          <w:tcPr>
            <w:tcW w:w="0" w:type="auto"/>
            <w:shd w:val="clear" w:color="auto" w:fill="auto"/>
          </w:tcPr>
          <w:p w14:paraId="2700C533" w14:textId="77777777" w:rsidR="008C5CFA" w:rsidRPr="00BA47B4" w:rsidRDefault="00E82A60" w:rsidP="00300A01">
            <w:pPr>
              <w:spacing w:before="0" w:after="0"/>
              <w:rPr>
                <w:sz w:val="12"/>
                <w:szCs w:val="12"/>
                <w:lang w:val="fr-BE"/>
              </w:rPr>
            </w:pPr>
            <w:r w:rsidRPr="00BA47B4">
              <w:rPr>
                <w:noProof/>
                <w:sz w:val="12"/>
                <w:szCs w:val="12"/>
                <w:lang w:val="fr-BE"/>
              </w:rPr>
              <w:t>Słabiej rozwinięte</w:t>
            </w:r>
          </w:p>
        </w:tc>
        <w:tc>
          <w:tcPr>
            <w:tcW w:w="0" w:type="auto"/>
          </w:tcPr>
          <w:p w14:paraId="639A0A92"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27946319"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02AA8AAE" w14:textId="77777777" w:rsidR="008C5CFA" w:rsidRPr="00BA47B4" w:rsidRDefault="00E82A60" w:rsidP="00300A01">
            <w:pPr>
              <w:spacing w:before="0" w:after="0"/>
              <w:jc w:val="right"/>
              <w:rPr>
                <w:sz w:val="12"/>
                <w:szCs w:val="12"/>
                <w:lang w:val="fr-BE"/>
              </w:rPr>
            </w:pPr>
            <w:r w:rsidRPr="00BA47B4">
              <w:rPr>
                <w:noProof/>
                <w:sz w:val="12"/>
                <w:szCs w:val="12"/>
                <w:lang w:val="fr-BE"/>
              </w:rPr>
              <w:t>42,00</w:t>
            </w:r>
          </w:p>
        </w:tc>
        <w:tc>
          <w:tcPr>
            <w:tcW w:w="0" w:type="auto"/>
          </w:tcPr>
          <w:p w14:paraId="6396EB75" w14:textId="77777777" w:rsidR="008C5CFA" w:rsidRPr="00BA47B4" w:rsidRDefault="00E82A60" w:rsidP="00300A01">
            <w:pPr>
              <w:spacing w:before="0" w:after="0"/>
              <w:jc w:val="right"/>
              <w:rPr>
                <w:sz w:val="12"/>
                <w:szCs w:val="12"/>
                <w:lang w:val="fr-BE"/>
              </w:rPr>
            </w:pPr>
            <w:r w:rsidRPr="00BA47B4">
              <w:rPr>
                <w:noProof/>
                <w:sz w:val="12"/>
                <w:szCs w:val="12"/>
                <w:lang w:val="fr-BE"/>
              </w:rPr>
              <w:t>28,00</w:t>
            </w:r>
          </w:p>
        </w:tc>
        <w:tc>
          <w:tcPr>
            <w:tcW w:w="0" w:type="auto"/>
          </w:tcPr>
          <w:p w14:paraId="2FD3D4D4"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6C989404"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347356D7"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47D73379"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25DE79BB"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62F0CD6E"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r>
      <w:tr w:rsidR="006B2EC1" w14:paraId="60564887" w14:textId="77777777" w:rsidTr="0047688D">
        <w:tc>
          <w:tcPr>
            <w:tcW w:w="0" w:type="auto"/>
            <w:shd w:val="clear" w:color="auto" w:fill="auto"/>
          </w:tcPr>
          <w:p w14:paraId="38C7410D" w14:textId="77777777" w:rsidR="008C5CFA" w:rsidRPr="00BA47B4" w:rsidRDefault="00E82A60" w:rsidP="00300A01">
            <w:pPr>
              <w:spacing w:before="0" w:after="0"/>
              <w:rPr>
                <w:sz w:val="12"/>
                <w:szCs w:val="12"/>
                <w:lang w:val="fr-BE"/>
              </w:rPr>
            </w:pPr>
            <w:r w:rsidRPr="00BA47B4">
              <w:rPr>
                <w:noProof/>
                <w:sz w:val="12"/>
                <w:szCs w:val="12"/>
                <w:lang w:val="fr-BE"/>
              </w:rPr>
              <w:t>CR04</w:t>
            </w:r>
          </w:p>
        </w:tc>
        <w:tc>
          <w:tcPr>
            <w:tcW w:w="0" w:type="auto"/>
            <w:shd w:val="clear" w:color="auto" w:fill="auto"/>
          </w:tcPr>
          <w:p w14:paraId="4F175F98" w14:textId="77777777" w:rsidR="008C5CFA" w:rsidRPr="00BA47B4" w:rsidRDefault="00E82A60" w:rsidP="00300A01">
            <w:pPr>
              <w:spacing w:before="0" w:after="0"/>
              <w:rPr>
                <w:sz w:val="12"/>
                <w:szCs w:val="12"/>
                <w:lang w:val="fr-BE"/>
              </w:rPr>
            </w:pPr>
            <w:r w:rsidRPr="00BA47B4">
              <w:rPr>
                <w:noProof/>
                <w:sz w:val="12"/>
                <w:szCs w:val="12"/>
                <w:lang w:val="fr-BE"/>
              </w:rPr>
              <w:t>uczestnicy pracujący, łącznie z prowadzącymi działalność na własny rachunek, po opuszczeniu programu</w:t>
            </w:r>
          </w:p>
        </w:tc>
        <w:tc>
          <w:tcPr>
            <w:tcW w:w="0" w:type="auto"/>
            <w:shd w:val="clear" w:color="auto" w:fill="auto"/>
          </w:tcPr>
          <w:p w14:paraId="4EBB3C2F" w14:textId="77777777" w:rsidR="008C5CFA" w:rsidRPr="00BA47B4" w:rsidRDefault="00E82A60" w:rsidP="00300A01">
            <w:pPr>
              <w:spacing w:before="0" w:after="0"/>
              <w:rPr>
                <w:sz w:val="12"/>
                <w:szCs w:val="12"/>
                <w:lang w:val="fr-BE"/>
              </w:rPr>
            </w:pPr>
            <w:r w:rsidRPr="00BA47B4">
              <w:rPr>
                <w:noProof/>
                <w:sz w:val="12"/>
                <w:szCs w:val="12"/>
                <w:lang w:val="fr-BE"/>
              </w:rPr>
              <w:t>Słabiej rozwinięte</w:t>
            </w:r>
          </w:p>
        </w:tc>
        <w:tc>
          <w:tcPr>
            <w:tcW w:w="0" w:type="auto"/>
          </w:tcPr>
          <w:p w14:paraId="0000BB7B" w14:textId="77777777" w:rsidR="008C5CFA" w:rsidRPr="00BA47B4" w:rsidRDefault="00E82A60" w:rsidP="00300A01">
            <w:pPr>
              <w:spacing w:before="0" w:after="0"/>
              <w:jc w:val="right"/>
              <w:rPr>
                <w:sz w:val="12"/>
                <w:szCs w:val="12"/>
                <w:lang w:val="fr-BE"/>
              </w:rPr>
            </w:pPr>
            <w:r w:rsidRPr="00BA47B4">
              <w:rPr>
                <w:noProof/>
                <w:sz w:val="12"/>
                <w:szCs w:val="12"/>
                <w:lang w:val="fr-BE"/>
              </w:rPr>
              <w:t>336,00</w:t>
            </w:r>
          </w:p>
        </w:tc>
        <w:tc>
          <w:tcPr>
            <w:tcW w:w="0" w:type="auto"/>
          </w:tcPr>
          <w:p w14:paraId="37252072" w14:textId="77777777" w:rsidR="008C5CFA" w:rsidRPr="00BA47B4" w:rsidRDefault="00E82A60" w:rsidP="00300A01">
            <w:pPr>
              <w:spacing w:before="0" w:after="0"/>
              <w:jc w:val="right"/>
              <w:rPr>
                <w:sz w:val="12"/>
                <w:szCs w:val="12"/>
                <w:lang w:val="fr-BE"/>
              </w:rPr>
            </w:pPr>
            <w:r w:rsidRPr="00BA47B4">
              <w:rPr>
                <w:noProof/>
                <w:sz w:val="12"/>
                <w:szCs w:val="12"/>
                <w:lang w:val="fr-BE"/>
              </w:rPr>
              <w:t>331,00</w:t>
            </w:r>
          </w:p>
        </w:tc>
        <w:tc>
          <w:tcPr>
            <w:tcW w:w="0" w:type="auto"/>
          </w:tcPr>
          <w:p w14:paraId="265A8930" w14:textId="77777777" w:rsidR="008C5CFA" w:rsidRPr="00BA47B4" w:rsidRDefault="00E82A60" w:rsidP="00300A01">
            <w:pPr>
              <w:spacing w:before="0" w:after="0"/>
              <w:jc w:val="right"/>
              <w:rPr>
                <w:sz w:val="12"/>
                <w:szCs w:val="12"/>
                <w:lang w:val="fr-BE"/>
              </w:rPr>
            </w:pPr>
            <w:r w:rsidRPr="00BA47B4">
              <w:rPr>
                <w:noProof/>
                <w:sz w:val="12"/>
                <w:szCs w:val="12"/>
                <w:lang w:val="fr-BE"/>
              </w:rPr>
              <w:t>136,00</w:t>
            </w:r>
          </w:p>
        </w:tc>
        <w:tc>
          <w:tcPr>
            <w:tcW w:w="0" w:type="auto"/>
          </w:tcPr>
          <w:p w14:paraId="7A4DBA8B" w14:textId="77777777" w:rsidR="008C5CFA" w:rsidRPr="00BA47B4" w:rsidRDefault="00E82A60" w:rsidP="00300A01">
            <w:pPr>
              <w:spacing w:before="0" w:after="0"/>
              <w:jc w:val="right"/>
              <w:rPr>
                <w:sz w:val="12"/>
                <w:szCs w:val="12"/>
                <w:lang w:val="fr-BE"/>
              </w:rPr>
            </w:pPr>
            <w:r w:rsidRPr="00BA47B4">
              <w:rPr>
                <w:noProof/>
                <w:sz w:val="12"/>
                <w:szCs w:val="12"/>
                <w:lang w:val="fr-BE"/>
              </w:rPr>
              <w:t>203,00</w:t>
            </w:r>
          </w:p>
        </w:tc>
        <w:tc>
          <w:tcPr>
            <w:tcW w:w="0" w:type="auto"/>
          </w:tcPr>
          <w:p w14:paraId="12FA6AF9" w14:textId="77777777" w:rsidR="008C5CFA" w:rsidRPr="00BA47B4" w:rsidRDefault="00E82A60" w:rsidP="00300A01">
            <w:pPr>
              <w:spacing w:before="0" w:after="0"/>
              <w:jc w:val="right"/>
              <w:rPr>
                <w:sz w:val="12"/>
                <w:szCs w:val="12"/>
                <w:lang w:val="fr-BE"/>
              </w:rPr>
            </w:pPr>
            <w:r w:rsidRPr="00BA47B4">
              <w:rPr>
                <w:noProof/>
                <w:sz w:val="12"/>
                <w:szCs w:val="12"/>
                <w:lang w:val="fr-BE"/>
              </w:rPr>
              <w:t>7,00</w:t>
            </w:r>
          </w:p>
        </w:tc>
        <w:tc>
          <w:tcPr>
            <w:tcW w:w="0" w:type="auto"/>
          </w:tcPr>
          <w:p w14:paraId="2BE68B54" w14:textId="77777777" w:rsidR="008C5CFA" w:rsidRPr="00BA47B4" w:rsidRDefault="00E82A60" w:rsidP="00300A01">
            <w:pPr>
              <w:spacing w:before="0" w:after="0"/>
              <w:jc w:val="right"/>
              <w:rPr>
                <w:sz w:val="12"/>
                <w:szCs w:val="12"/>
                <w:lang w:val="fr-BE"/>
              </w:rPr>
            </w:pPr>
            <w:r w:rsidRPr="00BA47B4">
              <w:rPr>
                <w:noProof/>
                <w:sz w:val="12"/>
                <w:szCs w:val="12"/>
                <w:lang w:val="fr-BE"/>
              </w:rPr>
              <w:t>14,00</w:t>
            </w:r>
          </w:p>
        </w:tc>
        <w:tc>
          <w:tcPr>
            <w:tcW w:w="0" w:type="auto"/>
          </w:tcPr>
          <w:p w14:paraId="467BEA2F"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1AD3F0A8"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4FC41FDE"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32076263"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r>
      <w:tr w:rsidR="006B2EC1" w14:paraId="786FE40A" w14:textId="77777777" w:rsidTr="0047688D">
        <w:tc>
          <w:tcPr>
            <w:tcW w:w="0" w:type="auto"/>
            <w:shd w:val="clear" w:color="auto" w:fill="auto"/>
          </w:tcPr>
          <w:p w14:paraId="692957B4" w14:textId="77777777" w:rsidR="008C5CFA" w:rsidRPr="00BA47B4" w:rsidRDefault="00E82A60" w:rsidP="00300A01">
            <w:pPr>
              <w:spacing w:before="0" w:after="0"/>
              <w:rPr>
                <w:sz w:val="12"/>
                <w:szCs w:val="12"/>
                <w:lang w:val="fr-BE"/>
              </w:rPr>
            </w:pPr>
            <w:r w:rsidRPr="00BA47B4">
              <w:rPr>
                <w:noProof/>
                <w:sz w:val="12"/>
                <w:szCs w:val="12"/>
                <w:lang w:val="fr-BE"/>
              </w:rPr>
              <w:t>CR05</w:t>
            </w:r>
          </w:p>
        </w:tc>
        <w:tc>
          <w:tcPr>
            <w:tcW w:w="0" w:type="auto"/>
            <w:shd w:val="clear" w:color="auto" w:fill="auto"/>
          </w:tcPr>
          <w:p w14:paraId="72168D79" w14:textId="77777777" w:rsidR="008C5CFA" w:rsidRPr="00BA47B4" w:rsidRDefault="00E82A60" w:rsidP="00300A01">
            <w:pPr>
              <w:spacing w:before="0" w:after="0"/>
              <w:rPr>
                <w:sz w:val="12"/>
                <w:szCs w:val="12"/>
                <w:lang w:val="fr-BE"/>
              </w:rPr>
            </w:pPr>
            <w:r w:rsidRPr="00BA47B4">
              <w:rPr>
                <w:noProof/>
                <w:sz w:val="12"/>
                <w:szCs w:val="12"/>
                <w:lang w:val="fr-BE"/>
              </w:rPr>
              <w:t>uczestnicy w niekorzystnej sytuacji społecznej poszukujący pracy, uczestniczący w kształceniu lub szkoleniu, zdobywający kwalifikacje lub pracujący (łącznie z prowadzącymi działalność na własny rachunek) po opuszczeniu programu</w:t>
            </w:r>
          </w:p>
        </w:tc>
        <w:tc>
          <w:tcPr>
            <w:tcW w:w="0" w:type="auto"/>
            <w:shd w:val="clear" w:color="auto" w:fill="auto"/>
          </w:tcPr>
          <w:p w14:paraId="663E492D" w14:textId="77777777" w:rsidR="008C5CFA" w:rsidRPr="00BA47B4" w:rsidRDefault="00E82A60" w:rsidP="00300A01">
            <w:pPr>
              <w:spacing w:before="0" w:after="0"/>
              <w:rPr>
                <w:sz w:val="12"/>
                <w:szCs w:val="12"/>
                <w:lang w:val="fr-BE"/>
              </w:rPr>
            </w:pPr>
            <w:r w:rsidRPr="00BA47B4">
              <w:rPr>
                <w:noProof/>
                <w:sz w:val="12"/>
                <w:szCs w:val="12"/>
                <w:lang w:val="fr-BE"/>
              </w:rPr>
              <w:t>Słabiej rozwinięte</w:t>
            </w:r>
          </w:p>
        </w:tc>
        <w:tc>
          <w:tcPr>
            <w:tcW w:w="0" w:type="auto"/>
          </w:tcPr>
          <w:p w14:paraId="7E8A24AD" w14:textId="77777777" w:rsidR="008C5CFA" w:rsidRPr="00BA47B4" w:rsidRDefault="00E82A60" w:rsidP="00300A01">
            <w:pPr>
              <w:spacing w:before="0" w:after="0"/>
              <w:jc w:val="right"/>
              <w:rPr>
                <w:sz w:val="12"/>
                <w:szCs w:val="12"/>
                <w:lang w:val="fr-BE"/>
              </w:rPr>
            </w:pPr>
            <w:r w:rsidRPr="00BA47B4">
              <w:rPr>
                <w:noProof/>
                <w:sz w:val="12"/>
                <w:szCs w:val="12"/>
                <w:lang w:val="fr-BE"/>
              </w:rPr>
              <w:t>226,00</w:t>
            </w:r>
          </w:p>
        </w:tc>
        <w:tc>
          <w:tcPr>
            <w:tcW w:w="0" w:type="auto"/>
          </w:tcPr>
          <w:p w14:paraId="14ADFF2E" w14:textId="77777777" w:rsidR="008C5CFA" w:rsidRPr="00BA47B4" w:rsidRDefault="00E82A60" w:rsidP="00300A01">
            <w:pPr>
              <w:spacing w:before="0" w:after="0"/>
              <w:jc w:val="right"/>
              <w:rPr>
                <w:sz w:val="12"/>
                <w:szCs w:val="12"/>
                <w:lang w:val="fr-BE"/>
              </w:rPr>
            </w:pPr>
            <w:r w:rsidRPr="00BA47B4">
              <w:rPr>
                <w:noProof/>
                <w:sz w:val="12"/>
                <w:szCs w:val="12"/>
                <w:lang w:val="fr-BE"/>
              </w:rPr>
              <w:t>212,00</w:t>
            </w:r>
          </w:p>
        </w:tc>
        <w:tc>
          <w:tcPr>
            <w:tcW w:w="0" w:type="auto"/>
          </w:tcPr>
          <w:p w14:paraId="722344C6" w14:textId="77777777" w:rsidR="008C5CFA" w:rsidRPr="00BA47B4" w:rsidRDefault="00E82A60" w:rsidP="00300A01">
            <w:pPr>
              <w:spacing w:before="0" w:after="0"/>
              <w:jc w:val="right"/>
              <w:rPr>
                <w:sz w:val="12"/>
                <w:szCs w:val="12"/>
                <w:lang w:val="fr-BE"/>
              </w:rPr>
            </w:pPr>
            <w:r w:rsidRPr="00BA47B4">
              <w:rPr>
                <w:noProof/>
                <w:sz w:val="12"/>
                <w:szCs w:val="12"/>
                <w:lang w:val="fr-BE"/>
              </w:rPr>
              <w:t>117,00</w:t>
            </w:r>
          </w:p>
        </w:tc>
        <w:tc>
          <w:tcPr>
            <w:tcW w:w="0" w:type="auto"/>
          </w:tcPr>
          <w:p w14:paraId="4E12618E" w14:textId="77777777" w:rsidR="008C5CFA" w:rsidRPr="00BA47B4" w:rsidRDefault="00E82A60" w:rsidP="00300A01">
            <w:pPr>
              <w:spacing w:before="0" w:after="0"/>
              <w:jc w:val="right"/>
              <w:rPr>
                <w:sz w:val="12"/>
                <w:szCs w:val="12"/>
                <w:lang w:val="fr-BE"/>
              </w:rPr>
            </w:pPr>
            <w:r w:rsidRPr="00BA47B4">
              <w:rPr>
                <w:noProof/>
                <w:sz w:val="12"/>
                <w:szCs w:val="12"/>
                <w:lang w:val="fr-BE"/>
              </w:rPr>
              <w:t>156,00</w:t>
            </w:r>
          </w:p>
        </w:tc>
        <w:tc>
          <w:tcPr>
            <w:tcW w:w="0" w:type="auto"/>
          </w:tcPr>
          <w:p w14:paraId="323567B8" w14:textId="77777777" w:rsidR="008C5CFA" w:rsidRPr="00BA47B4" w:rsidRDefault="00E82A60" w:rsidP="00300A01">
            <w:pPr>
              <w:spacing w:before="0" w:after="0"/>
              <w:jc w:val="right"/>
              <w:rPr>
                <w:sz w:val="12"/>
                <w:szCs w:val="12"/>
                <w:lang w:val="fr-BE"/>
              </w:rPr>
            </w:pPr>
            <w:r w:rsidRPr="00BA47B4">
              <w:rPr>
                <w:noProof/>
                <w:sz w:val="12"/>
                <w:szCs w:val="12"/>
                <w:lang w:val="fr-BE"/>
              </w:rPr>
              <w:t>5,00</w:t>
            </w:r>
          </w:p>
        </w:tc>
        <w:tc>
          <w:tcPr>
            <w:tcW w:w="0" w:type="auto"/>
          </w:tcPr>
          <w:p w14:paraId="45D8BD3C" w14:textId="77777777" w:rsidR="008C5CFA" w:rsidRPr="00BA47B4" w:rsidRDefault="00E82A60" w:rsidP="00300A01">
            <w:pPr>
              <w:spacing w:before="0" w:after="0"/>
              <w:jc w:val="right"/>
              <w:rPr>
                <w:sz w:val="12"/>
                <w:szCs w:val="12"/>
                <w:lang w:val="fr-BE"/>
              </w:rPr>
            </w:pPr>
            <w:r w:rsidRPr="00BA47B4">
              <w:rPr>
                <w:noProof/>
                <w:sz w:val="12"/>
                <w:szCs w:val="12"/>
                <w:lang w:val="fr-BE"/>
              </w:rPr>
              <w:t>7,00</w:t>
            </w:r>
          </w:p>
        </w:tc>
        <w:tc>
          <w:tcPr>
            <w:tcW w:w="0" w:type="auto"/>
          </w:tcPr>
          <w:p w14:paraId="26E073E6"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0BCB14E0"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08EC9272"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76BAD44F"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r>
      <w:tr w:rsidR="006B2EC1" w14:paraId="2C75EDF1" w14:textId="77777777" w:rsidTr="0047688D">
        <w:tc>
          <w:tcPr>
            <w:tcW w:w="0" w:type="auto"/>
            <w:shd w:val="clear" w:color="auto" w:fill="auto"/>
          </w:tcPr>
          <w:p w14:paraId="778C51E2" w14:textId="77777777" w:rsidR="008C5CFA" w:rsidRPr="00BA47B4" w:rsidRDefault="00E82A60" w:rsidP="00300A01">
            <w:pPr>
              <w:spacing w:before="0" w:after="0"/>
              <w:rPr>
                <w:sz w:val="12"/>
                <w:szCs w:val="12"/>
                <w:lang w:val="fr-BE"/>
              </w:rPr>
            </w:pPr>
            <w:r w:rsidRPr="00BA47B4">
              <w:rPr>
                <w:noProof/>
                <w:sz w:val="12"/>
                <w:szCs w:val="12"/>
                <w:lang w:val="fr-BE"/>
              </w:rPr>
              <w:t>CR06</w:t>
            </w:r>
          </w:p>
        </w:tc>
        <w:tc>
          <w:tcPr>
            <w:tcW w:w="0" w:type="auto"/>
            <w:shd w:val="clear" w:color="auto" w:fill="auto"/>
          </w:tcPr>
          <w:p w14:paraId="5D2E4DDA" w14:textId="77777777" w:rsidR="008C5CFA" w:rsidRPr="00BA47B4" w:rsidRDefault="00E82A60" w:rsidP="00300A01">
            <w:pPr>
              <w:spacing w:before="0" w:after="0"/>
              <w:rPr>
                <w:sz w:val="12"/>
                <w:szCs w:val="12"/>
                <w:lang w:val="fr-BE"/>
              </w:rPr>
            </w:pPr>
            <w:r w:rsidRPr="00BA47B4">
              <w:rPr>
                <w:noProof/>
                <w:sz w:val="12"/>
                <w:szCs w:val="12"/>
                <w:lang w:val="fr-BE"/>
              </w:rPr>
              <w:t>uczestnicy pracujący, łącznie z prowadzącymi działalność na własny rachunek, sześć miesięcy po opuszczeniu programu</w:t>
            </w:r>
          </w:p>
        </w:tc>
        <w:tc>
          <w:tcPr>
            <w:tcW w:w="0" w:type="auto"/>
            <w:shd w:val="clear" w:color="auto" w:fill="auto"/>
          </w:tcPr>
          <w:p w14:paraId="546D7CAF" w14:textId="77777777" w:rsidR="008C5CFA" w:rsidRPr="00BA47B4" w:rsidRDefault="00E82A60" w:rsidP="00300A01">
            <w:pPr>
              <w:spacing w:before="0" w:after="0"/>
              <w:rPr>
                <w:sz w:val="12"/>
                <w:szCs w:val="12"/>
                <w:lang w:val="fr-BE"/>
              </w:rPr>
            </w:pPr>
            <w:r w:rsidRPr="00BA47B4">
              <w:rPr>
                <w:noProof/>
                <w:sz w:val="12"/>
                <w:szCs w:val="12"/>
                <w:lang w:val="fr-BE"/>
              </w:rPr>
              <w:t>Słabiej rozwinięte</w:t>
            </w:r>
          </w:p>
        </w:tc>
        <w:tc>
          <w:tcPr>
            <w:tcW w:w="0" w:type="auto"/>
          </w:tcPr>
          <w:p w14:paraId="07553346" w14:textId="77777777" w:rsidR="008C5CFA" w:rsidRPr="00BA47B4" w:rsidRDefault="00E82A60" w:rsidP="00300A01">
            <w:pPr>
              <w:spacing w:before="0" w:after="0"/>
              <w:jc w:val="right"/>
              <w:rPr>
                <w:sz w:val="12"/>
                <w:szCs w:val="12"/>
                <w:lang w:val="fr-BE"/>
              </w:rPr>
            </w:pPr>
            <w:r w:rsidRPr="00BA47B4">
              <w:rPr>
                <w:noProof/>
                <w:sz w:val="12"/>
                <w:szCs w:val="12"/>
                <w:lang w:val="fr-BE"/>
              </w:rPr>
              <w:t>1 259,00</w:t>
            </w:r>
          </w:p>
        </w:tc>
        <w:tc>
          <w:tcPr>
            <w:tcW w:w="0" w:type="auto"/>
          </w:tcPr>
          <w:p w14:paraId="6A9CB4E8" w14:textId="77777777" w:rsidR="008C5CFA" w:rsidRPr="00BA47B4" w:rsidRDefault="00E82A60" w:rsidP="00300A01">
            <w:pPr>
              <w:spacing w:before="0" w:after="0"/>
              <w:jc w:val="right"/>
              <w:rPr>
                <w:sz w:val="12"/>
                <w:szCs w:val="12"/>
                <w:lang w:val="fr-BE"/>
              </w:rPr>
            </w:pPr>
            <w:r w:rsidRPr="00BA47B4">
              <w:rPr>
                <w:noProof/>
                <w:sz w:val="12"/>
                <w:szCs w:val="12"/>
                <w:lang w:val="fr-BE"/>
              </w:rPr>
              <w:t>1 366,00</w:t>
            </w:r>
          </w:p>
        </w:tc>
        <w:tc>
          <w:tcPr>
            <w:tcW w:w="0" w:type="auto"/>
          </w:tcPr>
          <w:p w14:paraId="18D51621"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41BEAE67"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4B358B05"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60232458"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3F362287"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1AD777BA"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5718D683"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6EEA456A"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r>
      <w:tr w:rsidR="006B2EC1" w14:paraId="668E8781" w14:textId="77777777" w:rsidTr="0047688D">
        <w:tc>
          <w:tcPr>
            <w:tcW w:w="0" w:type="auto"/>
            <w:shd w:val="clear" w:color="auto" w:fill="auto"/>
          </w:tcPr>
          <w:p w14:paraId="433608E6" w14:textId="77777777" w:rsidR="008C5CFA" w:rsidRPr="00BA47B4" w:rsidRDefault="00E82A60" w:rsidP="00300A01">
            <w:pPr>
              <w:spacing w:before="0" w:after="0"/>
              <w:rPr>
                <w:sz w:val="12"/>
                <w:szCs w:val="12"/>
                <w:lang w:val="fr-BE"/>
              </w:rPr>
            </w:pPr>
            <w:r w:rsidRPr="00BA47B4">
              <w:rPr>
                <w:noProof/>
                <w:sz w:val="12"/>
                <w:szCs w:val="12"/>
                <w:lang w:val="fr-BE"/>
              </w:rPr>
              <w:t>CR07</w:t>
            </w:r>
          </w:p>
        </w:tc>
        <w:tc>
          <w:tcPr>
            <w:tcW w:w="0" w:type="auto"/>
            <w:shd w:val="clear" w:color="auto" w:fill="auto"/>
          </w:tcPr>
          <w:p w14:paraId="0B002AF0" w14:textId="77777777" w:rsidR="008C5CFA" w:rsidRPr="00BA47B4" w:rsidRDefault="00E82A60" w:rsidP="00300A01">
            <w:pPr>
              <w:spacing w:before="0" w:after="0"/>
              <w:rPr>
                <w:sz w:val="12"/>
                <w:szCs w:val="12"/>
                <w:lang w:val="fr-BE"/>
              </w:rPr>
            </w:pPr>
            <w:r w:rsidRPr="00BA47B4">
              <w:rPr>
                <w:noProof/>
                <w:sz w:val="12"/>
                <w:szCs w:val="12"/>
                <w:lang w:val="fr-BE"/>
              </w:rPr>
              <w:t>uczestnicy znajdujący się w lepszej sytuacji na rynku pracy sześć miesięcy po opuszczeniu programu</w:t>
            </w:r>
          </w:p>
        </w:tc>
        <w:tc>
          <w:tcPr>
            <w:tcW w:w="0" w:type="auto"/>
            <w:shd w:val="clear" w:color="auto" w:fill="auto"/>
          </w:tcPr>
          <w:p w14:paraId="207BE253" w14:textId="77777777" w:rsidR="008C5CFA" w:rsidRPr="00BA47B4" w:rsidRDefault="00E82A60" w:rsidP="00300A01">
            <w:pPr>
              <w:spacing w:before="0" w:after="0"/>
              <w:rPr>
                <w:sz w:val="12"/>
                <w:szCs w:val="12"/>
                <w:lang w:val="fr-BE"/>
              </w:rPr>
            </w:pPr>
            <w:r w:rsidRPr="00BA47B4">
              <w:rPr>
                <w:noProof/>
                <w:sz w:val="12"/>
                <w:szCs w:val="12"/>
                <w:lang w:val="fr-BE"/>
              </w:rPr>
              <w:t>Słabiej rozwinięte</w:t>
            </w:r>
          </w:p>
        </w:tc>
        <w:tc>
          <w:tcPr>
            <w:tcW w:w="0" w:type="auto"/>
          </w:tcPr>
          <w:p w14:paraId="4BA65947"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47BBCB70"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0A786EF1"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4944D291"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704ED54C"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1B59AF89"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5AAFD609"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26B30B1C"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3DBE03F8"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3DAB0FEB"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r>
      <w:tr w:rsidR="006B2EC1" w14:paraId="1D4BF30F" w14:textId="77777777" w:rsidTr="0047688D">
        <w:tc>
          <w:tcPr>
            <w:tcW w:w="0" w:type="auto"/>
            <w:shd w:val="clear" w:color="auto" w:fill="auto"/>
          </w:tcPr>
          <w:p w14:paraId="04F1579A" w14:textId="77777777" w:rsidR="008C5CFA" w:rsidRPr="00BA47B4" w:rsidRDefault="00E82A60" w:rsidP="00300A01">
            <w:pPr>
              <w:spacing w:before="0" w:after="0"/>
              <w:rPr>
                <w:sz w:val="12"/>
                <w:szCs w:val="12"/>
                <w:lang w:val="fr-BE"/>
              </w:rPr>
            </w:pPr>
            <w:r w:rsidRPr="00BA47B4">
              <w:rPr>
                <w:noProof/>
                <w:sz w:val="12"/>
                <w:szCs w:val="12"/>
                <w:lang w:val="fr-BE"/>
              </w:rPr>
              <w:t>CR08</w:t>
            </w:r>
          </w:p>
        </w:tc>
        <w:tc>
          <w:tcPr>
            <w:tcW w:w="0" w:type="auto"/>
            <w:shd w:val="clear" w:color="auto" w:fill="auto"/>
          </w:tcPr>
          <w:p w14:paraId="39BA6C76" w14:textId="77777777" w:rsidR="008C5CFA" w:rsidRPr="00BA47B4" w:rsidRDefault="00E82A60" w:rsidP="00300A01">
            <w:pPr>
              <w:spacing w:before="0" w:after="0"/>
              <w:rPr>
                <w:sz w:val="12"/>
                <w:szCs w:val="12"/>
                <w:lang w:val="fr-BE"/>
              </w:rPr>
            </w:pPr>
            <w:r w:rsidRPr="00BA47B4">
              <w:rPr>
                <w:noProof/>
                <w:sz w:val="12"/>
                <w:szCs w:val="12"/>
                <w:lang w:val="fr-BE"/>
              </w:rPr>
              <w:t>uczestnicy powyżej 54 roku życia, pracujący, łącznie z prowadzącymi działalność na własny rachunek, sześć miesięcy po opuszczeniu programu</w:t>
            </w:r>
          </w:p>
        </w:tc>
        <w:tc>
          <w:tcPr>
            <w:tcW w:w="0" w:type="auto"/>
            <w:shd w:val="clear" w:color="auto" w:fill="auto"/>
          </w:tcPr>
          <w:p w14:paraId="3FDFC994" w14:textId="77777777" w:rsidR="008C5CFA" w:rsidRPr="00BA47B4" w:rsidRDefault="00E82A60" w:rsidP="00300A01">
            <w:pPr>
              <w:spacing w:before="0" w:after="0"/>
              <w:rPr>
                <w:sz w:val="12"/>
                <w:szCs w:val="12"/>
                <w:lang w:val="fr-BE"/>
              </w:rPr>
            </w:pPr>
            <w:r w:rsidRPr="00BA47B4">
              <w:rPr>
                <w:noProof/>
                <w:sz w:val="12"/>
                <w:szCs w:val="12"/>
                <w:lang w:val="fr-BE"/>
              </w:rPr>
              <w:t>Słabiej rozwinięte</w:t>
            </w:r>
          </w:p>
        </w:tc>
        <w:tc>
          <w:tcPr>
            <w:tcW w:w="0" w:type="auto"/>
          </w:tcPr>
          <w:p w14:paraId="0744FD06" w14:textId="77777777" w:rsidR="008C5CFA" w:rsidRPr="00BA47B4" w:rsidRDefault="00E82A60" w:rsidP="00300A01">
            <w:pPr>
              <w:spacing w:before="0" w:after="0"/>
              <w:jc w:val="right"/>
              <w:rPr>
                <w:sz w:val="12"/>
                <w:szCs w:val="12"/>
                <w:lang w:val="fr-BE"/>
              </w:rPr>
            </w:pPr>
            <w:r w:rsidRPr="00BA47B4">
              <w:rPr>
                <w:noProof/>
                <w:sz w:val="12"/>
                <w:szCs w:val="12"/>
                <w:lang w:val="fr-BE"/>
              </w:rPr>
              <w:t>85,00</w:t>
            </w:r>
          </w:p>
        </w:tc>
        <w:tc>
          <w:tcPr>
            <w:tcW w:w="0" w:type="auto"/>
          </w:tcPr>
          <w:p w14:paraId="7CAB82E0" w14:textId="77777777" w:rsidR="008C5CFA" w:rsidRPr="00BA47B4" w:rsidRDefault="00E82A60" w:rsidP="00300A01">
            <w:pPr>
              <w:spacing w:before="0" w:after="0"/>
              <w:jc w:val="right"/>
              <w:rPr>
                <w:sz w:val="12"/>
                <w:szCs w:val="12"/>
                <w:lang w:val="fr-BE"/>
              </w:rPr>
            </w:pPr>
            <w:r w:rsidRPr="00BA47B4">
              <w:rPr>
                <w:noProof/>
                <w:sz w:val="12"/>
                <w:szCs w:val="12"/>
                <w:lang w:val="fr-BE"/>
              </w:rPr>
              <w:t>57,00</w:t>
            </w:r>
          </w:p>
        </w:tc>
        <w:tc>
          <w:tcPr>
            <w:tcW w:w="0" w:type="auto"/>
          </w:tcPr>
          <w:p w14:paraId="5AC8D850"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661F6886"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5DF9D95C"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551481DA"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0EC66376"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6BE2627B"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66E906DC"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14B921A2"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r>
      <w:tr w:rsidR="006B2EC1" w14:paraId="326B85E4" w14:textId="77777777" w:rsidTr="0047688D">
        <w:tc>
          <w:tcPr>
            <w:tcW w:w="0" w:type="auto"/>
            <w:shd w:val="clear" w:color="auto" w:fill="auto"/>
          </w:tcPr>
          <w:p w14:paraId="05B84A90" w14:textId="77777777" w:rsidR="008C5CFA" w:rsidRPr="00BA47B4" w:rsidRDefault="00E82A60" w:rsidP="00300A01">
            <w:pPr>
              <w:spacing w:before="0" w:after="0"/>
              <w:rPr>
                <w:sz w:val="12"/>
                <w:szCs w:val="12"/>
                <w:lang w:val="fr-BE"/>
              </w:rPr>
            </w:pPr>
            <w:r w:rsidRPr="00BA47B4">
              <w:rPr>
                <w:noProof/>
                <w:sz w:val="12"/>
                <w:szCs w:val="12"/>
                <w:lang w:val="fr-BE"/>
              </w:rPr>
              <w:t>CR09</w:t>
            </w:r>
          </w:p>
        </w:tc>
        <w:tc>
          <w:tcPr>
            <w:tcW w:w="0" w:type="auto"/>
            <w:shd w:val="clear" w:color="auto" w:fill="auto"/>
          </w:tcPr>
          <w:p w14:paraId="0A112E10" w14:textId="77777777" w:rsidR="008C5CFA" w:rsidRPr="00BA47B4" w:rsidRDefault="00E82A60" w:rsidP="00300A01">
            <w:pPr>
              <w:spacing w:before="0" w:after="0"/>
              <w:rPr>
                <w:sz w:val="12"/>
                <w:szCs w:val="12"/>
                <w:lang w:val="fr-BE"/>
              </w:rPr>
            </w:pPr>
            <w:r w:rsidRPr="00BA47B4">
              <w:rPr>
                <w:noProof/>
                <w:sz w:val="12"/>
                <w:szCs w:val="12"/>
                <w:lang w:val="fr-BE"/>
              </w:rPr>
              <w:t>uczestnicy w niekorzystnej sytuacji społecznej, pracujący, łącznie z prowadzącymi działalność na własny rachunek, sześć miesięcy po opuszczeniu programu</w:t>
            </w:r>
          </w:p>
        </w:tc>
        <w:tc>
          <w:tcPr>
            <w:tcW w:w="0" w:type="auto"/>
            <w:shd w:val="clear" w:color="auto" w:fill="auto"/>
          </w:tcPr>
          <w:p w14:paraId="5020D4AF" w14:textId="77777777" w:rsidR="008C5CFA" w:rsidRPr="00BA47B4" w:rsidRDefault="00E82A60" w:rsidP="00300A01">
            <w:pPr>
              <w:spacing w:before="0" w:after="0"/>
              <w:rPr>
                <w:sz w:val="12"/>
                <w:szCs w:val="12"/>
                <w:lang w:val="fr-BE"/>
              </w:rPr>
            </w:pPr>
            <w:r w:rsidRPr="00BA47B4">
              <w:rPr>
                <w:noProof/>
                <w:sz w:val="12"/>
                <w:szCs w:val="12"/>
                <w:lang w:val="fr-BE"/>
              </w:rPr>
              <w:t>Słabiej rozwinięte</w:t>
            </w:r>
          </w:p>
        </w:tc>
        <w:tc>
          <w:tcPr>
            <w:tcW w:w="0" w:type="auto"/>
          </w:tcPr>
          <w:p w14:paraId="168C123F" w14:textId="77777777" w:rsidR="008C5CFA" w:rsidRPr="00BA47B4" w:rsidRDefault="00E82A60" w:rsidP="00300A01">
            <w:pPr>
              <w:spacing w:before="0" w:after="0"/>
              <w:jc w:val="right"/>
              <w:rPr>
                <w:sz w:val="12"/>
                <w:szCs w:val="12"/>
                <w:lang w:val="fr-BE"/>
              </w:rPr>
            </w:pPr>
            <w:r w:rsidRPr="00BA47B4">
              <w:rPr>
                <w:noProof/>
                <w:sz w:val="12"/>
                <w:szCs w:val="12"/>
                <w:lang w:val="fr-BE"/>
              </w:rPr>
              <w:t>413,00</w:t>
            </w:r>
          </w:p>
        </w:tc>
        <w:tc>
          <w:tcPr>
            <w:tcW w:w="0" w:type="auto"/>
          </w:tcPr>
          <w:p w14:paraId="16A4B81B" w14:textId="77777777" w:rsidR="008C5CFA" w:rsidRPr="00BA47B4" w:rsidRDefault="00E82A60" w:rsidP="00300A01">
            <w:pPr>
              <w:spacing w:before="0" w:after="0"/>
              <w:jc w:val="right"/>
              <w:rPr>
                <w:sz w:val="12"/>
                <w:szCs w:val="12"/>
                <w:lang w:val="fr-BE"/>
              </w:rPr>
            </w:pPr>
            <w:r w:rsidRPr="00BA47B4">
              <w:rPr>
                <w:noProof/>
                <w:sz w:val="12"/>
                <w:szCs w:val="12"/>
                <w:lang w:val="fr-BE"/>
              </w:rPr>
              <w:t>422,00</w:t>
            </w:r>
          </w:p>
        </w:tc>
        <w:tc>
          <w:tcPr>
            <w:tcW w:w="0" w:type="auto"/>
          </w:tcPr>
          <w:p w14:paraId="4837A6A5"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1A00E2AF"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2F0505C7"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6EBB7197"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2801A6F1"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626E3368"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38B6FE0A"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5F3C96A1"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r>
    </w:tbl>
    <w:p w14:paraId="61FC48C7" w14:textId="77777777" w:rsidR="008C5CFA" w:rsidRPr="00530285" w:rsidRDefault="008C5CFA" w:rsidP="00300A01">
      <w:pPr>
        <w:keepNext/>
        <w:spacing w:before="0" w:after="0"/>
        <w:rPr>
          <w:sz w:val="20"/>
          <w:szCs w:val="20"/>
        </w:rPr>
      </w:pPr>
    </w:p>
    <w:p w14:paraId="2680E90A" w14:textId="77777777" w:rsidR="008C5CFA" w:rsidRDefault="00E82A60" w:rsidP="00300A01">
      <w:pPr>
        <w:spacing w:before="0" w:after="0"/>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6"/>
        <w:gridCol w:w="12958"/>
      </w:tblGrid>
      <w:tr w:rsidR="006B2EC1" w14:paraId="449D58D6" w14:textId="77777777" w:rsidTr="0047688D">
        <w:tc>
          <w:tcPr>
            <w:tcW w:w="0" w:type="auto"/>
            <w:shd w:val="clear" w:color="auto" w:fill="auto"/>
          </w:tcPr>
          <w:p w14:paraId="3A78E9F1" w14:textId="77777777" w:rsidR="008C5CFA" w:rsidRPr="002124FC" w:rsidRDefault="00E82A60" w:rsidP="00300A01">
            <w:pPr>
              <w:spacing w:before="0" w:after="0"/>
              <w:rPr>
                <w:sz w:val="20"/>
                <w:szCs w:val="20"/>
                <w:lang w:val="fr-BE"/>
              </w:rPr>
            </w:pPr>
            <w:r>
              <w:rPr>
                <w:lang w:val="fr-BE"/>
              </w:rPr>
              <w:lastRenderedPageBreak/>
              <w:br w:type="page"/>
            </w:r>
            <w:r>
              <w:rPr>
                <w:lang w:val="fr-BE"/>
              </w:rPr>
              <w:br w:type="page"/>
            </w:r>
            <w:r w:rsidRPr="002124FC">
              <w:rPr>
                <w:noProof/>
                <w:sz w:val="20"/>
                <w:szCs w:val="20"/>
                <w:lang w:val="fr-BE"/>
              </w:rPr>
              <w:t>Oś priorytetowa</w:t>
            </w:r>
          </w:p>
        </w:tc>
        <w:tc>
          <w:tcPr>
            <w:tcW w:w="0" w:type="auto"/>
            <w:shd w:val="clear" w:color="auto" w:fill="auto"/>
          </w:tcPr>
          <w:p w14:paraId="4BB39D10" w14:textId="77777777" w:rsidR="008C5CFA" w:rsidRPr="002124FC" w:rsidRDefault="00E82A60" w:rsidP="00300A01">
            <w:pPr>
              <w:spacing w:before="0" w:after="0"/>
              <w:rPr>
                <w:sz w:val="20"/>
                <w:szCs w:val="20"/>
                <w:lang w:val="fr-BE"/>
              </w:rPr>
            </w:pPr>
            <w:r w:rsidRPr="002124FC">
              <w:rPr>
                <w:noProof/>
                <w:sz w:val="20"/>
                <w:szCs w:val="20"/>
                <w:lang w:val="fr-BE"/>
              </w:rPr>
              <w:t>10</w:t>
            </w:r>
            <w:r w:rsidRPr="002124FC">
              <w:rPr>
                <w:sz w:val="20"/>
                <w:szCs w:val="20"/>
                <w:lang w:val="fr-BE"/>
              </w:rPr>
              <w:t xml:space="preserve"> - </w:t>
            </w:r>
            <w:r w:rsidRPr="002124FC">
              <w:rPr>
                <w:noProof/>
                <w:sz w:val="20"/>
                <w:szCs w:val="20"/>
                <w:lang w:val="fr-BE"/>
              </w:rPr>
              <w:t>Otwarty rynek pracy</w:t>
            </w:r>
          </w:p>
        </w:tc>
      </w:tr>
      <w:tr w:rsidR="006B2EC1" w14:paraId="0C0ACAAA" w14:textId="77777777" w:rsidTr="0047688D">
        <w:tc>
          <w:tcPr>
            <w:tcW w:w="0" w:type="auto"/>
            <w:shd w:val="clear" w:color="auto" w:fill="auto"/>
          </w:tcPr>
          <w:p w14:paraId="6365E467" w14:textId="77777777" w:rsidR="008C5CFA" w:rsidRPr="002124FC" w:rsidRDefault="00E82A60"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14:paraId="56F83B61" w14:textId="77777777" w:rsidR="008C5CFA" w:rsidRPr="002124FC" w:rsidRDefault="00E82A60" w:rsidP="00300A01">
            <w:pPr>
              <w:spacing w:before="0" w:after="0"/>
              <w:rPr>
                <w:sz w:val="20"/>
                <w:szCs w:val="20"/>
                <w:lang w:val="fr-BE"/>
              </w:rPr>
            </w:pPr>
            <w:r w:rsidRPr="002124FC">
              <w:rPr>
                <w:noProof/>
                <w:sz w:val="20"/>
                <w:szCs w:val="20"/>
                <w:lang w:val="fr-BE"/>
              </w:rPr>
              <w:t>8iii</w:t>
            </w:r>
            <w:r w:rsidRPr="002124FC">
              <w:rPr>
                <w:sz w:val="20"/>
                <w:szCs w:val="20"/>
                <w:lang w:val="fr-BE"/>
              </w:rPr>
              <w:t xml:space="preserve"> - </w:t>
            </w:r>
            <w:r w:rsidRPr="002124FC">
              <w:rPr>
                <w:noProof/>
                <w:sz w:val="20"/>
                <w:szCs w:val="20"/>
                <w:lang w:val="fr-BE"/>
              </w:rPr>
              <w:t>Praca na własny rachunek, przedsiębiorczość i tworzenie przedsiębiorstw, w tym innowacyjnych mikro-, małych i średnich przedsiębiorstw</w:t>
            </w:r>
          </w:p>
        </w:tc>
      </w:tr>
    </w:tbl>
    <w:p w14:paraId="150D87BE" w14:textId="77777777" w:rsidR="008C5CFA" w:rsidRPr="00920B4D" w:rsidRDefault="008C5CFA" w:rsidP="00300A01">
      <w:pPr>
        <w:spacing w:before="0" w:after="0"/>
        <w:rPr>
          <w:lang w:val="fr-BE"/>
        </w:rPr>
      </w:pPr>
    </w:p>
    <w:p w14:paraId="431D4F67" w14:textId="77777777" w:rsidR="008C5CFA" w:rsidRPr="008E457C" w:rsidRDefault="00E82A60" w:rsidP="005272C2">
      <w:pPr>
        <w:pStyle w:val="Nagwek2"/>
        <w:spacing w:before="0" w:after="0"/>
        <w:rPr>
          <w:lang w:val="fr-BE"/>
        </w:rPr>
      </w:pPr>
      <w:bookmarkStart w:id="16" w:name="_Toc46391700"/>
      <w:r w:rsidRPr="008E457C">
        <w:rPr>
          <w:noProof/>
          <w:lang w:val="fr-BE"/>
        </w:rPr>
        <w:t>Tabela 2C</w:t>
      </w:r>
      <w:r w:rsidRPr="008E457C">
        <w:rPr>
          <w:lang w:val="fr-BE"/>
        </w:rPr>
        <w:t xml:space="preserve"> : </w:t>
      </w:r>
      <w:r w:rsidRPr="008E457C">
        <w:rPr>
          <w:noProof/>
          <w:lang w:val="fr-BE"/>
        </w:rPr>
        <w:t>Specyficzne dla programu wskaźniki rezultatu dla EFS oraz Inicjatywy na rzecz zatrudnienia ludzi młodych</w:t>
      </w:r>
      <w:bookmarkEnd w:id="16"/>
    </w:p>
    <w:p w14:paraId="567BF1EA"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64"/>
        <w:gridCol w:w="3441"/>
        <w:gridCol w:w="721"/>
        <w:gridCol w:w="995"/>
        <w:gridCol w:w="1737"/>
        <w:gridCol w:w="1536"/>
        <w:gridCol w:w="464"/>
        <w:gridCol w:w="564"/>
        <w:gridCol w:w="453"/>
        <w:gridCol w:w="448"/>
        <w:gridCol w:w="564"/>
        <w:gridCol w:w="453"/>
        <w:gridCol w:w="464"/>
        <w:gridCol w:w="564"/>
        <w:gridCol w:w="453"/>
        <w:gridCol w:w="448"/>
        <w:gridCol w:w="564"/>
        <w:gridCol w:w="453"/>
        <w:gridCol w:w="598"/>
      </w:tblGrid>
      <w:tr w:rsidR="006B2EC1" w14:paraId="2487D9BA" w14:textId="77777777" w:rsidTr="0047688D">
        <w:trPr>
          <w:tblHeader/>
        </w:trPr>
        <w:tc>
          <w:tcPr>
            <w:tcW w:w="0" w:type="auto"/>
            <w:shd w:val="clear" w:color="auto" w:fill="auto"/>
          </w:tcPr>
          <w:p w14:paraId="6BFC937E" w14:textId="77777777" w:rsidR="008C5CFA" w:rsidRPr="00601E29" w:rsidRDefault="00E82A60" w:rsidP="00300A01">
            <w:pPr>
              <w:spacing w:before="0" w:after="0"/>
              <w:rPr>
                <w:b/>
                <w:sz w:val="10"/>
                <w:szCs w:val="10"/>
                <w:lang w:val="fr-BE"/>
              </w:rPr>
            </w:pPr>
            <w:r w:rsidRPr="00601E29">
              <w:rPr>
                <w:b/>
                <w:noProof/>
                <w:sz w:val="10"/>
                <w:szCs w:val="10"/>
                <w:lang w:val="fr-BE"/>
              </w:rPr>
              <w:t>ID</w:t>
            </w:r>
          </w:p>
        </w:tc>
        <w:tc>
          <w:tcPr>
            <w:tcW w:w="0" w:type="auto"/>
            <w:shd w:val="clear" w:color="auto" w:fill="auto"/>
          </w:tcPr>
          <w:p w14:paraId="53B341C8" w14:textId="77777777" w:rsidR="008C5CFA" w:rsidRPr="00601E29" w:rsidRDefault="00E82A60" w:rsidP="00300A01">
            <w:pPr>
              <w:spacing w:before="0" w:after="0"/>
              <w:rPr>
                <w:b/>
                <w:sz w:val="10"/>
                <w:szCs w:val="10"/>
                <w:lang w:val="fr-BE"/>
              </w:rPr>
            </w:pPr>
            <w:r w:rsidRPr="00601E29">
              <w:rPr>
                <w:b/>
                <w:noProof/>
                <w:sz w:val="10"/>
                <w:szCs w:val="10"/>
                <w:lang w:val="fr-BE"/>
              </w:rPr>
              <w:t>Wskaźnik</w:t>
            </w:r>
          </w:p>
        </w:tc>
        <w:tc>
          <w:tcPr>
            <w:tcW w:w="0" w:type="auto"/>
            <w:shd w:val="clear" w:color="auto" w:fill="auto"/>
          </w:tcPr>
          <w:p w14:paraId="1EEF7CFC" w14:textId="77777777" w:rsidR="008C5CFA" w:rsidRPr="00601E29" w:rsidRDefault="00E82A60" w:rsidP="00300A01">
            <w:pPr>
              <w:spacing w:before="0" w:after="0"/>
              <w:rPr>
                <w:b/>
                <w:sz w:val="10"/>
                <w:szCs w:val="10"/>
                <w:lang w:val="fr-BE"/>
              </w:rPr>
            </w:pPr>
            <w:r w:rsidRPr="00601E29">
              <w:rPr>
                <w:b/>
                <w:noProof/>
                <w:sz w:val="10"/>
                <w:szCs w:val="10"/>
                <w:lang w:val="fr-BE"/>
              </w:rPr>
              <w:t>Kategoria regionu</w:t>
            </w:r>
          </w:p>
        </w:tc>
        <w:tc>
          <w:tcPr>
            <w:tcW w:w="0" w:type="auto"/>
            <w:shd w:val="clear" w:color="auto" w:fill="auto"/>
          </w:tcPr>
          <w:p w14:paraId="649A9587" w14:textId="77777777" w:rsidR="008C5CFA" w:rsidRPr="00601E29" w:rsidRDefault="00E82A60" w:rsidP="00300A01">
            <w:pPr>
              <w:spacing w:before="0" w:after="0"/>
              <w:rPr>
                <w:b/>
                <w:sz w:val="10"/>
                <w:szCs w:val="10"/>
                <w:lang w:val="fr-BE"/>
              </w:rPr>
            </w:pPr>
            <w:r w:rsidRPr="00785F4A">
              <w:rPr>
                <w:b/>
                <w:noProof/>
                <w:sz w:val="10"/>
                <w:szCs w:val="10"/>
                <w:lang w:val="fr-BE"/>
              </w:rPr>
              <w:t>Jednostka pomiaru wskaźnika</w:t>
            </w:r>
          </w:p>
        </w:tc>
        <w:tc>
          <w:tcPr>
            <w:tcW w:w="0" w:type="auto"/>
            <w:shd w:val="clear" w:color="auto" w:fill="auto"/>
          </w:tcPr>
          <w:p w14:paraId="19674EE9" w14:textId="77777777" w:rsidR="008C5CFA" w:rsidRPr="00601E29" w:rsidRDefault="00E82A60" w:rsidP="00300A01">
            <w:pPr>
              <w:spacing w:before="0" w:after="0"/>
              <w:rPr>
                <w:b/>
                <w:sz w:val="10"/>
                <w:szCs w:val="10"/>
                <w:lang w:val="fr-BE"/>
              </w:rPr>
            </w:pPr>
            <w:r w:rsidRPr="00601E29">
              <w:rPr>
                <w:b/>
                <w:noProof/>
                <w:sz w:val="10"/>
                <w:szCs w:val="10"/>
                <w:lang w:val="fr-BE"/>
              </w:rPr>
              <w:t>Wskaźnik produktu stosowany jako podstawa do ustalania celów</w:t>
            </w:r>
          </w:p>
        </w:tc>
        <w:tc>
          <w:tcPr>
            <w:tcW w:w="0" w:type="auto"/>
            <w:shd w:val="clear" w:color="auto" w:fill="auto"/>
          </w:tcPr>
          <w:p w14:paraId="2B4B0595" w14:textId="77777777" w:rsidR="008C5CFA" w:rsidRPr="00601E29" w:rsidRDefault="00E82A60" w:rsidP="00300A01">
            <w:pPr>
              <w:spacing w:before="0" w:after="0"/>
              <w:rPr>
                <w:b/>
                <w:sz w:val="10"/>
                <w:szCs w:val="10"/>
                <w:lang w:val="fr-BE"/>
              </w:rPr>
            </w:pPr>
            <w:r w:rsidRPr="00601E29">
              <w:rPr>
                <w:b/>
                <w:noProof/>
                <w:sz w:val="10"/>
                <w:szCs w:val="10"/>
                <w:lang w:val="fr-BE"/>
              </w:rPr>
              <w:t>Jednostka pomiaru dla wartości bazowej i docelowej</w:t>
            </w:r>
          </w:p>
        </w:tc>
        <w:tc>
          <w:tcPr>
            <w:tcW w:w="0" w:type="auto"/>
            <w:gridSpan w:val="3"/>
            <w:shd w:val="clear" w:color="auto" w:fill="auto"/>
          </w:tcPr>
          <w:p w14:paraId="7821DCCC" w14:textId="77777777" w:rsidR="008C5CFA" w:rsidRPr="00601E29" w:rsidRDefault="00E82A60" w:rsidP="00300A01">
            <w:pPr>
              <w:spacing w:before="0" w:after="0"/>
              <w:jc w:val="center"/>
              <w:rPr>
                <w:b/>
                <w:sz w:val="10"/>
                <w:szCs w:val="10"/>
                <w:lang w:val="fr-BE"/>
              </w:rPr>
            </w:pPr>
            <w:r w:rsidRPr="00601E29">
              <w:rPr>
                <w:b/>
                <w:noProof/>
                <w:sz w:val="10"/>
                <w:szCs w:val="10"/>
                <w:lang w:val="fr-BE"/>
              </w:rPr>
              <w:t>Wartość docelowa (2023)</w:t>
            </w:r>
          </w:p>
        </w:tc>
        <w:tc>
          <w:tcPr>
            <w:tcW w:w="0" w:type="auto"/>
            <w:gridSpan w:val="3"/>
            <w:shd w:val="clear" w:color="auto" w:fill="auto"/>
          </w:tcPr>
          <w:p w14:paraId="46207CBD" w14:textId="77777777" w:rsidR="008C5CFA" w:rsidRPr="00601E29" w:rsidRDefault="00E82A60" w:rsidP="00300A01">
            <w:pPr>
              <w:spacing w:before="0" w:after="0"/>
              <w:jc w:val="center"/>
              <w:rPr>
                <w:b/>
                <w:sz w:val="10"/>
                <w:szCs w:val="10"/>
                <w:lang w:val="fr-BE"/>
              </w:rPr>
            </w:pPr>
            <w:r w:rsidRPr="00601E29">
              <w:rPr>
                <w:b/>
                <w:noProof/>
                <w:sz w:val="10"/>
                <w:szCs w:val="10"/>
                <w:lang w:val="fr-BE"/>
              </w:rPr>
              <w:t>Wskaźnik osiągnięć</w:t>
            </w:r>
          </w:p>
        </w:tc>
        <w:tc>
          <w:tcPr>
            <w:tcW w:w="0" w:type="auto"/>
            <w:gridSpan w:val="7"/>
            <w:shd w:val="clear" w:color="auto" w:fill="auto"/>
          </w:tcPr>
          <w:p w14:paraId="675E3799" w14:textId="77777777" w:rsidR="008C5CFA" w:rsidRPr="00601E29" w:rsidRDefault="00E82A60" w:rsidP="00300A01">
            <w:pPr>
              <w:spacing w:before="0" w:after="0"/>
              <w:jc w:val="center"/>
              <w:rPr>
                <w:b/>
                <w:sz w:val="10"/>
                <w:szCs w:val="10"/>
                <w:lang w:val="fr-BE"/>
              </w:rPr>
            </w:pPr>
            <w:r>
              <w:rPr>
                <w:b/>
                <w:sz w:val="10"/>
                <w:szCs w:val="10"/>
                <w:lang w:val="fr-BE"/>
              </w:rPr>
              <w:t>2019</w:t>
            </w:r>
          </w:p>
        </w:tc>
      </w:tr>
      <w:tr w:rsidR="006B2EC1" w14:paraId="19372058" w14:textId="77777777" w:rsidTr="0047688D">
        <w:trPr>
          <w:tblHeader/>
        </w:trPr>
        <w:tc>
          <w:tcPr>
            <w:tcW w:w="0" w:type="auto"/>
            <w:shd w:val="clear" w:color="auto" w:fill="auto"/>
          </w:tcPr>
          <w:p w14:paraId="0AB872B0" w14:textId="77777777" w:rsidR="008C5CFA" w:rsidRPr="00601E29" w:rsidRDefault="008C5CFA" w:rsidP="00300A01">
            <w:pPr>
              <w:spacing w:before="0" w:after="0"/>
              <w:rPr>
                <w:b/>
                <w:sz w:val="10"/>
                <w:szCs w:val="10"/>
                <w:lang w:val="fr-BE"/>
              </w:rPr>
            </w:pPr>
          </w:p>
        </w:tc>
        <w:tc>
          <w:tcPr>
            <w:tcW w:w="0" w:type="auto"/>
            <w:shd w:val="clear" w:color="auto" w:fill="auto"/>
          </w:tcPr>
          <w:p w14:paraId="611493AA" w14:textId="77777777" w:rsidR="008C5CFA" w:rsidRPr="00601E29" w:rsidRDefault="008C5CFA" w:rsidP="00300A01">
            <w:pPr>
              <w:spacing w:before="0" w:after="0"/>
              <w:rPr>
                <w:b/>
                <w:sz w:val="10"/>
                <w:szCs w:val="10"/>
                <w:lang w:val="fr-BE"/>
              </w:rPr>
            </w:pPr>
          </w:p>
        </w:tc>
        <w:tc>
          <w:tcPr>
            <w:tcW w:w="0" w:type="auto"/>
            <w:shd w:val="clear" w:color="auto" w:fill="auto"/>
          </w:tcPr>
          <w:p w14:paraId="6D71D6C4" w14:textId="77777777" w:rsidR="008C5CFA" w:rsidRPr="00601E29" w:rsidRDefault="008C5CFA" w:rsidP="00300A01">
            <w:pPr>
              <w:spacing w:before="0" w:after="0"/>
              <w:rPr>
                <w:b/>
                <w:sz w:val="10"/>
                <w:szCs w:val="10"/>
                <w:lang w:val="fr-BE"/>
              </w:rPr>
            </w:pPr>
          </w:p>
        </w:tc>
        <w:tc>
          <w:tcPr>
            <w:tcW w:w="0" w:type="auto"/>
            <w:shd w:val="clear" w:color="auto" w:fill="auto"/>
          </w:tcPr>
          <w:p w14:paraId="434920A1" w14:textId="77777777" w:rsidR="008C5CFA" w:rsidRPr="00601E29" w:rsidRDefault="008C5CFA" w:rsidP="00300A01">
            <w:pPr>
              <w:spacing w:before="0" w:after="0"/>
              <w:rPr>
                <w:b/>
                <w:sz w:val="10"/>
                <w:szCs w:val="10"/>
                <w:lang w:val="fr-BE"/>
              </w:rPr>
            </w:pPr>
          </w:p>
        </w:tc>
        <w:tc>
          <w:tcPr>
            <w:tcW w:w="0" w:type="auto"/>
            <w:shd w:val="clear" w:color="auto" w:fill="auto"/>
          </w:tcPr>
          <w:p w14:paraId="67758B0A" w14:textId="77777777" w:rsidR="008C5CFA" w:rsidRPr="00601E29" w:rsidRDefault="008C5CFA" w:rsidP="00300A01">
            <w:pPr>
              <w:spacing w:before="0" w:after="0"/>
              <w:rPr>
                <w:b/>
                <w:sz w:val="10"/>
                <w:szCs w:val="10"/>
                <w:lang w:val="fr-BE"/>
              </w:rPr>
            </w:pPr>
          </w:p>
        </w:tc>
        <w:tc>
          <w:tcPr>
            <w:tcW w:w="0" w:type="auto"/>
            <w:shd w:val="clear" w:color="auto" w:fill="auto"/>
          </w:tcPr>
          <w:p w14:paraId="2363F492" w14:textId="77777777" w:rsidR="008C5CFA" w:rsidRPr="00601E29" w:rsidRDefault="008C5CFA" w:rsidP="00300A01">
            <w:pPr>
              <w:spacing w:before="0" w:after="0"/>
              <w:rPr>
                <w:b/>
                <w:sz w:val="10"/>
                <w:szCs w:val="10"/>
                <w:lang w:val="fr-BE"/>
              </w:rPr>
            </w:pPr>
          </w:p>
        </w:tc>
        <w:tc>
          <w:tcPr>
            <w:tcW w:w="0" w:type="auto"/>
            <w:shd w:val="clear" w:color="auto" w:fill="auto"/>
          </w:tcPr>
          <w:p w14:paraId="4CAA5B22" w14:textId="77777777" w:rsidR="008C5CFA" w:rsidRPr="00601E29" w:rsidRDefault="008C5CFA" w:rsidP="00300A01">
            <w:pPr>
              <w:spacing w:before="0" w:after="0"/>
              <w:jc w:val="center"/>
              <w:rPr>
                <w:b/>
                <w:sz w:val="10"/>
                <w:szCs w:val="10"/>
                <w:lang w:val="fr-BE"/>
              </w:rPr>
            </w:pPr>
          </w:p>
        </w:tc>
        <w:tc>
          <w:tcPr>
            <w:tcW w:w="0" w:type="auto"/>
            <w:shd w:val="clear" w:color="auto" w:fill="auto"/>
          </w:tcPr>
          <w:p w14:paraId="3E76F5E0" w14:textId="77777777" w:rsidR="008C5CFA" w:rsidRPr="00601E29" w:rsidRDefault="008C5CFA" w:rsidP="00300A01">
            <w:pPr>
              <w:spacing w:before="0" w:after="0"/>
              <w:jc w:val="center"/>
              <w:rPr>
                <w:b/>
                <w:sz w:val="10"/>
                <w:szCs w:val="10"/>
                <w:lang w:val="fr-BE"/>
              </w:rPr>
            </w:pPr>
          </w:p>
        </w:tc>
        <w:tc>
          <w:tcPr>
            <w:tcW w:w="0" w:type="auto"/>
            <w:shd w:val="clear" w:color="auto" w:fill="auto"/>
          </w:tcPr>
          <w:p w14:paraId="74C379FF" w14:textId="77777777" w:rsidR="008C5CFA" w:rsidRPr="00601E29" w:rsidRDefault="008C5CFA" w:rsidP="00300A01">
            <w:pPr>
              <w:spacing w:before="0" w:after="0"/>
              <w:jc w:val="center"/>
              <w:rPr>
                <w:b/>
                <w:sz w:val="10"/>
                <w:szCs w:val="10"/>
                <w:lang w:val="fr-BE"/>
              </w:rPr>
            </w:pPr>
          </w:p>
        </w:tc>
        <w:tc>
          <w:tcPr>
            <w:tcW w:w="0" w:type="auto"/>
            <w:shd w:val="clear" w:color="auto" w:fill="auto"/>
          </w:tcPr>
          <w:p w14:paraId="0A2C33DC" w14:textId="77777777" w:rsidR="008C5CFA" w:rsidRPr="00601E29" w:rsidRDefault="008C5CFA" w:rsidP="00300A01">
            <w:pPr>
              <w:spacing w:before="0" w:after="0"/>
              <w:jc w:val="center"/>
              <w:rPr>
                <w:b/>
                <w:sz w:val="10"/>
                <w:szCs w:val="10"/>
                <w:lang w:val="fr-BE"/>
              </w:rPr>
            </w:pPr>
          </w:p>
        </w:tc>
        <w:tc>
          <w:tcPr>
            <w:tcW w:w="0" w:type="auto"/>
            <w:shd w:val="clear" w:color="auto" w:fill="auto"/>
          </w:tcPr>
          <w:p w14:paraId="5CCE3B16" w14:textId="77777777" w:rsidR="008C5CFA" w:rsidRPr="00601E29" w:rsidRDefault="008C5CFA" w:rsidP="00300A01">
            <w:pPr>
              <w:spacing w:before="0" w:after="0"/>
              <w:jc w:val="center"/>
              <w:rPr>
                <w:b/>
                <w:sz w:val="10"/>
                <w:szCs w:val="10"/>
                <w:lang w:val="fr-BE"/>
              </w:rPr>
            </w:pPr>
          </w:p>
        </w:tc>
        <w:tc>
          <w:tcPr>
            <w:tcW w:w="0" w:type="auto"/>
            <w:shd w:val="clear" w:color="auto" w:fill="auto"/>
          </w:tcPr>
          <w:p w14:paraId="6EBDB5B9" w14:textId="77777777" w:rsidR="008C5CFA" w:rsidRPr="00601E29" w:rsidRDefault="008C5CFA" w:rsidP="00300A01">
            <w:pPr>
              <w:spacing w:before="0" w:after="0"/>
              <w:jc w:val="center"/>
              <w:rPr>
                <w:b/>
                <w:sz w:val="10"/>
                <w:szCs w:val="10"/>
                <w:lang w:val="fr-BE"/>
              </w:rPr>
            </w:pPr>
          </w:p>
        </w:tc>
        <w:tc>
          <w:tcPr>
            <w:tcW w:w="0" w:type="auto"/>
            <w:gridSpan w:val="3"/>
            <w:shd w:val="clear" w:color="auto" w:fill="auto"/>
          </w:tcPr>
          <w:p w14:paraId="7EF16846" w14:textId="77777777" w:rsidR="008C5CFA" w:rsidRPr="00601E29" w:rsidRDefault="00E82A60" w:rsidP="00300A01">
            <w:pPr>
              <w:spacing w:before="0" w:after="0"/>
              <w:jc w:val="center"/>
              <w:rPr>
                <w:b/>
                <w:sz w:val="10"/>
                <w:szCs w:val="10"/>
                <w:lang w:val="fr-BE"/>
              </w:rPr>
            </w:pPr>
            <w:r w:rsidRPr="00601E29">
              <w:rPr>
                <w:b/>
                <w:noProof/>
                <w:sz w:val="10"/>
                <w:szCs w:val="10"/>
                <w:lang w:val="fr-BE"/>
              </w:rPr>
              <w:t>Łącznie</w:t>
            </w:r>
          </w:p>
        </w:tc>
        <w:tc>
          <w:tcPr>
            <w:tcW w:w="0" w:type="auto"/>
            <w:gridSpan w:val="3"/>
          </w:tcPr>
          <w:p w14:paraId="0E3A3F31" w14:textId="77777777" w:rsidR="008C5CFA" w:rsidRPr="00601E29" w:rsidRDefault="00E82A60" w:rsidP="00300A01">
            <w:pPr>
              <w:spacing w:before="0" w:after="0"/>
              <w:jc w:val="center"/>
              <w:rPr>
                <w:b/>
                <w:sz w:val="10"/>
                <w:szCs w:val="10"/>
                <w:lang w:val="fr-BE"/>
              </w:rPr>
            </w:pPr>
            <w:r w:rsidRPr="00601E29">
              <w:rPr>
                <w:b/>
                <w:noProof/>
                <w:sz w:val="10"/>
                <w:szCs w:val="10"/>
                <w:lang w:val="fr-BE"/>
              </w:rPr>
              <w:t>Łącznie w roku</w:t>
            </w:r>
          </w:p>
        </w:tc>
        <w:tc>
          <w:tcPr>
            <w:tcW w:w="0" w:type="auto"/>
          </w:tcPr>
          <w:p w14:paraId="6B96F4B8" w14:textId="77777777" w:rsidR="008C5CFA" w:rsidRPr="00601E29" w:rsidRDefault="00E82A60" w:rsidP="00300A01">
            <w:pPr>
              <w:spacing w:before="0" w:after="0"/>
              <w:jc w:val="center"/>
              <w:rPr>
                <w:b/>
                <w:sz w:val="10"/>
                <w:szCs w:val="10"/>
                <w:lang w:val="fr-BE"/>
              </w:rPr>
            </w:pPr>
            <w:r w:rsidRPr="00601E29">
              <w:rPr>
                <w:b/>
                <w:noProof/>
                <w:sz w:val="10"/>
                <w:szCs w:val="10"/>
                <w:lang w:val="fr-BE"/>
              </w:rPr>
              <w:t>Jakościowe</w:t>
            </w:r>
          </w:p>
        </w:tc>
      </w:tr>
      <w:tr w:rsidR="006B2EC1" w14:paraId="4D917B72" w14:textId="77777777" w:rsidTr="0047688D">
        <w:trPr>
          <w:tblHeader/>
        </w:trPr>
        <w:tc>
          <w:tcPr>
            <w:tcW w:w="0" w:type="auto"/>
            <w:shd w:val="clear" w:color="auto" w:fill="auto"/>
          </w:tcPr>
          <w:p w14:paraId="72E0A037" w14:textId="77777777" w:rsidR="008C5CFA" w:rsidRPr="00601E29" w:rsidRDefault="008C5CFA" w:rsidP="00300A01">
            <w:pPr>
              <w:spacing w:before="0" w:after="0"/>
              <w:rPr>
                <w:b/>
                <w:sz w:val="10"/>
                <w:szCs w:val="10"/>
                <w:lang w:val="fr-BE"/>
              </w:rPr>
            </w:pPr>
          </w:p>
        </w:tc>
        <w:tc>
          <w:tcPr>
            <w:tcW w:w="0" w:type="auto"/>
            <w:shd w:val="clear" w:color="auto" w:fill="auto"/>
          </w:tcPr>
          <w:p w14:paraId="2E6F4C6D" w14:textId="77777777" w:rsidR="008C5CFA" w:rsidRPr="00601E29" w:rsidRDefault="008C5CFA" w:rsidP="00300A01">
            <w:pPr>
              <w:spacing w:before="0" w:after="0"/>
              <w:rPr>
                <w:b/>
                <w:sz w:val="10"/>
                <w:szCs w:val="10"/>
                <w:lang w:val="fr-BE"/>
              </w:rPr>
            </w:pPr>
          </w:p>
        </w:tc>
        <w:tc>
          <w:tcPr>
            <w:tcW w:w="0" w:type="auto"/>
            <w:shd w:val="clear" w:color="auto" w:fill="auto"/>
          </w:tcPr>
          <w:p w14:paraId="7ED3C18B" w14:textId="77777777" w:rsidR="008C5CFA" w:rsidRPr="00601E29" w:rsidRDefault="008C5CFA" w:rsidP="00300A01">
            <w:pPr>
              <w:spacing w:before="0" w:after="0"/>
              <w:rPr>
                <w:b/>
                <w:sz w:val="10"/>
                <w:szCs w:val="10"/>
                <w:lang w:val="fr-BE"/>
              </w:rPr>
            </w:pPr>
          </w:p>
        </w:tc>
        <w:tc>
          <w:tcPr>
            <w:tcW w:w="0" w:type="auto"/>
            <w:shd w:val="clear" w:color="auto" w:fill="auto"/>
          </w:tcPr>
          <w:p w14:paraId="1CB4EA6F" w14:textId="77777777" w:rsidR="008C5CFA" w:rsidRPr="00601E29" w:rsidRDefault="008C5CFA" w:rsidP="00300A01">
            <w:pPr>
              <w:spacing w:before="0" w:after="0"/>
              <w:rPr>
                <w:b/>
                <w:sz w:val="10"/>
                <w:szCs w:val="10"/>
                <w:lang w:val="fr-BE"/>
              </w:rPr>
            </w:pPr>
          </w:p>
        </w:tc>
        <w:tc>
          <w:tcPr>
            <w:tcW w:w="0" w:type="auto"/>
            <w:shd w:val="clear" w:color="auto" w:fill="auto"/>
          </w:tcPr>
          <w:p w14:paraId="63925E64" w14:textId="77777777" w:rsidR="008C5CFA" w:rsidRPr="00601E29" w:rsidRDefault="008C5CFA" w:rsidP="00300A01">
            <w:pPr>
              <w:spacing w:before="0" w:after="0"/>
              <w:rPr>
                <w:b/>
                <w:sz w:val="10"/>
                <w:szCs w:val="10"/>
                <w:lang w:val="fr-BE"/>
              </w:rPr>
            </w:pPr>
          </w:p>
        </w:tc>
        <w:tc>
          <w:tcPr>
            <w:tcW w:w="0" w:type="auto"/>
            <w:shd w:val="clear" w:color="auto" w:fill="auto"/>
          </w:tcPr>
          <w:p w14:paraId="013C19C5" w14:textId="77777777" w:rsidR="008C5CFA" w:rsidRPr="00601E29" w:rsidRDefault="008C5CFA" w:rsidP="00300A01">
            <w:pPr>
              <w:spacing w:before="0" w:after="0"/>
              <w:rPr>
                <w:b/>
                <w:sz w:val="10"/>
                <w:szCs w:val="10"/>
                <w:lang w:val="fr-BE"/>
              </w:rPr>
            </w:pPr>
          </w:p>
        </w:tc>
        <w:tc>
          <w:tcPr>
            <w:tcW w:w="0" w:type="auto"/>
            <w:shd w:val="clear" w:color="auto" w:fill="auto"/>
          </w:tcPr>
          <w:p w14:paraId="79B53C35" w14:textId="77777777" w:rsidR="008C5CFA" w:rsidRPr="00601E29" w:rsidRDefault="00E82A60" w:rsidP="00300A01">
            <w:pPr>
              <w:spacing w:before="0" w:after="0"/>
              <w:jc w:val="center"/>
              <w:rPr>
                <w:b/>
                <w:sz w:val="10"/>
                <w:szCs w:val="10"/>
                <w:lang w:val="fr-BE"/>
              </w:rPr>
            </w:pPr>
            <w:r w:rsidRPr="00601E29">
              <w:rPr>
                <w:b/>
                <w:noProof/>
                <w:sz w:val="10"/>
                <w:szCs w:val="10"/>
                <w:lang w:val="fr-BE"/>
              </w:rPr>
              <w:t>Ogółem</w:t>
            </w:r>
          </w:p>
        </w:tc>
        <w:tc>
          <w:tcPr>
            <w:tcW w:w="0" w:type="auto"/>
            <w:shd w:val="clear" w:color="auto" w:fill="auto"/>
          </w:tcPr>
          <w:p w14:paraId="38D3AC73" w14:textId="77777777" w:rsidR="008C5CFA" w:rsidRPr="00601E29" w:rsidRDefault="00E82A60" w:rsidP="00300A01">
            <w:pPr>
              <w:spacing w:before="0" w:after="0"/>
              <w:jc w:val="center"/>
              <w:rPr>
                <w:b/>
                <w:sz w:val="10"/>
                <w:szCs w:val="10"/>
                <w:lang w:val="fr-BE"/>
              </w:rPr>
            </w:pPr>
            <w:r w:rsidRPr="00601E29">
              <w:rPr>
                <w:b/>
                <w:noProof/>
                <w:sz w:val="10"/>
                <w:szCs w:val="10"/>
                <w:lang w:val="fr-BE"/>
              </w:rPr>
              <w:t>Mężczyźni</w:t>
            </w:r>
          </w:p>
        </w:tc>
        <w:tc>
          <w:tcPr>
            <w:tcW w:w="0" w:type="auto"/>
            <w:shd w:val="clear" w:color="auto" w:fill="auto"/>
          </w:tcPr>
          <w:p w14:paraId="2B8B8C13" w14:textId="77777777" w:rsidR="008C5CFA" w:rsidRPr="00601E29" w:rsidRDefault="00E82A60" w:rsidP="00300A01">
            <w:pPr>
              <w:spacing w:before="0" w:after="0"/>
              <w:jc w:val="center"/>
              <w:rPr>
                <w:b/>
                <w:sz w:val="10"/>
                <w:szCs w:val="10"/>
                <w:lang w:val="fr-BE"/>
              </w:rPr>
            </w:pPr>
            <w:r w:rsidRPr="00601E29">
              <w:rPr>
                <w:b/>
                <w:noProof/>
                <w:sz w:val="10"/>
                <w:szCs w:val="10"/>
                <w:lang w:val="fr-BE"/>
              </w:rPr>
              <w:t>Kobiety</w:t>
            </w:r>
          </w:p>
        </w:tc>
        <w:tc>
          <w:tcPr>
            <w:tcW w:w="0" w:type="auto"/>
            <w:shd w:val="clear" w:color="auto" w:fill="auto"/>
          </w:tcPr>
          <w:p w14:paraId="238975A4" w14:textId="77777777" w:rsidR="008C5CFA" w:rsidRPr="00601E29" w:rsidRDefault="00E82A60" w:rsidP="00300A01">
            <w:pPr>
              <w:spacing w:before="0" w:after="0"/>
              <w:jc w:val="center"/>
              <w:rPr>
                <w:b/>
                <w:sz w:val="10"/>
                <w:szCs w:val="10"/>
                <w:lang w:val="fr-BE"/>
              </w:rPr>
            </w:pPr>
            <w:r w:rsidRPr="00601E29">
              <w:rPr>
                <w:b/>
                <w:noProof/>
                <w:sz w:val="10"/>
                <w:szCs w:val="10"/>
                <w:lang w:val="fr-BE"/>
              </w:rPr>
              <w:t>Ogółem</w:t>
            </w:r>
          </w:p>
        </w:tc>
        <w:tc>
          <w:tcPr>
            <w:tcW w:w="0" w:type="auto"/>
            <w:shd w:val="clear" w:color="auto" w:fill="auto"/>
          </w:tcPr>
          <w:p w14:paraId="6B72EC04" w14:textId="77777777" w:rsidR="008C5CFA" w:rsidRPr="00601E29" w:rsidRDefault="00E82A60" w:rsidP="00300A01">
            <w:pPr>
              <w:spacing w:before="0" w:after="0"/>
              <w:jc w:val="center"/>
              <w:rPr>
                <w:b/>
                <w:sz w:val="10"/>
                <w:szCs w:val="10"/>
                <w:lang w:val="fr-BE"/>
              </w:rPr>
            </w:pPr>
            <w:r w:rsidRPr="00601E29">
              <w:rPr>
                <w:b/>
                <w:noProof/>
                <w:sz w:val="10"/>
                <w:szCs w:val="10"/>
                <w:lang w:val="fr-BE"/>
              </w:rPr>
              <w:t>Mężczyźni</w:t>
            </w:r>
          </w:p>
        </w:tc>
        <w:tc>
          <w:tcPr>
            <w:tcW w:w="0" w:type="auto"/>
            <w:shd w:val="clear" w:color="auto" w:fill="auto"/>
          </w:tcPr>
          <w:p w14:paraId="32D554AF" w14:textId="77777777" w:rsidR="008C5CFA" w:rsidRPr="00601E29" w:rsidRDefault="00E82A60" w:rsidP="00300A01">
            <w:pPr>
              <w:spacing w:before="0" w:after="0"/>
              <w:jc w:val="center"/>
              <w:rPr>
                <w:b/>
                <w:sz w:val="10"/>
                <w:szCs w:val="10"/>
                <w:lang w:val="fr-BE"/>
              </w:rPr>
            </w:pPr>
            <w:r w:rsidRPr="00601E29">
              <w:rPr>
                <w:b/>
                <w:noProof/>
                <w:sz w:val="10"/>
                <w:szCs w:val="10"/>
                <w:lang w:val="fr-BE"/>
              </w:rPr>
              <w:t>Kobiety</w:t>
            </w:r>
          </w:p>
        </w:tc>
        <w:tc>
          <w:tcPr>
            <w:tcW w:w="0" w:type="auto"/>
            <w:shd w:val="clear" w:color="auto" w:fill="auto"/>
          </w:tcPr>
          <w:p w14:paraId="3D1E8189" w14:textId="77777777" w:rsidR="008C5CFA" w:rsidRPr="00601E29" w:rsidRDefault="00E82A60" w:rsidP="00300A01">
            <w:pPr>
              <w:spacing w:before="0" w:after="0"/>
              <w:jc w:val="center"/>
              <w:rPr>
                <w:b/>
                <w:sz w:val="10"/>
                <w:szCs w:val="10"/>
                <w:lang w:val="fr-BE"/>
              </w:rPr>
            </w:pPr>
            <w:r w:rsidRPr="00601E29">
              <w:rPr>
                <w:b/>
                <w:noProof/>
                <w:sz w:val="10"/>
                <w:szCs w:val="10"/>
                <w:lang w:val="fr-BE"/>
              </w:rPr>
              <w:t>Ogółem</w:t>
            </w:r>
          </w:p>
        </w:tc>
        <w:tc>
          <w:tcPr>
            <w:tcW w:w="0" w:type="auto"/>
            <w:shd w:val="clear" w:color="auto" w:fill="auto"/>
          </w:tcPr>
          <w:p w14:paraId="565C34F1" w14:textId="77777777" w:rsidR="008C5CFA" w:rsidRPr="00601E29" w:rsidRDefault="00E82A60" w:rsidP="00300A01">
            <w:pPr>
              <w:spacing w:before="0" w:after="0"/>
              <w:jc w:val="center"/>
              <w:rPr>
                <w:b/>
                <w:sz w:val="10"/>
                <w:szCs w:val="10"/>
                <w:lang w:val="fr-BE"/>
              </w:rPr>
            </w:pPr>
            <w:r w:rsidRPr="00601E29">
              <w:rPr>
                <w:b/>
                <w:noProof/>
                <w:sz w:val="10"/>
                <w:szCs w:val="10"/>
                <w:lang w:val="fr-BE"/>
              </w:rPr>
              <w:t>Mężczyźni</w:t>
            </w:r>
          </w:p>
        </w:tc>
        <w:tc>
          <w:tcPr>
            <w:tcW w:w="0" w:type="auto"/>
            <w:shd w:val="clear" w:color="auto" w:fill="auto"/>
          </w:tcPr>
          <w:p w14:paraId="2A67E907" w14:textId="77777777" w:rsidR="008C5CFA" w:rsidRPr="00601E29" w:rsidRDefault="00E82A60" w:rsidP="00300A01">
            <w:pPr>
              <w:spacing w:before="0" w:after="0"/>
              <w:jc w:val="center"/>
              <w:rPr>
                <w:b/>
                <w:sz w:val="10"/>
                <w:szCs w:val="10"/>
                <w:lang w:val="fr-BE"/>
              </w:rPr>
            </w:pPr>
            <w:r w:rsidRPr="00601E29">
              <w:rPr>
                <w:b/>
                <w:noProof/>
                <w:sz w:val="10"/>
                <w:szCs w:val="10"/>
                <w:lang w:val="fr-BE"/>
              </w:rPr>
              <w:t>Kobiety</w:t>
            </w:r>
          </w:p>
        </w:tc>
        <w:tc>
          <w:tcPr>
            <w:tcW w:w="0" w:type="auto"/>
          </w:tcPr>
          <w:p w14:paraId="6F638576" w14:textId="77777777" w:rsidR="008C5CFA" w:rsidRPr="00601E29" w:rsidRDefault="00E82A60" w:rsidP="00300A01">
            <w:pPr>
              <w:spacing w:before="0" w:after="0"/>
              <w:jc w:val="center"/>
              <w:rPr>
                <w:b/>
                <w:sz w:val="10"/>
                <w:szCs w:val="10"/>
                <w:lang w:val="fr-BE"/>
              </w:rPr>
            </w:pPr>
            <w:r w:rsidRPr="00601E29">
              <w:rPr>
                <w:b/>
                <w:noProof/>
                <w:sz w:val="10"/>
                <w:szCs w:val="10"/>
                <w:lang w:val="fr-BE"/>
              </w:rPr>
              <w:t>Ogółem</w:t>
            </w:r>
          </w:p>
        </w:tc>
        <w:tc>
          <w:tcPr>
            <w:tcW w:w="0" w:type="auto"/>
            <w:shd w:val="clear" w:color="auto" w:fill="auto"/>
          </w:tcPr>
          <w:p w14:paraId="5803EA7D" w14:textId="77777777" w:rsidR="008C5CFA" w:rsidRPr="00601E29" w:rsidRDefault="00E82A60" w:rsidP="00300A01">
            <w:pPr>
              <w:spacing w:before="0" w:after="0"/>
              <w:jc w:val="center"/>
              <w:rPr>
                <w:b/>
                <w:sz w:val="10"/>
                <w:szCs w:val="10"/>
                <w:lang w:val="fr-BE"/>
              </w:rPr>
            </w:pPr>
            <w:r w:rsidRPr="00601E29">
              <w:rPr>
                <w:b/>
                <w:noProof/>
                <w:sz w:val="10"/>
                <w:szCs w:val="10"/>
                <w:lang w:val="fr-BE"/>
              </w:rPr>
              <w:t>Mężczyźni</w:t>
            </w:r>
          </w:p>
        </w:tc>
        <w:tc>
          <w:tcPr>
            <w:tcW w:w="0" w:type="auto"/>
            <w:shd w:val="clear" w:color="auto" w:fill="auto"/>
          </w:tcPr>
          <w:p w14:paraId="2947A989" w14:textId="77777777" w:rsidR="008C5CFA" w:rsidRPr="00601E29" w:rsidRDefault="00E82A60" w:rsidP="00300A01">
            <w:pPr>
              <w:spacing w:before="0" w:after="0"/>
              <w:jc w:val="center"/>
              <w:rPr>
                <w:b/>
                <w:sz w:val="10"/>
                <w:szCs w:val="10"/>
                <w:lang w:val="fr-BE"/>
              </w:rPr>
            </w:pPr>
            <w:r w:rsidRPr="00601E29">
              <w:rPr>
                <w:b/>
                <w:noProof/>
                <w:sz w:val="10"/>
                <w:szCs w:val="10"/>
                <w:lang w:val="fr-BE"/>
              </w:rPr>
              <w:t>Kobiety</w:t>
            </w:r>
          </w:p>
        </w:tc>
        <w:tc>
          <w:tcPr>
            <w:tcW w:w="0" w:type="auto"/>
          </w:tcPr>
          <w:p w14:paraId="3D3FA45E" w14:textId="77777777" w:rsidR="008C5CFA" w:rsidRPr="00601E29" w:rsidRDefault="008C5CFA" w:rsidP="00300A01">
            <w:pPr>
              <w:spacing w:before="0" w:after="0"/>
              <w:jc w:val="center"/>
              <w:rPr>
                <w:b/>
                <w:sz w:val="10"/>
                <w:szCs w:val="10"/>
                <w:lang w:val="fr-BE"/>
              </w:rPr>
            </w:pPr>
          </w:p>
        </w:tc>
      </w:tr>
      <w:tr w:rsidR="006B2EC1" w14:paraId="4E0445B2" w14:textId="77777777" w:rsidTr="0047688D">
        <w:tc>
          <w:tcPr>
            <w:tcW w:w="0" w:type="auto"/>
            <w:shd w:val="clear" w:color="auto" w:fill="auto"/>
          </w:tcPr>
          <w:p w14:paraId="6139A153" w14:textId="77777777" w:rsidR="008C5CFA" w:rsidRPr="00601E29" w:rsidRDefault="00E82A60" w:rsidP="00300A01">
            <w:pPr>
              <w:spacing w:before="0" w:after="0"/>
              <w:rPr>
                <w:sz w:val="10"/>
                <w:szCs w:val="10"/>
                <w:lang w:val="fr-BE"/>
              </w:rPr>
            </w:pPr>
            <w:r w:rsidRPr="00601E29">
              <w:rPr>
                <w:noProof/>
                <w:sz w:val="10"/>
                <w:szCs w:val="10"/>
                <w:lang w:val="fr-BE"/>
              </w:rPr>
              <w:t>118</w:t>
            </w:r>
          </w:p>
        </w:tc>
        <w:tc>
          <w:tcPr>
            <w:tcW w:w="0" w:type="auto"/>
            <w:shd w:val="clear" w:color="auto" w:fill="auto"/>
          </w:tcPr>
          <w:p w14:paraId="7AEECFFB" w14:textId="77777777" w:rsidR="008C5CFA" w:rsidRPr="00601E29" w:rsidRDefault="00E82A60" w:rsidP="00300A01">
            <w:pPr>
              <w:spacing w:before="0" w:after="0"/>
              <w:rPr>
                <w:sz w:val="10"/>
                <w:szCs w:val="10"/>
                <w:lang w:val="fr-BE"/>
              </w:rPr>
            </w:pPr>
            <w:r w:rsidRPr="00601E29">
              <w:rPr>
                <w:noProof/>
                <w:sz w:val="10"/>
                <w:szCs w:val="10"/>
                <w:lang w:val="fr-BE"/>
              </w:rPr>
              <w:t>Liczba utworzonych miejsc pracy w ramach udzielonych z EFS środków na podjęcie działalności gospodarczej</w:t>
            </w:r>
          </w:p>
        </w:tc>
        <w:tc>
          <w:tcPr>
            <w:tcW w:w="0" w:type="auto"/>
            <w:shd w:val="clear" w:color="auto" w:fill="auto"/>
          </w:tcPr>
          <w:p w14:paraId="36ADC06D" w14:textId="77777777" w:rsidR="008C5CFA" w:rsidRPr="00601E29" w:rsidRDefault="00E82A60" w:rsidP="00300A01">
            <w:pPr>
              <w:spacing w:before="0" w:after="0"/>
              <w:rPr>
                <w:sz w:val="10"/>
                <w:szCs w:val="10"/>
                <w:lang w:val="fr-BE"/>
              </w:rPr>
            </w:pPr>
            <w:r w:rsidRPr="00601E29">
              <w:rPr>
                <w:noProof/>
                <w:sz w:val="10"/>
                <w:szCs w:val="10"/>
                <w:lang w:val="fr-BE"/>
              </w:rPr>
              <w:t>Słabiej rozwinięte</w:t>
            </w:r>
          </w:p>
        </w:tc>
        <w:tc>
          <w:tcPr>
            <w:tcW w:w="0" w:type="auto"/>
            <w:shd w:val="clear" w:color="auto" w:fill="auto"/>
          </w:tcPr>
          <w:p w14:paraId="42BBF355" w14:textId="77777777" w:rsidR="008C5CFA" w:rsidRPr="00601E29" w:rsidRDefault="00E82A60" w:rsidP="00300A01">
            <w:pPr>
              <w:spacing w:before="0" w:after="0"/>
              <w:rPr>
                <w:sz w:val="10"/>
                <w:szCs w:val="10"/>
                <w:lang w:val="fr-BE"/>
              </w:rPr>
            </w:pPr>
            <w:r w:rsidRPr="00785F4A">
              <w:rPr>
                <w:noProof/>
                <w:sz w:val="10"/>
                <w:szCs w:val="10"/>
                <w:lang w:val="fr-BE"/>
              </w:rPr>
              <w:t>Liczba</w:t>
            </w:r>
            <w:r w:rsidR="00CE4603">
              <w:rPr>
                <w:sz w:val="10"/>
                <w:szCs w:val="10"/>
                <w:lang w:val="fr-BE"/>
              </w:rPr>
              <w:t xml:space="preserve"> </w:t>
            </w:r>
            <w:r w:rsidR="00CE4603">
              <w:rPr>
                <w:noProof/>
                <w:sz w:val="10"/>
                <w:szCs w:val="10"/>
                <w:lang w:val="fr-BE"/>
              </w:rPr>
              <w:t>(szt.)</w:t>
            </w:r>
          </w:p>
        </w:tc>
        <w:tc>
          <w:tcPr>
            <w:tcW w:w="0" w:type="auto"/>
            <w:shd w:val="clear" w:color="auto" w:fill="auto"/>
          </w:tcPr>
          <w:p w14:paraId="3F72E6A2" w14:textId="77777777" w:rsidR="008C5CFA" w:rsidRPr="00601E29" w:rsidRDefault="00E82A60" w:rsidP="00300A01">
            <w:pPr>
              <w:spacing w:before="0" w:after="0"/>
              <w:rPr>
                <w:sz w:val="10"/>
                <w:szCs w:val="10"/>
                <w:lang w:val="fr-BE"/>
              </w:rPr>
            </w:pPr>
            <w:r w:rsidRPr="00601E29">
              <w:rPr>
                <w:sz w:val="10"/>
                <w:szCs w:val="10"/>
                <w:lang w:val="fr-BE"/>
              </w:rPr>
              <w:t xml:space="preserve"> </w:t>
            </w:r>
          </w:p>
        </w:tc>
        <w:tc>
          <w:tcPr>
            <w:tcW w:w="0" w:type="auto"/>
            <w:shd w:val="clear" w:color="auto" w:fill="auto"/>
          </w:tcPr>
          <w:p w14:paraId="3606BE20" w14:textId="77777777" w:rsidR="008C5CFA" w:rsidRPr="00601E29" w:rsidRDefault="00E82A60" w:rsidP="00300A01">
            <w:pPr>
              <w:spacing w:before="0" w:after="0"/>
              <w:jc w:val="center"/>
              <w:rPr>
                <w:sz w:val="10"/>
                <w:szCs w:val="10"/>
                <w:lang w:val="fr-BE"/>
              </w:rPr>
            </w:pPr>
            <w:r w:rsidRPr="00601E29">
              <w:rPr>
                <w:noProof/>
                <w:sz w:val="10"/>
                <w:szCs w:val="10"/>
                <w:lang w:val="fr-BE"/>
              </w:rPr>
              <w:t>Liczba</w:t>
            </w:r>
          </w:p>
        </w:tc>
        <w:tc>
          <w:tcPr>
            <w:tcW w:w="0" w:type="auto"/>
            <w:shd w:val="clear" w:color="auto" w:fill="auto"/>
          </w:tcPr>
          <w:p w14:paraId="3BB8B355" w14:textId="77777777" w:rsidR="008C5CFA" w:rsidRPr="00601E29" w:rsidRDefault="00E82A60" w:rsidP="00300A01">
            <w:pPr>
              <w:spacing w:before="0" w:after="0"/>
              <w:jc w:val="right"/>
              <w:rPr>
                <w:sz w:val="10"/>
                <w:szCs w:val="10"/>
                <w:lang w:val="fr-BE"/>
              </w:rPr>
            </w:pPr>
            <w:r w:rsidRPr="00601E29">
              <w:rPr>
                <w:noProof/>
                <w:sz w:val="10"/>
                <w:szCs w:val="10"/>
                <w:lang w:val="fr-BE"/>
              </w:rPr>
              <w:t>2 601,00</w:t>
            </w:r>
          </w:p>
        </w:tc>
        <w:tc>
          <w:tcPr>
            <w:tcW w:w="0" w:type="auto"/>
            <w:shd w:val="clear" w:color="auto" w:fill="auto"/>
          </w:tcPr>
          <w:p w14:paraId="37C49853" w14:textId="77777777" w:rsidR="008C5CFA" w:rsidRPr="00601E29" w:rsidRDefault="008C5CFA" w:rsidP="00300A01">
            <w:pPr>
              <w:spacing w:before="0" w:after="0"/>
              <w:jc w:val="right"/>
              <w:rPr>
                <w:sz w:val="10"/>
                <w:szCs w:val="10"/>
                <w:lang w:val="fr-BE"/>
              </w:rPr>
            </w:pPr>
          </w:p>
        </w:tc>
        <w:tc>
          <w:tcPr>
            <w:tcW w:w="0" w:type="auto"/>
            <w:shd w:val="clear" w:color="auto" w:fill="auto"/>
          </w:tcPr>
          <w:p w14:paraId="0C1476D5" w14:textId="77777777" w:rsidR="008C5CFA" w:rsidRPr="00601E29" w:rsidRDefault="008C5CFA" w:rsidP="00300A01">
            <w:pPr>
              <w:spacing w:before="0" w:after="0"/>
              <w:jc w:val="right"/>
              <w:rPr>
                <w:sz w:val="10"/>
                <w:szCs w:val="10"/>
                <w:lang w:val="fr-BE"/>
              </w:rPr>
            </w:pPr>
          </w:p>
        </w:tc>
        <w:tc>
          <w:tcPr>
            <w:tcW w:w="0" w:type="auto"/>
            <w:shd w:val="clear" w:color="auto" w:fill="auto"/>
          </w:tcPr>
          <w:p w14:paraId="081F7238" w14:textId="77777777" w:rsidR="008C5CFA" w:rsidRPr="00601E29" w:rsidRDefault="00E82A60" w:rsidP="00300A01">
            <w:pPr>
              <w:spacing w:before="0" w:after="0"/>
              <w:jc w:val="right"/>
              <w:rPr>
                <w:sz w:val="10"/>
                <w:szCs w:val="10"/>
                <w:lang w:val="fr-BE"/>
              </w:rPr>
            </w:pPr>
            <w:r>
              <w:rPr>
                <w:noProof/>
                <w:sz w:val="10"/>
                <w:szCs w:val="10"/>
                <w:lang w:val="fr-BE"/>
              </w:rPr>
              <w:t>1,40</w:t>
            </w:r>
          </w:p>
        </w:tc>
        <w:tc>
          <w:tcPr>
            <w:tcW w:w="0" w:type="auto"/>
            <w:shd w:val="clear" w:color="auto" w:fill="auto"/>
          </w:tcPr>
          <w:p w14:paraId="396D8198" w14:textId="77777777" w:rsidR="008C5CFA" w:rsidRPr="00601E29" w:rsidRDefault="008C5CFA" w:rsidP="00300A01">
            <w:pPr>
              <w:spacing w:before="0" w:after="0"/>
              <w:jc w:val="right"/>
              <w:rPr>
                <w:sz w:val="10"/>
                <w:szCs w:val="10"/>
                <w:lang w:val="fr-BE"/>
              </w:rPr>
            </w:pPr>
          </w:p>
        </w:tc>
        <w:tc>
          <w:tcPr>
            <w:tcW w:w="0" w:type="auto"/>
            <w:shd w:val="clear" w:color="auto" w:fill="auto"/>
          </w:tcPr>
          <w:p w14:paraId="3911875A" w14:textId="77777777" w:rsidR="008C5CFA" w:rsidRPr="00601E29" w:rsidRDefault="008C5CFA" w:rsidP="00300A01">
            <w:pPr>
              <w:spacing w:before="0" w:after="0"/>
              <w:jc w:val="right"/>
              <w:rPr>
                <w:sz w:val="10"/>
                <w:szCs w:val="10"/>
                <w:lang w:val="fr-BE"/>
              </w:rPr>
            </w:pPr>
          </w:p>
        </w:tc>
        <w:tc>
          <w:tcPr>
            <w:tcW w:w="0" w:type="auto"/>
            <w:shd w:val="clear" w:color="auto" w:fill="auto"/>
          </w:tcPr>
          <w:p w14:paraId="70824715" w14:textId="77777777" w:rsidR="008C5CFA" w:rsidRPr="00601E29" w:rsidRDefault="00E82A60" w:rsidP="00300A01">
            <w:pPr>
              <w:spacing w:before="0" w:after="0"/>
              <w:jc w:val="right"/>
              <w:rPr>
                <w:sz w:val="10"/>
                <w:szCs w:val="10"/>
                <w:lang w:val="fr-BE"/>
              </w:rPr>
            </w:pPr>
            <w:r w:rsidRPr="00601E29">
              <w:rPr>
                <w:noProof/>
                <w:sz w:val="10"/>
                <w:szCs w:val="10"/>
                <w:lang w:val="fr-BE"/>
              </w:rPr>
              <w:t>3 650,00</w:t>
            </w:r>
          </w:p>
        </w:tc>
        <w:tc>
          <w:tcPr>
            <w:tcW w:w="0" w:type="auto"/>
            <w:shd w:val="clear" w:color="auto" w:fill="auto"/>
          </w:tcPr>
          <w:p w14:paraId="50EDE418"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shd w:val="clear" w:color="auto" w:fill="auto"/>
          </w:tcPr>
          <w:p w14:paraId="5154431C"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289F7392" w14:textId="77777777" w:rsidR="008C5CFA" w:rsidRPr="00601E29" w:rsidRDefault="00E82A60" w:rsidP="00300A01">
            <w:pPr>
              <w:spacing w:before="0" w:after="0"/>
              <w:jc w:val="right"/>
              <w:rPr>
                <w:sz w:val="10"/>
                <w:szCs w:val="10"/>
                <w:lang w:val="fr-BE"/>
              </w:rPr>
            </w:pPr>
            <w:r w:rsidRPr="00601E29">
              <w:rPr>
                <w:noProof/>
                <w:sz w:val="10"/>
                <w:szCs w:val="10"/>
                <w:lang w:val="fr-BE"/>
              </w:rPr>
              <w:t>240,00</w:t>
            </w:r>
          </w:p>
        </w:tc>
        <w:tc>
          <w:tcPr>
            <w:tcW w:w="0" w:type="auto"/>
            <w:shd w:val="clear" w:color="auto" w:fill="auto"/>
          </w:tcPr>
          <w:p w14:paraId="08217F2F"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shd w:val="clear" w:color="auto" w:fill="auto"/>
          </w:tcPr>
          <w:p w14:paraId="0818EB12"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3EFEBF78" w14:textId="77777777" w:rsidR="008C5CFA" w:rsidRPr="00601E29" w:rsidRDefault="008C5CFA" w:rsidP="00300A01">
            <w:pPr>
              <w:spacing w:before="0" w:after="0"/>
              <w:jc w:val="right"/>
              <w:rPr>
                <w:sz w:val="10"/>
                <w:szCs w:val="10"/>
                <w:lang w:val="fr-BE"/>
              </w:rPr>
            </w:pPr>
          </w:p>
        </w:tc>
      </w:tr>
      <w:tr w:rsidR="006B2EC1" w14:paraId="6573BB4B" w14:textId="77777777" w:rsidTr="0047688D">
        <w:tc>
          <w:tcPr>
            <w:tcW w:w="0" w:type="auto"/>
            <w:shd w:val="clear" w:color="auto" w:fill="auto"/>
          </w:tcPr>
          <w:p w14:paraId="14F2951C" w14:textId="77777777" w:rsidR="008C5CFA" w:rsidRPr="00601E29" w:rsidRDefault="00E82A60" w:rsidP="00300A01">
            <w:pPr>
              <w:spacing w:before="0" w:after="0"/>
              <w:rPr>
                <w:sz w:val="10"/>
                <w:szCs w:val="10"/>
                <w:lang w:val="fr-BE"/>
              </w:rPr>
            </w:pPr>
            <w:r w:rsidRPr="00601E29">
              <w:rPr>
                <w:noProof/>
                <w:sz w:val="10"/>
                <w:szCs w:val="10"/>
                <w:lang w:val="fr-BE"/>
              </w:rPr>
              <w:t>025</w:t>
            </w:r>
          </w:p>
        </w:tc>
        <w:tc>
          <w:tcPr>
            <w:tcW w:w="0" w:type="auto"/>
            <w:shd w:val="clear" w:color="auto" w:fill="auto"/>
          </w:tcPr>
          <w:p w14:paraId="394F05AD" w14:textId="77777777" w:rsidR="008C5CFA" w:rsidRPr="00601E29" w:rsidRDefault="00E82A60" w:rsidP="00300A01">
            <w:pPr>
              <w:spacing w:before="0" w:after="0"/>
              <w:rPr>
                <w:sz w:val="10"/>
                <w:szCs w:val="10"/>
                <w:lang w:val="fr-BE"/>
              </w:rPr>
            </w:pPr>
            <w:r w:rsidRPr="00601E29">
              <w:rPr>
                <w:noProof/>
                <w:sz w:val="10"/>
                <w:szCs w:val="10"/>
                <w:lang w:val="fr-BE"/>
              </w:rPr>
              <w:t>Liczba utworzonych mikroprzedsiębiorstw przez osoby odchodzące z rolnictwa, działających 30 miesięcy po uzyskaniu wsparcia finansowego</w:t>
            </w:r>
          </w:p>
        </w:tc>
        <w:tc>
          <w:tcPr>
            <w:tcW w:w="0" w:type="auto"/>
            <w:shd w:val="clear" w:color="auto" w:fill="auto"/>
          </w:tcPr>
          <w:p w14:paraId="279981A9" w14:textId="77777777" w:rsidR="008C5CFA" w:rsidRPr="00601E29" w:rsidRDefault="00E82A60" w:rsidP="00300A01">
            <w:pPr>
              <w:spacing w:before="0" w:after="0"/>
              <w:rPr>
                <w:sz w:val="10"/>
                <w:szCs w:val="10"/>
                <w:lang w:val="fr-BE"/>
              </w:rPr>
            </w:pPr>
            <w:r w:rsidRPr="00601E29">
              <w:rPr>
                <w:noProof/>
                <w:sz w:val="10"/>
                <w:szCs w:val="10"/>
                <w:lang w:val="fr-BE"/>
              </w:rPr>
              <w:t>Słabiej rozwinięte</w:t>
            </w:r>
          </w:p>
        </w:tc>
        <w:tc>
          <w:tcPr>
            <w:tcW w:w="0" w:type="auto"/>
            <w:shd w:val="clear" w:color="auto" w:fill="auto"/>
          </w:tcPr>
          <w:p w14:paraId="470FF2A2" w14:textId="77777777" w:rsidR="008C5CFA" w:rsidRPr="00601E29" w:rsidRDefault="00E82A60" w:rsidP="00300A01">
            <w:pPr>
              <w:spacing w:before="0" w:after="0"/>
              <w:rPr>
                <w:sz w:val="10"/>
                <w:szCs w:val="10"/>
                <w:lang w:val="fr-BE"/>
              </w:rPr>
            </w:pPr>
            <w:r w:rsidRPr="00785F4A">
              <w:rPr>
                <w:noProof/>
                <w:sz w:val="10"/>
                <w:szCs w:val="10"/>
                <w:lang w:val="fr-BE"/>
              </w:rPr>
              <w:t>Liczba</w:t>
            </w:r>
            <w:r w:rsidR="00CE4603">
              <w:rPr>
                <w:sz w:val="10"/>
                <w:szCs w:val="10"/>
                <w:lang w:val="fr-BE"/>
              </w:rPr>
              <w:t xml:space="preserve"> </w:t>
            </w:r>
            <w:r w:rsidR="00CE4603">
              <w:rPr>
                <w:noProof/>
                <w:sz w:val="10"/>
                <w:szCs w:val="10"/>
                <w:lang w:val="fr-BE"/>
              </w:rPr>
              <w:t>(sztuka)</w:t>
            </w:r>
          </w:p>
        </w:tc>
        <w:tc>
          <w:tcPr>
            <w:tcW w:w="0" w:type="auto"/>
            <w:shd w:val="clear" w:color="auto" w:fill="auto"/>
          </w:tcPr>
          <w:p w14:paraId="49DBFA35" w14:textId="77777777" w:rsidR="008C5CFA" w:rsidRPr="00601E29" w:rsidRDefault="00E82A60" w:rsidP="00300A01">
            <w:pPr>
              <w:spacing w:before="0" w:after="0"/>
              <w:rPr>
                <w:sz w:val="10"/>
                <w:szCs w:val="10"/>
                <w:lang w:val="fr-BE"/>
              </w:rPr>
            </w:pPr>
            <w:r w:rsidRPr="00601E29">
              <w:rPr>
                <w:sz w:val="10"/>
                <w:szCs w:val="10"/>
                <w:lang w:val="fr-BE"/>
              </w:rPr>
              <w:t xml:space="preserve"> </w:t>
            </w:r>
          </w:p>
        </w:tc>
        <w:tc>
          <w:tcPr>
            <w:tcW w:w="0" w:type="auto"/>
            <w:shd w:val="clear" w:color="auto" w:fill="auto"/>
          </w:tcPr>
          <w:p w14:paraId="171A966D" w14:textId="77777777" w:rsidR="008C5CFA" w:rsidRPr="00601E29" w:rsidRDefault="00E82A60" w:rsidP="00300A01">
            <w:pPr>
              <w:spacing w:before="0" w:after="0"/>
              <w:jc w:val="center"/>
              <w:rPr>
                <w:sz w:val="10"/>
                <w:szCs w:val="10"/>
                <w:lang w:val="fr-BE"/>
              </w:rPr>
            </w:pPr>
            <w:r w:rsidRPr="00601E29">
              <w:rPr>
                <w:noProof/>
                <w:sz w:val="10"/>
                <w:szCs w:val="10"/>
                <w:lang w:val="fr-BE"/>
              </w:rPr>
              <w:t>Współczynnik</w:t>
            </w:r>
          </w:p>
        </w:tc>
        <w:tc>
          <w:tcPr>
            <w:tcW w:w="0" w:type="auto"/>
            <w:shd w:val="clear" w:color="auto" w:fill="auto"/>
          </w:tcPr>
          <w:p w14:paraId="72099EE6" w14:textId="77777777" w:rsidR="008C5CFA" w:rsidRPr="00601E29" w:rsidRDefault="00E82A60" w:rsidP="00300A01">
            <w:pPr>
              <w:spacing w:before="0" w:after="0"/>
              <w:jc w:val="right"/>
              <w:rPr>
                <w:sz w:val="10"/>
                <w:szCs w:val="10"/>
                <w:lang w:val="fr-BE"/>
              </w:rPr>
            </w:pPr>
            <w:r w:rsidRPr="00601E29">
              <w:rPr>
                <w:noProof/>
                <w:sz w:val="10"/>
                <w:szCs w:val="10"/>
                <w:lang w:val="fr-BE"/>
              </w:rPr>
              <w:t>48,00</w:t>
            </w:r>
            <w:r>
              <w:rPr>
                <w:noProof/>
                <w:sz w:val="10"/>
                <w:szCs w:val="10"/>
                <w:lang w:val="fr-BE"/>
              </w:rPr>
              <w:t>%</w:t>
            </w:r>
          </w:p>
        </w:tc>
        <w:tc>
          <w:tcPr>
            <w:tcW w:w="0" w:type="auto"/>
            <w:shd w:val="clear" w:color="auto" w:fill="auto"/>
          </w:tcPr>
          <w:p w14:paraId="7621CC72" w14:textId="77777777" w:rsidR="008C5CFA" w:rsidRPr="00601E29" w:rsidRDefault="008C5CFA" w:rsidP="00300A01">
            <w:pPr>
              <w:spacing w:before="0" w:after="0"/>
              <w:jc w:val="right"/>
              <w:rPr>
                <w:sz w:val="10"/>
                <w:szCs w:val="10"/>
                <w:lang w:val="fr-BE"/>
              </w:rPr>
            </w:pPr>
          </w:p>
        </w:tc>
        <w:tc>
          <w:tcPr>
            <w:tcW w:w="0" w:type="auto"/>
            <w:shd w:val="clear" w:color="auto" w:fill="auto"/>
          </w:tcPr>
          <w:p w14:paraId="09AD2B07" w14:textId="77777777" w:rsidR="008C5CFA" w:rsidRPr="00601E29" w:rsidRDefault="008C5CFA" w:rsidP="00300A01">
            <w:pPr>
              <w:spacing w:before="0" w:after="0"/>
              <w:jc w:val="right"/>
              <w:rPr>
                <w:sz w:val="10"/>
                <w:szCs w:val="10"/>
                <w:lang w:val="fr-BE"/>
              </w:rPr>
            </w:pPr>
          </w:p>
        </w:tc>
        <w:tc>
          <w:tcPr>
            <w:tcW w:w="0" w:type="auto"/>
            <w:shd w:val="clear" w:color="auto" w:fill="auto"/>
          </w:tcPr>
          <w:p w14:paraId="53585786" w14:textId="77777777" w:rsidR="008C5CFA" w:rsidRPr="00601E29" w:rsidRDefault="00E82A60" w:rsidP="00300A01">
            <w:pPr>
              <w:spacing w:before="0" w:after="0"/>
              <w:jc w:val="right"/>
              <w:rPr>
                <w:sz w:val="10"/>
                <w:szCs w:val="10"/>
                <w:lang w:val="fr-BE"/>
              </w:rPr>
            </w:pPr>
            <w:r>
              <w:rPr>
                <w:noProof/>
                <w:sz w:val="10"/>
                <w:szCs w:val="10"/>
                <w:lang w:val="fr-BE"/>
              </w:rPr>
              <w:t>0,00</w:t>
            </w:r>
          </w:p>
        </w:tc>
        <w:tc>
          <w:tcPr>
            <w:tcW w:w="0" w:type="auto"/>
            <w:shd w:val="clear" w:color="auto" w:fill="auto"/>
          </w:tcPr>
          <w:p w14:paraId="7F22A16B" w14:textId="77777777" w:rsidR="008C5CFA" w:rsidRPr="00601E29" w:rsidRDefault="008C5CFA" w:rsidP="00300A01">
            <w:pPr>
              <w:spacing w:before="0" w:after="0"/>
              <w:jc w:val="right"/>
              <w:rPr>
                <w:sz w:val="10"/>
                <w:szCs w:val="10"/>
                <w:lang w:val="fr-BE"/>
              </w:rPr>
            </w:pPr>
          </w:p>
        </w:tc>
        <w:tc>
          <w:tcPr>
            <w:tcW w:w="0" w:type="auto"/>
            <w:shd w:val="clear" w:color="auto" w:fill="auto"/>
          </w:tcPr>
          <w:p w14:paraId="6E977BBB" w14:textId="77777777" w:rsidR="008C5CFA" w:rsidRPr="00601E29" w:rsidRDefault="008C5CFA" w:rsidP="00300A01">
            <w:pPr>
              <w:spacing w:before="0" w:after="0"/>
              <w:jc w:val="right"/>
              <w:rPr>
                <w:sz w:val="10"/>
                <w:szCs w:val="10"/>
                <w:lang w:val="fr-BE"/>
              </w:rPr>
            </w:pPr>
          </w:p>
        </w:tc>
        <w:tc>
          <w:tcPr>
            <w:tcW w:w="0" w:type="auto"/>
            <w:shd w:val="clear" w:color="auto" w:fill="auto"/>
          </w:tcPr>
          <w:p w14:paraId="4472AA7F"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shd w:val="clear" w:color="auto" w:fill="auto"/>
          </w:tcPr>
          <w:p w14:paraId="7E03A3D3"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shd w:val="clear" w:color="auto" w:fill="auto"/>
          </w:tcPr>
          <w:p w14:paraId="6CB0BFC0"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53B90A61"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shd w:val="clear" w:color="auto" w:fill="auto"/>
          </w:tcPr>
          <w:p w14:paraId="7CD01F26"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shd w:val="clear" w:color="auto" w:fill="auto"/>
          </w:tcPr>
          <w:p w14:paraId="5747F4EE"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7E8C3FAD" w14:textId="77777777" w:rsidR="008C5CFA" w:rsidRPr="00601E29" w:rsidRDefault="008C5CFA" w:rsidP="00300A01">
            <w:pPr>
              <w:spacing w:before="0" w:after="0"/>
              <w:jc w:val="right"/>
              <w:rPr>
                <w:sz w:val="10"/>
                <w:szCs w:val="10"/>
                <w:lang w:val="fr-BE"/>
              </w:rPr>
            </w:pPr>
          </w:p>
        </w:tc>
      </w:tr>
      <w:tr w:rsidR="006B2EC1" w14:paraId="16D7F06A" w14:textId="77777777" w:rsidTr="0047688D">
        <w:tc>
          <w:tcPr>
            <w:tcW w:w="0" w:type="auto"/>
            <w:shd w:val="clear" w:color="auto" w:fill="auto"/>
          </w:tcPr>
          <w:p w14:paraId="23E5185F" w14:textId="77777777" w:rsidR="008C5CFA" w:rsidRPr="00601E29" w:rsidRDefault="00E82A60" w:rsidP="00300A01">
            <w:pPr>
              <w:spacing w:before="0" w:after="0"/>
              <w:rPr>
                <w:sz w:val="10"/>
                <w:szCs w:val="10"/>
                <w:lang w:val="fr-BE"/>
              </w:rPr>
            </w:pPr>
            <w:r w:rsidRPr="00601E29">
              <w:rPr>
                <w:noProof/>
                <w:sz w:val="10"/>
                <w:szCs w:val="10"/>
                <w:lang w:val="fr-BE"/>
              </w:rPr>
              <w:t>119</w:t>
            </w:r>
          </w:p>
        </w:tc>
        <w:tc>
          <w:tcPr>
            <w:tcW w:w="0" w:type="auto"/>
            <w:shd w:val="clear" w:color="auto" w:fill="auto"/>
          </w:tcPr>
          <w:p w14:paraId="26E4AC1C" w14:textId="77777777" w:rsidR="008C5CFA" w:rsidRPr="00601E29" w:rsidRDefault="00E82A60" w:rsidP="00300A01">
            <w:pPr>
              <w:spacing w:before="0" w:after="0"/>
              <w:rPr>
                <w:sz w:val="10"/>
                <w:szCs w:val="10"/>
                <w:lang w:val="fr-BE"/>
              </w:rPr>
            </w:pPr>
            <w:r w:rsidRPr="00601E29">
              <w:rPr>
                <w:noProof/>
                <w:sz w:val="10"/>
                <w:szCs w:val="10"/>
                <w:lang w:val="fr-BE"/>
              </w:rPr>
              <w:t>Liczba utworzonych mikroprzedsiębiorstw działających 30 miesięcy po uzyskaniu wsparcia finansowego</w:t>
            </w:r>
          </w:p>
        </w:tc>
        <w:tc>
          <w:tcPr>
            <w:tcW w:w="0" w:type="auto"/>
            <w:shd w:val="clear" w:color="auto" w:fill="auto"/>
          </w:tcPr>
          <w:p w14:paraId="2DAB7F78" w14:textId="77777777" w:rsidR="008C5CFA" w:rsidRPr="00601E29" w:rsidRDefault="00E82A60" w:rsidP="00300A01">
            <w:pPr>
              <w:spacing w:before="0" w:after="0"/>
              <w:rPr>
                <w:sz w:val="10"/>
                <w:szCs w:val="10"/>
                <w:lang w:val="fr-BE"/>
              </w:rPr>
            </w:pPr>
            <w:r w:rsidRPr="00601E29">
              <w:rPr>
                <w:noProof/>
                <w:sz w:val="10"/>
                <w:szCs w:val="10"/>
                <w:lang w:val="fr-BE"/>
              </w:rPr>
              <w:t>Słabiej rozwinięte</w:t>
            </w:r>
          </w:p>
        </w:tc>
        <w:tc>
          <w:tcPr>
            <w:tcW w:w="0" w:type="auto"/>
            <w:shd w:val="clear" w:color="auto" w:fill="auto"/>
          </w:tcPr>
          <w:p w14:paraId="2745FB82" w14:textId="77777777" w:rsidR="008C5CFA" w:rsidRPr="00601E29" w:rsidRDefault="00E82A60" w:rsidP="00300A01">
            <w:pPr>
              <w:spacing w:before="0" w:after="0"/>
              <w:rPr>
                <w:sz w:val="10"/>
                <w:szCs w:val="10"/>
                <w:lang w:val="fr-BE"/>
              </w:rPr>
            </w:pPr>
            <w:r w:rsidRPr="00785F4A">
              <w:rPr>
                <w:noProof/>
                <w:sz w:val="10"/>
                <w:szCs w:val="10"/>
                <w:lang w:val="fr-BE"/>
              </w:rPr>
              <w:t>Liczba</w:t>
            </w:r>
            <w:r w:rsidR="00CE4603">
              <w:rPr>
                <w:sz w:val="10"/>
                <w:szCs w:val="10"/>
                <w:lang w:val="fr-BE"/>
              </w:rPr>
              <w:t xml:space="preserve"> </w:t>
            </w:r>
            <w:r w:rsidR="00CE4603">
              <w:rPr>
                <w:noProof/>
                <w:sz w:val="10"/>
                <w:szCs w:val="10"/>
                <w:lang w:val="fr-BE"/>
              </w:rPr>
              <w:t>(szt.)</w:t>
            </w:r>
          </w:p>
        </w:tc>
        <w:tc>
          <w:tcPr>
            <w:tcW w:w="0" w:type="auto"/>
            <w:shd w:val="clear" w:color="auto" w:fill="auto"/>
          </w:tcPr>
          <w:p w14:paraId="42CE66B2" w14:textId="77777777" w:rsidR="008C5CFA" w:rsidRPr="00601E29" w:rsidRDefault="00E82A60" w:rsidP="00300A01">
            <w:pPr>
              <w:spacing w:before="0" w:after="0"/>
              <w:rPr>
                <w:sz w:val="10"/>
                <w:szCs w:val="10"/>
                <w:lang w:val="fr-BE"/>
              </w:rPr>
            </w:pPr>
            <w:r w:rsidRPr="00601E29">
              <w:rPr>
                <w:sz w:val="10"/>
                <w:szCs w:val="10"/>
                <w:lang w:val="fr-BE"/>
              </w:rPr>
              <w:t xml:space="preserve"> </w:t>
            </w:r>
          </w:p>
        </w:tc>
        <w:tc>
          <w:tcPr>
            <w:tcW w:w="0" w:type="auto"/>
            <w:shd w:val="clear" w:color="auto" w:fill="auto"/>
          </w:tcPr>
          <w:p w14:paraId="0346848C" w14:textId="77777777" w:rsidR="008C5CFA" w:rsidRPr="00601E29" w:rsidRDefault="00E82A60" w:rsidP="00300A01">
            <w:pPr>
              <w:spacing w:before="0" w:after="0"/>
              <w:jc w:val="center"/>
              <w:rPr>
                <w:sz w:val="10"/>
                <w:szCs w:val="10"/>
                <w:lang w:val="fr-BE"/>
              </w:rPr>
            </w:pPr>
            <w:r w:rsidRPr="00601E29">
              <w:rPr>
                <w:noProof/>
                <w:sz w:val="10"/>
                <w:szCs w:val="10"/>
                <w:lang w:val="fr-BE"/>
              </w:rPr>
              <w:t>Współczynnik</w:t>
            </w:r>
          </w:p>
        </w:tc>
        <w:tc>
          <w:tcPr>
            <w:tcW w:w="0" w:type="auto"/>
            <w:shd w:val="clear" w:color="auto" w:fill="auto"/>
          </w:tcPr>
          <w:p w14:paraId="4357A615" w14:textId="77777777" w:rsidR="008C5CFA" w:rsidRPr="00601E29" w:rsidRDefault="00E82A60" w:rsidP="00300A01">
            <w:pPr>
              <w:spacing w:before="0" w:after="0"/>
              <w:jc w:val="right"/>
              <w:rPr>
                <w:sz w:val="10"/>
                <w:szCs w:val="10"/>
                <w:lang w:val="fr-BE"/>
              </w:rPr>
            </w:pPr>
            <w:r w:rsidRPr="00601E29">
              <w:rPr>
                <w:noProof/>
                <w:sz w:val="10"/>
                <w:szCs w:val="10"/>
                <w:lang w:val="fr-BE"/>
              </w:rPr>
              <w:t>48,00</w:t>
            </w:r>
            <w:r>
              <w:rPr>
                <w:noProof/>
                <w:sz w:val="10"/>
                <w:szCs w:val="10"/>
                <w:lang w:val="fr-BE"/>
              </w:rPr>
              <w:t>%</w:t>
            </w:r>
          </w:p>
        </w:tc>
        <w:tc>
          <w:tcPr>
            <w:tcW w:w="0" w:type="auto"/>
            <w:shd w:val="clear" w:color="auto" w:fill="auto"/>
          </w:tcPr>
          <w:p w14:paraId="148B4874" w14:textId="77777777" w:rsidR="008C5CFA" w:rsidRPr="00601E29" w:rsidRDefault="008C5CFA" w:rsidP="00300A01">
            <w:pPr>
              <w:spacing w:before="0" w:after="0"/>
              <w:jc w:val="right"/>
              <w:rPr>
                <w:sz w:val="10"/>
                <w:szCs w:val="10"/>
                <w:lang w:val="fr-BE"/>
              </w:rPr>
            </w:pPr>
          </w:p>
        </w:tc>
        <w:tc>
          <w:tcPr>
            <w:tcW w:w="0" w:type="auto"/>
            <w:shd w:val="clear" w:color="auto" w:fill="auto"/>
          </w:tcPr>
          <w:p w14:paraId="3E6745EF" w14:textId="77777777" w:rsidR="008C5CFA" w:rsidRPr="00601E29" w:rsidRDefault="008C5CFA" w:rsidP="00300A01">
            <w:pPr>
              <w:spacing w:before="0" w:after="0"/>
              <w:jc w:val="right"/>
              <w:rPr>
                <w:sz w:val="10"/>
                <w:szCs w:val="10"/>
                <w:lang w:val="fr-BE"/>
              </w:rPr>
            </w:pPr>
          </w:p>
        </w:tc>
        <w:tc>
          <w:tcPr>
            <w:tcW w:w="0" w:type="auto"/>
            <w:shd w:val="clear" w:color="auto" w:fill="auto"/>
          </w:tcPr>
          <w:p w14:paraId="1AF2B9B8" w14:textId="77777777" w:rsidR="008C5CFA" w:rsidRPr="00601E29" w:rsidRDefault="00E82A60" w:rsidP="00300A01">
            <w:pPr>
              <w:spacing w:before="0" w:after="0"/>
              <w:jc w:val="right"/>
              <w:rPr>
                <w:sz w:val="10"/>
                <w:szCs w:val="10"/>
                <w:lang w:val="fr-BE"/>
              </w:rPr>
            </w:pPr>
            <w:r>
              <w:rPr>
                <w:noProof/>
                <w:sz w:val="10"/>
                <w:szCs w:val="10"/>
                <w:lang w:val="fr-BE"/>
              </w:rPr>
              <w:t>0,00</w:t>
            </w:r>
          </w:p>
        </w:tc>
        <w:tc>
          <w:tcPr>
            <w:tcW w:w="0" w:type="auto"/>
            <w:shd w:val="clear" w:color="auto" w:fill="auto"/>
          </w:tcPr>
          <w:p w14:paraId="6CCB7DCA" w14:textId="77777777" w:rsidR="008C5CFA" w:rsidRPr="00601E29" w:rsidRDefault="008C5CFA" w:rsidP="00300A01">
            <w:pPr>
              <w:spacing w:before="0" w:after="0"/>
              <w:jc w:val="right"/>
              <w:rPr>
                <w:sz w:val="10"/>
                <w:szCs w:val="10"/>
                <w:lang w:val="fr-BE"/>
              </w:rPr>
            </w:pPr>
          </w:p>
        </w:tc>
        <w:tc>
          <w:tcPr>
            <w:tcW w:w="0" w:type="auto"/>
            <w:shd w:val="clear" w:color="auto" w:fill="auto"/>
          </w:tcPr>
          <w:p w14:paraId="55A5A631" w14:textId="77777777" w:rsidR="008C5CFA" w:rsidRPr="00601E29" w:rsidRDefault="008C5CFA" w:rsidP="00300A01">
            <w:pPr>
              <w:spacing w:before="0" w:after="0"/>
              <w:jc w:val="right"/>
              <w:rPr>
                <w:sz w:val="10"/>
                <w:szCs w:val="10"/>
                <w:lang w:val="fr-BE"/>
              </w:rPr>
            </w:pPr>
          </w:p>
        </w:tc>
        <w:tc>
          <w:tcPr>
            <w:tcW w:w="0" w:type="auto"/>
            <w:shd w:val="clear" w:color="auto" w:fill="auto"/>
          </w:tcPr>
          <w:p w14:paraId="4EE590B9"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shd w:val="clear" w:color="auto" w:fill="auto"/>
          </w:tcPr>
          <w:p w14:paraId="57EDEAC3"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shd w:val="clear" w:color="auto" w:fill="auto"/>
          </w:tcPr>
          <w:p w14:paraId="5D5427B6"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0084480A"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shd w:val="clear" w:color="auto" w:fill="auto"/>
          </w:tcPr>
          <w:p w14:paraId="6DCC4FB8"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shd w:val="clear" w:color="auto" w:fill="auto"/>
          </w:tcPr>
          <w:p w14:paraId="521B2680"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76A0EE03" w14:textId="77777777" w:rsidR="008C5CFA" w:rsidRPr="00601E29" w:rsidRDefault="008C5CFA" w:rsidP="00300A01">
            <w:pPr>
              <w:spacing w:before="0" w:after="0"/>
              <w:jc w:val="right"/>
              <w:rPr>
                <w:sz w:val="10"/>
                <w:szCs w:val="10"/>
                <w:lang w:val="fr-BE"/>
              </w:rPr>
            </w:pPr>
          </w:p>
        </w:tc>
      </w:tr>
    </w:tbl>
    <w:p w14:paraId="752EC7C7"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85"/>
        <w:gridCol w:w="6276"/>
        <w:gridCol w:w="964"/>
        <w:gridCol w:w="500"/>
        <w:gridCol w:w="607"/>
        <w:gridCol w:w="487"/>
        <w:gridCol w:w="499"/>
        <w:gridCol w:w="607"/>
        <w:gridCol w:w="487"/>
        <w:gridCol w:w="643"/>
        <w:gridCol w:w="499"/>
        <w:gridCol w:w="607"/>
        <w:gridCol w:w="487"/>
        <w:gridCol w:w="499"/>
        <w:gridCol w:w="607"/>
        <w:gridCol w:w="487"/>
        <w:gridCol w:w="643"/>
      </w:tblGrid>
      <w:tr w:rsidR="006B2EC1" w14:paraId="6163B03E" w14:textId="77777777" w:rsidTr="0047688D">
        <w:trPr>
          <w:tblHeader/>
        </w:trPr>
        <w:tc>
          <w:tcPr>
            <w:tcW w:w="0" w:type="auto"/>
            <w:shd w:val="clear" w:color="auto" w:fill="auto"/>
          </w:tcPr>
          <w:p w14:paraId="1EB3231E" w14:textId="77777777" w:rsidR="008C5CFA" w:rsidRPr="00601E29" w:rsidRDefault="00E82A60" w:rsidP="00300A01">
            <w:pPr>
              <w:spacing w:before="0" w:after="0"/>
              <w:rPr>
                <w:b/>
                <w:sz w:val="10"/>
                <w:szCs w:val="10"/>
                <w:lang w:val="fr-BE"/>
              </w:rPr>
            </w:pPr>
            <w:r w:rsidRPr="00601E29">
              <w:rPr>
                <w:b/>
                <w:noProof/>
                <w:sz w:val="10"/>
                <w:szCs w:val="10"/>
                <w:lang w:val="fr-BE"/>
              </w:rPr>
              <w:t>ID</w:t>
            </w:r>
          </w:p>
        </w:tc>
        <w:tc>
          <w:tcPr>
            <w:tcW w:w="0" w:type="auto"/>
            <w:shd w:val="clear" w:color="auto" w:fill="auto"/>
          </w:tcPr>
          <w:p w14:paraId="5956F942" w14:textId="77777777" w:rsidR="008C5CFA" w:rsidRPr="00601E29" w:rsidRDefault="00E82A60" w:rsidP="00300A01">
            <w:pPr>
              <w:spacing w:before="0" w:after="0"/>
              <w:rPr>
                <w:b/>
                <w:sz w:val="10"/>
                <w:szCs w:val="10"/>
                <w:lang w:val="fr-BE"/>
              </w:rPr>
            </w:pPr>
            <w:r w:rsidRPr="00601E29">
              <w:rPr>
                <w:b/>
                <w:noProof/>
                <w:sz w:val="10"/>
                <w:szCs w:val="10"/>
                <w:lang w:val="fr-BE"/>
              </w:rPr>
              <w:t>Wskaźnik</w:t>
            </w:r>
          </w:p>
        </w:tc>
        <w:tc>
          <w:tcPr>
            <w:tcW w:w="0" w:type="auto"/>
            <w:shd w:val="clear" w:color="auto" w:fill="auto"/>
          </w:tcPr>
          <w:p w14:paraId="78A53E20" w14:textId="77777777" w:rsidR="008C5CFA" w:rsidRPr="00601E29" w:rsidRDefault="00E82A60" w:rsidP="00300A01">
            <w:pPr>
              <w:spacing w:before="0" w:after="0"/>
              <w:rPr>
                <w:b/>
                <w:sz w:val="10"/>
                <w:szCs w:val="10"/>
                <w:lang w:val="fr-BE"/>
              </w:rPr>
            </w:pPr>
            <w:r w:rsidRPr="00601E29">
              <w:rPr>
                <w:b/>
                <w:noProof/>
                <w:sz w:val="10"/>
                <w:szCs w:val="10"/>
                <w:lang w:val="fr-BE"/>
              </w:rPr>
              <w:t>Kategoria regionu</w:t>
            </w:r>
          </w:p>
        </w:tc>
        <w:tc>
          <w:tcPr>
            <w:tcW w:w="0" w:type="auto"/>
            <w:gridSpan w:val="7"/>
          </w:tcPr>
          <w:p w14:paraId="764D5A11" w14:textId="77777777" w:rsidR="008C5CFA" w:rsidRPr="00601E29" w:rsidRDefault="00E82A60" w:rsidP="00300A01">
            <w:pPr>
              <w:spacing w:before="0" w:after="0"/>
              <w:jc w:val="center"/>
              <w:rPr>
                <w:b/>
                <w:sz w:val="10"/>
                <w:szCs w:val="10"/>
                <w:lang w:val="fr-BE"/>
              </w:rPr>
            </w:pPr>
            <w:r>
              <w:rPr>
                <w:b/>
                <w:sz w:val="10"/>
                <w:szCs w:val="10"/>
                <w:lang w:val="fr-BE"/>
              </w:rPr>
              <w:t>2018</w:t>
            </w:r>
          </w:p>
        </w:tc>
        <w:tc>
          <w:tcPr>
            <w:tcW w:w="0" w:type="auto"/>
            <w:gridSpan w:val="7"/>
          </w:tcPr>
          <w:p w14:paraId="1085358A" w14:textId="77777777" w:rsidR="008C5CFA" w:rsidRPr="00601E29" w:rsidRDefault="00E82A60" w:rsidP="00300A01">
            <w:pPr>
              <w:spacing w:before="0" w:after="0"/>
              <w:jc w:val="center"/>
              <w:rPr>
                <w:b/>
                <w:sz w:val="10"/>
                <w:szCs w:val="10"/>
                <w:lang w:val="fr-BE"/>
              </w:rPr>
            </w:pPr>
            <w:r>
              <w:rPr>
                <w:b/>
                <w:sz w:val="10"/>
                <w:szCs w:val="10"/>
                <w:lang w:val="fr-BE"/>
              </w:rPr>
              <w:t>2017</w:t>
            </w:r>
          </w:p>
        </w:tc>
      </w:tr>
      <w:tr w:rsidR="006B2EC1" w14:paraId="2D892BDF" w14:textId="77777777" w:rsidTr="0047688D">
        <w:trPr>
          <w:tblHeader/>
        </w:trPr>
        <w:tc>
          <w:tcPr>
            <w:tcW w:w="0" w:type="auto"/>
            <w:shd w:val="clear" w:color="auto" w:fill="auto"/>
          </w:tcPr>
          <w:p w14:paraId="486D34CE" w14:textId="77777777" w:rsidR="008C5CFA" w:rsidRPr="00601E29" w:rsidRDefault="008C5CFA" w:rsidP="00300A01">
            <w:pPr>
              <w:spacing w:before="0" w:after="0"/>
              <w:rPr>
                <w:b/>
                <w:sz w:val="10"/>
                <w:szCs w:val="10"/>
                <w:lang w:val="fr-BE"/>
              </w:rPr>
            </w:pPr>
          </w:p>
        </w:tc>
        <w:tc>
          <w:tcPr>
            <w:tcW w:w="0" w:type="auto"/>
            <w:shd w:val="clear" w:color="auto" w:fill="auto"/>
          </w:tcPr>
          <w:p w14:paraId="208FAD76" w14:textId="77777777" w:rsidR="008C5CFA" w:rsidRPr="00601E29" w:rsidRDefault="008C5CFA" w:rsidP="00300A01">
            <w:pPr>
              <w:spacing w:before="0" w:after="0"/>
              <w:rPr>
                <w:b/>
                <w:sz w:val="10"/>
                <w:szCs w:val="10"/>
                <w:lang w:val="fr-BE"/>
              </w:rPr>
            </w:pPr>
          </w:p>
        </w:tc>
        <w:tc>
          <w:tcPr>
            <w:tcW w:w="0" w:type="auto"/>
            <w:shd w:val="clear" w:color="auto" w:fill="auto"/>
          </w:tcPr>
          <w:p w14:paraId="42FE4D8D" w14:textId="77777777" w:rsidR="008C5CFA" w:rsidRPr="00601E29" w:rsidRDefault="008C5CFA" w:rsidP="00300A01">
            <w:pPr>
              <w:spacing w:before="0" w:after="0"/>
              <w:rPr>
                <w:b/>
                <w:sz w:val="10"/>
                <w:szCs w:val="10"/>
                <w:lang w:val="fr-BE"/>
              </w:rPr>
            </w:pPr>
          </w:p>
        </w:tc>
        <w:tc>
          <w:tcPr>
            <w:tcW w:w="0" w:type="auto"/>
            <w:gridSpan w:val="3"/>
          </w:tcPr>
          <w:p w14:paraId="30F1F137" w14:textId="77777777" w:rsidR="008C5CFA" w:rsidRPr="00601E29" w:rsidRDefault="00E82A60" w:rsidP="00300A01">
            <w:pPr>
              <w:spacing w:before="0" w:after="0"/>
              <w:jc w:val="center"/>
              <w:rPr>
                <w:b/>
                <w:sz w:val="10"/>
                <w:szCs w:val="10"/>
                <w:lang w:val="fr-BE"/>
              </w:rPr>
            </w:pPr>
            <w:r w:rsidRPr="00601E29">
              <w:rPr>
                <w:b/>
                <w:noProof/>
                <w:sz w:val="10"/>
                <w:szCs w:val="10"/>
                <w:lang w:val="fr-BE"/>
              </w:rPr>
              <w:t>Łącznie</w:t>
            </w:r>
          </w:p>
        </w:tc>
        <w:tc>
          <w:tcPr>
            <w:tcW w:w="0" w:type="auto"/>
            <w:gridSpan w:val="3"/>
          </w:tcPr>
          <w:p w14:paraId="4CBFA066" w14:textId="77777777" w:rsidR="008C5CFA" w:rsidRPr="00601E29" w:rsidRDefault="00E82A60" w:rsidP="00300A01">
            <w:pPr>
              <w:spacing w:before="0" w:after="0"/>
              <w:jc w:val="center"/>
              <w:rPr>
                <w:b/>
                <w:sz w:val="10"/>
                <w:szCs w:val="10"/>
                <w:lang w:val="fr-BE"/>
              </w:rPr>
            </w:pPr>
            <w:r w:rsidRPr="00601E29">
              <w:rPr>
                <w:b/>
                <w:noProof/>
                <w:sz w:val="10"/>
                <w:szCs w:val="10"/>
                <w:lang w:val="fr-BE"/>
              </w:rPr>
              <w:t>Łącznie w roku</w:t>
            </w:r>
          </w:p>
        </w:tc>
        <w:tc>
          <w:tcPr>
            <w:tcW w:w="0" w:type="auto"/>
          </w:tcPr>
          <w:p w14:paraId="6E794597" w14:textId="77777777" w:rsidR="008C5CFA" w:rsidRPr="00601E29" w:rsidRDefault="00E82A60" w:rsidP="00300A01">
            <w:pPr>
              <w:spacing w:before="0" w:after="0"/>
              <w:jc w:val="center"/>
              <w:rPr>
                <w:b/>
                <w:sz w:val="10"/>
                <w:szCs w:val="10"/>
                <w:lang w:val="fr-BE"/>
              </w:rPr>
            </w:pPr>
            <w:r w:rsidRPr="00601E29">
              <w:rPr>
                <w:b/>
                <w:noProof/>
                <w:sz w:val="10"/>
                <w:szCs w:val="10"/>
                <w:lang w:val="fr-BE"/>
              </w:rPr>
              <w:t>Jakościowe</w:t>
            </w:r>
          </w:p>
        </w:tc>
        <w:tc>
          <w:tcPr>
            <w:tcW w:w="0" w:type="auto"/>
            <w:gridSpan w:val="3"/>
          </w:tcPr>
          <w:p w14:paraId="3D6F9835" w14:textId="77777777" w:rsidR="008C5CFA" w:rsidRPr="00601E29" w:rsidRDefault="00E82A60" w:rsidP="00300A01">
            <w:pPr>
              <w:spacing w:before="0" w:after="0"/>
              <w:jc w:val="center"/>
              <w:rPr>
                <w:b/>
                <w:sz w:val="10"/>
                <w:szCs w:val="10"/>
                <w:lang w:val="fr-BE"/>
              </w:rPr>
            </w:pPr>
            <w:r w:rsidRPr="00601E29">
              <w:rPr>
                <w:b/>
                <w:noProof/>
                <w:sz w:val="10"/>
                <w:szCs w:val="10"/>
                <w:lang w:val="fr-BE"/>
              </w:rPr>
              <w:t>Łącznie</w:t>
            </w:r>
          </w:p>
        </w:tc>
        <w:tc>
          <w:tcPr>
            <w:tcW w:w="0" w:type="auto"/>
            <w:gridSpan w:val="3"/>
          </w:tcPr>
          <w:p w14:paraId="7D2F07E3" w14:textId="77777777" w:rsidR="008C5CFA" w:rsidRPr="00601E29" w:rsidRDefault="00E82A60" w:rsidP="00300A01">
            <w:pPr>
              <w:spacing w:before="0" w:after="0"/>
              <w:jc w:val="center"/>
              <w:rPr>
                <w:b/>
                <w:sz w:val="10"/>
                <w:szCs w:val="10"/>
                <w:lang w:val="fr-BE"/>
              </w:rPr>
            </w:pPr>
            <w:r w:rsidRPr="00601E29">
              <w:rPr>
                <w:b/>
                <w:noProof/>
                <w:sz w:val="10"/>
                <w:szCs w:val="10"/>
                <w:lang w:val="fr-BE"/>
              </w:rPr>
              <w:t>Łącznie w roku</w:t>
            </w:r>
          </w:p>
        </w:tc>
        <w:tc>
          <w:tcPr>
            <w:tcW w:w="0" w:type="auto"/>
          </w:tcPr>
          <w:p w14:paraId="104E791E" w14:textId="77777777" w:rsidR="008C5CFA" w:rsidRPr="00601E29" w:rsidRDefault="00E82A60" w:rsidP="00300A01">
            <w:pPr>
              <w:spacing w:before="0" w:after="0"/>
              <w:jc w:val="center"/>
              <w:rPr>
                <w:b/>
                <w:sz w:val="10"/>
                <w:szCs w:val="10"/>
                <w:lang w:val="fr-BE"/>
              </w:rPr>
            </w:pPr>
            <w:r w:rsidRPr="00601E29">
              <w:rPr>
                <w:b/>
                <w:noProof/>
                <w:sz w:val="10"/>
                <w:szCs w:val="10"/>
                <w:lang w:val="fr-BE"/>
              </w:rPr>
              <w:t>Jakościowe</w:t>
            </w:r>
          </w:p>
        </w:tc>
      </w:tr>
      <w:tr w:rsidR="006B2EC1" w14:paraId="501CD23F" w14:textId="77777777" w:rsidTr="0047688D">
        <w:trPr>
          <w:tblHeader/>
        </w:trPr>
        <w:tc>
          <w:tcPr>
            <w:tcW w:w="0" w:type="auto"/>
            <w:shd w:val="clear" w:color="auto" w:fill="auto"/>
          </w:tcPr>
          <w:p w14:paraId="0264D7CB" w14:textId="77777777" w:rsidR="008C5CFA" w:rsidRPr="00601E29" w:rsidRDefault="008C5CFA" w:rsidP="00300A01">
            <w:pPr>
              <w:spacing w:before="0" w:after="0"/>
              <w:rPr>
                <w:b/>
                <w:sz w:val="10"/>
                <w:szCs w:val="10"/>
                <w:lang w:val="fr-BE"/>
              </w:rPr>
            </w:pPr>
          </w:p>
        </w:tc>
        <w:tc>
          <w:tcPr>
            <w:tcW w:w="0" w:type="auto"/>
            <w:shd w:val="clear" w:color="auto" w:fill="auto"/>
          </w:tcPr>
          <w:p w14:paraId="71B728B0" w14:textId="77777777" w:rsidR="008C5CFA" w:rsidRPr="00601E29" w:rsidRDefault="008C5CFA" w:rsidP="00300A01">
            <w:pPr>
              <w:spacing w:before="0" w:after="0"/>
              <w:rPr>
                <w:b/>
                <w:sz w:val="10"/>
                <w:szCs w:val="10"/>
                <w:lang w:val="fr-BE"/>
              </w:rPr>
            </w:pPr>
          </w:p>
        </w:tc>
        <w:tc>
          <w:tcPr>
            <w:tcW w:w="0" w:type="auto"/>
            <w:shd w:val="clear" w:color="auto" w:fill="auto"/>
          </w:tcPr>
          <w:p w14:paraId="1AA0CCA5" w14:textId="77777777" w:rsidR="008C5CFA" w:rsidRPr="00601E29" w:rsidRDefault="008C5CFA" w:rsidP="00300A01">
            <w:pPr>
              <w:spacing w:before="0" w:after="0"/>
              <w:rPr>
                <w:b/>
                <w:sz w:val="10"/>
                <w:szCs w:val="10"/>
                <w:lang w:val="fr-BE"/>
              </w:rPr>
            </w:pPr>
          </w:p>
        </w:tc>
        <w:tc>
          <w:tcPr>
            <w:tcW w:w="0" w:type="auto"/>
          </w:tcPr>
          <w:p w14:paraId="25D7A54B" w14:textId="77777777" w:rsidR="008C5CFA" w:rsidRPr="00601E29" w:rsidRDefault="00E82A60" w:rsidP="00300A01">
            <w:pPr>
              <w:spacing w:before="0" w:after="0"/>
              <w:jc w:val="center"/>
              <w:rPr>
                <w:b/>
                <w:sz w:val="10"/>
                <w:szCs w:val="10"/>
                <w:lang w:val="fr-BE"/>
              </w:rPr>
            </w:pPr>
            <w:r w:rsidRPr="00601E29">
              <w:rPr>
                <w:b/>
                <w:noProof/>
                <w:sz w:val="10"/>
                <w:szCs w:val="10"/>
                <w:lang w:val="fr-BE"/>
              </w:rPr>
              <w:t>Ogółem</w:t>
            </w:r>
          </w:p>
        </w:tc>
        <w:tc>
          <w:tcPr>
            <w:tcW w:w="0" w:type="auto"/>
          </w:tcPr>
          <w:p w14:paraId="5CECEF6F" w14:textId="77777777" w:rsidR="008C5CFA" w:rsidRPr="00601E29" w:rsidRDefault="00E82A60" w:rsidP="00300A01">
            <w:pPr>
              <w:spacing w:before="0" w:after="0"/>
              <w:jc w:val="center"/>
              <w:rPr>
                <w:b/>
                <w:sz w:val="10"/>
                <w:szCs w:val="10"/>
                <w:lang w:val="fr-BE"/>
              </w:rPr>
            </w:pPr>
            <w:r w:rsidRPr="00601E29">
              <w:rPr>
                <w:b/>
                <w:noProof/>
                <w:sz w:val="10"/>
                <w:szCs w:val="10"/>
                <w:lang w:val="fr-BE"/>
              </w:rPr>
              <w:t>Mężczyźni</w:t>
            </w:r>
          </w:p>
        </w:tc>
        <w:tc>
          <w:tcPr>
            <w:tcW w:w="0" w:type="auto"/>
          </w:tcPr>
          <w:p w14:paraId="08AA5037" w14:textId="77777777" w:rsidR="008C5CFA" w:rsidRPr="00601E29" w:rsidRDefault="00E82A60" w:rsidP="00300A01">
            <w:pPr>
              <w:spacing w:before="0" w:after="0"/>
              <w:jc w:val="center"/>
              <w:rPr>
                <w:b/>
                <w:sz w:val="10"/>
                <w:szCs w:val="10"/>
                <w:lang w:val="fr-BE"/>
              </w:rPr>
            </w:pPr>
            <w:r w:rsidRPr="00601E29">
              <w:rPr>
                <w:b/>
                <w:noProof/>
                <w:sz w:val="10"/>
                <w:szCs w:val="10"/>
                <w:lang w:val="fr-BE"/>
              </w:rPr>
              <w:t>Kobiety</w:t>
            </w:r>
          </w:p>
        </w:tc>
        <w:tc>
          <w:tcPr>
            <w:tcW w:w="0" w:type="auto"/>
          </w:tcPr>
          <w:p w14:paraId="08D40E1F" w14:textId="77777777" w:rsidR="008C5CFA" w:rsidRPr="00601E29" w:rsidRDefault="00E82A60" w:rsidP="00300A01">
            <w:pPr>
              <w:spacing w:before="0" w:after="0"/>
              <w:jc w:val="center"/>
              <w:rPr>
                <w:b/>
                <w:sz w:val="10"/>
                <w:szCs w:val="10"/>
                <w:lang w:val="fr-BE"/>
              </w:rPr>
            </w:pPr>
            <w:r w:rsidRPr="00601E29">
              <w:rPr>
                <w:b/>
                <w:noProof/>
                <w:sz w:val="10"/>
                <w:szCs w:val="10"/>
                <w:lang w:val="fr-BE"/>
              </w:rPr>
              <w:t>Ogółem</w:t>
            </w:r>
          </w:p>
        </w:tc>
        <w:tc>
          <w:tcPr>
            <w:tcW w:w="0" w:type="auto"/>
          </w:tcPr>
          <w:p w14:paraId="4A2E8152" w14:textId="77777777" w:rsidR="008C5CFA" w:rsidRPr="00601E29" w:rsidRDefault="00E82A60" w:rsidP="00300A01">
            <w:pPr>
              <w:spacing w:before="0" w:after="0"/>
              <w:jc w:val="center"/>
              <w:rPr>
                <w:b/>
                <w:sz w:val="10"/>
                <w:szCs w:val="10"/>
                <w:lang w:val="fr-BE"/>
              </w:rPr>
            </w:pPr>
            <w:r w:rsidRPr="00601E29">
              <w:rPr>
                <w:b/>
                <w:noProof/>
                <w:sz w:val="10"/>
                <w:szCs w:val="10"/>
                <w:lang w:val="fr-BE"/>
              </w:rPr>
              <w:t>Mężczyźni</w:t>
            </w:r>
          </w:p>
        </w:tc>
        <w:tc>
          <w:tcPr>
            <w:tcW w:w="0" w:type="auto"/>
          </w:tcPr>
          <w:p w14:paraId="7523FA42" w14:textId="77777777" w:rsidR="008C5CFA" w:rsidRPr="00601E29" w:rsidRDefault="00E82A60" w:rsidP="00300A01">
            <w:pPr>
              <w:spacing w:before="0" w:after="0"/>
              <w:jc w:val="center"/>
              <w:rPr>
                <w:b/>
                <w:sz w:val="10"/>
                <w:szCs w:val="10"/>
                <w:lang w:val="fr-BE"/>
              </w:rPr>
            </w:pPr>
            <w:r w:rsidRPr="00601E29">
              <w:rPr>
                <w:b/>
                <w:noProof/>
                <w:sz w:val="10"/>
                <w:szCs w:val="10"/>
                <w:lang w:val="fr-BE"/>
              </w:rPr>
              <w:t>Kobiety</w:t>
            </w:r>
          </w:p>
        </w:tc>
        <w:tc>
          <w:tcPr>
            <w:tcW w:w="0" w:type="auto"/>
          </w:tcPr>
          <w:p w14:paraId="00449D28" w14:textId="77777777" w:rsidR="008C5CFA" w:rsidRPr="00601E29" w:rsidRDefault="008C5CFA" w:rsidP="00300A01">
            <w:pPr>
              <w:spacing w:before="0" w:after="0"/>
              <w:jc w:val="center"/>
              <w:rPr>
                <w:b/>
                <w:sz w:val="10"/>
                <w:szCs w:val="10"/>
                <w:lang w:val="fr-BE"/>
              </w:rPr>
            </w:pPr>
          </w:p>
        </w:tc>
        <w:tc>
          <w:tcPr>
            <w:tcW w:w="0" w:type="auto"/>
          </w:tcPr>
          <w:p w14:paraId="634DBFA7" w14:textId="77777777" w:rsidR="008C5CFA" w:rsidRPr="00601E29" w:rsidRDefault="00E82A60" w:rsidP="00300A01">
            <w:pPr>
              <w:spacing w:before="0" w:after="0"/>
              <w:jc w:val="center"/>
              <w:rPr>
                <w:b/>
                <w:sz w:val="10"/>
                <w:szCs w:val="10"/>
                <w:lang w:val="fr-BE"/>
              </w:rPr>
            </w:pPr>
            <w:r w:rsidRPr="00601E29">
              <w:rPr>
                <w:b/>
                <w:noProof/>
                <w:sz w:val="10"/>
                <w:szCs w:val="10"/>
                <w:lang w:val="fr-BE"/>
              </w:rPr>
              <w:t>Ogółem</w:t>
            </w:r>
          </w:p>
        </w:tc>
        <w:tc>
          <w:tcPr>
            <w:tcW w:w="0" w:type="auto"/>
          </w:tcPr>
          <w:p w14:paraId="38BE4562" w14:textId="77777777" w:rsidR="008C5CFA" w:rsidRPr="00601E29" w:rsidRDefault="00E82A60" w:rsidP="00300A01">
            <w:pPr>
              <w:spacing w:before="0" w:after="0"/>
              <w:jc w:val="center"/>
              <w:rPr>
                <w:b/>
                <w:sz w:val="10"/>
                <w:szCs w:val="10"/>
                <w:lang w:val="fr-BE"/>
              </w:rPr>
            </w:pPr>
            <w:r w:rsidRPr="00601E29">
              <w:rPr>
                <w:b/>
                <w:noProof/>
                <w:sz w:val="10"/>
                <w:szCs w:val="10"/>
                <w:lang w:val="fr-BE"/>
              </w:rPr>
              <w:t>Mężczyźni</w:t>
            </w:r>
          </w:p>
        </w:tc>
        <w:tc>
          <w:tcPr>
            <w:tcW w:w="0" w:type="auto"/>
          </w:tcPr>
          <w:p w14:paraId="76788F0C" w14:textId="77777777" w:rsidR="008C5CFA" w:rsidRPr="00601E29" w:rsidRDefault="00E82A60" w:rsidP="00300A01">
            <w:pPr>
              <w:spacing w:before="0" w:after="0"/>
              <w:jc w:val="center"/>
              <w:rPr>
                <w:b/>
                <w:sz w:val="10"/>
                <w:szCs w:val="10"/>
                <w:lang w:val="fr-BE"/>
              </w:rPr>
            </w:pPr>
            <w:r w:rsidRPr="00601E29">
              <w:rPr>
                <w:b/>
                <w:noProof/>
                <w:sz w:val="10"/>
                <w:szCs w:val="10"/>
                <w:lang w:val="fr-BE"/>
              </w:rPr>
              <w:t>Kobiety</w:t>
            </w:r>
          </w:p>
        </w:tc>
        <w:tc>
          <w:tcPr>
            <w:tcW w:w="0" w:type="auto"/>
          </w:tcPr>
          <w:p w14:paraId="0A14C662" w14:textId="77777777" w:rsidR="008C5CFA" w:rsidRPr="00601E29" w:rsidRDefault="00E82A60" w:rsidP="00300A01">
            <w:pPr>
              <w:spacing w:before="0" w:after="0"/>
              <w:jc w:val="center"/>
              <w:rPr>
                <w:b/>
                <w:sz w:val="10"/>
                <w:szCs w:val="10"/>
                <w:lang w:val="fr-BE"/>
              </w:rPr>
            </w:pPr>
            <w:r w:rsidRPr="00601E29">
              <w:rPr>
                <w:b/>
                <w:noProof/>
                <w:sz w:val="10"/>
                <w:szCs w:val="10"/>
                <w:lang w:val="fr-BE"/>
              </w:rPr>
              <w:t>Ogółem</w:t>
            </w:r>
          </w:p>
        </w:tc>
        <w:tc>
          <w:tcPr>
            <w:tcW w:w="0" w:type="auto"/>
          </w:tcPr>
          <w:p w14:paraId="5A0B5D5D" w14:textId="77777777" w:rsidR="008C5CFA" w:rsidRPr="00601E29" w:rsidRDefault="00E82A60" w:rsidP="00300A01">
            <w:pPr>
              <w:spacing w:before="0" w:after="0"/>
              <w:jc w:val="center"/>
              <w:rPr>
                <w:b/>
                <w:sz w:val="10"/>
                <w:szCs w:val="10"/>
                <w:lang w:val="fr-BE"/>
              </w:rPr>
            </w:pPr>
            <w:r w:rsidRPr="00601E29">
              <w:rPr>
                <w:b/>
                <w:noProof/>
                <w:sz w:val="10"/>
                <w:szCs w:val="10"/>
                <w:lang w:val="fr-BE"/>
              </w:rPr>
              <w:t>Mężczyźni</w:t>
            </w:r>
          </w:p>
        </w:tc>
        <w:tc>
          <w:tcPr>
            <w:tcW w:w="0" w:type="auto"/>
          </w:tcPr>
          <w:p w14:paraId="0109A8BB" w14:textId="77777777" w:rsidR="008C5CFA" w:rsidRPr="00601E29" w:rsidRDefault="00E82A60" w:rsidP="00300A01">
            <w:pPr>
              <w:spacing w:before="0" w:after="0"/>
              <w:jc w:val="center"/>
              <w:rPr>
                <w:b/>
                <w:sz w:val="10"/>
                <w:szCs w:val="10"/>
                <w:lang w:val="fr-BE"/>
              </w:rPr>
            </w:pPr>
            <w:r w:rsidRPr="00601E29">
              <w:rPr>
                <w:b/>
                <w:noProof/>
                <w:sz w:val="10"/>
                <w:szCs w:val="10"/>
                <w:lang w:val="fr-BE"/>
              </w:rPr>
              <w:t>Kobiety</w:t>
            </w:r>
          </w:p>
        </w:tc>
        <w:tc>
          <w:tcPr>
            <w:tcW w:w="0" w:type="auto"/>
          </w:tcPr>
          <w:p w14:paraId="6A9ACFA5" w14:textId="77777777" w:rsidR="008C5CFA" w:rsidRPr="00601E29" w:rsidRDefault="008C5CFA" w:rsidP="00300A01">
            <w:pPr>
              <w:spacing w:before="0" w:after="0"/>
              <w:jc w:val="center"/>
              <w:rPr>
                <w:b/>
                <w:sz w:val="10"/>
                <w:szCs w:val="10"/>
                <w:lang w:val="fr-BE"/>
              </w:rPr>
            </w:pPr>
          </w:p>
        </w:tc>
      </w:tr>
      <w:tr w:rsidR="006B2EC1" w14:paraId="0A71BC7B" w14:textId="77777777" w:rsidTr="0047688D">
        <w:tc>
          <w:tcPr>
            <w:tcW w:w="0" w:type="auto"/>
            <w:shd w:val="clear" w:color="auto" w:fill="auto"/>
          </w:tcPr>
          <w:p w14:paraId="7CBA9000" w14:textId="77777777" w:rsidR="008C5CFA" w:rsidRPr="00601E29" w:rsidRDefault="00E82A60" w:rsidP="00300A01">
            <w:pPr>
              <w:spacing w:before="0" w:after="0"/>
              <w:rPr>
                <w:sz w:val="10"/>
                <w:szCs w:val="10"/>
                <w:lang w:val="fr-BE"/>
              </w:rPr>
            </w:pPr>
            <w:r w:rsidRPr="00601E29">
              <w:rPr>
                <w:noProof/>
                <w:sz w:val="10"/>
                <w:szCs w:val="10"/>
                <w:lang w:val="fr-BE"/>
              </w:rPr>
              <w:t>118</w:t>
            </w:r>
          </w:p>
        </w:tc>
        <w:tc>
          <w:tcPr>
            <w:tcW w:w="0" w:type="auto"/>
            <w:shd w:val="clear" w:color="auto" w:fill="auto"/>
          </w:tcPr>
          <w:p w14:paraId="1C335D64" w14:textId="77777777" w:rsidR="008C5CFA" w:rsidRPr="00601E29" w:rsidRDefault="00E82A60" w:rsidP="00300A01">
            <w:pPr>
              <w:spacing w:before="0" w:after="0"/>
              <w:rPr>
                <w:sz w:val="10"/>
                <w:szCs w:val="10"/>
                <w:lang w:val="fr-BE"/>
              </w:rPr>
            </w:pPr>
            <w:r w:rsidRPr="00601E29">
              <w:rPr>
                <w:noProof/>
                <w:sz w:val="10"/>
                <w:szCs w:val="10"/>
                <w:lang w:val="fr-BE"/>
              </w:rPr>
              <w:t>Liczba utworzonych miejsc pracy w ramach udzielonych z EFS środków na podjęcie działalności gospodarczej</w:t>
            </w:r>
          </w:p>
        </w:tc>
        <w:tc>
          <w:tcPr>
            <w:tcW w:w="0" w:type="auto"/>
            <w:shd w:val="clear" w:color="auto" w:fill="auto"/>
          </w:tcPr>
          <w:p w14:paraId="799295DF" w14:textId="77777777" w:rsidR="008C5CFA" w:rsidRPr="00601E29" w:rsidRDefault="00E82A60" w:rsidP="00300A01">
            <w:pPr>
              <w:spacing w:before="0" w:after="0"/>
              <w:rPr>
                <w:sz w:val="10"/>
                <w:szCs w:val="10"/>
                <w:lang w:val="fr-BE"/>
              </w:rPr>
            </w:pPr>
            <w:r w:rsidRPr="00601E29">
              <w:rPr>
                <w:noProof/>
                <w:sz w:val="10"/>
                <w:szCs w:val="10"/>
                <w:lang w:val="fr-BE"/>
              </w:rPr>
              <w:t>Słabiej rozwinięte</w:t>
            </w:r>
          </w:p>
        </w:tc>
        <w:tc>
          <w:tcPr>
            <w:tcW w:w="0" w:type="auto"/>
          </w:tcPr>
          <w:p w14:paraId="078C9655" w14:textId="77777777" w:rsidR="008C5CFA" w:rsidRPr="00601E29" w:rsidRDefault="00E82A60" w:rsidP="00300A01">
            <w:pPr>
              <w:spacing w:before="0" w:after="0"/>
              <w:jc w:val="right"/>
              <w:rPr>
                <w:sz w:val="10"/>
                <w:szCs w:val="10"/>
                <w:lang w:val="fr-BE"/>
              </w:rPr>
            </w:pPr>
            <w:r w:rsidRPr="00601E29">
              <w:rPr>
                <w:noProof/>
                <w:sz w:val="10"/>
                <w:szCs w:val="10"/>
                <w:lang w:val="fr-BE"/>
              </w:rPr>
              <w:t>3 410,00</w:t>
            </w:r>
          </w:p>
        </w:tc>
        <w:tc>
          <w:tcPr>
            <w:tcW w:w="0" w:type="auto"/>
          </w:tcPr>
          <w:p w14:paraId="376FFA58"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5DE3D609"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08970FD5" w14:textId="77777777" w:rsidR="008C5CFA" w:rsidRPr="00601E29" w:rsidRDefault="00E82A60" w:rsidP="00300A01">
            <w:pPr>
              <w:spacing w:before="0" w:after="0"/>
              <w:jc w:val="right"/>
              <w:rPr>
                <w:sz w:val="10"/>
                <w:szCs w:val="10"/>
                <w:lang w:val="fr-BE"/>
              </w:rPr>
            </w:pPr>
            <w:r w:rsidRPr="00601E29">
              <w:rPr>
                <w:noProof/>
                <w:sz w:val="10"/>
                <w:szCs w:val="10"/>
                <w:lang w:val="fr-BE"/>
              </w:rPr>
              <w:t>1 382,00</w:t>
            </w:r>
          </w:p>
        </w:tc>
        <w:tc>
          <w:tcPr>
            <w:tcW w:w="0" w:type="auto"/>
          </w:tcPr>
          <w:p w14:paraId="26471BD2"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11031F09"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3FCA4448" w14:textId="77777777" w:rsidR="008C5CFA" w:rsidRPr="00601E29" w:rsidRDefault="008C5CFA" w:rsidP="00300A01">
            <w:pPr>
              <w:spacing w:before="0" w:after="0"/>
              <w:jc w:val="right"/>
              <w:rPr>
                <w:sz w:val="10"/>
                <w:szCs w:val="10"/>
                <w:lang w:val="fr-BE"/>
              </w:rPr>
            </w:pPr>
          </w:p>
        </w:tc>
        <w:tc>
          <w:tcPr>
            <w:tcW w:w="0" w:type="auto"/>
          </w:tcPr>
          <w:p w14:paraId="4DAA57D8" w14:textId="77777777" w:rsidR="008C5CFA" w:rsidRPr="00601E29" w:rsidRDefault="00E82A60" w:rsidP="00300A01">
            <w:pPr>
              <w:spacing w:before="0" w:after="0"/>
              <w:jc w:val="right"/>
              <w:rPr>
                <w:sz w:val="10"/>
                <w:szCs w:val="10"/>
                <w:lang w:val="fr-BE"/>
              </w:rPr>
            </w:pPr>
            <w:r w:rsidRPr="00601E29">
              <w:rPr>
                <w:noProof/>
                <w:sz w:val="10"/>
                <w:szCs w:val="10"/>
                <w:lang w:val="fr-BE"/>
              </w:rPr>
              <w:t>2 028,00</w:t>
            </w:r>
          </w:p>
        </w:tc>
        <w:tc>
          <w:tcPr>
            <w:tcW w:w="0" w:type="auto"/>
          </w:tcPr>
          <w:p w14:paraId="1AF8E392"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593F134E"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63D48B2C" w14:textId="77777777" w:rsidR="008C5CFA" w:rsidRPr="00601E29" w:rsidRDefault="00E82A60" w:rsidP="00300A01">
            <w:pPr>
              <w:spacing w:before="0" w:after="0"/>
              <w:jc w:val="right"/>
              <w:rPr>
                <w:sz w:val="10"/>
                <w:szCs w:val="10"/>
                <w:lang w:val="fr-BE"/>
              </w:rPr>
            </w:pPr>
            <w:r w:rsidRPr="00601E29">
              <w:rPr>
                <w:noProof/>
                <w:sz w:val="10"/>
                <w:szCs w:val="10"/>
                <w:lang w:val="fr-BE"/>
              </w:rPr>
              <w:t>1 393,00</w:t>
            </w:r>
          </w:p>
        </w:tc>
        <w:tc>
          <w:tcPr>
            <w:tcW w:w="0" w:type="auto"/>
          </w:tcPr>
          <w:p w14:paraId="6BEC1024"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5A342A44"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1E464FD7" w14:textId="77777777" w:rsidR="008C5CFA" w:rsidRPr="00601E29" w:rsidRDefault="008C5CFA" w:rsidP="00300A01">
            <w:pPr>
              <w:spacing w:before="0" w:after="0"/>
              <w:jc w:val="right"/>
              <w:rPr>
                <w:sz w:val="10"/>
                <w:szCs w:val="10"/>
                <w:lang w:val="fr-BE"/>
              </w:rPr>
            </w:pPr>
          </w:p>
        </w:tc>
      </w:tr>
      <w:tr w:rsidR="006B2EC1" w14:paraId="2A163085" w14:textId="77777777" w:rsidTr="0047688D">
        <w:tc>
          <w:tcPr>
            <w:tcW w:w="0" w:type="auto"/>
            <w:shd w:val="clear" w:color="auto" w:fill="auto"/>
          </w:tcPr>
          <w:p w14:paraId="48587833" w14:textId="77777777" w:rsidR="008C5CFA" w:rsidRPr="00601E29" w:rsidRDefault="00E82A60" w:rsidP="00300A01">
            <w:pPr>
              <w:spacing w:before="0" w:after="0"/>
              <w:rPr>
                <w:sz w:val="10"/>
                <w:szCs w:val="10"/>
                <w:lang w:val="fr-BE"/>
              </w:rPr>
            </w:pPr>
            <w:r w:rsidRPr="00601E29">
              <w:rPr>
                <w:noProof/>
                <w:sz w:val="10"/>
                <w:szCs w:val="10"/>
                <w:lang w:val="fr-BE"/>
              </w:rPr>
              <w:t>025</w:t>
            </w:r>
          </w:p>
        </w:tc>
        <w:tc>
          <w:tcPr>
            <w:tcW w:w="0" w:type="auto"/>
            <w:shd w:val="clear" w:color="auto" w:fill="auto"/>
          </w:tcPr>
          <w:p w14:paraId="05081B3E" w14:textId="77777777" w:rsidR="008C5CFA" w:rsidRPr="00601E29" w:rsidRDefault="00E82A60" w:rsidP="00300A01">
            <w:pPr>
              <w:spacing w:before="0" w:after="0"/>
              <w:rPr>
                <w:sz w:val="10"/>
                <w:szCs w:val="10"/>
                <w:lang w:val="fr-BE"/>
              </w:rPr>
            </w:pPr>
            <w:r w:rsidRPr="00601E29">
              <w:rPr>
                <w:noProof/>
                <w:sz w:val="10"/>
                <w:szCs w:val="10"/>
                <w:lang w:val="fr-BE"/>
              </w:rPr>
              <w:t>Liczba utworzonych mikroprzedsiębiorstw przez osoby odchodzące z rolnictwa, działających 30 miesięcy po uzyskaniu wsparcia finansowego</w:t>
            </w:r>
          </w:p>
        </w:tc>
        <w:tc>
          <w:tcPr>
            <w:tcW w:w="0" w:type="auto"/>
            <w:shd w:val="clear" w:color="auto" w:fill="auto"/>
          </w:tcPr>
          <w:p w14:paraId="2309BD6B" w14:textId="77777777" w:rsidR="008C5CFA" w:rsidRPr="00601E29" w:rsidRDefault="00E82A60" w:rsidP="00300A01">
            <w:pPr>
              <w:spacing w:before="0" w:after="0"/>
              <w:rPr>
                <w:sz w:val="10"/>
                <w:szCs w:val="10"/>
                <w:lang w:val="fr-BE"/>
              </w:rPr>
            </w:pPr>
            <w:r w:rsidRPr="00601E29">
              <w:rPr>
                <w:noProof/>
                <w:sz w:val="10"/>
                <w:szCs w:val="10"/>
                <w:lang w:val="fr-BE"/>
              </w:rPr>
              <w:t>Słabiej rozwinięte</w:t>
            </w:r>
          </w:p>
        </w:tc>
        <w:tc>
          <w:tcPr>
            <w:tcW w:w="0" w:type="auto"/>
          </w:tcPr>
          <w:p w14:paraId="47B46592"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6EA9789D"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7685126C"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6A20AEF2"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02E4618B"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0E7ECCFE"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318AE84B" w14:textId="77777777" w:rsidR="008C5CFA" w:rsidRPr="00601E29" w:rsidRDefault="008C5CFA" w:rsidP="00300A01">
            <w:pPr>
              <w:spacing w:before="0" w:after="0"/>
              <w:jc w:val="right"/>
              <w:rPr>
                <w:sz w:val="10"/>
                <w:szCs w:val="10"/>
                <w:lang w:val="fr-BE"/>
              </w:rPr>
            </w:pPr>
          </w:p>
        </w:tc>
        <w:tc>
          <w:tcPr>
            <w:tcW w:w="0" w:type="auto"/>
          </w:tcPr>
          <w:p w14:paraId="38FE62AF"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121C9A76"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6E5E4DE6"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32DF50C4"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3C2A2B5F"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38CEAFE2"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6C3E38CE" w14:textId="77777777" w:rsidR="008C5CFA" w:rsidRPr="00601E29" w:rsidRDefault="008C5CFA" w:rsidP="00300A01">
            <w:pPr>
              <w:spacing w:before="0" w:after="0"/>
              <w:jc w:val="right"/>
              <w:rPr>
                <w:sz w:val="10"/>
                <w:szCs w:val="10"/>
                <w:lang w:val="fr-BE"/>
              </w:rPr>
            </w:pPr>
          </w:p>
        </w:tc>
      </w:tr>
      <w:tr w:rsidR="006B2EC1" w14:paraId="2955A39D" w14:textId="77777777" w:rsidTr="0047688D">
        <w:tc>
          <w:tcPr>
            <w:tcW w:w="0" w:type="auto"/>
            <w:shd w:val="clear" w:color="auto" w:fill="auto"/>
          </w:tcPr>
          <w:p w14:paraId="3050378F" w14:textId="77777777" w:rsidR="008C5CFA" w:rsidRPr="00601E29" w:rsidRDefault="00E82A60" w:rsidP="00300A01">
            <w:pPr>
              <w:spacing w:before="0" w:after="0"/>
              <w:rPr>
                <w:sz w:val="10"/>
                <w:szCs w:val="10"/>
                <w:lang w:val="fr-BE"/>
              </w:rPr>
            </w:pPr>
            <w:r w:rsidRPr="00601E29">
              <w:rPr>
                <w:noProof/>
                <w:sz w:val="10"/>
                <w:szCs w:val="10"/>
                <w:lang w:val="fr-BE"/>
              </w:rPr>
              <w:t>119</w:t>
            </w:r>
          </w:p>
        </w:tc>
        <w:tc>
          <w:tcPr>
            <w:tcW w:w="0" w:type="auto"/>
            <w:shd w:val="clear" w:color="auto" w:fill="auto"/>
          </w:tcPr>
          <w:p w14:paraId="1070293E" w14:textId="77777777" w:rsidR="008C5CFA" w:rsidRPr="00601E29" w:rsidRDefault="00E82A60" w:rsidP="00300A01">
            <w:pPr>
              <w:spacing w:before="0" w:after="0"/>
              <w:rPr>
                <w:sz w:val="10"/>
                <w:szCs w:val="10"/>
                <w:lang w:val="fr-BE"/>
              </w:rPr>
            </w:pPr>
            <w:r w:rsidRPr="00601E29">
              <w:rPr>
                <w:noProof/>
                <w:sz w:val="10"/>
                <w:szCs w:val="10"/>
                <w:lang w:val="fr-BE"/>
              </w:rPr>
              <w:t>Liczba utworzonych mikroprzedsiębiorstw działających 30 miesięcy po uzyskaniu wsparcia finansowego</w:t>
            </w:r>
          </w:p>
        </w:tc>
        <w:tc>
          <w:tcPr>
            <w:tcW w:w="0" w:type="auto"/>
            <w:shd w:val="clear" w:color="auto" w:fill="auto"/>
          </w:tcPr>
          <w:p w14:paraId="39EADD28" w14:textId="77777777" w:rsidR="008C5CFA" w:rsidRPr="00601E29" w:rsidRDefault="00E82A60" w:rsidP="00300A01">
            <w:pPr>
              <w:spacing w:before="0" w:after="0"/>
              <w:rPr>
                <w:sz w:val="10"/>
                <w:szCs w:val="10"/>
                <w:lang w:val="fr-BE"/>
              </w:rPr>
            </w:pPr>
            <w:r w:rsidRPr="00601E29">
              <w:rPr>
                <w:noProof/>
                <w:sz w:val="10"/>
                <w:szCs w:val="10"/>
                <w:lang w:val="fr-BE"/>
              </w:rPr>
              <w:t>Słabiej rozwinięte</w:t>
            </w:r>
          </w:p>
        </w:tc>
        <w:tc>
          <w:tcPr>
            <w:tcW w:w="0" w:type="auto"/>
          </w:tcPr>
          <w:p w14:paraId="023312C3"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7C638466"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10DB3ACA"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456B19FE"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38D11178"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47980D86"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2F4B9ADB" w14:textId="77777777" w:rsidR="008C5CFA" w:rsidRPr="00601E29" w:rsidRDefault="008C5CFA" w:rsidP="00300A01">
            <w:pPr>
              <w:spacing w:before="0" w:after="0"/>
              <w:jc w:val="right"/>
              <w:rPr>
                <w:sz w:val="10"/>
                <w:szCs w:val="10"/>
                <w:lang w:val="fr-BE"/>
              </w:rPr>
            </w:pPr>
          </w:p>
        </w:tc>
        <w:tc>
          <w:tcPr>
            <w:tcW w:w="0" w:type="auto"/>
          </w:tcPr>
          <w:p w14:paraId="0280A0D9"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1BA75DC8"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7EC576EE"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78707EEB"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0EC20452"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442C7683"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78CB4652" w14:textId="77777777" w:rsidR="008C5CFA" w:rsidRPr="00601E29" w:rsidRDefault="008C5CFA" w:rsidP="00300A01">
            <w:pPr>
              <w:spacing w:before="0" w:after="0"/>
              <w:jc w:val="right"/>
              <w:rPr>
                <w:sz w:val="10"/>
                <w:szCs w:val="10"/>
                <w:lang w:val="fr-BE"/>
              </w:rPr>
            </w:pPr>
          </w:p>
        </w:tc>
      </w:tr>
    </w:tbl>
    <w:p w14:paraId="55728032"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85"/>
        <w:gridCol w:w="6304"/>
        <w:gridCol w:w="967"/>
        <w:gridCol w:w="484"/>
        <w:gridCol w:w="610"/>
        <w:gridCol w:w="490"/>
        <w:gridCol w:w="484"/>
        <w:gridCol w:w="610"/>
        <w:gridCol w:w="490"/>
        <w:gridCol w:w="646"/>
        <w:gridCol w:w="484"/>
        <w:gridCol w:w="610"/>
        <w:gridCol w:w="490"/>
        <w:gridCol w:w="484"/>
        <w:gridCol w:w="610"/>
        <w:gridCol w:w="490"/>
        <w:gridCol w:w="646"/>
      </w:tblGrid>
      <w:tr w:rsidR="006B2EC1" w14:paraId="192CAC51" w14:textId="77777777" w:rsidTr="0047688D">
        <w:trPr>
          <w:tblHeader/>
        </w:trPr>
        <w:tc>
          <w:tcPr>
            <w:tcW w:w="0" w:type="auto"/>
            <w:shd w:val="clear" w:color="auto" w:fill="auto"/>
          </w:tcPr>
          <w:p w14:paraId="24ACE6EA" w14:textId="77777777" w:rsidR="008C5CFA" w:rsidRPr="00601E29" w:rsidRDefault="00E82A60" w:rsidP="00300A01">
            <w:pPr>
              <w:spacing w:before="0" w:after="0"/>
              <w:rPr>
                <w:b/>
                <w:sz w:val="10"/>
                <w:szCs w:val="10"/>
                <w:lang w:val="fr-BE"/>
              </w:rPr>
            </w:pPr>
            <w:r w:rsidRPr="00601E29">
              <w:rPr>
                <w:b/>
                <w:noProof/>
                <w:sz w:val="10"/>
                <w:szCs w:val="10"/>
                <w:lang w:val="fr-BE"/>
              </w:rPr>
              <w:t>ID</w:t>
            </w:r>
          </w:p>
        </w:tc>
        <w:tc>
          <w:tcPr>
            <w:tcW w:w="0" w:type="auto"/>
            <w:shd w:val="clear" w:color="auto" w:fill="auto"/>
          </w:tcPr>
          <w:p w14:paraId="1823764D" w14:textId="77777777" w:rsidR="008C5CFA" w:rsidRPr="00601E29" w:rsidRDefault="00E82A60" w:rsidP="00300A01">
            <w:pPr>
              <w:spacing w:before="0" w:after="0"/>
              <w:rPr>
                <w:b/>
                <w:sz w:val="10"/>
                <w:szCs w:val="10"/>
                <w:lang w:val="fr-BE"/>
              </w:rPr>
            </w:pPr>
            <w:r w:rsidRPr="00601E29">
              <w:rPr>
                <w:b/>
                <w:noProof/>
                <w:sz w:val="10"/>
                <w:szCs w:val="10"/>
                <w:lang w:val="fr-BE"/>
              </w:rPr>
              <w:t>Wskaźnik</w:t>
            </w:r>
          </w:p>
        </w:tc>
        <w:tc>
          <w:tcPr>
            <w:tcW w:w="0" w:type="auto"/>
            <w:shd w:val="clear" w:color="auto" w:fill="auto"/>
          </w:tcPr>
          <w:p w14:paraId="237E32E7" w14:textId="77777777" w:rsidR="008C5CFA" w:rsidRPr="00601E29" w:rsidRDefault="00E82A60" w:rsidP="00300A01">
            <w:pPr>
              <w:spacing w:before="0" w:after="0"/>
              <w:rPr>
                <w:b/>
                <w:sz w:val="10"/>
                <w:szCs w:val="10"/>
                <w:lang w:val="fr-BE"/>
              </w:rPr>
            </w:pPr>
            <w:r w:rsidRPr="00601E29">
              <w:rPr>
                <w:b/>
                <w:noProof/>
                <w:sz w:val="10"/>
                <w:szCs w:val="10"/>
                <w:lang w:val="fr-BE"/>
              </w:rPr>
              <w:t>Kategoria regionu</w:t>
            </w:r>
          </w:p>
        </w:tc>
        <w:tc>
          <w:tcPr>
            <w:tcW w:w="0" w:type="auto"/>
            <w:gridSpan w:val="7"/>
          </w:tcPr>
          <w:p w14:paraId="3B7393F9" w14:textId="77777777" w:rsidR="008C5CFA" w:rsidRPr="00601E29" w:rsidRDefault="00E82A60" w:rsidP="00300A01">
            <w:pPr>
              <w:spacing w:before="0" w:after="0"/>
              <w:jc w:val="center"/>
              <w:rPr>
                <w:b/>
                <w:sz w:val="10"/>
                <w:szCs w:val="10"/>
                <w:lang w:val="fr-BE"/>
              </w:rPr>
            </w:pPr>
            <w:r>
              <w:rPr>
                <w:b/>
                <w:sz w:val="10"/>
                <w:szCs w:val="10"/>
                <w:lang w:val="fr-BE"/>
              </w:rPr>
              <w:t>2016</w:t>
            </w:r>
          </w:p>
        </w:tc>
        <w:tc>
          <w:tcPr>
            <w:tcW w:w="0" w:type="auto"/>
            <w:gridSpan w:val="7"/>
          </w:tcPr>
          <w:p w14:paraId="5C0078F1" w14:textId="77777777" w:rsidR="008C5CFA" w:rsidRPr="00601E29" w:rsidRDefault="00E82A60" w:rsidP="00300A01">
            <w:pPr>
              <w:spacing w:before="0" w:after="0"/>
              <w:jc w:val="center"/>
              <w:rPr>
                <w:b/>
                <w:sz w:val="10"/>
                <w:szCs w:val="10"/>
                <w:lang w:val="fr-BE"/>
              </w:rPr>
            </w:pPr>
            <w:r>
              <w:rPr>
                <w:b/>
                <w:sz w:val="10"/>
                <w:szCs w:val="10"/>
                <w:lang w:val="fr-BE"/>
              </w:rPr>
              <w:t>2015</w:t>
            </w:r>
          </w:p>
        </w:tc>
      </w:tr>
      <w:tr w:rsidR="006B2EC1" w14:paraId="7F3E3DDE" w14:textId="77777777" w:rsidTr="0047688D">
        <w:trPr>
          <w:tblHeader/>
        </w:trPr>
        <w:tc>
          <w:tcPr>
            <w:tcW w:w="0" w:type="auto"/>
            <w:shd w:val="clear" w:color="auto" w:fill="auto"/>
          </w:tcPr>
          <w:p w14:paraId="61DB4F14" w14:textId="77777777" w:rsidR="008C5CFA" w:rsidRPr="00601E29" w:rsidRDefault="008C5CFA" w:rsidP="00300A01">
            <w:pPr>
              <w:spacing w:before="0" w:after="0"/>
              <w:rPr>
                <w:b/>
                <w:sz w:val="10"/>
                <w:szCs w:val="10"/>
                <w:lang w:val="fr-BE"/>
              </w:rPr>
            </w:pPr>
          </w:p>
        </w:tc>
        <w:tc>
          <w:tcPr>
            <w:tcW w:w="0" w:type="auto"/>
            <w:shd w:val="clear" w:color="auto" w:fill="auto"/>
          </w:tcPr>
          <w:p w14:paraId="3575A030" w14:textId="77777777" w:rsidR="008C5CFA" w:rsidRPr="00601E29" w:rsidRDefault="008C5CFA" w:rsidP="00300A01">
            <w:pPr>
              <w:spacing w:before="0" w:after="0"/>
              <w:rPr>
                <w:b/>
                <w:sz w:val="10"/>
                <w:szCs w:val="10"/>
                <w:lang w:val="fr-BE"/>
              </w:rPr>
            </w:pPr>
          </w:p>
        </w:tc>
        <w:tc>
          <w:tcPr>
            <w:tcW w:w="0" w:type="auto"/>
            <w:shd w:val="clear" w:color="auto" w:fill="auto"/>
          </w:tcPr>
          <w:p w14:paraId="7C8F16D1" w14:textId="77777777" w:rsidR="008C5CFA" w:rsidRPr="00601E29" w:rsidRDefault="008C5CFA" w:rsidP="00300A01">
            <w:pPr>
              <w:spacing w:before="0" w:after="0"/>
              <w:rPr>
                <w:b/>
                <w:sz w:val="10"/>
                <w:szCs w:val="10"/>
                <w:lang w:val="fr-BE"/>
              </w:rPr>
            </w:pPr>
          </w:p>
        </w:tc>
        <w:tc>
          <w:tcPr>
            <w:tcW w:w="0" w:type="auto"/>
            <w:gridSpan w:val="3"/>
          </w:tcPr>
          <w:p w14:paraId="186B57C6" w14:textId="77777777" w:rsidR="008C5CFA" w:rsidRPr="00601E29" w:rsidRDefault="00E82A60" w:rsidP="00300A01">
            <w:pPr>
              <w:spacing w:before="0" w:after="0"/>
              <w:jc w:val="center"/>
              <w:rPr>
                <w:b/>
                <w:sz w:val="10"/>
                <w:szCs w:val="10"/>
                <w:lang w:val="fr-BE"/>
              </w:rPr>
            </w:pPr>
            <w:r w:rsidRPr="00601E29">
              <w:rPr>
                <w:b/>
                <w:noProof/>
                <w:sz w:val="10"/>
                <w:szCs w:val="10"/>
                <w:lang w:val="fr-BE"/>
              </w:rPr>
              <w:t>Łącznie</w:t>
            </w:r>
          </w:p>
        </w:tc>
        <w:tc>
          <w:tcPr>
            <w:tcW w:w="0" w:type="auto"/>
            <w:gridSpan w:val="3"/>
          </w:tcPr>
          <w:p w14:paraId="6913068B" w14:textId="77777777" w:rsidR="008C5CFA" w:rsidRPr="00601E29" w:rsidRDefault="00E82A60" w:rsidP="00300A01">
            <w:pPr>
              <w:spacing w:before="0" w:after="0"/>
              <w:jc w:val="center"/>
              <w:rPr>
                <w:b/>
                <w:sz w:val="10"/>
                <w:szCs w:val="10"/>
                <w:lang w:val="fr-BE"/>
              </w:rPr>
            </w:pPr>
            <w:r w:rsidRPr="00601E29">
              <w:rPr>
                <w:b/>
                <w:noProof/>
                <w:sz w:val="10"/>
                <w:szCs w:val="10"/>
                <w:lang w:val="fr-BE"/>
              </w:rPr>
              <w:t>Łącznie w roku</w:t>
            </w:r>
          </w:p>
        </w:tc>
        <w:tc>
          <w:tcPr>
            <w:tcW w:w="0" w:type="auto"/>
          </w:tcPr>
          <w:p w14:paraId="19EEE481" w14:textId="77777777" w:rsidR="008C5CFA" w:rsidRPr="00601E29" w:rsidRDefault="00E82A60" w:rsidP="00300A01">
            <w:pPr>
              <w:spacing w:before="0" w:after="0"/>
              <w:jc w:val="center"/>
              <w:rPr>
                <w:b/>
                <w:sz w:val="10"/>
                <w:szCs w:val="10"/>
                <w:lang w:val="fr-BE"/>
              </w:rPr>
            </w:pPr>
            <w:r w:rsidRPr="00601E29">
              <w:rPr>
                <w:b/>
                <w:noProof/>
                <w:sz w:val="10"/>
                <w:szCs w:val="10"/>
                <w:lang w:val="fr-BE"/>
              </w:rPr>
              <w:t>Jakościowe</w:t>
            </w:r>
          </w:p>
        </w:tc>
        <w:tc>
          <w:tcPr>
            <w:tcW w:w="0" w:type="auto"/>
            <w:gridSpan w:val="3"/>
          </w:tcPr>
          <w:p w14:paraId="7CC0F2D0" w14:textId="77777777" w:rsidR="008C5CFA" w:rsidRPr="00601E29" w:rsidRDefault="00E82A60" w:rsidP="00300A01">
            <w:pPr>
              <w:spacing w:before="0" w:after="0"/>
              <w:jc w:val="center"/>
              <w:rPr>
                <w:b/>
                <w:sz w:val="10"/>
                <w:szCs w:val="10"/>
                <w:lang w:val="fr-BE"/>
              </w:rPr>
            </w:pPr>
            <w:r w:rsidRPr="00601E29">
              <w:rPr>
                <w:b/>
                <w:noProof/>
                <w:sz w:val="10"/>
                <w:szCs w:val="10"/>
                <w:lang w:val="fr-BE"/>
              </w:rPr>
              <w:t>Łącznie</w:t>
            </w:r>
          </w:p>
        </w:tc>
        <w:tc>
          <w:tcPr>
            <w:tcW w:w="0" w:type="auto"/>
            <w:gridSpan w:val="3"/>
          </w:tcPr>
          <w:p w14:paraId="1130207C" w14:textId="77777777" w:rsidR="008C5CFA" w:rsidRPr="00601E29" w:rsidRDefault="00E82A60" w:rsidP="00300A01">
            <w:pPr>
              <w:spacing w:before="0" w:after="0"/>
              <w:jc w:val="center"/>
              <w:rPr>
                <w:b/>
                <w:sz w:val="10"/>
                <w:szCs w:val="10"/>
                <w:lang w:val="fr-BE"/>
              </w:rPr>
            </w:pPr>
            <w:r w:rsidRPr="00601E29">
              <w:rPr>
                <w:b/>
                <w:noProof/>
                <w:sz w:val="10"/>
                <w:szCs w:val="10"/>
                <w:lang w:val="fr-BE"/>
              </w:rPr>
              <w:t>Łącznie w roku</w:t>
            </w:r>
          </w:p>
        </w:tc>
        <w:tc>
          <w:tcPr>
            <w:tcW w:w="0" w:type="auto"/>
          </w:tcPr>
          <w:p w14:paraId="7E5ADF87" w14:textId="77777777" w:rsidR="008C5CFA" w:rsidRPr="00601E29" w:rsidRDefault="00E82A60" w:rsidP="00300A01">
            <w:pPr>
              <w:spacing w:before="0" w:after="0"/>
              <w:jc w:val="center"/>
              <w:rPr>
                <w:b/>
                <w:sz w:val="10"/>
                <w:szCs w:val="10"/>
                <w:lang w:val="fr-BE"/>
              </w:rPr>
            </w:pPr>
            <w:r w:rsidRPr="00601E29">
              <w:rPr>
                <w:b/>
                <w:noProof/>
                <w:sz w:val="10"/>
                <w:szCs w:val="10"/>
                <w:lang w:val="fr-BE"/>
              </w:rPr>
              <w:t>Jakościowe</w:t>
            </w:r>
          </w:p>
        </w:tc>
      </w:tr>
      <w:tr w:rsidR="006B2EC1" w14:paraId="4B4291BB" w14:textId="77777777" w:rsidTr="0047688D">
        <w:trPr>
          <w:tblHeader/>
        </w:trPr>
        <w:tc>
          <w:tcPr>
            <w:tcW w:w="0" w:type="auto"/>
            <w:shd w:val="clear" w:color="auto" w:fill="auto"/>
          </w:tcPr>
          <w:p w14:paraId="11D8695C" w14:textId="77777777" w:rsidR="008C5CFA" w:rsidRPr="00601E29" w:rsidRDefault="008C5CFA" w:rsidP="00300A01">
            <w:pPr>
              <w:spacing w:before="0" w:after="0"/>
              <w:rPr>
                <w:b/>
                <w:sz w:val="10"/>
                <w:szCs w:val="10"/>
                <w:lang w:val="fr-BE"/>
              </w:rPr>
            </w:pPr>
          </w:p>
        </w:tc>
        <w:tc>
          <w:tcPr>
            <w:tcW w:w="0" w:type="auto"/>
            <w:shd w:val="clear" w:color="auto" w:fill="auto"/>
          </w:tcPr>
          <w:p w14:paraId="364E9DB4" w14:textId="77777777" w:rsidR="008C5CFA" w:rsidRPr="00601E29" w:rsidRDefault="008C5CFA" w:rsidP="00300A01">
            <w:pPr>
              <w:spacing w:before="0" w:after="0"/>
              <w:rPr>
                <w:b/>
                <w:sz w:val="10"/>
                <w:szCs w:val="10"/>
                <w:lang w:val="fr-BE"/>
              </w:rPr>
            </w:pPr>
          </w:p>
        </w:tc>
        <w:tc>
          <w:tcPr>
            <w:tcW w:w="0" w:type="auto"/>
            <w:shd w:val="clear" w:color="auto" w:fill="auto"/>
          </w:tcPr>
          <w:p w14:paraId="0104CD79" w14:textId="77777777" w:rsidR="008C5CFA" w:rsidRPr="00601E29" w:rsidRDefault="008C5CFA" w:rsidP="00300A01">
            <w:pPr>
              <w:spacing w:before="0" w:after="0"/>
              <w:rPr>
                <w:b/>
                <w:sz w:val="10"/>
                <w:szCs w:val="10"/>
                <w:lang w:val="fr-BE"/>
              </w:rPr>
            </w:pPr>
          </w:p>
        </w:tc>
        <w:tc>
          <w:tcPr>
            <w:tcW w:w="0" w:type="auto"/>
          </w:tcPr>
          <w:p w14:paraId="304B4E95" w14:textId="77777777" w:rsidR="008C5CFA" w:rsidRPr="00601E29" w:rsidRDefault="00E82A60" w:rsidP="00300A01">
            <w:pPr>
              <w:spacing w:before="0" w:after="0"/>
              <w:jc w:val="center"/>
              <w:rPr>
                <w:b/>
                <w:sz w:val="10"/>
                <w:szCs w:val="10"/>
                <w:lang w:val="fr-BE"/>
              </w:rPr>
            </w:pPr>
            <w:r w:rsidRPr="00601E29">
              <w:rPr>
                <w:b/>
                <w:noProof/>
                <w:sz w:val="10"/>
                <w:szCs w:val="10"/>
                <w:lang w:val="fr-BE"/>
              </w:rPr>
              <w:t>Ogółem</w:t>
            </w:r>
          </w:p>
        </w:tc>
        <w:tc>
          <w:tcPr>
            <w:tcW w:w="0" w:type="auto"/>
          </w:tcPr>
          <w:p w14:paraId="541289BD" w14:textId="77777777" w:rsidR="008C5CFA" w:rsidRPr="00601E29" w:rsidRDefault="00E82A60" w:rsidP="00300A01">
            <w:pPr>
              <w:spacing w:before="0" w:after="0"/>
              <w:jc w:val="center"/>
              <w:rPr>
                <w:b/>
                <w:sz w:val="10"/>
                <w:szCs w:val="10"/>
                <w:lang w:val="fr-BE"/>
              </w:rPr>
            </w:pPr>
            <w:r w:rsidRPr="00601E29">
              <w:rPr>
                <w:b/>
                <w:noProof/>
                <w:sz w:val="10"/>
                <w:szCs w:val="10"/>
                <w:lang w:val="fr-BE"/>
              </w:rPr>
              <w:t>Mężczyźni</w:t>
            </w:r>
          </w:p>
        </w:tc>
        <w:tc>
          <w:tcPr>
            <w:tcW w:w="0" w:type="auto"/>
          </w:tcPr>
          <w:p w14:paraId="663AF44F" w14:textId="77777777" w:rsidR="008C5CFA" w:rsidRPr="00601E29" w:rsidRDefault="00E82A60" w:rsidP="00300A01">
            <w:pPr>
              <w:spacing w:before="0" w:after="0"/>
              <w:jc w:val="center"/>
              <w:rPr>
                <w:b/>
                <w:sz w:val="10"/>
                <w:szCs w:val="10"/>
                <w:lang w:val="fr-BE"/>
              </w:rPr>
            </w:pPr>
            <w:r w:rsidRPr="00601E29">
              <w:rPr>
                <w:b/>
                <w:noProof/>
                <w:sz w:val="10"/>
                <w:szCs w:val="10"/>
                <w:lang w:val="fr-BE"/>
              </w:rPr>
              <w:t>Kobiety</w:t>
            </w:r>
          </w:p>
        </w:tc>
        <w:tc>
          <w:tcPr>
            <w:tcW w:w="0" w:type="auto"/>
          </w:tcPr>
          <w:p w14:paraId="7EBB585B" w14:textId="77777777" w:rsidR="008C5CFA" w:rsidRPr="00601E29" w:rsidRDefault="00E82A60" w:rsidP="00300A01">
            <w:pPr>
              <w:spacing w:before="0" w:after="0"/>
              <w:jc w:val="center"/>
              <w:rPr>
                <w:b/>
                <w:sz w:val="10"/>
                <w:szCs w:val="10"/>
                <w:lang w:val="fr-BE"/>
              </w:rPr>
            </w:pPr>
            <w:r w:rsidRPr="00601E29">
              <w:rPr>
                <w:b/>
                <w:noProof/>
                <w:sz w:val="10"/>
                <w:szCs w:val="10"/>
                <w:lang w:val="fr-BE"/>
              </w:rPr>
              <w:t>Ogółem</w:t>
            </w:r>
          </w:p>
        </w:tc>
        <w:tc>
          <w:tcPr>
            <w:tcW w:w="0" w:type="auto"/>
          </w:tcPr>
          <w:p w14:paraId="74399D35" w14:textId="77777777" w:rsidR="008C5CFA" w:rsidRPr="00601E29" w:rsidRDefault="00E82A60" w:rsidP="00300A01">
            <w:pPr>
              <w:spacing w:before="0" w:after="0"/>
              <w:jc w:val="center"/>
              <w:rPr>
                <w:b/>
                <w:sz w:val="10"/>
                <w:szCs w:val="10"/>
                <w:lang w:val="fr-BE"/>
              </w:rPr>
            </w:pPr>
            <w:r w:rsidRPr="00601E29">
              <w:rPr>
                <w:b/>
                <w:noProof/>
                <w:sz w:val="10"/>
                <w:szCs w:val="10"/>
                <w:lang w:val="fr-BE"/>
              </w:rPr>
              <w:t>Mężczyźni</w:t>
            </w:r>
          </w:p>
        </w:tc>
        <w:tc>
          <w:tcPr>
            <w:tcW w:w="0" w:type="auto"/>
          </w:tcPr>
          <w:p w14:paraId="6150E7B9" w14:textId="77777777" w:rsidR="008C5CFA" w:rsidRPr="00601E29" w:rsidRDefault="00E82A60" w:rsidP="00300A01">
            <w:pPr>
              <w:spacing w:before="0" w:after="0"/>
              <w:jc w:val="center"/>
              <w:rPr>
                <w:b/>
                <w:sz w:val="10"/>
                <w:szCs w:val="10"/>
                <w:lang w:val="fr-BE"/>
              </w:rPr>
            </w:pPr>
            <w:r w:rsidRPr="00601E29">
              <w:rPr>
                <w:b/>
                <w:noProof/>
                <w:sz w:val="10"/>
                <w:szCs w:val="10"/>
                <w:lang w:val="fr-BE"/>
              </w:rPr>
              <w:t>Kobiety</w:t>
            </w:r>
          </w:p>
        </w:tc>
        <w:tc>
          <w:tcPr>
            <w:tcW w:w="0" w:type="auto"/>
          </w:tcPr>
          <w:p w14:paraId="77D68C94" w14:textId="77777777" w:rsidR="008C5CFA" w:rsidRPr="00601E29" w:rsidRDefault="008C5CFA" w:rsidP="00300A01">
            <w:pPr>
              <w:spacing w:before="0" w:after="0"/>
              <w:jc w:val="center"/>
              <w:rPr>
                <w:b/>
                <w:sz w:val="10"/>
                <w:szCs w:val="10"/>
                <w:lang w:val="fr-BE"/>
              </w:rPr>
            </w:pPr>
          </w:p>
        </w:tc>
        <w:tc>
          <w:tcPr>
            <w:tcW w:w="0" w:type="auto"/>
          </w:tcPr>
          <w:p w14:paraId="7CDC0AF0" w14:textId="77777777" w:rsidR="008C5CFA" w:rsidRPr="00601E29" w:rsidRDefault="00E82A60" w:rsidP="00300A01">
            <w:pPr>
              <w:spacing w:before="0" w:after="0"/>
              <w:jc w:val="center"/>
              <w:rPr>
                <w:b/>
                <w:sz w:val="10"/>
                <w:szCs w:val="10"/>
                <w:lang w:val="fr-BE"/>
              </w:rPr>
            </w:pPr>
            <w:r w:rsidRPr="00601E29">
              <w:rPr>
                <w:b/>
                <w:noProof/>
                <w:sz w:val="10"/>
                <w:szCs w:val="10"/>
                <w:lang w:val="fr-BE"/>
              </w:rPr>
              <w:t>Ogółem</w:t>
            </w:r>
          </w:p>
        </w:tc>
        <w:tc>
          <w:tcPr>
            <w:tcW w:w="0" w:type="auto"/>
          </w:tcPr>
          <w:p w14:paraId="209C9F16" w14:textId="77777777" w:rsidR="008C5CFA" w:rsidRPr="00601E29" w:rsidRDefault="00E82A60" w:rsidP="00300A01">
            <w:pPr>
              <w:spacing w:before="0" w:after="0"/>
              <w:jc w:val="center"/>
              <w:rPr>
                <w:b/>
                <w:sz w:val="10"/>
                <w:szCs w:val="10"/>
                <w:lang w:val="fr-BE"/>
              </w:rPr>
            </w:pPr>
            <w:r w:rsidRPr="00601E29">
              <w:rPr>
                <w:b/>
                <w:noProof/>
                <w:sz w:val="10"/>
                <w:szCs w:val="10"/>
                <w:lang w:val="fr-BE"/>
              </w:rPr>
              <w:t>Mężczyźni</w:t>
            </w:r>
          </w:p>
        </w:tc>
        <w:tc>
          <w:tcPr>
            <w:tcW w:w="0" w:type="auto"/>
          </w:tcPr>
          <w:p w14:paraId="338FD93F" w14:textId="77777777" w:rsidR="008C5CFA" w:rsidRPr="00601E29" w:rsidRDefault="00E82A60" w:rsidP="00300A01">
            <w:pPr>
              <w:spacing w:before="0" w:after="0"/>
              <w:jc w:val="center"/>
              <w:rPr>
                <w:b/>
                <w:sz w:val="10"/>
                <w:szCs w:val="10"/>
                <w:lang w:val="fr-BE"/>
              </w:rPr>
            </w:pPr>
            <w:r w:rsidRPr="00601E29">
              <w:rPr>
                <w:b/>
                <w:noProof/>
                <w:sz w:val="10"/>
                <w:szCs w:val="10"/>
                <w:lang w:val="fr-BE"/>
              </w:rPr>
              <w:t>Kobiety</w:t>
            </w:r>
          </w:p>
        </w:tc>
        <w:tc>
          <w:tcPr>
            <w:tcW w:w="0" w:type="auto"/>
          </w:tcPr>
          <w:p w14:paraId="308E1FF4" w14:textId="77777777" w:rsidR="008C5CFA" w:rsidRPr="00601E29" w:rsidRDefault="00E82A60" w:rsidP="00300A01">
            <w:pPr>
              <w:spacing w:before="0" w:after="0"/>
              <w:jc w:val="center"/>
              <w:rPr>
                <w:b/>
                <w:sz w:val="10"/>
                <w:szCs w:val="10"/>
                <w:lang w:val="fr-BE"/>
              </w:rPr>
            </w:pPr>
            <w:r w:rsidRPr="00601E29">
              <w:rPr>
                <w:b/>
                <w:noProof/>
                <w:sz w:val="10"/>
                <w:szCs w:val="10"/>
                <w:lang w:val="fr-BE"/>
              </w:rPr>
              <w:t>Ogółem</w:t>
            </w:r>
          </w:p>
        </w:tc>
        <w:tc>
          <w:tcPr>
            <w:tcW w:w="0" w:type="auto"/>
          </w:tcPr>
          <w:p w14:paraId="576C93DA" w14:textId="77777777" w:rsidR="008C5CFA" w:rsidRPr="00601E29" w:rsidRDefault="00E82A60" w:rsidP="00300A01">
            <w:pPr>
              <w:spacing w:before="0" w:after="0"/>
              <w:jc w:val="center"/>
              <w:rPr>
                <w:b/>
                <w:sz w:val="10"/>
                <w:szCs w:val="10"/>
                <w:lang w:val="fr-BE"/>
              </w:rPr>
            </w:pPr>
            <w:r w:rsidRPr="00601E29">
              <w:rPr>
                <w:b/>
                <w:noProof/>
                <w:sz w:val="10"/>
                <w:szCs w:val="10"/>
                <w:lang w:val="fr-BE"/>
              </w:rPr>
              <w:t>Mężczyźni</w:t>
            </w:r>
          </w:p>
        </w:tc>
        <w:tc>
          <w:tcPr>
            <w:tcW w:w="0" w:type="auto"/>
          </w:tcPr>
          <w:p w14:paraId="7B710595" w14:textId="77777777" w:rsidR="008C5CFA" w:rsidRPr="00601E29" w:rsidRDefault="00E82A60" w:rsidP="00300A01">
            <w:pPr>
              <w:spacing w:before="0" w:after="0"/>
              <w:jc w:val="center"/>
              <w:rPr>
                <w:b/>
                <w:sz w:val="10"/>
                <w:szCs w:val="10"/>
                <w:lang w:val="fr-BE"/>
              </w:rPr>
            </w:pPr>
            <w:r w:rsidRPr="00601E29">
              <w:rPr>
                <w:b/>
                <w:noProof/>
                <w:sz w:val="10"/>
                <w:szCs w:val="10"/>
                <w:lang w:val="fr-BE"/>
              </w:rPr>
              <w:t>Kobiety</w:t>
            </w:r>
          </w:p>
        </w:tc>
        <w:tc>
          <w:tcPr>
            <w:tcW w:w="0" w:type="auto"/>
          </w:tcPr>
          <w:p w14:paraId="39F01AD8" w14:textId="77777777" w:rsidR="008C5CFA" w:rsidRPr="00601E29" w:rsidRDefault="008C5CFA" w:rsidP="00300A01">
            <w:pPr>
              <w:spacing w:before="0" w:after="0"/>
              <w:jc w:val="center"/>
              <w:rPr>
                <w:b/>
                <w:sz w:val="10"/>
                <w:szCs w:val="10"/>
                <w:lang w:val="fr-BE"/>
              </w:rPr>
            </w:pPr>
          </w:p>
        </w:tc>
      </w:tr>
      <w:tr w:rsidR="006B2EC1" w14:paraId="7A0F686D" w14:textId="77777777" w:rsidTr="0047688D">
        <w:tc>
          <w:tcPr>
            <w:tcW w:w="0" w:type="auto"/>
            <w:shd w:val="clear" w:color="auto" w:fill="auto"/>
          </w:tcPr>
          <w:p w14:paraId="53DD94CA" w14:textId="77777777" w:rsidR="008C5CFA" w:rsidRPr="00601E29" w:rsidRDefault="00E82A60" w:rsidP="00300A01">
            <w:pPr>
              <w:spacing w:before="0" w:after="0"/>
              <w:rPr>
                <w:sz w:val="10"/>
                <w:szCs w:val="10"/>
                <w:lang w:val="fr-BE"/>
              </w:rPr>
            </w:pPr>
            <w:r w:rsidRPr="00601E29">
              <w:rPr>
                <w:noProof/>
                <w:sz w:val="10"/>
                <w:szCs w:val="10"/>
                <w:lang w:val="fr-BE"/>
              </w:rPr>
              <w:t>118</w:t>
            </w:r>
          </w:p>
        </w:tc>
        <w:tc>
          <w:tcPr>
            <w:tcW w:w="0" w:type="auto"/>
            <w:shd w:val="clear" w:color="auto" w:fill="auto"/>
          </w:tcPr>
          <w:p w14:paraId="76A1EBC3" w14:textId="77777777" w:rsidR="008C5CFA" w:rsidRPr="00601E29" w:rsidRDefault="00E82A60" w:rsidP="00300A01">
            <w:pPr>
              <w:spacing w:before="0" w:after="0"/>
              <w:rPr>
                <w:sz w:val="10"/>
                <w:szCs w:val="10"/>
                <w:lang w:val="fr-BE"/>
              </w:rPr>
            </w:pPr>
            <w:r w:rsidRPr="00601E29">
              <w:rPr>
                <w:noProof/>
                <w:sz w:val="10"/>
                <w:szCs w:val="10"/>
                <w:lang w:val="fr-BE"/>
              </w:rPr>
              <w:t>Liczba utworzonych miejsc pracy w ramach udzielonych z EFS środków na podjęcie działalności gospodarczej</w:t>
            </w:r>
          </w:p>
        </w:tc>
        <w:tc>
          <w:tcPr>
            <w:tcW w:w="0" w:type="auto"/>
            <w:shd w:val="clear" w:color="auto" w:fill="auto"/>
          </w:tcPr>
          <w:p w14:paraId="3CDE84A3" w14:textId="77777777" w:rsidR="008C5CFA" w:rsidRPr="00601E29" w:rsidRDefault="00E82A60" w:rsidP="00300A01">
            <w:pPr>
              <w:spacing w:before="0" w:after="0"/>
              <w:rPr>
                <w:sz w:val="10"/>
                <w:szCs w:val="10"/>
                <w:lang w:val="fr-BE"/>
              </w:rPr>
            </w:pPr>
            <w:r w:rsidRPr="00601E29">
              <w:rPr>
                <w:noProof/>
                <w:sz w:val="10"/>
                <w:szCs w:val="10"/>
                <w:lang w:val="fr-BE"/>
              </w:rPr>
              <w:t>Słabiej rozwinięte</w:t>
            </w:r>
          </w:p>
        </w:tc>
        <w:tc>
          <w:tcPr>
            <w:tcW w:w="0" w:type="auto"/>
          </w:tcPr>
          <w:p w14:paraId="3F93312A" w14:textId="77777777" w:rsidR="008C5CFA" w:rsidRPr="00601E29" w:rsidRDefault="00E82A60" w:rsidP="00300A01">
            <w:pPr>
              <w:spacing w:before="0" w:after="0"/>
              <w:jc w:val="right"/>
              <w:rPr>
                <w:sz w:val="10"/>
                <w:szCs w:val="10"/>
                <w:lang w:val="fr-BE"/>
              </w:rPr>
            </w:pPr>
            <w:r w:rsidRPr="00601E29">
              <w:rPr>
                <w:noProof/>
                <w:sz w:val="10"/>
                <w:szCs w:val="10"/>
                <w:lang w:val="fr-BE"/>
              </w:rPr>
              <w:t>635,00</w:t>
            </w:r>
          </w:p>
        </w:tc>
        <w:tc>
          <w:tcPr>
            <w:tcW w:w="0" w:type="auto"/>
          </w:tcPr>
          <w:p w14:paraId="0CD1EAD5"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6C2AA74C"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3B60F81C" w14:textId="77777777" w:rsidR="008C5CFA" w:rsidRPr="00601E29" w:rsidRDefault="00E82A60" w:rsidP="00300A01">
            <w:pPr>
              <w:spacing w:before="0" w:after="0"/>
              <w:jc w:val="right"/>
              <w:rPr>
                <w:sz w:val="10"/>
                <w:szCs w:val="10"/>
                <w:lang w:val="fr-BE"/>
              </w:rPr>
            </w:pPr>
            <w:r w:rsidRPr="00601E29">
              <w:rPr>
                <w:noProof/>
                <w:sz w:val="10"/>
                <w:szCs w:val="10"/>
                <w:lang w:val="fr-BE"/>
              </w:rPr>
              <w:t>635,00</w:t>
            </w:r>
          </w:p>
        </w:tc>
        <w:tc>
          <w:tcPr>
            <w:tcW w:w="0" w:type="auto"/>
          </w:tcPr>
          <w:p w14:paraId="121B1A6C"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34D16951"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60C21839" w14:textId="77777777" w:rsidR="008C5CFA" w:rsidRPr="00601E29" w:rsidRDefault="008C5CFA" w:rsidP="00300A01">
            <w:pPr>
              <w:spacing w:before="0" w:after="0"/>
              <w:jc w:val="right"/>
              <w:rPr>
                <w:sz w:val="10"/>
                <w:szCs w:val="10"/>
                <w:lang w:val="fr-BE"/>
              </w:rPr>
            </w:pPr>
          </w:p>
        </w:tc>
        <w:tc>
          <w:tcPr>
            <w:tcW w:w="0" w:type="auto"/>
          </w:tcPr>
          <w:p w14:paraId="11282DB5"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4D6E3AEA"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18D70BC3"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0CEAE8C5"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2AF0987F"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6B170C30"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6E3B7549" w14:textId="77777777" w:rsidR="008C5CFA" w:rsidRPr="00601E29" w:rsidRDefault="008C5CFA" w:rsidP="00300A01">
            <w:pPr>
              <w:spacing w:before="0" w:after="0"/>
              <w:jc w:val="right"/>
              <w:rPr>
                <w:sz w:val="10"/>
                <w:szCs w:val="10"/>
                <w:lang w:val="fr-BE"/>
              </w:rPr>
            </w:pPr>
          </w:p>
        </w:tc>
      </w:tr>
      <w:tr w:rsidR="006B2EC1" w14:paraId="5C66A643" w14:textId="77777777" w:rsidTr="0047688D">
        <w:tc>
          <w:tcPr>
            <w:tcW w:w="0" w:type="auto"/>
            <w:shd w:val="clear" w:color="auto" w:fill="auto"/>
          </w:tcPr>
          <w:p w14:paraId="3C2627FE" w14:textId="77777777" w:rsidR="008C5CFA" w:rsidRPr="00601E29" w:rsidRDefault="00E82A60" w:rsidP="00300A01">
            <w:pPr>
              <w:spacing w:before="0" w:after="0"/>
              <w:rPr>
                <w:sz w:val="10"/>
                <w:szCs w:val="10"/>
                <w:lang w:val="fr-BE"/>
              </w:rPr>
            </w:pPr>
            <w:r w:rsidRPr="00601E29">
              <w:rPr>
                <w:noProof/>
                <w:sz w:val="10"/>
                <w:szCs w:val="10"/>
                <w:lang w:val="fr-BE"/>
              </w:rPr>
              <w:t>025</w:t>
            </w:r>
          </w:p>
        </w:tc>
        <w:tc>
          <w:tcPr>
            <w:tcW w:w="0" w:type="auto"/>
            <w:shd w:val="clear" w:color="auto" w:fill="auto"/>
          </w:tcPr>
          <w:p w14:paraId="1ED901A2" w14:textId="77777777" w:rsidR="008C5CFA" w:rsidRPr="00601E29" w:rsidRDefault="00E82A60" w:rsidP="00300A01">
            <w:pPr>
              <w:spacing w:before="0" w:after="0"/>
              <w:rPr>
                <w:sz w:val="10"/>
                <w:szCs w:val="10"/>
                <w:lang w:val="fr-BE"/>
              </w:rPr>
            </w:pPr>
            <w:r w:rsidRPr="00601E29">
              <w:rPr>
                <w:noProof/>
                <w:sz w:val="10"/>
                <w:szCs w:val="10"/>
                <w:lang w:val="fr-BE"/>
              </w:rPr>
              <w:t>Liczba utworzonych mikroprzedsiębiorstw przez osoby odchodzące z rolnictwa, działających 30 miesięcy po uzyskaniu wsparcia finansowego</w:t>
            </w:r>
          </w:p>
        </w:tc>
        <w:tc>
          <w:tcPr>
            <w:tcW w:w="0" w:type="auto"/>
            <w:shd w:val="clear" w:color="auto" w:fill="auto"/>
          </w:tcPr>
          <w:p w14:paraId="06206CD6" w14:textId="77777777" w:rsidR="008C5CFA" w:rsidRPr="00601E29" w:rsidRDefault="00E82A60" w:rsidP="00300A01">
            <w:pPr>
              <w:spacing w:before="0" w:after="0"/>
              <w:rPr>
                <w:sz w:val="10"/>
                <w:szCs w:val="10"/>
                <w:lang w:val="fr-BE"/>
              </w:rPr>
            </w:pPr>
            <w:r w:rsidRPr="00601E29">
              <w:rPr>
                <w:noProof/>
                <w:sz w:val="10"/>
                <w:szCs w:val="10"/>
                <w:lang w:val="fr-BE"/>
              </w:rPr>
              <w:t>Słabiej rozwinięte</w:t>
            </w:r>
          </w:p>
        </w:tc>
        <w:tc>
          <w:tcPr>
            <w:tcW w:w="0" w:type="auto"/>
          </w:tcPr>
          <w:p w14:paraId="24FBFE13"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724ED872"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55D27A6F"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06AFD942" w14:textId="77777777" w:rsidR="008C5CFA" w:rsidRPr="00601E29" w:rsidRDefault="008C5CFA" w:rsidP="00300A01">
            <w:pPr>
              <w:spacing w:before="0" w:after="0"/>
              <w:jc w:val="right"/>
              <w:rPr>
                <w:sz w:val="10"/>
                <w:szCs w:val="10"/>
                <w:lang w:val="fr-BE"/>
              </w:rPr>
            </w:pPr>
          </w:p>
        </w:tc>
        <w:tc>
          <w:tcPr>
            <w:tcW w:w="0" w:type="auto"/>
          </w:tcPr>
          <w:p w14:paraId="232E5FCB" w14:textId="77777777" w:rsidR="008C5CFA" w:rsidRPr="00601E29" w:rsidRDefault="008C5CFA" w:rsidP="00300A01">
            <w:pPr>
              <w:spacing w:before="0" w:after="0"/>
              <w:jc w:val="right"/>
              <w:rPr>
                <w:sz w:val="10"/>
                <w:szCs w:val="10"/>
                <w:lang w:val="fr-BE"/>
              </w:rPr>
            </w:pPr>
          </w:p>
        </w:tc>
        <w:tc>
          <w:tcPr>
            <w:tcW w:w="0" w:type="auto"/>
          </w:tcPr>
          <w:p w14:paraId="451DA5AB" w14:textId="77777777" w:rsidR="008C5CFA" w:rsidRPr="00601E29" w:rsidRDefault="008C5CFA" w:rsidP="00300A01">
            <w:pPr>
              <w:spacing w:before="0" w:after="0"/>
              <w:jc w:val="right"/>
              <w:rPr>
                <w:sz w:val="10"/>
                <w:szCs w:val="10"/>
                <w:lang w:val="fr-BE"/>
              </w:rPr>
            </w:pPr>
          </w:p>
        </w:tc>
        <w:tc>
          <w:tcPr>
            <w:tcW w:w="0" w:type="auto"/>
          </w:tcPr>
          <w:p w14:paraId="1D69706F" w14:textId="77777777" w:rsidR="008C5CFA" w:rsidRPr="00601E29" w:rsidRDefault="008C5CFA" w:rsidP="00300A01">
            <w:pPr>
              <w:spacing w:before="0" w:after="0"/>
              <w:jc w:val="right"/>
              <w:rPr>
                <w:sz w:val="10"/>
                <w:szCs w:val="10"/>
                <w:lang w:val="fr-BE"/>
              </w:rPr>
            </w:pPr>
          </w:p>
        </w:tc>
        <w:tc>
          <w:tcPr>
            <w:tcW w:w="0" w:type="auto"/>
          </w:tcPr>
          <w:p w14:paraId="710B0798"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4F2F580A"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6651615B"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5B10C536"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2D6A8AB3"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6B57C5F3"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2151DBB6" w14:textId="77777777" w:rsidR="008C5CFA" w:rsidRPr="00601E29" w:rsidRDefault="008C5CFA" w:rsidP="00300A01">
            <w:pPr>
              <w:spacing w:before="0" w:after="0"/>
              <w:jc w:val="right"/>
              <w:rPr>
                <w:sz w:val="10"/>
                <w:szCs w:val="10"/>
                <w:lang w:val="fr-BE"/>
              </w:rPr>
            </w:pPr>
          </w:p>
        </w:tc>
      </w:tr>
      <w:tr w:rsidR="006B2EC1" w14:paraId="0D0384EF" w14:textId="77777777" w:rsidTr="0047688D">
        <w:tc>
          <w:tcPr>
            <w:tcW w:w="0" w:type="auto"/>
            <w:shd w:val="clear" w:color="auto" w:fill="auto"/>
          </w:tcPr>
          <w:p w14:paraId="69054DAD" w14:textId="77777777" w:rsidR="008C5CFA" w:rsidRPr="00601E29" w:rsidRDefault="00E82A60" w:rsidP="00300A01">
            <w:pPr>
              <w:spacing w:before="0" w:after="0"/>
              <w:rPr>
                <w:sz w:val="10"/>
                <w:szCs w:val="10"/>
                <w:lang w:val="fr-BE"/>
              </w:rPr>
            </w:pPr>
            <w:r w:rsidRPr="00601E29">
              <w:rPr>
                <w:noProof/>
                <w:sz w:val="10"/>
                <w:szCs w:val="10"/>
                <w:lang w:val="fr-BE"/>
              </w:rPr>
              <w:t>119</w:t>
            </w:r>
          </w:p>
        </w:tc>
        <w:tc>
          <w:tcPr>
            <w:tcW w:w="0" w:type="auto"/>
            <w:shd w:val="clear" w:color="auto" w:fill="auto"/>
          </w:tcPr>
          <w:p w14:paraId="0B81D0EC" w14:textId="77777777" w:rsidR="008C5CFA" w:rsidRPr="00601E29" w:rsidRDefault="00E82A60" w:rsidP="00300A01">
            <w:pPr>
              <w:spacing w:before="0" w:after="0"/>
              <w:rPr>
                <w:sz w:val="10"/>
                <w:szCs w:val="10"/>
                <w:lang w:val="fr-BE"/>
              </w:rPr>
            </w:pPr>
            <w:r w:rsidRPr="00601E29">
              <w:rPr>
                <w:noProof/>
                <w:sz w:val="10"/>
                <w:szCs w:val="10"/>
                <w:lang w:val="fr-BE"/>
              </w:rPr>
              <w:t>Liczba utworzonych mikroprzedsiębiorstw działających 30 miesięcy po uzyskaniu wsparcia finansowego</w:t>
            </w:r>
          </w:p>
        </w:tc>
        <w:tc>
          <w:tcPr>
            <w:tcW w:w="0" w:type="auto"/>
            <w:shd w:val="clear" w:color="auto" w:fill="auto"/>
          </w:tcPr>
          <w:p w14:paraId="0E38B6DE" w14:textId="77777777" w:rsidR="008C5CFA" w:rsidRPr="00601E29" w:rsidRDefault="00E82A60" w:rsidP="00300A01">
            <w:pPr>
              <w:spacing w:before="0" w:after="0"/>
              <w:rPr>
                <w:sz w:val="10"/>
                <w:szCs w:val="10"/>
                <w:lang w:val="fr-BE"/>
              </w:rPr>
            </w:pPr>
            <w:r w:rsidRPr="00601E29">
              <w:rPr>
                <w:noProof/>
                <w:sz w:val="10"/>
                <w:szCs w:val="10"/>
                <w:lang w:val="fr-BE"/>
              </w:rPr>
              <w:t>Słabiej rozwinięte</w:t>
            </w:r>
          </w:p>
        </w:tc>
        <w:tc>
          <w:tcPr>
            <w:tcW w:w="0" w:type="auto"/>
          </w:tcPr>
          <w:p w14:paraId="30CC20EA"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221788AD"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7BE31C40"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52BFC76C" w14:textId="77777777" w:rsidR="008C5CFA" w:rsidRPr="00601E29" w:rsidRDefault="008C5CFA" w:rsidP="00300A01">
            <w:pPr>
              <w:spacing w:before="0" w:after="0"/>
              <w:jc w:val="right"/>
              <w:rPr>
                <w:sz w:val="10"/>
                <w:szCs w:val="10"/>
                <w:lang w:val="fr-BE"/>
              </w:rPr>
            </w:pPr>
          </w:p>
        </w:tc>
        <w:tc>
          <w:tcPr>
            <w:tcW w:w="0" w:type="auto"/>
          </w:tcPr>
          <w:p w14:paraId="225263F6" w14:textId="77777777" w:rsidR="008C5CFA" w:rsidRPr="00601E29" w:rsidRDefault="008C5CFA" w:rsidP="00300A01">
            <w:pPr>
              <w:spacing w:before="0" w:after="0"/>
              <w:jc w:val="right"/>
              <w:rPr>
                <w:sz w:val="10"/>
                <w:szCs w:val="10"/>
                <w:lang w:val="fr-BE"/>
              </w:rPr>
            </w:pPr>
          </w:p>
        </w:tc>
        <w:tc>
          <w:tcPr>
            <w:tcW w:w="0" w:type="auto"/>
          </w:tcPr>
          <w:p w14:paraId="4DD19328" w14:textId="77777777" w:rsidR="008C5CFA" w:rsidRPr="00601E29" w:rsidRDefault="008C5CFA" w:rsidP="00300A01">
            <w:pPr>
              <w:spacing w:before="0" w:after="0"/>
              <w:jc w:val="right"/>
              <w:rPr>
                <w:sz w:val="10"/>
                <w:szCs w:val="10"/>
                <w:lang w:val="fr-BE"/>
              </w:rPr>
            </w:pPr>
          </w:p>
        </w:tc>
        <w:tc>
          <w:tcPr>
            <w:tcW w:w="0" w:type="auto"/>
          </w:tcPr>
          <w:p w14:paraId="7C07479C" w14:textId="77777777" w:rsidR="008C5CFA" w:rsidRPr="00601E29" w:rsidRDefault="008C5CFA" w:rsidP="00300A01">
            <w:pPr>
              <w:spacing w:before="0" w:after="0"/>
              <w:jc w:val="right"/>
              <w:rPr>
                <w:sz w:val="10"/>
                <w:szCs w:val="10"/>
                <w:lang w:val="fr-BE"/>
              </w:rPr>
            </w:pPr>
          </w:p>
        </w:tc>
        <w:tc>
          <w:tcPr>
            <w:tcW w:w="0" w:type="auto"/>
          </w:tcPr>
          <w:p w14:paraId="3E5322F5"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1670F171"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05EB26C4"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293ACED9"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501E23A9"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2F4AF984"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6A52FEBD" w14:textId="77777777" w:rsidR="008C5CFA" w:rsidRPr="00601E29" w:rsidRDefault="008C5CFA" w:rsidP="00300A01">
            <w:pPr>
              <w:spacing w:before="0" w:after="0"/>
              <w:jc w:val="right"/>
              <w:rPr>
                <w:sz w:val="10"/>
                <w:szCs w:val="10"/>
                <w:lang w:val="fr-BE"/>
              </w:rPr>
            </w:pPr>
          </w:p>
        </w:tc>
      </w:tr>
    </w:tbl>
    <w:p w14:paraId="5B0F8A5B"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81"/>
        <w:gridCol w:w="8418"/>
        <w:gridCol w:w="1292"/>
        <w:gridCol w:w="647"/>
        <w:gridCol w:w="814"/>
        <w:gridCol w:w="654"/>
        <w:gridCol w:w="647"/>
        <w:gridCol w:w="814"/>
        <w:gridCol w:w="654"/>
        <w:gridCol w:w="863"/>
      </w:tblGrid>
      <w:tr w:rsidR="006B2EC1" w14:paraId="5D2EB086" w14:textId="77777777" w:rsidTr="0047688D">
        <w:trPr>
          <w:tblHeader/>
        </w:trPr>
        <w:tc>
          <w:tcPr>
            <w:tcW w:w="0" w:type="auto"/>
            <w:shd w:val="clear" w:color="auto" w:fill="auto"/>
          </w:tcPr>
          <w:p w14:paraId="7E3BB479" w14:textId="77777777" w:rsidR="008C5CFA" w:rsidRPr="00601E29" w:rsidRDefault="00E82A60" w:rsidP="00300A01">
            <w:pPr>
              <w:spacing w:before="0" w:after="0"/>
              <w:rPr>
                <w:b/>
                <w:sz w:val="10"/>
                <w:szCs w:val="10"/>
                <w:lang w:val="fr-BE"/>
              </w:rPr>
            </w:pPr>
            <w:r w:rsidRPr="00601E29">
              <w:rPr>
                <w:b/>
                <w:noProof/>
                <w:sz w:val="10"/>
                <w:szCs w:val="10"/>
                <w:lang w:val="fr-BE"/>
              </w:rPr>
              <w:t>ID</w:t>
            </w:r>
          </w:p>
        </w:tc>
        <w:tc>
          <w:tcPr>
            <w:tcW w:w="0" w:type="auto"/>
            <w:shd w:val="clear" w:color="auto" w:fill="auto"/>
          </w:tcPr>
          <w:p w14:paraId="538789FB" w14:textId="77777777" w:rsidR="008C5CFA" w:rsidRPr="00601E29" w:rsidRDefault="00E82A60" w:rsidP="00300A01">
            <w:pPr>
              <w:spacing w:before="0" w:after="0"/>
              <w:rPr>
                <w:b/>
                <w:sz w:val="10"/>
                <w:szCs w:val="10"/>
                <w:lang w:val="fr-BE"/>
              </w:rPr>
            </w:pPr>
            <w:r w:rsidRPr="00601E29">
              <w:rPr>
                <w:b/>
                <w:noProof/>
                <w:sz w:val="10"/>
                <w:szCs w:val="10"/>
                <w:lang w:val="fr-BE"/>
              </w:rPr>
              <w:t>Wskaźnik</w:t>
            </w:r>
          </w:p>
        </w:tc>
        <w:tc>
          <w:tcPr>
            <w:tcW w:w="0" w:type="auto"/>
            <w:shd w:val="clear" w:color="auto" w:fill="auto"/>
          </w:tcPr>
          <w:p w14:paraId="11C53E20" w14:textId="77777777" w:rsidR="008C5CFA" w:rsidRPr="00601E29" w:rsidRDefault="00E82A60" w:rsidP="00300A01">
            <w:pPr>
              <w:spacing w:before="0" w:after="0"/>
              <w:rPr>
                <w:b/>
                <w:sz w:val="10"/>
                <w:szCs w:val="10"/>
                <w:lang w:val="fr-BE"/>
              </w:rPr>
            </w:pPr>
            <w:r w:rsidRPr="00601E29">
              <w:rPr>
                <w:b/>
                <w:noProof/>
                <w:sz w:val="10"/>
                <w:szCs w:val="10"/>
                <w:lang w:val="fr-BE"/>
              </w:rPr>
              <w:t>Kategoria regionu</w:t>
            </w:r>
          </w:p>
        </w:tc>
        <w:tc>
          <w:tcPr>
            <w:tcW w:w="0" w:type="auto"/>
            <w:gridSpan w:val="7"/>
          </w:tcPr>
          <w:p w14:paraId="56ED003B" w14:textId="77777777" w:rsidR="008C5CFA" w:rsidRPr="00601E29" w:rsidRDefault="00E82A60" w:rsidP="00300A01">
            <w:pPr>
              <w:spacing w:before="0" w:after="0"/>
              <w:jc w:val="center"/>
              <w:rPr>
                <w:b/>
                <w:sz w:val="10"/>
                <w:szCs w:val="10"/>
                <w:lang w:val="fr-BE"/>
              </w:rPr>
            </w:pPr>
            <w:r>
              <w:rPr>
                <w:b/>
                <w:sz w:val="10"/>
                <w:szCs w:val="10"/>
                <w:lang w:val="fr-BE"/>
              </w:rPr>
              <w:t>2014</w:t>
            </w:r>
          </w:p>
        </w:tc>
      </w:tr>
      <w:tr w:rsidR="006B2EC1" w14:paraId="51DC90EB" w14:textId="77777777" w:rsidTr="0047688D">
        <w:trPr>
          <w:tblHeader/>
        </w:trPr>
        <w:tc>
          <w:tcPr>
            <w:tcW w:w="0" w:type="auto"/>
            <w:shd w:val="clear" w:color="auto" w:fill="auto"/>
          </w:tcPr>
          <w:p w14:paraId="6336DD65" w14:textId="77777777" w:rsidR="008C5CFA" w:rsidRPr="00601E29" w:rsidRDefault="008C5CFA" w:rsidP="00300A01">
            <w:pPr>
              <w:spacing w:before="0" w:after="0"/>
              <w:rPr>
                <w:b/>
                <w:sz w:val="10"/>
                <w:szCs w:val="10"/>
                <w:lang w:val="fr-BE"/>
              </w:rPr>
            </w:pPr>
          </w:p>
        </w:tc>
        <w:tc>
          <w:tcPr>
            <w:tcW w:w="0" w:type="auto"/>
            <w:shd w:val="clear" w:color="auto" w:fill="auto"/>
          </w:tcPr>
          <w:p w14:paraId="4AD847EE" w14:textId="77777777" w:rsidR="008C5CFA" w:rsidRPr="00601E29" w:rsidRDefault="008C5CFA" w:rsidP="00300A01">
            <w:pPr>
              <w:spacing w:before="0" w:after="0"/>
              <w:rPr>
                <w:b/>
                <w:sz w:val="10"/>
                <w:szCs w:val="10"/>
                <w:lang w:val="fr-BE"/>
              </w:rPr>
            </w:pPr>
          </w:p>
        </w:tc>
        <w:tc>
          <w:tcPr>
            <w:tcW w:w="0" w:type="auto"/>
            <w:shd w:val="clear" w:color="auto" w:fill="auto"/>
          </w:tcPr>
          <w:p w14:paraId="664C3FF0" w14:textId="77777777" w:rsidR="008C5CFA" w:rsidRPr="00601E29" w:rsidRDefault="008C5CFA" w:rsidP="00300A01">
            <w:pPr>
              <w:spacing w:before="0" w:after="0"/>
              <w:rPr>
                <w:b/>
                <w:sz w:val="10"/>
                <w:szCs w:val="10"/>
                <w:lang w:val="fr-BE"/>
              </w:rPr>
            </w:pPr>
          </w:p>
        </w:tc>
        <w:tc>
          <w:tcPr>
            <w:tcW w:w="0" w:type="auto"/>
            <w:gridSpan w:val="3"/>
          </w:tcPr>
          <w:p w14:paraId="163DC929" w14:textId="77777777" w:rsidR="008C5CFA" w:rsidRPr="00601E29" w:rsidRDefault="00E82A60" w:rsidP="00300A01">
            <w:pPr>
              <w:spacing w:before="0" w:after="0"/>
              <w:jc w:val="center"/>
              <w:rPr>
                <w:b/>
                <w:sz w:val="10"/>
                <w:szCs w:val="10"/>
                <w:lang w:val="fr-BE"/>
              </w:rPr>
            </w:pPr>
            <w:r w:rsidRPr="00601E29">
              <w:rPr>
                <w:b/>
                <w:noProof/>
                <w:sz w:val="10"/>
                <w:szCs w:val="10"/>
                <w:lang w:val="fr-BE"/>
              </w:rPr>
              <w:t>Łącznie</w:t>
            </w:r>
          </w:p>
        </w:tc>
        <w:tc>
          <w:tcPr>
            <w:tcW w:w="0" w:type="auto"/>
            <w:gridSpan w:val="3"/>
          </w:tcPr>
          <w:p w14:paraId="5B5ADDBE" w14:textId="77777777" w:rsidR="008C5CFA" w:rsidRPr="00601E29" w:rsidRDefault="00E82A60" w:rsidP="00300A01">
            <w:pPr>
              <w:spacing w:before="0" w:after="0"/>
              <w:jc w:val="center"/>
              <w:rPr>
                <w:b/>
                <w:sz w:val="10"/>
                <w:szCs w:val="10"/>
                <w:lang w:val="fr-BE"/>
              </w:rPr>
            </w:pPr>
            <w:r w:rsidRPr="00601E29">
              <w:rPr>
                <w:b/>
                <w:noProof/>
                <w:sz w:val="10"/>
                <w:szCs w:val="10"/>
                <w:lang w:val="fr-BE"/>
              </w:rPr>
              <w:t>Łącznie w roku</w:t>
            </w:r>
          </w:p>
        </w:tc>
        <w:tc>
          <w:tcPr>
            <w:tcW w:w="0" w:type="auto"/>
          </w:tcPr>
          <w:p w14:paraId="47F9B689" w14:textId="77777777" w:rsidR="008C5CFA" w:rsidRPr="00601E29" w:rsidRDefault="00E82A60" w:rsidP="00300A01">
            <w:pPr>
              <w:spacing w:before="0" w:after="0"/>
              <w:jc w:val="center"/>
              <w:rPr>
                <w:b/>
                <w:sz w:val="10"/>
                <w:szCs w:val="10"/>
                <w:lang w:val="fr-BE"/>
              </w:rPr>
            </w:pPr>
            <w:r w:rsidRPr="00601E29">
              <w:rPr>
                <w:b/>
                <w:noProof/>
                <w:sz w:val="10"/>
                <w:szCs w:val="10"/>
                <w:lang w:val="fr-BE"/>
              </w:rPr>
              <w:t>Jakościowe</w:t>
            </w:r>
          </w:p>
        </w:tc>
      </w:tr>
      <w:tr w:rsidR="006B2EC1" w14:paraId="1B8A8964" w14:textId="77777777" w:rsidTr="0047688D">
        <w:trPr>
          <w:tblHeader/>
        </w:trPr>
        <w:tc>
          <w:tcPr>
            <w:tcW w:w="0" w:type="auto"/>
            <w:shd w:val="clear" w:color="auto" w:fill="auto"/>
          </w:tcPr>
          <w:p w14:paraId="15B05779" w14:textId="77777777" w:rsidR="008C5CFA" w:rsidRPr="00601E29" w:rsidRDefault="008C5CFA" w:rsidP="00300A01">
            <w:pPr>
              <w:spacing w:before="0" w:after="0"/>
              <w:rPr>
                <w:b/>
                <w:sz w:val="10"/>
                <w:szCs w:val="10"/>
                <w:lang w:val="fr-BE"/>
              </w:rPr>
            </w:pPr>
          </w:p>
        </w:tc>
        <w:tc>
          <w:tcPr>
            <w:tcW w:w="0" w:type="auto"/>
            <w:shd w:val="clear" w:color="auto" w:fill="auto"/>
          </w:tcPr>
          <w:p w14:paraId="2918771A" w14:textId="77777777" w:rsidR="008C5CFA" w:rsidRPr="00601E29" w:rsidRDefault="008C5CFA" w:rsidP="00300A01">
            <w:pPr>
              <w:spacing w:before="0" w:after="0"/>
              <w:rPr>
                <w:b/>
                <w:sz w:val="10"/>
                <w:szCs w:val="10"/>
                <w:lang w:val="fr-BE"/>
              </w:rPr>
            </w:pPr>
          </w:p>
        </w:tc>
        <w:tc>
          <w:tcPr>
            <w:tcW w:w="0" w:type="auto"/>
            <w:shd w:val="clear" w:color="auto" w:fill="auto"/>
          </w:tcPr>
          <w:p w14:paraId="2A9DF87D" w14:textId="77777777" w:rsidR="008C5CFA" w:rsidRPr="00601E29" w:rsidRDefault="008C5CFA" w:rsidP="00300A01">
            <w:pPr>
              <w:spacing w:before="0" w:after="0"/>
              <w:rPr>
                <w:b/>
                <w:sz w:val="10"/>
                <w:szCs w:val="10"/>
                <w:lang w:val="fr-BE"/>
              </w:rPr>
            </w:pPr>
          </w:p>
        </w:tc>
        <w:tc>
          <w:tcPr>
            <w:tcW w:w="0" w:type="auto"/>
          </w:tcPr>
          <w:p w14:paraId="0952974D" w14:textId="77777777" w:rsidR="008C5CFA" w:rsidRPr="00601E29" w:rsidRDefault="00E82A60" w:rsidP="00300A01">
            <w:pPr>
              <w:spacing w:before="0" w:after="0"/>
              <w:jc w:val="center"/>
              <w:rPr>
                <w:b/>
                <w:sz w:val="10"/>
                <w:szCs w:val="10"/>
                <w:lang w:val="fr-BE"/>
              </w:rPr>
            </w:pPr>
            <w:r w:rsidRPr="00601E29">
              <w:rPr>
                <w:b/>
                <w:noProof/>
                <w:sz w:val="10"/>
                <w:szCs w:val="10"/>
                <w:lang w:val="fr-BE"/>
              </w:rPr>
              <w:t>Ogółem</w:t>
            </w:r>
          </w:p>
        </w:tc>
        <w:tc>
          <w:tcPr>
            <w:tcW w:w="0" w:type="auto"/>
          </w:tcPr>
          <w:p w14:paraId="408307D1" w14:textId="77777777" w:rsidR="008C5CFA" w:rsidRPr="00601E29" w:rsidRDefault="00E82A60" w:rsidP="00300A01">
            <w:pPr>
              <w:spacing w:before="0" w:after="0"/>
              <w:jc w:val="center"/>
              <w:rPr>
                <w:b/>
                <w:sz w:val="10"/>
                <w:szCs w:val="10"/>
                <w:lang w:val="fr-BE"/>
              </w:rPr>
            </w:pPr>
            <w:r w:rsidRPr="00601E29">
              <w:rPr>
                <w:b/>
                <w:noProof/>
                <w:sz w:val="10"/>
                <w:szCs w:val="10"/>
                <w:lang w:val="fr-BE"/>
              </w:rPr>
              <w:t>Mężczyźni</w:t>
            </w:r>
          </w:p>
        </w:tc>
        <w:tc>
          <w:tcPr>
            <w:tcW w:w="0" w:type="auto"/>
          </w:tcPr>
          <w:p w14:paraId="7DCFA228" w14:textId="77777777" w:rsidR="008C5CFA" w:rsidRPr="00601E29" w:rsidRDefault="00E82A60" w:rsidP="00300A01">
            <w:pPr>
              <w:spacing w:before="0" w:after="0"/>
              <w:jc w:val="center"/>
              <w:rPr>
                <w:b/>
                <w:sz w:val="10"/>
                <w:szCs w:val="10"/>
                <w:lang w:val="fr-BE"/>
              </w:rPr>
            </w:pPr>
            <w:r w:rsidRPr="00601E29">
              <w:rPr>
                <w:b/>
                <w:noProof/>
                <w:sz w:val="10"/>
                <w:szCs w:val="10"/>
                <w:lang w:val="fr-BE"/>
              </w:rPr>
              <w:t>Kobiety</w:t>
            </w:r>
          </w:p>
        </w:tc>
        <w:tc>
          <w:tcPr>
            <w:tcW w:w="0" w:type="auto"/>
          </w:tcPr>
          <w:p w14:paraId="218CD271" w14:textId="77777777" w:rsidR="008C5CFA" w:rsidRPr="00601E29" w:rsidRDefault="00E82A60" w:rsidP="00300A01">
            <w:pPr>
              <w:spacing w:before="0" w:after="0"/>
              <w:jc w:val="center"/>
              <w:rPr>
                <w:b/>
                <w:sz w:val="10"/>
                <w:szCs w:val="10"/>
                <w:lang w:val="fr-BE"/>
              </w:rPr>
            </w:pPr>
            <w:r w:rsidRPr="00601E29">
              <w:rPr>
                <w:b/>
                <w:noProof/>
                <w:sz w:val="10"/>
                <w:szCs w:val="10"/>
                <w:lang w:val="fr-BE"/>
              </w:rPr>
              <w:t>Ogółem</w:t>
            </w:r>
          </w:p>
        </w:tc>
        <w:tc>
          <w:tcPr>
            <w:tcW w:w="0" w:type="auto"/>
          </w:tcPr>
          <w:p w14:paraId="327200E8" w14:textId="77777777" w:rsidR="008C5CFA" w:rsidRPr="00601E29" w:rsidRDefault="00E82A60" w:rsidP="00300A01">
            <w:pPr>
              <w:spacing w:before="0" w:after="0"/>
              <w:jc w:val="center"/>
              <w:rPr>
                <w:b/>
                <w:sz w:val="10"/>
                <w:szCs w:val="10"/>
                <w:lang w:val="fr-BE"/>
              </w:rPr>
            </w:pPr>
            <w:r w:rsidRPr="00601E29">
              <w:rPr>
                <w:b/>
                <w:noProof/>
                <w:sz w:val="10"/>
                <w:szCs w:val="10"/>
                <w:lang w:val="fr-BE"/>
              </w:rPr>
              <w:t>Mężczyźni</w:t>
            </w:r>
          </w:p>
        </w:tc>
        <w:tc>
          <w:tcPr>
            <w:tcW w:w="0" w:type="auto"/>
          </w:tcPr>
          <w:p w14:paraId="5A99A589" w14:textId="77777777" w:rsidR="008C5CFA" w:rsidRPr="00601E29" w:rsidRDefault="00E82A60" w:rsidP="00300A01">
            <w:pPr>
              <w:spacing w:before="0" w:after="0"/>
              <w:jc w:val="center"/>
              <w:rPr>
                <w:b/>
                <w:sz w:val="10"/>
                <w:szCs w:val="10"/>
                <w:lang w:val="fr-BE"/>
              </w:rPr>
            </w:pPr>
            <w:r w:rsidRPr="00601E29">
              <w:rPr>
                <w:b/>
                <w:noProof/>
                <w:sz w:val="10"/>
                <w:szCs w:val="10"/>
                <w:lang w:val="fr-BE"/>
              </w:rPr>
              <w:t>Kobiety</w:t>
            </w:r>
          </w:p>
        </w:tc>
        <w:tc>
          <w:tcPr>
            <w:tcW w:w="0" w:type="auto"/>
          </w:tcPr>
          <w:p w14:paraId="53707021" w14:textId="77777777" w:rsidR="008C5CFA" w:rsidRPr="00601E29" w:rsidRDefault="008C5CFA" w:rsidP="00300A01">
            <w:pPr>
              <w:spacing w:before="0" w:after="0"/>
              <w:jc w:val="center"/>
              <w:rPr>
                <w:b/>
                <w:sz w:val="10"/>
                <w:szCs w:val="10"/>
                <w:lang w:val="fr-BE"/>
              </w:rPr>
            </w:pPr>
          </w:p>
        </w:tc>
      </w:tr>
      <w:tr w:rsidR="006B2EC1" w14:paraId="5401F36A" w14:textId="77777777" w:rsidTr="0047688D">
        <w:tc>
          <w:tcPr>
            <w:tcW w:w="0" w:type="auto"/>
            <w:shd w:val="clear" w:color="auto" w:fill="auto"/>
          </w:tcPr>
          <w:p w14:paraId="2CC58E48" w14:textId="77777777" w:rsidR="008C5CFA" w:rsidRPr="00601E29" w:rsidRDefault="00E82A60" w:rsidP="00300A01">
            <w:pPr>
              <w:spacing w:before="0" w:after="0"/>
              <w:rPr>
                <w:sz w:val="10"/>
                <w:szCs w:val="10"/>
                <w:lang w:val="fr-BE"/>
              </w:rPr>
            </w:pPr>
            <w:r w:rsidRPr="00601E29">
              <w:rPr>
                <w:noProof/>
                <w:sz w:val="10"/>
                <w:szCs w:val="10"/>
                <w:lang w:val="fr-BE"/>
              </w:rPr>
              <w:t>118</w:t>
            </w:r>
          </w:p>
        </w:tc>
        <w:tc>
          <w:tcPr>
            <w:tcW w:w="0" w:type="auto"/>
            <w:shd w:val="clear" w:color="auto" w:fill="auto"/>
          </w:tcPr>
          <w:p w14:paraId="31F0288A" w14:textId="77777777" w:rsidR="008C5CFA" w:rsidRPr="00601E29" w:rsidRDefault="00E82A60" w:rsidP="00300A01">
            <w:pPr>
              <w:spacing w:before="0" w:after="0"/>
              <w:rPr>
                <w:sz w:val="10"/>
                <w:szCs w:val="10"/>
                <w:lang w:val="fr-BE"/>
              </w:rPr>
            </w:pPr>
            <w:r w:rsidRPr="00601E29">
              <w:rPr>
                <w:noProof/>
                <w:sz w:val="10"/>
                <w:szCs w:val="10"/>
                <w:lang w:val="fr-BE"/>
              </w:rPr>
              <w:t>Liczba utworzonych miejsc pracy w ramach udzielonych z EFS środków na podjęcie działalności gospodarczej</w:t>
            </w:r>
          </w:p>
        </w:tc>
        <w:tc>
          <w:tcPr>
            <w:tcW w:w="0" w:type="auto"/>
            <w:shd w:val="clear" w:color="auto" w:fill="auto"/>
          </w:tcPr>
          <w:p w14:paraId="654FFB71" w14:textId="77777777" w:rsidR="008C5CFA" w:rsidRPr="00601E29" w:rsidRDefault="00E82A60" w:rsidP="00300A01">
            <w:pPr>
              <w:spacing w:before="0" w:after="0"/>
              <w:rPr>
                <w:sz w:val="10"/>
                <w:szCs w:val="10"/>
                <w:lang w:val="fr-BE"/>
              </w:rPr>
            </w:pPr>
            <w:r w:rsidRPr="00601E29">
              <w:rPr>
                <w:noProof/>
                <w:sz w:val="10"/>
                <w:szCs w:val="10"/>
                <w:lang w:val="fr-BE"/>
              </w:rPr>
              <w:t>Słabiej rozwinięte</w:t>
            </w:r>
          </w:p>
        </w:tc>
        <w:tc>
          <w:tcPr>
            <w:tcW w:w="0" w:type="auto"/>
          </w:tcPr>
          <w:p w14:paraId="486DF890"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3DE59656"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2BC53BE8"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489804E1"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0AFFFE2A"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19C63D3E"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65283EE6" w14:textId="77777777" w:rsidR="008C5CFA" w:rsidRPr="00601E29" w:rsidRDefault="008C5CFA" w:rsidP="00300A01">
            <w:pPr>
              <w:spacing w:before="0" w:after="0"/>
              <w:jc w:val="right"/>
              <w:rPr>
                <w:sz w:val="10"/>
                <w:szCs w:val="10"/>
                <w:lang w:val="fr-BE"/>
              </w:rPr>
            </w:pPr>
          </w:p>
        </w:tc>
      </w:tr>
      <w:tr w:rsidR="006B2EC1" w14:paraId="3A02F87E" w14:textId="77777777" w:rsidTr="0047688D">
        <w:tc>
          <w:tcPr>
            <w:tcW w:w="0" w:type="auto"/>
            <w:shd w:val="clear" w:color="auto" w:fill="auto"/>
          </w:tcPr>
          <w:p w14:paraId="69E41EFE" w14:textId="77777777" w:rsidR="008C5CFA" w:rsidRPr="00601E29" w:rsidRDefault="00E82A60" w:rsidP="00300A01">
            <w:pPr>
              <w:spacing w:before="0" w:after="0"/>
              <w:rPr>
                <w:sz w:val="10"/>
                <w:szCs w:val="10"/>
                <w:lang w:val="fr-BE"/>
              </w:rPr>
            </w:pPr>
            <w:r w:rsidRPr="00601E29">
              <w:rPr>
                <w:noProof/>
                <w:sz w:val="10"/>
                <w:szCs w:val="10"/>
                <w:lang w:val="fr-BE"/>
              </w:rPr>
              <w:t>025</w:t>
            </w:r>
          </w:p>
        </w:tc>
        <w:tc>
          <w:tcPr>
            <w:tcW w:w="0" w:type="auto"/>
            <w:shd w:val="clear" w:color="auto" w:fill="auto"/>
          </w:tcPr>
          <w:p w14:paraId="6F85EF48" w14:textId="77777777" w:rsidR="008C5CFA" w:rsidRPr="00601E29" w:rsidRDefault="00E82A60" w:rsidP="00300A01">
            <w:pPr>
              <w:spacing w:before="0" w:after="0"/>
              <w:rPr>
                <w:sz w:val="10"/>
                <w:szCs w:val="10"/>
                <w:lang w:val="fr-BE"/>
              </w:rPr>
            </w:pPr>
            <w:r w:rsidRPr="00601E29">
              <w:rPr>
                <w:noProof/>
                <w:sz w:val="10"/>
                <w:szCs w:val="10"/>
                <w:lang w:val="fr-BE"/>
              </w:rPr>
              <w:t>Liczba utworzonych mikroprzedsiębiorstw przez osoby odchodzące z rolnictwa, działających 30 miesięcy po uzyskaniu wsparcia finansowego</w:t>
            </w:r>
          </w:p>
        </w:tc>
        <w:tc>
          <w:tcPr>
            <w:tcW w:w="0" w:type="auto"/>
            <w:shd w:val="clear" w:color="auto" w:fill="auto"/>
          </w:tcPr>
          <w:p w14:paraId="00398469" w14:textId="77777777" w:rsidR="008C5CFA" w:rsidRPr="00601E29" w:rsidRDefault="00E82A60" w:rsidP="00300A01">
            <w:pPr>
              <w:spacing w:before="0" w:after="0"/>
              <w:rPr>
                <w:sz w:val="10"/>
                <w:szCs w:val="10"/>
                <w:lang w:val="fr-BE"/>
              </w:rPr>
            </w:pPr>
            <w:r w:rsidRPr="00601E29">
              <w:rPr>
                <w:noProof/>
                <w:sz w:val="10"/>
                <w:szCs w:val="10"/>
                <w:lang w:val="fr-BE"/>
              </w:rPr>
              <w:t>Słabiej rozwinięte</w:t>
            </w:r>
          </w:p>
        </w:tc>
        <w:tc>
          <w:tcPr>
            <w:tcW w:w="0" w:type="auto"/>
          </w:tcPr>
          <w:p w14:paraId="39996F4F"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4E500842"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6F59BD0A"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60B62C81"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47D64514"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0224DF8B"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5BA091B7" w14:textId="77777777" w:rsidR="008C5CFA" w:rsidRPr="00601E29" w:rsidRDefault="008C5CFA" w:rsidP="00300A01">
            <w:pPr>
              <w:spacing w:before="0" w:after="0"/>
              <w:jc w:val="right"/>
              <w:rPr>
                <w:sz w:val="10"/>
                <w:szCs w:val="10"/>
                <w:lang w:val="fr-BE"/>
              </w:rPr>
            </w:pPr>
          </w:p>
        </w:tc>
      </w:tr>
      <w:tr w:rsidR="006B2EC1" w14:paraId="5011E771" w14:textId="77777777" w:rsidTr="0047688D">
        <w:tc>
          <w:tcPr>
            <w:tcW w:w="0" w:type="auto"/>
            <w:shd w:val="clear" w:color="auto" w:fill="auto"/>
          </w:tcPr>
          <w:p w14:paraId="1F03D08B" w14:textId="77777777" w:rsidR="008C5CFA" w:rsidRPr="00601E29" w:rsidRDefault="00E82A60" w:rsidP="00300A01">
            <w:pPr>
              <w:spacing w:before="0" w:after="0"/>
              <w:rPr>
                <w:sz w:val="10"/>
                <w:szCs w:val="10"/>
                <w:lang w:val="fr-BE"/>
              </w:rPr>
            </w:pPr>
            <w:r w:rsidRPr="00601E29">
              <w:rPr>
                <w:noProof/>
                <w:sz w:val="10"/>
                <w:szCs w:val="10"/>
                <w:lang w:val="fr-BE"/>
              </w:rPr>
              <w:t>119</w:t>
            </w:r>
          </w:p>
        </w:tc>
        <w:tc>
          <w:tcPr>
            <w:tcW w:w="0" w:type="auto"/>
            <w:shd w:val="clear" w:color="auto" w:fill="auto"/>
          </w:tcPr>
          <w:p w14:paraId="70642502" w14:textId="77777777" w:rsidR="008C5CFA" w:rsidRPr="00601E29" w:rsidRDefault="00E82A60" w:rsidP="00300A01">
            <w:pPr>
              <w:spacing w:before="0" w:after="0"/>
              <w:rPr>
                <w:sz w:val="10"/>
                <w:szCs w:val="10"/>
                <w:lang w:val="fr-BE"/>
              </w:rPr>
            </w:pPr>
            <w:r w:rsidRPr="00601E29">
              <w:rPr>
                <w:noProof/>
                <w:sz w:val="10"/>
                <w:szCs w:val="10"/>
                <w:lang w:val="fr-BE"/>
              </w:rPr>
              <w:t>Liczba utworzonych mikroprzedsiębiorstw działających 30 miesięcy po uzyskaniu wsparcia finansowego</w:t>
            </w:r>
          </w:p>
        </w:tc>
        <w:tc>
          <w:tcPr>
            <w:tcW w:w="0" w:type="auto"/>
            <w:shd w:val="clear" w:color="auto" w:fill="auto"/>
          </w:tcPr>
          <w:p w14:paraId="4CECA6A0" w14:textId="77777777" w:rsidR="008C5CFA" w:rsidRPr="00601E29" w:rsidRDefault="00E82A60" w:rsidP="00300A01">
            <w:pPr>
              <w:spacing w:before="0" w:after="0"/>
              <w:rPr>
                <w:sz w:val="10"/>
                <w:szCs w:val="10"/>
                <w:lang w:val="fr-BE"/>
              </w:rPr>
            </w:pPr>
            <w:r w:rsidRPr="00601E29">
              <w:rPr>
                <w:noProof/>
                <w:sz w:val="10"/>
                <w:szCs w:val="10"/>
                <w:lang w:val="fr-BE"/>
              </w:rPr>
              <w:t>Słabiej rozwinięte</w:t>
            </w:r>
          </w:p>
        </w:tc>
        <w:tc>
          <w:tcPr>
            <w:tcW w:w="0" w:type="auto"/>
          </w:tcPr>
          <w:p w14:paraId="2DC12D5B"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66F5BEBE"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7CA3722F"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25607C3F"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018B4A71"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57B38473"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1CED20D9" w14:textId="77777777" w:rsidR="008C5CFA" w:rsidRPr="00601E29" w:rsidRDefault="008C5CFA" w:rsidP="00300A01">
            <w:pPr>
              <w:spacing w:before="0" w:after="0"/>
              <w:jc w:val="right"/>
              <w:rPr>
                <w:sz w:val="10"/>
                <w:szCs w:val="10"/>
                <w:lang w:val="fr-BE"/>
              </w:rPr>
            </w:pPr>
          </w:p>
        </w:tc>
      </w:tr>
    </w:tbl>
    <w:p w14:paraId="59E8C63F" w14:textId="77777777" w:rsidR="008C5CFA" w:rsidRPr="007C3A6B" w:rsidRDefault="008C5CFA" w:rsidP="00300A01">
      <w:pPr>
        <w:spacing w:before="0" w:after="0"/>
        <w:rPr>
          <w:lang w:val="fr-BE"/>
        </w:rPr>
      </w:pPr>
    </w:p>
    <w:p w14:paraId="520A43D0" w14:textId="77777777" w:rsidR="008C5CFA" w:rsidRDefault="00E82A60" w:rsidP="00300A01">
      <w:pPr>
        <w:spacing w:before="0" w:after="0"/>
        <w:rPr>
          <w:lang w:val="fr-BE"/>
        </w:rPr>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6"/>
        <w:gridCol w:w="12958"/>
      </w:tblGrid>
      <w:tr w:rsidR="006B2EC1" w14:paraId="4E1E0551" w14:textId="77777777" w:rsidTr="0047688D">
        <w:tc>
          <w:tcPr>
            <w:tcW w:w="0" w:type="auto"/>
            <w:shd w:val="clear" w:color="auto" w:fill="auto"/>
          </w:tcPr>
          <w:p w14:paraId="6ED87619" w14:textId="77777777" w:rsidR="008C5CFA" w:rsidRPr="002124FC" w:rsidRDefault="00E82A60" w:rsidP="00300A01">
            <w:pPr>
              <w:spacing w:before="0" w:after="0"/>
              <w:rPr>
                <w:sz w:val="20"/>
                <w:szCs w:val="20"/>
                <w:lang w:val="fr-BE"/>
              </w:rPr>
            </w:pPr>
            <w:r>
              <w:rPr>
                <w:lang w:val="fr-BE"/>
              </w:rPr>
              <w:lastRenderedPageBreak/>
              <w:br w:type="page"/>
            </w:r>
            <w:r>
              <w:rPr>
                <w:lang w:val="fr-BE"/>
              </w:rPr>
              <w:br w:type="page"/>
            </w:r>
            <w:r w:rsidRPr="002124FC">
              <w:rPr>
                <w:noProof/>
                <w:sz w:val="20"/>
                <w:szCs w:val="20"/>
                <w:lang w:val="fr-BE"/>
              </w:rPr>
              <w:t>Oś priorytetowa</w:t>
            </w:r>
          </w:p>
        </w:tc>
        <w:tc>
          <w:tcPr>
            <w:tcW w:w="0" w:type="auto"/>
            <w:shd w:val="clear" w:color="auto" w:fill="auto"/>
          </w:tcPr>
          <w:p w14:paraId="0137A0BC" w14:textId="77777777" w:rsidR="008C5CFA" w:rsidRPr="002124FC" w:rsidRDefault="00E82A60" w:rsidP="00300A01">
            <w:pPr>
              <w:spacing w:before="0" w:after="0"/>
              <w:rPr>
                <w:sz w:val="20"/>
                <w:szCs w:val="20"/>
                <w:lang w:val="fr-BE"/>
              </w:rPr>
            </w:pPr>
            <w:r w:rsidRPr="002124FC">
              <w:rPr>
                <w:noProof/>
                <w:sz w:val="20"/>
                <w:szCs w:val="20"/>
                <w:lang w:val="fr-BE"/>
              </w:rPr>
              <w:t>10</w:t>
            </w:r>
            <w:r w:rsidRPr="002124FC">
              <w:rPr>
                <w:sz w:val="20"/>
                <w:szCs w:val="20"/>
                <w:lang w:val="fr-BE"/>
              </w:rPr>
              <w:t xml:space="preserve"> - </w:t>
            </w:r>
            <w:r w:rsidRPr="002124FC">
              <w:rPr>
                <w:noProof/>
                <w:sz w:val="20"/>
                <w:szCs w:val="20"/>
                <w:lang w:val="fr-BE"/>
              </w:rPr>
              <w:t>Otwarty rynek pracy</w:t>
            </w:r>
          </w:p>
        </w:tc>
      </w:tr>
      <w:tr w:rsidR="006B2EC1" w14:paraId="5A8EE5AF" w14:textId="77777777" w:rsidTr="0047688D">
        <w:tc>
          <w:tcPr>
            <w:tcW w:w="0" w:type="auto"/>
            <w:shd w:val="clear" w:color="auto" w:fill="auto"/>
          </w:tcPr>
          <w:p w14:paraId="70BED708" w14:textId="77777777" w:rsidR="008C5CFA" w:rsidRPr="002124FC" w:rsidRDefault="00E82A60"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14:paraId="644C34B5" w14:textId="77777777" w:rsidR="008C5CFA" w:rsidRPr="002124FC" w:rsidRDefault="00E82A60" w:rsidP="00300A01">
            <w:pPr>
              <w:spacing w:before="0" w:after="0"/>
              <w:rPr>
                <w:sz w:val="20"/>
                <w:szCs w:val="20"/>
                <w:lang w:val="fr-BE"/>
              </w:rPr>
            </w:pPr>
            <w:r w:rsidRPr="002124FC">
              <w:rPr>
                <w:noProof/>
                <w:sz w:val="20"/>
                <w:szCs w:val="20"/>
                <w:lang w:val="fr-BE"/>
              </w:rPr>
              <w:t>8iii</w:t>
            </w:r>
            <w:r w:rsidRPr="002124FC">
              <w:rPr>
                <w:sz w:val="20"/>
                <w:szCs w:val="20"/>
                <w:lang w:val="fr-BE"/>
              </w:rPr>
              <w:t xml:space="preserve"> - </w:t>
            </w:r>
            <w:r w:rsidRPr="002124FC">
              <w:rPr>
                <w:noProof/>
                <w:sz w:val="20"/>
                <w:szCs w:val="20"/>
                <w:lang w:val="fr-BE"/>
              </w:rPr>
              <w:t>Praca na własny rachunek, przedsiębiorczość i tworzenie przedsiębiorstw, w tym innowacyjnych mikro-, małych i średnich przedsiębiorstw</w:t>
            </w:r>
          </w:p>
        </w:tc>
      </w:tr>
    </w:tbl>
    <w:p w14:paraId="370E53ED" w14:textId="77777777" w:rsidR="008C5CFA" w:rsidRDefault="008C5CFA" w:rsidP="00300A01">
      <w:pPr>
        <w:spacing w:before="0" w:after="0"/>
      </w:pPr>
    </w:p>
    <w:p w14:paraId="3BB66D69" w14:textId="77777777" w:rsidR="008C5CFA" w:rsidRPr="008E457C" w:rsidRDefault="00E82A60" w:rsidP="00300A01">
      <w:pPr>
        <w:pStyle w:val="Nagwek2"/>
        <w:spacing w:before="0" w:after="0"/>
        <w:rPr>
          <w:b w:val="0"/>
        </w:rPr>
      </w:pPr>
      <w:bookmarkStart w:id="17" w:name="_Toc46391701"/>
      <w:r w:rsidRPr="008E457C">
        <w:rPr>
          <w:b w:val="0"/>
          <w:noProof/>
          <w:lang w:val="fr-BE"/>
        </w:rPr>
        <w:t>Tabela 4A</w:t>
      </w:r>
      <w:r w:rsidRPr="008E457C">
        <w:rPr>
          <w:b w:val="0"/>
        </w:rPr>
        <w:t xml:space="preserve"> : </w:t>
      </w:r>
      <w:r w:rsidRPr="008E457C">
        <w:rPr>
          <w:b w:val="0"/>
          <w:noProof/>
          <w:lang w:val="fr-BE"/>
        </w:rPr>
        <w:t>Wspólne wskaźniki produktu dla EFS oraz Inicjatywy na rzecz zatrudnienia ludzi młodych</w:t>
      </w:r>
      <w:r w:rsidR="00A11A16">
        <w:rPr>
          <w:b w:val="0"/>
        </w:rPr>
        <w:t xml:space="preserve"> - </w:t>
      </w:r>
      <w:r w:rsidR="00A11A16" w:rsidRPr="002124FC">
        <w:rPr>
          <w:noProof/>
          <w:sz w:val="20"/>
          <w:szCs w:val="20"/>
          <w:lang w:val="fr-BE"/>
        </w:rPr>
        <w:t>10</w:t>
      </w:r>
      <w:r w:rsidR="00A11A16">
        <w:rPr>
          <w:sz w:val="20"/>
          <w:szCs w:val="20"/>
          <w:lang w:val="fr-BE"/>
        </w:rPr>
        <w:t xml:space="preserve"> / </w:t>
      </w:r>
      <w:r w:rsidR="00A11A16" w:rsidRPr="002124FC">
        <w:rPr>
          <w:noProof/>
          <w:sz w:val="20"/>
          <w:szCs w:val="20"/>
          <w:lang w:val="fr-BE"/>
        </w:rPr>
        <w:t>8iii</w:t>
      </w:r>
      <w:bookmarkEnd w:id="17"/>
    </w:p>
    <w:p w14:paraId="60902577" w14:textId="77777777" w:rsidR="008C5CFA" w:rsidRDefault="008C5CFA" w:rsidP="00300A01">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01"/>
        <w:gridCol w:w="6970"/>
        <w:gridCol w:w="1024"/>
        <w:gridCol w:w="514"/>
        <w:gridCol w:w="654"/>
        <w:gridCol w:w="521"/>
        <w:gridCol w:w="534"/>
        <w:gridCol w:w="654"/>
        <w:gridCol w:w="534"/>
        <w:gridCol w:w="514"/>
        <w:gridCol w:w="654"/>
        <w:gridCol w:w="521"/>
        <w:gridCol w:w="514"/>
        <w:gridCol w:w="654"/>
        <w:gridCol w:w="521"/>
      </w:tblGrid>
      <w:tr w:rsidR="006B2EC1" w14:paraId="13E2F096" w14:textId="77777777" w:rsidTr="0047688D">
        <w:trPr>
          <w:cantSplit/>
          <w:tblHeader/>
        </w:trPr>
        <w:tc>
          <w:tcPr>
            <w:tcW w:w="0" w:type="auto"/>
            <w:shd w:val="clear" w:color="auto" w:fill="auto"/>
          </w:tcPr>
          <w:p w14:paraId="14FA3BA5" w14:textId="77777777" w:rsidR="008C5CFA" w:rsidRPr="00F53019" w:rsidRDefault="00E82A60" w:rsidP="00300A01">
            <w:pPr>
              <w:spacing w:before="0" w:after="0"/>
              <w:rPr>
                <w:b/>
                <w:sz w:val="12"/>
                <w:szCs w:val="12"/>
                <w:lang w:val="fr-BE"/>
              </w:rPr>
            </w:pPr>
            <w:r w:rsidRPr="00F53019">
              <w:rPr>
                <w:b/>
                <w:noProof/>
                <w:sz w:val="12"/>
                <w:szCs w:val="12"/>
                <w:lang w:val="fr-BE"/>
              </w:rPr>
              <w:t>ID</w:t>
            </w:r>
          </w:p>
        </w:tc>
        <w:tc>
          <w:tcPr>
            <w:tcW w:w="0" w:type="auto"/>
            <w:shd w:val="clear" w:color="auto" w:fill="auto"/>
          </w:tcPr>
          <w:p w14:paraId="5ECEF49E" w14:textId="77777777" w:rsidR="008C5CFA" w:rsidRPr="00F53019" w:rsidRDefault="00E82A60" w:rsidP="00300A01">
            <w:pPr>
              <w:spacing w:before="0" w:after="0"/>
              <w:rPr>
                <w:b/>
                <w:sz w:val="12"/>
                <w:szCs w:val="12"/>
                <w:lang w:val="fr-BE"/>
              </w:rPr>
            </w:pPr>
            <w:r w:rsidRPr="00F53019">
              <w:rPr>
                <w:b/>
                <w:noProof/>
                <w:sz w:val="12"/>
                <w:szCs w:val="12"/>
                <w:lang w:val="fr-BE"/>
              </w:rPr>
              <w:t>Wskaźnik</w:t>
            </w:r>
          </w:p>
        </w:tc>
        <w:tc>
          <w:tcPr>
            <w:tcW w:w="0" w:type="auto"/>
            <w:shd w:val="clear" w:color="auto" w:fill="auto"/>
          </w:tcPr>
          <w:p w14:paraId="448B3CC5" w14:textId="77777777" w:rsidR="008C5CFA" w:rsidRPr="00F53019" w:rsidRDefault="00E82A60" w:rsidP="00300A01">
            <w:pPr>
              <w:spacing w:before="0" w:after="0"/>
              <w:rPr>
                <w:b/>
                <w:sz w:val="12"/>
                <w:szCs w:val="12"/>
                <w:lang w:val="fr-BE"/>
              </w:rPr>
            </w:pPr>
            <w:r w:rsidRPr="00F53019">
              <w:rPr>
                <w:b/>
                <w:noProof/>
                <w:sz w:val="12"/>
                <w:szCs w:val="12"/>
                <w:lang w:val="fr-BE"/>
              </w:rPr>
              <w:t>Kategoria regionu</w:t>
            </w:r>
          </w:p>
        </w:tc>
        <w:tc>
          <w:tcPr>
            <w:tcW w:w="0" w:type="auto"/>
            <w:gridSpan w:val="3"/>
            <w:shd w:val="clear" w:color="auto" w:fill="auto"/>
          </w:tcPr>
          <w:p w14:paraId="2CA73692" w14:textId="77777777" w:rsidR="008C5CFA" w:rsidRPr="00F53019" w:rsidRDefault="00E82A60" w:rsidP="00300A01">
            <w:pPr>
              <w:spacing w:before="0" w:after="0"/>
              <w:jc w:val="center"/>
              <w:rPr>
                <w:b/>
                <w:sz w:val="12"/>
                <w:szCs w:val="12"/>
                <w:lang w:val="fr-BE"/>
              </w:rPr>
            </w:pPr>
            <w:r w:rsidRPr="00F53019">
              <w:rPr>
                <w:b/>
                <w:noProof/>
                <w:sz w:val="12"/>
                <w:szCs w:val="12"/>
                <w:lang w:val="fr-BE"/>
              </w:rPr>
              <w:t>Wartość docelowa (2023)</w:t>
            </w:r>
          </w:p>
        </w:tc>
        <w:tc>
          <w:tcPr>
            <w:tcW w:w="0" w:type="auto"/>
            <w:gridSpan w:val="3"/>
            <w:shd w:val="clear" w:color="auto" w:fill="auto"/>
          </w:tcPr>
          <w:p w14:paraId="25E5532F" w14:textId="77777777" w:rsidR="008C5CFA" w:rsidRPr="00F53019" w:rsidRDefault="00E82A60" w:rsidP="00300A01">
            <w:pPr>
              <w:spacing w:before="0" w:after="0"/>
              <w:jc w:val="center"/>
              <w:rPr>
                <w:b/>
                <w:sz w:val="12"/>
                <w:szCs w:val="12"/>
                <w:lang w:val="fr-BE"/>
              </w:rPr>
            </w:pPr>
            <w:r w:rsidRPr="00F53019">
              <w:rPr>
                <w:b/>
                <w:noProof/>
                <w:sz w:val="12"/>
                <w:szCs w:val="12"/>
                <w:lang w:val="fr-BE"/>
              </w:rPr>
              <w:t>Wartość skumulowana</w:t>
            </w:r>
          </w:p>
        </w:tc>
        <w:tc>
          <w:tcPr>
            <w:tcW w:w="0" w:type="auto"/>
            <w:gridSpan w:val="3"/>
            <w:shd w:val="clear" w:color="auto" w:fill="auto"/>
          </w:tcPr>
          <w:p w14:paraId="69B50B3D" w14:textId="77777777" w:rsidR="008C5CFA" w:rsidRPr="00F53019" w:rsidRDefault="00E82A60" w:rsidP="00300A01">
            <w:pPr>
              <w:spacing w:before="0" w:after="0"/>
              <w:jc w:val="center"/>
              <w:rPr>
                <w:b/>
                <w:sz w:val="12"/>
                <w:szCs w:val="12"/>
                <w:lang w:val="fr-BE"/>
              </w:rPr>
            </w:pPr>
            <w:r w:rsidRPr="00F53019">
              <w:rPr>
                <w:b/>
                <w:noProof/>
                <w:sz w:val="12"/>
                <w:szCs w:val="12"/>
                <w:lang w:val="fr-BE"/>
              </w:rPr>
              <w:t>Wskaźnik osiągnięć</w:t>
            </w:r>
          </w:p>
        </w:tc>
        <w:tc>
          <w:tcPr>
            <w:tcW w:w="0" w:type="auto"/>
            <w:gridSpan w:val="3"/>
          </w:tcPr>
          <w:p w14:paraId="617D02D8" w14:textId="77777777" w:rsidR="008C5CFA" w:rsidRPr="00F53019" w:rsidRDefault="0047688D" w:rsidP="00300A01">
            <w:pPr>
              <w:spacing w:before="0" w:after="0"/>
              <w:jc w:val="center"/>
              <w:rPr>
                <w:b/>
                <w:sz w:val="12"/>
                <w:szCs w:val="12"/>
                <w:lang w:val="fr-BE"/>
              </w:rPr>
            </w:pPr>
            <w:r w:rsidRPr="008C2BD7">
              <w:rPr>
                <w:noProof/>
                <w:sz w:val="12"/>
                <w:szCs w:val="12"/>
              </w:rPr>
              <w:t>2019</w:t>
            </w:r>
          </w:p>
        </w:tc>
      </w:tr>
      <w:tr w:rsidR="006B2EC1" w14:paraId="62827512" w14:textId="77777777" w:rsidTr="0047688D">
        <w:trPr>
          <w:cantSplit/>
          <w:tblHeader/>
        </w:trPr>
        <w:tc>
          <w:tcPr>
            <w:tcW w:w="0" w:type="auto"/>
            <w:shd w:val="clear" w:color="auto" w:fill="auto"/>
          </w:tcPr>
          <w:p w14:paraId="04347559" w14:textId="77777777" w:rsidR="008C5CFA" w:rsidRPr="00F53019" w:rsidRDefault="008C5CFA" w:rsidP="00300A01">
            <w:pPr>
              <w:spacing w:before="0" w:after="0"/>
              <w:rPr>
                <w:b/>
                <w:sz w:val="12"/>
                <w:szCs w:val="12"/>
                <w:lang w:val="fr-BE"/>
              </w:rPr>
            </w:pPr>
          </w:p>
        </w:tc>
        <w:tc>
          <w:tcPr>
            <w:tcW w:w="0" w:type="auto"/>
            <w:shd w:val="clear" w:color="auto" w:fill="auto"/>
          </w:tcPr>
          <w:p w14:paraId="6B869C6A" w14:textId="77777777" w:rsidR="008C5CFA" w:rsidRPr="00F53019" w:rsidRDefault="008C5CFA" w:rsidP="00300A01">
            <w:pPr>
              <w:spacing w:before="0" w:after="0"/>
              <w:rPr>
                <w:b/>
                <w:sz w:val="12"/>
                <w:szCs w:val="12"/>
                <w:lang w:val="fr-BE"/>
              </w:rPr>
            </w:pPr>
          </w:p>
        </w:tc>
        <w:tc>
          <w:tcPr>
            <w:tcW w:w="0" w:type="auto"/>
            <w:shd w:val="clear" w:color="auto" w:fill="auto"/>
          </w:tcPr>
          <w:p w14:paraId="262B7A7B" w14:textId="77777777" w:rsidR="008C5CFA" w:rsidRPr="00F53019" w:rsidRDefault="008C5CFA" w:rsidP="00300A01">
            <w:pPr>
              <w:spacing w:before="0" w:after="0"/>
              <w:rPr>
                <w:b/>
                <w:sz w:val="12"/>
                <w:szCs w:val="12"/>
                <w:lang w:val="fr-BE"/>
              </w:rPr>
            </w:pPr>
          </w:p>
        </w:tc>
        <w:tc>
          <w:tcPr>
            <w:tcW w:w="0" w:type="auto"/>
            <w:shd w:val="clear" w:color="auto" w:fill="auto"/>
          </w:tcPr>
          <w:p w14:paraId="6D0690C8" w14:textId="77777777" w:rsidR="008C5CFA" w:rsidRPr="00F53019" w:rsidRDefault="00E82A60" w:rsidP="00300A01">
            <w:pPr>
              <w:spacing w:before="0" w:after="0"/>
              <w:jc w:val="center"/>
              <w:rPr>
                <w:b/>
                <w:sz w:val="12"/>
                <w:szCs w:val="12"/>
                <w:lang w:val="fr-BE"/>
              </w:rPr>
            </w:pPr>
            <w:r w:rsidRPr="00F53019">
              <w:rPr>
                <w:b/>
                <w:noProof/>
                <w:sz w:val="12"/>
                <w:szCs w:val="12"/>
                <w:lang w:val="fr-BE"/>
              </w:rPr>
              <w:t>Ogółem</w:t>
            </w:r>
          </w:p>
        </w:tc>
        <w:tc>
          <w:tcPr>
            <w:tcW w:w="0" w:type="auto"/>
            <w:shd w:val="clear" w:color="auto" w:fill="auto"/>
          </w:tcPr>
          <w:p w14:paraId="2FED292A" w14:textId="77777777" w:rsidR="008C5CFA" w:rsidRPr="00F53019" w:rsidRDefault="00E82A60"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14:paraId="3851084D" w14:textId="77777777" w:rsidR="008C5CFA" w:rsidRPr="00F53019" w:rsidRDefault="00E82A60" w:rsidP="00300A01">
            <w:pPr>
              <w:spacing w:before="0" w:after="0"/>
              <w:jc w:val="center"/>
              <w:rPr>
                <w:b/>
                <w:sz w:val="12"/>
                <w:szCs w:val="12"/>
                <w:lang w:val="fr-BE"/>
              </w:rPr>
            </w:pPr>
            <w:r w:rsidRPr="00F53019">
              <w:rPr>
                <w:b/>
                <w:noProof/>
                <w:sz w:val="12"/>
                <w:szCs w:val="12"/>
                <w:lang w:val="fr-BE"/>
              </w:rPr>
              <w:t>Kobiety</w:t>
            </w:r>
          </w:p>
        </w:tc>
        <w:tc>
          <w:tcPr>
            <w:tcW w:w="0" w:type="auto"/>
            <w:shd w:val="clear" w:color="auto" w:fill="auto"/>
          </w:tcPr>
          <w:p w14:paraId="17B835DC" w14:textId="77777777" w:rsidR="008C5CFA" w:rsidRPr="00F53019" w:rsidRDefault="00E82A60" w:rsidP="00300A01">
            <w:pPr>
              <w:spacing w:before="0" w:after="0"/>
              <w:jc w:val="center"/>
              <w:rPr>
                <w:b/>
                <w:sz w:val="12"/>
                <w:szCs w:val="12"/>
                <w:lang w:val="fr-BE"/>
              </w:rPr>
            </w:pPr>
            <w:r w:rsidRPr="00F53019">
              <w:rPr>
                <w:b/>
                <w:noProof/>
                <w:sz w:val="12"/>
                <w:szCs w:val="12"/>
                <w:lang w:val="fr-BE"/>
              </w:rPr>
              <w:t>Ogółem</w:t>
            </w:r>
          </w:p>
        </w:tc>
        <w:tc>
          <w:tcPr>
            <w:tcW w:w="0" w:type="auto"/>
            <w:shd w:val="clear" w:color="auto" w:fill="auto"/>
          </w:tcPr>
          <w:p w14:paraId="10F70221" w14:textId="77777777" w:rsidR="008C5CFA" w:rsidRPr="00F53019" w:rsidRDefault="00E82A60"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14:paraId="6F197138" w14:textId="77777777" w:rsidR="008C5CFA" w:rsidRPr="00F53019" w:rsidRDefault="00E82A60" w:rsidP="00300A01">
            <w:pPr>
              <w:spacing w:before="0" w:after="0"/>
              <w:jc w:val="center"/>
              <w:rPr>
                <w:b/>
                <w:sz w:val="12"/>
                <w:szCs w:val="12"/>
                <w:lang w:val="fr-BE"/>
              </w:rPr>
            </w:pPr>
            <w:r w:rsidRPr="00F53019">
              <w:rPr>
                <w:b/>
                <w:noProof/>
                <w:sz w:val="12"/>
                <w:szCs w:val="12"/>
                <w:lang w:val="fr-BE"/>
              </w:rPr>
              <w:t>Kobiety</w:t>
            </w:r>
          </w:p>
        </w:tc>
        <w:tc>
          <w:tcPr>
            <w:tcW w:w="0" w:type="auto"/>
            <w:shd w:val="clear" w:color="auto" w:fill="auto"/>
          </w:tcPr>
          <w:p w14:paraId="3E196B41" w14:textId="77777777" w:rsidR="008C5CFA" w:rsidRPr="00F53019" w:rsidRDefault="00E82A60" w:rsidP="00300A01">
            <w:pPr>
              <w:spacing w:before="0" w:after="0"/>
              <w:jc w:val="center"/>
              <w:rPr>
                <w:b/>
                <w:sz w:val="12"/>
                <w:szCs w:val="12"/>
                <w:lang w:val="fr-BE"/>
              </w:rPr>
            </w:pPr>
            <w:r w:rsidRPr="00F53019">
              <w:rPr>
                <w:b/>
                <w:noProof/>
                <w:sz w:val="12"/>
                <w:szCs w:val="12"/>
                <w:lang w:val="fr-BE"/>
              </w:rPr>
              <w:t>Ogółem</w:t>
            </w:r>
          </w:p>
        </w:tc>
        <w:tc>
          <w:tcPr>
            <w:tcW w:w="0" w:type="auto"/>
            <w:shd w:val="clear" w:color="auto" w:fill="auto"/>
          </w:tcPr>
          <w:p w14:paraId="70346478" w14:textId="77777777" w:rsidR="008C5CFA" w:rsidRPr="00F53019" w:rsidRDefault="00E82A60"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14:paraId="24FF30DA" w14:textId="77777777" w:rsidR="008C5CFA" w:rsidRPr="00F53019" w:rsidRDefault="00E82A60" w:rsidP="00300A01">
            <w:pPr>
              <w:spacing w:before="0" w:after="0"/>
              <w:jc w:val="center"/>
              <w:rPr>
                <w:b/>
                <w:sz w:val="12"/>
                <w:szCs w:val="12"/>
                <w:lang w:val="fr-BE"/>
              </w:rPr>
            </w:pPr>
            <w:r w:rsidRPr="00F53019">
              <w:rPr>
                <w:b/>
                <w:noProof/>
                <w:sz w:val="12"/>
                <w:szCs w:val="12"/>
                <w:lang w:val="fr-BE"/>
              </w:rPr>
              <w:t>Kobiety</w:t>
            </w:r>
          </w:p>
        </w:tc>
        <w:tc>
          <w:tcPr>
            <w:tcW w:w="0" w:type="auto"/>
          </w:tcPr>
          <w:p w14:paraId="6D01EC57" w14:textId="77777777" w:rsidR="008C5CFA" w:rsidRPr="00F53019" w:rsidRDefault="00E82A60" w:rsidP="00300A01">
            <w:pPr>
              <w:spacing w:before="0" w:after="0"/>
              <w:jc w:val="center"/>
              <w:rPr>
                <w:b/>
                <w:sz w:val="12"/>
                <w:szCs w:val="12"/>
                <w:lang w:val="fr-BE"/>
              </w:rPr>
            </w:pPr>
            <w:r w:rsidRPr="00F53019">
              <w:rPr>
                <w:b/>
                <w:noProof/>
                <w:sz w:val="12"/>
                <w:szCs w:val="12"/>
                <w:lang w:val="fr-BE"/>
              </w:rPr>
              <w:t>Ogółem</w:t>
            </w:r>
          </w:p>
        </w:tc>
        <w:tc>
          <w:tcPr>
            <w:tcW w:w="0" w:type="auto"/>
            <w:shd w:val="clear" w:color="auto" w:fill="auto"/>
          </w:tcPr>
          <w:p w14:paraId="7DD4BAF1" w14:textId="77777777" w:rsidR="008C5CFA" w:rsidRPr="00F53019" w:rsidRDefault="00E82A60"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14:paraId="65149AC5" w14:textId="77777777" w:rsidR="008C5CFA" w:rsidRPr="00F53019" w:rsidRDefault="00E82A60" w:rsidP="00300A01">
            <w:pPr>
              <w:spacing w:before="0" w:after="0"/>
              <w:jc w:val="center"/>
              <w:rPr>
                <w:b/>
                <w:sz w:val="12"/>
                <w:szCs w:val="12"/>
                <w:lang w:val="fr-BE"/>
              </w:rPr>
            </w:pPr>
            <w:r w:rsidRPr="00F53019">
              <w:rPr>
                <w:b/>
                <w:noProof/>
                <w:sz w:val="12"/>
                <w:szCs w:val="12"/>
                <w:lang w:val="fr-BE"/>
              </w:rPr>
              <w:t>Kobiety</w:t>
            </w:r>
          </w:p>
        </w:tc>
      </w:tr>
      <w:tr w:rsidR="006B2EC1" w14:paraId="0F1F2F46" w14:textId="77777777" w:rsidTr="0047688D">
        <w:tc>
          <w:tcPr>
            <w:tcW w:w="0" w:type="auto"/>
            <w:shd w:val="clear" w:color="auto" w:fill="auto"/>
          </w:tcPr>
          <w:p w14:paraId="41D216E5" w14:textId="77777777" w:rsidR="008C5CFA" w:rsidRPr="00BA47B4" w:rsidRDefault="00E82A60" w:rsidP="00300A01">
            <w:pPr>
              <w:spacing w:before="0" w:after="0"/>
              <w:rPr>
                <w:sz w:val="12"/>
                <w:szCs w:val="12"/>
                <w:lang w:val="fr-BE"/>
              </w:rPr>
            </w:pPr>
            <w:r>
              <w:rPr>
                <w:noProof/>
                <w:sz w:val="12"/>
                <w:szCs w:val="12"/>
                <w:lang w:val="fr-BE"/>
              </w:rPr>
              <w:t>CO01</w:t>
            </w:r>
          </w:p>
        </w:tc>
        <w:tc>
          <w:tcPr>
            <w:tcW w:w="0" w:type="auto"/>
            <w:shd w:val="clear" w:color="auto" w:fill="auto"/>
          </w:tcPr>
          <w:p w14:paraId="33C5237D" w14:textId="77777777" w:rsidR="008C5CFA" w:rsidRPr="00BA47B4" w:rsidRDefault="00E82A60" w:rsidP="00300A01">
            <w:pPr>
              <w:spacing w:before="0" w:after="0"/>
              <w:rPr>
                <w:sz w:val="12"/>
                <w:szCs w:val="12"/>
                <w:lang w:val="fr-BE"/>
              </w:rPr>
            </w:pPr>
            <w:r>
              <w:rPr>
                <w:noProof/>
                <w:sz w:val="12"/>
                <w:szCs w:val="12"/>
                <w:lang w:val="fr-BE"/>
              </w:rPr>
              <w:t>bezrobotni, w tym długotrwale bezrobotni</w:t>
            </w:r>
          </w:p>
        </w:tc>
        <w:tc>
          <w:tcPr>
            <w:tcW w:w="0" w:type="auto"/>
            <w:shd w:val="clear" w:color="auto" w:fill="auto"/>
          </w:tcPr>
          <w:p w14:paraId="2CEF3326" w14:textId="77777777" w:rsidR="008C5CFA" w:rsidRPr="00BA47B4" w:rsidRDefault="00E82A60"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14:paraId="6F8A103E" w14:textId="77777777" w:rsidR="008C5CFA" w:rsidRPr="00BA47B4" w:rsidRDefault="008C5CFA" w:rsidP="00300A01">
            <w:pPr>
              <w:spacing w:before="0" w:after="0"/>
              <w:jc w:val="right"/>
              <w:rPr>
                <w:sz w:val="12"/>
                <w:szCs w:val="12"/>
                <w:lang w:val="fr-BE"/>
              </w:rPr>
            </w:pPr>
          </w:p>
        </w:tc>
        <w:tc>
          <w:tcPr>
            <w:tcW w:w="0" w:type="auto"/>
            <w:shd w:val="clear" w:color="auto" w:fill="auto"/>
          </w:tcPr>
          <w:p w14:paraId="1E9E19C1" w14:textId="77777777" w:rsidR="008C5CFA" w:rsidRPr="00BA47B4" w:rsidRDefault="008C5CFA" w:rsidP="00300A01">
            <w:pPr>
              <w:spacing w:before="0" w:after="0"/>
              <w:jc w:val="right"/>
              <w:rPr>
                <w:sz w:val="12"/>
                <w:szCs w:val="12"/>
                <w:lang w:val="fr-BE"/>
              </w:rPr>
            </w:pPr>
          </w:p>
        </w:tc>
        <w:tc>
          <w:tcPr>
            <w:tcW w:w="0" w:type="auto"/>
            <w:shd w:val="clear" w:color="auto" w:fill="auto"/>
          </w:tcPr>
          <w:p w14:paraId="324EC513" w14:textId="77777777" w:rsidR="008C5CFA" w:rsidRPr="00BA47B4" w:rsidRDefault="008C5CFA" w:rsidP="00300A01">
            <w:pPr>
              <w:spacing w:before="0" w:after="0"/>
              <w:jc w:val="right"/>
              <w:rPr>
                <w:sz w:val="12"/>
                <w:szCs w:val="12"/>
                <w:lang w:val="fr-BE"/>
              </w:rPr>
            </w:pPr>
          </w:p>
        </w:tc>
        <w:tc>
          <w:tcPr>
            <w:tcW w:w="0" w:type="auto"/>
            <w:shd w:val="clear" w:color="auto" w:fill="auto"/>
          </w:tcPr>
          <w:p w14:paraId="12EB3A14" w14:textId="77777777" w:rsidR="008C5CFA" w:rsidRPr="00BA47B4" w:rsidRDefault="00E82A60" w:rsidP="00300A01">
            <w:pPr>
              <w:spacing w:before="0" w:after="0"/>
              <w:jc w:val="right"/>
              <w:rPr>
                <w:sz w:val="12"/>
                <w:szCs w:val="12"/>
                <w:lang w:val="fr-BE"/>
              </w:rPr>
            </w:pPr>
            <w:r w:rsidRPr="00BA47B4">
              <w:rPr>
                <w:noProof/>
                <w:sz w:val="12"/>
                <w:szCs w:val="12"/>
                <w:lang w:val="fr-BE"/>
              </w:rPr>
              <w:t>3 593,00</w:t>
            </w:r>
          </w:p>
        </w:tc>
        <w:tc>
          <w:tcPr>
            <w:tcW w:w="0" w:type="auto"/>
            <w:shd w:val="clear" w:color="auto" w:fill="auto"/>
          </w:tcPr>
          <w:p w14:paraId="651FD260" w14:textId="77777777" w:rsidR="008C5CFA" w:rsidRPr="00BA47B4" w:rsidRDefault="00E82A60" w:rsidP="00300A01">
            <w:pPr>
              <w:spacing w:before="0" w:after="0"/>
              <w:jc w:val="right"/>
              <w:rPr>
                <w:sz w:val="12"/>
                <w:szCs w:val="12"/>
                <w:lang w:val="fr-BE"/>
              </w:rPr>
            </w:pPr>
            <w:r w:rsidRPr="00BA47B4">
              <w:rPr>
                <w:noProof/>
                <w:sz w:val="12"/>
                <w:szCs w:val="12"/>
                <w:lang w:val="fr-BE"/>
              </w:rPr>
              <w:t>1 782,00</w:t>
            </w:r>
          </w:p>
        </w:tc>
        <w:tc>
          <w:tcPr>
            <w:tcW w:w="0" w:type="auto"/>
            <w:shd w:val="clear" w:color="auto" w:fill="auto"/>
          </w:tcPr>
          <w:p w14:paraId="10D6A729" w14:textId="77777777" w:rsidR="008C5CFA" w:rsidRPr="00BA47B4" w:rsidRDefault="00E82A60" w:rsidP="00300A01">
            <w:pPr>
              <w:spacing w:before="0" w:after="0"/>
              <w:jc w:val="right"/>
              <w:rPr>
                <w:sz w:val="12"/>
                <w:szCs w:val="12"/>
                <w:lang w:val="fr-BE"/>
              </w:rPr>
            </w:pPr>
            <w:r w:rsidRPr="00BA47B4">
              <w:rPr>
                <w:noProof/>
                <w:sz w:val="12"/>
                <w:szCs w:val="12"/>
                <w:lang w:val="fr-BE"/>
              </w:rPr>
              <w:t>1 811,00</w:t>
            </w:r>
          </w:p>
        </w:tc>
        <w:tc>
          <w:tcPr>
            <w:tcW w:w="0" w:type="auto"/>
            <w:shd w:val="clear" w:color="auto" w:fill="auto"/>
          </w:tcPr>
          <w:p w14:paraId="15D79428" w14:textId="77777777" w:rsidR="008C5CFA" w:rsidRPr="00BA47B4" w:rsidRDefault="008C5CFA" w:rsidP="00300A01">
            <w:pPr>
              <w:spacing w:before="0" w:after="0"/>
              <w:jc w:val="right"/>
              <w:rPr>
                <w:sz w:val="12"/>
                <w:szCs w:val="12"/>
                <w:lang w:val="fr-BE"/>
              </w:rPr>
            </w:pPr>
          </w:p>
        </w:tc>
        <w:tc>
          <w:tcPr>
            <w:tcW w:w="0" w:type="auto"/>
            <w:shd w:val="clear" w:color="auto" w:fill="auto"/>
          </w:tcPr>
          <w:p w14:paraId="0A5B8838" w14:textId="77777777" w:rsidR="008C5CFA" w:rsidRPr="00BA47B4" w:rsidRDefault="008C5CFA" w:rsidP="00300A01">
            <w:pPr>
              <w:spacing w:before="0" w:after="0"/>
              <w:jc w:val="right"/>
              <w:rPr>
                <w:sz w:val="12"/>
                <w:szCs w:val="12"/>
                <w:lang w:val="fr-BE"/>
              </w:rPr>
            </w:pPr>
          </w:p>
        </w:tc>
        <w:tc>
          <w:tcPr>
            <w:tcW w:w="0" w:type="auto"/>
            <w:shd w:val="clear" w:color="auto" w:fill="auto"/>
          </w:tcPr>
          <w:p w14:paraId="74857CF8" w14:textId="77777777" w:rsidR="008C5CFA" w:rsidRPr="00BA47B4" w:rsidRDefault="008C5CFA" w:rsidP="00300A01">
            <w:pPr>
              <w:spacing w:before="0" w:after="0"/>
              <w:jc w:val="right"/>
              <w:rPr>
                <w:sz w:val="12"/>
                <w:szCs w:val="12"/>
                <w:lang w:val="fr-BE"/>
              </w:rPr>
            </w:pPr>
          </w:p>
        </w:tc>
        <w:tc>
          <w:tcPr>
            <w:tcW w:w="0" w:type="auto"/>
          </w:tcPr>
          <w:p w14:paraId="401831E0" w14:textId="77777777" w:rsidR="008C5CFA" w:rsidRPr="00A92B39" w:rsidRDefault="00E82A60" w:rsidP="00300A01">
            <w:pPr>
              <w:spacing w:before="0" w:after="0"/>
              <w:jc w:val="right"/>
              <w:rPr>
                <w:sz w:val="10"/>
                <w:szCs w:val="10"/>
                <w:lang w:val="fr-BE"/>
              </w:rPr>
            </w:pPr>
            <w:r w:rsidRPr="00A92B39">
              <w:rPr>
                <w:noProof/>
                <w:sz w:val="10"/>
                <w:szCs w:val="10"/>
                <w:lang w:val="fr-BE"/>
              </w:rPr>
              <w:t>28,00</w:t>
            </w:r>
          </w:p>
        </w:tc>
        <w:tc>
          <w:tcPr>
            <w:tcW w:w="0" w:type="auto"/>
            <w:shd w:val="clear" w:color="auto" w:fill="auto"/>
          </w:tcPr>
          <w:p w14:paraId="7B3E3AE8" w14:textId="77777777" w:rsidR="008C5CFA" w:rsidRPr="00A92B39" w:rsidRDefault="00E82A60" w:rsidP="00300A01">
            <w:pPr>
              <w:spacing w:before="0" w:after="0"/>
              <w:jc w:val="right"/>
              <w:rPr>
                <w:sz w:val="10"/>
                <w:szCs w:val="10"/>
                <w:lang w:val="fr-BE"/>
              </w:rPr>
            </w:pPr>
            <w:r w:rsidRPr="00A92B39">
              <w:rPr>
                <w:noProof/>
                <w:sz w:val="10"/>
                <w:szCs w:val="10"/>
                <w:lang w:val="fr-BE"/>
              </w:rPr>
              <w:t>15,00</w:t>
            </w:r>
          </w:p>
        </w:tc>
        <w:tc>
          <w:tcPr>
            <w:tcW w:w="0" w:type="auto"/>
            <w:shd w:val="clear" w:color="auto" w:fill="auto"/>
          </w:tcPr>
          <w:p w14:paraId="1D66E300" w14:textId="77777777" w:rsidR="008C5CFA" w:rsidRPr="00BA47B4" w:rsidRDefault="00E82A60" w:rsidP="00300A01">
            <w:pPr>
              <w:spacing w:before="0" w:after="0"/>
              <w:jc w:val="right"/>
              <w:rPr>
                <w:sz w:val="12"/>
                <w:szCs w:val="12"/>
                <w:lang w:val="fr-BE"/>
              </w:rPr>
            </w:pPr>
            <w:r w:rsidRPr="00A92B39">
              <w:rPr>
                <w:noProof/>
                <w:sz w:val="10"/>
                <w:szCs w:val="10"/>
                <w:lang w:val="fr-BE"/>
              </w:rPr>
              <w:t>13,00</w:t>
            </w:r>
          </w:p>
        </w:tc>
      </w:tr>
      <w:tr w:rsidR="006B2EC1" w14:paraId="7BEFAA6A" w14:textId="77777777" w:rsidTr="0047688D">
        <w:tc>
          <w:tcPr>
            <w:tcW w:w="0" w:type="auto"/>
            <w:shd w:val="clear" w:color="auto" w:fill="auto"/>
          </w:tcPr>
          <w:p w14:paraId="3A6553B7" w14:textId="77777777" w:rsidR="008C5CFA" w:rsidRPr="00BA47B4" w:rsidRDefault="00E82A60" w:rsidP="00300A01">
            <w:pPr>
              <w:spacing w:before="0" w:after="0"/>
              <w:rPr>
                <w:sz w:val="12"/>
                <w:szCs w:val="12"/>
                <w:lang w:val="fr-BE"/>
              </w:rPr>
            </w:pPr>
            <w:r>
              <w:rPr>
                <w:noProof/>
                <w:sz w:val="12"/>
                <w:szCs w:val="12"/>
                <w:lang w:val="fr-BE"/>
              </w:rPr>
              <w:t>CO02</w:t>
            </w:r>
          </w:p>
        </w:tc>
        <w:tc>
          <w:tcPr>
            <w:tcW w:w="0" w:type="auto"/>
            <w:shd w:val="clear" w:color="auto" w:fill="auto"/>
          </w:tcPr>
          <w:p w14:paraId="5C4971AA" w14:textId="77777777" w:rsidR="008C5CFA" w:rsidRPr="00BA47B4" w:rsidRDefault="00E82A60" w:rsidP="00300A01">
            <w:pPr>
              <w:spacing w:before="0" w:after="0"/>
              <w:rPr>
                <w:sz w:val="12"/>
                <w:szCs w:val="12"/>
                <w:lang w:val="fr-BE"/>
              </w:rPr>
            </w:pPr>
            <w:r>
              <w:rPr>
                <w:noProof/>
                <w:sz w:val="12"/>
                <w:szCs w:val="12"/>
                <w:lang w:val="fr-BE"/>
              </w:rPr>
              <w:t>długotrwale bezrobotni</w:t>
            </w:r>
          </w:p>
        </w:tc>
        <w:tc>
          <w:tcPr>
            <w:tcW w:w="0" w:type="auto"/>
            <w:shd w:val="clear" w:color="auto" w:fill="auto"/>
          </w:tcPr>
          <w:p w14:paraId="089A6CF7" w14:textId="77777777" w:rsidR="008C5CFA" w:rsidRPr="00BA47B4" w:rsidRDefault="00E82A60"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14:paraId="2752E9EB" w14:textId="77777777" w:rsidR="008C5CFA" w:rsidRPr="00BA47B4" w:rsidRDefault="008C5CFA" w:rsidP="00300A01">
            <w:pPr>
              <w:spacing w:before="0" w:after="0"/>
              <w:jc w:val="right"/>
              <w:rPr>
                <w:sz w:val="12"/>
                <w:szCs w:val="12"/>
                <w:lang w:val="fr-BE"/>
              </w:rPr>
            </w:pPr>
          </w:p>
        </w:tc>
        <w:tc>
          <w:tcPr>
            <w:tcW w:w="0" w:type="auto"/>
            <w:shd w:val="clear" w:color="auto" w:fill="auto"/>
          </w:tcPr>
          <w:p w14:paraId="32E499F7" w14:textId="77777777" w:rsidR="008C5CFA" w:rsidRPr="00BA47B4" w:rsidRDefault="008C5CFA" w:rsidP="00300A01">
            <w:pPr>
              <w:spacing w:before="0" w:after="0"/>
              <w:jc w:val="right"/>
              <w:rPr>
                <w:sz w:val="12"/>
                <w:szCs w:val="12"/>
                <w:lang w:val="fr-BE"/>
              </w:rPr>
            </w:pPr>
          </w:p>
        </w:tc>
        <w:tc>
          <w:tcPr>
            <w:tcW w:w="0" w:type="auto"/>
            <w:shd w:val="clear" w:color="auto" w:fill="auto"/>
          </w:tcPr>
          <w:p w14:paraId="06F3580C" w14:textId="77777777" w:rsidR="008C5CFA" w:rsidRPr="00BA47B4" w:rsidRDefault="008C5CFA" w:rsidP="00300A01">
            <w:pPr>
              <w:spacing w:before="0" w:after="0"/>
              <w:jc w:val="right"/>
              <w:rPr>
                <w:sz w:val="12"/>
                <w:szCs w:val="12"/>
                <w:lang w:val="fr-BE"/>
              </w:rPr>
            </w:pPr>
          </w:p>
        </w:tc>
        <w:tc>
          <w:tcPr>
            <w:tcW w:w="0" w:type="auto"/>
            <w:shd w:val="clear" w:color="auto" w:fill="auto"/>
          </w:tcPr>
          <w:p w14:paraId="40858A7E" w14:textId="77777777" w:rsidR="008C5CFA" w:rsidRPr="00BA47B4" w:rsidRDefault="00E82A60" w:rsidP="00300A01">
            <w:pPr>
              <w:spacing w:before="0" w:after="0"/>
              <w:jc w:val="right"/>
              <w:rPr>
                <w:sz w:val="12"/>
                <w:szCs w:val="12"/>
                <w:lang w:val="fr-BE"/>
              </w:rPr>
            </w:pPr>
            <w:r w:rsidRPr="00BA47B4">
              <w:rPr>
                <w:noProof/>
                <w:sz w:val="12"/>
                <w:szCs w:val="12"/>
                <w:lang w:val="fr-BE"/>
              </w:rPr>
              <w:t>1 108,00</w:t>
            </w:r>
          </w:p>
        </w:tc>
        <w:tc>
          <w:tcPr>
            <w:tcW w:w="0" w:type="auto"/>
            <w:shd w:val="clear" w:color="auto" w:fill="auto"/>
          </w:tcPr>
          <w:p w14:paraId="5E1EDE36" w14:textId="77777777" w:rsidR="008C5CFA" w:rsidRPr="00BA47B4" w:rsidRDefault="00E82A60" w:rsidP="00300A01">
            <w:pPr>
              <w:spacing w:before="0" w:after="0"/>
              <w:jc w:val="right"/>
              <w:rPr>
                <w:sz w:val="12"/>
                <w:szCs w:val="12"/>
                <w:lang w:val="fr-BE"/>
              </w:rPr>
            </w:pPr>
            <w:r w:rsidRPr="00BA47B4">
              <w:rPr>
                <w:noProof/>
                <w:sz w:val="12"/>
                <w:szCs w:val="12"/>
                <w:lang w:val="fr-BE"/>
              </w:rPr>
              <w:t>601,00</w:t>
            </w:r>
          </w:p>
        </w:tc>
        <w:tc>
          <w:tcPr>
            <w:tcW w:w="0" w:type="auto"/>
            <w:shd w:val="clear" w:color="auto" w:fill="auto"/>
          </w:tcPr>
          <w:p w14:paraId="613FA0AC" w14:textId="77777777" w:rsidR="008C5CFA" w:rsidRPr="00BA47B4" w:rsidRDefault="00E82A60" w:rsidP="00300A01">
            <w:pPr>
              <w:spacing w:before="0" w:after="0"/>
              <w:jc w:val="right"/>
              <w:rPr>
                <w:sz w:val="12"/>
                <w:szCs w:val="12"/>
                <w:lang w:val="fr-BE"/>
              </w:rPr>
            </w:pPr>
            <w:r w:rsidRPr="00BA47B4">
              <w:rPr>
                <w:noProof/>
                <w:sz w:val="12"/>
                <w:szCs w:val="12"/>
                <w:lang w:val="fr-BE"/>
              </w:rPr>
              <w:t>507,00</w:t>
            </w:r>
          </w:p>
        </w:tc>
        <w:tc>
          <w:tcPr>
            <w:tcW w:w="0" w:type="auto"/>
            <w:shd w:val="clear" w:color="auto" w:fill="auto"/>
          </w:tcPr>
          <w:p w14:paraId="6103C544" w14:textId="77777777" w:rsidR="008C5CFA" w:rsidRPr="00BA47B4" w:rsidRDefault="008C5CFA" w:rsidP="00300A01">
            <w:pPr>
              <w:spacing w:before="0" w:after="0"/>
              <w:jc w:val="right"/>
              <w:rPr>
                <w:sz w:val="12"/>
                <w:szCs w:val="12"/>
                <w:lang w:val="fr-BE"/>
              </w:rPr>
            </w:pPr>
          </w:p>
        </w:tc>
        <w:tc>
          <w:tcPr>
            <w:tcW w:w="0" w:type="auto"/>
            <w:shd w:val="clear" w:color="auto" w:fill="auto"/>
          </w:tcPr>
          <w:p w14:paraId="68B3B949" w14:textId="77777777" w:rsidR="008C5CFA" w:rsidRPr="00BA47B4" w:rsidRDefault="008C5CFA" w:rsidP="00300A01">
            <w:pPr>
              <w:spacing w:before="0" w:after="0"/>
              <w:jc w:val="right"/>
              <w:rPr>
                <w:sz w:val="12"/>
                <w:szCs w:val="12"/>
                <w:lang w:val="fr-BE"/>
              </w:rPr>
            </w:pPr>
          </w:p>
        </w:tc>
        <w:tc>
          <w:tcPr>
            <w:tcW w:w="0" w:type="auto"/>
            <w:shd w:val="clear" w:color="auto" w:fill="auto"/>
          </w:tcPr>
          <w:p w14:paraId="51D821D3" w14:textId="77777777" w:rsidR="008C5CFA" w:rsidRPr="00BA47B4" w:rsidRDefault="008C5CFA" w:rsidP="00300A01">
            <w:pPr>
              <w:spacing w:before="0" w:after="0"/>
              <w:jc w:val="right"/>
              <w:rPr>
                <w:sz w:val="12"/>
                <w:szCs w:val="12"/>
                <w:lang w:val="fr-BE"/>
              </w:rPr>
            </w:pPr>
          </w:p>
        </w:tc>
        <w:tc>
          <w:tcPr>
            <w:tcW w:w="0" w:type="auto"/>
          </w:tcPr>
          <w:p w14:paraId="6B96829A" w14:textId="77777777" w:rsidR="008C5CFA" w:rsidRPr="00A92B39" w:rsidRDefault="00E82A60" w:rsidP="00300A01">
            <w:pPr>
              <w:spacing w:before="0" w:after="0"/>
              <w:jc w:val="right"/>
              <w:rPr>
                <w:sz w:val="10"/>
                <w:szCs w:val="10"/>
                <w:lang w:val="fr-BE"/>
              </w:rPr>
            </w:pPr>
            <w:r w:rsidRPr="00A92B39">
              <w:rPr>
                <w:noProof/>
                <w:sz w:val="10"/>
                <w:szCs w:val="10"/>
                <w:lang w:val="fr-BE"/>
              </w:rPr>
              <w:t>1,00</w:t>
            </w:r>
          </w:p>
        </w:tc>
        <w:tc>
          <w:tcPr>
            <w:tcW w:w="0" w:type="auto"/>
            <w:shd w:val="clear" w:color="auto" w:fill="auto"/>
          </w:tcPr>
          <w:p w14:paraId="081D3DD1"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14:paraId="64D935BE" w14:textId="77777777" w:rsidR="008C5CFA" w:rsidRPr="00BA47B4" w:rsidRDefault="00E82A60" w:rsidP="00300A01">
            <w:pPr>
              <w:spacing w:before="0" w:after="0"/>
              <w:jc w:val="right"/>
              <w:rPr>
                <w:sz w:val="12"/>
                <w:szCs w:val="12"/>
                <w:lang w:val="fr-BE"/>
              </w:rPr>
            </w:pPr>
            <w:r w:rsidRPr="00A92B39">
              <w:rPr>
                <w:noProof/>
                <w:sz w:val="10"/>
                <w:szCs w:val="10"/>
                <w:lang w:val="fr-BE"/>
              </w:rPr>
              <w:t>1,00</w:t>
            </w:r>
          </w:p>
        </w:tc>
      </w:tr>
      <w:tr w:rsidR="006B2EC1" w14:paraId="45DCAE34" w14:textId="77777777" w:rsidTr="0047688D">
        <w:tc>
          <w:tcPr>
            <w:tcW w:w="0" w:type="auto"/>
            <w:shd w:val="clear" w:color="auto" w:fill="auto"/>
          </w:tcPr>
          <w:p w14:paraId="34699008" w14:textId="77777777" w:rsidR="008C5CFA" w:rsidRPr="00BA47B4" w:rsidRDefault="00E82A60" w:rsidP="00300A01">
            <w:pPr>
              <w:spacing w:before="0" w:after="0"/>
              <w:rPr>
                <w:sz w:val="12"/>
                <w:szCs w:val="12"/>
                <w:lang w:val="fr-BE"/>
              </w:rPr>
            </w:pPr>
            <w:r>
              <w:rPr>
                <w:noProof/>
                <w:sz w:val="12"/>
                <w:szCs w:val="12"/>
                <w:lang w:val="fr-BE"/>
              </w:rPr>
              <w:t>CO03</w:t>
            </w:r>
          </w:p>
        </w:tc>
        <w:tc>
          <w:tcPr>
            <w:tcW w:w="0" w:type="auto"/>
            <w:shd w:val="clear" w:color="auto" w:fill="auto"/>
          </w:tcPr>
          <w:p w14:paraId="50C74F8F" w14:textId="77777777" w:rsidR="008C5CFA" w:rsidRPr="00BA47B4" w:rsidRDefault="00E82A60" w:rsidP="00300A01">
            <w:pPr>
              <w:spacing w:before="0" w:after="0"/>
              <w:rPr>
                <w:sz w:val="12"/>
                <w:szCs w:val="12"/>
                <w:lang w:val="fr-BE"/>
              </w:rPr>
            </w:pPr>
            <w:r>
              <w:rPr>
                <w:noProof/>
                <w:sz w:val="12"/>
                <w:szCs w:val="12"/>
                <w:lang w:val="fr-BE"/>
              </w:rPr>
              <w:t>osoby bierne zawodowo</w:t>
            </w:r>
          </w:p>
        </w:tc>
        <w:tc>
          <w:tcPr>
            <w:tcW w:w="0" w:type="auto"/>
            <w:shd w:val="clear" w:color="auto" w:fill="auto"/>
          </w:tcPr>
          <w:p w14:paraId="0943F3D3" w14:textId="77777777" w:rsidR="008C5CFA" w:rsidRPr="00BA47B4" w:rsidRDefault="00E82A60"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14:paraId="0EED9516" w14:textId="77777777" w:rsidR="008C5CFA" w:rsidRPr="00BA47B4" w:rsidRDefault="008C5CFA" w:rsidP="00300A01">
            <w:pPr>
              <w:spacing w:before="0" w:after="0"/>
              <w:jc w:val="right"/>
              <w:rPr>
                <w:sz w:val="12"/>
                <w:szCs w:val="12"/>
                <w:lang w:val="fr-BE"/>
              </w:rPr>
            </w:pPr>
          </w:p>
        </w:tc>
        <w:tc>
          <w:tcPr>
            <w:tcW w:w="0" w:type="auto"/>
            <w:shd w:val="clear" w:color="auto" w:fill="auto"/>
          </w:tcPr>
          <w:p w14:paraId="4B7D1FA5" w14:textId="77777777" w:rsidR="008C5CFA" w:rsidRPr="00BA47B4" w:rsidRDefault="008C5CFA" w:rsidP="00300A01">
            <w:pPr>
              <w:spacing w:before="0" w:after="0"/>
              <w:jc w:val="right"/>
              <w:rPr>
                <w:sz w:val="12"/>
                <w:szCs w:val="12"/>
                <w:lang w:val="fr-BE"/>
              </w:rPr>
            </w:pPr>
          </w:p>
        </w:tc>
        <w:tc>
          <w:tcPr>
            <w:tcW w:w="0" w:type="auto"/>
            <w:shd w:val="clear" w:color="auto" w:fill="auto"/>
          </w:tcPr>
          <w:p w14:paraId="1A33CEB1" w14:textId="77777777" w:rsidR="008C5CFA" w:rsidRPr="00BA47B4" w:rsidRDefault="008C5CFA" w:rsidP="00300A01">
            <w:pPr>
              <w:spacing w:before="0" w:after="0"/>
              <w:jc w:val="right"/>
              <w:rPr>
                <w:sz w:val="12"/>
                <w:szCs w:val="12"/>
                <w:lang w:val="fr-BE"/>
              </w:rPr>
            </w:pPr>
          </w:p>
        </w:tc>
        <w:tc>
          <w:tcPr>
            <w:tcW w:w="0" w:type="auto"/>
            <w:shd w:val="clear" w:color="auto" w:fill="auto"/>
          </w:tcPr>
          <w:p w14:paraId="508D164B" w14:textId="77777777" w:rsidR="008C5CFA" w:rsidRPr="00BA47B4" w:rsidRDefault="00E82A60" w:rsidP="00300A01">
            <w:pPr>
              <w:spacing w:before="0" w:after="0"/>
              <w:jc w:val="right"/>
              <w:rPr>
                <w:sz w:val="12"/>
                <w:szCs w:val="12"/>
                <w:lang w:val="fr-BE"/>
              </w:rPr>
            </w:pPr>
            <w:r w:rsidRPr="00BA47B4">
              <w:rPr>
                <w:noProof/>
                <w:sz w:val="12"/>
                <w:szCs w:val="12"/>
                <w:lang w:val="fr-BE"/>
              </w:rPr>
              <w:t>787,00</w:t>
            </w:r>
          </w:p>
        </w:tc>
        <w:tc>
          <w:tcPr>
            <w:tcW w:w="0" w:type="auto"/>
            <w:shd w:val="clear" w:color="auto" w:fill="auto"/>
          </w:tcPr>
          <w:p w14:paraId="4F9D2BB6" w14:textId="77777777" w:rsidR="008C5CFA" w:rsidRPr="00BA47B4" w:rsidRDefault="00E82A60" w:rsidP="00300A01">
            <w:pPr>
              <w:spacing w:before="0" w:after="0"/>
              <w:jc w:val="right"/>
              <w:rPr>
                <w:sz w:val="12"/>
                <w:szCs w:val="12"/>
                <w:lang w:val="fr-BE"/>
              </w:rPr>
            </w:pPr>
            <w:r w:rsidRPr="00BA47B4">
              <w:rPr>
                <w:noProof/>
                <w:sz w:val="12"/>
                <w:szCs w:val="12"/>
                <w:lang w:val="fr-BE"/>
              </w:rPr>
              <w:t>328,00</w:t>
            </w:r>
          </w:p>
        </w:tc>
        <w:tc>
          <w:tcPr>
            <w:tcW w:w="0" w:type="auto"/>
            <w:shd w:val="clear" w:color="auto" w:fill="auto"/>
          </w:tcPr>
          <w:p w14:paraId="5BA2D79B" w14:textId="77777777" w:rsidR="008C5CFA" w:rsidRPr="00BA47B4" w:rsidRDefault="00E82A60" w:rsidP="00300A01">
            <w:pPr>
              <w:spacing w:before="0" w:after="0"/>
              <w:jc w:val="right"/>
              <w:rPr>
                <w:sz w:val="12"/>
                <w:szCs w:val="12"/>
                <w:lang w:val="fr-BE"/>
              </w:rPr>
            </w:pPr>
            <w:r w:rsidRPr="00BA47B4">
              <w:rPr>
                <w:noProof/>
                <w:sz w:val="12"/>
                <w:szCs w:val="12"/>
                <w:lang w:val="fr-BE"/>
              </w:rPr>
              <w:t>459,00</w:t>
            </w:r>
          </w:p>
        </w:tc>
        <w:tc>
          <w:tcPr>
            <w:tcW w:w="0" w:type="auto"/>
            <w:shd w:val="clear" w:color="auto" w:fill="auto"/>
          </w:tcPr>
          <w:p w14:paraId="11364421" w14:textId="77777777" w:rsidR="008C5CFA" w:rsidRPr="00BA47B4" w:rsidRDefault="008C5CFA" w:rsidP="00300A01">
            <w:pPr>
              <w:spacing w:before="0" w:after="0"/>
              <w:jc w:val="right"/>
              <w:rPr>
                <w:sz w:val="12"/>
                <w:szCs w:val="12"/>
                <w:lang w:val="fr-BE"/>
              </w:rPr>
            </w:pPr>
          </w:p>
        </w:tc>
        <w:tc>
          <w:tcPr>
            <w:tcW w:w="0" w:type="auto"/>
            <w:shd w:val="clear" w:color="auto" w:fill="auto"/>
          </w:tcPr>
          <w:p w14:paraId="69E07243" w14:textId="77777777" w:rsidR="008C5CFA" w:rsidRPr="00BA47B4" w:rsidRDefault="008C5CFA" w:rsidP="00300A01">
            <w:pPr>
              <w:spacing w:before="0" w:after="0"/>
              <w:jc w:val="right"/>
              <w:rPr>
                <w:sz w:val="12"/>
                <w:szCs w:val="12"/>
                <w:lang w:val="fr-BE"/>
              </w:rPr>
            </w:pPr>
          </w:p>
        </w:tc>
        <w:tc>
          <w:tcPr>
            <w:tcW w:w="0" w:type="auto"/>
            <w:shd w:val="clear" w:color="auto" w:fill="auto"/>
          </w:tcPr>
          <w:p w14:paraId="628C7118" w14:textId="77777777" w:rsidR="008C5CFA" w:rsidRPr="00BA47B4" w:rsidRDefault="008C5CFA" w:rsidP="00300A01">
            <w:pPr>
              <w:spacing w:before="0" w:after="0"/>
              <w:jc w:val="right"/>
              <w:rPr>
                <w:sz w:val="12"/>
                <w:szCs w:val="12"/>
                <w:lang w:val="fr-BE"/>
              </w:rPr>
            </w:pPr>
          </w:p>
        </w:tc>
        <w:tc>
          <w:tcPr>
            <w:tcW w:w="0" w:type="auto"/>
          </w:tcPr>
          <w:p w14:paraId="40DB901E" w14:textId="77777777" w:rsidR="008C5CFA" w:rsidRPr="00A92B39" w:rsidRDefault="00E82A60" w:rsidP="00300A01">
            <w:pPr>
              <w:spacing w:before="0" w:after="0"/>
              <w:jc w:val="right"/>
              <w:rPr>
                <w:sz w:val="10"/>
                <w:szCs w:val="10"/>
                <w:lang w:val="fr-BE"/>
              </w:rPr>
            </w:pPr>
            <w:r w:rsidRPr="00A92B39">
              <w:rPr>
                <w:noProof/>
                <w:sz w:val="10"/>
                <w:szCs w:val="10"/>
                <w:lang w:val="fr-BE"/>
              </w:rPr>
              <w:t>11,00</w:t>
            </w:r>
          </w:p>
        </w:tc>
        <w:tc>
          <w:tcPr>
            <w:tcW w:w="0" w:type="auto"/>
            <w:shd w:val="clear" w:color="auto" w:fill="auto"/>
          </w:tcPr>
          <w:p w14:paraId="4234A60A" w14:textId="77777777" w:rsidR="008C5CFA" w:rsidRPr="00A92B39" w:rsidRDefault="00E82A60" w:rsidP="00300A01">
            <w:pPr>
              <w:spacing w:before="0" w:after="0"/>
              <w:jc w:val="right"/>
              <w:rPr>
                <w:sz w:val="10"/>
                <w:szCs w:val="10"/>
                <w:lang w:val="fr-BE"/>
              </w:rPr>
            </w:pPr>
            <w:r w:rsidRPr="00A92B39">
              <w:rPr>
                <w:noProof/>
                <w:sz w:val="10"/>
                <w:szCs w:val="10"/>
                <w:lang w:val="fr-BE"/>
              </w:rPr>
              <w:t>7,00</w:t>
            </w:r>
          </w:p>
        </w:tc>
        <w:tc>
          <w:tcPr>
            <w:tcW w:w="0" w:type="auto"/>
            <w:shd w:val="clear" w:color="auto" w:fill="auto"/>
          </w:tcPr>
          <w:p w14:paraId="78D2B0FC" w14:textId="77777777" w:rsidR="008C5CFA" w:rsidRPr="00BA47B4" w:rsidRDefault="00E82A60" w:rsidP="00300A01">
            <w:pPr>
              <w:spacing w:before="0" w:after="0"/>
              <w:jc w:val="right"/>
              <w:rPr>
                <w:sz w:val="12"/>
                <w:szCs w:val="12"/>
                <w:lang w:val="fr-BE"/>
              </w:rPr>
            </w:pPr>
            <w:r w:rsidRPr="00A92B39">
              <w:rPr>
                <w:noProof/>
                <w:sz w:val="10"/>
                <w:szCs w:val="10"/>
                <w:lang w:val="fr-BE"/>
              </w:rPr>
              <w:t>4,00</w:t>
            </w:r>
          </w:p>
        </w:tc>
      </w:tr>
      <w:tr w:rsidR="006B2EC1" w14:paraId="7DAB7E43" w14:textId="77777777" w:rsidTr="0047688D">
        <w:tc>
          <w:tcPr>
            <w:tcW w:w="0" w:type="auto"/>
            <w:shd w:val="clear" w:color="auto" w:fill="auto"/>
          </w:tcPr>
          <w:p w14:paraId="3E13E811" w14:textId="77777777" w:rsidR="008C5CFA" w:rsidRPr="00BA47B4" w:rsidRDefault="00E82A60" w:rsidP="00300A01">
            <w:pPr>
              <w:spacing w:before="0" w:after="0"/>
              <w:rPr>
                <w:sz w:val="12"/>
                <w:szCs w:val="12"/>
                <w:lang w:val="fr-BE"/>
              </w:rPr>
            </w:pPr>
            <w:r>
              <w:rPr>
                <w:noProof/>
                <w:sz w:val="12"/>
                <w:szCs w:val="12"/>
                <w:lang w:val="fr-BE"/>
              </w:rPr>
              <w:t>CO04</w:t>
            </w:r>
          </w:p>
        </w:tc>
        <w:tc>
          <w:tcPr>
            <w:tcW w:w="0" w:type="auto"/>
            <w:shd w:val="clear" w:color="auto" w:fill="auto"/>
          </w:tcPr>
          <w:p w14:paraId="1CBAB297" w14:textId="77777777" w:rsidR="008C5CFA" w:rsidRPr="00BA47B4" w:rsidRDefault="00E82A60" w:rsidP="00300A01">
            <w:pPr>
              <w:spacing w:before="0" w:after="0"/>
              <w:rPr>
                <w:sz w:val="12"/>
                <w:szCs w:val="12"/>
                <w:lang w:val="fr-BE"/>
              </w:rPr>
            </w:pPr>
            <w:r>
              <w:rPr>
                <w:noProof/>
                <w:sz w:val="12"/>
                <w:szCs w:val="12"/>
                <w:lang w:val="fr-BE"/>
              </w:rPr>
              <w:t>osoby bierne zawodowo, nieuczestniczące w kształceniu ani szkoleniu</w:t>
            </w:r>
          </w:p>
        </w:tc>
        <w:tc>
          <w:tcPr>
            <w:tcW w:w="0" w:type="auto"/>
            <w:shd w:val="clear" w:color="auto" w:fill="auto"/>
          </w:tcPr>
          <w:p w14:paraId="4161F93C" w14:textId="77777777" w:rsidR="008C5CFA" w:rsidRPr="00BA47B4" w:rsidRDefault="00E82A60"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14:paraId="66A35D58" w14:textId="77777777" w:rsidR="008C5CFA" w:rsidRPr="00BA47B4" w:rsidRDefault="008C5CFA" w:rsidP="00300A01">
            <w:pPr>
              <w:spacing w:before="0" w:after="0"/>
              <w:jc w:val="right"/>
              <w:rPr>
                <w:sz w:val="12"/>
                <w:szCs w:val="12"/>
                <w:lang w:val="fr-BE"/>
              </w:rPr>
            </w:pPr>
          </w:p>
        </w:tc>
        <w:tc>
          <w:tcPr>
            <w:tcW w:w="0" w:type="auto"/>
            <w:shd w:val="clear" w:color="auto" w:fill="auto"/>
          </w:tcPr>
          <w:p w14:paraId="2440DE0D" w14:textId="77777777" w:rsidR="008C5CFA" w:rsidRPr="00BA47B4" w:rsidRDefault="008C5CFA" w:rsidP="00300A01">
            <w:pPr>
              <w:spacing w:before="0" w:after="0"/>
              <w:jc w:val="right"/>
              <w:rPr>
                <w:sz w:val="12"/>
                <w:szCs w:val="12"/>
                <w:lang w:val="fr-BE"/>
              </w:rPr>
            </w:pPr>
          </w:p>
        </w:tc>
        <w:tc>
          <w:tcPr>
            <w:tcW w:w="0" w:type="auto"/>
            <w:shd w:val="clear" w:color="auto" w:fill="auto"/>
          </w:tcPr>
          <w:p w14:paraId="67934D78" w14:textId="77777777" w:rsidR="008C5CFA" w:rsidRPr="00BA47B4" w:rsidRDefault="008C5CFA" w:rsidP="00300A01">
            <w:pPr>
              <w:spacing w:before="0" w:after="0"/>
              <w:jc w:val="right"/>
              <w:rPr>
                <w:sz w:val="12"/>
                <w:szCs w:val="12"/>
                <w:lang w:val="fr-BE"/>
              </w:rPr>
            </w:pPr>
          </w:p>
        </w:tc>
        <w:tc>
          <w:tcPr>
            <w:tcW w:w="0" w:type="auto"/>
            <w:shd w:val="clear" w:color="auto" w:fill="auto"/>
          </w:tcPr>
          <w:p w14:paraId="190FF001" w14:textId="77777777" w:rsidR="008C5CFA" w:rsidRPr="00BA47B4" w:rsidRDefault="00E82A60" w:rsidP="00300A01">
            <w:pPr>
              <w:spacing w:before="0" w:after="0"/>
              <w:jc w:val="right"/>
              <w:rPr>
                <w:sz w:val="12"/>
                <w:szCs w:val="12"/>
                <w:lang w:val="fr-BE"/>
              </w:rPr>
            </w:pPr>
            <w:r w:rsidRPr="00BA47B4">
              <w:rPr>
                <w:noProof/>
                <w:sz w:val="12"/>
                <w:szCs w:val="12"/>
                <w:lang w:val="fr-BE"/>
              </w:rPr>
              <w:t>110,00</w:t>
            </w:r>
          </w:p>
        </w:tc>
        <w:tc>
          <w:tcPr>
            <w:tcW w:w="0" w:type="auto"/>
            <w:shd w:val="clear" w:color="auto" w:fill="auto"/>
          </w:tcPr>
          <w:p w14:paraId="13771010" w14:textId="77777777" w:rsidR="008C5CFA" w:rsidRPr="00BA47B4" w:rsidRDefault="00E82A60" w:rsidP="00300A01">
            <w:pPr>
              <w:spacing w:before="0" w:after="0"/>
              <w:jc w:val="right"/>
              <w:rPr>
                <w:sz w:val="12"/>
                <w:szCs w:val="12"/>
                <w:lang w:val="fr-BE"/>
              </w:rPr>
            </w:pPr>
            <w:r w:rsidRPr="00BA47B4">
              <w:rPr>
                <w:noProof/>
                <w:sz w:val="12"/>
                <w:szCs w:val="12"/>
                <w:lang w:val="fr-BE"/>
              </w:rPr>
              <w:t>49,00</w:t>
            </w:r>
          </w:p>
        </w:tc>
        <w:tc>
          <w:tcPr>
            <w:tcW w:w="0" w:type="auto"/>
            <w:shd w:val="clear" w:color="auto" w:fill="auto"/>
          </w:tcPr>
          <w:p w14:paraId="59AFE40B" w14:textId="77777777" w:rsidR="008C5CFA" w:rsidRPr="00BA47B4" w:rsidRDefault="00E82A60" w:rsidP="00300A01">
            <w:pPr>
              <w:spacing w:before="0" w:after="0"/>
              <w:jc w:val="right"/>
              <w:rPr>
                <w:sz w:val="12"/>
                <w:szCs w:val="12"/>
                <w:lang w:val="fr-BE"/>
              </w:rPr>
            </w:pPr>
            <w:r w:rsidRPr="00BA47B4">
              <w:rPr>
                <w:noProof/>
                <w:sz w:val="12"/>
                <w:szCs w:val="12"/>
                <w:lang w:val="fr-BE"/>
              </w:rPr>
              <w:t>61,00</w:t>
            </w:r>
          </w:p>
        </w:tc>
        <w:tc>
          <w:tcPr>
            <w:tcW w:w="0" w:type="auto"/>
            <w:shd w:val="clear" w:color="auto" w:fill="auto"/>
          </w:tcPr>
          <w:p w14:paraId="4BCC569B" w14:textId="77777777" w:rsidR="008C5CFA" w:rsidRPr="00BA47B4" w:rsidRDefault="008C5CFA" w:rsidP="00300A01">
            <w:pPr>
              <w:spacing w:before="0" w:after="0"/>
              <w:jc w:val="right"/>
              <w:rPr>
                <w:sz w:val="12"/>
                <w:szCs w:val="12"/>
                <w:lang w:val="fr-BE"/>
              </w:rPr>
            </w:pPr>
          </w:p>
        </w:tc>
        <w:tc>
          <w:tcPr>
            <w:tcW w:w="0" w:type="auto"/>
            <w:shd w:val="clear" w:color="auto" w:fill="auto"/>
          </w:tcPr>
          <w:p w14:paraId="792365A0" w14:textId="77777777" w:rsidR="008C5CFA" w:rsidRPr="00BA47B4" w:rsidRDefault="008C5CFA" w:rsidP="00300A01">
            <w:pPr>
              <w:spacing w:before="0" w:after="0"/>
              <w:jc w:val="right"/>
              <w:rPr>
                <w:sz w:val="12"/>
                <w:szCs w:val="12"/>
                <w:lang w:val="fr-BE"/>
              </w:rPr>
            </w:pPr>
          </w:p>
        </w:tc>
        <w:tc>
          <w:tcPr>
            <w:tcW w:w="0" w:type="auto"/>
            <w:shd w:val="clear" w:color="auto" w:fill="auto"/>
          </w:tcPr>
          <w:p w14:paraId="5DFEABDA" w14:textId="77777777" w:rsidR="008C5CFA" w:rsidRPr="00BA47B4" w:rsidRDefault="008C5CFA" w:rsidP="00300A01">
            <w:pPr>
              <w:spacing w:before="0" w:after="0"/>
              <w:jc w:val="right"/>
              <w:rPr>
                <w:sz w:val="12"/>
                <w:szCs w:val="12"/>
                <w:lang w:val="fr-BE"/>
              </w:rPr>
            </w:pPr>
          </w:p>
        </w:tc>
        <w:tc>
          <w:tcPr>
            <w:tcW w:w="0" w:type="auto"/>
          </w:tcPr>
          <w:p w14:paraId="0E13A66F"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14:paraId="22E4BACE"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14:paraId="3BDF3971" w14:textId="77777777" w:rsidR="008C5CFA" w:rsidRPr="00BA47B4" w:rsidRDefault="00E82A60" w:rsidP="00300A01">
            <w:pPr>
              <w:spacing w:before="0" w:after="0"/>
              <w:jc w:val="right"/>
              <w:rPr>
                <w:sz w:val="12"/>
                <w:szCs w:val="12"/>
                <w:lang w:val="fr-BE"/>
              </w:rPr>
            </w:pPr>
            <w:r w:rsidRPr="00A92B39">
              <w:rPr>
                <w:noProof/>
                <w:sz w:val="10"/>
                <w:szCs w:val="10"/>
                <w:lang w:val="fr-BE"/>
              </w:rPr>
              <w:t>0,00</w:t>
            </w:r>
          </w:p>
        </w:tc>
      </w:tr>
      <w:tr w:rsidR="006B2EC1" w14:paraId="597A8371" w14:textId="77777777" w:rsidTr="0047688D">
        <w:tc>
          <w:tcPr>
            <w:tcW w:w="0" w:type="auto"/>
            <w:shd w:val="clear" w:color="auto" w:fill="auto"/>
          </w:tcPr>
          <w:p w14:paraId="3717C4DB" w14:textId="77777777" w:rsidR="008C5CFA" w:rsidRPr="00BA47B4" w:rsidRDefault="00E82A60" w:rsidP="00300A01">
            <w:pPr>
              <w:spacing w:before="0" w:after="0"/>
              <w:rPr>
                <w:sz w:val="12"/>
                <w:szCs w:val="12"/>
                <w:lang w:val="fr-BE"/>
              </w:rPr>
            </w:pPr>
            <w:r>
              <w:rPr>
                <w:noProof/>
                <w:sz w:val="12"/>
                <w:szCs w:val="12"/>
                <w:lang w:val="fr-BE"/>
              </w:rPr>
              <w:t>CO05</w:t>
            </w:r>
          </w:p>
        </w:tc>
        <w:tc>
          <w:tcPr>
            <w:tcW w:w="0" w:type="auto"/>
            <w:shd w:val="clear" w:color="auto" w:fill="auto"/>
          </w:tcPr>
          <w:p w14:paraId="25E7CA6B" w14:textId="77777777" w:rsidR="008C5CFA" w:rsidRPr="00BA47B4" w:rsidRDefault="00E82A60" w:rsidP="00300A01">
            <w:pPr>
              <w:spacing w:before="0" w:after="0"/>
              <w:rPr>
                <w:sz w:val="12"/>
                <w:szCs w:val="12"/>
                <w:lang w:val="fr-BE"/>
              </w:rPr>
            </w:pPr>
            <w:r>
              <w:rPr>
                <w:noProof/>
                <w:sz w:val="12"/>
                <w:szCs w:val="12"/>
                <w:lang w:val="fr-BE"/>
              </w:rPr>
              <w:t>osoby pracujące, łącznie z prowadzącymi działalność na własny rachunek</w:t>
            </w:r>
          </w:p>
        </w:tc>
        <w:tc>
          <w:tcPr>
            <w:tcW w:w="0" w:type="auto"/>
            <w:shd w:val="clear" w:color="auto" w:fill="auto"/>
          </w:tcPr>
          <w:p w14:paraId="484D41F0" w14:textId="77777777" w:rsidR="008C5CFA" w:rsidRPr="00BA47B4" w:rsidRDefault="00E82A60"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14:paraId="56E77093" w14:textId="77777777" w:rsidR="008C5CFA" w:rsidRPr="00BA47B4" w:rsidRDefault="008C5CFA" w:rsidP="00300A01">
            <w:pPr>
              <w:spacing w:before="0" w:after="0"/>
              <w:jc w:val="right"/>
              <w:rPr>
                <w:sz w:val="12"/>
                <w:szCs w:val="12"/>
                <w:lang w:val="fr-BE"/>
              </w:rPr>
            </w:pPr>
          </w:p>
        </w:tc>
        <w:tc>
          <w:tcPr>
            <w:tcW w:w="0" w:type="auto"/>
            <w:shd w:val="clear" w:color="auto" w:fill="auto"/>
          </w:tcPr>
          <w:p w14:paraId="07D68FD2" w14:textId="77777777" w:rsidR="008C5CFA" w:rsidRPr="00BA47B4" w:rsidRDefault="008C5CFA" w:rsidP="00300A01">
            <w:pPr>
              <w:spacing w:before="0" w:after="0"/>
              <w:jc w:val="right"/>
              <w:rPr>
                <w:sz w:val="12"/>
                <w:szCs w:val="12"/>
                <w:lang w:val="fr-BE"/>
              </w:rPr>
            </w:pPr>
          </w:p>
        </w:tc>
        <w:tc>
          <w:tcPr>
            <w:tcW w:w="0" w:type="auto"/>
            <w:shd w:val="clear" w:color="auto" w:fill="auto"/>
          </w:tcPr>
          <w:p w14:paraId="4D582BA7" w14:textId="77777777" w:rsidR="008C5CFA" w:rsidRPr="00BA47B4" w:rsidRDefault="008C5CFA" w:rsidP="00300A01">
            <w:pPr>
              <w:spacing w:before="0" w:after="0"/>
              <w:jc w:val="right"/>
              <w:rPr>
                <w:sz w:val="12"/>
                <w:szCs w:val="12"/>
                <w:lang w:val="fr-BE"/>
              </w:rPr>
            </w:pPr>
          </w:p>
        </w:tc>
        <w:tc>
          <w:tcPr>
            <w:tcW w:w="0" w:type="auto"/>
            <w:shd w:val="clear" w:color="auto" w:fill="auto"/>
          </w:tcPr>
          <w:p w14:paraId="4A8F80A1"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7E468DF4"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73C0D84D"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4836FC2E" w14:textId="77777777" w:rsidR="008C5CFA" w:rsidRPr="00BA47B4" w:rsidRDefault="008C5CFA" w:rsidP="00300A01">
            <w:pPr>
              <w:spacing w:before="0" w:after="0"/>
              <w:jc w:val="right"/>
              <w:rPr>
                <w:sz w:val="12"/>
                <w:szCs w:val="12"/>
                <w:lang w:val="fr-BE"/>
              </w:rPr>
            </w:pPr>
          </w:p>
        </w:tc>
        <w:tc>
          <w:tcPr>
            <w:tcW w:w="0" w:type="auto"/>
            <w:shd w:val="clear" w:color="auto" w:fill="auto"/>
          </w:tcPr>
          <w:p w14:paraId="00755472" w14:textId="77777777" w:rsidR="008C5CFA" w:rsidRPr="00BA47B4" w:rsidRDefault="008C5CFA" w:rsidP="00300A01">
            <w:pPr>
              <w:spacing w:before="0" w:after="0"/>
              <w:jc w:val="right"/>
              <w:rPr>
                <w:sz w:val="12"/>
                <w:szCs w:val="12"/>
                <w:lang w:val="fr-BE"/>
              </w:rPr>
            </w:pPr>
          </w:p>
        </w:tc>
        <w:tc>
          <w:tcPr>
            <w:tcW w:w="0" w:type="auto"/>
            <w:shd w:val="clear" w:color="auto" w:fill="auto"/>
          </w:tcPr>
          <w:p w14:paraId="303543D3" w14:textId="77777777" w:rsidR="008C5CFA" w:rsidRPr="00BA47B4" w:rsidRDefault="008C5CFA" w:rsidP="00300A01">
            <w:pPr>
              <w:spacing w:before="0" w:after="0"/>
              <w:jc w:val="right"/>
              <w:rPr>
                <w:sz w:val="12"/>
                <w:szCs w:val="12"/>
                <w:lang w:val="fr-BE"/>
              </w:rPr>
            </w:pPr>
          </w:p>
        </w:tc>
        <w:tc>
          <w:tcPr>
            <w:tcW w:w="0" w:type="auto"/>
          </w:tcPr>
          <w:p w14:paraId="0677C827"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14:paraId="3C463E9F"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14:paraId="6DDD2FAA" w14:textId="77777777" w:rsidR="008C5CFA" w:rsidRPr="00BA47B4" w:rsidRDefault="00E82A60" w:rsidP="00300A01">
            <w:pPr>
              <w:spacing w:before="0" w:after="0"/>
              <w:jc w:val="right"/>
              <w:rPr>
                <w:sz w:val="12"/>
                <w:szCs w:val="12"/>
                <w:lang w:val="fr-BE"/>
              </w:rPr>
            </w:pPr>
            <w:r w:rsidRPr="00A92B39">
              <w:rPr>
                <w:noProof/>
                <w:sz w:val="10"/>
                <w:szCs w:val="10"/>
                <w:lang w:val="fr-BE"/>
              </w:rPr>
              <w:t>0,00</w:t>
            </w:r>
          </w:p>
        </w:tc>
      </w:tr>
      <w:tr w:rsidR="006B2EC1" w14:paraId="3AA2609B" w14:textId="77777777" w:rsidTr="0047688D">
        <w:tc>
          <w:tcPr>
            <w:tcW w:w="0" w:type="auto"/>
            <w:shd w:val="clear" w:color="auto" w:fill="auto"/>
          </w:tcPr>
          <w:p w14:paraId="4C117B77" w14:textId="77777777" w:rsidR="008C5CFA" w:rsidRPr="00BA47B4" w:rsidRDefault="00E82A60" w:rsidP="00300A01">
            <w:pPr>
              <w:spacing w:before="0" w:after="0"/>
              <w:rPr>
                <w:sz w:val="12"/>
                <w:szCs w:val="12"/>
                <w:lang w:val="fr-BE"/>
              </w:rPr>
            </w:pPr>
            <w:r>
              <w:rPr>
                <w:noProof/>
                <w:sz w:val="12"/>
                <w:szCs w:val="12"/>
                <w:lang w:val="fr-BE"/>
              </w:rPr>
              <w:t>CO06</w:t>
            </w:r>
          </w:p>
        </w:tc>
        <w:tc>
          <w:tcPr>
            <w:tcW w:w="0" w:type="auto"/>
            <w:shd w:val="clear" w:color="auto" w:fill="auto"/>
          </w:tcPr>
          <w:p w14:paraId="55BA4FE8" w14:textId="77777777" w:rsidR="008C5CFA" w:rsidRPr="00BA47B4" w:rsidRDefault="00E82A60" w:rsidP="00300A01">
            <w:pPr>
              <w:spacing w:before="0" w:after="0"/>
              <w:rPr>
                <w:sz w:val="12"/>
                <w:szCs w:val="12"/>
                <w:lang w:val="fr-BE"/>
              </w:rPr>
            </w:pPr>
            <w:r>
              <w:rPr>
                <w:noProof/>
                <w:sz w:val="12"/>
                <w:szCs w:val="12"/>
                <w:lang w:val="fr-BE"/>
              </w:rPr>
              <w:t>osoby w wieku poniżej 25 lat</w:t>
            </w:r>
          </w:p>
        </w:tc>
        <w:tc>
          <w:tcPr>
            <w:tcW w:w="0" w:type="auto"/>
            <w:shd w:val="clear" w:color="auto" w:fill="auto"/>
          </w:tcPr>
          <w:p w14:paraId="679862A7" w14:textId="77777777" w:rsidR="008C5CFA" w:rsidRPr="00BA47B4" w:rsidRDefault="00E82A60"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14:paraId="5C0D85AB" w14:textId="77777777" w:rsidR="008C5CFA" w:rsidRPr="00BA47B4" w:rsidRDefault="008C5CFA" w:rsidP="00300A01">
            <w:pPr>
              <w:spacing w:before="0" w:after="0"/>
              <w:jc w:val="right"/>
              <w:rPr>
                <w:sz w:val="12"/>
                <w:szCs w:val="12"/>
                <w:lang w:val="fr-BE"/>
              </w:rPr>
            </w:pPr>
          </w:p>
        </w:tc>
        <w:tc>
          <w:tcPr>
            <w:tcW w:w="0" w:type="auto"/>
            <w:shd w:val="clear" w:color="auto" w:fill="auto"/>
          </w:tcPr>
          <w:p w14:paraId="0DCDEBA2" w14:textId="77777777" w:rsidR="008C5CFA" w:rsidRPr="00BA47B4" w:rsidRDefault="008C5CFA" w:rsidP="00300A01">
            <w:pPr>
              <w:spacing w:before="0" w:after="0"/>
              <w:jc w:val="right"/>
              <w:rPr>
                <w:sz w:val="12"/>
                <w:szCs w:val="12"/>
                <w:lang w:val="fr-BE"/>
              </w:rPr>
            </w:pPr>
          </w:p>
        </w:tc>
        <w:tc>
          <w:tcPr>
            <w:tcW w:w="0" w:type="auto"/>
            <w:shd w:val="clear" w:color="auto" w:fill="auto"/>
          </w:tcPr>
          <w:p w14:paraId="2FD558A7" w14:textId="77777777" w:rsidR="008C5CFA" w:rsidRPr="00BA47B4" w:rsidRDefault="008C5CFA" w:rsidP="00300A01">
            <w:pPr>
              <w:spacing w:before="0" w:after="0"/>
              <w:jc w:val="right"/>
              <w:rPr>
                <w:sz w:val="12"/>
                <w:szCs w:val="12"/>
                <w:lang w:val="fr-BE"/>
              </w:rPr>
            </w:pPr>
          </w:p>
        </w:tc>
        <w:tc>
          <w:tcPr>
            <w:tcW w:w="0" w:type="auto"/>
            <w:shd w:val="clear" w:color="auto" w:fill="auto"/>
          </w:tcPr>
          <w:p w14:paraId="26B6DE5A"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507CFACF"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65AEC86A"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7D4B75F4" w14:textId="77777777" w:rsidR="008C5CFA" w:rsidRPr="00BA47B4" w:rsidRDefault="008C5CFA" w:rsidP="00300A01">
            <w:pPr>
              <w:spacing w:before="0" w:after="0"/>
              <w:jc w:val="right"/>
              <w:rPr>
                <w:sz w:val="12"/>
                <w:szCs w:val="12"/>
                <w:lang w:val="fr-BE"/>
              </w:rPr>
            </w:pPr>
          </w:p>
        </w:tc>
        <w:tc>
          <w:tcPr>
            <w:tcW w:w="0" w:type="auto"/>
            <w:shd w:val="clear" w:color="auto" w:fill="auto"/>
          </w:tcPr>
          <w:p w14:paraId="52F8FD9D" w14:textId="77777777" w:rsidR="008C5CFA" w:rsidRPr="00BA47B4" w:rsidRDefault="008C5CFA" w:rsidP="00300A01">
            <w:pPr>
              <w:spacing w:before="0" w:after="0"/>
              <w:jc w:val="right"/>
              <w:rPr>
                <w:sz w:val="12"/>
                <w:szCs w:val="12"/>
                <w:lang w:val="fr-BE"/>
              </w:rPr>
            </w:pPr>
          </w:p>
        </w:tc>
        <w:tc>
          <w:tcPr>
            <w:tcW w:w="0" w:type="auto"/>
            <w:shd w:val="clear" w:color="auto" w:fill="auto"/>
          </w:tcPr>
          <w:p w14:paraId="35264022" w14:textId="77777777" w:rsidR="008C5CFA" w:rsidRPr="00BA47B4" w:rsidRDefault="008C5CFA" w:rsidP="00300A01">
            <w:pPr>
              <w:spacing w:before="0" w:after="0"/>
              <w:jc w:val="right"/>
              <w:rPr>
                <w:sz w:val="12"/>
                <w:szCs w:val="12"/>
                <w:lang w:val="fr-BE"/>
              </w:rPr>
            </w:pPr>
          </w:p>
        </w:tc>
        <w:tc>
          <w:tcPr>
            <w:tcW w:w="0" w:type="auto"/>
          </w:tcPr>
          <w:p w14:paraId="177738DD"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14:paraId="53CD27F6"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14:paraId="0082F29F" w14:textId="77777777" w:rsidR="008C5CFA" w:rsidRPr="00BA47B4" w:rsidRDefault="00E82A60" w:rsidP="00300A01">
            <w:pPr>
              <w:spacing w:before="0" w:after="0"/>
              <w:jc w:val="right"/>
              <w:rPr>
                <w:sz w:val="12"/>
                <w:szCs w:val="12"/>
                <w:lang w:val="fr-BE"/>
              </w:rPr>
            </w:pPr>
            <w:r w:rsidRPr="00A92B39">
              <w:rPr>
                <w:noProof/>
                <w:sz w:val="10"/>
                <w:szCs w:val="10"/>
                <w:lang w:val="fr-BE"/>
              </w:rPr>
              <w:t>0,00</w:t>
            </w:r>
          </w:p>
        </w:tc>
      </w:tr>
      <w:tr w:rsidR="006B2EC1" w14:paraId="3C2C4257" w14:textId="77777777" w:rsidTr="0047688D">
        <w:tc>
          <w:tcPr>
            <w:tcW w:w="0" w:type="auto"/>
            <w:shd w:val="clear" w:color="auto" w:fill="auto"/>
          </w:tcPr>
          <w:p w14:paraId="0260DF8C" w14:textId="77777777" w:rsidR="008C5CFA" w:rsidRPr="00BA47B4" w:rsidRDefault="00E82A60" w:rsidP="00300A01">
            <w:pPr>
              <w:spacing w:before="0" w:after="0"/>
              <w:rPr>
                <w:sz w:val="12"/>
                <w:szCs w:val="12"/>
                <w:lang w:val="fr-BE"/>
              </w:rPr>
            </w:pPr>
            <w:r>
              <w:rPr>
                <w:noProof/>
                <w:sz w:val="12"/>
                <w:szCs w:val="12"/>
                <w:lang w:val="fr-BE"/>
              </w:rPr>
              <w:t>CO07</w:t>
            </w:r>
          </w:p>
        </w:tc>
        <w:tc>
          <w:tcPr>
            <w:tcW w:w="0" w:type="auto"/>
            <w:shd w:val="clear" w:color="auto" w:fill="auto"/>
          </w:tcPr>
          <w:p w14:paraId="596CB681" w14:textId="77777777" w:rsidR="008C5CFA" w:rsidRPr="00BA47B4" w:rsidRDefault="00E82A60" w:rsidP="00300A01">
            <w:pPr>
              <w:spacing w:before="0" w:after="0"/>
              <w:rPr>
                <w:sz w:val="12"/>
                <w:szCs w:val="12"/>
                <w:lang w:val="fr-BE"/>
              </w:rPr>
            </w:pPr>
            <w:r>
              <w:rPr>
                <w:noProof/>
                <w:sz w:val="12"/>
                <w:szCs w:val="12"/>
                <w:lang w:val="fr-BE"/>
              </w:rPr>
              <w:t>osoby w wieku powyżej 54 lat</w:t>
            </w:r>
          </w:p>
        </w:tc>
        <w:tc>
          <w:tcPr>
            <w:tcW w:w="0" w:type="auto"/>
            <w:shd w:val="clear" w:color="auto" w:fill="auto"/>
          </w:tcPr>
          <w:p w14:paraId="3AA258FE" w14:textId="77777777" w:rsidR="008C5CFA" w:rsidRPr="00BA47B4" w:rsidRDefault="00E82A60"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14:paraId="013CE8DC" w14:textId="77777777" w:rsidR="008C5CFA" w:rsidRPr="00BA47B4" w:rsidRDefault="008C5CFA" w:rsidP="00300A01">
            <w:pPr>
              <w:spacing w:before="0" w:after="0"/>
              <w:jc w:val="right"/>
              <w:rPr>
                <w:sz w:val="12"/>
                <w:szCs w:val="12"/>
                <w:lang w:val="fr-BE"/>
              </w:rPr>
            </w:pPr>
          </w:p>
        </w:tc>
        <w:tc>
          <w:tcPr>
            <w:tcW w:w="0" w:type="auto"/>
            <w:shd w:val="clear" w:color="auto" w:fill="auto"/>
          </w:tcPr>
          <w:p w14:paraId="18BDF892" w14:textId="77777777" w:rsidR="008C5CFA" w:rsidRPr="00BA47B4" w:rsidRDefault="008C5CFA" w:rsidP="00300A01">
            <w:pPr>
              <w:spacing w:before="0" w:after="0"/>
              <w:jc w:val="right"/>
              <w:rPr>
                <w:sz w:val="12"/>
                <w:szCs w:val="12"/>
                <w:lang w:val="fr-BE"/>
              </w:rPr>
            </w:pPr>
          </w:p>
        </w:tc>
        <w:tc>
          <w:tcPr>
            <w:tcW w:w="0" w:type="auto"/>
            <w:shd w:val="clear" w:color="auto" w:fill="auto"/>
          </w:tcPr>
          <w:p w14:paraId="4AF5B8CE" w14:textId="77777777" w:rsidR="008C5CFA" w:rsidRPr="00BA47B4" w:rsidRDefault="008C5CFA" w:rsidP="00300A01">
            <w:pPr>
              <w:spacing w:before="0" w:after="0"/>
              <w:jc w:val="right"/>
              <w:rPr>
                <w:sz w:val="12"/>
                <w:szCs w:val="12"/>
                <w:lang w:val="fr-BE"/>
              </w:rPr>
            </w:pPr>
          </w:p>
        </w:tc>
        <w:tc>
          <w:tcPr>
            <w:tcW w:w="0" w:type="auto"/>
            <w:shd w:val="clear" w:color="auto" w:fill="auto"/>
          </w:tcPr>
          <w:p w14:paraId="4FBF8BEB" w14:textId="77777777" w:rsidR="008C5CFA" w:rsidRPr="00BA47B4" w:rsidRDefault="00E82A60" w:rsidP="00300A01">
            <w:pPr>
              <w:spacing w:before="0" w:after="0"/>
              <w:jc w:val="right"/>
              <w:rPr>
                <w:sz w:val="12"/>
                <w:szCs w:val="12"/>
                <w:lang w:val="fr-BE"/>
              </w:rPr>
            </w:pPr>
            <w:r w:rsidRPr="00BA47B4">
              <w:rPr>
                <w:noProof/>
                <w:sz w:val="12"/>
                <w:szCs w:val="12"/>
                <w:lang w:val="fr-BE"/>
              </w:rPr>
              <w:t>560,00</w:t>
            </w:r>
          </w:p>
        </w:tc>
        <w:tc>
          <w:tcPr>
            <w:tcW w:w="0" w:type="auto"/>
            <w:shd w:val="clear" w:color="auto" w:fill="auto"/>
          </w:tcPr>
          <w:p w14:paraId="026786B3" w14:textId="77777777" w:rsidR="008C5CFA" w:rsidRPr="00BA47B4" w:rsidRDefault="00E82A60" w:rsidP="00300A01">
            <w:pPr>
              <w:spacing w:before="0" w:after="0"/>
              <w:jc w:val="right"/>
              <w:rPr>
                <w:sz w:val="12"/>
                <w:szCs w:val="12"/>
                <w:lang w:val="fr-BE"/>
              </w:rPr>
            </w:pPr>
            <w:r w:rsidRPr="00BA47B4">
              <w:rPr>
                <w:noProof/>
                <w:sz w:val="12"/>
                <w:szCs w:val="12"/>
                <w:lang w:val="fr-BE"/>
              </w:rPr>
              <w:t>289,00</w:t>
            </w:r>
          </w:p>
        </w:tc>
        <w:tc>
          <w:tcPr>
            <w:tcW w:w="0" w:type="auto"/>
            <w:shd w:val="clear" w:color="auto" w:fill="auto"/>
          </w:tcPr>
          <w:p w14:paraId="58A729B6" w14:textId="77777777" w:rsidR="008C5CFA" w:rsidRPr="00BA47B4" w:rsidRDefault="00E82A60" w:rsidP="00300A01">
            <w:pPr>
              <w:spacing w:before="0" w:after="0"/>
              <w:jc w:val="right"/>
              <w:rPr>
                <w:sz w:val="12"/>
                <w:szCs w:val="12"/>
                <w:lang w:val="fr-BE"/>
              </w:rPr>
            </w:pPr>
            <w:r w:rsidRPr="00BA47B4">
              <w:rPr>
                <w:noProof/>
                <w:sz w:val="12"/>
                <w:szCs w:val="12"/>
                <w:lang w:val="fr-BE"/>
              </w:rPr>
              <w:t>271,00</w:t>
            </w:r>
          </w:p>
        </w:tc>
        <w:tc>
          <w:tcPr>
            <w:tcW w:w="0" w:type="auto"/>
            <w:shd w:val="clear" w:color="auto" w:fill="auto"/>
          </w:tcPr>
          <w:p w14:paraId="1FF81D2A" w14:textId="77777777" w:rsidR="008C5CFA" w:rsidRPr="00BA47B4" w:rsidRDefault="008C5CFA" w:rsidP="00300A01">
            <w:pPr>
              <w:spacing w:before="0" w:after="0"/>
              <w:jc w:val="right"/>
              <w:rPr>
                <w:sz w:val="12"/>
                <w:szCs w:val="12"/>
                <w:lang w:val="fr-BE"/>
              </w:rPr>
            </w:pPr>
          </w:p>
        </w:tc>
        <w:tc>
          <w:tcPr>
            <w:tcW w:w="0" w:type="auto"/>
            <w:shd w:val="clear" w:color="auto" w:fill="auto"/>
          </w:tcPr>
          <w:p w14:paraId="0C8389E9" w14:textId="77777777" w:rsidR="008C5CFA" w:rsidRPr="00BA47B4" w:rsidRDefault="008C5CFA" w:rsidP="00300A01">
            <w:pPr>
              <w:spacing w:before="0" w:after="0"/>
              <w:jc w:val="right"/>
              <w:rPr>
                <w:sz w:val="12"/>
                <w:szCs w:val="12"/>
                <w:lang w:val="fr-BE"/>
              </w:rPr>
            </w:pPr>
          </w:p>
        </w:tc>
        <w:tc>
          <w:tcPr>
            <w:tcW w:w="0" w:type="auto"/>
            <w:shd w:val="clear" w:color="auto" w:fill="auto"/>
          </w:tcPr>
          <w:p w14:paraId="2D4E6538" w14:textId="77777777" w:rsidR="008C5CFA" w:rsidRPr="00BA47B4" w:rsidRDefault="008C5CFA" w:rsidP="00300A01">
            <w:pPr>
              <w:spacing w:before="0" w:after="0"/>
              <w:jc w:val="right"/>
              <w:rPr>
                <w:sz w:val="12"/>
                <w:szCs w:val="12"/>
                <w:lang w:val="fr-BE"/>
              </w:rPr>
            </w:pPr>
          </w:p>
        </w:tc>
        <w:tc>
          <w:tcPr>
            <w:tcW w:w="0" w:type="auto"/>
          </w:tcPr>
          <w:p w14:paraId="338DEA50" w14:textId="77777777" w:rsidR="008C5CFA" w:rsidRPr="00A92B39" w:rsidRDefault="00E82A60" w:rsidP="00300A01">
            <w:pPr>
              <w:spacing w:before="0" w:after="0"/>
              <w:jc w:val="right"/>
              <w:rPr>
                <w:sz w:val="10"/>
                <w:szCs w:val="10"/>
                <w:lang w:val="fr-BE"/>
              </w:rPr>
            </w:pPr>
            <w:r w:rsidRPr="00A92B39">
              <w:rPr>
                <w:noProof/>
                <w:sz w:val="10"/>
                <w:szCs w:val="10"/>
                <w:lang w:val="fr-BE"/>
              </w:rPr>
              <w:t>7,00</w:t>
            </w:r>
          </w:p>
        </w:tc>
        <w:tc>
          <w:tcPr>
            <w:tcW w:w="0" w:type="auto"/>
            <w:shd w:val="clear" w:color="auto" w:fill="auto"/>
          </w:tcPr>
          <w:p w14:paraId="6662D826" w14:textId="77777777" w:rsidR="008C5CFA" w:rsidRPr="00A92B39" w:rsidRDefault="00E82A60" w:rsidP="00300A01">
            <w:pPr>
              <w:spacing w:before="0" w:after="0"/>
              <w:jc w:val="right"/>
              <w:rPr>
                <w:sz w:val="10"/>
                <w:szCs w:val="10"/>
                <w:lang w:val="fr-BE"/>
              </w:rPr>
            </w:pPr>
            <w:r w:rsidRPr="00A92B39">
              <w:rPr>
                <w:noProof/>
                <w:sz w:val="10"/>
                <w:szCs w:val="10"/>
                <w:lang w:val="fr-BE"/>
              </w:rPr>
              <w:t>1,00</w:t>
            </w:r>
          </w:p>
        </w:tc>
        <w:tc>
          <w:tcPr>
            <w:tcW w:w="0" w:type="auto"/>
            <w:shd w:val="clear" w:color="auto" w:fill="auto"/>
          </w:tcPr>
          <w:p w14:paraId="790B28E1" w14:textId="77777777" w:rsidR="008C5CFA" w:rsidRPr="00BA47B4" w:rsidRDefault="00E82A60" w:rsidP="00300A01">
            <w:pPr>
              <w:spacing w:before="0" w:after="0"/>
              <w:jc w:val="right"/>
              <w:rPr>
                <w:sz w:val="12"/>
                <w:szCs w:val="12"/>
                <w:lang w:val="fr-BE"/>
              </w:rPr>
            </w:pPr>
            <w:r w:rsidRPr="00A92B39">
              <w:rPr>
                <w:noProof/>
                <w:sz w:val="10"/>
                <w:szCs w:val="10"/>
                <w:lang w:val="fr-BE"/>
              </w:rPr>
              <w:t>6,00</w:t>
            </w:r>
          </w:p>
        </w:tc>
      </w:tr>
      <w:tr w:rsidR="006B2EC1" w14:paraId="0485A2E4" w14:textId="77777777" w:rsidTr="0047688D">
        <w:tc>
          <w:tcPr>
            <w:tcW w:w="0" w:type="auto"/>
            <w:shd w:val="clear" w:color="auto" w:fill="auto"/>
          </w:tcPr>
          <w:p w14:paraId="08F9CE2A" w14:textId="77777777" w:rsidR="008C5CFA" w:rsidRPr="00BA47B4" w:rsidRDefault="00E82A60" w:rsidP="00300A01">
            <w:pPr>
              <w:spacing w:before="0" w:after="0"/>
              <w:rPr>
                <w:sz w:val="12"/>
                <w:szCs w:val="12"/>
                <w:lang w:val="fr-BE"/>
              </w:rPr>
            </w:pPr>
            <w:r>
              <w:rPr>
                <w:noProof/>
                <w:sz w:val="12"/>
                <w:szCs w:val="12"/>
                <w:lang w:val="fr-BE"/>
              </w:rPr>
              <w:t>CO08</w:t>
            </w:r>
          </w:p>
        </w:tc>
        <w:tc>
          <w:tcPr>
            <w:tcW w:w="0" w:type="auto"/>
            <w:shd w:val="clear" w:color="auto" w:fill="auto"/>
          </w:tcPr>
          <w:p w14:paraId="7266CA77" w14:textId="77777777" w:rsidR="008C5CFA" w:rsidRPr="00BA47B4" w:rsidRDefault="00E82A60" w:rsidP="00300A01">
            <w:pPr>
              <w:spacing w:before="0" w:after="0"/>
              <w:rPr>
                <w:sz w:val="12"/>
                <w:szCs w:val="12"/>
                <w:lang w:val="fr-BE"/>
              </w:rPr>
            </w:pPr>
            <w:r>
              <w:rPr>
                <w:noProof/>
                <w:sz w:val="12"/>
                <w:szCs w:val="12"/>
                <w:lang w:val="fr-BE"/>
              </w:rPr>
              <w:t>osoby powyżej 54 lat, które są bezrobotne, łącznie z długotrwale bezrobotnymi, lub są bierne zawodowo i nie uczestniczą w kształceniu ani szkoleniu</w:t>
            </w:r>
          </w:p>
        </w:tc>
        <w:tc>
          <w:tcPr>
            <w:tcW w:w="0" w:type="auto"/>
            <w:shd w:val="clear" w:color="auto" w:fill="auto"/>
          </w:tcPr>
          <w:p w14:paraId="6C7233AF" w14:textId="77777777" w:rsidR="008C5CFA" w:rsidRPr="00BA47B4" w:rsidRDefault="00E82A60"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14:paraId="7435B589" w14:textId="77777777" w:rsidR="008C5CFA" w:rsidRPr="00BA47B4" w:rsidRDefault="008C5CFA" w:rsidP="00300A01">
            <w:pPr>
              <w:spacing w:before="0" w:after="0"/>
              <w:jc w:val="right"/>
              <w:rPr>
                <w:sz w:val="12"/>
                <w:szCs w:val="12"/>
                <w:lang w:val="fr-BE"/>
              </w:rPr>
            </w:pPr>
          </w:p>
        </w:tc>
        <w:tc>
          <w:tcPr>
            <w:tcW w:w="0" w:type="auto"/>
            <w:shd w:val="clear" w:color="auto" w:fill="auto"/>
          </w:tcPr>
          <w:p w14:paraId="4B823770" w14:textId="77777777" w:rsidR="008C5CFA" w:rsidRPr="00BA47B4" w:rsidRDefault="008C5CFA" w:rsidP="00300A01">
            <w:pPr>
              <w:spacing w:before="0" w:after="0"/>
              <w:jc w:val="right"/>
              <w:rPr>
                <w:sz w:val="12"/>
                <w:szCs w:val="12"/>
                <w:lang w:val="fr-BE"/>
              </w:rPr>
            </w:pPr>
          </w:p>
        </w:tc>
        <w:tc>
          <w:tcPr>
            <w:tcW w:w="0" w:type="auto"/>
            <w:shd w:val="clear" w:color="auto" w:fill="auto"/>
          </w:tcPr>
          <w:p w14:paraId="5D95A877" w14:textId="77777777" w:rsidR="008C5CFA" w:rsidRPr="00BA47B4" w:rsidRDefault="008C5CFA" w:rsidP="00300A01">
            <w:pPr>
              <w:spacing w:before="0" w:after="0"/>
              <w:jc w:val="right"/>
              <w:rPr>
                <w:sz w:val="12"/>
                <w:szCs w:val="12"/>
                <w:lang w:val="fr-BE"/>
              </w:rPr>
            </w:pPr>
          </w:p>
        </w:tc>
        <w:tc>
          <w:tcPr>
            <w:tcW w:w="0" w:type="auto"/>
            <w:shd w:val="clear" w:color="auto" w:fill="auto"/>
          </w:tcPr>
          <w:p w14:paraId="516CC2D5" w14:textId="77777777" w:rsidR="008C5CFA" w:rsidRPr="00BA47B4" w:rsidRDefault="00E82A60" w:rsidP="00300A01">
            <w:pPr>
              <w:spacing w:before="0" w:after="0"/>
              <w:jc w:val="right"/>
              <w:rPr>
                <w:sz w:val="12"/>
                <w:szCs w:val="12"/>
                <w:lang w:val="fr-BE"/>
              </w:rPr>
            </w:pPr>
            <w:r w:rsidRPr="00BA47B4">
              <w:rPr>
                <w:noProof/>
                <w:sz w:val="12"/>
                <w:szCs w:val="12"/>
                <w:lang w:val="fr-BE"/>
              </w:rPr>
              <w:t>340,00</w:t>
            </w:r>
          </w:p>
        </w:tc>
        <w:tc>
          <w:tcPr>
            <w:tcW w:w="0" w:type="auto"/>
            <w:shd w:val="clear" w:color="auto" w:fill="auto"/>
          </w:tcPr>
          <w:p w14:paraId="547B4AE8" w14:textId="77777777" w:rsidR="008C5CFA" w:rsidRPr="00BA47B4" w:rsidRDefault="00E82A60" w:rsidP="00300A01">
            <w:pPr>
              <w:spacing w:before="0" w:after="0"/>
              <w:jc w:val="right"/>
              <w:rPr>
                <w:sz w:val="12"/>
                <w:szCs w:val="12"/>
                <w:lang w:val="fr-BE"/>
              </w:rPr>
            </w:pPr>
            <w:r w:rsidRPr="00BA47B4">
              <w:rPr>
                <w:noProof/>
                <w:sz w:val="12"/>
                <w:szCs w:val="12"/>
                <w:lang w:val="fr-BE"/>
              </w:rPr>
              <w:t>203,00</w:t>
            </w:r>
          </w:p>
        </w:tc>
        <w:tc>
          <w:tcPr>
            <w:tcW w:w="0" w:type="auto"/>
            <w:shd w:val="clear" w:color="auto" w:fill="auto"/>
          </w:tcPr>
          <w:p w14:paraId="18F584D8" w14:textId="77777777" w:rsidR="008C5CFA" w:rsidRPr="00BA47B4" w:rsidRDefault="00E82A60" w:rsidP="00300A01">
            <w:pPr>
              <w:spacing w:before="0" w:after="0"/>
              <w:jc w:val="right"/>
              <w:rPr>
                <w:sz w:val="12"/>
                <w:szCs w:val="12"/>
                <w:lang w:val="fr-BE"/>
              </w:rPr>
            </w:pPr>
            <w:r w:rsidRPr="00BA47B4">
              <w:rPr>
                <w:noProof/>
                <w:sz w:val="12"/>
                <w:szCs w:val="12"/>
                <w:lang w:val="fr-BE"/>
              </w:rPr>
              <w:t>137,00</w:t>
            </w:r>
          </w:p>
        </w:tc>
        <w:tc>
          <w:tcPr>
            <w:tcW w:w="0" w:type="auto"/>
            <w:shd w:val="clear" w:color="auto" w:fill="auto"/>
          </w:tcPr>
          <w:p w14:paraId="1DF60ECA" w14:textId="77777777" w:rsidR="008C5CFA" w:rsidRPr="00BA47B4" w:rsidRDefault="008C5CFA" w:rsidP="00300A01">
            <w:pPr>
              <w:spacing w:before="0" w:after="0"/>
              <w:jc w:val="right"/>
              <w:rPr>
                <w:sz w:val="12"/>
                <w:szCs w:val="12"/>
                <w:lang w:val="fr-BE"/>
              </w:rPr>
            </w:pPr>
          </w:p>
        </w:tc>
        <w:tc>
          <w:tcPr>
            <w:tcW w:w="0" w:type="auto"/>
            <w:shd w:val="clear" w:color="auto" w:fill="auto"/>
          </w:tcPr>
          <w:p w14:paraId="03A21754" w14:textId="77777777" w:rsidR="008C5CFA" w:rsidRPr="00BA47B4" w:rsidRDefault="008C5CFA" w:rsidP="00300A01">
            <w:pPr>
              <w:spacing w:before="0" w:after="0"/>
              <w:jc w:val="right"/>
              <w:rPr>
                <w:sz w:val="12"/>
                <w:szCs w:val="12"/>
                <w:lang w:val="fr-BE"/>
              </w:rPr>
            </w:pPr>
          </w:p>
        </w:tc>
        <w:tc>
          <w:tcPr>
            <w:tcW w:w="0" w:type="auto"/>
            <w:shd w:val="clear" w:color="auto" w:fill="auto"/>
          </w:tcPr>
          <w:p w14:paraId="7C65B0FA" w14:textId="77777777" w:rsidR="008C5CFA" w:rsidRPr="00BA47B4" w:rsidRDefault="008C5CFA" w:rsidP="00300A01">
            <w:pPr>
              <w:spacing w:before="0" w:after="0"/>
              <w:jc w:val="right"/>
              <w:rPr>
                <w:sz w:val="12"/>
                <w:szCs w:val="12"/>
                <w:lang w:val="fr-BE"/>
              </w:rPr>
            </w:pPr>
          </w:p>
        </w:tc>
        <w:tc>
          <w:tcPr>
            <w:tcW w:w="0" w:type="auto"/>
          </w:tcPr>
          <w:p w14:paraId="64436140" w14:textId="77777777" w:rsidR="008C5CFA" w:rsidRPr="00A92B39" w:rsidRDefault="00E82A60" w:rsidP="00300A01">
            <w:pPr>
              <w:spacing w:before="0" w:after="0"/>
              <w:jc w:val="right"/>
              <w:rPr>
                <w:sz w:val="10"/>
                <w:szCs w:val="10"/>
                <w:lang w:val="fr-BE"/>
              </w:rPr>
            </w:pPr>
            <w:r w:rsidRPr="00A92B39">
              <w:rPr>
                <w:noProof/>
                <w:sz w:val="10"/>
                <w:szCs w:val="10"/>
                <w:lang w:val="fr-BE"/>
              </w:rPr>
              <w:t>6,00</w:t>
            </w:r>
          </w:p>
        </w:tc>
        <w:tc>
          <w:tcPr>
            <w:tcW w:w="0" w:type="auto"/>
            <w:shd w:val="clear" w:color="auto" w:fill="auto"/>
          </w:tcPr>
          <w:p w14:paraId="07F6CCF7" w14:textId="77777777" w:rsidR="008C5CFA" w:rsidRPr="00A92B39" w:rsidRDefault="00E82A60" w:rsidP="00300A01">
            <w:pPr>
              <w:spacing w:before="0" w:after="0"/>
              <w:jc w:val="right"/>
              <w:rPr>
                <w:sz w:val="10"/>
                <w:szCs w:val="10"/>
                <w:lang w:val="fr-BE"/>
              </w:rPr>
            </w:pPr>
            <w:r w:rsidRPr="00A92B39">
              <w:rPr>
                <w:noProof/>
                <w:sz w:val="10"/>
                <w:szCs w:val="10"/>
                <w:lang w:val="fr-BE"/>
              </w:rPr>
              <w:t>1,00</w:t>
            </w:r>
          </w:p>
        </w:tc>
        <w:tc>
          <w:tcPr>
            <w:tcW w:w="0" w:type="auto"/>
            <w:shd w:val="clear" w:color="auto" w:fill="auto"/>
          </w:tcPr>
          <w:p w14:paraId="2221C4BF" w14:textId="77777777" w:rsidR="008C5CFA" w:rsidRPr="00BA47B4" w:rsidRDefault="00E82A60" w:rsidP="00300A01">
            <w:pPr>
              <w:spacing w:before="0" w:after="0"/>
              <w:jc w:val="right"/>
              <w:rPr>
                <w:sz w:val="12"/>
                <w:szCs w:val="12"/>
                <w:lang w:val="fr-BE"/>
              </w:rPr>
            </w:pPr>
            <w:r w:rsidRPr="00A92B39">
              <w:rPr>
                <w:noProof/>
                <w:sz w:val="10"/>
                <w:szCs w:val="10"/>
                <w:lang w:val="fr-BE"/>
              </w:rPr>
              <w:t>5,00</w:t>
            </w:r>
          </w:p>
        </w:tc>
      </w:tr>
      <w:tr w:rsidR="006B2EC1" w14:paraId="5EEAAF5E" w14:textId="77777777" w:rsidTr="0047688D">
        <w:tc>
          <w:tcPr>
            <w:tcW w:w="0" w:type="auto"/>
            <w:shd w:val="clear" w:color="auto" w:fill="auto"/>
          </w:tcPr>
          <w:p w14:paraId="15C6AD98" w14:textId="77777777" w:rsidR="008C5CFA" w:rsidRPr="00BA47B4" w:rsidRDefault="00E82A60" w:rsidP="00300A01">
            <w:pPr>
              <w:spacing w:before="0" w:after="0"/>
              <w:rPr>
                <w:sz w:val="12"/>
                <w:szCs w:val="12"/>
                <w:lang w:val="fr-BE"/>
              </w:rPr>
            </w:pPr>
            <w:r>
              <w:rPr>
                <w:noProof/>
                <w:sz w:val="12"/>
                <w:szCs w:val="12"/>
                <w:lang w:val="fr-BE"/>
              </w:rPr>
              <w:t>CO09</w:t>
            </w:r>
          </w:p>
        </w:tc>
        <w:tc>
          <w:tcPr>
            <w:tcW w:w="0" w:type="auto"/>
            <w:shd w:val="clear" w:color="auto" w:fill="auto"/>
          </w:tcPr>
          <w:p w14:paraId="01FE4C81" w14:textId="77777777" w:rsidR="008C5CFA" w:rsidRPr="00BA47B4" w:rsidRDefault="00E82A60" w:rsidP="00300A01">
            <w:pPr>
              <w:spacing w:before="0" w:after="0"/>
              <w:rPr>
                <w:sz w:val="12"/>
                <w:szCs w:val="12"/>
                <w:lang w:val="fr-BE"/>
              </w:rPr>
            </w:pPr>
            <w:r>
              <w:rPr>
                <w:noProof/>
                <w:sz w:val="12"/>
                <w:szCs w:val="12"/>
                <w:lang w:val="fr-BE"/>
              </w:rPr>
              <w:t>osoby z wykształceniem podstawowym (ISCED 1) lub średnim I stopnia (ISCED 2)</w:t>
            </w:r>
          </w:p>
        </w:tc>
        <w:tc>
          <w:tcPr>
            <w:tcW w:w="0" w:type="auto"/>
            <w:shd w:val="clear" w:color="auto" w:fill="auto"/>
          </w:tcPr>
          <w:p w14:paraId="13C9B1C1" w14:textId="77777777" w:rsidR="008C5CFA" w:rsidRPr="00BA47B4" w:rsidRDefault="00E82A60"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14:paraId="3BB4F822" w14:textId="77777777" w:rsidR="008C5CFA" w:rsidRPr="00BA47B4" w:rsidRDefault="008C5CFA" w:rsidP="00300A01">
            <w:pPr>
              <w:spacing w:before="0" w:after="0"/>
              <w:jc w:val="right"/>
              <w:rPr>
                <w:sz w:val="12"/>
                <w:szCs w:val="12"/>
                <w:lang w:val="fr-BE"/>
              </w:rPr>
            </w:pPr>
          </w:p>
        </w:tc>
        <w:tc>
          <w:tcPr>
            <w:tcW w:w="0" w:type="auto"/>
            <w:shd w:val="clear" w:color="auto" w:fill="auto"/>
          </w:tcPr>
          <w:p w14:paraId="289FF19E" w14:textId="77777777" w:rsidR="008C5CFA" w:rsidRPr="00BA47B4" w:rsidRDefault="008C5CFA" w:rsidP="00300A01">
            <w:pPr>
              <w:spacing w:before="0" w:after="0"/>
              <w:jc w:val="right"/>
              <w:rPr>
                <w:sz w:val="12"/>
                <w:szCs w:val="12"/>
                <w:lang w:val="fr-BE"/>
              </w:rPr>
            </w:pPr>
          </w:p>
        </w:tc>
        <w:tc>
          <w:tcPr>
            <w:tcW w:w="0" w:type="auto"/>
            <w:shd w:val="clear" w:color="auto" w:fill="auto"/>
          </w:tcPr>
          <w:p w14:paraId="1B04F5E5" w14:textId="77777777" w:rsidR="008C5CFA" w:rsidRPr="00BA47B4" w:rsidRDefault="008C5CFA" w:rsidP="00300A01">
            <w:pPr>
              <w:spacing w:before="0" w:after="0"/>
              <w:jc w:val="right"/>
              <w:rPr>
                <w:sz w:val="12"/>
                <w:szCs w:val="12"/>
                <w:lang w:val="fr-BE"/>
              </w:rPr>
            </w:pPr>
          </w:p>
        </w:tc>
        <w:tc>
          <w:tcPr>
            <w:tcW w:w="0" w:type="auto"/>
            <w:shd w:val="clear" w:color="auto" w:fill="auto"/>
          </w:tcPr>
          <w:p w14:paraId="285A0E36" w14:textId="77777777" w:rsidR="008C5CFA" w:rsidRPr="00BA47B4" w:rsidRDefault="00E82A60" w:rsidP="00300A01">
            <w:pPr>
              <w:spacing w:before="0" w:after="0"/>
              <w:jc w:val="right"/>
              <w:rPr>
                <w:sz w:val="12"/>
                <w:szCs w:val="12"/>
                <w:lang w:val="fr-BE"/>
              </w:rPr>
            </w:pPr>
            <w:r w:rsidRPr="00BA47B4">
              <w:rPr>
                <w:noProof/>
                <w:sz w:val="12"/>
                <w:szCs w:val="12"/>
                <w:lang w:val="fr-BE"/>
              </w:rPr>
              <w:t>263,00</w:t>
            </w:r>
          </w:p>
        </w:tc>
        <w:tc>
          <w:tcPr>
            <w:tcW w:w="0" w:type="auto"/>
            <w:shd w:val="clear" w:color="auto" w:fill="auto"/>
          </w:tcPr>
          <w:p w14:paraId="21DFF40D" w14:textId="77777777" w:rsidR="008C5CFA" w:rsidRPr="00BA47B4" w:rsidRDefault="00E82A60" w:rsidP="00300A01">
            <w:pPr>
              <w:spacing w:before="0" w:after="0"/>
              <w:jc w:val="right"/>
              <w:rPr>
                <w:sz w:val="12"/>
                <w:szCs w:val="12"/>
                <w:lang w:val="fr-BE"/>
              </w:rPr>
            </w:pPr>
            <w:r w:rsidRPr="00BA47B4">
              <w:rPr>
                <w:noProof/>
                <w:sz w:val="12"/>
                <w:szCs w:val="12"/>
                <w:lang w:val="fr-BE"/>
              </w:rPr>
              <w:t>168,00</w:t>
            </w:r>
          </w:p>
        </w:tc>
        <w:tc>
          <w:tcPr>
            <w:tcW w:w="0" w:type="auto"/>
            <w:shd w:val="clear" w:color="auto" w:fill="auto"/>
          </w:tcPr>
          <w:p w14:paraId="27A266AC" w14:textId="77777777" w:rsidR="008C5CFA" w:rsidRPr="00BA47B4" w:rsidRDefault="00E82A60" w:rsidP="00300A01">
            <w:pPr>
              <w:spacing w:before="0" w:after="0"/>
              <w:jc w:val="right"/>
              <w:rPr>
                <w:sz w:val="12"/>
                <w:szCs w:val="12"/>
                <w:lang w:val="fr-BE"/>
              </w:rPr>
            </w:pPr>
            <w:r w:rsidRPr="00BA47B4">
              <w:rPr>
                <w:noProof/>
                <w:sz w:val="12"/>
                <w:szCs w:val="12"/>
                <w:lang w:val="fr-BE"/>
              </w:rPr>
              <w:t>95,00</w:t>
            </w:r>
          </w:p>
        </w:tc>
        <w:tc>
          <w:tcPr>
            <w:tcW w:w="0" w:type="auto"/>
            <w:shd w:val="clear" w:color="auto" w:fill="auto"/>
          </w:tcPr>
          <w:p w14:paraId="1C49A70F" w14:textId="77777777" w:rsidR="008C5CFA" w:rsidRPr="00BA47B4" w:rsidRDefault="008C5CFA" w:rsidP="00300A01">
            <w:pPr>
              <w:spacing w:before="0" w:after="0"/>
              <w:jc w:val="right"/>
              <w:rPr>
                <w:sz w:val="12"/>
                <w:szCs w:val="12"/>
                <w:lang w:val="fr-BE"/>
              </w:rPr>
            </w:pPr>
          </w:p>
        </w:tc>
        <w:tc>
          <w:tcPr>
            <w:tcW w:w="0" w:type="auto"/>
            <w:shd w:val="clear" w:color="auto" w:fill="auto"/>
          </w:tcPr>
          <w:p w14:paraId="509AA45E" w14:textId="77777777" w:rsidR="008C5CFA" w:rsidRPr="00BA47B4" w:rsidRDefault="008C5CFA" w:rsidP="00300A01">
            <w:pPr>
              <w:spacing w:before="0" w:after="0"/>
              <w:jc w:val="right"/>
              <w:rPr>
                <w:sz w:val="12"/>
                <w:szCs w:val="12"/>
                <w:lang w:val="fr-BE"/>
              </w:rPr>
            </w:pPr>
          </w:p>
        </w:tc>
        <w:tc>
          <w:tcPr>
            <w:tcW w:w="0" w:type="auto"/>
            <w:shd w:val="clear" w:color="auto" w:fill="auto"/>
          </w:tcPr>
          <w:p w14:paraId="57A093A5" w14:textId="77777777" w:rsidR="008C5CFA" w:rsidRPr="00BA47B4" w:rsidRDefault="008C5CFA" w:rsidP="00300A01">
            <w:pPr>
              <w:spacing w:before="0" w:after="0"/>
              <w:jc w:val="right"/>
              <w:rPr>
                <w:sz w:val="12"/>
                <w:szCs w:val="12"/>
                <w:lang w:val="fr-BE"/>
              </w:rPr>
            </w:pPr>
          </w:p>
        </w:tc>
        <w:tc>
          <w:tcPr>
            <w:tcW w:w="0" w:type="auto"/>
          </w:tcPr>
          <w:p w14:paraId="464D178E" w14:textId="77777777" w:rsidR="008C5CFA" w:rsidRPr="00A92B39" w:rsidRDefault="00E82A60" w:rsidP="00300A01">
            <w:pPr>
              <w:spacing w:before="0" w:after="0"/>
              <w:jc w:val="right"/>
              <w:rPr>
                <w:sz w:val="10"/>
                <w:szCs w:val="10"/>
                <w:lang w:val="fr-BE"/>
              </w:rPr>
            </w:pPr>
            <w:r w:rsidRPr="00A92B39">
              <w:rPr>
                <w:noProof/>
                <w:sz w:val="10"/>
                <w:szCs w:val="10"/>
                <w:lang w:val="fr-BE"/>
              </w:rPr>
              <w:t>2,00</w:t>
            </w:r>
          </w:p>
        </w:tc>
        <w:tc>
          <w:tcPr>
            <w:tcW w:w="0" w:type="auto"/>
            <w:shd w:val="clear" w:color="auto" w:fill="auto"/>
          </w:tcPr>
          <w:p w14:paraId="168D6AAB" w14:textId="77777777" w:rsidR="008C5CFA" w:rsidRPr="00A92B39" w:rsidRDefault="00E82A60" w:rsidP="00300A01">
            <w:pPr>
              <w:spacing w:before="0" w:after="0"/>
              <w:jc w:val="right"/>
              <w:rPr>
                <w:sz w:val="10"/>
                <w:szCs w:val="10"/>
                <w:lang w:val="fr-BE"/>
              </w:rPr>
            </w:pPr>
            <w:r w:rsidRPr="00A92B39">
              <w:rPr>
                <w:noProof/>
                <w:sz w:val="10"/>
                <w:szCs w:val="10"/>
                <w:lang w:val="fr-BE"/>
              </w:rPr>
              <w:t>1,00</w:t>
            </w:r>
          </w:p>
        </w:tc>
        <w:tc>
          <w:tcPr>
            <w:tcW w:w="0" w:type="auto"/>
            <w:shd w:val="clear" w:color="auto" w:fill="auto"/>
          </w:tcPr>
          <w:p w14:paraId="4A41F1EB" w14:textId="77777777" w:rsidR="008C5CFA" w:rsidRPr="00BA47B4" w:rsidRDefault="00E82A60" w:rsidP="00300A01">
            <w:pPr>
              <w:spacing w:before="0" w:after="0"/>
              <w:jc w:val="right"/>
              <w:rPr>
                <w:sz w:val="12"/>
                <w:szCs w:val="12"/>
                <w:lang w:val="fr-BE"/>
              </w:rPr>
            </w:pPr>
            <w:r w:rsidRPr="00A92B39">
              <w:rPr>
                <w:noProof/>
                <w:sz w:val="10"/>
                <w:szCs w:val="10"/>
                <w:lang w:val="fr-BE"/>
              </w:rPr>
              <w:t>1,00</w:t>
            </w:r>
          </w:p>
        </w:tc>
      </w:tr>
      <w:tr w:rsidR="006B2EC1" w14:paraId="1CF5AF1E" w14:textId="77777777" w:rsidTr="0047688D">
        <w:tc>
          <w:tcPr>
            <w:tcW w:w="0" w:type="auto"/>
            <w:shd w:val="clear" w:color="auto" w:fill="auto"/>
          </w:tcPr>
          <w:p w14:paraId="6C5691AC" w14:textId="77777777" w:rsidR="008C5CFA" w:rsidRPr="00BA47B4" w:rsidRDefault="00E82A60" w:rsidP="00300A01">
            <w:pPr>
              <w:spacing w:before="0" w:after="0"/>
              <w:rPr>
                <w:sz w:val="12"/>
                <w:szCs w:val="12"/>
                <w:lang w:val="fr-BE"/>
              </w:rPr>
            </w:pPr>
            <w:r>
              <w:rPr>
                <w:noProof/>
                <w:sz w:val="12"/>
                <w:szCs w:val="12"/>
                <w:lang w:val="fr-BE"/>
              </w:rPr>
              <w:t>CO10</w:t>
            </w:r>
          </w:p>
        </w:tc>
        <w:tc>
          <w:tcPr>
            <w:tcW w:w="0" w:type="auto"/>
            <w:shd w:val="clear" w:color="auto" w:fill="auto"/>
          </w:tcPr>
          <w:p w14:paraId="501F5C3C" w14:textId="77777777" w:rsidR="008C5CFA" w:rsidRPr="00BA47B4" w:rsidRDefault="00E82A60" w:rsidP="00300A01">
            <w:pPr>
              <w:spacing w:before="0" w:after="0"/>
              <w:rPr>
                <w:sz w:val="12"/>
                <w:szCs w:val="12"/>
                <w:lang w:val="fr-BE"/>
              </w:rPr>
            </w:pPr>
            <w:r>
              <w:rPr>
                <w:noProof/>
                <w:sz w:val="12"/>
                <w:szCs w:val="12"/>
                <w:lang w:val="fr-BE"/>
              </w:rPr>
              <w:t>osoby z wykształceniem średnim II stopnia (ISCED 3) lub policealnym (ISCED 4)</w:t>
            </w:r>
          </w:p>
        </w:tc>
        <w:tc>
          <w:tcPr>
            <w:tcW w:w="0" w:type="auto"/>
            <w:shd w:val="clear" w:color="auto" w:fill="auto"/>
          </w:tcPr>
          <w:p w14:paraId="5E22413D" w14:textId="77777777" w:rsidR="008C5CFA" w:rsidRPr="00BA47B4" w:rsidRDefault="00E82A60"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14:paraId="632D9A06" w14:textId="77777777" w:rsidR="008C5CFA" w:rsidRPr="00BA47B4" w:rsidRDefault="008C5CFA" w:rsidP="00300A01">
            <w:pPr>
              <w:spacing w:before="0" w:after="0"/>
              <w:jc w:val="right"/>
              <w:rPr>
                <w:sz w:val="12"/>
                <w:szCs w:val="12"/>
                <w:lang w:val="fr-BE"/>
              </w:rPr>
            </w:pPr>
          </w:p>
        </w:tc>
        <w:tc>
          <w:tcPr>
            <w:tcW w:w="0" w:type="auto"/>
            <w:shd w:val="clear" w:color="auto" w:fill="auto"/>
          </w:tcPr>
          <w:p w14:paraId="677AC25A" w14:textId="77777777" w:rsidR="008C5CFA" w:rsidRPr="00BA47B4" w:rsidRDefault="008C5CFA" w:rsidP="00300A01">
            <w:pPr>
              <w:spacing w:before="0" w:after="0"/>
              <w:jc w:val="right"/>
              <w:rPr>
                <w:sz w:val="12"/>
                <w:szCs w:val="12"/>
                <w:lang w:val="fr-BE"/>
              </w:rPr>
            </w:pPr>
          </w:p>
        </w:tc>
        <w:tc>
          <w:tcPr>
            <w:tcW w:w="0" w:type="auto"/>
            <w:shd w:val="clear" w:color="auto" w:fill="auto"/>
          </w:tcPr>
          <w:p w14:paraId="6B7EDF4B" w14:textId="77777777" w:rsidR="008C5CFA" w:rsidRPr="00BA47B4" w:rsidRDefault="008C5CFA" w:rsidP="00300A01">
            <w:pPr>
              <w:spacing w:before="0" w:after="0"/>
              <w:jc w:val="right"/>
              <w:rPr>
                <w:sz w:val="12"/>
                <w:szCs w:val="12"/>
                <w:lang w:val="fr-BE"/>
              </w:rPr>
            </w:pPr>
          </w:p>
        </w:tc>
        <w:tc>
          <w:tcPr>
            <w:tcW w:w="0" w:type="auto"/>
            <w:shd w:val="clear" w:color="auto" w:fill="auto"/>
          </w:tcPr>
          <w:p w14:paraId="7D492FF6" w14:textId="77777777" w:rsidR="008C5CFA" w:rsidRPr="00BA47B4" w:rsidRDefault="00E82A60" w:rsidP="00300A01">
            <w:pPr>
              <w:spacing w:before="0" w:after="0"/>
              <w:jc w:val="right"/>
              <w:rPr>
                <w:sz w:val="12"/>
                <w:szCs w:val="12"/>
                <w:lang w:val="fr-BE"/>
              </w:rPr>
            </w:pPr>
            <w:r w:rsidRPr="00BA47B4">
              <w:rPr>
                <w:noProof/>
                <w:sz w:val="12"/>
                <w:szCs w:val="12"/>
                <w:lang w:val="fr-BE"/>
              </w:rPr>
              <w:t>2 892,00</w:t>
            </w:r>
          </w:p>
        </w:tc>
        <w:tc>
          <w:tcPr>
            <w:tcW w:w="0" w:type="auto"/>
            <w:shd w:val="clear" w:color="auto" w:fill="auto"/>
          </w:tcPr>
          <w:p w14:paraId="7BC1E9F9" w14:textId="77777777" w:rsidR="008C5CFA" w:rsidRPr="00BA47B4" w:rsidRDefault="00E82A60" w:rsidP="00300A01">
            <w:pPr>
              <w:spacing w:before="0" w:after="0"/>
              <w:jc w:val="right"/>
              <w:rPr>
                <w:sz w:val="12"/>
                <w:szCs w:val="12"/>
                <w:lang w:val="fr-BE"/>
              </w:rPr>
            </w:pPr>
            <w:r w:rsidRPr="00BA47B4">
              <w:rPr>
                <w:noProof/>
                <w:sz w:val="12"/>
                <w:szCs w:val="12"/>
                <w:lang w:val="fr-BE"/>
              </w:rPr>
              <w:t>1 624,00</w:t>
            </w:r>
          </w:p>
        </w:tc>
        <w:tc>
          <w:tcPr>
            <w:tcW w:w="0" w:type="auto"/>
            <w:shd w:val="clear" w:color="auto" w:fill="auto"/>
          </w:tcPr>
          <w:p w14:paraId="5939EE2A" w14:textId="77777777" w:rsidR="008C5CFA" w:rsidRPr="00BA47B4" w:rsidRDefault="00E82A60" w:rsidP="00300A01">
            <w:pPr>
              <w:spacing w:before="0" w:after="0"/>
              <w:jc w:val="right"/>
              <w:rPr>
                <w:sz w:val="12"/>
                <w:szCs w:val="12"/>
                <w:lang w:val="fr-BE"/>
              </w:rPr>
            </w:pPr>
            <w:r w:rsidRPr="00BA47B4">
              <w:rPr>
                <w:noProof/>
                <w:sz w:val="12"/>
                <w:szCs w:val="12"/>
                <w:lang w:val="fr-BE"/>
              </w:rPr>
              <w:t>1 268,00</w:t>
            </w:r>
          </w:p>
        </w:tc>
        <w:tc>
          <w:tcPr>
            <w:tcW w:w="0" w:type="auto"/>
            <w:shd w:val="clear" w:color="auto" w:fill="auto"/>
          </w:tcPr>
          <w:p w14:paraId="1E72B314" w14:textId="77777777" w:rsidR="008C5CFA" w:rsidRPr="00BA47B4" w:rsidRDefault="008C5CFA" w:rsidP="00300A01">
            <w:pPr>
              <w:spacing w:before="0" w:after="0"/>
              <w:jc w:val="right"/>
              <w:rPr>
                <w:sz w:val="12"/>
                <w:szCs w:val="12"/>
                <w:lang w:val="fr-BE"/>
              </w:rPr>
            </w:pPr>
          </w:p>
        </w:tc>
        <w:tc>
          <w:tcPr>
            <w:tcW w:w="0" w:type="auto"/>
            <w:shd w:val="clear" w:color="auto" w:fill="auto"/>
          </w:tcPr>
          <w:p w14:paraId="314CB65F" w14:textId="77777777" w:rsidR="008C5CFA" w:rsidRPr="00BA47B4" w:rsidRDefault="008C5CFA" w:rsidP="00300A01">
            <w:pPr>
              <w:spacing w:before="0" w:after="0"/>
              <w:jc w:val="right"/>
              <w:rPr>
                <w:sz w:val="12"/>
                <w:szCs w:val="12"/>
                <w:lang w:val="fr-BE"/>
              </w:rPr>
            </w:pPr>
          </w:p>
        </w:tc>
        <w:tc>
          <w:tcPr>
            <w:tcW w:w="0" w:type="auto"/>
            <w:shd w:val="clear" w:color="auto" w:fill="auto"/>
          </w:tcPr>
          <w:p w14:paraId="66FD2583" w14:textId="77777777" w:rsidR="008C5CFA" w:rsidRPr="00BA47B4" w:rsidRDefault="008C5CFA" w:rsidP="00300A01">
            <w:pPr>
              <w:spacing w:before="0" w:after="0"/>
              <w:jc w:val="right"/>
              <w:rPr>
                <w:sz w:val="12"/>
                <w:szCs w:val="12"/>
                <w:lang w:val="fr-BE"/>
              </w:rPr>
            </w:pPr>
          </w:p>
        </w:tc>
        <w:tc>
          <w:tcPr>
            <w:tcW w:w="0" w:type="auto"/>
          </w:tcPr>
          <w:p w14:paraId="18950BFA" w14:textId="77777777" w:rsidR="008C5CFA" w:rsidRPr="00A92B39" w:rsidRDefault="00E82A60" w:rsidP="00300A01">
            <w:pPr>
              <w:spacing w:before="0" w:after="0"/>
              <w:jc w:val="right"/>
              <w:rPr>
                <w:sz w:val="10"/>
                <w:szCs w:val="10"/>
                <w:lang w:val="fr-BE"/>
              </w:rPr>
            </w:pPr>
            <w:r w:rsidRPr="00A92B39">
              <w:rPr>
                <w:noProof/>
                <w:sz w:val="10"/>
                <w:szCs w:val="10"/>
                <w:lang w:val="fr-BE"/>
              </w:rPr>
              <w:t>25,00</w:t>
            </w:r>
          </w:p>
        </w:tc>
        <w:tc>
          <w:tcPr>
            <w:tcW w:w="0" w:type="auto"/>
            <w:shd w:val="clear" w:color="auto" w:fill="auto"/>
          </w:tcPr>
          <w:p w14:paraId="28F93330" w14:textId="77777777" w:rsidR="008C5CFA" w:rsidRPr="00A92B39" w:rsidRDefault="00E82A60" w:rsidP="00300A01">
            <w:pPr>
              <w:spacing w:before="0" w:after="0"/>
              <w:jc w:val="right"/>
              <w:rPr>
                <w:sz w:val="10"/>
                <w:szCs w:val="10"/>
                <w:lang w:val="fr-BE"/>
              </w:rPr>
            </w:pPr>
            <w:r w:rsidRPr="00A92B39">
              <w:rPr>
                <w:noProof/>
                <w:sz w:val="10"/>
                <w:szCs w:val="10"/>
                <w:lang w:val="fr-BE"/>
              </w:rPr>
              <w:t>15,00</w:t>
            </w:r>
          </w:p>
        </w:tc>
        <w:tc>
          <w:tcPr>
            <w:tcW w:w="0" w:type="auto"/>
            <w:shd w:val="clear" w:color="auto" w:fill="auto"/>
          </w:tcPr>
          <w:p w14:paraId="7B2D8935" w14:textId="77777777" w:rsidR="008C5CFA" w:rsidRPr="00BA47B4" w:rsidRDefault="00E82A60" w:rsidP="00300A01">
            <w:pPr>
              <w:spacing w:before="0" w:after="0"/>
              <w:jc w:val="right"/>
              <w:rPr>
                <w:sz w:val="12"/>
                <w:szCs w:val="12"/>
                <w:lang w:val="fr-BE"/>
              </w:rPr>
            </w:pPr>
            <w:r w:rsidRPr="00A92B39">
              <w:rPr>
                <w:noProof/>
                <w:sz w:val="10"/>
                <w:szCs w:val="10"/>
                <w:lang w:val="fr-BE"/>
              </w:rPr>
              <w:t>10,00</w:t>
            </w:r>
          </w:p>
        </w:tc>
      </w:tr>
      <w:tr w:rsidR="006B2EC1" w14:paraId="27ED7662" w14:textId="77777777" w:rsidTr="0047688D">
        <w:tc>
          <w:tcPr>
            <w:tcW w:w="0" w:type="auto"/>
            <w:shd w:val="clear" w:color="auto" w:fill="auto"/>
          </w:tcPr>
          <w:p w14:paraId="184BC4ED" w14:textId="77777777" w:rsidR="008C5CFA" w:rsidRPr="00BA47B4" w:rsidRDefault="00E82A60" w:rsidP="00300A01">
            <w:pPr>
              <w:spacing w:before="0" w:after="0"/>
              <w:rPr>
                <w:sz w:val="12"/>
                <w:szCs w:val="12"/>
                <w:lang w:val="fr-BE"/>
              </w:rPr>
            </w:pPr>
            <w:r>
              <w:rPr>
                <w:noProof/>
                <w:sz w:val="12"/>
                <w:szCs w:val="12"/>
                <w:lang w:val="fr-BE"/>
              </w:rPr>
              <w:t>CO11</w:t>
            </w:r>
          </w:p>
        </w:tc>
        <w:tc>
          <w:tcPr>
            <w:tcW w:w="0" w:type="auto"/>
            <w:shd w:val="clear" w:color="auto" w:fill="auto"/>
          </w:tcPr>
          <w:p w14:paraId="2DCE8653" w14:textId="77777777" w:rsidR="008C5CFA" w:rsidRPr="00BA47B4" w:rsidRDefault="00E82A60" w:rsidP="00300A01">
            <w:pPr>
              <w:spacing w:before="0" w:after="0"/>
              <w:rPr>
                <w:sz w:val="12"/>
                <w:szCs w:val="12"/>
                <w:lang w:val="fr-BE"/>
              </w:rPr>
            </w:pPr>
            <w:r>
              <w:rPr>
                <w:noProof/>
                <w:sz w:val="12"/>
                <w:szCs w:val="12"/>
                <w:lang w:val="fr-BE"/>
              </w:rPr>
              <w:t>osoby z wykształceniem wyższym (ISCED 5 do 8)</w:t>
            </w:r>
          </w:p>
        </w:tc>
        <w:tc>
          <w:tcPr>
            <w:tcW w:w="0" w:type="auto"/>
            <w:shd w:val="clear" w:color="auto" w:fill="auto"/>
          </w:tcPr>
          <w:p w14:paraId="6703E9E7" w14:textId="77777777" w:rsidR="008C5CFA" w:rsidRPr="00BA47B4" w:rsidRDefault="00E82A60"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14:paraId="1C313543" w14:textId="77777777" w:rsidR="008C5CFA" w:rsidRPr="00BA47B4" w:rsidRDefault="008C5CFA" w:rsidP="00300A01">
            <w:pPr>
              <w:spacing w:before="0" w:after="0"/>
              <w:jc w:val="right"/>
              <w:rPr>
                <w:sz w:val="12"/>
                <w:szCs w:val="12"/>
                <w:lang w:val="fr-BE"/>
              </w:rPr>
            </w:pPr>
          </w:p>
        </w:tc>
        <w:tc>
          <w:tcPr>
            <w:tcW w:w="0" w:type="auto"/>
            <w:shd w:val="clear" w:color="auto" w:fill="auto"/>
          </w:tcPr>
          <w:p w14:paraId="26D505DC" w14:textId="77777777" w:rsidR="008C5CFA" w:rsidRPr="00BA47B4" w:rsidRDefault="008C5CFA" w:rsidP="00300A01">
            <w:pPr>
              <w:spacing w:before="0" w:after="0"/>
              <w:jc w:val="right"/>
              <w:rPr>
                <w:sz w:val="12"/>
                <w:szCs w:val="12"/>
                <w:lang w:val="fr-BE"/>
              </w:rPr>
            </w:pPr>
          </w:p>
        </w:tc>
        <w:tc>
          <w:tcPr>
            <w:tcW w:w="0" w:type="auto"/>
            <w:shd w:val="clear" w:color="auto" w:fill="auto"/>
          </w:tcPr>
          <w:p w14:paraId="554E9D71" w14:textId="77777777" w:rsidR="008C5CFA" w:rsidRPr="00BA47B4" w:rsidRDefault="008C5CFA" w:rsidP="00300A01">
            <w:pPr>
              <w:spacing w:before="0" w:after="0"/>
              <w:jc w:val="right"/>
              <w:rPr>
                <w:sz w:val="12"/>
                <w:szCs w:val="12"/>
                <w:lang w:val="fr-BE"/>
              </w:rPr>
            </w:pPr>
          </w:p>
        </w:tc>
        <w:tc>
          <w:tcPr>
            <w:tcW w:w="0" w:type="auto"/>
            <w:shd w:val="clear" w:color="auto" w:fill="auto"/>
          </w:tcPr>
          <w:p w14:paraId="43FACDB2" w14:textId="77777777" w:rsidR="008C5CFA" w:rsidRPr="00BA47B4" w:rsidRDefault="00E82A60" w:rsidP="00300A01">
            <w:pPr>
              <w:spacing w:before="0" w:after="0"/>
              <w:jc w:val="right"/>
              <w:rPr>
                <w:sz w:val="12"/>
                <w:szCs w:val="12"/>
                <w:lang w:val="fr-BE"/>
              </w:rPr>
            </w:pPr>
            <w:r w:rsidRPr="00BA47B4">
              <w:rPr>
                <w:noProof/>
                <w:sz w:val="12"/>
                <w:szCs w:val="12"/>
                <w:lang w:val="fr-BE"/>
              </w:rPr>
              <w:t>1 224,00</w:t>
            </w:r>
          </w:p>
        </w:tc>
        <w:tc>
          <w:tcPr>
            <w:tcW w:w="0" w:type="auto"/>
            <w:shd w:val="clear" w:color="auto" w:fill="auto"/>
          </w:tcPr>
          <w:p w14:paraId="07B1F0BF" w14:textId="77777777" w:rsidR="008C5CFA" w:rsidRPr="00BA47B4" w:rsidRDefault="00E82A60" w:rsidP="00300A01">
            <w:pPr>
              <w:spacing w:before="0" w:after="0"/>
              <w:jc w:val="right"/>
              <w:rPr>
                <w:sz w:val="12"/>
                <w:szCs w:val="12"/>
                <w:lang w:val="fr-BE"/>
              </w:rPr>
            </w:pPr>
            <w:r w:rsidRPr="00BA47B4">
              <w:rPr>
                <w:noProof/>
                <w:sz w:val="12"/>
                <w:szCs w:val="12"/>
                <w:lang w:val="fr-BE"/>
              </w:rPr>
              <w:t>318,00</w:t>
            </w:r>
          </w:p>
        </w:tc>
        <w:tc>
          <w:tcPr>
            <w:tcW w:w="0" w:type="auto"/>
            <w:shd w:val="clear" w:color="auto" w:fill="auto"/>
          </w:tcPr>
          <w:p w14:paraId="506D8303" w14:textId="77777777" w:rsidR="008C5CFA" w:rsidRPr="00BA47B4" w:rsidRDefault="00E82A60" w:rsidP="00300A01">
            <w:pPr>
              <w:spacing w:before="0" w:after="0"/>
              <w:jc w:val="right"/>
              <w:rPr>
                <w:sz w:val="12"/>
                <w:szCs w:val="12"/>
                <w:lang w:val="fr-BE"/>
              </w:rPr>
            </w:pPr>
            <w:r w:rsidRPr="00BA47B4">
              <w:rPr>
                <w:noProof/>
                <w:sz w:val="12"/>
                <w:szCs w:val="12"/>
                <w:lang w:val="fr-BE"/>
              </w:rPr>
              <w:t>906,00</w:t>
            </w:r>
          </w:p>
        </w:tc>
        <w:tc>
          <w:tcPr>
            <w:tcW w:w="0" w:type="auto"/>
            <w:shd w:val="clear" w:color="auto" w:fill="auto"/>
          </w:tcPr>
          <w:p w14:paraId="1447E9B4" w14:textId="77777777" w:rsidR="008C5CFA" w:rsidRPr="00BA47B4" w:rsidRDefault="008C5CFA" w:rsidP="00300A01">
            <w:pPr>
              <w:spacing w:before="0" w:after="0"/>
              <w:jc w:val="right"/>
              <w:rPr>
                <w:sz w:val="12"/>
                <w:szCs w:val="12"/>
                <w:lang w:val="fr-BE"/>
              </w:rPr>
            </w:pPr>
          </w:p>
        </w:tc>
        <w:tc>
          <w:tcPr>
            <w:tcW w:w="0" w:type="auto"/>
            <w:shd w:val="clear" w:color="auto" w:fill="auto"/>
          </w:tcPr>
          <w:p w14:paraId="25DD492D" w14:textId="77777777" w:rsidR="008C5CFA" w:rsidRPr="00BA47B4" w:rsidRDefault="008C5CFA" w:rsidP="00300A01">
            <w:pPr>
              <w:spacing w:before="0" w:after="0"/>
              <w:jc w:val="right"/>
              <w:rPr>
                <w:sz w:val="12"/>
                <w:szCs w:val="12"/>
                <w:lang w:val="fr-BE"/>
              </w:rPr>
            </w:pPr>
          </w:p>
        </w:tc>
        <w:tc>
          <w:tcPr>
            <w:tcW w:w="0" w:type="auto"/>
            <w:shd w:val="clear" w:color="auto" w:fill="auto"/>
          </w:tcPr>
          <w:p w14:paraId="354D1253" w14:textId="77777777" w:rsidR="008C5CFA" w:rsidRPr="00BA47B4" w:rsidRDefault="008C5CFA" w:rsidP="00300A01">
            <w:pPr>
              <w:spacing w:before="0" w:after="0"/>
              <w:jc w:val="right"/>
              <w:rPr>
                <w:sz w:val="12"/>
                <w:szCs w:val="12"/>
                <w:lang w:val="fr-BE"/>
              </w:rPr>
            </w:pPr>
          </w:p>
        </w:tc>
        <w:tc>
          <w:tcPr>
            <w:tcW w:w="0" w:type="auto"/>
          </w:tcPr>
          <w:p w14:paraId="68C4BEDC" w14:textId="77777777" w:rsidR="008C5CFA" w:rsidRPr="00A92B39" w:rsidRDefault="00E82A60" w:rsidP="00300A01">
            <w:pPr>
              <w:spacing w:before="0" w:after="0"/>
              <w:jc w:val="right"/>
              <w:rPr>
                <w:sz w:val="10"/>
                <w:szCs w:val="10"/>
                <w:lang w:val="fr-BE"/>
              </w:rPr>
            </w:pPr>
            <w:r w:rsidRPr="00A92B39">
              <w:rPr>
                <w:noProof/>
                <w:sz w:val="10"/>
                <w:szCs w:val="10"/>
                <w:lang w:val="fr-BE"/>
              </w:rPr>
              <w:t>12,00</w:t>
            </w:r>
          </w:p>
        </w:tc>
        <w:tc>
          <w:tcPr>
            <w:tcW w:w="0" w:type="auto"/>
            <w:shd w:val="clear" w:color="auto" w:fill="auto"/>
          </w:tcPr>
          <w:p w14:paraId="5EDAED6A" w14:textId="77777777" w:rsidR="008C5CFA" w:rsidRPr="00A92B39" w:rsidRDefault="00E82A60" w:rsidP="00300A01">
            <w:pPr>
              <w:spacing w:before="0" w:after="0"/>
              <w:jc w:val="right"/>
              <w:rPr>
                <w:sz w:val="10"/>
                <w:szCs w:val="10"/>
                <w:lang w:val="fr-BE"/>
              </w:rPr>
            </w:pPr>
            <w:r w:rsidRPr="00A92B39">
              <w:rPr>
                <w:noProof/>
                <w:sz w:val="10"/>
                <w:szCs w:val="10"/>
                <w:lang w:val="fr-BE"/>
              </w:rPr>
              <w:t>6,00</w:t>
            </w:r>
          </w:p>
        </w:tc>
        <w:tc>
          <w:tcPr>
            <w:tcW w:w="0" w:type="auto"/>
            <w:shd w:val="clear" w:color="auto" w:fill="auto"/>
          </w:tcPr>
          <w:p w14:paraId="0FD2E024" w14:textId="77777777" w:rsidR="008C5CFA" w:rsidRPr="00BA47B4" w:rsidRDefault="00E82A60" w:rsidP="00300A01">
            <w:pPr>
              <w:spacing w:before="0" w:after="0"/>
              <w:jc w:val="right"/>
              <w:rPr>
                <w:sz w:val="12"/>
                <w:szCs w:val="12"/>
                <w:lang w:val="fr-BE"/>
              </w:rPr>
            </w:pPr>
            <w:r w:rsidRPr="00A92B39">
              <w:rPr>
                <w:noProof/>
                <w:sz w:val="10"/>
                <w:szCs w:val="10"/>
                <w:lang w:val="fr-BE"/>
              </w:rPr>
              <w:t>6,00</w:t>
            </w:r>
          </w:p>
        </w:tc>
      </w:tr>
      <w:tr w:rsidR="006B2EC1" w14:paraId="532217C8" w14:textId="77777777" w:rsidTr="0047688D">
        <w:tc>
          <w:tcPr>
            <w:tcW w:w="0" w:type="auto"/>
            <w:shd w:val="clear" w:color="auto" w:fill="auto"/>
          </w:tcPr>
          <w:p w14:paraId="5BE35502" w14:textId="77777777" w:rsidR="008C5CFA" w:rsidRPr="00BA47B4" w:rsidRDefault="00E82A60" w:rsidP="00300A01">
            <w:pPr>
              <w:spacing w:before="0" w:after="0"/>
              <w:rPr>
                <w:sz w:val="12"/>
                <w:szCs w:val="12"/>
                <w:lang w:val="fr-BE"/>
              </w:rPr>
            </w:pPr>
            <w:r>
              <w:rPr>
                <w:noProof/>
                <w:sz w:val="12"/>
                <w:szCs w:val="12"/>
                <w:lang w:val="fr-BE"/>
              </w:rPr>
              <w:t>CO15</w:t>
            </w:r>
          </w:p>
        </w:tc>
        <w:tc>
          <w:tcPr>
            <w:tcW w:w="0" w:type="auto"/>
            <w:shd w:val="clear" w:color="auto" w:fill="auto"/>
          </w:tcPr>
          <w:p w14:paraId="3B410B8A" w14:textId="77777777" w:rsidR="008C5CFA" w:rsidRPr="00BA47B4" w:rsidRDefault="00E82A60" w:rsidP="00300A01">
            <w:pPr>
              <w:spacing w:before="0" w:after="0"/>
              <w:rPr>
                <w:sz w:val="12"/>
                <w:szCs w:val="12"/>
                <w:lang w:val="fr-BE"/>
              </w:rPr>
            </w:pPr>
            <w:r>
              <w:rPr>
                <w:noProof/>
                <w:sz w:val="12"/>
                <w:szCs w:val="12"/>
                <w:lang w:val="fr-BE"/>
              </w:rPr>
              <w:t>migranci, uczestnicy obcego pochodzenia, mniejszości (w tym społeczności marginalizowane, takie jak Romowie)</w:t>
            </w:r>
          </w:p>
        </w:tc>
        <w:tc>
          <w:tcPr>
            <w:tcW w:w="0" w:type="auto"/>
            <w:shd w:val="clear" w:color="auto" w:fill="auto"/>
          </w:tcPr>
          <w:p w14:paraId="4964707E" w14:textId="77777777" w:rsidR="008C5CFA" w:rsidRPr="00BA47B4" w:rsidRDefault="00E82A60"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14:paraId="2D3C76EE" w14:textId="77777777" w:rsidR="008C5CFA" w:rsidRPr="00BA47B4" w:rsidRDefault="008C5CFA" w:rsidP="00300A01">
            <w:pPr>
              <w:spacing w:before="0" w:after="0"/>
              <w:jc w:val="right"/>
              <w:rPr>
                <w:sz w:val="12"/>
                <w:szCs w:val="12"/>
                <w:lang w:val="fr-BE"/>
              </w:rPr>
            </w:pPr>
          </w:p>
        </w:tc>
        <w:tc>
          <w:tcPr>
            <w:tcW w:w="0" w:type="auto"/>
            <w:shd w:val="clear" w:color="auto" w:fill="auto"/>
          </w:tcPr>
          <w:p w14:paraId="03AB442F" w14:textId="77777777" w:rsidR="008C5CFA" w:rsidRPr="00BA47B4" w:rsidRDefault="008C5CFA" w:rsidP="00300A01">
            <w:pPr>
              <w:spacing w:before="0" w:after="0"/>
              <w:jc w:val="right"/>
              <w:rPr>
                <w:sz w:val="12"/>
                <w:szCs w:val="12"/>
                <w:lang w:val="fr-BE"/>
              </w:rPr>
            </w:pPr>
          </w:p>
        </w:tc>
        <w:tc>
          <w:tcPr>
            <w:tcW w:w="0" w:type="auto"/>
            <w:shd w:val="clear" w:color="auto" w:fill="auto"/>
          </w:tcPr>
          <w:p w14:paraId="5C6369A2" w14:textId="77777777" w:rsidR="008C5CFA" w:rsidRPr="00BA47B4" w:rsidRDefault="008C5CFA" w:rsidP="00300A01">
            <w:pPr>
              <w:spacing w:before="0" w:after="0"/>
              <w:jc w:val="right"/>
              <w:rPr>
                <w:sz w:val="12"/>
                <w:szCs w:val="12"/>
                <w:lang w:val="fr-BE"/>
              </w:rPr>
            </w:pPr>
          </w:p>
        </w:tc>
        <w:tc>
          <w:tcPr>
            <w:tcW w:w="0" w:type="auto"/>
            <w:shd w:val="clear" w:color="auto" w:fill="auto"/>
          </w:tcPr>
          <w:p w14:paraId="6CD84C48" w14:textId="77777777" w:rsidR="008C5CFA" w:rsidRPr="00BA47B4" w:rsidRDefault="00E82A60" w:rsidP="00300A01">
            <w:pPr>
              <w:spacing w:before="0" w:after="0"/>
              <w:jc w:val="right"/>
              <w:rPr>
                <w:sz w:val="12"/>
                <w:szCs w:val="12"/>
                <w:lang w:val="fr-BE"/>
              </w:rPr>
            </w:pPr>
            <w:r w:rsidRPr="00BA47B4">
              <w:rPr>
                <w:noProof/>
                <w:sz w:val="12"/>
                <w:szCs w:val="12"/>
                <w:lang w:val="fr-BE"/>
              </w:rPr>
              <w:t>13,00</w:t>
            </w:r>
          </w:p>
        </w:tc>
        <w:tc>
          <w:tcPr>
            <w:tcW w:w="0" w:type="auto"/>
            <w:shd w:val="clear" w:color="auto" w:fill="auto"/>
          </w:tcPr>
          <w:p w14:paraId="40F35D98" w14:textId="77777777" w:rsidR="008C5CFA" w:rsidRPr="00BA47B4" w:rsidRDefault="00E82A60" w:rsidP="00300A01">
            <w:pPr>
              <w:spacing w:before="0" w:after="0"/>
              <w:jc w:val="right"/>
              <w:rPr>
                <w:sz w:val="12"/>
                <w:szCs w:val="12"/>
                <w:lang w:val="fr-BE"/>
              </w:rPr>
            </w:pPr>
            <w:r w:rsidRPr="00BA47B4">
              <w:rPr>
                <w:noProof/>
                <w:sz w:val="12"/>
                <w:szCs w:val="12"/>
                <w:lang w:val="fr-BE"/>
              </w:rPr>
              <w:t>8,00</w:t>
            </w:r>
          </w:p>
        </w:tc>
        <w:tc>
          <w:tcPr>
            <w:tcW w:w="0" w:type="auto"/>
            <w:shd w:val="clear" w:color="auto" w:fill="auto"/>
          </w:tcPr>
          <w:p w14:paraId="535A5860" w14:textId="77777777" w:rsidR="008C5CFA" w:rsidRPr="00BA47B4" w:rsidRDefault="00E82A60" w:rsidP="00300A01">
            <w:pPr>
              <w:spacing w:before="0" w:after="0"/>
              <w:jc w:val="right"/>
              <w:rPr>
                <w:sz w:val="12"/>
                <w:szCs w:val="12"/>
                <w:lang w:val="fr-BE"/>
              </w:rPr>
            </w:pPr>
            <w:r w:rsidRPr="00BA47B4">
              <w:rPr>
                <w:noProof/>
                <w:sz w:val="12"/>
                <w:szCs w:val="12"/>
                <w:lang w:val="fr-BE"/>
              </w:rPr>
              <w:t>5,00</w:t>
            </w:r>
          </w:p>
        </w:tc>
        <w:tc>
          <w:tcPr>
            <w:tcW w:w="0" w:type="auto"/>
            <w:shd w:val="clear" w:color="auto" w:fill="auto"/>
          </w:tcPr>
          <w:p w14:paraId="4BFD31A4" w14:textId="77777777" w:rsidR="008C5CFA" w:rsidRPr="00BA47B4" w:rsidRDefault="008C5CFA" w:rsidP="00300A01">
            <w:pPr>
              <w:spacing w:before="0" w:after="0"/>
              <w:jc w:val="right"/>
              <w:rPr>
                <w:sz w:val="12"/>
                <w:szCs w:val="12"/>
                <w:lang w:val="fr-BE"/>
              </w:rPr>
            </w:pPr>
          </w:p>
        </w:tc>
        <w:tc>
          <w:tcPr>
            <w:tcW w:w="0" w:type="auto"/>
            <w:shd w:val="clear" w:color="auto" w:fill="auto"/>
          </w:tcPr>
          <w:p w14:paraId="4B664774" w14:textId="77777777" w:rsidR="008C5CFA" w:rsidRPr="00BA47B4" w:rsidRDefault="008C5CFA" w:rsidP="00300A01">
            <w:pPr>
              <w:spacing w:before="0" w:after="0"/>
              <w:jc w:val="right"/>
              <w:rPr>
                <w:sz w:val="12"/>
                <w:szCs w:val="12"/>
                <w:lang w:val="fr-BE"/>
              </w:rPr>
            </w:pPr>
          </w:p>
        </w:tc>
        <w:tc>
          <w:tcPr>
            <w:tcW w:w="0" w:type="auto"/>
            <w:shd w:val="clear" w:color="auto" w:fill="auto"/>
          </w:tcPr>
          <w:p w14:paraId="2DD0160B" w14:textId="77777777" w:rsidR="008C5CFA" w:rsidRPr="00BA47B4" w:rsidRDefault="008C5CFA" w:rsidP="00300A01">
            <w:pPr>
              <w:spacing w:before="0" w:after="0"/>
              <w:jc w:val="right"/>
              <w:rPr>
                <w:sz w:val="12"/>
                <w:szCs w:val="12"/>
                <w:lang w:val="fr-BE"/>
              </w:rPr>
            </w:pPr>
          </w:p>
        </w:tc>
        <w:tc>
          <w:tcPr>
            <w:tcW w:w="0" w:type="auto"/>
          </w:tcPr>
          <w:p w14:paraId="22EA62DD"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14:paraId="14DF7AF9"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14:paraId="5C7D6F42" w14:textId="77777777" w:rsidR="008C5CFA" w:rsidRPr="00BA47B4" w:rsidRDefault="00E82A60" w:rsidP="00300A01">
            <w:pPr>
              <w:spacing w:before="0" w:after="0"/>
              <w:jc w:val="right"/>
              <w:rPr>
                <w:sz w:val="12"/>
                <w:szCs w:val="12"/>
                <w:lang w:val="fr-BE"/>
              </w:rPr>
            </w:pPr>
            <w:r w:rsidRPr="00A92B39">
              <w:rPr>
                <w:noProof/>
                <w:sz w:val="10"/>
                <w:szCs w:val="10"/>
                <w:lang w:val="fr-BE"/>
              </w:rPr>
              <w:t>0,00</w:t>
            </w:r>
          </w:p>
        </w:tc>
      </w:tr>
      <w:tr w:rsidR="006B2EC1" w14:paraId="3ED4EBDC" w14:textId="77777777" w:rsidTr="0047688D">
        <w:tc>
          <w:tcPr>
            <w:tcW w:w="0" w:type="auto"/>
            <w:shd w:val="clear" w:color="auto" w:fill="auto"/>
          </w:tcPr>
          <w:p w14:paraId="5DF74792" w14:textId="77777777" w:rsidR="008C5CFA" w:rsidRPr="00BA47B4" w:rsidRDefault="00E82A60" w:rsidP="00300A01">
            <w:pPr>
              <w:spacing w:before="0" w:after="0"/>
              <w:rPr>
                <w:sz w:val="12"/>
                <w:szCs w:val="12"/>
                <w:lang w:val="fr-BE"/>
              </w:rPr>
            </w:pPr>
            <w:r>
              <w:rPr>
                <w:noProof/>
                <w:sz w:val="12"/>
                <w:szCs w:val="12"/>
                <w:lang w:val="fr-BE"/>
              </w:rPr>
              <w:t>CO16</w:t>
            </w:r>
          </w:p>
        </w:tc>
        <w:tc>
          <w:tcPr>
            <w:tcW w:w="0" w:type="auto"/>
            <w:shd w:val="clear" w:color="auto" w:fill="auto"/>
          </w:tcPr>
          <w:p w14:paraId="728185CD" w14:textId="77777777" w:rsidR="008C5CFA" w:rsidRPr="00BA47B4" w:rsidRDefault="00E82A60" w:rsidP="00300A01">
            <w:pPr>
              <w:spacing w:before="0" w:after="0"/>
              <w:rPr>
                <w:sz w:val="12"/>
                <w:szCs w:val="12"/>
                <w:lang w:val="fr-BE"/>
              </w:rPr>
            </w:pPr>
            <w:r>
              <w:rPr>
                <w:noProof/>
                <w:sz w:val="12"/>
                <w:szCs w:val="12"/>
                <w:lang w:val="fr-BE"/>
              </w:rPr>
              <w:t>uczestnicy z niepełnosprawnościami</w:t>
            </w:r>
          </w:p>
        </w:tc>
        <w:tc>
          <w:tcPr>
            <w:tcW w:w="0" w:type="auto"/>
            <w:shd w:val="clear" w:color="auto" w:fill="auto"/>
          </w:tcPr>
          <w:p w14:paraId="6DF6FA89" w14:textId="77777777" w:rsidR="008C5CFA" w:rsidRPr="00BA47B4" w:rsidRDefault="00E82A60"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14:paraId="36F65DB8" w14:textId="77777777" w:rsidR="008C5CFA" w:rsidRPr="00BA47B4" w:rsidRDefault="008C5CFA" w:rsidP="00300A01">
            <w:pPr>
              <w:spacing w:before="0" w:after="0"/>
              <w:jc w:val="right"/>
              <w:rPr>
                <w:sz w:val="12"/>
                <w:szCs w:val="12"/>
                <w:lang w:val="fr-BE"/>
              </w:rPr>
            </w:pPr>
          </w:p>
        </w:tc>
        <w:tc>
          <w:tcPr>
            <w:tcW w:w="0" w:type="auto"/>
            <w:shd w:val="clear" w:color="auto" w:fill="auto"/>
          </w:tcPr>
          <w:p w14:paraId="247630BD" w14:textId="77777777" w:rsidR="008C5CFA" w:rsidRPr="00BA47B4" w:rsidRDefault="008C5CFA" w:rsidP="00300A01">
            <w:pPr>
              <w:spacing w:before="0" w:after="0"/>
              <w:jc w:val="right"/>
              <w:rPr>
                <w:sz w:val="12"/>
                <w:szCs w:val="12"/>
                <w:lang w:val="fr-BE"/>
              </w:rPr>
            </w:pPr>
          </w:p>
        </w:tc>
        <w:tc>
          <w:tcPr>
            <w:tcW w:w="0" w:type="auto"/>
            <w:shd w:val="clear" w:color="auto" w:fill="auto"/>
          </w:tcPr>
          <w:p w14:paraId="653894C8" w14:textId="77777777" w:rsidR="008C5CFA" w:rsidRPr="00BA47B4" w:rsidRDefault="008C5CFA" w:rsidP="00300A01">
            <w:pPr>
              <w:spacing w:before="0" w:after="0"/>
              <w:jc w:val="right"/>
              <w:rPr>
                <w:sz w:val="12"/>
                <w:szCs w:val="12"/>
                <w:lang w:val="fr-BE"/>
              </w:rPr>
            </w:pPr>
          </w:p>
        </w:tc>
        <w:tc>
          <w:tcPr>
            <w:tcW w:w="0" w:type="auto"/>
            <w:shd w:val="clear" w:color="auto" w:fill="auto"/>
          </w:tcPr>
          <w:p w14:paraId="46B0997E" w14:textId="77777777" w:rsidR="008C5CFA" w:rsidRPr="00BA47B4" w:rsidRDefault="00E82A60" w:rsidP="00300A01">
            <w:pPr>
              <w:spacing w:before="0" w:after="0"/>
              <w:jc w:val="right"/>
              <w:rPr>
                <w:sz w:val="12"/>
                <w:szCs w:val="12"/>
                <w:lang w:val="fr-BE"/>
              </w:rPr>
            </w:pPr>
            <w:r w:rsidRPr="00BA47B4">
              <w:rPr>
                <w:noProof/>
                <w:sz w:val="12"/>
                <w:szCs w:val="12"/>
                <w:lang w:val="fr-BE"/>
              </w:rPr>
              <w:t>489,00</w:t>
            </w:r>
          </w:p>
        </w:tc>
        <w:tc>
          <w:tcPr>
            <w:tcW w:w="0" w:type="auto"/>
            <w:shd w:val="clear" w:color="auto" w:fill="auto"/>
          </w:tcPr>
          <w:p w14:paraId="7FFD52A2" w14:textId="77777777" w:rsidR="008C5CFA" w:rsidRPr="00BA47B4" w:rsidRDefault="00E82A60" w:rsidP="00300A01">
            <w:pPr>
              <w:spacing w:before="0" w:after="0"/>
              <w:jc w:val="right"/>
              <w:rPr>
                <w:sz w:val="12"/>
                <w:szCs w:val="12"/>
                <w:lang w:val="fr-BE"/>
              </w:rPr>
            </w:pPr>
            <w:r w:rsidRPr="00BA47B4">
              <w:rPr>
                <w:noProof/>
                <w:sz w:val="12"/>
                <w:szCs w:val="12"/>
                <w:lang w:val="fr-BE"/>
              </w:rPr>
              <w:t>270,00</w:t>
            </w:r>
          </w:p>
        </w:tc>
        <w:tc>
          <w:tcPr>
            <w:tcW w:w="0" w:type="auto"/>
            <w:shd w:val="clear" w:color="auto" w:fill="auto"/>
          </w:tcPr>
          <w:p w14:paraId="34580537" w14:textId="77777777" w:rsidR="008C5CFA" w:rsidRPr="00BA47B4" w:rsidRDefault="00E82A60" w:rsidP="00300A01">
            <w:pPr>
              <w:spacing w:before="0" w:after="0"/>
              <w:jc w:val="right"/>
              <w:rPr>
                <w:sz w:val="12"/>
                <w:szCs w:val="12"/>
                <w:lang w:val="fr-BE"/>
              </w:rPr>
            </w:pPr>
            <w:r w:rsidRPr="00BA47B4">
              <w:rPr>
                <w:noProof/>
                <w:sz w:val="12"/>
                <w:szCs w:val="12"/>
                <w:lang w:val="fr-BE"/>
              </w:rPr>
              <w:t>219,00</w:t>
            </w:r>
          </w:p>
        </w:tc>
        <w:tc>
          <w:tcPr>
            <w:tcW w:w="0" w:type="auto"/>
            <w:shd w:val="clear" w:color="auto" w:fill="auto"/>
          </w:tcPr>
          <w:p w14:paraId="2FCCEC44" w14:textId="77777777" w:rsidR="008C5CFA" w:rsidRPr="00BA47B4" w:rsidRDefault="008C5CFA" w:rsidP="00300A01">
            <w:pPr>
              <w:spacing w:before="0" w:after="0"/>
              <w:jc w:val="right"/>
              <w:rPr>
                <w:sz w:val="12"/>
                <w:szCs w:val="12"/>
                <w:lang w:val="fr-BE"/>
              </w:rPr>
            </w:pPr>
          </w:p>
        </w:tc>
        <w:tc>
          <w:tcPr>
            <w:tcW w:w="0" w:type="auto"/>
            <w:shd w:val="clear" w:color="auto" w:fill="auto"/>
          </w:tcPr>
          <w:p w14:paraId="6390CC03" w14:textId="77777777" w:rsidR="008C5CFA" w:rsidRPr="00BA47B4" w:rsidRDefault="008C5CFA" w:rsidP="00300A01">
            <w:pPr>
              <w:spacing w:before="0" w:after="0"/>
              <w:jc w:val="right"/>
              <w:rPr>
                <w:sz w:val="12"/>
                <w:szCs w:val="12"/>
                <w:lang w:val="fr-BE"/>
              </w:rPr>
            </w:pPr>
          </w:p>
        </w:tc>
        <w:tc>
          <w:tcPr>
            <w:tcW w:w="0" w:type="auto"/>
            <w:shd w:val="clear" w:color="auto" w:fill="auto"/>
          </w:tcPr>
          <w:p w14:paraId="44EF6ABA" w14:textId="77777777" w:rsidR="008C5CFA" w:rsidRPr="00BA47B4" w:rsidRDefault="008C5CFA" w:rsidP="00300A01">
            <w:pPr>
              <w:spacing w:before="0" w:after="0"/>
              <w:jc w:val="right"/>
              <w:rPr>
                <w:sz w:val="12"/>
                <w:szCs w:val="12"/>
                <w:lang w:val="fr-BE"/>
              </w:rPr>
            </w:pPr>
          </w:p>
        </w:tc>
        <w:tc>
          <w:tcPr>
            <w:tcW w:w="0" w:type="auto"/>
          </w:tcPr>
          <w:p w14:paraId="2FDE4108"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14:paraId="7C71931D"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14:paraId="2C25BD1E" w14:textId="77777777" w:rsidR="008C5CFA" w:rsidRPr="00BA47B4" w:rsidRDefault="00E82A60" w:rsidP="00300A01">
            <w:pPr>
              <w:spacing w:before="0" w:after="0"/>
              <w:jc w:val="right"/>
              <w:rPr>
                <w:sz w:val="12"/>
                <w:szCs w:val="12"/>
                <w:lang w:val="fr-BE"/>
              </w:rPr>
            </w:pPr>
            <w:r w:rsidRPr="00A92B39">
              <w:rPr>
                <w:noProof/>
                <w:sz w:val="10"/>
                <w:szCs w:val="10"/>
                <w:lang w:val="fr-BE"/>
              </w:rPr>
              <w:t>0,00</w:t>
            </w:r>
          </w:p>
        </w:tc>
      </w:tr>
      <w:tr w:rsidR="006B2EC1" w14:paraId="7479FF99" w14:textId="77777777" w:rsidTr="0047688D">
        <w:tc>
          <w:tcPr>
            <w:tcW w:w="0" w:type="auto"/>
            <w:shd w:val="clear" w:color="auto" w:fill="auto"/>
          </w:tcPr>
          <w:p w14:paraId="09692719" w14:textId="77777777" w:rsidR="008C5CFA" w:rsidRPr="00BA47B4" w:rsidRDefault="00E82A60" w:rsidP="00300A01">
            <w:pPr>
              <w:spacing w:before="0" w:after="0"/>
              <w:rPr>
                <w:sz w:val="12"/>
                <w:szCs w:val="12"/>
                <w:lang w:val="fr-BE"/>
              </w:rPr>
            </w:pPr>
            <w:r>
              <w:rPr>
                <w:noProof/>
                <w:sz w:val="12"/>
                <w:szCs w:val="12"/>
                <w:lang w:val="fr-BE"/>
              </w:rPr>
              <w:t>CO17</w:t>
            </w:r>
          </w:p>
        </w:tc>
        <w:tc>
          <w:tcPr>
            <w:tcW w:w="0" w:type="auto"/>
            <w:shd w:val="clear" w:color="auto" w:fill="auto"/>
          </w:tcPr>
          <w:p w14:paraId="220DAB32" w14:textId="77777777" w:rsidR="008C5CFA" w:rsidRPr="00BA47B4" w:rsidRDefault="00E82A60" w:rsidP="00300A01">
            <w:pPr>
              <w:spacing w:before="0" w:after="0"/>
              <w:rPr>
                <w:sz w:val="12"/>
                <w:szCs w:val="12"/>
                <w:lang w:val="fr-BE"/>
              </w:rPr>
            </w:pPr>
            <w:r>
              <w:rPr>
                <w:noProof/>
                <w:sz w:val="12"/>
                <w:szCs w:val="12"/>
                <w:lang w:val="fr-BE"/>
              </w:rPr>
              <w:t>inne osoby w niekorzystnej sytuacji społecznej</w:t>
            </w:r>
          </w:p>
        </w:tc>
        <w:tc>
          <w:tcPr>
            <w:tcW w:w="0" w:type="auto"/>
            <w:shd w:val="clear" w:color="auto" w:fill="auto"/>
          </w:tcPr>
          <w:p w14:paraId="016D7117" w14:textId="77777777" w:rsidR="008C5CFA" w:rsidRPr="00BA47B4" w:rsidRDefault="00E82A60"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14:paraId="5E981D40" w14:textId="77777777" w:rsidR="008C5CFA" w:rsidRPr="00BA47B4" w:rsidRDefault="008C5CFA" w:rsidP="00300A01">
            <w:pPr>
              <w:spacing w:before="0" w:after="0"/>
              <w:jc w:val="right"/>
              <w:rPr>
                <w:sz w:val="12"/>
                <w:szCs w:val="12"/>
                <w:lang w:val="fr-BE"/>
              </w:rPr>
            </w:pPr>
          </w:p>
        </w:tc>
        <w:tc>
          <w:tcPr>
            <w:tcW w:w="0" w:type="auto"/>
            <w:shd w:val="clear" w:color="auto" w:fill="auto"/>
          </w:tcPr>
          <w:p w14:paraId="0CA70C4D" w14:textId="77777777" w:rsidR="008C5CFA" w:rsidRPr="00BA47B4" w:rsidRDefault="008C5CFA" w:rsidP="00300A01">
            <w:pPr>
              <w:spacing w:before="0" w:after="0"/>
              <w:jc w:val="right"/>
              <w:rPr>
                <w:sz w:val="12"/>
                <w:szCs w:val="12"/>
                <w:lang w:val="fr-BE"/>
              </w:rPr>
            </w:pPr>
          </w:p>
        </w:tc>
        <w:tc>
          <w:tcPr>
            <w:tcW w:w="0" w:type="auto"/>
            <w:shd w:val="clear" w:color="auto" w:fill="auto"/>
          </w:tcPr>
          <w:p w14:paraId="7F8FA210" w14:textId="77777777" w:rsidR="008C5CFA" w:rsidRPr="00BA47B4" w:rsidRDefault="008C5CFA" w:rsidP="00300A01">
            <w:pPr>
              <w:spacing w:before="0" w:after="0"/>
              <w:jc w:val="right"/>
              <w:rPr>
                <w:sz w:val="12"/>
                <w:szCs w:val="12"/>
                <w:lang w:val="fr-BE"/>
              </w:rPr>
            </w:pPr>
          </w:p>
        </w:tc>
        <w:tc>
          <w:tcPr>
            <w:tcW w:w="0" w:type="auto"/>
            <w:shd w:val="clear" w:color="auto" w:fill="auto"/>
          </w:tcPr>
          <w:p w14:paraId="44493394" w14:textId="77777777" w:rsidR="008C5CFA" w:rsidRPr="00BA47B4" w:rsidRDefault="00E82A60" w:rsidP="00300A01">
            <w:pPr>
              <w:spacing w:before="0" w:after="0"/>
              <w:jc w:val="right"/>
              <w:rPr>
                <w:sz w:val="12"/>
                <w:szCs w:val="12"/>
                <w:lang w:val="fr-BE"/>
              </w:rPr>
            </w:pPr>
            <w:r w:rsidRPr="00BA47B4">
              <w:rPr>
                <w:noProof/>
                <w:sz w:val="12"/>
                <w:szCs w:val="12"/>
                <w:lang w:val="fr-BE"/>
              </w:rPr>
              <w:t>2 783,00</w:t>
            </w:r>
          </w:p>
        </w:tc>
        <w:tc>
          <w:tcPr>
            <w:tcW w:w="0" w:type="auto"/>
            <w:shd w:val="clear" w:color="auto" w:fill="auto"/>
          </w:tcPr>
          <w:p w14:paraId="474C80AB" w14:textId="77777777" w:rsidR="008C5CFA" w:rsidRPr="00BA47B4" w:rsidRDefault="00E82A60" w:rsidP="00300A01">
            <w:pPr>
              <w:spacing w:before="0" w:after="0"/>
              <w:jc w:val="right"/>
              <w:rPr>
                <w:sz w:val="12"/>
                <w:szCs w:val="12"/>
                <w:lang w:val="fr-BE"/>
              </w:rPr>
            </w:pPr>
            <w:r w:rsidRPr="00BA47B4">
              <w:rPr>
                <w:noProof/>
                <w:sz w:val="12"/>
                <w:szCs w:val="12"/>
                <w:lang w:val="fr-BE"/>
              </w:rPr>
              <w:t>1 366,00</w:t>
            </w:r>
          </w:p>
        </w:tc>
        <w:tc>
          <w:tcPr>
            <w:tcW w:w="0" w:type="auto"/>
            <w:shd w:val="clear" w:color="auto" w:fill="auto"/>
          </w:tcPr>
          <w:p w14:paraId="5CF0FA09" w14:textId="77777777" w:rsidR="008C5CFA" w:rsidRPr="00BA47B4" w:rsidRDefault="00E82A60" w:rsidP="00300A01">
            <w:pPr>
              <w:spacing w:before="0" w:after="0"/>
              <w:jc w:val="right"/>
              <w:rPr>
                <w:sz w:val="12"/>
                <w:szCs w:val="12"/>
                <w:lang w:val="fr-BE"/>
              </w:rPr>
            </w:pPr>
            <w:r w:rsidRPr="00BA47B4">
              <w:rPr>
                <w:noProof/>
                <w:sz w:val="12"/>
                <w:szCs w:val="12"/>
                <w:lang w:val="fr-BE"/>
              </w:rPr>
              <w:t>1 417,00</w:t>
            </w:r>
          </w:p>
        </w:tc>
        <w:tc>
          <w:tcPr>
            <w:tcW w:w="0" w:type="auto"/>
            <w:shd w:val="clear" w:color="auto" w:fill="auto"/>
          </w:tcPr>
          <w:p w14:paraId="23B503E9" w14:textId="77777777" w:rsidR="008C5CFA" w:rsidRPr="00BA47B4" w:rsidRDefault="008C5CFA" w:rsidP="00300A01">
            <w:pPr>
              <w:spacing w:before="0" w:after="0"/>
              <w:jc w:val="right"/>
              <w:rPr>
                <w:sz w:val="12"/>
                <w:szCs w:val="12"/>
                <w:lang w:val="fr-BE"/>
              </w:rPr>
            </w:pPr>
          </w:p>
        </w:tc>
        <w:tc>
          <w:tcPr>
            <w:tcW w:w="0" w:type="auto"/>
            <w:shd w:val="clear" w:color="auto" w:fill="auto"/>
          </w:tcPr>
          <w:p w14:paraId="7263D6E9" w14:textId="77777777" w:rsidR="008C5CFA" w:rsidRPr="00BA47B4" w:rsidRDefault="008C5CFA" w:rsidP="00300A01">
            <w:pPr>
              <w:spacing w:before="0" w:after="0"/>
              <w:jc w:val="right"/>
              <w:rPr>
                <w:sz w:val="12"/>
                <w:szCs w:val="12"/>
                <w:lang w:val="fr-BE"/>
              </w:rPr>
            </w:pPr>
          </w:p>
        </w:tc>
        <w:tc>
          <w:tcPr>
            <w:tcW w:w="0" w:type="auto"/>
            <w:shd w:val="clear" w:color="auto" w:fill="auto"/>
          </w:tcPr>
          <w:p w14:paraId="7B389D9B" w14:textId="77777777" w:rsidR="008C5CFA" w:rsidRPr="00BA47B4" w:rsidRDefault="008C5CFA" w:rsidP="00300A01">
            <w:pPr>
              <w:spacing w:before="0" w:after="0"/>
              <w:jc w:val="right"/>
              <w:rPr>
                <w:sz w:val="12"/>
                <w:szCs w:val="12"/>
                <w:lang w:val="fr-BE"/>
              </w:rPr>
            </w:pPr>
          </w:p>
        </w:tc>
        <w:tc>
          <w:tcPr>
            <w:tcW w:w="0" w:type="auto"/>
          </w:tcPr>
          <w:p w14:paraId="460331FA" w14:textId="77777777" w:rsidR="008C5CFA" w:rsidRPr="00A92B39" w:rsidRDefault="00E82A60" w:rsidP="00300A01">
            <w:pPr>
              <w:spacing w:before="0" w:after="0"/>
              <w:jc w:val="right"/>
              <w:rPr>
                <w:sz w:val="10"/>
                <w:szCs w:val="10"/>
                <w:lang w:val="fr-BE"/>
              </w:rPr>
            </w:pPr>
            <w:r w:rsidRPr="00A92B39">
              <w:rPr>
                <w:noProof/>
                <w:sz w:val="10"/>
                <w:szCs w:val="10"/>
                <w:lang w:val="fr-BE"/>
              </w:rPr>
              <w:t>17,00</w:t>
            </w:r>
          </w:p>
        </w:tc>
        <w:tc>
          <w:tcPr>
            <w:tcW w:w="0" w:type="auto"/>
            <w:shd w:val="clear" w:color="auto" w:fill="auto"/>
          </w:tcPr>
          <w:p w14:paraId="03A1289A" w14:textId="77777777" w:rsidR="008C5CFA" w:rsidRPr="00A92B39" w:rsidRDefault="00E82A60" w:rsidP="00300A01">
            <w:pPr>
              <w:spacing w:before="0" w:after="0"/>
              <w:jc w:val="right"/>
              <w:rPr>
                <w:sz w:val="10"/>
                <w:szCs w:val="10"/>
                <w:lang w:val="fr-BE"/>
              </w:rPr>
            </w:pPr>
            <w:r w:rsidRPr="00A92B39">
              <w:rPr>
                <w:noProof/>
                <w:sz w:val="10"/>
                <w:szCs w:val="10"/>
                <w:lang w:val="fr-BE"/>
              </w:rPr>
              <w:t>7,00</w:t>
            </w:r>
          </w:p>
        </w:tc>
        <w:tc>
          <w:tcPr>
            <w:tcW w:w="0" w:type="auto"/>
            <w:shd w:val="clear" w:color="auto" w:fill="auto"/>
          </w:tcPr>
          <w:p w14:paraId="589F5B2F" w14:textId="77777777" w:rsidR="008C5CFA" w:rsidRPr="00BA47B4" w:rsidRDefault="00E82A60" w:rsidP="00300A01">
            <w:pPr>
              <w:spacing w:before="0" w:after="0"/>
              <w:jc w:val="right"/>
              <w:rPr>
                <w:sz w:val="12"/>
                <w:szCs w:val="12"/>
                <w:lang w:val="fr-BE"/>
              </w:rPr>
            </w:pPr>
            <w:r w:rsidRPr="00A92B39">
              <w:rPr>
                <w:noProof/>
                <w:sz w:val="10"/>
                <w:szCs w:val="10"/>
                <w:lang w:val="fr-BE"/>
              </w:rPr>
              <w:t>10,00</w:t>
            </w:r>
          </w:p>
        </w:tc>
      </w:tr>
      <w:tr w:rsidR="006B2EC1" w14:paraId="33BC2AC0" w14:textId="77777777" w:rsidTr="0047688D">
        <w:tc>
          <w:tcPr>
            <w:tcW w:w="0" w:type="auto"/>
            <w:shd w:val="clear" w:color="auto" w:fill="auto"/>
          </w:tcPr>
          <w:p w14:paraId="074F9582" w14:textId="77777777" w:rsidR="008C5CFA" w:rsidRPr="00BA47B4" w:rsidRDefault="00E82A60" w:rsidP="00300A01">
            <w:pPr>
              <w:spacing w:before="0" w:after="0"/>
              <w:rPr>
                <w:sz w:val="12"/>
                <w:szCs w:val="12"/>
                <w:lang w:val="fr-BE"/>
              </w:rPr>
            </w:pPr>
            <w:r>
              <w:rPr>
                <w:noProof/>
                <w:sz w:val="12"/>
                <w:szCs w:val="12"/>
                <w:lang w:val="fr-BE"/>
              </w:rPr>
              <w:t>CO18</w:t>
            </w:r>
          </w:p>
        </w:tc>
        <w:tc>
          <w:tcPr>
            <w:tcW w:w="0" w:type="auto"/>
            <w:shd w:val="clear" w:color="auto" w:fill="auto"/>
          </w:tcPr>
          <w:p w14:paraId="132758B2" w14:textId="77777777" w:rsidR="008C5CFA" w:rsidRPr="00BA47B4" w:rsidRDefault="00E82A60" w:rsidP="00300A01">
            <w:pPr>
              <w:spacing w:before="0" w:after="0"/>
              <w:rPr>
                <w:sz w:val="12"/>
                <w:szCs w:val="12"/>
                <w:lang w:val="fr-BE"/>
              </w:rPr>
            </w:pPr>
            <w:r>
              <w:rPr>
                <w:noProof/>
                <w:sz w:val="12"/>
                <w:szCs w:val="12"/>
                <w:lang w:val="fr-BE"/>
              </w:rPr>
              <w:t>osoby bezdomne lub dotknięte wykluczeniem z dostępu do mieszkań</w:t>
            </w:r>
          </w:p>
        </w:tc>
        <w:tc>
          <w:tcPr>
            <w:tcW w:w="0" w:type="auto"/>
            <w:shd w:val="clear" w:color="auto" w:fill="auto"/>
          </w:tcPr>
          <w:p w14:paraId="67826E8B" w14:textId="77777777" w:rsidR="008C5CFA" w:rsidRPr="00BA47B4" w:rsidRDefault="00E82A60"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14:paraId="11D7A816" w14:textId="77777777" w:rsidR="008C5CFA" w:rsidRPr="00BA47B4" w:rsidRDefault="008C5CFA" w:rsidP="00300A01">
            <w:pPr>
              <w:spacing w:before="0" w:after="0"/>
              <w:jc w:val="right"/>
              <w:rPr>
                <w:sz w:val="12"/>
                <w:szCs w:val="12"/>
                <w:lang w:val="fr-BE"/>
              </w:rPr>
            </w:pPr>
          </w:p>
        </w:tc>
        <w:tc>
          <w:tcPr>
            <w:tcW w:w="0" w:type="auto"/>
            <w:shd w:val="clear" w:color="auto" w:fill="auto"/>
          </w:tcPr>
          <w:p w14:paraId="19580273" w14:textId="77777777" w:rsidR="008C5CFA" w:rsidRPr="00BA47B4" w:rsidRDefault="008C5CFA" w:rsidP="00300A01">
            <w:pPr>
              <w:spacing w:before="0" w:after="0"/>
              <w:jc w:val="right"/>
              <w:rPr>
                <w:sz w:val="12"/>
                <w:szCs w:val="12"/>
                <w:lang w:val="fr-BE"/>
              </w:rPr>
            </w:pPr>
          </w:p>
        </w:tc>
        <w:tc>
          <w:tcPr>
            <w:tcW w:w="0" w:type="auto"/>
            <w:shd w:val="clear" w:color="auto" w:fill="auto"/>
          </w:tcPr>
          <w:p w14:paraId="6062C0EE" w14:textId="77777777" w:rsidR="008C5CFA" w:rsidRPr="00BA47B4" w:rsidRDefault="008C5CFA" w:rsidP="00300A01">
            <w:pPr>
              <w:spacing w:before="0" w:after="0"/>
              <w:jc w:val="right"/>
              <w:rPr>
                <w:sz w:val="12"/>
                <w:szCs w:val="12"/>
                <w:lang w:val="fr-BE"/>
              </w:rPr>
            </w:pPr>
          </w:p>
        </w:tc>
        <w:tc>
          <w:tcPr>
            <w:tcW w:w="0" w:type="auto"/>
            <w:shd w:val="clear" w:color="auto" w:fill="auto"/>
          </w:tcPr>
          <w:p w14:paraId="47904B6B" w14:textId="77777777" w:rsidR="008C5CFA" w:rsidRPr="00BA47B4" w:rsidRDefault="00E82A60" w:rsidP="00300A01">
            <w:pPr>
              <w:spacing w:before="0" w:after="0"/>
              <w:jc w:val="right"/>
              <w:rPr>
                <w:sz w:val="12"/>
                <w:szCs w:val="12"/>
                <w:lang w:val="fr-BE"/>
              </w:rPr>
            </w:pPr>
            <w:r w:rsidRPr="00BA47B4">
              <w:rPr>
                <w:noProof/>
                <w:sz w:val="12"/>
                <w:szCs w:val="12"/>
                <w:lang w:val="fr-BE"/>
              </w:rPr>
              <w:t>11,00</w:t>
            </w:r>
          </w:p>
        </w:tc>
        <w:tc>
          <w:tcPr>
            <w:tcW w:w="0" w:type="auto"/>
            <w:shd w:val="clear" w:color="auto" w:fill="auto"/>
          </w:tcPr>
          <w:p w14:paraId="05AA235D" w14:textId="77777777" w:rsidR="008C5CFA" w:rsidRPr="00BA47B4" w:rsidRDefault="00E82A60" w:rsidP="00300A01">
            <w:pPr>
              <w:spacing w:before="0" w:after="0"/>
              <w:jc w:val="right"/>
              <w:rPr>
                <w:sz w:val="12"/>
                <w:szCs w:val="12"/>
                <w:lang w:val="fr-BE"/>
              </w:rPr>
            </w:pPr>
            <w:r w:rsidRPr="00BA47B4">
              <w:rPr>
                <w:noProof/>
                <w:sz w:val="12"/>
                <w:szCs w:val="12"/>
                <w:lang w:val="fr-BE"/>
              </w:rPr>
              <w:t>4,00</w:t>
            </w:r>
          </w:p>
        </w:tc>
        <w:tc>
          <w:tcPr>
            <w:tcW w:w="0" w:type="auto"/>
            <w:shd w:val="clear" w:color="auto" w:fill="auto"/>
          </w:tcPr>
          <w:p w14:paraId="6B1B51F1" w14:textId="77777777" w:rsidR="008C5CFA" w:rsidRPr="00BA47B4" w:rsidRDefault="00E82A60" w:rsidP="00300A01">
            <w:pPr>
              <w:spacing w:before="0" w:after="0"/>
              <w:jc w:val="right"/>
              <w:rPr>
                <w:sz w:val="12"/>
                <w:szCs w:val="12"/>
                <w:lang w:val="fr-BE"/>
              </w:rPr>
            </w:pPr>
            <w:r w:rsidRPr="00BA47B4">
              <w:rPr>
                <w:noProof/>
                <w:sz w:val="12"/>
                <w:szCs w:val="12"/>
                <w:lang w:val="fr-BE"/>
              </w:rPr>
              <w:t>7,00</w:t>
            </w:r>
          </w:p>
        </w:tc>
        <w:tc>
          <w:tcPr>
            <w:tcW w:w="0" w:type="auto"/>
            <w:shd w:val="clear" w:color="auto" w:fill="auto"/>
          </w:tcPr>
          <w:p w14:paraId="12237C5F" w14:textId="77777777" w:rsidR="008C5CFA" w:rsidRPr="00BA47B4" w:rsidRDefault="008C5CFA" w:rsidP="00300A01">
            <w:pPr>
              <w:spacing w:before="0" w:after="0"/>
              <w:jc w:val="right"/>
              <w:rPr>
                <w:sz w:val="12"/>
                <w:szCs w:val="12"/>
                <w:lang w:val="fr-BE"/>
              </w:rPr>
            </w:pPr>
          </w:p>
        </w:tc>
        <w:tc>
          <w:tcPr>
            <w:tcW w:w="0" w:type="auto"/>
            <w:shd w:val="clear" w:color="auto" w:fill="auto"/>
          </w:tcPr>
          <w:p w14:paraId="7666F8B0" w14:textId="77777777" w:rsidR="008C5CFA" w:rsidRPr="00BA47B4" w:rsidRDefault="008C5CFA" w:rsidP="00300A01">
            <w:pPr>
              <w:spacing w:before="0" w:after="0"/>
              <w:jc w:val="right"/>
              <w:rPr>
                <w:sz w:val="12"/>
                <w:szCs w:val="12"/>
                <w:lang w:val="fr-BE"/>
              </w:rPr>
            </w:pPr>
          </w:p>
        </w:tc>
        <w:tc>
          <w:tcPr>
            <w:tcW w:w="0" w:type="auto"/>
            <w:shd w:val="clear" w:color="auto" w:fill="auto"/>
          </w:tcPr>
          <w:p w14:paraId="675F7045" w14:textId="77777777" w:rsidR="008C5CFA" w:rsidRPr="00BA47B4" w:rsidRDefault="008C5CFA" w:rsidP="00300A01">
            <w:pPr>
              <w:spacing w:before="0" w:after="0"/>
              <w:jc w:val="right"/>
              <w:rPr>
                <w:sz w:val="12"/>
                <w:szCs w:val="12"/>
                <w:lang w:val="fr-BE"/>
              </w:rPr>
            </w:pPr>
          </w:p>
        </w:tc>
        <w:tc>
          <w:tcPr>
            <w:tcW w:w="0" w:type="auto"/>
          </w:tcPr>
          <w:p w14:paraId="5362FC7A"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14:paraId="177CC65D"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14:paraId="28D2A2CC" w14:textId="77777777" w:rsidR="008C5CFA" w:rsidRPr="00BA47B4" w:rsidRDefault="00E82A60" w:rsidP="00300A01">
            <w:pPr>
              <w:spacing w:before="0" w:after="0"/>
              <w:jc w:val="right"/>
              <w:rPr>
                <w:sz w:val="12"/>
                <w:szCs w:val="12"/>
                <w:lang w:val="fr-BE"/>
              </w:rPr>
            </w:pPr>
            <w:r w:rsidRPr="00A92B39">
              <w:rPr>
                <w:noProof/>
                <w:sz w:val="10"/>
                <w:szCs w:val="10"/>
                <w:lang w:val="fr-BE"/>
              </w:rPr>
              <w:t>0,00</w:t>
            </w:r>
          </w:p>
        </w:tc>
      </w:tr>
      <w:tr w:rsidR="006B2EC1" w14:paraId="53D54823" w14:textId="77777777" w:rsidTr="0047688D">
        <w:tc>
          <w:tcPr>
            <w:tcW w:w="0" w:type="auto"/>
            <w:shd w:val="clear" w:color="auto" w:fill="auto"/>
          </w:tcPr>
          <w:p w14:paraId="54C0DBE5" w14:textId="77777777" w:rsidR="008C5CFA" w:rsidRPr="00BA47B4" w:rsidRDefault="00E82A60" w:rsidP="00300A01">
            <w:pPr>
              <w:spacing w:before="0" w:after="0"/>
              <w:rPr>
                <w:sz w:val="12"/>
                <w:szCs w:val="12"/>
                <w:lang w:val="fr-BE"/>
              </w:rPr>
            </w:pPr>
            <w:r>
              <w:rPr>
                <w:noProof/>
                <w:sz w:val="12"/>
                <w:szCs w:val="12"/>
                <w:lang w:val="fr-BE"/>
              </w:rPr>
              <w:t>CO19</w:t>
            </w:r>
          </w:p>
        </w:tc>
        <w:tc>
          <w:tcPr>
            <w:tcW w:w="0" w:type="auto"/>
            <w:shd w:val="clear" w:color="auto" w:fill="auto"/>
          </w:tcPr>
          <w:p w14:paraId="05C0B95C" w14:textId="77777777" w:rsidR="008C5CFA" w:rsidRPr="00BA47B4" w:rsidRDefault="00E82A60" w:rsidP="00300A01">
            <w:pPr>
              <w:spacing w:before="0" w:after="0"/>
              <w:rPr>
                <w:sz w:val="12"/>
                <w:szCs w:val="12"/>
                <w:lang w:val="fr-BE"/>
              </w:rPr>
            </w:pPr>
            <w:r>
              <w:rPr>
                <w:noProof/>
                <w:sz w:val="12"/>
                <w:szCs w:val="12"/>
                <w:lang w:val="fr-BE"/>
              </w:rPr>
              <w:t>osoby pochodzące z obszarów wiejskich</w:t>
            </w:r>
          </w:p>
        </w:tc>
        <w:tc>
          <w:tcPr>
            <w:tcW w:w="0" w:type="auto"/>
            <w:shd w:val="clear" w:color="auto" w:fill="auto"/>
          </w:tcPr>
          <w:p w14:paraId="4D93B7BE" w14:textId="77777777" w:rsidR="008C5CFA" w:rsidRPr="00BA47B4" w:rsidRDefault="00E82A60"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14:paraId="36FCCC24" w14:textId="77777777" w:rsidR="008C5CFA" w:rsidRPr="00BA47B4" w:rsidRDefault="008C5CFA" w:rsidP="00300A01">
            <w:pPr>
              <w:spacing w:before="0" w:after="0"/>
              <w:jc w:val="right"/>
              <w:rPr>
                <w:sz w:val="12"/>
                <w:szCs w:val="12"/>
                <w:lang w:val="fr-BE"/>
              </w:rPr>
            </w:pPr>
          </w:p>
        </w:tc>
        <w:tc>
          <w:tcPr>
            <w:tcW w:w="0" w:type="auto"/>
            <w:shd w:val="clear" w:color="auto" w:fill="auto"/>
          </w:tcPr>
          <w:p w14:paraId="1B304BEF" w14:textId="77777777" w:rsidR="008C5CFA" w:rsidRPr="00BA47B4" w:rsidRDefault="008C5CFA" w:rsidP="00300A01">
            <w:pPr>
              <w:spacing w:before="0" w:after="0"/>
              <w:jc w:val="right"/>
              <w:rPr>
                <w:sz w:val="12"/>
                <w:szCs w:val="12"/>
                <w:lang w:val="fr-BE"/>
              </w:rPr>
            </w:pPr>
          </w:p>
        </w:tc>
        <w:tc>
          <w:tcPr>
            <w:tcW w:w="0" w:type="auto"/>
            <w:shd w:val="clear" w:color="auto" w:fill="auto"/>
          </w:tcPr>
          <w:p w14:paraId="26DDD4E9" w14:textId="77777777" w:rsidR="008C5CFA" w:rsidRPr="00BA47B4" w:rsidRDefault="008C5CFA" w:rsidP="00300A01">
            <w:pPr>
              <w:spacing w:before="0" w:after="0"/>
              <w:jc w:val="right"/>
              <w:rPr>
                <w:sz w:val="12"/>
                <w:szCs w:val="12"/>
                <w:lang w:val="fr-BE"/>
              </w:rPr>
            </w:pPr>
          </w:p>
        </w:tc>
        <w:tc>
          <w:tcPr>
            <w:tcW w:w="0" w:type="auto"/>
            <w:shd w:val="clear" w:color="auto" w:fill="auto"/>
          </w:tcPr>
          <w:p w14:paraId="273DB441" w14:textId="77777777" w:rsidR="008C5CFA" w:rsidRPr="00BA47B4" w:rsidRDefault="00E82A60" w:rsidP="00300A01">
            <w:pPr>
              <w:spacing w:before="0" w:after="0"/>
              <w:jc w:val="right"/>
              <w:rPr>
                <w:sz w:val="12"/>
                <w:szCs w:val="12"/>
                <w:lang w:val="fr-BE"/>
              </w:rPr>
            </w:pPr>
            <w:r w:rsidRPr="00BA47B4">
              <w:rPr>
                <w:noProof/>
                <w:sz w:val="12"/>
                <w:szCs w:val="12"/>
                <w:lang w:val="fr-BE"/>
              </w:rPr>
              <w:t>2 820,00</w:t>
            </w:r>
          </w:p>
        </w:tc>
        <w:tc>
          <w:tcPr>
            <w:tcW w:w="0" w:type="auto"/>
            <w:shd w:val="clear" w:color="auto" w:fill="auto"/>
          </w:tcPr>
          <w:p w14:paraId="0538F1A4" w14:textId="77777777" w:rsidR="008C5CFA" w:rsidRPr="00BA47B4" w:rsidRDefault="00E82A60" w:rsidP="00300A01">
            <w:pPr>
              <w:spacing w:before="0" w:after="0"/>
              <w:jc w:val="right"/>
              <w:rPr>
                <w:sz w:val="12"/>
                <w:szCs w:val="12"/>
                <w:lang w:val="fr-BE"/>
              </w:rPr>
            </w:pPr>
            <w:r w:rsidRPr="00BA47B4">
              <w:rPr>
                <w:noProof/>
                <w:sz w:val="12"/>
                <w:szCs w:val="12"/>
                <w:lang w:val="fr-BE"/>
              </w:rPr>
              <w:t>1 388,00</w:t>
            </w:r>
          </w:p>
        </w:tc>
        <w:tc>
          <w:tcPr>
            <w:tcW w:w="0" w:type="auto"/>
            <w:shd w:val="clear" w:color="auto" w:fill="auto"/>
          </w:tcPr>
          <w:p w14:paraId="749AD3C0" w14:textId="77777777" w:rsidR="008C5CFA" w:rsidRPr="00BA47B4" w:rsidRDefault="00E82A60" w:rsidP="00300A01">
            <w:pPr>
              <w:spacing w:before="0" w:after="0"/>
              <w:jc w:val="right"/>
              <w:rPr>
                <w:sz w:val="12"/>
                <w:szCs w:val="12"/>
                <w:lang w:val="fr-BE"/>
              </w:rPr>
            </w:pPr>
            <w:r w:rsidRPr="00BA47B4">
              <w:rPr>
                <w:noProof/>
                <w:sz w:val="12"/>
                <w:szCs w:val="12"/>
                <w:lang w:val="fr-BE"/>
              </w:rPr>
              <w:t>1 432,00</w:t>
            </w:r>
          </w:p>
        </w:tc>
        <w:tc>
          <w:tcPr>
            <w:tcW w:w="0" w:type="auto"/>
            <w:shd w:val="clear" w:color="auto" w:fill="auto"/>
          </w:tcPr>
          <w:p w14:paraId="72BA6F46" w14:textId="77777777" w:rsidR="008C5CFA" w:rsidRPr="00BA47B4" w:rsidRDefault="008C5CFA" w:rsidP="00300A01">
            <w:pPr>
              <w:spacing w:before="0" w:after="0"/>
              <w:jc w:val="right"/>
              <w:rPr>
                <w:sz w:val="12"/>
                <w:szCs w:val="12"/>
                <w:lang w:val="fr-BE"/>
              </w:rPr>
            </w:pPr>
          </w:p>
        </w:tc>
        <w:tc>
          <w:tcPr>
            <w:tcW w:w="0" w:type="auto"/>
            <w:shd w:val="clear" w:color="auto" w:fill="auto"/>
          </w:tcPr>
          <w:p w14:paraId="754BBA73" w14:textId="77777777" w:rsidR="008C5CFA" w:rsidRPr="00BA47B4" w:rsidRDefault="008C5CFA" w:rsidP="00300A01">
            <w:pPr>
              <w:spacing w:before="0" w:after="0"/>
              <w:jc w:val="right"/>
              <w:rPr>
                <w:sz w:val="12"/>
                <w:szCs w:val="12"/>
                <w:lang w:val="fr-BE"/>
              </w:rPr>
            </w:pPr>
          </w:p>
        </w:tc>
        <w:tc>
          <w:tcPr>
            <w:tcW w:w="0" w:type="auto"/>
            <w:shd w:val="clear" w:color="auto" w:fill="auto"/>
          </w:tcPr>
          <w:p w14:paraId="753CCEE0" w14:textId="77777777" w:rsidR="008C5CFA" w:rsidRPr="00BA47B4" w:rsidRDefault="008C5CFA" w:rsidP="00300A01">
            <w:pPr>
              <w:spacing w:before="0" w:after="0"/>
              <w:jc w:val="right"/>
              <w:rPr>
                <w:sz w:val="12"/>
                <w:szCs w:val="12"/>
                <w:lang w:val="fr-BE"/>
              </w:rPr>
            </w:pPr>
          </w:p>
        </w:tc>
        <w:tc>
          <w:tcPr>
            <w:tcW w:w="0" w:type="auto"/>
          </w:tcPr>
          <w:p w14:paraId="38D96661" w14:textId="77777777" w:rsidR="008C5CFA" w:rsidRPr="00A92B39" w:rsidRDefault="00E82A60" w:rsidP="00300A01">
            <w:pPr>
              <w:spacing w:before="0" w:after="0"/>
              <w:jc w:val="right"/>
              <w:rPr>
                <w:sz w:val="10"/>
                <w:szCs w:val="10"/>
                <w:lang w:val="fr-BE"/>
              </w:rPr>
            </w:pPr>
            <w:r w:rsidRPr="00A92B39">
              <w:rPr>
                <w:noProof/>
                <w:sz w:val="10"/>
                <w:szCs w:val="10"/>
                <w:lang w:val="fr-BE"/>
              </w:rPr>
              <w:t>16,00</w:t>
            </w:r>
          </w:p>
        </w:tc>
        <w:tc>
          <w:tcPr>
            <w:tcW w:w="0" w:type="auto"/>
            <w:shd w:val="clear" w:color="auto" w:fill="auto"/>
          </w:tcPr>
          <w:p w14:paraId="07396C96" w14:textId="77777777" w:rsidR="008C5CFA" w:rsidRPr="00A92B39" w:rsidRDefault="00E82A60" w:rsidP="00300A01">
            <w:pPr>
              <w:spacing w:before="0" w:after="0"/>
              <w:jc w:val="right"/>
              <w:rPr>
                <w:sz w:val="10"/>
                <w:szCs w:val="10"/>
                <w:lang w:val="fr-BE"/>
              </w:rPr>
            </w:pPr>
            <w:r w:rsidRPr="00A92B39">
              <w:rPr>
                <w:noProof/>
                <w:sz w:val="10"/>
                <w:szCs w:val="10"/>
                <w:lang w:val="fr-BE"/>
              </w:rPr>
              <w:t>7,00</w:t>
            </w:r>
          </w:p>
        </w:tc>
        <w:tc>
          <w:tcPr>
            <w:tcW w:w="0" w:type="auto"/>
            <w:shd w:val="clear" w:color="auto" w:fill="auto"/>
          </w:tcPr>
          <w:p w14:paraId="410765B3" w14:textId="77777777" w:rsidR="008C5CFA" w:rsidRPr="00BA47B4" w:rsidRDefault="00E82A60" w:rsidP="00300A01">
            <w:pPr>
              <w:spacing w:before="0" w:after="0"/>
              <w:jc w:val="right"/>
              <w:rPr>
                <w:sz w:val="12"/>
                <w:szCs w:val="12"/>
                <w:lang w:val="fr-BE"/>
              </w:rPr>
            </w:pPr>
            <w:r w:rsidRPr="00A92B39">
              <w:rPr>
                <w:noProof/>
                <w:sz w:val="10"/>
                <w:szCs w:val="10"/>
                <w:lang w:val="fr-BE"/>
              </w:rPr>
              <w:t>9,00</w:t>
            </w:r>
          </w:p>
        </w:tc>
      </w:tr>
      <w:tr w:rsidR="006B2EC1" w14:paraId="25843C1E" w14:textId="77777777" w:rsidTr="0047688D">
        <w:tc>
          <w:tcPr>
            <w:tcW w:w="0" w:type="auto"/>
            <w:shd w:val="clear" w:color="auto" w:fill="auto"/>
          </w:tcPr>
          <w:p w14:paraId="383D44D3" w14:textId="77777777" w:rsidR="008C5CFA" w:rsidRPr="00BA47B4" w:rsidRDefault="00E82A60" w:rsidP="00300A01">
            <w:pPr>
              <w:spacing w:before="0" w:after="0"/>
              <w:rPr>
                <w:sz w:val="12"/>
                <w:szCs w:val="12"/>
                <w:lang w:val="fr-BE"/>
              </w:rPr>
            </w:pPr>
            <w:r>
              <w:rPr>
                <w:noProof/>
                <w:sz w:val="12"/>
                <w:szCs w:val="12"/>
                <w:lang w:val="fr-BE"/>
              </w:rPr>
              <w:t>CO20</w:t>
            </w:r>
          </w:p>
        </w:tc>
        <w:tc>
          <w:tcPr>
            <w:tcW w:w="0" w:type="auto"/>
            <w:shd w:val="clear" w:color="auto" w:fill="auto"/>
          </w:tcPr>
          <w:p w14:paraId="218631E3" w14:textId="77777777" w:rsidR="008C5CFA" w:rsidRPr="00BA47B4" w:rsidRDefault="00E82A60" w:rsidP="00300A01">
            <w:pPr>
              <w:spacing w:before="0" w:after="0"/>
              <w:rPr>
                <w:sz w:val="12"/>
                <w:szCs w:val="12"/>
                <w:lang w:val="fr-BE"/>
              </w:rPr>
            </w:pPr>
            <w:r>
              <w:rPr>
                <w:noProof/>
                <w:sz w:val="12"/>
                <w:szCs w:val="12"/>
                <w:lang w:val="fr-BE"/>
              </w:rPr>
              <w:t>liczba projektów zrealizowanych w pełni lub częściowo przez partnerów społecznych lub organizacje pozarządowe</w:t>
            </w:r>
          </w:p>
        </w:tc>
        <w:tc>
          <w:tcPr>
            <w:tcW w:w="0" w:type="auto"/>
            <w:shd w:val="clear" w:color="auto" w:fill="auto"/>
          </w:tcPr>
          <w:p w14:paraId="3434A623" w14:textId="77777777" w:rsidR="008C5CFA" w:rsidRPr="00BA47B4" w:rsidRDefault="00E82A60"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14:paraId="62D649EE" w14:textId="77777777" w:rsidR="008C5CFA" w:rsidRPr="00BA47B4" w:rsidRDefault="008C5CFA" w:rsidP="00300A01">
            <w:pPr>
              <w:spacing w:before="0" w:after="0"/>
              <w:jc w:val="right"/>
              <w:rPr>
                <w:sz w:val="12"/>
                <w:szCs w:val="12"/>
                <w:lang w:val="fr-BE"/>
              </w:rPr>
            </w:pPr>
          </w:p>
        </w:tc>
        <w:tc>
          <w:tcPr>
            <w:tcW w:w="0" w:type="auto"/>
            <w:shd w:val="clear" w:color="auto" w:fill="auto"/>
          </w:tcPr>
          <w:p w14:paraId="51DF18A9" w14:textId="77777777" w:rsidR="008C5CFA" w:rsidRPr="00BA47B4" w:rsidRDefault="008C5CFA" w:rsidP="00300A01">
            <w:pPr>
              <w:spacing w:before="0" w:after="0"/>
              <w:jc w:val="right"/>
              <w:rPr>
                <w:sz w:val="12"/>
                <w:szCs w:val="12"/>
                <w:lang w:val="fr-BE"/>
              </w:rPr>
            </w:pPr>
          </w:p>
        </w:tc>
        <w:tc>
          <w:tcPr>
            <w:tcW w:w="0" w:type="auto"/>
            <w:shd w:val="clear" w:color="auto" w:fill="auto"/>
          </w:tcPr>
          <w:p w14:paraId="76C1E621" w14:textId="77777777" w:rsidR="008C5CFA" w:rsidRPr="00BA47B4" w:rsidRDefault="008C5CFA" w:rsidP="00300A01">
            <w:pPr>
              <w:spacing w:before="0" w:after="0"/>
              <w:jc w:val="right"/>
              <w:rPr>
                <w:sz w:val="12"/>
                <w:szCs w:val="12"/>
                <w:lang w:val="fr-BE"/>
              </w:rPr>
            </w:pPr>
          </w:p>
        </w:tc>
        <w:tc>
          <w:tcPr>
            <w:tcW w:w="0" w:type="auto"/>
            <w:shd w:val="clear" w:color="auto" w:fill="auto"/>
          </w:tcPr>
          <w:p w14:paraId="07A67EEC" w14:textId="77777777" w:rsidR="008C5CFA" w:rsidRPr="00BA47B4" w:rsidRDefault="00E82A60" w:rsidP="00300A01">
            <w:pPr>
              <w:spacing w:before="0" w:after="0"/>
              <w:jc w:val="right"/>
              <w:rPr>
                <w:sz w:val="12"/>
                <w:szCs w:val="12"/>
                <w:lang w:val="fr-BE"/>
              </w:rPr>
            </w:pPr>
            <w:r w:rsidRPr="00BA47B4">
              <w:rPr>
                <w:noProof/>
                <w:sz w:val="12"/>
                <w:szCs w:val="12"/>
                <w:lang w:val="fr-BE"/>
              </w:rPr>
              <w:t>5,00</w:t>
            </w:r>
          </w:p>
        </w:tc>
        <w:tc>
          <w:tcPr>
            <w:tcW w:w="0" w:type="auto"/>
            <w:shd w:val="clear" w:color="auto" w:fill="auto"/>
          </w:tcPr>
          <w:p w14:paraId="195FCBD3" w14:textId="77777777" w:rsidR="008C5CFA" w:rsidRPr="00BA47B4" w:rsidRDefault="008C5CFA" w:rsidP="00300A01">
            <w:pPr>
              <w:spacing w:before="0" w:after="0"/>
              <w:jc w:val="right"/>
              <w:rPr>
                <w:sz w:val="12"/>
                <w:szCs w:val="12"/>
                <w:lang w:val="fr-BE"/>
              </w:rPr>
            </w:pPr>
          </w:p>
        </w:tc>
        <w:tc>
          <w:tcPr>
            <w:tcW w:w="0" w:type="auto"/>
            <w:shd w:val="clear" w:color="auto" w:fill="auto"/>
          </w:tcPr>
          <w:p w14:paraId="0B1B17F3" w14:textId="77777777" w:rsidR="008C5CFA" w:rsidRPr="00BA47B4" w:rsidRDefault="008C5CFA" w:rsidP="00300A01">
            <w:pPr>
              <w:spacing w:before="0" w:after="0"/>
              <w:jc w:val="right"/>
              <w:rPr>
                <w:sz w:val="12"/>
                <w:szCs w:val="12"/>
                <w:lang w:val="fr-BE"/>
              </w:rPr>
            </w:pPr>
          </w:p>
        </w:tc>
        <w:tc>
          <w:tcPr>
            <w:tcW w:w="0" w:type="auto"/>
            <w:shd w:val="clear" w:color="auto" w:fill="auto"/>
          </w:tcPr>
          <w:p w14:paraId="297284E5" w14:textId="77777777" w:rsidR="008C5CFA" w:rsidRPr="00BA47B4" w:rsidRDefault="008C5CFA" w:rsidP="00300A01">
            <w:pPr>
              <w:spacing w:before="0" w:after="0"/>
              <w:jc w:val="right"/>
              <w:rPr>
                <w:sz w:val="12"/>
                <w:szCs w:val="12"/>
                <w:lang w:val="fr-BE"/>
              </w:rPr>
            </w:pPr>
          </w:p>
        </w:tc>
        <w:tc>
          <w:tcPr>
            <w:tcW w:w="0" w:type="auto"/>
            <w:shd w:val="clear" w:color="auto" w:fill="auto"/>
          </w:tcPr>
          <w:p w14:paraId="296100D6" w14:textId="77777777" w:rsidR="008C5CFA" w:rsidRPr="00BA47B4" w:rsidRDefault="008C5CFA" w:rsidP="00300A01">
            <w:pPr>
              <w:spacing w:before="0" w:after="0"/>
              <w:jc w:val="right"/>
              <w:rPr>
                <w:sz w:val="12"/>
                <w:szCs w:val="12"/>
                <w:lang w:val="fr-BE"/>
              </w:rPr>
            </w:pPr>
          </w:p>
        </w:tc>
        <w:tc>
          <w:tcPr>
            <w:tcW w:w="0" w:type="auto"/>
            <w:shd w:val="clear" w:color="auto" w:fill="auto"/>
          </w:tcPr>
          <w:p w14:paraId="0969DBB3" w14:textId="77777777" w:rsidR="008C5CFA" w:rsidRPr="00BA47B4" w:rsidRDefault="008C5CFA" w:rsidP="00300A01">
            <w:pPr>
              <w:spacing w:before="0" w:after="0"/>
              <w:jc w:val="right"/>
              <w:rPr>
                <w:sz w:val="12"/>
                <w:szCs w:val="12"/>
                <w:lang w:val="fr-BE"/>
              </w:rPr>
            </w:pPr>
          </w:p>
        </w:tc>
        <w:tc>
          <w:tcPr>
            <w:tcW w:w="0" w:type="auto"/>
          </w:tcPr>
          <w:p w14:paraId="3D1E2038"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14:paraId="47C6D50B" w14:textId="77777777" w:rsidR="008C5CFA" w:rsidRPr="00A92B39" w:rsidRDefault="008C5CFA" w:rsidP="00300A01">
            <w:pPr>
              <w:spacing w:before="0" w:after="0"/>
              <w:jc w:val="right"/>
              <w:rPr>
                <w:sz w:val="10"/>
                <w:szCs w:val="10"/>
                <w:lang w:val="fr-BE"/>
              </w:rPr>
            </w:pPr>
          </w:p>
        </w:tc>
        <w:tc>
          <w:tcPr>
            <w:tcW w:w="0" w:type="auto"/>
            <w:shd w:val="clear" w:color="auto" w:fill="auto"/>
          </w:tcPr>
          <w:p w14:paraId="31E7D286" w14:textId="77777777" w:rsidR="008C5CFA" w:rsidRPr="00BA47B4" w:rsidRDefault="008C5CFA" w:rsidP="00300A01">
            <w:pPr>
              <w:spacing w:before="0" w:after="0"/>
              <w:jc w:val="right"/>
              <w:rPr>
                <w:sz w:val="12"/>
                <w:szCs w:val="12"/>
                <w:lang w:val="fr-BE"/>
              </w:rPr>
            </w:pPr>
          </w:p>
        </w:tc>
      </w:tr>
      <w:tr w:rsidR="006B2EC1" w14:paraId="7F938CDE" w14:textId="77777777" w:rsidTr="0047688D">
        <w:tc>
          <w:tcPr>
            <w:tcW w:w="0" w:type="auto"/>
            <w:shd w:val="clear" w:color="auto" w:fill="auto"/>
          </w:tcPr>
          <w:p w14:paraId="5D0311C7" w14:textId="77777777" w:rsidR="008C5CFA" w:rsidRPr="00BA47B4" w:rsidRDefault="00E82A60" w:rsidP="00300A01">
            <w:pPr>
              <w:spacing w:before="0" w:after="0"/>
              <w:rPr>
                <w:sz w:val="12"/>
                <w:szCs w:val="12"/>
                <w:lang w:val="fr-BE"/>
              </w:rPr>
            </w:pPr>
            <w:r>
              <w:rPr>
                <w:noProof/>
                <w:sz w:val="12"/>
                <w:szCs w:val="12"/>
                <w:lang w:val="fr-BE"/>
              </w:rPr>
              <w:t>CO21</w:t>
            </w:r>
          </w:p>
        </w:tc>
        <w:tc>
          <w:tcPr>
            <w:tcW w:w="0" w:type="auto"/>
            <w:shd w:val="clear" w:color="auto" w:fill="auto"/>
          </w:tcPr>
          <w:p w14:paraId="59CDF90D" w14:textId="77777777" w:rsidR="008C5CFA" w:rsidRPr="00BA47B4" w:rsidRDefault="00E82A60" w:rsidP="00300A01">
            <w:pPr>
              <w:spacing w:before="0" w:after="0"/>
              <w:rPr>
                <w:sz w:val="12"/>
                <w:szCs w:val="12"/>
                <w:lang w:val="fr-BE"/>
              </w:rPr>
            </w:pPr>
            <w:r>
              <w:rPr>
                <w:noProof/>
                <w:sz w:val="12"/>
                <w:szCs w:val="12"/>
                <w:lang w:val="fr-BE"/>
              </w:rPr>
              <w:t>liczba projektów ukierunkowanych na trwały udział kobiet w zatrudnieniu i rozwój ich kariery zawodowej</w:t>
            </w:r>
          </w:p>
        </w:tc>
        <w:tc>
          <w:tcPr>
            <w:tcW w:w="0" w:type="auto"/>
            <w:shd w:val="clear" w:color="auto" w:fill="auto"/>
          </w:tcPr>
          <w:p w14:paraId="4DD847EE" w14:textId="77777777" w:rsidR="008C5CFA" w:rsidRPr="00BA47B4" w:rsidRDefault="00E82A60"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14:paraId="7D4C57FD" w14:textId="77777777" w:rsidR="008C5CFA" w:rsidRPr="00BA47B4" w:rsidRDefault="008C5CFA" w:rsidP="00300A01">
            <w:pPr>
              <w:spacing w:before="0" w:after="0"/>
              <w:jc w:val="right"/>
              <w:rPr>
                <w:sz w:val="12"/>
                <w:szCs w:val="12"/>
                <w:lang w:val="fr-BE"/>
              </w:rPr>
            </w:pPr>
          </w:p>
        </w:tc>
        <w:tc>
          <w:tcPr>
            <w:tcW w:w="0" w:type="auto"/>
            <w:shd w:val="clear" w:color="auto" w:fill="auto"/>
          </w:tcPr>
          <w:p w14:paraId="74D87FA4" w14:textId="77777777" w:rsidR="008C5CFA" w:rsidRPr="00BA47B4" w:rsidRDefault="008C5CFA" w:rsidP="00300A01">
            <w:pPr>
              <w:spacing w:before="0" w:after="0"/>
              <w:jc w:val="right"/>
              <w:rPr>
                <w:sz w:val="12"/>
                <w:szCs w:val="12"/>
                <w:lang w:val="fr-BE"/>
              </w:rPr>
            </w:pPr>
          </w:p>
        </w:tc>
        <w:tc>
          <w:tcPr>
            <w:tcW w:w="0" w:type="auto"/>
            <w:shd w:val="clear" w:color="auto" w:fill="auto"/>
          </w:tcPr>
          <w:p w14:paraId="30A5A4CD" w14:textId="77777777" w:rsidR="008C5CFA" w:rsidRPr="00BA47B4" w:rsidRDefault="008C5CFA" w:rsidP="00300A01">
            <w:pPr>
              <w:spacing w:before="0" w:after="0"/>
              <w:jc w:val="right"/>
              <w:rPr>
                <w:sz w:val="12"/>
                <w:szCs w:val="12"/>
                <w:lang w:val="fr-BE"/>
              </w:rPr>
            </w:pPr>
          </w:p>
        </w:tc>
        <w:tc>
          <w:tcPr>
            <w:tcW w:w="0" w:type="auto"/>
            <w:shd w:val="clear" w:color="auto" w:fill="auto"/>
          </w:tcPr>
          <w:p w14:paraId="5DB00771" w14:textId="77777777" w:rsidR="008C5CFA" w:rsidRPr="00BA47B4" w:rsidRDefault="00E82A60" w:rsidP="00300A01">
            <w:pPr>
              <w:spacing w:before="0" w:after="0"/>
              <w:jc w:val="right"/>
              <w:rPr>
                <w:sz w:val="12"/>
                <w:szCs w:val="12"/>
                <w:lang w:val="fr-BE"/>
              </w:rPr>
            </w:pPr>
            <w:r w:rsidRPr="00BA47B4">
              <w:rPr>
                <w:noProof/>
                <w:sz w:val="12"/>
                <w:szCs w:val="12"/>
                <w:lang w:val="fr-BE"/>
              </w:rPr>
              <w:t>6,00</w:t>
            </w:r>
          </w:p>
        </w:tc>
        <w:tc>
          <w:tcPr>
            <w:tcW w:w="0" w:type="auto"/>
            <w:shd w:val="clear" w:color="auto" w:fill="auto"/>
          </w:tcPr>
          <w:p w14:paraId="451A5204" w14:textId="77777777" w:rsidR="008C5CFA" w:rsidRPr="00BA47B4" w:rsidRDefault="008C5CFA" w:rsidP="00300A01">
            <w:pPr>
              <w:spacing w:before="0" w:after="0"/>
              <w:jc w:val="right"/>
              <w:rPr>
                <w:sz w:val="12"/>
                <w:szCs w:val="12"/>
                <w:lang w:val="fr-BE"/>
              </w:rPr>
            </w:pPr>
          </w:p>
        </w:tc>
        <w:tc>
          <w:tcPr>
            <w:tcW w:w="0" w:type="auto"/>
            <w:shd w:val="clear" w:color="auto" w:fill="auto"/>
          </w:tcPr>
          <w:p w14:paraId="1DC946BC" w14:textId="77777777" w:rsidR="008C5CFA" w:rsidRPr="00BA47B4" w:rsidRDefault="008C5CFA" w:rsidP="00300A01">
            <w:pPr>
              <w:spacing w:before="0" w:after="0"/>
              <w:jc w:val="right"/>
              <w:rPr>
                <w:sz w:val="12"/>
                <w:szCs w:val="12"/>
                <w:lang w:val="fr-BE"/>
              </w:rPr>
            </w:pPr>
          </w:p>
        </w:tc>
        <w:tc>
          <w:tcPr>
            <w:tcW w:w="0" w:type="auto"/>
            <w:shd w:val="clear" w:color="auto" w:fill="auto"/>
          </w:tcPr>
          <w:p w14:paraId="4DAB679F" w14:textId="77777777" w:rsidR="008C5CFA" w:rsidRPr="00BA47B4" w:rsidRDefault="008C5CFA" w:rsidP="00300A01">
            <w:pPr>
              <w:spacing w:before="0" w:after="0"/>
              <w:jc w:val="right"/>
              <w:rPr>
                <w:sz w:val="12"/>
                <w:szCs w:val="12"/>
                <w:lang w:val="fr-BE"/>
              </w:rPr>
            </w:pPr>
          </w:p>
        </w:tc>
        <w:tc>
          <w:tcPr>
            <w:tcW w:w="0" w:type="auto"/>
            <w:shd w:val="clear" w:color="auto" w:fill="auto"/>
          </w:tcPr>
          <w:p w14:paraId="43B329FC" w14:textId="77777777" w:rsidR="008C5CFA" w:rsidRPr="00BA47B4" w:rsidRDefault="008C5CFA" w:rsidP="00300A01">
            <w:pPr>
              <w:spacing w:before="0" w:after="0"/>
              <w:jc w:val="right"/>
              <w:rPr>
                <w:sz w:val="12"/>
                <w:szCs w:val="12"/>
                <w:lang w:val="fr-BE"/>
              </w:rPr>
            </w:pPr>
          </w:p>
        </w:tc>
        <w:tc>
          <w:tcPr>
            <w:tcW w:w="0" w:type="auto"/>
            <w:shd w:val="clear" w:color="auto" w:fill="auto"/>
          </w:tcPr>
          <w:p w14:paraId="4B5E7F9D" w14:textId="77777777" w:rsidR="008C5CFA" w:rsidRPr="00BA47B4" w:rsidRDefault="008C5CFA" w:rsidP="00300A01">
            <w:pPr>
              <w:spacing w:before="0" w:after="0"/>
              <w:jc w:val="right"/>
              <w:rPr>
                <w:sz w:val="12"/>
                <w:szCs w:val="12"/>
                <w:lang w:val="fr-BE"/>
              </w:rPr>
            </w:pPr>
          </w:p>
        </w:tc>
        <w:tc>
          <w:tcPr>
            <w:tcW w:w="0" w:type="auto"/>
          </w:tcPr>
          <w:p w14:paraId="0352866D"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14:paraId="0FFBB5A7" w14:textId="77777777" w:rsidR="008C5CFA" w:rsidRPr="00A92B39" w:rsidRDefault="008C5CFA" w:rsidP="00300A01">
            <w:pPr>
              <w:spacing w:before="0" w:after="0"/>
              <w:jc w:val="right"/>
              <w:rPr>
                <w:sz w:val="10"/>
                <w:szCs w:val="10"/>
                <w:lang w:val="fr-BE"/>
              </w:rPr>
            </w:pPr>
          </w:p>
        </w:tc>
        <w:tc>
          <w:tcPr>
            <w:tcW w:w="0" w:type="auto"/>
            <w:shd w:val="clear" w:color="auto" w:fill="auto"/>
          </w:tcPr>
          <w:p w14:paraId="46748809" w14:textId="77777777" w:rsidR="008C5CFA" w:rsidRPr="00BA47B4" w:rsidRDefault="008C5CFA" w:rsidP="00300A01">
            <w:pPr>
              <w:spacing w:before="0" w:after="0"/>
              <w:jc w:val="right"/>
              <w:rPr>
                <w:sz w:val="12"/>
                <w:szCs w:val="12"/>
                <w:lang w:val="fr-BE"/>
              </w:rPr>
            </w:pPr>
          </w:p>
        </w:tc>
      </w:tr>
      <w:tr w:rsidR="006B2EC1" w14:paraId="6C3227BD" w14:textId="77777777" w:rsidTr="0047688D">
        <w:tc>
          <w:tcPr>
            <w:tcW w:w="0" w:type="auto"/>
            <w:shd w:val="clear" w:color="auto" w:fill="auto"/>
          </w:tcPr>
          <w:p w14:paraId="5A902B6A" w14:textId="77777777" w:rsidR="008C5CFA" w:rsidRPr="00BA47B4" w:rsidRDefault="00E82A60" w:rsidP="00300A01">
            <w:pPr>
              <w:spacing w:before="0" w:after="0"/>
              <w:rPr>
                <w:sz w:val="12"/>
                <w:szCs w:val="12"/>
                <w:lang w:val="fr-BE"/>
              </w:rPr>
            </w:pPr>
            <w:r>
              <w:rPr>
                <w:noProof/>
                <w:sz w:val="12"/>
                <w:szCs w:val="12"/>
                <w:lang w:val="fr-BE"/>
              </w:rPr>
              <w:t>CO22</w:t>
            </w:r>
          </w:p>
        </w:tc>
        <w:tc>
          <w:tcPr>
            <w:tcW w:w="0" w:type="auto"/>
            <w:shd w:val="clear" w:color="auto" w:fill="auto"/>
          </w:tcPr>
          <w:p w14:paraId="67DE6AA1" w14:textId="77777777" w:rsidR="008C5CFA" w:rsidRPr="00BA47B4" w:rsidRDefault="00E82A60" w:rsidP="00300A01">
            <w:pPr>
              <w:spacing w:before="0" w:after="0"/>
              <w:rPr>
                <w:sz w:val="12"/>
                <w:szCs w:val="12"/>
                <w:lang w:val="fr-BE"/>
              </w:rPr>
            </w:pPr>
            <w:r>
              <w:rPr>
                <w:noProof/>
                <w:sz w:val="12"/>
                <w:szCs w:val="12"/>
                <w:lang w:val="fr-BE"/>
              </w:rPr>
              <w:t>liczba projektów obejmujących administrację publiczną lub służby publiczne na szczeblu krajowym, regionalnym lub lokalnym</w:t>
            </w:r>
          </w:p>
        </w:tc>
        <w:tc>
          <w:tcPr>
            <w:tcW w:w="0" w:type="auto"/>
            <w:shd w:val="clear" w:color="auto" w:fill="auto"/>
          </w:tcPr>
          <w:p w14:paraId="5AAD9C9F" w14:textId="77777777" w:rsidR="008C5CFA" w:rsidRPr="00BA47B4" w:rsidRDefault="00E82A60"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14:paraId="515E5C73" w14:textId="77777777" w:rsidR="008C5CFA" w:rsidRPr="00BA47B4" w:rsidRDefault="008C5CFA" w:rsidP="00300A01">
            <w:pPr>
              <w:spacing w:before="0" w:after="0"/>
              <w:jc w:val="right"/>
              <w:rPr>
                <w:sz w:val="12"/>
                <w:szCs w:val="12"/>
                <w:lang w:val="fr-BE"/>
              </w:rPr>
            </w:pPr>
          </w:p>
        </w:tc>
        <w:tc>
          <w:tcPr>
            <w:tcW w:w="0" w:type="auto"/>
            <w:shd w:val="clear" w:color="auto" w:fill="auto"/>
          </w:tcPr>
          <w:p w14:paraId="2C0D75B4" w14:textId="77777777" w:rsidR="008C5CFA" w:rsidRPr="00BA47B4" w:rsidRDefault="008C5CFA" w:rsidP="00300A01">
            <w:pPr>
              <w:spacing w:before="0" w:after="0"/>
              <w:jc w:val="right"/>
              <w:rPr>
                <w:sz w:val="12"/>
                <w:szCs w:val="12"/>
                <w:lang w:val="fr-BE"/>
              </w:rPr>
            </w:pPr>
          </w:p>
        </w:tc>
        <w:tc>
          <w:tcPr>
            <w:tcW w:w="0" w:type="auto"/>
            <w:shd w:val="clear" w:color="auto" w:fill="auto"/>
          </w:tcPr>
          <w:p w14:paraId="1B6950A3" w14:textId="77777777" w:rsidR="008C5CFA" w:rsidRPr="00BA47B4" w:rsidRDefault="008C5CFA" w:rsidP="00300A01">
            <w:pPr>
              <w:spacing w:before="0" w:after="0"/>
              <w:jc w:val="right"/>
              <w:rPr>
                <w:sz w:val="12"/>
                <w:szCs w:val="12"/>
                <w:lang w:val="fr-BE"/>
              </w:rPr>
            </w:pPr>
          </w:p>
        </w:tc>
        <w:tc>
          <w:tcPr>
            <w:tcW w:w="0" w:type="auto"/>
            <w:shd w:val="clear" w:color="auto" w:fill="auto"/>
          </w:tcPr>
          <w:p w14:paraId="32473350"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70886372" w14:textId="77777777" w:rsidR="008C5CFA" w:rsidRPr="00BA47B4" w:rsidRDefault="008C5CFA" w:rsidP="00300A01">
            <w:pPr>
              <w:spacing w:before="0" w:after="0"/>
              <w:jc w:val="right"/>
              <w:rPr>
                <w:sz w:val="12"/>
                <w:szCs w:val="12"/>
                <w:lang w:val="fr-BE"/>
              </w:rPr>
            </w:pPr>
          </w:p>
        </w:tc>
        <w:tc>
          <w:tcPr>
            <w:tcW w:w="0" w:type="auto"/>
            <w:shd w:val="clear" w:color="auto" w:fill="auto"/>
          </w:tcPr>
          <w:p w14:paraId="3B5BEF05" w14:textId="77777777" w:rsidR="008C5CFA" w:rsidRPr="00BA47B4" w:rsidRDefault="008C5CFA" w:rsidP="00300A01">
            <w:pPr>
              <w:spacing w:before="0" w:after="0"/>
              <w:jc w:val="right"/>
              <w:rPr>
                <w:sz w:val="12"/>
                <w:szCs w:val="12"/>
                <w:lang w:val="fr-BE"/>
              </w:rPr>
            </w:pPr>
          </w:p>
        </w:tc>
        <w:tc>
          <w:tcPr>
            <w:tcW w:w="0" w:type="auto"/>
            <w:shd w:val="clear" w:color="auto" w:fill="auto"/>
          </w:tcPr>
          <w:p w14:paraId="50ED6E27" w14:textId="77777777" w:rsidR="008C5CFA" w:rsidRPr="00BA47B4" w:rsidRDefault="008C5CFA" w:rsidP="00300A01">
            <w:pPr>
              <w:spacing w:before="0" w:after="0"/>
              <w:jc w:val="right"/>
              <w:rPr>
                <w:sz w:val="12"/>
                <w:szCs w:val="12"/>
                <w:lang w:val="fr-BE"/>
              </w:rPr>
            </w:pPr>
          </w:p>
        </w:tc>
        <w:tc>
          <w:tcPr>
            <w:tcW w:w="0" w:type="auto"/>
            <w:shd w:val="clear" w:color="auto" w:fill="auto"/>
          </w:tcPr>
          <w:p w14:paraId="3FA7B81E" w14:textId="77777777" w:rsidR="008C5CFA" w:rsidRPr="00BA47B4" w:rsidRDefault="008C5CFA" w:rsidP="00300A01">
            <w:pPr>
              <w:spacing w:before="0" w:after="0"/>
              <w:jc w:val="right"/>
              <w:rPr>
                <w:sz w:val="12"/>
                <w:szCs w:val="12"/>
                <w:lang w:val="fr-BE"/>
              </w:rPr>
            </w:pPr>
          </w:p>
        </w:tc>
        <w:tc>
          <w:tcPr>
            <w:tcW w:w="0" w:type="auto"/>
            <w:shd w:val="clear" w:color="auto" w:fill="auto"/>
          </w:tcPr>
          <w:p w14:paraId="204F2A98" w14:textId="77777777" w:rsidR="008C5CFA" w:rsidRPr="00BA47B4" w:rsidRDefault="008C5CFA" w:rsidP="00300A01">
            <w:pPr>
              <w:spacing w:before="0" w:after="0"/>
              <w:jc w:val="right"/>
              <w:rPr>
                <w:sz w:val="12"/>
                <w:szCs w:val="12"/>
                <w:lang w:val="fr-BE"/>
              </w:rPr>
            </w:pPr>
          </w:p>
        </w:tc>
        <w:tc>
          <w:tcPr>
            <w:tcW w:w="0" w:type="auto"/>
          </w:tcPr>
          <w:p w14:paraId="1821DEF1"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14:paraId="66726F3B" w14:textId="77777777" w:rsidR="008C5CFA" w:rsidRPr="00A92B39" w:rsidRDefault="008C5CFA" w:rsidP="00300A01">
            <w:pPr>
              <w:spacing w:before="0" w:after="0"/>
              <w:jc w:val="right"/>
              <w:rPr>
                <w:sz w:val="10"/>
                <w:szCs w:val="10"/>
                <w:lang w:val="fr-BE"/>
              </w:rPr>
            </w:pPr>
          </w:p>
        </w:tc>
        <w:tc>
          <w:tcPr>
            <w:tcW w:w="0" w:type="auto"/>
            <w:shd w:val="clear" w:color="auto" w:fill="auto"/>
          </w:tcPr>
          <w:p w14:paraId="4F2226AA" w14:textId="77777777" w:rsidR="008C5CFA" w:rsidRPr="00BA47B4" w:rsidRDefault="008C5CFA" w:rsidP="00300A01">
            <w:pPr>
              <w:spacing w:before="0" w:after="0"/>
              <w:jc w:val="right"/>
              <w:rPr>
                <w:sz w:val="12"/>
                <w:szCs w:val="12"/>
                <w:lang w:val="fr-BE"/>
              </w:rPr>
            </w:pPr>
          </w:p>
        </w:tc>
      </w:tr>
      <w:tr w:rsidR="006B2EC1" w14:paraId="0970CBA7" w14:textId="77777777" w:rsidTr="0047688D">
        <w:tc>
          <w:tcPr>
            <w:tcW w:w="0" w:type="auto"/>
            <w:shd w:val="clear" w:color="auto" w:fill="auto"/>
          </w:tcPr>
          <w:p w14:paraId="5B2B71A6" w14:textId="77777777" w:rsidR="008C5CFA" w:rsidRPr="00BA47B4" w:rsidRDefault="00E82A60" w:rsidP="00300A01">
            <w:pPr>
              <w:spacing w:before="0" w:after="0"/>
              <w:rPr>
                <w:sz w:val="12"/>
                <w:szCs w:val="12"/>
                <w:lang w:val="fr-BE"/>
              </w:rPr>
            </w:pPr>
            <w:r>
              <w:rPr>
                <w:noProof/>
                <w:sz w:val="12"/>
                <w:szCs w:val="12"/>
                <w:lang w:val="fr-BE"/>
              </w:rPr>
              <w:t>CO23</w:t>
            </w:r>
          </w:p>
        </w:tc>
        <w:tc>
          <w:tcPr>
            <w:tcW w:w="0" w:type="auto"/>
            <w:shd w:val="clear" w:color="auto" w:fill="auto"/>
          </w:tcPr>
          <w:p w14:paraId="2CB3CE0A" w14:textId="77777777" w:rsidR="008C5CFA" w:rsidRPr="00BA47B4" w:rsidRDefault="00E82A60" w:rsidP="00300A01">
            <w:pPr>
              <w:spacing w:before="0" w:after="0"/>
              <w:rPr>
                <w:sz w:val="12"/>
                <w:szCs w:val="12"/>
                <w:lang w:val="fr-BE"/>
              </w:rPr>
            </w:pPr>
            <w:r>
              <w:rPr>
                <w:noProof/>
                <w:sz w:val="12"/>
                <w:szCs w:val="12"/>
                <w:lang w:val="fr-BE"/>
              </w:rPr>
              <w:t>liczba objętych wsparciem mikro-, małych i średnich przedsiębiorstw (w tym przedsiębiorstw spółdzielczych i przedsiębiorstw gospodarki społecznej)</w:t>
            </w:r>
          </w:p>
        </w:tc>
        <w:tc>
          <w:tcPr>
            <w:tcW w:w="0" w:type="auto"/>
            <w:shd w:val="clear" w:color="auto" w:fill="auto"/>
          </w:tcPr>
          <w:p w14:paraId="08F41C38" w14:textId="77777777" w:rsidR="008C5CFA" w:rsidRPr="00BA47B4" w:rsidRDefault="00E82A60"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14:paraId="17EB47DE" w14:textId="77777777" w:rsidR="008C5CFA" w:rsidRPr="00BA47B4" w:rsidRDefault="008C5CFA" w:rsidP="00300A01">
            <w:pPr>
              <w:spacing w:before="0" w:after="0"/>
              <w:jc w:val="right"/>
              <w:rPr>
                <w:sz w:val="12"/>
                <w:szCs w:val="12"/>
                <w:lang w:val="fr-BE"/>
              </w:rPr>
            </w:pPr>
          </w:p>
        </w:tc>
        <w:tc>
          <w:tcPr>
            <w:tcW w:w="0" w:type="auto"/>
            <w:shd w:val="clear" w:color="auto" w:fill="auto"/>
          </w:tcPr>
          <w:p w14:paraId="3830D9FA" w14:textId="77777777" w:rsidR="008C5CFA" w:rsidRPr="00BA47B4" w:rsidRDefault="008C5CFA" w:rsidP="00300A01">
            <w:pPr>
              <w:spacing w:before="0" w:after="0"/>
              <w:jc w:val="right"/>
              <w:rPr>
                <w:sz w:val="12"/>
                <w:szCs w:val="12"/>
                <w:lang w:val="fr-BE"/>
              </w:rPr>
            </w:pPr>
          </w:p>
        </w:tc>
        <w:tc>
          <w:tcPr>
            <w:tcW w:w="0" w:type="auto"/>
            <w:shd w:val="clear" w:color="auto" w:fill="auto"/>
          </w:tcPr>
          <w:p w14:paraId="45272CDA" w14:textId="77777777" w:rsidR="008C5CFA" w:rsidRPr="00BA47B4" w:rsidRDefault="008C5CFA" w:rsidP="00300A01">
            <w:pPr>
              <w:spacing w:before="0" w:after="0"/>
              <w:jc w:val="right"/>
              <w:rPr>
                <w:sz w:val="12"/>
                <w:szCs w:val="12"/>
                <w:lang w:val="fr-BE"/>
              </w:rPr>
            </w:pPr>
          </w:p>
        </w:tc>
        <w:tc>
          <w:tcPr>
            <w:tcW w:w="0" w:type="auto"/>
            <w:shd w:val="clear" w:color="auto" w:fill="auto"/>
          </w:tcPr>
          <w:p w14:paraId="0AF089A8"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48DD9912" w14:textId="77777777" w:rsidR="008C5CFA" w:rsidRPr="00BA47B4" w:rsidRDefault="008C5CFA" w:rsidP="00300A01">
            <w:pPr>
              <w:spacing w:before="0" w:after="0"/>
              <w:jc w:val="right"/>
              <w:rPr>
                <w:sz w:val="12"/>
                <w:szCs w:val="12"/>
                <w:lang w:val="fr-BE"/>
              </w:rPr>
            </w:pPr>
          </w:p>
        </w:tc>
        <w:tc>
          <w:tcPr>
            <w:tcW w:w="0" w:type="auto"/>
            <w:shd w:val="clear" w:color="auto" w:fill="auto"/>
          </w:tcPr>
          <w:p w14:paraId="7846135D" w14:textId="77777777" w:rsidR="008C5CFA" w:rsidRPr="00BA47B4" w:rsidRDefault="008C5CFA" w:rsidP="00300A01">
            <w:pPr>
              <w:spacing w:before="0" w:after="0"/>
              <w:jc w:val="right"/>
              <w:rPr>
                <w:sz w:val="12"/>
                <w:szCs w:val="12"/>
                <w:lang w:val="fr-BE"/>
              </w:rPr>
            </w:pPr>
          </w:p>
        </w:tc>
        <w:tc>
          <w:tcPr>
            <w:tcW w:w="0" w:type="auto"/>
            <w:shd w:val="clear" w:color="auto" w:fill="auto"/>
          </w:tcPr>
          <w:p w14:paraId="3361D018" w14:textId="77777777" w:rsidR="008C5CFA" w:rsidRPr="00BA47B4" w:rsidRDefault="008C5CFA" w:rsidP="00300A01">
            <w:pPr>
              <w:spacing w:before="0" w:after="0"/>
              <w:jc w:val="right"/>
              <w:rPr>
                <w:sz w:val="12"/>
                <w:szCs w:val="12"/>
                <w:lang w:val="fr-BE"/>
              </w:rPr>
            </w:pPr>
          </w:p>
        </w:tc>
        <w:tc>
          <w:tcPr>
            <w:tcW w:w="0" w:type="auto"/>
            <w:shd w:val="clear" w:color="auto" w:fill="auto"/>
          </w:tcPr>
          <w:p w14:paraId="4A79058E" w14:textId="77777777" w:rsidR="008C5CFA" w:rsidRPr="00BA47B4" w:rsidRDefault="008C5CFA" w:rsidP="00300A01">
            <w:pPr>
              <w:spacing w:before="0" w:after="0"/>
              <w:jc w:val="right"/>
              <w:rPr>
                <w:sz w:val="12"/>
                <w:szCs w:val="12"/>
                <w:lang w:val="fr-BE"/>
              </w:rPr>
            </w:pPr>
          </w:p>
        </w:tc>
        <w:tc>
          <w:tcPr>
            <w:tcW w:w="0" w:type="auto"/>
            <w:shd w:val="clear" w:color="auto" w:fill="auto"/>
          </w:tcPr>
          <w:p w14:paraId="1FD6F473" w14:textId="77777777" w:rsidR="008C5CFA" w:rsidRPr="00BA47B4" w:rsidRDefault="008C5CFA" w:rsidP="00300A01">
            <w:pPr>
              <w:spacing w:before="0" w:after="0"/>
              <w:jc w:val="right"/>
              <w:rPr>
                <w:sz w:val="12"/>
                <w:szCs w:val="12"/>
                <w:lang w:val="fr-BE"/>
              </w:rPr>
            </w:pPr>
          </w:p>
        </w:tc>
        <w:tc>
          <w:tcPr>
            <w:tcW w:w="0" w:type="auto"/>
          </w:tcPr>
          <w:p w14:paraId="146CADC8"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14:paraId="28538881" w14:textId="77777777" w:rsidR="008C5CFA" w:rsidRPr="00A92B39" w:rsidRDefault="008C5CFA" w:rsidP="00300A01">
            <w:pPr>
              <w:spacing w:before="0" w:after="0"/>
              <w:jc w:val="right"/>
              <w:rPr>
                <w:sz w:val="10"/>
                <w:szCs w:val="10"/>
                <w:lang w:val="fr-BE"/>
              </w:rPr>
            </w:pPr>
          </w:p>
        </w:tc>
        <w:tc>
          <w:tcPr>
            <w:tcW w:w="0" w:type="auto"/>
            <w:shd w:val="clear" w:color="auto" w:fill="auto"/>
          </w:tcPr>
          <w:p w14:paraId="27A89535" w14:textId="77777777" w:rsidR="008C5CFA" w:rsidRPr="00BA47B4" w:rsidRDefault="008C5CFA" w:rsidP="00300A01">
            <w:pPr>
              <w:spacing w:before="0" w:after="0"/>
              <w:jc w:val="right"/>
              <w:rPr>
                <w:sz w:val="12"/>
                <w:szCs w:val="12"/>
                <w:lang w:val="fr-BE"/>
              </w:rPr>
            </w:pPr>
          </w:p>
        </w:tc>
      </w:tr>
      <w:tr w:rsidR="006B2EC1" w14:paraId="2207276E" w14:textId="77777777" w:rsidTr="0047688D">
        <w:tc>
          <w:tcPr>
            <w:tcW w:w="0" w:type="auto"/>
            <w:shd w:val="clear" w:color="auto" w:fill="auto"/>
          </w:tcPr>
          <w:p w14:paraId="47417E63" w14:textId="77777777" w:rsidR="008C5CFA" w:rsidRPr="00BA47B4" w:rsidRDefault="008C5CFA" w:rsidP="00300A01">
            <w:pPr>
              <w:spacing w:before="0" w:after="0"/>
              <w:rPr>
                <w:sz w:val="12"/>
                <w:szCs w:val="12"/>
                <w:lang w:val="fr-BE"/>
              </w:rPr>
            </w:pPr>
          </w:p>
        </w:tc>
        <w:tc>
          <w:tcPr>
            <w:tcW w:w="0" w:type="auto"/>
            <w:shd w:val="clear" w:color="auto" w:fill="auto"/>
          </w:tcPr>
          <w:p w14:paraId="369A8910" w14:textId="77777777" w:rsidR="008C5CFA" w:rsidRPr="00BA47B4" w:rsidRDefault="00E82A60" w:rsidP="00300A01">
            <w:pPr>
              <w:spacing w:before="0" w:after="0"/>
              <w:rPr>
                <w:sz w:val="12"/>
                <w:szCs w:val="12"/>
                <w:lang w:val="fr-BE"/>
              </w:rPr>
            </w:pPr>
            <w:r>
              <w:rPr>
                <w:noProof/>
                <w:sz w:val="12"/>
                <w:szCs w:val="12"/>
                <w:lang w:val="fr-BE"/>
              </w:rPr>
              <w:t>Całkowita łączna liczba uczestników</w:t>
            </w:r>
          </w:p>
        </w:tc>
        <w:tc>
          <w:tcPr>
            <w:tcW w:w="0" w:type="auto"/>
            <w:shd w:val="clear" w:color="auto" w:fill="auto"/>
          </w:tcPr>
          <w:p w14:paraId="6188F045" w14:textId="77777777" w:rsidR="008C5CFA" w:rsidRPr="00BA47B4" w:rsidRDefault="008C5CFA" w:rsidP="00300A01">
            <w:pPr>
              <w:spacing w:before="0" w:after="0"/>
              <w:rPr>
                <w:sz w:val="12"/>
                <w:szCs w:val="12"/>
                <w:lang w:val="fr-BE"/>
              </w:rPr>
            </w:pPr>
          </w:p>
        </w:tc>
        <w:tc>
          <w:tcPr>
            <w:tcW w:w="0" w:type="auto"/>
            <w:shd w:val="clear" w:color="auto" w:fill="auto"/>
          </w:tcPr>
          <w:p w14:paraId="5D766F84" w14:textId="77777777" w:rsidR="008C5CFA" w:rsidRPr="00BA47B4" w:rsidRDefault="008C5CFA" w:rsidP="00300A01">
            <w:pPr>
              <w:spacing w:before="0" w:after="0"/>
              <w:jc w:val="right"/>
              <w:rPr>
                <w:sz w:val="12"/>
                <w:szCs w:val="12"/>
                <w:lang w:val="fr-BE"/>
              </w:rPr>
            </w:pPr>
          </w:p>
        </w:tc>
        <w:tc>
          <w:tcPr>
            <w:tcW w:w="0" w:type="auto"/>
            <w:shd w:val="clear" w:color="auto" w:fill="auto"/>
          </w:tcPr>
          <w:p w14:paraId="23A0FCBD" w14:textId="77777777" w:rsidR="008C5CFA" w:rsidRPr="00BA47B4" w:rsidRDefault="008C5CFA" w:rsidP="00300A01">
            <w:pPr>
              <w:spacing w:before="0" w:after="0"/>
              <w:jc w:val="right"/>
              <w:rPr>
                <w:sz w:val="12"/>
                <w:szCs w:val="12"/>
                <w:lang w:val="fr-BE"/>
              </w:rPr>
            </w:pPr>
          </w:p>
        </w:tc>
        <w:tc>
          <w:tcPr>
            <w:tcW w:w="0" w:type="auto"/>
            <w:shd w:val="clear" w:color="auto" w:fill="auto"/>
          </w:tcPr>
          <w:p w14:paraId="720C93B5" w14:textId="77777777" w:rsidR="008C5CFA" w:rsidRPr="00BA47B4" w:rsidRDefault="008C5CFA" w:rsidP="00300A01">
            <w:pPr>
              <w:spacing w:before="0" w:after="0"/>
              <w:jc w:val="right"/>
              <w:rPr>
                <w:sz w:val="12"/>
                <w:szCs w:val="12"/>
                <w:lang w:val="fr-BE"/>
              </w:rPr>
            </w:pPr>
          </w:p>
        </w:tc>
        <w:tc>
          <w:tcPr>
            <w:tcW w:w="0" w:type="auto"/>
            <w:shd w:val="clear" w:color="auto" w:fill="auto"/>
          </w:tcPr>
          <w:p w14:paraId="678B77AB" w14:textId="77777777" w:rsidR="008C5CFA" w:rsidRPr="00BA47B4" w:rsidRDefault="00E82A60" w:rsidP="00300A01">
            <w:pPr>
              <w:spacing w:before="0" w:after="0"/>
              <w:jc w:val="right"/>
              <w:rPr>
                <w:sz w:val="12"/>
                <w:szCs w:val="12"/>
                <w:lang w:val="fr-BE"/>
              </w:rPr>
            </w:pPr>
            <w:r w:rsidRPr="00BA47B4">
              <w:rPr>
                <w:noProof/>
                <w:sz w:val="12"/>
                <w:szCs w:val="12"/>
                <w:lang w:val="fr-BE"/>
              </w:rPr>
              <w:t>4 380,00</w:t>
            </w:r>
          </w:p>
        </w:tc>
        <w:tc>
          <w:tcPr>
            <w:tcW w:w="0" w:type="auto"/>
            <w:shd w:val="clear" w:color="auto" w:fill="auto"/>
          </w:tcPr>
          <w:p w14:paraId="6C7AD121" w14:textId="77777777" w:rsidR="008C5CFA" w:rsidRPr="00BA47B4" w:rsidRDefault="008C5CFA" w:rsidP="00300A01">
            <w:pPr>
              <w:spacing w:before="0" w:after="0"/>
              <w:jc w:val="right"/>
              <w:rPr>
                <w:sz w:val="12"/>
                <w:szCs w:val="12"/>
                <w:lang w:val="fr-BE"/>
              </w:rPr>
            </w:pPr>
          </w:p>
        </w:tc>
        <w:tc>
          <w:tcPr>
            <w:tcW w:w="0" w:type="auto"/>
            <w:shd w:val="clear" w:color="auto" w:fill="auto"/>
          </w:tcPr>
          <w:p w14:paraId="3EB5E26A" w14:textId="77777777" w:rsidR="008C5CFA" w:rsidRPr="00BA47B4" w:rsidRDefault="008C5CFA" w:rsidP="00300A01">
            <w:pPr>
              <w:spacing w:before="0" w:after="0"/>
              <w:jc w:val="right"/>
              <w:rPr>
                <w:sz w:val="12"/>
                <w:szCs w:val="12"/>
                <w:lang w:val="fr-BE"/>
              </w:rPr>
            </w:pPr>
          </w:p>
        </w:tc>
        <w:tc>
          <w:tcPr>
            <w:tcW w:w="0" w:type="auto"/>
            <w:shd w:val="clear" w:color="auto" w:fill="auto"/>
          </w:tcPr>
          <w:p w14:paraId="62BBC70F" w14:textId="77777777" w:rsidR="008C5CFA" w:rsidRPr="00BA47B4" w:rsidRDefault="008C5CFA" w:rsidP="00300A01">
            <w:pPr>
              <w:spacing w:before="0" w:after="0"/>
              <w:jc w:val="right"/>
              <w:rPr>
                <w:sz w:val="12"/>
                <w:szCs w:val="12"/>
                <w:lang w:val="fr-BE"/>
              </w:rPr>
            </w:pPr>
          </w:p>
        </w:tc>
        <w:tc>
          <w:tcPr>
            <w:tcW w:w="0" w:type="auto"/>
            <w:shd w:val="clear" w:color="auto" w:fill="auto"/>
          </w:tcPr>
          <w:p w14:paraId="58D08063" w14:textId="77777777" w:rsidR="008C5CFA" w:rsidRPr="00BA47B4" w:rsidRDefault="008C5CFA" w:rsidP="00300A01">
            <w:pPr>
              <w:spacing w:before="0" w:after="0"/>
              <w:jc w:val="right"/>
              <w:rPr>
                <w:sz w:val="12"/>
                <w:szCs w:val="12"/>
                <w:lang w:val="fr-BE"/>
              </w:rPr>
            </w:pPr>
          </w:p>
        </w:tc>
        <w:tc>
          <w:tcPr>
            <w:tcW w:w="0" w:type="auto"/>
            <w:shd w:val="clear" w:color="auto" w:fill="auto"/>
          </w:tcPr>
          <w:p w14:paraId="51DA2C0F" w14:textId="77777777" w:rsidR="008C5CFA" w:rsidRPr="00BA47B4" w:rsidRDefault="008C5CFA" w:rsidP="00300A01">
            <w:pPr>
              <w:spacing w:before="0" w:after="0"/>
              <w:jc w:val="right"/>
              <w:rPr>
                <w:sz w:val="12"/>
                <w:szCs w:val="12"/>
                <w:lang w:val="fr-BE"/>
              </w:rPr>
            </w:pPr>
          </w:p>
        </w:tc>
        <w:tc>
          <w:tcPr>
            <w:tcW w:w="0" w:type="auto"/>
          </w:tcPr>
          <w:p w14:paraId="39D909FA" w14:textId="77777777" w:rsidR="008C5CFA" w:rsidRPr="00A92B39" w:rsidRDefault="00E82A60" w:rsidP="00300A01">
            <w:pPr>
              <w:spacing w:before="0" w:after="0"/>
              <w:jc w:val="right"/>
              <w:rPr>
                <w:sz w:val="10"/>
                <w:szCs w:val="10"/>
                <w:lang w:val="fr-BE"/>
              </w:rPr>
            </w:pPr>
            <w:r w:rsidRPr="00A92B39">
              <w:rPr>
                <w:noProof/>
                <w:sz w:val="10"/>
                <w:szCs w:val="10"/>
                <w:lang w:val="fr-BE"/>
              </w:rPr>
              <w:t>39,00</w:t>
            </w:r>
          </w:p>
        </w:tc>
        <w:tc>
          <w:tcPr>
            <w:tcW w:w="0" w:type="auto"/>
            <w:shd w:val="clear" w:color="auto" w:fill="auto"/>
          </w:tcPr>
          <w:p w14:paraId="56607D15" w14:textId="77777777" w:rsidR="008C5CFA" w:rsidRPr="00A92B39" w:rsidRDefault="008C5CFA" w:rsidP="00300A01">
            <w:pPr>
              <w:spacing w:before="0" w:after="0"/>
              <w:jc w:val="right"/>
              <w:rPr>
                <w:sz w:val="10"/>
                <w:szCs w:val="10"/>
                <w:lang w:val="fr-BE"/>
              </w:rPr>
            </w:pPr>
          </w:p>
        </w:tc>
        <w:tc>
          <w:tcPr>
            <w:tcW w:w="0" w:type="auto"/>
            <w:shd w:val="clear" w:color="auto" w:fill="auto"/>
          </w:tcPr>
          <w:p w14:paraId="4EAB707C" w14:textId="77777777" w:rsidR="008C5CFA" w:rsidRPr="00BA47B4" w:rsidRDefault="008C5CFA" w:rsidP="00300A01">
            <w:pPr>
              <w:spacing w:before="0" w:after="0"/>
              <w:jc w:val="right"/>
              <w:rPr>
                <w:sz w:val="12"/>
                <w:szCs w:val="12"/>
                <w:lang w:val="fr-BE"/>
              </w:rPr>
            </w:pPr>
          </w:p>
        </w:tc>
      </w:tr>
    </w:tbl>
    <w:p w14:paraId="07806D66"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52"/>
        <w:gridCol w:w="7853"/>
        <w:gridCol w:w="1343"/>
        <w:gridCol w:w="558"/>
        <w:gridCol w:w="706"/>
        <w:gridCol w:w="558"/>
        <w:gridCol w:w="593"/>
        <w:gridCol w:w="706"/>
        <w:gridCol w:w="558"/>
        <w:gridCol w:w="593"/>
        <w:gridCol w:w="706"/>
        <w:gridCol w:w="558"/>
      </w:tblGrid>
      <w:tr w:rsidR="006B2EC1" w14:paraId="69E0EE02" w14:textId="77777777" w:rsidTr="0047688D">
        <w:tc>
          <w:tcPr>
            <w:tcW w:w="0" w:type="auto"/>
            <w:shd w:val="clear" w:color="auto" w:fill="auto"/>
          </w:tcPr>
          <w:p w14:paraId="64F18BA3" w14:textId="77777777" w:rsidR="008C5CFA" w:rsidRPr="001C4484" w:rsidRDefault="00E82A60" w:rsidP="00300A01">
            <w:pPr>
              <w:spacing w:before="0" w:after="0"/>
              <w:rPr>
                <w:sz w:val="10"/>
                <w:szCs w:val="10"/>
              </w:rPr>
            </w:pPr>
            <w:r w:rsidRPr="001C4484">
              <w:rPr>
                <w:b/>
                <w:noProof/>
                <w:sz w:val="12"/>
                <w:szCs w:val="12"/>
                <w:lang w:val="fr-BE"/>
              </w:rPr>
              <w:t>ID</w:t>
            </w:r>
          </w:p>
        </w:tc>
        <w:tc>
          <w:tcPr>
            <w:tcW w:w="0" w:type="auto"/>
            <w:shd w:val="clear" w:color="auto" w:fill="auto"/>
          </w:tcPr>
          <w:p w14:paraId="2186E527" w14:textId="77777777" w:rsidR="008C5CFA" w:rsidRPr="001C4484" w:rsidRDefault="00E82A60" w:rsidP="00300A01">
            <w:pPr>
              <w:spacing w:before="0" w:after="0"/>
              <w:rPr>
                <w:sz w:val="10"/>
                <w:szCs w:val="10"/>
              </w:rPr>
            </w:pPr>
            <w:r w:rsidRPr="001C4484">
              <w:rPr>
                <w:b/>
                <w:noProof/>
                <w:sz w:val="12"/>
                <w:szCs w:val="12"/>
                <w:lang w:val="fr-BE"/>
              </w:rPr>
              <w:t>Wskaźnik</w:t>
            </w:r>
          </w:p>
        </w:tc>
        <w:tc>
          <w:tcPr>
            <w:tcW w:w="0" w:type="auto"/>
            <w:shd w:val="clear" w:color="auto" w:fill="auto"/>
          </w:tcPr>
          <w:p w14:paraId="4F11C316" w14:textId="77777777" w:rsidR="008C5CFA" w:rsidRPr="001C4484" w:rsidRDefault="00E82A60" w:rsidP="00300A01">
            <w:pPr>
              <w:spacing w:before="0" w:after="0"/>
              <w:rPr>
                <w:sz w:val="10"/>
                <w:szCs w:val="10"/>
              </w:rPr>
            </w:pPr>
            <w:r w:rsidRPr="001C4484">
              <w:rPr>
                <w:b/>
                <w:noProof/>
                <w:sz w:val="12"/>
                <w:szCs w:val="12"/>
                <w:lang w:val="fr-BE"/>
              </w:rPr>
              <w:t>Kategoria regionu</w:t>
            </w:r>
          </w:p>
        </w:tc>
        <w:tc>
          <w:tcPr>
            <w:tcW w:w="0" w:type="auto"/>
            <w:gridSpan w:val="3"/>
          </w:tcPr>
          <w:p w14:paraId="77760C7D" w14:textId="77777777" w:rsidR="008C5CFA" w:rsidRPr="001C4484" w:rsidRDefault="00E82A60" w:rsidP="00300A01">
            <w:pPr>
              <w:spacing w:before="0" w:after="0"/>
              <w:jc w:val="center"/>
              <w:rPr>
                <w:sz w:val="10"/>
                <w:szCs w:val="10"/>
              </w:rPr>
            </w:pPr>
            <w:r w:rsidRPr="001C4484">
              <w:rPr>
                <w:sz w:val="10"/>
                <w:szCs w:val="10"/>
              </w:rPr>
              <w:t>2018</w:t>
            </w:r>
          </w:p>
        </w:tc>
        <w:tc>
          <w:tcPr>
            <w:tcW w:w="0" w:type="auto"/>
            <w:gridSpan w:val="3"/>
          </w:tcPr>
          <w:p w14:paraId="06CA0E07" w14:textId="77777777" w:rsidR="008C5CFA" w:rsidRPr="001C4484" w:rsidRDefault="00E82A60" w:rsidP="00300A01">
            <w:pPr>
              <w:spacing w:before="0" w:after="0"/>
              <w:jc w:val="center"/>
              <w:rPr>
                <w:sz w:val="10"/>
                <w:szCs w:val="10"/>
              </w:rPr>
            </w:pPr>
            <w:r w:rsidRPr="001C4484">
              <w:rPr>
                <w:sz w:val="10"/>
                <w:szCs w:val="10"/>
              </w:rPr>
              <w:t>2017</w:t>
            </w:r>
          </w:p>
        </w:tc>
        <w:tc>
          <w:tcPr>
            <w:tcW w:w="0" w:type="auto"/>
            <w:gridSpan w:val="3"/>
          </w:tcPr>
          <w:p w14:paraId="1088C457" w14:textId="77777777" w:rsidR="008C5CFA" w:rsidRPr="001C4484" w:rsidRDefault="00E82A60" w:rsidP="00300A01">
            <w:pPr>
              <w:spacing w:before="0" w:after="0"/>
              <w:jc w:val="center"/>
              <w:rPr>
                <w:sz w:val="10"/>
                <w:szCs w:val="10"/>
              </w:rPr>
            </w:pPr>
            <w:r w:rsidRPr="001C4484">
              <w:rPr>
                <w:sz w:val="10"/>
                <w:szCs w:val="10"/>
              </w:rPr>
              <w:t>2016</w:t>
            </w:r>
          </w:p>
        </w:tc>
      </w:tr>
      <w:tr w:rsidR="006B2EC1" w14:paraId="47923E2C" w14:textId="77777777" w:rsidTr="0047688D">
        <w:tc>
          <w:tcPr>
            <w:tcW w:w="0" w:type="auto"/>
            <w:shd w:val="clear" w:color="auto" w:fill="auto"/>
          </w:tcPr>
          <w:p w14:paraId="7517A99A" w14:textId="77777777" w:rsidR="008C5CFA" w:rsidRPr="001C4484" w:rsidRDefault="008C5CFA" w:rsidP="00300A01">
            <w:pPr>
              <w:spacing w:before="0" w:after="0"/>
              <w:rPr>
                <w:sz w:val="10"/>
                <w:szCs w:val="10"/>
              </w:rPr>
            </w:pPr>
          </w:p>
        </w:tc>
        <w:tc>
          <w:tcPr>
            <w:tcW w:w="0" w:type="auto"/>
            <w:shd w:val="clear" w:color="auto" w:fill="auto"/>
          </w:tcPr>
          <w:p w14:paraId="27D261D9" w14:textId="77777777" w:rsidR="008C5CFA" w:rsidRPr="001C4484" w:rsidRDefault="008C5CFA" w:rsidP="00300A01">
            <w:pPr>
              <w:spacing w:before="0" w:after="0"/>
              <w:rPr>
                <w:sz w:val="10"/>
                <w:szCs w:val="10"/>
              </w:rPr>
            </w:pPr>
          </w:p>
        </w:tc>
        <w:tc>
          <w:tcPr>
            <w:tcW w:w="0" w:type="auto"/>
            <w:shd w:val="clear" w:color="auto" w:fill="auto"/>
          </w:tcPr>
          <w:p w14:paraId="4D0080B2" w14:textId="77777777" w:rsidR="008C5CFA" w:rsidRPr="001C4484" w:rsidRDefault="008C5CFA" w:rsidP="00300A01">
            <w:pPr>
              <w:spacing w:before="0" w:after="0"/>
              <w:rPr>
                <w:sz w:val="10"/>
                <w:szCs w:val="10"/>
              </w:rPr>
            </w:pPr>
          </w:p>
        </w:tc>
        <w:tc>
          <w:tcPr>
            <w:tcW w:w="0" w:type="auto"/>
          </w:tcPr>
          <w:p w14:paraId="275615B7" w14:textId="77777777" w:rsidR="008C5CFA" w:rsidRPr="001C4484" w:rsidRDefault="00E82A60" w:rsidP="00300A01">
            <w:pPr>
              <w:spacing w:before="0" w:after="0"/>
              <w:jc w:val="center"/>
              <w:rPr>
                <w:sz w:val="10"/>
                <w:szCs w:val="10"/>
              </w:rPr>
            </w:pPr>
            <w:r>
              <w:rPr>
                <w:noProof/>
                <w:sz w:val="10"/>
                <w:szCs w:val="10"/>
              </w:rPr>
              <w:t>Ogółem</w:t>
            </w:r>
          </w:p>
        </w:tc>
        <w:tc>
          <w:tcPr>
            <w:tcW w:w="0" w:type="auto"/>
            <w:shd w:val="clear" w:color="auto" w:fill="auto"/>
          </w:tcPr>
          <w:p w14:paraId="2C8BDA49" w14:textId="77777777" w:rsidR="008C5CFA" w:rsidRPr="001C4484" w:rsidRDefault="00E82A60" w:rsidP="00300A01">
            <w:pPr>
              <w:spacing w:before="0" w:after="0"/>
              <w:jc w:val="center"/>
              <w:rPr>
                <w:sz w:val="10"/>
                <w:szCs w:val="10"/>
              </w:rPr>
            </w:pPr>
            <w:r w:rsidRPr="001C4484">
              <w:rPr>
                <w:noProof/>
                <w:sz w:val="10"/>
                <w:szCs w:val="10"/>
              </w:rPr>
              <w:t>Mężczyźni</w:t>
            </w:r>
          </w:p>
        </w:tc>
        <w:tc>
          <w:tcPr>
            <w:tcW w:w="0" w:type="auto"/>
            <w:shd w:val="clear" w:color="auto" w:fill="auto"/>
          </w:tcPr>
          <w:p w14:paraId="0C41DCF8" w14:textId="77777777" w:rsidR="008C5CFA" w:rsidRPr="001C4484" w:rsidRDefault="00E82A60" w:rsidP="00300A01">
            <w:pPr>
              <w:spacing w:before="0" w:after="0"/>
              <w:jc w:val="center"/>
              <w:rPr>
                <w:sz w:val="10"/>
                <w:szCs w:val="10"/>
              </w:rPr>
            </w:pPr>
            <w:r w:rsidRPr="001C4484">
              <w:rPr>
                <w:noProof/>
                <w:sz w:val="10"/>
                <w:szCs w:val="10"/>
              </w:rPr>
              <w:t>Kobiety</w:t>
            </w:r>
          </w:p>
        </w:tc>
        <w:tc>
          <w:tcPr>
            <w:tcW w:w="0" w:type="auto"/>
          </w:tcPr>
          <w:p w14:paraId="55C6BD48" w14:textId="77777777" w:rsidR="008C5CFA" w:rsidRPr="001C4484" w:rsidRDefault="00E82A60" w:rsidP="00300A01">
            <w:pPr>
              <w:spacing w:before="0" w:after="0"/>
              <w:jc w:val="center"/>
              <w:rPr>
                <w:sz w:val="10"/>
                <w:szCs w:val="10"/>
              </w:rPr>
            </w:pPr>
            <w:r>
              <w:rPr>
                <w:noProof/>
                <w:sz w:val="10"/>
                <w:szCs w:val="10"/>
              </w:rPr>
              <w:t>Ogółem</w:t>
            </w:r>
          </w:p>
        </w:tc>
        <w:tc>
          <w:tcPr>
            <w:tcW w:w="0" w:type="auto"/>
            <w:shd w:val="clear" w:color="auto" w:fill="auto"/>
          </w:tcPr>
          <w:p w14:paraId="44584CEC" w14:textId="77777777" w:rsidR="008C5CFA" w:rsidRPr="001C4484" w:rsidRDefault="00E82A60" w:rsidP="00300A01">
            <w:pPr>
              <w:spacing w:before="0" w:after="0"/>
              <w:jc w:val="center"/>
              <w:rPr>
                <w:sz w:val="10"/>
                <w:szCs w:val="10"/>
              </w:rPr>
            </w:pPr>
            <w:r w:rsidRPr="001C4484">
              <w:rPr>
                <w:noProof/>
                <w:sz w:val="10"/>
                <w:szCs w:val="10"/>
              </w:rPr>
              <w:t>Mężczyźni</w:t>
            </w:r>
          </w:p>
        </w:tc>
        <w:tc>
          <w:tcPr>
            <w:tcW w:w="0" w:type="auto"/>
            <w:shd w:val="clear" w:color="auto" w:fill="auto"/>
          </w:tcPr>
          <w:p w14:paraId="0A8BC471" w14:textId="77777777" w:rsidR="008C5CFA" w:rsidRPr="001C4484" w:rsidRDefault="00E82A60" w:rsidP="00300A01">
            <w:pPr>
              <w:spacing w:before="0" w:after="0"/>
              <w:jc w:val="center"/>
              <w:rPr>
                <w:sz w:val="10"/>
                <w:szCs w:val="10"/>
              </w:rPr>
            </w:pPr>
            <w:r w:rsidRPr="001C4484">
              <w:rPr>
                <w:noProof/>
                <w:sz w:val="10"/>
                <w:szCs w:val="10"/>
              </w:rPr>
              <w:t>Kobiety</w:t>
            </w:r>
          </w:p>
        </w:tc>
        <w:tc>
          <w:tcPr>
            <w:tcW w:w="0" w:type="auto"/>
          </w:tcPr>
          <w:p w14:paraId="2EFBDA33" w14:textId="77777777" w:rsidR="008C5CFA" w:rsidRPr="001C4484" w:rsidRDefault="00E82A60" w:rsidP="00300A01">
            <w:pPr>
              <w:spacing w:before="0" w:after="0"/>
              <w:jc w:val="center"/>
              <w:rPr>
                <w:sz w:val="10"/>
                <w:szCs w:val="10"/>
              </w:rPr>
            </w:pPr>
            <w:r>
              <w:rPr>
                <w:noProof/>
                <w:sz w:val="10"/>
                <w:szCs w:val="10"/>
              </w:rPr>
              <w:t>Ogółem</w:t>
            </w:r>
          </w:p>
        </w:tc>
        <w:tc>
          <w:tcPr>
            <w:tcW w:w="0" w:type="auto"/>
            <w:shd w:val="clear" w:color="auto" w:fill="auto"/>
          </w:tcPr>
          <w:p w14:paraId="0EEEA462" w14:textId="77777777" w:rsidR="008C5CFA" w:rsidRPr="001C4484" w:rsidRDefault="00E82A60" w:rsidP="00300A01">
            <w:pPr>
              <w:spacing w:before="0" w:after="0"/>
              <w:jc w:val="center"/>
              <w:rPr>
                <w:sz w:val="10"/>
                <w:szCs w:val="10"/>
              </w:rPr>
            </w:pPr>
            <w:r w:rsidRPr="001C4484">
              <w:rPr>
                <w:noProof/>
                <w:sz w:val="10"/>
                <w:szCs w:val="10"/>
              </w:rPr>
              <w:t>Mężczyźni</w:t>
            </w:r>
          </w:p>
        </w:tc>
        <w:tc>
          <w:tcPr>
            <w:tcW w:w="0" w:type="auto"/>
            <w:shd w:val="clear" w:color="auto" w:fill="auto"/>
          </w:tcPr>
          <w:p w14:paraId="7424EC82" w14:textId="77777777" w:rsidR="008C5CFA" w:rsidRPr="001C4484" w:rsidRDefault="00E82A60" w:rsidP="00300A01">
            <w:pPr>
              <w:spacing w:before="0" w:after="0"/>
              <w:jc w:val="center"/>
              <w:rPr>
                <w:sz w:val="10"/>
                <w:szCs w:val="10"/>
              </w:rPr>
            </w:pPr>
            <w:r w:rsidRPr="001C4484">
              <w:rPr>
                <w:noProof/>
                <w:sz w:val="10"/>
                <w:szCs w:val="10"/>
              </w:rPr>
              <w:t>Kobiety</w:t>
            </w:r>
          </w:p>
        </w:tc>
      </w:tr>
      <w:tr w:rsidR="006B2EC1" w14:paraId="06847061" w14:textId="77777777" w:rsidTr="0047688D">
        <w:tc>
          <w:tcPr>
            <w:tcW w:w="0" w:type="auto"/>
            <w:shd w:val="clear" w:color="auto" w:fill="auto"/>
          </w:tcPr>
          <w:p w14:paraId="5067FD11" w14:textId="77777777" w:rsidR="008C5CFA" w:rsidRPr="001C4484" w:rsidRDefault="00E82A60" w:rsidP="00300A01">
            <w:pPr>
              <w:spacing w:before="0" w:after="0"/>
              <w:rPr>
                <w:sz w:val="10"/>
                <w:szCs w:val="10"/>
                <w:lang w:val="fr-BE"/>
              </w:rPr>
            </w:pPr>
            <w:r w:rsidRPr="001C4484">
              <w:rPr>
                <w:noProof/>
                <w:sz w:val="10"/>
                <w:szCs w:val="10"/>
                <w:lang w:val="fr-BE"/>
              </w:rPr>
              <w:t>CO01</w:t>
            </w:r>
          </w:p>
        </w:tc>
        <w:tc>
          <w:tcPr>
            <w:tcW w:w="0" w:type="auto"/>
            <w:shd w:val="clear" w:color="auto" w:fill="auto"/>
          </w:tcPr>
          <w:p w14:paraId="40646246" w14:textId="77777777" w:rsidR="008C5CFA" w:rsidRPr="001C4484" w:rsidRDefault="00E82A60" w:rsidP="00300A01">
            <w:pPr>
              <w:spacing w:before="0" w:after="0"/>
              <w:rPr>
                <w:sz w:val="10"/>
                <w:szCs w:val="10"/>
                <w:lang w:val="fr-BE"/>
              </w:rPr>
            </w:pPr>
            <w:r w:rsidRPr="001C4484">
              <w:rPr>
                <w:noProof/>
                <w:sz w:val="10"/>
                <w:szCs w:val="10"/>
                <w:lang w:val="fr-BE"/>
              </w:rPr>
              <w:t>bezrobotni, w tym długotrwale bezrobotni</w:t>
            </w:r>
          </w:p>
        </w:tc>
        <w:tc>
          <w:tcPr>
            <w:tcW w:w="0" w:type="auto"/>
            <w:shd w:val="clear" w:color="auto" w:fill="auto"/>
          </w:tcPr>
          <w:p w14:paraId="661ADCE3"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2F98D8EB" w14:textId="77777777" w:rsidR="008C5CFA" w:rsidRPr="001C4484" w:rsidRDefault="00E82A60" w:rsidP="00300A01">
            <w:pPr>
              <w:spacing w:before="0" w:after="0"/>
              <w:jc w:val="right"/>
              <w:rPr>
                <w:sz w:val="10"/>
                <w:szCs w:val="10"/>
              </w:rPr>
            </w:pPr>
            <w:r>
              <w:rPr>
                <w:noProof/>
                <w:sz w:val="10"/>
                <w:szCs w:val="10"/>
              </w:rPr>
              <w:t>780,00</w:t>
            </w:r>
          </w:p>
        </w:tc>
        <w:tc>
          <w:tcPr>
            <w:tcW w:w="0" w:type="auto"/>
            <w:shd w:val="clear" w:color="auto" w:fill="auto"/>
          </w:tcPr>
          <w:p w14:paraId="15C66ACB" w14:textId="77777777" w:rsidR="008C5CFA" w:rsidRPr="001C4484" w:rsidRDefault="00E82A60" w:rsidP="00300A01">
            <w:pPr>
              <w:spacing w:before="0" w:after="0"/>
              <w:jc w:val="right"/>
              <w:rPr>
                <w:sz w:val="10"/>
                <w:szCs w:val="10"/>
              </w:rPr>
            </w:pPr>
            <w:r w:rsidRPr="001C4484">
              <w:rPr>
                <w:noProof/>
                <w:sz w:val="10"/>
                <w:szCs w:val="10"/>
              </w:rPr>
              <w:t>417,00</w:t>
            </w:r>
          </w:p>
        </w:tc>
        <w:tc>
          <w:tcPr>
            <w:tcW w:w="0" w:type="auto"/>
            <w:shd w:val="clear" w:color="auto" w:fill="auto"/>
          </w:tcPr>
          <w:p w14:paraId="77FBA2CB" w14:textId="77777777" w:rsidR="008C5CFA" w:rsidRPr="001C4484" w:rsidRDefault="00E82A60" w:rsidP="00300A01">
            <w:pPr>
              <w:spacing w:before="0" w:after="0"/>
              <w:jc w:val="right"/>
              <w:rPr>
                <w:sz w:val="10"/>
                <w:szCs w:val="10"/>
                <w:lang w:val="fr-BE"/>
              </w:rPr>
            </w:pPr>
            <w:r w:rsidRPr="001C4484">
              <w:rPr>
                <w:noProof/>
                <w:sz w:val="10"/>
                <w:szCs w:val="10"/>
              </w:rPr>
              <w:t>363,00</w:t>
            </w:r>
          </w:p>
        </w:tc>
        <w:tc>
          <w:tcPr>
            <w:tcW w:w="0" w:type="auto"/>
          </w:tcPr>
          <w:p w14:paraId="0BA136AB" w14:textId="77777777" w:rsidR="008C5CFA" w:rsidRPr="001C4484" w:rsidRDefault="00E82A60" w:rsidP="00300A01">
            <w:pPr>
              <w:spacing w:before="0" w:after="0"/>
              <w:jc w:val="right"/>
              <w:rPr>
                <w:sz w:val="10"/>
                <w:szCs w:val="10"/>
              </w:rPr>
            </w:pPr>
            <w:r>
              <w:rPr>
                <w:noProof/>
                <w:sz w:val="10"/>
                <w:szCs w:val="10"/>
              </w:rPr>
              <w:t>1 468,00</w:t>
            </w:r>
          </w:p>
        </w:tc>
        <w:tc>
          <w:tcPr>
            <w:tcW w:w="0" w:type="auto"/>
            <w:shd w:val="clear" w:color="auto" w:fill="auto"/>
          </w:tcPr>
          <w:p w14:paraId="42BAE768" w14:textId="77777777" w:rsidR="008C5CFA" w:rsidRPr="001C4484" w:rsidRDefault="00E82A60" w:rsidP="00300A01">
            <w:pPr>
              <w:spacing w:before="0" w:after="0"/>
              <w:jc w:val="right"/>
              <w:rPr>
                <w:sz w:val="10"/>
                <w:szCs w:val="10"/>
              </w:rPr>
            </w:pPr>
            <w:r w:rsidRPr="001C4484">
              <w:rPr>
                <w:noProof/>
                <w:sz w:val="10"/>
                <w:szCs w:val="10"/>
              </w:rPr>
              <w:t>750,00</w:t>
            </w:r>
          </w:p>
        </w:tc>
        <w:tc>
          <w:tcPr>
            <w:tcW w:w="0" w:type="auto"/>
            <w:shd w:val="clear" w:color="auto" w:fill="auto"/>
          </w:tcPr>
          <w:p w14:paraId="174C5DD8" w14:textId="77777777" w:rsidR="008C5CFA" w:rsidRPr="001C4484" w:rsidRDefault="00E82A60" w:rsidP="00300A01">
            <w:pPr>
              <w:spacing w:before="0" w:after="0"/>
              <w:jc w:val="right"/>
              <w:rPr>
                <w:sz w:val="10"/>
                <w:szCs w:val="10"/>
                <w:lang w:val="fr-BE"/>
              </w:rPr>
            </w:pPr>
            <w:r w:rsidRPr="001C4484">
              <w:rPr>
                <w:noProof/>
                <w:sz w:val="10"/>
                <w:szCs w:val="10"/>
              </w:rPr>
              <w:t>718,00</w:t>
            </w:r>
          </w:p>
        </w:tc>
        <w:tc>
          <w:tcPr>
            <w:tcW w:w="0" w:type="auto"/>
          </w:tcPr>
          <w:p w14:paraId="67B8F1DF" w14:textId="77777777" w:rsidR="008C5CFA" w:rsidRPr="001C4484" w:rsidRDefault="00E82A60" w:rsidP="00300A01">
            <w:pPr>
              <w:spacing w:before="0" w:after="0"/>
              <w:jc w:val="right"/>
              <w:rPr>
                <w:sz w:val="10"/>
                <w:szCs w:val="10"/>
              </w:rPr>
            </w:pPr>
            <w:r>
              <w:rPr>
                <w:noProof/>
                <w:sz w:val="10"/>
                <w:szCs w:val="10"/>
              </w:rPr>
              <w:t>1 317,00</w:t>
            </w:r>
          </w:p>
        </w:tc>
        <w:tc>
          <w:tcPr>
            <w:tcW w:w="0" w:type="auto"/>
            <w:shd w:val="clear" w:color="auto" w:fill="auto"/>
          </w:tcPr>
          <w:p w14:paraId="3D23E003" w14:textId="77777777" w:rsidR="008C5CFA" w:rsidRPr="001C4484" w:rsidRDefault="00E82A60" w:rsidP="00300A01">
            <w:pPr>
              <w:spacing w:before="0" w:after="0"/>
              <w:jc w:val="right"/>
              <w:rPr>
                <w:sz w:val="10"/>
                <w:szCs w:val="10"/>
              </w:rPr>
            </w:pPr>
            <w:r w:rsidRPr="001C4484">
              <w:rPr>
                <w:noProof/>
                <w:sz w:val="10"/>
                <w:szCs w:val="10"/>
              </w:rPr>
              <w:t>600,00</w:t>
            </w:r>
          </w:p>
        </w:tc>
        <w:tc>
          <w:tcPr>
            <w:tcW w:w="0" w:type="auto"/>
            <w:shd w:val="clear" w:color="auto" w:fill="auto"/>
          </w:tcPr>
          <w:p w14:paraId="2455B16D" w14:textId="77777777" w:rsidR="008C5CFA" w:rsidRPr="001C4484" w:rsidRDefault="00E82A60" w:rsidP="00300A01">
            <w:pPr>
              <w:spacing w:before="0" w:after="0"/>
              <w:jc w:val="right"/>
              <w:rPr>
                <w:sz w:val="10"/>
                <w:szCs w:val="10"/>
                <w:lang w:val="fr-BE"/>
              </w:rPr>
            </w:pPr>
            <w:r w:rsidRPr="001C4484">
              <w:rPr>
                <w:noProof/>
                <w:sz w:val="10"/>
                <w:szCs w:val="10"/>
              </w:rPr>
              <w:t>717,00</w:t>
            </w:r>
          </w:p>
        </w:tc>
      </w:tr>
      <w:tr w:rsidR="006B2EC1" w14:paraId="2CD3CB36" w14:textId="77777777" w:rsidTr="0047688D">
        <w:tc>
          <w:tcPr>
            <w:tcW w:w="0" w:type="auto"/>
            <w:shd w:val="clear" w:color="auto" w:fill="auto"/>
          </w:tcPr>
          <w:p w14:paraId="21D7DB2F" w14:textId="77777777" w:rsidR="008C5CFA" w:rsidRPr="001C4484" w:rsidRDefault="00E82A60" w:rsidP="00300A01">
            <w:pPr>
              <w:spacing w:before="0" w:after="0"/>
              <w:rPr>
                <w:sz w:val="10"/>
                <w:szCs w:val="10"/>
                <w:lang w:val="fr-BE"/>
              </w:rPr>
            </w:pPr>
            <w:r w:rsidRPr="001C4484">
              <w:rPr>
                <w:noProof/>
                <w:sz w:val="10"/>
                <w:szCs w:val="10"/>
                <w:lang w:val="fr-BE"/>
              </w:rPr>
              <w:t>CO02</w:t>
            </w:r>
          </w:p>
        </w:tc>
        <w:tc>
          <w:tcPr>
            <w:tcW w:w="0" w:type="auto"/>
            <w:shd w:val="clear" w:color="auto" w:fill="auto"/>
          </w:tcPr>
          <w:p w14:paraId="71005869" w14:textId="77777777" w:rsidR="008C5CFA" w:rsidRPr="001C4484" w:rsidRDefault="00E82A60" w:rsidP="00300A01">
            <w:pPr>
              <w:spacing w:before="0" w:after="0"/>
              <w:rPr>
                <w:sz w:val="10"/>
                <w:szCs w:val="10"/>
                <w:lang w:val="fr-BE"/>
              </w:rPr>
            </w:pPr>
            <w:r w:rsidRPr="001C4484">
              <w:rPr>
                <w:noProof/>
                <w:sz w:val="10"/>
                <w:szCs w:val="10"/>
                <w:lang w:val="fr-BE"/>
              </w:rPr>
              <w:t>długotrwale bezrobotni</w:t>
            </w:r>
          </w:p>
        </w:tc>
        <w:tc>
          <w:tcPr>
            <w:tcW w:w="0" w:type="auto"/>
            <w:shd w:val="clear" w:color="auto" w:fill="auto"/>
          </w:tcPr>
          <w:p w14:paraId="354CB925"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5B6783CD" w14:textId="77777777" w:rsidR="008C5CFA" w:rsidRPr="001C4484" w:rsidRDefault="00E82A60" w:rsidP="00300A01">
            <w:pPr>
              <w:spacing w:before="0" w:after="0"/>
              <w:jc w:val="right"/>
              <w:rPr>
                <w:sz w:val="10"/>
                <w:szCs w:val="10"/>
              </w:rPr>
            </w:pPr>
            <w:r>
              <w:rPr>
                <w:noProof/>
                <w:sz w:val="10"/>
                <w:szCs w:val="10"/>
              </w:rPr>
              <w:t>201,00</w:t>
            </w:r>
          </w:p>
        </w:tc>
        <w:tc>
          <w:tcPr>
            <w:tcW w:w="0" w:type="auto"/>
            <w:shd w:val="clear" w:color="auto" w:fill="auto"/>
          </w:tcPr>
          <w:p w14:paraId="2D3834A1" w14:textId="77777777" w:rsidR="008C5CFA" w:rsidRPr="001C4484" w:rsidRDefault="00E82A60" w:rsidP="00300A01">
            <w:pPr>
              <w:spacing w:before="0" w:after="0"/>
              <w:jc w:val="right"/>
              <w:rPr>
                <w:sz w:val="10"/>
                <w:szCs w:val="10"/>
              </w:rPr>
            </w:pPr>
            <w:r w:rsidRPr="001C4484">
              <w:rPr>
                <w:noProof/>
                <w:sz w:val="10"/>
                <w:szCs w:val="10"/>
              </w:rPr>
              <w:t>122,00</w:t>
            </w:r>
          </w:p>
        </w:tc>
        <w:tc>
          <w:tcPr>
            <w:tcW w:w="0" w:type="auto"/>
            <w:shd w:val="clear" w:color="auto" w:fill="auto"/>
          </w:tcPr>
          <w:p w14:paraId="6047C034" w14:textId="77777777" w:rsidR="008C5CFA" w:rsidRPr="001C4484" w:rsidRDefault="00E82A60" w:rsidP="00300A01">
            <w:pPr>
              <w:spacing w:before="0" w:after="0"/>
              <w:jc w:val="right"/>
              <w:rPr>
                <w:sz w:val="10"/>
                <w:szCs w:val="10"/>
                <w:lang w:val="fr-BE"/>
              </w:rPr>
            </w:pPr>
            <w:r w:rsidRPr="001C4484">
              <w:rPr>
                <w:noProof/>
                <w:sz w:val="10"/>
                <w:szCs w:val="10"/>
              </w:rPr>
              <w:t>79,00</w:t>
            </w:r>
          </w:p>
        </w:tc>
        <w:tc>
          <w:tcPr>
            <w:tcW w:w="0" w:type="auto"/>
          </w:tcPr>
          <w:p w14:paraId="3BA5822D" w14:textId="77777777" w:rsidR="008C5CFA" w:rsidRPr="001C4484" w:rsidRDefault="00E82A60" w:rsidP="00300A01">
            <w:pPr>
              <w:spacing w:before="0" w:after="0"/>
              <w:jc w:val="right"/>
              <w:rPr>
                <w:sz w:val="10"/>
                <w:szCs w:val="10"/>
              </w:rPr>
            </w:pPr>
            <w:r>
              <w:rPr>
                <w:noProof/>
                <w:sz w:val="10"/>
                <w:szCs w:val="10"/>
              </w:rPr>
              <w:t>481,00</w:t>
            </w:r>
          </w:p>
        </w:tc>
        <w:tc>
          <w:tcPr>
            <w:tcW w:w="0" w:type="auto"/>
            <w:shd w:val="clear" w:color="auto" w:fill="auto"/>
          </w:tcPr>
          <w:p w14:paraId="577FD8C7" w14:textId="77777777" w:rsidR="008C5CFA" w:rsidRPr="001C4484" w:rsidRDefault="00E82A60" w:rsidP="00300A01">
            <w:pPr>
              <w:spacing w:before="0" w:after="0"/>
              <w:jc w:val="right"/>
              <w:rPr>
                <w:sz w:val="10"/>
                <w:szCs w:val="10"/>
              </w:rPr>
            </w:pPr>
            <w:r w:rsidRPr="001C4484">
              <w:rPr>
                <w:noProof/>
                <w:sz w:val="10"/>
                <w:szCs w:val="10"/>
              </w:rPr>
              <w:t>268,00</w:t>
            </w:r>
          </w:p>
        </w:tc>
        <w:tc>
          <w:tcPr>
            <w:tcW w:w="0" w:type="auto"/>
            <w:shd w:val="clear" w:color="auto" w:fill="auto"/>
          </w:tcPr>
          <w:p w14:paraId="5EAC41BA" w14:textId="77777777" w:rsidR="008C5CFA" w:rsidRPr="001C4484" w:rsidRDefault="00E82A60" w:rsidP="00300A01">
            <w:pPr>
              <w:spacing w:before="0" w:after="0"/>
              <w:jc w:val="right"/>
              <w:rPr>
                <w:sz w:val="10"/>
                <w:szCs w:val="10"/>
                <w:lang w:val="fr-BE"/>
              </w:rPr>
            </w:pPr>
            <w:r w:rsidRPr="001C4484">
              <w:rPr>
                <w:noProof/>
                <w:sz w:val="10"/>
                <w:szCs w:val="10"/>
              </w:rPr>
              <w:t>213,00</w:t>
            </w:r>
          </w:p>
        </w:tc>
        <w:tc>
          <w:tcPr>
            <w:tcW w:w="0" w:type="auto"/>
          </w:tcPr>
          <w:p w14:paraId="11626AF1" w14:textId="77777777" w:rsidR="008C5CFA" w:rsidRPr="001C4484" w:rsidRDefault="00E82A60" w:rsidP="00300A01">
            <w:pPr>
              <w:spacing w:before="0" w:after="0"/>
              <w:jc w:val="right"/>
              <w:rPr>
                <w:sz w:val="10"/>
                <w:szCs w:val="10"/>
              </w:rPr>
            </w:pPr>
            <w:r>
              <w:rPr>
                <w:noProof/>
                <w:sz w:val="10"/>
                <w:szCs w:val="10"/>
              </w:rPr>
              <w:t>425,00</w:t>
            </w:r>
          </w:p>
        </w:tc>
        <w:tc>
          <w:tcPr>
            <w:tcW w:w="0" w:type="auto"/>
            <w:shd w:val="clear" w:color="auto" w:fill="auto"/>
          </w:tcPr>
          <w:p w14:paraId="07AD6863" w14:textId="77777777" w:rsidR="008C5CFA" w:rsidRPr="001C4484" w:rsidRDefault="00E82A60" w:rsidP="00300A01">
            <w:pPr>
              <w:spacing w:before="0" w:after="0"/>
              <w:jc w:val="right"/>
              <w:rPr>
                <w:sz w:val="10"/>
                <w:szCs w:val="10"/>
              </w:rPr>
            </w:pPr>
            <w:r w:rsidRPr="001C4484">
              <w:rPr>
                <w:noProof/>
                <w:sz w:val="10"/>
                <w:szCs w:val="10"/>
              </w:rPr>
              <w:t>211,00</w:t>
            </w:r>
          </w:p>
        </w:tc>
        <w:tc>
          <w:tcPr>
            <w:tcW w:w="0" w:type="auto"/>
            <w:shd w:val="clear" w:color="auto" w:fill="auto"/>
          </w:tcPr>
          <w:p w14:paraId="228A405C" w14:textId="77777777" w:rsidR="008C5CFA" w:rsidRPr="001C4484" w:rsidRDefault="00E82A60" w:rsidP="00300A01">
            <w:pPr>
              <w:spacing w:before="0" w:after="0"/>
              <w:jc w:val="right"/>
              <w:rPr>
                <w:sz w:val="10"/>
                <w:szCs w:val="10"/>
                <w:lang w:val="fr-BE"/>
              </w:rPr>
            </w:pPr>
            <w:r w:rsidRPr="001C4484">
              <w:rPr>
                <w:noProof/>
                <w:sz w:val="10"/>
                <w:szCs w:val="10"/>
              </w:rPr>
              <w:t>214,00</w:t>
            </w:r>
          </w:p>
        </w:tc>
      </w:tr>
      <w:tr w:rsidR="006B2EC1" w14:paraId="4A5C31F6" w14:textId="77777777" w:rsidTr="0047688D">
        <w:tc>
          <w:tcPr>
            <w:tcW w:w="0" w:type="auto"/>
            <w:shd w:val="clear" w:color="auto" w:fill="auto"/>
          </w:tcPr>
          <w:p w14:paraId="54279C86" w14:textId="77777777" w:rsidR="008C5CFA" w:rsidRPr="001C4484" w:rsidRDefault="00E82A60" w:rsidP="00300A01">
            <w:pPr>
              <w:spacing w:before="0" w:after="0"/>
              <w:rPr>
                <w:sz w:val="10"/>
                <w:szCs w:val="10"/>
                <w:lang w:val="fr-BE"/>
              </w:rPr>
            </w:pPr>
            <w:r w:rsidRPr="001C4484">
              <w:rPr>
                <w:noProof/>
                <w:sz w:val="10"/>
                <w:szCs w:val="10"/>
                <w:lang w:val="fr-BE"/>
              </w:rPr>
              <w:t>CO03</w:t>
            </w:r>
          </w:p>
        </w:tc>
        <w:tc>
          <w:tcPr>
            <w:tcW w:w="0" w:type="auto"/>
            <w:shd w:val="clear" w:color="auto" w:fill="auto"/>
          </w:tcPr>
          <w:p w14:paraId="0EACAC94" w14:textId="77777777" w:rsidR="008C5CFA" w:rsidRPr="001C4484" w:rsidRDefault="00E82A60" w:rsidP="00300A01">
            <w:pPr>
              <w:spacing w:before="0" w:after="0"/>
              <w:rPr>
                <w:sz w:val="10"/>
                <w:szCs w:val="10"/>
                <w:lang w:val="fr-BE"/>
              </w:rPr>
            </w:pPr>
            <w:r w:rsidRPr="001C4484">
              <w:rPr>
                <w:noProof/>
                <w:sz w:val="10"/>
                <w:szCs w:val="10"/>
                <w:lang w:val="fr-BE"/>
              </w:rPr>
              <w:t>osoby bierne zawodowo</w:t>
            </w:r>
          </w:p>
        </w:tc>
        <w:tc>
          <w:tcPr>
            <w:tcW w:w="0" w:type="auto"/>
            <w:shd w:val="clear" w:color="auto" w:fill="auto"/>
          </w:tcPr>
          <w:p w14:paraId="116572D3"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7BF2BFF2" w14:textId="77777777" w:rsidR="008C5CFA" w:rsidRPr="001C4484" w:rsidRDefault="00E82A60" w:rsidP="00300A01">
            <w:pPr>
              <w:spacing w:before="0" w:after="0"/>
              <w:jc w:val="right"/>
              <w:rPr>
                <w:sz w:val="10"/>
                <w:szCs w:val="10"/>
              </w:rPr>
            </w:pPr>
            <w:r>
              <w:rPr>
                <w:noProof/>
                <w:sz w:val="10"/>
                <w:szCs w:val="10"/>
              </w:rPr>
              <w:t>155,00</w:t>
            </w:r>
          </w:p>
        </w:tc>
        <w:tc>
          <w:tcPr>
            <w:tcW w:w="0" w:type="auto"/>
            <w:shd w:val="clear" w:color="auto" w:fill="auto"/>
          </w:tcPr>
          <w:p w14:paraId="2ABAA911" w14:textId="77777777" w:rsidR="008C5CFA" w:rsidRPr="001C4484" w:rsidRDefault="00E82A60" w:rsidP="00300A01">
            <w:pPr>
              <w:spacing w:before="0" w:after="0"/>
              <w:jc w:val="right"/>
              <w:rPr>
                <w:sz w:val="10"/>
                <w:szCs w:val="10"/>
              </w:rPr>
            </w:pPr>
            <w:r w:rsidRPr="001C4484">
              <w:rPr>
                <w:noProof/>
                <w:sz w:val="10"/>
                <w:szCs w:val="10"/>
              </w:rPr>
              <w:t>71,00</w:t>
            </w:r>
          </w:p>
        </w:tc>
        <w:tc>
          <w:tcPr>
            <w:tcW w:w="0" w:type="auto"/>
            <w:shd w:val="clear" w:color="auto" w:fill="auto"/>
          </w:tcPr>
          <w:p w14:paraId="55F4B848" w14:textId="77777777" w:rsidR="008C5CFA" w:rsidRPr="001C4484" w:rsidRDefault="00E82A60" w:rsidP="00300A01">
            <w:pPr>
              <w:spacing w:before="0" w:after="0"/>
              <w:jc w:val="right"/>
              <w:rPr>
                <w:sz w:val="10"/>
                <w:szCs w:val="10"/>
                <w:lang w:val="fr-BE"/>
              </w:rPr>
            </w:pPr>
            <w:r w:rsidRPr="001C4484">
              <w:rPr>
                <w:noProof/>
                <w:sz w:val="10"/>
                <w:szCs w:val="10"/>
              </w:rPr>
              <w:t>84,00</w:t>
            </w:r>
          </w:p>
        </w:tc>
        <w:tc>
          <w:tcPr>
            <w:tcW w:w="0" w:type="auto"/>
          </w:tcPr>
          <w:p w14:paraId="284E8A75" w14:textId="77777777" w:rsidR="008C5CFA" w:rsidRPr="001C4484" w:rsidRDefault="00E82A60" w:rsidP="00300A01">
            <w:pPr>
              <w:spacing w:before="0" w:after="0"/>
              <w:jc w:val="right"/>
              <w:rPr>
                <w:sz w:val="10"/>
                <w:szCs w:val="10"/>
              </w:rPr>
            </w:pPr>
            <w:r>
              <w:rPr>
                <w:noProof/>
                <w:sz w:val="10"/>
                <w:szCs w:val="10"/>
              </w:rPr>
              <w:t>299,00</w:t>
            </w:r>
          </w:p>
        </w:tc>
        <w:tc>
          <w:tcPr>
            <w:tcW w:w="0" w:type="auto"/>
            <w:shd w:val="clear" w:color="auto" w:fill="auto"/>
          </w:tcPr>
          <w:p w14:paraId="68227E59" w14:textId="77777777" w:rsidR="008C5CFA" w:rsidRPr="001C4484" w:rsidRDefault="00E82A60" w:rsidP="00300A01">
            <w:pPr>
              <w:spacing w:before="0" w:after="0"/>
              <w:jc w:val="right"/>
              <w:rPr>
                <w:sz w:val="10"/>
                <w:szCs w:val="10"/>
              </w:rPr>
            </w:pPr>
            <w:r w:rsidRPr="001C4484">
              <w:rPr>
                <w:noProof/>
                <w:sz w:val="10"/>
                <w:szCs w:val="10"/>
              </w:rPr>
              <w:t>125,00</w:t>
            </w:r>
          </w:p>
        </w:tc>
        <w:tc>
          <w:tcPr>
            <w:tcW w:w="0" w:type="auto"/>
            <w:shd w:val="clear" w:color="auto" w:fill="auto"/>
          </w:tcPr>
          <w:p w14:paraId="0E55FFFD" w14:textId="77777777" w:rsidR="008C5CFA" w:rsidRPr="001C4484" w:rsidRDefault="00E82A60" w:rsidP="00300A01">
            <w:pPr>
              <w:spacing w:before="0" w:after="0"/>
              <w:jc w:val="right"/>
              <w:rPr>
                <w:sz w:val="10"/>
                <w:szCs w:val="10"/>
                <w:lang w:val="fr-BE"/>
              </w:rPr>
            </w:pPr>
            <w:r w:rsidRPr="001C4484">
              <w:rPr>
                <w:noProof/>
                <w:sz w:val="10"/>
                <w:szCs w:val="10"/>
              </w:rPr>
              <w:t>174,00</w:t>
            </w:r>
          </w:p>
        </w:tc>
        <w:tc>
          <w:tcPr>
            <w:tcW w:w="0" w:type="auto"/>
          </w:tcPr>
          <w:p w14:paraId="144A56B8" w14:textId="77777777" w:rsidR="008C5CFA" w:rsidRPr="001C4484" w:rsidRDefault="00E82A60" w:rsidP="00300A01">
            <w:pPr>
              <w:spacing w:before="0" w:after="0"/>
              <w:jc w:val="right"/>
              <w:rPr>
                <w:sz w:val="10"/>
                <w:szCs w:val="10"/>
              </w:rPr>
            </w:pPr>
            <w:r>
              <w:rPr>
                <w:noProof/>
                <w:sz w:val="10"/>
                <w:szCs w:val="10"/>
              </w:rPr>
              <w:t>322,00</w:t>
            </w:r>
          </w:p>
        </w:tc>
        <w:tc>
          <w:tcPr>
            <w:tcW w:w="0" w:type="auto"/>
            <w:shd w:val="clear" w:color="auto" w:fill="auto"/>
          </w:tcPr>
          <w:p w14:paraId="02ED811A" w14:textId="77777777" w:rsidR="008C5CFA" w:rsidRPr="001C4484" w:rsidRDefault="00E82A60" w:rsidP="00300A01">
            <w:pPr>
              <w:spacing w:before="0" w:after="0"/>
              <w:jc w:val="right"/>
              <w:rPr>
                <w:sz w:val="10"/>
                <w:szCs w:val="10"/>
              </w:rPr>
            </w:pPr>
            <w:r w:rsidRPr="001C4484">
              <w:rPr>
                <w:noProof/>
                <w:sz w:val="10"/>
                <w:szCs w:val="10"/>
              </w:rPr>
              <w:t>125,00</w:t>
            </w:r>
          </w:p>
        </w:tc>
        <w:tc>
          <w:tcPr>
            <w:tcW w:w="0" w:type="auto"/>
            <w:shd w:val="clear" w:color="auto" w:fill="auto"/>
          </w:tcPr>
          <w:p w14:paraId="6C7E7505" w14:textId="77777777" w:rsidR="008C5CFA" w:rsidRPr="001C4484" w:rsidRDefault="00E82A60" w:rsidP="00300A01">
            <w:pPr>
              <w:spacing w:before="0" w:after="0"/>
              <w:jc w:val="right"/>
              <w:rPr>
                <w:sz w:val="10"/>
                <w:szCs w:val="10"/>
                <w:lang w:val="fr-BE"/>
              </w:rPr>
            </w:pPr>
            <w:r w:rsidRPr="001C4484">
              <w:rPr>
                <w:noProof/>
                <w:sz w:val="10"/>
                <w:szCs w:val="10"/>
              </w:rPr>
              <w:t>197,00</w:t>
            </w:r>
          </w:p>
        </w:tc>
      </w:tr>
      <w:tr w:rsidR="006B2EC1" w14:paraId="7293A317" w14:textId="77777777" w:rsidTr="0047688D">
        <w:tc>
          <w:tcPr>
            <w:tcW w:w="0" w:type="auto"/>
            <w:shd w:val="clear" w:color="auto" w:fill="auto"/>
          </w:tcPr>
          <w:p w14:paraId="4DF57F8F" w14:textId="77777777" w:rsidR="008C5CFA" w:rsidRPr="001C4484" w:rsidRDefault="00E82A60" w:rsidP="00300A01">
            <w:pPr>
              <w:spacing w:before="0" w:after="0"/>
              <w:rPr>
                <w:sz w:val="10"/>
                <w:szCs w:val="10"/>
                <w:lang w:val="fr-BE"/>
              </w:rPr>
            </w:pPr>
            <w:r w:rsidRPr="001C4484">
              <w:rPr>
                <w:noProof/>
                <w:sz w:val="10"/>
                <w:szCs w:val="10"/>
                <w:lang w:val="fr-BE"/>
              </w:rPr>
              <w:t>CO04</w:t>
            </w:r>
          </w:p>
        </w:tc>
        <w:tc>
          <w:tcPr>
            <w:tcW w:w="0" w:type="auto"/>
            <w:shd w:val="clear" w:color="auto" w:fill="auto"/>
          </w:tcPr>
          <w:p w14:paraId="5E2B7EF1" w14:textId="77777777" w:rsidR="008C5CFA" w:rsidRPr="001C4484" w:rsidRDefault="00E82A60" w:rsidP="00300A01">
            <w:pPr>
              <w:spacing w:before="0" w:after="0"/>
              <w:rPr>
                <w:sz w:val="10"/>
                <w:szCs w:val="10"/>
                <w:lang w:val="fr-BE"/>
              </w:rPr>
            </w:pPr>
            <w:r w:rsidRPr="001C4484">
              <w:rPr>
                <w:noProof/>
                <w:sz w:val="10"/>
                <w:szCs w:val="10"/>
                <w:lang w:val="fr-BE"/>
              </w:rPr>
              <w:t>osoby bierne zawodowo, nieuczestniczące w kształceniu ani szkoleniu</w:t>
            </w:r>
          </w:p>
        </w:tc>
        <w:tc>
          <w:tcPr>
            <w:tcW w:w="0" w:type="auto"/>
            <w:shd w:val="clear" w:color="auto" w:fill="auto"/>
          </w:tcPr>
          <w:p w14:paraId="45B1D644"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5275CC10" w14:textId="77777777" w:rsidR="008C5CFA" w:rsidRPr="001C4484" w:rsidRDefault="00E82A60" w:rsidP="00300A01">
            <w:pPr>
              <w:spacing w:before="0" w:after="0"/>
              <w:jc w:val="right"/>
              <w:rPr>
                <w:sz w:val="10"/>
                <w:szCs w:val="10"/>
              </w:rPr>
            </w:pPr>
            <w:r>
              <w:rPr>
                <w:noProof/>
                <w:sz w:val="10"/>
                <w:szCs w:val="10"/>
              </w:rPr>
              <w:t>20,00</w:t>
            </w:r>
          </w:p>
        </w:tc>
        <w:tc>
          <w:tcPr>
            <w:tcW w:w="0" w:type="auto"/>
            <w:shd w:val="clear" w:color="auto" w:fill="auto"/>
          </w:tcPr>
          <w:p w14:paraId="0C226818" w14:textId="77777777" w:rsidR="008C5CFA" w:rsidRPr="001C4484" w:rsidRDefault="00E82A60" w:rsidP="00300A01">
            <w:pPr>
              <w:spacing w:before="0" w:after="0"/>
              <w:jc w:val="right"/>
              <w:rPr>
                <w:sz w:val="10"/>
                <w:szCs w:val="10"/>
              </w:rPr>
            </w:pPr>
            <w:r w:rsidRPr="001C4484">
              <w:rPr>
                <w:noProof/>
                <w:sz w:val="10"/>
                <w:szCs w:val="10"/>
              </w:rPr>
              <w:t>8,00</w:t>
            </w:r>
          </w:p>
        </w:tc>
        <w:tc>
          <w:tcPr>
            <w:tcW w:w="0" w:type="auto"/>
            <w:shd w:val="clear" w:color="auto" w:fill="auto"/>
          </w:tcPr>
          <w:p w14:paraId="1F0011E0" w14:textId="77777777" w:rsidR="008C5CFA" w:rsidRPr="001C4484" w:rsidRDefault="00E82A60" w:rsidP="00300A01">
            <w:pPr>
              <w:spacing w:before="0" w:after="0"/>
              <w:jc w:val="right"/>
              <w:rPr>
                <w:sz w:val="10"/>
                <w:szCs w:val="10"/>
                <w:lang w:val="fr-BE"/>
              </w:rPr>
            </w:pPr>
            <w:r w:rsidRPr="001C4484">
              <w:rPr>
                <w:noProof/>
                <w:sz w:val="10"/>
                <w:szCs w:val="10"/>
              </w:rPr>
              <w:t>12,00</w:t>
            </w:r>
          </w:p>
        </w:tc>
        <w:tc>
          <w:tcPr>
            <w:tcW w:w="0" w:type="auto"/>
          </w:tcPr>
          <w:p w14:paraId="60BA77D8" w14:textId="77777777" w:rsidR="008C5CFA" w:rsidRPr="001C4484" w:rsidRDefault="00E82A60" w:rsidP="00300A01">
            <w:pPr>
              <w:spacing w:before="0" w:after="0"/>
              <w:jc w:val="right"/>
              <w:rPr>
                <w:sz w:val="10"/>
                <w:szCs w:val="10"/>
              </w:rPr>
            </w:pPr>
            <w:r>
              <w:rPr>
                <w:noProof/>
                <w:sz w:val="10"/>
                <w:szCs w:val="10"/>
              </w:rPr>
              <w:t>42,00</w:t>
            </w:r>
          </w:p>
        </w:tc>
        <w:tc>
          <w:tcPr>
            <w:tcW w:w="0" w:type="auto"/>
            <w:shd w:val="clear" w:color="auto" w:fill="auto"/>
          </w:tcPr>
          <w:p w14:paraId="6C947F85" w14:textId="77777777" w:rsidR="008C5CFA" w:rsidRPr="001C4484" w:rsidRDefault="00E82A60" w:rsidP="00300A01">
            <w:pPr>
              <w:spacing w:before="0" w:after="0"/>
              <w:jc w:val="right"/>
              <w:rPr>
                <w:sz w:val="10"/>
                <w:szCs w:val="10"/>
              </w:rPr>
            </w:pPr>
            <w:r w:rsidRPr="001C4484">
              <w:rPr>
                <w:noProof/>
                <w:sz w:val="10"/>
                <w:szCs w:val="10"/>
              </w:rPr>
              <w:t>18,00</w:t>
            </w:r>
          </w:p>
        </w:tc>
        <w:tc>
          <w:tcPr>
            <w:tcW w:w="0" w:type="auto"/>
            <w:shd w:val="clear" w:color="auto" w:fill="auto"/>
          </w:tcPr>
          <w:p w14:paraId="17ECFA4B" w14:textId="77777777" w:rsidR="008C5CFA" w:rsidRPr="001C4484" w:rsidRDefault="00E82A60" w:rsidP="00300A01">
            <w:pPr>
              <w:spacing w:before="0" w:after="0"/>
              <w:jc w:val="right"/>
              <w:rPr>
                <w:sz w:val="10"/>
                <w:szCs w:val="10"/>
                <w:lang w:val="fr-BE"/>
              </w:rPr>
            </w:pPr>
            <w:r w:rsidRPr="001C4484">
              <w:rPr>
                <w:noProof/>
                <w:sz w:val="10"/>
                <w:szCs w:val="10"/>
              </w:rPr>
              <w:t>24,00</w:t>
            </w:r>
          </w:p>
        </w:tc>
        <w:tc>
          <w:tcPr>
            <w:tcW w:w="0" w:type="auto"/>
          </w:tcPr>
          <w:p w14:paraId="794AD527" w14:textId="77777777" w:rsidR="008C5CFA" w:rsidRPr="001C4484" w:rsidRDefault="00E82A60" w:rsidP="00300A01">
            <w:pPr>
              <w:spacing w:before="0" w:after="0"/>
              <w:jc w:val="right"/>
              <w:rPr>
                <w:sz w:val="10"/>
                <w:szCs w:val="10"/>
              </w:rPr>
            </w:pPr>
            <w:r>
              <w:rPr>
                <w:noProof/>
                <w:sz w:val="10"/>
                <w:szCs w:val="10"/>
              </w:rPr>
              <w:t>48,00</w:t>
            </w:r>
          </w:p>
        </w:tc>
        <w:tc>
          <w:tcPr>
            <w:tcW w:w="0" w:type="auto"/>
            <w:shd w:val="clear" w:color="auto" w:fill="auto"/>
          </w:tcPr>
          <w:p w14:paraId="46E02511" w14:textId="77777777" w:rsidR="008C5CFA" w:rsidRPr="001C4484" w:rsidRDefault="00E82A60" w:rsidP="00300A01">
            <w:pPr>
              <w:spacing w:before="0" w:after="0"/>
              <w:jc w:val="right"/>
              <w:rPr>
                <w:sz w:val="10"/>
                <w:szCs w:val="10"/>
              </w:rPr>
            </w:pPr>
            <w:r w:rsidRPr="001C4484">
              <w:rPr>
                <w:noProof/>
                <w:sz w:val="10"/>
                <w:szCs w:val="10"/>
              </w:rPr>
              <w:t>23,00</w:t>
            </w:r>
          </w:p>
        </w:tc>
        <w:tc>
          <w:tcPr>
            <w:tcW w:w="0" w:type="auto"/>
            <w:shd w:val="clear" w:color="auto" w:fill="auto"/>
          </w:tcPr>
          <w:p w14:paraId="1FFAC63C" w14:textId="77777777" w:rsidR="008C5CFA" w:rsidRPr="001C4484" w:rsidRDefault="00E82A60" w:rsidP="00300A01">
            <w:pPr>
              <w:spacing w:before="0" w:after="0"/>
              <w:jc w:val="right"/>
              <w:rPr>
                <w:sz w:val="10"/>
                <w:szCs w:val="10"/>
                <w:lang w:val="fr-BE"/>
              </w:rPr>
            </w:pPr>
            <w:r w:rsidRPr="001C4484">
              <w:rPr>
                <w:noProof/>
                <w:sz w:val="10"/>
                <w:szCs w:val="10"/>
              </w:rPr>
              <w:t>25,00</w:t>
            </w:r>
          </w:p>
        </w:tc>
      </w:tr>
      <w:tr w:rsidR="006B2EC1" w14:paraId="50DD3D56" w14:textId="77777777" w:rsidTr="0047688D">
        <w:tc>
          <w:tcPr>
            <w:tcW w:w="0" w:type="auto"/>
            <w:shd w:val="clear" w:color="auto" w:fill="auto"/>
          </w:tcPr>
          <w:p w14:paraId="24E4AB82" w14:textId="77777777" w:rsidR="008C5CFA" w:rsidRPr="001C4484" w:rsidRDefault="00E82A60" w:rsidP="00300A01">
            <w:pPr>
              <w:spacing w:before="0" w:after="0"/>
              <w:rPr>
                <w:sz w:val="10"/>
                <w:szCs w:val="10"/>
                <w:lang w:val="fr-BE"/>
              </w:rPr>
            </w:pPr>
            <w:r w:rsidRPr="001C4484">
              <w:rPr>
                <w:noProof/>
                <w:sz w:val="10"/>
                <w:szCs w:val="10"/>
                <w:lang w:val="fr-BE"/>
              </w:rPr>
              <w:t>CO05</w:t>
            </w:r>
          </w:p>
        </w:tc>
        <w:tc>
          <w:tcPr>
            <w:tcW w:w="0" w:type="auto"/>
            <w:shd w:val="clear" w:color="auto" w:fill="auto"/>
          </w:tcPr>
          <w:p w14:paraId="73946155" w14:textId="77777777" w:rsidR="008C5CFA" w:rsidRPr="001C4484" w:rsidRDefault="00E82A60" w:rsidP="00300A01">
            <w:pPr>
              <w:spacing w:before="0" w:after="0"/>
              <w:rPr>
                <w:sz w:val="10"/>
                <w:szCs w:val="10"/>
                <w:lang w:val="fr-BE"/>
              </w:rPr>
            </w:pPr>
            <w:r w:rsidRPr="001C4484">
              <w:rPr>
                <w:noProof/>
                <w:sz w:val="10"/>
                <w:szCs w:val="10"/>
                <w:lang w:val="fr-BE"/>
              </w:rPr>
              <w:t>osoby pracujące, łącznie z prowadzącymi działalność na własny rachunek</w:t>
            </w:r>
          </w:p>
        </w:tc>
        <w:tc>
          <w:tcPr>
            <w:tcW w:w="0" w:type="auto"/>
            <w:shd w:val="clear" w:color="auto" w:fill="auto"/>
          </w:tcPr>
          <w:p w14:paraId="1E66E22E"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6BFFD28E"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503D753D"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60C7957A" w14:textId="77777777" w:rsidR="008C5CFA" w:rsidRPr="001C4484" w:rsidRDefault="00E82A60" w:rsidP="00300A01">
            <w:pPr>
              <w:spacing w:before="0" w:after="0"/>
              <w:jc w:val="right"/>
              <w:rPr>
                <w:sz w:val="10"/>
                <w:szCs w:val="10"/>
                <w:lang w:val="fr-BE"/>
              </w:rPr>
            </w:pPr>
            <w:r w:rsidRPr="001C4484">
              <w:rPr>
                <w:noProof/>
                <w:sz w:val="10"/>
                <w:szCs w:val="10"/>
              </w:rPr>
              <w:t>0,00</w:t>
            </w:r>
          </w:p>
        </w:tc>
        <w:tc>
          <w:tcPr>
            <w:tcW w:w="0" w:type="auto"/>
          </w:tcPr>
          <w:p w14:paraId="63BE4DDF"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16BE5B13"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1FB8B36F" w14:textId="77777777" w:rsidR="008C5CFA" w:rsidRPr="001C4484" w:rsidRDefault="00E82A60" w:rsidP="00300A01">
            <w:pPr>
              <w:spacing w:before="0" w:after="0"/>
              <w:jc w:val="right"/>
              <w:rPr>
                <w:sz w:val="10"/>
                <w:szCs w:val="10"/>
                <w:lang w:val="fr-BE"/>
              </w:rPr>
            </w:pPr>
            <w:r w:rsidRPr="001C4484">
              <w:rPr>
                <w:noProof/>
                <w:sz w:val="10"/>
                <w:szCs w:val="10"/>
              </w:rPr>
              <w:t>0,00</w:t>
            </w:r>
          </w:p>
        </w:tc>
        <w:tc>
          <w:tcPr>
            <w:tcW w:w="0" w:type="auto"/>
          </w:tcPr>
          <w:p w14:paraId="0BC86066"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2126EFF0"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6DCF9D95" w14:textId="77777777" w:rsidR="008C5CFA" w:rsidRPr="001C4484" w:rsidRDefault="00E82A60" w:rsidP="00300A01">
            <w:pPr>
              <w:spacing w:before="0" w:after="0"/>
              <w:jc w:val="right"/>
              <w:rPr>
                <w:sz w:val="10"/>
                <w:szCs w:val="10"/>
                <w:lang w:val="fr-BE"/>
              </w:rPr>
            </w:pPr>
            <w:r w:rsidRPr="001C4484">
              <w:rPr>
                <w:noProof/>
                <w:sz w:val="10"/>
                <w:szCs w:val="10"/>
              </w:rPr>
              <w:t>0,00</w:t>
            </w:r>
          </w:p>
        </w:tc>
      </w:tr>
      <w:tr w:rsidR="006B2EC1" w14:paraId="293D8267" w14:textId="77777777" w:rsidTr="0047688D">
        <w:tc>
          <w:tcPr>
            <w:tcW w:w="0" w:type="auto"/>
            <w:shd w:val="clear" w:color="auto" w:fill="auto"/>
          </w:tcPr>
          <w:p w14:paraId="5286EEC6" w14:textId="77777777" w:rsidR="008C5CFA" w:rsidRPr="001C4484" w:rsidRDefault="00E82A60" w:rsidP="00300A01">
            <w:pPr>
              <w:spacing w:before="0" w:after="0"/>
              <w:rPr>
                <w:sz w:val="10"/>
                <w:szCs w:val="10"/>
                <w:lang w:val="fr-BE"/>
              </w:rPr>
            </w:pPr>
            <w:r w:rsidRPr="001C4484">
              <w:rPr>
                <w:noProof/>
                <w:sz w:val="10"/>
                <w:szCs w:val="10"/>
                <w:lang w:val="fr-BE"/>
              </w:rPr>
              <w:t>CO06</w:t>
            </w:r>
          </w:p>
        </w:tc>
        <w:tc>
          <w:tcPr>
            <w:tcW w:w="0" w:type="auto"/>
            <w:shd w:val="clear" w:color="auto" w:fill="auto"/>
          </w:tcPr>
          <w:p w14:paraId="1D82F64D" w14:textId="77777777" w:rsidR="008C5CFA" w:rsidRPr="001C4484" w:rsidRDefault="00E82A60" w:rsidP="00300A01">
            <w:pPr>
              <w:spacing w:before="0" w:after="0"/>
              <w:rPr>
                <w:sz w:val="10"/>
                <w:szCs w:val="10"/>
                <w:lang w:val="fr-BE"/>
              </w:rPr>
            </w:pPr>
            <w:r w:rsidRPr="001C4484">
              <w:rPr>
                <w:noProof/>
                <w:sz w:val="10"/>
                <w:szCs w:val="10"/>
                <w:lang w:val="fr-BE"/>
              </w:rPr>
              <w:t>osoby w wieku poniżej 25 lat</w:t>
            </w:r>
          </w:p>
        </w:tc>
        <w:tc>
          <w:tcPr>
            <w:tcW w:w="0" w:type="auto"/>
            <w:shd w:val="clear" w:color="auto" w:fill="auto"/>
          </w:tcPr>
          <w:p w14:paraId="442FAFAE"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74737987"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0D0A2FA6"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5AD2B3AB" w14:textId="77777777" w:rsidR="008C5CFA" w:rsidRPr="001C4484" w:rsidRDefault="00E82A60" w:rsidP="00300A01">
            <w:pPr>
              <w:spacing w:before="0" w:after="0"/>
              <w:jc w:val="right"/>
              <w:rPr>
                <w:sz w:val="10"/>
                <w:szCs w:val="10"/>
                <w:lang w:val="fr-BE"/>
              </w:rPr>
            </w:pPr>
            <w:r w:rsidRPr="001C4484">
              <w:rPr>
                <w:noProof/>
                <w:sz w:val="10"/>
                <w:szCs w:val="10"/>
              </w:rPr>
              <w:t>0,00</w:t>
            </w:r>
          </w:p>
        </w:tc>
        <w:tc>
          <w:tcPr>
            <w:tcW w:w="0" w:type="auto"/>
          </w:tcPr>
          <w:p w14:paraId="60438215"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18E24D1A"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3CB4A062" w14:textId="77777777" w:rsidR="008C5CFA" w:rsidRPr="001C4484" w:rsidRDefault="00E82A60" w:rsidP="00300A01">
            <w:pPr>
              <w:spacing w:before="0" w:after="0"/>
              <w:jc w:val="right"/>
              <w:rPr>
                <w:sz w:val="10"/>
                <w:szCs w:val="10"/>
                <w:lang w:val="fr-BE"/>
              </w:rPr>
            </w:pPr>
            <w:r w:rsidRPr="001C4484">
              <w:rPr>
                <w:noProof/>
                <w:sz w:val="10"/>
                <w:szCs w:val="10"/>
              </w:rPr>
              <w:t>0,00</w:t>
            </w:r>
          </w:p>
        </w:tc>
        <w:tc>
          <w:tcPr>
            <w:tcW w:w="0" w:type="auto"/>
          </w:tcPr>
          <w:p w14:paraId="7879A371"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6D803011"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69C0EC7E" w14:textId="77777777" w:rsidR="008C5CFA" w:rsidRPr="001C4484" w:rsidRDefault="00E82A60" w:rsidP="00300A01">
            <w:pPr>
              <w:spacing w:before="0" w:after="0"/>
              <w:jc w:val="right"/>
              <w:rPr>
                <w:sz w:val="10"/>
                <w:szCs w:val="10"/>
                <w:lang w:val="fr-BE"/>
              </w:rPr>
            </w:pPr>
            <w:r w:rsidRPr="001C4484">
              <w:rPr>
                <w:noProof/>
                <w:sz w:val="10"/>
                <w:szCs w:val="10"/>
              </w:rPr>
              <w:t>0,00</w:t>
            </w:r>
          </w:p>
        </w:tc>
      </w:tr>
      <w:tr w:rsidR="006B2EC1" w14:paraId="3069FCE3" w14:textId="77777777" w:rsidTr="0047688D">
        <w:tc>
          <w:tcPr>
            <w:tcW w:w="0" w:type="auto"/>
            <w:shd w:val="clear" w:color="auto" w:fill="auto"/>
          </w:tcPr>
          <w:p w14:paraId="37C08116" w14:textId="77777777" w:rsidR="008C5CFA" w:rsidRPr="001C4484" w:rsidRDefault="00E82A60" w:rsidP="00300A01">
            <w:pPr>
              <w:spacing w:before="0" w:after="0"/>
              <w:rPr>
                <w:sz w:val="10"/>
                <w:szCs w:val="10"/>
                <w:lang w:val="fr-BE"/>
              </w:rPr>
            </w:pPr>
            <w:r w:rsidRPr="001C4484">
              <w:rPr>
                <w:noProof/>
                <w:sz w:val="10"/>
                <w:szCs w:val="10"/>
                <w:lang w:val="fr-BE"/>
              </w:rPr>
              <w:t>CO07</w:t>
            </w:r>
          </w:p>
        </w:tc>
        <w:tc>
          <w:tcPr>
            <w:tcW w:w="0" w:type="auto"/>
            <w:shd w:val="clear" w:color="auto" w:fill="auto"/>
          </w:tcPr>
          <w:p w14:paraId="6F24F065" w14:textId="77777777" w:rsidR="008C5CFA" w:rsidRPr="001C4484" w:rsidRDefault="00E82A60" w:rsidP="00300A01">
            <w:pPr>
              <w:spacing w:before="0" w:after="0"/>
              <w:rPr>
                <w:sz w:val="10"/>
                <w:szCs w:val="10"/>
                <w:lang w:val="fr-BE"/>
              </w:rPr>
            </w:pPr>
            <w:r w:rsidRPr="001C4484">
              <w:rPr>
                <w:noProof/>
                <w:sz w:val="10"/>
                <w:szCs w:val="10"/>
                <w:lang w:val="fr-BE"/>
              </w:rPr>
              <w:t>osoby w wieku powyżej 54 lat</w:t>
            </w:r>
          </w:p>
        </w:tc>
        <w:tc>
          <w:tcPr>
            <w:tcW w:w="0" w:type="auto"/>
            <w:shd w:val="clear" w:color="auto" w:fill="auto"/>
          </w:tcPr>
          <w:p w14:paraId="772756DD"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3B3C4602" w14:textId="77777777" w:rsidR="008C5CFA" w:rsidRPr="001C4484" w:rsidRDefault="00E82A60" w:rsidP="00300A01">
            <w:pPr>
              <w:spacing w:before="0" w:after="0"/>
              <w:jc w:val="right"/>
              <w:rPr>
                <w:sz w:val="10"/>
                <w:szCs w:val="10"/>
              </w:rPr>
            </w:pPr>
            <w:r>
              <w:rPr>
                <w:noProof/>
                <w:sz w:val="10"/>
                <w:szCs w:val="10"/>
              </w:rPr>
              <w:t>96,00</w:t>
            </w:r>
          </w:p>
        </w:tc>
        <w:tc>
          <w:tcPr>
            <w:tcW w:w="0" w:type="auto"/>
            <w:shd w:val="clear" w:color="auto" w:fill="auto"/>
          </w:tcPr>
          <w:p w14:paraId="12569FF5" w14:textId="77777777" w:rsidR="008C5CFA" w:rsidRPr="001C4484" w:rsidRDefault="00E82A60" w:rsidP="00300A01">
            <w:pPr>
              <w:spacing w:before="0" w:after="0"/>
              <w:jc w:val="right"/>
              <w:rPr>
                <w:sz w:val="10"/>
                <w:szCs w:val="10"/>
              </w:rPr>
            </w:pPr>
            <w:r w:rsidRPr="001C4484">
              <w:rPr>
                <w:noProof/>
                <w:sz w:val="10"/>
                <w:szCs w:val="10"/>
              </w:rPr>
              <w:t>43,00</w:t>
            </w:r>
          </w:p>
        </w:tc>
        <w:tc>
          <w:tcPr>
            <w:tcW w:w="0" w:type="auto"/>
            <w:shd w:val="clear" w:color="auto" w:fill="auto"/>
          </w:tcPr>
          <w:p w14:paraId="20433CB1" w14:textId="77777777" w:rsidR="008C5CFA" w:rsidRPr="001C4484" w:rsidRDefault="00E82A60" w:rsidP="00300A01">
            <w:pPr>
              <w:spacing w:before="0" w:after="0"/>
              <w:jc w:val="right"/>
              <w:rPr>
                <w:sz w:val="10"/>
                <w:szCs w:val="10"/>
                <w:lang w:val="fr-BE"/>
              </w:rPr>
            </w:pPr>
            <w:r w:rsidRPr="001C4484">
              <w:rPr>
                <w:noProof/>
                <w:sz w:val="10"/>
                <w:szCs w:val="10"/>
              </w:rPr>
              <w:t>53,00</w:t>
            </w:r>
          </w:p>
        </w:tc>
        <w:tc>
          <w:tcPr>
            <w:tcW w:w="0" w:type="auto"/>
          </w:tcPr>
          <w:p w14:paraId="4E7C1F1A" w14:textId="77777777" w:rsidR="008C5CFA" w:rsidRPr="001C4484" w:rsidRDefault="00E82A60" w:rsidP="00300A01">
            <w:pPr>
              <w:spacing w:before="0" w:after="0"/>
              <w:jc w:val="right"/>
              <w:rPr>
                <w:sz w:val="10"/>
                <w:szCs w:val="10"/>
              </w:rPr>
            </w:pPr>
            <w:r>
              <w:rPr>
                <w:noProof/>
                <w:sz w:val="10"/>
                <w:szCs w:val="10"/>
              </w:rPr>
              <w:t>229,00</w:t>
            </w:r>
          </w:p>
        </w:tc>
        <w:tc>
          <w:tcPr>
            <w:tcW w:w="0" w:type="auto"/>
            <w:shd w:val="clear" w:color="auto" w:fill="auto"/>
          </w:tcPr>
          <w:p w14:paraId="0AC20942" w14:textId="77777777" w:rsidR="008C5CFA" w:rsidRPr="001C4484" w:rsidRDefault="00E82A60" w:rsidP="00300A01">
            <w:pPr>
              <w:spacing w:before="0" w:after="0"/>
              <w:jc w:val="right"/>
              <w:rPr>
                <w:sz w:val="10"/>
                <w:szCs w:val="10"/>
              </w:rPr>
            </w:pPr>
            <w:r w:rsidRPr="001C4484">
              <w:rPr>
                <w:noProof/>
                <w:sz w:val="10"/>
                <w:szCs w:val="10"/>
              </w:rPr>
              <w:t>116,00</w:t>
            </w:r>
          </w:p>
        </w:tc>
        <w:tc>
          <w:tcPr>
            <w:tcW w:w="0" w:type="auto"/>
            <w:shd w:val="clear" w:color="auto" w:fill="auto"/>
          </w:tcPr>
          <w:p w14:paraId="50E9D02A" w14:textId="77777777" w:rsidR="008C5CFA" w:rsidRPr="001C4484" w:rsidRDefault="00E82A60" w:rsidP="00300A01">
            <w:pPr>
              <w:spacing w:before="0" w:after="0"/>
              <w:jc w:val="right"/>
              <w:rPr>
                <w:sz w:val="10"/>
                <w:szCs w:val="10"/>
                <w:lang w:val="fr-BE"/>
              </w:rPr>
            </w:pPr>
            <w:r w:rsidRPr="001C4484">
              <w:rPr>
                <w:noProof/>
                <w:sz w:val="10"/>
                <w:szCs w:val="10"/>
              </w:rPr>
              <w:t>113,00</w:t>
            </w:r>
          </w:p>
        </w:tc>
        <w:tc>
          <w:tcPr>
            <w:tcW w:w="0" w:type="auto"/>
          </w:tcPr>
          <w:p w14:paraId="34E3B506" w14:textId="77777777" w:rsidR="008C5CFA" w:rsidRPr="001C4484" w:rsidRDefault="00E82A60" w:rsidP="00300A01">
            <w:pPr>
              <w:spacing w:before="0" w:after="0"/>
              <w:jc w:val="right"/>
              <w:rPr>
                <w:sz w:val="10"/>
                <w:szCs w:val="10"/>
              </w:rPr>
            </w:pPr>
            <w:r>
              <w:rPr>
                <w:noProof/>
                <w:sz w:val="10"/>
                <w:szCs w:val="10"/>
              </w:rPr>
              <w:t>228,00</w:t>
            </w:r>
          </w:p>
        </w:tc>
        <w:tc>
          <w:tcPr>
            <w:tcW w:w="0" w:type="auto"/>
            <w:shd w:val="clear" w:color="auto" w:fill="auto"/>
          </w:tcPr>
          <w:p w14:paraId="1EA471E3" w14:textId="77777777" w:rsidR="008C5CFA" w:rsidRPr="001C4484" w:rsidRDefault="00E82A60" w:rsidP="00300A01">
            <w:pPr>
              <w:spacing w:before="0" w:after="0"/>
              <w:jc w:val="right"/>
              <w:rPr>
                <w:sz w:val="10"/>
                <w:szCs w:val="10"/>
              </w:rPr>
            </w:pPr>
            <w:r w:rsidRPr="001C4484">
              <w:rPr>
                <w:noProof/>
                <w:sz w:val="10"/>
                <w:szCs w:val="10"/>
              </w:rPr>
              <w:t>129,00</w:t>
            </w:r>
          </w:p>
        </w:tc>
        <w:tc>
          <w:tcPr>
            <w:tcW w:w="0" w:type="auto"/>
            <w:shd w:val="clear" w:color="auto" w:fill="auto"/>
          </w:tcPr>
          <w:p w14:paraId="25B1C89D" w14:textId="77777777" w:rsidR="008C5CFA" w:rsidRPr="001C4484" w:rsidRDefault="00E82A60" w:rsidP="00300A01">
            <w:pPr>
              <w:spacing w:before="0" w:after="0"/>
              <w:jc w:val="right"/>
              <w:rPr>
                <w:sz w:val="10"/>
                <w:szCs w:val="10"/>
                <w:lang w:val="fr-BE"/>
              </w:rPr>
            </w:pPr>
            <w:r w:rsidRPr="001C4484">
              <w:rPr>
                <w:noProof/>
                <w:sz w:val="10"/>
                <w:szCs w:val="10"/>
              </w:rPr>
              <w:t>99,00</w:t>
            </w:r>
          </w:p>
        </w:tc>
      </w:tr>
      <w:tr w:rsidR="006B2EC1" w14:paraId="357B2069" w14:textId="77777777" w:rsidTr="0047688D">
        <w:tc>
          <w:tcPr>
            <w:tcW w:w="0" w:type="auto"/>
            <w:shd w:val="clear" w:color="auto" w:fill="auto"/>
          </w:tcPr>
          <w:p w14:paraId="6D175FBD" w14:textId="77777777" w:rsidR="008C5CFA" w:rsidRPr="001C4484" w:rsidRDefault="00E82A60" w:rsidP="00300A01">
            <w:pPr>
              <w:spacing w:before="0" w:after="0"/>
              <w:rPr>
                <w:sz w:val="10"/>
                <w:szCs w:val="10"/>
                <w:lang w:val="fr-BE"/>
              </w:rPr>
            </w:pPr>
            <w:r w:rsidRPr="001C4484">
              <w:rPr>
                <w:noProof/>
                <w:sz w:val="10"/>
                <w:szCs w:val="10"/>
                <w:lang w:val="fr-BE"/>
              </w:rPr>
              <w:t>CO08</w:t>
            </w:r>
          </w:p>
        </w:tc>
        <w:tc>
          <w:tcPr>
            <w:tcW w:w="0" w:type="auto"/>
            <w:shd w:val="clear" w:color="auto" w:fill="auto"/>
          </w:tcPr>
          <w:p w14:paraId="34C0B63E" w14:textId="77777777" w:rsidR="008C5CFA" w:rsidRPr="001C4484" w:rsidRDefault="00E82A60" w:rsidP="00300A01">
            <w:pPr>
              <w:spacing w:before="0" w:after="0"/>
              <w:rPr>
                <w:sz w:val="10"/>
                <w:szCs w:val="10"/>
                <w:lang w:val="fr-BE"/>
              </w:rPr>
            </w:pPr>
            <w:r w:rsidRPr="001C4484">
              <w:rPr>
                <w:noProof/>
                <w:sz w:val="10"/>
                <w:szCs w:val="10"/>
                <w:lang w:val="fr-BE"/>
              </w:rPr>
              <w:t>osoby powyżej 54 lat, które są bezrobotne, łącznie z długotrwale bezrobotnymi, lub są bierne zawodowo i nie uczestniczą w kształceniu ani szkoleniu</w:t>
            </w:r>
          </w:p>
        </w:tc>
        <w:tc>
          <w:tcPr>
            <w:tcW w:w="0" w:type="auto"/>
            <w:shd w:val="clear" w:color="auto" w:fill="auto"/>
          </w:tcPr>
          <w:p w14:paraId="601C479B"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37F3F268" w14:textId="77777777" w:rsidR="008C5CFA" w:rsidRPr="001C4484" w:rsidRDefault="00E82A60" w:rsidP="00300A01">
            <w:pPr>
              <w:spacing w:before="0" w:after="0"/>
              <w:jc w:val="right"/>
              <w:rPr>
                <w:sz w:val="10"/>
                <w:szCs w:val="10"/>
              </w:rPr>
            </w:pPr>
            <w:r>
              <w:rPr>
                <w:noProof/>
                <w:sz w:val="10"/>
                <w:szCs w:val="10"/>
              </w:rPr>
              <w:t>52,00</w:t>
            </w:r>
          </w:p>
        </w:tc>
        <w:tc>
          <w:tcPr>
            <w:tcW w:w="0" w:type="auto"/>
            <w:shd w:val="clear" w:color="auto" w:fill="auto"/>
          </w:tcPr>
          <w:p w14:paraId="24A7453E" w14:textId="77777777" w:rsidR="008C5CFA" w:rsidRPr="001C4484" w:rsidRDefault="00E82A60" w:rsidP="00300A01">
            <w:pPr>
              <w:spacing w:before="0" w:after="0"/>
              <w:jc w:val="right"/>
              <w:rPr>
                <w:sz w:val="10"/>
                <w:szCs w:val="10"/>
              </w:rPr>
            </w:pPr>
            <w:r w:rsidRPr="001C4484">
              <w:rPr>
                <w:noProof/>
                <w:sz w:val="10"/>
                <w:szCs w:val="10"/>
              </w:rPr>
              <w:t>27,00</w:t>
            </w:r>
          </w:p>
        </w:tc>
        <w:tc>
          <w:tcPr>
            <w:tcW w:w="0" w:type="auto"/>
            <w:shd w:val="clear" w:color="auto" w:fill="auto"/>
          </w:tcPr>
          <w:p w14:paraId="40181D9C" w14:textId="77777777" w:rsidR="008C5CFA" w:rsidRPr="001C4484" w:rsidRDefault="00E82A60" w:rsidP="00300A01">
            <w:pPr>
              <w:spacing w:before="0" w:after="0"/>
              <w:jc w:val="right"/>
              <w:rPr>
                <w:sz w:val="10"/>
                <w:szCs w:val="10"/>
                <w:lang w:val="fr-BE"/>
              </w:rPr>
            </w:pPr>
            <w:r w:rsidRPr="001C4484">
              <w:rPr>
                <w:noProof/>
                <w:sz w:val="10"/>
                <w:szCs w:val="10"/>
              </w:rPr>
              <w:t>25,00</w:t>
            </w:r>
          </w:p>
        </w:tc>
        <w:tc>
          <w:tcPr>
            <w:tcW w:w="0" w:type="auto"/>
          </w:tcPr>
          <w:p w14:paraId="7834CB73" w14:textId="77777777" w:rsidR="008C5CFA" w:rsidRPr="001C4484" w:rsidRDefault="00E82A60" w:rsidP="00300A01">
            <w:pPr>
              <w:spacing w:before="0" w:after="0"/>
              <w:jc w:val="right"/>
              <w:rPr>
                <w:sz w:val="10"/>
                <w:szCs w:val="10"/>
              </w:rPr>
            </w:pPr>
            <w:r>
              <w:rPr>
                <w:noProof/>
                <w:sz w:val="10"/>
                <w:szCs w:val="10"/>
              </w:rPr>
              <w:t>140,00</w:t>
            </w:r>
          </w:p>
        </w:tc>
        <w:tc>
          <w:tcPr>
            <w:tcW w:w="0" w:type="auto"/>
            <w:shd w:val="clear" w:color="auto" w:fill="auto"/>
          </w:tcPr>
          <w:p w14:paraId="1C6DFC8E" w14:textId="77777777" w:rsidR="008C5CFA" w:rsidRPr="001C4484" w:rsidRDefault="00E82A60" w:rsidP="00300A01">
            <w:pPr>
              <w:spacing w:before="0" w:after="0"/>
              <w:jc w:val="right"/>
              <w:rPr>
                <w:sz w:val="10"/>
                <w:szCs w:val="10"/>
              </w:rPr>
            </w:pPr>
            <w:r w:rsidRPr="001C4484">
              <w:rPr>
                <w:noProof/>
                <w:sz w:val="10"/>
                <w:szCs w:val="10"/>
              </w:rPr>
              <w:t>80,00</w:t>
            </w:r>
          </w:p>
        </w:tc>
        <w:tc>
          <w:tcPr>
            <w:tcW w:w="0" w:type="auto"/>
            <w:shd w:val="clear" w:color="auto" w:fill="auto"/>
          </w:tcPr>
          <w:p w14:paraId="427E9E24" w14:textId="77777777" w:rsidR="008C5CFA" w:rsidRPr="001C4484" w:rsidRDefault="00E82A60" w:rsidP="00300A01">
            <w:pPr>
              <w:spacing w:before="0" w:after="0"/>
              <w:jc w:val="right"/>
              <w:rPr>
                <w:sz w:val="10"/>
                <w:szCs w:val="10"/>
                <w:lang w:val="fr-BE"/>
              </w:rPr>
            </w:pPr>
            <w:r w:rsidRPr="001C4484">
              <w:rPr>
                <w:noProof/>
                <w:sz w:val="10"/>
                <w:szCs w:val="10"/>
              </w:rPr>
              <w:t>60,00</w:t>
            </w:r>
          </w:p>
        </w:tc>
        <w:tc>
          <w:tcPr>
            <w:tcW w:w="0" w:type="auto"/>
          </w:tcPr>
          <w:p w14:paraId="0E859AA8" w14:textId="77777777" w:rsidR="008C5CFA" w:rsidRPr="001C4484" w:rsidRDefault="00E82A60" w:rsidP="00300A01">
            <w:pPr>
              <w:spacing w:before="0" w:after="0"/>
              <w:jc w:val="right"/>
              <w:rPr>
                <w:sz w:val="10"/>
                <w:szCs w:val="10"/>
              </w:rPr>
            </w:pPr>
            <w:r>
              <w:rPr>
                <w:noProof/>
                <w:sz w:val="10"/>
                <w:szCs w:val="10"/>
              </w:rPr>
              <w:t>142,00</w:t>
            </w:r>
          </w:p>
        </w:tc>
        <w:tc>
          <w:tcPr>
            <w:tcW w:w="0" w:type="auto"/>
            <w:shd w:val="clear" w:color="auto" w:fill="auto"/>
          </w:tcPr>
          <w:p w14:paraId="368ACEC3" w14:textId="77777777" w:rsidR="008C5CFA" w:rsidRPr="001C4484" w:rsidRDefault="00E82A60" w:rsidP="00300A01">
            <w:pPr>
              <w:spacing w:before="0" w:after="0"/>
              <w:jc w:val="right"/>
              <w:rPr>
                <w:sz w:val="10"/>
                <w:szCs w:val="10"/>
              </w:rPr>
            </w:pPr>
            <w:r w:rsidRPr="001C4484">
              <w:rPr>
                <w:noProof/>
                <w:sz w:val="10"/>
                <w:szCs w:val="10"/>
              </w:rPr>
              <w:t>95,00</w:t>
            </w:r>
          </w:p>
        </w:tc>
        <w:tc>
          <w:tcPr>
            <w:tcW w:w="0" w:type="auto"/>
            <w:shd w:val="clear" w:color="auto" w:fill="auto"/>
          </w:tcPr>
          <w:p w14:paraId="062ADD5E" w14:textId="77777777" w:rsidR="008C5CFA" w:rsidRPr="001C4484" w:rsidRDefault="00E82A60" w:rsidP="00300A01">
            <w:pPr>
              <w:spacing w:before="0" w:after="0"/>
              <w:jc w:val="right"/>
              <w:rPr>
                <w:sz w:val="10"/>
                <w:szCs w:val="10"/>
                <w:lang w:val="fr-BE"/>
              </w:rPr>
            </w:pPr>
            <w:r w:rsidRPr="001C4484">
              <w:rPr>
                <w:noProof/>
                <w:sz w:val="10"/>
                <w:szCs w:val="10"/>
              </w:rPr>
              <w:t>47,00</w:t>
            </w:r>
          </w:p>
        </w:tc>
      </w:tr>
      <w:tr w:rsidR="006B2EC1" w14:paraId="1E0AE899" w14:textId="77777777" w:rsidTr="0047688D">
        <w:tc>
          <w:tcPr>
            <w:tcW w:w="0" w:type="auto"/>
            <w:shd w:val="clear" w:color="auto" w:fill="auto"/>
          </w:tcPr>
          <w:p w14:paraId="4F973E00" w14:textId="77777777" w:rsidR="008C5CFA" w:rsidRPr="001C4484" w:rsidRDefault="00E82A60" w:rsidP="00300A01">
            <w:pPr>
              <w:spacing w:before="0" w:after="0"/>
              <w:rPr>
                <w:sz w:val="10"/>
                <w:szCs w:val="10"/>
                <w:lang w:val="fr-BE"/>
              </w:rPr>
            </w:pPr>
            <w:r w:rsidRPr="001C4484">
              <w:rPr>
                <w:noProof/>
                <w:sz w:val="10"/>
                <w:szCs w:val="10"/>
                <w:lang w:val="fr-BE"/>
              </w:rPr>
              <w:t>CO09</w:t>
            </w:r>
          </w:p>
        </w:tc>
        <w:tc>
          <w:tcPr>
            <w:tcW w:w="0" w:type="auto"/>
            <w:shd w:val="clear" w:color="auto" w:fill="auto"/>
          </w:tcPr>
          <w:p w14:paraId="78326861" w14:textId="77777777" w:rsidR="008C5CFA" w:rsidRPr="001C4484" w:rsidRDefault="00E82A60" w:rsidP="00300A01">
            <w:pPr>
              <w:spacing w:before="0" w:after="0"/>
              <w:rPr>
                <w:sz w:val="10"/>
                <w:szCs w:val="10"/>
                <w:lang w:val="fr-BE"/>
              </w:rPr>
            </w:pPr>
            <w:r w:rsidRPr="001C4484">
              <w:rPr>
                <w:noProof/>
                <w:sz w:val="10"/>
                <w:szCs w:val="10"/>
                <w:lang w:val="fr-BE"/>
              </w:rPr>
              <w:t>osoby z wykształceniem podstawowym (ISCED 1) lub średnim I stopnia (ISCED 2)</w:t>
            </w:r>
          </w:p>
        </w:tc>
        <w:tc>
          <w:tcPr>
            <w:tcW w:w="0" w:type="auto"/>
            <w:shd w:val="clear" w:color="auto" w:fill="auto"/>
          </w:tcPr>
          <w:p w14:paraId="40DB3E09"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35E7AF38" w14:textId="77777777" w:rsidR="008C5CFA" w:rsidRPr="001C4484" w:rsidRDefault="00E82A60" w:rsidP="00300A01">
            <w:pPr>
              <w:spacing w:before="0" w:after="0"/>
              <w:jc w:val="right"/>
              <w:rPr>
                <w:sz w:val="10"/>
                <w:szCs w:val="10"/>
              </w:rPr>
            </w:pPr>
            <w:r>
              <w:rPr>
                <w:noProof/>
                <w:sz w:val="10"/>
                <w:szCs w:val="10"/>
              </w:rPr>
              <w:t>59,00</w:t>
            </w:r>
          </w:p>
        </w:tc>
        <w:tc>
          <w:tcPr>
            <w:tcW w:w="0" w:type="auto"/>
            <w:shd w:val="clear" w:color="auto" w:fill="auto"/>
          </w:tcPr>
          <w:p w14:paraId="1439C9EB" w14:textId="77777777" w:rsidR="008C5CFA" w:rsidRPr="001C4484" w:rsidRDefault="00E82A60" w:rsidP="00300A01">
            <w:pPr>
              <w:spacing w:before="0" w:after="0"/>
              <w:jc w:val="right"/>
              <w:rPr>
                <w:sz w:val="10"/>
                <w:szCs w:val="10"/>
              </w:rPr>
            </w:pPr>
            <w:r w:rsidRPr="001C4484">
              <w:rPr>
                <w:noProof/>
                <w:sz w:val="10"/>
                <w:szCs w:val="10"/>
              </w:rPr>
              <w:t>41,00</w:t>
            </w:r>
          </w:p>
        </w:tc>
        <w:tc>
          <w:tcPr>
            <w:tcW w:w="0" w:type="auto"/>
            <w:shd w:val="clear" w:color="auto" w:fill="auto"/>
          </w:tcPr>
          <w:p w14:paraId="0803F64B" w14:textId="77777777" w:rsidR="008C5CFA" w:rsidRPr="001C4484" w:rsidRDefault="00E82A60" w:rsidP="00300A01">
            <w:pPr>
              <w:spacing w:before="0" w:after="0"/>
              <w:jc w:val="right"/>
              <w:rPr>
                <w:sz w:val="10"/>
                <w:szCs w:val="10"/>
                <w:lang w:val="fr-BE"/>
              </w:rPr>
            </w:pPr>
            <w:r w:rsidRPr="001C4484">
              <w:rPr>
                <w:noProof/>
                <w:sz w:val="10"/>
                <w:szCs w:val="10"/>
              </w:rPr>
              <w:t>18,00</w:t>
            </w:r>
          </w:p>
        </w:tc>
        <w:tc>
          <w:tcPr>
            <w:tcW w:w="0" w:type="auto"/>
          </w:tcPr>
          <w:p w14:paraId="1B0C5E62" w14:textId="77777777" w:rsidR="008C5CFA" w:rsidRPr="001C4484" w:rsidRDefault="00E82A60" w:rsidP="00300A01">
            <w:pPr>
              <w:spacing w:before="0" w:after="0"/>
              <w:jc w:val="right"/>
              <w:rPr>
                <w:sz w:val="10"/>
                <w:szCs w:val="10"/>
              </w:rPr>
            </w:pPr>
            <w:r>
              <w:rPr>
                <w:noProof/>
                <w:sz w:val="10"/>
                <w:szCs w:val="10"/>
              </w:rPr>
              <w:t>94,00</w:t>
            </w:r>
          </w:p>
        </w:tc>
        <w:tc>
          <w:tcPr>
            <w:tcW w:w="0" w:type="auto"/>
            <w:shd w:val="clear" w:color="auto" w:fill="auto"/>
          </w:tcPr>
          <w:p w14:paraId="448DA5DA" w14:textId="77777777" w:rsidR="008C5CFA" w:rsidRPr="001C4484" w:rsidRDefault="00E82A60" w:rsidP="00300A01">
            <w:pPr>
              <w:spacing w:before="0" w:after="0"/>
              <w:jc w:val="right"/>
              <w:rPr>
                <w:sz w:val="10"/>
                <w:szCs w:val="10"/>
              </w:rPr>
            </w:pPr>
            <w:r w:rsidRPr="001C4484">
              <w:rPr>
                <w:noProof/>
                <w:sz w:val="10"/>
                <w:szCs w:val="10"/>
              </w:rPr>
              <w:t>63,00</w:t>
            </w:r>
          </w:p>
        </w:tc>
        <w:tc>
          <w:tcPr>
            <w:tcW w:w="0" w:type="auto"/>
            <w:shd w:val="clear" w:color="auto" w:fill="auto"/>
          </w:tcPr>
          <w:p w14:paraId="09206448" w14:textId="77777777" w:rsidR="008C5CFA" w:rsidRPr="001C4484" w:rsidRDefault="00E82A60" w:rsidP="00300A01">
            <w:pPr>
              <w:spacing w:before="0" w:after="0"/>
              <w:jc w:val="right"/>
              <w:rPr>
                <w:sz w:val="10"/>
                <w:szCs w:val="10"/>
                <w:lang w:val="fr-BE"/>
              </w:rPr>
            </w:pPr>
            <w:r w:rsidRPr="001C4484">
              <w:rPr>
                <w:noProof/>
                <w:sz w:val="10"/>
                <w:szCs w:val="10"/>
              </w:rPr>
              <w:t>31,00</w:t>
            </w:r>
          </w:p>
        </w:tc>
        <w:tc>
          <w:tcPr>
            <w:tcW w:w="0" w:type="auto"/>
          </w:tcPr>
          <w:p w14:paraId="3AB3C798" w14:textId="77777777" w:rsidR="008C5CFA" w:rsidRPr="001C4484" w:rsidRDefault="00E82A60" w:rsidP="00300A01">
            <w:pPr>
              <w:spacing w:before="0" w:after="0"/>
              <w:jc w:val="right"/>
              <w:rPr>
                <w:sz w:val="10"/>
                <w:szCs w:val="10"/>
              </w:rPr>
            </w:pPr>
            <w:r>
              <w:rPr>
                <w:noProof/>
                <w:sz w:val="10"/>
                <w:szCs w:val="10"/>
              </w:rPr>
              <w:t>108,00</w:t>
            </w:r>
          </w:p>
        </w:tc>
        <w:tc>
          <w:tcPr>
            <w:tcW w:w="0" w:type="auto"/>
            <w:shd w:val="clear" w:color="auto" w:fill="auto"/>
          </w:tcPr>
          <w:p w14:paraId="1DFCD6DB" w14:textId="77777777" w:rsidR="008C5CFA" w:rsidRPr="001C4484" w:rsidRDefault="00E82A60" w:rsidP="00300A01">
            <w:pPr>
              <w:spacing w:before="0" w:after="0"/>
              <w:jc w:val="right"/>
              <w:rPr>
                <w:sz w:val="10"/>
                <w:szCs w:val="10"/>
              </w:rPr>
            </w:pPr>
            <w:r w:rsidRPr="001C4484">
              <w:rPr>
                <w:noProof/>
                <w:sz w:val="10"/>
                <w:szCs w:val="10"/>
              </w:rPr>
              <w:t>63,00</w:t>
            </w:r>
          </w:p>
        </w:tc>
        <w:tc>
          <w:tcPr>
            <w:tcW w:w="0" w:type="auto"/>
            <w:shd w:val="clear" w:color="auto" w:fill="auto"/>
          </w:tcPr>
          <w:p w14:paraId="07CB51B9" w14:textId="77777777" w:rsidR="008C5CFA" w:rsidRPr="001C4484" w:rsidRDefault="00E82A60" w:rsidP="00300A01">
            <w:pPr>
              <w:spacing w:before="0" w:after="0"/>
              <w:jc w:val="right"/>
              <w:rPr>
                <w:sz w:val="10"/>
                <w:szCs w:val="10"/>
                <w:lang w:val="fr-BE"/>
              </w:rPr>
            </w:pPr>
            <w:r w:rsidRPr="001C4484">
              <w:rPr>
                <w:noProof/>
                <w:sz w:val="10"/>
                <w:szCs w:val="10"/>
              </w:rPr>
              <w:t>45,00</w:t>
            </w:r>
          </w:p>
        </w:tc>
      </w:tr>
      <w:tr w:rsidR="006B2EC1" w14:paraId="66255096" w14:textId="77777777" w:rsidTr="0047688D">
        <w:tc>
          <w:tcPr>
            <w:tcW w:w="0" w:type="auto"/>
            <w:shd w:val="clear" w:color="auto" w:fill="auto"/>
          </w:tcPr>
          <w:p w14:paraId="2389E683" w14:textId="77777777" w:rsidR="008C5CFA" w:rsidRPr="001C4484" w:rsidRDefault="00E82A60" w:rsidP="00300A01">
            <w:pPr>
              <w:spacing w:before="0" w:after="0"/>
              <w:rPr>
                <w:sz w:val="10"/>
                <w:szCs w:val="10"/>
                <w:lang w:val="fr-BE"/>
              </w:rPr>
            </w:pPr>
            <w:r w:rsidRPr="001C4484">
              <w:rPr>
                <w:noProof/>
                <w:sz w:val="10"/>
                <w:szCs w:val="10"/>
                <w:lang w:val="fr-BE"/>
              </w:rPr>
              <w:t>CO10</w:t>
            </w:r>
          </w:p>
        </w:tc>
        <w:tc>
          <w:tcPr>
            <w:tcW w:w="0" w:type="auto"/>
            <w:shd w:val="clear" w:color="auto" w:fill="auto"/>
          </w:tcPr>
          <w:p w14:paraId="7C5CFA84" w14:textId="77777777" w:rsidR="008C5CFA" w:rsidRPr="001C4484" w:rsidRDefault="00E82A60" w:rsidP="00300A01">
            <w:pPr>
              <w:spacing w:before="0" w:after="0"/>
              <w:rPr>
                <w:sz w:val="10"/>
                <w:szCs w:val="10"/>
                <w:lang w:val="fr-BE"/>
              </w:rPr>
            </w:pPr>
            <w:r w:rsidRPr="001C4484">
              <w:rPr>
                <w:noProof/>
                <w:sz w:val="10"/>
                <w:szCs w:val="10"/>
                <w:lang w:val="fr-BE"/>
              </w:rPr>
              <w:t>osoby z wykształceniem średnim II stopnia (ISCED 3) lub policealnym (ISCED 4)</w:t>
            </w:r>
          </w:p>
        </w:tc>
        <w:tc>
          <w:tcPr>
            <w:tcW w:w="0" w:type="auto"/>
            <w:shd w:val="clear" w:color="auto" w:fill="auto"/>
          </w:tcPr>
          <w:p w14:paraId="16038C5F"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212CDA14" w14:textId="77777777" w:rsidR="008C5CFA" w:rsidRPr="001C4484" w:rsidRDefault="00E82A60" w:rsidP="00300A01">
            <w:pPr>
              <w:spacing w:before="0" w:after="0"/>
              <w:jc w:val="right"/>
              <w:rPr>
                <w:sz w:val="10"/>
                <w:szCs w:val="10"/>
              </w:rPr>
            </w:pPr>
            <w:r>
              <w:rPr>
                <w:noProof/>
                <w:sz w:val="10"/>
                <w:szCs w:val="10"/>
              </w:rPr>
              <w:t>651,00</w:t>
            </w:r>
          </w:p>
        </w:tc>
        <w:tc>
          <w:tcPr>
            <w:tcW w:w="0" w:type="auto"/>
            <w:shd w:val="clear" w:color="auto" w:fill="auto"/>
          </w:tcPr>
          <w:p w14:paraId="50B6E245" w14:textId="77777777" w:rsidR="008C5CFA" w:rsidRPr="001C4484" w:rsidRDefault="00E82A60" w:rsidP="00300A01">
            <w:pPr>
              <w:spacing w:before="0" w:after="0"/>
              <w:jc w:val="right"/>
              <w:rPr>
                <w:sz w:val="10"/>
                <w:szCs w:val="10"/>
              </w:rPr>
            </w:pPr>
            <w:r w:rsidRPr="001C4484">
              <w:rPr>
                <w:noProof/>
                <w:sz w:val="10"/>
                <w:szCs w:val="10"/>
              </w:rPr>
              <w:t>397,00</w:t>
            </w:r>
          </w:p>
        </w:tc>
        <w:tc>
          <w:tcPr>
            <w:tcW w:w="0" w:type="auto"/>
            <w:shd w:val="clear" w:color="auto" w:fill="auto"/>
          </w:tcPr>
          <w:p w14:paraId="131342F7" w14:textId="77777777" w:rsidR="008C5CFA" w:rsidRPr="001C4484" w:rsidRDefault="00E82A60" w:rsidP="00300A01">
            <w:pPr>
              <w:spacing w:before="0" w:after="0"/>
              <w:jc w:val="right"/>
              <w:rPr>
                <w:sz w:val="10"/>
                <w:szCs w:val="10"/>
                <w:lang w:val="fr-BE"/>
              </w:rPr>
            </w:pPr>
            <w:r w:rsidRPr="001C4484">
              <w:rPr>
                <w:noProof/>
                <w:sz w:val="10"/>
                <w:szCs w:val="10"/>
              </w:rPr>
              <w:t>254,00</w:t>
            </w:r>
          </w:p>
        </w:tc>
        <w:tc>
          <w:tcPr>
            <w:tcW w:w="0" w:type="auto"/>
          </w:tcPr>
          <w:p w14:paraId="64FCC5A9" w14:textId="77777777" w:rsidR="008C5CFA" w:rsidRPr="001C4484" w:rsidRDefault="00E82A60" w:rsidP="00300A01">
            <w:pPr>
              <w:spacing w:before="0" w:after="0"/>
              <w:jc w:val="right"/>
              <w:rPr>
                <w:sz w:val="10"/>
                <w:szCs w:val="10"/>
              </w:rPr>
            </w:pPr>
            <w:r>
              <w:rPr>
                <w:noProof/>
                <w:sz w:val="10"/>
                <w:szCs w:val="10"/>
              </w:rPr>
              <w:t>1 160,00</w:t>
            </w:r>
          </w:p>
        </w:tc>
        <w:tc>
          <w:tcPr>
            <w:tcW w:w="0" w:type="auto"/>
            <w:shd w:val="clear" w:color="auto" w:fill="auto"/>
          </w:tcPr>
          <w:p w14:paraId="5037CC9E" w14:textId="77777777" w:rsidR="008C5CFA" w:rsidRPr="001C4484" w:rsidRDefault="00E82A60" w:rsidP="00300A01">
            <w:pPr>
              <w:spacing w:before="0" w:after="0"/>
              <w:jc w:val="right"/>
              <w:rPr>
                <w:sz w:val="10"/>
                <w:szCs w:val="10"/>
              </w:rPr>
            </w:pPr>
            <w:r w:rsidRPr="001C4484">
              <w:rPr>
                <w:noProof/>
                <w:sz w:val="10"/>
                <w:szCs w:val="10"/>
              </w:rPr>
              <w:t>673,00</w:t>
            </w:r>
          </w:p>
        </w:tc>
        <w:tc>
          <w:tcPr>
            <w:tcW w:w="0" w:type="auto"/>
            <w:shd w:val="clear" w:color="auto" w:fill="auto"/>
          </w:tcPr>
          <w:p w14:paraId="07B1BCA4" w14:textId="77777777" w:rsidR="008C5CFA" w:rsidRPr="001C4484" w:rsidRDefault="00E82A60" w:rsidP="00300A01">
            <w:pPr>
              <w:spacing w:before="0" w:after="0"/>
              <w:jc w:val="right"/>
              <w:rPr>
                <w:sz w:val="10"/>
                <w:szCs w:val="10"/>
                <w:lang w:val="fr-BE"/>
              </w:rPr>
            </w:pPr>
            <w:r w:rsidRPr="001C4484">
              <w:rPr>
                <w:noProof/>
                <w:sz w:val="10"/>
                <w:szCs w:val="10"/>
              </w:rPr>
              <w:t>487,00</w:t>
            </w:r>
          </w:p>
        </w:tc>
        <w:tc>
          <w:tcPr>
            <w:tcW w:w="0" w:type="auto"/>
          </w:tcPr>
          <w:p w14:paraId="489EA0FE" w14:textId="77777777" w:rsidR="008C5CFA" w:rsidRPr="001C4484" w:rsidRDefault="00E82A60" w:rsidP="00300A01">
            <w:pPr>
              <w:spacing w:before="0" w:after="0"/>
              <w:jc w:val="right"/>
              <w:rPr>
                <w:sz w:val="10"/>
                <w:szCs w:val="10"/>
              </w:rPr>
            </w:pPr>
            <w:r>
              <w:rPr>
                <w:noProof/>
                <w:sz w:val="10"/>
                <w:szCs w:val="10"/>
              </w:rPr>
              <w:t>1 056,00</w:t>
            </w:r>
          </w:p>
        </w:tc>
        <w:tc>
          <w:tcPr>
            <w:tcW w:w="0" w:type="auto"/>
            <w:shd w:val="clear" w:color="auto" w:fill="auto"/>
          </w:tcPr>
          <w:p w14:paraId="0892F9B5" w14:textId="77777777" w:rsidR="008C5CFA" w:rsidRPr="001C4484" w:rsidRDefault="00E82A60" w:rsidP="00300A01">
            <w:pPr>
              <w:spacing w:before="0" w:after="0"/>
              <w:jc w:val="right"/>
              <w:rPr>
                <w:sz w:val="10"/>
                <w:szCs w:val="10"/>
              </w:rPr>
            </w:pPr>
            <w:r w:rsidRPr="001C4484">
              <w:rPr>
                <w:noProof/>
                <w:sz w:val="10"/>
                <w:szCs w:val="10"/>
              </w:rPr>
              <w:t>539,00</w:t>
            </w:r>
          </w:p>
        </w:tc>
        <w:tc>
          <w:tcPr>
            <w:tcW w:w="0" w:type="auto"/>
            <w:shd w:val="clear" w:color="auto" w:fill="auto"/>
          </w:tcPr>
          <w:p w14:paraId="09824888" w14:textId="77777777" w:rsidR="008C5CFA" w:rsidRPr="001C4484" w:rsidRDefault="00E82A60" w:rsidP="00300A01">
            <w:pPr>
              <w:spacing w:before="0" w:after="0"/>
              <w:jc w:val="right"/>
              <w:rPr>
                <w:sz w:val="10"/>
                <w:szCs w:val="10"/>
                <w:lang w:val="fr-BE"/>
              </w:rPr>
            </w:pPr>
            <w:r w:rsidRPr="001C4484">
              <w:rPr>
                <w:noProof/>
                <w:sz w:val="10"/>
                <w:szCs w:val="10"/>
              </w:rPr>
              <w:t>517,00</w:t>
            </w:r>
          </w:p>
        </w:tc>
      </w:tr>
      <w:tr w:rsidR="006B2EC1" w14:paraId="70F60667" w14:textId="77777777" w:rsidTr="0047688D">
        <w:tc>
          <w:tcPr>
            <w:tcW w:w="0" w:type="auto"/>
            <w:shd w:val="clear" w:color="auto" w:fill="auto"/>
          </w:tcPr>
          <w:p w14:paraId="409179C3" w14:textId="77777777" w:rsidR="008C5CFA" w:rsidRPr="001C4484" w:rsidRDefault="00E82A60" w:rsidP="00300A01">
            <w:pPr>
              <w:spacing w:before="0" w:after="0"/>
              <w:rPr>
                <w:sz w:val="10"/>
                <w:szCs w:val="10"/>
                <w:lang w:val="fr-BE"/>
              </w:rPr>
            </w:pPr>
            <w:r w:rsidRPr="001C4484">
              <w:rPr>
                <w:noProof/>
                <w:sz w:val="10"/>
                <w:szCs w:val="10"/>
                <w:lang w:val="fr-BE"/>
              </w:rPr>
              <w:t>CO11</w:t>
            </w:r>
          </w:p>
        </w:tc>
        <w:tc>
          <w:tcPr>
            <w:tcW w:w="0" w:type="auto"/>
            <w:shd w:val="clear" w:color="auto" w:fill="auto"/>
          </w:tcPr>
          <w:p w14:paraId="27F8FD91" w14:textId="77777777" w:rsidR="008C5CFA" w:rsidRPr="001C4484" w:rsidRDefault="00E82A60" w:rsidP="00300A01">
            <w:pPr>
              <w:spacing w:before="0" w:after="0"/>
              <w:rPr>
                <w:sz w:val="10"/>
                <w:szCs w:val="10"/>
                <w:lang w:val="fr-BE"/>
              </w:rPr>
            </w:pPr>
            <w:r w:rsidRPr="001C4484">
              <w:rPr>
                <w:noProof/>
                <w:sz w:val="10"/>
                <w:szCs w:val="10"/>
                <w:lang w:val="fr-BE"/>
              </w:rPr>
              <w:t>osoby z wykształceniem wyższym (ISCED 5 do 8)</w:t>
            </w:r>
          </w:p>
        </w:tc>
        <w:tc>
          <w:tcPr>
            <w:tcW w:w="0" w:type="auto"/>
            <w:shd w:val="clear" w:color="auto" w:fill="auto"/>
          </w:tcPr>
          <w:p w14:paraId="16246158"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0CB73341" w14:textId="77777777" w:rsidR="008C5CFA" w:rsidRPr="001C4484" w:rsidRDefault="00E82A60" w:rsidP="00300A01">
            <w:pPr>
              <w:spacing w:before="0" w:after="0"/>
              <w:jc w:val="right"/>
              <w:rPr>
                <w:sz w:val="10"/>
                <w:szCs w:val="10"/>
              </w:rPr>
            </w:pPr>
            <w:r>
              <w:rPr>
                <w:noProof/>
                <w:sz w:val="10"/>
                <w:szCs w:val="10"/>
              </w:rPr>
              <w:t>225,00</w:t>
            </w:r>
          </w:p>
        </w:tc>
        <w:tc>
          <w:tcPr>
            <w:tcW w:w="0" w:type="auto"/>
            <w:shd w:val="clear" w:color="auto" w:fill="auto"/>
          </w:tcPr>
          <w:p w14:paraId="6B36069F" w14:textId="77777777" w:rsidR="008C5CFA" w:rsidRPr="001C4484" w:rsidRDefault="00E82A60" w:rsidP="00300A01">
            <w:pPr>
              <w:spacing w:before="0" w:after="0"/>
              <w:jc w:val="right"/>
              <w:rPr>
                <w:sz w:val="10"/>
                <w:szCs w:val="10"/>
              </w:rPr>
            </w:pPr>
            <w:r w:rsidRPr="001C4484">
              <w:rPr>
                <w:noProof/>
                <w:sz w:val="10"/>
                <w:szCs w:val="10"/>
              </w:rPr>
              <w:t>50,00</w:t>
            </w:r>
          </w:p>
        </w:tc>
        <w:tc>
          <w:tcPr>
            <w:tcW w:w="0" w:type="auto"/>
            <w:shd w:val="clear" w:color="auto" w:fill="auto"/>
          </w:tcPr>
          <w:p w14:paraId="12A902F1" w14:textId="77777777" w:rsidR="008C5CFA" w:rsidRPr="001C4484" w:rsidRDefault="00E82A60" w:rsidP="00300A01">
            <w:pPr>
              <w:spacing w:before="0" w:after="0"/>
              <w:jc w:val="right"/>
              <w:rPr>
                <w:sz w:val="10"/>
                <w:szCs w:val="10"/>
                <w:lang w:val="fr-BE"/>
              </w:rPr>
            </w:pPr>
            <w:r w:rsidRPr="001C4484">
              <w:rPr>
                <w:noProof/>
                <w:sz w:val="10"/>
                <w:szCs w:val="10"/>
              </w:rPr>
              <w:t>175,00</w:t>
            </w:r>
          </w:p>
        </w:tc>
        <w:tc>
          <w:tcPr>
            <w:tcW w:w="0" w:type="auto"/>
          </w:tcPr>
          <w:p w14:paraId="78E290B8" w14:textId="77777777" w:rsidR="008C5CFA" w:rsidRPr="001C4484" w:rsidRDefault="00E82A60" w:rsidP="00300A01">
            <w:pPr>
              <w:spacing w:before="0" w:after="0"/>
              <w:jc w:val="right"/>
              <w:rPr>
                <w:sz w:val="10"/>
                <w:szCs w:val="10"/>
              </w:rPr>
            </w:pPr>
            <w:r>
              <w:rPr>
                <w:noProof/>
                <w:sz w:val="10"/>
                <w:szCs w:val="10"/>
              </w:rPr>
              <w:t>513,00</w:t>
            </w:r>
          </w:p>
        </w:tc>
        <w:tc>
          <w:tcPr>
            <w:tcW w:w="0" w:type="auto"/>
            <w:shd w:val="clear" w:color="auto" w:fill="auto"/>
          </w:tcPr>
          <w:p w14:paraId="26D6D363" w14:textId="77777777" w:rsidR="008C5CFA" w:rsidRPr="001C4484" w:rsidRDefault="00E82A60" w:rsidP="00300A01">
            <w:pPr>
              <w:spacing w:before="0" w:after="0"/>
              <w:jc w:val="right"/>
              <w:rPr>
                <w:sz w:val="10"/>
                <w:szCs w:val="10"/>
              </w:rPr>
            </w:pPr>
            <w:r w:rsidRPr="001C4484">
              <w:rPr>
                <w:noProof/>
                <w:sz w:val="10"/>
                <w:szCs w:val="10"/>
              </w:rPr>
              <w:t>139,00</w:t>
            </w:r>
          </w:p>
        </w:tc>
        <w:tc>
          <w:tcPr>
            <w:tcW w:w="0" w:type="auto"/>
            <w:shd w:val="clear" w:color="auto" w:fill="auto"/>
          </w:tcPr>
          <w:p w14:paraId="1A785036" w14:textId="77777777" w:rsidR="008C5CFA" w:rsidRPr="001C4484" w:rsidRDefault="00E82A60" w:rsidP="00300A01">
            <w:pPr>
              <w:spacing w:before="0" w:after="0"/>
              <w:jc w:val="right"/>
              <w:rPr>
                <w:sz w:val="10"/>
                <w:szCs w:val="10"/>
                <w:lang w:val="fr-BE"/>
              </w:rPr>
            </w:pPr>
            <w:r w:rsidRPr="001C4484">
              <w:rPr>
                <w:noProof/>
                <w:sz w:val="10"/>
                <w:szCs w:val="10"/>
              </w:rPr>
              <w:t>374,00</w:t>
            </w:r>
          </w:p>
        </w:tc>
        <w:tc>
          <w:tcPr>
            <w:tcW w:w="0" w:type="auto"/>
          </w:tcPr>
          <w:p w14:paraId="14A9F9E4" w14:textId="77777777" w:rsidR="008C5CFA" w:rsidRPr="001C4484" w:rsidRDefault="00E82A60" w:rsidP="00300A01">
            <w:pPr>
              <w:spacing w:before="0" w:after="0"/>
              <w:jc w:val="right"/>
              <w:rPr>
                <w:sz w:val="10"/>
                <w:szCs w:val="10"/>
              </w:rPr>
            </w:pPr>
            <w:r>
              <w:rPr>
                <w:noProof/>
                <w:sz w:val="10"/>
                <w:szCs w:val="10"/>
              </w:rPr>
              <w:t>474,00</w:t>
            </w:r>
          </w:p>
        </w:tc>
        <w:tc>
          <w:tcPr>
            <w:tcW w:w="0" w:type="auto"/>
            <w:shd w:val="clear" w:color="auto" w:fill="auto"/>
          </w:tcPr>
          <w:p w14:paraId="57E4643D" w14:textId="77777777" w:rsidR="008C5CFA" w:rsidRPr="001C4484" w:rsidRDefault="00E82A60" w:rsidP="00300A01">
            <w:pPr>
              <w:spacing w:before="0" w:after="0"/>
              <w:jc w:val="right"/>
              <w:rPr>
                <w:sz w:val="10"/>
                <w:szCs w:val="10"/>
              </w:rPr>
            </w:pPr>
            <w:r w:rsidRPr="001C4484">
              <w:rPr>
                <w:noProof/>
                <w:sz w:val="10"/>
                <w:szCs w:val="10"/>
              </w:rPr>
              <w:t>123,00</w:t>
            </w:r>
          </w:p>
        </w:tc>
        <w:tc>
          <w:tcPr>
            <w:tcW w:w="0" w:type="auto"/>
            <w:shd w:val="clear" w:color="auto" w:fill="auto"/>
          </w:tcPr>
          <w:p w14:paraId="6FE64BC7" w14:textId="77777777" w:rsidR="008C5CFA" w:rsidRPr="001C4484" w:rsidRDefault="00E82A60" w:rsidP="00300A01">
            <w:pPr>
              <w:spacing w:before="0" w:after="0"/>
              <w:jc w:val="right"/>
              <w:rPr>
                <w:sz w:val="10"/>
                <w:szCs w:val="10"/>
                <w:lang w:val="fr-BE"/>
              </w:rPr>
            </w:pPr>
            <w:r w:rsidRPr="001C4484">
              <w:rPr>
                <w:noProof/>
                <w:sz w:val="10"/>
                <w:szCs w:val="10"/>
              </w:rPr>
              <w:t>351,00</w:t>
            </w:r>
          </w:p>
        </w:tc>
      </w:tr>
      <w:tr w:rsidR="006B2EC1" w14:paraId="06AA6840" w14:textId="77777777" w:rsidTr="0047688D">
        <w:tc>
          <w:tcPr>
            <w:tcW w:w="0" w:type="auto"/>
            <w:shd w:val="clear" w:color="auto" w:fill="auto"/>
          </w:tcPr>
          <w:p w14:paraId="29609A07" w14:textId="77777777" w:rsidR="008C5CFA" w:rsidRPr="001C4484" w:rsidRDefault="00E82A60" w:rsidP="00300A01">
            <w:pPr>
              <w:spacing w:before="0" w:after="0"/>
              <w:rPr>
                <w:sz w:val="10"/>
                <w:szCs w:val="10"/>
                <w:lang w:val="fr-BE"/>
              </w:rPr>
            </w:pPr>
            <w:r w:rsidRPr="001C4484">
              <w:rPr>
                <w:noProof/>
                <w:sz w:val="10"/>
                <w:szCs w:val="10"/>
                <w:lang w:val="fr-BE"/>
              </w:rPr>
              <w:t>CO15</w:t>
            </w:r>
          </w:p>
        </w:tc>
        <w:tc>
          <w:tcPr>
            <w:tcW w:w="0" w:type="auto"/>
            <w:shd w:val="clear" w:color="auto" w:fill="auto"/>
          </w:tcPr>
          <w:p w14:paraId="7A01B4B7" w14:textId="77777777" w:rsidR="008C5CFA" w:rsidRPr="001C4484" w:rsidRDefault="00E82A60" w:rsidP="00300A01">
            <w:pPr>
              <w:spacing w:before="0" w:after="0"/>
              <w:rPr>
                <w:sz w:val="10"/>
                <w:szCs w:val="10"/>
                <w:lang w:val="fr-BE"/>
              </w:rPr>
            </w:pPr>
            <w:r w:rsidRPr="001C4484">
              <w:rPr>
                <w:noProof/>
                <w:sz w:val="10"/>
                <w:szCs w:val="10"/>
                <w:lang w:val="fr-BE"/>
              </w:rPr>
              <w:t>migranci, uczestnicy obcego pochodzenia, mniejszości (w tym społeczności marginalizowane, takie jak Romowie)</w:t>
            </w:r>
          </w:p>
        </w:tc>
        <w:tc>
          <w:tcPr>
            <w:tcW w:w="0" w:type="auto"/>
            <w:shd w:val="clear" w:color="auto" w:fill="auto"/>
          </w:tcPr>
          <w:p w14:paraId="2E7EB6D5"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4E38E803" w14:textId="77777777" w:rsidR="008C5CFA" w:rsidRPr="001C4484" w:rsidRDefault="00E82A60" w:rsidP="00300A01">
            <w:pPr>
              <w:spacing w:before="0" w:after="0"/>
              <w:jc w:val="right"/>
              <w:rPr>
                <w:sz w:val="10"/>
                <w:szCs w:val="10"/>
              </w:rPr>
            </w:pPr>
            <w:r>
              <w:rPr>
                <w:noProof/>
                <w:sz w:val="10"/>
                <w:szCs w:val="10"/>
              </w:rPr>
              <w:t>2,00</w:t>
            </w:r>
          </w:p>
        </w:tc>
        <w:tc>
          <w:tcPr>
            <w:tcW w:w="0" w:type="auto"/>
            <w:shd w:val="clear" w:color="auto" w:fill="auto"/>
          </w:tcPr>
          <w:p w14:paraId="7829A4BC" w14:textId="77777777" w:rsidR="008C5CFA" w:rsidRPr="001C4484" w:rsidRDefault="00E82A60" w:rsidP="00300A01">
            <w:pPr>
              <w:spacing w:before="0" w:after="0"/>
              <w:jc w:val="right"/>
              <w:rPr>
                <w:sz w:val="10"/>
                <w:szCs w:val="10"/>
              </w:rPr>
            </w:pPr>
            <w:r w:rsidRPr="001C4484">
              <w:rPr>
                <w:noProof/>
                <w:sz w:val="10"/>
                <w:szCs w:val="10"/>
              </w:rPr>
              <w:t>2,00</w:t>
            </w:r>
          </w:p>
        </w:tc>
        <w:tc>
          <w:tcPr>
            <w:tcW w:w="0" w:type="auto"/>
            <w:shd w:val="clear" w:color="auto" w:fill="auto"/>
          </w:tcPr>
          <w:p w14:paraId="70A1C4D8" w14:textId="77777777" w:rsidR="008C5CFA" w:rsidRPr="001C4484" w:rsidRDefault="00E82A60" w:rsidP="00300A01">
            <w:pPr>
              <w:spacing w:before="0" w:after="0"/>
              <w:jc w:val="right"/>
              <w:rPr>
                <w:sz w:val="10"/>
                <w:szCs w:val="10"/>
                <w:lang w:val="fr-BE"/>
              </w:rPr>
            </w:pPr>
            <w:r w:rsidRPr="001C4484">
              <w:rPr>
                <w:noProof/>
                <w:sz w:val="10"/>
                <w:szCs w:val="10"/>
              </w:rPr>
              <w:t>0,00</w:t>
            </w:r>
          </w:p>
        </w:tc>
        <w:tc>
          <w:tcPr>
            <w:tcW w:w="0" w:type="auto"/>
          </w:tcPr>
          <w:p w14:paraId="090978C0" w14:textId="77777777" w:rsidR="008C5CFA" w:rsidRPr="001C4484" w:rsidRDefault="00E82A60" w:rsidP="00300A01">
            <w:pPr>
              <w:spacing w:before="0" w:after="0"/>
              <w:jc w:val="right"/>
              <w:rPr>
                <w:sz w:val="10"/>
                <w:szCs w:val="10"/>
              </w:rPr>
            </w:pPr>
            <w:r>
              <w:rPr>
                <w:noProof/>
                <w:sz w:val="10"/>
                <w:szCs w:val="10"/>
              </w:rPr>
              <w:t>8,00</w:t>
            </w:r>
          </w:p>
        </w:tc>
        <w:tc>
          <w:tcPr>
            <w:tcW w:w="0" w:type="auto"/>
            <w:shd w:val="clear" w:color="auto" w:fill="auto"/>
          </w:tcPr>
          <w:p w14:paraId="4B6A0EFA" w14:textId="77777777" w:rsidR="008C5CFA" w:rsidRPr="001C4484" w:rsidRDefault="00E82A60" w:rsidP="00300A01">
            <w:pPr>
              <w:spacing w:before="0" w:after="0"/>
              <w:jc w:val="right"/>
              <w:rPr>
                <w:sz w:val="10"/>
                <w:szCs w:val="10"/>
              </w:rPr>
            </w:pPr>
            <w:r w:rsidRPr="001C4484">
              <w:rPr>
                <w:noProof/>
                <w:sz w:val="10"/>
                <w:szCs w:val="10"/>
              </w:rPr>
              <w:t>5,00</w:t>
            </w:r>
          </w:p>
        </w:tc>
        <w:tc>
          <w:tcPr>
            <w:tcW w:w="0" w:type="auto"/>
            <w:shd w:val="clear" w:color="auto" w:fill="auto"/>
          </w:tcPr>
          <w:p w14:paraId="3ECD739F" w14:textId="77777777" w:rsidR="008C5CFA" w:rsidRPr="001C4484" w:rsidRDefault="00E82A60" w:rsidP="00300A01">
            <w:pPr>
              <w:spacing w:before="0" w:after="0"/>
              <w:jc w:val="right"/>
              <w:rPr>
                <w:sz w:val="10"/>
                <w:szCs w:val="10"/>
                <w:lang w:val="fr-BE"/>
              </w:rPr>
            </w:pPr>
            <w:r w:rsidRPr="001C4484">
              <w:rPr>
                <w:noProof/>
                <w:sz w:val="10"/>
                <w:szCs w:val="10"/>
              </w:rPr>
              <w:t>3,00</w:t>
            </w:r>
          </w:p>
        </w:tc>
        <w:tc>
          <w:tcPr>
            <w:tcW w:w="0" w:type="auto"/>
          </w:tcPr>
          <w:p w14:paraId="6AD97CB1" w14:textId="77777777" w:rsidR="008C5CFA" w:rsidRPr="001C4484" w:rsidRDefault="00E82A60" w:rsidP="00300A01">
            <w:pPr>
              <w:spacing w:before="0" w:after="0"/>
              <w:jc w:val="right"/>
              <w:rPr>
                <w:sz w:val="10"/>
                <w:szCs w:val="10"/>
              </w:rPr>
            </w:pPr>
            <w:r>
              <w:rPr>
                <w:noProof/>
                <w:sz w:val="10"/>
                <w:szCs w:val="10"/>
              </w:rPr>
              <w:t>3,00</w:t>
            </w:r>
          </w:p>
        </w:tc>
        <w:tc>
          <w:tcPr>
            <w:tcW w:w="0" w:type="auto"/>
            <w:shd w:val="clear" w:color="auto" w:fill="auto"/>
          </w:tcPr>
          <w:p w14:paraId="34917BA7" w14:textId="77777777" w:rsidR="008C5CFA" w:rsidRPr="001C4484" w:rsidRDefault="00E82A60" w:rsidP="00300A01">
            <w:pPr>
              <w:spacing w:before="0" w:after="0"/>
              <w:jc w:val="right"/>
              <w:rPr>
                <w:sz w:val="10"/>
                <w:szCs w:val="10"/>
              </w:rPr>
            </w:pPr>
            <w:r w:rsidRPr="001C4484">
              <w:rPr>
                <w:noProof/>
                <w:sz w:val="10"/>
                <w:szCs w:val="10"/>
              </w:rPr>
              <w:t>1,00</w:t>
            </w:r>
          </w:p>
        </w:tc>
        <w:tc>
          <w:tcPr>
            <w:tcW w:w="0" w:type="auto"/>
            <w:shd w:val="clear" w:color="auto" w:fill="auto"/>
          </w:tcPr>
          <w:p w14:paraId="4C417821" w14:textId="77777777" w:rsidR="008C5CFA" w:rsidRPr="001C4484" w:rsidRDefault="00E82A60" w:rsidP="00300A01">
            <w:pPr>
              <w:spacing w:before="0" w:after="0"/>
              <w:jc w:val="right"/>
              <w:rPr>
                <w:sz w:val="10"/>
                <w:szCs w:val="10"/>
                <w:lang w:val="fr-BE"/>
              </w:rPr>
            </w:pPr>
            <w:r w:rsidRPr="001C4484">
              <w:rPr>
                <w:noProof/>
                <w:sz w:val="10"/>
                <w:szCs w:val="10"/>
              </w:rPr>
              <w:t>2,00</w:t>
            </w:r>
          </w:p>
        </w:tc>
      </w:tr>
      <w:tr w:rsidR="006B2EC1" w14:paraId="2637302E" w14:textId="77777777" w:rsidTr="0047688D">
        <w:tc>
          <w:tcPr>
            <w:tcW w:w="0" w:type="auto"/>
            <w:shd w:val="clear" w:color="auto" w:fill="auto"/>
          </w:tcPr>
          <w:p w14:paraId="526E260E" w14:textId="77777777" w:rsidR="008C5CFA" w:rsidRPr="001C4484" w:rsidRDefault="00E82A60" w:rsidP="00300A01">
            <w:pPr>
              <w:spacing w:before="0" w:after="0"/>
              <w:rPr>
                <w:sz w:val="10"/>
                <w:szCs w:val="10"/>
                <w:lang w:val="fr-BE"/>
              </w:rPr>
            </w:pPr>
            <w:r w:rsidRPr="001C4484">
              <w:rPr>
                <w:noProof/>
                <w:sz w:val="10"/>
                <w:szCs w:val="10"/>
                <w:lang w:val="fr-BE"/>
              </w:rPr>
              <w:t>CO16</w:t>
            </w:r>
          </w:p>
        </w:tc>
        <w:tc>
          <w:tcPr>
            <w:tcW w:w="0" w:type="auto"/>
            <w:shd w:val="clear" w:color="auto" w:fill="auto"/>
          </w:tcPr>
          <w:p w14:paraId="66B6D9E0" w14:textId="77777777" w:rsidR="008C5CFA" w:rsidRPr="001C4484" w:rsidRDefault="00E82A60" w:rsidP="00300A01">
            <w:pPr>
              <w:spacing w:before="0" w:after="0"/>
              <w:rPr>
                <w:sz w:val="10"/>
                <w:szCs w:val="10"/>
                <w:lang w:val="fr-BE"/>
              </w:rPr>
            </w:pPr>
            <w:r w:rsidRPr="001C4484">
              <w:rPr>
                <w:noProof/>
                <w:sz w:val="10"/>
                <w:szCs w:val="10"/>
                <w:lang w:val="fr-BE"/>
              </w:rPr>
              <w:t>uczestnicy z niepełnosprawnościami</w:t>
            </w:r>
          </w:p>
        </w:tc>
        <w:tc>
          <w:tcPr>
            <w:tcW w:w="0" w:type="auto"/>
            <w:shd w:val="clear" w:color="auto" w:fill="auto"/>
          </w:tcPr>
          <w:p w14:paraId="0FD14AB5"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6B2BBD8B" w14:textId="77777777" w:rsidR="008C5CFA" w:rsidRPr="001C4484" w:rsidRDefault="00E82A60" w:rsidP="00300A01">
            <w:pPr>
              <w:spacing w:before="0" w:after="0"/>
              <w:jc w:val="right"/>
              <w:rPr>
                <w:sz w:val="10"/>
                <w:szCs w:val="10"/>
              </w:rPr>
            </w:pPr>
            <w:r>
              <w:rPr>
                <w:noProof/>
                <w:sz w:val="10"/>
                <w:szCs w:val="10"/>
              </w:rPr>
              <w:t>90,00</w:t>
            </w:r>
          </w:p>
        </w:tc>
        <w:tc>
          <w:tcPr>
            <w:tcW w:w="0" w:type="auto"/>
            <w:shd w:val="clear" w:color="auto" w:fill="auto"/>
          </w:tcPr>
          <w:p w14:paraId="08137BC1" w14:textId="77777777" w:rsidR="008C5CFA" w:rsidRPr="001C4484" w:rsidRDefault="00E82A60" w:rsidP="00300A01">
            <w:pPr>
              <w:spacing w:before="0" w:after="0"/>
              <w:jc w:val="right"/>
              <w:rPr>
                <w:sz w:val="10"/>
                <w:szCs w:val="10"/>
              </w:rPr>
            </w:pPr>
            <w:r w:rsidRPr="001C4484">
              <w:rPr>
                <w:noProof/>
                <w:sz w:val="10"/>
                <w:szCs w:val="10"/>
              </w:rPr>
              <w:t>53,00</w:t>
            </w:r>
          </w:p>
        </w:tc>
        <w:tc>
          <w:tcPr>
            <w:tcW w:w="0" w:type="auto"/>
            <w:shd w:val="clear" w:color="auto" w:fill="auto"/>
          </w:tcPr>
          <w:p w14:paraId="6E7F5122" w14:textId="77777777" w:rsidR="008C5CFA" w:rsidRPr="001C4484" w:rsidRDefault="00E82A60" w:rsidP="00300A01">
            <w:pPr>
              <w:spacing w:before="0" w:after="0"/>
              <w:jc w:val="right"/>
              <w:rPr>
                <w:sz w:val="10"/>
                <w:szCs w:val="10"/>
                <w:lang w:val="fr-BE"/>
              </w:rPr>
            </w:pPr>
            <w:r w:rsidRPr="001C4484">
              <w:rPr>
                <w:noProof/>
                <w:sz w:val="10"/>
                <w:szCs w:val="10"/>
              </w:rPr>
              <w:t>37,00</w:t>
            </w:r>
          </w:p>
        </w:tc>
        <w:tc>
          <w:tcPr>
            <w:tcW w:w="0" w:type="auto"/>
          </w:tcPr>
          <w:p w14:paraId="25588422" w14:textId="77777777" w:rsidR="008C5CFA" w:rsidRPr="001C4484" w:rsidRDefault="00E82A60" w:rsidP="00300A01">
            <w:pPr>
              <w:spacing w:before="0" w:after="0"/>
              <w:jc w:val="right"/>
              <w:rPr>
                <w:sz w:val="10"/>
                <w:szCs w:val="10"/>
              </w:rPr>
            </w:pPr>
            <w:r>
              <w:rPr>
                <w:noProof/>
                <w:sz w:val="10"/>
                <w:szCs w:val="10"/>
              </w:rPr>
              <w:t>193,00</w:t>
            </w:r>
          </w:p>
        </w:tc>
        <w:tc>
          <w:tcPr>
            <w:tcW w:w="0" w:type="auto"/>
            <w:shd w:val="clear" w:color="auto" w:fill="auto"/>
          </w:tcPr>
          <w:p w14:paraId="4FD1CCB7" w14:textId="77777777" w:rsidR="008C5CFA" w:rsidRPr="001C4484" w:rsidRDefault="00E82A60" w:rsidP="00300A01">
            <w:pPr>
              <w:spacing w:before="0" w:after="0"/>
              <w:jc w:val="right"/>
              <w:rPr>
                <w:sz w:val="10"/>
                <w:szCs w:val="10"/>
              </w:rPr>
            </w:pPr>
            <w:r w:rsidRPr="001C4484">
              <w:rPr>
                <w:noProof/>
                <w:sz w:val="10"/>
                <w:szCs w:val="10"/>
              </w:rPr>
              <w:t>104,00</w:t>
            </w:r>
          </w:p>
        </w:tc>
        <w:tc>
          <w:tcPr>
            <w:tcW w:w="0" w:type="auto"/>
            <w:shd w:val="clear" w:color="auto" w:fill="auto"/>
          </w:tcPr>
          <w:p w14:paraId="3EA76372" w14:textId="77777777" w:rsidR="008C5CFA" w:rsidRPr="001C4484" w:rsidRDefault="00E82A60" w:rsidP="00300A01">
            <w:pPr>
              <w:spacing w:before="0" w:after="0"/>
              <w:jc w:val="right"/>
              <w:rPr>
                <w:sz w:val="10"/>
                <w:szCs w:val="10"/>
                <w:lang w:val="fr-BE"/>
              </w:rPr>
            </w:pPr>
            <w:r w:rsidRPr="001C4484">
              <w:rPr>
                <w:noProof/>
                <w:sz w:val="10"/>
                <w:szCs w:val="10"/>
              </w:rPr>
              <w:t>89,00</w:t>
            </w:r>
          </w:p>
        </w:tc>
        <w:tc>
          <w:tcPr>
            <w:tcW w:w="0" w:type="auto"/>
          </w:tcPr>
          <w:p w14:paraId="369ED386" w14:textId="77777777" w:rsidR="008C5CFA" w:rsidRPr="001C4484" w:rsidRDefault="00E82A60" w:rsidP="00300A01">
            <w:pPr>
              <w:spacing w:before="0" w:after="0"/>
              <w:jc w:val="right"/>
              <w:rPr>
                <w:sz w:val="10"/>
                <w:szCs w:val="10"/>
              </w:rPr>
            </w:pPr>
            <w:r>
              <w:rPr>
                <w:noProof/>
                <w:sz w:val="10"/>
                <w:szCs w:val="10"/>
              </w:rPr>
              <w:t>206,00</w:t>
            </w:r>
          </w:p>
        </w:tc>
        <w:tc>
          <w:tcPr>
            <w:tcW w:w="0" w:type="auto"/>
            <w:shd w:val="clear" w:color="auto" w:fill="auto"/>
          </w:tcPr>
          <w:p w14:paraId="06257D9F" w14:textId="77777777" w:rsidR="008C5CFA" w:rsidRPr="001C4484" w:rsidRDefault="00E82A60" w:rsidP="00300A01">
            <w:pPr>
              <w:spacing w:before="0" w:after="0"/>
              <w:jc w:val="right"/>
              <w:rPr>
                <w:sz w:val="10"/>
                <w:szCs w:val="10"/>
              </w:rPr>
            </w:pPr>
            <w:r w:rsidRPr="001C4484">
              <w:rPr>
                <w:noProof/>
                <w:sz w:val="10"/>
                <w:szCs w:val="10"/>
              </w:rPr>
              <w:t>113,00</w:t>
            </w:r>
          </w:p>
        </w:tc>
        <w:tc>
          <w:tcPr>
            <w:tcW w:w="0" w:type="auto"/>
            <w:shd w:val="clear" w:color="auto" w:fill="auto"/>
          </w:tcPr>
          <w:p w14:paraId="6750EA3E" w14:textId="77777777" w:rsidR="008C5CFA" w:rsidRPr="001C4484" w:rsidRDefault="00E82A60" w:rsidP="00300A01">
            <w:pPr>
              <w:spacing w:before="0" w:after="0"/>
              <w:jc w:val="right"/>
              <w:rPr>
                <w:sz w:val="10"/>
                <w:szCs w:val="10"/>
                <w:lang w:val="fr-BE"/>
              </w:rPr>
            </w:pPr>
            <w:r w:rsidRPr="001C4484">
              <w:rPr>
                <w:noProof/>
                <w:sz w:val="10"/>
                <w:szCs w:val="10"/>
              </w:rPr>
              <w:t>93,00</w:t>
            </w:r>
          </w:p>
        </w:tc>
      </w:tr>
      <w:tr w:rsidR="006B2EC1" w14:paraId="305EDADC" w14:textId="77777777" w:rsidTr="0047688D">
        <w:tc>
          <w:tcPr>
            <w:tcW w:w="0" w:type="auto"/>
            <w:shd w:val="clear" w:color="auto" w:fill="auto"/>
          </w:tcPr>
          <w:p w14:paraId="2E401E84" w14:textId="77777777" w:rsidR="008C5CFA" w:rsidRPr="001C4484" w:rsidRDefault="00E82A60" w:rsidP="00300A01">
            <w:pPr>
              <w:spacing w:before="0" w:after="0"/>
              <w:rPr>
                <w:sz w:val="10"/>
                <w:szCs w:val="10"/>
                <w:lang w:val="fr-BE"/>
              </w:rPr>
            </w:pPr>
            <w:r w:rsidRPr="001C4484">
              <w:rPr>
                <w:noProof/>
                <w:sz w:val="10"/>
                <w:szCs w:val="10"/>
                <w:lang w:val="fr-BE"/>
              </w:rPr>
              <w:t>CO17</w:t>
            </w:r>
          </w:p>
        </w:tc>
        <w:tc>
          <w:tcPr>
            <w:tcW w:w="0" w:type="auto"/>
            <w:shd w:val="clear" w:color="auto" w:fill="auto"/>
          </w:tcPr>
          <w:p w14:paraId="6CDF8491" w14:textId="77777777" w:rsidR="008C5CFA" w:rsidRPr="001C4484" w:rsidRDefault="00E82A60" w:rsidP="00300A01">
            <w:pPr>
              <w:spacing w:before="0" w:after="0"/>
              <w:rPr>
                <w:sz w:val="10"/>
                <w:szCs w:val="10"/>
                <w:lang w:val="fr-BE"/>
              </w:rPr>
            </w:pPr>
            <w:r w:rsidRPr="001C4484">
              <w:rPr>
                <w:noProof/>
                <w:sz w:val="10"/>
                <w:szCs w:val="10"/>
                <w:lang w:val="fr-BE"/>
              </w:rPr>
              <w:t>inne osoby w niekorzystnej sytuacji społecznej</w:t>
            </w:r>
          </w:p>
        </w:tc>
        <w:tc>
          <w:tcPr>
            <w:tcW w:w="0" w:type="auto"/>
            <w:shd w:val="clear" w:color="auto" w:fill="auto"/>
          </w:tcPr>
          <w:p w14:paraId="55EDADFA"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1A38410A" w14:textId="77777777" w:rsidR="008C5CFA" w:rsidRPr="001C4484" w:rsidRDefault="00E82A60" w:rsidP="00300A01">
            <w:pPr>
              <w:spacing w:before="0" w:after="0"/>
              <w:jc w:val="right"/>
              <w:rPr>
                <w:sz w:val="10"/>
                <w:szCs w:val="10"/>
              </w:rPr>
            </w:pPr>
            <w:r>
              <w:rPr>
                <w:noProof/>
                <w:sz w:val="10"/>
                <w:szCs w:val="10"/>
              </w:rPr>
              <w:t>819,00</w:t>
            </w:r>
          </w:p>
        </w:tc>
        <w:tc>
          <w:tcPr>
            <w:tcW w:w="0" w:type="auto"/>
            <w:shd w:val="clear" w:color="auto" w:fill="auto"/>
          </w:tcPr>
          <w:p w14:paraId="7B23E1B7" w14:textId="77777777" w:rsidR="008C5CFA" w:rsidRPr="001C4484" w:rsidRDefault="00E82A60" w:rsidP="00300A01">
            <w:pPr>
              <w:spacing w:before="0" w:after="0"/>
              <w:jc w:val="right"/>
              <w:rPr>
                <w:sz w:val="10"/>
                <w:szCs w:val="10"/>
              </w:rPr>
            </w:pPr>
            <w:r w:rsidRPr="001C4484">
              <w:rPr>
                <w:noProof/>
                <w:sz w:val="10"/>
                <w:szCs w:val="10"/>
              </w:rPr>
              <w:t>433,00</w:t>
            </w:r>
          </w:p>
        </w:tc>
        <w:tc>
          <w:tcPr>
            <w:tcW w:w="0" w:type="auto"/>
            <w:shd w:val="clear" w:color="auto" w:fill="auto"/>
          </w:tcPr>
          <w:p w14:paraId="2A971574" w14:textId="77777777" w:rsidR="008C5CFA" w:rsidRPr="001C4484" w:rsidRDefault="00E82A60" w:rsidP="00300A01">
            <w:pPr>
              <w:spacing w:before="0" w:after="0"/>
              <w:jc w:val="right"/>
              <w:rPr>
                <w:sz w:val="10"/>
                <w:szCs w:val="10"/>
                <w:lang w:val="fr-BE"/>
              </w:rPr>
            </w:pPr>
            <w:r w:rsidRPr="001C4484">
              <w:rPr>
                <w:noProof/>
                <w:sz w:val="10"/>
                <w:szCs w:val="10"/>
              </w:rPr>
              <w:t>386,00</w:t>
            </w:r>
          </w:p>
        </w:tc>
        <w:tc>
          <w:tcPr>
            <w:tcW w:w="0" w:type="auto"/>
          </w:tcPr>
          <w:p w14:paraId="011ED33E" w14:textId="77777777" w:rsidR="008C5CFA" w:rsidRPr="001C4484" w:rsidRDefault="00E82A60" w:rsidP="00300A01">
            <w:pPr>
              <w:spacing w:before="0" w:after="0"/>
              <w:jc w:val="right"/>
              <w:rPr>
                <w:sz w:val="10"/>
                <w:szCs w:val="10"/>
              </w:rPr>
            </w:pPr>
            <w:r>
              <w:rPr>
                <w:noProof/>
                <w:sz w:val="10"/>
                <w:szCs w:val="10"/>
              </w:rPr>
              <w:t>1 217,00</w:t>
            </w:r>
          </w:p>
        </w:tc>
        <w:tc>
          <w:tcPr>
            <w:tcW w:w="0" w:type="auto"/>
            <w:shd w:val="clear" w:color="auto" w:fill="auto"/>
          </w:tcPr>
          <w:p w14:paraId="169AABAC" w14:textId="77777777" w:rsidR="008C5CFA" w:rsidRPr="001C4484" w:rsidRDefault="00E82A60" w:rsidP="00300A01">
            <w:pPr>
              <w:spacing w:before="0" w:after="0"/>
              <w:jc w:val="right"/>
              <w:rPr>
                <w:sz w:val="10"/>
                <w:szCs w:val="10"/>
              </w:rPr>
            </w:pPr>
            <w:r w:rsidRPr="001C4484">
              <w:rPr>
                <w:noProof/>
                <w:sz w:val="10"/>
                <w:szCs w:val="10"/>
              </w:rPr>
              <w:t>616,00</w:t>
            </w:r>
          </w:p>
        </w:tc>
        <w:tc>
          <w:tcPr>
            <w:tcW w:w="0" w:type="auto"/>
            <w:shd w:val="clear" w:color="auto" w:fill="auto"/>
          </w:tcPr>
          <w:p w14:paraId="46B8972A" w14:textId="77777777" w:rsidR="008C5CFA" w:rsidRPr="001C4484" w:rsidRDefault="00E82A60" w:rsidP="00300A01">
            <w:pPr>
              <w:spacing w:before="0" w:after="0"/>
              <w:jc w:val="right"/>
              <w:rPr>
                <w:sz w:val="10"/>
                <w:szCs w:val="10"/>
                <w:lang w:val="fr-BE"/>
              </w:rPr>
            </w:pPr>
            <w:r w:rsidRPr="001C4484">
              <w:rPr>
                <w:noProof/>
                <w:sz w:val="10"/>
                <w:szCs w:val="10"/>
              </w:rPr>
              <w:t>601,00</w:t>
            </w:r>
          </w:p>
        </w:tc>
        <w:tc>
          <w:tcPr>
            <w:tcW w:w="0" w:type="auto"/>
          </w:tcPr>
          <w:p w14:paraId="328BF5A5" w14:textId="77777777" w:rsidR="008C5CFA" w:rsidRPr="001C4484" w:rsidRDefault="00E82A60" w:rsidP="00300A01">
            <w:pPr>
              <w:spacing w:before="0" w:after="0"/>
              <w:jc w:val="right"/>
              <w:rPr>
                <w:sz w:val="10"/>
                <w:szCs w:val="10"/>
              </w:rPr>
            </w:pPr>
            <w:r>
              <w:rPr>
                <w:noProof/>
                <w:sz w:val="10"/>
                <w:szCs w:val="10"/>
              </w:rPr>
              <w:t>730,00</w:t>
            </w:r>
          </w:p>
        </w:tc>
        <w:tc>
          <w:tcPr>
            <w:tcW w:w="0" w:type="auto"/>
            <w:shd w:val="clear" w:color="auto" w:fill="auto"/>
          </w:tcPr>
          <w:p w14:paraId="3E5B92C2" w14:textId="77777777" w:rsidR="008C5CFA" w:rsidRPr="001C4484" w:rsidRDefault="00E82A60" w:rsidP="00300A01">
            <w:pPr>
              <w:spacing w:before="0" w:after="0"/>
              <w:jc w:val="right"/>
              <w:rPr>
                <w:sz w:val="10"/>
                <w:szCs w:val="10"/>
              </w:rPr>
            </w:pPr>
            <w:r w:rsidRPr="001C4484">
              <w:rPr>
                <w:noProof/>
                <w:sz w:val="10"/>
                <w:szCs w:val="10"/>
              </w:rPr>
              <w:t>310,00</w:t>
            </w:r>
          </w:p>
        </w:tc>
        <w:tc>
          <w:tcPr>
            <w:tcW w:w="0" w:type="auto"/>
            <w:shd w:val="clear" w:color="auto" w:fill="auto"/>
          </w:tcPr>
          <w:p w14:paraId="5A19F1D2" w14:textId="77777777" w:rsidR="008C5CFA" w:rsidRPr="001C4484" w:rsidRDefault="00E82A60" w:rsidP="00300A01">
            <w:pPr>
              <w:spacing w:before="0" w:after="0"/>
              <w:jc w:val="right"/>
              <w:rPr>
                <w:sz w:val="10"/>
                <w:szCs w:val="10"/>
                <w:lang w:val="fr-BE"/>
              </w:rPr>
            </w:pPr>
            <w:r w:rsidRPr="001C4484">
              <w:rPr>
                <w:noProof/>
                <w:sz w:val="10"/>
                <w:szCs w:val="10"/>
              </w:rPr>
              <w:t>420,00</w:t>
            </w:r>
          </w:p>
        </w:tc>
      </w:tr>
      <w:tr w:rsidR="006B2EC1" w14:paraId="6ACB1D84" w14:textId="77777777" w:rsidTr="0047688D">
        <w:tc>
          <w:tcPr>
            <w:tcW w:w="0" w:type="auto"/>
            <w:shd w:val="clear" w:color="auto" w:fill="auto"/>
          </w:tcPr>
          <w:p w14:paraId="41FEEE08" w14:textId="77777777" w:rsidR="008C5CFA" w:rsidRPr="001C4484" w:rsidRDefault="00E82A60" w:rsidP="00300A01">
            <w:pPr>
              <w:spacing w:before="0" w:after="0"/>
              <w:rPr>
                <w:sz w:val="10"/>
                <w:szCs w:val="10"/>
                <w:lang w:val="fr-BE"/>
              </w:rPr>
            </w:pPr>
            <w:r w:rsidRPr="001C4484">
              <w:rPr>
                <w:noProof/>
                <w:sz w:val="10"/>
                <w:szCs w:val="10"/>
                <w:lang w:val="fr-BE"/>
              </w:rPr>
              <w:t>CO18</w:t>
            </w:r>
          </w:p>
        </w:tc>
        <w:tc>
          <w:tcPr>
            <w:tcW w:w="0" w:type="auto"/>
            <w:shd w:val="clear" w:color="auto" w:fill="auto"/>
          </w:tcPr>
          <w:p w14:paraId="6BFE8704" w14:textId="77777777" w:rsidR="008C5CFA" w:rsidRPr="001C4484" w:rsidRDefault="00E82A60" w:rsidP="00300A01">
            <w:pPr>
              <w:spacing w:before="0" w:after="0"/>
              <w:rPr>
                <w:sz w:val="10"/>
                <w:szCs w:val="10"/>
                <w:lang w:val="fr-BE"/>
              </w:rPr>
            </w:pPr>
            <w:r w:rsidRPr="001C4484">
              <w:rPr>
                <w:noProof/>
                <w:sz w:val="10"/>
                <w:szCs w:val="10"/>
                <w:lang w:val="fr-BE"/>
              </w:rPr>
              <w:t>osoby bezdomne lub dotknięte wykluczeniem z dostępu do mieszkań</w:t>
            </w:r>
          </w:p>
        </w:tc>
        <w:tc>
          <w:tcPr>
            <w:tcW w:w="0" w:type="auto"/>
            <w:shd w:val="clear" w:color="auto" w:fill="auto"/>
          </w:tcPr>
          <w:p w14:paraId="1E8E83B0"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5C5ECBAE" w14:textId="77777777" w:rsidR="008C5CFA" w:rsidRPr="001C4484" w:rsidRDefault="00E82A60" w:rsidP="00300A01">
            <w:pPr>
              <w:spacing w:before="0" w:after="0"/>
              <w:jc w:val="right"/>
              <w:rPr>
                <w:sz w:val="10"/>
                <w:szCs w:val="10"/>
              </w:rPr>
            </w:pPr>
            <w:r>
              <w:rPr>
                <w:noProof/>
                <w:sz w:val="10"/>
                <w:szCs w:val="10"/>
              </w:rPr>
              <w:t>3,00</w:t>
            </w:r>
          </w:p>
        </w:tc>
        <w:tc>
          <w:tcPr>
            <w:tcW w:w="0" w:type="auto"/>
            <w:shd w:val="clear" w:color="auto" w:fill="auto"/>
          </w:tcPr>
          <w:p w14:paraId="3BB8BCC2" w14:textId="77777777" w:rsidR="008C5CFA" w:rsidRPr="001C4484" w:rsidRDefault="00E82A60" w:rsidP="00300A01">
            <w:pPr>
              <w:spacing w:before="0" w:after="0"/>
              <w:jc w:val="right"/>
              <w:rPr>
                <w:sz w:val="10"/>
                <w:szCs w:val="10"/>
              </w:rPr>
            </w:pPr>
            <w:r w:rsidRPr="001C4484">
              <w:rPr>
                <w:noProof/>
                <w:sz w:val="10"/>
                <w:szCs w:val="10"/>
              </w:rPr>
              <w:t>2,00</w:t>
            </w:r>
          </w:p>
        </w:tc>
        <w:tc>
          <w:tcPr>
            <w:tcW w:w="0" w:type="auto"/>
            <w:shd w:val="clear" w:color="auto" w:fill="auto"/>
          </w:tcPr>
          <w:p w14:paraId="392E438E" w14:textId="77777777" w:rsidR="008C5CFA" w:rsidRPr="001C4484" w:rsidRDefault="00E82A60" w:rsidP="00300A01">
            <w:pPr>
              <w:spacing w:before="0" w:after="0"/>
              <w:jc w:val="right"/>
              <w:rPr>
                <w:sz w:val="10"/>
                <w:szCs w:val="10"/>
                <w:lang w:val="fr-BE"/>
              </w:rPr>
            </w:pPr>
            <w:r w:rsidRPr="001C4484">
              <w:rPr>
                <w:noProof/>
                <w:sz w:val="10"/>
                <w:szCs w:val="10"/>
              </w:rPr>
              <w:t>1,00</w:t>
            </w:r>
          </w:p>
        </w:tc>
        <w:tc>
          <w:tcPr>
            <w:tcW w:w="0" w:type="auto"/>
          </w:tcPr>
          <w:p w14:paraId="3EE279B3" w14:textId="77777777" w:rsidR="008C5CFA" w:rsidRPr="001C4484" w:rsidRDefault="00E82A60" w:rsidP="00300A01">
            <w:pPr>
              <w:spacing w:before="0" w:after="0"/>
              <w:jc w:val="right"/>
              <w:rPr>
                <w:sz w:val="10"/>
                <w:szCs w:val="10"/>
              </w:rPr>
            </w:pPr>
            <w:r>
              <w:rPr>
                <w:noProof/>
                <w:sz w:val="10"/>
                <w:szCs w:val="10"/>
              </w:rPr>
              <w:t>5,00</w:t>
            </w:r>
          </w:p>
        </w:tc>
        <w:tc>
          <w:tcPr>
            <w:tcW w:w="0" w:type="auto"/>
            <w:shd w:val="clear" w:color="auto" w:fill="auto"/>
          </w:tcPr>
          <w:p w14:paraId="11639D13" w14:textId="77777777" w:rsidR="008C5CFA" w:rsidRPr="001C4484" w:rsidRDefault="00E82A60" w:rsidP="00300A01">
            <w:pPr>
              <w:spacing w:before="0" w:after="0"/>
              <w:jc w:val="right"/>
              <w:rPr>
                <w:sz w:val="10"/>
                <w:szCs w:val="10"/>
              </w:rPr>
            </w:pPr>
            <w:r w:rsidRPr="001C4484">
              <w:rPr>
                <w:noProof/>
                <w:sz w:val="10"/>
                <w:szCs w:val="10"/>
              </w:rPr>
              <w:t>1,00</w:t>
            </w:r>
          </w:p>
        </w:tc>
        <w:tc>
          <w:tcPr>
            <w:tcW w:w="0" w:type="auto"/>
            <w:shd w:val="clear" w:color="auto" w:fill="auto"/>
          </w:tcPr>
          <w:p w14:paraId="358D9B99" w14:textId="77777777" w:rsidR="008C5CFA" w:rsidRPr="001C4484" w:rsidRDefault="00E82A60" w:rsidP="00300A01">
            <w:pPr>
              <w:spacing w:before="0" w:after="0"/>
              <w:jc w:val="right"/>
              <w:rPr>
                <w:sz w:val="10"/>
                <w:szCs w:val="10"/>
                <w:lang w:val="fr-BE"/>
              </w:rPr>
            </w:pPr>
            <w:r w:rsidRPr="001C4484">
              <w:rPr>
                <w:noProof/>
                <w:sz w:val="10"/>
                <w:szCs w:val="10"/>
              </w:rPr>
              <w:t>4,00</w:t>
            </w:r>
          </w:p>
        </w:tc>
        <w:tc>
          <w:tcPr>
            <w:tcW w:w="0" w:type="auto"/>
          </w:tcPr>
          <w:p w14:paraId="1497112E" w14:textId="77777777" w:rsidR="008C5CFA" w:rsidRPr="001C4484" w:rsidRDefault="00E82A60" w:rsidP="00300A01">
            <w:pPr>
              <w:spacing w:before="0" w:after="0"/>
              <w:jc w:val="right"/>
              <w:rPr>
                <w:sz w:val="10"/>
                <w:szCs w:val="10"/>
              </w:rPr>
            </w:pPr>
            <w:r>
              <w:rPr>
                <w:noProof/>
                <w:sz w:val="10"/>
                <w:szCs w:val="10"/>
              </w:rPr>
              <w:t>3,00</w:t>
            </w:r>
          </w:p>
        </w:tc>
        <w:tc>
          <w:tcPr>
            <w:tcW w:w="0" w:type="auto"/>
            <w:shd w:val="clear" w:color="auto" w:fill="auto"/>
          </w:tcPr>
          <w:p w14:paraId="027AC7F7" w14:textId="77777777" w:rsidR="008C5CFA" w:rsidRPr="001C4484" w:rsidRDefault="00E82A60" w:rsidP="00300A01">
            <w:pPr>
              <w:spacing w:before="0" w:after="0"/>
              <w:jc w:val="right"/>
              <w:rPr>
                <w:sz w:val="10"/>
                <w:szCs w:val="10"/>
              </w:rPr>
            </w:pPr>
            <w:r w:rsidRPr="001C4484">
              <w:rPr>
                <w:noProof/>
                <w:sz w:val="10"/>
                <w:szCs w:val="10"/>
              </w:rPr>
              <w:t>1,00</w:t>
            </w:r>
          </w:p>
        </w:tc>
        <w:tc>
          <w:tcPr>
            <w:tcW w:w="0" w:type="auto"/>
            <w:shd w:val="clear" w:color="auto" w:fill="auto"/>
          </w:tcPr>
          <w:p w14:paraId="3B55EF53" w14:textId="77777777" w:rsidR="008C5CFA" w:rsidRPr="001C4484" w:rsidRDefault="00E82A60" w:rsidP="00300A01">
            <w:pPr>
              <w:spacing w:before="0" w:after="0"/>
              <w:jc w:val="right"/>
              <w:rPr>
                <w:sz w:val="10"/>
                <w:szCs w:val="10"/>
                <w:lang w:val="fr-BE"/>
              </w:rPr>
            </w:pPr>
            <w:r w:rsidRPr="001C4484">
              <w:rPr>
                <w:noProof/>
                <w:sz w:val="10"/>
                <w:szCs w:val="10"/>
              </w:rPr>
              <w:t>2,00</w:t>
            </w:r>
          </w:p>
        </w:tc>
      </w:tr>
      <w:tr w:rsidR="006B2EC1" w14:paraId="33BCD348" w14:textId="77777777" w:rsidTr="0047688D">
        <w:tc>
          <w:tcPr>
            <w:tcW w:w="0" w:type="auto"/>
            <w:shd w:val="clear" w:color="auto" w:fill="auto"/>
          </w:tcPr>
          <w:p w14:paraId="0D38440C" w14:textId="77777777" w:rsidR="008C5CFA" w:rsidRPr="001C4484" w:rsidRDefault="00E82A60" w:rsidP="00300A01">
            <w:pPr>
              <w:spacing w:before="0" w:after="0"/>
              <w:rPr>
                <w:sz w:val="10"/>
                <w:szCs w:val="10"/>
                <w:lang w:val="fr-BE"/>
              </w:rPr>
            </w:pPr>
            <w:r w:rsidRPr="001C4484">
              <w:rPr>
                <w:noProof/>
                <w:sz w:val="10"/>
                <w:szCs w:val="10"/>
                <w:lang w:val="fr-BE"/>
              </w:rPr>
              <w:t>CO19</w:t>
            </w:r>
          </w:p>
        </w:tc>
        <w:tc>
          <w:tcPr>
            <w:tcW w:w="0" w:type="auto"/>
            <w:shd w:val="clear" w:color="auto" w:fill="auto"/>
          </w:tcPr>
          <w:p w14:paraId="429733D6" w14:textId="77777777" w:rsidR="008C5CFA" w:rsidRPr="001C4484" w:rsidRDefault="00E82A60" w:rsidP="00300A01">
            <w:pPr>
              <w:spacing w:before="0" w:after="0"/>
              <w:rPr>
                <w:sz w:val="10"/>
                <w:szCs w:val="10"/>
                <w:lang w:val="fr-BE"/>
              </w:rPr>
            </w:pPr>
            <w:r w:rsidRPr="001C4484">
              <w:rPr>
                <w:noProof/>
                <w:sz w:val="10"/>
                <w:szCs w:val="10"/>
                <w:lang w:val="fr-BE"/>
              </w:rPr>
              <w:t>osoby pochodzące z obszarów wiejskich</w:t>
            </w:r>
          </w:p>
        </w:tc>
        <w:tc>
          <w:tcPr>
            <w:tcW w:w="0" w:type="auto"/>
            <w:shd w:val="clear" w:color="auto" w:fill="auto"/>
          </w:tcPr>
          <w:p w14:paraId="3DAC6A6A"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1A7B3DE6" w14:textId="77777777" w:rsidR="008C5CFA" w:rsidRPr="001C4484" w:rsidRDefault="00E82A60" w:rsidP="00300A01">
            <w:pPr>
              <w:spacing w:before="0" w:after="0"/>
              <w:jc w:val="right"/>
              <w:rPr>
                <w:sz w:val="10"/>
                <w:szCs w:val="10"/>
              </w:rPr>
            </w:pPr>
            <w:r>
              <w:rPr>
                <w:noProof/>
                <w:sz w:val="10"/>
                <w:szCs w:val="10"/>
              </w:rPr>
              <w:t>752,00</w:t>
            </w:r>
          </w:p>
        </w:tc>
        <w:tc>
          <w:tcPr>
            <w:tcW w:w="0" w:type="auto"/>
            <w:shd w:val="clear" w:color="auto" w:fill="auto"/>
          </w:tcPr>
          <w:p w14:paraId="05026EC9" w14:textId="77777777" w:rsidR="008C5CFA" w:rsidRPr="001C4484" w:rsidRDefault="00E82A60" w:rsidP="00300A01">
            <w:pPr>
              <w:spacing w:before="0" w:after="0"/>
              <w:jc w:val="right"/>
              <w:rPr>
                <w:sz w:val="10"/>
                <w:szCs w:val="10"/>
              </w:rPr>
            </w:pPr>
            <w:r w:rsidRPr="001C4484">
              <w:rPr>
                <w:noProof/>
                <w:sz w:val="10"/>
                <w:szCs w:val="10"/>
              </w:rPr>
              <w:t>395,00</w:t>
            </w:r>
          </w:p>
        </w:tc>
        <w:tc>
          <w:tcPr>
            <w:tcW w:w="0" w:type="auto"/>
            <w:shd w:val="clear" w:color="auto" w:fill="auto"/>
          </w:tcPr>
          <w:p w14:paraId="4960BA69" w14:textId="77777777" w:rsidR="008C5CFA" w:rsidRPr="001C4484" w:rsidRDefault="00E82A60" w:rsidP="00300A01">
            <w:pPr>
              <w:spacing w:before="0" w:after="0"/>
              <w:jc w:val="right"/>
              <w:rPr>
                <w:sz w:val="10"/>
                <w:szCs w:val="10"/>
                <w:lang w:val="fr-BE"/>
              </w:rPr>
            </w:pPr>
            <w:r w:rsidRPr="001C4484">
              <w:rPr>
                <w:noProof/>
                <w:sz w:val="10"/>
                <w:szCs w:val="10"/>
              </w:rPr>
              <w:t>357,00</w:t>
            </w:r>
          </w:p>
        </w:tc>
        <w:tc>
          <w:tcPr>
            <w:tcW w:w="0" w:type="auto"/>
          </w:tcPr>
          <w:p w14:paraId="1EDC1A20" w14:textId="77777777" w:rsidR="008C5CFA" w:rsidRPr="001C4484" w:rsidRDefault="00E82A60" w:rsidP="00300A01">
            <w:pPr>
              <w:spacing w:before="0" w:after="0"/>
              <w:jc w:val="right"/>
              <w:rPr>
                <w:sz w:val="10"/>
                <w:szCs w:val="10"/>
              </w:rPr>
            </w:pPr>
            <w:r>
              <w:rPr>
                <w:noProof/>
                <w:sz w:val="10"/>
                <w:szCs w:val="10"/>
              </w:rPr>
              <w:t>1 134,00</w:t>
            </w:r>
          </w:p>
        </w:tc>
        <w:tc>
          <w:tcPr>
            <w:tcW w:w="0" w:type="auto"/>
            <w:shd w:val="clear" w:color="auto" w:fill="auto"/>
          </w:tcPr>
          <w:p w14:paraId="7CE2F824" w14:textId="77777777" w:rsidR="008C5CFA" w:rsidRPr="001C4484" w:rsidRDefault="00E82A60" w:rsidP="00300A01">
            <w:pPr>
              <w:spacing w:before="0" w:after="0"/>
              <w:jc w:val="right"/>
              <w:rPr>
                <w:sz w:val="10"/>
                <w:szCs w:val="10"/>
              </w:rPr>
            </w:pPr>
            <w:r w:rsidRPr="001C4484">
              <w:rPr>
                <w:noProof/>
                <w:sz w:val="10"/>
                <w:szCs w:val="10"/>
              </w:rPr>
              <w:t>581,00</w:t>
            </w:r>
          </w:p>
        </w:tc>
        <w:tc>
          <w:tcPr>
            <w:tcW w:w="0" w:type="auto"/>
            <w:shd w:val="clear" w:color="auto" w:fill="auto"/>
          </w:tcPr>
          <w:p w14:paraId="2A5677F6" w14:textId="77777777" w:rsidR="008C5CFA" w:rsidRPr="001C4484" w:rsidRDefault="00E82A60" w:rsidP="00300A01">
            <w:pPr>
              <w:spacing w:before="0" w:after="0"/>
              <w:jc w:val="right"/>
              <w:rPr>
                <w:sz w:val="10"/>
                <w:szCs w:val="10"/>
                <w:lang w:val="fr-BE"/>
              </w:rPr>
            </w:pPr>
            <w:r w:rsidRPr="001C4484">
              <w:rPr>
                <w:noProof/>
                <w:sz w:val="10"/>
                <w:szCs w:val="10"/>
              </w:rPr>
              <w:t>553,00</w:t>
            </w:r>
          </w:p>
        </w:tc>
        <w:tc>
          <w:tcPr>
            <w:tcW w:w="0" w:type="auto"/>
          </w:tcPr>
          <w:p w14:paraId="5244EE02" w14:textId="77777777" w:rsidR="008C5CFA" w:rsidRPr="001C4484" w:rsidRDefault="00E82A60" w:rsidP="00300A01">
            <w:pPr>
              <w:spacing w:before="0" w:after="0"/>
              <w:jc w:val="right"/>
              <w:rPr>
                <w:sz w:val="10"/>
                <w:szCs w:val="10"/>
              </w:rPr>
            </w:pPr>
            <w:r>
              <w:rPr>
                <w:noProof/>
                <w:sz w:val="10"/>
                <w:szCs w:val="10"/>
              </w:rPr>
              <w:t>918,00</w:t>
            </w:r>
          </w:p>
        </w:tc>
        <w:tc>
          <w:tcPr>
            <w:tcW w:w="0" w:type="auto"/>
            <w:shd w:val="clear" w:color="auto" w:fill="auto"/>
          </w:tcPr>
          <w:p w14:paraId="396BB42B" w14:textId="77777777" w:rsidR="008C5CFA" w:rsidRPr="001C4484" w:rsidRDefault="00E82A60" w:rsidP="00300A01">
            <w:pPr>
              <w:spacing w:before="0" w:after="0"/>
              <w:jc w:val="right"/>
              <w:rPr>
                <w:sz w:val="10"/>
                <w:szCs w:val="10"/>
              </w:rPr>
            </w:pPr>
            <w:r w:rsidRPr="001C4484">
              <w:rPr>
                <w:noProof/>
                <w:sz w:val="10"/>
                <w:szCs w:val="10"/>
              </w:rPr>
              <w:t>405,00</w:t>
            </w:r>
          </w:p>
        </w:tc>
        <w:tc>
          <w:tcPr>
            <w:tcW w:w="0" w:type="auto"/>
            <w:shd w:val="clear" w:color="auto" w:fill="auto"/>
          </w:tcPr>
          <w:p w14:paraId="73EBAF9B" w14:textId="77777777" w:rsidR="008C5CFA" w:rsidRPr="001C4484" w:rsidRDefault="00E82A60" w:rsidP="00300A01">
            <w:pPr>
              <w:spacing w:before="0" w:after="0"/>
              <w:jc w:val="right"/>
              <w:rPr>
                <w:sz w:val="10"/>
                <w:szCs w:val="10"/>
                <w:lang w:val="fr-BE"/>
              </w:rPr>
            </w:pPr>
            <w:r w:rsidRPr="001C4484">
              <w:rPr>
                <w:noProof/>
                <w:sz w:val="10"/>
                <w:szCs w:val="10"/>
              </w:rPr>
              <w:t>513,00</w:t>
            </w:r>
          </w:p>
        </w:tc>
      </w:tr>
      <w:tr w:rsidR="006B2EC1" w14:paraId="1C2C91F5" w14:textId="77777777" w:rsidTr="0047688D">
        <w:tc>
          <w:tcPr>
            <w:tcW w:w="0" w:type="auto"/>
            <w:shd w:val="clear" w:color="auto" w:fill="auto"/>
          </w:tcPr>
          <w:p w14:paraId="6E02424D" w14:textId="77777777" w:rsidR="008C5CFA" w:rsidRPr="001C4484" w:rsidRDefault="00E82A60" w:rsidP="00300A01">
            <w:pPr>
              <w:spacing w:before="0" w:after="0"/>
              <w:rPr>
                <w:sz w:val="10"/>
                <w:szCs w:val="10"/>
                <w:lang w:val="fr-BE"/>
              </w:rPr>
            </w:pPr>
            <w:r w:rsidRPr="001C4484">
              <w:rPr>
                <w:noProof/>
                <w:sz w:val="10"/>
                <w:szCs w:val="10"/>
                <w:lang w:val="fr-BE"/>
              </w:rPr>
              <w:t>CO20</w:t>
            </w:r>
          </w:p>
        </w:tc>
        <w:tc>
          <w:tcPr>
            <w:tcW w:w="0" w:type="auto"/>
            <w:shd w:val="clear" w:color="auto" w:fill="auto"/>
          </w:tcPr>
          <w:p w14:paraId="67B6794F" w14:textId="77777777" w:rsidR="008C5CFA" w:rsidRPr="001C4484" w:rsidRDefault="00E82A60" w:rsidP="00300A01">
            <w:pPr>
              <w:spacing w:before="0" w:after="0"/>
              <w:rPr>
                <w:sz w:val="10"/>
                <w:szCs w:val="10"/>
                <w:lang w:val="fr-BE"/>
              </w:rPr>
            </w:pPr>
            <w:r w:rsidRPr="001C4484">
              <w:rPr>
                <w:noProof/>
                <w:sz w:val="10"/>
                <w:szCs w:val="10"/>
                <w:lang w:val="fr-BE"/>
              </w:rPr>
              <w:t>liczba projektów zrealizowanych w pełni lub częściowo przez partnerów społecznych lub organizacje pozarządowe</w:t>
            </w:r>
          </w:p>
        </w:tc>
        <w:tc>
          <w:tcPr>
            <w:tcW w:w="0" w:type="auto"/>
            <w:shd w:val="clear" w:color="auto" w:fill="auto"/>
          </w:tcPr>
          <w:p w14:paraId="5E58B6EC"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0C6E52CE"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7F6B5EDB" w14:textId="77777777" w:rsidR="008C5CFA" w:rsidRPr="001C4484" w:rsidRDefault="008C5CFA" w:rsidP="00300A01">
            <w:pPr>
              <w:spacing w:before="0" w:after="0"/>
              <w:jc w:val="right"/>
              <w:rPr>
                <w:sz w:val="10"/>
                <w:szCs w:val="10"/>
              </w:rPr>
            </w:pPr>
          </w:p>
        </w:tc>
        <w:tc>
          <w:tcPr>
            <w:tcW w:w="0" w:type="auto"/>
            <w:shd w:val="clear" w:color="auto" w:fill="auto"/>
          </w:tcPr>
          <w:p w14:paraId="5522F656" w14:textId="77777777" w:rsidR="008C5CFA" w:rsidRPr="001C4484" w:rsidRDefault="008C5CFA" w:rsidP="00300A01">
            <w:pPr>
              <w:spacing w:before="0" w:after="0"/>
              <w:jc w:val="right"/>
              <w:rPr>
                <w:sz w:val="10"/>
                <w:szCs w:val="10"/>
                <w:lang w:val="fr-BE"/>
              </w:rPr>
            </w:pPr>
          </w:p>
        </w:tc>
        <w:tc>
          <w:tcPr>
            <w:tcW w:w="0" w:type="auto"/>
          </w:tcPr>
          <w:p w14:paraId="395127F8" w14:textId="77777777" w:rsidR="008C5CFA" w:rsidRPr="001C4484" w:rsidRDefault="00E82A60" w:rsidP="00300A01">
            <w:pPr>
              <w:spacing w:before="0" w:after="0"/>
              <w:jc w:val="right"/>
              <w:rPr>
                <w:sz w:val="10"/>
                <w:szCs w:val="10"/>
              </w:rPr>
            </w:pPr>
            <w:r>
              <w:rPr>
                <w:noProof/>
                <w:sz w:val="10"/>
                <w:szCs w:val="10"/>
              </w:rPr>
              <w:t>3,00</w:t>
            </w:r>
          </w:p>
        </w:tc>
        <w:tc>
          <w:tcPr>
            <w:tcW w:w="0" w:type="auto"/>
            <w:shd w:val="clear" w:color="auto" w:fill="auto"/>
          </w:tcPr>
          <w:p w14:paraId="7977300E" w14:textId="77777777" w:rsidR="008C5CFA" w:rsidRPr="001C4484" w:rsidRDefault="008C5CFA" w:rsidP="00300A01">
            <w:pPr>
              <w:spacing w:before="0" w:after="0"/>
              <w:jc w:val="right"/>
              <w:rPr>
                <w:sz w:val="10"/>
                <w:szCs w:val="10"/>
              </w:rPr>
            </w:pPr>
          </w:p>
        </w:tc>
        <w:tc>
          <w:tcPr>
            <w:tcW w:w="0" w:type="auto"/>
            <w:shd w:val="clear" w:color="auto" w:fill="auto"/>
          </w:tcPr>
          <w:p w14:paraId="6C7B768E" w14:textId="77777777" w:rsidR="008C5CFA" w:rsidRPr="001C4484" w:rsidRDefault="008C5CFA" w:rsidP="00300A01">
            <w:pPr>
              <w:spacing w:before="0" w:after="0"/>
              <w:jc w:val="right"/>
              <w:rPr>
                <w:sz w:val="10"/>
                <w:szCs w:val="10"/>
                <w:lang w:val="fr-BE"/>
              </w:rPr>
            </w:pPr>
          </w:p>
        </w:tc>
        <w:tc>
          <w:tcPr>
            <w:tcW w:w="0" w:type="auto"/>
          </w:tcPr>
          <w:p w14:paraId="57800DF6" w14:textId="77777777" w:rsidR="008C5CFA" w:rsidRPr="001C4484" w:rsidRDefault="00E82A60" w:rsidP="00300A01">
            <w:pPr>
              <w:spacing w:before="0" w:after="0"/>
              <w:jc w:val="right"/>
              <w:rPr>
                <w:sz w:val="10"/>
                <w:szCs w:val="10"/>
              </w:rPr>
            </w:pPr>
            <w:r>
              <w:rPr>
                <w:noProof/>
                <w:sz w:val="10"/>
                <w:szCs w:val="10"/>
              </w:rPr>
              <w:t>2,00</w:t>
            </w:r>
          </w:p>
        </w:tc>
        <w:tc>
          <w:tcPr>
            <w:tcW w:w="0" w:type="auto"/>
            <w:shd w:val="clear" w:color="auto" w:fill="auto"/>
          </w:tcPr>
          <w:p w14:paraId="66A47141" w14:textId="77777777" w:rsidR="008C5CFA" w:rsidRPr="001C4484" w:rsidRDefault="008C5CFA" w:rsidP="00300A01">
            <w:pPr>
              <w:spacing w:before="0" w:after="0"/>
              <w:jc w:val="right"/>
              <w:rPr>
                <w:sz w:val="10"/>
                <w:szCs w:val="10"/>
              </w:rPr>
            </w:pPr>
          </w:p>
        </w:tc>
        <w:tc>
          <w:tcPr>
            <w:tcW w:w="0" w:type="auto"/>
            <w:shd w:val="clear" w:color="auto" w:fill="auto"/>
          </w:tcPr>
          <w:p w14:paraId="4D99B11D" w14:textId="77777777" w:rsidR="008C5CFA" w:rsidRPr="001C4484" w:rsidRDefault="008C5CFA" w:rsidP="00300A01">
            <w:pPr>
              <w:spacing w:before="0" w:after="0"/>
              <w:jc w:val="right"/>
              <w:rPr>
                <w:sz w:val="10"/>
                <w:szCs w:val="10"/>
                <w:lang w:val="fr-BE"/>
              </w:rPr>
            </w:pPr>
          </w:p>
        </w:tc>
      </w:tr>
      <w:tr w:rsidR="006B2EC1" w14:paraId="6EFDF342" w14:textId="77777777" w:rsidTr="0047688D">
        <w:tc>
          <w:tcPr>
            <w:tcW w:w="0" w:type="auto"/>
            <w:shd w:val="clear" w:color="auto" w:fill="auto"/>
          </w:tcPr>
          <w:p w14:paraId="74E83779" w14:textId="77777777" w:rsidR="008C5CFA" w:rsidRPr="001C4484" w:rsidRDefault="00E82A60" w:rsidP="00300A01">
            <w:pPr>
              <w:spacing w:before="0" w:after="0"/>
              <w:rPr>
                <w:sz w:val="10"/>
                <w:szCs w:val="10"/>
                <w:lang w:val="fr-BE"/>
              </w:rPr>
            </w:pPr>
            <w:r w:rsidRPr="001C4484">
              <w:rPr>
                <w:noProof/>
                <w:sz w:val="10"/>
                <w:szCs w:val="10"/>
                <w:lang w:val="fr-BE"/>
              </w:rPr>
              <w:t>CO21</w:t>
            </w:r>
          </w:p>
        </w:tc>
        <w:tc>
          <w:tcPr>
            <w:tcW w:w="0" w:type="auto"/>
            <w:shd w:val="clear" w:color="auto" w:fill="auto"/>
          </w:tcPr>
          <w:p w14:paraId="0BA50423" w14:textId="77777777" w:rsidR="008C5CFA" w:rsidRPr="001C4484" w:rsidRDefault="00E82A60" w:rsidP="00300A01">
            <w:pPr>
              <w:spacing w:before="0" w:after="0"/>
              <w:rPr>
                <w:sz w:val="10"/>
                <w:szCs w:val="10"/>
                <w:lang w:val="fr-BE"/>
              </w:rPr>
            </w:pPr>
            <w:r w:rsidRPr="001C4484">
              <w:rPr>
                <w:noProof/>
                <w:sz w:val="10"/>
                <w:szCs w:val="10"/>
                <w:lang w:val="fr-BE"/>
              </w:rPr>
              <w:t>liczba projektów ukierunkowanych na trwały udział kobiet w zatrudnieniu i rozwój ich kariery zawodowej</w:t>
            </w:r>
          </w:p>
        </w:tc>
        <w:tc>
          <w:tcPr>
            <w:tcW w:w="0" w:type="auto"/>
            <w:shd w:val="clear" w:color="auto" w:fill="auto"/>
          </w:tcPr>
          <w:p w14:paraId="549C6AD6"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0FBB6F75"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24AF9B92" w14:textId="77777777" w:rsidR="008C5CFA" w:rsidRPr="001C4484" w:rsidRDefault="008C5CFA" w:rsidP="00300A01">
            <w:pPr>
              <w:spacing w:before="0" w:after="0"/>
              <w:jc w:val="right"/>
              <w:rPr>
                <w:sz w:val="10"/>
                <w:szCs w:val="10"/>
              </w:rPr>
            </w:pPr>
          </w:p>
        </w:tc>
        <w:tc>
          <w:tcPr>
            <w:tcW w:w="0" w:type="auto"/>
            <w:shd w:val="clear" w:color="auto" w:fill="auto"/>
          </w:tcPr>
          <w:p w14:paraId="7FEFEF20" w14:textId="77777777" w:rsidR="008C5CFA" w:rsidRPr="001C4484" w:rsidRDefault="008C5CFA" w:rsidP="00300A01">
            <w:pPr>
              <w:spacing w:before="0" w:after="0"/>
              <w:jc w:val="right"/>
              <w:rPr>
                <w:sz w:val="10"/>
                <w:szCs w:val="10"/>
                <w:lang w:val="fr-BE"/>
              </w:rPr>
            </w:pPr>
          </w:p>
        </w:tc>
        <w:tc>
          <w:tcPr>
            <w:tcW w:w="0" w:type="auto"/>
          </w:tcPr>
          <w:p w14:paraId="32B59C95" w14:textId="77777777" w:rsidR="008C5CFA" w:rsidRPr="001C4484" w:rsidRDefault="00E82A60" w:rsidP="00300A01">
            <w:pPr>
              <w:spacing w:before="0" w:after="0"/>
              <w:jc w:val="right"/>
              <w:rPr>
                <w:sz w:val="10"/>
                <w:szCs w:val="10"/>
              </w:rPr>
            </w:pPr>
            <w:r>
              <w:rPr>
                <w:noProof/>
                <w:sz w:val="10"/>
                <w:szCs w:val="10"/>
              </w:rPr>
              <w:t>1,00</w:t>
            </w:r>
          </w:p>
        </w:tc>
        <w:tc>
          <w:tcPr>
            <w:tcW w:w="0" w:type="auto"/>
            <w:shd w:val="clear" w:color="auto" w:fill="auto"/>
          </w:tcPr>
          <w:p w14:paraId="7C44C0A4" w14:textId="77777777" w:rsidR="008C5CFA" w:rsidRPr="001C4484" w:rsidRDefault="008C5CFA" w:rsidP="00300A01">
            <w:pPr>
              <w:spacing w:before="0" w:after="0"/>
              <w:jc w:val="right"/>
              <w:rPr>
                <w:sz w:val="10"/>
                <w:szCs w:val="10"/>
              </w:rPr>
            </w:pPr>
          </w:p>
        </w:tc>
        <w:tc>
          <w:tcPr>
            <w:tcW w:w="0" w:type="auto"/>
            <w:shd w:val="clear" w:color="auto" w:fill="auto"/>
          </w:tcPr>
          <w:p w14:paraId="749F3C7A" w14:textId="77777777" w:rsidR="008C5CFA" w:rsidRPr="001C4484" w:rsidRDefault="008C5CFA" w:rsidP="00300A01">
            <w:pPr>
              <w:spacing w:before="0" w:after="0"/>
              <w:jc w:val="right"/>
              <w:rPr>
                <w:sz w:val="10"/>
                <w:szCs w:val="10"/>
                <w:lang w:val="fr-BE"/>
              </w:rPr>
            </w:pPr>
          </w:p>
        </w:tc>
        <w:tc>
          <w:tcPr>
            <w:tcW w:w="0" w:type="auto"/>
          </w:tcPr>
          <w:p w14:paraId="1BDFF98D" w14:textId="77777777" w:rsidR="008C5CFA" w:rsidRPr="001C4484" w:rsidRDefault="00E82A60" w:rsidP="00300A01">
            <w:pPr>
              <w:spacing w:before="0" w:after="0"/>
              <w:jc w:val="right"/>
              <w:rPr>
                <w:sz w:val="10"/>
                <w:szCs w:val="10"/>
              </w:rPr>
            </w:pPr>
            <w:r>
              <w:rPr>
                <w:noProof/>
                <w:sz w:val="10"/>
                <w:szCs w:val="10"/>
              </w:rPr>
              <w:t>5,00</w:t>
            </w:r>
          </w:p>
        </w:tc>
        <w:tc>
          <w:tcPr>
            <w:tcW w:w="0" w:type="auto"/>
            <w:shd w:val="clear" w:color="auto" w:fill="auto"/>
          </w:tcPr>
          <w:p w14:paraId="7A7558FB" w14:textId="77777777" w:rsidR="008C5CFA" w:rsidRPr="001C4484" w:rsidRDefault="008C5CFA" w:rsidP="00300A01">
            <w:pPr>
              <w:spacing w:before="0" w:after="0"/>
              <w:jc w:val="right"/>
              <w:rPr>
                <w:sz w:val="10"/>
                <w:szCs w:val="10"/>
              </w:rPr>
            </w:pPr>
          </w:p>
        </w:tc>
        <w:tc>
          <w:tcPr>
            <w:tcW w:w="0" w:type="auto"/>
            <w:shd w:val="clear" w:color="auto" w:fill="auto"/>
          </w:tcPr>
          <w:p w14:paraId="02E38F52" w14:textId="77777777" w:rsidR="008C5CFA" w:rsidRPr="001C4484" w:rsidRDefault="008C5CFA" w:rsidP="00300A01">
            <w:pPr>
              <w:spacing w:before="0" w:after="0"/>
              <w:jc w:val="right"/>
              <w:rPr>
                <w:sz w:val="10"/>
                <w:szCs w:val="10"/>
                <w:lang w:val="fr-BE"/>
              </w:rPr>
            </w:pPr>
          </w:p>
        </w:tc>
      </w:tr>
      <w:tr w:rsidR="006B2EC1" w14:paraId="20AA9620" w14:textId="77777777" w:rsidTr="0047688D">
        <w:tc>
          <w:tcPr>
            <w:tcW w:w="0" w:type="auto"/>
            <w:shd w:val="clear" w:color="auto" w:fill="auto"/>
          </w:tcPr>
          <w:p w14:paraId="1F6A2D35" w14:textId="77777777" w:rsidR="008C5CFA" w:rsidRPr="001C4484" w:rsidRDefault="00E82A60" w:rsidP="00300A01">
            <w:pPr>
              <w:spacing w:before="0" w:after="0"/>
              <w:rPr>
                <w:sz w:val="10"/>
                <w:szCs w:val="10"/>
                <w:lang w:val="fr-BE"/>
              </w:rPr>
            </w:pPr>
            <w:r w:rsidRPr="001C4484">
              <w:rPr>
                <w:noProof/>
                <w:sz w:val="10"/>
                <w:szCs w:val="10"/>
                <w:lang w:val="fr-BE"/>
              </w:rPr>
              <w:t>CO22</w:t>
            </w:r>
          </w:p>
        </w:tc>
        <w:tc>
          <w:tcPr>
            <w:tcW w:w="0" w:type="auto"/>
            <w:shd w:val="clear" w:color="auto" w:fill="auto"/>
          </w:tcPr>
          <w:p w14:paraId="475508F8" w14:textId="77777777" w:rsidR="008C5CFA" w:rsidRPr="001C4484" w:rsidRDefault="00E82A60" w:rsidP="00300A01">
            <w:pPr>
              <w:spacing w:before="0" w:after="0"/>
              <w:rPr>
                <w:sz w:val="10"/>
                <w:szCs w:val="10"/>
                <w:lang w:val="fr-BE"/>
              </w:rPr>
            </w:pPr>
            <w:r w:rsidRPr="001C4484">
              <w:rPr>
                <w:noProof/>
                <w:sz w:val="10"/>
                <w:szCs w:val="10"/>
                <w:lang w:val="fr-BE"/>
              </w:rPr>
              <w:t>liczba projektów obejmujących administrację publiczną lub służby publiczne na szczeblu krajowym, regionalnym lub lokalnym</w:t>
            </w:r>
          </w:p>
        </w:tc>
        <w:tc>
          <w:tcPr>
            <w:tcW w:w="0" w:type="auto"/>
            <w:shd w:val="clear" w:color="auto" w:fill="auto"/>
          </w:tcPr>
          <w:p w14:paraId="2445ED35"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29A9DF4D"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74E846AA" w14:textId="77777777" w:rsidR="008C5CFA" w:rsidRPr="001C4484" w:rsidRDefault="008C5CFA" w:rsidP="00300A01">
            <w:pPr>
              <w:spacing w:before="0" w:after="0"/>
              <w:jc w:val="right"/>
              <w:rPr>
                <w:sz w:val="10"/>
                <w:szCs w:val="10"/>
              </w:rPr>
            </w:pPr>
          </w:p>
        </w:tc>
        <w:tc>
          <w:tcPr>
            <w:tcW w:w="0" w:type="auto"/>
            <w:shd w:val="clear" w:color="auto" w:fill="auto"/>
          </w:tcPr>
          <w:p w14:paraId="0DEBE2B8" w14:textId="77777777" w:rsidR="008C5CFA" w:rsidRPr="001C4484" w:rsidRDefault="008C5CFA" w:rsidP="00300A01">
            <w:pPr>
              <w:spacing w:before="0" w:after="0"/>
              <w:jc w:val="right"/>
              <w:rPr>
                <w:sz w:val="10"/>
                <w:szCs w:val="10"/>
                <w:lang w:val="fr-BE"/>
              </w:rPr>
            </w:pPr>
          </w:p>
        </w:tc>
        <w:tc>
          <w:tcPr>
            <w:tcW w:w="0" w:type="auto"/>
          </w:tcPr>
          <w:p w14:paraId="2D65632B"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259A368C" w14:textId="77777777" w:rsidR="008C5CFA" w:rsidRPr="001C4484" w:rsidRDefault="008C5CFA" w:rsidP="00300A01">
            <w:pPr>
              <w:spacing w:before="0" w:after="0"/>
              <w:jc w:val="right"/>
              <w:rPr>
                <w:sz w:val="10"/>
                <w:szCs w:val="10"/>
              </w:rPr>
            </w:pPr>
          </w:p>
        </w:tc>
        <w:tc>
          <w:tcPr>
            <w:tcW w:w="0" w:type="auto"/>
            <w:shd w:val="clear" w:color="auto" w:fill="auto"/>
          </w:tcPr>
          <w:p w14:paraId="282B6F1B" w14:textId="77777777" w:rsidR="008C5CFA" w:rsidRPr="001C4484" w:rsidRDefault="008C5CFA" w:rsidP="00300A01">
            <w:pPr>
              <w:spacing w:before="0" w:after="0"/>
              <w:jc w:val="right"/>
              <w:rPr>
                <w:sz w:val="10"/>
                <w:szCs w:val="10"/>
                <w:lang w:val="fr-BE"/>
              </w:rPr>
            </w:pPr>
          </w:p>
        </w:tc>
        <w:tc>
          <w:tcPr>
            <w:tcW w:w="0" w:type="auto"/>
          </w:tcPr>
          <w:p w14:paraId="255214E9"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58F8E7AA" w14:textId="77777777" w:rsidR="008C5CFA" w:rsidRPr="001C4484" w:rsidRDefault="008C5CFA" w:rsidP="00300A01">
            <w:pPr>
              <w:spacing w:before="0" w:after="0"/>
              <w:jc w:val="right"/>
              <w:rPr>
                <w:sz w:val="10"/>
                <w:szCs w:val="10"/>
              </w:rPr>
            </w:pPr>
          </w:p>
        </w:tc>
        <w:tc>
          <w:tcPr>
            <w:tcW w:w="0" w:type="auto"/>
            <w:shd w:val="clear" w:color="auto" w:fill="auto"/>
          </w:tcPr>
          <w:p w14:paraId="5FDC475D" w14:textId="77777777" w:rsidR="008C5CFA" w:rsidRPr="001C4484" w:rsidRDefault="008C5CFA" w:rsidP="00300A01">
            <w:pPr>
              <w:spacing w:before="0" w:after="0"/>
              <w:jc w:val="right"/>
              <w:rPr>
                <w:sz w:val="10"/>
                <w:szCs w:val="10"/>
                <w:lang w:val="fr-BE"/>
              </w:rPr>
            </w:pPr>
          </w:p>
        </w:tc>
      </w:tr>
      <w:tr w:rsidR="006B2EC1" w14:paraId="5EC22F0B" w14:textId="77777777" w:rsidTr="0047688D">
        <w:tc>
          <w:tcPr>
            <w:tcW w:w="0" w:type="auto"/>
            <w:shd w:val="clear" w:color="auto" w:fill="auto"/>
          </w:tcPr>
          <w:p w14:paraId="4B4E0D36" w14:textId="77777777" w:rsidR="008C5CFA" w:rsidRPr="001C4484" w:rsidRDefault="00E82A60" w:rsidP="00300A01">
            <w:pPr>
              <w:spacing w:before="0" w:after="0"/>
              <w:rPr>
                <w:sz w:val="10"/>
                <w:szCs w:val="10"/>
                <w:lang w:val="fr-BE"/>
              </w:rPr>
            </w:pPr>
            <w:r w:rsidRPr="001C4484">
              <w:rPr>
                <w:noProof/>
                <w:sz w:val="10"/>
                <w:szCs w:val="10"/>
                <w:lang w:val="fr-BE"/>
              </w:rPr>
              <w:t>CO23</w:t>
            </w:r>
          </w:p>
        </w:tc>
        <w:tc>
          <w:tcPr>
            <w:tcW w:w="0" w:type="auto"/>
            <w:shd w:val="clear" w:color="auto" w:fill="auto"/>
          </w:tcPr>
          <w:p w14:paraId="0C5DA451" w14:textId="77777777" w:rsidR="008C5CFA" w:rsidRPr="001C4484" w:rsidRDefault="00E82A60" w:rsidP="00300A01">
            <w:pPr>
              <w:spacing w:before="0" w:after="0"/>
              <w:rPr>
                <w:sz w:val="10"/>
                <w:szCs w:val="10"/>
                <w:lang w:val="fr-BE"/>
              </w:rPr>
            </w:pPr>
            <w:r w:rsidRPr="001C4484">
              <w:rPr>
                <w:noProof/>
                <w:sz w:val="10"/>
                <w:szCs w:val="10"/>
                <w:lang w:val="fr-BE"/>
              </w:rPr>
              <w:t>liczba objętych wsparciem mikro-, małych i średnich przedsiębiorstw (w tym przedsiębiorstw spółdzielczych i przedsiębiorstw gospodarki społecznej)</w:t>
            </w:r>
          </w:p>
        </w:tc>
        <w:tc>
          <w:tcPr>
            <w:tcW w:w="0" w:type="auto"/>
            <w:shd w:val="clear" w:color="auto" w:fill="auto"/>
          </w:tcPr>
          <w:p w14:paraId="7F7566C7"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55F4D8B4"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2D2A4756" w14:textId="77777777" w:rsidR="008C5CFA" w:rsidRPr="001C4484" w:rsidRDefault="008C5CFA" w:rsidP="00300A01">
            <w:pPr>
              <w:spacing w:before="0" w:after="0"/>
              <w:jc w:val="right"/>
              <w:rPr>
                <w:sz w:val="10"/>
                <w:szCs w:val="10"/>
              </w:rPr>
            </w:pPr>
          </w:p>
        </w:tc>
        <w:tc>
          <w:tcPr>
            <w:tcW w:w="0" w:type="auto"/>
            <w:shd w:val="clear" w:color="auto" w:fill="auto"/>
          </w:tcPr>
          <w:p w14:paraId="49FF6ED5" w14:textId="77777777" w:rsidR="008C5CFA" w:rsidRPr="001C4484" w:rsidRDefault="008C5CFA" w:rsidP="00300A01">
            <w:pPr>
              <w:spacing w:before="0" w:after="0"/>
              <w:jc w:val="right"/>
              <w:rPr>
                <w:sz w:val="10"/>
                <w:szCs w:val="10"/>
                <w:lang w:val="fr-BE"/>
              </w:rPr>
            </w:pPr>
          </w:p>
        </w:tc>
        <w:tc>
          <w:tcPr>
            <w:tcW w:w="0" w:type="auto"/>
          </w:tcPr>
          <w:p w14:paraId="674BAAE2"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5CE78135" w14:textId="77777777" w:rsidR="008C5CFA" w:rsidRPr="001C4484" w:rsidRDefault="008C5CFA" w:rsidP="00300A01">
            <w:pPr>
              <w:spacing w:before="0" w:after="0"/>
              <w:jc w:val="right"/>
              <w:rPr>
                <w:sz w:val="10"/>
                <w:szCs w:val="10"/>
              </w:rPr>
            </w:pPr>
          </w:p>
        </w:tc>
        <w:tc>
          <w:tcPr>
            <w:tcW w:w="0" w:type="auto"/>
            <w:shd w:val="clear" w:color="auto" w:fill="auto"/>
          </w:tcPr>
          <w:p w14:paraId="3854B7AE" w14:textId="77777777" w:rsidR="008C5CFA" w:rsidRPr="001C4484" w:rsidRDefault="008C5CFA" w:rsidP="00300A01">
            <w:pPr>
              <w:spacing w:before="0" w:after="0"/>
              <w:jc w:val="right"/>
              <w:rPr>
                <w:sz w:val="10"/>
                <w:szCs w:val="10"/>
                <w:lang w:val="fr-BE"/>
              </w:rPr>
            </w:pPr>
          </w:p>
        </w:tc>
        <w:tc>
          <w:tcPr>
            <w:tcW w:w="0" w:type="auto"/>
          </w:tcPr>
          <w:p w14:paraId="2517577E"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0B8448FB" w14:textId="77777777" w:rsidR="008C5CFA" w:rsidRPr="001C4484" w:rsidRDefault="008C5CFA" w:rsidP="00300A01">
            <w:pPr>
              <w:spacing w:before="0" w:after="0"/>
              <w:jc w:val="right"/>
              <w:rPr>
                <w:sz w:val="10"/>
                <w:szCs w:val="10"/>
              </w:rPr>
            </w:pPr>
          </w:p>
        </w:tc>
        <w:tc>
          <w:tcPr>
            <w:tcW w:w="0" w:type="auto"/>
            <w:shd w:val="clear" w:color="auto" w:fill="auto"/>
          </w:tcPr>
          <w:p w14:paraId="6CF06E3E" w14:textId="77777777" w:rsidR="008C5CFA" w:rsidRPr="001C4484" w:rsidRDefault="008C5CFA" w:rsidP="00300A01">
            <w:pPr>
              <w:spacing w:before="0" w:after="0"/>
              <w:jc w:val="right"/>
              <w:rPr>
                <w:sz w:val="10"/>
                <w:szCs w:val="10"/>
                <w:lang w:val="fr-BE"/>
              </w:rPr>
            </w:pPr>
          </w:p>
        </w:tc>
      </w:tr>
      <w:tr w:rsidR="006B2EC1" w14:paraId="28846F5C" w14:textId="77777777" w:rsidTr="0047688D">
        <w:tc>
          <w:tcPr>
            <w:tcW w:w="0" w:type="auto"/>
            <w:shd w:val="clear" w:color="auto" w:fill="auto"/>
          </w:tcPr>
          <w:p w14:paraId="5A938FD6" w14:textId="77777777" w:rsidR="008C5CFA" w:rsidRPr="001C4484" w:rsidRDefault="008C5CFA" w:rsidP="00300A01">
            <w:pPr>
              <w:spacing w:before="0" w:after="0"/>
              <w:rPr>
                <w:sz w:val="10"/>
                <w:szCs w:val="10"/>
                <w:lang w:val="fr-BE"/>
              </w:rPr>
            </w:pPr>
          </w:p>
        </w:tc>
        <w:tc>
          <w:tcPr>
            <w:tcW w:w="0" w:type="auto"/>
            <w:shd w:val="clear" w:color="auto" w:fill="auto"/>
          </w:tcPr>
          <w:p w14:paraId="6A01F296" w14:textId="77777777" w:rsidR="008C5CFA" w:rsidRPr="001C4484" w:rsidRDefault="00E82A60" w:rsidP="00300A01">
            <w:pPr>
              <w:spacing w:before="0" w:after="0"/>
              <w:rPr>
                <w:sz w:val="10"/>
                <w:szCs w:val="10"/>
                <w:lang w:val="fr-BE"/>
              </w:rPr>
            </w:pPr>
            <w:r w:rsidRPr="001C4484">
              <w:rPr>
                <w:noProof/>
                <w:sz w:val="10"/>
                <w:szCs w:val="10"/>
                <w:lang w:val="fr-BE"/>
              </w:rPr>
              <w:t>Całkowita łączna liczba uczestników</w:t>
            </w:r>
          </w:p>
        </w:tc>
        <w:tc>
          <w:tcPr>
            <w:tcW w:w="0" w:type="auto"/>
            <w:shd w:val="clear" w:color="auto" w:fill="auto"/>
          </w:tcPr>
          <w:p w14:paraId="67C44945" w14:textId="77777777" w:rsidR="008C5CFA" w:rsidRPr="001C4484" w:rsidRDefault="008C5CFA" w:rsidP="00300A01">
            <w:pPr>
              <w:spacing w:before="0" w:after="0"/>
              <w:rPr>
                <w:sz w:val="10"/>
                <w:szCs w:val="10"/>
                <w:lang w:val="fr-BE"/>
              </w:rPr>
            </w:pPr>
          </w:p>
        </w:tc>
        <w:tc>
          <w:tcPr>
            <w:tcW w:w="0" w:type="auto"/>
          </w:tcPr>
          <w:p w14:paraId="703BC1AB" w14:textId="77777777" w:rsidR="008C5CFA" w:rsidRPr="001C4484" w:rsidRDefault="00E82A60" w:rsidP="00300A01">
            <w:pPr>
              <w:spacing w:before="0" w:after="0"/>
              <w:jc w:val="right"/>
              <w:rPr>
                <w:sz w:val="10"/>
                <w:szCs w:val="10"/>
              </w:rPr>
            </w:pPr>
            <w:r>
              <w:rPr>
                <w:noProof/>
                <w:sz w:val="10"/>
                <w:szCs w:val="10"/>
              </w:rPr>
              <w:t>935,00</w:t>
            </w:r>
          </w:p>
        </w:tc>
        <w:tc>
          <w:tcPr>
            <w:tcW w:w="0" w:type="auto"/>
            <w:shd w:val="clear" w:color="auto" w:fill="auto"/>
          </w:tcPr>
          <w:p w14:paraId="3F81A2A6" w14:textId="77777777" w:rsidR="008C5CFA" w:rsidRPr="001C4484" w:rsidRDefault="008C5CFA" w:rsidP="00300A01">
            <w:pPr>
              <w:spacing w:before="0" w:after="0"/>
              <w:jc w:val="right"/>
              <w:rPr>
                <w:sz w:val="10"/>
                <w:szCs w:val="10"/>
              </w:rPr>
            </w:pPr>
          </w:p>
        </w:tc>
        <w:tc>
          <w:tcPr>
            <w:tcW w:w="0" w:type="auto"/>
            <w:shd w:val="clear" w:color="auto" w:fill="auto"/>
          </w:tcPr>
          <w:p w14:paraId="6B4998F0" w14:textId="77777777" w:rsidR="008C5CFA" w:rsidRPr="001C4484" w:rsidRDefault="008C5CFA" w:rsidP="00300A01">
            <w:pPr>
              <w:spacing w:before="0" w:after="0"/>
              <w:jc w:val="right"/>
              <w:rPr>
                <w:sz w:val="10"/>
                <w:szCs w:val="10"/>
                <w:lang w:val="fr-BE"/>
              </w:rPr>
            </w:pPr>
          </w:p>
        </w:tc>
        <w:tc>
          <w:tcPr>
            <w:tcW w:w="0" w:type="auto"/>
          </w:tcPr>
          <w:p w14:paraId="017D18D7" w14:textId="77777777" w:rsidR="008C5CFA" w:rsidRPr="001C4484" w:rsidRDefault="00E82A60" w:rsidP="00300A01">
            <w:pPr>
              <w:spacing w:before="0" w:after="0"/>
              <w:jc w:val="right"/>
              <w:rPr>
                <w:sz w:val="10"/>
                <w:szCs w:val="10"/>
              </w:rPr>
            </w:pPr>
            <w:r>
              <w:rPr>
                <w:noProof/>
                <w:sz w:val="10"/>
                <w:szCs w:val="10"/>
              </w:rPr>
              <w:t>1 767,00</w:t>
            </w:r>
          </w:p>
        </w:tc>
        <w:tc>
          <w:tcPr>
            <w:tcW w:w="0" w:type="auto"/>
            <w:shd w:val="clear" w:color="auto" w:fill="auto"/>
          </w:tcPr>
          <w:p w14:paraId="372EA814" w14:textId="77777777" w:rsidR="008C5CFA" w:rsidRPr="001C4484" w:rsidRDefault="008C5CFA" w:rsidP="00300A01">
            <w:pPr>
              <w:spacing w:before="0" w:after="0"/>
              <w:jc w:val="right"/>
              <w:rPr>
                <w:sz w:val="10"/>
                <w:szCs w:val="10"/>
              </w:rPr>
            </w:pPr>
          </w:p>
        </w:tc>
        <w:tc>
          <w:tcPr>
            <w:tcW w:w="0" w:type="auto"/>
            <w:shd w:val="clear" w:color="auto" w:fill="auto"/>
          </w:tcPr>
          <w:p w14:paraId="13F2D50C" w14:textId="77777777" w:rsidR="008C5CFA" w:rsidRPr="001C4484" w:rsidRDefault="008C5CFA" w:rsidP="00300A01">
            <w:pPr>
              <w:spacing w:before="0" w:after="0"/>
              <w:jc w:val="right"/>
              <w:rPr>
                <w:sz w:val="10"/>
                <w:szCs w:val="10"/>
                <w:lang w:val="fr-BE"/>
              </w:rPr>
            </w:pPr>
          </w:p>
        </w:tc>
        <w:tc>
          <w:tcPr>
            <w:tcW w:w="0" w:type="auto"/>
          </w:tcPr>
          <w:p w14:paraId="65E3DAC4" w14:textId="77777777" w:rsidR="008C5CFA" w:rsidRPr="001C4484" w:rsidRDefault="00E82A60" w:rsidP="00300A01">
            <w:pPr>
              <w:spacing w:before="0" w:after="0"/>
              <w:jc w:val="right"/>
              <w:rPr>
                <w:sz w:val="10"/>
                <w:szCs w:val="10"/>
              </w:rPr>
            </w:pPr>
            <w:r>
              <w:rPr>
                <w:noProof/>
                <w:sz w:val="10"/>
                <w:szCs w:val="10"/>
              </w:rPr>
              <w:t>1 639,00</w:t>
            </w:r>
          </w:p>
        </w:tc>
        <w:tc>
          <w:tcPr>
            <w:tcW w:w="0" w:type="auto"/>
            <w:shd w:val="clear" w:color="auto" w:fill="auto"/>
          </w:tcPr>
          <w:p w14:paraId="714C6DE3" w14:textId="77777777" w:rsidR="008C5CFA" w:rsidRPr="001C4484" w:rsidRDefault="008C5CFA" w:rsidP="00300A01">
            <w:pPr>
              <w:spacing w:before="0" w:after="0"/>
              <w:jc w:val="right"/>
              <w:rPr>
                <w:sz w:val="10"/>
                <w:szCs w:val="10"/>
              </w:rPr>
            </w:pPr>
          </w:p>
        </w:tc>
        <w:tc>
          <w:tcPr>
            <w:tcW w:w="0" w:type="auto"/>
            <w:shd w:val="clear" w:color="auto" w:fill="auto"/>
          </w:tcPr>
          <w:p w14:paraId="1C2091C2" w14:textId="77777777" w:rsidR="008C5CFA" w:rsidRPr="001C4484" w:rsidRDefault="008C5CFA" w:rsidP="00300A01">
            <w:pPr>
              <w:spacing w:before="0" w:after="0"/>
              <w:jc w:val="right"/>
              <w:rPr>
                <w:sz w:val="10"/>
                <w:szCs w:val="10"/>
                <w:lang w:val="fr-BE"/>
              </w:rPr>
            </w:pPr>
          </w:p>
        </w:tc>
      </w:tr>
    </w:tbl>
    <w:p w14:paraId="7BB0D284"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514"/>
        <w:gridCol w:w="8970"/>
        <w:gridCol w:w="1534"/>
        <w:gridCol w:w="638"/>
        <w:gridCol w:w="807"/>
        <w:gridCol w:w="638"/>
        <w:gridCol w:w="638"/>
        <w:gridCol w:w="807"/>
        <w:gridCol w:w="638"/>
      </w:tblGrid>
      <w:tr w:rsidR="006B2EC1" w14:paraId="0DFA325B" w14:textId="77777777" w:rsidTr="0047688D">
        <w:tc>
          <w:tcPr>
            <w:tcW w:w="0" w:type="auto"/>
            <w:shd w:val="clear" w:color="auto" w:fill="auto"/>
          </w:tcPr>
          <w:p w14:paraId="498917B3" w14:textId="77777777" w:rsidR="008C5CFA" w:rsidRPr="001C4484" w:rsidRDefault="00E82A60" w:rsidP="00300A01">
            <w:pPr>
              <w:spacing w:before="0" w:after="0"/>
              <w:rPr>
                <w:sz w:val="10"/>
                <w:szCs w:val="10"/>
              </w:rPr>
            </w:pPr>
            <w:r w:rsidRPr="001C4484">
              <w:rPr>
                <w:b/>
                <w:noProof/>
                <w:sz w:val="12"/>
                <w:szCs w:val="12"/>
                <w:lang w:val="fr-BE"/>
              </w:rPr>
              <w:t>ID</w:t>
            </w:r>
          </w:p>
        </w:tc>
        <w:tc>
          <w:tcPr>
            <w:tcW w:w="0" w:type="auto"/>
            <w:shd w:val="clear" w:color="auto" w:fill="auto"/>
          </w:tcPr>
          <w:p w14:paraId="2B5F10B6" w14:textId="77777777" w:rsidR="008C5CFA" w:rsidRPr="001C4484" w:rsidRDefault="00E82A60" w:rsidP="00300A01">
            <w:pPr>
              <w:spacing w:before="0" w:after="0"/>
              <w:rPr>
                <w:sz w:val="10"/>
                <w:szCs w:val="10"/>
              </w:rPr>
            </w:pPr>
            <w:r w:rsidRPr="001C4484">
              <w:rPr>
                <w:b/>
                <w:noProof/>
                <w:sz w:val="12"/>
                <w:szCs w:val="12"/>
                <w:lang w:val="fr-BE"/>
              </w:rPr>
              <w:t>Wskaźnik</w:t>
            </w:r>
          </w:p>
        </w:tc>
        <w:tc>
          <w:tcPr>
            <w:tcW w:w="0" w:type="auto"/>
            <w:shd w:val="clear" w:color="auto" w:fill="auto"/>
          </w:tcPr>
          <w:p w14:paraId="7910D20F" w14:textId="77777777" w:rsidR="008C5CFA" w:rsidRPr="001C4484" w:rsidRDefault="00E82A60" w:rsidP="00300A01">
            <w:pPr>
              <w:spacing w:before="0" w:after="0"/>
              <w:rPr>
                <w:sz w:val="10"/>
                <w:szCs w:val="10"/>
              </w:rPr>
            </w:pPr>
            <w:r w:rsidRPr="001C4484">
              <w:rPr>
                <w:b/>
                <w:noProof/>
                <w:sz w:val="12"/>
                <w:szCs w:val="12"/>
                <w:lang w:val="fr-BE"/>
              </w:rPr>
              <w:t>Kategoria regionu</w:t>
            </w:r>
          </w:p>
        </w:tc>
        <w:tc>
          <w:tcPr>
            <w:tcW w:w="0" w:type="auto"/>
            <w:gridSpan w:val="3"/>
          </w:tcPr>
          <w:p w14:paraId="15576F48" w14:textId="77777777" w:rsidR="008C5CFA" w:rsidRPr="001C4484" w:rsidRDefault="00E82A60" w:rsidP="00300A01">
            <w:pPr>
              <w:spacing w:before="0" w:after="0"/>
              <w:jc w:val="center"/>
              <w:rPr>
                <w:sz w:val="10"/>
                <w:szCs w:val="10"/>
              </w:rPr>
            </w:pPr>
            <w:r w:rsidRPr="001C4484">
              <w:rPr>
                <w:sz w:val="10"/>
                <w:szCs w:val="10"/>
              </w:rPr>
              <w:t>2015</w:t>
            </w:r>
          </w:p>
        </w:tc>
        <w:tc>
          <w:tcPr>
            <w:tcW w:w="0" w:type="auto"/>
            <w:gridSpan w:val="3"/>
          </w:tcPr>
          <w:p w14:paraId="5654CAF0" w14:textId="77777777" w:rsidR="008C5CFA" w:rsidRPr="001C4484" w:rsidRDefault="00E82A60" w:rsidP="00300A01">
            <w:pPr>
              <w:spacing w:before="0" w:after="0"/>
              <w:jc w:val="center"/>
              <w:rPr>
                <w:sz w:val="10"/>
                <w:szCs w:val="10"/>
              </w:rPr>
            </w:pPr>
            <w:r w:rsidRPr="001C4484">
              <w:rPr>
                <w:sz w:val="10"/>
                <w:szCs w:val="10"/>
              </w:rPr>
              <w:t>2014</w:t>
            </w:r>
          </w:p>
        </w:tc>
      </w:tr>
      <w:tr w:rsidR="006B2EC1" w14:paraId="030BBCA8" w14:textId="77777777" w:rsidTr="0047688D">
        <w:tc>
          <w:tcPr>
            <w:tcW w:w="0" w:type="auto"/>
            <w:shd w:val="clear" w:color="auto" w:fill="auto"/>
          </w:tcPr>
          <w:p w14:paraId="526A8661" w14:textId="77777777" w:rsidR="008C5CFA" w:rsidRPr="001C4484" w:rsidRDefault="008C5CFA" w:rsidP="00300A01">
            <w:pPr>
              <w:spacing w:before="0" w:after="0"/>
              <w:rPr>
                <w:sz w:val="10"/>
                <w:szCs w:val="10"/>
              </w:rPr>
            </w:pPr>
          </w:p>
        </w:tc>
        <w:tc>
          <w:tcPr>
            <w:tcW w:w="0" w:type="auto"/>
            <w:shd w:val="clear" w:color="auto" w:fill="auto"/>
          </w:tcPr>
          <w:p w14:paraId="5BB20F5A" w14:textId="77777777" w:rsidR="008C5CFA" w:rsidRPr="001C4484" w:rsidRDefault="008C5CFA" w:rsidP="00300A01">
            <w:pPr>
              <w:spacing w:before="0" w:after="0"/>
              <w:rPr>
                <w:sz w:val="10"/>
                <w:szCs w:val="10"/>
              </w:rPr>
            </w:pPr>
          </w:p>
        </w:tc>
        <w:tc>
          <w:tcPr>
            <w:tcW w:w="0" w:type="auto"/>
            <w:shd w:val="clear" w:color="auto" w:fill="auto"/>
          </w:tcPr>
          <w:p w14:paraId="5903E0E9" w14:textId="77777777" w:rsidR="008C5CFA" w:rsidRPr="001C4484" w:rsidRDefault="008C5CFA" w:rsidP="00300A01">
            <w:pPr>
              <w:spacing w:before="0" w:after="0"/>
              <w:rPr>
                <w:sz w:val="10"/>
                <w:szCs w:val="10"/>
              </w:rPr>
            </w:pPr>
          </w:p>
        </w:tc>
        <w:tc>
          <w:tcPr>
            <w:tcW w:w="0" w:type="auto"/>
          </w:tcPr>
          <w:p w14:paraId="04D83618" w14:textId="77777777" w:rsidR="008C5CFA" w:rsidRPr="001C4484" w:rsidRDefault="00E82A60" w:rsidP="00300A01">
            <w:pPr>
              <w:spacing w:before="0" w:after="0"/>
              <w:jc w:val="center"/>
              <w:rPr>
                <w:sz w:val="10"/>
                <w:szCs w:val="10"/>
              </w:rPr>
            </w:pPr>
            <w:r>
              <w:rPr>
                <w:noProof/>
                <w:sz w:val="10"/>
                <w:szCs w:val="10"/>
              </w:rPr>
              <w:t>Ogółem</w:t>
            </w:r>
          </w:p>
        </w:tc>
        <w:tc>
          <w:tcPr>
            <w:tcW w:w="0" w:type="auto"/>
            <w:shd w:val="clear" w:color="auto" w:fill="auto"/>
          </w:tcPr>
          <w:p w14:paraId="759FFC53" w14:textId="77777777" w:rsidR="008C5CFA" w:rsidRPr="001C4484" w:rsidRDefault="00E82A60" w:rsidP="00300A01">
            <w:pPr>
              <w:spacing w:before="0" w:after="0"/>
              <w:jc w:val="center"/>
              <w:rPr>
                <w:sz w:val="10"/>
                <w:szCs w:val="10"/>
              </w:rPr>
            </w:pPr>
            <w:r w:rsidRPr="001C4484">
              <w:rPr>
                <w:noProof/>
                <w:sz w:val="10"/>
                <w:szCs w:val="10"/>
              </w:rPr>
              <w:t>Mężczyźni</w:t>
            </w:r>
          </w:p>
        </w:tc>
        <w:tc>
          <w:tcPr>
            <w:tcW w:w="0" w:type="auto"/>
            <w:shd w:val="clear" w:color="auto" w:fill="auto"/>
          </w:tcPr>
          <w:p w14:paraId="159FF28B" w14:textId="77777777" w:rsidR="008C5CFA" w:rsidRPr="001C4484" w:rsidRDefault="00E82A60" w:rsidP="00300A01">
            <w:pPr>
              <w:spacing w:before="0" w:after="0"/>
              <w:jc w:val="center"/>
              <w:rPr>
                <w:sz w:val="10"/>
                <w:szCs w:val="10"/>
              </w:rPr>
            </w:pPr>
            <w:r w:rsidRPr="001C4484">
              <w:rPr>
                <w:noProof/>
                <w:sz w:val="10"/>
                <w:szCs w:val="10"/>
              </w:rPr>
              <w:t>Kobiety</w:t>
            </w:r>
          </w:p>
        </w:tc>
        <w:tc>
          <w:tcPr>
            <w:tcW w:w="0" w:type="auto"/>
          </w:tcPr>
          <w:p w14:paraId="342871AC" w14:textId="77777777" w:rsidR="008C5CFA" w:rsidRPr="001C4484" w:rsidRDefault="00E82A60" w:rsidP="00300A01">
            <w:pPr>
              <w:spacing w:before="0" w:after="0"/>
              <w:jc w:val="center"/>
              <w:rPr>
                <w:sz w:val="10"/>
                <w:szCs w:val="10"/>
              </w:rPr>
            </w:pPr>
            <w:r>
              <w:rPr>
                <w:noProof/>
                <w:sz w:val="10"/>
                <w:szCs w:val="10"/>
              </w:rPr>
              <w:t>Ogółem</w:t>
            </w:r>
          </w:p>
        </w:tc>
        <w:tc>
          <w:tcPr>
            <w:tcW w:w="0" w:type="auto"/>
            <w:shd w:val="clear" w:color="auto" w:fill="auto"/>
          </w:tcPr>
          <w:p w14:paraId="0E9DAFA6" w14:textId="77777777" w:rsidR="008C5CFA" w:rsidRPr="001C4484" w:rsidRDefault="00E82A60" w:rsidP="00300A01">
            <w:pPr>
              <w:spacing w:before="0" w:after="0"/>
              <w:jc w:val="center"/>
              <w:rPr>
                <w:sz w:val="10"/>
                <w:szCs w:val="10"/>
              </w:rPr>
            </w:pPr>
            <w:r w:rsidRPr="001C4484">
              <w:rPr>
                <w:noProof/>
                <w:sz w:val="10"/>
                <w:szCs w:val="10"/>
              </w:rPr>
              <w:t>Mężczyźni</w:t>
            </w:r>
          </w:p>
        </w:tc>
        <w:tc>
          <w:tcPr>
            <w:tcW w:w="0" w:type="auto"/>
            <w:shd w:val="clear" w:color="auto" w:fill="auto"/>
          </w:tcPr>
          <w:p w14:paraId="526836D0" w14:textId="77777777" w:rsidR="008C5CFA" w:rsidRPr="001C4484" w:rsidRDefault="00E82A60" w:rsidP="00300A01">
            <w:pPr>
              <w:spacing w:before="0" w:after="0"/>
              <w:jc w:val="center"/>
              <w:rPr>
                <w:sz w:val="10"/>
                <w:szCs w:val="10"/>
              </w:rPr>
            </w:pPr>
            <w:r w:rsidRPr="001C4484">
              <w:rPr>
                <w:noProof/>
                <w:sz w:val="10"/>
                <w:szCs w:val="10"/>
              </w:rPr>
              <w:t>Kobiety</w:t>
            </w:r>
          </w:p>
        </w:tc>
      </w:tr>
      <w:tr w:rsidR="006B2EC1" w14:paraId="3EB8ECE0" w14:textId="77777777" w:rsidTr="0047688D">
        <w:tc>
          <w:tcPr>
            <w:tcW w:w="0" w:type="auto"/>
            <w:shd w:val="clear" w:color="auto" w:fill="auto"/>
          </w:tcPr>
          <w:p w14:paraId="74512C81" w14:textId="77777777" w:rsidR="008C5CFA" w:rsidRPr="001C4484" w:rsidRDefault="00E82A60" w:rsidP="00300A01">
            <w:pPr>
              <w:spacing w:before="0" w:after="0"/>
              <w:rPr>
                <w:sz w:val="10"/>
                <w:szCs w:val="10"/>
                <w:lang w:val="fr-BE"/>
              </w:rPr>
            </w:pPr>
            <w:r w:rsidRPr="001C4484">
              <w:rPr>
                <w:noProof/>
                <w:sz w:val="10"/>
                <w:szCs w:val="10"/>
                <w:lang w:val="fr-BE"/>
              </w:rPr>
              <w:t>CO01</w:t>
            </w:r>
          </w:p>
        </w:tc>
        <w:tc>
          <w:tcPr>
            <w:tcW w:w="0" w:type="auto"/>
            <w:shd w:val="clear" w:color="auto" w:fill="auto"/>
          </w:tcPr>
          <w:p w14:paraId="692548E6" w14:textId="77777777" w:rsidR="008C5CFA" w:rsidRPr="001C4484" w:rsidRDefault="00E82A60" w:rsidP="00300A01">
            <w:pPr>
              <w:spacing w:before="0" w:after="0"/>
              <w:rPr>
                <w:sz w:val="10"/>
                <w:szCs w:val="10"/>
                <w:lang w:val="fr-BE"/>
              </w:rPr>
            </w:pPr>
            <w:r w:rsidRPr="001C4484">
              <w:rPr>
                <w:noProof/>
                <w:sz w:val="10"/>
                <w:szCs w:val="10"/>
                <w:lang w:val="fr-BE"/>
              </w:rPr>
              <w:t>bezrobotni, w tym długotrwale bezrobotni</w:t>
            </w:r>
          </w:p>
        </w:tc>
        <w:tc>
          <w:tcPr>
            <w:tcW w:w="0" w:type="auto"/>
            <w:shd w:val="clear" w:color="auto" w:fill="auto"/>
          </w:tcPr>
          <w:p w14:paraId="566A9005"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5124024E"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6D795927"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635E1FCE" w14:textId="77777777" w:rsidR="008C5CFA" w:rsidRPr="001C4484" w:rsidRDefault="00E82A60" w:rsidP="00300A01">
            <w:pPr>
              <w:spacing w:before="0" w:after="0"/>
              <w:jc w:val="right"/>
              <w:rPr>
                <w:sz w:val="10"/>
                <w:szCs w:val="10"/>
                <w:lang w:val="fr-BE"/>
              </w:rPr>
            </w:pPr>
            <w:r w:rsidRPr="001C4484">
              <w:rPr>
                <w:noProof/>
                <w:sz w:val="10"/>
                <w:szCs w:val="10"/>
              </w:rPr>
              <w:t>0,00</w:t>
            </w:r>
          </w:p>
        </w:tc>
        <w:tc>
          <w:tcPr>
            <w:tcW w:w="0" w:type="auto"/>
          </w:tcPr>
          <w:p w14:paraId="2CF71EBE"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1F6330FF"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3B5B7589" w14:textId="77777777" w:rsidR="008C5CFA" w:rsidRPr="001C4484" w:rsidRDefault="00E82A60" w:rsidP="00300A01">
            <w:pPr>
              <w:spacing w:before="0" w:after="0"/>
              <w:jc w:val="right"/>
              <w:rPr>
                <w:sz w:val="10"/>
                <w:szCs w:val="10"/>
                <w:lang w:val="fr-BE"/>
              </w:rPr>
            </w:pPr>
            <w:r w:rsidRPr="001C4484">
              <w:rPr>
                <w:noProof/>
                <w:sz w:val="10"/>
                <w:szCs w:val="10"/>
                <w:lang w:val="fr-BE"/>
              </w:rPr>
              <w:t>0,00</w:t>
            </w:r>
          </w:p>
        </w:tc>
      </w:tr>
      <w:tr w:rsidR="006B2EC1" w14:paraId="0EF3738F" w14:textId="77777777" w:rsidTr="0047688D">
        <w:tc>
          <w:tcPr>
            <w:tcW w:w="0" w:type="auto"/>
            <w:shd w:val="clear" w:color="auto" w:fill="auto"/>
          </w:tcPr>
          <w:p w14:paraId="57641AA0" w14:textId="77777777" w:rsidR="008C5CFA" w:rsidRPr="001C4484" w:rsidRDefault="00E82A60" w:rsidP="00300A01">
            <w:pPr>
              <w:spacing w:before="0" w:after="0"/>
              <w:rPr>
                <w:sz w:val="10"/>
                <w:szCs w:val="10"/>
                <w:lang w:val="fr-BE"/>
              </w:rPr>
            </w:pPr>
            <w:r w:rsidRPr="001C4484">
              <w:rPr>
                <w:noProof/>
                <w:sz w:val="10"/>
                <w:szCs w:val="10"/>
                <w:lang w:val="fr-BE"/>
              </w:rPr>
              <w:t>CO02</w:t>
            </w:r>
          </w:p>
        </w:tc>
        <w:tc>
          <w:tcPr>
            <w:tcW w:w="0" w:type="auto"/>
            <w:shd w:val="clear" w:color="auto" w:fill="auto"/>
          </w:tcPr>
          <w:p w14:paraId="365E5061" w14:textId="77777777" w:rsidR="008C5CFA" w:rsidRPr="001C4484" w:rsidRDefault="00E82A60" w:rsidP="00300A01">
            <w:pPr>
              <w:spacing w:before="0" w:after="0"/>
              <w:rPr>
                <w:sz w:val="10"/>
                <w:szCs w:val="10"/>
                <w:lang w:val="fr-BE"/>
              </w:rPr>
            </w:pPr>
            <w:r w:rsidRPr="001C4484">
              <w:rPr>
                <w:noProof/>
                <w:sz w:val="10"/>
                <w:szCs w:val="10"/>
                <w:lang w:val="fr-BE"/>
              </w:rPr>
              <w:t>długotrwale bezrobotni</w:t>
            </w:r>
          </w:p>
        </w:tc>
        <w:tc>
          <w:tcPr>
            <w:tcW w:w="0" w:type="auto"/>
            <w:shd w:val="clear" w:color="auto" w:fill="auto"/>
          </w:tcPr>
          <w:p w14:paraId="5B3E746D"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0605559D"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15B21D9D"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6D26BEA3" w14:textId="77777777" w:rsidR="008C5CFA" w:rsidRPr="001C4484" w:rsidRDefault="00E82A60" w:rsidP="00300A01">
            <w:pPr>
              <w:spacing w:before="0" w:after="0"/>
              <w:jc w:val="right"/>
              <w:rPr>
                <w:sz w:val="10"/>
                <w:szCs w:val="10"/>
                <w:lang w:val="fr-BE"/>
              </w:rPr>
            </w:pPr>
            <w:r w:rsidRPr="001C4484">
              <w:rPr>
                <w:noProof/>
                <w:sz w:val="10"/>
                <w:szCs w:val="10"/>
              </w:rPr>
              <w:t>0,00</w:t>
            </w:r>
          </w:p>
        </w:tc>
        <w:tc>
          <w:tcPr>
            <w:tcW w:w="0" w:type="auto"/>
          </w:tcPr>
          <w:p w14:paraId="026C72AC"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1577E2EA"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3348E7DA" w14:textId="77777777" w:rsidR="008C5CFA" w:rsidRPr="001C4484" w:rsidRDefault="00E82A60" w:rsidP="00300A01">
            <w:pPr>
              <w:spacing w:before="0" w:after="0"/>
              <w:jc w:val="right"/>
              <w:rPr>
                <w:sz w:val="10"/>
                <w:szCs w:val="10"/>
                <w:lang w:val="fr-BE"/>
              </w:rPr>
            </w:pPr>
            <w:r w:rsidRPr="001C4484">
              <w:rPr>
                <w:noProof/>
                <w:sz w:val="10"/>
                <w:szCs w:val="10"/>
                <w:lang w:val="fr-BE"/>
              </w:rPr>
              <w:t>0,00</w:t>
            </w:r>
          </w:p>
        </w:tc>
      </w:tr>
      <w:tr w:rsidR="006B2EC1" w14:paraId="389FE08F" w14:textId="77777777" w:rsidTr="0047688D">
        <w:tc>
          <w:tcPr>
            <w:tcW w:w="0" w:type="auto"/>
            <w:shd w:val="clear" w:color="auto" w:fill="auto"/>
          </w:tcPr>
          <w:p w14:paraId="2CA4F4DD" w14:textId="77777777" w:rsidR="008C5CFA" w:rsidRPr="001C4484" w:rsidRDefault="00E82A60" w:rsidP="00300A01">
            <w:pPr>
              <w:spacing w:before="0" w:after="0"/>
              <w:rPr>
                <w:sz w:val="10"/>
                <w:szCs w:val="10"/>
                <w:lang w:val="fr-BE"/>
              </w:rPr>
            </w:pPr>
            <w:r w:rsidRPr="001C4484">
              <w:rPr>
                <w:noProof/>
                <w:sz w:val="10"/>
                <w:szCs w:val="10"/>
                <w:lang w:val="fr-BE"/>
              </w:rPr>
              <w:t>CO03</w:t>
            </w:r>
          </w:p>
        </w:tc>
        <w:tc>
          <w:tcPr>
            <w:tcW w:w="0" w:type="auto"/>
            <w:shd w:val="clear" w:color="auto" w:fill="auto"/>
          </w:tcPr>
          <w:p w14:paraId="4F5299CD" w14:textId="77777777" w:rsidR="008C5CFA" w:rsidRPr="001C4484" w:rsidRDefault="00E82A60" w:rsidP="00300A01">
            <w:pPr>
              <w:spacing w:before="0" w:after="0"/>
              <w:rPr>
                <w:sz w:val="10"/>
                <w:szCs w:val="10"/>
                <w:lang w:val="fr-BE"/>
              </w:rPr>
            </w:pPr>
            <w:r w:rsidRPr="001C4484">
              <w:rPr>
                <w:noProof/>
                <w:sz w:val="10"/>
                <w:szCs w:val="10"/>
                <w:lang w:val="fr-BE"/>
              </w:rPr>
              <w:t>osoby bierne zawodowo</w:t>
            </w:r>
          </w:p>
        </w:tc>
        <w:tc>
          <w:tcPr>
            <w:tcW w:w="0" w:type="auto"/>
            <w:shd w:val="clear" w:color="auto" w:fill="auto"/>
          </w:tcPr>
          <w:p w14:paraId="2EE32D4F"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5C4DEF63"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34E591F1"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661C9062" w14:textId="77777777" w:rsidR="008C5CFA" w:rsidRPr="001C4484" w:rsidRDefault="00E82A60" w:rsidP="00300A01">
            <w:pPr>
              <w:spacing w:before="0" w:after="0"/>
              <w:jc w:val="right"/>
              <w:rPr>
                <w:sz w:val="10"/>
                <w:szCs w:val="10"/>
                <w:lang w:val="fr-BE"/>
              </w:rPr>
            </w:pPr>
            <w:r w:rsidRPr="001C4484">
              <w:rPr>
                <w:noProof/>
                <w:sz w:val="10"/>
                <w:szCs w:val="10"/>
              </w:rPr>
              <w:t>0,00</w:t>
            </w:r>
          </w:p>
        </w:tc>
        <w:tc>
          <w:tcPr>
            <w:tcW w:w="0" w:type="auto"/>
          </w:tcPr>
          <w:p w14:paraId="70DBE487"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3EDB0295"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72FEEB90" w14:textId="77777777" w:rsidR="008C5CFA" w:rsidRPr="001C4484" w:rsidRDefault="00E82A60" w:rsidP="00300A01">
            <w:pPr>
              <w:spacing w:before="0" w:after="0"/>
              <w:jc w:val="right"/>
              <w:rPr>
                <w:sz w:val="10"/>
                <w:szCs w:val="10"/>
                <w:lang w:val="fr-BE"/>
              </w:rPr>
            </w:pPr>
            <w:r w:rsidRPr="001C4484">
              <w:rPr>
                <w:noProof/>
                <w:sz w:val="10"/>
                <w:szCs w:val="10"/>
                <w:lang w:val="fr-BE"/>
              </w:rPr>
              <w:t>0,00</w:t>
            </w:r>
          </w:p>
        </w:tc>
      </w:tr>
      <w:tr w:rsidR="006B2EC1" w14:paraId="66BD1A5F" w14:textId="77777777" w:rsidTr="0047688D">
        <w:tc>
          <w:tcPr>
            <w:tcW w:w="0" w:type="auto"/>
            <w:shd w:val="clear" w:color="auto" w:fill="auto"/>
          </w:tcPr>
          <w:p w14:paraId="6876A17E" w14:textId="77777777" w:rsidR="008C5CFA" w:rsidRPr="001C4484" w:rsidRDefault="00E82A60" w:rsidP="00300A01">
            <w:pPr>
              <w:spacing w:before="0" w:after="0"/>
              <w:rPr>
                <w:sz w:val="10"/>
                <w:szCs w:val="10"/>
                <w:lang w:val="fr-BE"/>
              </w:rPr>
            </w:pPr>
            <w:r w:rsidRPr="001C4484">
              <w:rPr>
                <w:noProof/>
                <w:sz w:val="10"/>
                <w:szCs w:val="10"/>
                <w:lang w:val="fr-BE"/>
              </w:rPr>
              <w:t>CO04</w:t>
            </w:r>
          </w:p>
        </w:tc>
        <w:tc>
          <w:tcPr>
            <w:tcW w:w="0" w:type="auto"/>
            <w:shd w:val="clear" w:color="auto" w:fill="auto"/>
          </w:tcPr>
          <w:p w14:paraId="2A1E4CEB" w14:textId="77777777" w:rsidR="008C5CFA" w:rsidRPr="001C4484" w:rsidRDefault="00E82A60" w:rsidP="00300A01">
            <w:pPr>
              <w:spacing w:before="0" w:after="0"/>
              <w:rPr>
                <w:sz w:val="10"/>
                <w:szCs w:val="10"/>
                <w:lang w:val="fr-BE"/>
              </w:rPr>
            </w:pPr>
            <w:r w:rsidRPr="001C4484">
              <w:rPr>
                <w:noProof/>
                <w:sz w:val="10"/>
                <w:szCs w:val="10"/>
                <w:lang w:val="fr-BE"/>
              </w:rPr>
              <w:t>osoby bierne zawodowo, nieuczestniczące w kształceniu ani szkoleniu</w:t>
            </w:r>
          </w:p>
        </w:tc>
        <w:tc>
          <w:tcPr>
            <w:tcW w:w="0" w:type="auto"/>
            <w:shd w:val="clear" w:color="auto" w:fill="auto"/>
          </w:tcPr>
          <w:p w14:paraId="6779ADA8"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42080183"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482EE59E"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4A2BAEDF" w14:textId="77777777" w:rsidR="008C5CFA" w:rsidRPr="001C4484" w:rsidRDefault="00E82A60" w:rsidP="00300A01">
            <w:pPr>
              <w:spacing w:before="0" w:after="0"/>
              <w:jc w:val="right"/>
              <w:rPr>
                <w:sz w:val="10"/>
                <w:szCs w:val="10"/>
                <w:lang w:val="fr-BE"/>
              </w:rPr>
            </w:pPr>
            <w:r w:rsidRPr="001C4484">
              <w:rPr>
                <w:noProof/>
                <w:sz w:val="10"/>
                <w:szCs w:val="10"/>
              </w:rPr>
              <w:t>0,00</w:t>
            </w:r>
          </w:p>
        </w:tc>
        <w:tc>
          <w:tcPr>
            <w:tcW w:w="0" w:type="auto"/>
          </w:tcPr>
          <w:p w14:paraId="08E07E00"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274E8970"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0AFB5373" w14:textId="77777777" w:rsidR="008C5CFA" w:rsidRPr="001C4484" w:rsidRDefault="00E82A60" w:rsidP="00300A01">
            <w:pPr>
              <w:spacing w:before="0" w:after="0"/>
              <w:jc w:val="right"/>
              <w:rPr>
                <w:sz w:val="10"/>
                <w:szCs w:val="10"/>
                <w:lang w:val="fr-BE"/>
              </w:rPr>
            </w:pPr>
            <w:r w:rsidRPr="001C4484">
              <w:rPr>
                <w:noProof/>
                <w:sz w:val="10"/>
                <w:szCs w:val="10"/>
                <w:lang w:val="fr-BE"/>
              </w:rPr>
              <w:t>0,00</w:t>
            </w:r>
          </w:p>
        </w:tc>
      </w:tr>
      <w:tr w:rsidR="006B2EC1" w14:paraId="47D33F82" w14:textId="77777777" w:rsidTr="0047688D">
        <w:tc>
          <w:tcPr>
            <w:tcW w:w="0" w:type="auto"/>
            <w:shd w:val="clear" w:color="auto" w:fill="auto"/>
          </w:tcPr>
          <w:p w14:paraId="7FA9A62B" w14:textId="77777777" w:rsidR="008C5CFA" w:rsidRPr="001C4484" w:rsidRDefault="00E82A60" w:rsidP="00300A01">
            <w:pPr>
              <w:spacing w:before="0" w:after="0"/>
              <w:rPr>
                <w:sz w:val="10"/>
                <w:szCs w:val="10"/>
                <w:lang w:val="fr-BE"/>
              </w:rPr>
            </w:pPr>
            <w:r w:rsidRPr="001C4484">
              <w:rPr>
                <w:noProof/>
                <w:sz w:val="10"/>
                <w:szCs w:val="10"/>
                <w:lang w:val="fr-BE"/>
              </w:rPr>
              <w:t>CO05</w:t>
            </w:r>
          </w:p>
        </w:tc>
        <w:tc>
          <w:tcPr>
            <w:tcW w:w="0" w:type="auto"/>
            <w:shd w:val="clear" w:color="auto" w:fill="auto"/>
          </w:tcPr>
          <w:p w14:paraId="2A58C2E6" w14:textId="77777777" w:rsidR="008C5CFA" w:rsidRPr="001C4484" w:rsidRDefault="00E82A60" w:rsidP="00300A01">
            <w:pPr>
              <w:spacing w:before="0" w:after="0"/>
              <w:rPr>
                <w:sz w:val="10"/>
                <w:szCs w:val="10"/>
                <w:lang w:val="fr-BE"/>
              </w:rPr>
            </w:pPr>
            <w:r w:rsidRPr="001C4484">
              <w:rPr>
                <w:noProof/>
                <w:sz w:val="10"/>
                <w:szCs w:val="10"/>
                <w:lang w:val="fr-BE"/>
              </w:rPr>
              <w:t>osoby pracujące, łącznie z prowadzącymi działalność na własny rachunek</w:t>
            </w:r>
          </w:p>
        </w:tc>
        <w:tc>
          <w:tcPr>
            <w:tcW w:w="0" w:type="auto"/>
            <w:shd w:val="clear" w:color="auto" w:fill="auto"/>
          </w:tcPr>
          <w:p w14:paraId="2A39AE06"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01D5E610"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05E7AB0A"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23994D18" w14:textId="77777777" w:rsidR="008C5CFA" w:rsidRPr="001C4484" w:rsidRDefault="00E82A60" w:rsidP="00300A01">
            <w:pPr>
              <w:spacing w:before="0" w:after="0"/>
              <w:jc w:val="right"/>
              <w:rPr>
                <w:sz w:val="10"/>
                <w:szCs w:val="10"/>
                <w:lang w:val="fr-BE"/>
              </w:rPr>
            </w:pPr>
            <w:r w:rsidRPr="001C4484">
              <w:rPr>
                <w:noProof/>
                <w:sz w:val="10"/>
                <w:szCs w:val="10"/>
              </w:rPr>
              <w:t>0,00</w:t>
            </w:r>
          </w:p>
        </w:tc>
        <w:tc>
          <w:tcPr>
            <w:tcW w:w="0" w:type="auto"/>
          </w:tcPr>
          <w:p w14:paraId="4B2F4D80"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70BD1681"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211543B5" w14:textId="77777777" w:rsidR="008C5CFA" w:rsidRPr="001C4484" w:rsidRDefault="00E82A60" w:rsidP="00300A01">
            <w:pPr>
              <w:spacing w:before="0" w:after="0"/>
              <w:jc w:val="right"/>
              <w:rPr>
                <w:sz w:val="10"/>
                <w:szCs w:val="10"/>
                <w:lang w:val="fr-BE"/>
              </w:rPr>
            </w:pPr>
            <w:r w:rsidRPr="001C4484">
              <w:rPr>
                <w:noProof/>
                <w:sz w:val="10"/>
                <w:szCs w:val="10"/>
                <w:lang w:val="fr-BE"/>
              </w:rPr>
              <w:t>0,00</w:t>
            </w:r>
          </w:p>
        </w:tc>
      </w:tr>
      <w:tr w:rsidR="006B2EC1" w14:paraId="44A2DDEA" w14:textId="77777777" w:rsidTr="0047688D">
        <w:tc>
          <w:tcPr>
            <w:tcW w:w="0" w:type="auto"/>
            <w:shd w:val="clear" w:color="auto" w:fill="auto"/>
          </w:tcPr>
          <w:p w14:paraId="0E384661" w14:textId="77777777" w:rsidR="008C5CFA" w:rsidRPr="001C4484" w:rsidRDefault="00E82A60" w:rsidP="00300A01">
            <w:pPr>
              <w:spacing w:before="0" w:after="0"/>
              <w:rPr>
                <w:sz w:val="10"/>
                <w:szCs w:val="10"/>
                <w:lang w:val="fr-BE"/>
              </w:rPr>
            </w:pPr>
            <w:r w:rsidRPr="001C4484">
              <w:rPr>
                <w:noProof/>
                <w:sz w:val="10"/>
                <w:szCs w:val="10"/>
                <w:lang w:val="fr-BE"/>
              </w:rPr>
              <w:t>CO06</w:t>
            </w:r>
          </w:p>
        </w:tc>
        <w:tc>
          <w:tcPr>
            <w:tcW w:w="0" w:type="auto"/>
            <w:shd w:val="clear" w:color="auto" w:fill="auto"/>
          </w:tcPr>
          <w:p w14:paraId="1FF0BD26" w14:textId="77777777" w:rsidR="008C5CFA" w:rsidRPr="001C4484" w:rsidRDefault="00E82A60" w:rsidP="00300A01">
            <w:pPr>
              <w:spacing w:before="0" w:after="0"/>
              <w:rPr>
                <w:sz w:val="10"/>
                <w:szCs w:val="10"/>
                <w:lang w:val="fr-BE"/>
              </w:rPr>
            </w:pPr>
            <w:r w:rsidRPr="001C4484">
              <w:rPr>
                <w:noProof/>
                <w:sz w:val="10"/>
                <w:szCs w:val="10"/>
                <w:lang w:val="fr-BE"/>
              </w:rPr>
              <w:t>osoby w wieku poniżej 25 lat</w:t>
            </w:r>
          </w:p>
        </w:tc>
        <w:tc>
          <w:tcPr>
            <w:tcW w:w="0" w:type="auto"/>
            <w:shd w:val="clear" w:color="auto" w:fill="auto"/>
          </w:tcPr>
          <w:p w14:paraId="71952056"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010672AA"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6F699B21"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417123BF" w14:textId="77777777" w:rsidR="008C5CFA" w:rsidRPr="001C4484" w:rsidRDefault="00E82A60" w:rsidP="00300A01">
            <w:pPr>
              <w:spacing w:before="0" w:after="0"/>
              <w:jc w:val="right"/>
              <w:rPr>
                <w:sz w:val="10"/>
                <w:szCs w:val="10"/>
                <w:lang w:val="fr-BE"/>
              </w:rPr>
            </w:pPr>
            <w:r w:rsidRPr="001C4484">
              <w:rPr>
                <w:noProof/>
                <w:sz w:val="10"/>
                <w:szCs w:val="10"/>
              </w:rPr>
              <w:t>0,00</w:t>
            </w:r>
          </w:p>
        </w:tc>
        <w:tc>
          <w:tcPr>
            <w:tcW w:w="0" w:type="auto"/>
          </w:tcPr>
          <w:p w14:paraId="2C7524D7"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25130667"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65E95D08" w14:textId="77777777" w:rsidR="008C5CFA" w:rsidRPr="001C4484" w:rsidRDefault="00E82A60" w:rsidP="00300A01">
            <w:pPr>
              <w:spacing w:before="0" w:after="0"/>
              <w:jc w:val="right"/>
              <w:rPr>
                <w:sz w:val="10"/>
                <w:szCs w:val="10"/>
                <w:lang w:val="fr-BE"/>
              </w:rPr>
            </w:pPr>
            <w:r w:rsidRPr="001C4484">
              <w:rPr>
                <w:noProof/>
                <w:sz w:val="10"/>
                <w:szCs w:val="10"/>
                <w:lang w:val="fr-BE"/>
              </w:rPr>
              <w:t>0,00</w:t>
            </w:r>
          </w:p>
        </w:tc>
      </w:tr>
      <w:tr w:rsidR="006B2EC1" w14:paraId="3E370037" w14:textId="77777777" w:rsidTr="0047688D">
        <w:tc>
          <w:tcPr>
            <w:tcW w:w="0" w:type="auto"/>
            <w:shd w:val="clear" w:color="auto" w:fill="auto"/>
          </w:tcPr>
          <w:p w14:paraId="372823F7" w14:textId="77777777" w:rsidR="008C5CFA" w:rsidRPr="001C4484" w:rsidRDefault="00E82A60" w:rsidP="00300A01">
            <w:pPr>
              <w:spacing w:before="0" w:after="0"/>
              <w:rPr>
                <w:sz w:val="10"/>
                <w:szCs w:val="10"/>
                <w:lang w:val="fr-BE"/>
              </w:rPr>
            </w:pPr>
            <w:r w:rsidRPr="001C4484">
              <w:rPr>
                <w:noProof/>
                <w:sz w:val="10"/>
                <w:szCs w:val="10"/>
                <w:lang w:val="fr-BE"/>
              </w:rPr>
              <w:t>CO07</w:t>
            </w:r>
          </w:p>
        </w:tc>
        <w:tc>
          <w:tcPr>
            <w:tcW w:w="0" w:type="auto"/>
            <w:shd w:val="clear" w:color="auto" w:fill="auto"/>
          </w:tcPr>
          <w:p w14:paraId="19F878EC" w14:textId="77777777" w:rsidR="008C5CFA" w:rsidRPr="001C4484" w:rsidRDefault="00E82A60" w:rsidP="00300A01">
            <w:pPr>
              <w:spacing w:before="0" w:after="0"/>
              <w:rPr>
                <w:sz w:val="10"/>
                <w:szCs w:val="10"/>
                <w:lang w:val="fr-BE"/>
              </w:rPr>
            </w:pPr>
            <w:r w:rsidRPr="001C4484">
              <w:rPr>
                <w:noProof/>
                <w:sz w:val="10"/>
                <w:szCs w:val="10"/>
                <w:lang w:val="fr-BE"/>
              </w:rPr>
              <w:t>osoby w wieku powyżej 54 lat</w:t>
            </w:r>
          </w:p>
        </w:tc>
        <w:tc>
          <w:tcPr>
            <w:tcW w:w="0" w:type="auto"/>
            <w:shd w:val="clear" w:color="auto" w:fill="auto"/>
          </w:tcPr>
          <w:p w14:paraId="6C43C66E"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7F205BD9"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177097A2"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5575E8CF" w14:textId="77777777" w:rsidR="008C5CFA" w:rsidRPr="001C4484" w:rsidRDefault="00E82A60" w:rsidP="00300A01">
            <w:pPr>
              <w:spacing w:before="0" w:after="0"/>
              <w:jc w:val="right"/>
              <w:rPr>
                <w:sz w:val="10"/>
                <w:szCs w:val="10"/>
                <w:lang w:val="fr-BE"/>
              </w:rPr>
            </w:pPr>
            <w:r w:rsidRPr="001C4484">
              <w:rPr>
                <w:noProof/>
                <w:sz w:val="10"/>
                <w:szCs w:val="10"/>
              </w:rPr>
              <w:t>0,00</w:t>
            </w:r>
          </w:p>
        </w:tc>
        <w:tc>
          <w:tcPr>
            <w:tcW w:w="0" w:type="auto"/>
          </w:tcPr>
          <w:p w14:paraId="27712791"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3B079B66"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2DE17AF6" w14:textId="77777777" w:rsidR="008C5CFA" w:rsidRPr="001C4484" w:rsidRDefault="00E82A60" w:rsidP="00300A01">
            <w:pPr>
              <w:spacing w:before="0" w:after="0"/>
              <w:jc w:val="right"/>
              <w:rPr>
                <w:sz w:val="10"/>
                <w:szCs w:val="10"/>
                <w:lang w:val="fr-BE"/>
              </w:rPr>
            </w:pPr>
            <w:r w:rsidRPr="001C4484">
              <w:rPr>
                <w:noProof/>
                <w:sz w:val="10"/>
                <w:szCs w:val="10"/>
                <w:lang w:val="fr-BE"/>
              </w:rPr>
              <w:t>0,00</w:t>
            </w:r>
          </w:p>
        </w:tc>
      </w:tr>
      <w:tr w:rsidR="006B2EC1" w14:paraId="1959A7D7" w14:textId="77777777" w:rsidTr="0047688D">
        <w:tc>
          <w:tcPr>
            <w:tcW w:w="0" w:type="auto"/>
            <w:shd w:val="clear" w:color="auto" w:fill="auto"/>
          </w:tcPr>
          <w:p w14:paraId="5F101771" w14:textId="77777777" w:rsidR="008C5CFA" w:rsidRPr="001C4484" w:rsidRDefault="00E82A60" w:rsidP="00300A01">
            <w:pPr>
              <w:spacing w:before="0" w:after="0"/>
              <w:rPr>
                <w:sz w:val="10"/>
                <w:szCs w:val="10"/>
                <w:lang w:val="fr-BE"/>
              </w:rPr>
            </w:pPr>
            <w:r w:rsidRPr="001C4484">
              <w:rPr>
                <w:noProof/>
                <w:sz w:val="10"/>
                <w:szCs w:val="10"/>
                <w:lang w:val="fr-BE"/>
              </w:rPr>
              <w:t>CO08</w:t>
            </w:r>
          </w:p>
        </w:tc>
        <w:tc>
          <w:tcPr>
            <w:tcW w:w="0" w:type="auto"/>
            <w:shd w:val="clear" w:color="auto" w:fill="auto"/>
          </w:tcPr>
          <w:p w14:paraId="0760459C" w14:textId="77777777" w:rsidR="008C5CFA" w:rsidRPr="001C4484" w:rsidRDefault="00E82A60" w:rsidP="00300A01">
            <w:pPr>
              <w:spacing w:before="0" w:after="0"/>
              <w:rPr>
                <w:sz w:val="10"/>
                <w:szCs w:val="10"/>
                <w:lang w:val="fr-BE"/>
              </w:rPr>
            </w:pPr>
            <w:r w:rsidRPr="001C4484">
              <w:rPr>
                <w:noProof/>
                <w:sz w:val="10"/>
                <w:szCs w:val="10"/>
                <w:lang w:val="fr-BE"/>
              </w:rPr>
              <w:t>osoby powyżej 54 lat, które są bezrobotne, łącznie z długotrwale bezrobotnymi, lub są bierne zawodowo i nie uczestniczą w kształceniu ani szkoleniu</w:t>
            </w:r>
          </w:p>
        </w:tc>
        <w:tc>
          <w:tcPr>
            <w:tcW w:w="0" w:type="auto"/>
            <w:shd w:val="clear" w:color="auto" w:fill="auto"/>
          </w:tcPr>
          <w:p w14:paraId="135B394E"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2DB231B0"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28290A4D"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497CEBE3" w14:textId="77777777" w:rsidR="008C5CFA" w:rsidRPr="001C4484" w:rsidRDefault="00E82A60" w:rsidP="00300A01">
            <w:pPr>
              <w:spacing w:before="0" w:after="0"/>
              <w:jc w:val="right"/>
              <w:rPr>
                <w:sz w:val="10"/>
                <w:szCs w:val="10"/>
                <w:lang w:val="fr-BE"/>
              </w:rPr>
            </w:pPr>
            <w:r w:rsidRPr="001C4484">
              <w:rPr>
                <w:noProof/>
                <w:sz w:val="10"/>
                <w:szCs w:val="10"/>
              </w:rPr>
              <w:t>0,00</w:t>
            </w:r>
          </w:p>
        </w:tc>
        <w:tc>
          <w:tcPr>
            <w:tcW w:w="0" w:type="auto"/>
          </w:tcPr>
          <w:p w14:paraId="58723AFB"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314D8F05"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07747282" w14:textId="77777777" w:rsidR="008C5CFA" w:rsidRPr="001C4484" w:rsidRDefault="00E82A60" w:rsidP="00300A01">
            <w:pPr>
              <w:spacing w:before="0" w:after="0"/>
              <w:jc w:val="right"/>
              <w:rPr>
                <w:sz w:val="10"/>
                <w:szCs w:val="10"/>
                <w:lang w:val="fr-BE"/>
              </w:rPr>
            </w:pPr>
            <w:r w:rsidRPr="001C4484">
              <w:rPr>
                <w:noProof/>
                <w:sz w:val="10"/>
                <w:szCs w:val="10"/>
                <w:lang w:val="fr-BE"/>
              </w:rPr>
              <w:t>0,00</w:t>
            </w:r>
          </w:p>
        </w:tc>
      </w:tr>
      <w:tr w:rsidR="006B2EC1" w14:paraId="13BCE3C7" w14:textId="77777777" w:rsidTr="0047688D">
        <w:tc>
          <w:tcPr>
            <w:tcW w:w="0" w:type="auto"/>
            <w:shd w:val="clear" w:color="auto" w:fill="auto"/>
          </w:tcPr>
          <w:p w14:paraId="1F88A8F1" w14:textId="77777777" w:rsidR="008C5CFA" w:rsidRPr="001C4484" w:rsidRDefault="00E82A60" w:rsidP="00300A01">
            <w:pPr>
              <w:spacing w:before="0" w:after="0"/>
              <w:rPr>
                <w:sz w:val="10"/>
                <w:szCs w:val="10"/>
                <w:lang w:val="fr-BE"/>
              </w:rPr>
            </w:pPr>
            <w:r w:rsidRPr="001C4484">
              <w:rPr>
                <w:noProof/>
                <w:sz w:val="10"/>
                <w:szCs w:val="10"/>
                <w:lang w:val="fr-BE"/>
              </w:rPr>
              <w:lastRenderedPageBreak/>
              <w:t>CO09</w:t>
            </w:r>
          </w:p>
        </w:tc>
        <w:tc>
          <w:tcPr>
            <w:tcW w:w="0" w:type="auto"/>
            <w:shd w:val="clear" w:color="auto" w:fill="auto"/>
          </w:tcPr>
          <w:p w14:paraId="58C5E41D" w14:textId="77777777" w:rsidR="008C5CFA" w:rsidRPr="001C4484" w:rsidRDefault="00E82A60" w:rsidP="00300A01">
            <w:pPr>
              <w:spacing w:before="0" w:after="0"/>
              <w:rPr>
                <w:sz w:val="10"/>
                <w:szCs w:val="10"/>
                <w:lang w:val="fr-BE"/>
              </w:rPr>
            </w:pPr>
            <w:r w:rsidRPr="001C4484">
              <w:rPr>
                <w:noProof/>
                <w:sz w:val="10"/>
                <w:szCs w:val="10"/>
                <w:lang w:val="fr-BE"/>
              </w:rPr>
              <w:t>osoby z wykształceniem podstawowym (ISCED 1) lub średnim I stopnia (ISCED 2)</w:t>
            </w:r>
          </w:p>
        </w:tc>
        <w:tc>
          <w:tcPr>
            <w:tcW w:w="0" w:type="auto"/>
            <w:shd w:val="clear" w:color="auto" w:fill="auto"/>
          </w:tcPr>
          <w:p w14:paraId="3ACD2013"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6A545630"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407B4EBF"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5588D106" w14:textId="77777777" w:rsidR="008C5CFA" w:rsidRPr="001C4484" w:rsidRDefault="00E82A60" w:rsidP="00300A01">
            <w:pPr>
              <w:spacing w:before="0" w:after="0"/>
              <w:jc w:val="right"/>
              <w:rPr>
                <w:sz w:val="10"/>
                <w:szCs w:val="10"/>
                <w:lang w:val="fr-BE"/>
              </w:rPr>
            </w:pPr>
            <w:r w:rsidRPr="001C4484">
              <w:rPr>
                <w:noProof/>
                <w:sz w:val="10"/>
                <w:szCs w:val="10"/>
              </w:rPr>
              <w:t>0,00</w:t>
            </w:r>
          </w:p>
        </w:tc>
        <w:tc>
          <w:tcPr>
            <w:tcW w:w="0" w:type="auto"/>
          </w:tcPr>
          <w:p w14:paraId="7CC7B2A3"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141D00CB"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37B41CAD" w14:textId="77777777" w:rsidR="008C5CFA" w:rsidRPr="001C4484" w:rsidRDefault="00E82A60" w:rsidP="00300A01">
            <w:pPr>
              <w:spacing w:before="0" w:after="0"/>
              <w:jc w:val="right"/>
              <w:rPr>
                <w:sz w:val="10"/>
                <w:szCs w:val="10"/>
                <w:lang w:val="fr-BE"/>
              </w:rPr>
            </w:pPr>
            <w:r w:rsidRPr="001C4484">
              <w:rPr>
                <w:noProof/>
                <w:sz w:val="10"/>
                <w:szCs w:val="10"/>
                <w:lang w:val="fr-BE"/>
              </w:rPr>
              <w:t>0,00</w:t>
            </w:r>
          </w:p>
        </w:tc>
      </w:tr>
      <w:tr w:rsidR="006B2EC1" w14:paraId="3F15B4CD" w14:textId="77777777" w:rsidTr="0047688D">
        <w:tc>
          <w:tcPr>
            <w:tcW w:w="0" w:type="auto"/>
            <w:shd w:val="clear" w:color="auto" w:fill="auto"/>
          </w:tcPr>
          <w:p w14:paraId="507B1558" w14:textId="77777777" w:rsidR="008C5CFA" w:rsidRPr="001C4484" w:rsidRDefault="00E82A60" w:rsidP="00300A01">
            <w:pPr>
              <w:spacing w:before="0" w:after="0"/>
              <w:rPr>
                <w:sz w:val="10"/>
                <w:szCs w:val="10"/>
                <w:lang w:val="fr-BE"/>
              </w:rPr>
            </w:pPr>
            <w:r w:rsidRPr="001C4484">
              <w:rPr>
                <w:noProof/>
                <w:sz w:val="10"/>
                <w:szCs w:val="10"/>
                <w:lang w:val="fr-BE"/>
              </w:rPr>
              <w:t>CO10</w:t>
            </w:r>
          </w:p>
        </w:tc>
        <w:tc>
          <w:tcPr>
            <w:tcW w:w="0" w:type="auto"/>
            <w:shd w:val="clear" w:color="auto" w:fill="auto"/>
          </w:tcPr>
          <w:p w14:paraId="1CEEB8D2" w14:textId="77777777" w:rsidR="008C5CFA" w:rsidRPr="001C4484" w:rsidRDefault="00E82A60" w:rsidP="00300A01">
            <w:pPr>
              <w:spacing w:before="0" w:after="0"/>
              <w:rPr>
                <w:sz w:val="10"/>
                <w:szCs w:val="10"/>
                <w:lang w:val="fr-BE"/>
              </w:rPr>
            </w:pPr>
            <w:r w:rsidRPr="001C4484">
              <w:rPr>
                <w:noProof/>
                <w:sz w:val="10"/>
                <w:szCs w:val="10"/>
                <w:lang w:val="fr-BE"/>
              </w:rPr>
              <w:t>osoby z wykształceniem średnim II stopnia (ISCED 3) lub policealnym (ISCED 4)</w:t>
            </w:r>
          </w:p>
        </w:tc>
        <w:tc>
          <w:tcPr>
            <w:tcW w:w="0" w:type="auto"/>
            <w:shd w:val="clear" w:color="auto" w:fill="auto"/>
          </w:tcPr>
          <w:p w14:paraId="0D3520B1"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4A33D5F4"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41A3DF90"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46C45CB2" w14:textId="77777777" w:rsidR="008C5CFA" w:rsidRPr="001C4484" w:rsidRDefault="00E82A60" w:rsidP="00300A01">
            <w:pPr>
              <w:spacing w:before="0" w:after="0"/>
              <w:jc w:val="right"/>
              <w:rPr>
                <w:sz w:val="10"/>
                <w:szCs w:val="10"/>
                <w:lang w:val="fr-BE"/>
              </w:rPr>
            </w:pPr>
            <w:r w:rsidRPr="001C4484">
              <w:rPr>
                <w:noProof/>
                <w:sz w:val="10"/>
                <w:szCs w:val="10"/>
              </w:rPr>
              <w:t>0,00</w:t>
            </w:r>
          </w:p>
        </w:tc>
        <w:tc>
          <w:tcPr>
            <w:tcW w:w="0" w:type="auto"/>
          </w:tcPr>
          <w:p w14:paraId="7624FA25"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039D4359"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432D6202" w14:textId="77777777" w:rsidR="008C5CFA" w:rsidRPr="001C4484" w:rsidRDefault="00E82A60" w:rsidP="00300A01">
            <w:pPr>
              <w:spacing w:before="0" w:after="0"/>
              <w:jc w:val="right"/>
              <w:rPr>
                <w:sz w:val="10"/>
                <w:szCs w:val="10"/>
                <w:lang w:val="fr-BE"/>
              </w:rPr>
            </w:pPr>
            <w:r w:rsidRPr="001C4484">
              <w:rPr>
                <w:noProof/>
                <w:sz w:val="10"/>
                <w:szCs w:val="10"/>
                <w:lang w:val="fr-BE"/>
              </w:rPr>
              <w:t>0,00</w:t>
            </w:r>
          </w:p>
        </w:tc>
      </w:tr>
      <w:tr w:rsidR="006B2EC1" w14:paraId="54F35358" w14:textId="77777777" w:rsidTr="0047688D">
        <w:tc>
          <w:tcPr>
            <w:tcW w:w="0" w:type="auto"/>
            <w:shd w:val="clear" w:color="auto" w:fill="auto"/>
          </w:tcPr>
          <w:p w14:paraId="3EC600A7" w14:textId="77777777" w:rsidR="008C5CFA" w:rsidRPr="001C4484" w:rsidRDefault="00E82A60" w:rsidP="00300A01">
            <w:pPr>
              <w:spacing w:before="0" w:after="0"/>
              <w:rPr>
                <w:sz w:val="10"/>
                <w:szCs w:val="10"/>
                <w:lang w:val="fr-BE"/>
              </w:rPr>
            </w:pPr>
            <w:r w:rsidRPr="001C4484">
              <w:rPr>
                <w:noProof/>
                <w:sz w:val="10"/>
                <w:szCs w:val="10"/>
                <w:lang w:val="fr-BE"/>
              </w:rPr>
              <w:t>CO11</w:t>
            </w:r>
          </w:p>
        </w:tc>
        <w:tc>
          <w:tcPr>
            <w:tcW w:w="0" w:type="auto"/>
            <w:shd w:val="clear" w:color="auto" w:fill="auto"/>
          </w:tcPr>
          <w:p w14:paraId="4D13DAE3" w14:textId="77777777" w:rsidR="008C5CFA" w:rsidRPr="001C4484" w:rsidRDefault="00E82A60" w:rsidP="00300A01">
            <w:pPr>
              <w:spacing w:before="0" w:after="0"/>
              <w:rPr>
                <w:sz w:val="10"/>
                <w:szCs w:val="10"/>
                <w:lang w:val="fr-BE"/>
              </w:rPr>
            </w:pPr>
            <w:r w:rsidRPr="001C4484">
              <w:rPr>
                <w:noProof/>
                <w:sz w:val="10"/>
                <w:szCs w:val="10"/>
                <w:lang w:val="fr-BE"/>
              </w:rPr>
              <w:t>osoby z wykształceniem wyższym (ISCED 5 do 8)</w:t>
            </w:r>
          </w:p>
        </w:tc>
        <w:tc>
          <w:tcPr>
            <w:tcW w:w="0" w:type="auto"/>
            <w:shd w:val="clear" w:color="auto" w:fill="auto"/>
          </w:tcPr>
          <w:p w14:paraId="0DC1169A"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438CC725"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0AC0AEEF"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1D03CE29" w14:textId="77777777" w:rsidR="008C5CFA" w:rsidRPr="001C4484" w:rsidRDefault="00E82A60" w:rsidP="00300A01">
            <w:pPr>
              <w:spacing w:before="0" w:after="0"/>
              <w:jc w:val="right"/>
              <w:rPr>
                <w:sz w:val="10"/>
                <w:szCs w:val="10"/>
                <w:lang w:val="fr-BE"/>
              </w:rPr>
            </w:pPr>
            <w:r w:rsidRPr="001C4484">
              <w:rPr>
                <w:noProof/>
                <w:sz w:val="10"/>
                <w:szCs w:val="10"/>
              </w:rPr>
              <w:t>0,00</w:t>
            </w:r>
          </w:p>
        </w:tc>
        <w:tc>
          <w:tcPr>
            <w:tcW w:w="0" w:type="auto"/>
          </w:tcPr>
          <w:p w14:paraId="3608AB60"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05A3495C"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64420CD6" w14:textId="77777777" w:rsidR="008C5CFA" w:rsidRPr="001C4484" w:rsidRDefault="00E82A60" w:rsidP="00300A01">
            <w:pPr>
              <w:spacing w:before="0" w:after="0"/>
              <w:jc w:val="right"/>
              <w:rPr>
                <w:sz w:val="10"/>
                <w:szCs w:val="10"/>
                <w:lang w:val="fr-BE"/>
              </w:rPr>
            </w:pPr>
            <w:r w:rsidRPr="001C4484">
              <w:rPr>
                <w:noProof/>
                <w:sz w:val="10"/>
                <w:szCs w:val="10"/>
                <w:lang w:val="fr-BE"/>
              </w:rPr>
              <w:t>0,00</w:t>
            </w:r>
          </w:p>
        </w:tc>
      </w:tr>
      <w:tr w:rsidR="006B2EC1" w14:paraId="2F53ABFE" w14:textId="77777777" w:rsidTr="0047688D">
        <w:tc>
          <w:tcPr>
            <w:tcW w:w="0" w:type="auto"/>
            <w:shd w:val="clear" w:color="auto" w:fill="auto"/>
          </w:tcPr>
          <w:p w14:paraId="15D13C80" w14:textId="77777777" w:rsidR="008C5CFA" w:rsidRPr="001C4484" w:rsidRDefault="00E82A60" w:rsidP="00300A01">
            <w:pPr>
              <w:spacing w:before="0" w:after="0"/>
              <w:rPr>
                <w:sz w:val="10"/>
                <w:szCs w:val="10"/>
                <w:lang w:val="fr-BE"/>
              </w:rPr>
            </w:pPr>
            <w:r w:rsidRPr="001C4484">
              <w:rPr>
                <w:noProof/>
                <w:sz w:val="10"/>
                <w:szCs w:val="10"/>
                <w:lang w:val="fr-BE"/>
              </w:rPr>
              <w:t>CO15</w:t>
            </w:r>
          </w:p>
        </w:tc>
        <w:tc>
          <w:tcPr>
            <w:tcW w:w="0" w:type="auto"/>
            <w:shd w:val="clear" w:color="auto" w:fill="auto"/>
          </w:tcPr>
          <w:p w14:paraId="170AB2B3" w14:textId="77777777" w:rsidR="008C5CFA" w:rsidRPr="001C4484" w:rsidRDefault="00E82A60" w:rsidP="00300A01">
            <w:pPr>
              <w:spacing w:before="0" w:after="0"/>
              <w:rPr>
                <w:sz w:val="10"/>
                <w:szCs w:val="10"/>
                <w:lang w:val="fr-BE"/>
              </w:rPr>
            </w:pPr>
            <w:r w:rsidRPr="001C4484">
              <w:rPr>
                <w:noProof/>
                <w:sz w:val="10"/>
                <w:szCs w:val="10"/>
                <w:lang w:val="fr-BE"/>
              </w:rPr>
              <w:t>migranci, uczestnicy obcego pochodzenia, mniejszości (w tym społeczności marginalizowane, takie jak Romowie)</w:t>
            </w:r>
          </w:p>
        </w:tc>
        <w:tc>
          <w:tcPr>
            <w:tcW w:w="0" w:type="auto"/>
            <w:shd w:val="clear" w:color="auto" w:fill="auto"/>
          </w:tcPr>
          <w:p w14:paraId="10763959"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2282C747"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0E23AE43"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09E0EE0D" w14:textId="77777777" w:rsidR="008C5CFA" w:rsidRPr="001C4484" w:rsidRDefault="00E82A60" w:rsidP="00300A01">
            <w:pPr>
              <w:spacing w:before="0" w:after="0"/>
              <w:jc w:val="right"/>
              <w:rPr>
                <w:sz w:val="10"/>
                <w:szCs w:val="10"/>
                <w:lang w:val="fr-BE"/>
              </w:rPr>
            </w:pPr>
            <w:r w:rsidRPr="001C4484">
              <w:rPr>
                <w:noProof/>
                <w:sz w:val="10"/>
                <w:szCs w:val="10"/>
              </w:rPr>
              <w:t>0,00</w:t>
            </w:r>
          </w:p>
        </w:tc>
        <w:tc>
          <w:tcPr>
            <w:tcW w:w="0" w:type="auto"/>
          </w:tcPr>
          <w:p w14:paraId="1519148F"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7E366F63"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095C2713" w14:textId="77777777" w:rsidR="008C5CFA" w:rsidRPr="001C4484" w:rsidRDefault="00E82A60" w:rsidP="00300A01">
            <w:pPr>
              <w:spacing w:before="0" w:after="0"/>
              <w:jc w:val="right"/>
              <w:rPr>
                <w:sz w:val="10"/>
                <w:szCs w:val="10"/>
                <w:lang w:val="fr-BE"/>
              </w:rPr>
            </w:pPr>
            <w:r w:rsidRPr="001C4484">
              <w:rPr>
                <w:noProof/>
                <w:sz w:val="10"/>
                <w:szCs w:val="10"/>
                <w:lang w:val="fr-BE"/>
              </w:rPr>
              <w:t>0,00</w:t>
            </w:r>
          </w:p>
        </w:tc>
      </w:tr>
      <w:tr w:rsidR="006B2EC1" w14:paraId="32720BE4" w14:textId="77777777" w:rsidTr="0047688D">
        <w:tc>
          <w:tcPr>
            <w:tcW w:w="0" w:type="auto"/>
            <w:shd w:val="clear" w:color="auto" w:fill="auto"/>
          </w:tcPr>
          <w:p w14:paraId="37F9E992" w14:textId="77777777" w:rsidR="008C5CFA" w:rsidRPr="001C4484" w:rsidRDefault="00E82A60" w:rsidP="00300A01">
            <w:pPr>
              <w:spacing w:before="0" w:after="0"/>
              <w:rPr>
                <w:sz w:val="10"/>
                <w:szCs w:val="10"/>
                <w:lang w:val="fr-BE"/>
              </w:rPr>
            </w:pPr>
            <w:r w:rsidRPr="001C4484">
              <w:rPr>
                <w:noProof/>
                <w:sz w:val="10"/>
                <w:szCs w:val="10"/>
                <w:lang w:val="fr-BE"/>
              </w:rPr>
              <w:t>CO16</w:t>
            </w:r>
          </w:p>
        </w:tc>
        <w:tc>
          <w:tcPr>
            <w:tcW w:w="0" w:type="auto"/>
            <w:shd w:val="clear" w:color="auto" w:fill="auto"/>
          </w:tcPr>
          <w:p w14:paraId="098245A8" w14:textId="77777777" w:rsidR="008C5CFA" w:rsidRPr="001C4484" w:rsidRDefault="00E82A60" w:rsidP="00300A01">
            <w:pPr>
              <w:spacing w:before="0" w:after="0"/>
              <w:rPr>
                <w:sz w:val="10"/>
                <w:szCs w:val="10"/>
                <w:lang w:val="fr-BE"/>
              </w:rPr>
            </w:pPr>
            <w:r w:rsidRPr="001C4484">
              <w:rPr>
                <w:noProof/>
                <w:sz w:val="10"/>
                <w:szCs w:val="10"/>
                <w:lang w:val="fr-BE"/>
              </w:rPr>
              <w:t>uczestnicy z niepełnosprawnościami</w:t>
            </w:r>
          </w:p>
        </w:tc>
        <w:tc>
          <w:tcPr>
            <w:tcW w:w="0" w:type="auto"/>
            <w:shd w:val="clear" w:color="auto" w:fill="auto"/>
          </w:tcPr>
          <w:p w14:paraId="65B6F9AC"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37952BCD"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70BE3C06"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4D11A93E" w14:textId="77777777" w:rsidR="008C5CFA" w:rsidRPr="001C4484" w:rsidRDefault="00E82A60" w:rsidP="00300A01">
            <w:pPr>
              <w:spacing w:before="0" w:after="0"/>
              <w:jc w:val="right"/>
              <w:rPr>
                <w:sz w:val="10"/>
                <w:szCs w:val="10"/>
                <w:lang w:val="fr-BE"/>
              </w:rPr>
            </w:pPr>
            <w:r w:rsidRPr="001C4484">
              <w:rPr>
                <w:noProof/>
                <w:sz w:val="10"/>
                <w:szCs w:val="10"/>
              </w:rPr>
              <w:t>0,00</w:t>
            </w:r>
          </w:p>
        </w:tc>
        <w:tc>
          <w:tcPr>
            <w:tcW w:w="0" w:type="auto"/>
          </w:tcPr>
          <w:p w14:paraId="39967B20"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5CFE5F07"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259078AB" w14:textId="77777777" w:rsidR="008C5CFA" w:rsidRPr="001C4484" w:rsidRDefault="00E82A60" w:rsidP="00300A01">
            <w:pPr>
              <w:spacing w:before="0" w:after="0"/>
              <w:jc w:val="right"/>
              <w:rPr>
                <w:sz w:val="10"/>
                <w:szCs w:val="10"/>
                <w:lang w:val="fr-BE"/>
              </w:rPr>
            </w:pPr>
            <w:r w:rsidRPr="001C4484">
              <w:rPr>
                <w:noProof/>
                <w:sz w:val="10"/>
                <w:szCs w:val="10"/>
                <w:lang w:val="fr-BE"/>
              </w:rPr>
              <w:t>0,00</w:t>
            </w:r>
          </w:p>
        </w:tc>
      </w:tr>
      <w:tr w:rsidR="006B2EC1" w14:paraId="6C5EC164" w14:textId="77777777" w:rsidTr="0047688D">
        <w:tc>
          <w:tcPr>
            <w:tcW w:w="0" w:type="auto"/>
            <w:shd w:val="clear" w:color="auto" w:fill="auto"/>
          </w:tcPr>
          <w:p w14:paraId="5C3F0683" w14:textId="77777777" w:rsidR="008C5CFA" w:rsidRPr="001C4484" w:rsidRDefault="00E82A60" w:rsidP="00300A01">
            <w:pPr>
              <w:spacing w:before="0" w:after="0"/>
              <w:rPr>
                <w:sz w:val="10"/>
                <w:szCs w:val="10"/>
                <w:lang w:val="fr-BE"/>
              </w:rPr>
            </w:pPr>
            <w:r w:rsidRPr="001C4484">
              <w:rPr>
                <w:noProof/>
                <w:sz w:val="10"/>
                <w:szCs w:val="10"/>
                <w:lang w:val="fr-BE"/>
              </w:rPr>
              <w:t>CO17</w:t>
            </w:r>
          </w:p>
        </w:tc>
        <w:tc>
          <w:tcPr>
            <w:tcW w:w="0" w:type="auto"/>
            <w:shd w:val="clear" w:color="auto" w:fill="auto"/>
          </w:tcPr>
          <w:p w14:paraId="78E9C3E0" w14:textId="77777777" w:rsidR="008C5CFA" w:rsidRPr="001C4484" w:rsidRDefault="00E82A60" w:rsidP="00300A01">
            <w:pPr>
              <w:spacing w:before="0" w:after="0"/>
              <w:rPr>
                <w:sz w:val="10"/>
                <w:szCs w:val="10"/>
                <w:lang w:val="fr-BE"/>
              </w:rPr>
            </w:pPr>
            <w:r w:rsidRPr="001C4484">
              <w:rPr>
                <w:noProof/>
                <w:sz w:val="10"/>
                <w:szCs w:val="10"/>
                <w:lang w:val="fr-BE"/>
              </w:rPr>
              <w:t>inne osoby w niekorzystnej sytuacji społecznej</w:t>
            </w:r>
          </w:p>
        </w:tc>
        <w:tc>
          <w:tcPr>
            <w:tcW w:w="0" w:type="auto"/>
            <w:shd w:val="clear" w:color="auto" w:fill="auto"/>
          </w:tcPr>
          <w:p w14:paraId="3B0C64FB"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658ACDB8"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1902F233"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211246A7" w14:textId="77777777" w:rsidR="008C5CFA" w:rsidRPr="001C4484" w:rsidRDefault="00E82A60" w:rsidP="00300A01">
            <w:pPr>
              <w:spacing w:before="0" w:after="0"/>
              <w:jc w:val="right"/>
              <w:rPr>
                <w:sz w:val="10"/>
                <w:szCs w:val="10"/>
                <w:lang w:val="fr-BE"/>
              </w:rPr>
            </w:pPr>
            <w:r w:rsidRPr="001C4484">
              <w:rPr>
                <w:noProof/>
                <w:sz w:val="10"/>
                <w:szCs w:val="10"/>
              </w:rPr>
              <w:t>0,00</w:t>
            </w:r>
          </w:p>
        </w:tc>
        <w:tc>
          <w:tcPr>
            <w:tcW w:w="0" w:type="auto"/>
          </w:tcPr>
          <w:p w14:paraId="552D2A04"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40B1C1E1"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7E67BA30" w14:textId="77777777" w:rsidR="008C5CFA" w:rsidRPr="001C4484" w:rsidRDefault="00E82A60" w:rsidP="00300A01">
            <w:pPr>
              <w:spacing w:before="0" w:after="0"/>
              <w:jc w:val="right"/>
              <w:rPr>
                <w:sz w:val="10"/>
                <w:szCs w:val="10"/>
                <w:lang w:val="fr-BE"/>
              </w:rPr>
            </w:pPr>
            <w:r w:rsidRPr="001C4484">
              <w:rPr>
                <w:noProof/>
                <w:sz w:val="10"/>
                <w:szCs w:val="10"/>
                <w:lang w:val="fr-BE"/>
              </w:rPr>
              <w:t>0,00</w:t>
            </w:r>
          </w:p>
        </w:tc>
      </w:tr>
      <w:tr w:rsidR="006B2EC1" w14:paraId="0A12A645" w14:textId="77777777" w:rsidTr="0047688D">
        <w:tc>
          <w:tcPr>
            <w:tcW w:w="0" w:type="auto"/>
            <w:shd w:val="clear" w:color="auto" w:fill="auto"/>
          </w:tcPr>
          <w:p w14:paraId="0A2E0035" w14:textId="77777777" w:rsidR="008C5CFA" w:rsidRPr="001C4484" w:rsidRDefault="00E82A60" w:rsidP="00300A01">
            <w:pPr>
              <w:spacing w:before="0" w:after="0"/>
              <w:rPr>
                <w:sz w:val="10"/>
                <w:szCs w:val="10"/>
                <w:lang w:val="fr-BE"/>
              </w:rPr>
            </w:pPr>
            <w:r w:rsidRPr="001C4484">
              <w:rPr>
                <w:noProof/>
                <w:sz w:val="10"/>
                <w:szCs w:val="10"/>
                <w:lang w:val="fr-BE"/>
              </w:rPr>
              <w:t>CO18</w:t>
            </w:r>
          </w:p>
        </w:tc>
        <w:tc>
          <w:tcPr>
            <w:tcW w:w="0" w:type="auto"/>
            <w:shd w:val="clear" w:color="auto" w:fill="auto"/>
          </w:tcPr>
          <w:p w14:paraId="21CAB3DE" w14:textId="77777777" w:rsidR="008C5CFA" w:rsidRPr="001C4484" w:rsidRDefault="00E82A60" w:rsidP="00300A01">
            <w:pPr>
              <w:spacing w:before="0" w:after="0"/>
              <w:rPr>
                <w:sz w:val="10"/>
                <w:szCs w:val="10"/>
                <w:lang w:val="fr-BE"/>
              </w:rPr>
            </w:pPr>
            <w:r w:rsidRPr="001C4484">
              <w:rPr>
                <w:noProof/>
                <w:sz w:val="10"/>
                <w:szCs w:val="10"/>
                <w:lang w:val="fr-BE"/>
              </w:rPr>
              <w:t>osoby bezdomne lub dotknięte wykluczeniem z dostępu do mieszkań</w:t>
            </w:r>
          </w:p>
        </w:tc>
        <w:tc>
          <w:tcPr>
            <w:tcW w:w="0" w:type="auto"/>
            <w:shd w:val="clear" w:color="auto" w:fill="auto"/>
          </w:tcPr>
          <w:p w14:paraId="7863117A"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0BA2809E"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742CD449"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76D8D8C5" w14:textId="77777777" w:rsidR="008C5CFA" w:rsidRPr="001C4484" w:rsidRDefault="00E82A60" w:rsidP="00300A01">
            <w:pPr>
              <w:spacing w:before="0" w:after="0"/>
              <w:jc w:val="right"/>
              <w:rPr>
                <w:sz w:val="10"/>
                <w:szCs w:val="10"/>
                <w:lang w:val="fr-BE"/>
              </w:rPr>
            </w:pPr>
            <w:r w:rsidRPr="001C4484">
              <w:rPr>
                <w:noProof/>
                <w:sz w:val="10"/>
                <w:szCs w:val="10"/>
              </w:rPr>
              <w:t>0,00</w:t>
            </w:r>
          </w:p>
        </w:tc>
        <w:tc>
          <w:tcPr>
            <w:tcW w:w="0" w:type="auto"/>
          </w:tcPr>
          <w:p w14:paraId="7800FF44"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594DBDBA"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16746350" w14:textId="77777777" w:rsidR="008C5CFA" w:rsidRPr="001C4484" w:rsidRDefault="00E82A60" w:rsidP="00300A01">
            <w:pPr>
              <w:spacing w:before="0" w:after="0"/>
              <w:jc w:val="right"/>
              <w:rPr>
                <w:sz w:val="10"/>
                <w:szCs w:val="10"/>
                <w:lang w:val="fr-BE"/>
              </w:rPr>
            </w:pPr>
            <w:r w:rsidRPr="001C4484">
              <w:rPr>
                <w:noProof/>
                <w:sz w:val="10"/>
                <w:szCs w:val="10"/>
                <w:lang w:val="fr-BE"/>
              </w:rPr>
              <w:t>0,00</w:t>
            </w:r>
          </w:p>
        </w:tc>
      </w:tr>
      <w:tr w:rsidR="006B2EC1" w14:paraId="503E3D8D" w14:textId="77777777" w:rsidTr="0047688D">
        <w:tc>
          <w:tcPr>
            <w:tcW w:w="0" w:type="auto"/>
            <w:shd w:val="clear" w:color="auto" w:fill="auto"/>
          </w:tcPr>
          <w:p w14:paraId="08814D02" w14:textId="77777777" w:rsidR="008C5CFA" w:rsidRPr="001C4484" w:rsidRDefault="00E82A60" w:rsidP="00300A01">
            <w:pPr>
              <w:spacing w:before="0" w:after="0"/>
              <w:rPr>
                <w:sz w:val="10"/>
                <w:szCs w:val="10"/>
                <w:lang w:val="fr-BE"/>
              </w:rPr>
            </w:pPr>
            <w:r w:rsidRPr="001C4484">
              <w:rPr>
                <w:noProof/>
                <w:sz w:val="10"/>
                <w:szCs w:val="10"/>
                <w:lang w:val="fr-BE"/>
              </w:rPr>
              <w:t>CO19</w:t>
            </w:r>
          </w:p>
        </w:tc>
        <w:tc>
          <w:tcPr>
            <w:tcW w:w="0" w:type="auto"/>
            <w:shd w:val="clear" w:color="auto" w:fill="auto"/>
          </w:tcPr>
          <w:p w14:paraId="6373F215" w14:textId="77777777" w:rsidR="008C5CFA" w:rsidRPr="001C4484" w:rsidRDefault="00E82A60" w:rsidP="00300A01">
            <w:pPr>
              <w:spacing w:before="0" w:after="0"/>
              <w:rPr>
                <w:sz w:val="10"/>
                <w:szCs w:val="10"/>
                <w:lang w:val="fr-BE"/>
              </w:rPr>
            </w:pPr>
            <w:r w:rsidRPr="001C4484">
              <w:rPr>
                <w:noProof/>
                <w:sz w:val="10"/>
                <w:szCs w:val="10"/>
                <w:lang w:val="fr-BE"/>
              </w:rPr>
              <w:t>osoby pochodzące z obszarów wiejskich</w:t>
            </w:r>
          </w:p>
        </w:tc>
        <w:tc>
          <w:tcPr>
            <w:tcW w:w="0" w:type="auto"/>
            <w:shd w:val="clear" w:color="auto" w:fill="auto"/>
          </w:tcPr>
          <w:p w14:paraId="721AFDD8"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10894F18"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7EABF680"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261C81D7" w14:textId="77777777" w:rsidR="008C5CFA" w:rsidRPr="001C4484" w:rsidRDefault="00E82A60" w:rsidP="00300A01">
            <w:pPr>
              <w:spacing w:before="0" w:after="0"/>
              <w:jc w:val="right"/>
              <w:rPr>
                <w:sz w:val="10"/>
                <w:szCs w:val="10"/>
                <w:lang w:val="fr-BE"/>
              </w:rPr>
            </w:pPr>
            <w:r w:rsidRPr="001C4484">
              <w:rPr>
                <w:noProof/>
                <w:sz w:val="10"/>
                <w:szCs w:val="10"/>
              </w:rPr>
              <w:t>0,00</w:t>
            </w:r>
          </w:p>
        </w:tc>
        <w:tc>
          <w:tcPr>
            <w:tcW w:w="0" w:type="auto"/>
          </w:tcPr>
          <w:p w14:paraId="2EADD9F7"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5E8FAFCC"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4958017F" w14:textId="77777777" w:rsidR="008C5CFA" w:rsidRPr="001C4484" w:rsidRDefault="00E82A60" w:rsidP="00300A01">
            <w:pPr>
              <w:spacing w:before="0" w:after="0"/>
              <w:jc w:val="right"/>
              <w:rPr>
                <w:sz w:val="10"/>
                <w:szCs w:val="10"/>
                <w:lang w:val="fr-BE"/>
              </w:rPr>
            </w:pPr>
            <w:r w:rsidRPr="001C4484">
              <w:rPr>
                <w:noProof/>
                <w:sz w:val="10"/>
                <w:szCs w:val="10"/>
                <w:lang w:val="fr-BE"/>
              </w:rPr>
              <w:t>0,00</w:t>
            </w:r>
          </w:p>
        </w:tc>
      </w:tr>
      <w:tr w:rsidR="006B2EC1" w14:paraId="2C089B00" w14:textId="77777777" w:rsidTr="0047688D">
        <w:tc>
          <w:tcPr>
            <w:tcW w:w="0" w:type="auto"/>
            <w:shd w:val="clear" w:color="auto" w:fill="auto"/>
          </w:tcPr>
          <w:p w14:paraId="7ECC30F2" w14:textId="77777777" w:rsidR="008C5CFA" w:rsidRPr="001C4484" w:rsidRDefault="00E82A60" w:rsidP="00300A01">
            <w:pPr>
              <w:spacing w:before="0" w:after="0"/>
              <w:rPr>
                <w:sz w:val="10"/>
                <w:szCs w:val="10"/>
                <w:lang w:val="fr-BE"/>
              </w:rPr>
            </w:pPr>
            <w:r w:rsidRPr="001C4484">
              <w:rPr>
                <w:noProof/>
                <w:sz w:val="10"/>
                <w:szCs w:val="10"/>
                <w:lang w:val="fr-BE"/>
              </w:rPr>
              <w:t>CO20</w:t>
            </w:r>
          </w:p>
        </w:tc>
        <w:tc>
          <w:tcPr>
            <w:tcW w:w="0" w:type="auto"/>
            <w:shd w:val="clear" w:color="auto" w:fill="auto"/>
          </w:tcPr>
          <w:p w14:paraId="7A7EB53D" w14:textId="77777777" w:rsidR="008C5CFA" w:rsidRPr="001C4484" w:rsidRDefault="00E82A60" w:rsidP="00300A01">
            <w:pPr>
              <w:spacing w:before="0" w:after="0"/>
              <w:rPr>
                <w:sz w:val="10"/>
                <w:szCs w:val="10"/>
                <w:lang w:val="fr-BE"/>
              </w:rPr>
            </w:pPr>
            <w:r w:rsidRPr="001C4484">
              <w:rPr>
                <w:noProof/>
                <w:sz w:val="10"/>
                <w:szCs w:val="10"/>
                <w:lang w:val="fr-BE"/>
              </w:rPr>
              <w:t>liczba projektów zrealizowanych w pełni lub częściowo przez partnerów społecznych lub organizacje pozarządowe</w:t>
            </w:r>
          </w:p>
        </w:tc>
        <w:tc>
          <w:tcPr>
            <w:tcW w:w="0" w:type="auto"/>
            <w:shd w:val="clear" w:color="auto" w:fill="auto"/>
          </w:tcPr>
          <w:p w14:paraId="69FBD2C7"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7CD2129A"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222096E2" w14:textId="77777777" w:rsidR="008C5CFA" w:rsidRPr="001C4484" w:rsidRDefault="008C5CFA" w:rsidP="00300A01">
            <w:pPr>
              <w:spacing w:before="0" w:after="0"/>
              <w:jc w:val="right"/>
              <w:rPr>
                <w:sz w:val="10"/>
                <w:szCs w:val="10"/>
              </w:rPr>
            </w:pPr>
          </w:p>
        </w:tc>
        <w:tc>
          <w:tcPr>
            <w:tcW w:w="0" w:type="auto"/>
            <w:shd w:val="clear" w:color="auto" w:fill="auto"/>
          </w:tcPr>
          <w:p w14:paraId="5749162B" w14:textId="77777777" w:rsidR="008C5CFA" w:rsidRPr="001C4484" w:rsidRDefault="008C5CFA" w:rsidP="00300A01">
            <w:pPr>
              <w:spacing w:before="0" w:after="0"/>
              <w:jc w:val="right"/>
              <w:rPr>
                <w:sz w:val="10"/>
                <w:szCs w:val="10"/>
                <w:lang w:val="fr-BE"/>
              </w:rPr>
            </w:pPr>
          </w:p>
        </w:tc>
        <w:tc>
          <w:tcPr>
            <w:tcW w:w="0" w:type="auto"/>
          </w:tcPr>
          <w:p w14:paraId="29E4670F"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3A527275" w14:textId="77777777" w:rsidR="008C5CFA" w:rsidRPr="001C4484" w:rsidRDefault="008C5CFA" w:rsidP="00300A01">
            <w:pPr>
              <w:spacing w:before="0" w:after="0"/>
              <w:jc w:val="right"/>
              <w:rPr>
                <w:sz w:val="10"/>
                <w:szCs w:val="10"/>
              </w:rPr>
            </w:pPr>
          </w:p>
        </w:tc>
        <w:tc>
          <w:tcPr>
            <w:tcW w:w="0" w:type="auto"/>
            <w:shd w:val="clear" w:color="auto" w:fill="auto"/>
          </w:tcPr>
          <w:p w14:paraId="07FDBB57" w14:textId="77777777" w:rsidR="008C5CFA" w:rsidRPr="001C4484" w:rsidRDefault="008C5CFA" w:rsidP="00300A01">
            <w:pPr>
              <w:spacing w:before="0" w:after="0"/>
              <w:jc w:val="right"/>
              <w:rPr>
                <w:sz w:val="10"/>
                <w:szCs w:val="10"/>
                <w:lang w:val="fr-BE"/>
              </w:rPr>
            </w:pPr>
          </w:p>
        </w:tc>
      </w:tr>
      <w:tr w:rsidR="006B2EC1" w14:paraId="6D46890C" w14:textId="77777777" w:rsidTr="0047688D">
        <w:tc>
          <w:tcPr>
            <w:tcW w:w="0" w:type="auto"/>
            <w:shd w:val="clear" w:color="auto" w:fill="auto"/>
          </w:tcPr>
          <w:p w14:paraId="612F10C9" w14:textId="77777777" w:rsidR="008C5CFA" w:rsidRPr="001C4484" w:rsidRDefault="00E82A60" w:rsidP="00300A01">
            <w:pPr>
              <w:spacing w:before="0" w:after="0"/>
              <w:rPr>
                <w:sz w:val="10"/>
                <w:szCs w:val="10"/>
                <w:lang w:val="fr-BE"/>
              </w:rPr>
            </w:pPr>
            <w:r w:rsidRPr="001C4484">
              <w:rPr>
                <w:noProof/>
                <w:sz w:val="10"/>
                <w:szCs w:val="10"/>
                <w:lang w:val="fr-BE"/>
              </w:rPr>
              <w:t>CO21</w:t>
            </w:r>
          </w:p>
        </w:tc>
        <w:tc>
          <w:tcPr>
            <w:tcW w:w="0" w:type="auto"/>
            <w:shd w:val="clear" w:color="auto" w:fill="auto"/>
          </w:tcPr>
          <w:p w14:paraId="65A3DB4A" w14:textId="77777777" w:rsidR="008C5CFA" w:rsidRPr="001C4484" w:rsidRDefault="00E82A60" w:rsidP="00300A01">
            <w:pPr>
              <w:spacing w:before="0" w:after="0"/>
              <w:rPr>
                <w:sz w:val="10"/>
                <w:szCs w:val="10"/>
                <w:lang w:val="fr-BE"/>
              </w:rPr>
            </w:pPr>
            <w:r w:rsidRPr="001C4484">
              <w:rPr>
                <w:noProof/>
                <w:sz w:val="10"/>
                <w:szCs w:val="10"/>
                <w:lang w:val="fr-BE"/>
              </w:rPr>
              <w:t>liczba projektów ukierunkowanych na trwały udział kobiet w zatrudnieniu i rozwój ich kariery zawodowej</w:t>
            </w:r>
          </w:p>
        </w:tc>
        <w:tc>
          <w:tcPr>
            <w:tcW w:w="0" w:type="auto"/>
            <w:shd w:val="clear" w:color="auto" w:fill="auto"/>
          </w:tcPr>
          <w:p w14:paraId="5A2091C7"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2E856EB6"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4FF519C7" w14:textId="77777777" w:rsidR="008C5CFA" w:rsidRPr="001C4484" w:rsidRDefault="008C5CFA" w:rsidP="00300A01">
            <w:pPr>
              <w:spacing w:before="0" w:after="0"/>
              <w:jc w:val="right"/>
              <w:rPr>
                <w:sz w:val="10"/>
                <w:szCs w:val="10"/>
              </w:rPr>
            </w:pPr>
          </w:p>
        </w:tc>
        <w:tc>
          <w:tcPr>
            <w:tcW w:w="0" w:type="auto"/>
            <w:shd w:val="clear" w:color="auto" w:fill="auto"/>
          </w:tcPr>
          <w:p w14:paraId="08EAC315" w14:textId="77777777" w:rsidR="008C5CFA" w:rsidRPr="001C4484" w:rsidRDefault="008C5CFA" w:rsidP="00300A01">
            <w:pPr>
              <w:spacing w:before="0" w:after="0"/>
              <w:jc w:val="right"/>
              <w:rPr>
                <w:sz w:val="10"/>
                <w:szCs w:val="10"/>
                <w:lang w:val="fr-BE"/>
              </w:rPr>
            </w:pPr>
          </w:p>
        </w:tc>
        <w:tc>
          <w:tcPr>
            <w:tcW w:w="0" w:type="auto"/>
          </w:tcPr>
          <w:p w14:paraId="314AC3AA"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1C410BBB" w14:textId="77777777" w:rsidR="008C5CFA" w:rsidRPr="001C4484" w:rsidRDefault="008C5CFA" w:rsidP="00300A01">
            <w:pPr>
              <w:spacing w:before="0" w:after="0"/>
              <w:jc w:val="right"/>
              <w:rPr>
                <w:sz w:val="10"/>
                <w:szCs w:val="10"/>
              </w:rPr>
            </w:pPr>
          </w:p>
        </w:tc>
        <w:tc>
          <w:tcPr>
            <w:tcW w:w="0" w:type="auto"/>
            <w:shd w:val="clear" w:color="auto" w:fill="auto"/>
          </w:tcPr>
          <w:p w14:paraId="066BB68A" w14:textId="77777777" w:rsidR="008C5CFA" w:rsidRPr="001C4484" w:rsidRDefault="008C5CFA" w:rsidP="00300A01">
            <w:pPr>
              <w:spacing w:before="0" w:after="0"/>
              <w:jc w:val="right"/>
              <w:rPr>
                <w:sz w:val="10"/>
                <w:szCs w:val="10"/>
                <w:lang w:val="fr-BE"/>
              </w:rPr>
            </w:pPr>
          </w:p>
        </w:tc>
      </w:tr>
      <w:tr w:rsidR="006B2EC1" w14:paraId="2D948499" w14:textId="77777777" w:rsidTr="0047688D">
        <w:tc>
          <w:tcPr>
            <w:tcW w:w="0" w:type="auto"/>
            <w:shd w:val="clear" w:color="auto" w:fill="auto"/>
          </w:tcPr>
          <w:p w14:paraId="4604850C" w14:textId="77777777" w:rsidR="008C5CFA" w:rsidRPr="001C4484" w:rsidRDefault="00E82A60" w:rsidP="00300A01">
            <w:pPr>
              <w:spacing w:before="0" w:after="0"/>
              <w:rPr>
                <w:sz w:val="10"/>
                <w:szCs w:val="10"/>
                <w:lang w:val="fr-BE"/>
              </w:rPr>
            </w:pPr>
            <w:r w:rsidRPr="001C4484">
              <w:rPr>
                <w:noProof/>
                <w:sz w:val="10"/>
                <w:szCs w:val="10"/>
                <w:lang w:val="fr-BE"/>
              </w:rPr>
              <w:t>CO22</w:t>
            </w:r>
          </w:p>
        </w:tc>
        <w:tc>
          <w:tcPr>
            <w:tcW w:w="0" w:type="auto"/>
            <w:shd w:val="clear" w:color="auto" w:fill="auto"/>
          </w:tcPr>
          <w:p w14:paraId="36710895" w14:textId="77777777" w:rsidR="008C5CFA" w:rsidRPr="001C4484" w:rsidRDefault="00E82A60" w:rsidP="00300A01">
            <w:pPr>
              <w:spacing w:before="0" w:after="0"/>
              <w:rPr>
                <w:sz w:val="10"/>
                <w:szCs w:val="10"/>
                <w:lang w:val="fr-BE"/>
              </w:rPr>
            </w:pPr>
            <w:r w:rsidRPr="001C4484">
              <w:rPr>
                <w:noProof/>
                <w:sz w:val="10"/>
                <w:szCs w:val="10"/>
                <w:lang w:val="fr-BE"/>
              </w:rPr>
              <w:t>liczba projektów obejmujących administrację publiczną lub służby publiczne na szczeblu krajowym, regionalnym lub lokalnym</w:t>
            </w:r>
          </w:p>
        </w:tc>
        <w:tc>
          <w:tcPr>
            <w:tcW w:w="0" w:type="auto"/>
            <w:shd w:val="clear" w:color="auto" w:fill="auto"/>
          </w:tcPr>
          <w:p w14:paraId="29631333"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58E4418D"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47B396A3" w14:textId="77777777" w:rsidR="008C5CFA" w:rsidRPr="001C4484" w:rsidRDefault="008C5CFA" w:rsidP="00300A01">
            <w:pPr>
              <w:spacing w:before="0" w:after="0"/>
              <w:jc w:val="right"/>
              <w:rPr>
                <w:sz w:val="10"/>
                <w:szCs w:val="10"/>
              </w:rPr>
            </w:pPr>
          </w:p>
        </w:tc>
        <w:tc>
          <w:tcPr>
            <w:tcW w:w="0" w:type="auto"/>
            <w:shd w:val="clear" w:color="auto" w:fill="auto"/>
          </w:tcPr>
          <w:p w14:paraId="4FA6D1F1" w14:textId="77777777" w:rsidR="008C5CFA" w:rsidRPr="001C4484" w:rsidRDefault="008C5CFA" w:rsidP="00300A01">
            <w:pPr>
              <w:spacing w:before="0" w:after="0"/>
              <w:jc w:val="right"/>
              <w:rPr>
                <w:sz w:val="10"/>
                <w:szCs w:val="10"/>
                <w:lang w:val="fr-BE"/>
              </w:rPr>
            </w:pPr>
          </w:p>
        </w:tc>
        <w:tc>
          <w:tcPr>
            <w:tcW w:w="0" w:type="auto"/>
          </w:tcPr>
          <w:p w14:paraId="4DD0E583"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6201C00F" w14:textId="77777777" w:rsidR="008C5CFA" w:rsidRPr="001C4484" w:rsidRDefault="008C5CFA" w:rsidP="00300A01">
            <w:pPr>
              <w:spacing w:before="0" w:after="0"/>
              <w:jc w:val="right"/>
              <w:rPr>
                <w:sz w:val="10"/>
                <w:szCs w:val="10"/>
              </w:rPr>
            </w:pPr>
          </w:p>
        </w:tc>
        <w:tc>
          <w:tcPr>
            <w:tcW w:w="0" w:type="auto"/>
            <w:shd w:val="clear" w:color="auto" w:fill="auto"/>
          </w:tcPr>
          <w:p w14:paraId="7831E7BF" w14:textId="77777777" w:rsidR="008C5CFA" w:rsidRPr="001C4484" w:rsidRDefault="008C5CFA" w:rsidP="00300A01">
            <w:pPr>
              <w:spacing w:before="0" w:after="0"/>
              <w:jc w:val="right"/>
              <w:rPr>
                <w:sz w:val="10"/>
                <w:szCs w:val="10"/>
                <w:lang w:val="fr-BE"/>
              </w:rPr>
            </w:pPr>
          </w:p>
        </w:tc>
      </w:tr>
      <w:tr w:rsidR="006B2EC1" w14:paraId="1ADEBD85" w14:textId="77777777" w:rsidTr="0047688D">
        <w:tc>
          <w:tcPr>
            <w:tcW w:w="0" w:type="auto"/>
            <w:shd w:val="clear" w:color="auto" w:fill="auto"/>
          </w:tcPr>
          <w:p w14:paraId="35AF9EF3" w14:textId="77777777" w:rsidR="008C5CFA" w:rsidRPr="001C4484" w:rsidRDefault="00E82A60" w:rsidP="00300A01">
            <w:pPr>
              <w:spacing w:before="0" w:after="0"/>
              <w:rPr>
                <w:sz w:val="10"/>
                <w:szCs w:val="10"/>
                <w:lang w:val="fr-BE"/>
              </w:rPr>
            </w:pPr>
            <w:r w:rsidRPr="001C4484">
              <w:rPr>
                <w:noProof/>
                <w:sz w:val="10"/>
                <w:szCs w:val="10"/>
                <w:lang w:val="fr-BE"/>
              </w:rPr>
              <w:t>CO23</w:t>
            </w:r>
          </w:p>
        </w:tc>
        <w:tc>
          <w:tcPr>
            <w:tcW w:w="0" w:type="auto"/>
            <w:shd w:val="clear" w:color="auto" w:fill="auto"/>
          </w:tcPr>
          <w:p w14:paraId="2D71A10D" w14:textId="77777777" w:rsidR="008C5CFA" w:rsidRPr="001C4484" w:rsidRDefault="00E82A60" w:rsidP="00300A01">
            <w:pPr>
              <w:spacing w:before="0" w:after="0"/>
              <w:rPr>
                <w:sz w:val="10"/>
                <w:szCs w:val="10"/>
                <w:lang w:val="fr-BE"/>
              </w:rPr>
            </w:pPr>
            <w:r w:rsidRPr="001C4484">
              <w:rPr>
                <w:noProof/>
                <w:sz w:val="10"/>
                <w:szCs w:val="10"/>
                <w:lang w:val="fr-BE"/>
              </w:rPr>
              <w:t>liczba objętych wsparciem mikro-, małych i średnich przedsiębiorstw (w tym przedsiębiorstw spółdzielczych i przedsiębiorstw gospodarki społecznej)</w:t>
            </w:r>
          </w:p>
        </w:tc>
        <w:tc>
          <w:tcPr>
            <w:tcW w:w="0" w:type="auto"/>
            <w:shd w:val="clear" w:color="auto" w:fill="auto"/>
          </w:tcPr>
          <w:p w14:paraId="7B3C4237"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51C537A8"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15F515A7" w14:textId="77777777" w:rsidR="008C5CFA" w:rsidRPr="001C4484" w:rsidRDefault="008C5CFA" w:rsidP="00300A01">
            <w:pPr>
              <w:spacing w:before="0" w:after="0"/>
              <w:jc w:val="right"/>
              <w:rPr>
                <w:sz w:val="10"/>
                <w:szCs w:val="10"/>
              </w:rPr>
            </w:pPr>
          </w:p>
        </w:tc>
        <w:tc>
          <w:tcPr>
            <w:tcW w:w="0" w:type="auto"/>
            <w:shd w:val="clear" w:color="auto" w:fill="auto"/>
          </w:tcPr>
          <w:p w14:paraId="764C778A" w14:textId="77777777" w:rsidR="008C5CFA" w:rsidRPr="001C4484" w:rsidRDefault="008C5CFA" w:rsidP="00300A01">
            <w:pPr>
              <w:spacing w:before="0" w:after="0"/>
              <w:jc w:val="right"/>
              <w:rPr>
                <w:sz w:val="10"/>
                <w:szCs w:val="10"/>
                <w:lang w:val="fr-BE"/>
              </w:rPr>
            </w:pPr>
          </w:p>
        </w:tc>
        <w:tc>
          <w:tcPr>
            <w:tcW w:w="0" w:type="auto"/>
          </w:tcPr>
          <w:p w14:paraId="6E92DB19"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12EC3290" w14:textId="77777777" w:rsidR="008C5CFA" w:rsidRPr="001C4484" w:rsidRDefault="008C5CFA" w:rsidP="00300A01">
            <w:pPr>
              <w:spacing w:before="0" w:after="0"/>
              <w:jc w:val="right"/>
              <w:rPr>
                <w:sz w:val="10"/>
                <w:szCs w:val="10"/>
              </w:rPr>
            </w:pPr>
          </w:p>
        </w:tc>
        <w:tc>
          <w:tcPr>
            <w:tcW w:w="0" w:type="auto"/>
            <w:shd w:val="clear" w:color="auto" w:fill="auto"/>
          </w:tcPr>
          <w:p w14:paraId="0A5C881F" w14:textId="77777777" w:rsidR="008C5CFA" w:rsidRPr="001C4484" w:rsidRDefault="008C5CFA" w:rsidP="00300A01">
            <w:pPr>
              <w:spacing w:before="0" w:after="0"/>
              <w:jc w:val="right"/>
              <w:rPr>
                <w:sz w:val="10"/>
                <w:szCs w:val="10"/>
                <w:lang w:val="fr-BE"/>
              </w:rPr>
            </w:pPr>
          </w:p>
        </w:tc>
      </w:tr>
      <w:tr w:rsidR="006B2EC1" w14:paraId="5EAB25F0" w14:textId="77777777" w:rsidTr="0047688D">
        <w:tc>
          <w:tcPr>
            <w:tcW w:w="0" w:type="auto"/>
            <w:shd w:val="clear" w:color="auto" w:fill="auto"/>
          </w:tcPr>
          <w:p w14:paraId="6E1949E4" w14:textId="77777777" w:rsidR="008C5CFA" w:rsidRPr="001C4484" w:rsidRDefault="008C5CFA" w:rsidP="00300A01">
            <w:pPr>
              <w:spacing w:before="0" w:after="0"/>
              <w:rPr>
                <w:sz w:val="10"/>
                <w:szCs w:val="10"/>
                <w:lang w:val="fr-BE"/>
              </w:rPr>
            </w:pPr>
          </w:p>
        </w:tc>
        <w:tc>
          <w:tcPr>
            <w:tcW w:w="0" w:type="auto"/>
            <w:shd w:val="clear" w:color="auto" w:fill="auto"/>
          </w:tcPr>
          <w:p w14:paraId="5B34A0F8" w14:textId="77777777" w:rsidR="008C5CFA" w:rsidRPr="001C4484" w:rsidRDefault="00E82A60" w:rsidP="00300A01">
            <w:pPr>
              <w:spacing w:before="0" w:after="0"/>
              <w:rPr>
                <w:sz w:val="10"/>
                <w:szCs w:val="10"/>
                <w:lang w:val="fr-BE"/>
              </w:rPr>
            </w:pPr>
            <w:r w:rsidRPr="001C4484">
              <w:rPr>
                <w:noProof/>
                <w:sz w:val="10"/>
                <w:szCs w:val="10"/>
                <w:lang w:val="fr-BE"/>
              </w:rPr>
              <w:t>Całkowita łączna liczba uczestników</w:t>
            </w:r>
          </w:p>
        </w:tc>
        <w:tc>
          <w:tcPr>
            <w:tcW w:w="0" w:type="auto"/>
            <w:shd w:val="clear" w:color="auto" w:fill="auto"/>
          </w:tcPr>
          <w:p w14:paraId="0D102EBA" w14:textId="77777777" w:rsidR="008C5CFA" w:rsidRPr="001C4484" w:rsidRDefault="008C5CFA" w:rsidP="00300A01">
            <w:pPr>
              <w:spacing w:before="0" w:after="0"/>
              <w:rPr>
                <w:sz w:val="10"/>
                <w:szCs w:val="10"/>
                <w:lang w:val="fr-BE"/>
              </w:rPr>
            </w:pPr>
          </w:p>
        </w:tc>
        <w:tc>
          <w:tcPr>
            <w:tcW w:w="0" w:type="auto"/>
          </w:tcPr>
          <w:p w14:paraId="40DD46E0"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03F4C6C9" w14:textId="77777777" w:rsidR="008C5CFA" w:rsidRPr="001C4484" w:rsidRDefault="008C5CFA" w:rsidP="00300A01">
            <w:pPr>
              <w:spacing w:before="0" w:after="0"/>
              <w:jc w:val="right"/>
              <w:rPr>
                <w:sz w:val="10"/>
                <w:szCs w:val="10"/>
              </w:rPr>
            </w:pPr>
          </w:p>
        </w:tc>
        <w:tc>
          <w:tcPr>
            <w:tcW w:w="0" w:type="auto"/>
            <w:shd w:val="clear" w:color="auto" w:fill="auto"/>
          </w:tcPr>
          <w:p w14:paraId="607AC477" w14:textId="77777777" w:rsidR="008C5CFA" w:rsidRPr="001C4484" w:rsidRDefault="008C5CFA" w:rsidP="00300A01">
            <w:pPr>
              <w:spacing w:before="0" w:after="0"/>
              <w:jc w:val="right"/>
              <w:rPr>
                <w:sz w:val="10"/>
                <w:szCs w:val="10"/>
                <w:lang w:val="fr-BE"/>
              </w:rPr>
            </w:pPr>
          </w:p>
        </w:tc>
        <w:tc>
          <w:tcPr>
            <w:tcW w:w="0" w:type="auto"/>
          </w:tcPr>
          <w:p w14:paraId="60CFF2F4"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24A85FCC" w14:textId="77777777" w:rsidR="008C5CFA" w:rsidRPr="001C4484" w:rsidRDefault="008C5CFA" w:rsidP="00300A01">
            <w:pPr>
              <w:spacing w:before="0" w:after="0"/>
              <w:jc w:val="right"/>
              <w:rPr>
                <w:sz w:val="10"/>
                <w:szCs w:val="10"/>
              </w:rPr>
            </w:pPr>
          </w:p>
        </w:tc>
        <w:tc>
          <w:tcPr>
            <w:tcW w:w="0" w:type="auto"/>
            <w:shd w:val="clear" w:color="auto" w:fill="auto"/>
          </w:tcPr>
          <w:p w14:paraId="6A6FD0D3" w14:textId="77777777" w:rsidR="008C5CFA" w:rsidRPr="001C4484" w:rsidRDefault="008C5CFA" w:rsidP="00300A01">
            <w:pPr>
              <w:spacing w:before="0" w:after="0"/>
              <w:jc w:val="right"/>
              <w:rPr>
                <w:sz w:val="10"/>
                <w:szCs w:val="10"/>
                <w:lang w:val="fr-BE"/>
              </w:rPr>
            </w:pPr>
          </w:p>
        </w:tc>
      </w:tr>
    </w:tbl>
    <w:p w14:paraId="66DB489E" w14:textId="77777777" w:rsidR="008C5CFA" w:rsidRDefault="00E82A60" w:rsidP="00300A01">
      <w:pPr>
        <w:spacing w:before="0" w:after="0"/>
        <w:rPr>
          <w:lang w:val="fr-BE"/>
        </w:rPr>
      </w:pPr>
      <w:r>
        <w:rPr>
          <w:lang w:val="fr-BE"/>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6"/>
        <w:gridCol w:w="12958"/>
      </w:tblGrid>
      <w:tr w:rsidR="006B2EC1" w14:paraId="060B8F96" w14:textId="77777777" w:rsidTr="0047688D">
        <w:tc>
          <w:tcPr>
            <w:tcW w:w="0" w:type="auto"/>
            <w:shd w:val="clear" w:color="auto" w:fill="auto"/>
          </w:tcPr>
          <w:p w14:paraId="057DCCD7" w14:textId="77777777" w:rsidR="008C5CFA" w:rsidRPr="002124FC" w:rsidRDefault="00E82A60" w:rsidP="00300A01">
            <w:pPr>
              <w:spacing w:before="0" w:after="0"/>
              <w:rPr>
                <w:sz w:val="20"/>
                <w:szCs w:val="20"/>
                <w:lang w:val="fr-BE"/>
              </w:rPr>
            </w:pPr>
            <w:r>
              <w:rPr>
                <w:lang w:val="fr-BE"/>
              </w:rPr>
              <w:lastRenderedPageBreak/>
              <w:br w:type="page"/>
            </w:r>
            <w:r>
              <w:rPr>
                <w:lang w:val="fr-BE"/>
              </w:rPr>
              <w:br w:type="page"/>
            </w:r>
            <w:r w:rsidRPr="002124FC">
              <w:rPr>
                <w:noProof/>
                <w:sz w:val="20"/>
                <w:szCs w:val="20"/>
                <w:lang w:val="fr-BE"/>
              </w:rPr>
              <w:t>Oś priorytetowa</w:t>
            </w:r>
          </w:p>
        </w:tc>
        <w:tc>
          <w:tcPr>
            <w:tcW w:w="0" w:type="auto"/>
            <w:shd w:val="clear" w:color="auto" w:fill="auto"/>
          </w:tcPr>
          <w:p w14:paraId="4627F5C0" w14:textId="77777777" w:rsidR="008C5CFA" w:rsidRPr="002124FC" w:rsidRDefault="00E82A60" w:rsidP="00300A01">
            <w:pPr>
              <w:spacing w:before="0" w:after="0"/>
              <w:rPr>
                <w:sz w:val="20"/>
                <w:szCs w:val="20"/>
                <w:lang w:val="fr-BE"/>
              </w:rPr>
            </w:pPr>
            <w:r w:rsidRPr="002124FC">
              <w:rPr>
                <w:noProof/>
                <w:sz w:val="20"/>
                <w:szCs w:val="20"/>
                <w:lang w:val="fr-BE"/>
              </w:rPr>
              <w:t>10</w:t>
            </w:r>
            <w:r w:rsidRPr="002124FC">
              <w:rPr>
                <w:sz w:val="20"/>
                <w:szCs w:val="20"/>
                <w:lang w:val="fr-BE"/>
              </w:rPr>
              <w:t xml:space="preserve"> - </w:t>
            </w:r>
            <w:r w:rsidRPr="002124FC">
              <w:rPr>
                <w:noProof/>
                <w:sz w:val="20"/>
                <w:szCs w:val="20"/>
                <w:lang w:val="fr-BE"/>
              </w:rPr>
              <w:t>Otwarty rynek pracy</w:t>
            </w:r>
          </w:p>
        </w:tc>
      </w:tr>
      <w:tr w:rsidR="006B2EC1" w14:paraId="0DA73886" w14:textId="77777777" w:rsidTr="0047688D">
        <w:tc>
          <w:tcPr>
            <w:tcW w:w="0" w:type="auto"/>
            <w:shd w:val="clear" w:color="auto" w:fill="auto"/>
          </w:tcPr>
          <w:p w14:paraId="04900FE3" w14:textId="77777777" w:rsidR="008C5CFA" w:rsidRPr="002124FC" w:rsidRDefault="00E82A60"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14:paraId="25BE3941" w14:textId="77777777" w:rsidR="008C5CFA" w:rsidRPr="002124FC" w:rsidRDefault="00E82A60" w:rsidP="00300A01">
            <w:pPr>
              <w:spacing w:before="0" w:after="0"/>
              <w:rPr>
                <w:sz w:val="20"/>
                <w:szCs w:val="20"/>
                <w:lang w:val="fr-BE"/>
              </w:rPr>
            </w:pPr>
            <w:r w:rsidRPr="002124FC">
              <w:rPr>
                <w:noProof/>
                <w:sz w:val="20"/>
                <w:szCs w:val="20"/>
                <w:lang w:val="fr-BE"/>
              </w:rPr>
              <w:t>8iii</w:t>
            </w:r>
            <w:r w:rsidRPr="002124FC">
              <w:rPr>
                <w:sz w:val="20"/>
                <w:szCs w:val="20"/>
                <w:lang w:val="fr-BE"/>
              </w:rPr>
              <w:t xml:space="preserve"> - </w:t>
            </w:r>
            <w:r w:rsidRPr="002124FC">
              <w:rPr>
                <w:noProof/>
                <w:sz w:val="20"/>
                <w:szCs w:val="20"/>
                <w:lang w:val="fr-BE"/>
              </w:rPr>
              <w:t>Praca na własny rachunek, przedsiębiorczość i tworzenie przedsiębiorstw, w tym innowacyjnych mikro-, małych i średnich przedsiębiorstw</w:t>
            </w:r>
          </w:p>
        </w:tc>
      </w:tr>
    </w:tbl>
    <w:p w14:paraId="63303236" w14:textId="77777777" w:rsidR="008C5CFA" w:rsidRDefault="008C5CFA" w:rsidP="00300A01">
      <w:pPr>
        <w:spacing w:before="0" w:after="0"/>
      </w:pPr>
    </w:p>
    <w:p w14:paraId="4B033109" w14:textId="77777777" w:rsidR="008C5CFA" w:rsidRPr="008E457C" w:rsidRDefault="00E82A60" w:rsidP="00300A01">
      <w:pPr>
        <w:pStyle w:val="Nagwek2"/>
        <w:spacing w:before="0" w:after="0"/>
        <w:rPr>
          <w:b w:val="0"/>
        </w:rPr>
      </w:pPr>
      <w:bookmarkStart w:id="18" w:name="_Toc46391702"/>
      <w:r w:rsidRPr="008E457C">
        <w:rPr>
          <w:b w:val="0"/>
          <w:noProof/>
          <w:lang w:val="fr-BE"/>
        </w:rPr>
        <w:t>Tabela 4B Specyficzne dla programu wskaźniki produktu dla EFS oraz Inicjatywy na rzecz zatrudnienia ludzi młodych</w:t>
      </w:r>
      <w:r w:rsidR="009A51C8">
        <w:rPr>
          <w:b w:val="0"/>
        </w:rPr>
        <w:t xml:space="preserve"> - </w:t>
      </w:r>
      <w:r w:rsidR="009A51C8" w:rsidRPr="002124FC">
        <w:rPr>
          <w:noProof/>
          <w:sz w:val="20"/>
          <w:szCs w:val="20"/>
          <w:lang w:val="fr-BE"/>
        </w:rPr>
        <w:t>10</w:t>
      </w:r>
      <w:bookmarkEnd w:id="18"/>
    </w:p>
    <w:p w14:paraId="547D03EE" w14:textId="77777777" w:rsidR="008C5CFA" w:rsidRDefault="008C5CFA" w:rsidP="00300A01">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84"/>
        <w:gridCol w:w="6680"/>
        <w:gridCol w:w="965"/>
        <w:gridCol w:w="893"/>
        <w:gridCol w:w="501"/>
        <w:gridCol w:w="609"/>
        <w:gridCol w:w="489"/>
        <w:gridCol w:w="501"/>
        <w:gridCol w:w="609"/>
        <w:gridCol w:w="489"/>
        <w:gridCol w:w="484"/>
        <w:gridCol w:w="609"/>
        <w:gridCol w:w="489"/>
        <w:gridCol w:w="484"/>
        <w:gridCol w:w="609"/>
        <w:gridCol w:w="489"/>
      </w:tblGrid>
      <w:tr w:rsidR="006B2EC1" w14:paraId="1E35BE99" w14:textId="77777777" w:rsidTr="002A1502">
        <w:trPr>
          <w:tblHeader/>
        </w:trPr>
        <w:tc>
          <w:tcPr>
            <w:tcW w:w="0" w:type="auto"/>
            <w:shd w:val="clear" w:color="auto" w:fill="auto"/>
          </w:tcPr>
          <w:p w14:paraId="5B0C9D3F" w14:textId="77777777" w:rsidR="008C5CFA" w:rsidRPr="00A92B39" w:rsidRDefault="00E82A60" w:rsidP="00300A01">
            <w:pPr>
              <w:spacing w:before="0" w:after="0"/>
              <w:rPr>
                <w:b/>
                <w:sz w:val="10"/>
                <w:szCs w:val="10"/>
                <w:lang w:val="fr-BE"/>
              </w:rPr>
            </w:pPr>
            <w:r w:rsidRPr="00A92B39">
              <w:rPr>
                <w:b/>
                <w:noProof/>
                <w:sz w:val="10"/>
                <w:szCs w:val="10"/>
                <w:lang w:val="fr-BE"/>
              </w:rPr>
              <w:t>ID</w:t>
            </w:r>
          </w:p>
        </w:tc>
        <w:tc>
          <w:tcPr>
            <w:tcW w:w="0" w:type="auto"/>
            <w:shd w:val="clear" w:color="auto" w:fill="auto"/>
          </w:tcPr>
          <w:p w14:paraId="0DF96749" w14:textId="77777777" w:rsidR="008C5CFA" w:rsidRPr="00A92B39" w:rsidRDefault="00E82A60" w:rsidP="00300A01">
            <w:pPr>
              <w:spacing w:before="0" w:after="0"/>
              <w:rPr>
                <w:b/>
                <w:sz w:val="10"/>
                <w:szCs w:val="10"/>
                <w:lang w:val="fr-BE"/>
              </w:rPr>
            </w:pPr>
            <w:r w:rsidRPr="00A92B39">
              <w:rPr>
                <w:b/>
                <w:noProof/>
                <w:sz w:val="10"/>
                <w:szCs w:val="10"/>
                <w:lang w:val="fr-BE"/>
              </w:rPr>
              <w:t>Wskaźnik</w:t>
            </w:r>
          </w:p>
        </w:tc>
        <w:tc>
          <w:tcPr>
            <w:tcW w:w="0" w:type="auto"/>
            <w:shd w:val="clear" w:color="auto" w:fill="auto"/>
          </w:tcPr>
          <w:p w14:paraId="33FC167D" w14:textId="77777777" w:rsidR="008C5CFA" w:rsidRPr="00A92B39" w:rsidRDefault="00E82A60" w:rsidP="00300A01">
            <w:pPr>
              <w:spacing w:before="0" w:after="0"/>
              <w:rPr>
                <w:b/>
                <w:sz w:val="10"/>
                <w:szCs w:val="10"/>
                <w:lang w:val="fr-BE"/>
              </w:rPr>
            </w:pPr>
            <w:r w:rsidRPr="00A92B39">
              <w:rPr>
                <w:b/>
                <w:noProof/>
                <w:sz w:val="10"/>
                <w:szCs w:val="10"/>
                <w:lang w:val="fr-BE"/>
              </w:rPr>
              <w:t>Kategoria regionu</w:t>
            </w:r>
          </w:p>
        </w:tc>
        <w:tc>
          <w:tcPr>
            <w:tcW w:w="0" w:type="auto"/>
          </w:tcPr>
          <w:p w14:paraId="68F79160" w14:textId="77777777" w:rsidR="008C5CFA" w:rsidRPr="00A92B39" w:rsidRDefault="00E82A60" w:rsidP="00300A01">
            <w:pPr>
              <w:spacing w:before="0" w:after="0"/>
              <w:jc w:val="center"/>
              <w:rPr>
                <w:b/>
                <w:sz w:val="10"/>
                <w:szCs w:val="10"/>
                <w:lang w:val="fr-BE"/>
              </w:rPr>
            </w:pPr>
            <w:r w:rsidRPr="00A92B39">
              <w:rPr>
                <w:b/>
                <w:noProof/>
                <w:sz w:val="10"/>
                <w:szCs w:val="10"/>
                <w:lang w:val="fr-BE"/>
              </w:rPr>
              <w:t>Jednostka miary</w:t>
            </w:r>
          </w:p>
        </w:tc>
        <w:tc>
          <w:tcPr>
            <w:tcW w:w="0" w:type="auto"/>
            <w:gridSpan w:val="3"/>
            <w:shd w:val="clear" w:color="auto" w:fill="auto"/>
          </w:tcPr>
          <w:p w14:paraId="7C90F327" w14:textId="77777777" w:rsidR="008C5CFA" w:rsidRPr="00A92B39" w:rsidRDefault="00E82A60" w:rsidP="00300A01">
            <w:pPr>
              <w:spacing w:before="0" w:after="0"/>
              <w:jc w:val="center"/>
              <w:rPr>
                <w:b/>
                <w:sz w:val="10"/>
                <w:szCs w:val="10"/>
                <w:lang w:val="fr-BE"/>
              </w:rPr>
            </w:pPr>
            <w:r w:rsidRPr="00A92B39">
              <w:rPr>
                <w:b/>
                <w:noProof/>
                <w:sz w:val="10"/>
                <w:szCs w:val="10"/>
                <w:lang w:val="fr-BE"/>
              </w:rPr>
              <w:t>Wartość docelowa (2023)</w:t>
            </w:r>
          </w:p>
        </w:tc>
        <w:tc>
          <w:tcPr>
            <w:tcW w:w="0" w:type="auto"/>
            <w:gridSpan w:val="3"/>
            <w:shd w:val="clear" w:color="auto" w:fill="auto"/>
          </w:tcPr>
          <w:p w14:paraId="5FCD12DB" w14:textId="77777777" w:rsidR="008C5CFA" w:rsidRPr="00A92B39" w:rsidRDefault="00E82A60" w:rsidP="00300A01">
            <w:pPr>
              <w:spacing w:before="0" w:after="0"/>
              <w:jc w:val="center"/>
              <w:rPr>
                <w:b/>
                <w:sz w:val="10"/>
                <w:szCs w:val="10"/>
                <w:lang w:val="fr-BE"/>
              </w:rPr>
            </w:pPr>
            <w:r w:rsidRPr="00A92B39">
              <w:rPr>
                <w:b/>
                <w:noProof/>
                <w:sz w:val="10"/>
                <w:szCs w:val="10"/>
                <w:lang w:val="fr-BE"/>
              </w:rPr>
              <w:t>Wartość skumulowana</w:t>
            </w:r>
          </w:p>
        </w:tc>
        <w:tc>
          <w:tcPr>
            <w:tcW w:w="0" w:type="auto"/>
            <w:gridSpan w:val="3"/>
            <w:shd w:val="clear" w:color="auto" w:fill="auto"/>
          </w:tcPr>
          <w:p w14:paraId="595946C8" w14:textId="77777777" w:rsidR="008C5CFA" w:rsidRPr="00A92B39" w:rsidRDefault="00E82A60" w:rsidP="00300A01">
            <w:pPr>
              <w:spacing w:before="0" w:after="0"/>
              <w:jc w:val="center"/>
              <w:rPr>
                <w:b/>
                <w:sz w:val="10"/>
                <w:szCs w:val="10"/>
                <w:lang w:val="fr-BE"/>
              </w:rPr>
            </w:pPr>
            <w:r w:rsidRPr="00A92B39">
              <w:rPr>
                <w:b/>
                <w:noProof/>
                <w:sz w:val="10"/>
                <w:szCs w:val="10"/>
                <w:lang w:val="fr-BE"/>
              </w:rPr>
              <w:t>Wskaźnik osiągnięć</w:t>
            </w:r>
          </w:p>
        </w:tc>
        <w:tc>
          <w:tcPr>
            <w:tcW w:w="0" w:type="auto"/>
            <w:gridSpan w:val="3"/>
          </w:tcPr>
          <w:p w14:paraId="50FD3DB9" w14:textId="77777777" w:rsidR="008C5CFA" w:rsidRPr="00A92B39" w:rsidRDefault="00E82A60" w:rsidP="00300A01">
            <w:pPr>
              <w:spacing w:before="0" w:after="0"/>
              <w:jc w:val="center"/>
              <w:rPr>
                <w:b/>
                <w:sz w:val="10"/>
                <w:szCs w:val="10"/>
                <w:lang w:val="fr-BE"/>
              </w:rPr>
            </w:pPr>
            <w:r w:rsidRPr="00A92B39">
              <w:rPr>
                <w:bCs/>
                <w:sz w:val="10"/>
                <w:szCs w:val="10"/>
                <w:lang w:val="en-US"/>
              </w:rPr>
              <w:t>2019</w:t>
            </w:r>
          </w:p>
        </w:tc>
      </w:tr>
      <w:tr w:rsidR="006B2EC1" w14:paraId="62F9F09D" w14:textId="77777777" w:rsidTr="002A1502">
        <w:trPr>
          <w:tblHeader/>
        </w:trPr>
        <w:tc>
          <w:tcPr>
            <w:tcW w:w="0" w:type="auto"/>
            <w:shd w:val="clear" w:color="auto" w:fill="auto"/>
          </w:tcPr>
          <w:p w14:paraId="0EDDA5A3" w14:textId="77777777" w:rsidR="008C5CFA" w:rsidRPr="00A92B39" w:rsidRDefault="008C5CFA" w:rsidP="00300A01">
            <w:pPr>
              <w:spacing w:before="0" w:after="0"/>
              <w:rPr>
                <w:b/>
                <w:sz w:val="10"/>
                <w:szCs w:val="10"/>
                <w:lang w:val="fr-BE"/>
              </w:rPr>
            </w:pPr>
          </w:p>
        </w:tc>
        <w:tc>
          <w:tcPr>
            <w:tcW w:w="0" w:type="auto"/>
            <w:shd w:val="clear" w:color="auto" w:fill="auto"/>
          </w:tcPr>
          <w:p w14:paraId="68281E93" w14:textId="77777777" w:rsidR="008C5CFA" w:rsidRPr="00A92B39" w:rsidRDefault="008C5CFA" w:rsidP="00300A01">
            <w:pPr>
              <w:spacing w:before="0" w:after="0"/>
              <w:rPr>
                <w:b/>
                <w:sz w:val="10"/>
                <w:szCs w:val="10"/>
                <w:lang w:val="fr-BE"/>
              </w:rPr>
            </w:pPr>
          </w:p>
        </w:tc>
        <w:tc>
          <w:tcPr>
            <w:tcW w:w="0" w:type="auto"/>
            <w:shd w:val="clear" w:color="auto" w:fill="auto"/>
          </w:tcPr>
          <w:p w14:paraId="6629EEBA" w14:textId="77777777" w:rsidR="008C5CFA" w:rsidRPr="00A92B39" w:rsidRDefault="008C5CFA" w:rsidP="00300A01">
            <w:pPr>
              <w:spacing w:before="0" w:after="0"/>
              <w:rPr>
                <w:b/>
                <w:sz w:val="10"/>
                <w:szCs w:val="10"/>
                <w:lang w:val="fr-BE"/>
              </w:rPr>
            </w:pPr>
          </w:p>
        </w:tc>
        <w:tc>
          <w:tcPr>
            <w:tcW w:w="0" w:type="auto"/>
          </w:tcPr>
          <w:p w14:paraId="71B8430A" w14:textId="77777777" w:rsidR="008C5CFA" w:rsidRPr="00A92B39" w:rsidRDefault="008C5CFA" w:rsidP="00300A01">
            <w:pPr>
              <w:spacing w:before="0" w:after="0"/>
              <w:jc w:val="center"/>
              <w:rPr>
                <w:b/>
                <w:sz w:val="10"/>
                <w:szCs w:val="10"/>
                <w:lang w:val="fr-BE"/>
              </w:rPr>
            </w:pPr>
          </w:p>
        </w:tc>
        <w:tc>
          <w:tcPr>
            <w:tcW w:w="0" w:type="auto"/>
            <w:shd w:val="clear" w:color="auto" w:fill="auto"/>
          </w:tcPr>
          <w:p w14:paraId="44F0BEEF" w14:textId="77777777" w:rsidR="008C5CFA" w:rsidRPr="00A92B39" w:rsidRDefault="00E82A60" w:rsidP="00300A01">
            <w:pPr>
              <w:spacing w:before="0" w:after="0"/>
              <w:jc w:val="center"/>
              <w:rPr>
                <w:b/>
                <w:sz w:val="10"/>
                <w:szCs w:val="10"/>
                <w:lang w:val="fr-BE"/>
              </w:rPr>
            </w:pPr>
            <w:r w:rsidRPr="00A92B39">
              <w:rPr>
                <w:b/>
                <w:noProof/>
                <w:sz w:val="10"/>
                <w:szCs w:val="10"/>
                <w:lang w:val="fr-BE"/>
              </w:rPr>
              <w:t>Ogółem</w:t>
            </w:r>
          </w:p>
        </w:tc>
        <w:tc>
          <w:tcPr>
            <w:tcW w:w="0" w:type="auto"/>
            <w:shd w:val="clear" w:color="auto" w:fill="auto"/>
          </w:tcPr>
          <w:p w14:paraId="62D9AAAB" w14:textId="77777777" w:rsidR="008C5CFA" w:rsidRPr="00A92B39" w:rsidRDefault="00E82A60" w:rsidP="00300A01">
            <w:pPr>
              <w:spacing w:before="0" w:after="0"/>
              <w:jc w:val="center"/>
              <w:rPr>
                <w:b/>
                <w:sz w:val="10"/>
                <w:szCs w:val="10"/>
                <w:lang w:val="fr-BE"/>
              </w:rPr>
            </w:pPr>
            <w:r w:rsidRPr="00A92B39">
              <w:rPr>
                <w:b/>
                <w:noProof/>
                <w:sz w:val="10"/>
                <w:szCs w:val="10"/>
                <w:lang w:val="fr-BE"/>
              </w:rPr>
              <w:t>Mężczyźni</w:t>
            </w:r>
          </w:p>
        </w:tc>
        <w:tc>
          <w:tcPr>
            <w:tcW w:w="0" w:type="auto"/>
            <w:shd w:val="clear" w:color="auto" w:fill="auto"/>
          </w:tcPr>
          <w:p w14:paraId="537545C6" w14:textId="77777777" w:rsidR="008C5CFA" w:rsidRPr="00A92B39" w:rsidRDefault="00E82A60" w:rsidP="00300A01">
            <w:pPr>
              <w:spacing w:before="0" w:after="0"/>
              <w:jc w:val="center"/>
              <w:rPr>
                <w:b/>
                <w:sz w:val="10"/>
                <w:szCs w:val="10"/>
                <w:lang w:val="fr-BE"/>
              </w:rPr>
            </w:pPr>
            <w:r w:rsidRPr="00A92B39">
              <w:rPr>
                <w:b/>
                <w:noProof/>
                <w:sz w:val="10"/>
                <w:szCs w:val="10"/>
                <w:lang w:val="fr-BE"/>
              </w:rPr>
              <w:t>Kobiety</w:t>
            </w:r>
          </w:p>
        </w:tc>
        <w:tc>
          <w:tcPr>
            <w:tcW w:w="0" w:type="auto"/>
            <w:shd w:val="clear" w:color="auto" w:fill="auto"/>
          </w:tcPr>
          <w:p w14:paraId="5502AD19" w14:textId="77777777" w:rsidR="008C5CFA" w:rsidRPr="00A92B39" w:rsidRDefault="00E82A60" w:rsidP="00300A01">
            <w:pPr>
              <w:spacing w:before="0" w:after="0"/>
              <w:jc w:val="center"/>
              <w:rPr>
                <w:b/>
                <w:sz w:val="10"/>
                <w:szCs w:val="10"/>
                <w:lang w:val="fr-BE"/>
              </w:rPr>
            </w:pPr>
            <w:r w:rsidRPr="00A92B39">
              <w:rPr>
                <w:b/>
                <w:noProof/>
                <w:sz w:val="10"/>
                <w:szCs w:val="10"/>
                <w:lang w:val="fr-BE"/>
              </w:rPr>
              <w:t>Ogółem</w:t>
            </w:r>
          </w:p>
        </w:tc>
        <w:tc>
          <w:tcPr>
            <w:tcW w:w="0" w:type="auto"/>
            <w:shd w:val="clear" w:color="auto" w:fill="auto"/>
          </w:tcPr>
          <w:p w14:paraId="62B76EB3" w14:textId="77777777" w:rsidR="008C5CFA" w:rsidRPr="00A92B39" w:rsidRDefault="00E82A60" w:rsidP="00300A01">
            <w:pPr>
              <w:spacing w:before="0" w:after="0"/>
              <w:jc w:val="center"/>
              <w:rPr>
                <w:b/>
                <w:sz w:val="10"/>
                <w:szCs w:val="10"/>
                <w:lang w:val="fr-BE"/>
              </w:rPr>
            </w:pPr>
            <w:r w:rsidRPr="00A92B39">
              <w:rPr>
                <w:b/>
                <w:noProof/>
                <w:sz w:val="10"/>
                <w:szCs w:val="10"/>
                <w:lang w:val="fr-BE"/>
              </w:rPr>
              <w:t>Mężczyźni</w:t>
            </w:r>
          </w:p>
        </w:tc>
        <w:tc>
          <w:tcPr>
            <w:tcW w:w="0" w:type="auto"/>
            <w:shd w:val="clear" w:color="auto" w:fill="auto"/>
          </w:tcPr>
          <w:p w14:paraId="321EA1F8" w14:textId="77777777" w:rsidR="008C5CFA" w:rsidRPr="00A92B39" w:rsidRDefault="00E82A60" w:rsidP="00300A01">
            <w:pPr>
              <w:spacing w:before="0" w:after="0"/>
              <w:jc w:val="center"/>
              <w:rPr>
                <w:b/>
                <w:sz w:val="10"/>
                <w:szCs w:val="10"/>
                <w:lang w:val="fr-BE"/>
              </w:rPr>
            </w:pPr>
            <w:r w:rsidRPr="00A92B39">
              <w:rPr>
                <w:b/>
                <w:noProof/>
                <w:sz w:val="10"/>
                <w:szCs w:val="10"/>
                <w:lang w:val="fr-BE"/>
              </w:rPr>
              <w:t>Kobiety</w:t>
            </w:r>
          </w:p>
        </w:tc>
        <w:tc>
          <w:tcPr>
            <w:tcW w:w="0" w:type="auto"/>
            <w:shd w:val="clear" w:color="auto" w:fill="auto"/>
          </w:tcPr>
          <w:p w14:paraId="5C3871DF" w14:textId="77777777" w:rsidR="008C5CFA" w:rsidRPr="00A92B39" w:rsidRDefault="00E82A60" w:rsidP="00300A01">
            <w:pPr>
              <w:spacing w:before="0" w:after="0"/>
              <w:jc w:val="center"/>
              <w:rPr>
                <w:b/>
                <w:sz w:val="10"/>
                <w:szCs w:val="10"/>
                <w:lang w:val="fr-BE"/>
              </w:rPr>
            </w:pPr>
            <w:r w:rsidRPr="00A92B39">
              <w:rPr>
                <w:b/>
                <w:noProof/>
                <w:sz w:val="10"/>
                <w:szCs w:val="10"/>
                <w:lang w:val="fr-BE"/>
              </w:rPr>
              <w:t>Ogółem</w:t>
            </w:r>
          </w:p>
        </w:tc>
        <w:tc>
          <w:tcPr>
            <w:tcW w:w="0" w:type="auto"/>
            <w:shd w:val="clear" w:color="auto" w:fill="auto"/>
          </w:tcPr>
          <w:p w14:paraId="7C755C7D" w14:textId="77777777" w:rsidR="008C5CFA" w:rsidRPr="00A92B39" w:rsidRDefault="00E82A60" w:rsidP="00300A01">
            <w:pPr>
              <w:spacing w:before="0" w:after="0"/>
              <w:jc w:val="center"/>
              <w:rPr>
                <w:b/>
                <w:sz w:val="10"/>
                <w:szCs w:val="10"/>
                <w:lang w:val="fr-BE"/>
              </w:rPr>
            </w:pPr>
            <w:r w:rsidRPr="00A92B39">
              <w:rPr>
                <w:b/>
                <w:noProof/>
                <w:sz w:val="10"/>
                <w:szCs w:val="10"/>
                <w:lang w:val="fr-BE"/>
              </w:rPr>
              <w:t>Mężczyźni</w:t>
            </w:r>
          </w:p>
        </w:tc>
        <w:tc>
          <w:tcPr>
            <w:tcW w:w="0" w:type="auto"/>
            <w:shd w:val="clear" w:color="auto" w:fill="auto"/>
          </w:tcPr>
          <w:p w14:paraId="3D6A1781" w14:textId="77777777" w:rsidR="008C5CFA" w:rsidRPr="00A92B39" w:rsidRDefault="00E82A60" w:rsidP="00300A01">
            <w:pPr>
              <w:spacing w:before="0" w:after="0"/>
              <w:jc w:val="center"/>
              <w:rPr>
                <w:b/>
                <w:sz w:val="10"/>
                <w:szCs w:val="10"/>
                <w:lang w:val="fr-BE"/>
              </w:rPr>
            </w:pPr>
            <w:r w:rsidRPr="00A92B39">
              <w:rPr>
                <w:b/>
                <w:noProof/>
                <w:sz w:val="10"/>
                <w:szCs w:val="10"/>
                <w:lang w:val="fr-BE"/>
              </w:rPr>
              <w:t>Kobiety</w:t>
            </w:r>
          </w:p>
        </w:tc>
        <w:tc>
          <w:tcPr>
            <w:tcW w:w="0" w:type="auto"/>
          </w:tcPr>
          <w:p w14:paraId="2A147F84" w14:textId="77777777" w:rsidR="008C5CFA" w:rsidRPr="00A92B39" w:rsidRDefault="00E82A60" w:rsidP="00300A01">
            <w:pPr>
              <w:spacing w:before="0" w:after="0"/>
              <w:jc w:val="center"/>
              <w:rPr>
                <w:b/>
                <w:sz w:val="10"/>
                <w:szCs w:val="10"/>
                <w:lang w:val="fr-BE"/>
              </w:rPr>
            </w:pPr>
            <w:r w:rsidRPr="00A92B39">
              <w:rPr>
                <w:b/>
                <w:noProof/>
                <w:sz w:val="10"/>
                <w:szCs w:val="10"/>
                <w:lang w:val="fr-BE"/>
              </w:rPr>
              <w:t>Ogółem</w:t>
            </w:r>
          </w:p>
        </w:tc>
        <w:tc>
          <w:tcPr>
            <w:tcW w:w="0" w:type="auto"/>
            <w:shd w:val="clear" w:color="auto" w:fill="auto"/>
          </w:tcPr>
          <w:p w14:paraId="6F6CA1A6" w14:textId="77777777" w:rsidR="008C5CFA" w:rsidRPr="00A92B39" w:rsidRDefault="00E82A60" w:rsidP="00300A01">
            <w:pPr>
              <w:spacing w:before="0" w:after="0"/>
              <w:jc w:val="center"/>
              <w:rPr>
                <w:b/>
                <w:sz w:val="10"/>
                <w:szCs w:val="10"/>
                <w:lang w:val="fr-BE"/>
              </w:rPr>
            </w:pPr>
            <w:r w:rsidRPr="00A92B39">
              <w:rPr>
                <w:b/>
                <w:noProof/>
                <w:sz w:val="10"/>
                <w:szCs w:val="10"/>
                <w:lang w:val="fr-BE"/>
              </w:rPr>
              <w:t>Mężczyźni</w:t>
            </w:r>
          </w:p>
        </w:tc>
        <w:tc>
          <w:tcPr>
            <w:tcW w:w="0" w:type="auto"/>
            <w:shd w:val="clear" w:color="auto" w:fill="auto"/>
          </w:tcPr>
          <w:p w14:paraId="35824E13" w14:textId="77777777" w:rsidR="008C5CFA" w:rsidRPr="00A92B39" w:rsidRDefault="00E82A60" w:rsidP="00300A01">
            <w:pPr>
              <w:spacing w:before="0" w:after="0"/>
              <w:jc w:val="center"/>
              <w:rPr>
                <w:b/>
                <w:sz w:val="10"/>
                <w:szCs w:val="10"/>
                <w:lang w:val="fr-BE"/>
              </w:rPr>
            </w:pPr>
            <w:r w:rsidRPr="00A92B39">
              <w:rPr>
                <w:b/>
                <w:noProof/>
                <w:sz w:val="10"/>
                <w:szCs w:val="10"/>
                <w:lang w:val="fr-BE"/>
              </w:rPr>
              <w:t>Kobiety</w:t>
            </w:r>
          </w:p>
        </w:tc>
      </w:tr>
      <w:tr w:rsidR="006B2EC1" w14:paraId="49F45780" w14:textId="77777777" w:rsidTr="002A1502">
        <w:tc>
          <w:tcPr>
            <w:tcW w:w="0" w:type="auto"/>
            <w:shd w:val="clear" w:color="auto" w:fill="auto"/>
          </w:tcPr>
          <w:p w14:paraId="29909C57" w14:textId="77777777" w:rsidR="008C5CFA" w:rsidRPr="00A92B39" w:rsidRDefault="00E82A60" w:rsidP="00300A01">
            <w:pPr>
              <w:spacing w:before="0" w:after="0"/>
              <w:rPr>
                <w:sz w:val="10"/>
                <w:szCs w:val="10"/>
                <w:lang w:val="fr-BE"/>
              </w:rPr>
            </w:pPr>
            <w:r w:rsidRPr="00A92B39">
              <w:rPr>
                <w:noProof/>
                <w:sz w:val="10"/>
                <w:szCs w:val="10"/>
                <w:lang w:val="fr-BE"/>
              </w:rPr>
              <w:t>019</w:t>
            </w:r>
          </w:p>
        </w:tc>
        <w:tc>
          <w:tcPr>
            <w:tcW w:w="0" w:type="auto"/>
            <w:shd w:val="clear" w:color="auto" w:fill="auto"/>
          </w:tcPr>
          <w:p w14:paraId="2BCA7F43" w14:textId="77777777" w:rsidR="008C5CFA" w:rsidRPr="00A92B39" w:rsidRDefault="00E82A60" w:rsidP="00300A01">
            <w:pPr>
              <w:spacing w:before="0" w:after="0"/>
              <w:rPr>
                <w:sz w:val="10"/>
                <w:szCs w:val="10"/>
                <w:lang w:val="fr-BE"/>
              </w:rPr>
            </w:pPr>
            <w:r w:rsidRPr="00A92B39">
              <w:rPr>
                <w:noProof/>
                <w:sz w:val="10"/>
                <w:szCs w:val="10"/>
                <w:lang w:val="fr-BE"/>
              </w:rPr>
              <w:t>Liczba osób pozostających bez pracy, które otrzymały bezzwrotne środki na podjęcie działalności gospodarczej w programie</w:t>
            </w:r>
          </w:p>
        </w:tc>
        <w:tc>
          <w:tcPr>
            <w:tcW w:w="0" w:type="auto"/>
            <w:shd w:val="clear" w:color="auto" w:fill="auto"/>
          </w:tcPr>
          <w:p w14:paraId="1280F606" w14:textId="77777777" w:rsidR="008C5CFA" w:rsidRPr="00A92B39" w:rsidRDefault="00E82A60" w:rsidP="00300A01">
            <w:pPr>
              <w:spacing w:before="0" w:after="0"/>
              <w:rPr>
                <w:sz w:val="10"/>
                <w:szCs w:val="10"/>
                <w:lang w:val="fr-BE"/>
              </w:rPr>
            </w:pPr>
            <w:r w:rsidRPr="00A92B39">
              <w:rPr>
                <w:noProof/>
                <w:sz w:val="10"/>
                <w:szCs w:val="10"/>
                <w:lang w:val="fr-BE"/>
              </w:rPr>
              <w:t>Słabiej rozwinięte</w:t>
            </w:r>
          </w:p>
        </w:tc>
        <w:tc>
          <w:tcPr>
            <w:tcW w:w="0" w:type="auto"/>
          </w:tcPr>
          <w:p w14:paraId="786AFEFF" w14:textId="77777777" w:rsidR="008C5CFA" w:rsidRPr="00A92B39" w:rsidRDefault="00E82A60" w:rsidP="00300A01">
            <w:pPr>
              <w:spacing w:before="0" w:after="0"/>
              <w:rPr>
                <w:sz w:val="10"/>
                <w:szCs w:val="10"/>
                <w:lang w:val="fr-BE"/>
              </w:rPr>
            </w:pPr>
            <w:r w:rsidRPr="00A92B39">
              <w:rPr>
                <w:noProof/>
                <w:sz w:val="10"/>
                <w:szCs w:val="10"/>
                <w:lang w:val="fr-BE"/>
              </w:rPr>
              <w:t>osoba</w:t>
            </w:r>
          </w:p>
        </w:tc>
        <w:tc>
          <w:tcPr>
            <w:tcW w:w="0" w:type="auto"/>
            <w:shd w:val="clear" w:color="auto" w:fill="auto"/>
          </w:tcPr>
          <w:p w14:paraId="3BC56D08" w14:textId="77777777" w:rsidR="008C5CFA" w:rsidRPr="00A92B39" w:rsidRDefault="00E82A60" w:rsidP="00300A01">
            <w:pPr>
              <w:spacing w:before="0" w:after="0"/>
              <w:jc w:val="right"/>
              <w:rPr>
                <w:sz w:val="10"/>
                <w:szCs w:val="10"/>
                <w:lang w:val="fr-BE"/>
              </w:rPr>
            </w:pPr>
            <w:r w:rsidRPr="00A92B39">
              <w:rPr>
                <w:noProof/>
                <w:sz w:val="10"/>
                <w:szCs w:val="10"/>
                <w:lang w:val="fr-BE"/>
              </w:rPr>
              <w:t>1 964,00</w:t>
            </w:r>
          </w:p>
        </w:tc>
        <w:tc>
          <w:tcPr>
            <w:tcW w:w="0" w:type="auto"/>
            <w:shd w:val="clear" w:color="auto" w:fill="auto"/>
          </w:tcPr>
          <w:p w14:paraId="1FF49111" w14:textId="77777777" w:rsidR="008C5CFA" w:rsidRPr="00A92B39" w:rsidRDefault="008C5CFA" w:rsidP="00300A01">
            <w:pPr>
              <w:spacing w:before="0" w:after="0"/>
              <w:jc w:val="right"/>
              <w:rPr>
                <w:sz w:val="10"/>
                <w:szCs w:val="10"/>
                <w:lang w:val="fr-BE"/>
              </w:rPr>
            </w:pPr>
          </w:p>
        </w:tc>
        <w:tc>
          <w:tcPr>
            <w:tcW w:w="0" w:type="auto"/>
            <w:shd w:val="clear" w:color="auto" w:fill="auto"/>
          </w:tcPr>
          <w:p w14:paraId="046E05C2" w14:textId="77777777" w:rsidR="008C5CFA" w:rsidRPr="00A92B39" w:rsidRDefault="008C5CFA" w:rsidP="00300A01">
            <w:pPr>
              <w:spacing w:before="0" w:after="0"/>
              <w:jc w:val="right"/>
              <w:rPr>
                <w:sz w:val="10"/>
                <w:szCs w:val="10"/>
                <w:lang w:val="fr-BE"/>
              </w:rPr>
            </w:pPr>
          </w:p>
        </w:tc>
        <w:tc>
          <w:tcPr>
            <w:tcW w:w="0" w:type="auto"/>
            <w:shd w:val="clear" w:color="auto" w:fill="auto"/>
          </w:tcPr>
          <w:p w14:paraId="0BDF8905" w14:textId="77777777" w:rsidR="008C5CFA" w:rsidRPr="00A92B39" w:rsidRDefault="00E82A60" w:rsidP="00300A01">
            <w:pPr>
              <w:spacing w:before="0" w:after="0"/>
              <w:jc w:val="right"/>
              <w:rPr>
                <w:sz w:val="10"/>
                <w:szCs w:val="10"/>
                <w:lang w:val="fr-BE"/>
              </w:rPr>
            </w:pPr>
            <w:r w:rsidRPr="00A92B39">
              <w:rPr>
                <w:noProof/>
                <w:sz w:val="10"/>
                <w:szCs w:val="10"/>
                <w:lang w:val="fr-BE"/>
              </w:rPr>
              <w:t>3 228,00</w:t>
            </w:r>
          </w:p>
        </w:tc>
        <w:tc>
          <w:tcPr>
            <w:tcW w:w="0" w:type="auto"/>
            <w:shd w:val="clear" w:color="auto" w:fill="auto"/>
          </w:tcPr>
          <w:p w14:paraId="1998385F"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14:paraId="7FB746C9"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14:paraId="352388A7" w14:textId="77777777" w:rsidR="008C5CFA" w:rsidRPr="00A92B39" w:rsidRDefault="00E82A60" w:rsidP="00300A01">
            <w:pPr>
              <w:spacing w:before="0" w:after="0"/>
              <w:jc w:val="right"/>
              <w:rPr>
                <w:sz w:val="10"/>
                <w:szCs w:val="10"/>
                <w:lang w:val="fr-BE"/>
              </w:rPr>
            </w:pPr>
            <w:r>
              <w:rPr>
                <w:noProof/>
                <w:sz w:val="10"/>
                <w:szCs w:val="10"/>
                <w:lang w:val="fr-BE"/>
              </w:rPr>
              <w:t>1,64</w:t>
            </w:r>
          </w:p>
        </w:tc>
        <w:tc>
          <w:tcPr>
            <w:tcW w:w="0" w:type="auto"/>
            <w:shd w:val="clear" w:color="auto" w:fill="auto"/>
          </w:tcPr>
          <w:p w14:paraId="2F3E3D6B" w14:textId="77777777" w:rsidR="008C5CFA" w:rsidRPr="00A92B39" w:rsidRDefault="008C5CFA" w:rsidP="00300A01">
            <w:pPr>
              <w:spacing w:before="0" w:after="0"/>
              <w:jc w:val="right"/>
              <w:rPr>
                <w:sz w:val="10"/>
                <w:szCs w:val="10"/>
                <w:lang w:val="fr-BE"/>
              </w:rPr>
            </w:pPr>
          </w:p>
        </w:tc>
        <w:tc>
          <w:tcPr>
            <w:tcW w:w="0" w:type="auto"/>
            <w:shd w:val="clear" w:color="auto" w:fill="auto"/>
          </w:tcPr>
          <w:p w14:paraId="01C7080B" w14:textId="77777777" w:rsidR="008C5CFA" w:rsidRPr="00A92B39" w:rsidRDefault="008C5CFA" w:rsidP="00300A01">
            <w:pPr>
              <w:spacing w:before="0" w:after="0"/>
              <w:jc w:val="right"/>
              <w:rPr>
                <w:sz w:val="10"/>
                <w:szCs w:val="10"/>
                <w:lang w:val="fr-BE"/>
              </w:rPr>
            </w:pPr>
          </w:p>
        </w:tc>
        <w:tc>
          <w:tcPr>
            <w:tcW w:w="0" w:type="auto"/>
          </w:tcPr>
          <w:p w14:paraId="4B8C3D20" w14:textId="77777777" w:rsidR="008C5CFA" w:rsidRPr="00A92B39" w:rsidRDefault="00E82A60" w:rsidP="00300A01">
            <w:pPr>
              <w:spacing w:before="0" w:after="0"/>
              <w:jc w:val="right"/>
              <w:rPr>
                <w:sz w:val="10"/>
                <w:szCs w:val="10"/>
                <w:lang w:val="fr-BE"/>
              </w:rPr>
            </w:pPr>
            <w:r w:rsidRPr="00A92B39">
              <w:rPr>
                <w:noProof/>
                <w:sz w:val="10"/>
                <w:szCs w:val="10"/>
                <w:lang w:val="fr-BE"/>
              </w:rPr>
              <w:t>46,00</w:t>
            </w:r>
          </w:p>
        </w:tc>
        <w:tc>
          <w:tcPr>
            <w:tcW w:w="0" w:type="auto"/>
            <w:shd w:val="clear" w:color="auto" w:fill="auto"/>
          </w:tcPr>
          <w:p w14:paraId="5E11D821"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14:paraId="6D9D6338"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r>
      <w:tr w:rsidR="006B2EC1" w14:paraId="350F8F49" w14:textId="77777777" w:rsidTr="002A1502">
        <w:tc>
          <w:tcPr>
            <w:tcW w:w="0" w:type="auto"/>
            <w:shd w:val="clear" w:color="auto" w:fill="auto"/>
          </w:tcPr>
          <w:p w14:paraId="3DCDA297" w14:textId="77777777" w:rsidR="008C5CFA" w:rsidRPr="00A92B39" w:rsidRDefault="00E82A60" w:rsidP="00300A01">
            <w:pPr>
              <w:spacing w:before="0" w:after="0"/>
              <w:rPr>
                <w:sz w:val="10"/>
                <w:szCs w:val="10"/>
                <w:lang w:val="fr-BE"/>
              </w:rPr>
            </w:pPr>
            <w:r w:rsidRPr="00A92B39">
              <w:rPr>
                <w:noProof/>
                <w:sz w:val="10"/>
                <w:szCs w:val="10"/>
                <w:lang w:val="fr-BE"/>
              </w:rPr>
              <w:t>020</w:t>
            </w:r>
          </w:p>
        </w:tc>
        <w:tc>
          <w:tcPr>
            <w:tcW w:w="0" w:type="auto"/>
            <w:shd w:val="clear" w:color="auto" w:fill="auto"/>
          </w:tcPr>
          <w:p w14:paraId="14E35393" w14:textId="77777777" w:rsidR="008C5CFA" w:rsidRPr="00A92B39" w:rsidRDefault="00E82A60" w:rsidP="00300A01">
            <w:pPr>
              <w:spacing w:before="0" w:after="0"/>
              <w:rPr>
                <w:sz w:val="10"/>
                <w:szCs w:val="10"/>
                <w:lang w:val="fr-BE"/>
              </w:rPr>
            </w:pPr>
            <w:r w:rsidRPr="00A92B39">
              <w:rPr>
                <w:noProof/>
                <w:sz w:val="10"/>
                <w:szCs w:val="10"/>
                <w:lang w:val="fr-BE"/>
              </w:rPr>
              <w:t>Liczba osób pozostających bez pracy odchodzących z rolnictwa, które otrzymały bezzwrotne środki na podjęcie działalności gospodarczej w programie</w:t>
            </w:r>
          </w:p>
        </w:tc>
        <w:tc>
          <w:tcPr>
            <w:tcW w:w="0" w:type="auto"/>
            <w:shd w:val="clear" w:color="auto" w:fill="auto"/>
          </w:tcPr>
          <w:p w14:paraId="7009E446" w14:textId="77777777" w:rsidR="008C5CFA" w:rsidRPr="00A92B39" w:rsidRDefault="00E82A60" w:rsidP="00300A01">
            <w:pPr>
              <w:spacing w:before="0" w:after="0"/>
              <w:rPr>
                <w:sz w:val="10"/>
                <w:szCs w:val="10"/>
                <w:lang w:val="fr-BE"/>
              </w:rPr>
            </w:pPr>
            <w:r w:rsidRPr="00A92B39">
              <w:rPr>
                <w:noProof/>
                <w:sz w:val="10"/>
                <w:szCs w:val="10"/>
                <w:lang w:val="fr-BE"/>
              </w:rPr>
              <w:t>Słabiej rozwinięte</w:t>
            </w:r>
          </w:p>
        </w:tc>
        <w:tc>
          <w:tcPr>
            <w:tcW w:w="0" w:type="auto"/>
          </w:tcPr>
          <w:p w14:paraId="46874246" w14:textId="77777777" w:rsidR="008C5CFA" w:rsidRPr="00A92B39" w:rsidRDefault="00E82A60" w:rsidP="00300A01">
            <w:pPr>
              <w:spacing w:before="0" w:after="0"/>
              <w:rPr>
                <w:sz w:val="10"/>
                <w:szCs w:val="10"/>
                <w:lang w:val="fr-BE"/>
              </w:rPr>
            </w:pPr>
            <w:r w:rsidRPr="00A92B39">
              <w:rPr>
                <w:noProof/>
                <w:sz w:val="10"/>
                <w:szCs w:val="10"/>
                <w:lang w:val="fr-BE"/>
              </w:rPr>
              <w:t>osoba</w:t>
            </w:r>
          </w:p>
        </w:tc>
        <w:tc>
          <w:tcPr>
            <w:tcW w:w="0" w:type="auto"/>
            <w:shd w:val="clear" w:color="auto" w:fill="auto"/>
          </w:tcPr>
          <w:p w14:paraId="4E06402F" w14:textId="77777777" w:rsidR="008C5CFA" w:rsidRPr="00A92B39" w:rsidRDefault="00E82A60" w:rsidP="00300A01">
            <w:pPr>
              <w:spacing w:before="0" w:after="0"/>
              <w:jc w:val="right"/>
              <w:rPr>
                <w:sz w:val="10"/>
                <w:szCs w:val="10"/>
                <w:lang w:val="fr-BE"/>
              </w:rPr>
            </w:pPr>
            <w:r w:rsidRPr="00A92B39">
              <w:rPr>
                <w:noProof/>
                <w:sz w:val="10"/>
                <w:szCs w:val="10"/>
                <w:lang w:val="fr-BE"/>
              </w:rPr>
              <w:t>363,00</w:t>
            </w:r>
          </w:p>
        </w:tc>
        <w:tc>
          <w:tcPr>
            <w:tcW w:w="0" w:type="auto"/>
            <w:shd w:val="clear" w:color="auto" w:fill="auto"/>
          </w:tcPr>
          <w:p w14:paraId="60D93339" w14:textId="77777777" w:rsidR="008C5CFA" w:rsidRPr="00A92B39" w:rsidRDefault="008C5CFA" w:rsidP="00300A01">
            <w:pPr>
              <w:spacing w:before="0" w:after="0"/>
              <w:jc w:val="right"/>
              <w:rPr>
                <w:sz w:val="10"/>
                <w:szCs w:val="10"/>
                <w:lang w:val="fr-BE"/>
              </w:rPr>
            </w:pPr>
          </w:p>
        </w:tc>
        <w:tc>
          <w:tcPr>
            <w:tcW w:w="0" w:type="auto"/>
            <w:shd w:val="clear" w:color="auto" w:fill="auto"/>
          </w:tcPr>
          <w:p w14:paraId="078EFDFB" w14:textId="77777777" w:rsidR="008C5CFA" w:rsidRPr="00A92B39" w:rsidRDefault="008C5CFA" w:rsidP="00300A01">
            <w:pPr>
              <w:spacing w:before="0" w:after="0"/>
              <w:jc w:val="right"/>
              <w:rPr>
                <w:sz w:val="10"/>
                <w:szCs w:val="10"/>
                <w:lang w:val="fr-BE"/>
              </w:rPr>
            </w:pPr>
          </w:p>
        </w:tc>
        <w:tc>
          <w:tcPr>
            <w:tcW w:w="0" w:type="auto"/>
            <w:shd w:val="clear" w:color="auto" w:fill="auto"/>
          </w:tcPr>
          <w:p w14:paraId="13B24BB8" w14:textId="77777777" w:rsidR="008C5CFA" w:rsidRPr="00A92B39" w:rsidRDefault="00E82A60" w:rsidP="00300A01">
            <w:pPr>
              <w:spacing w:before="0" w:after="0"/>
              <w:jc w:val="right"/>
              <w:rPr>
                <w:sz w:val="10"/>
                <w:szCs w:val="10"/>
                <w:lang w:val="fr-BE"/>
              </w:rPr>
            </w:pPr>
            <w:r w:rsidRPr="00A92B39">
              <w:rPr>
                <w:noProof/>
                <w:sz w:val="10"/>
                <w:szCs w:val="10"/>
                <w:lang w:val="fr-BE"/>
              </w:rPr>
              <w:t>570,00</w:t>
            </w:r>
          </w:p>
        </w:tc>
        <w:tc>
          <w:tcPr>
            <w:tcW w:w="0" w:type="auto"/>
            <w:shd w:val="clear" w:color="auto" w:fill="auto"/>
          </w:tcPr>
          <w:p w14:paraId="3A0F9AE6"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14:paraId="03B64738"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14:paraId="02D6E4C6" w14:textId="77777777" w:rsidR="008C5CFA" w:rsidRPr="00A92B39" w:rsidRDefault="00E82A60" w:rsidP="00300A01">
            <w:pPr>
              <w:spacing w:before="0" w:after="0"/>
              <w:jc w:val="right"/>
              <w:rPr>
                <w:sz w:val="10"/>
                <w:szCs w:val="10"/>
                <w:lang w:val="fr-BE"/>
              </w:rPr>
            </w:pPr>
            <w:r>
              <w:rPr>
                <w:noProof/>
                <w:sz w:val="10"/>
                <w:szCs w:val="10"/>
                <w:lang w:val="fr-BE"/>
              </w:rPr>
              <w:t>1,57</w:t>
            </w:r>
          </w:p>
        </w:tc>
        <w:tc>
          <w:tcPr>
            <w:tcW w:w="0" w:type="auto"/>
            <w:shd w:val="clear" w:color="auto" w:fill="auto"/>
          </w:tcPr>
          <w:p w14:paraId="0913209A" w14:textId="77777777" w:rsidR="008C5CFA" w:rsidRPr="00A92B39" w:rsidRDefault="008C5CFA" w:rsidP="00300A01">
            <w:pPr>
              <w:spacing w:before="0" w:after="0"/>
              <w:jc w:val="right"/>
              <w:rPr>
                <w:sz w:val="10"/>
                <w:szCs w:val="10"/>
                <w:lang w:val="fr-BE"/>
              </w:rPr>
            </w:pPr>
          </w:p>
        </w:tc>
        <w:tc>
          <w:tcPr>
            <w:tcW w:w="0" w:type="auto"/>
            <w:shd w:val="clear" w:color="auto" w:fill="auto"/>
          </w:tcPr>
          <w:p w14:paraId="3DD66EEB" w14:textId="77777777" w:rsidR="008C5CFA" w:rsidRPr="00A92B39" w:rsidRDefault="008C5CFA" w:rsidP="00300A01">
            <w:pPr>
              <w:spacing w:before="0" w:after="0"/>
              <w:jc w:val="right"/>
              <w:rPr>
                <w:sz w:val="10"/>
                <w:szCs w:val="10"/>
                <w:lang w:val="fr-BE"/>
              </w:rPr>
            </w:pPr>
          </w:p>
        </w:tc>
        <w:tc>
          <w:tcPr>
            <w:tcW w:w="0" w:type="auto"/>
          </w:tcPr>
          <w:p w14:paraId="6669F5F7" w14:textId="77777777" w:rsidR="008C5CFA" w:rsidRPr="00A92B39" w:rsidRDefault="00E82A60" w:rsidP="00300A01">
            <w:pPr>
              <w:spacing w:before="0" w:after="0"/>
              <w:jc w:val="right"/>
              <w:rPr>
                <w:sz w:val="10"/>
                <w:szCs w:val="10"/>
                <w:lang w:val="fr-BE"/>
              </w:rPr>
            </w:pPr>
            <w:r w:rsidRPr="00A92B39">
              <w:rPr>
                <w:noProof/>
                <w:sz w:val="10"/>
                <w:szCs w:val="10"/>
                <w:lang w:val="fr-BE"/>
              </w:rPr>
              <w:t>5,00</w:t>
            </w:r>
          </w:p>
        </w:tc>
        <w:tc>
          <w:tcPr>
            <w:tcW w:w="0" w:type="auto"/>
            <w:shd w:val="clear" w:color="auto" w:fill="auto"/>
          </w:tcPr>
          <w:p w14:paraId="0A0DF607"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14:paraId="54A4103B"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r>
      <w:tr w:rsidR="006B2EC1" w14:paraId="1D78D46E" w14:textId="77777777" w:rsidTr="002A1502">
        <w:tc>
          <w:tcPr>
            <w:tcW w:w="0" w:type="auto"/>
            <w:shd w:val="clear" w:color="auto" w:fill="auto"/>
          </w:tcPr>
          <w:p w14:paraId="30F8B3EB" w14:textId="77777777" w:rsidR="008C5CFA" w:rsidRPr="00A92B39" w:rsidRDefault="00E82A60" w:rsidP="00300A01">
            <w:pPr>
              <w:spacing w:before="0" w:after="0"/>
              <w:rPr>
                <w:sz w:val="10"/>
                <w:szCs w:val="10"/>
                <w:lang w:val="fr-BE"/>
              </w:rPr>
            </w:pPr>
            <w:r w:rsidRPr="00A92B39">
              <w:rPr>
                <w:noProof/>
                <w:sz w:val="10"/>
                <w:szCs w:val="10"/>
                <w:lang w:val="fr-BE"/>
              </w:rPr>
              <w:t>023</w:t>
            </w:r>
          </w:p>
        </w:tc>
        <w:tc>
          <w:tcPr>
            <w:tcW w:w="0" w:type="auto"/>
            <w:shd w:val="clear" w:color="auto" w:fill="auto"/>
          </w:tcPr>
          <w:p w14:paraId="501B1463" w14:textId="77777777" w:rsidR="008C5CFA" w:rsidRPr="00A92B39" w:rsidRDefault="00E82A60" w:rsidP="00300A01">
            <w:pPr>
              <w:spacing w:before="0" w:after="0"/>
              <w:rPr>
                <w:sz w:val="10"/>
                <w:szCs w:val="10"/>
                <w:lang w:val="fr-BE"/>
              </w:rPr>
            </w:pPr>
            <w:r w:rsidRPr="00A92B39">
              <w:rPr>
                <w:noProof/>
                <w:sz w:val="10"/>
                <w:szCs w:val="10"/>
                <w:lang w:val="fr-BE"/>
              </w:rPr>
              <w:t>Liczba osób pozostających bez pracy, które skorzystały z instrumentów zwrotnych na podjęcie działalności gospodarczej w programie</w:t>
            </w:r>
          </w:p>
        </w:tc>
        <w:tc>
          <w:tcPr>
            <w:tcW w:w="0" w:type="auto"/>
            <w:shd w:val="clear" w:color="auto" w:fill="auto"/>
          </w:tcPr>
          <w:p w14:paraId="39EA07E3" w14:textId="77777777" w:rsidR="008C5CFA" w:rsidRPr="00A92B39" w:rsidRDefault="00E82A60" w:rsidP="00300A01">
            <w:pPr>
              <w:spacing w:before="0" w:after="0"/>
              <w:rPr>
                <w:sz w:val="10"/>
                <w:szCs w:val="10"/>
                <w:lang w:val="fr-BE"/>
              </w:rPr>
            </w:pPr>
            <w:r w:rsidRPr="00A92B39">
              <w:rPr>
                <w:noProof/>
                <w:sz w:val="10"/>
                <w:szCs w:val="10"/>
                <w:lang w:val="fr-BE"/>
              </w:rPr>
              <w:t>Słabiej rozwinięte</w:t>
            </w:r>
          </w:p>
        </w:tc>
        <w:tc>
          <w:tcPr>
            <w:tcW w:w="0" w:type="auto"/>
          </w:tcPr>
          <w:p w14:paraId="623D54D9" w14:textId="77777777" w:rsidR="008C5CFA" w:rsidRPr="00A92B39" w:rsidRDefault="00E82A60" w:rsidP="00300A01">
            <w:pPr>
              <w:spacing w:before="0" w:after="0"/>
              <w:rPr>
                <w:sz w:val="10"/>
                <w:szCs w:val="10"/>
                <w:lang w:val="fr-BE"/>
              </w:rPr>
            </w:pPr>
            <w:r w:rsidRPr="00A92B39">
              <w:rPr>
                <w:noProof/>
                <w:sz w:val="10"/>
                <w:szCs w:val="10"/>
                <w:lang w:val="fr-BE"/>
              </w:rPr>
              <w:t>osoba</w:t>
            </w:r>
          </w:p>
        </w:tc>
        <w:tc>
          <w:tcPr>
            <w:tcW w:w="0" w:type="auto"/>
            <w:shd w:val="clear" w:color="auto" w:fill="auto"/>
          </w:tcPr>
          <w:p w14:paraId="65ECEA50" w14:textId="77777777" w:rsidR="008C5CFA" w:rsidRPr="00A92B39" w:rsidRDefault="00E82A60" w:rsidP="00300A01">
            <w:pPr>
              <w:spacing w:before="0" w:after="0"/>
              <w:jc w:val="right"/>
              <w:rPr>
                <w:sz w:val="10"/>
                <w:szCs w:val="10"/>
                <w:lang w:val="fr-BE"/>
              </w:rPr>
            </w:pPr>
            <w:r w:rsidRPr="00A92B39">
              <w:rPr>
                <w:noProof/>
                <w:sz w:val="10"/>
                <w:szCs w:val="10"/>
                <w:lang w:val="fr-BE"/>
              </w:rPr>
              <w:t>449,00</w:t>
            </w:r>
          </w:p>
        </w:tc>
        <w:tc>
          <w:tcPr>
            <w:tcW w:w="0" w:type="auto"/>
            <w:shd w:val="clear" w:color="auto" w:fill="auto"/>
          </w:tcPr>
          <w:p w14:paraId="4CE5E4F7" w14:textId="77777777" w:rsidR="008C5CFA" w:rsidRPr="00A92B39" w:rsidRDefault="008C5CFA" w:rsidP="00300A01">
            <w:pPr>
              <w:spacing w:before="0" w:after="0"/>
              <w:jc w:val="right"/>
              <w:rPr>
                <w:sz w:val="10"/>
                <w:szCs w:val="10"/>
                <w:lang w:val="fr-BE"/>
              </w:rPr>
            </w:pPr>
          </w:p>
        </w:tc>
        <w:tc>
          <w:tcPr>
            <w:tcW w:w="0" w:type="auto"/>
            <w:shd w:val="clear" w:color="auto" w:fill="auto"/>
          </w:tcPr>
          <w:p w14:paraId="2A8DB2C5" w14:textId="77777777" w:rsidR="008C5CFA" w:rsidRPr="00A92B39" w:rsidRDefault="008C5CFA" w:rsidP="00300A01">
            <w:pPr>
              <w:spacing w:before="0" w:after="0"/>
              <w:jc w:val="right"/>
              <w:rPr>
                <w:sz w:val="10"/>
                <w:szCs w:val="10"/>
                <w:lang w:val="fr-BE"/>
              </w:rPr>
            </w:pPr>
          </w:p>
        </w:tc>
        <w:tc>
          <w:tcPr>
            <w:tcW w:w="0" w:type="auto"/>
            <w:shd w:val="clear" w:color="auto" w:fill="auto"/>
          </w:tcPr>
          <w:p w14:paraId="190FFDA5" w14:textId="77777777" w:rsidR="008C5CFA" w:rsidRPr="00A92B39" w:rsidRDefault="00E82A60" w:rsidP="00300A01">
            <w:pPr>
              <w:spacing w:before="0" w:after="0"/>
              <w:jc w:val="right"/>
              <w:rPr>
                <w:sz w:val="10"/>
                <w:szCs w:val="10"/>
                <w:lang w:val="fr-BE"/>
              </w:rPr>
            </w:pPr>
            <w:r w:rsidRPr="00A92B39">
              <w:rPr>
                <w:noProof/>
                <w:sz w:val="10"/>
                <w:szCs w:val="10"/>
                <w:lang w:val="fr-BE"/>
              </w:rPr>
              <w:t>96,00</w:t>
            </w:r>
          </w:p>
        </w:tc>
        <w:tc>
          <w:tcPr>
            <w:tcW w:w="0" w:type="auto"/>
            <w:shd w:val="clear" w:color="auto" w:fill="auto"/>
          </w:tcPr>
          <w:p w14:paraId="158260C3"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14:paraId="45C6C6B2"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14:paraId="75C17ACB" w14:textId="77777777" w:rsidR="008C5CFA" w:rsidRPr="00A92B39" w:rsidRDefault="00E82A60" w:rsidP="00300A01">
            <w:pPr>
              <w:spacing w:before="0" w:after="0"/>
              <w:jc w:val="right"/>
              <w:rPr>
                <w:sz w:val="10"/>
                <w:szCs w:val="10"/>
                <w:lang w:val="fr-BE"/>
              </w:rPr>
            </w:pPr>
            <w:r>
              <w:rPr>
                <w:noProof/>
                <w:sz w:val="10"/>
                <w:szCs w:val="10"/>
                <w:lang w:val="fr-BE"/>
              </w:rPr>
              <w:t>0,21</w:t>
            </w:r>
          </w:p>
        </w:tc>
        <w:tc>
          <w:tcPr>
            <w:tcW w:w="0" w:type="auto"/>
            <w:shd w:val="clear" w:color="auto" w:fill="auto"/>
          </w:tcPr>
          <w:p w14:paraId="1A90BFAD" w14:textId="77777777" w:rsidR="008C5CFA" w:rsidRPr="00A92B39" w:rsidRDefault="008C5CFA" w:rsidP="00300A01">
            <w:pPr>
              <w:spacing w:before="0" w:after="0"/>
              <w:jc w:val="right"/>
              <w:rPr>
                <w:sz w:val="10"/>
                <w:szCs w:val="10"/>
                <w:lang w:val="fr-BE"/>
              </w:rPr>
            </w:pPr>
          </w:p>
        </w:tc>
        <w:tc>
          <w:tcPr>
            <w:tcW w:w="0" w:type="auto"/>
            <w:shd w:val="clear" w:color="auto" w:fill="auto"/>
          </w:tcPr>
          <w:p w14:paraId="3E160220" w14:textId="77777777" w:rsidR="008C5CFA" w:rsidRPr="00A92B39" w:rsidRDefault="008C5CFA" w:rsidP="00300A01">
            <w:pPr>
              <w:spacing w:before="0" w:after="0"/>
              <w:jc w:val="right"/>
              <w:rPr>
                <w:sz w:val="10"/>
                <w:szCs w:val="10"/>
                <w:lang w:val="fr-BE"/>
              </w:rPr>
            </w:pPr>
          </w:p>
        </w:tc>
        <w:tc>
          <w:tcPr>
            <w:tcW w:w="0" w:type="auto"/>
          </w:tcPr>
          <w:p w14:paraId="6D5C5AE4" w14:textId="77777777" w:rsidR="008C5CFA" w:rsidRPr="00A92B39" w:rsidRDefault="00E82A60" w:rsidP="00300A01">
            <w:pPr>
              <w:spacing w:before="0" w:after="0"/>
              <w:jc w:val="right"/>
              <w:rPr>
                <w:sz w:val="10"/>
                <w:szCs w:val="10"/>
                <w:lang w:val="fr-BE"/>
              </w:rPr>
            </w:pPr>
            <w:r w:rsidRPr="00A92B39">
              <w:rPr>
                <w:noProof/>
                <w:sz w:val="10"/>
                <w:szCs w:val="10"/>
                <w:lang w:val="fr-BE"/>
              </w:rPr>
              <w:t>64,00</w:t>
            </w:r>
          </w:p>
        </w:tc>
        <w:tc>
          <w:tcPr>
            <w:tcW w:w="0" w:type="auto"/>
            <w:shd w:val="clear" w:color="auto" w:fill="auto"/>
          </w:tcPr>
          <w:p w14:paraId="0B17D1CB"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14:paraId="2BD8210E"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r>
    </w:tbl>
    <w:p w14:paraId="3F7A383C"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30"/>
        <w:gridCol w:w="6816"/>
        <w:gridCol w:w="931"/>
        <w:gridCol w:w="452"/>
        <w:gridCol w:w="562"/>
        <w:gridCol w:w="439"/>
        <w:gridCol w:w="451"/>
        <w:gridCol w:w="562"/>
        <w:gridCol w:w="439"/>
        <w:gridCol w:w="433"/>
        <w:gridCol w:w="562"/>
        <w:gridCol w:w="439"/>
        <w:gridCol w:w="433"/>
        <w:gridCol w:w="562"/>
        <w:gridCol w:w="439"/>
        <w:gridCol w:w="433"/>
        <w:gridCol w:w="562"/>
        <w:gridCol w:w="439"/>
      </w:tblGrid>
      <w:tr w:rsidR="006B2EC1" w14:paraId="72AFB131" w14:textId="77777777" w:rsidTr="0047688D">
        <w:trPr>
          <w:tblHeader/>
        </w:trPr>
        <w:tc>
          <w:tcPr>
            <w:tcW w:w="0" w:type="auto"/>
            <w:shd w:val="clear" w:color="auto" w:fill="auto"/>
          </w:tcPr>
          <w:p w14:paraId="4ECC1915" w14:textId="77777777" w:rsidR="008C5CFA" w:rsidRPr="00A92B39" w:rsidRDefault="00E82A60" w:rsidP="00300A01">
            <w:pPr>
              <w:spacing w:before="0" w:after="0"/>
              <w:rPr>
                <w:b/>
                <w:sz w:val="10"/>
                <w:szCs w:val="10"/>
                <w:lang w:val="fr-BE"/>
              </w:rPr>
            </w:pPr>
            <w:r w:rsidRPr="00A92B39">
              <w:rPr>
                <w:b/>
                <w:noProof/>
                <w:sz w:val="10"/>
                <w:szCs w:val="10"/>
                <w:lang w:val="fr-BE"/>
              </w:rPr>
              <w:t>ID</w:t>
            </w:r>
          </w:p>
        </w:tc>
        <w:tc>
          <w:tcPr>
            <w:tcW w:w="0" w:type="auto"/>
            <w:shd w:val="clear" w:color="auto" w:fill="auto"/>
          </w:tcPr>
          <w:p w14:paraId="06EB18D1" w14:textId="77777777" w:rsidR="008C5CFA" w:rsidRPr="00A92B39" w:rsidRDefault="00E82A60" w:rsidP="00300A01">
            <w:pPr>
              <w:spacing w:before="0" w:after="0"/>
              <w:rPr>
                <w:b/>
                <w:sz w:val="10"/>
                <w:szCs w:val="10"/>
                <w:lang w:val="fr-BE"/>
              </w:rPr>
            </w:pPr>
            <w:r w:rsidRPr="00A92B39">
              <w:rPr>
                <w:b/>
                <w:noProof/>
                <w:sz w:val="10"/>
                <w:szCs w:val="10"/>
                <w:lang w:val="fr-BE"/>
              </w:rPr>
              <w:t>Wskaźnik</w:t>
            </w:r>
          </w:p>
        </w:tc>
        <w:tc>
          <w:tcPr>
            <w:tcW w:w="0" w:type="auto"/>
            <w:shd w:val="clear" w:color="auto" w:fill="auto"/>
          </w:tcPr>
          <w:p w14:paraId="0423C9C5" w14:textId="77777777" w:rsidR="008C5CFA" w:rsidRPr="00A92B39" w:rsidRDefault="00E82A60" w:rsidP="00300A01">
            <w:pPr>
              <w:spacing w:before="0" w:after="0"/>
              <w:rPr>
                <w:b/>
                <w:sz w:val="10"/>
                <w:szCs w:val="10"/>
                <w:lang w:val="fr-BE"/>
              </w:rPr>
            </w:pPr>
            <w:r w:rsidRPr="00A92B39">
              <w:rPr>
                <w:b/>
                <w:noProof/>
                <w:sz w:val="10"/>
                <w:szCs w:val="10"/>
                <w:lang w:val="fr-BE"/>
              </w:rPr>
              <w:t>Kategoria regionu</w:t>
            </w:r>
          </w:p>
        </w:tc>
        <w:tc>
          <w:tcPr>
            <w:tcW w:w="0" w:type="auto"/>
            <w:gridSpan w:val="3"/>
            <w:shd w:val="clear" w:color="auto" w:fill="auto"/>
          </w:tcPr>
          <w:p w14:paraId="6C0034C0" w14:textId="77777777" w:rsidR="008C5CFA" w:rsidRPr="00A92B39" w:rsidRDefault="00E82A60" w:rsidP="00300A01">
            <w:pPr>
              <w:spacing w:before="0" w:after="0"/>
              <w:jc w:val="center"/>
              <w:rPr>
                <w:b/>
                <w:sz w:val="10"/>
                <w:szCs w:val="10"/>
                <w:lang w:val="fr-BE"/>
              </w:rPr>
            </w:pPr>
            <w:r w:rsidRPr="00A92B39">
              <w:rPr>
                <w:b/>
                <w:sz w:val="10"/>
                <w:szCs w:val="10"/>
                <w:lang w:val="fr-BE"/>
              </w:rPr>
              <w:t>20</w:t>
            </w:r>
            <w:r>
              <w:rPr>
                <w:b/>
                <w:sz w:val="10"/>
                <w:szCs w:val="10"/>
                <w:lang w:val="fr-BE"/>
              </w:rPr>
              <w:t>18</w:t>
            </w:r>
          </w:p>
        </w:tc>
        <w:tc>
          <w:tcPr>
            <w:tcW w:w="0" w:type="auto"/>
            <w:gridSpan w:val="3"/>
          </w:tcPr>
          <w:p w14:paraId="5EF48DB4" w14:textId="77777777" w:rsidR="008C5CFA" w:rsidRPr="00A92B39" w:rsidRDefault="00E82A60" w:rsidP="00300A01">
            <w:pPr>
              <w:spacing w:before="0" w:after="0"/>
              <w:jc w:val="center"/>
              <w:rPr>
                <w:b/>
                <w:sz w:val="10"/>
                <w:szCs w:val="10"/>
                <w:lang w:val="fr-BE"/>
              </w:rPr>
            </w:pPr>
            <w:r>
              <w:rPr>
                <w:b/>
                <w:sz w:val="10"/>
                <w:szCs w:val="10"/>
                <w:lang w:val="fr-BE"/>
              </w:rPr>
              <w:t>2017</w:t>
            </w:r>
          </w:p>
        </w:tc>
        <w:tc>
          <w:tcPr>
            <w:tcW w:w="0" w:type="auto"/>
            <w:gridSpan w:val="3"/>
          </w:tcPr>
          <w:p w14:paraId="66ED1837" w14:textId="77777777" w:rsidR="008C5CFA" w:rsidRDefault="00E82A60" w:rsidP="00300A01">
            <w:pPr>
              <w:spacing w:before="0" w:after="0"/>
              <w:jc w:val="center"/>
              <w:rPr>
                <w:b/>
                <w:sz w:val="10"/>
                <w:szCs w:val="10"/>
                <w:lang w:val="fr-BE"/>
              </w:rPr>
            </w:pPr>
            <w:r>
              <w:rPr>
                <w:b/>
                <w:sz w:val="10"/>
                <w:szCs w:val="10"/>
                <w:lang w:val="fr-BE"/>
              </w:rPr>
              <w:t>2016</w:t>
            </w:r>
          </w:p>
        </w:tc>
        <w:tc>
          <w:tcPr>
            <w:tcW w:w="0" w:type="auto"/>
            <w:gridSpan w:val="3"/>
          </w:tcPr>
          <w:p w14:paraId="30C6F06A" w14:textId="77777777" w:rsidR="008C5CFA" w:rsidRDefault="00E82A60" w:rsidP="00300A01">
            <w:pPr>
              <w:spacing w:before="0" w:after="0"/>
              <w:jc w:val="center"/>
              <w:rPr>
                <w:b/>
                <w:sz w:val="10"/>
                <w:szCs w:val="10"/>
                <w:lang w:val="fr-BE"/>
              </w:rPr>
            </w:pPr>
            <w:r>
              <w:rPr>
                <w:b/>
                <w:sz w:val="10"/>
                <w:szCs w:val="10"/>
                <w:lang w:val="fr-BE"/>
              </w:rPr>
              <w:t>2015</w:t>
            </w:r>
          </w:p>
        </w:tc>
        <w:tc>
          <w:tcPr>
            <w:tcW w:w="0" w:type="auto"/>
            <w:gridSpan w:val="3"/>
          </w:tcPr>
          <w:p w14:paraId="5B01E4B4" w14:textId="77777777" w:rsidR="008C5CFA" w:rsidRDefault="00E82A60" w:rsidP="00300A01">
            <w:pPr>
              <w:spacing w:before="0" w:after="0"/>
              <w:jc w:val="center"/>
              <w:rPr>
                <w:b/>
                <w:sz w:val="10"/>
                <w:szCs w:val="10"/>
                <w:lang w:val="fr-BE"/>
              </w:rPr>
            </w:pPr>
            <w:r>
              <w:rPr>
                <w:b/>
                <w:sz w:val="10"/>
                <w:szCs w:val="10"/>
                <w:lang w:val="fr-BE"/>
              </w:rPr>
              <w:t>2014</w:t>
            </w:r>
          </w:p>
        </w:tc>
      </w:tr>
      <w:tr w:rsidR="006B2EC1" w14:paraId="11227357" w14:textId="77777777" w:rsidTr="0047688D">
        <w:trPr>
          <w:tblHeader/>
        </w:trPr>
        <w:tc>
          <w:tcPr>
            <w:tcW w:w="0" w:type="auto"/>
            <w:shd w:val="clear" w:color="auto" w:fill="auto"/>
          </w:tcPr>
          <w:p w14:paraId="592DA2E7" w14:textId="77777777" w:rsidR="008C5CFA" w:rsidRPr="00A92B39" w:rsidRDefault="008C5CFA" w:rsidP="00300A01">
            <w:pPr>
              <w:spacing w:before="0" w:after="0"/>
              <w:rPr>
                <w:sz w:val="10"/>
                <w:szCs w:val="10"/>
                <w:lang w:val="fr-BE"/>
              </w:rPr>
            </w:pPr>
          </w:p>
        </w:tc>
        <w:tc>
          <w:tcPr>
            <w:tcW w:w="0" w:type="auto"/>
            <w:shd w:val="clear" w:color="auto" w:fill="auto"/>
          </w:tcPr>
          <w:p w14:paraId="46CF6CBB" w14:textId="77777777" w:rsidR="008C5CFA" w:rsidRPr="00A92B39" w:rsidRDefault="008C5CFA" w:rsidP="00300A01">
            <w:pPr>
              <w:spacing w:before="0" w:after="0"/>
              <w:rPr>
                <w:sz w:val="10"/>
                <w:szCs w:val="10"/>
                <w:lang w:val="fr-BE"/>
              </w:rPr>
            </w:pPr>
          </w:p>
        </w:tc>
        <w:tc>
          <w:tcPr>
            <w:tcW w:w="0" w:type="auto"/>
            <w:shd w:val="clear" w:color="auto" w:fill="auto"/>
          </w:tcPr>
          <w:p w14:paraId="1E8B2298" w14:textId="77777777" w:rsidR="008C5CFA" w:rsidRPr="00A92B39" w:rsidRDefault="008C5CFA" w:rsidP="00300A01">
            <w:pPr>
              <w:spacing w:before="0" w:after="0"/>
              <w:rPr>
                <w:sz w:val="10"/>
                <w:szCs w:val="10"/>
                <w:lang w:val="fr-BE"/>
              </w:rPr>
            </w:pPr>
          </w:p>
        </w:tc>
        <w:tc>
          <w:tcPr>
            <w:tcW w:w="0" w:type="auto"/>
            <w:shd w:val="clear" w:color="auto" w:fill="auto"/>
          </w:tcPr>
          <w:p w14:paraId="5ABAE0D5" w14:textId="77777777" w:rsidR="008C5CFA" w:rsidRPr="00A92B39" w:rsidRDefault="00E82A60" w:rsidP="00300A01">
            <w:pPr>
              <w:spacing w:before="0" w:after="0"/>
              <w:jc w:val="center"/>
              <w:rPr>
                <w:b/>
                <w:sz w:val="10"/>
                <w:szCs w:val="10"/>
                <w:lang w:val="fr-BE"/>
              </w:rPr>
            </w:pPr>
            <w:r w:rsidRPr="00A92B39">
              <w:rPr>
                <w:b/>
                <w:noProof/>
                <w:sz w:val="10"/>
                <w:szCs w:val="10"/>
                <w:lang w:val="fr-BE"/>
              </w:rPr>
              <w:t>Ogółem</w:t>
            </w:r>
          </w:p>
        </w:tc>
        <w:tc>
          <w:tcPr>
            <w:tcW w:w="0" w:type="auto"/>
            <w:shd w:val="clear" w:color="auto" w:fill="auto"/>
          </w:tcPr>
          <w:p w14:paraId="4E502D62" w14:textId="77777777" w:rsidR="008C5CFA" w:rsidRPr="00A92B39" w:rsidRDefault="00E82A60" w:rsidP="00300A01">
            <w:pPr>
              <w:spacing w:before="0" w:after="0"/>
              <w:jc w:val="center"/>
              <w:rPr>
                <w:b/>
                <w:sz w:val="10"/>
                <w:szCs w:val="10"/>
                <w:lang w:val="fr-BE"/>
              </w:rPr>
            </w:pPr>
            <w:r w:rsidRPr="00A92B39">
              <w:rPr>
                <w:b/>
                <w:noProof/>
                <w:sz w:val="10"/>
                <w:szCs w:val="10"/>
                <w:lang w:val="fr-BE"/>
              </w:rPr>
              <w:t>Mężczyźni</w:t>
            </w:r>
          </w:p>
        </w:tc>
        <w:tc>
          <w:tcPr>
            <w:tcW w:w="0" w:type="auto"/>
            <w:shd w:val="clear" w:color="auto" w:fill="auto"/>
          </w:tcPr>
          <w:p w14:paraId="74E9F8EB" w14:textId="77777777" w:rsidR="008C5CFA" w:rsidRPr="00A92B39" w:rsidRDefault="00E82A60" w:rsidP="00300A01">
            <w:pPr>
              <w:spacing w:before="0" w:after="0"/>
              <w:jc w:val="center"/>
              <w:rPr>
                <w:b/>
                <w:sz w:val="10"/>
                <w:szCs w:val="10"/>
                <w:lang w:val="fr-BE"/>
              </w:rPr>
            </w:pPr>
            <w:r w:rsidRPr="00A92B39">
              <w:rPr>
                <w:b/>
                <w:noProof/>
                <w:sz w:val="10"/>
                <w:szCs w:val="10"/>
                <w:lang w:val="fr-BE"/>
              </w:rPr>
              <w:t>Kobiety</w:t>
            </w:r>
          </w:p>
        </w:tc>
        <w:tc>
          <w:tcPr>
            <w:tcW w:w="0" w:type="auto"/>
          </w:tcPr>
          <w:p w14:paraId="4EFF33ED" w14:textId="77777777" w:rsidR="008C5CFA" w:rsidRPr="00A92B39" w:rsidRDefault="00E82A60" w:rsidP="00300A01">
            <w:pPr>
              <w:spacing w:before="0" w:after="0"/>
              <w:jc w:val="center"/>
              <w:rPr>
                <w:b/>
                <w:sz w:val="10"/>
                <w:szCs w:val="10"/>
                <w:lang w:val="fr-BE"/>
              </w:rPr>
            </w:pPr>
            <w:r w:rsidRPr="00A92B39">
              <w:rPr>
                <w:b/>
                <w:noProof/>
                <w:sz w:val="10"/>
                <w:szCs w:val="10"/>
                <w:lang w:val="fr-BE"/>
              </w:rPr>
              <w:t>Ogółem</w:t>
            </w:r>
          </w:p>
        </w:tc>
        <w:tc>
          <w:tcPr>
            <w:tcW w:w="0" w:type="auto"/>
          </w:tcPr>
          <w:p w14:paraId="2F77DBF2" w14:textId="77777777" w:rsidR="008C5CFA" w:rsidRPr="00A92B39" w:rsidRDefault="00E82A60" w:rsidP="00300A01">
            <w:pPr>
              <w:spacing w:before="0" w:after="0"/>
              <w:jc w:val="center"/>
              <w:rPr>
                <w:b/>
                <w:sz w:val="10"/>
                <w:szCs w:val="10"/>
                <w:lang w:val="fr-BE"/>
              </w:rPr>
            </w:pPr>
            <w:r w:rsidRPr="00A92B39">
              <w:rPr>
                <w:b/>
                <w:noProof/>
                <w:sz w:val="10"/>
                <w:szCs w:val="10"/>
                <w:lang w:val="fr-BE"/>
              </w:rPr>
              <w:t>Mężczyźni</w:t>
            </w:r>
          </w:p>
        </w:tc>
        <w:tc>
          <w:tcPr>
            <w:tcW w:w="0" w:type="auto"/>
          </w:tcPr>
          <w:p w14:paraId="243DAC61" w14:textId="77777777" w:rsidR="008C5CFA" w:rsidRPr="00A92B39" w:rsidRDefault="00E82A60" w:rsidP="00300A01">
            <w:pPr>
              <w:spacing w:before="0" w:after="0"/>
              <w:jc w:val="center"/>
              <w:rPr>
                <w:b/>
                <w:sz w:val="10"/>
                <w:szCs w:val="10"/>
                <w:lang w:val="fr-BE"/>
              </w:rPr>
            </w:pPr>
            <w:r w:rsidRPr="00A92B39">
              <w:rPr>
                <w:b/>
                <w:noProof/>
                <w:sz w:val="10"/>
                <w:szCs w:val="10"/>
                <w:lang w:val="fr-BE"/>
              </w:rPr>
              <w:t>Kobiety</w:t>
            </w:r>
          </w:p>
        </w:tc>
        <w:tc>
          <w:tcPr>
            <w:tcW w:w="0" w:type="auto"/>
          </w:tcPr>
          <w:p w14:paraId="6D0ADA6E" w14:textId="77777777" w:rsidR="008C5CFA" w:rsidRPr="00A92B39" w:rsidRDefault="00E82A60" w:rsidP="00300A01">
            <w:pPr>
              <w:spacing w:before="0" w:after="0"/>
              <w:jc w:val="center"/>
              <w:rPr>
                <w:b/>
                <w:sz w:val="10"/>
                <w:szCs w:val="10"/>
                <w:lang w:val="fr-BE"/>
              </w:rPr>
            </w:pPr>
            <w:r w:rsidRPr="00A92B39">
              <w:rPr>
                <w:b/>
                <w:noProof/>
                <w:sz w:val="10"/>
                <w:szCs w:val="10"/>
                <w:lang w:val="fr-BE"/>
              </w:rPr>
              <w:t>Ogółem</w:t>
            </w:r>
          </w:p>
        </w:tc>
        <w:tc>
          <w:tcPr>
            <w:tcW w:w="0" w:type="auto"/>
          </w:tcPr>
          <w:p w14:paraId="546A9BF4" w14:textId="77777777" w:rsidR="008C5CFA" w:rsidRPr="00A92B39" w:rsidRDefault="00E82A60" w:rsidP="00300A01">
            <w:pPr>
              <w:spacing w:before="0" w:after="0"/>
              <w:jc w:val="center"/>
              <w:rPr>
                <w:b/>
                <w:sz w:val="10"/>
                <w:szCs w:val="10"/>
                <w:lang w:val="fr-BE"/>
              </w:rPr>
            </w:pPr>
            <w:r w:rsidRPr="00A92B39">
              <w:rPr>
                <w:b/>
                <w:noProof/>
                <w:sz w:val="10"/>
                <w:szCs w:val="10"/>
                <w:lang w:val="fr-BE"/>
              </w:rPr>
              <w:t>Mężczyźni</w:t>
            </w:r>
          </w:p>
        </w:tc>
        <w:tc>
          <w:tcPr>
            <w:tcW w:w="0" w:type="auto"/>
          </w:tcPr>
          <w:p w14:paraId="18EDD25C" w14:textId="77777777" w:rsidR="008C5CFA" w:rsidRPr="00A92B39" w:rsidRDefault="00E82A60" w:rsidP="00300A01">
            <w:pPr>
              <w:spacing w:before="0" w:after="0"/>
              <w:jc w:val="center"/>
              <w:rPr>
                <w:b/>
                <w:sz w:val="10"/>
                <w:szCs w:val="10"/>
                <w:lang w:val="fr-BE"/>
              </w:rPr>
            </w:pPr>
            <w:r w:rsidRPr="00A92B39">
              <w:rPr>
                <w:b/>
                <w:noProof/>
                <w:sz w:val="10"/>
                <w:szCs w:val="10"/>
                <w:lang w:val="fr-BE"/>
              </w:rPr>
              <w:t>Kobiety</w:t>
            </w:r>
          </w:p>
        </w:tc>
        <w:tc>
          <w:tcPr>
            <w:tcW w:w="0" w:type="auto"/>
          </w:tcPr>
          <w:p w14:paraId="76ABCA6B" w14:textId="77777777" w:rsidR="008C5CFA" w:rsidRPr="00A92B39" w:rsidRDefault="00E82A60" w:rsidP="00300A01">
            <w:pPr>
              <w:spacing w:before="0" w:after="0"/>
              <w:jc w:val="center"/>
              <w:rPr>
                <w:b/>
                <w:sz w:val="10"/>
                <w:szCs w:val="10"/>
                <w:lang w:val="fr-BE"/>
              </w:rPr>
            </w:pPr>
            <w:r w:rsidRPr="00A92B39">
              <w:rPr>
                <w:b/>
                <w:noProof/>
                <w:sz w:val="10"/>
                <w:szCs w:val="10"/>
                <w:lang w:val="fr-BE"/>
              </w:rPr>
              <w:t>Ogółem</w:t>
            </w:r>
          </w:p>
        </w:tc>
        <w:tc>
          <w:tcPr>
            <w:tcW w:w="0" w:type="auto"/>
          </w:tcPr>
          <w:p w14:paraId="37815126" w14:textId="77777777" w:rsidR="008C5CFA" w:rsidRPr="00A92B39" w:rsidRDefault="00E82A60" w:rsidP="00300A01">
            <w:pPr>
              <w:spacing w:before="0" w:after="0"/>
              <w:jc w:val="center"/>
              <w:rPr>
                <w:b/>
                <w:sz w:val="10"/>
                <w:szCs w:val="10"/>
                <w:lang w:val="fr-BE"/>
              </w:rPr>
            </w:pPr>
            <w:r w:rsidRPr="00A92B39">
              <w:rPr>
                <w:b/>
                <w:noProof/>
                <w:sz w:val="10"/>
                <w:szCs w:val="10"/>
                <w:lang w:val="fr-BE"/>
              </w:rPr>
              <w:t>Mężczyźni</w:t>
            </w:r>
          </w:p>
        </w:tc>
        <w:tc>
          <w:tcPr>
            <w:tcW w:w="0" w:type="auto"/>
          </w:tcPr>
          <w:p w14:paraId="7712F665" w14:textId="77777777" w:rsidR="008C5CFA" w:rsidRPr="00A92B39" w:rsidRDefault="00E82A60" w:rsidP="00300A01">
            <w:pPr>
              <w:spacing w:before="0" w:after="0"/>
              <w:jc w:val="center"/>
              <w:rPr>
                <w:b/>
                <w:sz w:val="10"/>
                <w:szCs w:val="10"/>
                <w:lang w:val="fr-BE"/>
              </w:rPr>
            </w:pPr>
            <w:r w:rsidRPr="00A92B39">
              <w:rPr>
                <w:b/>
                <w:noProof/>
                <w:sz w:val="10"/>
                <w:szCs w:val="10"/>
                <w:lang w:val="fr-BE"/>
              </w:rPr>
              <w:t>Kobiety</w:t>
            </w:r>
          </w:p>
        </w:tc>
        <w:tc>
          <w:tcPr>
            <w:tcW w:w="0" w:type="auto"/>
          </w:tcPr>
          <w:p w14:paraId="2D83677F" w14:textId="77777777" w:rsidR="008C5CFA" w:rsidRPr="00A92B39" w:rsidRDefault="00E82A60" w:rsidP="00300A01">
            <w:pPr>
              <w:spacing w:before="0" w:after="0"/>
              <w:jc w:val="center"/>
              <w:rPr>
                <w:b/>
                <w:sz w:val="10"/>
                <w:szCs w:val="10"/>
                <w:lang w:val="fr-BE"/>
              </w:rPr>
            </w:pPr>
            <w:r w:rsidRPr="00A92B39">
              <w:rPr>
                <w:b/>
                <w:noProof/>
                <w:sz w:val="10"/>
                <w:szCs w:val="10"/>
                <w:lang w:val="fr-BE"/>
              </w:rPr>
              <w:t>Ogółem</w:t>
            </w:r>
          </w:p>
        </w:tc>
        <w:tc>
          <w:tcPr>
            <w:tcW w:w="0" w:type="auto"/>
          </w:tcPr>
          <w:p w14:paraId="25262EB5" w14:textId="77777777" w:rsidR="008C5CFA" w:rsidRPr="00A92B39" w:rsidRDefault="00E82A60" w:rsidP="00300A01">
            <w:pPr>
              <w:spacing w:before="0" w:after="0"/>
              <w:jc w:val="center"/>
              <w:rPr>
                <w:b/>
                <w:sz w:val="10"/>
                <w:szCs w:val="10"/>
                <w:lang w:val="fr-BE"/>
              </w:rPr>
            </w:pPr>
            <w:r w:rsidRPr="00A92B39">
              <w:rPr>
                <w:b/>
                <w:noProof/>
                <w:sz w:val="10"/>
                <w:szCs w:val="10"/>
                <w:lang w:val="fr-BE"/>
              </w:rPr>
              <w:t>Mężczyźni</w:t>
            </w:r>
          </w:p>
        </w:tc>
        <w:tc>
          <w:tcPr>
            <w:tcW w:w="0" w:type="auto"/>
          </w:tcPr>
          <w:p w14:paraId="44DA98BD" w14:textId="77777777" w:rsidR="008C5CFA" w:rsidRPr="00A92B39" w:rsidRDefault="00E82A60" w:rsidP="00300A01">
            <w:pPr>
              <w:spacing w:before="0" w:after="0"/>
              <w:jc w:val="center"/>
              <w:rPr>
                <w:b/>
                <w:sz w:val="10"/>
                <w:szCs w:val="10"/>
                <w:lang w:val="fr-BE"/>
              </w:rPr>
            </w:pPr>
            <w:r w:rsidRPr="00A92B39">
              <w:rPr>
                <w:b/>
                <w:noProof/>
                <w:sz w:val="10"/>
                <w:szCs w:val="10"/>
                <w:lang w:val="fr-BE"/>
              </w:rPr>
              <w:t>Kobiety</w:t>
            </w:r>
          </w:p>
        </w:tc>
      </w:tr>
      <w:tr w:rsidR="006B2EC1" w14:paraId="59A42014" w14:textId="77777777" w:rsidTr="0047688D">
        <w:tc>
          <w:tcPr>
            <w:tcW w:w="0" w:type="auto"/>
            <w:shd w:val="clear" w:color="auto" w:fill="auto"/>
          </w:tcPr>
          <w:p w14:paraId="71AF7A90" w14:textId="77777777" w:rsidR="008C5CFA" w:rsidRPr="00A92B39" w:rsidRDefault="00E82A60" w:rsidP="00300A01">
            <w:pPr>
              <w:spacing w:before="0" w:after="0"/>
              <w:rPr>
                <w:sz w:val="10"/>
                <w:szCs w:val="10"/>
                <w:lang w:val="fr-BE"/>
              </w:rPr>
            </w:pPr>
            <w:r w:rsidRPr="00A92B39">
              <w:rPr>
                <w:noProof/>
                <w:sz w:val="10"/>
                <w:szCs w:val="10"/>
                <w:lang w:val="fr-BE"/>
              </w:rPr>
              <w:t>019</w:t>
            </w:r>
          </w:p>
        </w:tc>
        <w:tc>
          <w:tcPr>
            <w:tcW w:w="0" w:type="auto"/>
            <w:shd w:val="clear" w:color="auto" w:fill="auto"/>
          </w:tcPr>
          <w:p w14:paraId="73FDDBB9" w14:textId="77777777" w:rsidR="008C5CFA" w:rsidRPr="00A92B39" w:rsidRDefault="00E82A60" w:rsidP="00300A01">
            <w:pPr>
              <w:spacing w:before="0" w:after="0"/>
              <w:rPr>
                <w:sz w:val="10"/>
                <w:szCs w:val="10"/>
                <w:lang w:val="fr-BE"/>
              </w:rPr>
            </w:pPr>
            <w:r w:rsidRPr="00A92B39">
              <w:rPr>
                <w:noProof/>
                <w:sz w:val="10"/>
                <w:szCs w:val="10"/>
                <w:lang w:val="fr-BE"/>
              </w:rPr>
              <w:t>Liczba osób pozostających bez pracy, które otrzymały bezzwrotne środki na podjęcie działalności gospodarczej w programie</w:t>
            </w:r>
          </w:p>
        </w:tc>
        <w:tc>
          <w:tcPr>
            <w:tcW w:w="0" w:type="auto"/>
            <w:shd w:val="clear" w:color="auto" w:fill="auto"/>
          </w:tcPr>
          <w:p w14:paraId="6CE33A52" w14:textId="77777777" w:rsidR="008C5CFA" w:rsidRPr="00A92B39" w:rsidRDefault="00E82A60" w:rsidP="00300A01">
            <w:pPr>
              <w:spacing w:before="0" w:after="0"/>
              <w:rPr>
                <w:sz w:val="10"/>
                <w:szCs w:val="10"/>
                <w:lang w:val="fr-BE"/>
              </w:rPr>
            </w:pPr>
            <w:r w:rsidRPr="00A92B39">
              <w:rPr>
                <w:noProof/>
                <w:sz w:val="10"/>
                <w:szCs w:val="10"/>
                <w:lang w:val="fr-BE"/>
              </w:rPr>
              <w:t>Słabiej rozwinięte</w:t>
            </w:r>
          </w:p>
        </w:tc>
        <w:tc>
          <w:tcPr>
            <w:tcW w:w="0" w:type="auto"/>
            <w:shd w:val="clear" w:color="auto" w:fill="auto"/>
          </w:tcPr>
          <w:p w14:paraId="64414E34" w14:textId="77777777" w:rsidR="008C5CFA" w:rsidRPr="00A92B39" w:rsidRDefault="00E82A60" w:rsidP="00300A01">
            <w:pPr>
              <w:spacing w:before="0" w:after="0"/>
              <w:jc w:val="right"/>
              <w:rPr>
                <w:sz w:val="10"/>
                <w:szCs w:val="10"/>
                <w:lang w:val="fr-BE"/>
              </w:rPr>
            </w:pPr>
            <w:r w:rsidRPr="00A92B39">
              <w:rPr>
                <w:noProof/>
                <w:sz w:val="10"/>
                <w:szCs w:val="10"/>
                <w:lang w:val="fr-BE"/>
              </w:rPr>
              <w:t>1 242,00</w:t>
            </w:r>
          </w:p>
        </w:tc>
        <w:tc>
          <w:tcPr>
            <w:tcW w:w="0" w:type="auto"/>
            <w:shd w:val="clear" w:color="auto" w:fill="auto"/>
          </w:tcPr>
          <w:p w14:paraId="386208D1"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14:paraId="23F9114B"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25193C25" w14:textId="77777777" w:rsidR="008C5CFA" w:rsidRPr="00A92B39" w:rsidRDefault="00E82A60" w:rsidP="00300A01">
            <w:pPr>
              <w:spacing w:before="0" w:after="0"/>
              <w:jc w:val="right"/>
              <w:rPr>
                <w:sz w:val="10"/>
                <w:szCs w:val="10"/>
                <w:lang w:val="fr-BE"/>
              </w:rPr>
            </w:pPr>
            <w:r w:rsidRPr="00A92B39">
              <w:rPr>
                <w:noProof/>
                <w:sz w:val="10"/>
                <w:szCs w:val="10"/>
                <w:lang w:val="fr-BE"/>
              </w:rPr>
              <w:t>1 356,00</w:t>
            </w:r>
          </w:p>
        </w:tc>
        <w:tc>
          <w:tcPr>
            <w:tcW w:w="0" w:type="auto"/>
          </w:tcPr>
          <w:p w14:paraId="54251F5F"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2F3167BD"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15658A8A" w14:textId="77777777" w:rsidR="008C5CFA" w:rsidRPr="00A92B39" w:rsidRDefault="00E82A60" w:rsidP="00300A01">
            <w:pPr>
              <w:spacing w:before="0" w:after="0"/>
              <w:jc w:val="right"/>
              <w:rPr>
                <w:sz w:val="10"/>
                <w:szCs w:val="10"/>
                <w:lang w:val="fr-BE"/>
              </w:rPr>
            </w:pPr>
            <w:r w:rsidRPr="00A92B39">
              <w:rPr>
                <w:noProof/>
                <w:sz w:val="10"/>
                <w:szCs w:val="10"/>
                <w:lang w:val="fr-BE"/>
              </w:rPr>
              <w:t>584,00</w:t>
            </w:r>
          </w:p>
        </w:tc>
        <w:tc>
          <w:tcPr>
            <w:tcW w:w="0" w:type="auto"/>
          </w:tcPr>
          <w:p w14:paraId="7380918B"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265C714A"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4372FE06"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2D87F35D"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538FFFB1"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5650F906"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7B6E3F35"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4F7BC0E6"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r>
      <w:tr w:rsidR="006B2EC1" w14:paraId="1960C133" w14:textId="77777777" w:rsidTr="0047688D">
        <w:tc>
          <w:tcPr>
            <w:tcW w:w="0" w:type="auto"/>
            <w:shd w:val="clear" w:color="auto" w:fill="auto"/>
          </w:tcPr>
          <w:p w14:paraId="086F8805" w14:textId="77777777" w:rsidR="008C5CFA" w:rsidRPr="00A92B39" w:rsidRDefault="00E82A60" w:rsidP="00300A01">
            <w:pPr>
              <w:spacing w:before="0" w:after="0"/>
              <w:rPr>
                <w:sz w:val="10"/>
                <w:szCs w:val="10"/>
                <w:lang w:val="fr-BE"/>
              </w:rPr>
            </w:pPr>
            <w:r w:rsidRPr="00A92B39">
              <w:rPr>
                <w:noProof/>
                <w:sz w:val="10"/>
                <w:szCs w:val="10"/>
                <w:lang w:val="fr-BE"/>
              </w:rPr>
              <w:t>020</w:t>
            </w:r>
          </w:p>
        </w:tc>
        <w:tc>
          <w:tcPr>
            <w:tcW w:w="0" w:type="auto"/>
            <w:shd w:val="clear" w:color="auto" w:fill="auto"/>
          </w:tcPr>
          <w:p w14:paraId="39C1D8BF" w14:textId="77777777" w:rsidR="008C5CFA" w:rsidRPr="00A92B39" w:rsidRDefault="00E82A60" w:rsidP="00300A01">
            <w:pPr>
              <w:spacing w:before="0" w:after="0"/>
              <w:rPr>
                <w:sz w:val="10"/>
                <w:szCs w:val="10"/>
                <w:lang w:val="fr-BE"/>
              </w:rPr>
            </w:pPr>
            <w:r w:rsidRPr="00A92B39">
              <w:rPr>
                <w:noProof/>
                <w:sz w:val="10"/>
                <w:szCs w:val="10"/>
                <w:lang w:val="fr-BE"/>
              </w:rPr>
              <w:t>Liczba osób pozostających bez pracy odchodzących z rolnictwa, które otrzymały bezzwrotne środki na podjęcie działalności gospodarczej w programie</w:t>
            </w:r>
          </w:p>
        </w:tc>
        <w:tc>
          <w:tcPr>
            <w:tcW w:w="0" w:type="auto"/>
            <w:shd w:val="clear" w:color="auto" w:fill="auto"/>
          </w:tcPr>
          <w:p w14:paraId="5CA4E250" w14:textId="77777777" w:rsidR="008C5CFA" w:rsidRPr="00A92B39" w:rsidRDefault="00E82A60" w:rsidP="00300A01">
            <w:pPr>
              <w:spacing w:before="0" w:after="0"/>
              <w:rPr>
                <w:sz w:val="10"/>
                <w:szCs w:val="10"/>
                <w:lang w:val="fr-BE"/>
              </w:rPr>
            </w:pPr>
            <w:r w:rsidRPr="00A92B39">
              <w:rPr>
                <w:noProof/>
                <w:sz w:val="10"/>
                <w:szCs w:val="10"/>
                <w:lang w:val="fr-BE"/>
              </w:rPr>
              <w:t>Słabiej rozwinięte</w:t>
            </w:r>
          </w:p>
        </w:tc>
        <w:tc>
          <w:tcPr>
            <w:tcW w:w="0" w:type="auto"/>
            <w:shd w:val="clear" w:color="auto" w:fill="auto"/>
          </w:tcPr>
          <w:p w14:paraId="3C8B097B" w14:textId="77777777" w:rsidR="008C5CFA" w:rsidRPr="00A92B39" w:rsidRDefault="00E82A60" w:rsidP="00300A01">
            <w:pPr>
              <w:spacing w:before="0" w:after="0"/>
              <w:jc w:val="right"/>
              <w:rPr>
                <w:sz w:val="10"/>
                <w:szCs w:val="10"/>
                <w:lang w:val="fr-BE"/>
              </w:rPr>
            </w:pPr>
            <w:r w:rsidRPr="00A92B39">
              <w:rPr>
                <w:noProof/>
                <w:sz w:val="10"/>
                <w:szCs w:val="10"/>
                <w:lang w:val="fr-BE"/>
              </w:rPr>
              <w:t>167,00</w:t>
            </w:r>
          </w:p>
        </w:tc>
        <w:tc>
          <w:tcPr>
            <w:tcW w:w="0" w:type="auto"/>
            <w:shd w:val="clear" w:color="auto" w:fill="auto"/>
          </w:tcPr>
          <w:p w14:paraId="3CF7752C"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14:paraId="7C56E961"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2D442A9F" w14:textId="77777777" w:rsidR="008C5CFA" w:rsidRPr="00A92B39" w:rsidRDefault="00E82A60" w:rsidP="00300A01">
            <w:pPr>
              <w:spacing w:before="0" w:after="0"/>
              <w:jc w:val="right"/>
              <w:rPr>
                <w:sz w:val="10"/>
                <w:szCs w:val="10"/>
                <w:lang w:val="fr-BE"/>
              </w:rPr>
            </w:pPr>
            <w:r w:rsidRPr="00A92B39">
              <w:rPr>
                <w:noProof/>
                <w:sz w:val="10"/>
                <w:szCs w:val="10"/>
                <w:lang w:val="fr-BE"/>
              </w:rPr>
              <w:t>291,00</w:t>
            </w:r>
          </w:p>
        </w:tc>
        <w:tc>
          <w:tcPr>
            <w:tcW w:w="0" w:type="auto"/>
          </w:tcPr>
          <w:p w14:paraId="2B23DD52"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19EE582D"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67B97177" w14:textId="77777777" w:rsidR="008C5CFA" w:rsidRPr="00A92B39" w:rsidRDefault="00E82A60" w:rsidP="00300A01">
            <w:pPr>
              <w:spacing w:before="0" w:after="0"/>
              <w:jc w:val="right"/>
              <w:rPr>
                <w:sz w:val="10"/>
                <w:szCs w:val="10"/>
                <w:lang w:val="fr-BE"/>
              </w:rPr>
            </w:pPr>
            <w:r w:rsidRPr="00A92B39">
              <w:rPr>
                <w:noProof/>
                <w:sz w:val="10"/>
                <w:szCs w:val="10"/>
                <w:lang w:val="fr-BE"/>
              </w:rPr>
              <w:t>107,00</w:t>
            </w:r>
          </w:p>
        </w:tc>
        <w:tc>
          <w:tcPr>
            <w:tcW w:w="0" w:type="auto"/>
          </w:tcPr>
          <w:p w14:paraId="5042C822"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2D049B64"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24CA1968"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783D6898"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66E289CD"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1BCD5D9C"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308CDEDF"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274EE981"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r>
      <w:tr w:rsidR="006B2EC1" w14:paraId="44C7E5EE" w14:textId="77777777" w:rsidTr="0047688D">
        <w:tc>
          <w:tcPr>
            <w:tcW w:w="0" w:type="auto"/>
            <w:shd w:val="clear" w:color="auto" w:fill="auto"/>
          </w:tcPr>
          <w:p w14:paraId="2FE07202" w14:textId="77777777" w:rsidR="008C5CFA" w:rsidRPr="00A92B39" w:rsidRDefault="00E82A60" w:rsidP="00300A01">
            <w:pPr>
              <w:spacing w:before="0" w:after="0"/>
              <w:rPr>
                <w:sz w:val="10"/>
                <w:szCs w:val="10"/>
                <w:lang w:val="fr-BE"/>
              </w:rPr>
            </w:pPr>
            <w:r w:rsidRPr="00A92B39">
              <w:rPr>
                <w:noProof/>
                <w:sz w:val="10"/>
                <w:szCs w:val="10"/>
                <w:lang w:val="fr-BE"/>
              </w:rPr>
              <w:t>023</w:t>
            </w:r>
          </w:p>
        </w:tc>
        <w:tc>
          <w:tcPr>
            <w:tcW w:w="0" w:type="auto"/>
            <w:shd w:val="clear" w:color="auto" w:fill="auto"/>
          </w:tcPr>
          <w:p w14:paraId="50827E35" w14:textId="77777777" w:rsidR="008C5CFA" w:rsidRPr="00A92B39" w:rsidRDefault="00E82A60" w:rsidP="00300A01">
            <w:pPr>
              <w:spacing w:before="0" w:after="0"/>
              <w:rPr>
                <w:sz w:val="10"/>
                <w:szCs w:val="10"/>
                <w:lang w:val="fr-BE"/>
              </w:rPr>
            </w:pPr>
            <w:r w:rsidRPr="00A92B39">
              <w:rPr>
                <w:noProof/>
                <w:sz w:val="10"/>
                <w:szCs w:val="10"/>
                <w:lang w:val="fr-BE"/>
              </w:rPr>
              <w:t>Liczba osób pozostających bez pracy, które skorzystały z instrumentów zwrotnych na podjęcie działalności gospodarczej w programie</w:t>
            </w:r>
          </w:p>
        </w:tc>
        <w:tc>
          <w:tcPr>
            <w:tcW w:w="0" w:type="auto"/>
            <w:shd w:val="clear" w:color="auto" w:fill="auto"/>
          </w:tcPr>
          <w:p w14:paraId="39309C08" w14:textId="77777777" w:rsidR="008C5CFA" w:rsidRPr="00A92B39" w:rsidRDefault="00E82A60" w:rsidP="00300A01">
            <w:pPr>
              <w:spacing w:before="0" w:after="0"/>
              <w:rPr>
                <w:sz w:val="10"/>
                <w:szCs w:val="10"/>
                <w:lang w:val="fr-BE"/>
              </w:rPr>
            </w:pPr>
            <w:r w:rsidRPr="00A92B39">
              <w:rPr>
                <w:noProof/>
                <w:sz w:val="10"/>
                <w:szCs w:val="10"/>
                <w:lang w:val="fr-BE"/>
              </w:rPr>
              <w:t>Słabiej rozwinięte</w:t>
            </w:r>
          </w:p>
        </w:tc>
        <w:tc>
          <w:tcPr>
            <w:tcW w:w="0" w:type="auto"/>
            <w:shd w:val="clear" w:color="auto" w:fill="auto"/>
          </w:tcPr>
          <w:p w14:paraId="18DEC483" w14:textId="77777777" w:rsidR="008C5CFA" w:rsidRPr="00A92B39" w:rsidRDefault="00E82A60" w:rsidP="00300A01">
            <w:pPr>
              <w:spacing w:before="0" w:after="0"/>
              <w:jc w:val="right"/>
              <w:rPr>
                <w:sz w:val="10"/>
                <w:szCs w:val="10"/>
                <w:lang w:val="fr-BE"/>
              </w:rPr>
            </w:pPr>
            <w:r w:rsidRPr="00A92B39">
              <w:rPr>
                <w:noProof/>
                <w:sz w:val="10"/>
                <w:szCs w:val="10"/>
                <w:lang w:val="fr-BE"/>
              </w:rPr>
              <w:t>32,00</w:t>
            </w:r>
          </w:p>
        </w:tc>
        <w:tc>
          <w:tcPr>
            <w:tcW w:w="0" w:type="auto"/>
            <w:shd w:val="clear" w:color="auto" w:fill="auto"/>
          </w:tcPr>
          <w:p w14:paraId="352594C1"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14:paraId="7DC88EAB"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12163F2B"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7A8210A3"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6AC52A02"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28E9850A"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21A1A348"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5101C20B"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4B7E0560"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3CA10480"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08366710"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2A1C8C02"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2433EF3C"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776DA7B6"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r>
    </w:tbl>
    <w:p w14:paraId="43CCBC32" w14:textId="77777777" w:rsidR="008C5CFA" w:rsidRDefault="008C5CFA" w:rsidP="00300A01">
      <w:pPr>
        <w:spacing w:before="0" w:after="0"/>
        <w:rPr>
          <w:lang w:val="fr-BE"/>
        </w:rPr>
      </w:pPr>
    </w:p>
    <w:p w14:paraId="205C90C0" w14:textId="77777777" w:rsidR="008C5CFA" w:rsidRDefault="00E82A60" w:rsidP="00300A01">
      <w:pPr>
        <w:spacing w:before="0" w:after="0"/>
        <w:rPr>
          <w:lang w:val="fr-BE"/>
        </w:rPr>
      </w:pPr>
      <w:r>
        <w:rPr>
          <w:lang w:val="fr-BE"/>
        </w:rPr>
        <w:br w:type="page"/>
      </w:r>
    </w:p>
    <w:p w14:paraId="1A29CD46" w14:textId="77777777" w:rsidR="008C5CFA" w:rsidRPr="00B27C43" w:rsidRDefault="008C5CFA" w:rsidP="00300A01">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4"/>
        <w:gridCol w:w="11710"/>
      </w:tblGrid>
      <w:tr w:rsidR="006B2EC1" w14:paraId="431A64AF" w14:textId="77777777" w:rsidTr="0047688D">
        <w:tc>
          <w:tcPr>
            <w:tcW w:w="0" w:type="auto"/>
            <w:shd w:val="clear" w:color="auto" w:fill="auto"/>
          </w:tcPr>
          <w:p w14:paraId="50B4C0C2" w14:textId="77777777" w:rsidR="008C5CFA" w:rsidRPr="002124FC" w:rsidRDefault="00E82A60" w:rsidP="00300A01">
            <w:pPr>
              <w:spacing w:before="0" w:after="0"/>
              <w:rPr>
                <w:sz w:val="20"/>
                <w:szCs w:val="20"/>
                <w:lang w:val="fr-BE"/>
              </w:rPr>
            </w:pPr>
            <w:r w:rsidRPr="002124FC">
              <w:rPr>
                <w:noProof/>
                <w:sz w:val="20"/>
                <w:szCs w:val="20"/>
                <w:lang w:val="fr-BE"/>
              </w:rPr>
              <w:t>Oś priorytetowa</w:t>
            </w:r>
          </w:p>
        </w:tc>
        <w:tc>
          <w:tcPr>
            <w:tcW w:w="0" w:type="auto"/>
            <w:shd w:val="clear" w:color="auto" w:fill="auto"/>
          </w:tcPr>
          <w:p w14:paraId="4153B382" w14:textId="77777777" w:rsidR="008C5CFA" w:rsidRPr="002124FC" w:rsidRDefault="00E82A60" w:rsidP="00300A01">
            <w:pPr>
              <w:spacing w:before="0" w:after="0"/>
              <w:rPr>
                <w:sz w:val="20"/>
                <w:szCs w:val="20"/>
                <w:lang w:val="fr-BE"/>
              </w:rPr>
            </w:pPr>
            <w:r w:rsidRPr="002124FC">
              <w:rPr>
                <w:noProof/>
                <w:sz w:val="20"/>
                <w:szCs w:val="20"/>
                <w:lang w:val="fr-BE"/>
              </w:rPr>
              <w:t>10</w:t>
            </w:r>
            <w:r w:rsidRPr="002124FC">
              <w:rPr>
                <w:sz w:val="20"/>
                <w:szCs w:val="20"/>
                <w:lang w:val="fr-BE"/>
              </w:rPr>
              <w:t xml:space="preserve"> - </w:t>
            </w:r>
            <w:r w:rsidRPr="002124FC">
              <w:rPr>
                <w:noProof/>
                <w:sz w:val="20"/>
                <w:szCs w:val="20"/>
                <w:lang w:val="fr-BE"/>
              </w:rPr>
              <w:t>Otwarty rynek pracy</w:t>
            </w:r>
          </w:p>
        </w:tc>
      </w:tr>
      <w:tr w:rsidR="006B2EC1" w14:paraId="66E95740" w14:textId="77777777" w:rsidTr="0047688D">
        <w:tc>
          <w:tcPr>
            <w:tcW w:w="0" w:type="auto"/>
            <w:shd w:val="clear" w:color="auto" w:fill="auto"/>
          </w:tcPr>
          <w:p w14:paraId="66955AF9" w14:textId="77777777" w:rsidR="008C5CFA" w:rsidRPr="002124FC" w:rsidRDefault="00E82A60"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14:paraId="0ACFF4A7" w14:textId="77777777" w:rsidR="008C5CFA" w:rsidRPr="002124FC" w:rsidRDefault="00E82A60" w:rsidP="00300A01">
            <w:pPr>
              <w:spacing w:before="0" w:after="0"/>
              <w:rPr>
                <w:sz w:val="20"/>
                <w:szCs w:val="20"/>
                <w:lang w:val="fr-BE"/>
              </w:rPr>
            </w:pPr>
            <w:r w:rsidRPr="002124FC">
              <w:rPr>
                <w:noProof/>
                <w:sz w:val="20"/>
                <w:szCs w:val="20"/>
                <w:lang w:val="fr-BE"/>
              </w:rPr>
              <w:t>8v</w:t>
            </w:r>
            <w:r w:rsidRPr="002124FC">
              <w:rPr>
                <w:sz w:val="20"/>
                <w:szCs w:val="20"/>
                <w:lang w:val="fr-BE"/>
              </w:rPr>
              <w:t xml:space="preserve"> - </w:t>
            </w:r>
            <w:r w:rsidRPr="002124FC">
              <w:rPr>
                <w:noProof/>
                <w:sz w:val="20"/>
                <w:szCs w:val="20"/>
                <w:lang w:val="fr-BE"/>
              </w:rPr>
              <w:t>Przystosowywanie pracowników, przedsiębiorstw i przedsiębiorców do zmian</w:t>
            </w:r>
          </w:p>
        </w:tc>
      </w:tr>
    </w:tbl>
    <w:p w14:paraId="20C50F03" w14:textId="77777777" w:rsidR="008C5CFA" w:rsidRDefault="008C5CFA" w:rsidP="00300A01">
      <w:pPr>
        <w:spacing w:before="0" w:after="0"/>
        <w:ind w:left="113" w:hanging="113"/>
        <w:rPr>
          <w:sz w:val="20"/>
          <w:szCs w:val="20"/>
          <w:lang w:val="fr-BE"/>
        </w:rPr>
      </w:pPr>
    </w:p>
    <w:p w14:paraId="42DDBAFC" w14:textId="77777777" w:rsidR="008C5CFA" w:rsidRPr="008E457C" w:rsidRDefault="00E82A60" w:rsidP="00300A01">
      <w:pPr>
        <w:pStyle w:val="Nagwek2"/>
        <w:spacing w:before="0" w:after="0"/>
      </w:pPr>
      <w:bookmarkStart w:id="19" w:name="_Toc46391703"/>
      <w:r w:rsidRPr="008E457C">
        <w:rPr>
          <w:noProof/>
        </w:rPr>
        <w:t>Tabela 2A</w:t>
      </w:r>
      <w:r w:rsidRPr="008E457C">
        <w:t xml:space="preserve"> : </w:t>
      </w:r>
      <w:proofErr w:type="spellStart"/>
      <w:r w:rsidRPr="008E457C">
        <w:t>Wspólne</w:t>
      </w:r>
      <w:proofErr w:type="spellEnd"/>
      <w:r w:rsidRPr="008E457C">
        <w:t xml:space="preserve"> </w:t>
      </w:r>
      <w:proofErr w:type="spellStart"/>
      <w:r w:rsidRPr="008E457C">
        <w:t>wskaźniki</w:t>
      </w:r>
      <w:proofErr w:type="spellEnd"/>
      <w:r w:rsidRPr="008E457C">
        <w:t xml:space="preserve"> </w:t>
      </w:r>
      <w:proofErr w:type="spellStart"/>
      <w:r w:rsidRPr="008E457C">
        <w:t>rezultatu</w:t>
      </w:r>
      <w:proofErr w:type="spellEnd"/>
      <w:r w:rsidRPr="008E457C">
        <w:t xml:space="preserve"> </w:t>
      </w:r>
      <w:proofErr w:type="spellStart"/>
      <w:r w:rsidRPr="008E457C">
        <w:t>dla</w:t>
      </w:r>
      <w:proofErr w:type="spellEnd"/>
      <w:r w:rsidRPr="008E457C">
        <w:t xml:space="preserve"> EFS (z </w:t>
      </w:r>
      <w:proofErr w:type="spellStart"/>
      <w:r w:rsidRPr="008E457C">
        <w:t>podziałem</w:t>
      </w:r>
      <w:proofErr w:type="spellEnd"/>
      <w:r w:rsidRPr="008E457C">
        <w:t xml:space="preserve"> </w:t>
      </w:r>
      <w:proofErr w:type="spellStart"/>
      <w:r w:rsidRPr="008E457C">
        <w:t>na</w:t>
      </w:r>
      <w:proofErr w:type="spellEnd"/>
      <w:r w:rsidRPr="008E457C">
        <w:t xml:space="preserve"> </w:t>
      </w:r>
      <w:proofErr w:type="spellStart"/>
      <w:r w:rsidRPr="008E457C">
        <w:t>oś</w:t>
      </w:r>
      <w:proofErr w:type="spellEnd"/>
      <w:r w:rsidRPr="008E457C">
        <w:t xml:space="preserve"> </w:t>
      </w:r>
      <w:proofErr w:type="spellStart"/>
      <w:r w:rsidRPr="008E457C">
        <w:t>priorytetową</w:t>
      </w:r>
      <w:proofErr w:type="spellEnd"/>
      <w:r w:rsidRPr="008E457C">
        <w:t xml:space="preserve">, </w:t>
      </w:r>
      <w:proofErr w:type="spellStart"/>
      <w:r w:rsidRPr="008E457C">
        <w:t>priorytet</w:t>
      </w:r>
      <w:proofErr w:type="spellEnd"/>
      <w:r w:rsidRPr="008E457C">
        <w:t xml:space="preserve"> </w:t>
      </w:r>
      <w:proofErr w:type="spellStart"/>
      <w:r w:rsidRPr="008E457C">
        <w:t>inwestycyjny</w:t>
      </w:r>
      <w:proofErr w:type="spellEnd"/>
      <w:r w:rsidRPr="008E457C">
        <w:t xml:space="preserve"> i </w:t>
      </w:r>
      <w:proofErr w:type="spellStart"/>
      <w:r w:rsidRPr="008E457C">
        <w:t>kategorię</w:t>
      </w:r>
      <w:proofErr w:type="spellEnd"/>
      <w:r w:rsidRPr="008E457C">
        <w:t xml:space="preserve"> </w:t>
      </w:r>
      <w:proofErr w:type="spellStart"/>
      <w:r w:rsidRPr="008E457C">
        <w:t>regionu</w:t>
      </w:r>
      <w:proofErr w:type="spellEnd"/>
      <w:r w:rsidRPr="008E457C">
        <w:t xml:space="preserve">) Dane </w:t>
      </w:r>
      <w:proofErr w:type="spellStart"/>
      <w:r w:rsidRPr="008E457C">
        <w:t>na</w:t>
      </w:r>
      <w:proofErr w:type="spellEnd"/>
      <w:r w:rsidRPr="008E457C">
        <w:t xml:space="preserve"> </w:t>
      </w:r>
      <w:proofErr w:type="spellStart"/>
      <w:r w:rsidRPr="008E457C">
        <w:t>temat</w:t>
      </w:r>
      <w:proofErr w:type="spellEnd"/>
      <w:r w:rsidRPr="008E457C">
        <w:t xml:space="preserve"> </w:t>
      </w:r>
      <w:proofErr w:type="spellStart"/>
      <w:r w:rsidRPr="008E457C">
        <w:t>wszystkich</w:t>
      </w:r>
      <w:proofErr w:type="spellEnd"/>
      <w:r w:rsidRPr="008E457C">
        <w:t xml:space="preserve"> </w:t>
      </w:r>
      <w:proofErr w:type="spellStart"/>
      <w:r w:rsidRPr="008E457C">
        <w:t>wspólnych</w:t>
      </w:r>
      <w:proofErr w:type="spellEnd"/>
      <w:r w:rsidRPr="008E457C">
        <w:t xml:space="preserve"> </w:t>
      </w:r>
      <w:proofErr w:type="spellStart"/>
      <w:r w:rsidRPr="008E457C">
        <w:t>wskaźników</w:t>
      </w:r>
      <w:proofErr w:type="spellEnd"/>
      <w:r w:rsidRPr="008E457C">
        <w:t xml:space="preserve"> </w:t>
      </w:r>
      <w:proofErr w:type="spellStart"/>
      <w:r w:rsidRPr="008E457C">
        <w:t>rezultatu</w:t>
      </w:r>
      <w:proofErr w:type="spellEnd"/>
      <w:r w:rsidRPr="008E457C">
        <w:t xml:space="preserve"> </w:t>
      </w:r>
      <w:proofErr w:type="spellStart"/>
      <w:r w:rsidRPr="008E457C">
        <w:t>dla</w:t>
      </w:r>
      <w:proofErr w:type="spellEnd"/>
      <w:r w:rsidRPr="008E457C">
        <w:t xml:space="preserve"> EFS (z </w:t>
      </w:r>
      <w:proofErr w:type="spellStart"/>
      <w:r w:rsidRPr="008E457C">
        <w:t>wartością</w:t>
      </w:r>
      <w:proofErr w:type="spellEnd"/>
      <w:r w:rsidRPr="008E457C">
        <w:t xml:space="preserve"> </w:t>
      </w:r>
      <w:proofErr w:type="spellStart"/>
      <w:r w:rsidRPr="008E457C">
        <w:t>docelową</w:t>
      </w:r>
      <w:proofErr w:type="spellEnd"/>
      <w:r w:rsidRPr="008E457C">
        <w:t xml:space="preserve"> i bez) </w:t>
      </w:r>
      <w:proofErr w:type="spellStart"/>
      <w:r w:rsidRPr="008E457C">
        <w:t>przedstawia</w:t>
      </w:r>
      <w:proofErr w:type="spellEnd"/>
      <w:r w:rsidRPr="008E457C">
        <w:t xml:space="preserve"> </w:t>
      </w:r>
      <w:proofErr w:type="spellStart"/>
      <w:r w:rsidRPr="008E457C">
        <w:t>się</w:t>
      </w:r>
      <w:proofErr w:type="spellEnd"/>
      <w:r w:rsidRPr="008E457C">
        <w:t xml:space="preserve"> w </w:t>
      </w:r>
      <w:proofErr w:type="spellStart"/>
      <w:r w:rsidRPr="008E457C">
        <w:t>sprawozdaniu</w:t>
      </w:r>
      <w:proofErr w:type="spellEnd"/>
      <w:r w:rsidRPr="008E457C">
        <w:t xml:space="preserve"> w </w:t>
      </w:r>
      <w:proofErr w:type="spellStart"/>
      <w:r w:rsidRPr="008E457C">
        <w:t>podziale</w:t>
      </w:r>
      <w:proofErr w:type="spellEnd"/>
      <w:r w:rsidRPr="008E457C">
        <w:t xml:space="preserve"> </w:t>
      </w:r>
      <w:proofErr w:type="spellStart"/>
      <w:r w:rsidRPr="008E457C">
        <w:t>na</w:t>
      </w:r>
      <w:proofErr w:type="spellEnd"/>
      <w:r w:rsidRPr="008E457C">
        <w:t xml:space="preserve"> </w:t>
      </w:r>
      <w:proofErr w:type="spellStart"/>
      <w:r w:rsidRPr="008E457C">
        <w:t>płeć</w:t>
      </w:r>
      <w:proofErr w:type="spellEnd"/>
      <w:r w:rsidRPr="008E457C">
        <w:t xml:space="preserve">. W </w:t>
      </w:r>
      <w:proofErr w:type="spellStart"/>
      <w:r w:rsidRPr="008E457C">
        <w:t>przypadku</w:t>
      </w:r>
      <w:proofErr w:type="spellEnd"/>
      <w:r w:rsidRPr="008E457C">
        <w:t xml:space="preserve"> </w:t>
      </w:r>
      <w:proofErr w:type="spellStart"/>
      <w:r w:rsidRPr="008E457C">
        <w:t>osi</w:t>
      </w:r>
      <w:proofErr w:type="spellEnd"/>
      <w:r w:rsidRPr="008E457C">
        <w:t xml:space="preserve"> </w:t>
      </w:r>
      <w:proofErr w:type="spellStart"/>
      <w:r w:rsidRPr="008E457C">
        <w:t>priorytetowej</w:t>
      </w:r>
      <w:proofErr w:type="spellEnd"/>
      <w:r w:rsidRPr="008E457C">
        <w:t xml:space="preserve"> </w:t>
      </w:r>
      <w:r>
        <w:t>"</w:t>
      </w:r>
      <w:proofErr w:type="spellStart"/>
      <w:r w:rsidRPr="008E457C">
        <w:t>Pomoc</w:t>
      </w:r>
      <w:proofErr w:type="spellEnd"/>
      <w:r w:rsidRPr="008E457C">
        <w:t xml:space="preserve"> </w:t>
      </w:r>
      <w:proofErr w:type="spellStart"/>
      <w:r w:rsidRPr="008E457C">
        <w:t>techniczna</w:t>
      </w:r>
      <w:proofErr w:type="spellEnd"/>
      <w:r w:rsidRPr="008E457C">
        <w:t xml:space="preserve"> w </w:t>
      </w:r>
      <w:proofErr w:type="spellStart"/>
      <w:r w:rsidRPr="008E457C">
        <w:t>sprawozdaniu</w:t>
      </w:r>
      <w:proofErr w:type="spellEnd"/>
      <w:r w:rsidRPr="008E457C">
        <w:t xml:space="preserve"> </w:t>
      </w:r>
      <w:proofErr w:type="spellStart"/>
      <w:r w:rsidRPr="008E457C">
        <w:t>przedstawia</w:t>
      </w:r>
      <w:proofErr w:type="spellEnd"/>
      <w:r w:rsidRPr="008E457C">
        <w:t xml:space="preserve"> </w:t>
      </w:r>
      <w:proofErr w:type="spellStart"/>
      <w:r w:rsidRPr="008E457C">
        <w:t>się</w:t>
      </w:r>
      <w:proofErr w:type="spellEnd"/>
      <w:r w:rsidRPr="008E457C">
        <w:t xml:space="preserve"> </w:t>
      </w:r>
      <w:proofErr w:type="spellStart"/>
      <w:r w:rsidRPr="008E457C">
        <w:t>jedynie</w:t>
      </w:r>
      <w:proofErr w:type="spellEnd"/>
      <w:r w:rsidRPr="008E457C">
        <w:t xml:space="preserve"> </w:t>
      </w:r>
      <w:proofErr w:type="spellStart"/>
      <w:r w:rsidRPr="008E457C">
        <w:t>te</w:t>
      </w:r>
      <w:proofErr w:type="spellEnd"/>
      <w:r w:rsidRPr="008E457C">
        <w:t xml:space="preserve"> </w:t>
      </w:r>
      <w:proofErr w:type="spellStart"/>
      <w:r w:rsidRPr="008E457C">
        <w:t>wskaźniki</w:t>
      </w:r>
      <w:proofErr w:type="spellEnd"/>
      <w:r w:rsidRPr="008E457C">
        <w:t xml:space="preserve"> </w:t>
      </w:r>
      <w:proofErr w:type="spellStart"/>
      <w:r w:rsidRPr="008E457C">
        <w:t>wspólne</w:t>
      </w:r>
      <w:proofErr w:type="spellEnd"/>
      <w:r w:rsidRPr="008E457C">
        <w:t xml:space="preserve">, w </w:t>
      </w:r>
      <w:proofErr w:type="spellStart"/>
      <w:r w:rsidRPr="008E457C">
        <w:t>odniesieniu</w:t>
      </w:r>
      <w:proofErr w:type="spellEnd"/>
      <w:r w:rsidRPr="008E457C">
        <w:t xml:space="preserve"> do </w:t>
      </w:r>
      <w:proofErr w:type="spellStart"/>
      <w:r w:rsidRPr="008E457C">
        <w:t>których</w:t>
      </w:r>
      <w:proofErr w:type="spellEnd"/>
      <w:r w:rsidRPr="008E457C">
        <w:t xml:space="preserve"> </w:t>
      </w:r>
      <w:proofErr w:type="spellStart"/>
      <w:r w:rsidRPr="008E457C">
        <w:t>ustanowiono</w:t>
      </w:r>
      <w:proofErr w:type="spellEnd"/>
      <w:r w:rsidRPr="008E457C">
        <w:t xml:space="preserve"> </w:t>
      </w:r>
      <w:proofErr w:type="spellStart"/>
      <w:r w:rsidRPr="008E457C">
        <w:t>wartość</w:t>
      </w:r>
      <w:proofErr w:type="spellEnd"/>
      <w:r w:rsidRPr="008E457C">
        <w:t xml:space="preserve"> </w:t>
      </w:r>
      <w:proofErr w:type="spellStart"/>
      <w:r w:rsidRPr="008E457C">
        <w:t>docelową</w:t>
      </w:r>
      <w:proofErr w:type="spellEnd"/>
      <w:r w:rsidRPr="008E457C">
        <w:t>.</w:t>
      </w:r>
      <w:r w:rsidR="00501DA0">
        <w:t xml:space="preserve"> - </w:t>
      </w:r>
      <w:r w:rsidR="00501DA0" w:rsidRPr="002124FC">
        <w:rPr>
          <w:noProof/>
          <w:sz w:val="20"/>
          <w:szCs w:val="20"/>
          <w:lang w:val="fr-BE"/>
        </w:rPr>
        <w:t>10</w:t>
      </w:r>
      <w:r w:rsidR="00501DA0">
        <w:rPr>
          <w:sz w:val="20"/>
          <w:szCs w:val="20"/>
          <w:lang w:val="fr-BE"/>
        </w:rPr>
        <w:t xml:space="preserve"> / </w:t>
      </w:r>
      <w:r w:rsidR="00501DA0" w:rsidRPr="002124FC">
        <w:rPr>
          <w:noProof/>
          <w:sz w:val="20"/>
          <w:szCs w:val="20"/>
          <w:lang w:val="fr-BE"/>
        </w:rPr>
        <w:t>8v</w:t>
      </w:r>
      <w:bookmarkEnd w:id="19"/>
    </w:p>
    <w:p w14:paraId="4F5B27AB" w14:textId="77777777" w:rsidR="008C5CFA" w:rsidRDefault="008C5CFA" w:rsidP="00300A01">
      <w:pPr>
        <w:keepNext/>
        <w:spacing w:before="0" w:after="0"/>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37"/>
        <w:gridCol w:w="4958"/>
        <w:gridCol w:w="737"/>
        <w:gridCol w:w="2009"/>
        <w:gridCol w:w="1539"/>
        <w:gridCol w:w="456"/>
        <w:gridCol w:w="596"/>
        <w:gridCol w:w="463"/>
        <w:gridCol w:w="456"/>
        <w:gridCol w:w="596"/>
        <w:gridCol w:w="463"/>
        <w:gridCol w:w="456"/>
        <w:gridCol w:w="596"/>
        <w:gridCol w:w="463"/>
        <w:gridCol w:w="596"/>
        <w:gridCol w:w="463"/>
      </w:tblGrid>
      <w:tr w:rsidR="006B2EC1" w14:paraId="400FC378" w14:textId="77777777" w:rsidTr="0047688D">
        <w:trPr>
          <w:tblHeader/>
        </w:trPr>
        <w:tc>
          <w:tcPr>
            <w:tcW w:w="0" w:type="auto"/>
            <w:shd w:val="clear" w:color="auto" w:fill="auto"/>
          </w:tcPr>
          <w:p w14:paraId="770DA7F4" w14:textId="77777777" w:rsidR="008C5CFA" w:rsidRPr="00F53019" w:rsidRDefault="00E82A60" w:rsidP="00300A01">
            <w:pPr>
              <w:spacing w:before="0" w:after="0"/>
              <w:rPr>
                <w:b/>
                <w:sz w:val="12"/>
                <w:szCs w:val="12"/>
                <w:lang w:val="fr-BE"/>
              </w:rPr>
            </w:pPr>
            <w:r w:rsidRPr="00F53019">
              <w:rPr>
                <w:b/>
                <w:noProof/>
                <w:sz w:val="12"/>
                <w:szCs w:val="12"/>
                <w:lang w:val="fr-BE"/>
              </w:rPr>
              <w:t>ID</w:t>
            </w:r>
          </w:p>
        </w:tc>
        <w:tc>
          <w:tcPr>
            <w:tcW w:w="0" w:type="auto"/>
            <w:shd w:val="clear" w:color="auto" w:fill="auto"/>
          </w:tcPr>
          <w:p w14:paraId="61F13DDD" w14:textId="77777777" w:rsidR="008C5CFA" w:rsidRPr="00F53019" w:rsidRDefault="00E82A60" w:rsidP="00300A01">
            <w:pPr>
              <w:spacing w:before="0" w:after="0"/>
              <w:rPr>
                <w:b/>
                <w:sz w:val="12"/>
                <w:szCs w:val="12"/>
                <w:lang w:val="fr-BE"/>
              </w:rPr>
            </w:pPr>
            <w:r w:rsidRPr="00F53019">
              <w:rPr>
                <w:b/>
                <w:noProof/>
                <w:sz w:val="12"/>
                <w:szCs w:val="12"/>
                <w:lang w:val="fr-BE"/>
              </w:rPr>
              <w:t>Wskaźnik</w:t>
            </w:r>
          </w:p>
        </w:tc>
        <w:tc>
          <w:tcPr>
            <w:tcW w:w="0" w:type="auto"/>
            <w:shd w:val="clear" w:color="auto" w:fill="auto"/>
          </w:tcPr>
          <w:p w14:paraId="7EDF3BCC" w14:textId="77777777" w:rsidR="008C5CFA" w:rsidRPr="00F53019" w:rsidRDefault="00E82A60" w:rsidP="00300A01">
            <w:pPr>
              <w:spacing w:before="0" w:after="0"/>
              <w:rPr>
                <w:b/>
                <w:sz w:val="12"/>
                <w:szCs w:val="12"/>
                <w:lang w:val="fr-BE"/>
              </w:rPr>
            </w:pPr>
            <w:r w:rsidRPr="00F53019">
              <w:rPr>
                <w:b/>
                <w:noProof/>
                <w:sz w:val="12"/>
                <w:szCs w:val="12"/>
                <w:lang w:val="fr-BE"/>
              </w:rPr>
              <w:t>Kategoria regionu</w:t>
            </w:r>
          </w:p>
        </w:tc>
        <w:tc>
          <w:tcPr>
            <w:tcW w:w="0" w:type="auto"/>
            <w:shd w:val="clear" w:color="auto" w:fill="auto"/>
          </w:tcPr>
          <w:p w14:paraId="5505EC42" w14:textId="77777777" w:rsidR="008C5CFA" w:rsidRPr="00F53019" w:rsidRDefault="00E82A60" w:rsidP="00300A01">
            <w:pPr>
              <w:spacing w:before="0" w:after="0"/>
              <w:rPr>
                <w:b/>
                <w:sz w:val="12"/>
                <w:szCs w:val="12"/>
                <w:lang w:val="fr-BE"/>
              </w:rPr>
            </w:pPr>
            <w:r w:rsidRPr="00F53019">
              <w:rPr>
                <w:b/>
                <w:noProof/>
                <w:sz w:val="12"/>
                <w:szCs w:val="12"/>
                <w:lang w:val="fr-BE"/>
              </w:rPr>
              <w:t>Wspólny wskaźnik produktu stosowany jako podstawa ustalania celów</w:t>
            </w:r>
          </w:p>
        </w:tc>
        <w:tc>
          <w:tcPr>
            <w:tcW w:w="0" w:type="auto"/>
            <w:shd w:val="clear" w:color="auto" w:fill="auto"/>
          </w:tcPr>
          <w:p w14:paraId="5F457039" w14:textId="77777777" w:rsidR="008C5CFA" w:rsidRPr="00F53019" w:rsidRDefault="00E82A60" w:rsidP="00300A01">
            <w:pPr>
              <w:spacing w:before="0" w:after="0"/>
              <w:rPr>
                <w:b/>
                <w:sz w:val="12"/>
                <w:szCs w:val="12"/>
                <w:lang w:val="fr-BE"/>
              </w:rPr>
            </w:pPr>
            <w:r w:rsidRPr="00F53019">
              <w:rPr>
                <w:b/>
                <w:noProof/>
                <w:sz w:val="12"/>
                <w:szCs w:val="12"/>
                <w:lang w:val="fr-BE"/>
              </w:rPr>
              <w:t>Jednostka pomiaru dla wartości bazowej i docelowej</w:t>
            </w:r>
          </w:p>
        </w:tc>
        <w:tc>
          <w:tcPr>
            <w:tcW w:w="0" w:type="auto"/>
            <w:gridSpan w:val="3"/>
            <w:shd w:val="clear" w:color="auto" w:fill="auto"/>
          </w:tcPr>
          <w:p w14:paraId="05EF2928" w14:textId="77777777" w:rsidR="008C5CFA" w:rsidRPr="00F53019" w:rsidRDefault="00E82A60" w:rsidP="00300A01">
            <w:pPr>
              <w:spacing w:before="0" w:after="0"/>
              <w:jc w:val="center"/>
              <w:rPr>
                <w:b/>
                <w:sz w:val="12"/>
                <w:szCs w:val="12"/>
                <w:lang w:val="fr-BE"/>
              </w:rPr>
            </w:pPr>
            <w:r w:rsidRPr="00F53019">
              <w:rPr>
                <w:b/>
                <w:noProof/>
                <w:sz w:val="12"/>
                <w:szCs w:val="12"/>
                <w:lang w:val="fr-BE"/>
              </w:rPr>
              <w:t>Wartość docelowa (2023)</w:t>
            </w:r>
          </w:p>
        </w:tc>
        <w:tc>
          <w:tcPr>
            <w:tcW w:w="0" w:type="auto"/>
            <w:gridSpan w:val="3"/>
            <w:shd w:val="clear" w:color="auto" w:fill="auto"/>
          </w:tcPr>
          <w:p w14:paraId="430A8CF7" w14:textId="77777777" w:rsidR="008C5CFA" w:rsidRPr="00F53019" w:rsidRDefault="00E82A60" w:rsidP="00300A01">
            <w:pPr>
              <w:spacing w:before="0" w:after="0"/>
              <w:jc w:val="center"/>
              <w:rPr>
                <w:b/>
                <w:sz w:val="12"/>
                <w:szCs w:val="12"/>
                <w:lang w:val="fr-BE"/>
              </w:rPr>
            </w:pPr>
            <w:r w:rsidRPr="00F53019">
              <w:rPr>
                <w:b/>
                <w:noProof/>
                <w:sz w:val="12"/>
                <w:szCs w:val="12"/>
                <w:lang w:val="fr-BE"/>
              </w:rPr>
              <w:t>Wartość skumulowana</w:t>
            </w:r>
          </w:p>
        </w:tc>
        <w:tc>
          <w:tcPr>
            <w:tcW w:w="0" w:type="auto"/>
            <w:gridSpan w:val="3"/>
            <w:shd w:val="clear" w:color="auto" w:fill="auto"/>
          </w:tcPr>
          <w:p w14:paraId="06CECABB" w14:textId="77777777" w:rsidR="008C5CFA" w:rsidRPr="00F53019" w:rsidRDefault="00E82A60" w:rsidP="00300A01">
            <w:pPr>
              <w:spacing w:before="0" w:after="0"/>
              <w:jc w:val="center"/>
              <w:rPr>
                <w:b/>
                <w:sz w:val="12"/>
                <w:szCs w:val="12"/>
                <w:lang w:val="fr-BE"/>
              </w:rPr>
            </w:pPr>
            <w:r w:rsidRPr="00F53019">
              <w:rPr>
                <w:b/>
                <w:noProof/>
                <w:sz w:val="12"/>
                <w:szCs w:val="12"/>
                <w:lang w:val="fr-BE"/>
              </w:rPr>
              <w:t>Wskaźnik osiągnięć</w:t>
            </w:r>
          </w:p>
        </w:tc>
        <w:tc>
          <w:tcPr>
            <w:tcW w:w="0" w:type="auto"/>
            <w:gridSpan w:val="2"/>
            <w:shd w:val="clear" w:color="auto" w:fill="auto"/>
          </w:tcPr>
          <w:p w14:paraId="46442A18" w14:textId="77777777" w:rsidR="008C5CFA" w:rsidRPr="00F53019" w:rsidRDefault="00E82A60" w:rsidP="00300A01">
            <w:pPr>
              <w:spacing w:before="0" w:after="0"/>
              <w:jc w:val="center"/>
              <w:rPr>
                <w:b/>
                <w:sz w:val="12"/>
                <w:szCs w:val="12"/>
                <w:lang w:val="fr-BE"/>
              </w:rPr>
            </w:pPr>
            <w:r>
              <w:rPr>
                <w:b/>
                <w:sz w:val="12"/>
                <w:szCs w:val="12"/>
                <w:lang w:val="fr-BE"/>
              </w:rPr>
              <w:t>2019</w:t>
            </w:r>
          </w:p>
        </w:tc>
      </w:tr>
      <w:tr w:rsidR="006B2EC1" w14:paraId="636AC211" w14:textId="77777777" w:rsidTr="0047688D">
        <w:trPr>
          <w:tblHeader/>
        </w:trPr>
        <w:tc>
          <w:tcPr>
            <w:tcW w:w="0" w:type="auto"/>
            <w:shd w:val="clear" w:color="auto" w:fill="auto"/>
          </w:tcPr>
          <w:p w14:paraId="37CAA9E3" w14:textId="77777777" w:rsidR="008C5CFA" w:rsidRPr="00F53019" w:rsidRDefault="008C5CFA" w:rsidP="00300A01">
            <w:pPr>
              <w:spacing w:before="0" w:after="0"/>
              <w:rPr>
                <w:b/>
                <w:sz w:val="12"/>
                <w:szCs w:val="12"/>
                <w:lang w:val="fr-BE"/>
              </w:rPr>
            </w:pPr>
          </w:p>
        </w:tc>
        <w:tc>
          <w:tcPr>
            <w:tcW w:w="0" w:type="auto"/>
            <w:shd w:val="clear" w:color="auto" w:fill="auto"/>
          </w:tcPr>
          <w:p w14:paraId="74E43464" w14:textId="77777777" w:rsidR="008C5CFA" w:rsidRPr="00F53019" w:rsidRDefault="008C5CFA" w:rsidP="00300A01">
            <w:pPr>
              <w:spacing w:before="0" w:after="0"/>
              <w:rPr>
                <w:b/>
                <w:sz w:val="12"/>
                <w:szCs w:val="12"/>
                <w:lang w:val="fr-BE"/>
              </w:rPr>
            </w:pPr>
          </w:p>
        </w:tc>
        <w:tc>
          <w:tcPr>
            <w:tcW w:w="0" w:type="auto"/>
            <w:shd w:val="clear" w:color="auto" w:fill="auto"/>
          </w:tcPr>
          <w:p w14:paraId="71BAD2BE" w14:textId="77777777" w:rsidR="008C5CFA" w:rsidRPr="00F53019" w:rsidRDefault="008C5CFA" w:rsidP="00300A01">
            <w:pPr>
              <w:spacing w:before="0" w:after="0"/>
              <w:rPr>
                <w:b/>
                <w:sz w:val="12"/>
                <w:szCs w:val="12"/>
                <w:lang w:val="fr-BE"/>
              </w:rPr>
            </w:pPr>
          </w:p>
        </w:tc>
        <w:tc>
          <w:tcPr>
            <w:tcW w:w="0" w:type="auto"/>
            <w:shd w:val="clear" w:color="auto" w:fill="auto"/>
          </w:tcPr>
          <w:p w14:paraId="2733AAF3" w14:textId="77777777" w:rsidR="008C5CFA" w:rsidRPr="00F53019" w:rsidRDefault="008C5CFA" w:rsidP="00300A01">
            <w:pPr>
              <w:spacing w:before="0" w:after="0"/>
              <w:rPr>
                <w:b/>
                <w:sz w:val="12"/>
                <w:szCs w:val="12"/>
                <w:lang w:val="fr-BE"/>
              </w:rPr>
            </w:pPr>
          </w:p>
        </w:tc>
        <w:tc>
          <w:tcPr>
            <w:tcW w:w="0" w:type="auto"/>
            <w:shd w:val="clear" w:color="auto" w:fill="auto"/>
          </w:tcPr>
          <w:p w14:paraId="043203B9" w14:textId="77777777" w:rsidR="008C5CFA" w:rsidRPr="00F53019" w:rsidRDefault="008C5CFA" w:rsidP="00300A01">
            <w:pPr>
              <w:spacing w:before="0" w:after="0"/>
              <w:rPr>
                <w:b/>
                <w:sz w:val="12"/>
                <w:szCs w:val="12"/>
                <w:lang w:val="fr-BE"/>
              </w:rPr>
            </w:pPr>
          </w:p>
        </w:tc>
        <w:tc>
          <w:tcPr>
            <w:tcW w:w="0" w:type="auto"/>
            <w:shd w:val="clear" w:color="auto" w:fill="auto"/>
          </w:tcPr>
          <w:p w14:paraId="0DC582B6" w14:textId="77777777" w:rsidR="008C5CFA" w:rsidRPr="00F53019" w:rsidRDefault="00E82A60" w:rsidP="00300A01">
            <w:pPr>
              <w:spacing w:before="0" w:after="0"/>
              <w:jc w:val="center"/>
              <w:rPr>
                <w:b/>
                <w:sz w:val="12"/>
                <w:szCs w:val="12"/>
                <w:lang w:val="fr-BE"/>
              </w:rPr>
            </w:pPr>
            <w:r w:rsidRPr="00F53019">
              <w:rPr>
                <w:b/>
                <w:noProof/>
                <w:sz w:val="12"/>
                <w:szCs w:val="12"/>
                <w:lang w:val="fr-BE"/>
              </w:rPr>
              <w:t>Ogółem</w:t>
            </w:r>
          </w:p>
        </w:tc>
        <w:tc>
          <w:tcPr>
            <w:tcW w:w="0" w:type="auto"/>
            <w:shd w:val="clear" w:color="auto" w:fill="auto"/>
          </w:tcPr>
          <w:p w14:paraId="6D3443ED" w14:textId="77777777" w:rsidR="008C5CFA" w:rsidRPr="00F53019" w:rsidRDefault="00E82A60"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14:paraId="091EC3B4" w14:textId="77777777" w:rsidR="008C5CFA" w:rsidRPr="00F53019" w:rsidRDefault="00E82A60" w:rsidP="00300A01">
            <w:pPr>
              <w:spacing w:before="0" w:after="0"/>
              <w:jc w:val="center"/>
              <w:rPr>
                <w:b/>
                <w:sz w:val="12"/>
                <w:szCs w:val="12"/>
                <w:lang w:val="fr-BE"/>
              </w:rPr>
            </w:pPr>
            <w:r w:rsidRPr="00F53019">
              <w:rPr>
                <w:b/>
                <w:noProof/>
                <w:sz w:val="12"/>
                <w:szCs w:val="12"/>
                <w:lang w:val="fr-BE"/>
              </w:rPr>
              <w:t>Kobiety</w:t>
            </w:r>
          </w:p>
        </w:tc>
        <w:tc>
          <w:tcPr>
            <w:tcW w:w="0" w:type="auto"/>
            <w:shd w:val="clear" w:color="auto" w:fill="auto"/>
          </w:tcPr>
          <w:p w14:paraId="7C467361" w14:textId="77777777" w:rsidR="008C5CFA" w:rsidRPr="00F53019" w:rsidRDefault="00E82A60" w:rsidP="00300A01">
            <w:pPr>
              <w:spacing w:before="0" w:after="0"/>
              <w:jc w:val="center"/>
              <w:rPr>
                <w:b/>
                <w:sz w:val="12"/>
                <w:szCs w:val="12"/>
                <w:lang w:val="fr-BE"/>
              </w:rPr>
            </w:pPr>
            <w:r w:rsidRPr="00F53019">
              <w:rPr>
                <w:b/>
                <w:noProof/>
                <w:sz w:val="12"/>
                <w:szCs w:val="12"/>
                <w:lang w:val="fr-BE"/>
              </w:rPr>
              <w:t>Ogółem</w:t>
            </w:r>
          </w:p>
        </w:tc>
        <w:tc>
          <w:tcPr>
            <w:tcW w:w="0" w:type="auto"/>
            <w:shd w:val="clear" w:color="auto" w:fill="auto"/>
          </w:tcPr>
          <w:p w14:paraId="35C549C6" w14:textId="77777777" w:rsidR="008C5CFA" w:rsidRPr="00F53019" w:rsidRDefault="00E82A60"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14:paraId="6CABFC61" w14:textId="77777777" w:rsidR="008C5CFA" w:rsidRPr="00F53019" w:rsidRDefault="00E82A60" w:rsidP="00300A01">
            <w:pPr>
              <w:spacing w:before="0" w:after="0"/>
              <w:jc w:val="center"/>
              <w:rPr>
                <w:b/>
                <w:sz w:val="12"/>
                <w:szCs w:val="12"/>
                <w:lang w:val="fr-BE"/>
              </w:rPr>
            </w:pPr>
            <w:r w:rsidRPr="00F53019">
              <w:rPr>
                <w:b/>
                <w:noProof/>
                <w:sz w:val="12"/>
                <w:szCs w:val="12"/>
                <w:lang w:val="fr-BE"/>
              </w:rPr>
              <w:t>Kobiety</w:t>
            </w:r>
          </w:p>
        </w:tc>
        <w:tc>
          <w:tcPr>
            <w:tcW w:w="0" w:type="auto"/>
            <w:shd w:val="clear" w:color="auto" w:fill="auto"/>
          </w:tcPr>
          <w:p w14:paraId="1CFE1212" w14:textId="77777777" w:rsidR="008C5CFA" w:rsidRPr="00F53019" w:rsidRDefault="00E82A60" w:rsidP="00300A01">
            <w:pPr>
              <w:spacing w:before="0" w:after="0"/>
              <w:jc w:val="center"/>
              <w:rPr>
                <w:b/>
                <w:sz w:val="12"/>
                <w:szCs w:val="12"/>
                <w:lang w:val="fr-BE"/>
              </w:rPr>
            </w:pPr>
            <w:r w:rsidRPr="00F53019">
              <w:rPr>
                <w:b/>
                <w:noProof/>
                <w:sz w:val="12"/>
                <w:szCs w:val="12"/>
                <w:lang w:val="fr-BE"/>
              </w:rPr>
              <w:t>Ogółem</w:t>
            </w:r>
          </w:p>
        </w:tc>
        <w:tc>
          <w:tcPr>
            <w:tcW w:w="0" w:type="auto"/>
            <w:shd w:val="clear" w:color="auto" w:fill="auto"/>
          </w:tcPr>
          <w:p w14:paraId="5A0807B1" w14:textId="77777777" w:rsidR="008C5CFA" w:rsidRPr="00F53019" w:rsidRDefault="00E82A60"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14:paraId="011BF243" w14:textId="77777777" w:rsidR="008C5CFA" w:rsidRPr="00F53019" w:rsidRDefault="00E82A60" w:rsidP="00300A01">
            <w:pPr>
              <w:spacing w:before="0" w:after="0"/>
              <w:jc w:val="center"/>
              <w:rPr>
                <w:b/>
                <w:sz w:val="12"/>
                <w:szCs w:val="12"/>
                <w:lang w:val="fr-BE"/>
              </w:rPr>
            </w:pPr>
            <w:r w:rsidRPr="00F53019">
              <w:rPr>
                <w:b/>
                <w:noProof/>
                <w:sz w:val="12"/>
                <w:szCs w:val="12"/>
                <w:lang w:val="fr-BE"/>
              </w:rPr>
              <w:t>Kobiety</w:t>
            </w:r>
          </w:p>
        </w:tc>
        <w:tc>
          <w:tcPr>
            <w:tcW w:w="0" w:type="auto"/>
            <w:shd w:val="clear" w:color="auto" w:fill="auto"/>
          </w:tcPr>
          <w:p w14:paraId="2829A977" w14:textId="77777777" w:rsidR="008C5CFA" w:rsidRPr="00F53019" w:rsidRDefault="00E82A60"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14:paraId="61570BC0" w14:textId="77777777" w:rsidR="008C5CFA" w:rsidRPr="00F53019" w:rsidRDefault="00E82A60" w:rsidP="00300A01">
            <w:pPr>
              <w:spacing w:before="0" w:after="0"/>
              <w:jc w:val="center"/>
              <w:rPr>
                <w:b/>
                <w:sz w:val="12"/>
                <w:szCs w:val="12"/>
                <w:lang w:val="fr-BE"/>
              </w:rPr>
            </w:pPr>
            <w:r w:rsidRPr="00F53019">
              <w:rPr>
                <w:b/>
                <w:noProof/>
                <w:sz w:val="12"/>
                <w:szCs w:val="12"/>
                <w:lang w:val="fr-BE"/>
              </w:rPr>
              <w:t>Kobiety</w:t>
            </w:r>
          </w:p>
        </w:tc>
      </w:tr>
      <w:tr w:rsidR="006B2EC1" w14:paraId="2A87A65F" w14:textId="77777777" w:rsidTr="0047688D">
        <w:tc>
          <w:tcPr>
            <w:tcW w:w="0" w:type="auto"/>
            <w:shd w:val="clear" w:color="auto" w:fill="auto"/>
          </w:tcPr>
          <w:p w14:paraId="11A3EB55" w14:textId="77777777" w:rsidR="008C5CFA" w:rsidRPr="00BA47B4" w:rsidRDefault="00E82A60" w:rsidP="00300A01">
            <w:pPr>
              <w:spacing w:before="0" w:after="0"/>
              <w:rPr>
                <w:sz w:val="12"/>
                <w:szCs w:val="12"/>
                <w:lang w:val="fr-BE"/>
              </w:rPr>
            </w:pPr>
            <w:r w:rsidRPr="00BA47B4">
              <w:rPr>
                <w:noProof/>
                <w:sz w:val="12"/>
                <w:szCs w:val="12"/>
                <w:lang w:val="fr-BE"/>
              </w:rPr>
              <w:t>CR01</w:t>
            </w:r>
          </w:p>
        </w:tc>
        <w:tc>
          <w:tcPr>
            <w:tcW w:w="0" w:type="auto"/>
            <w:shd w:val="clear" w:color="auto" w:fill="auto"/>
          </w:tcPr>
          <w:p w14:paraId="5887D798" w14:textId="77777777" w:rsidR="008C5CFA" w:rsidRPr="00BA47B4" w:rsidRDefault="00E82A60" w:rsidP="00300A01">
            <w:pPr>
              <w:spacing w:before="0" w:after="0"/>
              <w:rPr>
                <w:sz w:val="12"/>
                <w:szCs w:val="12"/>
                <w:lang w:val="fr-BE"/>
              </w:rPr>
            </w:pPr>
            <w:r w:rsidRPr="00BA47B4">
              <w:rPr>
                <w:noProof/>
                <w:sz w:val="12"/>
                <w:szCs w:val="12"/>
                <w:lang w:val="fr-BE"/>
              </w:rPr>
              <w:t>bierni zawodowo uczestnicy poszukujący pracy po opuszczeniu programu</w:t>
            </w:r>
          </w:p>
        </w:tc>
        <w:tc>
          <w:tcPr>
            <w:tcW w:w="0" w:type="auto"/>
            <w:shd w:val="clear" w:color="auto" w:fill="auto"/>
          </w:tcPr>
          <w:p w14:paraId="6E66D981" w14:textId="77777777" w:rsidR="008C5CFA" w:rsidRPr="00BA47B4" w:rsidRDefault="00E82A60" w:rsidP="00300A01">
            <w:pPr>
              <w:spacing w:before="0" w:after="0"/>
              <w:rPr>
                <w:sz w:val="12"/>
                <w:szCs w:val="12"/>
                <w:lang w:val="fr-BE"/>
              </w:rPr>
            </w:pPr>
            <w:r w:rsidRPr="00BA47B4">
              <w:rPr>
                <w:noProof/>
                <w:sz w:val="12"/>
                <w:szCs w:val="12"/>
                <w:lang w:val="fr-BE"/>
              </w:rPr>
              <w:t>Słabiej rozwinięte</w:t>
            </w:r>
          </w:p>
        </w:tc>
        <w:tc>
          <w:tcPr>
            <w:tcW w:w="0" w:type="auto"/>
            <w:shd w:val="clear" w:color="auto" w:fill="auto"/>
          </w:tcPr>
          <w:p w14:paraId="7AB30A4B" w14:textId="77777777" w:rsidR="008C5CFA" w:rsidRPr="00BA47B4" w:rsidRDefault="00E82A60" w:rsidP="00300A01">
            <w:pPr>
              <w:spacing w:before="0" w:after="0"/>
              <w:rPr>
                <w:sz w:val="12"/>
                <w:szCs w:val="12"/>
                <w:lang w:val="fr-BE"/>
              </w:rPr>
            </w:pPr>
            <w:r w:rsidRPr="00BA47B4">
              <w:rPr>
                <w:sz w:val="12"/>
                <w:szCs w:val="12"/>
                <w:lang w:val="fr-BE"/>
              </w:rPr>
              <w:t xml:space="preserve"> </w:t>
            </w:r>
          </w:p>
        </w:tc>
        <w:tc>
          <w:tcPr>
            <w:tcW w:w="0" w:type="auto"/>
            <w:shd w:val="clear" w:color="auto" w:fill="auto"/>
          </w:tcPr>
          <w:p w14:paraId="419ED6C2" w14:textId="77777777" w:rsidR="008C5CFA" w:rsidRPr="00BA47B4" w:rsidRDefault="008C5CFA" w:rsidP="00300A01">
            <w:pPr>
              <w:spacing w:before="0" w:after="0"/>
              <w:jc w:val="center"/>
              <w:rPr>
                <w:sz w:val="12"/>
                <w:szCs w:val="12"/>
                <w:lang w:val="fr-BE"/>
              </w:rPr>
            </w:pPr>
          </w:p>
        </w:tc>
        <w:tc>
          <w:tcPr>
            <w:tcW w:w="0" w:type="auto"/>
            <w:shd w:val="clear" w:color="auto" w:fill="auto"/>
          </w:tcPr>
          <w:p w14:paraId="05A19F88" w14:textId="77777777" w:rsidR="008C5CFA" w:rsidRPr="00BA47B4" w:rsidRDefault="008C5CFA" w:rsidP="00300A01">
            <w:pPr>
              <w:spacing w:before="0" w:after="0"/>
              <w:jc w:val="right"/>
              <w:rPr>
                <w:sz w:val="12"/>
                <w:szCs w:val="12"/>
                <w:lang w:val="fr-BE"/>
              </w:rPr>
            </w:pPr>
          </w:p>
        </w:tc>
        <w:tc>
          <w:tcPr>
            <w:tcW w:w="0" w:type="auto"/>
            <w:shd w:val="clear" w:color="auto" w:fill="auto"/>
          </w:tcPr>
          <w:p w14:paraId="2471C9B9" w14:textId="77777777" w:rsidR="008C5CFA" w:rsidRPr="00BA47B4" w:rsidRDefault="008C5CFA" w:rsidP="00300A01">
            <w:pPr>
              <w:spacing w:before="0" w:after="0"/>
              <w:jc w:val="right"/>
              <w:rPr>
                <w:sz w:val="12"/>
                <w:szCs w:val="12"/>
                <w:lang w:val="fr-BE"/>
              </w:rPr>
            </w:pPr>
          </w:p>
        </w:tc>
        <w:tc>
          <w:tcPr>
            <w:tcW w:w="0" w:type="auto"/>
            <w:shd w:val="clear" w:color="auto" w:fill="auto"/>
          </w:tcPr>
          <w:p w14:paraId="3C548337" w14:textId="77777777" w:rsidR="008C5CFA" w:rsidRPr="00BA47B4" w:rsidRDefault="008C5CFA" w:rsidP="00300A01">
            <w:pPr>
              <w:spacing w:before="0" w:after="0"/>
              <w:jc w:val="right"/>
              <w:rPr>
                <w:sz w:val="12"/>
                <w:szCs w:val="12"/>
                <w:lang w:val="fr-BE"/>
              </w:rPr>
            </w:pPr>
          </w:p>
        </w:tc>
        <w:tc>
          <w:tcPr>
            <w:tcW w:w="0" w:type="auto"/>
            <w:shd w:val="clear" w:color="auto" w:fill="auto"/>
          </w:tcPr>
          <w:p w14:paraId="113AB9FD"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14FDCCB2"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67A27B77"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5F6763EA" w14:textId="77777777" w:rsidR="008C5CFA" w:rsidRPr="00BA47B4" w:rsidRDefault="008C5CFA" w:rsidP="00300A01">
            <w:pPr>
              <w:spacing w:before="0" w:after="0"/>
              <w:jc w:val="right"/>
              <w:rPr>
                <w:sz w:val="12"/>
                <w:szCs w:val="12"/>
                <w:lang w:val="fr-BE"/>
              </w:rPr>
            </w:pPr>
          </w:p>
        </w:tc>
        <w:tc>
          <w:tcPr>
            <w:tcW w:w="0" w:type="auto"/>
            <w:shd w:val="clear" w:color="auto" w:fill="auto"/>
          </w:tcPr>
          <w:p w14:paraId="1C70E020" w14:textId="77777777" w:rsidR="008C5CFA" w:rsidRPr="00BA47B4" w:rsidRDefault="008C5CFA" w:rsidP="00300A01">
            <w:pPr>
              <w:spacing w:before="0" w:after="0"/>
              <w:jc w:val="right"/>
              <w:rPr>
                <w:sz w:val="12"/>
                <w:szCs w:val="12"/>
                <w:lang w:val="fr-BE"/>
              </w:rPr>
            </w:pPr>
          </w:p>
        </w:tc>
        <w:tc>
          <w:tcPr>
            <w:tcW w:w="0" w:type="auto"/>
            <w:shd w:val="clear" w:color="auto" w:fill="auto"/>
          </w:tcPr>
          <w:p w14:paraId="3152F67B" w14:textId="77777777" w:rsidR="008C5CFA" w:rsidRPr="00BA47B4" w:rsidRDefault="008C5CFA" w:rsidP="00300A01">
            <w:pPr>
              <w:spacing w:before="0" w:after="0"/>
              <w:jc w:val="right"/>
              <w:rPr>
                <w:sz w:val="12"/>
                <w:szCs w:val="12"/>
                <w:lang w:val="fr-BE"/>
              </w:rPr>
            </w:pPr>
          </w:p>
        </w:tc>
        <w:tc>
          <w:tcPr>
            <w:tcW w:w="0" w:type="auto"/>
            <w:shd w:val="clear" w:color="auto" w:fill="auto"/>
          </w:tcPr>
          <w:p w14:paraId="56C691C4"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1AD2F82D"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r>
      <w:tr w:rsidR="006B2EC1" w14:paraId="1EF2A0C3" w14:textId="77777777" w:rsidTr="0047688D">
        <w:tc>
          <w:tcPr>
            <w:tcW w:w="0" w:type="auto"/>
            <w:shd w:val="clear" w:color="auto" w:fill="auto"/>
          </w:tcPr>
          <w:p w14:paraId="3106640D" w14:textId="77777777" w:rsidR="008C5CFA" w:rsidRPr="00BA47B4" w:rsidRDefault="00E82A60" w:rsidP="00300A01">
            <w:pPr>
              <w:spacing w:before="0" w:after="0"/>
              <w:rPr>
                <w:sz w:val="12"/>
                <w:szCs w:val="12"/>
                <w:lang w:val="fr-BE"/>
              </w:rPr>
            </w:pPr>
            <w:r w:rsidRPr="00BA47B4">
              <w:rPr>
                <w:noProof/>
                <w:sz w:val="12"/>
                <w:szCs w:val="12"/>
                <w:lang w:val="fr-BE"/>
              </w:rPr>
              <w:t>CR02</w:t>
            </w:r>
          </w:p>
        </w:tc>
        <w:tc>
          <w:tcPr>
            <w:tcW w:w="0" w:type="auto"/>
            <w:shd w:val="clear" w:color="auto" w:fill="auto"/>
          </w:tcPr>
          <w:p w14:paraId="5D3922E2" w14:textId="77777777" w:rsidR="008C5CFA" w:rsidRPr="00BA47B4" w:rsidRDefault="00E82A60" w:rsidP="00300A01">
            <w:pPr>
              <w:spacing w:before="0" w:after="0"/>
              <w:rPr>
                <w:sz w:val="12"/>
                <w:szCs w:val="12"/>
                <w:lang w:val="fr-BE"/>
              </w:rPr>
            </w:pPr>
            <w:r w:rsidRPr="00BA47B4">
              <w:rPr>
                <w:noProof/>
                <w:sz w:val="12"/>
                <w:szCs w:val="12"/>
                <w:lang w:val="fr-BE"/>
              </w:rPr>
              <w:t>uczestnicy kształcący lub szkolący się po opuszczeniu programu</w:t>
            </w:r>
          </w:p>
        </w:tc>
        <w:tc>
          <w:tcPr>
            <w:tcW w:w="0" w:type="auto"/>
            <w:shd w:val="clear" w:color="auto" w:fill="auto"/>
          </w:tcPr>
          <w:p w14:paraId="73FC21F9" w14:textId="77777777" w:rsidR="008C5CFA" w:rsidRPr="00BA47B4" w:rsidRDefault="00E82A60" w:rsidP="00300A01">
            <w:pPr>
              <w:spacing w:before="0" w:after="0"/>
              <w:rPr>
                <w:sz w:val="12"/>
                <w:szCs w:val="12"/>
                <w:lang w:val="fr-BE"/>
              </w:rPr>
            </w:pPr>
            <w:r w:rsidRPr="00BA47B4">
              <w:rPr>
                <w:noProof/>
                <w:sz w:val="12"/>
                <w:szCs w:val="12"/>
                <w:lang w:val="fr-BE"/>
              </w:rPr>
              <w:t>Słabiej rozwinięte</w:t>
            </w:r>
          </w:p>
        </w:tc>
        <w:tc>
          <w:tcPr>
            <w:tcW w:w="0" w:type="auto"/>
            <w:shd w:val="clear" w:color="auto" w:fill="auto"/>
          </w:tcPr>
          <w:p w14:paraId="2AB0408C" w14:textId="77777777" w:rsidR="008C5CFA" w:rsidRPr="00BA47B4" w:rsidRDefault="00E82A60" w:rsidP="00300A01">
            <w:pPr>
              <w:spacing w:before="0" w:after="0"/>
              <w:rPr>
                <w:sz w:val="12"/>
                <w:szCs w:val="12"/>
                <w:lang w:val="fr-BE"/>
              </w:rPr>
            </w:pPr>
            <w:r w:rsidRPr="00BA47B4">
              <w:rPr>
                <w:sz w:val="12"/>
                <w:szCs w:val="12"/>
                <w:lang w:val="fr-BE"/>
              </w:rPr>
              <w:t xml:space="preserve"> </w:t>
            </w:r>
          </w:p>
        </w:tc>
        <w:tc>
          <w:tcPr>
            <w:tcW w:w="0" w:type="auto"/>
            <w:shd w:val="clear" w:color="auto" w:fill="auto"/>
          </w:tcPr>
          <w:p w14:paraId="46A914B3" w14:textId="77777777" w:rsidR="008C5CFA" w:rsidRPr="00BA47B4" w:rsidRDefault="008C5CFA" w:rsidP="00300A01">
            <w:pPr>
              <w:spacing w:before="0" w:after="0"/>
              <w:jc w:val="center"/>
              <w:rPr>
                <w:sz w:val="12"/>
                <w:szCs w:val="12"/>
                <w:lang w:val="fr-BE"/>
              </w:rPr>
            </w:pPr>
          </w:p>
        </w:tc>
        <w:tc>
          <w:tcPr>
            <w:tcW w:w="0" w:type="auto"/>
            <w:shd w:val="clear" w:color="auto" w:fill="auto"/>
          </w:tcPr>
          <w:p w14:paraId="5F8BE8B3" w14:textId="77777777" w:rsidR="008C5CFA" w:rsidRPr="00BA47B4" w:rsidRDefault="008C5CFA" w:rsidP="00300A01">
            <w:pPr>
              <w:spacing w:before="0" w:after="0"/>
              <w:jc w:val="right"/>
              <w:rPr>
                <w:sz w:val="12"/>
                <w:szCs w:val="12"/>
                <w:lang w:val="fr-BE"/>
              </w:rPr>
            </w:pPr>
          </w:p>
        </w:tc>
        <w:tc>
          <w:tcPr>
            <w:tcW w:w="0" w:type="auto"/>
            <w:shd w:val="clear" w:color="auto" w:fill="auto"/>
          </w:tcPr>
          <w:p w14:paraId="156AF46B" w14:textId="77777777" w:rsidR="008C5CFA" w:rsidRPr="00BA47B4" w:rsidRDefault="008C5CFA" w:rsidP="00300A01">
            <w:pPr>
              <w:spacing w:before="0" w:after="0"/>
              <w:jc w:val="right"/>
              <w:rPr>
                <w:sz w:val="12"/>
                <w:szCs w:val="12"/>
                <w:lang w:val="fr-BE"/>
              </w:rPr>
            </w:pPr>
          </w:p>
        </w:tc>
        <w:tc>
          <w:tcPr>
            <w:tcW w:w="0" w:type="auto"/>
            <w:shd w:val="clear" w:color="auto" w:fill="auto"/>
          </w:tcPr>
          <w:p w14:paraId="432F7B19" w14:textId="77777777" w:rsidR="008C5CFA" w:rsidRPr="00BA47B4" w:rsidRDefault="008C5CFA" w:rsidP="00300A01">
            <w:pPr>
              <w:spacing w:before="0" w:after="0"/>
              <w:jc w:val="right"/>
              <w:rPr>
                <w:sz w:val="12"/>
                <w:szCs w:val="12"/>
                <w:lang w:val="fr-BE"/>
              </w:rPr>
            </w:pPr>
          </w:p>
        </w:tc>
        <w:tc>
          <w:tcPr>
            <w:tcW w:w="0" w:type="auto"/>
            <w:shd w:val="clear" w:color="auto" w:fill="auto"/>
          </w:tcPr>
          <w:p w14:paraId="0F9239D6"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77C192B7"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58267DBA"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57B21D2A" w14:textId="77777777" w:rsidR="008C5CFA" w:rsidRPr="00BA47B4" w:rsidRDefault="008C5CFA" w:rsidP="00300A01">
            <w:pPr>
              <w:spacing w:before="0" w:after="0"/>
              <w:jc w:val="right"/>
              <w:rPr>
                <w:sz w:val="12"/>
                <w:szCs w:val="12"/>
                <w:lang w:val="fr-BE"/>
              </w:rPr>
            </w:pPr>
          </w:p>
        </w:tc>
        <w:tc>
          <w:tcPr>
            <w:tcW w:w="0" w:type="auto"/>
            <w:shd w:val="clear" w:color="auto" w:fill="auto"/>
          </w:tcPr>
          <w:p w14:paraId="6715B0DE" w14:textId="77777777" w:rsidR="008C5CFA" w:rsidRPr="00BA47B4" w:rsidRDefault="008C5CFA" w:rsidP="00300A01">
            <w:pPr>
              <w:spacing w:before="0" w:after="0"/>
              <w:jc w:val="right"/>
              <w:rPr>
                <w:sz w:val="12"/>
                <w:szCs w:val="12"/>
                <w:lang w:val="fr-BE"/>
              </w:rPr>
            </w:pPr>
          </w:p>
        </w:tc>
        <w:tc>
          <w:tcPr>
            <w:tcW w:w="0" w:type="auto"/>
            <w:shd w:val="clear" w:color="auto" w:fill="auto"/>
          </w:tcPr>
          <w:p w14:paraId="462F21F8" w14:textId="77777777" w:rsidR="008C5CFA" w:rsidRPr="00BA47B4" w:rsidRDefault="008C5CFA" w:rsidP="00300A01">
            <w:pPr>
              <w:spacing w:before="0" w:after="0"/>
              <w:jc w:val="right"/>
              <w:rPr>
                <w:sz w:val="12"/>
                <w:szCs w:val="12"/>
                <w:lang w:val="fr-BE"/>
              </w:rPr>
            </w:pPr>
          </w:p>
        </w:tc>
        <w:tc>
          <w:tcPr>
            <w:tcW w:w="0" w:type="auto"/>
            <w:shd w:val="clear" w:color="auto" w:fill="auto"/>
          </w:tcPr>
          <w:p w14:paraId="19370176"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6E3FC197"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r>
      <w:tr w:rsidR="006B2EC1" w14:paraId="3235BE0B" w14:textId="77777777" w:rsidTr="0047688D">
        <w:tc>
          <w:tcPr>
            <w:tcW w:w="0" w:type="auto"/>
            <w:shd w:val="clear" w:color="auto" w:fill="auto"/>
          </w:tcPr>
          <w:p w14:paraId="5D0E29B0" w14:textId="77777777" w:rsidR="008C5CFA" w:rsidRPr="00BA47B4" w:rsidRDefault="00E82A60" w:rsidP="00300A01">
            <w:pPr>
              <w:spacing w:before="0" w:after="0"/>
              <w:rPr>
                <w:sz w:val="12"/>
                <w:szCs w:val="12"/>
                <w:lang w:val="fr-BE"/>
              </w:rPr>
            </w:pPr>
            <w:r w:rsidRPr="00BA47B4">
              <w:rPr>
                <w:noProof/>
                <w:sz w:val="12"/>
                <w:szCs w:val="12"/>
                <w:lang w:val="fr-BE"/>
              </w:rPr>
              <w:t>CR03</w:t>
            </w:r>
          </w:p>
        </w:tc>
        <w:tc>
          <w:tcPr>
            <w:tcW w:w="0" w:type="auto"/>
            <w:shd w:val="clear" w:color="auto" w:fill="auto"/>
          </w:tcPr>
          <w:p w14:paraId="03621E68" w14:textId="77777777" w:rsidR="008C5CFA" w:rsidRPr="00BA47B4" w:rsidRDefault="00E82A60" w:rsidP="00300A01">
            <w:pPr>
              <w:spacing w:before="0" w:after="0"/>
              <w:rPr>
                <w:sz w:val="12"/>
                <w:szCs w:val="12"/>
                <w:lang w:val="fr-BE"/>
              </w:rPr>
            </w:pPr>
            <w:r w:rsidRPr="00BA47B4">
              <w:rPr>
                <w:noProof/>
                <w:sz w:val="12"/>
                <w:szCs w:val="12"/>
                <w:lang w:val="fr-BE"/>
              </w:rPr>
              <w:t>uczestnicy uzyskujący kwalifikacje po opuszczeniu programu</w:t>
            </w:r>
          </w:p>
        </w:tc>
        <w:tc>
          <w:tcPr>
            <w:tcW w:w="0" w:type="auto"/>
            <w:shd w:val="clear" w:color="auto" w:fill="auto"/>
          </w:tcPr>
          <w:p w14:paraId="66352A9C" w14:textId="77777777" w:rsidR="008C5CFA" w:rsidRPr="00BA47B4" w:rsidRDefault="00E82A60" w:rsidP="00300A01">
            <w:pPr>
              <w:spacing w:before="0" w:after="0"/>
              <w:rPr>
                <w:sz w:val="12"/>
                <w:szCs w:val="12"/>
                <w:lang w:val="fr-BE"/>
              </w:rPr>
            </w:pPr>
            <w:r w:rsidRPr="00BA47B4">
              <w:rPr>
                <w:noProof/>
                <w:sz w:val="12"/>
                <w:szCs w:val="12"/>
                <w:lang w:val="fr-BE"/>
              </w:rPr>
              <w:t>Słabiej rozwinięte</w:t>
            </w:r>
          </w:p>
        </w:tc>
        <w:tc>
          <w:tcPr>
            <w:tcW w:w="0" w:type="auto"/>
            <w:shd w:val="clear" w:color="auto" w:fill="auto"/>
          </w:tcPr>
          <w:p w14:paraId="20B090AB" w14:textId="77777777" w:rsidR="008C5CFA" w:rsidRPr="00BA47B4" w:rsidRDefault="00E82A60" w:rsidP="00300A01">
            <w:pPr>
              <w:spacing w:before="0" w:after="0"/>
              <w:rPr>
                <w:sz w:val="12"/>
                <w:szCs w:val="12"/>
                <w:lang w:val="fr-BE"/>
              </w:rPr>
            </w:pPr>
            <w:r w:rsidRPr="00BA47B4">
              <w:rPr>
                <w:sz w:val="12"/>
                <w:szCs w:val="12"/>
                <w:lang w:val="fr-BE"/>
              </w:rPr>
              <w:t xml:space="preserve"> </w:t>
            </w:r>
          </w:p>
        </w:tc>
        <w:tc>
          <w:tcPr>
            <w:tcW w:w="0" w:type="auto"/>
            <w:shd w:val="clear" w:color="auto" w:fill="auto"/>
          </w:tcPr>
          <w:p w14:paraId="30AABC79" w14:textId="77777777" w:rsidR="008C5CFA" w:rsidRPr="00BA47B4" w:rsidRDefault="008C5CFA" w:rsidP="00300A01">
            <w:pPr>
              <w:spacing w:before="0" w:after="0"/>
              <w:jc w:val="center"/>
              <w:rPr>
                <w:sz w:val="12"/>
                <w:szCs w:val="12"/>
                <w:lang w:val="fr-BE"/>
              </w:rPr>
            </w:pPr>
          </w:p>
        </w:tc>
        <w:tc>
          <w:tcPr>
            <w:tcW w:w="0" w:type="auto"/>
            <w:shd w:val="clear" w:color="auto" w:fill="auto"/>
          </w:tcPr>
          <w:p w14:paraId="210D4B52" w14:textId="77777777" w:rsidR="008C5CFA" w:rsidRPr="00BA47B4" w:rsidRDefault="008C5CFA" w:rsidP="00300A01">
            <w:pPr>
              <w:spacing w:before="0" w:after="0"/>
              <w:jc w:val="right"/>
              <w:rPr>
                <w:sz w:val="12"/>
                <w:szCs w:val="12"/>
                <w:lang w:val="fr-BE"/>
              </w:rPr>
            </w:pPr>
          </w:p>
        </w:tc>
        <w:tc>
          <w:tcPr>
            <w:tcW w:w="0" w:type="auto"/>
            <w:shd w:val="clear" w:color="auto" w:fill="auto"/>
          </w:tcPr>
          <w:p w14:paraId="160F48B5" w14:textId="77777777" w:rsidR="008C5CFA" w:rsidRPr="00BA47B4" w:rsidRDefault="008C5CFA" w:rsidP="00300A01">
            <w:pPr>
              <w:spacing w:before="0" w:after="0"/>
              <w:jc w:val="right"/>
              <w:rPr>
                <w:sz w:val="12"/>
                <w:szCs w:val="12"/>
                <w:lang w:val="fr-BE"/>
              </w:rPr>
            </w:pPr>
          </w:p>
        </w:tc>
        <w:tc>
          <w:tcPr>
            <w:tcW w:w="0" w:type="auto"/>
            <w:shd w:val="clear" w:color="auto" w:fill="auto"/>
          </w:tcPr>
          <w:p w14:paraId="6364F8E8" w14:textId="77777777" w:rsidR="008C5CFA" w:rsidRPr="00BA47B4" w:rsidRDefault="008C5CFA" w:rsidP="00300A01">
            <w:pPr>
              <w:spacing w:before="0" w:after="0"/>
              <w:jc w:val="right"/>
              <w:rPr>
                <w:sz w:val="12"/>
                <w:szCs w:val="12"/>
                <w:lang w:val="fr-BE"/>
              </w:rPr>
            </w:pPr>
          </w:p>
        </w:tc>
        <w:tc>
          <w:tcPr>
            <w:tcW w:w="0" w:type="auto"/>
            <w:shd w:val="clear" w:color="auto" w:fill="auto"/>
          </w:tcPr>
          <w:p w14:paraId="33ADBC1E" w14:textId="77777777" w:rsidR="008C5CFA" w:rsidRPr="00BA47B4" w:rsidRDefault="00E82A60" w:rsidP="00300A01">
            <w:pPr>
              <w:spacing w:before="0" w:after="0"/>
              <w:jc w:val="right"/>
              <w:rPr>
                <w:sz w:val="12"/>
                <w:szCs w:val="12"/>
                <w:lang w:val="fr-BE"/>
              </w:rPr>
            </w:pPr>
            <w:r w:rsidRPr="00BA47B4">
              <w:rPr>
                <w:noProof/>
                <w:sz w:val="12"/>
                <w:szCs w:val="12"/>
                <w:lang w:val="fr-BE"/>
              </w:rPr>
              <w:t>121,00</w:t>
            </w:r>
          </w:p>
        </w:tc>
        <w:tc>
          <w:tcPr>
            <w:tcW w:w="0" w:type="auto"/>
            <w:shd w:val="clear" w:color="auto" w:fill="auto"/>
          </w:tcPr>
          <w:p w14:paraId="2B168A97" w14:textId="77777777" w:rsidR="008C5CFA" w:rsidRPr="00BA47B4" w:rsidRDefault="00E82A60" w:rsidP="00300A01">
            <w:pPr>
              <w:spacing w:before="0" w:after="0"/>
              <w:jc w:val="right"/>
              <w:rPr>
                <w:sz w:val="12"/>
                <w:szCs w:val="12"/>
                <w:lang w:val="fr-BE"/>
              </w:rPr>
            </w:pPr>
            <w:r w:rsidRPr="00BA47B4">
              <w:rPr>
                <w:noProof/>
                <w:sz w:val="12"/>
                <w:szCs w:val="12"/>
                <w:lang w:val="fr-BE"/>
              </w:rPr>
              <w:t>99,00</w:t>
            </w:r>
          </w:p>
        </w:tc>
        <w:tc>
          <w:tcPr>
            <w:tcW w:w="0" w:type="auto"/>
            <w:shd w:val="clear" w:color="auto" w:fill="auto"/>
          </w:tcPr>
          <w:p w14:paraId="1ACF8578" w14:textId="77777777" w:rsidR="008C5CFA" w:rsidRPr="00BA47B4" w:rsidRDefault="00E82A60" w:rsidP="00300A01">
            <w:pPr>
              <w:spacing w:before="0" w:after="0"/>
              <w:jc w:val="right"/>
              <w:rPr>
                <w:sz w:val="12"/>
                <w:szCs w:val="12"/>
                <w:lang w:val="fr-BE"/>
              </w:rPr>
            </w:pPr>
            <w:r w:rsidRPr="00BA47B4">
              <w:rPr>
                <w:noProof/>
                <w:sz w:val="12"/>
                <w:szCs w:val="12"/>
                <w:lang w:val="fr-BE"/>
              </w:rPr>
              <w:t>22,00</w:t>
            </w:r>
          </w:p>
        </w:tc>
        <w:tc>
          <w:tcPr>
            <w:tcW w:w="0" w:type="auto"/>
            <w:shd w:val="clear" w:color="auto" w:fill="auto"/>
          </w:tcPr>
          <w:p w14:paraId="2640126E" w14:textId="77777777" w:rsidR="008C5CFA" w:rsidRPr="00BA47B4" w:rsidRDefault="008C5CFA" w:rsidP="00300A01">
            <w:pPr>
              <w:spacing w:before="0" w:after="0"/>
              <w:jc w:val="right"/>
              <w:rPr>
                <w:sz w:val="12"/>
                <w:szCs w:val="12"/>
                <w:lang w:val="fr-BE"/>
              </w:rPr>
            </w:pPr>
          </w:p>
        </w:tc>
        <w:tc>
          <w:tcPr>
            <w:tcW w:w="0" w:type="auto"/>
            <w:shd w:val="clear" w:color="auto" w:fill="auto"/>
          </w:tcPr>
          <w:p w14:paraId="030FC488" w14:textId="77777777" w:rsidR="008C5CFA" w:rsidRPr="00BA47B4" w:rsidRDefault="008C5CFA" w:rsidP="00300A01">
            <w:pPr>
              <w:spacing w:before="0" w:after="0"/>
              <w:jc w:val="right"/>
              <w:rPr>
                <w:sz w:val="12"/>
                <w:szCs w:val="12"/>
                <w:lang w:val="fr-BE"/>
              </w:rPr>
            </w:pPr>
          </w:p>
        </w:tc>
        <w:tc>
          <w:tcPr>
            <w:tcW w:w="0" w:type="auto"/>
            <w:shd w:val="clear" w:color="auto" w:fill="auto"/>
          </w:tcPr>
          <w:p w14:paraId="0EF33C39" w14:textId="77777777" w:rsidR="008C5CFA" w:rsidRPr="00BA47B4" w:rsidRDefault="008C5CFA" w:rsidP="00300A01">
            <w:pPr>
              <w:spacing w:before="0" w:after="0"/>
              <w:jc w:val="right"/>
              <w:rPr>
                <w:sz w:val="12"/>
                <w:szCs w:val="12"/>
                <w:lang w:val="fr-BE"/>
              </w:rPr>
            </w:pPr>
          </w:p>
        </w:tc>
        <w:tc>
          <w:tcPr>
            <w:tcW w:w="0" w:type="auto"/>
            <w:shd w:val="clear" w:color="auto" w:fill="auto"/>
          </w:tcPr>
          <w:p w14:paraId="245A0DA2" w14:textId="77777777" w:rsidR="008C5CFA" w:rsidRPr="00BA47B4" w:rsidRDefault="00E82A60" w:rsidP="00300A01">
            <w:pPr>
              <w:spacing w:before="0" w:after="0"/>
              <w:jc w:val="right"/>
              <w:rPr>
                <w:sz w:val="12"/>
                <w:szCs w:val="12"/>
                <w:lang w:val="fr-BE"/>
              </w:rPr>
            </w:pPr>
            <w:r w:rsidRPr="00BA47B4">
              <w:rPr>
                <w:noProof/>
                <w:sz w:val="12"/>
                <w:szCs w:val="12"/>
                <w:lang w:val="fr-BE"/>
              </w:rPr>
              <w:t>37,00</w:t>
            </w:r>
          </w:p>
        </w:tc>
        <w:tc>
          <w:tcPr>
            <w:tcW w:w="0" w:type="auto"/>
            <w:shd w:val="clear" w:color="auto" w:fill="auto"/>
          </w:tcPr>
          <w:p w14:paraId="2DC9CFCD" w14:textId="77777777" w:rsidR="008C5CFA" w:rsidRPr="00BA47B4" w:rsidRDefault="00E82A60" w:rsidP="00300A01">
            <w:pPr>
              <w:spacing w:before="0" w:after="0"/>
              <w:jc w:val="right"/>
              <w:rPr>
                <w:sz w:val="12"/>
                <w:szCs w:val="12"/>
                <w:lang w:val="fr-BE"/>
              </w:rPr>
            </w:pPr>
            <w:r w:rsidRPr="00BA47B4">
              <w:rPr>
                <w:noProof/>
                <w:sz w:val="12"/>
                <w:szCs w:val="12"/>
                <w:lang w:val="fr-BE"/>
              </w:rPr>
              <w:t>1,00</w:t>
            </w:r>
          </w:p>
        </w:tc>
      </w:tr>
      <w:tr w:rsidR="006B2EC1" w14:paraId="72D64C82" w14:textId="77777777" w:rsidTr="0047688D">
        <w:tc>
          <w:tcPr>
            <w:tcW w:w="0" w:type="auto"/>
            <w:shd w:val="clear" w:color="auto" w:fill="auto"/>
          </w:tcPr>
          <w:p w14:paraId="52C88C47" w14:textId="77777777" w:rsidR="008C5CFA" w:rsidRPr="00BA47B4" w:rsidRDefault="00E82A60" w:rsidP="00300A01">
            <w:pPr>
              <w:spacing w:before="0" w:after="0"/>
              <w:rPr>
                <w:sz w:val="12"/>
                <w:szCs w:val="12"/>
                <w:lang w:val="fr-BE"/>
              </w:rPr>
            </w:pPr>
            <w:r w:rsidRPr="00BA47B4">
              <w:rPr>
                <w:noProof/>
                <w:sz w:val="12"/>
                <w:szCs w:val="12"/>
                <w:lang w:val="fr-BE"/>
              </w:rPr>
              <w:t>CR04</w:t>
            </w:r>
          </w:p>
        </w:tc>
        <w:tc>
          <w:tcPr>
            <w:tcW w:w="0" w:type="auto"/>
            <w:shd w:val="clear" w:color="auto" w:fill="auto"/>
          </w:tcPr>
          <w:p w14:paraId="72BA694A" w14:textId="77777777" w:rsidR="008C5CFA" w:rsidRPr="00BA47B4" w:rsidRDefault="00E82A60" w:rsidP="00300A01">
            <w:pPr>
              <w:spacing w:before="0" w:after="0"/>
              <w:rPr>
                <w:sz w:val="12"/>
                <w:szCs w:val="12"/>
                <w:lang w:val="fr-BE"/>
              </w:rPr>
            </w:pPr>
            <w:r w:rsidRPr="00BA47B4">
              <w:rPr>
                <w:noProof/>
                <w:sz w:val="12"/>
                <w:szCs w:val="12"/>
                <w:lang w:val="fr-BE"/>
              </w:rPr>
              <w:t>uczestnicy pracujący, łącznie z prowadzącymi działalność na własny rachunek, po opuszczeniu programu</w:t>
            </w:r>
          </w:p>
        </w:tc>
        <w:tc>
          <w:tcPr>
            <w:tcW w:w="0" w:type="auto"/>
            <w:shd w:val="clear" w:color="auto" w:fill="auto"/>
          </w:tcPr>
          <w:p w14:paraId="7466327E" w14:textId="77777777" w:rsidR="008C5CFA" w:rsidRPr="00BA47B4" w:rsidRDefault="00E82A60" w:rsidP="00300A01">
            <w:pPr>
              <w:spacing w:before="0" w:after="0"/>
              <w:rPr>
                <w:sz w:val="12"/>
                <w:szCs w:val="12"/>
                <w:lang w:val="fr-BE"/>
              </w:rPr>
            </w:pPr>
            <w:r w:rsidRPr="00BA47B4">
              <w:rPr>
                <w:noProof/>
                <w:sz w:val="12"/>
                <w:szCs w:val="12"/>
                <w:lang w:val="fr-BE"/>
              </w:rPr>
              <w:t>Słabiej rozwinięte</w:t>
            </w:r>
          </w:p>
        </w:tc>
        <w:tc>
          <w:tcPr>
            <w:tcW w:w="0" w:type="auto"/>
            <w:shd w:val="clear" w:color="auto" w:fill="auto"/>
          </w:tcPr>
          <w:p w14:paraId="0FABFA4C" w14:textId="77777777" w:rsidR="008C5CFA" w:rsidRPr="00BA47B4" w:rsidRDefault="00E82A60" w:rsidP="00300A01">
            <w:pPr>
              <w:spacing w:before="0" w:after="0"/>
              <w:rPr>
                <w:sz w:val="12"/>
                <w:szCs w:val="12"/>
                <w:lang w:val="fr-BE"/>
              </w:rPr>
            </w:pPr>
            <w:r w:rsidRPr="00BA47B4">
              <w:rPr>
                <w:sz w:val="12"/>
                <w:szCs w:val="12"/>
                <w:lang w:val="fr-BE"/>
              </w:rPr>
              <w:t xml:space="preserve"> </w:t>
            </w:r>
          </w:p>
        </w:tc>
        <w:tc>
          <w:tcPr>
            <w:tcW w:w="0" w:type="auto"/>
            <w:shd w:val="clear" w:color="auto" w:fill="auto"/>
          </w:tcPr>
          <w:p w14:paraId="53ADE616" w14:textId="77777777" w:rsidR="008C5CFA" w:rsidRPr="00BA47B4" w:rsidRDefault="008C5CFA" w:rsidP="00300A01">
            <w:pPr>
              <w:spacing w:before="0" w:after="0"/>
              <w:jc w:val="center"/>
              <w:rPr>
                <w:sz w:val="12"/>
                <w:szCs w:val="12"/>
                <w:lang w:val="fr-BE"/>
              </w:rPr>
            </w:pPr>
          </w:p>
        </w:tc>
        <w:tc>
          <w:tcPr>
            <w:tcW w:w="0" w:type="auto"/>
            <w:shd w:val="clear" w:color="auto" w:fill="auto"/>
          </w:tcPr>
          <w:p w14:paraId="5160C7D6" w14:textId="77777777" w:rsidR="008C5CFA" w:rsidRPr="00BA47B4" w:rsidRDefault="008C5CFA" w:rsidP="00300A01">
            <w:pPr>
              <w:spacing w:before="0" w:after="0"/>
              <w:jc w:val="right"/>
              <w:rPr>
                <w:sz w:val="12"/>
                <w:szCs w:val="12"/>
                <w:lang w:val="fr-BE"/>
              </w:rPr>
            </w:pPr>
          </w:p>
        </w:tc>
        <w:tc>
          <w:tcPr>
            <w:tcW w:w="0" w:type="auto"/>
            <w:shd w:val="clear" w:color="auto" w:fill="auto"/>
          </w:tcPr>
          <w:p w14:paraId="08DF4186" w14:textId="77777777" w:rsidR="008C5CFA" w:rsidRPr="00BA47B4" w:rsidRDefault="008C5CFA" w:rsidP="00300A01">
            <w:pPr>
              <w:spacing w:before="0" w:after="0"/>
              <w:jc w:val="right"/>
              <w:rPr>
                <w:sz w:val="12"/>
                <w:szCs w:val="12"/>
                <w:lang w:val="fr-BE"/>
              </w:rPr>
            </w:pPr>
          </w:p>
        </w:tc>
        <w:tc>
          <w:tcPr>
            <w:tcW w:w="0" w:type="auto"/>
            <w:shd w:val="clear" w:color="auto" w:fill="auto"/>
          </w:tcPr>
          <w:p w14:paraId="77E170EB" w14:textId="77777777" w:rsidR="008C5CFA" w:rsidRPr="00BA47B4" w:rsidRDefault="008C5CFA" w:rsidP="00300A01">
            <w:pPr>
              <w:spacing w:before="0" w:after="0"/>
              <w:jc w:val="right"/>
              <w:rPr>
                <w:sz w:val="12"/>
                <w:szCs w:val="12"/>
                <w:lang w:val="fr-BE"/>
              </w:rPr>
            </w:pPr>
          </w:p>
        </w:tc>
        <w:tc>
          <w:tcPr>
            <w:tcW w:w="0" w:type="auto"/>
            <w:shd w:val="clear" w:color="auto" w:fill="auto"/>
          </w:tcPr>
          <w:p w14:paraId="1EB5CCE7"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3F827231"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0A638517"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26F57B2E" w14:textId="77777777" w:rsidR="008C5CFA" w:rsidRPr="00BA47B4" w:rsidRDefault="008C5CFA" w:rsidP="00300A01">
            <w:pPr>
              <w:spacing w:before="0" w:after="0"/>
              <w:jc w:val="right"/>
              <w:rPr>
                <w:sz w:val="12"/>
                <w:szCs w:val="12"/>
                <w:lang w:val="fr-BE"/>
              </w:rPr>
            </w:pPr>
          </w:p>
        </w:tc>
        <w:tc>
          <w:tcPr>
            <w:tcW w:w="0" w:type="auto"/>
            <w:shd w:val="clear" w:color="auto" w:fill="auto"/>
          </w:tcPr>
          <w:p w14:paraId="3283538D" w14:textId="77777777" w:rsidR="008C5CFA" w:rsidRPr="00BA47B4" w:rsidRDefault="008C5CFA" w:rsidP="00300A01">
            <w:pPr>
              <w:spacing w:before="0" w:after="0"/>
              <w:jc w:val="right"/>
              <w:rPr>
                <w:sz w:val="12"/>
                <w:szCs w:val="12"/>
                <w:lang w:val="fr-BE"/>
              </w:rPr>
            </w:pPr>
          </w:p>
        </w:tc>
        <w:tc>
          <w:tcPr>
            <w:tcW w:w="0" w:type="auto"/>
            <w:shd w:val="clear" w:color="auto" w:fill="auto"/>
          </w:tcPr>
          <w:p w14:paraId="732918C5" w14:textId="77777777" w:rsidR="008C5CFA" w:rsidRPr="00BA47B4" w:rsidRDefault="008C5CFA" w:rsidP="00300A01">
            <w:pPr>
              <w:spacing w:before="0" w:after="0"/>
              <w:jc w:val="right"/>
              <w:rPr>
                <w:sz w:val="12"/>
                <w:szCs w:val="12"/>
                <w:lang w:val="fr-BE"/>
              </w:rPr>
            </w:pPr>
          </w:p>
        </w:tc>
        <w:tc>
          <w:tcPr>
            <w:tcW w:w="0" w:type="auto"/>
            <w:shd w:val="clear" w:color="auto" w:fill="auto"/>
          </w:tcPr>
          <w:p w14:paraId="0AA82186"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6F1AD124"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r>
      <w:tr w:rsidR="006B2EC1" w14:paraId="06C51964" w14:textId="77777777" w:rsidTr="0047688D">
        <w:tc>
          <w:tcPr>
            <w:tcW w:w="0" w:type="auto"/>
            <w:shd w:val="clear" w:color="auto" w:fill="auto"/>
          </w:tcPr>
          <w:p w14:paraId="22420FF0" w14:textId="77777777" w:rsidR="008C5CFA" w:rsidRPr="00BA47B4" w:rsidRDefault="00E82A60" w:rsidP="00300A01">
            <w:pPr>
              <w:spacing w:before="0" w:after="0"/>
              <w:rPr>
                <w:sz w:val="12"/>
                <w:szCs w:val="12"/>
                <w:lang w:val="fr-BE"/>
              </w:rPr>
            </w:pPr>
            <w:r w:rsidRPr="00BA47B4">
              <w:rPr>
                <w:noProof/>
                <w:sz w:val="12"/>
                <w:szCs w:val="12"/>
                <w:lang w:val="fr-BE"/>
              </w:rPr>
              <w:t>CR05</w:t>
            </w:r>
          </w:p>
        </w:tc>
        <w:tc>
          <w:tcPr>
            <w:tcW w:w="0" w:type="auto"/>
            <w:shd w:val="clear" w:color="auto" w:fill="auto"/>
          </w:tcPr>
          <w:p w14:paraId="5B6A35A4" w14:textId="77777777" w:rsidR="008C5CFA" w:rsidRPr="00BA47B4" w:rsidRDefault="00E82A60" w:rsidP="00300A01">
            <w:pPr>
              <w:spacing w:before="0" w:after="0"/>
              <w:rPr>
                <w:sz w:val="12"/>
                <w:szCs w:val="12"/>
                <w:lang w:val="fr-BE"/>
              </w:rPr>
            </w:pPr>
            <w:r w:rsidRPr="00BA47B4">
              <w:rPr>
                <w:noProof/>
                <w:sz w:val="12"/>
                <w:szCs w:val="12"/>
                <w:lang w:val="fr-BE"/>
              </w:rPr>
              <w:t>uczestnicy w niekorzystnej sytuacji społecznej poszukujący pracy, uczestniczący w kształceniu lub szkoleniu, zdobywający kwalifikacje lub pracujący (łącznie z prowadzącymi działalność na własny rachunek) po opuszczeniu programu</w:t>
            </w:r>
          </w:p>
        </w:tc>
        <w:tc>
          <w:tcPr>
            <w:tcW w:w="0" w:type="auto"/>
            <w:shd w:val="clear" w:color="auto" w:fill="auto"/>
          </w:tcPr>
          <w:p w14:paraId="1498AB0C" w14:textId="77777777" w:rsidR="008C5CFA" w:rsidRPr="00BA47B4" w:rsidRDefault="00E82A60" w:rsidP="00300A01">
            <w:pPr>
              <w:spacing w:before="0" w:after="0"/>
              <w:rPr>
                <w:sz w:val="12"/>
                <w:szCs w:val="12"/>
                <w:lang w:val="fr-BE"/>
              </w:rPr>
            </w:pPr>
            <w:r w:rsidRPr="00BA47B4">
              <w:rPr>
                <w:noProof/>
                <w:sz w:val="12"/>
                <w:szCs w:val="12"/>
                <w:lang w:val="fr-BE"/>
              </w:rPr>
              <w:t>Słabiej rozwinięte</w:t>
            </w:r>
          </w:p>
        </w:tc>
        <w:tc>
          <w:tcPr>
            <w:tcW w:w="0" w:type="auto"/>
            <w:shd w:val="clear" w:color="auto" w:fill="auto"/>
          </w:tcPr>
          <w:p w14:paraId="3FE6B65D" w14:textId="77777777" w:rsidR="008C5CFA" w:rsidRPr="00BA47B4" w:rsidRDefault="00E82A60" w:rsidP="00300A01">
            <w:pPr>
              <w:spacing w:before="0" w:after="0"/>
              <w:rPr>
                <w:sz w:val="12"/>
                <w:szCs w:val="12"/>
                <w:lang w:val="fr-BE"/>
              </w:rPr>
            </w:pPr>
            <w:r w:rsidRPr="00BA47B4">
              <w:rPr>
                <w:sz w:val="12"/>
                <w:szCs w:val="12"/>
                <w:lang w:val="fr-BE"/>
              </w:rPr>
              <w:t xml:space="preserve"> </w:t>
            </w:r>
          </w:p>
        </w:tc>
        <w:tc>
          <w:tcPr>
            <w:tcW w:w="0" w:type="auto"/>
            <w:shd w:val="clear" w:color="auto" w:fill="auto"/>
          </w:tcPr>
          <w:p w14:paraId="10EEE0CF" w14:textId="77777777" w:rsidR="008C5CFA" w:rsidRPr="00BA47B4" w:rsidRDefault="008C5CFA" w:rsidP="00300A01">
            <w:pPr>
              <w:spacing w:before="0" w:after="0"/>
              <w:jc w:val="center"/>
              <w:rPr>
                <w:sz w:val="12"/>
                <w:szCs w:val="12"/>
                <w:lang w:val="fr-BE"/>
              </w:rPr>
            </w:pPr>
          </w:p>
        </w:tc>
        <w:tc>
          <w:tcPr>
            <w:tcW w:w="0" w:type="auto"/>
            <w:shd w:val="clear" w:color="auto" w:fill="auto"/>
          </w:tcPr>
          <w:p w14:paraId="37332291" w14:textId="77777777" w:rsidR="008C5CFA" w:rsidRPr="00BA47B4" w:rsidRDefault="008C5CFA" w:rsidP="00300A01">
            <w:pPr>
              <w:spacing w:before="0" w:after="0"/>
              <w:jc w:val="right"/>
              <w:rPr>
                <w:sz w:val="12"/>
                <w:szCs w:val="12"/>
                <w:lang w:val="fr-BE"/>
              </w:rPr>
            </w:pPr>
          </w:p>
        </w:tc>
        <w:tc>
          <w:tcPr>
            <w:tcW w:w="0" w:type="auto"/>
            <w:shd w:val="clear" w:color="auto" w:fill="auto"/>
          </w:tcPr>
          <w:p w14:paraId="3FC1E573" w14:textId="77777777" w:rsidR="008C5CFA" w:rsidRPr="00BA47B4" w:rsidRDefault="008C5CFA" w:rsidP="00300A01">
            <w:pPr>
              <w:spacing w:before="0" w:after="0"/>
              <w:jc w:val="right"/>
              <w:rPr>
                <w:sz w:val="12"/>
                <w:szCs w:val="12"/>
                <w:lang w:val="fr-BE"/>
              </w:rPr>
            </w:pPr>
          </w:p>
        </w:tc>
        <w:tc>
          <w:tcPr>
            <w:tcW w:w="0" w:type="auto"/>
            <w:shd w:val="clear" w:color="auto" w:fill="auto"/>
          </w:tcPr>
          <w:p w14:paraId="0C8C3F47" w14:textId="77777777" w:rsidR="008C5CFA" w:rsidRPr="00BA47B4" w:rsidRDefault="008C5CFA" w:rsidP="00300A01">
            <w:pPr>
              <w:spacing w:before="0" w:after="0"/>
              <w:jc w:val="right"/>
              <w:rPr>
                <w:sz w:val="12"/>
                <w:szCs w:val="12"/>
                <w:lang w:val="fr-BE"/>
              </w:rPr>
            </w:pPr>
          </w:p>
        </w:tc>
        <w:tc>
          <w:tcPr>
            <w:tcW w:w="0" w:type="auto"/>
            <w:shd w:val="clear" w:color="auto" w:fill="auto"/>
          </w:tcPr>
          <w:p w14:paraId="7B6439BE" w14:textId="77777777" w:rsidR="008C5CFA" w:rsidRPr="00BA47B4" w:rsidRDefault="00E82A60" w:rsidP="00300A01">
            <w:pPr>
              <w:spacing w:before="0" w:after="0"/>
              <w:jc w:val="right"/>
              <w:rPr>
                <w:sz w:val="12"/>
                <w:szCs w:val="12"/>
                <w:lang w:val="fr-BE"/>
              </w:rPr>
            </w:pPr>
            <w:r w:rsidRPr="00BA47B4">
              <w:rPr>
                <w:noProof/>
                <w:sz w:val="12"/>
                <w:szCs w:val="12"/>
                <w:lang w:val="fr-BE"/>
              </w:rPr>
              <w:t>87,00</w:t>
            </w:r>
          </w:p>
        </w:tc>
        <w:tc>
          <w:tcPr>
            <w:tcW w:w="0" w:type="auto"/>
            <w:shd w:val="clear" w:color="auto" w:fill="auto"/>
          </w:tcPr>
          <w:p w14:paraId="4F081BA5" w14:textId="77777777" w:rsidR="008C5CFA" w:rsidRPr="00BA47B4" w:rsidRDefault="00E82A60" w:rsidP="00300A01">
            <w:pPr>
              <w:spacing w:before="0" w:after="0"/>
              <w:jc w:val="right"/>
              <w:rPr>
                <w:sz w:val="12"/>
                <w:szCs w:val="12"/>
                <w:lang w:val="fr-BE"/>
              </w:rPr>
            </w:pPr>
            <w:r w:rsidRPr="00BA47B4">
              <w:rPr>
                <w:noProof/>
                <w:sz w:val="12"/>
                <w:szCs w:val="12"/>
                <w:lang w:val="fr-BE"/>
              </w:rPr>
              <w:t>66,00</w:t>
            </w:r>
          </w:p>
        </w:tc>
        <w:tc>
          <w:tcPr>
            <w:tcW w:w="0" w:type="auto"/>
            <w:shd w:val="clear" w:color="auto" w:fill="auto"/>
          </w:tcPr>
          <w:p w14:paraId="051958E5" w14:textId="77777777" w:rsidR="008C5CFA" w:rsidRPr="00BA47B4" w:rsidRDefault="00E82A60" w:rsidP="00300A01">
            <w:pPr>
              <w:spacing w:before="0" w:after="0"/>
              <w:jc w:val="right"/>
              <w:rPr>
                <w:sz w:val="12"/>
                <w:szCs w:val="12"/>
                <w:lang w:val="fr-BE"/>
              </w:rPr>
            </w:pPr>
            <w:r w:rsidRPr="00BA47B4">
              <w:rPr>
                <w:noProof/>
                <w:sz w:val="12"/>
                <w:szCs w:val="12"/>
                <w:lang w:val="fr-BE"/>
              </w:rPr>
              <w:t>21,00</w:t>
            </w:r>
          </w:p>
        </w:tc>
        <w:tc>
          <w:tcPr>
            <w:tcW w:w="0" w:type="auto"/>
            <w:shd w:val="clear" w:color="auto" w:fill="auto"/>
          </w:tcPr>
          <w:p w14:paraId="3873F566" w14:textId="77777777" w:rsidR="008C5CFA" w:rsidRPr="00BA47B4" w:rsidRDefault="008C5CFA" w:rsidP="00300A01">
            <w:pPr>
              <w:spacing w:before="0" w:after="0"/>
              <w:jc w:val="right"/>
              <w:rPr>
                <w:sz w:val="12"/>
                <w:szCs w:val="12"/>
                <w:lang w:val="fr-BE"/>
              </w:rPr>
            </w:pPr>
          </w:p>
        </w:tc>
        <w:tc>
          <w:tcPr>
            <w:tcW w:w="0" w:type="auto"/>
            <w:shd w:val="clear" w:color="auto" w:fill="auto"/>
          </w:tcPr>
          <w:p w14:paraId="539A2A56" w14:textId="77777777" w:rsidR="008C5CFA" w:rsidRPr="00BA47B4" w:rsidRDefault="008C5CFA" w:rsidP="00300A01">
            <w:pPr>
              <w:spacing w:before="0" w:after="0"/>
              <w:jc w:val="right"/>
              <w:rPr>
                <w:sz w:val="12"/>
                <w:szCs w:val="12"/>
                <w:lang w:val="fr-BE"/>
              </w:rPr>
            </w:pPr>
          </w:p>
        </w:tc>
        <w:tc>
          <w:tcPr>
            <w:tcW w:w="0" w:type="auto"/>
            <w:shd w:val="clear" w:color="auto" w:fill="auto"/>
          </w:tcPr>
          <w:p w14:paraId="5C570EBD" w14:textId="77777777" w:rsidR="008C5CFA" w:rsidRPr="00BA47B4" w:rsidRDefault="008C5CFA" w:rsidP="00300A01">
            <w:pPr>
              <w:spacing w:before="0" w:after="0"/>
              <w:jc w:val="right"/>
              <w:rPr>
                <w:sz w:val="12"/>
                <w:szCs w:val="12"/>
                <w:lang w:val="fr-BE"/>
              </w:rPr>
            </w:pPr>
          </w:p>
        </w:tc>
        <w:tc>
          <w:tcPr>
            <w:tcW w:w="0" w:type="auto"/>
            <w:shd w:val="clear" w:color="auto" w:fill="auto"/>
          </w:tcPr>
          <w:p w14:paraId="12DD5F46" w14:textId="77777777" w:rsidR="008C5CFA" w:rsidRPr="00BA47B4" w:rsidRDefault="00E82A60" w:rsidP="00300A01">
            <w:pPr>
              <w:spacing w:before="0" w:after="0"/>
              <w:jc w:val="right"/>
              <w:rPr>
                <w:sz w:val="12"/>
                <w:szCs w:val="12"/>
                <w:lang w:val="fr-BE"/>
              </w:rPr>
            </w:pPr>
            <w:r w:rsidRPr="00BA47B4">
              <w:rPr>
                <w:noProof/>
                <w:sz w:val="12"/>
                <w:szCs w:val="12"/>
                <w:lang w:val="fr-BE"/>
              </w:rPr>
              <w:t>19,00</w:t>
            </w:r>
          </w:p>
        </w:tc>
        <w:tc>
          <w:tcPr>
            <w:tcW w:w="0" w:type="auto"/>
            <w:shd w:val="clear" w:color="auto" w:fill="auto"/>
          </w:tcPr>
          <w:p w14:paraId="519CC883" w14:textId="77777777" w:rsidR="008C5CFA" w:rsidRPr="00BA47B4" w:rsidRDefault="00E82A60" w:rsidP="00300A01">
            <w:pPr>
              <w:spacing w:before="0" w:after="0"/>
              <w:jc w:val="right"/>
              <w:rPr>
                <w:sz w:val="12"/>
                <w:szCs w:val="12"/>
                <w:lang w:val="fr-BE"/>
              </w:rPr>
            </w:pPr>
            <w:r w:rsidRPr="00BA47B4">
              <w:rPr>
                <w:noProof/>
                <w:sz w:val="12"/>
                <w:szCs w:val="12"/>
                <w:lang w:val="fr-BE"/>
              </w:rPr>
              <w:t>1,00</w:t>
            </w:r>
          </w:p>
        </w:tc>
      </w:tr>
      <w:tr w:rsidR="006B2EC1" w14:paraId="15B232DE" w14:textId="77777777" w:rsidTr="0047688D">
        <w:tc>
          <w:tcPr>
            <w:tcW w:w="0" w:type="auto"/>
            <w:shd w:val="clear" w:color="auto" w:fill="auto"/>
          </w:tcPr>
          <w:p w14:paraId="526BD5F6" w14:textId="77777777" w:rsidR="008C5CFA" w:rsidRPr="00BA47B4" w:rsidRDefault="00E82A60" w:rsidP="00300A01">
            <w:pPr>
              <w:spacing w:before="0" w:after="0"/>
              <w:rPr>
                <w:sz w:val="12"/>
                <w:szCs w:val="12"/>
                <w:lang w:val="fr-BE"/>
              </w:rPr>
            </w:pPr>
            <w:r w:rsidRPr="00BA47B4">
              <w:rPr>
                <w:noProof/>
                <w:sz w:val="12"/>
                <w:szCs w:val="12"/>
                <w:lang w:val="fr-BE"/>
              </w:rPr>
              <w:t>CR06</w:t>
            </w:r>
          </w:p>
        </w:tc>
        <w:tc>
          <w:tcPr>
            <w:tcW w:w="0" w:type="auto"/>
            <w:shd w:val="clear" w:color="auto" w:fill="auto"/>
          </w:tcPr>
          <w:p w14:paraId="0DFC26E5" w14:textId="77777777" w:rsidR="008C5CFA" w:rsidRPr="00BA47B4" w:rsidRDefault="00E82A60" w:rsidP="00300A01">
            <w:pPr>
              <w:spacing w:before="0" w:after="0"/>
              <w:rPr>
                <w:sz w:val="12"/>
                <w:szCs w:val="12"/>
                <w:lang w:val="fr-BE"/>
              </w:rPr>
            </w:pPr>
            <w:r w:rsidRPr="00BA47B4">
              <w:rPr>
                <w:noProof/>
                <w:sz w:val="12"/>
                <w:szCs w:val="12"/>
                <w:lang w:val="fr-BE"/>
              </w:rPr>
              <w:t>uczestnicy pracujący, łącznie z prowadzącymi działalność na własny rachunek, sześć miesięcy po opuszczeniu programu</w:t>
            </w:r>
          </w:p>
        </w:tc>
        <w:tc>
          <w:tcPr>
            <w:tcW w:w="0" w:type="auto"/>
            <w:shd w:val="clear" w:color="auto" w:fill="auto"/>
          </w:tcPr>
          <w:p w14:paraId="1D6CE195" w14:textId="77777777" w:rsidR="008C5CFA" w:rsidRPr="00BA47B4" w:rsidRDefault="00E82A60" w:rsidP="00300A01">
            <w:pPr>
              <w:spacing w:before="0" w:after="0"/>
              <w:rPr>
                <w:sz w:val="12"/>
                <w:szCs w:val="12"/>
                <w:lang w:val="fr-BE"/>
              </w:rPr>
            </w:pPr>
            <w:r w:rsidRPr="00BA47B4">
              <w:rPr>
                <w:noProof/>
                <w:sz w:val="12"/>
                <w:szCs w:val="12"/>
                <w:lang w:val="fr-BE"/>
              </w:rPr>
              <w:t>Słabiej rozwinięte</w:t>
            </w:r>
          </w:p>
        </w:tc>
        <w:tc>
          <w:tcPr>
            <w:tcW w:w="0" w:type="auto"/>
            <w:shd w:val="clear" w:color="auto" w:fill="auto"/>
          </w:tcPr>
          <w:p w14:paraId="7516C20E" w14:textId="77777777" w:rsidR="008C5CFA" w:rsidRPr="00BA47B4" w:rsidRDefault="00E82A60" w:rsidP="00300A01">
            <w:pPr>
              <w:spacing w:before="0" w:after="0"/>
              <w:rPr>
                <w:sz w:val="12"/>
                <w:szCs w:val="12"/>
                <w:lang w:val="fr-BE"/>
              </w:rPr>
            </w:pPr>
            <w:r w:rsidRPr="00BA47B4">
              <w:rPr>
                <w:sz w:val="12"/>
                <w:szCs w:val="12"/>
                <w:lang w:val="fr-BE"/>
              </w:rPr>
              <w:t xml:space="preserve"> </w:t>
            </w:r>
          </w:p>
        </w:tc>
        <w:tc>
          <w:tcPr>
            <w:tcW w:w="0" w:type="auto"/>
            <w:shd w:val="clear" w:color="auto" w:fill="auto"/>
          </w:tcPr>
          <w:p w14:paraId="051F8462" w14:textId="77777777" w:rsidR="008C5CFA" w:rsidRPr="00BA47B4" w:rsidRDefault="008C5CFA" w:rsidP="00300A01">
            <w:pPr>
              <w:spacing w:before="0" w:after="0"/>
              <w:jc w:val="center"/>
              <w:rPr>
                <w:sz w:val="12"/>
                <w:szCs w:val="12"/>
                <w:lang w:val="fr-BE"/>
              </w:rPr>
            </w:pPr>
          </w:p>
        </w:tc>
        <w:tc>
          <w:tcPr>
            <w:tcW w:w="0" w:type="auto"/>
            <w:shd w:val="clear" w:color="auto" w:fill="auto"/>
          </w:tcPr>
          <w:p w14:paraId="2526494B" w14:textId="77777777" w:rsidR="008C5CFA" w:rsidRPr="00BA47B4" w:rsidRDefault="008C5CFA" w:rsidP="00300A01">
            <w:pPr>
              <w:spacing w:before="0" w:after="0"/>
              <w:jc w:val="right"/>
              <w:rPr>
                <w:sz w:val="12"/>
                <w:szCs w:val="12"/>
                <w:lang w:val="fr-BE"/>
              </w:rPr>
            </w:pPr>
          </w:p>
        </w:tc>
        <w:tc>
          <w:tcPr>
            <w:tcW w:w="0" w:type="auto"/>
            <w:shd w:val="clear" w:color="auto" w:fill="auto"/>
          </w:tcPr>
          <w:p w14:paraId="48D683BC" w14:textId="77777777" w:rsidR="008C5CFA" w:rsidRPr="00BA47B4" w:rsidRDefault="008C5CFA" w:rsidP="00300A01">
            <w:pPr>
              <w:spacing w:before="0" w:after="0"/>
              <w:jc w:val="right"/>
              <w:rPr>
                <w:sz w:val="12"/>
                <w:szCs w:val="12"/>
                <w:lang w:val="fr-BE"/>
              </w:rPr>
            </w:pPr>
          </w:p>
        </w:tc>
        <w:tc>
          <w:tcPr>
            <w:tcW w:w="0" w:type="auto"/>
            <w:shd w:val="clear" w:color="auto" w:fill="auto"/>
          </w:tcPr>
          <w:p w14:paraId="688893B1" w14:textId="77777777" w:rsidR="008C5CFA" w:rsidRPr="00BA47B4" w:rsidRDefault="008C5CFA" w:rsidP="00300A01">
            <w:pPr>
              <w:spacing w:before="0" w:after="0"/>
              <w:jc w:val="right"/>
              <w:rPr>
                <w:sz w:val="12"/>
                <w:szCs w:val="12"/>
                <w:lang w:val="fr-BE"/>
              </w:rPr>
            </w:pPr>
          </w:p>
        </w:tc>
        <w:tc>
          <w:tcPr>
            <w:tcW w:w="0" w:type="auto"/>
            <w:shd w:val="clear" w:color="auto" w:fill="auto"/>
          </w:tcPr>
          <w:p w14:paraId="5A96E9AE"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6A8FA621"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23E52BBD"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29CBACC8" w14:textId="77777777" w:rsidR="008C5CFA" w:rsidRPr="00BA47B4" w:rsidRDefault="008C5CFA" w:rsidP="00300A01">
            <w:pPr>
              <w:spacing w:before="0" w:after="0"/>
              <w:jc w:val="right"/>
              <w:rPr>
                <w:sz w:val="12"/>
                <w:szCs w:val="12"/>
                <w:lang w:val="fr-BE"/>
              </w:rPr>
            </w:pPr>
          </w:p>
        </w:tc>
        <w:tc>
          <w:tcPr>
            <w:tcW w:w="0" w:type="auto"/>
            <w:shd w:val="clear" w:color="auto" w:fill="auto"/>
          </w:tcPr>
          <w:p w14:paraId="05B03433" w14:textId="77777777" w:rsidR="008C5CFA" w:rsidRPr="00BA47B4" w:rsidRDefault="008C5CFA" w:rsidP="00300A01">
            <w:pPr>
              <w:spacing w:before="0" w:after="0"/>
              <w:jc w:val="right"/>
              <w:rPr>
                <w:sz w:val="12"/>
                <w:szCs w:val="12"/>
                <w:lang w:val="fr-BE"/>
              </w:rPr>
            </w:pPr>
          </w:p>
        </w:tc>
        <w:tc>
          <w:tcPr>
            <w:tcW w:w="0" w:type="auto"/>
            <w:shd w:val="clear" w:color="auto" w:fill="auto"/>
          </w:tcPr>
          <w:p w14:paraId="53CF3D33" w14:textId="77777777" w:rsidR="008C5CFA" w:rsidRPr="00BA47B4" w:rsidRDefault="008C5CFA" w:rsidP="00300A01">
            <w:pPr>
              <w:spacing w:before="0" w:after="0"/>
              <w:jc w:val="right"/>
              <w:rPr>
                <w:sz w:val="12"/>
                <w:szCs w:val="12"/>
                <w:lang w:val="fr-BE"/>
              </w:rPr>
            </w:pPr>
          </w:p>
        </w:tc>
        <w:tc>
          <w:tcPr>
            <w:tcW w:w="0" w:type="auto"/>
            <w:shd w:val="clear" w:color="auto" w:fill="auto"/>
          </w:tcPr>
          <w:p w14:paraId="506BC1F7"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50FD04E9"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r>
      <w:tr w:rsidR="006B2EC1" w14:paraId="60C859EF" w14:textId="77777777" w:rsidTr="0047688D">
        <w:tc>
          <w:tcPr>
            <w:tcW w:w="0" w:type="auto"/>
            <w:shd w:val="clear" w:color="auto" w:fill="auto"/>
          </w:tcPr>
          <w:p w14:paraId="7056286A" w14:textId="77777777" w:rsidR="008C5CFA" w:rsidRPr="00BA47B4" w:rsidRDefault="00E82A60" w:rsidP="00300A01">
            <w:pPr>
              <w:spacing w:before="0" w:after="0"/>
              <w:rPr>
                <w:sz w:val="12"/>
                <w:szCs w:val="12"/>
                <w:lang w:val="fr-BE"/>
              </w:rPr>
            </w:pPr>
            <w:r w:rsidRPr="00BA47B4">
              <w:rPr>
                <w:noProof/>
                <w:sz w:val="12"/>
                <w:szCs w:val="12"/>
                <w:lang w:val="fr-BE"/>
              </w:rPr>
              <w:t>CR07</w:t>
            </w:r>
          </w:p>
        </w:tc>
        <w:tc>
          <w:tcPr>
            <w:tcW w:w="0" w:type="auto"/>
            <w:shd w:val="clear" w:color="auto" w:fill="auto"/>
          </w:tcPr>
          <w:p w14:paraId="34596C6F" w14:textId="77777777" w:rsidR="008C5CFA" w:rsidRPr="00BA47B4" w:rsidRDefault="00E82A60" w:rsidP="00300A01">
            <w:pPr>
              <w:spacing w:before="0" w:after="0"/>
              <w:rPr>
                <w:sz w:val="12"/>
                <w:szCs w:val="12"/>
                <w:lang w:val="fr-BE"/>
              </w:rPr>
            </w:pPr>
            <w:r w:rsidRPr="00BA47B4">
              <w:rPr>
                <w:noProof/>
                <w:sz w:val="12"/>
                <w:szCs w:val="12"/>
                <w:lang w:val="fr-BE"/>
              </w:rPr>
              <w:t>uczestnicy znajdujący się w lepszej sytuacji na rynku pracy sześć miesięcy po opuszczeniu programu</w:t>
            </w:r>
          </w:p>
        </w:tc>
        <w:tc>
          <w:tcPr>
            <w:tcW w:w="0" w:type="auto"/>
            <w:shd w:val="clear" w:color="auto" w:fill="auto"/>
          </w:tcPr>
          <w:p w14:paraId="65A1B6F6" w14:textId="77777777" w:rsidR="008C5CFA" w:rsidRPr="00BA47B4" w:rsidRDefault="00E82A60" w:rsidP="00300A01">
            <w:pPr>
              <w:spacing w:before="0" w:after="0"/>
              <w:rPr>
                <w:sz w:val="12"/>
                <w:szCs w:val="12"/>
                <w:lang w:val="fr-BE"/>
              </w:rPr>
            </w:pPr>
            <w:r w:rsidRPr="00BA47B4">
              <w:rPr>
                <w:noProof/>
                <w:sz w:val="12"/>
                <w:szCs w:val="12"/>
                <w:lang w:val="fr-BE"/>
              </w:rPr>
              <w:t>Słabiej rozwinięte</w:t>
            </w:r>
          </w:p>
        </w:tc>
        <w:tc>
          <w:tcPr>
            <w:tcW w:w="0" w:type="auto"/>
            <w:shd w:val="clear" w:color="auto" w:fill="auto"/>
          </w:tcPr>
          <w:p w14:paraId="07F4F701" w14:textId="77777777" w:rsidR="008C5CFA" w:rsidRPr="00BA47B4" w:rsidRDefault="00E82A60" w:rsidP="00300A01">
            <w:pPr>
              <w:spacing w:before="0" w:after="0"/>
              <w:rPr>
                <w:sz w:val="12"/>
                <w:szCs w:val="12"/>
                <w:lang w:val="fr-BE"/>
              </w:rPr>
            </w:pPr>
            <w:r w:rsidRPr="00BA47B4">
              <w:rPr>
                <w:sz w:val="12"/>
                <w:szCs w:val="12"/>
                <w:lang w:val="fr-BE"/>
              </w:rPr>
              <w:t xml:space="preserve"> </w:t>
            </w:r>
          </w:p>
        </w:tc>
        <w:tc>
          <w:tcPr>
            <w:tcW w:w="0" w:type="auto"/>
            <w:shd w:val="clear" w:color="auto" w:fill="auto"/>
          </w:tcPr>
          <w:p w14:paraId="5BB48999" w14:textId="77777777" w:rsidR="008C5CFA" w:rsidRPr="00BA47B4" w:rsidRDefault="008C5CFA" w:rsidP="00300A01">
            <w:pPr>
              <w:spacing w:before="0" w:after="0"/>
              <w:jc w:val="center"/>
              <w:rPr>
                <w:sz w:val="12"/>
                <w:szCs w:val="12"/>
                <w:lang w:val="fr-BE"/>
              </w:rPr>
            </w:pPr>
          </w:p>
        </w:tc>
        <w:tc>
          <w:tcPr>
            <w:tcW w:w="0" w:type="auto"/>
            <w:shd w:val="clear" w:color="auto" w:fill="auto"/>
          </w:tcPr>
          <w:p w14:paraId="380FA12D" w14:textId="77777777" w:rsidR="008C5CFA" w:rsidRPr="00BA47B4" w:rsidRDefault="008C5CFA" w:rsidP="00300A01">
            <w:pPr>
              <w:spacing w:before="0" w:after="0"/>
              <w:jc w:val="right"/>
              <w:rPr>
                <w:sz w:val="12"/>
                <w:szCs w:val="12"/>
                <w:lang w:val="fr-BE"/>
              </w:rPr>
            </w:pPr>
          </w:p>
        </w:tc>
        <w:tc>
          <w:tcPr>
            <w:tcW w:w="0" w:type="auto"/>
            <w:shd w:val="clear" w:color="auto" w:fill="auto"/>
          </w:tcPr>
          <w:p w14:paraId="4AA71915" w14:textId="77777777" w:rsidR="008C5CFA" w:rsidRPr="00BA47B4" w:rsidRDefault="008C5CFA" w:rsidP="00300A01">
            <w:pPr>
              <w:spacing w:before="0" w:after="0"/>
              <w:jc w:val="right"/>
              <w:rPr>
                <w:sz w:val="12"/>
                <w:szCs w:val="12"/>
                <w:lang w:val="fr-BE"/>
              </w:rPr>
            </w:pPr>
          </w:p>
        </w:tc>
        <w:tc>
          <w:tcPr>
            <w:tcW w:w="0" w:type="auto"/>
            <w:shd w:val="clear" w:color="auto" w:fill="auto"/>
          </w:tcPr>
          <w:p w14:paraId="077A1D63" w14:textId="77777777" w:rsidR="008C5CFA" w:rsidRPr="00BA47B4" w:rsidRDefault="008C5CFA" w:rsidP="00300A01">
            <w:pPr>
              <w:spacing w:before="0" w:after="0"/>
              <w:jc w:val="right"/>
              <w:rPr>
                <w:sz w:val="12"/>
                <w:szCs w:val="12"/>
                <w:lang w:val="fr-BE"/>
              </w:rPr>
            </w:pPr>
          </w:p>
        </w:tc>
        <w:tc>
          <w:tcPr>
            <w:tcW w:w="0" w:type="auto"/>
            <w:shd w:val="clear" w:color="auto" w:fill="auto"/>
          </w:tcPr>
          <w:p w14:paraId="72C621DF" w14:textId="77777777" w:rsidR="008C5CFA" w:rsidRPr="00BA47B4" w:rsidRDefault="00E82A60" w:rsidP="00300A01">
            <w:pPr>
              <w:spacing w:before="0" w:after="0"/>
              <w:jc w:val="right"/>
              <w:rPr>
                <w:sz w:val="12"/>
                <w:szCs w:val="12"/>
                <w:lang w:val="fr-BE"/>
              </w:rPr>
            </w:pPr>
            <w:r w:rsidRPr="00BA47B4">
              <w:rPr>
                <w:noProof/>
                <w:sz w:val="12"/>
                <w:szCs w:val="12"/>
                <w:lang w:val="fr-BE"/>
              </w:rPr>
              <w:t>153,00</w:t>
            </w:r>
          </w:p>
        </w:tc>
        <w:tc>
          <w:tcPr>
            <w:tcW w:w="0" w:type="auto"/>
            <w:shd w:val="clear" w:color="auto" w:fill="auto"/>
          </w:tcPr>
          <w:p w14:paraId="360E7015" w14:textId="77777777" w:rsidR="008C5CFA" w:rsidRPr="00BA47B4" w:rsidRDefault="00E82A60" w:rsidP="00300A01">
            <w:pPr>
              <w:spacing w:before="0" w:after="0"/>
              <w:jc w:val="right"/>
              <w:rPr>
                <w:sz w:val="12"/>
                <w:szCs w:val="12"/>
                <w:lang w:val="fr-BE"/>
              </w:rPr>
            </w:pPr>
            <w:r w:rsidRPr="00BA47B4">
              <w:rPr>
                <w:noProof/>
                <w:sz w:val="12"/>
                <w:szCs w:val="12"/>
                <w:lang w:val="fr-BE"/>
              </w:rPr>
              <w:t>73,00</w:t>
            </w:r>
          </w:p>
        </w:tc>
        <w:tc>
          <w:tcPr>
            <w:tcW w:w="0" w:type="auto"/>
            <w:shd w:val="clear" w:color="auto" w:fill="auto"/>
          </w:tcPr>
          <w:p w14:paraId="62EEAA12" w14:textId="77777777" w:rsidR="008C5CFA" w:rsidRPr="00BA47B4" w:rsidRDefault="00E82A60" w:rsidP="00300A01">
            <w:pPr>
              <w:spacing w:before="0" w:after="0"/>
              <w:jc w:val="right"/>
              <w:rPr>
                <w:sz w:val="12"/>
                <w:szCs w:val="12"/>
                <w:lang w:val="fr-BE"/>
              </w:rPr>
            </w:pPr>
            <w:r w:rsidRPr="00BA47B4">
              <w:rPr>
                <w:noProof/>
                <w:sz w:val="12"/>
                <w:szCs w:val="12"/>
                <w:lang w:val="fr-BE"/>
              </w:rPr>
              <w:t>80,00</w:t>
            </w:r>
          </w:p>
        </w:tc>
        <w:tc>
          <w:tcPr>
            <w:tcW w:w="0" w:type="auto"/>
            <w:shd w:val="clear" w:color="auto" w:fill="auto"/>
          </w:tcPr>
          <w:p w14:paraId="78FF6993" w14:textId="77777777" w:rsidR="008C5CFA" w:rsidRPr="00BA47B4" w:rsidRDefault="008C5CFA" w:rsidP="00300A01">
            <w:pPr>
              <w:spacing w:before="0" w:after="0"/>
              <w:jc w:val="right"/>
              <w:rPr>
                <w:sz w:val="12"/>
                <w:szCs w:val="12"/>
                <w:lang w:val="fr-BE"/>
              </w:rPr>
            </w:pPr>
          </w:p>
        </w:tc>
        <w:tc>
          <w:tcPr>
            <w:tcW w:w="0" w:type="auto"/>
            <w:shd w:val="clear" w:color="auto" w:fill="auto"/>
          </w:tcPr>
          <w:p w14:paraId="798221F6" w14:textId="77777777" w:rsidR="008C5CFA" w:rsidRPr="00BA47B4" w:rsidRDefault="008C5CFA" w:rsidP="00300A01">
            <w:pPr>
              <w:spacing w:before="0" w:after="0"/>
              <w:jc w:val="right"/>
              <w:rPr>
                <w:sz w:val="12"/>
                <w:szCs w:val="12"/>
                <w:lang w:val="fr-BE"/>
              </w:rPr>
            </w:pPr>
          </w:p>
        </w:tc>
        <w:tc>
          <w:tcPr>
            <w:tcW w:w="0" w:type="auto"/>
            <w:shd w:val="clear" w:color="auto" w:fill="auto"/>
          </w:tcPr>
          <w:p w14:paraId="105DDA6C" w14:textId="77777777" w:rsidR="008C5CFA" w:rsidRPr="00BA47B4" w:rsidRDefault="008C5CFA" w:rsidP="00300A01">
            <w:pPr>
              <w:spacing w:before="0" w:after="0"/>
              <w:jc w:val="right"/>
              <w:rPr>
                <w:sz w:val="12"/>
                <w:szCs w:val="12"/>
                <w:lang w:val="fr-BE"/>
              </w:rPr>
            </w:pPr>
          </w:p>
        </w:tc>
        <w:tc>
          <w:tcPr>
            <w:tcW w:w="0" w:type="auto"/>
            <w:shd w:val="clear" w:color="auto" w:fill="auto"/>
          </w:tcPr>
          <w:p w14:paraId="7B91250B"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0A46FF99"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r>
      <w:tr w:rsidR="006B2EC1" w14:paraId="0ECD052D" w14:textId="77777777" w:rsidTr="0047688D">
        <w:tc>
          <w:tcPr>
            <w:tcW w:w="0" w:type="auto"/>
            <w:shd w:val="clear" w:color="auto" w:fill="auto"/>
          </w:tcPr>
          <w:p w14:paraId="012F1F5D" w14:textId="77777777" w:rsidR="008C5CFA" w:rsidRPr="00BA47B4" w:rsidRDefault="00E82A60" w:rsidP="00300A01">
            <w:pPr>
              <w:spacing w:before="0" w:after="0"/>
              <w:rPr>
                <w:sz w:val="12"/>
                <w:szCs w:val="12"/>
                <w:lang w:val="fr-BE"/>
              </w:rPr>
            </w:pPr>
            <w:r w:rsidRPr="00BA47B4">
              <w:rPr>
                <w:noProof/>
                <w:sz w:val="12"/>
                <w:szCs w:val="12"/>
                <w:lang w:val="fr-BE"/>
              </w:rPr>
              <w:t>CR07</w:t>
            </w:r>
          </w:p>
        </w:tc>
        <w:tc>
          <w:tcPr>
            <w:tcW w:w="0" w:type="auto"/>
            <w:shd w:val="clear" w:color="auto" w:fill="auto"/>
          </w:tcPr>
          <w:p w14:paraId="07D2D7BB" w14:textId="77777777" w:rsidR="008C5CFA" w:rsidRPr="00BA47B4" w:rsidRDefault="00E82A60" w:rsidP="00300A01">
            <w:pPr>
              <w:spacing w:before="0" w:after="0"/>
              <w:rPr>
                <w:sz w:val="12"/>
                <w:szCs w:val="12"/>
                <w:lang w:val="fr-BE"/>
              </w:rPr>
            </w:pPr>
            <w:r w:rsidRPr="00BA47B4">
              <w:rPr>
                <w:noProof/>
                <w:sz w:val="12"/>
                <w:szCs w:val="12"/>
                <w:lang w:val="fr-BE"/>
              </w:rPr>
              <w:t>uczestnicy znajdujący się w lepszej sytuacji na rynku pracy sześć miesięcy po opuszczeniu programu</w:t>
            </w:r>
          </w:p>
        </w:tc>
        <w:tc>
          <w:tcPr>
            <w:tcW w:w="0" w:type="auto"/>
            <w:shd w:val="clear" w:color="auto" w:fill="auto"/>
          </w:tcPr>
          <w:p w14:paraId="3EAAC31A" w14:textId="77777777" w:rsidR="008C5CFA" w:rsidRPr="00BA47B4" w:rsidRDefault="00E82A60" w:rsidP="00300A01">
            <w:pPr>
              <w:spacing w:before="0" w:after="0"/>
              <w:rPr>
                <w:sz w:val="12"/>
                <w:szCs w:val="12"/>
                <w:lang w:val="fr-BE"/>
              </w:rPr>
            </w:pPr>
            <w:r w:rsidRPr="00BA47B4">
              <w:rPr>
                <w:noProof/>
                <w:sz w:val="12"/>
                <w:szCs w:val="12"/>
                <w:lang w:val="fr-BE"/>
              </w:rPr>
              <w:t>Słabiej rozwinięte</w:t>
            </w:r>
          </w:p>
        </w:tc>
        <w:tc>
          <w:tcPr>
            <w:tcW w:w="0" w:type="auto"/>
            <w:shd w:val="clear" w:color="auto" w:fill="auto"/>
          </w:tcPr>
          <w:p w14:paraId="380B9B31" w14:textId="77777777" w:rsidR="008C5CFA" w:rsidRPr="00BA47B4" w:rsidRDefault="00E82A60" w:rsidP="00300A01">
            <w:pPr>
              <w:spacing w:before="0" w:after="0"/>
              <w:rPr>
                <w:sz w:val="12"/>
                <w:szCs w:val="12"/>
                <w:lang w:val="fr-BE"/>
              </w:rPr>
            </w:pPr>
            <w:r w:rsidRPr="00BA47B4">
              <w:rPr>
                <w:noProof/>
                <w:sz w:val="12"/>
                <w:szCs w:val="12"/>
                <w:lang w:val="fr-BE"/>
              </w:rPr>
              <w:t>CO05</w:t>
            </w:r>
            <w:r w:rsidRPr="00BA47B4">
              <w:rPr>
                <w:sz w:val="12"/>
                <w:szCs w:val="12"/>
                <w:lang w:val="fr-BE"/>
              </w:rPr>
              <w:t xml:space="preserve"> </w:t>
            </w:r>
            <w:r w:rsidRPr="00BA47B4">
              <w:rPr>
                <w:noProof/>
                <w:sz w:val="12"/>
                <w:szCs w:val="12"/>
                <w:lang w:val="fr-BE"/>
              </w:rPr>
              <w:t>osoby pracujące, łącznie z prowadzącymi działalność na własny rachunek</w:t>
            </w:r>
          </w:p>
        </w:tc>
        <w:tc>
          <w:tcPr>
            <w:tcW w:w="0" w:type="auto"/>
            <w:shd w:val="clear" w:color="auto" w:fill="auto"/>
          </w:tcPr>
          <w:p w14:paraId="304D87C2" w14:textId="77777777" w:rsidR="008C5CFA" w:rsidRPr="00BA47B4" w:rsidRDefault="00E82A60" w:rsidP="00300A01">
            <w:pPr>
              <w:spacing w:before="0" w:after="0"/>
              <w:jc w:val="center"/>
              <w:rPr>
                <w:sz w:val="12"/>
                <w:szCs w:val="12"/>
                <w:lang w:val="fr-BE"/>
              </w:rPr>
            </w:pPr>
            <w:r>
              <w:rPr>
                <w:noProof/>
                <w:sz w:val="12"/>
                <w:szCs w:val="12"/>
                <w:lang w:val="fr-BE"/>
              </w:rPr>
              <w:t>Współczynnik</w:t>
            </w:r>
          </w:p>
        </w:tc>
        <w:tc>
          <w:tcPr>
            <w:tcW w:w="0" w:type="auto"/>
            <w:shd w:val="clear" w:color="auto" w:fill="auto"/>
          </w:tcPr>
          <w:p w14:paraId="295DF8F7" w14:textId="77777777" w:rsidR="008C5CFA" w:rsidRPr="00BA47B4" w:rsidRDefault="00E82A60" w:rsidP="00300A01">
            <w:pPr>
              <w:spacing w:before="0" w:after="0"/>
              <w:jc w:val="right"/>
              <w:rPr>
                <w:sz w:val="12"/>
                <w:szCs w:val="12"/>
                <w:lang w:val="fr-BE"/>
              </w:rPr>
            </w:pPr>
            <w:r>
              <w:rPr>
                <w:noProof/>
                <w:sz w:val="12"/>
                <w:szCs w:val="12"/>
                <w:lang w:val="fr-BE"/>
              </w:rPr>
              <w:t>50,00</w:t>
            </w:r>
            <w:r>
              <w:rPr>
                <w:sz w:val="12"/>
                <w:szCs w:val="12"/>
                <w:lang w:val="fr-BE"/>
              </w:rPr>
              <w:t>%</w:t>
            </w:r>
          </w:p>
        </w:tc>
        <w:tc>
          <w:tcPr>
            <w:tcW w:w="0" w:type="auto"/>
            <w:shd w:val="clear" w:color="auto" w:fill="auto"/>
          </w:tcPr>
          <w:p w14:paraId="1524ED41" w14:textId="77777777" w:rsidR="008C5CFA" w:rsidRPr="00BA47B4" w:rsidRDefault="00E82A60" w:rsidP="00300A01">
            <w:pPr>
              <w:spacing w:before="0" w:after="0"/>
              <w:jc w:val="right"/>
              <w:rPr>
                <w:sz w:val="12"/>
                <w:szCs w:val="12"/>
                <w:lang w:val="fr-BE"/>
              </w:rPr>
            </w:pPr>
            <w:r>
              <w:rPr>
                <w:sz w:val="12"/>
                <w:szCs w:val="12"/>
                <w:lang w:val="fr-BE"/>
              </w:rPr>
              <w:t>%</w:t>
            </w:r>
          </w:p>
        </w:tc>
        <w:tc>
          <w:tcPr>
            <w:tcW w:w="0" w:type="auto"/>
            <w:shd w:val="clear" w:color="auto" w:fill="auto"/>
          </w:tcPr>
          <w:p w14:paraId="44AEA211" w14:textId="77777777" w:rsidR="008C5CFA" w:rsidRPr="00BA47B4" w:rsidRDefault="00E82A60" w:rsidP="00300A01">
            <w:pPr>
              <w:spacing w:before="0" w:after="0"/>
              <w:jc w:val="right"/>
              <w:rPr>
                <w:sz w:val="12"/>
                <w:szCs w:val="12"/>
                <w:lang w:val="fr-BE"/>
              </w:rPr>
            </w:pPr>
            <w:r>
              <w:rPr>
                <w:sz w:val="12"/>
                <w:szCs w:val="12"/>
                <w:lang w:val="fr-BE"/>
              </w:rPr>
              <w:t>%</w:t>
            </w:r>
          </w:p>
        </w:tc>
        <w:tc>
          <w:tcPr>
            <w:tcW w:w="0" w:type="auto"/>
            <w:shd w:val="clear" w:color="auto" w:fill="auto"/>
          </w:tcPr>
          <w:p w14:paraId="7A8C3CA4" w14:textId="77777777" w:rsidR="008C5CFA" w:rsidRPr="00BA47B4" w:rsidRDefault="00E82A60" w:rsidP="00300A01">
            <w:pPr>
              <w:spacing w:before="0" w:after="0"/>
              <w:jc w:val="right"/>
              <w:rPr>
                <w:sz w:val="12"/>
                <w:szCs w:val="12"/>
                <w:lang w:val="fr-BE"/>
              </w:rPr>
            </w:pPr>
            <w:r w:rsidRPr="00BA47B4">
              <w:rPr>
                <w:noProof/>
                <w:sz w:val="12"/>
                <w:szCs w:val="12"/>
                <w:lang w:val="fr-BE"/>
              </w:rPr>
              <w:t>153,00</w:t>
            </w:r>
          </w:p>
        </w:tc>
        <w:tc>
          <w:tcPr>
            <w:tcW w:w="0" w:type="auto"/>
            <w:shd w:val="clear" w:color="auto" w:fill="auto"/>
          </w:tcPr>
          <w:p w14:paraId="70FF50F1" w14:textId="77777777" w:rsidR="008C5CFA" w:rsidRPr="00BA47B4" w:rsidRDefault="00E82A60" w:rsidP="00300A01">
            <w:pPr>
              <w:spacing w:before="0" w:after="0"/>
              <w:jc w:val="right"/>
              <w:rPr>
                <w:sz w:val="12"/>
                <w:szCs w:val="12"/>
                <w:lang w:val="fr-BE"/>
              </w:rPr>
            </w:pPr>
            <w:r w:rsidRPr="00BA47B4">
              <w:rPr>
                <w:noProof/>
                <w:sz w:val="12"/>
                <w:szCs w:val="12"/>
                <w:lang w:val="fr-BE"/>
              </w:rPr>
              <w:t>73,00</w:t>
            </w:r>
          </w:p>
        </w:tc>
        <w:tc>
          <w:tcPr>
            <w:tcW w:w="0" w:type="auto"/>
            <w:shd w:val="clear" w:color="auto" w:fill="auto"/>
          </w:tcPr>
          <w:p w14:paraId="0DD12703" w14:textId="77777777" w:rsidR="008C5CFA" w:rsidRPr="00BA47B4" w:rsidRDefault="00E82A60" w:rsidP="00300A01">
            <w:pPr>
              <w:spacing w:before="0" w:after="0"/>
              <w:jc w:val="right"/>
              <w:rPr>
                <w:sz w:val="12"/>
                <w:szCs w:val="12"/>
                <w:lang w:val="fr-BE"/>
              </w:rPr>
            </w:pPr>
            <w:r w:rsidRPr="00BA47B4">
              <w:rPr>
                <w:noProof/>
                <w:sz w:val="12"/>
                <w:szCs w:val="12"/>
                <w:lang w:val="fr-BE"/>
              </w:rPr>
              <w:t>80,00</w:t>
            </w:r>
          </w:p>
        </w:tc>
        <w:tc>
          <w:tcPr>
            <w:tcW w:w="0" w:type="auto"/>
            <w:shd w:val="clear" w:color="auto" w:fill="auto"/>
          </w:tcPr>
          <w:p w14:paraId="2BD26280" w14:textId="77777777" w:rsidR="008C5CFA" w:rsidRPr="00BA47B4" w:rsidRDefault="00E82A60" w:rsidP="00300A01">
            <w:pPr>
              <w:spacing w:before="0" w:after="0"/>
              <w:jc w:val="right"/>
              <w:rPr>
                <w:sz w:val="12"/>
                <w:szCs w:val="12"/>
                <w:lang w:val="fr-BE"/>
              </w:rPr>
            </w:pPr>
            <w:r>
              <w:rPr>
                <w:noProof/>
                <w:sz w:val="12"/>
                <w:szCs w:val="12"/>
                <w:lang w:val="fr-BE"/>
              </w:rPr>
              <w:t>0,09</w:t>
            </w:r>
          </w:p>
        </w:tc>
        <w:tc>
          <w:tcPr>
            <w:tcW w:w="0" w:type="auto"/>
            <w:shd w:val="clear" w:color="auto" w:fill="auto"/>
          </w:tcPr>
          <w:p w14:paraId="41199C1F" w14:textId="77777777" w:rsidR="008C5CFA" w:rsidRPr="00BA47B4" w:rsidRDefault="008C5CFA" w:rsidP="00300A01">
            <w:pPr>
              <w:spacing w:before="0" w:after="0"/>
              <w:jc w:val="right"/>
              <w:rPr>
                <w:sz w:val="12"/>
                <w:szCs w:val="12"/>
                <w:lang w:val="fr-BE"/>
              </w:rPr>
            </w:pPr>
          </w:p>
        </w:tc>
        <w:tc>
          <w:tcPr>
            <w:tcW w:w="0" w:type="auto"/>
            <w:shd w:val="clear" w:color="auto" w:fill="auto"/>
          </w:tcPr>
          <w:p w14:paraId="0E872004" w14:textId="77777777" w:rsidR="008C5CFA" w:rsidRPr="00BA47B4" w:rsidRDefault="008C5CFA" w:rsidP="00300A01">
            <w:pPr>
              <w:spacing w:before="0" w:after="0"/>
              <w:jc w:val="right"/>
              <w:rPr>
                <w:sz w:val="12"/>
                <w:szCs w:val="12"/>
                <w:lang w:val="fr-BE"/>
              </w:rPr>
            </w:pPr>
          </w:p>
        </w:tc>
        <w:tc>
          <w:tcPr>
            <w:tcW w:w="0" w:type="auto"/>
            <w:shd w:val="clear" w:color="auto" w:fill="auto"/>
          </w:tcPr>
          <w:p w14:paraId="70E3E941"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72785E78"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r>
      <w:tr w:rsidR="006B2EC1" w14:paraId="63D4BF62" w14:textId="77777777" w:rsidTr="0047688D">
        <w:tc>
          <w:tcPr>
            <w:tcW w:w="0" w:type="auto"/>
            <w:shd w:val="clear" w:color="auto" w:fill="auto"/>
          </w:tcPr>
          <w:p w14:paraId="6A4C5242" w14:textId="77777777" w:rsidR="008C5CFA" w:rsidRPr="00BA47B4" w:rsidRDefault="00E82A60" w:rsidP="00300A01">
            <w:pPr>
              <w:spacing w:before="0" w:after="0"/>
              <w:rPr>
                <w:sz w:val="12"/>
                <w:szCs w:val="12"/>
                <w:lang w:val="fr-BE"/>
              </w:rPr>
            </w:pPr>
            <w:r w:rsidRPr="00BA47B4">
              <w:rPr>
                <w:noProof/>
                <w:sz w:val="12"/>
                <w:szCs w:val="12"/>
                <w:lang w:val="fr-BE"/>
              </w:rPr>
              <w:t>CR08</w:t>
            </w:r>
          </w:p>
        </w:tc>
        <w:tc>
          <w:tcPr>
            <w:tcW w:w="0" w:type="auto"/>
            <w:shd w:val="clear" w:color="auto" w:fill="auto"/>
          </w:tcPr>
          <w:p w14:paraId="0CFC8FB0" w14:textId="77777777" w:rsidR="008C5CFA" w:rsidRPr="00BA47B4" w:rsidRDefault="00E82A60" w:rsidP="00300A01">
            <w:pPr>
              <w:spacing w:before="0" w:after="0"/>
              <w:rPr>
                <w:sz w:val="12"/>
                <w:szCs w:val="12"/>
                <w:lang w:val="fr-BE"/>
              </w:rPr>
            </w:pPr>
            <w:r w:rsidRPr="00BA47B4">
              <w:rPr>
                <w:noProof/>
                <w:sz w:val="12"/>
                <w:szCs w:val="12"/>
                <w:lang w:val="fr-BE"/>
              </w:rPr>
              <w:t>uczestnicy powyżej 54 roku życia, pracujący, łącznie z prowadzącymi działalność na własny rachunek, sześć miesięcy po opuszczeniu programu</w:t>
            </w:r>
          </w:p>
        </w:tc>
        <w:tc>
          <w:tcPr>
            <w:tcW w:w="0" w:type="auto"/>
            <w:shd w:val="clear" w:color="auto" w:fill="auto"/>
          </w:tcPr>
          <w:p w14:paraId="50210105" w14:textId="77777777" w:rsidR="008C5CFA" w:rsidRPr="00BA47B4" w:rsidRDefault="00E82A60" w:rsidP="00300A01">
            <w:pPr>
              <w:spacing w:before="0" w:after="0"/>
              <w:rPr>
                <w:sz w:val="12"/>
                <w:szCs w:val="12"/>
                <w:lang w:val="fr-BE"/>
              </w:rPr>
            </w:pPr>
            <w:r w:rsidRPr="00BA47B4">
              <w:rPr>
                <w:noProof/>
                <w:sz w:val="12"/>
                <w:szCs w:val="12"/>
                <w:lang w:val="fr-BE"/>
              </w:rPr>
              <w:t>Słabiej rozwinięte</w:t>
            </w:r>
          </w:p>
        </w:tc>
        <w:tc>
          <w:tcPr>
            <w:tcW w:w="0" w:type="auto"/>
            <w:shd w:val="clear" w:color="auto" w:fill="auto"/>
          </w:tcPr>
          <w:p w14:paraId="1D30EB7E" w14:textId="77777777" w:rsidR="008C5CFA" w:rsidRPr="00BA47B4" w:rsidRDefault="00E82A60" w:rsidP="00300A01">
            <w:pPr>
              <w:spacing w:before="0" w:after="0"/>
              <w:rPr>
                <w:sz w:val="12"/>
                <w:szCs w:val="12"/>
                <w:lang w:val="fr-BE"/>
              </w:rPr>
            </w:pPr>
            <w:r w:rsidRPr="00BA47B4">
              <w:rPr>
                <w:sz w:val="12"/>
                <w:szCs w:val="12"/>
                <w:lang w:val="fr-BE"/>
              </w:rPr>
              <w:t xml:space="preserve"> </w:t>
            </w:r>
          </w:p>
        </w:tc>
        <w:tc>
          <w:tcPr>
            <w:tcW w:w="0" w:type="auto"/>
            <w:shd w:val="clear" w:color="auto" w:fill="auto"/>
          </w:tcPr>
          <w:p w14:paraId="78C70FF8" w14:textId="77777777" w:rsidR="008C5CFA" w:rsidRPr="00BA47B4" w:rsidRDefault="008C5CFA" w:rsidP="00300A01">
            <w:pPr>
              <w:spacing w:before="0" w:after="0"/>
              <w:jc w:val="center"/>
              <w:rPr>
                <w:sz w:val="12"/>
                <w:szCs w:val="12"/>
                <w:lang w:val="fr-BE"/>
              </w:rPr>
            </w:pPr>
          </w:p>
        </w:tc>
        <w:tc>
          <w:tcPr>
            <w:tcW w:w="0" w:type="auto"/>
            <w:shd w:val="clear" w:color="auto" w:fill="auto"/>
          </w:tcPr>
          <w:p w14:paraId="07BC9D13" w14:textId="77777777" w:rsidR="008C5CFA" w:rsidRPr="00BA47B4" w:rsidRDefault="008C5CFA" w:rsidP="00300A01">
            <w:pPr>
              <w:spacing w:before="0" w:after="0"/>
              <w:jc w:val="right"/>
              <w:rPr>
                <w:sz w:val="12"/>
                <w:szCs w:val="12"/>
                <w:lang w:val="fr-BE"/>
              </w:rPr>
            </w:pPr>
          </w:p>
        </w:tc>
        <w:tc>
          <w:tcPr>
            <w:tcW w:w="0" w:type="auto"/>
            <w:shd w:val="clear" w:color="auto" w:fill="auto"/>
          </w:tcPr>
          <w:p w14:paraId="69E29EAB" w14:textId="77777777" w:rsidR="008C5CFA" w:rsidRPr="00BA47B4" w:rsidRDefault="008C5CFA" w:rsidP="00300A01">
            <w:pPr>
              <w:spacing w:before="0" w:after="0"/>
              <w:jc w:val="right"/>
              <w:rPr>
                <w:sz w:val="12"/>
                <w:szCs w:val="12"/>
                <w:lang w:val="fr-BE"/>
              </w:rPr>
            </w:pPr>
          </w:p>
        </w:tc>
        <w:tc>
          <w:tcPr>
            <w:tcW w:w="0" w:type="auto"/>
            <w:shd w:val="clear" w:color="auto" w:fill="auto"/>
          </w:tcPr>
          <w:p w14:paraId="35EDEBE0" w14:textId="77777777" w:rsidR="008C5CFA" w:rsidRPr="00BA47B4" w:rsidRDefault="008C5CFA" w:rsidP="00300A01">
            <w:pPr>
              <w:spacing w:before="0" w:after="0"/>
              <w:jc w:val="right"/>
              <w:rPr>
                <w:sz w:val="12"/>
                <w:szCs w:val="12"/>
                <w:lang w:val="fr-BE"/>
              </w:rPr>
            </w:pPr>
          </w:p>
        </w:tc>
        <w:tc>
          <w:tcPr>
            <w:tcW w:w="0" w:type="auto"/>
            <w:shd w:val="clear" w:color="auto" w:fill="auto"/>
          </w:tcPr>
          <w:p w14:paraId="037EBD7B"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3037C7A4"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66F29BA5"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0449E435" w14:textId="77777777" w:rsidR="008C5CFA" w:rsidRPr="00BA47B4" w:rsidRDefault="008C5CFA" w:rsidP="00300A01">
            <w:pPr>
              <w:spacing w:before="0" w:after="0"/>
              <w:jc w:val="right"/>
              <w:rPr>
                <w:sz w:val="12"/>
                <w:szCs w:val="12"/>
                <w:lang w:val="fr-BE"/>
              </w:rPr>
            </w:pPr>
          </w:p>
        </w:tc>
        <w:tc>
          <w:tcPr>
            <w:tcW w:w="0" w:type="auto"/>
            <w:shd w:val="clear" w:color="auto" w:fill="auto"/>
          </w:tcPr>
          <w:p w14:paraId="21C481E0" w14:textId="77777777" w:rsidR="008C5CFA" w:rsidRPr="00BA47B4" w:rsidRDefault="008C5CFA" w:rsidP="00300A01">
            <w:pPr>
              <w:spacing w:before="0" w:after="0"/>
              <w:jc w:val="right"/>
              <w:rPr>
                <w:sz w:val="12"/>
                <w:szCs w:val="12"/>
                <w:lang w:val="fr-BE"/>
              </w:rPr>
            </w:pPr>
          </w:p>
        </w:tc>
        <w:tc>
          <w:tcPr>
            <w:tcW w:w="0" w:type="auto"/>
            <w:shd w:val="clear" w:color="auto" w:fill="auto"/>
          </w:tcPr>
          <w:p w14:paraId="0AB71FD5" w14:textId="77777777" w:rsidR="008C5CFA" w:rsidRPr="00BA47B4" w:rsidRDefault="008C5CFA" w:rsidP="00300A01">
            <w:pPr>
              <w:spacing w:before="0" w:after="0"/>
              <w:jc w:val="right"/>
              <w:rPr>
                <w:sz w:val="12"/>
                <w:szCs w:val="12"/>
                <w:lang w:val="fr-BE"/>
              </w:rPr>
            </w:pPr>
          </w:p>
        </w:tc>
        <w:tc>
          <w:tcPr>
            <w:tcW w:w="0" w:type="auto"/>
            <w:shd w:val="clear" w:color="auto" w:fill="auto"/>
          </w:tcPr>
          <w:p w14:paraId="2E4CDD5C"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55D4E7FD"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r>
      <w:tr w:rsidR="006B2EC1" w14:paraId="7B87E245" w14:textId="77777777" w:rsidTr="0047688D">
        <w:tc>
          <w:tcPr>
            <w:tcW w:w="0" w:type="auto"/>
            <w:shd w:val="clear" w:color="auto" w:fill="auto"/>
          </w:tcPr>
          <w:p w14:paraId="73BEF0B5" w14:textId="77777777" w:rsidR="008C5CFA" w:rsidRPr="00BA47B4" w:rsidRDefault="00E82A60" w:rsidP="00300A01">
            <w:pPr>
              <w:spacing w:before="0" w:after="0"/>
              <w:rPr>
                <w:sz w:val="12"/>
                <w:szCs w:val="12"/>
                <w:lang w:val="fr-BE"/>
              </w:rPr>
            </w:pPr>
            <w:r w:rsidRPr="00BA47B4">
              <w:rPr>
                <w:noProof/>
                <w:sz w:val="12"/>
                <w:szCs w:val="12"/>
                <w:lang w:val="fr-BE"/>
              </w:rPr>
              <w:t>CR09</w:t>
            </w:r>
          </w:p>
        </w:tc>
        <w:tc>
          <w:tcPr>
            <w:tcW w:w="0" w:type="auto"/>
            <w:shd w:val="clear" w:color="auto" w:fill="auto"/>
          </w:tcPr>
          <w:p w14:paraId="7F255559" w14:textId="77777777" w:rsidR="008C5CFA" w:rsidRPr="00BA47B4" w:rsidRDefault="00E82A60" w:rsidP="00300A01">
            <w:pPr>
              <w:spacing w:before="0" w:after="0"/>
              <w:rPr>
                <w:sz w:val="12"/>
                <w:szCs w:val="12"/>
                <w:lang w:val="fr-BE"/>
              </w:rPr>
            </w:pPr>
            <w:r w:rsidRPr="00BA47B4">
              <w:rPr>
                <w:noProof/>
                <w:sz w:val="12"/>
                <w:szCs w:val="12"/>
                <w:lang w:val="fr-BE"/>
              </w:rPr>
              <w:t>uczestnicy w niekorzystnej sytuacji społecznej, pracujący, łącznie z prowadzącymi działalność na własny rachunek, sześć miesięcy po opuszczeniu programu</w:t>
            </w:r>
          </w:p>
        </w:tc>
        <w:tc>
          <w:tcPr>
            <w:tcW w:w="0" w:type="auto"/>
            <w:shd w:val="clear" w:color="auto" w:fill="auto"/>
          </w:tcPr>
          <w:p w14:paraId="56483270" w14:textId="77777777" w:rsidR="008C5CFA" w:rsidRPr="00BA47B4" w:rsidRDefault="00E82A60" w:rsidP="00300A01">
            <w:pPr>
              <w:spacing w:before="0" w:after="0"/>
              <w:rPr>
                <w:sz w:val="12"/>
                <w:szCs w:val="12"/>
                <w:lang w:val="fr-BE"/>
              </w:rPr>
            </w:pPr>
            <w:r w:rsidRPr="00BA47B4">
              <w:rPr>
                <w:noProof/>
                <w:sz w:val="12"/>
                <w:szCs w:val="12"/>
                <w:lang w:val="fr-BE"/>
              </w:rPr>
              <w:t>Słabiej rozwinięte</w:t>
            </w:r>
          </w:p>
        </w:tc>
        <w:tc>
          <w:tcPr>
            <w:tcW w:w="0" w:type="auto"/>
            <w:shd w:val="clear" w:color="auto" w:fill="auto"/>
          </w:tcPr>
          <w:p w14:paraId="2AC3DD50" w14:textId="77777777" w:rsidR="008C5CFA" w:rsidRPr="00BA47B4" w:rsidRDefault="00E82A60" w:rsidP="00300A01">
            <w:pPr>
              <w:spacing w:before="0" w:after="0"/>
              <w:rPr>
                <w:sz w:val="12"/>
                <w:szCs w:val="12"/>
                <w:lang w:val="fr-BE"/>
              </w:rPr>
            </w:pPr>
            <w:r w:rsidRPr="00BA47B4">
              <w:rPr>
                <w:sz w:val="12"/>
                <w:szCs w:val="12"/>
                <w:lang w:val="fr-BE"/>
              </w:rPr>
              <w:t xml:space="preserve"> </w:t>
            </w:r>
          </w:p>
        </w:tc>
        <w:tc>
          <w:tcPr>
            <w:tcW w:w="0" w:type="auto"/>
            <w:shd w:val="clear" w:color="auto" w:fill="auto"/>
          </w:tcPr>
          <w:p w14:paraId="370E0BBF" w14:textId="77777777" w:rsidR="008C5CFA" w:rsidRPr="00BA47B4" w:rsidRDefault="008C5CFA" w:rsidP="00300A01">
            <w:pPr>
              <w:spacing w:before="0" w:after="0"/>
              <w:jc w:val="center"/>
              <w:rPr>
                <w:sz w:val="12"/>
                <w:szCs w:val="12"/>
                <w:lang w:val="fr-BE"/>
              </w:rPr>
            </w:pPr>
          </w:p>
        </w:tc>
        <w:tc>
          <w:tcPr>
            <w:tcW w:w="0" w:type="auto"/>
            <w:shd w:val="clear" w:color="auto" w:fill="auto"/>
          </w:tcPr>
          <w:p w14:paraId="30E57561" w14:textId="77777777" w:rsidR="008C5CFA" w:rsidRPr="00BA47B4" w:rsidRDefault="008C5CFA" w:rsidP="00300A01">
            <w:pPr>
              <w:spacing w:before="0" w:after="0"/>
              <w:jc w:val="right"/>
              <w:rPr>
                <w:sz w:val="12"/>
                <w:szCs w:val="12"/>
                <w:lang w:val="fr-BE"/>
              </w:rPr>
            </w:pPr>
          </w:p>
        </w:tc>
        <w:tc>
          <w:tcPr>
            <w:tcW w:w="0" w:type="auto"/>
            <w:shd w:val="clear" w:color="auto" w:fill="auto"/>
          </w:tcPr>
          <w:p w14:paraId="6DD4DFA7" w14:textId="77777777" w:rsidR="008C5CFA" w:rsidRPr="00BA47B4" w:rsidRDefault="008C5CFA" w:rsidP="00300A01">
            <w:pPr>
              <w:spacing w:before="0" w:after="0"/>
              <w:jc w:val="right"/>
              <w:rPr>
                <w:sz w:val="12"/>
                <w:szCs w:val="12"/>
                <w:lang w:val="fr-BE"/>
              </w:rPr>
            </w:pPr>
          </w:p>
        </w:tc>
        <w:tc>
          <w:tcPr>
            <w:tcW w:w="0" w:type="auto"/>
            <w:shd w:val="clear" w:color="auto" w:fill="auto"/>
          </w:tcPr>
          <w:p w14:paraId="1A950C92" w14:textId="77777777" w:rsidR="008C5CFA" w:rsidRPr="00BA47B4" w:rsidRDefault="008C5CFA" w:rsidP="00300A01">
            <w:pPr>
              <w:spacing w:before="0" w:after="0"/>
              <w:jc w:val="right"/>
              <w:rPr>
                <w:sz w:val="12"/>
                <w:szCs w:val="12"/>
                <w:lang w:val="fr-BE"/>
              </w:rPr>
            </w:pPr>
          </w:p>
        </w:tc>
        <w:tc>
          <w:tcPr>
            <w:tcW w:w="0" w:type="auto"/>
            <w:shd w:val="clear" w:color="auto" w:fill="auto"/>
          </w:tcPr>
          <w:p w14:paraId="630FFD1A"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776DB3E5"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469B5625"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5044B051" w14:textId="77777777" w:rsidR="008C5CFA" w:rsidRPr="00BA47B4" w:rsidRDefault="008C5CFA" w:rsidP="00300A01">
            <w:pPr>
              <w:spacing w:before="0" w:after="0"/>
              <w:jc w:val="right"/>
              <w:rPr>
                <w:sz w:val="12"/>
                <w:szCs w:val="12"/>
                <w:lang w:val="fr-BE"/>
              </w:rPr>
            </w:pPr>
          </w:p>
        </w:tc>
        <w:tc>
          <w:tcPr>
            <w:tcW w:w="0" w:type="auto"/>
            <w:shd w:val="clear" w:color="auto" w:fill="auto"/>
          </w:tcPr>
          <w:p w14:paraId="762CFC53" w14:textId="77777777" w:rsidR="008C5CFA" w:rsidRPr="00BA47B4" w:rsidRDefault="008C5CFA" w:rsidP="00300A01">
            <w:pPr>
              <w:spacing w:before="0" w:after="0"/>
              <w:jc w:val="right"/>
              <w:rPr>
                <w:sz w:val="12"/>
                <w:szCs w:val="12"/>
                <w:lang w:val="fr-BE"/>
              </w:rPr>
            </w:pPr>
          </w:p>
        </w:tc>
        <w:tc>
          <w:tcPr>
            <w:tcW w:w="0" w:type="auto"/>
            <w:shd w:val="clear" w:color="auto" w:fill="auto"/>
          </w:tcPr>
          <w:p w14:paraId="36D8E162" w14:textId="77777777" w:rsidR="008C5CFA" w:rsidRPr="00BA47B4" w:rsidRDefault="008C5CFA" w:rsidP="00300A01">
            <w:pPr>
              <w:spacing w:before="0" w:after="0"/>
              <w:jc w:val="right"/>
              <w:rPr>
                <w:sz w:val="12"/>
                <w:szCs w:val="12"/>
                <w:lang w:val="fr-BE"/>
              </w:rPr>
            </w:pPr>
          </w:p>
        </w:tc>
        <w:tc>
          <w:tcPr>
            <w:tcW w:w="0" w:type="auto"/>
            <w:shd w:val="clear" w:color="auto" w:fill="auto"/>
          </w:tcPr>
          <w:p w14:paraId="394B2F5D"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1464D68F"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r>
    </w:tbl>
    <w:p w14:paraId="2700655B" w14:textId="77777777" w:rsidR="008C5CFA" w:rsidRDefault="008C5CFA" w:rsidP="00300A01">
      <w:pPr>
        <w:keepNext/>
        <w:spacing w:before="0" w:after="0"/>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37"/>
        <w:gridCol w:w="8668"/>
        <w:gridCol w:w="884"/>
        <w:gridCol w:w="596"/>
        <w:gridCol w:w="463"/>
        <w:gridCol w:w="596"/>
        <w:gridCol w:w="463"/>
        <w:gridCol w:w="596"/>
        <w:gridCol w:w="463"/>
        <w:gridCol w:w="596"/>
        <w:gridCol w:w="463"/>
        <w:gridCol w:w="596"/>
        <w:gridCol w:w="463"/>
      </w:tblGrid>
      <w:tr w:rsidR="006B2EC1" w14:paraId="65C99BC6" w14:textId="77777777" w:rsidTr="0047688D">
        <w:trPr>
          <w:tblHeader/>
        </w:trPr>
        <w:tc>
          <w:tcPr>
            <w:tcW w:w="0" w:type="auto"/>
            <w:shd w:val="clear" w:color="auto" w:fill="auto"/>
          </w:tcPr>
          <w:p w14:paraId="553D2A4D" w14:textId="77777777" w:rsidR="008C5CFA" w:rsidRPr="00F53019" w:rsidRDefault="00E82A60" w:rsidP="00300A01">
            <w:pPr>
              <w:spacing w:before="0" w:after="0"/>
              <w:rPr>
                <w:b/>
                <w:sz w:val="12"/>
                <w:szCs w:val="12"/>
                <w:lang w:val="fr-BE"/>
              </w:rPr>
            </w:pPr>
            <w:r w:rsidRPr="00F53019">
              <w:rPr>
                <w:b/>
                <w:noProof/>
                <w:sz w:val="12"/>
                <w:szCs w:val="12"/>
                <w:lang w:val="fr-BE"/>
              </w:rPr>
              <w:t>ID</w:t>
            </w:r>
          </w:p>
        </w:tc>
        <w:tc>
          <w:tcPr>
            <w:tcW w:w="0" w:type="auto"/>
            <w:shd w:val="clear" w:color="auto" w:fill="auto"/>
          </w:tcPr>
          <w:p w14:paraId="268CA870" w14:textId="77777777" w:rsidR="008C5CFA" w:rsidRPr="00F53019" w:rsidRDefault="00E82A60" w:rsidP="00300A01">
            <w:pPr>
              <w:spacing w:before="0" w:after="0"/>
              <w:rPr>
                <w:b/>
                <w:sz w:val="12"/>
                <w:szCs w:val="12"/>
                <w:lang w:val="fr-BE"/>
              </w:rPr>
            </w:pPr>
            <w:r w:rsidRPr="00F53019">
              <w:rPr>
                <w:b/>
                <w:noProof/>
                <w:sz w:val="12"/>
                <w:szCs w:val="12"/>
                <w:lang w:val="fr-BE"/>
              </w:rPr>
              <w:t>Wskaźnik</w:t>
            </w:r>
          </w:p>
        </w:tc>
        <w:tc>
          <w:tcPr>
            <w:tcW w:w="0" w:type="auto"/>
            <w:shd w:val="clear" w:color="auto" w:fill="auto"/>
          </w:tcPr>
          <w:p w14:paraId="7D2689B4" w14:textId="77777777" w:rsidR="008C5CFA" w:rsidRPr="00F53019" w:rsidRDefault="00E82A60" w:rsidP="00300A01">
            <w:pPr>
              <w:spacing w:before="0" w:after="0"/>
              <w:rPr>
                <w:b/>
                <w:sz w:val="12"/>
                <w:szCs w:val="12"/>
                <w:lang w:val="fr-BE"/>
              </w:rPr>
            </w:pPr>
            <w:r w:rsidRPr="00F53019">
              <w:rPr>
                <w:b/>
                <w:noProof/>
                <w:sz w:val="12"/>
                <w:szCs w:val="12"/>
                <w:lang w:val="fr-BE"/>
              </w:rPr>
              <w:t>Kategoria regionu</w:t>
            </w:r>
          </w:p>
        </w:tc>
        <w:tc>
          <w:tcPr>
            <w:tcW w:w="0" w:type="auto"/>
            <w:gridSpan w:val="2"/>
          </w:tcPr>
          <w:p w14:paraId="4A7DC75C" w14:textId="77777777" w:rsidR="008C5CFA" w:rsidRPr="00F53019" w:rsidRDefault="00E82A60" w:rsidP="00300A01">
            <w:pPr>
              <w:spacing w:before="0" w:after="0"/>
              <w:jc w:val="center"/>
              <w:rPr>
                <w:b/>
                <w:sz w:val="12"/>
                <w:szCs w:val="12"/>
                <w:lang w:val="fr-BE"/>
              </w:rPr>
            </w:pPr>
            <w:r>
              <w:rPr>
                <w:b/>
                <w:sz w:val="12"/>
                <w:szCs w:val="12"/>
                <w:lang w:val="fr-BE"/>
              </w:rPr>
              <w:t>2018</w:t>
            </w:r>
          </w:p>
        </w:tc>
        <w:tc>
          <w:tcPr>
            <w:tcW w:w="0" w:type="auto"/>
            <w:gridSpan w:val="2"/>
          </w:tcPr>
          <w:p w14:paraId="5655EFC2" w14:textId="77777777" w:rsidR="008C5CFA" w:rsidRPr="00F53019" w:rsidRDefault="00E82A60" w:rsidP="00300A01">
            <w:pPr>
              <w:spacing w:before="0" w:after="0"/>
              <w:jc w:val="center"/>
              <w:rPr>
                <w:b/>
                <w:sz w:val="12"/>
                <w:szCs w:val="12"/>
                <w:lang w:val="fr-BE"/>
              </w:rPr>
            </w:pPr>
            <w:r>
              <w:rPr>
                <w:b/>
                <w:sz w:val="12"/>
                <w:szCs w:val="12"/>
                <w:lang w:val="fr-BE"/>
              </w:rPr>
              <w:t>2017</w:t>
            </w:r>
          </w:p>
        </w:tc>
        <w:tc>
          <w:tcPr>
            <w:tcW w:w="0" w:type="auto"/>
            <w:gridSpan w:val="2"/>
          </w:tcPr>
          <w:p w14:paraId="39DBCF6D" w14:textId="77777777" w:rsidR="008C5CFA" w:rsidRPr="00F53019" w:rsidRDefault="00E82A60" w:rsidP="00300A01">
            <w:pPr>
              <w:spacing w:before="0" w:after="0"/>
              <w:jc w:val="center"/>
              <w:rPr>
                <w:b/>
                <w:sz w:val="12"/>
                <w:szCs w:val="12"/>
                <w:lang w:val="fr-BE"/>
              </w:rPr>
            </w:pPr>
            <w:r>
              <w:rPr>
                <w:b/>
                <w:sz w:val="12"/>
                <w:szCs w:val="12"/>
                <w:lang w:val="fr-BE"/>
              </w:rPr>
              <w:t>2016</w:t>
            </w:r>
          </w:p>
        </w:tc>
        <w:tc>
          <w:tcPr>
            <w:tcW w:w="0" w:type="auto"/>
            <w:gridSpan w:val="2"/>
          </w:tcPr>
          <w:p w14:paraId="40B15C4B" w14:textId="77777777" w:rsidR="008C5CFA" w:rsidRPr="00F53019" w:rsidRDefault="00E82A60" w:rsidP="00300A01">
            <w:pPr>
              <w:spacing w:before="0" w:after="0"/>
              <w:jc w:val="center"/>
              <w:rPr>
                <w:b/>
                <w:sz w:val="12"/>
                <w:szCs w:val="12"/>
                <w:lang w:val="fr-BE"/>
              </w:rPr>
            </w:pPr>
            <w:r>
              <w:rPr>
                <w:b/>
                <w:sz w:val="12"/>
                <w:szCs w:val="12"/>
                <w:lang w:val="fr-BE"/>
              </w:rPr>
              <w:t>2015</w:t>
            </w:r>
          </w:p>
        </w:tc>
        <w:tc>
          <w:tcPr>
            <w:tcW w:w="0" w:type="auto"/>
            <w:gridSpan w:val="2"/>
            <w:shd w:val="clear" w:color="auto" w:fill="auto"/>
          </w:tcPr>
          <w:p w14:paraId="6F2E7EF6" w14:textId="77777777" w:rsidR="008C5CFA" w:rsidRPr="00F53019" w:rsidRDefault="00E82A60" w:rsidP="00300A01">
            <w:pPr>
              <w:spacing w:before="0" w:after="0"/>
              <w:jc w:val="center"/>
              <w:rPr>
                <w:b/>
                <w:sz w:val="12"/>
                <w:szCs w:val="12"/>
                <w:lang w:val="fr-BE"/>
              </w:rPr>
            </w:pPr>
            <w:r>
              <w:rPr>
                <w:b/>
                <w:sz w:val="12"/>
                <w:szCs w:val="12"/>
                <w:lang w:val="fr-BE"/>
              </w:rPr>
              <w:t>2014</w:t>
            </w:r>
          </w:p>
        </w:tc>
      </w:tr>
      <w:tr w:rsidR="006B2EC1" w14:paraId="35C86495" w14:textId="77777777" w:rsidTr="0047688D">
        <w:trPr>
          <w:tblHeader/>
        </w:trPr>
        <w:tc>
          <w:tcPr>
            <w:tcW w:w="0" w:type="auto"/>
            <w:shd w:val="clear" w:color="auto" w:fill="auto"/>
          </w:tcPr>
          <w:p w14:paraId="0269F73D" w14:textId="77777777" w:rsidR="008C5CFA" w:rsidRPr="00F53019" w:rsidRDefault="008C5CFA" w:rsidP="00300A01">
            <w:pPr>
              <w:spacing w:before="0" w:after="0"/>
              <w:rPr>
                <w:b/>
                <w:sz w:val="12"/>
                <w:szCs w:val="12"/>
                <w:lang w:val="fr-BE"/>
              </w:rPr>
            </w:pPr>
          </w:p>
        </w:tc>
        <w:tc>
          <w:tcPr>
            <w:tcW w:w="0" w:type="auto"/>
            <w:shd w:val="clear" w:color="auto" w:fill="auto"/>
          </w:tcPr>
          <w:p w14:paraId="363E9FC0" w14:textId="77777777" w:rsidR="008C5CFA" w:rsidRPr="00F53019" w:rsidRDefault="008C5CFA" w:rsidP="00300A01">
            <w:pPr>
              <w:spacing w:before="0" w:after="0"/>
              <w:rPr>
                <w:b/>
                <w:sz w:val="12"/>
                <w:szCs w:val="12"/>
                <w:lang w:val="fr-BE"/>
              </w:rPr>
            </w:pPr>
          </w:p>
        </w:tc>
        <w:tc>
          <w:tcPr>
            <w:tcW w:w="0" w:type="auto"/>
            <w:shd w:val="clear" w:color="auto" w:fill="auto"/>
          </w:tcPr>
          <w:p w14:paraId="1B835242" w14:textId="77777777" w:rsidR="008C5CFA" w:rsidRPr="00F53019" w:rsidRDefault="008C5CFA" w:rsidP="00300A01">
            <w:pPr>
              <w:spacing w:before="0" w:after="0"/>
              <w:rPr>
                <w:b/>
                <w:sz w:val="12"/>
                <w:szCs w:val="12"/>
                <w:lang w:val="fr-BE"/>
              </w:rPr>
            </w:pPr>
          </w:p>
        </w:tc>
        <w:tc>
          <w:tcPr>
            <w:tcW w:w="0" w:type="auto"/>
          </w:tcPr>
          <w:p w14:paraId="17F77FBA" w14:textId="77777777" w:rsidR="008C5CFA" w:rsidRPr="00F53019" w:rsidRDefault="00E82A60" w:rsidP="00300A01">
            <w:pPr>
              <w:spacing w:before="0" w:after="0"/>
              <w:jc w:val="center"/>
              <w:rPr>
                <w:b/>
                <w:sz w:val="12"/>
                <w:szCs w:val="12"/>
                <w:lang w:val="fr-BE"/>
              </w:rPr>
            </w:pPr>
            <w:r w:rsidRPr="00F53019">
              <w:rPr>
                <w:b/>
                <w:noProof/>
                <w:sz w:val="12"/>
                <w:szCs w:val="12"/>
                <w:lang w:val="fr-BE"/>
              </w:rPr>
              <w:t>Mężczyźni</w:t>
            </w:r>
          </w:p>
        </w:tc>
        <w:tc>
          <w:tcPr>
            <w:tcW w:w="0" w:type="auto"/>
          </w:tcPr>
          <w:p w14:paraId="0CEBBC91" w14:textId="77777777" w:rsidR="008C5CFA" w:rsidRPr="00F53019" w:rsidRDefault="00E82A60" w:rsidP="00300A01">
            <w:pPr>
              <w:spacing w:before="0" w:after="0"/>
              <w:jc w:val="center"/>
              <w:rPr>
                <w:b/>
                <w:sz w:val="12"/>
                <w:szCs w:val="12"/>
                <w:lang w:val="fr-BE"/>
              </w:rPr>
            </w:pPr>
            <w:r w:rsidRPr="00F53019">
              <w:rPr>
                <w:b/>
                <w:noProof/>
                <w:sz w:val="12"/>
                <w:szCs w:val="12"/>
                <w:lang w:val="fr-BE"/>
              </w:rPr>
              <w:t>Kobiety</w:t>
            </w:r>
          </w:p>
        </w:tc>
        <w:tc>
          <w:tcPr>
            <w:tcW w:w="0" w:type="auto"/>
          </w:tcPr>
          <w:p w14:paraId="4AADD0C8" w14:textId="77777777" w:rsidR="008C5CFA" w:rsidRPr="00F53019" w:rsidRDefault="00E82A60" w:rsidP="00300A01">
            <w:pPr>
              <w:spacing w:before="0" w:after="0"/>
              <w:jc w:val="center"/>
              <w:rPr>
                <w:b/>
                <w:sz w:val="12"/>
                <w:szCs w:val="12"/>
                <w:lang w:val="fr-BE"/>
              </w:rPr>
            </w:pPr>
            <w:r w:rsidRPr="00F53019">
              <w:rPr>
                <w:b/>
                <w:noProof/>
                <w:sz w:val="12"/>
                <w:szCs w:val="12"/>
                <w:lang w:val="fr-BE"/>
              </w:rPr>
              <w:t>Mężczyźni</w:t>
            </w:r>
          </w:p>
        </w:tc>
        <w:tc>
          <w:tcPr>
            <w:tcW w:w="0" w:type="auto"/>
          </w:tcPr>
          <w:p w14:paraId="092F54C9" w14:textId="77777777" w:rsidR="008C5CFA" w:rsidRPr="00F53019" w:rsidRDefault="00E82A60" w:rsidP="00300A01">
            <w:pPr>
              <w:spacing w:before="0" w:after="0"/>
              <w:jc w:val="center"/>
              <w:rPr>
                <w:b/>
                <w:sz w:val="12"/>
                <w:szCs w:val="12"/>
                <w:lang w:val="fr-BE"/>
              </w:rPr>
            </w:pPr>
            <w:r w:rsidRPr="00F53019">
              <w:rPr>
                <w:b/>
                <w:noProof/>
                <w:sz w:val="12"/>
                <w:szCs w:val="12"/>
                <w:lang w:val="fr-BE"/>
              </w:rPr>
              <w:t>Kobiety</w:t>
            </w:r>
          </w:p>
        </w:tc>
        <w:tc>
          <w:tcPr>
            <w:tcW w:w="0" w:type="auto"/>
          </w:tcPr>
          <w:p w14:paraId="77D46B79" w14:textId="77777777" w:rsidR="008C5CFA" w:rsidRPr="00F53019" w:rsidRDefault="00E82A60" w:rsidP="00300A01">
            <w:pPr>
              <w:spacing w:before="0" w:after="0"/>
              <w:jc w:val="center"/>
              <w:rPr>
                <w:b/>
                <w:sz w:val="12"/>
                <w:szCs w:val="12"/>
                <w:lang w:val="fr-BE"/>
              </w:rPr>
            </w:pPr>
            <w:r w:rsidRPr="00F53019">
              <w:rPr>
                <w:b/>
                <w:noProof/>
                <w:sz w:val="12"/>
                <w:szCs w:val="12"/>
                <w:lang w:val="fr-BE"/>
              </w:rPr>
              <w:t>Mężczyźni</w:t>
            </w:r>
          </w:p>
        </w:tc>
        <w:tc>
          <w:tcPr>
            <w:tcW w:w="0" w:type="auto"/>
          </w:tcPr>
          <w:p w14:paraId="2B2BF399" w14:textId="77777777" w:rsidR="008C5CFA" w:rsidRPr="00F53019" w:rsidRDefault="00E82A60" w:rsidP="00300A01">
            <w:pPr>
              <w:spacing w:before="0" w:after="0"/>
              <w:jc w:val="center"/>
              <w:rPr>
                <w:b/>
                <w:sz w:val="12"/>
                <w:szCs w:val="12"/>
                <w:lang w:val="fr-BE"/>
              </w:rPr>
            </w:pPr>
            <w:r w:rsidRPr="00F53019">
              <w:rPr>
                <w:b/>
                <w:noProof/>
                <w:sz w:val="12"/>
                <w:szCs w:val="12"/>
                <w:lang w:val="fr-BE"/>
              </w:rPr>
              <w:t>Kobiety</w:t>
            </w:r>
          </w:p>
        </w:tc>
        <w:tc>
          <w:tcPr>
            <w:tcW w:w="0" w:type="auto"/>
          </w:tcPr>
          <w:p w14:paraId="502D0B20" w14:textId="77777777" w:rsidR="008C5CFA" w:rsidRPr="00F53019" w:rsidRDefault="00E82A60" w:rsidP="00300A01">
            <w:pPr>
              <w:spacing w:before="0" w:after="0"/>
              <w:jc w:val="center"/>
              <w:rPr>
                <w:b/>
                <w:sz w:val="12"/>
                <w:szCs w:val="12"/>
                <w:lang w:val="fr-BE"/>
              </w:rPr>
            </w:pPr>
            <w:r w:rsidRPr="00F53019">
              <w:rPr>
                <w:b/>
                <w:noProof/>
                <w:sz w:val="12"/>
                <w:szCs w:val="12"/>
                <w:lang w:val="fr-BE"/>
              </w:rPr>
              <w:t>Mężczyźni</w:t>
            </w:r>
          </w:p>
        </w:tc>
        <w:tc>
          <w:tcPr>
            <w:tcW w:w="0" w:type="auto"/>
          </w:tcPr>
          <w:p w14:paraId="6B109C98" w14:textId="77777777" w:rsidR="008C5CFA" w:rsidRPr="00F53019" w:rsidRDefault="00E82A60" w:rsidP="00300A01">
            <w:pPr>
              <w:spacing w:before="0" w:after="0"/>
              <w:jc w:val="center"/>
              <w:rPr>
                <w:b/>
                <w:sz w:val="12"/>
                <w:szCs w:val="12"/>
                <w:lang w:val="fr-BE"/>
              </w:rPr>
            </w:pPr>
            <w:r w:rsidRPr="00F53019">
              <w:rPr>
                <w:b/>
                <w:noProof/>
                <w:sz w:val="12"/>
                <w:szCs w:val="12"/>
                <w:lang w:val="fr-BE"/>
              </w:rPr>
              <w:t>Kobiety</w:t>
            </w:r>
          </w:p>
        </w:tc>
        <w:tc>
          <w:tcPr>
            <w:tcW w:w="0" w:type="auto"/>
            <w:shd w:val="clear" w:color="auto" w:fill="auto"/>
          </w:tcPr>
          <w:p w14:paraId="7754687A" w14:textId="77777777" w:rsidR="008C5CFA" w:rsidRPr="00F53019" w:rsidRDefault="00E82A60"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14:paraId="7C391ADC" w14:textId="77777777" w:rsidR="008C5CFA" w:rsidRPr="00F53019" w:rsidRDefault="00E82A60" w:rsidP="00300A01">
            <w:pPr>
              <w:spacing w:before="0" w:after="0"/>
              <w:jc w:val="center"/>
              <w:rPr>
                <w:b/>
                <w:sz w:val="12"/>
                <w:szCs w:val="12"/>
                <w:lang w:val="fr-BE"/>
              </w:rPr>
            </w:pPr>
            <w:r w:rsidRPr="00F53019">
              <w:rPr>
                <w:b/>
                <w:noProof/>
                <w:sz w:val="12"/>
                <w:szCs w:val="12"/>
                <w:lang w:val="fr-BE"/>
              </w:rPr>
              <w:t>Kobiety</w:t>
            </w:r>
          </w:p>
        </w:tc>
      </w:tr>
      <w:tr w:rsidR="006B2EC1" w14:paraId="5F3FBF71" w14:textId="77777777" w:rsidTr="0047688D">
        <w:tc>
          <w:tcPr>
            <w:tcW w:w="0" w:type="auto"/>
            <w:shd w:val="clear" w:color="auto" w:fill="auto"/>
          </w:tcPr>
          <w:p w14:paraId="63C768F1" w14:textId="77777777" w:rsidR="008C5CFA" w:rsidRPr="00BA47B4" w:rsidRDefault="00E82A60" w:rsidP="00300A01">
            <w:pPr>
              <w:spacing w:before="0" w:after="0"/>
              <w:rPr>
                <w:sz w:val="12"/>
                <w:szCs w:val="12"/>
                <w:lang w:val="fr-BE"/>
              </w:rPr>
            </w:pPr>
            <w:r w:rsidRPr="00BA47B4">
              <w:rPr>
                <w:noProof/>
                <w:sz w:val="12"/>
                <w:szCs w:val="12"/>
                <w:lang w:val="fr-BE"/>
              </w:rPr>
              <w:t>CR01</w:t>
            </w:r>
          </w:p>
        </w:tc>
        <w:tc>
          <w:tcPr>
            <w:tcW w:w="0" w:type="auto"/>
            <w:shd w:val="clear" w:color="auto" w:fill="auto"/>
          </w:tcPr>
          <w:p w14:paraId="7411C3F5" w14:textId="77777777" w:rsidR="008C5CFA" w:rsidRPr="00BA47B4" w:rsidRDefault="00E82A60" w:rsidP="00300A01">
            <w:pPr>
              <w:spacing w:before="0" w:after="0"/>
              <w:rPr>
                <w:sz w:val="12"/>
                <w:szCs w:val="12"/>
                <w:lang w:val="fr-BE"/>
              </w:rPr>
            </w:pPr>
            <w:r w:rsidRPr="00BA47B4">
              <w:rPr>
                <w:noProof/>
                <w:sz w:val="12"/>
                <w:szCs w:val="12"/>
                <w:lang w:val="fr-BE"/>
              </w:rPr>
              <w:t>bierni zawodowo uczestnicy poszukujący pracy po opuszczeniu programu</w:t>
            </w:r>
          </w:p>
        </w:tc>
        <w:tc>
          <w:tcPr>
            <w:tcW w:w="0" w:type="auto"/>
            <w:shd w:val="clear" w:color="auto" w:fill="auto"/>
          </w:tcPr>
          <w:p w14:paraId="6897891C" w14:textId="77777777" w:rsidR="008C5CFA" w:rsidRPr="00BA47B4" w:rsidRDefault="00E82A60" w:rsidP="00300A01">
            <w:pPr>
              <w:spacing w:before="0" w:after="0"/>
              <w:rPr>
                <w:sz w:val="12"/>
                <w:szCs w:val="12"/>
                <w:lang w:val="fr-BE"/>
              </w:rPr>
            </w:pPr>
            <w:r w:rsidRPr="00BA47B4">
              <w:rPr>
                <w:noProof/>
                <w:sz w:val="12"/>
                <w:szCs w:val="12"/>
                <w:lang w:val="fr-BE"/>
              </w:rPr>
              <w:t>Słabiej rozwinięte</w:t>
            </w:r>
          </w:p>
        </w:tc>
        <w:tc>
          <w:tcPr>
            <w:tcW w:w="0" w:type="auto"/>
          </w:tcPr>
          <w:p w14:paraId="1873E1CC"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30AA14CB"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07EC86BE"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17F9D615"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669699CD"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3A9733D3"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55AC0423"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43278E6D"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5F8FD206"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2B7915A2"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r>
      <w:tr w:rsidR="006B2EC1" w14:paraId="3E5E6526" w14:textId="77777777" w:rsidTr="0047688D">
        <w:tc>
          <w:tcPr>
            <w:tcW w:w="0" w:type="auto"/>
            <w:shd w:val="clear" w:color="auto" w:fill="auto"/>
          </w:tcPr>
          <w:p w14:paraId="2BA038DB" w14:textId="77777777" w:rsidR="008C5CFA" w:rsidRPr="00BA47B4" w:rsidRDefault="00E82A60" w:rsidP="00300A01">
            <w:pPr>
              <w:spacing w:before="0" w:after="0"/>
              <w:rPr>
                <w:sz w:val="12"/>
                <w:szCs w:val="12"/>
                <w:lang w:val="fr-BE"/>
              </w:rPr>
            </w:pPr>
            <w:r w:rsidRPr="00BA47B4">
              <w:rPr>
                <w:noProof/>
                <w:sz w:val="12"/>
                <w:szCs w:val="12"/>
                <w:lang w:val="fr-BE"/>
              </w:rPr>
              <w:t>CR02</w:t>
            </w:r>
          </w:p>
        </w:tc>
        <w:tc>
          <w:tcPr>
            <w:tcW w:w="0" w:type="auto"/>
            <w:shd w:val="clear" w:color="auto" w:fill="auto"/>
          </w:tcPr>
          <w:p w14:paraId="3CB1E521" w14:textId="77777777" w:rsidR="008C5CFA" w:rsidRPr="00BA47B4" w:rsidRDefault="00E82A60" w:rsidP="00300A01">
            <w:pPr>
              <w:spacing w:before="0" w:after="0"/>
              <w:rPr>
                <w:sz w:val="12"/>
                <w:szCs w:val="12"/>
                <w:lang w:val="fr-BE"/>
              </w:rPr>
            </w:pPr>
            <w:r w:rsidRPr="00BA47B4">
              <w:rPr>
                <w:noProof/>
                <w:sz w:val="12"/>
                <w:szCs w:val="12"/>
                <w:lang w:val="fr-BE"/>
              </w:rPr>
              <w:t>uczestnicy kształcący lub szkolący się po opuszczeniu programu</w:t>
            </w:r>
          </w:p>
        </w:tc>
        <w:tc>
          <w:tcPr>
            <w:tcW w:w="0" w:type="auto"/>
            <w:shd w:val="clear" w:color="auto" w:fill="auto"/>
          </w:tcPr>
          <w:p w14:paraId="0FAFE5FA" w14:textId="77777777" w:rsidR="008C5CFA" w:rsidRPr="00BA47B4" w:rsidRDefault="00E82A60" w:rsidP="00300A01">
            <w:pPr>
              <w:spacing w:before="0" w:after="0"/>
              <w:rPr>
                <w:sz w:val="12"/>
                <w:szCs w:val="12"/>
                <w:lang w:val="fr-BE"/>
              </w:rPr>
            </w:pPr>
            <w:r w:rsidRPr="00BA47B4">
              <w:rPr>
                <w:noProof/>
                <w:sz w:val="12"/>
                <w:szCs w:val="12"/>
                <w:lang w:val="fr-BE"/>
              </w:rPr>
              <w:t>Słabiej rozwinięte</w:t>
            </w:r>
          </w:p>
        </w:tc>
        <w:tc>
          <w:tcPr>
            <w:tcW w:w="0" w:type="auto"/>
          </w:tcPr>
          <w:p w14:paraId="6A166A21"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78F26AAC"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06F33DE7"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3C9A6C4F"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0B39DEAE"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462073BB"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6604A173"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5AB2B4C8"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14CE4E1A"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4996EF12"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r>
      <w:tr w:rsidR="006B2EC1" w14:paraId="314588B3" w14:textId="77777777" w:rsidTr="0047688D">
        <w:tc>
          <w:tcPr>
            <w:tcW w:w="0" w:type="auto"/>
            <w:shd w:val="clear" w:color="auto" w:fill="auto"/>
          </w:tcPr>
          <w:p w14:paraId="465B33F4" w14:textId="77777777" w:rsidR="008C5CFA" w:rsidRPr="00BA47B4" w:rsidRDefault="00E82A60" w:rsidP="00300A01">
            <w:pPr>
              <w:spacing w:before="0" w:after="0"/>
              <w:rPr>
                <w:sz w:val="12"/>
                <w:szCs w:val="12"/>
                <w:lang w:val="fr-BE"/>
              </w:rPr>
            </w:pPr>
            <w:r w:rsidRPr="00BA47B4">
              <w:rPr>
                <w:noProof/>
                <w:sz w:val="12"/>
                <w:szCs w:val="12"/>
                <w:lang w:val="fr-BE"/>
              </w:rPr>
              <w:t>CR03</w:t>
            </w:r>
          </w:p>
        </w:tc>
        <w:tc>
          <w:tcPr>
            <w:tcW w:w="0" w:type="auto"/>
            <w:shd w:val="clear" w:color="auto" w:fill="auto"/>
          </w:tcPr>
          <w:p w14:paraId="33E4E69E" w14:textId="77777777" w:rsidR="008C5CFA" w:rsidRPr="00BA47B4" w:rsidRDefault="00E82A60" w:rsidP="00300A01">
            <w:pPr>
              <w:spacing w:before="0" w:after="0"/>
              <w:rPr>
                <w:sz w:val="12"/>
                <w:szCs w:val="12"/>
                <w:lang w:val="fr-BE"/>
              </w:rPr>
            </w:pPr>
            <w:r w:rsidRPr="00BA47B4">
              <w:rPr>
                <w:noProof/>
                <w:sz w:val="12"/>
                <w:szCs w:val="12"/>
                <w:lang w:val="fr-BE"/>
              </w:rPr>
              <w:t>uczestnicy uzyskujący kwalifikacje po opuszczeniu programu</w:t>
            </w:r>
          </w:p>
        </w:tc>
        <w:tc>
          <w:tcPr>
            <w:tcW w:w="0" w:type="auto"/>
            <w:shd w:val="clear" w:color="auto" w:fill="auto"/>
          </w:tcPr>
          <w:p w14:paraId="6F70001B" w14:textId="77777777" w:rsidR="008C5CFA" w:rsidRPr="00BA47B4" w:rsidRDefault="00E82A60" w:rsidP="00300A01">
            <w:pPr>
              <w:spacing w:before="0" w:after="0"/>
              <w:rPr>
                <w:sz w:val="12"/>
                <w:szCs w:val="12"/>
                <w:lang w:val="fr-BE"/>
              </w:rPr>
            </w:pPr>
            <w:r w:rsidRPr="00BA47B4">
              <w:rPr>
                <w:noProof/>
                <w:sz w:val="12"/>
                <w:szCs w:val="12"/>
                <w:lang w:val="fr-BE"/>
              </w:rPr>
              <w:t>Słabiej rozwinięte</w:t>
            </w:r>
          </w:p>
        </w:tc>
        <w:tc>
          <w:tcPr>
            <w:tcW w:w="0" w:type="auto"/>
          </w:tcPr>
          <w:p w14:paraId="36C0FB4E" w14:textId="77777777" w:rsidR="008C5CFA" w:rsidRPr="00BA47B4" w:rsidRDefault="00E82A60" w:rsidP="00300A01">
            <w:pPr>
              <w:spacing w:before="0" w:after="0"/>
              <w:jc w:val="right"/>
              <w:rPr>
                <w:sz w:val="12"/>
                <w:szCs w:val="12"/>
                <w:lang w:val="fr-BE"/>
              </w:rPr>
            </w:pPr>
            <w:r w:rsidRPr="00BA47B4">
              <w:rPr>
                <w:noProof/>
                <w:sz w:val="12"/>
                <w:szCs w:val="12"/>
                <w:lang w:val="fr-BE"/>
              </w:rPr>
              <w:t>50,00</w:t>
            </w:r>
          </w:p>
        </w:tc>
        <w:tc>
          <w:tcPr>
            <w:tcW w:w="0" w:type="auto"/>
          </w:tcPr>
          <w:p w14:paraId="24759D9A" w14:textId="77777777" w:rsidR="008C5CFA" w:rsidRPr="00BA47B4" w:rsidRDefault="00E82A60" w:rsidP="00300A01">
            <w:pPr>
              <w:spacing w:before="0" w:after="0"/>
              <w:jc w:val="right"/>
              <w:rPr>
                <w:sz w:val="12"/>
                <w:szCs w:val="12"/>
                <w:lang w:val="fr-BE"/>
              </w:rPr>
            </w:pPr>
            <w:r w:rsidRPr="00BA47B4">
              <w:rPr>
                <w:noProof/>
                <w:sz w:val="12"/>
                <w:szCs w:val="12"/>
                <w:lang w:val="fr-BE"/>
              </w:rPr>
              <w:t>21,00</w:t>
            </w:r>
          </w:p>
        </w:tc>
        <w:tc>
          <w:tcPr>
            <w:tcW w:w="0" w:type="auto"/>
          </w:tcPr>
          <w:p w14:paraId="4F2BF49C" w14:textId="77777777" w:rsidR="008C5CFA" w:rsidRPr="00BA47B4" w:rsidRDefault="00E82A60" w:rsidP="00300A01">
            <w:pPr>
              <w:spacing w:before="0" w:after="0"/>
              <w:jc w:val="right"/>
              <w:rPr>
                <w:sz w:val="12"/>
                <w:szCs w:val="12"/>
                <w:lang w:val="fr-BE"/>
              </w:rPr>
            </w:pPr>
            <w:r w:rsidRPr="00BA47B4">
              <w:rPr>
                <w:noProof/>
                <w:sz w:val="12"/>
                <w:szCs w:val="12"/>
                <w:lang w:val="fr-BE"/>
              </w:rPr>
              <w:t>12,00</w:t>
            </w:r>
          </w:p>
        </w:tc>
        <w:tc>
          <w:tcPr>
            <w:tcW w:w="0" w:type="auto"/>
          </w:tcPr>
          <w:p w14:paraId="6453F271"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0388B6DD"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2EDBFFA6"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48EB4218"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045374CE"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10B4AD66"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7E6CDC1F"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r>
      <w:tr w:rsidR="006B2EC1" w14:paraId="21667E89" w14:textId="77777777" w:rsidTr="0047688D">
        <w:tc>
          <w:tcPr>
            <w:tcW w:w="0" w:type="auto"/>
            <w:shd w:val="clear" w:color="auto" w:fill="auto"/>
          </w:tcPr>
          <w:p w14:paraId="539A032F" w14:textId="77777777" w:rsidR="008C5CFA" w:rsidRPr="00BA47B4" w:rsidRDefault="00E82A60" w:rsidP="00300A01">
            <w:pPr>
              <w:spacing w:before="0" w:after="0"/>
              <w:rPr>
                <w:sz w:val="12"/>
                <w:szCs w:val="12"/>
                <w:lang w:val="fr-BE"/>
              </w:rPr>
            </w:pPr>
            <w:r w:rsidRPr="00BA47B4">
              <w:rPr>
                <w:noProof/>
                <w:sz w:val="12"/>
                <w:szCs w:val="12"/>
                <w:lang w:val="fr-BE"/>
              </w:rPr>
              <w:t>CR04</w:t>
            </w:r>
          </w:p>
        </w:tc>
        <w:tc>
          <w:tcPr>
            <w:tcW w:w="0" w:type="auto"/>
            <w:shd w:val="clear" w:color="auto" w:fill="auto"/>
          </w:tcPr>
          <w:p w14:paraId="5678F8D7" w14:textId="77777777" w:rsidR="008C5CFA" w:rsidRPr="00BA47B4" w:rsidRDefault="00E82A60" w:rsidP="00300A01">
            <w:pPr>
              <w:spacing w:before="0" w:after="0"/>
              <w:rPr>
                <w:sz w:val="12"/>
                <w:szCs w:val="12"/>
                <w:lang w:val="fr-BE"/>
              </w:rPr>
            </w:pPr>
            <w:r w:rsidRPr="00BA47B4">
              <w:rPr>
                <w:noProof/>
                <w:sz w:val="12"/>
                <w:szCs w:val="12"/>
                <w:lang w:val="fr-BE"/>
              </w:rPr>
              <w:t>uczestnicy pracujący, łącznie z prowadzącymi działalność na własny rachunek, po opuszczeniu programu</w:t>
            </w:r>
          </w:p>
        </w:tc>
        <w:tc>
          <w:tcPr>
            <w:tcW w:w="0" w:type="auto"/>
            <w:shd w:val="clear" w:color="auto" w:fill="auto"/>
          </w:tcPr>
          <w:p w14:paraId="79EF36FB" w14:textId="77777777" w:rsidR="008C5CFA" w:rsidRPr="00BA47B4" w:rsidRDefault="00E82A60" w:rsidP="00300A01">
            <w:pPr>
              <w:spacing w:before="0" w:after="0"/>
              <w:rPr>
                <w:sz w:val="12"/>
                <w:szCs w:val="12"/>
                <w:lang w:val="fr-BE"/>
              </w:rPr>
            </w:pPr>
            <w:r w:rsidRPr="00BA47B4">
              <w:rPr>
                <w:noProof/>
                <w:sz w:val="12"/>
                <w:szCs w:val="12"/>
                <w:lang w:val="fr-BE"/>
              </w:rPr>
              <w:t>Słabiej rozwinięte</w:t>
            </w:r>
          </w:p>
        </w:tc>
        <w:tc>
          <w:tcPr>
            <w:tcW w:w="0" w:type="auto"/>
          </w:tcPr>
          <w:p w14:paraId="691D2415"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1DFE1EDC"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38F2A09C"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4F084D79"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0C90FBC5"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31175BC1"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6827D4E0"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5B1E8671"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3D187A90"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6F22B429"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r>
      <w:tr w:rsidR="006B2EC1" w14:paraId="7E2A2D7D" w14:textId="77777777" w:rsidTr="0047688D">
        <w:tc>
          <w:tcPr>
            <w:tcW w:w="0" w:type="auto"/>
            <w:shd w:val="clear" w:color="auto" w:fill="auto"/>
          </w:tcPr>
          <w:p w14:paraId="74110823" w14:textId="77777777" w:rsidR="008C5CFA" w:rsidRPr="00BA47B4" w:rsidRDefault="00E82A60" w:rsidP="00300A01">
            <w:pPr>
              <w:spacing w:before="0" w:after="0"/>
              <w:rPr>
                <w:sz w:val="12"/>
                <w:szCs w:val="12"/>
                <w:lang w:val="fr-BE"/>
              </w:rPr>
            </w:pPr>
            <w:r w:rsidRPr="00BA47B4">
              <w:rPr>
                <w:noProof/>
                <w:sz w:val="12"/>
                <w:szCs w:val="12"/>
                <w:lang w:val="fr-BE"/>
              </w:rPr>
              <w:t>CR05</w:t>
            </w:r>
          </w:p>
        </w:tc>
        <w:tc>
          <w:tcPr>
            <w:tcW w:w="0" w:type="auto"/>
            <w:shd w:val="clear" w:color="auto" w:fill="auto"/>
          </w:tcPr>
          <w:p w14:paraId="4C7213A9" w14:textId="77777777" w:rsidR="008C5CFA" w:rsidRPr="00BA47B4" w:rsidRDefault="00E82A60" w:rsidP="00300A01">
            <w:pPr>
              <w:spacing w:before="0" w:after="0"/>
              <w:rPr>
                <w:sz w:val="12"/>
                <w:szCs w:val="12"/>
                <w:lang w:val="fr-BE"/>
              </w:rPr>
            </w:pPr>
            <w:r w:rsidRPr="00BA47B4">
              <w:rPr>
                <w:noProof/>
                <w:sz w:val="12"/>
                <w:szCs w:val="12"/>
                <w:lang w:val="fr-BE"/>
              </w:rPr>
              <w:t>uczestnicy w niekorzystnej sytuacji społecznej poszukujący pracy, uczestniczący w kształceniu lub szkoleniu, zdobywający kwalifikacje lub pracujący (łącznie z prowadzącymi działalność na własny rachunek) po opuszczeniu programu</w:t>
            </w:r>
          </w:p>
        </w:tc>
        <w:tc>
          <w:tcPr>
            <w:tcW w:w="0" w:type="auto"/>
            <w:shd w:val="clear" w:color="auto" w:fill="auto"/>
          </w:tcPr>
          <w:p w14:paraId="4F69186E" w14:textId="77777777" w:rsidR="008C5CFA" w:rsidRPr="00BA47B4" w:rsidRDefault="00E82A60" w:rsidP="00300A01">
            <w:pPr>
              <w:spacing w:before="0" w:after="0"/>
              <w:rPr>
                <w:sz w:val="12"/>
                <w:szCs w:val="12"/>
                <w:lang w:val="fr-BE"/>
              </w:rPr>
            </w:pPr>
            <w:r w:rsidRPr="00BA47B4">
              <w:rPr>
                <w:noProof/>
                <w:sz w:val="12"/>
                <w:szCs w:val="12"/>
                <w:lang w:val="fr-BE"/>
              </w:rPr>
              <w:t>Słabiej rozwinięte</w:t>
            </w:r>
          </w:p>
        </w:tc>
        <w:tc>
          <w:tcPr>
            <w:tcW w:w="0" w:type="auto"/>
          </w:tcPr>
          <w:p w14:paraId="0DDB0C3B" w14:textId="77777777" w:rsidR="008C5CFA" w:rsidRPr="00BA47B4" w:rsidRDefault="00E82A60" w:rsidP="00300A01">
            <w:pPr>
              <w:spacing w:before="0" w:after="0"/>
              <w:jc w:val="right"/>
              <w:rPr>
                <w:sz w:val="12"/>
                <w:szCs w:val="12"/>
                <w:lang w:val="fr-BE"/>
              </w:rPr>
            </w:pPr>
            <w:r w:rsidRPr="00BA47B4">
              <w:rPr>
                <w:noProof/>
                <w:sz w:val="12"/>
                <w:szCs w:val="12"/>
                <w:lang w:val="fr-BE"/>
              </w:rPr>
              <w:t>40,00</w:t>
            </w:r>
          </w:p>
        </w:tc>
        <w:tc>
          <w:tcPr>
            <w:tcW w:w="0" w:type="auto"/>
          </w:tcPr>
          <w:p w14:paraId="2770E5DD" w14:textId="77777777" w:rsidR="008C5CFA" w:rsidRPr="00BA47B4" w:rsidRDefault="00E82A60" w:rsidP="00300A01">
            <w:pPr>
              <w:spacing w:before="0" w:after="0"/>
              <w:jc w:val="right"/>
              <w:rPr>
                <w:sz w:val="12"/>
                <w:szCs w:val="12"/>
                <w:lang w:val="fr-BE"/>
              </w:rPr>
            </w:pPr>
            <w:r w:rsidRPr="00BA47B4">
              <w:rPr>
                <w:noProof/>
                <w:sz w:val="12"/>
                <w:szCs w:val="12"/>
                <w:lang w:val="fr-BE"/>
              </w:rPr>
              <w:t>20,00</w:t>
            </w:r>
          </w:p>
        </w:tc>
        <w:tc>
          <w:tcPr>
            <w:tcW w:w="0" w:type="auto"/>
          </w:tcPr>
          <w:p w14:paraId="312F0C21" w14:textId="77777777" w:rsidR="008C5CFA" w:rsidRPr="00BA47B4" w:rsidRDefault="00E82A60" w:rsidP="00300A01">
            <w:pPr>
              <w:spacing w:before="0" w:after="0"/>
              <w:jc w:val="right"/>
              <w:rPr>
                <w:sz w:val="12"/>
                <w:szCs w:val="12"/>
                <w:lang w:val="fr-BE"/>
              </w:rPr>
            </w:pPr>
            <w:r w:rsidRPr="00BA47B4">
              <w:rPr>
                <w:noProof/>
                <w:sz w:val="12"/>
                <w:szCs w:val="12"/>
                <w:lang w:val="fr-BE"/>
              </w:rPr>
              <w:t>7,00</w:t>
            </w:r>
          </w:p>
        </w:tc>
        <w:tc>
          <w:tcPr>
            <w:tcW w:w="0" w:type="auto"/>
          </w:tcPr>
          <w:p w14:paraId="74F11458"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5FA66350"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0D3CCAE8"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7040EDC3"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05EE369F"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1EB23114"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35119266"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r>
      <w:tr w:rsidR="006B2EC1" w14:paraId="2FA0FFD6" w14:textId="77777777" w:rsidTr="0047688D">
        <w:tc>
          <w:tcPr>
            <w:tcW w:w="0" w:type="auto"/>
            <w:shd w:val="clear" w:color="auto" w:fill="auto"/>
          </w:tcPr>
          <w:p w14:paraId="33201DD4" w14:textId="77777777" w:rsidR="008C5CFA" w:rsidRPr="00BA47B4" w:rsidRDefault="00E82A60" w:rsidP="00300A01">
            <w:pPr>
              <w:spacing w:before="0" w:after="0"/>
              <w:rPr>
                <w:sz w:val="12"/>
                <w:szCs w:val="12"/>
                <w:lang w:val="fr-BE"/>
              </w:rPr>
            </w:pPr>
            <w:r w:rsidRPr="00BA47B4">
              <w:rPr>
                <w:noProof/>
                <w:sz w:val="12"/>
                <w:szCs w:val="12"/>
                <w:lang w:val="fr-BE"/>
              </w:rPr>
              <w:t>CR06</w:t>
            </w:r>
          </w:p>
        </w:tc>
        <w:tc>
          <w:tcPr>
            <w:tcW w:w="0" w:type="auto"/>
            <w:shd w:val="clear" w:color="auto" w:fill="auto"/>
          </w:tcPr>
          <w:p w14:paraId="72252CF2" w14:textId="77777777" w:rsidR="008C5CFA" w:rsidRPr="00BA47B4" w:rsidRDefault="00E82A60" w:rsidP="00300A01">
            <w:pPr>
              <w:spacing w:before="0" w:after="0"/>
              <w:rPr>
                <w:sz w:val="12"/>
                <w:szCs w:val="12"/>
                <w:lang w:val="fr-BE"/>
              </w:rPr>
            </w:pPr>
            <w:r w:rsidRPr="00BA47B4">
              <w:rPr>
                <w:noProof/>
                <w:sz w:val="12"/>
                <w:szCs w:val="12"/>
                <w:lang w:val="fr-BE"/>
              </w:rPr>
              <w:t>uczestnicy pracujący, łącznie z prowadzącymi działalność na własny rachunek, sześć miesięcy po opuszczeniu programu</w:t>
            </w:r>
          </w:p>
        </w:tc>
        <w:tc>
          <w:tcPr>
            <w:tcW w:w="0" w:type="auto"/>
            <w:shd w:val="clear" w:color="auto" w:fill="auto"/>
          </w:tcPr>
          <w:p w14:paraId="173A4570" w14:textId="77777777" w:rsidR="008C5CFA" w:rsidRPr="00BA47B4" w:rsidRDefault="00E82A60" w:rsidP="00300A01">
            <w:pPr>
              <w:spacing w:before="0" w:after="0"/>
              <w:rPr>
                <w:sz w:val="12"/>
                <w:szCs w:val="12"/>
                <w:lang w:val="fr-BE"/>
              </w:rPr>
            </w:pPr>
            <w:r w:rsidRPr="00BA47B4">
              <w:rPr>
                <w:noProof/>
                <w:sz w:val="12"/>
                <w:szCs w:val="12"/>
                <w:lang w:val="fr-BE"/>
              </w:rPr>
              <w:t>Słabiej rozwinięte</w:t>
            </w:r>
          </w:p>
        </w:tc>
        <w:tc>
          <w:tcPr>
            <w:tcW w:w="0" w:type="auto"/>
          </w:tcPr>
          <w:p w14:paraId="3186A78A"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15D62869"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53D8FE5D"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46A314CB"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796195DF"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2FBF7BF5"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600327DD"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741D3C86"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20A7C875"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5FC1FA02"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r>
      <w:tr w:rsidR="006B2EC1" w14:paraId="01FDD149" w14:textId="77777777" w:rsidTr="0047688D">
        <w:tc>
          <w:tcPr>
            <w:tcW w:w="0" w:type="auto"/>
            <w:shd w:val="clear" w:color="auto" w:fill="auto"/>
          </w:tcPr>
          <w:p w14:paraId="4E8377CD" w14:textId="77777777" w:rsidR="008C5CFA" w:rsidRPr="00BA47B4" w:rsidRDefault="00E82A60" w:rsidP="00300A01">
            <w:pPr>
              <w:spacing w:before="0" w:after="0"/>
              <w:rPr>
                <w:sz w:val="12"/>
                <w:szCs w:val="12"/>
                <w:lang w:val="fr-BE"/>
              </w:rPr>
            </w:pPr>
            <w:r w:rsidRPr="00BA47B4">
              <w:rPr>
                <w:noProof/>
                <w:sz w:val="12"/>
                <w:szCs w:val="12"/>
                <w:lang w:val="fr-BE"/>
              </w:rPr>
              <w:t>CR07</w:t>
            </w:r>
          </w:p>
        </w:tc>
        <w:tc>
          <w:tcPr>
            <w:tcW w:w="0" w:type="auto"/>
            <w:shd w:val="clear" w:color="auto" w:fill="auto"/>
          </w:tcPr>
          <w:p w14:paraId="2497E31E" w14:textId="77777777" w:rsidR="008C5CFA" w:rsidRPr="00BA47B4" w:rsidRDefault="00E82A60" w:rsidP="00300A01">
            <w:pPr>
              <w:spacing w:before="0" w:after="0"/>
              <w:rPr>
                <w:sz w:val="12"/>
                <w:szCs w:val="12"/>
                <w:lang w:val="fr-BE"/>
              </w:rPr>
            </w:pPr>
            <w:r w:rsidRPr="00BA47B4">
              <w:rPr>
                <w:noProof/>
                <w:sz w:val="12"/>
                <w:szCs w:val="12"/>
                <w:lang w:val="fr-BE"/>
              </w:rPr>
              <w:t>uczestnicy znajdujący się w lepszej sytuacji na rynku pracy sześć miesięcy po opuszczeniu programu</w:t>
            </w:r>
          </w:p>
        </w:tc>
        <w:tc>
          <w:tcPr>
            <w:tcW w:w="0" w:type="auto"/>
            <w:shd w:val="clear" w:color="auto" w:fill="auto"/>
          </w:tcPr>
          <w:p w14:paraId="71F0C219" w14:textId="77777777" w:rsidR="008C5CFA" w:rsidRPr="00BA47B4" w:rsidRDefault="00E82A60" w:rsidP="00300A01">
            <w:pPr>
              <w:spacing w:before="0" w:after="0"/>
              <w:rPr>
                <w:sz w:val="12"/>
                <w:szCs w:val="12"/>
                <w:lang w:val="fr-BE"/>
              </w:rPr>
            </w:pPr>
            <w:r w:rsidRPr="00BA47B4">
              <w:rPr>
                <w:noProof/>
                <w:sz w:val="12"/>
                <w:szCs w:val="12"/>
                <w:lang w:val="fr-BE"/>
              </w:rPr>
              <w:t>Słabiej rozwinięte</w:t>
            </w:r>
          </w:p>
        </w:tc>
        <w:tc>
          <w:tcPr>
            <w:tcW w:w="0" w:type="auto"/>
          </w:tcPr>
          <w:p w14:paraId="3C532EDF" w14:textId="77777777" w:rsidR="008C5CFA" w:rsidRPr="00BA47B4" w:rsidRDefault="00E82A60" w:rsidP="00300A01">
            <w:pPr>
              <w:spacing w:before="0" w:after="0"/>
              <w:jc w:val="right"/>
              <w:rPr>
                <w:sz w:val="12"/>
                <w:szCs w:val="12"/>
                <w:lang w:val="fr-BE"/>
              </w:rPr>
            </w:pPr>
            <w:r w:rsidRPr="00BA47B4">
              <w:rPr>
                <w:noProof/>
                <w:sz w:val="12"/>
                <w:szCs w:val="12"/>
                <w:lang w:val="fr-BE"/>
              </w:rPr>
              <w:t>73,00</w:t>
            </w:r>
          </w:p>
        </w:tc>
        <w:tc>
          <w:tcPr>
            <w:tcW w:w="0" w:type="auto"/>
          </w:tcPr>
          <w:p w14:paraId="5E39E92B" w14:textId="77777777" w:rsidR="008C5CFA" w:rsidRPr="00BA47B4" w:rsidRDefault="00E82A60" w:rsidP="00300A01">
            <w:pPr>
              <w:spacing w:before="0" w:after="0"/>
              <w:jc w:val="right"/>
              <w:rPr>
                <w:sz w:val="12"/>
                <w:szCs w:val="12"/>
                <w:lang w:val="fr-BE"/>
              </w:rPr>
            </w:pPr>
            <w:r w:rsidRPr="00BA47B4">
              <w:rPr>
                <w:noProof/>
                <w:sz w:val="12"/>
                <w:szCs w:val="12"/>
                <w:lang w:val="fr-BE"/>
              </w:rPr>
              <w:t>80,00</w:t>
            </w:r>
          </w:p>
        </w:tc>
        <w:tc>
          <w:tcPr>
            <w:tcW w:w="0" w:type="auto"/>
          </w:tcPr>
          <w:p w14:paraId="6EB2ED63"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6149D5D7"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689D8214"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7D942575"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376E04CC"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12BAD35D"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244B54AE"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78FC4C08"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r>
      <w:tr w:rsidR="006B2EC1" w14:paraId="5093E6E8" w14:textId="77777777" w:rsidTr="0047688D">
        <w:tc>
          <w:tcPr>
            <w:tcW w:w="0" w:type="auto"/>
            <w:shd w:val="clear" w:color="auto" w:fill="auto"/>
          </w:tcPr>
          <w:p w14:paraId="01529319" w14:textId="77777777" w:rsidR="008C5CFA" w:rsidRPr="00BA47B4" w:rsidRDefault="00E82A60" w:rsidP="00300A01">
            <w:pPr>
              <w:spacing w:before="0" w:after="0"/>
              <w:rPr>
                <w:sz w:val="12"/>
                <w:szCs w:val="12"/>
                <w:lang w:val="fr-BE"/>
              </w:rPr>
            </w:pPr>
            <w:r w:rsidRPr="00BA47B4">
              <w:rPr>
                <w:noProof/>
                <w:sz w:val="12"/>
                <w:szCs w:val="12"/>
                <w:lang w:val="fr-BE"/>
              </w:rPr>
              <w:t>CR07</w:t>
            </w:r>
          </w:p>
        </w:tc>
        <w:tc>
          <w:tcPr>
            <w:tcW w:w="0" w:type="auto"/>
            <w:shd w:val="clear" w:color="auto" w:fill="auto"/>
          </w:tcPr>
          <w:p w14:paraId="57E1D4B0" w14:textId="77777777" w:rsidR="008C5CFA" w:rsidRPr="00BA47B4" w:rsidRDefault="00E82A60" w:rsidP="00300A01">
            <w:pPr>
              <w:spacing w:before="0" w:after="0"/>
              <w:rPr>
                <w:sz w:val="12"/>
                <w:szCs w:val="12"/>
                <w:lang w:val="fr-BE"/>
              </w:rPr>
            </w:pPr>
            <w:r w:rsidRPr="00BA47B4">
              <w:rPr>
                <w:noProof/>
                <w:sz w:val="12"/>
                <w:szCs w:val="12"/>
                <w:lang w:val="fr-BE"/>
              </w:rPr>
              <w:t>uczestnicy znajdujący się w lepszej sytuacji na rynku pracy sześć miesięcy po opuszczeniu programu</w:t>
            </w:r>
          </w:p>
        </w:tc>
        <w:tc>
          <w:tcPr>
            <w:tcW w:w="0" w:type="auto"/>
            <w:shd w:val="clear" w:color="auto" w:fill="auto"/>
          </w:tcPr>
          <w:p w14:paraId="0DA95407" w14:textId="77777777" w:rsidR="008C5CFA" w:rsidRPr="00BA47B4" w:rsidRDefault="00E82A60" w:rsidP="00300A01">
            <w:pPr>
              <w:spacing w:before="0" w:after="0"/>
              <w:rPr>
                <w:sz w:val="12"/>
                <w:szCs w:val="12"/>
                <w:lang w:val="fr-BE"/>
              </w:rPr>
            </w:pPr>
            <w:r w:rsidRPr="00BA47B4">
              <w:rPr>
                <w:noProof/>
                <w:sz w:val="12"/>
                <w:szCs w:val="12"/>
                <w:lang w:val="fr-BE"/>
              </w:rPr>
              <w:t>Słabiej rozwinięte</w:t>
            </w:r>
          </w:p>
        </w:tc>
        <w:tc>
          <w:tcPr>
            <w:tcW w:w="0" w:type="auto"/>
          </w:tcPr>
          <w:p w14:paraId="34094D16" w14:textId="77777777" w:rsidR="008C5CFA" w:rsidRPr="00BA47B4" w:rsidRDefault="00E82A60" w:rsidP="00300A01">
            <w:pPr>
              <w:spacing w:before="0" w:after="0"/>
              <w:jc w:val="right"/>
              <w:rPr>
                <w:sz w:val="12"/>
                <w:szCs w:val="12"/>
                <w:lang w:val="fr-BE"/>
              </w:rPr>
            </w:pPr>
            <w:r w:rsidRPr="00BA47B4">
              <w:rPr>
                <w:noProof/>
                <w:sz w:val="12"/>
                <w:szCs w:val="12"/>
                <w:lang w:val="fr-BE"/>
              </w:rPr>
              <w:t>73,00</w:t>
            </w:r>
          </w:p>
        </w:tc>
        <w:tc>
          <w:tcPr>
            <w:tcW w:w="0" w:type="auto"/>
          </w:tcPr>
          <w:p w14:paraId="63DF15D7" w14:textId="77777777" w:rsidR="008C5CFA" w:rsidRPr="00BA47B4" w:rsidRDefault="00E82A60" w:rsidP="00300A01">
            <w:pPr>
              <w:spacing w:before="0" w:after="0"/>
              <w:jc w:val="right"/>
              <w:rPr>
                <w:sz w:val="12"/>
                <w:szCs w:val="12"/>
                <w:lang w:val="fr-BE"/>
              </w:rPr>
            </w:pPr>
            <w:r w:rsidRPr="00BA47B4">
              <w:rPr>
                <w:noProof/>
                <w:sz w:val="12"/>
                <w:szCs w:val="12"/>
                <w:lang w:val="fr-BE"/>
              </w:rPr>
              <w:t>80,00</w:t>
            </w:r>
          </w:p>
        </w:tc>
        <w:tc>
          <w:tcPr>
            <w:tcW w:w="0" w:type="auto"/>
          </w:tcPr>
          <w:p w14:paraId="0055B293"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72B0603B"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7368A56D"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109F47B4"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498E76AB"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796B5363"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256AF1EE"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12CFFFC5"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r>
      <w:tr w:rsidR="006B2EC1" w14:paraId="3A2DE523" w14:textId="77777777" w:rsidTr="0047688D">
        <w:tc>
          <w:tcPr>
            <w:tcW w:w="0" w:type="auto"/>
            <w:shd w:val="clear" w:color="auto" w:fill="auto"/>
          </w:tcPr>
          <w:p w14:paraId="550E30EA" w14:textId="77777777" w:rsidR="008C5CFA" w:rsidRPr="00BA47B4" w:rsidRDefault="00E82A60" w:rsidP="00300A01">
            <w:pPr>
              <w:spacing w:before="0" w:after="0"/>
              <w:rPr>
                <w:sz w:val="12"/>
                <w:szCs w:val="12"/>
                <w:lang w:val="fr-BE"/>
              </w:rPr>
            </w:pPr>
            <w:r w:rsidRPr="00BA47B4">
              <w:rPr>
                <w:noProof/>
                <w:sz w:val="12"/>
                <w:szCs w:val="12"/>
                <w:lang w:val="fr-BE"/>
              </w:rPr>
              <w:t>CR08</w:t>
            </w:r>
          </w:p>
        </w:tc>
        <w:tc>
          <w:tcPr>
            <w:tcW w:w="0" w:type="auto"/>
            <w:shd w:val="clear" w:color="auto" w:fill="auto"/>
          </w:tcPr>
          <w:p w14:paraId="1C776AA9" w14:textId="77777777" w:rsidR="008C5CFA" w:rsidRPr="00BA47B4" w:rsidRDefault="00E82A60" w:rsidP="00300A01">
            <w:pPr>
              <w:spacing w:before="0" w:after="0"/>
              <w:rPr>
                <w:sz w:val="12"/>
                <w:szCs w:val="12"/>
                <w:lang w:val="fr-BE"/>
              </w:rPr>
            </w:pPr>
            <w:r w:rsidRPr="00BA47B4">
              <w:rPr>
                <w:noProof/>
                <w:sz w:val="12"/>
                <w:szCs w:val="12"/>
                <w:lang w:val="fr-BE"/>
              </w:rPr>
              <w:t>uczestnicy powyżej 54 roku życia, pracujący, łącznie z prowadzącymi działalność na własny rachunek, sześć miesięcy po opuszczeniu programu</w:t>
            </w:r>
          </w:p>
        </w:tc>
        <w:tc>
          <w:tcPr>
            <w:tcW w:w="0" w:type="auto"/>
            <w:shd w:val="clear" w:color="auto" w:fill="auto"/>
          </w:tcPr>
          <w:p w14:paraId="2C438D38" w14:textId="77777777" w:rsidR="008C5CFA" w:rsidRPr="00BA47B4" w:rsidRDefault="00E82A60" w:rsidP="00300A01">
            <w:pPr>
              <w:spacing w:before="0" w:after="0"/>
              <w:rPr>
                <w:sz w:val="12"/>
                <w:szCs w:val="12"/>
                <w:lang w:val="fr-BE"/>
              </w:rPr>
            </w:pPr>
            <w:r w:rsidRPr="00BA47B4">
              <w:rPr>
                <w:noProof/>
                <w:sz w:val="12"/>
                <w:szCs w:val="12"/>
                <w:lang w:val="fr-BE"/>
              </w:rPr>
              <w:t>Słabiej rozwinięte</w:t>
            </w:r>
          </w:p>
        </w:tc>
        <w:tc>
          <w:tcPr>
            <w:tcW w:w="0" w:type="auto"/>
          </w:tcPr>
          <w:p w14:paraId="368D5D2F"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683CA49F"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79844BB6"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63599128"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7E229819"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1031FEDB"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690AD021"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5EDF6125"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3A9EBC82"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76B28890"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r>
      <w:tr w:rsidR="006B2EC1" w14:paraId="361C4888" w14:textId="77777777" w:rsidTr="0047688D">
        <w:tc>
          <w:tcPr>
            <w:tcW w:w="0" w:type="auto"/>
            <w:shd w:val="clear" w:color="auto" w:fill="auto"/>
          </w:tcPr>
          <w:p w14:paraId="0DBC4E0E" w14:textId="77777777" w:rsidR="008C5CFA" w:rsidRPr="00BA47B4" w:rsidRDefault="00E82A60" w:rsidP="00300A01">
            <w:pPr>
              <w:spacing w:before="0" w:after="0"/>
              <w:rPr>
                <w:sz w:val="12"/>
                <w:szCs w:val="12"/>
                <w:lang w:val="fr-BE"/>
              </w:rPr>
            </w:pPr>
            <w:r w:rsidRPr="00BA47B4">
              <w:rPr>
                <w:noProof/>
                <w:sz w:val="12"/>
                <w:szCs w:val="12"/>
                <w:lang w:val="fr-BE"/>
              </w:rPr>
              <w:t>CR09</w:t>
            </w:r>
          </w:p>
        </w:tc>
        <w:tc>
          <w:tcPr>
            <w:tcW w:w="0" w:type="auto"/>
            <w:shd w:val="clear" w:color="auto" w:fill="auto"/>
          </w:tcPr>
          <w:p w14:paraId="0C0B1680" w14:textId="77777777" w:rsidR="008C5CFA" w:rsidRPr="00BA47B4" w:rsidRDefault="00E82A60" w:rsidP="00300A01">
            <w:pPr>
              <w:spacing w:before="0" w:after="0"/>
              <w:rPr>
                <w:sz w:val="12"/>
                <w:szCs w:val="12"/>
                <w:lang w:val="fr-BE"/>
              </w:rPr>
            </w:pPr>
            <w:r w:rsidRPr="00BA47B4">
              <w:rPr>
                <w:noProof/>
                <w:sz w:val="12"/>
                <w:szCs w:val="12"/>
                <w:lang w:val="fr-BE"/>
              </w:rPr>
              <w:t>uczestnicy w niekorzystnej sytuacji społecznej, pracujący, łącznie z prowadzącymi działalność na własny rachunek, sześć miesięcy po opuszczeniu programu</w:t>
            </w:r>
          </w:p>
        </w:tc>
        <w:tc>
          <w:tcPr>
            <w:tcW w:w="0" w:type="auto"/>
            <w:shd w:val="clear" w:color="auto" w:fill="auto"/>
          </w:tcPr>
          <w:p w14:paraId="206AF4CF" w14:textId="77777777" w:rsidR="008C5CFA" w:rsidRPr="00BA47B4" w:rsidRDefault="00E82A60" w:rsidP="00300A01">
            <w:pPr>
              <w:spacing w:before="0" w:after="0"/>
              <w:rPr>
                <w:sz w:val="12"/>
                <w:szCs w:val="12"/>
                <w:lang w:val="fr-BE"/>
              </w:rPr>
            </w:pPr>
            <w:r w:rsidRPr="00BA47B4">
              <w:rPr>
                <w:noProof/>
                <w:sz w:val="12"/>
                <w:szCs w:val="12"/>
                <w:lang w:val="fr-BE"/>
              </w:rPr>
              <w:t>Słabiej rozwinięte</w:t>
            </w:r>
          </w:p>
        </w:tc>
        <w:tc>
          <w:tcPr>
            <w:tcW w:w="0" w:type="auto"/>
          </w:tcPr>
          <w:p w14:paraId="423E678A"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6F16F7C4"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5F2C03DA"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369CA088"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31C74F2F"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46358661"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0E711BF2"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2449CB30"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3E04B3B9"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556F9E64"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r>
    </w:tbl>
    <w:p w14:paraId="761759F4" w14:textId="77777777" w:rsidR="008C5CFA" w:rsidRPr="00530285" w:rsidRDefault="008C5CFA" w:rsidP="00300A01">
      <w:pPr>
        <w:keepNext/>
        <w:spacing w:before="0" w:after="0"/>
        <w:rPr>
          <w:sz w:val="20"/>
          <w:szCs w:val="20"/>
        </w:rPr>
      </w:pPr>
    </w:p>
    <w:p w14:paraId="78E2C998" w14:textId="77777777" w:rsidR="008C5CFA" w:rsidRDefault="00E82A60" w:rsidP="00300A01">
      <w:pPr>
        <w:spacing w:before="0" w:after="0"/>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4"/>
        <w:gridCol w:w="11710"/>
      </w:tblGrid>
      <w:tr w:rsidR="006B2EC1" w14:paraId="08621008" w14:textId="77777777" w:rsidTr="0047688D">
        <w:tc>
          <w:tcPr>
            <w:tcW w:w="0" w:type="auto"/>
            <w:shd w:val="clear" w:color="auto" w:fill="auto"/>
          </w:tcPr>
          <w:p w14:paraId="2F5CB20C" w14:textId="77777777" w:rsidR="008C5CFA" w:rsidRPr="002124FC" w:rsidRDefault="00E82A60" w:rsidP="00300A01">
            <w:pPr>
              <w:spacing w:before="0" w:after="0"/>
              <w:rPr>
                <w:sz w:val="20"/>
                <w:szCs w:val="20"/>
                <w:lang w:val="fr-BE"/>
              </w:rPr>
            </w:pPr>
            <w:r>
              <w:rPr>
                <w:lang w:val="fr-BE"/>
              </w:rPr>
              <w:lastRenderedPageBreak/>
              <w:br w:type="page"/>
            </w:r>
            <w:r>
              <w:rPr>
                <w:lang w:val="fr-BE"/>
              </w:rPr>
              <w:br w:type="page"/>
            </w:r>
            <w:r w:rsidRPr="002124FC">
              <w:rPr>
                <w:noProof/>
                <w:sz w:val="20"/>
                <w:szCs w:val="20"/>
                <w:lang w:val="fr-BE"/>
              </w:rPr>
              <w:t>Oś priorytetowa</w:t>
            </w:r>
          </w:p>
        </w:tc>
        <w:tc>
          <w:tcPr>
            <w:tcW w:w="0" w:type="auto"/>
            <w:shd w:val="clear" w:color="auto" w:fill="auto"/>
          </w:tcPr>
          <w:p w14:paraId="12274A82" w14:textId="77777777" w:rsidR="008C5CFA" w:rsidRPr="002124FC" w:rsidRDefault="00E82A60" w:rsidP="00300A01">
            <w:pPr>
              <w:spacing w:before="0" w:after="0"/>
              <w:rPr>
                <w:sz w:val="20"/>
                <w:szCs w:val="20"/>
                <w:lang w:val="fr-BE"/>
              </w:rPr>
            </w:pPr>
            <w:r w:rsidRPr="002124FC">
              <w:rPr>
                <w:noProof/>
                <w:sz w:val="20"/>
                <w:szCs w:val="20"/>
                <w:lang w:val="fr-BE"/>
              </w:rPr>
              <w:t>10</w:t>
            </w:r>
            <w:r w:rsidRPr="002124FC">
              <w:rPr>
                <w:sz w:val="20"/>
                <w:szCs w:val="20"/>
                <w:lang w:val="fr-BE"/>
              </w:rPr>
              <w:t xml:space="preserve"> - </w:t>
            </w:r>
            <w:r w:rsidRPr="002124FC">
              <w:rPr>
                <w:noProof/>
                <w:sz w:val="20"/>
                <w:szCs w:val="20"/>
                <w:lang w:val="fr-BE"/>
              </w:rPr>
              <w:t>Otwarty rynek pracy</w:t>
            </w:r>
          </w:p>
        </w:tc>
      </w:tr>
      <w:tr w:rsidR="006B2EC1" w14:paraId="33D15D4B" w14:textId="77777777" w:rsidTr="0047688D">
        <w:tc>
          <w:tcPr>
            <w:tcW w:w="0" w:type="auto"/>
            <w:shd w:val="clear" w:color="auto" w:fill="auto"/>
          </w:tcPr>
          <w:p w14:paraId="350DBC3A" w14:textId="77777777" w:rsidR="008C5CFA" w:rsidRPr="002124FC" w:rsidRDefault="00E82A60"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14:paraId="6AFAD52F" w14:textId="77777777" w:rsidR="008C5CFA" w:rsidRPr="002124FC" w:rsidRDefault="00E82A60" w:rsidP="00300A01">
            <w:pPr>
              <w:spacing w:before="0" w:after="0"/>
              <w:rPr>
                <w:sz w:val="20"/>
                <w:szCs w:val="20"/>
                <w:lang w:val="fr-BE"/>
              </w:rPr>
            </w:pPr>
            <w:r w:rsidRPr="002124FC">
              <w:rPr>
                <w:noProof/>
                <w:sz w:val="20"/>
                <w:szCs w:val="20"/>
                <w:lang w:val="fr-BE"/>
              </w:rPr>
              <w:t>8v</w:t>
            </w:r>
            <w:r w:rsidRPr="002124FC">
              <w:rPr>
                <w:sz w:val="20"/>
                <w:szCs w:val="20"/>
                <w:lang w:val="fr-BE"/>
              </w:rPr>
              <w:t xml:space="preserve"> - </w:t>
            </w:r>
            <w:r w:rsidRPr="002124FC">
              <w:rPr>
                <w:noProof/>
                <w:sz w:val="20"/>
                <w:szCs w:val="20"/>
                <w:lang w:val="fr-BE"/>
              </w:rPr>
              <w:t>Przystosowywanie pracowników, przedsiębiorstw i przedsiębiorców do zmian</w:t>
            </w:r>
          </w:p>
        </w:tc>
      </w:tr>
    </w:tbl>
    <w:p w14:paraId="01F4CB69" w14:textId="77777777" w:rsidR="008C5CFA" w:rsidRPr="00920B4D" w:rsidRDefault="008C5CFA" w:rsidP="00300A01">
      <w:pPr>
        <w:spacing w:before="0" w:after="0"/>
        <w:rPr>
          <w:lang w:val="fr-BE"/>
        </w:rPr>
      </w:pPr>
    </w:p>
    <w:p w14:paraId="272C215C" w14:textId="77777777" w:rsidR="008C5CFA" w:rsidRPr="008E457C" w:rsidRDefault="00E82A60" w:rsidP="005272C2">
      <w:pPr>
        <w:pStyle w:val="Nagwek2"/>
        <w:spacing w:before="0" w:after="0"/>
        <w:rPr>
          <w:lang w:val="fr-BE"/>
        </w:rPr>
      </w:pPr>
      <w:bookmarkStart w:id="20" w:name="_Toc46391704"/>
      <w:r w:rsidRPr="008E457C">
        <w:rPr>
          <w:noProof/>
          <w:lang w:val="fr-BE"/>
        </w:rPr>
        <w:t>Tabela 2C</w:t>
      </w:r>
      <w:r w:rsidRPr="008E457C">
        <w:rPr>
          <w:lang w:val="fr-BE"/>
        </w:rPr>
        <w:t xml:space="preserve"> : </w:t>
      </w:r>
      <w:r w:rsidRPr="008E457C">
        <w:rPr>
          <w:noProof/>
          <w:lang w:val="fr-BE"/>
        </w:rPr>
        <w:t>Specyficzne dla programu wskaźniki rezultatu dla EFS oraz Inicjatywy na rzecz zatrudnienia ludzi młodych</w:t>
      </w:r>
      <w:bookmarkEnd w:id="20"/>
    </w:p>
    <w:p w14:paraId="63089253"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65"/>
        <w:gridCol w:w="3271"/>
        <w:gridCol w:w="712"/>
        <w:gridCol w:w="975"/>
        <w:gridCol w:w="1974"/>
        <w:gridCol w:w="1497"/>
        <w:gridCol w:w="448"/>
        <w:gridCol w:w="564"/>
        <w:gridCol w:w="453"/>
        <w:gridCol w:w="448"/>
        <w:gridCol w:w="564"/>
        <w:gridCol w:w="453"/>
        <w:gridCol w:w="464"/>
        <w:gridCol w:w="564"/>
        <w:gridCol w:w="453"/>
        <w:gridCol w:w="464"/>
        <w:gridCol w:w="564"/>
        <w:gridCol w:w="453"/>
        <w:gridCol w:w="598"/>
      </w:tblGrid>
      <w:tr w:rsidR="006B2EC1" w14:paraId="3D5C2A20" w14:textId="77777777" w:rsidTr="0047688D">
        <w:trPr>
          <w:tblHeader/>
        </w:trPr>
        <w:tc>
          <w:tcPr>
            <w:tcW w:w="0" w:type="auto"/>
            <w:shd w:val="clear" w:color="auto" w:fill="auto"/>
          </w:tcPr>
          <w:p w14:paraId="5AE26B11" w14:textId="77777777" w:rsidR="008C5CFA" w:rsidRPr="00601E29" w:rsidRDefault="00E82A60" w:rsidP="00300A01">
            <w:pPr>
              <w:spacing w:before="0" w:after="0"/>
              <w:rPr>
                <w:b/>
                <w:sz w:val="10"/>
                <w:szCs w:val="10"/>
                <w:lang w:val="fr-BE"/>
              </w:rPr>
            </w:pPr>
            <w:r w:rsidRPr="00601E29">
              <w:rPr>
                <w:b/>
                <w:noProof/>
                <w:sz w:val="10"/>
                <w:szCs w:val="10"/>
                <w:lang w:val="fr-BE"/>
              </w:rPr>
              <w:t>ID</w:t>
            </w:r>
          </w:p>
        </w:tc>
        <w:tc>
          <w:tcPr>
            <w:tcW w:w="0" w:type="auto"/>
            <w:shd w:val="clear" w:color="auto" w:fill="auto"/>
          </w:tcPr>
          <w:p w14:paraId="3B32611D" w14:textId="77777777" w:rsidR="008C5CFA" w:rsidRPr="00601E29" w:rsidRDefault="00E82A60" w:rsidP="00300A01">
            <w:pPr>
              <w:spacing w:before="0" w:after="0"/>
              <w:rPr>
                <w:b/>
                <w:sz w:val="10"/>
                <w:szCs w:val="10"/>
                <w:lang w:val="fr-BE"/>
              </w:rPr>
            </w:pPr>
            <w:r w:rsidRPr="00601E29">
              <w:rPr>
                <w:b/>
                <w:noProof/>
                <w:sz w:val="10"/>
                <w:szCs w:val="10"/>
                <w:lang w:val="fr-BE"/>
              </w:rPr>
              <w:t>Wskaźnik</w:t>
            </w:r>
          </w:p>
        </w:tc>
        <w:tc>
          <w:tcPr>
            <w:tcW w:w="0" w:type="auto"/>
            <w:shd w:val="clear" w:color="auto" w:fill="auto"/>
          </w:tcPr>
          <w:p w14:paraId="16C46BA1" w14:textId="77777777" w:rsidR="008C5CFA" w:rsidRPr="00601E29" w:rsidRDefault="00E82A60" w:rsidP="00300A01">
            <w:pPr>
              <w:spacing w:before="0" w:after="0"/>
              <w:rPr>
                <w:b/>
                <w:sz w:val="10"/>
                <w:szCs w:val="10"/>
                <w:lang w:val="fr-BE"/>
              </w:rPr>
            </w:pPr>
            <w:r w:rsidRPr="00601E29">
              <w:rPr>
                <w:b/>
                <w:noProof/>
                <w:sz w:val="10"/>
                <w:szCs w:val="10"/>
                <w:lang w:val="fr-BE"/>
              </w:rPr>
              <w:t>Kategoria regionu</w:t>
            </w:r>
          </w:p>
        </w:tc>
        <w:tc>
          <w:tcPr>
            <w:tcW w:w="0" w:type="auto"/>
            <w:shd w:val="clear" w:color="auto" w:fill="auto"/>
          </w:tcPr>
          <w:p w14:paraId="0861CE04" w14:textId="77777777" w:rsidR="008C5CFA" w:rsidRPr="00601E29" w:rsidRDefault="00E82A60" w:rsidP="00300A01">
            <w:pPr>
              <w:spacing w:before="0" w:after="0"/>
              <w:rPr>
                <w:b/>
                <w:sz w:val="10"/>
                <w:szCs w:val="10"/>
                <w:lang w:val="fr-BE"/>
              </w:rPr>
            </w:pPr>
            <w:r w:rsidRPr="00785F4A">
              <w:rPr>
                <w:b/>
                <w:noProof/>
                <w:sz w:val="10"/>
                <w:szCs w:val="10"/>
                <w:lang w:val="fr-BE"/>
              </w:rPr>
              <w:t>Jednostka pomiaru wskaźnika</w:t>
            </w:r>
          </w:p>
        </w:tc>
        <w:tc>
          <w:tcPr>
            <w:tcW w:w="0" w:type="auto"/>
            <w:shd w:val="clear" w:color="auto" w:fill="auto"/>
          </w:tcPr>
          <w:p w14:paraId="2B2930B8" w14:textId="77777777" w:rsidR="008C5CFA" w:rsidRPr="00601E29" w:rsidRDefault="00E82A60" w:rsidP="00300A01">
            <w:pPr>
              <w:spacing w:before="0" w:after="0"/>
              <w:rPr>
                <w:b/>
                <w:sz w:val="10"/>
                <w:szCs w:val="10"/>
                <w:lang w:val="fr-BE"/>
              </w:rPr>
            </w:pPr>
            <w:r w:rsidRPr="00601E29">
              <w:rPr>
                <w:b/>
                <w:noProof/>
                <w:sz w:val="10"/>
                <w:szCs w:val="10"/>
                <w:lang w:val="fr-BE"/>
              </w:rPr>
              <w:t>Wskaźnik produktu stosowany jako podstawa do ustalania celów</w:t>
            </w:r>
          </w:p>
        </w:tc>
        <w:tc>
          <w:tcPr>
            <w:tcW w:w="0" w:type="auto"/>
            <w:shd w:val="clear" w:color="auto" w:fill="auto"/>
          </w:tcPr>
          <w:p w14:paraId="663EBE56" w14:textId="77777777" w:rsidR="008C5CFA" w:rsidRPr="00601E29" w:rsidRDefault="00E82A60" w:rsidP="00300A01">
            <w:pPr>
              <w:spacing w:before="0" w:after="0"/>
              <w:rPr>
                <w:b/>
                <w:sz w:val="10"/>
                <w:szCs w:val="10"/>
                <w:lang w:val="fr-BE"/>
              </w:rPr>
            </w:pPr>
            <w:r w:rsidRPr="00601E29">
              <w:rPr>
                <w:b/>
                <w:noProof/>
                <w:sz w:val="10"/>
                <w:szCs w:val="10"/>
                <w:lang w:val="fr-BE"/>
              </w:rPr>
              <w:t>Jednostka pomiaru dla wartości bazowej i docelowej</w:t>
            </w:r>
          </w:p>
        </w:tc>
        <w:tc>
          <w:tcPr>
            <w:tcW w:w="0" w:type="auto"/>
            <w:gridSpan w:val="3"/>
            <w:shd w:val="clear" w:color="auto" w:fill="auto"/>
          </w:tcPr>
          <w:p w14:paraId="1018CBA0" w14:textId="77777777" w:rsidR="008C5CFA" w:rsidRPr="00601E29" w:rsidRDefault="00E82A60" w:rsidP="00300A01">
            <w:pPr>
              <w:spacing w:before="0" w:after="0"/>
              <w:jc w:val="center"/>
              <w:rPr>
                <w:b/>
                <w:sz w:val="10"/>
                <w:szCs w:val="10"/>
                <w:lang w:val="fr-BE"/>
              </w:rPr>
            </w:pPr>
            <w:r w:rsidRPr="00601E29">
              <w:rPr>
                <w:b/>
                <w:noProof/>
                <w:sz w:val="10"/>
                <w:szCs w:val="10"/>
                <w:lang w:val="fr-BE"/>
              </w:rPr>
              <w:t>Wartość docelowa (2023)</w:t>
            </w:r>
          </w:p>
        </w:tc>
        <w:tc>
          <w:tcPr>
            <w:tcW w:w="0" w:type="auto"/>
            <w:gridSpan w:val="3"/>
            <w:shd w:val="clear" w:color="auto" w:fill="auto"/>
          </w:tcPr>
          <w:p w14:paraId="22487F8F" w14:textId="77777777" w:rsidR="008C5CFA" w:rsidRPr="00601E29" w:rsidRDefault="00E82A60" w:rsidP="00300A01">
            <w:pPr>
              <w:spacing w:before="0" w:after="0"/>
              <w:jc w:val="center"/>
              <w:rPr>
                <w:b/>
                <w:sz w:val="10"/>
                <w:szCs w:val="10"/>
                <w:lang w:val="fr-BE"/>
              </w:rPr>
            </w:pPr>
            <w:r w:rsidRPr="00601E29">
              <w:rPr>
                <w:b/>
                <w:noProof/>
                <w:sz w:val="10"/>
                <w:szCs w:val="10"/>
                <w:lang w:val="fr-BE"/>
              </w:rPr>
              <w:t>Wskaźnik osiągnięć</w:t>
            </w:r>
          </w:p>
        </w:tc>
        <w:tc>
          <w:tcPr>
            <w:tcW w:w="0" w:type="auto"/>
            <w:gridSpan w:val="7"/>
            <w:shd w:val="clear" w:color="auto" w:fill="auto"/>
          </w:tcPr>
          <w:p w14:paraId="525260E6" w14:textId="77777777" w:rsidR="008C5CFA" w:rsidRPr="00601E29" w:rsidRDefault="00E82A60" w:rsidP="00300A01">
            <w:pPr>
              <w:spacing w:before="0" w:after="0"/>
              <w:jc w:val="center"/>
              <w:rPr>
                <w:b/>
                <w:sz w:val="10"/>
                <w:szCs w:val="10"/>
                <w:lang w:val="fr-BE"/>
              </w:rPr>
            </w:pPr>
            <w:r>
              <w:rPr>
                <w:b/>
                <w:sz w:val="10"/>
                <w:szCs w:val="10"/>
                <w:lang w:val="fr-BE"/>
              </w:rPr>
              <w:t>2019</w:t>
            </w:r>
          </w:p>
        </w:tc>
      </w:tr>
      <w:tr w:rsidR="006B2EC1" w14:paraId="0C9CD407" w14:textId="77777777" w:rsidTr="0047688D">
        <w:trPr>
          <w:tblHeader/>
        </w:trPr>
        <w:tc>
          <w:tcPr>
            <w:tcW w:w="0" w:type="auto"/>
            <w:shd w:val="clear" w:color="auto" w:fill="auto"/>
          </w:tcPr>
          <w:p w14:paraId="13C8EDE9" w14:textId="77777777" w:rsidR="008C5CFA" w:rsidRPr="00601E29" w:rsidRDefault="008C5CFA" w:rsidP="00300A01">
            <w:pPr>
              <w:spacing w:before="0" w:after="0"/>
              <w:rPr>
                <w:b/>
                <w:sz w:val="10"/>
                <w:szCs w:val="10"/>
                <w:lang w:val="fr-BE"/>
              </w:rPr>
            </w:pPr>
          </w:p>
        </w:tc>
        <w:tc>
          <w:tcPr>
            <w:tcW w:w="0" w:type="auto"/>
            <w:shd w:val="clear" w:color="auto" w:fill="auto"/>
          </w:tcPr>
          <w:p w14:paraId="1E5BC6C8" w14:textId="77777777" w:rsidR="008C5CFA" w:rsidRPr="00601E29" w:rsidRDefault="008C5CFA" w:rsidP="00300A01">
            <w:pPr>
              <w:spacing w:before="0" w:after="0"/>
              <w:rPr>
                <w:b/>
                <w:sz w:val="10"/>
                <w:szCs w:val="10"/>
                <w:lang w:val="fr-BE"/>
              </w:rPr>
            </w:pPr>
          </w:p>
        </w:tc>
        <w:tc>
          <w:tcPr>
            <w:tcW w:w="0" w:type="auto"/>
            <w:shd w:val="clear" w:color="auto" w:fill="auto"/>
          </w:tcPr>
          <w:p w14:paraId="41E5B6E8" w14:textId="77777777" w:rsidR="008C5CFA" w:rsidRPr="00601E29" w:rsidRDefault="008C5CFA" w:rsidP="00300A01">
            <w:pPr>
              <w:spacing w:before="0" w:after="0"/>
              <w:rPr>
                <w:b/>
                <w:sz w:val="10"/>
                <w:szCs w:val="10"/>
                <w:lang w:val="fr-BE"/>
              </w:rPr>
            </w:pPr>
          </w:p>
        </w:tc>
        <w:tc>
          <w:tcPr>
            <w:tcW w:w="0" w:type="auto"/>
            <w:shd w:val="clear" w:color="auto" w:fill="auto"/>
          </w:tcPr>
          <w:p w14:paraId="24A6AA5D" w14:textId="77777777" w:rsidR="008C5CFA" w:rsidRPr="00601E29" w:rsidRDefault="008C5CFA" w:rsidP="00300A01">
            <w:pPr>
              <w:spacing w:before="0" w:after="0"/>
              <w:rPr>
                <w:b/>
                <w:sz w:val="10"/>
                <w:szCs w:val="10"/>
                <w:lang w:val="fr-BE"/>
              </w:rPr>
            </w:pPr>
          </w:p>
        </w:tc>
        <w:tc>
          <w:tcPr>
            <w:tcW w:w="0" w:type="auto"/>
            <w:shd w:val="clear" w:color="auto" w:fill="auto"/>
          </w:tcPr>
          <w:p w14:paraId="28E28196" w14:textId="77777777" w:rsidR="008C5CFA" w:rsidRPr="00601E29" w:rsidRDefault="008C5CFA" w:rsidP="00300A01">
            <w:pPr>
              <w:spacing w:before="0" w:after="0"/>
              <w:rPr>
                <w:b/>
                <w:sz w:val="10"/>
                <w:szCs w:val="10"/>
                <w:lang w:val="fr-BE"/>
              </w:rPr>
            </w:pPr>
          </w:p>
        </w:tc>
        <w:tc>
          <w:tcPr>
            <w:tcW w:w="0" w:type="auto"/>
            <w:shd w:val="clear" w:color="auto" w:fill="auto"/>
          </w:tcPr>
          <w:p w14:paraId="14921C21" w14:textId="77777777" w:rsidR="008C5CFA" w:rsidRPr="00601E29" w:rsidRDefault="008C5CFA" w:rsidP="00300A01">
            <w:pPr>
              <w:spacing w:before="0" w:after="0"/>
              <w:rPr>
                <w:b/>
                <w:sz w:val="10"/>
                <w:szCs w:val="10"/>
                <w:lang w:val="fr-BE"/>
              </w:rPr>
            </w:pPr>
          </w:p>
        </w:tc>
        <w:tc>
          <w:tcPr>
            <w:tcW w:w="0" w:type="auto"/>
            <w:shd w:val="clear" w:color="auto" w:fill="auto"/>
          </w:tcPr>
          <w:p w14:paraId="444DE026" w14:textId="77777777" w:rsidR="008C5CFA" w:rsidRPr="00601E29" w:rsidRDefault="008C5CFA" w:rsidP="00300A01">
            <w:pPr>
              <w:spacing w:before="0" w:after="0"/>
              <w:jc w:val="center"/>
              <w:rPr>
                <w:b/>
                <w:sz w:val="10"/>
                <w:szCs w:val="10"/>
                <w:lang w:val="fr-BE"/>
              </w:rPr>
            </w:pPr>
          </w:p>
        </w:tc>
        <w:tc>
          <w:tcPr>
            <w:tcW w:w="0" w:type="auto"/>
            <w:shd w:val="clear" w:color="auto" w:fill="auto"/>
          </w:tcPr>
          <w:p w14:paraId="7A9CFA8D" w14:textId="77777777" w:rsidR="008C5CFA" w:rsidRPr="00601E29" w:rsidRDefault="008C5CFA" w:rsidP="00300A01">
            <w:pPr>
              <w:spacing w:before="0" w:after="0"/>
              <w:jc w:val="center"/>
              <w:rPr>
                <w:b/>
                <w:sz w:val="10"/>
                <w:szCs w:val="10"/>
                <w:lang w:val="fr-BE"/>
              </w:rPr>
            </w:pPr>
          </w:p>
        </w:tc>
        <w:tc>
          <w:tcPr>
            <w:tcW w:w="0" w:type="auto"/>
            <w:shd w:val="clear" w:color="auto" w:fill="auto"/>
          </w:tcPr>
          <w:p w14:paraId="7344F0E0" w14:textId="77777777" w:rsidR="008C5CFA" w:rsidRPr="00601E29" w:rsidRDefault="008C5CFA" w:rsidP="00300A01">
            <w:pPr>
              <w:spacing w:before="0" w:after="0"/>
              <w:jc w:val="center"/>
              <w:rPr>
                <w:b/>
                <w:sz w:val="10"/>
                <w:szCs w:val="10"/>
                <w:lang w:val="fr-BE"/>
              </w:rPr>
            </w:pPr>
          </w:p>
        </w:tc>
        <w:tc>
          <w:tcPr>
            <w:tcW w:w="0" w:type="auto"/>
            <w:shd w:val="clear" w:color="auto" w:fill="auto"/>
          </w:tcPr>
          <w:p w14:paraId="36D9B2BE" w14:textId="77777777" w:rsidR="008C5CFA" w:rsidRPr="00601E29" w:rsidRDefault="008C5CFA" w:rsidP="00300A01">
            <w:pPr>
              <w:spacing w:before="0" w:after="0"/>
              <w:jc w:val="center"/>
              <w:rPr>
                <w:b/>
                <w:sz w:val="10"/>
                <w:szCs w:val="10"/>
                <w:lang w:val="fr-BE"/>
              </w:rPr>
            </w:pPr>
          </w:p>
        </w:tc>
        <w:tc>
          <w:tcPr>
            <w:tcW w:w="0" w:type="auto"/>
            <w:shd w:val="clear" w:color="auto" w:fill="auto"/>
          </w:tcPr>
          <w:p w14:paraId="58AAF61E" w14:textId="77777777" w:rsidR="008C5CFA" w:rsidRPr="00601E29" w:rsidRDefault="008C5CFA" w:rsidP="00300A01">
            <w:pPr>
              <w:spacing w:before="0" w:after="0"/>
              <w:jc w:val="center"/>
              <w:rPr>
                <w:b/>
                <w:sz w:val="10"/>
                <w:szCs w:val="10"/>
                <w:lang w:val="fr-BE"/>
              </w:rPr>
            </w:pPr>
          </w:p>
        </w:tc>
        <w:tc>
          <w:tcPr>
            <w:tcW w:w="0" w:type="auto"/>
            <w:shd w:val="clear" w:color="auto" w:fill="auto"/>
          </w:tcPr>
          <w:p w14:paraId="31B0C799" w14:textId="77777777" w:rsidR="008C5CFA" w:rsidRPr="00601E29" w:rsidRDefault="008C5CFA" w:rsidP="00300A01">
            <w:pPr>
              <w:spacing w:before="0" w:after="0"/>
              <w:jc w:val="center"/>
              <w:rPr>
                <w:b/>
                <w:sz w:val="10"/>
                <w:szCs w:val="10"/>
                <w:lang w:val="fr-BE"/>
              </w:rPr>
            </w:pPr>
          </w:p>
        </w:tc>
        <w:tc>
          <w:tcPr>
            <w:tcW w:w="0" w:type="auto"/>
            <w:gridSpan w:val="3"/>
            <w:shd w:val="clear" w:color="auto" w:fill="auto"/>
          </w:tcPr>
          <w:p w14:paraId="65E6053B" w14:textId="77777777" w:rsidR="008C5CFA" w:rsidRPr="00601E29" w:rsidRDefault="00E82A60" w:rsidP="00300A01">
            <w:pPr>
              <w:spacing w:before="0" w:after="0"/>
              <w:jc w:val="center"/>
              <w:rPr>
                <w:b/>
                <w:sz w:val="10"/>
                <w:szCs w:val="10"/>
                <w:lang w:val="fr-BE"/>
              </w:rPr>
            </w:pPr>
            <w:r w:rsidRPr="00601E29">
              <w:rPr>
                <w:b/>
                <w:noProof/>
                <w:sz w:val="10"/>
                <w:szCs w:val="10"/>
                <w:lang w:val="fr-BE"/>
              </w:rPr>
              <w:t>Łącznie</w:t>
            </w:r>
          </w:p>
        </w:tc>
        <w:tc>
          <w:tcPr>
            <w:tcW w:w="0" w:type="auto"/>
            <w:gridSpan w:val="3"/>
          </w:tcPr>
          <w:p w14:paraId="4463A1AB" w14:textId="77777777" w:rsidR="008C5CFA" w:rsidRPr="00601E29" w:rsidRDefault="00E82A60" w:rsidP="00300A01">
            <w:pPr>
              <w:spacing w:before="0" w:after="0"/>
              <w:jc w:val="center"/>
              <w:rPr>
                <w:b/>
                <w:sz w:val="10"/>
                <w:szCs w:val="10"/>
                <w:lang w:val="fr-BE"/>
              </w:rPr>
            </w:pPr>
            <w:r w:rsidRPr="00601E29">
              <w:rPr>
                <w:b/>
                <w:noProof/>
                <w:sz w:val="10"/>
                <w:szCs w:val="10"/>
                <w:lang w:val="fr-BE"/>
              </w:rPr>
              <w:t>Łącznie w roku</w:t>
            </w:r>
          </w:p>
        </w:tc>
        <w:tc>
          <w:tcPr>
            <w:tcW w:w="0" w:type="auto"/>
          </w:tcPr>
          <w:p w14:paraId="3D3DF2EA" w14:textId="77777777" w:rsidR="008C5CFA" w:rsidRPr="00601E29" w:rsidRDefault="00E82A60" w:rsidP="00300A01">
            <w:pPr>
              <w:spacing w:before="0" w:after="0"/>
              <w:jc w:val="center"/>
              <w:rPr>
                <w:b/>
                <w:sz w:val="10"/>
                <w:szCs w:val="10"/>
                <w:lang w:val="fr-BE"/>
              </w:rPr>
            </w:pPr>
            <w:r w:rsidRPr="00601E29">
              <w:rPr>
                <w:b/>
                <w:noProof/>
                <w:sz w:val="10"/>
                <w:szCs w:val="10"/>
                <w:lang w:val="fr-BE"/>
              </w:rPr>
              <w:t>Jakościowe</w:t>
            </w:r>
          </w:p>
        </w:tc>
      </w:tr>
      <w:tr w:rsidR="006B2EC1" w14:paraId="6762D195" w14:textId="77777777" w:rsidTr="0047688D">
        <w:trPr>
          <w:tblHeader/>
        </w:trPr>
        <w:tc>
          <w:tcPr>
            <w:tcW w:w="0" w:type="auto"/>
            <w:shd w:val="clear" w:color="auto" w:fill="auto"/>
          </w:tcPr>
          <w:p w14:paraId="777EBBEC" w14:textId="77777777" w:rsidR="008C5CFA" w:rsidRPr="00601E29" w:rsidRDefault="008C5CFA" w:rsidP="00300A01">
            <w:pPr>
              <w:spacing w:before="0" w:after="0"/>
              <w:rPr>
                <w:b/>
                <w:sz w:val="10"/>
                <w:szCs w:val="10"/>
                <w:lang w:val="fr-BE"/>
              </w:rPr>
            </w:pPr>
          </w:p>
        </w:tc>
        <w:tc>
          <w:tcPr>
            <w:tcW w:w="0" w:type="auto"/>
            <w:shd w:val="clear" w:color="auto" w:fill="auto"/>
          </w:tcPr>
          <w:p w14:paraId="53FC5374" w14:textId="77777777" w:rsidR="008C5CFA" w:rsidRPr="00601E29" w:rsidRDefault="008C5CFA" w:rsidP="00300A01">
            <w:pPr>
              <w:spacing w:before="0" w:after="0"/>
              <w:rPr>
                <w:b/>
                <w:sz w:val="10"/>
                <w:szCs w:val="10"/>
                <w:lang w:val="fr-BE"/>
              </w:rPr>
            </w:pPr>
          </w:p>
        </w:tc>
        <w:tc>
          <w:tcPr>
            <w:tcW w:w="0" w:type="auto"/>
            <w:shd w:val="clear" w:color="auto" w:fill="auto"/>
          </w:tcPr>
          <w:p w14:paraId="121A79C3" w14:textId="77777777" w:rsidR="008C5CFA" w:rsidRPr="00601E29" w:rsidRDefault="008C5CFA" w:rsidP="00300A01">
            <w:pPr>
              <w:spacing w:before="0" w:after="0"/>
              <w:rPr>
                <w:b/>
                <w:sz w:val="10"/>
                <w:szCs w:val="10"/>
                <w:lang w:val="fr-BE"/>
              </w:rPr>
            </w:pPr>
          </w:p>
        </w:tc>
        <w:tc>
          <w:tcPr>
            <w:tcW w:w="0" w:type="auto"/>
            <w:shd w:val="clear" w:color="auto" w:fill="auto"/>
          </w:tcPr>
          <w:p w14:paraId="1CBDE18B" w14:textId="77777777" w:rsidR="008C5CFA" w:rsidRPr="00601E29" w:rsidRDefault="008C5CFA" w:rsidP="00300A01">
            <w:pPr>
              <w:spacing w:before="0" w:after="0"/>
              <w:rPr>
                <w:b/>
                <w:sz w:val="10"/>
                <w:szCs w:val="10"/>
                <w:lang w:val="fr-BE"/>
              </w:rPr>
            </w:pPr>
          </w:p>
        </w:tc>
        <w:tc>
          <w:tcPr>
            <w:tcW w:w="0" w:type="auto"/>
            <w:shd w:val="clear" w:color="auto" w:fill="auto"/>
          </w:tcPr>
          <w:p w14:paraId="3B8251B6" w14:textId="77777777" w:rsidR="008C5CFA" w:rsidRPr="00601E29" w:rsidRDefault="008C5CFA" w:rsidP="00300A01">
            <w:pPr>
              <w:spacing w:before="0" w:after="0"/>
              <w:rPr>
                <w:b/>
                <w:sz w:val="10"/>
                <w:szCs w:val="10"/>
                <w:lang w:val="fr-BE"/>
              </w:rPr>
            </w:pPr>
          </w:p>
        </w:tc>
        <w:tc>
          <w:tcPr>
            <w:tcW w:w="0" w:type="auto"/>
            <w:shd w:val="clear" w:color="auto" w:fill="auto"/>
          </w:tcPr>
          <w:p w14:paraId="11858026" w14:textId="77777777" w:rsidR="008C5CFA" w:rsidRPr="00601E29" w:rsidRDefault="008C5CFA" w:rsidP="00300A01">
            <w:pPr>
              <w:spacing w:before="0" w:after="0"/>
              <w:rPr>
                <w:b/>
                <w:sz w:val="10"/>
                <w:szCs w:val="10"/>
                <w:lang w:val="fr-BE"/>
              </w:rPr>
            </w:pPr>
          </w:p>
        </w:tc>
        <w:tc>
          <w:tcPr>
            <w:tcW w:w="0" w:type="auto"/>
            <w:shd w:val="clear" w:color="auto" w:fill="auto"/>
          </w:tcPr>
          <w:p w14:paraId="4991DACA" w14:textId="77777777" w:rsidR="008C5CFA" w:rsidRPr="00601E29" w:rsidRDefault="00E82A60" w:rsidP="00300A01">
            <w:pPr>
              <w:spacing w:before="0" w:after="0"/>
              <w:jc w:val="center"/>
              <w:rPr>
                <w:b/>
                <w:sz w:val="10"/>
                <w:szCs w:val="10"/>
                <w:lang w:val="fr-BE"/>
              </w:rPr>
            </w:pPr>
            <w:r w:rsidRPr="00601E29">
              <w:rPr>
                <w:b/>
                <w:noProof/>
                <w:sz w:val="10"/>
                <w:szCs w:val="10"/>
                <w:lang w:val="fr-BE"/>
              </w:rPr>
              <w:t>Ogółem</w:t>
            </w:r>
          </w:p>
        </w:tc>
        <w:tc>
          <w:tcPr>
            <w:tcW w:w="0" w:type="auto"/>
            <w:shd w:val="clear" w:color="auto" w:fill="auto"/>
          </w:tcPr>
          <w:p w14:paraId="7B835EEE" w14:textId="77777777" w:rsidR="008C5CFA" w:rsidRPr="00601E29" w:rsidRDefault="00E82A60" w:rsidP="00300A01">
            <w:pPr>
              <w:spacing w:before="0" w:after="0"/>
              <w:jc w:val="center"/>
              <w:rPr>
                <w:b/>
                <w:sz w:val="10"/>
                <w:szCs w:val="10"/>
                <w:lang w:val="fr-BE"/>
              </w:rPr>
            </w:pPr>
            <w:r w:rsidRPr="00601E29">
              <w:rPr>
                <w:b/>
                <w:noProof/>
                <w:sz w:val="10"/>
                <w:szCs w:val="10"/>
                <w:lang w:val="fr-BE"/>
              </w:rPr>
              <w:t>Mężczyźni</w:t>
            </w:r>
          </w:p>
        </w:tc>
        <w:tc>
          <w:tcPr>
            <w:tcW w:w="0" w:type="auto"/>
            <w:shd w:val="clear" w:color="auto" w:fill="auto"/>
          </w:tcPr>
          <w:p w14:paraId="79DDD1B6" w14:textId="77777777" w:rsidR="008C5CFA" w:rsidRPr="00601E29" w:rsidRDefault="00E82A60" w:rsidP="00300A01">
            <w:pPr>
              <w:spacing w:before="0" w:after="0"/>
              <w:jc w:val="center"/>
              <w:rPr>
                <w:b/>
                <w:sz w:val="10"/>
                <w:szCs w:val="10"/>
                <w:lang w:val="fr-BE"/>
              </w:rPr>
            </w:pPr>
            <w:r w:rsidRPr="00601E29">
              <w:rPr>
                <w:b/>
                <w:noProof/>
                <w:sz w:val="10"/>
                <w:szCs w:val="10"/>
                <w:lang w:val="fr-BE"/>
              </w:rPr>
              <w:t>Kobiety</w:t>
            </w:r>
          </w:p>
        </w:tc>
        <w:tc>
          <w:tcPr>
            <w:tcW w:w="0" w:type="auto"/>
            <w:shd w:val="clear" w:color="auto" w:fill="auto"/>
          </w:tcPr>
          <w:p w14:paraId="4DC319B2" w14:textId="77777777" w:rsidR="008C5CFA" w:rsidRPr="00601E29" w:rsidRDefault="00E82A60" w:rsidP="00300A01">
            <w:pPr>
              <w:spacing w:before="0" w:after="0"/>
              <w:jc w:val="center"/>
              <w:rPr>
                <w:b/>
                <w:sz w:val="10"/>
                <w:szCs w:val="10"/>
                <w:lang w:val="fr-BE"/>
              </w:rPr>
            </w:pPr>
            <w:r w:rsidRPr="00601E29">
              <w:rPr>
                <w:b/>
                <w:noProof/>
                <w:sz w:val="10"/>
                <w:szCs w:val="10"/>
                <w:lang w:val="fr-BE"/>
              </w:rPr>
              <w:t>Ogółem</w:t>
            </w:r>
          </w:p>
        </w:tc>
        <w:tc>
          <w:tcPr>
            <w:tcW w:w="0" w:type="auto"/>
            <w:shd w:val="clear" w:color="auto" w:fill="auto"/>
          </w:tcPr>
          <w:p w14:paraId="50BD8EC4" w14:textId="77777777" w:rsidR="008C5CFA" w:rsidRPr="00601E29" w:rsidRDefault="00E82A60" w:rsidP="00300A01">
            <w:pPr>
              <w:spacing w:before="0" w:after="0"/>
              <w:jc w:val="center"/>
              <w:rPr>
                <w:b/>
                <w:sz w:val="10"/>
                <w:szCs w:val="10"/>
                <w:lang w:val="fr-BE"/>
              </w:rPr>
            </w:pPr>
            <w:r w:rsidRPr="00601E29">
              <w:rPr>
                <w:b/>
                <w:noProof/>
                <w:sz w:val="10"/>
                <w:szCs w:val="10"/>
                <w:lang w:val="fr-BE"/>
              </w:rPr>
              <w:t>Mężczyźni</w:t>
            </w:r>
          </w:p>
        </w:tc>
        <w:tc>
          <w:tcPr>
            <w:tcW w:w="0" w:type="auto"/>
            <w:shd w:val="clear" w:color="auto" w:fill="auto"/>
          </w:tcPr>
          <w:p w14:paraId="131ACB86" w14:textId="77777777" w:rsidR="008C5CFA" w:rsidRPr="00601E29" w:rsidRDefault="00E82A60" w:rsidP="00300A01">
            <w:pPr>
              <w:spacing w:before="0" w:after="0"/>
              <w:jc w:val="center"/>
              <w:rPr>
                <w:b/>
                <w:sz w:val="10"/>
                <w:szCs w:val="10"/>
                <w:lang w:val="fr-BE"/>
              </w:rPr>
            </w:pPr>
            <w:r w:rsidRPr="00601E29">
              <w:rPr>
                <w:b/>
                <w:noProof/>
                <w:sz w:val="10"/>
                <w:szCs w:val="10"/>
                <w:lang w:val="fr-BE"/>
              </w:rPr>
              <w:t>Kobiety</w:t>
            </w:r>
          </w:p>
        </w:tc>
        <w:tc>
          <w:tcPr>
            <w:tcW w:w="0" w:type="auto"/>
            <w:shd w:val="clear" w:color="auto" w:fill="auto"/>
          </w:tcPr>
          <w:p w14:paraId="05FE90C0" w14:textId="77777777" w:rsidR="008C5CFA" w:rsidRPr="00601E29" w:rsidRDefault="00E82A60" w:rsidP="00300A01">
            <w:pPr>
              <w:spacing w:before="0" w:after="0"/>
              <w:jc w:val="center"/>
              <w:rPr>
                <w:b/>
                <w:sz w:val="10"/>
                <w:szCs w:val="10"/>
                <w:lang w:val="fr-BE"/>
              </w:rPr>
            </w:pPr>
            <w:r w:rsidRPr="00601E29">
              <w:rPr>
                <w:b/>
                <w:noProof/>
                <w:sz w:val="10"/>
                <w:szCs w:val="10"/>
                <w:lang w:val="fr-BE"/>
              </w:rPr>
              <w:t>Ogółem</w:t>
            </w:r>
          </w:p>
        </w:tc>
        <w:tc>
          <w:tcPr>
            <w:tcW w:w="0" w:type="auto"/>
            <w:shd w:val="clear" w:color="auto" w:fill="auto"/>
          </w:tcPr>
          <w:p w14:paraId="1203CAA7" w14:textId="77777777" w:rsidR="008C5CFA" w:rsidRPr="00601E29" w:rsidRDefault="00E82A60" w:rsidP="00300A01">
            <w:pPr>
              <w:spacing w:before="0" w:after="0"/>
              <w:jc w:val="center"/>
              <w:rPr>
                <w:b/>
                <w:sz w:val="10"/>
                <w:szCs w:val="10"/>
                <w:lang w:val="fr-BE"/>
              </w:rPr>
            </w:pPr>
            <w:r w:rsidRPr="00601E29">
              <w:rPr>
                <w:b/>
                <w:noProof/>
                <w:sz w:val="10"/>
                <w:szCs w:val="10"/>
                <w:lang w:val="fr-BE"/>
              </w:rPr>
              <w:t>Mężczyźni</w:t>
            </w:r>
          </w:p>
        </w:tc>
        <w:tc>
          <w:tcPr>
            <w:tcW w:w="0" w:type="auto"/>
            <w:shd w:val="clear" w:color="auto" w:fill="auto"/>
          </w:tcPr>
          <w:p w14:paraId="36822549" w14:textId="77777777" w:rsidR="008C5CFA" w:rsidRPr="00601E29" w:rsidRDefault="00E82A60" w:rsidP="00300A01">
            <w:pPr>
              <w:spacing w:before="0" w:after="0"/>
              <w:jc w:val="center"/>
              <w:rPr>
                <w:b/>
                <w:sz w:val="10"/>
                <w:szCs w:val="10"/>
                <w:lang w:val="fr-BE"/>
              </w:rPr>
            </w:pPr>
            <w:r w:rsidRPr="00601E29">
              <w:rPr>
                <w:b/>
                <w:noProof/>
                <w:sz w:val="10"/>
                <w:szCs w:val="10"/>
                <w:lang w:val="fr-BE"/>
              </w:rPr>
              <w:t>Kobiety</w:t>
            </w:r>
          </w:p>
        </w:tc>
        <w:tc>
          <w:tcPr>
            <w:tcW w:w="0" w:type="auto"/>
          </w:tcPr>
          <w:p w14:paraId="39DD3956" w14:textId="77777777" w:rsidR="008C5CFA" w:rsidRPr="00601E29" w:rsidRDefault="00E82A60" w:rsidP="00300A01">
            <w:pPr>
              <w:spacing w:before="0" w:after="0"/>
              <w:jc w:val="center"/>
              <w:rPr>
                <w:b/>
                <w:sz w:val="10"/>
                <w:szCs w:val="10"/>
                <w:lang w:val="fr-BE"/>
              </w:rPr>
            </w:pPr>
            <w:r w:rsidRPr="00601E29">
              <w:rPr>
                <w:b/>
                <w:noProof/>
                <w:sz w:val="10"/>
                <w:szCs w:val="10"/>
                <w:lang w:val="fr-BE"/>
              </w:rPr>
              <w:t>Ogółem</w:t>
            </w:r>
          </w:p>
        </w:tc>
        <w:tc>
          <w:tcPr>
            <w:tcW w:w="0" w:type="auto"/>
            <w:shd w:val="clear" w:color="auto" w:fill="auto"/>
          </w:tcPr>
          <w:p w14:paraId="76ED6D95" w14:textId="77777777" w:rsidR="008C5CFA" w:rsidRPr="00601E29" w:rsidRDefault="00E82A60" w:rsidP="00300A01">
            <w:pPr>
              <w:spacing w:before="0" w:after="0"/>
              <w:jc w:val="center"/>
              <w:rPr>
                <w:b/>
                <w:sz w:val="10"/>
                <w:szCs w:val="10"/>
                <w:lang w:val="fr-BE"/>
              </w:rPr>
            </w:pPr>
            <w:r w:rsidRPr="00601E29">
              <w:rPr>
                <w:b/>
                <w:noProof/>
                <w:sz w:val="10"/>
                <w:szCs w:val="10"/>
                <w:lang w:val="fr-BE"/>
              </w:rPr>
              <w:t>Mężczyźni</w:t>
            </w:r>
          </w:p>
        </w:tc>
        <w:tc>
          <w:tcPr>
            <w:tcW w:w="0" w:type="auto"/>
            <w:shd w:val="clear" w:color="auto" w:fill="auto"/>
          </w:tcPr>
          <w:p w14:paraId="0D91E910" w14:textId="77777777" w:rsidR="008C5CFA" w:rsidRPr="00601E29" w:rsidRDefault="00E82A60" w:rsidP="00300A01">
            <w:pPr>
              <w:spacing w:before="0" w:after="0"/>
              <w:jc w:val="center"/>
              <w:rPr>
                <w:b/>
                <w:sz w:val="10"/>
                <w:szCs w:val="10"/>
                <w:lang w:val="fr-BE"/>
              </w:rPr>
            </w:pPr>
            <w:r w:rsidRPr="00601E29">
              <w:rPr>
                <w:b/>
                <w:noProof/>
                <w:sz w:val="10"/>
                <w:szCs w:val="10"/>
                <w:lang w:val="fr-BE"/>
              </w:rPr>
              <w:t>Kobiety</w:t>
            </w:r>
          </w:p>
        </w:tc>
        <w:tc>
          <w:tcPr>
            <w:tcW w:w="0" w:type="auto"/>
          </w:tcPr>
          <w:p w14:paraId="31A6CF13" w14:textId="77777777" w:rsidR="008C5CFA" w:rsidRPr="00601E29" w:rsidRDefault="008C5CFA" w:rsidP="00300A01">
            <w:pPr>
              <w:spacing w:before="0" w:after="0"/>
              <w:jc w:val="center"/>
              <w:rPr>
                <w:b/>
                <w:sz w:val="10"/>
                <w:szCs w:val="10"/>
                <w:lang w:val="fr-BE"/>
              </w:rPr>
            </w:pPr>
          </w:p>
        </w:tc>
      </w:tr>
      <w:tr w:rsidR="006B2EC1" w14:paraId="182DF3FB" w14:textId="77777777" w:rsidTr="0047688D">
        <w:tc>
          <w:tcPr>
            <w:tcW w:w="0" w:type="auto"/>
            <w:shd w:val="clear" w:color="auto" w:fill="auto"/>
          </w:tcPr>
          <w:p w14:paraId="550F3E7C" w14:textId="77777777" w:rsidR="008C5CFA" w:rsidRPr="00601E29" w:rsidRDefault="00E82A60" w:rsidP="00300A01">
            <w:pPr>
              <w:spacing w:before="0" w:after="0"/>
              <w:rPr>
                <w:sz w:val="10"/>
                <w:szCs w:val="10"/>
                <w:lang w:val="fr-BE"/>
              </w:rPr>
            </w:pPr>
            <w:r w:rsidRPr="00601E29">
              <w:rPr>
                <w:noProof/>
                <w:sz w:val="10"/>
                <w:szCs w:val="10"/>
                <w:lang w:val="fr-BE"/>
              </w:rPr>
              <w:t>121</w:t>
            </w:r>
          </w:p>
        </w:tc>
        <w:tc>
          <w:tcPr>
            <w:tcW w:w="0" w:type="auto"/>
            <w:shd w:val="clear" w:color="auto" w:fill="auto"/>
          </w:tcPr>
          <w:p w14:paraId="44DCF077" w14:textId="77777777" w:rsidR="008C5CFA" w:rsidRPr="00601E29" w:rsidRDefault="00E82A60" w:rsidP="00300A01">
            <w:pPr>
              <w:spacing w:before="0" w:after="0"/>
              <w:rPr>
                <w:sz w:val="10"/>
                <w:szCs w:val="10"/>
                <w:lang w:val="fr-BE"/>
              </w:rPr>
            </w:pPr>
            <w:r w:rsidRPr="00601E29">
              <w:rPr>
                <w:noProof/>
                <w:sz w:val="10"/>
                <w:szCs w:val="10"/>
                <w:lang w:val="fr-BE"/>
              </w:rPr>
              <w:t>Liczba mikroprzedsiębiorstw oraz małych i średnich przedsiębiorstw, które zrealizowały swój cel rozwojowy dzięki udziałowi w programie</w:t>
            </w:r>
          </w:p>
        </w:tc>
        <w:tc>
          <w:tcPr>
            <w:tcW w:w="0" w:type="auto"/>
            <w:shd w:val="clear" w:color="auto" w:fill="auto"/>
          </w:tcPr>
          <w:p w14:paraId="6B01E1C4" w14:textId="77777777" w:rsidR="008C5CFA" w:rsidRPr="00601E29" w:rsidRDefault="00E82A60" w:rsidP="00300A01">
            <w:pPr>
              <w:spacing w:before="0" w:after="0"/>
              <w:rPr>
                <w:sz w:val="10"/>
                <w:szCs w:val="10"/>
                <w:lang w:val="fr-BE"/>
              </w:rPr>
            </w:pPr>
            <w:r w:rsidRPr="00601E29">
              <w:rPr>
                <w:noProof/>
                <w:sz w:val="10"/>
                <w:szCs w:val="10"/>
                <w:lang w:val="fr-BE"/>
              </w:rPr>
              <w:t>Słabiej rozwinięte</w:t>
            </w:r>
          </w:p>
        </w:tc>
        <w:tc>
          <w:tcPr>
            <w:tcW w:w="0" w:type="auto"/>
            <w:shd w:val="clear" w:color="auto" w:fill="auto"/>
          </w:tcPr>
          <w:p w14:paraId="423F028E" w14:textId="77777777" w:rsidR="008C5CFA" w:rsidRPr="00601E29" w:rsidRDefault="00E82A60" w:rsidP="00300A01">
            <w:pPr>
              <w:spacing w:before="0" w:after="0"/>
              <w:rPr>
                <w:sz w:val="10"/>
                <w:szCs w:val="10"/>
                <w:lang w:val="fr-BE"/>
              </w:rPr>
            </w:pPr>
            <w:r w:rsidRPr="00785F4A">
              <w:rPr>
                <w:noProof/>
                <w:sz w:val="10"/>
                <w:szCs w:val="10"/>
                <w:lang w:val="fr-BE"/>
              </w:rPr>
              <w:t>Liczba</w:t>
            </w:r>
            <w:r w:rsidR="00CE4603">
              <w:rPr>
                <w:sz w:val="10"/>
                <w:szCs w:val="10"/>
                <w:lang w:val="fr-BE"/>
              </w:rPr>
              <w:t xml:space="preserve"> </w:t>
            </w:r>
            <w:r w:rsidR="00CE4603">
              <w:rPr>
                <w:noProof/>
                <w:sz w:val="10"/>
                <w:szCs w:val="10"/>
                <w:lang w:val="fr-BE"/>
              </w:rPr>
              <w:t>(szt.)</w:t>
            </w:r>
          </w:p>
        </w:tc>
        <w:tc>
          <w:tcPr>
            <w:tcW w:w="0" w:type="auto"/>
            <w:shd w:val="clear" w:color="auto" w:fill="auto"/>
          </w:tcPr>
          <w:p w14:paraId="0651E039" w14:textId="77777777" w:rsidR="008C5CFA" w:rsidRPr="00601E29" w:rsidRDefault="00E82A60" w:rsidP="00300A01">
            <w:pPr>
              <w:spacing w:before="0" w:after="0"/>
              <w:rPr>
                <w:sz w:val="10"/>
                <w:szCs w:val="10"/>
                <w:lang w:val="fr-BE"/>
              </w:rPr>
            </w:pPr>
            <w:r w:rsidRPr="00601E29">
              <w:rPr>
                <w:sz w:val="10"/>
                <w:szCs w:val="10"/>
                <w:lang w:val="fr-BE"/>
              </w:rPr>
              <w:t xml:space="preserve"> </w:t>
            </w:r>
          </w:p>
        </w:tc>
        <w:tc>
          <w:tcPr>
            <w:tcW w:w="0" w:type="auto"/>
            <w:shd w:val="clear" w:color="auto" w:fill="auto"/>
          </w:tcPr>
          <w:p w14:paraId="0E13ADFF" w14:textId="77777777" w:rsidR="008C5CFA" w:rsidRPr="00601E29" w:rsidRDefault="00E82A60" w:rsidP="00300A01">
            <w:pPr>
              <w:spacing w:before="0" w:after="0"/>
              <w:jc w:val="center"/>
              <w:rPr>
                <w:sz w:val="10"/>
                <w:szCs w:val="10"/>
                <w:lang w:val="fr-BE"/>
              </w:rPr>
            </w:pPr>
            <w:r w:rsidRPr="00601E29">
              <w:rPr>
                <w:noProof/>
                <w:sz w:val="10"/>
                <w:szCs w:val="10"/>
                <w:lang w:val="fr-BE"/>
              </w:rPr>
              <w:t>Współczynnik</w:t>
            </w:r>
          </w:p>
        </w:tc>
        <w:tc>
          <w:tcPr>
            <w:tcW w:w="0" w:type="auto"/>
            <w:shd w:val="clear" w:color="auto" w:fill="auto"/>
          </w:tcPr>
          <w:p w14:paraId="2406C776" w14:textId="77777777" w:rsidR="008C5CFA" w:rsidRPr="00601E29" w:rsidRDefault="00E82A60" w:rsidP="00300A01">
            <w:pPr>
              <w:spacing w:before="0" w:after="0"/>
              <w:jc w:val="right"/>
              <w:rPr>
                <w:sz w:val="10"/>
                <w:szCs w:val="10"/>
                <w:lang w:val="fr-BE"/>
              </w:rPr>
            </w:pPr>
            <w:r w:rsidRPr="00601E29">
              <w:rPr>
                <w:noProof/>
                <w:sz w:val="10"/>
                <w:szCs w:val="10"/>
                <w:lang w:val="fr-BE"/>
              </w:rPr>
              <w:t>40,00</w:t>
            </w:r>
            <w:r>
              <w:rPr>
                <w:noProof/>
                <w:sz w:val="10"/>
                <w:szCs w:val="10"/>
                <w:lang w:val="fr-BE"/>
              </w:rPr>
              <w:t>%</w:t>
            </w:r>
          </w:p>
        </w:tc>
        <w:tc>
          <w:tcPr>
            <w:tcW w:w="0" w:type="auto"/>
            <w:shd w:val="clear" w:color="auto" w:fill="auto"/>
          </w:tcPr>
          <w:p w14:paraId="331EB9B5" w14:textId="77777777" w:rsidR="008C5CFA" w:rsidRPr="00601E29" w:rsidRDefault="008C5CFA" w:rsidP="00300A01">
            <w:pPr>
              <w:spacing w:before="0" w:after="0"/>
              <w:jc w:val="right"/>
              <w:rPr>
                <w:sz w:val="10"/>
                <w:szCs w:val="10"/>
                <w:lang w:val="fr-BE"/>
              </w:rPr>
            </w:pPr>
          </w:p>
        </w:tc>
        <w:tc>
          <w:tcPr>
            <w:tcW w:w="0" w:type="auto"/>
            <w:shd w:val="clear" w:color="auto" w:fill="auto"/>
          </w:tcPr>
          <w:p w14:paraId="3CC7254D" w14:textId="77777777" w:rsidR="008C5CFA" w:rsidRPr="00601E29" w:rsidRDefault="008C5CFA" w:rsidP="00300A01">
            <w:pPr>
              <w:spacing w:before="0" w:after="0"/>
              <w:jc w:val="right"/>
              <w:rPr>
                <w:sz w:val="10"/>
                <w:szCs w:val="10"/>
                <w:lang w:val="fr-BE"/>
              </w:rPr>
            </w:pPr>
          </w:p>
        </w:tc>
        <w:tc>
          <w:tcPr>
            <w:tcW w:w="0" w:type="auto"/>
            <w:shd w:val="clear" w:color="auto" w:fill="auto"/>
          </w:tcPr>
          <w:p w14:paraId="3EEEDEED" w14:textId="77777777" w:rsidR="008C5CFA" w:rsidRPr="00601E29" w:rsidRDefault="00E82A60" w:rsidP="00300A01">
            <w:pPr>
              <w:spacing w:before="0" w:after="0"/>
              <w:jc w:val="right"/>
              <w:rPr>
                <w:sz w:val="10"/>
                <w:szCs w:val="10"/>
                <w:lang w:val="fr-BE"/>
              </w:rPr>
            </w:pPr>
            <w:r>
              <w:rPr>
                <w:noProof/>
                <w:sz w:val="10"/>
                <w:szCs w:val="10"/>
                <w:lang w:val="fr-BE"/>
              </w:rPr>
              <w:t>1,39</w:t>
            </w:r>
          </w:p>
        </w:tc>
        <w:tc>
          <w:tcPr>
            <w:tcW w:w="0" w:type="auto"/>
            <w:shd w:val="clear" w:color="auto" w:fill="auto"/>
          </w:tcPr>
          <w:p w14:paraId="6CEB0FC6" w14:textId="77777777" w:rsidR="008C5CFA" w:rsidRPr="00601E29" w:rsidRDefault="008C5CFA" w:rsidP="00300A01">
            <w:pPr>
              <w:spacing w:before="0" w:after="0"/>
              <w:jc w:val="right"/>
              <w:rPr>
                <w:sz w:val="10"/>
                <w:szCs w:val="10"/>
                <w:lang w:val="fr-BE"/>
              </w:rPr>
            </w:pPr>
          </w:p>
        </w:tc>
        <w:tc>
          <w:tcPr>
            <w:tcW w:w="0" w:type="auto"/>
            <w:shd w:val="clear" w:color="auto" w:fill="auto"/>
          </w:tcPr>
          <w:p w14:paraId="10C90B6E" w14:textId="77777777" w:rsidR="008C5CFA" w:rsidRPr="00601E29" w:rsidRDefault="008C5CFA" w:rsidP="00300A01">
            <w:pPr>
              <w:spacing w:before="0" w:after="0"/>
              <w:jc w:val="right"/>
              <w:rPr>
                <w:sz w:val="10"/>
                <w:szCs w:val="10"/>
                <w:lang w:val="fr-BE"/>
              </w:rPr>
            </w:pPr>
          </w:p>
        </w:tc>
        <w:tc>
          <w:tcPr>
            <w:tcW w:w="0" w:type="auto"/>
            <w:shd w:val="clear" w:color="auto" w:fill="auto"/>
          </w:tcPr>
          <w:p w14:paraId="0BC82F0A" w14:textId="77777777" w:rsidR="008C5CFA" w:rsidRPr="00601E29" w:rsidRDefault="00E82A60" w:rsidP="00300A01">
            <w:pPr>
              <w:spacing w:before="0" w:after="0"/>
              <w:jc w:val="right"/>
              <w:rPr>
                <w:sz w:val="10"/>
                <w:szCs w:val="10"/>
                <w:lang w:val="fr-BE"/>
              </w:rPr>
            </w:pPr>
            <w:r w:rsidRPr="00601E29">
              <w:rPr>
                <w:noProof/>
                <w:sz w:val="10"/>
                <w:szCs w:val="10"/>
                <w:lang w:val="fr-BE"/>
              </w:rPr>
              <w:t>799,00</w:t>
            </w:r>
          </w:p>
        </w:tc>
        <w:tc>
          <w:tcPr>
            <w:tcW w:w="0" w:type="auto"/>
            <w:shd w:val="clear" w:color="auto" w:fill="auto"/>
          </w:tcPr>
          <w:p w14:paraId="19C14F54"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shd w:val="clear" w:color="auto" w:fill="auto"/>
          </w:tcPr>
          <w:p w14:paraId="280D01F0"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1610256A" w14:textId="77777777" w:rsidR="008C5CFA" w:rsidRPr="00601E29" w:rsidRDefault="00E82A60" w:rsidP="00300A01">
            <w:pPr>
              <w:spacing w:before="0" w:after="0"/>
              <w:jc w:val="right"/>
              <w:rPr>
                <w:sz w:val="10"/>
                <w:szCs w:val="10"/>
                <w:lang w:val="fr-BE"/>
              </w:rPr>
            </w:pPr>
            <w:r w:rsidRPr="00601E29">
              <w:rPr>
                <w:noProof/>
                <w:sz w:val="10"/>
                <w:szCs w:val="10"/>
                <w:lang w:val="fr-BE"/>
              </w:rPr>
              <w:t>487,00</w:t>
            </w:r>
          </w:p>
        </w:tc>
        <w:tc>
          <w:tcPr>
            <w:tcW w:w="0" w:type="auto"/>
            <w:shd w:val="clear" w:color="auto" w:fill="auto"/>
          </w:tcPr>
          <w:p w14:paraId="04780317"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shd w:val="clear" w:color="auto" w:fill="auto"/>
          </w:tcPr>
          <w:p w14:paraId="0B1B49F2"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30F0926C" w14:textId="77777777" w:rsidR="008C5CFA" w:rsidRPr="00601E29" w:rsidRDefault="008C5CFA" w:rsidP="00300A01">
            <w:pPr>
              <w:spacing w:before="0" w:after="0"/>
              <w:jc w:val="right"/>
              <w:rPr>
                <w:sz w:val="10"/>
                <w:szCs w:val="10"/>
                <w:lang w:val="fr-BE"/>
              </w:rPr>
            </w:pPr>
          </w:p>
        </w:tc>
      </w:tr>
      <w:tr w:rsidR="006B2EC1" w14:paraId="3AF200ED" w14:textId="77777777" w:rsidTr="0047688D">
        <w:tc>
          <w:tcPr>
            <w:tcW w:w="0" w:type="auto"/>
            <w:shd w:val="clear" w:color="auto" w:fill="auto"/>
          </w:tcPr>
          <w:p w14:paraId="35F5A73F" w14:textId="77777777" w:rsidR="008C5CFA" w:rsidRPr="00601E29" w:rsidRDefault="00E82A60" w:rsidP="00300A01">
            <w:pPr>
              <w:spacing w:before="0" w:after="0"/>
              <w:rPr>
                <w:sz w:val="10"/>
                <w:szCs w:val="10"/>
                <w:lang w:val="fr-BE"/>
              </w:rPr>
            </w:pPr>
            <w:r w:rsidRPr="00601E29">
              <w:rPr>
                <w:noProof/>
                <w:sz w:val="10"/>
                <w:szCs w:val="10"/>
                <w:lang w:val="fr-BE"/>
              </w:rPr>
              <w:t>026</w:t>
            </w:r>
          </w:p>
        </w:tc>
        <w:tc>
          <w:tcPr>
            <w:tcW w:w="0" w:type="auto"/>
            <w:shd w:val="clear" w:color="auto" w:fill="auto"/>
          </w:tcPr>
          <w:p w14:paraId="2C1DE52B" w14:textId="77777777" w:rsidR="008C5CFA" w:rsidRPr="00601E29" w:rsidRDefault="00E82A60" w:rsidP="00300A01">
            <w:pPr>
              <w:spacing w:before="0" w:after="0"/>
              <w:rPr>
                <w:sz w:val="10"/>
                <w:szCs w:val="10"/>
                <w:lang w:val="fr-BE"/>
              </w:rPr>
            </w:pPr>
            <w:r w:rsidRPr="00601E29">
              <w:rPr>
                <w:noProof/>
                <w:sz w:val="10"/>
                <w:szCs w:val="10"/>
                <w:lang w:val="fr-BE"/>
              </w:rPr>
              <w:t>Liczba osób, które uzyskały kwalifikacje lub nabyły kompetencje po opuszczeniu programu</w:t>
            </w:r>
          </w:p>
        </w:tc>
        <w:tc>
          <w:tcPr>
            <w:tcW w:w="0" w:type="auto"/>
            <w:shd w:val="clear" w:color="auto" w:fill="auto"/>
          </w:tcPr>
          <w:p w14:paraId="11ED6ED4" w14:textId="77777777" w:rsidR="008C5CFA" w:rsidRPr="00601E29" w:rsidRDefault="00E82A60" w:rsidP="00300A01">
            <w:pPr>
              <w:spacing w:before="0" w:after="0"/>
              <w:rPr>
                <w:sz w:val="10"/>
                <w:szCs w:val="10"/>
                <w:lang w:val="fr-BE"/>
              </w:rPr>
            </w:pPr>
            <w:r w:rsidRPr="00601E29">
              <w:rPr>
                <w:noProof/>
                <w:sz w:val="10"/>
                <w:szCs w:val="10"/>
                <w:lang w:val="fr-BE"/>
              </w:rPr>
              <w:t>Słabiej rozwinięte</w:t>
            </w:r>
          </w:p>
        </w:tc>
        <w:tc>
          <w:tcPr>
            <w:tcW w:w="0" w:type="auto"/>
            <w:shd w:val="clear" w:color="auto" w:fill="auto"/>
          </w:tcPr>
          <w:p w14:paraId="5CC16413" w14:textId="77777777" w:rsidR="008C5CFA" w:rsidRPr="00601E29" w:rsidRDefault="00E82A60" w:rsidP="00300A01">
            <w:pPr>
              <w:spacing w:before="0" w:after="0"/>
              <w:rPr>
                <w:sz w:val="10"/>
                <w:szCs w:val="10"/>
                <w:lang w:val="fr-BE"/>
              </w:rPr>
            </w:pPr>
            <w:r w:rsidRPr="00785F4A">
              <w:rPr>
                <w:noProof/>
                <w:sz w:val="10"/>
                <w:szCs w:val="10"/>
                <w:lang w:val="fr-BE"/>
              </w:rPr>
              <w:t>Liczba</w:t>
            </w:r>
            <w:r w:rsidR="00CE4603">
              <w:rPr>
                <w:sz w:val="10"/>
                <w:szCs w:val="10"/>
                <w:lang w:val="fr-BE"/>
              </w:rPr>
              <w:t xml:space="preserve"> </w:t>
            </w:r>
            <w:r w:rsidR="00CE4603">
              <w:rPr>
                <w:noProof/>
                <w:sz w:val="10"/>
                <w:szCs w:val="10"/>
                <w:lang w:val="fr-BE"/>
              </w:rPr>
              <w:t>(osoba)</w:t>
            </w:r>
          </w:p>
        </w:tc>
        <w:tc>
          <w:tcPr>
            <w:tcW w:w="0" w:type="auto"/>
            <w:shd w:val="clear" w:color="auto" w:fill="auto"/>
          </w:tcPr>
          <w:p w14:paraId="02291B6D" w14:textId="77777777" w:rsidR="008C5CFA" w:rsidRPr="00601E29" w:rsidRDefault="00E82A60" w:rsidP="00300A01">
            <w:pPr>
              <w:spacing w:before="0" w:after="0"/>
              <w:rPr>
                <w:sz w:val="10"/>
                <w:szCs w:val="10"/>
                <w:lang w:val="fr-BE"/>
              </w:rPr>
            </w:pPr>
            <w:r w:rsidRPr="00601E29">
              <w:rPr>
                <w:noProof/>
                <w:sz w:val="10"/>
                <w:szCs w:val="10"/>
                <w:lang w:val="fr-BE"/>
              </w:rPr>
              <w:t>CO05</w:t>
            </w:r>
            <w:r w:rsidRPr="00601E29">
              <w:rPr>
                <w:sz w:val="10"/>
                <w:szCs w:val="10"/>
                <w:lang w:val="fr-BE"/>
              </w:rPr>
              <w:t xml:space="preserve"> </w:t>
            </w:r>
            <w:r w:rsidRPr="00601E29">
              <w:rPr>
                <w:noProof/>
                <w:sz w:val="10"/>
                <w:szCs w:val="10"/>
                <w:lang w:val="fr-BE"/>
              </w:rPr>
              <w:t>osoby pracujące, łącznie z prowadzącymi działalność na własny rachunek</w:t>
            </w:r>
          </w:p>
        </w:tc>
        <w:tc>
          <w:tcPr>
            <w:tcW w:w="0" w:type="auto"/>
            <w:shd w:val="clear" w:color="auto" w:fill="auto"/>
          </w:tcPr>
          <w:p w14:paraId="7E0DD4FF" w14:textId="77777777" w:rsidR="008C5CFA" w:rsidRPr="00601E29" w:rsidRDefault="00E82A60" w:rsidP="00300A01">
            <w:pPr>
              <w:spacing w:before="0" w:after="0"/>
              <w:jc w:val="center"/>
              <w:rPr>
                <w:sz w:val="10"/>
                <w:szCs w:val="10"/>
                <w:lang w:val="fr-BE"/>
              </w:rPr>
            </w:pPr>
            <w:r w:rsidRPr="00601E29">
              <w:rPr>
                <w:noProof/>
                <w:sz w:val="10"/>
                <w:szCs w:val="10"/>
                <w:lang w:val="fr-BE"/>
              </w:rPr>
              <w:t>Współczynnik</w:t>
            </w:r>
          </w:p>
        </w:tc>
        <w:tc>
          <w:tcPr>
            <w:tcW w:w="0" w:type="auto"/>
            <w:shd w:val="clear" w:color="auto" w:fill="auto"/>
          </w:tcPr>
          <w:p w14:paraId="73B147E0" w14:textId="77777777" w:rsidR="008C5CFA" w:rsidRPr="00601E29" w:rsidRDefault="00E82A60" w:rsidP="00300A01">
            <w:pPr>
              <w:spacing w:before="0" w:after="0"/>
              <w:jc w:val="right"/>
              <w:rPr>
                <w:sz w:val="10"/>
                <w:szCs w:val="10"/>
                <w:lang w:val="fr-BE"/>
              </w:rPr>
            </w:pPr>
            <w:r w:rsidRPr="00601E29">
              <w:rPr>
                <w:noProof/>
                <w:sz w:val="10"/>
                <w:szCs w:val="10"/>
                <w:lang w:val="fr-BE"/>
              </w:rPr>
              <w:t>80,00</w:t>
            </w:r>
            <w:r>
              <w:rPr>
                <w:noProof/>
                <w:sz w:val="10"/>
                <w:szCs w:val="10"/>
                <w:lang w:val="fr-BE"/>
              </w:rPr>
              <w:t>%</w:t>
            </w:r>
          </w:p>
        </w:tc>
        <w:tc>
          <w:tcPr>
            <w:tcW w:w="0" w:type="auto"/>
            <w:shd w:val="clear" w:color="auto" w:fill="auto"/>
          </w:tcPr>
          <w:p w14:paraId="731F5C46" w14:textId="77777777" w:rsidR="008C5CFA" w:rsidRPr="00601E29" w:rsidRDefault="008C5CFA" w:rsidP="00300A01">
            <w:pPr>
              <w:spacing w:before="0" w:after="0"/>
              <w:jc w:val="right"/>
              <w:rPr>
                <w:sz w:val="10"/>
                <w:szCs w:val="10"/>
                <w:lang w:val="fr-BE"/>
              </w:rPr>
            </w:pPr>
          </w:p>
        </w:tc>
        <w:tc>
          <w:tcPr>
            <w:tcW w:w="0" w:type="auto"/>
            <w:shd w:val="clear" w:color="auto" w:fill="auto"/>
          </w:tcPr>
          <w:p w14:paraId="1523EC08" w14:textId="77777777" w:rsidR="008C5CFA" w:rsidRPr="00601E29" w:rsidRDefault="008C5CFA" w:rsidP="00300A01">
            <w:pPr>
              <w:spacing w:before="0" w:after="0"/>
              <w:jc w:val="right"/>
              <w:rPr>
                <w:sz w:val="10"/>
                <w:szCs w:val="10"/>
                <w:lang w:val="fr-BE"/>
              </w:rPr>
            </w:pPr>
          </w:p>
        </w:tc>
        <w:tc>
          <w:tcPr>
            <w:tcW w:w="0" w:type="auto"/>
            <w:shd w:val="clear" w:color="auto" w:fill="auto"/>
          </w:tcPr>
          <w:p w14:paraId="1E22B976" w14:textId="77777777" w:rsidR="008C5CFA" w:rsidRPr="00601E29" w:rsidRDefault="00E82A60" w:rsidP="00300A01">
            <w:pPr>
              <w:spacing w:before="0" w:after="0"/>
              <w:jc w:val="right"/>
              <w:rPr>
                <w:sz w:val="10"/>
                <w:szCs w:val="10"/>
                <w:lang w:val="fr-BE"/>
              </w:rPr>
            </w:pPr>
            <w:r>
              <w:rPr>
                <w:noProof/>
                <w:sz w:val="10"/>
                <w:szCs w:val="10"/>
                <w:lang w:val="fr-BE"/>
              </w:rPr>
              <w:t>0,68</w:t>
            </w:r>
          </w:p>
        </w:tc>
        <w:tc>
          <w:tcPr>
            <w:tcW w:w="0" w:type="auto"/>
            <w:shd w:val="clear" w:color="auto" w:fill="auto"/>
          </w:tcPr>
          <w:p w14:paraId="3531B371" w14:textId="77777777" w:rsidR="008C5CFA" w:rsidRPr="00601E29" w:rsidRDefault="008C5CFA" w:rsidP="00300A01">
            <w:pPr>
              <w:spacing w:before="0" w:after="0"/>
              <w:jc w:val="right"/>
              <w:rPr>
                <w:sz w:val="10"/>
                <w:szCs w:val="10"/>
                <w:lang w:val="fr-BE"/>
              </w:rPr>
            </w:pPr>
          </w:p>
        </w:tc>
        <w:tc>
          <w:tcPr>
            <w:tcW w:w="0" w:type="auto"/>
            <w:shd w:val="clear" w:color="auto" w:fill="auto"/>
          </w:tcPr>
          <w:p w14:paraId="4EBDCC25" w14:textId="77777777" w:rsidR="008C5CFA" w:rsidRPr="00601E29" w:rsidRDefault="008C5CFA" w:rsidP="00300A01">
            <w:pPr>
              <w:spacing w:before="0" w:after="0"/>
              <w:jc w:val="right"/>
              <w:rPr>
                <w:sz w:val="10"/>
                <w:szCs w:val="10"/>
                <w:lang w:val="fr-BE"/>
              </w:rPr>
            </w:pPr>
          </w:p>
        </w:tc>
        <w:tc>
          <w:tcPr>
            <w:tcW w:w="0" w:type="auto"/>
            <w:shd w:val="clear" w:color="auto" w:fill="auto"/>
          </w:tcPr>
          <w:p w14:paraId="624D75F7" w14:textId="77777777" w:rsidR="008C5CFA" w:rsidRPr="00601E29" w:rsidRDefault="00E82A60" w:rsidP="00300A01">
            <w:pPr>
              <w:spacing w:before="0" w:after="0"/>
              <w:jc w:val="right"/>
              <w:rPr>
                <w:sz w:val="10"/>
                <w:szCs w:val="10"/>
                <w:lang w:val="fr-BE"/>
              </w:rPr>
            </w:pPr>
            <w:r w:rsidRPr="00601E29">
              <w:rPr>
                <w:noProof/>
                <w:sz w:val="10"/>
                <w:szCs w:val="10"/>
                <w:lang w:val="fr-BE"/>
              </w:rPr>
              <w:t>1 956,00</w:t>
            </w:r>
          </w:p>
        </w:tc>
        <w:tc>
          <w:tcPr>
            <w:tcW w:w="0" w:type="auto"/>
            <w:shd w:val="clear" w:color="auto" w:fill="auto"/>
          </w:tcPr>
          <w:p w14:paraId="50B36C5B"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shd w:val="clear" w:color="auto" w:fill="auto"/>
          </w:tcPr>
          <w:p w14:paraId="0E50C0EB"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4B05B363" w14:textId="77777777" w:rsidR="008C5CFA" w:rsidRPr="00601E29" w:rsidRDefault="00E82A60" w:rsidP="00300A01">
            <w:pPr>
              <w:spacing w:before="0" w:after="0"/>
              <w:jc w:val="right"/>
              <w:rPr>
                <w:sz w:val="10"/>
                <w:szCs w:val="10"/>
                <w:lang w:val="fr-BE"/>
              </w:rPr>
            </w:pPr>
            <w:r w:rsidRPr="00601E29">
              <w:rPr>
                <w:noProof/>
                <w:sz w:val="10"/>
                <w:szCs w:val="10"/>
                <w:lang w:val="fr-BE"/>
              </w:rPr>
              <w:t>1 105,00</w:t>
            </w:r>
          </w:p>
        </w:tc>
        <w:tc>
          <w:tcPr>
            <w:tcW w:w="0" w:type="auto"/>
            <w:shd w:val="clear" w:color="auto" w:fill="auto"/>
          </w:tcPr>
          <w:p w14:paraId="34BFC9C3"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shd w:val="clear" w:color="auto" w:fill="auto"/>
          </w:tcPr>
          <w:p w14:paraId="3CAC0DCA"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2F99D0F5" w14:textId="77777777" w:rsidR="008C5CFA" w:rsidRPr="00601E29" w:rsidRDefault="008C5CFA" w:rsidP="00300A01">
            <w:pPr>
              <w:spacing w:before="0" w:after="0"/>
              <w:jc w:val="right"/>
              <w:rPr>
                <w:sz w:val="10"/>
                <w:szCs w:val="10"/>
                <w:lang w:val="fr-BE"/>
              </w:rPr>
            </w:pPr>
          </w:p>
        </w:tc>
      </w:tr>
    </w:tbl>
    <w:p w14:paraId="711A473B"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87"/>
        <w:gridCol w:w="6230"/>
        <w:gridCol w:w="975"/>
        <w:gridCol w:w="488"/>
        <w:gridCol w:w="615"/>
        <w:gridCol w:w="494"/>
        <w:gridCol w:w="488"/>
        <w:gridCol w:w="615"/>
        <w:gridCol w:w="494"/>
        <w:gridCol w:w="652"/>
        <w:gridCol w:w="488"/>
        <w:gridCol w:w="615"/>
        <w:gridCol w:w="494"/>
        <w:gridCol w:w="488"/>
        <w:gridCol w:w="615"/>
        <w:gridCol w:w="494"/>
        <w:gridCol w:w="652"/>
      </w:tblGrid>
      <w:tr w:rsidR="006B2EC1" w14:paraId="0A7A9D41" w14:textId="77777777" w:rsidTr="0047688D">
        <w:trPr>
          <w:tblHeader/>
        </w:trPr>
        <w:tc>
          <w:tcPr>
            <w:tcW w:w="0" w:type="auto"/>
            <w:shd w:val="clear" w:color="auto" w:fill="auto"/>
          </w:tcPr>
          <w:p w14:paraId="182B990C" w14:textId="77777777" w:rsidR="008C5CFA" w:rsidRPr="00601E29" w:rsidRDefault="00E82A60" w:rsidP="00300A01">
            <w:pPr>
              <w:spacing w:before="0" w:after="0"/>
              <w:rPr>
                <w:b/>
                <w:sz w:val="10"/>
                <w:szCs w:val="10"/>
                <w:lang w:val="fr-BE"/>
              </w:rPr>
            </w:pPr>
            <w:r w:rsidRPr="00601E29">
              <w:rPr>
                <w:b/>
                <w:noProof/>
                <w:sz w:val="10"/>
                <w:szCs w:val="10"/>
                <w:lang w:val="fr-BE"/>
              </w:rPr>
              <w:t>ID</w:t>
            </w:r>
          </w:p>
        </w:tc>
        <w:tc>
          <w:tcPr>
            <w:tcW w:w="0" w:type="auto"/>
            <w:shd w:val="clear" w:color="auto" w:fill="auto"/>
          </w:tcPr>
          <w:p w14:paraId="5B9B2984" w14:textId="77777777" w:rsidR="008C5CFA" w:rsidRPr="00601E29" w:rsidRDefault="00E82A60" w:rsidP="00300A01">
            <w:pPr>
              <w:spacing w:before="0" w:after="0"/>
              <w:rPr>
                <w:b/>
                <w:sz w:val="10"/>
                <w:szCs w:val="10"/>
                <w:lang w:val="fr-BE"/>
              </w:rPr>
            </w:pPr>
            <w:r w:rsidRPr="00601E29">
              <w:rPr>
                <w:b/>
                <w:noProof/>
                <w:sz w:val="10"/>
                <w:szCs w:val="10"/>
                <w:lang w:val="fr-BE"/>
              </w:rPr>
              <w:t>Wskaźnik</w:t>
            </w:r>
          </w:p>
        </w:tc>
        <w:tc>
          <w:tcPr>
            <w:tcW w:w="0" w:type="auto"/>
            <w:shd w:val="clear" w:color="auto" w:fill="auto"/>
          </w:tcPr>
          <w:p w14:paraId="6A9483B8" w14:textId="77777777" w:rsidR="008C5CFA" w:rsidRPr="00601E29" w:rsidRDefault="00E82A60" w:rsidP="00300A01">
            <w:pPr>
              <w:spacing w:before="0" w:after="0"/>
              <w:rPr>
                <w:b/>
                <w:sz w:val="10"/>
                <w:szCs w:val="10"/>
                <w:lang w:val="fr-BE"/>
              </w:rPr>
            </w:pPr>
            <w:r w:rsidRPr="00601E29">
              <w:rPr>
                <w:b/>
                <w:noProof/>
                <w:sz w:val="10"/>
                <w:szCs w:val="10"/>
                <w:lang w:val="fr-BE"/>
              </w:rPr>
              <w:t>Kategoria regionu</w:t>
            </w:r>
          </w:p>
        </w:tc>
        <w:tc>
          <w:tcPr>
            <w:tcW w:w="0" w:type="auto"/>
            <w:gridSpan w:val="7"/>
          </w:tcPr>
          <w:p w14:paraId="5E8E10B8" w14:textId="77777777" w:rsidR="008C5CFA" w:rsidRPr="00601E29" w:rsidRDefault="00E82A60" w:rsidP="00300A01">
            <w:pPr>
              <w:spacing w:before="0" w:after="0"/>
              <w:jc w:val="center"/>
              <w:rPr>
                <w:b/>
                <w:sz w:val="10"/>
                <w:szCs w:val="10"/>
                <w:lang w:val="fr-BE"/>
              </w:rPr>
            </w:pPr>
            <w:r>
              <w:rPr>
                <w:b/>
                <w:sz w:val="10"/>
                <w:szCs w:val="10"/>
                <w:lang w:val="fr-BE"/>
              </w:rPr>
              <w:t>2018</w:t>
            </w:r>
          </w:p>
        </w:tc>
        <w:tc>
          <w:tcPr>
            <w:tcW w:w="0" w:type="auto"/>
            <w:gridSpan w:val="7"/>
          </w:tcPr>
          <w:p w14:paraId="0B244BBF" w14:textId="77777777" w:rsidR="008C5CFA" w:rsidRPr="00601E29" w:rsidRDefault="00E82A60" w:rsidP="00300A01">
            <w:pPr>
              <w:spacing w:before="0" w:after="0"/>
              <w:jc w:val="center"/>
              <w:rPr>
                <w:b/>
                <w:sz w:val="10"/>
                <w:szCs w:val="10"/>
                <w:lang w:val="fr-BE"/>
              </w:rPr>
            </w:pPr>
            <w:r>
              <w:rPr>
                <w:b/>
                <w:sz w:val="10"/>
                <w:szCs w:val="10"/>
                <w:lang w:val="fr-BE"/>
              </w:rPr>
              <w:t>2017</w:t>
            </w:r>
          </w:p>
        </w:tc>
      </w:tr>
      <w:tr w:rsidR="006B2EC1" w14:paraId="5E159E49" w14:textId="77777777" w:rsidTr="0047688D">
        <w:trPr>
          <w:tblHeader/>
        </w:trPr>
        <w:tc>
          <w:tcPr>
            <w:tcW w:w="0" w:type="auto"/>
            <w:shd w:val="clear" w:color="auto" w:fill="auto"/>
          </w:tcPr>
          <w:p w14:paraId="1CEF894D" w14:textId="77777777" w:rsidR="008C5CFA" w:rsidRPr="00601E29" w:rsidRDefault="008C5CFA" w:rsidP="00300A01">
            <w:pPr>
              <w:spacing w:before="0" w:after="0"/>
              <w:rPr>
                <w:b/>
                <w:sz w:val="10"/>
                <w:szCs w:val="10"/>
                <w:lang w:val="fr-BE"/>
              </w:rPr>
            </w:pPr>
          </w:p>
        </w:tc>
        <w:tc>
          <w:tcPr>
            <w:tcW w:w="0" w:type="auto"/>
            <w:shd w:val="clear" w:color="auto" w:fill="auto"/>
          </w:tcPr>
          <w:p w14:paraId="2C731BC7" w14:textId="77777777" w:rsidR="008C5CFA" w:rsidRPr="00601E29" w:rsidRDefault="008C5CFA" w:rsidP="00300A01">
            <w:pPr>
              <w:spacing w:before="0" w:after="0"/>
              <w:rPr>
                <w:b/>
                <w:sz w:val="10"/>
                <w:szCs w:val="10"/>
                <w:lang w:val="fr-BE"/>
              </w:rPr>
            </w:pPr>
          </w:p>
        </w:tc>
        <w:tc>
          <w:tcPr>
            <w:tcW w:w="0" w:type="auto"/>
            <w:shd w:val="clear" w:color="auto" w:fill="auto"/>
          </w:tcPr>
          <w:p w14:paraId="56FD5BBC" w14:textId="77777777" w:rsidR="008C5CFA" w:rsidRPr="00601E29" w:rsidRDefault="008C5CFA" w:rsidP="00300A01">
            <w:pPr>
              <w:spacing w:before="0" w:after="0"/>
              <w:rPr>
                <w:b/>
                <w:sz w:val="10"/>
                <w:szCs w:val="10"/>
                <w:lang w:val="fr-BE"/>
              </w:rPr>
            </w:pPr>
          </w:p>
        </w:tc>
        <w:tc>
          <w:tcPr>
            <w:tcW w:w="0" w:type="auto"/>
            <w:gridSpan w:val="3"/>
          </w:tcPr>
          <w:p w14:paraId="50B52F36" w14:textId="77777777" w:rsidR="008C5CFA" w:rsidRPr="00601E29" w:rsidRDefault="00E82A60" w:rsidP="00300A01">
            <w:pPr>
              <w:spacing w:before="0" w:after="0"/>
              <w:jc w:val="center"/>
              <w:rPr>
                <w:b/>
                <w:sz w:val="10"/>
                <w:szCs w:val="10"/>
                <w:lang w:val="fr-BE"/>
              </w:rPr>
            </w:pPr>
            <w:r w:rsidRPr="00601E29">
              <w:rPr>
                <w:b/>
                <w:noProof/>
                <w:sz w:val="10"/>
                <w:szCs w:val="10"/>
                <w:lang w:val="fr-BE"/>
              </w:rPr>
              <w:t>Łącznie</w:t>
            </w:r>
          </w:p>
        </w:tc>
        <w:tc>
          <w:tcPr>
            <w:tcW w:w="0" w:type="auto"/>
            <w:gridSpan w:val="3"/>
          </w:tcPr>
          <w:p w14:paraId="51E10461" w14:textId="77777777" w:rsidR="008C5CFA" w:rsidRPr="00601E29" w:rsidRDefault="00E82A60" w:rsidP="00300A01">
            <w:pPr>
              <w:spacing w:before="0" w:after="0"/>
              <w:jc w:val="center"/>
              <w:rPr>
                <w:b/>
                <w:sz w:val="10"/>
                <w:szCs w:val="10"/>
                <w:lang w:val="fr-BE"/>
              </w:rPr>
            </w:pPr>
            <w:r w:rsidRPr="00601E29">
              <w:rPr>
                <w:b/>
                <w:noProof/>
                <w:sz w:val="10"/>
                <w:szCs w:val="10"/>
                <w:lang w:val="fr-BE"/>
              </w:rPr>
              <w:t>Łącznie w roku</w:t>
            </w:r>
          </w:p>
        </w:tc>
        <w:tc>
          <w:tcPr>
            <w:tcW w:w="0" w:type="auto"/>
          </w:tcPr>
          <w:p w14:paraId="4071EE4E" w14:textId="77777777" w:rsidR="008C5CFA" w:rsidRPr="00601E29" w:rsidRDefault="00E82A60" w:rsidP="00300A01">
            <w:pPr>
              <w:spacing w:before="0" w:after="0"/>
              <w:jc w:val="center"/>
              <w:rPr>
                <w:b/>
                <w:sz w:val="10"/>
                <w:szCs w:val="10"/>
                <w:lang w:val="fr-BE"/>
              </w:rPr>
            </w:pPr>
            <w:r w:rsidRPr="00601E29">
              <w:rPr>
                <w:b/>
                <w:noProof/>
                <w:sz w:val="10"/>
                <w:szCs w:val="10"/>
                <w:lang w:val="fr-BE"/>
              </w:rPr>
              <w:t>Jakościowe</w:t>
            </w:r>
          </w:p>
        </w:tc>
        <w:tc>
          <w:tcPr>
            <w:tcW w:w="0" w:type="auto"/>
            <w:gridSpan w:val="3"/>
          </w:tcPr>
          <w:p w14:paraId="6DD003D8" w14:textId="77777777" w:rsidR="008C5CFA" w:rsidRPr="00601E29" w:rsidRDefault="00E82A60" w:rsidP="00300A01">
            <w:pPr>
              <w:spacing w:before="0" w:after="0"/>
              <w:jc w:val="center"/>
              <w:rPr>
                <w:b/>
                <w:sz w:val="10"/>
                <w:szCs w:val="10"/>
                <w:lang w:val="fr-BE"/>
              </w:rPr>
            </w:pPr>
            <w:r w:rsidRPr="00601E29">
              <w:rPr>
                <w:b/>
                <w:noProof/>
                <w:sz w:val="10"/>
                <w:szCs w:val="10"/>
                <w:lang w:val="fr-BE"/>
              </w:rPr>
              <w:t>Łącznie</w:t>
            </w:r>
          </w:p>
        </w:tc>
        <w:tc>
          <w:tcPr>
            <w:tcW w:w="0" w:type="auto"/>
            <w:gridSpan w:val="3"/>
          </w:tcPr>
          <w:p w14:paraId="603069AE" w14:textId="77777777" w:rsidR="008C5CFA" w:rsidRPr="00601E29" w:rsidRDefault="00E82A60" w:rsidP="00300A01">
            <w:pPr>
              <w:spacing w:before="0" w:after="0"/>
              <w:jc w:val="center"/>
              <w:rPr>
                <w:b/>
                <w:sz w:val="10"/>
                <w:szCs w:val="10"/>
                <w:lang w:val="fr-BE"/>
              </w:rPr>
            </w:pPr>
            <w:r w:rsidRPr="00601E29">
              <w:rPr>
                <w:b/>
                <w:noProof/>
                <w:sz w:val="10"/>
                <w:szCs w:val="10"/>
                <w:lang w:val="fr-BE"/>
              </w:rPr>
              <w:t>Łącznie w roku</w:t>
            </w:r>
          </w:p>
        </w:tc>
        <w:tc>
          <w:tcPr>
            <w:tcW w:w="0" w:type="auto"/>
          </w:tcPr>
          <w:p w14:paraId="3C532DED" w14:textId="77777777" w:rsidR="008C5CFA" w:rsidRPr="00601E29" w:rsidRDefault="00E82A60" w:rsidP="00300A01">
            <w:pPr>
              <w:spacing w:before="0" w:after="0"/>
              <w:jc w:val="center"/>
              <w:rPr>
                <w:b/>
                <w:sz w:val="10"/>
                <w:szCs w:val="10"/>
                <w:lang w:val="fr-BE"/>
              </w:rPr>
            </w:pPr>
            <w:r w:rsidRPr="00601E29">
              <w:rPr>
                <w:b/>
                <w:noProof/>
                <w:sz w:val="10"/>
                <w:szCs w:val="10"/>
                <w:lang w:val="fr-BE"/>
              </w:rPr>
              <w:t>Jakościowe</w:t>
            </w:r>
          </w:p>
        </w:tc>
      </w:tr>
      <w:tr w:rsidR="006B2EC1" w14:paraId="53C67EBA" w14:textId="77777777" w:rsidTr="0047688D">
        <w:trPr>
          <w:tblHeader/>
        </w:trPr>
        <w:tc>
          <w:tcPr>
            <w:tcW w:w="0" w:type="auto"/>
            <w:shd w:val="clear" w:color="auto" w:fill="auto"/>
          </w:tcPr>
          <w:p w14:paraId="7E663167" w14:textId="77777777" w:rsidR="008C5CFA" w:rsidRPr="00601E29" w:rsidRDefault="008C5CFA" w:rsidP="00300A01">
            <w:pPr>
              <w:spacing w:before="0" w:after="0"/>
              <w:rPr>
                <w:b/>
                <w:sz w:val="10"/>
                <w:szCs w:val="10"/>
                <w:lang w:val="fr-BE"/>
              </w:rPr>
            </w:pPr>
          </w:p>
        </w:tc>
        <w:tc>
          <w:tcPr>
            <w:tcW w:w="0" w:type="auto"/>
            <w:shd w:val="clear" w:color="auto" w:fill="auto"/>
          </w:tcPr>
          <w:p w14:paraId="31824949" w14:textId="77777777" w:rsidR="008C5CFA" w:rsidRPr="00601E29" w:rsidRDefault="008C5CFA" w:rsidP="00300A01">
            <w:pPr>
              <w:spacing w:before="0" w:after="0"/>
              <w:rPr>
                <w:b/>
                <w:sz w:val="10"/>
                <w:szCs w:val="10"/>
                <w:lang w:val="fr-BE"/>
              </w:rPr>
            </w:pPr>
          </w:p>
        </w:tc>
        <w:tc>
          <w:tcPr>
            <w:tcW w:w="0" w:type="auto"/>
            <w:shd w:val="clear" w:color="auto" w:fill="auto"/>
          </w:tcPr>
          <w:p w14:paraId="6E423B93" w14:textId="77777777" w:rsidR="008C5CFA" w:rsidRPr="00601E29" w:rsidRDefault="008C5CFA" w:rsidP="00300A01">
            <w:pPr>
              <w:spacing w:before="0" w:after="0"/>
              <w:rPr>
                <w:b/>
                <w:sz w:val="10"/>
                <w:szCs w:val="10"/>
                <w:lang w:val="fr-BE"/>
              </w:rPr>
            </w:pPr>
          </w:p>
        </w:tc>
        <w:tc>
          <w:tcPr>
            <w:tcW w:w="0" w:type="auto"/>
          </w:tcPr>
          <w:p w14:paraId="7DF4703B" w14:textId="77777777" w:rsidR="008C5CFA" w:rsidRPr="00601E29" w:rsidRDefault="00E82A60" w:rsidP="00300A01">
            <w:pPr>
              <w:spacing w:before="0" w:after="0"/>
              <w:jc w:val="center"/>
              <w:rPr>
                <w:b/>
                <w:sz w:val="10"/>
                <w:szCs w:val="10"/>
                <w:lang w:val="fr-BE"/>
              </w:rPr>
            </w:pPr>
            <w:r w:rsidRPr="00601E29">
              <w:rPr>
                <w:b/>
                <w:noProof/>
                <w:sz w:val="10"/>
                <w:szCs w:val="10"/>
                <w:lang w:val="fr-BE"/>
              </w:rPr>
              <w:t>Ogółem</w:t>
            </w:r>
          </w:p>
        </w:tc>
        <w:tc>
          <w:tcPr>
            <w:tcW w:w="0" w:type="auto"/>
          </w:tcPr>
          <w:p w14:paraId="25829520" w14:textId="77777777" w:rsidR="008C5CFA" w:rsidRPr="00601E29" w:rsidRDefault="00E82A60" w:rsidP="00300A01">
            <w:pPr>
              <w:spacing w:before="0" w:after="0"/>
              <w:jc w:val="center"/>
              <w:rPr>
                <w:b/>
                <w:sz w:val="10"/>
                <w:szCs w:val="10"/>
                <w:lang w:val="fr-BE"/>
              </w:rPr>
            </w:pPr>
            <w:r w:rsidRPr="00601E29">
              <w:rPr>
                <w:b/>
                <w:noProof/>
                <w:sz w:val="10"/>
                <w:szCs w:val="10"/>
                <w:lang w:val="fr-BE"/>
              </w:rPr>
              <w:t>Mężczyźni</w:t>
            </w:r>
          </w:p>
        </w:tc>
        <w:tc>
          <w:tcPr>
            <w:tcW w:w="0" w:type="auto"/>
          </w:tcPr>
          <w:p w14:paraId="1D9FB2AF" w14:textId="77777777" w:rsidR="008C5CFA" w:rsidRPr="00601E29" w:rsidRDefault="00E82A60" w:rsidP="00300A01">
            <w:pPr>
              <w:spacing w:before="0" w:after="0"/>
              <w:jc w:val="center"/>
              <w:rPr>
                <w:b/>
                <w:sz w:val="10"/>
                <w:szCs w:val="10"/>
                <w:lang w:val="fr-BE"/>
              </w:rPr>
            </w:pPr>
            <w:r w:rsidRPr="00601E29">
              <w:rPr>
                <w:b/>
                <w:noProof/>
                <w:sz w:val="10"/>
                <w:szCs w:val="10"/>
                <w:lang w:val="fr-BE"/>
              </w:rPr>
              <w:t>Kobiety</w:t>
            </w:r>
          </w:p>
        </w:tc>
        <w:tc>
          <w:tcPr>
            <w:tcW w:w="0" w:type="auto"/>
          </w:tcPr>
          <w:p w14:paraId="1296B70C" w14:textId="77777777" w:rsidR="008C5CFA" w:rsidRPr="00601E29" w:rsidRDefault="00E82A60" w:rsidP="00300A01">
            <w:pPr>
              <w:spacing w:before="0" w:after="0"/>
              <w:jc w:val="center"/>
              <w:rPr>
                <w:b/>
                <w:sz w:val="10"/>
                <w:szCs w:val="10"/>
                <w:lang w:val="fr-BE"/>
              </w:rPr>
            </w:pPr>
            <w:r w:rsidRPr="00601E29">
              <w:rPr>
                <w:b/>
                <w:noProof/>
                <w:sz w:val="10"/>
                <w:szCs w:val="10"/>
                <w:lang w:val="fr-BE"/>
              </w:rPr>
              <w:t>Ogółem</w:t>
            </w:r>
          </w:p>
        </w:tc>
        <w:tc>
          <w:tcPr>
            <w:tcW w:w="0" w:type="auto"/>
          </w:tcPr>
          <w:p w14:paraId="3AF9082C" w14:textId="77777777" w:rsidR="008C5CFA" w:rsidRPr="00601E29" w:rsidRDefault="00E82A60" w:rsidP="00300A01">
            <w:pPr>
              <w:spacing w:before="0" w:after="0"/>
              <w:jc w:val="center"/>
              <w:rPr>
                <w:b/>
                <w:sz w:val="10"/>
                <w:szCs w:val="10"/>
                <w:lang w:val="fr-BE"/>
              </w:rPr>
            </w:pPr>
            <w:r w:rsidRPr="00601E29">
              <w:rPr>
                <w:b/>
                <w:noProof/>
                <w:sz w:val="10"/>
                <w:szCs w:val="10"/>
                <w:lang w:val="fr-BE"/>
              </w:rPr>
              <w:t>Mężczyźni</w:t>
            </w:r>
          </w:p>
        </w:tc>
        <w:tc>
          <w:tcPr>
            <w:tcW w:w="0" w:type="auto"/>
          </w:tcPr>
          <w:p w14:paraId="7EBB5E64" w14:textId="77777777" w:rsidR="008C5CFA" w:rsidRPr="00601E29" w:rsidRDefault="00E82A60" w:rsidP="00300A01">
            <w:pPr>
              <w:spacing w:before="0" w:after="0"/>
              <w:jc w:val="center"/>
              <w:rPr>
                <w:b/>
                <w:sz w:val="10"/>
                <w:szCs w:val="10"/>
                <w:lang w:val="fr-BE"/>
              </w:rPr>
            </w:pPr>
            <w:r w:rsidRPr="00601E29">
              <w:rPr>
                <w:b/>
                <w:noProof/>
                <w:sz w:val="10"/>
                <w:szCs w:val="10"/>
                <w:lang w:val="fr-BE"/>
              </w:rPr>
              <w:t>Kobiety</w:t>
            </w:r>
          </w:p>
        </w:tc>
        <w:tc>
          <w:tcPr>
            <w:tcW w:w="0" w:type="auto"/>
          </w:tcPr>
          <w:p w14:paraId="75211D6F" w14:textId="77777777" w:rsidR="008C5CFA" w:rsidRPr="00601E29" w:rsidRDefault="008C5CFA" w:rsidP="00300A01">
            <w:pPr>
              <w:spacing w:before="0" w:after="0"/>
              <w:jc w:val="center"/>
              <w:rPr>
                <w:b/>
                <w:sz w:val="10"/>
                <w:szCs w:val="10"/>
                <w:lang w:val="fr-BE"/>
              </w:rPr>
            </w:pPr>
          </w:p>
        </w:tc>
        <w:tc>
          <w:tcPr>
            <w:tcW w:w="0" w:type="auto"/>
          </w:tcPr>
          <w:p w14:paraId="127315F3" w14:textId="77777777" w:rsidR="008C5CFA" w:rsidRPr="00601E29" w:rsidRDefault="00E82A60" w:rsidP="00300A01">
            <w:pPr>
              <w:spacing w:before="0" w:after="0"/>
              <w:jc w:val="center"/>
              <w:rPr>
                <w:b/>
                <w:sz w:val="10"/>
                <w:szCs w:val="10"/>
                <w:lang w:val="fr-BE"/>
              </w:rPr>
            </w:pPr>
            <w:r w:rsidRPr="00601E29">
              <w:rPr>
                <w:b/>
                <w:noProof/>
                <w:sz w:val="10"/>
                <w:szCs w:val="10"/>
                <w:lang w:val="fr-BE"/>
              </w:rPr>
              <w:t>Ogółem</w:t>
            </w:r>
          </w:p>
        </w:tc>
        <w:tc>
          <w:tcPr>
            <w:tcW w:w="0" w:type="auto"/>
          </w:tcPr>
          <w:p w14:paraId="641DD109" w14:textId="77777777" w:rsidR="008C5CFA" w:rsidRPr="00601E29" w:rsidRDefault="00E82A60" w:rsidP="00300A01">
            <w:pPr>
              <w:spacing w:before="0" w:after="0"/>
              <w:jc w:val="center"/>
              <w:rPr>
                <w:b/>
                <w:sz w:val="10"/>
                <w:szCs w:val="10"/>
                <w:lang w:val="fr-BE"/>
              </w:rPr>
            </w:pPr>
            <w:r w:rsidRPr="00601E29">
              <w:rPr>
                <w:b/>
                <w:noProof/>
                <w:sz w:val="10"/>
                <w:szCs w:val="10"/>
                <w:lang w:val="fr-BE"/>
              </w:rPr>
              <w:t>Mężczyźni</w:t>
            </w:r>
          </w:p>
        </w:tc>
        <w:tc>
          <w:tcPr>
            <w:tcW w:w="0" w:type="auto"/>
          </w:tcPr>
          <w:p w14:paraId="66E9243A" w14:textId="77777777" w:rsidR="008C5CFA" w:rsidRPr="00601E29" w:rsidRDefault="00E82A60" w:rsidP="00300A01">
            <w:pPr>
              <w:spacing w:before="0" w:after="0"/>
              <w:jc w:val="center"/>
              <w:rPr>
                <w:b/>
                <w:sz w:val="10"/>
                <w:szCs w:val="10"/>
                <w:lang w:val="fr-BE"/>
              </w:rPr>
            </w:pPr>
            <w:r w:rsidRPr="00601E29">
              <w:rPr>
                <w:b/>
                <w:noProof/>
                <w:sz w:val="10"/>
                <w:szCs w:val="10"/>
                <w:lang w:val="fr-BE"/>
              </w:rPr>
              <w:t>Kobiety</w:t>
            </w:r>
          </w:p>
        </w:tc>
        <w:tc>
          <w:tcPr>
            <w:tcW w:w="0" w:type="auto"/>
          </w:tcPr>
          <w:p w14:paraId="191FBCBC" w14:textId="77777777" w:rsidR="008C5CFA" w:rsidRPr="00601E29" w:rsidRDefault="00E82A60" w:rsidP="00300A01">
            <w:pPr>
              <w:spacing w:before="0" w:after="0"/>
              <w:jc w:val="center"/>
              <w:rPr>
                <w:b/>
                <w:sz w:val="10"/>
                <w:szCs w:val="10"/>
                <w:lang w:val="fr-BE"/>
              </w:rPr>
            </w:pPr>
            <w:r w:rsidRPr="00601E29">
              <w:rPr>
                <w:b/>
                <w:noProof/>
                <w:sz w:val="10"/>
                <w:szCs w:val="10"/>
                <w:lang w:val="fr-BE"/>
              </w:rPr>
              <w:t>Ogółem</w:t>
            </w:r>
          </w:p>
        </w:tc>
        <w:tc>
          <w:tcPr>
            <w:tcW w:w="0" w:type="auto"/>
          </w:tcPr>
          <w:p w14:paraId="71982ED8" w14:textId="77777777" w:rsidR="008C5CFA" w:rsidRPr="00601E29" w:rsidRDefault="00E82A60" w:rsidP="00300A01">
            <w:pPr>
              <w:spacing w:before="0" w:after="0"/>
              <w:jc w:val="center"/>
              <w:rPr>
                <w:b/>
                <w:sz w:val="10"/>
                <w:szCs w:val="10"/>
                <w:lang w:val="fr-BE"/>
              </w:rPr>
            </w:pPr>
            <w:r w:rsidRPr="00601E29">
              <w:rPr>
                <w:b/>
                <w:noProof/>
                <w:sz w:val="10"/>
                <w:szCs w:val="10"/>
                <w:lang w:val="fr-BE"/>
              </w:rPr>
              <w:t>Mężczyźni</w:t>
            </w:r>
          </w:p>
        </w:tc>
        <w:tc>
          <w:tcPr>
            <w:tcW w:w="0" w:type="auto"/>
          </w:tcPr>
          <w:p w14:paraId="7649F74C" w14:textId="77777777" w:rsidR="008C5CFA" w:rsidRPr="00601E29" w:rsidRDefault="00E82A60" w:rsidP="00300A01">
            <w:pPr>
              <w:spacing w:before="0" w:after="0"/>
              <w:jc w:val="center"/>
              <w:rPr>
                <w:b/>
                <w:sz w:val="10"/>
                <w:szCs w:val="10"/>
                <w:lang w:val="fr-BE"/>
              </w:rPr>
            </w:pPr>
            <w:r w:rsidRPr="00601E29">
              <w:rPr>
                <w:b/>
                <w:noProof/>
                <w:sz w:val="10"/>
                <w:szCs w:val="10"/>
                <w:lang w:val="fr-BE"/>
              </w:rPr>
              <w:t>Kobiety</w:t>
            </w:r>
          </w:p>
        </w:tc>
        <w:tc>
          <w:tcPr>
            <w:tcW w:w="0" w:type="auto"/>
          </w:tcPr>
          <w:p w14:paraId="0EA10EEE" w14:textId="77777777" w:rsidR="008C5CFA" w:rsidRPr="00601E29" w:rsidRDefault="008C5CFA" w:rsidP="00300A01">
            <w:pPr>
              <w:spacing w:before="0" w:after="0"/>
              <w:jc w:val="center"/>
              <w:rPr>
                <w:b/>
                <w:sz w:val="10"/>
                <w:szCs w:val="10"/>
                <w:lang w:val="fr-BE"/>
              </w:rPr>
            </w:pPr>
          </w:p>
        </w:tc>
      </w:tr>
      <w:tr w:rsidR="006B2EC1" w14:paraId="47C422E6" w14:textId="77777777" w:rsidTr="0047688D">
        <w:tc>
          <w:tcPr>
            <w:tcW w:w="0" w:type="auto"/>
            <w:shd w:val="clear" w:color="auto" w:fill="auto"/>
          </w:tcPr>
          <w:p w14:paraId="00F87D3E" w14:textId="77777777" w:rsidR="008C5CFA" w:rsidRPr="00601E29" w:rsidRDefault="00E82A60" w:rsidP="00300A01">
            <w:pPr>
              <w:spacing w:before="0" w:after="0"/>
              <w:rPr>
                <w:sz w:val="10"/>
                <w:szCs w:val="10"/>
                <w:lang w:val="fr-BE"/>
              </w:rPr>
            </w:pPr>
            <w:r w:rsidRPr="00601E29">
              <w:rPr>
                <w:noProof/>
                <w:sz w:val="10"/>
                <w:szCs w:val="10"/>
                <w:lang w:val="fr-BE"/>
              </w:rPr>
              <w:t>121</w:t>
            </w:r>
          </w:p>
        </w:tc>
        <w:tc>
          <w:tcPr>
            <w:tcW w:w="0" w:type="auto"/>
            <w:shd w:val="clear" w:color="auto" w:fill="auto"/>
          </w:tcPr>
          <w:p w14:paraId="57E95491" w14:textId="77777777" w:rsidR="008C5CFA" w:rsidRPr="00601E29" w:rsidRDefault="00E82A60" w:rsidP="00300A01">
            <w:pPr>
              <w:spacing w:before="0" w:after="0"/>
              <w:rPr>
                <w:sz w:val="10"/>
                <w:szCs w:val="10"/>
                <w:lang w:val="fr-BE"/>
              </w:rPr>
            </w:pPr>
            <w:r w:rsidRPr="00601E29">
              <w:rPr>
                <w:noProof/>
                <w:sz w:val="10"/>
                <w:szCs w:val="10"/>
                <w:lang w:val="fr-BE"/>
              </w:rPr>
              <w:t>Liczba mikroprzedsiębiorstw oraz małych i średnich przedsiębiorstw, które zrealizowały swój cel rozwojowy dzięki udziałowi w programie</w:t>
            </w:r>
          </w:p>
        </w:tc>
        <w:tc>
          <w:tcPr>
            <w:tcW w:w="0" w:type="auto"/>
            <w:shd w:val="clear" w:color="auto" w:fill="auto"/>
          </w:tcPr>
          <w:p w14:paraId="2D5E1C7D" w14:textId="77777777" w:rsidR="008C5CFA" w:rsidRPr="00601E29" w:rsidRDefault="00E82A60" w:rsidP="00300A01">
            <w:pPr>
              <w:spacing w:before="0" w:after="0"/>
              <w:rPr>
                <w:sz w:val="10"/>
                <w:szCs w:val="10"/>
                <w:lang w:val="fr-BE"/>
              </w:rPr>
            </w:pPr>
            <w:r w:rsidRPr="00601E29">
              <w:rPr>
                <w:noProof/>
                <w:sz w:val="10"/>
                <w:szCs w:val="10"/>
                <w:lang w:val="fr-BE"/>
              </w:rPr>
              <w:t>Słabiej rozwinięte</w:t>
            </w:r>
          </w:p>
        </w:tc>
        <w:tc>
          <w:tcPr>
            <w:tcW w:w="0" w:type="auto"/>
          </w:tcPr>
          <w:p w14:paraId="0E77B63D" w14:textId="77777777" w:rsidR="008C5CFA" w:rsidRPr="00601E29" w:rsidRDefault="00E82A60" w:rsidP="00300A01">
            <w:pPr>
              <w:spacing w:before="0" w:after="0"/>
              <w:jc w:val="right"/>
              <w:rPr>
                <w:sz w:val="10"/>
                <w:szCs w:val="10"/>
                <w:lang w:val="fr-BE"/>
              </w:rPr>
            </w:pPr>
            <w:r w:rsidRPr="00601E29">
              <w:rPr>
                <w:noProof/>
                <w:sz w:val="10"/>
                <w:szCs w:val="10"/>
                <w:lang w:val="fr-BE"/>
              </w:rPr>
              <w:t>312,00</w:t>
            </w:r>
          </w:p>
        </w:tc>
        <w:tc>
          <w:tcPr>
            <w:tcW w:w="0" w:type="auto"/>
          </w:tcPr>
          <w:p w14:paraId="2196F8EF"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37D8BA32"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106BF40C" w14:textId="77777777" w:rsidR="008C5CFA" w:rsidRPr="00601E29" w:rsidRDefault="00E82A60" w:rsidP="00300A01">
            <w:pPr>
              <w:spacing w:before="0" w:after="0"/>
              <w:jc w:val="right"/>
              <w:rPr>
                <w:sz w:val="10"/>
                <w:szCs w:val="10"/>
                <w:lang w:val="fr-BE"/>
              </w:rPr>
            </w:pPr>
            <w:r w:rsidRPr="00601E29">
              <w:rPr>
                <w:noProof/>
                <w:sz w:val="10"/>
                <w:szCs w:val="10"/>
                <w:lang w:val="fr-BE"/>
              </w:rPr>
              <w:t>311,00</w:t>
            </w:r>
          </w:p>
        </w:tc>
        <w:tc>
          <w:tcPr>
            <w:tcW w:w="0" w:type="auto"/>
          </w:tcPr>
          <w:p w14:paraId="187E28B5"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3AEC7202"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1BDE90CB" w14:textId="77777777" w:rsidR="008C5CFA" w:rsidRPr="00601E29" w:rsidRDefault="008C5CFA" w:rsidP="00300A01">
            <w:pPr>
              <w:spacing w:before="0" w:after="0"/>
              <w:jc w:val="right"/>
              <w:rPr>
                <w:sz w:val="10"/>
                <w:szCs w:val="10"/>
                <w:lang w:val="fr-BE"/>
              </w:rPr>
            </w:pPr>
          </w:p>
        </w:tc>
        <w:tc>
          <w:tcPr>
            <w:tcW w:w="0" w:type="auto"/>
          </w:tcPr>
          <w:p w14:paraId="44657BF6" w14:textId="77777777" w:rsidR="008C5CFA" w:rsidRPr="00601E29" w:rsidRDefault="00E82A60" w:rsidP="00300A01">
            <w:pPr>
              <w:spacing w:before="0" w:after="0"/>
              <w:jc w:val="right"/>
              <w:rPr>
                <w:sz w:val="10"/>
                <w:szCs w:val="10"/>
                <w:lang w:val="fr-BE"/>
              </w:rPr>
            </w:pPr>
            <w:r w:rsidRPr="00601E29">
              <w:rPr>
                <w:noProof/>
                <w:sz w:val="10"/>
                <w:szCs w:val="10"/>
                <w:lang w:val="fr-BE"/>
              </w:rPr>
              <w:t>1,00</w:t>
            </w:r>
          </w:p>
        </w:tc>
        <w:tc>
          <w:tcPr>
            <w:tcW w:w="0" w:type="auto"/>
          </w:tcPr>
          <w:p w14:paraId="04515966"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3FDF470A"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73B5322E" w14:textId="77777777" w:rsidR="008C5CFA" w:rsidRPr="00601E29" w:rsidRDefault="00E82A60" w:rsidP="00300A01">
            <w:pPr>
              <w:spacing w:before="0" w:after="0"/>
              <w:jc w:val="right"/>
              <w:rPr>
                <w:sz w:val="10"/>
                <w:szCs w:val="10"/>
                <w:lang w:val="fr-BE"/>
              </w:rPr>
            </w:pPr>
            <w:r w:rsidRPr="00601E29">
              <w:rPr>
                <w:noProof/>
                <w:sz w:val="10"/>
                <w:szCs w:val="10"/>
                <w:lang w:val="fr-BE"/>
              </w:rPr>
              <w:t>1,00</w:t>
            </w:r>
          </w:p>
        </w:tc>
        <w:tc>
          <w:tcPr>
            <w:tcW w:w="0" w:type="auto"/>
          </w:tcPr>
          <w:p w14:paraId="09530FF7"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529836F1"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3480AEF1" w14:textId="77777777" w:rsidR="008C5CFA" w:rsidRPr="00601E29" w:rsidRDefault="008C5CFA" w:rsidP="00300A01">
            <w:pPr>
              <w:spacing w:before="0" w:after="0"/>
              <w:jc w:val="right"/>
              <w:rPr>
                <w:sz w:val="10"/>
                <w:szCs w:val="10"/>
                <w:lang w:val="fr-BE"/>
              </w:rPr>
            </w:pPr>
          </w:p>
        </w:tc>
      </w:tr>
      <w:tr w:rsidR="006B2EC1" w14:paraId="78C0603A" w14:textId="77777777" w:rsidTr="0047688D">
        <w:tc>
          <w:tcPr>
            <w:tcW w:w="0" w:type="auto"/>
            <w:shd w:val="clear" w:color="auto" w:fill="auto"/>
          </w:tcPr>
          <w:p w14:paraId="4A7BB91B" w14:textId="77777777" w:rsidR="008C5CFA" w:rsidRPr="00601E29" w:rsidRDefault="00E82A60" w:rsidP="00300A01">
            <w:pPr>
              <w:spacing w:before="0" w:after="0"/>
              <w:rPr>
                <w:sz w:val="10"/>
                <w:szCs w:val="10"/>
                <w:lang w:val="fr-BE"/>
              </w:rPr>
            </w:pPr>
            <w:r w:rsidRPr="00601E29">
              <w:rPr>
                <w:noProof/>
                <w:sz w:val="10"/>
                <w:szCs w:val="10"/>
                <w:lang w:val="fr-BE"/>
              </w:rPr>
              <w:t>026</w:t>
            </w:r>
          </w:p>
        </w:tc>
        <w:tc>
          <w:tcPr>
            <w:tcW w:w="0" w:type="auto"/>
            <w:shd w:val="clear" w:color="auto" w:fill="auto"/>
          </w:tcPr>
          <w:p w14:paraId="07791BB3" w14:textId="77777777" w:rsidR="008C5CFA" w:rsidRPr="00601E29" w:rsidRDefault="00E82A60" w:rsidP="00300A01">
            <w:pPr>
              <w:spacing w:before="0" w:after="0"/>
              <w:rPr>
                <w:sz w:val="10"/>
                <w:szCs w:val="10"/>
                <w:lang w:val="fr-BE"/>
              </w:rPr>
            </w:pPr>
            <w:r w:rsidRPr="00601E29">
              <w:rPr>
                <w:noProof/>
                <w:sz w:val="10"/>
                <w:szCs w:val="10"/>
                <w:lang w:val="fr-BE"/>
              </w:rPr>
              <w:t>Liczba osób, które uzyskały kwalifikacje lub nabyły kompetencje po opuszczeniu programu</w:t>
            </w:r>
          </w:p>
        </w:tc>
        <w:tc>
          <w:tcPr>
            <w:tcW w:w="0" w:type="auto"/>
            <w:shd w:val="clear" w:color="auto" w:fill="auto"/>
          </w:tcPr>
          <w:p w14:paraId="4C28622A" w14:textId="77777777" w:rsidR="008C5CFA" w:rsidRPr="00601E29" w:rsidRDefault="00E82A60" w:rsidP="00300A01">
            <w:pPr>
              <w:spacing w:before="0" w:after="0"/>
              <w:rPr>
                <w:sz w:val="10"/>
                <w:szCs w:val="10"/>
                <w:lang w:val="fr-BE"/>
              </w:rPr>
            </w:pPr>
            <w:r w:rsidRPr="00601E29">
              <w:rPr>
                <w:noProof/>
                <w:sz w:val="10"/>
                <w:szCs w:val="10"/>
                <w:lang w:val="fr-BE"/>
              </w:rPr>
              <w:t>Słabiej rozwinięte</w:t>
            </w:r>
          </w:p>
        </w:tc>
        <w:tc>
          <w:tcPr>
            <w:tcW w:w="0" w:type="auto"/>
          </w:tcPr>
          <w:p w14:paraId="444AD1AE" w14:textId="77777777" w:rsidR="008C5CFA" w:rsidRPr="00601E29" w:rsidRDefault="00E82A60" w:rsidP="00300A01">
            <w:pPr>
              <w:spacing w:before="0" w:after="0"/>
              <w:jc w:val="right"/>
              <w:rPr>
                <w:sz w:val="10"/>
                <w:szCs w:val="10"/>
                <w:lang w:val="fr-BE"/>
              </w:rPr>
            </w:pPr>
            <w:r w:rsidRPr="00601E29">
              <w:rPr>
                <w:noProof/>
                <w:sz w:val="10"/>
                <w:szCs w:val="10"/>
                <w:lang w:val="fr-BE"/>
              </w:rPr>
              <w:t>851,00</w:t>
            </w:r>
          </w:p>
        </w:tc>
        <w:tc>
          <w:tcPr>
            <w:tcW w:w="0" w:type="auto"/>
          </w:tcPr>
          <w:p w14:paraId="055AD3AF"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0877A164"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7077315F" w14:textId="77777777" w:rsidR="008C5CFA" w:rsidRPr="00601E29" w:rsidRDefault="00E82A60" w:rsidP="00300A01">
            <w:pPr>
              <w:spacing w:before="0" w:after="0"/>
              <w:jc w:val="right"/>
              <w:rPr>
                <w:sz w:val="10"/>
                <w:szCs w:val="10"/>
                <w:lang w:val="fr-BE"/>
              </w:rPr>
            </w:pPr>
            <w:r w:rsidRPr="00601E29">
              <w:rPr>
                <w:noProof/>
                <w:sz w:val="10"/>
                <w:szCs w:val="10"/>
                <w:lang w:val="fr-BE"/>
              </w:rPr>
              <w:t>850,00</w:t>
            </w:r>
          </w:p>
        </w:tc>
        <w:tc>
          <w:tcPr>
            <w:tcW w:w="0" w:type="auto"/>
          </w:tcPr>
          <w:p w14:paraId="27AE049F"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59F40C05"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027E07DE" w14:textId="77777777" w:rsidR="008C5CFA" w:rsidRPr="00601E29" w:rsidRDefault="008C5CFA" w:rsidP="00300A01">
            <w:pPr>
              <w:spacing w:before="0" w:after="0"/>
              <w:jc w:val="right"/>
              <w:rPr>
                <w:sz w:val="10"/>
                <w:szCs w:val="10"/>
                <w:lang w:val="fr-BE"/>
              </w:rPr>
            </w:pPr>
          </w:p>
        </w:tc>
        <w:tc>
          <w:tcPr>
            <w:tcW w:w="0" w:type="auto"/>
          </w:tcPr>
          <w:p w14:paraId="38008047" w14:textId="77777777" w:rsidR="008C5CFA" w:rsidRPr="00601E29" w:rsidRDefault="00E82A60" w:rsidP="00300A01">
            <w:pPr>
              <w:spacing w:before="0" w:after="0"/>
              <w:jc w:val="right"/>
              <w:rPr>
                <w:sz w:val="10"/>
                <w:szCs w:val="10"/>
                <w:lang w:val="fr-BE"/>
              </w:rPr>
            </w:pPr>
            <w:r w:rsidRPr="00601E29">
              <w:rPr>
                <w:noProof/>
                <w:sz w:val="10"/>
                <w:szCs w:val="10"/>
                <w:lang w:val="fr-BE"/>
              </w:rPr>
              <w:t>1,00</w:t>
            </w:r>
          </w:p>
        </w:tc>
        <w:tc>
          <w:tcPr>
            <w:tcW w:w="0" w:type="auto"/>
          </w:tcPr>
          <w:p w14:paraId="0645F938"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45768028"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6E1F5BD1" w14:textId="77777777" w:rsidR="008C5CFA" w:rsidRPr="00601E29" w:rsidRDefault="00E82A60" w:rsidP="00300A01">
            <w:pPr>
              <w:spacing w:before="0" w:after="0"/>
              <w:jc w:val="right"/>
              <w:rPr>
                <w:sz w:val="10"/>
                <w:szCs w:val="10"/>
                <w:lang w:val="fr-BE"/>
              </w:rPr>
            </w:pPr>
            <w:r w:rsidRPr="00601E29">
              <w:rPr>
                <w:noProof/>
                <w:sz w:val="10"/>
                <w:szCs w:val="10"/>
                <w:lang w:val="fr-BE"/>
              </w:rPr>
              <w:t>1,00</w:t>
            </w:r>
          </w:p>
        </w:tc>
        <w:tc>
          <w:tcPr>
            <w:tcW w:w="0" w:type="auto"/>
          </w:tcPr>
          <w:p w14:paraId="4412403C"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0B371970"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5BD796C8" w14:textId="77777777" w:rsidR="008C5CFA" w:rsidRPr="00601E29" w:rsidRDefault="008C5CFA" w:rsidP="00300A01">
            <w:pPr>
              <w:spacing w:before="0" w:after="0"/>
              <w:jc w:val="right"/>
              <w:rPr>
                <w:sz w:val="10"/>
                <w:szCs w:val="10"/>
                <w:lang w:val="fr-BE"/>
              </w:rPr>
            </w:pPr>
          </w:p>
        </w:tc>
      </w:tr>
    </w:tbl>
    <w:p w14:paraId="07388EA7"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87"/>
        <w:gridCol w:w="6230"/>
        <w:gridCol w:w="975"/>
        <w:gridCol w:w="488"/>
        <w:gridCol w:w="615"/>
        <w:gridCol w:w="494"/>
        <w:gridCol w:w="488"/>
        <w:gridCol w:w="615"/>
        <w:gridCol w:w="494"/>
        <w:gridCol w:w="652"/>
        <w:gridCol w:w="488"/>
        <w:gridCol w:w="615"/>
        <w:gridCol w:w="494"/>
        <w:gridCol w:w="488"/>
        <w:gridCol w:w="615"/>
        <w:gridCol w:w="494"/>
        <w:gridCol w:w="652"/>
      </w:tblGrid>
      <w:tr w:rsidR="006B2EC1" w14:paraId="32303C91" w14:textId="77777777" w:rsidTr="0047688D">
        <w:trPr>
          <w:tblHeader/>
        </w:trPr>
        <w:tc>
          <w:tcPr>
            <w:tcW w:w="0" w:type="auto"/>
            <w:shd w:val="clear" w:color="auto" w:fill="auto"/>
          </w:tcPr>
          <w:p w14:paraId="1FC560A1" w14:textId="77777777" w:rsidR="008C5CFA" w:rsidRPr="00601E29" w:rsidRDefault="00E82A60" w:rsidP="00300A01">
            <w:pPr>
              <w:spacing w:before="0" w:after="0"/>
              <w:rPr>
                <w:b/>
                <w:sz w:val="10"/>
                <w:szCs w:val="10"/>
                <w:lang w:val="fr-BE"/>
              </w:rPr>
            </w:pPr>
            <w:r w:rsidRPr="00601E29">
              <w:rPr>
                <w:b/>
                <w:noProof/>
                <w:sz w:val="10"/>
                <w:szCs w:val="10"/>
                <w:lang w:val="fr-BE"/>
              </w:rPr>
              <w:t>ID</w:t>
            </w:r>
          </w:p>
        </w:tc>
        <w:tc>
          <w:tcPr>
            <w:tcW w:w="0" w:type="auto"/>
            <w:shd w:val="clear" w:color="auto" w:fill="auto"/>
          </w:tcPr>
          <w:p w14:paraId="7218D0A9" w14:textId="77777777" w:rsidR="008C5CFA" w:rsidRPr="00601E29" w:rsidRDefault="00E82A60" w:rsidP="00300A01">
            <w:pPr>
              <w:spacing w:before="0" w:after="0"/>
              <w:rPr>
                <w:b/>
                <w:sz w:val="10"/>
                <w:szCs w:val="10"/>
                <w:lang w:val="fr-BE"/>
              </w:rPr>
            </w:pPr>
            <w:r w:rsidRPr="00601E29">
              <w:rPr>
                <w:b/>
                <w:noProof/>
                <w:sz w:val="10"/>
                <w:szCs w:val="10"/>
                <w:lang w:val="fr-BE"/>
              </w:rPr>
              <w:t>Wskaźnik</w:t>
            </w:r>
          </w:p>
        </w:tc>
        <w:tc>
          <w:tcPr>
            <w:tcW w:w="0" w:type="auto"/>
            <w:shd w:val="clear" w:color="auto" w:fill="auto"/>
          </w:tcPr>
          <w:p w14:paraId="3D09CADF" w14:textId="77777777" w:rsidR="008C5CFA" w:rsidRPr="00601E29" w:rsidRDefault="00E82A60" w:rsidP="00300A01">
            <w:pPr>
              <w:spacing w:before="0" w:after="0"/>
              <w:rPr>
                <w:b/>
                <w:sz w:val="10"/>
                <w:szCs w:val="10"/>
                <w:lang w:val="fr-BE"/>
              </w:rPr>
            </w:pPr>
            <w:r w:rsidRPr="00601E29">
              <w:rPr>
                <w:b/>
                <w:noProof/>
                <w:sz w:val="10"/>
                <w:szCs w:val="10"/>
                <w:lang w:val="fr-BE"/>
              </w:rPr>
              <w:t>Kategoria regionu</w:t>
            </w:r>
          </w:p>
        </w:tc>
        <w:tc>
          <w:tcPr>
            <w:tcW w:w="0" w:type="auto"/>
            <w:gridSpan w:val="7"/>
          </w:tcPr>
          <w:p w14:paraId="3BB8A102" w14:textId="77777777" w:rsidR="008C5CFA" w:rsidRPr="00601E29" w:rsidRDefault="00E82A60" w:rsidP="00300A01">
            <w:pPr>
              <w:spacing w:before="0" w:after="0"/>
              <w:jc w:val="center"/>
              <w:rPr>
                <w:b/>
                <w:sz w:val="10"/>
                <w:szCs w:val="10"/>
                <w:lang w:val="fr-BE"/>
              </w:rPr>
            </w:pPr>
            <w:r>
              <w:rPr>
                <w:b/>
                <w:sz w:val="10"/>
                <w:szCs w:val="10"/>
                <w:lang w:val="fr-BE"/>
              </w:rPr>
              <w:t>2016</w:t>
            </w:r>
          </w:p>
        </w:tc>
        <w:tc>
          <w:tcPr>
            <w:tcW w:w="0" w:type="auto"/>
            <w:gridSpan w:val="7"/>
          </w:tcPr>
          <w:p w14:paraId="350594F5" w14:textId="77777777" w:rsidR="008C5CFA" w:rsidRPr="00601E29" w:rsidRDefault="00E82A60" w:rsidP="00300A01">
            <w:pPr>
              <w:spacing w:before="0" w:after="0"/>
              <w:jc w:val="center"/>
              <w:rPr>
                <w:b/>
                <w:sz w:val="10"/>
                <w:szCs w:val="10"/>
                <w:lang w:val="fr-BE"/>
              </w:rPr>
            </w:pPr>
            <w:r>
              <w:rPr>
                <w:b/>
                <w:sz w:val="10"/>
                <w:szCs w:val="10"/>
                <w:lang w:val="fr-BE"/>
              </w:rPr>
              <w:t>2015</w:t>
            </w:r>
          </w:p>
        </w:tc>
      </w:tr>
      <w:tr w:rsidR="006B2EC1" w14:paraId="4FF5DD9A" w14:textId="77777777" w:rsidTr="0047688D">
        <w:trPr>
          <w:tblHeader/>
        </w:trPr>
        <w:tc>
          <w:tcPr>
            <w:tcW w:w="0" w:type="auto"/>
            <w:shd w:val="clear" w:color="auto" w:fill="auto"/>
          </w:tcPr>
          <w:p w14:paraId="7F905E0A" w14:textId="77777777" w:rsidR="008C5CFA" w:rsidRPr="00601E29" w:rsidRDefault="008C5CFA" w:rsidP="00300A01">
            <w:pPr>
              <w:spacing w:before="0" w:after="0"/>
              <w:rPr>
                <w:b/>
                <w:sz w:val="10"/>
                <w:szCs w:val="10"/>
                <w:lang w:val="fr-BE"/>
              </w:rPr>
            </w:pPr>
          </w:p>
        </w:tc>
        <w:tc>
          <w:tcPr>
            <w:tcW w:w="0" w:type="auto"/>
            <w:shd w:val="clear" w:color="auto" w:fill="auto"/>
          </w:tcPr>
          <w:p w14:paraId="60749DE4" w14:textId="77777777" w:rsidR="008C5CFA" w:rsidRPr="00601E29" w:rsidRDefault="008C5CFA" w:rsidP="00300A01">
            <w:pPr>
              <w:spacing w:before="0" w:after="0"/>
              <w:rPr>
                <w:b/>
                <w:sz w:val="10"/>
                <w:szCs w:val="10"/>
                <w:lang w:val="fr-BE"/>
              </w:rPr>
            </w:pPr>
          </w:p>
        </w:tc>
        <w:tc>
          <w:tcPr>
            <w:tcW w:w="0" w:type="auto"/>
            <w:shd w:val="clear" w:color="auto" w:fill="auto"/>
          </w:tcPr>
          <w:p w14:paraId="74DA2232" w14:textId="77777777" w:rsidR="008C5CFA" w:rsidRPr="00601E29" w:rsidRDefault="008C5CFA" w:rsidP="00300A01">
            <w:pPr>
              <w:spacing w:before="0" w:after="0"/>
              <w:rPr>
                <w:b/>
                <w:sz w:val="10"/>
                <w:szCs w:val="10"/>
                <w:lang w:val="fr-BE"/>
              </w:rPr>
            </w:pPr>
          </w:p>
        </w:tc>
        <w:tc>
          <w:tcPr>
            <w:tcW w:w="0" w:type="auto"/>
            <w:gridSpan w:val="3"/>
          </w:tcPr>
          <w:p w14:paraId="6F5EC75B" w14:textId="77777777" w:rsidR="008C5CFA" w:rsidRPr="00601E29" w:rsidRDefault="00E82A60" w:rsidP="00300A01">
            <w:pPr>
              <w:spacing w:before="0" w:after="0"/>
              <w:jc w:val="center"/>
              <w:rPr>
                <w:b/>
                <w:sz w:val="10"/>
                <w:szCs w:val="10"/>
                <w:lang w:val="fr-BE"/>
              </w:rPr>
            </w:pPr>
            <w:r w:rsidRPr="00601E29">
              <w:rPr>
                <w:b/>
                <w:noProof/>
                <w:sz w:val="10"/>
                <w:szCs w:val="10"/>
                <w:lang w:val="fr-BE"/>
              </w:rPr>
              <w:t>Łącznie</w:t>
            </w:r>
          </w:p>
        </w:tc>
        <w:tc>
          <w:tcPr>
            <w:tcW w:w="0" w:type="auto"/>
            <w:gridSpan w:val="3"/>
          </w:tcPr>
          <w:p w14:paraId="2212DD2E" w14:textId="77777777" w:rsidR="008C5CFA" w:rsidRPr="00601E29" w:rsidRDefault="00E82A60" w:rsidP="00300A01">
            <w:pPr>
              <w:spacing w:before="0" w:after="0"/>
              <w:jc w:val="center"/>
              <w:rPr>
                <w:b/>
                <w:sz w:val="10"/>
                <w:szCs w:val="10"/>
                <w:lang w:val="fr-BE"/>
              </w:rPr>
            </w:pPr>
            <w:r w:rsidRPr="00601E29">
              <w:rPr>
                <w:b/>
                <w:noProof/>
                <w:sz w:val="10"/>
                <w:szCs w:val="10"/>
                <w:lang w:val="fr-BE"/>
              </w:rPr>
              <w:t>Łącznie w roku</w:t>
            </w:r>
          </w:p>
        </w:tc>
        <w:tc>
          <w:tcPr>
            <w:tcW w:w="0" w:type="auto"/>
          </w:tcPr>
          <w:p w14:paraId="48BBEF93" w14:textId="77777777" w:rsidR="008C5CFA" w:rsidRPr="00601E29" w:rsidRDefault="00E82A60" w:rsidP="00300A01">
            <w:pPr>
              <w:spacing w:before="0" w:after="0"/>
              <w:jc w:val="center"/>
              <w:rPr>
                <w:b/>
                <w:sz w:val="10"/>
                <w:szCs w:val="10"/>
                <w:lang w:val="fr-BE"/>
              </w:rPr>
            </w:pPr>
            <w:r w:rsidRPr="00601E29">
              <w:rPr>
                <w:b/>
                <w:noProof/>
                <w:sz w:val="10"/>
                <w:szCs w:val="10"/>
                <w:lang w:val="fr-BE"/>
              </w:rPr>
              <w:t>Jakościowe</w:t>
            </w:r>
          </w:p>
        </w:tc>
        <w:tc>
          <w:tcPr>
            <w:tcW w:w="0" w:type="auto"/>
            <w:gridSpan w:val="3"/>
          </w:tcPr>
          <w:p w14:paraId="6CE2A747" w14:textId="77777777" w:rsidR="008C5CFA" w:rsidRPr="00601E29" w:rsidRDefault="00E82A60" w:rsidP="00300A01">
            <w:pPr>
              <w:spacing w:before="0" w:after="0"/>
              <w:jc w:val="center"/>
              <w:rPr>
                <w:b/>
                <w:sz w:val="10"/>
                <w:szCs w:val="10"/>
                <w:lang w:val="fr-BE"/>
              </w:rPr>
            </w:pPr>
            <w:r w:rsidRPr="00601E29">
              <w:rPr>
                <w:b/>
                <w:noProof/>
                <w:sz w:val="10"/>
                <w:szCs w:val="10"/>
                <w:lang w:val="fr-BE"/>
              </w:rPr>
              <w:t>Łącznie</w:t>
            </w:r>
          </w:p>
        </w:tc>
        <w:tc>
          <w:tcPr>
            <w:tcW w:w="0" w:type="auto"/>
            <w:gridSpan w:val="3"/>
          </w:tcPr>
          <w:p w14:paraId="4E383691" w14:textId="77777777" w:rsidR="008C5CFA" w:rsidRPr="00601E29" w:rsidRDefault="00E82A60" w:rsidP="00300A01">
            <w:pPr>
              <w:spacing w:before="0" w:after="0"/>
              <w:jc w:val="center"/>
              <w:rPr>
                <w:b/>
                <w:sz w:val="10"/>
                <w:szCs w:val="10"/>
                <w:lang w:val="fr-BE"/>
              </w:rPr>
            </w:pPr>
            <w:r w:rsidRPr="00601E29">
              <w:rPr>
                <w:b/>
                <w:noProof/>
                <w:sz w:val="10"/>
                <w:szCs w:val="10"/>
                <w:lang w:val="fr-BE"/>
              </w:rPr>
              <w:t>Łącznie w roku</w:t>
            </w:r>
          </w:p>
        </w:tc>
        <w:tc>
          <w:tcPr>
            <w:tcW w:w="0" w:type="auto"/>
          </w:tcPr>
          <w:p w14:paraId="5D92488B" w14:textId="77777777" w:rsidR="008C5CFA" w:rsidRPr="00601E29" w:rsidRDefault="00E82A60" w:rsidP="00300A01">
            <w:pPr>
              <w:spacing w:before="0" w:after="0"/>
              <w:jc w:val="center"/>
              <w:rPr>
                <w:b/>
                <w:sz w:val="10"/>
                <w:szCs w:val="10"/>
                <w:lang w:val="fr-BE"/>
              </w:rPr>
            </w:pPr>
            <w:r w:rsidRPr="00601E29">
              <w:rPr>
                <w:b/>
                <w:noProof/>
                <w:sz w:val="10"/>
                <w:szCs w:val="10"/>
                <w:lang w:val="fr-BE"/>
              </w:rPr>
              <w:t>Jakościowe</w:t>
            </w:r>
          </w:p>
        </w:tc>
      </w:tr>
      <w:tr w:rsidR="006B2EC1" w14:paraId="02BAD17C" w14:textId="77777777" w:rsidTr="0047688D">
        <w:trPr>
          <w:tblHeader/>
        </w:trPr>
        <w:tc>
          <w:tcPr>
            <w:tcW w:w="0" w:type="auto"/>
            <w:shd w:val="clear" w:color="auto" w:fill="auto"/>
          </w:tcPr>
          <w:p w14:paraId="2643465F" w14:textId="77777777" w:rsidR="008C5CFA" w:rsidRPr="00601E29" w:rsidRDefault="008C5CFA" w:rsidP="00300A01">
            <w:pPr>
              <w:spacing w:before="0" w:after="0"/>
              <w:rPr>
                <w:b/>
                <w:sz w:val="10"/>
                <w:szCs w:val="10"/>
                <w:lang w:val="fr-BE"/>
              </w:rPr>
            </w:pPr>
          </w:p>
        </w:tc>
        <w:tc>
          <w:tcPr>
            <w:tcW w:w="0" w:type="auto"/>
            <w:shd w:val="clear" w:color="auto" w:fill="auto"/>
          </w:tcPr>
          <w:p w14:paraId="7DEF73CA" w14:textId="77777777" w:rsidR="008C5CFA" w:rsidRPr="00601E29" w:rsidRDefault="008C5CFA" w:rsidP="00300A01">
            <w:pPr>
              <w:spacing w:before="0" w:after="0"/>
              <w:rPr>
                <w:b/>
                <w:sz w:val="10"/>
                <w:szCs w:val="10"/>
                <w:lang w:val="fr-BE"/>
              </w:rPr>
            </w:pPr>
          </w:p>
        </w:tc>
        <w:tc>
          <w:tcPr>
            <w:tcW w:w="0" w:type="auto"/>
            <w:shd w:val="clear" w:color="auto" w:fill="auto"/>
          </w:tcPr>
          <w:p w14:paraId="6639FEF2" w14:textId="77777777" w:rsidR="008C5CFA" w:rsidRPr="00601E29" w:rsidRDefault="008C5CFA" w:rsidP="00300A01">
            <w:pPr>
              <w:spacing w:before="0" w:after="0"/>
              <w:rPr>
                <w:b/>
                <w:sz w:val="10"/>
                <w:szCs w:val="10"/>
                <w:lang w:val="fr-BE"/>
              </w:rPr>
            </w:pPr>
          </w:p>
        </w:tc>
        <w:tc>
          <w:tcPr>
            <w:tcW w:w="0" w:type="auto"/>
          </w:tcPr>
          <w:p w14:paraId="59F67FC6" w14:textId="77777777" w:rsidR="008C5CFA" w:rsidRPr="00601E29" w:rsidRDefault="00E82A60" w:rsidP="00300A01">
            <w:pPr>
              <w:spacing w:before="0" w:after="0"/>
              <w:jc w:val="center"/>
              <w:rPr>
                <w:b/>
                <w:sz w:val="10"/>
                <w:szCs w:val="10"/>
                <w:lang w:val="fr-BE"/>
              </w:rPr>
            </w:pPr>
            <w:r w:rsidRPr="00601E29">
              <w:rPr>
                <w:b/>
                <w:noProof/>
                <w:sz w:val="10"/>
                <w:szCs w:val="10"/>
                <w:lang w:val="fr-BE"/>
              </w:rPr>
              <w:t>Ogółem</w:t>
            </w:r>
          </w:p>
        </w:tc>
        <w:tc>
          <w:tcPr>
            <w:tcW w:w="0" w:type="auto"/>
          </w:tcPr>
          <w:p w14:paraId="6090C46A" w14:textId="77777777" w:rsidR="008C5CFA" w:rsidRPr="00601E29" w:rsidRDefault="00E82A60" w:rsidP="00300A01">
            <w:pPr>
              <w:spacing w:before="0" w:after="0"/>
              <w:jc w:val="center"/>
              <w:rPr>
                <w:b/>
                <w:sz w:val="10"/>
                <w:szCs w:val="10"/>
                <w:lang w:val="fr-BE"/>
              </w:rPr>
            </w:pPr>
            <w:r w:rsidRPr="00601E29">
              <w:rPr>
                <w:b/>
                <w:noProof/>
                <w:sz w:val="10"/>
                <w:szCs w:val="10"/>
                <w:lang w:val="fr-BE"/>
              </w:rPr>
              <w:t>Mężczyźni</w:t>
            </w:r>
          </w:p>
        </w:tc>
        <w:tc>
          <w:tcPr>
            <w:tcW w:w="0" w:type="auto"/>
          </w:tcPr>
          <w:p w14:paraId="2CCC0F85" w14:textId="77777777" w:rsidR="008C5CFA" w:rsidRPr="00601E29" w:rsidRDefault="00E82A60" w:rsidP="00300A01">
            <w:pPr>
              <w:spacing w:before="0" w:after="0"/>
              <w:jc w:val="center"/>
              <w:rPr>
                <w:b/>
                <w:sz w:val="10"/>
                <w:szCs w:val="10"/>
                <w:lang w:val="fr-BE"/>
              </w:rPr>
            </w:pPr>
            <w:r w:rsidRPr="00601E29">
              <w:rPr>
                <w:b/>
                <w:noProof/>
                <w:sz w:val="10"/>
                <w:szCs w:val="10"/>
                <w:lang w:val="fr-BE"/>
              </w:rPr>
              <w:t>Kobiety</w:t>
            </w:r>
          </w:p>
        </w:tc>
        <w:tc>
          <w:tcPr>
            <w:tcW w:w="0" w:type="auto"/>
          </w:tcPr>
          <w:p w14:paraId="2B7C2235" w14:textId="77777777" w:rsidR="008C5CFA" w:rsidRPr="00601E29" w:rsidRDefault="00E82A60" w:rsidP="00300A01">
            <w:pPr>
              <w:spacing w:before="0" w:after="0"/>
              <w:jc w:val="center"/>
              <w:rPr>
                <w:b/>
                <w:sz w:val="10"/>
                <w:szCs w:val="10"/>
                <w:lang w:val="fr-BE"/>
              </w:rPr>
            </w:pPr>
            <w:r w:rsidRPr="00601E29">
              <w:rPr>
                <w:b/>
                <w:noProof/>
                <w:sz w:val="10"/>
                <w:szCs w:val="10"/>
                <w:lang w:val="fr-BE"/>
              </w:rPr>
              <w:t>Ogółem</w:t>
            </w:r>
          </w:p>
        </w:tc>
        <w:tc>
          <w:tcPr>
            <w:tcW w:w="0" w:type="auto"/>
          </w:tcPr>
          <w:p w14:paraId="54390A45" w14:textId="77777777" w:rsidR="008C5CFA" w:rsidRPr="00601E29" w:rsidRDefault="00E82A60" w:rsidP="00300A01">
            <w:pPr>
              <w:spacing w:before="0" w:after="0"/>
              <w:jc w:val="center"/>
              <w:rPr>
                <w:b/>
                <w:sz w:val="10"/>
                <w:szCs w:val="10"/>
                <w:lang w:val="fr-BE"/>
              </w:rPr>
            </w:pPr>
            <w:r w:rsidRPr="00601E29">
              <w:rPr>
                <w:b/>
                <w:noProof/>
                <w:sz w:val="10"/>
                <w:szCs w:val="10"/>
                <w:lang w:val="fr-BE"/>
              </w:rPr>
              <w:t>Mężczyźni</w:t>
            </w:r>
          </w:p>
        </w:tc>
        <w:tc>
          <w:tcPr>
            <w:tcW w:w="0" w:type="auto"/>
          </w:tcPr>
          <w:p w14:paraId="2B4BC9B1" w14:textId="77777777" w:rsidR="008C5CFA" w:rsidRPr="00601E29" w:rsidRDefault="00E82A60" w:rsidP="00300A01">
            <w:pPr>
              <w:spacing w:before="0" w:after="0"/>
              <w:jc w:val="center"/>
              <w:rPr>
                <w:b/>
                <w:sz w:val="10"/>
                <w:szCs w:val="10"/>
                <w:lang w:val="fr-BE"/>
              </w:rPr>
            </w:pPr>
            <w:r w:rsidRPr="00601E29">
              <w:rPr>
                <w:b/>
                <w:noProof/>
                <w:sz w:val="10"/>
                <w:szCs w:val="10"/>
                <w:lang w:val="fr-BE"/>
              </w:rPr>
              <w:t>Kobiety</w:t>
            </w:r>
          </w:p>
        </w:tc>
        <w:tc>
          <w:tcPr>
            <w:tcW w:w="0" w:type="auto"/>
          </w:tcPr>
          <w:p w14:paraId="15854FDD" w14:textId="77777777" w:rsidR="008C5CFA" w:rsidRPr="00601E29" w:rsidRDefault="008C5CFA" w:rsidP="00300A01">
            <w:pPr>
              <w:spacing w:before="0" w:after="0"/>
              <w:jc w:val="center"/>
              <w:rPr>
                <w:b/>
                <w:sz w:val="10"/>
                <w:szCs w:val="10"/>
                <w:lang w:val="fr-BE"/>
              </w:rPr>
            </w:pPr>
          </w:p>
        </w:tc>
        <w:tc>
          <w:tcPr>
            <w:tcW w:w="0" w:type="auto"/>
          </w:tcPr>
          <w:p w14:paraId="36558C7B" w14:textId="77777777" w:rsidR="008C5CFA" w:rsidRPr="00601E29" w:rsidRDefault="00E82A60" w:rsidP="00300A01">
            <w:pPr>
              <w:spacing w:before="0" w:after="0"/>
              <w:jc w:val="center"/>
              <w:rPr>
                <w:b/>
                <w:sz w:val="10"/>
                <w:szCs w:val="10"/>
                <w:lang w:val="fr-BE"/>
              </w:rPr>
            </w:pPr>
            <w:r w:rsidRPr="00601E29">
              <w:rPr>
                <w:b/>
                <w:noProof/>
                <w:sz w:val="10"/>
                <w:szCs w:val="10"/>
                <w:lang w:val="fr-BE"/>
              </w:rPr>
              <w:t>Ogółem</w:t>
            </w:r>
          </w:p>
        </w:tc>
        <w:tc>
          <w:tcPr>
            <w:tcW w:w="0" w:type="auto"/>
          </w:tcPr>
          <w:p w14:paraId="0AFB1132" w14:textId="77777777" w:rsidR="008C5CFA" w:rsidRPr="00601E29" w:rsidRDefault="00E82A60" w:rsidP="00300A01">
            <w:pPr>
              <w:spacing w:before="0" w:after="0"/>
              <w:jc w:val="center"/>
              <w:rPr>
                <w:b/>
                <w:sz w:val="10"/>
                <w:szCs w:val="10"/>
                <w:lang w:val="fr-BE"/>
              </w:rPr>
            </w:pPr>
            <w:r w:rsidRPr="00601E29">
              <w:rPr>
                <w:b/>
                <w:noProof/>
                <w:sz w:val="10"/>
                <w:szCs w:val="10"/>
                <w:lang w:val="fr-BE"/>
              </w:rPr>
              <w:t>Mężczyźni</w:t>
            </w:r>
          </w:p>
        </w:tc>
        <w:tc>
          <w:tcPr>
            <w:tcW w:w="0" w:type="auto"/>
          </w:tcPr>
          <w:p w14:paraId="5CCF5BB7" w14:textId="77777777" w:rsidR="008C5CFA" w:rsidRPr="00601E29" w:rsidRDefault="00E82A60" w:rsidP="00300A01">
            <w:pPr>
              <w:spacing w:before="0" w:after="0"/>
              <w:jc w:val="center"/>
              <w:rPr>
                <w:b/>
                <w:sz w:val="10"/>
                <w:szCs w:val="10"/>
                <w:lang w:val="fr-BE"/>
              </w:rPr>
            </w:pPr>
            <w:r w:rsidRPr="00601E29">
              <w:rPr>
                <w:b/>
                <w:noProof/>
                <w:sz w:val="10"/>
                <w:szCs w:val="10"/>
                <w:lang w:val="fr-BE"/>
              </w:rPr>
              <w:t>Kobiety</w:t>
            </w:r>
          </w:p>
        </w:tc>
        <w:tc>
          <w:tcPr>
            <w:tcW w:w="0" w:type="auto"/>
          </w:tcPr>
          <w:p w14:paraId="19FE704C" w14:textId="77777777" w:rsidR="008C5CFA" w:rsidRPr="00601E29" w:rsidRDefault="00E82A60" w:rsidP="00300A01">
            <w:pPr>
              <w:spacing w:before="0" w:after="0"/>
              <w:jc w:val="center"/>
              <w:rPr>
                <w:b/>
                <w:sz w:val="10"/>
                <w:szCs w:val="10"/>
                <w:lang w:val="fr-BE"/>
              </w:rPr>
            </w:pPr>
            <w:r w:rsidRPr="00601E29">
              <w:rPr>
                <w:b/>
                <w:noProof/>
                <w:sz w:val="10"/>
                <w:szCs w:val="10"/>
                <w:lang w:val="fr-BE"/>
              </w:rPr>
              <w:t>Ogółem</w:t>
            </w:r>
          </w:p>
        </w:tc>
        <w:tc>
          <w:tcPr>
            <w:tcW w:w="0" w:type="auto"/>
          </w:tcPr>
          <w:p w14:paraId="5126CDE7" w14:textId="77777777" w:rsidR="008C5CFA" w:rsidRPr="00601E29" w:rsidRDefault="00E82A60" w:rsidP="00300A01">
            <w:pPr>
              <w:spacing w:before="0" w:after="0"/>
              <w:jc w:val="center"/>
              <w:rPr>
                <w:b/>
                <w:sz w:val="10"/>
                <w:szCs w:val="10"/>
                <w:lang w:val="fr-BE"/>
              </w:rPr>
            </w:pPr>
            <w:r w:rsidRPr="00601E29">
              <w:rPr>
                <w:b/>
                <w:noProof/>
                <w:sz w:val="10"/>
                <w:szCs w:val="10"/>
                <w:lang w:val="fr-BE"/>
              </w:rPr>
              <w:t>Mężczyźni</w:t>
            </w:r>
          </w:p>
        </w:tc>
        <w:tc>
          <w:tcPr>
            <w:tcW w:w="0" w:type="auto"/>
          </w:tcPr>
          <w:p w14:paraId="58B5FCE5" w14:textId="77777777" w:rsidR="008C5CFA" w:rsidRPr="00601E29" w:rsidRDefault="00E82A60" w:rsidP="00300A01">
            <w:pPr>
              <w:spacing w:before="0" w:after="0"/>
              <w:jc w:val="center"/>
              <w:rPr>
                <w:b/>
                <w:sz w:val="10"/>
                <w:szCs w:val="10"/>
                <w:lang w:val="fr-BE"/>
              </w:rPr>
            </w:pPr>
            <w:r w:rsidRPr="00601E29">
              <w:rPr>
                <w:b/>
                <w:noProof/>
                <w:sz w:val="10"/>
                <w:szCs w:val="10"/>
                <w:lang w:val="fr-BE"/>
              </w:rPr>
              <w:t>Kobiety</w:t>
            </w:r>
          </w:p>
        </w:tc>
        <w:tc>
          <w:tcPr>
            <w:tcW w:w="0" w:type="auto"/>
          </w:tcPr>
          <w:p w14:paraId="58B3BF32" w14:textId="77777777" w:rsidR="008C5CFA" w:rsidRPr="00601E29" w:rsidRDefault="008C5CFA" w:rsidP="00300A01">
            <w:pPr>
              <w:spacing w:before="0" w:after="0"/>
              <w:jc w:val="center"/>
              <w:rPr>
                <w:b/>
                <w:sz w:val="10"/>
                <w:szCs w:val="10"/>
                <w:lang w:val="fr-BE"/>
              </w:rPr>
            </w:pPr>
          </w:p>
        </w:tc>
      </w:tr>
      <w:tr w:rsidR="006B2EC1" w14:paraId="7FF99618" w14:textId="77777777" w:rsidTr="0047688D">
        <w:tc>
          <w:tcPr>
            <w:tcW w:w="0" w:type="auto"/>
            <w:shd w:val="clear" w:color="auto" w:fill="auto"/>
          </w:tcPr>
          <w:p w14:paraId="5403403D" w14:textId="77777777" w:rsidR="008C5CFA" w:rsidRPr="00601E29" w:rsidRDefault="00E82A60" w:rsidP="00300A01">
            <w:pPr>
              <w:spacing w:before="0" w:after="0"/>
              <w:rPr>
                <w:sz w:val="10"/>
                <w:szCs w:val="10"/>
                <w:lang w:val="fr-BE"/>
              </w:rPr>
            </w:pPr>
            <w:r w:rsidRPr="00601E29">
              <w:rPr>
                <w:noProof/>
                <w:sz w:val="10"/>
                <w:szCs w:val="10"/>
                <w:lang w:val="fr-BE"/>
              </w:rPr>
              <w:t>121</w:t>
            </w:r>
          </w:p>
        </w:tc>
        <w:tc>
          <w:tcPr>
            <w:tcW w:w="0" w:type="auto"/>
            <w:shd w:val="clear" w:color="auto" w:fill="auto"/>
          </w:tcPr>
          <w:p w14:paraId="1BC434DD" w14:textId="77777777" w:rsidR="008C5CFA" w:rsidRPr="00601E29" w:rsidRDefault="00E82A60" w:rsidP="00300A01">
            <w:pPr>
              <w:spacing w:before="0" w:after="0"/>
              <w:rPr>
                <w:sz w:val="10"/>
                <w:szCs w:val="10"/>
                <w:lang w:val="fr-BE"/>
              </w:rPr>
            </w:pPr>
            <w:r w:rsidRPr="00601E29">
              <w:rPr>
                <w:noProof/>
                <w:sz w:val="10"/>
                <w:szCs w:val="10"/>
                <w:lang w:val="fr-BE"/>
              </w:rPr>
              <w:t>Liczba mikroprzedsiębiorstw oraz małych i średnich przedsiębiorstw, które zrealizowały swój cel rozwojowy dzięki udziałowi w programie</w:t>
            </w:r>
          </w:p>
        </w:tc>
        <w:tc>
          <w:tcPr>
            <w:tcW w:w="0" w:type="auto"/>
            <w:shd w:val="clear" w:color="auto" w:fill="auto"/>
          </w:tcPr>
          <w:p w14:paraId="512CBE74" w14:textId="77777777" w:rsidR="008C5CFA" w:rsidRPr="00601E29" w:rsidRDefault="00E82A60" w:rsidP="00300A01">
            <w:pPr>
              <w:spacing w:before="0" w:after="0"/>
              <w:rPr>
                <w:sz w:val="10"/>
                <w:szCs w:val="10"/>
                <w:lang w:val="fr-BE"/>
              </w:rPr>
            </w:pPr>
            <w:r w:rsidRPr="00601E29">
              <w:rPr>
                <w:noProof/>
                <w:sz w:val="10"/>
                <w:szCs w:val="10"/>
                <w:lang w:val="fr-BE"/>
              </w:rPr>
              <w:t>Słabiej rozwinięte</w:t>
            </w:r>
          </w:p>
        </w:tc>
        <w:tc>
          <w:tcPr>
            <w:tcW w:w="0" w:type="auto"/>
          </w:tcPr>
          <w:p w14:paraId="3C933C83"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7785354B"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4C5A77EE"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45B7BEB3"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351BBFAE"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04954A36"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6E4C9E7B" w14:textId="77777777" w:rsidR="008C5CFA" w:rsidRPr="00601E29" w:rsidRDefault="008C5CFA" w:rsidP="00300A01">
            <w:pPr>
              <w:spacing w:before="0" w:after="0"/>
              <w:jc w:val="right"/>
              <w:rPr>
                <w:sz w:val="10"/>
                <w:szCs w:val="10"/>
                <w:lang w:val="fr-BE"/>
              </w:rPr>
            </w:pPr>
          </w:p>
        </w:tc>
        <w:tc>
          <w:tcPr>
            <w:tcW w:w="0" w:type="auto"/>
          </w:tcPr>
          <w:p w14:paraId="0C68BC9D"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2918841D"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2C912567"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5754A43A"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652D2DAB"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113DE8D8"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0F1A5347" w14:textId="77777777" w:rsidR="008C5CFA" w:rsidRPr="00601E29" w:rsidRDefault="008C5CFA" w:rsidP="00300A01">
            <w:pPr>
              <w:spacing w:before="0" w:after="0"/>
              <w:jc w:val="right"/>
              <w:rPr>
                <w:sz w:val="10"/>
                <w:szCs w:val="10"/>
                <w:lang w:val="fr-BE"/>
              </w:rPr>
            </w:pPr>
          </w:p>
        </w:tc>
      </w:tr>
      <w:tr w:rsidR="006B2EC1" w14:paraId="7FFBA383" w14:textId="77777777" w:rsidTr="0047688D">
        <w:tc>
          <w:tcPr>
            <w:tcW w:w="0" w:type="auto"/>
            <w:shd w:val="clear" w:color="auto" w:fill="auto"/>
          </w:tcPr>
          <w:p w14:paraId="2500059D" w14:textId="77777777" w:rsidR="008C5CFA" w:rsidRPr="00601E29" w:rsidRDefault="00E82A60" w:rsidP="00300A01">
            <w:pPr>
              <w:spacing w:before="0" w:after="0"/>
              <w:rPr>
                <w:sz w:val="10"/>
                <w:szCs w:val="10"/>
                <w:lang w:val="fr-BE"/>
              </w:rPr>
            </w:pPr>
            <w:r w:rsidRPr="00601E29">
              <w:rPr>
                <w:noProof/>
                <w:sz w:val="10"/>
                <w:szCs w:val="10"/>
                <w:lang w:val="fr-BE"/>
              </w:rPr>
              <w:t>026</w:t>
            </w:r>
          </w:p>
        </w:tc>
        <w:tc>
          <w:tcPr>
            <w:tcW w:w="0" w:type="auto"/>
            <w:shd w:val="clear" w:color="auto" w:fill="auto"/>
          </w:tcPr>
          <w:p w14:paraId="0CE42B49" w14:textId="77777777" w:rsidR="008C5CFA" w:rsidRPr="00601E29" w:rsidRDefault="00E82A60" w:rsidP="00300A01">
            <w:pPr>
              <w:spacing w:before="0" w:after="0"/>
              <w:rPr>
                <w:sz w:val="10"/>
                <w:szCs w:val="10"/>
                <w:lang w:val="fr-BE"/>
              </w:rPr>
            </w:pPr>
            <w:r w:rsidRPr="00601E29">
              <w:rPr>
                <w:noProof/>
                <w:sz w:val="10"/>
                <w:szCs w:val="10"/>
                <w:lang w:val="fr-BE"/>
              </w:rPr>
              <w:t>Liczba osób, które uzyskały kwalifikacje lub nabyły kompetencje po opuszczeniu programu</w:t>
            </w:r>
          </w:p>
        </w:tc>
        <w:tc>
          <w:tcPr>
            <w:tcW w:w="0" w:type="auto"/>
            <w:shd w:val="clear" w:color="auto" w:fill="auto"/>
          </w:tcPr>
          <w:p w14:paraId="285D3B6E" w14:textId="77777777" w:rsidR="008C5CFA" w:rsidRPr="00601E29" w:rsidRDefault="00E82A60" w:rsidP="00300A01">
            <w:pPr>
              <w:spacing w:before="0" w:after="0"/>
              <w:rPr>
                <w:sz w:val="10"/>
                <w:szCs w:val="10"/>
                <w:lang w:val="fr-BE"/>
              </w:rPr>
            </w:pPr>
            <w:r w:rsidRPr="00601E29">
              <w:rPr>
                <w:noProof/>
                <w:sz w:val="10"/>
                <w:szCs w:val="10"/>
                <w:lang w:val="fr-BE"/>
              </w:rPr>
              <w:t>Słabiej rozwinięte</w:t>
            </w:r>
          </w:p>
        </w:tc>
        <w:tc>
          <w:tcPr>
            <w:tcW w:w="0" w:type="auto"/>
          </w:tcPr>
          <w:p w14:paraId="1BBDAF5F"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56FDA321"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5B681E1A"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4457A19D"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70DFD987"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56A8F38C"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2A942418" w14:textId="77777777" w:rsidR="008C5CFA" w:rsidRPr="00601E29" w:rsidRDefault="008C5CFA" w:rsidP="00300A01">
            <w:pPr>
              <w:spacing w:before="0" w:after="0"/>
              <w:jc w:val="right"/>
              <w:rPr>
                <w:sz w:val="10"/>
                <w:szCs w:val="10"/>
                <w:lang w:val="fr-BE"/>
              </w:rPr>
            </w:pPr>
          </w:p>
        </w:tc>
        <w:tc>
          <w:tcPr>
            <w:tcW w:w="0" w:type="auto"/>
          </w:tcPr>
          <w:p w14:paraId="10396538"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04ECC72D"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0AA1B4CF"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78A22A29"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0038533F"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0BDE3E2E"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68041738" w14:textId="77777777" w:rsidR="008C5CFA" w:rsidRPr="00601E29" w:rsidRDefault="008C5CFA" w:rsidP="00300A01">
            <w:pPr>
              <w:spacing w:before="0" w:after="0"/>
              <w:jc w:val="right"/>
              <w:rPr>
                <w:sz w:val="10"/>
                <w:szCs w:val="10"/>
                <w:lang w:val="fr-BE"/>
              </w:rPr>
            </w:pPr>
          </w:p>
        </w:tc>
      </w:tr>
    </w:tbl>
    <w:p w14:paraId="73BCC3E2"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85"/>
        <w:gridCol w:w="8344"/>
        <w:gridCol w:w="1306"/>
        <w:gridCol w:w="654"/>
        <w:gridCol w:w="823"/>
        <w:gridCol w:w="661"/>
        <w:gridCol w:w="654"/>
        <w:gridCol w:w="823"/>
        <w:gridCol w:w="661"/>
        <w:gridCol w:w="873"/>
      </w:tblGrid>
      <w:tr w:rsidR="006B2EC1" w14:paraId="3339223F" w14:textId="77777777" w:rsidTr="0047688D">
        <w:trPr>
          <w:tblHeader/>
        </w:trPr>
        <w:tc>
          <w:tcPr>
            <w:tcW w:w="0" w:type="auto"/>
            <w:shd w:val="clear" w:color="auto" w:fill="auto"/>
          </w:tcPr>
          <w:p w14:paraId="2BB3B980" w14:textId="77777777" w:rsidR="008C5CFA" w:rsidRPr="00601E29" w:rsidRDefault="00E82A60" w:rsidP="00300A01">
            <w:pPr>
              <w:spacing w:before="0" w:after="0"/>
              <w:rPr>
                <w:b/>
                <w:sz w:val="10"/>
                <w:szCs w:val="10"/>
                <w:lang w:val="fr-BE"/>
              </w:rPr>
            </w:pPr>
            <w:r w:rsidRPr="00601E29">
              <w:rPr>
                <w:b/>
                <w:noProof/>
                <w:sz w:val="10"/>
                <w:szCs w:val="10"/>
                <w:lang w:val="fr-BE"/>
              </w:rPr>
              <w:t>ID</w:t>
            </w:r>
          </w:p>
        </w:tc>
        <w:tc>
          <w:tcPr>
            <w:tcW w:w="0" w:type="auto"/>
            <w:shd w:val="clear" w:color="auto" w:fill="auto"/>
          </w:tcPr>
          <w:p w14:paraId="28E03BD8" w14:textId="77777777" w:rsidR="008C5CFA" w:rsidRPr="00601E29" w:rsidRDefault="00E82A60" w:rsidP="00300A01">
            <w:pPr>
              <w:spacing w:before="0" w:after="0"/>
              <w:rPr>
                <w:b/>
                <w:sz w:val="10"/>
                <w:szCs w:val="10"/>
                <w:lang w:val="fr-BE"/>
              </w:rPr>
            </w:pPr>
            <w:r w:rsidRPr="00601E29">
              <w:rPr>
                <w:b/>
                <w:noProof/>
                <w:sz w:val="10"/>
                <w:szCs w:val="10"/>
                <w:lang w:val="fr-BE"/>
              </w:rPr>
              <w:t>Wskaźnik</w:t>
            </w:r>
          </w:p>
        </w:tc>
        <w:tc>
          <w:tcPr>
            <w:tcW w:w="0" w:type="auto"/>
            <w:shd w:val="clear" w:color="auto" w:fill="auto"/>
          </w:tcPr>
          <w:p w14:paraId="3D6486DD" w14:textId="77777777" w:rsidR="008C5CFA" w:rsidRPr="00601E29" w:rsidRDefault="00E82A60" w:rsidP="00300A01">
            <w:pPr>
              <w:spacing w:before="0" w:after="0"/>
              <w:rPr>
                <w:b/>
                <w:sz w:val="10"/>
                <w:szCs w:val="10"/>
                <w:lang w:val="fr-BE"/>
              </w:rPr>
            </w:pPr>
            <w:r w:rsidRPr="00601E29">
              <w:rPr>
                <w:b/>
                <w:noProof/>
                <w:sz w:val="10"/>
                <w:szCs w:val="10"/>
                <w:lang w:val="fr-BE"/>
              </w:rPr>
              <w:t>Kategoria regionu</w:t>
            </w:r>
          </w:p>
        </w:tc>
        <w:tc>
          <w:tcPr>
            <w:tcW w:w="0" w:type="auto"/>
            <w:gridSpan w:val="7"/>
          </w:tcPr>
          <w:p w14:paraId="5496AB5E" w14:textId="77777777" w:rsidR="008C5CFA" w:rsidRPr="00601E29" w:rsidRDefault="00E82A60" w:rsidP="00300A01">
            <w:pPr>
              <w:spacing w:before="0" w:after="0"/>
              <w:jc w:val="center"/>
              <w:rPr>
                <w:b/>
                <w:sz w:val="10"/>
                <w:szCs w:val="10"/>
                <w:lang w:val="fr-BE"/>
              </w:rPr>
            </w:pPr>
            <w:r>
              <w:rPr>
                <w:b/>
                <w:sz w:val="10"/>
                <w:szCs w:val="10"/>
                <w:lang w:val="fr-BE"/>
              </w:rPr>
              <w:t>2014</w:t>
            </w:r>
          </w:p>
        </w:tc>
      </w:tr>
      <w:tr w:rsidR="006B2EC1" w14:paraId="34327AB9" w14:textId="77777777" w:rsidTr="0047688D">
        <w:trPr>
          <w:tblHeader/>
        </w:trPr>
        <w:tc>
          <w:tcPr>
            <w:tcW w:w="0" w:type="auto"/>
            <w:shd w:val="clear" w:color="auto" w:fill="auto"/>
          </w:tcPr>
          <w:p w14:paraId="31E39059" w14:textId="77777777" w:rsidR="008C5CFA" w:rsidRPr="00601E29" w:rsidRDefault="008C5CFA" w:rsidP="00300A01">
            <w:pPr>
              <w:spacing w:before="0" w:after="0"/>
              <w:rPr>
                <w:b/>
                <w:sz w:val="10"/>
                <w:szCs w:val="10"/>
                <w:lang w:val="fr-BE"/>
              </w:rPr>
            </w:pPr>
          </w:p>
        </w:tc>
        <w:tc>
          <w:tcPr>
            <w:tcW w:w="0" w:type="auto"/>
            <w:shd w:val="clear" w:color="auto" w:fill="auto"/>
          </w:tcPr>
          <w:p w14:paraId="0225686C" w14:textId="77777777" w:rsidR="008C5CFA" w:rsidRPr="00601E29" w:rsidRDefault="008C5CFA" w:rsidP="00300A01">
            <w:pPr>
              <w:spacing w:before="0" w:after="0"/>
              <w:rPr>
                <w:b/>
                <w:sz w:val="10"/>
                <w:szCs w:val="10"/>
                <w:lang w:val="fr-BE"/>
              </w:rPr>
            </w:pPr>
          </w:p>
        </w:tc>
        <w:tc>
          <w:tcPr>
            <w:tcW w:w="0" w:type="auto"/>
            <w:shd w:val="clear" w:color="auto" w:fill="auto"/>
          </w:tcPr>
          <w:p w14:paraId="7023B2A6" w14:textId="77777777" w:rsidR="008C5CFA" w:rsidRPr="00601E29" w:rsidRDefault="008C5CFA" w:rsidP="00300A01">
            <w:pPr>
              <w:spacing w:before="0" w:after="0"/>
              <w:rPr>
                <w:b/>
                <w:sz w:val="10"/>
                <w:szCs w:val="10"/>
                <w:lang w:val="fr-BE"/>
              </w:rPr>
            </w:pPr>
          </w:p>
        </w:tc>
        <w:tc>
          <w:tcPr>
            <w:tcW w:w="0" w:type="auto"/>
            <w:gridSpan w:val="3"/>
          </w:tcPr>
          <w:p w14:paraId="24898C16" w14:textId="77777777" w:rsidR="008C5CFA" w:rsidRPr="00601E29" w:rsidRDefault="00E82A60" w:rsidP="00300A01">
            <w:pPr>
              <w:spacing w:before="0" w:after="0"/>
              <w:jc w:val="center"/>
              <w:rPr>
                <w:b/>
                <w:sz w:val="10"/>
                <w:szCs w:val="10"/>
                <w:lang w:val="fr-BE"/>
              </w:rPr>
            </w:pPr>
            <w:r w:rsidRPr="00601E29">
              <w:rPr>
                <w:b/>
                <w:noProof/>
                <w:sz w:val="10"/>
                <w:szCs w:val="10"/>
                <w:lang w:val="fr-BE"/>
              </w:rPr>
              <w:t>Łącznie</w:t>
            </w:r>
          </w:p>
        </w:tc>
        <w:tc>
          <w:tcPr>
            <w:tcW w:w="0" w:type="auto"/>
            <w:gridSpan w:val="3"/>
          </w:tcPr>
          <w:p w14:paraId="4BCFE343" w14:textId="77777777" w:rsidR="008C5CFA" w:rsidRPr="00601E29" w:rsidRDefault="00E82A60" w:rsidP="00300A01">
            <w:pPr>
              <w:spacing w:before="0" w:after="0"/>
              <w:jc w:val="center"/>
              <w:rPr>
                <w:b/>
                <w:sz w:val="10"/>
                <w:szCs w:val="10"/>
                <w:lang w:val="fr-BE"/>
              </w:rPr>
            </w:pPr>
            <w:r w:rsidRPr="00601E29">
              <w:rPr>
                <w:b/>
                <w:noProof/>
                <w:sz w:val="10"/>
                <w:szCs w:val="10"/>
                <w:lang w:val="fr-BE"/>
              </w:rPr>
              <w:t>Łącznie w roku</w:t>
            </w:r>
          </w:p>
        </w:tc>
        <w:tc>
          <w:tcPr>
            <w:tcW w:w="0" w:type="auto"/>
          </w:tcPr>
          <w:p w14:paraId="014E4ED2" w14:textId="77777777" w:rsidR="008C5CFA" w:rsidRPr="00601E29" w:rsidRDefault="00E82A60" w:rsidP="00300A01">
            <w:pPr>
              <w:spacing w:before="0" w:after="0"/>
              <w:jc w:val="center"/>
              <w:rPr>
                <w:b/>
                <w:sz w:val="10"/>
                <w:szCs w:val="10"/>
                <w:lang w:val="fr-BE"/>
              </w:rPr>
            </w:pPr>
            <w:r w:rsidRPr="00601E29">
              <w:rPr>
                <w:b/>
                <w:noProof/>
                <w:sz w:val="10"/>
                <w:szCs w:val="10"/>
                <w:lang w:val="fr-BE"/>
              </w:rPr>
              <w:t>Jakościowe</w:t>
            </w:r>
          </w:p>
        </w:tc>
      </w:tr>
      <w:tr w:rsidR="006B2EC1" w14:paraId="39491993" w14:textId="77777777" w:rsidTr="0047688D">
        <w:trPr>
          <w:tblHeader/>
        </w:trPr>
        <w:tc>
          <w:tcPr>
            <w:tcW w:w="0" w:type="auto"/>
            <w:shd w:val="clear" w:color="auto" w:fill="auto"/>
          </w:tcPr>
          <w:p w14:paraId="0F9ADA09" w14:textId="77777777" w:rsidR="008C5CFA" w:rsidRPr="00601E29" w:rsidRDefault="008C5CFA" w:rsidP="00300A01">
            <w:pPr>
              <w:spacing w:before="0" w:after="0"/>
              <w:rPr>
                <w:b/>
                <w:sz w:val="10"/>
                <w:szCs w:val="10"/>
                <w:lang w:val="fr-BE"/>
              </w:rPr>
            </w:pPr>
          </w:p>
        </w:tc>
        <w:tc>
          <w:tcPr>
            <w:tcW w:w="0" w:type="auto"/>
            <w:shd w:val="clear" w:color="auto" w:fill="auto"/>
          </w:tcPr>
          <w:p w14:paraId="42AB4D8B" w14:textId="77777777" w:rsidR="008C5CFA" w:rsidRPr="00601E29" w:rsidRDefault="008C5CFA" w:rsidP="00300A01">
            <w:pPr>
              <w:spacing w:before="0" w:after="0"/>
              <w:rPr>
                <w:b/>
                <w:sz w:val="10"/>
                <w:szCs w:val="10"/>
                <w:lang w:val="fr-BE"/>
              </w:rPr>
            </w:pPr>
          </w:p>
        </w:tc>
        <w:tc>
          <w:tcPr>
            <w:tcW w:w="0" w:type="auto"/>
            <w:shd w:val="clear" w:color="auto" w:fill="auto"/>
          </w:tcPr>
          <w:p w14:paraId="40CAAD84" w14:textId="77777777" w:rsidR="008C5CFA" w:rsidRPr="00601E29" w:rsidRDefault="008C5CFA" w:rsidP="00300A01">
            <w:pPr>
              <w:spacing w:before="0" w:after="0"/>
              <w:rPr>
                <w:b/>
                <w:sz w:val="10"/>
                <w:szCs w:val="10"/>
                <w:lang w:val="fr-BE"/>
              </w:rPr>
            </w:pPr>
          </w:p>
        </w:tc>
        <w:tc>
          <w:tcPr>
            <w:tcW w:w="0" w:type="auto"/>
          </w:tcPr>
          <w:p w14:paraId="3A6F8535" w14:textId="77777777" w:rsidR="008C5CFA" w:rsidRPr="00601E29" w:rsidRDefault="00E82A60" w:rsidP="00300A01">
            <w:pPr>
              <w:spacing w:before="0" w:after="0"/>
              <w:jc w:val="center"/>
              <w:rPr>
                <w:b/>
                <w:sz w:val="10"/>
                <w:szCs w:val="10"/>
                <w:lang w:val="fr-BE"/>
              </w:rPr>
            </w:pPr>
            <w:r w:rsidRPr="00601E29">
              <w:rPr>
                <w:b/>
                <w:noProof/>
                <w:sz w:val="10"/>
                <w:szCs w:val="10"/>
                <w:lang w:val="fr-BE"/>
              </w:rPr>
              <w:t>Ogółem</w:t>
            </w:r>
          </w:p>
        </w:tc>
        <w:tc>
          <w:tcPr>
            <w:tcW w:w="0" w:type="auto"/>
          </w:tcPr>
          <w:p w14:paraId="63561D71" w14:textId="77777777" w:rsidR="008C5CFA" w:rsidRPr="00601E29" w:rsidRDefault="00E82A60" w:rsidP="00300A01">
            <w:pPr>
              <w:spacing w:before="0" w:after="0"/>
              <w:jc w:val="center"/>
              <w:rPr>
                <w:b/>
                <w:sz w:val="10"/>
                <w:szCs w:val="10"/>
                <w:lang w:val="fr-BE"/>
              </w:rPr>
            </w:pPr>
            <w:r w:rsidRPr="00601E29">
              <w:rPr>
                <w:b/>
                <w:noProof/>
                <w:sz w:val="10"/>
                <w:szCs w:val="10"/>
                <w:lang w:val="fr-BE"/>
              </w:rPr>
              <w:t>Mężczyźni</w:t>
            </w:r>
          </w:p>
        </w:tc>
        <w:tc>
          <w:tcPr>
            <w:tcW w:w="0" w:type="auto"/>
          </w:tcPr>
          <w:p w14:paraId="79B4540F" w14:textId="77777777" w:rsidR="008C5CFA" w:rsidRPr="00601E29" w:rsidRDefault="00E82A60" w:rsidP="00300A01">
            <w:pPr>
              <w:spacing w:before="0" w:after="0"/>
              <w:jc w:val="center"/>
              <w:rPr>
                <w:b/>
                <w:sz w:val="10"/>
                <w:szCs w:val="10"/>
                <w:lang w:val="fr-BE"/>
              </w:rPr>
            </w:pPr>
            <w:r w:rsidRPr="00601E29">
              <w:rPr>
                <w:b/>
                <w:noProof/>
                <w:sz w:val="10"/>
                <w:szCs w:val="10"/>
                <w:lang w:val="fr-BE"/>
              </w:rPr>
              <w:t>Kobiety</w:t>
            </w:r>
          </w:p>
        </w:tc>
        <w:tc>
          <w:tcPr>
            <w:tcW w:w="0" w:type="auto"/>
          </w:tcPr>
          <w:p w14:paraId="1609C5C1" w14:textId="77777777" w:rsidR="008C5CFA" w:rsidRPr="00601E29" w:rsidRDefault="00E82A60" w:rsidP="00300A01">
            <w:pPr>
              <w:spacing w:before="0" w:after="0"/>
              <w:jc w:val="center"/>
              <w:rPr>
                <w:b/>
                <w:sz w:val="10"/>
                <w:szCs w:val="10"/>
                <w:lang w:val="fr-BE"/>
              </w:rPr>
            </w:pPr>
            <w:r w:rsidRPr="00601E29">
              <w:rPr>
                <w:b/>
                <w:noProof/>
                <w:sz w:val="10"/>
                <w:szCs w:val="10"/>
                <w:lang w:val="fr-BE"/>
              </w:rPr>
              <w:t>Ogółem</w:t>
            </w:r>
          </w:p>
        </w:tc>
        <w:tc>
          <w:tcPr>
            <w:tcW w:w="0" w:type="auto"/>
          </w:tcPr>
          <w:p w14:paraId="0FF42BCC" w14:textId="77777777" w:rsidR="008C5CFA" w:rsidRPr="00601E29" w:rsidRDefault="00E82A60" w:rsidP="00300A01">
            <w:pPr>
              <w:spacing w:before="0" w:after="0"/>
              <w:jc w:val="center"/>
              <w:rPr>
                <w:b/>
                <w:sz w:val="10"/>
                <w:szCs w:val="10"/>
                <w:lang w:val="fr-BE"/>
              </w:rPr>
            </w:pPr>
            <w:r w:rsidRPr="00601E29">
              <w:rPr>
                <w:b/>
                <w:noProof/>
                <w:sz w:val="10"/>
                <w:szCs w:val="10"/>
                <w:lang w:val="fr-BE"/>
              </w:rPr>
              <w:t>Mężczyźni</w:t>
            </w:r>
          </w:p>
        </w:tc>
        <w:tc>
          <w:tcPr>
            <w:tcW w:w="0" w:type="auto"/>
          </w:tcPr>
          <w:p w14:paraId="2540EACE" w14:textId="77777777" w:rsidR="008C5CFA" w:rsidRPr="00601E29" w:rsidRDefault="00E82A60" w:rsidP="00300A01">
            <w:pPr>
              <w:spacing w:before="0" w:after="0"/>
              <w:jc w:val="center"/>
              <w:rPr>
                <w:b/>
                <w:sz w:val="10"/>
                <w:szCs w:val="10"/>
                <w:lang w:val="fr-BE"/>
              </w:rPr>
            </w:pPr>
            <w:r w:rsidRPr="00601E29">
              <w:rPr>
                <w:b/>
                <w:noProof/>
                <w:sz w:val="10"/>
                <w:szCs w:val="10"/>
                <w:lang w:val="fr-BE"/>
              </w:rPr>
              <w:t>Kobiety</w:t>
            </w:r>
          </w:p>
        </w:tc>
        <w:tc>
          <w:tcPr>
            <w:tcW w:w="0" w:type="auto"/>
          </w:tcPr>
          <w:p w14:paraId="467CB56E" w14:textId="77777777" w:rsidR="008C5CFA" w:rsidRPr="00601E29" w:rsidRDefault="008C5CFA" w:rsidP="00300A01">
            <w:pPr>
              <w:spacing w:before="0" w:after="0"/>
              <w:jc w:val="center"/>
              <w:rPr>
                <w:b/>
                <w:sz w:val="10"/>
                <w:szCs w:val="10"/>
                <w:lang w:val="fr-BE"/>
              </w:rPr>
            </w:pPr>
          </w:p>
        </w:tc>
      </w:tr>
      <w:tr w:rsidR="006B2EC1" w14:paraId="16DF86DF" w14:textId="77777777" w:rsidTr="0047688D">
        <w:tc>
          <w:tcPr>
            <w:tcW w:w="0" w:type="auto"/>
            <w:shd w:val="clear" w:color="auto" w:fill="auto"/>
          </w:tcPr>
          <w:p w14:paraId="4466E35C" w14:textId="77777777" w:rsidR="008C5CFA" w:rsidRPr="00601E29" w:rsidRDefault="00E82A60" w:rsidP="00300A01">
            <w:pPr>
              <w:spacing w:before="0" w:after="0"/>
              <w:rPr>
                <w:sz w:val="10"/>
                <w:szCs w:val="10"/>
                <w:lang w:val="fr-BE"/>
              </w:rPr>
            </w:pPr>
            <w:r w:rsidRPr="00601E29">
              <w:rPr>
                <w:noProof/>
                <w:sz w:val="10"/>
                <w:szCs w:val="10"/>
                <w:lang w:val="fr-BE"/>
              </w:rPr>
              <w:t>121</w:t>
            </w:r>
          </w:p>
        </w:tc>
        <w:tc>
          <w:tcPr>
            <w:tcW w:w="0" w:type="auto"/>
            <w:shd w:val="clear" w:color="auto" w:fill="auto"/>
          </w:tcPr>
          <w:p w14:paraId="3A2D1AC9" w14:textId="77777777" w:rsidR="008C5CFA" w:rsidRPr="00601E29" w:rsidRDefault="00E82A60" w:rsidP="00300A01">
            <w:pPr>
              <w:spacing w:before="0" w:after="0"/>
              <w:rPr>
                <w:sz w:val="10"/>
                <w:szCs w:val="10"/>
                <w:lang w:val="fr-BE"/>
              </w:rPr>
            </w:pPr>
            <w:r w:rsidRPr="00601E29">
              <w:rPr>
                <w:noProof/>
                <w:sz w:val="10"/>
                <w:szCs w:val="10"/>
                <w:lang w:val="fr-BE"/>
              </w:rPr>
              <w:t>Liczba mikroprzedsiębiorstw oraz małych i średnich przedsiębiorstw, które zrealizowały swój cel rozwojowy dzięki udziałowi w programie</w:t>
            </w:r>
          </w:p>
        </w:tc>
        <w:tc>
          <w:tcPr>
            <w:tcW w:w="0" w:type="auto"/>
            <w:shd w:val="clear" w:color="auto" w:fill="auto"/>
          </w:tcPr>
          <w:p w14:paraId="6F696D1B" w14:textId="77777777" w:rsidR="008C5CFA" w:rsidRPr="00601E29" w:rsidRDefault="00E82A60" w:rsidP="00300A01">
            <w:pPr>
              <w:spacing w:before="0" w:after="0"/>
              <w:rPr>
                <w:sz w:val="10"/>
                <w:szCs w:val="10"/>
                <w:lang w:val="fr-BE"/>
              </w:rPr>
            </w:pPr>
            <w:r w:rsidRPr="00601E29">
              <w:rPr>
                <w:noProof/>
                <w:sz w:val="10"/>
                <w:szCs w:val="10"/>
                <w:lang w:val="fr-BE"/>
              </w:rPr>
              <w:t>Słabiej rozwinięte</w:t>
            </w:r>
          </w:p>
        </w:tc>
        <w:tc>
          <w:tcPr>
            <w:tcW w:w="0" w:type="auto"/>
          </w:tcPr>
          <w:p w14:paraId="3A8B87B7"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15E24855"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24FD97FB"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2FBC4D61"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65F149DE"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74ABBC5C"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7B661924" w14:textId="77777777" w:rsidR="008C5CFA" w:rsidRPr="00601E29" w:rsidRDefault="008C5CFA" w:rsidP="00300A01">
            <w:pPr>
              <w:spacing w:before="0" w:after="0"/>
              <w:jc w:val="right"/>
              <w:rPr>
                <w:sz w:val="10"/>
                <w:szCs w:val="10"/>
                <w:lang w:val="fr-BE"/>
              </w:rPr>
            </w:pPr>
          </w:p>
        </w:tc>
      </w:tr>
      <w:tr w:rsidR="006B2EC1" w14:paraId="3E2D5E44" w14:textId="77777777" w:rsidTr="0047688D">
        <w:tc>
          <w:tcPr>
            <w:tcW w:w="0" w:type="auto"/>
            <w:shd w:val="clear" w:color="auto" w:fill="auto"/>
          </w:tcPr>
          <w:p w14:paraId="1845D82E" w14:textId="77777777" w:rsidR="008C5CFA" w:rsidRPr="00601E29" w:rsidRDefault="00E82A60" w:rsidP="00300A01">
            <w:pPr>
              <w:spacing w:before="0" w:after="0"/>
              <w:rPr>
                <w:sz w:val="10"/>
                <w:szCs w:val="10"/>
                <w:lang w:val="fr-BE"/>
              </w:rPr>
            </w:pPr>
            <w:r w:rsidRPr="00601E29">
              <w:rPr>
                <w:noProof/>
                <w:sz w:val="10"/>
                <w:szCs w:val="10"/>
                <w:lang w:val="fr-BE"/>
              </w:rPr>
              <w:t>026</w:t>
            </w:r>
          </w:p>
        </w:tc>
        <w:tc>
          <w:tcPr>
            <w:tcW w:w="0" w:type="auto"/>
            <w:shd w:val="clear" w:color="auto" w:fill="auto"/>
          </w:tcPr>
          <w:p w14:paraId="4A8314E8" w14:textId="77777777" w:rsidR="008C5CFA" w:rsidRPr="00601E29" w:rsidRDefault="00E82A60" w:rsidP="00300A01">
            <w:pPr>
              <w:spacing w:before="0" w:after="0"/>
              <w:rPr>
                <w:sz w:val="10"/>
                <w:szCs w:val="10"/>
                <w:lang w:val="fr-BE"/>
              </w:rPr>
            </w:pPr>
            <w:r w:rsidRPr="00601E29">
              <w:rPr>
                <w:noProof/>
                <w:sz w:val="10"/>
                <w:szCs w:val="10"/>
                <w:lang w:val="fr-BE"/>
              </w:rPr>
              <w:t>Liczba osób, które uzyskały kwalifikacje lub nabyły kompetencje po opuszczeniu programu</w:t>
            </w:r>
          </w:p>
        </w:tc>
        <w:tc>
          <w:tcPr>
            <w:tcW w:w="0" w:type="auto"/>
            <w:shd w:val="clear" w:color="auto" w:fill="auto"/>
          </w:tcPr>
          <w:p w14:paraId="21C5EAF7" w14:textId="77777777" w:rsidR="008C5CFA" w:rsidRPr="00601E29" w:rsidRDefault="00E82A60" w:rsidP="00300A01">
            <w:pPr>
              <w:spacing w:before="0" w:after="0"/>
              <w:rPr>
                <w:sz w:val="10"/>
                <w:szCs w:val="10"/>
                <w:lang w:val="fr-BE"/>
              </w:rPr>
            </w:pPr>
            <w:r w:rsidRPr="00601E29">
              <w:rPr>
                <w:noProof/>
                <w:sz w:val="10"/>
                <w:szCs w:val="10"/>
                <w:lang w:val="fr-BE"/>
              </w:rPr>
              <w:t>Słabiej rozwinięte</w:t>
            </w:r>
          </w:p>
        </w:tc>
        <w:tc>
          <w:tcPr>
            <w:tcW w:w="0" w:type="auto"/>
          </w:tcPr>
          <w:p w14:paraId="40D3C1AC"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16B9C951"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706CD621"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1A5FA88D"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62D1E6BD"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298DBF5F"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3DF369C4" w14:textId="77777777" w:rsidR="008C5CFA" w:rsidRPr="00601E29" w:rsidRDefault="008C5CFA" w:rsidP="00300A01">
            <w:pPr>
              <w:spacing w:before="0" w:after="0"/>
              <w:jc w:val="right"/>
              <w:rPr>
                <w:sz w:val="10"/>
                <w:szCs w:val="10"/>
                <w:lang w:val="fr-BE"/>
              </w:rPr>
            </w:pPr>
          </w:p>
        </w:tc>
      </w:tr>
    </w:tbl>
    <w:p w14:paraId="6D863D47" w14:textId="77777777" w:rsidR="008C5CFA" w:rsidRPr="007C3A6B" w:rsidRDefault="008C5CFA" w:rsidP="00300A01">
      <w:pPr>
        <w:spacing w:before="0" w:after="0"/>
        <w:rPr>
          <w:lang w:val="fr-BE"/>
        </w:rPr>
      </w:pPr>
    </w:p>
    <w:p w14:paraId="51E9C02F" w14:textId="77777777" w:rsidR="008C5CFA" w:rsidRDefault="00E82A60" w:rsidP="00300A01">
      <w:pPr>
        <w:spacing w:before="0" w:after="0"/>
        <w:rPr>
          <w:lang w:val="fr-BE"/>
        </w:rPr>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4"/>
        <w:gridCol w:w="11710"/>
      </w:tblGrid>
      <w:tr w:rsidR="006B2EC1" w14:paraId="4E18E1E8" w14:textId="77777777" w:rsidTr="0047688D">
        <w:tc>
          <w:tcPr>
            <w:tcW w:w="0" w:type="auto"/>
            <w:shd w:val="clear" w:color="auto" w:fill="auto"/>
          </w:tcPr>
          <w:p w14:paraId="0F7E9A6D" w14:textId="77777777" w:rsidR="008C5CFA" w:rsidRPr="002124FC" w:rsidRDefault="00E82A60" w:rsidP="00300A01">
            <w:pPr>
              <w:spacing w:before="0" w:after="0"/>
              <w:rPr>
                <w:sz w:val="20"/>
                <w:szCs w:val="20"/>
                <w:lang w:val="fr-BE"/>
              </w:rPr>
            </w:pPr>
            <w:r>
              <w:rPr>
                <w:lang w:val="fr-BE"/>
              </w:rPr>
              <w:lastRenderedPageBreak/>
              <w:br w:type="page"/>
            </w:r>
            <w:r>
              <w:rPr>
                <w:lang w:val="fr-BE"/>
              </w:rPr>
              <w:br w:type="page"/>
            </w:r>
            <w:r w:rsidRPr="002124FC">
              <w:rPr>
                <w:noProof/>
                <w:sz w:val="20"/>
                <w:szCs w:val="20"/>
                <w:lang w:val="fr-BE"/>
              </w:rPr>
              <w:t>Oś priorytetowa</w:t>
            </w:r>
          </w:p>
        </w:tc>
        <w:tc>
          <w:tcPr>
            <w:tcW w:w="0" w:type="auto"/>
            <w:shd w:val="clear" w:color="auto" w:fill="auto"/>
          </w:tcPr>
          <w:p w14:paraId="06F708CA" w14:textId="77777777" w:rsidR="008C5CFA" w:rsidRPr="002124FC" w:rsidRDefault="00E82A60" w:rsidP="00300A01">
            <w:pPr>
              <w:spacing w:before="0" w:after="0"/>
              <w:rPr>
                <w:sz w:val="20"/>
                <w:szCs w:val="20"/>
                <w:lang w:val="fr-BE"/>
              </w:rPr>
            </w:pPr>
            <w:r w:rsidRPr="002124FC">
              <w:rPr>
                <w:noProof/>
                <w:sz w:val="20"/>
                <w:szCs w:val="20"/>
                <w:lang w:val="fr-BE"/>
              </w:rPr>
              <w:t>10</w:t>
            </w:r>
            <w:r w:rsidRPr="002124FC">
              <w:rPr>
                <w:sz w:val="20"/>
                <w:szCs w:val="20"/>
                <w:lang w:val="fr-BE"/>
              </w:rPr>
              <w:t xml:space="preserve"> - </w:t>
            </w:r>
            <w:r w:rsidRPr="002124FC">
              <w:rPr>
                <w:noProof/>
                <w:sz w:val="20"/>
                <w:szCs w:val="20"/>
                <w:lang w:val="fr-BE"/>
              </w:rPr>
              <w:t>Otwarty rynek pracy</w:t>
            </w:r>
          </w:p>
        </w:tc>
      </w:tr>
      <w:tr w:rsidR="006B2EC1" w14:paraId="1FD5E2BD" w14:textId="77777777" w:rsidTr="0047688D">
        <w:tc>
          <w:tcPr>
            <w:tcW w:w="0" w:type="auto"/>
            <w:shd w:val="clear" w:color="auto" w:fill="auto"/>
          </w:tcPr>
          <w:p w14:paraId="2B9F67C9" w14:textId="77777777" w:rsidR="008C5CFA" w:rsidRPr="002124FC" w:rsidRDefault="00E82A60"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14:paraId="1D5D5014" w14:textId="77777777" w:rsidR="008C5CFA" w:rsidRPr="002124FC" w:rsidRDefault="00E82A60" w:rsidP="00300A01">
            <w:pPr>
              <w:spacing w:before="0" w:after="0"/>
              <w:rPr>
                <w:sz w:val="20"/>
                <w:szCs w:val="20"/>
                <w:lang w:val="fr-BE"/>
              </w:rPr>
            </w:pPr>
            <w:r w:rsidRPr="002124FC">
              <w:rPr>
                <w:noProof/>
                <w:sz w:val="20"/>
                <w:szCs w:val="20"/>
                <w:lang w:val="fr-BE"/>
              </w:rPr>
              <w:t>8v</w:t>
            </w:r>
            <w:r w:rsidRPr="002124FC">
              <w:rPr>
                <w:sz w:val="20"/>
                <w:szCs w:val="20"/>
                <w:lang w:val="fr-BE"/>
              </w:rPr>
              <w:t xml:space="preserve"> - </w:t>
            </w:r>
            <w:r w:rsidRPr="002124FC">
              <w:rPr>
                <w:noProof/>
                <w:sz w:val="20"/>
                <w:szCs w:val="20"/>
                <w:lang w:val="fr-BE"/>
              </w:rPr>
              <w:t>Przystosowywanie pracowników, przedsiębiorstw i przedsiębiorców do zmian</w:t>
            </w:r>
          </w:p>
        </w:tc>
      </w:tr>
    </w:tbl>
    <w:p w14:paraId="6B682D79" w14:textId="77777777" w:rsidR="008C5CFA" w:rsidRDefault="008C5CFA" w:rsidP="00300A01">
      <w:pPr>
        <w:spacing w:before="0" w:after="0"/>
      </w:pPr>
    </w:p>
    <w:p w14:paraId="16A5595F" w14:textId="77777777" w:rsidR="008C5CFA" w:rsidRPr="008E457C" w:rsidRDefault="00E82A60" w:rsidP="00300A01">
      <w:pPr>
        <w:pStyle w:val="Nagwek2"/>
        <w:spacing w:before="0" w:after="0"/>
        <w:rPr>
          <w:b w:val="0"/>
        </w:rPr>
      </w:pPr>
      <w:bookmarkStart w:id="21" w:name="_Toc46391705"/>
      <w:r w:rsidRPr="008E457C">
        <w:rPr>
          <w:b w:val="0"/>
          <w:noProof/>
          <w:lang w:val="fr-BE"/>
        </w:rPr>
        <w:t>Tabela 4A</w:t>
      </w:r>
      <w:r w:rsidRPr="008E457C">
        <w:rPr>
          <w:b w:val="0"/>
        </w:rPr>
        <w:t xml:space="preserve"> : </w:t>
      </w:r>
      <w:r w:rsidRPr="008E457C">
        <w:rPr>
          <w:b w:val="0"/>
          <w:noProof/>
          <w:lang w:val="fr-BE"/>
        </w:rPr>
        <w:t>Wspólne wskaźniki produktu dla EFS oraz Inicjatywy na rzecz zatrudnienia ludzi młodych</w:t>
      </w:r>
      <w:r w:rsidR="00A11A16">
        <w:rPr>
          <w:b w:val="0"/>
        </w:rPr>
        <w:t xml:space="preserve"> - </w:t>
      </w:r>
      <w:r w:rsidR="00A11A16" w:rsidRPr="002124FC">
        <w:rPr>
          <w:noProof/>
          <w:sz w:val="20"/>
          <w:szCs w:val="20"/>
          <w:lang w:val="fr-BE"/>
        </w:rPr>
        <w:t>10</w:t>
      </w:r>
      <w:r w:rsidR="00A11A16">
        <w:rPr>
          <w:sz w:val="20"/>
          <w:szCs w:val="20"/>
          <w:lang w:val="fr-BE"/>
        </w:rPr>
        <w:t xml:space="preserve"> / </w:t>
      </w:r>
      <w:r w:rsidR="00A11A16" w:rsidRPr="002124FC">
        <w:rPr>
          <w:noProof/>
          <w:sz w:val="20"/>
          <w:szCs w:val="20"/>
          <w:lang w:val="fr-BE"/>
        </w:rPr>
        <w:t>8v</w:t>
      </w:r>
      <w:bookmarkEnd w:id="21"/>
    </w:p>
    <w:p w14:paraId="60623FE4" w14:textId="77777777" w:rsidR="008C5CFA" w:rsidRDefault="008C5CFA" w:rsidP="00300A01">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01"/>
        <w:gridCol w:w="6895"/>
        <w:gridCol w:w="1019"/>
        <w:gridCol w:w="594"/>
        <w:gridCol w:w="654"/>
        <w:gridCol w:w="521"/>
        <w:gridCol w:w="534"/>
        <w:gridCol w:w="654"/>
        <w:gridCol w:w="534"/>
        <w:gridCol w:w="514"/>
        <w:gridCol w:w="654"/>
        <w:gridCol w:w="521"/>
        <w:gridCol w:w="514"/>
        <w:gridCol w:w="654"/>
        <w:gridCol w:w="521"/>
      </w:tblGrid>
      <w:tr w:rsidR="006B2EC1" w14:paraId="78E26910" w14:textId="77777777" w:rsidTr="0047688D">
        <w:trPr>
          <w:cantSplit/>
          <w:tblHeader/>
        </w:trPr>
        <w:tc>
          <w:tcPr>
            <w:tcW w:w="0" w:type="auto"/>
            <w:shd w:val="clear" w:color="auto" w:fill="auto"/>
          </w:tcPr>
          <w:p w14:paraId="3439F861" w14:textId="77777777" w:rsidR="008C5CFA" w:rsidRPr="00F53019" w:rsidRDefault="00E82A60" w:rsidP="00300A01">
            <w:pPr>
              <w:spacing w:before="0" w:after="0"/>
              <w:rPr>
                <w:b/>
                <w:sz w:val="12"/>
                <w:szCs w:val="12"/>
                <w:lang w:val="fr-BE"/>
              </w:rPr>
            </w:pPr>
            <w:r w:rsidRPr="00F53019">
              <w:rPr>
                <w:b/>
                <w:noProof/>
                <w:sz w:val="12"/>
                <w:szCs w:val="12"/>
                <w:lang w:val="fr-BE"/>
              </w:rPr>
              <w:t>ID</w:t>
            </w:r>
          </w:p>
        </w:tc>
        <w:tc>
          <w:tcPr>
            <w:tcW w:w="0" w:type="auto"/>
            <w:shd w:val="clear" w:color="auto" w:fill="auto"/>
          </w:tcPr>
          <w:p w14:paraId="2EFA5FF4" w14:textId="77777777" w:rsidR="008C5CFA" w:rsidRPr="00F53019" w:rsidRDefault="00E82A60" w:rsidP="00300A01">
            <w:pPr>
              <w:spacing w:before="0" w:after="0"/>
              <w:rPr>
                <w:b/>
                <w:sz w:val="12"/>
                <w:szCs w:val="12"/>
                <w:lang w:val="fr-BE"/>
              </w:rPr>
            </w:pPr>
            <w:r w:rsidRPr="00F53019">
              <w:rPr>
                <w:b/>
                <w:noProof/>
                <w:sz w:val="12"/>
                <w:szCs w:val="12"/>
                <w:lang w:val="fr-BE"/>
              </w:rPr>
              <w:t>Wskaźnik</w:t>
            </w:r>
          </w:p>
        </w:tc>
        <w:tc>
          <w:tcPr>
            <w:tcW w:w="0" w:type="auto"/>
            <w:shd w:val="clear" w:color="auto" w:fill="auto"/>
          </w:tcPr>
          <w:p w14:paraId="563FEEC1" w14:textId="77777777" w:rsidR="008C5CFA" w:rsidRPr="00F53019" w:rsidRDefault="00E82A60" w:rsidP="00300A01">
            <w:pPr>
              <w:spacing w:before="0" w:after="0"/>
              <w:rPr>
                <w:b/>
                <w:sz w:val="12"/>
                <w:szCs w:val="12"/>
                <w:lang w:val="fr-BE"/>
              </w:rPr>
            </w:pPr>
            <w:r w:rsidRPr="00F53019">
              <w:rPr>
                <w:b/>
                <w:noProof/>
                <w:sz w:val="12"/>
                <w:szCs w:val="12"/>
                <w:lang w:val="fr-BE"/>
              </w:rPr>
              <w:t>Kategoria regionu</w:t>
            </w:r>
          </w:p>
        </w:tc>
        <w:tc>
          <w:tcPr>
            <w:tcW w:w="0" w:type="auto"/>
            <w:gridSpan w:val="3"/>
            <w:shd w:val="clear" w:color="auto" w:fill="auto"/>
          </w:tcPr>
          <w:p w14:paraId="6DB73728" w14:textId="77777777" w:rsidR="008C5CFA" w:rsidRPr="00F53019" w:rsidRDefault="00E82A60" w:rsidP="00300A01">
            <w:pPr>
              <w:spacing w:before="0" w:after="0"/>
              <w:jc w:val="center"/>
              <w:rPr>
                <w:b/>
                <w:sz w:val="12"/>
                <w:szCs w:val="12"/>
                <w:lang w:val="fr-BE"/>
              </w:rPr>
            </w:pPr>
            <w:r w:rsidRPr="00F53019">
              <w:rPr>
                <w:b/>
                <w:noProof/>
                <w:sz w:val="12"/>
                <w:szCs w:val="12"/>
                <w:lang w:val="fr-BE"/>
              </w:rPr>
              <w:t>Wartość docelowa (2023)</w:t>
            </w:r>
          </w:p>
        </w:tc>
        <w:tc>
          <w:tcPr>
            <w:tcW w:w="0" w:type="auto"/>
            <w:gridSpan w:val="3"/>
            <w:shd w:val="clear" w:color="auto" w:fill="auto"/>
          </w:tcPr>
          <w:p w14:paraId="28CBD997" w14:textId="77777777" w:rsidR="008C5CFA" w:rsidRPr="00F53019" w:rsidRDefault="00E82A60" w:rsidP="00300A01">
            <w:pPr>
              <w:spacing w:before="0" w:after="0"/>
              <w:jc w:val="center"/>
              <w:rPr>
                <w:b/>
                <w:sz w:val="12"/>
                <w:szCs w:val="12"/>
                <w:lang w:val="fr-BE"/>
              </w:rPr>
            </w:pPr>
            <w:r w:rsidRPr="00F53019">
              <w:rPr>
                <w:b/>
                <w:noProof/>
                <w:sz w:val="12"/>
                <w:szCs w:val="12"/>
                <w:lang w:val="fr-BE"/>
              </w:rPr>
              <w:t>Wartość skumulowana</w:t>
            </w:r>
          </w:p>
        </w:tc>
        <w:tc>
          <w:tcPr>
            <w:tcW w:w="0" w:type="auto"/>
            <w:gridSpan w:val="3"/>
            <w:shd w:val="clear" w:color="auto" w:fill="auto"/>
          </w:tcPr>
          <w:p w14:paraId="2F674A9A" w14:textId="77777777" w:rsidR="008C5CFA" w:rsidRPr="00F53019" w:rsidRDefault="00E82A60" w:rsidP="00300A01">
            <w:pPr>
              <w:spacing w:before="0" w:after="0"/>
              <w:jc w:val="center"/>
              <w:rPr>
                <w:b/>
                <w:sz w:val="12"/>
                <w:szCs w:val="12"/>
                <w:lang w:val="fr-BE"/>
              </w:rPr>
            </w:pPr>
            <w:r w:rsidRPr="00F53019">
              <w:rPr>
                <w:b/>
                <w:noProof/>
                <w:sz w:val="12"/>
                <w:szCs w:val="12"/>
                <w:lang w:val="fr-BE"/>
              </w:rPr>
              <w:t>Wskaźnik osiągnięć</w:t>
            </w:r>
          </w:p>
        </w:tc>
        <w:tc>
          <w:tcPr>
            <w:tcW w:w="0" w:type="auto"/>
            <w:gridSpan w:val="3"/>
          </w:tcPr>
          <w:p w14:paraId="28A5BA22" w14:textId="77777777" w:rsidR="008C5CFA" w:rsidRPr="00F53019" w:rsidRDefault="0047688D" w:rsidP="00300A01">
            <w:pPr>
              <w:spacing w:before="0" w:after="0"/>
              <w:jc w:val="center"/>
              <w:rPr>
                <w:b/>
                <w:sz w:val="12"/>
                <w:szCs w:val="12"/>
                <w:lang w:val="fr-BE"/>
              </w:rPr>
            </w:pPr>
            <w:r w:rsidRPr="008C2BD7">
              <w:rPr>
                <w:noProof/>
                <w:sz w:val="12"/>
                <w:szCs w:val="12"/>
              </w:rPr>
              <w:t>2019</w:t>
            </w:r>
          </w:p>
        </w:tc>
      </w:tr>
      <w:tr w:rsidR="006B2EC1" w14:paraId="5C95D636" w14:textId="77777777" w:rsidTr="0047688D">
        <w:trPr>
          <w:cantSplit/>
          <w:tblHeader/>
        </w:trPr>
        <w:tc>
          <w:tcPr>
            <w:tcW w:w="0" w:type="auto"/>
            <w:shd w:val="clear" w:color="auto" w:fill="auto"/>
          </w:tcPr>
          <w:p w14:paraId="20E58C4A" w14:textId="77777777" w:rsidR="008C5CFA" w:rsidRPr="00F53019" w:rsidRDefault="008C5CFA" w:rsidP="00300A01">
            <w:pPr>
              <w:spacing w:before="0" w:after="0"/>
              <w:rPr>
                <w:b/>
                <w:sz w:val="12"/>
                <w:szCs w:val="12"/>
                <w:lang w:val="fr-BE"/>
              </w:rPr>
            </w:pPr>
          </w:p>
        </w:tc>
        <w:tc>
          <w:tcPr>
            <w:tcW w:w="0" w:type="auto"/>
            <w:shd w:val="clear" w:color="auto" w:fill="auto"/>
          </w:tcPr>
          <w:p w14:paraId="2143C7EE" w14:textId="77777777" w:rsidR="008C5CFA" w:rsidRPr="00F53019" w:rsidRDefault="008C5CFA" w:rsidP="00300A01">
            <w:pPr>
              <w:spacing w:before="0" w:after="0"/>
              <w:rPr>
                <w:b/>
                <w:sz w:val="12"/>
                <w:szCs w:val="12"/>
                <w:lang w:val="fr-BE"/>
              </w:rPr>
            </w:pPr>
          </w:p>
        </w:tc>
        <w:tc>
          <w:tcPr>
            <w:tcW w:w="0" w:type="auto"/>
            <w:shd w:val="clear" w:color="auto" w:fill="auto"/>
          </w:tcPr>
          <w:p w14:paraId="4059AF28" w14:textId="77777777" w:rsidR="008C5CFA" w:rsidRPr="00F53019" w:rsidRDefault="008C5CFA" w:rsidP="00300A01">
            <w:pPr>
              <w:spacing w:before="0" w:after="0"/>
              <w:rPr>
                <w:b/>
                <w:sz w:val="12"/>
                <w:szCs w:val="12"/>
                <w:lang w:val="fr-BE"/>
              </w:rPr>
            </w:pPr>
          </w:p>
        </w:tc>
        <w:tc>
          <w:tcPr>
            <w:tcW w:w="0" w:type="auto"/>
            <w:shd w:val="clear" w:color="auto" w:fill="auto"/>
          </w:tcPr>
          <w:p w14:paraId="4BA16620" w14:textId="77777777" w:rsidR="008C5CFA" w:rsidRPr="00F53019" w:rsidRDefault="00E82A60" w:rsidP="00300A01">
            <w:pPr>
              <w:spacing w:before="0" w:after="0"/>
              <w:jc w:val="center"/>
              <w:rPr>
                <w:b/>
                <w:sz w:val="12"/>
                <w:szCs w:val="12"/>
                <w:lang w:val="fr-BE"/>
              </w:rPr>
            </w:pPr>
            <w:r w:rsidRPr="00F53019">
              <w:rPr>
                <w:b/>
                <w:noProof/>
                <w:sz w:val="12"/>
                <w:szCs w:val="12"/>
                <w:lang w:val="fr-BE"/>
              </w:rPr>
              <w:t>Ogółem</w:t>
            </w:r>
          </w:p>
        </w:tc>
        <w:tc>
          <w:tcPr>
            <w:tcW w:w="0" w:type="auto"/>
            <w:shd w:val="clear" w:color="auto" w:fill="auto"/>
          </w:tcPr>
          <w:p w14:paraId="09D7B63D" w14:textId="77777777" w:rsidR="008C5CFA" w:rsidRPr="00F53019" w:rsidRDefault="00E82A60"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14:paraId="3377091E" w14:textId="77777777" w:rsidR="008C5CFA" w:rsidRPr="00F53019" w:rsidRDefault="00E82A60" w:rsidP="00300A01">
            <w:pPr>
              <w:spacing w:before="0" w:after="0"/>
              <w:jc w:val="center"/>
              <w:rPr>
                <w:b/>
                <w:sz w:val="12"/>
                <w:szCs w:val="12"/>
                <w:lang w:val="fr-BE"/>
              </w:rPr>
            </w:pPr>
            <w:r w:rsidRPr="00F53019">
              <w:rPr>
                <w:b/>
                <w:noProof/>
                <w:sz w:val="12"/>
                <w:szCs w:val="12"/>
                <w:lang w:val="fr-BE"/>
              </w:rPr>
              <w:t>Kobiety</w:t>
            </w:r>
          </w:p>
        </w:tc>
        <w:tc>
          <w:tcPr>
            <w:tcW w:w="0" w:type="auto"/>
            <w:shd w:val="clear" w:color="auto" w:fill="auto"/>
          </w:tcPr>
          <w:p w14:paraId="78A59E42" w14:textId="77777777" w:rsidR="008C5CFA" w:rsidRPr="00F53019" w:rsidRDefault="00E82A60" w:rsidP="00300A01">
            <w:pPr>
              <w:spacing w:before="0" w:after="0"/>
              <w:jc w:val="center"/>
              <w:rPr>
                <w:b/>
                <w:sz w:val="12"/>
                <w:szCs w:val="12"/>
                <w:lang w:val="fr-BE"/>
              </w:rPr>
            </w:pPr>
            <w:r w:rsidRPr="00F53019">
              <w:rPr>
                <w:b/>
                <w:noProof/>
                <w:sz w:val="12"/>
                <w:szCs w:val="12"/>
                <w:lang w:val="fr-BE"/>
              </w:rPr>
              <w:t>Ogółem</w:t>
            </w:r>
          </w:p>
        </w:tc>
        <w:tc>
          <w:tcPr>
            <w:tcW w:w="0" w:type="auto"/>
            <w:shd w:val="clear" w:color="auto" w:fill="auto"/>
          </w:tcPr>
          <w:p w14:paraId="04B54C6E" w14:textId="77777777" w:rsidR="008C5CFA" w:rsidRPr="00F53019" w:rsidRDefault="00E82A60"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14:paraId="3A41D494" w14:textId="77777777" w:rsidR="008C5CFA" w:rsidRPr="00F53019" w:rsidRDefault="00E82A60" w:rsidP="00300A01">
            <w:pPr>
              <w:spacing w:before="0" w:after="0"/>
              <w:jc w:val="center"/>
              <w:rPr>
                <w:b/>
                <w:sz w:val="12"/>
                <w:szCs w:val="12"/>
                <w:lang w:val="fr-BE"/>
              </w:rPr>
            </w:pPr>
            <w:r w:rsidRPr="00F53019">
              <w:rPr>
                <w:b/>
                <w:noProof/>
                <w:sz w:val="12"/>
                <w:szCs w:val="12"/>
                <w:lang w:val="fr-BE"/>
              </w:rPr>
              <w:t>Kobiety</w:t>
            </w:r>
          </w:p>
        </w:tc>
        <w:tc>
          <w:tcPr>
            <w:tcW w:w="0" w:type="auto"/>
            <w:shd w:val="clear" w:color="auto" w:fill="auto"/>
          </w:tcPr>
          <w:p w14:paraId="0A850996" w14:textId="77777777" w:rsidR="008C5CFA" w:rsidRPr="00F53019" w:rsidRDefault="00E82A60" w:rsidP="00300A01">
            <w:pPr>
              <w:spacing w:before="0" w:after="0"/>
              <w:jc w:val="center"/>
              <w:rPr>
                <w:b/>
                <w:sz w:val="12"/>
                <w:szCs w:val="12"/>
                <w:lang w:val="fr-BE"/>
              </w:rPr>
            </w:pPr>
            <w:r w:rsidRPr="00F53019">
              <w:rPr>
                <w:b/>
                <w:noProof/>
                <w:sz w:val="12"/>
                <w:szCs w:val="12"/>
                <w:lang w:val="fr-BE"/>
              </w:rPr>
              <w:t>Ogółem</w:t>
            </w:r>
          </w:p>
        </w:tc>
        <w:tc>
          <w:tcPr>
            <w:tcW w:w="0" w:type="auto"/>
            <w:shd w:val="clear" w:color="auto" w:fill="auto"/>
          </w:tcPr>
          <w:p w14:paraId="2CCD6E79" w14:textId="77777777" w:rsidR="008C5CFA" w:rsidRPr="00F53019" w:rsidRDefault="00E82A60"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14:paraId="6013ED86" w14:textId="77777777" w:rsidR="008C5CFA" w:rsidRPr="00F53019" w:rsidRDefault="00E82A60" w:rsidP="00300A01">
            <w:pPr>
              <w:spacing w:before="0" w:after="0"/>
              <w:jc w:val="center"/>
              <w:rPr>
                <w:b/>
                <w:sz w:val="12"/>
                <w:szCs w:val="12"/>
                <w:lang w:val="fr-BE"/>
              </w:rPr>
            </w:pPr>
            <w:r w:rsidRPr="00F53019">
              <w:rPr>
                <w:b/>
                <w:noProof/>
                <w:sz w:val="12"/>
                <w:szCs w:val="12"/>
                <w:lang w:val="fr-BE"/>
              </w:rPr>
              <w:t>Kobiety</w:t>
            </w:r>
          </w:p>
        </w:tc>
        <w:tc>
          <w:tcPr>
            <w:tcW w:w="0" w:type="auto"/>
          </w:tcPr>
          <w:p w14:paraId="778C1826" w14:textId="77777777" w:rsidR="008C5CFA" w:rsidRPr="00F53019" w:rsidRDefault="00E82A60" w:rsidP="00300A01">
            <w:pPr>
              <w:spacing w:before="0" w:after="0"/>
              <w:jc w:val="center"/>
              <w:rPr>
                <w:b/>
                <w:sz w:val="12"/>
                <w:szCs w:val="12"/>
                <w:lang w:val="fr-BE"/>
              </w:rPr>
            </w:pPr>
            <w:r w:rsidRPr="00F53019">
              <w:rPr>
                <w:b/>
                <w:noProof/>
                <w:sz w:val="12"/>
                <w:szCs w:val="12"/>
                <w:lang w:val="fr-BE"/>
              </w:rPr>
              <w:t>Ogółem</w:t>
            </w:r>
          </w:p>
        </w:tc>
        <w:tc>
          <w:tcPr>
            <w:tcW w:w="0" w:type="auto"/>
            <w:shd w:val="clear" w:color="auto" w:fill="auto"/>
          </w:tcPr>
          <w:p w14:paraId="54876E47" w14:textId="77777777" w:rsidR="008C5CFA" w:rsidRPr="00F53019" w:rsidRDefault="00E82A60"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14:paraId="6A9E7906" w14:textId="77777777" w:rsidR="008C5CFA" w:rsidRPr="00F53019" w:rsidRDefault="00E82A60" w:rsidP="00300A01">
            <w:pPr>
              <w:spacing w:before="0" w:after="0"/>
              <w:jc w:val="center"/>
              <w:rPr>
                <w:b/>
                <w:sz w:val="12"/>
                <w:szCs w:val="12"/>
                <w:lang w:val="fr-BE"/>
              </w:rPr>
            </w:pPr>
            <w:r w:rsidRPr="00F53019">
              <w:rPr>
                <w:b/>
                <w:noProof/>
                <w:sz w:val="12"/>
                <w:szCs w:val="12"/>
                <w:lang w:val="fr-BE"/>
              </w:rPr>
              <w:t>Kobiety</w:t>
            </w:r>
          </w:p>
        </w:tc>
      </w:tr>
      <w:tr w:rsidR="006B2EC1" w14:paraId="452D4823" w14:textId="77777777" w:rsidTr="0047688D">
        <w:tc>
          <w:tcPr>
            <w:tcW w:w="0" w:type="auto"/>
            <w:shd w:val="clear" w:color="auto" w:fill="auto"/>
          </w:tcPr>
          <w:p w14:paraId="7B47B932" w14:textId="77777777" w:rsidR="008C5CFA" w:rsidRPr="00BA47B4" w:rsidRDefault="00E82A60" w:rsidP="00300A01">
            <w:pPr>
              <w:spacing w:before="0" w:after="0"/>
              <w:rPr>
                <w:sz w:val="12"/>
                <w:szCs w:val="12"/>
                <w:lang w:val="fr-BE"/>
              </w:rPr>
            </w:pPr>
            <w:r>
              <w:rPr>
                <w:noProof/>
                <w:sz w:val="12"/>
                <w:szCs w:val="12"/>
                <w:lang w:val="fr-BE"/>
              </w:rPr>
              <w:t>CO01</w:t>
            </w:r>
          </w:p>
        </w:tc>
        <w:tc>
          <w:tcPr>
            <w:tcW w:w="0" w:type="auto"/>
            <w:shd w:val="clear" w:color="auto" w:fill="auto"/>
          </w:tcPr>
          <w:p w14:paraId="09989C5E" w14:textId="77777777" w:rsidR="008C5CFA" w:rsidRPr="00BA47B4" w:rsidRDefault="00E82A60" w:rsidP="00300A01">
            <w:pPr>
              <w:spacing w:before="0" w:after="0"/>
              <w:rPr>
                <w:sz w:val="12"/>
                <w:szCs w:val="12"/>
                <w:lang w:val="fr-BE"/>
              </w:rPr>
            </w:pPr>
            <w:r>
              <w:rPr>
                <w:noProof/>
                <w:sz w:val="12"/>
                <w:szCs w:val="12"/>
                <w:lang w:val="fr-BE"/>
              </w:rPr>
              <w:t>bezrobotni, w tym długotrwale bezrobotni</w:t>
            </w:r>
          </w:p>
        </w:tc>
        <w:tc>
          <w:tcPr>
            <w:tcW w:w="0" w:type="auto"/>
            <w:shd w:val="clear" w:color="auto" w:fill="auto"/>
          </w:tcPr>
          <w:p w14:paraId="3EB37686" w14:textId="77777777" w:rsidR="008C5CFA" w:rsidRPr="00BA47B4" w:rsidRDefault="00E82A60"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14:paraId="05D6CB40" w14:textId="77777777" w:rsidR="008C5CFA" w:rsidRPr="00BA47B4" w:rsidRDefault="008C5CFA" w:rsidP="00300A01">
            <w:pPr>
              <w:spacing w:before="0" w:after="0"/>
              <w:jc w:val="right"/>
              <w:rPr>
                <w:sz w:val="12"/>
                <w:szCs w:val="12"/>
                <w:lang w:val="fr-BE"/>
              </w:rPr>
            </w:pPr>
          </w:p>
        </w:tc>
        <w:tc>
          <w:tcPr>
            <w:tcW w:w="0" w:type="auto"/>
            <w:shd w:val="clear" w:color="auto" w:fill="auto"/>
          </w:tcPr>
          <w:p w14:paraId="1C3FFE30" w14:textId="77777777" w:rsidR="008C5CFA" w:rsidRPr="00BA47B4" w:rsidRDefault="008C5CFA" w:rsidP="00300A01">
            <w:pPr>
              <w:spacing w:before="0" w:after="0"/>
              <w:jc w:val="right"/>
              <w:rPr>
                <w:sz w:val="12"/>
                <w:szCs w:val="12"/>
                <w:lang w:val="fr-BE"/>
              </w:rPr>
            </w:pPr>
          </w:p>
        </w:tc>
        <w:tc>
          <w:tcPr>
            <w:tcW w:w="0" w:type="auto"/>
            <w:shd w:val="clear" w:color="auto" w:fill="auto"/>
          </w:tcPr>
          <w:p w14:paraId="5E074A28" w14:textId="77777777" w:rsidR="008C5CFA" w:rsidRPr="00BA47B4" w:rsidRDefault="008C5CFA" w:rsidP="00300A01">
            <w:pPr>
              <w:spacing w:before="0" w:after="0"/>
              <w:jc w:val="right"/>
              <w:rPr>
                <w:sz w:val="12"/>
                <w:szCs w:val="12"/>
                <w:lang w:val="fr-BE"/>
              </w:rPr>
            </w:pPr>
          </w:p>
        </w:tc>
        <w:tc>
          <w:tcPr>
            <w:tcW w:w="0" w:type="auto"/>
            <w:shd w:val="clear" w:color="auto" w:fill="auto"/>
          </w:tcPr>
          <w:p w14:paraId="58B4CEC0"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2B6C7D02"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7C0486B9"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54B14E9B" w14:textId="77777777" w:rsidR="008C5CFA" w:rsidRPr="00BA47B4" w:rsidRDefault="008C5CFA" w:rsidP="00300A01">
            <w:pPr>
              <w:spacing w:before="0" w:after="0"/>
              <w:jc w:val="right"/>
              <w:rPr>
                <w:sz w:val="12"/>
                <w:szCs w:val="12"/>
                <w:lang w:val="fr-BE"/>
              </w:rPr>
            </w:pPr>
          </w:p>
        </w:tc>
        <w:tc>
          <w:tcPr>
            <w:tcW w:w="0" w:type="auto"/>
            <w:shd w:val="clear" w:color="auto" w:fill="auto"/>
          </w:tcPr>
          <w:p w14:paraId="312183A0" w14:textId="77777777" w:rsidR="008C5CFA" w:rsidRPr="00BA47B4" w:rsidRDefault="008C5CFA" w:rsidP="00300A01">
            <w:pPr>
              <w:spacing w:before="0" w:after="0"/>
              <w:jc w:val="right"/>
              <w:rPr>
                <w:sz w:val="12"/>
                <w:szCs w:val="12"/>
                <w:lang w:val="fr-BE"/>
              </w:rPr>
            </w:pPr>
          </w:p>
        </w:tc>
        <w:tc>
          <w:tcPr>
            <w:tcW w:w="0" w:type="auto"/>
            <w:shd w:val="clear" w:color="auto" w:fill="auto"/>
          </w:tcPr>
          <w:p w14:paraId="6DC35981" w14:textId="77777777" w:rsidR="008C5CFA" w:rsidRPr="00BA47B4" w:rsidRDefault="008C5CFA" w:rsidP="00300A01">
            <w:pPr>
              <w:spacing w:before="0" w:after="0"/>
              <w:jc w:val="right"/>
              <w:rPr>
                <w:sz w:val="12"/>
                <w:szCs w:val="12"/>
                <w:lang w:val="fr-BE"/>
              </w:rPr>
            </w:pPr>
          </w:p>
        </w:tc>
        <w:tc>
          <w:tcPr>
            <w:tcW w:w="0" w:type="auto"/>
          </w:tcPr>
          <w:p w14:paraId="7A4D9588"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14:paraId="0D6E835C"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14:paraId="63B22B20" w14:textId="77777777" w:rsidR="008C5CFA" w:rsidRPr="00BA47B4" w:rsidRDefault="00E82A60" w:rsidP="00300A01">
            <w:pPr>
              <w:spacing w:before="0" w:after="0"/>
              <w:jc w:val="right"/>
              <w:rPr>
                <w:sz w:val="12"/>
                <w:szCs w:val="12"/>
                <w:lang w:val="fr-BE"/>
              </w:rPr>
            </w:pPr>
            <w:r w:rsidRPr="00A92B39">
              <w:rPr>
                <w:noProof/>
                <w:sz w:val="10"/>
                <w:szCs w:val="10"/>
                <w:lang w:val="fr-BE"/>
              </w:rPr>
              <w:t>0,00</w:t>
            </w:r>
          </w:p>
        </w:tc>
      </w:tr>
      <w:tr w:rsidR="006B2EC1" w14:paraId="4E0991DC" w14:textId="77777777" w:rsidTr="0047688D">
        <w:tc>
          <w:tcPr>
            <w:tcW w:w="0" w:type="auto"/>
            <w:shd w:val="clear" w:color="auto" w:fill="auto"/>
          </w:tcPr>
          <w:p w14:paraId="75353490" w14:textId="77777777" w:rsidR="008C5CFA" w:rsidRPr="00BA47B4" w:rsidRDefault="00E82A60" w:rsidP="00300A01">
            <w:pPr>
              <w:spacing w:before="0" w:after="0"/>
              <w:rPr>
                <w:sz w:val="12"/>
                <w:szCs w:val="12"/>
                <w:lang w:val="fr-BE"/>
              </w:rPr>
            </w:pPr>
            <w:r>
              <w:rPr>
                <w:noProof/>
                <w:sz w:val="12"/>
                <w:szCs w:val="12"/>
                <w:lang w:val="fr-BE"/>
              </w:rPr>
              <w:t>CO02</w:t>
            </w:r>
          </w:p>
        </w:tc>
        <w:tc>
          <w:tcPr>
            <w:tcW w:w="0" w:type="auto"/>
            <w:shd w:val="clear" w:color="auto" w:fill="auto"/>
          </w:tcPr>
          <w:p w14:paraId="152E6DF4" w14:textId="77777777" w:rsidR="008C5CFA" w:rsidRPr="00BA47B4" w:rsidRDefault="00E82A60" w:rsidP="00300A01">
            <w:pPr>
              <w:spacing w:before="0" w:after="0"/>
              <w:rPr>
                <w:sz w:val="12"/>
                <w:szCs w:val="12"/>
                <w:lang w:val="fr-BE"/>
              </w:rPr>
            </w:pPr>
            <w:r>
              <w:rPr>
                <w:noProof/>
                <w:sz w:val="12"/>
                <w:szCs w:val="12"/>
                <w:lang w:val="fr-BE"/>
              </w:rPr>
              <w:t>długotrwale bezrobotni</w:t>
            </w:r>
          </w:p>
        </w:tc>
        <w:tc>
          <w:tcPr>
            <w:tcW w:w="0" w:type="auto"/>
            <w:shd w:val="clear" w:color="auto" w:fill="auto"/>
          </w:tcPr>
          <w:p w14:paraId="313CE403" w14:textId="77777777" w:rsidR="008C5CFA" w:rsidRPr="00BA47B4" w:rsidRDefault="00E82A60"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14:paraId="08040DAD" w14:textId="77777777" w:rsidR="008C5CFA" w:rsidRPr="00BA47B4" w:rsidRDefault="008C5CFA" w:rsidP="00300A01">
            <w:pPr>
              <w:spacing w:before="0" w:after="0"/>
              <w:jc w:val="right"/>
              <w:rPr>
                <w:sz w:val="12"/>
                <w:szCs w:val="12"/>
                <w:lang w:val="fr-BE"/>
              </w:rPr>
            </w:pPr>
          </w:p>
        </w:tc>
        <w:tc>
          <w:tcPr>
            <w:tcW w:w="0" w:type="auto"/>
            <w:shd w:val="clear" w:color="auto" w:fill="auto"/>
          </w:tcPr>
          <w:p w14:paraId="1E8D5D5F" w14:textId="77777777" w:rsidR="008C5CFA" w:rsidRPr="00BA47B4" w:rsidRDefault="008C5CFA" w:rsidP="00300A01">
            <w:pPr>
              <w:spacing w:before="0" w:after="0"/>
              <w:jc w:val="right"/>
              <w:rPr>
                <w:sz w:val="12"/>
                <w:szCs w:val="12"/>
                <w:lang w:val="fr-BE"/>
              </w:rPr>
            </w:pPr>
          </w:p>
        </w:tc>
        <w:tc>
          <w:tcPr>
            <w:tcW w:w="0" w:type="auto"/>
            <w:shd w:val="clear" w:color="auto" w:fill="auto"/>
          </w:tcPr>
          <w:p w14:paraId="3043CFD8" w14:textId="77777777" w:rsidR="008C5CFA" w:rsidRPr="00BA47B4" w:rsidRDefault="008C5CFA" w:rsidP="00300A01">
            <w:pPr>
              <w:spacing w:before="0" w:after="0"/>
              <w:jc w:val="right"/>
              <w:rPr>
                <w:sz w:val="12"/>
                <w:szCs w:val="12"/>
                <w:lang w:val="fr-BE"/>
              </w:rPr>
            </w:pPr>
          </w:p>
        </w:tc>
        <w:tc>
          <w:tcPr>
            <w:tcW w:w="0" w:type="auto"/>
            <w:shd w:val="clear" w:color="auto" w:fill="auto"/>
          </w:tcPr>
          <w:p w14:paraId="34894C23"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123ABD2C"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72780E62"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02CCB7CC" w14:textId="77777777" w:rsidR="008C5CFA" w:rsidRPr="00BA47B4" w:rsidRDefault="008C5CFA" w:rsidP="00300A01">
            <w:pPr>
              <w:spacing w:before="0" w:after="0"/>
              <w:jc w:val="right"/>
              <w:rPr>
                <w:sz w:val="12"/>
                <w:szCs w:val="12"/>
                <w:lang w:val="fr-BE"/>
              </w:rPr>
            </w:pPr>
          </w:p>
        </w:tc>
        <w:tc>
          <w:tcPr>
            <w:tcW w:w="0" w:type="auto"/>
            <w:shd w:val="clear" w:color="auto" w:fill="auto"/>
          </w:tcPr>
          <w:p w14:paraId="02B3B9B2" w14:textId="77777777" w:rsidR="008C5CFA" w:rsidRPr="00BA47B4" w:rsidRDefault="008C5CFA" w:rsidP="00300A01">
            <w:pPr>
              <w:spacing w:before="0" w:after="0"/>
              <w:jc w:val="right"/>
              <w:rPr>
                <w:sz w:val="12"/>
                <w:szCs w:val="12"/>
                <w:lang w:val="fr-BE"/>
              </w:rPr>
            </w:pPr>
          </w:p>
        </w:tc>
        <w:tc>
          <w:tcPr>
            <w:tcW w:w="0" w:type="auto"/>
            <w:shd w:val="clear" w:color="auto" w:fill="auto"/>
          </w:tcPr>
          <w:p w14:paraId="43E79810" w14:textId="77777777" w:rsidR="008C5CFA" w:rsidRPr="00BA47B4" w:rsidRDefault="008C5CFA" w:rsidP="00300A01">
            <w:pPr>
              <w:spacing w:before="0" w:after="0"/>
              <w:jc w:val="right"/>
              <w:rPr>
                <w:sz w:val="12"/>
                <w:szCs w:val="12"/>
                <w:lang w:val="fr-BE"/>
              </w:rPr>
            </w:pPr>
          </w:p>
        </w:tc>
        <w:tc>
          <w:tcPr>
            <w:tcW w:w="0" w:type="auto"/>
          </w:tcPr>
          <w:p w14:paraId="26C189B5"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14:paraId="69CCA62A"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14:paraId="6B0F890C" w14:textId="77777777" w:rsidR="008C5CFA" w:rsidRPr="00BA47B4" w:rsidRDefault="00E82A60" w:rsidP="00300A01">
            <w:pPr>
              <w:spacing w:before="0" w:after="0"/>
              <w:jc w:val="right"/>
              <w:rPr>
                <w:sz w:val="12"/>
                <w:szCs w:val="12"/>
                <w:lang w:val="fr-BE"/>
              </w:rPr>
            </w:pPr>
            <w:r w:rsidRPr="00A92B39">
              <w:rPr>
                <w:noProof/>
                <w:sz w:val="10"/>
                <w:szCs w:val="10"/>
                <w:lang w:val="fr-BE"/>
              </w:rPr>
              <w:t>0,00</w:t>
            </w:r>
          </w:p>
        </w:tc>
      </w:tr>
      <w:tr w:rsidR="006B2EC1" w14:paraId="79C78D15" w14:textId="77777777" w:rsidTr="0047688D">
        <w:tc>
          <w:tcPr>
            <w:tcW w:w="0" w:type="auto"/>
            <w:shd w:val="clear" w:color="auto" w:fill="auto"/>
          </w:tcPr>
          <w:p w14:paraId="602D928A" w14:textId="77777777" w:rsidR="008C5CFA" w:rsidRPr="00BA47B4" w:rsidRDefault="00E82A60" w:rsidP="00300A01">
            <w:pPr>
              <w:spacing w:before="0" w:after="0"/>
              <w:rPr>
                <w:sz w:val="12"/>
                <w:szCs w:val="12"/>
                <w:lang w:val="fr-BE"/>
              </w:rPr>
            </w:pPr>
            <w:r>
              <w:rPr>
                <w:noProof/>
                <w:sz w:val="12"/>
                <w:szCs w:val="12"/>
                <w:lang w:val="fr-BE"/>
              </w:rPr>
              <w:t>CO03</w:t>
            </w:r>
          </w:p>
        </w:tc>
        <w:tc>
          <w:tcPr>
            <w:tcW w:w="0" w:type="auto"/>
            <w:shd w:val="clear" w:color="auto" w:fill="auto"/>
          </w:tcPr>
          <w:p w14:paraId="4F5BAE5E" w14:textId="77777777" w:rsidR="008C5CFA" w:rsidRPr="00BA47B4" w:rsidRDefault="00E82A60" w:rsidP="00300A01">
            <w:pPr>
              <w:spacing w:before="0" w:after="0"/>
              <w:rPr>
                <w:sz w:val="12"/>
                <w:szCs w:val="12"/>
                <w:lang w:val="fr-BE"/>
              </w:rPr>
            </w:pPr>
            <w:r>
              <w:rPr>
                <w:noProof/>
                <w:sz w:val="12"/>
                <w:szCs w:val="12"/>
                <w:lang w:val="fr-BE"/>
              </w:rPr>
              <w:t>osoby bierne zawodowo</w:t>
            </w:r>
          </w:p>
        </w:tc>
        <w:tc>
          <w:tcPr>
            <w:tcW w:w="0" w:type="auto"/>
            <w:shd w:val="clear" w:color="auto" w:fill="auto"/>
          </w:tcPr>
          <w:p w14:paraId="0B3D3E1E" w14:textId="77777777" w:rsidR="008C5CFA" w:rsidRPr="00BA47B4" w:rsidRDefault="00E82A60"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14:paraId="4784C2F0" w14:textId="77777777" w:rsidR="008C5CFA" w:rsidRPr="00BA47B4" w:rsidRDefault="008C5CFA" w:rsidP="00300A01">
            <w:pPr>
              <w:spacing w:before="0" w:after="0"/>
              <w:jc w:val="right"/>
              <w:rPr>
                <w:sz w:val="12"/>
                <w:szCs w:val="12"/>
                <w:lang w:val="fr-BE"/>
              </w:rPr>
            </w:pPr>
          </w:p>
        </w:tc>
        <w:tc>
          <w:tcPr>
            <w:tcW w:w="0" w:type="auto"/>
            <w:shd w:val="clear" w:color="auto" w:fill="auto"/>
          </w:tcPr>
          <w:p w14:paraId="4B375A50" w14:textId="77777777" w:rsidR="008C5CFA" w:rsidRPr="00BA47B4" w:rsidRDefault="008C5CFA" w:rsidP="00300A01">
            <w:pPr>
              <w:spacing w:before="0" w:after="0"/>
              <w:jc w:val="right"/>
              <w:rPr>
                <w:sz w:val="12"/>
                <w:szCs w:val="12"/>
                <w:lang w:val="fr-BE"/>
              </w:rPr>
            </w:pPr>
          </w:p>
        </w:tc>
        <w:tc>
          <w:tcPr>
            <w:tcW w:w="0" w:type="auto"/>
            <w:shd w:val="clear" w:color="auto" w:fill="auto"/>
          </w:tcPr>
          <w:p w14:paraId="259082D6" w14:textId="77777777" w:rsidR="008C5CFA" w:rsidRPr="00BA47B4" w:rsidRDefault="008C5CFA" w:rsidP="00300A01">
            <w:pPr>
              <w:spacing w:before="0" w:after="0"/>
              <w:jc w:val="right"/>
              <w:rPr>
                <w:sz w:val="12"/>
                <w:szCs w:val="12"/>
                <w:lang w:val="fr-BE"/>
              </w:rPr>
            </w:pPr>
          </w:p>
        </w:tc>
        <w:tc>
          <w:tcPr>
            <w:tcW w:w="0" w:type="auto"/>
            <w:shd w:val="clear" w:color="auto" w:fill="auto"/>
          </w:tcPr>
          <w:p w14:paraId="33F80211"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4C74141A"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1C33FFB1"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11E4DF67" w14:textId="77777777" w:rsidR="008C5CFA" w:rsidRPr="00BA47B4" w:rsidRDefault="008C5CFA" w:rsidP="00300A01">
            <w:pPr>
              <w:spacing w:before="0" w:after="0"/>
              <w:jc w:val="right"/>
              <w:rPr>
                <w:sz w:val="12"/>
                <w:szCs w:val="12"/>
                <w:lang w:val="fr-BE"/>
              </w:rPr>
            </w:pPr>
          </w:p>
        </w:tc>
        <w:tc>
          <w:tcPr>
            <w:tcW w:w="0" w:type="auto"/>
            <w:shd w:val="clear" w:color="auto" w:fill="auto"/>
          </w:tcPr>
          <w:p w14:paraId="145B2B71" w14:textId="77777777" w:rsidR="008C5CFA" w:rsidRPr="00BA47B4" w:rsidRDefault="008C5CFA" w:rsidP="00300A01">
            <w:pPr>
              <w:spacing w:before="0" w:after="0"/>
              <w:jc w:val="right"/>
              <w:rPr>
                <w:sz w:val="12"/>
                <w:szCs w:val="12"/>
                <w:lang w:val="fr-BE"/>
              </w:rPr>
            </w:pPr>
          </w:p>
        </w:tc>
        <w:tc>
          <w:tcPr>
            <w:tcW w:w="0" w:type="auto"/>
            <w:shd w:val="clear" w:color="auto" w:fill="auto"/>
          </w:tcPr>
          <w:p w14:paraId="089E4A4C" w14:textId="77777777" w:rsidR="008C5CFA" w:rsidRPr="00BA47B4" w:rsidRDefault="008C5CFA" w:rsidP="00300A01">
            <w:pPr>
              <w:spacing w:before="0" w:after="0"/>
              <w:jc w:val="right"/>
              <w:rPr>
                <w:sz w:val="12"/>
                <w:szCs w:val="12"/>
                <w:lang w:val="fr-BE"/>
              </w:rPr>
            </w:pPr>
          </w:p>
        </w:tc>
        <w:tc>
          <w:tcPr>
            <w:tcW w:w="0" w:type="auto"/>
          </w:tcPr>
          <w:p w14:paraId="3B94FA96"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14:paraId="5D5E1013"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14:paraId="7C9BA2F5" w14:textId="77777777" w:rsidR="008C5CFA" w:rsidRPr="00BA47B4" w:rsidRDefault="00E82A60" w:rsidP="00300A01">
            <w:pPr>
              <w:spacing w:before="0" w:after="0"/>
              <w:jc w:val="right"/>
              <w:rPr>
                <w:sz w:val="12"/>
                <w:szCs w:val="12"/>
                <w:lang w:val="fr-BE"/>
              </w:rPr>
            </w:pPr>
            <w:r w:rsidRPr="00A92B39">
              <w:rPr>
                <w:noProof/>
                <w:sz w:val="10"/>
                <w:szCs w:val="10"/>
                <w:lang w:val="fr-BE"/>
              </w:rPr>
              <w:t>0,00</w:t>
            </w:r>
          </w:p>
        </w:tc>
      </w:tr>
      <w:tr w:rsidR="006B2EC1" w14:paraId="1D69488C" w14:textId="77777777" w:rsidTr="0047688D">
        <w:tc>
          <w:tcPr>
            <w:tcW w:w="0" w:type="auto"/>
            <w:shd w:val="clear" w:color="auto" w:fill="auto"/>
          </w:tcPr>
          <w:p w14:paraId="777C5709" w14:textId="77777777" w:rsidR="008C5CFA" w:rsidRPr="00BA47B4" w:rsidRDefault="00E82A60" w:rsidP="00300A01">
            <w:pPr>
              <w:spacing w:before="0" w:after="0"/>
              <w:rPr>
                <w:sz w:val="12"/>
                <w:szCs w:val="12"/>
                <w:lang w:val="fr-BE"/>
              </w:rPr>
            </w:pPr>
            <w:r>
              <w:rPr>
                <w:noProof/>
                <w:sz w:val="12"/>
                <w:szCs w:val="12"/>
                <w:lang w:val="fr-BE"/>
              </w:rPr>
              <w:t>CO04</w:t>
            </w:r>
          </w:p>
        </w:tc>
        <w:tc>
          <w:tcPr>
            <w:tcW w:w="0" w:type="auto"/>
            <w:shd w:val="clear" w:color="auto" w:fill="auto"/>
          </w:tcPr>
          <w:p w14:paraId="7823F093" w14:textId="77777777" w:rsidR="008C5CFA" w:rsidRPr="00BA47B4" w:rsidRDefault="00E82A60" w:rsidP="00300A01">
            <w:pPr>
              <w:spacing w:before="0" w:after="0"/>
              <w:rPr>
                <w:sz w:val="12"/>
                <w:szCs w:val="12"/>
                <w:lang w:val="fr-BE"/>
              </w:rPr>
            </w:pPr>
            <w:r>
              <w:rPr>
                <w:noProof/>
                <w:sz w:val="12"/>
                <w:szCs w:val="12"/>
                <w:lang w:val="fr-BE"/>
              </w:rPr>
              <w:t>osoby bierne zawodowo, nieuczestniczące w kształceniu ani szkoleniu</w:t>
            </w:r>
          </w:p>
        </w:tc>
        <w:tc>
          <w:tcPr>
            <w:tcW w:w="0" w:type="auto"/>
            <w:shd w:val="clear" w:color="auto" w:fill="auto"/>
          </w:tcPr>
          <w:p w14:paraId="15D11E6F" w14:textId="77777777" w:rsidR="008C5CFA" w:rsidRPr="00BA47B4" w:rsidRDefault="00E82A60"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14:paraId="12893283" w14:textId="77777777" w:rsidR="008C5CFA" w:rsidRPr="00BA47B4" w:rsidRDefault="008C5CFA" w:rsidP="00300A01">
            <w:pPr>
              <w:spacing w:before="0" w:after="0"/>
              <w:jc w:val="right"/>
              <w:rPr>
                <w:sz w:val="12"/>
                <w:szCs w:val="12"/>
                <w:lang w:val="fr-BE"/>
              </w:rPr>
            </w:pPr>
          </w:p>
        </w:tc>
        <w:tc>
          <w:tcPr>
            <w:tcW w:w="0" w:type="auto"/>
            <w:shd w:val="clear" w:color="auto" w:fill="auto"/>
          </w:tcPr>
          <w:p w14:paraId="3463892F" w14:textId="77777777" w:rsidR="008C5CFA" w:rsidRPr="00BA47B4" w:rsidRDefault="008C5CFA" w:rsidP="00300A01">
            <w:pPr>
              <w:spacing w:before="0" w:after="0"/>
              <w:jc w:val="right"/>
              <w:rPr>
                <w:sz w:val="12"/>
                <w:szCs w:val="12"/>
                <w:lang w:val="fr-BE"/>
              </w:rPr>
            </w:pPr>
          </w:p>
        </w:tc>
        <w:tc>
          <w:tcPr>
            <w:tcW w:w="0" w:type="auto"/>
            <w:shd w:val="clear" w:color="auto" w:fill="auto"/>
          </w:tcPr>
          <w:p w14:paraId="69928F63" w14:textId="77777777" w:rsidR="008C5CFA" w:rsidRPr="00BA47B4" w:rsidRDefault="008C5CFA" w:rsidP="00300A01">
            <w:pPr>
              <w:spacing w:before="0" w:after="0"/>
              <w:jc w:val="right"/>
              <w:rPr>
                <w:sz w:val="12"/>
                <w:szCs w:val="12"/>
                <w:lang w:val="fr-BE"/>
              </w:rPr>
            </w:pPr>
          </w:p>
        </w:tc>
        <w:tc>
          <w:tcPr>
            <w:tcW w:w="0" w:type="auto"/>
            <w:shd w:val="clear" w:color="auto" w:fill="auto"/>
          </w:tcPr>
          <w:p w14:paraId="3693B576"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5BA54A4E"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6F207563"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4B445C1D" w14:textId="77777777" w:rsidR="008C5CFA" w:rsidRPr="00BA47B4" w:rsidRDefault="008C5CFA" w:rsidP="00300A01">
            <w:pPr>
              <w:spacing w:before="0" w:after="0"/>
              <w:jc w:val="right"/>
              <w:rPr>
                <w:sz w:val="12"/>
                <w:szCs w:val="12"/>
                <w:lang w:val="fr-BE"/>
              </w:rPr>
            </w:pPr>
          </w:p>
        </w:tc>
        <w:tc>
          <w:tcPr>
            <w:tcW w:w="0" w:type="auto"/>
            <w:shd w:val="clear" w:color="auto" w:fill="auto"/>
          </w:tcPr>
          <w:p w14:paraId="188E95D6" w14:textId="77777777" w:rsidR="008C5CFA" w:rsidRPr="00BA47B4" w:rsidRDefault="008C5CFA" w:rsidP="00300A01">
            <w:pPr>
              <w:spacing w:before="0" w:after="0"/>
              <w:jc w:val="right"/>
              <w:rPr>
                <w:sz w:val="12"/>
                <w:szCs w:val="12"/>
                <w:lang w:val="fr-BE"/>
              </w:rPr>
            </w:pPr>
          </w:p>
        </w:tc>
        <w:tc>
          <w:tcPr>
            <w:tcW w:w="0" w:type="auto"/>
            <w:shd w:val="clear" w:color="auto" w:fill="auto"/>
          </w:tcPr>
          <w:p w14:paraId="3116E94B" w14:textId="77777777" w:rsidR="008C5CFA" w:rsidRPr="00BA47B4" w:rsidRDefault="008C5CFA" w:rsidP="00300A01">
            <w:pPr>
              <w:spacing w:before="0" w:after="0"/>
              <w:jc w:val="right"/>
              <w:rPr>
                <w:sz w:val="12"/>
                <w:szCs w:val="12"/>
                <w:lang w:val="fr-BE"/>
              </w:rPr>
            </w:pPr>
          </w:p>
        </w:tc>
        <w:tc>
          <w:tcPr>
            <w:tcW w:w="0" w:type="auto"/>
          </w:tcPr>
          <w:p w14:paraId="57009EB6"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14:paraId="4DD59C5C"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14:paraId="16DC5303" w14:textId="77777777" w:rsidR="008C5CFA" w:rsidRPr="00BA47B4" w:rsidRDefault="00E82A60" w:rsidP="00300A01">
            <w:pPr>
              <w:spacing w:before="0" w:after="0"/>
              <w:jc w:val="right"/>
              <w:rPr>
                <w:sz w:val="12"/>
                <w:szCs w:val="12"/>
                <w:lang w:val="fr-BE"/>
              </w:rPr>
            </w:pPr>
            <w:r w:rsidRPr="00A92B39">
              <w:rPr>
                <w:noProof/>
                <w:sz w:val="10"/>
                <w:szCs w:val="10"/>
                <w:lang w:val="fr-BE"/>
              </w:rPr>
              <w:t>0,00</w:t>
            </w:r>
          </w:p>
        </w:tc>
      </w:tr>
      <w:tr w:rsidR="006B2EC1" w14:paraId="593A71B4" w14:textId="77777777" w:rsidTr="0047688D">
        <w:tc>
          <w:tcPr>
            <w:tcW w:w="0" w:type="auto"/>
            <w:shd w:val="clear" w:color="auto" w:fill="auto"/>
          </w:tcPr>
          <w:p w14:paraId="6B10EE03" w14:textId="77777777" w:rsidR="008C5CFA" w:rsidRPr="00BA47B4" w:rsidRDefault="00E82A60" w:rsidP="00300A01">
            <w:pPr>
              <w:spacing w:before="0" w:after="0"/>
              <w:rPr>
                <w:sz w:val="12"/>
                <w:szCs w:val="12"/>
                <w:lang w:val="fr-BE"/>
              </w:rPr>
            </w:pPr>
            <w:r>
              <w:rPr>
                <w:noProof/>
                <w:sz w:val="12"/>
                <w:szCs w:val="12"/>
                <w:lang w:val="fr-BE"/>
              </w:rPr>
              <w:t>CO05</w:t>
            </w:r>
          </w:p>
        </w:tc>
        <w:tc>
          <w:tcPr>
            <w:tcW w:w="0" w:type="auto"/>
            <w:shd w:val="clear" w:color="auto" w:fill="auto"/>
          </w:tcPr>
          <w:p w14:paraId="0387CA0D" w14:textId="77777777" w:rsidR="008C5CFA" w:rsidRPr="00BA47B4" w:rsidRDefault="00E82A60" w:rsidP="00300A01">
            <w:pPr>
              <w:spacing w:before="0" w:after="0"/>
              <w:rPr>
                <w:sz w:val="12"/>
                <w:szCs w:val="12"/>
                <w:lang w:val="fr-BE"/>
              </w:rPr>
            </w:pPr>
            <w:r>
              <w:rPr>
                <w:noProof/>
                <w:sz w:val="12"/>
                <w:szCs w:val="12"/>
                <w:lang w:val="fr-BE"/>
              </w:rPr>
              <w:t>osoby pracujące, łącznie z prowadzącymi działalność na własny rachunek</w:t>
            </w:r>
          </w:p>
        </w:tc>
        <w:tc>
          <w:tcPr>
            <w:tcW w:w="0" w:type="auto"/>
            <w:shd w:val="clear" w:color="auto" w:fill="auto"/>
          </w:tcPr>
          <w:p w14:paraId="0B5F0A00" w14:textId="77777777" w:rsidR="008C5CFA" w:rsidRPr="00BA47B4" w:rsidRDefault="00E82A60"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14:paraId="580F5B18" w14:textId="77777777" w:rsidR="008C5CFA" w:rsidRPr="00BA47B4" w:rsidRDefault="00E82A60" w:rsidP="00300A01">
            <w:pPr>
              <w:spacing w:before="0" w:after="0"/>
              <w:jc w:val="right"/>
              <w:rPr>
                <w:sz w:val="12"/>
                <w:szCs w:val="12"/>
                <w:lang w:val="fr-BE"/>
              </w:rPr>
            </w:pPr>
            <w:r>
              <w:rPr>
                <w:noProof/>
                <w:sz w:val="12"/>
                <w:szCs w:val="12"/>
                <w:lang w:val="fr-BE"/>
              </w:rPr>
              <w:t>11 261,00</w:t>
            </w:r>
          </w:p>
        </w:tc>
        <w:tc>
          <w:tcPr>
            <w:tcW w:w="0" w:type="auto"/>
            <w:shd w:val="clear" w:color="auto" w:fill="auto"/>
          </w:tcPr>
          <w:p w14:paraId="6026914B" w14:textId="77777777" w:rsidR="008C5CFA" w:rsidRPr="00BA47B4" w:rsidRDefault="008C5CFA" w:rsidP="00300A01">
            <w:pPr>
              <w:spacing w:before="0" w:after="0"/>
              <w:jc w:val="right"/>
              <w:rPr>
                <w:sz w:val="12"/>
                <w:szCs w:val="12"/>
                <w:lang w:val="fr-BE"/>
              </w:rPr>
            </w:pPr>
          </w:p>
        </w:tc>
        <w:tc>
          <w:tcPr>
            <w:tcW w:w="0" w:type="auto"/>
            <w:shd w:val="clear" w:color="auto" w:fill="auto"/>
          </w:tcPr>
          <w:p w14:paraId="42A0C176" w14:textId="77777777" w:rsidR="008C5CFA" w:rsidRPr="00BA47B4" w:rsidRDefault="008C5CFA" w:rsidP="00300A01">
            <w:pPr>
              <w:spacing w:before="0" w:after="0"/>
              <w:jc w:val="right"/>
              <w:rPr>
                <w:sz w:val="12"/>
                <w:szCs w:val="12"/>
                <w:lang w:val="fr-BE"/>
              </w:rPr>
            </w:pPr>
          </w:p>
        </w:tc>
        <w:tc>
          <w:tcPr>
            <w:tcW w:w="0" w:type="auto"/>
            <w:shd w:val="clear" w:color="auto" w:fill="auto"/>
          </w:tcPr>
          <w:p w14:paraId="2C2AB631" w14:textId="77777777" w:rsidR="008C5CFA" w:rsidRPr="00BA47B4" w:rsidRDefault="00E82A60" w:rsidP="00300A01">
            <w:pPr>
              <w:spacing w:before="0" w:after="0"/>
              <w:jc w:val="right"/>
              <w:rPr>
                <w:sz w:val="12"/>
                <w:szCs w:val="12"/>
                <w:lang w:val="fr-BE"/>
              </w:rPr>
            </w:pPr>
            <w:r w:rsidRPr="00BA47B4">
              <w:rPr>
                <w:noProof/>
                <w:sz w:val="12"/>
                <w:szCs w:val="12"/>
                <w:lang w:val="fr-BE"/>
              </w:rPr>
              <w:t>3 570,00</w:t>
            </w:r>
          </w:p>
        </w:tc>
        <w:tc>
          <w:tcPr>
            <w:tcW w:w="0" w:type="auto"/>
            <w:shd w:val="clear" w:color="auto" w:fill="auto"/>
          </w:tcPr>
          <w:p w14:paraId="7D9C45F8" w14:textId="77777777" w:rsidR="008C5CFA" w:rsidRPr="00BA47B4" w:rsidRDefault="00E82A60" w:rsidP="00300A01">
            <w:pPr>
              <w:spacing w:before="0" w:after="0"/>
              <w:jc w:val="right"/>
              <w:rPr>
                <w:sz w:val="12"/>
                <w:szCs w:val="12"/>
                <w:lang w:val="fr-BE"/>
              </w:rPr>
            </w:pPr>
            <w:r w:rsidRPr="00BA47B4">
              <w:rPr>
                <w:noProof/>
                <w:sz w:val="12"/>
                <w:szCs w:val="12"/>
                <w:lang w:val="fr-BE"/>
              </w:rPr>
              <w:t>1 586,00</w:t>
            </w:r>
          </w:p>
        </w:tc>
        <w:tc>
          <w:tcPr>
            <w:tcW w:w="0" w:type="auto"/>
            <w:shd w:val="clear" w:color="auto" w:fill="auto"/>
          </w:tcPr>
          <w:p w14:paraId="6F3548EE" w14:textId="77777777" w:rsidR="008C5CFA" w:rsidRPr="00BA47B4" w:rsidRDefault="00E82A60" w:rsidP="00300A01">
            <w:pPr>
              <w:spacing w:before="0" w:after="0"/>
              <w:jc w:val="right"/>
              <w:rPr>
                <w:sz w:val="12"/>
                <w:szCs w:val="12"/>
                <w:lang w:val="fr-BE"/>
              </w:rPr>
            </w:pPr>
            <w:r w:rsidRPr="00BA47B4">
              <w:rPr>
                <w:noProof/>
                <w:sz w:val="12"/>
                <w:szCs w:val="12"/>
                <w:lang w:val="fr-BE"/>
              </w:rPr>
              <w:t>1 984,00</w:t>
            </w:r>
          </w:p>
        </w:tc>
        <w:tc>
          <w:tcPr>
            <w:tcW w:w="0" w:type="auto"/>
            <w:shd w:val="clear" w:color="auto" w:fill="auto"/>
          </w:tcPr>
          <w:p w14:paraId="6A3BCCD1" w14:textId="77777777" w:rsidR="008C5CFA" w:rsidRPr="00BA47B4" w:rsidRDefault="00E82A60" w:rsidP="00300A01">
            <w:pPr>
              <w:spacing w:before="0" w:after="0"/>
              <w:jc w:val="right"/>
              <w:rPr>
                <w:sz w:val="12"/>
                <w:szCs w:val="12"/>
                <w:lang w:val="fr-BE"/>
              </w:rPr>
            </w:pPr>
            <w:r>
              <w:rPr>
                <w:noProof/>
                <w:sz w:val="12"/>
                <w:szCs w:val="12"/>
                <w:lang w:val="fr-BE"/>
              </w:rPr>
              <w:t>0,32</w:t>
            </w:r>
          </w:p>
        </w:tc>
        <w:tc>
          <w:tcPr>
            <w:tcW w:w="0" w:type="auto"/>
            <w:shd w:val="clear" w:color="auto" w:fill="auto"/>
          </w:tcPr>
          <w:p w14:paraId="132D5F98" w14:textId="77777777" w:rsidR="008C5CFA" w:rsidRPr="00BA47B4" w:rsidRDefault="008C5CFA" w:rsidP="00300A01">
            <w:pPr>
              <w:spacing w:before="0" w:after="0"/>
              <w:jc w:val="right"/>
              <w:rPr>
                <w:sz w:val="12"/>
                <w:szCs w:val="12"/>
                <w:lang w:val="fr-BE"/>
              </w:rPr>
            </w:pPr>
          </w:p>
        </w:tc>
        <w:tc>
          <w:tcPr>
            <w:tcW w:w="0" w:type="auto"/>
            <w:shd w:val="clear" w:color="auto" w:fill="auto"/>
          </w:tcPr>
          <w:p w14:paraId="4EB912C0" w14:textId="77777777" w:rsidR="008C5CFA" w:rsidRPr="00BA47B4" w:rsidRDefault="008C5CFA" w:rsidP="00300A01">
            <w:pPr>
              <w:spacing w:before="0" w:after="0"/>
              <w:jc w:val="right"/>
              <w:rPr>
                <w:sz w:val="12"/>
                <w:szCs w:val="12"/>
                <w:lang w:val="fr-BE"/>
              </w:rPr>
            </w:pPr>
          </w:p>
        </w:tc>
        <w:tc>
          <w:tcPr>
            <w:tcW w:w="0" w:type="auto"/>
          </w:tcPr>
          <w:p w14:paraId="2D1122FF" w14:textId="77777777" w:rsidR="008C5CFA" w:rsidRPr="00A92B39" w:rsidRDefault="00E82A60" w:rsidP="00300A01">
            <w:pPr>
              <w:spacing w:before="0" w:after="0"/>
              <w:jc w:val="right"/>
              <w:rPr>
                <w:sz w:val="10"/>
                <w:szCs w:val="10"/>
                <w:lang w:val="fr-BE"/>
              </w:rPr>
            </w:pPr>
            <w:r w:rsidRPr="00A92B39">
              <w:rPr>
                <w:noProof/>
                <w:sz w:val="10"/>
                <w:szCs w:val="10"/>
                <w:lang w:val="fr-BE"/>
              </w:rPr>
              <w:t>1 103,00</w:t>
            </w:r>
          </w:p>
        </w:tc>
        <w:tc>
          <w:tcPr>
            <w:tcW w:w="0" w:type="auto"/>
            <w:shd w:val="clear" w:color="auto" w:fill="auto"/>
          </w:tcPr>
          <w:p w14:paraId="057862E9" w14:textId="77777777" w:rsidR="008C5CFA" w:rsidRPr="00A92B39" w:rsidRDefault="00E82A60" w:rsidP="00300A01">
            <w:pPr>
              <w:spacing w:before="0" w:after="0"/>
              <w:jc w:val="right"/>
              <w:rPr>
                <w:sz w:val="10"/>
                <w:szCs w:val="10"/>
                <w:lang w:val="fr-BE"/>
              </w:rPr>
            </w:pPr>
            <w:r w:rsidRPr="00A92B39">
              <w:rPr>
                <w:noProof/>
                <w:sz w:val="10"/>
                <w:szCs w:val="10"/>
                <w:lang w:val="fr-BE"/>
              </w:rPr>
              <w:t>435,00</w:t>
            </w:r>
          </w:p>
        </w:tc>
        <w:tc>
          <w:tcPr>
            <w:tcW w:w="0" w:type="auto"/>
            <w:shd w:val="clear" w:color="auto" w:fill="auto"/>
          </w:tcPr>
          <w:p w14:paraId="7677490D" w14:textId="77777777" w:rsidR="008C5CFA" w:rsidRPr="00BA47B4" w:rsidRDefault="00E82A60" w:rsidP="00300A01">
            <w:pPr>
              <w:spacing w:before="0" w:after="0"/>
              <w:jc w:val="right"/>
              <w:rPr>
                <w:sz w:val="12"/>
                <w:szCs w:val="12"/>
                <w:lang w:val="fr-BE"/>
              </w:rPr>
            </w:pPr>
            <w:r w:rsidRPr="00A92B39">
              <w:rPr>
                <w:noProof/>
                <w:sz w:val="10"/>
                <w:szCs w:val="10"/>
                <w:lang w:val="fr-BE"/>
              </w:rPr>
              <w:t>668,00</w:t>
            </w:r>
          </w:p>
        </w:tc>
      </w:tr>
      <w:tr w:rsidR="006B2EC1" w14:paraId="37E40315" w14:textId="77777777" w:rsidTr="0047688D">
        <w:tc>
          <w:tcPr>
            <w:tcW w:w="0" w:type="auto"/>
            <w:shd w:val="clear" w:color="auto" w:fill="auto"/>
          </w:tcPr>
          <w:p w14:paraId="3228FB81" w14:textId="77777777" w:rsidR="008C5CFA" w:rsidRPr="00BA47B4" w:rsidRDefault="00E82A60" w:rsidP="00300A01">
            <w:pPr>
              <w:spacing w:before="0" w:after="0"/>
              <w:rPr>
                <w:sz w:val="12"/>
                <w:szCs w:val="12"/>
                <w:lang w:val="fr-BE"/>
              </w:rPr>
            </w:pPr>
            <w:r>
              <w:rPr>
                <w:noProof/>
                <w:sz w:val="12"/>
                <w:szCs w:val="12"/>
                <w:lang w:val="fr-BE"/>
              </w:rPr>
              <w:t>CO06</w:t>
            </w:r>
          </w:p>
        </w:tc>
        <w:tc>
          <w:tcPr>
            <w:tcW w:w="0" w:type="auto"/>
            <w:shd w:val="clear" w:color="auto" w:fill="auto"/>
          </w:tcPr>
          <w:p w14:paraId="69455A07" w14:textId="77777777" w:rsidR="008C5CFA" w:rsidRPr="00BA47B4" w:rsidRDefault="00E82A60" w:rsidP="00300A01">
            <w:pPr>
              <w:spacing w:before="0" w:after="0"/>
              <w:rPr>
                <w:sz w:val="12"/>
                <w:szCs w:val="12"/>
                <w:lang w:val="fr-BE"/>
              </w:rPr>
            </w:pPr>
            <w:r>
              <w:rPr>
                <w:noProof/>
                <w:sz w:val="12"/>
                <w:szCs w:val="12"/>
                <w:lang w:val="fr-BE"/>
              </w:rPr>
              <w:t>osoby w wieku poniżej 25 lat</w:t>
            </w:r>
          </w:p>
        </w:tc>
        <w:tc>
          <w:tcPr>
            <w:tcW w:w="0" w:type="auto"/>
            <w:shd w:val="clear" w:color="auto" w:fill="auto"/>
          </w:tcPr>
          <w:p w14:paraId="249BBA67" w14:textId="77777777" w:rsidR="008C5CFA" w:rsidRPr="00BA47B4" w:rsidRDefault="00E82A60"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14:paraId="054ABE90" w14:textId="77777777" w:rsidR="008C5CFA" w:rsidRPr="00BA47B4" w:rsidRDefault="008C5CFA" w:rsidP="00300A01">
            <w:pPr>
              <w:spacing w:before="0" w:after="0"/>
              <w:jc w:val="right"/>
              <w:rPr>
                <w:sz w:val="12"/>
                <w:szCs w:val="12"/>
                <w:lang w:val="fr-BE"/>
              </w:rPr>
            </w:pPr>
          </w:p>
        </w:tc>
        <w:tc>
          <w:tcPr>
            <w:tcW w:w="0" w:type="auto"/>
            <w:shd w:val="clear" w:color="auto" w:fill="auto"/>
          </w:tcPr>
          <w:p w14:paraId="1F7D562F" w14:textId="77777777" w:rsidR="008C5CFA" w:rsidRPr="00BA47B4" w:rsidRDefault="008C5CFA" w:rsidP="00300A01">
            <w:pPr>
              <w:spacing w:before="0" w:after="0"/>
              <w:jc w:val="right"/>
              <w:rPr>
                <w:sz w:val="12"/>
                <w:szCs w:val="12"/>
                <w:lang w:val="fr-BE"/>
              </w:rPr>
            </w:pPr>
          </w:p>
        </w:tc>
        <w:tc>
          <w:tcPr>
            <w:tcW w:w="0" w:type="auto"/>
            <w:shd w:val="clear" w:color="auto" w:fill="auto"/>
          </w:tcPr>
          <w:p w14:paraId="26600192" w14:textId="77777777" w:rsidR="008C5CFA" w:rsidRPr="00BA47B4" w:rsidRDefault="008C5CFA" w:rsidP="00300A01">
            <w:pPr>
              <w:spacing w:before="0" w:after="0"/>
              <w:jc w:val="right"/>
              <w:rPr>
                <w:sz w:val="12"/>
                <w:szCs w:val="12"/>
                <w:lang w:val="fr-BE"/>
              </w:rPr>
            </w:pPr>
          </w:p>
        </w:tc>
        <w:tc>
          <w:tcPr>
            <w:tcW w:w="0" w:type="auto"/>
            <w:shd w:val="clear" w:color="auto" w:fill="auto"/>
          </w:tcPr>
          <w:p w14:paraId="4C29163B" w14:textId="77777777" w:rsidR="008C5CFA" w:rsidRPr="00BA47B4" w:rsidRDefault="00E82A60" w:rsidP="00300A01">
            <w:pPr>
              <w:spacing w:before="0" w:after="0"/>
              <w:jc w:val="right"/>
              <w:rPr>
                <w:sz w:val="12"/>
                <w:szCs w:val="12"/>
                <w:lang w:val="fr-BE"/>
              </w:rPr>
            </w:pPr>
            <w:r w:rsidRPr="00BA47B4">
              <w:rPr>
                <w:noProof/>
                <w:sz w:val="12"/>
                <w:szCs w:val="12"/>
                <w:lang w:val="fr-BE"/>
              </w:rPr>
              <w:t>339,00</w:t>
            </w:r>
          </w:p>
        </w:tc>
        <w:tc>
          <w:tcPr>
            <w:tcW w:w="0" w:type="auto"/>
            <w:shd w:val="clear" w:color="auto" w:fill="auto"/>
          </w:tcPr>
          <w:p w14:paraId="5F46A741" w14:textId="77777777" w:rsidR="008C5CFA" w:rsidRPr="00BA47B4" w:rsidRDefault="00E82A60" w:rsidP="00300A01">
            <w:pPr>
              <w:spacing w:before="0" w:after="0"/>
              <w:jc w:val="right"/>
              <w:rPr>
                <w:sz w:val="12"/>
                <w:szCs w:val="12"/>
                <w:lang w:val="fr-BE"/>
              </w:rPr>
            </w:pPr>
            <w:r w:rsidRPr="00BA47B4">
              <w:rPr>
                <w:noProof/>
                <w:sz w:val="12"/>
                <w:szCs w:val="12"/>
                <w:lang w:val="fr-BE"/>
              </w:rPr>
              <w:t>155,00</w:t>
            </w:r>
          </w:p>
        </w:tc>
        <w:tc>
          <w:tcPr>
            <w:tcW w:w="0" w:type="auto"/>
            <w:shd w:val="clear" w:color="auto" w:fill="auto"/>
          </w:tcPr>
          <w:p w14:paraId="348B4FF1" w14:textId="77777777" w:rsidR="008C5CFA" w:rsidRPr="00BA47B4" w:rsidRDefault="00E82A60" w:rsidP="00300A01">
            <w:pPr>
              <w:spacing w:before="0" w:after="0"/>
              <w:jc w:val="right"/>
              <w:rPr>
                <w:sz w:val="12"/>
                <w:szCs w:val="12"/>
                <w:lang w:val="fr-BE"/>
              </w:rPr>
            </w:pPr>
            <w:r w:rsidRPr="00BA47B4">
              <w:rPr>
                <w:noProof/>
                <w:sz w:val="12"/>
                <w:szCs w:val="12"/>
                <w:lang w:val="fr-BE"/>
              </w:rPr>
              <w:t>184,00</w:t>
            </w:r>
          </w:p>
        </w:tc>
        <w:tc>
          <w:tcPr>
            <w:tcW w:w="0" w:type="auto"/>
            <w:shd w:val="clear" w:color="auto" w:fill="auto"/>
          </w:tcPr>
          <w:p w14:paraId="5F869688" w14:textId="77777777" w:rsidR="008C5CFA" w:rsidRPr="00BA47B4" w:rsidRDefault="008C5CFA" w:rsidP="00300A01">
            <w:pPr>
              <w:spacing w:before="0" w:after="0"/>
              <w:jc w:val="right"/>
              <w:rPr>
                <w:sz w:val="12"/>
                <w:szCs w:val="12"/>
                <w:lang w:val="fr-BE"/>
              </w:rPr>
            </w:pPr>
          </w:p>
        </w:tc>
        <w:tc>
          <w:tcPr>
            <w:tcW w:w="0" w:type="auto"/>
            <w:shd w:val="clear" w:color="auto" w:fill="auto"/>
          </w:tcPr>
          <w:p w14:paraId="4949D245" w14:textId="77777777" w:rsidR="008C5CFA" w:rsidRPr="00BA47B4" w:rsidRDefault="008C5CFA" w:rsidP="00300A01">
            <w:pPr>
              <w:spacing w:before="0" w:after="0"/>
              <w:jc w:val="right"/>
              <w:rPr>
                <w:sz w:val="12"/>
                <w:szCs w:val="12"/>
                <w:lang w:val="fr-BE"/>
              </w:rPr>
            </w:pPr>
          </w:p>
        </w:tc>
        <w:tc>
          <w:tcPr>
            <w:tcW w:w="0" w:type="auto"/>
            <w:shd w:val="clear" w:color="auto" w:fill="auto"/>
          </w:tcPr>
          <w:p w14:paraId="30148C5D" w14:textId="77777777" w:rsidR="008C5CFA" w:rsidRPr="00BA47B4" w:rsidRDefault="008C5CFA" w:rsidP="00300A01">
            <w:pPr>
              <w:spacing w:before="0" w:after="0"/>
              <w:jc w:val="right"/>
              <w:rPr>
                <w:sz w:val="12"/>
                <w:szCs w:val="12"/>
                <w:lang w:val="fr-BE"/>
              </w:rPr>
            </w:pPr>
          </w:p>
        </w:tc>
        <w:tc>
          <w:tcPr>
            <w:tcW w:w="0" w:type="auto"/>
          </w:tcPr>
          <w:p w14:paraId="1F59A9D3" w14:textId="77777777" w:rsidR="008C5CFA" w:rsidRPr="00A92B39" w:rsidRDefault="00E82A60" w:rsidP="00300A01">
            <w:pPr>
              <w:spacing w:before="0" w:after="0"/>
              <w:jc w:val="right"/>
              <w:rPr>
                <w:sz w:val="10"/>
                <w:szCs w:val="10"/>
                <w:lang w:val="fr-BE"/>
              </w:rPr>
            </w:pPr>
            <w:r w:rsidRPr="00A92B39">
              <w:rPr>
                <w:noProof/>
                <w:sz w:val="10"/>
                <w:szCs w:val="10"/>
                <w:lang w:val="fr-BE"/>
              </w:rPr>
              <w:t>119,00</w:t>
            </w:r>
          </w:p>
        </w:tc>
        <w:tc>
          <w:tcPr>
            <w:tcW w:w="0" w:type="auto"/>
            <w:shd w:val="clear" w:color="auto" w:fill="auto"/>
          </w:tcPr>
          <w:p w14:paraId="4DD4B58E" w14:textId="77777777" w:rsidR="008C5CFA" w:rsidRPr="00A92B39" w:rsidRDefault="00E82A60" w:rsidP="00300A01">
            <w:pPr>
              <w:spacing w:before="0" w:after="0"/>
              <w:jc w:val="right"/>
              <w:rPr>
                <w:sz w:val="10"/>
                <w:szCs w:val="10"/>
                <w:lang w:val="fr-BE"/>
              </w:rPr>
            </w:pPr>
            <w:r w:rsidRPr="00A92B39">
              <w:rPr>
                <w:noProof/>
                <w:sz w:val="10"/>
                <w:szCs w:val="10"/>
                <w:lang w:val="fr-BE"/>
              </w:rPr>
              <w:t>42,00</w:t>
            </w:r>
          </w:p>
        </w:tc>
        <w:tc>
          <w:tcPr>
            <w:tcW w:w="0" w:type="auto"/>
            <w:shd w:val="clear" w:color="auto" w:fill="auto"/>
          </w:tcPr>
          <w:p w14:paraId="7445E160" w14:textId="77777777" w:rsidR="008C5CFA" w:rsidRPr="00BA47B4" w:rsidRDefault="00E82A60" w:rsidP="00300A01">
            <w:pPr>
              <w:spacing w:before="0" w:after="0"/>
              <w:jc w:val="right"/>
              <w:rPr>
                <w:sz w:val="12"/>
                <w:szCs w:val="12"/>
                <w:lang w:val="fr-BE"/>
              </w:rPr>
            </w:pPr>
            <w:r w:rsidRPr="00A92B39">
              <w:rPr>
                <w:noProof/>
                <w:sz w:val="10"/>
                <w:szCs w:val="10"/>
                <w:lang w:val="fr-BE"/>
              </w:rPr>
              <w:t>77,00</w:t>
            </w:r>
          </w:p>
        </w:tc>
      </w:tr>
      <w:tr w:rsidR="006B2EC1" w14:paraId="41BF6F7F" w14:textId="77777777" w:rsidTr="0047688D">
        <w:tc>
          <w:tcPr>
            <w:tcW w:w="0" w:type="auto"/>
            <w:shd w:val="clear" w:color="auto" w:fill="auto"/>
          </w:tcPr>
          <w:p w14:paraId="415702FD" w14:textId="77777777" w:rsidR="008C5CFA" w:rsidRPr="00BA47B4" w:rsidRDefault="00E82A60" w:rsidP="00300A01">
            <w:pPr>
              <w:spacing w:before="0" w:after="0"/>
              <w:rPr>
                <w:sz w:val="12"/>
                <w:szCs w:val="12"/>
                <w:lang w:val="fr-BE"/>
              </w:rPr>
            </w:pPr>
            <w:r>
              <w:rPr>
                <w:noProof/>
                <w:sz w:val="12"/>
                <w:szCs w:val="12"/>
                <w:lang w:val="fr-BE"/>
              </w:rPr>
              <w:t>CO07</w:t>
            </w:r>
          </w:p>
        </w:tc>
        <w:tc>
          <w:tcPr>
            <w:tcW w:w="0" w:type="auto"/>
            <w:shd w:val="clear" w:color="auto" w:fill="auto"/>
          </w:tcPr>
          <w:p w14:paraId="421A6CE4" w14:textId="77777777" w:rsidR="008C5CFA" w:rsidRPr="00BA47B4" w:rsidRDefault="00E82A60" w:rsidP="00300A01">
            <w:pPr>
              <w:spacing w:before="0" w:after="0"/>
              <w:rPr>
                <w:sz w:val="12"/>
                <w:szCs w:val="12"/>
                <w:lang w:val="fr-BE"/>
              </w:rPr>
            </w:pPr>
            <w:r>
              <w:rPr>
                <w:noProof/>
                <w:sz w:val="12"/>
                <w:szCs w:val="12"/>
                <w:lang w:val="fr-BE"/>
              </w:rPr>
              <w:t>osoby w wieku powyżej 54 lat</w:t>
            </w:r>
          </w:p>
        </w:tc>
        <w:tc>
          <w:tcPr>
            <w:tcW w:w="0" w:type="auto"/>
            <w:shd w:val="clear" w:color="auto" w:fill="auto"/>
          </w:tcPr>
          <w:p w14:paraId="0AD03D86" w14:textId="77777777" w:rsidR="008C5CFA" w:rsidRPr="00BA47B4" w:rsidRDefault="00E82A60"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14:paraId="71D4F739" w14:textId="77777777" w:rsidR="008C5CFA" w:rsidRPr="00BA47B4" w:rsidRDefault="008C5CFA" w:rsidP="00300A01">
            <w:pPr>
              <w:spacing w:before="0" w:after="0"/>
              <w:jc w:val="right"/>
              <w:rPr>
                <w:sz w:val="12"/>
                <w:szCs w:val="12"/>
                <w:lang w:val="fr-BE"/>
              </w:rPr>
            </w:pPr>
          </w:p>
        </w:tc>
        <w:tc>
          <w:tcPr>
            <w:tcW w:w="0" w:type="auto"/>
            <w:shd w:val="clear" w:color="auto" w:fill="auto"/>
          </w:tcPr>
          <w:p w14:paraId="121D32BB" w14:textId="77777777" w:rsidR="008C5CFA" w:rsidRPr="00BA47B4" w:rsidRDefault="008C5CFA" w:rsidP="00300A01">
            <w:pPr>
              <w:spacing w:before="0" w:after="0"/>
              <w:jc w:val="right"/>
              <w:rPr>
                <w:sz w:val="12"/>
                <w:szCs w:val="12"/>
                <w:lang w:val="fr-BE"/>
              </w:rPr>
            </w:pPr>
          </w:p>
        </w:tc>
        <w:tc>
          <w:tcPr>
            <w:tcW w:w="0" w:type="auto"/>
            <w:shd w:val="clear" w:color="auto" w:fill="auto"/>
          </w:tcPr>
          <w:p w14:paraId="052FEE81" w14:textId="77777777" w:rsidR="008C5CFA" w:rsidRPr="00BA47B4" w:rsidRDefault="008C5CFA" w:rsidP="00300A01">
            <w:pPr>
              <w:spacing w:before="0" w:after="0"/>
              <w:jc w:val="right"/>
              <w:rPr>
                <w:sz w:val="12"/>
                <w:szCs w:val="12"/>
                <w:lang w:val="fr-BE"/>
              </w:rPr>
            </w:pPr>
          </w:p>
        </w:tc>
        <w:tc>
          <w:tcPr>
            <w:tcW w:w="0" w:type="auto"/>
            <w:shd w:val="clear" w:color="auto" w:fill="auto"/>
          </w:tcPr>
          <w:p w14:paraId="1ADD71AE" w14:textId="77777777" w:rsidR="008C5CFA" w:rsidRPr="00BA47B4" w:rsidRDefault="00E82A60" w:rsidP="00300A01">
            <w:pPr>
              <w:spacing w:before="0" w:after="0"/>
              <w:jc w:val="right"/>
              <w:rPr>
                <w:sz w:val="12"/>
                <w:szCs w:val="12"/>
                <w:lang w:val="fr-BE"/>
              </w:rPr>
            </w:pPr>
            <w:r w:rsidRPr="00BA47B4">
              <w:rPr>
                <w:noProof/>
                <w:sz w:val="12"/>
                <w:szCs w:val="12"/>
                <w:lang w:val="fr-BE"/>
              </w:rPr>
              <w:t>199,00</w:t>
            </w:r>
          </w:p>
        </w:tc>
        <w:tc>
          <w:tcPr>
            <w:tcW w:w="0" w:type="auto"/>
            <w:shd w:val="clear" w:color="auto" w:fill="auto"/>
          </w:tcPr>
          <w:p w14:paraId="3C5ED722" w14:textId="77777777" w:rsidR="008C5CFA" w:rsidRPr="00BA47B4" w:rsidRDefault="00E82A60" w:rsidP="00300A01">
            <w:pPr>
              <w:spacing w:before="0" w:after="0"/>
              <w:jc w:val="right"/>
              <w:rPr>
                <w:sz w:val="12"/>
                <w:szCs w:val="12"/>
                <w:lang w:val="fr-BE"/>
              </w:rPr>
            </w:pPr>
            <w:r w:rsidRPr="00BA47B4">
              <w:rPr>
                <w:noProof/>
                <w:sz w:val="12"/>
                <w:szCs w:val="12"/>
                <w:lang w:val="fr-BE"/>
              </w:rPr>
              <w:t>117,00</w:t>
            </w:r>
          </w:p>
        </w:tc>
        <w:tc>
          <w:tcPr>
            <w:tcW w:w="0" w:type="auto"/>
            <w:shd w:val="clear" w:color="auto" w:fill="auto"/>
          </w:tcPr>
          <w:p w14:paraId="1D7012AA" w14:textId="77777777" w:rsidR="008C5CFA" w:rsidRPr="00BA47B4" w:rsidRDefault="00E82A60" w:rsidP="00300A01">
            <w:pPr>
              <w:spacing w:before="0" w:after="0"/>
              <w:jc w:val="right"/>
              <w:rPr>
                <w:sz w:val="12"/>
                <w:szCs w:val="12"/>
                <w:lang w:val="fr-BE"/>
              </w:rPr>
            </w:pPr>
            <w:r w:rsidRPr="00BA47B4">
              <w:rPr>
                <w:noProof/>
                <w:sz w:val="12"/>
                <w:szCs w:val="12"/>
                <w:lang w:val="fr-BE"/>
              </w:rPr>
              <w:t>82,00</w:t>
            </w:r>
          </w:p>
        </w:tc>
        <w:tc>
          <w:tcPr>
            <w:tcW w:w="0" w:type="auto"/>
            <w:shd w:val="clear" w:color="auto" w:fill="auto"/>
          </w:tcPr>
          <w:p w14:paraId="6F88B907" w14:textId="77777777" w:rsidR="008C5CFA" w:rsidRPr="00BA47B4" w:rsidRDefault="008C5CFA" w:rsidP="00300A01">
            <w:pPr>
              <w:spacing w:before="0" w:after="0"/>
              <w:jc w:val="right"/>
              <w:rPr>
                <w:sz w:val="12"/>
                <w:szCs w:val="12"/>
                <w:lang w:val="fr-BE"/>
              </w:rPr>
            </w:pPr>
          </w:p>
        </w:tc>
        <w:tc>
          <w:tcPr>
            <w:tcW w:w="0" w:type="auto"/>
            <w:shd w:val="clear" w:color="auto" w:fill="auto"/>
          </w:tcPr>
          <w:p w14:paraId="6B2F475D" w14:textId="77777777" w:rsidR="008C5CFA" w:rsidRPr="00BA47B4" w:rsidRDefault="008C5CFA" w:rsidP="00300A01">
            <w:pPr>
              <w:spacing w:before="0" w:after="0"/>
              <w:jc w:val="right"/>
              <w:rPr>
                <w:sz w:val="12"/>
                <w:szCs w:val="12"/>
                <w:lang w:val="fr-BE"/>
              </w:rPr>
            </w:pPr>
          </w:p>
        </w:tc>
        <w:tc>
          <w:tcPr>
            <w:tcW w:w="0" w:type="auto"/>
            <w:shd w:val="clear" w:color="auto" w:fill="auto"/>
          </w:tcPr>
          <w:p w14:paraId="0FD1A483" w14:textId="77777777" w:rsidR="008C5CFA" w:rsidRPr="00BA47B4" w:rsidRDefault="008C5CFA" w:rsidP="00300A01">
            <w:pPr>
              <w:spacing w:before="0" w:after="0"/>
              <w:jc w:val="right"/>
              <w:rPr>
                <w:sz w:val="12"/>
                <w:szCs w:val="12"/>
                <w:lang w:val="fr-BE"/>
              </w:rPr>
            </w:pPr>
          </w:p>
        </w:tc>
        <w:tc>
          <w:tcPr>
            <w:tcW w:w="0" w:type="auto"/>
          </w:tcPr>
          <w:p w14:paraId="78A0F474" w14:textId="77777777" w:rsidR="008C5CFA" w:rsidRPr="00A92B39" w:rsidRDefault="00E82A60" w:rsidP="00300A01">
            <w:pPr>
              <w:spacing w:before="0" w:after="0"/>
              <w:jc w:val="right"/>
              <w:rPr>
                <w:sz w:val="10"/>
                <w:szCs w:val="10"/>
                <w:lang w:val="fr-BE"/>
              </w:rPr>
            </w:pPr>
            <w:r w:rsidRPr="00A92B39">
              <w:rPr>
                <w:noProof/>
                <w:sz w:val="10"/>
                <w:szCs w:val="10"/>
                <w:lang w:val="fr-BE"/>
              </w:rPr>
              <w:t>47,00</w:t>
            </w:r>
          </w:p>
        </w:tc>
        <w:tc>
          <w:tcPr>
            <w:tcW w:w="0" w:type="auto"/>
            <w:shd w:val="clear" w:color="auto" w:fill="auto"/>
          </w:tcPr>
          <w:p w14:paraId="51CEEF30" w14:textId="77777777" w:rsidR="008C5CFA" w:rsidRPr="00A92B39" w:rsidRDefault="00E82A60" w:rsidP="00300A01">
            <w:pPr>
              <w:spacing w:before="0" w:after="0"/>
              <w:jc w:val="right"/>
              <w:rPr>
                <w:sz w:val="10"/>
                <w:szCs w:val="10"/>
                <w:lang w:val="fr-BE"/>
              </w:rPr>
            </w:pPr>
            <w:r w:rsidRPr="00A92B39">
              <w:rPr>
                <w:noProof/>
                <w:sz w:val="10"/>
                <w:szCs w:val="10"/>
                <w:lang w:val="fr-BE"/>
              </w:rPr>
              <w:t>29,00</w:t>
            </w:r>
          </w:p>
        </w:tc>
        <w:tc>
          <w:tcPr>
            <w:tcW w:w="0" w:type="auto"/>
            <w:shd w:val="clear" w:color="auto" w:fill="auto"/>
          </w:tcPr>
          <w:p w14:paraId="0ABAF7C1" w14:textId="77777777" w:rsidR="008C5CFA" w:rsidRPr="00BA47B4" w:rsidRDefault="00E82A60" w:rsidP="00300A01">
            <w:pPr>
              <w:spacing w:before="0" w:after="0"/>
              <w:jc w:val="right"/>
              <w:rPr>
                <w:sz w:val="12"/>
                <w:szCs w:val="12"/>
                <w:lang w:val="fr-BE"/>
              </w:rPr>
            </w:pPr>
            <w:r w:rsidRPr="00A92B39">
              <w:rPr>
                <w:noProof/>
                <w:sz w:val="10"/>
                <w:szCs w:val="10"/>
                <w:lang w:val="fr-BE"/>
              </w:rPr>
              <w:t>18,00</w:t>
            </w:r>
          </w:p>
        </w:tc>
      </w:tr>
      <w:tr w:rsidR="006B2EC1" w14:paraId="6BC6963D" w14:textId="77777777" w:rsidTr="0047688D">
        <w:tc>
          <w:tcPr>
            <w:tcW w:w="0" w:type="auto"/>
            <w:shd w:val="clear" w:color="auto" w:fill="auto"/>
          </w:tcPr>
          <w:p w14:paraId="68252071" w14:textId="77777777" w:rsidR="008C5CFA" w:rsidRPr="00BA47B4" w:rsidRDefault="00E82A60" w:rsidP="00300A01">
            <w:pPr>
              <w:spacing w:before="0" w:after="0"/>
              <w:rPr>
                <w:sz w:val="12"/>
                <w:szCs w:val="12"/>
                <w:lang w:val="fr-BE"/>
              </w:rPr>
            </w:pPr>
            <w:r>
              <w:rPr>
                <w:noProof/>
                <w:sz w:val="12"/>
                <w:szCs w:val="12"/>
                <w:lang w:val="fr-BE"/>
              </w:rPr>
              <w:t>CO08</w:t>
            </w:r>
          </w:p>
        </w:tc>
        <w:tc>
          <w:tcPr>
            <w:tcW w:w="0" w:type="auto"/>
            <w:shd w:val="clear" w:color="auto" w:fill="auto"/>
          </w:tcPr>
          <w:p w14:paraId="735A8FED" w14:textId="77777777" w:rsidR="008C5CFA" w:rsidRPr="00BA47B4" w:rsidRDefault="00E82A60" w:rsidP="00300A01">
            <w:pPr>
              <w:spacing w:before="0" w:after="0"/>
              <w:rPr>
                <w:sz w:val="12"/>
                <w:szCs w:val="12"/>
                <w:lang w:val="fr-BE"/>
              </w:rPr>
            </w:pPr>
            <w:r>
              <w:rPr>
                <w:noProof/>
                <w:sz w:val="12"/>
                <w:szCs w:val="12"/>
                <w:lang w:val="fr-BE"/>
              </w:rPr>
              <w:t>osoby powyżej 54 lat, które są bezrobotne, łącznie z długotrwale bezrobotnymi, lub są bierne zawodowo i nie uczestniczą w kształceniu ani szkoleniu</w:t>
            </w:r>
          </w:p>
        </w:tc>
        <w:tc>
          <w:tcPr>
            <w:tcW w:w="0" w:type="auto"/>
            <w:shd w:val="clear" w:color="auto" w:fill="auto"/>
          </w:tcPr>
          <w:p w14:paraId="7450611E" w14:textId="77777777" w:rsidR="008C5CFA" w:rsidRPr="00BA47B4" w:rsidRDefault="00E82A60"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14:paraId="4AAABD00" w14:textId="77777777" w:rsidR="008C5CFA" w:rsidRPr="00BA47B4" w:rsidRDefault="008C5CFA" w:rsidP="00300A01">
            <w:pPr>
              <w:spacing w:before="0" w:after="0"/>
              <w:jc w:val="right"/>
              <w:rPr>
                <w:sz w:val="12"/>
                <w:szCs w:val="12"/>
                <w:lang w:val="fr-BE"/>
              </w:rPr>
            </w:pPr>
          </w:p>
        </w:tc>
        <w:tc>
          <w:tcPr>
            <w:tcW w:w="0" w:type="auto"/>
            <w:shd w:val="clear" w:color="auto" w:fill="auto"/>
          </w:tcPr>
          <w:p w14:paraId="132181A5" w14:textId="77777777" w:rsidR="008C5CFA" w:rsidRPr="00BA47B4" w:rsidRDefault="008C5CFA" w:rsidP="00300A01">
            <w:pPr>
              <w:spacing w:before="0" w:after="0"/>
              <w:jc w:val="right"/>
              <w:rPr>
                <w:sz w:val="12"/>
                <w:szCs w:val="12"/>
                <w:lang w:val="fr-BE"/>
              </w:rPr>
            </w:pPr>
          </w:p>
        </w:tc>
        <w:tc>
          <w:tcPr>
            <w:tcW w:w="0" w:type="auto"/>
            <w:shd w:val="clear" w:color="auto" w:fill="auto"/>
          </w:tcPr>
          <w:p w14:paraId="077745DA" w14:textId="77777777" w:rsidR="008C5CFA" w:rsidRPr="00BA47B4" w:rsidRDefault="008C5CFA" w:rsidP="00300A01">
            <w:pPr>
              <w:spacing w:before="0" w:after="0"/>
              <w:jc w:val="right"/>
              <w:rPr>
                <w:sz w:val="12"/>
                <w:szCs w:val="12"/>
                <w:lang w:val="fr-BE"/>
              </w:rPr>
            </w:pPr>
          </w:p>
        </w:tc>
        <w:tc>
          <w:tcPr>
            <w:tcW w:w="0" w:type="auto"/>
            <w:shd w:val="clear" w:color="auto" w:fill="auto"/>
          </w:tcPr>
          <w:p w14:paraId="05BF6470"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1A7CBE8F"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3EA72B52"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2E35CB8C" w14:textId="77777777" w:rsidR="008C5CFA" w:rsidRPr="00BA47B4" w:rsidRDefault="008C5CFA" w:rsidP="00300A01">
            <w:pPr>
              <w:spacing w:before="0" w:after="0"/>
              <w:jc w:val="right"/>
              <w:rPr>
                <w:sz w:val="12"/>
                <w:szCs w:val="12"/>
                <w:lang w:val="fr-BE"/>
              </w:rPr>
            </w:pPr>
          </w:p>
        </w:tc>
        <w:tc>
          <w:tcPr>
            <w:tcW w:w="0" w:type="auto"/>
            <w:shd w:val="clear" w:color="auto" w:fill="auto"/>
          </w:tcPr>
          <w:p w14:paraId="60CE7CC5" w14:textId="77777777" w:rsidR="008C5CFA" w:rsidRPr="00BA47B4" w:rsidRDefault="008C5CFA" w:rsidP="00300A01">
            <w:pPr>
              <w:spacing w:before="0" w:after="0"/>
              <w:jc w:val="right"/>
              <w:rPr>
                <w:sz w:val="12"/>
                <w:szCs w:val="12"/>
                <w:lang w:val="fr-BE"/>
              </w:rPr>
            </w:pPr>
          </w:p>
        </w:tc>
        <w:tc>
          <w:tcPr>
            <w:tcW w:w="0" w:type="auto"/>
            <w:shd w:val="clear" w:color="auto" w:fill="auto"/>
          </w:tcPr>
          <w:p w14:paraId="6C957345" w14:textId="77777777" w:rsidR="008C5CFA" w:rsidRPr="00BA47B4" w:rsidRDefault="008C5CFA" w:rsidP="00300A01">
            <w:pPr>
              <w:spacing w:before="0" w:after="0"/>
              <w:jc w:val="right"/>
              <w:rPr>
                <w:sz w:val="12"/>
                <w:szCs w:val="12"/>
                <w:lang w:val="fr-BE"/>
              </w:rPr>
            </w:pPr>
          </w:p>
        </w:tc>
        <w:tc>
          <w:tcPr>
            <w:tcW w:w="0" w:type="auto"/>
          </w:tcPr>
          <w:p w14:paraId="3C7418E0"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14:paraId="4CEB1820"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14:paraId="720959CA" w14:textId="77777777" w:rsidR="008C5CFA" w:rsidRPr="00BA47B4" w:rsidRDefault="00E82A60" w:rsidP="00300A01">
            <w:pPr>
              <w:spacing w:before="0" w:after="0"/>
              <w:jc w:val="right"/>
              <w:rPr>
                <w:sz w:val="12"/>
                <w:szCs w:val="12"/>
                <w:lang w:val="fr-BE"/>
              </w:rPr>
            </w:pPr>
            <w:r w:rsidRPr="00A92B39">
              <w:rPr>
                <w:noProof/>
                <w:sz w:val="10"/>
                <w:szCs w:val="10"/>
                <w:lang w:val="fr-BE"/>
              </w:rPr>
              <w:t>0,00</w:t>
            </w:r>
          </w:p>
        </w:tc>
      </w:tr>
      <w:tr w:rsidR="006B2EC1" w14:paraId="74B9A9D5" w14:textId="77777777" w:rsidTr="0047688D">
        <w:tc>
          <w:tcPr>
            <w:tcW w:w="0" w:type="auto"/>
            <w:shd w:val="clear" w:color="auto" w:fill="auto"/>
          </w:tcPr>
          <w:p w14:paraId="3C7E85BE" w14:textId="77777777" w:rsidR="008C5CFA" w:rsidRPr="00BA47B4" w:rsidRDefault="00E82A60" w:rsidP="00300A01">
            <w:pPr>
              <w:spacing w:before="0" w:after="0"/>
              <w:rPr>
                <w:sz w:val="12"/>
                <w:szCs w:val="12"/>
                <w:lang w:val="fr-BE"/>
              </w:rPr>
            </w:pPr>
            <w:r>
              <w:rPr>
                <w:noProof/>
                <w:sz w:val="12"/>
                <w:szCs w:val="12"/>
                <w:lang w:val="fr-BE"/>
              </w:rPr>
              <w:t>CO09</w:t>
            </w:r>
          </w:p>
        </w:tc>
        <w:tc>
          <w:tcPr>
            <w:tcW w:w="0" w:type="auto"/>
            <w:shd w:val="clear" w:color="auto" w:fill="auto"/>
          </w:tcPr>
          <w:p w14:paraId="5CDD8CEF" w14:textId="77777777" w:rsidR="008C5CFA" w:rsidRPr="00BA47B4" w:rsidRDefault="00E82A60" w:rsidP="00300A01">
            <w:pPr>
              <w:spacing w:before="0" w:after="0"/>
              <w:rPr>
                <w:sz w:val="12"/>
                <w:szCs w:val="12"/>
                <w:lang w:val="fr-BE"/>
              </w:rPr>
            </w:pPr>
            <w:r>
              <w:rPr>
                <w:noProof/>
                <w:sz w:val="12"/>
                <w:szCs w:val="12"/>
                <w:lang w:val="fr-BE"/>
              </w:rPr>
              <w:t>osoby z wykształceniem podstawowym (ISCED 1) lub średnim I stopnia (ISCED 2)</w:t>
            </w:r>
          </w:p>
        </w:tc>
        <w:tc>
          <w:tcPr>
            <w:tcW w:w="0" w:type="auto"/>
            <w:shd w:val="clear" w:color="auto" w:fill="auto"/>
          </w:tcPr>
          <w:p w14:paraId="3A748E88" w14:textId="77777777" w:rsidR="008C5CFA" w:rsidRPr="00BA47B4" w:rsidRDefault="00E82A60"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14:paraId="248CCBDA" w14:textId="77777777" w:rsidR="008C5CFA" w:rsidRPr="00BA47B4" w:rsidRDefault="008C5CFA" w:rsidP="00300A01">
            <w:pPr>
              <w:spacing w:before="0" w:after="0"/>
              <w:jc w:val="right"/>
              <w:rPr>
                <w:sz w:val="12"/>
                <w:szCs w:val="12"/>
                <w:lang w:val="fr-BE"/>
              </w:rPr>
            </w:pPr>
          </w:p>
        </w:tc>
        <w:tc>
          <w:tcPr>
            <w:tcW w:w="0" w:type="auto"/>
            <w:shd w:val="clear" w:color="auto" w:fill="auto"/>
          </w:tcPr>
          <w:p w14:paraId="487538DF" w14:textId="77777777" w:rsidR="008C5CFA" w:rsidRPr="00BA47B4" w:rsidRDefault="008C5CFA" w:rsidP="00300A01">
            <w:pPr>
              <w:spacing w:before="0" w:after="0"/>
              <w:jc w:val="right"/>
              <w:rPr>
                <w:sz w:val="12"/>
                <w:szCs w:val="12"/>
                <w:lang w:val="fr-BE"/>
              </w:rPr>
            </w:pPr>
          </w:p>
        </w:tc>
        <w:tc>
          <w:tcPr>
            <w:tcW w:w="0" w:type="auto"/>
            <w:shd w:val="clear" w:color="auto" w:fill="auto"/>
          </w:tcPr>
          <w:p w14:paraId="54139236" w14:textId="77777777" w:rsidR="008C5CFA" w:rsidRPr="00BA47B4" w:rsidRDefault="008C5CFA" w:rsidP="00300A01">
            <w:pPr>
              <w:spacing w:before="0" w:after="0"/>
              <w:jc w:val="right"/>
              <w:rPr>
                <w:sz w:val="12"/>
                <w:szCs w:val="12"/>
                <w:lang w:val="fr-BE"/>
              </w:rPr>
            </w:pPr>
          </w:p>
        </w:tc>
        <w:tc>
          <w:tcPr>
            <w:tcW w:w="0" w:type="auto"/>
            <w:shd w:val="clear" w:color="auto" w:fill="auto"/>
          </w:tcPr>
          <w:p w14:paraId="0DDCFB3C" w14:textId="77777777" w:rsidR="008C5CFA" w:rsidRPr="00BA47B4" w:rsidRDefault="00E82A60" w:rsidP="00300A01">
            <w:pPr>
              <w:spacing w:before="0" w:after="0"/>
              <w:jc w:val="right"/>
              <w:rPr>
                <w:sz w:val="12"/>
                <w:szCs w:val="12"/>
                <w:lang w:val="fr-BE"/>
              </w:rPr>
            </w:pPr>
            <w:r w:rsidRPr="00BA47B4">
              <w:rPr>
                <w:noProof/>
                <w:sz w:val="12"/>
                <w:szCs w:val="12"/>
                <w:lang w:val="fr-BE"/>
              </w:rPr>
              <w:t>57,00</w:t>
            </w:r>
          </w:p>
        </w:tc>
        <w:tc>
          <w:tcPr>
            <w:tcW w:w="0" w:type="auto"/>
            <w:shd w:val="clear" w:color="auto" w:fill="auto"/>
          </w:tcPr>
          <w:p w14:paraId="719EE990" w14:textId="77777777" w:rsidR="008C5CFA" w:rsidRPr="00BA47B4" w:rsidRDefault="00E82A60" w:rsidP="00300A01">
            <w:pPr>
              <w:spacing w:before="0" w:after="0"/>
              <w:jc w:val="right"/>
              <w:rPr>
                <w:sz w:val="12"/>
                <w:szCs w:val="12"/>
                <w:lang w:val="fr-BE"/>
              </w:rPr>
            </w:pPr>
            <w:r w:rsidRPr="00BA47B4">
              <w:rPr>
                <w:noProof/>
                <w:sz w:val="12"/>
                <w:szCs w:val="12"/>
                <w:lang w:val="fr-BE"/>
              </w:rPr>
              <w:t>41,00</w:t>
            </w:r>
          </w:p>
        </w:tc>
        <w:tc>
          <w:tcPr>
            <w:tcW w:w="0" w:type="auto"/>
            <w:shd w:val="clear" w:color="auto" w:fill="auto"/>
          </w:tcPr>
          <w:p w14:paraId="78731F10" w14:textId="77777777" w:rsidR="008C5CFA" w:rsidRPr="00BA47B4" w:rsidRDefault="00E82A60" w:rsidP="00300A01">
            <w:pPr>
              <w:spacing w:before="0" w:after="0"/>
              <w:jc w:val="right"/>
              <w:rPr>
                <w:sz w:val="12"/>
                <w:szCs w:val="12"/>
                <w:lang w:val="fr-BE"/>
              </w:rPr>
            </w:pPr>
            <w:r w:rsidRPr="00BA47B4">
              <w:rPr>
                <w:noProof/>
                <w:sz w:val="12"/>
                <w:szCs w:val="12"/>
                <w:lang w:val="fr-BE"/>
              </w:rPr>
              <w:t>16,00</w:t>
            </w:r>
          </w:p>
        </w:tc>
        <w:tc>
          <w:tcPr>
            <w:tcW w:w="0" w:type="auto"/>
            <w:shd w:val="clear" w:color="auto" w:fill="auto"/>
          </w:tcPr>
          <w:p w14:paraId="737B9C6D" w14:textId="77777777" w:rsidR="008C5CFA" w:rsidRPr="00BA47B4" w:rsidRDefault="008C5CFA" w:rsidP="00300A01">
            <w:pPr>
              <w:spacing w:before="0" w:after="0"/>
              <w:jc w:val="right"/>
              <w:rPr>
                <w:sz w:val="12"/>
                <w:szCs w:val="12"/>
                <w:lang w:val="fr-BE"/>
              </w:rPr>
            </w:pPr>
          </w:p>
        </w:tc>
        <w:tc>
          <w:tcPr>
            <w:tcW w:w="0" w:type="auto"/>
            <w:shd w:val="clear" w:color="auto" w:fill="auto"/>
          </w:tcPr>
          <w:p w14:paraId="682CE5ED" w14:textId="77777777" w:rsidR="008C5CFA" w:rsidRPr="00BA47B4" w:rsidRDefault="008C5CFA" w:rsidP="00300A01">
            <w:pPr>
              <w:spacing w:before="0" w:after="0"/>
              <w:jc w:val="right"/>
              <w:rPr>
                <w:sz w:val="12"/>
                <w:szCs w:val="12"/>
                <w:lang w:val="fr-BE"/>
              </w:rPr>
            </w:pPr>
          </w:p>
        </w:tc>
        <w:tc>
          <w:tcPr>
            <w:tcW w:w="0" w:type="auto"/>
            <w:shd w:val="clear" w:color="auto" w:fill="auto"/>
          </w:tcPr>
          <w:p w14:paraId="1D7D9755" w14:textId="77777777" w:rsidR="008C5CFA" w:rsidRPr="00BA47B4" w:rsidRDefault="008C5CFA" w:rsidP="00300A01">
            <w:pPr>
              <w:spacing w:before="0" w:after="0"/>
              <w:jc w:val="right"/>
              <w:rPr>
                <w:sz w:val="12"/>
                <w:szCs w:val="12"/>
                <w:lang w:val="fr-BE"/>
              </w:rPr>
            </w:pPr>
          </w:p>
        </w:tc>
        <w:tc>
          <w:tcPr>
            <w:tcW w:w="0" w:type="auto"/>
          </w:tcPr>
          <w:p w14:paraId="7623505F" w14:textId="77777777" w:rsidR="008C5CFA" w:rsidRPr="00A92B39" w:rsidRDefault="00E82A60" w:rsidP="00300A01">
            <w:pPr>
              <w:spacing w:before="0" w:after="0"/>
              <w:jc w:val="right"/>
              <w:rPr>
                <w:sz w:val="10"/>
                <w:szCs w:val="10"/>
                <w:lang w:val="fr-BE"/>
              </w:rPr>
            </w:pPr>
            <w:r w:rsidRPr="00A92B39">
              <w:rPr>
                <w:noProof/>
                <w:sz w:val="10"/>
                <w:szCs w:val="10"/>
                <w:lang w:val="fr-BE"/>
              </w:rPr>
              <w:t>20,00</w:t>
            </w:r>
          </w:p>
        </w:tc>
        <w:tc>
          <w:tcPr>
            <w:tcW w:w="0" w:type="auto"/>
            <w:shd w:val="clear" w:color="auto" w:fill="auto"/>
          </w:tcPr>
          <w:p w14:paraId="43CF4B11" w14:textId="77777777" w:rsidR="008C5CFA" w:rsidRPr="00A92B39" w:rsidRDefault="00E82A60" w:rsidP="00300A01">
            <w:pPr>
              <w:spacing w:before="0" w:after="0"/>
              <w:jc w:val="right"/>
              <w:rPr>
                <w:sz w:val="10"/>
                <w:szCs w:val="10"/>
                <w:lang w:val="fr-BE"/>
              </w:rPr>
            </w:pPr>
            <w:r w:rsidRPr="00A92B39">
              <w:rPr>
                <w:noProof/>
                <w:sz w:val="10"/>
                <w:szCs w:val="10"/>
                <w:lang w:val="fr-BE"/>
              </w:rPr>
              <w:t>11,00</w:t>
            </w:r>
          </w:p>
        </w:tc>
        <w:tc>
          <w:tcPr>
            <w:tcW w:w="0" w:type="auto"/>
            <w:shd w:val="clear" w:color="auto" w:fill="auto"/>
          </w:tcPr>
          <w:p w14:paraId="027F9D14" w14:textId="77777777" w:rsidR="008C5CFA" w:rsidRPr="00BA47B4" w:rsidRDefault="00E82A60" w:rsidP="00300A01">
            <w:pPr>
              <w:spacing w:before="0" w:after="0"/>
              <w:jc w:val="right"/>
              <w:rPr>
                <w:sz w:val="12"/>
                <w:szCs w:val="12"/>
                <w:lang w:val="fr-BE"/>
              </w:rPr>
            </w:pPr>
            <w:r w:rsidRPr="00A92B39">
              <w:rPr>
                <w:noProof/>
                <w:sz w:val="10"/>
                <w:szCs w:val="10"/>
                <w:lang w:val="fr-BE"/>
              </w:rPr>
              <w:t>9,00</w:t>
            </w:r>
          </w:p>
        </w:tc>
      </w:tr>
      <w:tr w:rsidR="006B2EC1" w14:paraId="5399FB52" w14:textId="77777777" w:rsidTr="0047688D">
        <w:tc>
          <w:tcPr>
            <w:tcW w:w="0" w:type="auto"/>
            <w:shd w:val="clear" w:color="auto" w:fill="auto"/>
          </w:tcPr>
          <w:p w14:paraId="11B5389C" w14:textId="77777777" w:rsidR="008C5CFA" w:rsidRPr="00BA47B4" w:rsidRDefault="00E82A60" w:rsidP="00300A01">
            <w:pPr>
              <w:spacing w:before="0" w:after="0"/>
              <w:rPr>
                <w:sz w:val="12"/>
                <w:szCs w:val="12"/>
                <w:lang w:val="fr-BE"/>
              </w:rPr>
            </w:pPr>
            <w:r>
              <w:rPr>
                <w:noProof/>
                <w:sz w:val="12"/>
                <w:szCs w:val="12"/>
                <w:lang w:val="fr-BE"/>
              </w:rPr>
              <w:t>CO10</w:t>
            </w:r>
          </w:p>
        </w:tc>
        <w:tc>
          <w:tcPr>
            <w:tcW w:w="0" w:type="auto"/>
            <w:shd w:val="clear" w:color="auto" w:fill="auto"/>
          </w:tcPr>
          <w:p w14:paraId="7049762F" w14:textId="77777777" w:rsidR="008C5CFA" w:rsidRPr="00BA47B4" w:rsidRDefault="00E82A60" w:rsidP="00300A01">
            <w:pPr>
              <w:spacing w:before="0" w:after="0"/>
              <w:rPr>
                <w:sz w:val="12"/>
                <w:szCs w:val="12"/>
                <w:lang w:val="fr-BE"/>
              </w:rPr>
            </w:pPr>
            <w:r>
              <w:rPr>
                <w:noProof/>
                <w:sz w:val="12"/>
                <w:szCs w:val="12"/>
                <w:lang w:val="fr-BE"/>
              </w:rPr>
              <w:t>osoby z wykształceniem średnim II stopnia (ISCED 3) lub policealnym (ISCED 4)</w:t>
            </w:r>
          </w:p>
        </w:tc>
        <w:tc>
          <w:tcPr>
            <w:tcW w:w="0" w:type="auto"/>
            <w:shd w:val="clear" w:color="auto" w:fill="auto"/>
          </w:tcPr>
          <w:p w14:paraId="4D47EE25" w14:textId="77777777" w:rsidR="008C5CFA" w:rsidRPr="00BA47B4" w:rsidRDefault="00E82A60"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14:paraId="5B87F20F" w14:textId="77777777" w:rsidR="008C5CFA" w:rsidRPr="00BA47B4" w:rsidRDefault="008C5CFA" w:rsidP="00300A01">
            <w:pPr>
              <w:spacing w:before="0" w:after="0"/>
              <w:jc w:val="right"/>
              <w:rPr>
                <w:sz w:val="12"/>
                <w:szCs w:val="12"/>
                <w:lang w:val="fr-BE"/>
              </w:rPr>
            </w:pPr>
          </w:p>
        </w:tc>
        <w:tc>
          <w:tcPr>
            <w:tcW w:w="0" w:type="auto"/>
            <w:shd w:val="clear" w:color="auto" w:fill="auto"/>
          </w:tcPr>
          <w:p w14:paraId="095E0384" w14:textId="77777777" w:rsidR="008C5CFA" w:rsidRPr="00BA47B4" w:rsidRDefault="008C5CFA" w:rsidP="00300A01">
            <w:pPr>
              <w:spacing w:before="0" w:after="0"/>
              <w:jc w:val="right"/>
              <w:rPr>
                <w:sz w:val="12"/>
                <w:szCs w:val="12"/>
                <w:lang w:val="fr-BE"/>
              </w:rPr>
            </w:pPr>
          </w:p>
        </w:tc>
        <w:tc>
          <w:tcPr>
            <w:tcW w:w="0" w:type="auto"/>
            <w:shd w:val="clear" w:color="auto" w:fill="auto"/>
          </w:tcPr>
          <w:p w14:paraId="76B99F2A" w14:textId="77777777" w:rsidR="008C5CFA" w:rsidRPr="00BA47B4" w:rsidRDefault="008C5CFA" w:rsidP="00300A01">
            <w:pPr>
              <w:spacing w:before="0" w:after="0"/>
              <w:jc w:val="right"/>
              <w:rPr>
                <w:sz w:val="12"/>
                <w:szCs w:val="12"/>
                <w:lang w:val="fr-BE"/>
              </w:rPr>
            </w:pPr>
          </w:p>
        </w:tc>
        <w:tc>
          <w:tcPr>
            <w:tcW w:w="0" w:type="auto"/>
            <w:shd w:val="clear" w:color="auto" w:fill="auto"/>
          </w:tcPr>
          <w:p w14:paraId="4A1C01A6" w14:textId="77777777" w:rsidR="008C5CFA" w:rsidRPr="00BA47B4" w:rsidRDefault="00E82A60" w:rsidP="00300A01">
            <w:pPr>
              <w:spacing w:before="0" w:after="0"/>
              <w:jc w:val="right"/>
              <w:rPr>
                <w:sz w:val="12"/>
                <w:szCs w:val="12"/>
                <w:lang w:val="fr-BE"/>
              </w:rPr>
            </w:pPr>
            <w:r w:rsidRPr="00BA47B4">
              <w:rPr>
                <w:noProof/>
                <w:sz w:val="12"/>
                <w:szCs w:val="12"/>
                <w:lang w:val="fr-BE"/>
              </w:rPr>
              <w:t>1 299,00</w:t>
            </w:r>
          </w:p>
        </w:tc>
        <w:tc>
          <w:tcPr>
            <w:tcW w:w="0" w:type="auto"/>
            <w:shd w:val="clear" w:color="auto" w:fill="auto"/>
          </w:tcPr>
          <w:p w14:paraId="2F780CA8" w14:textId="77777777" w:rsidR="008C5CFA" w:rsidRPr="00BA47B4" w:rsidRDefault="00E82A60" w:rsidP="00300A01">
            <w:pPr>
              <w:spacing w:before="0" w:after="0"/>
              <w:jc w:val="right"/>
              <w:rPr>
                <w:sz w:val="12"/>
                <w:szCs w:val="12"/>
                <w:lang w:val="fr-BE"/>
              </w:rPr>
            </w:pPr>
            <w:r w:rsidRPr="00BA47B4">
              <w:rPr>
                <w:noProof/>
                <w:sz w:val="12"/>
                <w:szCs w:val="12"/>
                <w:lang w:val="fr-BE"/>
              </w:rPr>
              <w:t>717,00</w:t>
            </w:r>
          </w:p>
        </w:tc>
        <w:tc>
          <w:tcPr>
            <w:tcW w:w="0" w:type="auto"/>
            <w:shd w:val="clear" w:color="auto" w:fill="auto"/>
          </w:tcPr>
          <w:p w14:paraId="2B8A4A38" w14:textId="77777777" w:rsidR="008C5CFA" w:rsidRPr="00BA47B4" w:rsidRDefault="00E82A60" w:rsidP="00300A01">
            <w:pPr>
              <w:spacing w:before="0" w:after="0"/>
              <w:jc w:val="right"/>
              <w:rPr>
                <w:sz w:val="12"/>
                <w:szCs w:val="12"/>
                <w:lang w:val="fr-BE"/>
              </w:rPr>
            </w:pPr>
            <w:r w:rsidRPr="00BA47B4">
              <w:rPr>
                <w:noProof/>
                <w:sz w:val="12"/>
                <w:szCs w:val="12"/>
                <w:lang w:val="fr-BE"/>
              </w:rPr>
              <w:t>582,00</w:t>
            </w:r>
          </w:p>
        </w:tc>
        <w:tc>
          <w:tcPr>
            <w:tcW w:w="0" w:type="auto"/>
            <w:shd w:val="clear" w:color="auto" w:fill="auto"/>
          </w:tcPr>
          <w:p w14:paraId="734E213B" w14:textId="77777777" w:rsidR="008C5CFA" w:rsidRPr="00BA47B4" w:rsidRDefault="008C5CFA" w:rsidP="00300A01">
            <w:pPr>
              <w:spacing w:before="0" w:after="0"/>
              <w:jc w:val="right"/>
              <w:rPr>
                <w:sz w:val="12"/>
                <w:szCs w:val="12"/>
                <w:lang w:val="fr-BE"/>
              </w:rPr>
            </w:pPr>
          </w:p>
        </w:tc>
        <w:tc>
          <w:tcPr>
            <w:tcW w:w="0" w:type="auto"/>
            <w:shd w:val="clear" w:color="auto" w:fill="auto"/>
          </w:tcPr>
          <w:p w14:paraId="175DBAF0" w14:textId="77777777" w:rsidR="008C5CFA" w:rsidRPr="00BA47B4" w:rsidRDefault="008C5CFA" w:rsidP="00300A01">
            <w:pPr>
              <w:spacing w:before="0" w:after="0"/>
              <w:jc w:val="right"/>
              <w:rPr>
                <w:sz w:val="12"/>
                <w:szCs w:val="12"/>
                <w:lang w:val="fr-BE"/>
              </w:rPr>
            </w:pPr>
          </w:p>
        </w:tc>
        <w:tc>
          <w:tcPr>
            <w:tcW w:w="0" w:type="auto"/>
            <w:shd w:val="clear" w:color="auto" w:fill="auto"/>
          </w:tcPr>
          <w:p w14:paraId="01D94F40" w14:textId="77777777" w:rsidR="008C5CFA" w:rsidRPr="00BA47B4" w:rsidRDefault="008C5CFA" w:rsidP="00300A01">
            <w:pPr>
              <w:spacing w:before="0" w:after="0"/>
              <w:jc w:val="right"/>
              <w:rPr>
                <w:sz w:val="12"/>
                <w:szCs w:val="12"/>
                <w:lang w:val="fr-BE"/>
              </w:rPr>
            </w:pPr>
          </w:p>
        </w:tc>
        <w:tc>
          <w:tcPr>
            <w:tcW w:w="0" w:type="auto"/>
          </w:tcPr>
          <w:p w14:paraId="08C1F75C" w14:textId="77777777" w:rsidR="008C5CFA" w:rsidRPr="00A92B39" w:rsidRDefault="00E82A60" w:rsidP="00300A01">
            <w:pPr>
              <w:spacing w:before="0" w:after="0"/>
              <w:jc w:val="right"/>
              <w:rPr>
                <w:sz w:val="10"/>
                <w:szCs w:val="10"/>
                <w:lang w:val="fr-BE"/>
              </w:rPr>
            </w:pPr>
            <w:r w:rsidRPr="00A92B39">
              <w:rPr>
                <w:noProof/>
                <w:sz w:val="10"/>
                <w:szCs w:val="10"/>
                <w:lang w:val="fr-BE"/>
              </w:rPr>
              <w:t>447,00</w:t>
            </w:r>
          </w:p>
        </w:tc>
        <w:tc>
          <w:tcPr>
            <w:tcW w:w="0" w:type="auto"/>
            <w:shd w:val="clear" w:color="auto" w:fill="auto"/>
          </w:tcPr>
          <w:p w14:paraId="143B453D" w14:textId="77777777" w:rsidR="008C5CFA" w:rsidRPr="00A92B39" w:rsidRDefault="00E82A60" w:rsidP="00300A01">
            <w:pPr>
              <w:spacing w:before="0" w:after="0"/>
              <w:jc w:val="right"/>
              <w:rPr>
                <w:sz w:val="10"/>
                <w:szCs w:val="10"/>
                <w:lang w:val="fr-BE"/>
              </w:rPr>
            </w:pPr>
            <w:r w:rsidRPr="00A92B39">
              <w:rPr>
                <w:noProof/>
                <w:sz w:val="10"/>
                <w:szCs w:val="10"/>
                <w:lang w:val="fr-BE"/>
              </w:rPr>
              <w:t>208,00</w:t>
            </w:r>
          </w:p>
        </w:tc>
        <w:tc>
          <w:tcPr>
            <w:tcW w:w="0" w:type="auto"/>
            <w:shd w:val="clear" w:color="auto" w:fill="auto"/>
          </w:tcPr>
          <w:p w14:paraId="40DC0433" w14:textId="77777777" w:rsidR="008C5CFA" w:rsidRPr="00BA47B4" w:rsidRDefault="00E82A60" w:rsidP="00300A01">
            <w:pPr>
              <w:spacing w:before="0" w:after="0"/>
              <w:jc w:val="right"/>
              <w:rPr>
                <w:sz w:val="12"/>
                <w:szCs w:val="12"/>
                <w:lang w:val="fr-BE"/>
              </w:rPr>
            </w:pPr>
            <w:r w:rsidRPr="00A92B39">
              <w:rPr>
                <w:noProof/>
                <w:sz w:val="10"/>
                <w:szCs w:val="10"/>
                <w:lang w:val="fr-BE"/>
              </w:rPr>
              <w:t>239,00</w:t>
            </w:r>
          </w:p>
        </w:tc>
      </w:tr>
      <w:tr w:rsidR="006B2EC1" w14:paraId="6B785E44" w14:textId="77777777" w:rsidTr="0047688D">
        <w:tc>
          <w:tcPr>
            <w:tcW w:w="0" w:type="auto"/>
            <w:shd w:val="clear" w:color="auto" w:fill="auto"/>
          </w:tcPr>
          <w:p w14:paraId="554B5267" w14:textId="77777777" w:rsidR="008C5CFA" w:rsidRPr="00BA47B4" w:rsidRDefault="00E82A60" w:rsidP="00300A01">
            <w:pPr>
              <w:spacing w:before="0" w:after="0"/>
              <w:rPr>
                <w:sz w:val="12"/>
                <w:szCs w:val="12"/>
                <w:lang w:val="fr-BE"/>
              </w:rPr>
            </w:pPr>
            <w:r>
              <w:rPr>
                <w:noProof/>
                <w:sz w:val="12"/>
                <w:szCs w:val="12"/>
                <w:lang w:val="fr-BE"/>
              </w:rPr>
              <w:t>CO11</w:t>
            </w:r>
          </w:p>
        </w:tc>
        <w:tc>
          <w:tcPr>
            <w:tcW w:w="0" w:type="auto"/>
            <w:shd w:val="clear" w:color="auto" w:fill="auto"/>
          </w:tcPr>
          <w:p w14:paraId="45A51C8C" w14:textId="77777777" w:rsidR="008C5CFA" w:rsidRPr="00BA47B4" w:rsidRDefault="00E82A60" w:rsidP="00300A01">
            <w:pPr>
              <w:spacing w:before="0" w:after="0"/>
              <w:rPr>
                <w:sz w:val="12"/>
                <w:szCs w:val="12"/>
                <w:lang w:val="fr-BE"/>
              </w:rPr>
            </w:pPr>
            <w:r>
              <w:rPr>
                <w:noProof/>
                <w:sz w:val="12"/>
                <w:szCs w:val="12"/>
                <w:lang w:val="fr-BE"/>
              </w:rPr>
              <w:t>osoby z wykształceniem wyższym (ISCED 5 do 8)</w:t>
            </w:r>
          </w:p>
        </w:tc>
        <w:tc>
          <w:tcPr>
            <w:tcW w:w="0" w:type="auto"/>
            <w:shd w:val="clear" w:color="auto" w:fill="auto"/>
          </w:tcPr>
          <w:p w14:paraId="6A450C9C" w14:textId="77777777" w:rsidR="008C5CFA" w:rsidRPr="00BA47B4" w:rsidRDefault="00E82A60"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14:paraId="7601B022" w14:textId="77777777" w:rsidR="008C5CFA" w:rsidRPr="00BA47B4" w:rsidRDefault="008C5CFA" w:rsidP="00300A01">
            <w:pPr>
              <w:spacing w:before="0" w:after="0"/>
              <w:jc w:val="right"/>
              <w:rPr>
                <w:sz w:val="12"/>
                <w:szCs w:val="12"/>
                <w:lang w:val="fr-BE"/>
              </w:rPr>
            </w:pPr>
          </w:p>
        </w:tc>
        <w:tc>
          <w:tcPr>
            <w:tcW w:w="0" w:type="auto"/>
            <w:shd w:val="clear" w:color="auto" w:fill="auto"/>
          </w:tcPr>
          <w:p w14:paraId="39CF0508" w14:textId="77777777" w:rsidR="008C5CFA" w:rsidRPr="00BA47B4" w:rsidRDefault="008C5CFA" w:rsidP="00300A01">
            <w:pPr>
              <w:spacing w:before="0" w:after="0"/>
              <w:jc w:val="right"/>
              <w:rPr>
                <w:sz w:val="12"/>
                <w:szCs w:val="12"/>
                <w:lang w:val="fr-BE"/>
              </w:rPr>
            </w:pPr>
          </w:p>
        </w:tc>
        <w:tc>
          <w:tcPr>
            <w:tcW w:w="0" w:type="auto"/>
            <w:shd w:val="clear" w:color="auto" w:fill="auto"/>
          </w:tcPr>
          <w:p w14:paraId="5600E756" w14:textId="77777777" w:rsidR="008C5CFA" w:rsidRPr="00BA47B4" w:rsidRDefault="008C5CFA" w:rsidP="00300A01">
            <w:pPr>
              <w:spacing w:before="0" w:after="0"/>
              <w:jc w:val="right"/>
              <w:rPr>
                <w:sz w:val="12"/>
                <w:szCs w:val="12"/>
                <w:lang w:val="fr-BE"/>
              </w:rPr>
            </w:pPr>
          </w:p>
        </w:tc>
        <w:tc>
          <w:tcPr>
            <w:tcW w:w="0" w:type="auto"/>
            <w:shd w:val="clear" w:color="auto" w:fill="auto"/>
          </w:tcPr>
          <w:p w14:paraId="7BB7A980" w14:textId="77777777" w:rsidR="008C5CFA" w:rsidRPr="00BA47B4" w:rsidRDefault="00E82A60" w:rsidP="00300A01">
            <w:pPr>
              <w:spacing w:before="0" w:after="0"/>
              <w:jc w:val="right"/>
              <w:rPr>
                <w:sz w:val="12"/>
                <w:szCs w:val="12"/>
                <w:lang w:val="fr-BE"/>
              </w:rPr>
            </w:pPr>
            <w:r w:rsidRPr="00BA47B4">
              <w:rPr>
                <w:noProof/>
                <w:sz w:val="12"/>
                <w:szCs w:val="12"/>
                <w:lang w:val="fr-BE"/>
              </w:rPr>
              <w:t>2 214,00</w:t>
            </w:r>
          </w:p>
        </w:tc>
        <w:tc>
          <w:tcPr>
            <w:tcW w:w="0" w:type="auto"/>
            <w:shd w:val="clear" w:color="auto" w:fill="auto"/>
          </w:tcPr>
          <w:p w14:paraId="4FEE9CD8" w14:textId="77777777" w:rsidR="008C5CFA" w:rsidRPr="00BA47B4" w:rsidRDefault="00E82A60" w:rsidP="00300A01">
            <w:pPr>
              <w:spacing w:before="0" w:after="0"/>
              <w:jc w:val="right"/>
              <w:rPr>
                <w:sz w:val="12"/>
                <w:szCs w:val="12"/>
                <w:lang w:val="fr-BE"/>
              </w:rPr>
            </w:pPr>
            <w:r w:rsidRPr="00BA47B4">
              <w:rPr>
                <w:noProof/>
                <w:sz w:val="12"/>
                <w:szCs w:val="12"/>
                <w:lang w:val="fr-BE"/>
              </w:rPr>
              <w:t>828,00</w:t>
            </w:r>
          </w:p>
        </w:tc>
        <w:tc>
          <w:tcPr>
            <w:tcW w:w="0" w:type="auto"/>
            <w:shd w:val="clear" w:color="auto" w:fill="auto"/>
          </w:tcPr>
          <w:p w14:paraId="1003E25D" w14:textId="77777777" w:rsidR="008C5CFA" w:rsidRPr="00BA47B4" w:rsidRDefault="00E82A60" w:rsidP="00300A01">
            <w:pPr>
              <w:spacing w:before="0" w:after="0"/>
              <w:jc w:val="right"/>
              <w:rPr>
                <w:sz w:val="12"/>
                <w:szCs w:val="12"/>
                <w:lang w:val="fr-BE"/>
              </w:rPr>
            </w:pPr>
            <w:r w:rsidRPr="00BA47B4">
              <w:rPr>
                <w:noProof/>
                <w:sz w:val="12"/>
                <w:szCs w:val="12"/>
                <w:lang w:val="fr-BE"/>
              </w:rPr>
              <w:t>1 386,00</w:t>
            </w:r>
          </w:p>
        </w:tc>
        <w:tc>
          <w:tcPr>
            <w:tcW w:w="0" w:type="auto"/>
            <w:shd w:val="clear" w:color="auto" w:fill="auto"/>
          </w:tcPr>
          <w:p w14:paraId="000FBFBD" w14:textId="77777777" w:rsidR="008C5CFA" w:rsidRPr="00BA47B4" w:rsidRDefault="008C5CFA" w:rsidP="00300A01">
            <w:pPr>
              <w:spacing w:before="0" w:after="0"/>
              <w:jc w:val="right"/>
              <w:rPr>
                <w:sz w:val="12"/>
                <w:szCs w:val="12"/>
                <w:lang w:val="fr-BE"/>
              </w:rPr>
            </w:pPr>
          </w:p>
        </w:tc>
        <w:tc>
          <w:tcPr>
            <w:tcW w:w="0" w:type="auto"/>
            <w:shd w:val="clear" w:color="auto" w:fill="auto"/>
          </w:tcPr>
          <w:p w14:paraId="773B60BE" w14:textId="77777777" w:rsidR="008C5CFA" w:rsidRPr="00BA47B4" w:rsidRDefault="008C5CFA" w:rsidP="00300A01">
            <w:pPr>
              <w:spacing w:before="0" w:after="0"/>
              <w:jc w:val="right"/>
              <w:rPr>
                <w:sz w:val="12"/>
                <w:szCs w:val="12"/>
                <w:lang w:val="fr-BE"/>
              </w:rPr>
            </w:pPr>
          </w:p>
        </w:tc>
        <w:tc>
          <w:tcPr>
            <w:tcW w:w="0" w:type="auto"/>
            <w:shd w:val="clear" w:color="auto" w:fill="auto"/>
          </w:tcPr>
          <w:p w14:paraId="3BFB43E0" w14:textId="77777777" w:rsidR="008C5CFA" w:rsidRPr="00BA47B4" w:rsidRDefault="008C5CFA" w:rsidP="00300A01">
            <w:pPr>
              <w:spacing w:before="0" w:after="0"/>
              <w:jc w:val="right"/>
              <w:rPr>
                <w:sz w:val="12"/>
                <w:szCs w:val="12"/>
                <w:lang w:val="fr-BE"/>
              </w:rPr>
            </w:pPr>
          </w:p>
        </w:tc>
        <w:tc>
          <w:tcPr>
            <w:tcW w:w="0" w:type="auto"/>
          </w:tcPr>
          <w:p w14:paraId="3167AA63" w14:textId="77777777" w:rsidR="008C5CFA" w:rsidRPr="00A92B39" w:rsidRDefault="00E82A60" w:rsidP="00300A01">
            <w:pPr>
              <w:spacing w:before="0" w:after="0"/>
              <w:jc w:val="right"/>
              <w:rPr>
                <w:sz w:val="10"/>
                <w:szCs w:val="10"/>
                <w:lang w:val="fr-BE"/>
              </w:rPr>
            </w:pPr>
            <w:r w:rsidRPr="00A92B39">
              <w:rPr>
                <w:noProof/>
                <w:sz w:val="10"/>
                <w:szCs w:val="10"/>
                <w:lang w:val="fr-BE"/>
              </w:rPr>
              <w:t>636,00</w:t>
            </w:r>
          </w:p>
        </w:tc>
        <w:tc>
          <w:tcPr>
            <w:tcW w:w="0" w:type="auto"/>
            <w:shd w:val="clear" w:color="auto" w:fill="auto"/>
          </w:tcPr>
          <w:p w14:paraId="710072C6" w14:textId="77777777" w:rsidR="008C5CFA" w:rsidRPr="00A92B39" w:rsidRDefault="00E82A60" w:rsidP="00300A01">
            <w:pPr>
              <w:spacing w:before="0" w:after="0"/>
              <w:jc w:val="right"/>
              <w:rPr>
                <w:sz w:val="10"/>
                <w:szCs w:val="10"/>
                <w:lang w:val="fr-BE"/>
              </w:rPr>
            </w:pPr>
            <w:r w:rsidRPr="00A92B39">
              <w:rPr>
                <w:noProof/>
                <w:sz w:val="10"/>
                <w:szCs w:val="10"/>
                <w:lang w:val="fr-BE"/>
              </w:rPr>
              <w:t>216,00</w:t>
            </w:r>
          </w:p>
        </w:tc>
        <w:tc>
          <w:tcPr>
            <w:tcW w:w="0" w:type="auto"/>
            <w:shd w:val="clear" w:color="auto" w:fill="auto"/>
          </w:tcPr>
          <w:p w14:paraId="39401BD4" w14:textId="77777777" w:rsidR="008C5CFA" w:rsidRPr="00BA47B4" w:rsidRDefault="00E82A60" w:rsidP="00300A01">
            <w:pPr>
              <w:spacing w:before="0" w:after="0"/>
              <w:jc w:val="right"/>
              <w:rPr>
                <w:sz w:val="12"/>
                <w:szCs w:val="12"/>
                <w:lang w:val="fr-BE"/>
              </w:rPr>
            </w:pPr>
            <w:r w:rsidRPr="00A92B39">
              <w:rPr>
                <w:noProof/>
                <w:sz w:val="10"/>
                <w:szCs w:val="10"/>
                <w:lang w:val="fr-BE"/>
              </w:rPr>
              <w:t>420,00</w:t>
            </w:r>
          </w:p>
        </w:tc>
      </w:tr>
      <w:tr w:rsidR="006B2EC1" w14:paraId="66D1D5A4" w14:textId="77777777" w:rsidTr="0047688D">
        <w:tc>
          <w:tcPr>
            <w:tcW w:w="0" w:type="auto"/>
            <w:shd w:val="clear" w:color="auto" w:fill="auto"/>
          </w:tcPr>
          <w:p w14:paraId="03C55722" w14:textId="77777777" w:rsidR="008C5CFA" w:rsidRPr="00BA47B4" w:rsidRDefault="00E82A60" w:rsidP="00300A01">
            <w:pPr>
              <w:spacing w:before="0" w:after="0"/>
              <w:rPr>
                <w:sz w:val="12"/>
                <w:szCs w:val="12"/>
                <w:lang w:val="fr-BE"/>
              </w:rPr>
            </w:pPr>
            <w:r>
              <w:rPr>
                <w:noProof/>
                <w:sz w:val="12"/>
                <w:szCs w:val="12"/>
                <w:lang w:val="fr-BE"/>
              </w:rPr>
              <w:t>CO15</w:t>
            </w:r>
          </w:p>
        </w:tc>
        <w:tc>
          <w:tcPr>
            <w:tcW w:w="0" w:type="auto"/>
            <w:shd w:val="clear" w:color="auto" w:fill="auto"/>
          </w:tcPr>
          <w:p w14:paraId="44AC73B7" w14:textId="77777777" w:rsidR="008C5CFA" w:rsidRPr="00BA47B4" w:rsidRDefault="00E82A60" w:rsidP="00300A01">
            <w:pPr>
              <w:spacing w:before="0" w:after="0"/>
              <w:rPr>
                <w:sz w:val="12"/>
                <w:szCs w:val="12"/>
                <w:lang w:val="fr-BE"/>
              </w:rPr>
            </w:pPr>
            <w:r>
              <w:rPr>
                <w:noProof/>
                <w:sz w:val="12"/>
                <w:szCs w:val="12"/>
                <w:lang w:val="fr-BE"/>
              </w:rPr>
              <w:t>migranci, uczestnicy obcego pochodzenia, mniejszości (w tym społeczności marginalizowane, takie jak Romowie)</w:t>
            </w:r>
          </w:p>
        </w:tc>
        <w:tc>
          <w:tcPr>
            <w:tcW w:w="0" w:type="auto"/>
            <w:shd w:val="clear" w:color="auto" w:fill="auto"/>
          </w:tcPr>
          <w:p w14:paraId="26E00E72" w14:textId="77777777" w:rsidR="008C5CFA" w:rsidRPr="00BA47B4" w:rsidRDefault="00E82A60"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14:paraId="7C96F285" w14:textId="77777777" w:rsidR="008C5CFA" w:rsidRPr="00BA47B4" w:rsidRDefault="008C5CFA" w:rsidP="00300A01">
            <w:pPr>
              <w:spacing w:before="0" w:after="0"/>
              <w:jc w:val="right"/>
              <w:rPr>
                <w:sz w:val="12"/>
                <w:szCs w:val="12"/>
                <w:lang w:val="fr-BE"/>
              </w:rPr>
            </w:pPr>
          </w:p>
        </w:tc>
        <w:tc>
          <w:tcPr>
            <w:tcW w:w="0" w:type="auto"/>
            <w:shd w:val="clear" w:color="auto" w:fill="auto"/>
          </w:tcPr>
          <w:p w14:paraId="45E2C09E" w14:textId="77777777" w:rsidR="008C5CFA" w:rsidRPr="00BA47B4" w:rsidRDefault="008C5CFA" w:rsidP="00300A01">
            <w:pPr>
              <w:spacing w:before="0" w:after="0"/>
              <w:jc w:val="right"/>
              <w:rPr>
                <w:sz w:val="12"/>
                <w:szCs w:val="12"/>
                <w:lang w:val="fr-BE"/>
              </w:rPr>
            </w:pPr>
          </w:p>
        </w:tc>
        <w:tc>
          <w:tcPr>
            <w:tcW w:w="0" w:type="auto"/>
            <w:shd w:val="clear" w:color="auto" w:fill="auto"/>
          </w:tcPr>
          <w:p w14:paraId="2704413F" w14:textId="77777777" w:rsidR="008C5CFA" w:rsidRPr="00BA47B4" w:rsidRDefault="008C5CFA" w:rsidP="00300A01">
            <w:pPr>
              <w:spacing w:before="0" w:after="0"/>
              <w:jc w:val="right"/>
              <w:rPr>
                <w:sz w:val="12"/>
                <w:szCs w:val="12"/>
                <w:lang w:val="fr-BE"/>
              </w:rPr>
            </w:pPr>
          </w:p>
        </w:tc>
        <w:tc>
          <w:tcPr>
            <w:tcW w:w="0" w:type="auto"/>
            <w:shd w:val="clear" w:color="auto" w:fill="auto"/>
          </w:tcPr>
          <w:p w14:paraId="6947CB2D" w14:textId="77777777" w:rsidR="008C5CFA" w:rsidRPr="00BA47B4" w:rsidRDefault="00E82A60" w:rsidP="00300A01">
            <w:pPr>
              <w:spacing w:before="0" w:after="0"/>
              <w:jc w:val="right"/>
              <w:rPr>
                <w:sz w:val="12"/>
                <w:szCs w:val="12"/>
                <w:lang w:val="fr-BE"/>
              </w:rPr>
            </w:pPr>
            <w:r w:rsidRPr="00BA47B4">
              <w:rPr>
                <w:noProof/>
                <w:sz w:val="12"/>
                <w:szCs w:val="12"/>
                <w:lang w:val="fr-BE"/>
              </w:rPr>
              <w:t>14,00</w:t>
            </w:r>
          </w:p>
        </w:tc>
        <w:tc>
          <w:tcPr>
            <w:tcW w:w="0" w:type="auto"/>
            <w:shd w:val="clear" w:color="auto" w:fill="auto"/>
          </w:tcPr>
          <w:p w14:paraId="024A6D85" w14:textId="77777777" w:rsidR="008C5CFA" w:rsidRPr="00BA47B4" w:rsidRDefault="00E82A60" w:rsidP="00300A01">
            <w:pPr>
              <w:spacing w:before="0" w:after="0"/>
              <w:jc w:val="right"/>
              <w:rPr>
                <w:sz w:val="12"/>
                <w:szCs w:val="12"/>
                <w:lang w:val="fr-BE"/>
              </w:rPr>
            </w:pPr>
            <w:r w:rsidRPr="00BA47B4">
              <w:rPr>
                <w:noProof/>
                <w:sz w:val="12"/>
                <w:szCs w:val="12"/>
                <w:lang w:val="fr-BE"/>
              </w:rPr>
              <w:t>9,00</w:t>
            </w:r>
          </w:p>
        </w:tc>
        <w:tc>
          <w:tcPr>
            <w:tcW w:w="0" w:type="auto"/>
            <w:shd w:val="clear" w:color="auto" w:fill="auto"/>
          </w:tcPr>
          <w:p w14:paraId="7C583791" w14:textId="77777777" w:rsidR="008C5CFA" w:rsidRPr="00BA47B4" w:rsidRDefault="00E82A60" w:rsidP="00300A01">
            <w:pPr>
              <w:spacing w:before="0" w:after="0"/>
              <w:jc w:val="right"/>
              <w:rPr>
                <w:sz w:val="12"/>
                <w:szCs w:val="12"/>
                <w:lang w:val="fr-BE"/>
              </w:rPr>
            </w:pPr>
            <w:r w:rsidRPr="00BA47B4">
              <w:rPr>
                <w:noProof/>
                <w:sz w:val="12"/>
                <w:szCs w:val="12"/>
                <w:lang w:val="fr-BE"/>
              </w:rPr>
              <w:t>5,00</w:t>
            </w:r>
          </w:p>
        </w:tc>
        <w:tc>
          <w:tcPr>
            <w:tcW w:w="0" w:type="auto"/>
            <w:shd w:val="clear" w:color="auto" w:fill="auto"/>
          </w:tcPr>
          <w:p w14:paraId="5F58B4FB" w14:textId="77777777" w:rsidR="008C5CFA" w:rsidRPr="00BA47B4" w:rsidRDefault="008C5CFA" w:rsidP="00300A01">
            <w:pPr>
              <w:spacing w:before="0" w:after="0"/>
              <w:jc w:val="right"/>
              <w:rPr>
                <w:sz w:val="12"/>
                <w:szCs w:val="12"/>
                <w:lang w:val="fr-BE"/>
              </w:rPr>
            </w:pPr>
          </w:p>
        </w:tc>
        <w:tc>
          <w:tcPr>
            <w:tcW w:w="0" w:type="auto"/>
            <w:shd w:val="clear" w:color="auto" w:fill="auto"/>
          </w:tcPr>
          <w:p w14:paraId="6923E2F6" w14:textId="77777777" w:rsidR="008C5CFA" w:rsidRPr="00BA47B4" w:rsidRDefault="008C5CFA" w:rsidP="00300A01">
            <w:pPr>
              <w:spacing w:before="0" w:after="0"/>
              <w:jc w:val="right"/>
              <w:rPr>
                <w:sz w:val="12"/>
                <w:szCs w:val="12"/>
                <w:lang w:val="fr-BE"/>
              </w:rPr>
            </w:pPr>
          </w:p>
        </w:tc>
        <w:tc>
          <w:tcPr>
            <w:tcW w:w="0" w:type="auto"/>
            <w:shd w:val="clear" w:color="auto" w:fill="auto"/>
          </w:tcPr>
          <w:p w14:paraId="20C6F925" w14:textId="77777777" w:rsidR="008C5CFA" w:rsidRPr="00BA47B4" w:rsidRDefault="008C5CFA" w:rsidP="00300A01">
            <w:pPr>
              <w:spacing w:before="0" w:after="0"/>
              <w:jc w:val="right"/>
              <w:rPr>
                <w:sz w:val="12"/>
                <w:szCs w:val="12"/>
                <w:lang w:val="fr-BE"/>
              </w:rPr>
            </w:pPr>
          </w:p>
        </w:tc>
        <w:tc>
          <w:tcPr>
            <w:tcW w:w="0" w:type="auto"/>
          </w:tcPr>
          <w:p w14:paraId="0C50CB00" w14:textId="77777777" w:rsidR="008C5CFA" w:rsidRPr="00A92B39" w:rsidRDefault="00E82A60" w:rsidP="00300A01">
            <w:pPr>
              <w:spacing w:before="0" w:after="0"/>
              <w:jc w:val="right"/>
              <w:rPr>
                <w:sz w:val="10"/>
                <w:szCs w:val="10"/>
                <w:lang w:val="fr-BE"/>
              </w:rPr>
            </w:pPr>
            <w:r w:rsidRPr="00A92B39">
              <w:rPr>
                <w:noProof/>
                <w:sz w:val="10"/>
                <w:szCs w:val="10"/>
                <w:lang w:val="fr-BE"/>
              </w:rPr>
              <w:t>6,00</w:t>
            </w:r>
          </w:p>
        </w:tc>
        <w:tc>
          <w:tcPr>
            <w:tcW w:w="0" w:type="auto"/>
            <w:shd w:val="clear" w:color="auto" w:fill="auto"/>
          </w:tcPr>
          <w:p w14:paraId="12886837" w14:textId="77777777" w:rsidR="008C5CFA" w:rsidRPr="00A92B39" w:rsidRDefault="00E82A60" w:rsidP="00300A01">
            <w:pPr>
              <w:spacing w:before="0" w:after="0"/>
              <w:jc w:val="right"/>
              <w:rPr>
                <w:sz w:val="10"/>
                <w:szCs w:val="10"/>
                <w:lang w:val="fr-BE"/>
              </w:rPr>
            </w:pPr>
            <w:r w:rsidRPr="00A92B39">
              <w:rPr>
                <w:noProof/>
                <w:sz w:val="10"/>
                <w:szCs w:val="10"/>
                <w:lang w:val="fr-BE"/>
              </w:rPr>
              <w:t>3,00</w:t>
            </w:r>
          </w:p>
        </w:tc>
        <w:tc>
          <w:tcPr>
            <w:tcW w:w="0" w:type="auto"/>
            <w:shd w:val="clear" w:color="auto" w:fill="auto"/>
          </w:tcPr>
          <w:p w14:paraId="1612B5B6" w14:textId="77777777" w:rsidR="008C5CFA" w:rsidRPr="00BA47B4" w:rsidRDefault="00E82A60" w:rsidP="00300A01">
            <w:pPr>
              <w:spacing w:before="0" w:after="0"/>
              <w:jc w:val="right"/>
              <w:rPr>
                <w:sz w:val="12"/>
                <w:szCs w:val="12"/>
                <w:lang w:val="fr-BE"/>
              </w:rPr>
            </w:pPr>
            <w:r w:rsidRPr="00A92B39">
              <w:rPr>
                <w:noProof/>
                <w:sz w:val="10"/>
                <w:szCs w:val="10"/>
                <w:lang w:val="fr-BE"/>
              </w:rPr>
              <w:t>3,00</w:t>
            </w:r>
          </w:p>
        </w:tc>
      </w:tr>
      <w:tr w:rsidR="006B2EC1" w14:paraId="4E6DD78C" w14:textId="77777777" w:rsidTr="0047688D">
        <w:tc>
          <w:tcPr>
            <w:tcW w:w="0" w:type="auto"/>
            <w:shd w:val="clear" w:color="auto" w:fill="auto"/>
          </w:tcPr>
          <w:p w14:paraId="1AFDDC35" w14:textId="77777777" w:rsidR="008C5CFA" w:rsidRPr="00BA47B4" w:rsidRDefault="00E82A60" w:rsidP="00300A01">
            <w:pPr>
              <w:spacing w:before="0" w:after="0"/>
              <w:rPr>
                <w:sz w:val="12"/>
                <w:szCs w:val="12"/>
                <w:lang w:val="fr-BE"/>
              </w:rPr>
            </w:pPr>
            <w:r>
              <w:rPr>
                <w:noProof/>
                <w:sz w:val="12"/>
                <w:szCs w:val="12"/>
                <w:lang w:val="fr-BE"/>
              </w:rPr>
              <w:t>CO16</w:t>
            </w:r>
          </w:p>
        </w:tc>
        <w:tc>
          <w:tcPr>
            <w:tcW w:w="0" w:type="auto"/>
            <w:shd w:val="clear" w:color="auto" w:fill="auto"/>
          </w:tcPr>
          <w:p w14:paraId="17F598C0" w14:textId="77777777" w:rsidR="008C5CFA" w:rsidRPr="00BA47B4" w:rsidRDefault="00E82A60" w:rsidP="00300A01">
            <w:pPr>
              <w:spacing w:before="0" w:after="0"/>
              <w:rPr>
                <w:sz w:val="12"/>
                <w:szCs w:val="12"/>
                <w:lang w:val="fr-BE"/>
              </w:rPr>
            </w:pPr>
            <w:r>
              <w:rPr>
                <w:noProof/>
                <w:sz w:val="12"/>
                <w:szCs w:val="12"/>
                <w:lang w:val="fr-BE"/>
              </w:rPr>
              <w:t>uczestnicy z niepełnosprawnościami</w:t>
            </w:r>
          </w:p>
        </w:tc>
        <w:tc>
          <w:tcPr>
            <w:tcW w:w="0" w:type="auto"/>
            <w:shd w:val="clear" w:color="auto" w:fill="auto"/>
          </w:tcPr>
          <w:p w14:paraId="43F1B9C5" w14:textId="77777777" w:rsidR="008C5CFA" w:rsidRPr="00BA47B4" w:rsidRDefault="00E82A60"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14:paraId="2B708100" w14:textId="77777777" w:rsidR="008C5CFA" w:rsidRPr="00BA47B4" w:rsidRDefault="008C5CFA" w:rsidP="00300A01">
            <w:pPr>
              <w:spacing w:before="0" w:after="0"/>
              <w:jc w:val="right"/>
              <w:rPr>
                <w:sz w:val="12"/>
                <w:szCs w:val="12"/>
                <w:lang w:val="fr-BE"/>
              </w:rPr>
            </w:pPr>
          </w:p>
        </w:tc>
        <w:tc>
          <w:tcPr>
            <w:tcW w:w="0" w:type="auto"/>
            <w:shd w:val="clear" w:color="auto" w:fill="auto"/>
          </w:tcPr>
          <w:p w14:paraId="1611ACF4" w14:textId="77777777" w:rsidR="008C5CFA" w:rsidRPr="00BA47B4" w:rsidRDefault="008C5CFA" w:rsidP="00300A01">
            <w:pPr>
              <w:spacing w:before="0" w:after="0"/>
              <w:jc w:val="right"/>
              <w:rPr>
                <w:sz w:val="12"/>
                <w:szCs w:val="12"/>
                <w:lang w:val="fr-BE"/>
              </w:rPr>
            </w:pPr>
          </w:p>
        </w:tc>
        <w:tc>
          <w:tcPr>
            <w:tcW w:w="0" w:type="auto"/>
            <w:shd w:val="clear" w:color="auto" w:fill="auto"/>
          </w:tcPr>
          <w:p w14:paraId="3F24B8D9" w14:textId="77777777" w:rsidR="008C5CFA" w:rsidRPr="00BA47B4" w:rsidRDefault="008C5CFA" w:rsidP="00300A01">
            <w:pPr>
              <w:spacing w:before="0" w:after="0"/>
              <w:jc w:val="right"/>
              <w:rPr>
                <w:sz w:val="12"/>
                <w:szCs w:val="12"/>
                <w:lang w:val="fr-BE"/>
              </w:rPr>
            </w:pPr>
          </w:p>
        </w:tc>
        <w:tc>
          <w:tcPr>
            <w:tcW w:w="0" w:type="auto"/>
            <w:shd w:val="clear" w:color="auto" w:fill="auto"/>
          </w:tcPr>
          <w:p w14:paraId="7ED43D1D" w14:textId="77777777" w:rsidR="008C5CFA" w:rsidRPr="00BA47B4" w:rsidRDefault="00E82A60" w:rsidP="00300A01">
            <w:pPr>
              <w:spacing w:before="0" w:after="0"/>
              <w:jc w:val="right"/>
              <w:rPr>
                <w:sz w:val="12"/>
                <w:szCs w:val="12"/>
                <w:lang w:val="fr-BE"/>
              </w:rPr>
            </w:pPr>
            <w:r w:rsidRPr="00BA47B4">
              <w:rPr>
                <w:noProof/>
                <w:sz w:val="12"/>
                <w:szCs w:val="12"/>
                <w:lang w:val="fr-BE"/>
              </w:rPr>
              <w:t>112,00</w:t>
            </w:r>
          </w:p>
        </w:tc>
        <w:tc>
          <w:tcPr>
            <w:tcW w:w="0" w:type="auto"/>
            <w:shd w:val="clear" w:color="auto" w:fill="auto"/>
          </w:tcPr>
          <w:p w14:paraId="2F396B09" w14:textId="77777777" w:rsidR="008C5CFA" w:rsidRPr="00BA47B4" w:rsidRDefault="00E82A60" w:rsidP="00300A01">
            <w:pPr>
              <w:spacing w:before="0" w:after="0"/>
              <w:jc w:val="right"/>
              <w:rPr>
                <w:sz w:val="12"/>
                <w:szCs w:val="12"/>
                <w:lang w:val="fr-BE"/>
              </w:rPr>
            </w:pPr>
            <w:r w:rsidRPr="00BA47B4">
              <w:rPr>
                <w:noProof/>
                <w:sz w:val="12"/>
                <w:szCs w:val="12"/>
                <w:lang w:val="fr-BE"/>
              </w:rPr>
              <w:t>50,00</w:t>
            </w:r>
          </w:p>
        </w:tc>
        <w:tc>
          <w:tcPr>
            <w:tcW w:w="0" w:type="auto"/>
            <w:shd w:val="clear" w:color="auto" w:fill="auto"/>
          </w:tcPr>
          <w:p w14:paraId="48CC0884" w14:textId="77777777" w:rsidR="008C5CFA" w:rsidRPr="00BA47B4" w:rsidRDefault="00E82A60" w:rsidP="00300A01">
            <w:pPr>
              <w:spacing w:before="0" w:after="0"/>
              <w:jc w:val="right"/>
              <w:rPr>
                <w:sz w:val="12"/>
                <w:szCs w:val="12"/>
                <w:lang w:val="fr-BE"/>
              </w:rPr>
            </w:pPr>
            <w:r w:rsidRPr="00BA47B4">
              <w:rPr>
                <w:noProof/>
                <w:sz w:val="12"/>
                <w:szCs w:val="12"/>
                <w:lang w:val="fr-BE"/>
              </w:rPr>
              <w:t>62,00</w:t>
            </w:r>
          </w:p>
        </w:tc>
        <w:tc>
          <w:tcPr>
            <w:tcW w:w="0" w:type="auto"/>
            <w:shd w:val="clear" w:color="auto" w:fill="auto"/>
          </w:tcPr>
          <w:p w14:paraId="566F9E65" w14:textId="77777777" w:rsidR="008C5CFA" w:rsidRPr="00BA47B4" w:rsidRDefault="008C5CFA" w:rsidP="00300A01">
            <w:pPr>
              <w:spacing w:before="0" w:after="0"/>
              <w:jc w:val="right"/>
              <w:rPr>
                <w:sz w:val="12"/>
                <w:szCs w:val="12"/>
                <w:lang w:val="fr-BE"/>
              </w:rPr>
            </w:pPr>
          </w:p>
        </w:tc>
        <w:tc>
          <w:tcPr>
            <w:tcW w:w="0" w:type="auto"/>
            <w:shd w:val="clear" w:color="auto" w:fill="auto"/>
          </w:tcPr>
          <w:p w14:paraId="131C7EDB" w14:textId="77777777" w:rsidR="008C5CFA" w:rsidRPr="00BA47B4" w:rsidRDefault="008C5CFA" w:rsidP="00300A01">
            <w:pPr>
              <w:spacing w:before="0" w:after="0"/>
              <w:jc w:val="right"/>
              <w:rPr>
                <w:sz w:val="12"/>
                <w:szCs w:val="12"/>
                <w:lang w:val="fr-BE"/>
              </w:rPr>
            </w:pPr>
          </w:p>
        </w:tc>
        <w:tc>
          <w:tcPr>
            <w:tcW w:w="0" w:type="auto"/>
            <w:shd w:val="clear" w:color="auto" w:fill="auto"/>
          </w:tcPr>
          <w:p w14:paraId="473B5C31" w14:textId="77777777" w:rsidR="008C5CFA" w:rsidRPr="00BA47B4" w:rsidRDefault="008C5CFA" w:rsidP="00300A01">
            <w:pPr>
              <w:spacing w:before="0" w:after="0"/>
              <w:jc w:val="right"/>
              <w:rPr>
                <w:sz w:val="12"/>
                <w:szCs w:val="12"/>
                <w:lang w:val="fr-BE"/>
              </w:rPr>
            </w:pPr>
          </w:p>
        </w:tc>
        <w:tc>
          <w:tcPr>
            <w:tcW w:w="0" w:type="auto"/>
          </w:tcPr>
          <w:p w14:paraId="4B4CAC53" w14:textId="77777777" w:rsidR="008C5CFA" w:rsidRPr="00A92B39" w:rsidRDefault="00E82A60" w:rsidP="00300A01">
            <w:pPr>
              <w:spacing w:before="0" w:after="0"/>
              <w:jc w:val="right"/>
              <w:rPr>
                <w:sz w:val="10"/>
                <w:szCs w:val="10"/>
                <w:lang w:val="fr-BE"/>
              </w:rPr>
            </w:pPr>
            <w:r w:rsidRPr="00A92B39">
              <w:rPr>
                <w:noProof/>
                <w:sz w:val="10"/>
                <w:szCs w:val="10"/>
                <w:lang w:val="fr-BE"/>
              </w:rPr>
              <w:t>19,00</w:t>
            </w:r>
          </w:p>
        </w:tc>
        <w:tc>
          <w:tcPr>
            <w:tcW w:w="0" w:type="auto"/>
            <w:shd w:val="clear" w:color="auto" w:fill="auto"/>
          </w:tcPr>
          <w:p w14:paraId="577BD4E7" w14:textId="77777777" w:rsidR="008C5CFA" w:rsidRPr="00A92B39" w:rsidRDefault="00E82A60" w:rsidP="00300A01">
            <w:pPr>
              <w:spacing w:before="0" w:after="0"/>
              <w:jc w:val="right"/>
              <w:rPr>
                <w:sz w:val="10"/>
                <w:szCs w:val="10"/>
                <w:lang w:val="fr-BE"/>
              </w:rPr>
            </w:pPr>
            <w:r w:rsidRPr="00A92B39">
              <w:rPr>
                <w:noProof/>
                <w:sz w:val="10"/>
                <w:szCs w:val="10"/>
                <w:lang w:val="fr-BE"/>
              </w:rPr>
              <w:t>10,00</w:t>
            </w:r>
          </w:p>
        </w:tc>
        <w:tc>
          <w:tcPr>
            <w:tcW w:w="0" w:type="auto"/>
            <w:shd w:val="clear" w:color="auto" w:fill="auto"/>
          </w:tcPr>
          <w:p w14:paraId="44A37936" w14:textId="77777777" w:rsidR="008C5CFA" w:rsidRPr="00BA47B4" w:rsidRDefault="00E82A60" w:rsidP="00300A01">
            <w:pPr>
              <w:spacing w:before="0" w:after="0"/>
              <w:jc w:val="right"/>
              <w:rPr>
                <w:sz w:val="12"/>
                <w:szCs w:val="12"/>
                <w:lang w:val="fr-BE"/>
              </w:rPr>
            </w:pPr>
            <w:r w:rsidRPr="00A92B39">
              <w:rPr>
                <w:noProof/>
                <w:sz w:val="10"/>
                <w:szCs w:val="10"/>
                <w:lang w:val="fr-BE"/>
              </w:rPr>
              <w:t>9,00</w:t>
            </w:r>
          </w:p>
        </w:tc>
      </w:tr>
      <w:tr w:rsidR="006B2EC1" w14:paraId="38014638" w14:textId="77777777" w:rsidTr="0047688D">
        <w:tc>
          <w:tcPr>
            <w:tcW w:w="0" w:type="auto"/>
            <w:shd w:val="clear" w:color="auto" w:fill="auto"/>
          </w:tcPr>
          <w:p w14:paraId="66F2E1E9" w14:textId="77777777" w:rsidR="008C5CFA" w:rsidRPr="00BA47B4" w:rsidRDefault="00E82A60" w:rsidP="00300A01">
            <w:pPr>
              <w:spacing w:before="0" w:after="0"/>
              <w:rPr>
                <w:sz w:val="12"/>
                <w:szCs w:val="12"/>
                <w:lang w:val="fr-BE"/>
              </w:rPr>
            </w:pPr>
            <w:r>
              <w:rPr>
                <w:noProof/>
                <w:sz w:val="12"/>
                <w:szCs w:val="12"/>
                <w:lang w:val="fr-BE"/>
              </w:rPr>
              <w:t>CO17</w:t>
            </w:r>
          </w:p>
        </w:tc>
        <w:tc>
          <w:tcPr>
            <w:tcW w:w="0" w:type="auto"/>
            <w:shd w:val="clear" w:color="auto" w:fill="auto"/>
          </w:tcPr>
          <w:p w14:paraId="0ED18F80" w14:textId="77777777" w:rsidR="008C5CFA" w:rsidRPr="00BA47B4" w:rsidRDefault="00E82A60" w:rsidP="00300A01">
            <w:pPr>
              <w:spacing w:before="0" w:after="0"/>
              <w:rPr>
                <w:sz w:val="12"/>
                <w:szCs w:val="12"/>
                <w:lang w:val="fr-BE"/>
              </w:rPr>
            </w:pPr>
            <w:r>
              <w:rPr>
                <w:noProof/>
                <w:sz w:val="12"/>
                <w:szCs w:val="12"/>
                <w:lang w:val="fr-BE"/>
              </w:rPr>
              <w:t>inne osoby w niekorzystnej sytuacji społecznej</w:t>
            </w:r>
          </w:p>
        </w:tc>
        <w:tc>
          <w:tcPr>
            <w:tcW w:w="0" w:type="auto"/>
            <w:shd w:val="clear" w:color="auto" w:fill="auto"/>
          </w:tcPr>
          <w:p w14:paraId="187ACB8A" w14:textId="77777777" w:rsidR="008C5CFA" w:rsidRPr="00BA47B4" w:rsidRDefault="00E82A60"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14:paraId="39DF1CCA" w14:textId="77777777" w:rsidR="008C5CFA" w:rsidRPr="00BA47B4" w:rsidRDefault="008C5CFA" w:rsidP="00300A01">
            <w:pPr>
              <w:spacing w:before="0" w:after="0"/>
              <w:jc w:val="right"/>
              <w:rPr>
                <w:sz w:val="12"/>
                <w:szCs w:val="12"/>
                <w:lang w:val="fr-BE"/>
              </w:rPr>
            </w:pPr>
          </w:p>
        </w:tc>
        <w:tc>
          <w:tcPr>
            <w:tcW w:w="0" w:type="auto"/>
            <w:shd w:val="clear" w:color="auto" w:fill="auto"/>
          </w:tcPr>
          <w:p w14:paraId="3F6038F1" w14:textId="77777777" w:rsidR="008C5CFA" w:rsidRPr="00BA47B4" w:rsidRDefault="008C5CFA" w:rsidP="00300A01">
            <w:pPr>
              <w:spacing w:before="0" w:after="0"/>
              <w:jc w:val="right"/>
              <w:rPr>
                <w:sz w:val="12"/>
                <w:szCs w:val="12"/>
                <w:lang w:val="fr-BE"/>
              </w:rPr>
            </w:pPr>
          </w:p>
        </w:tc>
        <w:tc>
          <w:tcPr>
            <w:tcW w:w="0" w:type="auto"/>
            <w:shd w:val="clear" w:color="auto" w:fill="auto"/>
          </w:tcPr>
          <w:p w14:paraId="69753AEF" w14:textId="77777777" w:rsidR="008C5CFA" w:rsidRPr="00BA47B4" w:rsidRDefault="008C5CFA" w:rsidP="00300A01">
            <w:pPr>
              <w:spacing w:before="0" w:after="0"/>
              <w:jc w:val="right"/>
              <w:rPr>
                <w:sz w:val="12"/>
                <w:szCs w:val="12"/>
                <w:lang w:val="fr-BE"/>
              </w:rPr>
            </w:pPr>
          </w:p>
        </w:tc>
        <w:tc>
          <w:tcPr>
            <w:tcW w:w="0" w:type="auto"/>
            <w:shd w:val="clear" w:color="auto" w:fill="auto"/>
          </w:tcPr>
          <w:p w14:paraId="5162C44E" w14:textId="77777777" w:rsidR="008C5CFA" w:rsidRPr="00BA47B4" w:rsidRDefault="00E82A60" w:rsidP="00300A01">
            <w:pPr>
              <w:spacing w:before="0" w:after="0"/>
              <w:jc w:val="right"/>
              <w:rPr>
                <w:sz w:val="12"/>
                <w:szCs w:val="12"/>
                <w:lang w:val="fr-BE"/>
              </w:rPr>
            </w:pPr>
            <w:r w:rsidRPr="00BA47B4">
              <w:rPr>
                <w:noProof/>
                <w:sz w:val="12"/>
                <w:szCs w:val="12"/>
                <w:lang w:val="fr-BE"/>
              </w:rPr>
              <w:t>1 743,00</w:t>
            </w:r>
          </w:p>
        </w:tc>
        <w:tc>
          <w:tcPr>
            <w:tcW w:w="0" w:type="auto"/>
            <w:shd w:val="clear" w:color="auto" w:fill="auto"/>
          </w:tcPr>
          <w:p w14:paraId="5511CA3D" w14:textId="77777777" w:rsidR="008C5CFA" w:rsidRPr="00BA47B4" w:rsidRDefault="00E82A60" w:rsidP="00300A01">
            <w:pPr>
              <w:spacing w:before="0" w:after="0"/>
              <w:jc w:val="right"/>
              <w:rPr>
                <w:sz w:val="12"/>
                <w:szCs w:val="12"/>
                <w:lang w:val="fr-BE"/>
              </w:rPr>
            </w:pPr>
            <w:r w:rsidRPr="00BA47B4">
              <w:rPr>
                <w:noProof/>
                <w:sz w:val="12"/>
                <w:szCs w:val="12"/>
                <w:lang w:val="fr-BE"/>
              </w:rPr>
              <w:t>790,00</w:t>
            </w:r>
          </w:p>
        </w:tc>
        <w:tc>
          <w:tcPr>
            <w:tcW w:w="0" w:type="auto"/>
            <w:shd w:val="clear" w:color="auto" w:fill="auto"/>
          </w:tcPr>
          <w:p w14:paraId="26886133" w14:textId="77777777" w:rsidR="008C5CFA" w:rsidRPr="00BA47B4" w:rsidRDefault="00E82A60" w:rsidP="00300A01">
            <w:pPr>
              <w:spacing w:before="0" w:after="0"/>
              <w:jc w:val="right"/>
              <w:rPr>
                <w:sz w:val="12"/>
                <w:szCs w:val="12"/>
                <w:lang w:val="fr-BE"/>
              </w:rPr>
            </w:pPr>
            <w:r w:rsidRPr="00BA47B4">
              <w:rPr>
                <w:noProof/>
                <w:sz w:val="12"/>
                <w:szCs w:val="12"/>
                <w:lang w:val="fr-BE"/>
              </w:rPr>
              <w:t>953,00</w:t>
            </w:r>
          </w:p>
        </w:tc>
        <w:tc>
          <w:tcPr>
            <w:tcW w:w="0" w:type="auto"/>
            <w:shd w:val="clear" w:color="auto" w:fill="auto"/>
          </w:tcPr>
          <w:p w14:paraId="5905AF9A" w14:textId="77777777" w:rsidR="008C5CFA" w:rsidRPr="00BA47B4" w:rsidRDefault="008C5CFA" w:rsidP="00300A01">
            <w:pPr>
              <w:spacing w:before="0" w:after="0"/>
              <w:jc w:val="right"/>
              <w:rPr>
                <w:sz w:val="12"/>
                <w:szCs w:val="12"/>
                <w:lang w:val="fr-BE"/>
              </w:rPr>
            </w:pPr>
          </w:p>
        </w:tc>
        <w:tc>
          <w:tcPr>
            <w:tcW w:w="0" w:type="auto"/>
            <w:shd w:val="clear" w:color="auto" w:fill="auto"/>
          </w:tcPr>
          <w:p w14:paraId="4A2E8B20" w14:textId="77777777" w:rsidR="008C5CFA" w:rsidRPr="00BA47B4" w:rsidRDefault="008C5CFA" w:rsidP="00300A01">
            <w:pPr>
              <w:spacing w:before="0" w:after="0"/>
              <w:jc w:val="right"/>
              <w:rPr>
                <w:sz w:val="12"/>
                <w:szCs w:val="12"/>
                <w:lang w:val="fr-BE"/>
              </w:rPr>
            </w:pPr>
          </w:p>
        </w:tc>
        <w:tc>
          <w:tcPr>
            <w:tcW w:w="0" w:type="auto"/>
            <w:shd w:val="clear" w:color="auto" w:fill="auto"/>
          </w:tcPr>
          <w:p w14:paraId="769C1ED7" w14:textId="77777777" w:rsidR="008C5CFA" w:rsidRPr="00BA47B4" w:rsidRDefault="008C5CFA" w:rsidP="00300A01">
            <w:pPr>
              <w:spacing w:before="0" w:after="0"/>
              <w:jc w:val="right"/>
              <w:rPr>
                <w:sz w:val="12"/>
                <w:szCs w:val="12"/>
                <w:lang w:val="fr-BE"/>
              </w:rPr>
            </w:pPr>
          </w:p>
        </w:tc>
        <w:tc>
          <w:tcPr>
            <w:tcW w:w="0" w:type="auto"/>
          </w:tcPr>
          <w:p w14:paraId="5E58249A" w14:textId="77777777" w:rsidR="008C5CFA" w:rsidRPr="00A92B39" w:rsidRDefault="00E82A60" w:rsidP="00300A01">
            <w:pPr>
              <w:spacing w:before="0" w:after="0"/>
              <w:jc w:val="right"/>
              <w:rPr>
                <w:sz w:val="10"/>
                <w:szCs w:val="10"/>
                <w:lang w:val="fr-BE"/>
              </w:rPr>
            </w:pPr>
            <w:r w:rsidRPr="00A92B39">
              <w:rPr>
                <w:noProof/>
                <w:sz w:val="10"/>
                <w:szCs w:val="10"/>
                <w:lang w:val="fr-BE"/>
              </w:rPr>
              <w:t>500,00</w:t>
            </w:r>
          </w:p>
        </w:tc>
        <w:tc>
          <w:tcPr>
            <w:tcW w:w="0" w:type="auto"/>
            <w:shd w:val="clear" w:color="auto" w:fill="auto"/>
          </w:tcPr>
          <w:p w14:paraId="76810394" w14:textId="77777777" w:rsidR="008C5CFA" w:rsidRPr="00A92B39" w:rsidRDefault="00E82A60" w:rsidP="00300A01">
            <w:pPr>
              <w:spacing w:before="0" w:after="0"/>
              <w:jc w:val="right"/>
              <w:rPr>
                <w:sz w:val="10"/>
                <w:szCs w:val="10"/>
                <w:lang w:val="fr-BE"/>
              </w:rPr>
            </w:pPr>
            <w:r w:rsidRPr="00A92B39">
              <w:rPr>
                <w:noProof/>
                <w:sz w:val="10"/>
                <w:szCs w:val="10"/>
                <w:lang w:val="fr-BE"/>
              </w:rPr>
              <w:t>219,00</w:t>
            </w:r>
          </w:p>
        </w:tc>
        <w:tc>
          <w:tcPr>
            <w:tcW w:w="0" w:type="auto"/>
            <w:shd w:val="clear" w:color="auto" w:fill="auto"/>
          </w:tcPr>
          <w:p w14:paraId="4E734A96" w14:textId="77777777" w:rsidR="008C5CFA" w:rsidRPr="00BA47B4" w:rsidRDefault="00E82A60" w:rsidP="00300A01">
            <w:pPr>
              <w:spacing w:before="0" w:after="0"/>
              <w:jc w:val="right"/>
              <w:rPr>
                <w:sz w:val="12"/>
                <w:szCs w:val="12"/>
                <w:lang w:val="fr-BE"/>
              </w:rPr>
            </w:pPr>
            <w:r w:rsidRPr="00A92B39">
              <w:rPr>
                <w:noProof/>
                <w:sz w:val="10"/>
                <w:szCs w:val="10"/>
                <w:lang w:val="fr-BE"/>
              </w:rPr>
              <w:t>281,00</w:t>
            </w:r>
          </w:p>
        </w:tc>
      </w:tr>
      <w:tr w:rsidR="006B2EC1" w14:paraId="68A3D3C6" w14:textId="77777777" w:rsidTr="0047688D">
        <w:tc>
          <w:tcPr>
            <w:tcW w:w="0" w:type="auto"/>
            <w:shd w:val="clear" w:color="auto" w:fill="auto"/>
          </w:tcPr>
          <w:p w14:paraId="23EF9123" w14:textId="77777777" w:rsidR="008C5CFA" w:rsidRPr="00BA47B4" w:rsidRDefault="00E82A60" w:rsidP="00300A01">
            <w:pPr>
              <w:spacing w:before="0" w:after="0"/>
              <w:rPr>
                <w:sz w:val="12"/>
                <w:szCs w:val="12"/>
                <w:lang w:val="fr-BE"/>
              </w:rPr>
            </w:pPr>
            <w:r>
              <w:rPr>
                <w:noProof/>
                <w:sz w:val="12"/>
                <w:szCs w:val="12"/>
                <w:lang w:val="fr-BE"/>
              </w:rPr>
              <w:t>CO18</w:t>
            </w:r>
          </w:p>
        </w:tc>
        <w:tc>
          <w:tcPr>
            <w:tcW w:w="0" w:type="auto"/>
            <w:shd w:val="clear" w:color="auto" w:fill="auto"/>
          </w:tcPr>
          <w:p w14:paraId="389FA76F" w14:textId="77777777" w:rsidR="008C5CFA" w:rsidRPr="00BA47B4" w:rsidRDefault="00E82A60" w:rsidP="00300A01">
            <w:pPr>
              <w:spacing w:before="0" w:after="0"/>
              <w:rPr>
                <w:sz w:val="12"/>
                <w:szCs w:val="12"/>
                <w:lang w:val="fr-BE"/>
              </w:rPr>
            </w:pPr>
            <w:r>
              <w:rPr>
                <w:noProof/>
                <w:sz w:val="12"/>
                <w:szCs w:val="12"/>
                <w:lang w:val="fr-BE"/>
              </w:rPr>
              <w:t>osoby bezdomne lub dotknięte wykluczeniem z dostępu do mieszkań</w:t>
            </w:r>
          </w:p>
        </w:tc>
        <w:tc>
          <w:tcPr>
            <w:tcW w:w="0" w:type="auto"/>
            <w:shd w:val="clear" w:color="auto" w:fill="auto"/>
          </w:tcPr>
          <w:p w14:paraId="5FE71E3F" w14:textId="77777777" w:rsidR="008C5CFA" w:rsidRPr="00BA47B4" w:rsidRDefault="00E82A60"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14:paraId="40803752" w14:textId="77777777" w:rsidR="008C5CFA" w:rsidRPr="00BA47B4" w:rsidRDefault="008C5CFA" w:rsidP="00300A01">
            <w:pPr>
              <w:spacing w:before="0" w:after="0"/>
              <w:jc w:val="right"/>
              <w:rPr>
                <w:sz w:val="12"/>
                <w:szCs w:val="12"/>
                <w:lang w:val="fr-BE"/>
              </w:rPr>
            </w:pPr>
          </w:p>
        </w:tc>
        <w:tc>
          <w:tcPr>
            <w:tcW w:w="0" w:type="auto"/>
            <w:shd w:val="clear" w:color="auto" w:fill="auto"/>
          </w:tcPr>
          <w:p w14:paraId="11D715DD" w14:textId="77777777" w:rsidR="008C5CFA" w:rsidRPr="00BA47B4" w:rsidRDefault="008C5CFA" w:rsidP="00300A01">
            <w:pPr>
              <w:spacing w:before="0" w:after="0"/>
              <w:jc w:val="right"/>
              <w:rPr>
                <w:sz w:val="12"/>
                <w:szCs w:val="12"/>
                <w:lang w:val="fr-BE"/>
              </w:rPr>
            </w:pPr>
          </w:p>
        </w:tc>
        <w:tc>
          <w:tcPr>
            <w:tcW w:w="0" w:type="auto"/>
            <w:shd w:val="clear" w:color="auto" w:fill="auto"/>
          </w:tcPr>
          <w:p w14:paraId="036E874C" w14:textId="77777777" w:rsidR="008C5CFA" w:rsidRPr="00BA47B4" w:rsidRDefault="008C5CFA" w:rsidP="00300A01">
            <w:pPr>
              <w:spacing w:before="0" w:after="0"/>
              <w:jc w:val="right"/>
              <w:rPr>
                <w:sz w:val="12"/>
                <w:szCs w:val="12"/>
                <w:lang w:val="fr-BE"/>
              </w:rPr>
            </w:pPr>
          </w:p>
        </w:tc>
        <w:tc>
          <w:tcPr>
            <w:tcW w:w="0" w:type="auto"/>
            <w:shd w:val="clear" w:color="auto" w:fill="auto"/>
          </w:tcPr>
          <w:p w14:paraId="42491114"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0820F506"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7364A8F7"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77B2F800" w14:textId="77777777" w:rsidR="008C5CFA" w:rsidRPr="00BA47B4" w:rsidRDefault="008C5CFA" w:rsidP="00300A01">
            <w:pPr>
              <w:spacing w:before="0" w:after="0"/>
              <w:jc w:val="right"/>
              <w:rPr>
                <w:sz w:val="12"/>
                <w:szCs w:val="12"/>
                <w:lang w:val="fr-BE"/>
              </w:rPr>
            </w:pPr>
          </w:p>
        </w:tc>
        <w:tc>
          <w:tcPr>
            <w:tcW w:w="0" w:type="auto"/>
            <w:shd w:val="clear" w:color="auto" w:fill="auto"/>
          </w:tcPr>
          <w:p w14:paraId="27E103F9" w14:textId="77777777" w:rsidR="008C5CFA" w:rsidRPr="00BA47B4" w:rsidRDefault="008C5CFA" w:rsidP="00300A01">
            <w:pPr>
              <w:spacing w:before="0" w:after="0"/>
              <w:jc w:val="right"/>
              <w:rPr>
                <w:sz w:val="12"/>
                <w:szCs w:val="12"/>
                <w:lang w:val="fr-BE"/>
              </w:rPr>
            </w:pPr>
          </w:p>
        </w:tc>
        <w:tc>
          <w:tcPr>
            <w:tcW w:w="0" w:type="auto"/>
            <w:shd w:val="clear" w:color="auto" w:fill="auto"/>
          </w:tcPr>
          <w:p w14:paraId="7E62378D" w14:textId="77777777" w:rsidR="008C5CFA" w:rsidRPr="00BA47B4" w:rsidRDefault="008C5CFA" w:rsidP="00300A01">
            <w:pPr>
              <w:spacing w:before="0" w:after="0"/>
              <w:jc w:val="right"/>
              <w:rPr>
                <w:sz w:val="12"/>
                <w:szCs w:val="12"/>
                <w:lang w:val="fr-BE"/>
              </w:rPr>
            </w:pPr>
          </w:p>
        </w:tc>
        <w:tc>
          <w:tcPr>
            <w:tcW w:w="0" w:type="auto"/>
          </w:tcPr>
          <w:p w14:paraId="18FA2319"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14:paraId="4F2127C2"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14:paraId="45FF27BA" w14:textId="77777777" w:rsidR="008C5CFA" w:rsidRPr="00BA47B4" w:rsidRDefault="00E82A60" w:rsidP="00300A01">
            <w:pPr>
              <w:spacing w:before="0" w:after="0"/>
              <w:jc w:val="right"/>
              <w:rPr>
                <w:sz w:val="12"/>
                <w:szCs w:val="12"/>
                <w:lang w:val="fr-BE"/>
              </w:rPr>
            </w:pPr>
            <w:r w:rsidRPr="00A92B39">
              <w:rPr>
                <w:noProof/>
                <w:sz w:val="10"/>
                <w:szCs w:val="10"/>
                <w:lang w:val="fr-BE"/>
              </w:rPr>
              <w:t>0,00</w:t>
            </w:r>
          </w:p>
        </w:tc>
      </w:tr>
      <w:tr w:rsidR="006B2EC1" w14:paraId="1ED57FEA" w14:textId="77777777" w:rsidTr="0047688D">
        <w:tc>
          <w:tcPr>
            <w:tcW w:w="0" w:type="auto"/>
            <w:shd w:val="clear" w:color="auto" w:fill="auto"/>
          </w:tcPr>
          <w:p w14:paraId="70003E86" w14:textId="77777777" w:rsidR="008C5CFA" w:rsidRPr="00BA47B4" w:rsidRDefault="00E82A60" w:rsidP="00300A01">
            <w:pPr>
              <w:spacing w:before="0" w:after="0"/>
              <w:rPr>
                <w:sz w:val="12"/>
                <w:szCs w:val="12"/>
                <w:lang w:val="fr-BE"/>
              </w:rPr>
            </w:pPr>
            <w:r>
              <w:rPr>
                <w:noProof/>
                <w:sz w:val="12"/>
                <w:szCs w:val="12"/>
                <w:lang w:val="fr-BE"/>
              </w:rPr>
              <w:t>CO19</w:t>
            </w:r>
          </w:p>
        </w:tc>
        <w:tc>
          <w:tcPr>
            <w:tcW w:w="0" w:type="auto"/>
            <w:shd w:val="clear" w:color="auto" w:fill="auto"/>
          </w:tcPr>
          <w:p w14:paraId="546B9496" w14:textId="77777777" w:rsidR="008C5CFA" w:rsidRPr="00BA47B4" w:rsidRDefault="00E82A60" w:rsidP="00300A01">
            <w:pPr>
              <w:spacing w:before="0" w:after="0"/>
              <w:rPr>
                <w:sz w:val="12"/>
                <w:szCs w:val="12"/>
                <w:lang w:val="fr-BE"/>
              </w:rPr>
            </w:pPr>
            <w:r>
              <w:rPr>
                <w:noProof/>
                <w:sz w:val="12"/>
                <w:szCs w:val="12"/>
                <w:lang w:val="fr-BE"/>
              </w:rPr>
              <w:t>osoby pochodzące z obszarów wiejskich</w:t>
            </w:r>
          </w:p>
        </w:tc>
        <w:tc>
          <w:tcPr>
            <w:tcW w:w="0" w:type="auto"/>
            <w:shd w:val="clear" w:color="auto" w:fill="auto"/>
          </w:tcPr>
          <w:p w14:paraId="3E302CB6" w14:textId="77777777" w:rsidR="008C5CFA" w:rsidRPr="00BA47B4" w:rsidRDefault="00E82A60"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14:paraId="5930235F" w14:textId="77777777" w:rsidR="008C5CFA" w:rsidRPr="00BA47B4" w:rsidRDefault="008C5CFA" w:rsidP="00300A01">
            <w:pPr>
              <w:spacing w:before="0" w:after="0"/>
              <w:jc w:val="right"/>
              <w:rPr>
                <w:sz w:val="12"/>
                <w:szCs w:val="12"/>
                <w:lang w:val="fr-BE"/>
              </w:rPr>
            </w:pPr>
          </w:p>
        </w:tc>
        <w:tc>
          <w:tcPr>
            <w:tcW w:w="0" w:type="auto"/>
            <w:shd w:val="clear" w:color="auto" w:fill="auto"/>
          </w:tcPr>
          <w:p w14:paraId="26C9EAE0" w14:textId="77777777" w:rsidR="008C5CFA" w:rsidRPr="00BA47B4" w:rsidRDefault="008C5CFA" w:rsidP="00300A01">
            <w:pPr>
              <w:spacing w:before="0" w:after="0"/>
              <w:jc w:val="right"/>
              <w:rPr>
                <w:sz w:val="12"/>
                <w:szCs w:val="12"/>
                <w:lang w:val="fr-BE"/>
              </w:rPr>
            </w:pPr>
          </w:p>
        </w:tc>
        <w:tc>
          <w:tcPr>
            <w:tcW w:w="0" w:type="auto"/>
            <w:shd w:val="clear" w:color="auto" w:fill="auto"/>
          </w:tcPr>
          <w:p w14:paraId="2B44546A" w14:textId="77777777" w:rsidR="008C5CFA" w:rsidRPr="00BA47B4" w:rsidRDefault="008C5CFA" w:rsidP="00300A01">
            <w:pPr>
              <w:spacing w:before="0" w:after="0"/>
              <w:jc w:val="right"/>
              <w:rPr>
                <w:sz w:val="12"/>
                <w:szCs w:val="12"/>
                <w:lang w:val="fr-BE"/>
              </w:rPr>
            </w:pPr>
          </w:p>
        </w:tc>
        <w:tc>
          <w:tcPr>
            <w:tcW w:w="0" w:type="auto"/>
            <w:shd w:val="clear" w:color="auto" w:fill="auto"/>
          </w:tcPr>
          <w:p w14:paraId="77673375" w14:textId="77777777" w:rsidR="008C5CFA" w:rsidRPr="00BA47B4" w:rsidRDefault="00E82A60" w:rsidP="00300A01">
            <w:pPr>
              <w:spacing w:before="0" w:after="0"/>
              <w:jc w:val="right"/>
              <w:rPr>
                <w:sz w:val="12"/>
                <w:szCs w:val="12"/>
                <w:lang w:val="fr-BE"/>
              </w:rPr>
            </w:pPr>
            <w:r w:rsidRPr="00BA47B4">
              <w:rPr>
                <w:noProof/>
                <w:sz w:val="12"/>
                <w:szCs w:val="12"/>
                <w:lang w:val="fr-BE"/>
              </w:rPr>
              <w:t>1 578,00</w:t>
            </w:r>
          </w:p>
        </w:tc>
        <w:tc>
          <w:tcPr>
            <w:tcW w:w="0" w:type="auto"/>
            <w:shd w:val="clear" w:color="auto" w:fill="auto"/>
          </w:tcPr>
          <w:p w14:paraId="4D2DFE3F" w14:textId="77777777" w:rsidR="008C5CFA" w:rsidRPr="00BA47B4" w:rsidRDefault="00E82A60" w:rsidP="00300A01">
            <w:pPr>
              <w:spacing w:before="0" w:after="0"/>
              <w:jc w:val="right"/>
              <w:rPr>
                <w:sz w:val="12"/>
                <w:szCs w:val="12"/>
                <w:lang w:val="fr-BE"/>
              </w:rPr>
            </w:pPr>
            <w:r w:rsidRPr="00BA47B4">
              <w:rPr>
                <w:noProof/>
                <w:sz w:val="12"/>
                <w:szCs w:val="12"/>
                <w:lang w:val="fr-BE"/>
              </w:rPr>
              <w:t>712,00</w:t>
            </w:r>
          </w:p>
        </w:tc>
        <w:tc>
          <w:tcPr>
            <w:tcW w:w="0" w:type="auto"/>
            <w:shd w:val="clear" w:color="auto" w:fill="auto"/>
          </w:tcPr>
          <w:p w14:paraId="787FA2B5" w14:textId="77777777" w:rsidR="008C5CFA" w:rsidRPr="00BA47B4" w:rsidRDefault="00E82A60" w:rsidP="00300A01">
            <w:pPr>
              <w:spacing w:before="0" w:after="0"/>
              <w:jc w:val="right"/>
              <w:rPr>
                <w:sz w:val="12"/>
                <w:szCs w:val="12"/>
                <w:lang w:val="fr-BE"/>
              </w:rPr>
            </w:pPr>
            <w:r w:rsidRPr="00BA47B4">
              <w:rPr>
                <w:noProof/>
                <w:sz w:val="12"/>
                <w:szCs w:val="12"/>
                <w:lang w:val="fr-BE"/>
              </w:rPr>
              <w:t>866,00</w:t>
            </w:r>
          </w:p>
        </w:tc>
        <w:tc>
          <w:tcPr>
            <w:tcW w:w="0" w:type="auto"/>
            <w:shd w:val="clear" w:color="auto" w:fill="auto"/>
          </w:tcPr>
          <w:p w14:paraId="5391E234" w14:textId="77777777" w:rsidR="008C5CFA" w:rsidRPr="00BA47B4" w:rsidRDefault="008C5CFA" w:rsidP="00300A01">
            <w:pPr>
              <w:spacing w:before="0" w:after="0"/>
              <w:jc w:val="right"/>
              <w:rPr>
                <w:sz w:val="12"/>
                <w:szCs w:val="12"/>
                <w:lang w:val="fr-BE"/>
              </w:rPr>
            </w:pPr>
          </w:p>
        </w:tc>
        <w:tc>
          <w:tcPr>
            <w:tcW w:w="0" w:type="auto"/>
            <w:shd w:val="clear" w:color="auto" w:fill="auto"/>
          </w:tcPr>
          <w:p w14:paraId="1E9FC6D3" w14:textId="77777777" w:rsidR="008C5CFA" w:rsidRPr="00BA47B4" w:rsidRDefault="008C5CFA" w:rsidP="00300A01">
            <w:pPr>
              <w:spacing w:before="0" w:after="0"/>
              <w:jc w:val="right"/>
              <w:rPr>
                <w:sz w:val="12"/>
                <w:szCs w:val="12"/>
                <w:lang w:val="fr-BE"/>
              </w:rPr>
            </w:pPr>
          </w:p>
        </w:tc>
        <w:tc>
          <w:tcPr>
            <w:tcW w:w="0" w:type="auto"/>
            <w:shd w:val="clear" w:color="auto" w:fill="auto"/>
          </w:tcPr>
          <w:p w14:paraId="729B4FA3" w14:textId="77777777" w:rsidR="008C5CFA" w:rsidRPr="00BA47B4" w:rsidRDefault="008C5CFA" w:rsidP="00300A01">
            <w:pPr>
              <w:spacing w:before="0" w:after="0"/>
              <w:jc w:val="right"/>
              <w:rPr>
                <w:sz w:val="12"/>
                <w:szCs w:val="12"/>
                <w:lang w:val="fr-BE"/>
              </w:rPr>
            </w:pPr>
          </w:p>
        </w:tc>
        <w:tc>
          <w:tcPr>
            <w:tcW w:w="0" w:type="auto"/>
          </w:tcPr>
          <w:p w14:paraId="4B4B08E4" w14:textId="77777777" w:rsidR="008C5CFA" w:rsidRPr="00A92B39" w:rsidRDefault="00E82A60" w:rsidP="00300A01">
            <w:pPr>
              <w:spacing w:before="0" w:after="0"/>
              <w:jc w:val="right"/>
              <w:rPr>
                <w:sz w:val="10"/>
                <w:szCs w:val="10"/>
                <w:lang w:val="fr-BE"/>
              </w:rPr>
            </w:pPr>
            <w:r w:rsidRPr="00A92B39">
              <w:rPr>
                <w:noProof/>
                <w:sz w:val="10"/>
                <w:szCs w:val="10"/>
                <w:lang w:val="fr-BE"/>
              </w:rPr>
              <w:t>457,00</w:t>
            </w:r>
          </w:p>
        </w:tc>
        <w:tc>
          <w:tcPr>
            <w:tcW w:w="0" w:type="auto"/>
            <w:shd w:val="clear" w:color="auto" w:fill="auto"/>
          </w:tcPr>
          <w:p w14:paraId="18A0E33B" w14:textId="77777777" w:rsidR="008C5CFA" w:rsidRPr="00A92B39" w:rsidRDefault="00E82A60" w:rsidP="00300A01">
            <w:pPr>
              <w:spacing w:before="0" w:after="0"/>
              <w:jc w:val="right"/>
              <w:rPr>
                <w:sz w:val="10"/>
                <w:szCs w:val="10"/>
                <w:lang w:val="fr-BE"/>
              </w:rPr>
            </w:pPr>
            <w:r w:rsidRPr="00A92B39">
              <w:rPr>
                <w:noProof/>
                <w:sz w:val="10"/>
                <w:szCs w:val="10"/>
                <w:lang w:val="fr-BE"/>
              </w:rPr>
              <w:t>195,00</w:t>
            </w:r>
          </w:p>
        </w:tc>
        <w:tc>
          <w:tcPr>
            <w:tcW w:w="0" w:type="auto"/>
            <w:shd w:val="clear" w:color="auto" w:fill="auto"/>
          </w:tcPr>
          <w:p w14:paraId="6F39FE16" w14:textId="77777777" w:rsidR="008C5CFA" w:rsidRPr="00BA47B4" w:rsidRDefault="00E82A60" w:rsidP="00300A01">
            <w:pPr>
              <w:spacing w:before="0" w:after="0"/>
              <w:jc w:val="right"/>
              <w:rPr>
                <w:sz w:val="12"/>
                <w:szCs w:val="12"/>
                <w:lang w:val="fr-BE"/>
              </w:rPr>
            </w:pPr>
            <w:r w:rsidRPr="00A92B39">
              <w:rPr>
                <w:noProof/>
                <w:sz w:val="10"/>
                <w:szCs w:val="10"/>
                <w:lang w:val="fr-BE"/>
              </w:rPr>
              <w:t>262,00</w:t>
            </w:r>
          </w:p>
        </w:tc>
      </w:tr>
      <w:tr w:rsidR="006B2EC1" w14:paraId="572AF5D2" w14:textId="77777777" w:rsidTr="0047688D">
        <w:tc>
          <w:tcPr>
            <w:tcW w:w="0" w:type="auto"/>
            <w:shd w:val="clear" w:color="auto" w:fill="auto"/>
          </w:tcPr>
          <w:p w14:paraId="7F98F976" w14:textId="77777777" w:rsidR="008C5CFA" w:rsidRPr="00BA47B4" w:rsidRDefault="00E82A60" w:rsidP="00300A01">
            <w:pPr>
              <w:spacing w:before="0" w:after="0"/>
              <w:rPr>
                <w:sz w:val="12"/>
                <w:szCs w:val="12"/>
                <w:lang w:val="fr-BE"/>
              </w:rPr>
            </w:pPr>
            <w:r>
              <w:rPr>
                <w:noProof/>
                <w:sz w:val="12"/>
                <w:szCs w:val="12"/>
                <w:lang w:val="fr-BE"/>
              </w:rPr>
              <w:t>CO20</w:t>
            </w:r>
          </w:p>
        </w:tc>
        <w:tc>
          <w:tcPr>
            <w:tcW w:w="0" w:type="auto"/>
            <w:shd w:val="clear" w:color="auto" w:fill="auto"/>
          </w:tcPr>
          <w:p w14:paraId="2AA732AF" w14:textId="77777777" w:rsidR="008C5CFA" w:rsidRPr="00BA47B4" w:rsidRDefault="00E82A60" w:rsidP="00300A01">
            <w:pPr>
              <w:spacing w:before="0" w:after="0"/>
              <w:rPr>
                <w:sz w:val="12"/>
                <w:szCs w:val="12"/>
                <w:lang w:val="fr-BE"/>
              </w:rPr>
            </w:pPr>
            <w:r>
              <w:rPr>
                <w:noProof/>
                <w:sz w:val="12"/>
                <w:szCs w:val="12"/>
                <w:lang w:val="fr-BE"/>
              </w:rPr>
              <w:t>liczba projektów zrealizowanych w pełni lub częściowo przez partnerów społecznych lub organizacje pozarządowe</w:t>
            </w:r>
          </w:p>
        </w:tc>
        <w:tc>
          <w:tcPr>
            <w:tcW w:w="0" w:type="auto"/>
            <w:shd w:val="clear" w:color="auto" w:fill="auto"/>
          </w:tcPr>
          <w:p w14:paraId="6B501F24" w14:textId="77777777" w:rsidR="008C5CFA" w:rsidRPr="00BA47B4" w:rsidRDefault="00E82A60"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14:paraId="7BC7916D" w14:textId="77777777" w:rsidR="008C5CFA" w:rsidRPr="00BA47B4" w:rsidRDefault="008C5CFA" w:rsidP="00300A01">
            <w:pPr>
              <w:spacing w:before="0" w:after="0"/>
              <w:jc w:val="right"/>
              <w:rPr>
                <w:sz w:val="12"/>
                <w:szCs w:val="12"/>
                <w:lang w:val="fr-BE"/>
              </w:rPr>
            </w:pPr>
          </w:p>
        </w:tc>
        <w:tc>
          <w:tcPr>
            <w:tcW w:w="0" w:type="auto"/>
            <w:shd w:val="clear" w:color="auto" w:fill="auto"/>
          </w:tcPr>
          <w:p w14:paraId="3222EB6C" w14:textId="77777777" w:rsidR="008C5CFA" w:rsidRPr="00BA47B4" w:rsidRDefault="008C5CFA" w:rsidP="00300A01">
            <w:pPr>
              <w:spacing w:before="0" w:after="0"/>
              <w:jc w:val="right"/>
              <w:rPr>
                <w:sz w:val="12"/>
                <w:szCs w:val="12"/>
                <w:lang w:val="fr-BE"/>
              </w:rPr>
            </w:pPr>
          </w:p>
        </w:tc>
        <w:tc>
          <w:tcPr>
            <w:tcW w:w="0" w:type="auto"/>
            <w:shd w:val="clear" w:color="auto" w:fill="auto"/>
          </w:tcPr>
          <w:p w14:paraId="00AE6C93" w14:textId="77777777" w:rsidR="008C5CFA" w:rsidRPr="00BA47B4" w:rsidRDefault="008C5CFA" w:rsidP="00300A01">
            <w:pPr>
              <w:spacing w:before="0" w:after="0"/>
              <w:jc w:val="right"/>
              <w:rPr>
                <w:sz w:val="12"/>
                <w:szCs w:val="12"/>
                <w:lang w:val="fr-BE"/>
              </w:rPr>
            </w:pPr>
          </w:p>
        </w:tc>
        <w:tc>
          <w:tcPr>
            <w:tcW w:w="0" w:type="auto"/>
            <w:shd w:val="clear" w:color="auto" w:fill="auto"/>
          </w:tcPr>
          <w:p w14:paraId="3E87EAD1"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7F481C3B" w14:textId="77777777" w:rsidR="008C5CFA" w:rsidRPr="00BA47B4" w:rsidRDefault="008C5CFA" w:rsidP="00300A01">
            <w:pPr>
              <w:spacing w:before="0" w:after="0"/>
              <w:jc w:val="right"/>
              <w:rPr>
                <w:sz w:val="12"/>
                <w:szCs w:val="12"/>
                <w:lang w:val="fr-BE"/>
              </w:rPr>
            </w:pPr>
          </w:p>
        </w:tc>
        <w:tc>
          <w:tcPr>
            <w:tcW w:w="0" w:type="auto"/>
            <w:shd w:val="clear" w:color="auto" w:fill="auto"/>
          </w:tcPr>
          <w:p w14:paraId="0C6FF39B" w14:textId="77777777" w:rsidR="008C5CFA" w:rsidRPr="00BA47B4" w:rsidRDefault="008C5CFA" w:rsidP="00300A01">
            <w:pPr>
              <w:spacing w:before="0" w:after="0"/>
              <w:jc w:val="right"/>
              <w:rPr>
                <w:sz w:val="12"/>
                <w:szCs w:val="12"/>
                <w:lang w:val="fr-BE"/>
              </w:rPr>
            </w:pPr>
          </w:p>
        </w:tc>
        <w:tc>
          <w:tcPr>
            <w:tcW w:w="0" w:type="auto"/>
            <w:shd w:val="clear" w:color="auto" w:fill="auto"/>
          </w:tcPr>
          <w:p w14:paraId="3DE131A3" w14:textId="77777777" w:rsidR="008C5CFA" w:rsidRPr="00BA47B4" w:rsidRDefault="008C5CFA" w:rsidP="00300A01">
            <w:pPr>
              <w:spacing w:before="0" w:after="0"/>
              <w:jc w:val="right"/>
              <w:rPr>
                <w:sz w:val="12"/>
                <w:szCs w:val="12"/>
                <w:lang w:val="fr-BE"/>
              </w:rPr>
            </w:pPr>
          </w:p>
        </w:tc>
        <w:tc>
          <w:tcPr>
            <w:tcW w:w="0" w:type="auto"/>
            <w:shd w:val="clear" w:color="auto" w:fill="auto"/>
          </w:tcPr>
          <w:p w14:paraId="033A1A21" w14:textId="77777777" w:rsidR="008C5CFA" w:rsidRPr="00BA47B4" w:rsidRDefault="008C5CFA" w:rsidP="00300A01">
            <w:pPr>
              <w:spacing w:before="0" w:after="0"/>
              <w:jc w:val="right"/>
              <w:rPr>
                <w:sz w:val="12"/>
                <w:szCs w:val="12"/>
                <w:lang w:val="fr-BE"/>
              </w:rPr>
            </w:pPr>
          </w:p>
        </w:tc>
        <w:tc>
          <w:tcPr>
            <w:tcW w:w="0" w:type="auto"/>
            <w:shd w:val="clear" w:color="auto" w:fill="auto"/>
          </w:tcPr>
          <w:p w14:paraId="67090448" w14:textId="77777777" w:rsidR="008C5CFA" w:rsidRPr="00BA47B4" w:rsidRDefault="008C5CFA" w:rsidP="00300A01">
            <w:pPr>
              <w:spacing w:before="0" w:after="0"/>
              <w:jc w:val="right"/>
              <w:rPr>
                <w:sz w:val="12"/>
                <w:szCs w:val="12"/>
                <w:lang w:val="fr-BE"/>
              </w:rPr>
            </w:pPr>
          </w:p>
        </w:tc>
        <w:tc>
          <w:tcPr>
            <w:tcW w:w="0" w:type="auto"/>
          </w:tcPr>
          <w:p w14:paraId="5FF62303"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14:paraId="00AA074E" w14:textId="77777777" w:rsidR="008C5CFA" w:rsidRPr="00A92B39" w:rsidRDefault="008C5CFA" w:rsidP="00300A01">
            <w:pPr>
              <w:spacing w:before="0" w:after="0"/>
              <w:jc w:val="right"/>
              <w:rPr>
                <w:sz w:val="10"/>
                <w:szCs w:val="10"/>
                <w:lang w:val="fr-BE"/>
              </w:rPr>
            </w:pPr>
          </w:p>
        </w:tc>
        <w:tc>
          <w:tcPr>
            <w:tcW w:w="0" w:type="auto"/>
            <w:shd w:val="clear" w:color="auto" w:fill="auto"/>
          </w:tcPr>
          <w:p w14:paraId="15E6ED51" w14:textId="77777777" w:rsidR="008C5CFA" w:rsidRPr="00BA47B4" w:rsidRDefault="008C5CFA" w:rsidP="00300A01">
            <w:pPr>
              <w:spacing w:before="0" w:after="0"/>
              <w:jc w:val="right"/>
              <w:rPr>
                <w:sz w:val="12"/>
                <w:szCs w:val="12"/>
                <w:lang w:val="fr-BE"/>
              </w:rPr>
            </w:pPr>
          </w:p>
        </w:tc>
      </w:tr>
      <w:tr w:rsidR="006B2EC1" w14:paraId="0954B0E3" w14:textId="77777777" w:rsidTr="0047688D">
        <w:tc>
          <w:tcPr>
            <w:tcW w:w="0" w:type="auto"/>
            <w:shd w:val="clear" w:color="auto" w:fill="auto"/>
          </w:tcPr>
          <w:p w14:paraId="262563E0" w14:textId="77777777" w:rsidR="008C5CFA" w:rsidRPr="00BA47B4" w:rsidRDefault="00E82A60" w:rsidP="00300A01">
            <w:pPr>
              <w:spacing w:before="0" w:after="0"/>
              <w:rPr>
                <w:sz w:val="12"/>
                <w:szCs w:val="12"/>
                <w:lang w:val="fr-BE"/>
              </w:rPr>
            </w:pPr>
            <w:r>
              <w:rPr>
                <w:noProof/>
                <w:sz w:val="12"/>
                <w:szCs w:val="12"/>
                <w:lang w:val="fr-BE"/>
              </w:rPr>
              <w:t>CO21</w:t>
            </w:r>
          </w:p>
        </w:tc>
        <w:tc>
          <w:tcPr>
            <w:tcW w:w="0" w:type="auto"/>
            <w:shd w:val="clear" w:color="auto" w:fill="auto"/>
          </w:tcPr>
          <w:p w14:paraId="03755DCC" w14:textId="77777777" w:rsidR="008C5CFA" w:rsidRPr="00BA47B4" w:rsidRDefault="00E82A60" w:rsidP="00300A01">
            <w:pPr>
              <w:spacing w:before="0" w:after="0"/>
              <w:rPr>
                <w:sz w:val="12"/>
                <w:szCs w:val="12"/>
                <w:lang w:val="fr-BE"/>
              </w:rPr>
            </w:pPr>
            <w:r>
              <w:rPr>
                <w:noProof/>
                <w:sz w:val="12"/>
                <w:szCs w:val="12"/>
                <w:lang w:val="fr-BE"/>
              </w:rPr>
              <w:t>liczba projektów ukierunkowanych na trwały udział kobiet w zatrudnieniu i rozwój ich kariery zawodowej</w:t>
            </w:r>
          </w:p>
        </w:tc>
        <w:tc>
          <w:tcPr>
            <w:tcW w:w="0" w:type="auto"/>
            <w:shd w:val="clear" w:color="auto" w:fill="auto"/>
          </w:tcPr>
          <w:p w14:paraId="489C1148" w14:textId="77777777" w:rsidR="008C5CFA" w:rsidRPr="00BA47B4" w:rsidRDefault="00E82A60"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14:paraId="264FDD83" w14:textId="77777777" w:rsidR="008C5CFA" w:rsidRPr="00BA47B4" w:rsidRDefault="008C5CFA" w:rsidP="00300A01">
            <w:pPr>
              <w:spacing w:before="0" w:after="0"/>
              <w:jc w:val="right"/>
              <w:rPr>
                <w:sz w:val="12"/>
                <w:szCs w:val="12"/>
                <w:lang w:val="fr-BE"/>
              </w:rPr>
            </w:pPr>
          </w:p>
        </w:tc>
        <w:tc>
          <w:tcPr>
            <w:tcW w:w="0" w:type="auto"/>
            <w:shd w:val="clear" w:color="auto" w:fill="auto"/>
          </w:tcPr>
          <w:p w14:paraId="60F1A2B6" w14:textId="77777777" w:rsidR="008C5CFA" w:rsidRPr="00BA47B4" w:rsidRDefault="008C5CFA" w:rsidP="00300A01">
            <w:pPr>
              <w:spacing w:before="0" w:after="0"/>
              <w:jc w:val="right"/>
              <w:rPr>
                <w:sz w:val="12"/>
                <w:szCs w:val="12"/>
                <w:lang w:val="fr-BE"/>
              </w:rPr>
            </w:pPr>
          </w:p>
        </w:tc>
        <w:tc>
          <w:tcPr>
            <w:tcW w:w="0" w:type="auto"/>
            <w:shd w:val="clear" w:color="auto" w:fill="auto"/>
          </w:tcPr>
          <w:p w14:paraId="30FBFBD5" w14:textId="77777777" w:rsidR="008C5CFA" w:rsidRPr="00BA47B4" w:rsidRDefault="008C5CFA" w:rsidP="00300A01">
            <w:pPr>
              <w:spacing w:before="0" w:after="0"/>
              <w:jc w:val="right"/>
              <w:rPr>
                <w:sz w:val="12"/>
                <w:szCs w:val="12"/>
                <w:lang w:val="fr-BE"/>
              </w:rPr>
            </w:pPr>
          </w:p>
        </w:tc>
        <w:tc>
          <w:tcPr>
            <w:tcW w:w="0" w:type="auto"/>
            <w:shd w:val="clear" w:color="auto" w:fill="auto"/>
          </w:tcPr>
          <w:p w14:paraId="4DF8DA71"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5EE10681" w14:textId="77777777" w:rsidR="008C5CFA" w:rsidRPr="00BA47B4" w:rsidRDefault="008C5CFA" w:rsidP="00300A01">
            <w:pPr>
              <w:spacing w:before="0" w:after="0"/>
              <w:jc w:val="right"/>
              <w:rPr>
                <w:sz w:val="12"/>
                <w:szCs w:val="12"/>
                <w:lang w:val="fr-BE"/>
              </w:rPr>
            </w:pPr>
          </w:p>
        </w:tc>
        <w:tc>
          <w:tcPr>
            <w:tcW w:w="0" w:type="auto"/>
            <w:shd w:val="clear" w:color="auto" w:fill="auto"/>
          </w:tcPr>
          <w:p w14:paraId="79C35A74" w14:textId="77777777" w:rsidR="008C5CFA" w:rsidRPr="00BA47B4" w:rsidRDefault="008C5CFA" w:rsidP="00300A01">
            <w:pPr>
              <w:spacing w:before="0" w:after="0"/>
              <w:jc w:val="right"/>
              <w:rPr>
                <w:sz w:val="12"/>
                <w:szCs w:val="12"/>
                <w:lang w:val="fr-BE"/>
              </w:rPr>
            </w:pPr>
          </w:p>
        </w:tc>
        <w:tc>
          <w:tcPr>
            <w:tcW w:w="0" w:type="auto"/>
            <w:shd w:val="clear" w:color="auto" w:fill="auto"/>
          </w:tcPr>
          <w:p w14:paraId="5671FAF1" w14:textId="77777777" w:rsidR="008C5CFA" w:rsidRPr="00BA47B4" w:rsidRDefault="008C5CFA" w:rsidP="00300A01">
            <w:pPr>
              <w:spacing w:before="0" w:after="0"/>
              <w:jc w:val="right"/>
              <w:rPr>
                <w:sz w:val="12"/>
                <w:szCs w:val="12"/>
                <w:lang w:val="fr-BE"/>
              </w:rPr>
            </w:pPr>
          </w:p>
        </w:tc>
        <w:tc>
          <w:tcPr>
            <w:tcW w:w="0" w:type="auto"/>
            <w:shd w:val="clear" w:color="auto" w:fill="auto"/>
          </w:tcPr>
          <w:p w14:paraId="6DB4D17B" w14:textId="77777777" w:rsidR="008C5CFA" w:rsidRPr="00BA47B4" w:rsidRDefault="008C5CFA" w:rsidP="00300A01">
            <w:pPr>
              <w:spacing w:before="0" w:after="0"/>
              <w:jc w:val="right"/>
              <w:rPr>
                <w:sz w:val="12"/>
                <w:szCs w:val="12"/>
                <w:lang w:val="fr-BE"/>
              </w:rPr>
            </w:pPr>
          </w:p>
        </w:tc>
        <w:tc>
          <w:tcPr>
            <w:tcW w:w="0" w:type="auto"/>
            <w:shd w:val="clear" w:color="auto" w:fill="auto"/>
          </w:tcPr>
          <w:p w14:paraId="4CD54508" w14:textId="77777777" w:rsidR="008C5CFA" w:rsidRPr="00BA47B4" w:rsidRDefault="008C5CFA" w:rsidP="00300A01">
            <w:pPr>
              <w:spacing w:before="0" w:after="0"/>
              <w:jc w:val="right"/>
              <w:rPr>
                <w:sz w:val="12"/>
                <w:szCs w:val="12"/>
                <w:lang w:val="fr-BE"/>
              </w:rPr>
            </w:pPr>
          </w:p>
        </w:tc>
        <w:tc>
          <w:tcPr>
            <w:tcW w:w="0" w:type="auto"/>
          </w:tcPr>
          <w:p w14:paraId="2CC62CBC"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14:paraId="49AEE031" w14:textId="77777777" w:rsidR="008C5CFA" w:rsidRPr="00A92B39" w:rsidRDefault="008C5CFA" w:rsidP="00300A01">
            <w:pPr>
              <w:spacing w:before="0" w:after="0"/>
              <w:jc w:val="right"/>
              <w:rPr>
                <w:sz w:val="10"/>
                <w:szCs w:val="10"/>
                <w:lang w:val="fr-BE"/>
              </w:rPr>
            </w:pPr>
          </w:p>
        </w:tc>
        <w:tc>
          <w:tcPr>
            <w:tcW w:w="0" w:type="auto"/>
            <w:shd w:val="clear" w:color="auto" w:fill="auto"/>
          </w:tcPr>
          <w:p w14:paraId="54DBA4F8" w14:textId="77777777" w:rsidR="008C5CFA" w:rsidRPr="00BA47B4" w:rsidRDefault="008C5CFA" w:rsidP="00300A01">
            <w:pPr>
              <w:spacing w:before="0" w:after="0"/>
              <w:jc w:val="right"/>
              <w:rPr>
                <w:sz w:val="12"/>
                <w:szCs w:val="12"/>
                <w:lang w:val="fr-BE"/>
              </w:rPr>
            </w:pPr>
          </w:p>
        </w:tc>
      </w:tr>
      <w:tr w:rsidR="006B2EC1" w14:paraId="186133BC" w14:textId="77777777" w:rsidTr="0047688D">
        <w:tc>
          <w:tcPr>
            <w:tcW w:w="0" w:type="auto"/>
            <w:shd w:val="clear" w:color="auto" w:fill="auto"/>
          </w:tcPr>
          <w:p w14:paraId="1112B26F" w14:textId="77777777" w:rsidR="008C5CFA" w:rsidRPr="00BA47B4" w:rsidRDefault="00E82A60" w:rsidP="00300A01">
            <w:pPr>
              <w:spacing w:before="0" w:after="0"/>
              <w:rPr>
                <w:sz w:val="12"/>
                <w:szCs w:val="12"/>
                <w:lang w:val="fr-BE"/>
              </w:rPr>
            </w:pPr>
            <w:r>
              <w:rPr>
                <w:noProof/>
                <w:sz w:val="12"/>
                <w:szCs w:val="12"/>
                <w:lang w:val="fr-BE"/>
              </w:rPr>
              <w:t>CO22</w:t>
            </w:r>
          </w:p>
        </w:tc>
        <w:tc>
          <w:tcPr>
            <w:tcW w:w="0" w:type="auto"/>
            <w:shd w:val="clear" w:color="auto" w:fill="auto"/>
          </w:tcPr>
          <w:p w14:paraId="1554081F" w14:textId="77777777" w:rsidR="008C5CFA" w:rsidRPr="00BA47B4" w:rsidRDefault="00E82A60" w:rsidP="00300A01">
            <w:pPr>
              <w:spacing w:before="0" w:after="0"/>
              <w:rPr>
                <w:sz w:val="12"/>
                <w:szCs w:val="12"/>
                <w:lang w:val="fr-BE"/>
              </w:rPr>
            </w:pPr>
            <w:r>
              <w:rPr>
                <w:noProof/>
                <w:sz w:val="12"/>
                <w:szCs w:val="12"/>
                <w:lang w:val="fr-BE"/>
              </w:rPr>
              <w:t>liczba projektów obejmujących administrację publiczną lub służby publiczne na szczeblu krajowym, regionalnym lub lokalnym</w:t>
            </w:r>
          </w:p>
        </w:tc>
        <w:tc>
          <w:tcPr>
            <w:tcW w:w="0" w:type="auto"/>
            <w:shd w:val="clear" w:color="auto" w:fill="auto"/>
          </w:tcPr>
          <w:p w14:paraId="53C83ECA" w14:textId="77777777" w:rsidR="008C5CFA" w:rsidRPr="00BA47B4" w:rsidRDefault="00E82A60"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14:paraId="441DA7B2" w14:textId="77777777" w:rsidR="008C5CFA" w:rsidRPr="00BA47B4" w:rsidRDefault="008C5CFA" w:rsidP="00300A01">
            <w:pPr>
              <w:spacing w:before="0" w:after="0"/>
              <w:jc w:val="right"/>
              <w:rPr>
                <w:sz w:val="12"/>
                <w:szCs w:val="12"/>
                <w:lang w:val="fr-BE"/>
              </w:rPr>
            </w:pPr>
          </w:p>
        </w:tc>
        <w:tc>
          <w:tcPr>
            <w:tcW w:w="0" w:type="auto"/>
            <w:shd w:val="clear" w:color="auto" w:fill="auto"/>
          </w:tcPr>
          <w:p w14:paraId="40B7291D" w14:textId="77777777" w:rsidR="008C5CFA" w:rsidRPr="00BA47B4" w:rsidRDefault="008C5CFA" w:rsidP="00300A01">
            <w:pPr>
              <w:spacing w:before="0" w:after="0"/>
              <w:jc w:val="right"/>
              <w:rPr>
                <w:sz w:val="12"/>
                <w:szCs w:val="12"/>
                <w:lang w:val="fr-BE"/>
              </w:rPr>
            </w:pPr>
          </w:p>
        </w:tc>
        <w:tc>
          <w:tcPr>
            <w:tcW w:w="0" w:type="auto"/>
            <w:shd w:val="clear" w:color="auto" w:fill="auto"/>
          </w:tcPr>
          <w:p w14:paraId="4DB10205" w14:textId="77777777" w:rsidR="008C5CFA" w:rsidRPr="00BA47B4" w:rsidRDefault="008C5CFA" w:rsidP="00300A01">
            <w:pPr>
              <w:spacing w:before="0" w:after="0"/>
              <w:jc w:val="right"/>
              <w:rPr>
                <w:sz w:val="12"/>
                <w:szCs w:val="12"/>
                <w:lang w:val="fr-BE"/>
              </w:rPr>
            </w:pPr>
          </w:p>
        </w:tc>
        <w:tc>
          <w:tcPr>
            <w:tcW w:w="0" w:type="auto"/>
            <w:shd w:val="clear" w:color="auto" w:fill="auto"/>
          </w:tcPr>
          <w:p w14:paraId="1AA75468"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205DE469" w14:textId="77777777" w:rsidR="008C5CFA" w:rsidRPr="00BA47B4" w:rsidRDefault="008C5CFA" w:rsidP="00300A01">
            <w:pPr>
              <w:spacing w:before="0" w:after="0"/>
              <w:jc w:val="right"/>
              <w:rPr>
                <w:sz w:val="12"/>
                <w:szCs w:val="12"/>
                <w:lang w:val="fr-BE"/>
              </w:rPr>
            </w:pPr>
          </w:p>
        </w:tc>
        <w:tc>
          <w:tcPr>
            <w:tcW w:w="0" w:type="auto"/>
            <w:shd w:val="clear" w:color="auto" w:fill="auto"/>
          </w:tcPr>
          <w:p w14:paraId="4D1066B0" w14:textId="77777777" w:rsidR="008C5CFA" w:rsidRPr="00BA47B4" w:rsidRDefault="008C5CFA" w:rsidP="00300A01">
            <w:pPr>
              <w:spacing w:before="0" w:after="0"/>
              <w:jc w:val="right"/>
              <w:rPr>
                <w:sz w:val="12"/>
                <w:szCs w:val="12"/>
                <w:lang w:val="fr-BE"/>
              </w:rPr>
            </w:pPr>
          </w:p>
        </w:tc>
        <w:tc>
          <w:tcPr>
            <w:tcW w:w="0" w:type="auto"/>
            <w:shd w:val="clear" w:color="auto" w:fill="auto"/>
          </w:tcPr>
          <w:p w14:paraId="09403FEA" w14:textId="77777777" w:rsidR="008C5CFA" w:rsidRPr="00BA47B4" w:rsidRDefault="008C5CFA" w:rsidP="00300A01">
            <w:pPr>
              <w:spacing w:before="0" w:after="0"/>
              <w:jc w:val="right"/>
              <w:rPr>
                <w:sz w:val="12"/>
                <w:szCs w:val="12"/>
                <w:lang w:val="fr-BE"/>
              </w:rPr>
            </w:pPr>
          </w:p>
        </w:tc>
        <w:tc>
          <w:tcPr>
            <w:tcW w:w="0" w:type="auto"/>
            <w:shd w:val="clear" w:color="auto" w:fill="auto"/>
          </w:tcPr>
          <w:p w14:paraId="00E09C8C" w14:textId="77777777" w:rsidR="008C5CFA" w:rsidRPr="00BA47B4" w:rsidRDefault="008C5CFA" w:rsidP="00300A01">
            <w:pPr>
              <w:spacing w:before="0" w:after="0"/>
              <w:jc w:val="right"/>
              <w:rPr>
                <w:sz w:val="12"/>
                <w:szCs w:val="12"/>
                <w:lang w:val="fr-BE"/>
              </w:rPr>
            </w:pPr>
          </w:p>
        </w:tc>
        <w:tc>
          <w:tcPr>
            <w:tcW w:w="0" w:type="auto"/>
            <w:shd w:val="clear" w:color="auto" w:fill="auto"/>
          </w:tcPr>
          <w:p w14:paraId="43E2649A" w14:textId="77777777" w:rsidR="008C5CFA" w:rsidRPr="00BA47B4" w:rsidRDefault="008C5CFA" w:rsidP="00300A01">
            <w:pPr>
              <w:spacing w:before="0" w:after="0"/>
              <w:jc w:val="right"/>
              <w:rPr>
                <w:sz w:val="12"/>
                <w:szCs w:val="12"/>
                <w:lang w:val="fr-BE"/>
              </w:rPr>
            </w:pPr>
          </w:p>
        </w:tc>
        <w:tc>
          <w:tcPr>
            <w:tcW w:w="0" w:type="auto"/>
          </w:tcPr>
          <w:p w14:paraId="5F3A3532"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14:paraId="5717AEE2" w14:textId="77777777" w:rsidR="008C5CFA" w:rsidRPr="00A92B39" w:rsidRDefault="008C5CFA" w:rsidP="00300A01">
            <w:pPr>
              <w:spacing w:before="0" w:after="0"/>
              <w:jc w:val="right"/>
              <w:rPr>
                <w:sz w:val="10"/>
                <w:szCs w:val="10"/>
                <w:lang w:val="fr-BE"/>
              </w:rPr>
            </w:pPr>
          </w:p>
        </w:tc>
        <w:tc>
          <w:tcPr>
            <w:tcW w:w="0" w:type="auto"/>
            <w:shd w:val="clear" w:color="auto" w:fill="auto"/>
          </w:tcPr>
          <w:p w14:paraId="429CE746" w14:textId="77777777" w:rsidR="008C5CFA" w:rsidRPr="00BA47B4" w:rsidRDefault="008C5CFA" w:rsidP="00300A01">
            <w:pPr>
              <w:spacing w:before="0" w:after="0"/>
              <w:jc w:val="right"/>
              <w:rPr>
                <w:sz w:val="12"/>
                <w:szCs w:val="12"/>
                <w:lang w:val="fr-BE"/>
              </w:rPr>
            </w:pPr>
          </w:p>
        </w:tc>
      </w:tr>
      <w:tr w:rsidR="006B2EC1" w14:paraId="5EE292DE" w14:textId="77777777" w:rsidTr="0047688D">
        <w:tc>
          <w:tcPr>
            <w:tcW w:w="0" w:type="auto"/>
            <w:shd w:val="clear" w:color="auto" w:fill="auto"/>
          </w:tcPr>
          <w:p w14:paraId="640A7BD3" w14:textId="77777777" w:rsidR="008C5CFA" w:rsidRPr="00BA47B4" w:rsidRDefault="00E82A60" w:rsidP="00300A01">
            <w:pPr>
              <w:spacing w:before="0" w:after="0"/>
              <w:rPr>
                <w:sz w:val="12"/>
                <w:szCs w:val="12"/>
                <w:lang w:val="fr-BE"/>
              </w:rPr>
            </w:pPr>
            <w:r>
              <w:rPr>
                <w:noProof/>
                <w:sz w:val="12"/>
                <w:szCs w:val="12"/>
                <w:lang w:val="fr-BE"/>
              </w:rPr>
              <w:t>CO23</w:t>
            </w:r>
          </w:p>
        </w:tc>
        <w:tc>
          <w:tcPr>
            <w:tcW w:w="0" w:type="auto"/>
            <w:shd w:val="clear" w:color="auto" w:fill="auto"/>
          </w:tcPr>
          <w:p w14:paraId="013D4744" w14:textId="77777777" w:rsidR="008C5CFA" w:rsidRPr="00BA47B4" w:rsidRDefault="00E82A60" w:rsidP="00300A01">
            <w:pPr>
              <w:spacing w:before="0" w:after="0"/>
              <w:rPr>
                <w:sz w:val="12"/>
                <w:szCs w:val="12"/>
                <w:lang w:val="fr-BE"/>
              </w:rPr>
            </w:pPr>
            <w:r>
              <w:rPr>
                <w:noProof/>
                <w:sz w:val="12"/>
                <w:szCs w:val="12"/>
                <w:lang w:val="fr-BE"/>
              </w:rPr>
              <w:t>liczba objętych wsparciem mikro-, małych i średnich przedsiębiorstw (w tym przedsiębiorstw spółdzielczych i przedsiębiorstw gospodarki społecznej)</w:t>
            </w:r>
          </w:p>
        </w:tc>
        <w:tc>
          <w:tcPr>
            <w:tcW w:w="0" w:type="auto"/>
            <w:shd w:val="clear" w:color="auto" w:fill="auto"/>
          </w:tcPr>
          <w:p w14:paraId="26E3A79D" w14:textId="77777777" w:rsidR="008C5CFA" w:rsidRPr="00BA47B4" w:rsidRDefault="00E82A60"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14:paraId="06A1F673" w14:textId="77777777" w:rsidR="008C5CFA" w:rsidRPr="00BA47B4" w:rsidRDefault="008C5CFA" w:rsidP="00300A01">
            <w:pPr>
              <w:spacing w:before="0" w:after="0"/>
              <w:jc w:val="right"/>
              <w:rPr>
                <w:sz w:val="12"/>
                <w:szCs w:val="12"/>
                <w:lang w:val="fr-BE"/>
              </w:rPr>
            </w:pPr>
          </w:p>
        </w:tc>
        <w:tc>
          <w:tcPr>
            <w:tcW w:w="0" w:type="auto"/>
            <w:shd w:val="clear" w:color="auto" w:fill="auto"/>
          </w:tcPr>
          <w:p w14:paraId="0E78528A" w14:textId="77777777" w:rsidR="008C5CFA" w:rsidRPr="00BA47B4" w:rsidRDefault="008C5CFA" w:rsidP="00300A01">
            <w:pPr>
              <w:spacing w:before="0" w:after="0"/>
              <w:jc w:val="right"/>
              <w:rPr>
                <w:sz w:val="12"/>
                <w:szCs w:val="12"/>
                <w:lang w:val="fr-BE"/>
              </w:rPr>
            </w:pPr>
          </w:p>
        </w:tc>
        <w:tc>
          <w:tcPr>
            <w:tcW w:w="0" w:type="auto"/>
            <w:shd w:val="clear" w:color="auto" w:fill="auto"/>
          </w:tcPr>
          <w:p w14:paraId="39032F2B" w14:textId="77777777" w:rsidR="008C5CFA" w:rsidRPr="00BA47B4" w:rsidRDefault="008C5CFA" w:rsidP="00300A01">
            <w:pPr>
              <w:spacing w:before="0" w:after="0"/>
              <w:jc w:val="right"/>
              <w:rPr>
                <w:sz w:val="12"/>
                <w:szCs w:val="12"/>
                <w:lang w:val="fr-BE"/>
              </w:rPr>
            </w:pPr>
          </w:p>
        </w:tc>
        <w:tc>
          <w:tcPr>
            <w:tcW w:w="0" w:type="auto"/>
            <w:shd w:val="clear" w:color="auto" w:fill="auto"/>
          </w:tcPr>
          <w:p w14:paraId="4A355B33" w14:textId="77777777" w:rsidR="008C5CFA" w:rsidRPr="00BA47B4" w:rsidRDefault="00E82A60" w:rsidP="00300A01">
            <w:pPr>
              <w:spacing w:before="0" w:after="0"/>
              <w:jc w:val="right"/>
              <w:rPr>
                <w:sz w:val="12"/>
                <w:szCs w:val="12"/>
                <w:lang w:val="fr-BE"/>
              </w:rPr>
            </w:pPr>
            <w:r w:rsidRPr="00BA47B4">
              <w:rPr>
                <w:noProof/>
                <w:sz w:val="12"/>
                <w:szCs w:val="12"/>
                <w:lang w:val="fr-BE"/>
              </w:rPr>
              <w:t>1 441,00</w:t>
            </w:r>
          </w:p>
        </w:tc>
        <w:tc>
          <w:tcPr>
            <w:tcW w:w="0" w:type="auto"/>
            <w:shd w:val="clear" w:color="auto" w:fill="auto"/>
          </w:tcPr>
          <w:p w14:paraId="7BF89C20" w14:textId="77777777" w:rsidR="008C5CFA" w:rsidRPr="00BA47B4" w:rsidRDefault="008C5CFA" w:rsidP="00300A01">
            <w:pPr>
              <w:spacing w:before="0" w:after="0"/>
              <w:jc w:val="right"/>
              <w:rPr>
                <w:sz w:val="12"/>
                <w:szCs w:val="12"/>
                <w:lang w:val="fr-BE"/>
              </w:rPr>
            </w:pPr>
          </w:p>
        </w:tc>
        <w:tc>
          <w:tcPr>
            <w:tcW w:w="0" w:type="auto"/>
            <w:shd w:val="clear" w:color="auto" w:fill="auto"/>
          </w:tcPr>
          <w:p w14:paraId="0B8A6759" w14:textId="77777777" w:rsidR="008C5CFA" w:rsidRPr="00BA47B4" w:rsidRDefault="008C5CFA" w:rsidP="00300A01">
            <w:pPr>
              <w:spacing w:before="0" w:after="0"/>
              <w:jc w:val="right"/>
              <w:rPr>
                <w:sz w:val="12"/>
                <w:szCs w:val="12"/>
                <w:lang w:val="fr-BE"/>
              </w:rPr>
            </w:pPr>
          </w:p>
        </w:tc>
        <w:tc>
          <w:tcPr>
            <w:tcW w:w="0" w:type="auto"/>
            <w:shd w:val="clear" w:color="auto" w:fill="auto"/>
          </w:tcPr>
          <w:p w14:paraId="57AB6E37" w14:textId="77777777" w:rsidR="008C5CFA" w:rsidRPr="00BA47B4" w:rsidRDefault="008C5CFA" w:rsidP="00300A01">
            <w:pPr>
              <w:spacing w:before="0" w:after="0"/>
              <w:jc w:val="right"/>
              <w:rPr>
                <w:sz w:val="12"/>
                <w:szCs w:val="12"/>
                <w:lang w:val="fr-BE"/>
              </w:rPr>
            </w:pPr>
          </w:p>
        </w:tc>
        <w:tc>
          <w:tcPr>
            <w:tcW w:w="0" w:type="auto"/>
            <w:shd w:val="clear" w:color="auto" w:fill="auto"/>
          </w:tcPr>
          <w:p w14:paraId="66B00640" w14:textId="77777777" w:rsidR="008C5CFA" w:rsidRPr="00BA47B4" w:rsidRDefault="008C5CFA" w:rsidP="00300A01">
            <w:pPr>
              <w:spacing w:before="0" w:after="0"/>
              <w:jc w:val="right"/>
              <w:rPr>
                <w:sz w:val="12"/>
                <w:szCs w:val="12"/>
                <w:lang w:val="fr-BE"/>
              </w:rPr>
            </w:pPr>
          </w:p>
        </w:tc>
        <w:tc>
          <w:tcPr>
            <w:tcW w:w="0" w:type="auto"/>
            <w:shd w:val="clear" w:color="auto" w:fill="auto"/>
          </w:tcPr>
          <w:p w14:paraId="09ECB007" w14:textId="77777777" w:rsidR="008C5CFA" w:rsidRPr="00BA47B4" w:rsidRDefault="008C5CFA" w:rsidP="00300A01">
            <w:pPr>
              <w:spacing w:before="0" w:after="0"/>
              <w:jc w:val="right"/>
              <w:rPr>
                <w:sz w:val="12"/>
                <w:szCs w:val="12"/>
                <w:lang w:val="fr-BE"/>
              </w:rPr>
            </w:pPr>
          </w:p>
        </w:tc>
        <w:tc>
          <w:tcPr>
            <w:tcW w:w="0" w:type="auto"/>
          </w:tcPr>
          <w:p w14:paraId="5829A9CC" w14:textId="77777777" w:rsidR="008C5CFA" w:rsidRPr="00A92B39" w:rsidRDefault="00E82A60" w:rsidP="00300A01">
            <w:pPr>
              <w:spacing w:before="0" w:after="0"/>
              <w:jc w:val="right"/>
              <w:rPr>
                <w:sz w:val="10"/>
                <w:szCs w:val="10"/>
                <w:lang w:val="fr-BE"/>
              </w:rPr>
            </w:pPr>
            <w:r w:rsidRPr="00A92B39">
              <w:rPr>
                <w:noProof/>
                <w:sz w:val="10"/>
                <w:szCs w:val="10"/>
                <w:lang w:val="fr-BE"/>
              </w:rPr>
              <w:t>475,00</w:t>
            </w:r>
          </w:p>
        </w:tc>
        <w:tc>
          <w:tcPr>
            <w:tcW w:w="0" w:type="auto"/>
            <w:shd w:val="clear" w:color="auto" w:fill="auto"/>
          </w:tcPr>
          <w:p w14:paraId="5163EC39" w14:textId="77777777" w:rsidR="008C5CFA" w:rsidRPr="00A92B39" w:rsidRDefault="008C5CFA" w:rsidP="00300A01">
            <w:pPr>
              <w:spacing w:before="0" w:after="0"/>
              <w:jc w:val="right"/>
              <w:rPr>
                <w:sz w:val="10"/>
                <w:szCs w:val="10"/>
                <w:lang w:val="fr-BE"/>
              </w:rPr>
            </w:pPr>
          </w:p>
        </w:tc>
        <w:tc>
          <w:tcPr>
            <w:tcW w:w="0" w:type="auto"/>
            <w:shd w:val="clear" w:color="auto" w:fill="auto"/>
          </w:tcPr>
          <w:p w14:paraId="016A1CE1" w14:textId="77777777" w:rsidR="008C5CFA" w:rsidRPr="00BA47B4" w:rsidRDefault="008C5CFA" w:rsidP="00300A01">
            <w:pPr>
              <w:spacing w:before="0" w:after="0"/>
              <w:jc w:val="right"/>
              <w:rPr>
                <w:sz w:val="12"/>
                <w:szCs w:val="12"/>
                <w:lang w:val="fr-BE"/>
              </w:rPr>
            </w:pPr>
          </w:p>
        </w:tc>
      </w:tr>
      <w:tr w:rsidR="006B2EC1" w14:paraId="6C974D03" w14:textId="77777777" w:rsidTr="0047688D">
        <w:tc>
          <w:tcPr>
            <w:tcW w:w="0" w:type="auto"/>
            <w:shd w:val="clear" w:color="auto" w:fill="auto"/>
          </w:tcPr>
          <w:p w14:paraId="35293228" w14:textId="77777777" w:rsidR="008C5CFA" w:rsidRPr="00BA47B4" w:rsidRDefault="008C5CFA" w:rsidP="00300A01">
            <w:pPr>
              <w:spacing w:before="0" w:after="0"/>
              <w:rPr>
                <w:sz w:val="12"/>
                <w:szCs w:val="12"/>
                <w:lang w:val="fr-BE"/>
              </w:rPr>
            </w:pPr>
          </w:p>
        </w:tc>
        <w:tc>
          <w:tcPr>
            <w:tcW w:w="0" w:type="auto"/>
            <w:shd w:val="clear" w:color="auto" w:fill="auto"/>
          </w:tcPr>
          <w:p w14:paraId="0875EFDE" w14:textId="77777777" w:rsidR="008C5CFA" w:rsidRPr="00BA47B4" w:rsidRDefault="00E82A60" w:rsidP="00300A01">
            <w:pPr>
              <w:spacing w:before="0" w:after="0"/>
              <w:rPr>
                <w:sz w:val="12"/>
                <w:szCs w:val="12"/>
                <w:lang w:val="fr-BE"/>
              </w:rPr>
            </w:pPr>
            <w:r>
              <w:rPr>
                <w:noProof/>
                <w:sz w:val="12"/>
                <w:szCs w:val="12"/>
                <w:lang w:val="fr-BE"/>
              </w:rPr>
              <w:t>Całkowita łączna liczba uczestników</w:t>
            </w:r>
          </w:p>
        </w:tc>
        <w:tc>
          <w:tcPr>
            <w:tcW w:w="0" w:type="auto"/>
            <w:shd w:val="clear" w:color="auto" w:fill="auto"/>
          </w:tcPr>
          <w:p w14:paraId="2F7FC821" w14:textId="77777777" w:rsidR="008C5CFA" w:rsidRPr="00BA47B4" w:rsidRDefault="008C5CFA" w:rsidP="00300A01">
            <w:pPr>
              <w:spacing w:before="0" w:after="0"/>
              <w:rPr>
                <w:sz w:val="12"/>
                <w:szCs w:val="12"/>
                <w:lang w:val="fr-BE"/>
              </w:rPr>
            </w:pPr>
          </w:p>
        </w:tc>
        <w:tc>
          <w:tcPr>
            <w:tcW w:w="0" w:type="auto"/>
            <w:shd w:val="clear" w:color="auto" w:fill="auto"/>
          </w:tcPr>
          <w:p w14:paraId="542D6178" w14:textId="77777777" w:rsidR="008C5CFA" w:rsidRPr="00BA47B4" w:rsidRDefault="008C5CFA" w:rsidP="00300A01">
            <w:pPr>
              <w:spacing w:before="0" w:after="0"/>
              <w:jc w:val="right"/>
              <w:rPr>
                <w:sz w:val="12"/>
                <w:szCs w:val="12"/>
                <w:lang w:val="fr-BE"/>
              </w:rPr>
            </w:pPr>
          </w:p>
        </w:tc>
        <w:tc>
          <w:tcPr>
            <w:tcW w:w="0" w:type="auto"/>
            <w:shd w:val="clear" w:color="auto" w:fill="auto"/>
          </w:tcPr>
          <w:p w14:paraId="6C011D5F" w14:textId="77777777" w:rsidR="008C5CFA" w:rsidRPr="00BA47B4" w:rsidRDefault="008C5CFA" w:rsidP="00300A01">
            <w:pPr>
              <w:spacing w:before="0" w:after="0"/>
              <w:jc w:val="right"/>
              <w:rPr>
                <w:sz w:val="12"/>
                <w:szCs w:val="12"/>
                <w:lang w:val="fr-BE"/>
              </w:rPr>
            </w:pPr>
          </w:p>
        </w:tc>
        <w:tc>
          <w:tcPr>
            <w:tcW w:w="0" w:type="auto"/>
            <w:shd w:val="clear" w:color="auto" w:fill="auto"/>
          </w:tcPr>
          <w:p w14:paraId="01D0AB1E" w14:textId="77777777" w:rsidR="008C5CFA" w:rsidRPr="00BA47B4" w:rsidRDefault="008C5CFA" w:rsidP="00300A01">
            <w:pPr>
              <w:spacing w:before="0" w:after="0"/>
              <w:jc w:val="right"/>
              <w:rPr>
                <w:sz w:val="12"/>
                <w:szCs w:val="12"/>
                <w:lang w:val="fr-BE"/>
              </w:rPr>
            </w:pPr>
          </w:p>
        </w:tc>
        <w:tc>
          <w:tcPr>
            <w:tcW w:w="0" w:type="auto"/>
            <w:shd w:val="clear" w:color="auto" w:fill="auto"/>
          </w:tcPr>
          <w:p w14:paraId="3D415D10" w14:textId="77777777" w:rsidR="008C5CFA" w:rsidRPr="00BA47B4" w:rsidRDefault="00E82A60" w:rsidP="00300A01">
            <w:pPr>
              <w:spacing w:before="0" w:after="0"/>
              <w:jc w:val="right"/>
              <w:rPr>
                <w:sz w:val="12"/>
                <w:szCs w:val="12"/>
                <w:lang w:val="fr-BE"/>
              </w:rPr>
            </w:pPr>
            <w:r w:rsidRPr="00BA47B4">
              <w:rPr>
                <w:noProof/>
                <w:sz w:val="12"/>
                <w:szCs w:val="12"/>
                <w:lang w:val="fr-BE"/>
              </w:rPr>
              <w:t>3 570,00</w:t>
            </w:r>
          </w:p>
        </w:tc>
        <w:tc>
          <w:tcPr>
            <w:tcW w:w="0" w:type="auto"/>
            <w:shd w:val="clear" w:color="auto" w:fill="auto"/>
          </w:tcPr>
          <w:p w14:paraId="0F9C0D61" w14:textId="77777777" w:rsidR="008C5CFA" w:rsidRPr="00BA47B4" w:rsidRDefault="008C5CFA" w:rsidP="00300A01">
            <w:pPr>
              <w:spacing w:before="0" w:after="0"/>
              <w:jc w:val="right"/>
              <w:rPr>
                <w:sz w:val="12"/>
                <w:szCs w:val="12"/>
                <w:lang w:val="fr-BE"/>
              </w:rPr>
            </w:pPr>
          </w:p>
        </w:tc>
        <w:tc>
          <w:tcPr>
            <w:tcW w:w="0" w:type="auto"/>
            <w:shd w:val="clear" w:color="auto" w:fill="auto"/>
          </w:tcPr>
          <w:p w14:paraId="70B9EF31" w14:textId="77777777" w:rsidR="008C5CFA" w:rsidRPr="00BA47B4" w:rsidRDefault="008C5CFA" w:rsidP="00300A01">
            <w:pPr>
              <w:spacing w:before="0" w:after="0"/>
              <w:jc w:val="right"/>
              <w:rPr>
                <w:sz w:val="12"/>
                <w:szCs w:val="12"/>
                <w:lang w:val="fr-BE"/>
              </w:rPr>
            </w:pPr>
          </w:p>
        </w:tc>
        <w:tc>
          <w:tcPr>
            <w:tcW w:w="0" w:type="auto"/>
            <w:shd w:val="clear" w:color="auto" w:fill="auto"/>
          </w:tcPr>
          <w:p w14:paraId="281A2A68" w14:textId="77777777" w:rsidR="008C5CFA" w:rsidRPr="00BA47B4" w:rsidRDefault="008C5CFA" w:rsidP="00300A01">
            <w:pPr>
              <w:spacing w:before="0" w:after="0"/>
              <w:jc w:val="right"/>
              <w:rPr>
                <w:sz w:val="12"/>
                <w:szCs w:val="12"/>
                <w:lang w:val="fr-BE"/>
              </w:rPr>
            </w:pPr>
          </w:p>
        </w:tc>
        <w:tc>
          <w:tcPr>
            <w:tcW w:w="0" w:type="auto"/>
            <w:shd w:val="clear" w:color="auto" w:fill="auto"/>
          </w:tcPr>
          <w:p w14:paraId="0ED99826" w14:textId="77777777" w:rsidR="008C5CFA" w:rsidRPr="00BA47B4" w:rsidRDefault="008C5CFA" w:rsidP="00300A01">
            <w:pPr>
              <w:spacing w:before="0" w:after="0"/>
              <w:jc w:val="right"/>
              <w:rPr>
                <w:sz w:val="12"/>
                <w:szCs w:val="12"/>
                <w:lang w:val="fr-BE"/>
              </w:rPr>
            </w:pPr>
          </w:p>
        </w:tc>
        <w:tc>
          <w:tcPr>
            <w:tcW w:w="0" w:type="auto"/>
            <w:shd w:val="clear" w:color="auto" w:fill="auto"/>
          </w:tcPr>
          <w:p w14:paraId="4CAE9E67" w14:textId="77777777" w:rsidR="008C5CFA" w:rsidRPr="00BA47B4" w:rsidRDefault="008C5CFA" w:rsidP="00300A01">
            <w:pPr>
              <w:spacing w:before="0" w:after="0"/>
              <w:jc w:val="right"/>
              <w:rPr>
                <w:sz w:val="12"/>
                <w:szCs w:val="12"/>
                <w:lang w:val="fr-BE"/>
              </w:rPr>
            </w:pPr>
          </w:p>
        </w:tc>
        <w:tc>
          <w:tcPr>
            <w:tcW w:w="0" w:type="auto"/>
          </w:tcPr>
          <w:p w14:paraId="61FFC2E3" w14:textId="77777777" w:rsidR="008C5CFA" w:rsidRPr="00A92B39" w:rsidRDefault="00E82A60" w:rsidP="00300A01">
            <w:pPr>
              <w:spacing w:before="0" w:after="0"/>
              <w:jc w:val="right"/>
              <w:rPr>
                <w:sz w:val="10"/>
                <w:szCs w:val="10"/>
                <w:lang w:val="fr-BE"/>
              </w:rPr>
            </w:pPr>
            <w:r w:rsidRPr="00A92B39">
              <w:rPr>
                <w:noProof/>
                <w:sz w:val="10"/>
                <w:szCs w:val="10"/>
                <w:lang w:val="fr-BE"/>
              </w:rPr>
              <w:t>1 103,00</w:t>
            </w:r>
          </w:p>
        </w:tc>
        <w:tc>
          <w:tcPr>
            <w:tcW w:w="0" w:type="auto"/>
            <w:shd w:val="clear" w:color="auto" w:fill="auto"/>
          </w:tcPr>
          <w:p w14:paraId="2BE466C4" w14:textId="77777777" w:rsidR="008C5CFA" w:rsidRPr="00A92B39" w:rsidRDefault="008C5CFA" w:rsidP="00300A01">
            <w:pPr>
              <w:spacing w:before="0" w:after="0"/>
              <w:jc w:val="right"/>
              <w:rPr>
                <w:sz w:val="10"/>
                <w:szCs w:val="10"/>
                <w:lang w:val="fr-BE"/>
              </w:rPr>
            </w:pPr>
          </w:p>
        </w:tc>
        <w:tc>
          <w:tcPr>
            <w:tcW w:w="0" w:type="auto"/>
            <w:shd w:val="clear" w:color="auto" w:fill="auto"/>
          </w:tcPr>
          <w:p w14:paraId="7447410C" w14:textId="77777777" w:rsidR="008C5CFA" w:rsidRPr="00BA47B4" w:rsidRDefault="008C5CFA" w:rsidP="00300A01">
            <w:pPr>
              <w:spacing w:before="0" w:after="0"/>
              <w:jc w:val="right"/>
              <w:rPr>
                <w:sz w:val="12"/>
                <w:szCs w:val="12"/>
                <w:lang w:val="fr-BE"/>
              </w:rPr>
            </w:pPr>
          </w:p>
        </w:tc>
      </w:tr>
    </w:tbl>
    <w:p w14:paraId="03725C69"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51"/>
        <w:gridCol w:w="7869"/>
        <w:gridCol w:w="1346"/>
        <w:gridCol w:w="594"/>
        <w:gridCol w:w="708"/>
        <w:gridCol w:w="560"/>
        <w:gridCol w:w="560"/>
        <w:gridCol w:w="708"/>
        <w:gridCol w:w="560"/>
        <w:gridCol w:w="560"/>
        <w:gridCol w:w="708"/>
        <w:gridCol w:w="560"/>
      </w:tblGrid>
      <w:tr w:rsidR="006B2EC1" w14:paraId="6FA41137" w14:textId="77777777" w:rsidTr="0047688D">
        <w:tc>
          <w:tcPr>
            <w:tcW w:w="0" w:type="auto"/>
            <w:shd w:val="clear" w:color="auto" w:fill="auto"/>
          </w:tcPr>
          <w:p w14:paraId="554FE669" w14:textId="77777777" w:rsidR="008C5CFA" w:rsidRPr="001C4484" w:rsidRDefault="00E82A60" w:rsidP="00300A01">
            <w:pPr>
              <w:spacing w:before="0" w:after="0"/>
              <w:rPr>
                <w:sz w:val="10"/>
                <w:szCs w:val="10"/>
              </w:rPr>
            </w:pPr>
            <w:r w:rsidRPr="001C4484">
              <w:rPr>
                <w:b/>
                <w:noProof/>
                <w:sz w:val="12"/>
                <w:szCs w:val="12"/>
                <w:lang w:val="fr-BE"/>
              </w:rPr>
              <w:t>ID</w:t>
            </w:r>
          </w:p>
        </w:tc>
        <w:tc>
          <w:tcPr>
            <w:tcW w:w="0" w:type="auto"/>
            <w:shd w:val="clear" w:color="auto" w:fill="auto"/>
          </w:tcPr>
          <w:p w14:paraId="754721CF" w14:textId="77777777" w:rsidR="008C5CFA" w:rsidRPr="001C4484" w:rsidRDefault="00E82A60" w:rsidP="00300A01">
            <w:pPr>
              <w:spacing w:before="0" w:after="0"/>
              <w:rPr>
                <w:sz w:val="10"/>
                <w:szCs w:val="10"/>
              </w:rPr>
            </w:pPr>
            <w:r w:rsidRPr="001C4484">
              <w:rPr>
                <w:b/>
                <w:noProof/>
                <w:sz w:val="12"/>
                <w:szCs w:val="12"/>
                <w:lang w:val="fr-BE"/>
              </w:rPr>
              <w:t>Wskaźnik</w:t>
            </w:r>
          </w:p>
        </w:tc>
        <w:tc>
          <w:tcPr>
            <w:tcW w:w="0" w:type="auto"/>
            <w:shd w:val="clear" w:color="auto" w:fill="auto"/>
          </w:tcPr>
          <w:p w14:paraId="44E8EFF8" w14:textId="77777777" w:rsidR="008C5CFA" w:rsidRPr="001C4484" w:rsidRDefault="00E82A60" w:rsidP="00300A01">
            <w:pPr>
              <w:spacing w:before="0" w:after="0"/>
              <w:rPr>
                <w:sz w:val="10"/>
                <w:szCs w:val="10"/>
              </w:rPr>
            </w:pPr>
            <w:r w:rsidRPr="001C4484">
              <w:rPr>
                <w:b/>
                <w:noProof/>
                <w:sz w:val="12"/>
                <w:szCs w:val="12"/>
                <w:lang w:val="fr-BE"/>
              </w:rPr>
              <w:t>Kategoria regionu</w:t>
            </w:r>
          </w:p>
        </w:tc>
        <w:tc>
          <w:tcPr>
            <w:tcW w:w="0" w:type="auto"/>
            <w:gridSpan w:val="3"/>
          </w:tcPr>
          <w:p w14:paraId="374ADAFB" w14:textId="77777777" w:rsidR="008C5CFA" w:rsidRPr="001C4484" w:rsidRDefault="00E82A60" w:rsidP="00300A01">
            <w:pPr>
              <w:spacing w:before="0" w:after="0"/>
              <w:jc w:val="center"/>
              <w:rPr>
                <w:sz w:val="10"/>
                <w:szCs w:val="10"/>
              </w:rPr>
            </w:pPr>
            <w:r w:rsidRPr="001C4484">
              <w:rPr>
                <w:sz w:val="10"/>
                <w:szCs w:val="10"/>
              </w:rPr>
              <w:t>2018</w:t>
            </w:r>
          </w:p>
        </w:tc>
        <w:tc>
          <w:tcPr>
            <w:tcW w:w="0" w:type="auto"/>
            <w:gridSpan w:val="3"/>
          </w:tcPr>
          <w:p w14:paraId="4DBF9983" w14:textId="77777777" w:rsidR="008C5CFA" w:rsidRPr="001C4484" w:rsidRDefault="00E82A60" w:rsidP="00300A01">
            <w:pPr>
              <w:spacing w:before="0" w:after="0"/>
              <w:jc w:val="center"/>
              <w:rPr>
                <w:sz w:val="10"/>
                <w:szCs w:val="10"/>
              </w:rPr>
            </w:pPr>
            <w:r w:rsidRPr="001C4484">
              <w:rPr>
                <w:sz w:val="10"/>
                <w:szCs w:val="10"/>
              </w:rPr>
              <w:t>2017</w:t>
            </w:r>
          </w:p>
        </w:tc>
        <w:tc>
          <w:tcPr>
            <w:tcW w:w="0" w:type="auto"/>
            <w:gridSpan w:val="3"/>
          </w:tcPr>
          <w:p w14:paraId="4A71179F" w14:textId="77777777" w:rsidR="008C5CFA" w:rsidRPr="001C4484" w:rsidRDefault="00E82A60" w:rsidP="00300A01">
            <w:pPr>
              <w:spacing w:before="0" w:after="0"/>
              <w:jc w:val="center"/>
              <w:rPr>
                <w:sz w:val="10"/>
                <w:szCs w:val="10"/>
              </w:rPr>
            </w:pPr>
            <w:r w:rsidRPr="001C4484">
              <w:rPr>
                <w:sz w:val="10"/>
                <w:szCs w:val="10"/>
              </w:rPr>
              <w:t>2016</w:t>
            </w:r>
          </w:p>
        </w:tc>
      </w:tr>
      <w:tr w:rsidR="006B2EC1" w14:paraId="56B48271" w14:textId="77777777" w:rsidTr="0047688D">
        <w:tc>
          <w:tcPr>
            <w:tcW w:w="0" w:type="auto"/>
            <w:shd w:val="clear" w:color="auto" w:fill="auto"/>
          </w:tcPr>
          <w:p w14:paraId="04355EC0" w14:textId="77777777" w:rsidR="008C5CFA" w:rsidRPr="001C4484" w:rsidRDefault="008C5CFA" w:rsidP="00300A01">
            <w:pPr>
              <w:spacing w:before="0" w:after="0"/>
              <w:rPr>
                <w:sz w:val="10"/>
                <w:szCs w:val="10"/>
              </w:rPr>
            </w:pPr>
          </w:p>
        </w:tc>
        <w:tc>
          <w:tcPr>
            <w:tcW w:w="0" w:type="auto"/>
            <w:shd w:val="clear" w:color="auto" w:fill="auto"/>
          </w:tcPr>
          <w:p w14:paraId="0E80914B" w14:textId="77777777" w:rsidR="008C5CFA" w:rsidRPr="001C4484" w:rsidRDefault="008C5CFA" w:rsidP="00300A01">
            <w:pPr>
              <w:spacing w:before="0" w:after="0"/>
              <w:rPr>
                <w:sz w:val="10"/>
                <w:szCs w:val="10"/>
              </w:rPr>
            </w:pPr>
          </w:p>
        </w:tc>
        <w:tc>
          <w:tcPr>
            <w:tcW w:w="0" w:type="auto"/>
            <w:shd w:val="clear" w:color="auto" w:fill="auto"/>
          </w:tcPr>
          <w:p w14:paraId="75529DCB" w14:textId="77777777" w:rsidR="008C5CFA" w:rsidRPr="001C4484" w:rsidRDefault="008C5CFA" w:rsidP="00300A01">
            <w:pPr>
              <w:spacing w:before="0" w:after="0"/>
              <w:rPr>
                <w:sz w:val="10"/>
                <w:szCs w:val="10"/>
              </w:rPr>
            </w:pPr>
          </w:p>
        </w:tc>
        <w:tc>
          <w:tcPr>
            <w:tcW w:w="0" w:type="auto"/>
          </w:tcPr>
          <w:p w14:paraId="7D7C73BF" w14:textId="77777777" w:rsidR="008C5CFA" w:rsidRPr="001C4484" w:rsidRDefault="00E82A60" w:rsidP="00300A01">
            <w:pPr>
              <w:spacing w:before="0" w:after="0"/>
              <w:jc w:val="center"/>
              <w:rPr>
                <w:sz w:val="10"/>
                <w:szCs w:val="10"/>
              </w:rPr>
            </w:pPr>
            <w:r>
              <w:rPr>
                <w:noProof/>
                <w:sz w:val="10"/>
                <w:szCs w:val="10"/>
              </w:rPr>
              <w:t>Ogółem</w:t>
            </w:r>
          </w:p>
        </w:tc>
        <w:tc>
          <w:tcPr>
            <w:tcW w:w="0" w:type="auto"/>
            <w:shd w:val="clear" w:color="auto" w:fill="auto"/>
          </w:tcPr>
          <w:p w14:paraId="2A716218" w14:textId="77777777" w:rsidR="008C5CFA" w:rsidRPr="001C4484" w:rsidRDefault="00E82A60" w:rsidP="00300A01">
            <w:pPr>
              <w:spacing w:before="0" w:after="0"/>
              <w:jc w:val="center"/>
              <w:rPr>
                <w:sz w:val="10"/>
                <w:szCs w:val="10"/>
              </w:rPr>
            </w:pPr>
            <w:r w:rsidRPr="001C4484">
              <w:rPr>
                <w:noProof/>
                <w:sz w:val="10"/>
                <w:szCs w:val="10"/>
              </w:rPr>
              <w:t>Mężczyźni</w:t>
            </w:r>
          </w:p>
        </w:tc>
        <w:tc>
          <w:tcPr>
            <w:tcW w:w="0" w:type="auto"/>
            <w:shd w:val="clear" w:color="auto" w:fill="auto"/>
          </w:tcPr>
          <w:p w14:paraId="5ACD085C" w14:textId="77777777" w:rsidR="008C5CFA" w:rsidRPr="001C4484" w:rsidRDefault="00E82A60" w:rsidP="00300A01">
            <w:pPr>
              <w:spacing w:before="0" w:after="0"/>
              <w:jc w:val="center"/>
              <w:rPr>
                <w:sz w:val="10"/>
                <w:szCs w:val="10"/>
              </w:rPr>
            </w:pPr>
            <w:r w:rsidRPr="001C4484">
              <w:rPr>
                <w:noProof/>
                <w:sz w:val="10"/>
                <w:szCs w:val="10"/>
              </w:rPr>
              <w:t>Kobiety</w:t>
            </w:r>
          </w:p>
        </w:tc>
        <w:tc>
          <w:tcPr>
            <w:tcW w:w="0" w:type="auto"/>
          </w:tcPr>
          <w:p w14:paraId="06C6A2DE" w14:textId="77777777" w:rsidR="008C5CFA" w:rsidRPr="001C4484" w:rsidRDefault="00E82A60" w:rsidP="00300A01">
            <w:pPr>
              <w:spacing w:before="0" w:after="0"/>
              <w:jc w:val="center"/>
              <w:rPr>
                <w:sz w:val="10"/>
                <w:szCs w:val="10"/>
              </w:rPr>
            </w:pPr>
            <w:r>
              <w:rPr>
                <w:noProof/>
                <w:sz w:val="10"/>
                <w:szCs w:val="10"/>
              </w:rPr>
              <w:t>Ogółem</w:t>
            </w:r>
          </w:p>
        </w:tc>
        <w:tc>
          <w:tcPr>
            <w:tcW w:w="0" w:type="auto"/>
            <w:shd w:val="clear" w:color="auto" w:fill="auto"/>
          </w:tcPr>
          <w:p w14:paraId="0D62D247" w14:textId="77777777" w:rsidR="008C5CFA" w:rsidRPr="001C4484" w:rsidRDefault="00E82A60" w:rsidP="00300A01">
            <w:pPr>
              <w:spacing w:before="0" w:after="0"/>
              <w:jc w:val="center"/>
              <w:rPr>
                <w:sz w:val="10"/>
                <w:szCs w:val="10"/>
              </w:rPr>
            </w:pPr>
            <w:r w:rsidRPr="001C4484">
              <w:rPr>
                <w:noProof/>
                <w:sz w:val="10"/>
                <w:szCs w:val="10"/>
              </w:rPr>
              <w:t>Mężczyźni</w:t>
            </w:r>
          </w:p>
        </w:tc>
        <w:tc>
          <w:tcPr>
            <w:tcW w:w="0" w:type="auto"/>
            <w:shd w:val="clear" w:color="auto" w:fill="auto"/>
          </w:tcPr>
          <w:p w14:paraId="2329A70A" w14:textId="77777777" w:rsidR="008C5CFA" w:rsidRPr="001C4484" w:rsidRDefault="00E82A60" w:rsidP="00300A01">
            <w:pPr>
              <w:spacing w:before="0" w:after="0"/>
              <w:jc w:val="center"/>
              <w:rPr>
                <w:sz w:val="10"/>
                <w:szCs w:val="10"/>
              </w:rPr>
            </w:pPr>
            <w:r w:rsidRPr="001C4484">
              <w:rPr>
                <w:noProof/>
                <w:sz w:val="10"/>
                <w:szCs w:val="10"/>
              </w:rPr>
              <w:t>Kobiety</w:t>
            </w:r>
          </w:p>
        </w:tc>
        <w:tc>
          <w:tcPr>
            <w:tcW w:w="0" w:type="auto"/>
          </w:tcPr>
          <w:p w14:paraId="0FF9FBC9" w14:textId="77777777" w:rsidR="008C5CFA" w:rsidRPr="001C4484" w:rsidRDefault="00E82A60" w:rsidP="00300A01">
            <w:pPr>
              <w:spacing w:before="0" w:after="0"/>
              <w:jc w:val="center"/>
              <w:rPr>
                <w:sz w:val="10"/>
                <w:szCs w:val="10"/>
              </w:rPr>
            </w:pPr>
            <w:r>
              <w:rPr>
                <w:noProof/>
                <w:sz w:val="10"/>
                <w:szCs w:val="10"/>
              </w:rPr>
              <w:t>Ogółem</w:t>
            </w:r>
          </w:p>
        </w:tc>
        <w:tc>
          <w:tcPr>
            <w:tcW w:w="0" w:type="auto"/>
            <w:shd w:val="clear" w:color="auto" w:fill="auto"/>
          </w:tcPr>
          <w:p w14:paraId="043CF6A2" w14:textId="77777777" w:rsidR="008C5CFA" w:rsidRPr="001C4484" w:rsidRDefault="00E82A60" w:rsidP="00300A01">
            <w:pPr>
              <w:spacing w:before="0" w:after="0"/>
              <w:jc w:val="center"/>
              <w:rPr>
                <w:sz w:val="10"/>
                <w:szCs w:val="10"/>
              </w:rPr>
            </w:pPr>
            <w:r w:rsidRPr="001C4484">
              <w:rPr>
                <w:noProof/>
                <w:sz w:val="10"/>
                <w:szCs w:val="10"/>
              </w:rPr>
              <w:t>Mężczyźni</w:t>
            </w:r>
          </w:p>
        </w:tc>
        <w:tc>
          <w:tcPr>
            <w:tcW w:w="0" w:type="auto"/>
            <w:shd w:val="clear" w:color="auto" w:fill="auto"/>
          </w:tcPr>
          <w:p w14:paraId="31CE6990" w14:textId="77777777" w:rsidR="008C5CFA" w:rsidRPr="001C4484" w:rsidRDefault="00E82A60" w:rsidP="00300A01">
            <w:pPr>
              <w:spacing w:before="0" w:after="0"/>
              <w:jc w:val="center"/>
              <w:rPr>
                <w:sz w:val="10"/>
                <w:szCs w:val="10"/>
              </w:rPr>
            </w:pPr>
            <w:r w:rsidRPr="001C4484">
              <w:rPr>
                <w:noProof/>
                <w:sz w:val="10"/>
                <w:szCs w:val="10"/>
              </w:rPr>
              <w:t>Kobiety</w:t>
            </w:r>
          </w:p>
        </w:tc>
      </w:tr>
      <w:tr w:rsidR="006B2EC1" w14:paraId="08D4F0B2" w14:textId="77777777" w:rsidTr="0047688D">
        <w:tc>
          <w:tcPr>
            <w:tcW w:w="0" w:type="auto"/>
            <w:shd w:val="clear" w:color="auto" w:fill="auto"/>
          </w:tcPr>
          <w:p w14:paraId="65FD0DAD" w14:textId="77777777" w:rsidR="008C5CFA" w:rsidRPr="001C4484" w:rsidRDefault="00E82A60" w:rsidP="00300A01">
            <w:pPr>
              <w:spacing w:before="0" w:after="0"/>
              <w:rPr>
                <w:sz w:val="10"/>
                <w:szCs w:val="10"/>
                <w:lang w:val="fr-BE"/>
              </w:rPr>
            </w:pPr>
            <w:r w:rsidRPr="001C4484">
              <w:rPr>
                <w:noProof/>
                <w:sz w:val="10"/>
                <w:szCs w:val="10"/>
                <w:lang w:val="fr-BE"/>
              </w:rPr>
              <w:t>CO01</w:t>
            </w:r>
          </w:p>
        </w:tc>
        <w:tc>
          <w:tcPr>
            <w:tcW w:w="0" w:type="auto"/>
            <w:shd w:val="clear" w:color="auto" w:fill="auto"/>
          </w:tcPr>
          <w:p w14:paraId="3802A3E1" w14:textId="77777777" w:rsidR="008C5CFA" w:rsidRPr="001C4484" w:rsidRDefault="00E82A60" w:rsidP="00300A01">
            <w:pPr>
              <w:spacing w:before="0" w:after="0"/>
              <w:rPr>
                <w:sz w:val="10"/>
                <w:szCs w:val="10"/>
                <w:lang w:val="fr-BE"/>
              </w:rPr>
            </w:pPr>
            <w:r w:rsidRPr="001C4484">
              <w:rPr>
                <w:noProof/>
                <w:sz w:val="10"/>
                <w:szCs w:val="10"/>
                <w:lang w:val="fr-BE"/>
              </w:rPr>
              <w:t>bezrobotni, w tym długotrwale bezrobotni</w:t>
            </w:r>
          </w:p>
        </w:tc>
        <w:tc>
          <w:tcPr>
            <w:tcW w:w="0" w:type="auto"/>
            <w:shd w:val="clear" w:color="auto" w:fill="auto"/>
          </w:tcPr>
          <w:p w14:paraId="5855B625"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6B398740"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19068BFA"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2B34B4B0" w14:textId="77777777" w:rsidR="008C5CFA" w:rsidRPr="001C4484" w:rsidRDefault="00E82A60" w:rsidP="00300A01">
            <w:pPr>
              <w:spacing w:before="0" w:after="0"/>
              <w:jc w:val="right"/>
              <w:rPr>
                <w:sz w:val="10"/>
                <w:szCs w:val="10"/>
                <w:lang w:val="fr-BE"/>
              </w:rPr>
            </w:pPr>
            <w:r w:rsidRPr="001C4484">
              <w:rPr>
                <w:noProof/>
                <w:sz w:val="10"/>
                <w:szCs w:val="10"/>
              </w:rPr>
              <w:t>0,00</w:t>
            </w:r>
          </w:p>
        </w:tc>
        <w:tc>
          <w:tcPr>
            <w:tcW w:w="0" w:type="auto"/>
          </w:tcPr>
          <w:p w14:paraId="200486A0"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68AD74ED"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616B88E7" w14:textId="77777777" w:rsidR="008C5CFA" w:rsidRPr="001C4484" w:rsidRDefault="00E82A60" w:rsidP="00300A01">
            <w:pPr>
              <w:spacing w:before="0" w:after="0"/>
              <w:jc w:val="right"/>
              <w:rPr>
                <w:sz w:val="10"/>
                <w:szCs w:val="10"/>
                <w:lang w:val="fr-BE"/>
              </w:rPr>
            </w:pPr>
            <w:r w:rsidRPr="001C4484">
              <w:rPr>
                <w:noProof/>
                <w:sz w:val="10"/>
                <w:szCs w:val="10"/>
              </w:rPr>
              <w:t>0,00</w:t>
            </w:r>
          </w:p>
        </w:tc>
        <w:tc>
          <w:tcPr>
            <w:tcW w:w="0" w:type="auto"/>
          </w:tcPr>
          <w:p w14:paraId="756FF9D4"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63D03A24"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4653684B" w14:textId="77777777" w:rsidR="008C5CFA" w:rsidRPr="001C4484" w:rsidRDefault="00E82A60" w:rsidP="00300A01">
            <w:pPr>
              <w:spacing w:before="0" w:after="0"/>
              <w:jc w:val="right"/>
              <w:rPr>
                <w:sz w:val="10"/>
                <w:szCs w:val="10"/>
                <w:lang w:val="fr-BE"/>
              </w:rPr>
            </w:pPr>
            <w:r w:rsidRPr="001C4484">
              <w:rPr>
                <w:noProof/>
                <w:sz w:val="10"/>
                <w:szCs w:val="10"/>
              </w:rPr>
              <w:t>0,00</w:t>
            </w:r>
          </w:p>
        </w:tc>
      </w:tr>
      <w:tr w:rsidR="006B2EC1" w14:paraId="004664C4" w14:textId="77777777" w:rsidTr="0047688D">
        <w:tc>
          <w:tcPr>
            <w:tcW w:w="0" w:type="auto"/>
            <w:shd w:val="clear" w:color="auto" w:fill="auto"/>
          </w:tcPr>
          <w:p w14:paraId="6C22A245" w14:textId="77777777" w:rsidR="008C5CFA" w:rsidRPr="001C4484" w:rsidRDefault="00E82A60" w:rsidP="00300A01">
            <w:pPr>
              <w:spacing w:before="0" w:after="0"/>
              <w:rPr>
                <w:sz w:val="10"/>
                <w:szCs w:val="10"/>
                <w:lang w:val="fr-BE"/>
              </w:rPr>
            </w:pPr>
            <w:r w:rsidRPr="001C4484">
              <w:rPr>
                <w:noProof/>
                <w:sz w:val="10"/>
                <w:szCs w:val="10"/>
                <w:lang w:val="fr-BE"/>
              </w:rPr>
              <w:t>CO02</w:t>
            </w:r>
          </w:p>
        </w:tc>
        <w:tc>
          <w:tcPr>
            <w:tcW w:w="0" w:type="auto"/>
            <w:shd w:val="clear" w:color="auto" w:fill="auto"/>
          </w:tcPr>
          <w:p w14:paraId="07B82775" w14:textId="77777777" w:rsidR="008C5CFA" w:rsidRPr="001C4484" w:rsidRDefault="00E82A60" w:rsidP="00300A01">
            <w:pPr>
              <w:spacing w:before="0" w:after="0"/>
              <w:rPr>
                <w:sz w:val="10"/>
                <w:szCs w:val="10"/>
                <w:lang w:val="fr-BE"/>
              </w:rPr>
            </w:pPr>
            <w:r w:rsidRPr="001C4484">
              <w:rPr>
                <w:noProof/>
                <w:sz w:val="10"/>
                <w:szCs w:val="10"/>
                <w:lang w:val="fr-BE"/>
              </w:rPr>
              <w:t>długotrwale bezrobotni</w:t>
            </w:r>
          </w:p>
        </w:tc>
        <w:tc>
          <w:tcPr>
            <w:tcW w:w="0" w:type="auto"/>
            <w:shd w:val="clear" w:color="auto" w:fill="auto"/>
          </w:tcPr>
          <w:p w14:paraId="3ECE66AE"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0F45FD60"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0B160F64"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685915B0" w14:textId="77777777" w:rsidR="008C5CFA" w:rsidRPr="001C4484" w:rsidRDefault="00E82A60" w:rsidP="00300A01">
            <w:pPr>
              <w:spacing w:before="0" w:after="0"/>
              <w:jc w:val="right"/>
              <w:rPr>
                <w:sz w:val="10"/>
                <w:szCs w:val="10"/>
                <w:lang w:val="fr-BE"/>
              </w:rPr>
            </w:pPr>
            <w:r w:rsidRPr="001C4484">
              <w:rPr>
                <w:noProof/>
                <w:sz w:val="10"/>
                <w:szCs w:val="10"/>
              </w:rPr>
              <w:t>0,00</w:t>
            </w:r>
          </w:p>
        </w:tc>
        <w:tc>
          <w:tcPr>
            <w:tcW w:w="0" w:type="auto"/>
          </w:tcPr>
          <w:p w14:paraId="3CA20124"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2E1293C0"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19BB0624" w14:textId="77777777" w:rsidR="008C5CFA" w:rsidRPr="001C4484" w:rsidRDefault="00E82A60" w:rsidP="00300A01">
            <w:pPr>
              <w:spacing w:before="0" w:after="0"/>
              <w:jc w:val="right"/>
              <w:rPr>
                <w:sz w:val="10"/>
                <w:szCs w:val="10"/>
                <w:lang w:val="fr-BE"/>
              </w:rPr>
            </w:pPr>
            <w:r w:rsidRPr="001C4484">
              <w:rPr>
                <w:noProof/>
                <w:sz w:val="10"/>
                <w:szCs w:val="10"/>
              </w:rPr>
              <w:t>0,00</w:t>
            </w:r>
          </w:p>
        </w:tc>
        <w:tc>
          <w:tcPr>
            <w:tcW w:w="0" w:type="auto"/>
          </w:tcPr>
          <w:p w14:paraId="36E7614E"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658CB916"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62A57355" w14:textId="77777777" w:rsidR="008C5CFA" w:rsidRPr="001C4484" w:rsidRDefault="00E82A60" w:rsidP="00300A01">
            <w:pPr>
              <w:spacing w:before="0" w:after="0"/>
              <w:jc w:val="right"/>
              <w:rPr>
                <w:sz w:val="10"/>
                <w:szCs w:val="10"/>
                <w:lang w:val="fr-BE"/>
              </w:rPr>
            </w:pPr>
            <w:r w:rsidRPr="001C4484">
              <w:rPr>
                <w:noProof/>
                <w:sz w:val="10"/>
                <w:szCs w:val="10"/>
              </w:rPr>
              <w:t>0,00</w:t>
            </w:r>
          </w:p>
        </w:tc>
      </w:tr>
      <w:tr w:rsidR="006B2EC1" w14:paraId="11A18B32" w14:textId="77777777" w:rsidTr="0047688D">
        <w:tc>
          <w:tcPr>
            <w:tcW w:w="0" w:type="auto"/>
            <w:shd w:val="clear" w:color="auto" w:fill="auto"/>
          </w:tcPr>
          <w:p w14:paraId="2794615C" w14:textId="77777777" w:rsidR="008C5CFA" w:rsidRPr="001C4484" w:rsidRDefault="00E82A60" w:rsidP="00300A01">
            <w:pPr>
              <w:spacing w:before="0" w:after="0"/>
              <w:rPr>
                <w:sz w:val="10"/>
                <w:szCs w:val="10"/>
                <w:lang w:val="fr-BE"/>
              </w:rPr>
            </w:pPr>
            <w:r w:rsidRPr="001C4484">
              <w:rPr>
                <w:noProof/>
                <w:sz w:val="10"/>
                <w:szCs w:val="10"/>
                <w:lang w:val="fr-BE"/>
              </w:rPr>
              <w:t>CO03</w:t>
            </w:r>
          </w:p>
        </w:tc>
        <w:tc>
          <w:tcPr>
            <w:tcW w:w="0" w:type="auto"/>
            <w:shd w:val="clear" w:color="auto" w:fill="auto"/>
          </w:tcPr>
          <w:p w14:paraId="0267DC12" w14:textId="77777777" w:rsidR="008C5CFA" w:rsidRPr="001C4484" w:rsidRDefault="00E82A60" w:rsidP="00300A01">
            <w:pPr>
              <w:spacing w:before="0" w:after="0"/>
              <w:rPr>
                <w:sz w:val="10"/>
                <w:szCs w:val="10"/>
                <w:lang w:val="fr-BE"/>
              </w:rPr>
            </w:pPr>
            <w:r w:rsidRPr="001C4484">
              <w:rPr>
                <w:noProof/>
                <w:sz w:val="10"/>
                <w:szCs w:val="10"/>
                <w:lang w:val="fr-BE"/>
              </w:rPr>
              <w:t>osoby bierne zawodowo</w:t>
            </w:r>
          </w:p>
        </w:tc>
        <w:tc>
          <w:tcPr>
            <w:tcW w:w="0" w:type="auto"/>
            <w:shd w:val="clear" w:color="auto" w:fill="auto"/>
          </w:tcPr>
          <w:p w14:paraId="657251A3"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6DB2D5C5"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00BFEB91"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5DBCDD09" w14:textId="77777777" w:rsidR="008C5CFA" w:rsidRPr="001C4484" w:rsidRDefault="00E82A60" w:rsidP="00300A01">
            <w:pPr>
              <w:spacing w:before="0" w:after="0"/>
              <w:jc w:val="right"/>
              <w:rPr>
                <w:sz w:val="10"/>
                <w:szCs w:val="10"/>
                <w:lang w:val="fr-BE"/>
              </w:rPr>
            </w:pPr>
            <w:r w:rsidRPr="001C4484">
              <w:rPr>
                <w:noProof/>
                <w:sz w:val="10"/>
                <w:szCs w:val="10"/>
              </w:rPr>
              <w:t>0,00</w:t>
            </w:r>
          </w:p>
        </w:tc>
        <w:tc>
          <w:tcPr>
            <w:tcW w:w="0" w:type="auto"/>
          </w:tcPr>
          <w:p w14:paraId="3178876D"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77F027C7"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5332EC90" w14:textId="77777777" w:rsidR="008C5CFA" w:rsidRPr="001C4484" w:rsidRDefault="00E82A60" w:rsidP="00300A01">
            <w:pPr>
              <w:spacing w:before="0" w:after="0"/>
              <w:jc w:val="right"/>
              <w:rPr>
                <w:sz w:val="10"/>
                <w:szCs w:val="10"/>
                <w:lang w:val="fr-BE"/>
              </w:rPr>
            </w:pPr>
            <w:r w:rsidRPr="001C4484">
              <w:rPr>
                <w:noProof/>
                <w:sz w:val="10"/>
                <w:szCs w:val="10"/>
              </w:rPr>
              <w:t>0,00</w:t>
            </w:r>
          </w:p>
        </w:tc>
        <w:tc>
          <w:tcPr>
            <w:tcW w:w="0" w:type="auto"/>
          </w:tcPr>
          <w:p w14:paraId="63AA201C"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109EBD2C"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34CC0326" w14:textId="77777777" w:rsidR="008C5CFA" w:rsidRPr="001C4484" w:rsidRDefault="00E82A60" w:rsidP="00300A01">
            <w:pPr>
              <w:spacing w:before="0" w:after="0"/>
              <w:jc w:val="right"/>
              <w:rPr>
                <w:sz w:val="10"/>
                <w:szCs w:val="10"/>
                <w:lang w:val="fr-BE"/>
              </w:rPr>
            </w:pPr>
            <w:r w:rsidRPr="001C4484">
              <w:rPr>
                <w:noProof/>
                <w:sz w:val="10"/>
                <w:szCs w:val="10"/>
              </w:rPr>
              <w:t>0,00</w:t>
            </w:r>
          </w:p>
        </w:tc>
      </w:tr>
      <w:tr w:rsidR="006B2EC1" w14:paraId="5962E6E2" w14:textId="77777777" w:rsidTr="0047688D">
        <w:tc>
          <w:tcPr>
            <w:tcW w:w="0" w:type="auto"/>
            <w:shd w:val="clear" w:color="auto" w:fill="auto"/>
          </w:tcPr>
          <w:p w14:paraId="7D65AE17" w14:textId="77777777" w:rsidR="008C5CFA" w:rsidRPr="001C4484" w:rsidRDefault="00E82A60" w:rsidP="00300A01">
            <w:pPr>
              <w:spacing w:before="0" w:after="0"/>
              <w:rPr>
                <w:sz w:val="10"/>
                <w:szCs w:val="10"/>
                <w:lang w:val="fr-BE"/>
              </w:rPr>
            </w:pPr>
            <w:r w:rsidRPr="001C4484">
              <w:rPr>
                <w:noProof/>
                <w:sz w:val="10"/>
                <w:szCs w:val="10"/>
                <w:lang w:val="fr-BE"/>
              </w:rPr>
              <w:t>CO04</w:t>
            </w:r>
          </w:p>
        </w:tc>
        <w:tc>
          <w:tcPr>
            <w:tcW w:w="0" w:type="auto"/>
            <w:shd w:val="clear" w:color="auto" w:fill="auto"/>
          </w:tcPr>
          <w:p w14:paraId="40D499A6" w14:textId="77777777" w:rsidR="008C5CFA" w:rsidRPr="001C4484" w:rsidRDefault="00E82A60" w:rsidP="00300A01">
            <w:pPr>
              <w:spacing w:before="0" w:after="0"/>
              <w:rPr>
                <w:sz w:val="10"/>
                <w:szCs w:val="10"/>
                <w:lang w:val="fr-BE"/>
              </w:rPr>
            </w:pPr>
            <w:r w:rsidRPr="001C4484">
              <w:rPr>
                <w:noProof/>
                <w:sz w:val="10"/>
                <w:szCs w:val="10"/>
                <w:lang w:val="fr-BE"/>
              </w:rPr>
              <w:t>osoby bierne zawodowo, nieuczestniczące w kształceniu ani szkoleniu</w:t>
            </w:r>
          </w:p>
        </w:tc>
        <w:tc>
          <w:tcPr>
            <w:tcW w:w="0" w:type="auto"/>
            <w:shd w:val="clear" w:color="auto" w:fill="auto"/>
          </w:tcPr>
          <w:p w14:paraId="3717415C"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123327EA"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4F8EE60B"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381C0A04" w14:textId="77777777" w:rsidR="008C5CFA" w:rsidRPr="001C4484" w:rsidRDefault="00E82A60" w:rsidP="00300A01">
            <w:pPr>
              <w:spacing w:before="0" w:after="0"/>
              <w:jc w:val="right"/>
              <w:rPr>
                <w:sz w:val="10"/>
                <w:szCs w:val="10"/>
                <w:lang w:val="fr-BE"/>
              </w:rPr>
            </w:pPr>
            <w:r w:rsidRPr="001C4484">
              <w:rPr>
                <w:noProof/>
                <w:sz w:val="10"/>
                <w:szCs w:val="10"/>
              </w:rPr>
              <w:t>0,00</w:t>
            </w:r>
          </w:p>
        </w:tc>
        <w:tc>
          <w:tcPr>
            <w:tcW w:w="0" w:type="auto"/>
          </w:tcPr>
          <w:p w14:paraId="26B90303"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22B54F7A"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20B6B671" w14:textId="77777777" w:rsidR="008C5CFA" w:rsidRPr="001C4484" w:rsidRDefault="00E82A60" w:rsidP="00300A01">
            <w:pPr>
              <w:spacing w:before="0" w:after="0"/>
              <w:jc w:val="right"/>
              <w:rPr>
                <w:sz w:val="10"/>
                <w:szCs w:val="10"/>
                <w:lang w:val="fr-BE"/>
              </w:rPr>
            </w:pPr>
            <w:r w:rsidRPr="001C4484">
              <w:rPr>
                <w:noProof/>
                <w:sz w:val="10"/>
                <w:szCs w:val="10"/>
              </w:rPr>
              <w:t>0,00</w:t>
            </w:r>
          </w:p>
        </w:tc>
        <w:tc>
          <w:tcPr>
            <w:tcW w:w="0" w:type="auto"/>
          </w:tcPr>
          <w:p w14:paraId="1C81CC98"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3A9297E5"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24D9FA45" w14:textId="77777777" w:rsidR="008C5CFA" w:rsidRPr="001C4484" w:rsidRDefault="00E82A60" w:rsidP="00300A01">
            <w:pPr>
              <w:spacing w:before="0" w:after="0"/>
              <w:jc w:val="right"/>
              <w:rPr>
                <w:sz w:val="10"/>
                <w:szCs w:val="10"/>
                <w:lang w:val="fr-BE"/>
              </w:rPr>
            </w:pPr>
            <w:r w:rsidRPr="001C4484">
              <w:rPr>
                <w:noProof/>
                <w:sz w:val="10"/>
                <w:szCs w:val="10"/>
              </w:rPr>
              <w:t>0,00</w:t>
            </w:r>
          </w:p>
        </w:tc>
      </w:tr>
      <w:tr w:rsidR="006B2EC1" w14:paraId="4484CE55" w14:textId="77777777" w:rsidTr="0047688D">
        <w:tc>
          <w:tcPr>
            <w:tcW w:w="0" w:type="auto"/>
            <w:shd w:val="clear" w:color="auto" w:fill="auto"/>
          </w:tcPr>
          <w:p w14:paraId="42404052" w14:textId="77777777" w:rsidR="008C5CFA" w:rsidRPr="001C4484" w:rsidRDefault="00E82A60" w:rsidP="00300A01">
            <w:pPr>
              <w:spacing w:before="0" w:after="0"/>
              <w:rPr>
                <w:sz w:val="10"/>
                <w:szCs w:val="10"/>
                <w:lang w:val="fr-BE"/>
              </w:rPr>
            </w:pPr>
            <w:r w:rsidRPr="001C4484">
              <w:rPr>
                <w:noProof/>
                <w:sz w:val="10"/>
                <w:szCs w:val="10"/>
                <w:lang w:val="fr-BE"/>
              </w:rPr>
              <w:t>CO05</w:t>
            </w:r>
          </w:p>
        </w:tc>
        <w:tc>
          <w:tcPr>
            <w:tcW w:w="0" w:type="auto"/>
            <w:shd w:val="clear" w:color="auto" w:fill="auto"/>
          </w:tcPr>
          <w:p w14:paraId="35F069EC" w14:textId="77777777" w:rsidR="008C5CFA" w:rsidRPr="001C4484" w:rsidRDefault="00E82A60" w:rsidP="00300A01">
            <w:pPr>
              <w:spacing w:before="0" w:after="0"/>
              <w:rPr>
                <w:sz w:val="10"/>
                <w:szCs w:val="10"/>
                <w:lang w:val="fr-BE"/>
              </w:rPr>
            </w:pPr>
            <w:r w:rsidRPr="001C4484">
              <w:rPr>
                <w:noProof/>
                <w:sz w:val="10"/>
                <w:szCs w:val="10"/>
                <w:lang w:val="fr-BE"/>
              </w:rPr>
              <w:t>osoby pracujące, łącznie z prowadzącymi działalność na własny rachunek</w:t>
            </w:r>
          </w:p>
        </w:tc>
        <w:tc>
          <w:tcPr>
            <w:tcW w:w="0" w:type="auto"/>
            <w:shd w:val="clear" w:color="auto" w:fill="auto"/>
          </w:tcPr>
          <w:p w14:paraId="631C5E4C"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525A6219" w14:textId="77777777" w:rsidR="008C5CFA" w:rsidRPr="001C4484" w:rsidRDefault="00E82A60" w:rsidP="00300A01">
            <w:pPr>
              <w:spacing w:before="0" w:after="0"/>
              <w:jc w:val="right"/>
              <w:rPr>
                <w:sz w:val="10"/>
                <w:szCs w:val="10"/>
              </w:rPr>
            </w:pPr>
            <w:r>
              <w:rPr>
                <w:noProof/>
                <w:sz w:val="10"/>
                <w:szCs w:val="10"/>
              </w:rPr>
              <w:t>1 788,00</w:t>
            </w:r>
          </w:p>
        </w:tc>
        <w:tc>
          <w:tcPr>
            <w:tcW w:w="0" w:type="auto"/>
            <w:shd w:val="clear" w:color="auto" w:fill="auto"/>
          </w:tcPr>
          <w:p w14:paraId="707246C6" w14:textId="77777777" w:rsidR="008C5CFA" w:rsidRPr="001C4484" w:rsidRDefault="00E82A60" w:rsidP="00300A01">
            <w:pPr>
              <w:spacing w:before="0" w:after="0"/>
              <w:jc w:val="right"/>
              <w:rPr>
                <w:sz w:val="10"/>
                <w:szCs w:val="10"/>
              </w:rPr>
            </w:pPr>
            <w:r w:rsidRPr="001C4484">
              <w:rPr>
                <w:noProof/>
                <w:sz w:val="10"/>
                <w:szCs w:val="10"/>
              </w:rPr>
              <w:t>824,00</w:t>
            </w:r>
          </w:p>
        </w:tc>
        <w:tc>
          <w:tcPr>
            <w:tcW w:w="0" w:type="auto"/>
            <w:shd w:val="clear" w:color="auto" w:fill="auto"/>
          </w:tcPr>
          <w:p w14:paraId="6B121722" w14:textId="77777777" w:rsidR="008C5CFA" w:rsidRPr="001C4484" w:rsidRDefault="00E82A60" w:rsidP="00300A01">
            <w:pPr>
              <w:spacing w:before="0" w:after="0"/>
              <w:jc w:val="right"/>
              <w:rPr>
                <w:sz w:val="10"/>
                <w:szCs w:val="10"/>
                <w:lang w:val="fr-BE"/>
              </w:rPr>
            </w:pPr>
            <w:r w:rsidRPr="001C4484">
              <w:rPr>
                <w:noProof/>
                <w:sz w:val="10"/>
                <w:szCs w:val="10"/>
              </w:rPr>
              <w:t>964,00</w:t>
            </w:r>
          </w:p>
        </w:tc>
        <w:tc>
          <w:tcPr>
            <w:tcW w:w="0" w:type="auto"/>
          </w:tcPr>
          <w:p w14:paraId="300E6146" w14:textId="77777777" w:rsidR="008C5CFA" w:rsidRPr="001C4484" w:rsidRDefault="00E82A60" w:rsidP="00300A01">
            <w:pPr>
              <w:spacing w:before="0" w:after="0"/>
              <w:jc w:val="right"/>
              <w:rPr>
                <w:sz w:val="10"/>
                <w:szCs w:val="10"/>
              </w:rPr>
            </w:pPr>
            <w:r>
              <w:rPr>
                <w:noProof/>
                <w:sz w:val="10"/>
                <w:szCs w:val="10"/>
              </w:rPr>
              <w:t>679,00</w:t>
            </w:r>
          </w:p>
        </w:tc>
        <w:tc>
          <w:tcPr>
            <w:tcW w:w="0" w:type="auto"/>
            <w:shd w:val="clear" w:color="auto" w:fill="auto"/>
          </w:tcPr>
          <w:p w14:paraId="32B67FE4" w14:textId="77777777" w:rsidR="008C5CFA" w:rsidRPr="001C4484" w:rsidRDefault="00E82A60" w:rsidP="00300A01">
            <w:pPr>
              <w:spacing w:before="0" w:after="0"/>
              <w:jc w:val="right"/>
              <w:rPr>
                <w:sz w:val="10"/>
                <w:szCs w:val="10"/>
              </w:rPr>
            </w:pPr>
            <w:r w:rsidRPr="001C4484">
              <w:rPr>
                <w:noProof/>
                <w:sz w:val="10"/>
                <w:szCs w:val="10"/>
              </w:rPr>
              <w:t>327,00</w:t>
            </w:r>
          </w:p>
        </w:tc>
        <w:tc>
          <w:tcPr>
            <w:tcW w:w="0" w:type="auto"/>
            <w:shd w:val="clear" w:color="auto" w:fill="auto"/>
          </w:tcPr>
          <w:p w14:paraId="1E550FEB" w14:textId="77777777" w:rsidR="008C5CFA" w:rsidRPr="001C4484" w:rsidRDefault="00E82A60" w:rsidP="00300A01">
            <w:pPr>
              <w:spacing w:before="0" w:after="0"/>
              <w:jc w:val="right"/>
              <w:rPr>
                <w:sz w:val="10"/>
                <w:szCs w:val="10"/>
                <w:lang w:val="fr-BE"/>
              </w:rPr>
            </w:pPr>
            <w:r w:rsidRPr="001C4484">
              <w:rPr>
                <w:noProof/>
                <w:sz w:val="10"/>
                <w:szCs w:val="10"/>
              </w:rPr>
              <w:t>352,00</w:t>
            </w:r>
          </w:p>
        </w:tc>
        <w:tc>
          <w:tcPr>
            <w:tcW w:w="0" w:type="auto"/>
          </w:tcPr>
          <w:p w14:paraId="405065CA"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675DD1CB"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154649AA" w14:textId="77777777" w:rsidR="008C5CFA" w:rsidRPr="001C4484" w:rsidRDefault="00E82A60" w:rsidP="00300A01">
            <w:pPr>
              <w:spacing w:before="0" w:after="0"/>
              <w:jc w:val="right"/>
              <w:rPr>
                <w:sz w:val="10"/>
                <w:szCs w:val="10"/>
                <w:lang w:val="fr-BE"/>
              </w:rPr>
            </w:pPr>
            <w:r w:rsidRPr="001C4484">
              <w:rPr>
                <w:noProof/>
                <w:sz w:val="10"/>
                <w:szCs w:val="10"/>
              </w:rPr>
              <w:t>0,00</w:t>
            </w:r>
          </w:p>
        </w:tc>
      </w:tr>
      <w:tr w:rsidR="006B2EC1" w14:paraId="258B056E" w14:textId="77777777" w:rsidTr="0047688D">
        <w:tc>
          <w:tcPr>
            <w:tcW w:w="0" w:type="auto"/>
            <w:shd w:val="clear" w:color="auto" w:fill="auto"/>
          </w:tcPr>
          <w:p w14:paraId="35EC68F9" w14:textId="77777777" w:rsidR="008C5CFA" w:rsidRPr="001C4484" w:rsidRDefault="00E82A60" w:rsidP="00300A01">
            <w:pPr>
              <w:spacing w:before="0" w:after="0"/>
              <w:rPr>
                <w:sz w:val="10"/>
                <w:szCs w:val="10"/>
                <w:lang w:val="fr-BE"/>
              </w:rPr>
            </w:pPr>
            <w:r w:rsidRPr="001C4484">
              <w:rPr>
                <w:noProof/>
                <w:sz w:val="10"/>
                <w:szCs w:val="10"/>
                <w:lang w:val="fr-BE"/>
              </w:rPr>
              <w:t>CO06</w:t>
            </w:r>
          </w:p>
        </w:tc>
        <w:tc>
          <w:tcPr>
            <w:tcW w:w="0" w:type="auto"/>
            <w:shd w:val="clear" w:color="auto" w:fill="auto"/>
          </w:tcPr>
          <w:p w14:paraId="4983E6FB" w14:textId="77777777" w:rsidR="008C5CFA" w:rsidRPr="001C4484" w:rsidRDefault="00E82A60" w:rsidP="00300A01">
            <w:pPr>
              <w:spacing w:before="0" w:after="0"/>
              <w:rPr>
                <w:sz w:val="10"/>
                <w:szCs w:val="10"/>
                <w:lang w:val="fr-BE"/>
              </w:rPr>
            </w:pPr>
            <w:r w:rsidRPr="001C4484">
              <w:rPr>
                <w:noProof/>
                <w:sz w:val="10"/>
                <w:szCs w:val="10"/>
                <w:lang w:val="fr-BE"/>
              </w:rPr>
              <w:t>osoby w wieku poniżej 25 lat</w:t>
            </w:r>
          </w:p>
        </w:tc>
        <w:tc>
          <w:tcPr>
            <w:tcW w:w="0" w:type="auto"/>
            <w:shd w:val="clear" w:color="auto" w:fill="auto"/>
          </w:tcPr>
          <w:p w14:paraId="644112CF"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2F7B710F" w14:textId="77777777" w:rsidR="008C5CFA" w:rsidRPr="001C4484" w:rsidRDefault="00E82A60" w:rsidP="00300A01">
            <w:pPr>
              <w:spacing w:before="0" w:after="0"/>
              <w:jc w:val="right"/>
              <w:rPr>
                <w:sz w:val="10"/>
                <w:szCs w:val="10"/>
              </w:rPr>
            </w:pPr>
            <w:r>
              <w:rPr>
                <w:noProof/>
                <w:sz w:val="10"/>
                <w:szCs w:val="10"/>
              </w:rPr>
              <w:t>158,00</w:t>
            </w:r>
          </w:p>
        </w:tc>
        <w:tc>
          <w:tcPr>
            <w:tcW w:w="0" w:type="auto"/>
            <w:shd w:val="clear" w:color="auto" w:fill="auto"/>
          </w:tcPr>
          <w:p w14:paraId="2DAD0878" w14:textId="77777777" w:rsidR="008C5CFA" w:rsidRPr="001C4484" w:rsidRDefault="00E82A60" w:rsidP="00300A01">
            <w:pPr>
              <w:spacing w:before="0" w:after="0"/>
              <w:jc w:val="right"/>
              <w:rPr>
                <w:sz w:val="10"/>
                <w:szCs w:val="10"/>
              </w:rPr>
            </w:pPr>
            <w:r w:rsidRPr="001C4484">
              <w:rPr>
                <w:noProof/>
                <w:sz w:val="10"/>
                <w:szCs w:val="10"/>
              </w:rPr>
              <w:t>74,00</w:t>
            </w:r>
          </w:p>
        </w:tc>
        <w:tc>
          <w:tcPr>
            <w:tcW w:w="0" w:type="auto"/>
            <w:shd w:val="clear" w:color="auto" w:fill="auto"/>
          </w:tcPr>
          <w:p w14:paraId="622AAA06" w14:textId="77777777" w:rsidR="008C5CFA" w:rsidRPr="001C4484" w:rsidRDefault="00E82A60" w:rsidP="00300A01">
            <w:pPr>
              <w:spacing w:before="0" w:after="0"/>
              <w:jc w:val="right"/>
              <w:rPr>
                <w:sz w:val="10"/>
                <w:szCs w:val="10"/>
                <w:lang w:val="fr-BE"/>
              </w:rPr>
            </w:pPr>
            <w:r w:rsidRPr="001C4484">
              <w:rPr>
                <w:noProof/>
                <w:sz w:val="10"/>
                <w:szCs w:val="10"/>
              </w:rPr>
              <w:t>84,00</w:t>
            </w:r>
          </w:p>
        </w:tc>
        <w:tc>
          <w:tcPr>
            <w:tcW w:w="0" w:type="auto"/>
          </w:tcPr>
          <w:p w14:paraId="19C99E7E" w14:textId="77777777" w:rsidR="008C5CFA" w:rsidRPr="001C4484" w:rsidRDefault="00E82A60" w:rsidP="00300A01">
            <w:pPr>
              <w:spacing w:before="0" w:after="0"/>
              <w:jc w:val="right"/>
              <w:rPr>
                <w:sz w:val="10"/>
                <w:szCs w:val="10"/>
              </w:rPr>
            </w:pPr>
            <w:r>
              <w:rPr>
                <w:noProof/>
                <w:sz w:val="10"/>
                <w:szCs w:val="10"/>
              </w:rPr>
              <w:t>62,00</w:t>
            </w:r>
          </w:p>
        </w:tc>
        <w:tc>
          <w:tcPr>
            <w:tcW w:w="0" w:type="auto"/>
            <w:shd w:val="clear" w:color="auto" w:fill="auto"/>
          </w:tcPr>
          <w:p w14:paraId="66D21A58" w14:textId="77777777" w:rsidR="008C5CFA" w:rsidRPr="001C4484" w:rsidRDefault="00E82A60" w:rsidP="00300A01">
            <w:pPr>
              <w:spacing w:before="0" w:after="0"/>
              <w:jc w:val="right"/>
              <w:rPr>
                <w:sz w:val="10"/>
                <w:szCs w:val="10"/>
              </w:rPr>
            </w:pPr>
            <w:r w:rsidRPr="001C4484">
              <w:rPr>
                <w:noProof/>
                <w:sz w:val="10"/>
                <w:szCs w:val="10"/>
              </w:rPr>
              <w:t>39,00</w:t>
            </w:r>
          </w:p>
        </w:tc>
        <w:tc>
          <w:tcPr>
            <w:tcW w:w="0" w:type="auto"/>
            <w:shd w:val="clear" w:color="auto" w:fill="auto"/>
          </w:tcPr>
          <w:p w14:paraId="25498241" w14:textId="77777777" w:rsidR="008C5CFA" w:rsidRPr="001C4484" w:rsidRDefault="00E82A60" w:rsidP="00300A01">
            <w:pPr>
              <w:spacing w:before="0" w:after="0"/>
              <w:jc w:val="right"/>
              <w:rPr>
                <w:sz w:val="10"/>
                <w:szCs w:val="10"/>
                <w:lang w:val="fr-BE"/>
              </w:rPr>
            </w:pPr>
            <w:r w:rsidRPr="001C4484">
              <w:rPr>
                <w:noProof/>
                <w:sz w:val="10"/>
                <w:szCs w:val="10"/>
              </w:rPr>
              <w:t>23,00</w:t>
            </w:r>
          </w:p>
        </w:tc>
        <w:tc>
          <w:tcPr>
            <w:tcW w:w="0" w:type="auto"/>
          </w:tcPr>
          <w:p w14:paraId="1016BAC1"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530727FF"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54965015" w14:textId="77777777" w:rsidR="008C5CFA" w:rsidRPr="001C4484" w:rsidRDefault="00E82A60" w:rsidP="00300A01">
            <w:pPr>
              <w:spacing w:before="0" w:after="0"/>
              <w:jc w:val="right"/>
              <w:rPr>
                <w:sz w:val="10"/>
                <w:szCs w:val="10"/>
                <w:lang w:val="fr-BE"/>
              </w:rPr>
            </w:pPr>
            <w:r w:rsidRPr="001C4484">
              <w:rPr>
                <w:noProof/>
                <w:sz w:val="10"/>
                <w:szCs w:val="10"/>
              </w:rPr>
              <w:t>0,00</w:t>
            </w:r>
          </w:p>
        </w:tc>
      </w:tr>
      <w:tr w:rsidR="006B2EC1" w14:paraId="5FBB4737" w14:textId="77777777" w:rsidTr="0047688D">
        <w:tc>
          <w:tcPr>
            <w:tcW w:w="0" w:type="auto"/>
            <w:shd w:val="clear" w:color="auto" w:fill="auto"/>
          </w:tcPr>
          <w:p w14:paraId="615C1198" w14:textId="77777777" w:rsidR="008C5CFA" w:rsidRPr="001C4484" w:rsidRDefault="00E82A60" w:rsidP="00300A01">
            <w:pPr>
              <w:spacing w:before="0" w:after="0"/>
              <w:rPr>
                <w:sz w:val="10"/>
                <w:szCs w:val="10"/>
                <w:lang w:val="fr-BE"/>
              </w:rPr>
            </w:pPr>
            <w:r w:rsidRPr="001C4484">
              <w:rPr>
                <w:noProof/>
                <w:sz w:val="10"/>
                <w:szCs w:val="10"/>
                <w:lang w:val="fr-BE"/>
              </w:rPr>
              <w:t>CO07</w:t>
            </w:r>
          </w:p>
        </w:tc>
        <w:tc>
          <w:tcPr>
            <w:tcW w:w="0" w:type="auto"/>
            <w:shd w:val="clear" w:color="auto" w:fill="auto"/>
          </w:tcPr>
          <w:p w14:paraId="241BDCBF" w14:textId="77777777" w:rsidR="008C5CFA" w:rsidRPr="001C4484" w:rsidRDefault="00E82A60" w:rsidP="00300A01">
            <w:pPr>
              <w:spacing w:before="0" w:after="0"/>
              <w:rPr>
                <w:sz w:val="10"/>
                <w:szCs w:val="10"/>
                <w:lang w:val="fr-BE"/>
              </w:rPr>
            </w:pPr>
            <w:r w:rsidRPr="001C4484">
              <w:rPr>
                <w:noProof/>
                <w:sz w:val="10"/>
                <w:szCs w:val="10"/>
                <w:lang w:val="fr-BE"/>
              </w:rPr>
              <w:t>osoby w wieku powyżej 54 lat</w:t>
            </w:r>
          </w:p>
        </w:tc>
        <w:tc>
          <w:tcPr>
            <w:tcW w:w="0" w:type="auto"/>
            <w:shd w:val="clear" w:color="auto" w:fill="auto"/>
          </w:tcPr>
          <w:p w14:paraId="5BF04DC6"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2CE47C39" w14:textId="77777777" w:rsidR="008C5CFA" w:rsidRPr="001C4484" w:rsidRDefault="00E82A60" w:rsidP="00300A01">
            <w:pPr>
              <w:spacing w:before="0" w:after="0"/>
              <w:jc w:val="right"/>
              <w:rPr>
                <w:sz w:val="10"/>
                <w:szCs w:val="10"/>
              </w:rPr>
            </w:pPr>
            <w:r>
              <w:rPr>
                <w:noProof/>
                <w:sz w:val="10"/>
                <w:szCs w:val="10"/>
              </w:rPr>
              <w:t>115,00</w:t>
            </w:r>
          </w:p>
        </w:tc>
        <w:tc>
          <w:tcPr>
            <w:tcW w:w="0" w:type="auto"/>
            <w:shd w:val="clear" w:color="auto" w:fill="auto"/>
          </w:tcPr>
          <w:p w14:paraId="547E61A2" w14:textId="77777777" w:rsidR="008C5CFA" w:rsidRPr="001C4484" w:rsidRDefault="00E82A60" w:rsidP="00300A01">
            <w:pPr>
              <w:spacing w:before="0" w:after="0"/>
              <w:jc w:val="right"/>
              <w:rPr>
                <w:sz w:val="10"/>
                <w:szCs w:val="10"/>
              </w:rPr>
            </w:pPr>
            <w:r w:rsidRPr="001C4484">
              <w:rPr>
                <w:noProof/>
                <w:sz w:val="10"/>
                <w:szCs w:val="10"/>
              </w:rPr>
              <w:t>66,00</w:t>
            </w:r>
          </w:p>
        </w:tc>
        <w:tc>
          <w:tcPr>
            <w:tcW w:w="0" w:type="auto"/>
            <w:shd w:val="clear" w:color="auto" w:fill="auto"/>
          </w:tcPr>
          <w:p w14:paraId="0F747645" w14:textId="77777777" w:rsidR="008C5CFA" w:rsidRPr="001C4484" w:rsidRDefault="00E82A60" w:rsidP="00300A01">
            <w:pPr>
              <w:spacing w:before="0" w:after="0"/>
              <w:jc w:val="right"/>
              <w:rPr>
                <w:sz w:val="10"/>
                <w:szCs w:val="10"/>
                <w:lang w:val="fr-BE"/>
              </w:rPr>
            </w:pPr>
            <w:r w:rsidRPr="001C4484">
              <w:rPr>
                <w:noProof/>
                <w:sz w:val="10"/>
                <w:szCs w:val="10"/>
              </w:rPr>
              <w:t>49,00</w:t>
            </w:r>
          </w:p>
        </w:tc>
        <w:tc>
          <w:tcPr>
            <w:tcW w:w="0" w:type="auto"/>
          </w:tcPr>
          <w:p w14:paraId="01E9F68F" w14:textId="77777777" w:rsidR="008C5CFA" w:rsidRPr="001C4484" w:rsidRDefault="00E82A60" w:rsidP="00300A01">
            <w:pPr>
              <w:spacing w:before="0" w:after="0"/>
              <w:jc w:val="right"/>
              <w:rPr>
                <w:sz w:val="10"/>
                <w:szCs w:val="10"/>
              </w:rPr>
            </w:pPr>
            <w:r>
              <w:rPr>
                <w:noProof/>
                <w:sz w:val="10"/>
                <w:szCs w:val="10"/>
              </w:rPr>
              <w:t>37,00</w:t>
            </w:r>
          </w:p>
        </w:tc>
        <w:tc>
          <w:tcPr>
            <w:tcW w:w="0" w:type="auto"/>
            <w:shd w:val="clear" w:color="auto" w:fill="auto"/>
          </w:tcPr>
          <w:p w14:paraId="07A475FD" w14:textId="77777777" w:rsidR="008C5CFA" w:rsidRPr="001C4484" w:rsidRDefault="00E82A60" w:rsidP="00300A01">
            <w:pPr>
              <w:spacing w:before="0" w:after="0"/>
              <w:jc w:val="right"/>
              <w:rPr>
                <w:sz w:val="10"/>
                <w:szCs w:val="10"/>
              </w:rPr>
            </w:pPr>
            <w:r w:rsidRPr="001C4484">
              <w:rPr>
                <w:noProof/>
                <w:sz w:val="10"/>
                <w:szCs w:val="10"/>
              </w:rPr>
              <w:t>22,00</w:t>
            </w:r>
          </w:p>
        </w:tc>
        <w:tc>
          <w:tcPr>
            <w:tcW w:w="0" w:type="auto"/>
            <w:shd w:val="clear" w:color="auto" w:fill="auto"/>
          </w:tcPr>
          <w:p w14:paraId="4B4F1A91" w14:textId="77777777" w:rsidR="008C5CFA" w:rsidRPr="001C4484" w:rsidRDefault="00E82A60" w:rsidP="00300A01">
            <w:pPr>
              <w:spacing w:before="0" w:after="0"/>
              <w:jc w:val="right"/>
              <w:rPr>
                <w:sz w:val="10"/>
                <w:szCs w:val="10"/>
                <w:lang w:val="fr-BE"/>
              </w:rPr>
            </w:pPr>
            <w:r w:rsidRPr="001C4484">
              <w:rPr>
                <w:noProof/>
                <w:sz w:val="10"/>
                <w:szCs w:val="10"/>
              </w:rPr>
              <w:t>15,00</w:t>
            </w:r>
          </w:p>
        </w:tc>
        <w:tc>
          <w:tcPr>
            <w:tcW w:w="0" w:type="auto"/>
          </w:tcPr>
          <w:p w14:paraId="34BB0B3A"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06AA8378"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56824C70" w14:textId="77777777" w:rsidR="008C5CFA" w:rsidRPr="001C4484" w:rsidRDefault="00E82A60" w:rsidP="00300A01">
            <w:pPr>
              <w:spacing w:before="0" w:after="0"/>
              <w:jc w:val="right"/>
              <w:rPr>
                <w:sz w:val="10"/>
                <w:szCs w:val="10"/>
                <w:lang w:val="fr-BE"/>
              </w:rPr>
            </w:pPr>
            <w:r w:rsidRPr="001C4484">
              <w:rPr>
                <w:noProof/>
                <w:sz w:val="10"/>
                <w:szCs w:val="10"/>
              </w:rPr>
              <w:t>0,00</w:t>
            </w:r>
          </w:p>
        </w:tc>
      </w:tr>
      <w:tr w:rsidR="006B2EC1" w14:paraId="6B065150" w14:textId="77777777" w:rsidTr="0047688D">
        <w:tc>
          <w:tcPr>
            <w:tcW w:w="0" w:type="auto"/>
            <w:shd w:val="clear" w:color="auto" w:fill="auto"/>
          </w:tcPr>
          <w:p w14:paraId="2EA803B7" w14:textId="77777777" w:rsidR="008C5CFA" w:rsidRPr="001C4484" w:rsidRDefault="00E82A60" w:rsidP="00300A01">
            <w:pPr>
              <w:spacing w:before="0" w:after="0"/>
              <w:rPr>
                <w:sz w:val="10"/>
                <w:szCs w:val="10"/>
                <w:lang w:val="fr-BE"/>
              </w:rPr>
            </w:pPr>
            <w:r w:rsidRPr="001C4484">
              <w:rPr>
                <w:noProof/>
                <w:sz w:val="10"/>
                <w:szCs w:val="10"/>
                <w:lang w:val="fr-BE"/>
              </w:rPr>
              <w:t>CO08</w:t>
            </w:r>
          </w:p>
        </w:tc>
        <w:tc>
          <w:tcPr>
            <w:tcW w:w="0" w:type="auto"/>
            <w:shd w:val="clear" w:color="auto" w:fill="auto"/>
          </w:tcPr>
          <w:p w14:paraId="7EA34B2F" w14:textId="77777777" w:rsidR="008C5CFA" w:rsidRPr="001C4484" w:rsidRDefault="00E82A60" w:rsidP="00300A01">
            <w:pPr>
              <w:spacing w:before="0" w:after="0"/>
              <w:rPr>
                <w:sz w:val="10"/>
                <w:szCs w:val="10"/>
                <w:lang w:val="fr-BE"/>
              </w:rPr>
            </w:pPr>
            <w:r w:rsidRPr="001C4484">
              <w:rPr>
                <w:noProof/>
                <w:sz w:val="10"/>
                <w:szCs w:val="10"/>
                <w:lang w:val="fr-BE"/>
              </w:rPr>
              <w:t>osoby powyżej 54 lat, które są bezrobotne, łącznie z długotrwale bezrobotnymi, lub są bierne zawodowo i nie uczestniczą w kształceniu ani szkoleniu</w:t>
            </w:r>
          </w:p>
        </w:tc>
        <w:tc>
          <w:tcPr>
            <w:tcW w:w="0" w:type="auto"/>
            <w:shd w:val="clear" w:color="auto" w:fill="auto"/>
          </w:tcPr>
          <w:p w14:paraId="598843C2"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5B9C42B7"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14B84D23"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7D73E558" w14:textId="77777777" w:rsidR="008C5CFA" w:rsidRPr="001C4484" w:rsidRDefault="00E82A60" w:rsidP="00300A01">
            <w:pPr>
              <w:spacing w:before="0" w:after="0"/>
              <w:jc w:val="right"/>
              <w:rPr>
                <w:sz w:val="10"/>
                <w:szCs w:val="10"/>
                <w:lang w:val="fr-BE"/>
              </w:rPr>
            </w:pPr>
            <w:r w:rsidRPr="001C4484">
              <w:rPr>
                <w:noProof/>
                <w:sz w:val="10"/>
                <w:szCs w:val="10"/>
              </w:rPr>
              <w:t>0,00</w:t>
            </w:r>
          </w:p>
        </w:tc>
        <w:tc>
          <w:tcPr>
            <w:tcW w:w="0" w:type="auto"/>
          </w:tcPr>
          <w:p w14:paraId="6232528F"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3F961FE0"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7D51ABBD" w14:textId="77777777" w:rsidR="008C5CFA" w:rsidRPr="001C4484" w:rsidRDefault="00E82A60" w:rsidP="00300A01">
            <w:pPr>
              <w:spacing w:before="0" w:after="0"/>
              <w:jc w:val="right"/>
              <w:rPr>
                <w:sz w:val="10"/>
                <w:szCs w:val="10"/>
                <w:lang w:val="fr-BE"/>
              </w:rPr>
            </w:pPr>
            <w:r w:rsidRPr="001C4484">
              <w:rPr>
                <w:noProof/>
                <w:sz w:val="10"/>
                <w:szCs w:val="10"/>
              </w:rPr>
              <w:t>0,00</w:t>
            </w:r>
          </w:p>
        </w:tc>
        <w:tc>
          <w:tcPr>
            <w:tcW w:w="0" w:type="auto"/>
          </w:tcPr>
          <w:p w14:paraId="413669EC"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5F8A4ABD"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576223DA" w14:textId="77777777" w:rsidR="008C5CFA" w:rsidRPr="001C4484" w:rsidRDefault="00E82A60" w:rsidP="00300A01">
            <w:pPr>
              <w:spacing w:before="0" w:after="0"/>
              <w:jc w:val="right"/>
              <w:rPr>
                <w:sz w:val="10"/>
                <w:szCs w:val="10"/>
                <w:lang w:val="fr-BE"/>
              </w:rPr>
            </w:pPr>
            <w:r w:rsidRPr="001C4484">
              <w:rPr>
                <w:noProof/>
                <w:sz w:val="10"/>
                <w:szCs w:val="10"/>
              </w:rPr>
              <w:t>0,00</w:t>
            </w:r>
          </w:p>
        </w:tc>
      </w:tr>
      <w:tr w:rsidR="006B2EC1" w14:paraId="4E5A69F3" w14:textId="77777777" w:rsidTr="0047688D">
        <w:tc>
          <w:tcPr>
            <w:tcW w:w="0" w:type="auto"/>
            <w:shd w:val="clear" w:color="auto" w:fill="auto"/>
          </w:tcPr>
          <w:p w14:paraId="6C6A5236" w14:textId="77777777" w:rsidR="008C5CFA" w:rsidRPr="001C4484" w:rsidRDefault="00E82A60" w:rsidP="00300A01">
            <w:pPr>
              <w:spacing w:before="0" w:after="0"/>
              <w:rPr>
                <w:sz w:val="10"/>
                <w:szCs w:val="10"/>
                <w:lang w:val="fr-BE"/>
              </w:rPr>
            </w:pPr>
            <w:r w:rsidRPr="001C4484">
              <w:rPr>
                <w:noProof/>
                <w:sz w:val="10"/>
                <w:szCs w:val="10"/>
                <w:lang w:val="fr-BE"/>
              </w:rPr>
              <w:t>CO09</w:t>
            </w:r>
          </w:p>
        </w:tc>
        <w:tc>
          <w:tcPr>
            <w:tcW w:w="0" w:type="auto"/>
            <w:shd w:val="clear" w:color="auto" w:fill="auto"/>
          </w:tcPr>
          <w:p w14:paraId="45E0CE0A" w14:textId="77777777" w:rsidR="008C5CFA" w:rsidRPr="001C4484" w:rsidRDefault="00E82A60" w:rsidP="00300A01">
            <w:pPr>
              <w:spacing w:before="0" w:after="0"/>
              <w:rPr>
                <w:sz w:val="10"/>
                <w:szCs w:val="10"/>
                <w:lang w:val="fr-BE"/>
              </w:rPr>
            </w:pPr>
            <w:r w:rsidRPr="001C4484">
              <w:rPr>
                <w:noProof/>
                <w:sz w:val="10"/>
                <w:szCs w:val="10"/>
                <w:lang w:val="fr-BE"/>
              </w:rPr>
              <w:t>osoby z wykształceniem podstawowym (ISCED 1) lub średnim I stopnia (ISCED 2)</w:t>
            </w:r>
          </w:p>
        </w:tc>
        <w:tc>
          <w:tcPr>
            <w:tcW w:w="0" w:type="auto"/>
            <w:shd w:val="clear" w:color="auto" w:fill="auto"/>
          </w:tcPr>
          <w:p w14:paraId="5C4D292D"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1731917F" w14:textId="77777777" w:rsidR="008C5CFA" w:rsidRPr="001C4484" w:rsidRDefault="00E82A60" w:rsidP="00300A01">
            <w:pPr>
              <w:spacing w:before="0" w:after="0"/>
              <w:jc w:val="right"/>
              <w:rPr>
                <w:sz w:val="10"/>
                <w:szCs w:val="10"/>
              </w:rPr>
            </w:pPr>
            <w:r>
              <w:rPr>
                <w:noProof/>
                <w:sz w:val="10"/>
                <w:szCs w:val="10"/>
              </w:rPr>
              <w:t>23,00</w:t>
            </w:r>
          </w:p>
        </w:tc>
        <w:tc>
          <w:tcPr>
            <w:tcW w:w="0" w:type="auto"/>
            <w:shd w:val="clear" w:color="auto" w:fill="auto"/>
          </w:tcPr>
          <w:p w14:paraId="63A7690F" w14:textId="77777777" w:rsidR="008C5CFA" w:rsidRPr="001C4484" w:rsidRDefault="00E82A60" w:rsidP="00300A01">
            <w:pPr>
              <w:spacing w:before="0" w:after="0"/>
              <w:jc w:val="right"/>
              <w:rPr>
                <w:sz w:val="10"/>
                <w:szCs w:val="10"/>
              </w:rPr>
            </w:pPr>
            <w:r w:rsidRPr="001C4484">
              <w:rPr>
                <w:noProof/>
                <w:sz w:val="10"/>
                <w:szCs w:val="10"/>
              </w:rPr>
              <w:t>19,00</w:t>
            </w:r>
          </w:p>
        </w:tc>
        <w:tc>
          <w:tcPr>
            <w:tcW w:w="0" w:type="auto"/>
            <w:shd w:val="clear" w:color="auto" w:fill="auto"/>
          </w:tcPr>
          <w:p w14:paraId="28765FEF" w14:textId="77777777" w:rsidR="008C5CFA" w:rsidRPr="001C4484" w:rsidRDefault="00E82A60" w:rsidP="00300A01">
            <w:pPr>
              <w:spacing w:before="0" w:after="0"/>
              <w:jc w:val="right"/>
              <w:rPr>
                <w:sz w:val="10"/>
                <w:szCs w:val="10"/>
                <w:lang w:val="fr-BE"/>
              </w:rPr>
            </w:pPr>
            <w:r w:rsidRPr="001C4484">
              <w:rPr>
                <w:noProof/>
                <w:sz w:val="10"/>
                <w:szCs w:val="10"/>
              </w:rPr>
              <w:t>4,00</w:t>
            </w:r>
          </w:p>
        </w:tc>
        <w:tc>
          <w:tcPr>
            <w:tcW w:w="0" w:type="auto"/>
          </w:tcPr>
          <w:p w14:paraId="604B147C" w14:textId="77777777" w:rsidR="008C5CFA" w:rsidRPr="001C4484" w:rsidRDefault="00E82A60" w:rsidP="00300A01">
            <w:pPr>
              <w:spacing w:before="0" w:after="0"/>
              <w:jc w:val="right"/>
              <w:rPr>
                <w:sz w:val="10"/>
                <w:szCs w:val="10"/>
              </w:rPr>
            </w:pPr>
            <w:r>
              <w:rPr>
                <w:noProof/>
                <w:sz w:val="10"/>
                <w:szCs w:val="10"/>
              </w:rPr>
              <w:t>14,00</w:t>
            </w:r>
          </w:p>
        </w:tc>
        <w:tc>
          <w:tcPr>
            <w:tcW w:w="0" w:type="auto"/>
            <w:shd w:val="clear" w:color="auto" w:fill="auto"/>
          </w:tcPr>
          <w:p w14:paraId="3B5DCFE2" w14:textId="77777777" w:rsidR="008C5CFA" w:rsidRPr="001C4484" w:rsidRDefault="00E82A60" w:rsidP="00300A01">
            <w:pPr>
              <w:spacing w:before="0" w:after="0"/>
              <w:jc w:val="right"/>
              <w:rPr>
                <w:sz w:val="10"/>
                <w:szCs w:val="10"/>
              </w:rPr>
            </w:pPr>
            <w:r w:rsidRPr="001C4484">
              <w:rPr>
                <w:noProof/>
                <w:sz w:val="10"/>
                <w:szCs w:val="10"/>
              </w:rPr>
              <w:t>11,00</w:t>
            </w:r>
          </w:p>
        </w:tc>
        <w:tc>
          <w:tcPr>
            <w:tcW w:w="0" w:type="auto"/>
            <w:shd w:val="clear" w:color="auto" w:fill="auto"/>
          </w:tcPr>
          <w:p w14:paraId="18FCEE17" w14:textId="77777777" w:rsidR="008C5CFA" w:rsidRPr="001C4484" w:rsidRDefault="00E82A60" w:rsidP="00300A01">
            <w:pPr>
              <w:spacing w:before="0" w:after="0"/>
              <w:jc w:val="right"/>
              <w:rPr>
                <w:sz w:val="10"/>
                <w:szCs w:val="10"/>
                <w:lang w:val="fr-BE"/>
              </w:rPr>
            </w:pPr>
            <w:r w:rsidRPr="001C4484">
              <w:rPr>
                <w:noProof/>
                <w:sz w:val="10"/>
                <w:szCs w:val="10"/>
              </w:rPr>
              <w:t>3,00</w:t>
            </w:r>
          </w:p>
        </w:tc>
        <w:tc>
          <w:tcPr>
            <w:tcW w:w="0" w:type="auto"/>
          </w:tcPr>
          <w:p w14:paraId="3A46ABCB"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44395081"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65D242D2" w14:textId="77777777" w:rsidR="008C5CFA" w:rsidRPr="001C4484" w:rsidRDefault="00E82A60" w:rsidP="00300A01">
            <w:pPr>
              <w:spacing w:before="0" w:after="0"/>
              <w:jc w:val="right"/>
              <w:rPr>
                <w:sz w:val="10"/>
                <w:szCs w:val="10"/>
                <w:lang w:val="fr-BE"/>
              </w:rPr>
            </w:pPr>
            <w:r w:rsidRPr="001C4484">
              <w:rPr>
                <w:noProof/>
                <w:sz w:val="10"/>
                <w:szCs w:val="10"/>
              </w:rPr>
              <w:t>0,00</w:t>
            </w:r>
          </w:p>
        </w:tc>
      </w:tr>
      <w:tr w:rsidR="006B2EC1" w14:paraId="23A66CD8" w14:textId="77777777" w:rsidTr="0047688D">
        <w:tc>
          <w:tcPr>
            <w:tcW w:w="0" w:type="auto"/>
            <w:shd w:val="clear" w:color="auto" w:fill="auto"/>
          </w:tcPr>
          <w:p w14:paraId="7D9F6C2F" w14:textId="77777777" w:rsidR="008C5CFA" w:rsidRPr="001C4484" w:rsidRDefault="00E82A60" w:rsidP="00300A01">
            <w:pPr>
              <w:spacing w:before="0" w:after="0"/>
              <w:rPr>
                <w:sz w:val="10"/>
                <w:szCs w:val="10"/>
                <w:lang w:val="fr-BE"/>
              </w:rPr>
            </w:pPr>
            <w:r w:rsidRPr="001C4484">
              <w:rPr>
                <w:noProof/>
                <w:sz w:val="10"/>
                <w:szCs w:val="10"/>
                <w:lang w:val="fr-BE"/>
              </w:rPr>
              <w:t>CO10</w:t>
            </w:r>
          </w:p>
        </w:tc>
        <w:tc>
          <w:tcPr>
            <w:tcW w:w="0" w:type="auto"/>
            <w:shd w:val="clear" w:color="auto" w:fill="auto"/>
          </w:tcPr>
          <w:p w14:paraId="68065044" w14:textId="77777777" w:rsidR="008C5CFA" w:rsidRPr="001C4484" w:rsidRDefault="00E82A60" w:rsidP="00300A01">
            <w:pPr>
              <w:spacing w:before="0" w:after="0"/>
              <w:rPr>
                <w:sz w:val="10"/>
                <w:szCs w:val="10"/>
                <w:lang w:val="fr-BE"/>
              </w:rPr>
            </w:pPr>
            <w:r w:rsidRPr="001C4484">
              <w:rPr>
                <w:noProof/>
                <w:sz w:val="10"/>
                <w:szCs w:val="10"/>
                <w:lang w:val="fr-BE"/>
              </w:rPr>
              <w:t>osoby z wykształceniem średnim II stopnia (ISCED 3) lub policealnym (ISCED 4)</w:t>
            </w:r>
          </w:p>
        </w:tc>
        <w:tc>
          <w:tcPr>
            <w:tcW w:w="0" w:type="auto"/>
            <w:shd w:val="clear" w:color="auto" w:fill="auto"/>
          </w:tcPr>
          <w:p w14:paraId="55423105"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675F715E" w14:textId="77777777" w:rsidR="008C5CFA" w:rsidRPr="001C4484" w:rsidRDefault="00E82A60" w:rsidP="00300A01">
            <w:pPr>
              <w:spacing w:before="0" w:after="0"/>
              <w:jc w:val="right"/>
              <w:rPr>
                <w:sz w:val="10"/>
                <w:szCs w:val="10"/>
              </w:rPr>
            </w:pPr>
            <w:r>
              <w:rPr>
                <w:noProof/>
                <w:sz w:val="10"/>
                <w:szCs w:val="10"/>
              </w:rPr>
              <w:t>625,00</w:t>
            </w:r>
          </w:p>
        </w:tc>
        <w:tc>
          <w:tcPr>
            <w:tcW w:w="0" w:type="auto"/>
            <w:shd w:val="clear" w:color="auto" w:fill="auto"/>
          </w:tcPr>
          <w:p w14:paraId="538D1A35" w14:textId="77777777" w:rsidR="008C5CFA" w:rsidRPr="001C4484" w:rsidRDefault="00E82A60" w:rsidP="00300A01">
            <w:pPr>
              <w:spacing w:before="0" w:after="0"/>
              <w:jc w:val="right"/>
              <w:rPr>
                <w:sz w:val="10"/>
                <w:szCs w:val="10"/>
              </w:rPr>
            </w:pPr>
            <w:r w:rsidRPr="001C4484">
              <w:rPr>
                <w:noProof/>
                <w:sz w:val="10"/>
                <w:szCs w:val="10"/>
              </w:rPr>
              <w:t>356,00</w:t>
            </w:r>
          </w:p>
        </w:tc>
        <w:tc>
          <w:tcPr>
            <w:tcW w:w="0" w:type="auto"/>
            <w:shd w:val="clear" w:color="auto" w:fill="auto"/>
          </w:tcPr>
          <w:p w14:paraId="67335525" w14:textId="77777777" w:rsidR="008C5CFA" w:rsidRPr="001C4484" w:rsidRDefault="00E82A60" w:rsidP="00300A01">
            <w:pPr>
              <w:spacing w:before="0" w:after="0"/>
              <w:jc w:val="right"/>
              <w:rPr>
                <w:sz w:val="10"/>
                <w:szCs w:val="10"/>
                <w:lang w:val="fr-BE"/>
              </w:rPr>
            </w:pPr>
            <w:r w:rsidRPr="001C4484">
              <w:rPr>
                <w:noProof/>
                <w:sz w:val="10"/>
                <w:szCs w:val="10"/>
              </w:rPr>
              <w:t>269,00</w:t>
            </w:r>
          </w:p>
        </w:tc>
        <w:tc>
          <w:tcPr>
            <w:tcW w:w="0" w:type="auto"/>
          </w:tcPr>
          <w:p w14:paraId="375649E1" w14:textId="77777777" w:rsidR="008C5CFA" w:rsidRPr="001C4484" w:rsidRDefault="00E82A60" w:rsidP="00300A01">
            <w:pPr>
              <w:spacing w:before="0" w:after="0"/>
              <w:jc w:val="right"/>
              <w:rPr>
                <w:sz w:val="10"/>
                <w:szCs w:val="10"/>
              </w:rPr>
            </w:pPr>
            <w:r>
              <w:rPr>
                <w:noProof/>
                <w:sz w:val="10"/>
                <w:szCs w:val="10"/>
              </w:rPr>
              <w:t>227,00</w:t>
            </w:r>
          </w:p>
        </w:tc>
        <w:tc>
          <w:tcPr>
            <w:tcW w:w="0" w:type="auto"/>
            <w:shd w:val="clear" w:color="auto" w:fill="auto"/>
          </w:tcPr>
          <w:p w14:paraId="045D03A0" w14:textId="77777777" w:rsidR="008C5CFA" w:rsidRPr="001C4484" w:rsidRDefault="00E82A60" w:rsidP="00300A01">
            <w:pPr>
              <w:spacing w:before="0" w:after="0"/>
              <w:jc w:val="right"/>
              <w:rPr>
                <w:sz w:val="10"/>
                <w:szCs w:val="10"/>
              </w:rPr>
            </w:pPr>
            <w:r w:rsidRPr="001C4484">
              <w:rPr>
                <w:noProof/>
                <w:sz w:val="10"/>
                <w:szCs w:val="10"/>
              </w:rPr>
              <w:t>153,00</w:t>
            </w:r>
          </w:p>
        </w:tc>
        <w:tc>
          <w:tcPr>
            <w:tcW w:w="0" w:type="auto"/>
            <w:shd w:val="clear" w:color="auto" w:fill="auto"/>
          </w:tcPr>
          <w:p w14:paraId="7F60BE27" w14:textId="77777777" w:rsidR="008C5CFA" w:rsidRPr="001C4484" w:rsidRDefault="00E82A60" w:rsidP="00300A01">
            <w:pPr>
              <w:spacing w:before="0" w:after="0"/>
              <w:jc w:val="right"/>
              <w:rPr>
                <w:sz w:val="10"/>
                <w:szCs w:val="10"/>
                <w:lang w:val="fr-BE"/>
              </w:rPr>
            </w:pPr>
            <w:r w:rsidRPr="001C4484">
              <w:rPr>
                <w:noProof/>
                <w:sz w:val="10"/>
                <w:szCs w:val="10"/>
              </w:rPr>
              <w:t>74,00</w:t>
            </w:r>
          </w:p>
        </w:tc>
        <w:tc>
          <w:tcPr>
            <w:tcW w:w="0" w:type="auto"/>
          </w:tcPr>
          <w:p w14:paraId="3D6BE4BD"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6F330930"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13F4712C" w14:textId="77777777" w:rsidR="008C5CFA" w:rsidRPr="001C4484" w:rsidRDefault="00E82A60" w:rsidP="00300A01">
            <w:pPr>
              <w:spacing w:before="0" w:after="0"/>
              <w:jc w:val="right"/>
              <w:rPr>
                <w:sz w:val="10"/>
                <w:szCs w:val="10"/>
                <w:lang w:val="fr-BE"/>
              </w:rPr>
            </w:pPr>
            <w:r w:rsidRPr="001C4484">
              <w:rPr>
                <w:noProof/>
                <w:sz w:val="10"/>
                <w:szCs w:val="10"/>
              </w:rPr>
              <w:t>0,00</w:t>
            </w:r>
          </w:p>
        </w:tc>
      </w:tr>
      <w:tr w:rsidR="006B2EC1" w14:paraId="772C46D5" w14:textId="77777777" w:rsidTr="0047688D">
        <w:tc>
          <w:tcPr>
            <w:tcW w:w="0" w:type="auto"/>
            <w:shd w:val="clear" w:color="auto" w:fill="auto"/>
          </w:tcPr>
          <w:p w14:paraId="42AA555D" w14:textId="77777777" w:rsidR="008C5CFA" w:rsidRPr="001C4484" w:rsidRDefault="00E82A60" w:rsidP="00300A01">
            <w:pPr>
              <w:spacing w:before="0" w:after="0"/>
              <w:rPr>
                <w:sz w:val="10"/>
                <w:szCs w:val="10"/>
                <w:lang w:val="fr-BE"/>
              </w:rPr>
            </w:pPr>
            <w:r w:rsidRPr="001C4484">
              <w:rPr>
                <w:noProof/>
                <w:sz w:val="10"/>
                <w:szCs w:val="10"/>
                <w:lang w:val="fr-BE"/>
              </w:rPr>
              <w:t>CO11</w:t>
            </w:r>
          </w:p>
        </w:tc>
        <w:tc>
          <w:tcPr>
            <w:tcW w:w="0" w:type="auto"/>
            <w:shd w:val="clear" w:color="auto" w:fill="auto"/>
          </w:tcPr>
          <w:p w14:paraId="1B99A1C9" w14:textId="77777777" w:rsidR="008C5CFA" w:rsidRPr="001C4484" w:rsidRDefault="00E82A60" w:rsidP="00300A01">
            <w:pPr>
              <w:spacing w:before="0" w:after="0"/>
              <w:rPr>
                <w:sz w:val="10"/>
                <w:szCs w:val="10"/>
                <w:lang w:val="fr-BE"/>
              </w:rPr>
            </w:pPr>
            <w:r w:rsidRPr="001C4484">
              <w:rPr>
                <w:noProof/>
                <w:sz w:val="10"/>
                <w:szCs w:val="10"/>
                <w:lang w:val="fr-BE"/>
              </w:rPr>
              <w:t>osoby z wykształceniem wyższym (ISCED 5 do 8)</w:t>
            </w:r>
          </w:p>
        </w:tc>
        <w:tc>
          <w:tcPr>
            <w:tcW w:w="0" w:type="auto"/>
            <w:shd w:val="clear" w:color="auto" w:fill="auto"/>
          </w:tcPr>
          <w:p w14:paraId="6FE05D0E"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0D5ED567" w14:textId="77777777" w:rsidR="008C5CFA" w:rsidRPr="001C4484" w:rsidRDefault="00E82A60" w:rsidP="00300A01">
            <w:pPr>
              <w:spacing w:before="0" w:after="0"/>
              <w:jc w:val="right"/>
              <w:rPr>
                <w:sz w:val="10"/>
                <w:szCs w:val="10"/>
              </w:rPr>
            </w:pPr>
            <w:r>
              <w:rPr>
                <w:noProof/>
                <w:sz w:val="10"/>
                <w:szCs w:val="10"/>
              </w:rPr>
              <w:t>1 140,00</w:t>
            </w:r>
          </w:p>
        </w:tc>
        <w:tc>
          <w:tcPr>
            <w:tcW w:w="0" w:type="auto"/>
            <w:shd w:val="clear" w:color="auto" w:fill="auto"/>
          </w:tcPr>
          <w:p w14:paraId="0A2D98E1" w14:textId="77777777" w:rsidR="008C5CFA" w:rsidRPr="001C4484" w:rsidRDefault="00E82A60" w:rsidP="00300A01">
            <w:pPr>
              <w:spacing w:before="0" w:after="0"/>
              <w:jc w:val="right"/>
              <w:rPr>
                <w:sz w:val="10"/>
                <w:szCs w:val="10"/>
              </w:rPr>
            </w:pPr>
            <w:r w:rsidRPr="001C4484">
              <w:rPr>
                <w:noProof/>
                <w:sz w:val="10"/>
                <w:szCs w:val="10"/>
              </w:rPr>
              <w:t>449,00</w:t>
            </w:r>
          </w:p>
        </w:tc>
        <w:tc>
          <w:tcPr>
            <w:tcW w:w="0" w:type="auto"/>
            <w:shd w:val="clear" w:color="auto" w:fill="auto"/>
          </w:tcPr>
          <w:p w14:paraId="124E95A8" w14:textId="77777777" w:rsidR="008C5CFA" w:rsidRPr="001C4484" w:rsidRDefault="00E82A60" w:rsidP="00300A01">
            <w:pPr>
              <w:spacing w:before="0" w:after="0"/>
              <w:jc w:val="right"/>
              <w:rPr>
                <w:sz w:val="10"/>
                <w:szCs w:val="10"/>
                <w:lang w:val="fr-BE"/>
              </w:rPr>
            </w:pPr>
            <w:r w:rsidRPr="001C4484">
              <w:rPr>
                <w:noProof/>
                <w:sz w:val="10"/>
                <w:szCs w:val="10"/>
              </w:rPr>
              <w:t>691,00</w:t>
            </w:r>
          </w:p>
        </w:tc>
        <w:tc>
          <w:tcPr>
            <w:tcW w:w="0" w:type="auto"/>
          </w:tcPr>
          <w:p w14:paraId="6BCFFE0F" w14:textId="77777777" w:rsidR="008C5CFA" w:rsidRPr="001C4484" w:rsidRDefault="00E82A60" w:rsidP="00300A01">
            <w:pPr>
              <w:spacing w:before="0" w:after="0"/>
              <w:jc w:val="right"/>
              <w:rPr>
                <w:sz w:val="10"/>
                <w:szCs w:val="10"/>
              </w:rPr>
            </w:pPr>
            <w:r>
              <w:rPr>
                <w:noProof/>
                <w:sz w:val="10"/>
                <w:szCs w:val="10"/>
              </w:rPr>
              <w:t>438,00</w:t>
            </w:r>
          </w:p>
        </w:tc>
        <w:tc>
          <w:tcPr>
            <w:tcW w:w="0" w:type="auto"/>
            <w:shd w:val="clear" w:color="auto" w:fill="auto"/>
          </w:tcPr>
          <w:p w14:paraId="25526FD9" w14:textId="77777777" w:rsidR="008C5CFA" w:rsidRPr="001C4484" w:rsidRDefault="00E82A60" w:rsidP="00300A01">
            <w:pPr>
              <w:spacing w:before="0" w:after="0"/>
              <w:jc w:val="right"/>
              <w:rPr>
                <w:sz w:val="10"/>
                <w:szCs w:val="10"/>
              </w:rPr>
            </w:pPr>
            <w:r w:rsidRPr="001C4484">
              <w:rPr>
                <w:noProof/>
                <w:sz w:val="10"/>
                <w:szCs w:val="10"/>
              </w:rPr>
              <w:t>163,00</w:t>
            </w:r>
          </w:p>
        </w:tc>
        <w:tc>
          <w:tcPr>
            <w:tcW w:w="0" w:type="auto"/>
            <w:shd w:val="clear" w:color="auto" w:fill="auto"/>
          </w:tcPr>
          <w:p w14:paraId="6699AEF9" w14:textId="77777777" w:rsidR="008C5CFA" w:rsidRPr="001C4484" w:rsidRDefault="00E82A60" w:rsidP="00300A01">
            <w:pPr>
              <w:spacing w:before="0" w:after="0"/>
              <w:jc w:val="right"/>
              <w:rPr>
                <w:sz w:val="10"/>
                <w:szCs w:val="10"/>
                <w:lang w:val="fr-BE"/>
              </w:rPr>
            </w:pPr>
            <w:r w:rsidRPr="001C4484">
              <w:rPr>
                <w:noProof/>
                <w:sz w:val="10"/>
                <w:szCs w:val="10"/>
              </w:rPr>
              <w:t>275,00</w:t>
            </w:r>
          </w:p>
        </w:tc>
        <w:tc>
          <w:tcPr>
            <w:tcW w:w="0" w:type="auto"/>
          </w:tcPr>
          <w:p w14:paraId="30DA69D0"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461A24DB"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7404CCA8" w14:textId="77777777" w:rsidR="008C5CFA" w:rsidRPr="001C4484" w:rsidRDefault="00E82A60" w:rsidP="00300A01">
            <w:pPr>
              <w:spacing w:before="0" w:after="0"/>
              <w:jc w:val="right"/>
              <w:rPr>
                <w:sz w:val="10"/>
                <w:szCs w:val="10"/>
                <w:lang w:val="fr-BE"/>
              </w:rPr>
            </w:pPr>
            <w:r w:rsidRPr="001C4484">
              <w:rPr>
                <w:noProof/>
                <w:sz w:val="10"/>
                <w:szCs w:val="10"/>
              </w:rPr>
              <w:t>0,00</w:t>
            </w:r>
          </w:p>
        </w:tc>
      </w:tr>
      <w:tr w:rsidR="006B2EC1" w14:paraId="4DA67010" w14:textId="77777777" w:rsidTr="0047688D">
        <w:tc>
          <w:tcPr>
            <w:tcW w:w="0" w:type="auto"/>
            <w:shd w:val="clear" w:color="auto" w:fill="auto"/>
          </w:tcPr>
          <w:p w14:paraId="78A658AE" w14:textId="77777777" w:rsidR="008C5CFA" w:rsidRPr="001C4484" w:rsidRDefault="00E82A60" w:rsidP="00300A01">
            <w:pPr>
              <w:spacing w:before="0" w:after="0"/>
              <w:rPr>
                <w:sz w:val="10"/>
                <w:szCs w:val="10"/>
                <w:lang w:val="fr-BE"/>
              </w:rPr>
            </w:pPr>
            <w:r w:rsidRPr="001C4484">
              <w:rPr>
                <w:noProof/>
                <w:sz w:val="10"/>
                <w:szCs w:val="10"/>
                <w:lang w:val="fr-BE"/>
              </w:rPr>
              <w:t>CO15</w:t>
            </w:r>
          </w:p>
        </w:tc>
        <w:tc>
          <w:tcPr>
            <w:tcW w:w="0" w:type="auto"/>
            <w:shd w:val="clear" w:color="auto" w:fill="auto"/>
          </w:tcPr>
          <w:p w14:paraId="20A4FC6E" w14:textId="77777777" w:rsidR="008C5CFA" w:rsidRPr="001C4484" w:rsidRDefault="00E82A60" w:rsidP="00300A01">
            <w:pPr>
              <w:spacing w:before="0" w:after="0"/>
              <w:rPr>
                <w:sz w:val="10"/>
                <w:szCs w:val="10"/>
                <w:lang w:val="fr-BE"/>
              </w:rPr>
            </w:pPr>
            <w:r w:rsidRPr="001C4484">
              <w:rPr>
                <w:noProof/>
                <w:sz w:val="10"/>
                <w:szCs w:val="10"/>
                <w:lang w:val="fr-BE"/>
              </w:rPr>
              <w:t>migranci, uczestnicy obcego pochodzenia, mniejszości (w tym społeczności marginalizowane, takie jak Romowie)</w:t>
            </w:r>
          </w:p>
        </w:tc>
        <w:tc>
          <w:tcPr>
            <w:tcW w:w="0" w:type="auto"/>
            <w:shd w:val="clear" w:color="auto" w:fill="auto"/>
          </w:tcPr>
          <w:p w14:paraId="7474CD1E"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3FEDEAD7" w14:textId="77777777" w:rsidR="008C5CFA" w:rsidRPr="001C4484" w:rsidRDefault="00E82A60" w:rsidP="00300A01">
            <w:pPr>
              <w:spacing w:before="0" w:after="0"/>
              <w:jc w:val="right"/>
              <w:rPr>
                <w:sz w:val="10"/>
                <w:szCs w:val="10"/>
              </w:rPr>
            </w:pPr>
            <w:r>
              <w:rPr>
                <w:noProof/>
                <w:sz w:val="10"/>
                <w:szCs w:val="10"/>
              </w:rPr>
              <w:t>6,00</w:t>
            </w:r>
          </w:p>
        </w:tc>
        <w:tc>
          <w:tcPr>
            <w:tcW w:w="0" w:type="auto"/>
            <w:shd w:val="clear" w:color="auto" w:fill="auto"/>
          </w:tcPr>
          <w:p w14:paraId="25570629" w14:textId="77777777" w:rsidR="008C5CFA" w:rsidRPr="001C4484" w:rsidRDefault="00E82A60" w:rsidP="00300A01">
            <w:pPr>
              <w:spacing w:before="0" w:after="0"/>
              <w:jc w:val="right"/>
              <w:rPr>
                <w:sz w:val="10"/>
                <w:szCs w:val="10"/>
              </w:rPr>
            </w:pPr>
            <w:r w:rsidRPr="001C4484">
              <w:rPr>
                <w:noProof/>
                <w:sz w:val="10"/>
                <w:szCs w:val="10"/>
              </w:rPr>
              <w:t>4,00</w:t>
            </w:r>
          </w:p>
        </w:tc>
        <w:tc>
          <w:tcPr>
            <w:tcW w:w="0" w:type="auto"/>
            <w:shd w:val="clear" w:color="auto" w:fill="auto"/>
          </w:tcPr>
          <w:p w14:paraId="16941462" w14:textId="77777777" w:rsidR="008C5CFA" w:rsidRPr="001C4484" w:rsidRDefault="00E82A60" w:rsidP="00300A01">
            <w:pPr>
              <w:spacing w:before="0" w:after="0"/>
              <w:jc w:val="right"/>
              <w:rPr>
                <w:sz w:val="10"/>
                <w:szCs w:val="10"/>
                <w:lang w:val="fr-BE"/>
              </w:rPr>
            </w:pPr>
            <w:r w:rsidRPr="001C4484">
              <w:rPr>
                <w:noProof/>
                <w:sz w:val="10"/>
                <w:szCs w:val="10"/>
              </w:rPr>
              <w:t>2,00</w:t>
            </w:r>
          </w:p>
        </w:tc>
        <w:tc>
          <w:tcPr>
            <w:tcW w:w="0" w:type="auto"/>
          </w:tcPr>
          <w:p w14:paraId="49DEC400" w14:textId="77777777" w:rsidR="008C5CFA" w:rsidRPr="001C4484" w:rsidRDefault="00E82A60" w:rsidP="00300A01">
            <w:pPr>
              <w:spacing w:before="0" w:after="0"/>
              <w:jc w:val="right"/>
              <w:rPr>
                <w:sz w:val="10"/>
                <w:szCs w:val="10"/>
              </w:rPr>
            </w:pPr>
            <w:r>
              <w:rPr>
                <w:noProof/>
                <w:sz w:val="10"/>
                <w:szCs w:val="10"/>
              </w:rPr>
              <w:t>2,00</w:t>
            </w:r>
          </w:p>
        </w:tc>
        <w:tc>
          <w:tcPr>
            <w:tcW w:w="0" w:type="auto"/>
            <w:shd w:val="clear" w:color="auto" w:fill="auto"/>
          </w:tcPr>
          <w:p w14:paraId="02120A06" w14:textId="77777777" w:rsidR="008C5CFA" w:rsidRPr="001C4484" w:rsidRDefault="00E82A60" w:rsidP="00300A01">
            <w:pPr>
              <w:spacing w:before="0" w:after="0"/>
              <w:jc w:val="right"/>
              <w:rPr>
                <w:sz w:val="10"/>
                <w:szCs w:val="10"/>
              </w:rPr>
            </w:pPr>
            <w:r w:rsidRPr="001C4484">
              <w:rPr>
                <w:noProof/>
                <w:sz w:val="10"/>
                <w:szCs w:val="10"/>
              </w:rPr>
              <w:t>2,00</w:t>
            </w:r>
          </w:p>
        </w:tc>
        <w:tc>
          <w:tcPr>
            <w:tcW w:w="0" w:type="auto"/>
            <w:shd w:val="clear" w:color="auto" w:fill="auto"/>
          </w:tcPr>
          <w:p w14:paraId="09172960" w14:textId="77777777" w:rsidR="008C5CFA" w:rsidRPr="001C4484" w:rsidRDefault="00E82A60" w:rsidP="00300A01">
            <w:pPr>
              <w:spacing w:before="0" w:after="0"/>
              <w:jc w:val="right"/>
              <w:rPr>
                <w:sz w:val="10"/>
                <w:szCs w:val="10"/>
                <w:lang w:val="fr-BE"/>
              </w:rPr>
            </w:pPr>
            <w:r w:rsidRPr="001C4484">
              <w:rPr>
                <w:noProof/>
                <w:sz w:val="10"/>
                <w:szCs w:val="10"/>
              </w:rPr>
              <w:t>0,00</w:t>
            </w:r>
          </w:p>
        </w:tc>
        <w:tc>
          <w:tcPr>
            <w:tcW w:w="0" w:type="auto"/>
          </w:tcPr>
          <w:p w14:paraId="589B0D43"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4F589574"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146A50B2" w14:textId="77777777" w:rsidR="008C5CFA" w:rsidRPr="001C4484" w:rsidRDefault="00E82A60" w:rsidP="00300A01">
            <w:pPr>
              <w:spacing w:before="0" w:after="0"/>
              <w:jc w:val="right"/>
              <w:rPr>
                <w:sz w:val="10"/>
                <w:szCs w:val="10"/>
                <w:lang w:val="fr-BE"/>
              </w:rPr>
            </w:pPr>
            <w:r w:rsidRPr="001C4484">
              <w:rPr>
                <w:noProof/>
                <w:sz w:val="10"/>
                <w:szCs w:val="10"/>
              </w:rPr>
              <w:t>0,00</w:t>
            </w:r>
          </w:p>
        </w:tc>
      </w:tr>
      <w:tr w:rsidR="006B2EC1" w14:paraId="2506E5FD" w14:textId="77777777" w:rsidTr="0047688D">
        <w:tc>
          <w:tcPr>
            <w:tcW w:w="0" w:type="auto"/>
            <w:shd w:val="clear" w:color="auto" w:fill="auto"/>
          </w:tcPr>
          <w:p w14:paraId="052606E2" w14:textId="77777777" w:rsidR="008C5CFA" w:rsidRPr="001C4484" w:rsidRDefault="00E82A60" w:rsidP="00300A01">
            <w:pPr>
              <w:spacing w:before="0" w:after="0"/>
              <w:rPr>
                <w:sz w:val="10"/>
                <w:szCs w:val="10"/>
                <w:lang w:val="fr-BE"/>
              </w:rPr>
            </w:pPr>
            <w:r w:rsidRPr="001C4484">
              <w:rPr>
                <w:noProof/>
                <w:sz w:val="10"/>
                <w:szCs w:val="10"/>
                <w:lang w:val="fr-BE"/>
              </w:rPr>
              <w:t>CO16</w:t>
            </w:r>
          </w:p>
        </w:tc>
        <w:tc>
          <w:tcPr>
            <w:tcW w:w="0" w:type="auto"/>
            <w:shd w:val="clear" w:color="auto" w:fill="auto"/>
          </w:tcPr>
          <w:p w14:paraId="1EE2C340" w14:textId="77777777" w:rsidR="008C5CFA" w:rsidRPr="001C4484" w:rsidRDefault="00E82A60" w:rsidP="00300A01">
            <w:pPr>
              <w:spacing w:before="0" w:after="0"/>
              <w:rPr>
                <w:sz w:val="10"/>
                <w:szCs w:val="10"/>
                <w:lang w:val="fr-BE"/>
              </w:rPr>
            </w:pPr>
            <w:r w:rsidRPr="001C4484">
              <w:rPr>
                <w:noProof/>
                <w:sz w:val="10"/>
                <w:szCs w:val="10"/>
                <w:lang w:val="fr-BE"/>
              </w:rPr>
              <w:t>uczestnicy z niepełnosprawnościami</w:t>
            </w:r>
          </w:p>
        </w:tc>
        <w:tc>
          <w:tcPr>
            <w:tcW w:w="0" w:type="auto"/>
            <w:shd w:val="clear" w:color="auto" w:fill="auto"/>
          </w:tcPr>
          <w:p w14:paraId="7C693C19"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6C3380B8" w14:textId="77777777" w:rsidR="008C5CFA" w:rsidRPr="001C4484" w:rsidRDefault="00E82A60" w:rsidP="00300A01">
            <w:pPr>
              <w:spacing w:before="0" w:after="0"/>
              <w:jc w:val="right"/>
              <w:rPr>
                <w:sz w:val="10"/>
                <w:szCs w:val="10"/>
              </w:rPr>
            </w:pPr>
            <w:r>
              <w:rPr>
                <w:noProof/>
                <w:sz w:val="10"/>
                <w:szCs w:val="10"/>
              </w:rPr>
              <w:t>62,00</w:t>
            </w:r>
          </w:p>
        </w:tc>
        <w:tc>
          <w:tcPr>
            <w:tcW w:w="0" w:type="auto"/>
            <w:shd w:val="clear" w:color="auto" w:fill="auto"/>
          </w:tcPr>
          <w:p w14:paraId="0EDDF394" w14:textId="77777777" w:rsidR="008C5CFA" w:rsidRPr="001C4484" w:rsidRDefault="00E82A60" w:rsidP="00300A01">
            <w:pPr>
              <w:spacing w:before="0" w:after="0"/>
              <w:jc w:val="right"/>
              <w:rPr>
                <w:sz w:val="10"/>
                <w:szCs w:val="10"/>
              </w:rPr>
            </w:pPr>
            <w:r w:rsidRPr="001C4484">
              <w:rPr>
                <w:noProof/>
                <w:sz w:val="10"/>
                <w:szCs w:val="10"/>
              </w:rPr>
              <w:t>24,00</w:t>
            </w:r>
          </w:p>
        </w:tc>
        <w:tc>
          <w:tcPr>
            <w:tcW w:w="0" w:type="auto"/>
            <w:shd w:val="clear" w:color="auto" w:fill="auto"/>
          </w:tcPr>
          <w:p w14:paraId="73D63B6C" w14:textId="77777777" w:rsidR="008C5CFA" w:rsidRPr="001C4484" w:rsidRDefault="00E82A60" w:rsidP="00300A01">
            <w:pPr>
              <w:spacing w:before="0" w:after="0"/>
              <w:jc w:val="right"/>
              <w:rPr>
                <w:sz w:val="10"/>
                <w:szCs w:val="10"/>
                <w:lang w:val="fr-BE"/>
              </w:rPr>
            </w:pPr>
            <w:r w:rsidRPr="001C4484">
              <w:rPr>
                <w:noProof/>
                <w:sz w:val="10"/>
                <w:szCs w:val="10"/>
              </w:rPr>
              <w:t>38,00</w:t>
            </w:r>
          </w:p>
        </w:tc>
        <w:tc>
          <w:tcPr>
            <w:tcW w:w="0" w:type="auto"/>
          </w:tcPr>
          <w:p w14:paraId="7CB28316" w14:textId="77777777" w:rsidR="008C5CFA" w:rsidRPr="001C4484" w:rsidRDefault="00E82A60" w:rsidP="00300A01">
            <w:pPr>
              <w:spacing w:before="0" w:after="0"/>
              <w:jc w:val="right"/>
              <w:rPr>
                <w:sz w:val="10"/>
                <w:szCs w:val="10"/>
              </w:rPr>
            </w:pPr>
            <w:r>
              <w:rPr>
                <w:noProof/>
                <w:sz w:val="10"/>
                <w:szCs w:val="10"/>
              </w:rPr>
              <w:t>31,00</w:t>
            </w:r>
          </w:p>
        </w:tc>
        <w:tc>
          <w:tcPr>
            <w:tcW w:w="0" w:type="auto"/>
            <w:shd w:val="clear" w:color="auto" w:fill="auto"/>
          </w:tcPr>
          <w:p w14:paraId="675BCFB6" w14:textId="77777777" w:rsidR="008C5CFA" w:rsidRPr="001C4484" w:rsidRDefault="00E82A60" w:rsidP="00300A01">
            <w:pPr>
              <w:spacing w:before="0" w:after="0"/>
              <w:jc w:val="right"/>
              <w:rPr>
                <w:sz w:val="10"/>
                <w:szCs w:val="10"/>
              </w:rPr>
            </w:pPr>
            <w:r w:rsidRPr="001C4484">
              <w:rPr>
                <w:noProof/>
                <w:sz w:val="10"/>
                <w:szCs w:val="10"/>
              </w:rPr>
              <w:t>16,00</w:t>
            </w:r>
          </w:p>
        </w:tc>
        <w:tc>
          <w:tcPr>
            <w:tcW w:w="0" w:type="auto"/>
            <w:shd w:val="clear" w:color="auto" w:fill="auto"/>
          </w:tcPr>
          <w:p w14:paraId="483C6889" w14:textId="77777777" w:rsidR="008C5CFA" w:rsidRPr="001C4484" w:rsidRDefault="00E82A60" w:rsidP="00300A01">
            <w:pPr>
              <w:spacing w:before="0" w:after="0"/>
              <w:jc w:val="right"/>
              <w:rPr>
                <w:sz w:val="10"/>
                <w:szCs w:val="10"/>
                <w:lang w:val="fr-BE"/>
              </w:rPr>
            </w:pPr>
            <w:r w:rsidRPr="001C4484">
              <w:rPr>
                <w:noProof/>
                <w:sz w:val="10"/>
                <w:szCs w:val="10"/>
              </w:rPr>
              <w:t>15,00</w:t>
            </w:r>
          </w:p>
        </w:tc>
        <w:tc>
          <w:tcPr>
            <w:tcW w:w="0" w:type="auto"/>
          </w:tcPr>
          <w:p w14:paraId="50832D6E"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5372B0BF"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71F37CC8" w14:textId="77777777" w:rsidR="008C5CFA" w:rsidRPr="001C4484" w:rsidRDefault="00E82A60" w:rsidP="00300A01">
            <w:pPr>
              <w:spacing w:before="0" w:after="0"/>
              <w:jc w:val="right"/>
              <w:rPr>
                <w:sz w:val="10"/>
                <w:szCs w:val="10"/>
                <w:lang w:val="fr-BE"/>
              </w:rPr>
            </w:pPr>
            <w:r w:rsidRPr="001C4484">
              <w:rPr>
                <w:noProof/>
                <w:sz w:val="10"/>
                <w:szCs w:val="10"/>
              </w:rPr>
              <w:t>0,00</w:t>
            </w:r>
          </w:p>
        </w:tc>
      </w:tr>
      <w:tr w:rsidR="006B2EC1" w14:paraId="1F1920C7" w14:textId="77777777" w:rsidTr="0047688D">
        <w:tc>
          <w:tcPr>
            <w:tcW w:w="0" w:type="auto"/>
            <w:shd w:val="clear" w:color="auto" w:fill="auto"/>
          </w:tcPr>
          <w:p w14:paraId="14B1F2F4" w14:textId="77777777" w:rsidR="008C5CFA" w:rsidRPr="001C4484" w:rsidRDefault="00E82A60" w:rsidP="00300A01">
            <w:pPr>
              <w:spacing w:before="0" w:after="0"/>
              <w:rPr>
                <w:sz w:val="10"/>
                <w:szCs w:val="10"/>
                <w:lang w:val="fr-BE"/>
              </w:rPr>
            </w:pPr>
            <w:r w:rsidRPr="001C4484">
              <w:rPr>
                <w:noProof/>
                <w:sz w:val="10"/>
                <w:szCs w:val="10"/>
                <w:lang w:val="fr-BE"/>
              </w:rPr>
              <w:t>CO17</w:t>
            </w:r>
          </w:p>
        </w:tc>
        <w:tc>
          <w:tcPr>
            <w:tcW w:w="0" w:type="auto"/>
            <w:shd w:val="clear" w:color="auto" w:fill="auto"/>
          </w:tcPr>
          <w:p w14:paraId="09C23E87" w14:textId="77777777" w:rsidR="008C5CFA" w:rsidRPr="001C4484" w:rsidRDefault="00E82A60" w:rsidP="00300A01">
            <w:pPr>
              <w:spacing w:before="0" w:after="0"/>
              <w:rPr>
                <w:sz w:val="10"/>
                <w:szCs w:val="10"/>
                <w:lang w:val="fr-BE"/>
              </w:rPr>
            </w:pPr>
            <w:r w:rsidRPr="001C4484">
              <w:rPr>
                <w:noProof/>
                <w:sz w:val="10"/>
                <w:szCs w:val="10"/>
                <w:lang w:val="fr-BE"/>
              </w:rPr>
              <w:t>inne osoby w niekorzystnej sytuacji społecznej</w:t>
            </w:r>
          </w:p>
        </w:tc>
        <w:tc>
          <w:tcPr>
            <w:tcW w:w="0" w:type="auto"/>
            <w:shd w:val="clear" w:color="auto" w:fill="auto"/>
          </w:tcPr>
          <w:p w14:paraId="7BE58A3F"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2FF57E7C" w14:textId="77777777" w:rsidR="008C5CFA" w:rsidRPr="001C4484" w:rsidRDefault="00E82A60" w:rsidP="00300A01">
            <w:pPr>
              <w:spacing w:before="0" w:after="0"/>
              <w:jc w:val="right"/>
              <w:rPr>
                <w:sz w:val="10"/>
                <w:szCs w:val="10"/>
              </w:rPr>
            </w:pPr>
            <w:r>
              <w:rPr>
                <w:noProof/>
                <w:sz w:val="10"/>
                <w:szCs w:val="10"/>
              </w:rPr>
              <w:t>859,00</w:t>
            </w:r>
          </w:p>
        </w:tc>
        <w:tc>
          <w:tcPr>
            <w:tcW w:w="0" w:type="auto"/>
            <w:shd w:val="clear" w:color="auto" w:fill="auto"/>
          </w:tcPr>
          <w:p w14:paraId="78022E97" w14:textId="77777777" w:rsidR="008C5CFA" w:rsidRPr="001C4484" w:rsidRDefault="00E82A60" w:rsidP="00300A01">
            <w:pPr>
              <w:spacing w:before="0" w:after="0"/>
              <w:jc w:val="right"/>
              <w:rPr>
                <w:sz w:val="10"/>
                <w:szCs w:val="10"/>
              </w:rPr>
            </w:pPr>
            <w:r w:rsidRPr="001C4484">
              <w:rPr>
                <w:noProof/>
                <w:sz w:val="10"/>
                <w:szCs w:val="10"/>
              </w:rPr>
              <w:t>380,00</w:t>
            </w:r>
          </w:p>
        </w:tc>
        <w:tc>
          <w:tcPr>
            <w:tcW w:w="0" w:type="auto"/>
            <w:shd w:val="clear" w:color="auto" w:fill="auto"/>
          </w:tcPr>
          <w:p w14:paraId="06C24501" w14:textId="77777777" w:rsidR="008C5CFA" w:rsidRPr="001C4484" w:rsidRDefault="00E82A60" w:rsidP="00300A01">
            <w:pPr>
              <w:spacing w:before="0" w:after="0"/>
              <w:jc w:val="right"/>
              <w:rPr>
                <w:sz w:val="10"/>
                <w:szCs w:val="10"/>
                <w:lang w:val="fr-BE"/>
              </w:rPr>
            </w:pPr>
            <w:r w:rsidRPr="001C4484">
              <w:rPr>
                <w:noProof/>
                <w:sz w:val="10"/>
                <w:szCs w:val="10"/>
              </w:rPr>
              <w:t>479,00</w:t>
            </w:r>
          </w:p>
        </w:tc>
        <w:tc>
          <w:tcPr>
            <w:tcW w:w="0" w:type="auto"/>
          </w:tcPr>
          <w:p w14:paraId="65DDEB70" w14:textId="77777777" w:rsidR="008C5CFA" w:rsidRPr="001C4484" w:rsidRDefault="00E82A60" w:rsidP="00300A01">
            <w:pPr>
              <w:spacing w:before="0" w:after="0"/>
              <w:jc w:val="right"/>
              <w:rPr>
                <w:sz w:val="10"/>
                <w:szCs w:val="10"/>
              </w:rPr>
            </w:pPr>
            <w:r>
              <w:rPr>
                <w:noProof/>
                <w:sz w:val="10"/>
                <w:szCs w:val="10"/>
              </w:rPr>
              <w:t>384,00</w:t>
            </w:r>
          </w:p>
        </w:tc>
        <w:tc>
          <w:tcPr>
            <w:tcW w:w="0" w:type="auto"/>
            <w:shd w:val="clear" w:color="auto" w:fill="auto"/>
          </w:tcPr>
          <w:p w14:paraId="0D9E0ABF" w14:textId="77777777" w:rsidR="008C5CFA" w:rsidRPr="001C4484" w:rsidRDefault="00E82A60" w:rsidP="00300A01">
            <w:pPr>
              <w:spacing w:before="0" w:after="0"/>
              <w:jc w:val="right"/>
              <w:rPr>
                <w:sz w:val="10"/>
                <w:szCs w:val="10"/>
              </w:rPr>
            </w:pPr>
            <w:r w:rsidRPr="001C4484">
              <w:rPr>
                <w:noProof/>
                <w:sz w:val="10"/>
                <w:szCs w:val="10"/>
              </w:rPr>
              <w:t>191,00</w:t>
            </w:r>
          </w:p>
        </w:tc>
        <w:tc>
          <w:tcPr>
            <w:tcW w:w="0" w:type="auto"/>
            <w:shd w:val="clear" w:color="auto" w:fill="auto"/>
          </w:tcPr>
          <w:p w14:paraId="030EF9D0" w14:textId="77777777" w:rsidR="008C5CFA" w:rsidRPr="001C4484" w:rsidRDefault="00E82A60" w:rsidP="00300A01">
            <w:pPr>
              <w:spacing w:before="0" w:after="0"/>
              <w:jc w:val="right"/>
              <w:rPr>
                <w:sz w:val="10"/>
                <w:szCs w:val="10"/>
                <w:lang w:val="fr-BE"/>
              </w:rPr>
            </w:pPr>
            <w:r w:rsidRPr="001C4484">
              <w:rPr>
                <w:noProof/>
                <w:sz w:val="10"/>
                <w:szCs w:val="10"/>
              </w:rPr>
              <w:t>193,00</w:t>
            </w:r>
          </w:p>
        </w:tc>
        <w:tc>
          <w:tcPr>
            <w:tcW w:w="0" w:type="auto"/>
          </w:tcPr>
          <w:p w14:paraId="70924B6B"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3764442E"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1C98704E" w14:textId="77777777" w:rsidR="008C5CFA" w:rsidRPr="001C4484" w:rsidRDefault="00E82A60" w:rsidP="00300A01">
            <w:pPr>
              <w:spacing w:before="0" w:after="0"/>
              <w:jc w:val="right"/>
              <w:rPr>
                <w:sz w:val="10"/>
                <w:szCs w:val="10"/>
                <w:lang w:val="fr-BE"/>
              </w:rPr>
            </w:pPr>
            <w:r w:rsidRPr="001C4484">
              <w:rPr>
                <w:noProof/>
                <w:sz w:val="10"/>
                <w:szCs w:val="10"/>
              </w:rPr>
              <w:t>0,00</w:t>
            </w:r>
          </w:p>
        </w:tc>
      </w:tr>
      <w:tr w:rsidR="006B2EC1" w14:paraId="77C67834" w14:textId="77777777" w:rsidTr="0047688D">
        <w:tc>
          <w:tcPr>
            <w:tcW w:w="0" w:type="auto"/>
            <w:shd w:val="clear" w:color="auto" w:fill="auto"/>
          </w:tcPr>
          <w:p w14:paraId="220B2DDD" w14:textId="77777777" w:rsidR="008C5CFA" w:rsidRPr="001C4484" w:rsidRDefault="00E82A60" w:rsidP="00300A01">
            <w:pPr>
              <w:spacing w:before="0" w:after="0"/>
              <w:rPr>
                <w:sz w:val="10"/>
                <w:szCs w:val="10"/>
                <w:lang w:val="fr-BE"/>
              </w:rPr>
            </w:pPr>
            <w:r w:rsidRPr="001C4484">
              <w:rPr>
                <w:noProof/>
                <w:sz w:val="10"/>
                <w:szCs w:val="10"/>
                <w:lang w:val="fr-BE"/>
              </w:rPr>
              <w:t>CO18</w:t>
            </w:r>
          </w:p>
        </w:tc>
        <w:tc>
          <w:tcPr>
            <w:tcW w:w="0" w:type="auto"/>
            <w:shd w:val="clear" w:color="auto" w:fill="auto"/>
          </w:tcPr>
          <w:p w14:paraId="21EB3A46" w14:textId="77777777" w:rsidR="008C5CFA" w:rsidRPr="001C4484" w:rsidRDefault="00E82A60" w:rsidP="00300A01">
            <w:pPr>
              <w:spacing w:before="0" w:after="0"/>
              <w:rPr>
                <w:sz w:val="10"/>
                <w:szCs w:val="10"/>
                <w:lang w:val="fr-BE"/>
              </w:rPr>
            </w:pPr>
            <w:r w:rsidRPr="001C4484">
              <w:rPr>
                <w:noProof/>
                <w:sz w:val="10"/>
                <w:szCs w:val="10"/>
                <w:lang w:val="fr-BE"/>
              </w:rPr>
              <w:t>osoby bezdomne lub dotknięte wykluczeniem z dostępu do mieszkań</w:t>
            </w:r>
          </w:p>
        </w:tc>
        <w:tc>
          <w:tcPr>
            <w:tcW w:w="0" w:type="auto"/>
            <w:shd w:val="clear" w:color="auto" w:fill="auto"/>
          </w:tcPr>
          <w:p w14:paraId="582751BD"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7777B658"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469B4362"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4D74D25B" w14:textId="77777777" w:rsidR="008C5CFA" w:rsidRPr="001C4484" w:rsidRDefault="00E82A60" w:rsidP="00300A01">
            <w:pPr>
              <w:spacing w:before="0" w:after="0"/>
              <w:jc w:val="right"/>
              <w:rPr>
                <w:sz w:val="10"/>
                <w:szCs w:val="10"/>
                <w:lang w:val="fr-BE"/>
              </w:rPr>
            </w:pPr>
            <w:r w:rsidRPr="001C4484">
              <w:rPr>
                <w:noProof/>
                <w:sz w:val="10"/>
                <w:szCs w:val="10"/>
              </w:rPr>
              <w:t>0,00</w:t>
            </w:r>
          </w:p>
        </w:tc>
        <w:tc>
          <w:tcPr>
            <w:tcW w:w="0" w:type="auto"/>
          </w:tcPr>
          <w:p w14:paraId="15B6B90A"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1DE56F27"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05E5FFB1" w14:textId="77777777" w:rsidR="008C5CFA" w:rsidRPr="001C4484" w:rsidRDefault="00E82A60" w:rsidP="00300A01">
            <w:pPr>
              <w:spacing w:before="0" w:after="0"/>
              <w:jc w:val="right"/>
              <w:rPr>
                <w:sz w:val="10"/>
                <w:szCs w:val="10"/>
                <w:lang w:val="fr-BE"/>
              </w:rPr>
            </w:pPr>
            <w:r w:rsidRPr="001C4484">
              <w:rPr>
                <w:noProof/>
                <w:sz w:val="10"/>
                <w:szCs w:val="10"/>
              </w:rPr>
              <w:t>0,00</w:t>
            </w:r>
          </w:p>
        </w:tc>
        <w:tc>
          <w:tcPr>
            <w:tcW w:w="0" w:type="auto"/>
          </w:tcPr>
          <w:p w14:paraId="638ED894"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7A179734"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7610A63D" w14:textId="77777777" w:rsidR="008C5CFA" w:rsidRPr="001C4484" w:rsidRDefault="00E82A60" w:rsidP="00300A01">
            <w:pPr>
              <w:spacing w:before="0" w:after="0"/>
              <w:jc w:val="right"/>
              <w:rPr>
                <w:sz w:val="10"/>
                <w:szCs w:val="10"/>
                <w:lang w:val="fr-BE"/>
              </w:rPr>
            </w:pPr>
            <w:r w:rsidRPr="001C4484">
              <w:rPr>
                <w:noProof/>
                <w:sz w:val="10"/>
                <w:szCs w:val="10"/>
              </w:rPr>
              <w:t>0,00</w:t>
            </w:r>
          </w:p>
        </w:tc>
      </w:tr>
      <w:tr w:rsidR="006B2EC1" w14:paraId="0435D32E" w14:textId="77777777" w:rsidTr="0047688D">
        <w:tc>
          <w:tcPr>
            <w:tcW w:w="0" w:type="auto"/>
            <w:shd w:val="clear" w:color="auto" w:fill="auto"/>
          </w:tcPr>
          <w:p w14:paraId="13FE6173" w14:textId="77777777" w:rsidR="008C5CFA" w:rsidRPr="001C4484" w:rsidRDefault="00E82A60" w:rsidP="00300A01">
            <w:pPr>
              <w:spacing w:before="0" w:after="0"/>
              <w:rPr>
                <w:sz w:val="10"/>
                <w:szCs w:val="10"/>
                <w:lang w:val="fr-BE"/>
              </w:rPr>
            </w:pPr>
            <w:r w:rsidRPr="001C4484">
              <w:rPr>
                <w:noProof/>
                <w:sz w:val="10"/>
                <w:szCs w:val="10"/>
                <w:lang w:val="fr-BE"/>
              </w:rPr>
              <w:t>CO19</w:t>
            </w:r>
          </w:p>
        </w:tc>
        <w:tc>
          <w:tcPr>
            <w:tcW w:w="0" w:type="auto"/>
            <w:shd w:val="clear" w:color="auto" w:fill="auto"/>
          </w:tcPr>
          <w:p w14:paraId="20ED2450" w14:textId="77777777" w:rsidR="008C5CFA" w:rsidRPr="001C4484" w:rsidRDefault="00E82A60" w:rsidP="00300A01">
            <w:pPr>
              <w:spacing w:before="0" w:after="0"/>
              <w:rPr>
                <w:sz w:val="10"/>
                <w:szCs w:val="10"/>
                <w:lang w:val="fr-BE"/>
              </w:rPr>
            </w:pPr>
            <w:r w:rsidRPr="001C4484">
              <w:rPr>
                <w:noProof/>
                <w:sz w:val="10"/>
                <w:szCs w:val="10"/>
                <w:lang w:val="fr-BE"/>
              </w:rPr>
              <w:t>osoby pochodzące z obszarów wiejskich</w:t>
            </w:r>
          </w:p>
        </w:tc>
        <w:tc>
          <w:tcPr>
            <w:tcW w:w="0" w:type="auto"/>
            <w:shd w:val="clear" w:color="auto" w:fill="auto"/>
          </w:tcPr>
          <w:p w14:paraId="4496D8FE"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6A0F707F" w14:textId="77777777" w:rsidR="008C5CFA" w:rsidRPr="001C4484" w:rsidRDefault="00E82A60" w:rsidP="00300A01">
            <w:pPr>
              <w:spacing w:before="0" w:after="0"/>
              <w:jc w:val="right"/>
              <w:rPr>
                <w:sz w:val="10"/>
                <w:szCs w:val="10"/>
              </w:rPr>
            </w:pPr>
            <w:r>
              <w:rPr>
                <w:noProof/>
                <w:sz w:val="10"/>
                <w:szCs w:val="10"/>
              </w:rPr>
              <w:t>773,00</w:t>
            </w:r>
          </w:p>
        </w:tc>
        <w:tc>
          <w:tcPr>
            <w:tcW w:w="0" w:type="auto"/>
            <w:shd w:val="clear" w:color="auto" w:fill="auto"/>
          </w:tcPr>
          <w:p w14:paraId="6D5BAB60" w14:textId="77777777" w:rsidR="008C5CFA" w:rsidRPr="001C4484" w:rsidRDefault="00E82A60" w:rsidP="00300A01">
            <w:pPr>
              <w:spacing w:before="0" w:after="0"/>
              <w:jc w:val="right"/>
              <w:rPr>
                <w:sz w:val="10"/>
                <w:szCs w:val="10"/>
              </w:rPr>
            </w:pPr>
            <w:r w:rsidRPr="001C4484">
              <w:rPr>
                <w:noProof/>
                <w:sz w:val="10"/>
                <w:szCs w:val="10"/>
              </w:rPr>
              <w:t>340,00</w:t>
            </w:r>
          </w:p>
        </w:tc>
        <w:tc>
          <w:tcPr>
            <w:tcW w:w="0" w:type="auto"/>
            <w:shd w:val="clear" w:color="auto" w:fill="auto"/>
          </w:tcPr>
          <w:p w14:paraId="70CA69A6" w14:textId="77777777" w:rsidR="008C5CFA" w:rsidRPr="001C4484" w:rsidRDefault="00E82A60" w:rsidP="00300A01">
            <w:pPr>
              <w:spacing w:before="0" w:after="0"/>
              <w:jc w:val="right"/>
              <w:rPr>
                <w:sz w:val="10"/>
                <w:szCs w:val="10"/>
                <w:lang w:val="fr-BE"/>
              </w:rPr>
            </w:pPr>
            <w:r w:rsidRPr="001C4484">
              <w:rPr>
                <w:noProof/>
                <w:sz w:val="10"/>
                <w:szCs w:val="10"/>
              </w:rPr>
              <w:t>433,00</w:t>
            </w:r>
          </w:p>
        </w:tc>
        <w:tc>
          <w:tcPr>
            <w:tcW w:w="0" w:type="auto"/>
          </w:tcPr>
          <w:p w14:paraId="2043F52D" w14:textId="77777777" w:rsidR="008C5CFA" w:rsidRPr="001C4484" w:rsidRDefault="00E82A60" w:rsidP="00300A01">
            <w:pPr>
              <w:spacing w:before="0" w:after="0"/>
              <w:jc w:val="right"/>
              <w:rPr>
                <w:sz w:val="10"/>
                <w:szCs w:val="10"/>
              </w:rPr>
            </w:pPr>
            <w:r>
              <w:rPr>
                <w:noProof/>
                <w:sz w:val="10"/>
                <w:szCs w:val="10"/>
              </w:rPr>
              <w:t>348,00</w:t>
            </w:r>
          </w:p>
        </w:tc>
        <w:tc>
          <w:tcPr>
            <w:tcW w:w="0" w:type="auto"/>
            <w:shd w:val="clear" w:color="auto" w:fill="auto"/>
          </w:tcPr>
          <w:p w14:paraId="6A217A2A" w14:textId="77777777" w:rsidR="008C5CFA" w:rsidRPr="001C4484" w:rsidRDefault="00E82A60" w:rsidP="00300A01">
            <w:pPr>
              <w:spacing w:before="0" w:after="0"/>
              <w:jc w:val="right"/>
              <w:rPr>
                <w:sz w:val="10"/>
                <w:szCs w:val="10"/>
              </w:rPr>
            </w:pPr>
            <w:r w:rsidRPr="001C4484">
              <w:rPr>
                <w:noProof/>
                <w:sz w:val="10"/>
                <w:szCs w:val="10"/>
              </w:rPr>
              <w:t>177,00</w:t>
            </w:r>
          </w:p>
        </w:tc>
        <w:tc>
          <w:tcPr>
            <w:tcW w:w="0" w:type="auto"/>
            <w:shd w:val="clear" w:color="auto" w:fill="auto"/>
          </w:tcPr>
          <w:p w14:paraId="21588DA7" w14:textId="77777777" w:rsidR="008C5CFA" w:rsidRPr="001C4484" w:rsidRDefault="00E82A60" w:rsidP="00300A01">
            <w:pPr>
              <w:spacing w:before="0" w:after="0"/>
              <w:jc w:val="right"/>
              <w:rPr>
                <w:sz w:val="10"/>
                <w:szCs w:val="10"/>
                <w:lang w:val="fr-BE"/>
              </w:rPr>
            </w:pPr>
            <w:r w:rsidRPr="001C4484">
              <w:rPr>
                <w:noProof/>
                <w:sz w:val="10"/>
                <w:szCs w:val="10"/>
              </w:rPr>
              <w:t>171,00</w:t>
            </w:r>
          </w:p>
        </w:tc>
        <w:tc>
          <w:tcPr>
            <w:tcW w:w="0" w:type="auto"/>
          </w:tcPr>
          <w:p w14:paraId="5D3F04D3"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55A90597"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5048641F" w14:textId="77777777" w:rsidR="008C5CFA" w:rsidRPr="001C4484" w:rsidRDefault="00E82A60" w:rsidP="00300A01">
            <w:pPr>
              <w:spacing w:before="0" w:after="0"/>
              <w:jc w:val="right"/>
              <w:rPr>
                <w:sz w:val="10"/>
                <w:szCs w:val="10"/>
                <w:lang w:val="fr-BE"/>
              </w:rPr>
            </w:pPr>
            <w:r w:rsidRPr="001C4484">
              <w:rPr>
                <w:noProof/>
                <w:sz w:val="10"/>
                <w:szCs w:val="10"/>
              </w:rPr>
              <w:t>0,00</w:t>
            </w:r>
          </w:p>
        </w:tc>
      </w:tr>
      <w:tr w:rsidR="006B2EC1" w14:paraId="21C8AAC0" w14:textId="77777777" w:rsidTr="0047688D">
        <w:tc>
          <w:tcPr>
            <w:tcW w:w="0" w:type="auto"/>
            <w:shd w:val="clear" w:color="auto" w:fill="auto"/>
          </w:tcPr>
          <w:p w14:paraId="1FF33DFD" w14:textId="77777777" w:rsidR="008C5CFA" w:rsidRPr="001C4484" w:rsidRDefault="00E82A60" w:rsidP="00300A01">
            <w:pPr>
              <w:spacing w:before="0" w:after="0"/>
              <w:rPr>
                <w:sz w:val="10"/>
                <w:szCs w:val="10"/>
                <w:lang w:val="fr-BE"/>
              </w:rPr>
            </w:pPr>
            <w:r w:rsidRPr="001C4484">
              <w:rPr>
                <w:noProof/>
                <w:sz w:val="10"/>
                <w:szCs w:val="10"/>
                <w:lang w:val="fr-BE"/>
              </w:rPr>
              <w:t>CO20</w:t>
            </w:r>
          </w:p>
        </w:tc>
        <w:tc>
          <w:tcPr>
            <w:tcW w:w="0" w:type="auto"/>
            <w:shd w:val="clear" w:color="auto" w:fill="auto"/>
          </w:tcPr>
          <w:p w14:paraId="519DE82E" w14:textId="77777777" w:rsidR="008C5CFA" w:rsidRPr="001C4484" w:rsidRDefault="00E82A60" w:rsidP="00300A01">
            <w:pPr>
              <w:spacing w:before="0" w:after="0"/>
              <w:rPr>
                <w:sz w:val="10"/>
                <w:szCs w:val="10"/>
                <w:lang w:val="fr-BE"/>
              </w:rPr>
            </w:pPr>
            <w:r w:rsidRPr="001C4484">
              <w:rPr>
                <w:noProof/>
                <w:sz w:val="10"/>
                <w:szCs w:val="10"/>
                <w:lang w:val="fr-BE"/>
              </w:rPr>
              <w:t>liczba projektów zrealizowanych w pełni lub częściowo przez partnerów społecznych lub organizacje pozarządowe</w:t>
            </w:r>
          </w:p>
        </w:tc>
        <w:tc>
          <w:tcPr>
            <w:tcW w:w="0" w:type="auto"/>
            <w:shd w:val="clear" w:color="auto" w:fill="auto"/>
          </w:tcPr>
          <w:p w14:paraId="31E0FB50"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1F15F44C"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2849BEFC" w14:textId="77777777" w:rsidR="008C5CFA" w:rsidRPr="001C4484" w:rsidRDefault="008C5CFA" w:rsidP="00300A01">
            <w:pPr>
              <w:spacing w:before="0" w:after="0"/>
              <w:jc w:val="right"/>
              <w:rPr>
                <w:sz w:val="10"/>
                <w:szCs w:val="10"/>
              </w:rPr>
            </w:pPr>
          </w:p>
        </w:tc>
        <w:tc>
          <w:tcPr>
            <w:tcW w:w="0" w:type="auto"/>
            <w:shd w:val="clear" w:color="auto" w:fill="auto"/>
          </w:tcPr>
          <w:p w14:paraId="303085F1" w14:textId="77777777" w:rsidR="008C5CFA" w:rsidRPr="001C4484" w:rsidRDefault="008C5CFA" w:rsidP="00300A01">
            <w:pPr>
              <w:spacing w:before="0" w:after="0"/>
              <w:jc w:val="right"/>
              <w:rPr>
                <w:sz w:val="10"/>
                <w:szCs w:val="10"/>
                <w:lang w:val="fr-BE"/>
              </w:rPr>
            </w:pPr>
          </w:p>
        </w:tc>
        <w:tc>
          <w:tcPr>
            <w:tcW w:w="0" w:type="auto"/>
          </w:tcPr>
          <w:p w14:paraId="508F3176"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20695D93" w14:textId="77777777" w:rsidR="008C5CFA" w:rsidRPr="001C4484" w:rsidRDefault="008C5CFA" w:rsidP="00300A01">
            <w:pPr>
              <w:spacing w:before="0" w:after="0"/>
              <w:jc w:val="right"/>
              <w:rPr>
                <w:sz w:val="10"/>
                <w:szCs w:val="10"/>
              </w:rPr>
            </w:pPr>
          </w:p>
        </w:tc>
        <w:tc>
          <w:tcPr>
            <w:tcW w:w="0" w:type="auto"/>
            <w:shd w:val="clear" w:color="auto" w:fill="auto"/>
          </w:tcPr>
          <w:p w14:paraId="0537A4DA" w14:textId="77777777" w:rsidR="008C5CFA" w:rsidRPr="001C4484" w:rsidRDefault="008C5CFA" w:rsidP="00300A01">
            <w:pPr>
              <w:spacing w:before="0" w:after="0"/>
              <w:jc w:val="right"/>
              <w:rPr>
                <w:sz w:val="10"/>
                <w:szCs w:val="10"/>
                <w:lang w:val="fr-BE"/>
              </w:rPr>
            </w:pPr>
          </w:p>
        </w:tc>
        <w:tc>
          <w:tcPr>
            <w:tcW w:w="0" w:type="auto"/>
          </w:tcPr>
          <w:p w14:paraId="42BBE782"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3DAD356D" w14:textId="77777777" w:rsidR="008C5CFA" w:rsidRPr="001C4484" w:rsidRDefault="008C5CFA" w:rsidP="00300A01">
            <w:pPr>
              <w:spacing w:before="0" w:after="0"/>
              <w:jc w:val="right"/>
              <w:rPr>
                <w:sz w:val="10"/>
                <w:szCs w:val="10"/>
              </w:rPr>
            </w:pPr>
          </w:p>
        </w:tc>
        <w:tc>
          <w:tcPr>
            <w:tcW w:w="0" w:type="auto"/>
            <w:shd w:val="clear" w:color="auto" w:fill="auto"/>
          </w:tcPr>
          <w:p w14:paraId="38E77036" w14:textId="77777777" w:rsidR="008C5CFA" w:rsidRPr="001C4484" w:rsidRDefault="008C5CFA" w:rsidP="00300A01">
            <w:pPr>
              <w:spacing w:before="0" w:after="0"/>
              <w:jc w:val="right"/>
              <w:rPr>
                <w:sz w:val="10"/>
                <w:szCs w:val="10"/>
                <w:lang w:val="fr-BE"/>
              </w:rPr>
            </w:pPr>
          </w:p>
        </w:tc>
      </w:tr>
      <w:tr w:rsidR="006B2EC1" w14:paraId="0D5B438A" w14:textId="77777777" w:rsidTr="0047688D">
        <w:tc>
          <w:tcPr>
            <w:tcW w:w="0" w:type="auto"/>
            <w:shd w:val="clear" w:color="auto" w:fill="auto"/>
          </w:tcPr>
          <w:p w14:paraId="2A4B4724" w14:textId="77777777" w:rsidR="008C5CFA" w:rsidRPr="001C4484" w:rsidRDefault="00E82A60" w:rsidP="00300A01">
            <w:pPr>
              <w:spacing w:before="0" w:after="0"/>
              <w:rPr>
                <w:sz w:val="10"/>
                <w:szCs w:val="10"/>
                <w:lang w:val="fr-BE"/>
              </w:rPr>
            </w:pPr>
            <w:r w:rsidRPr="001C4484">
              <w:rPr>
                <w:noProof/>
                <w:sz w:val="10"/>
                <w:szCs w:val="10"/>
                <w:lang w:val="fr-BE"/>
              </w:rPr>
              <w:t>CO21</w:t>
            </w:r>
          </w:p>
        </w:tc>
        <w:tc>
          <w:tcPr>
            <w:tcW w:w="0" w:type="auto"/>
            <w:shd w:val="clear" w:color="auto" w:fill="auto"/>
          </w:tcPr>
          <w:p w14:paraId="24F4FD2E" w14:textId="77777777" w:rsidR="008C5CFA" w:rsidRPr="001C4484" w:rsidRDefault="00E82A60" w:rsidP="00300A01">
            <w:pPr>
              <w:spacing w:before="0" w:after="0"/>
              <w:rPr>
                <w:sz w:val="10"/>
                <w:szCs w:val="10"/>
                <w:lang w:val="fr-BE"/>
              </w:rPr>
            </w:pPr>
            <w:r w:rsidRPr="001C4484">
              <w:rPr>
                <w:noProof/>
                <w:sz w:val="10"/>
                <w:szCs w:val="10"/>
                <w:lang w:val="fr-BE"/>
              </w:rPr>
              <w:t>liczba projektów ukierunkowanych na trwały udział kobiet w zatrudnieniu i rozwój ich kariery zawodowej</w:t>
            </w:r>
          </w:p>
        </w:tc>
        <w:tc>
          <w:tcPr>
            <w:tcW w:w="0" w:type="auto"/>
            <w:shd w:val="clear" w:color="auto" w:fill="auto"/>
          </w:tcPr>
          <w:p w14:paraId="65A1A407"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051E83FA"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7EB9C2B7" w14:textId="77777777" w:rsidR="008C5CFA" w:rsidRPr="001C4484" w:rsidRDefault="008C5CFA" w:rsidP="00300A01">
            <w:pPr>
              <w:spacing w:before="0" w:after="0"/>
              <w:jc w:val="right"/>
              <w:rPr>
                <w:sz w:val="10"/>
                <w:szCs w:val="10"/>
              </w:rPr>
            </w:pPr>
          </w:p>
        </w:tc>
        <w:tc>
          <w:tcPr>
            <w:tcW w:w="0" w:type="auto"/>
            <w:shd w:val="clear" w:color="auto" w:fill="auto"/>
          </w:tcPr>
          <w:p w14:paraId="376FEFD3" w14:textId="77777777" w:rsidR="008C5CFA" w:rsidRPr="001C4484" w:rsidRDefault="008C5CFA" w:rsidP="00300A01">
            <w:pPr>
              <w:spacing w:before="0" w:after="0"/>
              <w:jc w:val="right"/>
              <w:rPr>
                <w:sz w:val="10"/>
                <w:szCs w:val="10"/>
                <w:lang w:val="fr-BE"/>
              </w:rPr>
            </w:pPr>
          </w:p>
        </w:tc>
        <w:tc>
          <w:tcPr>
            <w:tcW w:w="0" w:type="auto"/>
          </w:tcPr>
          <w:p w14:paraId="5C50498B"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0F2235D0" w14:textId="77777777" w:rsidR="008C5CFA" w:rsidRPr="001C4484" w:rsidRDefault="008C5CFA" w:rsidP="00300A01">
            <w:pPr>
              <w:spacing w:before="0" w:after="0"/>
              <w:jc w:val="right"/>
              <w:rPr>
                <w:sz w:val="10"/>
                <w:szCs w:val="10"/>
              </w:rPr>
            </w:pPr>
          </w:p>
        </w:tc>
        <w:tc>
          <w:tcPr>
            <w:tcW w:w="0" w:type="auto"/>
            <w:shd w:val="clear" w:color="auto" w:fill="auto"/>
          </w:tcPr>
          <w:p w14:paraId="2E7717A6" w14:textId="77777777" w:rsidR="008C5CFA" w:rsidRPr="001C4484" w:rsidRDefault="008C5CFA" w:rsidP="00300A01">
            <w:pPr>
              <w:spacing w:before="0" w:after="0"/>
              <w:jc w:val="right"/>
              <w:rPr>
                <w:sz w:val="10"/>
                <w:szCs w:val="10"/>
                <w:lang w:val="fr-BE"/>
              </w:rPr>
            </w:pPr>
          </w:p>
        </w:tc>
        <w:tc>
          <w:tcPr>
            <w:tcW w:w="0" w:type="auto"/>
          </w:tcPr>
          <w:p w14:paraId="29D2FFCA"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1EABC2F9" w14:textId="77777777" w:rsidR="008C5CFA" w:rsidRPr="001C4484" w:rsidRDefault="008C5CFA" w:rsidP="00300A01">
            <w:pPr>
              <w:spacing w:before="0" w:after="0"/>
              <w:jc w:val="right"/>
              <w:rPr>
                <w:sz w:val="10"/>
                <w:szCs w:val="10"/>
              </w:rPr>
            </w:pPr>
          </w:p>
        </w:tc>
        <w:tc>
          <w:tcPr>
            <w:tcW w:w="0" w:type="auto"/>
            <w:shd w:val="clear" w:color="auto" w:fill="auto"/>
          </w:tcPr>
          <w:p w14:paraId="3E639516" w14:textId="77777777" w:rsidR="008C5CFA" w:rsidRPr="001C4484" w:rsidRDefault="008C5CFA" w:rsidP="00300A01">
            <w:pPr>
              <w:spacing w:before="0" w:after="0"/>
              <w:jc w:val="right"/>
              <w:rPr>
                <w:sz w:val="10"/>
                <w:szCs w:val="10"/>
                <w:lang w:val="fr-BE"/>
              </w:rPr>
            </w:pPr>
          </w:p>
        </w:tc>
      </w:tr>
      <w:tr w:rsidR="006B2EC1" w14:paraId="62C4AB9D" w14:textId="77777777" w:rsidTr="0047688D">
        <w:tc>
          <w:tcPr>
            <w:tcW w:w="0" w:type="auto"/>
            <w:shd w:val="clear" w:color="auto" w:fill="auto"/>
          </w:tcPr>
          <w:p w14:paraId="013AB0BF" w14:textId="77777777" w:rsidR="008C5CFA" w:rsidRPr="001C4484" w:rsidRDefault="00E82A60" w:rsidP="00300A01">
            <w:pPr>
              <w:spacing w:before="0" w:after="0"/>
              <w:rPr>
                <w:sz w:val="10"/>
                <w:szCs w:val="10"/>
                <w:lang w:val="fr-BE"/>
              </w:rPr>
            </w:pPr>
            <w:r w:rsidRPr="001C4484">
              <w:rPr>
                <w:noProof/>
                <w:sz w:val="10"/>
                <w:szCs w:val="10"/>
                <w:lang w:val="fr-BE"/>
              </w:rPr>
              <w:t>CO22</w:t>
            </w:r>
          </w:p>
        </w:tc>
        <w:tc>
          <w:tcPr>
            <w:tcW w:w="0" w:type="auto"/>
            <w:shd w:val="clear" w:color="auto" w:fill="auto"/>
          </w:tcPr>
          <w:p w14:paraId="439B37EC" w14:textId="77777777" w:rsidR="008C5CFA" w:rsidRPr="001C4484" w:rsidRDefault="00E82A60" w:rsidP="00300A01">
            <w:pPr>
              <w:spacing w:before="0" w:after="0"/>
              <w:rPr>
                <w:sz w:val="10"/>
                <w:szCs w:val="10"/>
                <w:lang w:val="fr-BE"/>
              </w:rPr>
            </w:pPr>
            <w:r w:rsidRPr="001C4484">
              <w:rPr>
                <w:noProof/>
                <w:sz w:val="10"/>
                <w:szCs w:val="10"/>
                <w:lang w:val="fr-BE"/>
              </w:rPr>
              <w:t>liczba projektów obejmujących administrację publiczną lub służby publiczne na szczeblu krajowym, regionalnym lub lokalnym</w:t>
            </w:r>
          </w:p>
        </w:tc>
        <w:tc>
          <w:tcPr>
            <w:tcW w:w="0" w:type="auto"/>
            <w:shd w:val="clear" w:color="auto" w:fill="auto"/>
          </w:tcPr>
          <w:p w14:paraId="34BD3CD7"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5AD3DCD2"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0CCB4087" w14:textId="77777777" w:rsidR="008C5CFA" w:rsidRPr="001C4484" w:rsidRDefault="008C5CFA" w:rsidP="00300A01">
            <w:pPr>
              <w:spacing w:before="0" w:after="0"/>
              <w:jc w:val="right"/>
              <w:rPr>
                <w:sz w:val="10"/>
                <w:szCs w:val="10"/>
              </w:rPr>
            </w:pPr>
          </w:p>
        </w:tc>
        <w:tc>
          <w:tcPr>
            <w:tcW w:w="0" w:type="auto"/>
            <w:shd w:val="clear" w:color="auto" w:fill="auto"/>
          </w:tcPr>
          <w:p w14:paraId="6C774585" w14:textId="77777777" w:rsidR="008C5CFA" w:rsidRPr="001C4484" w:rsidRDefault="008C5CFA" w:rsidP="00300A01">
            <w:pPr>
              <w:spacing w:before="0" w:after="0"/>
              <w:jc w:val="right"/>
              <w:rPr>
                <w:sz w:val="10"/>
                <w:szCs w:val="10"/>
                <w:lang w:val="fr-BE"/>
              </w:rPr>
            </w:pPr>
          </w:p>
        </w:tc>
        <w:tc>
          <w:tcPr>
            <w:tcW w:w="0" w:type="auto"/>
          </w:tcPr>
          <w:p w14:paraId="36B2EE49"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096C40D0" w14:textId="77777777" w:rsidR="008C5CFA" w:rsidRPr="001C4484" w:rsidRDefault="008C5CFA" w:rsidP="00300A01">
            <w:pPr>
              <w:spacing w:before="0" w:after="0"/>
              <w:jc w:val="right"/>
              <w:rPr>
                <w:sz w:val="10"/>
                <w:szCs w:val="10"/>
              </w:rPr>
            </w:pPr>
          </w:p>
        </w:tc>
        <w:tc>
          <w:tcPr>
            <w:tcW w:w="0" w:type="auto"/>
            <w:shd w:val="clear" w:color="auto" w:fill="auto"/>
          </w:tcPr>
          <w:p w14:paraId="18FF1A52" w14:textId="77777777" w:rsidR="008C5CFA" w:rsidRPr="001C4484" w:rsidRDefault="008C5CFA" w:rsidP="00300A01">
            <w:pPr>
              <w:spacing w:before="0" w:after="0"/>
              <w:jc w:val="right"/>
              <w:rPr>
                <w:sz w:val="10"/>
                <w:szCs w:val="10"/>
                <w:lang w:val="fr-BE"/>
              </w:rPr>
            </w:pPr>
          </w:p>
        </w:tc>
        <w:tc>
          <w:tcPr>
            <w:tcW w:w="0" w:type="auto"/>
          </w:tcPr>
          <w:p w14:paraId="0DA17C75"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07303E9E" w14:textId="77777777" w:rsidR="008C5CFA" w:rsidRPr="001C4484" w:rsidRDefault="008C5CFA" w:rsidP="00300A01">
            <w:pPr>
              <w:spacing w:before="0" w:after="0"/>
              <w:jc w:val="right"/>
              <w:rPr>
                <w:sz w:val="10"/>
                <w:szCs w:val="10"/>
              </w:rPr>
            </w:pPr>
          </w:p>
        </w:tc>
        <w:tc>
          <w:tcPr>
            <w:tcW w:w="0" w:type="auto"/>
            <w:shd w:val="clear" w:color="auto" w:fill="auto"/>
          </w:tcPr>
          <w:p w14:paraId="60DEEA05" w14:textId="77777777" w:rsidR="008C5CFA" w:rsidRPr="001C4484" w:rsidRDefault="008C5CFA" w:rsidP="00300A01">
            <w:pPr>
              <w:spacing w:before="0" w:after="0"/>
              <w:jc w:val="right"/>
              <w:rPr>
                <w:sz w:val="10"/>
                <w:szCs w:val="10"/>
                <w:lang w:val="fr-BE"/>
              </w:rPr>
            </w:pPr>
          </w:p>
        </w:tc>
      </w:tr>
      <w:tr w:rsidR="006B2EC1" w14:paraId="5C81E088" w14:textId="77777777" w:rsidTr="0047688D">
        <w:tc>
          <w:tcPr>
            <w:tcW w:w="0" w:type="auto"/>
            <w:shd w:val="clear" w:color="auto" w:fill="auto"/>
          </w:tcPr>
          <w:p w14:paraId="2DF89228" w14:textId="77777777" w:rsidR="008C5CFA" w:rsidRPr="001C4484" w:rsidRDefault="00E82A60" w:rsidP="00300A01">
            <w:pPr>
              <w:spacing w:before="0" w:after="0"/>
              <w:rPr>
                <w:sz w:val="10"/>
                <w:szCs w:val="10"/>
                <w:lang w:val="fr-BE"/>
              </w:rPr>
            </w:pPr>
            <w:r w:rsidRPr="001C4484">
              <w:rPr>
                <w:noProof/>
                <w:sz w:val="10"/>
                <w:szCs w:val="10"/>
                <w:lang w:val="fr-BE"/>
              </w:rPr>
              <w:t>CO23</w:t>
            </w:r>
          </w:p>
        </w:tc>
        <w:tc>
          <w:tcPr>
            <w:tcW w:w="0" w:type="auto"/>
            <w:shd w:val="clear" w:color="auto" w:fill="auto"/>
          </w:tcPr>
          <w:p w14:paraId="340BE67E" w14:textId="77777777" w:rsidR="008C5CFA" w:rsidRPr="001C4484" w:rsidRDefault="00E82A60" w:rsidP="00300A01">
            <w:pPr>
              <w:spacing w:before="0" w:after="0"/>
              <w:rPr>
                <w:sz w:val="10"/>
                <w:szCs w:val="10"/>
                <w:lang w:val="fr-BE"/>
              </w:rPr>
            </w:pPr>
            <w:r w:rsidRPr="001C4484">
              <w:rPr>
                <w:noProof/>
                <w:sz w:val="10"/>
                <w:szCs w:val="10"/>
                <w:lang w:val="fr-BE"/>
              </w:rPr>
              <w:t>liczba objętych wsparciem mikro-, małych i średnich przedsiębiorstw (w tym przedsiębiorstw spółdzielczych i przedsiębiorstw gospodarki społecznej)</w:t>
            </w:r>
          </w:p>
        </w:tc>
        <w:tc>
          <w:tcPr>
            <w:tcW w:w="0" w:type="auto"/>
            <w:shd w:val="clear" w:color="auto" w:fill="auto"/>
          </w:tcPr>
          <w:p w14:paraId="47964112"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6A4B2C73" w14:textId="77777777" w:rsidR="008C5CFA" w:rsidRPr="001C4484" w:rsidRDefault="00E82A60" w:rsidP="00300A01">
            <w:pPr>
              <w:spacing w:before="0" w:after="0"/>
              <w:jc w:val="right"/>
              <w:rPr>
                <w:sz w:val="10"/>
                <w:szCs w:val="10"/>
              </w:rPr>
            </w:pPr>
            <w:r>
              <w:rPr>
                <w:noProof/>
                <w:sz w:val="10"/>
                <w:szCs w:val="10"/>
              </w:rPr>
              <w:t>732,00</w:t>
            </w:r>
          </w:p>
        </w:tc>
        <w:tc>
          <w:tcPr>
            <w:tcW w:w="0" w:type="auto"/>
            <w:shd w:val="clear" w:color="auto" w:fill="auto"/>
          </w:tcPr>
          <w:p w14:paraId="60F51A9B" w14:textId="77777777" w:rsidR="008C5CFA" w:rsidRPr="001C4484" w:rsidRDefault="008C5CFA" w:rsidP="00300A01">
            <w:pPr>
              <w:spacing w:before="0" w:after="0"/>
              <w:jc w:val="right"/>
              <w:rPr>
                <w:sz w:val="10"/>
                <w:szCs w:val="10"/>
              </w:rPr>
            </w:pPr>
          </w:p>
        </w:tc>
        <w:tc>
          <w:tcPr>
            <w:tcW w:w="0" w:type="auto"/>
            <w:shd w:val="clear" w:color="auto" w:fill="auto"/>
          </w:tcPr>
          <w:p w14:paraId="360A9C8D" w14:textId="77777777" w:rsidR="008C5CFA" w:rsidRPr="001C4484" w:rsidRDefault="008C5CFA" w:rsidP="00300A01">
            <w:pPr>
              <w:spacing w:before="0" w:after="0"/>
              <w:jc w:val="right"/>
              <w:rPr>
                <w:sz w:val="10"/>
                <w:szCs w:val="10"/>
                <w:lang w:val="fr-BE"/>
              </w:rPr>
            </w:pPr>
          </w:p>
        </w:tc>
        <w:tc>
          <w:tcPr>
            <w:tcW w:w="0" w:type="auto"/>
          </w:tcPr>
          <w:p w14:paraId="5024AACF" w14:textId="77777777" w:rsidR="008C5CFA" w:rsidRPr="001C4484" w:rsidRDefault="00E82A60" w:rsidP="00300A01">
            <w:pPr>
              <w:spacing w:before="0" w:after="0"/>
              <w:jc w:val="right"/>
              <w:rPr>
                <w:sz w:val="10"/>
                <w:szCs w:val="10"/>
              </w:rPr>
            </w:pPr>
            <w:r>
              <w:rPr>
                <w:noProof/>
                <w:sz w:val="10"/>
                <w:szCs w:val="10"/>
              </w:rPr>
              <w:t>234,00</w:t>
            </w:r>
          </w:p>
        </w:tc>
        <w:tc>
          <w:tcPr>
            <w:tcW w:w="0" w:type="auto"/>
            <w:shd w:val="clear" w:color="auto" w:fill="auto"/>
          </w:tcPr>
          <w:p w14:paraId="29B99C05" w14:textId="77777777" w:rsidR="008C5CFA" w:rsidRPr="001C4484" w:rsidRDefault="008C5CFA" w:rsidP="00300A01">
            <w:pPr>
              <w:spacing w:before="0" w:after="0"/>
              <w:jc w:val="right"/>
              <w:rPr>
                <w:sz w:val="10"/>
                <w:szCs w:val="10"/>
              </w:rPr>
            </w:pPr>
          </w:p>
        </w:tc>
        <w:tc>
          <w:tcPr>
            <w:tcW w:w="0" w:type="auto"/>
            <w:shd w:val="clear" w:color="auto" w:fill="auto"/>
          </w:tcPr>
          <w:p w14:paraId="50A336F8" w14:textId="77777777" w:rsidR="008C5CFA" w:rsidRPr="001C4484" w:rsidRDefault="008C5CFA" w:rsidP="00300A01">
            <w:pPr>
              <w:spacing w:before="0" w:after="0"/>
              <w:jc w:val="right"/>
              <w:rPr>
                <w:sz w:val="10"/>
                <w:szCs w:val="10"/>
                <w:lang w:val="fr-BE"/>
              </w:rPr>
            </w:pPr>
          </w:p>
        </w:tc>
        <w:tc>
          <w:tcPr>
            <w:tcW w:w="0" w:type="auto"/>
          </w:tcPr>
          <w:p w14:paraId="2080A90E"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02E23337" w14:textId="77777777" w:rsidR="008C5CFA" w:rsidRPr="001C4484" w:rsidRDefault="008C5CFA" w:rsidP="00300A01">
            <w:pPr>
              <w:spacing w:before="0" w:after="0"/>
              <w:jc w:val="right"/>
              <w:rPr>
                <w:sz w:val="10"/>
                <w:szCs w:val="10"/>
              </w:rPr>
            </w:pPr>
          </w:p>
        </w:tc>
        <w:tc>
          <w:tcPr>
            <w:tcW w:w="0" w:type="auto"/>
            <w:shd w:val="clear" w:color="auto" w:fill="auto"/>
          </w:tcPr>
          <w:p w14:paraId="3AD37024" w14:textId="77777777" w:rsidR="008C5CFA" w:rsidRPr="001C4484" w:rsidRDefault="008C5CFA" w:rsidP="00300A01">
            <w:pPr>
              <w:spacing w:before="0" w:after="0"/>
              <w:jc w:val="right"/>
              <w:rPr>
                <w:sz w:val="10"/>
                <w:szCs w:val="10"/>
                <w:lang w:val="fr-BE"/>
              </w:rPr>
            </w:pPr>
          </w:p>
        </w:tc>
      </w:tr>
      <w:tr w:rsidR="006B2EC1" w14:paraId="0CC1D2D4" w14:textId="77777777" w:rsidTr="0047688D">
        <w:tc>
          <w:tcPr>
            <w:tcW w:w="0" w:type="auto"/>
            <w:shd w:val="clear" w:color="auto" w:fill="auto"/>
          </w:tcPr>
          <w:p w14:paraId="7D8FAEE0" w14:textId="77777777" w:rsidR="008C5CFA" w:rsidRPr="001C4484" w:rsidRDefault="008C5CFA" w:rsidP="00300A01">
            <w:pPr>
              <w:spacing w:before="0" w:after="0"/>
              <w:rPr>
                <w:sz w:val="10"/>
                <w:szCs w:val="10"/>
                <w:lang w:val="fr-BE"/>
              </w:rPr>
            </w:pPr>
          </w:p>
        </w:tc>
        <w:tc>
          <w:tcPr>
            <w:tcW w:w="0" w:type="auto"/>
            <w:shd w:val="clear" w:color="auto" w:fill="auto"/>
          </w:tcPr>
          <w:p w14:paraId="0C34AFAE" w14:textId="77777777" w:rsidR="008C5CFA" w:rsidRPr="001C4484" w:rsidRDefault="00E82A60" w:rsidP="00300A01">
            <w:pPr>
              <w:spacing w:before="0" w:after="0"/>
              <w:rPr>
                <w:sz w:val="10"/>
                <w:szCs w:val="10"/>
                <w:lang w:val="fr-BE"/>
              </w:rPr>
            </w:pPr>
            <w:r w:rsidRPr="001C4484">
              <w:rPr>
                <w:noProof/>
                <w:sz w:val="10"/>
                <w:szCs w:val="10"/>
                <w:lang w:val="fr-BE"/>
              </w:rPr>
              <w:t>Całkowita łączna liczba uczestników</w:t>
            </w:r>
          </w:p>
        </w:tc>
        <w:tc>
          <w:tcPr>
            <w:tcW w:w="0" w:type="auto"/>
            <w:shd w:val="clear" w:color="auto" w:fill="auto"/>
          </w:tcPr>
          <w:p w14:paraId="5C4453B1" w14:textId="77777777" w:rsidR="008C5CFA" w:rsidRPr="001C4484" w:rsidRDefault="008C5CFA" w:rsidP="00300A01">
            <w:pPr>
              <w:spacing w:before="0" w:after="0"/>
              <w:rPr>
                <w:sz w:val="10"/>
                <w:szCs w:val="10"/>
                <w:lang w:val="fr-BE"/>
              </w:rPr>
            </w:pPr>
          </w:p>
        </w:tc>
        <w:tc>
          <w:tcPr>
            <w:tcW w:w="0" w:type="auto"/>
          </w:tcPr>
          <w:p w14:paraId="444B90F5" w14:textId="77777777" w:rsidR="008C5CFA" w:rsidRPr="001C4484" w:rsidRDefault="00E82A60" w:rsidP="00300A01">
            <w:pPr>
              <w:spacing w:before="0" w:after="0"/>
              <w:jc w:val="right"/>
              <w:rPr>
                <w:sz w:val="10"/>
                <w:szCs w:val="10"/>
              </w:rPr>
            </w:pPr>
            <w:r>
              <w:rPr>
                <w:noProof/>
                <w:sz w:val="10"/>
                <w:szCs w:val="10"/>
              </w:rPr>
              <w:t>1 788,00</w:t>
            </w:r>
          </w:p>
        </w:tc>
        <w:tc>
          <w:tcPr>
            <w:tcW w:w="0" w:type="auto"/>
            <w:shd w:val="clear" w:color="auto" w:fill="auto"/>
          </w:tcPr>
          <w:p w14:paraId="2204D0CF" w14:textId="77777777" w:rsidR="008C5CFA" w:rsidRPr="001C4484" w:rsidRDefault="008C5CFA" w:rsidP="00300A01">
            <w:pPr>
              <w:spacing w:before="0" w:after="0"/>
              <w:jc w:val="right"/>
              <w:rPr>
                <w:sz w:val="10"/>
                <w:szCs w:val="10"/>
              </w:rPr>
            </w:pPr>
          </w:p>
        </w:tc>
        <w:tc>
          <w:tcPr>
            <w:tcW w:w="0" w:type="auto"/>
            <w:shd w:val="clear" w:color="auto" w:fill="auto"/>
          </w:tcPr>
          <w:p w14:paraId="2DCB6BD1" w14:textId="77777777" w:rsidR="008C5CFA" w:rsidRPr="001C4484" w:rsidRDefault="008C5CFA" w:rsidP="00300A01">
            <w:pPr>
              <w:spacing w:before="0" w:after="0"/>
              <w:jc w:val="right"/>
              <w:rPr>
                <w:sz w:val="10"/>
                <w:szCs w:val="10"/>
                <w:lang w:val="fr-BE"/>
              </w:rPr>
            </w:pPr>
          </w:p>
        </w:tc>
        <w:tc>
          <w:tcPr>
            <w:tcW w:w="0" w:type="auto"/>
          </w:tcPr>
          <w:p w14:paraId="6FF409DD" w14:textId="77777777" w:rsidR="008C5CFA" w:rsidRPr="001C4484" w:rsidRDefault="00E82A60" w:rsidP="00300A01">
            <w:pPr>
              <w:spacing w:before="0" w:after="0"/>
              <w:jc w:val="right"/>
              <w:rPr>
                <w:sz w:val="10"/>
                <w:szCs w:val="10"/>
              </w:rPr>
            </w:pPr>
            <w:r>
              <w:rPr>
                <w:noProof/>
                <w:sz w:val="10"/>
                <w:szCs w:val="10"/>
              </w:rPr>
              <w:t>679,00</w:t>
            </w:r>
          </w:p>
        </w:tc>
        <w:tc>
          <w:tcPr>
            <w:tcW w:w="0" w:type="auto"/>
            <w:shd w:val="clear" w:color="auto" w:fill="auto"/>
          </w:tcPr>
          <w:p w14:paraId="002B546E" w14:textId="77777777" w:rsidR="008C5CFA" w:rsidRPr="001C4484" w:rsidRDefault="008C5CFA" w:rsidP="00300A01">
            <w:pPr>
              <w:spacing w:before="0" w:after="0"/>
              <w:jc w:val="right"/>
              <w:rPr>
                <w:sz w:val="10"/>
                <w:szCs w:val="10"/>
              </w:rPr>
            </w:pPr>
          </w:p>
        </w:tc>
        <w:tc>
          <w:tcPr>
            <w:tcW w:w="0" w:type="auto"/>
            <w:shd w:val="clear" w:color="auto" w:fill="auto"/>
          </w:tcPr>
          <w:p w14:paraId="1952BE3B" w14:textId="77777777" w:rsidR="008C5CFA" w:rsidRPr="001C4484" w:rsidRDefault="008C5CFA" w:rsidP="00300A01">
            <w:pPr>
              <w:spacing w:before="0" w:after="0"/>
              <w:jc w:val="right"/>
              <w:rPr>
                <w:sz w:val="10"/>
                <w:szCs w:val="10"/>
                <w:lang w:val="fr-BE"/>
              </w:rPr>
            </w:pPr>
          </w:p>
        </w:tc>
        <w:tc>
          <w:tcPr>
            <w:tcW w:w="0" w:type="auto"/>
          </w:tcPr>
          <w:p w14:paraId="16588EBE"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5E68BE6F" w14:textId="77777777" w:rsidR="008C5CFA" w:rsidRPr="001C4484" w:rsidRDefault="008C5CFA" w:rsidP="00300A01">
            <w:pPr>
              <w:spacing w:before="0" w:after="0"/>
              <w:jc w:val="right"/>
              <w:rPr>
                <w:sz w:val="10"/>
                <w:szCs w:val="10"/>
              </w:rPr>
            </w:pPr>
          </w:p>
        </w:tc>
        <w:tc>
          <w:tcPr>
            <w:tcW w:w="0" w:type="auto"/>
            <w:shd w:val="clear" w:color="auto" w:fill="auto"/>
          </w:tcPr>
          <w:p w14:paraId="735E892F" w14:textId="77777777" w:rsidR="008C5CFA" w:rsidRPr="001C4484" w:rsidRDefault="008C5CFA" w:rsidP="00300A01">
            <w:pPr>
              <w:spacing w:before="0" w:after="0"/>
              <w:jc w:val="right"/>
              <w:rPr>
                <w:sz w:val="10"/>
                <w:szCs w:val="10"/>
                <w:lang w:val="fr-BE"/>
              </w:rPr>
            </w:pPr>
          </w:p>
        </w:tc>
      </w:tr>
    </w:tbl>
    <w:p w14:paraId="02C1C126"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514"/>
        <w:gridCol w:w="8970"/>
        <w:gridCol w:w="1534"/>
        <w:gridCol w:w="638"/>
        <w:gridCol w:w="807"/>
        <w:gridCol w:w="638"/>
        <w:gridCol w:w="638"/>
        <w:gridCol w:w="807"/>
        <w:gridCol w:w="638"/>
      </w:tblGrid>
      <w:tr w:rsidR="006B2EC1" w14:paraId="1F4A1206" w14:textId="77777777" w:rsidTr="0047688D">
        <w:tc>
          <w:tcPr>
            <w:tcW w:w="0" w:type="auto"/>
            <w:shd w:val="clear" w:color="auto" w:fill="auto"/>
          </w:tcPr>
          <w:p w14:paraId="5E1B6FC6" w14:textId="77777777" w:rsidR="008C5CFA" w:rsidRPr="001C4484" w:rsidRDefault="00E82A60" w:rsidP="00300A01">
            <w:pPr>
              <w:spacing w:before="0" w:after="0"/>
              <w:rPr>
                <w:sz w:val="10"/>
                <w:szCs w:val="10"/>
              </w:rPr>
            </w:pPr>
            <w:r w:rsidRPr="001C4484">
              <w:rPr>
                <w:b/>
                <w:noProof/>
                <w:sz w:val="12"/>
                <w:szCs w:val="12"/>
                <w:lang w:val="fr-BE"/>
              </w:rPr>
              <w:t>ID</w:t>
            </w:r>
          </w:p>
        </w:tc>
        <w:tc>
          <w:tcPr>
            <w:tcW w:w="0" w:type="auto"/>
            <w:shd w:val="clear" w:color="auto" w:fill="auto"/>
          </w:tcPr>
          <w:p w14:paraId="5D9BD5C6" w14:textId="77777777" w:rsidR="008C5CFA" w:rsidRPr="001C4484" w:rsidRDefault="00E82A60" w:rsidP="00300A01">
            <w:pPr>
              <w:spacing w:before="0" w:after="0"/>
              <w:rPr>
                <w:sz w:val="10"/>
                <w:szCs w:val="10"/>
              </w:rPr>
            </w:pPr>
            <w:r w:rsidRPr="001C4484">
              <w:rPr>
                <w:b/>
                <w:noProof/>
                <w:sz w:val="12"/>
                <w:szCs w:val="12"/>
                <w:lang w:val="fr-BE"/>
              </w:rPr>
              <w:t>Wskaźnik</w:t>
            </w:r>
          </w:p>
        </w:tc>
        <w:tc>
          <w:tcPr>
            <w:tcW w:w="0" w:type="auto"/>
            <w:shd w:val="clear" w:color="auto" w:fill="auto"/>
          </w:tcPr>
          <w:p w14:paraId="3E64EB6A" w14:textId="77777777" w:rsidR="008C5CFA" w:rsidRPr="001C4484" w:rsidRDefault="00E82A60" w:rsidP="00300A01">
            <w:pPr>
              <w:spacing w:before="0" w:after="0"/>
              <w:rPr>
                <w:sz w:val="10"/>
                <w:szCs w:val="10"/>
              </w:rPr>
            </w:pPr>
            <w:r w:rsidRPr="001C4484">
              <w:rPr>
                <w:b/>
                <w:noProof/>
                <w:sz w:val="12"/>
                <w:szCs w:val="12"/>
                <w:lang w:val="fr-BE"/>
              </w:rPr>
              <w:t>Kategoria regionu</w:t>
            </w:r>
          </w:p>
        </w:tc>
        <w:tc>
          <w:tcPr>
            <w:tcW w:w="0" w:type="auto"/>
            <w:gridSpan w:val="3"/>
          </w:tcPr>
          <w:p w14:paraId="40A81D38" w14:textId="77777777" w:rsidR="008C5CFA" w:rsidRPr="001C4484" w:rsidRDefault="00E82A60" w:rsidP="00300A01">
            <w:pPr>
              <w:spacing w:before="0" w:after="0"/>
              <w:jc w:val="center"/>
              <w:rPr>
                <w:sz w:val="10"/>
                <w:szCs w:val="10"/>
              </w:rPr>
            </w:pPr>
            <w:r w:rsidRPr="001C4484">
              <w:rPr>
                <w:sz w:val="10"/>
                <w:szCs w:val="10"/>
              </w:rPr>
              <w:t>2015</w:t>
            </w:r>
          </w:p>
        </w:tc>
        <w:tc>
          <w:tcPr>
            <w:tcW w:w="0" w:type="auto"/>
            <w:gridSpan w:val="3"/>
          </w:tcPr>
          <w:p w14:paraId="0C75D3C6" w14:textId="77777777" w:rsidR="008C5CFA" w:rsidRPr="001C4484" w:rsidRDefault="00E82A60" w:rsidP="00300A01">
            <w:pPr>
              <w:spacing w:before="0" w:after="0"/>
              <w:jc w:val="center"/>
              <w:rPr>
                <w:sz w:val="10"/>
                <w:szCs w:val="10"/>
              </w:rPr>
            </w:pPr>
            <w:r w:rsidRPr="001C4484">
              <w:rPr>
                <w:sz w:val="10"/>
                <w:szCs w:val="10"/>
              </w:rPr>
              <w:t>2014</w:t>
            </w:r>
          </w:p>
        </w:tc>
      </w:tr>
      <w:tr w:rsidR="006B2EC1" w14:paraId="68B80D41" w14:textId="77777777" w:rsidTr="0047688D">
        <w:tc>
          <w:tcPr>
            <w:tcW w:w="0" w:type="auto"/>
            <w:shd w:val="clear" w:color="auto" w:fill="auto"/>
          </w:tcPr>
          <w:p w14:paraId="77A22168" w14:textId="77777777" w:rsidR="008C5CFA" w:rsidRPr="001C4484" w:rsidRDefault="008C5CFA" w:rsidP="00300A01">
            <w:pPr>
              <w:spacing w:before="0" w:after="0"/>
              <w:rPr>
                <w:sz w:val="10"/>
                <w:szCs w:val="10"/>
              </w:rPr>
            </w:pPr>
          </w:p>
        </w:tc>
        <w:tc>
          <w:tcPr>
            <w:tcW w:w="0" w:type="auto"/>
            <w:shd w:val="clear" w:color="auto" w:fill="auto"/>
          </w:tcPr>
          <w:p w14:paraId="21E87996" w14:textId="77777777" w:rsidR="008C5CFA" w:rsidRPr="001C4484" w:rsidRDefault="008C5CFA" w:rsidP="00300A01">
            <w:pPr>
              <w:spacing w:before="0" w:after="0"/>
              <w:rPr>
                <w:sz w:val="10"/>
                <w:szCs w:val="10"/>
              </w:rPr>
            </w:pPr>
          </w:p>
        </w:tc>
        <w:tc>
          <w:tcPr>
            <w:tcW w:w="0" w:type="auto"/>
            <w:shd w:val="clear" w:color="auto" w:fill="auto"/>
          </w:tcPr>
          <w:p w14:paraId="6E8D2B0F" w14:textId="77777777" w:rsidR="008C5CFA" w:rsidRPr="001C4484" w:rsidRDefault="008C5CFA" w:rsidP="00300A01">
            <w:pPr>
              <w:spacing w:before="0" w:after="0"/>
              <w:rPr>
                <w:sz w:val="10"/>
                <w:szCs w:val="10"/>
              </w:rPr>
            </w:pPr>
          </w:p>
        </w:tc>
        <w:tc>
          <w:tcPr>
            <w:tcW w:w="0" w:type="auto"/>
          </w:tcPr>
          <w:p w14:paraId="38B9C7CD" w14:textId="77777777" w:rsidR="008C5CFA" w:rsidRPr="001C4484" w:rsidRDefault="00E82A60" w:rsidP="00300A01">
            <w:pPr>
              <w:spacing w:before="0" w:after="0"/>
              <w:jc w:val="center"/>
              <w:rPr>
                <w:sz w:val="10"/>
                <w:szCs w:val="10"/>
              </w:rPr>
            </w:pPr>
            <w:r>
              <w:rPr>
                <w:noProof/>
                <w:sz w:val="10"/>
                <w:szCs w:val="10"/>
              </w:rPr>
              <w:t>Ogółem</w:t>
            </w:r>
          </w:p>
        </w:tc>
        <w:tc>
          <w:tcPr>
            <w:tcW w:w="0" w:type="auto"/>
            <w:shd w:val="clear" w:color="auto" w:fill="auto"/>
          </w:tcPr>
          <w:p w14:paraId="4A32C5EF" w14:textId="77777777" w:rsidR="008C5CFA" w:rsidRPr="001C4484" w:rsidRDefault="00E82A60" w:rsidP="00300A01">
            <w:pPr>
              <w:spacing w:before="0" w:after="0"/>
              <w:jc w:val="center"/>
              <w:rPr>
                <w:sz w:val="10"/>
                <w:szCs w:val="10"/>
              </w:rPr>
            </w:pPr>
            <w:r w:rsidRPr="001C4484">
              <w:rPr>
                <w:noProof/>
                <w:sz w:val="10"/>
                <w:szCs w:val="10"/>
              </w:rPr>
              <w:t>Mężczyźni</w:t>
            </w:r>
          </w:p>
        </w:tc>
        <w:tc>
          <w:tcPr>
            <w:tcW w:w="0" w:type="auto"/>
            <w:shd w:val="clear" w:color="auto" w:fill="auto"/>
          </w:tcPr>
          <w:p w14:paraId="18E04016" w14:textId="77777777" w:rsidR="008C5CFA" w:rsidRPr="001C4484" w:rsidRDefault="00E82A60" w:rsidP="00300A01">
            <w:pPr>
              <w:spacing w:before="0" w:after="0"/>
              <w:jc w:val="center"/>
              <w:rPr>
                <w:sz w:val="10"/>
                <w:szCs w:val="10"/>
              </w:rPr>
            </w:pPr>
            <w:r w:rsidRPr="001C4484">
              <w:rPr>
                <w:noProof/>
                <w:sz w:val="10"/>
                <w:szCs w:val="10"/>
              </w:rPr>
              <w:t>Kobiety</w:t>
            </w:r>
          </w:p>
        </w:tc>
        <w:tc>
          <w:tcPr>
            <w:tcW w:w="0" w:type="auto"/>
          </w:tcPr>
          <w:p w14:paraId="6E0752CC" w14:textId="77777777" w:rsidR="008C5CFA" w:rsidRPr="001C4484" w:rsidRDefault="00E82A60" w:rsidP="00300A01">
            <w:pPr>
              <w:spacing w:before="0" w:after="0"/>
              <w:jc w:val="center"/>
              <w:rPr>
                <w:sz w:val="10"/>
                <w:szCs w:val="10"/>
              </w:rPr>
            </w:pPr>
            <w:r>
              <w:rPr>
                <w:noProof/>
                <w:sz w:val="10"/>
                <w:szCs w:val="10"/>
              </w:rPr>
              <w:t>Ogółem</w:t>
            </w:r>
          </w:p>
        </w:tc>
        <w:tc>
          <w:tcPr>
            <w:tcW w:w="0" w:type="auto"/>
            <w:shd w:val="clear" w:color="auto" w:fill="auto"/>
          </w:tcPr>
          <w:p w14:paraId="2A004EE7" w14:textId="77777777" w:rsidR="008C5CFA" w:rsidRPr="001C4484" w:rsidRDefault="00E82A60" w:rsidP="00300A01">
            <w:pPr>
              <w:spacing w:before="0" w:after="0"/>
              <w:jc w:val="center"/>
              <w:rPr>
                <w:sz w:val="10"/>
                <w:szCs w:val="10"/>
              </w:rPr>
            </w:pPr>
            <w:r w:rsidRPr="001C4484">
              <w:rPr>
                <w:noProof/>
                <w:sz w:val="10"/>
                <w:szCs w:val="10"/>
              </w:rPr>
              <w:t>Mężczyźni</w:t>
            </w:r>
          </w:p>
        </w:tc>
        <w:tc>
          <w:tcPr>
            <w:tcW w:w="0" w:type="auto"/>
            <w:shd w:val="clear" w:color="auto" w:fill="auto"/>
          </w:tcPr>
          <w:p w14:paraId="68DFB1E2" w14:textId="77777777" w:rsidR="008C5CFA" w:rsidRPr="001C4484" w:rsidRDefault="00E82A60" w:rsidP="00300A01">
            <w:pPr>
              <w:spacing w:before="0" w:after="0"/>
              <w:jc w:val="center"/>
              <w:rPr>
                <w:sz w:val="10"/>
                <w:szCs w:val="10"/>
              </w:rPr>
            </w:pPr>
            <w:r w:rsidRPr="001C4484">
              <w:rPr>
                <w:noProof/>
                <w:sz w:val="10"/>
                <w:szCs w:val="10"/>
              </w:rPr>
              <w:t>Kobiety</w:t>
            </w:r>
          </w:p>
        </w:tc>
      </w:tr>
      <w:tr w:rsidR="006B2EC1" w14:paraId="42F6322E" w14:textId="77777777" w:rsidTr="0047688D">
        <w:tc>
          <w:tcPr>
            <w:tcW w:w="0" w:type="auto"/>
            <w:shd w:val="clear" w:color="auto" w:fill="auto"/>
          </w:tcPr>
          <w:p w14:paraId="77E174DD" w14:textId="77777777" w:rsidR="008C5CFA" w:rsidRPr="001C4484" w:rsidRDefault="00E82A60" w:rsidP="00300A01">
            <w:pPr>
              <w:spacing w:before="0" w:after="0"/>
              <w:rPr>
                <w:sz w:val="10"/>
                <w:szCs w:val="10"/>
                <w:lang w:val="fr-BE"/>
              </w:rPr>
            </w:pPr>
            <w:r w:rsidRPr="001C4484">
              <w:rPr>
                <w:noProof/>
                <w:sz w:val="10"/>
                <w:szCs w:val="10"/>
                <w:lang w:val="fr-BE"/>
              </w:rPr>
              <w:t>CO01</w:t>
            </w:r>
          </w:p>
        </w:tc>
        <w:tc>
          <w:tcPr>
            <w:tcW w:w="0" w:type="auto"/>
            <w:shd w:val="clear" w:color="auto" w:fill="auto"/>
          </w:tcPr>
          <w:p w14:paraId="1F4D44F6" w14:textId="77777777" w:rsidR="008C5CFA" w:rsidRPr="001C4484" w:rsidRDefault="00E82A60" w:rsidP="00300A01">
            <w:pPr>
              <w:spacing w:before="0" w:after="0"/>
              <w:rPr>
                <w:sz w:val="10"/>
                <w:szCs w:val="10"/>
                <w:lang w:val="fr-BE"/>
              </w:rPr>
            </w:pPr>
            <w:r w:rsidRPr="001C4484">
              <w:rPr>
                <w:noProof/>
                <w:sz w:val="10"/>
                <w:szCs w:val="10"/>
                <w:lang w:val="fr-BE"/>
              </w:rPr>
              <w:t>bezrobotni, w tym długotrwale bezrobotni</w:t>
            </w:r>
          </w:p>
        </w:tc>
        <w:tc>
          <w:tcPr>
            <w:tcW w:w="0" w:type="auto"/>
            <w:shd w:val="clear" w:color="auto" w:fill="auto"/>
          </w:tcPr>
          <w:p w14:paraId="725B62D0"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36EAB069"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647E86E1"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650964AA" w14:textId="77777777" w:rsidR="008C5CFA" w:rsidRPr="001C4484" w:rsidRDefault="00E82A60" w:rsidP="00300A01">
            <w:pPr>
              <w:spacing w:before="0" w:after="0"/>
              <w:jc w:val="right"/>
              <w:rPr>
                <w:sz w:val="10"/>
                <w:szCs w:val="10"/>
                <w:lang w:val="fr-BE"/>
              </w:rPr>
            </w:pPr>
            <w:r w:rsidRPr="001C4484">
              <w:rPr>
                <w:noProof/>
                <w:sz w:val="10"/>
                <w:szCs w:val="10"/>
              </w:rPr>
              <w:t>0,00</w:t>
            </w:r>
          </w:p>
        </w:tc>
        <w:tc>
          <w:tcPr>
            <w:tcW w:w="0" w:type="auto"/>
          </w:tcPr>
          <w:p w14:paraId="3467C26C"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0B9A7BF5"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40922DDC" w14:textId="77777777" w:rsidR="008C5CFA" w:rsidRPr="001C4484" w:rsidRDefault="00E82A60" w:rsidP="00300A01">
            <w:pPr>
              <w:spacing w:before="0" w:after="0"/>
              <w:jc w:val="right"/>
              <w:rPr>
                <w:sz w:val="10"/>
                <w:szCs w:val="10"/>
                <w:lang w:val="fr-BE"/>
              </w:rPr>
            </w:pPr>
            <w:r w:rsidRPr="001C4484">
              <w:rPr>
                <w:noProof/>
                <w:sz w:val="10"/>
                <w:szCs w:val="10"/>
                <w:lang w:val="fr-BE"/>
              </w:rPr>
              <w:t>0,00</w:t>
            </w:r>
          </w:p>
        </w:tc>
      </w:tr>
      <w:tr w:rsidR="006B2EC1" w14:paraId="1F04697C" w14:textId="77777777" w:rsidTr="0047688D">
        <w:tc>
          <w:tcPr>
            <w:tcW w:w="0" w:type="auto"/>
            <w:shd w:val="clear" w:color="auto" w:fill="auto"/>
          </w:tcPr>
          <w:p w14:paraId="79EFDFB5" w14:textId="77777777" w:rsidR="008C5CFA" w:rsidRPr="001C4484" w:rsidRDefault="00E82A60" w:rsidP="00300A01">
            <w:pPr>
              <w:spacing w:before="0" w:after="0"/>
              <w:rPr>
                <w:sz w:val="10"/>
                <w:szCs w:val="10"/>
                <w:lang w:val="fr-BE"/>
              </w:rPr>
            </w:pPr>
            <w:r w:rsidRPr="001C4484">
              <w:rPr>
                <w:noProof/>
                <w:sz w:val="10"/>
                <w:szCs w:val="10"/>
                <w:lang w:val="fr-BE"/>
              </w:rPr>
              <w:t>CO02</w:t>
            </w:r>
          </w:p>
        </w:tc>
        <w:tc>
          <w:tcPr>
            <w:tcW w:w="0" w:type="auto"/>
            <w:shd w:val="clear" w:color="auto" w:fill="auto"/>
          </w:tcPr>
          <w:p w14:paraId="02660A29" w14:textId="77777777" w:rsidR="008C5CFA" w:rsidRPr="001C4484" w:rsidRDefault="00E82A60" w:rsidP="00300A01">
            <w:pPr>
              <w:spacing w:before="0" w:after="0"/>
              <w:rPr>
                <w:sz w:val="10"/>
                <w:szCs w:val="10"/>
                <w:lang w:val="fr-BE"/>
              </w:rPr>
            </w:pPr>
            <w:r w:rsidRPr="001C4484">
              <w:rPr>
                <w:noProof/>
                <w:sz w:val="10"/>
                <w:szCs w:val="10"/>
                <w:lang w:val="fr-BE"/>
              </w:rPr>
              <w:t>długotrwale bezrobotni</w:t>
            </w:r>
          </w:p>
        </w:tc>
        <w:tc>
          <w:tcPr>
            <w:tcW w:w="0" w:type="auto"/>
            <w:shd w:val="clear" w:color="auto" w:fill="auto"/>
          </w:tcPr>
          <w:p w14:paraId="1FA06D7C"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6894F66E"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35BEB646"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70636CE0" w14:textId="77777777" w:rsidR="008C5CFA" w:rsidRPr="001C4484" w:rsidRDefault="00E82A60" w:rsidP="00300A01">
            <w:pPr>
              <w:spacing w:before="0" w:after="0"/>
              <w:jc w:val="right"/>
              <w:rPr>
                <w:sz w:val="10"/>
                <w:szCs w:val="10"/>
                <w:lang w:val="fr-BE"/>
              </w:rPr>
            </w:pPr>
            <w:r w:rsidRPr="001C4484">
              <w:rPr>
                <w:noProof/>
                <w:sz w:val="10"/>
                <w:szCs w:val="10"/>
              </w:rPr>
              <w:t>0,00</w:t>
            </w:r>
          </w:p>
        </w:tc>
        <w:tc>
          <w:tcPr>
            <w:tcW w:w="0" w:type="auto"/>
          </w:tcPr>
          <w:p w14:paraId="3154B839"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1A2C3D73"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2E3E16FB" w14:textId="77777777" w:rsidR="008C5CFA" w:rsidRPr="001C4484" w:rsidRDefault="00E82A60" w:rsidP="00300A01">
            <w:pPr>
              <w:spacing w:before="0" w:after="0"/>
              <w:jc w:val="right"/>
              <w:rPr>
                <w:sz w:val="10"/>
                <w:szCs w:val="10"/>
                <w:lang w:val="fr-BE"/>
              </w:rPr>
            </w:pPr>
            <w:r w:rsidRPr="001C4484">
              <w:rPr>
                <w:noProof/>
                <w:sz w:val="10"/>
                <w:szCs w:val="10"/>
                <w:lang w:val="fr-BE"/>
              </w:rPr>
              <w:t>0,00</w:t>
            </w:r>
          </w:p>
        </w:tc>
      </w:tr>
      <w:tr w:rsidR="006B2EC1" w14:paraId="0138715B" w14:textId="77777777" w:rsidTr="0047688D">
        <w:tc>
          <w:tcPr>
            <w:tcW w:w="0" w:type="auto"/>
            <w:shd w:val="clear" w:color="auto" w:fill="auto"/>
          </w:tcPr>
          <w:p w14:paraId="074F8CC6" w14:textId="77777777" w:rsidR="008C5CFA" w:rsidRPr="001C4484" w:rsidRDefault="00E82A60" w:rsidP="00300A01">
            <w:pPr>
              <w:spacing w:before="0" w:after="0"/>
              <w:rPr>
                <w:sz w:val="10"/>
                <w:szCs w:val="10"/>
                <w:lang w:val="fr-BE"/>
              </w:rPr>
            </w:pPr>
            <w:r w:rsidRPr="001C4484">
              <w:rPr>
                <w:noProof/>
                <w:sz w:val="10"/>
                <w:szCs w:val="10"/>
                <w:lang w:val="fr-BE"/>
              </w:rPr>
              <w:t>CO03</w:t>
            </w:r>
          </w:p>
        </w:tc>
        <w:tc>
          <w:tcPr>
            <w:tcW w:w="0" w:type="auto"/>
            <w:shd w:val="clear" w:color="auto" w:fill="auto"/>
          </w:tcPr>
          <w:p w14:paraId="11D8296D" w14:textId="77777777" w:rsidR="008C5CFA" w:rsidRPr="001C4484" w:rsidRDefault="00E82A60" w:rsidP="00300A01">
            <w:pPr>
              <w:spacing w:before="0" w:after="0"/>
              <w:rPr>
                <w:sz w:val="10"/>
                <w:szCs w:val="10"/>
                <w:lang w:val="fr-BE"/>
              </w:rPr>
            </w:pPr>
            <w:r w:rsidRPr="001C4484">
              <w:rPr>
                <w:noProof/>
                <w:sz w:val="10"/>
                <w:szCs w:val="10"/>
                <w:lang w:val="fr-BE"/>
              </w:rPr>
              <w:t>osoby bierne zawodowo</w:t>
            </w:r>
          </w:p>
        </w:tc>
        <w:tc>
          <w:tcPr>
            <w:tcW w:w="0" w:type="auto"/>
            <w:shd w:val="clear" w:color="auto" w:fill="auto"/>
          </w:tcPr>
          <w:p w14:paraId="2CB9F57E"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750BB3C5"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5CFC73F7"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5BF9BE0B" w14:textId="77777777" w:rsidR="008C5CFA" w:rsidRPr="001C4484" w:rsidRDefault="00E82A60" w:rsidP="00300A01">
            <w:pPr>
              <w:spacing w:before="0" w:after="0"/>
              <w:jc w:val="right"/>
              <w:rPr>
                <w:sz w:val="10"/>
                <w:szCs w:val="10"/>
                <w:lang w:val="fr-BE"/>
              </w:rPr>
            </w:pPr>
            <w:r w:rsidRPr="001C4484">
              <w:rPr>
                <w:noProof/>
                <w:sz w:val="10"/>
                <w:szCs w:val="10"/>
              </w:rPr>
              <w:t>0,00</w:t>
            </w:r>
          </w:p>
        </w:tc>
        <w:tc>
          <w:tcPr>
            <w:tcW w:w="0" w:type="auto"/>
          </w:tcPr>
          <w:p w14:paraId="16FC9ABE"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73C93054"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08500765" w14:textId="77777777" w:rsidR="008C5CFA" w:rsidRPr="001C4484" w:rsidRDefault="00E82A60" w:rsidP="00300A01">
            <w:pPr>
              <w:spacing w:before="0" w:after="0"/>
              <w:jc w:val="right"/>
              <w:rPr>
                <w:sz w:val="10"/>
                <w:szCs w:val="10"/>
                <w:lang w:val="fr-BE"/>
              </w:rPr>
            </w:pPr>
            <w:r w:rsidRPr="001C4484">
              <w:rPr>
                <w:noProof/>
                <w:sz w:val="10"/>
                <w:szCs w:val="10"/>
                <w:lang w:val="fr-BE"/>
              </w:rPr>
              <w:t>0,00</w:t>
            </w:r>
          </w:p>
        </w:tc>
      </w:tr>
      <w:tr w:rsidR="006B2EC1" w14:paraId="5557C2E1" w14:textId="77777777" w:rsidTr="0047688D">
        <w:tc>
          <w:tcPr>
            <w:tcW w:w="0" w:type="auto"/>
            <w:shd w:val="clear" w:color="auto" w:fill="auto"/>
          </w:tcPr>
          <w:p w14:paraId="6D61645B" w14:textId="77777777" w:rsidR="008C5CFA" w:rsidRPr="001C4484" w:rsidRDefault="00E82A60" w:rsidP="00300A01">
            <w:pPr>
              <w:spacing w:before="0" w:after="0"/>
              <w:rPr>
                <w:sz w:val="10"/>
                <w:szCs w:val="10"/>
                <w:lang w:val="fr-BE"/>
              </w:rPr>
            </w:pPr>
            <w:r w:rsidRPr="001C4484">
              <w:rPr>
                <w:noProof/>
                <w:sz w:val="10"/>
                <w:szCs w:val="10"/>
                <w:lang w:val="fr-BE"/>
              </w:rPr>
              <w:t>CO04</w:t>
            </w:r>
          </w:p>
        </w:tc>
        <w:tc>
          <w:tcPr>
            <w:tcW w:w="0" w:type="auto"/>
            <w:shd w:val="clear" w:color="auto" w:fill="auto"/>
          </w:tcPr>
          <w:p w14:paraId="4C53EF05" w14:textId="77777777" w:rsidR="008C5CFA" w:rsidRPr="001C4484" w:rsidRDefault="00E82A60" w:rsidP="00300A01">
            <w:pPr>
              <w:spacing w:before="0" w:after="0"/>
              <w:rPr>
                <w:sz w:val="10"/>
                <w:szCs w:val="10"/>
                <w:lang w:val="fr-BE"/>
              </w:rPr>
            </w:pPr>
            <w:r w:rsidRPr="001C4484">
              <w:rPr>
                <w:noProof/>
                <w:sz w:val="10"/>
                <w:szCs w:val="10"/>
                <w:lang w:val="fr-BE"/>
              </w:rPr>
              <w:t>osoby bierne zawodowo, nieuczestniczące w kształceniu ani szkoleniu</w:t>
            </w:r>
          </w:p>
        </w:tc>
        <w:tc>
          <w:tcPr>
            <w:tcW w:w="0" w:type="auto"/>
            <w:shd w:val="clear" w:color="auto" w:fill="auto"/>
          </w:tcPr>
          <w:p w14:paraId="4B0570DA"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2AC73376"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370E0EA8"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3155263D" w14:textId="77777777" w:rsidR="008C5CFA" w:rsidRPr="001C4484" w:rsidRDefault="00E82A60" w:rsidP="00300A01">
            <w:pPr>
              <w:spacing w:before="0" w:after="0"/>
              <w:jc w:val="right"/>
              <w:rPr>
                <w:sz w:val="10"/>
                <w:szCs w:val="10"/>
                <w:lang w:val="fr-BE"/>
              </w:rPr>
            </w:pPr>
            <w:r w:rsidRPr="001C4484">
              <w:rPr>
                <w:noProof/>
                <w:sz w:val="10"/>
                <w:szCs w:val="10"/>
              </w:rPr>
              <w:t>0,00</w:t>
            </w:r>
          </w:p>
        </w:tc>
        <w:tc>
          <w:tcPr>
            <w:tcW w:w="0" w:type="auto"/>
          </w:tcPr>
          <w:p w14:paraId="2AA8B885"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25BB8F4C"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27752D4E" w14:textId="77777777" w:rsidR="008C5CFA" w:rsidRPr="001C4484" w:rsidRDefault="00E82A60" w:rsidP="00300A01">
            <w:pPr>
              <w:spacing w:before="0" w:after="0"/>
              <w:jc w:val="right"/>
              <w:rPr>
                <w:sz w:val="10"/>
                <w:szCs w:val="10"/>
                <w:lang w:val="fr-BE"/>
              </w:rPr>
            </w:pPr>
            <w:r w:rsidRPr="001C4484">
              <w:rPr>
                <w:noProof/>
                <w:sz w:val="10"/>
                <w:szCs w:val="10"/>
                <w:lang w:val="fr-BE"/>
              </w:rPr>
              <w:t>0,00</w:t>
            </w:r>
          </w:p>
        </w:tc>
      </w:tr>
      <w:tr w:rsidR="006B2EC1" w14:paraId="1F85D102" w14:textId="77777777" w:rsidTr="0047688D">
        <w:tc>
          <w:tcPr>
            <w:tcW w:w="0" w:type="auto"/>
            <w:shd w:val="clear" w:color="auto" w:fill="auto"/>
          </w:tcPr>
          <w:p w14:paraId="22DC1EC3" w14:textId="77777777" w:rsidR="008C5CFA" w:rsidRPr="001C4484" w:rsidRDefault="00E82A60" w:rsidP="00300A01">
            <w:pPr>
              <w:spacing w:before="0" w:after="0"/>
              <w:rPr>
                <w:sz w:val="10"/>
                <w:szCs w:val="10"/>
                <w:lang w:val="fr-BE"/>
              </w:rPr>
            </w:pPr>
            <w:r w:rsidRPr="001C4484">
              <w:rPr>
                <w:noProof/>
                <w:sz w:val="10"/>
                <w:szCs w:val="10"/>
                <w:lang w:val="fr-BE"/>
              </w:rPr>
              <w:t>CO05</w:t>
            </w:r>
          </w:p>
        </w:tc>
        <w:tc>
          <w:tcPr>
            <w:tcW w:w="0" w:type="auto"/>
            <w:shd w:val="clear" w:color="auto" w:fill="auto"/>
          </w:tcPr>
          <w:p w14:paraId="7194DD54" w14:textId="77777777" w:rsidR="008C5CFA" w:rsidRPr="001C4484" w:rsidRDefault="00E82A60" w:rsidP="00300A01">
            <w:pPr>
              <w:spacing w:before="0" w:after="0"/>
              <w:rPr>
                <w:sz w:val="10"/>
                <w:szCs w:val="10"/>
                <w:lang w:val="fr-BE"/>
              </w:rPr>
            </w:pPr>
            <w:r w:rsidRPr="001C4484">
              <w:rPr>
                <w:noProof/>
                <w:sz w:val="10"/>
                <w:szCs w:val="10"/>
                <w:lang w:val="fr-BE"/>
              </w:rPr>
              <w:t>osoby pracujące, łącznie z prowadzącymi działalność na własny rachunek</w:t>
            </w:r>
          </w:p>
        </w:tc>
        <w:tc>
          <w:tcPr>
            <w:tcW w:w="0" w:type="auto"/>
            <w:shd w:val="clear" w:color="auto" w:fill="auto"/>
          </w:tcPr>
          <w:p w14:paraId="76FBCC15"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34D1497A"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5BFC8CEF"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02B78ED6" w14:textId="77777777" w:rsidR="008C5CFA" w:rsidRPr="001C4484" w:rsidRDefault="00E82A60" w:rsidP="00300A01">
            <w:pPr>
              <w:spacing w:before="0" w:after="0"/>
              <w:jc w:val="right"/>
              <w:rPr>
                <w:sz w:val="10"/>
                <w:szCs w:val="10"/>
                <w:lang w:val="fr-BE"/>
              </w:rPr>
            </w:pPr>
            <w:r w:rsidRPr="001C4484">
              <w:rPr>
                <w:noProof/>
                <w:sz w:val="10"/>
                <w:szCs w:val="10"/>
              </w:rPr>
              <w:t>0,00</w:t>
            </w:r>
          </w:p>
        </w:tc>
        <w:tc>
          <w:tcPr>
            <w:tcW w:w="0" w:type="auto"/>
          </w:tcPr>
          <w:p w14:paraId="56EF4B55"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3529E070"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2293EA07" w14:textId="77777777" w:rsidR="008C5CFA" w:rsidRPr="001C4484" w:rsidRDefault="00E82A60" w:rsidP="00300A01">
            <w:pPr>
              <w:spacing w:before="0" w:after="0"/>
              <w:jc w:val="right"/>
              <w:rPr>
                <w:sz w:val="10"/>
                <w:szCs w:val="10"/>
                <w:lang w:val="fr-BE"/>
              </w:rPr>
            </w:pPr>
            <w:r w:rsidRPr="001C4484">
              <w:rPr>
                <w:noProof/>
                <w:sz w:val="10"/>
                <w:szCs w:val="10"/>
                <w:lang w:val="fr-BE"/>
              </w:rPr>
              <w:t>0,00</w:t>
            </w:r>
          </w:p>
        </w:tc>
      </w:tr>
      <w:tr w:rsidR="006B2EC1" w14:paraId="72CFD41C" w14:textId="77777777" w:rsidTr="0047688D">
        <w:tc>
          <w:tcPr>
            <w:tcW w:w="0" w:type="auto"/>
            <w:shd w:val="clear" w:color="auto" w:fill="auto"/>
          </w:tcPr>
          <w:p w14:paraId="6BAFF19F" w14:textId="77777777" w:rsidR="008C5CFA" w:rsidRPr="001C4484" w:rsidRDefault="00E82A60" w:rsidP="00300A01">
            <w:pPr>
              <w:spacing w:before="0" w:after="0"/>
              <w:rPr>
                <w:sz w:val="10"/>
                <w:szCs w:val="10"/>
                <w:lang w:val="fr-BE"/>
              </w:rPr>
            </w:pPr>
            <w:r w:rsidRPr="001C4484">
              <w:rPr>
                <w:noProof/>
                <w:sz w:val="10"/>
                <w:szCs w:val="10"/>
                <w:lang w:val="fr-BE"/>
              </w:rPr>
              <w:t>CO06</w:t>
            </w:r>
          </w:p>
        </w:tc>
        <w:tc>
          <w:tcPr>
            <w:tcW w:w="0" w:type="auto"/>
            <w:shd w:val="clear" w:color="auto" w:fill="auto"/>
          </w:tcPr>
          <w:p w14:paraId="57D54DEE" w14:textId="77777777" w:rsidR="008C5CFA" w:rsidRPr="001C4484" w:rsidRDefault="00E82A60" w:rsidP="00300A01">
            <w:pPr>
              <w:spacing w:before="0" w:after="0"/>
              <w:rPr>
                <w:sz w:val="10"/>
                <w:szCs w:val="10"/>
                <w:lang w:val="fr-BE"/>
              </w:rPr>
            </w:pPr>
            <w:r w:rsidRPr="001C4484">
              <w:rPr>
                <w:noProof/>
                <w:sz w:val="10"/>
                <w:szCs w:val="10"/>
                <w:lang w:val="fr-BE"/>
              </w:rPr>
              <w:t>osoby w wieku poniżej 25 lat</w:t>
            </w:r>
          </w:p>
        </w:tc>
        <w:tc>
          <w:tcPr>
            <w:tcW w:w="0" w:type="auto"/>
            <w:shd w:val="clear" w:color="auto" w:fill="auto"/>
          </w:tcPr>
          <w:p w14:paraId="2D1B9654"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1662D974"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693CEECF"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61A279D4" w14:textId="77777777" w:rsidR="008C5CFA" w:rsidRPr="001C4484" w:rsidRDefault="00E82A60" w:rsidP="00300A01">
            <w:pPr>
              <w:spacing w:before="0" w:after="0"/>
              <w:jc w:val="right"/>
              <w:rPr>
                <w:sz w:val="10"/>
                <w:szCs w:val="10"/>
                <w:lang w:val="fr-BE"/>
              </w:rPr>
            </w:pPr>
            <w:r w:rsidRPr="001C4484">
              <w:rPr>
                <w:noProof/>
                <w:sz w:val="10"/>
                <w:szCs w:val="10"/>
              </w:rPr>
              <w:t>0,00</w:t>
            </w:r>
          </w:p>
        </w:tc>
        <w:tc>
          <w:tcPr>
            <w:tcW w:w="0" w:type="auto"/>
          </w:tcPr>
          <w:p w14:paraId="312892CF"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7C94CC0A"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7364885A" w14:textId="77777777" w:rsidR="008C5CFA" w:rsidRPr="001C4484" w:rsidRDefault="00E82A60" w:rsidP="00300A01">
            <w:pPr>
              <w:spacing w:before="0" w:after="0"/>
              <w:jc w:val="right"/>
              <w:rPr>
                <w:sz w:val="10"/>
                <w:szCs w:val="10"/>
                <w:lang w:val="fr-BE"/>
              </w:rPr>
            </w:pPr>
            <w:r w:rsidRPr="001C4484">
              <w:rPr>
                <w:noProof/>
                <w:sz w:val="10"/>
                <w:szCs w:val="10"/>
                <w:lang w:val="fr-BE"/>
              </w:rPr>
              <w:t>0,00</w:t>
            </w:r>
          </w:p>
        </w:tc>
      </w:tr>
      <w:tr w:rsidR="006B2EC1" w14:paraId="546F930D" w14:textId="77777777" w:rsidTr="0047688D">
        <w:tc>
          <w:tcPr>
            <w:tcW w:w="0" w:type="auto"/>
            <w:shd w:val="clear" w:color="auto" w:fill="auto"/>
          </w:tcPr>
          <w:p w14:paraId="2A093A46" w14:textId="77777777" w:rsidR="008C5CFA" w:rsidRPr="001C4484" w:rsidRDefault="00E82A60" w:rsidP="00300A01">
            <w:pPr>
              <w:spacing w:before="0" w:after="0"/>
              <w:rPr>
                <w:sz w:val="10"/>
                <w:szCs w:val="10"/>
                <w:lang w:val="fr-BE"/>
              </w:rPr>
            </w:pPr>
            <w:r w:rsidRPr="001C4484">
              <w:rPr>
                <w:noProof/>
                <w:sz w:val="10"/>
                <w:szCs w:val="10"/>
                <w:lang w:val="fr-BE"/>
              </w:rPr>
              <w:t>CO07</w:t>
            </w:r>
          </w:p>
        </w:tc>
        <w:tc>
          <w:tcPr>
            <w:tcW w:w="0" w:type="auto"/>
            <w:shd w:val="clear" w:color="auto" w:fill="auto"/>
          </w:tcPr>
          <w:p w14:paraId="3F0D4BE6" w14:textId="77777777" w:rsidR="008C5CFA" w:rsidRPr="001C4484" w:rsidRDefault="00E82A60" w:rsidP="00300A01">
            <w:pPr>
              <w:spacing w:before="0" w:after="0"/>
              <w:rPr>
                <w:sz w:val="10"/>
                <w:szCs w:val="10"/>
                <w:lang w:val="fr-BE"/>
              </w:rPr>
            </w:pPr>
            <w:r w:rsidRPr="001C4484">
              <w:rPr>
                <w:noProof/>
                <w:sz w:val="10"/>
                <w:szCs w:val="10"/>
                <w:lang w:val="fr-BE"/>
              </w:rPr>
              <w:t>osoby w wieku powyżej 54 lat</w:t>
            </w:r>
          </w:p>
        </w:tc>
        <w:tc>
          <w:tcPr>
            <w:tcW w:w="0" w:type="auto"/>
            <w:shd w:val="clear" w:color="auto" w:fill="auto"/>
          </w:tcPr>
          <w:p w14:paraId="7C25806E"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45BCFFE9"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7EB26289"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1C7B1A42" w14:textId="77777777" w:rsidR="008C5CFA" w:rsidRPr="001C4484" w:rsidRDefault="00E82A60" w:rsidP="00300A01">
            <w:pPr>
              <w:spacing w:before="0" w:after="0"/>
              <w:jc w:val="right"/>
              <w:rPr>
                <w:sz w:val="10"/>
                <w:szCs w:val="10"/>
                <w:lang w:val="fr-BE"/>
              </w:rPr>
            </w:pPr>
            <w:r w:rsidRPr="001C4484">
              <w:rPr>
                <w:noProof/>
                <w:sz w:val="10"/>
                <w:szCs w:val="10"/>
              </w:rPr>
              <w:t>0,00</w:t>
            </w:r>
          </w:p>
        </w:tc>
        <w:tc>
          <w:tcPr>
            <w:tcW w:w="0" w:type="auto"/>
          </w:tcPr>
          <w:p w14:paraId="39AB0C73"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720973A3"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6FA62893" w14:textId="77777777" w:rsidR="008C5CFA" w:rsidRPr="001C4484" w:rsidRDefault="00E82A60" w:rsidP="00300A01">
            <w:pPr>
              <w:spacing w:before="0" w:after="0"/>
              <w:jc w:val="right"/>
              <w:rPr>
                <w:sz w:val="10"/>
                <w:szCs w:val="10"/>
                <w:lang w:val="fr-BE"/>
              </w:rPr>
            </w:pPr>
            <w:r w:rsidRPr="001C4484">
              <w:rPr>
                <w:noProof/>
                <w:sz w:val="10"/>
                <w:szCs w:val="10"/>
                <w:lang w:val="fr-BE"/>
              </w:rPr>
              <w:t>0,00</w:t>
            </w:r>
          </w:p>
        </w:tc>
      </w:tr>
      <w:tr w:rsidR="006B2EC1" w14:paraId="32E85490" w14:textId="77777777" w:rsidTr="0047688D">
        <w:tc>
          <w:tcPr>
            <w:tcW w:w="0" w:type="auto"/>
            <w:shd w:val="clear" w:color="auto" w:fill="auto"/>
          </w:tcPr>
          <w:p w14:paraId="5769391B" w14:textId="77777777" w:rsidR="008C5CFA" w:rsidRPr="001C4484" w:rsidRDefault="00E82A60" w:rsidP="00300A01">
            <w:pPr>
              <w:spacing w:before="0" w:after="0"/>
              <w:rPr>
                <w:sz w:val="10"/>
                <w:szCs w:val="10"/>
                <w:lang w:val="fr-BE"/>
              </w:rPr>
            </w:pPr>
            <w:r w:rsidRPr="001C4484">
              <w:rPr>
                <w:noProof/>
                <w:sz w:val="10"/>
                <w:szCs w:val="10"/>
                <w:lang w:val="fr-BE"/>
              </w:rPr>
              <w:t>CO08</w:t>
            </w:r>
          </w:p>
        </w:tc>
        <w:tc>
          <w:tcPr>
            <w:tcW w:w="0" w:type="auto"/>
            <w:shd w:val="clear" w:color="auto" w:fill="auto"/>
          </w:tcPr>
          <w:p w14:paraId="7AC0A369" w14:textId="77777777" w:rsidR="008C5CFA" w:rsidRPr="001C4484" w:rsidRDefault="00E82A60" w:rsidP="00300A01">
            <w:pPr>
              <w:spacing w:before="0" w:after="0"/>
              <w:rPr>
                <w:sz w:val="10"/>
                <w:szCs w:val="10"/>
                <w:lang w:val="fr-BE"/>
              </w:rPr>
            </w:pPr>
            <w:r w:rsidRPr="001C4484">
              <w:rPr>
                <w:noProof/>
                <w:sz w:val="10"/>
                <w:szCs w:val="10"/>
                <w:lang w:val="fr-BE"/>
              </w:rPr>
              <w:t>osoby powyżej 54 lat, które są bezrobotne, łącznie z długotrwale bezrobotnymi, lub są bierne zawodowo i nie uczestniczą w kształceniu ani szkoleniu</w:t>
            </w:r>
          </w:p>
        </w:tc>
        <w:tc>
          <w:tcPr>
            <w:tcW w:w="0" w:type="auto"/>
            <w:shd w:val="clear" w:color="auto" w:fill="auto"/>
          </w:tcPr>
          <w:p w14:paraId="4B49F4D8"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6F42EC7D"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7577786F"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03543270" w14:textId="77777777" w:rsidR="008C5CFA" w:rsidRPr="001C4484" w:rsidRDefault="00E82A60" w:rsidP="00300A01">
            <w:pPr>
              <w:spacing w:before="0" w:after="0"/>
              <w:jc w:val="right"/>
              <w:rPr>
                <w:sz w:val="10"/>
                <w:szCs w:val="10"/>
                <w:lang w:val="fr-BE"/>
              </w:rPr>
            </w:pPr>
            <w:r w:rsidRPr="001C4484">
              <w:rPr>
                <w:noProof/>
                <w:sz w:val="10"/>
                <w:szCs w:val="10"/>
              </w:rPr>
              <w:t>0,00</w:t>
            </w:r>
          </w:p>
        </w:tc>
        <w:tc>
          <w:tcPr>
            <w:tcW w:w="0" w:type="auto"/>
          </w:tcPr>
          <w:p w14:paraId="501FACC2"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6A335F8D"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4FE5833B" w14:textId="77777777" w:rsidR="008C5CFA" w:rsidRPr="001C4484" w:rsidRDefault="00E82A60" w:rsidP="00300A01">
            <w:pPr>
              <w:spacing w:before="0" w:after="0"/>
              <w:jc w:val="right"/>
              <w:rPr>
                <w:sz w:val="10"/>
                <w:szCs w:val="10"/>
                <w:lang w:val="fr-BE"/>
              </w:rPr>
            </w:pPr>
            <w:r w:rsidRPr="001C4484">
              <w:rPr>
                <w:noProof/>
                <w:sz w:val="10"/>
                <w:szCs w:val="10"/>
                <w:lang w:val="fr-BE"/>
              </w:rPr>
              <w:t>0,00</w:t>
            </w:r>
          </w:p>
        </w:tc>
      </w:tr>
      <w:tr w:rsidR="006B2EC1" w14:paraId="4AF8668E" w14:textId="77777777" w:rsidTr="0047688D">
        <w:tc>
          <w:tcPr>
            <w:tcW w:w="0" w:type="auto"/>
            <w:shd w:val="clear" w:color="auto" w:fill="auto"/>
          </w:tcPr>
          <w:p w14:paraId="1600E1E5" w14:textId="77777777" w:rsidR="008C5CFA" w:rsidRPr="001C4484" w:rsidRDefault="00E82A60" w:rsidP="00300A01">
            <w:pPr>
              <w:spacing w:before="0" w:after="0"/>
              <w:rPr>
                <w:sz w:val="10"/>
                <w:szCs w:val="10"/>
                <w:lang w:val="fr-BE"/>
              </w:rPr>
            </w:pPr>
            <w:r w:rsidRPr="001C4484">
              <w:rPr>
                <w:noProof/>
                <w:sz w:val="10"/>
                <w:szCs w:val="10"/>
                <w:lang w:val="fr-BE"/>
              </w:rPr>
              <w:lastRenderedPageBreak/>
              <w:t>CO09</w:t>
            </w:r>
          </w:p>
        </w:tc>
        <w:tc>
          <w:tcPr>
            <w:tcW w:w="0" w:type="auto"/>
            <w:shd w:val="clear" w:color="auto" w:fill="auto"/>
          </w:tcPr>
          <w:p w14:paraId="3AE6CFE7" w14:textId="77777777" w:rsidR="008C5CFA" w:rsidRPr="001C4484" w:rsidRDefault="00E82A60" w:rsidP="00300A01">
            <w:pPr>
              <w:spacing w:before="0" w:after="0"/>
              <w:rPr>
                <w:sz w:val="10"/>
                <w:szCs w:val="10"/>
                <w:lang w:val="fr-BE"/>
              </w:rPr>
            </w:pPr>
            <w:r w:rsidRPr="001C4484">
              <w:rPr>
                <w:noProof/>
                <w:sz w:val="10"/>
                <w:szCs w:val="10"/>
                <w:lang w:val="fr-BE"/>
              </w:rPr>
              <w:t>osoby z wykształceniem podstawowym (ISCED 1) lub średnim I stopnia (ISCED 2)</w:t>
            </w:r>
          </w:p>
        </w:tc>
        <w:tc>
          <w:tcPr>
            <w:tcW w:w="0" w:type="auto"/>
            <w:shd w:val="clear" w:color="auto" w:fill="auto"/>
          </w:tcPr>
          <w:p w14:paraId="43C2B639"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1FD5725D"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5A912277"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0CE4106A" w14:textId="77777777" w:rsidR="008C5CFA" w:rsidRPr="001C4484" w:rsidRDefault="00E82A60" w:rsidP="00300A01">
            <w:pPr>
              <w:spacing w:before="0" w:after="0"/>
              <w:jc w:val="right"/>
              <w:rPr>
                <w:sz w:val="10"/>
                <w:szCs w:val="10"/>
                <w:lang w:val="fr-BE"/>
              </w:rPr>
            </w:pPr>
            <w:r w:rsidRPr="001C4484">
              <w:rPr>
                <w:noProof/>
                <w:sz w:val="10"/>
                <w:szCs w:val="10"/>
              </w:rPr>
              <w:t>0,00</w:t>
            </w:r>
          </w:p>
        </w:tc>
        <w:tc>
          <w:tcPr>
            <w:tcW w:w="0" w:type="auto"/>
          </w:tcPr>
          <w:p w14:paraId="24567C8A"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24F47F4B"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52C42CD2" w14:textId="77777777" w:rsidR="008C5CFA" w:rsidRPr="001C4484" w:rsidRDefault="00E82A60" w:rsidP="00300A01">
            <w:pPr>
              <w:spacing w:before="0" w:after="0"/>
              <w:jc w:val="right"/>
              <w:rPr>
                <w:sz w:val="10"/>
                <w:szCs w:val="10"/>
                <w:lang w:val="fr-BE"/>
              </w:rPr>
            </w:pPr>
            <w:r w:rsidRPr="001C4484">
              <w:rPr>
                <w:noProof/>
                <w:sz w:val="10"/>
                <w:szCs w:val="10"/>
                <w:lang w:val="fr-BE"/>
              </w:rPr>
              <w:t>0,00</w:t>
            </w:r>
          </w:p>
        </w:tc>
      </w:tr>
      <w:tr w:rsidR="006B2EC1" w14:paraId="7D0C0405" w14:textId="77777777" w:rsidTr="0047688D">
        <w:tc>
          <w:tcPr>
            <w:tcW w:w="0" w:type="auto"/>
            <w:shd w:val="clear" w:color="auto" w:fill="auto"/>
          </w:tcPr>
          <w:p w14:paraId="36832F80" w14:textId="77777777" w:rsidR="008C5CFA" w:rsidRPr="001C4484" w:rsidRDefault="00E82A60" w:rsidP="00300A01">
            <w:pPr>
              <w:spacing w:before="0" w:after="0"/>
              <w:rPr>
                <w:sz w:val="10"/>
                <w:szCs w:val="10"/>
                <w:lang w:val="fr-BE"/>
              </w:rPr>
            </w:pPr>
            <w:r w:rsidRPr="001C4484">
              <w:rPr>
                <w:noProof/>
                <w:sz w:val="10"/>
                <w:szCs w:val="10"/>
                <w:lang w:val="fr-BE"/>
              </w:rPr>
              <w:t>CO10</w:t>
            </w:r>
          </w:p>
        </w:tc>
        <w:tc>
          <w:tcPr>
            <w:tcW w:w="0" w:type="auto"/>
            <w:shd w:val="clear" w:color="auto" w:fill="auto"/>
          </w:tcPr>
          <w:p w14:paraId="61C21A23" w14:textId="77777777" w:rsidR="008C5CFA" w:rsidRPr="001C4484" w:rsidRDefault="00E82A60" w:rsidP="00300A01">
            <w:pPr>
              <w:spacing w:before="0" w:after="0"/>
              <w:rPr>
                <w:sz w:val="10"/>
                <w:szCs w:val="10"/>
                <w:lang w:val="fr-BE"/>
              </w:rPr>
            </w:pPr>
            <w:r w:rsidRPr="001C4484">
              <w:rPr>
                <w:noProof/>
                <w:sz w:val="10"/>
                <w:szCs w:val="10"/>
                <w:lang w:val="fr-BE"/>
              </w:rPr>
              <w:t>osoby z wykształceniem średnim II stopnia (ISCED 3) lub policealnym (ISCED 4)</w:t>
            </w:r>
          </w:p>
        </w:tc>
        <w:tc>
          <w:tcPr>
            <w:tcW w:w="0" w:type="auto"/>
            <w:shd w:val="clear" w:color="auto" w:fill="auto"/>
          </w:tcPr>
          <w:p w14:paraId="6E71AC58"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19EDA0EF"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4C43B921"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5D220BB1" w14:textId="77777777" w:rsidR="008C5CFA" w:rsidRPr="001C4484" w:rsidRDefault="00E82A60" w:rsidP="00300A01">
            <w:pPr>
              <w:spacing w:before="0" w:after="0"/>
              <w:jc w:val="right"/>
              <w:rPr>
                <w:sz w:val="10"/>
                <w:szCs w:val="10"/>
                <w:lang w:val="fr-BE"/>
              </w:rPr>
            </w:pPr>
            <w:r w:rsidRPr="001C4484">
              <w:rPr>
                <w:noProof/>
                <w:sz w:val="10"/>
                <w:szCs w:val="10"/>
              </w:rPr>
              <w:t>0,00</w:t>
            </w:r>
          </w:p>
        </w:tc>
        <w:tc>
          <w:tcPr>
            <w:tcW w:w="0" w:type="auto"/>
          </w:tcPr>
          <w:p w14:paraId="7E2763EF"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4831B179"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35724D4B" w14:textId="77777777" w:rsidR="008C5CFA" w:rsidRPr="001C4484" w:rsidRDefault="00E82A60" w:rsidP="00300A01">
            <w:pPr>
              <w:spacing w:before="0" w:after="0"/>
              <w:jc w:val="right"/>
              <w:rPr>
                <w:sz w:val="10"/>
                <w:szCs w:val="10"/>
                <w:lang w:val="fr-BE"/>
              </w:rPr>
            </w:pPr>
            <w:r w:rsidRPr="001C4484">
              <w:rPr>
                <w:noProof/>
                <w:sz w:val="10"/>
                <w:szCs w:val="10"/>
                <w:lang w:val="fr-BE"/>
              </w:rPr>
              <w:t>0,00</w:t>
            </w:r>
          </w:p>
        </w:tc>
      </w:tr>
      <w:tr w:rsidR="006B2EC1" w14:paraId="71024A2E" w14:textId="77777777" w:rsidTr="0047688D">
        <w:tc>
          <w:tcPr>
            <w:tcW w:w="0" w:type="auto"/>
            <w:shd w:val="clear" w:color="auto" w:fill="auto"/>
          </w:tcPr>
          <w:p w14:paraId="5103227C" w14:textId="77777777" w:rsidR="008C5CFA" w:rsidRPr="001C4484" w:rsidRDefault="00E82A60" w:rsidP="00300A01">
            <w:pPr>
              <w:spacing w:before="0" w:after="0"/>
              <w:rPr>
                <w:sz w:val="10"/>
                <w:szCs w:val="10"/>
                <w:lang w:val="fr-BE"/>
              </w:rPr>
            </w:pPr>
            <w:r w:rsidRPr="001C4484">
              <w:rPr>
                <w:noProof/>
                <w:sz w:val="10"/>
                <w:szCs w:val="10"/>
                <w:lang w:val="fr-BE"/>
              </w:rPr>
              <w:t>CO11</w:t>
            </w:r>
          </w:p>
        </w:tc>
        <w:tc>
          <w:tcPr>
            <w:tcW w:w="0" w:type="auto"/>
            <w:shd w:val="clear" w:color="auto" w:fill="auto"/>
          </w:tcPr>
          <w:p w14:paraId="004ED3D4" w14:textId="77777777" w:rsidR="008C5CFA" w:rsidRPr="001C4484" w:rsidRDefault="00E82A60" w:rsidP="00300A01">
            <w:pPr>
              <w:spacing w:before="0" w:after="0"/>
              <w:rPr>
                <w:sz w:val="10"/>
                <w:szCs w:val="10"/>
                <w:lang w:val="fr-BE"/>
              </w:rPr>
            </w:pPr>
            <w:r w:rsidRPr="001C4484">
              <w:rPr>
                <w:noProof/>
                <w:sz w:val="10"/>
                <w:szCs w:val="10"/>
                <w:lang w:val="fr-BE"/>
              </w:rPr>
              <w:t>osoby z wykształceniem wyższym (ISCED 5 do 8)</w:t>
            </w:r>
          </w:p>
        </w:tc>
        <w:tc>
          <w:tcPr>
            <w:tcW w:w="0" w:type="auto"/>
            <w:shd w:val="clear" w:color="auto" w:fill="auto"/>
          </w:tcPr>
          <w:p w14:paraId="6B212B41"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72854224"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7D474C18"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333F4003" w14:textId="77777777" w:rsidR="008C5CFA" w:rsidRPr="001C4484" w:rsidRDefault="00E82A60" w:rsidP="00300A01">
            <w:pPr>
              <w:spacing w:before="0" w:after="0"/>
              <w:jc w:val="right"/>
              <w:rPr>
                <w:sz w:val="10"/>
                <w:szCs w:val="10"/>
                <w:lang w:val="fr-BE"/>
              </w:rPr>
            </w:pPr>
            <w:r w:rsidRPr="001C4484">
              <w:rPr>
                <w:noProof/>
                <w:sz w:val="10"/>
                <w:szCs w:val="10"/>
              </w:rPr>
              <w:t>0,00</w:t>
            </w:r>
          </w:p>
        </w:tc>
        <w:tc>
          <w:tcPr>
            <w:tcW w:w="0" w:type="auto"/>
          </w:tcPr>
          <w:p w14:paraId="1C878058"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15536DDD"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3CAA6C1C" w14:textId="77777777" w:rsidR="008C5CFA" w:rsidRPr="001C4484" w:rsidRDefault="00E82A60" w:rsidP="00300A01">
            <w:pPr>
              <w:spacing w:before="0" w:after="0"/>
              <w:jc w:val="right"/>
              <w:rPr>
                <w:sz w:val="10"/>
                <w:szCs w:val="10"/>
                <w:lang w:val="fr-BE"/>
              </w:rPr>
            </w:pPr>
            <w:r w:rsidRPr="001C4484">
              <w:rPr>
                <w:noProof/>
                <w:sz w:val="10"/>
                <w:szCs w:val="10"/>
                <w:lang w:val="fr-BE"/>
              </w:rPr>
              <w:t>0,00</w:t>
            </w:r>
          </w:p>
        </w:tc>
      </w:tr>
      <w:tr w:rsidR="006B2EC1" w14:paraId="1BF354F8" w14:textId="77777777" w:rsidTr="0047688D">
        <w:tc>
          <w:tcPr>
            <w:tcW w:w="0" w:type="auto"/>
            <w:shd w:val="clear" w:color="auto" w:fill="auto"/>
          </w:tcPr>
          <w:p w14:paraId="7FE4C902" w14:textId="77777777" w:rsidR="008C5CFA" w:rsidRPr="001C4484" w:rsidRDefault="00E82A60" w:rsidP="00300A01">
            <w:pPr>
              <w:spacing w:before="0" w:after="0"/>
              <w:rPr>
                <w:sz w:val="10"/>
                <w:szCs w:val="10"/>
                <w:lang w:val="fr-BE"/>
              </w:rPr>
            </w:pPr>
            <w:r w:rsidRPr="001C4484">
              <w:rPr>
                <w:noProof/>
                <w:sz w:val="10"/>
                <w:szCs w:val="10"/>
                <w:lang w:val="fr-BE"/>
              </w:rPr>
              <w:t>CO15</w:t>
            </w:r>
          </w:p>
        </w:tc>
        <w:tc>
          <w:tcPr>
            <w:tcW w:w="0" w:type="auto"/>
            <w:shd w:val="clear" w:color="auto" w:fill="auto"/>
          </w:tcPr>
          <w:p w14:paraId="07004D23" w14:textId="77777777" w:rsidR="008C5CFA" w:rsidRPr="001C4484" w:rsidRDefault="00E82A60" w:rsidP="00300A01">
            <w:pPr>
              <w:spacing w:before="0" w:after="0"/>
              <w:rPr>
                <w:sz w:val="10"/>
                <w:szCs w:val="10"/>
                <w:lang w:val="fr-BE"/>
              </w:rPr>
            </w:pPr>
            <w:r w:rsidRPr="001C4484">
              <w:rPr>
                <w:noProof/>
                <w:sz w:val="10"/>
                <w:szCs w:val="10"/>
                <w:lang w:val="fr-BE"/>
              </w:rPr>
              <w:t>migranci, uczestnicy obcego pochodzenia, mniejszości (w tym społeczności marginalizowane, takie jak Romowie)</w:t>
            </w:r>
          </w:p>
        </w:tc>
        <w:tc>
          <w:tcPr>
            <w:tcW w:w="0" w:type="auto"/>
            <w:shd w:val="clear" w:color="auto" w:fill="auto"/>
          </w:tcPr>
          <w:p w14:paraId="319BF17C"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468BFD9C"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038D222B"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58646C97" w14:textId="77777777" w:rsidR="008C5CFA" w:rsidRPr="001C4484" w:rsidRDefault="00E82A60" w:rsidP="00300A01">
            <w:pPr>
              <w:spacing w:before="0" w:after="0"/>
              <w:jc w:val="right"/>
              <w:rPr>
                <w:sz w:val="10"/>
                <w:szCs w:val="10"/>
                <w:lang w:val="fr-BE"/>
              </w:rPr>
            </w:pPr>
            <w:r w:rsidRPr="001C4484">
              <w:rPr>
                <w:noProof/>
                <w:sz w:val="10"/>
                <w:szCs w:val="10"/>
              </w:rPr>
              <w:t>0,00</w:t>
            </w:r>
          </w:p>
        </w:tc>
        <w:tc>
          <w:tcPr>
            <w:tcW w:w="0" w:type="auto"/>
          </w:tcPr>
          <w:p w14:paraId="1FA6B3B3"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5948A182"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5268DD01" w14:textId="77777777" w:rsidR="008C5CFA" w:rsidRPr="001C4484" w:rsidRDefault="00E82A60" w:rsidP="00300A01">
            <w:pPr>
              <w:spacing w:before="0" w:after="0"/>
              <w:jc w:val="right"/>
              <w:rPr>
                <w:sz w:val="10"/>
                <w:szCs w:val="10"/>
                <w:lang w:val="fr-BE"/>
              </w:rPr>
            </w:pPr>
            <w:r w:rsidRPr="001C4484">
              <w:rPr>
                <w:noProof/>
                <w:sz w:val="10"/>
                <w:szCs w:val="10"/>
                <w:lang w:val="fr-BE"/>
              </w:rPr>
              <w:t>0,00</w:t>
            </w:r>
          </w:p>
        </w:tc>
      </w:tr>
      <w:tr w:rsidR="006B2EC1" w14:paraId="6F464334" w14:textId="77777777" w:rsidTr="0047688D">
        <w:tc>
          <w:tcPr>
            <w:tcW w:w="0" w:type="auto"/>
            <w:shd w:val="clear" w:color="auto" w:fill="auto"/>
          </w:tcPr>
          <w:p w14:paraId="610F6D42" w14:textId="77777777" w:rsidR="008C5CFA" w:rsidRPr="001C4484" w:rsidRDefault="00E82A60" w:rsidP="00300A01">
            <w:pPr>
              <w:spacing w:before="0" w:after="0"/>
              <w:rPr>
                <w:sz w:val="10"/>
                <w:szCs w:val="10"/>
                <w:lang w:val="fr-BE"/>
              </w:rPr>
            </w:pPr>
            <w:r w:rsidRPr="001C4484">
              <w:rPr>
                <w:noProof/>
                <w:sz w:val="10"/>
                <w:szCs w:val="10"/>
                <w:lang w:val="fr-BE"/>
              </w:rPr>
              <w:t>CO16</w:t>
            </w:r>
          </w:p>
        </w:tc>
        <w:tc>
          <w:tcPr>
            <w:tcW w:w="0" w:type="auto"/>
            <w:shd w:val="clear" w:color="auto" w:fill="auto"/>
          </w:tcPr>
          <w:p w14:paraId="27DF5B8A" w14:textId="77777777" w:rsidR="008C5CFA" w:rsidRPr="001C4484" w:rsidRDefault="00E82A60" w:rsidP="00300A01">
            <w:pPr>
              <w:spacing w:before="0" w:after="0"/>
              <w:rPr>
                <w:sz w:val="10"/>
                <w:szCs w:val="10"/>
                <w:lang w:val="fr-BE"/>
              </w:rPr>
            </w:pPr>
            <w:r w:rsidRPr="001C4484">
              <w:rPr>
                <w:noProof/>
                <w:sz w:val="10"/>
                <w:szCs w:val="10"/>
                <w:lang w:val="fr-BE"/>
              </w:rPr>
              <w:t>uczestnicy z niepełnosprawnościami</w:t>
            </w:r>
          </w:p>
        </w:tc>
        <w:tc>
          <w:tcPr>
            <w:tcW w:w="0" w:type="auto"/>
            <w:shd w:val="clear" w:color="auto" w:fill="auto"/>
          </w:tcPr>
          <w:p w14:paraId="3EC77973"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058B1316"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4367F275"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05CD4694" w14:textId="77777777" w:rsidR="008C5CFA" w:rsidRPr="001C4484" w:rsidRDefault="00E82A60" w:rsidP="00300A01">
            <w:pPr>
              <w:spacing w:before="0" w:after="0"/>
              <w:jc w:val="right"/>
              <w:rPr>
                <w:sz w:val="10"/>
                <w:szCs w:val="10"/>
                <w:lang w:val="fr-BE"/>
              </w:rPr>
            </w:pPr>
            <w:r w:rsidRPr="001C4484">
              <w:rPr>
                <w:noProof/>
                <w:sz w:val="10"/>
                <w:szCs w:val="10"/>
              </w:rPr>
              <w:t>0,00</w:t>
            </w:r>
          </w:p>
        </w:tc>
        <w:tc>
          <w:tcPr>
            <w:tcW w:w="0" w:type="auto"/>
          </w:tcPr>
          <w:p w14:paraId="2F19479A"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77DC9C62"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656859B4" w14:textId="77777777" w:rsidR="008C5CFA" w:rsidRPr="001C4484" w:rsidRDefault="00E82A60" w:rsidP="00300A01">
            <w:pPr>
              <w:spacing w:before="0" w:after="0"/>
              <w:jc w:val="right"/>
              <w:rPr>
                <w:sz w:val="10"/>
                <w:szCs w:val="10"/>
                <w:lang w:val="fr-BE"/>
              </w:rPr>
            </w:pPr>
            <w:r w:rsidRPr="001C4484">
              <w:rPr>
                <w:noProof/>
                <w:sz w:val="10"/>
                <w:szCs w:val="10"/>
                <w:lang w:val="fr-BE"/>
              </w:rPr>
              <w:t>0,00</w:t>
            </w:r>
          </w:p>
        </w:tc>
      </w:tr>
      <w:tr w:rsidR="006B2EC1" w14:paraId="44A06EC4" w14:textId="77777777" w:rsidTr="0047688D">
        <w:tc>
          <w:tcPr>
            <w:tcW w:w="0" w:type="auto"/>
            <w:shd w:val="clear" w:color="auto" w:fill="auto"/>
          </w:tcPr>
          <w:p w14:paraId="758D028C" w14:textId="77777777" w:rsidR="008C5CFA" w:rsidRPr="001C4484" w:rsidRDefault="00E82A60" w:rsidP="00300A01">
            <w:pPr>
              <w:spacing w:before="0" w:after="0"/>
              <w:rPr>
                <w:sz w:val="10"/>
                <w:szCs w:val="10"/>
                <w:lang w:val="fr-BE"/>
              </w:rPr>
            </w:pPr>
            <w:r w:rsidRPr="001C4484">
              <w:rPr>
                <w:noProof/>
                <w:sz w:val="10"/>
                <w:szCs w:val="10"/>
                <w:lang w:val="fr-BE"/>
              </w:rPr>
              <w:t>CO17</w:t>
            </w:r>
          </w:p>
        </w:tc>
        <w:tc>
          <w:tcPr>
            <w:tcW w:w="0" w:type="auto"/>
            <w:shd w:val="clear" w:color="auto" w:fill="auto"/>
          </w:tcPr>
          <w:p w14:paraId="3DA79AFD" w14:textId="77777777" w:rsidR="008C5CFA" w:rsidRPr="001C4484" w:rsidRDefault="00E82A60" w:rsidP="00300A01">
            <w:pPr>
              <w:spacing w:before="0" w:after="0"/>
              <w:rPr>
                <w:sz w:val="10"/>
                <w:szCs w:val="10"/>
                <w:lang w:val="fr-BE"/>
              </w:rPr>
            </w:pPr>
            <w:r w:rsidRPr="001C4484">
              <w:rPr>
                <w:noProof/>
                <w:sz w:val="10"/>
                <w:szCs w:val="10"/>
                <w:lang w:val="fr-BE"/>
              </w:rPr>
              <w:t>inne osoby w niekorzystnej sytuacji społecznej</w:t>
            </w:r>
          </w:p>
        </w:tc>
        <w:tc>
          <w:tcPr>
            <w:tcW w:w="0" w:type="auto"/>
            <w:shd w:val="clear" w:color="auto" w:fill="auto"/>
          </w:tcPr>
          <w:p w14:paraId="61F1A590"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0E69745C"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7EA1A83D"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1AC01C8E" w14:textId="77777777" w:rsidR="008C5CFA" w:rsidRPr="001C4484" w:rsidRDefault="00E82A60" w:rsidP="00300A01">
            <w:pPr>
              <w:spacing w:before="0" w:after="0"/>
              <w:jc w:val="right"/>
              <w:rPr>
                <w:sz w:val="10"/>
                <w:szCs w:val="10"/>
                <w:lang w:val="fr-BE"/>
              </w:rPr>
            </w:pPr>
            <w:r w:rsidRPr="001C4484">
              <w:rPr>
                <w:noProof/>
                <w:sz w:val="10"/>
                <w:szCs w:val="10"/>
              </w:rPr>
              <w:t>0,00</w:t>
            </w:r>
          </w:p>
        </w:tc>
        <w:tc>
          <w:tcPr>
            <w:tcW w:w="0" w:type="auto"/>
          </w:tcPr>
          <w:p w14:paraId="571438BE"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3DD1C3F7"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3357A6A2" w14:textId="77777777" w:rsidR="008C5CFA" w:rsidRPr="001C4484" w:rsidRDefault="00E82A60" w:rsidP="00300A01">
            <w:pPr>
              <w:spacing w:before="0" w:after="0"/>
              <w:jc w:val="right"/>
              <w:rPr>
                <w:sz w:val="10"/>
                <w:szCs w:val="10"/>
                <w:lang w:val="fr-BE"/>
              </w:rPr>
            </w:pPr>
            <w:r w:rsidRPr="001C4484">
              <w:rPr>
                <w:noProof/>
                <w:sz w:val="10"/>
                <w:szCs w:val="10"/>
                <w:lang w:val="fr-BE"/>
              </w:rPr>
              <w:t>0,00</w:t>
            </w:r>
          </w:p>
        </w:tc>
      </w:tr>
      <w:tr w:rsidR="006B2EC1" w14:paraId="24335996" w14:textId="77777777" w:rsidTr="0047688D">
        <w:tc>
          <w:tcPr>
            <w:tcW w:w="0" w:type="auto"/>
            <w:shd w:val="clear" w:color="auto" w:fill="auto"/>
          </w:tcPr>
          <w:p w14:paraId="59C62DD8" w14:textId="77777777" w:rsidR="008C5CFA" w:rsidRPr="001C4484" w:rsidRDefault="00E82A60" w:rsidP="00300A01">
            <w:pPr>
              <w:spacing w:before="0" w:after="0"/>
              <w:rPr>
                <w:sz w:val="10"/>
                <w:szCs w:val="10"/>
                <w:lang w:val="fr-BE"/>
              </w:rPr>
            </w:pPr>
            <w:r w:rsidRPr="001C4484">
              <w:rPr>
                <w:noProof/>
                <w:sz w:val="10"/>
                <w:szCs w:val="10"/>
                <w:lang w:val="fr-BE"/>
              </w:rPr>
              <w:t>CO18</w:t>
            </w:r>
          </w:p>
        </w:tc>
        <w:tc>
          <w:tcPr>
            <w:tcW w:w="0" w:type="auto"/>
            <w:shd w:val="clear" w:color="auto" w:fill="auto"/>
          </w:tcPr>
          <w:p w14:paraId="22D98CBD" w14:textId="77777777" w:rsidR="008C5CFA" w:rsidRPr="001C4484" w:rsidRDefault="00E82A60" w:rsidP="00300A01">
            <w:pPr>
              <w:spacing w:before="0" w:after="0"/>
              <w:rPr>
                <w:sz w:val="10"/>
                <w:szCs w:val="10"/>
                <w:lang w:val="fr-BE"/>
              </w:rPr>
            </w:pPr>
            <w:r w:rsidRPr="001C4484">
              <w:rPr>
                <w:noProof/>
                <w:sz w:val="10"/>
                <w:szCs w:val="10"/>
                <w:lang w:val="fr-BE"/>
              </w:rPr>
              <w:t>osoby bezdomne lub dotknięte wykluczeniem z dostępu do mieszkań</w:t>
            </w:r>
          </w:p>
        </w:tc>
        <w:tc>
          <w:tcPr>
            <w:tcW w:w="0" w:type="auto"/>
            <w:shd w:val="clear" w:color="auto" w:fill="auto"/>
          </w:tcPr>
          <w:p w14:paraId="0EF8FD43"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0118BB93"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2CE0ADC7"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427767B0" w14:textId="77777777" w:rsidR="008C5CFA" w:rsidRPr="001C4484" w:rsidRDefault="00E82A60" w:rsidP="00300A01">
            <w:pPr>
              <w:spacing w:before="0" w:after="0"/>
              <w:jc w:val="right"/>
              <w:rPr>
                <w:sz w:val="10"/>
                <w:szCs w:val="10"/>
                <w:lang w:val="fr-BE"/>
              </w:rPr>
            </w:pPr>
            <w:r w:rsidRPr="001C4484">
              <w:rPr>
                <w:noProof/>
                <w:sz w:val="10"/>
                <w:szCs w:val="10"/>
              </w:rPr>
              <w:t>0,00</w:t>
            </w:r>
          </w:p>
        </w:tc>
        <w:tc>
          <w:tcPr>
            <w:tcW w:w="0" w:type="auto"/>
          </w:tcPr>
          <w:p w14:paraId="79D19959"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78F4DBB9"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649E33BA" w14:textId="77777777" w:rsidR="008C5CFA" w:rsidRPr="001C4484" w:rsidRDefault="00E82A60" w:rsidP="00300A01">
            <w:pPr>
              <w:spacing w:before="0" w:after="0"/>
              <w:jc w:val="right"/>
              <w:rPr>
                <w:sz w:val="10"/>
                <w:szCs w:val="10"/>
                <w:lang w:val="fr-BE"/>
              </w:rPr>
            </w:pPr>
            <w:r w:rsidRPr="001C4484">
              <w:rPr>
                <w:noProof/>
                <w:sz w:val="10"/>
                <w:szCs w:val="10"/>
                <w:lang w:val="fr-BE"/>
              </w:rPr>
              <w:t>0,00</w:t>
            </w:r>
          </w:p>
        </w:tc>
      </w:tr>
      <w:tr w:rsidR="006B2EC1" w14:paraId="6B881647" w14:textId="77777777" w:rsidTr="0047688D">
        <w:tc>
          <w:tcPr>
            <w:tcW w:w="0" w:type="auto"/>
            <w:shd w:val="clear" w:color="auto" w:fill="auto"/>
          </w:tcPr>
          <w:p w14:paraId="6100A25C" w14:textId="77777777" w:rsidR="008C5CFA" w:rsidRPr="001C4484" w:rsidRDefault="00E82A60" w:rsidP="00300A01">
            <w:pPr>
              <w:spacing w:before="0" w:after="0"/>
              <w:rPr>
                <w:sz w:val="10"/>
                <w:szCs w:val="10"/>
                <w:lang w:val="fr-BE"/>
              </w:rPr>
            </w:pPr>
            <w:r w:rsidRPr="001C4484">
              <w:rPr>
                <w:noProof/>
                <w:sz w:val="10"/>
                <w:szCs w:val="10"/>
                <w:lang w:val="fr-BE"/>
              </w:rPr>
              <w:t>CO19</w:t>
            </w:r>
          </w:p>
        </w:tc>
        <w:tc>
          <w:tcPr>
            <w:tcW w:w="0" w:type="auto"/>
            <w:shd w:val="clear" w:color="auto" w:fill="auto"/>
          </w:tcPr>
          <w:p w14:paraId="70619F93" w14:textId="77777777" w:rsidR="008C5CFA" w:rsidRPr="001C4484" w:rsidRDefault="00E82A60" w:rsidP="00300A01">
            <w:pPr>
              <w:spacing w:before="0" w:after="0"/>
              <w:rPr>
                <w:sz w:val="10"/>
                <w:szCs w:val="10"/>
                <w:lang w:val="fr-BE"/>
              </w:rPr>
            </w:pPr>
            <w:r w:rsidRPr="001C4484">
              <w:rPr>
                <w:noProof/>
                <w:sz w:val="10"/>
                <w:szCs w:val="10"/>
                <w:lang w:val="fr-BE"/>
              </w:rPr>
              <w:t>osoby pochodzące z obszarów wiejskich</w:t>
            </w:r>
          </w:p>
        </w:tc>
        <w:tc>
          <w:tcPr>
            <w:tcW w:w="0" w:type="auto"/>
            <w:shd w:val="clear" w:color="auto" w:fill="auto"/>
          </w:tcPr>
          <w:p w14:paraId="6C33C9C7"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19D0CF68"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7AB182D9"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06F5B646" w14:textId="77777777" w:rsidR="008C5CFA" w:rsidRPr="001C4484" w:rsidRDefault="00E82A60" w:rsidP="00300A01">
            <w:pPr>
              <w:spacing w:before="0" w:after="0"/>
              <w:jc w:val="right"/>
              <w:rPr>
                <w:sz w:val="10"/>
                <w:szCs w:val="10"/>
                <w:lang w:val="fr-BE"/>
              </w:rPr>
            </w:pPr>
            <w:r w:rsidRPr="001C4484">
              <w:rPr>
                <w:noProof/>
                <w:sz w:val="10"/>
                <w:szCs w:val="10"/>
              </w:rPr>
              <w:t>0,00</w:t>
            </w:r>
          </w:p>
        </w:tc>
        <w:tc>
          <w:tcPr>
            <w:tcW w:w="0" w:type="auto"/>
          </w:tcPr>
          <w:p w14:paraId="1B5E3D3A"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095F8A7A"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31502AD6" w14:textId="77777777" w:rsidR="008C5CFA" w:rsidRPr="001C4484" w:rsidRDefault="00E82A60" w:rsidP="00300A01">
            <w:pPr>
              <w:spacing w:before="0" w:after="0"/>
              <w:jc w:val="right"/>
              <w:rPr>
                <w:sz w:val="10"/>
                <w:szCs w:val="10"/>
                <w:lang w:val="fr-BE"/>
              </w:rPr>
            </w:pPr>
            <w:r w:rsidRPr="001C4484">
              <w:rPr>
                <w:noProof/>
                <w:sz w:val="10"/>
                <w:szCs w:val="10"/>
                <w:lang w:val="fr-BE"/>
              </w:rPr>
              <w:t>0,00</w:t>
            </w:r>
          </w:p>
        </w:tc>
      </w:tr>
      <w:tr w:rsidR="006B2EC1" w14:paraId="473910B5" w14:textId="77777777" w:rsidTr="0047688D">
        <w:tc>
          <w:tcPr>
            <w:tcW w:w="0" w:type="auto"/>
            <w:shd w:val="clear" w:color="auto" w:fill="auto"/>
          </w:tcPr>
          <w:p w14:paraId="5ECB8705" w14:textId="77777777" w:rsidR="008C5CFA" w:rsidRPr="001C4484" w:rsidRDefault="00E82A60" w:rsidP="00300A01">
            <w:pPr>
              <w:spacing w:before="0" w:after="0"/>
              <w:rPr>
                <w:sz w:val="10"/>
                <w:szCs w:val="10"/>
                <w:lang w:val="fr-BE"/>
              </w:rPr>
            </w:pPr>
            <w:r w:rsidRPr="001C4484">
              <w:rPr>
                <w:noProof/>
                <w:sz w:val="10"/>
                <w:szCs w:val="10"/>
                <w:lang w:val="fr-BE"/>
              </w:rPr>
              <w:t>CO20</w:t>
            </w:r>
          </w:p>
        </w:tc>
        <w:tc>
          <w:tcPr>
            <w:tcW w:w="0" w:type="auto"/>
            <w:shd w:val="clear" w:color="auto" w:fill="auto"/>
          </w:tcPr>
          <w:p w14:paraId="4107B3F1" w14:textId="77777777" w:rsidR="008C5CFA" w:rsidRPr="001C4484" w:rsidRDefault="00E82A60" w:rsidP="00300A01">
            <w:pPr>
              <w:spacing w:before="0" w:after="0"/>
              <w:rPr>
                <w:sz w:val="10"/>
                <w:szCs w:val="10"/>
                <w:lang w:val="fr-BE"/>
              </w:rPr>
            </w:pPr>
            <w:r w:rsidRPr="001C4484">
              <w:rPr>
                <w:noProof/>
                <w:sz w:val="10"/>
                <w:szCs w:val="10"/>
                <w:lang w:val="fr-BE"/>
              </w:rPr>
              <w:t>liczba projektów zrealizowanych w pełni lub częściowo przez partnerów społecznych lub organizacje pozarządowe</w:t>
            </w:r>
          </w:p>
        </w:tc>
        <w:tc>
          <w:tcPr>
            <w:tcW w:w="0" w:type="auto"/>
            <w:shd w:val="clear" w:color="auto" w:fill="auto"/>
          </w:tcPr>
          <w:p w14:paraId="5F8EF852"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0AD93E7B"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4B3E9C3F" w14:textId="77777777" w:rsidR="008C5CFA" w:rsidRPr="001C4484" w:rsidRDefault="008C5CFA" w:rsidP="00300A01">
            <w:pPr>
              <w:spacing w:before="0" w:after="0"/>
              <w:jc w:val="right"/>
              <w:rPr>
                <w:sz w:val="10"/>
                <w:szCs w:val="10"/>
              </w:rPr>
            </w:pPr>
          </w:p>
        </w:tc>
        <w:tc>
          <w:tcPr>
            <w:tcW w:w="0" w:type="auto"/>
            <w:shd w:val="clear" w:color="auto" w:fill="auto"/>
          </w:tcPr>
          <w:p w14:paraId="3BFCF321" w14:textId="77777777" w:rsidR="008C5CFA" w:rsidRPr="001C4484" w:rsidRDefault="008C5CFA" w:rsidP="00300A01">
            <w:pPr>
              <w:spacing w:before="0" w:after="0"/>
              <w:jc w:val="right"/>
              <w:rPr>
                <w:sz w:val="10"/>
                <w:szCs w:val="10"/>
                <w:lang w:val="fr-BE"/>
              </w:rPr>
            </w:pPr>
          </w:p>
        </w:tc>
        <w:tc>
          <w:tcPr>
            <w:tcW w:w="0" w:type="auto"/>
          </w:tcPr>
          <w:p w14:paraId="72081572"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3B2BBC29" w14:textId="77777777" w:rsidR="008C5CFA" w:rsidRPr="001C4484" w:rsidRDefault="008C5CFA" w:rsidP="00300A01">
            <w:pPr>
              <w:spacing w:before="0" w:after="0"/>
              <w:jc w:val="right"/>
              <w:rPr>
                <w:sz w:val="10"/>
                <w:szCs w:val="10"/>
              </w:rPr>
            </w:pPr>
          </w:p>
        </w:tc>
        <w:tc>
          <w:tcPr>
            <w:tcW w:w="0" w:type="auto"/>
            <w:shd w:val="clear" w:color="auto" w:fill="auto"/>
          </w:tcPr>
          <w:p w14:paraId="17DE5394" w14:textId="77777777" w:rsidR="008C5CFA" w:rsidRPr="001C4484" w:rsidRDefault="008C5CFA" w:rsidP="00300A01">
            <w:pPr>
              <w:spacing w:before="0" w:after="0"/>
              <w:jc w:val="right"/>
              <w:rPr>
                <w:sz w:val="10"/>
                <w:szCs w:val="10"/>
                <w:lang w:val="fr-BE"/>
              </w:rPr>
            </w:pPr>
          </w:p>
        </w:tc>
      </w:tr>
      <w:tr w:rsidR="006B2EC1" w14:paraId="64B327EA" w14:textId="77777777" w:rsidTr="0047688D">
        <w:tc>
          <w:tcPr>
            <w:tcW w:w="0" w:type="auto"/>
            <w:shd w:val="clear" w:color="auto" w:fill="auto"/>
          </w:tcPr>
          <w:p w14:paraId="7342D594" w14:textId="77777777" w:rsidR="008C5CFA" w:rsidRPr="001C4484" w:rsidRDefault="00E82A60" w:rsidP="00300A01">
            <w:pPr>
              <w:spacing w:before="0" w:after="0"/>
              <w:rPr>
                <w:sz w:val="10"/>
                <w:szCs w:val="10"/>
                <w:lang w:val="fr-BE"/>
              </w:rPr>
            </w:pPr>
            <w:r w:rsidRPr="001C4484">
              <w:rPr>
                <w:noProof/>
                <w:sz w:val="10"/>
                <w:szCs w:val="10"/>
                <w:lang w:val="fr-BE"/>
              </w:rPr>
              <w:t>CO21</w:t>
            </w:r>
          </w:p>
        </w:tc>
        <w:tc>
          <w:tcPr>
            <w:tcW w:w="0" w:type="auto"/>
            <w:shd w:val="clear" w:color="auto" w:fill="auto"/>
          </w:tcPr>
          <w:p w14:paraId="66088932" w14:textId="77777777" w:rsidR="008C5CFA" w:rsidRPr="001C4484" w:rsidRDefault="00E82A60" w:rsidP="00300A01">
            <w:pPr>
              <w:spacing w:before="0" w:after="0"/>
              <w:rPr>
                <w:sz w:val="10"/>
                <w:szCs w:val="10"/>
                <w:lang w:val="fr-BE"/>
              </w:rPr>
            </w:pPr>
            <w:r w:rsidRPr="001C4484">
              <w:rPr>
                <w:noProof/>
                <w:sz w:val="10"/>
                <w:szCs w:val="10"/>
                <w:lang w:val="fr-BE"/>
              </w:rPr>
              <w:t>liczba projektów ukierunkowanych na trwały udział kobiet w zatrudnieniu i rozwój ich kariery zawodowej</w:t>
            </w:r>
          </w:p>
        </w:tc>
        <w:tc>
          <w:tcPr>
            <w:tcW w:w="0" w:type="auto"/>
            <w:shd w:val="clear" w:color="auto" w:fill="auto"/>
          </w:tcPr>
          <w:p w14:paraId="70843BDF"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1BF9CBC1"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590A7AC3" w14:textId="77777777" w:rsidR="008C5CFA" w:rsidRPr="001C4484" w:rsidRDefault="008C5CFA" w:rsidP="00300A01">
            <w:pPr>
              <w:spacing w:before="0" w:after="0"/>
              <w:jc w:val="right"/>
              <w:rPr>
                <w:sz w:val="10"/>
                <w:szCs w:val="10"/>
              </w:rPr>
            </w:pPr>
          </w:p>
        </w:tc>
        <w:tc>
          <w:tcPr>
            <w:tcW w:w="0" w:type="auto"/>
            <w:shd w:val="clear" w:color="auto" w:fill="auto"/>
          </w:tcPr>
          <w:p w14:paraId="021467E8" w14:textId="77777777" w:rsidR="008C5CFA" w:rsidRPr="001C4484" w:rsidRDefault="008C5CFA" w:rsidP="00300A01">
            <w:pPr>
              <w:spacing w:before="0" w:after="0"/>
              <w:jc w:val="right"/>
              <w:rPr>
                <w:sz w:val="10"/>
                <w:szCs w:val="10"/>
                <w:lang w:val="fr-BE"/>
              </w:rPr>
            </w:pPr>
          </w:p>
        </w:tc>
        <w:tc>
          <w:tcPr>
            <w:tcW w:w="0" w:type="auto"/>
          </w:tcPr>
          <w:p w14:paraId="63E2D352"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0FD1D8CC" w14:textId="77777777" w:rsidR="008C5CFA" w:rsidRPr="001C4484" w:rsidRDefault="008C5CFA" w:rsidP="00300A01">
            <w:pPr>
              <w:spacing w:before="0" w:after="0"/>
              <w:jc w:val="right"/>
              <w:rPr>
                <w:sz w:val="10"/>
                <w:szCs w:val="10"/>
              </w:rPr>
            </w:pPr>
          </w:p>
        </w:tc>
        <w:tc>
          <w:tcPr>
            <w:tcW w:w="0" w:type="auto"/>
            <w:shd w:val="clear" w:color="auto" w:fill="auto"/>
          </w:tcPr>
          <w:p w14:paraId="0076B2BA" w14:textId="77777777" w:rsidR="008C5CFA" w:rsidRPr="001C4484" w:rsidRDefault="008C5CFA" w:rsidP="00300A01">
            <w:pPr>
              <w:spacing w:before="0" w:after="0"/>
              <w:jc w:val="right"/>
              <w:rPr>
                <w:sz w:val="10"/>
                <w:szCs w:val="10"/>
                <w:lang w:val="fr-BE"/>
              </w:rPr>
            </w:pPr>
          </w:p>
        </w:tc>
      </w:tr>
      <w:tr w:rsidR="006B2EC1" w14:paraId="0134C3D7" w14:textId="77777777" w:rsidTr="0047688D">
        <w:tc>
          <w:tcPr>
            <w:tcW w:w="0" w:type="auto"/>
            <w:shd w:val="clear" w:color="auto" w:fill="auto"/>
          </w:tcPr>
          <w:p w14:paraId="480F2B81" w14:textId="77777777" w:rsidR="008C5CFA" w:rsidRPr="001C4484" w:rsidRDefault="00E82A60" w:rsidP="00300A01">
            <w:pPr>
              <w:spacing w:before="0" w:after="0"/>
              <w:rPr>
                <w:sz w:val="10"/>
                <w:szCs w:val="10"/>
                <w:lang w:val="fr-BE"/>
              </w:rPr>
            </w:pPr>
            <w:r w:rsidRPr="001C4484">
              <w:rPr>
                <w:noProof/>
                <w:sz w:val="10"/>
                <w:szCs w:val="10"/>
                <w:lang w:val="fr-BE"/>
              </w:rPr>
              <w:t>CO22</w:t>
            </w:r>
          </w:p>
        </w:tc>
        <w:tc>
          <w:tcPr>
            <w:tcW w:w="0" w:type="auto"/>
            <w:shd w:val="clear" w:color="auto" w:fill="auto"/>
          </w:tcPr>
          <w:p w14:paraId="0904BD99" w14:textId="77777777" w:rsidR="008C5CFA" w:rsidRPr="001C4484" w:rsidRDefault="00E82A60" w:rsidP="00300A01">
            <w:pPr>
              <w:spacing w:before="0" w:after="0"/>
              <w:rPr>
                <w:sz w:val="10"/>
                <w:szCs w:val="10"/>
                <w:lang w:val="fr-BE"/>
              </w:rPr>
            </w:pPr>
            <w:r w:rsidRPr="001C4484">
              <w:rPr>
                <w:noProof/>
                <w:sz w:val="10"/>
                <w:szCs w:val="10"/>
                <w:lang w:val="fr-BE"/>
              </w:rPr>
              <w:t>liczba projektów obejmujących administrację publiczną lub służby publiczne na szczeblu krajowym, regionalnym lub lokalnym</w:t>
            </w:r>
          </w:p>
        </w:tc>
        <w:tc>
          <w:tcPr>
            <w:tcW w:w="0" w:type="auto"/>
            <w:shd w:val="clear" w:color="auto" w:fill="auto"/>
          </w:tcPr>
          <w:p w14:paraId="15EA3FDF"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56A104B5"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7A3E8485" w14:textId="77777777" w:rsidR="008C5CFA" w:rsidRPr="001C4484" w:rsidRDefault="008C5CFA" w:rsidP="00300A01">
            <w:pPr>
              <w:spacing w:before="0" w:after="0"/>
              <w:jc w:val="right"/>
              <w:rPr>
                <w:sz w:val="10"/>
                <w:szCs w:val="10"/>
              </w:rPr>
            </w:pPr>
          </w:p>
        </w:tc>
        <w:tc>
          <w:tcPr>
            <w:tcW w:w="0" w:type="auto"/>
            <w:shd w:val="clear" w:color="auto" w:fill="auto"/>
          </w:tcPr>
          <w:p w14:paraId="4B6ECA51" w14:textId="77777777" w:rsidR="008C5CFA" w:rsidRPr="001C4484" w:rsidRDefault="008C5CFA" w:rsidP="00300A01">
            <w:pPr>
              <w:spacing w:before="0" w:after="0"/>
              <w:jc w:val="right"/>
              <w:rPr>
                <w:sz w:val="10"/>
                <w:szCs w:val="10"/>
                <w:lang w:val="fr-BE"/>
              </w:rPr>
            </w:pPr>
          </w:p>
        </w:tc>
        <w:tc>
          <w:tcPr>
            <w:tcW w:w="0" w:type="auto"/>
          </w:tcPr>
          <w:p w14:paraId="745463C2"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6483FD9D" w14:textId="77777777" w:rsidR="008C5CFA" w:rsidRPr="001C4484" w:rsidRDefault="008C5CFA" w:rsidP="00300A01">
            <w:pPr>
              <w:spacing w:before="0" w:after="0"/>
              <w:jc w:val="right"/>
              <w:rPr>
                <w:sz w:val="10"/>
                <w:szCs w:val="10"/>
              </w:rPr>
            </w:pPr>
          </w:p>
        </w:tc>
        <w:tc>
          <w:tcPr>
            <w:tcW w:w="0" w:type="auto"/>
            <w:shd w:val="clear" w:color="auto" w:fill="auto"/>
          </w:tcPr>
          <w:p w14:paraId="36A55EDB" w14:textId="77777777" w:rsidR="008C5CFA" w:rsidRPr="001C4484" w:rsidRDefault="008C5CFA" w:rsidP="00300A01">
            <w:pPr>
              <w:spacing w:before="0" w:after="0"/>
              <w:jc w:val="right"/>
              <w:rPr>
                <w:sz w:val="10"/>
                <w:szCs w:val="10"/>
                <w:lang w:val="fr-BE"/>
              </w:rPr>
            </w:pPr>
          </w:p>
        </w:tc>
      </w:tr>
      <w:tr w:rsidR="006B2EC1" w14:paraId="61B16AF2" w14:textId="77777777" w:rsidTr="0047688D">
        <w:tc>
          <w:tcPr>
            <w:tcW w:w="0" w:type="auto"/>
            <w:shd w:val="clear" w:color="auto" w:fill="auto"/>
          </w:tcPr>
          <w:p w14:paraId="6049BF22" w14:textId="77777777" w:rsidR="008C5CFA" w:rsidRPr="001C4484" w:rsidRDefault="00E82A60" w:rsidP="00300A01">
            <w:pPr>
              <w:spacing w:before="0" w:after="0"/>
              <w:rPr>
                <w:sz w:val="10"/>
                <w:szCs w:val="10"/>
                <w:lang w:val="fr-BE"/>
              </w:rPr>
            </w:pPr>
            <w:r w:rsidRPr="001C4484">
              <w:rPr>
                <w:noProof/>
                <w:sz w:val="10"/>
                <w:szCs w:val="10"/>
                <w:lang w:val="fr-BE"/>
              </w:rPr>
              <w:t>CO23</w:t>
            </w:r>
          </w:p>
        </w:tc>
        <w:tc>
          <w:tcPr>
            <w:tcW w:w="0" w:type="auto"/>
            <w:shd w:val="clear" w:color="auto" w:fill="auto"/>
          </w:tcPr>
          <w:p w14:paraId="083665C1" w14:textId="77777777" w:rsidR="008C5CFA" w:rsidRPr="001C4484" w:rsidRDefault="00E82A60" w:rsidP="00300A01">
            <w:pPr>
              <w:spacing w:before="0" w:after="0"/>
              <w:rPr>
                <w:sz w:val="10"/>
                <w:szCs w:val="10"/>
                <w:lang w:val="fr-BE"/>
              </w:rPr>
            </w:pPr>
            <w:r w:rsidRPr="001C4484">
              <w:rPr>
                <w:noProof/>
                <w:sz w:val="10"/>
                <w:szCs w:val="10"/>
                <w:lang w:val="fr-BE"/>
              </w:rPr>
              <w:t>liczba objętych wsparciem mikro-, małych i średnich przedsiębiorstw (w tym przedsiębiorstw spółdzielczych i przedsiębiorstw gospodarki społecznej)</w:t>
            </w:r>
          </w:p>
        </w:tc>
        <w:tc>
          <w:tcPr>
            <w:tcW w:w="0" w:type="auto"/>
            <w:shd w:val="clear" w:color="auto" w:fill="auto"/>
          </w:tcPr>
          <w:p w14:paraId="29EA595B"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1E72D366"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3624B3A4" w14:textId="77777777" w:rsidR="008C5CFA" w:rsidRPr="001C4484" w:rsidRDefault="008C5CFA" w:rsidP="00300A01">
            <w:pPr>
              <w:spacing w:before="0" w:after="0"/>
              <w:jc w:val="right"/>
              <w:rPr>
                <w:sz w:val="10"/>
                <w:szCs w:val="10"/>
              </w:rPr>
            </w:pPr>
          </w:p>
        </w:tc>
        <w:tc>
          <w:tcPr>
            <w:tcW w:w="0" w:type="auto"/>
            <w:shd w:val="clear" w:color="auto" w:fill="auto"/>
          </w:tcPr>
          <w:p w14:paraId="390C6E46" w14:textId="77777777" w:rsidR="008C5CFA" w:rsidRPr="001C4484" w:rsidRDefault="008C5CFA" w:rsidP="00300A01">
            <w:pPr>
              <w:spacing w:before="0" w:after="0"/>
              <w:jc w:val="right"/>
              <w:rPr>
                <w:sz w:val="10"/>
                <w:szCs w:val="10"/>
                <w:lang w:val="fr-BE"/>
              </w:rPr>
            </w:pPr>
          </w:p>
        </w:tc>
        <w:tc>
          <w:tcPr>
            <w:tcW w:w="0" w:type="auto"/>
          </w:tcPr>
          <w:p w14:paraId="2CEF4926"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72D608D9" w14:textId="77777777" w:rsidR="008C5CFA" w:rsidRPr="001C4484" w:rsidRDefault="008C5CFA" w:rsidP="00300A01">
            <w:pPr>
              <w:spacing w:before="0" w:after="0"/>
              <w:jc w:val="right"/>
              <w:rPr>
                <w:sz w:val="10"/>
                <w:szCs w:val="10"/>
              </w:rPr>
            </w:pPr>
          </w:p>
        </w:tc>
        <w:tc>
          <w:tcPr>
            <w:tcW w:w="0" w:type="auto"/>
            <w:shd w:val="clear" w:color="auto" w:fill="auto"/>
          </w:tcPr>
          <w:p w14:paraId="181E6911" w14:textId="77777777" w:rsidR="008C5CFA" w:rsidRPr="001C4484" w:rsidRDefault="008C5CFA" w:rsidP="00300A01">
            <w:pPr>
              <w:spacing w:before="0" w:after="0"/>
              <w:jc w:val="right"/>
              <w:rPr>
                <w:sz w:val="10"/>
                <w:szCs w:val="10"/>
                <w:lang w:val="fr-BE"/>
              </w:rPr>
            </w:pPr>
          </w:p>
        </w:tc>
      </w:tr>
      <w:tr w:rsidR="006B2EC1" w14:paraId="23A1D125" w14:textId="77777777" w:rsidTr="0047688D">
        <w:tc>
          <w:tcPr>
            <w:tcW w:w="0" w:type="auto"/>
            <w:shd w:val="clear" w:color="auto" w:fill="auto"/>
          </w:tcPr>
          <w:p w14:paraId="6E60A179" w14:textId="77777777" w:rsidR="008C5CFA" w:rsidRPr="001C4484" w:rsidRDefault="008C5CFA" w:rsidP="00300A01">
            <w:pPr>
              <w:spacing w:before="0" w:after="0"/>
              <w:rPr>
                <w:sz w:val="10"/>
                <w:szCs w:val="10"/>
                <w:lang w:val="fr-BE"/>
              </w:rPr>
            </w:pPr>
          </w:p>
        </w:tc>
        <w:tc>
          <w:tcPr>
            <w:tcW w:w="0" w:type="auto"/>
            <w:shd w:val="clear" w:color="auto" w:fill="auto"/>
          </w:tcPr>
          <w:p w14:paraId="0C1F9DD0" w14:textId="77777777" w:rsidR="008C5CFA" w:rsidRPr="001C4484" w:rsidRDefault="00E82A60" w:rsidP="00300A01">
            <w:pPr>
              <w:spacing w:before="0" w:after="0"/>
              <w:rPr>
                <w:sz w:val="10"/>
                <w:szCs w:val="10"/>
                <w:lang w:val="fr-BE"/>
              </w:rPr>
            </w:pPr>
            <w:r w:rsidRPr="001C4484">
              <w:rPr>
                <w:noProof/>
                <w:sz w:val="10"/>
                <w:szCs w:val="10"/>
                <w:lang w:val="fr-BE"/>
              </w:rPr>
              <w:t>Całkowita łączna liczba uczestników</w:t>
            </w:r>
          </w:p>
        </w:tc>
        <w:tc>
          <w:tcPr>
            <w:tcW w:w="0" w:type="auto"/>
            <w:shd w:val="clear" w:color="auto" w:fill="auto"/>
          </w:tcPr>
          <w:p w14:paraId="33F5FBF8" w14:textId="77777777" w:rsidR="008C5CFA" w:rsidRPr="001C4484" w:rsidRDefault="008C5CFA" w:rsidP="00300A01">
            <w:pPr>
              <w:spacing w:before="0" w:after="0"/>
              <w:rPr>
                <w:sz w:val="10"/>
                <w:szCs w:val="10"/>
                <w:lang w:val="fr-BE"/>
              </w:rPr>
            </w:pPr>
          </w:p>
        </w:tc>
        <w:tc>
          <w:tcPr>
            <w:tcW w:w="0" w:type="auto"/>
          </w:tcPr>
          <w:p w14:paraId="7ED036E7"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14D725A5" w14:textId="77777777" w:rsidR="008C5CFA" w:rsidRPr="001C4484" w:rsidRDefault="008C5CFA" w:rsidP="00300A01">
            <w:pPr>
              <w:spacing w:before="0" w:after="0"/>
              <w:jc w:val="right"/>
              <w:rPr>
                <w:sz w:val="10"/>
                <w:szCs w:val="10"/>
              </w:rPr>
            </w:pPr>
          </w:p>
        </w:tc>
        <w:tc>
          <w:tcPr>
            <w:tcW w:w="0" w:type="auto"/>
            <w:shd w:val="clear" w:color="auto" w:fill="auto"/>
          </w:tcPr>
          <w:p w14:paraId="1CCBE9CF" w14:textId="77777777" w:rsidR="008C5CFA" w:rsidRPr="001C4484" w:rsidRDefault="008C5CFA" w:rsidP="00300A01">
            <w:pPr>
              <w:spacing w:before="0" w:after="0"/>
              <w:jc w:val="right"/>
              <w:rPr>
                <w:sz w:val="10"/>
                <w:szCs w:val="10"/>
                <w:lang w:val="fr-BE"/>
              </w:rPr>
            </w:pPr>
          </w:p>
        </w:tc>
        <w:tc>
          <w:tcPr>
            <w:tcW w:w="0" w:type="auto"/>
          </w:tcPr>
          <w:p w14:paraId="55D56CE2"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77BF0D43" w14:textId="77777777" w:rsidR="008C5CFA" w:rsidRPr="001C4484" w:rsidRDefault="008C5CFA" w:rsidP="00300A01">
            <w:pPr>
              <w:spacing w:before="0" w:after="0"/>
              <w:jc w:val="right"/>
              <w:rPr>
                <w:sz w:val="10"/>
                <w:szCs w:val="10"/>
              </w:rPr>
            </w:pPr>
          </w:p>
        </w:tc>
        <w:tc>
          <w:tcPr>
            <w:tcW w:w="0" w:type="auto"/>
            <w:shd w:val="clear" w:color="auto" w:fill="auto"/>
          </w:tcPr>
          <w:p w14:paraId="776CCA82" w14:textId="77777777" w:rsidR="008C5CFA" w:rsidRPr="001C4484" w:rsidRDefault="008C5CFA" w:rsidP="00300A01">
            <w:pPr>
              <w:spacing w:before="0" w:after="0"/>
              <w:jc w:val="right"/>
              <w:rPr>
                <w:sz w:val="10"/>
                <w:szCs w:val="10"/>
                <w:lang w:val="fr-BE"/>
              </w:rPr>
            </w:pPr>
          </w:p>
        </w:tc>
      </w:tr>
    </w:tbl>
    <w:p w14:paraId="11E12BEC" w14:textId="77777777" w:rsidR="008C5CFA" w:rsidRDefault="00E82A60" w:rsidP="00300A01">
      <w:pPr>
        <w:spacing w:before="0" w:after="0"/>
        <w:rPr>
          <w:lang w:val="fr-BE"/>
        </w:rPr>
      </w:pPr>
      <w:r>
        <w:rPr>
          <w:lang w:val="fr-BE"/>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4"/>
        <w:gridCol w:w="11710"/>
      </w:tblGrid>
      <w:tr w:rsidR="006B2EC1" w14:paraId="5093AF30" w14:textId="77777777" w:rsidTr="0047688D">
        <w:tc>
          <w:tcPr>
            <w:tcW w:w="0" w:type="auto"/>
            <w:shd w:val="clear" w:color="auto" w:fill="auto"/>
          </w:tcPr>
          <w:p w14:paraId="065EA80C" w14:textId="77777777" w:rsidR="008C5CFA" w:rsidRPr="002124FC" w:rsidRDefault="00E82A60" w:rsidP="00300A01">
            <w:pPr>
              <w:spacing w:before="0" w:after="0"/>
              <w:rPr>
                <w:sz w:val="20"/>
                <w:szCs w:val="20"/>
                <w:lang w:val="fr-BE"/>
              </w:rPr>
            </w:pPr>
            <w:r>
              <w:rPr>
                <w:lang w:val="fr-BE"/>
              </w:rPr>
              <w:lastRenderedPageBreak/>
              <w:br w:type="page"/>
            </w:r>
            <w:r>
              <w:rPr>
                <w:lang w:val="fr-BE"/>
              </w:rPr>
              <w:br w:type="page"/>
            </w:r>
            <w:r w:rsidRPr="002124FC">
              <w:rPr>
                <w:noProof/>
                <w:sz w:val="20"/>
                <w:szCs w:val="20"/>
                <w:lang w:val="fr-BE"/>
              </w:rPr>
              <w:t>Oś priorytetowa</w:t>
            </w:r>
          </w:p>
        </w:tc>
        <w:tc>
          <w:tcPr>
            <w:tcW w:w="0" w:type="auto"/>
            <w:shd w:val="clear" w:color="auto" w:fill="auto"/>
          </w:tcPr>
          <w:p w14:paraId="78618762" w14:textId="77777777" w:rsidR="008C5CFA" w:rsidRPr="002124FC" w:rsidRDefault="00E82A60" w:rsidP="00300A01">
            <w:pPr>
              <w:spacing w:before="0" w:after="0"/>
              <w:rPr>
                <w:sz w:val="20"/>
                <w:szCs w:val="20"/>
                <w:lang w:val="fr-BE"/>
              </w:rPr>
            </w:pPr>
            <w:r w:rsidRPr="002124FC">
              <w:rPr>
                <w:noProof/>
                <w:sz w:val="20"/>
                <w:szCs w:val="20"/>
                <w:lang w:val="fr-BE"/>
              </w:rPr>
              <w:t>10</w:t>
            </w:r>
            <w:r w:rsidRPr="002124FC">
              <w:rPr>
                <w:sz w:val="20"/>
                <w:szCs w:val="20"/>
                <w:lang w:val="fr-BE"/>
              </w:rPr>
              <w:t xml:space="preserve"> - </w:t>
            </w:r>
            <w:r w:rsidRPr="002124FC">
              <w:rPr>
                <w:noProof/>
                <w:sz w:val="20"/>
                <w:szCs w:val="20"/>
                <w:lang w:val="fr-BE"/>
              </w:rPr>
              <w:t>Otwarty rynek pracy</w:t>
            </w:r>
          </w:p>
        </w:tc>
      </w:tr>
      <w:tr w:rsidR="006B2EC1" w14:paraId="73964231" w14:textId="77777777" w:rsidTr="0047688D">
        <w:tc>
          <w:tcPr>
            <w:tcW w:w="0" w:type="auto"/>
            <w:shd w:val="clear" w:color="auto" w:fill="auto"/>
          </w:tcPr>
          <w:p w14:paraId="4CB4B68E" w14:textId="77777777" w:rsidR="008C5CFA" w:rsidRPr="002124FC" w:rsidRDefault="00E82A60"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14:paraId="4BCC3190" w14:textId="77777777" w:rsidR="008C5CFA" w:rsidRPr="002124FC" w:rsidRDefault="00E82A60" w:rsidP="00300A01">
            <w:pPr>
              <w:spacing w:before="0" w:after="0"/>
              <w:rPr>
                <w:sz w:val="20"/>
                <w:szCs w:val="20"/>
                <w:lang w:val="fr-BE"/>
              </w:rPr>
            </w:pPr>
            <w:r w:rsidRPr="002124FC">
              <w:rPr>
                <w:noProof/>
                <w:sz w:val="20"/>
                <w:szCs w:val="20"/>
                <w:lang w:val="fr-BE"/>
              </w:rPr>
              <w:t>8v</w:t>
            </w:r>
            <w:r w:rsidRPr="002124FC">
              <w:rPr>
                <w:sz w:val="20"/>
                <w:szCs w:val="20"/>
                <w:lang w:val="fr-BE"/>
              </w:rPr>
              <w:t xml:space="preserve"> - </w:t>
            </w:r>
            <w:r w:rsidRPr="002124FC">
              <w:rPr>
                <w:noProof/>
                <w:sz w:val="20"/>
                <w:szCs w:val="20"/>
                <w:lang w:val="fr-BE"/>
              </w:rPr>
              <w:t>Przystosowywanie pracowników, przedsiębiorstw i przedsiębiorców do zmian</w:t>
            </w:r>
          </w:p>
        </w:tc>
      </w:tr>
    </w:tbl>
    <w:p w14:paraId="66764CAE" w14:textId="77777777" w:rsidR="008C5CFA" w:rsidRDefault="008C5CFA" w:rsidP="00300A01">
      <w:pPr>
        <w:spacing w:before="0" w:after="0"/>
      </w:pPr>
    </w:p>
    <w:p w14:paraId="6368AB37" w14:textId="77777777" w:rsidR="008C5CFA" w:rsidRPr="008E457C" w:rsidRDefault="00E82A60" w:rsidP="00300A01">
      <w:pPr>
        <w:pStyle w:val="Nagwek2"/>
        <w:spacing w:before="0" w:after="0"/>
        <w:rPr>
          <w:b w:val="0"/>
        </w:rPr>
      </w:pPr>
      <w:bookmarkStart w:id="22" w:name="_Toc46391706"/>
      <w:r w:rsidRPr="008E457C">
        <w:rPr>
          <w:b w:val="0"/>
          <w:noProof/>
          <w:lang w:val="fr-BE"/>
        </w:rPr>
        <w:t>Tabela 4B Specyficzne dla programu wskaźniki produktu dla EFS oraz Inicjatywy na rzecz zatrudnienia ludzi młodych</w:t>
      </w:r>
      <w:r w:rsidR="009A51C8">
        <w:rPr>
          <w:b w:val="0"/>
        </w:rPr>
        <w:t xml:space="preserve"> - </w:t>
      </w:r>
      <w:r w:rsidR="009A51C8" w:rsidRPr="002124FC">
        <w:rPr>
          <w:noProof/>
          <w:sz w:val="20"/>
          <w:szCs w:val="20"/>
          <w:lang w:val="fr-BE"/>
        </w:rPr>
        <w:t>10</w:t>
      </w:r>
      <w:bookmarkEnd w:id="22"/>
    </w:p>
    <w:p w14:paraId="417D4E6C" w14:textId="77777777" w:rsidR="008C5CFA" w:rsidRDefault="008C5CFA" w:rsidP="00300A01">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07"/>
        <w:gridCol w:w="6042"/>
        <w:gridCol w:w="1038"/>
        <w:gridCol w:w="961"/>
        <w:gridCol w:w="538"/>
        <w:gridCol w:w="654"/>
        <w:gridCol w:w="526"/>
        <w:gridCol w:w="538"/>
        <w:gridCol w:w="654"/>
        <w:gridCol w:w="526"/>
        <w:gridCol w:w="520"/>
        <w:gridCol w:w="654"/>
        <w:gridCol w:w="526"/>
        <w:gridCol w:w="520"/>
        <w:gridCol w:w="654"/>
        <w:gridCol w:w="526"/>
      </w:tblGrid>
      <w:tr w:rsidR="006B2EC1" w14:paraId="5AC962F8" w14:textId="77777777" w:rsidTr="002A1502">
        <w:trPr>
          <w:tblHeader/>
        </w:trPr>
        <w:tc>
          <w:tcPr>
            <w:tcW w:w="0" w:type="auto"/>
            <w:shd w:val="clear" w:color="auto" w:fill="auto"/>
          </w:tcPr>
          <w:p w14:paraId="7F365F38" w14:textId="77777777" w:rsidR="008C5CFA" w:rsidRPr="00A92B39" w:rsidRDefault="00E82A60" w:rsidP="00300A01">
            <w:pPr>
              <w:spacing w:before="0" w:after="0"/>
              <w:rPr>
                <w:b/>
                <w:sz w:val="10"/>
                <w:szCs w:val="10"/>
                <w:lang w:val="fr-BE"/>
              </w:rPr>
            </w:pPr>
            <w:r w:rsidRPr="00A92B39">
              <w:rPr>
                <w:b/>
                <w:noProof/>
                <w:sz w:val="10"/>
                <w:szCs w:val="10"/>
                <w:lang w:val="fr-BE"/>
              </w:rPr>
              <w:t>ID</w:t>
            </w:r>
          </w:p>
        </w:tc>
        <w:tc>
          <w:tcPr>
            <w:tcW w:w="0" w:type="auto"/>
            <w:shd w:val="clear" w:color="auto" w:fill="auto"/>
          </w:tcPr>
          <w:p w14:paraId="63EFED50" w14:textId="77777777" w:rsidR="008C5CFA" w:rsidRPr="00A92B39" w:rsidRDefault="00E82A60" w:rsidP="00300A01">
            <w:pPr>
              <w:spacing w:before="0" w:after="0"/>
              <w:rPr>
                <w:b/>
                <w:sz w:val="10"/>
                <w:szCs w:val="10"/>
                <w:lang w:val="fr-BE"/>
              </w:rPr>
            </w:pPr>
            <w:r w:rsidRPr="00A92B39">
              <w:rPr>
                <w:b/>
                <w:noProof/>
                <w:sz w:val="10"/>
                <w:szCs w:val="10"/>
                <w:lang w:val="fr-BE"/>
              </w:rPr>
              <w:t>Wskaźnik</w:t>
            </w:r>
          </w:p>
        </w:tc>
        <w:tc>
          <w:tcPr>
            <w:tcW w:w="0" w:type="auto"/>
            <w:shd w:val="clear" w:color="auto" w:fill="auto"/>
          </w:tcPr>
          <w:p w14:paraId="06700D94" w14:textId="77777777" w:rsidR="008C5CFA" w:rsidRPr="00A92B39" w:rsidRDefault="00E82A60" w:rsidP="00300A01">
            <w:pPr>
              <w:spacing w:before="0" w:after="0"/>
              <w:rPr>
                <w:b/>
                <w:sz w:val="10"/>
                <w:szCs w:val="10"/>
                <w:lang w:val="fr-BE"/>
              </w:rPr>
            </w:pPr>
            <w:r w:rsidRPr="00A92B39">
              <w:rPr>
                <w:b/>
                <w:noProof/>
                <w:sz w:val="10"/>
                <w:szCs w:val="10"/>
                <w:lang w:val="fr-BE"/>
              </w:rPr>
              <w:t>Kategoria regionu</w:t>
            </w:r>
          </w:p>
        </w:tc>
        <w:tc>
          <w:tcPr>
            <w:tcW w:w="0" w:type="auto"/>
          </w:tcPr>
          <w:p w14:paraId="13C58F61" w14:textId="77777777" w:rsidR="008C5CFA" w:rsidRPr="00A92B39" w:rsidRDefault="00E82A60" w:rsidP="00300A01">
            <w:pPr>
              <w:spacing w:before="0" w:after="0"/>
              <w:jc w:val="center"/>
              <w:rPr>
                <w:b/>
                <w:sz w:val="10"/>
                <w:szCs w:val="10"/>
                <w:lang w:val="fr-BE"/>
              </w:rPr>
            </w:pPr>
            <w:r w:rsidRPr="00A92B39">
              <w:rPr>
                <w:b/>
                <w:noProof/>
                <w:sz w:val="10"/>
                <w:szCs w:val="10"/>
                <w:lang w:val="fr-BE"/>
              </w:rPr>
              <w:t>Jednostka miary</w:t>
            </w:r>
          </w:p>
        </w:tc>
        <w:tc>
          <w:tcPr>
            <w:tcW w:w="0" w:type="auto"/>
            <w:gridSpan w:val="3"/>
            <w:shd w:val="clear" w:color="auto" w:fill="auto"/>
          </w:tcPr>
          <w:p w14:paraId="1D1A40F3" w14:textId="77777777" w:rsidR="008C5CFA" w:rsidRPr="00A92B39" w:rsidRDefault="00E82A60" w:rsidP="00300A01">
            <w:pPr>
              <w:spacing w:before="0" w:after="0"/>
              <w:jc w:val="center"/>
              <w:rPr>
                <w:b/>
                <w:sz w:val="10"/>
                <w:szCs w:val="10"/>
                <w:lang w:val="fr-BE"/>
              </w:rPr>
            </w:pPr>
            <w:r w:rsidRPr="00A92B39">
              <w:rPr>
                <w:b/>
                <w:noProof/>
                <w:sz w:val="10"/>
                <w:szCs w:val="10"/>
                <w:lang w:val="fr-BE"/>
              </w:rPr>
              <w:t>Wartość docelowa (2023)</w:t>
            </w:r>
          </w:p>
        </w:tc>
        <w:tc>
          <w:tcPr>
            <w:tcW w:w="0" w:type="auto"/>
            <w:gridSpan w:val="3"/>
            <w:shd w:val="clear" w:color="auto" w:fill="auto"/>
          </w:tcPr>
          <w:p w14:paraId="133A7369" w14:textId="77777777" w:rsidR="008C5CFA" w:rsidRPr="00A92B39" w:rsidRDefault="00E82A60" w:rsidP="00300A01">
            <w:pPr>
              <w:spacing w:before="0" w:after="0"/>
              <w:jc w:val="center"/>
              <w:rPr>
                <w:b/>
                <w:sz w:val="10"/>
                <w:szCs w:val="10"/>
                <w:lang w:val="fr-BE"/>
              </w:rPr>
            </w:pPr>
            <w:r w:rsidRPr="00A92B39">
              <w:rPr>
                <w:b/>
                <w:noProof/>
                <w:sz w:val="10"/>
                <w:szCs w:val="10"/>
                <w:lang w:val="fr-BE"/>
              </w:rPr>
              <w:t>Wartość skumulowana</w:t>
            </w:r>
          </w:p>
        </w:tc>
        <w:tc>
          <w:tcPr>
            <w:tcW w:w="0" w:type="auto"/>
            <w:gridSpan w:val="3"/>
            <w:shd w:val="clear" w:color="auto" w:fill="auto"/>
          </w:tcPr>
          <w:p w14:paraId="446A4169" w14:textId="77777777" w:rsidR="008C5CFA" w:rsidRPr="00A92B39" w:rsidRDefault="00E82A60" w:rsidP="00300A01">
            <w:pPr>
              <w:spacing w:before="0" w:after="0"/>
              <w:jc w:val="center"/>
              <w:rPr>
                <w:b/>
                <w:sz w:val="10"/>
                <w:szCs w:val="10"/>
                <w:lang w:val="fr-BE"/>
              </w:rPr>
            </w:pPr>
            <w:r w:rsidRPr="00A92B39">
              <w:rPr>
                <w:b/>
                <w:noProof/>
                <w:sz w:val="10"/>
                <w:szCs w:val="10"/>
                <w:lang w:val="fr-BE"/>
              </w:rPr>
              <w:t>Wskaźnik osiągnięć</w:t>
            </w:r>
          </w:p>
        </w:tc>
        <w:tc>
          <w:tcPr>
            <w:tcW w:w="0" w:type="auto"/>
            <w:gridSpan w:val="3"/>
          </w:tcPr>
          <w:p w14:paraId="3B5C30D0" w14:textId="77777777" w:rsidR="008C5CFA" w:rsidRPr="00A92B39" w:rsidRDefault="00E82A60" w:rsidP="00300A01">
            <w:pPr>
              <w:spacing w:before="0" w:after="0"/>
              <w:jc w:val="center"/>
              <w:rPr>
                <w:b/>
                <w:sz w:val="10"/>
                <w:szCs w:val="10"/>
                <w:lang w:val="fr-BE"/>
              </w:rPr>
            </w:pPr>
            <w:r w:rsidRPr="00A92B39">
              <w:rPr>
                <w:bCs/>
                <w:sz w:val="10"/>
                <w:szCs w:val="10"/>
                <w:lang w:val="en-US"/>
              </w:rPr>
              <w:t>2019</w:t>
            </w:r>
          </w:p>
        </w:tc>
      </w:tr>
      <w:tr w:rsidR="006B2EC1" w14:paraId="2F7F4937" w14:textId="77777777" w:rsidTr="002A1502">
        <w:trPr>
          <w:tblHeader/>
        </w:trPr>
        <w:tc>
          <w:tcPr>
            <w:tcW w:w="0" w:type="auto"/>
            <w:shd w:val="clear" w:color="auto" w:fill="auto"/>
          </w:tcPr>
          <w:p w14:paraId="7AE6A1E7" w14:textId="77777777" w:rsidR="008C5CFA" w:rsidRPr="00A92B39" w:rsidRDefault="008C5CFA" w:rsidP="00300A01">
            <w:pPr>
              <w:spacing w:before="0" w:after="0"/>
              <w:rPr>
                <w:b/>
                <w:sz w:val="10"/>
                <w:szCs w:val="10"/>
                <w:lang w:val="fr-BE"/>
              </w:rPr>
            </w:pPr>
          </w:p>
        </w:tc>
        <w:tc>
          <w:tcPr>
            <w:tcW w:w="0" w:type="auto"/>
            <w:shd w:val="clear" w:color="auto" w:fill="auto"/>
          </w:tcPr>
          <w:p w14:paraId="7CDE04A3" w14:textId="77777777" w:rsidR="008C5CFA" w:rsidRPr="00A92B39" w:rsidRDefault="008C5CFA" w:rsidP="00300A01">
            <w:pPr>
              <w:spacing w:before="0" w:after="0"/>
              <w:rPr>
                <w:b/>
                <w:sz w:val="10"/>
                <w:szCs w:val="10"/>
                <w:lang w:val="fr-BE"/>
              </w:rPr>
            </w:pPr>
          </w:p>
        </w:tc>
        <w:tc>
          <w:tcPr>
            <w:tcW w:w="0" w:type="auto"/>
            <w:shd w:val="clear" w:color="auto" w:fill="auto"/>
          </w:tcPr>
          <w:p w14:paraId="6C64ECCE" w14:textId="77777777" w:rsidR="008C5CFA" w:rsidRPr="00A92B39" w:rsidRDefault="008C5CFA" w:rsidP="00300A01">
            <w:pPr>
              <w:spacing w:before="0" w:after="0"/>
              <w:rPr>
                <w:b/>
                <w:sz w:val="10"/>
                <w:szCs w:val="10"/>
                <w:lang w:val="fr-BE"/>
              </w:rPr>
            </w:pPr>
          </w:p>
        </w:tc>
        <w:tc>
          <w:tcPr>
            <w:tcW w:w="0" w:type="auto"/>
          </w:tcPr>
          <w:p w14:paraId="76DD83F5" w14:textId="77777777" w:rsidR="008C5CFA" w:rsidRPr="00A92B39" w:rsidRDefault="008C5CFA" w:rsidP="00300A01">
            <w:pPr>
              <w:spacing w:before="0" w:after="0"/>
              <w:jc w:val="center"/>
              <w:rPr>
                <w:b/>
                <w:sz w:val="10"/>
                <w:szCs w:val="10"/>
                <w:lang w:val="fr-BE"/>
              </w:rPr>
            </w:pPr>
          </w:p>
        </w:tc>
        <w:tc>
          <w:tcPr>
            <w:tcW w:w="0" w:type="auto"/>
            <w:shd w:val="clear" w:color="auto" w:fill="auto"/>
          </w:tcPr>
          <w:p w14:paraId="2B1C4837" w14:textId="77777777" w:rsidR="008C5CFA" w:rsidRPr="00A92B39" w:rsidRDefault="00E82A60" w:rsidP="00300A01">
            <w:pPr>
              <w:spacing w:before="0" w:after="0"/>
              <w:jc w:val="center"/>
              <w:rPr>
                <w:b/>
                <w:sz w:val="10"/>
                <w:szCs w:val="10"/>
                <w:lang w:val="fr-BE"/>
              </w:rPr>
            </w:pPr>
            <w:r w:rsidRPr="00A92B39">
              <w:rPr>
                <w:b/>
                <w:noProof/>
                <w:sz w:val="10"/>
                <w:szCs w:val="10"/>
                <w:lang w:val="fr-BE"/>
              </w:rPr>
              <w:t>Ogółem</w:t>
            </w:r>
          </w:p>
        </w:tc>
        <w:tc>
          <w:tcPr>
            <w:tcW w:w="0" w:type="auto"/>
            <w:shd w:val="clear" w:color="auto" w:fill="auto"/>
          </w:tcPr>
          <w:p w14:paraId="770B2358" w14:textId="77777777" w:rsidR="008C5CFA" w:rsidRPr="00A92B39" w:rsidRDefault="00E82A60" w:rsidP="00300A01">
            <w:pPr>
              <w:spacing w:before="0" w:after="0"/>
              <w:jc w:val="center"/>
              <w:rPr>
                <w:b/>
                <w:sz w:val="10"/>
                <w:szCs w:val="10"/>
                <w:lang w:val="fr-BE"/>
              </w:rPr>
            </w:pPr>
            <w:r w:rsidRPr="00A92B39">
              <w:rPr>
                <w:b/>
                <w:noProof/>
                <w:sz w:val="10"/>
                <w:szCs w:val="10"/>
                <w:lang w:val="fr-BE"/>
              </w:rPr>
              <w:t>Mężczyźni</w:t>
            </w:r>
          </w:p>
        </w:tc>
        <w:tc>
          <w:tcPr>
            <w:tcW w:w="0" w:type="auto"/>
            <w:shd w:val="clear" w:color="auto" w:fill="auto"/>
          </w:tcPr>
          <w:p w14:paraId="0157DE1C" w14:textId="77777777" w:rsidR="008C5CFA" w:rsidRPr="00A92B39" w:rsidRDefault="00E82A60" w:rsidP="00300A01">
            <w:pPr>
              <w:spacing w:before="0" w:after="0"/>
              <w:jc w:val="center"/>
              <w:rPr>
                <w:b/>
                <w:sz w:val="10"/>
                <w:szCs w:val="10"/>
                <w:lang w:val="fr-BE"/>
              </w:rPr>
            </w:pPr>
            <w:r w:rsidRPr="00A92B39">
              <w:rPr>
                <w:b/>
                <w:noProof/>
                <w:sz w:val="10"/>
                <w:szCs w:val="10"/>
                <w:lang w:val="fr-BE"/>
              </w:rPr>
              <w:t>Kobiety</w:t>
            </w:r>
          </w:p>
        </w:tc>
        <w:tc>
          <w:tcPr>
            <w:tcW w:w="0" w:type="auto"/>
            <w:shd w:val="clear" w:color="auto" w:fill="auto"/>
          </w:tcPr>
          <w:p w14:paraId="22F08475" w14:textId="77777777" w:rsidR="008C5CFA" w:rsidRPr="00A92B39" w:rsidRDefault="00E82A60" w:rsidP="00300A01">
            <w:pPr>
              <w:spacing w:before="0" w:after="0"/>
              <w:jc w:val="center"/>
              <w:rPr>
                <w:b/>
                <w:sz w:val="10"/>
                <w:szCs w:val="10"/>
                <w:lang w:val="fr-BE"/>
              </w:rPr>
            </w:pPr>
            <w:r w:rsidRPr="00A92B39">
              <w:rPr>
                <w:b/>
                <w:noProof/>
                <w:sz w:val="10"/>
                <w:szCs w:val="10"/>
                <w:lang w:val="fr-BE"/>
              </w:rPr>
              <w:t>Ogółem</w:t>
            </w:r>
          </w:p>
        </w:tc>
        <w:tc>
          <w:tcPr>
            <w:tcW w:w="0" w:type="auto"/>
            <w:shd w:val="clear" w:color="auto" w:fill="auto"/>
          </w:tcPr>
          <w:p w14:paraId="00163D66" w14:textId="77777777" w:rsidR="008C5CFA" w:rsidRPr="00A92B39" w:rsidRDefault="00E82A60" w:rsidP="00300A01">
            <w:pPr>
              <w:spacing w:before="0" w:after="0"/>
              <w:jc w:val="center"/>
              <w:rPr>
                <w:b/>
                <w:sz w:val="10"/>
                <w:szCs w:val="10"/>
                <w:lang w:val="fr-BE"/>
              </w:rPr>
            </w:pPr>
            <w:r w:rsidRPr="00A92B39">
              <w:rPr>
                <w:b/>
                <w:noProof/>
                <w:sz w:val="10"/>
                <w:szCs w:val="10"/>
                <w:lang w:val="fr-BE"/>
              </w:rPr>
              <w:t>Mężczyźni</w:t>
            </w:r>
          </w:p>
        </w:tc>
        <w:tc>
          <w:tcPr>
            <w:tcW w:w="0" w:type="auto"/>
            <w:shd w:val="clear" w:color="auto" w:fill="auto"/>
          </w:tcPr>
          <w:p w14:paraId="703E1634" w14:textId="77777777" w:rsidR="008C5CFA" w:rsidRPr="00A92B39" w:rsidRDefault="00E82A60" w:rsidP="00300A01">
            <w:pPr>
              <w:spacing w:before="0" w:after="0"/>
              <w:jc w:val="center"/>
              <w:rPr>
                <w:b/>
                <w:sz w:val="10"/>
                <w:szCs w:val="10"/>
                <w:lang w:val="fr-BE"/>
              </w:rPr>
            </w:pPr>
            <w:r w:rsidRPr="00A92B39">
              <w:rPr>
                <w:b/>
                <w:noProof/>
                <w:sz w:val="10"/>
                <w:szCs w:val="10"/>
                <w:lang w:val="fr-BE"/>
              </w:rPr>
              <w:t>Kobiety</w:t>
            </w:r>
          </w:p>
        </w:tc>
        <w:tc>
          <w:tcPr>
            <w:tcW w:w="0" w:type="auto"/>
            <w:shd w:val="clear" w:color="auto" w:fill="auto"/>
          </w:tcPr>
          <w:p w14:paraId="18E6CE88" w14:textId="77777777" w:rsidR="008C5CFA" w:rsidRPr="00A92B39" w:rsidRDefault="00E82A60" w:rsidP="00300A01">
            <w:pPr>
              <w:spacing w:before="0" w:after="0"/>
              <w:jc w:val="center"/>
              <w:rPr>
                <w:b/>
                <w:sz w:val="10"/>
                <w:szCs w:val="10"/>
                <w:lang w:val="fr-BE"/>
              </w:rPr>
            </w:pPr>
            <w:r w:rsidRPr="00A92B39">
              <w:rPr>
                <w:b/>
                <w:noProof/>
                <w:sz w:val="10"/>
                <w:szCs w:val="10"/>
                <w:lang w:val="fr-BE"/>
              </w:rPr>
              <w:t>Ogółem</w:t>
            </w:r>
          </w:p>
        </w:tc>
        <w:tc>
          <w:tcPr>
            <w:tcW w:w="0" w:type="auto"/>
            <w:shd w:val="clear" w:color="auto" w:fill="auto"/>
          </w:tcPr>
          <w:p w14:paraId="698DE3B0" w14:textId="77777777" w:rsidR="008C5CFA" w:rsidRPr="00A92B39" w:rsidRDefault="00E82A60" w:rsidP="00300A01">
            <w:pPr>
              <w:spacing w:before="0" w:after="0"/>
              <w:jc w:val="center"/>
              <w:rPr>
                <w:b/>
                <w:sz w:val="10"/>
                <w:szCs w:val="10"/>
                <w:lang w:val="fr-BE"/>
              </w:rPr>
            </w:pPr>
            <w:r w:rsidRPr="00A92B39">
              <w:rPr>
                <w:b/>
                <w:noProof/>
                <w:sz w:val="10"/>
                <w:szCs w:val="10"/>
                <w:lang w:val="fr-BE"/>
              </w:rPr>
              <w:t>Mężczyźni</w:t>
            </w:r>
          </w:p>
        </w:tc>
        <w:tc>
          <w:tcPr>
            <w:tcW w:w="0" w:type="auto"/>
            <w:shd w:val="clear" w:color="auto" w:fill="auto"/>
          </w:tcPr>
          <w:p w14:paraId="0364BE31" w14:textId="77777777" w:rsidR="008C5CFA" w:rsidRPr="00A92B39" w:rsidRDefault="00E82A60" w:rsidP="00300A01">
            <w:pPr>
              <w:spacing w:before="0" w:after="0"/>
              <w:jc w:val="center"/>
              <w:rPr>
                <w:b/>
                <w:sz w:val="10"/>
                <w:szCs w:val="10"/>
                <w:lang w:val="fr-BE"/>
              </w:rPr>
            </w:pPr>
            <w:r w:rsidRPr="00A92B39">
              <w:rPr>
                <w:b/>
                <w:noProof/>
                <w:sz w:val="10"/>
                <w:szCs w:val="10"/>
                <w:lang w:val="fr-BE"/>
              </w:rPr>
              <w:t>Kobiety</w:t>
            </w:r>
          </w:p>
        </w:tc>
        <w:tc>
          <w:tcPr>
            <w:tcW w:w="0" w:type="auto"/>
          </w:tcPr>
          <w:p w14:paraId="4AE11CD1" w14:textId="77777777" w:rsidR="008C5CFA" w:rsidRPr="00A92B39" w:rsidRDefault="00E82A60" w:rsidP="00300A01">
            <w:pPr>
              <w:spacing w:before="0" w:after="0"/>
              <w:jc w:val="center"/>
              <w:rPr>
                <w:b/>
                <w:sz w:val="10"/>
                <w:szCs w:val="10"/>
                <w:lang w:val="fr-BE"/>
              </w:rPr>
            </w:pPr>
            <w:r w:rsidRPr="00A92B39">
              <w:rPr>
                <w:b/>
                <w:noProof/>
                <w:sz w:val="10"/>
                <w:szCs w:val="10"/>
                <w:lang w:val="fr-BE"/>
              </w:rPr>
              <w:t>Ogółem</w:t>
            </w:r>
          </w:p>
        </w:tc>
        <w:tc>
          <w:tcPr>
            <w:tcW w:w="0" w:type="auto"/>
            <w:shd w:val="clear" w:color="auto" w:fill="auto"/>
          </w:tcPr>
          <w:p w14:paraId="391B4E8D" w14:textId="77777777" w:rsidR="008C5CFA" w:rsidRPr="00A92B39" w:rsidRDefault="00E82A60" w:rsidP="00300A01">
            <w:pPr>
              <w:spacing w:before="0" w:after="0"/>
              <w:jc w:val="center"/>
              <w:rPr>
                <w:b/>
                <w:sz w:val="10"/>
                <w:szCs w:val="10"/>
                <w:lang w:val="fr-BE"/>
              </w:rPr>
            </w:pPr>
            <w:r w:rsidRPr="00A92B39">
              <w:rPr>
                <w:b/>
                <w:noProof/>
                <w:sz w:val="10"/>
                <w:szCs w:val="10"/>
                <w:lang w:val="fr-BE"/>
              </w:rPr>
              <w:t>Mężczyźni</w:t>
            </w:r>
          </w:p>
        </w:tc>
        <w:tc>
          <w:tcPr>
            <w:tcW w:w="0" w:type="auto"/>
            <w:shd w:val="clear" w:color="auto" w:fill="auto"/>
          </w:tcPr>
          <w:p w14:paraId="67A13BC8" w14:textId="77777777" w:rsidR="008C5CFA" w:rsidRPr="00A92B39" w:rsidRDefault="00E82A60" w:rsidP="00300A01">
            <w:pPr>
              <w:spacing w:before="0" w:after="0"/>
              <w:jc w:val="center"/>
              <w:rPr>
                <w:b/>
                <w:sz w:val="10"/>
                <w:szCs w:val="10"/>
                <w:lang w:val="fr-BE"/>
              </w:rPr>
            </w:pPr>
            <w:r w:rsidRPr="00A92B39">
              <w:rPr>
                <w:b/>
                <w:noProof/>
                <w:sz w:val="10"/>
                <w:szCs w:val="10"/>
                <w:lang w:val="fr-BE"/>
              </w:rPr>
              <w:t>Kobiety</w:t>
            </w:r>
          </w:p>
        </w:tc>
      </w:tr>
      <w:tr w:rsidR="006B2EC1" w14:paraId="78C3EE89" w14:textId="77777777" w:rsidTr="002A1502">
        <w:tc>
          <w:tcPr>
            <w:tcW w:w="0" w:type="auto"/>
            <w:shd w:val="clear" w:color="auto" w:fill="auto"/>
          </w:tcPr>
          <w:p w14:paraId="4128897D" w14:textId="77777777" w:rsidR="008C5CFA" w:rsidRPr="00A92B39" w:rsidRDefault="00E82A60" w:rsidP="00300A01">
            <w:pPr>
              <w:spacing w:before="0" w:after="0"/>
              <w:rPr>
                <w:sz w:val="10"/>
                <w:szCs w:val="10"/>
                <w:lang w:val="fr-BE"/>
              </w:rPr>
            </w:pPr>
            <w:r w:rsidRPr="00A92B39">
              <w:rPr>
                <w:noProof/>
                <w:sz w:val="10"/>
                <w:szCs w:val="10"/>
                <w:lang w:val="fr-BE"/>
              </w:rPr>
              <w:t>021</w:t>
            </w:r>
          </w:p>
        </w:tc>
        <w:tc>
          <w:tcPr>
            <w:tcW w:w="0" w:type="auto"/>
            <w:shd w:val="clear" w:color="auto" w:fill="auto"/>
          </w:tcPr>
          <w:p w14:paraId="4B2F5754" w14:textId="77777777" w:rsidR="008C5CFA" w:rsidRPr="00A92B39" w:rsidRDefault="00E82A60" w:rsidP="00300A01">
            <w:pPr>
              <w:spacing w:before="0" w:after="0"/>
              <w:rPr>
                <w:sz w:val="10"/>
                <w:szCs w:val="10"/>
                <w:lang w:val="fr-BE"/>
              </w:rPr>
            </w:pPr>
            <w:r w:rsidRPr="00A92B39">
              <w:rPr>
                <w:noProof/>
                <w:sz w:val="10"/>
                <w:szCs w:val="10"/>
                <w:lang w:val="fr-BE"/>
              </w:rPr>
              <w:t>Liczba osób pracujących (łącznie z pracującymi na własny rachunek) w wieku 50 lat i więcej objętych wsparciem w programie</w:t>
            </w:r>
          </w:p>
        </w:tc>
        <w:tc>
          <w:tcPr>
            <w:tcW w:w="0" w:type="auto"/>
            <w:shd w:val="clear" w:color="auto" w:fill="auto"/>
          </w:tcPr>
          <w:p w14:paraId="7235FFF6" w14:textId="77777777" w:rsidR="008C5CFA" w:rsidRPr="00A92B39" w:rsidRDefault="00E82A60" w:rsidP="00300A01">
            <w:pPr>
              <w:spacing w:before="0" w:after="0"/>
              <w:rPr>
                <w:sz w:val="10"/>
                <w:szCs w:val="10"/>
                <w:lang w:val="fr-BE"/>
              </w:rPr>
            </w:pPr>
            <w:r w:rsidRPr="00A92B39">
              <w:rPr>
                <w:noProof/>
                <w:sz w:val="10"/>
                <w:szCs w:val="10"/>
                <w:lang w:val="fr-BE"/>
              </w:rPr>
              <w:t>Słabiej rozwinięte</w:t>
            </w:r>
          </w:p>
        </w:tc>
        <w:tc>
          <w:tcPr>
            <w:tcW w:w="0" w:type="auto"/>
          </w:tcPr>
          <w:p w14:paraId="1CA98764" w14:textId="77777777" w:rsidR="008C5CFA" w:rsidRPr="00A92B39" w:rsidRDefault="00E82A60" w:rsidP="00300A01">
            <w:pPr>
              <w:spacing w:before="0" w:after="0"/>
              <w:rPr>
                <w:sz w:val="10"/>
                <w:szCs w:val="10"/>
                <w:lang w:val="fr-BE"/>
              </w:rPr>
            </w:pPr>
            <w:r w:rsidRPr="00A92B39">
              <w:rPr>
                <w:noProof/>
                <w:sz w:val="10"/>
                <w:szCs w:val="10"/>
                <w:lang w:val="fr-BE"/>
              </w:rPr>
              <w:t>osoba</w:t>
            </w:r>
          </w:p>
        </w:tc>
        <w:tc>
          <w:tcPr>
            <w:tcW w:w="0" w:type="auto"/>
            <w:shd w:val="clear" w:color="auto" w:fill="auto"/>
          </w:tcPr>
          <w:p w14:paraId="2EBBC718" w14:textId="77777777" w:rsidR="008C5CFA" w:rsidRPr="00A92B39" w:rsidRDefault="00E82A60" w:rsidP="00300A01">
            <w:pPr>
              <w:spacing w:before="0" w:after="0"/>
              <w:jc w:val="right"/>
              <w:rPr>
                <w:sz w:val="10"/>
                <w:szCs w:val="10"/>
                <w:lang w:val="fr-BE"/>
              </w:rPr>
            </w:pPr>
            <w:r w:rsidRPr="00A92B39">
              <w:rPr>
                <w:noProof/>
                <w:sz w:val="10"/>
                <w:szCs w:val="10"/>
                <w:lang w:val="fr-BE"/>
              </w:rPr>
              <w:t>1 415,00</w:t>
            </w:r>
          </w:p>
        </w:tc>
        <w:tc>
          <w:tcPr>
            <w:tcW w:w="0" w:type="auto"/>
            <w:shd w:val="clear" w:color="auto" w:fill="auto"/>
          </w:tcPr>
          <w:p w14:paraId="74D1AD4C" w14:textId="77777777" w:rsidR="008C5CFA" w:rsidRPr="00A92B39" w:rsidRDefault="008C5CFA" w:rsidP="00300A01">
            <w:pPr>
              <w:spacing w:before="0" w:after="0"/>
              <w:jc w:val="right"/>
              <w:rPr>
                <w:sz w:val="10"/>
                <w:szCs w:val="10"/>
                <w:lang w:val="fr-BE"/>
              </w:rPr>
            </w:pPr>
          </w:p>
        </w:tc>
        <w:tc>
          <w:tcPr>
            <w:tcW w:w="0" w:type="auto"/>
            <w:shd w:val="clear" w:color="auto" w:fill="auto"/>
          </w:tcPr>
          <w:p w14:paraId="2AF224B0" w14:textId="77777777" w:rsidR="008C5CFA" w:rsidRPr="00A92B39" w:rsidRDefault="008C5CFA" w:rsidP="00300A01">
            <w:pPr>
              <w:spacing w:before="0" w:after="0"/>
              <w:jc w:val="right"/>
              <w:rPr>
                <w:sz w:val="10"/>
                <w:szCs w:val="10"/>
                <w:lang w:val="fr-BE"/>
              </w:rPr>
            </w:pPr>
          </w:p>
        </w:tc>
        <w:tc>
          <w:tcPr>
            <w:tcW w:w="0" w:type="auto"/>
            <w:shd w:val="clear" w:color="auto" w:fill="auto"/>
          </w:tcPr>
          <w:p w14:paraId="267632F4" w14:textId="77777777" w:rsidR="008C5CFA" w:rsidRPr="00A92B39" w:rsidRDefault="00E82A60" w:rsidP="00300A01">
            <w:pPr>
              <w:spacing w:before="0" w:after="0"/>
              <w:jc w:val="right"/>
              <w:rPr>
                <w:sz w:val="10"/>
                <w:szCs w:val="10"/>
                <w:lang w:val="fr-BE"/>
              </w:rPr>
            </w:pPr>
            <w:r w:rsidRPr="00A92B39">
              <w:rPr>
                <w:noProof/>
                <w:sz w:val="10"/>
                <w:szCs w:val="10"/>
                <w:lang w:val="fr-BE"/>
              </w:rPr>
              <w:t>371,00</w:t>
            </w:r>
          </w:p>
        </w:tc>
        <w:tc>
          <w:tcPr>
            <w:tcW w:w="0" w:type="auto"/>
            <w:shd w:val="clear" w:color="auto" w:fill="auto"/>
          </w:tcPr>
          <w:p w14:paraId="1F8D8B44"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14:paraId="14247444"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14:paraId="558D0FE5" w14:textId="77777777" w:rsidR="008C5CFA" w:rsidRPr="00A92B39" w:rsidRDefault="00E82A60" w:rsidP="00300A01">
            <w:pPr>
              <w:spacing w:before="0" w:after="0"/>
              <w:jc w:val="right"/>
              <w:rPr>
                <w:sz w:val="10"/>
                <w:szCs w:val="10"/>
                <w:lang w:val="fr-BE"/>
              </w:rPr>
            </w:pPr>
            <w:r>
              <w:rPr>
                <w:noProof/>
                <w:sz w:val="10"/>
                <w:szCs w:val="10"/>
                <w:lang w:val="fr-BE"/>
              </w:rPr>
              <w:t>0,26</w:t>
            </w:r>
          </w:p>
        </w:tc>
        <w:tc>
          <w:tcPr>
            <w:tcW w:w="0" w:type="auto"/>
            <w:shd w:val="clear" w:color="auto" w:fill="auto"/>
          </w:tcPr>
          <w:p w14:paraId="1FA7B111" w14:textId="77777777" w:rsidR="008C5CFA" w:rsidRPr="00A92B39" w:rsidRDefault="008C5CFA" w:rsidP="00300A01">
            <w:pPr>
              <w:spacing w:before="0" w:after="0"/>
              <w:jc w:val="right"/>
              <w:rPr>
                <w:sz w:val="10"/>
                <w:szCs w:val="10"/>
                <w:lang w:val="fr-BE"/>
              </w:rPr>
            </w:pPr>
          </w:p>
        </w:tc>
        <w:tc>
          <w:tcPr>
            <w:tcW w:w="0" w:type="auto"/>
            <w:shd w:val="clear" w:color="auto" w:fill="auto"/>
          </w:tcPr>
          <w:p w14:paraId="7F4089BA" w14:textId="77777777" w:rsidR="008C5CFA" w:rsidRPr="00A92B39" w:rsidRDefault="008C5CFA" w:rsidP="00300A01">
            <w:pPr>
              <w:spacing w:before="0" w:after="0"/>
              <w:jc w:val="right"/>
              <w:rPr>
                <w:sz w:val="10"/>
                <w:szCs w:val="10"/>
                <w:lang w:val="fr-BE"/>
              </w:rPr>
            </w:pPr>
          </w:p>
        </w:tc>
        <w:tc>
          <w:tcPr>
            <w:tcW w:w="0" w:type="auto"/>
          </w:tcPr>
          <w:p w14:paraId="69F09962" w14:textId="77777777" w:rsidR="008C5CFA" w:rsidRPr="00A92B39" w:rsidRDefault="00E82A60" w:rsidP="00300A01">
            <w:pPr>
              <w:spacing w:before="0" w:after="0"/>
              <w:jc w:val="right"/>
              <w:rPr>
                <w:sz w:val="10"/>
                <w:szCs w:val="10"/>
                <w:lang w:val="fr-BE"/>
              </w:rPr>
            </w:pPr>
            <w:r w:rsidRPr="00A92B39">
              <w:rPr>
                <w:noProof/>
                <w:sz w:val="10"/>
                <w:szCs w:val="10"/>
                <w:lang w:val="fr-BE"/>
              </w:rPr>
              <w:t>140,00</w:t>
            </w:r>
          </w:p>
        </w:tc>
        <w:tc>
          <w:tcPr>
            <w:tcW w:w="0" w:type="auto"/>
            <w:shd w:val="clear" w:color="auto" w:fill="auto"/>
          </w:tcPr>
          <w:p w14:paraId="4E392555"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14:paraId="015A1AD4"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r>
      <w:tr w:rsidR="006B2EC1" w14:paraId="0F488404" w14:textId="77777777" w:rsidTr="002A1502">
        <w:tc>
          <w:tcPr>
            <w:tcW w:w="0" w:type="auto"/>
            <w:shd w:val="clear" w:color="auto" w:fill="auto"/>
          </w:tcPr>
          <w:p w14:paraId="0FA2EE77" w14:textId="77777777" w:rsidR="008C5CFA" w:rsidRPr="00A92B39" w:rsidRDefault="00E82A60" w:rsidP="00300A01">
            <w:pPr>
              <w:spacing w:before="0" w:after="0"/>
              <w:rPr>
                <w:sz w:val="10"/>
                <w:szCs w:val="10"/>
                <w:lang w:val="fr-BE"/>
              </w:rPr>
            </w:pPr>
            <w:r w:rsidRPr="00A92B39">
              <w:rPr>
                <w:noProof/>
                <w:sz w:val="10"/>
                <w:szCs w:val="10"/>
                <w:lang w:val="fr-BE"/>
              </w:rPr>
              <w:t>022</w:t>
            </w:r>
          </w:p>
        </w:tc>
        <w:tc>
          <w:tcPr>
            <w:tcW w:w="0" w:type="auto"/>
            <w:shd w:val="clear" w:color="auto" w:fill="auto"/>
          </w:tcPr>
          <w:p w14:paraId="78A3116F" w14:textId="77777777" w:rsidR="008C5CFA" w:rsidRPr="00A92B39" w:rsidRDefault="00E82A60" w:rsidP="00300A01">
            <w:pPr>
              <w:spacing w:before="0" w:after="0"/>
              <w:rPr>
                <w:sz w:val="10"/>
                <w:szCs w:val="10"/>
                <w:lang w:val="fr-BE"/>
              </w:rPr>
            </w:pPr>
            <w:r w:rsidRPr="00A92B39">
              <w:rPr>
                <w:noProof/>
                <w:sz w:val="10"/>
                <w:szCs w:val="10"/>
                <w:lang w:val="fr-BE"/>
              </w:rPr>
              <w:t>Liczba osób pracujących o niskich kwalifikacjach objętych wsparciem w programie</w:t>
            </w:r>
          </w:p>
        </w:tc>
        <w:tc>
          <w:tcPr>
            <w:tcW w:w="0" w:type="auto"/>
            <w:shd w:val="clear" w:color="auto" w:fill="auto"/>
          </w:tcPr>
          <w:p w14:paraId="22E0D719" w14:textId="77777777" w:rsidR="008C5CFA" w:rsidRPr="00A92B39" w:rsidRDefault="00E82A60" w:rsidP="00300A01">
            <w:pPr>
              <w:spacing w:before="0" w:after="0"/>
              <w:rPr>
                <w:sz w:val="10"/>
                <w:szCs w:val="10"/>
                <w:lang w:val="fr-BE"/>
              </w:rPr>
            </w:pPr>
            <w:r w:rsidRPr="00A92B39">
              <w:rPr>
                <w:noProof/>
                <w:sz w:val="10"/>
                <w:szCs w:val="10"/>
                <w:lang w:val="fr-BE"/>
              </w:rPr>
              <w:t>Słabiej rozwinięte</w:t>
            </w:r>
          </w:p>
        </w:tc>
        <w:tc>
          <w:tcPr>
            <w:tcW w:w="0" w:type="auto"/>
          </w:tcPr>
          <w:p w14:paraId="26A892A8" w14:textId="77777777" w:rsidR="008C5CFA" w:rsidRPr="00A92B39" w:rsidRDefault="00E82A60" w:rsidP="00300A01">
            <w:pPr>
              <w:spacing w:before="0" w:after="0"/>
              <w:rPr>
                <w:sz w:val="10"/>
                <w:szCs w:val="10"/>
                <w:lang w:val="fr-BE"/>
              </w:rPr>
            </w:pPr>
            <w:r w:rsidRPr="00A92B39">
              <w:rPr>
                <w:noProof/>
                <w:sz w:val="10"/>
                <w:szCs w:val="10"/>
                <w:lang w:val="fr-BE"/>
              </w:rPr>
              <w:t>osoba</w:t>
            </w:r>
          </w:p>
        </w:tc>
        <w:tc>
          <w:tcPr>
            <w:tcW w:w="0" w:type="auto"/>
            <w:shd w:val="clear" w:color="auto" w:fill="auto"/>
          </w:tcPr>
          <w:p w14:paraId="2C0EEFD4" w14:textId="77777777" w:rsidR="008C5CFA" w:rsidRPr="00A92B39" w:rsidRDefault="00E82A60" w:rsidP="00300A01">
            <w:pPr>
              <w:spacing w:before="0" w:after="0"/>
              <w:jc w:val="right"/>
              <w:rPr>
                <w:sz w:val="10"/>
                <w:szCs w:val="10"/>
                <w:lang w:val="fr-BE"/>
              </w:rPr>
            </w:pPr>
            <w:r w:rsidRPr="00A92B39">
              <w:rPr>
                <w:noProof/>
                <w:sz w:val="10"/>
                <w:szCs w:val="10"/>
                <w:lang w:val="fr-BE"/>
              </w:rPr>
              <w:t>2 002,00</w:t>
            </w:r>
          </w:p>
        </w:tc>
        <w:tc>
          <w:tcPr>
            <w:tcW w:w="0" w:type="auto"/>
            <w:shd w:val="clear" w:color="auto" w:fill="auto"/>
          </w:tcPr>
          <w:p w14:paraId="541365B7" w14:textId="77777777" w:rsidR="008C5CFA" w:rsidRPr="00A92B39" w:rsidRDefault="008C5CFA" w:rsidP="00300A01">
            <w:pPr>
              <w:spacing w:before="0" w:after="0"/>
              <w:jc w:val="right"/>
              <w:rPr>
                <w:sz w:val="10"/>
                <w:szCs w:val="10"/>
                <w:lang w:val="fr-BE"/>
              </w:rPr>
            </w:pPr>
          </w:p>
        </w:tc>
        <w:tc>
          <w:tcPr>
            <w:tcW w:w="0" w:type="auto"/>
            <w:shd w:val="clear" w:color="auto" w:fill="auto"/>
          </w:tcPr>
          <w:p w14:paraId="0732052F" w14:textId="77777777" w:rsidR="008C5CFA" w:rsidRPr="00A92B39" w:rsidRDefault="008C5CFA" w:rsidP="00300A01">
            <w:pPr>
              <w:spacing w:before="0" w:after="0"/>
              <w:jc w:val="right"/>
              <w:rPr>
                <w:sz w:val="10"/>
                <w:szCs w:val="10"/>
                <w:lang w:val="fr-BE"/>
              </w:rPr>
            </w:pPr>
          </w:p>
        </w:tc>
        <w:tc>
          <w:tcPr>
            <w:tcW w:w="0" w:type="auto"/>
            <w:shd w:val="clear" w:color="auto" w:fill="auto"/>
          </w:tcPr>
          <w:p w14:paraId="24FD9E8A" w14:textId="77777777" w:rsidR="008C5CFA" w:rsidRPr="00A92B39" w:rsidRDefault="00E82A60" w:rsidP="00300A01">
            <w:pPr>
              <w:spacing w:before="0" w:after="0"/>
              <w:jc w:val="right"/>
              <w:rPr>
                <w:sz w:val="10"/>
                <w:szCs w:val="10"/>
                <w:lang w:val="fr-BE"/>
              </w:rPr>
            </w:pPr>
            <w:r w:rsidRPr="00A92B39">
              <w:rPr>
                <w:noProof/>
                <w:sz w:val="10"/>
                <w:szCs w:val="10"/>
                <w:lang w:val="fr-BE"/>
              </w:rPr>
              <w:t>975,00</w:t>
            </w:r>
          </w:p>
        </w:tc>
        <w:tc>
          <w:tcPr>
            <w:tcW w:w="0" w:type="auto"/>
            <w:shd w:val="clear" w:color="auto" w:fill="auto"/>
          </w:tcPr>
          <w:p w14:paraId="30B7CC08"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14:paraId="161B15B7"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14:paraId="281CD9E9" w14:textId="77777777" w:rsidR="008C5CFA" w:rsidRPr="00A92B39" w:rsidRDefault="00E82A60" w:rsidP="00300A01">
            <w:pPr>
              <w:spacing w:before="0" w:after="0"/>
              <w:jc w:val="right"/>
              <w:rPr>
                <w:sz w:val="10"/>
                <w:szCs w:val="10"/>
                <w:lang w:val="fr-BE"/>
              </w:rPr>
            </w:pPr>
            <w:r>
              <w:rPr>
                <w:noProof/>
                <w:sz w:val="10"/>
                <w:szCs w:val="10"/>
                <w:lang w:val="fr-BE"/>
              </w:rPr>
              <w:t>0,49</w:t>
            </w:r>
          </w:p>
        </w:tc>
        <w:tc>
          <w:tcPr>
            <w:tcW w:w="0" w:type="auto"/>
            <w:shd w:val="clear" w:color="auto" w:fill="auto"/>
          </w:tcPr>
          <w:p w14:paraId="75E07D9B" w14:textId="77777777" w:rsidR="008C5CFA" w:rsidRPr="00A92B39" w:rsidRDefault="008C5CFA" w:rsidP="00300A01">
            <w:pPr>
              <w:spacing w:before="0" w:after="0"/>
              <w:jc w:val="right"/>
              <w:rPr>
                <w:sz w:val="10"/>
                <w:szCs w:val="10"/>
                <w:lang w:val="fr-BE"/>
              </w:rPr>
            </w:pPr>
          </w:p>
        </w:tc>
        <w:tc>
          <w:tcPr>
            <w:tcW w:w="0" w:type="auto"/>
            <w:shd w:val="clear" w:color="auto" w:fill="auto"/>
          </w:tcPr>
          <w:p w14:paraId="403FABD4" w14:textId="77777777" w:rsidR="008C5CFA" w:rsidRPr="00A92B39" w:rsidRDefault="008C5CFA" w:rsidP="00300A01">
            <w:pPr>
              <w:spacing w:before="0" w:after="0"/>
              <w:jc w:val="right"/>
              <w:rPr>
                <w:sz w:val="10"/>
                <w:szCs w:val="10"/>
                <w:lang w:val="fr-BE"/>
              </w:rPr>
            </w:pPr>
          </w:p>
        </w:tc>
        <w:tc>
          <w:tcPr>
            <w:tcW w:w="0" w:type="auto"/>
          </w:tcPr>
          <w:p w14:paraId="65AFBC0E" w14:textId="77777777" w:rsidR="008C5CFA" w:rsidRPr="00A92B39" w:rsidRDefault="00E82A60" w:rsidP="00300A01">
            <w:pPr>
              <w:spacing w:before="0" w:after="0"/>
              <w:jc w:val="right"/>
              <w:rPr>
                <w:sz w:val="10"/>
                <w:szCs w:val="10"/>
                <w:lang w:val="fr-BE"/>
              </w:rPr>
            </w:pPr>
            <w:r w:rsidRPr="00A92B39">
              <w:rPr>
                <w:noProof/>
                <w:sz w:val="10"/>
                <w:szCs w:val="10"/>
                <w:lang w:val="fr-BE"/>
              </w:rPr>
              <w:t>495,00</w:t>
            </w:r>
          </w:p>
        </w:tc>
        <w:tc>
          <w:tcPr>
            <w:tcW w:w="0" w:type="auto"/>
            <w:shd w:val="clear" w:color="auto" w:fill="auto"/>
          </w:tcPr>
          <w:p w14:paraId="21CE4F56"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14:paraId="02C65F74"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r>
      <w:tr w:rsidR="006B2EC1" w14:paraId="1F46456B" w14:textId="77777777" w:rsidTr="002A1502">
        <w:tc>
          <w:tcPr>
            <w:tcW w:w="0" w:type="auto"/>
            <w:shd w:val="clear" w:color="auto" w:fill="auto"/>
          </w:tcPr>
          <w:p w14:paraId="6BFD3AA3" w14:textId="77777777" w:rsidR="008C5CFA" w:rsidRPr="00A92B39" w:rsidRDefault="00E82A60" w:rsidP="00300A01">
            <w:pPr>
              <w:spacing w:before="0" w:after="0"/>
              <w:rPr>
                <w:sz w:val="10"/>
                <w:szCs w:val="10"/>
                <w:lang w:val="fr-BE"/>
              </w:rPr>
            </w:pPr>
            <w:r w:rsidRPr="00A92B39">
              <w:rPr>
                <w:noProof/>
                <w:sz w:val="10"/>
                <w:szCs w:val="10"/>
                <w:lang w:val="fr-BE"/>
              </w:rPr>
              <w:t>123</w:t>
            </w:r>
          </w:p>
        </w:tc>
        <w:tc>
          <w:tcPr>
            <w:tcW w:w="0" w:type="auto"/>
            <w:shd w:val="clear" w:color="auto" w:fill="auto"/>
          </w:tcPr>
          <w:p w14:paraId="6CBF5DFF" w14:textId="77777777" w:rsidR="008C5CFA" w:rsidRPr="00A92B39" w:rsidRDefault="00E82A60" w:rsidP="00300A01">
            <w:pPr>
              <w:spacing w:before="0" w:after="0"/>
              <w:rPr>
                <w:sz w:val="10"/>
                <w:szCs w:val="10"/>
                <w:lang w:val="fr-BE"/>
              </w:rPr>
            </w:pPr>
            <w:r w:rsidRPr="00A92B39">
              <w:rPr>
                <w:noProof/>
                <w:sz w:val="10"/>
                <w:szCs w:val="10"/>
                <w:lang w:val="fr-BE"/>
              </w:rPr>
              <w:t>Liczba mikroprzedsiębiorstw oraz małych i średnich przedsiębiorstw objętych usługami rozwojowymi w programie</w:t>
            </w:r>
          </w:p>
        </w:tc>
        <w:tc>
          <w:tcPr>
            <w:tcW w:w="0" w:type="auto"/>
            <w:shd w:val="clear" w:color="auto" w:fill="auto"/>
          </w:tcPr>
          <w:p w14:paraId="0485F74D" w14:textId="77777777" w:rsidR="008C5CFA" w:rsidRPr="00A92B39" w:rsidRDefault="00E82A60" w:rsidP="00300A01">
            <w:pPr>
              <w:spacing w:before="0" w:after="0"/>
              <w:rPr>
                <w:sz w:val="10"/>
                <w:szCs w:val="10"/>
                <w:lang w:val="fr-BE"/>
              </w:rPr>
            </w:pPr>
            <w:r w:rsidRPr="00A92B39">
              <w:rPr>
                <w:noProof/>
                <w:sz w:val="10"/>
                <w:szCs w:val="10"/>
                <w:lang w:val="fr-BE"/>
              </w:rPr>
              <w:t>Słabiej rozwinięte</w:t>
            </w:r>
          </w:p>
        </w:tc>
        <w:tc>
          <w:tcPr>
            <w:tcW w:w="0" w:type="auto"/>
          </w:tcPr>
          <w:p w14:paraId="226CFB99" w14:textId="77777777" w:rsidR="008C5CFA" w:rsidRPr="00A92B39" w:rsidRDefault="00E82A60" w:rsidP="00300A01">
            <w:pPr>
              <w:spacing w:before="0" w:after="0"/>
              <w:rPr>
                <w:sz w:val="10"/>
                <w:szCs w:val="10"/>
                <w:lang w:val="fr-BE"/>
              </w:rPr>
            </w:pPr>
            <w:r w:rsidRPr="00A92B39">
              <w:rPr>
                <w:noProof/>
                <w:sz w:val="10"/>
                <w:szCs w:val="10"/>
                <w:lang w:val="fr-BE"/>
              </w:rPr>
              <w:t>szt.</w:t>
            </w:r>
          </w:p>
        </w:tc>
        <w:tc>
          <w:tcPr>
            <w:tcW w:w="0" w:type="auto"/>
            <w:shd w:val="clear" w:color="auto" w:fill="auto"/>
          </w:tcPr>
          <w:p w14:paraId="49FCE004" w14:textId="77777777" w:rsidR="008C5CFA" w:rsidRPr="00A92B39" w:rsidRDefault="00E82A60" w:rsidP="00300A01">
            <w:pPr>
              <w:spacing w:before="0" w:after="0"/>
              <w:jc w:val="right"/>
              <w:rPr>
                <w:sz w:val="10"/>
                <w:szCs w:val="10"/>
                <w:lang w:val="fr-BE"/>
              </w:rPr>
            </w:pPr>
            <w:r w:rsidRPr="00A92B39">
              <w:rPr>
                <w:noProof/>
                <w:sz w:val="10"/>
                <w:szCs w:val="10"/>
                <w:lang w:val="fr-BE"/>
              </w:rPr>
              <w:t>1 408,00</w:t>
            </w:r>
          </w:p>
        </w:tc>
        <w:tc>
          <w:tcPr>
            <w:tcW w:w="0" w:type="auto"/>
            <w:shd w:val="clear" w:color="auto" w:fill="auto"/>
          </w:tcPr>
          <w:p w14:paraId="052AE594" w14:textId="77777777" w:rsidR="008C5CFA" w:rsidRPr="00A92B39" w:rsidRDefault="008C5CFA" w:rsidP="00300A01">
            <w:pPr>
              <w:spacing w:before="0" w:after="0"/>
              <w:jc w:val="right"/>
              <w:rPr>
                <w:sz w:val="10"/>
                <w:szCs w:val="10"/>
                <w:lang w:val="fr-BE"/>
              </w:rPr>
            </w:pPr>
          </w:p>
        </w:tc>
        <w:tc>
          <w:tcPr>
            <w:tcW w:w="0" w:type="auto"/>
            <w:shd w:val="clear" w:color="auto" w:fill="auto"/>
          </w:tcPr>
          <w:p w14:paraId="59B6165C" w14:textId="77777777" w:rsidR="008C5CFA" w:rsidRPr="00A92B39" w:rsidRDefault="008C5CFA" w:rsidP="00300A01">
            <w:pPr>
              <w:spacing w:before="0" w:after="0"/>
              <w:jc w:val="right"/>
              <w:rPr>
                <w:sz w:val="10"/>
                <w:szCs w:val="10"/>
                <w:lang w:val="fr-BE"/>
              </w:rPr>
            </w:pPr>
          </w:p>
        </w:tc>
        <w:tc>
          <w:tcPr>
            <w:tcW w:w="0" w:type="auto"/>
            <w:shd w:val="clear" w:color="auto" w:fill="auto"/>
          </w:tcPr>
          <w:p w14:paraId="3984BF15" w14:textId="77777777" w:rsidR="008C5CFA" w:rsidRPr="00A92B39" w:rsidRDefault="00E82A60" w:rsidP="00300A01">
            <w:pPr>
              <w:spacing w:before="0" w:after="0"/>
              <w:jc w:val="right"/>
              <w:rPr>
                <w:sz w:val="10"/>
                <w:szCs w:val="10"/>
                <w:lang w:val="fr-BE"/>
              </w:rPr>
            </w:pPr>
            <w:r w:rsidRPr="00A92B39">
              <w:rPr>
                <w:noProof/>
                <w:sz w:val="10"/>
                <w:szCs w:val="10"/>
                <w:lang w:val="fr-BE"/>
              </w:rPr>
              <w:t>1 441,00</w:t>
            </w:r>
          </w:p>
        </w:tc>
        <w:tc>
          <w:tcPr>
            <w:tcW w:w="0" w:type="auto"/>
            <w:shd w:val="clear" w:color="auto" w:fill="auto"/>
          </w:tcPr>
          <w:p w14:paraId="34A3658A"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14:paraId="7B7B41F6"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14:paraId="429E6A9C" w14:textId="77777777" w:rsidR="008C5CFA" w:rsidRPr="00A92B39" w:rsidRDefault="00E82A60" w:rsidP="00300A01">
            <w:pPr>
              <w:spacing w:before="0" w:after="0"/>
              <w:jc w:val="right"/>
              <w:rPr>
                <w:sz w:val="10"/>
                <w:szCs w:val="10"/>
                <w:lang w:val="fr-BE"/>
              </w:rPr>
            </w:pPr>
            <w:r>
              <w:rPr>
                <w:noProof/>
                <w:sz w:val="10"/>
                <w:szCs w:val="10"/>
                <w:lang w:val="fr-BE"/>
              </w:rPr>
              <w:t>1,02</w:t>
            </w:r>
          </w:p>
        </w:tc>
        <w:tc>
          <w:tcPr>
            <w:tcW w:w="0" w:type="auto"/>
            <w:shd w:val="clear" w:color="auto" w:fill="auto"/>
          </w:tcPr>
          <w:p w14:paraId="526CC068" w14:textId="77777777" w:rsidR="008C5CFA" w:rsidRPr="00A92B39" w:rsidRDefault="008C5CFA" w:rsidP="00300A01">
            <w:pPr>
              <w:spacing w:before="0" w:after="0"/>
              <w:jc w:val="right"/>
              <w:rPr>
                <w:sz w:val="10"/>
                <w:szCs w:val="10"/>
                <w:lang w:val="fr-BE"/>
              </w:rPr>
            </w:pPr>
          </w:p>
        </w:tc>
        <w:tc>
          <w:tcPr>
            <w:tcW w:w="0" w:type="auto"/>
            <w:shd w:val="clear" w:color="auto" w:fill="auto"/>
          </w:tcPr>
          <w:p w14:paraId="311E388A" w14:textId="77777777" w:rsidR="008C5CFA" w:rsidRPr="00A92B39" w:rsidRDefault="008C5CFA" w:rsidP="00300A01">
            <w:pPr>
              <w:spacing w:before="0" w:after="0"/>
              <w:jc w:val="right"/>
              <w:rPr>
                <w:sz w:val="10"/>
                <w:szCs w:val="10"/>
                <w:lang w:val="fr-BE"/>
              </w:rPr>
            </w:pPr>
          </w:p>
        </w:tc>
        <w:tc>
          <w:tcPr>
            <w:tcW w:w="0" w:type="auto"/>
          </w:tcPr>
          <w:p w14:paraId="6F6BC90B" w14:textId="77777777" w:rsidR="008C5CFA" w:rsidRPr="00A92B39" w:rsidRDefault="00E82A60" w:rsidP="00300A01">
            <w:pPr>
              <w:spacing w:before="0" w:after="0"/>
              <w:jc w:val="right"/>
              <w:rPr>
                <w:sz w:val="10"/>
                <w:szCs w:val="10"/>
                <w:lang w:val="fr-BE"/>
              </w:rPr>
            </w:pPr>
            <w:r w:rsidRPr="00A92B39">
              <w:rPr>
                <w:noProof/>
                <w:sz w:val="10"/>
                <w:szCs w:val="10"/>
                <w:lang w:val="fr-BE"/>
              </w:rPr>
              <w:t>686,00</w:t>
            </w:r>
          </w:p>
        </w:tc>
        <w:tc>
          <w:tcPr>
            <w:tcW w:w="0" w:type="auto"/>
            <w:shd w:val="clear" w:color="auto" w:fill="auto"/>
          </w:tcPr>
          <w:p w14:paraId="150C8CB5"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14:paraId="1D7EA9D6"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r>
    </w:tbl>
    <w:p w14:paraId="65E1E911"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47"/>
        <w:gridCol w:w="6182"/>
        <w:gridCol w:w="1005"/>
        <w:gridCol w:w="468"/>
        <w:gridCol w:w="608"/>
        <w:gridCol w:w="474"/>
        <w:gridCol w:w="468"/>
        <w:gridCol w:w="608"/>
        <w:gridCol w:w="474"/>
        <w:gridCol w:w="468"/>
        <w:gridCol w:w="608"/>
        <w:gridCol w:w="474"/>
        <w:gridCol w:w="468"/>
        <w:gridCol w:w="608"/>
        <w:gridCol w:w="474"/>
        <w:gridCol w:w="468"/>
        <w:gridCol w:w="608"/>
        <w:gridCol w:w="474"/>
      </w:tblGrid>
      <w:tr w:rsidR="006B2EC1" w14:paraId="037A209C" w14:textId="77777777" w:rsidTr="0047688D">
        <w:trPr>
          <w:tblHeader/>
        </w:trPr>
        <w:tc>
          <w:tcPr>
            <w:tcW w:w="0" w:type="auto"/>
            <w:shd w:val="clear" w:color="auto" w:fill="auto"/>
          </w:tcPr>
          <w:p w14:paraId="26B73128" w14:textId="77777777" w:rsidR="008C5CFA" w:rsidRPr="00A92B39" w:rsidRDefault="00E82A60" w:rsidP="00300A01">
            <w:pPr>
              <w:spacing w:before="0" w:after="0"/>
              <w:rPr>
                <w:b/>
                <w:sz w:val="10"/>
                <w:szCs w:val="10"/>
                <w:lang w:val="fr-BE"/>
              </w:rPr>
            </w:pPr>
            <w:r w:rsidRPr="00A92B39">
              <w:rPr>
                <w:b/>
                <w:noProof/>
                <w:sz w:val="10"/>
                <w:szCs w:val="10"/>
                <w:lang w:val="fr-BE"/>
              </w:rPr>
              <w:t>ID</w:t>
            </w:r>
          </w:p>
        </w:tc>
        <w:tc>
          <w:tcPr>
            <w:tcW w:w="0" w:type="auto"/>
            <w:shd w:val="clear" w:color="auto" w:fill="auto"/>
          </w:tcPr>
          <w:p w14:paraId="5CE5884C" w14:textId="77777777" w:rsidR="008C5CFA" w:rsidRPr="00A92B39" w:rsidRDefault="00E82A60" w:rsidP="00300A01">
            <w:pPr>
              <w:spacing w:before="0" w:after="0"/>
              <w:rPr>
                <w:b/>
                <w:sz w:val="10"/>
                <w:szCs w:val="10"/>
                <w:lang w:val="fr-BE"/>
              </w:rPr>
            </w:pPr>
            <w:r w:rsidRPr="00A92B39">
              <w:rPr>
                <w:b/>
                <w:noProof/>
                <w:sz w:val="10"/>
                <w:szCs w:val="10"/>
                <w:lang w:val="fr-BE"/>
              </w:rPr>
              <w:t>Wskaźnik</w:t>
            </w:r>
          </w:p>
        </w:tc>
        <w:tc>
          <w:tcPr>
            <w:tcW w:w="0" w:type="auto"/>
            <w:shd w:val="clear" w:color="auto" w:fill="auto"/>
          </w:tcPr>
          <w:p w14:paraId="6CAAB15C" w14:textId="77777777" w:rsidR="008C5CFA" w:rsidRPr="00A92B39" w:rsidRDefault="00E82A60" w:rsidP="00300A01">
            <w:pPr>
              <w:spacing w:before="0" w:after="0"/>
              <w:rPr>
                <w:b/>
                <w:sz w:val="10"/>
                <w:szCs w:val="10"/>
                <w:lang w:val="fr-BE"/>
              </w:rPr>
            </w:pPr>
            <w:r w:rsidRPr="00A92B39">
              <w:rPr>
                <w:b/>
                <w:noProof/>
                <w:sz w:val="10"/>
                <w:szCs w:val="10"/>
                <w:lang w:val="fr-BE"/>
              </w:rPr>
              <w:t>Kategoria regionu</w:t>
            </w:r>
          </w:p>
        </w:tc>
        <w:tc>
          <w:tcPr>
            <w:tcW w:w="0" w:type="auto"/>
            <w:gridSpan w:val="3"/>
            <w:shd w:val="clear" w:color="auto" w:fill="auto"/>
          </w:tcPr>
          <w:p w14:paraId="6B6309E2" w14:textId="77777777" w:rsidR="008C5CFA" w:rsidRPr="00A92B39" w:rsidRDefault="00E82A60" w:rsidP="00300A01">
            <w:pPr>
              <w:spacing w:before="0" w:after="0"/>
              <w:jc w:val="center"/>
              <w:rPr>
                <w:b/>
                <w:sz w:val="10"/>
                <w:szCs w:val="10"/>
                <w:lang w:val="fr-BE"/>
              </w:rPr>
            </w:pPr>
            <w:r w:rsidRPr="00A92B39">
              <w:rPr>
                <w:b/>
                <w:sz w:val="10"/>
                <w:szCs w:val="10"/>
                <w:lang w:val="fr-BE"/>
              </w:rPr>
              <w:t>20</w:t>
            </w:r>
            <w:r>
              <w:rPr>
                <w:b/>
                <w:sz w:val="10"/>
                <w:szCs w:val="10"/>
                <w:lang w:val="fr-BE"/>
              </w:rPr>
              <w:t>18</w:t>
            </w:r>
          </w:p>
        </w:tc>
        <w:tc>
          <w:tcPr>
            <w:tcW w:w="0" w:type="auto"/>
            <w:gridSpan w:val="3"/>
          </w:tcPr>
          <w:p w14:paraId="517F1FDB" w14:textId="77777777" w:rsidR="008C5CFA" w:rsidRPr="00A92B39" w:rsidRDefault="00E82A60" w:rsidP="00300A01">
            <w:pPr>
              <w:spacing w:before="0" w:after="0"/>
              <w:jc w:val="center"/>
              <w:rPr>
                <w:b/>
                <w:sz w:val="10"/>
                <w:szCs w:val="10"/>
                <w:lang w:val="fr-BE"/>
              </w:rPr>
            </w:pPr>
            <w:r>
              <w:rPr>
                <w:b/>
                <w:sz w:val="10"/>
                <w:szCs w:val="10"/>
                <w:lang w:val="fr-BE"/>
              </w:rPr>
              <w:t>2017</w:t>
            </w:r>
          </w:p>
        </w:tc>
        <w:tc>
          <w:tcPr>
            <w:tcW w:w="0" w:type="auto"/>
            <w:gridSpan w:val="3"/>
          </w:tcPr>
          <w:p w14:paraId="14F5FF09" w14:textId="77777777" w:rsidR="008C5CFA" w:rsidRDefault="00E82A60" w:rsidP="00300A01">
            <w:pPr>
              <w:spacing w:before="0" w:after="0"/>
              <w:jc w:val="center"/>
              <w:rPr>
                <w:b/>
                <w:sz w:val="10"/>
                <w:szCs w:val="10"/>
                <w:lang w:val="fr-BE"/>
              </w:rPr>
            </w:pPr>
            <w:r>
              <w:rPr>
                <w:b/>
                <w:sz w:val="10"/>
                <w:szCs w:val="10"/>
                <w:lang w:val="fr-BE"/>
              </w:rPr>
              <w:t>2016</w:t>
            </w:r>
          </w:p>
        </w:tc>
        <w:tc>
          <w:tcPr>
            <w:tcW w:w="0" w:type="auto"/>
            <w:gridSpan w:val="3"/>
          </w:tcPr>
          <w:p w14:paraId="3C45B404" w14:textId="77777777" w:rsidR="008C5CFA" w:rsidRDefault="00E82A60" w:rsidP="00300A01">
            <w:pPr>
              <w:spacing w:before="0" w:after="0"/>
              <w:jc w:val="center"/>
              <w:rPr>
                <w:b/>
                <w:sz w:val="10"/>
                <w:szCs w:val="10"/>
                <w:lang w:val="fr-BE"/>
              </w:rPr>
            </w:pPr>
            <w:r>
              <w:rPr>
                <w:b/>
                <w:sz w:val="10"/>
                <w:szCs w:val="10"/>
                <w:lang w:val="fr-BE"/>
              </w:rPr>
              <w:t>2015</w:t>
            </w:r>
          </w:p>
        </w:tc>
        <w:tc>
          <w:tcPr>
            <w:tcW w:w="0" w:type="auto"/>
            <w:gridSpan w:val="3"/>
          </w:tcPr>
          <w:p w14:paraId="5917DCB0" w14:textId="77777777" w:rsidR="008C5CFA" w:rsidRDefault="00E82A60" w:rsidP="00300A01">
            <w:pPr>
              <w:spacing w:before="0" w:after="0"/>
              <w:jc w:val="center"/>
              <w:rPr>
                <w:b/>
                <w:sz w:val="10"/>
                <w:szCs w:val="10"/>
                <w:lang w:val="fr-BE"/>
              </w:rPr>
            </w:pPr>
            <w:r>
              <w:rPr>
                <w:b/>
                <w:sz w:val="10"/>
                <w:szCs w:val="10"/>
                <w:lang w:val="fr-BE"/>
              </w:rPr>
              <w:t>2014</w:t>
            </w:r>
          </w:p>
        </w:tc>
      </w:tr>
      <w:tr w:rsidR="006B2EC1" w14:paraId="1210AA33" w14:textId="77777777" w:rsidTr="0047688D">
        <w:trPr>
          <w:tblHeader/>
        </w:trPr>
        <w:tc>
          <w:tcPr>
            <w:tcW w:w="0" w:type="auto"/>
            <w:shd w:val="clear" w:color="auto" w:fill="auto"/>
          </w:tcPr>
          <w:p w14:paraId="7F41BDE2" w14:textId="77777777" w:rsidR="008C5CFA" w:rsidRPr="00A92B39" w:rsidRDefault="008C5CFA" w:rsidP="00300A01">
            <w:pPr>
              <w:spacing w:before="0" w:after="0"/>
              <w:rPr>
                <w:sz w:val="10"/>
                <w:szCs w:val="10"/>
                <w:lang w:val="fr-BE"/>
              </w:rPr>
            </w:pPr>
          </w:p>
        </w:tc>
        <w:tc>
          <w:tcPr>
            <w:tcW w:w="0" w:type="auto"/>
            <w:shd w:val="clear" w:color="auto" w:fill="auto"/>
          </w:tcPr>
          <w:p w14:paraId="181E96AB" w14:textId="77777777" w:rsidR="008C5CFA" w:rsidRPr="00A92B39" w:rsidRDefault="008C5CFA" w:rsidP="00300A01">
            <w:pPr>
              <w:spacing w:before="0" w:after="0"/>
              <w:rPr>
                <w:sz w:val="10"/>
                <w:szCs w:val="10"/>
                <w:lang w:val="fr-BE"/>
              </w:rPr>
            </w:pPr>
          </w:p>
        </w:tc>
        <w:tc>
          <w:tcPr>
            <w:tcW w:w="0" w:type="auto"/>
            <w:shd w:val="clear" w:color="auto" w:fill="auto"/>
          </w:tcPr>
          <w:p w14:paraId="6886D27E" w14:textId="77777777" w:rsidR="008C5CFA" w:rsidRPr="00A92B39" w:rsidRDefault="008C5CFA" w:rsidP="00300A01">
            <w:pPr>
              <w:spacing w:before="0" w:after="0"/>
              <w:rPr>
                <w:sz w:val="10"/>
                <w:szCs w:val="10"/>
                <w:lang w:val="fr-BE"/>
              </w:rPr>
            </w:pPr>
          </w:p>
        </w:tc>
        <w:tc>
          <w:tcPr>
            <w:tcW w:w="0" w:type="auto"/>
            <w:shd w:val="clear" w:color="auto" w:fill="auto"/>
          </w:tcPr>
          <w:p w14:paraId="17462AB4" w14:textId="77777777" w:rsidR="008C5CFA" w:rsidRPr="00A92B39" w:rsidRDefault="00E82A60" w:rsidP="00300A01">
            <w:pPr>
              <w:spacing w:before="0" w:after="0"/>
              <w:jc w:val="center"/>
              <w:rPr>
                <w:b/>
                <w:sz w:val="10"/>
                <w:szCs w:val="10"/>
                <w:lang w:val="fr-BE"/>
              </w:rPr>
            </w:pPr>
            <w:r w:rsidRPr="00A92B39">
              <w:rPr>
                <w:b/>
                <w:noProof/>
                <w:sz w:val="10"/>
                <w:szCs w:val="10"/>
                <w:lang w:val="fr-BE"/>
              </w:rPr>
              <w:t>Ogółem</w:t>
            </w:r>
          </w:p>
        </w:tc>
        <w:tc>
          <w:tcPr>
            <w:tcW w:w="0" w:type="auto"/>
            <w:shd w:val="clear" w:color="auto" w:fill="auto"/>
          </w:tcPr>
          <w:p w14:paraId="79E109B0" w14:textId="77777777" w:rsidR="008C5CFA" w:rsidRPr="00A92B39" w:rsidRDefault="00E82A60" w:rsidP="00300A01">
            <w:pPr>
              <w:spacing w:before="0" w:after="0"/>
              <w:jc w:val="center"/>
              <w:rPr>
                <w:b/>
                <w:sz w:val="10"/>
                <w:szCs w:val="10"/>
                <w:lang w:val="fr-BE"/>
              </w:rPr>
            </w:pPr>
            <w:r w:rsidRPr="00A92B39">
              <w:rPr>
                <w:b/>
                <w:noProof/>
                <w:sz w:val="10"/>
                <w:szCs w:val="10"/>
                <w:lang w:val="fr-BE"/>
              </w:rPr>
              <w:t>Mężczyźni</w:t>
            </w:r>
          </w:p>
        </w:tc>
        <w:tc>
          <w:tcPr>
            <w:tcW w:w="0" w:type="auto"/>
            <w:shd w:val="clear" w:color="auto" w:fill="auto"/>
          </w:tcPr>
          <w:p w14:paraId="493D9E05" w14:textId="77777777" w:rsidR="008C5CFA" w:rsidRPr="00A92B39" w:rsidRDefault="00E82A60" w:rsidP="00300A01">
            <w:pPr>
              <w:spacing w:before="0" w:after="0"/>
              <w:jc w:val="center"/>
              <w:rPr>
                <w:b/>
                <w:sz w:val="10"/>
                <w:szCs w:val="10"/>
                <w:lang w:val="fr-BE"/>
              </w:rPr>
            </w:pPr>
            <w:r w:rsidRPr="00A92B39">
              <w:rPr>
                <w:b/>
                <w:noProof/>
                <w:sz w:val="10"/>
                <w:szCs w:val="10"/>
                <w:lang w:val="fr-BE"/>
              </w:rPr>
              <w:t>Kobiety</w:t>
            </w:r>
          </w:p>
        </w:tc>
        <w:tc>
          <w:tcPr>
            <w:tcW w:w="0" w:type="auto"/>
          </w:tcPr>
          <w:p w14:paraId="5BE41409" w14:textId="77777777" w:rsidR="008C5CFA" w:rsidRPr="00A92B39" w:rsidRDefault="00E82A60" w:rsidP="00300A01">
            <w:pPr>
              <w:spacing w:before="0" w:after="0"/>
              <w:jc w:val="center"/>
              <w:rPr>
                <w:b/>
                <w:sz w:val="10"/>
                <w:szCs w:val="10"/>
                <w:lang w:val="fr-BE"/>
              </w:rPr>
            </w:pPr>
            <w:r w:rsidRPr="00A92B39">
              <w:rPr>
                <w:b/>
                <w:noProof/>
                <w:sz w:val="10"/>
                <w:szCs w:val="10"/>
                <w:lang w:val="fr-BE"/>
              </w:rPr>
              <w:t>Ogółem</w:t>
            </w:r>
          </w:p>
        </w:tc>
        <w:tc>
          <w:tcPr>
            <w:tcW w:w="0" w:type="auto"/>
          </w:tcPr>
          <w:p w14:paraId="57E17E86" w14:textId="77777777" w:rsidR="008C5CFA" w:rsidRPr="00A92B39" w:rsidRDefault="00E82A60" w:rsidP="00300A01">
            <w:pPr>
              <w:spacing w:before="0" w:after="0"/>
              <w:jc w:val="center"/>
              <w:rPr>
                <w:b/>
                <w:sz w:val="10"/>
                <w:szCs w:val="10"/>
                <w:lang w:val="fr-BE"/>
              </w:rPr>
            </w:pPr>
            <w:r w:rsidRPr="00A92B39">
              <w:rPr>
                <w:b/>
                <w:noProof/>
                <w:sz w:val="10"/>
                <w:szCs w:val="10"/>
                <w:lang w:val="fr-BE"/>
              </w:rPr>
              <w:t>Mężczyźni</w:t>
            </w:r>
          </w:p>
        </w:tc>
        <w:tc>
          <w:tcPr>
            <w:tcW w:w="0" w:type="auto"/>
          </w:tcPr>
          <w:p w14:paraId="00BFD20B" w14:textId="77777777" w:rsidR="008C5CFA" w:rsidRPr="00A92B39" w:rsidRDefault="00E82A60" w:rsidP="00300A01">
            <w:pPr>
              <w:spacing w:before="0" w:after="0"/>
              <w:jc w:val="center"/>
              <w:rPr>
                <w:b/>
                <w:sz w:val="10"/>
                <w:szCs w:val="10"/>
                <w:lang w:val="fr-BE"/>
              </w:rPr>
            </w:pPr>
            <w:r w:rsidRPr="00A92B39">
              <w:rPr>
                <w:b/>
                <w:noProof/>
                <w:sz w:val="10"/>
                <w:szCs w:val="10"/>
                <w:lang w:val="fr-BE"/>
              </w:rPr>
              <w:t>Kobiety</w:t>
            </w:r>
          </w:p>
        </w:tc>
        <w:tc>
          <w:tcPr>
            <w:tcW w:w="0" w:type="auto"/>
          </w:tcPr>
          <w:p w14:paraId="59E9B108" w14:textId="77777777" w:rsidR="008C5CFA" w:rsidRPr="00A92B39" w:rsidRDefault="00E82A60" w:rsidP="00300A01">
            <w:pPr>
              <w:spacing w:before="0" w:after="0"/>
              <w:jc w:val="center"/>
              <w:rPr>
                <w:b/>
                <w:sz w:val="10"/>
                <w:szCs w:val="10"/>
                <w:lang w:val="fr-BE"/>
              </w:rPr>
            </w:pPr>
            <w:r w:rsidRPr="00A92B39">
              <w:rPr>
                <w:b/>
                <w:noProof/>
                <w:sz w:val="10"/>
                <w:szCs w:val="10"/>
                <w:lang w:val="fr-BE"/>
              </w:rPr>
              <w:t>Ogółem</w:t>
            </w:r>
          </w:p>
        </w:tc>
        <w:tc>
          <w:tcPr>
            <w:tcW w:w="0" w:type="auto"/>
          </w:tcPr>
          <w:p w14:paraId="75397338" w14:textId="77777777" w:rsidR="008C5CFA" w:rsidRPr="00A92B39" w:rsidRDefault="00E82A60" w:rsidP="00300A01">
            <w:pPr>
              <w:spacing w:before="0" w:after="0"/>
              <w:jc w:val="center"/>
              <w:rPr>
                <w:b/>
                <w:sz w:val="10"/>
                <w:szCs w:val="10"/>
                <w:lang w:val="fr-BE"/>
              </w:rPr>
            </w:pPr>
            <w:r w:rsidRPr="00A92B39">
              <w:rPr>
                <w:b/>
                <w:noProof/>
                <w:sz w:val="10"/>
                <w:szCs w:val="10"/>
                <w:lang w:val="fr-BE"/>
              </w:rPr>
              <w:t>Mężczyźni</w:t>
            </w:r>
          </w:p>
        </w:tc>
        <w:tc>
          <w:tcPr>
            <w:tcW w:w="0" w:type="auto"/>
          </w:tcPr>
          <w:p w14:paraId="3806258D" w14:textId="77777777" w:rsidR="008C5CFA" w:rsidRPr="00A92B39" w:rsidRDefault="00E82A60" w:rsidP="00300A01">
            <w:pPr>
              <w:spacing w:before="0" w:after="0"/>
              <w:jc w:val="center"/>
              <w:rPr>
                <w:b/>
                <w:sz w:val="10"/>
                <w:szCs w:val="10"/>
                <w:lang w:val="fr-BE"/>
              </w:rPr>
            </w:pPr>
            <w:r w:rsidRPr="00A92B39">
              <w:rPr>
                <w:b/>
                <w:noProof/>
                <w:sz w:val="10"/>
                <w:szCs w:val="10"/>
                <w:lang w:val="fr-BE"/>
              </w:rPr>
              <w:t>Kobiety</w:t>
            </w:r>
          </w:p>
        </w:tc>
        <w:tc>
          <w:tcPr>
            <w:tcW w:w="0" w:type="auto"/>
          </w:tcPr>
          <w:p w14:paraId="5EDB75F3" w14:textId="77777777" w:rsidR="008C5CFA" w:rsidRPr="00A92B39" w:rsidRDefault="00E82A60" w:rsidP="00300A01">
            <w:pPr>
              <w:spacing w:before="0" w:after="0"/>
              <w:jc w:val="center"/>
              <w:rPr>
                <w:b/>
                <w:sz w:val="10"/>
                <w:szCs w:val="10"/>
                <w:lang w:val="fr-BE"/>
              </w:rPr>
            </w:pPr>
            <w:r w:rsidRPr="00A92B39">
              <w:rPr>
                <w:b/>
                <w:noProof/>
                <w:sz w:val="10"/>
                <w:szCs w:val="10"/>
                <w:lang w:val="fr-BE"/>
              </w:rPr>
              <w:t>Ogółem</w:t>
            </w:r>
          </w:p>
        </w:tc>
        <w:tc>
          <w:tcPr>
            <w:tcW w:w="0" w:type="auto"/>
          </w:tcPr>
          <w:p w14:paraId="2448E26A" w14:textId="77777777" w:rsidR="008C5CFA" w:rsidRPr="00A92B39" w:rsidRDefault="00E82A60" w:rsidP="00300A01">
            <w:pPr>
              <w:spacing w:before="0" w:after="0"/>
              <w:jc w:val="center"/>
              <w:rPr>
                <w:b/>
                <w:sz w:val="10"/>
                <w:szCs w:val="10"/>
                <w:lang w:val="fr-BE"/>
              </w:rPr>
            </w:pPr>
            <w:r w:rsidRPr="00A92B39">
              <w:rPr>
                <w:b/>
                <w:noProof/>
                <w:sz w:val="10"/>
                <w:szCs w:val="10"/>
                <w:lang w:val="fr-BE"/>
              </w:rPr>
              <w:t>Mężczyźni</w:t>
            </w:r>
          </w:p>
        </w:tc>
        <w:tc>
          <w:tcPr>
            <w:tcW w:w="0" w:type="auto"/>
          </w:tcPr>
          <w:p w14:paraId="1B22CF02" w14:textId="77777777" w:rsidR="008C5CFA" w:rsidRPr="00A92B39" w:rsidRDefault="00E82A60" w:rsidP="00300A01">
            <w:pPr>
              <w:spacing w:before="0" w:after="0"/>
              <w:jc w:val="center"/>
              <w:rPr>
                <w:b/>
                <w:sz w:val="10"/>
                <w:szCs w:val="10"/>
                <w:lang w:val="fr-BE"/>
              </w:rPr>
            </w:pPr>
            <w:r w:rsidRPr="00A92B39">
              <w:rPr>
                <w:b/>
                <w:noProof/>
                <w:sz w:val="10"/>
                <w:szCs w:val="10"/>
                <w:lang w:val="fr-BE"/>
              </w:rPr>
              <w:t>Kobiety</w:t>
            </w:r>
          </w:p>
        </w:tc>
        <w:tc>
          <w:tcPr>
            <w:tcW w:w="0" w:type="auto"/>
          </w:tcPr>
          <w:p w14:paraId="216C32AE" w14:textId="77777777" w:rsidR="008C5CFA" w:rsidRPr="00A92B39" w:rsidRDefault="00E82A60" w:rsidP="00300A01">
            <w:pPr>
              <w:spacing w:before="0" w:after="0"/>
              <w:jc w:val="center"/>
              <w:rPr>
                <w:b/>
                <w:sz w:val="10"/>
                <w:szCs w:val="10"/>
                <w:lang w:val="fr-BE"/>
              </w:rPr>
            </w:pPr>
            <w:r w:rsidRPr="00A92B39">
              <w:rPr>
                <w:b/>
                <w:noProof/>
                <w:sz w:val="10"/>
                <w:szCs w:val="10"/>
                <w:lang w:val="fr-BE"/>
              </w:rPr>
              <w:t>Ogółem</w:t>
            </w:r>
          </w:p>
        </w:tc>
        <w:tc>
          <w:tcPr>
            <w:tcW w:w="0" w:type="auto"/>
          </w:tcPr>
          <w:p w14:paraId="4EE10478" w14:textId="77777777" w:rsidR="008C5CFA" w:rsidRPr="00A92B39" w:rsidRDefault="00E82A60" w:rsidP="00300A01">
            <w:pPr>
              <w:spacing w:before="0" w:after="0"/>
              <w:jc w:val="center"/>
              <w:rPr>
                <w:b/>
                <w:sz w:val="10"/>
                <w:szCs w:val="10"/>
                <w:lang w:val="fr-BE"/>
              </w:rPr>
            </w:pPr>
            <w:r w:rsidRPr="00A92B39">
              <w:rPr>
                <w:b/>
                <w:noProof/>
                <w:sz w:val="10"/>
                <w:szCs w:val="10"/>
                <w:lang w:val="fr-BE"/>
              </w:rPr>
              <w:t>Mężczyźni</w:t>
            </w:r>
          </w:p>
        </w:tc>
        <w:tc>
          <w:tcPr>
            <w:tcW w:w="0" w:type="auto"/>
          </w:tcPr>
          <w:p w14:paraId="29753F78" w14:textId="77777777" w:rsidR="008C5CFA" w:rsidRPr="00A92B39" w:rsidRDefault="00E82A60" w:rsidP="00300A01">
            <w:pPr>
              <w:spacing w:before="0" w:after="0"/>
              <w:jc w:val="center"/>
              <w:rPr>
                <w:b/>
                <w:sz w:val="10"/>
                <w:szCs w:val="10"/>
                <w:lang w:val="fr-BE"/>
              </w:rPr>
            </w:pPr>
            <w:r w:rsidRPr="00A92B39">
              <w:rPr>
                <w:b/>
                <w:noProof/>
                <w:sz w:val="10"/>
                <w:szCs w:val="10"/>
                <w:lang w:val="fr-BE"/>
              </w:rPr>
              <w:t>Kobiety</w:t>
            </w:r>
          </w:p>
        </w:tc>
      </w:tr>
      <w:tr w:rsidR="006B2EC1" w14:paraId="6E0A5C4B" w14:textId="77777777" w:rsidTr="0047688D">
        <w:tc>
          <w:tcPr>
            <w:tcW w:w="0" w:type="auto"/>
            <w:shd w:val="clear" w:color="auto" w:fill="auto"/>
          </w:tcPr>
          <w:p w14:paraId="245E2492" w14:textId="77777777" w:rsidR="008C5CFA" w:rsidRPr="00A92B39" w:rsidRDefault="00E82A60" w:rsidP="00300A01">
            <w:pPr>
              <w:spacing w:before="0" w:after="0"/>
              <w:rPr>
                <w:sz w:val="10"/>
                <w:szCs w:val="10"/>
                <w:lang w:val="fr-BE"/>
              </w:rPr>
            </w:pPr>
            <w:r w:rsidRPr="00A92B39">
              <w:rPr>
                <w:noProof/>
                <w:sz w:val="10"/>
                <w:szCs w:val="10"/>
                <w:lang w:val="fr-BE"/>
              </w:rPr>
              <w:t>021</w:t>
            </w:r>
          </w:p>
        </w:tc>
        <w:tc>
          <w:tcPr>
            <w:tcW w:w="0" w:type="auto"/>
            <w:shd w:val="clear" w:color="auto" w:fill="auto"/>
          </w:tcPr>
          <w:p w14:paraId="4AADB7CD" w14:textId="77777777" w:rsidR="008C5CFA" w:rsidRPr="00A92B39" w:rsidRDefault="00E82A60" w:rsidP="00300A01">
            <w:pPr>
              <w:spacing w:before="0" w:after="0"/>
              <w:rPr>
                <w:sz w:val="10"/>
                <w:szCs w:val="10"/>
                <w:lang w:val="fr-BE"/>
              </w:rPr>
            </w:pPr>
            <w:r w:rsidRPr="00A92B39">
              <w:rPr>
                <w:noProof/>
                <w:sz w:val="10"/>
                <w:szCs w:val="10"/>
                <w:lang w:val="fr-BE"/>
              </w:rPr>
              <w:t>Liczba osób pracujących (łącznie z pracującymi na własny rachunek) w wieku 50 lat i więcej objętych wsparciem w programie</w:t>
            </w:r>
          </w:p>
        </w:tc>
        <w:tc>
          <w:tcPr>
            <w:tcW w:w="0" w:type="auto"/>
            <w:shd w:val="clear" w:color="auto" w:fill="auto"/>
          </w:tcPr>
          <w:p w14:paraId="0571073F" w14:textId="77777777" w:rsidR="008C5CFA" w:rsidRPr="00A92B39" w:rsidRDefault="00E82A60" w:rsidP="00300A01">
            <w:pPr>
              <w:spacing w:before="0" w:after="0"/>
              <w:rPr>
                <w:sz w:val="10"/>
                <w:szCs w:val="10"/>
                <w:lang w:val="fr-BE"/>
              </w:rPr>
            </w:pPr>
            <w:r w:rsidRPr="00A92B39">
              <w:rPr>
                <w:noProof/>
                <w:sz w:val="10"/>
                <w:szCs w:val="10"/>
                <w:lang w:val="fr-BE"/>
              </w:rPr>
              <w:t>Słabiej rozwinięte</w:t>
            </w:r>
          </w:p>
        </w:tc>
        <w:tc>
          <w:tcPr>
            <w:tcW w:w="0" w:type="auto"/>
            <w:shd w:val="clear" w:color="auto" w:fill="auto"/>
          </w:tcPr>
          <w:p w14:paraId="5C2FB235" w14:textId="77777777" w:rsidR="008C5CFA" w:rsidRPr="00A92B39" w:rsidRDefault="00E82A60" w:rsidP="00300A01">
            <w:pPr>
              <w:spacing w:before="0" w:after="0"/>
              <w:jc w:val="right"/>
              <w:rPr>
                <w:sz w:val="10"/>
                <w:szCs w:val="10"/>
                <w:lang w:val="fr-BE"/>
              </w:rPr>
            </w:pPr>
            <w:r w:rsidRPr="00A92B39">
              <w:rPr>
                <w:noProof/>
                <w:sz w:val="10"/>
                <w:szCs w:val="10"/>
                <w:lang w:val="fr-BE"/>
              </w:rPr>
              <w:t>215,00</w:t>
            </w:r>
          </w:p>
        </w:tc>
        <w:tc>
          <w:tcPr>
            <w:tcW w:w="0" w:type="auto"/>
            <w:shd w:val="clear" w:color="auto" w:fill="auto"/>
          </w:tcPr>
          <w:p w14:paraId="2CD48F8B"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14:paraId="71939DBC"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4717381F" w14:textId="77777777" w:rsidR="008C5CFA" w:rsidRPr="00A92B39" w:rsidRDefault="00E82A60" w:rsidP="00300A01">
            <w:pPr>
              <w:spacing w:before="0" w:after="0"/>
              <w:jc w:val="right"/>
              <w:rPr>
                <w:sz w:val="10"/>
                <w:szCs w:val="10"/>
                <w:lang w:val="fr-BE"/>
              </w:rPr>
            </w:pPr>
            <w:r w:rsidRPr="00A92B39">
              <w:rPr>
                <w:noProof/>
                <w:sz w:val="10"/>
                <w:szCs w:val="10"/>
                <w:lang w:val="fr-BE"/>
              </w:rPr>
              <w:t>16,00</w:t>
            </w:r>
          </w:p>
        </w:tc>
        <w:tc>
          <w:tcPr>
            <w:tcW w:w="0" w:type="auto"/>
          </w:tcPr>
          <w:p w14:paraId="60D0DCCB"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47B3484A"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43E911FA"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5F638E84"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095F50F9"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28B20CF7"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51A83586"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3D1A2EB2"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307E3469"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74AD8080"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3F279EF8"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r>
      <w:tr w:rsidR="006B2EC1" w14:paraId="1EC5CBFB" w14:textId="77777777" w:rsidTr="0047688D">
        <w:tc>
          <w:tcPr>
            <w:tcW w:w="0" w:type="auto"/>
            <w:shd w:val="clear" w:color="auto" w:fill="auto"/>
          </w:tcPr>
          <w:p w14:paraId="1E839F09" w14:textId="77777777" w:rsidR="008C5CFA" w:rsidRPr="00A92B39" w:rsidRDefault="00E82A60" w:rsidP="00300A01">
            <w:pPr>
              <w:spacing w:before="0" w:after="0"/>
              <w:rPr>
                <w:sz w:val="10"/>
                <w:szCs w:val="10"/>
                <w:lang w:val="fr-BE"/>
              </w:rPr>
            </w:pPr>
            <w:r w:rsidRPr="00A92B39">
              <w:rPr>
                <w:noProof/>
                <w:sz w:val="10"/>
                <w:szCs w:val="10"/>
                <w:lang w:val="fr-BE"/>
              </w:rPr>
              <w:t>022</w:t>
            </w:r>
          </w:p>
        </w:tc>
        <w:tc>
          <w:tcPr>
            <w:tcW w:w="0" w:type="auto"/>
            <w:shd w:val="clear" w:color="auto" w:fill="auto"/>
          </w:tcPr>
          <w:p w14:paraId="3A78E46D" w14:textId="77777777" w:rsidR="008C5CFA" w:rsidRPr="00A92B39" w:rsidRDefault="00E82A60" w:rsidP="00300A01">
            <w:pPr>
              <w:spacing w:before="0" w:after="0"/>
              <w:rPr>
                <w:sz w:val="10"/>
                <w:szCs w:val="10"/>
                <w:lang w:val="fr-BE"/>
              </w:rPr>
            </w:pPr>
            <w:r w:rsidRPr="00A92B39">
              <w:rPr>
                <w:noProof/>
                <w:sz w:val="10"/>
                <w:szCs w:val="10"/>
                <w:lang w:val="fr-BE"/>
              </w:rPr>
              <w:t>Liczba osób pracujących o niskich kwalifikacjach objętych wsparciem w programie</w:t>
            </w:r>
          </w:p>
        </w:tc>
        <w:tc>
          <w:tcPr>
            <w:tcW w:w="0" w:type="auto"/>
            <w:shd w:val="clear" w:color="auto" w:fill="auto"/>
          </w:tcPr>
          <w:p w14:paraId="4AE0005D" w14:textId="77777777" w:rsidR="008C5CFA" w:rsidRPr="00A92B39" w:rsidRDefault="00E82A60" w:rsidP="00300A01">
            <w:pPr>
              <w:spacing w:before="0" w:after="0"/>
              <w:rPr>
                <w:sz w:val="10"/>
                <w:szCs w:val="10"/>
                <w:lang w:val="fr-BE"/>
              </w:rPr>
            </w:pPr>
            <w:r w:rsidRPr="00A92B39">
              <w:rPr>
                <w:noProof/>
                <w:sz w:val="10"/>
                <w:szCs w:val="10"/>
                <w:lang w:val="fr-BE"/>
              </w:rPr>
              <w:t>Słabiej rozwinięte</w:t>
            </w:r>
          </w:p>
        </w:tc>
        <w:tc>
          <w:tcPr>
            <w:tcW w:w="0" w:type="auto"/>
            <w:shd w:val="clear" w:color="auto" w:fill="auto"/>
          </w:tcPr>
          <w:p w14:paraId="0E7AD6AA" w14:textId="77777777" w:rsidR="008C5CFA" w:rsidRPr="00A92B39" w:rsidRDefault="00E82A60" w:rsidP="00300A01">
            <w:pPr>
              <w:spacing w:before="0" w:after="0"/>
              <w:jc w:val="right"/>
              <w:rPr>
                <w:sz w:val="10"/>
                <w:szCs w:val="10"/>
                <w:lang w:val="fr-BE"/>
              </w:rPr>
            </w:pPr>
            <w:r w:rsidRPr="00A92B39">
              <w:rPr>
                <w:noProof/>
                <w:sz w:val="10"/>
                <w:szCs w:val="10"/>
                <w:lang w:val="fr-BE"/>
              </w:rPr>
              <w:t>452,00</w:t>
            </w:r>
          </w:p>
        </w:tc>
        <w:tc>
          <w:tcPr>
            <w:tcW w:w="0" w:type="auto"/>
            <w:shd w:val="clear" w:color="auto" w:fill="auto"/>
          </w:tcPr>
          <w:p w14:paraId="1989FA4C"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14:paraId="5D53F479"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78D6AF01" w14:textId="77777777" w:rsidR="008C5CFA" w:rsidRPr="00A92B39" w:rsidRDefault="00E82A60" w:rsidP="00300A01">
            <w:pPr>
              <w:spacing w:before="0" w:after="0"/>
              <w:jc w:val="right"/>
              <w:rPr>
                <w:sz w:val="10"/>
                <w:szCs w:val="10"/>
                <w:lang w:val="fr-BE"/>
              </w:rPr>
            </w:pPr>
            <w:r w:rsidRPr="00A92B39">
              <w:rPr>
                <w:noProof/>
                <w:sz w:val="10"/>
                <w:szCs w:val="10"/>
                <w:lang w:val="fr-BE"/>
              </w:rPr>
              <w:t>28,00</w:t>
            </w:r>
          </w:p>
        </w:tc>
        <w:tc>
          <w:tcPr>
            <w:tcW w:w="0" w:type="auto"/>
          </w:tcPr>
          <w:p w14:paraId="5F04AC87"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515B97ED"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41E0339E"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51290A0A"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2E731313"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0FAF99E5"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5EAF9F6F"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12845CD7"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7AEA4CB7"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098DF38F"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25C557CB"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r>
      <w:tr w:rsidR="006B2EC1" w14:paraId="3F98D90D" w14:textId="77777777" w:rsidTr="0047688D">
        <w:tc>
          <w:tcPr>
            <w:tcW w:w="0" w:type="auto"/>
            <w:shd w:val="clear" w:color="auto" w:fill="auto"/>
          </w:tcPr>
          <w:p w14:paraId="252F2FBB" w14:textId="77777777" w:rsidR="008C5CFA" w:rsidRPr="00A92B39" w:rsidRDefault="00E82A60" w:rsidP="00300A01">
            <w:pPr>
              <w:spacing w:before="0" w:after="0"/>
              <w:rPr>
                <w:sz w:val="10"/>
                <w:szCs w:val="10"/>
                <w:lang w:val="fr-BE"/>
              </w:rPr>
            </w:pPr>
            <w:r w:rsidRPr="00A92B39">
              <w:rPr>
                <w:noProof/>
                <w:sz w:val="10"/>
                <w:szCs w:val="10"/>
                <w:lang w:val="fr-BE"/>
              </w:rPr>
              <w:t>123</w:t>
            </w:r>
          </w:p>
        </w:tc>
        <w:tc>
          <w:tcPr>
            <w:tcW w:w="0" w:type="auto"/>
            <w:shd w:val="clear" w:color="auto" w:fill="auto"/>
          </w:tcPr>
          <w:p w14:paraId="1E46E0B8" w14:textId="77777777" w:rsidR="008C5CFA" w:rsidRPr="00A92B39" w:rsidRDefault="00E82A60" w:rsidP="00300A01">
            <w:pPr>
              <w:spacing w:before="0" w:after="0"/>
              <w:rPr>
                <w:sz w:val="10"/>
                <w:szCs w:val="10"/>
                <w:lang w:val="fr-BE"/>
              </w:rPr>
            </w:pPr>
            <w:r w:rsidRPr="00A92B39">
              <w:rPr>
                <w:noProof/>
                <w:sz w:val="10"/>
                <w:szCs w:val="10"/>
                <w:lang w:val="fr-BE"/>
              </w:rPr>
              <w:t>Liczba mikroprzedsiębiorstw oraz małych i średnich przedsiębiorstw objętych usługami rozwojowymi w programie</w:t>
            </w:r>
          </w:p>
        </w:tc>
        <w:tc>
          <w:tcPr>
            <w:tcW w:w="0" w:type="auto"/>
            <w:shd w:val="clear" w:color="auto" w:fill="auto"/>
          </w:tcPr>
          <w:p w14:paraId="2027A6C5" w14:textId="77777777" w:rsidR="008C5CFA" w:rsidRPr="00A92B39" w:rsidRDefault="00E82A60" w:rsidP="00300A01">
            <w:pPr>
              <w:spacing w:before="0" w:after="0"/>
              <w:rPr>
                <w:sz w:val="10"/>
                <w:szCs w:val="10"/>
                <w:lang w:val="fr-BE"/>
              </w:rPr>
            </w:pPr>
            <w:r w:rsidRPr="00A92B39">
              <w:rPr>
                <w:noProof/>
                <w:sz w:val="10"/>
                <w:szCs w:val="10"/>
                <w:lang w:val="fr-BE"/>
              </w:rPr>
              <w:t>Słabiej rozwinięte</w:t>
            </w:r>
          </w:p>
        </w:tc>
        <w:tc>
          <w:tcPr>
            <w:tcW w:w="0" w:type="auto"/>
            <w:shd w:val="clear" w:color="auto" w:fill="auto"/>
          </w:tcPr>
          <w:p w14:paraId="2C35A8B0" w14:textId="77777777" w:rsidR="008C5CFA" w:rsidRPr="00A92B39" w:rsidRDefault="00E82A60" w:rsidP="00300A01">
            <w:pPr>
              <w:spacing w:before="0" w:after="0"/>
              <w:jc w:val="right"/>
              <w:rPr>
                <w:sz w:val="10"/>
                <w:szCs w:val="10"/>
                <w:lang w:val="fr-BE"/>
              </w:rPr>
            </w:pPr>
            <w:r w:rsidRPr="00A92B39">
              <w:rPr>
                <w:noProof/>
                <w:sz w:val="10"/>
                <w:szCs w:val="10"/>
                <w:lang w:val="fr-BE"/>
              </w:rPr>
              <w:t>669,00</w:t>
            </w:r>
          </w:p>
        </w:tc>
        <w:tc>
          <w:tcPr>
            <w:tcW w:w="0" w:type="auto"/>
            <w:shd w:val="clear" w:color="auto" w:fill="auto"/>
          </w:tcPr>
          <w:p w14:paraId="2195289A"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14:paraId="72436C6A"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1FA321DC" w14:textId="77777777" w:rsidR="008C5CFA" w:rsidRPr="00A92B39" w:rsidRDefault="00E82A60" w:rsidP="00300A01">
            <w:pPr>
              <w:spacing w:before="0" w:after="0"/>
              <w:jc w:val="right"/>
              <w:rPr>
                <w:sz w:val="10"/>
                <w:szCs w:val="10"/>
                <w:lang w:val="fr-BE"/>
              </w:rPr>
            </w:pPr>
            <w:r w:rsidRPr="00A92B39">
              <w:rPr>
                <w:noProof/>
                <w:sz w:val="10"/>
                <w:szCs w:val="10"/>
                <w:lang w:val="fr-BE"/>
              </w:rPr>
              <w:t>86,00</w:t>
            </w:r>
          </w:p>
        </w:tc>
        <w:tc>
          <w:tcPr>
            <w:tcW w:w="0" w:type="auto"/>
          </w:tcPr>
          <w:p w14:paraId="5056B86E"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29EE470D"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35289790"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714B40FB"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6F08DCEF"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4210B17D"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1575DB35"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65674F14"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47518F67"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1EF733CB"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0C8AB044"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r>
    </w:tbl>
    <w:p w14:paraId="65CB91FA" w14:textId="77777777" w:rsidR="008C5CFA" w:rsidRDefault="008C5CFA" w:rsidP="00300A01">
      <w:pPr>
        <w:spacing w:before="0" w:after="0"/>
        <w:rPr>
          <w:lang w:val="fr-BE"/>
        </w:rPr>
      </w:pPr>
    </w:p>
    <w:p w14:paraId="4DABFDE2" w14:textId="77777777" w:rsidR="008C5CFA" w:rsidRDefault="00E82A60" w:rsidP="00300A01">
      <w:pPr>
        <w:spacing w:before="0" w:after="0"/>
        <w:rPr>
          <w:lang w:val="fr-BE"/>
        </w:rPr>
      </w:pPr>
      <w:r>
        <w:rPr>
          <w:lang w:val="fr-BE"/>
        </w:rPr>
        <w:br w:type="page"/>
      </w:r>
    </w:p>
    <w:p w14:paraId="5A37ADAD" w14:textId="77777777" w:rsidR="008C5CFA" w:rsidRPr="00B27C43" w:rsidRDefault="008C5CFA" w:rsidP="00300A01">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6"/>
        <w:gridCol w:w="13328"/>
      </w:tblGrid>
      <w:tr w:rsidR="006B2EC1" w14:paraId="324FEAC7" w14:textId="77777777" w:rsidTr="0047688D">
        <w:tc>
          <w:tcPr>
            <w:tcW w:w="0" w:type="auto"/>
            <w:shd w:val="clear" w:color="auto" w:fill="auto"/>
          </w:tcPr>
          <w:p w14:paraId="250EB93D" w14:textId="77777777" w:rsidR="008C5CFA" w:rsidRPr="002124FC" w:rsidRDefault="00E82A60" w:rsidP="00300A01">
            <w:pPr>
              <w:spacing w:before="0" w:after="0"/>
              <w:rPr>
                <w:sz w:val="20"/>
                <w:szCs w:val="20"/>
                <w:lang w:val="fr-BE"/>
              </w:rPr>
            </w:pPr>
            <w:r>
              <w:rPr>
                <w:lang w:val="fr-BE"/>
              </w:rPr>
              <w:br w:type="page"/>
            </w:r>
            <w:r>
              <w:rPr>
                <w:lang w:val="fr-BE"/>
              </w:rPr>
              <w:br w:type="page"/>
            </w:r>
            <w:r w:rsidRPr="002124FC">
              <w:rPr>
                <w:noProof/>
                <w:sz w:val="20"/>
                <w:szCs w:val="20"/>
                <w:lang w:val="fr-BE"/>
              </w:rPr>
              <w:t>Oś priorytetowa</w:t>
            </w:r>
          </w:p>
        </w:tc>
        <w:tc>
          <w:tcPr>
            <w:tcW w:w="0" w:type="auto"/>
            <w:shd w:val="clear" w:color="auto" w:fill="auto"/>
          </w:tcPr>
          <w:p w14:paraId="40E52882" w14:textId="77777777" w:rsidR="008C5CFA" w:rsidRPr="002124FC" w:rsidRDefault="00E82A60" w:rsidP="00300A01">
            <w:pPr>
              <w:spacing w:before="0" w:after="0"/>
              <w:rPr>
                <w:sz w:val="20"/>
                <w:szCs w:val="20"/>
                <w:lang w:val="fr-BE"/>
              </w:rPr>
            </w:pPr>
            <w:r w:rsidRPr="002124FC">
              <w:rPr>
                <w:noProof/>
                <w:sz w:val="20"/>
                <w:szCs w:val="20"/>
                <w:lang w:val="fr-BE"/>
              </w:rPr>
              <w:t>2</w:t>
            </w:r>
            <w:r w:rsidRPr="002124FC">
              <w:rPr>
                <w:sz w:val="20"/>
                <w:szCs w:val="20"/>
                <w:lang w:val="fr-BE"/>
              </w:rPr>
              <w:t xml:space="preserve"> - </w:t>
            </w:r>
            <w:r w:rsidRPr="002124FC">
              <w:rPr>
                <w:noProof/>
                <w:sz w:val="20"/>
                <w:szCs w:val="20"/>
                <w:lang w:val="fr-BE"/>
              </w:rPr>
              <w:t>Konkurencyjna gospodarka</w:t>
            </w:r>
          </w:p>
        </w:tc>
      </w:tr>
      <w:tr w:rsidR="006B2EC1" w14:paraId="13022A0B" w14:textId="77777777" w:rsidTr="0047688D">
        <w:tc>
          <w:tcPr>
            <w:tcW w:w="0" w:type="auto"/>
            <w:shd w:val="clear" w:color="auto" w:fill="auto"/>
          </w:tcPr>
          <w:p w14:paraId="3EEEAF2E" w14:textId="77777777" w:rsidR="008C5CFA" w:rsidRPr="002124FC" w:rsidRDefault="00E82A60"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14:paraId="65C35E36" w14:textId="77777777" w:rsidR="008C5CFA" w:rsidRPr="002124FC" w:rsidRDefault="00E82A60" w:rsidP="00300A01">
            <w:pPr>
              <w:spacing w:before="0" w:after="0"/>
              <w:rPr>
                <w:sz w:val="20"/>
                <w:szCs w:val="20"/>
                <w:lang w:val="fr-BE"/>
              </w:rPr>
            </w:pPr>
            <w:r w:rsidRPr="002124FC">
              <w:rPr>
                <w:noProof/>
                <w:sz w:val="20"/>
                <w:szCs w:val="20"/>
                <w:lang w:val="fr-BE"/>
              </w:rPr>
              <w:t>3a</w:t>
            </w:r>
            <w:r w:rsidRPr="002124FC">
              <w:rPr>
                <w:sz w:val="20"/>
                <w:szCs w:val="20"/>
                <w:lang w:val="fr-BE"/>
              </w:rPr>
              <w:t xml:space="preserve"> - </w:t>
            </w:r>
            <w:r w:rsidRPr="002124FC">
              <w:rPr>
                <w:noProof/>
                <w:sz w:val="20"/>
                <w:szCs w:val="20"/>
                <w:lang w:val="fr-BE"/>
              </w:rPr>
              <w:t>Promowanie przedsiębiorczości, w szczególności poprzez ułatwianie gospodarczego wykorzystywania nowych pomysłów oraz sprzyjanie tworzeniu nowych firm, w tym również przez inkubatory przedsiębiorczości</w:t>
            </w:r>
          </w:p>
        </w:tc>
      </w:tr>
    </w:tbl>
    <w:p w14:paraId="5513951A" w14:textId="77777777" w:rsidR="008C5CFA" w:rsidRDefault="008C5CFA" w:rsidP="00300A01">
      <w:pPr>
        <w:spacing w:before="0" w:after="0"/>
        <w:rPr>
          <w:lang w:val="fr-BE"/>
        </w:rPr>
      </w:pPr>
    </w:p>
    <w:p w14:paraId="6B4BED9F" w14:textId="77777777" w:rsidR="008C5CFA" w:rsidRDefault="00E82A60" w:rsidP="00300A01">
      <w:pPr>
        <w:pStyle w:val="Nagwek2"/>
        <w:spacing w:before="0" w:after="0"/>
        <w:rPr>
          <w:lang w:val="fr-BE"/>
        </w:rPr>
      </w:pPr>
      <w:bookmarkStart w:id="23" w:name="_Toc46391707"/>
      <w:r>
        <w:rPr>
          <w:noProof/>
          <w:lang w:val="fr-BE"/>
        </w:rPr>
        <w:t>Tabela 3A</w:t>
      </w:r>
      <w:r>
        <w:rPr>
          <w:lang w:val="fr-BE"/>
        </w:rPr>
        <w:t xml:space="preserve">: </w:t>
      </w:r>
      <w:r>
        <w:rPr>
          <w:noProof/>
          <w:lang w:val="fr-BE"/>
        </w:rPr>
        <w:t>Wspólne i specyficzne dla danego programu wskaźniki produktu dla EFRR i Funduszu Spójności (wg osi priorytetowej, priorytetu inwestycyjnego, w podziale na kategorię regionu dla celów EFRR)</w:t>
      </w:r>
      <w:r w:rsidR="009C5874">
        <w:rPr>
          <w:lang w:val="fr-BE"/>
        </w:rPr>
        <w:t xml:space="preserve"> - </w:t>
      </w:r>
      <w:r w:rsidR="00F022AC" w:rsidRPr="002124FC">
        <w:rPr>
          <w:noProof/>
          <w:sz w:val="20"/>
          <w:szCs w:val="20"/>
          <w:lang w:val="fr-BE"/>
        </w:rPr>
        <w:t>2</w:t>
      </w:r>
      <w:r w:rsidR="00F022AC">
        <w:rPr>
          <w:sz w:val="20"/>
          <w:szCs w:val="20"/>
          <w:lang w:val="fr-BE"/>
        </w:rPr>
        <w:t xml:space="preserve"> / </w:t>
      </w:r>
      <w:r w:rsidR="00F022AC" w:rsidRPr="002124FC">
        <w:rPr>
          <w:noProof/>
          <w:sz w:val="20"/>
          <w:szCs w:val="20"/>
          <w:lang w:val="fr-BE"/>
        </w:rPr>
        <w:t>3a</w:t>
      </w:r>
      <w:bookmarkEnd w:id="23"/>
    </w:p>
    <w:p w14:paraId="5AE7CB2C"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01"/>
        <w:gridCol w:w="497"/>
        <w:gridCol w:w="1812"/>
        <w:gridCol w:w="1214"/>
        <w:gridCol w:w="873"/>
        <w:gridCol w:w="957"/>
        <w:gridCol w:w="1045"/>
        <w:gridCol w:w="959"/>
        <w:gridCol w:w="695"/>
        <w:gridCol w:w="881"/>
        <w:gridCol w:w="704"/>
        <w:gridCol w:w="5246"/>
      </w:tblGrid>
      <w:tr w:rsidR="006B2EC1" w14:paraId="1B5DF74F" w14:textId="77777777" w:rsidTr="0047688D">
        <w:trPr>
          <w:tblHeader/>
        </w:trPr>
        <w:tc>
          <w:tcPr>
            <w:tcW w:w="0" w:type="auto"/>
          </w:tcPr>
          <w:p w14:paraId="096A2BBB" w14:textId="77777777" w:rsidR="008C5CFA" w:rsidRPr="009143B4" w:rsidRDefault="00E82A60" w:rsidP="00300A01">
            <w:pPr>
              <w:spacing w:before="0" w:after="0"/>
              <w:rPr>
                <w:b/>
                <w:sz w:val="16"/>
                <w:szCs w:val="16"/>
                <w:lang w:val="fr-BE"/>
              </w:rPr>
            </w:pPr>
            <w:r w:rsidRPr="009143B4">
              <w:rPr>
                <w:b/>
                <w:sz w:val="16"/>
                <w:szCs w:val="16"/>
                <w:lang w:val="fr-BE"/>
              </w:rPr>
              <w:t>(1)</w:t>
            </w:r>
          </w:p>
        </w:tc>
        <w:tc>
          <w:tcPr>
            <w:tcW w:w="0" w:type="auto"/>
            <w:shd w:val="clear" w:color="auto" w:fill="auto"/>
          </w:tcPr>
          <w:p w14:paraId="491C691E" w14:textId="77777777" w:rsidR="008C5CFA" w:rsidRPr="009143B4" w:rsidRDefault="00E82A60" w:rsidP="00300A01">
            <w:pPr>
              <w:spacing w:before="0" w:after="0"/>
              <w:rPr>
                <w:b/>
                <w:sz w:val="16"/>
                <w:szCs w:val="16"/>
                <w:lang w:val="fr-BE"/>
              </w:rPr>
            </w:pPr>
            <w:r w:rsidRPr="009143B4">
              <w:rPr>
                <w:b/>
                <w:noProof/>
                <w:sz w:val="16"/>
                <w:szCs w:val="16"/>
                <w:lang w:val="fr-BE"/>
              </w:rPr>
              <w:t>ID</w:t>
            </w:r>
          </w:p>
        </w:tc>
        <w:tc>
          <w:tcPr>
            <w:tcW w:w="0" w:type="auto"/>
            <w:shd w:val="clear" w:color="auto" w:fill="auto"/>
          </w:tcPr>
          <w:p w14:paraId="61F988FA" w14:textId="77777777" w:rsidR="008C5CFA" w:rsidRPr="009143B4" w:rsidRDefault="00E82A60" w:rsidP="00300A01">
            <w:pPr>
              <w:spacing w:before="0" w:after="0"/>
              <w:rPr>
                <w:b/>
                <w:sz w:val="16"/>
                <w:szCs w:val="16"/>
                <w:lang w:val="fr-BE"/>
              </w:rPr>
            </w:pPr>
            <w:r w:rsidRPr="009143B4">
              <w:rPr>
                <w:b/>
                <w:noProof/>
                <w:sz w:val="16"/>
                <w:szCs w:val="16"/>
                <w:lang w:val="fr-BE"/>
              </w:rPr>
              <w:t>Wskaźnik</w:t>
            </w:r>
          </w:p>
        </w:tc>
        <w:tc>
          <w:tcPr>
            <w:tcW w:w="0" w:type="auto"/>
            <w:shd w:val="clear" w:color="auto" w:fill="auto"/>
          </w:tcPr>
          <w:p w14:paraId="3D08B9EF" w14:textId="77777777" w:rsidR="008C5CFA" w:rsidRPr="009143B4" w:rsidRDefault="00E82A60" w:rsidP="00300A01">
            <w:pPr>
              <w:spacing w:before="0" w:after="0"/>
              <w:rPr>
                <w:b/>
                <w:sz w:val="16"/>
                <w:szCs w:val="16"/>
                <w:lang w:val="fr-BE"/>
              </w:rPr>
            </w:pPr>
            <w:r w:rsidRPr="009143B4">
              <w:rPr>
                <w:b/>
                <w:noProof/>
                <w:sz w:val="16"/>
                <w:szCs w:val="16"/>
                <w:lang w:val="fr-BE"/>
              </w:rPr>
              <w:t>Jednostka miary</w:t>
            </w:r>
          </w:p>
        </w:tc>
        <w:tc>
          <w:tcPr>
            <w:tcW w:w="0" w:type="auto"/>
            <w:shd w:val="clear" w:color="auto" w:fill="auto"/>
          </w:tcPr>
          <w:p w14:paraId="12D1DADF" w14:textId="77777777" w:rsidR="008C5CFA" w:rsidRPr="009143B4" w:rsidRDefault="00E82A60" w:rsidP="00300A01">
            <w:pPr>
              <w:spacing w:before="0" w:after="0"/>
              <w:rPr>
                <w:b/>
                <w:sz w:val="16"/>
                <w:szCs w:val="16"/>
                <w:lang w:val="fr-BE"/>
              </w:rPr>
            </w:pPr>
            <w:r w:rsidRPr="009143B4">
              <w:rPr>
                <w:b/>
                <w:noProof/>
                <w:sz w:val="16"/>
                <w:szCs w:val="16"/>
                <w:lang w:val="fr-BE"/>
              </w:rPr>
              <w:t>Kategoria regionu</w:t>
            </w:r>
          </w:p>
        </w:tc>
        <w:tc>
          <w:tcPr>
            <w:tcW w:w="0" w:type="auto"/>
            <w:shd w:val="clear" w:color="auto" w:fill="auto"/>
          </w:tcPr>
          <w:p w14:paraId="17C656B6" w14:textId="77777777" w:rsidR="008C5CFA" w:rsidRPr="009143B4" w:rsidRDefault="00E82A60" w:rsidP="00300A01">
            <w:pPr>
              <w:spacing w:before="0" w:after="0"/>
              <w:jc w:val="center"/>
              <w:rPr>
                <w:b/>
                <w:sz w:val="16"/>
                <w:szCs w:val="16"/>
                <w:lang w:val="fr-BE"/>
              </w:rPr>
            </w:pPr>
            <w:r w:rsidRPr="009143B4">
              <w:rPr>
                <w:b/>
                <w:noProof/>
                <w:sz w:val="16"/>
                <w:szCs w:val="16"/>
                <w:lang w:val="fr-BE"/>
              </w:rPr>
              <w:t>Wartość docelowa (2023) ogółem</w:t>
            </w:r>
          </w:p>
        </w:tc>
        <w:tc>
          <w:tcPr>
            <w:tcW w:w="0" w:type="auto"/>
            <w:shd w:val="clear" w:color="auto" w:fill="auto"/>
          </w:tcPr>
          <w:p w14:paraId="2EF93259" w14:textId="77777777" w:rsidR="008C5CFA" w:rsidRPr="009143B4" w:rsidRDefault="00E82A60" w:rsidP="00300A01">
            <w:pPr>
              <w:spacing w:before="0" w:after="0"/>
              <w:jc w:val="center"/>
              <w:rPr>
                <w:b/>
                <w:sz w:val="16"/>
                <w:szCs w:val="16"/>
                <w:lang w:val="fr-BE"/>
              </w:rPr>
            </w:pPr>
            <w:r w:rsidRPr="009143B4">
              <w:rPr>
                <w:b/>
                <w:noProof/>
                <w:sz w:val="16"/>
                <w:szCs w:val="16"/>
                <w:lang w:val="fr-BE"/>
              </w:rPr>
              <w:t>Wartość docelowa (2023) mężczyźni</w:t>
            </w:r>
          </w:p>
        </w:tc>
        <w:tc>
          <w:tcPr>
            <w:tcW w:w="0" w:type="auto"/>
          </w:tcPr>
          <w:p w14:paraId="290D5CF2" w14:textId="77777777" w:rsidR="008C5CFA" w:rsidRPr="009143B4" w:rsidRDefault="00E82A60" w:rsidP="00300A01">
            <w:pPr>
              <w:spacing w:before="0" w:after="0"/>
              <w:jc w:val="center"/>
              <w:rPr>
                <w:b/>
                <w:sz w:val="16"/>
                <w:szCs w:val="16"/>
                <w:lang w:val="fr-BE"/>
              </w:rPr>
            </w:pPr>
            <w:r w:rsidRPr="009143B4">
              <w:rPr>
                <w:b/>
                <w:noProof/>
                <w:sz w:val="16"/>
                <w:szCs w:val="16"/>
                <w:lang w:val="fr-BE"/>
              </w:rPr>
              <w:t>Wartość docelowa (2023) kobiety</w:t>
            </w:r>
          </w:p>
        </w:tc>
        <w:tc>
          <w:tcPr>
            <w:tcW w:w="0" w:type="auto"/>
            <w:shd w:val="clear" w:color="auto" w:fill="auto"/>
          </w:tcPr>
          <w:p w14:paraId="00B376E0" w14:textId="77777777" w:rsidR="008C5CFA" w:rsidRPr="009143B4" w:rsidRDefault="00E82A60" w:rsidP="00300A01">
            <w:pPr>
              <w:spacing w:before="0" w:after="0"/>
              <w:jc w:val="center"/>
              <w:rPr>
                <w:b/>
                <w:sz w:val="16"/>
                <w:szCs w:val="16"/>
                <w:lang w:val="fr-BE"/>
              </w:rPr>
            </w:pPr>
            <w:r>
              <w:rPr>
                <w:b/>
                <w:sz w:val="16"/>
                <w:szCs w:val="16"/>
                <w:lang w:val="fr-BE"/>
              </w:rPr>
              <w:t xml:space="preserve">2019 </w:t>
            </w:r>
            <w:r w:rsidRPr="009143B4">
              <w:rPr>
                <w:b/>
                <w:noProof/>
                <w:sz w:val="16"/>
                <w:szCs w:val="16"/>
                <w:lang w:val="fr-BE"/>
              </w:rPr>
              <w:t>Ogółem</w:t>
            </w:r>
          </w:p>
        </w:tc>
        <w:tc>
          <w:tcPr>
            <w:tcW w:w="0" w:type="auto"/>
            <w:shd w:val="clear" w:color="auto" w:fill="auto"/>
          </w:tcPr>
          <w:p w14:paraId="7FE4235F" w14:textId="77777777" w:rsidR="008C5CFA" w:rsidRPr="009143B4" w:rsidRDefault="00E82A60" w:rsidP="00300A01">
            <w:pPr>
              <w:spacing w:before="0" w:after="0"/>
              <w:jc w:val="center"/>
              <w:rPr>
                <w:b/>
                <w:sz w:val="16"/>
                <w:szCs w:val="16"/>
                <w:lang w:val="fr-BE"/>
              </w:rPr>
            </w:pPr>
            <w:r>
              <w:rPr>
                <w:b/>
                <w:sz w:val="16"/>
                <w:szCs w:val="16"/>
                <w:lang w:val="fr-BE"/>
              </w:rPr>
              <w:t xml:space="preserve">2019 </w:t>
            </w:r>
            <w:r w:rsidRPr="009143B4">
              <w:rPr>
                <w:b/>
                <w:noProof/>
                <w:sz w:val="16"/>
                <w:szCs w:val="16"/>
                <w:lang w:val="fr-BE"/>
              </w:rPr>
              <w:t>Mężczyźni</w:t>
            </w:r>
          </w:p>
        </w:tc>
        <w:tc>
          <w:tcPr>
            <w:tcW w:w="0" w:type="auto"/>
            <w:shd w:val="clear" w:color="auto" w:fill="auto"/>
          </w:tcPr>
          <w:p w14:paraId="6E2DF5F6" w14:textId="77777777" w:rsidR="008C5CFA" w:rsidRPr="009143B4" w:rsidRDefault="00E82A60" w:rsidP="00300A01">
            <w:pPr>
              <w:spacing w:before="0" w:after="0"/>
              <w:jc w:val="center"/>
              <w:rPr>
                <w:b/>
                <w:sz w:val="16"/>
                <w:szCs w:val="16"/>
                <w:lang w:val="fr-BE"/>
              </w:rPr>
            </w:pPr>
            <w:r>
              <w:rPr>
                <w:b/>
                <w:sz w:val="16"/>
                <w:szCs w:val="16"/>
                <w:lang w:val="fr-BE"/>
              </w:rPr>
              <w:t xml:space="preserve">2019 </w:t>
            </w:r>
            <w:r w:rsidRPr="009143B4">
              <w:rPr>
                <w:b/>
                <w:noProof/>
                <w:sz w:val="16"/>
                <w:szCs w:val="16"/>
                <w:lang w:val="fr-BE"/>
              </w:rPr>
              <w:t>Kobiety</w:t>
            </w:r>
          </w:p>
        </w:tc>
        <w:tc>
          <w:tcPr>
            <w:tcW w:w="0" w:type="auto"/>
            <w:shd w:val="clear" w:color="auto" w:fill="auto"/>
          </w:tcPr>
          <w:p w14:paraId="7441CCE2" w14:textId="77777777" w:rsidR="008C5CFA" w:rsidRPr="009143B4" w:rsidRDefault="00E82A60" w:rsidP="00300A01">
            <w:pPr>
              <w:spacing w:before="0" w:after="0"/>
              <w:jc w:val="center"/>
              <w:rPr>
                <w:b/>
                <w:sz w:val="16"/>
                <w:szCs w:val="16"/>
                <w:lang w:val="fr-BE"/>
              </w:rPr>
            </w:pPr>
            <w:r w:rsidRPr="009143B4">
              <w:rPr>
                <w:b/>
                <w:noProof/>
                <w:sz w:val="16"/>
                <w:szCs w:val="16"/>
                <w:lang w:val="fr-BE"/>
              </w:rPr>
              <w:t>Uwagi</w:t>
            </w:r>
          </w:p>
        </w:tc>
      </w:tr>
      <w:tr w:rsidR="006B2EC1" w14:paraId="5E444EAA" w14:textId="77777777" w:rsidTr="0047688D">
        <w:tc>
          <w:tcPr>
            <w:tcW w:w="0" w:type="auto"/>
          </w:tcPr>
          <w:p w14:paraId="7EE55941" w14:textId="77777777" w:rsidR="008C5CFA" w:rsidRPr="0024468B" w:rsidRDefault="00E82A60" w:rsidP="00300A01">
            <w:pPr>
              <w:spacing w:before="0" w:after="0"/>
              <w:rPr>
                <w:sz w:val="16"/>
                <w:szCs w:val="16"/>
                <w:lang w:val="fr-BE"/>
              </w:rPr>
            </w:pPr>
            <w:r>
              <w:rPr>
                <w:noProof/>
                <w:sz w:val="16"/>
                <w:szCs w:val="16"/>
                <w:lang w:val="fr-BE"/>
              </w:rPr>
              <w:t>F</w:t>
            </w:r>
          </w:p>
        </w:tc>
        <w:tc>
          <w:tcPr>
            <w:tcW w:w="0" w:type="auto"/>
            <w:shd w:val="clear" w:color="auto" w:fill="auto"/>
          </w:tcPr>
          <w:p w14:paraId="3F9DFE5C" w14:textId="77777777" w:rsidR="008C5CFA" w:rsidRPr="0024468B" w:rsidRDefault="00E82A60" w:rsidP="00300A01">
            <w:pPr>
              <w:spacing w:before="0" w:after="0"/>
              <w:rPr>
                <w:sz w:val="16"/>
                <w:szCs w:val="16"/>
                <w:lang w:val="fr-BE"/>
              </w:rPr>
            </w:pPr>
            <w:r w:rsidRPr="0024468B">
              <w:rPr>
                <w:noProof/>
                <w:sz w:val="16"/>
                <w:szCs w:val="16"/>
                <w:lang w:val="fr-BE"/>
              </w:rPr>
              <w:t>CO01</w:t>
            </w:r>
          </w:p>
        </w:tc>
        <w:tc>
          <w:tcPr>
            <w:tcW w:w="0" w:type="auto"/>
            <w:shd w:val="clear" w:color="auto" w:fill="auto"/>
          </w:tcPr>
          <w:p w14:paraId="2B33F10E" w14:textId="77777777" w:rsidR="008C5CFA" w:rsidRPr="0024468B" w:rsidRDefault="00E82A60" w:rsidP="00300A01">
            <w:pPr>
              <w:spacing w:before="0" w:after="0"/>
              <w:rPr>
                <w:sz w:val="16"/>
                <w:szCs w:val="16"/>
                <w:lang w:val="fr-BE"/>
              </w:rPr>
            </w:pPr>
            <w:r w:rsidRPr="0024468B">
              <w:rPr>
                <w:noProof/>
                <w:sz w:val="16"/>
                <w:szCs w:val="16"/>
                <w:lang w:val="fr-BE"/>
              </w:rPr>
              <w:t>Inwestycje produkcyjne: liczba przedsiębiorstw otrzymujących wsparcie</w:t>
            </w:r>
          </w:p>
        </w:tc>
        <w:tc>
          <w:tcPr>
            <w:tcW w:w="0" w:type="auto"/>
            <w:shd w:val="clear" w:color="auto" w:fill="auto"/>
          </w:tcPr>
          <w:p w14:paraId="02B37391" w14:textId="77777777" w:rsidR="008C5CFA" w:rsidRPr="0024468B" w:rsidRDefault="00E82A60" w:rsidP="00300A01">
            <w:pPr>
              <w:spacing w:before="0" w:after="0"/>
              <w:rPr>
                <w:sz w:val="16"/>
                <w:szCs w:val="16"/>
                <w:lang w:val="fr-BE"/>
              </w:rPr>
            </w:pPr>
            <w:r>
              <w:rPr>
                <w:noProof/>
                <w:sz w:val="16"/>
                <w:szCs w:val="16"/>
                <w:lang w:val="fr-BE"/>
              </w:rPr>
              <w:t>Przedsiębiorstwa</w:t>
            </w:r>
          </w:p>
        </w:tc>
        <w:tc>
          <w:tcPr>
            <w:tcW w:w="0" w:type="auto"/>
            <w:shd w:val="clear" w:color="auto" w:fill="auto"/>
          </w:tcPr>
          <w:p w14:paraId="39652E1C" w14:textId="77777777" w:rsidR="008C5CFA" w:rsidRPr="0024468B" w:rsidRDefault="00E82A60"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14:paraId="79A6B6FF" w14:textId="77777777" w:rsidR="008C5CFA" w:rsidRPr="0024468B" w:rsidRDefault="00E82A60" w:rsidP="00300A01">
            <w:pPr>
              <w:spacing w:before="0" w:after="0"/>
              <w:jc w:val="right"/>
              <w:rPr>
                <w:sz w:val="16"/>
                <w:szCs w:val="16"/>
                <w:lang w:val="fr-BE"/>
              </w:rPr>
            </w:pPr>
            <w:r>
              <w:rPr>
                <w:noProof/>
                <w:sz w:val="16"/>
                <w:szCs w:val="16"/>
                <w:lang w:val="fr-BE"/>
              </w:rPr>
              <w:t>149,00</w:t>
            </w:r>
          </w:p>
        </w:tc>
        <w:tc>
          <w:tcPr>
            <w:tcW w:w="0" w:type="auto"/>
            <w:shd w:val="clear" w:color="auto" w:fill="auto"/>
          </w:tcPr>
          <w:p w14:paraId="0BC748C7" w14:textId="77777777" w:rsidR="008C5CFA" w:rsidRPr="0024468B" w:rsidRDefault="008C5CFA" w:rsidP="00300A01">
            <w:pPr>
              <w:spacing w:before="0" w:after="0"/>
              <w:jc w:val="right"/>
              <w:rPr>
                <w:sz w:val="16"/>
                <w:szCs w:val="16"/>
                <w:lang w:val="fr-BE"/>
              </w:rPr>
            </w:pPr>
          </w:p>
        </w:tc>
        <w:tc>
          <w:tcPr>
            <w:tcW w:w="0" w:type="auto"/>
          </w:tcPr>
          <w:p w14:paraId="773FC2BF" w14:textId="77777777" w:rsidR="008C5CFA" w:rsidRPr="0024468B" w:rsidRDefault="008C5CFA" w:rsidP="00300A01">
            <w:pPr>
              <w:spacing w:before="0" w:after="0"/>
              <w:jc w:val="right"/>
              <w:rPr>
                <w:sz w:val="16"/>
                <w:szCs w:val="16"/>
                <w:lang w:val="fr-BE"/>
              </w:rPr>
            </w:pPr>
          </w:p>
        </w:tc>
        <w:tc>
          <w:tcPr>
            <w:tcW w:w="0" w:type="auto"/>
            <w:shd w:val="clear" w:color="auto" w:fill="auto"/>
          </w:tcPr>
          <w:p w14:paraId="641F0C06" w14:textId="77777777" w:rsidR="008C5CFA" w:rsidRPr="0024468B" w:rsidRDefault="00E82A60" w:rsidP="00300A01">
            <w:pPr>
              <w:spacing w:before="0" w:after="0"/>
              <w:jc w:val="right"/>
              <w:rPr>
                <w:sz w:val="16"/>
                <w:szCs w:val="16"/>
                <w:lang w:val="fr-BE"/>
              </w:rPr>
            </w:pPr>
            <w:r w:rsidRPr="0024468B">
              <w:rPr>
                <w:noProof/>
                <w:sz w:val="16"/>
                <w:szCs w:val="16"/>
                <w:lang w:val="fr-BE"/>
              </w:rPr>
              <w:t>62,00</w:t>
            </w:r>
          </w:p>
        </w:tc>
        <w:tc>
          <w:tcPr>
            <w:tcW w:w="0" w:type="auto"/>
            <w:shd w:val="clear" w:color="auto" w:fill="auto"/>
          </w:tcPr>
          <w:p w14:paraId="161D3F17"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7B0A00F6"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49D3D2A1" w14:textId="77777777" w:rsidR="008C5CFA" w:rsidRPr="0024468B" w:rsidRDefault="008C5CFA" w:rsidP="00300A01">
            <w:pPr>
              <w:spacing w:before="0" w:after="0"/>
              <w:rPr>
                <w:sz w:val="16"/>
                <w:szCs w:val="16"/>
                <w:lang w:val="fr-BE"/>
              </w:rPr>
            </w:pPr>
          </w:p>
        </w:tc>
      </w:tr>
      <w:tr w:rsidR="006B2EC1" w14:paraId="7B253A7B" w14:textId="77777777" w:rsidTr="0047688D">
        <w:tc>
          <w:tcPr>
            <w:tcW w:w="0" w:type="auto"/>
          </w:tcPr>
          <w:p w14:paraId="7D8ACA56" w14:textId="77777777" w:rsidR="008C5CFA" w:rsidRPr="0024468B" w:rsidRDefault="00E82A60" w:rsidP="00300A01">
            <w:pPr>
              <w:spacing w:before="0" w:after="0"/>
              <w:rPr>
                <w:sz w:val="16"/>
                <w:szCs w:val="16"/>
                <w:lang w:val="fr-BE"/>
              </w:rPr>
            </w:pPr>
            <w:r>
              <w:rPr>
                <w:noProof/>
                <w:sz w:val="16"/>
                <w:szCs w:val="16"/>
                <w:lang w:val="fr-BE"/>
              </w:rPr>
              <w:t>S</w:t>
            </w:r>
          </w:p>
        </w:tc>
        <w:tc>
          <w:tcPr>
            <w:tcW w:w="0" w:type="auto"/>
            <w:shd w:val="clear" w:color="auto" w:fill="auto"/>
          </w:tcPr>
          <w:p w14:paraId="50814BBD" w14:textId="77777777" w:rsidR="008C5CFA" w:rsidRPr="0024468B" w:rsidRDefault="00E82A60" w:rsidP="00300A01">
            <w:pPr>
              <w:spacing w:before="0" w:after="0"/>
              <w:rPr>
                <w:sz w:val="16"/>
                <w:szCs w:val="16"/>
                <w:lang w:val="fr-BE"/>
              </w:rPr>
            </w:pPr>
            <w:r w:rsidRPr="0024468B">
              <w:rPr>
                <w:noProof/>
                <w:sz w:val="16"/>
                <w:szCs w:val="16"/>
                <w:lang w:val="fr-BE"/>
              </w:rPr>
              <w:t>CO01</w:t>
            </w:r>
          </w:p>
        </w:tc>
        <w:tc>
          <w:tcPr>
            <w:tcW w:w="0" w:type="auto"/>
            <w:shd w:val="clear" w:color="auto" w:fill="auto"/>
          </w:tcPr>
          <w:p w14:paraId="0B436D4D" w14:textId="77777777" w:rsidR="008C5CFA" w:rsidRPr="0024468B" w:rsidRDefault="00E82A60" w:rsidP="00300A01">
            <w:pPr>
              <w:spacing w:before="0" w:after="0"/>
              <w:rPr>
                <w:sz w:val="16"/>
                <w:szCs w:val="16"/>
                <w:lang w:val="fr-BE"/>
              </w:rPr>
            </w:pPr>
            <w:r w:rsidRPr="0024468B">
              <w:rPr>
                <w:noProof/>
                <w:sz w:val="16"/>
                <w:szCs w:val="16"/>
                <w:lang w:val="fr-BE"/>
              </w:rPr>
              <w:t>Inwestycje produkcyjne: liczba przedsiębiorstw otrzymujących wsparcie</w:t>
            </w:r>
          </w:p>
        </w:tc>
        <w:tc>
          <w:tcPr>
            <w:tcW w:w="0" w:type="auto"/>
            <w:shd w:val="clear" w:color="auto" w:fill="auto"/>
          </w:tcPr>
          <w:p w14:paraId="34C4DC12" w14:textId="77777777" w:rsidR="008C5CFA" w:rsidRPr="0024468B" w:rsidRDefault="00E82A60" w:rsidP="00300A01">
            <w:pPr>
              <w:spacing w:before="0" w:after="0"/>
              <w:rPr>
                <w:sz w:val="16"/>
                <w:szCs w:val="16"/>
                <w:lang w:val="fr-BE"/>
              </w:rPr>
            </w:pPr>
            <w:r>
              <w:rPr>
                <w:noProof/>
                <w:sz w:val="16"/>
                <w:szCs w:val="16"/>
                <w:lang w:val="fr-BE"/>
              </w:rPr>
              <w:t>Przedsiębiorstwa</w:t>
            </w:r>
          </w:p>
        </w:tc>
        <w:tc>
          <w:tcPr>
            <w:tcW w:w="0" w:type="auto"/>
            <w:shd w:val="clear" w:color="auto" w:fill="auto"/>
          </w:tcPr>
          <w:p w14:paraId="7F3B61BF" w14:textId="77777777" w:rsidR="008C5CFA" w:rsidRPr="0024468B" w:rsidRDefault="00E82A60"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14:paraId="2421D9F8" w14:textId="77777777" w:rsidR="008C5CFA" w:rsidRPr="0024468B" w:rsidRDefault="00E82A60" w:rsidP="00300A01">
            <w:pPr>
              <w:spacing w:before="0" w:after="0"/>
              <w:jc w:val="right"/>
              <w:rPr>
                <w:sz w:val="16"/>
                <w:szCs w:val="16"/>
                <w:lang w:val="fr-BE"/>
              </w:rPr>
            </w:pPr>
            <w:r>
              <w:rPr>
                <w:noProof/>
                <w:sz w:val="16"/>
                <w:szCs w:val="16"/>
                <w:lang w:val="fr-BE"/>
              </w:rPr>
              <w:t>149,00</w:t>
            </w:r>
          </w:p>
        </w:tc>
        <w:tc>
          <w:tcPr>
            <w:tcW w:w="0" w:type="auto"/>
            <w:shd w:val="clear" w:color="auto" w:fill="auto"/>
          </w:tcPr>
          <w:p w14:paraId="41B3C30E" w14:textId="77777777" w:rsidR="008C5CFA" w:rsidRPr="0024468B" w:rsidRDefault="008C5CFA" w:rsidP="00300A01">
            <w:pPr>
              <w:spacing w:before="0" w:after="0"/>
              <w:jc w:val="right"/>
              <w:rPr>
                <w:sz w:val="16"/>
                <w:szCs w:val="16"/>
                <w:lang w:val="fr-BE"/>
              </w:rPr>
            </w:pPr>
          </w:p>
        </w:tc>
        <w:tc>
          <w:tcPr>
            <w:tcW w:w="0" w:type="auto"/>
          </w:tcPr>
          <w:p w14:paraId="284EC043" w14:textId="77777777" w:rsidR="008C5CFA" w:rsidRPr="0024468B" w:rsidRDefault="008C5CFA" w:rsidP="00300A01">
            <w:pPr>
              <w:spacing w:before="0" w:after="0"/>
              <w:jc w:val="right"/>
              <w:rPr>
                <w:sz w:val="16"/>
                <w:szCs w:val="16"/>
                <w:lang w:val="fr-BE"/>
              </w:rPr>
            </w:pPr>
          </w:p>
        </w:tc>
        <w:tc>
          <w:tcPr>
            <w:tcW w:w="0" w:type="auto"/>
            <w:shd w:val="clear" w:color="auto" w:fill="auto"/>
          </w:tcPr>
          <w:p w14:paraId="70328B73" w14:textId="77777777" w:rsidR="008C5CFA" w:rsidRPr="0024468B" w:rsidRDefault="00E82A60" w:rsidP="00300A01">
            <w:pPr>
              <w:spacing w:before="0" w:after="0"/>
              <w:jc w:val="right"/>
              <w:rPr>
                <w:sz w:val="16"/>
                <w:szCs w:val="16"/>
                <w:lang w:val="fr-BE"/>
              </w:rPr>
            </w:pPr>
            <w:r w:rsidRPr="0024468B">
              <w:rPr>
                <w:noProof/>
                <w:sz w:val="16"/>
                <w:szCs w:val="16"/>
                <w:lang w:val="fr-BE"/>
              </w:rPr>
              <w:t>250,00</w:t>
            </w:r>
          </w:p>
        </w:tc>
        <w:tc>
          <w:tcPr>
            <w:tcW w:w="0" w:type="auto"/>
            <w:shd w:val="clear" w:color="auto" w:fill="auto"/>
          </w:tcPr>
          <w:p w14:paraId="5E1CB50F"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0E5AEB13"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50F8FD96" w14:textId="77777777" w:rsidR="008C5CFA" w:rsidRPr="0024468B" w:rsidRDefault="00E82A60" w:rsidP="00300A01">
            <w:pPr>
              <w:spacing w:before="0" w:after="0"/>
              <w:rPr>
                <w:sz w:val="16"/>
                <w:szCs w:val="16"/>
                <w:lang w:val="fr-BE"/>
              </w:rPr>
            </w:pPr>
            <w:r w:rsidRPr="0024468B">
              <w:rPr>
                <w:noProof/>
                <w:sz w:val="16"/>
                <w:szCs w:val="16"/>
                <w:lang w:val="fr-BE"/>
              </w:rPr>
              <w:t>W toku realizacji projektów jeden z beneficjentów dokonał urealnienia przyjętej wartości docelowej przedmiotowego wskaźnika, zapewniając jednocześnie iż planowany efekt zostanie osiągnięty w okresie trwałości projektu.</w:t>
            </w:r>
          </w:p>
        </w:tc>
      </w:tr>
      <w:tr w:rsidR="006B2EC1" w14:paraId="40038273" w14:textId="77777777" w:rsidTr="0047688D">
        <w:tc>
          <w:tcPr>
            <w:tcW w:w="0" w:type="auto"/>
          </w:tcPr>
          <w:p w14:paraId="5E417C77" w14:textId="77777777" w:rsidR="008C5CFA" w:rsidRPr="0024468B" w:rsidRDefault="00E82A60" w:rsidP="00300A01">
            <w:pPr>
              <w:spacing w:before="0" w:after="0"/>
              <w:rPr>
                <w:sz w:val="16"/>
                <w:szCs w:val="16"/>
                <w:lang w:val="fr-BE"/>
              </w:rPr>
            </w:pPr>
            <w:r>
              <w:rPr>
                <w:noProof/>
                <w:sz w:val="16"/>
                <w:szCs w:val="16"/>
                <w:lang w:val="fr-BE"/>
              </w:rPr>
              <w:t>F</w:t>
            </w:r>
          </w:p>
        </w:tc>
        <w:tc>
          <w:tcPr>
            <w:tcW w:w="0" w:type="auto"/>
            <w:shd w:val="clear" w:color="auto" w:fill="auto"/>
          </w:tcPr>
          <w:p w14:paraId="1150BDC5" w14:textId="77777777" w:rsidR="008C5CFA" w:rsidRPr="0024468B" w:rsidRDefault="00E82A60" w:rsidP="00300A01">
            <w:pPr>
              <w:spacing w:before="0" w:after="0"/>
              <w:rPr>
                <w:sz w:val="16"/>
                <w:szCs w:val="16"/>
                <w:lang w:val="fr-BE"/>
              </w:rPr>
            </w:pPr>
            <w:r w:rsidRPr="0024468B">
              <w:rPr>
                <w:noProof/>
                <w:sz w:val="16"/>
                <w:szCs w:val="16"/>
                <w:lang w:val="fr-BE"/>
              </w:rPr>
              <w:t>CO04</w:t>
            </w:r>
          </w:p>
        </w:tc>
        <w:tc>
          <w:tcPr>
            <w:tcW w:w="0" w:type="auto"/>
            <w:shd w:val="clear" w:color="auto" w:fill="auto"/>
          </w:tcPr>
          <w:p w14:paraId="618CEE8E" w14:textId="77777777" w:rsidR="008C5CFA" w:rsidRPr="0024468B" w:rsidRDefault="00E82A60" w:rsidP="00300A01">
            <w:pPr>
              <w:spacing w:before="0" w:after="0"/>
              <w:rPr>
                <w:sz w:val="16"/>
                <w:szCs w:val="16"/>
                <w:lang w:val="fr-BE"/>
              </w:rPr>
            </w:pPr>
            <w:r w:rsidRPr="0024468B">
              <w:rPr>
                <w:noProof/>
                <w:sz w:val="16"/>
                <w:szCs w:val="16"/>
                <w:lang w:val="fr-BE"/>
              </w:rPr>
              <w:t>Inwestycje produkcyjne: liczba przedsiębiorstw otrzymujących wsparcie niefinansowe</w:t>
            </w:r>
          </w:p>
        </w:tc>
        <w:tc>
          <w:tcPr>
            <w:tcW w:w="0" w:type="auto"/>
            <w:shd w:val="clear" w:color="auto" w:fill="auto"/>
          </w:tcPr>
          <w:p w14:paraId="76A89C11" w14:textId="77777777" w:rsidR="008C5CFA" w:rsidRPr="0024468B" w:rsidRDefault="00E82A60" w:rsidP="00300A01">
            <w:pPr>
              <w:spacing w:before="0" w:after="0"/>
              <w:rPr>
                <w:sz w:val="16"/>
                <w:szCs w:val="16"/>
                <w:lang w:val="fr-BE"/>
              </w:rPr>
            </w:pPr>
            <w:r>
              <w:rPr>
                <w:noProof/>
                <w:sz w:val="16"/>
                <w:szCs w:val="16"/>
                <w:lang w:val="fr-BE"/>
              </w:rPr>
              <w:t>Przedsiębiorstwa</w:t>
            </w:r>
          </w:p>
        </w:tc>
        <w:tc>
          <w:tcPr>
            <w:tcW w:w="0" w:type="auto"/>
            <w:shd w:val="clear" w:color="auto" w:fill="auto"/>
          </w:tcPr>
          <w:p w14:paraId="3D783A40" w14:textId="77777777" w:rsidR="008C5CFA" w:rsidRPr="0024468B" w:rsidRDefault="00E82A60"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14:paraId="485F8FAD" w14:textId="77777777" w:rsidR="008C5CFA" w:rsidRPr="0024468B" w:rsidRDefault="00E82A60" w:rsidP="00300A01">
            <w:pPr>
              <w:spacing w:before="0" w:after="0"/>
              <w:jc w:val="right"/>
              <w:rPr>
                <w:sz w:val="16"/>
                <w:szCs w:val="16"/>
                <w:lang w:val="fr-BE"/>
              </w:rPr>
            </w:pPr>
            <w:r>
              <w:rPr>
                <w:noProof/>
                <w:sz w:val="16"/>
                <w:szCs w:val="16"/>
                <w:lang w:val="fr-BE"/>
              </w:rPr>
              <w:t>149,00</w:t>
            </w:r>
          </w:p>
        </w:tc>
        <w:tc>
          <w:tcPr>
            <w:tcW w:w="0" w:type="auto"/>
            <w:shd w:val="clear" w:color="auto" w:fill="auto"/>
          </w:tcPr>
          <w:p w14:paraId="1517C54E" w14:textId="77777777" w:rsidR="008C5CFA" w:rsidRPr="0024468B" w:rsidRDefault="008C5CFA" w:rsidP="00300A01">
            <w:pPr>
              <w:spacing w:before="0" w:after="0"/>
              <w:jc w:val="right"/>
              <w:rPr>
                <w:sz w:val="16"/>
                <w:szCs w:val="16"/>
                <w:lang w:val="fr-BE"/>
              </w:rPr>
            </w:pPr>
          </w:p>
        </w:tc>
        <w:tc>
          <w:tcPr>
            <w:tcW w:w="0" w:type="auto"/>
          </w:tcPr>
          <w:p w14:paraId="4BF8F290" w14:textId="77777777" w:rsidR="008C5CFA" w:rsidRPr="0024468B" w:rsidRDefault="008C5CFA" w:rsidP="00300A01">
            <w:pPr>
              <w:spacing w:before="0" w:after="0"/>
              <w:jc w:val="right"/>
              <w:rPr>
                <w:sz w:val="16"/>
                <w:szCs w:val="16"/>
                <w:lang w:val="fr-BE"/>
              </w:rPr>
            </w:pPr>
          </w:p>
        </w:tc>
        <w:tc>
          <w:tcPr>
            <w:tcW w:w="0" w:type="auto"/>
            <w:shd w:val="clear" w:color="auto" w:fill="auto"/>
          </w:tcPr>
          <w:p w14:paraId="287E651E" w14:textId="77777777" w:rsidR="008C5CFA" w:rsidRPr="0024468B" w:rsidRDefault="00E82A60" w:rsidP="00300A01">
            <w:pPr>
              <w:spacing w:before="0" w:after="0"/>
              <w:jc w:val="right"/>
              <w:rPr>
                <w:sz w:val="16"/>
                <w:szCs w:val="16"/>
                <w:lang w:val="fr-BE"/>
              </w:rPr>
            </w:pPr>
            <w:r w:rsidRPr="0024468B">
              <w:rPr>
                <w:noProof/>
                <w:sz w:val="16"/>
                <w:szCs w:val="16"/>
                <w:lang w:val="fr-BE"/>
              </w:rPr>
              <w:t>62,00</w:t>
            </w:r>
          </w:p>
        </w:tc>
        <w:tc>
          <w:tcPr>
            <w:tcW w:w="0" w:type="auto"/>
            <w:shd w:val="clear" w:color="auto" w:fill="auto"/>
          </w:tcPr>
          <w:p w14:paraId="13F9EB78"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75CB1D94"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0C3A9F72" w14:textId="77777777" w:rsidR="008C5CFA" w:rsidRPr="0024468B" w:rsidRDefault="008C5CFA" w:rsidP="00300A01">
            <w:pPr>
              <w:spacing w:before="0" w:after="0"/>
              <w:rPr>
                <w:sz w:val="16"/>
                <w:szCs w:val="16"/>
                <w:lang w:val="fr-BE"/>
              </w:rPr>
            </w:pPr>
          </w:p>
        </w:tc>
      </w:tr>
      <w:tr w:rsidR="006B2EC1" w14:paraId="7113E00E" w14:textId="77777777" w:rsidTr="0047688D">
        <w:tc>
          <w:tcPr>
            <w:tcW w:w="0" w:type="auto"/>
          </w:tcPr>
          <w:p w14:paraId="61B04BCB" w14:textId="77777777" w:rsidR="008C5CFA" w:rsidRPr="0024468B" w:rsidRDefault="00E82A60" w:rsidP="00300A01">
            <w:pPr>
              <w:spacing w:before="0" w:after="0"/>
              <w:rPr>
                <w:sz w:val="16"/>
                <w:szCs w:val="16"/>
                <w:lang w:val="fr-BE"/>
              </w:rPr>
            </w:pPr>
            <w:r>
              <w:rPr>
                <w:noProof/>
                <w:sz w:val="16"/>
                <w:szCs w:val="16"/>
                <w:lang w:val="fr-BE"/>
              </w:rPr>
              <w:t>S</w:t>
            </w:r>
          </w:p>
        </w:tc>
        <w:tc>
          <w:tcPr>
            <w:tcW w:w="0" w:type="auto"/>
            <w:shd w:val="clear" w:color="auto" w:fill="auto"/>
          </w:tcPr>
          <w:p w14:paraId="435898AB" w14:textId="77777777" w:rsidR="008C5CFA" w:rsidRPr="0024468B" w:rsidRDefault="00E82A60" w:rsidP="00300A01">
            <w:pPr>
              <w:spacing w:before="0" w:after="0"/>
              <w:rPr>
                <w:sz w:val="16"/>
                <w:szCs w:val="16"/>
                <w:lang w:val="fr-BE"/>
              </w:rPr>
            </w:pPr>
            <w:r w:rsidRPr="0024468B">
              <w:rPr>
                <w:noProof/>
                <w:sz w:val="16"/>
                <w:szCs w:val="16"/>
                <w:lang w:val="fr-BE"/>
              </w:rPr>
              <w:t>CO04</w:t>
            </w:r>
          </w:p>
        </w:tc>
        <w:tc>
          <w:tcPr>
            <w:tcW w:w="0" w:type="auto"/>
            <w:shd w:val="clear" w:color="auto" w:fill="auto"/>
          </w:tcPr>
          <w:p w14:paraId="38E59D81" w14:textId="77777777" w:rsidR="008C5CFA" w:rsidRPr="0024468B" w:rsidRDefault="00E82A60" w:rsidP="00300A01">
            <w:pPr>
              <w:spacing w:before="0" w:after="0"/>
              <w:rPr>
                <w:sz w:val="16"/>
                <w:szCs w:val="16"/>
                <w:lang w:val="fr-BE"/>
              </w:rPr>
            </w:pPr>
            <w:r w:rsidRPr="0024468B">
              <w:rPr>
                <w:noProof/>
                <w:sz w:val="16"/>
                <w:szCs w:val="16"/>
                <w:lang w:val="fr-BE"/>
              </w:rPr>
              <w:t>Inwestycje produkcyjne: liczba przedsiębiorstw otrzymujących wsparcie niefinansowe</w:t>
            </w:r>
          </w:p>
        </w:tc>
        <w:tc>
          <w:tcPr>
            <w:tcW w:w="0" w:type="auto"/>
            <w:shd w:val="clear" w:color="auto" w:fill="auto"/>
          </w:tcPr>
          <w:p w14:paraId="5BD83F58" w14:textId="77777777" w:rsidR="008C5CFA" w:rsidRPr="0024468B" w:rsidRDefault="00E82A60" w:rsidP="00300A01">
            <w:pPr>
              <w:spacing w:before="0" w:after="0"/>
              <w:rPr>
                <w:sz w:val="16"/>
                <w:szCs w:val="16"/>
                <w:lang w:val="fr-BE"/>
              </w:rPr>
            </w:pPr>
            <w:r>
              <w:rPr>
                <w:noProof/>
                <w:sz w:val="16"/>
                <w:szCs w:val="16"/>
                <w:lang w:val="fr-BE"/>
              </w:rPr>
              <w:t>Przedsiębiorstwa</w:t>
            </w:r>
          </w:p>
        </w:tc>
        <w:tc>
          <w:tcPr>
            <w:tcW w:w="0" w:type="auto"/>
            <w:shd w:val="clear" w:color="auto" w:fill="auto"/>
          </w:tcPr>
          <w:p w14:paraId="1202F8E0" w14:textId="77777777" w:rsidR="008C5CFA" w:rsidRPr="0024468B" w:rsidRDefault="00E82A60"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14:paraId="17125E0D" w14:textId="77777777" w:rsidR="008C5CFA" w:rsidRPr="0024468B" w:rsidRDefault="00E82A60" w:rsidP="00300A01">
            <w:pPr>
              <w:spacing w:before="0" w:after="0"/>
              <w:jc w:val="right"/>
              <w:rPr>
                <w:sz w:val="16"/>
                <w:szCs w:val="16"/>
                <w:lang w:val="fr-BE"/>
              </w:rPr>
            </w:pPr>
            <w:r>
              <w:rPr>
                <w:noProof/>
                <w:sz w:val="16"/>
                <w:szCs w:val="16"/>
                <w:lang w:val="fr-BE"/>
              </w:rPr>
              <w:t>149,00</w:t>
            </w:r>
          </w:p>
        </w:tc>
        <w:tc>
          <w:tcPr>
            <w:tcW w:w="0" w:type="auto"/>
            <w:shd w:val="clear" w:color="auto" w:fill="auto"/>
          </w:tcPr>
          <w:p w14:paraId="36AEE6CD" w14:textId="77777777" w:rsidR="008C5CFA" w:rsidRPr="0024468B" w:rsidRDefault="008C5CFA" w:rsidP="00300A01">
            <w:pPr>
              <w:spacing w:before="0" w:after="0"/>
              <w:jc w:val="right"/>
              <w:rPr>
                <w:sz w:val="16"/>
                <w:szCs w:val="16"/>
                <w:lang w:val="fr-BE"/>
              </w:rPr>
            </w:pPr>
          </w:p>
        </w:tc>
        <w:tc>
          <w:tcPr>
            <w:tcW w:w="0" w:type="auto"/>
          </w:tcPr>
          <w:p w14:paraId="6ED90449" w14:textId="77777777" w:rsidR="008C5CFA" w:rsidRPr="0024468B" w:rsidRDefault="008C5CFA" w:rsidP="00300A01">
            <w:pPr>
              <w:spacing w:before="0" w:after="0"/>
              <w:jc w:val="right"/>
              <w:rPr>
                <w:sz w:val="16"/>
                <w:szCs w:val="16"/>
                <w:lang w:val="fr-BE"/>
              </w:rPr>
            </w:pPr>
          </w:p>
        </w:tc>
        <w:tc>
          <w:tcPr>
            <w:tcW w:w="0" w:type="auto"/>
            <w:shd w:val="clear" w:color="auto" w:fill="auto"/>
          </w:tcPr>
          <w:p w14:paraId="16865F1B" w14:textId="77777777" w:rsidR="008C5CFA" w:rsidRPr="0024468B" w:rsidRDefault="00E82A60" w:rsidP="00300A01">
            <w:pPr>
              <w:spacing w:before="0" w:after="0"/>
              <w:jc w:val="right"/>
              <w:rPr>
                <w:sz w:val="16"/>
                <w:szCs w:val="16"/>
                <w:lang w:val="fr-BE"/>
              </w:rPr>
            </w:pPr>
            <w:r w:rsidRPr="0024468B">
              <w:rPr>
                <w:noProof/>
                <w:sz w:val="16"/>
                <w:szCs w:val="16"/>
                <w:lang w:val="fr-BE"/>
              </w:rPr>
              <w:t>250,00</w:t>
            </w:r>
          </w:p>
        </w:tc>
        <w:tc>
          <w:tcPr>
            <w:tcW w:w="0" w:type="auto"/>
            <w:shd w:val="clear" w:color="auto" w:fill="auto"/>
          </w:tcPr>
          <w:p w14:paraId="3BFB4894"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321C3154"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7E9D3C01" w14:textId="77777777" w:rsidR="008C5CFA" w:rsidRPr="0024468B" w:rsidRDefault="00E82A60" w:rsidP="00300A01">
            <w:pPr>
              <w:spacing w:before="0" w:after="0"/>
              <w:rPr>
                <w:sz w:val="16"/>
                <w:szCs w:val="16"/>
                <w:lang w:val="fr-BE"/>
              </w:rPr>
            </w:pPr>
            <w:r w:rsidRPr="0024468B">
              <w:rPr>
                <w:noProof/>
                <w:sz w:val="16"/>
                <w:szCs w:val="16"/>
                <w:lang w:val="fr-BE"/>
              </w:rPr>
              <w:t>W toku realizacji projektów jeden z beneficjentów dokonał urealnienia wartości docelowej przedmiotowego wskaźnika, co w konsekwencji spowodowało jego spadek.</w:t>
            </w:r>
          </w:p>
        </w:tc>
      </w:tr>
      <w:tr w:rsidR="006B2EC1" w14:paraId="22D0001E" w14:textId="77777777" w:rsidTr="0047688D">
        <w:tc>
          <w:tcPr>
            <w:tcW w:w="0" w:type="auto"/>
          </w:tcPr>
          <w:p w14:paraId="2287764B" w14:textId="77777777" w:rsidR="008C5CFA" w:rsidRPr="0024468B" w:rsidRDefault="00E82A60" w:rsidP="00300A01">
            <w:pPr>
              <w:spacing w:before="0" w:after="0"/>
              <w:rPr>
                <w:sz w:val="16"/>
                <w:szCs w:val="16"/>
                <w:lang w:val="fr-BE"/>
              </w:rPr>
            </w:pPr>
            <w:r>
              <w:rPr>
                <w:noProof/>
                <w:sz w:val="16"/>
                <w:szCs w:val="16"/>
                <w:lang w:val="fr-BE"/>
              </w:rPr>
              <w:t>F</w:t>
            </w:r>
          </w:p>
        </w:tc>
        <w:tc>
          <w:tcPr>
            <w:tcW w:w="0" w:type="auto"/>
            <w:shd w:val="clear" w:color="auto" w:fill="auto"/>
          </w:tcPr>
          <w:p w14:paraId="41D1E2CE" w14:textId="77777777" w:rsidR="008C5CFA" w:rsidRPr="0024468B" w:rsidRDefault="00E82A60" w:rsidP="00300A01">
            <w:pPr>
              <w:spacing w:before="0" w:after="0"/>
              <w:rPr>
                <w:sz w:val="16"/>
                <w:szCs w:val="16"/>
                <w:lang w:val="fr-BE"/>
              </w:rPr>
            </w:pPr>
            <w:r w:rsidRPr="0024468B">
              <w:rPr>
                <w:noProof/>
                <w:sz w:val="16"/>
                <w:szCs w:val="16"/>
                <w:lang w:val="fr-BE"/>
              </w:rPr>
              <w:t>CO05</w:t>
            </w:r>
          </w:p>
        </w:tc>
        <w:tc>
          <w:tcPr>
            <w:tcW w:w="0" w:type="auto"/>
            <w:shd w:val="clear" w:color="auto" w:fill="auto"/>
          </w:tcPr>
          <w:p w14:paraId="2BF6BE39" w14:textId="77777777" w:rsidR="008C5CFA" w:rsidRPr="0024468B" w:rsidRDefault="00E82A60" w:rsidP="00300A01">
            <w:pPr>
              <w:spacing w:before="0" w:after="0"/>
              <w:rPr>
                <w:sz w:val="16"/>
                <w:szCs w:val="16"/>
                <w:lang w:val="fr-BE"/>
              </w:rPr>
            </w:pPr>
            <w:r w:rsidRPr="0024468B">
              <w:rPr>
                <w:noProof/>
                <w:sz w:val="16"/>
                <w:szCs w:val="16"/>
                <w:lang w:val="fr-BE"/>
              </w:rPr>
              <w:t>Inwestycje produkcyjne: liczba wspieranych nowych przedsiębiorstw</w:t>
            </w:r>
          </w:p>
        </w:tc>
        <w:tc>
          <w:tcPr>
            <w:tcW w:w="0" w:type="auto"/>
            <w:shd w:val="clear" w:color="auto" w:fill="auto"/>
          </w:tcPr>
          <w:p w14:paraId="33EC4BD4" w14:textId="77777777" w:rsidR="008C5CFA" w:rsidRPr="0024468B" w:rsidRDefault="00E82A60" w:rsidP="00300A01">
            <w:pPr>
              <w:spacing w:before="0" w:after="0"/>
              <w:rPr>
                <w:sz w:val="16"/>
                <w:szCs w:val="16"/>
                <w:lang w:val="fr-BE"/>
              </w:rPr>
            </w:pPr>
            <w:r>
              <w:rPr>
                <w:noProof/>
                <w:sz w:val="16"/>
                <w:szCs w:val="16"/>
                <w:lang w:val="fr-BE"/>
              </w:rPr>
              <w:t>Przedsiębiorstwa</w:t>
            </w:r>
          </w:p>
        </w:tc>
        <w:tc>
          <w:tcPr>
            <w:tcW w:w="0" w:type="auto"/>
            <w:shd w:val="clear" w:color="auto" w:fill="auto"/>
          </w:tcPr>
          <w:p w14:paraId="0B25C38F" w14:textId="77777777" w:rsidR="008C5CFA" w:rsidRPr="0024468B" w:rsidRDefault="00E82A60"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14:paraId="42CBF9A0" w14:textId="77777777" w:rsidR="008C5CFA" w:rsidRPr="0024468B" w:rsidRDefault="00E82A60" w:rsidP="00300A01">
            <w:pPr>
              <w:spacing w:before="0" w:after="0"/>
              <w:jc w:val="right"/>
              <w:rPr>
                <w:sz w:val="16"/>
                <w:szCs w:val="16"/>
                <w:lang w:val="fr-BE"/>
              </w:rPr>
            </w:pPr>
            <w:r>
              <w:rPr>
                <w:noProof/>
                <w:sz w:val="16"/>
                <w:szCs w:val="16"/>
                <w:lang w:val="fr-BE"/>
              </w:rPr>
              <w:t>149,00</w:t>
            </w:r>
          </w:p>
        </w:tc>
        <w:tc>
          <w:tcPr>
            <w:tcW w:w="0" w:type="auto"/>
            <w:shd w:val="clear" w:color="auto" w:fill="auto"/>
          </w:tcPr>
          <w:p w14:paraId="26343D34" w14:textId="77777777" w:rsidR="008C5CFA" w:rsidRPr="0024468B" w:rsidRDefault="008C5CFA" w:rsidP="00300A01">
            <w:pPr>
              <w:spacing w:before="0" w:after="0"/>
              <w:jc w:val="right"/>
              <w:rPr>
                <w:sz w:val="16"/>
                <w:szCs w:val="16"/>
                <w:lang w:val="fr-BE"/>
              </w:rPr>
            </w:pPr>
          </w:p>
        </w:tc>
        <w:tc>
          <w:tcPr>
            <w:tcW w:w="0" w:type="auto"/>
          </w:tcPr>
          <w:p w14:paraId="3D1CB1B5" w14:textId="77777777" w:rsidR="008C5CFA" w:rsidRPr="0024468B" w:rsidRDefault="008C5CFA" w:rsidP="00300A01">
            <w:pPr>
              <w:spacing w:before="0" w:after="0"/>
              <w:jc w:val="right"/>
              <w:rPr>
                <w:sz w:val="16"/>
                <w:szCs w:val="16"/>
                <w:lang w:val="fr-BE"/>
              </w:rPr>
            </w:pPr>
          </w:p>
        </w:tc>
        <w:tc>
          <w:tcPr>
            <w:tcW w:w="0" w:type="auto"/>
            <w:shd w:val="clear" w:color="auto" w:fill="auto"/>
          </w:tcPr>
          <w:p w14:paraId="10DA40FA" w14:textId="77777777" w:rsidR="008C5CFA" w:rsidRPr="0024468B" w:rsidRDefault="00E82A60" w:rsidP="00300A01">
            <w:pPr>
              <w:spacing w:before="0" w:after="0"/>
              <w:jc w:val="right"/>
              <w:rPr>
                <w:sz w:val="16"/>
                <w:szCs w:val="16"/>
                <w:lang w:val="fr-BE"/>
              </w:rPr>
            </w:pPr>
            <w:r w:rsidRPr="0024468B">
              <w:rPr>
                <w:noProof/>
                <w:sz w:val="16"/>
                <w:szCs w:val="16"/>
                <w:lang w:val="fr-BE"/>
              </w:rPr>
              <w:t>15,00</w:t>
            </w:r>
          </w:p>
        </w:tc>
        <w:tc>
          <w:tcPr>
            <w:tcW w:w="0" w:type="auto"/>
            <w:shd w:val="clear" w:color="auto" w:fill="auto"/>
          </w:tcPr>
          <w:p w14:paraId="1FFB7098"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0C1B2C6C"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0983DD5D" w14:textId="77777777" w:rsidR="008C5CFA" w:rsidRPr="0024468B" w:rsidRDefault="00E82A60" w:rsidP="00300A01">
            <w:pPr>
              <w:spacing w:before="0" w:after="0"/>
              <w:rPr>
                <w:sz w:val="16"/>
                <w:szCs w:val="16"/>
                <w:lang w:val="fr-BE"/>
              </w:rPr>
            </w:pPr>
            <w:r w:rsidRPr="0024468B">
              <w:rPr>
                <w:noProof/>
                <w:sz w:val="16"/>
                <w:szCs w:val="16"/>
                <w:lang w:val="fr-BE"/>
              </w:rPr>
              <w:t>Zaproponowana zmiana pozwoli na realizację wskaźnika na poziomie 60%</w:t>
            </w:r>
          </w:p>
        </w:tc>
      </w:tr>
      <w:tr w:rsidR="006B2EC1" w14:paraId="1D8E1D5A" w14:textId="77777777" w:rsidTr="0047688D">
        <w:tc>
          <w:tcPr>
            <w:tcW w:w="0" w:type="auto"/>
          </w:tcPr>
          <w:p w14:paraId="20A155BE" w14:textId="77777777" w:rsidR="008C5CFA" w:rsidRPr="0024468B" w:rsidRDefault="00E82A60" w:rsidP="00300A01">
            <w:pPr>
              <w:spacing w:before="0" w:after="0"/>
              <w:rPr>
                <w:sz w:val="16"/>
                <w:szCs w:val="16"/>
                <w:lang w:val="fr-BE"/>
              </w:rPr>
            </w:pPr>
            <w:r>
              <w:rPr>
                <w:noProof/>
                <w:sz w:val="16"/>
                <w:szCs w:val="16"/>
                <w:lang w:val="fr-BE"/>
              </w:rPr>
              <w:t>S</w:t>
            </w:r>
          </w:p>
        </w:tc>
        <w:tc>
          <w:tcPr>
            <w:tcW w:w="0" w:type="auto"/>
            <w:shd w:val="clear" w:color="auto" w:fill="auto"/>
          </w:tcPr>
          <w:p w14:paraId="68632181" w14:textId="77777777" w:rsidR="008C5CFA" w:rsidRPr="0024468B" w:rsidRDefault="00E82A60" w:rsidP="00300A01">
            <w:pPr>
              <w:spacing w:before="0" w:after="0"/>
              <w:rPr>
                <w:sz w:val="16"/>
                <w:szCs w:val="16"/>
                <w:lang w:val="fr-BE"/>
              </w:rPr>
            </w:pPr>
            <w:r w:rsidRPr="0024468B">
              <w:rPr>
                <w:noProof/>
                <w:sz w:val="16"/>
                <w:szCs w:val="16"/>
                <w:lang w:val="fr-BE"/>
              </w:rPr>
              <w:t>CO05</w:t>
            </w:r>
          </w:p>
        </w:tc>
        <w:tc>
          <w:tcPr>
            <w:tcW w:w="0" w:type="auto"/>
            <w:shd w:val="clear" w:color="auto" w:fill="auto"/>
          </w:tcPr>
          <w:p w14:paraId="3E0936A4" w14:textId="77777777" w:rsidR="008C5CFA" w:rsidRPr="0024468B" w:rsidRDefault="00E82A60" w:rsidP="00300A01">
            <w:pPr>
              <w:spacing w:before="0" w:after="0"/>
              <w:rPr>
                <w:sz w:val="16"/>
                <w:szCs w:val="16"/>
                <w:lang w:val="fr-BE"/>
              </w:rPr>
            </w:pPr>
            <w:r w:rsidRPr="0024468B">
              <w:rPr>
                <w:noProof/>
                <w:sz w:val="16"/>
                <w:szCs w:val="16"/>
                <w:lang w:val="fr-BE"/>
              </w:rPr>
              <w:t>Inwestycje produkcyjne: liczba wspieranych nowych przedsiębiorstw</w:t>
            </w:r>
          </w:p>
        </w:tc>
        <w:tc>
          <w:tcPr>
            <w:tcW w:w="0" w:type="auto"/>
            <w:shd w:val="clear" w:color="auto" w:fill="auto"/>
          </w:tcPr>
          <w:p w14:paraId="0282172F" w14:textId="77777777" w:rsidR="008C5CFA" w:rsidRPr="0024468B" w:rsidRDefault="00E82A60" w:rsidP="00300A01">
            <w:pPr>
              <w:spacing w:before="0" w:after="0"/>
              <w:rPr>
                <w:sz w:val="16"/>
                <w:szCs w:val="16"/>
                <w:lang w:val="fr-BE"/>
              </w:rPr>
            </w:pPr>
            <w:r>
              <w:rPr>
                <w:noProof/>
                <w:sz w:val="16"/>
                <w:szCs w:val="16"/>
                <w:lang w:val="fr-BE"/>
              </w:rPr>
              <w:t>Przedsiębiorstwa</w:t>
            </w:r>
          </w:p>
        </w:tc>
        <w:tc>
          <w:tcPr>
            <w:tcW w:w="0" w:type="auto"/>
            <w:shd w:val="clear" w:color="auto" w:fill="auto"/>
          </w:tcPr>
          <w:p w14:paraId="53C0253D" w14:textId="77777777" w:rsidR="008C5CFA" w:rsidRPr="0024468B" w:rsidRDefault="00E82A60"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14:paraId="0D6173BA" w14:textId="77777777" w:rsidR="008C5CFA" w:rsidRPr="0024468B" w:rsidRDefault="00E82A60" w:rsidP="00300A01">
            <w:pPr>
              <w:spacing w:before="0" w:after="0"/>
              <w:jc w:val="right"/>
              <w:rPr>
                <w:sz w:val="16"/>
                <w:szCs w:val="16"/>
                <w:lang w:val="fr-BE"/>
              </w:rPr>
            </w:pPr>
            <w:r>
              <w:rPr>
                <w:noProof/>
                <w:sz w:val="16"/>
                <w:szCs w:val="16"/>
                <w:lang w:val="fr-BE"/>
              </w:rPr>
              <w:t>149,00</w:t>
            </w:r>
          </w:p>
        </w:tc>
        <w:tc>
          <w:tcPr>
            <w:tcW w:w="0" w:type="auto"/>
            <w:shd w:val="clear" w:color="auto" w:fill="auto"/>
          </w:tcPr>
          <w:p w14:paraId="6EA15386" w14:textId="77777777" w:rsidR="008C5CFA" w:rsidRPr="0024468B" w:rsidRDefault="008C5CFA" w:rsidP="00300A01">
            <w:pPr>
              <w:spacing w:before="0" w:after="0"/>
              <w:jc w:val="right"/>
              <w:rPr>
                <w:sz w:val="16"/>
                <w:szCs w:val="16"/>
                <w:lang w:val="fr-BE"/>
              </w:rPr>
            </w:pPr>
          </w:p>
        </w:tc>
        <w:tc>
          <w:tcPr>
            <w:tcW w:w="0" w:type="auto"/>
          </w:tcPr>
          <w:p w14:paraId="3E0E3B48" w14:textId="77777777" w:rsidR="008C5CFA" w:rsidRPr="0024468B" w:rsidRDefault="008C5CFA" w:rsidP="00300A01">
            <w:pPr>
              <w:spacing w:before="0" w:after="0"/>
              <w:jc w:val="right"/>
              <w:rPr>
                <w:sz w:val="16"/>
                <w:szCs w:val="16"/>
                <w:lang w:val="fr-BE"/>
              </w:rPr>
            </w:pPr>
          </w:p>
        </w:tc>
        <w:tc>
          <w:tcPr>
            <w:tcW w:w="0" w:type="auto"/>
            <w:shd w:val="clear" w:color="auto" w:fill="auto"/>
          </w:tcPr>
          <w:p w14:paraId="43051FE2" w14:textId="77777777" w:rsidR="008C5CFA" w:rsidRPr="0024468B" w:rsidRDefault="00E82A60" w:rsidP="00300A01">
            <w:pPr>
              <w:spacing w:before="0" w:after="0"/>
              <w:jc w:val="right"/>
              <w:rPr>
                <w:sz w:val="16"/>
                <w:szCs w:val="16"/>
                <w:lang w:val="fr-BE"/>
              </w:rPr>
            </w:pPr>
            <w:r w:rsidRPr="0024468B">
              <w:rPr>
                <w:noProof/>
                <w:sz w:val="16"/>
                <w:szCs w:val="16"/>
                <w:lang w:val="fr-BE"/>
              </w:rPr>
              <w:t>25,00</w:t>
            </w:r>
          </w:p>
        </w:tc>
        <w:tc>
          <w:tcPr>
            <w:tcW w:w="0" w:type="auto"/>
            <w:shd w:val="clear" w:color="auto" w:fill="auto"/>
          </w:tcPr>
          <w:p w14:paraId="36A4FC11"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7266DF48"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6F90B574" w14:textId="77777777" w:rsidR="008C5CFA" w:rsidRPr="0024468B" w:rsidRDefault="00E82A60" w:rsidP="00300A01">
            <w:pPr>
              <w:spacing w:before="0" w:after="0"/>
              <w:rPr>
                <w:sz w:val="16"/>
                <w:szCs w:val="16"/>
                <w:lang w:val="fr-BE"/>
              </w:rPr>
            </w:pPr>
            <w:r w:rsidRPr="0024468B">
              <w:rPr>
                <w:noProof/>
                <w:sz w:val="16"/>
                <w:szCs w:val="16"/>
                <w:lang w:val="fr-BE"/>
              </w:rPr>
              <w:t>Na etapie  programowania założono, że w wyniku powstania lub ulepszenia każdej z usług, objęta wsparciem zostanie określona liczba nowych przedsiębiorstw. Projekty realizowane przez IOB bezpośrednio wynikały z analizy zapotrzebowania na usługi ze strony przedsiębiorców z obszaru województwa świętokrzyskiego. W wyniku realizacji okazało się  konieczne objęcie wsparciem nie tylko nowych przedsiębiorstw, ale i tych które już funkcjonują na rynku od dłuższego czasu, a potrzebują wsparcia w formie doradztwa np. przy podejmowaniu nowych inwestycji. Wobec powyższego wartość docelowa wskaźnika zostanie urealniona do wartości 25 przedsiębiorstw.</w:t>
            </w:r>
          </w:p>
        </w:tc>
      </w:tr>
      <w:tr w:rsidR="006B2EC1" w14:paraId="1B4B93A2" w14:textId="77777777" w:rsidTr="0047688D">
        <w:tc>
          <w:tcPr>
            <w:tcW w:w="0" w:type="auto"/>
          </w:tcPr>
          <w:p w14:paraId="7008C30F" w14:textId="77777777" w:rsidR="008C5CFA" w:rsidRPr="0024468B" w:rsidRDefault="00E82A60" w:rsidP="00300A01">
            <w:pPr>
              <w:spacing w:before="0" w:after="0"/>
              <w:rPr>
                <w:sz w:val="16"/>
                <w:szCs w:val="16"/>
                <w:lang w:val="fr-BE"/>
              </w:rPr>
            </w:pPr>
            <w:r>
              <w:rPr>
                <w:noProof/>
                <w:sz w:val="16"/>
                <w:szCs w:val="16"/>
                <w:lang w:val="fr-BE"/>
              </w:rPr>
              <w:t>F</w:t>
            </w:r>
          </w:p>
        </w:tc>
        <w:tc>
          <w:tcPr>
            <w:tcW w:w="0" w:type="auto"/>
            <w:shd w:val="clear" w:color="auto" w:fill="auto"/>
          </w:tcPr>
          <w:p w14:paraId="1B300D96" w14:textId="77777777" w:rsidR="008C5CFA" w:rsidRPr="0024468B" w:rsidRDefault="00E82A60" w:rsidP="00300A01">
            <w:pPr>
              <w:spacing w:before="0" w:after="0"/>
              <w:rPr>
                <w:sz w:val="16"/>
                <w:szCs w:val="16"/>
                <w:lang w:val="fr-BE"/>
              </w:rPr>
            </w:pPr>
            <w:r>
              <w:rPr>
                <w:noProof/>
                <w:sz w:val="16"/>
                <w:szCs w:val="16"/>
                <w:lang w:val="fr-BE"/>
              </w:rPr>
              <w:t>027</w:t>
            </w:r>
          </w:p>
        </w:tc>
        <w:tc>
          <w:tcPr>
            <w:tcW w:w="0" w:type="auto"/>
            <w:shd w:val="clear" w:color="auto" w:fill="auto"/>
          </w:tcPr>
          <w:p w14:paraId="1D860624" w14:textId="77777777" w:rsidR="008C5CFA" w:rsidRPr="0024468B" w:rsidRDefault="00E82A60" w:rsidP="00300A01">
            <w:pPr>
              <w:spacing w:before="0" w:after="0"/>
              <w:rPr>
                <w:sz w:val="16"/>
                <w:szCs w:val="16"/>
                <w:lang w:val="fr-BE"/>
              </w:rPr>
            </w:pPr>
            <w:r>
              <w:rPr>
                <w:noProof/>
                <w:sz w:val="16"/>
                <w:szCs w:val="16"/>
                <w:lang w:val="fr-BE"/>
              </w:rPr>
              <w:t>Powierzchnia przygotowanych terenów inwestycyjnych</w:t>
            </w:r>
          </w:p>
        </w:tc>
        <w:tc>
          <w:tcPr>
            <w:tcW w:w="0" w:type="auto"/>
            <w:shd w:val="clear" w:color="auto" w:fill="auto"/>
          </w:tcPr>
          <w:p w14:paraId="39A653F7" w14:textId="77777777" w:rsidR="008C5CFA" w:rsidRPr="0024468B" w:rsidRDefault="00E82A60" w:rsidP="00300A01">
            <w:pPr>
              <w:spacing w:before="0" w:after="0"/>
              <w:rPr>
                <w:sz w:val="16"/>
                <w:szCs w:val="16"/>
                <w:lang w:val="fr-BE"/>
              </w:rPr>
            </w:pPr>
            <w:r w:rsidRPr="0024468B">
              <w:rPr>
                <w:noProof/>
                <w:sz w:val="16"/>
                <w:szCs w:val="16"/>
                <w:lang w:val="fr-BE"/>
              </w:rPr>
              <w:t>ha</w:t>
            </w:r>
          </w:p>
        </w:tc>
        <w:tc>
          <w:tcPr>
            <w:tcW w:w="0" w:type="auto"/>
            <w:shd w:val="clear" w:color="auto" w:fill="auto"/>
          </w:tcPr>
          <w:p w14:paraId="3CF0101C" w14:textId="77777777" w:rsidR="008C5CFA" w:rsidRPr="0024468B" w:rsidRDefault="00E82A60"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14:paraId="60A6D2CB" w14:textId="77777777" w:rsidR="008C5CFA" w:rsidRPr="0024468B" w:rsidRDefault="00E82A60" w:rsidP="00300A01">
            <w:pPr>
              <w:spacing w:before="0" w:after="0"/>
              <w:jc w:val="right"/>
              <w:rPr>
                <w:sz w:val="16"/>
                <w:szCs w:val="16"/>
                <w:lang w:val="fr-BE"/>
              </w:rPr>
            </w:pPr>
            <w:r>
              <w:rPr>
                <w:noProof/>
                <w:sz w:val="16"/>
                <w:szCs w:val="16"/>
                <w:lang w:val="fr-BE"/>
              </w:rPr>
              <w:t>66,60</w:t>
            </w:r>
          </w:p>
        </w:tc>
        <w:tc>
          <w:tcPr>
            <w:tcW w:w="0" w:type="auto"/>
            <w:shd w:val="clear" w:color="auto" w:fill="auto"/>
          </w:tcPr>
          <w:p w14:paraId="7AF1A0AA" w14:textId="77777777" w:rsidR="008C5CFA" w:rsidRPr="0024468B" w:rsidRDefault="008C5CFA" w:rsidP="00300A01">
            <w:pPr>
              <w:spacing w:before="0" w:after="0"/>
              <w:jc w:val="right"/>
              <w:rPr>
                <w:sz w:val="16"/>
                <w:szCs w:val="16"/>
                <w:lang w:val="fr-BE"/>
              </w:rPr>
            </w:pPr>
          </w:p>
        </w:tc>
        <w:tc>
          <w:tcPr>
            <w:tcW w:w="0" w:type="auto"/>
          </w:tcPr>
          <w:p w14:paraId="22ADA1AE" w14:textId="77777777" w:rsidR="008C5CFA" w:rsidRPr="0024468B" w:rsidRDefault="008C5CFA" w:rsidP="00300A01">
            <w:pPr>
              <w:spacing w:before="0" w:after="0"/>
              <w:jc w:val="right"/>
              <w:rPr>
                <w:sz w:val="16"/>
                <w:szCs w:val="16"/>
                <w:lang w:val="fr-BE"/>
              </w:rPr>
            </w:pPr>
          </w:p>
        </w:tc>
        <w:tc>
          <w:tcPr>
            <w:tcW w:w="0" w:type="auto"/>
            <w:shd w:val="clear" w:color="auto" w:fill="auto"/>
          </w:tcPr>
          <w:p w14:paraId="7A2056DD" w14:textId="77777777" w:rsidR="008C5CFA" w:rsidRPr="0024468B" w:rsidRDefault="00E82A60" w:rsidP="00300A01">
            <w:pPr>
              <w:spacing w:before="0" w:after="0"/>
              <w:jc w:val="right"/>
              <w:rPr>
                <w:sz w:val="16"/>
                <w:szCs w:val="16"/>
                <w:lang w:val="fr-BE"/>
              </w:rPr>
            </w:pPr>
            <w:r w:rsidRPr="0024468B">
              <w:rPr>
                <w:noProof/>
                <w:sz w:val="16"/>
                <w:szCs w:val="16"/>
                <w:lang w:val="fr-BE"/>
              </w:rPr>
              <w:t>36,29</w:t>
            </w:r>
          </w:p>
        </w:tc>
        <w:tc>
          <w:tcPr>
            <w:tcW w:w="0" w:type="auto"/>
            <w:shd w:val="clear" w:color="auto" w:fill="auto"/>
          </w:tcPr>
          <w:p w14:paraId="45B16780"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41DC8639"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441601B0" w14:textId="77777777" w:rsidR="008C5CFA" w:rsidRPr="0024468B" w:rsidRDefault="008C5CFA" w:rsidP="00300A01">
            <w:pPr>
              <w:spacing w:before="0" w:after="0"/>
              <w:rPr>
                <w:sz w:val="16"/>
                <w:szCs w:val="16"/>
                <w:lang w:val="fr-BE"/>
              </w:rPr>
            </w:pPr>
          </w:p>
        </w:tc>
      </w:tr>
      <w:tr w:rsidR="006B2EC1" w14:paraId="04F6DBF0" w14:textId="77777777" w:rsidTr="0047688D">
        <w:tc>
          <w:tcPr>
            <w:tcW w:w="0" w:type="auto"/>
          </w:tcPr>
          <w:p w14:paraId="3D6B6766" w14:textId="77777777" w:rsidR="008C5CFA" w:rsidRPr="0024468B" w:rsidRDefault="00E82A60" w:rsidP="00300A01">
            <w:pPr>
              <w:spacing w:before="0" w:after="0"/>
              <w:rPr>
                <w:sz w:val="16"/>
                <w:szCs w:val="16"/>
                <w:lang w:val="fr-BE"/>
              </w:rPr>
            </w:pPr>
            <w:r>
              <w:rPr>
                <w:noProof/>
                <w:sz w:val="16"/>
                <w:szCs w:val="16"/>
                <w:lang w:val="fr-BE"/>
              </w:rPr>
              <w:t>S</w:t>
            </w:r>
          </w:p>
        </w:tc>
        <w:tc>
          <w:tcPr>
            <w:tcW w:w="0" w:type="auto"/>
            <w:shd w:val="clear" w:color="auto" w:fill="auto"/>
          </w:tcPr>
          <w:p w14:paraId="5C6A7AB6" w14:textId="77777777" w:rsidR="008C5CFA" w:rsidRPr="0024468B" w:rsidRDefault="00E82A60" w:rsidP="00300A01">
            <w:pPr>
              <w:spacing w:before="0" w:after="0"/>
              <w:rPr>
                <w:sz w:val="16"/>
                <w:szCs w:val="16"/>
                <w:lang w:val="fr-BE"/>
              </w:rPr>
            </w:pPr>
            <w:r>
              <w:rPr>
                <w:noProof/>
                <w:sz w:val="16"/>
                <w:szCs w:val="16"/>
                <w:lang w:val="fr-BE"/>
              </w:rPr>
              <w:t>027</w:t>
            </w:r>
          </w:p>
        </w:tc>
        <w:tc>
          <w:tcPr>
            <w:tcW w:w="0" w:type="auto"/>
            <w:shd w:val="clear" w:color="auto" w:fill="auto"/>
          </w:tcPr>
          <w:p w14:paraId="7BF27CF8" w14:textId="77777777" w:rsidR="008C5CFA" w:rsidRPr="0024468B" w:rsidRDefault="00E82A60" w:rsidP="00300A01">
            <w:pPr>
              <w:spacing w:before="0" w:after="0"/>
              <w:rPr>
                <w:sz w:val="16"/>
                <w:szCs w:val="16"/>
                <w:lang w:val="fr-BE"/>
              </w:rPr>
            </w:pPr>
            <w:r>
              <w:rPr>
                <w:noProof/>
                <w:sz w:val="16"/>
                <w:szCs w:val="16"/>
                <w:lang w:val="fr-BE"/>
              </w:rPr>
              <w:t>Powierzchnia przygotowanych terenów inwestycyjnych</w:t>
            </w:r>
          </w:p>
        </w:tc>
        <w:tc>
          <w:tcPr>
            <w:tcW w:w="0" w:type="auto"/>
            <w:shd w:val="clear" w:color="auto" w:fill="auto"/>
          </w:tcPr>
          <w:p w14:paraId="20B122AB" w14:textId="77777777" w:rsidR="008C5CFA" w:rsidRPr="0024468B" w:rsidRDefault="00E82A60" w:rsidP="00300A01">
            <w:pPr>
              <w:spacing w:before="0" w:after="0"/>
              <w:rPr>
                <w:sz w:val="16"/>
                <w:szCs w:val="16"/>
                <w:lang w:val="fr-BE"/>
              </w:rPr>
            </w:pPr>
            <w:r w:rsidRPr="0024468B">
              <w:rPr>
                <w:noProof/>
                <w:sz w:val="16"/>
                <w:szCs w:val="16"/>
                <w:lang w:val="fr-BE"/>
              </w:rPr>
              <w:t>ha</w:t>
            </w:r>
          </w:p>
        </w:tc>
        <w:tc>
          <w:tcPr>
            <w:tcW w:w="0" w:type="auto"/>
            <w:shd w:val="clear" w:color="auto" w:fill="auto"/>
          </w:tcPr>
          <w:p w14:paraId="468BB53D" w14:textId="77777777" w:rsidR="008C5CFA" w:rsidRPr="0024468B" w:rsidRDefault="00E82A60"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14:paraId="78B4CB0F" w14:textId="77777777" w:rsidR="008C5CFA" w:rsidRPr="0024468B" w:rsidRDefault="00E82A60" w:rsidP="00300A01">
            <w:pPr>
              <w:spacing w:before="0" w:after="0"/>
              <w:jc w:val="right"/>
              <w:rPr>
                <w:sz w:val="16"/>
                <w:szCs w:val="16"/>
                <w:lang w:val="fr-BE"/>
              </w:rPr>
            </w:pPr>
            <w:r>
              <w:rPr>
                <w:noProof/>
                <w:sz w:val="16"/>
                <w:szCs w:val="16"/>
                <w:lang w:val="fr-BE"/>
              </w:rPr>
              <w:t>66,60</w:t>
            </w:r>
          </w:p>
        </w:tc>
        <w:tc>
          <w:tcPr>
            <w:tcW w:w="0" w:type="auto"/>
            <w:shd w:val="clear" w:color="auto" w:fill="auto"/>
          </w:tcPr>
          <w:p w14:paraId="4ADEFFDA" w14:textId="77777777" w:rsidR="008C5CFA" w:rsidRPr="0024468B" w:rsidRDefault="008C5CFA" w:rsidP="00300A01">
            <w:pPr>
              <w:spacing w:before="0" w:after="0"/>
              <w:jc w:val="right"/>
              <w:rPr>
                <w:sz w:val="16"/>
                <w:szCs w:val="16"/>
                <w:lang w:val="fr-BE"/>
              </w:rPr>
            </w:pPr>
          </w:p>
        </w:tc>
        <w:tc>
          <w:tcPr>
            <w:tcW w:w="0" w:type="auto"/>
          </w:tcPr>
          <w:p w14:paraId="680A1C58" w14:textId="77777777" w:rsidR="008C5CFA" w:rsidRPr="0024468B" w:rsidRDefault="008C5CFA" w:rsidP="00300A01">
            <w:pPr>
              <w:spacing w:before="0" w:after="0"/>
              <w:jc w:val="right"/>
              <w:rPr>
                <w:sz w:val="16"/>
                <w:szCs w:val="16"/>
                <w:lang w:val="fr-BE"/>
              </w:rPr>
            </w:pPr>
          </w:p>
        </w:tc>
        <w:tc>
          <w:tcPr>
            <w:tcW w:w="0" w:type="auto"/>
            <w:shd w:val="clear" w:color="auto" w:fill="auto"/>
          </w:tcPr>
          <w:p w14:paraId="66EE471D" w14:textId="77777777" w:rsidR="008C5CFA" w:rsidRPr="0024468B" w:rsidRDefault="00E82A60" w:rsidP="00300A01">
            <w:pPr>
              <w:spacing w:before="0" w:after="0"/>
              <w:jc w:val="right"/>
              <w:rPr>
                <w:sz w:val="16"/>
                <w:szCs w:val="16"/>
                <w:lang w:val="fr-BE"/>
              </w:rPr>
            </w:pPr>
            <w:r w:rsidRPr="0024468B">
              <w:rPr>
                <w:noProof/>
                <w:sz w:val="16"/>
                <w:szCs w:val="16"/>
                <w:lang w:val="fr-BE"/>
              </w:rPr>
              <w:t>37,80</w:t>
            </w:r>
          </w:p>
        </w:tc>
        <w:tc>
          <w:tcPr>
            <w:tcW w:w="0" w:type="auto"/>
            <w:shd w:val="clear" w:color="auto" w:fill="auto"/>
          </w:tcPr>
          <w:p w14:paraId="5E2B19FF"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36912C25"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7A575F7B" w14:textId="77777777" w:rsidR="008C5CFA" w:rsidRPr="0024468B" w:rsidRDefault="008C5CFA" w:rsidP="00300A01">
            <w:pPr>
              <w:spacing w:before="0" w:after="0"/>
              <w:rPr>
                <w:sz w:val="16"/>
                <w:szCs w:val="16"/>
                <w:lang w:val="fr-BE"/>
              </w:rPr>
            </w:pPr>
          </w:p>
        </w:tc>
      </w:tr>
      <w:tr w:rsidR="006B2EC1" w14:paraId="0607456B" w14:textId="77777777" w:rsidTr="0047688D">
        <w:tc>
          <w:tcPr>
            <w:tcW w:w="0" w:type="auto"/>
          </w:tcPr>
          <w:p w14:paraId="0D60292F" w14:textId="77777777" w:rsidR="008C5CFA" w:rsidRPr="0024468B" w:rsidRDefault="00E82A60" w:rsidP="00300A01">
            <w:pPr>
              <w:spacing w:before="0" w:after="0"/>
              <w:rPr>
                <w:sz w:val="16"/>
                <w:szCs w:val="16"/>
                <w:lang w:val="fr-BE"/>
              </w:rPr>
            </w:pPr>
            <w:r>
              <w:rPr>
                <w:noProof/>
                <w:sz w:val="16"/>
                <w:szCs w:val="16"/>
                <w:lang w:val="fr-BE"/>
              </w:rPr>
              <w:t>F</w:t>
            </w:r>
          </w:p>
        </w:tc>
        <w:tc>
          <w:tcPr>
            <w:tcW w:w="0" w:type="auto"/>
            <w:shd w:val="clear" w:color="auto" w:fill="auto"/>
          </w:tcPr>
          <w:p w14:paraId="3D189CE2" w14:textId="77777777" w:rsidR="008C5CFA" w:rsidRPr="0024468B" w:rsidRDefault="00E82A60" w:rsidP="00300A01">
            <w:pPr>
              <w:spacing w:before="0" w:after="0"/>
              <w:rPr>
                <w:sz w:val="16"/>
                <w:szCs w:val="16"/>
                <w:lang w:val="fr-BE"/>
              </w:rPr>
            </w:pPr>
            <w:r>
              <w:rPr>
                <w:noProof/>
                <w:sz w:val="16"/>
                <w:szCs w:val="16"/>
                <w:lang w:val="fr-BE"/>
              </w:rPr>
              <w:t>139</w:t>
            </w:r>
          </w:p>
        </w:tc>
        <w:tc>
          <w:tcPr>
            <w:tcW w:w="0" w:type="auto"/>
            <w:shd w:val="clear" w:color="auto" w:fill="auto"/>
          </w:tcPr>
          <w:p w14:paraId="74475567" w14:textId="77777777" w:rsidR="008C5CFA" w:rsidRPr="0024468B" w:rsidRDefault="00E82A60" w:rsidP="00300A01">
            <w:pPr>
              <w:spacing w:before="0" w:after="0"/>
              <w:rPr>
                <w:sz w:val="16"/>
                <w:szCs w:val="16"/>
                <w:lang w:val="fr-BE"/>
              </w:rPr>
            </w:pPr>
            <w:r>
              <w:rPr>
                <w:noProof/>
                <w:sz w:val="16"/>
                <w:szCs w:val="16"/>
                <w:lang w:val="fr-BE"/>
              </w:rPr>
              <w:t>Liczba zaawansowanych usług (nowych lub ulepszonych) świadczonych przez IOB</w:t>
            </w:r>
          </w:p>
        </w:tc>
        <w:tc>
          <w:tcPr>
            <w:tcW w:w="0" w:type="auto"/>
            <w:shd w:val="clear" w:color="auto" w:fill="auto"/>
          </w:tcPr>
          <w:p w14:paraId="6FA43F4F" w14:textId="77777777" w:rsidR="008C5CFA" w:rsidRPr="0024468B" w:rsidRDefault="00E82A60" w:rsidP="00300A01">
            <w:pPr>
              <w:spacing w:before="0" w:after="0"/>
              <w:rPr>
                <w:sz w:val="16"/>
                <w:szCs w:val="16"/>
                <w:lang w:val="fr-BE"/>
              </w:rPr>
            </w:pPr>
            <w:r w:rsidRPr="0024468B">
              <w:rPr>
                <w:noProof/>
                <w:sz w:val="16"/>
                <w:szCs w:val="16"/>
                <w:lang w:val="fr-BE"/>
              </w:rPr>
              <w:t>szt.</w:t>
            </w:r>
          </w:p>
        </w:tc>
        <w:tc>
          <w:tcPr>
            <w:tcW w:w="0" w:type="auto"/>
            <w:shd w:val="clear" w:color="auto" w:fill="auto"/>
          </w:tcPr>
          <w:p w14:paraId="0B1DB350" w14:textId="77777777" w:rsidR="008C5CFA" w:rsidRPr="0024468B" w:rsidRDefault="00E82A60"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14:paraId="0D74B00C" w14:textId="77777777" w:rsidR="008C5CFA" w:rsidRPr="0024468B" w:rsidRDefault="00E82A60" w:rsidP="00300A01">
            <w:pPr>
              <w:spacing w:before="0" w:after="0"/>
              <w:jc w:val="right"/>
              <w:rPr>
                <w:sz w:val="16"/>
                <w:szCs w:val="16"/>
                <w:lang w:val="fr-BE"/>
              </w:rPr>
            </w:pPr>
            <w:r>
              <w:rPr>
                <w:noProof/>
                <w:sz w:val="16"/>
                <w:szCs w:val="16"/>
                <w:lang w:val="fr-BE"/>
              </w:rPr>
              <w:t>18,00</w:t>
            </w:r>
          </w:p>
        </w:tc>
        <w:tc>
          <w:tcPr>
            <w:tcW w:w="0" w:type="auto"/>
            <w:shd w:val="clear" w:color="auto" w:fill="auto"/>
          </w:tcPr>
          <w:p w14:paraId="509287BD" w14:textId="77777777" w:rsidR="008C5CFA" w:rsidRPr="0024468B" w:rsidRDefault="008C5CFA" w:rsidP="00300A01">
            <w:pPr>
              <w:spacing w:before="0" w:after="0"/>
              <w:jc w:val="right"/>
              <w:rPr>
                <w:sz w:val="16"/>
                <w:szCs w:val="16"/>
                <w:lang w:val="fr-BE"/>
              </w:rPr>
            </w:pPr>
          </w:p>
        </w:tc>
        <w:tc>
          <w:tcPr>
            <w:tcW w:w="0" w:type="auto"/>
          </w:tcPr>
          <w:p w14:paraId="206E2D29" w14:textId="77777777" w:rsidR="008C5CFA" w:rsidRPr="0024468B" w:rsidRDefault="008C5CFA" w:rsidP="00300A01">
            <w:pPr>
              <w:spacing w:before="0" w:after="0"/>
              <w:jc w:val="right"/>
              <w:rPr>
                <w:sz w:val="16"/>
                <w:szCs w:val="16"/>
                <w:lang w:val="fr-BE"/>
              </w:rPr>
            </w:pPr>
          </w:p>
        </w:tc>
        <w:tc>
          <w:tcPr>
            <w:tcW w:w="0" w:type="auto"/>
            <w:shd w:val="clear" w:color="auto" w:fill="auto"/>
          </w:tcPr>
          <w:p w14:paraId="3DC74D05" w14:textId="77777777" w:rsidR="008C5CFA" w:rsidRPr="0024468B" w:rsidRDefault="00E82A60" w:rsidP="00300A01">
            <w:pPr>
              <w:spacing w:before="0" w:after="0"/>
              <w:jc w:val="right"/>
              <w:rPr>
                <w:sz w:val="16"/>
                <w:szCs w:val="16"/>
                <w:lang w:val="fr-BE"/>
              </w:rPr>
            </w:pPr>
            <w:r w:rsidRPr="0024468B">
              <w:rPr>
                <w:noProof/>
                <w:sz w:val="16"/>
                <w:szCs w:val="16"/>
                <w:lang w:val="fr-BE"/>
              </w:rPr>
              <w:t>26,00</w:t>
            </w:r>
          </w:p>
        </w:tc>
        <w:tc>
          <w:tcPr>
            <w:tcW w:w="0" w:type="auto"/>
            <w:shd w:val="clear" w:color="auto" w:fill="auto"/>
          </w:tcPr>
          <w:p w14:paraId="21E28B77"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0B0D151F"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0FF00548" w14:textId="77777777" w:rsidR="008C5CFA" w:rsidRPr="0024468B" w:rsidRDefault="008C5CFA" w:rsidP="00300A01">
            <w:pPr>
              <w:spacing w:before="0" w:after="0"/>
              <w:rPr>
                <w:sz w:val="16"/>
                <w:szCs w:val="16"/>
                <w:lang w:val="fr-BE"/>
              </w:rPr>
            </w:pPr>
          </w:p>
        </w:tc>
      </w:tr>
      <w:tr w:rsidR="006B2EC1" w14:paraId="108B8DEF" w14:textId="77777777" w:rsidTr="0047688D">
        <w:tc>
          <w:tcPr>
            <w:tcW w:w="0" w:type="auto"/>
          </w:tcPr>
          <w:p w14:paraId="5FFEDE6E" w14:textId="77777777" w:rsidR="008C5CFA" w:rsidRPr="0024468B" w:rsidRDefault="00E82A60" w:rsidP="00300A01">
            <w:pPr>
              <w:spacing w:before="0" w:after="0"/>
              <w:rPr>
                <w:sz w:val="16"/>
                <w:szCs w:val="16"/>
                <w:lang w:val="fr-BE"/>
              </w:rPr>
            </w:pPr>
            <w:r>
              <w:rPr>
                <w:noProof/>
                <w:sz w:val="16"/>
                <w:szCs w:val="16"/>
                <w:lang w:val="fr-BE"/>
              </w:rPr>
              <w:lastRenderedPageBreak/>
              <w:t>S</w:t>
            </w:r>
          </w:p>
        </w:tc>
        <w:tc>
          <w:tcPr>
            <w:tcW w:w="0" w:type="auto"/>
            <w:shd w:val="clear" w:color="auto" w:fill="auto"/>
          </w:tcPr>
          <w:p w14:paraId="4FA80384" w14:textId="77777777" w:rsidR="008C5CFA" w:rsidRPr="0024468B" w:rsidRDefault="00E82A60" w:rsidP="00300A01">
            <w:pPr>
              <w:spacing w:before="0" w:after="0"/>
              <w:rPr>
                <w:sz w:val="16"/>
                <w:szCs w:val="16"/>
                <w:lang w:val="fr-BE"/>
              </w:rPr>
            </w:pPr>
            <w:r>
              <w:rPr>
                <w:noProof/>
                <w:sz w:val="16"/>
                <w:szCs w:val="16"/>
                <w:lang w:val="fr-BE"/>
              </w:rPr>
              <w:t>139</w:t>
            </w:r>
          </w:p>
        </w:tc>
        <w:tc>
          <w:tcPr>
            <w:tcW w:w="0" w:type="auto"/>
            <w:shd w:val="clear" w:color="auto" w:fill="auto"/>
          </w:tcPr>
          <w:p w14:paraId="7B9BCBD2" w14:textId="77777777" w:rsidR="008C5CFA" w:rsidRPr="0024468B" w:rsidRDefault="00E82A60" w:rsidP="00300A01">
            <w:pPr>
              <w:spacing w:before="0" w:after="0"/>
              <w:rPr>
                <w:sz w:val="16"/>
                <w:szCs w:val="16"/>
                <w:lang w:val="fr-BE"/>
              </w:rPr>
            </w:pPr>
            <w:r>
              <w:rPr>
                <w:noProof/>
                <w:sz w:val="16"/>
                <w:szCs w:val="16"/>
                <w:lang w:val="fr-BE"/>
              </w:rPr>
              <w:t>Liczba zaawansowanych usług (nowych lub ulepszonych) świadczonych przez IOB</w:t>
            </w:r>
          </w:p>
        </w:tc>
        <w:tc>
          <w:tcPr>
            <w:tcW w:w="0" w:type="auto"/>
            <w:shd w:val="clear" w:color="auto" w:fill="auto"/>
          </w:tcPr>
          <w:p w14:paraId="22E73492" w14:textId="77777777" w:rsidR="008C5CFA" w:rsidRPr="0024468B" w:rsidRDefault="00E82A60" w:rsidP="00300A01">
            <w:pPr>
              <w:spacing w:before="0" w:after="0"/>
              <w:rPr>
                <w:sz w:val="16"/>
                <w:szCs w:val="16"/>
                <w:lang w:val="fr-BE"/>
              </w:rPr>
            </w:pPr>
            <w:r w:rsidRPr="0024468B">
              <w:rPr>
                <w:noProof/>
                <w:sz w:val="16"/>
                <w:szCs w:val="16"/>
                <w:lang w:val="fr-BE"/>
              </w:rPr>
              <w:t>szt.</w:t>
            </w:r>
          </w:p>
        </w:tc>
        <w:tc>
          <w:tcPr>
            <w:tcW w:w="0" w:type="auto"/>
            <w:shd w:val="clear" w:color="auto" w:fill="auto"/>
          </w:tcPr>
          <w:p w14:paraId="1AD8937E" w14:textId="77777777" w:rsidR="008C5CFA" w:rsidRPr="0024468B" w:rsidRDefault="00E82A60"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14:paraId="019F0312" w14:textId="77777777" w:rsidR="008C5CFA" w:rsidRPr="0024468B" w:rsidRDefault="00E82A60" w:rsidP="00300A01">
            <w:pPr>
              <w:spacing w:before="0" w:after="0"/>
              <w:jc w:val="right"/>
              <w:rPr>
                <w:sz w:val="16"/>
                <w:szCs w:val="16"/>
                <w:lang w:val="fr-BE"/>
              </w:rPr>
            </w:pPr>
            <w:r>
              <w:rPr>
                <w:noProof/>
                <w:sz w:val="16"/>
                <w:szCs w:val="16"/>
                <w:lang w:val="fr-BE"/>
              </w:rPr>
              <w:t>18,00</w:t>
            </w:r>
          </w:p>
        </w:tc>
        <w:tc>
          <w:tcPr>
            <w:tcW w:w="0" w:type="auto"/>
            <w:shd w:val="clear" w:color="auto" w:fill="auto"/>
          </w:tcPr>
          <w:p w14:paraId="4C458927" w14:textId="77777777" w:rsidR="008C5CFA" w:rsidRPr="0024468B" w:rsidRDefault="008C5CFA" w:rsidP="00300A01">
            <w:pPr>
              <w:spacing w:before="0" w:after="0"/>
              <w:jc w:val="right"/>
              <w:rPr>
                <w:sz w:val="16"/>
                <w:szCs w:val="16"/>
                <w:lang w:val="fr-BE"/>
              </w:rPr>
            </w:pPr>
          </w:p>
        </w:tc>
        <w:tc>
          <w:tcPr>
            <w:tcW w:w="0" w:type="auto"/>
          </w:tcPr>
          <w:p w14:paraId="22AB7F2D" w14:textId="77777777" w:rsidR="008C5CFA" w:rsidRPr="0024468B" w:rsidRDefault="008C5CFA" w:rsidP="00300A01">
            <w:pPr>
              <w:spacing w:before="0" w:after="0"/>
              <w:jc w:val="right"/>
              <w:rPr>
                <w:sz w:val="16"/>
                <w:szCs w:val="16"/>
                <w:lang w:val="fr-BE"/>
              </w:rPr>
            </w:pPr>
          </w:p>
        </w:tc>
        <w:tc>
          <w:tcPr>
            <w:tcW w:w="0" w:type="auto"/>
            <w:shd w:val="clear" w:color="auto" w:fill="auto"/>
          </w:tcPr>
          <w:p w14:paraId="283AB6C5" w14:textId="77777777" w:rsidR="008C5CFA" w:rsidRPr="0024468B" w:rsidRDefault="00E82A60" w:rsidP="00300A01">
            <w:pPr>
              <w:spacing w:before="0" w:after="0"/>
              <w:jc w:val="right"/>
              <w:rPr>
                <w:sz w:val="16"/>
                <w:szCs w:val="16"/>
                <w:lang w:val="fr-BE"/>
              </w:rPr>
            </w:pPr>
            <w:r w:rsidRPr="0024468B">
              <w:rPr>
                <w:noProof/>
                <w:sz w:val="16"/>
                <w:szCs w:val="16"/>
                <w:lang w:val="fr-BE"/>
              </w:rPr>
              <w:t>46,00</w:t>
            </w:r>
          </w:p>
        </w:tc>
        <w:tc>
          <w:tcPr>
            <w:tcW w:w="0" w:type="auto"/>
            <w:shd w:val="clear" w:color="auto" w:fill="auto"/>
          </w:tcPr>
          <w:p w14:paraId="6F8259BD"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76B98E02"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4789E7B9" w14:textId="77777777" w:rsidR="008C5CFA" w:rsidRPr="0024468B" w:rsidRDefault="008C5CFA" w:rsidP="00300A01">
            <w:pPr>
              <w:spacing w:before="0" w:after="0"/>
              <w:rPr>
                <w:sz w:val="16"/>
                <w:szCs w:val="16"/>
                <w:lang w:val="fr-BE"/>
              </w:rPr>
            </w:pPr>
          </w:p>
        </w:tc>
      </w:tr>
    </w:tbl>
    <w:p w14:paraId="54D0C89D" w14:textId="77777777" w:rsidR="008C5CFA" w:rsidRDefault="00E82A60" w:rsidP="00300A01">
      <w:pPr>
        <w:spacing w:before="0" w:after="0"/>
        <w:rPr>
          <w:lang w:val="fr-BE"/>
        </w:rPr>
      </w:pPr>
      <w:r>
        <w:rPr>
          <w:noProof/>
          <w:lang w:val="fr-BE"/>
        </w:rPr>
        <w:t>1) S=wartość skumulowana – produkty, które mają być zrealizowane poprzez wybrane operacje [prognoza przedstawiona przez beneficjentów], F=wartość skumulowana – produkty zrealizowane poprzez operacje [rzeczywiste wykonanie]</w:t>
      </w:r>
    </w:p>
    <w:p w14:paraId="68AD111D"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02"/>
        <w:gridCol w:w="498"/>
        <w:gridCol w:w="5123"/>
        <w:gridCol w:w="964"/>
        <w:gridCol w:w="1150"/>
        <w:gridCol w:w="973"/>
        <w:gridCol w:w="964"/>
        <w:gridCol w:w="1150"/>
        <w:gridCol w:w="973"/>
        <w:gridCol w:w="964"/>
        <w:gridCol w:w="1150"/>
        <w:gridCol w:w="973"/>
      </w:tblGrid>
      <w:tr w:rsidR="006B2EC1" w14:paraId="0F1EEB43" w14:textId="77777777" w:rsidTr="0047688D">
        <w:trPr>
          <w:tblHeader/>
        </w:trPr>
        <w:tc>
          <w:tcPr>
            <w:tcW w:w="0" w:type="auto"/>
          </w:tcPr>
          <w:p w14:paraId="52767CD2" w14:textId="77777777" w:rsidR="008C5CFA" w:rsidRPr="009143B4" w:rsidRDefault="00E82A60" w:rsidP="00300A01">
            <w:pPr>
              <w:spacing w:before="0" w:after="0"/>
              <w:rPr>
                <w:b/>
                <w:sz w:val="16"/>
                <w:szCs w:val="16"/>
                <w:lang w:val="fr-BE"/>
              </w:rPr>
            </w:pPr>
            <w:r w:rsidRPr="009143B4">
              <w:rPr>
                <w:b/>
                <w:sz w:val="16"/>
                <w:szCs w:val="16"/>
                <w:lang w:val="fr-BE"/>
              </w:rPr>
              <w:t>(1)</w:t>
            </w:r>
          </w:p>
        </w:tc>
        <w:tc>
          <w:tcPr>
            <w:tcW w:w="0" w:type="auto"/>
            <w:shd w:val="clear" w:color="auto" w:fill="auto"/>
          </w:tcPr>
          <w:p w14:paraId="269F64B9" w14:textId="77777777" w:rsidR="008C5CFA" w:rsidRPr="009143B4" w:rsidRDefault="00E82A60" w:rsidP="00300A01">
            <w:pPr>
              <w:spacing w:before="0" w:after="0"/>
              <w:rPr>
                <w:b/>
                <w:sz w:val="16"/>
                <w:szCs w:val="16"/>
                <w:lang w:val="fr-BE"/>
              </w:rPr>
            </w:pPr>
            <w:r w:rsidRPr="009143B4">
              <w:rPr>
                <w:b/>
                <w:noProof/>
                <w:sz w:val="16"/>
                <w:szCs w:val="16"/>
                <w:lang w:val="fr-BE"/>
              </w:rPr>
              <w:t>ID</w:t>
            </w:r>
          </w:p>
        </w:tc>
        <w:tc>
          <w:tcPr>
            <w:tcW w:w="0" w:type="auto"/>
            <w:shd w:val="clear" w:color="auto" w:fill="auto"/>
          </w:tcPr>
          <w:p w14:paraId="4BE7DE47" w14:textId="77777777" w:rsidR="008C5CFA" w:rsidRPr="009143B4" w:rsidRDefault="00E82A60" w:rsidP="00300A01">
            <w:pPr>
              <w:spacing w:before="0" w:after="0"/>
              <w:rPr>
                <w:b/>
                <w:sz w:val="16"/>
                <w:szCs w:val="16"/>
                <w:lang w:val="fr-BE"/>
              </w:rPr>
            </w:pPr>
            <w:r w:rsidRPr="009143B4">
              <w:rPr>
                <w:b/>
                <w:noProof/>
                <w:sz w:val="16"/>
                <w:szCs w:val="16"/>
                <w:lang w:val="fr-BE"/>
              </w:rPr>
              <w:t>Wskaźnik</w:t>
            </w:r>
          </w:p>
        </w:tc>
        <w:tc>
          <w:tcPr>
            <w:tcW w:w="0" w:type="auto"/>
          </w:tcPr>
          <w:p w14:paraId="1947382A" w14:textId="77777777" w:rsidR="008C5CFA" w:rsidRPr="009143B4" w:rsidRDefault="00E82A60" w:rsidP="00300A01">
            <w:pPr>
              <w:spacing w:before="0" w:after="0"/>
              <w:jc w:val="center"/>
              <w:rPr>
                <w:b/>
                <w:sz w:val="16"/>
                <w:szCs w:val="16"/>
                <w:lang w:val="fr-BE"/>
              </w:rPr>
            </w:pPr>
            <w:r>
              <w:rPr>
                <w:b/>
                <w:sz w:val="16"/>
                <w:szCs w:val="16"/>
                <w:lang w:val="fr-BE"/>
              </w:rPr>
              <w:t xml:space="preserve">2018 </w:t>
            </w:r>
            <w:r w:rsidRPr="009143B4">
              <w:rPr>
                <w:b/>
                <w:noProof/>
                <w:sz w:val="16"/>
                <w:szCs w:val="16"/>
                <w:lang w:val="fr-BE"/>
              </w:rPr>
              <w:t>Ogółem</w:t>
            </w:r>
          </w:p>
        </w:tc>
        <w:tc>
          <w:tcPr>
            <w:tcW w:w="0" w:type="auto"/>
          </w:tcPr>
          <w:p w14:paraId="5C426C16" w14:textId="77777777" w:rsidR="008C5CFA" w:rsidRPr="009143B4" w:rsidRDefault="00E82A60" w:rsidP="00300A01">
            <w:pPr>
              <w:spacing w:before="0" w:after="0"/>
              <w:jc w:val="center"/>
              <w:rPr>
                <w:b/>
                <w:sz w:val="16"/>
                <w:szCs w:val="16"/>
                <w:lang w:val="fr-BE"/>
              </w:rPr>
            </w:pPr>
            <w:r>
              <w:rPr>
                <w:b/>
                <w:sz w:val="16"/>
                <w:szCs w:val="16"/>
                <w:lang w:val="fr-BE"/>
              </w:rPr>
              <w:t xml:space="preserve">2018 </w:t>
            </w:r>
            <w:r w:rsidRPr="009143B4">
              <w:rPr>
                <w:b/>
                <w:noProof/>
                <w:sz w:val="16"/>
                <w:szCs w:val="16"/>
                <w:lang w:val="fr-BE"/>
              </w:rPr>
              <w:t>Mężczyźni</w:t>
            </w:r>
          </w:p>
        </w:tc>
        <w:tc>
          <w:tcPr>
            <w:tcW w:w="0" w:type="auto"/>
          </w:tcPr>
          <w:p w14:paraId="7B39771C" w14:textId="77777777" w:rsidR="008C5CFA" w:rsidRPr="009143B4" w:rsidRDefault="00E82A60" w:rsidP="00300A01">
            <w:pPr>
              <w:spacing w:before="0" w:after="0"/>
              <w:jc w:val="center"/>
              <w:rPr>
                <w:b/>
                <w:sz w:val="16"/>
                <w:szCs w:val="16"/>
                <w:lang w:val="fr-BE"/>
              </w:rPr>
            </w:pPr>
            <w:r>
              <w:rPr>
                <w:b/>
                <w:sz w:val="16"/>
                <w:szCs w:val="16"/>
                <w:lang w:val="fr-BE"/>
              </w:rPr>
              <w:t xml:space="preserve">2018 </w:t>
            </w:r>
            <w:r w:rsidRPr="009143B4">
              <w:rPr>
                <w:b/>
                <w:noProof/>
                <w:sz w:val="16"/>
                <w:szCs w:val="16"/>
                <w:lang w:val="fr-BE"/>
              </w:rPr>
              <w:t>Kobiety</w:t>
            </w:r>
          </w:p>
        </w:tc>
        <w:tc>
          <w:tcPr>
            <w:tcW w:w="0" w:type="auto"/>
          </w:tcPr>
          <w:p w14:paraId="669B5552" w14:textId="77777777" w:rsidR="008C5CFA" w:rsidRPr="009143B4" w:rsidRDefault="00E82A60"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Ogółem</w:t>
            </w:r>
          </w:p>
        </w:tc>
        <w:tc>
          <w:tcPr>
            <w:tcW w:w="0" w:type="auto"/>
          </w:tcPr>
          <w:p w14:paraId="70251735" w14:textId="77777777" w:rsidR="008C5CFA" w:rsidRPr="009143B4" w:rsidRDefault="00E82A60"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Mężczyźni</w:t>
            </w:r>
          </w:p>
        </w:tc>
        <w:tc>
          <w:tcPr>
            <w:tcW w:w="0" w:type="auto"/>
          </w:tcPr>
          <w:p w14:paraId="59F84616" w14:textId="77777777" w:rsidR="008C5CFA" w:rsidRPr="009143B4" w:rsidRDefault="00E82A60"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Kobiety</w:t>
            </w:r>
          </w:p>
        </w:tc>
        <w:tc>
          <w:tcPr>
            <w:tcW w:w="0" w:type="auto"/>
            <w:shd w:val="clear" w:color="auto" w:fill="auto"/>
          </w:tcPr>
          <w:p w14:paraId="24A5A152" w14:textId="77777777" w:rsidR="008C5CFA" w:rsidRPr="009143B4" w:rsidRDefault="00E82A60"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Ogółem</w:t>
            </w:r>
          </w:p>
        </w:tc>
        <w:tc>
          <w:tcPr>
            <w:tcW w:w="0" w:type="auto"/>
            <w:shd w:val="clear" w:color="auto" w:fill="auto"/>
          </w:tcPr>
          <w:p w14:paraId="012A8CC7" w14:textId="77777777" w:rsidR="008C5CFA" w:rsidRPr="009143B4" w:rsidRDefault="00E82A60"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Mężczyźni</w:t>
            </w:r>
          </w:p>
        </w:tc>
        <w:tc>
          <w:tcPr>
            <w:tcW w:w="0" w:type="auto"/>
            <w:shd w:val="clear" w:color="auto" w:fill="auto"/>
          </w:tcPr>
          <w:p w14:paraId="5867546E" w14:textId="77777777" w:rsidR="008C5CFA" w:rsidRPr="009143B4" w:rsidRDefault="00E82A60"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Kobiety</w:t>
            </w:r>
          </w:p>
        </w:tc>
      </w:tr>
      <w:tr w:rsidR="006B2EC1" w14:paraId="0E0EC1D3" w14:textId="77777777" w:rsidTr="0047688D">
        <w:tc>
          <w:tcPr>
            <w:tcW w:w="0" w:type="auto"/>
          </w:tcPr>
          <w:p w14:paraId="30342C7A" w14:textId="77777777" w:rsidR="008C5CFA" w:rsidRPr="0024468B" w:rsidRDefault="00E82A60" w:rsidP="00300A01">
            <w:pPr>
              <w:spacing w:before="0" w:after="0"/>
              <w:rPr>
                <w:sz w:val="16"/>
                <w:szCs w:val="16"/>
                <w:lang w:val="fr-BE"/>
              </w:rPr>
            </w:pPr>
            <w:r>
              <w:rPr>
                <w:noProof/>
                <w:sz w:val="16"/>
                <w:szCs w:val="16"/>
                <w:lang w:val="fr-BE"/>
              </w:rPr>
              <w:t>F</w:t>
            </w:r>
          </w:p>
        </w:tc>
        <w:tc>
          <w:tcPr>
            <w:tcW w:w="0" w:type="auto"/>
            <w:shd w:val="clear" w:color="auto" w:fill="auto"/>
          </w:tcPr>
          <w:p w14:paraId="5C9B1491" w14:textId="77777777" w:rsidR="008C5CFA" w:rsidRPr="0024468B" w:rsidRDefault="00E82A60" w:rsidP="00300A01">
            <w:pPr>
              <w:spacing w:before="0" w:after="0"/>
              <w:rPr>
                <w:sz w:val="16"/>
                <w:szCs w:val="16"/>
                <w:lang w:val="fr-BE"/>
              </w:rPr>
            </w:pPr>
            <w:r w:rsidRPr="0024468B">
              <w:rPr>
                <w:noProof/>
                <w:sz w:val="16"/>
                <w:szCs w:val="16"/>
                <w:lang w:val="fr-BE"/>
              </w:rPr>
              <w:t>CO01</w:t>
            </w:r>
          </w:p>
        </w:tc>
        <w:tc>
          <w:tcPr>
            <w:tcW w:w="0" w:type="auto"/>
            <w:shd w:val="clear" w:color="auto" w:fill="auto"/>
          </w:tcPr>
          <w:p w14:paraId="4470ED1F" w14:textId="77777777" w:rsidR="008C5CFA" w:rsidRPr="0024468B" w:rsidRDefault="00E82A60" w:rsidP="00300A01">
            <w:pPr>
              <w:spacing w:before="0" w:after="0"/>
              <w:rPr>
                <w:sz w:val="16"/>
                <w:szCs w:val="16"/>
                <w:lang w:val="fr-BE"/>
              </w:rPr>
            </w:pPr>
            <w:r w:rsidRPr="0024468B">
              <w:rPr>
                <w:noProof/>
                <w:sz w:val="16"/>
                <w:szCs w:val="16"/>
                <w:lang w:val="fr-BE"/>
              </w:rPr>
              <w:t>Inwestycje produkcyjne: liczba przedsiębiorstw otrzymujących wsparcie</w:t>
            </w:r>
          </w:p>
        </w:tc>
        <w:tc>
          <w:tcPr>
            <w:tcW w:w="0" w:type="auto"/>
          </w:tcPr>
          <w:p w14:paraId="3B458E10" w14:textId="77777777" w:rsidR="008C5CFA" w:rsidRPr="0024468B" w:rsidRDefault="00E82A60" w:rsidP="00300A01">
            <w:pPr>
              <w:spacing w:before="0" w:after="0"/>
              <w:jc w:val="right"/>
              <w:rPr>
                <w:sz w:val="16"/>
                <w:szCs w:val="16"/>
                <w:lang w:val="fr-BE"/>
              </w:rPr>
            </w:pPr>
            <w:r w:rsidRPr="0024468B">
              <w:rPr>
                <w:noProof/>
                <w:sz w:val="16"/>
                <w:szCs w:val="16"/>
                <w:lang w:val="fr-BE"/>
              </w:rPr>
              <w:t>4,00</w:t>
            </w:r>
          </w:p>
        </w:tc>
        <w:tc>
          <w:tcPr>
            <w:tcW w:w="0" w:type="auto"/>
          </w:tcPr>
          <w:p w14:paraId="7667C072"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054EBDF1"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38D98903"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0C6A165A"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5CE84180"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5525BE4A"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24020137"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7BF556C5"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r w:rsidR="006B2EC1" w14:paraId="1AB0824D" w14:textId="77777777" w:rsidTr="0047688D">
        <w:tc>
          <w:tcPr>
            <w:tcW w:w="0" w:type="auto"/>
          </w:tcPr>
          <w:p w14:paraId="672E71AC" w14:textId="77777777" w:rsidR="008C5CFA" w:rsidRPr="0024468B" w:rsidRDefault="00E82A60" w:rsidP="00300A01">
            <w:pPr>
              <w:spacing w:before="0" w:after="0"/>
              <w:rPr>
                <w:sz w:val="16"/>
                <w:szCs w:val="16"/>
                <w:lang w:val="fr-BE"/>
              </w:rPr>
            </w:pPr>
            <w:r>
              <w:rPr>
                <w:noProof/>
                <w:sz w:val="16"/>
                <w:szCs w:val="16"/>
                <w:lang w:val="fr-BE"/>
              </w:rPr>
              <w:t>S</w:t>
            </w:r>
          </w:p>
        </w:tc>
        <w:tc>
          <w:tcPr>
            <w:tcW w:w="0" w:type="auto"/>
            <w:shd w:val="clear" w:color="auto" w:fill="auto"/>
          </w:tcPr>
          <w:p w14:paraId="7BCBD242" w14:textId="77777777" w:rsidR="008C5CFA" w:rsidRPr="0024468B" w:rsidRDefault="00E82A60" w:rsidP="00300A01">
            <w:pPr>
              <w:spacing w:before="0" w:after="0"/>
              <w:rPr>
                <w:sz w:val="16"/>
                <w:szCs w:val="16"/>
                <w:lang w:val="fr-BE"/>
              </w:rPr>
            </w:pPr>
            <w:r w:rsidRPr="0024468B">
              <w:rPr>
                <w:noProof/>
                <w:sz w:val="16"/>
                <w:szCs w:val="16"/>
                <w:lang w:val="fr-BE"/>
              </w:rPr>
              <w:t>CO01</w:t>
            </w:r>
          </w:p>
        </w:tc>
        <w:tc>
          <w:tcPr>
            <w:tcW w:w="0" w:type="auto"/>
            <w:shd w:val="clear" w:color="auto" w:fill="auto"/>
          </w:tcPr>
          <w:p w14:paraId="554E3B11" w14:textId="77777777" w:rsidR="008C5CFA" w:rsidRPr="0024468B" w:rsidRDefault="00E82A60" w:rsidP="00300A01">
            <w:pPr>
              <w:spacing w:before="0" w:after="0"/>
              <w:rPr>
                <w:sz w:val="16"/>
                <w:szCs w:val="16"/>
                <w:lang w:val="fr-BE"/>
              </w:rPr>
            </w:pPr>
            <w:r w:rsidRPr="0024468B">
              <w:rPr>
                <w:noProof/>
                <w:sz w:val="16"/>
                <w:szCs w:val="16"/>
                <w:lang w:val="fr-BE"/>
              </w:rPr>
              <w:t>Inwestycje produkcyjne: liczba przedsiębiorstw otrzymujących wsparcie</w:t>
            </w:r>
          </w:p>
        </w:tc>
        <w:tc>
          <w:tcPr>
            <w:tcW w:w="0" w:type="auto"/>
          </w:tcPr>
          <w:p w14:paraId="353CD637" w14:textId="77777777" w:rsidR="008C5CFA" w:rsidRPr="0024468B" w:rsidRDefault="00E82A60" w:rsidP="00300A01">
            <w:pPr>
              <w:spacing w:before="0" w:after="0"/>
              <w:jc w:val="right"/>
              <w:rPr>
                <w:sz w:val="16"/>
                <w:szCs w:val="16"/>
                <w:lang w:val="fr-BE"/>
              </w:rPr>
            </w:pPr>
            <w:r w:rsidRPr="0024468B">
              <w:rPr>
                <w:noProof/>
                <w:sz w:val="16"/>
                <w:szCs w:val="16"/>
                <w:lang w:val="fr-BE"/>
              </w:rPr>
              <w:t>310,00</w:t>
            </w:r>
          </w:p>
        </w:tc>
        <w:tc>
          <w:tcPr>
            <w:tcW w:w="0" w:type="auto"/>
          </w:tcPr>
          <w:p w14:paraId="79F2CA0D"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723E5F43"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5DD987FF"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7D4328CF"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148191FA"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49C9D233"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5E91D913"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1C4192FC"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r w:rsidR="006B2EC1" w14:paraId="60F747BA" w14:textId="77777777" w:rsidTr="0047688D">
        <w:tc>
          <w:tcPr>
            <w:tcW w:w="0" w:type="auto"/>
          </w:tcPr>
          <w:p w14:paraId="008372A8" w14:textId="77777777" w:rsidR="008C5CFA" w:rsidRPr="0024468B" w:rsidRDefault="00E82A60" w:rsidP="00300A01">
            <w:pPr>
              <w:spacing w:before="0" w:after="0"/>
              <w:rPr>
                <w:sz w:val="16"/>
                <w:szCs w:val="16"/>
                <w:lang w:val="fr-BE"/>
              </w:rPr>
            </w:pPr>
            <w:r>
              <w:rPr>
                <w:noProof/>
                <w:sz w:val="16"/>
                <w:szCs w:val="16"/>
                <w:lang w:val="fr-BE"/>
              </w:rPr>
              <w:t>F</w:t>
            </w:r>
          </w:p>
        </w:tc>
        <w:tc>
          <w:tcPr>
            <w:tcW w:w="0" w:type="auto"/>
            <w:shd w:val="clear" w:color="auto" w:fill="auto"/>
          </w:tcPr>
          <w:p w14:paraId="4DD250BA" w14:textId="77777777" w:rsidR="008C5CFA" w:rsidRPr="0024468B" w:rsidRDefault="00E82A60" w:rsidP="00300A01">
            <w:pPr>
              <w:spacing w:before="0" w:after="0"/>
              <w:rPr>
                <w:sz w:val="16"/>
                <w:szCs w:val="16"/>
                <w:lang w:val="fr-BE"/>
              </w:rPr>
            </w:pPr>
            <w:r w:rsidRPr="0024468B">
              <w:rPr>
                <w:noProof/>
                <w:sz w:val="16"/>
                <w:szCs w:val="16"/>
                <w:lang w:val="fr-BE"/>
              </w:rPr>
              <w:t>CO04</w:t>
            </w:r>
          </w:p>
        </w:tc>
        <w:tc>
          <w:tcPr>
            <w:tcW w:w="0" w:type="auto"/>
            <w:shd w:val="clear" w:color="auto" w:fill="auto"/>
          </w:tcPr>
          <w:p w14:paraId="186FC42B" w14:textId="77777777" w:rsidR="008C5CFA" w:rsidRPr="0024468B" w:rsidRDefault="00E82A60" w:rsidP="00300A01">
            <w:pPr>
              <w:spacing w:before="0" w:after="0"/>
              <w:rPr>
                <w:sz w:val="16"/>
                <w:szCs w:val="16"/>
                <w:lang w:val="fr-BE"/>
              </w:rPr>
            </w:pPr>
            <w:r w:rsidRPr="0024468B">
              <w:rPr>
                <w:noProof/>
                <w:sz w:val="16"/>
                <w:szCs w:val="16"/>
                <w:lang w:val="fr-BE"/>
              </w:rPr>
              <w:t>Inwestycje produkcyjne: liczba przedsiębiorstw otrzymujących wsparcie niefinansowe</w:t>
            </w:r>
          </w:p>
        </w:tc>
        <w:tc>
          <w:tcPr>
            <w:tcW w:w="0" w:type="auto"/>
          </w:tcPr>
          <w:p w14:paraId="12C56756" w14:textId="77777777" w:rsidR="008C5CFA" w:rsidRPr="0024468B" w:rsidRDefault="00E82A60" w:rsidP="00300A01">
            <w:pPr>
              <w:spacing w:before="0" w:after="0"/>
              <w:jc w:val="right"/>
              <w:rPr>
                <w:sz w:val="16"/>
                <w:szCs w:val="16"/>
                <w:lang w:val="fr-BE"/>
              </w:rPr>
            </w:pPr>
            <w:r w:rsidRPr="0024468B">
              <w:rPr>
                <w:noProof/>
                <w:sz w:val="16"/>
                <w:szCs w:val="16"/>
                <w:lang w:val="fr-BE"/>
              </w:rPr>
              <w:t>4,00</w:t>
            </w:r>
          </w:p>
        </w:tc>
        <w:tc>
          <w:tcPr>
            <w:tcW w:w="0" w:type="auto"/>
          </w:tcPr>
          <w:p w14:paraId="3A1A0D2F"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14788DBB"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6FE2079D"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4D4AF337"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4F617572"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68E388E7"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7C07F4BC"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5844C2F0"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r w:rsidR="006B2EC1" w14:paraId="5ECAAC82" w14:textId="77777777" w:rsidTr="0047688D">
        <w:tc>
          <w:tcPr>
            <w:tcW w:w="0" w:type="auto"/>
          </w:tcPr>
          <w:p w14:paraId="0987A2E9" w14:textId="77777777" w:rsidR="008C5CFA" w:rsidRPr="0024468B" w:rsidRDefault="00E82A60" w:rsidP="00300A01">
            <w:pPr>
              <w:spacing w:before="0" w:after="0"/>
              <w:rPr>
                <w:sz w:val="16"/>
                <w:szCs w:val="16"/>
                <w:lang w:val="fr-BE"/>
              </w:rPr>
            </w:pPr>
            <w:r>
              <w:rPr>
                <w:noProof/>
                <w:sz w:val="16"/>
                <w:szCs w:val="16"/>
                <w:lang w:val="fr-BE"/>
              </w:rPr>
              <w:t>S</w:t>
            </w:r>
          </w:p>
        </w:tc>
        <w:tc>
          <w:tcPr>
            <w:tcW w:w="0" w:type="auto"/>
            <w:shd w:val="clear" w:color="auto" w:fill="auto"/>
          </w:tcPr>
          <w:p w14:paraId="33816D2F" w14:textId="77777777" w:rsidR="008C5CFA" w:rsidRPr="0024468B" w:rsidRDefault="00E82A60" w:rsidP="00300A01">
            <w:pPr>
              <w:spacing w:before="0" w:after="0"/>
              <w:rPr>
                <w:sz w:val="16"/>
                <w:szCs w:val="16"/>
                <w:lang w:val="fr-BE"/>
              </w:rPr>
            </w:pPr>
            <w:r w:rsidRPr="0024468B">
              <w:rPr>
                <w:noProof/>
                <w:sz w:val="16"/>
                <w:szCs w:val="16"/>
                <w:lang w:val="fr-BE"/>
              </w:rPr>
              <w:t>CO04</w:t>
            </w:r>
          </w:p>
        </w:tc>
        <w:tc>
          <w:tcPr>
            <w:tcW w:w="0" w:type="auto"/>
            <w:shd w:val="clear" w:color="auto" w:fill="auto"/>
          </w:tcPr>
          <w:p w14:paraId="074661D2" w14:textId="77777777" w:rsidR="008C5CFA" w:rsidRPr="0024468B" w:rsidRDefault="00E82A60" w:rsidP="00300A01">
            <w:pPr>
              <w:spacing w:before="0" w:after="0"/>
              <w:rPr>
                <w:sz w:val="16"/>
                <w:szCs w:val="16"/>
                <w:lang w:val="fr-BE"/>
              </w:rPr>
            </w:pPr>
            <w:r w:rsidRPr="0024468B">
              <w:rPr>
                <w:noProof/>
                <w:sz w:val="16"/>
                <w:szCs w:val="16"/>
                <w:lang w:val="fr-BE"/>
              </w:rPr>
              <w:t>Inwestycje produkcyjne: liczba przedsiębiorstw otrzymujących wsparcie niefinansowe</w:t>
            </w:r>
          </w:p>
        </w:tc>
        <w:tc>
          <w:tcPr>
            <w:tcW w:w="0" w:type="auto"/>
          </w:tcPr>
          <w:p w14:paraId="32235C2E" w14:textId="77777777" w:rsidR="008C5CFA" w:rsidRPr="0024468B" w:rsidRDefault="00E82A60" w:rsidP="00300A01">
            <w:pPr>
              <w:spacing w:before="0" w:after="0"/>
              <w:jc w:val="right"/>
              <w:rPr>
                <w:sz w:val="16"/>
                <w:szCs w:val="16"/>
                <w:lang w:val="fr-BE"/>
              </w:rPr>
            </w:pPr>
            <w:r w:rsidRPr="0024468B">
              <w:rPr>
                <w:noProof/>
                <w:sz w:val="16"/>
                <w:szCs w:val="16"/>
                <w:lang w:val="fr-BE"/>
              </w:rPr>
              <w:t>310,00</w:t>
            </w:r>
          </w:p>
        </w:tc>
        <w:tc>
          <w:tcPr>
            <w:tcW w:w="0" w:type="auto"/>
          </w:tcPr>
          <w:p w14:paraId="11940E9B"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78010521"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5A2EC55D"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4F565CB9"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3F2FFA2D"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2E9D6970"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67E2C667"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01E239A9"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r w:rsidR="006B2EC1" w14:paraId="175C0BCA" w14:textId="77777777" w:rsidTr="0047688D">
        <w:tc>
          <w:tcPr>
            <w:tcW w:w="0" w:type="auto"/>
          </w:tcPr>
          <w:p w14:paraId="2048E633" w14:textId="77777777" w:rsidR="008C5CFA" w:rsidRPr="0024468B" w:rsidRDefault="00E82A60" w:rsidP="00300A01">
            <w:pPr>
              <w:spacing w:before="0" w:after="0"/>
              <w:rPr>
                <w:sz w:val="16"/>
                <w:szCs w:val="16"/>
                <w:lang w:val="fr-BE"/>
              </w:rPr>
            </w:pPr>
            <w:r>
              <w:rPr>
                <w:noProof/>
                <w:sz w:val="16"/>
                <w:szCs w:val="16"/>
                <w:lang w:val="fr-BE"/>
              </w:rPr>
              <w:t>F</w:t>
            </w:r>
          </w:p>
        </w:tc>
        <w:tc>
          <w:tcPr>
            <w:tcW w:w="0" w:type="auto"/>
            <w:shd w:val="clear" w:color="auto" w:fill="auto"/>
          </w:tcPr>
          <w:p w14:paraId="27B3FD62" w14:textId="77777777" w:rsidR="008C5CFA" w:rsidRPr="0024468B" w:rsidRDefault="00E82A60" w:rsidP="00300A01">
            <w:pPr>
              <w:spacing w:before="0" w:after="0"/>
              <w:rPr>
                <w:sz w:val="16"/>
                <w:szCs w:val="16"/>
                <w:lang w:val="fr-BE"/>
              </w:rPr>
            </w:pPr>
            <w:r w:rsidRPr="0024468B">
              <w:rPr>
                <w:noProof/>
                <w:sz w:val="16"/>
                <w:szCs w:val="16"/>
                <w:lang w:val="fr-BE"/>
              </w:rPr>
              <w:t>CO05</w:t>
            </w:r>
          </w:p>
        </w:tc>
        <w:tc>
          <w:tcPr>
            <w:tcW w:w="0" w:type="auto"/>
            <w:shd w:val="clear" w:color="auto" w:fill="auto"/>
          </w:tcPr>
          <w:p w14:paraId="3F0C5DB0" w14:textId="77777777" w:rsidR="008C5CFA" w:rsidRPr="0024468B" w:rsidRDefault="00E82A60" w:rsidP="00300A01">
            <w:pPr>
              <w:spacing w:before="0" w:after="0"/>
              <w:rPr>
                <w:sz w:val="16"/>
                <w:szCs w:val="16"/>
                <w:lang w:val="fr-BE"/>
              </w:rPr>
            </w:pPr>
            <w:r w:rsidRPr="0024468B">
              <w:rPr>
                <w:noProof/>
                <w:sz w:val="16"/>
                <w:szCs w:val="16"/>
                <w:lang w:val="fr-BE"/>
              </w:rPr>
              <w:t>Inwestycje produkcyjne: liczba wspieranych nowych przedsiębiorstw</w:t>
            </w:r>
          </w:p>
        </w:tc>
        <w:tc>
          <w:tcPr>
            <w:tcW w:w="0" w:type="auto"/>
          </w:tcPr>
          <w:p w14:paraId="5872EE8B" w14:textId="77777777" w:rsidR="008C5CFA" w:rsidRPr="0024468B" w:rsidRDefault="00E82A60" w:rsidP="00300A01">
            <w:pPr>
              <w:spacing w:before="0" w:after="0"/>
              <w:jc w:val="right"/>
              <w:rPr>
                <w:sz w:val="16"/>
                <w:szCs w:val="16"/>
                <w:lang w:val="fr-BE"/>
              </w:rPr>
            </w:pPr>
            <w:r w:rsidRPr="0024468B">
              <w:rPr>
                <w:noProof/>
                <w:sz w:val="16"/>
                <w:szCs w:val="16"/>
                <w:lang w:val="fr-BE"/>
              </w:rPr>
              <w:t>4,00</w:t>
            </w:r>
          </w:p>
        </w:tc>
        <w:tc>
          <w:tcPr>
            <w:tcW w:w="0" w:type="auto"/>
          </w:tcPr>
          <w:p w14:paraId="4C3640E2"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5863F7A4"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0E202ABE"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03147E8A"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44471A7F"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76D053FA"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3132867F"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7A5E8688"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r w:rsidR="006B2EC1" w14:paraId="2B20D284" w14:textId="77777777" w:rsidTr="0047688D">
        <w:tc>
          <w:tcPr>
            <w:tcW w:w="0" w:type="auto"/>
          </w:tcPr>
          <w:p w14:paraId="413D0BF1" w14:textId="77777777" w:rsidR="008C5CFA" w:rsidRPr="0024468B" w:rsidRDefault="00E82A60" w:rsidP="00300A01">
            <w:pPr>
              <w:spacing w:before="0" w:after="0"/>
              <w:rPr>
                <w:sz w:val="16"/>
                <w:szCs w:val="16"/>
                <w:lang w:val="fr-BE"/>
              </w:rPr>
            </w:pPr>
            <w:r>
              <w:rPr>
                <w:noProof/>
                <w:sz w:val="16"/>
                <w:szCs w:val="16"/>
                <w:lang w:val="fr-BE"/>
              </w:rPr>
              <w:t>S</w:t>
            </w:r>
          </w:p>
        </w:tc>
        <w:tc>
          <w:tcPr>
            <w:tcW w:w="0" w:type="auto"/>
            <w:shd w:val="clear" w:color="auto" w:fill="auto"/>
          </w:tcPr>
          <w:p w14:paraId="5DFFE1EF" w14:textId="77777777" w:rsidR="008C5CFA" w:rsidRPr="0024468B" w:rsidRDefault="00E82A60" w:rsidP="00300A01">
            <w:pPr>
              <w:spacing w:before="0" w:after="0"/>
              <w:rPr>
                <w:sz w:val="16"/>
                <w:szCs w:val="16"/>
                <w:lang w:val="fr-BE"/>
              </w:rPr>
            </w:pPr>
            <w:r w:rsidRPr="0024468B">
              <w:rPr>
                <w:noProof/>
                <w:sz w:val="16"/>
                <w:szCs w:val="16"/>
                <w:lang w:val="fr-BE"/>
              </w:rPr>
              <w:t>CO05</w:t>
            </w:r>
          </w:p>
        </w:tc>
        <w:tc>
          <w:tcPr>
            <w:tcW w:w="0" w:type="auto"/>
            <w:shd w:val="clear" w:color="auto" w:fill="auto"/>
          </w:tcPr>
          <w:p w14:paraId="3C8B6F4E" w14:textId="77777777" w:rsidR="008C5CFA" w:rsidRPr="0024468B" w:rsidRDefault="00E82A60" w:rsidP="00300A01">
            <w:pPr>
              <w:spacing w:before="0" w:after="0"/>
              <w:rPr>
                <w:sz w:val="16"/>
                <w:szCs w:val="16"/>
                <w:lang w:val="fr-BE"/>
              </w:rPr>
            </w:pPr>
            <w:r w:rsidRPr="0024468B">
              <w:rPr>
                <w:noProof/>
                <w:sz w:val="16"/>
                <w:szCs w:val="16"/>
                <w:lang w:val="fr-BE"/>
              </w:rPr>
              <w:t>Inwestycje produkcyjne: liczba wspieranych nowych przedsiębiorstw</w:t>
            </w:r>
          </w:p>
        </w:tc>
        <w:tc>
          <w:tcPr>
            <w:tcW w:w="0" w:type="auto"/>
          </w:tcPr>
          <w:p w14:paraId="4C39E93D" w14:textId="77777777" w:rsidR="008C5CFA" w:rsidRPr="0024468B" w:rsidRDefault="00E82A60" w:rsidP="00300A01">
            <w:pPr>
              <w:spacing w:before="0" w:after="0"/>
              <w:jc w:val="right"/>
              <w:rPr>
                <w:sz w:val="16"/>
                <w:szCs w:val="16"/>
                <w:lang w:val="fr-BE"/>
              </w:rPr>
            </w:pPr>
            <w:r w:rsidRPr="0024468B">
              <w:rPr>
                <w:noProof/>
                <w:sz w:val="16"/>
                <w:szCs w:val="16"/>
                <w:lang w:val="fr-BE"/>
              </w:rPr>
              <w:t>35,00</w:t>
            </w:r>
          </w:p>
        </w:tc>
        <w:tc>
          <w:tcPr>
            <w:tcW w:w="0" w:type="auto"/>
          </w:tcPr>
          <w:p w14:paraId="64B5A432"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2769069B"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032F2621"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42D66DD8"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3740D79B"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4D9C2183"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79BE6E03"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198F579D"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r w:rsidR="006B2EC1" w14:paraId="7C81D55D" w14:textId="77777777" w:rsidTr="0047688D">
        <w:tc>
          <w:tcPr>
            <w:tcW w:w="0" w:type="auto"/>
          </w:tcPr>
          <w:p w14:paraId="2538D970" w14:textId="77777777" w:rsidR="008C5CFA" w:rsidRPr="0024468B" w:rsidRDefault="00E82A60" w:rsidP="00300A01">
            <w:pPr>
              <w:spacing w:before="0" w:after="0"/>
              <w:rPr>
                <w:sz w:val="16"/>
                <w:szCs w:val="16"/>
                <w:lang w:val="fr-BE"/>
              </w:rPr>
            </w:pPr>
            <w:r>
              <w:rPr>
                <w:noProof/>
                <w:sz w:val="16"/>
                <w:szCs w:val="16"/>
                <w:lang w:val="fr-BE"/>
              </w:rPr>
              <w:t>F</w:t>
            </w:r>
          </w:p>
        </w:tc>
        <w:tc>
          <w:tcPr>
            <w:tcW w:w="0" w:type="auto"/>
            <w:shd w:val="clear" w:color="auto" w:fill="auto"/>
          </w:tcPr>
          <w:p w14:paraId="10FA5C1B" w14:textId="77777777" w:rsidR="008C5CFA" w:rsidRPr="0024468B" w:rsidRDefault="00E82A60" w:rsidP="00300A01">
            <w:pPr>
              <w:spacing w:before="0" w:after="0"/>
              <w:rPr>
                <w:sz w:val="16"/>
                <w:szCs w:val="16"/>
                <w:lang w:val="fr-BE"/>
              </w:rPr>
            </w:pPr>
            <w:r>
              <w:rPr>
                <w:noProof/>
                <w:sz w:val="16"/>
                <w:szCs w:val="16"/>
                <w:lang w:val="fr-BE"/>
              </w:rPr>
              <w:t>027</w:t>
            </w:r>
          </w:p>
        </w:tc>
        <w:tc>
          <w:tcPr>
            <w:tcW w:w="0" w:type="auto"/>
            <w:shd w:val="clear" w:color="auto" w:fill="auto"/>
          </w:tcPr>
          <w:p w14:paraId="6FAC370C" w14:textId="77777777" w:rsidR="008C5CFA" w:rsidRPr="0024468B" w:rsidRDefault="00E82A60" w:rsidP="00300A01">
            <w:pPr>
              <w:spacing w:before="0" w:after="0"/>
              <w:rPr>
                <w:sz w:val="16"/>
                <w:szCs w:val="16"/>
                <w:lang w:val="fr-BE"/>
              </w:rPr>
            </w:pPr>
            <w:r>
              <w:rPr>
                <w:noProof/>
                <w:sz w:val="16"/>
                <w:szCs w:val="16"/>
                <w:lang w:val="fr-BE"/>
              </w:rPr>
              <w:t>Powierzchnia przygotowanych terenów inwestycyjnych</w:t>
            </w:r>
          </w:p>
        </w:tc>
        <w:tc>
          <w:tcPr>
            <w:tcW w:w="0" w:type="auto"/>
          </w:tcPr>
          <w:p w14:paraId="3CC8ACE3" w14:textId="77777777" w:rsidR="008C5CFA" w:rsidRPr="0024468B" w:rsidRDefault="00E82A60" w:rsidP="00300A01">
            <w:pPr>
              <w:spacing w:before="0" w:after="0"/>
              <w:jc w:val="right"/>
              <w:rPr>
                <w:sz w:val="16"/>
                <w:szCs w:val="16"/>
                <w:lang w:val="fr-BE"/>
              </w:rPr>
            </w:pPr>
            <w:r w:rsidRPr="0024468B">
              <w:rPr>
                <w:noProof/>
                <w:sz w:val="16"/>
                <w:szCs w:val="16"/>
                <w:lang w:val="fr-BE"/>
              </w:rPr>
              <w:t>15,48</w:t>
            </w:r>
          </w:p>
        </w:tc>
        <w:tc>
          <w:tcPr>
            <w:tcW w:w="0" w:type="auto"/>
          </w:tcPr>
          <w:p w14:paraId="799D5F19"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25562BBC"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75D88344"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0E30BBD8"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7EA315EC"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518CF160"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2714C66B"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630CC8D7"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r w:rsidR="006B2EC1" w14:paraId="5AADA5D8" w14:textId="77777777" w:rsidTr="0047688D">
        <w:tc>
          <w:tcPr>
            <w:tcW w:w="0" w:type="auto"/>
          </w:tcPr>
          <w:p w14:paraId="1BE35B41" w14:textId="77777777" w:rsidR="008C5CFA" w:rsidRPr="0024468B" w:rsidRDefault="00E82A60" w:rsidP="00300A01">
            <w:pPr>
              <w:spacing w:before="0" w:after="0"/>
              <w:rPr>
                <w:sz w:val="16"/>
                <w:szCs w:val="16"/>
                <w:lang w:val="fr-BE"/>
              </w:rPr>
            </w:pPr>
            <w:r>
              <w:rPr>
                <w:noProof/>
                <w:sz w:val="16"/>
                <w:szCs w:val="16"/>
                <w:lang w:val="fr-BE"/>
              </w:rPr>
              <w:t>S</w:t>
            </w:r>
          </w:p>
        </w:tc>
        <w:tc>
          <w:tcPr>
            <w:tcW w:w="0" w:type="auto"/>
            <w:shd w:val="clear" w:color="auto" w:fill="auto"/>
          </w:tcPr>
          <w:p w14:paraId="7C3099DC" w14:textId="77777777" w:rsidR="008C5CFA" w:rsidRPr="0024468B" w:rsidRDefault="00E82A60" w:rsidP="00300A01">
            <w:pPr>
              <w:spacing w:before="0" w:after="0"/>
              <w:rPr>
                <w:sz w:val="16"/>
                <w:szCs w:val="16"/>
                <w:lang w:val="fr-BE"/>
              </w:rPr>
            </w:pPr>
            <w:r>
              <w:rPr>
                <w:noProof/>
                <w:sz w:val="16"/>
                <w:szCs w:val="16"/>
                <w:lang w:val="fr-BE"/>
              </w:rPr>
              <w:t>027</w:t>
            </w:r>
          </w:p>
        </w:tc>
        <w:tc>
          <w:tcPr>
            <w:tcW w:w="0" w:type="auto"/>
            <w:shd w:val="clear" w:color="auto" w:fill="auto"/>
          </w:tcPr>
          <w:p w14:paraId="6F8B9789" w14:textId="77777777" w:rsidR="008C5CFA" w:rsidRPr="0024468B" w:rsidRDefault="00E82A60" w:rsidP="00300A01">
            <w:pPr>
              <w:spacing w:before="0" w:after="0"/>
              <w:rPr>
                <w:sz w:val="16"/>
                <w:szCs w:val="16"/>
                <w:lang w:val="fr-BE"/>
              </w:rPr>
            </w:pPr>
            <w:r>
              <w:rPr>
                <w:noProof/>
                <w:sz w:val="16"/>
                <w:szCs w:val="16"/>
                <w:lang w:val="fr-BE"/>
              </w:rPr>
              <w:t>Powierzchnia przygotowanych terenów inwestycyjnych</w:t>
            </w:r>
          </w:p>
        </w:tc>
        <w:tc>
          <w:tcPr>
            <w:tcW w:w="0" w:type="auto"/>
          </w:tcPr>
          <w:p w14:paraId="59416478" w14:textId="77777777" w:rsidR="008C5CFA" w:rsidRPr="0024468B" w:rsidRDefault="00E82A60" w:rsidP="00300A01">
            <w:pPr>
              <w:spacing w:before="0" w:after="0"/>
              <w:jc w:val="right"/>
              <w:rPr>
                <w:sz w:val="16"/>
                <w:szCs w:val="16"/>
                <w:lang w:val="fr-BE"/>
              </w:rPr>
            </w:pPr>
            <w:r w:rsidRPr="0024468B">
              <w:rPr>
                <w:noProof/>
                <w:sz w:val="16"/>
                <w:szCs w:val="16"/>
                <w:lang w:val="fr-BE"/>
              </w:rPr>
              <w:t>32,81</w:t>
            </w:r>
          </w:p>
        </w:tc>
        <w:tc>
          <w:tcPr>
            <w:tcW w:w="0" w:type="auto"/>
          </w:tcPr>
          <w:p w14:paraId="3CB8399E"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02873D11"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193E6069"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09056E92"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306F9A07"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4474C0DB"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4E1761E2"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7212EA26"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r w:rsidR="006B2EC1" w14:paraId="3DC7CE2F" w14:textId="77777777" w:rsidTr="0047688D">
        <w:tc>
          <w:tcPr>
            <w:tcW w:w="0" w:type="auto"/>
          </w:tcPr>
          <w:p w14:paraId="52C03AFD" w14:textId="77777777" w:rsidR="008C5CFA" w:rsidRPr="0024468B" w:rsidRDefault="00E82A60" w:rsidP="00300A01">
            <w:pPr>
              <w:spacing w:before="0" w:after="0"/>
              <w:rPr>
                <w:sz w:val="16"/>
                <w:szCs w:val="16"/>
                <w:lang w:val="fr-BE"/>
              </w:rPr>
            </w:pPr>
            <w:r>
              <w:rPr>
                <w:noProof/>
                <w:sz w:val="16"/>
                <w:szCs w:val="16"/>
                <w:lang w:val="fr-BE"/>
              </w:rPr>
              <w:t>F</w:t>
            </w:r>
          </w:p>
        </w:tc>
        <w:tc>
          <w:tcPr>
            <w:tcW w:w="0" w:type="auto"/>
            <w:shd w:val="clear" w:color="auto" w:fill="auto"/>
          </w:tcPr>
          <w:p w14:paraId="33A3EEDA" w14:textId="77777777" w:rsidR="008C5CFA" w:rsidRPr="0024468B" w:rsidRDefault="00E82A60" w:rsidP="00300A01">
            <w:pPr>
              <w:spacing w:before="0" w:after="0"/>
              <w:rPr>
                <w:sz w:val="16"/>
                <w:szCs w:val="16"/>
                <w:lang w:val="fr-BE"/>
              </w:rPr>
            </w:pPr>
            <w:r>
              <w:rPr>
                <w:noProof/>
                <w:sz w:val="16"/>
                <w:szCs w:val="16"/>
                <w:lang w:val="fr-BE"/>
              </w:rPr>
              <w:t>139</w:t>
            </w:r>
          </w:p>
        </w:tc>
        <w:tc>
          <w:tcPr>
            <w:tcW w:w="0" w:type="auto"/>
            <w:shd w:val="clear" w:color="auto" w:fill="auto"/>
          </w:tcPr>
          <w:p w14:paraId="330EED19" w14:textId="77777777" w:rsidR="008C5CFA" w:rsidRPr="0024468B" w:rsidRDefault="00E82A60" w:rsidP="00300A01">
            <w:pPr>
              <w:spacing w:before="0" w:after="0"/>
              <w:rPr>
                <w:sz w:val="16"/>
                <w:szCs w:val="16"/>
                <w:lang w:val="fr-BE"/>
              </w:rPr>
            </w:pPr>
            <w:r>
              <w:rPr>
                <w:noProof/>
                <w:sz w:val="16"/>
                <w:szCs w:val="16"/>
                <w:lang w:val="fr-BE"/>
              </w:rPr>
              <w:t>Liczba zaawansowanych usług (nowych lub ulepszonych) świadczonych przez IOB</w:t>
            </w:r>
          </w:p>
        </w:tc>
        <w:tc>
          <w:tcPr>
            <w:tcW w:w="0" w:type="auto"/>
          </w:tcPr>
          <w:p w14:paraId="5EAAB1FF" w14:textId="77777777" w:rsidR="008C5CFA" w:rsidRPr="0024468B" w:rsidRDefault="00E82A60" w:rsidP="00300A01">
            <w:pPr>
              <w:spacing w:before="0" w:after="0"/>
              <w:jc w:val="right"/>
              <w:rPr>
                <w:sz w:val="16"/>
                <w:szCs w:val="16"/>
                <w:lang w:val="fr-BE"/>
              </w:rPr>
            </w:pPr>
            <w:r w:rsidRPr="0024468B">
              <w:rPr>
                <w:noProof/>
                <w:sz w:val="16"/>
                <w:szCs w:val="16"/>
                <w:lang w:val="fr-BE"/>
              </w:rPr>
              <w:t>7,00</w:t>
            </w:r>
          </w:p>
        </w:tc>
        <w:tc>
          <w:tcPr>
            <w:tcW w:w="0" w:type="auto"/>
          </w:tcPr>
          <w:p w14:paraId="557B5C47"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788FE50F"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4353656A"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71665BD0"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7EDD1F43"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04055257"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5B3496F7"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0B9066E3"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r w:rsidR="006B2EC1" w14:paraId="28A59DB4" w14:textId="77777777" w:rsidTr="0047688D">
        <w:tc>
          <w:tcPr>
            <w:tcW w:w="0" w:type="auto"/>
          </w:tcPr>
          <w:p w14:paraId="353DB1FF" w14:textId="77777777" w:rsidR="008C5CFA" w:rsidRPr="0024468B" w:rsidRDefault="00E82A60" w:rsidP="00300A01">
            <w:pPr>
              <w:spacing w:before="0" w:after="0"/>
              <w:rPr>
                <w:sz w:val="16"/>
                <w:szCs w:val="16"/>
                <w:lang w:val="fr-BE"/>
              </w:rPr>
            </w:pPr>
            <w:r>
              <w:rPr>
                <w:noProof/>
                <w:sz w:val="16"/>
                <w:szCs w:val="16"/>
                <w:lang w:val="fr-BE"/>
              </w:rPr>
              <w:t>S</w:t>
            </w:r>
          </w:p>
        </w:tc>
        <w:tc>
          <w:tcPr>
            <w:tcW w:w="0" w:type="auto"/>
            <w:shd w:val="clear" w:color="auto" w:fill="auto"/>
          </w:tcPr>
          <w:p w14:paraId="1AE26412" w14:textId="77777777" w:rsidR="008C5CFA" w:rsidRPr="0024468B" w:rsidRDefault="00E82A60" w:rsidP="00300A01">
            <w:pPr>
              <w:spacing w:before="0" w:after="0"/>
              <w:rPr>
                <w:sz w:val="16"/>
                <w:szCs w:val="16"/>
                <w:lang w:val="fr-BE"/>
              </w:rPr>
            </w:pPr>
            <w:r>
              <w:rPr>
                <w:noProof/>
                <w:sz w:val="16"/>
                <w:szCs w:val="16"/>
                <w:lang w:val="fr-BE"/>
              </w:rPr>
              <w:t>139</w:t>
            </w:r>
          </w:p>
        </w:tc>
        <w:tc>
          <w:tcPr>
            <w:tcW w:w="0" w:type="auto"/>
            <w:shd w:val="clear" w:color="auto" w:fill="auto"/>
          </w:tcPr>
          <w:p w14:paraId="7A25D79C" w14:textId="77777777" w:rsidR="008C5CFA" w:rsidRPr="0024468B" w:rsidRDefault="00E82A60" w:rsidP="00300A01">
            <w:pPr>
              <w:spacing w:before="0" w:after="0"/>
              <w:rPr>
                <w:sz w:val="16"/>
                <w:szCs w:val="16"/>
                <w:lang w:val="fr-BE"/>
              </w:rPr>
            </w:pPr>
            <w:r>
              <w:rPr>
                <w:noProof/>
                <w:sz w:val="16"/>
                <w:szCs w:val="16"/>
                <w:lang w:val="fr-BE"/>
              </w:rPr>
              <w:t>Liczba zaawansowanych usług (nowych lub ulepszonych) świadczonych przez IOB</w:t>
            </w:r>
          </w:p>
        </w:tc>
        <w:tc>
          <w:tcPr>
            <w:tcW w:w="0" w:type="auto"/>
          </w:tcPr>
          <w:p w14:paraId="18CD6A0B" w14:textId="77777777" w:rsidR="008C5CFA" w:rsidRPr="0024468B" w:rsidRDefault="00E82A60" w:rsidP="00300A01">
            <w:pPr>
              <w:spacing w:before="0" w:after="0"/>
              <w:jc w:val="right"/>
              <w:rPr>
                <w:sz w:val="16"/>
                <w:szCs w:val="16"/>
                <w:lang w:val="fr-BE"/>
              </w:rPr>
            </w:pPr>
            <w:r w:rsidRPr="0024468B">
              <w:rPr>
                <w:noProof/>
                <w:sz w:val="16"/>
                <w:szCs w:val="16"/>
                <w:lang w:val="fr-BE"/>
              </w:rPr>
              <w:t>46,00</w:t>
            </w:r>
          </w:p>
        </w:tc>
        <w:tc>
          <w:tcPr>
            <w:tcW w:w="0" w:type="auto"/>
          </w:tcPr>
          <w:p w14:paraId="1B69F0E7"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4A4B9DA4"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51EB809B"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52B1A6F4"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045EC705"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4305BF44"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4E87733C"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3D5CB557"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bl>
    <w:p w14:paraId="749FC6B9"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53"/>
        <w:gridCol w:w="585"/>
        <w:gridCol w:w="6664"/>
        <w:gridCol w:w="1187"/>
        <w:gridCol w:w="1406"/>
        <w:gridCol w:w="1198"/>
        <w:gridCol w:w="1187"/>
        <w:gridCol w:w="1406"/>
        <w:gridCol w:w="1198"/>
      </w:tblGrid>
      <w:tr w:rsidR="006B2EC1" w14:paraId="62A470B9" w14:textId="77777777" w:rsidTr="0047688D">
        <w:trPr>
          <w:tblHeader/>
        </w:trPr>
        <w:tc>
          <w:tcPr>
            <w:tcW w:w="0" w:type="auto"/>
          </w:tcPr>
          <w:p w14:paraId="30979A39" w14:textId="77777777" w:rsidR="008C5CFA" w:rsidRPr="009143B4" w:rsidRDefault="00E82A60" w:rsidP="00300A01">
            <w:pPr>
              <w:spacing w:before="0" w:after="0"/>
              <w:rPr>
                <w:b/>
                <w:sz w:val="16"/>
                <w:szCs w:val="16"/>
                <w:lang w:val="fr-BE"/>
              </w:rPr>
            </w:pPr>
            <w:r w:rsidRPr="009143B4">
              <w:rPr>
                <w:b/>
                <w:sz w:val="16"/>
                <w:szCs w:val="16"/>
                <w:lang w:val="fr-BE"/>
              </w:rPr>
              <w:t>(1)</w:t>
            </w:r>
          </w:p>
        </w:tc>
        <w:tc>
          <w:tcPr>
            <w:tcW w:w="0" w:type="auto"/>
            <w:shd w:val="clear" w:color="auto" w:fill="auto"/>
          </w:tcPr>
          <w:p w14:paraId="43044FA7" w14:textId="77777777" w:rsidR="008C5CFA" w:rsidRPr="009143B4" w:rsidRDefault="00E82A60" w:rsidP="00300A01">
            <w:pPr>
              <w:spacing w:before="0" w:after="0"/>
              <w:rPr>
                <w:b/>
                <w:sz w:val="16"/>
                <w:szCs w:val="16"/>
                <w:lang w:val="fr-BE"/>
              </w:rPr>
            </w:pPr>
            <w:r w:rsidRPr="009143B4">
              <w:rPr>
                <w:b/>
                <w:noProof/>
                <w:sz w:val="16"/>
                <w:szCs w:val="16"/>
                <w:lang w:val="fr-BE"/>
              </w:rPr>
              <w:t>ID</w:t>
            </w:r>
          </w:p>
        </w:tc>
        <w:tc>
          <w:tcPr>
            <w:tcW w:w="0" w:type="auto"/>
            <w:shd w:val="clear" w:color="auto" w:fill="auto"/>
          </w:tcPr>
          <w:p w14:paraId="1770966F" w14:textId="77777777" w:rsidR="008C5CFA" w:rsidRPr="009143B4" w:rsidRDefault="00E82A60" w:rsidP="00300A01">
            <w:pPr>
              <w:spacing w:before="0" w:after="0"/>
              <w:rPr>
                <w:b/>
                <w:sz w:val="16"/>
                <w:szCs w:val="16"/>
                <w:lang w:val="fr-BE"/>
              </w:rPr>
            </w:pPr>
            <w:r w:rsidRPr="009143B4">
              <w:rPr>
                <w:b/>
                <w:noProof/>
                <w:sz w:val="16"/>
                <w:szCs w:val="16"/>
                <w:lang w:val="fr-BE"/>
              </w:rPr>
              <w:t>Wskaźnik</w:t>
            </w:r>
          </w:p>
        </w:tc>
        <w:tc>
          <w:tcPr>
            <w:tcW w:w="0" w:type="auto"/>
          </w:tcPr>
          <w:p w14:paraId="5547CEDB" w14:textId="77777777" w:rsidR="008C5CFA" w:rsidRPr="009143B4" w:rsidRDefault="00E82A60"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Ogółem</w:t>
            </w:r>
          </w:p>
        </w:tc>
        <w:tc>
          <w:tcPr>
            <w:tcW w:w="0" w:type="auto"/>
          </w:tcPr>
          <w:p w14:paraId="3ED779AE" w14:textId="77777777" w:rsidR="008C5CFA" w:rsidRPr="009143B4" w:rsidRDefault="00E82A60"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Mężczyźni</w:t>
            </w:r>
          </w:p>
        </w:tc>
        <w:tc>
          <w:tcPr>
            <w:tcW w:w="0" w:type="auto"/>
          </w:tcPr>
          <w:p w14:paraId="6B63E50B" w14:textId="77777777" w:rsidR="008C5CFA" w:rsidRPr="009143B4" w:rsidRDefault="00E82A60"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Kobiety</w:t>
            </w:r>
          </w:p>
        </w:tc>
        <w:tc>
          <w:tcPr>
            <w:tcW w:w="0" w:type="auto"/>
            <w:shd w:val="clear" w:color="auto" w:fill="auto"/>
          </w:tcPr>
          <w:p w14:paraId="7256D938" w14:textId="77777777" w:rsidR="008C5CFA" w:rsidRPr="009143B4" w:rsidRDefault="00E82A60"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Ogółem</w:t>
            </w:r>
          </w:p>
        </w:tc>
        <w:tc>
          <w:tcPr>
            <w:tcW w:w="0" w:type="auto"/>
            <w:shd w:val="clear" w:color="auto" w:fill="auto"/>
          </w:tcPr>
          <w:p w14:paraId="08D82DDC" w14:textId="77777777" w:rsidR="008C5CFA" w:rsidRPr="009143B4" w:rsidRDefault="00E82A60"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Mężczyźni</w:t>
            </w:r>
          </w:p>
        </w:tc>
        <w:tc>
          <w:tcPr>
            <w:tcW w:w="0" w:type="auto"/>
            <w:shd w:val="clear" w:color="auto" w:fill="auto"/>
          </w:tcPr>
          <w:p w14:paraId="686415C7" w14:textId="77777777" w:rsidR="008C5CFA" w:rsidRPr="009143B4" w:rsidRDefault="00E82A60"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Kobiety</w:t>
            </w:r>
          </w:p>
        </w:tc>
      </w:tr>
      <w:tr w:rsidR="006B2EC1" w14:paraId="245810F1" w14:textId="77777777" w:rsidTr="0047688D">
        <w:tc>
          <w:tcPr>
            <w:tcW w:w="0" w:type="auto"/>
          </w:tcPr>
          <w:p w14:paraId="59854598" w14:textId="77777777" w:rsidR="008C5CFA" w:rsidRPr="0024468B" w:rsidRDefault="00E82A60" w:rsidP="00300A01">
            <w:pPr>
              <w:spacing w:before="0" w:after="0"/>
              <w:rPr>
                <w:sz w:val="16"/>
                <w:szCs w:val="16"/>
                <w:lang w:val="fr-BE"/>
              </w:rPr>
            </w:pPr>
            <w:r>
              <w:rPr>
                <w:noProof/>
                <w:sz w:val="16"/>
                <w:szCs w:val="16"/>
                <w:lang w:val="fr-BE"/>
              </w:rPr>
              <w:t>F</w:t>
            </w:r>
          </w:p>
        </w:tc>
        <w:tc>
          <w:tcPr>
            <w:tcW w:w="0" w:type="auto"/>
            <w:shd w:val="clear" w:color="auto" w:fill="auto"/>
          </w:tcPr>
          <w:p w14:paraId="68CBB0A2" w14:textId="77777777" w:rsidR="008C5CFA" w:rsidRPr="0024468B" w:rsidRDefault="00E82A60" w:rsidP="00300A01">
            <w:pPr>
              <w:spacing w:before="0" w:after="0"/>
              <w:rPr>
                <w:sz w:val="16"/>
                <w:szCs w:val="16"/>
                <w:lang w:val="fr-BE"/>
              </w:rPr>
            </w:pPr>
            <w:r w:rsidRPr="0024468B">
              <w:rPr>
                <w:noProof/>
                <w:sz w:val="16"/>
                <w:szCs w:val="16"/>
                <w:lang w:val="fr-BE"/>
              </w:rPr>
              <w:t>CO01</w:t>
            </w:r>
          </w:p>
        </w:tc>
        <w:tc>
          <w:tcPr>
            <w:tcW w:w="0" w:type="auto"/>
            <w:shd w:val="clear" w:color="auto" w:fill="auto"/>
          </w:tcPr>
          <w:p w14:paraId="69441D93" w14:textId="77777777" w:rsidR="008C5CFA" w:rsidRPr="0024468B" w:rsidRDefault="00E82A60" w:rsidP="00300A01">
            <w:pPr>
              <w:spacing w:before="0" w:after="0"/>
              <w:rPr>
                <w:sz w:val="16"/>
                <w:szCs w:val="16"/>
                <w:lang w:val="fr-BE"/>
              </w:rPr>
            </w:pPr>
            <w:r w:rsidRPr="0024468B">
              <w:rPr>
                <w:noProof/>
                <w:sz w:val="16"/>
                <w:szCs w:val="16"/>
                <w:lang w:val="fr-BE"/>
              </w:rPr>
              <w:t>Inwestycje produkcyjne: liczba przedsiębiorstw otrzymujących wsparcie</w:t>
            </w:r>
          </w:p>
        </w:tc>
        <w:tc>
          <w:tcPr>
            <w:tcW w:w="0" w:type="auto"/>
          </w:tcPr>
          <w:p w14:paraId="752F91BA"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3CF67A0B"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56B4BA02"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6E50B98A"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29EAC2AB"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2E3AE460"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r w:rsidR="006B2EC1" w14:paraId="0FE1E5EB" w14:textId="77777777" w:rsidTr="0047688D">
        <w:tc>
          <w:tcPr>
            <w:tcW w:w="0" w:type="auto"/>
          </w:tcPr>
          <w:p w14:paraId="618EADC3" w14:textId="77777777" w:rsidR="008C5CFA" w:rsidRPr="0024468B" w:rsidRDefault="00E82A60" w:rsidP="00300A01">
            <w:pPr>
              <w:spacing w:before="0" w:after="0"/>
              <w:rPr>
                <w:sz w:val="16"/>
                <w:szCs w:val="16"/>
                <w:lang w:val="fr-BE"/>
              </w:rPr>
            </w:pPr>
            <w:r>
              <w:rPr>
                <w:noProof/>
                <w:sz w:val="16"/>
                <w:szCs w:val="16"/>
                <w:lang w:val="fr-BE"/>
              </w:rPr>
              <w:t>S</w:t>
            </w:r>
          </w:p>
        </w:tc>
        <w:tc>
          <w:tcPr>
            <w:tcW w:w="0" w:type="auto"/>
            <w:shd w:val="clear" w:color="auto" w:fill="auto"/>
          </w:tcPr>
          <w:p w14:paraId="39AD053B" w14:textId="77777777" w:rsidR="008C5CFA" w:rsidRPr="0024468B" w:rsidRDefault="00E82A60" w:rsidP="00300A01">
            <w:pPr>
              <w:spacing w:before="0" w:after="0"/>
              <w:rPr>
                <w:sz w:val="16"/>
                <w:szCs w:val="16"/>
                <w:lang w:val="fr-BE"/>
              </w:rPr>
            </w:pPr>
            <w:r w:rsidRPr="0024468B">
              <w:rPr>
                <w:noProof/>
                <w:sz w:val="16"/>
                <w:szCs w:val="16"/>
                <w:lang w:val="fr-BE"/>
              </w:rPr>
              <w:t>CO01</w:t>
            </w:r>
          </w:p>
        </w:tc>
        <w:tc>
          <w:tcPr>
            <w:tcW w:w="0" w:type="auto"/>
            <w:shd w:val="clear" w:color="auto" w:fill="auto"/>
          </w:tcPr>
          <w:p w14:paraId="3DAE77C8" w14:textId="77777777" w:rsidR="008C5CFA" w:rsidRPr="0024468B" w:rsidRDefault="00E82A60" w:rsidP="00300A01">
            <w:pPr>
              <w:spacing w:before="0" w:after="0"/>
              <w:rPr>
                <w:sz w:val="16"/>
                <w:szCs w:val="16"/>
                <w:lang w:val="fr-BE"/>
              </w:rPr>
            </w:pPr>
            <w:r w:rsidRPr="0024468B">
              <w:rPr>
                <w:noProof/>
                <w:sz w:val="16"/>
                <w:szCs w:val="16"/>
                <w:lang w:val="fr-BE"/>
              </w:rPr>
              <w:t>Inwestycje produkcyjne: liczba przedsiębiorstw otrzymujących wsparcie</w:t>
            </w:r>
          </w:p>
        </w:tc>
        <w:tc>
          <w:tcPr>
            <w:tcW w:w="0" w:type="auto"/>
          </w:tcPr>
          <w:p w14:paraId="69361B34"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5BBE9B24"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3A529A95"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0E010C31"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593D60E8"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22BB8B76"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r w:rsidR="006B2EC1" w14:paraId="54AB8C4F" w14:textId="77777777" w:rsidTr="0047688D">
        <w:tc>
          <w:tcPr>
            <w:tcW w:w="0" w:type="auto"/>
          </w:tcPr>
          <w:p w14:paraId="683E16C0" w14:textId="77777777" w:rsidR="008C5CFA" w:rsidRPr="0024468B" w:rsidRDefault="00E82A60" w:rsidP="00300A01">
            <w:pPr>
              <w:spacing w:before="0" w:after="0"/>
              <w:rPr>
                <w:sz w:val="16"/>
                <w:szCs w:val="16"/>
                <w:lang w:val="fr-BE"/>
              </w:rPr>
            </w:pPr>
            <w:r>
              <w:rPr>
                <w:noProof/>
                <w:sz w:val="16"/>
                <w:szCs w:val="16"/>
                <w:lang w:val="fr-BE"/>
              </w:rPr>
              <w:t>F</w:t>
            </w:r>
          </w:p>
        </w:tc>
        <w:tc>
          <w:tcPr>
            <w:tcW w:w="0" w:type="auto"/>
            <w:shd w:val="clear" w:color="auto" w:fill="auto"/>
          </w:tcPr>
          <w:p w14:paraId="30FBAE4D" w14:textId="77777777" w:rsidR="008C5CFA" w:rsidRPr="0024468B" w:rsidRDefault="00E82A60" w:rsidP="00300A01">
            <w:pPr>
              <w:spacing w:before="0" w:after="0"/>
              <w:rPr>
                <w:sz w:val="16"/>
                <w:szCs w:val="16"/>
                <w:lang w:val="fr-BE"/>
              </w:rPr>
            </w:pPr>
            <w:r w:rsidRPr="0024468B">
              <w:rPr>
                <w:noProof/>
                <w:sz w:val="16"/>
                <w:szCs w:val="16"/>
                <w:lang w:val="fr-BE"/>
              </w:rPr>
              <w:t>CO04</w:t>
            </w:r>
          </w:p>
        </w:tc>
        <w:tc>
          <w:tcPr>
            <w:tcW w:w="0" w:type="auto"/>
            <w:shd w:val="clear" w:color="auto" w:fill="auto"/>
          </w:tcPr>
          <w:p w14:paraId="425A7EB0" w14:textId="77777777" w:rsidR="008C5CFA" w:rsidRPr="0024468B" w:rsidRDefault="00E82A60" w:rsidP="00300A01">
            <w:pPr>
              <w:spacing w:before="0" w:after="0"/>
              <w:rPr>
                <w:sz w:val="16"/>
                <w:szCs w:val="16"/>
                <w:lang w:val="fr-BE"/>
              </w:rPr>
            </w:pPr>
            <w:r w:rsidRPr="0024468B">
              <w:rPr>
                <w:noProof/>
                <w:sz w:val="16"/>
                <w:szCs w:val="16"/>
                <w:lang w:val="fr-BE"/>
              </w:rPr>
              <w:t>Inwestycje produkcyjne: liczba przedsiębiorstw otrzymujących wsparcie niefinansowe</w:t>
            </w:r>
          </w:p>
        </w:tc>
        <w:tc>
          <w:tcPr>
            <w:tcW w:w="0" w:type="auto"/>
          </w:tcPr>
          <w:p w14:paraId="24BB010D"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352424C4"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46A35343"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02BE05F0"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4EF67E6F"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615D55A5"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r w:rsidR="006B2EC1" w14:paraId="3A8B34CC" w14:textId="77777777" w:rsidTr="0047688D">
        <w:tc>
          <w:tcPr>
            <w:tcW w:w="0" w:type="auto"/>
          </w:tcPr>
          <w:p w14:paraId="543285B8" w14:textId="77777777" w:rsidR="008C5CFA" w:rsidRPr="0024468B" w:rsidRDefault="00E82A60" w:rsidP="00300A01">
            <w:pPr>
              <w:spacing w:before="0" w:after="0"/>
              <w:rPr>
                <w:sz w:val="16"/>
                <w:szCs w:val="16"/>
                <w:lang w:val="fr-BE"/>
              </w:rPr>
            </w:pPr>
            <w:r>
              <w:rPr>
                <w:noProof/>
                <w:sz w:val="16"/>
                <w:szCs w:val="16"/>
                <w:lang w:val="fr-BE"/>
              </w:rPr>
              <w:t>S</w:t>
            </w:r>
          </w:p>
        </w:tc>
        <w:tc>
          <w:tcPr>
            <w:tcW w:w="0" w:type="auto"/>
            <w:shd w:val="clear" w:color="auto" w:fill="auto"/>
          </w:tcPr>
          <w:p w14:paraId="3140C793" w14:textId="77777777" w:rsidR="008C5CFA" w:rsidRPr="0024468B" w:rsidRDefault="00E82A60" w:rsidP="00300A01">
            <w:pPr>
              <w:spacing w:before="0" w:after="0"/>
              <w:rPr>
                <w:sz w:val="16"/>
                <w:szCs w:val="16"/>
                <w:lang w:val="fr-BE"/>
              </w:rPr>
            </w:pPr>
            <w:r w:rsidRPr="0024468B">
              <w:rPr>
                <w:noProof/>
                <w:sz w:val="16"/>
                <w:szCs w:val="16"/>
                <w:lang w:val="fr-BE"/>
              </w:rPr>
              <w:t>CO04</w:t>
            </w:r>
          </w:p>
        </w:tc>
        <w:tc>
          <w:tcPr>
            <w:tcW w:w="0" w:type="auto"/>
            <w:shd w:val="clear" w:color="auto" w:fill="auto"/>
          </w:tcPr>
          <w:p w14:paraId="1D35232D" w14:textId="77777777" w:rsidR="008C5CFA" w:rsidRPr="0024468B" w:rsidRDefault="00E82A60" w:rsidP="00300A01">
            <w:pPr>
              <w:spacing w:before="0" w:after="0"/>
              <w:rPr>
                <w:sz w:val="16"/>
                <w:szCs w:val="16"/>
                <w:lang w:val="fr-BE"/>
              </w:rPr>
            </w:pPr>
            <w:r w:rsidRPr="0024468B">
              <w:rPr>
                <w:noProof/>
                <w:sz w:val="16"/>
                <w:szCs w:val="16"/>
                <w:lang w:val="fr-BE"/>
              </w:rPr>
              <w:t>Inwestycje produkcyjne: liczba przedsiębiorstw otrzymujących wsparcie niefinansowe</w:t>
            </w:r>
          </w:p>
        </w:tc>
        <w:tc>
          <w:tcPr>
            <w:tcW w:w="0" w:type="auto"/>
          </w:tcPr>
          <w:p w14:paraId="1A9347D9"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1F3802C9"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42CFA047"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324493AB"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0BE1D2BA"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715DE79C"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r w:rsidR="006B2EC1" w14:paraId="3AF48073" w14:textId="77777777" w:rsidTr="0047688D">
        <w:tc>
          <w:tcPr>
            <w:tcW w:w="0" w:type="auto"/>
          </w:tcPr>
          <w:p w14:paraId="097549F5" w14:textId="77777777" w:rsidR="008C5CFA" w:rsidRPr="0024468B" w:rsidRDefault="00E82A60" w:rsidP="00300A01">
            <w:pPr>
              <w:spacing w:before="0" w:after="0"/>
              <w:rPr>
                <w:sz w:val="16"/>
                <w:szCs w:val="16"/>
                <w:lang w:val="fr-BE"/>
              </w:rPr>
            </w:pPr>
            <w:r>
              <w:rPr>
                <w:noProof/>
                <w:sz w:val="16"/>
                <w:szCs w:val="16"/>
                <w:lang w:val="fr-BE"/>
              </w:rPr>
              <w:t>F</w:t>
            </w:r>
          </w:p>
        </w:tc>
        <w:tc>
          <w:tcPr>
            <w:tcW w:w="0" w:type="auto"/>
            <w:shd w:val="clear" w:color="auto" w:fill="auto"/>
          </w:tcPr>
          <w:p w14:paraId="73A2F94B" w14:textId="77777777" w:rsidR="008C5CFA" w:rsidRPr="0024468B" w:rsidRDefault="00E82A60" w:rsidP="00300A01">
            <w:pPr>
              <w:spacing w:before="0" w:after="0"/>
              <w:rPr>
                <w:sz w:val="16"/>
                <w:szCs w:val="16"/>
                <w:lang w:val="fr-BE"/>
              </w:rPr>
            </w:pPr>
            <w:r w:rsidRPr="0024468B">
              <w:rPr>
                <w:noProof/>
                <w:sz w:val="16"/>
                <w:szCs w:val="16"/>
                <w:lang w:val="fr-BE"/>
              </w:rPr>
              <w:t>CO05</w:t>
            </w:r>
          </w:p>
        </w:tc>
        <w:tc>
          <w:tcPr>
            <w:tcW w:w="0" w:type="auto"/>
            <w:shd w:val="clear" w:color="auto" w:fill="auto"/>
          </w:tcPr>
          <w:p w14:paraId="4E42A26A" w14:textId="77777777" w:rsidR="008C5CFA" w:rsidRPr="0024468B" w:rsidRDefault="00E82A60" w:rsidP="00300A01">
            <w:pPr>
              <w:spacing w:before="0" w:after="0"/>
              <w:rPr>
                <w:sz w:val="16"/>
                <w:szCs w:val="16"/>
                <w:lang w:val="fr-BE"/>
              </w:rPr>
            </w:pPr>
            <w:r w:rsidRPr="0024468B">
              <w:rPr>
                <w:noProof/>
                <w:sz w:val="16"/>
                <w:szCs w:val="16"/>
                <w:lang w:val="fr-BE"/>
              </w:rPr>
              <w:t>Inwestycje produkcyjne: liczba wspieranych nowych przedsiębiorstw</w:t>
            </w:r>
          </w:p>
        </w:tc>
        <w:tc>
          <w:tcPr>
            <w:tcW w:w="0" w:type="auto"/>
          </w:tcPr>
          <w:p w14:paraId="6D5D9333"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39E4EB70"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1E28EE59"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234C8AD3"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4A7686DC"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40208754"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r w:rsidR="006B2EC1" w14:paraId="453116D4" w14:textId="77777777" w:rsidTr="0047688D">
        <w:tc>
          <w:tcPr>
            <w:tcW w:w="0" w:type="auto"/>
          </w:tcPr>
          <w:p w14:paraId="50F09AF0" w14:textId="77777777" w:rsidR="008C5CFA" w:rsidRPr="0024468B" w:rsidRDefault="00E82A60" w:rsidP="00300A01">
            <w:pPr>
              <w:spacing w:before="0" w:after="0"/>
              <w:rPr>
                <w:sz w:val="16"/>
                <w:szCs w:val="16"/>
                <w:lang w:val="fr-BE"/>
              </w:rPr>
            </w:pPr>
            <w:r>
              <w:rPr>
                <w:noProof/>
                <w:sz w:val="16"/>
                <w:szCs w:val="16"/>
                <w:lang w:val="fr-BE"/>
              </w:rPr>
              <w:t>S</w:t>
            </w:r>
          </w:p>
        </w:tc>
        <w:tc>
          <w:tcPr>
            <w:tcW w:w="0" w:type="auto"/>
            <w:shd w:val="clear" w:color="auto" w:fill="auto"/>
          </w:tcPr>
          <w:p w14:paraId="3974B6E4" w14:textId="77777777" w:rsidR="008C5CFA" w:rsidRPr="0024468B" w:rsidRDefault="00E82A60" w:rsidP="00300A01">
            <w:pPr>
              <w:spacing w:before="0" w:after="0"/>
              <w:rPr>
                <w:sz w:val="16"/>
                <w:szCs w:val="16"/>
                <w:lang w:val="fr-BE"/>
              </w:rPr>
            </w:pPr>
            <w:r w:rsidRPr="0024468B">
              <w:rPr>
                <w:noProof/>
                <w:sz w:val="16"/>
                <w:szCs w:val="16"/>
                <w:lang w:val="fr-BE"/>
              </w:rPr>
              <w:t>CO05</w:t>
            </w:r>
          </w:p>
        </w:tc>
        <w:tc>
          <w:tcPr>
            <w:tcW w:w="0" w:type="auto"/>
            <w:shd w:val="clear" w:color="auto" w:fill="auto"/>
          </w:tcPr>
          <w:p w14:paraId="4D990A2A" w14:textId="77777777" w:rsidR="008C5CFA" w:rsidRPr="0024468B" w:rsidRDefault="00E82A60" w:rsidP="00300A01">
            <w:pPr>
              <w:spacing w:before="0" w:after="0"/>
              <w:rPr>
                <w:sz w:val="16"/>
                <w:szCs w:val="16"/>
                <w:lang w:val="fr-BE"/>
              </w:rPr>
            </w:pPr>
            <w:r w:rsidRPr="0024468B">
              <w:rPr>
                <w:noProof/>
                <w:sz w:val="16"/>
                <w:szCs w:val="16"/>
                <w:lang w:val="fr-BE"/>
              </w:rPr>
              <w:t>Inwestycje produkcyjne: liczba wspieranych nowych przedsiębiorstw</w:t>
            </w:r>
          </w:p>
        </w:tc>
        <w:tc>
          <w:tcPr>
            <w:tcW w:w="0" w:type="auto"/>
          </w:tcPr>
          <w:p w14:paraId="0327D616"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2A4CC1E4"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5DB70EA3"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52B966A5"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2DA3A335"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79B8E4DE"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r w:rsidR="006B2EC1" w14:paraId="3BA970FA" w14:textId="77777777" w:rsidTr="0047688D">
        <w:tc>
          <w:tcPr>
            <w:tcW w:w="0" w:type="auto"/>
          </w:tcPr>
          <w:p w14:paraId="0745985D" w14:textId="77777777" w:rsidR="008C5CFA" w:rsidRPr="0024468B" w:rsidRDefault="00E82A60" w:rsidP="00300A01">
            <w:pPr>
              <w:spacing w:before="0" w:after="0"/>
              <w:rPr>
                <w:sz w:val="16"/>
                <w:szCs w:val="16"/>
                <w:lang w:val="fr-BE"/>
              </w:rPr>
            </w:pPr>
            <w:r>
              <w:rPr>
                <w:noProof/>
                <w:sz w:val="16"/>
                <w:szCs w:val="16"/>
                <w:lang w:val="fr-BE"/>
              </w:rPr>
              <w:t>F</w:t>
            </w:r>
          </w:p>
        </w:tc>
        <w:tc>
          <w:tcPr>
            <w:tcW w:w="0" w:type="auto"/>
            <w:shd w:val="clear" w:color="auto" w:fill="auto"/>
          </w:tcPr>
          <w:p w14:paraId="13F2D6FE" w14:textId="77777777" w:rsidR="008C5CFA" w:rsidRPr="0024468B" w:rsidRDefault="00E82A60" w:rsidP="00300A01">
            <w:pPr>
              <w:spacing w:before="0" w:after="0"/>
              <w:rPr>
                <w:sz w:val="16"/>
                <w:szCs w:val="16"/>
                <w:lang w:val="fr-BE"/>
              </w:rPr>
            </w:pPr>
            <w:r>
              <w:rPr>
                <w:noProof/>
                <w:sz w:val="16"/>
                <w:szCs w:val="16"/>
                <w:lang w:val="fr-BE"/>
              </w:rPr>
              <w:t>027</w:t>
            </w:r>
          </w:p>
        </w:tc>
        <w:tc>
          <w:tcPr>
            <w:tcW w:w="0" w:type="auto"/>
            <w:shd w:val="clear" w:color="auto" w:fill="auto"/>
          </w:tcPr>
          <w:p w14:paraId="662E9262" w14:textId="77777777" w:rsidR="008C5CFA" w:rsidRPr="0024468B" w:rsidRDefault="00E82A60" w:rsidP="00300A01">
            <w:pPr>
              <w:spacing w:before="0" w:after="0"/>
              <w:rPr>
                <w:sz w:val="16"/>
                <w:szCs w:val="16"/>
                <w:lang w:val="fr-BE"/>
              </w:rPr>
            </w:pPr>
            <w:r>
              <w:rPr>
                <w:noProof/>
                <w:sz w:val="16"/>
                <w:szCs w:val="16"/>
                <w:lang w:val="fr-BE"/>
              </w:rPr>
              <w:t>Powierzchnia przygotowanych terenów inwestycyjnych</w:t>
            </w:r>
          </w:p>
        </w:tc>
        <w:tc>
          <w:tcPr>
            <w:tcW w:w="0" w:type="auto"/>
          </w:tcPr>
          <w:p w14:paraId="23B297B7"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1573005B"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77E1515C"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19FB405E"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56E1190F"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148B3629"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r w:rsidR="006B2EC1" w14:paraId="6A02AC57" w14:textId="77777777" w:rsidTr="0047688D">
        <w:tc>
          <w:tcPr>
            <w:tcW w:w="0" w:type="auto"/>
          </w:tcPr>
          <w:p w14:paraId="6E5FF57E" w14:textId="77777777" w:rsidR="008C5CFA" w:rsidRPr="0024468B" w:rsidRDefault="00E82A60" w:rsidP="00300A01">
            <w:pPr>
              <w:spacing w:before="0" w:after="0"/>
              <w:rPr>
                <w:sz w:val="16"/>
                <w:szCs w:val="16"/>
                <w:lang w:val="fr-BE"/>
              </w:rPr>
            </w:pPr>
            <w:r>
              <w:rPr>
                <w:noProof/>
                <w:sz w:val="16"/>
                <w:szCs w:val="16"/>
                <w:lang w:val="fr-BE"/>
              </w:rPr>
              <w:t>S</w:t>
            </w:r>
          </w:p>
        </w:tc>
        <w:tc>
          <w:tcPr>
            <w:tcW w:w="0" w:type="auto"/>
            <w:shd w:val="clear" w:color="auto" w:fill="auto"/>
          </w:tcPr>
          <w:p w14:paraId="7259D855" w14:textId="77777777" w:rsidR="008C5CFA" w:rsidRPr="0024468B" w:rsidRDefault="00E82A60" w:rsidP="00300A01">
            <w:pPr>
              <w:spacing w:before="0" w:after="0"/>
              <w:rPr>
                <w:sz w:val="16"/>
                <w:szCs w:val="16"/>
                <w:lang w:val="fr-BE"/>
              </w:rPr>
            </w:pPr>
            <w:r>
              <w:rPr>
                <w:noProof/>
                <w:sz w:val="16"/>
                <w:szCs w:val="16"/>
                <w:lang w:val="fr-BE"/>
              </w:rPr>
              <w:t>027</w:t>
            </w:r>
          </w:p>
        </w:tc>
        <w:tc>
          <w:tcPr>
            <w:tcW w:w="0" w:type="auto"/>
            <w:shd w:val="clear" w:color="auto" w:fill="auto"/>
          </w:tcPr>
          <w:p w14:paraId="7BCD34EE" w14:textId="77777777" w:rsidR="008C5CFA" w:rsidRPr="0024468B" w:rsidRDefault="00E82A60" w:rsidP="00300A01">
            <w:pPr>
              <w:spacing w:before="0" w:after="0"/>
              <w:rPr>
                <w:sz w:val="16"/>
                <w:szCs w:val="16"/>
                <w:lang w:val="fr-BE"/>
              </w:rPr>
            </w:pPr>
            <w:r>
              <w:rPr>
                <w:noProof/>
                <w:sz w:val="16"/>
                <w:szCs w:val="16"/>
                <w:lang w:val="fr-BE"/>
              </w:rPr>
              <w:t>Powierzchnia przygotowanych terenów inwestycyjnych</w:t>
            </w:r>
          </w:p>
        </w:tc>
        <w:tc>
          <w:tcPr>
            <w:tcW w:w="0" w:type="auto"/>
          </w:tcPr>
          <w:p w14:paraId="0A7478A3"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3144C787"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36A7565E"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4CA92333"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0FB82735"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26C4E144"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r w:rsidR="006B2EC1" w14:paraId="3CE8EA1F" w14:textId="77777777" w:rsidTr="0047688D">
        <w:tc>
          <w:tcPr>
            <w:tcW w:w="0" w:type="auto"/>
          </w:tcPr>
          <w:p w14:paraId="039A801E" w14:textId="77777777" w:rsidR="008C5CFA" w:rsidRPr="0024468B" w:rsidRDefault="00E82A60" w:rsidP="00300A01">
            <w:pPr>
              <w:spacing w:before="0" w:after="0"/>
              <w:rPr>
                <w:sz w:val="16"/>
                <w:szCs w:val="16"/>
                <w:lang w:val="fr-BE"/>
              </w:rPr>
            </w:pPr>
            <w:r>
              <w:rPr>
                <w:noProof/>
                <w:sz w:val="16"/>
                <w:szCs w:val="16"/>
                <w:lang w:val="fr-BE"/>
              </w:rPr>
              <w:t>F</w:t>
            </w:r>
          </w:p>
        </w:tc>
        <w:tc>
          <w:tcPr>
            <w:tcW w:w="0" w:type="auto"/>
            <w:shd w:val="clear" w:color="auto" w:fill="auto"/>
          </w:tcPr>
          <w:p w14:paraId="5931B1B3" w14:textId="77777777" w:rsidR="008C5CFA" w:rsidRPr="0024468B" w:rsidRDefault="00E82A60" w:rsidP="00300A01">
            <w:pPr>
              <w:spacing w:before="0" w:after="0"/>
              <w:rPr>
                <w:sz w:val="16"/>
                <w:szCs w:val="16"/>
                <w:lang w:val="fr-BE"/>
              </w:rPr>
            </w:pPr>
            <w:r>
              <w:rPr>
                <w:noProof/>
                <w:sz w:val="16"/>
                <w:szCs w:val="16"/>
                <w:lang w:val="fr-BE"/>
              </w:rPr>
              <w:t>139</w:t>
            </w:r>
          </w:p>
        </w:tc>
        <w:tc>
          <w:tcPr>
            <w:tcW w:w="0" w:type="auto"/>
            <w:shd w:val="clear" w:color="auto" w:fill="auto"/>
          </w:tcPr>
          <w:p w14:paraId="627AFFB6" w14:textId="77777777" w:rsidR="008C5CFA" w:rsidRPr="0024468B" w:rsidRDefault="00E82A60" w:rsidP="00300A01">
            <w:pPr>
              <w:spacing w:before="0" w:after="0"/>
              <w:rPr>
                <w:sz w:val="16"/>
                <w:szCs w:val="16"/>
                <w:lang w:val="fr-BE"/>
              </w:rPr>
            </w:pPr>
            <w:r>
              <w:rPr>
                <w:noProof/>
                <w:sz w:val="16"/>
                <w:szCs w:val="16"/>
                <w:lang w:val="fr-BE"/>
              </w:rPr>
              <w:t>Liczba zaawansowanych usług (nowych lub ulepszonych) świadczonych przez IOB</w:t>
            </w:r>
          </w:p>
        </w:tc>
        <w:tc>
          <w:tcPr>
            <w:tcW w:w="0" w:type="auto"/>
          </w:tcPr>
          <w:p w14:paraId="23B0C13C"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4EF1E5A6"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3103FCC1"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01043DBA"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1AC0B23C"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6D825AF9"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r w:rsidR="006B2EC1" w14:paraId="2C3C3BEA" w14:textId="77777777" w:rsidTr="0047688D">
        <w:tc>
          <w:tcPr>
            <w:tcW w:w="0" w:type="auto"/>
          </w:tcPr>
          <w:p w14:paraId="4E6A7975" w14:textId="77777777" w:rsidR="008C5CFA" w:rsidRPr="0024468B" w:rsidRDefault="00E82A60" w:rsidP="00300A01">
            <w:pPr>
              <w:spacing w:before="0" w:after="0"/>
              <w:rPr>
                <w:sz w:val="16"/>
                <w:szCs w:val="16"/>
                <w:lang w:val="fr-BE"/>
              </w:rPr>
            </w:pPr>
            <w:r>
              <w:rPr>
                <w:noProof/>
                <w:sz w:val="16"/>
                <w:szCs w:val="16"/>
                <w:lang w:val="fr-BE"/>
              </w:rPr>
              <w:t>S</w:t>
            </w:r>
          </w:p>
        </w:tc>
        <w:tc>
          <w:tcPr>
            <w:tcW w:w="0" w:type="auto"/>
            <w:shd w:val="clear" w:color="auto" w:fill="auto"/>
          </w:tcPr>
          <w:p w14:paraId="65C2614E" w14:textId="77777777" w:rsidR="008C5CFA" w:rsidRPr="0024468B" w:rsidRDefault="00E82A60" w:rsidP="00300A01">
            <w:pPr>
              <w:spacing w:before="0" w:after="0"/>
              <w:rPr>
                <w:sz w:val="16"/>
                <w:szCs w:val="16"/>
                <w:lang w:val="fr-BE"/>
              </w:rPr>
            </w:pPr>
            <w:r>
              <w:rPr>
                <w:noProof/>
                <w:sz w:val="16"/>
                <w:szCs w:val="16"/>
                <w:lang w:val="fr-BE"/>
              </w:rPr>
              <w:t>139</w:t>
            </w:r>
          </w:p>
        </w:tc>
        <w:tc>
          <w:tcPr>
            <w:tcW w:w="0" w:type="auto"/>
            <w:shd w:val="clear" w:color="auto" w:fill="auto"/>
          </w:tcPr>
          <w:p w14:paraId="6D1BEB70" w14:textId="77777777" w:rsidR="008C5CFA" w:rsidRPr="0024468B" w:rsidRDefault="00E82A60" w:rsidP="00300A01">
            <w:pPr>
              <w:spacing w:before="0" w:after="0"/>
              <w:rPr>
                <w:sz w:val="16"/>
                <w:szCs w:val="16"/>
                <w:lang w:val="fr-BE"/>
              </w:rPr>
            </w:pPr>
            <w:r>
              <w:rPr>
                <w:noProof/>
                <w:sz w:val="16"/>
                <w:szCs w:val="16"/>
                <w:lang w:val="fr-BE"/>
              </w:rPr>
              <w:t>Liczba zaawansowanych usług (nowych lub ulepszonych) świadczonych przez IOB</w:t>
            </w:r>
          </w:p>
        </w:tc>
        <w:tc>
          <w:tcPr>
            <w:tcW w:w="0" w:type="auto"/>
          </w:tcPr>
          <w:p w14:paraId="63241C6D"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7B635B6F"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2DB7A95C"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79E907F5"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7BE34487"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58C8D911"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bl>
    <w:p w14:paraId="1DD35893" w14:textId="77777777" w:rsidR="008C5CFA" w:rsidRDefault="008C5CFA" w:rsidP="00300A01">
      <w:pPr>
        <w:spacing w:before="0" w:after="0"/>
        <w:rPr>
          <w:lang w:val="fr-BE"/>
        </w:rPr>
      </w:pPr>
    </w:p>
    <w:p w14:paraId="4FF9CDB4" w14:textId="77777777" w:rsidR="008C5CFA" w:rsidRDefault="008C5CFA" w:rsidP="00300A01">
      <w:pPr>
        <w:spacing w:before="0" w:after="0"/>
        <w:rPr>
          <w:lang w:val="fr-BE"/>
        </w:rPr>
      </w:pPr>
    </w:p>
    <w:p w14:paraId="3D55451D" w14:textId="77777777" w:rsidR="008C5CFA" w:rsidRDefault="00E82A60" w:rsidP="00300A01">
      <w:pPr>
        <w:spacing w:before="0" w:after="0"/>
        <w:rPr>
          <w:lang w:val="fr-BE"/>
        </w:rPr>
      </w:pPr>
      <w:r>
        <w:rPr>
          <w:lang w:val="fr-BE"/>
        </w:rPr>
        <w:br w:type="page"/>
      </w:r>
    </w:p>
    <w:p w14:paraId="0B493165"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6"/>
        <w:gridCol w:w="13328"/>
      </w:tblGrid>
      <w:tr w:rsidR="006B2EC1" w14:paraId="3BD35BD0" w14:textId="77777777" w:rsidTr="0047688D">
        <w:tc>
          <w:tcPr>
            <w:tcW w:w="0" w:type="auto"/>
            <w:shd w:val="clear" w:color="auto" w:fill="auto"/>
          </w:tcPr>
          <w:p w14:paraId="11F8AA97" w14:textId="77777777" w:rsidR="008C5CFA" w:rsidRPr="002124FC" w:rsidRDefault="00E82A60" w:rsidP="00300A01">
            <w:pPr>
              <w:spacing w:before="0" w:after="0"/>
              <w:rPr>
                <w:sz w:val="20"/>
                <w:szCs w:val="20"/>
                <w:lang w:val="fr-BE"/>
              </w:rPr>
            </w:pPr>
            <w:r>
              <w:rPr>
                <w:lang w:val="fr-BE"/>
              </w:rPr>
              <w:br w:type="page"/>
            </w:r>
            <w:r>
              <w:rPr>
                <w:lang w:val="fr-BE"/>
              </w:rPr>
              <w:br w:type="page"/>
            </w:r>
            <w:r>
              <w:rPr>
                <w:lang w:val="fr-BE"/>
              </w:rPr>
              <w:br w:type="page"/>
            </w:r>
            <w:r w:rsidRPr="002124FC">
              <w:rPr>
                <w:noProof/>
                <w:sz w:val="20"/>
                <w:szCs w:val="20"/>
                <w:lang w:val="fr-BE"/>
              </w:rPr>
              <w:t>Oś priorytetowa</w:t>
            </w:r>
          </w:p>
        </w:tc>
        <w:tc>
          <w:tcPr>
            <w:tcW w:w="0" w:type="auto"/>
            <w:shd w:val="clear" w:color="auto" w:fill="auto"/>
          </w:tcPr>
          <w:p w14:paraId="0BB50D7E" w14:textId="77777777" w:rsidR="008C5CFA" w:rsidRPr="002124FC" w:rsidRDefault="00E82A60" w:rsidP="00300A01">
            <w:pPr>
              <w:spacing w:before="0" w:after="0"/>
              <w:rPr>
                <w:sz w:val="20"/>
                <w:szCs w:val="20"/>
                <w:lang w:val="fr-BE"/>
              </w:rPr>
            </w:pPr>
            <w:r>
              <w:rPr>
                <w:noProof/>
                <w:sz w:val="20"/>
                <w:szCs w:val="20"/>
                <w:lang w:val="fr-BE"/>
              </w:rPr>
              <w:t>2</w:t>
            </w:r>
            <w:r w:rsidRPr="002124FC">
              <w:rPr>
                <w:sz w:val="20"/>
                <w:szCs w:val="20"/>
                <w:lang w:val="fr-BE"/>
              </w:rPr>
              <w:t xml:space="preserve"> - </w:t>
            </w:r>
            <w:r>
              <w:rPr>
                <w:noProof/>
                <w:sz w:val="20"/>
                <w:szCs w:val="20"/>
                <w:lang w:val="fr-BE"/>
              </w:rPr>
              <w:t>Konkurencyjna gospodarka</w:t>
            </w:r>
          </w:p>
        </w:tc>
      </w:tr>
      <w:tr w:rsidR="006B2EC1" w14:paraId="6A24778C" w14:textId="77777777" w:rsidTr="0047688D">
        <w:tc>
          <w:tcPr>
            <w:tcW w:w="0" w:type="auto"/>
            <w:shd w:val="clear" w:color="auto" w:fill="auto"/>
          </w:tcPr>
          <w:p w14:paraId="36760784" w14:textId="77777777" w:rsidR="008C5CFA" w:rsidRPr="002124FC" w:rsidRDefault="00E82A60"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14:paraId="690B1B55" w14:textId="77777777" w:rsidR="008C5CFA" w:rsidRPr="002124FC" w:rsidRDefault="00E82A60" w:rsidP="00300A01">
            <w:pPr>
              <w:spacing w:before="0" w:after="0"/>
              <w:rPr>
                <w:sz w:val="20"/>
                <w:szCs w:val="20"/>
                <w:lang w:val="fr-BE"/>
              </w:rPr>
            </w:pPr>
            <w:r w:rsidRPr="002124FC">
              <w:rPr>
                <w:noProof/>
                <w:sz w:val="20"/>
                <w:szCs w:val="20"/>
                <w:lang w:val="fr-BE"/>
              </w:rPr>
              <w:t>3a</w:t>
            </w:r>
            <w:r w:rsidRPr="002124FC">
              <w:rPr>
                <w:sz w:val="20"/>
                <w:szCs w:val="20"/>
                <w:lang w:val="fr-BE"/>
              </w:rPr>
              <w:t xml:space="preserve"> - </w:t>
            </w:r>
            <w:r>
              <w:rPr>
                <w:noProof/>
                <w:sz w:val="20"/>
                <w:szCs w:val="20"/>
                <w:lang w:val="fr-BE"/>
              </w:rPr>
              <w:t>Promowanie przedsiębiorczości, w szczególności poprzez ułatwianie gospodarczego wykorzystywania nowych pomysłów oraz sprzyjanie tworzeniu nowych firm, w tym również przez inkubatory przedsiębiorczości</w:t>
            </w:r>
          </w:p>
        </w:tc>
      </w:tr>
      <w:tr w:rsidR="006B2EC1" w14:paraId="5FF58873" w14:textId="77777777" w:rsidTr="0047688D">
        <w:tc>
          <w:tcPr>
            <w:tcW w:w="0" w:type="auto"/>
            <w:shd w:val="clear" w:color="auto" w:fill="auto"/>
          </w:tcPr>
          <w:p w14:paraId="140B36BD" w14:textId="77777777" w:rsidR="008C5CFA" w:rsidRPr="002124FC" w:rsidRDefault="00E82A60" w:rsidP="00300A01">
            <w:pPr>
              <w:spacing w:before="0" w:after="0"/>
              <w:ind w:left="113" w:hanging="113"/>
              <w:rPr>
                <w:sz w:val="20"/>
                <w:szCs w:val="20"/>
                <w:lang w:val="fr-BE"/>
              </w:rPr>
            </w:pPr>
            <w:r>
              <w:rPr>
                <w:noProof/>
                <w:sz w:val="20"/>
                <w:szCs w:val="20"/>
                <w:lang w:val="fr-BE"/>
              </w:rPr>
              <w:t>Cel szczegółowy</w:t>
            </w:r>
          </w:p>
        </w:tc>
        <w:tc>
          <w:tcPr>
            <w:tcW w:w="0" w:type="auto"/>
            <w:shd w:val="clear" w:color="auto" w:fill="auto"/>
          </w:tcPr>
          <w:p w14:paraId="0D3FB453" w14:textId="77777777" w:rsidR="008C5CFA" w:rsidRPr="002124FC" w:rsidRDefault="00E82A60" w:rsidP="00300A01">
            <w:pPr>
              <w:spacing w:before="0" w:after="0"/>
              <w:rPr>
                <w:sz w:val="20"/>
                <w:szCs w:val="20"/>
                <w:lang w:val="fr-BE"/>
              </w:rPr>
            </w:pPr>
            <w:r>
              <w:rPr>
                <w:noProof/>
                <w:sz w:val="20"/>
                <w:szCs w:val="20"/>
                <w:lang w:val="fr-BE"/>
              </w:rPr>
              <w:t>1</w:t>
            </w:r>
            <w:r>
              <w:rPr>
                <w:sz w:val="20"/>
                <w:szCs w:val="20"/>
                <w:lang w:val="fr-BE"/>
              </w:rPr>
              <w:t xml:space="preserve"> - </w:t>
            </w:r>
            <w:r>
              <w:rPr>
                <w:noProof/>
                <w:sz w:val="20"/>
                <w:szCs w:val="20"/>
                <w:lang w:val="fr-BE"/>
              </w:rPr>
              <w:t>Lepsze warunki do rozwoju MŚP.</w:t>
            </w:r>
          </w:p>
        </w:tc>
      </w:tr>
    </w:tbl>
    <w:p w14:paraId="69809BBC" w14:textId="77777777" w:rsidR="008C5CFA" w:rsidRDefault="008C5CFA" w:rsidP="00300A01">
      <w:pPr>
        <w:spacing w:before="0" w:after="0"/>
        <w:rPr>
          <w:lang w:val="fr-BE"/>
        </w:rPr>
      </w:pPr>
    </w:p>
    <w:p w14:paraId="05E37416" w14:textId="77777777" w:rsidR="008C5CFA" w:rsidRDefault="00E82A60" w:rsidP="00300A01">
      <w:pPr>
        <w:spacing w:before="0" w:after="0"/>
        <w:rPr>
          <w:lang w:val="fr-BE"/>
        </w:rPr>
      </w:pPr>
      <w:r>
        <w:rPr>
          <w:lang w:val="fr-BE"/>
        </w:rPr>
        <w:t xml:space="preserve">Tabela 1: Wskaźniki rezultatu dla EFRR i Funduszu Spójności (według osi priorytetowej i celu szczegółowego); ma zastosowanie także do osi priorytetowej </w:t>
      </w:r>
      <w:r>
        <w:t>"</w:t>
      </w:r>
      <w:r>
        <w:rPr>
          <w:lang w:val="fr-BE"/>
        </w:rPr>
        <w:t>Pomoc techniczna</w:t>
      </w:r>
      <w:r>
        <w:t>"</w:t>
      </w:r>
    </w:p>
    <w:p w14:paraId="01E91BFB"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3179"/>
        <w:gridCol w:w="1091"/>
        <w:gridCol w:w="1177"/>
        <w:gridCol w:w="1061"/>
        <w:gridCol w:w="895"/>
        <w:gridCol w:w="1379"/>
        <w:gridCol w:w="944"/>
        <w:gridCol w:w="1166"/>
        <w:gridCol w:w="3836"/>
      </w:tblGrid>
      <w:tr w:rsidR="006B2EC1" w14:paraId="6BE242FA" w14:textId="77777777" w:rsidTr="0047688D">
        <w:tc>
          <w:tcPr>
            <w:tcW w:w="0" w:type="auto"/>
            <w:shd w:val="clear" w:color="auto" w:fill="auto"/>
          </w:tcPr>
          <w:p w14:paraId="66E31132" w14:textId="77777777" w:rsidR="008C5CFA" w:rsidRPr="0024468B" w:rsidRDefault="00E82A60" w:rsidP="00300A01">
            <w:pPr>
              <w:spacing w:before="0" w:after="0"/>
              <w:rPr>
                <w:sz w:val="16"/>
                <w:szCs w:val="16"/>
                <w:lang w:val="fr-BE"/>
              </w:rPr>
            </w:pPr>
            <w:r w:rsidRPr="0024468B">
              <w:rPr>
                <w:noProof/>
                <w:sz w:val="16"/>
                <w:szCs w:val="16"/>
                <w:lang w:val="fr-BE"/>
              </w:rPr>
              <w:t>ID</w:t>
            </w:r>
          </w:p>
        </w:tc>
        <w:tc>
          <w:tcPr>
            <w:tcW w:w="0" w:type="auto"/>
            <w:shd w:val="clear" w:color="auto" w:fill="auto"/>
          </w:tcPr>
          <w:p w14:paraId="3017A108" w14:textId="77777777" w:rsidR="008C5CFA" w:rsidRPr="0024468B" w:rsidRDefault="00E82A60" w:rsidP="00300A01">
            <w:pPr>
              <w:spacing w:before="0" w:after="0"/>
              <w:rPr>
                <w:sz w:val="16"/>
                <w:szCs w:val="16"/>
                <w:lang w:val="fr-BE"/>
              </w:rPr>
            </w:pPr>
            <w:r w:rsidRPr="0024468B">
              <w:rPr>
                <w:noProof/>
                <w:sz w:val="16"/>
                <w:szCs w:val="16"/>
                <w:lang w:val="fr-BE"/>
              </w:rPr>
              <w:t>Wskaźnik</w:t>
            </w:r>
          </w:p>
        </w:tc>
        <w:tc>
          <w:tcPr>
            <w:tcW w:w="0" w:type="auto"/>
            <w:shd w:val="clear" w:color="auto" w:fill="auto"/>
          </w:tcPr>
          <w:p w14:paraId="15896FAC" w14:textId="77777777" w:rsidR="008C5CFA" w:rsidRPr="0024468B" w:rsidRDefault="00E82A60" w:rsidP="00300A01">
            <w:pPr>
              <w:spacing w:before="0" w:after="0"/>
              <w:rPr>
                <w:sz w:val="16"/>
                <w:szCs w:val="16"/>
                <w:lang w:val="fr-BE"/>
              </w:rPr>
            </w:pPr>
            <w:r w:rsidRPr="0024468B">
              <w:rPr>
                <w:noProof/>
                <w:sz w:val="16"/>
                <w:szCs w:val="16"/>
                <w:lang w:val="fr-BE"/>
              </w:rPr>
              <w:t>Jednostka miary</w:t>
            </w:r>
          </w:p>
        </w:tc>
        <w:tc>
          <w:tcPr>
            <w:tcW w:w="0" w:type="auto"/>
            <w:shd w:val="clear" w:color="auto" w:fill="auto"/>
          </w:tcPr>
          <w:p w14:paraId="548DE310" w14:textId="77777777" w:rsidR="008C5CFA" w:rsidRPr="0024468B" w:rsidRDefault="00E82A60" w:rsidP="00300A01">
            <w:pPr>
              <w:spacing w:before="0" w:after="0"/>
              <w:rPr>
                <w:sz w:val="16"/>
                <w:szCs w:val="16"/>
                <w:lang w:val="fr-BE"/>
              </w:rPr>
            </w:pPr>
            <w:r w:rsidRPr="0024468B">
              <w:rPr>
                <w:noProof/>
                <w:sz w:val="16"/>
                <w:szCs w:val="16"/>
                <w:lang w:val="fr-BE"/>
              </w:rPr>
              <w:t>Kategoria regionu</w:t>
            </w:r>
          </w:p>
        </w:tc>
        <w:tc>
          <w:tcPr>
            <w:tcW w:w="0" w:type="auto"/>
            <w:shd w:val="clear" w:color="auto" w:fill="auto"/>
          </w:tcPr>
          <w:p w14:paraId="624CC4E3" w14:textId="77777777" w:rsidR="008C5CFA" w:rsidRPr="0024468B" w:rsidRDefault="00E82A60" w:rsidP="00300A01">
            <w:pPr>
              <w:spacing w:before="0" w:after="0"/>
              <w:rPr>
                <w:sz w:val="16"/>
                <w:szCs w:val="16"/>
                <w:lang w:val="fr-BE"/>
              </w:rPr>
            </w:pPr>
            <w:r w:rsidRPr="0024468B">
              <w:rPr>
                <w:noProof/>
                <w:sz w:val="16"/>
                <w:szCs w:val="16"/>
                <w:lang w:val="fr-BE"/>
              </w:rPr>
              <w:t>Wartość bazowa</w:t>
            </w:r>
          </w:p>
        </w:tc>
        <w:tc>
          <w:tcPr>
            <w:tcW w:w="0" w:type="auto"/>
            <w:shd w:val="clear" w:color="auto" w:fill="auto"/>
          </w:tcPr>
          <w:p w14:paraId="362A1DC5" w14:textId="77777777" w:rsidR="008C5CFA" w:rsidRPr="0024468B" w:rsidRDefault="00E82A60" w:rsidP="00300A01">
            <w:pPr>
              <w:spacing w:before="0" w:after="0"/>
              <w:rPr>
                <w:sz w:val="16"/>
                <w:szCs w:val="16"/>
                <w:lang w:val="fr-BE"/>
              </w:rPr>
            </w:pPr>
            <w:r w:rsidRPr="0024468B">
              <w:rPr>
                <w:noProof/>
                <w:sz w:val="16"/>
                <w:szCs w:val="16"/>
                <w:lang w:val="fr-BE"/>
              </w:rPr>
              <w:t>Rok bazowy</w:t>
            </w:r>
          </w:p>
        </w:tc>
        <w:tc>
          <w:tcPr>
            <w:tcW w:w="0" w:type="auto"/>
            <w:shd w:val="clear" w:color="auto" w:fill="auto"/>
          </w:tcPr>
          <w:p w14:paraId="08C4D83A" w14:textId="77777777" w:rsidR="008C5CFA" w:rsidRPr="0024468B" w:rsidRDefault="00E82A60" w:rsidP="00300A01">
            <w:pPr>
              <w:spacing w:before="0" w:after="0"/>
              <w:rPr>
                <w:sz w:val="16"/>
                <w:szCs w:val="16"/>
                <w:lang w:val="fr-BE"/>
              </w:rPr>
            </w:pPr>
            <w:r w:rsidRPr="0024468B">
              <w:rPr>
                <w:noProof/>
                <w:sz w:val="16"/>
                <w:szCs w:val="16"/>
                <w:lang w:val="fr-BE"/>
              </w:rPr>
              <w:t>Wartość docelowa 2023</w:t>
            </w:r>
          </w:p>
        </w:tc>
        <w:tc>
          <w:tcPr>
            <w:tcW w:w="0" w:type="auto"/>
            <w:shd w:val="clear" w:color="auto" w:fill="auto"/>
          </w:tcPr>
          <w:p w14:paraId="02A7CB64" w14:textId="77777777" w:rsidR="008C5CFA" w:rsidRPr="0024468B" w:rsidRDefault="00E82A60" w:rsidP="00300A01">
            <w:pPr>
              <w:spacing w:before="0" w:after="0"/>
              <w:jc w:val="center"/>
              <w:rPr>
                <w:sz w:val="16"/>
                <w:szCs w:val="16"/>
                <w:lang w:val="fr-BE"/>
              </w:rPr>
            </w:pPr>
            <w:r>
              <w:rPr>
                <w:sz w:val="16"/>
                <w:szCs w:val="16"/>
                <w:lang w:val="fr-BE"/>
              </w:rPr>
              <w:t xml:space="preserve">2019 </w:t>
            </w:r>
            <w:r>
              <w:rPr>
                <w:noProof/>
                <w:sz w:val="16"/>
                <w:szCs w:val="16"/>
                <w:lang w:val="fr-BE"/>
              </w:rPr>
              <w:t>Ogółem</w:t>
            </w:r>
          </w:p>
        </w:tc>
        <w:tc>
          <w:tcPr>
            <w:tcW w:w="0" w:type="auto"/>
            <w:shd w:val="clear" w:color="auto" w:fill="auto"/>
          </w:tcPr>
          <w:p w14:paraId="7A327625" w14:textId="77777777" w:rsidR="008C5CFA" w:rsidRPr="0024468B" w:rsidRDefault="00E82A60" w:rsidP="00300A01">
            <w:pPr>
              <w:spacing w:before="0" w:after="0"/>
              <w:jc w:val="center"/>
              <w:rPr>
                <w:sz w:val="16"/>
                <w:szCs w:val="16"/>
                <w:lang w:val="fr-BE"/>
              </w:rPr>
            </w:pPr>
            <w:r>
              <w:rPr>
                <w:sz w:val="16"/>
                <w:szCs w:val="16"/>
                <w:lang w:val="fr-BE"/>
              </w:rPr>
              <w:t xml:space="preserve">2019 </w:t>
            </w:r>
            <w:r w:rsidRPr="0024468B">
              <w:rPr>
                <w:noProof/>
                <w:sz w:val="16"/>
                <w:szCs w:val="16"/>
                <w:lang w:val="fr-BE"/>
              </w:rPr>
              <w:t>Jakościowe</w:t>
            </w:r>
          </w:p>
        </w:tc>
        <w:tc>
          <w:tcPr>
            <w:tcW w:w="0" w:type="auto"/>
            <w:shd w:val="clear" w:color="auto" w:fill="auto"/>
          </w:tcPr>
          <w:p w14:paraId="7CEB59D5" w14:textId="77777777" w:rsidR="008C5CFA" w:rsidRPr="0024468B" w:rsidRDefault="00E82A60" w:rsidP="00300A01">
            <w:pPr>
              <w:spacing w:before="0" w:after="0"/>
              <w:jc w:val="center"/>
              <w:rPr>
                <w:sz w:val="16"/>
                <w:szCs w:val="16"/>
                <w:lang w:val="fr-BE"/>
              </w:rPr>
            </w:pPr>
            <w:r w:rsidRPr="0024468B">
              <w:rPr>
                <w:noProof/>
                <w:sz w:val="16"/>
                <w:szCs w:val="16"/>
                <w:lang w:val="fr-BE"/>
              </w:rPr>
              <w:t>Uwagi</w:t>
            </w:r>
          </w:p>
        </w:tc>
      </w:tr>
      <w:tr w:rsidR="006B2EC1" w14:paraId="006A915F" w14:textId="77777777" w:rsidTr="0047688D">
        <w:tc>
          <w:tcPr>
            <w:tcW w:w="0" w:type="auto"/>
            <w:shd w:val="clear" w:color="auto" w:fill="auto"/>
          </w:tcPr>
          <w:p w14:paraId="623061BC" w14:textId="77777777" w:rsidR="008C5CFA" w:rsidRPr="0024468B" w:rsidRDefault="00E82A60" w:rsidP="00300A01">
            <w:pPr>
              <w:spacing w:before="0" w:after="0"/>
              <w:rPr>
                <w:sz w:val="16"/>
                <w:szCs w:val="16"/>
                <w:lang w:val="fr-BE"/>
              </w:rPr>
            </w:pPr>
            <w:r w:rsidRPr="0024468B">
              <w:rPr>
                <w:noProof/>
                <w:sz w:val="16"/>
                <w:szCs w:val="16"/>
                <w:lang w:val="fr-BE"/>
              </w:rPr>
              <w:t>036</w:t>
            </w:r>
          </w:p>
        </w:tc>
        <w:tc>
          <w:tcPr>
            <w:tcW w:w="0" w:type="auto"/>
            <w:shd w:val="clear" w:color="auto" w:fill="auto"/>
          </w:tcPr>
          <w:p w14:paraId="75225F4E" w14:textId="77777777" w:rsidR="008C5CFA" w:rsidRPr="0024468B" w:rsidRDefault="00E82A60" w:rsidP="00300A01">
            <w:pPr>
              <w:spacing w:before="0" w:after="0"/>
              <w:rPr>
                <w:sz w:val="16"/>
                <w:szCs w:val="16"/>
                <w:lang w:val="fr-BE"/>
              </w:rPr>
            </w:pPr>
            <w:r w:rsidRPr="0024468B">
              <w:rPr>
                <w:noProof/>
                <w:sz w:val="16"/>
                <w:szCs w:val="16"/>
                <w:lang w:val="fr-BE"/>
              </w:rPr>
              <w:t>Nakłady inwestycyjne w przedsiębiorstwach w stosunku do PKB</w:t>
            </w:r>
          </w:p>
        </w:tc>
        <w:tc>
          <w:tcPr>
            <w:tcW w:w="0" w:type="auto"/>
            <w:shd w:val="clear" w:color="auto" w:fill="auto"/>
          </w:tcPr>
          <w:p w14:paraId="42AF36C3" w14:textId="77777777" w:rsidR="008C5CFA" w:rsidRPr="0024468B" w:rsidRDefault="00E82A60" w:rsidP="00300A01">
            <w:pPr>
              <w:spacing w:before="0" w:after="0"/>
              <w:rPr>
                <w:sz w:val="16"/>
                <w:szCs w:val="16"/>
                <w:lang w:val="fr-BE"/>
              </w:rPr>
            </w:pPr>
            <w:r w:rsidRPr="0024468B">
              <w:rPr>
                <w:noProof/>
                <w:sz w:val="16"/>
                <w:szCs w:val="16"/>
                <w:lang w:val="fr-BE"/>
              </w:rPr>
              <w:t>%</w:t>
            </w:r>
          </w:p>
        </w:tc>
        <w:tc>
          <w:tcPr>
            <w:tcW w:w="0" w:type="auto"/>
            <w:shd w:val="clear" w:color="auto" w:fill="auto"/>
          </w:tcPr>
          <w:p w14:paraId="56D4A164" w14:textId="77777777" w:rsidR="008C5CFA" w:rsidRPr="0024468B" w:rsidRDefault="00E82A60"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14:paraId="36406F44" w14:textId="77777777" w:rsidR="008C5CFA" w:rsidRPr="00C3185A" w:rsidRDefault="00E82A60" w:rsidP="00300A01">
            <w:pPr>
              <w:spacing w:before="0" w:after="0"/>
              <w:jc w:val="right"/>
              <w:rPr>
                <w:sz w:val="16"/>
                <w:szCs w:val="16"/>
                <w:lang w:val="fr-BE"/>
              </w:rPr>
            </w:pPr>
            <w:r w:rsidRPr="00C3185A">
              <w:rPr>
                <w:noProof/>
                <w:sz w:val="16"/>
                <w:szCs w:val="16"/>
                <w:lang w:val="fr-BE"/>
              </w:rPr>
              <w:t>8,30</w:t>
            </w:r>
          </w:p>
        </w:tc>
        <w:tc>
          <w:tcPr>
            <w:tcW w:w="0" w:type="auto"/>
            <w:shd w:val="clear" w:color="auto" w:fill="auto"/>
          </w:tcPr>
          <w:p w14:paraId="60F959CB" w14:textId="77777777" w:rsidR="008C5CFA" w:rsidRPr="0024468B" w:rsidRDefault="00E82A60" w:rsidP="00300A01">
            <w:pPr>
              <w:spacing w:before="0" w:after="0"/>
              <w:rPr>
                <w:sz w:val="16"/>
                <w:szCs w:val="16"/>
                <w:lang w:val="fr-BE"/>
              </w:rPr>
            </w:pPr>
            <w:r w:rsidRPr="0024468B">
              <w:rPr>
                <w:noProof/>
                <w:sz w:val="16"/>
                <w:szCs w:val="16"/>
                <w:lang w:val="fr-BE"/>
              </w:rPr>
              <w:t>2011</w:t>
            </w:r>
          </w:p>
        </w:tc>
        <w:tc>
          <w:tcPr>
            <w:tcW w:w="0" w:type="auto"/>
            <w:shd w:val="clear" w:color="auto" w:fill="auto"/>
          </w:tcPr>
          <w:p w14:paraId="58F6B5A2" w14:textId="77777777" w:rsidR="008C5CFA" w:rsidRPr="0024468B" w:rsidRDefault="00E82A60" w:rsidP="00300A01">
            <w:pPr>
              <w:spacing w:before="0" w:after="0"/>
              <w:jc w:val="right"/>
              <w:rPr>
                <w:sz w:val="16"/>
                <w:szCs w:val="16"/>
                <w:lang w:val="fr-BE"/>
              </w:rPr>
            </w:pPr>
            <w:r w:rsidRPr="0024468B">
              <w:rPr>
                <w:noProof/>
                <w:sz w:val="16"/>
                <w:szCs w:val="16"/>
                <w:lang w:val="fr-BE"/>
              </w:rPr>
              <w:t>9,70</w:t>
            </w:r>
          </w:p>
        </w:tc>
        <w:tc>
          <w:tcPr>
            <w:tcW w:w="0" w:type="auto"/>
            <w:shd w:val="clear" w:color="auto" w:fill="auto"/>
          </w:tcPr>
          <w:p w14:paraId="0BA2EF7B"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04C9FD2E" w14:textId="77777777" w:rsidR="008C5CFA" w:rsidRPr="0024468B" w:rsidRDefault="008C5CFA" w:rsidP="00300A01">
            <w:pPr>
              <w:spacing w:before="0" w:after="0"/>
              <w:jc w:val="right"/>
              <w:rPr>
                <w:sz w:val="16"/>
                <w:szCs w:val="16"/>
                <w:lang w:val="fr-BE"/>
              </w:rPr>
            </w:pPr>
          </w:p>
        </w:tc>
        <w:tc>
          <w:tcPr>
            <w:tcW w:w="0" w:type="auto"/>
            <w:shd w:val="clear" w:color="auto" w:fill="auto"/>
          </w:tcPr>
          <w:p w14:paraId="540289BA" w14:textId="77777777" w:rsidR="008C5CFA" w:rsidRPr="0024468B" w:rsidRDefault="00E82A60" w:rsidP="00300A01">
            <w:pPr>
              <w:spacing w:before="0" w:after="0"/>
              <w:rPr>
                <w:sz w:val="16"/>
                <w:szCs w:val="16"/>
                <w:lang w:val="fr-BE"/>
              </w:rPr>
            </w:pPr>
            <w:r w:rsidRPr="0024468B">
              <w:rPr>
                <w:noProof/>
                <w:sz w:val="16"/>
                <w:szCs w:val="16"/>
                <w:lang w:val="fr-BE"/>
              </w:rPr>
              <w:t>Brak aktualnych danych dostępnych w statystykach publicznych (systemie STRATEG)</w:t>
            </w:r>
          </w:p>
        </w:tc>
      </w:tr>
    </w:tbl>
    <w:p w14:paraId="1357931A"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
        <w:gridCol w:w="4606"/>
        <w:gridCol w:w="1146"/>
        <w:gridCol w:w="1379"/>
        <w:gridCol w:w="1146"/>
        <w:gridCol w:w="1379"/>
        <w:gridCol w:w="1146"/>
        <w:gridCol w:w="1379"/>
        <w:gridCol w:w="1146"/>
        <w:gridCol w:w="1379"/>
      </w:tblGrid>
      <w:tr w:rsidR="006B2EC1" w14:paraId="2A3B3405" w14:textId="77777777" w:rsidTr="0047688D">
        <w:tc>
          <w:tcPr>
            <w:tcW w:w="0" w:type="auto"/>
            <w:shd w:val="clear" w:color="auto" w:fill="auto"/>
          </w:tcPr>
          <w:p w14:paraId="21B2F8A8" w14:textId="77777777" w:rsidR="008C5CFA" w:rsidRPr="0024468B" w:rsidRDefault="00E82A60" w:rsidP="00300A01">
            <w:pPr>
              <w:spacing w:before="0" w:after="0"/>
              <w:rPr>
                <w:sz w:val="16"/>
                <w:szCs w:val="16"/>
                <w:lang w:val="fr-BE"/>
              </w:rPr>
            </w:pPr>
            <w:r w:rsidRPr="0024468B">
              <w:rPr>
                <w:noProof/>
                <w:sz w:val="16"/>
                <w:szCs w:val="16"/>
                <w:lang w:val="fr-BE"/>
              </w:rPr>
              <w:t>ID</w:t>
            </w:r>
          </w:p>
        </w:tc>
        <w:tc>
          <w:tcPr>
            <w:tcW w:w="0" w:type="auto"/>
            <w:shd w:val="clear" w:color="auto" w:fill="auto"/>
          </w:tcPr>
          <w:p w14:paraId="69FA0A73" w14:textId="77777777" w:rsidR="008C5CFA" w:rsidRPr="0024468B" w:rsidRDefault="00E82A60" w:rsidP="00300A01">
            <w:pPr>
              <w:spacing w:before="0" w:after="0"/>
              <w:rPr>
                <w:sz w:val="16"/>
                <w:szCs w:val="16"/>
                <w:lang w:val="fr-BE"/>
              </w:rPr>
            </w:pPr>
            <w:r w:rsidRPr="0024468B">
              <w:rPr>
                <w:noProof/>
                <w:sz w:val="16"/>
                <w:szCs w:val="16"/>
                <w:lang w:val="fr-BE"/>
              </w:rPr>
              <w:t>Wskaźnik</w:t>
            </w:r>
          </w:p>
        </w:tc>
        <w:tc>
          <w:tcPr>
            <w:tcW w:w="0" w:type="auto"/>
          </w:tcPr>
          <w:p w14:paraId="386FD5ED" w14:textId="77777777" w:rsidR="008C5CFA" w:rsidRPr="0024468B" w:rsidRDefault="00E82A60" w:rsidP="00300A01">
            <w:pPr>
              <w:spacing w:before="0" w:after="0"/>
              <w:jc w:val="center"/>
              <w:rPr>
                <w:sz w:val="16"/>
                <w:szCs w:val="16"/>
                <w:lang w:val="fr-BE"/>
              </w:rPr>
            </w:pPr>
            <w:r>
              <w:rPr>
                <w:sz w:val="16"/>
                <w:szCs w:val="16"/>
                <w:lang w:val="fr-BE"/>
              </w:rPr>
              <w:t xml:space="preserve">2018 </w:t>
            </w:r>
            <w:r>
              <w:rPr>
                <w:noProof/>
                <w:sz w:val="16"/>
                <w:szCs w:val="16"/>
                <w:lang w:val="fr-BE"/>
              </w:rPr>
              <w:t>Ogółem</w:t>
            </w:r>
          </w:p>
        </w:tc>
        <w:tc>
          <w:tcPr>
            <w:tcW w:w="0" w:type="auto"/>
          </w:tcPr>
          <w:p w14:paraId="356EB5B9" w14:textId="77777777" w:rsidR="008C5CFA" w:rsidRPr="0024468B" w:rsidRDefault="00E82A60" w:rsidP="00300A01">
            <w:pPr>
              <w:spacing w:before="0" w:after="0"/>
              <w:jc w:val="center"/>
              <w:rPr>
                <w:sz w:val="16"/>
                <w:szCs w:val="16"/>
                <w:lang w:val="fr-BE"/>
              </w:rPr>
            </w:pPr>
            <w:r>
              <w:rPr>
                <w:sz w:val="16"/>
                <w:szCs w:val="16"/>
                <w:lang w:val="fr-BE"/>
              </w:rPr>
              <w:t xml:space="preserve">2018 </w:t>
            </w:r>
            <w:r w:rsidRPr="0024468B">
              <w:rPr>
                <w:noProof/>
                <w:sz w:val="16"/>
                <w:szCs w:val="16"/>
                <w:lang w:val="fr-BE"/>
              </w:rPr>
              <w:t>Jakościowe</w:t>
            </w:r>
          </w:p>
        </w:tc>
        <w:tc>
          <w:tcPr>
            <w:tcW w:w="0" w:type="auto"/>
          </w:tcPr>
          <w:p w14:paraId="733E3EC3" w14:textId="77777777" w:rsidR="008C5CFA" w:rsidRPr="0024468B" w:rsidRDefault="00E82A60" w:rsidP="00300A01">
            <w:pPr>
              <w:spacing w:before="0" w:after="0"/>
              <w:jc w:val="center"/>
              <w:rPr>
                <w:sz w:val="16"/>
                <w:szCs w:val="16"/>
                <w:lang w:val="fr-BE"/>
              </w:rPr>
            </w:pPr>
            <w:r>
              <w:rPr>
                <w:sz w:val="16"/>
                <w:szCs w:val="16"/>
                <w:lang w:val="fr-BE"/>
              </w:rPr>
              <w:t xml:space="preserve">2017 </w:t>
            </w:r>
            <w:r>
              <w:rPr>
                <w:noProof/>
                <w:sz w:val="16"/>
                <w:szCs w:val="16"/>
                <w:lang w:val="fr-BE"/>
              </w:rPr>
              <w:t>Ogółem</w:t>
            </w:r>
          </w:p>
        </w:tc>
        <w:tc>
          <w:tcPr>
            <w:tcW w:w="0" w:type="auto"/>
          </w:tcPr>
          <w:p w14:paraId="35FAC6C3" w14:textId="77777777" w:rsidR="008C5CFA" w:rsidRPr="0024468B" w:rsidRDefault="00E82A60" w:rsidP="00300A01">
            <w:pPr>
              <w:spacing w:before="0" w:after="0"/>
              <w:jc w:val="center"/>
              <w:rPr>
                <w:sz w:val="16"/>
                <w:szCs w:val="16"/>
                <w:lang w:val="fr-BE"/>
              </w:rPr>
            </w:pPr>
            <w:r>
              <w:rPr>
                <w:sz w:val="16"/>
                <w:szCs w:val="16"/>
                <w:lang w:val="fr-BE"/>
              </w:rPr>
              <w:t xml:space="preserve">2017 </w:t>
            </w:r>
            <w:r w:rsidRPr="0024468B">
              <w:rPr>
                <w:noProof/>
                <w:sz w:val="16"/>
                <w:szCs w:val="16"/>
                <w:lang w:val="fr-BE"/>
              </w:rPr>
              <w:t>Jakościowe</w:t>
            </w:r>
          </w:p>
        </w:tc>
        <w:tc>
          <w:tcPr>
            <w:tcW w:w="0" w:type="auto"/>
          </w:tcPr>
          <w:p w14:paraId="70A7ED7F" w14:textId="77777777" w:rsidR="008C5CFA" w:rsidRPr="0024468B" w:rsidRDefault="00E82A60" w:rsidP="00300A01">
            <w:pPr>
              <w:spacing w:before="0" w:after="0"/>
              <w:jc w:val="center"/>
              <w:rPr>
                <w:sz w:val="16"/>
                <w:szCs w:val="16"/>
                <w:lang w:val="fr-BE"/>
              </w:rPr>
            </w:pPr>
            <w:r>
              <w:rPr>
                <w:sz w:val="16"/>
                <w:szCs w:val="16"/>
                <w:lang w:val="fr-BE"/>
              </w:rPr>
              <w:t xml:space="preserve">2016 </w:t>
            </w:r>
            <w:r>
              <w:rPr>
                <w:noProof/>
                <w:sz w:val="16"/>
                <w:szCs w:val="16"/>
                <w:lang w:val="fr-BE"/>
              </w:rPr>
              <w:t>Ogółem</w:t>
            </w:r>
          </w:p>
        </w:tc>
        <w:tc>
          <w:tcPr>
            <w:tcW w:w="0" w:type="auto"/>
          </w:tcPr>
          <w:p w14:paraId="754F05FD" w14:textId="77777777" w:rsidR="008C5CFA" w:rsidRPr="0024468B" w:rsidRDefault="00E82A60" w:rsidP="00300A01">
            <w:pPr>
              <w:spacing w:before="0" w:after="0"/>
              <w:jc w:val="center"/>
              <w:rPr>
                <w:sz w:val="16"/>
                <w:szCs w:val="16"/>
                <w:lang w:val="fr-BE"/>
              </w:rPr>
            </w:pPr>
            <w:r>
              <w:rPr>
                <w:sz w:val="16"/>
                <w:szCs w:val="16"/>
                <w:lang w:val="fr-BE"/>
              </w:rPr>
              <w:t xml:space="preserve">2016 </w:t>
            </w:r>
            <w:r w:rsidRPr="0024468B">
              <w:rPr>
                <w:noProof/>
                <w:sz w:val="16"/>
                <w:szCs w:val="16"/>
                <w:lang w:val="fr-BE"/>
              </w:rPr>
              <w:t>Jakościowe</w:t>
            </w:r>
          </w:p>
        </w:tc>
        <w:tc>
          <w:tcPr>
            <w:tcW w:w="0" w:type="auto"/>
          </w:tcPr>
          <w:p w14:paraId="73A5A7A1" w14:textId="77777777" w:rsidR="008C5CFA" w:rsidRPr="0024468B" w:rsidRDefault="00E82A60" w:rsidP="00300A01">
            <w:pPr>
              <w:spacing w:before="0" w:after="0"/>
              <w:jc w:val="center"/>
              <w:rPr>
                <w:sz w:val="16"/>
                <w:szCs w:val="16"/>
                <w:lang w:val="fr-BE"/>
              </w:rPr>
            </w:pPr>
            <w:r>
              <w:rPr>
                <w:sz w:val="16"/>
                <w:szCs w:val="16"/>
                <w:lang w:val="fr-BE"/>
              </w:rPr>
              <w:t xml:space="preserve">2015 </w:t>
            </w:r>
            <w:r>
              <w:rPr>
                <w:noProof/>
                <w:sz w:val="16"/>
                <w:szCs w:val="16"/>
                <w:lang w:val="fr-BE"/>
              </w:rPr>
              <w:t>Ogółem</w:t>
            </w:r>
          </w:p>
        </w:tc>
        <w:tc>
          <w:tcPr>
            <w:tcW w:w="0" w:type="auto"/>
          </w:tcPr>
          <w:p w14:paraId="351CBAE8" w14:textId="77777777" w:rsidR="008C5CFA" w:rsidRPr="0024468B" w:rsidRDefault="00E82A60" w:rsidP="00300A01">
            <w:pPr>
              <w:spacing w:before="0" w:after="0"/>
              <w:jc w:val="center"/>
              <w:rPr>
                <w:sz w:val="16"/>
                <w:szCs w:val="16"/>
                <w:lang w:val="fr-BE"/>
              </w:rPr>
            </w:pPr>
            <w:r>
              <w:rPr>
                <w:sz w:val="16"/>
                <w:szCs w:val="16"/>
                <w:lang w:val="fr-BE"/>
              </w:rPr>
              <w:t xml:space="preserve">2015 </w:t>
            </w:r>
            <w:r w:rsidRPr="0024468B">
              <w:rPr>
                <w:noProof/>
                <w:sz w:val="16"/>
                <w:szCs w:val="16"/>
                <w:lang w:val="fr-BE"/>
              </w:rPr>
              <w:t>Jakościowe</w:t>
            </w:r>
          </w:p>
        </w:tc>
      </w:tr>
      <w:tr w:rsidR="006B2EC1" w14:paraId="7828A953" w14:textId="77777777" w:rsidTr="0047688D">
        <w:tc>
          <w:tcPr>
            <w:tcW w:w="0" w:type="auto"/>
            <w:shd w:val="clear" w:color="auto" w:fill="auto"/>
          </w:tcPr>
          <w:p w14:paraId="3C476036" w14:textId="77777777" w:rsidR="008C5CFA" w:rsidRPr="0024468B" w:rsidRDefault="00E82A60" w:rsidP="00300A01">
            <w:pPr>
              <w:spacing w:before="0" w:after="0"/>
              <w:rPr>
                <w:sz w:val="16"/>
                <w:szCs w:val="16"/>
                <w:lang w:val="fr-BE"/>
              </w:rPr>
            </w:pPr>
            <w:r w:rsidRPr="0024468B">
              <w:rPr>
                <w:noProof/>
                <w:sz w:val="16"/>
                <w:szCs w:val="16"/>
                <w:lang w:val="fr-BE"/>
              </w:rPr>
              <w:t>036</w:t>
            </w:r>
          </w:p>
        </w:tc>
        <w:tc>
          <w:tcPr>
            <w:tcW w:w="0" w:type="auto"/>
            <w:shd w:val="clear" w:color="auto" w:fill="auto"/>
          </w:tcPr>
          <w:p w14:paraId="1942BA88" w14:textId="77777777" w:rsidR="008C5CFA" w:rsidRPr="0024468B" w:rsidRDefault="00E82A60" w:rsidP="00300A01">
            <w:pPr>
              <w:spacing w:before="0" w:after="0"/>
              <w:rPr>
                <w:sz w:val="16"/>
                <w:szCs w:val="16"/>
                <w:lang w:val="fr-BE"/>
              </w:rPr>
            </w:pPr>
            <w:r w:rsidRPr="0024468B">
              <w:rPr>
                <w:noProof/>
                <w:sz w:val="16"/>
                <w:szCs w:val="16"/>
                <w:lang w:val="fr-BE"/>
              </w:rPr>
              <w:t>Nakłady inwestycyjne w przedsiębiorstwach w stosunku do PKB</w:t>
            </w:r>
          </w:p>
        </w:tc>
        <w:tc>
          <w:tcPr>
            <w:tcW w:w="0" w:type="auto"/>
          </w:tcPr>
          <w:p w14:paraId="2FFAAEC0"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3F0ED032" w14:textId="77777777" w:rsidR="008C5CFA" w:rsidRPr="0024468B" w:rsidRDefault="008C5CFA" w:rsidP="00300A01">
            <w:pPr>
              <w:spacing w:before="0" w:after="0"/>
              <w:jc w:val="right"/>
              <w:rPr>
                <w:sz w:val="16"/>
                <w:szCs w:val="16"/>
                <w:lang w:val="fr-BE"/>
              </w:rPr>
            </w:pPr>
          </w:p>
        </w:tc>
        <w:tc>
          <w:tcPr>
            <w:tcW w:w="0" w:type="auto"/>
          </w:tcPr>
          <w:p w14:paraId="3655DCD7" w14:textId="77777777" w:rsidR="008C5CFA" w:rsidRPr="0024468B" w:rsidRDefault="00E82A60" w:rsidP="00300A01">
            <w:pPr>
              <w:spacing w:before="0" w:after="0"/>
              <w:jc w:val="right"/>
              <w:rPr>
                <w:sz w:val="16"/>
                <w:szCs w:val="16"/>
                <w:lang w:val="fr-BE"/>
              </w:rPr>
            </w:pPr>
            <w:r w:rsidRPr="0024468B">
              <w:rPr>
                <w:noProof/>
                <w:sz w:val="16"/>
                <w:szCs w:val="16"/>
                <w:lang w:val="fr-BE"/>
              </w:rPr>
              <w:t>5,20</w:t>
            </w:r>
          </w:p>
        </w:tc>
        <w:tc>
          <w:tcPr>
            <w:tcW w:w="0" w:type="auto"/>
          </w:tcPr>
          <w:p w14:paraId="1705F34F" w14:textId="77777777" w:rsidR="008C5CFA" w:rsidRPr="0024468B" w:rsidRDefault="008C5CFA" w:rsidP="00300A01">
            <w:pPr>
              <w:spacing w:before="0" w:after="0"/>
              <w:jc w:val="right"/>
              <w:rPr>
                <w:sz w:val="16"/>
                <w:szCs w:val="16"/>
                <w:lang w:val="fr-BE"/>
              </w:rPr>
            </w:pPr>
          </w:p>
        </w:tc>
        <w:tc>
          <w:tcPr>
            <w:tcW w:w="0" w:type="auto"/>
          </w:tcPr>
          <w:p w14:paraId="5A53D0F3" w14:textId="77777777" w:rsidR="008C5CFA" w:rsidRPr="0024468B" w:rsidRDefault="00E82A60" w:rsidP="00300A01">
            <w:pPr>
              <w:spacing w:before="0" w:after="0"/>
              <w:jc w:val="right"/>
              <w:rPr>
                <w:sz w:val="16"/>
                <w:szCs w:val="16"/>
                <w:lang w:val="fr-BE"/>
              </w:rPr>
            </w:pPr>
            <w:r w:rsidRPr="0024468B">
              <w:rPr>
                <w:noProof/>
                <w:sz w:val="16"/>
                <w:szCs w:val="16"/>
                <w:lang w:val="fr-BE"/>
              </w:rPr>
              <w:t>4,70</w:t>
            </w:r>
          </w:p>
        </w:tc>
        <w:tc>
          <w:tcPr>
            <w:tcW w:w="0" w:type="auto"/>
          </w:tcPr>
          <w:p w14:paraId="5C83DD68" w14:textId="77777777" w:rsidR="008C5CFA" w:rsidRPr="0024468B" w:rsidRDefault="008C5CFA" w:rsidP="00300A01">
            <w:pPr>
              <w:spacing w:before="0" w:after="0"/>
              <w:jc w:val="right"/>
              <w:rPr>
                <w:sz w:val="16"/>
                <w:szCs w:val="16"/>
                <w:lang w:val="fr-BE"/>
              </w:rPr>
            </w:pPr>
          </w:p>
        </w:tc>
        <w:tc>
          <w:tcPr>
            <w:tcW w:w="0" w:type="auto"/>
          </w:tcPr>
          <w:p w14:paraId="49D1C489" w14:textId="77777777" w:rsidR="008C5CFA" w:rsidRPr="0024468B" w:rsidRDefault="00E82A60" w:rsidP="00300A01">
            <w:pPr>
              <w:spacing w:before="0" w:after="0"/>
              <w:jc w:val="right"/>
              <w:rPr>
                <w:sz w:val="16"/>
                <w:szCs w:val="16"/>
                <w:lang w:val="fr-BE"/>
              </w:rPr>
            </w:pPr>
            <w:r w:rsidRPr="0024468B">
              <w:rPr>
                <w:noProof/>
                <w:sz w:val="16"/>
                <w:szCs w:val="16"/>
                <w:lang w:val="fr-BE"/>
              </w:rPr>
              <w:t>6,60</w:t>
            </w:r>
          </w:p>
        </w:tc>
        <w:tc>
          <w:tcPr>
            <w:tcW w:w="0" w:type="auto"/>
          </w:tcPr>
          <w:p w14:paraId="0F6D88E0" w14:textId="77777777" w:rsidR="008C5CFA" w:rsidRPr="0024468B" w:rsidRDefault="008C5CFA" w:rsidP="00300A01">
            <w:pPr>
              <w:spacing w:before="0" w:after="0"/>
              <w:jc w:val="right"/>
              <w:rPr>
                <w:sz w:val="16"/>
                <w:szCs w:val="16"/>
                <w:lang w:val="fr-BE"/>
              </w:rPr>
            </w:pPr>
          </w:p>
        </w:tc>
      </w:tr>
    </w:tbl>
    <w:p w14:paraId="4AF4DEF2"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
        <w:gridCol w:w="9191"/>
        <w:gridCol w:w="2287"/>
        <w:gridCol w:w="2752"/>
      </w:tblGrid>
      <w:tr w:rsidR="006B2EC1" w14:paraId="675099A4" w14:textId="77777777" w:rsidTr="0047688D">
        <w:tc>
          <w:tcPr>
            <w:tcW w:w="0" w:type="auto"/>
            <w:shd w:val="clear" w:color="auto" w:fill="auto"/>
          </w:tcPr>
          <w:p w14:paraId="2F19C541" w14:textId="77777777" w:rsidR="008C5CFA" w:rsidRPr="0024468B" w:rsidRDefault="00E82A60" w:rsidP="00300A01">
            <w:pPr>
              <w:spacing w:before="0" w:after="0"/>
              <w:rPr>
                <w:sz w:val="16"/>
                <w:szCs w:val="16"/>
                <w:lang w:val="fr-BE"/>
              </w:rPr>
            </w:pPr>
            <w:r w:rsidRPr="0024468B">
              <w:rPr>
                <w:noProof/>
                <w:sz w:val="16"/>
                <w:szCs w:val="16"/>
                <w:lang w:val="fr-BE"/>
              </w:rPr>
              <w:t>ID</w:t>
            </w:r>
          </w:p>
        </w:tc>
        <w:tc>
          <w:tcPr>
            <w:tcW w:w="0" w:type="auto"/>
            <w:shd w:val="clear" w:color="auto" w:fill="auto"/>
          </w:tcPr>
          <w:p w14:paraId="0AB11234" w14:textId="77777777" w:rsidR="008C5CFA" w:rsidRPr="0024468B" w:rsidRDefault="00E82A60" w:rsidP="00300A01">
            <w:pPr>
              <w:spacing w:before="0" w:after="0"/>
              <w:rPr>
                <w:sz w:val="16"/>
                <w:szCs w:val="16"/>
                <w:lang w:val="fr-BE"/>
              </w:rPr>
            </w:pPr>
            <w:r w:rsidRPr="0024468B">
              <w:rPr>
                <w:noProof/>
                <w:sz w:val="16"/>
                <w:szCs w:val="16"/>
                <w:lang w:val="fr-BE"/>
              </w:rPr>
              <w:t>Wskaźnik</w:t>
            </w:r>
          </w:p>
        </w:tc>
        <w:tc>
          <w:tcPr>
            <w:tcW w:w="0" w:type="auto"/>
            <w:shd w:val="clear" w:color="auto" w:fill="auto"/>
          </w:tcPr>
          <w:p w14:paraId="46140239" w14:textId="77777777" w:rsidR="008C5CFA" w:rsidRPr="0024468B" w:rsidRDefault="00E82A60" w:rsidP="00300A01">
            <w:pPr>
              <w:spacing w:before="0" w:after="0"/>
              <w:jc w:val="center"/>
              <w:rPr>
                <w:sz w:val="16"/>
                <w:szCs w:val="16"/>
                <w:lang w:val="fr-BE"/>
              </w:rPr>
            </w:pPr>
            <w:r>
              <w:rPr>
                <w:sz w:val="16"/>
                <w:szCs w:val="16"/>
                <w:lang w:val="fr-BE"/>
              </w:rPr>
              <w:t xml:space="preserve">2014 </w:t>
            </w:r>
            <w:r>
              <w:rPr>
                <w:noProof/>
                <w:sz w:val="16"/>
                <w:szCs w:val="16"/>
                <w:lang w:val="fr-BE"/>
              </w:rPr>
              <w:t>Ogółem</w:t>
            </w:r>
          </w:p>
        </w:tc>
        <w:tc>
          <w:tcPr>
            <w:tcW w:w="0" w:type="auto"/>
            <w:shd w:val="clear" w:color="auto" w:fill="auto"/>
          </w:tcPr>
          <w:p w14:paraId="08A61A6E" w14:textId="77777777" w:rsidR="008C5CFA" w:rsidRPr="0024468B" w:rsidRDefault="00E82A60" w:rsidP="00300A01">
            <w:pPr>
              <w:spacing w:before="0" w:after="0"/>
              <w:jc w:val="center"/>
              <w:rPr>
                <w:sz w:val="16"/>
                <w:szCs w:val="16"/>
                <w:lang w:val="fr-BE"/>
              </w:rPr>
            </w:pPr>
            <w:r>
              <w:rPr>
                <w:sz w:val="16"/>
                <w:szCs w:val="16"/>
                <w:lang w:val="fr-BE"/>
              </w:rPr>
              <w:t xml:space="preserve">2014 </w:t>
            </w:r>
            <w:r w:rsidRPr="0024468B">
              <w:rPr>
                <w:noProof/>
                <w:sz w:val="16"/>
                <w:szCs w:val="16"/>
                <w:lang w:val="fr-BE"/>
              </w:rPr>
              <w:t>Jakościowe</w:t>
            </w:r>
          </w:p>
        </w:tc>
      </w:tr>
      <w:tr w:rsidR="006B2EC1" w14:paraId="7A247B6B" w14:textId="77777777" w:rsidTr="0047688D">
        <w:tc>
          <w:tcPr>
            <w:tcW w:w="0" w:type="auto"/>
            <w:shd w:val="clear" w:color="auto" w:fill="auto"/>
          </w:tcPr>
          <w:p w14:paraId="1A2324D0" w14:textId="77777777" w:rsidR="008C5CFA" w:rsidRPr="0024468B" w:rsidRDefault="00E82A60" w:rsidP="00300A01">
            <w:pPr>
              <w:spacing w:before="0" w:after="0"/>
              <w:rPr>
                <w:sz w:val="16"/>
                <w:szCs w:val="16"/>
                <w:lang w:val="fr-BE"/>
              </w:rPr>
            </w:pPr>
            <w:r w:rsidRPr="0024468B">
              <w:rPr>
                <w:noProof/>
                <w:sz w:val="16"/>
                <w:szCs w:val="16"/>
                <w:lang w:val="fr-BE"/>
              </w:rPr>
              <w:t>036</w:t>
            </w:r>
          </w:p>
        </w:tc>
        <w:tc>
          <w:tcPr>
            <w:tcW w:w="0" w:type="auto"/>
            <w:shd w:val="clear" w:color="auto" w:fill="auto"/>
          </w:tcPr>
          <w:p w14:paraId="5147F92E" w14:textId="77777777" w:rsidR="008C5CFA" w:rsidRPr="0024468B" w:rsidRDefault="00E82A60" w:rsidP="00300A01">
            <w:pPr>
              <w:spacing w:before="0" w:after="0"/>
              <w:rPr>
                <w:sz w:val="16"/>
                <w:szCs w:val="16"/>
                <w:lang w:val="fr-BE"/>
              </w:rPr>
            </w:pPr>
            <w:r w:rsidRPr="0024468B">
              <w:rPr>
                <w:noProof/>
                <w:sz w:val="16"/>
                <w:szCs w:val="16"/>
                <w:lang w:val="fr-BE"/>
              </w:rPr>
              <w:t>Nakłady inwestycyjne w przedsiębiorstwach w stosunku do PKB</w:t>
            </w:r>
          </w:p>
        </w:tc>
        <w:tc>
          <w:tcPr>
            <w:tcW w:w="0" w:type="auto"/>
            <w:shd w:val="clear" w:color="auto" w:fill="auto"/>
          </w:tcPr>
          <w:p w14:paraId="512F4DB3" w14:textId="77777777" w:rsidR="008C5CFA" w:rsidRPr="0024468B" w:rsidRDefault="00E82A60" w:rsidP="00300A01">
            <w:pPr>
              <w:spacing w:before="0" w:after="0"/>
              <w:jc w:val="right"/>
              <w:rPr>
                <w:sz w:val="16"/>
                <w:szCs w:val="16"/>
                <w:lang w:val="fr-BE"/>
              </w:rPr>
            </w:pPr>
            <w:r w:rsidRPr="0024468B">
              <w:rPr>
                <w:noProof/>
                <w:sz w:val="16"/>
                <w:szCs w:val="16"/>
                <w:lang w:val="fr-BE"/>
              </w:rPr>
              <w:t>6,70</w:t>
            </w:r>
          </w:p>
        </w:tc>
        <w:tc>
          <w:tcPr>
            <w:tcW w:w="0" w:type="auto"/>
            <w:shd w:val="clear" w:color="auto" w:fill="auto"/>
          </w:tcPr>
          <w:p w14:paraId="1EC4ACC3" w14:textId="77777777" w:rsidR="008C5CFA" w:rsidRPr="0024468B" w:rsidRDefault="008C5CFA" w:rsidP="00300A01">
            <w:pPr>
              <w:spacing w:before="0" w:after="0"/>
              <w:jc w:val="right"/>
              <w:rPr>
                <w:sz w:val="16"/>
                <w:szCs w:val="16"/>
                <w:lang w:val="fr-BE"/>
              </w:rPr>
            </w:pPr>
          </w:p>
        </w:tc>
      </w:tr>
    </w:tbl>
    <w:p w14:paraId="649FBC1E" w14:textId="77777777" w:rsidR="008C5CFA" w:rsidRDefault="008C5CFA" w:rsidP="00300A01">
      <w:pPr>
        <w:spacing w:before="0" w:after="0"/>
        <w:rPr>
          <w:lang w:val="fr-BE"/>
        </w:rPr>
      </w:pPr>
    </w:p>
    <w:p w14:paraId="5F00BBAA" w14:textId="77777777" w:rsidR="008C5CFA" w:rsidRDefault="00E82A60" w:rsidP="00300A01">
      <w:pPr>
        <w:spacing w:before="0" w:after="0"/>
        <w:rPr>
          <w:lang w:val="fr-BE"/>
        </w:rPr>
      </w:pPr>
      <w:r>
        <w:rPr>
          <w:lang w:val="fr-BE"/>
        </w:rPr>
        <w:br w:type="page"/>
      </w:r>
    </w:p>
    <w:p w14:paraId="3A2C50C2" w14:textId="77777777" w:rsidR="008C5CFA" w:rsidRPr="00B27C43" w:rsidRDefault="008C5CFA" w:rsidP="00300A01">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7"/>
        <w:gridCol w:w="12577"/>
      </w:tblGrid>
      <w:tr w:rsidR="006B2EC1" w14:paraId="0C8446EA" w14:textId="77777777" w:rsidTr="0047688D">
        <w:tc>
          <w:tcPr>
            <w:tcW w:w="0" w:type="auto"/>
            <w:shd w:val="clear" w:color="auto" w:fill="auto"/>
          </w:tcPr>
          <w:p w14:paraId="512300D0" w14:textId="77777777" w:rsidR="008C5CFA" w:rsidRPr="002124FC" w:rsidRDefault="00E82A60" w:rsidP="00300A01">
            <w:pPr>
              <w:spacing w:before="0" w:after="0"/>
              <w:rPr>
                <w:sz w:val="20"/>
                <w:szCs w:val="20"/>
                <w:lang w:val="fr-BE"/>
              </w:rPr>
            </w:pPr>
            <w:r>
              <w:rPr>
                <w:lang w:val="fr-BE"/>
              </w:rPr>
              <w:br w:type="page"/>
            </w:r>
            <w:r>
              <w:rPr>
                <w:lang w:val="fr-BE"/>
              </w:rPr>
              <w:br w:type="page"/>
            </w:r>
            <w:r w:rsidRPr="002124FC">
              <w:rPr>
                <w:noProof/>
                <w:sz w:val="20"/>
                <w:szCs w:val="20"/>
                <w:lang w:val="fr-BE"/>
              </w:rPr>
              <w:t>Oś priorytetowa</w:t>
            </w:r>
          </w:p>
        </w:tc>
        <w:tc>
          <w:tcPr>
            <w:tcW w:w="0" w:type="auto"/>
            <w:shd w:val="clear" w:color="auto" w:fill="auto"/>
          </w:tcPr>
          <w:p w14:paraId="46E2F957" w14:textId="77777777" w:rsidR="008C5CFA" w:rsidRPr="002124FC" w:rsidRDefault="00E82A60" w:rsidP="00300A01">
            <w:pPr>
              <w:spacing w:before="0" w:after="0"/>
              <w:rPr>
                <w:sz w:val="20"/>
                <w:szCs w:val="20"/>
                <w:lang w:val="fr-BE"/>
              </w:rPr>
            </w:pPr>
            <w:r w:rsidRPr="002124FC">
              <w:rPr>
                <w:noProof/>
                <w:sz w:val="20"/>
                <w:szCs w:val="20"/>
                <w:lang w:val="fr-BE"/>
              </w:rPr>
              <w:t>2</w:t>
            </w:r>
            <w:r w:rsidRPr="002124FC">
              <w:rPr>
                <w:sz w:val="20"/>
                <w:szCs w:val="20"/>
                <w:lang w:val="fr-BE"/>
              </w:rPr>
              <w:t xml:space="preserve"> - </w:t>
            </w:r>
            <w:r w:rsidRPr="002124FC">
              <w:rPr>
                <w:noProof/>
                <w:sz w:val="20"/>
                <w:szCs w:val="20"/>
                <w:lang w:val="fr-BE"/>
              </w:rPr>
              <w:t>Konkurencyjna gospodarka</w:t>
            </w:r>
          </w:p>
        </w:tc>
      </w:tr>
      <w:tr w:rsidR="006B2EC1" w14:paraId="3410B661" w14:textId="77777777" w:rsidTr="0047688D">
        <w:tc>
          <w:tcPr>
            <w:tcW w:w="0" w:type="auto"/>
            <w:shd w:val="clear" w:color="auto" w:fill="auto"/>
          </w:tcPr>
          <w:p w14:paraId="49A13D59" w14:textId="77777777" w:rsidR="008C5CFA" w:rsidRPr="002124FC" w:rsidRDefault="00E82A60"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14:paraId="49BB5DF7" w14:textId="77777777" w:rsidR="008C5CFA" w:rsidRPr="002124FC" w:rsidRDefault="00E82A60" w:rsidP="00300A01">
            <w:pPr>
              <w:spacing w:before="0" w:after="0"/>
              <w:rPr>
                <w:sz w:val="20"/>
                <w:szCs w:val="20"/>
                <w:lang w:val="fr-BE"/>
              </w:rPr>
            </w:pPr>
            <w:r w:rsidRPr="002124FC">
              <w:rPr>
                <w:noProof/>
                <w:sz w:val="20"/>
                <w:szCs w:val="20"/>
                <w:lang w:val="fr-BE"/>
              </w:rPr>
              <w:t>3b</w:t>
            </w:r>
            <w:r w:rsidRPr="002124FC">
              <w:rPr>
                <w:sz w:val="20"/>
                <w:szCs w:val="20"/>
                <w:lang w:val="fr-BE"/>
              </w:rPr>
              <w:t xml:space="preserve"> - </w:t>
            </w:r>
            <w:r w:rsidRPr="002124FC">
              <w:rPr>
                <w:noProof/>
                <w:sz w:val="20"/>
                <w:szCs w:val="20"/>
                <w:lang w:val="fr-BE"/>
              </w:rPr>
              <w:t>Opracowywanie i wdrażanie nowych modeli biznesowych dla MŚP, w szczególności w celu umiędzynarodowienia</w:t>
            </w:r>
          </w:p>
        </w:tc>
      </w:tr>
    </w:tbl>
    <w:p w14:paraId="0031856D" w14:textId="77777777" w:rsidR="008C5CFA" w:rsidRDefault="008C5CFA" w:rsidP="00300A01">
      <w:pPr>
        <w:spacing w:before="0" w:after="0"/>
        <w:rPr>
          <w:lang w:val="fr-BE"/>
        </w:rPr>
      </w:pPr>
    </w:p>
    <w:p w14:paraId="06D86671" w14:textId="77777777" w:rsidR="008C5CFA" w:rsidRDefault="00E82A60" w:rsidP="00300A01">
      <w:pPr>
        <w:pStyle w:val="Nagwek2"/>
        <w:spacing w:before="0" w:after="0"/>
        <w:rPr>
          <w:lang w:val="fr-BE"/>
        </w:rPr>
      </w:pPr>
      <w:bookmarkStart w:id="24" w:name="_Toc46391708"/>
      <w:r>
        <w:rPr>
          <w:noProof/>
          <w:lang w:val="fr-BE"/>
        </w:rPr>
        <w:t>Tabela 3A</w:t>
      </w:r>
      <w:r>
        <w:rPr>
          <w:lang w:val="fr-BE"/>
        </w:rPr>
        <w:t xml:space="preserve">: </w:t>
      </w:r>
      <w:r>
        <w:rPr>
          <w:noProof/>
          <w:lang w:val="fr-BE"/>
        </w:rPr>
        <w:t>Wspólne i specyficzne dla danego programu wskaźniki produktu dla EFRR i Funduszu Spójności (wg osi priorytetowej, priorytetu inwestycyjnego, w podziale na kategorię regionu dla celów EFRR)</w:t>
      </w:r>
      <w:r w:rsidR="009C5874">
        <w:rPr>
          <w:lang w:val="fr-BE"/>
        </w:rPr>
        <w:t xml:space="preserve"> - </w:t>
      </w:r>
      <w:r w:rsidR="00F022AC" w:rsidRPr="002124FC">
        <w:rPr>
          <w:noProof/>
          <w:sz w:val="20"/>
          <w:szCs w:val="20"/>
          <w:lang w:val="fr-BE"/>
        </w:rPr>
        <w:t>2</w:t>
      </w:r>
      <w:r w:rsidR="00F022AC">
        <w:rPr>
          <w:sz w:val="20"/>
          <w:szCs w:val="20"/>
          <w:lang w:val="fr-BE"/>
        </w:rPr>
        <w:t xml:space="preserve"> / </w:t>
      </w:r>
      <w:r w:rsidR="00F022AC" w:rsidRPr="002124FC">
        <w:rPr>
          <w:noProof/>
          <w:sz w:val="20"/>
          <w:szCs w:val="20"/>
          <w:lang w:val="fr-BE"/>
        </w:rPr>
        <w:t>3b</w:t>
      </w:r>
      <w:bookmarkEnd w:id="24"/>
    </w:p>
    <w:p w14:paraId="36DEA73D"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01"/>
        <w:gridCol w:w="497"/>
        <w:gridCol w:w="1766"/>
        <w:gridCol w:w="1215"/>
        <w:gridCol w:w="878"/>
        <w:gridCol w:w="973"/>
        <w:gridCol w:w="1063"/>
        <w:gridCol w:w="975"/>
        <w:gridCol w:w="699"/>
        <w:gridCol w:w="885"/>
        <w:gridCol w:w="708"/>
        <w:gridCol w:w="5224"/>
      </w:tblGrid>
      <w:tr w:rsidR="006B2EC1" w14:paraId="30A0BF2B" w14:textId="77777777" w:rsidTr="0047688D">
        <w:trPr>
          <w:tblHeader/>
        </w:trPr>
        <w:tc>
          <w:tcPr>
            <w:tcW w:w="0" w:type="auto"/>
          </w:tcPr>
          <w:p w14:paraId="16C29B22" w14:textId="77777777" w:rsidR="008C5CFA" w:rsidRPr="009143B4" w:rsidRDefault="00E82A60" w:rsidP="00300A01">
            <w:pPr>
              <w:spacing w:before="0" w:after="0"/>
              <w:rPr>
                <w:b/>
                <w:sz w:val="16"/>
                <w:szCs w:val="16"/>
                <w:lang w:val="fr-BE"/>
              </w:rPr>
            </w:pPr>
            <w:r w:rsidRPr="009143B4">
              <w:rPr>
                <w:b/>
                <w:sz w:val="16"/>
                <w:szCs w:val="16"/>
                <w:lang w:val="fr-BE"/>
              </w:rPr>
              <w:t>(1)</w:t>
            </w:r>
          </w:p>
        </w:tc>
        <w:tc>
          <w:tcPr>
            <w:tcW w:w="0" w:type="auto"/>
            <w:shd w:val="clear" w:color="auto" w:fill="auto"/>
          </w:tcPr>
          <w:p w14:paraId="42C61296" w14:textId="77777777" w:rsidR="008C5CFA" w:rsidRPr="009143B4" w:rsidRDefault="00E82A60" w:rsidP="00300A01">
            <w:pPr>
              <w:spacing w:before="0" w:after="0"/>
              <w:rPr>
                <w:b/>
                <w:sz w:val="16"/>
                <w:szCs w:val="16"/>
                <w:lang w:val="fr-BE"/>
              </w:rPr>
            </w:pPr>
            <w:r w:rsidRPr="009143B4">
              <w:rPr>
                <w:b/>
                <w:noProof/>
                <w:sz w:val="16"/>
                <w:szCs w:val="16"/>
                <w:lang w:val="fr-BE"/>
              </w:rPr>
              <w:t>ID</w:t>
            </w:r>
          </w:p>
        </w:tc>
        <w:tc>
          <w:tcPr>
            <w:tcW w:w="0" w:type="auto"/>
            <w:shd w:val="clear" w:color="auto" w:fill="auto"/>
          </w:tcPr>
          <w:p w14:paraId="43C3D6EA" w14:textId="77777777" w:rsidR="008C5CFA" w:rsidRPr="009143B4" w:rsidRDefault="00E82A60" w:rsidP="00300A01">
            <w:pPr>
              <w:spacing w:before="0" w:after="0"/>
              <w:rPr>
                <w:b/>
                <w:sz w:val="16"/>
                <w:szCs w:val="16"/>
                <w:lang w:val="fr-BE"/>
              </w:rPr>
            </w:pPr>
            <w:r w:rsidRPr="009143B4">
              <w:rPr>
                <w:b/>
                <w:noProof/>
                <w:sz w:val="16"/>
                <w:szCs w:val="16"/>
                <w:lang w:val="fr-BE"/>
              </w:rPr>
              <w:t>Wskaźnik</w:t>
            </w:r>
          </w:p>
        </w:tc>
        <w:tc>
          <w:tcPr>
            <w:tcW w:w="0" w:type="auto"/>
            <w:shd w:val="clear" w:color="auto" w:fill="auto"/>
          </w:tcPr>
          <w:p w14:paraId="4B18A15B" w14:textId="77777777" w:rsidR="008C5CFA" w:rsidRPr="009143B4" w:rsidRDefault="00E82A60" w:rsidP="00300A01">
            <w:pPr>
              <w:spacing w:before="0" w:after="0"/>
              <w:rPr>
                <w:b/>
                <w:sz w:val="16"/>
                <w:szCs w:val="16"/>
                <w:lang w:val="fr-BE"/>
              </w:rPr>
            </w:pPr>
            <w:r w:rsidRPr="009143B4">
              <w:rPr>
                <w:b/>
                <w:noProof/>
                <w:sz w:val="16"/>
                <w:szCs w:val="16"/>
                <w:lang w:val="fr-BE"/>
              </w:rPr>
              <w:t>Jednostka miary</w:t>
            </w:r>
          </w:p>
        </w:tc>
        <w:tc>
          <w:tcPr>
            <w:tcW w:w="0" w:type="auto"/>
            <w:shd w:val="clear" w:color="auto" w:fill="auto"/>
          </w:tcPr>
          <w:p w14:paraId="0AF2EB71" w14:textId="77777777" w:rsidR="008C5CFA" w:rsidRPr="009143B4" w:rsidRDefault="00E82A60" w:rsidP="00300A01">
            <w:pPr>
              <w:spacing w:before="0" w:after="0"/>
              <w:rPr>
                <w:b/>
                <w:sz w:val="16"/>
                <w:szCs w:val="16"/>
                <w:lang w:val="fr-BE"/>
              </w:rPr>
            </w:pPr>
            <w:r w:rsidRPr="009143B4">
              <w:rPr>
                <w:b/>
                <w:noProof/>
                <w:sz w:val="16"/>
                <w:szCs w:val="16"/>
                <w:lang w:val="fr-BE"/>
              </w:rPr>
              <w:t>Kategoria regionu</w:t>
            </w:r>
          </w:p>
        </w:tc>
        <w:tc>
          <w:tcPr>
            <w:tcW w:w="0" w:type="auto"/>
            <w:shd w:val="clear" w:color="auto" w:fill="auto"/>
          </w:tcPr>
          <w:p w14:paraId="243EF730" w14:textId="77777777" w:rsidR="008C5CFA" w:rsidRPr="009143B4" w:rsidRDefault="00E82A60" w:rsidP="00300A01">
            <w:pPr>
              <w:spacing w:before="0" w:after="0"/>
              <w:jc w:val="center"/>
              <w:rPr>
                <w:b/>
                <w:sz w:val="16"/>
                <w:szCs w:val="16"/>
                <w:lang w:val="fr-BE"/>
              </w:rPr>
            </w:pPr>
            <w:r w:rsidRPr="009143B4">
              <w:rPr>
                <w:b/>
                <w:noProof/>
                <w:sz w:val="16"/>
                <w:szCs w:val="16"/>
                <w:lang w:val="fr-BE"/>
              </w:rPr>
              <w:t>Wartość docelowa (2023) ogółem</w:t>
            </w:r>
          </w:p>
        </w:tc>
        <w:tc>
          <w:tcPr>
            <w:tcW w:w="0" w:type="auto"/>
            <w:shd w:val="clear" w:color="auto" w:fill="auto"/>
          </w:tcPr>
          <w:p w14:paraId="1E9DBB90" w14:textId="77777777" w:rsidR="008C5CFA" w:rsidRPr="009143B4" w:rsidRDefault="00E82A60" w:rsidP="00300A01">
            <w:pPr>
              <w:spacing w:before="0" w:after="0"/>
              <w:jc w:val="center"/>
              <w:rPr>
                <w:b/>
                <w:sz w:val="16"/>
                <w:szCs w:val="16"/>
                <w:lang w:val="fr-BE"/>
              </w:rPr>
            </w:pPr>
            <w:r w:rsidRPr="009143B4">
              <w:rPr>
                <w:b/>
                <w:noProof/>
                <w:sz w:val="16"/>
                <w:szCs w:val="16"/>
                <w:lang w:val="fr-BE"/>
              </w:rPr>
              <w:t>Wartość docelowa (2023) mężczyźni</w:t>
            </w:r>
          </w:p>
        </w:tc>
        <w:tc>
          <w:tcPr>
            <w:tcW w:w="0" w:type="auto"/>
          </w:tcPr>
          <w:p w14:paraId="243155F6" w14:textId="77777777" w:rsidR="008C5CFA" w:rsidRPr="009143B4" w:rsidRDefault="00E82A60" w:rsidP="00300A01">
            <w:pPr>
              <w:spacing w:before="0" w:after="0"/>
              <w:jc w:val="center"/>
              <w:rPr>
                <w:b/>
                <w:sz w:val="16"/>
                <w:szCs w:val="16"/>
                <w:lang w:val="fr-BE"/>
              </w:rPr>
            </w:pPr>
            <w:r w:rsidRPr="009143B4">
              <w:rPr>
                <w:b/>
                <w:noProof/>
                <w:sz w:val="16"/>
                <w:szCs w:val="16"/>
                <w:lang w:val="fr-BE"/>
              </w:rPr>
              <w:t>Wartość docelowa (2023) kobiety</w:t>
            </w:r>
          </w:p>
        </w:tc>
        <w:tc>
          <w:tcPr>
            <w:tcW w:w="0" w:type="auto"/>
            <w:shd w:val="clear" w:color="auto" w:fill="auto"/>
          </w:tcPr>
          <w:p w14:paraId="13BB7F42" w14:textId="77777777" w:rsidR="008C5CFA" w:rsidRPr="009143B4" w:rsidRDefault="00E82A60" w:rsidP="00300A01">
            <w:pPr>
              <w:spacing w:before="0" w:after="0"/>
              <w:jc w:val="center"/>
              <w:rPr>
                <w:b/>
                <w:sz w:val="16"/>
                <w:szCs w:val="16"/>
                <w:lang w:val="fr-BE"/>
              </w:rPr>
            </w:pPr>
            <w:r>
              <w:rPr>
                <w:b/>
                <w:sz w:val="16"/>
                <w:szCs w:val="16"/>
                <w:lang w:val="fr-BE"/>
              </w:rPr>
              <w:t xml:space="preserve">2019 </w:t>
            </w:r>
            <w:r w:rsidRPr="009143B4">
              <w:rPr>
                <w:b/>
                <w:noProof/>
                <w:sz w:val="16"/>
                <w:szCs w:val="16"/>
                <w:lang w:val="fr-BE"/>
              </w:rPr>
              <w:t>Ogółem</w:t>
            </w:r>
          </w:p>
        </w:tc>
        <w:tc>
          <w:tcPr>
            <w:tcW w:w="0" w:type="auto"/>
            <w:shd w:val="clear" w:color="auto" w:fill="auto"/>
          </w:tcPr>
          <w:p w14:paraId="1B0DC5FE" w14:textId="77777777" w:rsidR="008C5CFA" w:rsidRPr="009143B4" w:rsidRDefault="00E82A60" w:rsidP="00300A01">
            <w:pPr>
              <w:spacing w:before="0" w:after="0"/>
              <w:jc w:val="center"/>
              <w:rPr>
                <w:b/>
                <w:sz w:val="16"/>
                <w:szCs w:val="16"/>
                <w:lang w:val="fr-BE"/>
              </w:rPr>
            </w:pPr>
            <w:r>
              <w:rPr>
                <w:b/>
                <w:sz w:val="16"/>
                <w:szCs w:val="16"/>
                <w:lang w:val="fr-BE"/>
              </w:rPr>
              <w:t xml:space="preserve">2019 </w:t>
            </w:r>
            <w:r w:rsidRPr="009143B4">
              <w:rPr>
                <w:b/>
                <w:noProof/>
                <w:sz w:val="16"/>
                <w:szCs w:val="16"/>
                <w:lang w:val="fr-BE"/>
              </w:rPr>
              <w:t>Mężczyźni</w:t>
            </w:r>
          </w:p>
        </w:tc>
        <w:tc>
          <w:tcPr>
            <w:tcW w:w="0" w:type="auto"/>
            <w:shd w:val="clear" w:color="auto" w:fill="auto"/>
          </w:tcPr>
          <w:p w14:paraId="7A7171E5" w14:textId="77777777" w:rsidR="008C5CFA" w:rsidRPr="009143B4" w:rsidRDefault="00E82A60" w:rsidP="00300A01">
            <w:pPr>
              <w:spacing w:before="0" w:after="0"/>
              <w:jc w:val="center"/>
              <w:rPr>
                <w:b/>
                <w:sz w:val="16"/>
                <w:szCs w:val="16"/>
                <w:lang w:val="fr-BE"/>
              </w:rPr>
            </w:pPr>
            <w:r>
              <w:rPr>
                <w:b/>
                <w:sz w:val="16"/>
                <w:szCs w:val="16"/>
                <w:lang w:val="fr-BE"/>
              </w:rPr>
              <w:t xml:space="preserve">2019 </w:t>
            </w:r>
            <w:r w:rsidRPr="009143B4">
              <w:rPr>
                <w:b/>
                <w:noProof/>
                <w:sz w:val="16"/>
                <w:szCs w:val="16"/>
                <w:lang w:val="fr-BE"/>
              </w:rPr>
              <w:t>Kobiety</w:t>
            </w:r>
          </w:p>
        </w:tc>
        <w:tc>
          <w:tcPr>
            <w:tcW w:w="0" w:type="auto"/>
            <w:shd w:val="clear" w:color="auto" w:fill="auto"/>
          </w:tcPr>
          <w:p w14:paraId="6D2B491D" w14:textId="77777777" w:rsidR="008C5CFA" w:rsidRPr="009143B4" w:rsidRDefault="00E82A60" w:rsidP="00300A01">
            <w:pPr>
              <w:spacing w:before="0" w:after="0"/>
              <w:jc w:val="center"/>
              <w:rPr>
                <w:b/>
                <w:sz w:val="16"/>
                <w:szCs w:val="16"/>
                <w:lang w:val="fr-BE"/>
              </w:rPr>
            </w:pPr>
            <w:r w:rsidRPr="009143B4">
              <w:rPr>
                <w:b/>
                <w:noProof/>
                <w:sz w:val="16"/>
                <w:szCs w:val="16"/>
                <w:lang w:val="fr-BE"/>
              </w:rPr>
              <w:t>Uwagi</w:t>
            </w:r>
          </w:p>
        </w:tc>
      </w:tr>
      <w:tr w:rsidR="006B2EC1" w14:paraId="39F89067" w14:textId="77777777" w:rsidTr="0047688D">
        <w:tc>
          <w:tcPr>
            <w:tcW w:w="0" w:type="auto"/>
          </w:tcPr>
          <w:p w14:paraId="21D2A22D" w14:textId="77777777" w:rsidR="008C5CFA" w:rsidRPr="0024468B" w:rsidRDefault="00E82A60" w:rsidP="00300A01">
            <w:pPr>
              <w:spacing w:before="0" w:after="0"/>
              <w:rPr>
                <w:sz w:val="16"/>
                <w:szCs w:val="16"/>
                <w:lang w:val="fr-BE"/>
              </w:rPr>
            </w:pPr>
            <w:r>
              <w:rPr>
                <w:noProof/>
                <w:sz w:val="16"/>
                <w:szCs w:val="16"/>
                <w:lang w:val="fr-BE"/>
              </w:rPr>
              <w:t>F</w:t>
            </w:r>
          </w:p>
        </w:tc>
        <w:tc>
          <w:tcPr>
            <w:tcW w:w="0" w:type="auto"/>
            <w:shd w:val="clear" w:color="auto" w:fill="auto"/>
          </w:tcPr>
          <w:p w14:paraId="28A44BC0" w14:textId="77777777" w:rsidR="008C5CFA" w:rsidRPr="0024468B" w:rsidRDefault="00E82A60" w:rsidP="00300A01">
            <w:pPr>
              <w:spacing w:before="0" w:after="0"/>
              <w:rPr>
                <w:sz w:val="16"/>
                <w:szCs w:val="16"/>
                <w:lang w:val="fr-BE"/>
              </w:rPr>
            </w:pPr>
            <w:r w:rsidRPr="0024468B">
              <w:rPr>
                <w:noProof/>
                <w:sz w:val="16"/>
                <w:szCs w:val="16"/>
                <w:lang w:val="fr-BE"/>
              </w:rPr>
              <w:t>CO01</w:t>
            </w:r>
          </w:p>
        </w:tc>
        <w:tc>
          <w:tcPr>
            <w:tcW w:w="0" w:type="auto"/>
            <w:shd w:val="clear" w:color="auto" w:fill="auto"/>
          </w:tcPr>
          <w:p w14:paraId="41FACF74" w14:textId="77777777" w:rsidR="008C5CFA" w:rsidRPr="0024468B" w:rsidRDefault="00E82A60" w:rsidP="00300A01">
            <w:pPr>
              <w:spacing w:before="0" w:after="0"/>
              <w:rPr>
                <w:sz w:val="16"/>
                <w:szCs w:val="16"/>
                <w:lang w:val="fr-BE"/>
              </w:rPr>
            </w:pPr>
            <w:r w:rsidRPr="0024468B">
              <w:rPr>
                <w:noProof/>
                <w:sz w:val="16"/>
                <w:szCs w:val="16"/>
                <w:lang w:val="fr-BE"/>
              </w:rPr>
              <w:t>Inwestycje produkcyjne: liczba przedsiębiorstw otrzymujących wsparcie</w:t>
            </w:r>
          </w:p>
        </w:tc>
        <w:tc>
          <w:tcPr>
            <w:tcW w:w="0" w:type="auto"/>
            <w:shd w:val="clear" w:color="auto" w:fill="auto"/>
          </w:tcPr>
          <w:p w14:paraId="4DF572A7" w14:textId="77777777" w:rsidR="008C5CFA" w:rsidRPr="0024468B" w:rsidRDefault="00E82A60" w:rsidP="00300A01">
            <w:pPr>
              <w:spacing w:before="0" w:after="0"/>
              <w:rPr>
                <w:sz w:val="16"/>
                <w:szCs w:val="16"/>
                <w:lang w:val="fr-BE"/>
              </w:rPr>
            </w:pPr>
            <w:r>
              <w:rPr>
                <w:noProof/>
                <w:sz w:val="16"/>
                <w:szCs w:val="16"/>
                <w:lang w:val="fr-BE"/>
              </w:rPr>
              <w:t>Przedsiębiorstwa</w:t>
            </w:r>
          </w:p>
        </w:tc>
        <w:tc>
          <w:tcPr>
            <w:tcW w:w="0" w:type="auto"/>
            <w:shd w:val="clear" w:color="auto" w:fill="auto"/>
          </w:tcPr>
          <w:p w14:paraId="5C3C3E84" w14:textId="77777777" w:rsidR="008C5CFA" w:rsidRPr="0024468B" w:rsidRDefault="00E82A60"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14:paraId="0E374398" w14:textId="77777777" w:rsidR="008C5CFA" w:rsidRPr="0024468B" w:rsidRDefault="00E82A60" w:rsidP="00300A01">
            <w:pPr>
              <w:spacing w:before="0" w:after="0"/>
              <w:jc w:val="right"/>
              <w:rPr>
                <w:sz w:val="16"/>
                <w:szCs w:val="16"/>
                <w:lang w:val="fr-BE"/>
              </w:rPr>
            </w:pPr>
            <w:r>
              <w:rPr>
                <w:noProof/>
                <w:sz w:val="16"/>
                <w:szCs w:val="16"/>
                <w:lang w:val="fr-BE"/>
              </w:rPr>
              <w:t>90,00</w:t>
            </w:r>
          </w:p>
        </w:tc>
        <w:tc>
          <w:tcPr>
            <w:tcW w:w="0" w:type="auto"/>
            <w:shd w:val="clear" w:color="auto" w:fill="auto"/>
          </w:tcPr>
          <w:p w14:paraId="7928D86F" w14:textId="77777777" w:rsidR="008C5CFA" w:rsidRPr="0024468B" w:rsidRDefault="008C5CFA" w:rsidP="00300A01">
            <w:pPr>
              <w:spacing w:before="0" w:after="0"/>
              <w:jc w:val="right"/>
              <w:rPr>
                <w:sz w:val="16"/>
                <w:szCs w:val="16"/>
                <w:lang w:val="fr-BE"/>
              </w:rPr>
            </w:pPr>
          </w:p>
        </w:tc>
        <w:tc>
          <w:tcPr>
            <w:tcW w:w="0" w:type="auto"/>
          </w:tcPr>
          <w:p w14:paraId="2F041FB3" w14:textId="77777777" w:rsidR="008C5CFA" w:rsidRPr="0024468B" w:rsidRDefault="008C5CFA" w:rsidP="00300A01">
            <w:pPr>
              <w:spacing w:before="0" w:after="0"/>
              <w:jc w:val="right"/>
              <w:rPr>
                <w:sz w:val="16"/>
                <w:szCs w:val="16"/>
                <w:lang w:val="fr-BE"/>
              </w:rPr>
            </w:pPr>
          </w:p>
        </w:tc>
        <w:tc>
          <w:tcPr>
            <w:tcW w:w="0" w:type="auto"/>
            <w:shd w:val="clear" w:color="auto" w:fill="auto"/>
          </w:tcPr>
          <w:p w14:paraId="4C40D5CA" w14:textId="77777777" w:rsidR="008C5CFA" w:rsidRPr="0024468B" w:rsidRDefault="00E82A60" w:rsidP="00300A01">
            <w:pPr>
              <w:spacing w:before="0" w:after="0"/>
              <w:jc w:val="right"/>
              <w:rPr>
                <w:sz w:val="16"/>
                <w:szCs w:val="16"/>
                <w:lang w:val="fr-BE"/>
              </w:rPr>
            </w:pPr>
            <w:r w:rsidRPr="0024468B">
              <w:rPr>
                <w:noProof/>
                <w:sz w:val="16"/>
                <w:szCs w:val="16"/>
                <w:lang w:val="fr-BE"/>
              </w:rPr>
              <w:t>203,00</w:t>
            </w:r>
          </w:p>
        </w:tc>
        <w:tc>
          <w:tcPr>
            <w:tcW w:w="0" w:type="auto"/>
            <w:shd w:val="clear" w:color="auto" w:fill="auto"/>
          </w:tcPr>
          <w:p w14:paraId="6E569653"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0AD1D63B"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2F145473" w14:textId="77777777" w:rsidR="008C5CFA" w:rsidRPr="0024468B" w:rsidRDefault="00E82A60" w:rsidP="00300A01">
            <w:pPr>
              <w:spacing w:before="0" w:after="0"/>
              <w:rPr>
                <w:sz w:val="16"/>
                <w:szCs w:val="16"/>
                <w:lang w:val="fr-BE"/>
              </w:rPr>
            </w:pPr>
            <w:r w:rsidRPr="0024468B">
              <w:rPr>
                <w:noProof/>
                <w:sz w:val="16"/>
                <w:szCs w:val="16"/>
                <w:lang w:val="fr-BE"/>
              </w:rPr>
              <w:t>Zaproponowana zmiana pozwoli na realizację wskaźnika na poziomie 85%.</w:t>
            </w:r>
          </w:p>
        </w:tc>
      </w:tr>
      <w:tr w:rsidR="006B2EC1" w14:paraId="1113D17A" w14:textId="77777777" w:rsidTr="0047688D">
        <w:tc>
          <w:tcPr>
            <w:tcW w:w="0" w:type="auto"/>
          </w:tcPr>
          <w:p w14:paraId="0FC883FB" w14:textId="77777777" w:rsidR="008C5CFA" w:rsidRPr="0024468B" w:rsidRDefault="00E82A60" w:rsidP="00300A01">
            <w:pPr>
              <w:spacing w:before="0" w:after="0"/>
              <w:rPr>
                <w:sz w:val="16"/>
                <w:szCs w:val="16"/>
                <w:lang w:val="fr-BE"/>
              </w:rPr>
            </w:pPr>
            <w:r>
              <w:rPr>
                <w:noProof/>
                <w:sz w:val="16"/>
                <w:szCs w:val="16"/>
                <w:lang w:val="fr-BE"/>
              </w:rPr>
              <w:t>S</w:t>
            </w:r>
          </w:p>
        </w:tc>
        <w:tc>
          <w:tcPr>
            <w:tcW w:w="0" w:type="auto"/>
            <w:shd w:val="clear" w:color="auto" w:fill="auto"/>
          </w:tcPr>
          <w:p w14:paraId="1A7BEF61" w14:textId="77777777" w:rsidR="008C5CFA" w:rsidRPr="0024468B" w:rsidRDefault="00E82A60" w:rsidP="00300A01">
            <w:pPr>
              <w:spacing w:before="0" w:after="0"/>
              <w:rPr>
                <w:sz w:val="16"/>
                <w:szCs w:val="16"/>
                <w:lang w:val="fr-BE"/>
              </w:rPr>
            </w:pPr>
            <w:r w:rsidRPr="0024468B">
              <w:rPr>
                <w:noProof/>
                <w:sz w:val="16"/>
                <w:szCs w:val="16"/>
                <w:lang w:val="fr-BE"/>
              </w:rPr>
              <w:t>CO01</w:t>
            </w:r>
          </w:p>
        </w:tc>
        <w:tc>
          <w:tcPr>
            <w:tcW w:w="0" w:type="auto"/>
            <w:shd w:val="clear" w:color="auto" w:fill="auto"/>
          </w:tcPr>
          <w:p w14:paraId="1F9B22C0" w14:textId="77777777" w:rsidR="008C5CFA" w:rsidRPr="0024468B" w:rsidRDefault="00E82A60" w:rsidP="00300A01">
            <w:pPr>
              <w:spacing w:before="0" w:after="0"/>
              <w:rPr>
                <w:sz w:val="16"/>
                <w:szCs w:val="16"/>
                <w:lang w:val="fr-BE"/>
              </w:rPr>
            </w:pPr>
            <w:r w:rsidRPr="0024468B">
              <w:rPr>
                <w:noProof/>
                <w:sz w:val="16"/>
                <w:szCs w:val="16"/>
                <w:lang w:val="fr-BE"/>
              </w:rPr>
              <w:t>Inwestycje produkcyjne: liczba przedsiębiorstw otrzymujących wsparcie</w:t>
            </w:r>
          </w:p>
        </w:tc>
        <w:tc>
          <w:tcPr>
            <w:tcW w:w="0" w:type="auto"/>
            <w:shd w:val="clear" w:color="auto" w:fill="auto"/>
          </w:tcPr>
          <w:p w14:paraId="1D90D04E" w14:textId="77777777" w:rsidR="008C5CFA" w:rsidRPr="0024468B" w:rsidRDefault="00E82A60" w:rsidP="00300A01">
            <w:pPr>
              <w:spacing w:before="0" w:after="0"/>
              <w:rPr>
                <w:sz w:val="16"/>
                <w:szCs w:val="16"/>
                <w:lang w:val="fr-BE"/>
              </w:rPr>
            </w:pPr>
            <w:r>
              <w:rPr>
                <w:noProof/>
                <w:sz w:val="16"/>
                <w:szCs w:val="16"/>
                <w:lang w:val="fr-BE"/>
              </w:rPr>
              <w:t>Przedsiębiorstwa</w:t>
            </w:r>
          </w:p>
        </w:tc>
        <w:tc>
          <w:tcPr>
            <w:tcW w:w="0" w:type="auto"/>
            <w:shd w:val="clear" w:color="auto" w:fill="auto"/>
          </w:tcPr>
          <w:p w14:paraId="57940EC9" w14:textId="77777777" w:rsidR="008C5CFA" w:rsidRPr="0024468B" w:rsidRDefault="00E82A60"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14:paraId="660815AD" w14:textId="77777777" w:rsidR="008C5CFA" w:rsidRPr="0024468B" w:rsidRDefault="00E82A60" w:rsidP="00300A01">
            <w:pPr>
              <w:spacing w:before="0" w:after="0"/>
              <w:jc w:val="right"/>
              <w:rPr>
                <w:sz w:val="16"/>
                <w:szCs w:val="16"/>
                <w:lang w:val="fr-BE"/>
              </w:rPr>
            </w:pPr>
            <w:r>
              <w:rPr>
                <w:noProof/>
                <w:sz w:val="16"/>
                <w:szCs w:val="16"/>
                <w:lang w:val="fr-BE"/>
              </w:rPr>
              <w:t>90,00</w:t>
            </w:r>
          </w:p>
        </w:tc>
        <w:tc>
          <w:tcPr>
            <w:tcW w:w="0" w:type="auto"/>
            <w:shd w:val="clear" w:color="auto" w:fill="auto"/>
          </w:tcPr>
          <w:p w14:paraId="5F3473D3" w14:textId="77777777" w:rsidR="008C5CFA" w:rsidRPr="0024468B" w:rsidRDefault="008C5CFA" w:rsidP="00300A01">
            <w:pPr>
              <w:spacing w:before="0" w:after="0"/>
              <w:jc w:val="right"/>
              <w:rPr>
                <w:sz w:val="16"/>
                <w:szCs w:val="16"/>
                <w:lang w:val="fr-BE"/>
              </w:rPr>
            </w:pPr>
          </w:p>
        </w:tc>
        <w:tc>
          <w:tcPr>
            <w:tcW w:w="0" w:type="auto"/>
          </w:tcPr>
          <w:p w14:paraId="7A4C47A8" w14:textId="77777777" w:rsidR="008C5CFA" w:rsidRPr="0024468B" w:rsidRDefault="008C5CFA" w:rsidP="00300A01">
            <w:pPr>
              <w:spacing w:before="0" w:after="0"/>
              <w:jc w:val="right"/>
              <w:rPr>
                <w:sz w:val="16"/>
                <w:szCs w:val="16"/>
                <w:lang w:val="fr-BE"/>
              </w:rPr>
            </w:pPr>
          </w:p>
        </w:tc>
        <w:tc>
          <w:tcPr>
            <w:tcW w:w="0" w:type="auto"/>
            <w:shd w:val="clear" w:color="auto" w:fill="auto"/>
          </w:tcPr>
          <w:p w14:paraId="5B65E859" w14:textId="77777777" w:rsidR="008C5CFA" w:rsidRPr="0024468B" w:rsidRDefault="00E82A60" w:rsidP="00300A01">
            <w:pPr>
              <w:spacing w:before="0" w:after="0"/>
              <w:jc w:val="right"/>
              <w:rPr>
                <w:sz w:val="16"/>
                <w:szCs w:val="16"/>
                <w:lang w:val="fr-BE"/>
              </w:rPr>
            </w:pPr>
            <w:r w:rsidRPr="0024468B">
              <w:rPr>
                <w:noProof/>
                <w:sz w:val="16"/>
                <w:szCs w:val="16"/>
                <w:lang w:val="fr-BE"/>
              </w:rPr>
              <w:t>150,00</w:t>
            </w:r>
          </w:p>
        </w:tc>
        <w:tc>
          <w:tcPr>
            <w:tcW w:w="0" w:type="auto"/>
            <w:shd w:val="clear" w:color="auto" w:fill="auto"/>
          </w:tcPr>
          <w:p w14:paraId="6F8F82F5"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6F9FEF08"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65A1F3D3" w14:textId="77777777" w:rsidR="008C5CFA" w:rsidRPr="0024468B" w:rsidRDefault="00E82A60" w:rsidP="00300A01">
            <w:pPr>
              <w:spacing w:before="0" w:after="0"/>
              <w:rPr>
                <w:sz w:val="16"/>
                <w:szCs w:val="16"/>
                <w:lang w:val="fr-BE"/>
              </w:rPr>
            </w:pPr>
            <w:r w:rsidRPr="0024468B">
              <w:rPr>
                <w:noProof/>
                <w:sz w:val="16"/>
                <w:szCs w:val="16"/>
                <w:lang w:val="fr-BE"/>
              </w:rPr>
              <w:t>Przedmiotowy wskaźnik realizowany jest w ramach projektu Centrum Obsługi Inwestora i Przedsiębiorczości. Dotychczas, w toku jego realizacji  ze wsparcia niefinansowego skorzystało 203 przedsiębiorstwa. Uwzględniając dane dotyczące ilości już wspartych przedsiębiorstw, planowane działania oraz alokacja projektu szacuje się, że wartość docelowa wskaźników wyniesie 240 i do takiego poziomu został on zgłoszony w ramach zmian RPO.</w:t>
            </w:r>
          </w:p>
        </w:tc>
      </w:tr>
      <w:tr w:rsidR="006B2EC1" w14:paraId="21B0EAC3" w14:textId="77777777" w:rsidTr="0047688D">
        <w:tc>
          <w:tcPr>
            <w:tcW w:w="0" w:type="auto"/>
          </w:tcPr>
          <w:p w14:paraId="4057F768" w14:textId="77777777" w:rsidR="008C5CFA" w:rsidRPr="0024468B" w:rsidRDefault="00E82A60" w:rsidP="00300A01">
            <w:pPr>
              <w:spacing w:before="0" w:after="0"/>
              <w:rPr>
                <w:sz w:val="16"/>
                <w:szCs w:val="16"/>
                <w:lang w:val="fr-BE"/>
              </w:rPr>
            </w:pPr>
            <w:r>
              <w:rPr>
                <w:noProof/>
                <w:sz w:val="16"/>
                <w:szCs w:val="16"/>
                <w:lang w:val="fr-BE"/>
              </w:rPr>
              <w:t>F</w:t>
            </w:r>
          </w:p>
        </w:tc>
        <w:tc>
          <w:tcPr>
            <w:tcW w:w="0" w:type="auto"/>
            <w:shd w:val="clear" w:color="auto" w:fill="auto"/>
          </w:tcPr>
          <w:p w14:paraId="09BB3291" w14:textId="77777777" w:rsidR="008C5CFA" w:rsidRPr="0024468B" w:rsidRDefault="00E82A60" w:rsidP="00300A01">
            <w:pPr>
              <w:spacing w:before="0" w:after="0"/>
              <w:rPr>
                <w:sz w:val="16"/>
                <w:szCs w:val="16"/>
                <w:lang w:val="fr-BE"/>
              </w:rPr>
            </w:pPr>
            <w:r w:rsidRPr="0024468B">
              <w:rPr>
                <w:noProof/>
                <w:sz w:val="16"/>
                <w:szCs w:val="16"/>
                <w:lang w:val="fr-BE"/>
              </w:rPr>
              <w:t>CO04</w:t>
            </w:r>
          </w:p>
        </w:tc>
        <w:tc>
          <w:tcPr>
            <w:tcW w:w="0" w:type="auto"/>
            <w:shd w:val="clear" w:color="auto" w:fill="auto"/>
          </w:tcPr>
          <w:p w14:paraId="6D8F99B9" w14:textId="77777777" w:rsidR="008C5CFA" w:rsidRPr="0024468B" w:rsidRDefault="00E82A60" w:rsidP="00300A01">
            <w:pPr>
              <w:spacing w:before="0" w:after="0"/>
              <w:rPr>
                <w:sz w:val="16"/>
                <w:szCs w:val="16"/>
                <w:lang w:val="fr-BE"/>
              </w:rPr>
            </w:pPr>
            <w:r w:rsidRPr="0024468B">
              <w:rPr>
                <w:noProof/>
                <w:sz w:val="16"/>
                <w:szCs w:val="16"/>
                <w:lang w:val="fr-BE"/>
              </w:rPr>
              <w:t>Inwestycje produkcyjne: liczba przedsiębiorstw otrzymujących wsparcie niefinansowe</w:t>
            </w:r>
          </w:p>
        </w:tc>
        <w:tc>
          <w:tcPr>
            <w:tcW w:w="0" w:type="auto"/>
            <w:shd w:val="clear" w:color="auto" w:fill="auto"/>
          </w:tcPr>
          <w:p w14:paraId="39093F20" w14:textId="77777777" w:rsidR="008C5CFA" w:rsidRPr="0024468B" w:rsidRDefault="00E82A60" w:rsidP="00300A01">
            <w:pPr>
              <w:spacing w:before="0" w:after="0"/>
              <w:rPr>
                <w:sz w:val="16"/>
                <w:szCs w:val="16"/>
                <w:lang w:val="fr-BE"/>
              </w:rPr>
            </w:pPr>
            <w:r>
              <w:rPr>
                <w:noProof/>
                <w:sz w:val="16"/>
                <w:szCs w:val="16"/>
                <w:lang w:val="fr-BE"/>
              </w:rPr>
              <w:t>Przedsiębiorstwa</w:t>
            </w:r>
          </w:p>
        </w:tc>
        <w:tc>
          <w:tcPr>
            <w:tcW w:w="0" w:type="auto"/>
            <w:shd w:val="clear" w:color="auto" w:fill="auto"/>
          </w:tcPr>
          <w:p w14:paraId="32C77E46" w14:textId="77777777" w:rsidR="008C5CFA" w:rsidRPr="0024468B" w:rsidRDefault="00E82A60"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14:paraId="2A44207E" w14:textId="77777777" w:rsidR="008C5CFA" w:rsidRPr="0024468B" w:rsidRDefault="00E82A60" w:rsidP="00300A01">
            <w:pPr>
              <w:spacing w:before="0" w:after="0"/>
              <w:jc w:val="right"/>
              <w:rPr>
                <w:sz w:val="16"/>
                <w:szCs w:val="16"/>
                <w:lang w:val="fr-BE"/>
              </w:rPr>
            </w:pPr>
            <w:r>
              <w:rPr>
                <w:noProof/>
                <w:sz w:val="16"/>
                <w:szCs w:val="16"/>
                <w:lang w:val="fr-BE"/>
              </w:rPr>
              <w:t>90,00</w:t>
            </w:r>
          </w:p>
        </w:tc>
        <w:tc>
          <w:tcPr>
            <w:tcW w:w="0" w:type="auto"/>
            <w:shd w:val="clear" w:color="auto" w:fill="auto"/>
          </w:tcPr>
          <w:p w14:paraId="129F4C2E" w14:textId="77777777" w:rsidR="008C5CFA" w:rsidRPr="0024468B" w:rsidRDefault="008C5CFA" w:rsidP="00300A01">
            <w:pPr>
              <w:spacing w:before="0" w:after="0"/>
              <w:jc w:val="right"/>
              <w:rPr>
                <w:sz w:val="16"/>
                <w:szCs w:val="16"/>
                <w:lang w:val="fr-BE"/>
              </w:rPr>
            </w:pPr>
          </w:p>
        </w:tc>
        <w:tc>
          <w:tcPr>
            <w:tcW w:w="0" w:type="auto"/>
          </w:tcPr>
          <w:p w14:paraId="043A425A" w14:textId="77777777" w:rsidR="008C5CFA" w:rsidRPr="0024468B" w:rsidRDefault="008C5CFA" w:rsidP="00300A01">
            <w:pPr>
              <w:spacing w:before="0" w:after="0"/>
              <w:jc w:val="right"/>
              <w:rPr>
                <w:sz w:val="16"/>
                <w:szCs w:val="16"/>
                <w:lang w:val="fr-BE"/>
              </w:rPr>
            </w:pPr>
          </w:p>
        </w:tc>
        <w:tc>
          <w:tcPr>
            <w:tcW w:w="0" w:type="auto"/>
            <w:shd w:val="clear" w:color="auto" w:fill="auto"/>
          </w:tcPr>
          <w:p w14:paraId="4A102EAB" w14:textId="77777777" w:rsidR="008C5CFA" w:rsidRPr="0024468B" w:rsidRDefault="00E82A60" w:rsidP="00300A01">
            <w:pPr>
              <w:spacing w:before="0" w:after="0"/>
              <w:jc w:val="right"/>
              <w:rPr>
                <w:sz w:val="16"/>
                <w:szCs w:val="16"/>
                <w:lang w:val="fr-BE"/>
              </w:rPr>
            </w:pPr>
            <w:r w:rsidRPr="0024468B">
              <w:rPr>
                <w:noProof/>
                <w:sz w:val="16"/>
                <w:szCs w:val="16"/>
                <w:lang w:val="fr-BE"/>
              </w:rPr>
              <w:t>203,00</w:t>
            </w:r>
          </w:p>
        </w:tc>
        <w:tc>
          <w:tcPr>
            <w:tcW w:w="0" w:type="auto"/>
            <w:shd w:val="clear" w:color="auto" w:fill="auto"/>
          </w:tcPr>
          <w:p w14:paraId="69DB23E5"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16FCF6DD"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01973AA1" w14:textId="77777777" w:rsidR="008C5CFA" w:rsidRPr="0024468B" w:rsidRDefault="00E82A60" w:rsidP="00300A01">
            <w:pPr>
              <w:spacing w:before="0" w:after="0"/>
              <w:rPr>
                <w:sz w:val="16"/>
                <w:szCs w:val="16"/>
                <w:lang w:val="fr-BE"/>
              </w:rPr>
            </w:pPr>
            <w:r w:rsidRPr="0024468B">
              <w:rPr>
                <w:noProof/>
                <w:sz w:val="16"/>
                <w:szCs w:val="16"/>
                <w:lang w:val="fr-BE"/>
              </w:rPr>
              <w:t>Zaproponowana zmiana pozwoli na realizację wskaźnika na poziomie 85%.</w:t>
            </w:r>
          </w:p>
        </w:tc>
      </w:tr>
      <w:tr w:rsidR="006B2EC1" w14:paraId="759B95D6" w14:textId="77777777" w:rsidTr="0047688D">
        <w:tc>
          <w:tcPr>
            <w:tcW w:w="0" w:type="auto"/>
          </w:tcPr>
          <w:p w14:paraId="1B2AFE21" w14:textId="77777777" w:rsidR="008C5CFA" w:rsidRPr="0024468B" w:rsidRDefault="00E82A60" w:rsidP="00300A01">
            <w:pPr>
              <w:spacing w:before="0" w:after="0"/>
              <w:rPr>
                <w:sz w:val="16"/>
                <w:szCs w:val="16"/>
                <w:lang w:val="fr-BE"/>
              </w:rPr>
            </w:pPr>
            <w:r>
              <w:rPr>
                <w:noProof/>
                <w:sz w:val="16"/>
                <w:szCs w:val="16"/>
                <w:lang w:val="fr-BE"/>
              </w:rPr>
              <w:t>S</w:t>
            </w:r>
          </w:p>
        </w:tc>
        <w:tc>
          <w:tcPr>
            <w:tcW w:w="0" w:type="auto"/>
            <w:shd w:val="clear" w:color="auto" w:fill="auto"/>
          </w:tcPr>
          <w:p w14:paraId="5B63FB4F" w14:textId="77777777" w:rsidR="008C5CFA" w:rsidRPr="0024468B" w:rsidRDefault="00E82A60" w:rsidP="00300A01">
            <w:pPr>
              <w:spacing w:before="0" w:after="0"/>
              <w:rPr>
                <w:sz w:val="16"/>
                <w:szCs w:val="16"/>
                <w:lang w:val="fr-BE"/>
              </w:rPr>
            </w:pPr>
            <w:r w:rsidRPr="0024468B">
              <w:rPr>
                <w:noProof/>
                <w:sz w:val="16"/>
                <w:szCs w:val="16"/>
                <w:lang w:val="fr-BE"/>
              </w:rPr>
              <w:t>CO04</w:t>
            </w:r>
          </w:p>
        </w:tc>
        <w:tc>
          <w:tcPr>
            <w:tcW w:w="0" w:type="auto"/>
            <w:shd w:val="clear" w:color="auto" w:fill="auto"/>
          </w:tcPr>
          <w:p w14:paraId="25ACFA8D" w14:textId="77777777" w:rsidR="008C5CFA" w:rsidRPr="0024468B" w:rsidRDefault="00E82A60" w:rsidP="00300A01">
            <w:pPr>
              <w:spacing w:before="0" w:after="0"/>
              <w:rPr>
                <w:sz w:val="16"/>
                <w:szCs w:val="16"/>
                <w:lang w:val="fr-BE"/>
              </w:rPr>
            </w:pPr>
            <w:r w:rsidRPr="0024468B">
              <w:rPr>
                <w:noProof/>
                <w:sz w:val="16"/>
                <w:szCs w:val="16"/>
                <w:lang w:val="fr-BE"/>
              </w:rPr>
              <w:t>Inwestycje produkcyjne: liczba przedsiębiorstw otrzymujących wsparcie niefinansowe</w:t>
            </w:r>
          </w:p>
        </w:tc>
        <w:tc>
          <w:tcPr>
            <w:tcW w:w="0" w:type="auto"/>
            <w:shd w:val="clear" w:color="auto" w:fill="auto"/>
          </w:tcPr>
          <w:p w14:paraId="7814C424" w14:textId="77777777" w:rsidR="008C5CFA" w:rsidRPr="0024468B" w:rsidRDefault="00E82A60" w:rsidP="00300A01">
            <w:pPr>
              <w:spacing w:before="0" w:after="0"/>
              <w:rPr>
                <w:sz w:val="16"/>
                <w:szCs w:val="16"/>
                <w:lang w:val="fr-BE"/>
              </w:rPr>
            </w:pPr>
            <w:r>
              <w:rPr>
                <w:noProof/>
                <w:sz w:val="16"/>
                <w:szCs w:val="16"/>
                <w:lang w:val="fr-BE"/>
              </w:rPr>
              <w:t>Przedsiębiorstwa</w:t>
            </w:r>
          </w:p>
        </w:tc>
        <w:tc>
          <w:tcPr>
            <w:tcW w:w="0" w:type="auto"/>
            <w:shd w:val="clear" w:color="auto" w:fill="auto"/>
          </w:tcPr>
          <w:p w14:paraId="4FB59FE0" w14:textId="77777777" w:rsidR="008C5CFA" w:rsidRPr="0024468B" w:rsidRDefault="00E82A60"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14:paraId="05C32587" w14:textId="77777777" w:rsidR="008C5CFA" w:rsidRPr="0024468B" w:rsidRDefault="00E82A60" w:rsidP="00300A01">
            <w:pPr>
              <w:spacing w:before="0" w:after="0"/>
              <w:jc w:val="right"/>
              <w:rPr>
                <w:sz w:val="16"/>
                <w:szCs w:val="16"/>
                <w:lang w:val="fr-BE"/>
              </w:rPr>
            </w:pPr>
            <w:r>
              <w:rPr>
                <w:noProof/>
                <w:sz w:val="16"/>
                <w:szCs w:val="16"/>
                <w:lang w:val="fr-BE"/>
              </w:rPr>
              <w:t>90,00</w:t>
            </w:r>
          </w:p>
        </w:tc>
        <w:tc>
          <w:tcPr>
            <w:tcW w:w="0" w:type="auto"/>
            <w:shd w:val="clear" w:color="auto" w:fill="auto"/>
          </w:tcPr>
          <w:p w14:paraId="2A8354A8" w14:textId="77777777" w:rsidR="008C5CFA" w:rsidRPr="0024468B" w:rsidRDefault="008C5CFA" w:rsidP="00300A01">
            <w:pPr>
              <w:spacing w:before="0" w:after="0"/>
              <w:jc w:val="right"/>
              <w:rPr>
                <w:sz w:val="16"/>
                <w:szCs w:val="16"/>
                <w:lang w:val="fr-BE"/>
              </w:rPr>
            </w:pPr>
          </w:p>
        </w:tc>
        <w:tc>
          <w:tcPr>
            <w:tcW w:w="0" w:type="auto"/>
          </w:tcPr>
          <w:p w14:paraId="0B5375BE" w14:textId="77777777" w:rsidR="008C5CFA" w:rsidRPr="0024468B" w:rsidRDefault="008C5CFA" w:rsidP="00300A01">
            <w:pPr>
              <w:spacing w:before="0" w:after="0"/>
              <w:jc w:val="right"/>
              <w:rPr>
                <w:sz w:val="16"/>
                <w:szCs w:val="16"/>
                <w:lang w:val="fr-BE"/>
              </w:rPr>
            </w:pPr>
          </w:p>
        </w:tc>
        <w:tc>
          <w:tcPr>
            <w:tcW w:w="0" w:type="auto"/>
            <w:shd w:val="clear" w:color="auto" w:fill="auto"/>
          </w:tcPr>
          <w:p w14:paraId="1BD8C328" w14:textId="77777777" w:rsidR="008C5CFA" w:rsidRPr="0024468B" w:rsidRDefault="00E82A60" w:rsidP="00300A01">
            <w:pPr>
              <w:spacing w:before="0" w:after="0"/>
              <w:jc w:val="right"/>
              <w:rPr>
                <w:sz w:val="16"/>
                <w:szCs w:val="16"/>
                <w:lang w:val="fr-BE"/>
              </w:rPr>
            </w:pPr>
            <w:r w:rsidRPr="0024468B">
              <w:rPr>
                <w:noProof/>
                <w:sz w:val="16"/>
                <w:szCs w:val="16"/>
                <w:lang w:val="fr-BE"/>
              </w:rPr>
              <w:t>150,00</w:t>
            </w:r>
          </w:p>
        </w:tc>
        <w:tc>
          <w:tcPr>
            <w:tcW w:w="0" w:type="auto"/>
            <w:shd w:val="clear" w:color="auto" w:fill="auto"/>
          </w:tcPr>
          <w:p w14:paraId="65C393CB"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1B09D0C7"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629B29B3" w14:textId="77777777" w:rsidR="008C5CFA" w:rsidRPr="0024468B" w:rsidRDefault="00E82A60" w:rsidP="00300A01">
            <w:pPr>
              <w:spacing w:before="0" w:after="0"/>
              <w:rPr>
                <w:sz w:val="16"/>
                <w:szCs w:val="16"/>
                <w:lang w:val="fr-BE"/>
              </w:rPr>
            </w:pPr>
            <w:r w:rsidRPr="0024468B">
              <w:rPr>
                <w:noProof/>
                <w:sz w:val="16"/>
                <w:szCs w:val="16"/>
                <w:lang w:val="fr-BE"/>
              </w:rPr>
              <w:t>Przedmiotowy wskaźnik realizowany jest w ramach projektu Centrum Obsługi Inwestora i Przedsiębiorczości. Dotychczas, w toku jego realizacji  ze wsparcia niefinansowego skorzystało 203 przedsiębiorstwa. Uwzględniając dane dotyczące ilości już wspartych przedsiębiorstw, planowane działania oraz alokacja projektu szacuje się, że wartość docelowa wskaźników wyniesie 240 i do takiego poziomu został on zgłoszony w ramach zmian RPO.</w:t>
            </w:r>
          </w:p>
        </w:tc>
      </w:tr>
    </w:tbl>
    <w:p w14:paraId="6CD01C77" w14:textId="77777777" w:rsidR="008C5CFA" w:rsidRDefault="00E82A60" w:rsidP="00300A01">
      <w:pPr>
        <w:spacing w:before="0" w:after="0"/>
        <w:rPr>
          <w:lang w:val="fr-BE"/>
        </w:rPr>
      </w:pPr>
      <w:r>
        <w:rPr>
          <w:noProof/>
          <w:lang w:val="fr-BE"/>
        </w:rPr>
        <w:t>1) S=wartość skumulowana – produkty, które mają być zrealizowane poprzez wybrane operacje [prognoza przedstawiona przez beneficjentów], F=wartość skumulowana – produkty zrealizowane poprzez operacje [rzeczywiste wykonanie]</w:t>
      </w:r>
    </w:p>
    <w:p w14:paraId="06E0E676"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01"/>
        <w:gridCol w:w="497"/>
        <w:gridCol w:w="5116"/>
        <w:gridCol w:w="965"/>
        <w:gridCol w:w="1151"/>
        <w:gridCol w:w="974"/>
        <w:gridCol w:w="965"/>
        <w:gridCol w:w="1151"/>
        <w:gridCol w:w="974"/>
        <w:gridCol w:w="965"/>
        <w:gridCol w:w="1151"/>
        <w:gridCol w:w="974"/>
      </w:tblGrid>
      <w:tr w:rsidR="006B2EC1" w14:paraId="30230F67" w14:textId="77777777" w:rsidTr="0047688D">
        <w:trPr>
          <w:tblHeader/>
        </w:trPr>
        <w:tc>
          <w:tcPr>
            <w:tcW w:w="0" w:type="auto"/>
          </w:tcPr>
          <w:p w14:paraId="7CF5FFA0" w14:textId="77777777" w:rsidR="008C5CFA" w:rsidRPr="009143B4" w:rsidRDefault="00E82A60" w:rsidP="00300A01">
            <w:pPr>
              <w:spacing w:before="0" w:after="0"/>
              <w:rPr>
                <w:b/>
                <w:sz w:val="16"/>
                <w:szCs w:val="16"/>
                <w:lang w:val="fr-BE"/>
              </w:rPr>
            </w:pPr>
            <w:r w:rsidRPr="009143B4">
              <w:rPr>
                <w:b/>
                <w:sz w:val="16"/>
                <w:szCs w:val="16"/>
                <w:lang w:val="fr-BE"/>
              </w:rPr>
              <w:t>(1)</w:t>
            </w:r>
          </w:p>
        </w:tc>
        <w:tc>
          <w:tcPr>
            <w:tcW w:w="0" w:type="auto"/>
            <w:shd w:val="clear" w:color="auto" w:fill="auto"/>
          </w:tcPr>
          <w:p w14:paraId="045C9743" w14:textId="77777777" w:rsidR="008C5CFA" w:rsidRPr="009143B4" w:rsidRDefault="00E82A60" w:rsidP="00300A01">
            <w:pPr>
              <w:spacing w:before="0" w:after="0"/>
              <w:rPr>
                <w:b/>
                <w:sz w:val="16"/>
                <w:szCs w:val="16"/>
                <w:lang w:val="fr-BE"/>
              </w:rPr>
            </w:pPr>
            <w:r w:rsidRPr="009143B4">
              <w:rPr>
                <w:b/>
                <w:noProof/>
                <w:sz w:val="16"/>
                <w:szCs w:val="16"/>
                <w:lang w:val="fr-BE"/>
              </w:rPr>
              <w:t>ID</w:t>
            </w:r>
          </w:p>
        </w:tc>
        <w:tc>
          <w:tcPr>
            <w:tcW w:w="0" w:type="auto"/>
            <w:shd w:val="clear" w:color="auto" w:fill="auto"/>
          </w:tcPr>
          <w:p w14:paraId="6F239BCF" w14:textId="77777777" w:rsidR="008C5CFA" w:rsidRPr="009143B4" w:rsidRDefault="00E82A60" w:rsidP="00300A01">
            <w:pPr>
              <w:spacing w:before="0" w:after="0"/>
              <w:rPr>
                <w:b/>
                <w:sz w:val="16"/>
                <w:szCs w:val="16"/>
                <w:lang w:val="fr-BE"/>
              </w:rPr>
            </w:pPr>
            <w:r w:rsidRPr="009143B4">
              <w:rPr>
                <w:b/>
                <w:noProof/>
                <w:sz w:val="16"/>
                <w:szCs w:val="16"/>
                <w:lang w:val="fr-BE"/>
              </w:rPr>
              <w:t>Wskaźnik</w:t>
            </w:r>
          </w:p>
        </w:tc>
        <w:tc>
          <w:tcPr>
            <w:tcW w:w="0" w:type="auto"/>
          </w:tcPr>
          <w:p w14:paraId="441D566D" w14:textId="77777777" w:rsidR="008C5CFA" w:rsidRPr="009143B4" w:rsidRDefault="00E82A60" w:rsidP="00300A01">
            <w:pPr>
              <w:spacing w:before="0" w:after="0"/>
              <w:jc w:val="center"/>
              <w:rPr>
                <w:b/>
                <w:sz w:val="16"/>
                <w:szCs w:val="16"/>
                <w:lang w:val="fr-BE"/>
              </w:rPr>
            </w:pPr>
            <w:r>
              <w:rPr>
                <w:b/>
                <w:sz w:val="16"/>
                <w:szCs w:val="16"/>
                <w:lang w:val="fr-BE"/>
              </w:rPr>
              <w:t xml:space="preserve">2018 </w:t>
            </w:r>
            <w:r w:rsidRPr="009143B4">
              <w:rPr>
                <w:b/>
                <w:noProof/>
                <w:sz w:val="16"/>
                <w:szCs w:val="16"/>
                <w:lang w:val="fr-BE"/>
              </w:rPr>
              <w:t>Ogółem</w:t>
            </w:r>
          </w:p>
        </w:tc>
        <w:tc>
          <w:tcPr>
            <w:tcW w:w="0" w:type="auto"/>
          </w:tcPr>
          <w:p w14:paraId="348961C0" w14:textId="77777777" w:rsidR="008C5CFA" w:rsidRPr="009143B4" w:rsidRDefault="00E82A60" w:rsidP="00300A01">
            <w:pPr>
              <w:spacing w:before="0" w:after="0"/>
              <w:jc w:val="center"/>
              <w:rPr>
                <w:b/>
                <w:sz w:val="16"/>
                <w:szCs w:val="16"/>
                <w:lang w:val="fr-BE"/>
              </w:rPr>
            </w:pPr>
            <w:r>
              <w:rPr>
                <w:b/>
                <w:sz w:val="16"/>
                <w:szCs w:val="16"/>
                <w:lang w:val="fr-BE"/>
              </w:rPr>
              <w:t xml:space="preserve">2018 </w:t>
            </w:r>
            <w:r w:rsidRPr="009143B4">
              <w:rPr>
                <w:b/>
                <w:noProof/>
                <w:sz w:val="16"/>
                <w:szCs w:val="16"/>
                <w:lang w:val="fr-BE"/>
              </w:rPr>
              <w:t>Mężczyźni</w:t>
            </w:r>
          </w:p>
        </w:tc>
        <w:tc>
          <w:tcPr>
            <w:tcW w:w="0" w:type="auto"/>
          </w:tcPr>
          <w:p w14:paraId="1577C789" w14:textId="77777777" w:rsidR="008C5CFA" w:rsidRPr="009143B4" w:rsidRDefault="00E82A60" w:rsidP="00300A01">
            <w:pPr>
              <w:spacing w:before="0" w:after="0"/>
              <w:jc w:val="center"/>
              <w:rPr>
                <w:b/>
                <w:sz w:val="16"/>
                <w:szCs w:val="16"/>
                <w:lang w:val="fr-BE"/>
              </w:rPr>
            </w:pPr>
            <w:r>
              <w:rPr>
                <w:b/>
                <w:sz w:val="16"/>
                <w:szCs w:val="16"/>
                <w:lang w:val="fr-BE"/>
              </w:rPr>
              <w:t xml:space="preserve">2018 </w:t>
            </w:r>
            <w:r w:rsidRPr="009143B4">
              <w:rPr>
                <w:b/>
                <w:noProof/>
                <w:sz w:val="16"/>
                <w:szCs w:val="16"/>
                <w:lang w:val="fr-BE"/>
              </w:rPr>
              <w:t>Kobiety</w:t>
            </w:r>
          </w:p>
        </w:tc>
        <w:tc>
          <w:tcPr>
            <w:tcW w:w="0" w:type="auto"/>
          </w:tcPr>
          <w:p w14:paraId="2F2EA2DF" w14:textId="77777777" w:rsidR="008C5CFA" w:rsidRPr="009143B4" w:rsidRDefault="00E82A60"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Ogółem</w:t>
            </w:r>
          </w:p>
        </w:tc>
        <w:tc>
          <w:tcPr>
            <w:tcW w:w="0" w:type="auto"/>
          </w:tcPr>
          <w:p w14:paraId="2B2AFF28" w14:textId="77777777" w:rsidR="008C5CFA" w:rsidRPr="009143B4" w:rsidRDefault="00E82A60"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Mężczyźni</w:t>
            </w:r>
          </w:p>
        </w:tc>
        <w:tc>
          <w:tcPr>
            <w:tcW w:w="0" w:type="auto"/>
          </w:tcPr>
          <w:p w14:paraId="2B8B7993" w14:textId="77777777" w:rsidR="008C5CFA" w:rsidRPr="009143B4" w:rsidRDefault="00E82A60"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Kobiety</w:t>
            </w:r>
          </w:p>
        </w:tc>
        <w:tc>
          <w:tcPr>
            <w:tcW w:w="0" w:type="auto"/>
            <w:shd w:val="clear" w:color="auto" w:fill="auto"/>
          </w:tcPr>
          <w:p w14:paraId="20C3C04A" w14:textId="77777777" w:rsidR="008C5CFA" w:rsidRPr="009143B4" w:rsidRDefault="00E82A60"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Ogółem</w:t>
            </w:r>
          </w:p>
        </w:tc>
        <w:tc>
          <w:tcPr>
            <w:tcW w:w="0" w:type="auto"/>
            <w:shd w:val="clear" w:color="auto" w:fill="auto"/>
          </w:tcPr>
          <w:p w14:paraId="10B4A017" w14:textId="77777777" w:rsidR="008C5CFA" w:rsidRPr="009143B4" w:rsidRDefault="00E82A60"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Mężczyźni</w:t>
            </w:r>
          </w:p>
        </w:tc>
        <w:tc>
          <w:tcPr>
            <w:tcW w:w="0" w:type="auto"/>
            <w:shd w:val="clear" w:color="auto" w:fill="auto"/>
          </w:tcPr>
          <w:p w14:paraId="7C6E5796" w14:textId="77777777" w:rsidR="008C5CFA" w:rsidRPr="009143B4" w:rsidRDefault="00E82A60"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Kobiety</w:t>
            </w:r>
          </w:p>
        </w:tc>
      </w:tr>
      <w:tr w:rsidR="006B2EC1" w14:paraId="74C20FAA" w14:textId="77777777" w:rsidTr="0047688D">
        <w:tc>
          <w:tcPr>
            <w:tcW w:w="0" w:type="auto"/>
          </w:tcPr>
          <w:p w14:paraId="4C12AA46" w14:textId="77777777" w:rsidR="008C5CFA" w:rsidRPr="0024468B" w:rsidRDefault="00E82A60" w:rsidP="00300A01">
            <w:pPr>
              <w:spacing w:before="0" w:after="0"/>
              <w:rPr>
                <w:sz w:val="16"/>
                <w:szCs w:val="16"/>
                <w:lang w:val="fr-BE"/>
              </w:rPr>
            </w:pPr>
            <w:r>
              <w:rPr>
                <w:noProof/>
                <w:sz w:val="16"/>
                <w:szCs w:val="16"/>
                <w:lang w:val="fr-BE"/>
              </w:rPr>
              <w:t>F</w:t>
            </w:r>
          </w:p>
        </w:tc>
        <w:tc>
          <w:tcPr>
            <w:tcW w:w="0" w:type="auto"/>
            <w:shd w:val="clear" w:color="auto" w:fill="auto"/>
          </w:tcPr>
          <w:p w14:paraId="031B20B1" w14:textId="77777777" w:rsidR="008C5CFA" w:rsidRPr="0024468B" w:rsidRDefault="00E82A60" w:rsidP="00300A01">
            <w:pPr>
              <w:spacing w:before="0" w:after="0"/>
              <w:rPr>
                <w:sz w:val="16"/>
                <w:szCs w:val="16"/>
                <w:lang w:val="fr-BE"/>
              </w:rPr>
            </w:pPr>
            <w:r w:rsidRPr="0024468B">
              <w:rPr>
                <w:noProof/>
                <w:sz w:val="16"/>
                <w:szCs w:val="16"/>
                <w:lang w:val="fr-BE"/>
              </w:rPr>
              <w:t>CO01</w:t>
            </w:r>
          </w:p>
        </w:tc>
        <w:tc>
          <w:tcPr>
            <w:tcW w:w="0" w:type="auto"/>
            <w:shd w:val="clear" w:color="auto" w:fill="auto"/>
          </w:tcPr>
          <w:p w14:paraId="42C1D0EF" w14:textId="77777777" w:rsidR="008C5CFA" w:rsidRPr="0024468B" w:rsidRDefault="00E82A60" w:rsidP="00300A01">
            <w:pPr>
              <w:spacing w:before="0" w:after="0"/>
              <w:rPr>
                <w:sz w:val="16"/>
                <w:szCs w:val="16"/>
                <w:lang w:val="fr-BE"/>
              </w:rPr>
            </w:pPr>
            <w:r w:rsidRPr="0024468B">
              <w:rPr>
                <w:noProof/>
                <w:sz w:val="16"/>
                <w:szCs w:val="16"/>
                <w:lang w:val="fr-BE"/>
              </w:rPr>
              <w:t>Inwestycje produkcyjne: liczba przedsiębiorstw otrzymujących wsparcie</w:t>
            </w:r>
          </w:p>
        </w:tc>
        <w:tc>
          <w:tcPr>
            <w:tcW w:w="0" w:type="auto"/>
          </w:tcPr>
          <w:p w14:paraId="2079483B" w14:textId="77777777" w:rsidR="008C5CFA" w:rsidRPr="0024468B" w:rsidRDefault="00E82A60" w:rsidP="00300A01">
            <w:pPr>
              <w:spacing w:before="0" w:after="0"/>
              <w:jc w:val="right"/>
              <w:rPr>
                <w:sz w:val="16"/>
                <w:szCs w:val="16"/>
                <w:lang w:val="fr-BE"/>
              </w:rPr>
            </w:pPr>
            <w:r w:rsidRPr="0024468B">
              <w:rPr>
                <w:noProof/>
                <w:sz w:val="16"/>
                <w:szCs w:val="16"/>
                <w:lang w:val="fr-BE"/>
              </w:rPr>
              <w:t>170,00</w:t>
            </w:r>
          </w:p>
        </w:tc>
        <w:tc>
          <w:tcPr>
            <w:tcW w:w="0" w:type="auto"/>
          </w:tcPr>
          <w:p w14:paraId="67D4BD06"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676474DB"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13E3E20F"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28640D87"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2167B0BD"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21F3FB15"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27F425DA"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5C5CF223"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r w:rsidR="006B2EC1" w14:paraId="19E11825" w14:textId="77777777" w:rsidTr="0047688D">
        <w:tc>
          <w:tcPr>
            <w:tcW w:w="0" w:type="auto"/>
          </w:tcPr>
          <w:p w14:paraId="53DFDCA0" w14:textId="77777777" w:rsidR="008C5CFA" w:rsidRPr="0024468B" w:rsidRDefault="00E82A60" w:rsidP="00300A01">
            <w:pPr>
              <w:spacing w:before="0" w:after="0"/>
              <w:rPr>
                <w:sz w:val="16"/>
                <w:szCs w:val="16"/>
                <w:lang w:val="fr-BE"/>
              </w:rPr>
            </w:pPr>
            <w:r>
              <w:rPr>
                <w:noProof/>
                <w:sz w:val="16"/>
                <w:szCs w:val="16"/>
                <w:lang w:val="fr-BE"/>
              </w:rPr>
              <w:t>S</w:t>
            </w:r>
          </w:p>
        </w:tc>
        <w:tc>
          <w:tcPr>
            <w:tcW w:w="0" w:type="auto"/>
            <w:shd w:val="clear" w:color="auto" w:fill="auto"/>
          </w:tcPr>
          <w:p w14:paraId="4E1FC74E" w14:textId="77777777" w:rsidR="008C5CFA" w:rsidRPr="0024468B" w:rsidRDefault="00E82A60" w:rsidP="00300A01">
            <w:pPr>
              <w:spacing w:before="0" w:after="0"/>
              <w:rPr>
                <w:sz w:val="16"/>
                <w:szCs w:val="16"/>
                <w:lang w:val="fr-BE"/>
              </w:rPr>
            </w:pPr>
            <w:r w:rsidRPr="0024468B">
              <w:rPr>
                <w:noProof/>
                <w:sz w:val="16"/>
                <w:szCs w:val="16"/>
                <w:lang w:val="fr-BE"/>
              </w:rPr>
              <w:t>CO01</w:t>
            </w:r>
          </w:p>
        </w:tc>
        <w:tc>
          <w:tcPr>
            <w:tcW w:w="0" w:type="auto"/>
            <w:shd w:val="clear" w:color="auto" w:fill="auto"/>
          </w:tcPr>
          <w:p w14:paraId="342DEBBB" w14:textId="77777777" w:rsidR="008C5CFA" w:rsidRPr="0024468B" w:rsidRDefault="00E82A60" w:rsidP="00300A01">
            <w:pPr>
              <w:spacing w:before="0" w:after="0"/>
              <w:rPr>
                <w:sz w:val="16"/>
                <w:szCs w:val="16"/>
                <w:lang w:val="fr-BE"/>
              </w:rPr>
            </w:pPr>
            <w:r w:rsidRPr="0024468B">
              <w:rPr>
                <w:noProof/>
                <w:sz w:val="16"/>
                <w:szCs w:val="16"/>
                <w:lang w:val="fr-BE"/>
              </w:rPr>
              <w:t>Inwestycje produkcyjne: liczba przedsiębiorstw otrzymujących wsparcie</w:t>
            </w:r>
          </w:p>
        </w:tc>
        <w:tc>
          <w:tcPr>
            <w:tcW w:w="0" w:type="auto"/>
          </w:tcPr>
          <w:p w14:paraId="60B92A17" w14:textId="77777777" w:rsidR="008C5CFA" w:rsidRPr="0024468B" w:rsidRDefault="00E82A60" w:rsidP="00300A01">
            <w:pPr>
              <w:spacing w:before="0" w:after="0"/>
              <w:jc w:val="right"/>
              <w:rPr>
                <w:sz w:val="16"/>
                <w:szCs w:val="16"/>
                <w:lang w:val="fr-BE"/>
              </w:rPr>
            </w:pPr>
            <w:r w:rsidRPr="0024468B">
              <w:rPr>
                <w:noProof/>
                <w:sz w:val="16"/>
                <w:szCs w:val="16"/>
                <w:lang w:val="fr-BE"/>
              </w:rPr>
              <w:t>150,00</w:t>
            </w:r>
          </w:p>
        </w:tc>
        <w:tc>
          <w:tcPr>
            <w:tcW w:w="0" w:type="auto"/>
          </w:tcPr>
          <w:p w14:paraId="3A90A74C"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5A6EDA83"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69C1AD80" w14:textId="77777777" w:rsidR="008C5CFA" w:rsidRPr="0024468B" w:rsidRDefault="00E82A60" w:rsidP="00300A01">
            <w:pPr>
              <w:spacing w:before="0" w:after="0"/>
              <w:jc w:val="right"/>
              <w:rPr>
                <w:sz w:val="16"/>
                <w:szCs w:val="16"/>
                <w:lang w:val="fr-BE"/>
              </w:rPr>
            </w:pPr>
            <w:r w:rsidRPr="0024468B">
              <w:rPr>
                <w:noProof/>
                <w:sz w:val="16"/>
                <w:szCs w:val="16"/>
                <w:lang w:val="fr-BE"/>
              </w:rPr>
              <w:t>150,00</w:t>
            </w:r>
          </w:p>
        </w:tc>
        <w:tc>
          <w:tcPr>
            <w:tcW w:w="0" w:type="auto"/>
          </w:tcPr>
          <w:p w14:paraId="462A0681"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55485821"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5369DEF3" w14:textId="77777777" w:rsidR="008C5CFA" w:rsidRPr="0024468B" w:rsidRDefault="00E82A60" w:rsidP="00300A01">
            <w:pPr>
              <w:spacing w:before="0" w:after="0"/>
              <w:jc w:val="right"/>
              <w:rPr>
                <w:sz w:val="16"/>
                <w:szCs w:val="16"/>
                <w:lang w:val="fr-BE"/>
              </w:rPr>
            </w:pPr>
            <w:r w:rsidRPr="0024468B">
              <w:rPr>
                <w:noProof/>
                <w:sz w:val="16"/>
                <w:szCs w:val="16"/>
                <w:lang w:val="fr-BE"/>
              </w:rPr>
              <w:t>150,00</w:t>
            </w:r>
          </w:p>
        </w:tc>
        <w:tc>
          <w:tcPr>
            <w:tcW w:w="0" w:type="auto"/>
            <w:shd w:val="clear" w:color="auto" w:fill="auto"/>
          </w:tcPr>
          <w:p w14:paraId="1F9AFEE0"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18308EC0"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r w:rsidR="006B2EC1" w14:paraId="4ADFFC0F" w14:textId="77777777" w:rsidTr="0047688D">
        <w:tc>
          <w:tcPr>
            <w:tcW w:w="0" w:type="auto"/>
          </w:tcPr>
          <w:p w14:paraId="6B68065A" w14:textId="77777777" w:rsidR="008C5CFA" w:rsidRPr="0024468B" w:rsidRDefault="00E82A60" w:rsidP="00300A01">
            <w:pPr>
              <w:spacing w:before="0" w:after="0"/>
              <w:rPr>
                <w:sz w:val="16"/>
                <w:szCs w:val="16"/>
                <w:lang w:val="fr-BE"/>
              </w:rPr>
            </w:pPr>
            <w:r>
              <w:rPr>
                <w:noProof/>
                <w:sz w:val="16"/>
                <w:szCs w:val="16"/>
                <w:lang w:val="fr-BE"/>
              </w:rPr>
              <w:t>F</w:t>
            </w:r>
          </w:p>
        </w:tc>
        <w:tc>
          <w:tcPr>
            <w:tcW w:w="0" w:type="auto"/>
            <w:shd w:val="clear" w:color="auto" w:fill="auto"/>
          </w:tcPr>
          <w:p w14:paraId="10C88C68" w14:textId="77777777" w:rsidR="008C5CFA" w:rsidRPr="0024468B" w:rsidRDefault="00E82A60" w:rsidP="00300A01">
            <w:pPr>
              <w:spacing w:before="0" w:after="0"/>
              <w:rPr>
                <w:sz w:val="16"/>
                <w:szCs w:val="16"/>
                <w:lang w:val="fr-BE"/>
              </w:rPr>
            </w:pPr>
            <w:r w:rsidRPr="0024468B">
              <w:rPr>
                <w:noProof/>
                <w:sz w:val="16"/>
                <w:szCs w:val="16"/>
                <w:lang w:val="fr-BE"/>
              </w:rPr>
              <w:t>CO04</w:t>
            </w:r>
          </w:p>
        </w:tc>
        <w:tc>
          <w:tcPr>
            <w:tcW w:w="0" w:type="auto"/>
            <w:shd w:val="clear" w:color="auto" w:fill="auto"/>
          </w:tcPr>
          <w:p w14:paraId="78BF1FDC" w14:textId="77777777" w:rsidR="008C5CFA" w:rsidRPr="0024468B" w:rsidRDefault="00E82A60" w:rsidP="00300A01">
            <w:pPr>
              <w:spacing w:before="0" w:after="0"/>
              <w:rPr>
                <w:sz w:val="16"/>
                <w:szCs w:val="16"/>
                <w:lang w:val="fr-BE"/>
              </w:rPr>
            </w:pPr>
            <w:r w:rsidRPr="0024468B">
              <w:rPr>
                <w:noProof/>
                <w:sz w:val="16"/>
                <w:szCs w:val="16"/>
                <w:lang w:val="fr-BE"/>
              </w:rPr>
              <w:t>Inwestycje produkcyjne: liczba przedsiębiorstw otrzymujących wsparcie niefinansowe</w:t>
            </w:r>
          </w:p>
        </w:tc>
        <w:tc>
          <w:tcPr>
            <w:tcW w:w="0" w:type="auto"/>
          </w:tcPr>
          <w:p w14:paraId="57362FF5" w14:textId="77777777" w:rsidR="008C5CFA" w:rsidRPr="0024468B" w:rsidRDefault="00E82A60" w:rsidP="00300A01">
            <w:pPr>
              <w:spacing w:before="0" w:after="0"/>
              <w:jc w:val="right"/>
              <w:rPr>
                <w:sz w:val="16"/>
                <w:szCs w:val="16"/>
                <w:lang w:val="fr-BE"/>
              </w:rPr>
            </w:pPr>
            <w:r w:rsidRPr="0024468B">
              <w:rPr>
                <w:noProof/>
                <w:sz w:val="16"/>
                <w:szCs w:val="16"/>
                <w:lang w:val="fr-BE"/>
              </w:rPr>
              <w:t>170,00</w:t>
            </w:r>
          </w:p>
        </w:tc>
        <w:tc>
          <w:tcPr>
            <w:tcW w:w="0" w:type="auto"/>
          </w:tcPr>
          <w:p w14:paraId="54DABFB7"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66F9B708"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14EF88CC"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445FBA40"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2778EF4F"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65817D2B"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33ABC1CC"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5F368D84"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r w:rsidR="006B2EC1" w14:paraId="6393AD92" w14:textId="77777777" w:rsidTr="0047688D">
        <w:tc>
          <w:tcPr>
            <w:tcW w:w="0" w:type="auto"/>
          </w:tcPr>
          <w:p w14:paraId="0DD5B600" w14:textId="77777777" w:rsidR="008C5CFA" w:rsidRPr="0024468B" w:rsidRDefault="00E82A60" w:rsidP="00300A01">
            <w:pPr>
              <w:spacing w:before="0" w:after="0"/>
              <w:rPr>
                <w:sz w:val="16"/>
                <w:szCs w:val="16"/>
                <w:lang w:val="fr-BE"/>
              </w:rPr>
            </w:pPr>
            <w:r>
              <w:rPr>
                <w:noProof/>
                <w:sz w:val="16"/>
                <w:szCs w:val="16"/>
                <w:lang w:val="fr-BE"/>
              </w:rPr>
              <w:t>S</w:t>
            </w:r>
          </w:p>
        </w:tc>
        <w:tc>
          <w:tcPr>
            <w:tcW w:w="0" w:type="auto"/>
            <w:shd w:val="clear" w:color="auto" w:fill="auto"/>
          </w:tcPr>
          <w:p w14:paraId="5AB3DCB7" w14:textId="77777777" w:rsidR="008C5CFA" w:rsidRPr="0024468B" w:rsidRDefault="00E82A60" w:rsidP="00300A01">
            <w:pPr>
              <w:spacing w:before="0" w:after="0"/>
              <w:rPr>
                <w:sz w:val="16"/>
                <w:szCs w:val="16"/>
                <w:lang w:val="fr-BE"/>
              </w:rPr>
            </w:pPr>
            <w:r w:rsidRPr="0024468B">
              <w:rPr>
                <w:noProof/>
                <w:sz w:val="16"/>
                <w:szCs w:val="16"/>
                <w:lang w:val="fr-BE"/>
              </w:rPr>
              <w:t>CO04</w:t>
            </w:r>
          </w:p>
        </w:tc>
        <w:tc>
          <w:tcPr>
            <w:tcW w:w="0" w:type="auto"/>
            <w:shd w:val="clear" w:color="auto" w:fill="auto"/>
          </w:tcPr>
          <w:p w14:paraId="41273398" w14:textId="77777777" w:rsidR="008C5CFA" w:rsidRPr="0024468B" w:rsidRDefault="00E82A60" w:rsidP="00300A01">
            <w:pPr>
              <w:spacing w:before="0" w:after="0"/>
              <w:rPr>
                <w:sz w:val="16"/>
                <w:szCs w:val="16"/>
                <w:lang w:val="fr-BE"/>
              </w:rPr>
            </w:pPr>
            <w:r w:rsidRPr="0024468B">
              <w:rPr>
                <w:noProof/>
                <w:sz w:val="16"/>
                <w:szCs w:val="16"/>
                <w:lang w:val="fr-BE"/>
              </w:rPr>
              <w:t>Inwestycje produkcyjne: liczba przedsiębiorstw otrzymujących wsparcie niefinansowe</w:t>
            </w:r>
          </w:p>
        </w:tc>
        <w:tc>
          <w:tcPr>
            <w:tcW w:w="0" w:type="auto"/>
          </w:tcPr>
          <w:p w14:paraId="17F32344" w14:textId="77777777" w:rsidR="008C5CFA" w:rsidRPr="0024468B" w:rsidRDefault="00E82A60" w:rsidP="00300A01">
            <w:pPr>
              <w:spacing w:before="0" w:after="0"/>
              <w:jc w:val="right"/>
              <w:rPr>
                <w:sz w:val="16"/>
                <w:szCs w:val="16"/>
                <w:lang w:val="fr-BE"/>
              </w:rPr>
            </w:pPr>
            <w:r w:rsidRPr="0024468B">
              <w:rPr>
                <w:noProof/>
                <w:sz w:val="16"/>
                <w:szCs w:val="16"/>
                <w:lang w:val="fr-BE"/>
              </w:rPr>
              <w:t>150,00</w:t>
            </w:r>
          </w:p>
        </w:tc>
        <w:tc>
          <w:tcPr>
            <w:tcW w:w="0" w:type="auto"/>
          </w:tcPr>
          <w:p w14:paraId="659CA165"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44E89AA6"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2A81AEEB" w14:textId="77777777" w:rsidR="008C5CFA" w:rsidRPr="0024468B" w:rsidRDefault="00E82A60" w:rsidP="00300A01">
            <w:pPr>
              <w:spacing w:before="0" w:after="0"/>
              <w:jc w:val="right"/>
              <w:rPr>
                <w:sz w:val="16"/>
                <w:szCs w:val="16"/>
                <w:lang w:val="fr-BE"/>
              </w:rPr>
            </w:pPr>
            <w:r w:rsidRPr="0024468B">
              <w:rPr>
                <w:noProof/>
                <w:sz w:val="16"/>
                <w:szCs w:val="16"/>
                <w:lang w:val="fr-BE"/>
              </w:rPr>
              <w:t>150,00</w:t>
            </w:r>
          </w:p>
        </w:tc>
        <w:tc>
          <w:tcPr>
            <w:tcW w:w="0" w:type="auto"/>
          </w:tcPr>
          <w:p w14:paraId="4C203454"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0A8454E2"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11B917D4" w14:textId="77777777" w:rsidR="008C5CFA" w:rsidRPr="0024468B" w:rsidRDefault="00E82A60" w:rsidP="00300A01">
            <w:pPr>
              <w:spacing w:before="0" w:after="0"/>
              <w:jc w:val="right"/>
              <w:rPr>
                <w:sz w:val="16"/>
                <w:szCs w:val="16"/>
                <w:lang w:val="fr-BE"/>
              </w:rPr>
            </w:pPr>
            <w:r w:rsidRPr="0024468B">
              <w:rPr>
                <w:noProof/>
                <w:sz w:val="16"/>
                <w:szCs w:val="16"/>
                <w:lang w:val="fr-BE"/>
              </w:rPr>
              <w:t>150,00</w:t>
            </w:r>
          </w:p>
        </w:tc>
        <w:tc>
          <w:tcPr>
            <w:tcW w:w="0" w:type="auto"/>
            <w:shd w:val="clear" w:color="auto" w:fill="auto"/>
          </w:tcPr>
          <w:p w14:paraId="04D3DC90"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4EC12ACC"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bl>
    <w:p w14:paraId="3376B599"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53"/>
        <w:gridCol w:w="585"/>
        <w:gridCol w:w="6664"/>
        <w:gridCol w:w="1187"/>
        <w:gridCol w:w="1406"/>
        <w:gridCol w:w="1198"/>
        <w:gridCol w:w="1187"/>
        <w:gridCol w:w="1406"/>
        <w:gridCol w:w="1198"/>
      </w:tblGrid>
      <w:tr w:rsidR="006B2EC1" w14:paraId="5E8EA6CF" w14:textId="77777777" w:rsidTr="0047688D">
        <w:trPr>
          <w:tblHeader/>
        </w:trPr>
        <w:tc>
          <w:tcPr>
            <w:tcW w:w="0" w:type="auto"/>
          </w:tcPr>
          <w:p w14:paraId="6C217636" w14:textId="77777777" w:rsidR="008C5CFA" w:rsidRPr="009143B4" w:rsidRDefault="00E82A60" w:rsidP="00300A01">
            <w:pPr>
              <w:spacing w:before="0" w:after="0"/>
              <w:rPr>
                <w:b/>
                <w:sz w:val="16"/>
                <w:szCs w:val="16"/>
                <w:lang w:val="fr-BE"/>
              </w:rPr>
            </w:pPr>
            <w:r w:rsidRPr="009143B4">
              <w:rPr>
                <w:b/>
                <w:sz w:val="16"/>
                <w:szCs w:val="16"/>
                <w:lang w:val="fr-BE"/>
              </w:rPr>
              <w:t>(1)</w:t>
            </w:r>
          </w:p>
        </w:tc>
        <w:tc>
          <w:tcPr>
            <w:tcW w:w="0" w:type="auto"/>
            <w:shd w:val="clear" w:color="auto" w:fill="auto"/>
          </w:tcPr>
          <w:p w14:paraId="5AC0E855" w14:textId="77777777" w:rsidR="008C5CFA" w:rsidRPr="009143B4" w:rsidRDefault="00E82A60" w:rsidP="00300A01">
            <w:pPr>
              <w:spacing w:before="0" w:after="0"/>
              <w:rPr>
                <w:b/>
                <w:sz w:val="16"/>
                <w:szCs w:val="16"/>
                <w:lang w:val="fr-BE"/>
              </w:rPr>
            </w:pPr>
            <w:r w:rsidRPr="009143B4">
              <w:rPr>
                <w:b/>
                <w:noProof/>
                <w:sz w:val="16"/>
                <w:szCs w:val="16"/>
                <w:lang w:val="fr-BE"/>
              </w:rPr>
              <w:t>ID</w:t>
            </w:r>
          </w:p>
        </w:tc>
        <w:tc>
          <w:tcPr>
            <w:tcW w:w="0" w:type="auto"/>
            <w:shd w:val="clear" w:color="auto" w:fill="auto"/>
          </w:tcPr>
          <w:p w14:paraId="359DE251" w14:textId="77777777" w:rsidR="008C5CFA" w:rsidRPr="009143B4" w:rsidRDefault="00E82A60" w:rsidP="00300A01">
            <w:pPr>
              <w:spacing w:before="0" w:after="0"/>
              <w:rPr>
                <w:b/>
                <w:sz w:val="16"/>
                <w:szCs w:val="16"/>
                <w:lang w:val="fr-BE"/>
              </w:rPr>
            </w:pPr>
            <w:r w:rsidRPr="009143B4">
              <w:rPr>
                <w:b/>
                <w:noProof/>
                <w:sz w:val="16"/>
                <w:szCs w:val="16"/>
                <w:lang w:val="fr-BE"/>
              </w:rPr>
              <w:t>Wskaźnik</w:t>
            </w:r>
          </w:p>
        </w:tc>
        <w:tc>
          <w:tcPr>
            <w:tcW w:w="0" w:type="auto"/>
          </w:tcPr>
          <w:p w14:paraId="05000450" w14:textId="77777777" w:rsidR="008C5CFA" w:rsidRPr="009143B4" w:rsidRDefault="00E82A60"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Ogółem</w:t>
            </w:r>
          </w:p>
        </w:tc>
        <w:tc>
          <w:tcPr>
            <w:tcW w:w="0" w:type="auto"/>
          </w:tcPr>
          <w:p w14:paraId="6CB21E18" w14:textId="77777777" w:rsidR="008C5CFA" w:rsidRPr="009143B4" w:rsidRDefault="00E82A60"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Mężczyźni</w:t>
            </w:r>
          </w:p>
        </w:tc>
        <w:tc>
          <w:tcPr>
            <w:tcW w:w="0" w:type="auto"/>
          </w:tcPr>
          <w:p w14:paraId="08395EEE" w14:textId="77777777" w:rsidR="008C5CFA" w:rsidRPr="009143B4" w:rsidRDefault="00E82A60"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Kobiety</w:t>
            </w:r>
          </w:p>
        </w:tc>
        <w:tc>
          <w:tcPr>
            <w:tcW w:w="0" w:type="auto"/>
            <w:shd w:val="clear" w:color="auto" w:fill="auto"/>
          </w:tcPr>
          <w:p w14:paraId="1BFB8CA2" w14:textId="77777777" w:rsidR="008C5CFA" w:rsidRPr="009143B4" w:rsidRDefault="00E82A60"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Ogółem</w:t>
            </w:r>
          </w:p>
        </w:tc>
        <w:tc>
          <w:tcPr>
            <w:tcW w:w="0" w:type="auto"/>
            <w:shd w:val="clear" w:color="auto" w:fill="auto"/>
          </w:tcPr>
          <w:p w14:paraId="1C4ED0DC" w14:textId="77777777" w:rsidR="008C5CFA" w:rsidRPr="009143B4" w:rsidRDefault="00E82A60"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Mężczyźni</w:t>
            </w:r>
          </w:p>
        </w:tc>
        <w:tc>
          <w:tcPr>
            <w:tcW w:w="0" w:type="auto"/>
            <w:shd w:val="clear" w:color="auto" w:fill="auto"/>
          </w:tcPr>
          <w:p w14:paraId="16AF4FA2" w14:textId="77777777" w:rsidR="008C5CFA" w:rsidRPr="009143B4" w:rsidRDefault="00E82A60"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Kobiety</w:t>
            </w:r>
          </w:p>
        </w:tc>
      </w:tr>
      <w:tr w:rsidR="006B2EC1" w14:paraId="256248A6" w14:textId="77777777" w:rsidTr="0047688D">
        <w:tc>
          <w:tcPr>
            <w:tcW w:w="0" w:type="auto"/>
          </w:tcPr>
          <w:p w14:paraId="21A22C71" w14:textId="77777777" w:rsidR="008C5CFA" w:rsidRPr="0024468B" w:rsidRDefault="00E82A60" w:rsidP="00300A01">
            <w:pPr>
              <w:spacing w:before="0" w:after="0"/>
              <w:rPr>
                <w:sz w:val="16"/>
                <w:szCs w:val="16"/>
                <w:lang w:val="fr-BE"/>
              </w:rPr>
            </w:pPr>
            <w:r>
              <w:rPr>
                <w:noProof/>
                <w:sz w:val="16"/>
                <w:szCs w:val="16"/>
                <w:lang w:val="fr-BE"/>
              </w:rPr>
              <w:t>F</w:t>
            </w:r>
          </w:p>
        </w:tc>
        <w:tc>
          <w:tcPr>
            <w:tcW w:w="0" w:type="auto"/>
            <w:shd w:val="clear" w:color="auto" w:fill="auto"/>
          </w:tcPr>
          <w:p w14:paraId="658FAB56" w14:textId="77777777" w:rsidR="008C5CFA" w:rsidRPr="0024468B" w:rsidRDefault="00E82A60" w:rsidP="00300A01">
            <w:pPr>
              <w:spacing w:before="0" w:after="0"/>
              <w:rPr>
                <w:sz w:val="16"/>
                <w:szCs w:val="16"/>
                <w:lang w:val="fr-BE"/>
              </w:rPr>
            </w:pPr>
            <w:r w:rsidRPr="0024468B">
              <w:rPr>
                <w:noProof/>
                <w:sz w:val="16"/>
                <w:szCs w:val="16"/>
                <w:lang w:val="fr-BE"/>
              </w:rPr>
              <w:t>CO01</w:t>
            </w:r>
          </w:p>
        </w:tc>
        <w:tc>
          <w:tcPr>
            <w:tcW w:w="0" w:type="auto"/>
            <w:shd w:val="clear" w:color="auto" w:fill="auto"/>
          </w:tcPr>
          <w:p w14:paraId="53ACFC99" w14:textId="77777777" w:rsidR="008C5CFA" w:rsidRPr="0024468B" w:rsidRDefault="00E82A60" w:rsidP="00300A01">
            <w:pPr>
              <w:spacing w:before="0" w:after="0"/>
              <w:rPr>
                <w:sz w:val="16"/>
                <w:szCs w:val="16"/>
                <w:lang w:val="fr-BE"/>
              </w:rPr>
            </w:pPr>
            <w:r w:rsidRPr="0024468B">
              <w:rPr>
                <w:noProof/>
                <w:sz w:val="16"/>
                <w:szCs w:val="16"/>
                <w:lang w:val="fr-BE"/>
              </w:rPr>
              <w:t>Inwestycje produkcyjne: liczba przedsiębiorstw otrzymujących wsparcie</w:t>
            </w:r>
          </w:p>
        </w:tc>
        <w:tc>
          <w:tcPr>
            <w:tcW w:w="0" w:type="auto"/>
          </w:tcPr>
          <w:p w14:paraId="2E636B2D"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37135EE9"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7D2CE802"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3ECD8CFD"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6EA68DEA"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069F3935"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r w:rsidR="006B2EC1" w14:paraId="24B502E0" w14:textId="77777777" w:rsidTr="0047688D">
        <w:tc>
          <w:tcPr>
            <w:tcW w:w="0" w:type="auto"/>
          </w:tcPr>
          <w:p w14:paraId="4689CA17" w14:textId="77777777" w:rsidR="008C5CFA" w:rsidRPr="0024468B" w:rsidRDefault="00E82A60" w:rsidP="00300A01">
            <w:pPr>
              <w:spacing w:before="0" w:after="0"/>
              <w:rPr>
                <w:sz w:val="16"/>
                <w:szCs w:val="16"/>
                <w:lang w:val="fr-BE"/>
              </w:rPr>
            </w:pPr>
            <w:r>
              <w:rPr>
                <w:noProof/>
                <w:sz w:val="16"/>
                <w:szCs w:val="16"/>
                <w:lang w:val="fr-BE"/>
              </w:rPr>
              <w:t>S</w:t>
            </w:r>
          </w:p>
        </w:tc>
        <w:tc>
          <w:tcPr>
            <w:tcW w:w="0" w:type="auto"/>
            <w:shd w:val="clear" w:color="auto" w:fill="auto"/>
          </w:tcPr>
          <w:p w14:paraId="2F1AC0A1" w14:textId="77777777" w:rsidR="008C5CFA" w:rsidRPr="0024468B" w:rsidRDefault="00E82A60" w:rsidP="00300A01">
            <w:pPr>
              <w:spacing w:before="0" w:after="0"/>
              <w:rPr>
                <w:sz w:val="16"/>
                <w:szCs w:val="16"/>
                <w:lang w:val="fr-BE"/>
              </w:rPr>
            </w:pPr>
            <w:r w:rsidRPr="0024468B">
              <w:rPr>
                <w:noProof/>
                <w:sz w:val="16"/>
                <w:szCs w:val="16"/>
                <w:lang w:val="fr-BE"/>
              </w:rPr>
              <w:t>CO01</w:t>
            </w:r>
          </w:p>
        </w:tc>
        <w:tc>
          <w:tcPr>
            <w:tcW w:w="0" w:type="auto"/>
            <w:shd w:val="clear" w:color="auto" w:fill="auto"/>
          </w:tcPr>
          <w:p w14:paraId="305CA606" w14:textId="77777777" w:rsidR="008C5CFA" w:rsidRPr="0024468B" w:rsidRDefault="00E82A60" w:rsidP="00300A01">
            <w:pPr>
              <w:spacing w:before="0" w:after="0"/>
              <w:rPr>
                <w:sz w:val="16"/>
                <w:szCs w:val="16"/>
                <w:lang w:val="fr-BE"/>
              </w:rPr>
            </w:pPr>
            <w:r w:rsidRPr="0024468B">
              <w:rPr>
                <w:noProof/>
                <w:sz w:val="16"/>
                <w:szCs w:val="16"/>
                <w:lang w:val="fr-BE"/>
              </w:rPr>
              <w:t>Inwestycje produkcyjne: liczba przedsiębiorstw otrzymujących wsparcie</w:t>
            </w:r>
          </w:p>
        </w:tc>
        <w:tc>
          <w:tcPr>
            <w:tcW w:w="0" w:type="auto"/>
          </w:tcPr>
          <w:p w14:paraId="6D59FD3B"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3054C475"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3F019871"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3B41FC05"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6D6E24E7"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358AB0FF"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r w:rsidR="006B2EC1" w14:paraId="6E368558" w14:textId="77777777" w:rsidTr="0047688D">
        <w:tc>
          <w:tcPr>
            <w:tcW w:w="0" w:type="auto"/>
          </w:tcPr>
          <w:p w14:paraId="4F3C15DA" w14:textId="77777777" w:rsidR="008C5CFA" w:rsidRPr="0024468B" w:rsidRDefault="00E82A60" w:rsidP="00300A01">
            <w:pPr>
              <w:spacing w:before="0" w:after="0"/>
              <w:rPr>
                <w:sz w:val="16"/>
                <w:szCs w:val="16"/>
                <w:lang w:val="fr-BE"/>
              </w:rPr>
            </w:pPr>
            <w:r>
              <w:rPr>
                <w:noProof/>
                <w:sz w:val="16"/>
                <w:szCs w:val="16"/>
                <w:lang w:val="fr-BE"/>
              </w:rPr>
              <w:t>F</w:t>
            </w:r>
          </w:p>
        </w:tc>
        <w:tc>
          <w:tcPr>
            <w:tcW w:w="0" w:type="auto"/>
            <w:shd w:val="clear" w:color="auto" w:fill="auto"/>
          </w:tcPr>
          <w:p w14:paraId="4F1F3B2A" w14:textId="77777777" w:rsidR="008C5CFA" w:rsidRPr="0024468B" w:rsidRDefault="00E82A60" w:rsidP="00300A01">
            <w:pPr>
              <w:spacing w:before="0" w:after="0"/>
              <w:rPr>
                <w:sz w:val="16"/>
                <w:szCs w:val="16"/>
                <w:lang w:val="fr-BE"/>
              </w:rPr>
            </w:pPr>
            <w:r w:rsidRPr="0024468B">
              <w:rPr>
                <w:noProof/>
                <w:sz w:val="16"/>
                <w:szCs w:val="16"/>
                <w:lang w:val="fr-BE"/>
              </w:rPr>
              <w:t>CO04</w:t>
            </w:r>
          </w:p>
        </w:tc>
        <w:tc>
          <w:tcPr>
            <w:tcW w:w="0" w:type="auto"/>
            <w:shd w:val="clear" w:color="auto" w:fill="auto"/>
          </w:tcPr>
          <w:p w14:paraId="7C2D9478" w14:textId="77777777" w:rsidR="008C5CFA" w:rsidRPr="0024468B" w:rsidRDefault="00E82A60" w:rsidP="00300A01">
            <w:pPr>
              <w:spacing w:before="0" w:after="0"/>
              <w:rPr>
                <w:sz w:val="16"/>
                <w:szCs w:val="16"/>
                <w:lang w:val="fr-BE"/>
              </w:rPr>
            </w:pPr>
            <w:r w:rsidRPr="0024468B">
              <w:rPr>
                <w:noProof/>
                <w:sz w:val="16"/>
                <w:szCs w:val="16"/>
                <w:lang w:val="fr-BE"/>
              </w:rPr>
              <w:t>Inwestycje produkcyjne: liczba przedsiębiorstw otrzymujących wsparcie niefinansowe</w:t>
            </w:r>
          </w:p>
        </w:tc>
        <w:tc>
          <w:tcPr>
            <w:tcW w:w="0" w:type="auto"/>
          </w:tcPr>
          <w:p w14:paraId="7BA5B41B"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1EFB5B09"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2BE0190D"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4F2DC4B7"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29E074C7"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22ECB708"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r w:rsidR="006B2EC1" w14:paraId="4091F093" w14:textId="77777777" w:rsidTr="0047688D">
        <w:tc>
          <w:tcPr>
            <w:tcW w:w="0" w:type="auto"/>
          </w:tcPr>
          <w:p w14:paraId="3CA68033" w14:textId="77777777" w:rsidR="008C5CFA" w:rsidRPr="0024468B" w:rsidRDefault="00E82A60" w:rsidP="00300A01">
            <w:pPr>
              <w:spacing w:before="0" w:after="0"/>
              <w:rPr>
                <w:sz w:val="16"/>
                <w:szCs w:val="16"/>
                <w:lang w:val="fr-BE"/>
              </w:rPr>
            </w:pPr>
            <w:r>
              <w:rPr>
                <w:noProof/>
                <w:sz w:val="16"/>
                <w:szCs w:val="16"/>
                <w:lang w:val="fr-BE"/>
              </w:rPr>
              <w:t>S</w:t>
            </w:r>
          </w:p>
        </w:tc>
        <w:tc>
          <w:tcPr>
            <w:tcW w:w="0" w:type="auto"/>
            <w:shd w:val="clear" w:color="auto" w:fill="auto"/>
          </w:tcPr>
          <w:p w14:paraId="5A90E87C" w14:textId="77777777" w:rsidR="008C5CFA" w:rsidRPr="0024468B" w:rsidRDefault="00E82A60" w:rsidP="00300A01">
            <w:pPr>
              <w:spacing w:before="0" w:after="0"/>
              <w:rPr>
                <w:sz w:val="16"/>
                <w:szCs w:val="16"/>
                <w:lang w:val="fr-BE"/>
              </w:rPr>
            </w:pPr>
            <w:r w:rsidRPr="0024468B">
              <w:rPr>
                <w:noProof/>
                <w:sz w:val="16"/>
                <w:szCs w:val="16"/>
                <w:lang w:val="fr-BE"/>
              </w:rPr>
              <w:t>CO04</w:t>
            </w:r>
          </w:p>
        </w:tc>
        <w:tc>
          <w:tcPr>
            <w:tcW w:w="0" w:type="auto"/>
            <w:shd w:val="clear" w:color="auto" w:fill="auto"/>
          </w:tcPr>
          <w:p w14:paraId="0433D396" w14:textId="77777777" w:rsidR="008C5CFA" w:rsidRPr="0024468B" w:rsidRDefault="00E82A60" w:rsidP="00300A01">
            <w:pPr>
              <w:spacing w:before="0" w:after="0"/>
              <w:rPr>
                <w:sz w:val="16"/>
                <w:szCs w:val="16"/>
                <w:lang w:val="fr-BE"/>
              </w:rPr>
            </w:pPr>
            <w:r w:rsidRPr="0024468B">
              <w:rPr>
                <w:noProof/>
                <w:sz w:val="16"/>
                <w:szCs w:val="16"/>
                <w:lang w:val="fr-BE"/>
              </w:rPr>
              <w:t>Inwestycje produkcyjne: liczba przedsiębiorstw otrzymujących wsparcie niefinansowe</w:t>
            </w:r>
          </w:p>
        </w:tc>
        <w:tc>
          <w:tcPr>
            <w:tcW w:w="0" w:type="auto"/>
          </w:tcPr>
          <w:p w14:paraId="5348E29B"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2E2A283B"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225623B2"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5DA42959"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7DD31252"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2572CF93"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bl>
    <w:p w14:paraId="39C71DC1" w14:textId="77777777" w:rsidR="008C5CFA" w:rsidRDefault="008C5CFA" w:rsidP="00300A01">
      <w:pPr>
        <w:spacing w:before="0" w:after="0"/>
        <w:rPr>
          <w:lang w:val="fr-BE"/>
        </w:rPr>
      </w:pPr>
    </w:p>
    <w:p w14:paraId="26CD539A" w14:textId="77777777" w:rsidR="008C5CFA" w:rsidRDefault="008C5CFA" w:rsidP="00300A01">
      <w:pPr>
        <w:spacing w:before="0" w:after="0"/>
        <w:rPr>
          <w:lang w:val="fr-BE"/>
        </w:rPr>
      </w:pPr>
    </w:p>
    <w:p w14:paraId="2E0CF04C" w14:textId="77777777" w:rsidR="008C5CFA" w:rsidRDefault="00E82A60" w:rsidP="00300A01">
      <w:pPr>
        <w:spacing w:before="0" w:after="0"/>
        <w:rPr>
          <w:lang w:val="fr-BE"/>
        </w:rPr>
      </w:pPr>
      <w:r>
        <w:rPr>
          <w:lang w:val="fr-BE"/>
        </w:rPr>
        <w:br w:type="page"/>
      </w:r>
    </w:p>
    <w:p w14:paraId="416B53AC"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7"/>
        <w:gridCol w:w="12577"/>
      </w:tblGrid>
      <w:tr w:rsidR="006B2EC1" w14:paraId="36057118" w14:textId="77777777" w:rsidTr="0047688D">
        <w:tc>
          <w:tcPr>
            <w:tcW w:w="0" w:type="auto"/>
            <w:shd w:val="clear" w:color="auto" w:fill="auto"/>
          </w:tcPr>
          <w:p w14:paraId="4D75D2F0" w14:textId="77777777" w:rsidR="008C5CFA" w:rsidRPr="002124FC" w:rsidRDefault="00E82A60" w:rsidP="00300A01">
            <w:pPr>
              <w:spacing w:before="0" w:after="0"/>
              <w:rPr>
                <w:sz w:val="20"/>
                <w:szCs w:val="20"/>
                <w:lang w:val="fr-BE"/>
              </w:rPr>
            </w:pPr>
            <w:r>
              <w:rPr>
                <w:lang w:val="fr-BE"/>
              </w:rPr>
              <w:br w:type="page"/>
            </w:r>
            <w:r>
              <w:rPr>
                <w:lang w:val="fr-BE"/>
              </w:rPr>
              <w:br w:type="page"/>
            </w:r>
            <w:r>
              <w:rPr>
                <w:lang w:val="fr-BE"/>
              </w:rPr>
              <w:br w:type="page"/>
            </w:r>
            <w:r w:rsidRPr="002124FC">
              <w:rPr>
                <w:noProof/>
                <w:sz w:val="20"/>
                <w:szCs w:val="20"/>
                <w:lang w:val="fr-BE"/>
              </w:rPr>
              <w:t>Oś priorytetowa</w:t>
            </w:r>
          </w:p>
        </w:tc>
        <w:tc>
          <w:tcPr>
            <w:tcW w:w="0" w:type="auto"/>
            <w:shd w:val="clear" w:color="auto" w:fill="auto"/>
          </w:tcPr>
          <w:p w14:paraId="3C2A18C7" w14:textId="77777777" w:rsidR="008C5CFA" w:rsidRPr="002124FC" w:rsidRDefault="00E82A60" w:rsidP="00300A01">
            <w:pPr>
              <w:spacing w:before="0" w:after="0"/>
              <w:rPr>
                <w:sz w:val="20"/>
                <w:szCs w:val="20"/>
                <w:lang w:val="fr-BE"/>
              </w:rPr>
            </w:pPr>
            <w:r>
              <w:rPr>
                <w:noProof/>
                <w:sz w:val="20"/>
                <w:szCs w:val="20"/>
                <w:lang w:val="fr-BE"/>
              </w:rPr>
              <w:t>2</w:t>
            </w:r>
            <w:r w:rsidRPr="002124FC">
              <w:rPr>
                <w:sz w:val="20"/>
                <w:szCs w:val="20"/>
                <w:lang w:val="fr-BE"/>
              </w:rPr>
              <w:t xml:space="preserve"> - </w:t>
            </w:r>
            <w:r>
              <w:rPr>
                <w:noProof/>
                <w:sz w:val="20"/>
                <w:szCs w:val="20"/>
                <w:lang w:val="fr-BE"/>
              </w:rPr>
              <w:t>Konkurencyjna gospodarka</w:t>
            </w:r>
          </w:p>
        </w:tc>
      </w:tr>
      <w:tr w:rsidR="006B2EC1" w14:paraId="751AF357" w14:textId="77777777" w:rsidTr="0047688D">
        <w:tc>
          <w:tcPr>
            <w:tcW w:w="0" w:type="auto"/>
            <w:shd w:val="clear" w:color="auto" w:fill="auto"/>
          </w:tcPr>
          <w:p w14:paraId="09D087A7" w14:textId="77777777" w:rsidR="008C5CFA" w:rsidRPr="002124FC" w:rsidRDefault="00E82A60"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14:paraId="1FF0D4A8" w14:textId="77777777" w:rsidR="008C5CFA" w:rsidRPr="002124FC" w:rsidRDefault="00E82A60" w:rsidP="00300A01">
            <w:pPr>
              <w:spacing w:before="0" w:after="0"/>
              <w:rPr>
                <w:sz w:val="20"/>
                <w:szCs w:val="20"/>
                <w:lang w:val="fr-BE"/>
              </w:rPr>
            </w:pPr>
            <w:r w:rsidRPr="002124FC">
              <w:rPr>
                <w:noProof/>
                <w:sz w:val="20"/>
                <w:szCs w:val="20"/>
                <w:lang w:val="fr-BE"/>
              </w:rPr>
              <w:t>3b</w:t>
            </w:r>
            <w:r w:rsidRPr="002124FC">
              <w:rPr>
                <w:sz w:val="20"/>
                <w:szCs w:val="20"/>
                <w:lang w:val="fr-BE"/>
              </w:rPr>
              <w:t xml:space="preserve"> - </w:t>
            </w:r>
            <w:r>
              <w:rPr>
                <w:noProof/>
                <w:sz w:val="20"/>
                <w:szCs w:val="20"/>
                <w:lang w:val="fr-BE"/>
              </w:rPr>
              <w:t>Opracowywanie i wdrażanie nowych modeli biznesowych dla MŚP, w szczególności w celu umiędzynarodowienia</w:t>
            </w:r>
          </w:p>
        </w:tc>
      </w:tr>
      <w:tr w:rsidR="006B2EC1" w14:paraId="1E654A4A" w14:textId="77777777" w:rsidTr="0047688D">
        <w:tc>
          <w:tcPr>
            <w:tcW w:w="0" w:type="auto"/>
            <w:shd w:val="clear" w:color="auto" w:fill="auto"/>
          </w:tcPr>
          <w:p w14:paraId="25F6474B" w14:textId="77777777" w:rsidR="008C5CFA" w:rsidRPr="002124FC" w:rsidRDefault="00E82A60" w:rsidP="00300A01">
            <w:pPr>
              <w:spacing w:before="0" w:after="0"/>
              <w:ind w:left="113" w:hanging="113"/>
              <w:rPr>
                <w:sz w:val="20"/>
                <w:szCs w:val="20"/>
                <w:lang w:val="fr-BE"/>
              </w:rPr>
            </w:pPr>
            <w:r>
              <w:rPr>
                <w:noProof/>
                <w:sz w:val="20"/>
                <w:szCs w:val="20"/>
                <w:lang w:val="fr-BE"/>
              </w:rPr>
              <w:t>Cel szczegółowy</w:t>
            </w:r>
          </w:p>
        </w:tc>
        <w:tc>
          <w:tcPr>
            <w:tcW w:w="0" w:type="auto"/>
            <w:shd w:val="clear" w:color="auto" w:fill="auto"/>
          </w:tcPr>
          <w:p w14:paraId="7419D74B" w14:textId="77777777" w:rsidR="008C5CFA" w:rsidRPr="002124FC" w:rsidRDefault="00E82A60" w:rsidP="00300A01">
            <w:pPr>
              <w:spacing w:before="0" w:after="0"/>
              <w:rPr>
                <w:sz w:val="20"/>
                <w:szCs w:val="20"/>
                <w:lang w:val="fr-BE"/>
              </w:rPr>
            </w:pPr>
            <w:r>
              <w:rPr>
                <w:noProof/>
                <w:sz w:val="20"/>
                <w:szCs w:val="20"/>
                <w:lang w:val="fr-BE"/>
              </w:rPr>
              <w:t>1</w:t>
            </w:r>
            <w:r>
              <w:rPr>
                <w:sz w:val="20"/>
                <w:szCs w:val="20"/>
                <w:lang w:val="fr-BE"/>
              </w:rPr>
              <w:t xml:space="preserve"> - </w:t>
            </w:r>
            <w:r>
              <w:rPr>
                <w:noProof/>
                <w:sz w:val="20"/>
                <w:szCs w:val="20"/>
                <w:lang w:val="fr-BE"/>
              </w:rPr>
              <w:t>Podniesienie potencjału eksportowego MŚP i ich aktywności na rynkach zagranicznych.</w:t>
            </w:r>
          </w:p>
        </w:tc>
      </w:tr>
    </w:tbl>
    <w:p w14:paraId="2EDFBE0B" w14:textId="77777777" w:rsidR="008C5CFA" w:rsidRDefault="008C5CFA" w:rsidP="00300A01">
      <w:pPr>
        <w:spacing w:before="0" w:after="0"/>
        <w:rPr>
          <w:lang w:val="fr-BE"/>
        </w:rPr>
      </w:pPr>
    </w:p>
    <w:p w14:paraId="588A7892" w14:textId="77777777" w:rsidR="008C5CFA" w:rsidRDefault="00E82A60" w:rsidP="00300A01">
      <w:pPr>
        <w:spacing w:before="0" w:after="0"/>
        <w:rPr>
          <w:lang w:val="fr-BE"/>
        </w:rPr>
      </w:pPr>
      <w:r>
        <w:rPr>
          <w:lang w:val="fr-BE"/>
        </w:rPr>
        <w:t xml:space="preserve">Tabela 1: Wskaźniki rezultatu dla EFRR i Funduszu Spójności (według osi priorytetowej i celu szczegółowego); ma zastosowanie także do osi priorytetowej </w:t>
      </w:r>
      <w:r>
        <w:t>"</w:t>
      </w:r>
      <w:r>
        <w:rPr>
          <w:lang w:val="fr-BE"/>
        </w:rPr>
        <w:t>Pomoc techniczna</w:t>
      </w:r>
      <w:r>
        <w:t>"</w:t>
      </w:r>
    </w:p>
    <w:p w14:paraId="53406B4E"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2397"/>
        <w:gridCol w:w="1561"/>
        <w:gridCol w:w="1704"/>
        <w:gridCol w:w="1582"/>
        <w:gridCol w:w="1264"/>
        <w:gridCol w:w="2183"/>
        <w:gridCol w:w="1506"/>
        <w:gridCol w:w="1627"/>
        <w:gridCol w:w="796"/>
      </w:tblGrid>
      <w:tr w:rsidR="006B2EC1" w14:paraId="51587E4D" w14:textId="77777777" w:rsidTr="0047688D">
        <w:tc>
          <w:tcPr>
            <w:tcW w:w="0" w:type="auto"/>
            <w:shd w:val="clear" w:color="auto" w:fill="auto"/>
          </w:tcPr>
          <w:p w14:paraId="6961693F" w14:textId="77777777" w:rsidR="008C5CFA" w:rsidRPr="0024468B" w:rsidRDefault="00E82A60" w:rsidP="00300A01">
            <w:pPr>
              <w:spacing w:before="0" w:after="0"/>
              <w:rPr>
                <w:sz w:val="16"/>
                <w:szCs w:val="16"/>
                <w:lang w:val="fr-BE"/>
              </w:rPr>
            </w:pPr>
            <w:r w:rsidRPr="0024468B">
              <w:rPr>
                <w:noProof/>
                <w:sz w:val="16"/>
                <w:szCs w:val="16"/>
                <w:lang w:val="fr-BE"/>
              </w:rPr>
              <w:t>ID</w:t>
            </w:r>
          </w:p>
        </w:tc>
        <w:tc>
          <w:tcPr>
            <w:tcW w:w="0" w:type="auto"/>
            <w:shd w:val="clear" w:color="auto" w:fill="auto"/>
          </w:tcPr>
          <w:p w14:paraId="590F94E4" w14:textId="77777777" w:rsidR="008C5CFA" w:rsidRPr="0024468B" w:rsidRDefault="00E82A60" w:rsidP="00300A01">
            <w:pPr>
              <w:spacing w:before="0" w:after="0"/>
              <w:rPr>
                <w:sz w:val="16"/>
                <w:szCs w:val="16"/>
                <w:lang w:val="fr-BE"/>
              </w:rPr>
            </w:pPr>
            <w:r w:rsidRPr="0024468B">
              <w:rPr>
                <w:noProof/>
                <w:sz w:val="16"/>
                <w:szCs w:val="16"/>
                <w:lang w:val="fr-BE"/>
              </w:rPr>
              <w:t>Wskaźnik</w:t>
            </w:r>
          </w:p>
        </w:tc>
        <w:tc>
          <w:tcPr>
            <w:tcW w:w="0" w:type="auto"/>
            <w:shd w:val="clear" w:color="auto" w:fill="auto"/>
          </w:tcPr>
          <w:p w14:paraId="45CFC419" w14:textId="77777777" w:rsidR="008C5CFA" w:rsidRPr="0024468B" w:rsidRDefault="00E82A60" w:rsidP="00300A01">
            <w:pPr>
              <w:spacing w:before="0" w:after="0"/>
              <w:rPr>
                <w:sz w:val="16"/>
                <w:szCs w:val="16"/>
                <w:lang w:val="fr-BE"/>
              </w:rPr>
            </w:pPr>
            <w:r w:rsidRPr="0024468B">
              <w:rPr>
                <w:noProof/>
                <w:sz w:val="16"/>
                <w:szCs w:val="16"/>
                <w:lang w:val="fr-BE"/>
              </w:rPr>
              <w:t>Jednostka miary</w:t>
            </w:r>
          </w:p>
        </w:tc>
        <w:tc>
          <w:tcPr>
            <w:tcW w:w="0" w:type="auto"/>
            <w:shd w:val="clear" w:color="auto" w:fill="auto"/>
          </w:tcPr>
          <w:p w14:paraId="4EA2C1AE" w14:textId="77777777" w:rsidR="008C5CFA" w:rsidRPr="0024468B" w:rsidRDefault="00E82A60" w:rsidP="00300A01">
            <w:pPr>
              <w:spacing w:before="0" w:after="0"/>
              <w:rPr>
                <w:sz w:val="16"/>
                <w:szCs w:val="16"/>
                <w:lang w:val="fr-BE"/>
              </w:rPr>
            </w:pPr>
            <w:r w:rsidRPr="0024468B">
              <w:rPr>
                <w:noProof/>
                <w:sz w:val="16"/>
                <w:szCs w:val="16"/>
                <w:lang w:val="fr-BE"/>
              </w:rPr>
              <w:t>Kategoria regionu</w:t>
            </w:r>
          </w:p>
        </w:tc>
        <w:tc>
          <w:tcPr>
            <w:tcW w:w="0" w:type="auto"/>
            <w:shd w:val="clear" w:color="auto" w:fill="auto"/>
          </w:tcPr>
          <w:p w14:paraId="54ED1ECE" w14:textId="77777777" w:rsidR="008C5CFA" w:rsidRPr="0024468B" w:rsidRDefault="00E82A60" w:rsidP="00300A01">
            <w:pPr>
              <w:spacing w:before="0" w:after="0"/>
              <w:rPr>
                <w:sz w:val="16"/>
                <w:szCs w:val="16"/>
                <w:lang w:val="fr-BE"/>
              </w:rPr>
            </w:pPr>
            <w:r w:rsidRPr="0024468B">
              <w:rPr>
                <w:noProof/>
                <w:sz w:val="16"/>
                <w:szCs w:val="16"/>
                <w:lang w:val="fr-BE"/>
              </w:rPr>
              <w:t>Wartość bazowa</w:t>
            </w:r>
          </w:p>
        </w:tc>
        <w:tc>
          <w:tcPr>
            <w:tcW w:w="0" w:type="auto"/>
            <w:shd w:val="clear" w:color="auto" w:fill="auto"/>
          </w:tcPr>
          <w:p w14:paraId="27C3A293" w14:textId="77777777" w:rsidR="008C5CFA" w:rsidRPr="0024468B" w:rsidRDefault="00E82A60" w:rsidP="00300A01">
            <w:pPr>
              <w:spacing w:before="0" w:after="0"/>
              <w:rPr>
                <w:sz w:val="16"/>
                <w:szCs w:val="16"/>
                <w:lang w:val="fr-BE"/>
              </w:rPr>
            </w:pPr>
            <w:r w:rsidRPr="0024468B">
              <w:rPr>
                <w:noProof/>
                <w:sz w:val="16"/>
                <w:szCs w:val="16"/>
                <w:lang w:val="fr-BE"/>
              </w:rPr>
              <w:t>Rok bazowy</w:t>
            </w:r>
          </w:p>
        </w:tc>
        <w:tc>
          <w:tcPr>
            <w:tcW w:w="0" w:type="auto"/>
            <w:shd w:val="clear" w:color="auto" w:fill="auto"/>
          </w:tcPr>
          <w:p w14:paraId="17409DCC" w14:textId="77777777" w:rsidR="008C5CFA" w:rsidRPr="0024468B" w:rsidRDefault="00E82A60" w:rsidP="00300A01">
            <w:pPr>
              <w:spacing w:before="0" w:after="0"/>
              <w:rPr>
                <w:sz w:val="16"/>
                <w:szCs w:val="16"/>
                <w:lang w:val="fr-BE"/>
              </w:rPr>
            </w:pPr>
            <w:r w:rsidRPr="0024468B">
              <w:rPr>
                <w:noProof/>
                <w:sz w:val="16"/>
                <w:szCs w:val="16"/>
                <w:lang w:val="fr-BE"/>
              </w:rPr>
              <w:t>Wartość docelowa 2023</w:t>
            </w:r>
          </w:p>
        </w:tc>
        <w:tc>
          <w:tcPr>
            <w:tcW w:w="0" w:type="auto"/>
            <w:shd w:val="clear" w:color="auto" w:fill="auto"/>
          </w:tcPr>
          <w:p w14:paraId="24F25E06" w14:textId="77777777" w:rsidR="008C5CFA" w:rsidRPr="0024468B" w:rsidRDefault="00E82A60" w:rsidP="00300A01">
            <w:pPr>
              <w:spacing w:before="0" w:after="0"/>
              <w:jc w:val="center"/>
              <w:rPr>
                <w:sz w:val="16"/>
                <w:szCs w:val="16"/>
                <w:lang w:val="fr-BE"/>
              </w:rPr>
            </w:pPr>
            <w:r>
              <w:rPr>
                <w:sz w:val="16"/>
                <w:szCs w:val="16"/>
                <w:lang w:val="fr-BE"/>
              </w:rPr>
              <w:t xml:space="preserve">2019 </w:t>
            </w:r>
            <w:r>
              <w:rPr>
                <w:noProof/>
                <w:sz w:val="16"/>
                <w:szCs w:val="16"/>
                <w:lang w:val="fr-BE"/>
              </w:rPr>
              <w:t>Ogółem</w:t>
            </w:r>
          </w:p>
        </w:tc>
        <w:tc>
          <w:tcPr>
            <w:tcW w:w="0" w:type="auto"/>
            <w:shd w:val="clear" w:color="auto" w:fill="auto"/>
          </w:tcPr>
          <w:p w14:paraId="010DC787" w14:textId="77777777" w:rsidR="008C5CFA" w:rsidRPr="0024468B" w:rsidRDefault="00E82A60" w:rsidP="00300A01">
            <w:pPr>
              <w:spacing w:before="0" w:after="0"/>
              <w:jc w:val="center"/>
              <w:rPr>
                <w:sz w:val="16"/>
                <w:szCs w:val="16"/>
                <w:lang w:val="fr-BE"/>
              </w:rPr>
            </w:pPr>
            <w:r>
              <w:rPr>
                <w:sz w:val="16"/>
                <w:szCs w:val="16"/>
                <w:lang w:val="fr-BE"/>
              </w:rPr>
              <w:t xml:space="preserve">2019 </w:t>
            </w:r>
            <w:r w:rsidRPr="0024468B">
              <w:rPr>
                <w:noProof/>
                <w:sz w:val="16"/>
                <w:szCs w:val="16"/>
                <w:lang w:val="fr-BE"/>
              </w:rPr>
              <w:t>Jakościowe</w:t>
            </w:r>
          </w:p>
        </w:tc>
        <w:tc>
          <w:tcPr>
            <w:tcW w:w="0" w:type="auto"/>
            <w:shd w:val="clear" w:color="auto" w:fill="auto"/>
          </w:tcPr>
          <w:p w14:paraId="08AC3421" w14:textId="77777777" w:rsidR="008C5CFA" w:rsidRPr="0024468B" w:rsidRDefault="00E82A60" w:rsidP="00300A01">
            <w:pPr>
              <w:spacing w:before="0" w:after="0"/>
              <w:jc w:val="center"/>
              <w:rPr>
                <w:sz w:val="16"/>
                <w:szCs w:val="16"/>
                <w:lang w:val="fr-BE"/>
              </w:rPr>
            </w:pPr>
            <w:r w:rsidRPr="0024468B">
              <w:rPr>
                <w:noProof/>
                <w:sz w:val="16"/>
                <w:szCs w:val="16"/>
                <w:lang w:val="fr-BE"/>
              </w:rPr>
              <w:t>Uwagi</w:t>
            </w:r>
          </w:p>
        </w:tc>
      </w:tr>
      <w:tr w:rsidR="006B2EC1" w14:paraId="0FE346F6" w14:textId="77777777" w:rsidTr="0047688D">
        <w:tc>
          <w:tcPr>
            <w:tcW w:w="0" w:type="auto"/>
            <w:shd w:val="clear" w:color="auto" w:fill="auto"/>
          </w:tcPr>
          <w:p w14:paraId="4AF22AAC" w14:textId="77777777" w:rsidR="008C5CFA" w:rsidRPr="0024468B" w:rsidRDefault="00E82A60" w:rsidP="00300A01">
            <w:pPr>
              <w:spacing w:before="0" w:after="0"/>
              <w:rPr>
                <w:sz w:val="16"/>
                <w:szCs w:val="16"/>
                <w:lang w:val="fr-BE"/>
              </w:rPr>
            </w:pPr>
            <w:r w:rsidRPr="0024468B">
              <w:rPr>
                <w:noProof/>
                <w:sz w:val="16"/>
                <w:szCs w:val="16"/>
                <w:lang w:val="fr-BE"/>
              </w:rPr>
              <w:t>148</w:t>
            </w:r>
          </w:p>
        </w:tc>
        <w:tc>
          <w:tcPr>
            <w:tcW w:w="0" w:type="auto"/>
            <w:shd w:val="clear" w:color="auto" w:fill="auto"/>
          </w:tcPr>
          <w:p w14:paraId="475BF0C9" w14:textId="77777777" w:rsidR="008C5CFA" w:rsidRPr="0024468B" w:rsidRDefault="00E82A60" w:rsidP="00300A01">
            <w:pPr>
              <w:spacing w:before="0" w:after="0"/>
              <w:rPr>
                <w:sz w:val="16"/>
                <w:szCs w:val="16"/>
                <w:lang w:val="fr-BE"/>
              </w:rPr>
            </w:pPr>
            <w:r w:rsidRPr="0024468B">
              <w:rPr>
                <w:noProof/>
                <w:sz w:val="16"/>
                <w:szCs w:val="16"/>
                <w:lang w:val="fr-BE"/>
              </w:rPr>
              <w:t>Wartość eksportu dla MŚP</w:t>
            </w:r>
          </w:p>
        </w:tc>
        <w:tc>
          <w:tcPr>
            <w:tcW w:w="0" w:type="auto"/>
            <w:shd w:val="clear" w:color="auto" w:fill="auto"/>
          </w:tcPr>
          <w:p w14:paraId="2D3122DE" w14:textId="77777777" w:rsidR="008C5CFA" w:rsidRPr="0024468B" w:rsidRDefault="00E82A60" w:rsidP="00300A01">
            <w:pPr>
              <w:spacing w:before="0" w:after="0"/>
              <w:rPr>
                <w:sz w:val="16"/>
                <w:szCs w:val="16"/>
                <w:lang w:val="fr-BE"/>
              </w:rPr>
            </w:pPr>
            <w:r w:rsidRPr="0024468B">
              <w:rPr>
                <w:noProof/>
                <w:sz w:val="16"/>
                <w:szCs w:val="16"/>
                <w:lang w:val="fr-BE"/>
              </w:rPr>
              <w:t>PLN</w:t>
            </w:r>
          </w:p>
        </w:tc>
        <w:tc>
          <w:tcPr>
            <w:tcW w:w="0" w:type="auto"/>
            <w:shd w:val="clear" w:color="auto" w:fill="auto"/>
          </w:tcPr>
          <w:p w14:paraId="51135BF0" w14:textId="77777777" w:rsidR="008C5CFA" w:rsidRPr="0024468B" w:rsidRDefault="00E82A60"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14:paraId="6EBAF65A" w14:textId="77777777" w:rsidR="008C5CFA" w:rsidRPr="00C3185A" w:rsidRDefault="00E82A60" w:rsidP="00300A01">
            <w:pPr>
              <w:spacing w:before="0" w:after="0"/>
              <w:jc w:val="right"/>
              <w:rPr>
                <w:sz w:val="16"/>
                <w:szCs w:val="16"/>
                <w:lang w:val="fr-BE"/>
              </w:rPr>
            </w:pPr>
            <w:r w:rsidRPr="00C3185A">
              <w:rPr>
                <w:noProof/>
                <w:sz w:val="16"/>
                <w:szCs w:val="16"/>
                <w:lang w:val="fr-BE"/>
              </w:rPr>
              <w:t>681 000,00</w:t>
            </w:r>
          </w:p>
        </w:tc>
        <w:tc>
          <w:tcPr>
            <w:tcW w:w="0" w:type="auto"/>
            <w:shd w:val="clear" w:color="auto" w:fill="auto"/>
          </w:tcPr>
          <w:p w14:paraId="1589D7AE" w14:textId="77777777" w:rsidR="008C5CFA" w:rsidRPr="0024468B" w:rsidRDefault="00E82A60" w:rsidP="00300A01">
            <w:pPr>
              <w:spacing w:before="0" w:after="0"/>
              <w:rPr>
                <w:sz w:val="16"/>
                <w:szCs w:val="16"/>
                <w:lang w:val="fr-BE"/>
              </w:rPr>
            </w:pPr>
            <w:r w:rsidRPr="0024468B">
              <w:rPr>
                <w:noProof/>
                <w:sz w:val="16"/>
                <w:szCs w:val="16"/>
                <w:lang w:val="fr-BE"/>
              </w:rPr>
              <w:t>2013</w:t>
            </w:r>
          </w:p>
        </w:tc>
        <w:tc>
          <w:tcPr>
            <w:tcW w:w="0" w:type="auto"/>
            <w:shd w:val="clear" w:color="auto" w:fill="auto"/>
          </w:tcPr>
          <w:p w14:paraId="6423E0C9" w14:textId="77777777" w:rsidR="008C5CFA" w:rsidRPr="0024468B" w:rsidRDefault="00E82A60" w:rsidP="00300A01">
            <w:pPr>
              <w:spacing w:before="0" w:after="0"/>
              <w:jc w:val="right"/>
              <w:rPr>
                <w:sz w:val="16"/>
                <w:szCs w:val="16"/>
                <w:lang w:val="fr-BE"/>
              </w:rPr>
            </w:pPr>
            <w:r w:rsidRPr="0024468B">
              <w:rPr>
                <w:noProof/>
                <w:sz w:val="16"/>
                <w:szCs w:val="16"/>
                <w:lang w:val="fr-BE"/>
              </w:rPr>
              <w:t>785 000,00</w:t>
            </w:r>
          </w:p>
        </w:tc>
        <w:tc>
          <w:tcPr>
            <w:tcW w:w="0" w:type="auto"/>
            <w:shd w:val="clear" w:color="auto" w:fill="auto"/>
          </w:tcPr>
          <w:p w14:paraId="4F737029" w14:textId="77777777" w:rsidR="008C5CFA" w:rsidRPr="0024468B" w:rsidRDefault="00E82A60" w:rsidP="00300A01">
            <w:pPr>
              <w:spacing w:before="0" w:after="0"/>
              <w:jc w:val="right"/>
              <w:rPr>
                <w:sz w:val="16"/>
                <w:szCs w:val="16"/>
                <w:lang w:val="fr-BE"/>
              </w:rPr>
            </w:pPr>
            <w:r w:rsidRPr="0024468B">
              <w:rPr>
                <w:noProof/>
                <w:sz w:val="16"/>
                <w:szCs w:val="16"/>
                <w:lang w:val="fr-BE"/>
              </w:rPr>
              <w:t>857 686 966,00</w:t>
            </w:r>
          </w:p>
        </w:tc>
        <w:tc>
          <w:tcPr>
            <w:tcW w:w="0" w:type="auto"/>
            <w:shd w:val="clear" w:color="auto" w:fill="auto"/>
          </w:tcPr>
          <w:p w14:paraId="1AA2B960" w14:textId="77777777" w:rsidR="008C5CFA" w:rsidRPr="0024468B" w:rsidRDefault="008C5CFA" w:rsidP="00300A01">
            <w:pPr>
              <w:spacing w:before="0" w:after="0"/>
              <w:jc w:val="right"/>
              <w:rPr>
                <w:sz w:val="16"/>
                <w:szCs w:val="16"/>
                <w:lang w:val="fr-BE"/>
              </w:rPr>
            </w:pPr>
          </w:p>
        </w:tc>
        <w:tc>
          <w:tcPr>
            <w:tcW w:w="0" w:type="auto"/>
            <w:shd w:val="clear" w:color="auto" w:fill="auto"/>
          </w:tcPr>
          <w:p w14:paraId="6FAE619A" w14:textId="77777777" w:rsidR="008C5CFA" w:rsidRPr="0024468B" w:rsidRDefault="008C5CFA" w:rsidP="00300A01">
            <w:pPr>
              <w:spacing w:before="0" w:after="0"/>
              <w:rPr>
                <w:sz w:val="16"/>
                <w:szCs w:val="16"/>
                <w:lang w:val="fr-BE"/>
              </w:rPr>
            </w:pPr>
          </w:p>
        </w:tc>
      </w:tr>
    </w:tbl>
    <w:p w14:paraId="1D260224"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
        <w:gridCol w:w="2348"/>
        <w:gridCol w:w="1476"/>
        <w:gridCol w:w="1595"/>
        <w:gridCol w:w="1476"/>
        <w:gridCol w:w="1595"/>
        <w:gridCol w:w="1476"/>
        <w:gridCol w:w="1595"/>
        <w:gridCol w:w="1476"/>
        <w:gridCol w:w="1595"/>
      </w:tblGrid>
      <w:tr w:rsidR="006B2EC1" w14:paraId="603A2A87" w14:textId="77777777" w:rsidTr="0047688D">
        <w:tc>
          <w:tcPr>
            <w:tcW w:w="0" w:type="auto"/>
            <w:shd w:val="clear" w:color="auto" w:fill="auto"/>
          </w:tcPr>
          <w:p w14:paraId="562CF073" w14:textId="77777777" w:rsidR="008C5CFA" w:rsidRPr="0024468B" w:rsidRDefault="00E82A60" w:rsidP="00300A01">
            <w:pPr>
              <w:spacing w:before="0" w:after="0"/>
              <w:rPr>
                <w:sz w:val="16"/>
                <w:szCs w:val="16"/>
                <w:lang w:val="fr-BE"/>
              </w:rPr>
            </w:pPr>
            <w:r w:rsidRPr="0024468B">
              <w:rPr>
                <w:noProof/>
                <w:sz w:val="16"/>
                <w:szCs w:val="16"/>
                <w:lang w:val="fr-BE"/>
              </w:rPr>
              <w:t>ID</w:t>
            </w:r>
          </w:p>
        </w:tc>
        <w:tc>
          <w:tcPr>
            <w:tcW w:w="0" w:type="auto"/>
            <w:shd w:val="clear" w:color="auto" w:fill="auto"/>
          </w:tcPr>
          <w:p w14:paraId="15114FA9" w14:textId="77777777" w:rsidR="008C5CFA" w:rsidRPr="0024468B" w:rsidRDefault="00E82A60" w:rsidP="00300A01">
            <w:pPr>
              <w:spacing w:before="0" w:after="0"/>
              <w:rPr>
                <w:sz w:val="16"/>
                <w:szCs w:val="16"/>
                <w:lang w:val="fr-BE"/>
              </w:rPr>
            </w:pPr>
            <w:r w:rsidRPr="0024468B">
              <w:rPr>
                <w:noProof/>
                <w:sz w:val="16"/>
                <w:szCs w:val="16"/>
                <w:lang w:val="fr-BE"/>
              </w:rPr>
              <w:t>Wskaźnik</w:t>
            </w:r>
          </w:p>
        </w:tc>
        <w:tc>
          <w:tcPr>
            <w:tcW w:w="0" w:type="auto"/>
          </w:tcPr>
          <w:p w14:paraId="5429BEBD" w14:textId="77777777" w:rsidR="008C5CFA" w:rsidRPr="0024468B" w:rsidRDefault="00E82A60" w:rsidP="00300A01">
            <w:pPr>
              <w:spacing w:before="0" w:after="0"/>
              <w:jc w:val="center"/>
              <w:rPr>
                <w:sz w:val="16"/>
                <w:szCs w:val="16"/>
                <w:lang w:val="fr-BE"/>
              </w:rPr>
            </w:pPr>
            <w:r>
              <w:rPr>
                <w:sz w:val="16"/>
                <w:szCs w:val="16"/>
                <w:lang w:val="fr-BE"/>
              </w:rPr>
              <w:t xml:space="preserve">2018 </w:t>
            </w:r>
            <w:r>
              <w:rPr>
                <w:noProof/>
                <w:sz w:val="16"/>
                <w:szCs w:val="16"/>
                <w:lang w:val="fr-BE"/>
              </w:rPr>
              <w:t>Ogółem</w:t>
            </w:r>
          </w:p>
        </w:tc>
        <w:tc>
          <w:tcPr>
            <w:tcW w:w="0" w:type="auto"/>
          </w:tcPr>
          <w:p w14:paraId="60874947" w14:textId="77777777" w:rsidR="008C5CFA" w:rsidRPr="0024468B" w:rsidRDefault="00E82A60" w:rsidP="00300A01">
            <w:pPr>
              <w:spacing w:before="0" w:after="0"/>
              <w:jc w:val="center"/>
              <w:rPr>
                <w:sz w:val="16"/>
                <w:szCs w:val="16"/>
                <w:lang w:val="fr-BE"/>
              </w:rPr>
            </w:pPr>
            <w:r>
              <w:rPr>
                <w:sz w:val="16"/>
                <w:szCs w:val="16"/>
                <w:lang w:val="fr-BE"/>
              </w:rPr>
              <w:t xml:space="preserve">2018 </w:t>
            </w:r>
            <w:r w:rsidRPr="0024468B">
              <w:rPr>
                <w:noProof/>
                <w:sz w:val="16"/>
                <w:szCs w:val="16"/>
                <w:lang w:val="fr-BE"/>
              </w:rPr>
              <w:t>Jakościowe</w:t>
            </w:r>
          </w:p>
        </w:tc>
        <w:tc>
          <w:tcPr>
            <w:tcW w:w="0" w:type="auto"/>
          </w:tcPr>
          <w:p w14:paraId="411302DB" w14:textId="77777777" w:rsidR="008C5CFA" w:rsidRPr="0024468B" w:rsidRDefault="00E82A60" w:rsidP="00300A01">
            <w:pPr>
              <w:spacing w:before="0" w:after="0"/>
              <w:jc w:val="center"/>
              <w:rPr>
                <w:sz w:val="16"/>
                <w:szCs w:val="16"/>
                <w:lang w:val="fr-BE"/>
              </w:rPr>
            </w:pPr>
            <w:r>
              <w:rPr>
                <w:sz w:val="16"/>
                <w:szCs w:val="16"/>
                <w:lang w:val="fr-BE"/>
              </w:rPr>
              <w:t xml:space="preserve">2017 </w:t>
            </w:r>
            <w:r>
              <w:rPr>
                <w:noProof/>
                <w:sz w:val="16"/>
                <w:szCs w:val="16"/>
                <w:lang w:val="fr-BE"/>
              </w:rPr>
              <w:t>Ogółem</w:t>
            </w:r>
          </w:p>
        </w:tc>
        <w:tc>
          <w:tcPr>
            <w:tcW w:w="0" w:type="auto"/>
          </w:tcPr>
          <w:p w14:paraId="11617223" w14:textId="77777777" w:rsidR="008C5CFA" w:rsidRPr="0024468B" w:rsidRDefault="00E82A60" w:rsidP="00300A01">
            <w:pPr>
              <w:spacing w:before="0" w:after="0"/>
              <w:jc w:val="center"/>
              <w:rPr>
                <w:sz w:val="16"/>
                <w:szCs w:val="16"/>
                <w:lang w:val="fr-BE"/>
              </w:rPr>
            </w:pPr>
            <w:r>
              <w:rPr>
                <w:sz w:val="16"/>
                <w:szCs w:val="16"/>
                <w:lang w:val="fr-BE"/>
              </w:rPr>
              <w:t xml:space="preserve">2017 </w:t>
            </w:r>
            <w:r w:rsidRPr="0024468B">
              <w:rPr>
                <w:noProof/>
                <w:sz w:val="16"/>
                <w:szCs w:val="16"/>
                <w:lang w:val="fr-BE"/>
              </w:rPr>
              <w:t>Jakościowe</w:t>
            </w:r>
          </w:p>
        </w:tc>
        <w:tc>
          <w:tcPr>
            <w:tcW w:w="0" w:type="auto"/>
          </w:tcPr>
          <w:p w14:paraId="626475BD" w14:textId="77777777" w:rsidR="008C5CFA" w:rsidRPr="0024468B" w:rsidRDefault="00E82A60" w:rsidP="00300A01">
            <w:pPr>
              <w:spacing w:before="0" w:after="0"/>
              <w:jc w:val="center"/>
              <w:rPr>
                <w:sz w:val="16"/>
                <w:szCs w:val="16"/>
                <w:lang w:val="fr-BE"/>
              </w:rPr>
            </w:pPr>
            <w:r>
              <w:rPr>
                <w:sz w:val="16"/>
                <w:szCs w:val="16"/>
                <w:lang w:val="fr-BE"/>
              </w:rPr>
              <w:t xml:space="preserve">2016 </w:t>
            </w:r>
            <w:r>
              <w:rPr>
                <w:noProof/>
                <w:sz w:val="16"/>
                <w:szCs w:val="16"/>
                <w:lang w:val="fr-BE"/>
              </w:rPr>
              <w:t>Ogółem</w:t>
            </w:r>
          </w:p>
        </w:tc>
        <w:tc>
          <w:tcPr>
            <w:tcW w:w="0" w:type="auto"/>
          </w:tcPr>
          <w:p w14:paraId="4305C95F" w14:textId="77777777" w:rsidR="008C5CFA" w:rsidRPr="0024468B" w:rsidRDefault="00E82A60" w:rsidP="00300A01">
            <w:pPr>
              <w:spacing w:before="0" w:after="0"/>
              <w:jc w:val="center"/>
              <w:rPr>
                <w:sz w:val="16"/>
                <w:szCs w:val="16"/>
                <w:lang w:val="fr-BE"/>
              </w:rPr>
            </w:pPr>
            <w:r>
              <w:rPr>
                <w:sz w:val="16"/>
                <w:szCs w:val="16"/>
                <w:lang w:val="fr-BE"/>
              </w:rPr>
              <w:t xml:space="preserve">2016 </w:t>
            </w:r>
            <w:r w:rsidRPr="0024468B">
              <w:rPr>
                <w:noProof/>
                <w:sz w:val="16"/>
                <w:szCs w:val="16"/>
                <w:lang w:val="fr-BE"/>
              </w:rPr>
              <w:t>Jakościowe</w:t>
            </w:r>
          </w:p>
        </w:tc>
        <w:tc>
          <w:tcPr>
            <w:tcW w:w="0" w:type="auto"/>
          </w:tcPr>
          <w:p w14:paraId="500B2910" w14:textId="77777777" w:rsidR="008C5CFA" w:rsidRPr="0024468B" w:rsidRDefault="00E82A60" w:rsidP="00300A01">
            <w:pPr>
              <w:spacing w:before="0" w:after="0"/>
              <w:jc w:val="center"/>
              <w:rPr>
                <w:sz w:val="16"/>
                <w:szCs w:val="16"/>
                <w:lang w:val="fr-BE"/>
              </w:rPr>
            </w:pPr>
            <w:r>
              <w:rPr>
                <w:sz w:val="16"/>
                <w:szCs w:val="16"/>
                <w:lang w:val="fr-BE"/>
              </w:rPr>
              <w:t xml:space="preserve">2015 </w:t>
            </w:r>
            <w:r>
              <w:rPr>
                <w:noProof/>
                <w:sz w:val="16"/>
                <w:szCs w:val="16"/>
                <w:lang w:val="fr-BE"/>
              </w:rPr>
              <w:t>Ogółem</w:t>
            </w:r>
          </w:p>
        </w:tc>
        <w:tc>
          <w:tcPr>
            <w:tcW w:w="0" w:type="auto"/>
          </w:tcPr>
          <w:p w14:paraId="573325B3" w14:textId="77777777" w:rsidR="008C5CFA" w:rsidRPr="0024468B" w:rsidRDefault="00E82A60" w:rsidP="00300A01">
            <w:pPr>
              <w:spacing w:before="0" w:after="0"/>
              <w:jc w:val="center"/>
              <w:rPr>
                <w:sz w:val="16"/>
                <w:szCs w:val="16"/>
                <w:lang w:val="fr-BE"/>
              </w:rPr>
            </w:pPr>
            <w:r>
              <w:rPr>
                <w:sz w:val="16"/>
                <w:szCs w:val="16"/>
                <w:lang w:val="fr-BE"/>
              </w:rPr>
              <w:t xml:space="preserve">2015 </w:t>
            </w:r>
            <w:r w:rsidRPr="0024468B">
              <w:rPr>
                <w:noProof/>
                <w:sz w:val="16"/>
                <w:szCs w:val="16"/>
                <w:lang w:val="fr-BE"/>
              </w:rPr>
              <w:t>Jakościowe</w:t>
            </w:r>
          </w:p>
        </w:tc>
      </w:tr>
      <w:tr w:rsidR="006B2EC1" w14:paraId="6BDA9071" w14:textId="77777777" w:rsidTr="0047688D">
        <w:tc>
          <w:tcPr>
            <w:tcW w:w="0" w:type="auto"/>
            <w:shd w:val="clear" w:color="auto" w:fill="auto"/>
          </w:tcPr>
          <w:p w14:paraId="327E6977" w14:textId="77777777" w:rsidR="008C5CFA" w:rsidRPr="0024468B" w:rsidRDefault="00E82A60" w:rsidP="00300A01">
            <w:pPr>
              <w:spacing w:before="0" w:after="0"/>
              <w:rPr>
                <w:sz w:val="16"/>
                <w:szCs w:val="16"/>
                <w:lang w:val="fr-BE"/>
              </w:rPr>
            </w:pPr>
            <w:r w:rsidRPr="0024468B">
              <w:rPr>
                <w:noProof/>
                <w:sz w:val="16"/>
                <w:szCs w:val="16"/>
                <w:lang w:val="fr-BE"/>
              </w:rPr>
              <w:t>148</w:t>
            </w:r>
          </w:p>
        </w:tc>
        <w:tc>
          <w:tcPr>
            <w:tcW w:w="0" w:type="auto"/>
            <w:shd w:val="clear" w:color="auto" w:fill="auto"/>
          </w:tcPr>
          <w:p w14:paraId="36A0CDB4" w14:textId="77777777" w:rsidR="008C5CFA" w:rsidRPr="0024468B" w:rsidRDefault="00E82A60" w:rsidP="00300A01">
            <w:pPr>
              <w:spacing w:before="0" w:after="0"/>
              <w:rPr>
                <w:sz w:val="16"/>
                <w:szCs w:val="16"/>
                <w:lang w:val="fr-BE"/>
              </w:rPr>
            </w:pPr>
            <w:r w:rsidRPr="0024468B">
              <w:rPr>
                <w:noProof/>
                <w:sz w:val="16"/>
                <w:szCs w:val="16"/>
                <w:lang w:val="fr-BE"/>
              </w:rPr>
              <w:t>Wartość eksportu dla MŚP</w:t>
            </w:r>
          </w:p>
        </w:tc>
        <w:tc>
          <w:tcPr>
            <w:tcW w:w="0" w:type="auto"/>
          </w:tcPr>
          <w:p w14:paraId="52003334" w14:textId="77777777" w:rsidR="008C5CFA" w:rsidRPr="0024468B" w:rsidRDefault="00E82A60" w:rsidP="00300A01">
            <w:pPr>
              <w:spacing w:before="0" w:after="0"/>
              <w:jc w:val="right"/>
              <w:rPr>
                <w:sz w:val="16"/>
                <w:szCs w:val="16"/>
                <w:lang w:val="fr-BE"/>
              </w:rPr>
            </w:pPr>
            <w:r w:rsidRPr="0024468B">
              <w:rPr>
                <w:noProof/>
                <w:sz w:val="16"/>
                <w:szCs w:val="16"/>
                <w:lang w:val="fr-BE"/>
              </w:rPr>
              <w:t>665 545 660,00</w:t>
            </w:r>
          </w:p>
        </w:tc>
        <w:tc>
          <w:tcPr>
            <w:tcW w:w="0" w:type="auto"/>
          </w:tcPr>
          <w:p w14:paraId="6CB9304C" w14:textId="77777777" w:rsidR="008C5CFA" w:rsidRPr="0024468B" w:rsidRDefault="008C5CFA" w:rsidP="00300A01">
            <w:pPr>
              <w:spacing w:before="0" w:after="0"/>
              <w:jc w:val="right"/>
              <w:rPr>
                <w:sz w:val="16"/>
                <w:szCs w:val="16"/>
                <w:lang w:val="fr-BE"/>
              </w:rPr>
            </w:pPr>
          </w:p>
        </w:tc>
        <w:tc>
          <w:tcPr>
            <w:tcW w:w="0" w:type="auto"/>
          </w:tcPr>
          <w:p w14:paraId="177ECEB8" w14:textId="77777777" w:rsidR="008C5CFA" w:rsidRPr="0024468B" w:rsidRDefault="00E82A60" w:rsidP="00300A01">
            <w:pPr>
              <w:spacing w:before="0" w:after="0"/>
              <w:jc w:val="right"/>
              <w:rPr>
                <w:sz w:val="16"/>
                <w:szCs w:val="16"/>
                <w:lang w:val="fr-BE"/>
              </w:rPr>
            </w:pPr>
            <w:r w:rsidRPr="0024468B">
              <w:rPr>
                <w:noProof/>
                <w:sz w:val="16"/>
                <w:szCs w:val="16"/>
                <w:lang w:val="fr-BE"/>
              </w:rPr>
              <w:t>696 964 712,00</w:t>
            </w:r>
          </w:p>
        </w:tc>
        <w:tc>
          <w:tcPr>
            <w:tcW w:w="0" w:type="auto"/>
          </w:tcPr>
          <w:p w14:paraId="76CD2D1A" w14:textId="77777777" w:rsidR="008C5CFA" w:rsidRPr="0024468B" w:rsidRDefault="008C5CFA" w:rsidP="00300A01">
            <w:pPr>
              <w:spacing w:before="0" w:after="0"/>
              <w:jc w:val="right"/>
              <w:rPr>
                <w:sz w:val="16"/>
                <w:szCs w:val="16"/>
                <w:lang w:val="fr-BE"/>
              </w:rPr>
            </w:pPr>
          </w:p>
        </w:tc>
        <w:tc>
          <w:tcPr>
            <w:tcW w:w="0" w:type="auto"/>
          </w:tcPr>
          <w:p w14:paraId="38482A7E" w14:textId="77777777" w:rsidR="008C5CFA" w:rsidRPr="0024468B" w:rsidRDefault="00E82A60" w:rsidP="00300A01">
            <w:pPr>
              <w:spacing w:before="0" w:after="0"/>
              <w:jc w:val="right"/>
              <w:rPr>
                <w:sz w:val="16"/>
                <w:szCs w:val="16"/>
                <w:lang w:val="fr-BE"/>
              </w:rPr>
            </w:pPr>
            <w:r w:rsidRPr="0024468B">
              <w:rPr>
                <w:noProof/>
                <w:sz w:val="16"/>
                <w:szCs w:val="16"/>
                <w:lang w:val="fr-BE"/>
              </w:rPr>
              <w:t>585 952 803,00</w:t>
            </w:r>
          </w:p>
        </w:tc>
        <w:tc>
          <w:tcPr>
            <w:tcW w:w="0" w:type="auto"/>
          </w:tcPr>
          <w:p w14:paraId="4392FAEA" w14:textId="77777777" w:rsidR="008C5CFA" w:rsidRPr="0024468B" w:rsidRDefault="008C5CFA" w:rsidP="00300A01">
            <w:pPr>
              <w:spacing w:before="0" w:after="0"/>
              <w:jc w:val="right"/>
              <w:rPr>
                <w:sz w:val="16"/>
                <w:szCs w:val="16"/>
                <w:lang w:val="fr-BE"/>
              </w:rPr>
            </w:pPr>
          </w:p>
        </w:tc>
        <w:tc>
          <w:tcPr>
            <w:tcW w:w="0" w:type="auto"/>
          </w:tcPr>
          <w:p w14:paraId="78B0C65C" w14:textId="77777777" w:rsidR="008C5CFA" w:rsidRPr="0024468B" w:rsidRDefault="00E82A60" w:rsidP="00300A01">
            <w:pPr>
              <w:spacing w:before="0" w:after="0"/>
              <w:jc w:val="right"/>
              <w:rPr>
                <w:sz w:val="16"/>
                <w:szCs w:val="16"/>
                <w:lang w:val="fr-BE"/>
              </w:rPr>
            </w:pPr>
            <w:r w:rsidRPr="0024468B">
              <w:rPr>
                <w:noProof/>
                <w:sz w:val="16"/>
                <w:szCs w:val="16"/>
                <w:lang w:val="fr-BE"/>
              </w:rPr>
              <w:t>605 099 292,00</w:t>
            </w:r>
          </w:p>
        </w:tc>
        <w:tc>
          <w:tcPr>
            <w:tcW w:w="0" w:type="auto"/>
          </w:tcPr>
          <w:p w14:paraId="30B6B215" w14:textId="77777777" w:rsidR="008C5CFA" w:rsidRPr="0024468B" w:rsidRDefault="008C5CFA" w:rsidP="00300A01">
            <w:pPr>
              <w:spacing w:before="0" w:after="0"/>
              <w:jc w:val="right"/>
              <w:rPr>
                <w:sz w:val="16"/>
                <w:szCs w:val="16"/>
                <w:lang w:val="fr-BE"/>
              </w:rPr>
            </w:pPr>
          </w:p>
        </w:tc>
      </w:tr>
    </w:tbl>
    <w:p w14:paraId="3AE41D76"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7"/>
        <w:gridCol w:w="5972"/>
        <w:gridCol w:w="3751"/>
        <w:gridCol w:w="4054"/>
      </w:tblGrid>
      <w:tr w:rsidR="006B2EC1" w14:paraId="7424615F" w14:textId="77777777" w:rsidTr="0047688D">
        <w:tc>
          <w:tcPr>
            <w:tcW w:w="0" w:type="auto"/>
            <w:shd w:val="clear" w:color="auto" w:fill="auto"/>
          </w:tcPr>
          <w:p w14:paraId="5C4B0C9C" w14:textId="77777777" w:rsidR="008C5CFA" w:rsidRPr="0024468B" w:rsidRDefault="00E82A60" w:rsidP="00300A01">
            <w:pPr>
              <w:spacing w:before="0" w:after="0"/>
              <w:rPr>
                <w:sz w:val="16"/>
                <w:szCs w:val="16"/>
                <w:lang w:val="fr-BE"/>
              </w:rPr>
            </w:pPr>
            <w:r w:rsidRPr="0024468B">
              <w:rPr>
                <w:noProof/>
                <w:sz w:val="16"/>
                <w:szCs w:val="16"/>
                <w:lang w:val="fr-BE"/>
              </w:rPr>
              <w:t>ID</w:t>
            </w:r>
          </w:p>
        </w:tc>
        <w:tc>
          <w:tcPr>
            <w:tcW w:w="0" w:type="auto"/>
            <w:shd w:val="clear" w:color="auto" w:fill="auto"/>
          </w:tcPr>
          <w:p w14:paraId="462FA738" w14:textId="77777777" w:rsidR="008C5CFA" w:rsidRPr="0024468B" w:rsidRDefault="00E82A60" w:rsidP="00300A01">
            <w:pPr>
              <w:spacing w:before="0" w:after="0"/>
              <w:rPr>
                <w:sz w:val="16"/>
                <w:szCs w:val="16"/>
                <w:lang w:val="fr-BE"/>
              </w:rPr>
            </w:pPr>
            <w:r w:rsidRPr="0024468B">
              <w:rPr>
                <w:noProof/>
                <w:sz w:val="16"/>
                <w:szCs w:val="16"/>
                <w:lang w:val="fr-BE"/>
              </w:rPr>
              <w:t>Wskaźnik</w:t>
            </w:r>
          </w:p>
        </w:tc>
        <w:tc>
          <w:tcPr>
            <w:tcW w:w="0" w:type="auto"/>
            <w:shd w:val="clear" w:color="auto" w:fill="auto"/>
          </w:tcPr>
          <w:p w14:paraId="2D2EF46C" w14:textId="77777777" w:rsidR="008C5CFA" w:rsidRPr="0024468B" w:rsidRDefault="00E82A60" w:rsidP="00300A01">
            <w:pPr>
              <w:spacing w:before="0" w:after="0"/>
              <w:jc w:val="center"/>
              <w:rPr>
                <w:sz w:val="16"/>
                <w:szCs w:val="16"/>
                <w:lang w:val="fr-BE"/>
              </w:rPr>
            </w:pPr>
            <w:r>
              <w:rPr>
                <w:sz w:val="16"/>
                <w:szCs w:val="16"/>
                <w:lang w:val="fr-BE"/>
              </w:rPr>
              <w:t xml:space="preserve">2014 </w:t>
            </w:r>
            <w:r>
              <w:rPr>
                <w:noProof/>
                <w:sz w:val="16"/>
                <w:szCs w:val="16"/>
                <w:lang w:val="fr-BE"/>
              </w:rPr>
              <w:t>Ogółem</w:t>
            </w:r>
          </w:p>
        </w:tc>
        <w:tc>
          <w:tcPr>
            <w:tcW w:w="0" w:type="auto"/>
            <w:shd w:val="clear" w:color="auto" w:fill="auto"/>
          </w:tcPr>
          <w:p w14:paraId="7D63AE58" w14:textId="77777777" w:rsidR="008C5CFA" w:rsidRPr="0024468B" w:rsidRDefault="00E82A60" w:rsidP="00300A01">
            <w:pPr>
              <w:spacing w:before="0" w:after="0"/>
              <w:jc w:val="center"/>
              <w:rPr>
                <w:sz w:val="16"/>
                <w:szCs w:val="16"/>
                <w:lang w:val="fr-BE"/>
              </w:rPr>
            </w:pPr>
            <w:r>
              <w:rPr>
                <w:sz w:val="16"/>
                <w:szCs w:val="16"/>
                <w:lang w:val="fr-BE"/>
              </w:rPr>
              <w:t xml:space="preserve">2014 </w:t>
            </w:r>
            <w:r w:rsidRPr="0024468B">
              <w:rPr>
                <w:noProof/>
                <w:sz w:val="16"/>
                <w:szCs w:val="16"/>
                <w:lang w:val="fr-BE"/>
              </w:rPr>
              <w:t>Jakościowe</w:t>
            </w:r>
          </w:p>
        </w:tc>
      </w:tr>
      <w:tr w:rsidR="006B2EC1" w14:paraId="2C61091E" w14:textId="77777777" w:rsidTr="0047688D">
        <w:tc>
          <w:tcPr>
            <w:tcW w:w="0" w:type="auto"/>
            <w:shd w:val="clear" w:color="auto" w:fill="auto"/>
          </w:tcPr>
          <w:p w14:paraId="32B88002" w14:textId="77777777" w:rsidR="008C5CFA" w:rsidRPr="0024468B" w:rsidRDefault="00E82A60" w:rsidP="00300A01">
            <w:pPr>
              <w:spacing w:before="0" w:after="0"/>
              <w:rPr>
                <w:sz w:val="16"/>
                <w:szCs w:val="16"/>
                <w:lang w:val="fr-BE"/>
              </w:rPr>
            </w:pPr>
            <w:r w:rsidRPr="0024468B">
              <w:rPr>
                <w:noProof/>
                <w:sz w:val="16"/>
                <w:szCs w:val="16"/>
                <w:lang w:val="fr-BE"/>
              </w:rPr>
              <w:t>148</w:t>
            </w:r>
          </w:p>
        </w:tc>
        <w:tc>
          <w:tcPr>
            <w:tcW w:w="0" w:type="auto"/>
            <w:shd w:val="clear" w:color="auto" w:fill="auto"/>
          </w:tcPr>
          <w:p w14:paraId="6B13A85D" w14:textId="77777777" w:rsidR="008C5CFA" w:rsidRPr="0024468B" w:rsidRDefault="00E82A60" w:rsidP="00300A01">
            <w:pPr>
              <w:spacing w:before="0" w:after="0"/>
              <w:rPr>
                <w:sz w:val="16"/>
                <w:szCs w:val="16"/>
                <w:lang w:val="fr-BE"/>
              </w:rPr>
            </w:pPr>
            <w:r w:rsidRPr="0024468B">
              <w:rPr>
                <w:noProof/>
                <w:sz w:val="16"/>
                <w:szCs w:val="16"/>
                <w:lang w:val="fr-BE"/>
              </w:rPr>
              <w:t>Wartość eksportu dla MŚP</w:t>
            </w:r>
          </w:p>
        </w:tc>
        <w:tc>
          <w:tcPr>
            <w:tcW w:w="0" w:type="auto"/>
            <w:shd w:val="clear" w:color="auto" w:fill="auto"/>
          </w:tcPr>
          <w:p w14:paraId="6C2ED73E" w14:textId="77777777" w:rsidR="008C5CFA" w:rsidRPr="0024468B" w:rsidRDefault="00E82A60" w:rsidP="00300A01">
            <w:pPr>
              <w:spacing w:before="0" w:after="0"/>
              <w:jc w:val="right"/>
              <w:rPr>
                <w:sz w:val="16"/>
                <w:szCs w:val="16"/>
                <w:lang w:val="fr-BE"/>
              </w:rPr>
            </w:pPr>
            <w:r w:rsidRPr="0024468B">
              <w:rPr>
                <w:noProof/>
                <w:sz w:val="16"/>
                <w:szCs w:val="16"/>
                <w:lang w:val="fr-BE"/>
              </w:rPr>
              <w:t>684 171 680,00</w:t>
            </w:r>
          </w:p>
        </w:tc>
        <w:tc>
          <w:tcPr>
            <w:tcW w:w="0" w:type="auto"/>
            <w:shd w:val="clear" w:color="auto" w:fill="auto"/>
          </w:tcPr>
          <w:p w14:paraId="5C044F3F" w14:textId="77777777" w:rsidR="008C5CFA" w:rsidRPr="0024468B" w:rsidRDefault="008C5CFA" w:rsidP="00300A01">
            <w:pPr>
              <w:spacing w:before="0" w:after="0"/>
              <w:jc w:val="right"/>
              <w:rPr>
                <w:sz w:val="16"/>
                <w:szCs w:val="16"/>
                <w:lang w:val="fr-BE"/>
              </w:rPr>
            </w:pPr>
          </w:p>
        </w:tc>
      </w:tr>
    </w:tbl>
    <w:p w14:paraId="21A78696" w14:textId="77777777" w:rsidR="008C5CFA" w:rsidRDefault="008C5CFA" w:rsidP="00300A01">
      <w:pPr>
        <w:spacing w:before="0" w:after="0"/>
        <w:rPr>
          <w:lang w:val="fr-BE"/>
        </w:rPr>
      </w:pPr>
    </w:p>
    <w:p w14:paraId="32E2F54B" w14:textId="77777777" w:rsidR="008C5CFA" w:rsidRDefault="00E82A60" w:rsidP="00300A01">
      <w:pPr>
        <w:spacing w:before="0" w:after="0"/>
        <w:rPr>
          <w:lang w:val="fr-BE"/>
        </w:rPr>
      </w:pPr>
      <w:r>
        <w:rPr>
          <w:lang w:val="fr-BE"/>
        </w:rPr>
        <w:br w:type="page"/>
      </w:r>
    </w:p>
    <w:p w14:paraId="47E91F0E" w14:textId="77777777" w:rsidR="008C5CFA" w:rsidRPr="00B27C43" w:rsidRDefault="008C5CFA" w:rsidP="00300A01">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0"/>
        <w:gridCol w:w="12334"/>
      </w:tblGrid>
      <w:tr w:rsidR="006B2EC1" w14:paraId="6D6706E2" w14:textId="77777777" w:rsidTr="0047688D">
        <w:tc>
          <w:tcPr>
            <w:tcW w:w="0" w:type="auto"/>
            <w:shd w:val="clear" w:color="auto" w:fill="auto"/>
          </w:tcPr>
          <w:p w14:paraId="555929A3" w14:textId="77777777" w:rsidR="008C5CFA" w:rsidRPr="002124FC" w:rsidRDefault="00E82A60" w:rsidP="00300A01">
            <w:pPr>
              <w:spacing w:before="0" w:after="0"/>
              <w:rPr>
                <w:sz w:val="20"/>
                <w:szCs w:val="20"/>
                <w:lang w:val="fr-BE"/>
              </w:rPr>
            </w:pPr>
            <w:r>
              <w:rPr>
                <w:lang w:val="fr-BE"/>
              </w:rPr>
              <w:br w:type="page"/>
            </w:r>
            <w:r>
              <w:rPr>
                <w:lang w:val="fr-BE"/>
              </w:rPr>
              <w:br w:type="page"/>
            </w:r>
            <w:r w:rsidRPr="002124FC">
              <w:rPr>
                <w:noProof/>
                <w:sz w:val="20"/>
                <w:szCs w:val="20"/>
                <w:lang w:val="fr-BE"/>
              </w:rPr>
              <w:t>Oś priorytetowa</w:t>
            </w:r>
          </w:p>
        </w:tc>
        <w:tc>
          <w:tcPr>
            <w:tcW w:w="0" w:type="auto"/>
            <w:shd w:val="clear" w:color="auto" w:fill="auto"/>
          </w:tcPr>
          <w:p w14:paraId="589F2BFA" w14:textId="77777777" w:rsidR="008C5CFA" w:rsidRPr="002124FC" w:rsidRDefault="00E82A60" w:rsidP="00300A01">
            <w:pPr>
              <w:spacing w:before="0" w:after="0"/>
              <w:rPr>
                <w:sz w:val="20"/>
                <w:szCs w:val="20"/>
                <w:lang w:val="fr-BE"/>
              </w:rPr>
            </w:pPr>
            <w:r w:rsidRPr="002124FC">
              <w:rPr>
                <w:noProof/>
                <w:sz w:val="20"/>
                <w:szCs w:val="20"/>
                <w:lang w:val="fr-BE"/>
              </w:rPr>
              <w:t>2</w:t>
            </w:r>
            <w:r w:rsidRPr="002124FC">
              <w:rPr>
                <w:sz w:val="20"/>
                <w:szCs w:val="20"/>
                <w:lang w:val="fr-BE"/>
              </w:rPr>
              <w:t xml:space="preserve"> - </w:t>
            </w:r>
            <w:r w:rsidRPr="002124FC">
              <w:rPr>
                <w:noProof/>
                <w:sz w:val="20"/>
                <w:szCs w:val="20"/>
                <w:lang w:val="fr-BE"/>
              </w:rPr>
              <w:t>Konkurencyjna gospodarka</w:t>
            </w:r>
          </w:p>
        </w:tc>
      </w:tr>
      <w:tr w:rsidR="006B2EC1" w14:paraId="572010C2" w14:textId="77777777" w:rsidTr="0047688D">
        <w:tc>
          <w:tcPr>
            <w:tcW w:w="0" w:type="auto"/>
            <w:shd w:val="clear" w:color="auto" w:fill="auto"/>
          </w:tcPr>
          <w:p w14:paraId="24800FFA" w14:textId="77777777" w:rsidR="008C5CFA" w:rsidRPr="002124FC" w:rsidRDefault="00E82A60"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14:paraId="5FF1B7AB" w14:textId="77777777" w:rsidR="008C5CFA" w:rsidRPr="002124FC" w:rsidRDefault="00E82A60" w:rsidP="00300A01">
            <w:pPr>
              <w:spacing w:before="0" w:after="0"/>
              <w:rPr>
                <w:sz w:val="20"/>
                <w:szCs w:val="20"/>
                <w:lang w:val="fr-BE"/>
              </w:rPr>
            </w:pPr>
            <w:r w:rsidRPr="002124FC">
              <w:rPr>
                <w:noProof/>
                <w:sz w:val="20"/>
                <w:szCs w:val="20"/>
                <w:lang w:val="fr-BE"/>
              </w:rPr>
              <w:t>3c</w:t>
            </w:r>
            <w:r w:rsidRPr="002124FC">
              <w:rPr>
                <w:sz w:val="20"/>
                <w:szCs w:val="20"/>
                <w:lang w:val="fr-BE"/>
              </w:rPr>
              <w:t xml:space="preserve"> - </w:t>
            </w:r>
            <w:r w:rsidRPr="002124FC">
              <w:rPr>
                <w:noProof/>
                <w:sz w:val="20"/>
                <w:szCs w:val="20"/>
                <w:lang w:val="fr-BE"/>
              </w:rPr>
              <w:t>Wspieranie tworzenia i poszerzania zaawansowanych zdolności w zakresie rozwoju produktów i usług</w:t>
            </w:r>
          </w:p>
        </w:tc>
      </w:tr>
    </w:tbl>
    <w:p w14:paraId="042FC310" w14:textId="77777777" w:rsidR="008C5CFA" w:rsidRDefault="008C5CFA" w:rsidP="00300A01">
      <w:pPr>
        <w:spacing w:before="0" w:after="0"/>
        <w:rPr>
          <w:lang w:val="fr-BE"/>
        </w:rPr>
      </w:pPr>
    </w:p>
    <w:p w14:paraId="375AF576" w14:textId="77777777" w:rsidR="008C5CFA" w:rsidRDefault="00E82A60" w:rsidP="00300A01">
      <w:pPr>
        <w:pStyle w:val="Nagwek2"/>
        <w:spacing w:before="0" w:after="0"/>
        <w:rPr>
          <w:lang w:val="fr-BE"/>
        </w:rPr>
      </w:pPr>
      <w:bookmarkStart w:id="25" w:name="_Toc46391709"/>
      <w:r>
        <w:rPr>
          <w:noProof/>
          <w:lang w:val="fr-BE"/>
        </w:rPr>
        <w:t>Tabela 3A</w:t>
      </w:r>
      <w:r>
        <w:rPr>
          <w:lang w:val="fr-BE"/>
        </w:rPr>
        <w:t xml:space="preserve">: </w:t>
      </w:r>
      <w:r>
        <w:rPr>
          <w:noProof/>
          <w:lang w:val="fr-BE"/>
        </w:rPr>
        <w:t>Wspólne i specyficzne dla danego programu wskaźniki produktu dla EFRR i Funduszu Spójności (wg osi priorytetowej, priorytetu inwestycyjnego, w podziale na kategorię regionu dla celów EFRR)</w:t>
      </w:r>
      <w:r w:rsidR="009C5874">
        <w:rPr>
          <w:lang w:val="fr-BE"/>
        </w:rPr>
        <w:t xml:space="preserve"> - </w:t>
      </w:r>
      <w:r w:rsidR="00F022AC" w:rsidRPr="002124FC">
        <w:rPr>
          <w:noProof/>
          <w:sz w:val="20"/>
          <w:szCs w:val="20"/>
          <w:lang w:val="fr-BE"/>
        </w:rPr>
        <w:t>2</w:t>
      </w:r>
      <w:r w:rsidR="00F022AC">
        <w:rPr>
          <w:sz w:val="20"/>
          <w:szCs w:val="20"/>
          <w:lang w:val="fr-BE"/>
        </w:rPr>
        <w:t xml:space="preserve"> / </w:t>
      </w:r>
      <w:r w:rsidR="00F022AC" w:rsidRPr="002124FC">
        <w:rPr>
          <w:noProof/>
          <w:sz w:val="20"/>
          <w:szCs w:val="20"/>
          <w:lang w:val="fr-BE"/>
        </w:rPr>
        <w:t>3c</w:t>
      </w:r>
      <w:bookmarkEnd w:id="25"/>
    </w:p>
    <w:p w14:paraId="37876FA2"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01"/>
        <w:gridCol w:w="497"/>
        <w:gridCol w:w="2138"/>
        <w:gridCol w:w="1343"/>
        <w:gridCol w:w="869"/>
        <w:gridCol w:w="1199"/>
        <w:gridCol w:w="1034"/>
        <w:gridCol w:w="949"/>
        <w:gridCol w:w="1034"/>
        <w:gridCol w:w="879"/>
        <w:gridCol w:w="702"/>
        <w:gridCol w:w="4239"/>
      </w:tblGrid>
      <w:tr w:rsidR="006B2EC1" w14:paraId="53DAC232" w14:textId="77777777" w:rsidTr="0047688D">
        <w:trPr>
          <w:tblHeader/>
        </w:trPr>
        <w:tc>
          <w:tcPr>
            <w:tcW w:w="0" w:type="auto"/>
          </w:tcPr>
          <w:p w14:paraId="61D2636E" w14:textId="77777777" w:rsidR="008C5CFA" w:rsidRPr="009143B4" w:rsidRDefault="00E82A60" w:rsidP="00300A01">
            <w:pPr>
              <w:spacing w:before="0" w:after="0"/>
              <w:rPr>
                <w:b/>
                <w:sz w:val="16"/>
                <w:szCs w:val="16"/>
                <w:lang w:val="fr-BE"/>
              </w:rPr>
            </w:pPr>
            <w:r w:rsidRPr="009143B4">
              <w:rPr>
                <w:b/>
                <w:sz w:val="16"/>
                <w:szCs w:val="16"/>
                <w:lang w:val="fr-BE"/>
              </w:rPr>
              <w:t>(1)</w:t>
            </w:r>
          </w:p>
        </w:tc>
        <w:tc>
          <w:tcPr>
            <w:tcW w:w="0" w:type="auto"/>
            <w:shd w:val="clear" w:color="auto" w:fill="auto"/>
          </w:tcPr>
          <w:p w14:paraId="5F3D5B09" w14:textId="77777777" w:rsidR="008C5CFA" w:rsidRPr="009143B4" w:rsidRDefault="00E82A60" w:rsidP="00300A01">
            <w:pPr>
              <w:spacing w:before="0" w:after="0"/>
              <w:rPr>
                <w:b/>
                <w:sz w:val="16"/>
                <w:szCs w:val="16"/>
                <w:lang w:val="fr-BE"/>
              </w:rPr>
            </w:pPr>
            <w:r w:rsidRPr="009143B4">
              <w:rPr>
                <w:b/>
                <w:noProof/>
                <w:sz w:val="16"/>
                <w:szCs w:val="16"/>
                <w:lang w:val="fr-BE"/>
              </w:rPr>
              <w:t>ID</w:t>
            </w:r>
          </w:p>
        </w:tc>
        <w:tc>
          <w:tcPr>
            <w:tcW w:w="0" w:type="auto"/>
            <w:shd w:val="clear" w:color="auto" w:fill="auto"/>
          </w:tcPr>
          <w:p w14:paraId="4FDA4D92" w14:textId="77777777" w:rsidR="008C5CFA" w:rsidRPr="009143B4" w:rsidRDefault="00E82A60" w:rsidP="00300A01">
            <w:pPr>
              <w:spacing w:before="0" w:after="0"/>
              <w:rPr>
                <w:b/>
                <w:sz w:val="16"/>
                <w:szCs w:val="16"/>
                <w:lang w:val="fr-BE"/>
              </w:rPr>
            </w:pPr>
            <w:r w:rsidRPr="009143B4">
              <w:rPr>
                <w:b/>
                <w:noProof/>
                <w:sz w:val="16"/>
                <w:szCs w:val="16"/>
                <w:lang w:val="fr-BE"/>
              </w:rPr>
              <w:t>Wskaźnik</w:t>
            </w:r>
          </w:p>
        </w:tc>
        <w:tc>
          <w:tcPr>
            <w:tcW w:w="0" w:type="auto"/>
            <w:shd w:val="clear" w:color="auto" w:fill="auto"/>
          </w:tcPr>
          <w:p w14:paraId="04DECA10" w14:textId="77777777" w:rsidR="008C5CFA" w:rsidRPr="009143B4" w:rsidRDefault="00E82A60" w:rsidP="00300A01">
            <w:pPr>
              <w:spacing w:before="0" w:after="0"/>
              <w:rPr>
                <w:b/>
                <w:sz w:val="16"/>
                <w:szCs w:val="16"/>
                <w:lang w:val="fr-BE"/>
              </w:rPr>
            </w:pPr>
            <w:r w:rsidRPr="009143B4">
              <w:rPr>
                <w:b/>
                <w:noProof/>
                <w:sz w:val="16"/>
                <w:szCs w:val="16"/>
                <w:lang w:val="fr-BE"/>
              </w:rPr>
              <w:t>Jednostka miary</w:t>
            </w:r>
          </w:p>
        </w:tc>
        <w:tc>
          <w:tcPr>
            <w:tcW w:w="0" w:type="auto"/>
            <w:shd w:val="clear" w:color="auto" w:fill="auto"/>
          </w:tcPr>
          <w:p w14:paraId="71FA6A20" w14:textId="77777777" w:rsidR="008C5CFA" w:rsidRPr="009143B4" w:rsidRDefault="00E82A60" w:rsidP="00300A01">
            <w:pPr>
              <w:spacing w:before="0" w:after="0"/>
              <w:rPr>
                <w:b/>
                <w:sz w:val="16"/>
                <w:szCs w:val="16"/>
                <w:lang w:val="fr-BE"/>
              </w:rPr>
            </w:pPr>
            <w:r w:rsidRPr="009143B4">
              <w:rPr>
                <w:b/>
                <w:noProof/>
                <w:sz w:val="16"/>
                <w:szCs w:val="16"/>
                <w:lang w:val="fr-BE"/>
              </w:rPr>
              <w:t>Kategoria regionu</w:t>
            </w:r>
          </w:p>
        </w:tc>
        <w:tc>
          <w:tcPr>
            <w:tcW w:w="0" w:type="auto"/>
            <w:shd w:val="clear" w:color="auto" w:fill="auto"/>
          </w:tcPr>
          <w:p w14:paraId="2EC6552C" w14:textId="77777777" w:rsidR="008C5CFA" w:rsidRPr="009143B4" w:rsidRDefault="00E82A60" w:rsidP="00300A01">
            <w:pPr>
              <w:spacing w:before="0" w:after="0"/>
              <w:jc w:val="center"/>
              <w:rPr>
                <w:b/>
                <w:sz w:val="16"/>
                <w:szCs w:val="16"/>
                <w:lang w:val="fr-BE"/>
              </w:rPr>
            </w:pPr>
            <w:r w:rsidRPr="009143B4">
              <w:rPr>
                <w:b/>
                <w:noProof/>
                <w:sz w:val="16"/>
                <w:szCs w:val="16"/>
                <w:lang w:val="fr-BE"/>
              </w:rPr>
              <w:t>Wartość docelowa (2023) ogółem</w:t>
            </w:r>
          </w:p>
        </w:tc>
        <w:tc>
          <w:tcPr>
            <w:tcW w:w="0" w:type="auto"/>
            <w:shd w:val="clear" w:color="auto" w:fill="auto"/>
          </w:tcPr>
          <w:p w14:paraId="09BE4318" w14:textId="77777777" w:rsidR="008C5CFA" w:rsidRPr="009143B4" w:rsidRDefault="00E82A60" w:rsidP="00300A01">
            <w:pPr>
              <w:spacing w:before="0" w:after="0"/>
              <w:jc w:val="center"/>
              <w:rPr>
                <w:b/>
                <w:sz w:val="16"/>
                <w:szCs w:val="16"/>
                <w:lang w:val="fr-BE"/>
              </w:rPr>
            </w:pPr>
            <w:r w:rsidRPr="009143B4">
              <w:rPr>
                <w:b/>
                <w:noProof/>
                <w:sz w:val="16"/>
                <w:szCs w:val="16"/>
                <w:lang w:val="fr-BE"/>
              </w:rPr>
              <w:t>Wartość docelowa (2023) mężczyźni</w:t>
            </w:r>
          </w:p>
        </w:tc>
        <w:tc>
          <w:tcPr>
            <w:tcW w:w="0" w:type="auto"/>
          </w:tcPr>
          <w:p w14:paraId="6320957B" w14:textId="77777777" w:rsidR="008C5CFA" w:rsidRPr="009143B4" w:rsidRDefault="00E82A60" w:rsidP="00300A01">
            <w:pPr>
              <w:spacing w:before="0" w:after="0"/>
              <w:jc w:val="center"/>
              <w:rPr>
                <w:b/>
                <w:sz w:val="16"/>
                <w:szCs w:val="16"/>
                <w:lang w:val="fr-BE"/>
              </w:rPr>
            </w:pPr>
            <w:r w:rsidRPr="009143B4">
              <w:rPr>
                <w:b/>
                <w:noProof/>
                <w:sz w:val="16"/>
                <w:szCs w:val="16"/>
                <w:lang w:val="fr-BE"/>
              </w:rPr>
              <w:t>Wartość docelowa (2023) kobiety</w:t>
            </w:r>
          </w:p>
        </w:tc>
        <w:tc>
          <w:tcPr>
            <w:tcW w:w="0" w:type="auto"/>
            <w:shd w:val="clear" w:color="auto" w:fill="auto"/>
          </w:tcPr>
          <w:p w14:paraId="74137E80" w14:textId="77777777" w:rsidR="008C5CFA" w:rsidRPr="009143B4" w:rsidRDefault="00E82A60" w:rsidP="00300A01">
            <w:pPr>
              <w:spacing w:before="0" w:after="0"/>
              <w:jc w:val="center"/>
              <w:rPr>
                <w:b/>
                <w:sz w:val="16"/>
                <w:szCs w:val="16"/>
                <w:lang w:val="fr-BE"/>
              </w:rPr>
            </w:pPr>
            <w:r>
              <w:rPr>
                <w:b/>
                <w:sz w:val="16"/>
                <w:szCs w:val="16"/>
                <w:lang w:val="fr-BE"/>
              </w:rPr>
              <w:t xml:space="preserve">2019 </w:t>
            </w:r>
            <w:r w:rsidRPr="009143B4">
              <w:rPr>
                <w:b/>
                <w:noProof/>
                <w:sz w:val="16"/>
                <w:szCs w:val="16"/>
                <w:lang w:val="fr-BE"/>
              </w:rPr>
              <w:t>Ogółem</w:t>
            </w:r>
          </w:p>
        </w:tc>
        <w:tc>
          <w:tcPr>
            <w:tcW w:w="0" w:type="auto"/>
            <w:shd w:val="clear" w:color="auto" w:fill="auto"/>
          </w:tcPr>
          <w:p w14:paraId="2AE8E724" w14:textId="77777777" w:rsidR="008C5CFA" w:rsidRPr="009143B4" w:rsidRDefault="00E82A60" w:rsidP="00300A01">
            <w:pPr>
              <w:spacing w:before="0" w:after="0"/>
              <w:jc w:val="center"/>
              <w:rPr>
                <w:b/>
                <w:sz w:val="16"/>
                <w:szCs w:val="16"/>
                <w:lang w:val="fr-BE"/>
              </w:rPr>
            </w:pPr>
            <w:r>
              <w:rPr>
                <w:b/>
                <w:sz w:val="16"/>
                <w:szCs w:val="16"/>
                <w:lang w:val="fr-BE"/>
              </w:rPr>
              <w:t xml:space="preserve">2019 </w:t>
            </w:r>
            <w:r w:rsidRPr="009143B4">
              <w:rPr>
                <w:b/>
                <w:noProof/>
                <w:sz w:val="16"/>
                <w:szCs w:val="16"/>
                <w:lang w:val="fr-BE"/>
              </w:rPr>
              <w:t>Mężczyźni</w:t>
            </w:r>
          </w:p>
        </w:tc>
        <w:tc>
          <w:tcPr>
            <w:tcW w:w="0" w:type="auto"/>
            <w:shd w:val="clear" w:color="auto" w:fill="auto"/>
          </w:tcPr>
          <w:p w14:paraId="43F8269F" w14:textId="77777777" w:rsidR="008C5CFA" w:rsidRPr="009143B4" w:rsidRDefault="00E82A60" w:rsidP="00300A01">
            <w:pPr>
              <w:spacing w:before="0" w:after="0"/>
              <w:jc w:val="center"/>
              <w:rPr>
                <w:b/>
                <w:sz w:val="16"/>
                <w:szCs w:val="16"/>
                <w:lang w:val="fr-BE"/>
              </w:rPr>
            </w:pPr>
            <w:r>
              <w:rPr>
                <w:b/>
                <w:sz w:val="16"/>
                <w:szCs w:val="16"/>
                <w:lang w:val="fr-BE"/>
              </w:rPr>
              <w:t xml:space="preserve">2019 </w:t>
            </w:r>
            <w:r w:rsidRPr="009143B4">
              <w:rPr>
                <w:b/>
                <w:noProof/>
                <w:sz w:val="16"/>
                <w:szCs w:val="16"/>
                <w:lang w:val="fr-BE"/>
              </w:rPr>
              <w:t>Kobiety</w:t>
            </w:r>
          </w:p>
        </w:tc>
        <w:tc>
          <w:tcPr>
            <w:tcW w:w="0" w:type="auto"/>
            <w:shd w:val="clear" w:color="auto" w:fill="auto"/>
          </w:tcPr>
          <w:p w14:paraId="21EE73BC" w14:textId="77777777" w:rsidR="008C5CFA" w:rsidRPr="009143B4" w:rsidRDefault="00E82A60" w:rsidP="00300A01">
            <w:pPr>
              <w:spacing w:before="0" w:after="0"/>
              <w:jc w:val="center"/>
              <w:rPr>
                <w:b/>
                <w:sz w:val="16"/>
                <w:szCs w:val="16"/>
                <w:lang w:val="fr-BE"/>
              </w:rPr>
            </w:pPr>
            <w:r w:rsidRPr="009143B4">
              <w:rPr>
                <w:b/>
                <w:noProof/>
                <w:sz w:val="16"/>
                <w:szCs w:val="16"/>
                <w:lang w:val="fr-BE"/>
              </w:rPr>
              <w:t>Uwagi</w:t>
            </w:r>
          </w:p>
        </w:tc>
      </w:tr>
      <w:tr w:rsidR="006B2EC1" w14:paraId="33C15B95" w14:textId="77777777" w:rsidTr="0047688D">
        <w:tc>
          <w:tcPr>
            <w:tcW w:w="0" w:type="auto"/>
          </w:tcPr>
          <w:p w14:paraId="0A58DC46" w14:textId="77777777" w:rsidR="008C5CFA" w:rsidRPr="0024468B" w:rsidRDefault="00E82A60" w:rsidP="00300A01">
            <w:pPr>
              <w:spacing w:before="0" w:after="0"/>
              <w:rPr>
                <w:sz w:val="16"/>
                <w:szCs w:val="16"/>
                <w:lang w:val="fr-BE"/>
              </w:rPr>
            </w:pPr>
            <w:r>
              <w:rPr>
                <w:noProof/>
                <w:sz w:val="16"/>
                <w:szCs w:val="16"/>
                <w:lang w:val="fr-BE"/>
              </w:rPr>
              <w:t>F</w:t>
            </w:r>
          </w:p>
        </w:tc>
        <w:tc>
          <w:tcPr>
            <w:tcW w:w="0" w:type="auto"/>
            <w:shd w:val="clear" w:color="auto" w:fill="auto"/>
          </w:tcPr>
          <w:p w14:paraId="0E071052" w14:textId="77777777" w:rsidR="008C5CFA" w:rsidRPr="0024468B" w:rsidRDefault="00E82A60" w:rsidP="00300A01">
            <w:pPr>
              <w:spacing w:before="0" w:after="0"/>
              <w:rPr>
                <w:sz w:val="16"/>
                <w:szCs w:val="16"/>
                <w:lang w:val="fr-BE"/>
              </w:rPr>
            </w:pPr>
            <w:r w:rsidRPr="0024468B">
              <w:rPr>
                <w:noProof/>
                <w:sz w:val="16"/>
                <w:szCs w:val="16"/>
                <w:lang w:val="fr-BE"/>
              </w:rPr>
              <w:t>CO01</w:t>
            </w:r>
          </w:p>
        </w:tc>
        <w:tc>
          <w:tcPr>
            <w:tcW w:w="0" w:type="auto"/>
            <w:shd w:val="clear" w:color="auto" w:fill="auto"/>
          </w:tcPr>
          <w:p w14:paraId="4009D7AE" w14:textId="77777777" w:rsidR="008C5CFA" w:rsidRPr="0024468B" w:rsidRDefault="00E82A60" w:rsidP="00300A01">
            <w:pPr>
              <w:spacing w:before="0" w:after="0"/>
              <w:rPr>
                <w:sz w:val="16"/>
                <w:szCs w:val="16"/>
                <w:lang w:val="fr-BE"/>
              </w:rPr>
            </w:pPr>
            <w:r w:rsidRPr="0024468B">
              <w:rPr>
                <w:noProof/>
                <w:sz w:val="16"/>
                <w:szCs w:val="16"/>
                <w:lang w:val="fr-BE"/>
              </w:rPr>
              <w:t>Inwestycje produkcyjne: liczba przedsiębiorstw otrzymujących wsparcie</w:t>
            </w:r>
          </w:p>
        </w:tc>
        <w:tc>
          <w:tcPr>
            <w:tcW w:w="0" w:type="auto"/>
            <w:shd w:val="clear" w:color="auto" w:fill="auto"/>
          </w:tcPr>
          <w:p w14:paraId="54A40966" w14:textId="77777777" w:rsidR="008C5CFA" w:rsidRPr="0024468B" w:rsidRDefault="00E82A60" w:rsidP="00300A01">
            <w:pPr>
              <w:spacing w:before="0" w:after="0"/>
              <w:rPr>
                <w:sz w:val="16"/>
                <w:szCs w:val="16"/>
                <w:lang w:val="fr-BE"/>
              </w:rPr>
            </w:pPr>
            <w:r>
              <w:rPr>
                <w:noProof/>
                <w:sz w:val="16"/>
                <w:szCs w:val="16"/>
                <w:lang w:val="fr-BE"/>
              </w:rPr>
              <w:t>Przedsiębiorstwa</w:t>
            </w:r>
          </w:p>
        </w:tc>
        <w:tc>
          <w:tcPr>
            <w:tcW w:w="0" w:type="auto"/>
            <w:shd w:val="clear" w:color="auto" w:fill="auto"/>
          </w:tcPr>
          <w:p w14:paraId="34096A11" w14:textId="77777777" w:rsidR="008C5CFA" w:rsidRPr="0024468B" w:rsidRDefault="00E82A60"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14:paraId="6836EA1C" w14:textId="77777777" w:rsidR="008C5CFA" w:rsidRPr="0024468B" w:rsidRDefault="00E82A60" w:rsidP="00300A01">
            <w:pPr>
              <w:spacing w:before="0" w:after="0"/>
              <w:jc w:val="right"/>
              <w:rPr>
                <w:sz w:val="16"/>
                <w:szCs w:val="16"/>
                <w:lang w:val="fr-BE"/>
              </w:rPr>
            </w:pPr>
            <w:r>
              <w:rPr>
                <w:noProof/>
                <w:sz w:val="16"/>
                <w:szCs w:val="16"/>
                <w:lang w:val="fr-BE"/>
              </w:rPr>
              <w:t>1 205,00</w:t>
            </w:r>
          </w:p>
        </w:tc>
        <w:tc>
          <w:tcPr>
            <w:tcW w:w="0" w:type="auto"/>
            <w:shd w:val="clear" w:color="auto" w:fill="auto"/>
          </w:tcPr>
          <w:p w14:paraId="1DC02F82" w14:textId="77777777" w:rsidR="008C5CFA" w:rsidRPr="0024468B" w:rsidRDefault="008C5CFA" w:rsidP="00300A01">
            <w:pPr>
              <w:spacing w:before="0" w:after="0"/>
              <w:jc w:val="right"/>
              <w:rPr>
                <w:sz w:val="16"/>
                <w:szCs w:val="16"/>
                <w:lang w:val="fr-BE"/>
              </w:rPr>
            </w:pPr>
          </w:p>
        </w:tc>
        <w:tc>
          <w:tcPr>
            <w:tcW w:w="0" w:type="auto"/>
          </w:tcPr>
          <w:p w14:paraId="70EB40F3" w14:textId="77777777" w:rsidR="008C5CFA" w:rsidRPr="0024468B" w:rsidRDefault="008C5CFA" w:rsidP="00300A01">
            <w:pPr>
              <w:spacing w:before="0" w:after="0"/>
              <w:jc w:val="right"/>
              <w:rPr>
                <w:sz w:val="16"/>
                <w:szCs w:val="16"/>
                <w:lang w:val="fr-BE"/>
              </w:rPr>
            </w:pPr>
          </w:p>
        </w:tc>
        <w:tc>
          <w:tcPr>
            <w:tcW w:w="0" w:type="auto"/>
            <w:shd w:val="clear" w:color="auto" w:fill="auto"/>
          </w:tcPr>
          <w:p w14:paraId="0C27A95C" w14:textId="77777777" w:rsidR="008C5CFA" w:rsidRPr="0024468B" w:rsidRDefault="00E82A60" w:rsidP="00300A01">
            <w:pPr>
              <w:spacing w:before="0" w:after="0"/>
              <w:jc w:val="right"/>
              <w:rPr>
                <w:sz w:val="16"/>
                <w:szCs w:val="16"/>
                <w:lang w:val="fr-BE"/>
              </w:rPr>
            </w:pPr>
            <w:r w:rsidRPr="0024468B">
              <w:rPr>
                <w:noProof/>
                <w:sz w:val="16"/>
                <w:szCs w:val="16"/>
                <w:lang w:val="fr-BE"/>
              </w:rPr>
              <w:t>802,00</w:t>
            </w:r>
          </w:p>
        </w:tc>
        <w:tc>
          <w:tcPr>
            <w:tcW w:w="0" w:type="auto"/>
            <w:shd w:val="clear" w:color="auto" w:fill="auto"/>
          </w:tcPr>
          <w:p w14:paraId="6898E44B"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4C7B0216"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260BF4F7" w14:textId="77777777" w:rsidR="008C5CFA" w:rsidRPr="0024468B" w:rsidRDefault="008C5CFA" w:rsidP="00300A01">
            <w:pPr>
              <w:spacing w:before="0" w:after="0"/>
              <w:rPr>
                <w:sz w:val="16"/>
                <w:szCs w:val="16"/>
                <w:lang w:val="fr-BE"/>
              </w:rPr>
            </w:pPr>
          </w:p>
        </w:tc>
      </w:tr>
      <w:tr w:rsidR="006B2EC1" w14:paraId="1D116F88" w14:textId="77777777" w:rsidTr="0047688D">
        <w:tc>
          <w:tcPr>
            <w:tcW w:w="0" w:type="auto"/>
          </w:tcPr>
          <w:p w14:paraId="1BE33148" w14:textId="77777777" w:rsidR="008C5CFA" w:rsidRPr="0024468B" w:rsidRDefault="00E82A60" w:rsidP="00300A01">
            <w:pPr>
              <w:spacing w:before="0" w:after="0"/>
              <w:rPr>
                <w:sz w:val="16"/>
                <w:szCs w:val="16"/>
                <w:lang w:val="fr-BE"/>
              </w:rPr>
            </w:pPr>
            <w:r>
              <w:rPr>
                <w:noProof/>
                <w:sz w:val="16"/>
                <w:szCs w:val="16"/>
                <w:lang w:val="fr-BE"/>
              </w:rPr>
              <w:t>S</w:t>
            </w:r>
          </w:p>
        </w:tc>
        <w:tc>
          <w:tcPr>
            <w:tcW w:w="0" w:type="auto"/>
            <w:shd w:val="clear" w:color="auto" w:fill="auto"/>
          </w:tcPr>
          <w:p w14:paraId="75E65BF0" w14:textId="77777777" w:rsidR="008C5CFA" w:rsidRPr="0024468B" w:rsidRDefault="00E82A60" w:rsidP="00300A01">
            <w:pPr>
              <w:spacing w:before="0" w:after="0"/>
              <w:rPr>
                <w:sz w:val="16"/>
                <w:szCs w:val="16"/>
                <w:lang w:val="fr-BE"/>
              </w:rPr>
            </w:pPr>
            <w:r w:rsidRPr="0024468B">
              <w:rPr>
                <w:noProof/>
                <w:sz w:val="16"/>
                <w:szCs w:val="16"/>
                <w:lang w:val="fr-BE"/>
              </w:rPr>
              <w:t>CO01</w:t>
            </w:r>
          </w:p>
        </w:tc>
        <w:tc>
          <w:tcPr>
            <w:tcW w:w="0" w:type="auto"/>
            <w:shd w:val="clear" w:color="auto" w:fill="auto"/>
          </w:tcPr>
          <w:p w14:paraId="2161FCA7" w14:textId="77777777" w:rsidR="008C5CFA" w:rsidRPr="0024468B" w:rsidRDefault="00E82A60" w:rsidP="00300A01">
            <w:pPr>
              <w:spacing w:before="0" w:after="0"/>
              <w:rPr>
                <w:sz w:val="16"/>
                <w:szCs w:val="16"/>
                <w:lang w:val="fr-BE"/>
              </w:rPr>
            </w:pPr>
            <w:r w:rsidRPr="0024468B">
              <w:rPr>
                <w:noProof/>
                <w:sz w:val="16"/>
                <w:szCs w:val="16"/>
                <w:lang w:val="fr-BE"/>
              </w:rPr>
              <w:t>Inwestycje produkcyjne: liczba przedsiębiorstw otrzymujących wsparcie</w:t>
            </w:r>
          </w:p>
        </w:tc>
        <w:tc>
          <w:tcPr>
            <w:tcW w:w="0" w:type="auto"/>
            <w:shd w:val="clear" w:color="auto" w:fill="auto"/>
          </w:tcPr>
          <w:p w14:paraId="47264CE3" w14:textId="77777777" w:rsidR="008C5CFA" w:rsidRPr="0024468B" w:rsidRDefault="00E82A60" w:rsidP="00300A01">
            <w:pPr>
              <w:spacing w:before="0" w:after="0"/>
              <w:rPr>
                <w:sz w:val="16"/>
                <w:szCs w:val="16"/>
                <w:lang w:val="fr-BE"/>
              </w:rPr>
            </w:pPr>
            <w:r>
              <w:rPr>
                <w:noProof/>
                <w:sz w:val="16"/>
                <w:szCs w:val="16"/>
                <w:lang w:val="fr-BE"/>
              </w:rPr>
              <w:t>Przedsiębiorstwa</w:t>
            </w:r>
          </w:p>
        </w:tc>
        <w:tc>
          <w:tcPr>
            <w:tcW w:w="0" w:type="auto"/>
            <w:shd w:val="clear" w:color="auto" w:fill="auto"/>
          </w:tcPr>
          <w:p w14:paraId="23607F7A" w14:textId="77777777" w:rsidR="008C5CFA" w:rsidRPr="0024468B" w:rsidRDefault="00E82A60"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14:paraId="48072B16" w14:textId="77777777" w:rsidR="008C5CFA" w:rsidRPr="0024468B" w:rsidRDefault="00E82A60" w:rsidP="00300A01">
            <w:pPr>
              <w:spacing w:before="0" w:after="0"/>
              <w:jc w:val="right"/>
              <w:rPr>
                <w:sz w:val="16"/>
                <w:szCs w:val="16"/>
                <w:lang w:val="fr-BE"/>
              </w:rPr>
            </w:pPr>
            <w:r>
              <w:rPr>
                <w:noProof/>
                <w:sz w:val="16"/>
                <w:szCs w:val="16"/>
                <w:lang w:val="fr-BE"/>
              </w:rPr>
              <w:t>1 205,00</w:t>
            </w:r>
          </w:p>
        </w:tc>
        <w:tc>
          <w:tcPr>
            <w:tcW w:w="0" w:type="auto"/>
            <w:shd w:val="clear" w:color="auto" w:fill="auto"/>
          </w:tcPr>
          <w:p w14:paraId="560CB492" w14:textId="77777777" w:rsidR="008C5CFA" w:rsidRPr="0024468B" w:rsidRDefault="008C5CFA" w:rsidP="00300A01">
            <w:pPr>
              <w:spacing w:before="0" w:after="0"/>
              <w:jc w:val="right"/>
              <w:rPr>
                <w:sz w:val="16"/>
                <w:szCs w:val="16"/>
                <w:lang w:val="fr-BE"/>
              </w:rPr>
            </w:pPr>
          </w:p>
        </w:tc>
        <w:tc>
          <w:tcPr>
            <w:tcW w:w="0" w:type="auto"/>
          </w:tcPr>
          <w:p w14:paraId="40782D1D" w14:textId="77777777" w:rsidR="008C5CFA" w:rsidRPr="0024468B" w:rsidRDefault="008C5CFA" w:rsidP="00300A01">
            <w:pPr>
              <w:spacing w:before="0" w:after="0"/>
              <w:jc w:val="right"/>
              <w:rPr>
                <w:sz w:val="16"/>
                <w:szCs w:val="16"/>
                <w:lang w:val="fr-BE"/>
              </w:rPr>
            </w:pPr>
          </w:p>
        </w:tc>
        <w:tc>
          <w:tcPr>
            <w:tcW w:w="0" w:type="auto"/>
            <w:shd w:val="clear" w:color="auto" w:fill="auto"/>
          </w:tcPr>
          <w:p w14:paraId="5D6796D6" w14:textId="77777777" w:rsidR="008C5CFA" w:rsidRPr="0024468B" w:rsidRDefault="00E82A60" w:rsidP="00300A01">
            <w:pPr>
              <w:spacing w:before="0" w:after="0"/>
              <w:jc w:val="right"/>
              <w:rPr>
                <w:sz w:val="16"/>
                <w:szCs w:val="16"/>
                <w:lang w:val="fr-BE"/>
              </w:rPr>
            </w:pPr>
            <w:r w:rsidRPr="0024468B">
              <w:rPr>
                <w:noProof/>
                <w:sz w:val="16"/>
                <w:szCs w:val="16"/>
                <w:lang w:val="fr-BE"/>
              </w:rPr>
              <w:t>1 167,00</w:t>
            </w:r>
          </w:p>
        </w:tc>
        <w:tc>
          <w:tcPr>
            <w:tcW w:w="0" w:type="auto"/>
            <w:shd w:val="clear" w:color="auto" w:fill="auto"/>
          </w:tcPr>
          <w:p w14:paraId="6A127FC2"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62BC2485"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66D1E37F" w14:textId="77777777" w:rsidR="008C5CFA" w:rsidRPr="0024468B" w:rsidRDefault="00E82A60" w:rsidP="00300A01">
            <w:pPr>
              <w:spacing w:before="0" w:after="0"/>
              <w:rPr>
                <w:sz w:val="16"/>
                <w:szCs w:val="16"/>
                <w:lang w:val="fr-BE"/>
              </w:rPr>
            </w:pPr>
            <w:r w:rsidRPr="0024468B">
              <w:rPr>
                <w:noProof/>
                <w:sz w:val="16"/>
                <w:szCs w:val="16"/>
                <w:lang w:val="fr-BE"/>
              </w:rPr>
              <w:t>W związku z urealnieniem wartości docelowych wskaźników w projekcie realizowanym przez BGK oraz rozwiązaniu w 2019 roku 7-miu umów, realizacja  wskaźnika zmniejszyła się.</w:t>
            </w:r>
          </w:p>
        </w:tc>
      </w:tr>
      <w:tr w:rsidR="006B2EC1" w14:paraId="6285C645" w14:textId="77777777" w:rsidTr="0047688D">
        <w:tc>
          <w:tcPr>
            <w:tcW w:w="0" w:type="auto"/>
          </w:tcPr>
          <w:p w14:paraId="40F07991" w14:textId="77777777" w:rsidR="008C5CFA" w:rsidRPr="0024468B" w:rsidRDefault="00E82A60" w:rsidP="00300A01">
            <w:pPr>
              <w:spacing w:before="0" w:after="0"/>
              <w:rPr>
                <w:sz w:val="16"/>
                <w:szCs w:val="16"/>
                <w:lang w:val="fr-BE"/>
              </w:rPr>
            </w:pPr>
            <w:r>
              <w:rPr>
                <w:noProof/>
                <w:sz w:val="16"/>
                <w:szCs w:val="16"/>
                <w:lang w:val="fr-BE"/>
              </w:rPr>
              <w:t>F</w:t>
            </w:r>
          </w:p>
        </w:tc>
        <w:tc>
          <w:tcPr>
            <w:tcW w:w="0" w:type="auto"/>
            <w:shd w:val="clear" w:color="auto" w:fill="auto"/>
          </w:tcPr>
          <w:p w14:paraId="64747C40" w14:textId="77777777" w:rsidR="008C5CFA" w:rsidRPr="0024468B" w:rsidRDefault="00E82A60" w:rsidP="00300A01">
            <w:pPr>
              <w:spacing w:before="0" w:after="0"/>
              <w:rPr>
                <w:sz w:val="16"/>
                <w:szCs w:val="16"/>
                <w:lang w:val="fr-BE"/>
              </w:rPr>
            </w:pPr>
            <w:r w:rsidRPr="0024468B">
              <w:rPr>
                <w:noProof/>
                <w:sz w:val="16"/>
                <w:szCs w:val="16"/>
                <w:lang w:val="fr-BE"/>
              </w:rPr>
              <w:t>CO02</w:t>
            </w:r>
          </w:p>
        </w:tc>
        <w:tc>
          <w:tcPr>
            <w:tcW w:w="0" w:type="auto"/>
            <w:shd w:val="clear" w:color="auto" w:fill="auto"/>
          </w:tcPr>
          <w:p w14:paraId="63CF9584" w14:textId="77777777" w:rsidR="008C5CFA" w:rsidRPr="0024468B" w:rsidRDefault="00E82A60" w:rsidP="00300A01">
            <w:pPr>
              <w:spacing w:before="0" w:after="0"/>
              <w:rPr>
                <w:sz w:val="16"/>
                <w:szCs w:val="16"/>
                <w:lang w:val="fr-BE"/>
              </w:rPr>
            </w:pPr>
            <w:r w:rsidRPr="0024468B">
              <w:rPr>
                <w:noProof/>
                <w:sz w:val="16"/>
                <w:szCs w:val="16"/>
                <w:lang w:val="fr-BE"/>
              </w:rPr>
              <w:t>Inwestycje produkcyjne: liczba przedsiębiorstw otrzymujących dotacje</w:t>
            </w:r>
          </w:p>
        </w:tc>
        <w:tc>
          <w:tcPr>
            <w:tcW w:w="0" w:type="auto"/>
            <w:shd w:val="clear" w:color="auto" w:fill="auto"/>
          </w:tcPr>
          <w:p w14:paraId="2DA7C2DE" w14:textId="77777777" w:rsidR="008C5CFA" w:rsidRPr="0024468B" w:rsidRDefault="00E82A60" w:rsidP="00300A01">
            <w:pPr>
              <w:spacing w:before="0" w:after="0"/>
              <w:rPr>
                <w:sz w:val="16"/>
                <w:szCs w:val="16"/>
                <w:lang w:val="fr-BE"/>
              </w:rPr>
            </w:pPr>
            <w:r>
              <w:rPr>
                <w:noProof/>
                <w:sz w:val="16"/>
                <w:szCs w:val="16"/>
                <w:lang w:val="fr-BE"/>
              </w:rPr>
              <w:t>Przedsiębiorstwa</w:t>
            </w:r>
          </w:p>
        </w:tc>
        <w:tc>
          <w:tcPr>
            <w:tcW w:w="0" w:type="auto"/>
            <w:shd w:val="clear" w:color="auto" w:fill="auto"/>
          </w:tcPr>
          <w:p w14:paraId="17EB974B" w14:textId="77777777" w:rsidR="008C5CFA" w:rsidRPr="0024468B" w:rsidRDefault="00E82A60"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14:paraId="4417C727" w14:textId="77777777" w:rsidR="008C5CFA" w:rsidRPr="0024468B" w:rsidRDefault="00E82A60" w:rsidP="00300A01">
            <w:pPr>
              <w:spacing w:before="0" w:after="0"/>
              <w:jc w:val="right"/>
              <w:rPr>
                <w:sz w:val="16"/>
                <w:szCs w:val="16"/>
                <w:lang w:val="fr-BE"/>
              </w:rPr>
            </w:pPr>
            <w:r>
              <w:rPr>
                <w:noProof/>
                <w:sz w:val="16"/>
                <w:szCs w:val="16"/>
                <w:lang w:val="fr-BE"/>
              </w:rPr>
              <w:t>273,00</w:t>
            </w:r>
          </w:p>
        </w:tc>
        <w:tc>
          <w:tcPr>
            <w:tcW w:w="0" w:type="auto"/>
            <w:shd w:val="clear" w:color="auto" w:fill="auto"/>
          </w:tcPr>
          <w:p w14:paraId="5F3FF1C4" w14:textId="77777777" w:rsidR="008C5CFA" w:rsidRPr="0024468B" w:rsidRDefault="008C5CFA" w:rsidP="00300A01">
            <w:pPr>
              <w:spacing w:before="0" w:after="0"/>
              <w:jc w:val="right"/>
              <w:rPr>
                <w:sz w:val="16"/>
                <w:szCs w:val="16"/>
                <w:lang w:val="fr-BE"/>
              </w:rPr>
            </w:pPr>
          </w:p>
        </w:tc>
        <w:tc>
          <w:tcPr>
            <w:tcW w:w="0" w:type="auto"/>
          </w:tcPr>
          <w:p w14:paraId="332ADACC" w14:textId="77777777" w:rsidR="008C5CFA" w:rsidRPr="0024468B" w:rsidRDefault="008C5CFA" w:rsidP="00300A01">
            <w:pPr>
              <w:spacing w:before="0" w:after="0"/>
              <w:jc w:val="right"/>
              <w:rPr>
                <w:sz w:val="16"/>
                <w:szCs w:val="16"/>
                <w:lang w:val="fr-BE"/>
              </w:rPr>
            </w:pPr>
          </w:p>
        </w:tc>
        <w:tc>
          <w:tcPr>
            <w:tcW w:w="0" w:type="auto"/>
            <w:shd w:val="clear" w:color="auto" w:fill="auto"/>
          </w:tcPr>
          <w:p w14:paraId="0E18A1D9" w14:textId="77777777" w:rsidR="008C5CFA" w:rsidRPr="0024468B" w:rsidRDefault="00E82A60" w:rsidP="00300A01">
            <w:pPr>
              <w:spacing w:before="0" w:after="0"/>
              <w:jc w:val="right"/>
              <w:rPr>
                <w:sz w:val="16"/>
                <w:szCs w:val="16"/>
                <w:lang w:val="fr-BE"/>
              </w:rPr>
            </w:pPr>
            <w:r w:rsidRPr="0024468B">
              <w:rPr>
                <w:noProof/>
                <w:sz w:val="16"/>
                <w:szCs w:val="16"/>
                <w:lang w:val="fr-BE"/>
              </w:rPr>
              <w:t>209,00</w:t>
            </w:r>
          </w:p>
        </w:tc>
        <w:tc>
          <w:tcPr>
            <w:tcW w:w="0" w:type="auto"/>
            <w:shd w:val="clear" w:color="auto" w:fill="auto"/>
          </w:tcPr>
          <w:p w14:paraId="6205BE39"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115F79FC"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16D773E5" w14:textId="77777777" w:rsidR="008C5CFA" w:rsidRPr="0024468B" w:rsidRDefault="008C5CFA" w:rsidP="00300A01">
            <w:pPr>
              <w:spacing w:before="0" w:after="0"/>
              <w:rPr>
                <w:sz w:val="16"/>
                <w:szCs w:val="16"/>
                <w:lang w:val="fr-BE"/>
              </w:rPr>
            </w:pPr>
          </w:p>
        </w:tc>
      </w:tr>
      <w:tr w:rsidR="006B2EC1" w14:paraId="2B5C95C6" w14:textId="77777777" w:rsidTr="0047688D">
        <w:tc>
          <w:tcPr>
            <w:tcW w:w="0" w:type="auto"/>
          </w:tcPr>
          <w:p w14:paraId="41143A1B" w14:textId="77777777" w:rsidR="008C5CFA" w:rsidRPr="0024468B" w:rsidRDefault="00E82A60" w:rsidP="00300A01">
            <w:pPr>
              <w:spacing w:before="0" w:after="0"/>
              <w:rPr>
                <w:sz w:val="16"/>
                <w:szCs w:val="16"/>
                <w:lang w:val="fr-BE"/>
              </w:rPr>
            </w:pPr>
            <w:r>
              <w:rPr>
                <w:noProof/>
                <w:sz w:val="16"/>
                <w:szCs w:val="16"/>
                <w:lang w:val="fr-BE"/>
              </w:rPr>
              <w:t>S</w:t>
            </w:r>
          </w:p>
        </w:tc>
        <w:tc>
          <w:tcPr>
            <w:tcW w:w="0" w:type="auto"/>
            <w:shd w:val="clear" w:color="auto" w:fill="auto"/>
          </w:tcPr>
          <w:p w14:paraId="4005ED02" w14:textId="77777777" w:rsidR="008C5CFA" w:rsidRPr="0024468B" w:rsidRDefault="00E82A60" w:rsidP="00300A01">
            <w:pPr>
              <w:spacing w:before="0" w:after="0"/>
              <w:rPr>
                <w:sz w:val="16"/>
                <w:szCs w:val="16"/>
                <w:lang w:val="fr-BE"/>
              </w:rPr>
            </w:pPr>
            <w:r w:rsidRPr="0024468B">
              <w:rPr>
                <w:noProof/>
                <w:sz w:val="16"/>
                <w:szCs w:val="16"/>
                <w:lang w:val="fr-BE"/>
              </w:rPr>
              <w:t>CO02</w:t>
            </w:r>
          </w:p>
        </w:tc>
        <w:tc>
          <w:tcPr>
            <w:tcW w:w="0" w:type="auto"/>
            <w:shd w:val="clear" w:color="auto" w:fill="auto"/>
          </w:tcPr>
          <w:p w14:paraId="3E623F57" w14:textId="77777777" w:rsidR="008C5CFA" w:rsidRPr="0024468B" w:rsidRDefault="00E82A60" w:rsidP="00300A01">
            <w:pPr>
              <w:spacing w:before="0" w:after="0"/>
              <w:rPr>
                <w:sz w:val="16"/>
                <w:szCs w:val="16"/>
                <w:lang w:val="fr-BE"/>
              </w:rPr>
            </w:pPr>
            <w:r w:rsidRPr="0024468B">
              <w:rPr>
                <w:noProof/>
                <w:sz w:val="16"/>
                <w:szCs w:val="16"/>
                <w:lang w:val="fr-BE"/>
              </w:rPr>
              <w:t>Inwestycje produkcyjne: liczba przedsiębiorstw otrzymujących dotacje</w:t>
            </w:r>
          </w:p>
        </w:tc>
        <w:tc>
          <w:tcPr>
            <w:tcW w:w="0" w:type="auto"/>
            <w:shd w:val="clear" w:color="auto" w:fill="auto"/>
          </w:tcPr>
          <w:p w14:paraId="5A24CFBC" w14:textId="77777777" w:rsidR="008C5CFA" w:rsidRPr="0024468B" w:rsidRDefault="00E82A60" w:rsidP="00300A01">
            <w:pPr>
              <w:spacing w:before="0" w:after="0"/>
              <w:rPr>
                <w:sz w:val="16"/>
                <w:szCs w:val="16"/>
                <w:lang w:val="fr-BE"/>
              </w:rPr>
            </w:pPr>
            <w:r>
              <w:rPr>
                <w:noProof/>
                <w:sz w:val="16"/>
                <w:szCs w:val="16"/>
                <w:lang w:val="fr-BE"/>
              </w:rPr>
              <w:t>Przedsiębiorstwa</w:t>
            </w:r>
          </w:p>
        </w:tc>
        <w:tc>
          <w:tcPr>
            <w:tcW w:w="0" w:type="auto"/>
            <w:shd w:val="clear" w:color="auto" w:fill="auto"/>
          </w:tcPr>
          <w:p w14:paraId="5142450C" w14:textId="77777777" w:rsidR="008C5CFA" w:rsidRPr="0024468B" w:rsidRDefault="00E82A60"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14:paraId="765FD0D2" w14:textId="77777777" w:rsidR="008C5CFA" w:rsidRPr="0024468B" w:rsidRDefault="00E82A60" w:rsidP="00300A01">
            <w:pPr>
              <w:spacing w:before="0" w:after="0"/>
              <w:jc w:val="right"/>
              <w:rPr>
                <w:sz w:val="16"/>
                <w:szCs w:val="16"/>
                <w:lang w:val="fr-BE"/>
              </w:rPr>
            </w:pPr>
            <w:r>
              <w:rPr>
                <w:noProof/>
                <w:sz w:val="16"/>
                <w:szCs w:val="16"/>
                <w:lang w:val="fr-BE"/>
              </w:rPr>
              <w:t>273,00</w:t>
            </w:r>
          </w:p>
        </w:tc>
        <w:tc>
          <w:tcPr>
            <w:tcW w:w="0" w:type="auto"/>
            <w:shd w:val="clear" w:color="auto" w:fill="auto"/>
          </w:tcPr>
          <w:p w14:paraId="54DB04F8" w14:textId="77777777" w:rsidR="008C5CFA" w:rsidRPr="0024468B" w:rsidRDefault="008C5CFA" w:rsidP="00300A01">
            <w:pPr>
              <w:spacing w:before="0" w:after="0"/>
              <w:jc w:val="right"/>
              <w:rPr>
                <w:sz w:val="16"/>
                <w:szCs w:val="16"/>
                <w:lang w:val="fr-BE"/>
              </w:rPr>
            </w:pPr>
          </w:p>
        </w:tc>
        <w:tc>
          <w:tcPr>
            <w:tcW w:w="0" w:type="auto"/>
          </w:tcPr>
          <w:p w14:paraId="715A8185" w14:textId="77777777" w:rsidR="008C5CFA" w:rsidRPr="0024468B" w:rsidRDefault="008C5CFA" w:rsidP="00300A01">
            <w:pPr>
              <w:spacing w:before="0" w:after="0"/>
              <w:jc w:val="right"/>
              <w:rPr>
                <w:sz w:val="16"/>
                <w:szCs w:val="16"/>
                <w:lang w:val="fr-BE"/>
              </w:rPr>
            </w:pPr>
          </w:p>
        </w:tc>
        <w:tc>
          <w:tcPr>
            <w:tcW w:w="0" w:type="auto"/>
            <w:shd w:val="clear" w:color="auto" w:fill="auto"/>
          </w:tcPr>
          <w:p w14:paraId="3827CCF1" w14:textId="77777777" w:rsidR="008C5CFA" w:rsidRPr="0024468B" w:rsidRDefault="00E82A60" w:rsidP="00300A01">
            <w:pPr>
              <w:spacing w:before="0" w:after="0"/>
              <w:jc w:val="right"/>
              <w:rPr>
                <w:sz w:val="16"/>
                <w:szCs w:val="16"/>
                <w:lang w:val="fr-BE"/>
              </w:rPr>
            </w:pPr>
            <w:r w:rsidRPr="0024468B">
              <w:rPr>
                <w:noProof/>
                <w:sz w:val="16"/>
                <w:szCs w:val="16"/>
                <w:lang w:val="fr-BE"/>
              </w:rPr>
              <w:t>250,00</w:t>
            </w:r>
          </w:p>
        </w:tc>
        <w:tc>
          <w:tcPr>
            <w:tcW w:w="0" w:type="auto"/>
            <w:shd w:val="clear" w:color="auto" w:fill="auto"/>
          </w:tcPr>
          <w:p w14:paraId="69EE1CAE"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6ECF24F6"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1BC9E4D6" w14:textId="77777777" w:rsidR="008C5CFA" w:rsidRPr="0024468B" w:rsidRDefault="00E82A60" w:rsidP="00300A01">
            <w:pPr>
              <w:spacing w:before="0" w:after="0"/>
              <w:rPr>
                <w:sz w:val="16"/>
                <w:szCs w:val="16"/>
                <w:lang w:val="fr-BE"/>
              </w:rPr>
            </w:pPr>
            <w:r w:rsidRPr="0024468B">
              <w:rPr>
                <w:noProof/>
                <w:sz w:val="16"/>
                <w:szCs w:val="16"/>
                <w:lang w:val="fr-BE"/>
              </w:rPr>
              <w:t>W związku z bardzo dużym zainteresowaniem jakimi cieszyły się nabory ogłoszone w 2019 roku (194 poprawne formalnie wnioski z 751 złożonych), IZ podjęła decyzję o zwiększeniu wartości docelowej wskaźnika do poziomu 400 przedsiębiorstw.</w:t>
            </w:r>
          </w:p>
        </w:tc>
      </w:tr>
      <w:tr w:rsidR="006B2EC1" w14:paraId="641D2689" w14:textId="77777777" w:rsidTr="0047688D">
        <w:tc>
          <w:tcPr>
            <w:tcW w:w="0" w:type="auto"/>
          </w:tcPr>
          <w:p w14:paraId="19EA90F8" w14:textId="77777777" w:rsidR="008C5CFA" w:rsidRPr="0024468B" w:rsidRDefault="00E82A60" w:rsidP="00300A01">
            <w:pPr>
              <w:spacing w:before="0" w:after="0"/>
              <w:rPr>
                <w:sz w:val="16"/>
                <w:szCs w:val="16"/>
                <w:lang w:val="fr-BE"/>
              </w:rPr>
            </w:pPr>
            <w:r>
              <w:rPr>
                <w:noProof/>
                <w:sz w:val="16"/>
                <w:szCs w:val="16"/>
                <w:lang w:val="fr-BE"/>
              </w:rPr>
              <w:t>F</w:t>
            </w:r>
          </w:p>
        </w:tc>
        <w:tc>
          <w:tcPr>
            <w:tcW w:w="0" w:type="auto"/>
            <w:shd w:val="clear" w:color="auto" w:fill="auto"/>
          </w:tcPr>
          <w:p w14:paraId="56C82ADF" w14:textId="77777777" w:rsidR="008C5CFA" w:rsidRPr="0024468B" w:rsidRDefault="00E82A60" w:rsidP="00300A01">
            <w:pPr>
              <w:spacing w:before="0" w:after="0"/>
              <w:rPr>
                <w:sz w:val="16"/>
                <w:szCs w:val="16"/>
                <w:lang w:val="fr-BE"/>
              </w:rPr>
            </w:pPr>
            <w:r w:rsidRPr="0024468B">
              <w:rPr>
                <w:noProof/>
                <w:sz w:val="16"/>
                <w:szCs w:val="16"/>
                <w:lang w:val="fr-BE"/>
              </w:rPr>
              <w:t>CO03</w:t>
            </w:r>
          </w:p>
        </w:tc>
        <w:tc>
          <w:tcPr>
            <w:tcW w:w="0" w:type="auto"/>
            <w:shd w:val="clear" w:color="auto" w:fill="auto"/>
          </w:tcPr>
          <w:p w14:paraId="5821905E" w14:textId="77777777" w:rsidR="008C5CFA" w:rsidRPr="0024468B" w:rsidRDefault="00E82A60" w:rsidP="00300A01">
            <w:pPr>
              <w:spacing w:before="0" w:after="0"/>
              <w:rPr>
                <w:sz w:val="16"/>
                <w:szCs w:val="16"/>
                <w:lang w:val="fr-BE"/>
              </w:rPr>
            </w:pPr>
            <w:r w:rsidRPr="0024468B">
              <w:rPr>
                <w:noProof/>
                <w:sz w:val="16"/>
                <w:szCs w:val="16"/>
                <w:lang w:val="fr-BE"/>
              </w:rPr>
              <w:t>Inwestycje produkcyjne: liczba przedsiębiorstw otrzymujących wsparcie finansowe inne niż dotacje</w:t>
            </w:r>
          </w:p>
        </w:tc>
        <w:tc>
          <w:tcPr>
            <w:tcW w:w="0" w:type="auto"/>
            <w:shd w:val="clear" w:color="auto" w:fill="auto"/>
          </w:tcPr>
          <w:p w14:paraId="1AAC3A72" w14:textId="77777777" w:rsidR="008C5CFA" w:rsidRPr="0024468B" w:rsidRDefault="00E82A60" w:rsidP="00300A01">
            <w:pPr>
              <w:spacing w:before="0" w:after="0"/>
              <w:rPr>
                <w:sz w:val="16"/>
                <w:szCs w:val="16"/>
                <w:lang w:val="fr-BE"/>
              </w:rPr>
            </w:pPr>
            <w:r>
              <w:rPr>
                <w:noProof/>
                <w:sz w:val="16"/>
                <w:szCs w:val="16"/>
                <w:lang w:val="fr-BE"/>
              </w:rPr>
              <w:t>Przedsiębiorstwa</w:t>
            </w:r>
          </w:p>
        </w:tc>
        <w:tc>
          <w:tcPr>
            <w:tcW w:w="0" w:type="auto"/>
            <w:shd w:val="clear" w:color="auto" w:fill="auto"/>
          </w:tcPr>
          <w:p w14:paraId="5C4AE827" w14:textId="77777777" w:rsidR="008C5CFA" w:rsidRPr="0024468B" w:rsidRDefault="00E82A60"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14:paraId="40B8F79C" w14:textId="77777777" w:rsidR="008C5CFA" w:rsidRPr="0024468B" w:rsidRDefault="00E82A60" w:rsidP="00300A01">
            <w:pPr>
              <w:spacing w:before="0" w:after="0"/>
              <w:jc w:val="right"/>
              <w:rPr>
                <w:sz w:val="16"/>
                <w:szCs w:val="16"/>
                <w:lang w:val="fr-BE"/>
              </w:rPr>
            </w:pPr>
            <w:r>
              <w:rPr>
                <w:noProof/>
                <w:sz w:val="16"/>
                <w:szCs w:val="16"/>
                <w:lang w:val="fr-BE"/>
              </w:rPr>
              <w:t>932,00</w:t>
            </w:r>
          </w:p>
        </w:tc>
        <w:tc>
          <w:tcPr>
            <w:tcW w:w="0" w:type="auto"/>
            <w:shd w:val="clear" w:color="auto" w:fill="auto"/>
          </w:tcPr>
          <w:p w14:paraId="12FFF48A" w14:textId="77777777" w:rsidR="008C5CFA" w:rsidRPr="0024468B" w:rsidRDefault="008C5CFA" w:rsidP="00300A01">
            <w:pPr>
              <w:spacing w:before="0" w:after="0"/>
              <w:jc w:val="right"/>
              <w:rPr>
                <w:sz w:val="16"/>
                <w:szCs w:val="16"/>
                <w:lang w:val="fr-BE"/>
              </w:rPr>
            </w:pPr>
          </w:p>
        </w:tc>
        <w:tc>
          <w:tcPr>
            <w:tcW w:w="0" w:type="auto"/>
          </w:tcPr>
          <w:p w14:paraId="005515F2" w14:textId="77777777" w:rsidR="008C5CFA" w:rsidRPr="0024468B" w:rsidRDefault="008C5CFA" w:rsidP="00300A01">
            <w:pPr>
              <w:spacing w:before="0" w:after="0"/>
              <w:jc w:val="right"/>
              <w:rPr>
                <w:sz w:val="16"/>
                <w:szCs w:val="16"/>
                <w:lang w:val="fr-BE"/>
              </w:rPr>
            </w:pPr>
          </w:p>
        </w:tc>
        <w:tc>
          <w:tcPr>
            <w:tcW w:w="0" w:type="auto"/>
            <w:shd w:val="clear" w:color="auto" w:fill="auto"/>
          </w:tcPr>
          <w:p w14:paraId="5B37A726" w14:textId="77777777" w:rsidR="008C5CFA" w:rsidRPr="0024468B" w:rsidRDefault="00E82A60" w:rsidP="00300A01">
            <w:pPr>
              <w:spacing w:before="0" w:after="0"/>
              <w:jc w:val="right"/>
              <w:rPr>
                <w:sz w:val="16"/>
                <w:szCs w:val="16"/>
                <w:lang w:val="fr-BE"/>
              </w:rPr>
            </w:pPr>
            <w:r w:rsidRPr="0024468B">
              <w:rPr>
                <w:noProof/>
                <w:sz w:val="16"/>
                <w:szCs w:val="16"/>
                <w:lang w:val="fr-BE"/>
              </w:rPr>
              <w:t>583,00</w:t>
            </w:r>
          </w:p>
        </w:tc>
        <w:tc>
          <w:tcPr>
            <w:tcW w:w="0" w:type="auto"/>
            <w:shd w:val="clear" w:color="auto" w:fill="auto"/>
          </w:tcPr>
          <w:p w14:paraId="01144C87"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02C8923E"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639EF4AB" w14:textId="77777777" w:rsidR="008C5CFA" w:rsidRPr="0024468B" w:rsidRDefault="008C5CFA" w:rsidP="00300A01">
            <w:pPr>
              <w:spacing w:before="0" w:after="0"/>
              <w:rPr>
                <w:sz w:val="16"/>
                <w:szCs w:val="16"/>
                <w:lang w:val="fr-BE"/>
              </w:rPr>
            </w:pPr>
          </w:p>
        </w:tc>
      </w:tr>
      <w:tr w:rsidR="006B2EC1" w14:paraId="33A7DD0E" w14:textId="77777777" w:rsidTr="0047688D">
        <w:tc>
          <w:tcPr>
            <w:tcW w:w="0" w:type="auto"/>
          </w:tcPr>
          <w:p w14:paraId="4D5C4244" w14:textId="77777777" w:rsidR="008C5CFA" w:rsidRPr="0024468B" w:rsidRDefault="00E82A60" w:rsidP="00300A01">
            <w:pPr>
              <w:spacing w:before="0" w:after="0"/>
              <w:rPr>
                <w:sz w:val="16"/>
                <w:szCs w:val="16"/>
                <w:lang w:val="fr-BE"/>
              </w:rPr>
            </w:pPr>
            <w:r>
              <w:rPr>
                <w:noProof/>
                <w:sz w:val="16"/>
                <w:szCs w:val="16"/>
                <w:lang w:val="fr-BE"/>
              </w:rPr>
              <w:t>S</w:t>
            </w:r>
          </w:p>
        </w:tc>
        <w:tc>
          <w:tcPr>
            <w:tcW w:w="0" w:type="auto"/>
            <w:shd w:val="clear" w:color="auto" w:fill="auto"/>
          </w:tcPr>
          <w:p w14:paraId="67670524" w14:textId="77777777" w:rsidR="008C5CFA" w:rsidRPr="0024468B" w:rsidRDefault="00E82A60" w:rsidP="00300A01">
            <w:pPr>
              <w:spacing w:before="0" w:after="0"/>
              <w:rPr>
                <w:sz w:val="16"/>
                <w:szCs w:val="16"/>
                <w:lang w:val="fr-BE"/>
              </w:rPr>
            </w:pPr>
            <w:r w:rsidRPr="0024468B">
              <w:rPr>
                <w:noProof/>
                <w:sz w:val="16"/>
                <w:szCs w:val="16"/>
                <w:lang w:val="fr-BE"/>
              </w:rPr>
              <w:t>CO03</w:t>
            </w:r>
          </w:p>
        </w:tc>
        <w:tc>
          <w:tcPr>
            <w:tcW w:w="0" w:type="auto"/>
            <w:shd w:val="clear" w:color="auto" w:fill="auto"/>
          </w:tcPr>
          <w:p w14:paraId="763D1921" w14:textId="77777777" w:rsidR="008C5CFA" w:rsidRPr="0024468B" w:rsidRDefault="00E82A60" w:rsidP="00300A01">
            <w:pPr>
              <w:spacing w:before="0" w:after="0"/>
              <w:rPr>
                <w:sz w:val="16"/>
                <w:szCs w:val="16"/>
                <w:lang w:val="fr-BE"/>
              </w:rPr>
            </w:pPr>
            <w:r w:rsidRPr="0024468B">
              <w:rPr>
                <w:noProof/>
                <w:sz w:val="16"/>
                <w:szCs w:val="16"/>
                <w:lang w:val="fr-BE"/>
              </w:rPr>
              <w:t>Inwestycje produkcyjne: liczba przedsiębiorstw otrzymujących wsparcie finansowe inne niż dotacje</w:t>
            </w:r>
          </w:p>
        </w:tc>
        <w:tc>
          <w:tcPr>
            <w:tcW w:w="0" w:type="auto"/>
            <w:shd w:val="clear" w:color="auto" w:fill="auto"/>
          </w:tcPr>
          <w:p w14:paraId="20FA0C23" w14:textId="77777777" w:rsidR="008C5CFA" w:rsidRPr="0024468B" w:rsidRDefault="00E82A60" w:rsidP="00300A01">
            <w:pPr>
              <w:spacing w:before="0" w:after="0"/>
              <w:rPr>
                <w:sz w:val="16"/>
                <w:szCs w:val="16"/>
                <w:lang w:val="fr-BE"/>
              </w:rPr>
            </w:pPr>
            <w:r>
              <w:rPr>
                <w:noProof/>
                <w:sz w:val="16"/>
                <w:szCs w:val="16"/>
                <w:lang w:val="fr-BE"/>
              </w:rPr>
              <w:t>Przedsiębiorstwa</w:t>
            </w:r>
          </w:p>
        </w:tc>
        <w:tc>
          <w:tcPr>
            <w:tcW w:w="0" w:type="auto"/>
            <w:shd w:val="clear" w:color="auto" w:fill="auto"/>
          </w:tcPr>
          <w:p w14:paraId="33B06C03" w14:textId="77777777" w:rsidR="008C5CFA" w:rsidRPr="0024468B" w:rsidRDefault="00E82A60"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14:paraId="122C8C01" w14:textId="77777777" w:rsidR="008C5CFA" w:rsidRPr="0024468B" w:rsidRDefault="00E82A60" w:rsidP="00300A01">
            <w:pPr>
              <w:spacing w:before="0" w:after="0"/>
              <w:jc w:val="right"/>
              <w:rPr>
                <w:sz w:val="16"/>
                <w:szCs w:val="16"/>
                <w:lang w:val="fr-BE"/>
              </w:rPr>
            </w:pPr>
            <w:r>
              <w:rPr>
                <w:noProof/>
                <w:sz w:val="16"/>
                <w:szCs w:val="16"/>
                <w:lang w:val="fr-BE"/>
              </w:rPr>
              <w:t>932,00</w:t>
            </w:r>
          </w:p>
        </w:tc>
        <w:tc>
          <w:tcPr>
            <w:tcW w:w="0" w:type="auto"/>
            <w:shd w:val="clear" w:color="auto" w:fill="auto"/>
          </w:tcPr>
          <w:p w14:paraId="5203BED4" w14:textId="77777777" w:rsidR="008C5CFA" w:rsidRPr="0024468B" w:rsidRDefault="008C5CFA" w:rsidP="00300A01">
            <w:pPr>
              <w:spacing w:before="0" w:after="0"/>
              <w:jc w:val="right"/>
              <w:rPr>
                <w:sz w:val="16"/>
                <w:szCs w:val="16"/>
                <w:lang w:val="fr-BE"/>
              </w:rPr>
            </w:pPr>
          </w:p>
        </w:tc>
        <w:tc>
          <w:tcPr>
            <w:tcW w:w="0" w:type="auto"/>
          </w:tcPr>
          <w:p w14:paraId="74BCBB41" w14:textId="77777777" w:rsidR="008C5CFA" w:rsidRPr="0024468B" w:rsidRDefault="008C5CFA" w:rsidP="00300A01">
            <w:pPr>
              <w:spacing w:before="0" w:after="0"/>
              <w:jc w:val="right"/>
              <w:rPr>
                <w:sz w:val="16"/>
                <w:szCs w:val="16"/>
                <w:lang w:val="fr-BE"/>
              </w:rPr>
            </w:pPr>
          </w:p>
        </w:tc>
        <w:tc>
          <w:tcPr>
            <w:tcW w:w="0" w:type="auto"/>
            <w:shd w:val="clear" w:color="auto" w:fill="auto"/>
          </w:tcPr>
          <w:p w14:paraId="0768B091" w14:textId="77777777" w:rsidR="008C5CFA" w:rsidRPr="0024468B" w:rsidRDefault="00E82A60" w:rsidP="00300A01">
            <w:pPr>
              <w:spacing w:before="0" w:after="0"/>
              <w:jc w:val="right"/>
              <w:rPr>
                <w:sz w:val="16"/>
                <w:szCs w:val="16"/>
                <w:lang w:val="fr-BE"/>
              </w:rPr>
            </w:pPr>
            <w:r w:rsidRPr="0024468B">
              <w:rPr>
                <w:noProof/>
                <w:sz w:val="16"/>
                <w:szCs w:val="16"/>
                <w:lang w:val="fr-BE"/>
              </w:rPr>
              <w:t>932,00</w:t>
            </w:r>
          </w:p>
        </w:tc>
        <w:tc>
          <w:tcPr>
            <w:tcW w:w="0" w:type="auto"/>
            <w:shd w:val="clear" w:color="auto" w:fill="auto"/>
          </w:tcPr>
          <w:p w14:paraId="564A5935"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7D4D185F"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11ACF7B7" w14:textId="77777777" w:rsidR="008C5CFA" w:rsidRPr="0024468B" w:rsidRDefault="00E82A60" w:rsidP="00300A01">
            <w:pPr>
              <w:spacing w:before="0" w:after="0"/>
              <w:rPr>
                <w:sz w:val="16"/>
                <w:szCs w:val="16"/>
                <w:lang w:val="fr-BE"/>
              </w:rPr>
            </w:pPr>
            <w:r w:rsidRPr="0024468B">
              <w:rPr>
                <w:noProof/>
                <w:sz w:val="16"/>
                <w:szCs w:val="16"/>
                <w:lang w:val="fr-BE"/>
              </w:rPr>
              <w:t>Wartość wskaźnik została urealniona na projekcie realizowanym przez BGK, do wartości docelowej przyjętej w wyniku zmiany Programu.</w:t>
            </w:r>
          </w:p>
        </w:tc>
      </w:tr>
      <w:tr w:rsidR="006B2EC1" w14:paraId="0B75F0EA" w14:textId="77777777" w:rsidTr="0047688D">
        <w:tc>
          <w:tcPr>
            <w:tcW w:w="0" w:type="auto"/>
          </w:tcPr>
          <w:p w14:paraId="49D8370E" w14:textId="77777777" w:rsidR="008C5CFA" w:rsidRPr="0024468B" w:rsidRDefault="00E82A60" w:rsidP="00300A01">
            <w:pPr>
              <w:spacing w:before="0" w:after="0"/>
              <w:rPr>
                <w:sz w:val="16"/>
                <w:szCs w:val="16"/>
                <w:lang w:val="fr-BE"/>
              </w:rPr>
            </w:pPr>
            <w:r>
              <w:rPr>
                <w:noProof/>
                <w:sz w:val="16"/>
                <w:szCs w:val="16"/>
                <w:lang w:val="fr-BE"/>
              </w:rPr>
              <w:t>F</w:t>
            </w:r>
          </w:p>
        </w:tc>
        <w:tc>
          <w:tcPr>
            <w:tcW w:w="0" w:type="auto"/>
            <w:shd w:val="clear" w:color="auto" w:fill="auto"/>
          </w:tcPr>
          <w:p w14:paraId="06C4ED2E" w14:textId="77777777" w:rsidR="008C5CFA" w:rsidRPr="0024468B" w:rsidRDefault="00E82A60" w:rsidP="00300A01">
            <w:pPr>
              <w:spacing w:before="0" w:after="0"/>
              <w:rPr>
                <w:sz w:val="16"/>
                <w:szCs w:val="16"/>
                <w:lang w:val="fr-BE"/>
              </w:rPr>
            </w:pPr>
            <w:r w:rsidRPr="0024468B">
              <w:rPr>
                <w:noProof/>
                <w:sz w:val="16"/>
                <w:szCs w:val="16"/>
                <w:lang w:val="fr-BE"/>
              </w:rPr>
              <w:t>CO06</w:t>
            </w:r>
          </w:p>
        </w:tc>
        <w:tc>
          <w:tcPr>
            <w:tcW w:w="0" w:type="auto"/>
            <w:shd w:val="clear" w:color="auto" w:fill="auto"/>
          </w:tcPr>
          <w:p w14:paraId="4BCBB010" w14:textId="77777777" w:rsidR="008C5CFA" w:rsidRPr="0024468B" w:rsidRDefault="00E82A60" w:rsidP="00300A01">
            <w:pPr>
              <w:spacing w:before="0" w:after="0"/>
              <w:rPr>
                <w:sz w:val="16"/>
                <w:szCs w:val="16"/>
                <w:lang w:val="fr-BE"/>
              </w:rPr>
            </w:pPr>
            <w:r w:rsidRPr="0024468B">
              <w:rPr>
                <w:noProof/>
                <w:sz w:val="16"/>
                <w:szCs w:val="16"/>
                <w:lang w:val="fr-BE"/>
              </w:rPr>
              <w:t>Inwestycje produkcyjne: inwestycje prywatne uzupełniające wsparcie publiczne dla przedsiębiorstw (dotacje)</w:t>
            </w:r>
          </w:p>
        </w:tc>
        <w:tc>
          <w:tcPr>
            <w:tcW w:w="0" w:type="auto"/>
            <w:shd w:val="clear" w:color="auto" w:fill="auto"/>
          </w:tcPr>
          <w:p w14:paraId="602E320C" w14:textId="77777777" w:rsidR="008C5CFA" w:rsidRPr="0024468B" w:rsidRDefault="00E82A60" w:rsidP="00300A01">
            <w:pPr>
              <w:spacing w:before="0" w:after="0"/>
              <w:rPr>
                <w:sz w:val="16"/>
                <w:szCs w:val="16"/>
                <w:lang w:val="fr-BE"/>
              </w:rPr>
            </w:pPr>
            <w:r>
              <w:rPr>
                <w:noProof/>
                <w:sz w:val="16"/>
                <w:szCs w:val="16"/>
                <w:lang w:val="fr-BE"/>
              </w:rPr>
              <w:t>EUR</w:t>
            </w:r>
          </w:p>
        </w:tc>
        <w:tc>
          <w:tcPr>
            <w:tcW w:w="0" w:type="auto"/>
            <w:shd w:val="clear" w:color="auto" w:fill="auto"/>
          </w:tcPr>
          <w:p w14:paraId="6742E733" w14:textId="77777777" w:rsidR="008C5CFA" w:rsidRPr="0024468B" w:rsidRDefault="00E82A60"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14:paraId="0CAC7E80" w14:textId="77777777" w:rsidR="008C5CFA" w:rsidRPr="0024468B" w:rsidRDefault="00E82A60" w:rsidP="00300A01">
            <w:pPr>
              <w:spacing w:before="0" w:after="0"/>
              <w:jc w:val="right"/>
              <w:rPr>
                <w:sz w:val="16"/>
                <w:szCs w:val="16"/>
                <w:lang w:val="fr-BE"/>
              </w:rPr>
            </w:pPr>
            <w:r>
              <w:rPr>
                <w:noProof/>
                <w:sz w:val="16"/>
                <w:szCs w:val="16"/>
                <w:lang w:val="fr-BE"/>
              </w:rPr>
              <w:t>60 800 000,00</w:t>
            </w:r>
          </w:p>
        </w:tc>
        <w:tc>
          <w:tcPr>
            <w:tcW w:w="0" w:type="auto"/>
            <w:shd w:val="clear" w:color="auto" w:fill="auto"/>
          </w:tcPr>
          <w:p w14:paraId="507DA85A" w14:textId="77777777" w:rsidR="008C5CFA" w:rsidRPr="0024468B" w:rsidRDefault="008C5CFA" w:rsidP="00300A01">
            <w:pPr>
              <w:spacing w:before="0" w:after="0"/>
              <w:jc w:val="right"/>
              <w:rPr>
                <w:sz w:val="16"/>
                <w:szCs w:val="16"/>
                <w:lang w:val="fr-BE"/>
              </w:rPr>
            </w:pPr>
          </w:p>
        </w:tc>
        <w:tc>
          <w:tcPr>
            <w:tcW w:w="0" w:type="auto"/>
          </w:tcPr>
          <w:p w14:paraId="7FB052D8" w14:textId="77777777" w:rsidR="008C5CFA" w:rsidRPr="0024468B" w:rsidRDefault="008C5CFA" w:rsidP="00300A01">
            <w:pPr>
              <w:spacing w:before="0" w:after="0"/>
              <w:jc w:val="right"/>
              <w:rPr>
                <w:sz w:val="16"/>
                <w:szCs w:val="16"/>
                <w:lang w:val="fr-BE"/>
              </w:rPr>
            </w:pPr>
          </w:p>
        </w:tc>
        <w:tc>
          <w:tcPr>
            <w:tcW w:w="0" w:type="auto"/>
            <w:shd w:val="clear" w:color="auto" w:fill="auto"/>
          </w:tcPr>
          <w:p w14:paraId="2A67139E" w14:textId="77777777" w:rsidR="008C5CFA" w:rsidRPr="0024468B" w:rsidRDefault="00E82A60" w:rsidP="00300A01">
            <w:pPr>
              <w:spacing w:before="0" w:after="0"/>
              <w:jc w:val="right"/>
              <w:rPr>
                <w:sz w:val="16"/>
                <w:szCs w:val="16"/>
                <w:lang w:val="fr-BE"/>
              </w:rPr>
            </w:pPr>
            <w:r w:rsidRPr="0024468B">
              <w:rPr>
                <w:noProof/>
                <w:sz w:val="16"/>
                <w:szCs w:val="16"/>
                <w:lang w:val="fr-BE"/>
              </w:rPr>
              <w:t>24 677 752,41</w:t>
            </w:r>
          </w:p>
        </w:tc>
        <w:tc>
          <w:tcPr>
            <w:tcW w:w="0" w:type="auto"/>
            <w:shd w:val="clear" w:color="auto" w:fill="auto"/>
          </w:tcPr>
          <w:p w14:paraId="4F6864A5"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72E9FC62"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158431C4" w14:textId="77777777" w:rsidR="008C5CFA" w:rsidRPr="0024468B" w:rsidRDefault="008C5CFA" w:rsidP="00300A01">
            <w:pPr>
              <w:spacing w:before="0" w:after="0"/>
              <w:rPr>
                <w:sz w:val="16"/>
                <w:szCs w:val="16"/>
                <w:lang w:val="fr-BE"/>
              </w:rPr>
            </w:pPr>
          </w:p>
        </w:tc>
      </w:tr>
      <w:tr w:rsidR="006B2EC1" w14:paraId="502277D7" w14:textId="77777777" w:rsidTr="0047688D">
        <w:tc>
          <w:tcPr>
            <w:tcW w:w="0" w:type="auto"/>
          </w:tcPr>
          <w:p w14:paraId="46A80A23" w14:textId="77777777" w:rsidR="008C5CFA" w:rsidRPr="0024468B" w:rsidRDefault="00E82A60" w:rsidP="00300A01">
            <w:pPr>
              <w:spacing w:before="0" w:after="0"/>
              <w:rPr>
                <w:sz w:val="16"/>
                <w:szCs w:val="16"/>
                <w:lang w:val="fr-BE"/>
              </w:rPr>
            </w:pPr>
            <w:r>
              <w:rPr>
                <w:noProof/>
                <w:sz w:val="16"/>
                <w:szCs w:val="16"/>
                <w:lang w:val="fr-BE"/>
              </w:rPr>
              <w:t>S</w:t>
            </w:r>
          </w:p>
        </w:tc>
        <w:tc>
          <w:tcPr>
            <w:tcW w:w="0" w:type="auto"/>
            <w:shd w:val="clear" w:color="auto" w:fill="auto"/>
          </w:tcPr>
          <w:p w14:paraId="3799C558" w14:textId="77777777" w:rsidR="008C5CFA" w:rsidRPr="0024468B" w:rsidRDefault="00E82A60" w:rsidP="00300A01">
            <w:pPr>
              <w:spacing w:before="0" w:after="0"/>
              <w:rPr>
                <w:sz w:val="16"/>
                <w:szCs w:val="16"/>
                <w:lang w:val="fr-BE"/>
              </w:rPr>
            </w:pPr>
            <w:r w:rsidRPr="0024468B">
              <w:rPr>
                <w:noProof/>
                <w:sz w:val="16"/>
                <w:szCs w:val="16"/>
                <w:lang w:val="fr-BE"/>
              </w:rPr>
              <w:t>CO06</w:t>
            </w:r>
          </w:p>
        </w:tc>
        <w:tc>
          <w:tcPr>
            <w:tcW w:w="0" w:type="auto"/>
            <w:shd w:val="clear" w:color="auto" w:fill="auto"/>
          </w:tcPr>
          <w:p w14:paraId="213498A3" w14:textId="77777777" w:rsidR="008C5CFA" w:rsidRPr="0024468B" w:rsidRDefault="00E82A60" w:rsidP="00300A01">
            <w:pPr>
              <w:spacing w:before="0" w:after="0"/>
              <w:rPr>
                <w:sz w:val="16"/>
                <w:szCs w:val="16"/>
                <w:lang w:val="fr-BE"/>
              </w:rPr>
            </w:pPr>
            <w:r w:rsidRPr="0024468B">
              <w:rPr>
                <w:noProof/>
                <w:sz w:val="16"/>
                <w:szCs w:val="16"/>
                <w:lang w:val="fr-BE"/>
              </w:rPr>
              <w:t>Inwestycje produkcyjne: inwestycje prywatne uzupełniające wsparcie publiczne dla przedsiębiorstw (dotacje)</w:t>
            </w:r>
          </w:p>
        </w:tc>
        <w:tc>
          <w:tcPr>
            <w:tcW w:w="0" w:type="auto"/>
            <w:shd w:val="clear" w:color="auto" w:fill="auto"/>
          </w:tcPr>
          <w:p w14:paraId="79D06C9E" w14:textId="77777777" w:rsidR="008C5CFA" w:rsidRPr="0024468B" w:rsidRDefault="00E82A60" w:rsidP="00300A01">
            <w:pPr>
              <w:spacing w:before="0" w:after="0"/>
              <w:rPr>
                <w:sz w:val="16"/>
                <w:szCs w:val="16"/>
                <w:lang w:val="fr-BE"/>
              </w:rPr>
            </w:pPr>
            <w:r>
              <w:rPr>
                <w:noProof/>
                <w:sz w:val="16"/>
                <w:szCs w:val="16"/>
                <w:lang w:val="fr-BE"/>
              </w:rPr>
              <w:t>EUR</w:t>
            </w:r>
          </w:p>
        </w:tc>
        <w:tc>
          <w:tcPr>
            <w:tcW w:w="0" w:type="auto"/>
            <w:shd w:val="clear" w:color="auto" w:fill="auto"/>
          </w:tcPr>
          <w:p w14:paraId="4BE3ED92" w14:textId="77777777" w:rsidR="008C5CFA" w:rsidRPr="0024468B" w:rsidRDefault="00E82A60"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14:paraId="021DE3C4" w14:textId="77777777" w:rsidR="008C5CFA" w:rsidRPr="0024468B" w:rsidRDefault="00E82A60" w:rsidP="00300A01">
            <w:pPr>
              <w:spacing w:before="0" w:after="0"/>
              <w:jc w:val="right"/>
              <w:rPr>
                <w:sz w:val="16"/>
                <w:szCs w:val="16"/>
                <w:lang w:val="fr-BE"/>
              </w:rPr>
            </w:pPr>
            <w:r>
              <w:rPr>
                <w:noProof/>
                <w:sz w:val="16"/>
                <w:szCs w:val="16"/>
                <w:lang w:val="fr-BE"/>
              </w:rPr>
              <w:t>60 800 000,00</w:t>
            </w:r>
          </w:p>
        </w:tc>
        <w:tc>
          <w:tcPr>
            <w:tcW w:w="0" w:type="auto"/>
            <w:shd w:val="clear" w:color="auto" w:fill="auto"/>
          </w:tcPr>
          <w:p w14:paraId="4FB794FE" w14:textId="77777777" w:rsidR="008C5CFA" w:rsidRPr="0024468B" w:rsidRDefault="008C5CFA" w:rsidP="00300A01">
            <w:pPr>
              <w:spacing w:before="0" w:after="0"/>
              <w:jc w:val="right"/>
              <w:rPr>
                <w:sz w:val="16"/>
                <w:szCs w:val="16"/>
                <w:lang w:val="fr-BE"/>
              </w:rPr>
            </w:pPr>
          </w:p>
        </w:tc>
        <w:tc>
          <w:tcPr>
            <w:tcW w:w="0" w:type="auto"/>
          </w:tcPr>
          <w:p w14:paraId="50DBB65B" w14:textId="77777777" w:rsidR="008C5CFA" w:rsidRPr="0024468B" w:rsidRDefault="008C5CFA" w:rsidP="00300A01">
            <w:pPr>
              <w:spacing w:before="0" w:after="0"/>
              <w:jc w:val="right"/>
              <w:rPr>
                <w:sz w:val="16"/>
                <w:szCs w:val="16"/>
                <w:lang w:val="fr-BE"/>
              </w:rPr>
            </w:pPr>
          </w:p>
        </w:tc>
        <w:tc>
          <w:tcPr>
            <w:tcW w:w="0" w:type="auto"/>
            <w:shd w:val="clear" w:color="auto" w:fill="auto"/>
          </w:tcPr>
          <w:p w14:paraId="17EFA8FD" w14:textId="77777777" w:rsidR="008C5CFA" w:rsidRPr="0024468B" w:rsidRDefault="00E82A60" w:rsidP="00300A01">
            <w:pPr>
              <w:spacing w:before="0" w:after="0"/>
              <w:jc w:val="right"/>
              <w:rPr>
                <w:sz w:val="16"/>
                <w:szCs w:val="16"/>
                <w:lang w:val="fr-BE"/>
              </w:rPr>
            </w:pPr>
            <w:r w:rsidRPr="0024468B">
              <w:rPr>
                <w:noProof/>
                <w:sz w:val="16"/>
                <w:szCs w:val="16"/>
                <w:lang w:val="fr-BE"/>
              </w:rPr>
              <w:t>39 905 708,35</w:t>
            </w:r>
          </w:p>
        </w:tc>
        <w:tc>
          <w:tcPr>
            <w:tcW w:w="0" w:type="auto"/>
            <w:shd w:val="clear" w:color="auto" w:fill="auto"/>
          </w:tcPr>
          <w:p w14:paraId="6032A2E9"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11A0BCE8"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5E7BD836" w14:textId="77777777" w:rsidR="008C5CFA" w:rsidRPr="0024468B" w:rsidRDefault="008C5CFA" w:rsidP="00300A01">
            <w:pPr>
              <w:spacing w:before="0" w:after="0"/>
              <w:rPr>
                <w:sz w:val="16"/>
                <w:szCs w:val="16"/>
                <w:lang w:val="fr-BE"/>
              </w:rPr>
            </w:pPr>
          </w:p>
        </w:tc>
      </w:tr>
      <w:tr w:rsidR="006B2EC1" w14:paraId="0588D2C4" w14:textId="77777777" w:rsidTr="0047688D">
        <w:tc>
          <w:tcPr>
            <w:tcW w:w="0" w:type="auto"/>
          </w:tcPr>
          <w:p w14:paraId="555C6658" w14:textId="77777777" w:rsidR="008C5CFA" w:rsidRPr="0024468B" w:rsidRDefault="00E82A60" w:rsidP="00300A01">
            <w:pPr>
              <w:spacing w:before="0" w:after="0"/>
              <w:rPr>
                <w:sz w:val="16"/>
                <w:szCs w:val="16"/>
                <w:lang w:val="fr-BE"/>
              </w:rPr>
            </w:pPr>
            <w:r>
              <w:rPr>
                <w:noProof/>
                <w:sz w:val="16"/>
                <w:szCs w:val="16"/>
                <w:lang w:val="fr-BE"/>
              </w:rPr>
              <w:t>F</w:t>
            </w:r>
          </w:p>
        </w:tc>
        <w:tc>
          <w:tcPr>
            <w:tcW w:w="0" w:type="auto"/>
            <w:shd w:val="clear" w:color="auto" w:fill="auto"/>
          </w:tcPr>
          <w:p w14:paraId="54CF25BE" w14:textId="77777777" w:rsidR="008C5CFA" w:rsidRPr="0024468B" w:rsidRDefault="00E82A60" w:rsidP="00300A01">
            <w:pPr>
              <w:spacing w:before="0" w:after="0"/>
              <w:rPr>
                <w:sz w:val="16"/>
                <w:szCs w:val="16"/>
                <w:lang w:val="fr-BE"/>
              </w:rPr>
            </w:pPr>
            <w:r w:rsidRPr="0024468B">
              <w:rPr>
                <w:noProof/>
                <w:sz w:val="16"/>
                <w:szCs w:val="16"/>
                <w:lang w:val="fr-BE"/>
              </w:rPr>
              <w:t>CO07</w:t>
            </w:r>
          </w:p>
        </w:tc>
        <w:tc>
          <w:tcPr>
            <w:tcW w:w="0" w:type="auto"/>
            <w:shd w:val="clear" w:color="auto" w:fill="auto"/>
          </w:tcPr>
          <w:p w14:paraId="29E7D9D1" w14:textId="77777777" w:rsidR="008C5CFA" w:rsidRPr="0024468B" w:rsidRDefault="00E82A60" w:rsidP="00300A01">
            <w:pPr>
              <w:spacing w:before="0" w:after="0"/>
              <w:rPr>
                <w:sz w:val="16"/>
                <w:szCs w:val="16"/>
                <w:lang w:val="fr-BE"/>
              </w:rPr>
            </w:pPr>
            <w:r w:rsidRPr="0024468B">
              <w:rPr>
                <w:noProof/>
                <w:sz w:val="16"/>
                <w:szCs w:val="16"/>
                <w:lang w:val="fr-BE"/>
              </w:rPr>
              <w:t>Inwestycje produkcyjne: inwestycje prywatne uzupełniające wsparcie publiczne dla przedsiębiorstw (inne niż dotacje)</w:t>
            </w:r>
          </w:p>
        </w:tc>
        <w:tc>
          <w:tcPr>
            <w:tcW w:w="0" w:type="auto"/>
            <w:shd w:val="clear" w:color="auto" w:fill="auto"/>
          </w:tcPr>
          <w:p w14:paraId="3E9C0111" w14:textId="77777777" w:rsidR="008C5CFA" w:rsidRPr="0024468B" w:rsidRDefault="00E82A60" w:rsidP="00300A01">
            <w:pPr>
              <w:spacing w:before="0" w:after="0"/>
              <w:rPr>
                <w:sz w:val="16"/>
                <w:szCs w:val="16"/>
                <w:lang w:val="fr-BE"/>
              </w:rPr>
            </w:pPr>
            <w:r>
              <w:rPr>
                <w:noProof/>
                <w:sz w:val="16"/>
                <w:szCs w:val="16"/>
                <w:lang w:val="fr-BE"/>
              </w:rPr>
              <w:t>EUR</w:t>
            </w:r>
          </w:p>
        </w:tc>
        <w:tc>
          <w:tcPr>
            <w:tcW w:w="0" w:type="auto"/>
            <w:shd w:val="clear" w:color="auto" w:fill="auto"/>
          </w:tcPr>
          <w:p w14:paraId="01E1B05D" w14:textId="77777777" w:rsidR="008C5CFA" w:rsidRPr="0024468B" w:rsidRDefault="00E82A60"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14:paraId="4A378254" w14:textId="77777777" w:rsidR="008C5CFA" w:rsidRPr="0024468B" w:rsidRDefault="00E82A60" w:rsidP="00300A01">
            <w:pPr>
              <w:spacing w:before="0" w:after="0"/>
              <w:jc w:val="right"/>
              <w:rPr>
                <w:sz w:val="16"/>
                <w:szCs w:val="16"/>
                <w:lang w:val="fr-BE"/>
              </w:rPr>
            </w:pPr>
            <w:r>
              <w:rPr>
                <w:noProof/>
                <w:sz w:val="16"/>
                <w:szCs w:val="16"/>
                <w:lang w:val="fr-BE"/>
              </w:rPr>
              <w:t>7 500 000,00</w:t>
            </w:r>
          </w:p>
        </w:tc>
        <w:tc>
          <w:tcPr>
            <w:tcW w:w="0" w:type="auto"/>
            <w:shd w:val="clear" w:color="auto" w:fill="auto"/>
          </w:tcPr>
          <w:p w14:paraId="4E8FA03E" w14:textId="77777777" w:rsidR="008C5CFA" w:rsidRPr="0024468B" w:rsidRDefault="008C5CFA" w:rsidP="00300A01">
            <w:pPr>
              <w:spacing w:before="0" w:after="0"/>
              <w:jc w:val="right"/>
              <w:rPr>
                <w:sz w:val="16"/>
                <w:szCs w:val="16"/>
                <w:lang w:val="fr-BE"/>
              </w:rPr>
            </w:pPr>
          </w:p>
        </w:tc>
        <w:tc>
          <w:tcPr>
            <w:tcW w:w="0" w:type="auto"/>
          </w:tcPr>
          <w:p w14:paraId="77033F30" w14:textId="77777777" w:rsidR="008C5CFA" w:rsidRPr="0024468B" w:rsidRDefault="008C5CFA" w:rsidP="00300A01">
            <w:pPr>
              <w:spacing w:before="0" w:after="0"/>
              <w:jc w:val="right"/>
              <w:rPr>
                <w:sz w:val="16"/>
                <w:szCs w:val="16"/>
                <w:lang w:val="fr-BE"/>
              </w:rPr>
            </w:pPr>
          </w:p>
        </w:tc>
        <w:tc>
          <w:tcPr>
            <w:tcW w:w="0" w:type="auto"/>
            <w:shd w:val="clear" w:color="auto" w:fill="auto"/>
          </w:tcPr>
          <w:p w14:paraId="529C1E61" w14:textId="77777777" w:rsidR="008C5CFA" w:rsidRPr="0024468B" w:rsidRDefault="00E82A60" w:rsidP="00300A01">
            <w:pPr>
              <w:spacing w:before="0" w:after="0"/>
              <w:jc w:val="right"/>
              <w:rPr>
                <w:sz w:val="16"/>
                <w:szCs w:val="16"/>
                <w:lang w:val="fr-BE"/>
              </w:rPr>
            </w:pPr>
            <w:r w:rsidRPr="0024468B">
              <w:rPr>
                <w:noProof/>
                <w:sz w:val="16"/>
                <w:szCs w:val="16"/>
                <w:lang w:val="fr-BE"/>
              </w:rPr>
              <w:t>279 242,00</w:t>
            </w:r>
          </w:p>
        </w:tc>
        <w:tc>
          <w:tcPr>
            <w:tcW w:w="0" w:type="auto"/>
            <w:shd w:val="clear" w:color="auto" w:fill="auto"/>
          </w:tcPr>
          <w:p w14:paraId="4A465883"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07BE7B4D"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318CE70E" w14:textId="77777777" w:rsidR="008C5CFA" w:rsidRPr="0024468B" w:rsidRDefault="008C5CFA" w:rsidP="00300A01">
            <w:pPr>
              <w:spacing w:before="0" w:after="0"/>
              <w:rPr>
                <w:sz w:val="16"/>
                <w:szCs w:val="16"/>
                <w:lang w:val="fr-BE"/>
              </w:rPr>
            </w:pPr>
          </w:p>
        </w:tc>
      </w:tr>
      <w:tr w:rsidR="006B2EC1" w14:paraId="7A31D9A5" w14:textId="77777777" w:rsidTr="0047688D">
        <w:tc>
          <w:tcPr>
            <w:tcW w:w="0" w:type="auto"/>
          </w:tcPr>
          <w:p w14:paraId="6D0A5209" w14:textId="77777777" w:rsidR="008C5CFA" w:rsidRPr="0024468B" w:rsidRDefault="00E82A60" w:rsidP="00300A01">
            <w:pPr>
              <w:spacing w:before="0" w:after="0"/>
              <w:rPr>
                <w:sz w:val="16"/>
                <w:szCs w:val="16"/>
                <w:lang w:val="fr-BE"/>
              </w:rPr>
            </w:pPr>
            <w:r>
              <w:rPr>
                <w:noProof/>
                <w:sz w:val="16"/>
                <w:szCs w:val="16"/>
                <w:lang w:val="fr-BE"/>
              </w:rPr>
              <w:t>S</w:t>
            </w:r>
          </w:p>
        </w:tc>
        <w:tc>
          <w:tcPr>
            <w:tcW w:w="0" w:type="auto"/>
            <w:shd w:val="clear" w:color="auto" w:fill="auto"/>
          </w:tcPr>
          <w:p w14:paraId="3FFA233F" w14:textId="77777777" w:rsidR="008C5CFA" w:rsidRPr="0024468B" w:rsidRDefault="00E82A60" w:rsidP="00300A01">
            <w:pPr>
              <w:spacing w:before="0" w:after="0"/>
              <w:rPr>
                <w:sz w:val="16"/>
                <w:szCs w:val="16"/>
                <w:lang w:val="fr-BE"/>
              </w:rPr>
            </w:pPr>
            <w:r w:rsidRPr="0024468B">
              <w:rPr>
                <w:noProof/>
                <w:sz w:val="16"/>
                <w:szCs w:val="16"/>
                <w:lang w:val="fr-BE"/>
              </w:rPr>
              <w:t>CO07</w:t>
            </w:r>
          </w:p>
        </w:tc>
        <w:tc>
          <w:tcPr>
            <w:tcW w:w="0" w:type="auto"/>
            <w:shd w:val="clear" w:color="auto" w:fill="auto"/>
          </w:tcPr>
          <w:p w14:paraId="7A270B03" w14:textId="77777777" w:rsidR="008C5CFA" w:rsidRPr="0024468B" w:rsidRDefault="00E82A60" w:rsidP="00300A01">
            <w:pPr>
              <w:spacing w:before="0" w:after="0"/>
              <w:rPr>
                <w:sz w:val="16"/>
                <w:szCs w:val="16"/>
                <w:lang w:val="fr-BE"/>
              </w:rPr>
            </w:pPr>
            <w:r w:rsidRPr="0024468B">
              <w:rPr>
                <w:noProof/>
                <w:sz w:val="16"/>
                <w:szCs w:val="16"/>
                <w:lang w:val="fr-BE"/>
              </w:rPr>
              <w:t xml:space="preserve">Inwestycje produkcyjne: inwestycje prywatne uzupełniające wsparcie </w:t>
            </w:r>
            <w:r w:rsidRPr="0024468B">
              <w:rPr>
                <w:noProof/>
                <w:sz w:val="16"/>
                <w:szCs w:val="16"/>
                <w:lang w:val="fr-BE"/>
              </w:rPr>
              <w:lastRenderedPageBreak/>
              <w:t>publiczne dla przedsiębiorstw (inne niż dotacje)</w:t>
            </w:r>
          </w:p>
        </w:tc>
        <w:tc>
          <w:tcPr>
            <w:tcW w:w="0" w:type="auto"/>
            <w:shd w:val="clear" w:color="auto" w:fill="auto"/>
          </w:tcPr>
          <w:p w14:paraId="46DE7E35" w14:textId="77777777" w:rsidR="008C5CFA" w:rsidRPr="0024468B" w:rsidRDefault="00E82A60" w:rsidP="00300A01">
            <w:pPr>
              <w:spacing w:before="0" w:after="0"/>
              <w:rPr>
                <w:sz w:val="16"/>
                <w:szCs w:val="16"/>
                <w:lang w:val="fr-BE"/>
              </w:rPr>
            </w:pPr>
            <w:r>
              <w:rPr>
                <w:noProof/>
                <w:sz w:val="16"/>
                <w:szCs w:val="16"/>
                <w:lang w:val="fr-BE"/>
              </w:rPr>
              <w:lastRenderedPageBreak/>
              <w:t>EUR</w:t>
            </w:r>
          </w:p>
        </w:tc>
        <w:tc>
          <w:tcPr>
            <w:tcW w:w="0" w:type="auto"/>
            <w:shd w:val="clear" w:color="auto" w:fill="auto"/>
          </w:tcPr>
          <w:p w14:paraId="609C8481" w14:textId="77777777" w:rsidR="008C5CFA" w:rsidRPr="0024468B" w:rsidRDefault="00E82A60"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14:paraId="6F942D1D" w14:textId="77777777" w:rsidR="008C5CFA" w:rsidRPr="0024468B" w:rsidRDefault="00E82A60" w:rsidP="00300A01">
            <w:pPr>
              <w:spacing w:before="0" w:after="0"/>
              <w:jc w:val="right"/>
              <w:rPr>
                <w:sz w:val="16"/>
                <w:szCs w:val="16"/>
                <w:lang w:val="fr-BE"/>
              </w:rPr>
            </w:pPr>
            <w:r>
              <w:rPr>
                <w:noProof/>
                <w:sz w:val="16"/>
                <w:szCs w:val="16"/>
                <w:lang w:val="fr-BE"/>
              </w:rPr>
              <w:t>7 500 000,00</w:t>
            </w:r>
          </w:p>
        </w:tc>
        <w:tc>
          <w:tcPr>
            <w:tcW w:w="0" w:type="auto"/>
            <w:shd w:val="clear" w:color="auto" w:fill="auto"/>
          </w:tcPr>
          <w:p w14:paraId="2293B317" w14:textId="77777777" w:rsidR="008C5CFA" w:rsidRPr="0024468B" w:rsidRDefault="008C5CFA" w:rsidP="00300A01">
            <w:pPr>
              <w:spacing w:before="0" w:after="0"/>
              <w:jc w:val="right"/>
              <w:rPr>
                <w:sz w:val="16"/>
                <w:szCs w:val="16"/>
                <w:lang w:val="fr-BE"/>
              </w:rPr>
            </w:pPr>
          </w:p>
        </w:tc>
        <w:tc>
          <w:tcPr>
            <w:tcW w:w="0" w:type="auto"/>
          </w:tcPr>
          <w:p w14:paraId="174A2F15" w14:textId="77777777" w:rsidR="008C5CFA" w:rsidRPr="0024468B" w:rsidRDefault="008C5CFA" w:rsidP="00300A01">
            <w:pPr>
              <w:spacing w:before="0" w:after="0"/>
              <w:jc w:val="right"/>
              <w:rPr>
                <w:sz w:val="16"/>
                <w:szCs w:val="16"/>
                <w:lang w:val="fr-BE"/>
              </w:rPr>
            </w:pPr>
          </w:p>
        </w:tc>
        <w:tc>
          <w:tcPr>
            <w:tcW w:w="0" w:type="auto"/>
            <w:shd w:val="clear" w:color="auto" w:fill="auto"/>
          </w:tcPr>
          <w:p w14:paraId="13FCF52D" w14:textId="77777777" w:rsidR="008C5CFA" w:rsidRPr="0024468B" w:rsidRDefault="00E82A60" w:rsidP="00300A01">
            <w:pPr>
              <w:spacing w:before="0" w:after="0"/>
              <w:jc w:val="right"/>
              <w:rPr>
                <w:sz w:val="16"/>
                <w:szCs w:val="16"/>
                <w:lang w:val="fr-BE"/>
              </w:rPr>
            </w:pPr>
            <w:r w:rsidRPr="0024468B">
              <w:rPr>
                <w:noProof/>
                <w:sz w:val="16"/>
                <w:szCs w:val="16"/>
                <w:lang w:val="fr-BE"/>
              </w:rPr>
              <w:t>9 663 104,79</w:t>
            </w:r>
          </w:p>
        </w:tc>
        <w:tc>
          <w:tcPr>
            <w:tcW w:w="0" w:type="auto"/>
            <w:shd w:val="clear" w:color="auto" w:fill="auto"/>
          </w:tcPr>
          <w:p w14:paraId="6A5669D4"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1026E9D9"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3FE5D8AA" w14:textId="77777777" w:rsidR="008C5CFA" w:rsidRPr="0024468B" w:rsidRDefault="00E82A60" w:rsidP="00300A01">
            <w:pPr>
              <w:spacing w:before="0" w:after="0"/>
              <w:rPr>
                <w:sz w:val="16"/>
                <w:szCs w:val="16"/>
                <w:lang w:val="fr-BE"/>
              </w:rPr>
            </w:pPr>
            <w:r w:rsidRPr="0024468B">
              <w:rPr>
                <w:noProof/>
                <w:sz w:val="16"/>
                <w:szCs w:val="16"/>
                <w:lang w:val="fr-BE"/>
              </w:rPr>
              <w:t xml:space="preserve">Wartość przedmiotowego wskaźnika stanowi 15% alokacji zarezerwowanej na dofinansowanie istniejącej sieci instrumentów finansowych w ramach PI 3c. Jest to minimalny </w:t>
            </w:r>
            <w:r w:rsidRPr="0024468B">
              <w:rPr>
                <w:noProof/>
                <w:sz w:val="16"/>
                <w:szCs w:val="16"/>
                <w:lang w:val="fr-BE"/>
              </w:rPr>
              <w:lastRenderedPageBreak/>
              <w:t>wkład instrumentów finansowych do projektów. W związku ze wzrostem alokacji na dofinansowanie instrumentów finansowych do poziomu 56 500 000 EUR, wartość wskaźnika będzie wynosić:</w:t>
            </w:r>
          </w:p>
          <w:p w14:paraId="6FB5B963" w14:textId="77777777" w:rsidR="008C5CFA" w:rsidRPr="0024468B" w:rsidRDefault="00E82A60" w:rsidP="00300A01">
            <w:pPr>
              <w:spacing w:before="0" w:after="0"/>
              <w:rPr>
                <w:sz w:val="16"/>
                <w:szCs w:val="16"/>
                <w:lang w:val="fr-BE"/>
              </w:rPr>
            </w:pPr>
            <w:r w:rsidRPr="0024468B">
              <w:rPr>
                <w:noProof/>
                <w:sz w:val="16"/>
                <w:szCs w:val="16"/>
                <w:lang w:val="fr-BE"/>
              </w:rPr>
              <w:t>56 500 000,00 EUR x 15% = 8 475 000,00 EUR. Wobec powyższego poziom jego realizacji wyniesie 114%.</w:t>
            </w:r>
          </w:p>
          <w:p w14:paraId="2995FDAF" w14:textId="77777777" w:rsidR="008C5CFA" w:rsidRPr="0024468B" w:rsidRDefault="008C5CFA" w:rsidP="00300A01">
            <w:pPr>
              <w:spacing w:before="0" w:after="0"/>
              <w:rPr>
                <w:sz w:val="16"/>
                <w:szCs w:val="16"/>
                <w:lang w:val="fr-BE"/>
              </w:rPr>
            </w:pPr>
          </w:p>
        </w:tc>
      </w:tr>
      <w:tr w:rsidR="006B2EC1" w14:paraId="20B33E33" w14:textId="77777777" w:rsidTr="0047688D">
        <w:tc>
          <w:tcPr>
            <w:tcW w:w="0" w:type="auto"/>
          </w:tcPr>
          <w:p w14:paraId="65777C2F" w14:textId="77777777" w:rsidR="008C5CFA" w:rsidRPr="0024468B" w:rsidRDefault="00E82A60" w:rsidP="00300A01">
            <w:pPr>
              <w:spacing w:before="0" w:after="0"/>
              <w:rPr>
                <w:sz w:val="16"/>
                <w:szCs w:val="16"/>
                <w:lang w:val="fr-BE"/>
              </w:rPr>
            </w:pPr>
            <w:r>
              <w:rPr>
                <w:noProof/>
                <w:sz w:val="16"/>
                <w:szCs w:val="16"/>
                <w:lang w:val="fr-BE"/>
              </w:rPr>
              <w:lastRenderedPageBreak/>
              <w:t>F</w:t>
            </w:r>
          </w:p>
        </w:tc>
        <w:tc>
          <w:tcPr>
            <w:tcW w:w="0" w:type="auto"/>
            <w:shd w:val="clear" w:color="auto" w:fill="auto"/>
          </w:tcPr>
          <w:p w14:paraId="33E410FC" w14:textId="77777777" w:rsidR="008C5CFA" w:rsidRPr="0024468B" w:rsidRDefault="00E82A60" w:rsidP="00300A01">
            <w:pPr>
              <w:spacing w:before="0" w:after="0"/>
              <w:rPr>
                <w:sz w:val="16"/>
                <w:szCs w:val="16"/>
                <w:lang w:val="fr-BE"/>
              </w:rPr>
            </w:pPr>
            <w:r w:rsidRPr="0024468B">
              <w:rPr>
                <w:noProof/>
                <w:sz w:val="16"/>
                <w:szCs w:val="16"/>
                <w:lang w:val="fr-BE"/>
              </w:rPr>
              <w:t>CO08</w:t>
            </w:r>
          </w:p>
        </w:tc>
        <w:tc>
          <w:tcPr>
            <w:tcW w:w="0" w:type="auto"/>
            <w:shd w:val="clear" w:color="auto" w:fill="auto"/>
          </w:tcPr>
          <w:p w14:paraId="4F6C5B54" w14:textId="77777777" w:rsidR="008C5CFA" w:rsidRPr="0024468B" w:rsidRDefault="00E82A60" w:rsidP="00300A01">
            <w:pPr>
              <w:spacing w:before="0" w:after="0"/>
              <w:rPr>
                <w:sz w:val="16"/>
                <w:szCs w:val="16"/>
                <w:lang w:val="fr-BE"/>
              </w:rPr>
            </w:pPr>
            <w:r w:rsidRPr="0024468B">
              <w:rPr>
                <w:noProof/>
                <w:sz w:val="16"/>
                <w:szCs w:val="16"/>
                <w:lang w:val="fr-BE"/>
              </w:rPr>
              <w:t>Inwestycje produkcyjne: wzrost zatrudnienia we wspieranych przedsiębiorstwach</w:t>
            </w:r>
          </w:p>
        </w:tc>
        <w:tc>
          <w:tcPr>
            <w:tcW w:w="0" w:type="auto"/>
            <w:shd w:val="clear" w:color="auto" w:fill="auto"/>
          </w:tcPr>
          <w:p w14:paraId="0AF87FCF" w14:textId="77777777" w:rsidR="008C5CFA" w:rsidRPr="0024468B" w:rsidRDefault="00E82A60" w:rsidP="00300A01">
            <w:pPr>
              <w:spacing w:before="0" w:after="0"/>
              <w:rPr>
                <w:sz w:val="16"/>
                <w:szCs w:val="16"/>
                <w:lang w:val="fr-BE"/>
              </w:rPr>
            </w:pPr>
            <w:r>
              <w:rPr>
                <w:noProof/>
                <w:sz w:val="16"/>
                <w:szCs w:val="16"/>
                <w:lang w:val="fr-BE"/>
              </w:rPr>
              <w:t>Ekwiwalenty pełnego czasu pracy</w:t>
            </w:r>
          </w:p>
        </w:tc>
        <w:tc>
          <w:tcPr>
            <w:tcW w:w="0" w:type="auto"/>
            <w:shd w:val="clear" w:color="auto" w:fill="auto"/>
          </w:tcPr>
          <w:p w14:paraId="7A4BD6F4" w14:textId="77777777" w:rsidR="008C5CFA" w:rsidRPr="0024468B" w:rsidRDefault="00E82A60"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14:paraId="4A8235AB" w14:textId="77777777" w:rsidR="008C5CFA" w:rsidRPr="0024468B" w:rsidRDefault="00E82A60" w:rsidP="00300A01">
            <w:pPr>
              <w:spacing w:before="0" w:after="0"/>
              <w:jc w:val="right"/>
              <w:rPr>
                <w:sz w:val="16"/>
                <w:szCs w:val="16"/>
                <w:lang w:val="fr-BE"/>
              </w:rPr>
            </w:pPr>
            <w:r>
              <w:rPr>
                <w:noProof/>
                <w:sz w:val="16"/>
                <w:szCs w:val="16"/>
                <w:lang w:val="fr-BE"/>
              </w:rPr>
              <w:t>1 346,00</w:t>
            </w:r>
          </w:p>
        </w:tc>
        <w:tc>
          <w:tcPr>
            <w:tcW w:w="0" w:type="auto"/>
            <w:shd w:val="clear" w:color="auto" w:fill="auto"/>
          </w:tcPr>
          <w:p w14:paraId="0051B1AC" w14:textId="77777777" w:rsidR="008C5CFA" w:rsidRPr="0024468B" w:rsidRDefault="008C5CFA" w:rsidP="00300A01">
            <w:pPr>
              <w:spacing w:before="0" w:after="0"/>
              <w:jc w:val="right"/>
              <w:rPr>
                <w:sz w:val="16"/>
                <w:szCs w:val="16"/>
                <w:lang w:val="fr-BE"/>
              </w:rPr>
            </w:pPr>
          </w:p>
        </w:tc>
        <w:tc>
          <w:tcPr>
            <w:tcW w:w="0" w:type="auto"/>
          </w:tcPr>
          <w:p w14:paraId="5919D113" w14:textId="77777777" w:rsidR="008C5CFA" w:rsidRPr="0024468B" w:rsidRDefault="008C5CFA" w:rsidP="00300A01">
            <w:pPr>
              <w:spacing w:before="0" w:after="0"/>
              <w:jc w:val="right"/>
              <w:rPr>
                <w:sz w:val="16"/>
                <w:szCs w:val="16"/>
                <w:lang w:val="fr-BE"/>
              </w:rPr>
            </w:pPr>
          </w:p>
        </w:tc>
        <w:tc>
          <w:tcPr>
            <w:tcW w:w="0" w:type="auto"/>
            <w:shd w:val="clear" w:color="auto" w:fill="auto"/>
          </w:tcPr>
          <w:p w14:paraId="4E76AB95" w14:textId="77777777" w:rsidR="008C5CFA" w:rsidRPr="0024468B" w:rsidRDefault="00E82A60" w:rsidP="00300A01">
            <w:pPr>
              <w:spacing w:before="0" w:after="0"/>
              <w:jc w:val="right"/>
              <w:rPr>
                <w:sz w:val="16"/>
                <w:szCs w:val="16"/>
                <w:lang w:val="fr-BE"/>
              </w:rPr>
            </w:pPr>
            <w:r w:rsidRPr="0024468B">
              <w:rPr>
                <w:noProof/>
                <w:sz w:val="16"/>
                <w:szCs w:val="16"/>
                <w:lang w:val="fr-BE"/>
              </w:rPr>
              <w:t>694,00</w:t>
            </w:r>
          </w:p>
        </w:tc>
        <w:tc>
          <w:tcPr>
            <w:tcW w:w="0" w:type="auto"/>
            <w:shd w:val="clear" w:color="auto" w:fill="auto"/>
          </w:tcPr>
          <w:p w14:paraId="39A147A6"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7B4680F2"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5ACDB55B" w14:textId="77777777" w:rsidR="008C5CFA" w:rsidRPr="0024468B" w:rsidRDefault="008C5CFA" w:rsidP="00300A01">
            <w:pPr>
              <w:spacing w:before="0" w:after="0"/>
              <w:rPr>
                <w:sz w:val="16"/>
                <w:szCs w:val="16"/>
                <w:lang w:val="fr-BE"/>
              </w:rPr>
            </w:pPr>
          </w:p>
        </w:tc>
      </w:tr>
      <w:tr w:rsidR="006B2EC1" w14:paraId="0CC77282" w14:textId="77777777" w:rsidTr="0047688D">
        <w:tc>
          <w:tcPr>
            <w:tcW w:w="0" w:type="auto"/>
          </w:tcPr>
          <w:p w14:paraId="1765F1B6" w14:textId="77777777" w:rsidR="008C5CFA" w:rsidRPr="0024468B" w:rsidRDefault="00E82A60" w:rsidP="00300A01">
            <w:pPr>
              <w:spacing w:before="0" w:after="0"/>
              <w:rPr>
                <w:sz w:val="16"/>
                <w:szCs w:val="16"/>
                <w:lang w:val="fr-BE"/>
              </w:rPr>
            </w:pPr>
            <w:r>
              <w:rPr>
                <w:noProof/>
                <w:sz w:val="16"/>
                <w:szCs w:val="16"/>
                <w:lang w:val="fr-BE"/>
              </w:rPr>
              <w:t>S</w:t>
            </w:r>
          </w:p>
        </w:tc>
        <w:tc>
          <w:tcPr>
            <w:tcW w:w="0" w:type="auto"/>
            <w:shd w:val="clear" w:color="auto" w:fill="auto"/>
          </w:tcPr>
          <w:p w14:paraId="3CF69C06" w14:textId="77777777" w:rsidR="008C5CFA" w:rsidRPr="0024468B" w:rsidRDefault="00E82A60" w:rsidP="00300A01">
            <w:pPr>
              <w:spacing w:before="0" w:after="0"/>
              <w:rPr>
                <w:sz w:val="16"/>
                <w:szCs w:val="16"/>
                <w:lang w:val="fr-BE"/>
              </w:rPr>
            </w:pPr>
            <w:r w:rsidRPr="0024468B">
              <w:rPr>
                <w:noProof/>
                <w:sz w:val="16"/>
                <w:szCs w:val="16"/>
                <w:lang w:val="fr-BE"/>
              </w:rPr>
              <w:t>CO08</w:t>
            </w:r>
          </w:p>
        </w:tc>
        <w:tc>
          <w:tcPr>
            <w:tcW w:w="0" w:type="auto"/>
            <w:shd w:val="clear" w:color="auto" w:fill="auto"/>
          </w:tcPr>
          <w:p w14:paraId="5BCC61E7" w14:textId="77777777" w:rsidR="008C5CFA" w:rsidRPr="0024468B" w:rsidRDefault="00E82A60" w:rsidP="00300A01">
            <w:pPr>
              <w:spacing w:before="0" w:after="0"/>
              <w:rPr>
                <w:sz w:val="16"/>
                <w:szCs w:val="16"/>
                <w:lang w:val="fr-BE"/>
              </w:rPr>
            </w:pPr>
            <w:r w:rsidRPr="0024468B">
              <w:rPr>
                <w:noProof/>
                <w:sz w:val="16"/>
                <w:szCs w:val="16"/>
                <w:lang w:val="fr-BE"/>
              </w:rPr>
              <w:t>Inwestycje produkcyjne: wzrost zatrudnienia we wspieranych przedsiębiorstwach</w:t>
            </w:r>
          </w:p>
        </w:tc>
        <w:tc>
          <w:tcPr>
            <w:tcW w:w="0" w:type="auto"/>
            <w:shd w:val="clear" w:color="auto" w:fill="auto"/>
          </w:tcPr>
          <w:p w14:paraId="4AD4BEF2" w14:textId="77777777" w:rsidR="008C5CFA" w:rsidRPr="0024468B" w:rsidRDefault="00E82A60" w:rsidP="00300A01">
            <w:pPr>
              <w:spacing w:before="0" w:after="0"/>
              <w:rPr>
                <w:sz w:val="16"/>
                <w:szCs w:val="16"/>
                <w:lang w:val="fr-BE"/>
              </w:rPr>
            </w:pPr>
            <w:r>
              <w:rPr>
                <w:noProof/>
                <w:sz w:val="16"/>
                <w:szCs w:val="16"/>
                <w:lang w:val="fr-BE"/>
              </w:rPr>
              <w:t>Ekwiwalenty pełnego czasu pracy</w:t>
            </w:r>
          </w:p>
        </w:tc>
        <w:tc>
          <w:tcPr>
            <w:tcW w:w="0" w:type="auto"/>
            <w:shd w:val="clear" w:color="auto" w:fill="auto"/>
          </w:tcPr>
          <w:p w14:paraId="5EAE368F" w14:textId="77777777" w:rsidR="008C5CFA" w:rsidRPr="0024468B" w:rsidRDefault="00E82A60"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14:paraId="5C6FF453" w14:textId="77777777" w:rsidR="008C5CFA" w:rsidRPr="0024468B" w:rsidRDefault="00E82A60" w:rsidP="00300A01">
            <w:pPr>
              <w:spacing w:before="0" w:after="0"/>
              <w:jc w:val="right"/>
              <w:rPr>
                <w:sz w:val="16"/>
                <w:szCs w:val="16"/>
                <w:lang w:val="fr-BE"/>
              </w:rPr>
            </w:pPr>
            <w:r>
              <w:rPr>
                <w:noProof/>
                <w:sz w:val="16"/>
                <w:szCs w:val="16"/>
                <w:lang w:val="fr-BE"/>
              </w:rPr>
              <w:t>1 346,00</w:t>
            </w:r>
          </w:p>
        </w:tc>
        <w:tc>
          <w:tcPr>
            <w:tcW w:w="0" w:type="auto"/>
            <w:shd w:val="clear" w:color="auto" w:fill="auto"/>
          </w:tcPr>
          <w:p w14:paraId="4DFCEEF7" w14:textId="77777777" w:rsidR="008C5CFA" w:rsidRPr="0024468B" w:rsidRDefault="008C5CFA" w:rsidP="00300A01">
            <w:pPr>
              <w:spacing w:before="0" w:after="0"/>
              <w:jc w:val="right"/>
              <w:rPr>
                <w:sz w:val="16"/>
                <w:szCs w:val="16"/>
                <w:lang w:val="fr-BE"/>
              </w:rPr>
            </w:pPr>
          </w:p>
        </w:tc>
        <w:tc>
          <w:tcPr>
            <w:tcW w:w="0" w:type="auto"/>
          </w:tcPr>
          <w:p w14:paraId="7B685943" w14:textId="77777777" w:rsidR="008C5CFA" w:rsidRPr="0024468B" w:rsidRDefault="008C5CFA" w:rsidP="00300A01">
            <w:pPr>
              <w:spacing w:before="0" w:after="0"/>
              <w:jc w:val="right"/>
              <w:rPr>
                <w:sz w:val="16"/>
                <w:szCs w:val="16"/>
                <w:lang w:val="fr-BE"/>
              </w:rPr>
            </w:pPr>
          </w:p>
        </w:tc>
        <w:tc>
          <w:tcPr>
            <w:tcW w:w="0" w:type="auto"/>
            <w:shd w:val="clear" w:color="auto" w:fill="auto"/>
          </w:tcPr>
          <w:p w14:paraId="6D354FE1" w14:textId="77777777" w:rsidR="008C5CFA" w:rsidRPr="0024468B" w:rsidRDefault="00E82A60" w:rsidP="00300A01">
            <w:pPr>
              <w:spacing w:before="0" w:after="0"/>
              <w:jc w:val="right"/>
              <w:rPr>
                <w:sz w:val="16"/>
                <w:szCs w:val="16"/>
                <w:lang w:val="fr-BE"/>
              </w:rPr>
            </w:pPr>
            <w:r w:rsidRPr="0024468B">
              <w:rPr>
                <w:noProof/>
                <w:sz w:val="16"/>
                <w:szCs w:val="16"/>
                <w:lang w:val="fr-BE"/>
              </w:rPr>
              <w:t>1 137,00</w:t>
            </w:r>
          </w:p>
        </w:tc>
        <w:tc>
          <w:tcPr>
            <w:tcW w:w="0" w:type="auto"/>
            <w:shd w:val="clear" w:color="auto" w:fill="auto"/>
          </w:tcPr>
          <w:p w14:paraId="31466459"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74847CAD"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19AFEA97" w14:textId="77777777" w:rsidR="008C5CFA" w:rsidRPr="0024468B" w:rsidRDefault="008C5CFA" w:rsidP="00300A01">
            <w:pPr>
              <w:spacing w:before="0" w:after="0"/>
              <w:rPr>
                <w:sz w:val="16"/>
                <w:szCs w:val="16"/>
                <w:lang w:val="fr-BE"/>
              </w:rPr>
            </w:pPr>
          </w:p>
        </w:tc>
      </w:tr>
      <w:tr w:rsidR="006B2EC1" w14:paraId="3CC4C3D8" w14:textId="77777777" w:rsidTr="0047688D">
        <w:tc>
          <w:tcPr>
            <w:tcW w:w="0" w:type="auto"/>
          </w:tcPr>
          <w:p w14:paraId="5A809BEC" w14:textId="77777777" w:rsidR="008C5CFA" w:rsidRPr="0024468B" w:rsidRDefault="00E82A60" w:rsidP="00300A01">
            <w:pPr>
              <w:spacing w:before="0" w:after="0"/>
              <w:rPr>
                <w:sz w:val="16"/>
                <w:szCs w:val="16"/>
                <w:lang w:val="fr-BE"/>
              </w:rPr>
            </w:pPr>
            <w:r>
              <w:rPr>
                <w:noProof/>
                <w:sz w:val="16"/>
                <w:szCs w:val="16"/>
                <w:lang w:val="fr-BE"/>
              </w:rPr>
              <w:t>F</w:t>
            </w:r>
          </w:p>
        </w:tc>
        <w:tc>
          <w:tcPr>
            <w:tcW w:w="0" w:type="auto"/>
            <w:shd w:val="clear" w:color="auto" w:fill="auto"/>
          </w:tcPr>
          <w:p w14:paraId="12EA9D81" w14:textId="77777777" w:rsidR="008C5CFA" w:rsidRPr="0024468B" w:rsidRDefault="00E82A60" w:rsidP="00300A01">
            <w:pPr>
              <w:spacing w:before="0" w:after="0"/>
              <w:rPr>
                <w:sz w:val="16"/>
                <w:szCs w:val="16"/>
                <w:lang w:val="fr-BE"/>
              </w:rPr>
            </w:pPr>
            <w:r w:rsidRPr="0024468B">
              <w:rPr>
                <w:noProof/>
                <w:sz w:val="16"/>
                <w:szCs w:val="16"/>
                <w:lang w:val="fr-BE"/>
              </w:rPr>
              <w:t>CO28</w:t>
            </w:r>
          </w:p>
        </w:tc>
        <w:tc>
          <w:tcPr>
            <w:tcW w:w="0" w:type="auto"/>
            <w:shd w:val="clear" w:color="auto" w:fill="auto"/>
          </w:tcPr>
          <w:p w14:paraId="4DA91F80" w14:textId="77777777" w:rsidR="008C5CFA" w:rsidRPr="0024468B" w:rsidRDefault="00E82A60" w:rsidP="00300A01">
            <w:pPr>
              <w:spacing w:before="0" w:after="0"/>
              <w:rPr>
                <w:sz w:val="16"/>
                <w:szCs w:val="16"/>
                <w:lang w:val="fr-BE"/>
              </w:rPr>
            </w:pPr>
            <w:r w:rsidRPr="0024468B">
              <w:rPr>
                <w:noProof/>
                <w:sz w:val="16"/>
                <w:szCs w:val="16"/>
                <w:lang w:val="fr-BE"/>
              </w:rPr>
              <w:t>Badania i innowacje: liczba przedsiębiorstw objętych wsparciem w celu wprowadzenia produktów nowych dla rynku</w:t>
            </w:r>
          </w:p>
        </w:tc>
        <w:tc>
          <w:tcPr>
            <w:tcW w:w="0" w:type="auto"/>
            <w:shd w:val="clear" w:color="auto" w:fill="auto"/>
          </w:tcPr>
          <w:p w14:paraId="6C2A4FD5" w14:textId="77777777" w:rsidR="008C5CFA" w:rsidRPr="0024468B" w:rsidRDefault="00E82A60" w:rsidP="00300A01">
            <w:pPr>
              <w:spacing w:before="0" w:after="0"/>
              <w:rPr>
                <w:sz w:val="16"/>
                <w:szCs w:val="16"/>
                <w:lang w:val="fr-BE"/>
              </w:rPr>
            </w:pPr>
            <w:r>
              <w:rPr>
                <w:noProof/>
                <w:sz w:val="16"/>
                <w:szCs w:val="16"/>
                <w:lang w:val="fr-BE"/>
              </w:rPr>
              <w:t>Przedsiębiorstwa</w:t>
            </w:r>
          </w:p>
        </w:tc>
        <w:tc>
          <w:tcPr>
            <w:tcW w:w="0" w:type="auto"/>
            <w:shd w:val="clear" w:color="auto" w:fill="auto"/>
          </w:tcPr>
          <w:p w14:paraId="2E459285" w14:textId="77777777" w:rsidR="008C5CFA" w:rsidRPr="0024468B" w:rsidRDefault="00E82A60"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14:paraId="3E12C0C6" w14:textId="77777777" w:rsidR="008C5CFA" w:rsidRPr="0024468B" w:rsidRDefault="00E82A60" w:rsidP="00300A01">
            <w:pPr>
              <w:spacing w:before="0" w:after="0"/>
              <w:jc w:val="right"/>
              <w:rPr>
                <w:sz w:val="16"/>
                <w:szCs w:val="16"/>
                <w:lang w:val="fr-BE"/>
              </w:rPr>
            </w:pPr>
            <w:r>
              <w:rPr>
                <w:noProof/>
                <w:sz w:val="16"/>
                <w:szCs w:val="16"/>
                <w:lang w:val="fr-BE"/>
              </w:rPr>
              <w:t>100,00</w:t>
            </w:r>
          </w:p>
        </w:tc>
        <w:tc>
          <w:tcPr>
            <w:tcW w:w="0" w:type="auto"/>
            <w:shd w:val="clear" w:color="auto" w:fill="auto"/>
          </w:tcPr>
          <w:p w14:paraId="707A3834" w14:textId="77777777" w:rsidR="008C5CFA" w:rsidRPr="0024468B" w:rsidRDefault="008C5CFA" w:rsidP="00300A01">
            <w:pPr>
              <w:spacing w:before="0" w:after="0"/>
              <w:jc w:val="right"/>
              <w:rPr>
                <w:sz w:val="16"/>
                <w:szCs w:val="16"/>
                <w:lang w:val="fr-BE"/>
              </w:rPr>
            </w:pPr>
          </w:p>
        </w:tc>
        <w:tc>
          <w:tcPr>
            <w:tcW w:w="0" w:type="auto"/>
          </w:tcPr>
          <w:p w14:paraId="1BCB1FA6" w14:textId="77777777" w:rsidR="008C5CFA" w:rsidRPr="0024468B" w:rsidRDefault="008C5CFA" w:rsidP="00300A01">
            <w:pPr>
              <w:spacing w:before="0" w:after="0"/>
              <w:jc w:val="right"/>
              <w:rPr>
                <w:sz w:val="16"/>
                <w:szCs w:val="16"/>
                <w:lang w:val="fr-BE"/>
              </w:rPr>
            </w:pPr>
          </w:p>
        </w:tc>
        <w:tc>
          <w:tcPr>
            <w:tcW w:w="0" w:type="auto"/>
            <w:shd w:val="clear" w:color="auto" w:fill="auto"/>
          </w:tcPr>
          <w:p w14:paraId="5A89E76A" w14:textId="77777777" w:rsidR="008C5CFA" w:rsidRPr="0024468B" w:rsidRDefault="00E82A60" w:rsidP="00300A01">
            <w:pPr>
              <w:spacing w:before="0" w:after="0"/>
              <w:jc w:val="right"/>
              <w:rPr>
                <w:sz w:val="16"/>
                <w:szCs w:val="16"/>
                <w:lang w:val="fr-BE"/>
              </w:rPr>
            </w:pPr>
            <w:r w:rsidRPr="0024468B">
              <w:rPr>
                <w:noProof/>
                <w:sz w:val="16"/>
                <w:szCs w:val="16"/>
                <w:lang w:val="fr-BE"/>
              </w:rPr>
              <w:t>199,00</w:t>
            </w:r>
          </w:p>
        </w:tc>
        <w:tc>
          <w:tcPr>
            <w:tcW w:w="0" w:type="auto"/>
            <w:shd w:val="clear" w:color="auto" w:fill="auto"/>
          </w:tcPr>
          <w:p w14:paraId="777FAB9D"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77E7ABA1"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0DB03A99" w14:textId="77777777" w:rsidR="008C5CFA" w:rsidRPr="0024468B" w:rsidRDefault="00E82A60" w:rsidP="00300A01">
            <w:pPr>
              <w:spacing w:before="0" w:after="0"/>
              <w:rPr>
                <w:sz w:val="16"/>
                <w:szCs w:val="16"/>
                <w:lang w:val="fr-BE"/>
              </w:rPr>
            </w:pPr>
            <w:r w:rsidRPr="0024468B">
              <w:rPr>
                <w:noProof/>
                <w:sz w:val="16"/>
                <w:szCs w:val="16"/>
                <w:lang w:val="fr-BE"/>
              </w:rPr>
              <w:t>Uwzględniając proponowaną zmianę, realizacja wskaźnika wyniesie 137%</w:t>
            </w:r>
          </w:p>
        </w:tc>
      </w:tr>
      <w:tr w:rsidR="006B2EC1" w14:paraId="38C6E696" w14:textId="77777777" w:rsidTr="0047688D">
        <w:tc>
          <w:tcPr>
            <w:tcW w:w="0" w:type="auto"/>
          </w:tcPr>
          <w:p w14:paraId="6399FB26" w14:textId="77777777" w:rsidR="008C5CFA" w:rsidRPr="0024468B" w:rsidRDefault="00E82A60" w:rsidP="00300A01">
            <w:pPr>
              <w:spacing w:before="0" w:after="0"/>
              <w:rPr>
                <w:sz w:val="16"/>
                <w:szCs w:val="16"/>
                <w:lang w:val="fr-BE"/>
              </w:rPr>
            </w:pPr>
            <w:r>
              <w:rPr>
                <w:noProof/>
                <w:sz w:val="16"/>
                <w:szCs w:val="16"/>
                <w:lang w:val="fr-BE"/>
              </w:rPr>
              <w:t>S</w:t>
            </w:r>
          </w:p>
        </w:tc>
        <w:tc>
          <w:tcPr>
            <w:tcW w:w="0" w:type="auto"/>
            <w:shd w:val="clear" w:color="auto" w:fill="auto"/>
          </w:tcPr>
          <w:p w14:paraId="2544DE29" w14:textId="77777777" w:rsidR="008C5CFA" w:rsidRPr="0024468B" w:rsidRDefault="00E82A60" w:rsidP="00300A01">
            <w:pPr>
              <w:spacing w:before="0" w:after="0"/>
              <w:rPr>
                <w:sz w:val="16"/>
                <w:szCs w:val="16"/>
                <w:lang w:val="fr-BE"/>
              </w:rPr>
            </w:pPr>
            <w:r w:rsidRPr="0024468B">
              <w:rPr>
                <w:noProof/>
                <w:sz w:val="16"/>
                <w:szCs w:val="16"/>
                <w:lang w:val="fr-BE"/>
              </w:rPr>
              <w:t>CO28</w:t>
            </w:r>
          </w:p>
        </w:tc>
        <w:tc>
          <w:tcPr>
            <w:tcW w:w="0" w:type="auto"/>
            <w:shd w:val="clear" w:color="auto" w:fill="auto"/>
          </w:tcPr>
          <w:p w14:paraId="5E0BA050" w14:textId="77777777" w:rsidR="008C5CFA" w:rsidRPr="0024468B" w:rsidRDefault="00E82A60" w:rsidP="00300A01">
            <w:pPr>
              <w:spacing w:before="0" w:after="0"/>
              <w:rPr>
                <w:sz w:val="16"/>
                <w:szCs w:val="16"/>
                <w:lang w:val="fr-BE"/>
              </w:rPr>
            </w:pPr>
            <w:r w:rsidRPr="0024468B">
              <w:rPr>
                <w:noProof/>
                <w:sz w:val="16"/>
                <w:szCs w:val="16"/>
                <w:lang w:val="fr-BE"/>
              </w:rPr>
              <w:t>Badania i innowacje: liczba przedsiębiorstw objętych wsparciem w celu wprowadzenia produktów nowych dla rynku</w:t>
            </w:r>
          </w:p>
        </w:tc>
        <w:tc>
          <w:tcPr>
            <w:tcW w:w="0" w:type="auto"/>
            <w:shd w:val="clear" w:color="auto" w:fill="auto"/>
          </w:tcPr>
          <w:p w14:paraId="7F11F998" w14:textId="77777777" w:rsidR="008C5CFA" w:rsidRPr="0024468B" w:rsidRDefault="00E82A60" w:rsidP="00300A01">
            <w:pPr>
              <w:spacing w:before="0" w:after="0"/>
              <w:rPr>
                <w:sz w:val="16"/>
                <w:szCs w:val="16"/>
                <w:lang w:val="fr-BE"/>
              </w:rPr>
            </w:pPr>
            <w:r>
              <w:rPr>
                <w:noProof/>
                <w:sz w:val="16"/>
                <w:szCs w:val="16"/>
                <w:lang w:val="fr-BE"/>
              </w:rPr>
              <w:t>Przedsiębiorstwa</w:t>
            </w:r>
          </w:p>
        </w:tc>
        <w:tc>
          <w:tcPr>
            <w:tcW w:w="0" w:type="auto"/>
            <w:shd w:val="clear" w:color="auto" w:fill="auto"/>
          </w:tcPr>
          <w:p w14:paraId="6FA148EE" w14:textId="77777777" w:rsidR="008C5CFA" w:rsidRPr="0024468B" w:rsidRDefault="00E82A60"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14:paraId="1977D776" w14:textId="77777777" w:rsidR="008C5CFA" w:rsidRPr="0024468B" w:rsidRDefault="00E82A60" w:rsidP="00300A01">
            <w:pPr>
              <w:spacing w:before="0" w:after="0"/>
              <w:jc w:val="right"/>
              <w:rPr>
                <w:sz w:val="16"/>
                <w:szCs w:val="16"/>
                <w:lang w:val="fr-BE"/>
              </w:rPr>
            </w:pPr>
            <w:r>
              <w:rPr>
                <w:noProof/>
                <w:sz w:val="16"/>
                <w:szCs w:val="16"/>
                <w:lang w:val="fr-BE"/>
              </w:rPr>
              <w:t>100,00</w:t>
            </w:r>
          </w:p>
        </w:tc>
        <w:tc>
          <w:tcPr>
            <w:tcW w:w="0" w:type="auto"/>
            <w:shd w:val="clear" w:color="auto" w:fill="auto"/>
          </w:tcPr>
          <w:p w14:paraId="25918D3B" w14:textId="77777777" w:rsidR="008C5CFA" w:rsidRPr="0024468B" w:rsidRDefault="008C5CFA" w:rsidP="00300A01">
            <w:pPr>
              <w:spacing w:before="0" w:after="0"/>
              <w:jc w:val="right"/>
              <w:rPr>
                <w:sz w:val="16"/>
                <w:szCs w:val="16"/>
                <w:lang w:val="fr-BE"/>
              </w:rPr>
            </w:pPr>
          </w:p>
        </w:tc>
        <w:tc>
          <w:tcPr>
            <w:tcW w:w="0" w:type="auto"/>
          </w:tcPr>
          <w:p w14:paraId="5BE3CF39" w14:textId="77777777" w:rsidR="008C5CFA" w:rsidRPr="0024468B" w:rsidRDefault="008C5CFA" w:rsidP="00300A01">
            <w:pPr>
              <w:spacing w:before="0" w:after="0"/>
              <w:jc w:val="right"/>
              <w:rPr>
                <w:sz w:val="16"/>
                <w:szCs w:val="16"/>
                <w:lang w:val="fr-BE"/>
              </w:rPr>
            </w:pPr>
          </w:p>
        </w:tc>
        <w:tc>
          <w:tcPr>
            <w:tcW w:w="0" w:type="auto"/>
            <w:shd w:val="clear" w:color="auto" w:fill="auto"/>
          </w:tcPr>
          <w:p w14:paraId="4D919FCA" w14:textId="77777777" w:rsidR="008C5CFA" w:rsidRPr="0024468B" w:rsidRDefault="00E82A60" w:rsidP="00300A01">
            <w:pPr>
              <w:spacing w:before="0" w:after="0"/>
              <w:jc w:val="right"/>
              <w:rPr>
                <w:sz w:val="16"/>
                <w:szCs w:val="16"/>
                <w:lang w:val="fr-BE"/>
              </w:rPr>
            </w:pPr>
            <w:r w:rsidRPr="0024468B">
              <w:rPr>
                <w:noProof/>
                <w:sz w:val="16"/>
                <w:szCs w:val="16"/>
                <w:lang w:val="fr-BE"/>
              </w:rPr>
              <w:t>236,00</w:t>
            </w:r>
          </w:p>
        </w:tc>
        <w:tc>
          <w:tcPr>
            <w:tcW w:w="0" w:type="auto"/>
            <w:shd w:val="clear" w:color="auto" w:fill="auto"/>
          </w:tcPr>
          <w:p w14:paraId="66ABD94E" w14:textId="77777777" w:rsidR="008C5CFA" w:rsidRPr="0024468B" w:rsidRDefault="008C5CFA" w:rsidP="00300A01">
            <w:pPr>
              <w:spacing w:before="0" w:after="0"/>
              <w:jc w:val="right"/>
              <w:rPr>
                <w:sz w:val="16"/>
                <w:szCs w:val="16"/>
                <w:lang w:val="fr-BE"/>
              </w:rPr>
            </w:pPr>
          </w:p>
        </w:tc>
        <w:tc>
          <w:tcPr>
            <w:tcW w:w="0" w:type="auto"/>
            <w:shd w:val="clear" w:color="auto" w:fill="auto"/>
          </w:tcPr>
          <w:p w14:paraId="69BC65C4" w14:textId="77777777" w:rsidR="008C5CFA" w:rsidRPr="0024468B" w:rsidRDefault="008C5CFA" w:rsidP="00300A01">
            <w:pPr>
              <w:spacing w:before="0" w:after="0"/>
              <w:jc w:val="right"/>
              <w:rPr>
                <w:sz w:val="16"/>
                <w:szCs w:val="16"/>
                <w:lang w:val="fr-BE"/>
              </w:rPr>
            </w:pPr>
          </w:p>
        </w:tc>
        <w:tc>
          <w:tcPr>
            <w:tcW w:w="0" w:type="auto"/>
            <w:shd w:val="clear" w:color="auto" w:fill="auto"/>
          </w:tcPr>
          <w:p w14:paraId="7B9907A3" w14:textId="77777777" w:rsidR="008C5CFA" w:rsidRPr="0024468B" w:rsidRDefault="00E82A60" w:rsidP="00300A01">
            <w:pPr>
              <w:spacing w:before="0" w:after="0"/>
              <w:rPr>
                <w:sz w:val="16"/>
                <w:szCs w:val="16"/>
                <w:lang w:val="fr-BE"/>
              </w:rPr>
            </w:pPr>
            <w:r w:rsidRPr="0024468B">
              <w:rPr>
                <w:noProof/>
                <w:sz w:val="16"/>
                <w:szCs w:val="16"/>
                <w:lang w:val="fr-BE"/>
              </w:rPr>
              <w:t>Wartość wskaźnika uległa zmniejszeniu z powodu rozwiązania 7-miu umów z beneficjentami w 2019 roku. Ponadto, w związku ze zwiększeniem alokacji przeznaczonej na wsparcie dotacyjne innowacyjnych MŚP w ramach PI 3 c, pomoc uzyska większa niż pierwotnie zakładano liczba przedsiębiorstw. IZ zakłada wzrost poziomu wdrażania nowych produktów dla rynku do poziomu 146.</w:t>
            </w:r>
          </w:p>
        </w:tc>
      </w:tr>
      <w:tr w:rsidR="006B2EC1" w14:paraId="1B8B2B8F" w14:textId="77777777" w:rsidTr="0047688D">
        <w:tc>
          <w:tcPr>
            <w:tcW w:w="0" w:type="auto"/>
          </w:tcPr>
          <w:p w14:paraId="4188D166" w14:textId="77777777" w:rsidR="008C5CFA" w:rsidRPr="0024468B" w:rsidRDefault="00E82A60" w:rsidP="00300A01">
            <w:pPr>
              <w:spacing w:before="0" w:after="0"/>
              <w:rPr>
                <w:sz w:val="16"/>
                <w:szCs w:val="16"/>
                <w:lang w:val="fr-BE"/>
              </w:rPr>
            </w:pPr>
            <w:r>
              <w:rPr>
                <w:noProof/>
                <w:sz w:val="16"/>
                <w:szCs w:val="16"/>
                <w:lang w:val="fr-BE"/>
              </w:rPr>
              <w:t>F</w:t>
            </w:r>
          </w:p>
        </w:tc>
        <w:tc>
          <w:tcPr>
            <w:tcW w:w="0" w:type="auto"/>
            <w:shd w:val="clear" w:color="auto" w:fill="auto"/>
          </w:tcPr>
          <w:p w14:paraId="38D605C7" w14:textId="77777777" w:rsidR="008C5CFA" w:rsidRPr="0024468B" w:rsidRDefault="00E82A60" w:rsidP="00300A01">
            <w:pPr>
              <w:spacing w:before="0" w:after="0"/>
              <w:rPr>
                <w:sz w:val="16"/>
                <w:szCs w:val="16"/>
                <w:lang w:val="fr-BE"/>
              </w:rPr>
            </w:pPr>
            <w:r w:rsidRPr="0024468B">
              <w:rPr>
                <w:noProof/>
                <w:sz w:val="16"/>
                <w:szCs w:val="16"/>
                <w:lang w:val="fr-BE"/>
              </w:rPr>
              <w:t>CO29</w:t>
            </w:r>
          </w:p>
        </w:tc>
        <w:tc>
          <w:tcPr>
            <w:tcW w:w="0" w:type="auto"/>
            <w:shd w:val="clear" w:color="auto" w:fill="auto"/>
          </w:tcPr>
          <w:p w14:paraId="05A88753" w14:textId="77777777" w:rsidR="008C5CFA" w:rsidRPr="0024468B" w:rsidRDefault="00E82A60" w:rsidP="00300A01">
            <w:pPr>
              <w:spacing w:before="0" w:after="0"/>
              <w:rPr>
                <w:sz w:val="16"/>
                <w:szCs w:val="16"/>
                <w:lang w:val="fr-BE"/>
              </w:rPr>
            </w:pPr>
            <w:r w:rsidRPr="0024468B">
              <w:rPr>
                <w:noProof/>
                <w:sz w:val="16"/>
                <w:szCs w:val="16"/>
                <w:lang w:val="fr-BE"/>
              </w:rPr>
              <w:t>Badania i innowacje: liczba przedsiębiorstw objętych wsparciem w celu wprowadzenia produktów nowych dla firmy</w:t>
            </w:r>
          </w:p>
        </w:tc>
        <w:tc>
          <w:tcPr>
            <w:tcW w:w="0" w:type="auto"/>
            <w:shd w:val="clear" w:color="auto" w:fill="auto"/>
          </w:tcPr>
          <w:p w14:paraId="2D5C4170" w14:textId="77777777" w:rsidR="008C5CFA" w:rsidRPr="0024468B" w:rsidRDefault="00E82A60" w:rsidP="00300A01">
            <w:pPr>
              <w:spacing w:before="0" w:after="0"/>
              <w:rPr>
                <w:sz w:val="16"/>
                <w:szCs w:val="16"/>
                <w:lang w:val="fr-BE"/>
              </w:rPr>
            </w:pPr>
            <w:r>
              <w:rPr>
                <w:noProof/>
                <w:sz w:val="16"/>
                <w:szCs w:val="16"/>
                <w:lang w:val="fr-BE"/>
              </w:rPr>
              <w:t>Przedsiębiorstwa</w:t>
            </w:r>
          </w:p>
        </w:tc>
        <w:tc>
          <w:tcPr>
            <w:tcW w:w="0" w:type="auto"/>
            <w:shd w:val="clear" w:color="auto" w:fill="auto"/>
          </w:tcPr>
          <w:p w14:paraId="474727B3" w14:textId="77777777" w:rsidR="008C5CFA" w:rsidRPr="0024468B" w:rsidRDefault="00E82A60"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14:paraId="0FCAD8D8" w14:textId="77777777" w:rsidR="008C5CFA" w:rsidRPr="0024468B" w:rsidRDefault="00E82A60" w:rsidP="00300A01">
            <w:pPr>
              <w:spacing w:before="0" w:after="0"/>
              <w:jc w:val="right"/>
              <w:rPr>
                <w:sz w:val="16"/>
                <w:szCs w:val="16"/>
                <w:lang w:val="fr-BE"/>
              </w:rPr>
            </w:pPr>
            <w:r>
              <w:rPr>
                <w:noProof/>
                <w:sz w:val="16"/>
                <w:szCs w:val="16"/>
                <w:lang w:val="fr-BE"/>
              </w:rPr>
              <w:t>173,00</w:t>
            </w:r>
          </w:p>
        </w:tc>
        <w:tc>
          <w:tcPr>
            <w:tcW w:w="0" w:type="auto"/>
            <w:shd w:val="clear" w:color="auto" w:fill="auto"/>
          </w:tcPr>
          <w:p w14:paraId="73ED8FA3" w14:textId="77777777" w:rsidR="008C5CFA" w:rsidRPr="0024468B" w:rsidRDefault="008C5CFA" w:rsidP="00300A01">
            <w:pPr>
              <w:spacing w:before="0" w:after="0"/>
              <w:jc w:val="right"/>
              <w:rPr>
                <w:sz w:val="16"/>
                <w:szCs w:val="16"/>
                <w:lang w:val="fr-BE"/>
              </w:rPr>
            </w:pPr>
          </w:p>
        </w:tc>
        <w:tc>
          <w:tcPr>
            <w:tcW w:w="0" w:type="auto"/>
          </w:tcPr>
          <w:p w14:paraId="7BAC50C1" w14:textId="77777777" w:rsidR="008C5CFA" w:rsidRPr="0024468B" w:rsidRDefault="008C5CFA" w:rsidP="00300A01">
            <w:pPr>
              <w:spacing w:before="0" w:after="0"/>
              <w:jc w:val="right"/>
              <w:rPr>
                <w:sz w:val="16"/>
                <w:szCs w:val="16"/>
                <w:lang w:val="fr-BE"/>
              </w:rPr>
            </w:pPr>
          </w:p>
        </w:tc>
        <w:tc>
          <w:tcPr>
            <w:tcW w:w="0" w:type="auto"/>
            <w:shd w:val="clear" w:color="auto" w:fill="auto"/>
          </w:tcPr>
          <w:p w14:paraId="1CA2F5B9" w14:textId="77777777" w:rsidR="008C5CFA" w:rsidRPr="0024468B" w:rsidRDefault="00E82A60" w:rsidP="00300A01">
            <w:pPr>
              <w:spacing w:before="0" w:after="0"/>
              <w:jc w:val="right"/>
              <w:rPr>
                <w:sz w:val="16"/>
                <w:szCs w:val="16"/>
                <w:lang w:val="fr-BE"/>
              </w:rPr>
            </w:pPr>
            <w:r w:rsidRPr="0024468B">
              <w:rPr>
                <w:noProof/>
                <w:sz w:val="16"/>
                <w:szCs w:val="16"/>
                <w:lang w:val="fr-BE"/>
              </w:rPr>
              <w:t>242,00</w:t>
            </w:r>
          </w:p>
        </w:tc>
        <w:tc>
          <w:tcPr>
            <w:tcW w:w="0" w:type="auto"/>
            <w:shd w:val="clear" w:color="auto" w:fill="auto"/>
          </w:tcPr>
          <w:p w14:paraId="32B98C8E" w14:textId="77777777" w:rsidR="008C5CFA" w:rsidRPr="0024468B" w:rsidRDefault="008C5CFA" w:rsidP="00300A01">
            <w:pPr>
              <w:spacing w:before="0" w:after="0"/>
              <w:jc w:val="right"/>
              <w:rPr>
                <w:sz w:val="16"/>
                <w:szCs w:val="16"/>
                <w:lang w:val="fr-BE"/>
              </w:rPr>
            </w:pPr>
          </w:p>
        </w:tc>
        <w:tc>
          <w:tcPr>
            <w:tcW w:w="0" w:type="auto"/>
            <w:shd w:val="clear" w:color="auto" w:fill="auto"/>
          </w:tcPr>
          <w:p w14:paraId="1351EEF8" w14:textId="77777777" w:rsidR="008C5CFA" w:rsidRPr="0024468B" w:rsidRDefault="008C5CFA" w:rsidP="00300A01">
            <w:pPr>
              <w:spacing w:before="0" w:after="0"/>
              <w:jc w:val="right"/>
              <w:rPr>
                <w:sz w:val="16"/>
                <w:szCs w:val="16"/>
                <w:lang w:val="fr-BE"/>
              </w:rPr>
            </w:pPr>
          </w:p>
        </w:tc>
        <w:tc>
          <w:tcPr>
            <w:tcW w:w="0" w:type="auto"/>
            <w:shd w:val="clear" w:color="auto" w:fill="auto"/>
          </w:tcPr>
          <w:p w14:paraId="4949493B" w14:textId="77777777" w:rsidR="008C5CFA" w:rsidRPr="0024468B" w:rsidRDefault="00E82A60" w:rsidP="00300A01">
            <w:pPr>
              <w:spacing w:before="0" w:after="0"/>
              <w:rPr>
                <w:sz w:val="16"/>
                <w:szCs w:val="16"/>
                <w:lang w:val="fr-BE"/>
              </w:rPr>
            </w:pPr>
            <w:r w:rsidRPr="0024468B">
              <w:rPr>
                <w:noProof/>
                <w:sz w:val="16"/>
                <w:szCs w:val="16"/>
                <w:lang w:val="fr-BE"/>
              </w:rPr>
              <w:t>Uwzględniając proponowaną zmianę, realizacja wskaźnika wyniesie 96%</w:t>
            </w:r>
          </w:p>
        </w:tc>
      </w:tr>
      <w:tr w:rsidR="006B2EC1" w14:paraId="1A5CB184" w14:textId="77777777" w:rsidTr="0047688D">
        <w:tc>
          <w:tcPr>
            <w:tcW w:w="0" w:type="auto"/>
          </w:tcPr>
          <w:p w14:paraId="4512DF98" w14:textId="77777777" w:rsidR="008C5CFA" w:rsidRPr="0024468B" w:rsidRDefault="00E82A60" w:rsidP="00300A01">
            <w:pPr>
              <w:spacing w:before="0" w:after="0"/>
              <w:rPr>
                <w:sz w:val="16"/>
                <w:szCs w:val="16"/>
                <w:lang w:val="fr-BE"/>
              </w:rPr>
            </w:pPr>
            <w:r>
              <w:rPr>
                <w:noProof/>
                <w:sz w:val="16"/>
                <w:szCs w:val="16"/>
                <w:lang w:val="fr-BE"/>
              </w:rPr>
              <w:t>S</w:t>
            </w:r>
          </w:p>
        </w:tc>
        <w:tc>
          <w:tcPr>
            <w:tcW w:w="0" w:type="auto"/>
            <w:shd w:val="clear" w:color="auto" w:fill="auto"/>
          </w:tcPr>
          <w:p w14:paraId="0018B179" w14:textId="77777777" w:rsidR="008C5CFA" w:rsidRPr="0024468B" w:rsidRDefault="00E82A60" w:rsidP="00300A01">
            <w:pPr>
              <w:spacing w:before="0" w:after="0"/>
              <w:rPr>
                <w:sz w:val="16"/>
                <w:szCs w:val="16"/>
                <w:lang w:val="fr-BE"/>
              </w:rPr>
            </w:pPr>
            <w:r w:rsidRPr="0024468B">
              <w:rPr>
                <w:noProof/>
                <w:sz w:val="16"/>
                <w:szCs w:val="16"/>
                <w:lang w:val="fr-BE"/>
              </w:rPr>
              <w:t>CO29</w:t>
            </w:r>
          </w:p>
        </w:tc>
        <w:tc>
          <w:tcPr>
            <w:tcW w:w="0" w:type="auto"/>
            <w:shd w:val="clear" w:color="auto" w:fill="auto"/>
          </w:tcPr>
          <w:p w14:paraId="4E5D2DF9" w14:textId="77777777" w:rsidR="008C5CFA" w:rsidRPr="0024468B" w:rsidRDefault="00E82A60" w:rsidP="00300A01">
            <w:pPr>
              <w:spacing w:before="0" w:after="0"/>
              <w:rPr>
                <w:sz w:val="16"/>
                <w:szCs w:val="16"/>
                <w:lang w:val="fr-BE"/>
              </w:rPr>
            </w:pPr>
            <w:r w:rsidRPr="0024468B">
              <w:rPr>
                <w:noProof/>
                <w:sz w:val="16"/>
                <w:szCs w:val="16"/>
                <w:lang w:val="fr-BE"/>
              </w:rPr>
              <w:t>Badania i innowacje: liczba przedsiębiorstw objętych wsparciem w celu wprowadzenia produktów nowych dla firmy</w:t>
            </w:r>
          </w:p>
        </w:tc>
        <w:tc>
          <w:tcPr>
            <w:tcW w:w="0" w:type="auto"/>
            <w:shd w:val="clear" w:color="auto" w:fill="auto"/>
          </w:tcPr>
          <w:p w14:paraId="67B97A14" w14:textId="77777777" w:rsidR="008C5CFA" w:rsidRPr="0024468B" w:rsidRDefault="00E82A60" w:rsidP="00300A01">
            <w:pPr>
              <w:spacing w:before="0" w:after="0"/>
              <w:rPr>
                <w:sz w:val="16"/>
                <w:szCs w:val="16"/>
                <w:lang w:val="fr-BE"/>
              </w:rPr>
            </w:pPr>
            <w:r>
              <w:rPr>
                <w:noProof/>
                <w:sz w:val="16"/>
                <w:szCs w:val="16"/>
                <w:lang w:val="fr-BE"/>
              </w:rPr>
              <w:t>Przedsiębiorstwa</w:t>
            </w:r>
          </w:p>
        </w:tc>
        <w:tc>
          <w:tcPr>
            <w:tcW w:w="0" w:type="auto"/>
            <w:shd w:val="clear" w:color="auto" w:fill="auto"/>
          </w:tcPr>
          <w:p w14:paraId="518D49D3" w14:textId="77777777" w:rsidR="008C5CFA" w:rsidRPr="0024468B" w:rsidRDefault="00E82A60"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14:paraId="34560775" w14:textId="77777777" w:rsidR="008C5CFA" w:rsidRPr="0024468B" w:rsidRDefault="00E82A60" w:rsidP="00300A01">
            <w:pPr>
              <w:spacing w:before="0" w:after="0"/>
              <w:jc w:val="right"/>
              <w:rPr>
                <w:sz w:val="16"/>
                <w:szCs w:val="16"/>
                <w:lang w:val="fr-BE"/>
              </w:rPr>
            </w:pPr>
            <w:r>
              <w:rPr>
                <w:noProof/>
                <w:sz w:val="16"/>
                <w:szCs w:val="16"/>
                <w:lang w:val="fr-BE"/>
              </w:rPr>
              <w:t>173,00</w:t>
            </w:r>
          </w:p>
        </w:tc>
        <w:tc>
          <w:tcPr>
            <w:tcW w:w="0" w:type="auto"/>
            <w:shd w:val="clear" w:color="auto" w:fill="auto"/>
          </w:tcPr>
          <w:p w14:paraId="6368EB3E" w14:textId="77777777" w:rsidR="008C5CFA" w:rsidRPr="0024468B" w:rsidRDefault="008C5CFA" w:rsidP="00300A01">
            <w:pPr>
              <w:spacing w:before="0" w:after="0"/>
              <w:jc w:val="right"/>
              <w:rPr>
                <w:sz w:val="16"/>
                <w:szCs w:val="16"/>
                <w:lang w:val="fr-BE"/>
              </w:rPr>
            </w:pPr>
          </w:p>
        </w:tc>
        <w:tc>
          <w:tcPr>
            <w:tcW w:w="0" w:type="auto"/>
          </w:tcPr>
          <w:p w14:paraId="4B159E43" w14:textId="77777777" w:rsidR="008C5CFA" w:rsidRPr="0024468B" w:rsidRDefault="008C5CFA" w:rsidP="00300A01">
            <w:pPr>
              <w:spacing w:before="0" w:after="0"/>
              <w:jc w:val="right"/>
              <w:rPr>
                <w:sz w:val="16"/>
                <w:szCs w:val="16"/>
                <w:lang w:val="fr-BE"/>
              </w:rPr>
            </w:pPr>
          </w:p>
        </w:tc>
        <w:tc>
          <w:tcPr>
            <w:tcW w:w="0" w:type="auto"/>
            <w:shd w:val="clear" w:color="auto" w:fill="auto"/>
          </w:tcPr>
          <w:p w14:paraId="17654A08" w14:textId="77777777" w:rsidR="008C5CFA" w:rsidRPr="0024468B" w:rsidRDefault="00E82A60" w:rsidP="00300A01">
            <w:pPr>
              <w:spacing w:before="0" w:after="0"/>
              <w:jc w:val="right"/>
              <w:rPr>
                <w:sz w:val="16"/>
                <w:szCs w:val="16"/>
                <w:lang w:val="fr-BE"/>
              </w:rPr>
            </w:pPr>
            <w:r w:rsidRPr="0024468B">
              <w:rPr>
                <w:noProof/>
                <w:sz w:val="16"/>
                <w:szCs w:val="16"/>
                <w:lang w:val="fr-BE"/>
              </w:rPr>
              <w:t>244,00</w:t>
            </w:r>
          </w:p>
        </w:tc>
        <w:tc>
          <w:tcPr>
            <w:tcW w:w="0" w:type="auto"/>
            <w:shd w:val="clear" w:color="auto" w:fill="auto"/>
          </w:tcPr>
          <w:p w14:paraId="23D5D8A5" w14:textId="77777777" w:rsidR="008C5CFA" w:rsidRPr="0024468B" w:rsidRDefault="008C5CFA" w:rsidP="00300A01">
            <w:pPr>
              <w:spacing w:before="0" w:after="0"/>
              <w:jc w:val="right"/>
              <w:rPr>
                <w:sz w:val="16"/>
                <w:szCs w:val="16"/>
                <w:lang w:val="fr-BE"/>
              </w:rPr>
            </w:pPr>
          </w:p>
        </w:tc>
        <w:tc>
          <w:tcPr>
            <w:tcW w:w="0" w:type="auto"/>
            <w:shd w:val="clear" w:color="auto" w:fill="auto"/>
          </w:tcPr>
          <w:p w14:paraId="5DE4ED35" w14:textId="77777777" w:rsidR="008C5CFA" w:rsidRPr="0024468B" w:rsidRDefault="008C5CFA" w:rsidP="00300A01">
            <w:pPr>
              <w:spacing w:before="0" w:after="0"/>
              <w:jc w:val="right"/>
              <w:rPr>
                <w:sz w:val="16"/>
                <w:szCs w:val="16"/>
                <w:lang w:val="fr-BE"/>
              </w:rPr>
            </w:pPr>
          </w:p>
        </w:tc>
        <w:tc>
          <w:tcPr>
            <w:tcW w:w="0" w:type="auto"/>
            <w:shd w:val="clear" w:color="auto" w:fill="auto"/>
          </w:tcPr>
          <w:p w14:paraId="326CFE18" w14:textId="77777777" w:rsidR="008C5CFA" w:rsidRPr="0024468B" w:rsidRDefault="00E82A60" w:rsidP="00300A01">
            <w:pPr>
              <w:spacing w:before="0" w:after="0"/>
              <w:rPr>
                <w:sz w:val="16"/>
                <w:szCs w:val="16"/>
                <w:lang w:val="fr-BE"/>
              </w:rPr>
            </w:pPr>
            <w:r w:rsidRPr="0024468B">
              <w:rPr>
                <w:noProof/>
                <w:sz w:val="16"/>
                <w:szCs w:val="16"/>
                <w:lang w:val="fr-BE"/>
              </w:rPr>
              <w:t>Wartość wskaźnika uległa zmniejszeniu z powodu rozwiązania 7-miu umów z beneficjentami w 2019 roku. Ponadto, w związku ze zwiększeniem alokacji przeznaczonej na wsparcie dotacyjne innowacyjnych MŚP w ramach PI 3c, pomoc uzyska większa niż pierwotnie zakładano liczba przedsiębiorstw. IZ zakłada wzrost poziomu wdrażania nowych produktów dla firm do poziomu 254.</w:t>
            </w:r>
          </w:p>
        </w:tc>
      </w:tr>
    </w:tbl>
    <w:p w14:paraId="7112E3C6" w14:textId="77777777" w:rsidR="008C5CFA" w:rsidRDefault="00E82A60" w:rsidP="00300A01">
      <w:pPr>
        <w:spacing w:before="0" w:after="0"/>
        <w:rPr>
          <w:lang w:val="fr-BE"/>
        </w:rPr>
      </w:pPr>
      <w:r>
        <w:rPr>
          <w:noProof/>
          <w:lang w:val="fr-BE"/>
        </w:rPr>
        <w:t>1) S=wartość skumulowana – produkty, które mają być zrealizowane poprzez wybrane operacje [prognoza przedstawiona przez beneficjentów], F=wartość skumulowana – produkty zrealizowane poprzez operacje [rzeczywiste wykonanie]</w:t>
      </w:r>
    </w:p>
    <w:p w14:paraId="7CB9266D"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01"/>
        <w:gridCol w:w="497"/>
        <w:gridCol w:w="5533"/>
        <w:gridCol w:w="1034"/>
        <w:gridCol w:w="1071"/>
        <w:gridCol w:w="894"/>
        <w:gridCol w:w="1034"/>
        <w:gridCol w:w="1072"/>
        <w:gridCol w:w="895"/>
        <w:gridCol w:w="886"/>
        <w:gridCol w:w="1072"/>
        <w:gridCol w:w="895"/>
      </w:tblGrid>
      <w:tr w:rsidR="006B2EC1" w14:paraId="3E7E87C3" w14:textId="77777777" w:rsidTr="0047688D">
        <w:trPr>
          <w:tblHeader/>
        </w:trPr>
        <w:tc>
          <w:tcPr>
            <w:tcW w:w="0" w:type="auto"/>
          </w:tcPr>
          <w:p w14:paraId="66041B68" w14:textId="77777777" w:rsidR="008C5CFA" w:rsidRPr="009143B4" w:rsidRDefault="00E82A60" w:rsidP="00300A01">
            <w:pPr>
              <w:spacing w:before="0" w:after="0"/>
              <w:rPr>
                <w:b/>
                <w:sz w:val="16"/>
                <w:szCs w:val="16"/>
                <w:lang w:val="fr-BE"/>
              </w:rPr>
            </w:pPr>
            <w:r w:rsidRPr="009143B4">
              <w:rPr>
                <w:b/>
                <w:sz w:val="16"/>
                <w:szCs w:val="16"/>
                <w:lang w:val="fr-BE"/>
              </w:rPr>
              <w:t>(1)</w:t>
            </w:r>
          </w:p>
        </w:tc>
        <w:tc>
          <w:tcPr>
            <w:tcW w:w="0" w:type="auto"/>
            <w:shd w:val="clear" w:color="auto" w:fill="auto"/>
          </w:tcPr>
          <w:p w14:paraId="469C4FB4" w14:textId="77777777" w:rsidR="008C5CFA" w:rsidRPr="009143B4" w:rsidRDefault="00E82A60" w:rsidP="00300A01">
            <w:pPr>
              <w:spacing w:before="0" w:after="0"/>
              <w:rPr>
                <w:b/>
                <w:sz w:val="16"/>
                <w:szCs w:val="16"/>
                <w:lang w:val="fr-BE"/>
              </w:rPr>
            </w:pPr>
            <w:r w:rsidRPr="009143B4">
              <w:rPr>
                <w:b/>
                <w:noProof/>
                <w:sz w:val="16"/>
                <w:szCs w:val="16"/>
                <w:lang w:val="fr-BE"/>
              </w:rPr>
              <w:t>ID</w:t>
            </w:r>
          </w:p>
        </w:tc>
        <w:tc>
          <w:tcPr>
            <w:tcW w:w="0" w:type="auto"/>
            <w:shd w:val="clear" w:color="auto" w:fill="auto"/>
          </w:tcPr>
          <w:p w14:paraId="75AA8DF2" w14:textId="77777777" w:rsidR="008C5CFA" w:rsidRPr="009143B4" w:rsidRDefault="00E82A60" w:rsidP="00300A01">
            <w:pPr>
              <w:spacing w:before="0" w:after="0"/>
              <w:rPr>
                <w:b/>
                <w:sz w:val="16"/>
                <w:szCs w:val="16"/>
                <w:lang w:val="fr-BE"/>
              </w:rPr>
            </w:pPr>
            <w:r w:rsidRPr="009143B4">
              <w:rPr>
                <w:b/>
                <w:noProof/>
                <w:sz w:val="16"/>
                <w:szCs w:val="16"/>
                <w:lang w:val="fr-BE"/>
              </w:rPr>
              <w:t>Wskaźnik</w:t>
            </w:r>
          </w:p>
        </w:tc>
        <w:tc>
          <w:tcPr>
            <w:tcW w:w="0" w:type="auto"/>
          </w:tcPr>
          <w:p w14:paraId="2B1469C9" w14:textId="77777777" w:rsidR="008C5CFA" w:rsidRPr="009143B4" w:rsidRDefault="00E82A60" w:rsidP="00300A01">
            <w:pPr>
              <w:spacing w:before="0" w:after="0"/>
              <w:jc w:val="center"/>
              <w:rPr>
                <w:b/>
                <w:sz w:val="16"/>
                <w:szCs w:val="16"/>
                <w:lang w:val="fr-BE"/>
              </w:rPr>
            </w:pPr>
            <w:r>
              <w:rPr>
                <w:b/>
                <w:sz w:val="16"/>
                <w:szCs w:val="16"/>
                <w:lang w:val="fr-BE"/>
              </w:rPr>
              <w:t xml:space="preserve">2018 </w:t>
            </w:r>
            <w:r w:rsidRPr="009143B4">
              <w:rPr>
                <w:b/>
                <w:noProof/>
                <w:sz w:val="16"/>
                <w:szCs w:val="16"/>
                <w:lang w:val="fr-BE"/>
              </w:rPr>
              <w:t>Ogółem</w:t>
            </w:r>
          </w:p>
        </w:tc>
        <w:tc>
          <w:tcPr>
            <w:tcW w:w="0" w:type="auto"/>
          </w:tcPr>
          <w:p w14:paraId="492B1B03" w14:textId="77777777" w:rsidR="008C5CFA" w:rsidRPr="009143B4" w:rsidRDefault="00E82A60" w:rsidP="00300A01">
            <w:pPr>
              <w:spacing w:before="0" w:after="0"/>
              <w:jc w:val="center"/>
              <w:rPr>
                <w:b/>
                <w:sz w:val="16"/>
                <w:szCs w:val="16"/>
                <w:lang w:val="fr-BE"/>
              </w:rPr>
            </w:pPr>
            <w:r>
              <w:rPr>
                <w:b/>
                <w:sz w:val="16"/>
                <w:szCs w:val="16"/>
                <w:lang w:val="fr-BE"/>
              </w:rPr>
              <w:t xml:space="preserve">2018 </w:t>
            </w:r>
            <w:r w:rsidRPr="009143B4">
              <w:rPr>
                <w:b/>
                <w:noProof/>
                <w:sz w:val="16"/>
                <w:szCs w:val="16"/>
                <w:lang w:val="fr-BE"/>
              </w:rPr>
              <w:t>Mężczyźni</w:t>
            </w:r>
          </w:p>
        </w:tc>
        <w:tc>
          <w:tcPr>
            <w:tcW w:w="0" w:type="auto"/>
          </w:tcPr>
          <w:p w14:paraId="15B81783" w14:textId="77777777" w:rsidR="008C5CFA" w:rsidRPr="009143B4" w:rsidRDefault="00E82A60" w:rsidP="00300A01">
            <w:pPr>
              <w:spacing w:before="0" w:after="0"/>
              <w:jc w:val="center"/>
              <w:rPr>
                <w:b/>
                <w:sz w:val="16"/>
                <w:szCs w:val="16"/>
                <w:lang w:val="fr-BE"/>
              </w:rPr>
            </w:pPr>
            <w:r>
              <w:rPr>
                <w:b/>
                <w:sz w:val="16"/>
                <w:szCs w:val="16"/>
                <w:lang w:val="fr-BE"/>
              </w:rPr>
              <w:t xml:space="preserve">2018 </w:t>
            </w:r>
            <w:r w:rsidRPr="009143B4">
              <w:rPr>
                <w:b/>
                <w:noProof/>
                <w:sz w:val="16"/>
                <w:szCs w:val="16"/>
                <w:lang w:val="fr-BE"/>
              </w:rPr>
              <w:t>Kobiety</w:t>
            </w:r>
          </w:p>
        </w:tc>
        <w:tc>
          <w:tcPr>
            <w:tcW w:w="0" w:type="auto"/>
          </w:tcPr>
          <w:p w14:paraId="526AB2C3" w14:textId="77777777" w:rsidR="008C5CFA" w:rsidRPr="009143B4" w:rsidRDefault="00E82A60"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Ogółem</w:t>
            </w:r>
          </w:p>
        </w:tc>
        <w:tc>
          <w:tcPr>
            <w:tcW w:w="0" w:type="auto"/>
          </w:tcPr>
          <w:p w14:paraId="6258C931" w14:textId="77777777" w:rsidR="008C5CFA" w:rsidRPr="009143B4" w:rsidRDefault="00E82A60"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Mężczyźni</w:t>
            </w:r>
          </w:p>
        </w:tc>
        <w:tc>
          <w:tcPr>
            <w:tcW w:w="0" w:type="auto"/>
          </w:tcPr>
          <w:p w14:paraId="032B3B4A" w14:textId="77777777" w:rsidR="008C5CFA" w:rsidRPr="009143B4" w:rsidRDefault="00E82A60"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Kobiety</w:t>
            </w:r>
          </w:p>
        </w:tc>
        <w:tc>
          <w:tcPr>
            <w:tcW w:w="0" w:type="auto"/>
            <w:shd w:val="clear" w:color="auto" w:fill="auto"/>
          </w:tcPr>
          <w:p w14:paraId="2C8E3B3C" w14:textId="77777777" w:rsidR="008C5CFA" w:rsidRPr="009143B4" w:rsidRDefault="00E82A60"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Ogółem</w:t>
            </w:r>
          </w:p>
        </w:tc>
        <w:tc>
          <w:tcPr>
            <w:tcW w:w="0" w:type="auto"/>
            <w:shd w:val="clear" w:color="auto" w:fill="auto"/>
          </w:tcPr>
          <w:p w14:paraId="67832CDC" w14:textId="77777777" w:rsidR="008C5CFA" w:rsidRPr="009143B4" w:rsidRDefault="00E82A60"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Mężczyźni</w:t>
            </w:r>
          </w:p>
        </w:tc>
        <w:tc>
          <w:tcPr>
            <w:tcW w:w="0" w:type="auto"/>
            <w:shd w:val="clear" w:color="auto" w:fill="auto"/>
          </w:tcPr>
          <w:p w14:paraId="2E5CF061" w14:textId="77777777" w:rsidR="008C5CFA" w:rsidRPr="009143B4" w:rsidRDefault="00E82A60"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Kobiety</w:t>
            </w:r>
          </w:p>
        </w:tc>
      </w:tr>
      <w:tr w:rsidR="006B2EC1" w14:paraId="6336DB60" w14:textId="77777777" w:rsidTr="0047688D">
        <w:tc>
          <w:tcPr>
            <w:tcW w:w="0" w:type="auto"/>
          </w:tcPr>
          <w:p w14:paraId="172B2B78" w14:textId="77777777" w:rsidR="008C5CFA" w:rsidRPr="0024468B" w:rsidRDefault="00E82A60" w:rsidP="00300A01">
            <w:pPr>
              <w:spacing w:before="0" w:after="0"/>
              <w:rPr>
                <w:sz w:val="16"/>
                <w:szCs w:val="16"/>
                <w:lang w:val="fr-BE"/>
              </w:rPr>
            </w:pPr>
            <w:r>
              <w:rPr>
                <w:noProof/>
                <w:sz w:val="16"/>
                <w:szCs w:val="16"/>
                <w:lang w:val="fr-BE"/>
              </w:rPr>
              <w:t>F</w:t>
            </w:r>
          </w:p>
        </w:tc>
        <w:tc>
          <w:tcPr>
            <w:tcW w:w="0" w:type="auto"/>
            <w:shd w:val="clear" w:color="auto" w:fill="auto"/>
          </w:tcPr>
          <w:p w14:paraId="6E2F5616" w14:textId="77777777" w:rsidR="008C5CFA" w:rsidRPr="0024468B" w:rsidRDefault="00E82A60" w:rsidP="00300A01">
            <w:pPr>
              <w:spacing w:before="0" w:after="0"/>
              <w:rPr>
                <w:sz w:val="16"/>
                <w:szCs w:val="16"/>
                <w:lang w:val="fr-BE"/>
              </w:rPr>
            </w:pPr>
            <w:r w:rsidRPr="0024468B">
              <w:rPr>
                <w:noProof/>
                <w:sz w:val="16"/>
                <w:szCs w:val="16"/>
                <w:lang w:val="fr-BE"/>
              </w:rPr>
              <w:t>CO01</w:t>
            </w:r>
          </w:p>
        </w:tc>
        <w:tc>
          <w:tcPr>
            <w:tcW w:w="0" w:type="auto"/>
            <w:shd w:val="clear" w:color="auto" w:fill="auto"/>
          </w:tcPr>
          <w:p w14:paraId="29066C60" w14:textId="77777777" w:rsidR="008C5CFA" w:rsidRPr="0024468B" w:rsidRDefault="00E82A60" w:rsidP="00300A01">
            <w:pPr>
              <w:spacing w:before="0" w:after="0"/>
              <w:rPr>
                <w:sz w:val="16"/>
                <w:szCs w:val="16"/>
                <w:lang w:val="fr-BE"/>
              </w:rPr>
            </w:pPr>
            <w:r w:rsidRPr="0024468B">
              <w:rPr>
                <w:noProof/>
                <w:sz w:val="16"/>
                <w:szCs w:val="16"/>
                <w:lang w:val="fr-BE"/>
              </w:rPr>
              <w:t>Inwestycje produkcyjne: liczba przedsiębiorstw otrzymujących wsparcie</w:t>
            </w:r>
          </w:p>
        </w:tc>
        <w:tc>
          <w:tcPr>
            <w:tcW w:w="0" w:type="auto"/>
          </w:tcPr>
          <w:p w14:paraId="76786561" w14:textId="77777777" w:rsidR="008C5CFA" w:rsidRPr="0024468B" w:rsidRDefault="00E82A60" w:rsidP="00300A01">
            <w:pPr>
              <w:spacing w:before="0" w:after="0"/>
              <w:jc w:val="right"/>
              <w:rPr>
                <w:sz w:val="16"/>
                <w:szCs w:val="16"/>
                <w:lang w:val="fr-BE"/>
              </w:rPr>
            </w:pPr>
            <w:r w:rsidRPr="0024468B">
              <w:rPr>
                <w:noProof/>
                <w:sz w:val="16"/>
                <w:szCs w:val="16"/>
                <w:lang w:val="fr-BE"/>
              </w:rPr>
              <w:t>386,00</w:t>
            </w:r>
          </w:p>
        </w:tc>
        <w:tc>
          <w:tcPr>
            <w:tcW w:w="0" w:type="auto"/>
          </w:tcPr>
          <w:p w14:paraId="03D63786"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4C1CB7C4"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04C2BADD" w14:textId="77777777" w:rsidR="008C5CFA" w:rsidRPr="0024468B" w:rsidRDefault="00E82A60" w:rsidP="00300A01">
            <w:pPr>
              <w:spacing w:before="0" w:after="0"/>
              <w:jc w:val="right"/>
              <w:rPr>
                <w:sz w:val="16"/>
                <w:szCs w:val="16"/>
                <w:lang w:val="fr-BE"/>
              </w:rPr>
            </w:pPr>
            <w:r w:rsidRPr="0024468B">
              <w:rPr>
                <w:noProof/>
                <w:sz w:val="16"/>
                <w:szCs w:val="16"/>
                <w:lang w:val="fr-BE"/>
              </w:rPr>
              <w:t>19,00</w:t>
            </w:r>
          </w:p>
        </w:tc>
        <w:tc>
          <w:tcPr>
            <w:tcW w:w="0" w:type="auto"/>
          </w:tcPr>
          <w:p w14:paraId="3D876FE6"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0FDCAC90"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1FD4DA45"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43C64742"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28A87FAD"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r w:rsidR="006B2EC1" w14:paraId="7D0F0D1E" w14:textId="77777777" w:rsidTr="0047688D">
        <w:tc>
          <w:tcPr>
            <w:tcW w:w="0" w:type="auto"/>
          </w:tcPr>
          <w:p w14:paraId="4A8ACF4F" w14:textId="77777777" w:rsidR="008C5CFA" w:rsidRPr="0024468B" w:rsidRDefault="00E82A60" w:rsidP="00300A01">
            <w:pPr>
              <w:spacing w:before="0" w:after="0"/>
              <w:rPr>
                <w:sz w:val="16"/>
                <w:szCs w:val="16"/>
                <w:lang w:val="fr-BE"/>
              </w:rPr>
            </w:pPr>
            <w:r>
              <w:rPr>
                <w:noProof/>
                <w:sz w:val="16"/>
                <w:szCs w:val="16"/>
                <w:lang w:val="fr-BE"/>
              </w:rPr>
              <w:t>S</w:t>
            </w:r>
          </w:p>
        </w:tc>
        <w:tc>
          <w:tcPr>
            <w:tcW w:w="0" w:type="auto"/>
            <w:shd w:val="clear" w:color="auto" w:fill="auto"/>
          </w:tcPr>
          <w:p w14:paraId="4A3FF6F2" w14:textId="77777777" w:rsidR="008C5CFA" w:rsidRPr="0024468B" w:rsidRDefault="00E82A60" w:rsidP="00300A01">
            <w:pPr>
              <w:spacing w:before="0" w:after="0"/>
              <w:rPr>
                <w:sz w:val="16"/>
                <w:szCs w:val="16"/>
                <w:lang w:val="fr-BE"/>
              </w:rPr>
            </w:pPr>
            <w:r w:rsidRPr="0024468B">
              <w:rPr>
                <w:noProof/>
                <w:sz w:val="16"/>
                <w:szCs w:val="16"/>
                <w:lang w:val="fr-BE"/>
              </w:rPr>
              <w:t>CO01</w:t>
            </w:r>
          </w:p>
        </w:tc>
        <w:tc>
          <w:tcPr>
            <w:tcW w:w="0" w:type="auto"/>
            <w:shd w:val="clear" w:color="auto" w:fill="auto"/>
          </w:tcPr>
          <w:p w14:paraId="12F17550" w14:textId="77777777" w:rsidR="008C5CFA" w:rsidRPr="0024468B" w:rsidRDefault="00E82A60" w:rsidP="00300A01">
            <w:pPr>
              <w:spacing w:before="0" w:after="0"/>
              <w:rPr>
                <w:sz w:val="16"/>
                <w:szCs w:val="16"/>
                <w:lang w:val="fr-BE"/>
              </w:rPr>
            </w:pPr>
            <w:r w:rsidRPr="0024468B">
              <w:rPr>
                <w:noProof/>
                <w:sz w:val="16"/>
                <w:szCs w:val="16"/>
                <w:lang w:val="fr-BE"/>
              </w:rPr>
              <w:t>Inwestycje produkcyjne: liczba przedsiębiorstw otrzymujących wsparcie</w:t>
            </w:r>
          </w:p>
        </w:tc>
        <w:tc>
          <w:tcPr>
            <w:tcW w:w="0" w:type="auto"/>
          </w:tcPr>
          <w:p w14:paraId="542E37E8" w14:textId="77777777" w:rsidR="008C5CFA" w:rsidRPr="0024468B" w:rsidRDefault="00E82A60" w:rsidP="00300A01">
            <w:pPr>
              <w:spacing w:before="0" w:after="0"/>
              <w:jc w:val="right"/>
              <w:rPr>
                <w:sz w:val="16"/>
                <w:szCs w:val="16"/>
                <w:lang w:val="fr-BE"/>
              </w:rPr>
            </w:pPr>
            <w:r w:rsidRPr="0024468B">
              <w:rPr>
                <w:noProof/>
                <w:sz w:val="16"/>
                <w:szCs w:val="16"/>
                <w:lang w:val="fr-BE"/>
              </w:rPr>
              <w:t>2 172,00</w:t>
            </w:r>
          </w:p>
        </w:tc>
        <w:tc>
          <w:tcPr>
            <w:tcW w:w="0" w:type="auto"/>
          </w:tcPr>
          <w:p w14:paraId="0C23A1D1"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4E037CEE"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76DCA487" w14:textId="77777777" w:rsidR="008C5CFA" w:rsidRPr="0024468B" w:rsidRDefault="00E82A60" w:rsidP="00300A01">
            <w:pPr>
              <w:spacing w:before="0" w:after="0"/>
              <w:jc w:val="right"/>
              <w:rPr>
                <w:sz w:val="16"/>
                <w:szCs w:val="16"/>
                <w:lang w:val="fr-BE"/>
              </w:rPr>
            </w:pPr>
            <w:r w:rsidRPr="0024468B">
              <w:rPr>
                <w:noProof/>
                <w:sz w:val="16"/>
                <w:szCs w:val="16"/>
                <w:lang w:val="fr-BE"/>
              </w:rPr>
              <w:t>2 043,00</w:t>
            </w:r>
          </w:p>
        </w:tc>
        <w:tc>
          <w:tcPr>
            <w:tcW w:w="0" w:type="auto"/>
          </w:tcPr>
          <w:p w14:paraId="09A0C8BB"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784160CF"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7F2BCBD9"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4E383E57"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5EBC68D8"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r w:rsidR="006B2EC1" w14:paraId="51497F60" w14:textId="77777777" w:rsidTr="0047688D">
        <w:tc>
          <w:tcPr>
            <w:tcW w:w="0" w:type="auto"/>
          </w:tcPr>
          <w:p w14:paraId="45773242" w14:textId="77777777" w:rsidR="008C5CFA" w:rsidRPr="0024468B" w:rsidRDefault="00E82A60" w:rsidP="00300A01">
            <w:pPr>
              <w:spacing w:before="0" w:after="0"/>
              <w:rPr>
                <w:sz w:val="16"/>
                <w:szCs w:val="16"/>
                <w:lang w:val="fr-BE"/>
              </w:rPr>
            </w:pPr>
            <w:r>
              <w:rPr>
                <w:noProof/>
                <w:sz w:val="16"/>
                <w:szCs w:val="16"/>
                <w:lang w:val="fr-BE"/>
              </w:rPr>
              <w:t>F</w:t>
            </w:r>
          </w:p>
        </w:tc>
        <w:tc>
          <w:tcPr>
            <w:tcW w:w="0" w:type="auto"/>
            <w:shd w:val="clear" w:color="auto" w:fill="auto"/>
          </w:tcPr>
          <w:p w14:paraId="08CFD948" w14:textId="77777777" w:rsidR="008C5CFA" w:rsidRPr="0024468B" w:rsidRDefault="00E82A60" w:rsidP="00300A01">
            <w:pPr>
              <w:spacing w:before="0" w:after="0"/>
              <w:rPr>
                <w:sz w:val="16"/>
                <w:szCs w:val="16"/>
                <w:lang w:val="fr-BE"/>
              </w:rPr>
            </w:pPr>
            <w:r w:rsidRPr="0024468B">
              <w:rPr>
                <w:noProof/>
                <w:sz w:val="16"/>
                <w:szCs w:val="16"/>
                <w:lang w:val="fr-BE"/>
              </w:rPr>
              <w:t>CO02</w:t>
            </w:r>
          </w:p>
        </w:tc>
        <w:tc>
          <w:tcPr>
            <w:tcW w:w="0" w:type="auto"/>
            <w:shd w:val="clear" w:color="auto" w:fill="auto"/>
          </w:tcPr>
          <w:p w14:paraId="28CF67B0" w14:textId="77777777" w:rsidR="008C5CFA" w:rsidRPr="0024468B" w:rsidRDefault="00E82A60" w:rsidP="00300A01">
            <w:pPr>
              <w:spacing w:before="0" w:after="0"/>
              <w:rPr>
                <w:sz w:val="16"/>
                <w:szCs w:val="16"/>
                <w:lang w:val="fr-BE"/>
              </w:rPr>
            </w:pPr>
            <w:r w:rsidRPr="0024468B">
              <w:rPr>
                <w:noProof/>
                <w:sz w:val="16"/>
                <w:szCs w:val="16"/>
                <w:lang w:val="fr-BE"/>
              </w:rPr>
              <w:t>Inwestycje produkcyjne: liczba przedsiębiorstw otrzymujących dotacje</w:t>
            </w:r>
          </w:p>
        </w:tc>
        <w:tc>
          <w:tcPr>
            <w:tcW w:w="0" w:type="auto"/>
          </w:tcPr>
          <w:p w14:paraId="37C99E2F" w14:textId="77777777" w:rsidR="008C5CFA" w:rsidRPr="0024468B" w:rsidRDefault="00E82A60" w:rsidP="00300A01">
            <w:pPr>
              <w:spacing w:before="0" w:after="0"/>
              <w:jc w:val="right"/>
              <w:rPr>
                <w:sz w:val="16"/>
                <w:szCs w:val="16"/>
                <w:lang w:val="fr-BE"/>
              </w:rPr>
            </w:pPr>
            <w:r w:rsidRPr="0024468B">
              <w:rPr>
                <w:noProof/>
                <w:sz w:val="16"/>
                <w:szCs w:val="16"/>
                <w:lang w:val="fr-BE"/>
              </w:rPr>
              <w:t>152,00</w:t>
            </w:r>
          </w:p>
        </w:tc>
        <w:tc>
          <w:tcPr>
            <w:tcW w:w="0" w:type="auto"/>
          </w:tcPr>
          <w:p w14:paraId="4CC64358"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6D1271BD"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77A259A4" w14:textId="77777777" w:rsidR="008C5CFA" w:rsidRPr="0024468B" w:rsidRDefault="00E82A60" w:rsidP="00300A01">
            <w:pPr>
              <w:spacing w:before="0" w:after="0"/>
              <w:jc w:val="right"/>
              <w:rPr>
                <w:sz w:val="16"/>
                <w:szCs w:val="16"/>
                <w:lang w:val="fr-BE"/>
              </w:rPr>
            </w:pPr>
            <w:r w:rsidRPr="0024468B">
              <w:rPr>
                <w:noProof/>
                <w:sz w:val="16"/>
                <w:szCs w:val="16"/>
                <w:lang w:val="fr-BE"/>
              </w:rPr>
              <w:t>20,00</w:t>
            </w:r>
          </w:p>
        </w:tc>
        <w:tc>
          <w:tcPr>
            <w:tcW w:w="0" w:type="auto"/>
          </w:tcPr>
          <w:p w14:paraId="2A55DDB1"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3B26A58B"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54A9A1F5"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0AB71364"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2C6F9F92"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r w:rsidR="006B2EC1" w14:paraId="26ED3AE8" w14:textId="77777777" w:rsidTr="0047688D">
        <w:tc>
          <w:tcPr>
            <w:tcW w:w="0" w:type="auto"/>
          </w:tcPr>
          <w:p w14:paraId="0BA86FD4" w14:textId="77777777" w:rsidR="008C5CFA" w:rsidRPr="0024468B" w:rsidRDefault="00E82A60" w:rsidP="00300A01">
            <w:pPr>
              <w:spacing w:before="0" w:after="0"/>
              <w:rPr>
                <w:sz w:val="16"/>
                <w:szCs w:val="16"/>
                <w:lang w:val="fr-BE"/>
              </w:rPr>
            </w:pPr>
            <w:r>
              <w:rPr>
                <w:noProof/>
                <w:sz w:val="16"/>
                <w:szCs w:val="16"/>
                <w:lang w:val="fr-BE"/>
              </w:rPr>
              <w:t>S</w:t>
            </w:r>
          </w:p>
        </w:tc>
        <w:tc>
          <w:tcPr>
            <w:tcW w:w="0" w:type="auto"/>
            <w:shd w:val="clear" w:color="auto" w:fill="auto"/>
          </w:tcPr>
          <w:p w14:paraId="57D6C559" w14:textId="77777777" w:rsidR="008C5CFA" w:rsidRPr="0024468B" w:rsidRDefault="00E82A60" w:rsidP="00300A01">
            <w:pPr>
              <w:spacing w:before="0" w:after="0"/>
              <w:rPr>
                <w:sz w:val="16"/>
                <w:szCs w:val="16"/>
                <w:lang w:val="fr-BE"/>
              </w:rPr>
            </w:pPr>
            <w:r w:rsidRPr="0024468B">
              <w:rPr>
                <w:noProof/>
                <w:sz w:val="16"/>
                <w:szCs w:val="16"/>
                <w:lang w:val="fr-BE"/>
              </w:rPr>
              <w:t>CO02</w:t>
            </w:r>
          </w:p>
        </w:tc>
        <w:tc>
          <w:tcPr>
            <w:tcW w:w="0" w:type="auto"/>
            <w:shd w:val="clear" w:color="auto" w:fill="auto"/>
          </w:tcPr>
          <w:p w14:paraId="655DBD0C" w14:textId="77777777" w:rsidR="008C5CFA" w:rsidRPr="0024468B" w:rsidRDefault="00E82A60" w:rsidP="00300A01">
            <w:pPr>
              <w:spacing w:before="0" w:after="0"/>
              <w:rPr>
                <w:sz w:val="16"/>
                <w:szCs w:val="16"/>
                <w:lang w:val="fr-BE"/>
              </w:rPr>
            </w:pPr>
            <w:r w:rsidRPr="0024468B">
              <w:rPr>
                <w:noProof/>
                <w:sz w:val="16"/>
                <w:szCs w:val="16"/>
                <w:lang w:val="fr-BE"/>
              </w:rPr>
              <w:t>Inwestycje produkcyjne: liczba przedsiębiorstw otrzymujących dotacje</w:t>
            </w:r>
          </w:p>
        </w:tc>
        <w:tc>
          <w:tcPr>
            <w:tcW w:w="0" w:type="auto"/>
          </w:tcPr>
          <w:p w14:paraId="582A6DC5" w14:textId="77777777" w:rsidR="008C5CFA" w:rsidRPr="0024468B" w:rsidRDefault="00E82A60" w:rsidP="00300A01">
            <w:pPr>
              <w:spacing w:before="0" w:after="0"/>
              <w:jc w:val="right"/>
              <w:rPr>
                <w:sz w:val="16"/>
                <w:szCs w:val="16"/>
                <w:lang w:val="fr-BE"/>
              </w:rPr>
            </w:pPr>
            <w:r w:rsidRPr="0024468B">
              <w:rPr>
                <w:noProof/>
                <w:sz w:val="16"/>
                <w:szCs w:val="16"/>
                <w:lang w:val="fr-BE"/>
              </w:rPr>
              <w:t>265,00</w:t>
            </w:r>
          </w:p>
        </w:tc>
        <w:tc>
          <w:tcPr>
            <w:tcW w:w="0" w:type="auto"/>
          </w:tcPr>
          <w:p w14:paraId="6EC1F46F"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21CB264F"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09897267" w14:textId="77777777" w:rsidR="008C5CFA" w:rsidRPr="0024468B" w:rsidRDefault="00E82A60" w:rsidP="00300A01">
            <w:pPr>
              <w:spacing w:before="0" w:after="0"/>
              <w:jc w:val="right"/>
              <w:rPr>
                <w:sz w:val="16"/>
                <w:szCs w:val="16"/>
                <w:lang w:val="fr-BE"/>
              </w:rPr>
            </w:pPr>
            <w:r w:rsidRPr="0024468B">
              <w:rPr>
                <w:noProof/>
                <w:sz w:val="16"/>
                <w:szCs w:val="16"/>
                <w:lang w:val="fr-BE"/>
              </w:rPr>
              <w:t>131,00</w:t>
            </w:r>
          </w:p>
        </w:tc>
        <w:tc>
          <w:tcPr>
            <w:tcW w:w="0" w:type="auto"/>
          </w:tcPr>
          <w:p w14:paraId="78F69AC1"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279BC6F1"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1E2BC386"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0FF8B975"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53EF85CF"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r w:rsidR="006B2EC1" w14:paraId="2DE6068E" w14:textId="77777777" w:rsidTr="0047688D">
        <w:tc>
          <w:tcPr>
            <w:tcW w:w="0" w:type="auto"/>
          </w:tcPr>
          <w:p w14:paraId="75F98E8D" w14:textId="77777777" w:rsidR="008C5CFA" w:rsidRPr="0024468B" w:rsidRDefault="00E82A60" w:rsidP="00300A01">
            <w:pPr>
              <w:spacing w:before="0" w:after="0"/>
              <w:rPr>
                <w:sz w:val="16"/>
                <w:szCs w:val="16"/>
                <w:lang w:val="fr-BE"/>
              </w:rPr>
            </w:pPr>
            <w:r>
              <w:rPr>
                <w:noProof/>
                <w:sz w:val="16"/>
                <w:szCs w:val="16"/>
                <w:lang w:val="fr-BE"/>
              </w:rPr>
              <w:lastRenderedPageBreak/>
              <w:t>F</w:t>
            </w:r>
          </w:p>
        </w:tc>
        <w:tc>
          <w:tcPr>
            <w:tcW w:w="0" w:type="auto"/>
            <w:shd w:val="clear" w:color="auto" w:fill="auto"/>
          </w:tcPr>
          <w:p w14:paraId="01DEA0E0" w14:textId="77777777" w:rsidR="008C5CFA" w:rsidRPr="0024468B" w:rsidRDefault="00E82A60" w:rsidP="00300A01">
            <w:pPr>
              <w:spacing w:before="0" w:after="0"/>
              <w:rPr>
                <w:sz w:val="16"/>
                <w:szCs w:val="16"/>
                <w:lang w:val="fr-BE"/>
              </w:rPr>
            </w:pPr>
            <w:r w:rsidRPr="0024468B">
              <w:rPr>
                <w:noProof/>
                <w:sz w:val="16"/>
                <w:szCs w:val="16"/>
                <w:lang w:val="fr-BE"/>
              </w:rPr>
              <w:t>CO03</w:t>
            </w:r>
          </w:p>
        </w:tc>
        <w:tc>
          <w:tcPr>
            <w:tcW w:w="0" w:type="auto"/>
            <w:shd w:val="clear" w:color="auto" w:fill="auto"/>
          </w:tcPr>
          <w:p w14:paraId="54CE6958" w14:textId="77777777" w:rsidR="008C5CFA" w:rsidRPr="0024468B" w:rsidRDefault="00E82A60" w:rsidP="00300A01">
            <w:pPr>
              <w:spacing w:before="0" w:after="0"/>
              <w:rPr>
                <w:sz w:val="16"/>
                <w:szCs w:val="16"/>
                <w:lang w:val="fr-BE"/>
              </w:rPr>
            </w:pPr>
            <w:r w:rsidRPr="0024468B">
              <w:rPr>
                <w:noProof/>
                <w:sz w:val="16"/>
                <w:szCs w:val="16"/>
                <w:lang w:val="fr-BE"/>
              </w:rPr>
              <w:t>Inwestycje produkcyjne: liczba przedsiębiorstw otrzymujących wsparcie finansowe inne niż dotacje</w:t>
            </w:r>
          </w:p>
        </w:tc>
        <w:tc>
          <w:tcPr>
            <w:tcW w:w="0" w:type="auto"/>
          </w:tcPr>
          <w:p w14:paraId="0DAC491D" w14:textId="77777777" w:rsidR="008C5CFA" w:rsidRPr="0024468B" w:rsidRDefault="00E82A60" w:rsidP="00300A01">
            <w:pPr>
              <w:spacing w:before="0" w:after="0"/>
              <w:jc w:val="right"/>
              <w:rPr>
                <w:sz w:val="16"/>
                <w:szCs w:val="16"/>
                <w:lang w:val="fr-BE"/>
              </w:rPr>
            </w:pPr>
            <w:r w:rsidRPr="0024468B">
              <w:rPr>
                <w:noProof/>
                <w:sz w:val="16"/>
                <w:szCs w:val="16"/>
                <w:lang w:val="fr-BE"/>
              </w:rPr>
              <w:t>213,00</w:t>
            </w:r>
          </w:p>
        </w:tc>
        <w:tc>
          <w:tcPr>
            <w:tcW w:w="0" w:type="auto"/>
          </w:tcPr>
          <w:p w14:paraId="257D967C"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5E02C852"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2BCBD140"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45274776"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0EED5116"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414C7CF4"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2E626CD1"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10F54F0B"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r w:rsidR="006B2EC1" w14:paraId="1DFFFF15" w14:textId="77777777" w:rsidTr="0047688D">
        <w:tc>
          <w:tcPr>
            <w:tcW w:w="0" w:type="auto"/>
          </w:tcPr>
          <w:p w14:paraId="6C9639D8" w14:textId="77777777" w:rsidR="008C5CFA" w:rsidRPr="0024468B" w:rsidRDefault="00E82A60" w:rsidP="00300A01">
            <w:pPr>
              <w:spacing w:before="0" w:after="0"/>
              <w:rPr>
                <w:sz w:val="16"/>
                <w:szCs w:val="16"/>
                <w:lang w:val="fr-BE"/>
              </w:rPr>
            </w:pPr>
            <w:r>
              <w:rPr>
                <w:noProof/>
                <w:sz w:val="16"/>
                <w:szCs w:val="16"/>
                <w:lang w:val="fr-BE"/>
              </w:rPr>
              <w:t>S</w:t>
            </w:r>
          </w:p>
        </w:tc>
        <w:tc>
          <w:tcPr>
            <w:tcW w:w="0" w:type="auto"/>
            <w:shd w:val="clear" w:color="auto" w:fill="auto"/>
          </w:tcPr>
          <w:p w14:paraId="5A35FF84" w14:textId="77777777" w:rsidR="008C5CFA" w:rsidRPr="0024468B" w:rsidRDefault="00E82A60" w:rsidP="00300A01">
            <w:pPr>
              <w:spacing w:before="0" w:after="0"/>
              <w:rPr>
                <w:sz w:val="16"/>
                <w:szCs w:val="16"/>
                <w:lang w:val="fr-BE"/>
              </w:rPr>
            </w:pPr>
            <w:r w:rsidRPr="0024468B">
              <w:rPr>
                <w:noProof/>
                <w:sz w:val="16"/>
                <w:szCs w:val="16"/>
                <w:lang w:val="fr-BE"/>
              </w:rPr>
              <w:t>CO03</w:t>
            </w:r>
          </w:p>
        </w:tc>
        <w:tc>
          <w:tcPr>
            <w:tcW w:w="0" w:type="auto"/>
            <w:shd w:val="clear" w:color="auto" w:fill="auto"/>
          </w:tcPr>
          <w:p w14:paraId="64984218" w14:textId="77777777" w:rsidR="008C5CFA" w:rsidRPr="0024468B" w:rsidRDefault="00E82A60" w:rsidP="00300A01">
            <w:pPr>
              <w:spacing w:before="0" w:after="0"/>
              <w:rPr>
                <w:sz w:val="16"/>
                <w:szCs w:val="16"/>
                <w:lang w:val="fr-BE"/>
              </w:rPr>
            </w:pPr>
            <w:r w:rsidRPr="0024468B">
              <w:rPr>
                <w:noProof/>
                <w:sz w:val="16"/>
                <w:szCs w:val="16"/>
                <w:lang w:val="fr-BE"/>
              </w:rPr>
              <w:t>Inwestycje produkcyjne: liczba przedsiębiorstw otrzymujących wsparcie finansowe inne niż dotacje</w:t>
            </w:r>
          </w:p>
        </w:tc>
        <w:tc>
          <w:tcPr>
            <w:tcW w:w="0" w:type="auto"/>
          </w:tcPr>
          <w:p w14:paraId="402C7613" w14:textId="77777777" w:rsidR="008C5CFA" w:rsidRPr="0024468B" w:rsidRDefault="00E82A60" w:rsidP="00300A01">
            <w:pPr>
              <w:spacing w:before="0" w:after="0"/>
              <w:jc w:val="right"/>
              <w:rPr>
                <w:sz w:val="16"/>
                <w:szCs w:val="16"/>
                <w:lang w:val="fr-BE"/>
              </w:rPr>
            </w:pPr>
            <w:r w:rsidRPr="0024468B">
              <w:rPr>
                <w:noProof/>
                <w:sz w:val="16"/>
                <w:szCs w:val="16"/>
                <w:lang w:val="fr-BE"/>
              </w:rPr>
              <w:t>1 924,00</w:t>
            </w:r>
          </w:p>
        </w:tc>
        <w:tc>
          <w:tcPr>
            <w:tcW w:w="0" w:type="auto"/>
          </w:tcPr>
          <w:p w14:paraId="04BA8B33"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037AE445"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1C93DC26" w14:textId="77777777" w:rsidR="008C5CFA" w:rsidRPr="0024468B" w:rsidRDefault="00E82A60" w:rsidP="00300A01">
            <w:pPr>
              <w:spacing w:before="0" w:after="0"/>
              <w:jc w:val="right"/>
              <w:rPr>
                <w:sz w:val="16"/>
                <w:szCs w:val="16"/>
                <w:lang w:val="fr-BE"/>
              </w:rPr>
            </w:pPr>
            <w:r w:rsidRPr="0024468B">
              <w:rPr>
                <w:noProof/>
                <w:sz w:val="16"/>
                <w:szCs w:val="16"/>
                <w:lang w:val="fr-BE"/>
              </w:rPr>
              <w:t>1 924,00</w:t>
            </w:r>
          </w:p>
        </w:tc>
        <w:tc>
          <w:tcPr>
            <w:tcW w:w="0" w:type="auto"/>
          </w:tcPr>
          <w:p w14:paraId="6F71504E"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6922AA82"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71F425E6"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3E5EDF3E"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58A71C92"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r w:rsidR="006B2EC1" w14:paraId="0D292A9F" w14:textId="77777777" w:rsidTr="0047688D">
        <w:tc>
          <w:tcPr>
            <w:tcW w:w="0" w:type="auto"/>
          </w:tcPr>
          <w:p w14:paraId="00E98DA4" w14:textId="77777777" w:rsidR="008C5CFA" w:rsidRPr="0024468B" w:rsidRDefault="00E82A60" w:rsidP="00300A01">
            <w:pPr>
              <w:spacing w:before="0" w:after="0"/>
              <w:rPr>
                <w:sz w:val="16"/>
                <w:szCs w:val="16"/>
                <w:lang w:val="fr-BE"/>
              </w:rPr>
            </w:pPr>
            <w:r>
              <w:rPr>
                <w:noProof/>
                <w:sz w:val="16"/>
                <w:szCs w:val="16"/>
                <w:lang w:val="fr-BE"/>
              </w:rPr>
              <w:t>F</w:t>
            </w:r>
          </w:p>
        </w:tc>
        <w:tc>
          <w:tcPr>
            <w:tcW w:w="0" w:type="auto"/>
            <w:shd w:val="clear" w:color="auto" w:fill="auto"/>
          </w:tcPr>
          <w:p w14:paraId="1AEB8B39" w14:textId="77777777" w:rsidR="008C5CFA" w:rsidRPr="0024468B" w:rsidRDefault="00E82A60" w:rsidP="00300A01">
            <w:pPr>
              <w:spacing w:before="0" w:after="0"/>
              <w:rPr>
                <w:sz w:val="16"/>
                <w:szCs w:val="16"/>
                <w:lang w:val="fr-BE"/>
              </w:rPr>
            </w:pPr>
            <w:r w:rsidRPr="0024468B">
              <w:rPr>
                <w:noProof/>
                <w:sz w:val="16"/>
                <w:szCs w:val="16"/>
                <w:lang w:val="fr-BE"/>
              </w:rPr>
              <w:t>CO06</w:t>
            </w:r>
          </w:p>
        </w:tc>
        <w:tc>
          <w:tcPr>
            <w:tcW w:w="0" w:type="auto"/>
            <w:shd w:val="clear" w:color="auto" w:fill="auto"/>
          </w:tcPr>
          <w:p w14:paraId="5948B77D" w14:textId="77777777" w:rsidR="008C5CFA" w:rsidRPr="0024468B" w:rsidRDefault="00E82A60" w:rsidP="00300A01">
            <w:pPr>
              <w:spacing w:before="0" w:after="0"/>
              <w:rPr>
                <w:sz w:val="16"/>
                <w:szCs w:val="16"/>
                <w:lang w:val="fr-BE"/>
              </w:rPr>
            </w:pPr>
            <w:r w:rsidRPr="0024468B">
              <w:rPr>
                <w:noProof/>
                <w:sz w:val="16"/>
                <w:szCs w:val="16"/>
                <w:lang w:val="fr-BE"/>
              </w:rPr>
              <w:t>Inwestycje produkcyjne: inwestycje prywatne uzupełniające wsparcie publiczne dla przedsiębiorstw (dotacje)</w:t>
            </w:r>
          </w:p>
        </w:tc>
        <w:tc>
          <w:tcPr>
            <w:tcW w:w="0" w:type="auto"/>
          </w:tcPr>
          <w:p w14:paraId="55B41B13" w14:textId="77777777" w:rsidR="008C5CFA" w:rsidRPr="0024468B" w:rsidRDefault="00E82A60" w:rsidP="00300A01">
            <w:pPr>
              <w:spacing w:before="0" w:after="0"/>
              <w:jc w:val="right"/>
              <w:rPr>
                <w:sz w:val="16"/>
                <w:szCs w:val="16"/>
                <w:lang w:val="fr-BE"/>
              </w:rPr>
            </w:pPr>
            <w:r w:rsidRPr="0024468B">
              <w:rPr>
                <w:noProof/>
                <w:sz w:val="16"/>
                <w:szCs w:val="16"/>
                <w:lang w:val="fr-BE"/>
              </w:rPr>
              <w:t>11 963 611,06</w:t>
            </w:r>
          </w:p>
        </w:tc>
        <w:tc>
          <w:tcPr>
            <w:tcW w:w="0" w:type="auto"/>
          </w:tcPr>
          <w:p w14:paraId="797F9632"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2EB1E464"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79939D47" w14:textId="77777777" w:rsidR="008C5CFA" w:rsidRPr="0024468B" w:rsidRDefault="00E82A60" w:rsidP="00300A01">
            <w:pPr>
              <w:spacing w:before="0" w:after="0"/>
              <w:jc w:val="right"/>
              <w:rPr>
                <w:sz w:val="16"/>
                <w:szCs w:val="16"/>
                <w:lang w:val="fr-BE"/>
              </w:rPr>
            </w:pPr>
            <w:r w:rsidRPr="0024468B">
              <w:rPr>
                <w:noProof/>
                <w:sz w:val="16"/>
                <w:szCs w:val="16"/>
                <w:lang w:val="fr-BE"/>
              </w:rPr>
              <w:t>5 223 368,95</w:t>
            </w:r>
          </w:p>
        </w:tc>
        <w:tc>
          <w:tcPr>
            <w:tcW w:w="0" w:type="auto"/>
          </w:tcPr>
          <w:p w14:paraId="2F059B8A"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052CC298"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2132034F"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16B5A91F"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5225BF4F"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r w:rsidR="006B2EC1" w14:paraId="04E39C2D" w14:textId="77777777" w:rsidTr="0047688D">
        <w:tc>
          <w:tcPr>
            <w:tcW w:w="0" w:type="auto"/>
          </w:tcPr>
          <w:p w14:paraId="7F54BEF8" w14:textId="77777777" w:rsidR="008C5CFA" w:rsidRPr="0024468B" w:rsidRDefault="00E82A60" w:rsidP="00300A01">
            <w:pPr>
              <w:spacing w:before="0" w:after="0"/>
              <w:rPr>
                <w:sz w:val="16"/>
                <w:szCs w:val="16"/>
                <w:lang w:val="fr-BE"/>
              </w:rPr>
            </w:pPr>
            <w:r>
              <w:rPr>
                <w:noProof/>
                <w:sz w:val="16"/>
                <w:szCs w:val="16"/>
                <w:lang w:val="fr-BE"/>
              </w:rPr>
              <w:t>S</w:t>
            </w:r>
          </w:p>
        </w:tc>
        <w:tc>
          <w:tcPr>
            <w:tcW w:w="0" w:type="auto"/>
            <w:shd w:val="clear" w:color="auto" w:fill="auto"/>
          </w:tcPr>
          <w:p w14:paraId="712F2C8C" w14:textId="77777777" w:rsidR="008C5CFA" w:rsidRPr="0024468B" w:rsidRDefault="00E82A60" w:rsidP="00300A01">
            <w:pPr>
              <w:spacing w:before="0" w:after="0"/>
              <w:rPr>
                <w:sz w:val="16"/>
                <w:szCs w:val="16"/>
                <w:lang w:val="fr-BE"/>
              </w:rPr>
            </w:pPr>
            <w:r w:rsidRPr="0024468B">
              <w:rPr>
                <w:noProof/>
                <w:sz w:val="16"/>
                <w:szCs w:val="16"/>
                <w:lang w:val="fr-BE"/>
              </w:rPr>
              <w:t>CO06</w:t>
            </w:r>
          </w:p>
        </w:tc>
        <w:tc>
          <w:tcPr>
            <w:tcW w:w="0" w:type="auto"/>
            <w:shd w:val="clear" w:color="auto" w:fill="auto"/>
          </w:tcPr>
          <w:p w14:paraId="39CCEBD3" w14:textId="77777777" w:rsidR="008C5CFA" w:rsidRPr="0024468B" w:rsidRDefault="00E82A60" w:rsidP="00300A01">
            <w:pPr>
              <w:spacing w:before="0" w:after="0"/>
              <w:rPr>
                <w:sz w:val="16"/>
                <w:szCs w:val="16"/>
                <w:lang w:val="fr-BE"/>
              </w:rPr>
            </w:pPr>
            <w:r w:rsidRPr="0024468B">
              <w:rPr>
                <w:noProof/>
                <w:sz w:val="16"/>
                <w:szCs w:val="16"/>
                <w:lang w:val="fr-BE"/>
              </w:rPr>
              <w:t>Inwestycje produkcyjne: inwestycje prywatne uzupełniające wsparcie publiczne dla przedsiębiorstw (dotacje)</w:t>
            </w:r>
          </w:p>
        </w:tc>
        <w:tc>
          <w:tcPr>
            <w:tcW w:w="0" w:type="auto"/>
          </w:tcPr>
          <w:p w14:paraId="057FC5F6" w14:textId="77777777" w:rsidR="008C5CFA" w:rsidRPr="0024468B" w:rsidRDefault="00E82A60" w:rsidP="00300A01">
            <w:pPr>
              <w:spacing w:before="0" w:after="0"/>
              <w:jc w:val="right"/>
              <w:rPr>
                <w:sz w:val="16"/>
                <w:szCs w:val="16"/>
                <w:lang w:val="fr-BE"/>
              </w:rPr>
            </w:pPr>
            <w:r w:rsidRPr="0024468B">
              <w:rPr>
                <w:noProof/>
                <w:sz w:val="16"/>
                <w:szCs w:val="16"/>
                <w:lang w:val="fr-BE"/>
              </w:rPr>
              <w:t>45 349 351,41</w:t>
            </w:r>
          </w:p>
        </w:tc>
        <w:tc>
          <w:tcPr>
            <w:tcW w:w="0" w:type="auto"/>
          </w:tcPr>
          <w:p w14:paraId="11DA2CB6"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79F1FA63"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531F919D" w14:textId="77777777" w:rsidR="008C5CFA" w:rsidRPr="0024468B" w:rsidRDefault="00E82A60" w:rsidP="00300A01">
            <w:pPr>
              <w:spacing w:before="0" w:after="0"/>
              <w:jc w:val="right"/>
              <w:rPr>
                <w:sz w:val="16"/>
                <w:szCs w:val="16"/>
                <w:lang w:val="fr-BE"/>
              </w:rPr>
            </w:pPr>
            <w:r w:rsidRPr="0024468B">
              <w:rPr>
                <w:noProof/>
                <w:sz w:val="16"/>
                <w:szCs w:val="16"/>
                <w:lang w:val="fr-BE"/>
              </w:rPr>
              <w:t>41 779 221,00</w:t>
            </w:r>
          </w:p>
        </w:tc>
        <w:tc>
          <w:tcPr>
            <w:tcW w:w="0" w:type="auto"/>
          </w:tcPr>
          <w:p w14:paraId="7D22125E"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1F27944A"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4C70A357"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18370CE3"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12F6107F"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r w:rsidR="006B2EC1" w14:paraId="3DE467C0" w14:textId="77777777" w:rsidTr="0047688D">
        <w:tc>
          <w:tcPr>
            <w:tcW w:w="0" w:type="auto"/>
          </w:tcPr>
          <w:p w14:paraId="2AEB1B21" w14:textId="77777777" w:rsidR="008C5CFA" w:rsidRPr="0024468B" w:rsidRDefault="00E82A60" w:rsidP="00300A01">
            <w:pPr>
              <w:spacing w:before="0" w:after="0"/>
              <w:rPr>
                <w:sz w:val="16"/>
                <w:szCs w:val="16"/>
                <w:lang w:val="fr-BE"/>
              </w:rPr>
            </w:pPr>
            <w:r>
              <w:rPr>
                <w:noProof/>
                <w:sz w:val="16"/>
                <w:szCs w:val="16"/>
                <w:lang w:val="fr-BE"/>
              </w:rPr>
              <w:t>F</w:t>
            </w:r>
          </w:p>
        </w:tc>
        <w:tc>
          <w:tcPr>
            <w:tcW w:w="0" w:type="auto"/>
            <w:shd w:val="clear" w:color="auto" w:fill="auto"/>
          </w:tcPr>
          <w:p w14:paraId="187C7DFC" w14:textId="77777777" w:rsidR="008C5CFA" w:rsidRPr="0024468B" w:rsidRDefault="00E82A60" w:rsidP="00300A01">
            <w:pPr>
              <w:spacing w:before="0" w:after="0"/>
              <w:rPr>
                <w:sz w:val="16"/>
                <w:szCs w:val="16"/>
                <w:lang w:val="fr-BE"/>
              </w:rPr>
            </w:pPr>
            <w:r w:rsidRPr="0024468B">
              <w:rPr>
                <w:noProof/>
                <w:sz w:val="16"/>
                <w:szCs w:val="16"/>
                <w:lang w:val="fr-BE"/>
              </w:rPr>
              <w:t>CO07</w:t>
            </w:r>
          </w:p>
        </w:tc>
        <w:tc>
          <w:tcPr>
            <w:tcW w:w="0" w:type="auto"/>
            <w:shd w:val="clear" w:color="auto" w:fill="auto"/>
          </w:tcPr>
          <w:p w14:paraId="7AF9DA7A" w14:textId="77777777" w:rsidR="008C5CFA" w:rsidRPr="0024468B" w:rsidRDefault="00E82A60" w:rsidP="00300A01">
            <w:pPr>
              <w:spacing w:before="0" w:after="0"/>
              <w:rPr>
                <w:sz w:val="16"/>
                <w:szCs w:val="16"/>
                <w:lang w:val="fr-BE"/>
              </w:rPr>
            </w:pPr>
            <w:r w:rsidRPr="0024468B">
              <w:rPr>
                <w:noProof/>
                <w:sz w:val="16"/>
                <w:szCs w:val="16"/>
                <w:lang w:val="fr-BE"/>
              </w:rPr>
              <w:t>Inwestycje produkcyjne: inwestycje prywatne uzupełniające wsparcie publiczne dla przedsiębiorstw (inne niż dotacje)</w:t>
            </w:r>
          </w:p>
        </w:tc>
        <w:tc>
          <w:tcPr>
            <w:tcW w:w="0" w:type="auto"/>
          </w:tcPr>
          <w:p w14:paraId="5E3F616C" w14:textId="77777777" w:rsidR="008C5CFA" w:rsidRPr="0024468B" w:rsidRDefault="00E82A60" w:rsidP="00300A01">
            <w:pPr>
              <w:spacing w:before="0" w:after="0"/>
              <w:jc w:val="right"/>
              <w:rPr>
                <w:sz w:val="16"/>
                <w:szCs w:val="16"/>
                <w:lang w:val="fr-BE"/>
              </w:rPr>
            </w:pPr>
            <w:r w:rsidRPr="0024468B">
              <w:rPr>
                <w:noProof/>
                <w:sz w:val="16"/>
                <w:szCs w:val="16"/>
                <w:lang w:val="fr-BE"/>
              </w:rPr>
              <w:t>61 939,37</w:t>
            </w:r>
          </w:p>
        </w:tc>
        <w:tc>
          <w:tcPr>
            <w:tcW w:w="0" w:type="auto"/>
          </w:tcPr>
          <w:p w14:paraId="408943AD"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6CF61CB6"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38B85C4B"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13B96B90"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4B601D46"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414FD57B"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2EBD9B5D"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3AFE03CB"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r w:rsidR="006B2EC1" w14:paraId="00E22C68" w14:textId="77777777" w:rsidTr="0047688D">
        <w:tc>
          <w:tcPr>
            <w:tcW w:w="0" w:type="auto"/>
          </w:tcPr>
          <w:p w14:paraId="7E6D04E4" w14:textId="77777777" w:rsidR="008C5CFA" w:rsidRPr="0024468B" w:rsidRDefault="00E82A60" w:rsidP="00300A01">
            <w:pPr>
              <w:spacing w:before="0" w:after="0"/>
              <w:rPr>
                <w:sz w:val="16"/>
                <w:szCs w:val="16"/>
                <w:lang w:val="fr-BE"/>
              </w:rPr>
            </w:pPr>
            <w:r>
              <w:rPr>
                <w:noProof/>
                <w:sz w:val="16"/>
                <w:szCs w:val="16"/>
                <w:lang w:val="fr-BE"/>
              </w:rPr>
              <w:t>S</w:t>
            </w:r>
          </w:p>
        </w:tc>
        <w:tc>
          <w:tcPr>
            <w:tcW w:w="0" w:type="auto"/>
            <w:shd w:val="clear" w:color="auto" w:fill="auto"/>
          </w:tcPr>
          <w:p w14:paraId="37619E5B" w14:textId="77777777" w:rsidR="008C5CFA" w:rsidRPr="0024468B" w:rsidRDefault="00E82A60" w:rsidP="00300A01">
            <w:pPr>
              <w:spacing w:before="0" w:after="0"/>
              <w:rPr>
                <w:sz w:val="16"/>
                <w:szCs w:val="16"/>
                <w:lang w:val="fr-BE"/>
              </w:rPr>
            </w:pPr>
            <w:r w:rsidRPr="0024468B">
              <w:rPr>
                <w:noProof/>
                <w:sz w:val="16"/>
                <w:szCs w:val="16"/>
                <w:lang w:val="fr-BE"/>
              </w:rPr>
              <w:t>CO07</w:t>
            </w:r>
          </w:p>
        </w:tc>
        <w:tc>
          <w:tcPr>
            <w:tcW w:w="0" w:type="auto"/>
            <w:shd w:val="clear" w:color="auto" w:fill="auto"/>
          </w:tcPr>
          <w:p w14:paraId="3704E8E5" w14:textId="77777777" w:rsidR="008C5CFA" w:rsidRPr="0024468B" w:rsidRDefault="00E82A60" w:rsidP="00300A01">
            <w:pPr>
              <w:spacing w:before="0" w:after="0"/>
              <w:rPr>
                <w:sz w:val="16"/>
                <w:szCs w:val="16"/>
                <w:lang w:val="fr-BE"/>
              </w:rPr>
            </w:pPr>
            <w:r w:rsidRPr="0024468B">
              <w:rPr>
                <w:noProof/>
                <w:sz w:val="16"/>
                <w:szCs w:val="16"/>
                <w:lang w:val="fr-BE"/>
              </w:rPr>
              <w:t>Inwestycje produkcyjne: inwestycje prywatne uzupełniające wsparcie publiczne dla przedsiębiorstw (inne niż dotacje)</w:t>
            </w:r>
          </w:p>
        </w:tc>
        <w:tc>
          <w:tcPr>
            <w:tcW w:w="0" w:type="auto"/>
          </w:tcPr>
          <w:p w14:paraId="526758E1" w14:textId="77777777" w:rsidR="008C5CFA" w:rsidRPr="0024468B" w:rsidRDefault="00E82A60" w:rsidP="00300A01">
            <w:pPr>
              <w:spacing w:before="0" w:after="0"/>
              <w:jc w:val="right"/>
              <w:rPr>
                <w:sz w:val="16"/>
                <w:szCs w:val="16"/>
                <w:lang w:val="fr-BE"/>
              </w:rPr>
            </w:pPr>
            <w:r w:rsidRPr="0024468B">
              <w:rPr>
                <w:noProof/>
                <w:sz w:val="16"/>
                <w:szCs w:val="16"/>
                <w:lang w:val="fr-BE"/>
              </w:rPr>
              <w:t>3 052 615,46</w:t>
            </w:r>
          </w:p>
        </w:tc>
        <w:tc>
          <w:tcPr>
            <w:tcW w:w="0" w:type="auto"/>
          </w:tcPr>
          <w:p w14:paraId="61C998B6"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0DF46A51"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749F63FD" w14:textId="77777777" w:rsidR="008C5CFA" w:rsidRPr="0024468B" w:rsidRDefault="00E82A60" w:rsidP="00300A01">
            <w:pPr>
              <w:spacing w:before="0" w:after="0"/>
              <w:jc w:val="right"/>
              <w:rPr>
                <w:sz w:val="16"/>
                <w:szCs w:val="16"/>
                <w:lang w:val="fr-BE"/>
              </w:rPr>
            </w:pPr>
            <w:r w:rsidRPr="0024468B">
              <w:rPr>
                <w:noProof/>
                <w:sz w:val="16"/>
                <w:szCs w:val="16"/>
                <w:lang w:val="fr-BE"/>
              </w:rPr>
              <w:t>8 400 411,60</w:t>
            </w:r>
          </w:p>
        </w:tc>
        <w:tc>
          <w:tcPr>
            <w:tcW w:w="0" w:type="auto"/>
          </w:tcPr>
          <w:p w14:paraId="21CBD474"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23A21D37"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1D478DDD"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5D1A2AAE"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4FE4356B"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r w:rsidR="006B2EC1" w14:paraId="48FE013A" w14:textId="77777777" w:rsidTr="0047688D">
        <w:tc>
          <w:tcPr>
            <w:tcW w:w="0" w:type="auto"/>
          </w:tcPr>
          <w:p w14:paraId="7FCE3FC9" w14:textId="77777777" w:rsidR="008C5CFA" w:rsidRPr="0024468B" w:rsidRDefault="00E82A60" w:rsidP="00300A01">
            <w:pPr>
              <w:spacing w:before="0" w:after="0"/>
              <w:rPr>
                <w:sz w:val="16"/>
                <w:szCs w:val="16"/>
                <w:lang w:val="fr-BE"/>
              </w:rPr>
            </w:pPr>
            <w:r>
              <w:rPr>
                <w:noProof/>
                <w:sz w:val="16"/>
                <w:szCs w:val="16"/>
                <w:lang w:val="fr-BE"/>
              </w:rPr>
              <w:t>F</w:t>
            </w:r>
          </w:p>
        </w:tc>
        <w:tc>
          <w:tcPr>
            <w:tcW w:w="0" w:type="auto"/>
            <w:shd w:val="clear" w:color="auto" w:fill="auto"/>
          </w:tcPr>
          <w:p w14:paraId="2671F018" w14:textId="77777777" w:rsidR="008C5CFA" w:rsidRPr="0024468B" w:rsidRDefault="00E82A60" w:rsidP="00300A01">
            <w:pPr>
              <w:spacing w:before="0" w:after="0"/>
              <w:rPr>
                <w:sz w:val="16"/>
                <w:szCs w:val="16"/>
                <w:lang w:val="fr-BE"/>
              </w:rPr>
            </w:pPr>
            <w:r w:rsidRPr="0024468B">
              <w:rPr>
                <w:noProof/>
                <w:sz w:val="16"/>
                <w:szCs w:val="16"/>
                <w:lang w:val="fr-BE"/>
              </w:rPr>
              <w:t>CO08</w:t>
            </w:r>
          </w:p>
        </w:tc>
        <w:tc>
          <w:tcPr>
            <w:tcW w:w="0" w:type="auto"/>
            <w:shd w:val="clear" w:color="auto" w:fill="auto"/>
          </w:tcPr>
          <w:p w14:paraId="7C148149" w14:textId="77777777" w:rsidR="008C5CFA" w:rsidRPr="0024468B" w:rsidRDefault="00E82A60" w:rsidP="00300A01">
            <w:pPr>
              <w:spacing w:before="0" w:after="0"/>
              <w:rPr>
                <w:sz w:val="16"/>
                <w:szCs w:val="16"/>
                <w:lang w:val="fr-BE"/>
              </w:rPr>
            </w:pPr>
            <w:r w:rsidRPr="0024468B">
              <w:rPr>
                <w:noProof/>
                <w:sz w:val="16"/>
                <w:szCs w:val="16"/>
                <w:lang w:val="fr-BE"/>
              </w:rPr>
              <w:t>Inwestycje produkcyjne: wzrost zatrudnienia we wspieranych przedsiębiorstwach</w:t>
            </w:r>
          </w:p>
        </w:tc>
        <w:tc>
          <w:tcPr>
            <w:tcW w:w="0" w:type="auto"/>
          </w:tcPr>
          <w:p w14:paraId="39B0D30B" w14:textId="77777777" w:rsidR="008C5CFA" w:rsidRPr="0024468B" w:rsidRDefault="00E82A60" w:rsidP="00300A01">
            <w:pPr>
              <w:spacing w:before="0" w:after="0"/>
              <w:jc w:val="right"/>
              <w:rPr>
                <w:sz w:val="16"/>
                <w:szCs w:val="16"/>
                <w:lang w:val="fr-BE"/>
              </w:rPr>
            </w:pPr>
            <w:r w:rsidRPr="0024468B">
              <w:rPr>
                <w:noProof/>
                <w:sz w:val="16"/>
                <w:szCs w:val="16"/>
                <w:lang w:val="fr-BE"/>
              </w:rPr>
              <w:t>412,39</w:t>
            </w:r>
          </w:p>
        </w:tc>
        <w:tc>
          <w:tcPr>
            <w:tcW w:w="0" w:type="auto"/>
          </w:tcPr>
          <w:p w14:paraId="4F9D1AD9"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591BC61B"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198BDA65" w14:textId="77777777" w:rsidR="008C5CFA" w:rsidRPr="0024468B" w:rsidRDefault="00E82A60" w:rsidP="00300A01">
            <w:pPr>
              <w:spacing w:before="0" w:after="0"/>
              <w:jc w:val="right"/>
              <w:rPr>
                <w:sz w:val="16"/>
                <w:szCs w:val="16"/>
                <w:lang w:val="fr-BE"/>
              </w:rPr>
            </w:pPr>
            <w:r w:rsidRPr="0024468B">
              <w:rPr>
                <w:noProof/>
                <w:sz w:val="16"/>
                <w:szCs w:val="16"/>
                <w:lang w:val="fr-BE"/>
              </w:rPr>
              <w:t>62,25</w:t>
            </w:r>
          </w:p>
        </w:tc>
        <w:tc>
          <w:tcPr>
            <w:tcW w:w="0" w:type="auto"/>
          </w:tcPr>
          <w:p w14:paraId="25460D57"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0B7A825F"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75E84017"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69EF9A6E"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28045357"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r w:rsidR="006B2EC1" w14:paraId="10429D26" w14:textId="77777777" w:rsidTr="0047688D">
        <w:tc>
          <w:tcPr>
            <w:tcW w:w="0" w:type="auto"/>
          </w:tcPr>
          <w:p w14:paraId="5381F8FE" w14:textId="77777777" w:rsidR="008C5CFA" w:rsidRPr="0024468B" w:rsidRDefault="00E82A60" w:rsidP="00300A01">
            <w:pPr>
              <w:spacing w:before="0" w:after="0"/>
              <w:rPr>
                <w:sz w:val="16"/>
                <w:szCs w:val="16"/>
                <w:lang w:val="fr-BE"/>
              </w:rPr>
            </w:pPr>
            <w:r>
              <w:rPr>
                <w:noProof/>
                <w:sz w:val="16"/>
                <w:szCs w:val="16"/>
                <w:lang w:val="fr-BE"/>
              </w:rPr>
              <w:t>S</w:t>
            </w:r>
          </w:p>
        </w:tc>
        <w:tc>
          <w:tcPr>
            <w:tcW w:w="0" w:type="auto"/>
            <w:shd w:val="clear" w:color="auto" w:fill="auto"/>
          </w:tcPr>
          <w:p w14:paraId="3C3A09D5" w14:textId="77777777" w:rsidR="008C5CFA" w:rsidRPr="0024468B" w:rsidRDefault="00E82A60" w:rsidP="00300A01">
            <w:pPr>
              <w:spacing w:before="0" w:after="0"/>
              <w:rPr>
                <w:sz w:val="16"/>
                <w:szCs w:val="16"/>
                <w:lang w:val="fr-BE"/>
              </w:rPr>
            </w:pPr>
            <w:r w:rsidRPr="0024468B">
              <w:rPr>
                <w:noProof/>
                <w:sz w:val="16"/>
                <w:szCs w:val="16"/>
                <w:lang w:val="fr-BE"/>
              </w:rPr>
              <w:t>CO08</w:t>
            </w:r>
          </w:p>
        </w:tc>
        <w:tc>
          <w:tcPr>
            <w:tcW w:w="0" w:type="auto"/>
            <w:shd w:val="clear" w:color="auto" w:fill="auto"/>
          </w:tcPr>
          <w:p w14:paraId="1997F6E4" w14:textId="77777777" w:rsidR="008C5CFA" w:rsidRPr="0024468B" w:rsidRDefault="00E82A60" w:rsidP="00300A01">
            <w:pPr>
              <w:spacing w:before="0" w:after="0"/>
              <w:rPr>
                <w:sz w:val="16"/>
                <w:szCs w:val="16"/>
                <w:lang w:val="fr-BE"/>
              </w:rPr>
            </w:pPr>
            <w:r w:rsidRPr="0024468B">
              <w:rPr>
                <w:noProof/>
                <w:sz w:val="16"/>
                <w:szCs w:val="16"/>
                <w:lang w:val="fr-BE"/>
              </w:rPr>
              <w:t>Inwestycje produkcyjne: wzrost zatrudnienia we wspieranych przedsiębiorstwach</w:t>
            </w:r>
          </w:p>
        </w:tc>
        <w:tc>
          <w:tcPr>
            <w:tcW w:w="0" w:type="auto"/>
          </w:tcPr>
          <w:p w14:paraId="75E73961" w14:textId="77777777" w:rsidR="008C5CFA" w:rsidRPr="0024468B" w:rsidRDefault="00E82A60" w:rsidP="00300A01">
            <w:pPr>
              <w:spacing w:before="0" w:after="0"/>
              <w:jc w:val="right"/>
              <w:rPr>
                <w:sz w:val="16"/>
                <w:szCs w:val="16"/>
                <w:lang w:val="fr-BE"/>
              </w:rPr>
            </w:pPr>
            <w:r w:rsidRPr="0024468B">
              <w:rPr>
                <w:noProof/>
                <w:sz w:val="16"/>
                <w:szCs w:val="16"/>
                <w:lang w:val="fr-BE"/>
              </w:rPr>
              <w:t>1 197,00</w:t>
            </w:r>
          </w:p>
        </w:tc>
        <w:tc>
          <w:tcPr>
            <w:tcW w:w="0" w:type="auto"/>
          </w:tcPr>
          <w:p w14:paraId="4291330D"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57605A74"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267B0117" w14:textId="77777777" w:rsidR="008C5CFA" w:rsidRPr="0024468B" w:rsidRDefault="00E82A60" w:rsidP="00300A01">
            <w:pPr>
              <w:spacing w:before="0" w:after="0"/>
              <w:jc w:val="right"/>
              <w:rPr>
                <w:sz w:val="16"/>
                <w:szCs w:val="16"/>
                <w:lang w:val="fr-BE"/>
              </w:rPr>
            </w:pPr>
            <w:r w:rsidRPr="0024468B">
              <w:rPr>
                <w:noProof/>
                <w:sz w:val="16"/>
                <w:szCs w:val="16"/>
                <w:lang w:val="fr-BE"/>
              </w:rPr>
              <w:t>535,00</w:t>
            </w:r>
          </w:p>
        </w:tc>
        <w:tc>
          <w:tcPr>
            <w:tcW w:w="0" w:type="auto"/>
          </w:tcPr>
          <w:p w14:paraId="57E586E0"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1B743012"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5364DD35"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5F871CB5"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5D653F84"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r w:rsidR="006B2EC1" w14:paraId="6C52B8F4" w14:textId="77777777" w:rsidTr="0047688D">
        <w:tc>
          <w:tcPr>
            <w:tcW w:w="0" w:type="auto"/>
          </w:tcPr>
          <w:p w14:paraId="66936763" w14:textId="77777777" w:rsidR="008C5CFA" w:rsidRPr="0024468B" w:rsidRDefault="00E82A60" w:rsidP="00300A01">
            <w:pPr>
              <w:spacing w:before="0" w:after="0"/>
              <w:rPr>
                <w:sz w:val="16"/>
                <w:szCs w:val="16"/>
                <w:lang w:val="fr-BE"/>
              </w:rPr>
            </w:pPr>
            <w:r>
              <w:rPr>
                <w:noProof/>
                <w:sz w:val="16"/>
                <w:szCs w:val="16"/>
                <w:lang w:val="fr-BE"/>
              </w:rPr>
              <w:t>F</w:t>
            </w:r>
          </w:p>
        </w:tc>
        <w:tc>
          <w:tcPr>
            <w:tcW w:w="0" w:type="auto"/>
            <w:shd w:val="clear" w:color="auto" w:fill="auto"/>
          </w:tcPr>
          <w:p w14:paraId="3FF21DBA" w14:textId="77777777" w:rsidR="008C5CFA" w:rsidRPr="0024468B" w:rsidRDefault="00E82A60" w:rsidP="00300A01">
            <w:pPr>
              <w:spacing w:before="0" w:after="0"/>
              <w:rPr>
                <w:sz w:val="16"/>
                <w:szCs w:val="16"/>
                <w:lang w:val="fr-BE"/>
              </w:rPr>
            </w:pPr>
            <w:r w:rsidRPr="0024468B">
              <w:rPr>
                <w:noProof/>
                <w:sz w:val="16"/>
                <w:szCs w:val="16"/>
                <w:lang w:val="fr-BE"/>
              </w:rPr>
              <w:t>CO28</w:t>
            </w:r>
          </w:p>
        </w:tc>
        <w:tc>
          <w:tcPr>
            <w:tcW w:w="0" w:type="auto"/>
            <w:shd w:val="clear" w:color="auto" w:fill="auto"/>
          </w:tcPr>
          <w:p w14:paraId="466B3D77" w14:textId="77777777" w:rsidR="008C5CFA" w:rsidRPr="0024468B" w:rsidRDefault="00E82A60" w:rsidP="00300A01">
            <w:pPr>
              <w:spacing w:before="0" w:after="0"/>
              <w:rPr>
                <w:sz w:val="16"/>
                <w:szCs w:val="16"/>
                <w:lang w:val="fr-BE"/>
              </w:rPr>
            </w:pPr>
            <w:r w:rsidRPr="0024468B">
              <w:rPr>
                <w:noProof/>
                <w:sz w:val="16"/>
                <w:szCs w:val="16"/>
                <w:lang w:val="fr-BE"/>
              </w:rPr>
              <w:t>Badania i innowacje: liczba przedsiębiorstw objętych wsparciem w celu wprowadzenia produktów nowych dla rynku</w:t>
            </w:r>
          </w:p>
        </w:tc>
        <w:tc>
          <w:tcPr>
            <w:tcW w:w="0" w:type="auto"/>
          </w:tcPr>
          <w:p w14:paraId="1B21D05B" w14:textId="77777777" w:rsidR="008C5CFA" w:rsidRPr="0024468B" w:rsidRDefault="00E82A60" w:rsidP="00300A01">
            <w:pPr>
              <w:spacing w:before="0" w:after="0"/>
              <w:jc w:val="right"/>
              <w:rPr>
                <w:sz w:val="16"/>
                <w:szCs w:val="16"/>
                <w:lang w:val="fr-BE"/>
              </w:rPr>
            </w:pPr>
            <w:r w:rsidRPr="0024468B">
              <w:rPr>
                <w:noProof/>
                <w:sz w:val="16"/>
                <w:szCs w:val="16"/>
                <w:lang w:val="fr-BE"/>
              </w:rPr>
              <w:t>180,00</w:t>
            </w:r>
          </w:p>
        </w:tc>
        <w:tc>
          <w:tcPr>
            <w:tcW w:w="0" w:type="auto"/>
          </w:tcPr>
          <w:p w14:paraId="7B42E987"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5105E245"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69C63F37" w14:textId="77777777" w:rsidR="008C5CFA" w:rsidRPr="0024468B" w:rsidRDefault="00E82A60" w:rsidP="00300A01">
            <w:pPr>
              <w:spacing w:before="0" w:after="0"/>
              <w:jc w:val="right"/>
              <w:rPr>
                <w:sz w:val="16"/>
                <w:szCs w:val="16"/>
                <w:lang w:val="fr-BE"/>
              </w:rPr>
            </w:pPr>
            <w:r w:rsidRPr="0024468B">
              <w:rPr>
                <w:noProof/>
                <w:sz w:val="16"/>
                <w:szCs w:val="16"/>
                <w:lang w:val="fr-BE"/>
              </w:rPr>
              <w:t>19,00</w:t>
            </w:r>
          </w:p>
        </w:tc>
        <w:tc>
          <w:tcPr>
            <w:tcW w:w="0" w:type="auto"/>
          </w:tcPr>
          <w:p w14:paraId="75740C20"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00021E17"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6C491293"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4A5A706A"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0A976036"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r w:rsidR="006B2EC1" w14:paraId="7D82E6BA" w14:textId="77777777" w:rsidTr="0047688D">
        <w:tc>
          <w:tcPr>
            <w:tcW w:w="0" w:type="auto"/>
          </w:tcPr>
          <w:p w14:paraId="3C8E5177" w14:textId="77777777" w:rsidR="008C5CFA" w:rsidRPr="0024468B" w:rsidRDefault="00E82A60" w:rsidP="00300A01">
            <w:pPr>
              <w:spacing w:before="0" w:after="0"/>
              <w:rPr>
                <w:sz w:val="16"/>
                <w:szCs w:val="16"/>
                <w:lang w:val="fr-BE"/>
              </w:rPr>
            </w:pPr>
            <w:r>
              <w:rPr>
                <w:noProof/>
                <w:sz w:val="16"/>
                <w:szCs w:val="16"/>
                <w:lang w:val="fr-BE"/>
              </w:rPr>
              <w:t>S</w:t>
            </w:r>
          </w:p>
        </w:tc>
        <w:tc>
          <w:tcPr>
            <w:tcW w:w="0" w:type="auto"/>
            <w:shd w:val="clear" w:color="auto" w:fill="auto"/>
          </w:tcPr>
          <w:p w14:paraId="3AD82091" w14:textId="77777777" w:rsidR="008C5CFA" w:rsidRPr="0024468B" w:rsidRDefault="00E82A60" w:rsidP="00300A01">
            <w:pPr>
              <w:spacing w:before="0" w:after="0"/>
              <w:rPr>
                <w:sz w:val="16"/>
                <w:szCs w:val="16"/>
                <w:lang w:val="fr-BE"/>
              </w:rPr>
            </w:pPr>
            <w:r w:rsidRPr="0024468B">
              <w:rPr>
                <w:noProof/>
                <w:sz w:val="16"/>
                <w:szCs w:val="16"/>
                <w:lang w:val="fr-BE"/>
              </w:rPr>
              <w:t>CO28</w:t>
            </w:r>
          </w:p>
        </w:tc>
        <w:tc>
          <w:tcPr>
            <w:tcW w:w="0" w:type="auto"/>
            <w:shd w:val="clear" w:color="auto" w:fill="auto"/>
          </w:tcPr>
          <w:p w14:paraId="10662874" w14:textId="77777777" w:rsidR="008C5CFA" w:rsidRPr="0024468B" w:rsidRDefault="00E82A60" w:rsidP="00300A01">
            <w:pPr>
              <w:spacing w:before="0" w:after="0"/>
              <w:rPr>
                <w:sz w:val="16"/>
                <w:szCs w:val="16"/>
                <w:lang w:val="fr-BE"/>
              </w:rPr>
            </w:pPr>
            <w:r w:rsidRPr="0024468B">
              <w:rPr>
                <w:noProof/>
                <w:sz w:val="16"/>
                <w:szCs w:val="16"/>
                <w:lang w:val="fr-BE"/>
              </w:rPr>
              <w:t>Badania i innowacje: liczba przedsiębiorstw objętych wsparciem w celu wprowadzenia produktów nowych dla rynku</w:t>
            </w:r>
          </w:p>
        </w:tc>
        <w:tc>
          <w:tcPr>
            <w:tcW w:w="0" w:type="auto"/>
          </w:tcPr>
          <w:p w14:paraId="3A2AB272" w14:textId="77777777" w:rsidR="008C5CFA" w:rsidRPr="0024468B" w:rsidRDefault="00E82A60" w:rsidP="00300A01">
            <w:pPr>
              <w:spacing w:before="0" w:after="0"/>
              <w:jc w:val="right"/>
              <w:rPr>
                <w:sz w:val="16"/>
                <w:szCs w:val="16"/>
                <w:lang w:val="fr-BE"/>
              </w:rPr>
            </w:pPr>
            <w:r w:rsidRPr="0024468B">
              <w:rPr>
                <w:noProof/>
                <w:sz w:val="16"/>
                <w:szCs w:val="16"/>
                <w:lang w:val="fr-BE"/>
              </w:rPr>
              <w:t>247,00</w:t>
            </w:r>
          </w:p>
        </w:tc>
        <w:tc>
          <w:tcPr>
            <w:tcW w:w="0" w:type="auto"/>
          </w:tcPr>
          <w:p w14:paraId="130CA41F"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6700F188"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2A3ED80F" w14:textId="77777777" w:rsidR="008C5CFA" w:rsidRPr="0024468B" w:rsidRDefault="00E82A60" w:rsidP="00300A01">
            <w:pPr>
              <w:spacing w:before="0" w:after="0"/>
              <w:jc w:val="right"/>
              <w:rPr>
                <w:sz w:val="16"/>
                <w:szCs w:val="16"/>
                <w:lang w:val="fr-BE"/>
              </w:rPr>
            </w:pPr>
            <w:r w:rsidRPr="0024468B">
              <w:rPr>
                <w:noProof/>
                <w:sz w:val="16"/>
                <w:szCs w:val="16"/>
                <w:lang w:val="fr-BE"/>
              </w:rPr>
              <w:t>121,00</w:t>
            </w:r>
          </w:p>
        </w:tc>
        <w:tc>
          <w:tcPr>
            <w:tcW w:w="0" w:type="auto"/>
          </w:tcPr>
          <w:p w14:paraId="47F36F45"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61009044"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6DAB779D"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6618A5FD"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5AA4C0BD"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r w:rsidR="006B2EC1" w14:paraId="127988FC" w14:textId="77777777" w:rsidTr="0047688D">
        <w:tc>
          <w:tcPr>
            <w:tcW w:w="0" w:type="auto"/>
          </w:tcPr>
          <w:p w14:paraId="21DA6622" w14:textId="77777777" w:rsidR="008C5CFA" w:rsidRPr="0024468B" w:rsidRDefault="00E82A60" w:rsidP="00300A01">
            <w:pPr>
              <w:spacing w:before="0" w:after="0"/>
              <w:rPr>
                <w:sz w:val="16"/>
                <w:szCs w:val="16"/>
                <w:lang w:val="fr-BE"/>
              </w:rPr>
            </w:pPr>
            <w:r>
              <w:rPr>
                <w:noProof/>
                <w:sz w:val="16"/>
                <w:szCs w:val="16"/>
                <w:lang w:val="fr-BE"/>
              </w:rPr>
              <w:t>F</w:t>
            </w:r>
          </w:p>
        </w:tc>
        <w:tc>
          <w:tcPr>
            <w:tcW w:w="0" w:type="auto"/>
            <w:shd w:val="clear" w:color="auto" w:fill="auto"/>
          </w:tcPr>
          <w:p w14:paraId="528CE3DE" w14:textId="77777777" w:rsidR="008C5CFA" w:rsidRPr="0024468B" w:rsidRDefault="00E82A60" w:rsidP="00300A01">
            <w:pPr>
              <w:spacing w:before="0" w:after="0"/>
              <w:rPr>
                <w:sz w:val="16"/>
                <w:szCs w:val="16"/>
                <w:lang w:val="fr-BE"/>
              </w:rPr>
            </w:pPr>
            <w:r w:rsidRPr="0024468B">
              <w:rPr>
                <w:noProof/>
                <w:sz w:val="16"/>
                <w:szCs w:val="16"/>
                <w:lang w:val="fr-BE"/>
              </w:rPr>
              <w:t>CO29</w:t>
            </w:r>
          </w:p>
        </w:tc>
        <w:tc>
          <w:tcPr>
            <w:tcW w:w="0" w:type="auto"/>
            <w:shd w:val="clear" w:color="auto" w:fill="auto"/>
          </w:tcPr>
          <w:p w14:paraId="020E9A5D" w14:textId="77777777" w:rsidR="008C5CFA" w:rsidRPr="0024468B" w:rsidRDefault="00E82A60" w:rsidP="00300A01">
            <w:pPr>
              <w:spacing w:before="0" w:after="0"/>
              <w:rPr>
                <w:sz w:val="16"/>
                <w:szCs w:val="16"/>
                <w:lang w:val="fr-BE"/>
              </w:rPr>
            </w:pPr>
            <w:r w:rsidRPr="0024468B">
              <w:rPr>
                <w:noProof/>
                <w:sz w:val="16"/>
                <w:szCs w:val="16"/>
                <w:lang w:val="fr-BE"/>
              </w:rPr>
              <w:t>Badania i innowacje: liczba przedsiębiorstw objętych wsparciem w celu wprowadzenia produktów nowych dla firmy</w:t>
            </w:r>
          </w:p>
        </w:tc>
        <w:tc>
          <w:tcPr>
            <w:tcW w:w="0" w:type="auto"/>
          </w:tcPr>
          <w:p w14:paraId="054485AE" w14:textId="77777777" w:rsidR="008C5CFA" w:rsidRPr="0024468B" w:rsidRDefault="00E82A60" w:rsidP="00300A01">
            <w:pPr>
              <w:spacing w:before="0" w:after="0"/>
              <w:jc w:val="right"/>
              <w:rPr>
                <w:sz w:val="16"/>
                <w:szCs w:val="16"/>
                <w:lang w:val="fr-BE"/>
              </w:rPr>
            </w:pPr>
            <w:r w:rsidRPr="0024468B">
              <w:rPr>
                <w:noProof/>
                <w:sz w:val="16"/>
                <w:szCs w:val="16"/>
                <w:lang w:val="fr-BE"/>
              </w:rPr>
              <w:t>184,00</w:t>
            </w:r>
          </w:p>
        </w:tc>
        <w:tc>
          <w:tcPr>
            <w:tcW w:w="0" w:type="auto"/>
          </w:tcPr>
          <w:p w14:paraId="30C917EA"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2DA74337"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04CA700F" w14:textId="77777777" w:rsidR="008C5CFA" w:rsidRPr="0024468B" w:rsidRDefault="00E82A60" w:rsidP="00300A01">
            <w:pPr>
              <w:spacing w:before="0" w:after="0"/>
              <w:jc w:val="right"/>
              <w:rPr>
                <w:sz w:val="16"/>
                <w:szCs w:val="16"/>
                <w:lang w:val="fr-BE"/>
              </w:rPr>
            </w:pPr>
            <w:r w:rsidRPr="0024468B">
              <w:rPr>
                <w:noProof/>
                <w:sz w:val="16"/>
                <w:szCs w:val="16"/>
                <w:lang w:val="fr-BE"/>
              </w:rPr>
              <w:t>19,00</w:t>
            </w:r>
          </w:p>
        </w:tc>
        <w:tc>
          <w:tcPr>
            <w:tcW w:w="0" w:type="auto"/>
          </w:tcPr>
          <w:p w14:paraId="6539ADD3"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70CE6CF3"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3A36A103"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5CCBB7F2"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0E5CA02D"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r w:rsidR="006B2EC1" w14:paraId="4A91BD07" w14:textId="77777777" w:rsidTr="0047688D">
        <w:tc>
          <w:tcPr>
            <w:tcW w:w="0" w:type="auto"/>
          </w:tcPr>
          <w:p w14:paraId="5B88EC95" w14:textId="77777777" w:rsidR="008C5CFA" w:rsidRPr="0024468B" w:rsidRDefault="00E82A60" w:rsidP="00300A01">
            <w:pPr>
              <w:spacing w:before="0" w:after="0"/>
              <w:rPr>
                <w:sz w:val="16"/>
                <w:szCs w:val="16"/>
                <w:lang w:val="fr-BE"/>
              </w:rPr>
            </w:pPr>
            <w:r>
              <w:rPr>
                <w:noProof/>
                <w:sz w:val="16"/>
                <w:szCs w:val="16"/>
                <w:lang w:val="fr-BE"/>
              </w:rPr>
              <w:t>S</w:t>
            </w:r>
          </w:p>
        </w:tc>
        <w:tc>
          <w:tcPr>
            <w:tcW w:w="0" w:type="auto"/>
            <w:shd w:val="clear" w:color="auto" w:fill="auto"/>
          </w:tcPr>
          <w:p w14:paraId="2EE90372" w14:textId="77777777" w:rsidR="008C5CFA" w:rsidRPr="0024468B" w:rsidRDefault="00E82A60" w:rsidP="00300A01">
            <w:pPr>
              <w:spacing w:before="0" w:after="0"/>
              <w:rPr>
                <w:sz w:val="16"/>
                <w:szCs w:val="16"/>
                <w:lang w:val="fr-BE"/>
              </w:rPr>
            </w:pPr>
            <w:r w:rsidRPr="0024468B">
              <w:rPr>
                <w:noProof/>
                <w:sz w:val="16"/>
                <w:szCs w:val="16"/>
                <w:lang w:val="fr-BE"/>
              </w:rPr>
              <w:t>CO29</w:t>
            </w:r>
          </w:p>
        </w:tc>
        <w:tc>
          <w:tcPr>
            <w:tcW w:w="0" w:type="auto"/>
            <w:shd w:val="clear" w:color="auto" w:fill="auto"/>
          </w:tcPr>
          <w:p w14:paraId="3C35F4CC" w14:textId="77777777" w:rsidR="008C5CFA" w:rsidRPr="0024468B" w:rsidRDefault="00E82A60" w:rsidP="00300A01">
            <w:pPr>
              <w:spacing w:before="0" w:after="0"/>
              <w:rPr>
                <w:sz w:val="16"/>
                <w:szCs w:val="16"/>
                <w:lang w:val="fr-BE"/>
              </w:rPr>
            </w:pPr>
            <w:r w:rsidRPr="0024468B">
              <w:rPr>
                <w:noProof/>
                <w:sz w:val="16"/>
                <w:szCs w:val="16"/>
                <w:lang w:val="fr-BE"/>
              </w:rPr>
              <w:t>Badania i innowacje: liczba przedsiębiorstw objętych wsparciem w celu wprowadzenia produktów nowych dla firmy</w:t>
            </w:r>
          </w:p>
        </w:tc>
        <w:tc>
          <w:tcPr>
            <w:tcW w:w="0" w:type="auto"/>
          </w:tcPr>
          <w:p w14:paraId="7CFCFB6A" w14:textId="77777777" w:rsidR="008C5CFA" w:rsidRPr="0024468B" w:rsidRDefault="00E82A60" w:rsidP="00300A01">
            <w:pPr>
              <w:spacing w:before="0" w:after="0"/>
              <w:jc w:val="right"/>
              <w:rPr>
                <w:sz w:val="16"/>
                <w:szCs w:val="16"/>
                <w:lang w:val="fr-BE"/>
              </w:rPr>
            </w:pPr>
            <w:r w:rsidRPr="0024468B">
              <w:rPr>
                <w:noProof/>
                <w:sz w:val="16"/>
                <w:szCs w:val="16"/>
                <w:lang w:val="fr-BE"/>
              </w:rPr>
              <w:t>256,00</w:t>
            </w:r>
          </w:p>
        </w:tc>
        <w:tc>
          <w:tcPr>
            <w:tcW w:w="0" w:type="auto"/>
          </w:tcPr>
          <w:p w14:paraId="10461263"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6B3C239F"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7D2F8BC9" w14:textId="77777777" w:rsidR="008C5CFA" w:rsidRPr="0024468B" w:rsidRDefault="00E82A60" w:rsidP="00300A01">
            <w:pPr>
              <w:spacing w:before="0" w:after="0"/>
              <w:jc w:val="right"/>
              <w:rPr>
                <w:sz w:val="16"/>
                <w:szCs w:val="16"/>
                <w:lang w:val="fr-BE"/>
              </w:rPr>
            </w:pPr>
            <w:r w:rsidRPr="0024468B">
              <w:rPr>
                <w:noProof/>
                <w:sz w:val="16"/>
                <w:szCs w:val="16"/>
                <w:lang w:val="fr-BE"/>
              </w:rPr>
              <w:t>125,00</w:t>
            </w:r>
          </w:p>
        </w:tc>
        <w:tc>
          <w:tcPr>
            <w:tcW w:w="0" w:type="auto"/>
          </w:tcPr>
          <w:p w14:paraId="24129622"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7816506B"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0B18104F"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35366EDB"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04479E54"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bl>
    <w:p w14:paraId="540D9E71"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06"/>
        <w:gridCol w:w="506"/>
        <w:gridCol w:w="7822"/>
        <w:gridCol w:w="1025"/>
        <w:gridCol w:w="1215"/>
        <w:gridCol w:w="1035"/>
        <w:gridCol w:w="1025"/>
        <w:gridCol w:w="1215"/>
        <w:gridCol w:w="1035"/>
      </w:tblGrid>
      <w:tr w:rsidR="006B2EC1" w14:paraId="2CCE0245" w14:textId="77777777" w:rsidTr="0047688D">
        <w:trPr>
          <w:tblHeader/>
        </w:trPr>
        <w:tc>
          <w:tcPr>
            <w:tcW w:w="0" w:type="auto"/>
          </w:tcPr>
          <w:p w14:paraId="29843A48" w14:textId="77777777" w:rsidR="008C5CFA" w:rsidRPr="009143B4" w:rsidRDefault="00E82A60" w:rsidP="00300A01">
            <w:pPr>
              <w:spacing w:before="0" w:after="0"/>
              <w:rPr>
                <w:b/>
                <w:sz w:val="16"/>
                <w:szCs w:val="16"/>
                <w:lang w:val="fr-BE"/>
              </w:rPr>
            </w:pPr>
            <w:r w:rsidRPr="009143B4">
              <w:rPr>
                <w:b/>
                <w:sz w:val="16"/>
                <w:szCs w:val="16"/>
                <w:lang w:val="fr-BE"/>
              </w:rPr>
              <w:t>(1)</w:t>
            </w:r>
          </w:p>
        </w:tc>
        <w:tc>
          <w:tcPr>
            <w:tcW w:w="0" w:type="auto"/>
            <w:shd w:val="clear" w:color="auto" w:fill="auto"/>
          </w:tcPr>
          <w:p w14:paraId="50BC9ED7" w14:textId="77777777" w:rsidR="008C5CFA" w:rsidRPr="009143B4" w:rsidRDefault="00E82A60" w:rsidP="00300A01">
            <w:pPr>
              <w:spacing w:before="0" w:after="0"/>
              <w:rPr>
                <w:b/>
                <w:sz w:val="16"/>
                <w:szCs w:val="16"/>
                <w:lang w:val="fr-BE"/>
              </w:rPr>
            </w:pPr>
            <w:r w:rsidRPr="009143B4">
              <w:rPr>
                <w:b/>
                <w:noProof/>
                <w:sz w:val="16"/>
                <w:szCs w:val="16"/>
                <w:lang w:val="fr-BE"/>
              </w:rPr>
              <w:t>ID</w:t>
            </w:r>
          </w:p>
        </w:tc>
        <w:tc>
          <w:tcPr>
            <w:tcW w:w="0" w:type="auto"/>
            <w:shd w:val="clear" w:color="auto" w:fill="auto"/>
          </w:tcPr>
          <w:p w14:paraId="6F269145" w14:textId="77777777" w:rsidR="008C5CFA" w:rsidRPr="009143B4" w:rsidRDefault="00E82A60" w:rsidP="00300A01">
            <w:pPr>
              <w:spacing w:before="0" w:after="0"/>
              <w:rPr>
                <w:b/>
                <w:sz w:val="16"/>
                <w:szCs w:val="16"/>
                <w:lang w:val="fr-BE"/>
              </w:rPr>
            </w:pPr>
            <w:r w:rsidRPr="009143B4">
              <w:rPr>
                <w:b/>
                <w:noProof/>
                <w:sz w:val="16"/>
                <w:szCs w:val="16"/>
                <w:lang w:val="fr-BE"/>
              </w:rPr>
              <w:t>Wskaźnik</w:t>
            </w:r>
          </w:p>
        </w:tc>
        <w:tc>
          <w:tcPr>
            <w:tcW w:w="0" w:type="auto"/>
          </w:tcPr>
          <w:p w14:paraId="359FE4E0" w14:textId="77777777" w:rsidR="008C5CFA" w:rsidRPr="009143B4" w:rsidRDefault="00E82A60"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Ogółem</w:t>
            </w:r>
          </w:p>
        </w:tc>
        <w:tc>
          <w:tcPr>
            <w:tcW w:w="0" w:type="auto"/>
          </w:tcPr>
          <w:p w14:paraId="521C32ED" w14:textId="77777777" w:rsidR="008C5CFA" w:rsidRPr="009143B4" w:rsidRDefault="00E82A60"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Mężczyźni</w:t>
            </w:r>
          </w:p>
        </w:tc>
        <w:tc>
          <w:tcPr>
            <w:tcW w:w="0" w:type="auto"/>
          </w:tcPr>
          <w:p w14:paraId="1EDA87DD" w14:textId="77777777" w:rsidR="008C5CFA" w:rsidRPr="009143B4" w:rsidRDefault="00E82A60"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Kobiety</w:t>
            </w:r>
          </w:p>
        </w:tc>
        <w:tc>
          <w:tcPr>
            <w:tcW w:w="0" w:type="auto"/>
            <w:shd w:val="clear" w:color="auto" w:fill="auto"/>
          </w:tcPr>
          <w:p w14:paraId="409AF3FD" w14:textId="77777777" w:rsidR="008C5CFA" w:rsidRPr="009143B4" w:rsidRDefault="00E82A60"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Ogółem</w:t>
            </w:r>
          </w:p>
        </w:tc>
        <w:tc>
          <w:tcPr>
            <w:tcW w:w="0" w:type="auto"/>
            <w:shd w:val="clear" w:color="auto" w:fill="auto"/>
          </w:tcPr>
          <w:p w14:paraId="138F0E6C" w14:textId="77777777" w:rsidR="008C5CFA" w:rsidRPr="009143B4" w:rsidRDefault="00E82A60"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Mężczyźni</w:t>
            </w:r>
          </w:p>
        </w:tc>
        <w:tc>
          <w:tcPr>
            <w:tcW w:w="0" w:type="auto"/>
            <w:shd w:val="clear" w:color="auto" w:fill="auto"/>
          </w:tcPr>
          <w:p w14:paraId="72291315" w14:textId="77777777" w:rsidR="008C5CFA" w:rsidRPr="009143B4" w:rsidRDefault="00E82A60"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Kobiety</w:t>
            </w:r>
          </w:p>
        </w:tc>
      </w:tr>
      <w:tr w:rsidR="006B2EC1" w14:paraId="21366FA7" w14:textId="77777777" w:rsidTr="0047688D">
        <w:tc>
          <w:tcPr>
            <w:tcW w:w="0" w:type="auto"/>
          </w:tcPr>
          <w:p w14:paraId="7639CB6F" w14:textId="77777777" w:rsidR="008C5CFA" w:rsidRPr="0024468B" w:rsidRDefault="00E82A60" w:rsidP="00300A01">
            <w:pPr>
              <w:spacing w:before="0" w:after="0"/>
              <w:rPr>
                <w:sz w:val="16"/>
                <w:szCs w:val="16"/>
                <w:lang w:val="fr-BE"/>
              </w:rPr>
            </w:pPr>
            <w:r>
              <w:rPr>
                <w:noProof/>
                <w:sz w:val="16"/>
                <w:szCs w:val="16"/>
                <w:lang w:val="fr-BE"/>
              </w:rPr>
              <w:t>F</w:t>
            </w:r>
          </w:p>
        </w:tc>
        <w:tc>
          <w:tcPr>
            <w:tcW w:w="0" w:type="auto"/>
            <w:shd w:val="clear" w:color="auto" w:fill="auto"/>
          </w:tcPr>
          <w:p w14:paraId="223E4E46" w14:textId="77777777" w:rsidR="008C5CFA" w:rsidRPr="0024468B" w:rsidRDefault="00E82A60" w:rsidP="00300A01">
            <w:pPr>
              <w:spacing w:before="0" w:after="0"/>
              <w:rPr>
                <w:sz w:val="16"/>
                <w:szCs w:val="16"/>
                <w:lang w:val="fr-BE"/>
              </w:rPr>
            </w:pPr>
            <w:r w:rsidRPr="0024468B">
              <w:rPr>
                <w:noProof/>
                <w:sz w:val="16"/>
                <w:szCs w:val="16"/>
                <w:lang w:val="fr-BE"/>
              </w:rPr>
              <w:t>CO01</w:t>
            </w:r>
          </w:p>
        </w:tc>
        <w:tc>
          <w:tcPr>
            <w:tcW w:w="0" w:type="auto"/>
            <w:shd w:val="clear" w:color="auto" w:fill="auto"/>
          </w:tcPr>
          <w:p w14:paraId="4B4D8B1A" w14:textId="77777777" w:rsidR="008C5CFA" w:rsidRPr="0024468B" w:rsidRDefault="00E82A60" w:rsidP="00300A01">
            <w:pPr>
              <w:spacing w:before="0" w:after="0"/>
              <w:rPr>
                <w:sz w:val="16"/>
                <w:szCs w:val="16"/>
                <w:lang w:val="fr-BE"/>
              </w:rPr>
            </w:pPr>
            <w:r w:rsidRPr="0024468B">
              <w:rPr>
                <w:noProof/>
                <w:sz w:val="16"/>
                <w:szCs w:val="16"/>
                <w:lang w:val="fr-BE"/>
              </w:rPr>
              <w:t>Inwestycje produkcyjne: liczba przedsiębiorstw otrzymujących wsparcie</w:t>
            </w:r>
          </w:p>
        </w:tc>
        <w:tc>
          <w:tcPr>
            <w:tcW w:w="0" w:type="auto"/>
          </w:tcPr>
          <w:p w14:paraId="78DE3CB5"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00CBEAE9"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29FFA990"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5018C6A4"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618951F0"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6C1949F0"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r w:rsidR="006B2EC1" w14:paraId="4DF9BFFC" w14:textId="77777777" w:rsidTr="0047688D">
        <w:tc>
          <w:tcPr>
            <w:tcW w:w="0" w:type="auto"/>
          </w:tcPr>
          <w:p w14:paraId="40663010" w14:textId="77777777" w:rsidR="008C5CFA" w:rsidRPr="0024468B" w:rsidRDefault="00E82A60" w:rsidP="00300A01">
            <w:pPr>
              <w:spacing w:before="0" w:after="0"/>
              <w:rPr>
                <w:sz w:val="16"/>
                <w:szCs w:val="16"/>
                <w:lang w:val="fr-BE"/>
              </w:rPr>
            </w:pPr>
            <w:r>
              <w:rPr>
                <w:noProof/>
                <w:sz w:val="16"/>
                <w:szCs w:val="16"/>
                <w:lang w:val="fr-BE"/>
              </w:rPr>
              <w:t>S</w:t>
            </w:r>
          </w:p>
        </w:tc>
        <w:tc>
          <w:tcPr>
            <w:tcW w:w="0" w:type="auto"/>
            <w:shd w:val="clear" w:color="auto" w:fill="auto"/>
          </w:tcPr>
          <w:p w14:paraId="2B4E99D9" w14:textId="77777777" w:rsidR="008C5CFA" w:rsidRPr="0024468B" w:rsidRDefault="00E82A60" w:rsidP="00300A01">
            <w:pPr>
              <w:spacing w:before="0" w:after="0"/>
              <w:rPr>
                <w:sz w:val="16"/>
                <w:szCs w:val="16"/>
                <w:lang w:val="fr-BE"/>
              </w:rPr>
            </w:pPr>
            <w:r w:rsidRPr="0024468B">
              <w:rPr>
                <w:noProof/>
                <w:sz w:val="16"/>
                <w:szCs w:val="16"/>
                <w:lang w:val="fr-BE"/>
              </w:rPr>
              <w:t>CO01</w:t>
            </w:r>
          </w:p>
        </w:tc>
        <w:tc>
          <w:tcPr>
            <w:tcW w:w="0" w:type="auto"/>
            <w:shd w:val="clear" w:color="auto" w:fill="auto"/>
          </w:tcPr>
          <w:p w14:paraId="0170F0FA" w14:textId="77777777" w:rsidR="008C5CFA" w:rsidRPr="0024468B" w:rsidRDefault="00E82A60" w:rsidP="00300A01">
            <w:pPr>
              <w:spacing w:before="0" w:after="0"/>
              <w:rPr>
                <w:sz w:val="16"/>
                <w:szCs w:val="16"/>
                <w:lang w:val="fr-BE"/>
              </w:rPr>
            </w:pPr>
            <w:r w:rsidRPr="0024468B">
              <w:rPr>
                <w:noProof/>
                <w:sz w:val="16"/>
                <w:szCs w:val="16"/>
                <w:lang w:val="fr-BE"/>
              </w:rPr>
              <w:t>Inwestycje produkcyjne: liczba przedsiębiorstw otrzymujących wsparcie</w:t>
            </w:r>
          </w:p>
        </w:tc>
        <w:tc>
          <w:tcPr>
            <w:tcW w:w="0" w:type="auto"/>
          </w:tcPr>
          <w:p w14:paraId="64D963CF"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02D6F6DD"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0BC92221"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3E2EF50D"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2A7BD2E0"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6B5599CA"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r w:rsidR="006B2EC1" w14:paraId="79B78A92" w14:textId="77777777" w:rsidTr="0047688D">
        <w:tc>
          <w:tcPr>
            <w:tcW w:w="0" w:type="auto"/>
          </w:tcPr>
          <w:p w14:paraId="01470C14" w14:textId="77777777" w:rsidR="008C5CFA" w:rsidRPr="0024468B" w:rsidRDefault="00E82A60" w:rsidP="00300A01">
            <w:pPr>
              <w:spacing w:before="0" w:after="0"/>
              <w:rPr>
                <w:sz w:val="16"/>
                <w:szCs w:val="16"/>
                <w:lang w:val="fr-BE"/>
              </w:rPr>
            </w:pPr>
            <w:r>
              <w:rPr>
                <w:noProof/>
                <w:sz w:val="16"/>
                <w:szCs w:val="16"/>
                <w:lang w:val="fr-BE"/>
              </w:rPr>
              <w:t>F</w:t>
            </w:r>
          </w:p>
        </w:tc>
        <w:tc>
          <w:tcPr>
            <w:tcW w:w="0" w:type="auto"/>
            <w:shd w:val="clear" w:color="auto" w:fill="auto"/>
          </w:tcPr>
          <w:p w14:paraId="1DA71377" w14:textId="77777777" w:rsidR="008C5CFA" w:rsidRPr="0024468B" w:rsidRDefault="00E82A60" w:rsidP="00300A01">
            <w:pPr>
              <w:spacing w:before="0" w:after="0"/>
              <w:rPr>
                <w:sz w:val="16"/>
                <w:szCs w:val="16"/>
                <w:lang w:val="fr-BE"/>
              </w:rPr>
            </w:pPr>
            <w:r w:rsidRPr="0024468B">
              <w:rPr>
                <w:noProof/>
                <w:sz w:val="16"/>
                <w:szCs w:val="16"/>
                <w:lang w:val="fr-BE"/>
              </w:rPr>
              <w:t>CO02</w:t>
            </w:r>
          </w:p>
        </w:tc>
        <w:tc>
          <w:tcPr>
            <w:tcW w:w="0" w:type="auto"/>
            <w:shd w:val="clear" w:color="auto" w:fill="auto"/>
          </w:tcPr>
          <w:p w14:paraId="2DA2788D" w14:textId="77777777" w:rsidR="008C5CFA" w:rsidRPr="0024468B" w:rsidRDefault="00E82A60" w:rsidP="00300A01">
            <w:pPr>
              <w:spacing w:before="0" w:after="0"/>
              <w:rPr>
                <w:sz w:val="16"/>
                <w:szCs w:val="16"/>
                <w:lang w:val="fr-BE"/>
              </w:rPr>
            </w:pPr>
            <w:r w:rsidRPr="0024468B">
              <w:rPr>
                <w:noProof/>
                <w:sz w:val="16"/>
                <w:szCs w:val="16"/>
                <w:lang w:val="fr-BE"/>
              </w:rPr>
              <w:t>Inwestycje produkcyjne: liczba przedsiębiorstw otrzymujących dotacje</w:t>
            </w:r>
          </w:p>
        </w:tc>
        <w:tc>
          <w:tcPr>
            <w:tcW w:w="0" w:type="auto"/>
          </w:tcPr>
          <w:p w14:paraId="4CF780AB"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4E0FEE3C"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54334851"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4E6A2111"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58837A9E"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4703D963"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r w:rsidR="006B2EC1" w14:paraId="7B16F899" w14:textId="77777777" w:rsidTr="0047688D">
        <w:tc>
          <w:tcPr>
            <w:tcW w:w="0" w:type="auto"/>
          </w:tcPr>
          <w:p w14:paraId="114BFA8E" w14:textId="77777777" w:rsidR="008C5CFA" w:rsidRPr="0024468B" w:rsidRDefault="00E82A60" w:rsidP="00300A01">
            <w:pPr>
              <w:spacing w:before="0" w:after="0"/>
              <w:rPr>
                <w:sz w:val="16"/>
                <w:szCs w:val="16"/>
                <w:lang w:val="fr-BE"/>
              </w:rPr>
            </w:pPr>
            <w:r>
              <w:rPr>
                <w:noProof/>
                <w:sz w:val="16"/>
                <w:szCs w:val="16"/>
                <w:lang w:val="fr-BE"/>
              </w:rPr>
              <w:t>S</w:t>
            </w:r>
          </w:p>
        </w:tc>
        <w:tc>
          <w:tcPr>
            <w:tcW w:w="0" w:type="auto"/>
            <w:shd w:val="clear" w:color="auto" w:fill="auto"/>
          </w:tcPr>
          <w:p w14:paraId="2AD7C246" w14:textId="77777777" w:rsidR="008C5CFA" w:rsidRPr="0024468B" w:rsidRDefault="00E82A60" w:rsidP="00300A01">
            <w:pPr>
              <w:spacing w:before="0" w:after="0"/>
              <w:rPr>
                <w:sz w:val="16"/>
                <w:szCs w:val="16"/>
                <w:lang w:val="fr-BE"/>
              </w:rPr>
            </w:pPr>
            <w:r w:rsidRPr="0024468B">
              <w:rPr>
                <w:noProof/>
                <w:sz w:val="16"/>
                <w:szCs w:val="16"/>
                <w:lang w:val="fr-BE"/>
              </w:rPr>
              <w:t>CO02</w:t>
            </w:r>
          </w:p>
        </w:tc>
        <w:tc>
          <w:tcPr>
            <w:tcW w:w="0" w:type="auto"/>
            <w:shd w:val="clear" w:color="auto" w:fill="auto"/>
          </w:tcPr>
          <w:p w14:paraId="3244C31C" w14:textId="77777777" w:rsidR="008C5CFA" w:rsidRPr="0024468B" w:rsidRDefault="00E82A60" w:rsidP="00300A01">
            <w:pPr>
              <w:spacing w:before="0" w:after="0"/>
              <w:rPr>
                <w:sz w:val="16"/>
                <w:szCs w:val="16"/>
                <w:lang w:val="fr-BE"/>
              </w:rPr>
            </w:pPr>
            <w:r w:rsidRPr="0024468B">
              <w:rPr>
                <w:noProof/>
                <w:sz w:val="16"/>
                <w:szCs w:val="16"/>
                <w:lang w:val="fr-BE"/>
              </w:rPr>
              <w:t>Inwestycje produkcyjne: liczba przedsiębiorstw otrzymujących dotacje</w:t>
            </w:r>
          </w:p>
        </w:tc>
        <w:tc>
          <w:tcPr>
            <w:tcW w:w="0" w:type="auto"/>
          </w:tcPr>
          <w:p w14:paraId="12FDCE2F"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2DDB9FB7"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5D8B03A0"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3916EA4A"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3F26F891"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551AAACA"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r w:rsidR="006B2EC1" w14:paraId="461D6F59" w14:textId="77777777" w:rsidTr="0047688D">
        <w:tc>
          <w:tcPr>
            <w:tcW w:w="0" w:type="auto"/>
          </w:tcPr>
          <w:p w14:paraId="3B4BF108" w14:textId="77777777" w:rsidR="008C5CFA" w:rsidRPr="0024468B" w:rsidRDefault="00E82A60" w:rsidP="00300A01">
            <w:pPr>
              <w:spacing w:before="0" w:after="0"/>
              <w:rPr>
                <w:sz w:val="16"/>
                <w:szCs w:val="16"/>
                <w:lang w:val="fr-BE"/>
              </w:rPr>
            </w:pPr>
            <w:r>
              <w:rPr>
                <w:noProof/>
                <w:sz w:val="16"/>
                <w:szCs w:val="16"/>
                <w:lang w:val="fr-BE"/>
              </w:rPr>
              <w:t>F</w:t>
            </w:r>
          </w:p>
        </w:tc>
        <w:tc>
          <w:tcPr>
            <w:tcW w:w="0" w:type="auto"/>
            <w:shd w:val="clear" w:color="auto" w:fill="auto"/>
          </w:tcPr>
          <w:p w14:paraId="6B6A85AA" w14:textId="77777777" w:rsidR="008C5CFA" w:rsidRPr="0024468B" w:rsidRDefault="00E82A60" w:rsidP="00300A01">
            <w:pPr>
              <w:spacing w:before="0" w:after="0"/>
              <w:rPr>
                <w:sz w:val="16"/>
                <w:szCs w:val="16"/>
                <w:lang w:val="fr-BE"/>
              </w:rPr>
            </w:pPr>
            <w:r w:rsidRPr="0024468B">
              <w:rPr>
                <w:noProof/>
                <w:sz w:val="16"/>
                <w:szCs w:val="16"/>
                <w:lang w:val="fr-BE"/>
              </w:rPr>
              <w:t>CO03</w:t>
            </w:r>
          </w:p>
        </w:tc>
        <w:tc>
          <w:tcPr>
            <w:tcW w:w="0" w:type="auto"/>
            <w:shd w:val="clear" w:color="auto" w:fill="auto"/>
          </w:tcPr>
          <w:p w14:paraId="7096A8B7" w14:textId="77777777" w:rsidR="008C5CFA" w:rsidRPr="0024468B" w:rsidRDefault="00E82A60" w:rsidP="00300A01">
            <w:pPr>
              <w:spacing w:before="0" w:after="0"/>
              <w:rPr>
                <w:sz w:val="16"/>
                <w:szCs w:val="16"/>
                <w:lang w:val="fr-BE"/>
              </w:rPr>
            </w:pPr>
            <w:r w:rsidRPr="0024468B">
              <w:rPr>
                <w:noProof/>
                <w:sz w:val="16"/>
                <w:szCs w:val="16"/>
                <w:lang w:val="fr-BE"/>
              </w:rPr>
              <w:t>Inwestycje produkcyjne: liczba przedsiębiorstw otrzymujących wsparcie finansowe inne niż dotacje</w:t>
            </w:r>
          </w:p>
        </w:tc>
        <w:tc>
          <w:tcPr>
            <w:tcW w:w="0" w:type="auto"/>
          </w:tcPr>
          <w:p w14:paraId="5ED36C4A"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6FEE3DCE"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21C5E965"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40978E59"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113CD130"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6531E4A5"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r w:rsidR="006B2EC1" w14:paraId="34AD9A3A" w14:textId="77777777" w:rsidTr="0047688D">
        <w:tc>
          <w:tcPr>
            <w:tcW w:w="0" w:type="auto"/>
          </w:tcPr>
          <w:p w14:paraId="72458843" w14:textId="77777777" w:rsidR="008C5CFA" w:rsidRPr="0024468B" w:rsidRDefault="00E82A60" w:rsidP="00300A01">
            <w:pPr>
              <w:spacing w:before="0" w:after="0"/>
              <w:rPr>
                <w:sz w:val="16"/>
                <w:szCs w:val="16"/>
                <w:lang w:val="fr-BE"/>
              </w:rPr>
            </w:pPr>
            <w:r>
              <w:rPr>
                <w:noProof/>
                <w:sz w:val="16"/>
                <w:szCs w:val="16"/>
                <w:lang w:val="fr-BE"/>
              </w:rPr>
              <w:t>S</w:t>
            </w:r>
          </w:p>
        </w:tc>
        <w:tc>
          <w:tcPr>
            <w:tcW w:w="0" w:type="auto"/>
            <w:shd w:val="clear" w:color="auto" w:fill="auto"/>
          </w:tcPr>
          <w:p w14:paraId="708977DC" w14:textId="77777777" w:rsidR="008C5CFA" w:rsidRPr="0024468B" w:rsidRDefault="00E82A60" w:rsidP="00300A01">
            <w:pPr>
              <w:spacing w:before="0" w:after="0"/>
              <w:rPr>
                <w:sz w:val="16"/>
                <w:szCs w:val="16"/>
                <w:lang w:val="fr-BE"/>
              </w:rPr>
            </w:pPr>
            <w:r w:rsidRPr="0024468B">
              <w:rPr>
                <w:noProof/>
                <w:sz w:val="16"/>
                <w:szCs w:val="16"/>
                <w:lang w:val="fr-BE"/>
              </w:rPr>
              <w:t>CO03</w:t>
            </w:r>
          </w:p>
        </w:tc>
        <w:tc>
          <w:tcPr>
            <w:tcW w:w="0" w:type="auto"/>
            <w:shd w:val="clear" w:color="auto" w:fill="auto"/>
          </w:tcPr>
          <w:p w14:paraId="64C82722" w14:textId="77777777" w:rsidR="008C5CFA" w:rsidRPr="0024468B" w:rsidRDefault="00E82A60" w:rsidP="00300A01">
            <w:pPr>
              <w:spacing w:before="0" w:after="0"/>
              <w:rPr>
                <w:sz w:val="16"/>
                <w:szCs w:val="16"/>
                <w:lang w:val="fr-BE"/>
              </w:rPr>
            </w:pPr>
            <w:r w:rsidRPr="0024468B">
              <w:rPr>
                <w:noProof/>
                <w:sz w:val="16"/>
                <w:szCs w:val="16"/>
                <w:lang w:val="fr-BE"/>
              </w:rPr>
              <w:t>Inwestycje produkcyjne: liczba przedsiębiorstw otrzymujących wsparcie finansowe inne niż dotacje</w:t>
            </w:r>
          </w:p>
        </w:tc>
        <w:tc>
          <w:tcPr>
            <w:tcW w:w="0" w:type="auto"/>
          </w:tcPr>
          <w:p w14:paraId="6D923910"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1DA4025E"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37FB84D3"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472360BA"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3342A3C0"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1E90D0F9"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r w:rsidR="006B2EC1" w14:paraId="5568A70C" w14:textId="77777777" w:rsidTr="0047688D">
        <w:tc>
          <w:tcPr>
            <w:tcW w:w="0" w:type="auto"/>
          </w:tcPr>
          <w:p w14:paraId="03027EA3" w14:textId="77777777" w:rsidR="008C5CFA" w:rsidRPr="0024468B" w:rsidRDefault="00E82A60" w:rsidP="00300A01">
            <w:pPr>
              <w:spacing w:before="0" w:after="0"/>
              <w:rPr>
                <w:sz w:val="16"/>
                <w:szCs w:val="16"/>
                <w:lang w:val="fr-BE"/>
              </w:rPr>
            </w:pPr>
            <w:r>
              <w:rPr>
                <w:noProof/>
                <w:sz w:val="16"/>
                <w:szCs w:val="16"/>
                <w:lang w:val="fr-BE"/>
              </w:rPr>
              <w:t>F</w:t>
            </w:r>
          </w:p>
        </w:tc>
        <w:tc>
          <w:tcPr>
            <w:tcW w:w="0" w:type="auto"/>
            <w:shd w:val="clear" w:color="auto" w:fill="auto"/>
          </w:tcPr>
          <w:p w14:paraId="11C0E558" w14:textId="77777777" w:rsidR="008C5CFA" w:rsidRPr="0024468B" w:rsidRDefault="00E82A60" w:rsidP="00300A01">
            <w:pPr>
              <w:spacing w:before="0" w:after="0"/>
              <w:rPr>
                <w:sz w:val="16"/>
                <w:szCs w:val="16"/>
                <w:lang w:val="fr-BE"/>
              </w:rPr>
            </w:pPr>
            <w:r w:rsidRPr="0024468B">
              <w:rPr>
                <w:noProof/>
                <w:sz w:val="16"/>
                <w:szCs w:val="16"/>
                <w:lang w:val="fr-BE"/>
              </w:rPr>
              <w:t>CO06</w:t>
            </w:r>
          </w:p>
        </w:tc>
        <w:tc>
          <w:tcPr>
            <w:tcW w:w="0" w:type="auto"/>
            <w:shd w:val="clear" w:color="auto" w:fill="auto"/>
          </w:tcPr>
          <w:p w14:paraId="302B284E" w14:textId="77777777" w:rsidR="008C5CFA" w:rsidRPr="0024468B" w:rsidRDefault="00E82A60" w:rsidP="00300A01">
            <w:pPr>
              <w:spacing w:before="0" w:after="0"/>
              <w:rPr>
                <w:sz w:val="16"/>
                <w:szCs w:val="16"/>
                <w:lang w:val="fr-BE"/>
              </w:rPr>
            </w:pPr>
            <w:r w:rsidRPr="0024468B">
              <w:rPr>
                <w:noProof/>
                <w:sz w:val="16"/>
                <w:szCs w:val="16"/>
                <w:lang w:val="fr-BE"/>
              </w:rPr>
              <w:t>Inwestycje produkcyjne: inwestycje prywatne uzupełniające wsparcie publiczne dla przedsiębiorstw (dotacje)</w:t>
            </w:r>
          </w:p>
        </w:tc>
        <w:tc>
          <w:tcPr>
            <w:tcW w:w="0" w:type="auto"/>
          </w:tcPr>
          <w:p w14:paraId="02B5FFD2"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1B23D9B5"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4963B3FF"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10FD13CF"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57ED9B54"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516CC905"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r w:rsidR="006B2EC1" w14:paraId="28A916A3" w14:textId="77777777" w:rsidTr="0047688D">
        <w:tc>
          <w:tcPr>
            <w:tcW w:w="0" w:type="auto"/>
          </w:tcPr>
          <w:p w14:paraId="2ADD5638" w14:textId="77777777" w:rsidR="008C5CFA" w:rsidRPr="0024468B" w:rsidRDefault="00E82A60" w:rsidP="00300A01">
            <w:pPr>
              <w:spacing w:before="0" w:after="0"/>
              <w:rPr>
                <w:sz w:val="16"/>
                <w:szCs w:val="16"/>
                <w:lang w:val="fr-BE"/>
              </w:rPr>
            </w:pPr>
            <w:r>
              <w:rPr>
                <w:noProof/>
                <w:sz w:val="16"/>
                <w:szCs w:val="16"/>
                <w:lang w:val="fr-BE"/>
              </w:rPr>
              <w:t>S</w:t>
            </w:r>
          </w:p>
        </w:tc>
        <w:tc>
          <w:tcPr>
            <w:tcW w:w="0" w:type="auto"/>
            <w:shd w:val="clear" w:color="auto" w:fill="auto"/>
          </w:tcPr>
          <w:p w14:paraId="08417A8A" w14:textId="77777777" w:rsidR="008C5CFA" w:rsidRPr="0024468B" w:rsidRDefault="00E82A60" w:rsidP="00300A01">
            <w:pPr>
              <w:spacing w:before="0" w:after="0"/>
              <w:rPr>
                <w:sz w:val="16"/>
                <w:szCs w:val="16"/>
                <w:lang w:val="fr-BE"/>
              </w:rPr>
            </w:pPr>
            <w:r w:rsidRPr="0024468B">
              <w:rPr>
                <w:noProof/>
                <w:sz w:val="16"/>
                <w:szCs w:val="16"/>
                <w:lang w:val="fr-BE"/>
              </w:rPr>
              <w:t>CO06</w:t>
            </w:r>
          </w:p>
        </w:tc>
        <w:tc>
          <w:tcPr>
            <w:tcW w:w="0" w:type="auto"/>
            <w:shd w:val="clear" w:color="auto" w:fill="auto"/>
          </w:tcPr>
          <w:p w14:paraId="5306AB97" w14:textId="77777777" w:rsidR="008C5CFA" w:rsidRPr="0024468B" w:rsidRDefault="00E82A60" w:rsidP="00300A01">
            <w:pPr>
              <w:spacing w:before="0" w:after="0"/>
              <w:rPr>
                <w:sz w:val="16"/>
                <w:szCs w:val="16"/>
                <w:lang w:val="fr-BE"/>
              </w:rPr>
            </w:pPr>
            <w:r w:rsidRPr="0024468B">
              <w:rPr>
                <w:noProof/>
                <w:sz w:val="16"/>
                <w:szCs w:val="16"/>
                <w:lang w:val="fr-BE"/>
              </w:rPr>
              <w:t>Inwestycje produkcyjne: inwestycje prywatne uzupełniające wsparcie publiczne dla przedsiębiorstw (dotacje)</w:t>
            </w:r>
          </w:p>
        </w:tc>
        <w:tc>
          <w:tcPr>
            <w:tcW w:w="0" w:type="auto"/>
          </w:tcPr>
          <w:p w14:paraId="41F1A72F"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6EA77C0E"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2A4F17F4"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3756B0A7"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13C3B550"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560F6BD8"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r w:rsidR="006B2EC1" w14:paraId="7A37B641" w14:textId="77777777" w:rsidTr="0047688D">
        <w:tc>
          <w:tcPr>
            <w:tcW w:w="0" w:type="auto"/>
          </w:tcPr>
          <w:p w14:paraId="79D62488" w14:textId="77777777" w:rsidR="008C5CFA" w:rsidRPr="0024468B" w:rsidRDefault="00E82A60" w:rsidP="00300A01">
            <w:pPr>
              <w:spacing w:before="0" w:after="0"/>
              <w:rPr>
                <w:sz w:val="16"/>
                <w:szCs w:val="16"/>
                <w:lang w:val="fr-BE"/>
              </w:rPr>
            </w:pPr>
            <w:r>
              <w:rPr>
                <w:noProof/>
                <w:sz w:val="16"/>
                <w:szCs w:val="16"/>
                <w:lang w:val="fr-BE"/>
              </w:rPr>
              <w:t>F</w:t>
            </w:r>
          </w:p>
        </w:tc>
        <w:tc>
          <w:tcPr>
            <w:tcW w:w="0" w:type="auto"/>
            <w:shd w:val="clear" w:color="auto" w:fill="auto"/>
          </w:tcPr>
          <w:p w14:paraId="274473E3" w14:textId="77777777" w:rsidR="008C5CFA" w:rsidRPr="0024468B" w:rsidRDefault="00E82A60" w:rsidP="00300A01">
            <w:pPr>
              <w:spacing w:before="0" w:after="0"/>
              <w:rPr>
                <w:sz w:val="16"/>
                <w:szCs w:val="16"/>
                <w:lang w:val="fr-BE"/>
              </w:rPr>
            </w:pPr>
            <w:r w:rsidRPr="0024468B">
              <w:rPr>
                <w:noProof/>
                <w:sz w:val="16"/>
                <w:szCs w:val="16"/>
                <w:lang w:val="fr-BE"/>
              </w:rPr>
              <w:t>CO07</w:t>
            </w:r>
          </w:p>
        </w:tc>
        <w:tc>
          <w:tcPr>
            <w:tcW w:w="0" w:type="auto"/>
            <w:shd w:val="clear" w:color="auto" w:fill="auto"/>
          </w:tcPr>
          <w:p w14:paraId="081E9652" w14:textId="77777777" w:rsidR="008C5CFA" w:rsidRPr="0024468B" w:rsidRDefault="00E82A60" w:rsidP="00300A01">
            <w:pPr>
              <w:spacing w:before="0" w:after="0"/>
              <w:rPr>
                <w:sz w:val="16"/>
                <w:szCs w:val="16"/>
                <w:lang w:val="fr-BE"/>
              </w:rPr>
            </w:pPr>
            <w:r w:rsidRPr="0024468B">
              <w:rPr>
                <w:noProof/>
                <w:sz w:val="16"/>
                <w:szCs w:val="16"/>
                <w:lang w:val="fr-BE"/>
              </w:rPr>
              <w:t>Inwestycje produkcyjne: inwestycje prywatne uzupełniające wsparcie publiczne dla przedsiębiorstw (inne niż dotacje)</w:t>
            </w:r>
          </w:p>
        </w:tc>
        <w:tc>
          <w:tcPr>
            <w:tcW w:w="0" w:type="auto"/>
          </w:tcPr>
          <w:p w14:paraId="18798CE0"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0A1E32FD"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4396BD92"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08F36395"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7C4000ED"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3E706DF9"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r w:rsidR="006B2EC1" w14:paraId="101D09F1" w14:textId="77777777" w:rsidTr="0047688D">
        <w:tc>
          <w:tcPr>
            <w:tcW w:w="0" w:type="auto"/>
          </w:tcPr>
          <w:p w14:paraId="4657E2C9" w14:textId="77777777" w:rsidR="008C5CFA" w:rsidRPr="0024468B" w:rsidRDefault="00E82A60" w:rsidP="00300A01">
            <w:pPr>
              <w:spacing w:before="0" w:after="0"/>
              <w:rPr>
                <w:sz w:val="16"/>
                <w:szCs w:val="16"/>
                <w:lang w:val="fr-BE"/>
              </w:rPr>
            </w:pPr>
            <w:r>
              <w:rPr>
                <w:noProof/>
                <w:sz w:val="16"/>
                <w:szCs w:val="16"/>
                <w:lang w:val="fr-BE"/>
              </w:rPr>
              <w:t>S</w:t>
            </w:r>
          </w:p>
        </w:tc>
        <w:tc>
          <w:tcPr>
            <w:tcW w:w="0" w:type="auto"/>
            <w:shd w:val="clear" w:color="auto" w:fill="auto"/>
          </w:tcPr>
          <w:p w14:paraId="34A40692" w14:textId="77777777" w:rsidR="008C5CFA" w:rsidRPr="0024468B" w:rsidRDefault="00E82A60" w:rsidP="00300A01">
            <w:pPr>
              <w:spacing w:before="0" w:after="0"/>
              <w:rPr>
                <w:sz w:val="16"/>
                <w:szCs w:val="16"/>
                <w:lang w:val="fr-BE"/>
              </w:rPr>
            </w:pPr>
            <w:r w:rsidRPr="0024468B">
              <w:rPr>
                <w:noProof/>
                <w:sz w:val="16"/>
                <w:szCs w:val="16"/>
                <w:lang w:val="fr-BE"/>
              </w:rPr>
              <w:t>CO07</w:t>
            </w:r>
          </w:p>
        </w:tc>
        <w:tc>
          <w:tcPr>
            <w:tcW w:w="0" w:type="auto"/>
            <w:shd w:val="clear" w:color="auto" w:fill="auto"/>
          </w:tcPr>
          <w:p w14:paraId="139CE8CE" w14:textId="77777777" w:rsidR="008C5CFA" w:rsidRPr="0024468B" w:rsidRDefault="00E82A60" w:rsidP="00300A01">
            <w:pPr>
              <w:spacing w:before="0" w:after="0"/>
              <w:rPr>
                <w:sz w:val="16"/>
                <w:szCs w:val="16"/>
                <w:lang w:val="fr-BE"/>
              </w:rPr>
            </w:pPr>
            <w:r w:rsidRPr="0024468B">
              <w:rPr>
                <w:noProof/>
                <w:sz w:val="16"/>
                <w:szCs w:val="16"/>
                <w:lang w:val="fr-BE"/>
              </w:rPr>
              <w:t>Inwestycje produkcyjne: inwestycje prywatne uzupełniające wsparcie publiczne dla przedsiębiorstw (inne niż dotacje)</w:t>
            </w:r>
          </w:p>
        </w:tc>
        <w:tc>
          <w:tcPr>
            <w:tcW w:w="0" w:type="auto"/>
          </w:tcPr>
          <w:p w14:paraId="059BF18B"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4A8E18A5"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48543FCB"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63201E05"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622C8666"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612CD610"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r w:rsidR="006B2EC1" w14:paraId="19CC56A4" w14:textId="77777777" w:rsidTr="0047688D">
        <w:tc>
          <w:tcPr>
            <w:tcW w:w="0" w:type="auto"/>
          </w:tcPr>
          <w:p w14:paraId="45132C21" w14:textId="77777777" w:rsidR="008C5CFA" w:rsidRPr="0024468B" w:rsidRDefault="00E82A60" w:rsidP="00300A01">
            <w:pPr>
              <w:spacing w:before="0" w:after="0"/>
              <w:rPr>
                <w:sz w:val="16"/>
                <w:szCs w:val="16"/>
                <w:lang w:val="fr-BE"/>
              </w:rPr>
            </w:pPr>
            <w:r>
              <w:rPr>
                <w:noProof/>
                <w:sz w:val="16"/>
                <w:szCs w:val="16"/>
                <w:lang w:val="fr-BE"/>
              </w:rPr>
              <w:t>F</w:t>
            </w:r>
          </w:p>
        </w:tc>
        <w:tc>
          <w:tcPr>
            <w:tcW w:w="0" w:type="auto"/>
            <w:shd w:val="clear" w:color="auto" w:fill="auto"/>
          </w:tcPr>
          <w:p w14:paraId="0B90D611" w14:textId="77777777" w:rsidR="008C5CFA" w:rsidRPr="0024468B" w:rsidRDefault="00E82A60" w:rsidP="00300A01">
            <w:pPr>
              <w:spacing w:before="0" w:after="0"/>
              <w:rPr>
                <w:sz w:val="16"/>
                <w:szCs w:val="16"/>
                <w:lang w:val="fr-BE"/>
              </w:rPr>
            </w:pPr>
            <w:r w:rsidRPr="0024468B">
              <w:rPr>
                <w:noProof/>
                <w:sz w:val="16"/>
                <w:szCs w:val="16"/>
                <w:lang w:val="fr-BE"/>
              </w:rPr>
              <w:t>CO08</w:t>
            </w:r>
          </w:p>
        </w:tc>
        <w:tc>
          <w:tcPr>
            <w:tcW w:w="0" w:type="auto"/>
            <w:shd w:val="clear" w:color="auto" w:fill="auto"/>
          </w:tcPr>
          <w:p w14:paraId="4E71091D" w14:textId="77777777" w:rsidR="008C5CFA" w:rsidRPr="0024468B" w:rsidRDefault="00E82A60" w:rsidP="00300A01">
            <w:pPr>
              <w:spacing w:before="0" w:after="0"/>
              <w:rPr>
                <w:sz w:val="16"/>
                <w:szCs w:val="16"/>
                <w:lang w:val="fr-BE"/>
              </w:rPr>
            </w:pPr>
            <w:r w:rsidRPr="0024468B">
              <w:rPr>
                <w:noProof/>
                <w:sz w:val="16"/>
                <w:szCs w:val="16"/>
                <w:lang w:val="fr-BE"/>
              </w:rPr>
              <w:t>Inwestycje produkcyjne: wzrost zatrudnienia we wspieranych przedsiębiorstwach</w:t>
            </w:r>
          </w:p>
        </w:tc>
        <w:tc>
          <w:tcPr>
            <w:tcW w:w="0" w:type="auto"/>
          </w:tcPr>
          <w:p w14:paraId="61778D8D"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427E4944"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01CD96E4"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47224C7E"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09DD694D"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0E1D6C31"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r w:rsidR="006B2EC1" w14:paraId="505B3237" w14:textId="77777777" w:rsidTr="0047688D">
        <w:tc>
          <w:tcPr>
            <w:tcW w:w="0" w:type="auto"/>
          </w:tcPr>
          <w:p w14:paraId="4F2485F4" w14:textId="77777777" w:rsidR="008C5CFA" w:rsidRPr="0024468B" w:rsidRDefault="00E82A60" w:rsidP="00300A01">
            <w:pPr>
              <w:spacing w:before="0" w:after="0"/>
              <w:rPr>
                <w:sz w:val="16"/>
                <w:szCs w:val="16"/>
                <w:lang w:val="fr-BE"/>
              </w:rPr>
            </w:pPr>
            <w:r>
              <w:rPr>
                <w:noProof/>
                <w:sz w:val="16"/>
                <w:szCs w:val="16"/>
                <w:lang w:val="fr-BE"/>
              </w:rPr>
              <w:t>S</w:t>
            </w:r>
          </w:p>
        </w:tc>
        <w:tc>
          <w:tcPr>
            <w:tcW w:w="0" w:type="auto"/>
            <w:shd w:val="clear" w:color="auto" w:fill="auto"/>
          </w:tcPr>
          <w:p w14:paraId="4733BA35" w14:textId="77777777" w:rsidR="008C5CFA" w:rsidRPr="0024468B" w:rsidRDefault="00E82A60" w:rsidP="00300A01">
            <w:pPr>
              <w:spacing w:before="0" w:after="0"/>
              <w:rPr>
                <w:sz w:val="16"/>
                <w:szCs w:val="16"/>
                <w:lang w:val="fr-BE"/>
              </w:rPr>
            </w:pPr>
            <w:r w:rsidRPr="0024468B">
              <w:rPr>
                <w:noProof/>
                <w:sz w:val="16"/>
                <w:szCs w:val="16"/>
                <w:lang w:val="fr-BE"/>
              </w:rPr>
              <w:t>CO08</w:t>
            </w:r>
          </w:p>
        </w:tc>
        <w:tc>
          <w:tcPr>
            <w:tcW w:w="0" w:type="auto"/>
            <w:shd w:val="clear" w:color="auto" w:fill="auto"/>
          </w:tcPr>
          <w:p w14:paraId="267B518E" w14:textId="77777777" w:rsidR="008C5CFA" w:rsidRPr="0024468B" w:rsidRDefault="00E82A60" w:rsidP="00300A01">
            <w:pPr>
              <w:spacing w:before="0" w:after="0"/>
              <w:rPr>
                <w:sz w:val="16"/>
                <w:szCs w:val="16"/>
                <w:lang w:val="fr-BE"/>
              </w:rPr>
            </w:pPr>
            <w:r w:rsidRPr="0024468B">
              <w:rPr>
                <w:noProof/>
                <w:sz w:val="16"/>
                <w:szCs w:val="16"/>
                <w:lang w:val="fr-BE"/>
              </w:rPr>
              <w:t>Inwestycje produkcyjne: wzrost zatrudnienia we wspieranych przedsiębiorstwach</w:t>
            </w:r>
          </w:p>
        </w:tc>
        <w:tc>
          <w:tcPr>
            <w:tcW w:w="0" w:type="auto"/>
          </w:tcPr>
          <w:p w14:paraId="63F4874E"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36F7A98E"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56308DD8"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1FBE6878"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66BA84A1"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1C7F07CE"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r w:rsidR="006B2EC1" w14:paraId="25EC18BC" w14:textId="77777777" w:rsidTr="0047688D">
        <w:tc>
          <w:tcPr>
            <w:tcW w:w="0" w:type="auto"/>
          </w:tcPr>
          <w:p w14:paraId="55A253A7" w14:textId="77777777" w:rsidR="008C5CFA" w:rsidRPr="0024468B" w:rsidRDefault="00E82A60" w:rsidP="00300A01">
            <w:pPr>
              <w:spacing w:before="0" w:after="0"/>
              <w:rPr>
                <w:sz w:val="16"/>
                <w:szCs w:val="16"/>
                <w:lang w:val="fr-BE"/>
              </w:rPr>
            </w:pPr>
            <w:r>
              <w:rPr>
                <w:noProof/>
                <w:sz w:val="16"/>
                <w:szCs w:val="16"/>
                <w:lang w:val="fr-BE"/>
              </w:rPr>
              <w:t>F</w:t>
            </w:r>
          </w:p>
        </w:tc>
        <w:tc>
          <w:tcPr>
            <w:tcW w:w="0" w:type="auto"/>
            <w:shd w:val="clear" w:color="auto" w:fill="auto"/>
          </w:tcPr>
          <w:p w14:paraId="4F70082E" w14:textId="77777777" w:rsidR="008C5CFA" w:rsidRPr="0024468B" w:rsidRDefault="00E82A60" w:rsidP="00300A01">
            <w:pPr>
              <w:spacing w:before="0" w:after="0"/>
              <w:rPr>
                <w:sz w:val="16"/>
                <w:szCs w:val="16"/>
                <w:lang w:val="fr-BE"/>
              </w:rPr>
            </w:pPr>
            <w:r w:rsidRPr="0024468B">
              <w:rPr>
                <w:noProof/>
                <w:sz w:val="16"/>
                <w:szCs w:val="16"/>
                <w:lang w:val="fr-BE"/>
              </w:rPr>
              <w:t>CO28</w:t>
            </w:r>
          </w:p>
        </w:tc>
        <w:tc>
          <w:tcPr>
            <w:tcW w:w="0" w:type="auto"/>
            <w:shd w:val="clear" w:color="auto" w:fill="auto"/>
          </w:tcPr>
          <w:p w14:paraId="17F6B6BD" w14:textId="77777777" w:rsidR="008C5CFA" w:rsidRPr="0024468B" w:rsidRDefault="00E82A60" w:rsidP="00300A01">
            <w:pPr>
              <w:spacing w:before="0" w:after="0"/>
              <w:rPr>
                <w:sz w:val="16"/>
                <w:szCs w:val="16"/>
                <w:lang w:val="fr-BE"/>
              </w:rPr>
            </w:pPr>
            <w:r w:rsidRPr="0024468B">
              <w:rPr>
                <w:noProof/>
                <w:sz w:val="16"/>
                <w:szCs w:val="16"/>
                <w:lang w:val="fr-BE"/>
              </w:rPr>
              <w:t>Badania i innowacje: liczba przedsiębiorstw objętych wsparciem w celu wprowadzenia produktów nowych dla rynku</w:t>
            </w:r>
          </w:p>
        </w:tc>
        <w:tc>
          <w:tcPr>
            <w:tcW w:w="0" w:type="auto"/>
          </w:tcPr>
          <w:p w14:paraId="6ECD24F5"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4F0FC2F7"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2AB7503A"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558D9A62"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34688F39"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2A4B4D95"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r w:rsidR="006B2EC1" w14:paraId="31B04C50" w14:textId="77777777" w:rsidTr="0047688D">
        <w:tc>
          <w:tcPr>
            <w:tcW w:w="0" w:type="auto"/>
          </w:tcPr>
          <w:p w14:paraId="6D7DA256" w14:textId="77777777" w:rsidR="008C5CFA" w:rsidRPr="0024468B" w:rsidRDefault="00E82A60" w:rsidP="00300A01">
            <w:pPr>
              <w:spacing w:before="0" w:after="0"/>
              <w:rPr>
                <w:sz w:val="16"/>
                <w:szCs w:val="16"/>
                <w:lang w:val="fr-BE"/>
              </w:rPr>
            </w:pPr>
            <w:r>
              <w:rPr>
                <w:noProof/>
                <w:sz w:val="16"/>
                <w:szCs w:val="16"/>
                <w:lang w:val="fr-BE"/>
              </w:rPr>
              <w:t>S</w:t>
            </w:r>
          </w:p>
        </w:tc>
        <w:tc>
          <w:tcPr>
            <w:tcW w:w="0" w:type="auto"/>
            <w:shd w:val="clear" w:color="auto" w:fill="auto"/>
          </w:tcPr>
          <w:p w14:paraId="07C9A65F" w14:textId="77777777" w:rsidR="008C5CFA" w:rsidRPr="0024468B" w:rsidRDefault="00E82A60" w:rsidP="00300A01">
            <w:pPr>
              <w:spacing w:before="0" w:after="0"/>
              <w:rPr>
                <w:sz w:val="16"/>
                <w:szCs w:val="16"/>
                <w:lang w:val="fr-BE"/>
              </w:rPr>
            </w:pPr>
            <w:r w:rsidRPr="0024468B">
              <w:rPr>
                <w:noProof/>
                <w:sz w:val="16"/>
                <w:szCs w:val="16"/>
                <w:lang w:val="fr-BE"/>
              </w:rPr>
              <w:t>CO28</w:t>
            </w:r>
          </w:p>
        </w:tc>
        <w:tc>
          <w:tcPr>
            <w:tcW w:w="0" w:type="auto"/>
            <w:shd w:val="clear" w:color="auto" w:fill="auto"/>
          </w:tcPr>
          <w:p w14:paraId="5E0037FE" w14:textId="77777777" w:rsidR="008C5CFA" w:rsidRPr="0024468B" w:rsidRDefault="00E82A60" w:rsidP="00300A01">
            <w:pPr>
              <w:spacing w:before="0" w:after="0"/>
              <w:rPr>
                <w:sz w:val="16"/>
                <w:szCs w:val="16"/>
                <w:lang w:val="fr-BE"/>
              </w:rPr>
            </w:pPr>
            <w:r w:rsidRPr="0024468B">
              <w:rPr>
                <w:noProof/>
                <w:sz w:val="16"/>
                <w:szCs w:val="16"/>
                <w:lang w:val="fr-BE"/>
              </w:rPr>
              <w:t>Badania i innowacje: liczba przedsiębiorstw objętych wsparciem w celu wprowadzenia produktów nowych dla rynku</w:t>
            </w:r>
          </w:p>
        </w:tc>
        <w:tc>
          <w:tcPr>
            <w:tcW w:w="0" w:type="auto"/>
          </w:tcPr>
          <w:p w14:paraId="4970EEEE"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0C8AEA45"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484A0952"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5B5467BA"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501C3BB6"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662B9998"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r w:rsidR="006B2EC1" w14:paraId="40F937E0" w14:textId="77777777" w:rsidTr="0047688D">
        <w:tc>
          <w:tcPr>
            <w:tcW w:w="0" w:type="auto"/>
          </w:tcPr>
          <w:p w14:paraId="536C68B6" w14:textId="77777777" w:rsidR="008C5CFA" w:rsidRPr="0024468B" w:rsidRDefault="00E82A60" w:rsidP="00300A01">
            <w:pPr>
              <w:spacing w:before="0" w:after="0"/>
              <w:rPr>
                <w:sz w:val="16"/>
                <w:szCs w:val="16"/>
                <w:lang w:val="fr-BE"/>
              </w:rPr>
            </w:pPr>
            <w:r>
              <w:rPr>
                <w:noProof/>
                <w:sz w:val="16"/>
                <w:szCs w:val="16"/>
                <w:lang w:val="fr-BE"/>
              </w:rPr>
              <w:t>F</w:t>
            </w:r>
          </w:p>
        </w:tc>
        <w:tc>
          <w:tcPr>
            <w:tcW w:w="0" w:type="auto"/>
            <w:shd w:val="clear" w:color="auto" w:fill="auto"/>
          </w:tcPr>
          <w:p w14:paraId="00F9EB2F" w14:textId="77777777" w:rsidR="008C5CFA" w:rsidRPr="0024468B" w:rsidRDefault="00E82A60" w:rsidP="00300A01">
            <w:pPr>
              <w:spacing w:before="0" w:after="0"/>
              <w:rPr>
                <w:sz w:val="16"/>
                <w:szCs w:val="16"/>
                <w:lang w:val="fr-BE"/>
              </w:rPr>
            </w:pPr>
            <w:r w:rsidRPr="0024468B">
              <w:rPr>
                <w:noProof/>
                <w:sz w:val="16"/>
                <w:szCs w:val="16"/>
                <w:lang w:val="fr-BE"/>
              </w:rPr>
              <w:t>CO29</w:t>
            </w:r>
          </w:p>
        </w:tc>
        <w:tc>
          <w:tcPr>
            <w:tcW w:w="0" w:type="auto"/>
            <w:shd w:val="clear" w:color="auto" w:fill="auto"/>
          </w:tcPr>
          <w:p w14:paraId="0EC00E1E" w14:textId="77777777" w:rsidR="008C5CFA" w:rsidRPr="0024468B" w:rsidRDefault="00E82A60" w:rsidP="00300A01">
            <w:pPr>
              <w:spacing w:before="0" w:after="0"/>
              <w:rPr>
                <w:sz w:val="16"/>
                <w:szCs w:val="16"/>
                <w:lang w:val="fr-BE"/>
              </w:rPr>
            </w:pPr>
            <w:r w:rsidRPr="0024468B">
              <w:rPr>
                <w:noProof/>
                <w:sz w:val="16"/>
                <w:szCs w:val="16"/>
                <w:lang w:val="fr-BE"/>
              </w:rPr>
              <w:t>Badania i innowacje: liczba przedsiębiorstw objętych wsparciem w celu wprowadzenia produktów nowych dla firmy</w:t>
            </w:r>
          </w:p>
        </w:tc>
        <w:tc>
          <w:tcPr>
            <w:tcW w:w="0" w:type="auto"/>
          </w:tcPr>
          <w:p w14:paraId="78EA5689"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5106AF9B"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088BA9D9"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70FFA9D1"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1B22BBC7"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1E8A76B8"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r w:rsidR="006B2EC1" w14:paraId="2656C513" w14:textId="77777777" w:rsidTr="0047688D">
        <w:tc>
          <w:tcPr>
            <w:tcW w:w="0" w:type="auto"/>
          </w:tcPr>
          <w:p w14:paraId="33E16DB5" w14:textId="77777777" w:rsidR="008C5CFA" w:rsidRPr="0024468B" w:rsidRDefault="00E82A60" w:rsidP="00300A01">
            <w:pPr>
              <w:spacing w:before="0" w:after="0"/>
              <w:rPr>
                <w:sz w:val="16"/>
                <w:szCs w:val="16"/>
                <w:lang w:val="fr-BE"/>
              </w:rPr>
            </w:pPr>
            <w:r>
              <w:rPr>
                <w:noProof/>
                <w:sz w:val="16"/>
                <w:szCs w:val="16"/>
                <w:lang w:val="fr-BE"/>
              </w:rPr>
              <w:t>S</w:t>
            </w:r>
          </w:p>
        </w:tc>
        <w:tc>
          <w:tcPr>
            <w:tcW w:w="0" w:type="auto"/>
            <w:shd w:val="clear" w:color="auto" w:fill="auto"/>
          </w:tcPr>
          <w:p w14:paraId="6A3A90B8" w14:textId="77777777" w:rsidR="008C5CFA" w:rsidRPr="0024468B" w:rsidRDefault="00E82A60" w:rsidP="00300A01">
            <w:pPr>
              <w:spacing w:before="0" w:after="0"/>
              <w:rPr>
                <w:sz w:val="16"/>
                <w:szCs w:val="16"/>
                <w:lang w:val="fr-BE"/>
              </w:rPr>
            </w:pPr>
            <w:r w:rsidRPr="0024468B">
              <w:rPr>
                <w:noProof/>
                <w:sz w:val="16"/>
                <w:szCs w:val="16"/>
                <w:lang w:val="fr-BE"/>
              </w:rPr>
              <w:t>CO29</w:t>
            </w:r>
          </w:p>
        </w:tc>
        <w:tc>
          <w:tcPr>
            <w:tcW w:w="0" w:type="auto"/>
            <w:shd w:val="clear" w:color="auto" w:fill="auto"/>
          </w:tcPr>
          <w:p w14:paraId="63CEC61F" w14:textId="77777777" w:rsidR="008C5CFA" w:rsidRPr="0024468B" w:rsidRDefault="00E82A60" w:rsidP="00300A01">
            <w:pPr>
              <w:spacing w:before="0" w:after="0"/>
              <w:rPr>
                <w:sz w:val="16"/>
                <w:szCs w:val="16"/>
                <w:lang w:val="fr-BE"/>
              </w:rPr>
            </w:pPr>
            <w:r w:rsidRPr="0024468B">
              <w:rPr>
                <w:noProof/>
                <w:sz w:val="16"/>
                <w:szCs w:val="16"/>
                <w:lang w:val="fr-BE"/>
              </w:rPr>
              <w:t>Badania i innowacje: liczba przedsiębiorstw objętych wsparciem w celu wprowadzenia produktów nowych dla firmy</w:t>
            </w:r>
          </w:p>
        </w:tc>
        <w:tc>
          <w:tcPr>
            <w:tcW w:w="0" w:type="auto"/>
          </w:tcPr>
          <w:p w14:paraId="0E9386F4"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4CAD0380"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246C1C92"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6290C310"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6698153A"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737338CB"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bl>
    <w:p w14:paraId="69D33128" w14:textId="77777777" w:rsidR="008C5CFA" w:rsidRDefault="008C5CFA" w:rsidP="00300A01">
      <w:pPr>
        <w:spacing w:before="0" w:after="0"/>
        <w:rPr>
          <w:lang w:val="fr-BE"/>
        </w:rPr>
      </w:pPr>
    </w:p>
    <w:p w14:paraId="6611C1C4" w14:textId="77777777" w:rsidR="008C5CFA" w:rsidRDefault="008C5CFA" w:rsidP="00300A01">
      <w:pPr>
        <w:spacing w:before="0" w:after="0"/>
        <w:rPr>
          <w:lang w:val="fr-BE"/>
        </w:rPr>
      </w:pPr>
    </w:p>
    <w:p w14:paraId="52436E2B" w14:textId="77777777" w:rsidR="008C5CFA" w:rsidRDefault="00E82A60" w:rsidP="00300A01">
      <w:pPr>
        <w:spacing w:before="0" w:after="0"/>
        <w:rPr>
          <w:lang w:val="fr-BE"/>
        </w:rPr>
      </w:pPr>
      <w:r>
        <w:rPr>
          <w:lang w:val="fr-BE"/>
        </w:rPr>
        <w:br w:type="page"/>
      </w:r>
    </w:p>
    <w:p w14:paraId="7FE64C05"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0"/>
        <w:gridCol w:w="12334"/>
      </w:tblGrid>
      <w:tr w:rsidR="006B2EC1" w14:paraId="061DBF5F" w14:textId="77777777" w:rsidTr="0047688D">
        <w:tc>
          <w:tcPr>
            <w:tcW w:w="0" w:type="auto"/>
            <w:shd w:val="clear" w:color="auto" w:fill="auto"/>
          </w:tcPr>
          <w:p w14:paraId="40FF6B4E" w14:textId="77777777" w:rsidR="008C5CFA" w:rsidRPr="002124FC" w:rsidRDefault="00E82A60" w:rsidP="00300A01">
            <w:pPr>
              <w:spacing w:before="0" w:after="0"/>
              <w:rPr>
                <w:sz w:val="20"/>
                <w:szCs w:val="20"/>
                <w:lang w:val="fr-BE"/>
              </w:rPr>
            </w:pPr>
            <w:r>
              <w:rPr>
                <w:lang w:val="fr-BE"/>
              </w:rPr>
              <w:br w:type="page"/>
            </w:r>
            <w:r>
              <w:rPr>
                <w:lang w:val="fr-BE"/>
              </w:rPr>
              <w:br w:type="page"/>
            </w:r>
            <w:r>
              <w:rPr>
                <w:lang w:val="fr-BE"/>
              </w:rPr>
              <w:br w:type="page"/>
            </w:r>
            <w:r w:rsidRPr="002124FC">
              <w:rPr>
                <w:noProof/>
                <w:sz w:val="20"/>
                <w:szCs w:val="20"/>
                <w:lang w:val="fr-BE"/>
              </w:rPr>
              <w:t>Oś priorytetowa</w:t>
            </w:r>
          </w:p>
        </w:tc>
        <w:tc>
          <w:tcPr>
            <w:tcW w:w="0" w:type="auto"/>
            <w:shd w:val="clear" w:color="auto" w:fill="auto"/>
          </w:tcPr>
          <w:p w14:paraId="21C4632F" w14:textId="77777777" w:rsidR="008C5CFA" w:rsidRPr="002124FC" w:rsidRDefault="00E82A60" w:rsidP="00300A01">
            <w:pPr>
              <w:spacing w:before="0" w:after="0"/>
              <w:rPr>
                <w:sz w:val="20"/>
                <w:szCs w:val="20"/>
                <w:lang w:val="fr-BE"/>
              </w:rPr>
            </w:pPr>
            <w:r>
              <w:rPr>
                <w:noProof/>
                <w:sz w:val="20"/>
                <w:szCs w:val="20"/>
                <w:lang w:val="fr-BE"/>
              </w:rPr>
              <w:t>2</w:t>
            </w:r>
            <w:r w:rsidRPr="002124FC">
              <w:rPr>
                <w:sz w:val="20"/>
                <w:szCs w:val="20"/>
                <w:lang w:val="fr-BE"/>
              </w:rPr>
              <w:t xml:space="preserve"> - </w:t>
            </w:r>
            <w:r>
              <w:rPr>
                <w:noProof/>
                <w:sz w:val="20"/>
                <w:szCs w:val="20"/>
                <w:lang w:val="fr-BE"/>
              </w:rPr>
              <w:t>Konkurencyjna gospodarka</w:t>
            </w:r>
          </w:p>
        </w:tc>
      </w:tr>
      <w:tr w:rsidR="006B2EC1" w14:paraId="19DBF9EB" w14:textId="77777777" w:rsidTr="0047688D">
        <w:tc>
          <w:tcPr>
            <w:tcW w:w="0" w:type="auto"/>
            <w:shd w:val="clear" w:color="auto" w:fill="auto"/>
          </w:tcPr>
          <w:p w14:paraId="3E4342F4" w14:textId="77777777" w:rsidR="008C5CFA" w:rsidRPr="002124FC" w:rsidRDefault="00E82A60"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14:paraId="356C6142" w14:textId="77777777" w:rsidR="008C5CFA" w:rsidRPr="002124FC" w:rsidRDefault="00E82A60" w:rsidP="00300A01">
            <w:pPr>
              <w:spacing w:before="0" w:after="0"/>
              <w:rPr>
                <w:sz w:val="20"/>
                <w:szCs w:val="20"/>
                <w:lang w:val="fr-BE"/>
              </w:rPr>
            </w:pPr>
            <w:r w:rsidRPr="002124FC">
              <w:rPr>
                <w:noProof/>
                <w:sz w:val="20"/>
                <w:szCs w:val="20"/>
                <w:lang w:val="fr-BE"/>
              </w:rPr>
              <w:t>3c</w:t>
            </w:r>
            <w:r w:rsidRPr="002124FC">
              <w:rPr>
                <w:sz w:val="20"/>
                <w:szCs w:val="20"/>
                <w:lang w:val="fr-BE"/>
              </w:rPr>
              <w:t xml:space="preserve"> - </w:t>
            </w:r>
            <w:r>
              <w:rPr>
                <w:noProof/>
                <w:sz w:val="20"/>
                <w:szCs w:val="20"/>
                <w:lang w:val="fr-BE"/>
              </w:rPr>
              <w:t>Wspieranie tworzenia i poszerzania zaawansowanych zdolności w zakresie rozwoju produktów i usług</w:t>
            </w:r>
          </w:p>
        </w:tc>
      </w:tr>
      <w:tr w:rsidR="006B2EC1" w14:paraId="121BA741" w14:textId="77777777" w:rsidTr="0047688D">
        <w:tc>
          <w:tcPr>
            <w:tcW w:w="0" w:type="auto"/>
            <w:shd w:val="clear" w:color="auto" w:fill="auto"/>
          </w:tcPr>
          <w:p w14:paraId="270F7727" w14:textId="77777777" w:rsidR="008C5CFA" w:rsidRPr="002124FC" w:rsidRDefault="00E82A60" w:rsidP="00300A01">
            <w:pPr>
              <w:spacing w:before="0" w:after="0"/>
              <w:ind w:left="113" w:hanging="113"/>
              <w:rPr>
                <w:sz w:val="20"/>
                <w:szCs w:val="20"/>
                <w:lang w:val="fr-BE"/>
              </w:rPr>
            </w:pPr>
            <w:r>
              <w:rPr>
                <w:noProof/>
                <w:sz w:val="20"/>
                <w:szCs w:val="20"/>
                <w:lang w:val="fr-BE"/>
              </w:rPr>
              <w:t>Cel szczegółowy</w:t>
            </w:r>
          </w:p>
        </w:tc>
        <w:tc>
          <w:tcPr>
            <w:tcW w:w="0" w:type="auto"/>
            <w:shd w:val="clear" w:color="auto" w:fill="auto"/>
          </w:tcPr>
          <w:p w14:paraId="175AD149" w14:textId="77777777" w:rsidR="008C5CFA" w:rsidRPr="002124FC" w:rsidRDefault="00E82A60" w:rsidP="00300A01">
            <w:pPr>
              <w:spacing w:before="0" w:after="0"/>
              <w:rPr>
                <w:sz w:val="20"/>
                <w:szCs w:val="20"/>
                <w:lang w:val="fr-BE"/>
              </w:rPr>
            </w:pPr>
            <w:r>
              <w:rPr>
                <w:noProof/>
                <w:sz w:val="20"/>
                <w:szCs w:val="20"/>
                <w:lang w:val="fr-BE"/>
              </w:rPr>
              <w:t>1</w:t>
            </w:r>
            <w:r>
              <w:rPr>
                <w:sz w:val="20"/>
                <w:szCs w:val="20"/>
                <w:lang w:val="fr-BE"/>
              </w:rPr>
              <w:t xml:space="preserve"> - </w:t>
            </w:r>
            <w:r>
              <w:rPr>
                <w:noProof/>
                <w:sz w:val="20"/>
                <w:szCs w:val="20"/>
                <w:lang w:val="fr-BE"/>
              </w:rPr>
              <w:t>Zwiększone zastosowanie innowacji w przedsiębiorstwach sektora MŚP.</w:t>
            </w:r>
          </w:p>
        </w:tc>
      </w:tr>
    </w:tbl>
    <w:p w14:paraId="49EC11E6" w14:textId="77777777" w:rsidR="008C5CFA" w:rsidRDefault="008C5CFA" w:rsidP="00300A01">
      <w:pPr>
        <w:spacing w:before="0" w:after="0"/>
        <w:rPr>
          <w:lang w:val="fr-BE"/>
        </w:rPr>
      </w:pPr>
    </w:p>
    <w:p w14:paraId="0077819F" w14:textId="77777777" w:rsidR="008C5CFA" w:rsidRDefault="00E82A60" w:rsidP="00300A01">
      <w:pPr>
        <w:spacing w:before="0" w:after="0"/>
        <w:rPr>
          <w:lang w:val="fr-BE"/>
        </w:rPr>
      </w:pPr>
      <w:r>
        <w:rPr>
          <w:lang w:val="fr-BE"/>
        </w:rPr>
        <w:t xml:space="preserve">Tabela 1: Wskaźniki rezultatu dla EFRR i Funduszu Spójności (według osi priorytetowej i celu szczegółowego); ma zastosowanie także do osi priorytetowej </w:t>
      </w:r>
      <w:r>
        <w:t>"</w:t>
      </w:r>
      <w:r>
        <w:rPr>
          <w:lang w:val="fr-BE"/>
        </w:rPr>
        <w:t>Pomoc techniczna</w:t>
      </w:r>
      <w:r>
        <w:t>"</w:t>
      </w:r>
    </w:p>
    <w:p w14:paraId="03B454CE"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4181"/>
        <w:gridCol w:w="1041"/>
        <w:gridCol w:w="1118"/>
        <w:gridCol w:w="996"/>
        <w:gridCol w:w="857"/>
        <w:gridCol w:w="1265"/>
        <w:gridCol w:w="900"/>
        <w:gridCol w:w="1122"/>
        <w:gridCol w:w="3248"/>
      </w:tblGrid>
      <w:tr w:rsidR="006B2EC1" w14:paraId="49837DD1" w14:textId="77777777" w:rsidTr="0047688D">
        <w:tc>
          <w:tcPr>
            <w:tcW w:w="0" w:type="auto"/>
            <w:shd w:val="clear" w:color="auto" w:fill="auto"/>
          </w:tcPr>
          <w:p w14:paraId="3826247A" w14:textId="77777777" w:rsidR="008C5CFA" w:rsidRPr="0024468B" w:rsidRDefault="00E82A60" w:rsidP="00300A01">
            <w:pPr>
              <w:spacing w:before="0" w:after="0"/>
              <w:rPr>
                <w:sz w:val="16"/>
                <w:szCs w:val="16"/>
                <w:lang w:val="fr-BE"/>
              </w:rPr>
            </w:pPr>
            <w:r w:rsidRPr="0024468B">
              <w:rPr>
                <w:noProof/>
                <w:sz w:val="16"/>
                <w:szCs w:val="16"/>
                <w:lang w:val="fr-BE"/>
              </w:rPr>
              <w:t>ID</w:t>
            </w:r>
          </w:p>
        </w:tc>
        <w:tc>
          <w:tcPr>
            <w:tcW w:w="0" w:type="auto"/>
            <w:shd w:val="clear" w:color="auto" w:fill="auto"/>
          </w:tcPr>
          <w:p w14:paraId="2A521FCA" w14:textId="77777777" w:rsidR="008C5CFA" w:rsidRPr="0024468B" w:rsidRDefault="00E82A60" w:rsidP="00300A01">
            <w:pPr>
              <w:spacing w:before="0" w:after="0"/>
              <w:rPr>
                <w:sz w:val="16"/>
                <w:szCs w:val="16"/>
                <w:lang w:val="fr-BE"/>
              </w:rPr>
            </w:pPr>
            <w:r w:rsidRPr="0024468B">
              <w:rPr>
                <w:noProof/>
                <w:sz w:val="16"/>
                <w:szCs w:val="16"/>
                <w:lang w:val="fr-BE"/>
              </w:rPr>
              <w:t>Wskaźnik</w:t>
            </w:r>
          </w:p>
        </w:tc>
        <w:tc>
          <w:tcPr>
            <w:tcW w:w="0" w:type="auto"/>
            <w:shd w:val="clear" w:color="auto" w:fill="auto"/>
          </w:tcPr>
          <w:p w14:paraId="2B9A5D34" w14:textId="77777777" w:rsidR="008C5CFA" w:rsidRPr="0024468B" w:rsidRDefault="00E82A60" w:rsidP="00300A01">
            <w:pPr>
              <w:spacing w:before="0" w:after="0"/>
              <w:rPr>
                <w:sz w:val="16"/>
                <w:szCs w:val="16"/>
                <w:lang w:val="fr-BE"/>
              </w:rPr>
            </w:pPr>
            <w:r w:rsidRPr="0024468B">
              <w:rPr>
                <w:noProof/>
                <w:sz w:val="16"/>
                <w:szCs w:val="16"/>
                <w:lang w:val="fr-BE"/>
              </w:rPr>
              <w:t>Jednostka miary</w:t>
            </w:r>
          </w:p>
        </w:tc>
        <w:tc>
          <w:tcPr>
            <w:tcW w:w="0" w:type="auto"/>
            <w:shd w:val="clear" w:color="auto" w:fill="auto"/>
          </w:tcPr>
          <w:p w14:paraId="5BF65F0B" w14:textId="77777777" w:rsidR="008C5CFA" w:rsidRPr="0024468B" w:rsidRDefault="00E82A60" w:rsidP="00300A01">
            <w:pPr>
              <w:spacing w:before="0" w:after="0"/>
              <w:rPr>
                <w:sz w:val="16"/>
                <w:szCs w:val="16"/>
                <w:lang w:val="fr-BE"/>
              </w:rPr>
            </w:pPr>
            <w:r w:rsidRPr="0024468B">
              <w:rPr>
                <w:noProof/>
                <w:sz w:val="16"/>
                <w:szCs w:val="16"/>
                <w:lang w:val="fr-BE"/>
              </w:rPr>
              <w:t>Kategoria regionu</w:t>
            </w:r>
          </w:p>
        </w:tc>
        <w:tc>
          <w:tcPr>
            <w:tcW w:w="0" w:type="auto"/>
            <w:shd w:val="clear" w:color="auto" w:fill="auto"/>
          </w:tcPr>
          <w:p w14:paraId="15A909F5" w14:textId="77777777" w:rsidR="008C5CFA" w:rsidRPr="0024468B" w:rsidRDefault="00E82A60" w:rsidP="00300A01">
            <w:pPr>
              <w:spacing w:before="0" w:after="0"/>
              <w:rPr>
                <w:sz w:val="16"/>
                <w:szCs w:val="16"/>
                <w:lang w:val="fr-BE"/>
              </w:rPr>
            </w:pPr>
            <w:r w:rsidRPr="0024468B">
              <w:rPr>
                <w:noProof/>
                <w:sz w:val="16"/>
                <w:szCs w:val="16"/>
                <w:lang w:val="fr-BE"/>
              </w:rPr>
              <w:t>Wartość bazowa</w:t>
            </w:r>
          </w:p>
        </w:tc>
        <w:tc>
          <w:tcPr>
            <w:tcW w:w="0" w:type="auto"/>
            <w:shd w:val="clear" w:color="auto" w:fill="auto"/>
          </w:tcPr>
          <w:p w14:paraId="10EFB122" w14:textId="77777777" w:rsidR="008C5CFA" w:rsidRPr="0024468B" w:rsidRDefault="00E82A60" w:rsidP="00300A01">
            <w:pPr>
              <w:spacing w:before="0" w:after="0"/>
              <w:rPr>
                <w:sz w:val="16"/>
                <w:szCs w:val="16"/>
                <w:lang w:val="fr-BE"/>
              </w:rPr>
            </w:pPr>
            <w:r w:rsidRPr="0024468B">
              <w:rPr>
                <w:noProof/>
                <w:sz w:val="16"/>
                <w:szCs w:val="16"/>
                <w:lang w:val="fr-BE"/>
              </w:rPr>
              <w:t>Rok bazowy</w:t>
            </w:r>
          </w:p>
        </w:tc>
        <w:tc>
          <w:tcPr>
            <w:tcW w:w="0" w:type="auto"/>
            <w:shd w:val="clear" w:color="auto" w:fill="auto"/>
          </w:tcPr>
          <w:p w14:paraId="566B1082" w14:textId="77777777" w:rsidR="008C5CFA" w:rsidRPr="0024468B" w:rsidRDefault="00E82A60" w:rsidP="00300A01">
            <w:pPr>
              <w:spacing w:before="0" w:after="0"/>
              <w:rPr>
                <w:sz w:val="16"/>
                <w:szCs w:val="16"/>
                <w:lang w:val="fr-BE"/>
              </w:rPr>
            </w:pPr>
            <w:r w:rsidRPr="0024468B">
              <w:rPr>
                <w:noProof/>
                <w:sz w:val="16"/>
                <w:szCs w:val="16"/>
                <w:lang w:val="fr-BE"/>
              </w:rPr>
              <w:t>Wartość docelowa 2023</w:t>
            </w:r>
          </w:p>
        </w:tc>
        <w:tc>
          <w:tcPr>
            <w:tcW w:w="0" w:type="auto"/>
            <w:shd w:val="clear" w:color="auto" w:fill="auto"/>
          </w:tcPr>
          <w:p w14:paraId="64653D0A" w14:textId="77777777" w:rsidR="008C5CFA" w:rsidRPr="0024468B" w:rsidRDefault="00E82A60" w:rsidP="00300A01">
            <w:pPr>
              <w:spacing w:before="0" w:after="0"/>
              <w:jc w:val="center"/>
              <w:rPr>
                <w:sz w:val="16"/>
                <w:szCs w:val="16"/>
                <w:lang w:val="fr-BE"/>
              </w:rPr>
            </w:pPr>
            <w:r>
              <w:rPr>
                <w:sz w:val="16"/>
                <w:szCs w:val="16"/>
                <w:lang w:val="fr-BE"/>
              </w:rPr>
              <w:t xml:space="preserve">2019 </w:t>
            </w:r>
            <w:r>
              <w:rPr>
                <w:noProof/>
                <w:sz w:val="16"/>
                <w:szCs w:val="16"/>
                <w:lang w:val="fr-BE"/>
              </w:rPr>
              <w:t>Ogółem</w:t>
            </w:r>
          </w:p>
        </w:tc>
        <w:tc>
          <w:tcPr>
            <w:tcW w:w="0" w:type="auto"/>
            <w:shd w:val="clear" w:color="auto" w:fill="auto"/>
          </w:tcPr>
          <w:p w14:paraId="1AE3A577" w14:textId="77777777" w:rsidR="008C5CFA" w:rsidRPr="0024468B" w:rsidRDefault="00E82A60" w:rsidP="00300A01">
            <w:pPr>
              <w:spacing w:before="0" w:after="0"/>
              <w:jc w:val="center"/>
              <w:rPr>
                <w:sz w:val="16"/>
                <w:szCs w:val="16"/>
                <w:lang w:val="fr-BE"/>
              </w:rPr>
            </w:pPr>
            <w:r>
              <w:rPr>
                <w:sz w:val="16"/>
                <w:szCs w:val="16"/>
                <w:lang w:val="fr-BE"/>
              </w:rPr>
              <w:t xml:space="preserve">2019 </w:t>
            </w:r>
            <w:r w:rsidRPr="0024468B">
              <w:rPr>
                <w:noProof/>
                <w:sz w:val="16"/>
                <w:szCs w:val="16"/>
                <w:lang w:val="fr-BE"/>
              </w:rPr>
              <w:t>Jakościowe</w:t>
            </w:r>
          </w:p>
        </w:tc>
        <w:tc>
          <w:tcPr>
            <w:tcW w:w="0" w:type="auto"/>
            <w:shd w:val="clear" w:color="auto" w:fill="auto"/>
          </w:tcPr>
          <w:p w14:paraId="2A4F913C" w14:textId="77777777" w:rsidR="008C5CFA" w:rsidRPr="0024468B" w:rsidRDefault="00E82A60" w:rsidP="00300A01">
            <w:pPr>
              <w:spacing w:before="0" w:after="0"/>
              <w:jc w:val="center"/>
              <w:rPr>
                <w:sz w:val="16"/>
                <w:szCs w:val="16"/>
                <w:lang w:val="fr-BE"/>
              </w:rPr>
            </w:pPr>
            <w:r w:rsidRPr="0024468B">
              <w:rPr>
                <w:noProof/>
                <w:sz w:val="16"/>
                <w:szCs w:val="16"/>
                <w:lang w:val="fr-BE"/>
              </w:rPr>
              <w:t>Uwagi</w:t>
            </w:r>
          </w:p>
        </w:tc>
      </w:tr>
      <w:tr w:rsidR="006B2EC1" w14:paraId="529E4009" w14:textId="77777777" w:rsidTr="0047688D">
        <w:tc>
          <w:tcPr>
            <w:tcW w:w="0" w:type="auto"/>
            <w:shd w:val="clear" w:color="auto" w:fill="auto"/>
          </w:tcPr>
          <w:p w14:paraId="547E9EA8" w14:textId="77777777" w:rsidR="008C5CFA" w:rsidRPr="0024468B" w:rsidRDefault="00E82A60" w:rsidP="00300A01">
            <w:pPr>
              <w:spacing w:before="0" w:after="0"/>
              <w:rPr>
                <w:sz w:val="16"/>
                <w:szCs w:val="16"/>
                <w:lang w:val="fr-BE"/>
              </w:rPr>
            </w:pPr>
            <w:r w:rsidRPr="0024468B">
              <w:rPr>
                <w:noProof/>
                <w:sz w:val="16"/>
                <w:szCs w:val="16"/>
                <w:lang w:val="fr-BE"/>
              </w:rPr>
              <w:t>039</w:t>
            </w:r>
          </w:p>
        </w:tc>
        <w:tc>
          <w:tcPr>
            <w:tcW w:w="0" w:type="auto"/>
            <w:shd w:val="clear" w:color="auto" w:fill="auto"/>
          </w:tcPr>
          <w:p w14:paraId="189963CF" w14:textId="77777777" w:rsidR="008C5CFA" w:rsidRPr="0024468B" w:rsidRDefault="00E82A60" w:rsidP="00300A01">
            <w:pPr>
              <w:spacing w:before="0" w:after="0"/>
              <w:rPr>
                <w:sz w:val="16"/>
                <w:szCs w:val="16"/>
                <w:lang w:val="fr-BE"/>
              </w:rPr>
            </w:pPr>
            <w:r w:rsidRPr="0024468B">
              <w:rPr>
                <w:noProof/>
                <w:sz w:val="16"/>
                <w:szCs w:val="16"/>
                <w:lang w:val="fr-BE"/>
              </w:rPr>
              <w:t>Średni udział przedsiębiorstw innowacyjnych - w ogólnej liczbie przedsiębiorstw przemysłowych i z sektora usług</w:t>
            </w:r>
          </w:p>
        </w:tc>
        <w:tc>
          <w:tcPr>
            <w:tcW w:w="0" w:type="auto"/>
            <w:shd w:val="clear" w:color="auto" w:fill="auto"/>
          </w:tcPr>
          <w:p w14:paraId="4F96A855" w14:textId="77777777" w:rsidR="008C5CFA" w:rsidRPr="0024468B" w:rsidRDefault="00E82A60" w:rsidP="00300A01">
            <w:pPr>
              <w:spacing w:before="0" w:after="0"/>
              <w:rPr>
                <w:sz w:val="16"/>
                <w:szCs w:val="16"/>
                <w:lang w:val="fr-BE"/>
              </w:rPr>
            </w:pPr>
            <w:r w:rsidRPr="0024468B">
              <w:rPr>
                <w:noProof/>
                <w:sz w:val="16"/>
                <w:szCs w:val="16"/>
                <w:lang w:val="fr-BE"/>
              </w:rPr>
              <w:t>%</w:t>
            </w:r>
          </w:p>
        </w:tc>
        <w:tc>
          <w:tcPr>
            <w:tcW w:w="0" w:type="auto"/>
            <w:shd w:val="clear" w:color="auto" w:fill="auto"/>
          </w:tcPr>
          <w:p w14:paraId="61C49E31" w14:textId="77777777" w:rsidR="008C5CFA" w:rsidRPr="0024468B" w:rsidRDefault="00E82A60"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14:paraId="4EF5AB6C" w14:textId="77777777" w:rsidR="008C5CFA" w:rsidRPr="00C3185A" w:rsidRDefault="00E82A60" w:rsidP="00300A01">
            <w:pPr>
              <w:spacing w:before="0" w:after="0"/>
              <w:jc w:val="right"/>
              <w:rPr>
                <w:sz w:val="16"/>
                <w:szCs w:val="16"/>
                <w:lang w:val="fr-BE"/>
              </w:rPr>
            </w:pPr>
            <w:r w:rsidRPr="00C3185A">
              <w:rPr>
                <w:noProof/>
                <w:sz w:val="16"/>
                <w:szCs w:val="16"/>
                <w:lang w:val="fr-BE"/>
              </w:rPr>
              <w:t>13,30</w:t>
            </w:r>
          </w:p>
        </w:tc>
        <w:tc>
          <w:tcPr>
            <w:tcW w:w="0" w:type="auto"/>
            <w:shd w:val="clear" w:color="auto" w:fill="auto"/>
          </w:tcPr>
          <w:p w14:paraId="41BE1E1C" w14:textId="77777777" w:rsidR="008C5CFA" w:rsidRPr="0024468B" w:rsidRDefault="00E82A60" w:rsidP="00300A01">
            <w:pPr>
              <w:spacing w:before="0" w:after="0"/>
              <w:rPr>
                <w:sz w:val="16"/>
                <w:szCs w:val="16"/>
                <w:lang w:val="fr-BE"/>
              </w:rPr>
            </w:pPr>
            <w:r w:rsidRPr="0024468B">
              <w:rPr>
                <w:noProof/>
                <w:sz w:val="16"/>
                <w:szCs w:val="16"/>
                <w:lang w:val="fr-BE"/>
              </w:rPr>
              <w:t>2012</w:t>
            </w:r>
          </w:p>
        </w:tc>
        <w:tc>
          <w:tcPr>
            <w:tcW w:w="0" w:type="auto"/>
            <w:shd w:val="clear" w:color="auto" w:fill="auto"/>
          </w:tcPr>
          <w:p w14:paraId="3595E3C7" w14:textId="77777777" w:rsidR="008C5CFA" w:rsidRPr="0024468B" w:rsidRDefault="00E82A60" w:rsidP="00300A01">
            <w:pPr>
              <w:spacing w:before="0" w:after="0"/>
              <w:jc w:val="right"/>
              <w:rPr>
                <w:sz w:val="16"/>
                <w:szCs w:val="16"/>
                <w:lang w:val="fr-BE"/>
              </w:rPr>
            </w:pPr>
            <w:r w:rsidRPr="0024468B">
              <w:rPr>
                <w:noProof/>
                <w:sz w:val="16"/>
                <w:szCs w:val="16"/>
                <w:lang w:val="fr-BE"/>
              </w:rPr>
              <w:t>13,90</w:t>
            </w:r>
          </w:p>
        </w:tc>
        <w:tc>
          <w:tcPr>
            <w:tcW w:w="0" w:type="auto"/>
            <w:shd w:val="clear" w:color="auto" w:fill="auto"/>
          </w:tcPr>
          <w:p w14:paraId="52500755"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63363100" w14:textId="77777777" w:rsidR="008C5CFA" w:rsidRPr="0024468B" w:rsidRDefault="008C5CFA" w:rsidP="00300A01">
            <w:pPr>
              <w:spacing w:before="0" w:after="0"/>
              <w:jc w:val="right"/>
              <w:rPr>
                <w:sz w:val="16"/>
                <w:szCs w:val="16"/>
                <w:lang w:val="fr-BE"/>
              </w:rPr>
            </w:pPr>
          </w:p>
        </w:tc>
        <w:tc>
          <w:tcPr>
            <w:tcW w:w="0" w:type="auto"/>
            <w:shd w:val="clear" w:color="auto" w:fill="auto"/>
          </w:tcPr>
          <w:p w14:paraId="3102C722" w14:textId="77777777" w:rsidR="008C5CFA" w:rsidRPr="0024468B" w:rsidRDefault="00E82A60" w:rsidP="00300A01">
            <w:pPr>
              <w:spacing w:before="0" w:after="0"/>
              <w:rPr>
                <w:sz w:val="16"/>
                <w:szCs w:val="16"/>
                <w:lang w:val="fr-BE"/>
              </w:rPr>
            </w:pPr>
            <w:r w:rsidRPr="0024468B">
              <w:rPr>
                <w:noProof/>
                <w:sz w:val="16"/>
                <w:szCs w:val="16"/>
                <w:lang w:val="fr-BE"/>
              </w:rPr>
              <w:t>Brak aktualnych danych dostępnych w statystykach publicznych (systemie STRATEG)</w:t>
            </w:r>
          </w:p>
        </w:tc>
      </w:tr>
    </w:tbl>
    <w:p w14:paraId="1C0B8D90"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5872"/>
        <w:gridCol w:w="996"/>
        <w:gridCol w:w="1218"/>
        <w:gridCol w:w="996"/>
        <w:gridCol w:w="1218"/>
        <w:gridCol w:w="996"/>
        <w:gridCol w:w="1218"/>
        <w:gridCol w:w="996"/>
        <w:gridCol w:w="1218"/>
      </w:tblGrid>
      <w:tr w:rsidR="006B2EC1" w14:paraId="78E66227" w14:textId="77777777" w:rsidTr="0047688D">
        <w:tc>
          <w:tcPr>
            <w:tcW w:w="0" w:type="auto"/>
            <w:shd w:val="clear" w:color="auto" w:fill="auto"/>
          </w:tcPr>
          <w:p w14:paraId="02427D32" w14:textId="77777777" w:rsidR="008C5CFA" w:rsidRPr="0024468B" w:rsidRDefault="00E82A60" w:rsidP="00300A01">
            <w:pPr>
              <w:spacing w:before="0" w:after="0"/>
              <w:rPr>
                <w:sz w:val="16"/>
                <w:szCs w:val="16"/>
                <w:lang w:val="fr-BE"/>
              </w:rPr>
            </w:pPr>
            <w:r w:rsidRPr="0024468B">
              <w:rPr>
                <w:noProof/>
                <w:sz w:val="16"/>
                <w:szCs w:val="16"/>
                <w:lang w:val="fr-BE"/>
              </w:rPr>
              <w:t>ID</w:t>
            </w:r>
          </w:p>
        </w:tc>
        <w:tc>
          <w:tcPr>
            <w:tcW w:w="0" w:type="auto"/>
            <w:shd w:val="clear" w:color="auto" w:fill="auto"/>
          </w:tcPr>
          <w:p w14:paraId="4BC99D43" w14:textId="77777777" w:rsidR="008C5CFA" w:rsidRPr="0024468B" w:rsidRDefault="00E82A60" w:rsidP="00300A01">
            <w:pPr>
              <w:spacing w:before="0" w:after="0"/>
              <w:rPr>
                <w:sz w:val="16"/>
                <w:szCs w:val="16"/>
                <w:lang w:val="fr-BE"/>
              </w:rPr>
            </w:pPr>
            <w:r w:rsidRPr="0024468B">
              <w:rPr>
                <w:noProof/>
                <w:sz w:val="16"/>
                <w:szCs w:val="16"/>
                <w:lang w:val="fr-BE"/>
              </w:rPr>
              <w:t>Wskaźnik</w:t>
            </w:r>
          </w:p>
        </w:tc>
        <w:tc>
          <w:tcPr>
            <w:tcW w:w="0" w:type="auto"/>
          </w:tcPr>
          <w:p w14:paraId="10A2F2BB" w14:textId="77777777" w:rsidR="008C5CFA" w:rsidRPr="0024468B" w:rsidRDefault="00E82A60" w:rsidP="00300A01">
            <w:pPr>
              <w:spacing w:before="0" w:after="0"/>
              <w:jc w:val="center"/>
              <w:rPr>
                <w:sz w:val="16"/>
                <w:szCs w:val="16"/>
                <w:lang w:val="fr-BE"/>
              </w:rPr>
            </w:pPr>
            <w:r>
              <w:rPr>
                <w:sz w:val="16"/>
                <w:szCs w:val="16"/>
                <w:lang w:val="fr-BE"/>
              </w:rPr>
              <w:t xml:space="preserve">2018 </w:t>
            </w:r>
            <w:r>
              <w:rPr>
                <w:noProof/>
                <w:sz w:val="16"/>
                <w:szCs w:val="16"/>
                <w:lang w:val="fr-BE"/>
              </w:rPr>
              <w:t>Ogółem</w:t>
            </w:r>
          </w:p>
        </w:tc>
        <w:tc>
          <w:tcPr>
            <w:tcW w:w="0" w:type="auto"/>
          </w:tcPr>
          <w:p w14:paraId="56469CD1" w14:textId="77777777" w:rsidR="008C5CFA" w:rsidRPr="0024468B" w:rsidRDefault="00E82A60" w:rsidP="00300A01">
            <w:pPr>
              <w:spacing w:before="0" w:after="0"/>
              <w:jc w:val="center"/>
              <w:rPr>
                <w:sz w:val="16"/>
                <w:szCs w:val="16"/>
                <w:lang w:val="fr-BE"/>
              </w:rPr>
            </w:pPr>
            <w:r>
              <w:rPr>
                <w:sz w:val="16"/>
                <w:szCs w:val="16"/>
                <w:lang w:val="fr-BE"/>
              </w:rPr>
              <w:t xml:space="preserve">2018 </w:t>
            </w:r>
            <w:r w:rsidRPr="0024468B">
              <w:rPr>
                <w:noProof/>
                <w:sz w:val="16"/>
                <w:szCs w:val="16"/>
                <w:lang w:val="fr-BE"/>
              </w:rPr>
              <w:t>Jakościowe</w:t>
            </w:r>
          </w:p>
        </w:tc>
        <w:tc>
          <w:tcPr>
            <w:tcW w:w="0" w:type="auto"/>
          </w:tcPr>
          <w:p w14:paraId="6DFAD032" w14:textId="77777777" w:rsidR="008C5CFA" w:rsidRPr="0024468B" w:rsidRDefault="00E82A60" w:rsidP="00300A01">
            <w:pPr>
              <w:spacing w:before="0" w:after="0"/>
              <w:jc w:val="center"/>
              <w:rPr>
                <w:sz w:val="16"/>
                <w:szCs w:val="16"/>
                <w:lang w:val="fr-BE"/>
              </w:rPr>
            </w:pPr>
            <w:r>
              <w:rPr>
                <w:sz w:val="16"/>
                <w:szCs w:val="16"/>
                <w:lang w:val="fr-BE"/>
              </w:rPr>
              <w:t xml:space="preserve">2017 </w:t>
            </w:r>
            <w:r>
              <w:rPr>
                <w:noProof/>
                <w:sz w:val="16"/>
                <w:szCs w:val="16"/>
                <w:lang w:val="fr-BE"/>
              </w:rPr>
              <w:t>Ogółem</w:t>
            </w:r>
          </w:p>
        </w:tc>
        <w:tc>
          <w:tcPr>
            <w:tcW w:w="0" w:type="auto"/>
          </w:tcPr>
          <w:p w14:paraId="4A11F8F0" w14:textId="77777777" w:rsidR="008C5CFA" w:rsidRPr="0024468B" w:rsidRDefault="00E82A60" w:rsidP="00300A01">
            <w:pPr>
              <w:spacing w:before="0" w:after="0"/>
              <w:jc w:val="center"/>
              <w:rPr>
                <w:sz w:val="16"/>
                <w:szCs w:val="16"/>
                <w:lang w:val="fr-BE"/>
              </w:rPr>
            </w:pPr>
            <w:r>
              <w:rPr>
                <w:sz w:val="16"/>
                <w:szCs w:val="16"/>
                <w:lang w:val="fr-BE"/>
              </w:rPr>
              <w:t xml:space="preserve">2017 </w:t>
            </w:r>
            <w:r w:rsidRPr="0024468B">
              <w:rPr>
                <w:noProof/>
                <w:sz w:val="16"/>
                <w:szCs w:val="16"/>
                <w:lang w:val="fr-BE"/>
              </w:rPr>
              <w:t>Jakościowe</w:t>
            </w:r>
          </w:p>
        </w:tc>
        <w:tc>
          <w:tcPr>
            <w:tcW w:w="0" w:type="auto"/>
          </w:tcPr>
          <w:p w14:paraId="2E87E2E2" w14:textId="77777777" w:rsidR="008C5CFA" w:rsidRPr="0024468B" w:rsidRDefault="00E82A60" w:rsidP="00300A01">
            <w:pPr>
              <w:spacing w:before="0" w:after="0"/>
              <w:jc w:val="center"/>
              <w:rPr>
                <w:sz w:val="16"/>
                <w:szCs w:val="16"/>
                <w:lang w:val="fr-BE"/>
              </w:rPr>
            </w:pPr>
            <w:r>
              <w:rPr>
                <w:sz w:val="16"/>
                <w:szCs w:val="16"/>
                <w:lang w:val="fr-BE"/>
              </w:rPr>
              <w:t xml:space="preserve">2016 </w:t>
            </w:r>
            <w:r>
              <w:rPr>
                <w:noProof/>
                <w:sz w:val="16"/>
                <w:szCs w:val="16"/>
                <w:lang w:val="fr-BE"/>
              </w:rPr>
              <w:t>Ogółem</w:t>
            </w:r>
          </w:p>
        </w:tc>
        <w:tc>
          <w:tcPr>
            <w:tcW w:w="0" w:type="auto"/>
          </w:tcPr>
          <w:p w14:paraId="2E17CDD2" w14:textId="77777777" w:rsidR="008C5CFA" w:rsidRPr="0024468B" w:rsidRDefault="00E82A60" w:rsidP="00300A01">
            <w:pPr>
              <w:spacing w:before="0" w:after="0"/>
              <w:jc w:val="center"/>
              <w:rPr>
                <w:sz w:val="16"/>
                <w:szCs w:val="16"/>
                <w:lang w:val="fr-BE"/>
              </w:rPr>
            </w:pPr>
            <w:r>
              <w:rPr>
                <w:sz w:val="16"/>
                <w:szCs w:val="16"/>
                <w:lang w:val="fr-BE"/>
              </w:rPr>
              <w:t xml:space="preserve">2016 </w:t>
            </w:r>
            <w:r w:rsidRPr="0024468B">
              <w:rPr>
                <w:noProof/>
                <w:sz w:val="16"/>
                <w:szCs w:val="16"/>
                <w:lang w:val="fr-BE"/>
              </w:rPr>
              <w:t>Jakościowe</w:t>
            </w:r>
          </w:p>
        </w:tc>
        <w:tc>
          <w:tcPr>
            <w:tcW w:w="0" w:type="auto"/>
          </w:tcPr>
          <w:p w14:paraId="623FC355" w14:textId="77777777" w:rsidR="008C5CFA" w:rsidRPr="0024468B" w:rsidRDefault="00E82A60" w:rsidP="00300A01">
            <w:pPr>
              <w:spacing w:before="0" w:after="0"/>
              <w:jc w:val="center"/>
              <w:rPr>
                <w:sz w:val="16"/>
                <w:szCs w:val="16"/>
                <w:lang w:val="fr-BE"/>
              </w:rPr>
            </w:pPr>
            <w:r>
              <w:rPr>
                <w:sz w:val="16"/>
                <w:szCs w:val="16"/>
                <w:lang w:val="fr-BE"/>
              </w:rPr>
              <w:t xml:space="preserve">2015 </w:t>
            </w:r>
            <w:r>
              <w:rPr>
                <w:noProof/>
                <w:sz w:val="16"/>
                <w:szCs w:val="16"/>
                <w:lang w:val="fr-BE"/>
              </w:rPr>
              <w:t>Ogółem</w:t>
            </w:r>
          </w:p>
        </w:tc>
        <w:tc>
          <w:tcPr>
            <w:tcW w:w="0" w:type="auto"/>
          </w:tcPr>
          <w:p w14:paraId="4335901C" w14:textId="77777777" w:rsidR="008C5CFA" w:rsidRPr="0024468B" w:rsidRDefault="00E82A60" w:rsidP="00300A01">
            <w:pPr>
              <w:spacing w:before="0" w:after="0"/>
              <w:jc w:val="center"/>
              <w:rPr>
                <w:sz w:val="16"/>
                <w:szCs w:val="16"/>
                <w:lang w:val="fr-BE"/>
              </w:rPr>
            </w:pPr>
            <w:r>
              <w:rPr>
                <w:sz w:val="16"/>
                <w:szCs w:val="16"/>
                <w:lang w:val="fr-BE"/>
              </w:rPr>
              <w:t xml:space="preserve">2015 </w:t>
            </w:r>
            <w:r w:rsidRPr="0024468B">
              <w:rPr>
                <w:noProof/>
                <w:sz w:val="16"/>
                <w:szCs w:val="16"/>
                <w:lang w:val="fr-BE"/>
              </w:rPr>
              <w:t>Jakościowe</w:t>
            </w:r>
          </w:p>
        </w:tc>
      </w:tr>
      <w:tr w:rsidR="006B2EC1" w14:paraId="1D8C6C0B" w14:textId="77777777" w:rsidTr="0047688D">
        <w:tc>
          <w:tcPr>
            <w:tcW w:w="0" w:type="auto"/>
            <w:shd w:val="clear" w:color="auto" w:fill="auto"/>
          </w:tcPr>
          <w:p w14:paraId="39506628" w14:textId="77777777" w:rsidR="008C5CFA" w:rsidRPr="0024468B" w:rsidRDefault="00E82A60" w:rsidP="00300A01">
            <w:pPr>
              <w:spacing w:before="0" w:after="0"/>
              <w:rPr>
                <w:sz w:val="16"/>
                <w:szCs w:val="16"/>
                <w:lang w:val="fr-BE"/>
              </w:rPr>
            </w:pPr>
            <w:r w:rsidRPr="0024468B">
              <w:rPr>
                <w:noProof/>
                <w:sz w:val="16"/>
                <w:szCs w:val="16"/>
                <w:lang w:val="fr-BE"/>
              </w:rPr>
              <w:t>039</w:t>
            </w:r>
          </w:p>
        </w:tc>
        <w:tc>
          <w:tcPr>
            <w:tcW w:w="0" w:type="auto"/>
            <w:shd w:val="clear" w:color="auto" w:fill="auto"/>
          </w:tcPr>
          <w:p w14:paraId="5C6BED43" w14:textId="77777777" w:rsidR="008C5CFA" w:rsidRPr="0024468B" w:rsidRDefault="00E82A60" w:rsidP="00300A01">
            <w:pPr>
              <w:spacing w:before="0" w:after="0"/>
              <w:rPr>
                <w:sz w:val="16"/>
                <w:szCs w:val="16"/>
                <w:lang w:val="fr-BE"/>
              </w:rPr>
            </w:pPr>
            <w:r w:rsidRPr="0024468B">
              <w:rPr>
                <w:noProof/>
                <w:sz w:val="16"/>
                <w:szCs w:val="16"/>
                <w:lang w:val="fr-BE"/>
              </w:rPr>
              <w:t>Średni udział przedsiębiorstw innowacyjnych - w ogólnej liczbie przedsiębiorstw przemysłowych i z sektora usług</w:t>
            </w:r>
          </w:p>
        </w:tc>
        <w:tc>
          <w:tcPr>
            <w:tcW w:w="0" w:type="auto"/>
          </w:tcPr>
          <w:p w14:paraId="337A1049" w14:textId="77777777" w:rsidR="008C5CFA" w:rsidRPr="0024468B" w:rsidRDefault="00E82A60" w:rsidP="00300A01">
            <w:pPr>
              <w:spacing w:before="0" w:after="0"/>
              <w:jc w:val="right"/>
              <w:rPr>
                <w:sz w:val="16"/>
                <w:szCs w:val="16"/>
                <w:lang w:val="fr-BE"/>
              </w:rPr>
            </w:pPr>
            <w:r w:rsidRPr="0024468B">
              <w:rPr>
                <w:noProof/>
                <w:sz w:val="16"/>
                <w:szCs w:val="16"/>
                <w:lang w:val="fr-BE"/>
              </w:rPr>
              <w:t>14,30</w:t>
            </w:r>
          </w:p>
        </w:tc>
        <w:tc>
          <w:tcPr>
            <w:tcW w:w="0" w:type="auto"/>
          </w:tcPr>
          <w:p w14:paraId="6CCF9E67" w14:textId="77777777" w:rsidR="008C5CFA" w:rsidRPr="0024468B" w:rsidRDefault="008C5CFA" w:rsidP="00300A01">
            <w:pPr>
              <w:spacing w:before="0" w:after="0"/>
              <w:jc w:val="right"/>
              <w:rPr>
                <w:sz w:val="16"/>
                <w:szCs w:val="16"/>
                <w:lang w:val="fr-BE"/>
              </w:rPr>
            </w:pPr>
          </w:p>
        </w:tc>
        <w:tc>
          <w:tcPr>
            <w:tcW w:w="0" w:type="auto"/>
          </w:tcPr>
          <w:p w14:paraId="73FCC61B" w14:textId="77777777" w:rsidR="008C5CFA" w:rsidRPr="0024468B" w:rsidRDefault="00E82A60" w:rsidP="00300A01">
            <w:pPr>
              <w:spacing w:before="0" w:after="0"/>
              <w:jc w:val="right"/>
              <w:rPr>
                <w:sz w:val="16"/>
                <w:szCs w:val="16"/>
                <w:lang w:val="fr-BE"/>
              </w:rPr>
            </w:pPr>
            <w:r w:rsidRPr="0024468B">
              <w:rPr>
                <w:noProof/>
                <w:sz w:val="16"/>
                <w:szCs w:val="16"/>
                <w:lang w:val="fr-BE"/>
              </w:rPr>
              <w:t>12,20</w:t>
            </w:r>
          </w:p>
        </w:tc>
        <w:tc>
          <w:tcPr>
            <w:tcW w:w="0" w:type="auto"/>
          </w:tcPr>
          <w:p w14:paraId="43490134" w14:textId="77777777" w:rsidR="008C5CFA" w:rsidRPr="0024468B" w:rsidRDefault="008C5CFA" w:rsidP="00300A01">
            <w:pPr>
              <w:spacing w:before="0" w:after="0"/>
              <w:jc w:val="right"/>
              <w:rPr>
                <w:sz w:val="16"/>
                <w:szCs w:val="16"/>
                <w:lang w:val="fr-BE"/>
              </w:rPr>
            </w:pPr>
          </w:p>
        </w:tc>
        <w:tc>
          <w:tcPr>
            <w:tcW w:w="0" w:type="auto"/>
          </w:tcPr>
          <w:p w14:paraId="62C00A6B" w14:textId="77777777" w:rsidR="008C5CFA" w:rsidRPr="0024468B" w:rsidRDefault="00E82A60" w:rsidP="00300A01">
            <w:pPr>
              <w:spacing w:before="0" w:after="0"/>
              <w:jc w:val="right"/>
              <w:rPr>
                <w:sz w:val="16"/>
                <w:szCs w:val="16"/>
                <w:lang w:val="fr-BE"/>
              </w:rPr>
            </w:pPr>
            <w:r w:rsidRPr="0024468B">
              <w:rPr>
                <w:noProof/>
                <w:sz w:val="16"/>
                <w:szCs w:val="16"/>
                <w:lang w:val="fr-BE"/>
              </w:rPr>
              <w:t>10,40</w:t>
            </w:r>
          </w:p>
        </w:tc>
        <w:tc>
          <w:tcPr>
            <w:tcW w:w="0" w:type="auto"/>
          </w:tcPr>
          <w:p w14:paraId="7C5CA59A" w14:textId="77777777" w:rsidR="008C5CFA" w:rsidRPr="0024468B" w:rsidRDefault="008C5CFA" w:rsidP="00300A01">
            <w:pPr>
              <w:spacing w:before="0" w:after="0"/>
              <w:jc w:val="right"/>
              <w:rPr>
                <w:sz w:val="16"/>
                <w:szCs w:val="16"/>
                <w:lang w:val="fr-BE"/>
              </w:rPr>
            </w:pPr>
          </w:p>
        </w:tc>
        <w:tc>
          <w:tcPr>
            <w:tcW w:w="0" w:type="auto"/>
          </w:tcPr>
          <w:p w14:paraId="0949F305" w14:textId="77777777" w:rsidR="008C5CFA" w:rsidRPr="0024468B" w:rsidRDefault="00E82A60" w:rsidP="00300A01">
            <w:pPr>
              <w:spacing w:before="0" w:after="0"/>
              <w:jc w:val="right"/>
              <w:rPr>
                <w:sz w:val="16"/>
                <w:szCs w:val="16"/>
                <w:lang w:val="fr-BE"/>
              </w:rPr>
            </w:pPr>
            <w:r w:rsidRPr="0024468B">
              <w:rPr>
                <w:noProof/>
                <w:sz w:val="16"/>
                <w:szCs w:val="16"/>
                <w:lang w:val="fr-BE"/>
              </w:rPr>
              <w:t>11,50</w:t>
            </w:r>
          </w:p>
        </w:tc>
        <w:tc>
          <w:tcPr>
            <w:tcW w:w="0" w:type="auto"/>
          </w:tcPr>
          <w:p w14:paraId="74FCB3D8" w14:textId="77777777" w:rsidR="008C5CFA" w:rsidRPr="0024468B" w:rsidRDefault="008C5CFA" w:rsidP="00300A01">
            <w:pPr>
              <w:spacing w:before="0" w:after="0"/>
              <w:jc w:val="right"/>
              <w:rPr>
                <w:sz w:val="16"/>
                <w:szCs w:val="16"/>
                <w:lang w:val="fr-BE"/>
              </w:rPr>
            </w:pPr>
          </w:p>
        </w:tc>
      </w:tr>
    </w:tbl>
    <w:p w14:paraId="2F199E2A"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11015"/>
        <w:gridCol w:w="1591"/>
        <w:gridCol w:w="1914"/>
      </w:tblGrid>
      <w:tr w:rsidR="006B2EC1" w14:paraId="6164832B" w14:textId="77777777" w:rsidTr="0047688D">
        <w:tc>
          <w:tcPr>
            <w:tcW w:w="0" w:type="auto"/>
            <w:shd w:val="clear" w:color="auto" w:fill="auto"/>
          </w:tcPr>
          <w:p w14:paraId="04D585A2" w14:textId="77777777" w:rsidR="008C5CFA" w:rsidRPr="0024468B" w:rsidRDefault="00E82A60" w:rsidP="00300A01">
            <w:pPr>
              <w:spacing w:before="0" w:after="0"/>
              <w:rPr>
                <w:sz w:val="16"/>
                <w:szCs w:val="16"/>
                <w:lang w:val="fr-BE"/>
              </w:rPr>
            </w:pPr>
            <w:r w:rsidRPr="0024468B">
              <w:rPr>
                <w:noProof/>
                <w:sz w:val="16"/>
                <w:szCs w:val="16"/>
                <w:lang w:val="fr-BE"/>
              </w:rPr>
              <w:t>ID</w:t>
            </w:r>
          </w:p>
        </w:tc>
        <w:tc>
          <w:tcPr>
            <w:tcW w:w="0" w:type="auto"/>
            <w:shd w:val="clear" w:color="auto" w:fill="auto"/>
          </w:tcPr>
          <w:p w14:paraId="0E743933" w14:textId="77777777" w:rsidR="008C5CFA" w:rsidRPr="0024468B" w:rsidRDefault="00E82A60" w:rsidP="00300A01">
            <w:pPr>
              <w:spacing w:before="0" w:after="0"/>
              <w:rPr>
                <w:sz w:val="16"/>
                <w:szCs w:val="16"/>
                <w:lang w:val="fr-BE"/>
              </w:rPr>
            </w:pPr>
            <w:r w:rsidRPr="0024468B">
              <w:rPr>
                <w:noProof/>
                <w:sz w:val="16"/>
                <w:szCs w:val="16"/>
                <w:lang w:val="fr-BE"/>
              </w:rPr>
              <w:t>Wskaźnik</w:t>
            </w:r>
          </w:p>
        </w:tc>
        <w:tc>
          <w:tcPr>
            <w:tcW w:w="0" w:type="auto"/>
            <w:shd w:val="clear" w:color="auto" w:fill="auto"/>
          </w:tcPr>
          <w:p w14:paraId="1BC3067D" w14:textId="77777777" w:rsidR="008C5CFA" w:rsidRPr="0024468B" w:rsidRDefault="00E82A60" w:rsidP="00300A01">
            <w:pPr>
              <w:spacing w:before="0" w:after="0"/>
              <w:jc w:val="center"/>
              <w:rPr>
                <w:sz w:val="16"/>
                <w:szCs w:val="16"/>
                <w:lang w:val="fr-BE"/>
              </w:rPr>
            </w:pPr>
            <w:r>
              <w:rPr>
                <w:sz w:val="16"/>
                <w:szCs w:val="16"/>
                <w:lang w:val="fr-BE"/>
              </w:rPr>
              <w:t xml:space="preserve">2014 </w:t>
            </w:r>
            <w:r>
              <w:rPr>
                <w:noProof/>
                <w:sz w:val="16"/>
                <w:szCs w:val="16"/>
                <w:lang w:val="fr-BE"/>
              </w:rPr>
              <w:t>Ogółem</w:t>
            </w:r>
          </w:p>
        </w:tc>
        <w:tc>
          <w:tcPr>
            <w:tcW w:w="0" w:type="auto"/>
            <w:shd w:val="clear" w:color="auto" w:fill="auto"/>
          </w:tcPr>
          <w:p w14:paraId="23DC9C4A" w14:textId="77777777" w:rsidR="008C5CFA" w:rsidRPr="0024468B" w:rsidRDefault="00E82A60" w:rsidP="00300A01">
            <w:pPr>
              <w:spacing w:before="0" w:after="0"/>
              <w:jc w:val="center"/>
              <w:rPr>
                <w:sz w:val="16"/>
                <w:szCs w:val="16"/>
                <w:lang w:val="fr-BE"/>
              </w:rPr>
            </w:pPr>
            <w:r>
              <w:rPr>
                <w:sz w:val="16"/>
                <w:szCs w:val="16"/>
                <w:lang w:val="fr-BE"/>
              </w:rPr>
              <w:t xml:space="preserve">2014 </w:t>
            </w:r>
            <w:r w:rsidRPr="0024468B">
              <w:rPr>
                <w:noProof/>
                <w:sz w:val="16"/>
                <w:szCs w:val="16"/>
                <w:lang w:val="fr-BE"/>
              </w:rPr>
              <w:t>Jakościowe</w:t>
            </w:r>
          </w:p>
        </w:tc>
      </w:tr>
      <w:tr w:rsidR="006B2EC1" w14:paraId="791FC92D" w14:textId="77777777" w:rsidTr="0047688D">
        <w:tc>
          <w:tcPr>
            <w:tcW w:w="0" w:type="auto"/>
            <w:shd w:val="clear" w:color="auto" w:fill="auto"/>
          </w:tcPr>
          <w:p w14:paraId="680902FA" w14:textId="77777777" w:rsidR="008C5CFA" w:rsidRPr="0024468B" w:rsidRDefault="00E82A60" w:rsidP="00300A01">
            <w:pPr>
              <w:spacing w:before="0" w:after="0"/>
              <w:rPr>
                <w:sz w:val="16"/>
                <w:szCs w:val="16"/>
                <w:lang w:val="fr-BE"/>
              </w:rPr>
            </w:pPr>
            <w:r w:rsidRPr="0024468B">
              <w:rPr>
                <w:noProof/>
                <w:sz w:val="16"/>
                <w:szCs w:val="16"/>
                <w:lang w:val="fr-BE"/>
              </w:rPr>
              <w:t>039</w:t>
            </w:r>
          </w:p>
        </w:tc>
        <w:tc>
          <w:tcPr>
            <w:tcW w:w="0" w:type="auto"/>
            <w:shd w:val="clear" w:color="auto" w:fill="auto"/>
          </w:tcPr>
          <w:p w14:paraId="3CC4226A" w14:textId="77777777" w:rsidR="008C5CFA" w:rsidRPr="0024468B" w:rsidRDefault="00E82A60" w:rsidP="00300A01">
            <w:pPr>
              <w:spacing w:before="0" w:after="0"/>
              <w:rPr>
                <w:sz w:val="16"/>
                <w:szCs w:val="16"/>
                <w:lang w:val="fr-BE"/>
              </w:rPr>
            </w:pPr>
            <w:r w:rsidRPr="0024468B">
              <w:rPr>
                <w:noProof/>
                <w:sz w:val="16"/>
                <w:szCs w:val="16"/>
                <w:lang w:val="fr-BE"/>
              </w:rPr>
              <w:t>Średni udział przedsiębiorstw innowacyjnych - w ogólnej liczbie przedsiębiorstw przemysłowych i z sektora usług</w:t>
            </w:r>
          </w:p>
        </w:tc>
        <w:tc>
          <w:tcPr>
            <w:tcW w:w="0" w:type="auto"/>
            <w:shd w:val="clear" w:color="auto" w:fill="auto"/>
          </w:tcPr>
          <w:p w14:paraId="4B68FE12" w14:textId="77777777" w:rsidR="008C5CFA" w:rsidRPr="0024468B" w:rsidRDefault="00E82A60" w:rsidP="00300A01">
            <w:pPr>
              <w:spacing w:before="0" w:after="0"/>
              <w:jc w:val="right"/>
              <w:rPr>
                <w:sz w:val="16"/>
                <w:szCs w:val="16"/>
                <w:lang w:val="fr-BE"/>
              </w:rPr>
            </w:pPr>
            <w:r w:rsidRPr="0024468B">
              <w:rPr>
                <w:noProof/>
                <w:sz w:val="16"/>
                <w:szCs w:val="16"/>
                <w:lang w:val="fr-BE"/>
              </w:rPr>
              <w:t>11,10</w:t>
            </w:r>
          </w:p>
        </w:tc>
        <w:tc>
          <w:tcPr>
            <w:tcW w:w="0" w:type="auto"/>
            <w:shd w:val="clear" w:color="auto" w:fill="auto"/>
          </w:tcPr>
          <w:p w14:paraId="15E7CFE9" w14:textId="77777777" w:rsidR="008C5CFA" w:rsidRPr="0024468B" w:rsidRDefault="008C5CFA" w:rsidP="00300A01">
            <w:pPr>
              <w:spacing w:before="0" w:after="0"/>
              <w:jc w:val="right"/>
              <w:rPr>
                <w:sz w:val="16"/>
                <w:szCs w:val="16"/>
                <w:lang w:val="fr-BE"/>
              </w:rPr>
            </w:pPr>
          </w:p>
        </w:tc>
      </w:tr>
    </w:tbl>
    <w:p w14:paraId="5375B1A4" w14:textId="77777777" w:rsidR="008C5CFA" w:rsidRDefault="008C5CFA" w:rsidP="00300A01">
      <w:pPr>
        <w:spacing w:before="0" w:after="0"/>
        <w:rPr>
          <w:lang w:val="fr-BE"/>
        </w:rPr>
      </w:pPr>
    </w:p>
    <w:p w14:paraId="652CC8CD" w14:textId="77777777" w:rsidR="008C5CFA" w:rsidRDefault="00E82A60" w:rsidP="00300A01">
      <w:pPr>
        <w:spacing w:before="0" w:after="0"/>
        <w:rPr>
          <w:lang w:val="fr-BE"/>
        </w:rPr>
      </w:pPr>
      <w:r>
        <w:rPr>
          <w:lang w:val="fr-BE"/>
        </w:rPr>
        <w:br w:type="page"/>
      </w:r>
    </w:p>
    <w:p w14:paraId="022053B7" w14:textId="77777777" w:rsidR="008C5CFA" w:rsidRPr="00B27C43" w:rsidRDefault="008C5CFA" w:rsidP="00300A01">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3"/>
        <w:gridCol w:w="11881"/>
      </w:tblGrid>
      <w:tr w:rsidR="006B2EC1" w14:paraId="3C5B2AE7" w14:textId="77777777" w:rsidTr="0047688D">
        <w:tc>
          <w:tcPr>
            <w:tcW w:w="0" w:type="auto"/>
            <w:shd w:val="clear" w:color="auto" w:fill="auto"/>
          </w:tcPr>
          <w:p w14:paraId="2D3854E5" w14:textId="77777777" w:rsidR="008C5CFA" w:rsidRPr="002124FC" w:rsidRDefault="00E82A60" w:rsidP="00300A01">
            <w:pPr>
              <w:spacing w:before="0" w:after="0"/>
              <w:rPr>
                <w:sz w:val="20"/>
                <w:szCs w:val="20"/>
                <w:lang w:val="fr-BE"/>
              </w:rPr>
            </w:pPr>
            <w:r>
              <w:rPr>
                <w:lang w:val="fr-BE"/>
              </w:rPr>
              <w:br w:type="page"/>
            </w:r>
            <w:r>
              <w:rPr>
                <w:lang w:val="fr-BE"/>
              </w:rPr>
              <w:br w:type="page"/>
            </w:r>
            <w:r w:rsidRPr="002124FC">
              <w:rPr>
                <w:noProof/>
                <w:sz w:val="20"/>
                <w:szCs w:val="20"/>
                <w:lang w:val="fr-BE"/>
              </w:rPr>
              <w:t>Oś priorytetowa</w:t>
            </w:r>
          </w:p>
        </w:tc>
        <w:tc>
          <w:tcPr>
            <w:tcW w:w="0" w:type="auto"/>
            <w:shd w:val="clear" w:color="auto" w:fill="auto"/>
          </w:tcPr>
          <w:p w14:paraId="651D9E9F" w14:textId="77777777" w:rsidR="008C5CFA" w:rsidRPr="002124FC" w:rsidRDefault="00E82A60" w:rsidP="00300A01">
            <w:pPr>
              <w:spacing w:before="0" w:after="0"/>
              <w:rPr>
                <w:sz w:val="20"/>
                <w:szCs w:val="20"/>
                <w:lang w:val="fr-BE"/>
              </w:rPr>
            </w:pPr>
            <w:r w:rsidRPr="002124FC">
              <w:rPr>
                <w:noProof/>
                <w:sz w:val="20"/>
                <w:szCs w:val="20"/>
                <w:lang w:val="fr-BE"/>
              </w:rPr>
              <w:t>3</w:t>
            </w:r>
            <w:r w:rsidRPr="002124FC">
              <w:rPr>
                <w:sz w:val="20"/>
                <w:szCs w:val="20"/>
                <w:lang w:val="fr-BE"/>
              </w:rPr>
              <w:t xml:space="preserve"> - </w:t>
            </w:r>
            <w:r w:rsidRPr="002124FC">
              <w:rPr>
                <w:noProof/>
                <w:sz w:val="20"/>
                <w:szCs w:val="20"/>
                <w:lang w:val="fr-BE"/>
              </w:rPr>
              <w:t>Efektywna i zielona energia</w:t>
            </w:r>
          </w:p>
        </w:tc>
      </w:tr>
      <w:tr w:rsidR="006B2EC1" w14:paraId="0CE85CAC" w14:textId="77777777" w:rsidTr="0047688D">
        <w:tc>
          <w:tcPr>
            <w:tcW w:w="0" w:type="auto"/>
            <w:shd w:val="clear" w:color="auto" w:fill="auto"/>
          </w:tcPr>
          <w:p w14:paraId="1089C466" w14:textId="77777777" w:rsidR="008C5CFA" w:rsidRPr="002124FC" w:rsidRDefault="00E82A60"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14:paraId="104046CA" w14:textId="77777777" w:rsidR="008C5CFA" w:rsidRPr="002124FC" w:rsidRDefault="00E82A60" w:rsidP="00300A01">
            <w:pPr>
              <w:spacing w:before="0" w:after="0"/>
              <w:rPr>
                <w:sz w:val="20"/>
                <w:szCs w:val="20"/>
                <w:lang w:val="fr-BE"/>
              </w:rPr>
            </w:pPr>
            <w:r w:rsidRPr="002124FC">
              <w:rPr>
                <w:noProof/>
                <w:sz w:val="20"/>
                <w:szCs w:val="20"/>
                <w:lang w:val="fr-BE"/>
              </w:rPr>
              <w:t>4a</w:t>
            </w:r>
            <w:r w:rsidRPr="002124FC">
              <w:rPr>
                <w:sz w:val="20"/>
                <w:szCs w:val="20"/>
                <w:lang w:val="fr-BE"/>
              </w:rPr>
              <w:t xml:space="preserve"> - </w:t>
            </w:r>
            <w:r w:rsidRPr="002124FC">
              <w:rPr>
                <w:noProof/>
                <w:sz w:val="20"/>
                <w:szCs w:val="20"/>
                <w:lang w:val="fr-BE"/>
              </w:rPr>
              <w:t>Promowanie wytwarzania i dystrybucji energii pochodzącej ze źródeł odnawialnych</w:t>
            </w:r>
          </w:p>
        </w:tc>
      </w:tr>
    </w:tbl>
    <w:p w14:paraId="4937E92F" w14:textId="77777777" w:rsidR="008C5CFA" w:rsidRDefault="008C5CFA" w:rsidP="00300A01">
      <w:pPr>
        <w:spacing w:before="0" w:after="0"/>
        <w:rPr>
          <w:lang w:val="fr-BE"/>
        </w:rPr>
      </w:pPr>
    </w:p>
    <w:p w14:paraId="00F97A7B" w14:textId="77777777" w:rsidR="008C5CFA" w:rsidRDefault="00E82A60" w:rsidP="00300A01">
      <w:pPr>
        <w:pStyle w:val="Nagwek2"/>
        <w:spacing w:before="0" w:after="0"/>
        <w:rPr>
          <w:lang w:val="fr-BE"/>
        </w:rPr>
      </w:pPr>
      <w:bookmarkStart w:id="26" w:name="_Toc46391710"/>
      <w:r>
        <w:rPr>
          <w:noProof/>
          <w:lang w:val="fr-BE"/>
        </w:rPr>
        <w:t>Tabela 3A</w:t>
      </w:r>
      <w:r>
        <w:rPr>
          <w:lang w:val="fr-BE"/>
        </w:rPr>
        <w:t xml:space="preserve">: </w:t>
      </w:r>
      <w:r>
        <w:rPr>
          <w:noProof/>
          <w:lang w:val="fr-BE"/>
        </w:rPr>
        <w:t>Wspólne i specyficzne dla danego programu wskaźniki produktu dla EFRR i Funduszu Spójności (wg osi priorytetowej, priorytetu inwestycyjnego, w podziale na kategorię regionu dla celów EFRR)</w:t>
      </w:r>
      <w:r w:rsidR="009C5874">
        <w:rPr>
          <w:lang w:val="fr-BE"/>
        </w:rPr>
        <w:t xml:space="preserve"> - </w:t>
      </w:r>
      <w:r w:rsidR="00F022AC" w:rsidRPr="002124FC">
        <w:rPr>
          <w:noProof/>
          <w:sz w:val="20"/>
          <w:szCs w:val="20"/>
          <w:lang w:val="fr-BE"/>
        </w:rPr>
        <w:t>3</w:t>
      </w:r>
      <w:r w:rsidR="00F022AC">
        <w:rPr>
          <w:sz w:val="20"/>
          <w:szCs w:val="20"/>
          <w:lang w:val="fr-BE"/>
        </w:rPr>
        <w:t xml:space="preserve"> / </w:t>
      </w:r>
      <w:r w:rsidR="00F022AC" w:rsidRPr="002124FC">
        <w:rPr>
          <w:noProof/>
          <w:sz w:val="20"/>
          <w:szCs w:val="20"/>
          <w:lang w:val="fr-BE"/>
        </w:rPr>
        <w:t>4a</w:t>
      </w:r>
      <w:bookmarkEnd w:id="26"/>
    </w:p>
    <w:p w14:paraId="7DDC8251"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02"/>
        <w:gridCol w:w="498"/>
        <w:gridCol w:w="1774"/>
        <w:gridCol w:w="1151"/>
        <w:gridCol w:w="873"/>
        <w:gridCol w:w="965"/>
        <w:gridCol w:w="1047"/>
        <w:gridCol w:w="961"/>
        <w:gridCol w:w="787"/>
        <w:gridCol w:w="881"/>
        <w:gridCol w:w="704"/>
        <w:gridCol w:w="5241"/>
      </w:tblGrid>
      <w:tr w:rsidR="006B2EC1" w14:paraId="07CC9D0E" w14:textId="77777777" w:rsidTr="0047688D">
        <w:trPr>
          <w:tblHeader/>
        </w:trPr>
        <w:tc>
          <w:tcPr>
            <w:tcW w:w="0" w:type="auto"/>
          </w:tcPr>
          <w:p w14:paraId="0F806221" w14:textId="77777777" w:rsidR="008C5CFA" w:rsidRPr="009143B4" w:rsidRDefault="00E82A60" w:rsidP="00300A01">
            <w:pPr>
              <w:spacing w:before="0" w:after="0"/>
              <w:rPr>
                <w:b/>
                <w:sz w:val="16"/>
                <w:szCs w:val="16"/>
                <w:lang w:val="fr-BE"/>
              </w:rPr>
            </w:pPr>
            <w:r w:rsidRPr="009143B4">
              <w:rPr>
                <w:b/>
                <w:sz w:val="16"/>
                <w:szCs w:val="16"/>
                <w:lang w:val="fr-BE"/>
              </w:rPr>
              <w:t>(1)</w:t>
            </w:r>
          </w:p>
        </w:tc>
        <w:tc>
          <w:tcPr>
            <w:tcW w:w="0" w:type="auto"/>
            <w:shd w:val="clear" w:color="auto" w:fill="auto"/>
          </w:tcPr>
          <w:p w14:paraId="4B413F04" w14:textId="77777777" w:rsidR="008C5CFA" w:rsidRPr="009143B4" w:rsidRDefault="00E82A60" w:rsidP="00300A01">
            <w:pPr>
              <w:spacing w:before="0" w:after="0"/>
              <w:rPr>
                <w:b/>
                <w:sz w:val="16"/>
                <w:szCs w:val="16"/>
                <w:lang w:val="fr-BE"/>
              </w:rPr>
            </w:pPr>
            <w:r w:rsidRPr="009143B4">
              <w:rPr>
                <w:b/>
                <w:noProof/>
                <w:sz w:val="16"/>
                <w:szCs w:val="16"/>
                <w:lang w:val="fr-BE"/>
              </w:rPr>
              <w:t>ID</w:t>
            </w:r>
          </w:p>
        </w:tc>
        <w:tc>
          <w:tcPr>
            <w:tcW w:w="0" w:type="auto"/>
            <w:shd w:val="clear" w:color="auto" w:fill="auto"/>
          </w:tcPr>
          <w:p w14:paraId="211B4AAE" w14:textId="77777777" w:rsidR="008C5CFA" w:rsidRPr="009143B4" w:rsidRDefault="00E82A60" w:rsidP="00300A01">
            <w:pPr>
              <w:spacing w:before="0" w:after="0"/>
              <w:rPr>
                <w:b/>
                <w:sz w:val="16"/>
                <w:szCs w:val="16"/>
                <w:lang w:val="fr-BE"/>
              </w:rPr>
            </w:pPr>
            <w:r w:rsidRPr="009143B4">
              <w:rPr>
                <w:b/>
                <w:noProof/>
                <w:sz w:val="16"/>
                <w:szCs w:val="16"/>
                <w:lang w:val="fr-BE"/>
              </w:rPr>
              <w:t>Wskaźnik</w:t>
            </w:r>
          </w:p>
        </w:tc>
        <w:tc>
          <w:tcPr>
            <w:tcW w:w="0" w:type="auto"/>
            <w:shd w:val="clear" w:color="auto" w:fill="auto"/>
          </w:tcPr>
          <w:p w14:paraId="2F0CC0F7" w14:textId="77777777" w:rsidR="008C5CFA" w:rsidRPr="009143B4" w:rsidRDefault="00E82A60" w:rsidP="00300A01">
            <w:pPr>
              <w:spacing w:before="0" w:after="0"/>
              <w:rPr>
                <w:b/>
                <w:sz w:val="16"/>
                <w:szCs w:val="16"/>
                <w:lang w:val="fr-BE"/>
              </w:rPr>
            </w:pPr>
            <w:r w:rsidRPr="009143B4">
              <w:rPr>
                <w:b/>
                <w:noProof/>
                <w:sz w:val="16"/>
                <w:szCs w:val="16"/>
                <w:lang w:val="fr-BE"/>
              </w:rPr>
              <w:t>Jednostka miary</w:t>
            </w:r>
          </w:p>
        </w:tc>
        <w:tc>
          <w:tcPr>
            <w:tcW w:w="0" w:type="auto"/>
            <w:shd w:val="clear" w:color="auto" w:fill="auto"/>
          </w:tcPr>
          <w:p w14:paraId="17538FB6" w14:textId="77777777" w:rsidR="008C5CFA" w:rsidRPr="009143B4" w:rsidRDefault="00E82A60" w:rsidP="00300A01">
            <w:pPr>
              <w:spacing w:before="0" w:after="0"/>
              <w:rPr>
                <w:b/>
                <w:sz w:val="16"/>
                <w:szCs w:val="16"/>
                <w:lang w:val="fr-BE"/>
              </w:rPr>
            </w:pPr>
            <w:r w:rsidRPr="009143B4">
              <w:rPr>
                <w:b/>
                <w:noProof/>
                <w:sz w:val="16"/>
                <w:szCs w:val="16"/>
                <w:lang w:val="fr-BE"/>
              </w:rPr>
              <w:t>Kategoria regionu</w:t>
            </w:r>
          </w:p>
        </w:tc>
        <w:tc>
          <w:tcPr>
            <w:tcW w:w="0" w:type="auto"/>
            <w:shd w:val="clear" w:color="auto" w:fill="auto"/>
          </w:tcPr>
          <w:p w14:paraId="7BBCF3A2" w14:textId="77777777" w:rsidR="008C5CFA" w:rsidRPr="009143B4" w:rsidRDefault="00E82A60" w:rsidP="00300A01">
            <w:pPr>
              <w:spacing w:before="0" w:after="0"/>
              <w:jc w:val="center"/>
              <w:rPr>
                <w:b/>
                <w:sz w:val="16"/>
                <w:szCs w:val="16"/>
                <w:lang w:val="fr-BE"/>
              </w:rPr>
            </w:pPr>
            <w:r w:rsidRPr="009143B4">
              <w:rPr>
                <w:b/>
                <w:noProof/>
                <w:sz w:val="16"/>
                <w:szCs w:val="16"/>
                <w:lang w:val="fr-BE"/>
              </w:rPr>
              <w:t>Wartość docelowa (2023) ogółem</w:t>
            </w:r>
          </w:p>
        </w:tc>
        <w:tc>
          <w:tcPr>
            <w:tcW w:w="0" w:type="auto"/>
            <w:shd w:val="clear" w:color="auto" w:fill="auto"/>
          </w:tcPr>
          <w:p w14:paraId="1ADB88BD" w14:textId="77777777" w:rsidR="008C5CFA" w:rsidRPr="009143B4" w:rsidRDefault="00E82A60" w:rsidP="00300A01">
            <w:pPr>
              <w:spacing w:before="0" w:after="0"/>
              <w:jc w:val="center"/>
              <w:rPr>
                <w:b/>
                <w:sz w:val="16"/>
                <w:szCs w:val="16"/>
                <w:lang w:val="fr-BE"/>
              </w:rPr>
            </w:pPr>
            <w:r w:rsidRPr="009143B4">
              <w:rPr>
                <w:b/>
                <w:noProof/>
                <w:sz w:val="16"/>
                <w:szCs w:val="16"/>
                <w:lang w:val="fr-BE"/>
              </w:rPr>
              <w:t>Wartość docelowa (2023) mężczyźni</w:t>
            </w:r>
          </w:p>
        </w:tc>
        <w:tc>
          <w:tcPr>
            <w:tcW w:w="0" w:type="auto"/>
          </w:tcPr>
          <w:p w14:paraId="731969F0" w14:textId="77777777" w:rsidR="008C5CFA" w:rsidRPr="009143B4" w:rsidRDefault="00E82A60" w:rsidP="00300A01">
            <w:pPr>
              <w:spacing w:before="0" w:after="0"/>
              <w:jc w:val="center"/>
              <w:rPr>
                <w:b/>
                <w:sz w:val="16"/>
                <w:szCs w:val="16"/>
                <w:lang w:val="fr-BE"/>
              </w:rPr>
            </w:pPr>
            <w:r w:rsidRPr="009143B4">
              <w:rPr>
                <w:b/>
                <w:noProof/>
                <w:sz w:val="16"/>
                <w:szCs w:val="16"/>
                <w:lang w:val="fr-BE"/>
              </w:rPr>
              <w:t>Wartość docelowa (2023) kobiety</w:t>
            </w:r>
          </w:p>
        </w:tc>
        <w:tc>
          <w:tcPr>
            <w:tcW w:w="0" w:type="auto"/>
            <w:shd w:val="clear" w:color="auto" w:fill="auto"/>
          </w:tcPr>
          <w:p w14:paraId="31020DA1" w14:textId="77777777" w:rsidR="008C5CFA" w:rsidRPr="009143B4" w:rsidRDefault="00E82A60" w:rsidP="00300A01">
            <w:pPr>
              <w:spacing w:before="0" w:after="0"/>
              <w:jc w:val="center"/>
              <w:rPr>
                <w:b/>
                <w:sz w:val="16"/>
                <w:szCs w:val="16"/>
                <w:lang w:val="fr-BE"/>
              </w:rPr>
            </w:pPr>
            <w:r>
              <w:rPr>
                <w:b/>
                <w:sz w:val="16"/>
                <w:szCs w:val="16"/>
                <w:lang w:val="fr-BE"/>
              </w:rPr>
              <w:t xml:space="preserve">2019 </w:t>
            </w:r>
            <w:r w:rsidRPr="009143B4">
              <w:rPr>
                <w:b/>
                <w:noProof/>
                <w:sz w:val="16"/>
                <w:szCs w:val="16"/>
                <w:lang w:val="fr-BE"/>
              </w:rPr>
              <w:t>Ogółem</w:t>
            </w:r>
          </w:p>
        </w:tc>
        <w:tc>
          <w:tcPr>
            <w:tcW w:w="0" w:type="auto"/>
            <w:shd w:val="clear" w:color="auto" w:fill="auto"/>
          </w:tcPr>
          <w:p w14:paraId="36D1B3A1" w14:textId="77777777" w:rsidR="008C5CFA" w:rsidRPr="009143B4" w:rsidRDefault="00E82A60" w:rsidP="00300A01">
            <w:pPr>
              <w:spacing w:before="0" w:after="0"/>
              <w:jc w:val="center"/>
              <w:rPr>
                <w:b/>
                <w:sz w:val="16"/>
                <w:szCs w:val="16"/>
                <w:lang w:val="fr-BE"/>
              </w:rPr>
            </w:pPr>
            <w:r>
              <w:rPr>
                <w:b/>
                <w:sz w:val="16"/>
                <w:szCs w:val="16"/>
                <w:lang w:val="fr-BE"/>
              </w:rPr>
              <w:t xml:space="preserve">2019 </w:t>
            </w:r>
            <w:r w:rsidRPr="009143B4">
              <w:rPr>
                <w:b/>
                <w:noProof/>
                <w:sz w:val="16"/>
                <w:szCs w:val="16"/>
                <w:lang w:val="fr-BE"/>
              </w:rPr>
              <w:t>Mężczyźni</w:t>
            </w:r>
          </w:p>
        </w:tc>
        <w:tc>
          <w:tcPr>
            <w:tcW w:w="0" w:type="auto"/>
            <w:shd w:val="clear" w:color="auto" w:fill="auto"/>
          </w:tcPr>
          <w:p w14:paraId="25E4EEAC" w14:textId="77777777" w:rsidR="008C5CFA" w:rsidRPr="009143B4" w:rsidRDefault="00E82A60" w:rsidP="00300A01">
            <w:pPr>
              <w:spacing w:before="0" w:after="0"/>
              <w:jc w:val="center"/>
              <w:rPr>
                <w:b/>
                <w:sz w:val="16"/>
                <w:szCs w:val="16"/>
                <w:lang w:val="fr-BE"/>
              </w:rPr>
            </w:pPr>
            <w:r>
              <w:rPr>
                <w:b/>
                <w:sz w:val="16"/>
                <w:szCs w:val="16"/>
                <w:lang w:val="fr-BE"/>
              </w:rPr>
              <w:t xml:space="preserve">2019 </w:t>
            </w:r>
            <w:r w:rsidRPr="009143B4">
              <w:rPr>
                <w:b/>
                <w:noProof/>
                <w:sz w:val="16"/>
                <w:szCs w:val="16"/>
                <w:lang w:val="fr-BE"/>
              </w:rPr>
              <w:t>Kobiety</w:t>
            </w:r>
          </w:p>
        </w:tc>
        <w:tc>
          <w:tcPr>
            <w:tcW w:w="0" w:type="auto"/>
            <w:shd w:val="clear" w:color="auto" w:fill="auto"/>
          </w:tcPr>
          <w:p w14:paraId="5AA50563" w14:textId="77777777" w:rsidR="008C5CFA" w:rsidRPr="009143B4" w:rsidRDefault="00E82A60" w:rsidP="00300A01">
            <w:pPr>
              <w:spacing w:before="0" w:after="0"/>
              <w:jc w:val="center"/>
              <w:rPr>
                <w:b/>
                <w:sz w:val="16"/>
                <w:szCs w:val="16"/>
                <w:lang w:val="fr-BE"/>
              </w:rPr>
            </w:pPr>
            <w:r w:rsidRPr="009143B4">
              <w:rPr>
                <w:b/>
                <w:noProof/>
                <w:sz w:val="16"/>
                <w:szCs w:val="16"/>
                <w:lang w:val="fr-BE"/>
              </w:rPr>
              <w:t>Uwagi</w:t>
            </w:r>
          </w:p>
        </w:tc>
      </w:tr>
      <w:tr w:rsidR="006B2EC1" w14:paraId="3BB4F3D2" w14:textId="77777777" w:rsidTr="0047688D">
        <w:tc>
          <w:tcPr>
            <w:tcW w:w="0" w:type="auto"/>
          </w:tcPr>
          <w:p w14:paraId="4FB1DFC0" w14:textId="77777777" w:rsidR="008C5CFA" w:rsidRPr="0024468B" w:rsidRDefault="00E82A60" w:rsidP="00300A01">
            <w:pPr>
              <w:spacing w:before="0" w:after="0"/>
              <w:rPr>
                <w:sz w:val="16"/>
                <w:szCs w:val="16"/>
                <w:lang w:val="fr-BE"/>
              </w:rPr>
            </w:pPr>
            <w:r>
              <w:rPr>
                <w:noProof/>
                <w:sz w:val="16"/>
                <w:szCs w:val="16"/>
                <w:lang w:val="fr-BE"/>
              </w:rPr>
              <w:t>F</w:t>
            </w:r>
          </w:p>
        </w:tc>
        <w:tc>
          <w:tcPr>
            <w:tcW w:w="0" w:type="auto"/>
            <w:shd w:val="clear" w:color="auto" w:fill="auto"/>
          </w:tcPr>
          <w:p w14:paraId="75E1B565" w14:textId="77777777" w:rsidR="008C5CFA" w:rsidRPr="0024468B" w:rsidRDefault="00E82A60" w:rsidP="00300A01">
            <w:pPr>
              <w:spacing w:before="0" w:after="0"/>
              <w:rPr>
                <w:sz w:val="16"/>
                <w:szCs w:val="16"/>
                <w:lang w:val="fr-BE"/>
              </w:rPr>
            </w:pPr>
            <w:r w:rsidRPr="0024468B">
              <w:rPr>
                <w:noProof/>
                <w:sz w:val="16"/>
                <w:szCs w:val="16"/>
                <w:lang w:val="fr-BE"/>
              </w:rPr>
              <w:t>CO30</w:t>
            </w:r>
          </w:p>
        </w:tc>
        <w:tc>
          <w:tcPr>
            <w:tcW w:w="0" w:type="auto"/>
            <w:shd w:val="clear" w:color="auto" w:fill="auto"/>
          </w:tcPr>
          <w:p w14:paraId="6EF8CC10" w14:textId="77777777" w:rsidR="008C5CFA" w:rsidRPr="0024468B" w:rsidRDefault="00E82A60" w:rsidP="00300A01">
            <w:pPr>
              <w:spacing w:before="0" w:after="0"/>
              <w:rPr>
                <w:sz w:val="16"/>
                <w:szCs w:val="16"/>
                <w:lang w:val="fr-BE"/>
              </w:rPr>
            </w:pPr>
            <w:r w:rsidRPr="0024468B">
              <w:rPr>
                <w:noProof/>
                <w:sz w:val="16"/>
                <w:szCs w:val="16"/>
                <w:lang w:val="fr-BE"/>
              </w:rPr>
              <w:t>Energia odnawialna: dodatkowa zdolność wytwarzania energii ze źródeł odnawialnych</w:t>
            </w:r>
          </w:p>
        </w:tc>
        <w:tc>
          <w:tcPr>
            <w:tcW w:w="0" w:type="auto"/>
            <w:shd w:val="clear" w:color="auto" w:fill="auto"/>
          </w:tcPr>
          <w:p w14:paraId="59B98310" w14:textId="77777777" w:rsidR="008C5CFA" w:rsidRPr="0024468B" w:rsidRDefault="00E82A60" w:rsidP="00300A01">
            <w:pPr>
              <w:spacing w:before="0" w:after="0"/>
              <w:rPr>
                <w:sz w:val="16"/>
                <w:szCs w:val="16"/>
                <w:lang w:val="fr-BE"/>
              </w:rPr>
            </w:pPr>
            <w:r>
              <w:rPr>
                <w:noProof/>
                <w:sz w:val="16"/>
                <w:szCs w:val="16"/>
                <w:lang w:val="fr-BE"/>
              </w:rPr>
              <w:t>MW</w:t>
            </w:r>
          </w:p>
        </w:tc>
        <w:tc>
          <w:tcPr>
            <w:tcW w:w="0" w:type="auto"/>
            <w:shd w:val="clear" w:color="auto" w:fill="auto"/>
          </w:tcPr>
          <w:p w14:paraId="3CE5E364" w14:textId="77777777" w:rsidR="008C5CFA" w:rsidRPr="0024468B" w:rsidRDefault="00E82A60"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14:paraId="5A51405A" w14:textId="77777777" w:rsidR="008C5CFA" w:rsidRPr="0024468B" w:rsidRDefault="00E82A60" w:rsidP="00300A01">
            <w:pPr>
              <w:spacing w:before="0" w:after="0"/>
              <w:jc w:val="right"/>
              <w:rPr>
                <w:sz w:val="16"/>
                <w:szCs w:val="16"/>
                <w:lang w:val="fr-BE"/>
              </w:rPr>
            </w:pPr>
            <w:r>
              <w:rPr>
                <w:noProof/>
                <w:sz w:val="16"/>
                <w:szCs w:val="16"/>
                <w:lang w:val="fr-BE"/>
              </w:rPr>
              <w:t>20,00</w:t>
            </w:r>
          </w:p>
        </w:tc>
        <w:tc>
          <w:tcPr>
            <w:tcW w:w="0" w:type="auto"/>
            <w:shd w:val="clear" w:color="auto" w:fill="auto"/>
          </w:tcPr>
          <w:p w14:paraId="7A1EB268" w14:textId="77777777" w:rsidR="008C5CFA" w:rsidRPr="0024468B" w:rsidRDefault="008C5CFA" w:rsidP="00300A01">
            <w:pPr>
              <w:spacing w:before="0" w:after="0"/>
              <w:jc w:val="right"/>
              <w:rPr>
                <w:sz w:val="16"/>
                <w:szCs w:val="16"/>
                <w:lang w:val="fr-BE"/>
              </w:rPr>
            </w:pPr>
          </w:p>
        </w:tc>
        <w:tc>
          <w:tcPr>
            <w:tcW w:w="0" w:type="auto"/>
          </w:tcPr>
          <w:p w14:paraId="06AF2756" w14:textId="77777777" w:rsidR="008C5CFA" w:rsidRPr="0024468B" w:rsidRDefault="008C5CFA" w:rsidP="00300A01">
            <w:pPr>
              <w:spacing w:before="0" w:after="0"/>
              <w:jc w:val="right"/>
              <w:rPr>
                <w:sz w:val="16"/>
                <w:szCs w:val="16"/>
                <w:lang w:val="fr-BE"/>
              </w:rPr>
            </w:pPr>
          </w:p>
        </w:tc>
        <w:tc>
          <w:tcPr>
            <w:tcW w:w="0" w:type="auto"/>
            <w:shd w:val="clear" w:color="auto" w:fill="auto"/>
          </w:tcPr>
          <w:p w14:paraId="0884C2EC" w14:textId="77777777" w:rsidR="008C5CFA" w:rsidRPr="0024468B" w:rsidRDefault="00E82A60" w:rsidP="00300A01">
            <w:pPr>
              <w:spacing w:before="0" w:after="0"/>
              <w:jc w:val="right"/>
              <w:rPr>
                <w:sz w:val="16"/>
                <w:szCs w:val="16"/>
                <w:lang w:val="fr-BE"/>
              </w:rPr>
            </w:pPr>
            <w:r w:rsidRPr="0024468B">
              <w:rPr>
                <w:noProof/>
                <w:sz w:val="16"/>
                <w:szCs w:val="16"/>
                <w:lang w:val="fr-BE"/>
              </w:rPr>
              <w:t>10,08</w:t>
            </w:r>
          </w:p>
        </w:tc>
        <w:tc>
          <w:tcPr>
            <w:tcW w:w="0" w:type="auto"/>
            <w:shd w:val="clear" w:color="auto" w:fill="auto"/>
          </w:tcPr>
          <w:p w14:paraId="68367F72"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0DC41C99"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3789C770" w14:textId="77777777" w:rsidR="008C5CFA" w:rsidRPr="0024468B" w:rsidRDefault="008C5CFA" w:rsidP="00300A01">
            <w:pPr>
              <w:spacing w:before="0" w:after="0"/>
              <w:rPr>
                <w:sz w:val="16"/>
                <w:szCs w:val="16"/>
                <w:lang w:val="fr-BE"/>
              </w:rPr>
            </w:pPr>
          </w:p>
        </w:tc>
      </w:tr>
      <w:tr w:rsidR="006B2EC1" w14:paraId="47DE5525" w14:textId="77777777" w:rsidTr="0047688D">
        <w:tc>
          <w:tcPr>
            <w:tcW w:w="0" w:type="auto"/>
          </w:tcPr>
          <w:p w14:paraId="27FA9ADA" w14:textId="77777777" w:rsidR="008C5CFA" w:rsidRPr="0024468B" w:rsidRDefault="00E82A60" w:rsidP="00300A01">
            <w:pPr>
              <w:spacing w:before="0" w:after="0"/>
              <w:rPr>
                <w:sz w:val="16"/>
                <w:szCs w:val="16"/>
                <w:lang w:val="fr-BE"/>
              </w:rPr>
            </w:pPr>
            <w:r>
              <w:rPr>
                <w:noProof/>
                <w:sz w:val="16"/>
                <w:szCs w:val="16"/>
                <w:lang w:val="fr-BE"/>
              </w:rPr>
              <w:t>S</w:t>
            </w:r>
          </w:p>
        </w:tc>
        <w:tc>
          <w:tcPr>
            <w:tcW w:w="0" w:type="auto"/>
            <w:shd w:val="clear" w:color="auto" w:fill="auto"/>
          </w:tcPr>
          <w:p w14:paraId="541375AF" w14:textId="77777777" w:rsidR="008C5CFA" w:rsidRPr="0024468B" w:rsidRDefault="00E82A60" w:rsidP="00300A01">
            <w:pPr>
              <w:spacing w:before="0" w:after="0"/>
              <w:rPr>
                <w:sz w:val="16"/>
                <w:szCs w:val="16"/>
                <w:lang w:val="fr-BE"/>
              </w:rPr>
            </w:pPr>
            <w:r w:rsidRPr="0024468B">
              <w:rPr>
                <w:noProof/>
                <w:sz w:val="16"/>
                <w:szCs w:val="16"/>
                <w:lang w:val="fr-BE"/>
              </w:rPr>
              <w:t>CO30</w:t>
            </w:r>
          </w:p>
        </w:tc>
        <w:tc>
          <w:tcPr>
            <w:tcW w:w="0" w:type="auto"/>
            <w:shd w:val="clear" w:color="auto" w:fill="auto"/>
          </w:tcPr>
          <w:p w14:paraId="0996A846" w14:textId="77777777" w:rsidR="008C5CFA" w:rsidRPr="0024468B" w:rsidRDefault="00E82A60" w:rsidP="00300A01">
            <w:pPr>
              <w:spacing w:before="0" w:after="0"/>
              <w:rPr>
                <w:sz w:val="16"/>
                <w:szCs w:val="16"/>
                <w:lang w:val="fr-BE"/>
              </w:rPr>
            </w:pPr>
            <w:r w:rsidRPr="0024468B">
              <w:rPr>
                <w:noProof/>
                <w:sz w:val="16"/>
                <w:szCs w:val="16"/>
                <w:lang w:val="fr-BE"/>
              </w:rPr>
              <w:t>Energia odnawialna: dodatkowa zdolność wytwarzania energii ze źródeł odnawialnych</w:t>
            </w:r>
          </w:p>
        </w:tc>
        <w:tc>
          <w:tcPr>
            <w:tcW w:w="0" w:type="auto"/>
            <w:shd w:val="clear" w:color="auto" w:fill="auto"/>
          </w:tcPr>
          <w:p w14:paraId="73C235E8" w14:textId="77777777" w:rsidR="008C5CFA" w:rsidRPr="0024468B" w:rsidRDefault="00E82A60" w:rsidP="00300A01">
            <w:pPr>
              <w:spacing w:before="0" w:after="0"/>
              <w:rPr>
                <w:sz w:val="16"/>
                <w:szCs w:val="16"/>
                <w:lang w:val="fr-BE"/>
              </w:rPr>
            </w:pPr>
            <w:r>
              <w:rPr>
                <w:noProof/>
                <w:sz w:val="16"/>
                <w:szCs w:val="16"/>
                <w:lang w:val="fr-BE"/>
              </w:rPr>
              <w:t>MW</w:t>
            </w:r>
          </w:p>
        </w:tc>
        <w:tc>
          <w:tcPr>
            <w:tcW w:w="0" w:type="auto"/>
            <w:shd w:val="clear" w:color="auto" w:fill="auto"/>
          </w:tcPr>
          <w:p w14:paraId="7C9AF31F" w14:textId="77777777" w:rsidR="008C5CFA" w:rsidRPr="0024468B" w:rsidRDefault="00E82A60"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14:paraId="5F6DF78D" w14:textId="77777777" w:rsidR="008C5CFA" w:rsidRPr="0024468B" w:rsidRDefault="00E82A60" w:rsidP="00300A01">
            <w:pPr>
              <w:spacing w:before="0" w:after="0"/>
              <w:jc w:val="right"/>
              <w:rPr>
                <w:sz w:val="16"/>
                <w:szCs w:val="16"/>
                <w:lang w:val="fr-BE"/>
              </w:rPr>
            </w:pPr>
            <w:r>
              <w:rPr>
                <w:noProof/>
                <w:sz w:val="16"/>
                <w:szCs w:val="16"/>
                <w:lang w:val="fr-BE"/>
              </w:rPr>
              <w:t>20,00</w:t>
            </w:r>
          </w:p>
        </w:tc>
        <w:tc>
          <w:tcPr>
            <w:tcW w:w="0" w:type="auto"/>
            <w:shd w:val="clear" w:color="auto" w:fill="auto"/>
          </w:tcPr>
          <w:p w14:paraId="18BECFD7" w14:textId="77777777" w:rsidR="008C5CFA" w:rsidRPr="0024468B" w:rsidRDefault="008C5CFA" w:rsidP="00300A01">
            <w:pPr>
              <w:spacing w:before="0" w:after="0"/>
              <w:jc w:val="right"/>
              <w:rPr>
                <w:sz w:val="16"/>
                <w:szCs w:val="16"/>
                <w:lang w:val="fr-BE"/>
              </w:rPr>
            </w:pPr>
          </w:p>
        </w:tc>
        <w:tc>
          <w:tcPr>
            <w:tcW w:w="0" w:type="auto"/>
          </w:tcPr>
          <w:p w14:paraId="6B3828FE" w14:textId="77777777" w:rsidR="008C5CFA" w:rsidRPr="0024468B" w:rsidRDefault="008C5CFA" w:rsidP="00300A01">
            <w:pPr>
              <w:spacing w:before="0" w:after="0"/>
              <w:jc w:val="right"/>
              <w:rPr>
                <w:sz w:val="16"/>
                <w:szCs w:val="16"/>
                <w:lang w:val="fr-BE"/>
              </w:rPr>
            </w:pPr>
          </w:p>
        </w:tc>
        <w:tc>
          <w:tcPr>
            <w:tcW w:w="0" w:type="auto"/>
            <w:shd w:val="clear" w:color="auto" w:fill="auto"/>
          </w:tcPr>
          <w:p w14:paraId="648999D3" w14:textId="77777777" w:rsidR="008C5CFA" w:rsidRPr="0024468B" w:rsidRDefault="00E82A60" w:rsidP="00300A01">
            <w:pPr>
              <w:spacing w:before="0" w:after="0"/>
              <w:jc w:val="right"/>
              <w:rPr>
                <w:sz w:val="16"/>
                <w:szCs w:val="16"/>
                <w:lang w:val="fr-BE"/>
              </w:rPr>
            </w:pPr>
            <w:r w:rsidRPr="0024468B">
              <w:rPr>
                <w:noProof/>
                <w:sz w:val="16"/>
                <w:szCs w:val="16"/>
                <w:lang w:val="fr-BE"/>
              </w:rPr>
              <w:t>49,80</w:t>
            </w:r>
          </w:p>
        </w:tc>
        <w:tc>
          <w:tcPr>
            <w:tcW w:w="0" w:type="auto"/>
            <w:shd w:val="clear" w:color="auto" w:fill="auto"/>
          </w:tcPr>
          <w:p w14:paraId="0DDF0FBE"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416BA891"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5A2E9386" w14:textId="77777777" w:rsidR="008C5CFA" w:rsidRPr="0024468B" w:rsidRDefault="00E82A60" w:rsidP="00300A01">
            <w:pPr>
              <w:spacing w:before="0" w:after="0"/>
              <w:rPr>
                <w:sz w:val="16"/>
                <w:szCs w:val="16"/>
                <w:lang w:val="fr-BE"/>
              </w:rPr>
            </w:pPr>
            <w:r w:rsidRPr="0024468B">
              <w:rPr>
                <w:noProof/>
                <w:sz w:val="16"/>
                <w:szCs w:val="16"/>
                <w:lang w:val="fr-BE"/>
              </w:rPr>
              <w:t>W związku ze zmianą koncepcji realizacji PI 4a i dopuszczeniem w miejsce instalacji o dużych mocach projektów parasolowych, realizacja wskaźnika jest niedoszacowana. Wobec powyższego IZ podjęła decyzję o urealnieniu wartości docelowej wskaźnika do poziomu 40 MW dodatkowej zdolności wytwarzania energii.</w:t>
            </w:r>
          </w:p>
        </w:tc>
      </w:tr>
      <w:tr w:rsidR="006B2EC1" w14:paraId="11B62A64" w14:textId="77777777" w:rsidTr="0047688D">
        <w:tc>
          <w:tcPr>
            <w:tcW w:w="0" w:type="auto"/>
          </w:tcPr>
          <w:p w14:paraId="377541A3" w14:textId="77777777" w:rsidR="008C5CFA" w:rsidRPr="0024468B" w:rsidRDefault="00E82A60" w:rsidP="00300A01">
            <w:pPr>
              <w:spacing w:before="0" w:after="0"/>
              <w:rPr>
                <w:sz w:val="16"/>
                <w:szCs w:val="16"/>
                <w:lang w:val="fr-BE"/>
              </w:rPr>
            </w:pPr>
            <w:r>
              <w:rPr>
                <w:noProof/>
                <w:sz w:val="16"/>
                <w:szCs w:val="16"/>
                <w:lang w:val="fr-BE"/>
              </w:rPr>
              <w:t>F</w:t>
            </w:r>
          </w:p>
        </w:tc>
        <w:tc>
          <w:tcPr>
            <w:tcW w:w="0" w:type="auto"/>
            <w:shd w:val="clear" w:color="auto" w:fill="auto"/>
          </w:tcPr>
          <w:p w14:paraId="2863D1D9" w14:textId="77777777" w:rsidR="008C5CFA" w:rsidRPr="0024468B" w:rsidRDefault="00E82A60" w:rsidP="00300A01">
            <w:pPr>
              <w:spacing w:before="0" w:after="0"/>
              <w:rPr>
                <w:sz w:val="16"/>
                <w:szCs w:val="16"/>
                <w:lang w:val="fr-BE"/>
              </w:rPr>
            </w:pPr>
            <w:r w:rsidRPr="0024468B">
              <w:rPr>
                <w:noProof/>
                <w:sz w:val="16"/>
                <w:szCs w:val="16"/>
                <w:lang w:val="fr-BE"/>
              </w:rPr>
              <w:t>CO34</w:t>
            </w:r>
          </w:p>
        </w:tc>
        <w:tc>
          <w:tcPr>
            <w:tcW w:w="0" w:type="auto"/>
            <w:shd w:val="clear" w:color="auto" w:fill="auto"/>
          </w:tcPr>
          <w:p w14:paraId="18763E30" w14:textId="77777777" w:rsidR="008C5CFA" w:rsidRPr="0024468B" w:rsidRDefault="00E82A60" w:rsidP="00300A01">
            <w:pPr>
              <w:spacing w:before="0" w:after="0"/>
              <w:rPr>
                <w:sz w:val="16"/>
                <w:szCs w:val="16"/>
                <w:lang w:val="fr-BE"/>
              </w:rPr>
            </w:pPr>
            <w:r w:rsidRPr="0024468B">
              <w:rPr>
                <w:noProof/>
                <w:sz w:val="16"/>
                <w:szCs w:val="16"/>
                <w:lang w:val="fr-BE"/>
              </w:rPr>
              <w:t>Redukcja emisji gazów cieplarnianych: szacowany roczny spadek emisji gazów cieplarnianych</w:t>
            </w:r>
          </w:p>
        </w:tc>
        <w:tc>
          <w:tcPr>
            <w:tcW w:w="0" w:type="auto"/>
            <w:shd w:val="clear" w:color="auto" w:fill="auto"/>
          </w:tcPr>
          <w:p w14:paraId="0B3C6E70" w14:textId="77777777" w:rsidR="008C5CFA" w:rsidRPr="0024468B" w:rsidRDefault="00E82A60" w:rsidP="00300A01">
            <w:pPr>
              <w:spacing w:before="0" w:after="0"/>
              <w:rPr>
                <w:sz w:val="16"/>
                <w:szCs w:val="16"/>
                <w:lang w:val="fr-BE"/>
              </w:rPr>
            </w:pPr>
            <w:r>
              <w:rPr>
                <w:noProof/>
                <w:sz w:val="16"/>
                <w:szCs w:val="16"/>
                <w:lang w:val="fr-BE"/>
              </w:rPr>
              <w:t>Tony równoważnika CO2</w:t>
            </w:r>
          </w:p>
        </w:tc>
        <w:tc>
          <w:tcPr>
            <w:tcW w:w="0" w:type="auto"/>
            <w:shd w:val="clear" w:color="auto" w:fill="auto"/>
          </w:tcPr>
          <w:p w14:paraId="28657E9A" w14:textId="77777777" w:rsidR="008C5CFA" w:rsidRPr="0024468B" w:rsidRDefault="00E82A60"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14:paraId="58B6B176" w14:textId="77777777" w:rsidR="008C5CFA" w:rsidRPr="0024468B" w:rsidRDefault="00E82A60" w:rsidP="00300A01">
            <w:pPr>
              <w:spacing w:before="0" w:after="0"/>
              <w:jc w:val="right"/>
              <w:rPr>
                <w:sz w:val="16"/>
                <w:szCs w:val="16"/>
                <w:lang w:val="fr-BE"/>
              </w:rPr>
            </w:pPr>
            <w:r>
              <w:rPr>
                <w:noProof/>
                <w:sz w:val="16"/>
                <w:szCs w:val="16"/>
                <w:lang w:val="fr-BE"/>
              </w:rPr>
              <w:t>59 200,00</w:t>
            </w:r>
          </w:p>
        </w:tc>
        <w:tc>
          <w:tcPr>
            <w:tcW w:w="0" w:type="auto"/>
            <w:shd w:val="clear" w:color="auto" w:fill="auto"/>
          </w:tcPr>
          <w:p w14:paraId="73C2DBB3" w14:textId="77777777" w:rsidR="008C5CFA" w:rsidRPr="0024468B" w:rsidRDefault="008C5CFA" w:rsidP="00300A01">
            <w:pPr>
              <w:spacing w:before="0" w:after="0"/>
              <w:jc w:val="right"/>
              <w:rPr>
                <w:sz w:val="16"/>
                <w:szCs w:val="16"/>
                <w:lang w:val="fr-BE"/>
              </w:rPr>
            </w:pPr>
          </w:p>
        </w:tc>
        <w:tc>
          <w:tcPr>
            <w:tcW w:w="0" w:type="auto"/>
          </w:tcPr>
          <w:p w14:paraId="15734815" w14:textId="77777777" w:rsidR="008C5CFA" w:rsidRPr="0024468B" w:rsidRDefault="008C5CFA" w:rsidP="00300A01">
            <w:pPr>
              <w:spacing w:before="0" w:after="0"/>
              <w:jc w:val="right"/>
              <w:rPr>
                <w:sz w:val="16"/>
                <w:szCs w:val="16"/>
                <w:lang w:val="fr-BE"/>
              </w:rPr>
            </w:pPr>
          </w:p>
        </w:tc>
        <w:tc>
          <w:tcPr>
            <w:tcW w:w="0" w:type="auto"/>
            <w:shd w:val="clear" w:color="auto" w:fill="auto"/>
          </w:tcPr>
          <w:p w14:paraId="02A11065" w14:textId="77777777" w:rsidR="008C5CFA" w:rsidRPr="0024468B" w:rsidRDefault="00E82A60" w:rsidP="00300A01">
            <w:pPr>
              <w:spacing w:before="0" w:after="0"/>
              <w:jc w:val="right"/>
              <w:rPr>
                <w:sz w:val="16"/>
                <w:szCs w:val="16"/>
                <w:lang w:val="fr-BE"/>
              </w:rPr>
            </w:pPr>
            <w:r w:rsidRPr="0024468B">
              <w:rPr>
                <w:noProof/>
                <w:sz w:val="16"/>
                <w:szCs w:val="16"/>
                <w:lang w:val="fr-BE"/>
              </w:rPr>
              <w:t>2 721,81</w:t>
            </w:r>
          </w:p>
        </w:tc>
        <w:tc>
          <w:tcPr>
            <w:tcW w:w="0" w:type="auto"/>
            <w:shd w:val="clear" w:color="auto" w:fill="auto"/>
          </w:tcPr>
          <w:p w14:paraId="77FEA018"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7E50BBC4"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7A40597E" w14:textId="77777777" w:rsidR="008C5CFA" w:rsidRPr="0024468B" w:rsidRDefault="008C5CFA" w:rsidP="00300A01">
            <w:pPr>
              <w:spacing w:before="0" w:after="0"/>
              <w:rPr>
                <w:sz w:val="16"/>
                <w:szCs w:val="16"/>
                <w:lang w:val="fr-BE"/>
              </w:rPr>
            </w:pPr>
          </w:p>
        </w:tc>
      </w:tr>
      <w:tr w:rsidR="006B2EC1" w14:paraId="0B281836" w14:textId="77777777" w:rsidTr="0047688D">
        <w:tc>
          <w:tcPr>
            <w:tcW w:w="0" w:type="auto"/>
          </w:tcPr>
          <w:p w14:paraId="1484FC4C" w14:textId="77777777" w:rsidR="008C5CFA" w:rsidRPr="0024468B" w:rsidRDefault="00E82A60" w:rsidP="00300A01">
            <w:pPr>
              <w:spacing w:before="0" w:after="0"/>
              <w:rPr>
                <w:sz w:val="16"/>
                <w:szCs w:val="16"/>
                <w:lang w:val="fr-BE"/>
              </w:rPr>
            </w:pPr>
            <w:r>
              <w:rPr>
                <w:noProof/>
                <w:sz w:val="16"/>
                <w:szCs w:val="16"/>
                <w:lang w:val="fr-BE"/>
              </w:rPr>
              <w:t>S</w:t>
            </w:r>
          </w:p>
        </w:tc>
        <w:tc>
          <w:tcPr>
            <w:tcW w:w="0" w:type="auto"/>
            <w:shd w:val="clear" w:color="auto" w:fill="auto"/>
          </w:tcPr>
          <w:p w14:paraId="4CCFAB67" w14:textId="77777777" w:rsidR="008C5CFA" w:rsidRPr="0024468B" w:rsidRDefault="00E82A60" w:rsidP="00300A01">
            <w:pPr>
              <w:spacing w:before="0" w:after="0"/>
              <w:rPr>
                <w:sz w:val="16"/>
                <w:szCs w:val="16"/>
                <w:lang w:val="fr-BE"/>
              </w:rPr>
            </w:pPr>
            <w:r w:rsidRPr="0024468B">
              <w:rPr>
                <w:noProof/>
                <w:sz w:val="16"/>
                <w:szCs w:val="16"/>
                <w:lang w:val="fr-BE"/>
              </w:rPr>
              <w:t>CO34</w:t>
            </w:r>
          </w:p>
        </w:tc>
        <w:tc>
          <w:tcPr>
            <w:tcW w:w="0" w:type="auto"/>
            <w:shd w:val="clear" w:color="auto" w:fill="auto"/>
          </w:tcPr>
          <w:p w14:paraId="55EF664F" w14:textId="77777777" w:rsidR="008C5CFA" w:rsidRPr="0024468B" w:rsidRDefault="00E82A60" w:rsidP="00300A01">
            <w:pPr>
              <w:spacing w:before="0" w:after="0"/>
              <w:rPr>
                <w:sz w:val="16"/>
                <w:szCs w:val="16"/>
                <w:lang w:val="fr-BE"/>
              </w:rPr>
            </w:pPr>
            <w:r w:rsidRPr="0024468B">
              <w:rPr>
                <w:noProof/>
                <w:sz w:val="16"/>
                <w:szCs w:val="16"/>
                <w:lang w:val="fr-BE"/>
              </w:rPr>
              <w:t>Redukcja emisji gazów cieplarnianych: szacowany roczny spadek emisji gazów cieplarnianych</w:t>
            </w:r>
          </w:p>
        </w:tc>
        <w:tc>
          <w:tcPr>
            <w:tcW w:w="0" w:type="auto"/>
            <w:shd w:val="clear" w:color="auto" w:fill="auto"/>
          </w:tcPr>
          <w:p w14:paraId="5C34C102" w14:textId="77777777" w:rsidR="008C5CFA" w:rsidRPr="0024468B" w:rsidRDefault="00E82A60" w:rsidP="00300A01">
            <w:pPr>
              <w:spacing w:before="0" w:after="0"/>
              <w:rPr>
                <w:sz w:val="16"/>
                <w:szCs w:val="16"/>
                <w:lang w:val="fr-BE"/>
              </w:rPr>
            </w:pPr>
            <w:r>
              <w:rPr>
                <w:noProof/>
                <w:sz w:val="16"/>
                <w:szCs w:val="16"/>
                <w:lang w:val="fr-BE"/>
              </w:rPr>
              <w:t>Tony równoważnika CO2</w:t>
            </w:r>
          </w:p>
        </w:tc>
        <w:tc>
          <w:tcPr>
            <w:tcW w:w="0" w:type="auto"/>
            <w:shd w:val="clear" w:color="auto" w:fill="auto"/>
          </w:tcPr>
          <w:p w14:paraId="6EDD6189" w14:textId="77777777" w:rsidR="008C5CFA" w:rsidRPr="0024468B" w:rsidRDefault="00E82A60"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14:paraId="3DF3AF9E" w14:textId="77777777" w:rsidR="008C5CFA" w:rsidRPr="0024468B" w:rsidRDefault="00E82A60" w:rsidP="00300A01">
            <w:pPr>
              <w:spacing w:before="0" w:after="0"/>
              <w:jc w:val="right"/>
              <w:rPr>
                <w:sz w:val="16"/>
                <w:szCs w:val="16"/>
                <w:lang w:val="fr-BE"/>
              </w:rPr>
            </w:pPr>
            <w:r>
              <w:rPr>
                <w:noProof/>
                <w:sz w:val="16"/>
                <w:szCs w:val="16"/>
                <w:lang w:val="fr-BE"/>
              </w:rPr>
              <w:t>59 200,00</w:t>
            </w:r>
          </w:p>
        </w:tc>
        <w:tc>
          <w:tcPr>
            <w:tcW w:w="0" w:type="auto"/>
            <w:shd w:val="clear" w:color="auto" w:fill="auto"/>
          </w:tcPr>
          <w:p w14:paraId="48A51B23" w14:textId="77777777" w:rsidR="008C5CFA" w:rsidRPr="0024468B" w:rsidRDefault="008C5CFA" w:rsidP="00300A01">
            <w:pPr>
              <w:spacing w:before="0" w:after="0"/>
              <w:jc w:val="right"/>
              <w:rPr>
                <w:sz w:val="16"/>
                <w:szCs w:val="16"/>
                <w:lang w:val="fr-BE"/>
              </w:rPr>
            </w:pPr>
          </w:p>
        </w:tc>
        <w:tc>
          <w:tcPr>
            <w:tcW w:w="0" w:type="auto"/>
          </w:tcPr>
          <w:p w14:paraId="010EE649" w14:textId="77777777" w:rsidR="008C5CFA" w:rsidRPr="0024468B" w:rsidRDefault="008C5CFA" w:rsidP="00300A01">
            <w:pPr>
              <w:spacing w:before="0" w:after="0"/>
              <w:jc w:val="right"/>
              <w:rPr>
                <w:sz w:val="16"/>
                <w:szCs w:val="16"/>
                <w:lang w:val="fr-BE"/>
              </w:rPr>
            </w:pPr>
          </w:p>
        </w:tc>
        <w:tc>
          <w:tcPr>
            <w:tcW w:w="0" w:type="auto"/>
            <w:shd w:val="clear" w:color="auto" w:fill="auto"/>
          </w:tcPr>
          <w:p w14:paraId="33A52675" w14:textId="77777777" w:rsidR="008C5CFA" w:rsidRPr="0024468B" w:rsidRDefault="00E82A60" w:rsidP="00300A01">
            <w:pPr>
              <w:spacing w:before="0" w:after="0"/>
              <w:jc w:val="right"/>
              <w:rPr>
                <w:sz w:val="16"/>
                <w:szCs w:val="16"/>
                <w:lang w:val="fr-BE"/>
              </w:rPr>
            </w:pPr>
            <w:r w:rsidRPr="0024468B">
              <w:rPr>
                <w:noProof/>
                <w:sz w:val="16"/>
                <w:szCs w:val="16"/>
                <w:lang w:val="fr-BE"/>
              </w:rPr>
              <w:t>33 871,97</w:t>
            </w:r>
          </w:p>
        </w:tc>
        <w:tc>
          <w:tcPr>
            <w:tcW w:w="0" w:type="auto"/>
            <w:shd w:val="clear" w:color="auto" w:fill="auto"/>
          </w:tcPr>
          <w:p w14:paraId="61C12939"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4A57696E"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16746A8B" w14:textId="77777777" w:rsidR="008C5CFA" w:rsidRPr="0024468B" w:rsidRDefault="00E82A60" w:rsidP="00300A01">
            <w:pPr>
              <w:spacing w:before="0" w:after="0"/>
              <w:rPr>
                <w:sz w:val="16"/>
                <w:szCs w:val="16"/>
                <w:lang w:val="fr-BE"/>
              </w:rPr>
            </w:pPr>
            <w:r w:rsidRPr="0024468B">
              <w:rPr>
                <w:sz w:val="16"/>
                <w:szCs w:val="16"/>
                <w:lang w:val="fr-BE"/>
              </w:rPr>
              <w:t xml:space="preserve">Przyczyną braku realizacji wartości docelowej wskaźnika są błędy metodyczne popełnione na etapie jej szacowania. Wartość wskaźnika jest pochodną ilości wyprodukowanej w instalacjach OZE energii elektrycznej i cieplnej. Do obliczenia spodziewanego poziomu redukcji emisji zastosowano wyłącznie wskaźnik emisyjności dla energii cieplnej, którego wartość znacząco różni się od wartości wskaźnika emisyjności dla energii elektrycznej (pomimo, iż spodziewanym rezultatem programu miała być przede wszystkim produkcja energii elektrycznej, na co wskazują przedstawione w </w:t>
            </w:r>
            <w:r>
              <w:t>"</w:t>
            </w:r>
            <w:r w:rsidRPr="0024468B">
              <w:rPr>
                <w:sz w:val="16"/>
                <w:szCs w:val="16"/>
                <w:lang w:val="fr-BE"/>
              </w:rPr>
              <w:t>Metodologii szacowania wartości docelowych dla wskaźników wybranych do realizacji w RPOWŚ 2014-2020</w:t>
            </w:r>
            <w:r>
              <w:t>"</w:t>
            </w:r>
            <w:r w:rsidRPr="0024468B">
              <w:rPr>
                <w:sz w:val="16"/>
                <w:szCs w:val="16"/>
                <w:lang w:val="fr-BE"/>
              </w:rPr>
              <w:t xml:space="preserve"> założenia). Wobec powyższego IZ podjęła decyzję o urealnieniu wartości docelowej wskaźnika do poziomu 27 000 ton równoważnika CO2.</w:t>
            </w:r>
          </w:p>
        </w:tc>
      </w:tr>
      <w:tr w:rsidR="006B2EC1" w14:paraId="114D62C3" w14:textId="77777777" w:rsidTr="0047688D">
        <w:tc>
          <w:tcPr>
            <w:tcW w:w="0" w:type="auto"/>
          </w:tcPr>
          <w:p w14:paraId="1C358E8F" w14:textId="77777777" w:rsidR="008C5CFA" w:rsidRPr="0024468B" w:rsidRDefault="00E82A60" w:rsidP="00300A01">
            <w:pPr>
              <w:spacing w:before="0" w:after="0"/>
              <w:rPr>
                <w:sz w:val="16"/>
                <w:szCs w:val="16"/>
                <w:lang w:val="fr-BE"/>
              </w:rPr>
            </w:pPr>
            <w:r>
              <w:rPr>
                <w:noProof/>
                <w:sz w:val="16"/>
                <w:szCs w:val="16"/>
                <w:lang w:val="fr-BE"/>
              </w:rPr>
              <w:t>F</w:t>
            </w:r>
          </w:p>
        </w:tc>
        <w:tc>
          <w:tcPr>
            <w:tcW w:w="0" w:type="auto"/>
            <w:shd w:val="clear" w:color="auto" w:fill="auto"/>
          </w:tcPr>
          <w:p w14:paraId="4DAACD9A" w14:textId="77777777" w:rsidR="008C5CFA" w:rsidRPr="0024468B" w:rsidRDefault="00E82A60" w:rsidP="00300A01">
            <w:pPr>
              <w:spacing w:before="0" w:after="0"/>
              <w:rPr>
                <w:sz w:val="16"/>
                <w:szCs w:val="16"/>
                <w:lang w:val="fr-BE"/>
              </w:rPr>
            </w:pPr>
            <w:r>
              <w:rPr>
                <w:noProof/>
                <w:sz w:val="16"/>
                <w:szCs w:val="16"/>
                <w:lang w:val="fr-BE"/>
              </w:rPr>
              <w:t>27</w:t>
            </w:r>
          </w:p>
        </w:tc>
        <w:tc>
          <w:tcPr>
            <w:tcW w:w="0" w:type="auto"/>
            <w:shd w:val="clear" w:color="auto" w:fill="auto"/>
          </w:tcPr>
          <w:p w14:paraId="2C9E7BFE" w14:textId="77777777" w:rsidR="008C5CFA" w:rsidRPr="0024468B" w:rsidRDefault="00E82A60" w:rsidP="00300A01">
            <w:pPr>
              <w:spacing w:before="0" w:after="0"/>
              <w:rPr>
                <w:sz w:val="16"/>
                <w:szCs w:val="16"/>
                <w:lang w:val="fr-BE"/>
              </w:rPr>
            </w:pPr>
            <w:r>
              <w:rPr>
                <w:noProof/>
                <w:sz w:val="16"/>
                <w:szCs w:val="16"/>
                <w:lang w:val="fr-BE"/>
              </w:rPr>
              <w:t>Liczba jednostek wytwarzania energii elektrycznej z OZE</w:t>
            </w:r>
          </w:p>
        </w:tc>
        <w:tc>
          <w:tcPr>
            <w:tcW w:w="0" w:type="auto"/>
            <w:shd w:val="clear" w:color="auto" w:fill="auto"/>
          </w:tcPr>
          <w:p w14:paraId="57077A17" w14:textId="77777777" w:rsidR="008C5CFA" w:rsidRPr="0024468B" w:rsidRDefault="00E82A60" w:rsidP="00300A01">
            <w:pPr>
              <w:spacing w:before="0" w:after="0"/>
              <w:rPr>
                <w:sz w:val="16"/>
                <w:szCs w:val="16"/>
                <w:lang w:val="fr-BE"/>
              </w:rPr>
            </w:pPr>
            <w:r w:rsidRPr="0024468B">
              <w:rPr>
                <w:noProof/>
                <w:sz w:val="16"/>
                <w:szCs w:val="16"/>
                <w:lang w:val="fr-BE"/>
              </w:rPr>
              <w:t>szt.</w:t>
            </w:r>
          </w:p>
        </w:tc>
        <w:tc>
          <w:tcPr>
            <w:tcW w:w="0" w:type="auto"/>
            <w:shd w:val="clear" w:color="auto" w:fill="auto"/>
          </w:tcPr>
          <w:p w14:paraId="54E3B4BF" w14:textId="77777777" w:rsidR="008C5CFA" w:rsidRPr="0024468B" w:rsidRDefault="00E82A60"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14:paraId="3E99EEE9" w14:textId="77777777" w:rsidR="008C5CFA" w:rsidRPr="0024468B" w:rsidRDefault="00E82A60" w:rsidP="00300A01">
            <w:pPr>
              <w:spacing w:before="0" w:after="0"/>
              <w:jc w:val="right"/>
              <w:rPr>
                <w:sz w:val="16"/>
                <w:szCs w:val="16"/>
                <w:lang w:val="fr-BE"/>
              </w:rPr>
            </w:pPr>
            <w:r>
              <w:rPr>
                <w:noProof/>
                <w:sz w:val="16"/>
                <w:szCs w:val="16"/>
                <w:lang w:val="fr-BE"/>
              </w:rPr>
              <w:t>23,00</w:t>
            </w:r>
          </w:p>
        </w:tc>
        <w:tc>
          <w:tcPr>
            <w:tcW w:w="0" w:type="auto"/>
            <w:shd w:val="clear" w:color="auto" w:fill="auto"/>
          </w:tcPr>
          <w:p w14:paraId="326F2D39" w14:textId="77777777" w:rsidR="008C5CFA" w:rsidRPr="0024468B" w:rsidRDefault="008C5CFA" w:rsidP="00300A01">
            <w:pPr>
              <w:spacing w:before="0" w:after="0"/>
              <w:jc w:val="right"/>
              <w:rPr>
                <w:sz w:val="16"/>
                <w:szCs w:val="16"/>
                <w:lang w:val="fr-BE"/>
              </w:rPr>
            </w:pPr>
          </w:p>
        </w:tc>
        <w:tc>
          <w:tcPr>
            <w:tcW w:w="0" w:type="auto"/>
          </w:tcPr>
          <w:p w14:paraId="6E26AF9B" w14:textId="77777777" w:rsidR="008C5CFA" w:rsidRPr="0024468B" w:rsidRDefault="008C5CFA" w:rsidP="00300A01">
            <w:pPr>
              <w:spacing w:before="0" w:after="0"/>
              <w:jc w:val="right"/>
              <w:rPr>
                <w:sz w:val="16"/>
                <w:szCs w:val="16"/>
                <w:lang w:val="fr-BE"/>
              </w:rPr>
            </w:pPr>
          </w:p>
        </w:tc>
        <w:tc>
          <w:tcPr>
            <w:tcW w:w="0" w:type="auto"/>
            <w:shd w:val="clear" w:color="auto" w:fill="auto"/>
          </w:tcPr>
          <w:p w14:paraId="5D2BCD96" w14:textId="77777777" w:rsidR="008C5CFA" w:rsidRPr="0024468B" w:rsidRDefault="00E82A60" w:rsidP="00300A01">
            <w:pPr>
              <w:spacing w:before="0" w:after="0"/>
              <w:jc w:val="right"/>
              <w:rPr>
                <w:sz w:val="16"/>
                <w:szCs w:val="16"/>
                <w:lang w:val="fr-BE"/>
              </w:rPr>
            </w:pPr>
            <w:r w:rsidRPr="0024468B">
              <w:rPr>
                <w:noProof/>
                <w:sz w:val="16"/>
                <w:szCs w:val="16"/>
                <w:lang w:val="fr-BE"/>
              </w:rPr>
              <w:t>1 878,00</w:t>
            </w:r>
          </w:p>
        </w:tc>
        <w:tc>
          <w:tcPr>
            <w:tcW w:w="0" w:type="auto"/>
            <w:shd w:val="clear" w:color="auto" w:fill="auto"/>
          </w:tcPr>
          <w:p w14:paraId="747ACC21"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25F6099F"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6ADBE782" w14:textId="77777777" w:rsidR="008C5CFA" w:rsidRPr="0024468B" w:rsidRDefault="00E82A60" w:rsidP="00300A01">
            <w:pPr>
              <w:spacing w:before="0" w:after="0"/>
              <w:rPr>
                <w:sz w:val="16"/>
                <w:szCs w:val="16"/>
                <w:lang w:val="fr-BE"/>
              </w:rPr>
            </w:pPr>
            <w:r w:rsidRPr="0024468B">
              <w:rPr>
                <w:noProof/>
                <w:sz w:val="16"/>
                <w:szCs w:val="16"/>
                <w:lang w:val="fr-BE"/>
              </w:rPr>
              <w:t>Proponowana zmiana pozwoli  zrealizować wskaźnika na poziomie 45%.</w:t>
            </w:r>
          </w:p>
        </w:tc>
      </w:tr>
      <w:tr w:rsidR="006B2EC1" w14:paraId="60667BAF" w14:textId="77777777" w:rsidTr="0047688D">
        <w:tc>
          <w:tcPr>
            <w:tcW w:w="0" w:type="auto"/>
          </w:tcPr>
          <w:p w14:paraId="60D2821E" w14:textId="77777777" w:rsidR="008C5CFA" w:rsidRPr="0024468B" w:rsidRDefault="00E82A60" w:rsidP="00300A01">
            <w:pPr>
              <w:spacing w:before="0" w:after="0"/>
              <w:rPr>
                <w:sz w:val="16"/>
                <w:szCs w:val="16"/>
                <w:lang w:val="fr-BE"/>
              </w:rPr>
            </w:pPr>
            <w:r>
              <w:rPr>
                <w:noProof/>
                <w:sz w:val="16"/>
                <w:szCs w:val="16"/>
                <w:lang w:val="fr-BE"/>
              </w:rPr>
              <w:t>S</w:t>
            </w:r>
          </w:p>
        </w:tc>
        <w:tc>
          <w:tcPr>
            <w:tcW w:w="0" w:type="auto"/>
            <w:shd w:val="clear" w:color="auto" w:fill="auto"/>
          </w:tcPr>
          <w:p w14:paraId="06D6AA58" w14:textId="77777777" w:rsidR="008C5CFA" w:rsidRPr="0024468B" w:rsidRDefault="00E82A60" w:rsidP="00300A01">
            <w:pPr>
              <w:spacing w:before="0" w:after="0"/>
              <w:rPr>
                <w:sz w:val="16"/>
                <w:szCs w:val="16"/>
                <w:lang w:val="fr-BE"/>
              </w:rPr>
            </w:pPr>
            <w:r>
              <w:rPr>
                <w:noProof/>
                <w:sz w:val="16"/>
                <w:szCs w:val="16"/>
                <w:lang w:val="fr-BE"/>
              </w:rPr>
              <w:t>27</w:t>
            </w:r>
          </w:p>
        </w:tc>
        <w:tc>
          <w:tcPr>
            <w:tcW w:w="0" w:type="auto"/>
            <w:shd w:val="clear" w:color="auto" w:fill="auto"/>
          </w:tcPr>
          <w:p w14:paraId="7451A597" w14:textId="77777777" w:rsidR="008C5CFA" w:rsidRPr="0024468B" w:rsidRDefault="00E82A60" w:rsidP="00300A01">
            <w:pPr>
              <w:spacing w:before="0" w:after="0"/>
              <w:rPr>
                <w:sz w:val="16"/>
                <w:szCs w:val="16"/>
                <w:lang w:val="fr-BE"/>
              </w:rPr>
            </w:pPr>
            <w:r>
              <w:rPr>
                <w:noProof/>
                <w:sz w:val="16"/>
                <w:szCs w:val="16"/>
                <w:lang w:val="fr-BE"/>
              </w:rPr>
              <w:t>Liczba jednostek wytwarzania energii elektrycznej z OZE</w:t>
            </w:r>
          </w:p>
        </w:tc>
        <w:tc>
          <w:tcPr>
            <w:tcW w:w="0" w:type="auto"/>
            <w:shd w:val="clear" w:color="auto" w:fill="auto"/>
          </w:tcPr>
          <w:p w14:paraId="7B4A97D3" w14:textId="77777777" w:rsidR="008C5CFA" w:rsidRPr="0024468B" w:rsidRDefault="00E82A60" w:rsidP="00300A01">
            <w:pPr>
              <w:spacing w:before="0" w:after="0"/>
              <w:rPr>
                <w:sz w:val="16"/>
                <w:szCs w:val="16"/>
                <w:lang w:val="fr-BE"/>
              </w:rPr>
            </w:pPr>
            <w:r w:rsidRPr="0024468B">
              <w:rPr>
                <w:noProof/>
                <w:sz w:val="16"/>
                <w:szCs w:val="16"/>
                <w:lang w:val="fr-BE"/>
              </w:rPr>
              <w:t>szt.</w:t>
            </w:r>
          </w:p>
        </w:tc>
        <w:tc>
          <w:tcPr>
            <w:tcW w:w="0" w:type="auto"/>
            <w:shd w:val="clear" w:color="auto" w:fill="auto"/>
          </w:tcPr>
          <w:p w14:paraId="77AF7129" w14:textId="77777777" w:rsidR="008C5CFA" w:rsidRPr="0024468B" w:rsidRDefault="00E82A60"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14:paraId="2095274F" w14:textId="77777777" w:rsidR="008C5CFA" w:rsidRPr="0024468B" w:rsidRDefault="00E82A60" w:rsidP="00300A01">
            <w:pPr>
              <w:spacing w:before="0" w:after="0"/>
              <w:jc w:val="right"/>
              <w:rPr>
                <w:sz w:val="16"/>
                <w:szCs w:val="16"/>
                <w:lang w:val="fr-BE"/>
              </w:rPr>
            </w:pPr>
            <w:r>
              <w:rPr>
                <w:noProof/>
                <w:sz w:val="16"/>
                <w:szCs w:val="16"/>
                <w:lang w:val="fr-BE"/>
              </w:rPr>
              <w:t>23,00</w:t>
            </w:r>
          </w:p>
        </w:tc>
        <w:tc>
          <w:tcPr>
            <w:tcW w:w="0" w:type="auto"/>
            <w:shd w:val="clear" w:color="auto" w:fill="auto"/>
          </w:tcPr>
          <w:p w14:paraId="1511CD74" w14:textId="77777777" w:rsidR="008C5CFA" w:rsidRPr="0024468B" w:rsidRDefault="008C5CFA" w:rsidP="00300A01">
            <w:pPr>
              <w:spacing w:before="0" w:after="0"/>
              <w:jc w:val="right"/>
              <w:rPr>
                <w:sz w:val="16"/>
                <w:szCs w:val="16"/>
                <w:lang w:val="fr-BE"/>
              </w:rPr>
            </w:pPr>
          </w:p>
        </w:tc>
        <w:tc>
          <w:tcPr>
            <w:tcW w:w="0" w:type="auto"/>
          </w:tcPr>
          <w:p w14:paraId="6703A71E" w14:textId="77777777" w:rsidR="008C5CFA" w:rsidRPr="0024468B" w:rsidRDefault="008C5CFA" w:rsidP="00300A01">
            <w:pPr>
              <w:spacing w:before="0" w:after="0"/>
              <w:jc w:val="right"/>
              <w:rPr>
                <w:sz w:val="16"/>
                <w:szCs w:val="16"/>
                <w:lang w:val="fr-BE"/>
              </w:rPr>
            </w:pPr>
          </w:p>
        </w:tc>
        <w:tc>
          <w:tcPr>
            <w:tcW w:w="0" w:type="auto"/>
            <w:shd w:val="clear" w:color="auto" w:fill="auto"/>
          </w:tcPr>
          <w:p w14:paraId="122F0AC9" w14:textId="77777777" w:rsidR="008C5CFA" w:rsidRPr="0024468B" w:rsidRDefault="00E82A60" w:rsidP="00300A01">
            <w:pPr>
              <w:spacing w:before="0" w:after="0"/>
              <w:jc w:val="right"/>
              <w:rPr>
                <w:sz w:val="16"/>
                <w:szCs w:val="16"/>
                <w:lang w:val="fr-BE"/>
              </w:rPr>
            </w:pPr>
            <w:r w:rsidRPr="0024468B">
              <w:rPr>
                <w:noProof/>
                <w:sz w:val="16"/>
                <w:szCs w:val="16"/>
                <w:lang w:val="fr-BE"/>
              </w:rPr>
              <w:t>5 243,00</w:t>
            </w:r>
          </w:p>
        </w:tc>
        <w:tc>
          <w:tcPr>
            <w:tcW w:w="0" w:type="auto"/>
            <w:shd w:val="clear" w:color="auto" w:fill="auto"/>
          </w:tcPr>
          <w:p w14:paraId="31BD6F2D"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4B5EE6FE"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12D0695B" w14:textId="77777777" w:rsidR="008C5CFA" w:rsidRPr="0024468B" w:rsidRDefault="00E82A60" w:rsidP="00300A01">
            <w:pPr>
              <w:spacing w:before="0" w:after="0"/>
              <w:rPr>
                <w:sz w:val="16"/>
                <w:szCs w:val="16"/>
                <w:lang w:val="fr-BE"/>
              </w:rPr>
            </w:pPr>
            <w:r w:rsidRPr="0024468B">
              <w:rPr>
                <w:noProof/>
                <w:sz w:val="16"/>
                <w:szCs w:val="16"/>
                <w:lang w:val="fr-BE"/>
              </w:rPr>
              <w:t>W związku ze zmianą koncepcji realizacji PI 4a i dopuszczeniem w miejsce instalacji o dużych mocach projektów parasolowych. Poziom realizacji  wskaźnika jest w obecnym etapie niedoszacowana. Wobec powyższego IZ podjęła decyzję o urealnieniu wartości docelowej wskaźnika do poziomu 4 200 jednostek wytwarzania energii elektrycznej z OZE.</w:t>
            </w:r>
          </w:p>
        </w:tc>
      </w:tr>
      <w:tr w:rsidR="006B2EC1" w14:paraId="6A33165E" w14:textId="77777777" w:rsidTr="0047688D">
        <w:tc>
          <w:tcPr>
            <w:tcW w:w="0" w:type="auto"/>
          </w:tcPr>
          <w:p w14:paraId="56A3C82F" w14:textId="77777777" w:rsidR="008C5CFA" w:rsidRPr="0024468B" w:rsidRDefault="00E82A60" w:rsidP="00300A01">
            <w:pPr>
              <w:spacing w:before="0" w:after="0"/>
              <w:rPr>
                <w:sz w:val="16"/>
                <w:szCs w:val="16"/>
                <w:lang w:val="fr-BE"/>
              </w:rPr>
            </w:pPr>
            <w:r>
              <w:rPr>
                <w:noProof/>
                <w:sz w:val="16"/>
                <w:szCs w:val="16"/>
                <w:lang w:val="fr-BE"/>
              </w:rPr>
              <w:t>F</w:t>
            </w:r>
          </w:p>
        </w:tc>
        <w:tc>
          <w:tcPr>
            <w:tcW w:w="0" w:type="auto"/>
            <w:shd w:val="clear" w:color="auto" w:fill="auto"/>
          </w:tcPr>
          <w:p w14:paraId="64438438" w14:textId="77777777" w:rsidR="008C5CFA" w:rsidRPr="0024468B" w:rsidRDefault="00E82A60" w:rsidP="00300A01">
            <w:pPr>
              <w:spacing w:before="0" w:after="0"/>
              <w:rPr>
                <w:sz w:val="16"/>
                <w:szCs w:val="16"/>
                <w:lang w:val="fr-BE"/>
              </w:rPr>
            </w:pPr>
            <w:r>
              <w:rPr>
                <w:noProof/>
                <w:sz w:val="16"/>
                <w:szCs w:val="16"/>
                <w:lang w:val="fr-BE"/>
              </w:rPr>
              <w:t>28</w:t>
            </w:r>
          </w:p>
        </w:tc>
        <w:tc>
          <w:tcPr>
            <w:tcW w:w="0" w:type="auto"/>
            <w:shd w:val="clear" w:color="auto" w:fill="auto"/>
          </w:tcPr>
          <w:p w14:paraId="0D344DAF" w14:textId="77777777" w:rsidR="008C5CFA" w:rsidRPr="0024468B" w:rsidRDefault="00E82A60" w:rsidP="00300A01">
            <w:pPr>
              <w:spacing w:before="0" w:after="0"/>
              <w:rPr>
                <w:sz w:val="16"/>
                <w:szCs w:val="16"/>
                <w:lang w:val="fr-BE"/>
              </w:rPr>
            </w:pPr>
            <w:r>
              <w:rPr>
                <w:noProof/>
                <w:sz w:val="16"/>
                <w:szCs w:val="16"/>
                <w:lang w:val="fr-BE"/>
              </w:rPr>
              <w:t>Liczba jednostek wytwarzania energii cieplnej z OZE</w:t>
            </w:r>
          </w:p>
        </w:tc>
        <w:tc>
          <w:tcPr>
            <w:tcW w:w="0" w:type="auto"/>
            <w:shd w:val="clear" w:color="auto" w:fill="auto"/>
          </w:tcPr>
          <w:p w14:paraId="2A94F749" w14:textId="77777777" w:rsidR="008C5CFA" w:rsidRPr="0024468B" w:rsidRDefault="00E82A60" w:rsidP="00300A01">
            <w:pPr>
              <w:spacing w:before="0" w:after="0"/>
              <w:rPr>
                <w:sz w:val="16"/>
                <w:szCs w:val="16"/>
                <w:lang w:val="fr-BE"/>
              </w:rPr>
            </w:pPr>
            <w:r w:rsidRPr="0024468B">
              <w:rPr>
                <w:noProof/>
                <w:sz w:val="16"/>
                <w:szCs w:val="16"/>
                <w:lang w:val="fr-BE"/>
              </w:rPr>
              <w:t>szt.</w:t>
            </w:r>
          </w:p>
        </w:tc>
        <w:tc>
          <w:tcPr>
            <w:tcW w:w="0" w:type="auto"/>
            <w:shd w:val="clear" w:color="auto" w:fill="auto"/>
          </w:tcPr>
          <w:p w14:paraId="2FDF74A7" w14:textId="77777777" w:rsidR="008C5CFA" w:rsidRPr="0024468B" w:rsidRDefault="00E82A60"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14:paraId="2A8AE8EF" w14:textId="77777777" w:rsidR="008C5CFA" w:rsidRPr="0024468B" w:rsidRDefault="00E82A60" w:rsidP="00300A01">
            <w:pPr>
              <w:spacing w:before="0" w:after="0"/>
              <w:jc w:val="right"/>
              <w:rPr>
                <w:sz w:val="16"/>
                <w:szCs w:val="16"/>
                <w:lang w:val="fr-BE"/>
              </w:rPr>
            </w:pPr>
            <w:r>
              <w:rPr>
                <w:noProof/>
                <w:sz w:val="16"/>
                <w:szCs w:val="16"/>
                <w:lang w:val="fr-BE"/>
              </w:rPr>
              <w:t>3,00</w:t>
            </w:r>
          </w:p>
        </w:tc>
        <w:tc>
          <w:tcPr>
            <w:tcW w:w="0" w:type="auto"/>
            <w:shd w:val="clear" w:color="auto" w:fill="auto"/>
          </w:tcPr>
          <w:p w14:paraId="2E16F07E" w14:textId="77777777" w:rsidR="008C5CFA" w:rsidRPr="0024468B" w:rsidRDefault="008C5CFA" w:rsidP="00300A01">
            <w:pPr>
              <w:spacing w:before="0" w:after="0"/>
              <w:jc w:val="right"/>
              <w:rPr>
                <w:sz w:val="16"/>
                <w:szCs w:val="16"/>
                <w:lang w:val="fr-BE"/>
              </w:rPr>
            </w:pPr>
          </w:p>
        </w:tc>
        <w:tc>
          <w:tcPr>
            <w:tcW w:w="0" w:type="auto"/>
          </w:tcPr>
          <w:p w14:paraId="4114D92E" w14:textId="77777777" w:rsidR="008C5CFA" w:rsidRPr="0024468B" w:rsidRDefault="008C5CFA" w:rsidP="00300A01">
            <w:pPr>
              <w:spacing w:before="0" w:after="0"/>
              <w:jc w:val="right"/>
              <w:rPr>
                <w:sz w:val="16"/>
                <w:szCs w:val="16"/>
                <w:lang w:val="fr-BE"/>
              </w:rPr>
            </w:pPr>
          </w:p>
        </w:tc>
        <w:tc>
          <w:tcPr>
            <w:tcW w:w="0" w:type="auto"/>
            <w:shd w:val="clear" w:color="auto" w:fill="auto"/>
          </w:tcPr>
          <w:p w14:paraId="57DC9785" w14:textId="77777777" w:rsidR="008C5CFA" w:rsidRPr="0024468B" w:rsidRDefault="00E82A60" w:rsidP="00300A01">
            <w:pPr>
              <w:spacing w:before="0" w:after="0"/>
              <w:jc w:val="right"/>
              <w:rPr>
                <w:sz w:val="16"/>
                <w:szCs w:val="16"/>
                <w:lang w:val="fr-BE"/>
              </w:rPr>
            </w:pPr>
            <w:r w:rsidRPr="0024468B">
              <w:rPr>
                <w:noProof/>
                <w:sz w:val="16"/>
                <w:szCs w:val="16"/>
                <w:lang w:val="fr-BE"/>
              </w:rPr>
              <w:t>1 073,00</w:t>
            </w:r>
          </w:p>
        </w:tc>
        <w:tc>
          <w:tcPr>
            <w:tcW w:w="0" w:type="auto"/>
            <w:shd w:val="clear" w:color="auto" w:fill="auto"/>
          </w:tcPr>
          <w:p w14:paraId="44ADB30A"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56BA6BC9"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48C5E01A" w14:textId="77777777" w:rsidR="008C5CFA" w:rsidRPr="0024468B" w:rsidRDefault="008C5CFA" w:rsidP="00300A01">
            <w:pPr>
              <w:spacing w:before="0" w:after="0"/>
              <w:rPr>
                <w:sz w:val="16"/>
                <w:szCs w:val="16"/>
                <w:lang w:val="fr-BE"/>
              </w:rPr>
            </w:pPr>
          </w:p>
        </w:tc>
      </w:tr>
      <w:tr w:rsidR="006B2EC1" w14:paraId="3799364B" w14:textId="77777777" w:rsidTr="0047688D">
        <w:tc>
          <w:tcPr>
            <w:tcW w:w="0" w:type="auto"/>
          </w:tcPr>
          <w:p w14:paraId="44EDF495" w14:textId="77777777" w:rsidR="008C5CFA" w:rsidRPr="0024468B" w:rsidRDefault="00E82A60" w:rsidP="00300A01">
            <w:pPr>
              <w:spacing w:before="0" w:after="0"/>
              <w:rPr>
                <w:sz w:val="16"/>
                <w:szCs w:val="16"/>
                <w:lang w:val="fr-BE"/>
              </w:rPr>
            </w:pPr>
            <w:r>
              <w:rPr>
                <w:noProof/>
                <w:sz w:val="16"/>
                <w:szCs w:val="16"/>
                <w:lang w:val="fr-BE"/>
              </w:rPr>
              <w:lastRenderedPageBreak/>
              <w:t>S</w:t>
            </w:r>
          </w:p>
        </w:tc>
        <w:tc>
          <w:tcPr>
            <w:tcW w:w="0" w:type="auto"/>
            <w:shd w:val="clear" w:color="auto" w:fill="auto"/>
          </w:tcPr>
          <w:p w14:paraId="77CCC933" w14:textId="77777777" w:rsidR="008C5CFA" w:rsidRPr="0024468B" w:rsidRDefault="00E82A60" w:rsidP="00300A01">
            <w:pPr>
              <w:spacing w:before="0" w:after="0"/>
              <w:rPr>
                <w:sz w:val="16"/>
                <w:szCs w:val="16"/>
                <w:lang w:val="fr-BE"/>
              </w:rPr>
            </w:pPr>
            <w:r>
              <w:rPr>
                <w:noProof/>
                <w:sz w:val="16"/>
                <w:szCs w:val="16"/>
                <w:lang w:val="fr-BE"/>
              </w:rPr>
              <w:t>28</w:t>
            </w:r>
          </w:p>
        </w:tc>
        <w:tc>
          <w:tcPr>
            <w:tcW w:w="0" w:type="auto"/>
            <w:shd w:val="clear" w:color="auto" w:fill="auto"/>
          </w:tcPr>
          <w:p w14:paraId="064F97E7" w14:textId="77777777" w:rsidR="008C5CFA" w:rsidRPr="0024468B" w:rsidRDefault="00E82A60" w:rsidP="00300A01">
            <w:pPr>
              <w:spacing w:before="0" w:after="0"/>
              <w:rPr>
                <w:sz w:val="16"/>
                <w:szCs w:val="16"/>
                <w:lang w:val="fr-BE"/>
              </w:rPr>
            </w:pPr>
            <w:r>
              <w:rPr>
                <w:noProof/>
                <w:sz w:val="16"/>
                <w:szCs w:val="16"/>
                <w:lang w:val="fr-BE"/>
              </w:rPr>
              <w:t>Liczba jednostek wytwarzania energii cieplnej z OZE</w:t>
            </w:r>
          </w:p>
        </w:tc>
        <w:tc>
          <w:tcPr>
            <w:tcW w:w="0" w:type="auto"/>
            <w:shd w:val="clear" w:color="auto" w:fill="auto"/>
          </w:tcPr>
          <w:p w14:paraId="36831B76" w14:textId="77777777" w:rsidR="008C5CFA" w:rsidRPr="0024468B" w:rsidRDefault="00E82A60" w:rsidP="00300A01">
            <w:pPr>
              <w:spacing w:before="0" w:after="0"/>
              <w:rPr>
                <w:sz w:val="16"/>
                <w:szCs w:val="16"/>
                <w:lang w:val="fr-BE"/>
              </w:rPr>
            </w:pPr>
            <w:r w:rsidRPr="0024468B">
              <w:rPr>
                <w:noProof/>
                <w:sz w:val="16"/>
                <w:szCs w:val="16"/>
                <w:lang w:val="fr-BE"/>
              </w:rPr>
              <w:t>szt.</w:t>
            </w:r>
          </w:p>
        </w:tc>
        <w:tc>
          <w:tcPr>
            <w:tcW w:w="0" w:type="auto"/>
            <w:shd w:val="clear" w:color="auto" w:fill="auto"/>
          </w:tcPr>
          <w:p w14:paraId="5EC14D97" w14:textId="77777777" w:rsidR="008C5CFA" w:rsidRPr="0024468B" w:rsidRDefault="00E82A60"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14:paraId="38CA7DE3" w14:textId="77777777" w:rsidR="008C5CFA" w:rsidRPr="0024468B" w:rsidRDefault="00E82A60" w:rsidP="00300A01">
            <w:pPr>
              <w:spacing w:before="0" w:after="0"/>
              <w:jc w:val="right"/>
              <w:rPr>
                <w:sz w:val="16"/>
                <w:szCs w:val="16"/>
                <w:lang w:val="fr-BE"/>
              </w:rPr>
            </w:pPr>
            <w:r>
              <w:rPr>
                <w:noProof/>
                <w:sz w:val="16"/>
                <w:szCs w:val="16"/>
                <w:lang w:val="fr-BE"/>
              </w:rPr>
              <w:t>3,00</w:t>
            </w:r>
          </w:p>
        </w:tc>
        <w:tc>
          <w:tcPr>
            <w:tcW w:w="0" w:type="auto"/>
            <w:shd w:val="clear" w:color="auto" w:fill="auto"/>
          </w:tcPr>
          <w:p w14:paraId="4B4C33BF" w14:textId="77777777" w:rsidR="008C5CFA" w:rsidRPr="0024468B" w:rsidRDefault="008C5CFA" w:rsidP="00300A01">
            <w:pPr>
              <w:spacing w:before="0" w:after="0"/>
              <w:jc w:val="right"/>
              <w:rPr>
                <w:sz w:val="16"/>
                <w:szCs w:val="16"/>
                <w:lang w:val="fr-BE"/>
              </w:rPr>
            </w:pPr>
          </w:p>
        </w:tc>
        <w:tc>
          <w:tcPr>
            <w:tcW w:w="0" w:type="auto"/>
          </w:tcPr>
          <w:p w14:paraId="456A0EC3" w14:textId="77777777" w:rsidR="008C5CFA" w:rsidRPr="0024468B" w:rsidRDefault="008C5CFA" w:rsidP="00300A01">
            <w:pPr>
              <w:spacing w:before="0" w:after="0"/>
              <w:jc w:val="right"/>
              <w:rPr>
                <w:sz w:val="16"/>
                <w:szCs w:val="16"/>
                <w:lang w:val="fr-BE"/>
              </w:rPr>
            </w:pPr>
          </w:p>
        </w:tc>
        <w:tc>
          <w:tcPr>
            <w:tcW w:w="0" w:type="auto"/>
            <w:shd w:val="clear" w:color="auto" w:fill="auto"/>
          </w:tcPr>
          <w:p w14:paraId="10C529A8" w14:textId="77777777" w:rsidR="008C5CFA" w:rsidRPr="0024468B" w:rsidRDefault="00E82A60" w:rsidP="00300A01">
            <w:pPr>
              <w:spacing w:before="0" w:after="0"/>
              <w:jc w:val="right"/>
              <w:rPr>
                <w:sz w:val="16"/>
                <w:szCs w:val="16"/>
                <w:lang w:val="fr-BE"/>
              </w:rPr>
            </w:pPr>
            <w:r w:rsidRPr="0024468B">
              <w:rPr>
                <w:noProof/>
                <w:sz w:val="16"/>
                <w:szCs w:val="16"/>
                <w:lang w:val="fr-BE"/>
              </w:rPr>
              <w:t>3 956,00</w:t>
            </w:r>
          </w:p>
        </w:tc>
        <w:tc>
          <w:tcPr>
            <w:tcW w:w="0" w:type="auto"/>
            <w:shd w:val="clear" w:color="auto" w:fill="auto"/>
          </w:tcPr>
          <w:p w14:paraId="76DBCB33"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690F5411"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0C1909CA" w14:textId="77777777" w:rsidR="008C5CFA" w:rsidRPr="0024468B" w:rsidRDefault="00E82A60" w:rsidP="00300A01">
            <w:pPr>
              <w:spacing w:before="0" w:after="0"/>
              <w:rPr>
                <w:sz w:val="16"/>
                <w:szCs w:val="16"/>
                <w:lang w:val="fr-BE"/>
              </w:rPr>
            </w:pPr>
            <w:r w:rsidRPr="0024468B">
              <w:rPr>
                <w:noProof/>
                <w:sz w:val="16"/>
                <w:szCs w:val="16"/>
                <w:lang w:val="fr-BE"/>
              </w:rPr>
              <w:t>W związku ze zmianą koncepcji realizacji PI 4a i dopuszczeniem w miejsce instalacji o dużych mocach projektów parasolowych. Poziom realizacji  wskaźnika jest w obecnym etapie niedoszacowana. Wobec powyższego IZ podjęła decyzję o urealnieniu wartości docelowej wskaźnika do poziomu 3 500 jednostek wytwarzania energii cieplnej z OZE.</w:t>
            </w:r>
          </w:p>
        </w:tc>
      </w:tr>
    </w:tbl>
    <w:p w14:paraId="0BC49FA9" w14:textId="77777777" w:rsidR="008C5CFA" w:rsidRDefault="00E82A60" w:rsidP="00300A01">
      <w:pPr>
        <w:spacing w:before="0" w:after="0"/>
        <w:rPr>
          <w:lang w:val="fr-BE"/>
        </w:rPr>
      </w:pPr>
      <w:r>
        <w:rPr>
          <w:noProof/>
          <w:lang w:val="fr-BE"/>
        </w:rPr>
        <w:t>1) S=wartość skumulowana – produkty, które mają być zrealizowane poprzez wybrane operacje [prognoza przedstawiona przez beneficjentów], F=wartość skumulowana – produkty zrealizowane poprzez operacje [rzeczywiste wykonanie]</w:t>
      </w:r>
    </w:p>
    <w:p w14:paraId="112DC3A8"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02"/>
        <w:gridCol w:w="498"/>
        <w:gridCol w:w="5292"/>
        <w:gridCol w:w="963"/>
        <w:gridCol w:w="1129"/>
        <w:gridCol w:w="952"/>
        <w:gridCol w:w="943"/>
        <w:gridCol w:w="1129"/>
        <w:gridCol w:w="952"/>
        <w:gridCol w:w="943"/>
        <w:gridCol w:w="1129"/>
        <w:gridCol w:w="952"/>
      </w:tblGrid>
      <w:tr w:rsidR="006B2EC1" w14:paraId="47EDF2C4" w14:textId="77777777" w:rsidTr="0047688D">
        <w:trPr>
          <w:tblHeader/>
        </w:trPr>
        <w:tc>
          <w:tcPr>
            <w:tcW w:w="0" w:type="auto"/>
          </w:tcPr>
          <w:p w14:paraId="23B7AC6B" w14:textId="77777777" w:rsidR="008C5CFA" w:rsidRPr="009143B4" w:rsidRDefault="00E82A60" w:rsidP="00300A01">
            <w:pPr>
              <w:spacing w:before="0" w:after="0"/>
              <w:rPr>
                <w:b/>
                <w:sz w:val="16"/>
                <w:szCs w:val="16"/>
                <w:lang w:val="fr-BE"/>
              </w:rPr>
            </w:pPr>
            <w:r w:rsidRPr="009143B4">
              <w:rPr>
                <w:b/>
                <w:sz w:val="16"/>
                <w:szCs w:val="16"/>
                <w:lang w:val="fr-BE"/>
              </w:rPr>
              <w:t>(1)</w:t>
            </w:r>
          </w:p>
        </w:tc>
        <w:tc>
          <w:tcPr>
            <w:tcW w:w="0" w:type="auto"/>
            <w:shd w:val="clear" w:color="auto" w:fill="auto"/>
          </w:tcPr>
          <w:p w14:paraId="585E5B0A" w14:textId="77777777" w:rsidR="008C5CFA" w:rsidRPr="009143B4" w:rsidRDefault="00E82A60" w:rsidP="00300A01">
            <w:pPr>
              <w:spacing w:before="0" w:after="0"/>
              <w:rPr>
                <w:b/>
                <w:sz w:val="16"/>
                <w:szCs w:val="16"/>
                <w:lang w:val="fr-BE"/>
              </w:rPr>
            </w:pPr>
            <w:r w:rsidRPr="009143B4">
              <w:rPr>
                <w:b/>
                <w:noProof/>
                <w:sz w:val="16"/>
                <w:szCs w:val="16"/>
                <w:lang w:val="fr-BE"/>
              </w:rPr>
              <w:t>ID</w:t>
            </w:r>
          </w:p>
        </w:tc>
        <w:tc>
          <w:tcPr>
            <w:tcW w:w="0" w:type="auto"/>
            <w:shd w:val="clear" w:color="auto" w:fill="auto"/>
          </w:tcPr>
          <w:p w14:paraId="36D76420" w14:textId="77777777" w:rsidR="008C5CFA" w:rsidRPr="009143B4" w:rsidRDefault="00E82A60" w:rsidP="00300A01">
            <w:pPr>
              <w:spacing w:before="0" w:after="0"/>
              <w:rPr>
                <w:b/>
                <w:sz w:val="16"/>
                <w:szCs w:val="16"/>
                <w:lang w:val="fr-BE"/>
              </w:rPr>
            </w:pPr>
            <w:r w:rsidRPr="009143B4">
              <w:rPr>
                <w:b/>
                <w:noProof/>
                <w:sz w:val="16"/>
                <w:szCs w:val="16"/>
                <w:lang w:val="fr-BE"/>
              </w:rPr>
              <w:t>Wskaźnik</w:t>
            </w:r>
          </w:p>
        </w:tc>
        <w:tc>
          <w:tcPr>
            <w:tcW w:w="0" w:type="auto"/>
          </w:tcPr>
          <w:p w14:paraId="00290322" w14:textId="77777777" w:rsidR="008C5CFA" w:rsidRPr="009143B4" w:rsidRDefault="00E82A60" w:rsidP="00300A01">
            <w:pPr>
              <w:spacing w:before="0" w:after="0"/>
              <w:jc w:val="center"/>
              <w:rPr>
                <w:b/>
                <w:sz w:val="16"/>
                <w:szCs w:val="16"/>
                <w:lang w:val="fr-BE"/>
              </w:rPr>
            </w:pPr>
            <w:r>
              <w:rPr>
                <w:b/>
                <w:sz w:val="16"/>
                <w:szCs w:val="16"/>
                <w:lang w:val="fr-BE"/>
              </w:rPr>
              <w:t xml:space="preserve">2018 </w:t>
            </w:r>
            <w:r w:rsidRPr="009143B4">
              <w:rPr>
                <w:b/>
                <w:noProof/>
                <w:sz w:val="16"/>
                <w:szCs w:val="16"/>
                <w:lang w:val="fr-BE"/>
              </w:rPr>
              <w:t>Ogółem</w:t>
            </w:r>
          </w:p>
        </w:tc>
        <w:tc>
          <w:tcPr>
            <w:tcW w:w="0" w:type="auto"/>
          </w:tcPr>
          <w:p w14:paraId="4069EB38" w14:textId="77777777" w:rsidR="008C5CFA" w:rsidRPr="009143B4" w:rsidRDefault="00E82A60" w:rsidP="00300A01">
            <w:pPr>
              <w:spacing w:before="0" w:after="0"/>
              <w:jc w:val="center"/>
              <w:rPr>
                <w:b/>
                <w:sz w:val="16"/>
                <w:szCs w:val="16"/>
                <w:lang w:val="fr-BE"/>
              </w:rPr>
            </w:pPr>
            <w:r>
              <w:rPr>
                <w:b/>
                <w:sz w:val="16"/>
                <w:szCs w:val="16"/>
                <w:lang w:val="fr-BE"/>
              </w:rPr>
              <w:t xml:space="preserve">2018 </w:t>
            </w:r>
            <w:r w:rsidRPr="009143B4">
              <w:rPr>
                <w:b/>
                <w:noProof/>
                <w:sz w:val="16"/>
                <w:szCs w:val="16"/>
                <w:lang w:val="fr-BE"/>
              </w:rPr>
              <w:t>Mężczyźni</w:t>
            </w:r>
          </w:p>
        </w:tc>
        <w:tc>
          <w:tcPr>
            <w:tcW w:w="0" w:type="auto"/>
          </w:tcPr>
          <w:p w14:paraId="3A71A235" w14:textId="77777777" w:rsidR="008C5CFA" w:rsidRPr="009143B4" w:rsidRDefault="00E82A60" w:rsidP="00300A01">
            <w:pPr>
              <w:spacing w:before="0" w:after="0"/>
              <w:jc w:val="center"/>
              <w:rPr>
                <w:b/>
                <w:sz w:val="16"/>
                <w:szCs w:val="16"/>
                <w:lang w:val="fr-BE"/>
              </w:rPr>
            </w:pPr>
            <w:r>
              <w:rPr>
                <w:b/>
                <w:sz w:val="16"/>
                <w:szCs w:val="16"/>
                <w:lang w:val="fr-BE"/>
              </w:rPr>
              <w:t xml:space="preserve">2018 </w:t>
            </w:r>
            <w:r w:rsidRPr="009143B4">
              <w:rPr>
                <w:b/>
                <w:noProof/>
                <w:sz w:val="16"/>
                <w:szCs w:val="16"/>
                <w:lang w:val="fr-BE"/>
              </w:rPr>
              <w:t>Kobiety</w:t>
            </w:r>
          </w:p>
        </w:tc>
        <w:tc>
          <w:tcPr>
            <w:tcW w:w="0" w:type="auto"/>
          </w:tcPr>
          <w:p w14:paraId="34688B78" w14:textId="77777777" w:rsidR="008C5CFA" w:rsidRPr="009143B4" w:rsidRDefault="00E82A60"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Ogółem</w:t>
            </w:r>
          </w:p>
        </w:tc>
        <w:tc>
          <w:tcPr>
            <w:tcW w:w="0" w:type="auto"/>
          </w:tcPr>
          <w:p w14:paraId="29BB479F" w14:textId="77777777" w:rsidR="008C5CFA" w:rsidRPr="009143B4" w:rsidRDefault="00E82A60"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Mężczyźni</w:t>
            </w:r>
          </w:p>
        </w:tc>
        <w:tc>
          <w:tcPr>
            <w:tcW w:w="0" w:type="auto"/>
          </w:tcPr>
          <w:p w14:paraId="10B76E1D" w14:textId="77777777" w:rsidR="008C5CFA" w:rsidRPr="009143B4" w:rsidRDefault="00E82A60"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Kobiety</w:t>
            </w:r>
          </w:p>
        </w:tc>
        <w:tc>
          <w:tcPr>
            <w:tcW w:w="0" w:type="auto"/>
            <w:shd w:val="clear" w:color="auto" w:fill="auto"/>
          </w:tcPr>
          <w:p w14:paraId="68080FB8" w14:textId="77777777" w:rsidR="008C5CFA" w:rsidRPr="009143B4" w:rsidRDefault="00E82A60"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Ogółem</w:t>
            </w:r>
          </w:p>
        </w:tc>
        <w:tc>
          <w:tcPr>
            <w:tcW w:w="0" w:type="auto"/>
            <w:shd w:val="clear" w:color="auto" w:fill="auto"/>
          </w:tcPr>
          <w:p w14:paraId="18500719" w14:textId="77777777" w:rsidR="008C5CFA" w:rsidRPr="009143B4" w:rsidRDefault="00E82A60"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Mężczyźni</w:t>
            </w:r>
          </w:p>
        </w:tc>
        <w:tc>
          <w:tcPr>
            <w:tcW w:w="0" w:type="auto"/>
            <w:shd w:val="clear" w:color="auto" w:fill="auto"/>
          </w:tcPr>
          <w:p w14:paraId="512D0A38" w14:textId="77777777" w:rsidR="008C5CFA" w:rsidRPr="009143B4" w:rsidRDefault="00E82A60"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Kobiety</w:t>
            </w:r>
          </w:p>
        </w:tc>
      </w:tr>
      <w:tr w:rsidR="006B2EC1" w14:paraId="3F1DE03D" w14:textId="77777777" w:rsidTr="0047688D">
        <w:tc>
          <w:tcPr>
            <w:tcW w:w="0" w:type="auto"/>
          </w:tcPr>
          <w:p w14:paraId="0E871CAD" w14:textId="77777777" w:rsidR="008C5CFA" w:rsidRPr="0024468B" w:rsidRDefault="00E82A60" w:rsidP="00300A01">
            <w:pPr>
              <w:spacing w:before="0" w:after="0"/>
              <w:rPr>
                <w:sz w:val="16"/>
                <w:szCs w:val="16"/>
                <w:lang w:val="fr-BE"/>
              </w:rPr>
            </w:pPr>
            <w:r>
              <w:rPr>
                <w:noProof/>
                <w:sz w:val="16"/>
                <w:szCs w:val="16"/>
                <w:lang w:val="fr-BE"/>
              </w:rPr>
              <w:t>F</w:t>
            </w:r>
          </w:p>
        </w:tc>
        <w:tc>
          <w:tcPr>
            <w:tcW w:w="0" w:type="auto"/>
            <w:shd w:val="clear" w:color="auto" w:fill="auto"/>
          </w:tcPr>
          <w:p w14:paraId="7063D9A8" w14:textId="77777777" w:rsidR="008C5CFA" w:rsidRPr="0024468B" w:rsidRDefault="00E82A60" w:rsidP="00300A01">
            <w:pPr>
              <w:spacing w:before="0" w:after="0"/>
              <w:rPr>
                <w:sz w:val="16"/>
                <w:szCs w:val="16"/>
                <w:lang w:val="fr-BE"/>
              </w:rPr>
            </w:pPr>
            <w:r w:rsidRPr="0024468B">
              <w:rPr>
                <w:noProof/>
                <w:sz w:val="16"/>
                <w:szCs w:val="16"/>
                <w:lang w:val="fr-BE"/>
              </w:rPr>
              <w:t>CO30</w:t>
            </w:r>
          </w:p>
        </w:tc>
        <w:tc>
          <w:tcPr>
            <w:tcW w:w="0" w:type="auto"/>
            <w:shd w:val="clear" w:color="auto" w:fill="auto"/>
          </w:tcPr>
          <w:p w14:paraId="41A206CE" w14:textId="77777777" w:rsidR="008C5CFA" w:rsidRPr="0024468B" w:rsidRDefault="00E82A60" w:rsidP="00300A01">
            <w:pPr>
              <w:spacing w:before="0" w:after="0"/>
              <w:rPr>
                <w:sz w:val="16"/>
                <w:szCs w:val="16"/>
                <w:lang w:val="fr-BE"/>
              </w:rPr>
            </w:pPr>
            <w:r w:rsidRPr="0024468B">
              <w:rPr>
                <w:noProof/>
                <w:sz w:val="16"/>
                <w:szCs w:val="16"/>
                <w:lang w:val="fr-BE"/>
              </w:rPr>
              <w:t>Energia odnawialna: dodatkowa zdolność wytwarzania energii ze źródeł odnawialnych</w:t>
            </w:r>
          </w:p>
        </w:tc>
        <w:tc>
          <w:tcPr>
            <w:tcW w:w="0" w:type="auto"/>
          </w:tcPr>
          <w:p w14:paraId="7FEBE194"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1739D551"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20B9434B"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7E5756EE"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77AEDB9F"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0A2C6A03"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64EBA352"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3EE55D67"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003CFF61"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r w:rsidR="006B2EC1" w14:paraId="25CE399C" w14:textId="77777777" w:rsidTr="0047688D">
        <w:tc>
          <w:tcPr>
            <w:tcW w:w="0" w:type="auto"/>
          </w:tcPr>
          <w:p w14:paraId="7830603F" w14:textId="77777777" w:rsidR="008C5CFA" w:rsidRPr="0024468B" w:rsidRDefault="00E82A60" w:rsidP="00300A01">
            <w:pPr>
              <w:spacing w:before="0" w:after="0"/>
              <w:rPr>
                <w:sz w:val="16"/>
                <w:szCs w:val="16"/>
                <w:lang w:val="fr-BE"/>
              </w:rPr>
            </w:pPr>
            <w:r>
              <w:rPr>
                <w:noProof/>
                <w:sz w:val="16"/>
                <w:szCs w:val="16"/>
                <w:lang w:val="fr-BE"/>
              </w:rPr>
              <w:t>S</w:t>
            </w:r>
          </w:p>
        </w:tc>
        <w:tc>
          <w:tcPr>
            <w:tcW w:w="0" w:type="auto"/>
            <w:shd w:val="clear" w:color="auto" w:fill="auto"/>
          </w:tcPr>
          <w:p w14:paraId="72E9422D" w14:textId="77777777" w:rsidR="008C5CFA" w:rsidRPr="0024468B" w:rsidRDefault="00E82A60" w:rsidP="00300A01">
            <w:pPr>
              <w:spacing w:before="0" w:after="0"/>
              <w:rPr>
                <w:sz w:val="16"/>
                <w:szCs w:val="16"/>
                <w:lang w:val="fr-BE"/>
              </w:rPr>
            </w:pPr>
            <w:r w:rsidRPr="0024468B">
              <w:rPr>
                <w:noProof/>
                <w:sz w:val="16"/>
                <w:szCs w:val="16"/>
                <w:lang w:val="fr-BE"/>
              </w:rPr>
              <w:t>CO30</w:t>
            </w:r>
          </w:p>
        </w:tc>
        <w:tc>
          <w:tcPr>
            <w:tcW w:w="0" w:type="auto"/>
            <w:shd w:val="clear" w:color="auto" w:fill="auto"/>
          </w:tcPr>
          <w:p w14:paraId="799CAAC3" w14:textId="77777777" w:rsidR="008C5CFA" w:rsidRPr="0024468B" w:rsidRDefault="00E82A60" w:rsidP="00300A01">
            <w:pPr>
              <w:spacing w:before="0" w:after="0"/>
              <w:rPr>
                <w:sz w:val="16"/>
                <w:szCs w:val="16"/>
                <w:lang w:val="fr-BE"/>
              </w:rPr>
            </w:pPr>
            <w:r w:rsidRPr="0024468B">
              <w:rPr>
                <w:noProof/>
                <w:sz w:val="16"/>
                <w:szCs w:val="16"/>
                <w:lang w:val="fr-BE"/>
              </w:rPr>
              <w:t>Energia odnawialna: dodatkowa zdolność wytwarzania energii ze źródeł odnawialnych</w:t>
            </w:r>
          </w:p>
        </w:tc>
        <w:tc>
          <w:tcPr>
            <w:tcW w:w="0" w:type="auto"/>
          </w:tcPr>
          <w:p w14:paraId="0A4FE2C5" w14:textId="77777777" w:rsidR="008C5CFA" w:rsidRPr="0024468B" w:rsidRDefault="00E82A60" w:rsidP="00300A01">
            <w:pPr>
              <w:spacing w:before="0" w:after="0"/>
              <w:jc w:val="right"/>
              <w:rPr>
                <w:sz w:val="16"/>
                <w:szCs w:val="16"/>
                <w:lang w:val="fr-BE"/>
              </w:rPr>
            </w:pPr>
            <w:r w:rsidRPr="0024468B">
              <w:rPr>
                <w:noProof/>
                <w:sz w:val="16"/>
                <w:szCs w:val="16"/>
                <w:lang w:val="fr-BE"/>
              </w:rPr>
              <w:t>49,40</w:t>
            </w:r>
          </w:p>
        </w:tc>
        <w:tc>
          <w:tcPr>
            <w:tcW w:w="0" w:type="auto"/>
          </w:tcPr>
          <w:p w14:paraId="35BB50A5"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6E11A2CE"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359FA303"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483D6C67"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77747BBD"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4ABBF713"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28025FA8"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7E1C7C01"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r w:rsidR="006B2EC1" w14:paraId="7F5A452D" w14:textId="77777777" w:rsidTr="0047688D">
        <w:tc>
          <w:tcPr>
            <w:tcW w:w="0" w:type="auto"/>
          </w:tcPr>
          <w:p w14:paraId="7384EA43" w14:textId="77777777" w:rsidR="008C5CFA" w:rsidRPr="0024468B" w:rsidRDefault="00E82A60" w:rsidP="00300A01">
            <w:pPr>
              <w:spacing w:before="0" w:after="0"/>
              <w:rPr>
                <w:sz w:val="16"/>
                <w:szCs w:val="16"/>
                <w:lang w:val="fr-BE"/>
              </w:rPr>
            </w:pPr>
            <w:r>
              <w:rPr>
                <w:noProof/>
                <w:sz w:val="16"/>
                <w:szCs w:val="16"/>
                <w:lang w:val="fr-BE"/>
              </w:rPr>
              <w:t>F</w:t>
            </w:r>
          </w:p>
        </w:tc>
        <w:tc>
          <w:tcPr>
            <w:tcW w:w="0" w:type="auto"/>
            <w:shd w:val="clear" w:color="auto" w:fill="auto"/>
          </w:tcPr>
          <w:p w14:paraId="4D1C0F50" w14:textId="77777777" w:rsidR="008C5CFA" w:rsidRPr="0024468B" w:rsidRDefault="00E82A60" w:rsidP="00300A01">
            <w:pPr>
              <w:spacing w:before="0" w:after="0"/>
              <w:rPr>
                <w:sz w:val="16"/>
                <w:szCs w:val="16"/>
                <w:lang w:val="fr-BE"/>
              </w:rPr>
            </w:pPr>
            <w:r w:rsidRPr="0024468B">
              <w:rPr>
                <w:noProof/>
                <w:sz w:val="16"/>
                <w:szCs w:val="16"/>
                <w:lang w:val="fr-BE"/>
              </w:rPr>
              <w:t>CO34</w:t>
            </w:r>
          </w:p>
        </w:tc>
        <w:tc>
          <w:tcPr>
            <w:tcW w:w="0" w:type="auto"/>
            <w:shd w:val="clear" w:color="auto" w:fill="auto"/>
          </w:tcPr>
          <w:p w14:paraId="48845D62" w14:textId="77777777" w:rsidR="008C5CFA" w:rsidRPr="0024468B" w:rsidRDefault="00E82A60" w:rsidP="00300A01">
            <w:pPr>
              <w:spacing w:before="0" w:after="0"/>
              <w:rPr>
                <w:sz w:val="16"/>
                <w:szCs w:val="16"/>
                <w:lang w:val="fr-BE"/>
              </w:rPr>
            </w:pPr>
            <w:r w:rsidRPr="0024468B">
              <w:rPr>
                <w:noProof/>
                <w:sz w:val="16"/>
                <w:szCs w:val="16"/>
                <w:lang w:val="fr-BE"/>
              </w:rPr>
              <w:t>Redukcja emisji gazów cieplarnianych: szacowany roczny spadek emisji gazów cieplarnianych</w:t>
            </w:r>
          </w:p>
        </w:tc>
        <w:tc>
          <w:tcPr>
            <w:tcW w:w="0" w:type="auto"/>
          </w:tcPr>
          <w:p w14:paraId="18FF52F8"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161EA9D2"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316599D5"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21CB513B"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0FF7F78A"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36E017F7"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4E04265D"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10408A24"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17003E14"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r w:rsidR="006B2EC1" w14:paraId="7F8C0104" w14:textId="77777777" w:rsidTr="0047688D">
        <w:tc>
          <w:tcPr>
            <w:tcW w:w="0" w:type="auto"/>
          </w:tcPr>
          <w:p w14:paraId="451CCD3A" w14:textId="77777777" w:rsidR="008C5CFA" w:rsidRPr="0024468B" w:rsidRDefault="00E82A60" w:rsidP="00300A01">
            <w:pPr>
              <w:spacing w:before="0" w:after="0"/>
              <w:rPr>
                <w:sz w:val="16"/>
                <w:szCs w:val="16"/>
                <w:lang w:val="fr-BE"/>
              </w:rPr>
            </w:pPr>
            <w:r>
              <w:rPr>
                <w:noProof/>
                <w:sz w:val="16"/>
                <w:szCs w:val="16"/>
                <w:lang w:val="fr-BE"/>
              </w:rPr>
              <w:t>S</w:t>
            </w:r>
          </w:p>
        </w:tc>
        <w:tc>
          <w:tcPr>
            <w:tcW w:w="0" w:type="auto"/>
            <w:shd w:val="clear" w:color="auto" w:fill="auto"/>
          </w:tcPr>
          <w:p w14:paraId="7CFA09E6" w14:textId="77777777" w:rsidR="008C5CFA" w:rsidRPr="0024468B" w:rsidRDefault="00E82A60" w:rsidP="00300A01">
            <w:pPr>
              <w:spacing w:before="0" w:after="0"/>
              <w:rPr>
                <w:sz w:val="16"/>
                <w:szCs w:val="16"/>
                <w:lang w:val="fr-BE"/>
              </w:rPr>
            </w:pPr>
            <w:r w:rsidRPr="0024468B">
              <w:rPr>
                <w:noProof/>
                <w:sz w:val="16"/>
                <w:szCs w:val="16"/>
                <w:lang w:val="fr-BE"/>
              </w:rPr>
              <w:t>CO34</w:t>
            </w:r>
          </w:p>
        </w:tc>
        <w:tc>
          <w:tcPr>
            <w:tcW w:w="0" w:type="auto"/>
            <w:shd w:val="clear" w:color="auto" w:fill="auto"/>
          </w:tcPr>
          <w:p w14:paraId="1F5AC8F9" w14:textId="77777777" w:rsidR="008C5CFA" w:rsidRPr="0024468B" w:rsidRDefault="00E82A60" w:rsidP="00300A01">
            <w:pPr>
              <w:spacing w:before="0" w:after="0"/>
              <w:rPr>
                <w:sz w:val="16"/>
                <w:szCs w:val="16"/>
                <w:lang w:val="fr-BE"/>
              </w:rPr>
            </w:pPr>
            <w:r w:rsidRPr="0024468B">
              <w:rPr>
                <w:noProof/>
                <w:sz w:val="16"/>
                <w:szCs w:val="16"/>
                <w:lang w:val="fr-BE"/>
              </w:rPr>
              <w:t>Redukcja emisji gazów cieplarnianych: szacowany roczny spadek emisji gazów cieplarnianych</w:t>
            </w:r>
          </w:p>
        </w:tc>
        <w:tc>
          <w:tcPr>
            <w:tcW w:w="0" w:type="auto"/>
          </w:tcPr>
          <w:p w14:paraId="78DCBB37" w14:textId="77777777" w:rsidR="008C5CFA" w:rsidRPr="0024468B" w:rsidRDefault="00E82A60" w:rsidP="00300A01">
            <w:pPr>
              <w:spacing w:before="0" w:after="0"/>
              <w:jc w:val="right"/>
              <w:rPr>
                <w:sz w:val="16"/>
                <w:szCs w:val="16"/>
                <w:lang w:val="fr-BE"/>
              </w:rPr>
            </w:pPr>
            <w:r w:rsidRPr="0024468B">
              <w:rPr>
                <w:noProof/>
                <w:sz w:val="16"/>
                <w:szCs w:val="16"/>
                <w:lang w:val="fr-BE"/>
              </w:rPr>
              <w:t>32 625,67</w:t>
            </w:r>
          </w:p>
        </w:tc>
        <w:tc>
          <w:tcPr>
            <w:tcW w:w="0" w:type="auto"/>
          </w:tcPr>
          <w:p w14:paraId="4707271D"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7874605E"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23A1F860"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17C24907"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13785655"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0A94A49E"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037BFB8C"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466DDB89"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r w:rsidR="006B2EC1" w14:paraId="799CA023" w14:textId="77777777" w:rsidTr="0047688D">
        <w:tc>
          <w:tcPr>
            <w:tcW w:w="0" w:type="auto"/>
          </w:tcPr>
          <w:p w14:paraId="390FE606" w14:textId="77777777" w:rsidR="008C5CFA" w:rsidRPr="0024468B" w:rsidRDefault="00E82A60" w:rsidP="00300A01">
            <w:pPr>
              <w:spacing w:before="0" w:after="0"/>
              <w:rPr>
                <w:sz w:val="16"/>
                <w:szCs w:val="16"/>
                <w:lang w:val="fr-BE"/>
              </w:rPr>
            </w:pPr>
            <w:r>
              <w:rPr>
                <w:noProof/>
                <w:sz w:val="16"/>
                <w:szCs w:val="16"/>
                <w:lang w:val="fr-BE"/>
              </w:rPr>
              <w:t>F</w:t>
            </w:r>
          </w:p>
        </w:tc>
        <w:tc>
          <w:tcPr>
            <w:tcW w:w="0" w:type="auto"/>
            <w:shd w:val="clear" w:color="auto" w:fill="auto"/>
          </w:tcPr>
          <w:p w14:paraId="31F8397D" w14:textId="77777777" w:rsidR="008C5CFA" w:rsidRPr="0024468B" w:rsidRDefault="00E82A60" w:rsidP="00300A01">
            <w:pPr>
              <w:spacing w:before="0" w:after="0"/>
              <w:rPr>
                <w:sz w:val="16"/>
                <w:szCs w:val="16"/>
                <w:lang w:val="fr-BE"/>
              </w:rPr>
            </w:pPr>
            <w:r>
              <w:rPr>
                <w:noProof/>
                <w:sz w:val="16"/>
                <w:szCs w:val="16"/>
                <w:lang w:val="fr-BE"/>
              </w:rPr>
              <w:t>27</w:t>
            </w:r>
          </w:p>
        </w:tc>
        <w:tc>
          <w:tcPr>
            <w:tcW w:w="0" w:type="auto"/>
            <w:shd w:val="clear" w:color="auto" w:fill="auto"/>
          </w:tcPr>
          <w:p w14:paraId="1AC24AED" w14:textId="77777777" w:rsidR="008C5CFA" w:rsidRPr="0024468B" w:rsidRDefault="00E82A60" w:rsidP="00300A01">
            <w:pPr>
              <w:spacing w:before="0" w:after="0"/>
              <w:rPr>
                <w:sz w:val="16"/>
                <w:szCs w:val="16"/>
                <w:lang w:val="fr-BE"/>
              </w:rPr>
            </w:pPr>
            <w:r>
              <w:rPr>
                <w:noProof/>
                <w:sz w:val="16"/>
                <w:szCs w:val="16"/>
                <w:lang w:val="fr-BE"/>
              </w:rPr>
              <w:t>Liczba jednostek wytwarzania energii elektrycznej z OZE</w:t>
            </w:r>
          </w:p>
        </w:tc>
        <w:tc>
          <w:tcPr>
            <w:tcW w:w="0" w:type="auto"/>
          </w:tcPr>
          <w:p w14:paraId="2AC129C2" w14:textId="77777777" w:rsidR="008C5CFA" w:rsidRPr="0024468B" w:rsidRDefault="00E82A60" w:rsidP="00300A01">
            <w:pPr>
              <w:spacing w:before="0" w:after="0"/>
              <w:jc w:val="right"/>
              <w:rPr>
                <w:sz w:val="16"/>
                <w:szCs w:val="16"/>
                <w:lang w:val="fr-BE"/>
              </w:rPr>
            </w:pPr>
            <w:r w:rsidRPr="0024468B">
              <w:rPr>
                <w:noProof/>
                <w:sz w:val="16"/>
                <w:szCs w:val="16"/>
                <w:lang w:val="fr-BE"/>
              </w:rPr>
              <w:t>45,00</w:t>
            </w:r>
          </w:p>
        </w:tc>
        <w:tc>
          <w:tcPr>
            <w:tcW w:w="0" w:type="auto"/>
          </w:tcPr>
          <w:p w14:paraId="4F6BD224"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766980AC"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487A3F45"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14DA0C6A"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0C1B09E4"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045718F8"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1C658ADB"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7E8CC633"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r w:rsidR="006B2EC1" w14:paraId="563F0CE3" w14:textId="77777777" w:rsidTr="0047688D">
        <w:tc>
          <w:tcPr>
            <w:tcW w:w="0" w:type="auto"/>
          </w:tcPr>
          <w:p w14:paraId="08B86A9C" w14:textId="77777777" w:rsidR="008C5CFA" w:rsidRPr="0024468B" w:rsidRDefault="00E82A60" w:rsidP="00300A01">
            <w:pPr>
              <w:spacing w:before="0" w:after="0"/>
              <w:rPr>
                <w:sz w:val="16"/>
                <w:szCs w:val="16"/>
                <w:lang w:val="fr-BE"/>
              </w:rPr>
            </w:pPr>
            <w:r>
              <w:rPr>
                <w:noProof/>
                <w:sz w:val="16"/>
                <w:szCs w:val="16"/>
                <w:lang w:val="fr-BE"/>
              </w:rPr>
              <w:t>S</w:t>
            </w:r>
          </w:p>
        </w:tc>
        <w:tc>
          <w:tcPr>
            <w:tcW w:w="0" w:type="auto"/>
            <w:shd w:val="clear" w:color="auto" w:fill="auto"/>
          </w:tcPr>
          <w:p w14:paraId="25DE9AF2" w14:textId="77777777" w:rsidR="008C5CFA" w:rsidRPr="0024468B" w:rsidRDefault="00E82A60" w:rsidP="00300A01">
            <w:pPr>
              <w:spacing w:before="0" w:after="0"/>
              <w:rPr>
                <w:sz w:val="16"/>
                <w:szCs w:val="16"/>
                <w:lang w:val="fr-BE"/>
              </w:rPr>
            </w:pPr>
            <w:r>
              <w:rPr>
                <w:noProof/>
                <w:sz w:val="16"/>
                <w:szCs w:val="16"/>
                <w:lang w:val="fr-BE"/>
              </w:rPr>
              <w:t>27</w:t>
            </w:r>
          </w:p>
        </w:tc>
        <w:tc>
          <w:tcPr>
            <w:tcW w:w="0" w:type="auto"/>
            <w:shd w:val="clear" w:color="auto" w:fill="auto"/>
          </w:tcPr>
          <w:p w14:paraId="67EAF933" w14:textId="77777777" w:rsidR="008C5CFA" w:rsidRPr="0024468B" w:rsidRDefault="00E82A60" w:rsidP="00300A01">
            <w:pPr>
              <w:spacing w:before="0" w:after="0"/>
              <w:rPr>
                <w:sz w:val="16"/>
                <w:szCs w:val="16"/>
                <w:lang w:val="fr-BE"/>
              </w:rPr>
            </w:pPr>
            <w:r>
              <w:rPr>
                <w:noProof/>
                <w:sz w:val="16"/>
                <w:szCs w:val="16"/>
                <w:lang w:val="fr-BE"/>
              </w:rPr>
              <w:t>Liczba jednostek wytwarzania energii elektrycznej z OZE</w:t>
            </w:r>
          </w:p>
        </w:tc>
        <w:tc>
          <w:tcPr>
            <w:tcW w:w="0" w:type="auto"/>
          </w:tcPr>
          <w:p w14:paraId="3C66F7B6" w14:textId="77777777" w:rsidR="008C5CFA" w:rsidRPr="0024468B" w:rsidRDefault="00E82A60" w:rsidP="00300A01">
            <w:pPr>
              <w:spacing w:before="0" w:after="0"/>
              <w:jc w:val="right"/>
              <w:rPr>
                <w:sz w:val="16"/>
                <w:szCs w:val="16"/>
                <w:lang w:val="fr-BE"/>
              </w:rPr>
            </w:pPr>
            <w:r w:rsidRPr="0024468B">
              <w:rPr>
                <w:noProof/>
                <w:sz w:val="16"/>
                <w:szCs w:val="16"/>
                <w:lang w:val="fr-BE"/>
              </w:rPr>
              <w:t>4 557,00</w:t>
            </w:r>
          </w:p>
        </w:tc>
        <w:tc>
          <w:tcPr>
            <w:tcW w:w="0" w:type="auto"/>
          </w:tcPr>
          <w:p w14:paraId="5539E752"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296C0557"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30159833"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477C9BD7"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1273739B"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7226B562"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520953A8"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4ADB32F7"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r w:rsidR="006B2EC1" w14:paraId="555AE5E9" w14:textId="77777777" w:rsidTr="0047688D">
        <w:tc>
          <w:tcPr>
            <w:tcW w:w="0" w:type="auto"/>
          </w:tcPr>
          <w:p w14:paraId="4BDE5487" w14:textId="77777777" w:rsidR="008C5CFA" w:rsidRPr="0024468B" w:rsidRDefault="00E82A60" w:rsidP="00300A01">
            <w:pPr>
              <w:spacing w:before="0" w:after="0"/>
              <w:rPr>
                <w:sz w:val="16"/>
                <w:szCs w:val="16"/>
                <w:lang w:val="fr-BE"/>
              </w:rPr>
            </w:pPr>
            <w:r>
              <w:rPr>
                <w:noProof/>
                <w:sz w:val="16"/>
                <w:szCs w:val="16"/>
                <w:lang w:val="fr-BE"/>
              </w:rPr>
              <w:t>F</w:t>
            </w:r>
          </w:p>
        </w:tc>
        <w:tc>
          <w:tcPr>
            <w:tcW w:w="0" w:type="auto"/>
            <w:shd w:val="clear" w:color="auto" w:fill="auto"/>
          </w:tcPr>
          <w:p w14:paraId="2B5DA6BF" w14:textId="77777777" w:rsidR="008C5CFA" w:rsidRPr="0024468B" w:rsidRDefault="00E82A60" w:rsidP="00300A01">
            <w:pPr>
              <w:spacing w:before="0" w:after="0"/>
              <w:rPr>
                <w:sz w:val="16"/>
                <w:szCs w:val="16"/>
                <w:lang w:val="fr-BE"/>
              </w:rPr>
            </w:pPr>
            <w:r>
              <w:rPr>
                <w:noProof/>
                <w:sz w:val="16"/>
                <w:szCs w:val="16"/>
                <w:lang w:val="fr-BE"/>
              </w:rPr>
              <w:t>28</w:t>
            </w:r>
          </w:p>
        </w:tc>
        <w:tc>
          <w:tcPr>
            <w:tcW w:w="0" w:type="auto"/>
            <w:shd w:val="clear" w:color="auto" w:fill="auto"/>
          </w:tcPr>
          <w:p w14:paraId="42D2AFD9" w14:textId="77777777" w:rsidR="008C5CFA" w:rsidRPr="0024468B" w:rsidRDefault="00E82A60" w:rsidP="00300A01">
            <w:pPr>
              <w:spacing w:before="0" w:after="0"/>
              <w:rPr>
                <w:sz w:val="16"/>
                <w:szCs w:val="16"/>
                <w:lang w:val="fr-BE"/>
              </w:rPr>
            </w:pPr>
            <w:r>
              <w:rPr>
                <w:noProof/>
                <w:sz w:val="16"/>
                <w:szCs w:val="16"/>
                <w:lang w:val="fr-BE"/>
              </w:rPr>
              <w:t>Liczba jednostek wytwarzania energii cieplnej z OZE</w:t>
            </w:r>
          </w:p>
        </w:tc>
        <w:tc>
          <w:tcPr>
            <w:tcW w:w="0" w:type="auto"/>
          </w:tcPr>
          <w:p w14:paraId="27B0F618" w14:textId="77777777" w:rsidR="008C5CFA" w:rsidRPr="0024468B" w:rsidRDefault="00E82A60" w:rsidP="00300A01">
            <w:pPr>
              <w:spacing w:before="0" w:after="0"/>
              <w:jc w:val="right"/>
              <w:rPr>
                <w:sz w:val="16"/>
                <w:szCs w:val="16"/>
                <w:lang w:val="fr-BE"/>
              </w:rPr>
            </w:pPr>
            <w:r w:rsidRPr="0024468B">
              <w:rPr>
                <w:noProof/>
                <w:sz w:val="16"/>
                <w:szCs w:val="16"/>
                <w:lang w:val="fr-BE"/>
              </w:rPr>
              <w:t>18,00</w:t>
            </w:r>
          </w:p>
        </w:tc>
        <w:tc>
          <w:tcPr>
            <w:tcW w:w="0" w:type="auto"/>
          </w:tcPr>
          <w:p w14:paraId="4ADDBD87"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37BCB078"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5CCACFEC"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6B9772E3"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2C1F6CB8"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4C9AAB3B"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64A7CED9"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14B74190"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r w:rsidR="006B2EC1" w14:paraId="6591C275" w14:textId="77777777" w:rsidTr="0047688D">
        <w:tc>
          <w:tcPr>
            <w:tcW w:w="0" w:type="auto"/>
          </w:tcPr>
          <w:p w14:paraId="1B33091E" w14:textId="77777777" w:rsidR="008C5CFA" w:rsidRPr="0024468B" w:rsidRDefault="00E82A60" w:rsidP="00300A01">
            <w:pPr>
              <w:spacing w:before="0" w:after="0"/>
              <w:rPr>
                <w:sz w:val="16"/>
                <w:szCs w:val="16"/>
                <w:lang w:val="fr-BE"/>
              </w:rPr>
            </w:pPr>
            <w:r>
              <w:rPr>
                <w:noProof/>
                <w:sz w:val="16"/>
                <w:szCs w:val="16"/>
                <w:lang w:val="fr-BE"/>
              </w:rPr>
              <w:t>S</w:t>
            </w:r>
          </w:p>
        </w:tc>
        <w:tc>
          <w:tcPr>
            <w:tcW w:w="0" w:type="auto"/>
            <w:shd w:val="clear" w:color="auto" w:fill="auto"/>
          </w:tcPr>
          <w:p w14:paraId="0FF185D7" w14:textId="77777777" w:rsidR="008C5CFA" w:rsidRPr="0024468B" w:rsidRDefault="00E82A60" w:rsidP="00300A01">
            <w:pPr>
              <w:spacing w:before="0" w:after="0"/>
              <w:rPr>
                <w:sz w:val="16"/>
                <w:szCs w:val="16"/>
                <w:lang w:val="fr-BE"/>
              </w:rPr>
            </w:pPr>
            <w:r>
              <w:rPr>
                <w:noProof/>
                <w:sz w:val="16"/>
                <w:szCs w:val="16"/>
                <w:lang w:val="fr-BE"/>
              </w:rPr>
              <w:t>28</w:t>
            </w:r>
          </w:p>
        </w:tc>
        <w:tc>
          <w:tcPr>
            <w:tcW w:w="0" w:type="auto"/>
            <w:shd w:val="clear" w:color="auto" w:fill="auto"/>
          </w:tcPr>
          <w:p w14:paraId="3FA83696" w14:textId="77777777" w:rsidR="008C5CFA" w:rsidRPr="0024468B" w:rsidRDefault="00E82A60" w:rsidP="00300A01">
            <w:pPr>
              <w:spacing w:before="0" w:after="0"/>
              <w:rPr>
                <w:sz w:val="16"/>
                <w:szCs w:val="16"/>
                <w:lang w:val="fr-BE"/>
              </w:rPr>
            </w:pPr>
            <w:r>
              <w:rPr>
                <w:noProof/>
                <w:sz w:val="16"/>
                <w:szCs w:val="16"/>
                <w:lang w:val="fr-BE"/>
              </w:rPr>
              <w:t>Liczba jednostek wytwarzania energii cieplnej z OZE</w:t>
            </w:r>
          </w:p>
        </w:tc>
        <w:tc>
          <w:tcPr>
            <w:tcW w:w="0" w:type="auto"/>
          </w:tcPr>
          <w:p w14:paraId="3342FC26" w14:textId="77777777" w:rsidR="008C5CFA" w:rsidRPr="0024468B" w:rsidRDefault="00E82A60" w:rsidP="00300A01">
            <w:pPr>
              <w:spacing w:before="0" w:after="0"/>
              <w:jc w:val="right"/>
              <w:rPr>
                <w:sz w:val="16"/>
                <w:szCs w:val="16"/>
                <w:lang w:val="fr-BE"/>
              </w:rPr>
            </w:pPr>
            <w:r w:rsidRPr="0024468B">
              <w:rPr>
                <w:noProof/>
                <w:sz w:val="16"/>
                <w:szCs w:val="16"/>
                <w:lang w:val="fr-BE"/>
              </w:rPr>
              <w:t>5 056,00</w:t>
            </w:r>
          </w:p>
        </w:tc>
        <w:tc>
          <w:tcPr>
            <w:tcW w:w="0" w:type="auto"/>
          </w:tcPr>
          <w:p w14:paraId="2BD0079C"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66C0C249"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0BEA69D4"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3AEA8E6E"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5366F670"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300916C8"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67BBC64E"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29B37B66"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bl>
    <w:p w14:paraId="23DDEA82"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39"/>
        <w:gridCol w:w="561"/>
        <w:gridCol w:w="7010"/>
        <w:gridCol w:w="1139"/>
        <w:gridCol w:w="1349"/>
        <w:gridCol w:w="1149"/>
        <w:gridCol w:w="1139"/>
        <w:gridCol w:w="1349"/>
        <w:gridCol w:w="1149"/>
      </w:tblGrid>
      <w:tr w:rsidR="006B2EC1" w14:paraId="57F2E92A" w14:textId="77777777" w:rsidTr="0047688D">
        <w:trPr>
          <w:tblHeader/>
        </w:trPr>
        <w:tc>
          <w:tcPr>
            <w:tcW w:w="0" w:type="auto"/>
          </w:tcPr>
          <w:p w14:paraId="137A3533" w14:textId="77777777" w:rsidR="008C5CFA" w:rsidRPr="009143B4" w:rsidRDefault="00E82A60" w:rsidP="00300A01">
            <w:pPr>
              <w:spacing w:before="0" w:after="0"/>
              <w:rPr>
                <w:b/>
                <w:sz w:val="16"/>
                <w:szCs w:val="16"/>
                <w:lang w:val="fr-BE"/>
              </w:rPr>
            </w:pPr>
            <w:r w:rsidRPr="009143B4">
              <w:rPr>
                <w:b/>
                <w:sz w:val="16"/>
                <w:szCs w:val="16"/>
                <w:lang w:val="fr-BE"/>
              </w:rPr>
              <w:t>(1)</w:t>
            </w:r>
          </w:p>
        </w:tc>
        <w:tc>
          <w:tcPr>
            <w:tcW w:w="0" w:type="auto"/>
            <w:shd w:val="clear" w:color="auto" w:fill="auto"/>
          </w:tcPr>
          <w:p w14:paraId="5257B34D" w14:textId="77777777" w:rsidR="008C5CFA" w:rsidRPr="009143B4" w:rsidRDefault="00E82A60" w:rsidP="00300A01">
            <w:pPr>
              <w:spacing w:before="0" w:after="0"/>
              <w:rPr>
                <w:b/>
                <w:sz w:val="16"/>
                <w:szCs w:val="16"/>
                <w:lang w:val="fr-BE"/>
              </w:rPr>
            </w:pPr>
            <w:r w:rsidRPr="009143B4">
              <w:rPr>
                <w:b/>
                <w:noProof/>
                <w:sz w:val="16"/>
                <w:szCs w:val="16"/>
                <w:lang w:val="fr-BE"/>
              </w:rPr>
              <w:t>ID</w:t>
            </w:r>
          </w:p>
        </w:tc>
        <w:tc>
          <w:tcPr>
            <w:tcW w:w="0" w:type="auto"/>
            <w:shd w:val="clear" w:color="auto" w:fill="auto"/>
          </w:tcPr>
          <w:p w14:paraId="09867FA5" w14:textId="77777777" w:rsidR="008C5CFA" w:rsidRPr="009143B4" w:rsidRDefault="00E82A60" w:rsidP="00300A01">
            <w:pPr>
              <w:spacing w:before="0" w:after="0"/>
              <w:rPr>
                <w:b/>
                <w:sz w:val="16"/>
                <w:szCs w:val="16"/>
                <w:lang w:val="fr-BE"/>
              </w:rPr>
            </w:pPr>
            <w:r w:rsidRPr="009143B4">
              <w:rPr>
                <w:b/>
                <w:noProof/>
                <w:sz w:val="16"/>
                <w:szCs w:val="16"/>
                <w:lang w:val="fr-BE"/>
              </w:rPr>
              <w:t>Wskaźnik</w:t>
            </w:r>
          </w:p>
        </w:tc>
        <w:tc>
          <w:tcPr>
            <w:tcW w:w="0" w:type="auto"/>
          </w:tcPr>
          <w:p w14:paraId="07DB9B49" w14:textId="77777777" w:rsidR="008C5CFA" w:rsidRPr="009143B4" w:rsidRDefault="00E82A60"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Ogółem</w:t>
            </w:r>
          </w:p>
        </w:tc>
        <w:tc>
          <w:tcPr>
            <w:tcW w:w="0" w:type="auto"/>
          </w:tcPr>
          <w:p w14:paraId="0EE0F7CB" w14:textId="77777777" w:rsidR="008C5CFA" w:rsidRPr="009143B4" w:rsidRDefault="00E82A60"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Mężczyźni</w:t>
            </w:r>
          </w:p>
        </w:tc>
        <w:tc>
          <w:tcPr>
            <w:tcW w:w="0" w:type="auto"/>
          </w:tcPr>
          <w:p w14:paraId="678EEA08" w14:textId="77777777" w:rsidR="008C5CFA" w:rsidRPr="009143B4" w:rsidRDefault="00E82A60"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Kobiety</w:t>
            </w:r>
          </w:p>
        </w:tc>
        <w:tc>
          <w:tcPr>
            <w:tcW w:w="0" w:type="auto"/>
            <w:shd w:val="clear" w:color="auto" w:fill="auto"/>
          </w:tcPr>
          <w:p w14:paraId="70B51317" w14:textId="77777777" w:rsidR="008C5CFA" w:rsidRPr="009143B4" w:rsidRDefault="00E82A60"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Ogółem</w:t>
            </w:r>
          </w:p>
        </w:tc>
        <w:tc>
          <w:tcPr>
            <w:tcW w:w="0" w:type="auto"/>
            <w:shd w:val="clear" w:color="auto" w:fill="auto"/>
          </w:tcPr>
          <w:p w14:paraId="6DAA3F8E" w14:textId="77777777" w:rsidR="008C5CFA" w:rsidRPr="009143B4" w:rsidRDefault="00E82A60"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Mężczyźni</w:t>
            </w:r>
          </w:p>
        </w:tc>
        <w:tc>
          <w:tcPr>
            <w:tcW w:w="0" w:type="auto"/>
            <w:shd w:val="clear" w:color="auto" w:fill="auto"/>
          </w:tcPr>
          <w:p w14:paraId="3755217F" w14:textId="77777777" w:rsidR="008C5CFA" w:rsidRPr="009143B4" w:rsidRDefault="00E82A60"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Kobiety</w:t>
            </w:r>
          </w:p>
        </w:tc>
      </w:tr>
      <w:tr w:rsidR="006B2EC1" w14:paraId="73E3E4D1" w14:textId="77777777" w:rsidTr="0047688D">
        <w:tc>
          <w:tcPr>
            <w:tcW w:w="0" w:type="auto"/>
          </w:tcPr>
          <w:p w14:paraId="1CE7DCE8" w14:textId="77777777" w:rsidR="008C5CFA" w:rsidRPr="0024468B" w:rsidRDefault="00E82A60" w:rsidP="00300A01">
            <w:pPr>
              <w:spacing w:before="0" w:after="0"/>
              <w:rPr>
                <w:sz w:val="16"/>
                <w:szCs w:val="16"/>
                <w:lang w:val="fr-BE"/>
              </w:rPr>
            </w:pPr>
            <w:r>
              <w:rPr>
                <w:noProof/>
                <w:sz w:val="16"/>
                <w:szCs w:val="16"/>
                <w:lang w:val="fr-BE"/>
              </w:rPr>
              <w:t>F</w:t>
            </w:r>
          </w:p>
        </w:tc>
        <w:tc>
          <w:tcPr>
            <w:tcW w:w="0" w:type="auto"/>
            <w:shd w:val="clear" w:color="auto" w:fill="auto"/>
          </w:tcPr>
          <w:p w14:paraId="0612724C" w14:textId="77777777" w:rsidR="008C5CFA" w:rsidRPr="0024468B" w:rsidRDefault="00E82A60" w:rsidP="00300A01">
            <w:pPr>
              <w:spacing w:before="0" w:after="0"/>
              <w:rPr>
                <w:sz w:val="16"/>
                <w:szCs w:val="16"/>
                <w:lang w:val="fr-BE"/>
              </w:rPr>
            </w:pPr>
            <w:r w:rsidRPr="0024468B">
              <w:rPr>
                <w:noProof/>
                <w:sz w:val="16"/>
                <w:szCs w:val="16"/>
                <w:lang w:val="fr-BE"/>
              </w:rPr>
              <w:t>CO30</w:t>
            </w:r>
          </w:p>
        </w:tc>
        <w:tc>
          <w:tcPr>
            <w:tcW w:w="0" w:type="auto"/>
            <w:shd w:val="clear" w:color="auto" w:fill="auto"/>
          </w:tcPr>
          <w:p w14:paraId="0CB78210" w14:textId="77777777" w:rsidR="008C5CFA" w:rsidRPr="0024468B" w:rsidRDefault="00E82A60" w:rsidP="00300A01">
            <w:pPr>
              <w:spacing w:before="0" w:after="0"/>
              <w:rPr>
                <w:sz w:val="16"/>
                <w:szCs w:val="16"/>
                <w:lang w:val="fr-BE"/>
              </w:rPr>
            </w:pPr>
            <w:r w:rsidRPr="0024468B">
              <w:rPr>
                <w:noProof/>
                <w:sz w:val="16"/>
                <w:szCs w:val="16"/>
                <w:lang w:val="fr-BE"/>
              </w:rPr>
              <w:t>Energia odnawialna: dodatkowa zdolność wytwarzania energii ze źródeł odnawialnych</w:t>
            </w:r>
          </w:p>
        </w:tc>
        <w:tc>
          <w:tcPr>
            <w:tcW w:w="0" w:type="auto"/>
          </w:tcPr>
          <w:p w14:paraId="770558FB"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233385BA"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0A9E03D2"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6B053B32"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42BCD7F0"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61B4E5E1"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r w:rsidR="006B2EC1" w14:paraId="65BCA86A" w14:textId="77777777" w:rsidTr="0047688D">
        <w:tc>
          <w:tcPr>
            <w:tcW w:w="0" w:type="auto"/>
          </w:tcPr>
          <w:p w14:paraId="08CE1E57" w14:textId="77777777" w:rsidR="008C5CFA" w:rsidRPr="0024468B" w:rsidRDefault="00E82A60" w:rsidP="00300A01">
            <w:pPr>
              <w:spacing w:before="0" w:after="0"/>
              <w:rPr>
                <w:sz w:val="16"/>
                <w:szCs w:val="16"/>
                <w:lang w:val="fr-BE"/>
              </w:rPr>
            </w:pPr>
            <w:r>
              <w:rPr>
                <w:noProof/>
                <w:sz w:val="16"/>
                <w:szCs w:val="16"/>
                <w:lang w:val="fr-BE"/>
              </w:rPr>
              <w:t>S</w:t>
            </w:r>
          </w:p>
        </w:tc>
        <w:tc>
          <w:tcPr>
            <w:tcW w:w="0" w:type="auto"/>
            <w:shd w:val="clear" w:color="auto" w:fill="auto"/>
          </w:tcPr>
          <w:p w14:paraId="666E9F2F" w14:textId="77777777" w:rsidR="008C5CFA" w:rsidRPr="0024468B" w:rsidRDefault="00E82A60" w:rsidP="00300A01">
            <w:pPr>
              <w:spacing w:before="0" w:after="0"/>
              <w:rPr>
                <w:sz w:val="16"/>
                <w:szCs w:val="16"/>
                <w:lang w:val="fr-BE"/>
              </w:rPr>
            </w:pPr>
            <w:r w:rsidRPr="0024468B">
              <w:rPr>
                <w:noProof/>
                <w:sz w:val="16"/>
                <w:szCs w:val="16"/>
                <w:lang w:val="fr-BE"/>
              </w:rPr>
              <w:t>CO30</w:t>
            </w:r>
          </w:p>
        </w:tc>
        <w:tc>
          <w:tcPr>
            <w:tcW w:w="0" w:type="auto"/>
            <w:shd w:val="clear" w:color="auto" w:fill="auto"/>
          </w:tcPr>
          <w:p w14:paraId="3CDDB507" w14:textId="77777777" w:rsidR="008C5CFA" w:rsidRPr="0024468B" w:rsidRDefault="00E82A60" w:rsidP="00300A01">
            <w:pPr>
              <w:spacing w:before="0" w:after="0"/>
              <w:rPr>
                <w:sz w:val="16"/>
                <w:szCs w:val="16"/>
                <w:lang w:val="fr-BE"/>
              </w:rPr>
            </w:pPr>
            <w:r w:rsidRPr="0024468B">
              <w:rPr>
                <w:noProof/>
                <w:sz w:val="16"/>
                <w:szCs w:val="16"/>
                <w:lang w:val="fr-BE"/>
              </w:rPr>
              <w:t>Energia odnawialna: dodatkowa zdolność wytwarzania energii ze źródeł odnawialnych</w:t>
            </w:r>
          </w:p>
        </w:tc>
        <w:tc>
          <w:tcPr>
            <w:tcW w:w="0" w:type="auto"/>
          </w:tcPr>
          <w:p w14:paraId="2076970D"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008D8878"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50B926A7"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6A0CC44F"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06D408BB"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0F5FB558"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r w:rsidR="006B2EC1" w14:paraId="6D101828" w14:textId="77777777" w:rsidTr="0047688D">
        <w:tc>
          <w:tcPr>
            <w:tcW w:w="0" w:type="auto"/>
          </w:tcPr>
          <w:p w14:paraId="1195D43C" w14:textId="77777777" w:rsidR="008C5CFA" w:rsidRPr="0024468B" w:rsidRDefault="00E82A60" w:rsidP="00300A01">
            <w:pPr>
              <w:spacing w:before="0" w:after="0"/>
              <w:rPr>
                <w:sz w:val="16"/>
                <w:szCs w:val="16"/>
                <w:lang w:val="fr-BE"/>
              </w:rPr>
            </w:pPr>
            <w:r>
              <w:rPr>
                <w:noProof/>
                <w:sz w:val="16"/>
                <w:szCs w:val="16"/>
                <w:lang w:val="fr-BE"/>
              </w:rPr>
              <w:t>F</w:t>
            </w:r>
          </w:p>
        </w:tc>
        <w:tc>
          <w:tcPr>
            <w:tcW w:w="0" w:type="auto"/>
            <w:shd w:val="clear" w:color="auto" w:fill="auto"/>
          </w:tcPr>
          <w:p w14:paraId="3BFBC096" w14:textId="77777777" w:rsidR="008C5CFA" w:rsidRPr="0024468B" w:rsidRDefault="00E82A60" w:rsidP="00300A01">
            <w:pPr>
              <w:spacing w:before="0" w:after="0"/>
              <w:rPr>
                <w:sz w:val="16"/>
                <w:szCs w:val="16"/>
                <w:lang w:val="fr-BE"/>
              </w:rPr>
            </w:pPr>
            <w:r w:rsidRPr="0024468B">
              <w:rPr>
                <w:noProof/>
                <w:sz w:val="16"/>
                <w:szCs w:val="16"/>
                <w:lang w:val="fr-BE"/>
              </w:rPr>
              <w:t>CO34</w:t>
            </w:r>
          </w:p>
        </w:tc>
        <w:tc>
          <w:tcPr>
            <w:tcW w:w="0" w:type="auto"/>
            <w:shd w:val="clear" w:color="auto" w:fill="auto"/>
          </w:tcPr>
          <w:p w14:paraId="44181C93" w14:textId="77777777" w:rsidR="008C5CFA" w:rsidRPr="0024468B" w:rsidRDefault="00E82A60" w:rsidP="00300A01">
            <w:pPr>
              <w:spacing w:before="0" w:after="0"/>
              <w:rPr>
                <w:sz w:val="16"/>
                <w:szCs w:val="16"/>
                <w:lang w:val="fr-BE"/>
              </w:rPr>
            </w:pPr>
            <w:r w:rsidRPr="0024468B">
              <w:rPr>
                <w:noProof/>
                <w:sz w:val="16"/>
                <w:szCs w:val="16"/>
                <w:lang w:val="fr-BE"/>
              </w:rPr>
              <w:t>Redukcja emisji gazów cieplarnianych: szacowany roczny spadek emisji gazów cieplarnianych</w:t>
            </w:r>
          </w:p>
        </w:tc>
        <w:tc>
          <w:tcPr>
            <w:tcW w:w="0" w:type="auto"/>
          </w:tcPr>
          <w:p w14:paraId="6C0D0453"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4A6BC496"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23617FA4"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6E6A858D"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07925D4D"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1511F5D1"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r w:rsidR="006B2EC1" w14:paraId="1F57FC57" w14:textId="77777777" w:rsidTr="0047688D">
        <w:tc>
          <w:tcPr>
            <w:tcW w:w="0" w:type="auto"/>
          </w:tcPr>
          <w:p w14:paraId="1D7BB071" w14:textId="77777777" w:rsidR="008C5CFA" w:rsidRPr="0024468B" w:rsidRDefault="00E82A60" w:rsidP="00300A01">
            <w:pPr>
              <w:spacing w:before="0" w:after="0"/>
              <w:rPr>
                <w:sz w:val="16"/>
                <w:szCs w:val="16"/>
                <w:lang w:val="fr-BE"/>
              </w:rPr>
            </w:pPr>
            <w:r>
              <w:rPr>
                <w:noProof/>
                <w:sz w:val="16"/>
                <w:szCs w:val="16"/>
                <w:lang w:val="fr-BE"/>
              </w:rPr>
              <w:t>S</w:t>
            </w:r>
          </w:p>
        </w:tc>
        <w:tc>
          <w:tcPr>
            <w:tcW w:w="0" w:type="auto"/>
            <w:shd w:val="clear" w:color="auto" w:fill="auto"/>
          </w:tcPr>
          <w:p w14:paraId="2D2CA6E9" w14:textId="77777777" w:rsidR="008C5CFA" w:rsidRPr="0024468B" w:rsidRDefault="00E82A60" w:rsidP="00300A01">
            <w:pPr>
              <w:spacing w:before="0" w:after="0"/>
              <w:rPr>
                <w:sz w:val="16"/>
                <w:szCs w:val="16"/>
                <w:lang w:val="fr-BE"/>
              </w:rPr>
            </w:pPr>
            <w:r w:rsidRPr="0024468B">
              <w:rPr>
                <w:noProof/>
                <w:sz w:val="16"/>
                <w:szCs w:val="16"/>
                <w:lang w:val="fr-BE"/>
              </w:rPr>
              <w:t>CO34</w:t>
            </w:r>
          </w:p>
        </w:tc>
        <w:tc>
          <w:tcPr>
            <w:tcW w:w="0" w:type="auto"/>
            <w:shd w:val="clear" w:color="auto" w:fill="auto"/>
          </w:tcPr>
          <w:p w14:paraId="250BF38A" w14:textId="77777777" w:rsidR="008C5CFA" w:rsidRPr="0024468B" w:rsidRDefault="00E82A60" w:rsidP="00300A01">
            <w:pPr>
              <w:spacing w:before="0" w:after="0"/>
              <w:rPr>
                <w:sz w:val="16"/>
                <w:szCs w:val="16"/>
                <w:lang w:val="fr-BE"/>
              </w:rPr>
            </w:pPr>
            <w:r w:rsidRPr="0024468B">
              <w:rPr>
                <w:noProof/>
                <w:sz w:val="16"/>
                <w:szCs w:val="16"/>
                <w:lang w:val="fr-BE"/>
              </w:rPr>
              <w:t>Redukcja emisji gazów cieplarnianych: szacowany roczny spadek emisji gazów cieplarnianych</w:t>
            </w:r>
          </w:p>
        </w:tc>
        <w:tc>
          <w:tcPr>
            <w:tcW w:w="0" w:type="auto"/>
          </w:tcPr>
          <w:p w14:paraId="568AC621"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24DFC764"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37F11448"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36A3D68A"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466A3171"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72F79690"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r w:rsidR="006B2EC1" w14:paraId="06203949" w14:textId="77777777" w:rsidTr="0047688D">
        <w:tc>
          <w:tcPr>
            <w:tcW w:w="0" w:type="auto"/>
          </w:tcPr>
          <w:p w14:paraId="0D7849FC" w14:textId="77777777" w:rsidR="008C5CFA" w:rsidRPr="0024468B" w:rsidRDefault="00E82A60" w:rsidP="00300A01">
            <w:pPr>
              <w:spacing w:before="0" w:after="0"/>
              <w:rPr>
                <w:sz w:val="16"/>
                <w:szCs w:val="16"/>
                <w:lang w:val="fr-BE"/>
              </w:rPr>
            </w:pPr>
            <w:r>
              <w:rPr>
                <w:noProof/>
                <w:sz w:val="16"/>
                <w:szCs w:val="16"/>
                <w:lang w:val="fr-BE"/>
              </w:rPr>
              <w:t>F</w:t>
            </w:r>
          </w:p>
        </w:tc>
        <w:tc>
          <w:tcPr>
            <w:tcW w:w="0" w:type="auto"/>
            <w:shd w:val="clear" w:color="auto" w:fill="auto"/>
          </w:tcPr>
          <w:p w14:paraId="5ABAFABF" w14:textId="77777777" w:rsidR="008C5CFA" w:rsidRPr="0024468B" w:rsidRDefault="00E82A60" w:rsidP="00300A01">
            <w:pPr>
              <w:spacing w:before="0" w:after="0"/>
              <w:rPr>
                <w:sz w:val="16"/>
                <w:szCs w:val="16"/>
                <w:lang w:val="fr-BE"/>
              </w:rPr>
            </w:pPr>
            <w:r>
              <w:rPr>
                <w:noProof/>
                <w:sz w:val="16"/>
                <w:szCs w:val="16"/>
                <w:lang w:val="fr-BE"/>
              </w:rPr>
              <w:t>27</w:t>
            </w:r>
          </w:p>
        </w:tc>
        <w:tc>
          <w:tcPr>
            <w:tcW w:w="0" w:type="auto"/>
            <w:shd w:val="clear" w:color="auto" w:fill="auto"/>
          </w:tcPr>
          <w:p w14:paraId="5232660D" w14:textId="77777777" w:rsidR="008C5CFA" w:rsidRPr="0024468B" w:rsidRDefault="00E82A60" w:rsidP="00300A01">
            <w:pPr>
              <w:spacing w:before="0" w:after="0"/>
              <w:rPr>
                <w:sz w:val="16"/>
                <w:szCs w:val="16"/>
                <w:lang w:val="fr-BE"/>
              </w:rPr>
            </w:pPr>
            <w:r>
              <w:rPr>
                <w:noProof/>
                <w:sz w:val="16"/>
                <w:szCs w:val="16"/>
                <w:lang w:val="fr-BE"/>
              </w:rPr>
              <w:t>Liczba jednostek wytwarzania energii elektrycznej z OZE</w:t>
            </w:r>
          </w:p>
        </w:tc>
        <w:tc>
          <w:tcPr>
            <w:tcW w:w="0" w:type="auto"/>
          </w:tcPr>
          <w:p w14:paraId="7281D371"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79998444"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11742C67"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30D81D19"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6DE10BF7"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6D94F24C"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r w:rsidR="006B2EC1" w14:paraId="338B5429" w14:textId="77777777" w:rsidTr="0047688D">
        <w:tc>
          <w:tcPr>
            <w:tcW w:w="0" w:type="auto"/>
          </w:tcPr>
          <w:p w14:paraId="1D4259BF" w14:textId="77777777" w:rsidR="008C5CFA" w:rsidRPr="0024468B" w:rsidRDefault="00E82A60" w:rsidP="00300A01">
            <w:pPr>
              <w:spacing w:before="0" w:after="0"/>
              <w:rPr>
                <w:sz w:val="16"/>
                <w:szCs w:val="16"/>
                <w:lang w:val="fr-BE"/>
              </w:rPr>
            </w:pPr>
            <w:r>
              <w:rPr>
                <w:noProof/>
                <w:sz w:val="16"/>
                <w:szCs w:val="16"/>
                <w:lang w:val="fr-BE"/>
              </w:rPr>
              <w:t>S</w:t>
            </w:r>
          </w:p>
        </w:tc>
        <w:tc>
          <w:tcPr>
            <w:tcW w:w="0" w:type="auto"/>
            <w:shd w:val="clear" w:color="auto" w:fill="auto"/>
          </w:tcPr>
          <w:p w14:paraId="1579BF05" w14:textId="77777777" w:rsidR="008C5CFA" w:rsidRPr="0024468B" w:rsidRDefault="00E82A60" w:rsidP="00300A01">
            <w:pPr>
              <w:spacing w:before="0" w:after="0"/>
              <w:rPr>
                <w:sz w:val="16"/>
                <w:szCs w:val="16"/>
                <w:lang w:val="fr-BE"/>
              </w:rPr>
            </w:pPr>
            <w:r>
              <w:rPr>
                <w:noProof/>
                <w:sz w:val="16"/>
                <w:szCs w:val="16"/>
                <w:lang w:val="fr-BE"/>
              </w:rPr>
              <w:t>27</w:t>
            </w:r>
          </w:p>
        </w:tc>
        <w:tc>
          <w:tcPr>
            <w:tcW w:w="0" w:type="auto"/>
            <w:shd w:val="clear" w:color="auto" w:fill="auto"/>
          </w:tcPr>
          <w:p w14:paraId="7AA1D2FE" w14:textId="77777777" w:rsidR="008C5CFA" w:rsidRPr="0024468B" w:rsidRDefault="00E82A60" w:rsidP="00300A01">
            <w:pPr>
              <w:spacing w:before="0" w:after="0"/>
              <w:rPr>
                <w:sz w:val="16"/>
                <w:szCs w:val="16"/>
                <w:lang w:val="fr-BE"/>
              </w:rPr>
            </w:pPr>
            <w:r>
              <w:rPr>
                <w:noProof/>
                <w:sz w:val="16"/>
                <w:szCs w:val="16"/>
                <w:lang w:val="fr-BE"/>
              </w:rPr>
              <w:t>Liczba jednostek wytwarzania energii elektrycznej z OZE</w:t>
            </w:r>
          </w:p>
        </w:tc>
        <w:tc>
          <w:tcPr>
            <w:tcW w:w="0" w:type="auto"/>
          </w:tcPr>
          <w:p w14:paraId="2D28529C"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7EF5F9B8"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3D79F9E3"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0B743EA1"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05934CB5"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7EF2614A"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r w:rsidR="006B2EC1" w14:paraId="2D0BC27D" w14:textId="77777777" w:rsidTr="0047688D">
        <w:tc>
          <w:tcPr>
            <w:tcW w:w="0" w:type="auto"/>
          </w:tcPr>
          <w:p w14:paraId="0328818A" w14:textId="77777777" w:rsidR="008C5CFA" w:rsidRPr="0024468B" w:rsidRDefault="00E82A60" w:rsidP="00300A01">
            <w:pPr>
              <w:spacing w:before="0" w:after="0"/>
              <w:rPr>
                <w:sz w:val="16"/>
                <w:szCs w:val="16"/>
                <w:lang w:val="fr-BE"/>
              </w:rPr>
            </w:pPr>
            <w:r>
              <w:rPr>
                <w:noProof/>
                <w:sz w:val="16"/>
                <w:szCs w:val="16"/>
                <w:lang w:val="fr-BE"/>
              </w:rPr>
              <w:t>F</w:t>
            </w:r>
          </w:p>
        </w:tc>
        <w:tc>
          <w:tcPr>
            <w:tcW w:w="0" w:type="auto"/>
            <w:shd w:val="clear" w:color="auto" w:fill="auto"/>
          </w:tcPr>
          <w:p w14:paraId="43FE3A0A" w14:textId="77777777" w:rsidR="008C5CFA" w:rsidRPr="0024468B" w:rsidRDefault="00E82A60" w:rsidP="00300A01">
            <w:pPr>
              <w:spacing w:before="0" w:after="0"/>
              <w:rPr>
                <w:sz w:val="16"/>
                <w:szCs w:val="16"/>
                <w:lang w:val="fr-BE"/>
              </w:rPr>
            </w:pPr>
            <w:r>
              <w:rPr>
                <w:noProof/>
                <w:sz w:val="16"/>
                <w:szCs w:val="16"/>
                <w:lang w:val="fr-BE"/>
              </w:rPr>
              <w:t>28</w:t>
            </w:r>
          </w:p>
        </w:tc>
        <w:tc>
          <w:tcPr>
            <w:tcW w:w="0" w:type="auto"/>
            <w:shd w:val="clear" w:color="auto" w:fill="auto"/>
          </w:tcPr>
          <w:p w14:paraId="0B05603D" w14:textId="77777777" w:rsidR="008C5CFA" w:rsidRPr="0024468B" w:rsidRDefault="00E82A60" w:rsidP="00300A01">
            <w:pPr>
              <w:spacing w:before="0" w:after="0"/>
              <w:rPr>
                <w:sz w:val="16"/>
                <w:szCs w:val="16"/>
                <w:lang w:val="fr-BE"/>
              </w:rPr>
            </w:pPr>
            <w:r>
              <w:rPr>
                <w:noProof/>
                <w:sz w:val="16"/>
                <w:szCs w:val="16"/>
                <w:lang w:val="fr-BE"/>
              </w:rPr>
              <w:t>Liczba jednostek wytwarzania energii cieplnej z OZE</w:t>
            </w:r>
          </w:p>
        </w:tc>
        <w:tc>
          <w:tcPr>
            <w:tcW w:w="0" w:type="auto"/>
          </w:tcPr>
          <w:p w14:paraId="6849BD07"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6FE5B093"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59B3DAFB"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63E4B875"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58854236"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0B49E611"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r w:rsidR="006B2EC1" w14:paraId="3E4BCA4F" w14:textId="77777777" w:rsidTr="0047688D">
        <w:tc>
          <w:tcPr>
            <w:tcW w:w="0" w:type="auto"/>
          </w:tcPr>
          <w:p w14:paraId="3731049C" w14:textId="77777777" w:rsidR="008C5CFA" w:rsidRPr="0024468B" w:rsidRDefault="00E82A60" w:rsidP="00300A01">
            <w:pPr>
              <w:spacing w:before="0" w:after="0"/>
              <w:rPr>
                <w:sz w:val="16"/>
                <w:szCs w:val="16"/>
                <w:lang w:val="fr-BE"/>
              </w:rPr>
            </w:pPr>
            <w:r>
              <w:rPr>
                <w:noProof/>
                <w:sz w:val="16"/>
                <w:szCs w:val="16"/>
                <w:lang w:val="fr-BE"/>
              </w:rPr>
              <w:t>S</w:t>
            </w:r>
          </w:p>
        </w:tc>
        <w:tc>
          <w:tcPr>
            <w:tcW w:w="0" w:type="auto"/>
            <w:shd w:val="clear" w:color="auto" w:fill="auto"/>
          </w:tcPr>
          <w:p w14:paraId="6E8AAE49" w14:textId="77777777" w:rsidR="008C5CFA" w:rsidRPr="0024468B" w:rsidRDefault="00E82A60" w:rsidP="00300A01">
            <w:pPr>
              <w:spacing w:before="0" w:after="0"/>
              <w:rPr>
                <w:sz w:val="16"/>
                <w:szCs w:val="16"/>
                <w:lang w:val="fr-BE"/>
              </w:rPr>
            </w:pPr>
            <w:r>
              <w:rPr>
                <w:noProof/>
                <w:sz w:val="16"/>
                <w:szCs w:val="16"/>
                <w:lang w:val="fr-BE"/>
              </w:rPr>
              <w:t>28</w:t>
            </w:r>
          </w:p>
        </w:tc>
        <w:tc>
          <w:tcPr>
            <w:tcW w:w="0" w:type="auto"/>
            <w:shd w:val="clear" w:color="auto" w:fill="auto"/>
          </w:tcPr>
          <w:p w14:paraId="594D09A6" w14:textId="77777777" w:rsidR="008C5CFA" w:rsidRPr="0024468B" w:rsidRDefault="00E82A60" w:rsidP="00300A01">
            <w:pPr>
              <w:spacing w:before="0" w:after="0"/>
              <w:rPr>
                <w:sz w:val="16"/>
                <w:szCs w:val="16"/>
                <w:lang w:val="fr-BE"/>
              </w:rPr>
            </w:pPr>
            <w:r>
              <w:rPr>
                <w:noProof/>
                <w:sz w:val="16"/>
                <w:szCs w:val="16"/>
                <w:lang w:val="fr-BE"/>
              </w:rPr>
              <w:t>Liczba jednostek wytwarzania energii cieplnej z OZE</w:t>
            </w:r>
          </w:p>
        </w:tc>
        <w:tc>
          <w:tcPr>
            <w:tcW w:w="0" w:type="auto"/>
          </w:tcPr>
          <w:p w14:paraId="7B780B21"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474FEB6C"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60076094"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1610FF82"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2526EDBA"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617AC7B1"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bl>
    <w:p w14:paraId="7C9D1FF2" w14:textId="77777777" w:rsidR="008C5CFA" w:rsidRDefault="008C5CFA" w:rsidP="00300A01">
      <w:pPr>
        <w:spacing w:before="0" w:after="0"/>
        <w:rPr>
          <w:lang w:val="fr-BE"/>
        </w:rPr>
      </w:pPr>
    </w:p>
    <w:p w14:paraId="32DF92A8" w14:textId="77777777" w:rsidR="008C5CFA" w:rsidRDefault="008C5CFA" w:rsidP="00300A01">
      <w:pPr>
        <w:spacing w:before="0" w:after="0"/>
        <w:rPr>
          <w:lang w:val="fr-BE"/>
        </w:rPr>
      </w:pPr>
    </w:p>
    <w:p w14:paraId="460A07BB" w14:textId="77777777" w:rsidR="008C5CFA" w:rsidRDefault="00E82A60" w:rsidP="00300A01">
      <w:pPr>
        <w:spacing w:before="0" w:after="0"/>
        <w:rPr>
          <w:lang w:val="fr-BE"/>
        </w:rPr>
      </w:pPr>
      <w:r>
        <w:rPr>
          <w:lang w:val="fr-BE"/>
        </w:rPr>
        <w:br w:type="page"/>
      </w:r>
    </w:p>
    <w:p w14:paraId="09D75C77"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5"/>
        <w:gridCol w:w="12489"/>
      </w:tblGrid>
      <w:tr w:rsidR="006B2EC1" w14:paraId="260F2ABE" w14:textId="77777777" w:rsidTr="0047688D">
        <w:tc>
          <w:tcPr>
            <w:tcW w:w="0" w:type="auto"/>
            <w:shd w:val="clear" w:color="auto" w:fill="auto"/>
          </w:tcPr>
          <w:p w14:paraId="2602F84E" w14:textId="77777777" w:rsidR="008C5CFA" w:rsidRPr="002124FC" w:rsidRDefault="00E82A60" w:rsidP="00300A01">
            <w:pPr>
              <w:spacing w:before="0" w:after="0"/>
              <w:rPr>
                <w:sz w:val="20"/>
                <w:szCs w:val="20"/>
                <w:lang w:val="fr-BE"/>
              </w:rPr>
            </w:pPr>
            <w:r>
              <w:rPr>
                <w:lang w:val="fr-BE"/>
              </w:rPr>
              <w:br w:type="page"/>
            </w:r>
            <w:r>
              <w:rPr>
                <w:lang w:val="fr-BE"/>
              </w:rPr>
              <w:br w:type="page"/>
            </w:r>
            <w:r>
              <w:rPr>
                <w:lang w:val="fr-BE"/>
              </w:rPr>
              <w:br w:type="page"/>
            </w:r>
            <w:r w:rsidRPr="002124FC">
              <w:rPr>
                <w:noProof/>
                <w:sz w:val="20"/>
                <w:szCs w:val="20"/>
                <w:lang w:val="fr-BE"/>
              </w:rPr>
              <w:t>Oś priorytetowa</w:t>
            </w:r>
          </w:p>
        </w:tc>
        <w:tc>
          <w:tcPr>
            <w:tcW w:w="0" w:type="auto"/>
            <w:shd w:val="clear" w:color="auto" w:fill="auto"/>
          </w:tcPr>
          <w:p w14:paraId="5AFC8F37" w14:textId="77777777" w:rsidR="008C5CFA" w:rsidRPr="002124FC" w:rsidRDefault="00E82A60" w:rsidP="00300A01">
            <w:pPr>
              <w:spacing w:before="0" w:after="0"/>
              <w:rPr>
                <w:sz w:val="20"/>
                <w:szCs w:val="20"/>
                <w:lang w:val="fr-BE"/>
              </w:rPr>
            </w:pPr>
            <w:r>
              <w:rPr>
                <w:noProof/>
                <w:sz w:val="20"/>
                <w:szCs w:val="20"/>
                <w:lang w:val="fr-BE"/>
              </w:rPr>
              <w:t>3</w:t>
            </w:r>
            <w:r w:rsidRPr="002124FC">
              <w:rPr>
                <w:sz w:val="20"/>
                <w:szCs w:val="20"/>
                <w:lang w:val="fr-BE"/>
              </w:rPr>
              <w:t xml:space="preserve"> - </w:t>
            </w:r>
            <w:r>
              <w:rPr>
                <w:noProof/>
                <w:sz w:val="20"/>
                <w:szCs w:val="20"/>
                <w:lang w:val="fr-BE"/>
              </w:rPr>
              <w:t>Efektywna i zielona energia</w:t>
            </w:r>
          </w:p>
        </w:tc>
      </w:tr>
      <w:tr w:rsidR="006B2EC1" w14:paraId="14FFF815" w14:textId="77777777" w:rsidTr="0047688D">
        <w:tc>
          <w:tcPr>
            <w:tcW w:w="0" w:type="auto"/>
            <w:shd w:val="clear" w:color="auto" w:fill="auto"/>
          </w:tcPr>
          <w:p w14:paraId="2EE774DF" w14:textId="77777777" w:rsidR="008C5CFA" w:rsidRPr="002124FC" w:rsidRDefault="00E82A60"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14:paraId="007B4B2F" w14:textId="77777777" w:rsidR="008C5CFA" w:rsidRPr="002124FC" w:rsidRDefault="00E82A60" w:rsidP="00300A01">
            <w:pPr>
              <w:spacing w:before="0" w:after="0"/>
              <w:rPr>
                <w:sz w:val="20"/>
                <w:szCs w:val="20"/>
                <w:lang w:val="fr-BE"/>
              </w:rPr>
            </w:pPr>
            <w:r w:rsidRPr="002124FC">
              <w:rPr>
                <w:noProof/>
                <w:sz w:val="20"/>
                <w:szCs w:val="20"/>
                <w:lang w:val="fr-BE"/>
              </w:rPr>
              <w:t>4a</w:t>
            </w:r>
            <w:r w:rsidRPr="002124FC">
              <w:rPr>
                <w:sz w:val="20"/>
                <w:szCs w:val="20"/>
                <w:lang w:val="fr-BE"/>
              </w:rPr>
              <w:t xml:space="preserve"> - </w:t>
            </w:r>
            <w:r>
              <w:rPr>
                <w:noProof/>
                <w:sz w:val="20"/>
                <w:szCs w:val="20"/>
                <w:lang w:val="fr-BE"/>
              </w:rPr>
              <w:t>Promowanie wytwarzania i dystrybucji energii pochodzącej ze źródeł odnawialnych</w:t>
            </w:r>
          </w:p>
        </w:tc>
      </w:tr>
      <w:tr w:rsidR="006B2EC1" w14:paraId="6570B4A9" w14:textId="77777777" w:rsidTr="0047688D">
        <w:tc>
          <w:tcPr>
            <w:tcW w:w="0" w:type="auto"/>
            <w:shd w:val="clear" w:color="auto" w:fill="auto"/>
          </w:tcPr>
          <w:p w14:paraId="3ADD0556" w14:textId="77777777" w:rsidR="008C5CFA" w:rsidRPr="002124FC" w:rsidRDefault="00E82A60" w:rsidP="00300A01">
            <w:pPr>
              <w:spacing w:before="0" w:after="0"/>
              <w:ind w:left="113" w:hanging="113"/>
              <w:rPr>
                <w:sz w:val="20"/>
                <w:szCs w:val="20"/>
                <w:lang w:val="fr-BE"/>
              </w:rPr>
            </w:pPr>
            <w:r>
              <w:rPr>
                <w:noProof/>
                <w:sz w:val="20"/>
                <w:szCs w:val="20"/>
                <w:lang w:val="fr-BE"/>
              </w:rPr>
              <w:t>Cel szczegółowy</w:t>
            </w:r>
          </w:p>
        </w:tc>
        <w:tc>
          <w:tcPr>
            <w:tcW w:w="0" w:type="auto"/>
            <w:shd w:val="clear" w:color="auto" w:fill="auto"/>
          </w:tcPr>
          <w:p w14:paraId="4C229310" w14:textId="77777777" w:rsidR="008C5CFA" w:rsidRPr="002124FC" w:rsidRDefault="00E82A60" w:rsidP="00300A01">
            <w:pPr>
              <w:spacing w:before="0" w:after="0"/>
              <w:rPr>
                <w:sz w:val="20"/>
                <w:szCs w:val="20"/>
                <w:lang w:val="fr-BE"/>
              </w:rPr>
            </w:pPr>
            <w:r>
              <w:rPr>
                <w:noProof/>
                <w:sz w:val="20"/>
                <w:szCs w:val="20"/>
                <w:lang w:val="fr-BE"/>
              </w:rPr>
              <w:t>1</w:t>
            </w:r>
            <w:r>
              <w:rPr>
                <w:sz w:val="20"/>
                <w:szCs w:val="20"/>
                <w:lang w:val="fr-BE"/>
              </w:rPr>
              <w:t xml:space="preserve"> - </w:t>
            </w:r>
            <w:r>
              <w:rPr>
                <w:noProof/>
                <w:sz w:val="20"/>
                <w:szCs w:val="20"/>
                <w:lang w:val="fr-BE"/>
              </w:rPr>
              <w:t>Zwiększony udział energii produkowanej z OZE w ogólnej produkcji energii w województwie świętokrzyskim.</w:t>
            </w:r>
          </w:p>
        </w:tc>
      </w:tr>
    </w:tbl>
    <w:p w14:paraId="2FCFAE28" w14:textId="77777777" w:rsidR="008C5CFA" w:rsidRDefault="008C5CFA" w:rsidP="00300A01">
      <w:pPr>
        <w:spacing w:before="0" w:after="0"/>
        <w:rPr>
          <w:lang w:val="fr-BE"/>
        </w:rPr>
      </w:pPr>
    </w:p>
    <w:p w14:paraId="4D590A8C" w14:textId="77777777" w:rsidR="008C5CFA" w:rsidRDefault="00E82A60" w:rsidP="00300A01">
      <w:pPr>
        <w:spacing w:before="0" w:after="0"/>
        <w:rPr>
          <w:lang w:val="fr-BE"/>
        </w:rPr>
      </w:pPr>
      <w:r>
        <w:rPr>
          <w:lang w:val="fr-BE"/>
        </w:rPr>
        <w:t xml:space="preserve">Tabela 1: Wskaźniki rezultatu dla EFRR i Funduszu Spójności (według osi priorytetowej i celu szczegółowego); ma zastosowanie także do osi priorytetowej </w:t>
      </w:r>
      <w:r>
        <w:t>"</w:t>
      </w:r>
      <w:r>
        <w:rPr>
          <w:lang w:val="fr-BE"/>
        </w:rPr>
        <w:t>Pomoc techniczna</w:t>
      </w:r>
      <w:r>
        <w:t>"</w:t>
      </w:r>
    </w:p>
    <w:p w14:paraId="6BF68AC7"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3934"/>
        <w:gridCol w:w="1053"/>
        <w:gridCol w:w="1132"/>
        <w:gridCol w:w="1012"/>
        <w:gridCol w:w="866"/>
        <w:gridCol w:w="1293"/>
        <w:gridCol w:w="911"/>
        <w:gridCol w:w="1133"/>
        <w:gridCol w:w="3394"/>
      </w:tblGrid>
      <w:tr w:rsidR="006B2EC1" w14:paraId="4C8C67A6" w14:textId="77777777" w:rsidTr="0047688D">
        <w:tc>
          <w:tcPr>
            <w:tcW w:w="0" w:type="auto"/>
            <w:shd w:val="clear" w:color="auto" w:fill="auto"/>
          </w:tcPr>
          <w:p w14:paraId="6C36E00A" w14:textId="77777777" w:rsidR="008C5CFA" w:rsidRPr="0024468B" w:rsidRDefault="00E82A60" w:rsidP="00300A01">
            <w:pPr>
              <w:spacing w:before="0" w:after="0"/>
              <w:rPr>
                <w:sz w:val="16"/>
                <w:szCs w:val="16"/>
                <w:lang w:val="fr-BE"/>
              </w:rPr>
            </w:pPr>
            <w:r w:rsidRPr="0024468B">
              <w:rPr>
                <w:noProof/>
                <w:sz w:val="16"/>
                <w:szCs w:val="16"/>
                <w:lang w:val="fr-BE"/>
              </w:rPr>
              <w:t>ID</w:t>
            </w:r>
          </w:p>
        </w:tc>
        <w:tc>
          <w:tcPr>
            <w:tcW w:w="0" w:type="auto"/>
            <w:shd w:val="clear" w:color="auto" w:fill="auto"/>
          </w:tcPr>
          <w:p w14:paraId="103DC145" w14:textId="77777777" w:rsidR="008C5CFA" w:rsidRPr="0024468B" w:rsidRDefault="00E82A60" w:rsidP="00300A01">
            <w:pPr>
              <w:spacing w:before="0" w:after="0"/>
              <w:rPr>
                <w:sz w:val="16"/>
                <w:szCs w:val="16"/>
                <w:lang w:val="fr-BE"/>
              </w:rPr>
            </w:pPr>
            <w:r w:rsidRPr="0024468B">
              <w:rPr>
                <w:noProof/>
                <w:sz w:val="16"/>
                <w:szCs w:val="16"/>
                <w:lang w:val="fr-BE"/>
              </w:rPr>
              <w:t>Wskaźnik</w:t>
            </w:r>
          </w:p>
        </w:tc>
        <w:tc>
          <w:tcPr>
            <w:tcW w:w="0" w:type="auto"/>
            <w:shd w:val="clear" w:color="auto" w:fill="auto"/>
          </w:tcPr>
          <w:p w14:paraId="2C2C1B41" w14:textId="77777777" w:rsidR="008C5CFA" w:rsidRPr="0024468B" w:rsidRDefault="00E82A60" w:rsidP="00300A01">
            <w:pPr>
              <w:spacing w:before="0" w:after="0"/>
              <w:rPr>
                <w:sz w:val="16"/>
                <w:szCs w:val="16"/>
                <w:lang w:val="fr-BE"/>
              </w:rPr>
            </w:pPr>
            <w:r w:rsidRPr="0024468B">
              <w:rPr>
                <w:noProof/>
                <w:sz w:val="16"/>
                <w:szCs w:val="16"/>
                <w:lang w:val="fr-BE"/>
              </w:rPr>
              <w:t>Jednostka miary</w:t>
            </w:r>
          </w:p>
        </w:tc>
        <w:tc>
          <w:tcPr>
            <w:tcW w:w="0" w:type="auto"/>
            <w:shd w:val="clear" w:color="auto" w:fill="auto"/>
          </w:tcPr>
          <w:p w14:paraId="331E6661" w14:textId="77777777" w:rsidR="008C5CFA" w:rsidRPr="0024468B" w:rsidRDefault="00E82A60" w:rsidP="00300A01">
            <w:pPr>
              <w:spacing w:before="0" w:after="0"/>
              <w:rPr>
                <w:sz w:val="16"/>
                <w:szCs w:val="16"/>
                <w:lang w:val="fr-BE"/>
              </w:rPr>
            </w:pPr>
            <w:r w:rsidRPr="0024468B">
              <w:rPr>
                <w:noProof/>
                <w:sz w:val="16"/>
                <w:szCs w:val="16"/>
                <w:lang w:val="fr-BE"/>
              </w:rPr>
              <w:t>Kategoria regionu</w:t>
            </w:r>
          </w:p>
        </w:tc>
        <w:tc>
          <w:tcPr>
            <w:tcW w:w="0" w:type="auto"/>
            <w:shd w:val="clear" w:color="auto" w:fill="auto"/>
          </w:tcPr>
          <w:p w14:paraId="304A61F1" w14:textId="77777777" w:rsidR="008C5CFA" w:rsidRPr="0024468B" w:rsidRDefault="00E82A60" w:rsidP="00300A01">
            <w:pPr>
              <w:spacing w:before="0" w:after="0"/>
              <w:rPr>
                <w:sz w:val="16"/>
                <w:szCs w:val="16"/>
                <w:lang w:val="fr-BE"/>
              </w:rPr>
            </w:pPr>
            <w:r w:rsidRPr="0024468B">
              <w:rPr>
                <w:noProof/>
                <w:sz w:val="16"/>
                <w:szCs w:val="16"/>
                <w:lang w:val="fr-BE"/>
              </w:rPr>
              <w:t>Wartość bazowa</w:t>
            </w:r>
          </w:p>
        </w:tc>
        <w:tc>
          <w:tcPr>
            <w:tcW w:w="0" w:type="auto"/>
            <w:shd w:val="clear" w:color="auto" w:fill="auto"/>
          </w:tcPr>
          <w:p w14:paraId="309C3810" w14:textId="77777777" w:rsidR="008C5CFA" w:rsidRPr="0024468B" w:rsidRDefault="00E82A60" w:rsidP="00300A01">
            <w:pPr>
              <w:spacing w:before="0" w:after="0"/>
              <w:rPr>
                <w:sz w:val="16"/>
                <w:szCs w:val="16"/>
                <w:lang w:val="fr-BE"/>
              </w:rPr>
            </w:pPr>
            <w:r w:rsidRPr="0024468B">
              <w:rPr>
                <w:noProof/>
                <w:sz w:val="16"/>
                <w:szCs w:val="16"/>
                <w:lang w:val="fr-BE"/>
              </w:rPr>
              <w:t>Rok bazowy</w:t>
            </w:r>
          </w:p>
        </w:tc>
        <w:tc>
          <w:tcPr>
            <w:tcW w:w="0" w:type="auto"/>
            <w:shd w:val="clear" w:color="auto" w:fill="auto"/>
          </w:tcPr>
          <w:p w14:paraId="741F8BA9" w14:textId="77777777" w:rsidR="008C5CFA" w:rsidRPr="0024468B" w:rsidRDefault="00E82A60" w:rsidP="00300A01">
            <w:pPr>
              <w:spacing w:before="0" w:after="0"/>
              <w:rPr>
                <w:sz w:val="16"/>
                <w:szCs w:val="16"/>
                <w:lang w:val="fr-BE"/>
              </w:rPr>
            </w:pPr>
            <w:r w:rsidRPr="0024468B">
              <w:rPr>
                <w:noProof/>
                <w:sz w:val="16"/>
                <w:szCs w:val="16"/>
                <w:lang w:val="fr-BE"/>
              </w:rPr>
              <w:t>Wartość docelowa 2023</w:t>
            </w:r>
          </w:p>
        </w:tc>
        <w:tc>
          <w:tcPr>
            <w:tcW w:w="0" w:type="auto"/>
            <w:shd w:val="clear" w:color="auto" w:fill="auto"/>
          </w:tcPr>
          <w:p w14:paraId="793DC807" w14:textId="77777777" w:rsidR="008C5CFA" w:rsidRPr="0024468B" w:rsidRDefault="00E82A60" w:rsidP="00300A01">
            <w:pPr>
              <w:spacing w:before="0" w:after="0"/>
              <w:jc w:val="center"/>
              <w:rPr>
                <w:sz w:val="16"/>
                <w:szCs w:val="16"/>
                <w:lang w:val="fr-BE"/>
              </w:rPr>
            </w:pPr>
            <w:r>
              <w:rPr>
                <w:sz w:val="16"/>
                <w:szCs w:val="16"/>
                <w:lang w:val="fr-BE"/>
              </w:rPr>
              <w:t xml:space="preserve">2019 </w:t>
            </w:r>
            <w:r>
              <w:rPr>
                <w:noProof/>
                <w:sz w:val="16"/>
                <w:szCs w:val="16"/>
                <w:lang w:val="fr-BE"/>
              </w:rPr>
              <w:t>Ogółem</w:t>
            </w:r>
          </w:p>
        </w:tc>
        <w:tc>
          <w:tcPr>
            <w:tcW w:w="0" w:type="auto"/>
            <w:shd w:val="clear" w:color="auto" w:fill="auto"/>
          </w:tcPr>
          <w:p w14:paraId="522FBBA3" w14:textId="77777777" w:rsidR="008C5CFA" w:rsidRPr="0024468B" w:rsidRDefault="00E82A60" w:rsidP="00300A01">
            <w:pPr>
              <w:spacing w:before="0" w:after="0"/>
              <w:jc w:val="center"/>
              <w:rPr>
                <w:sz w:val="16"/>
                <w:szCs w:val="16"/>
                <w:lang w:val="fr-BE"/>
              </w:rPr>
            </w:pPr>
            <w:r>
              <w:rPr>
                <w:sz w:val="16"/>
                <w:szCs w:val="16"/>
                <w:lang w:val="fr-BE"/>
              </w:rPr>
              <w:t xml:space="preserve">2019 </w:t>
            </w:r>
            <w:r w:rsidRPr="0024468B">
              <w:rPr>
                <w:noProof/>
                <w:sz w:val="16"/>
                <w:szCs w:val="16"/>
                <w:lang w:val="fr-BE"/>
              </w:rPr>
              <w:t>Jakościowe</w:t>
            </w:r>
          </w:p>
        </w:tc>
        <w:tc>
          <w:tcPr>
            <w:tcW w:w="0" w:type="auto"/>
            <w:shd w:val="clear" w:color="auto" w:fill="auto"/>
          </w:tcPr>
          <w:p w14:paraId="0C3E493D" w14:textId="77777777" w:rsidR="008C5CFA" w:rsidRPr="0024468B" w:rsidRDefault="00E82A60" w:rsidP="00300A01">
            <w:pPr>
              <w:spacing w:before="0" w:after="0"/>
              <w:jc w:val="center"/>
              <w:rPr>
                <w:sz w:val="16"/>
                <w:szCs w:val="16"/>
                <w:lang w:val="fr-BE"/>
              </w:rPr>
            </w:pPr>
            <w:r w:rsidRPr="0024468B">
              <w:rPr>
                <w:noProof/>
                <w:sz w:val="16"/>
                <w:szCs w:val="16"/>
                <w:lang w:val="fr-BE"/>
              </w:rPr>
              <w:t>Uwagi</w:t>
            </w:r>
          </w:p>
        </w:tc>
      </w:tr>
      <w:tr w:rsidR="006B2EC1" w14:paraId="3FFA4533" w14:textId="77777777" w:rsidTr="0047688D">
        <w:tc>
          <w:tcPr>
            <w:tcW w:w="0" w:type="auto"/>
            <w:shd w:val="clear" w:color="auto" w:fill="auto"/>
          </w:tcPr>
          <w:p w14:paraId="417137E0" w14:textId="77777777" w:rsidR="008C5CFA" w:rsidRPr="0024468B" w:rsidRDefault="00E82A60" w:rsidP="00300A01">
            <w:pPr>
              <w:spacing w:before="0" w:after="0"/>
              <w:rPr>
                <w:sz w:val="16"/>
                <w:szCs w:val="16"/>
                <w:lang w:val="fr-BE"/>
              </w:rPr>
            </w:pPr>
            <w:r w:rsidRPr="0024468B">
              <w:rPr>
                <w:noProof/>
                <w:sz w:val="16"/>
                <w:szCs w:val="16"/>
                <w:lang w:val="fr-BE"/>
              </w:rPr>
              <w:t>149</w:t>
            </w:r>
          </w:p>
        </w:tc>
        <w:tc>
          <w:tcPr>
            <w:tcW w:w="0" w:type="auto"/>
            <w:shd w:val="clear" w:color="auto" w:fill="auto"/>
          </w:tcPr>
          <w:p w14:paraId="2F796DC8" w14:textId="77777777" w:rsidR="008C5CFA" w:rsidRPr="0024468B" w:rsidRDefault="00E82A60" w:rsidP="00300A01">
            <w:pPr>
              <w:spacing w:before="0" w:after="0"/>
              <w:rPr>
                <w:sz w:val="16"/>
                <w:szCs w:val="16"/>
                <w:lang w:val="fr-BE"/>
              </w:rPr>
            </w:pPr>
            <w:r w:rsidRPr="0024468B">
              <w:rPr>
                <w:noProof/>
                <w:sz w:val="16"/>
                <w:szCs w:val="16"/>
                <w:lang w:val="fr-BE"/>
              </w:rPr>
              <w:t>Udział produkcji energii elektrycznej ze źródeł odnawialnych w produkcji energii elektrycznej ogółem</w:t>
            </w:r>
          </w:p>
        </w:tc>
        <w:tc>
          <w:tcPr>
            <w:tcW w:w="0" w:type="auto"/>
            <w:shd w:val="clear" w:color="auto" w:fill="auto"/>
          </w:tcPr>
          <w:p w14:paraId="60757097" w14:textId="77777777" w:rsidR="008C5CFA" w:rsidRPr="0024468B" w:rsidRDefault="00E82A60" w:rsidP="00300A01">
            <w:pPr>
              <w:spacing w:before="0" w:after="0"/>
              <w:rPr>
                <w:sz w:val="16"/>
                <w:szCs w:val="16"/>
                <w:lang w:val="fr-BE"/>
              </w:rPr>
            </w:pPr>
            <w:r w:rsidRPr="0024468B">
              <w:rPr>
                <w:noProof/>
                <w:sz w:val="16"/>
                <w:szCs w:val="16"/>
                <w:lang w:val="fr-BE"/>
              </w:rPr>
              <w:t>%</w:t>
            </w:r>
          </w:p>
        </w:tc>
        <w:tc>
          <w:tcPr>
            <w:tcW w:w="0" w:type="auto"/>
            <w:shd w:val="clear" w:color="auto" w:fill="auto"/>
          </w:tcPr>
          <w:p w14:paraId="146D3004" w14:textId="77777777" w:rsidR="008C5CFA" w:rsidRPr="0024468B" w:rsidRDefault="00E82A60"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14:paraId="3BD7D728" w14:textId="77777777" w:rsidR="008C5CFA" w:rsidRPr="00C3185A" w:rsidRDefault="00E82A60" w:rsidP="00300A01">
            <w:pPr>
              <w:spacing w:before="0" w:after="0"/>
              <w:jc w:val="right"/>
              <w:rPr>
                <w:sz w:val="16"/>
                <w:szCs w:val="16"/>
                <w:lang w:val="fr-BE"/>
              </w:rPr>
            </w:pPr>
            <w:r w:rsidRPr="00C3185A">
              <w:rPr>
                <w:noProof/>
                <w:sz w:val="16"/>
                <w:szCs w:val="16"/>
                <w:lang w:val="fr-BE"/>
              </w:rPr>
              <w:t>15,30</w:t>
            </w:r>
          </w:p>
        </w:tc>
        <w:tc>
          <w:tcPr>
            <w:tcW w:w="0" w:type="auto"/>
            <w:shd w:val="clear" w:color="auto" w:fill="auto"/>
          </w:tcPr>
          <w:p w14:paraId="6265DADE" w14:textId="77777777" w:rsidR="008C5CFA" w:rsidRPr="0024468B" w:rsidRDefault="00E82A60" w:rsidP="00300A01">
            <w:pPr>
              <w:spacing w:before="0" w:after="0"/>
              <w:rPr>
                <w:sz w:val="16"/>
                <w:szCs w:val="16"/>
                <w:lang w:val="fr-BE"/>
              </w:rPr>
            </w:pPr>
            <w:r w:rsidRPr="0024468B">
              <w:rPr>
                <w:noProof/>
                <w:sz w:val="16"/>
                <w:szCs w:val="16"/>
                <w:lang w:val="fr-BE"/>
              </w:rPr>
              <w:t>2012</w:t>
            </w:r>
          </w:p>
        </w:tc>
        <w:tc>
          <w:tcPr>
            <w:tcW w:w="0" w:type="auto"/>
            <w:shd w:val="clear" w:color="auto" w:fill="auto"/>
          </w:tcPr>
          <w:p w14:paraId="788A5F78" w14:textId="77777777" w:rsidR="008C5CFA" w:rsidRPr="0024468B" w:rsidRDefault="00E82A60" w:rsidP="00300A01">
            <w:pPr>
              <w:spacing w:before="0" w:after="0"/>
              <w:jc w:val="right"/>
              <w:rPr>
                <w:sz w:val="16"/>
                <w:szCs w:val="16"/>
                <w:lang w:val="fr-BE"/>
              </w:rPr>
            </w:pPr>
            <w:r w:rsidRPr="0024468B">
              <w:rPr>
                <w:noProof/>
                <w:sz w:val="16"/>
                <w:szCs w:val="16"/>
                <w:lang w:val="fr-BE"/>
              </w:rPr>
              <w:t>19,00</w:t>
            </w:r>
          </w:p>
        </w:tc>
        <w:tc>
          <w:tcPr>
            <w:tcW w:w="0" w:type="auto"/>
            <w:shd w:val="clear" w:color="auto" w:fill="auto"/>
          </w:tcPr>
          <w:p w14:paraId="6F7D8337"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3D1FC24D" w14:textId="77777777" w:rsidR="008C5CFA" w:rsidRPr="0024468B" w:rsidRDefault="008C5CFA" w:rsidP="00300A01">
            <w:pPr>
              <w:spacing w:before="0" w:after="0"/>
              <w:jc w:val="right"/>
              <w:rPr>
                <w:sz w:val="16"/>
                <w:szCs w:val="16"/>
                <w:lang w:val="fr-BE"/>
              </w:rPr>
            </w:pPr>
          </w:p>
        </w:tc>
        <w:tc>
          <w:tcPr>
            <w:tcW w:w="0" w:type="auto"/>
            <w:shd w:val="clear" w:color="auto" w:fill="auto"/>
          </w:tcPr>
          <w:p w14:paraId="066DDE6A" w14:textId="77777777" w:rsidR="008C5CFA" w:rsidRPr="0024468B" w:rsidRDefault="00E82A60" w:rsidP="00300A01">
            <w:pPr>
              <w:spacing w:before="0" w:after="0"/>
              <w:rPr>
                <w:sz w:val="16"/>
                <w:szCs w:val="16"/>
                <w:lang w:val="fr-BE"/>
              </w:rPr>
            </w:pPr>
            <w:r w:rsidRPr="0024468B">
              <w:rPr>
                <w:noProof/>
                <w:sz w:val="16"/>
                <w:szCs w:val="16"/>
                <w:lang w:val="fr-BE"/>
              </w:rPr>
              <w:t>Brak aktualnych danych dostępnych w statystykach publicznych (systemie STRATEG)</w:t>
            </w:r>
          </w:p>
        </w:tc>
      </w:tr>
    </w:tbl>
    <w:p w14:paraId="7F3D944F"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5672"/>
        <w:gridCol w:w="1021"/>
        <w:gridCol w:w="1243"/>
        <w:gridCol w:w="1021"/>
        <w:gridCol w:w="1243"/>
        <w:gridCol w:w="1021"/>
        <w:gridCol w:w="1243"/>
        <w:gridCol w:w="1021"/>
        <w:gridCol w:w="1243"/>
      </w:tblGrid>
      <w:tr w:rsidR="006B2EC1" w14:paraId="13F6AFAD" w14:textId="77777777" w:rsidTr="0047688D">
        <w:tc>
          <w:tcPr>
            <w:tcW w:w="0" w:type="auto"/>
            <w:shd w:val="clear" w:color="auto" w:fill="auto"/>
          </w:tcPr>
          <w:p w14:paraId="786F9248" w14:textId="77777777" w:rsidR="008C5CFA" w:rsidRPr="0024468B" w:rsidRDefault="00E82A60" w:rsidP="00300A01">
            <w:pPr>
              <w:spacing w:before="0" w:after="0"/>
              <w:rPr>
                <w:sz w:val="16"/>
                <w:szCs w:val="16"/>
                <w:lang w:val="fr-BE"/>
              </w:rPr>
            </w:pPr>
            <w:r w:rsidRPr="0024468B">
              <w:rPr>
                <w:noProof/>
                <w:sz w:val="16"/>
                <w:szCs w:val="16"/>
                <w:lang w:val="fr-BE"/>
              </w:rPr>
              <w:t>ID</w:t>
            </w:r>
          </w:p>
        </w:tc>
        <w:tc>
          <w:tcPr>
            <w:tcW w:w="0" w:type="auto"/>
            <w:shd w:val="clear" w:color="auto" w:fill="auto"/>
          </w:tcPr>
          <w:p w14:paraId="6B4BD076" w14:textId="77777777" w:rsidR="008C5CFA" w:rsidRPr="0024468B" w:rsidRDefault="00E82A60" w:rsidP="00300A01">
            <w:pPr>
              <w:spacing w:before="0" w:after="0"/>
              <w:rPr>
                <w:sz w:val="16"/>
                <w:szCs w:val="16"/>
                <w:lang w:val="fr-BE"/>
              </w:rPr>
            </w:pPr>
            <w:r w:rsidRPr="0024468B">
              <w:rPr>
                <w:noProof/>
                <w:sz w:val="16"/>
                <w:szCs w:val="16"/>
                <w:lang w:val="fr-BE"/>
              </w:rPr>
              <w:t>Wskaźnik</w:t>
            </w:r>
          </w:p>
        </w:tc>
        <w:tc>
          <w:tcPr>
            <w:tcW w:w="0" w:type="auto"/>
          </w:tcPr>
          <w:p w14:paraId="568925E4" w14:textId="77777777" w:rsidR="008C5CFA" w:rsidRPr="0024468B" w:rsidRDefault="00E82A60" w:rsidP="00300A01">
            <w:pPr>
              <w:spacing w:before="0" w:after="0"/>
              <w:jc w:val="center"/>
              <w:rPr>
                <w:sz w:val="16"/>
                <w:szCs w:val="16"/>
                <w:lang w:val="fr-BE"/>
              </w:rPr>
            </w:pPr>
            <w:r>
              <w:rPr>
                <w:sz w:val="16"/>
                <w:szCs w:val="16"/>
                <w:lang w:val="fr-BE"/>
              </w:rPr>
              <w:t xml:space="preserve">2018 </w:t>
            </w:r>
            <w:r>
              <w:rPr>
                <w:noProof/>
                <w:sz w:val="16"/>
                <w:szCs w:val="16"/>
                <w:lang w:val="fr-BE"/>
              </w:rPr>
              <w:t>Ogółem</w:t>
            </w:r>
          </w:p>
        </w:tc>
        <w:tc>
          <w:tcPr>
            <w:tcW w:w="0" w:type="auto"/>
          </w:tcPr>
          <w:p w14:paraId="667F92BD" w14:textId="77777777" w:rsidR="008C5CFA" w:rsidRPr="0024468B" w:rsidRDefault="00E82A60" w:rsidP="00300A01">
            <w:pPr>
              <w:spacing w:before="0" w:after="0"/>
              <w:jc w:val="center"/>
              <w:rPr>
                <w:sz w:val="16"/>
                <w:szCs w:val="16"/>
                <w:lang w:val="fr-BE"/>
              </w:rPr>
            </w:pPr>
            <w:r>
              <w:rPr>
                <w:sz w:val="16"/>
                <w:szCs w:val="16"/>
                <w:lang w:val="fr-BE"/>
              </w:rPr>
              <w:t xml:space="preserve">2018 </w:t>
            </w:r>
            <w:r w:rsidRPr="0024468B">
              <w:rPr>
                <w:noProof/>
                <w:sz w:val="16"/>
                <w:szCs w:val="16"/>
                <w:lang w:val="fr-BE"/>
              </w:rPr>
              <w:t>Jakościowe</w:t>
            </w:r>
          </w:p>
        </w:tc>
        <w:tc>
          <w:tcPr>
            <w:tcW w:w="0" w:type="auto"/>
          </w:tcPr>
          <w:p w14:paraId="472D409D" w14:textId="77777777" w:rsidR="008C5CFA" w:rsidRPr="0024468B" w:rsidRDefault="00E82A60" w:rsidP="00300A01">
            <w:pPr>
              <w:spacing w:before="0" w:after="0"/>
              <w:jc w:val="center"/>
              <w:rPr>
                <w:sz w:val="16"/>
                <w:szCs w:val="16"/>
                <w:lang w:val="fr-BE"/>
              </w:rPr>
            </w:pPr>
            <w:r>
              <w:rPr>
                <w:sz w:val="16"/>
                <w:szCs w:val="16"/>
                <w:lang w:val="fr-BE"/>
              </w:rPr>
              <w:t xml:space="preserve">2017 </w:t>
            </w:r>
            <w:r>
              <w:rPr>
                <w:noProof/>
                <w:sz w:val="16"/>
                <w:szCs w:val="16"/>
                <w:lang w:val="fr-BE"/>
              </w:rPr>
              <w:t>Ogółem</w:t>
            </w:r>
          </w:p>
        </w:tc>
        <w:tc>
          <w:tcPr>
            <w:tcW w:w="0" w:type="auto"/>
          </w:tcPr>
          <w:p w14:paraId="2E14ACB7" w14:textId="77777777" w:rsidR="008C5CFA" w:rsidRPr="0024468B" w:rsidRDefault="00E82A60" w:rsidP="00300A01">
            <w:pPr>
              <w:spacing w:before="0" w:after="0"/>
              <w:jc w:val="center"/>
              <w:rPr>
                <w:sz w:val="16"/>
                <w:szCs w:val="16"/>
                <w:lang w:val="fr-BE"/>
              </w:rPr>
            </w:pPr>
            <w:r>
              <w:rPr>
                <w:sz w:val="16"/>
                <w:szCs w:val="16"/>
                <w:lang w:val="fr-BE"/>
              </w:rPr>
              <w:t xml:space="preserve">2017 </w:t>
            </w:r>
            <w:r w:rsidRPr="0024468B">
              <w:rPr>
                <w:noProof/>
                <w:sz w:val="16"/>
                <w:szCs w:val="16"/>
                <w:lang w:val="fr-BE"/>
              </w:rPr>
              <w:t>Jakościowe</w:t>
            </w:r>
          </w:p>
        </w:tc>
        <w:tc>
          <w:tcPr>
            <w:tcW w:w="0" w:type="auto"/>
          </w:tcPr>
          <w:p w14:paraId="6A32AE9C" w14:textId="77777777" w:rsidR="008C5CFA" w:rsidRPr="0024468B" w:rsidRDefault="00E82A60" w:rsidP="00300A01">
            <w:pPr>
              <w:spacing w:before="0" w:after="0"/>
              <w:jc w:val="center"/>
              <w:rPr>
                <w:sz w:val="16"/>
                <w:szCs w:val="16"/>
                <w:lang w:val="fr-BE"/>
              </w:rPr>
            </w:pPr>
            <w:r>
              <w:rPr>
                <w:sz w:val="16"/>
                <w:szCs w:val="16"/>
                <w:lang w:val="fr-BE"/>
              </w:rPr>
              <w:t xml:space="preserve">2016 </w:t>
            </w:r>
            <w:r>
              <w:rPr>
                <w:noProof/>
                <w:sz w:val="16"/>
                <w:szCs w:val="16"/>
                <w:lang w:val="fr-BE"/>
              </w:rPr>
              <w:t>Ogółem</w:t>
            </w:r>
          </w:p>
        </w:tc>
        <w:tc>
          <w:tcPr>
            <w:tcW w:w="0" w:type="auto"/>
          </w:tcPr>
          <w:p w14:paraId="35619779" w14:textId="77777777" w:rsidR="008C5CFA" w:rsidRPr="0024468B" w:rsidRDefault="00E82A60" w:rsidP="00300A01">
            <w:pPr>
              <w:spacing w:before="0" w:after="0"/>
              <w:jc w:val="center"/>
              <w:rPr>
                <w:sz w:val="16"/>
                <w:szCs w:val="16"/>
                <w:lang w:val="fr-BE"/>
              </w:rPr>
            </w:pPr>
            <w:r>
              <w:rPr>
                <w:sz w:val="16"/>
                <w:szCs w:val="16"/>
                <w:lang w:val="fr-BE"/>
              </w:rPr>
              <w:t xml:space="preserve">2016 </w:t>
            </w:r>
            <w:r w:rsidRPr="0024468B">
              <w:rPr>
                <w:noProof/>
                <w:sz w:val="16"/>
                <w:szCs w:val="16"/>
                <w:lang w:val="fr-BE"/>
              </w:rPr>
              <w:t>Jakościowe</w:t>
            </w:r>
          </w:p>
        </w:tc>
        <w:tc>
          <w:tcPr>
            <w:tcW w:w="0" w:type="auto"/>
          </w:tcPr>
          <w:p w14:paraId="7BFCE002" w14:textId="77777777" w:rsidR="008C5CFA" w:rsidRPr="0024468B" w:rsidRDefault="00E82A60" w:rsidP="00300A01">
            <w:pPr>
              <w:spacing w:before="0" w:after="0"/>
              <w:jc w:val="center"/>
              <w:rPr>
                <w:sz w:val="16"/>
                <w:szCs w:val="16"/>
                <w:lang w:val="fr-BE"/>
              </w:rPr>
            </w:pPr>
            <w:r>
              <w:rPr>
                <w:sz w:val="16"/>
                <w:szCs w:val="16"/>
                <w:lang w:val="fr-BE"/>
              </w:rPr>
              <w:t xml:space="preserve">2015 </w:t>
            </w:r>
            <w:r>
              <w:rPr>
                <w:noProof/>
                <w:sz w:val="16"/>
                <w:szCs w:val="16"/>
                <w:lang w:val="fr-BE"/>
              </w:rPr>
              <w:t>Ogółem</w:t>
            </w:r>
          </w:p>
        </w:tc>
        <w:tc>
          <w:tcPr>
            <w:tcW w:w="0" w:type="auto"/>
          </w:tcPr>
          <w:p w14:paraId="2F2AB1E0" w14:textId="77777777" w:rsidR="008C5CFA" w:rsidRPr="0024468B" w:rsidRDefault="00E82A60" w:rsidP="00300A01">
            <w:pPr>
              <w:spacing w:before="0" w:after="0"/>
              <w:jc w:val="center"/>
              <w:rPr>
                <w:sz w:val="16"/>
                <w:szCs w:val="16"/>
                <w:lang w:val="fr-BE"/>
              </w:rPr>
            </w:pPr>
            <w:r>
              <w:rPr>
                <w:sz w:val="16"/>
                <w:szCs w:val="16"/>
                <w:lang w:val="fr-BE"/>
              </w:rPr>
              <w:t xml:space="preserve">2015 </w:t>
            </w:r>
            <w:r w:rsidRPr="0024468B">
              <w:rPr>
                <w:noProof/>
                <w:sz w:val="16"/>
                <w:szCs w:val="16"/>
                <w:lang w:val="fr-BE"/>
              </w:rPr>
              <w:t>Jakościowe</w:t>
            </w:r>
          </w:p>
        </w:tc>
      </w:tr>
      <w:tr w:rsidR="006B2EC1" w14:paraId="7C1D9473" w14:textId="77777777" w:rsidTr="0047688D">
        <w:tc>
          <w:tcPr>
            <w:tcW w:w="0" w:type="auto"/>
            <w:shd w:val="clear" w:color="auto" w:fill="auto"/>
          </w:tcPr>
          <w:p w14:paraId="79BE3664" w14:textId="77777777" w:rsidR="008C5CFA" w:rsidRPr="0024468B" w:rsidRDefault="00E82A60" w:rsidP="00300A01">
            <w:pPr>
              <w:spacing w:before="0" w:after="0"/>
              <w:rPr>
                <w:sz w:val="16"/>
                <w:szCs w:val="16"/>
                <w:lang w:val="fr-BE"/>
              </w:rPr>
            </w:pPr>
            <w:r w:rsidRPr="0024468B">
              <w:rPr>
                <w:noProof/>
                <w:sz w:val="16"/>
                <w:szCs w:val="16"/>
                <w:lang w:val="fr-BE"/>
              </w:rPr>
              <w:t>149</w:t>
            </w:r>
          </w:p>
        </w:tc>
        <w:tc>
          <w:tcPr>
            <w:tcW w:w="0" w:type="auto"/>
            <w:shd w:val="clear" w:color="auto" w:fill="auto"/>
          </w:tcPr>
          <w:p w14:paraId="1139A386" w14:textId="77777777" w:rsidR="008C5CFA" w:rsidRPr="0024468B" w:rsidRDefault="00E82A60" w:rsidP="00300A01">
            <w:pPr>
              <w:spacing w:before="0" w:after="0"/>
              <w:rPr>
                <w:sz w:val="16"/>
                <w:szCs w:val="16"/>
                <w:lang w:val="fr-BE"/>
              </w:rPr>
            </w:pPr>
            <w:r w:rsidRPr="0024468B">
              <w:rPr>
                <w:noProof/>
                <w:sz w:val="16"/>
                <w:szCs w:val="16"/>
                <w:lang w:val="fr-BE"/>
              </w:rPr>
              <w:t>Udział produkcji energii elektrycznej ze źródeł odnawialnych w produkcji energii elektrycznej ogółem</w:t>
            </w:r>
          </w:p>
        </w:tc>
        <w:tc>
          <w:tcPr>
            <w:tcW w:w="0" w:type="auto"/>
          </w:tcPr>
          <w:p w14:paraId="6B4315A2" w14:textId="77777777" w:rsidR="008C5CFA" w:rsidRPr="0024468B" w:rsidRDefault="00E82A60" w:rsidP="00300A01">
            <w:pPr>
              <w:spacing w:before="0" w:after="0"/>
              <w:jc w:val="right"/>
              <w:rPr>
                <w:sz w:val="16"/>
                <w:szCs w:val="16"/>
                <w:lang w:val="fr-BE"/>
              </w:rPr>
            </w:pPr>
            <w:r w:rsidRPr="0024468B">
              <w:rPr>
                <w:noProof/>
                <w:sz w:val="16"/>
                <w:szCs w:val="16"/>
                <w:lang w:val="fr-BE"/>
              </w:rPr>
              <w:t>16,20</w:t>
            </w:r>
          </w:p>
        </w:tc>
        <w:tc>
          <w:tcPr>
            <w:tcW w:w="0" w:type="auto"/>
          </w:tcPr>
          <w:p w14:paraId="07A1CC69" w14:textId="77777777" w:rsidR="008C5CFA" w:rsidRPr="0024468B" w:rsidRDefault="008C5CFA" w:rsidP="00300A01">
            <w:pPr>
              <w:spacing w:before="0" w:after="0"/>
              <w:jc w:val="right"/>
              <w:rPr>
                <w:sz w:val="16"/>
                <w:szCs w:val="16"/>
                <w:lang w:val="fr-BE"/>
              </w:rPr>
            </w:pPr>
          </w:p>
        </w:tc>
        <w:tc>
          <w:tcPr>
            <w:tcW w:w="0" w:type="auto"/>
          </w:tcPr>
          <w:p w14:paraId="652B82A0" w14:textId="77777777" w:rsidR="008C5CFA" w:rsidRPr="0024468B" w:rsidRDefault="00E82A60" w:rsidP="00300A01">
            <w:pPr>
              <w:spacing w:before="0" w:after="0"/>
              <w:jc w:val="right"/>
              <w:rPr>
                <w:sz w:val="16"/>
                <w:szCs w:val="16"/>
                <w:lang w:val="fr-BE"/>
              </w:rPr>
            </w:pPr>
            <w:r w:rsidRPr="0024468B">
              <w:rPr>
                <w:noProof/>
                <w:sz w:val="16"/>
                <w:szCs w:val="16"/>
                <w:lang w:val="fr-BE"/>
              </w:rPr>
              <w:t>20,40</w:t>
            </w:r>
          </w:p>
        </w:tc>
        <w:tc>
          <w:tcPr>
            <w:tcW w:w="0" w:type="auto"/>
          </w:tcPr>
          <w:p w14:paraId="513F33F4" w14:textId="77777777" w:rsidR="008C5CFA" w:rsidRPr="0024468B" w:rsidRDefault="008C5CFA" w:rsidP="00300A01">
            <w:pPr>
              <w:spacing w:before="0" w:after="0"/>
              <w:jc w:val="right"/>
              <w:rPr>
                <w:sz w:val="16"/>
                <w:szCs w:val="16"/>
                <w:lang w:val="fr-BE"/>
              </w:rPr>
            </w:pPr>
          </w:p>
        </w:tc>
        <w:tc>
          <w:tcPr>
            <w:tcW w:w="0" w:type="auto"/>
          </w:tcPr>
          <w:p w14:paraId="00B8ECD7" w14:textId="77777777" w:rsidR="008C5CFA" w:rsidRPr="0024468B" w:rsidRDefault="00E82A60" w:rsidP="00300A01">
            <w:pPr>
              <w:spacing w:before="0" w:after="0"/>
              <w:jc w:val="right"/>
              <w:rPr>
                <w:sz w:val="16"/>
                <w:szCs w:val="16"/>
                <w:lang w:val="fr-BE"/>
              </w:rPr>
            </w:pPr>
            <w:r w:rsidRPr="0024468B">
              <w:rPr>
                <w:noProof/>
                <w:sz w:val="16"/>
                <w:szCs w:val="16"/>
                <w:lang w:val="fr-BE"/>
              </w:rPr>
              <w:t>20,70</w:t>
            </w:r>
          </w:p>
        </w:tc>
        <w:tc>
          <w:tcPr>
            <w:tcW w:w="0" w:type="auto"/>
          </w:tcPr>
          <w:p w14:paraId="5162955F" w14:textId="77777777" w:rsidR="008C5CFA" w:rsidRPr="0024468B" w:rsidRDefault="008C5CFA" w:rsidP="00300A01">
            <w:pPr>
              <w:spacing w:before="0" w:after="0"/>
              <w:jc w:val="right"/>
              <w:rPr>
                <w:sz w:val="16"/>
                <w:szCs w:val="16"/>
                <w:lang w:val="fr-BE"/>
              </w:rPr>
            </w:pPr>
          </w:p>
        </w:tc>
        <w:tc>
          <w:tcPr>
            <w:tcW w:w="0" w:type="auto"/>
          </w:tcPr>
          <w:p w14:paraId="4E09503A" w14:textId="77777777" w:rsidR="008C5CFA" w:rsidRPr="0024468B" w:rsidRDefault="00E82A60" w:rsidP="00300A01">
            <w:pPr>
              <w:spacing w:before="0" w:after="0"/>
              <w:jc w:val="right"/>
              <w:rPr>
                <w:sz w:val="16"/>
                <w:szCs w:val="16"/>
                <w:lang w:val="fr-BE"/>
              </w:rPr>
            </w:pPr>
            <w:r w:rsidRPr="0024468B">
              <w:rPr>
                <w:noProof/>
                <w:sz w:val="16"/>
                <w:szCs w:val="16"/>
                <w:lang w:val="fr-BE"/>
              </w:rPr>
              <w:t>27,50</w:t>
            </w:r>
          </w:p>
        </w:tc>
        <w:tc>
          <w:tcPr>
            <w:tcW w:w="0" w:type="auto"/>
          </w:tcPr>
          <w:p w14:paraId="5657A9E5" w14:textId="77777777" w:rsidR="008C5CFA" w:rsidRPr="0024468B" w:rsidRDefault="008C5CFA" w:rsidP="00300A01">
            <w:pPr>
              <w:spacing w:before="0" w:after="0"/>
              <w:jc w:val="right"/>
              <w:rPr>
                <w:sz w:val="16"/>
                <w:szCs w:val="16"/>
                <w:lang w:val="fr-BE"/>
              </w:rPr>
            </w:pPr>
          </w:p>
        </w:tc>
      </w:tr>
    </w:tbl>
    <w:p w14:paraId="15D4ECF3"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7"/>
        <w:gridCol w:w="10684"/>
        <w:gridCol w:w="1717"/>
        <w:gridCol w:w="2066"/>
      </w:tblGrid>
      <w:tr w:rsidR="006B2EC1" w14:paraId="684DB982" w14:textId="77777777" w:rsidTr="0047688D">
        <w:tc>
          <w:tcPr>
            <w:tcW w:w="0" w:type="auto"/>
            <w:shd w:val="clear" w:color="auto" w:fill="auto"/>
          </w:tcPr>
          <w:p w14:paraId="2492F2C8" w14:textId="77777777" w:rsidR="008C5CFA" w:rsidRPr="0024468B" w:rsidRDefault="00E82A60" w:rsidP="00300A01">
            <w:pPr>
              <w:spacing w:before="0" w:after="0"/>
              <w:rPr>
                <w:sz w:val="16"/>
                <w:szCs w:val="16"/>
                <w:lang w:val="fr-BE"/>
              </w:rPr>
            </w:pPr>
            <w:r w:rsidRPr="0024468B">
              <w:rPr>
                <w:noProof/>
                <w:sz w:val="16"/>
                <w:szCs w:val="16"/>
                <w:lang w:val="fr-BE"/>
              </w:rPr>
              <w:t>ID</w:t>
            </w:r>
          </w:p>
        </w:tc>
        <w:tc>
          <w:tcPr>
            <w:tcW w:w="0" w:type="auto"/>
            <w:shd w:val="clear" w:color="auto" w:fill="auto"/>
          </w:tcPr>
          <w:p w14:paraId="3478A797" w14:textId="77777777" w:rsidR="008C5CFA" w:rsidRPr="0024468B" w:rsidRDefault="00E82A60" w:rsidP="00300A01">
            <w:pPr>
              <w:spacing w:before="0" w:after="0"/>
              <w:rPr>
                <w:sz w:val="16"/>
                <w:szCs w:val="16"/>
                <w:lang w:val="fr-BE"/>
              </w:rPr>
            </w:pPr>
            <w:r w:rsidRPr="0024468B">
              <w:rPr>
                <w:noProof/>
                <w:sz w:val="16"/>
                <w:szCs w:val="16"/>
                <w:lang w:val="fr-BE"/>
              </w:rPr>
              <w:t>Wskaźnik</w:t>
            </w:r>
          </w:p>
        </w:tc>
        <w:tc>
          <w:tcPr>
            <w:tcW w:w="0" w:type="auto"/>
            <w:shd w:val="clear" w:color="auto" w:fill="auto"/>
          </w:tcPr>
          <w:p w14:paraId="13C229E5" w14:textId="77777777" w:rsidR="008C5CFA" w:rsidRPr="0024468B" w:rsidRDefault="00E82A60" w:rsidP="00300A01">
            <w:pPr>
              <w:spacing w:before="0" w:after="0"/>
              <w:jc w:val="center"/>
              <w:rPr>
                <w:sz w:val="16"/>
                <w:szCs w:val="16"/>
                <w:lang w:val="fr-BE"/>
              </w:rPr>
            </w:pPr>
            <w:r>
              <w:rPr>
                <w:sz w:val="16"/>
                <w:szCs w:val="16"/>
                <w:lang w:val="fr-BE"/>
              </w:rPr>
              <w:t xml:space="preserve">2014 </w:t>
            </w:r>
            <w:r>
              <w:rPr>
                <w:noProof/>
                <w:sz w:val="16"/>
                <w:szCs w:val="16"/>
                <w:lang w:val="fr-BE"/>
              </w:rPr>
              <w:t>Ogółem</w:t>
            </w:r>
          </w:p>
        </w:tc>
        <w:tc>
          <w:tcPr>
            <w:tcW w:w="0" w:type="auto"/>
            <w:shd w:val="clear" w:color="auto" w:fill="auto"/>
          </w:tcPr>
          <w:p w14:paraId="1ACDE819" w14:textId="77777777" w:rsidR="008C5CFA" w:rsidRPr="0024468B" w:rsidRDefault="00E82A60" w:rsidP="00300A01">
            <w:pPr>
              <w:spacing w:before="0" w:after="0"/>
              <w:jc w:val="center"/>
              <w:rPr>
                <w:sz w:val="16"/>
                <w:szCs w:val="16"/>
                <w:lang w:val="fr-BE"/>
              </w:rPr>
            </w:pPr>
            <w:r>
              <w:rPr>
                <w:sz w:val="16"/>
                <w:szCs w:val="16"/>
                <w:lang w:val="fr-BE"/>
              </w:rPr>
              <w:t xml:space="preserve">2014 </w:t>
            </w:r>
            <w:r w:rsidRPr="0024468B">
              <w:rPr>
                <w:noProof/>
                <w:sz w:val="16"/>
                <w:szCs w:val="16"/>
                <w:lang w:val="fr-BE"/>
              </w:rPr>
              <w:t>Jakościowe</w:t>
            </w:r>
          </w:p>
        </w:tc>
      </w:tr>
      <w:tr w:rsidR="006B2EC1" w14:paraId="28ED06B4" w14:textId="77777777" w:rsidTr="0047688D">
        <w:tc>
          <w:tcPr>
            <w:tcW w:w="0" w:type="auto"/>
            <w:shd w:val="clear" w:color="auto" w:fill="auto"/>
          </w:tcPr>
          <w:p w14:paraId="08D2936F" w14:textId="77777777" w:rsidR="008C5CFA" w:rsidRPr="0024468B" w:rsidRDefault="00E82A60" w:rsidP="00300A01">
            <w:pPr>
              <w:spacing w:before="0" w:after="0"/>
              <w:rPr>
                <w:sz w:val="16"/>
                <w:szCs w:val="16"/>
                <w:lang w:val="fr-BE"/>
              </w:rPr>
            </w:pPr>
            <w:r w:rsidRPr="0024468B">
              <w:rPr>
                <w:noProof/>
                <w:sz w:val="16"/>
                <w:szCs w:val="16"/>
                <w:lang w:val="fr-BE"/>
              </w:rPr>
              <w:t>149</w:t>
            </w:r>
          </w:p>
        </w:tc>
        <w:tc>
          <w:tcPr>
            <w:tcW w:w="0" w:type="auto"/>
            <w:shd w:val="clear" w:color="auto" w:fill="auto"/>
          </w:tcPr>
          <w:p w14:paraId="116ECFAF" w14:textId="77777777" w:rsidR="008C5CFA" w:rsidRPr="0024468B" w:rsidRDefault="00E82A60" w:rsidP="00300A01">
            <w:pPr>
              <w:spacing w:before="0" w:after="0"/>
              <w:rPr>
                <w:sz w:val="16"/>
                <w:szCs w:val="16"/>
                <w:lang w:val="fr-BE"/>
              </w:rPr>
            </w:pPr>
            <w:r w:rsidRPr="0024468B">
              <w:rPr>
                <w:noProof/>
                <w:sz w:val="16"/>
                <w:szCs w:val="16"/>
                <w:lang w:val="fr-BE"/>
              </w:rPr>
              <w:t>Udział produkcji energii elektrycznej ze źródeł odnawialnych w produkcji energii elektrycznej ogółem</w:t>
            </w:r>
          </w:p>
        </w:tc>
        <w:tc>
          <w:tcPr>
            <w:tcW w:w="0" w:type="auto"/>
            <w:shd w:val="clear" w:color="auto" w:fill="auto"/>
          </w:tcPr>
          <w:p w14:paraId="6322358D" w14:textId="77777777" w:rsidR="008C5CFA" w:rsidRPr="0024468B" w:rsidRDefault="00E82A60" w:rsidP="00300A01">
            <w:pPr>
              <w:spacing w:before="0" w:after="0"/>
              <w:jc w:val="right"/>
              <w:rPr>
                <w:sz w:val="16"/>
                <w:szCs w:val="16"/>
                <w:lang w:val="fr-BE"/>
              </w:rPr>
            </w:pPr>
            <w:r w:rsidRPr="0024468B">
              <w:rPr>
                <w:noProof/>
                <w:sz w:val="16"/>
                <w:szCs w:val="16"/>
                <w:lang w:val="fr-BE"/>
              </w:rPr>
              <w:t>26,20</w:t>
            </w:r>
          </w:p>
        </w:tc>
        <w:tc>
          <w:tcPr>
            <w:tcW w:w="0" w:type="auto"/>
            <w:shd w:val="clear" w:color="auto" w:fill="auto"/>
          </w:tcPr>
          <w:p w14:paraId="326D5F47" w14:textId="77777777" w:rsidR="008C5CFA" w:rsidRPr="0024468B" w:rsidRDefault="008C5CFA" w:rsidP="00300A01">
            <w:pPr>
              <w:spacing w:before="0" w:after="0"/>
              <w:jc w:val="right"/>
              <w:rPr>
                <w:sz w:val="16"/>
                <w:szCs w:val="16"/>
                <w:lang w:val="fr-BE"/>
              </w:rPr>
            </w:pPr>
          </w:p>
        </w:tc>
      </w:tr>
    </w:tbl>
    <w:p w14:paraId="2826EE0D" w14:textId="77777777" w:rsidR="008C5CFA" w:rsidRDefault="008C5CFA" w:rsidP="00300A01">
      <w:pPr>
        <w:spacing w:before="0" w:after="0"/>
        <w:rPr>
          <w:lang w:val="fr-BE"/>
        </w:rPr>
      </w:pPr>
    </w:p>
    <w:p w14:paraId="78872736" w14:textId="77777777" w:rsidR="008C5CFA" w:rsidRDefault="00E82A60" w:rsidP="00300A01">
      <w:pPr>
        <w:spacing w:before="0" w:after="0"/>
        <w:rPr>
          <w:lang w:val="fr-BE"/>
        </w:rPr>
      </w:pPr>
      <w:r>
        <w:rPr>
          <w:lang w:val="fr-BE"/>
        </w:rPr>
        <w:br w:type="page"/>
      </w:r>
    </w:p>
    <w:p w14:paraId="73F82F2F" w14:textId="77777777" w:rsidR="008C5CFA" w:rsidRPr="00B27C43" w:rsidRDefault="008C5CFA" w:rsidP="00300A01">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8"/>
        <w:gridCol w:w="12436"/>
      </w:tblGrid>
      <w:tr w:rsidR="006B2EC1" w14:paraId="077FCE58" w14:textId="77777777" w:rsidTr="0047688D">
        <w:tc>
          <w:tcPr>
            <w:tcW w:w="0" w:type="auto"/>
            <w:shd w:val="clear" w:color="auto" w:fill="auto"/>
          </w:tcPr>
          <w:p w14:paraId="133725EC" w14:textId="77777777" w:rsidR="008C5CFA" w:rsidRPr="002124FC" w:rsidRDefault="00E82A60" w:rsidP="00300A01">
            <w:pPr>
              <w:spacing w:before="0" w:after="0"/>
              <w:rPr>
                <w:sz w:val="20"/>
                <w:szCs w:val="20"/>
                <w:lang w:val="fr-BE"/>
              </w:rPr>
            </w:pPr>
            <w:r>
              <w:rPr>
                <w:lang w:val="fr-BE"/>
              </w:rPr>
              <w:br w:type="page"/>
            </w:r>
            <w:r>
              <w:rPr>
                <w:lang w:val="fr-BE"/>
              </w:rPr>
              <w:br w:type="page"/>
            </w:r>
            <w:r w:rsidRPr="002124FC">
              <w:rPr>
                <w:noProof/>
                <w:sz w:val="20"/>
                <w:szCs w:val="20"/>
                <w:lang w:val="fr-BE"/>
              </w:rPr>
              <w:t>Oś priorytetowa</w:t>
            </w:r>
          </w:p>
        </w:tc>
        <w:tc>
          <w:tcPr>
            <w:tcW w:w="0" w:type="auto"/>
            <w:shd w:val="clear" w:color="auto" w:fill="auto"/>
          </w:tcPr>
          <w:p w14:paraId="45B68E59" w14:textId="77777777" w:rsidR="008C5CFA" w:rsidRPr="002124FC" w:rsidRDefault="00E82A60" w:rsidP="00300A01">
            <w:pPr>
              <w:spacing w:before="0" w:after="0"/>
              <w:rPr>
                <w:sz w:val="20"/>
                <w:szCs w:val="20"/>
                <w:lang w:val="fr-BE"/>
              </w:rPr>
            </w:pPr>
            <w:r w:rsidRPr="002124FC">
              <w:rPr>
                <w:noProof/>
                <w:sz w:val="20"/>
                <w:szCs w:val="20"/>
                <w:lang w:val="fr-BE"/>
              </w:rPr>
              <w:t>3</w:t>
            </w:r>
            <w:r w:rsidRPr="002124FC">
              <w:rPr>
                <w:sz w:val="20"/>
                <w:szCs w:val="20"/>
                <w:lang w:val="fr-BE"/>
              </w:rPr>
              <w:t xml:space="preserve"> - </w:t>
            </w:r>
            <w:r w:rsidRPr="002124FC">
              <w:rPr>
                <w:noProof/>
                <w:sz w:val="20"/>
                <w:szCs w:val="20"/>
                <w:lang w:val="fr-BE"/>
              </w:rPr>
              <w:t>Efektywna i zielona energia</w:t>
            </w:r>
          </w:p>
        </w:tc>
      </w:tr>
      <w:tr w:rsidR="006B2EC1" w14:paraId="1C40A090" w14:textId="77777777" w:rsidTr="0047688D">
        <w:tc>
          <w:tcPr>
            <w:tcW w:w="0" w:type="auto"/>
            <w:shd w:val="clear" w:color="auto" w:fill="auto"/>
          </w:tcPr>
          <w:p w14:paraId="4D1BA98F" w14:textId="77777777" w:rsidR="008C5CFA" w:rsidRPr="002124FC" w:rsidRDefault="00E82A60"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14:paraId="3944B781" w14:textId="77777777" w:rsidR="008C5CFA" w:rsidRPr="002124FC" w:rsidRDefault="00E82A60" w:rsidP="00300A01">
            <w:pPr>
              <w:spacing w:before="0" w:after="0"/>
              <w:rPr>
                <w:sz w:val="20"/>
                <w:szCs w:val="20"/>
                <w:lang w:val="fr-BE"/>
              </w:rPr>
            </w:pPr>
            <w:r w:rsidRPr="002124FC">
              <w:rPr>
                <w:noProof/>
                <w:sz w:val="20"/>
                <w:szCs w:val="20"/>
                <w:lang w:val="fr-BE"/>
              </w:rPr>
              <w:t>4b</w:t>
            </w:r>
            <w:r w:rsidRPr="002124FC">
              <w:rPr>
                <w:sz w:val="20"/>
                <w:szCs w:val="20"/>
                <w:lang w:val="fr-BE"/>
              </w:rPr>
              <w:t xml:space="preserve"> - </w:t>
            </w:r>
            <w:r w:rsidRPr="002124FC">
              <w:rPr>
                <w:noProof/>
                <w:sz w:val="20"/>
                <w:szCs w:val="20"/>
                <w:lang w:val="fr-BE"/>
              </w:rPr>
              <w:t>Promowanie efektywności energetycznej i korzystania z odnawialnych źródeł energii w przedsiębiorstwach</w:t>
            </w:r>
          </w:p>
        </w:tc>
      </w:tr>
    </w:tbl>
    <w:p w14:paraId="765C7FD6" w14:textId="77777777" w:rsidR="008C5CFA" w:rsidRDefault="008C5CFA" w:rsidP="00300A01">
      <w:pPr>
        <w:spacing w:before="0" w:after="0"/>
        <w:rPr>
          <w:lang w:val="fr-BE"/>
        </w:rPr>
      </w:pPr>
    </w:p>
    <w:p w14:paraId="55A1388A" w14:textId="77777777" w:rsidR="008C5CFA" w:rsidRDefault="00E82A60" w:rsidP="00300A01">
      <w:pPr>
        <w:pStyle w:val="Nagwek2"/>
        <w:spacing w:before="0" w:after="0"/>
        <w:rPr>
          <w:lang w:val="fr-BE"/>
        </w:rPr>
      </w:pPr>
      <w:bookmarkStart w:id="27" w:name="_Toc46391711"/>
      <w:r>
        <w:rPr>
          <w:noProof/>
          <w:lang w:val="fr-BE"/>
        </w:rPr>
        <w:t>Tabela 3A</w:t>
      </w:r>
      <w:r>
        <w:rPr>
          <w:lang w:val="fr-BE"/>
        </w:rPr>
        <w:t xml:space="preserve">: </w:t>
      </w:r>
      <w:r>
        <w:rPr>
          <w:noProof/>
          <w:lang w:val="fr-BE"/>
        </w:rPr>
        <w:t>Wspólne i specyficzne dla danego programu wskaźniki produktu dla EFRR i Funduszu Spójności (wg osi priorytetowej, priorytetu inwestycyjnego, w podziale na kategorię regionu dla celów EFRR)</w:t>
      </w:r>
      <w:r w:rsidR="009C5874">
        <w:rPr>
          <w:lang w:val="fr-BE"/>
        </w:rPr>
        <w:t xml:space="preserve"> - </w:t>
      </w:r>
      <w:r w:rsidR="00F022AC" w:rsidRPr="002124FC">
        <w:rPr>
          <w:noProof/>
          <w:sz w:val="20"/>
          <w:szCs w:val="20"/>
          <w:lang w:val="fr-BE"/>
        </w:rPr>
        <w:t>3</w:t>
      </w:r>
      <w:r w:rsidR="00F022AC">
        <w:rPr>
          <w:sz w:val="20"/>
          <w:szCs w:val="20"/>
          <w:lang w:val="fr-BE"/>
        </w:rPr>
        <w:t xml:space="preserve"> / </w:t>
      </w:r>
      <w:r w:rsidR="00F022AC" w:rsidRPr="002124FC">
        <w:rPr>
          <w:noProof/>
          <w:sz w:val="20"/>
          <w:szCs w:val="20"/>
          <w:lang w:val="fr-BE"/>
        </w:rPr>
        <w:t>4b</w:t>
      </w:r>
      <w:bookmarkEnd w:id="27"/>
    </w:p>
    <w:p w14:paraId="2502F375"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01"/>
        <w:gridCol w:w="497"/>
        <w:gridCol w:w="2506"/>
        <w:gridCol w:w="1335"/>
        <w:gridCol w:w="925"/>
        <w:gridCol w:w="1331"/>
        <w:gridCol w:w="1210"/>
        <w:gridCol w:w="1112"/>
        <w:gridCol w:w="1034"/>
        <w:gridCol w:w="915"/>
        <w:gridCol w:w="738"/>
        <w:gridCol w:w="3280"/>
      </w:tblGrid>
      <w:tr w:rsidR="006B2EC1" w14:paraId="097A952B" w14:textId="77777777" w:rsidTr="0047688D">
        <w:trPr>
          <w:tblHeader/>
        </w:trPr>
        <w:tc>
          <w:tcPr>
            <w:tcW w:w="0" w:type="auto"/>
          </w:tcPr>
          <w:p w14:paraId="7D428380" w14:textId="77777777" w:rsidR="008C5CFA" w:rsidRPr="009143B4" w:rsidRDefault="00E82A60" w:rsidP="00300A01">
            <w:pPr>
              <w:spacing w:before="0" w:after="0"/>
              <w:rPr>
                <w:b/>
                <w:sz w:val="16"/>
                <w:szCs w:val="16"/>
                <w:lang w:val="fr-BE"/>
              </w:rPr>
            </w:pPr>
            <w:r w:rsidRPr="009143B4">
              <w:rPr>
                <w:b/>
                <w:sz w:val="16"/>
                <w:szCs w:val="16"/>
                <w:lang w:val="fr-BE"/>
              </w:rPr>
              <w:t>(1)</w:t>
            </w:r>
          </w:p>
        </w:tc>
        <w:tc>
          <w:tcPr>
            <w:tcW w:w="0" w:type="auto"/>
            <w:shd w:val="clear" w:color="auto" w:fill="auto"/>
          </w:tcPr>
          <w:p w14:paraId="7BBBC7F2" w14:textId="77777777" w:rsidR="008C5CFA" w:rsidRPr="009143B4" w:rsidRDefault="00E82A60" w:rsidP="00300A01">
            <w:pPr>
              <w:spacing w:before="0" w:after="0"/>
              <w:rPr>
                <w:b/>
                <w:sz w:val="16"/>
                <w:szCs w:val="16"/>
                <w:lang w:val="fr-BE"/>
              </w:rPr>
            </w:pPr>
            <w:r w:rsidRPr="009143B4">
              <w:rPr>
                <w:b/>
                <w:noProof/>
                <w:sz w:val="16"/>
                <w:szCs w:val="16"/>
                <w:lang w:val="fr-BE"/>
              </w:rPr>
              <w:t>ID</w:t>
            </w:r>
          </w:p>
        </w:tc>
        <w:tc>
          <w:tcPr>
            <w:tcW w:w="0" w:type="auto"/>
            <w:shd w:val="clear" w:color="auto" w:fill="auto"/>
          </w:tcPr>
          <w:p w14:paraId="6DF29841" w14:textId="77777777" w:rsidR="008C5CFA" w:rsidRPr="009143B4" w:rsidRDefault="00E82A60" w:rsidP="00300A01">
            <w:pPr>
              <w:spacing w:before="0" w:after="0"/>
              <w:rPr>
                <w:b/>
                <w:sz w:val="16"/>
                <w:szCs w:val="16"/>
                <w:lang w:val="fr-BE"/>
              </w:rPr>
            </w:pPr>
            <w:r w:rsidRPr="009143B4">
              <w:rPr>
                <w:b/>
                <w:noProof/>
                <w:sz w:val="16"/>
                <w:szCs w:val="16"/>
                <w:lang w:val="fr-BE"/>
              </w:rPr>
              <w:t>Wskaźnik</w:t>
            </w:r>
          </w:p>
        </w:tc>
        <w:tc>
          <w:tcPr>
            <w:tcW w:w="0" w:type="auto"/>
            <w:shd w:val="clear" w:color="auto" w:fill="auto"/>
          </w:tcPr>
          <w:p w14:paraId="0EC7F3DF" w14:textId="77777777" w:rsidR="008C5CFA" w:rsidRPr="009143B4" w:rsidRDefault="00E82A60" w:rsidP="00300A01">
            <w:pPr>
              <w:spacing w:before="0" w:after="0"/>
              <w:rPr>
                <w:b/>
                <w:sz w:val="16"/>
                <w:szCs w:val="16"/>
                <w:lang w:val="fr-BE"/>
              </w:rPr>
            </w:pPr>
            <w:r w:rsidRPr="009143B4">
              <w:rPr>
                <w:b/>
                <w:noProof/>
                <w:sz w:val="16"/>
                <w:szCs w:val="16"/>
                <w:lang w:val="fr-BE"/>
              </w:rPr>
              <w:t>Jednostka miary</w:t>
            </w:r>
          </w:p>
        </w:tc>
        <w:tc>
          <w:tcPr>
            <w:tcW w:w="0" w:type="auto"/>
            <w:shd w:val="clear" w:color="auto" w:fill="auto"/>
          </w:tcPr>
          <w:p w14:paraId="27E36809" w14:textId="77777777" w:rsidR="008C5CFA" w:rsidRPr="009143B4" w:rsidRDefault="00E82A60" w:rsidP="00300A01">
            <w:pPr>
              <w:spacing w:before="0" w:after="0"/>
              <w:rPr>
                <w:b/>
                <w:sz w:val="16"/>
                <w:szCs w:val="16"/>
                <w:lang w:val="fr-BE"/>
              </w:rPr>
            </w:pPr>
            <w:r w:rsidRPr="009143B4">
              <w:rPr>
                <w:b/>
                <w:noProof/>
                <w:sz w:val="16"/>
                <w:szCs w:val="16"/>
                <w:lang w:val="fr-BE"/>
              </w:rPr>
              <w:t>Kategoria regionu</w:t>
            </w:r>
          </w:p>
        </w:tc>
        <w:tc>
          <w:tcPr>
            <w:tcW w:w="0" w:type="auto"/>
            <w:shd w:val="clear" w:color="auto" w:fill="auto"/>
          </w:tcPr>
          <w:p w14:paraId="5A1AF9AF" w14:textId="77777777" w:rsidR="008C5CFA" w:rsidRPr="009143B4" w:rsidRDefault="00E82A60" w:rsidP="00300A01">
            <w:pPr>
              <w:spacing w:before="0" w:after="0"/>
              <w:jc w:val="center"/>
              <w:rPr>
                <w:b/>
                <w:sz w:val="16"/>
                <w:szCs w:val="16"/>
                <w:lang w:val="fr-BE"/>
              </w:rPr>
            </w:pPr>
            <w:r w:rsidRPr="009143B4">
              <w:rPr>
                <w:b/>
                <w:noProof/>
                <w:sz w:val="16"/>
                <w:szCs w:val="16"/>
                <w:lang w:val="fr-BE"/>
              </w:rPr>
              <w:t>Wartość docelowa (2023) ogółem</w:t>
            </w:r>
          </w:p>
        </w:tc>
        <w:tc>
          <w:tcPr>
            <w:tcW w:w="0" w:type="auto"/>
            <w:shd w:val="clear" w:color="auto" w:fill="auto"/>
          </w:tcPr>
          <w:p w14:paraId="57E9954D" w14:textId="77777777" w:rsidR="008C5CFA" w:rsidRPr="009143B4" w:rsidRDefault="00E82A60" w:rsidP="00300A01">
            <w:pPr>
              <w:spacing w:before="0" w:after="0"/>
              <w:jc w:val="center"/>
              <w:rPr>
                <w:b/>
                <w:sz w:val="16"/>
                <w:szCs w:val="16"/>
                <w:lang w:val="fr-BE"/>
              </w:rPr>
            </w:pPr>
            <w:r w:rsidRPr="009143B4">
              <w:rPr>
                <w:b/>
                <w:noProof/>
                <w:sz w:val="16"/>
                <w:szCs w:val="16"/>
                <w:lang w:val="fr-BE"/>
              </w:rPr>
              <w:t>Wartość docelowa (2023) mężczyźni</w:t>
            </w:r>
          </w:p>
        </w:tc>
        <w:tc>
          <w:tcPr>
            <w:tcW w:w="0" w:type="auto"/>
          </w:tcPr>
          <w:p w14:paraId="371185F0" w14:textId="77777777" w:rsidR="008C5CFA" w:rsidRPr="009143B4" w:rsidRDefault="00E82A60" w:rsidP="00300A01">
            <w:pPr>
              <w:spacing w:before="0" w:after="0"/>
              <w:jc w:val="center"/>
              <w:rPr>
                <w:b/>
                <w:sz w:val="16"/>
                <w:szCs w:val="16"/>
                <w:lang w:val="fr-BE"/>
              </w:rPr>
            </w:pPr>
            <w:r w:rsidRPr="009143B4">
              <w:rPr>
                <w:b/>
                <w:noProof/>
                <w:sz w:val="16"/>
                <w:szCs w:val="16"/>
                <w:lang w:val="fr-BE"/>
              </w:rPr>
              <w:t>Wartość docelowa (2023) kobiety</w:t>
            </w:r>
          </w:p>
        </w:tc>
        <w:tc>
          <w:tcPr>
            <w:tcW w:w="0" w:type="auto"/>
            <w:shd w:val="clear" w:color="auto" w:fill="auto"/>
          </w:tcPr>
          <w:p w14:paraId="364C0F4C" w14:textId="77777777" w:rsidR="008C5CFA" w:rsidRPr="009143B4" w:rsidRDefault="00E82A60" w:rsidP="00300A01">
            <w:pPr>
              <w:spacing w:before="0" w:after="0"/>
              <w:jc w:val="center"/>
              <w:rPr>
                <w:b/>
                <w:sz w:val="16"/>
                <w:szCs w:val="16"/>
                <w:lang w:val="fr-BE"/>
              </w:rPr>
            </w:pPr>
            <w:r>
              <w:rPr>
                <w:b/>
                <w:sz w:val="16"/>
                <w:szCs w:val="16"/>
                <w:lang w:val="fr-BE"/>
              </w:rPr>
              <w:t xml:space="preserve">2019 </w:t>
            </w:r>
            <w:r w:rsidRPr="009143B4">
              <w:rPr>
                <w:b/>
                <w:noProof/>
                <w:sz w:val="16"/>
                <w:szCs w:val="16"/>
                <w:lang w:val="fr-BE"/>
              </w:rPr>
              <w:t>Ogółem</w:t>
            </w:r>
          </w:p>
        </w:tc>
        <w:tc>
          <w:tcPr>
            <w:tcW w:w="0" w:type="auto"/>
            <w:shd w:val="clear" w:color="auto" w:fill="auto"/>
          </w:tcPr>
          <w:p w14:paraId="1EF3988C" w14:textId="77777777" w:rsidR="008C5CFA" w:rsidRPr="009143B4" w:rsidRDefault="00E82A60" w:rsidP="00300A01">
            <w:pPr>
              <w:spacing w:before="0" w:after="0"/>
              <w:jc w:val="center"/>
              <w:rPr>
                <w:b/>
                <w:sz w:val="16"/>
                <w:szCs w:val="16"/>
                <w:lang w:val="fr-BE"/>
              </w:rPr>
            </w:pPr>
            <w:r>
              <w:rPr>
                <w:b/>
                <w:sz w:val="16"/>
                <w:szCs w:val="16"/>
                <w:lang w:val="fr-BE"/>
              </w:rPr>
              <w:t xml:space="preserve">2019 </w:t>
            </w:r>
            <w:r w:rsidRPr="009143B4">
              <w:rPr>
                <w:b/>
                <w:noProof/>
                <w:sz w:val="16"/>
                <w:szCs w:val="16"/>
                <w:lang w:val="fr-BE"/>
              </w:rPr>
              <w:t>Mężczyźni</w:t>
            </w:r>
          </w:p>
        </w:tc>
        <w:tc>
          <w:tcPr>
            <w:tcW w:w="0" w:type="auto"/>
            <w:shd w:val="clear" w:color="auto" w:fill="auto"/>
          </w:tcPr>
          <w:p w14:paraId="023006B5" w14:textId="77777777" w:rsidR="008C5CFA" w:rsidRPr="009143B4" w:rsidRDefault="00E82A60" w:rsidP="00300A01">
            <w:pPr>
              <w:spacing w:before="0" w:after="0"/>
              <w:jc w:val="center"/>
              <w:rPr>
                <w:b/>
                <w:sz w:val="16"/>
                <w:szCs w:val="16"/>
                <w:lang w:val="fr-BE"/>
              </w:rPr>
            </w:pPr>
            <w:r>
              <w:rPr>
                <w:b/>
                <w:sz w:val="16"/>
                <w:szCs w:val="16"/>
                <w:lang w:val="fr-BE"/>
              </w:rPr>
              <w:t xml:space="preserve">2019 </w:t>
            </w:r>
            <w:r w:rsidRPr="009143B4">
              <w:rPr>
                <w:b/>
                <w:noProof/>
                <w:sz w:val="16"/>
                <w:szCs w:val="16"/>
                <w:lang w:val="fr-BE"/>
              </w:rPr>
              <w:t>Kobiety</w:t>
            </w:r>
          </w:p>
        </w:tc>
        <w:tc>
          <w:tcPr>
            <w:tcW w:w="0" w:type="auto"/>
            <w:shd w:val="clear" w:color="auto" w:fill="auto"/>
          </w:tcPr>
          <w:p w14:paraId="077E0B0D" w14:textId="77777777" w:rsidR="008C5CFA" w:rsidRPr="009143B4" w:rsidRDefault="00E82A60" w:rsidP="00300A01">
            <w:pPr>
              <w:spacing w:before="0" w:after="0"/>
              <w:jc w:val="center"/>
              <w:rPr>
                <w:b/>
                <w:sz w:val="16"/>
                <w:szCs w:val="16"/>
                <w:lang w:val="fr-BE"/>
              </w:rPr>
            </w:pPr>
            <w:r w:rsidRPr="009143B4">
              <w:rPr>
                <w:b/>
                <w:noProof/>
                <w:sz w:val="16"/>
                <w:szCs w:val="16"/>
                <w:lang w:val="fr-BE"/>
              </w:rPr>
              <w:t>Uwagi</w:t>
            </w:r>
          </w:p>
        </w:tc>
      </w:tr>
      <w:tr w:rsidR="006B2EC1" w14:paraId="37BCD38F" w14:textId="77777777" w:rsidTr="0047688D">
        <w:tc>
          <w:tcPr>
            <w:tcW w:w="0" w:type="auto"/>
          </w:tcPr>
          <w:p w14:paraId="3EB959DE" w14:textId="77777777" w:rsidR="008C5CFA" w:rsidRPr="0024468B" w:rsidRDefault="00E82A60" w:rsidP="00300A01">
            <w:pPr>
              <w:spacing w:before="0" w:after="0"/>
              <w:rPr>
                <w:sz w:val="16"/>
                <w:szCs w:val="16"/>
                <w:lang w:val="fr-BE"/>
              </w:rPr>
            </w:pPr>
            <w:r>
              <w:rPr>
                <w:noProof/>
                <w:sz w:val="16"/>
                <w:szCs w:val="16"/>
                <w:lang w:val="fr-BE"/>
              </w:rPr>
              <w:t>F</w:t>
            </w:r>
          </w:p>
        </w:tc>
        <w:tc>
          <w:tcPr>
            <w:tcW w:w="0" w:type="auto"/>
            <w:shd w:val="clear" w:color="auto" w:fill="auto"/>
          </w:tcPr>
          <w:p w14:paraId="67B980A0" w14:textId="77777777" w:rsidR="008C5CFA" w:rsidRPr="0024468B" w:rsidRDefault="00E82A60" w:rsidP="00300A01">
            <w:pPr>
              <w:spacing w:before="0" w:after="0"/>
              <w:rPr>
                <w:sz w:val="16"/>
                <w:szCs w:val="16"/>
                <w:lang w:val="fr-BE"/>
              </w:rPr>
            </w:pPr>
            <w:r w:rsidRPr="0024468B">
              <w:rPr>
                <w:noProof/>
                <w:sz w:val="16"/>
                <w:szCs w:val="16"/>
                <w:lang w:val="fr-BE"/>
              </w:rPr>
              <w:t>CO02</w:t>
            </w:r>
          </w:p>
        </w:tc>
        <w:tc>
          <w:tcPr>
            <w:tcW w:w="0" w:type="auto"/>
            <w:shd w:val="clear" w:color="auto" w:fill="auto"/>
          </w:tcPr>
          <w:p w14:paraId="52887169" w14:textId="77777777" w:rsidR="008C5CFA" w:rsidRPr="0024468B" w:rsidRDefault="00E82A60" w:rsidP="00300A01">
            <w:pPr>
              <w:spacing w:before="0" w:after="0"/>
              <w:rPr>
                <w:sz w:val="16"/>
                <w:szCs w:val="16"/>
                <w:lang w:val="fr-BE"/>
              </w:rPr>
            </w:pPr>
            <w:r w:rsidRPr="0024468B">
              <w:rPr>
                <w:noProof/>
                <w:sz w:val="16"/>
                <w:szCs w:val="16"/>
                <w:lang w:val="fr-BE"/>
              </w:rPr>
              <w:t>Inwestycje produkcyjne: liczba przedsiębiorstw otrzymujących dotacje</w:t>
            </w:r>
          </w:p>
        </w:tc>
        <w:tc>
          <w:tcPr>
            <w:tcW w:w="0" w:type="auto"/>
            <w:shd w:val="clear" w:color="auto" w:fill="auto"/>
          </w:tcPr>
          <w:p w14:paraId="5773A993" w14:textId="77777777" w:rsidR="008C5CFA" w:rsidRPr="0024468B" w:rsidRDefault="00E82A60" w:rsidP="00300A01">
            <w:pPr>
              <w:spacing w:before="0" w:after="0"/>
              <w:rPr>
                <w:sz w:val="16"/>
                <w:szCs w:val="16"/>
                <w:lang w:val="fr-BE"/>
              </w:rPr>
            </w:pPr>
            <w:r>
              <w:rPr>
                <w:noProof/>
                <w:sz w:val="16"/>
                <w:szCs w:val="16"/>
                <w:lang w:val="fr-BE"/>
              </w:rPr>
              <w:t>Przedsiębiorstwa</w:t>
            </w:r>
          </w:p>
        </w:tc>
        <w:tc>
          <w:tcPr>
            <w:tcW w:w="0" w:type="auto"/>
            <w:shd w:val="clear" w:color="auto" w:fill="auto"/>
          </w:tcPr>
          <w:p w14:paraId="0B3D63D7" w14:textId="77777777" w:rsidR="008C5CFA" w:rsidRPr="0024468B" w:rsidRDefault="00E82A60"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14:paraId="4D2BF71C" w14:textId="77777777" w:rsidR="008C5CFA" w:rsidRPr="0024468B" w:rsidRDefault="00E82A60" w:rsidP="00300A01">
            <w:pPr>
              <w:spacing w:before="0" w:after="0"/>
              <w:jc w:val="right"/>
              <w:rPr>
                <w:sz w:val="16"/>
                <w:szCs w:val="16"/>
                <w:lang w:val="fr-BE"/>
              </w:rPr>
            </w:pPr>
            <w:r>
              <w:rPr>
                <w:noProof/>
                <w:sz w:val="16"/>
                <w:szCs w:val="16"/>
                <w:lang w:val="fr-BE"/>
              </w:rPr>
              <w:t>55,00</w:t>
            </w:r>
          </w:p>
        </w:tc>
        <w:tc>
          <w:tcPr>
            <w:tcW w:w="0" w:type="auto"/>
            <w:shd w:val="clear" w:color="auto" w:fill="auto"/>
          </w:tcPr>
          <w:p w14:paraId="2AB3DC5E" w14:textId="77777777" w:rsidR="008C5CFA" w:rsidRPr="0024468B" w:rsidRDefault="008C5CFA" w:rsidP="00300A01">
            <w:pPr>
              <w:spacing w:before="0" w:after="0"/>
              <w:jc w:val="right"/>
              <w:rPr>
                <w:sz w:val="16"/>
                <w:szCs w:val="16"/>
                <w:lang w:val="fr-BE"/>
              </w:rPr>
            </w:pPr>
          </w:p>
        </w:tc>
        <w:tc>
          <w:tcPr>
            <w:tcW w:w="0" w:type="auto"/>
          </w:tcPr>
          <w:p w14:paraId="5119CAE7" w14:textId="77777777" w:rsidR="008C5CFA" w:rsidRPr="0024468B" w:rsidRDefault="008C5CFA" w:rsidP="00300A01">
            <w:pPr>
              <w:spacing w:before="0" w:after="0"/>
              <w:jc w:val="right"/>
              <w:rPr>
                <w:sz w:val="16"/>
                <w:szCs w:val="16"/>
                <w:lang w:val="fr-BE"/>
              </w:rPr>
            </w:pPr>
          </w:p>
        </w:tc>
        <w:tc>
          <w:tcPr>
            <w:tcW w:w="0" w:type="auto"/>
            <w:shd w:val="clear" w:color="auto" w:fill="auto"/>
          </w:tcPr>
          <w:p w14:paraId="6589E811" w14:textId="77777777" w:rsidR="008C5CFA" w:rsidRPr="0024468B" w:rsidRDefault="00E82A60" w:rsidP="00300A01">
            <w:pPr>
              <w:spacing w:before="0" w:after="0"/>
              <w:jc w:val="right"/>
              <w:rPr>
                <w:sz w:val="16"/>
                <w:szCs w:val="16"/>
                <w:lang w:val="fr-BE"/>
              </w:rPr>
            </w:pPr>
            <w:r w:rsidRPr="0024468B">
              <w:rPr>
                <w:noProof/>
                <w:sz w:val="16"/>
                <w:szCs w:val="16"/>
                <w:lang w:val="fr-BE"/>
              </w:rPr>
              <w:t>30,00</w:t>
            </w:r>
          </w:p>
        </w:tc>
        <w:tc>
          <w:tcPr>
            <w:tcW w:w="0" w:type="auto"/>
            <w:shd w:val="clear" w:color="auto" w:fill="auto"/>
          </w:tcPr>
          <w:p w14:paraId="7698C072"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5D1BC14F"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0CD3E31F" w14:textId="77777777" w:rsidR="008C5CFA" w:rsidRPr="0024468B" w:rsidRDefault="00E82A60" w:rsidP="00300A01">
            <w:pPr>
              <w:spacing w:before="0" w:after="0"/>
              <w:rPr>
                <w:sz w:val="16"/>
                <w:szCs w:val="16"/>
                <w:lang w:val="fr-BE"/>
              </w:rPr>
            </w:pPr>
            <w:r w:rsidRPr="0024468B">
              <w:rPr>
                <w:noProof/>
                <w:sz w:val="16"/>
                <w:szCs w:val="16"/>
                <w:lang w:val="fr-BE"/>
              </w:rPr>
              <w:t>Zaproponowana zmiana pozwoli zrealizować wskaźnika na poziomie 30%.</w:t>
            </w:r>
          </w:p>
        </w:tc>
      </w:tr>
      <w:tr w:rsidR="006B2EC1" w14:paraId="5CA24E07" w14:textId="77777777" w:rsidTr="0047688D">
        <w:tc>
          <w:tcPr>
            <w:tcW w:w="0" w:type="auto"/>
          </w:tcPr>
          <w:p w14:paraId="620CF0BC" w14:textId="77777777" w:rsidR="008C5CFA" w:rsidRPr="0024468B" w:rsidRDefault="00E82A60" w:rsidP="00300A01">
            <w:pPr>
              <w:spacing w:before="0" w:after="0"/>
              <w:rPr>
                <w:sz w:val="16"/>
                <w:szCs w:val="16"/>
                <w:lang w:val="fr-BE"/>
              </w:rPr>
            </w:pPr>
            <w:r>
              <w:rPr>
                <w:noProof/>
                <w:sz w:val="16"/>
                <w:szCs w:val="16"/>
                <w:lang w:val="fr-BE"/>
              </w:rPr>
              <w:t>S</w:t>
            </w:r>
          </w:p>
        </w:tc>
        <w:tc>
          <w:tcPr>
            <w:tcW w:w="0" w:type="auto"/>
            <w:shd w:val="clear" w:color="auto" w:fill="auto"/>
          </w:tcPr>
          <w:p w14:paraId="257C49B2" w14:textId="77777777" w:rsidR="008C5CFA" w:rsidRPr="0024468B" w:rsidRDefault="00E82A60" w:rsidP="00300A01">
            <w:pPr>
              <w:spacing w:before="0" w:after="0"/>
              <w:rPr>
                <w:sz w:val="16"/>
                <w:szCs w:val="16"/>
                <w:lang w:val="fr-BE"/>
              </w:rPr>
            </w:pPr>
            <w:r w:rsidRPr="0024468B">
              <w:rPr>
                <w:noProof/>
                <w:sz w:val="16"/>
                <w:szCs w:val="16"/>
                <w:lang w:val="fr-BE"/>
              </w:rPr>
              <w:t>CO02</w:t>
            </w:r>
          </w:p>
        </w:tc>
        <w:tc>
          <w:tcPr>
            <w:tcW w:w="0" w:type="auto"/>
            <w:shd w:val="clear" w:color="auto" w:fill="auto"/>
          </w:tcPr>
          <w:p w14:paraId="2C23ECA2" w14:textId="77777777" w:rsidR="008C5CFA" w:rsidRPr="0024468B" w:rsidRDefault="00E82A60" w:rsidP="00300A01">
            <w:pPr>
              <w:spacing w:before="0" w:after="0"/>
              <w:rPr>
                <w:sz w:val="16"/>
                <w:szCs w:val="16"/>
                <w:lang w:val="fr-BE"/>
              </w:rPr>
            </w:pPr>
            <w:r w:rsidRPr="0024468B">
              <w:rPr>
                <w:noProof/>
                <w:sz w:val="16"/>
                <w:szCs w:val="16"/>
                <w:lang w:val="fr-BE"/>
              </w:rPr>
              <w:t>Inwestycje produkcyjne: liczba przedsiębiorstw otrzymujących dotacje</w:t>
            </w:r>
          </w:p>
        </w:tc>
        <w:tc>
          <w:tcPr>
            <w:tcW w:w="0" w:type="auto"/>
            <w:shd w:val="clear" w:color="auto" w:fill="auto"/>
          </w:tcPr>
          <w:p w14:paraId="7939DAD0" w14:textId="77777777" w:rsidR="008C5CFA" w:rsidRPr="0024468B" w:rsidRDefault="00E82A60" w:rsidP="00300A01">
            <w:pPr>
              <w:spacing w:before="0" w:after="0"/>
              <w:rPr>
                <w:sz w:val="16"/>
                <w:szCs w:val="16"/>
                <w:lang w:val="fr-BE"/>
              </w:rPr>
            </w:pPr>
            <w:r>
              <w:rPr>
                <w:noProof/>
                <w:sz w:val="16"/>
                <w:szCs w:val="16"/>
                <w:lang w:val="fr-BE"/>
              </w:rPr>
              <w:t>Przedsiębiorstwa</w:t>
            </w:r>
          </w:p>
        </w:tc>
        <w:tc>
          <w:tcPr>
            <w:tcW w:w="0" w:type="auto"/>
            <w:shd w:val="clear" w:color="auto" w:fill="auto"/>
          </w:tcPr>
          <w:p w14:paraId="3B8C6735" w14:textId="77777777" w:rsidR="008C5CFA" w:rsidRPr="0024468B" w:rsidRDefault="00E82A60"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14:paraId="146029A8" w14:textId="77777777" w:rsidR="008C5CFA" w:rsidRPr="0024468B" w:rsidRDefault="00E82A60" w:rsidP="00300A01">
            <w:pPr>
              <w:spacing w:before="0" w:after="0"/>
              <w:jc w:val="right"/>
              <w:rPr>
                <w:sz w:val="16"/>
                <w:szCs w:val="16"/>
                <w:lang w:val="fr-BE"/>
              </w:rPr>
            </w:pPr>
            <w:r>
              <w:rPr>
                <w:noProof/>
                <w:sz w:val="16"/>
                <w:szCs w:val="16"/>
                <w:lang w:val="fr-BE"/>
              </w:rPr>
              <w:t>55,00</w:t>
            </w:r>
          </w:p>
        </w:tc>
        <w:tc>
          <w:tcPr>
            <w:tcW w:w="0" w:type="auto"/>
            <w:shd w:val="clear" w:color="auto" w:fill="auto"/>
          </w:tcPr>
          <w:p w14:paraId="482ADDDC" w14:textId="77777777" w:rsidR="008C5CFA" w:rsidRPr="0024468B" w:rsidRDefault="008C5CFA" w:rsidP="00300A01">
            <w:pPr>
              <w:spacing w:before="0" w:after="0"/>
              <w:jc w:val="right"/>
              <w:rPr>
                <w:sz w:val="16"/>
                <w:szCs w:val="16"/>
                <w:lang w:val="fr-BE"/>
              </w:rPr>
            </w:pPr>
          </w:p>
        </w:tc>
        <w:tc>
          <w:tcPr>
            <w:tcW w:w="0" w:type="auto"/>
          </w:tcPr>
          <w:p w14:paraId="2F8E13DE" w14:textId="77777777" w:rsidR="008C5CFA" w:rsidRPr="0024468B" w:rsidRDefault="008C5CFA" w:rsidP="00300A01">
            <w:pPr>
              <w:spacing w:before="0" w:after="0"/>
              <w:jc w:val="right"/>
              <w:rPr>
                <w:sz w:val="16"/>
                <w:szCs w:val="16"/>
                <w:lang w:val="fr-BE"/>
              </w:rPr>
            </w:pPr>
          </w:p>
        </w:tc>
        <w:tc>
          <w:tcPr>
            <w:tcW w:w="0" w:type="auto"/>
            <w:shd w:val="clear" w:color="auto" w:fill="auto"/>
          </w:tcPr>
          <w:p w14:paraId="789D0868" w14:textId="77777777" w:rsidR="008C5CFA" w:rsidRPr="0024468B" w:rsidRDefault="00E82A60" w:rsidP="00300A01">
            <w:pPr>
              <w:spacing w:before="0" w:after="0"/>
              <w:jc w:val="right"/>
              <w:rPr>
                <w:sz w:val="16"/>
                <w:szCs w:val="16"/>
                <w:lang w:val="fr-BE"/>
              </w:rPr>
            </w:pPr>
            <w:r w:rsidRPr="0024468B">
              <w:rPr>
                <w:noProof/>
                <w:sz w:val="16"/>
                <w:szCs w:val="16"/>
                <w:lang w:val="fr-BE"/>
              </w:rPr>
              <w:t>100,00</w:t>
            </w:r>
          </w:p>
        </w:tc>
        <w:tc>
          <w:tcPr>
            <w:tcW w:w="0" w:type="auto"/>
            <w:shd w:val="clear" w:color="auto" w:fill="auto"/>
          </w:tcPr>
          <w:p w14:paraId="3B58790A"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4C2846D4"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403216D2" w14:textId="77777777" w:rsidR="008C5CFA" w:rsidRPr="0024468B" w:rsidRDefault="00E82A60" w:rsidP="00300A01">
            <w:pPr>
              <w:spacing w:before="0" w:after="0"/>
              <w:rPr>
                <w:sz w:val="16"/>
                <w:szCs w:val="16"/>
                <w:lang w:val="fr-BE"/>
              </w:rPr>
            </w:pPr>
            <w:r w:rsidRPr="0024468B">
              <w:rPr>
                <w:noProof/>
                <w:sz w:val="16"/>
                <w:szCs w:val="16"/>
                <w:lang w:val="fr-BE"/>
              </w:rPr>
              <w:t>IZ podjęła decyzję  o urealnieniu wartości docelowej wskaźnika w oparciu o dane z projektów przyjętych do realizacji do poziomu 100 przedsiębiorstw.</w:t>
            </w:r>
          </w:p>
        </w:tc>
      </w:tr>
      <w:tr w:rsidR="006B2EC1" w14:paraId="33933824" w14:textId="77777777" w:rsidTr="0047688D">
        <w:tc>
          <w:tcPr>
            <w:tcW w:w="0" w:type="auto"/>
          </w:tcPr>
          <w:p w14:paraId="59985748" w14:textId="77777777" w:rsidR="008C5CFA" w:rsidRPr="0024468B" w:rsidRDefault="00E82A60" w:rsidP="00300A01">
            <w:pPr>
              <w:spacing w:before="0" w:after="0"/>
              <w:rPr>
                <w:sz w:val="16"/>
                <w:szCs w:val="16"/>
                <w:lang w:val="fr-BE"/>
              </w:rPr>
            </w:pPr>
            <w:r>
              <w:rPr>
                <w:noProof/>
                <w:sz w:val="16"/>
                <w:szCs w:val="16"/>
                <w:lang w:val="fr-BE"/>
              </w:rPr>
              <w:t>F</w:t>
            </w:r>
          </w:p>
        </w:tc>
        <w:tc>
          <w:tcPr>
            <w:tcW w:w="0" w:type="auto"/>
            <w:shd w:val="clear" w:color="auto" w:fill="auto"/>
          </w:tcPr>
          <w:p w14:paraId="44593ED8" w14:textId="77777777" w:rsidR="008C5CFA" w:rsidRPr="0024468B" w:rsidRDefault="00E82A60" w:rsidP="00300A01">
            <w:pPr>
              <w:spacing w:before="0" w:after="0"/>
              <w:rPr>
                <w:sz w:val="16"/>
                <w:szCs w:val="16"/>
                <w:lang w:val="fr-BE"/>
              </w:rPr>
            </w:pPr>
            <w:r w:rsidRPr="0024468B">
              <w:rPr>
                <w:noProof/>
                <w:sz w:val="16"/>
                <w:szCs w:val="16"/>
                <w:lang w:val="fr-BE"/>
              </w:rPr>
              <w:t>CO06</w:t>
            </w:r>
          </w:p>
        </w:tc>
        <w:tc>
          <w:tcPr>
            <w:tcW w:w="0" w:type="auto"/>
            <w:shd w:val="clear" w:color="auto" w:fill="auto"/>
          </w:tcPr>
          <w:p w14:paraId="2ECCCE92" w14:textId="77777777" w:rsidR="008C5CFA" w:rsidRPr="0024468B" w:rsidRDefault="00E82A60" w:rsidP="00300A01">
            <w:pPr>
              <w:spacing w:before="0" w:after="0"/>
              <w:rPr>
                <w:sz w:val="16"/>
                <w:szCs w:val="16"/>
                <w:lang w:val="fr-BE"/>
              </w:rPr>
            </w:pPr>
            <w:r w:rsidRPr="0024468B">
              <w:rPr>
                <w:noProof/>
                <w:sz w:val="16"/>
                <w:szCs w:val="16"/>
                <w:lang w:val="fr-BE"/>
              </w:rPr>
              <w:t>Inwestycje produkcyjne: inwestycje prywatne uzupełniające wsparcie publiczne dla przedsiębiorstw (dotacje)</w:t>
            </w:r>
          </w:p>
        </w:tc>
        <w:tc>
          <w:tcPr>
            <w:tcW w:w="0" w:type="auto"/>
            <w:shd w:val="clear" w:color="auto" w:fill="auto"/>
          </w:tcPr>
          <w:p w14:paraId="021D7250" w14:textId="77777777" w:rsidR="008C5CFA" w:rsidRPr="0024468B" w:rsidRDefault="00E82A60" w:rsidP="00300A01">
            <w:pPr>
              <w:spacing w:before="0" w:after="0"/>
              <w:rPr>
                <w:sz w:val="16"/>
                <w:szCs w:val="16"/>
                <w:lang w:val="fr-BE"/>
              </w:rPr>
            </w:pPr>
            <w:r>
              <w:rPr>
                <w:noProof/>
                <w:sz w:val="16"/>
                <w:szCs w:val="16"/>
                <w:lang w:val="fr-BE"/>
              </w:rPr>
              <w:t>EUR</w:t>
            </w:r>
          </w:p>
        </w:tc>
        <w:tc>
          <w:tcPr>
            <w:tcW w:w="0" w:type="auto"/>
            <w:shd w:val="clear" w:color="auto" w:fill="auto"/>
          </w:tcPr>
          <w:p w14:paraId="3EB70E2D" w14:textId="77777777" w:rsidR="008C5CFA" w:rsidRPr="0024468B" w:rsidRDefault="00E82A60"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14:paraId="0FA7A726" w14:textId="77777777" w:rsidR="008C5CFA" w:rsidRPr="0024468B" w:rsidRDefault="00E82A60" w:rsidP="00300A01">
            <w:pPr>
              <w:spacing w:before="0" w:after="0"/>
              <w:jc w:val="right"/>
              <w:rPr>
                <w:sz w:val="16"/>
                <w:szCs w:val="16"/>
                <w:lang w:val="fr-BE"/>
              </w:rPr>
            </w:pPr>
            <w:r>
              <w:rPr>
                <w:noProof/>
                <w:sz w:val="16"/>
                <w:szCs w:val="16"/>
                <w:lang w:val="fr-BE"/>
              </w:rPr>
              <w:t>20 453 874,00</w:t>
            </w:r>
          </w:p>
        </w:tc>
        <w:tc>
          <w:tcPr>
            <w:tcW w:w="0" w:type="auto"/>
            <w:shd w:val="clear" w:color="auto" w:fill="auto"/>
          </w:tcPr>
          <w:p w14:paraId="2DC41C45" w14:textId="77777777" w:rsidR="008C5CFA" w:rsidRPr="0024468B" w:rsidRDefault="008C5CFA" w:rsidP="00300A01">
            <w:pPr>
              <w:spacing w:before="0" w:after="0"/>
              <w:jc w:val="right"/>
              <w:rPr>
                <w:sz w:val="16"/>
                <w:szCs w:val="16"/>
                <w:lang w:val="fr-BE"/>
              </w:rPr>
            </w:pPr>
          </w:p>
        </w:tc>
        <w:tc>
          <w:tcPr>
            <w:tcW w:w="0" w:type="auto"/>
          </w:tcPr>
          <w:p w14:paraId="577D5723" w14:textId="77777777" w:rsidR="008C5CFA" w:rsidRPr="0024468B" w:rsidRDefault="008C5CFA" w:rsidP="00300A01">
            <w:pPr>
              <w:spacing w:before="0" w:after="0"/>
              <w:jc w:val="right"/>
              <w:rPr>
                <w:sz w:val="16"/>
                <w:szCs w:val="16"/>
                <w:lang w:val="fr-BE"/>
              </w:rPr>
            </w:pPr>
          </w:p>
        </w:tc>
        <w:tc>
          <w:tcPr>
            <w:tcW w:w="0" w:type="auto"/>
            <w:shd w:val="clear" w:color="auto" w:fill="auto"/>
          </w:tcPr>
          <w:p w14:paraId="7E84ABE8" w14:textId="77777777" w:rsidR="008C5CFA" w:rsidRPr="0024468B" w:rsidRDefault="00E82A60" w:rsidP="00300A01">
            <w:pPr>
              <w:spacing w:before="0" w:after="0"/>
              <w:jc w:val="right"/>
              <w:rPr>
                <w:sz w:val="16"/>
                <w:szCs w:val="16"/>
                <w:lang w:val="fr-BE"/>
              </w:rPr>
            </w:pPr>
            <w:r w:rsidRPr="0024468B">
              <w:rPr>
                <w:noProof/>
                <w:sz w:val="16"/>
                <w:szCs w:val="16"/>
                <w:lang w:val="fr-BE"/>
              </w:rPr>
              <w:t>3 208 700,94</w:t>
            </w:r>
          </w:p>
        </w:tc>
        <w:tc>
          <w:tcPr>
            <w:tcW w:w="0" w:type="auto"/>
            <w:shd w:val="clear" w:color="auto" w:fill="auto"/>
          </w:tcPr>
          <w:p w14:paraId="42C3ED73"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71792C84"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50ADB8B1" w14:textId="77777777" w:rsidR="008C5CFA" w:rsidRPr="0024468B" w:rsidRDefault="00E82A60" w:rsidP="00300A01">
            <w:pPr>
              <w:spacing w:before="0" w:after="0"/>
              <w:rPr>
                <w:sz w:val="16"/>
                <w:szCs w:val="16"/>
                <w:lang w:val="fr-BE"/>
              </w:rPr>
            </w:pPr>
            <w:r w:rsidRPr="0024468B">
              <w:rPr>
                <w:noProof/>
                <w:sz w:val="16"/>
                <w:szCs w:val="16"/>
                <w:lang w:val="fr-BE"/>
              </w:rPr>
              <w:t>Zaproponowana zmiana pozwoli zrealizować wskaźnika na poziomie 31%.</w:t>
            </w:r>
          </w:p>
        </w:tc>
      </w:tr>
      <w:tr w:rsidR="006B2EC1" w14:paraId="05F1491F" w14:textId="77777777" w:rsidTr="0047688D">
        <w:tc>
          <w:tcPr>
            <w:tcW w:w="0" w:type="auto"/>
          </w:tcPr>
          <w:p w14:paraId="31DD8EC0" w14:textId="77777777" w:rsidR="008C5CFA" w:rsidRPr="0024468B" w:rsidRDefault="00E82A60" w:rsidP="00300A01">
            <w:pPr>
              <w:spacing w:before="0" w:after="0"/>
              <w:rPr>
                <w:sz w:val="16"/>
                <w:szCs w:val="16"/>
                <w:lang w:val="fr-BE"/>
              </w:rPr>
            </w:pPr>
            <w:r>
              <w:rPr>
                <w:noProof/>
                <w:sz w:val="16"/>
                <w:szCs w:val="16"/>
                <w:lang w:val="fr-BE"/>
              </w:rPr>
              <w:t>S</w:t>
            </w:r>
          </w:p>
        </w:tc>
        <w:tc>
          <w:tcPr>
            <w:tcW w:w="0" w:type="auto"/>
            <w:shd w:val="clear" w:color="auto" w:fill="auto"/>
          </w:tcPr>
          <w:p w14:paraId="1BBA3524" w14:textId="77777777" w:rsidR="008C5CFA" w:rsidRPr="0024468B" w:rsidRDefault="00E82A60" w:rsidP="00300A01">
            <w:pPr>
              <w:spacing w:before="0" w:after="0"/>
              <w:rPr>
                <w:sz w:val="16"/>
                <w:szCs w:val="16"/>
                <w:lang w:val="fr-BE"/>
              </w:rPr>
            </w:pPr>
            <w:r w:rsidRPr="0024468B">
              <w:rPr>
                <w:noProof/>
                <w:sz w:val="16"/>
                <w:szCs w:val="16"/>
                <w:lang w:val="fr-BE"/>
              </w:rPr>
              <w:t>CO06</w:t>
            </w:r>
          </w:p>
        </w:tc>
        <w:tc>
          <w:tcPr>
            <w:tcW w:w="0" w:type="auto"/>
            <w:shd w:val="clear" w:color="auto" w:fill="auto"/>
          </w:tcPr>
          <w:p w14:paraId="5195744D" w14:textId="77777777" w:rsidR="008C5CFA" w:rsidRPr="0024468B" w:rsidRDefault="00E82A60" w:rsidP="00300A01">
            <w:pPr>
              <w:spacing w:before="0" w:after="0"/>
              <w:rPr>
                <w:sz w:val="16"/>
                <w:szCs w:val="16"/>
                <w:lang w:val="fr-BE"/>
              </w:rPr>
            </w:pPr>
            <w:r w:rsidRPr="0024468B">
              <w:rPr>
                <w:noProof/>
                <w:sz w:val="16"/>
                <w:szCs w:val="16"/>
                <w:lang w:val="fr-BE"/>
              </w:rPr>
              <w:t>Inwestycje produkcyjne: inwestycje prywatne uzupełniające wsparcie publiczne dla przedsiębiorstw (dotacje)</w:t>
            </w:r>
          </w:p>
        </w:tc>
        <w:tc>
          <w:tcPr>
            <w:tcW w:w="0" w:type="auto"/>
            <w:shd w:val="clear" w:color="auto" w:fill="auto"/>
          </w:tcPr>
          <w:p w14:paraId="6D9BA016" w14:textId="77777777" w:rsidR="008C5CFA" w:rsidRPr="0024468B" w:rsidRDefault="00E82A60" w:rsidP="00300A01">
            <w:pPr>
              <w:spacing w:before="0" w:after="0"/>
              <w:rPr>
                <w:sz w:val="16"/>
                <w:szCs w:val="16"/>
                <w:lang w:val="fr-BE"/>
              </w:rPr>
            </w:pPr>
            <w:r>
              <w:rPr>
                <w:noProof/>
                <w:sz w:val="16"/>
                <w:szCs w:val="16"/>
                <w:lang w:val="fr-BE"/>
              </w:rPr>
              <w:t>EUR</w:t>
            </w:r>
          </w:p>
        </w:tc>
        <w:tc>
          <w:tcPr>
            <w:tcW w:w="0" w:type="auto"/>
            <w:shd w:val="clear" w:color="auto" w:fill="auto"/>
          </w:tcPr>
          <w:p w14:paraId="06595E56" w14:textId="77777777" w:rsidR="008C5CFA" w:rsidRPr="0024468B" w:rsidRDefault="00E82A60"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14:paraId="2D84C3EA" w14:textId="77777777" w:rsidR="008C5CFA" w:rsidRPr="0024468B" w:rsidRDefault="00E82A60" w:rsidP="00300A01">
            <w:pPr>
              <w:spacing w:before="0" w:after="0"/>
              <w:jc w:val="right"/>
              <w:rPr>
                <w:sz w:val="16"/>
                <w:szCs w:val="16"/>
                <w:lang w:val="fr-BE"/>
              </w:rPr>
            </w:pPr>
            <w:r>
              <w:rPr>
                <w:noProof/>
                <w:sz w:val="16"/>
                <w:szCs w:val="16"/>
                <w:lang w:val="fr-BE"/>
              </w:rPr>
              <w:t>20 453 874,00</w:t>
            </w:r>
          </w:p>
        </w:tc>
        <w:tc>
          <w:tcPr>
            <w:tcW w:w="0" w:type="auto"/>
            <w:shd w:val="clear" w:color="auto" w:fill="auto"/>
          </w:tcPr>
          <w:p w14:paraId="595CA419" w14:textId="77777777" w:rsidR="008C5CFA" w:rsidRPr="0024468B" w:rsidRDefault="008C5CFA" w:rsidP="00300A01">
            <w:pPr>
              <w:spacing w:before="0" w:after="0"/>
              <w:jc w:val="right"/>
              <w:rPr>
                <w:sz w:val="16"/>
                <w:szCs w:val="16"/>
                <w:lang w:val="fr-BE"/>
              </w:rPr>
            </w:pPr>
          </w:p>
        </w:tc>
        <w:tc>
          <w:tcPr>
            <w:tcW w:w="0" w:type="auto"/>
          </w:tcPr>
          <w:p w14:paraId="521046D8" w14:textId="77777777" w:rsidR="008C5CFA" w:rsidRPr="0024468B" w:rsidRDefault="008C5CFA" w:rsidP="00300A01">
            <w:pPr>
              <w:spacing w:before="0" w:after="0"/>
              <w:jc w:val="right"/>
              <w:rPr>
                <w:sz w:val="16"/>
                <w:szCs w:val="16"/>
                <w:lang w:val="fr-BE"/>
              </w:rPr>
            </w:pPr>
          </w:p>
        </w:tc>
        <w:tc>
          <w:tcPr>
            <w:tcW w:w="0" w:type="auto"/>
            <w:shd w:val="clear" w:color="auto" w:fill="auto"/>
          </w:tcPr>
          <w:p w14:paraId="557ABEA9" w14:textId="77777777" w:rsidR="008C5CFA" w:rsidRPr="0024468B" w:rsidRDefault="00E82A60" w:rsidP="00300A01">
            <w:pPr>
              <w:spacing w:before="0" w:after="0"/>
              <w:jc w:val="right"/>
              <w:rPr>
                <w:sz w:val="16"/>
                <w:szCs w:val="16"/>
                <w:lang w:val="fr-BE"/>
              </w:rPr>
            </w:pPr>
            <w:r w:rsidRPr="0024468B">
              <w:rPr>
                <w:noProof/>
                <w:sz w:val="16"/>
                <w:szCs w:val="16"/>
                <w:lang w:val="fr-BE"/>
              </w:rPr>
              <w:t>13 771 797,58</w:t>
            </w:r>
          </w:p>
        </w:tc>
        <w:tc>
          <w:tcPr>
            <w:tcW w:w="0" w:type="auto"/>
            <w:shd w:val="clear" w:color="auto" w:fill="auto"/>
          </w:tcPr>
          <w:p w14:paraId="60F12C57"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1F3EE25E"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4A7F050B" w14:textId="77777777" w:rsidR="008C5CFA" w:rsidRPr="0024468B" w:rsidRDefault="00E82A60" w:rsidP="00300A01">
            <w:pPr>
              <w:spacing w:before="0" w:after="0"/>
              <w:rPr>
                <w:sz w:val="16"/>
                <w:szCs w:val="16"/>
                <w:lang w:val="fr-BE"/>
              </w:rPr>
            </w:pPr>
            <w:r w:rsidRPr="0024468B">
              <w:rPr>
                <w:noProof/>
                <w:sz w:val="16"/>
                <w:szCs w:val="16"/>
                <w:lang w:val="fr-BE"/>
              </w:rPr>
              <w:t>IZ podjęła decyzję  o urealnieniu wartości docelowej wskaźnika w oparciu o dane z projektów przyjętych do realizacji do poziomu 10 200 000,00 EUR.</w:t>
            </w:r>
          </w:p>
        </w:tc>
      </w:tr>
      <w:tr w:rsidR="006B2EC1" w14:paraId="710FFFE5" w14:textId="77777777" w:rsidTr="0047688D">
        <w:tc>
          <w:tcPr>
            <w:tcW w:w="0" w:type="auto"/>
          </w:tcPr>
          <w:p w14:paraId="148EE0BD" w14:textId="77777777" w:rsidR="008C5CFA" w:rsidRPr="0024468B" w:rsidRDefault="00E82A60" w:rsidP="00300A01">
            <w:pPr>
              <w:spacing w:before="0" w:after="0"/>
              <w:rPr>
                <w:sz w:val="16"/>
                <w:szCs w:val="16"/>
                <w:lang w:val="fr-BE"/>
              </w:rPr>
            </w:pPr>
            <w:r>
              <w:rPr>
                <w:noProof/>
                <w:sz w:val="16"/>
                <w:szCs w:val="16"/>
                <w:lang w:val="fr-BE"/>
              </w:rPr>
              <w:t>F</w:t>
            </w:r>
          </w:p>
        </w:tc>
        <w:tc>
          <w:tcPr>
            <w:tcW w:w="0" w:type="auto"/>
            <w:shd w:val="clear" w:color="auto" w:fill="auto"/>
          </w:tcPr>
          <w:p w14:paraId="48506829" w14:textId="77777777" w:rsidR="008C5CFA" w:rsidRPr="0024468B" w:rsidRDefault="00E82A60" w:rsidP="00300A01">
            <w:pPr>
              <w:spacing w:before="0" w:after="0"/>
              <w:rPr>
                <w:sz w:val="16"/>
                <w:szCs w:val="16"/>
                <w:lang w:val="fr-BE"/>
              </w:rPr>
            </w:pPr>
            <w:r w:rsidRPr="0024468B">
              <w:rPr>
                <w:noProof/>
                <w:sz w:val="16"/>
                <w:szCs w:val="16"/>
                <w:lang w:val="fr-BE"/>
              </w:rPr>
              <w:t>CO34</w:t>
            </w:r>
          </w:p>
        </w:tc>
        <w:tc>
          <w:tcPr>
            <w:tcW w:w="0" w:type="auto"/>
            <w:shd w:val="clear" w:color="auto" w:fill="auto"/>
          </w:tcPr>
          <w:p w14:paraId="4FB8BAE5" w14:textId="77777777" w:rsidR="008C5CFA" w:rsidRPr="0024468B" w:rsidRDefault="00E82A60" w:rsidP="00300A01">
            <w:pPr>
              <w:spacing w:before="0" w:after="0"/>
              <w:rPr>
                <w:sz w:val="16"/>
                <w:szCs w:val="16"/>
                <w:lang w:val="fr-BE"/>
              </w:rPr>
            </w:pPr>
            <w:r w:rsidRPr="0024468B">
              <w:rPr>
                <w:noProof/>
                <w:sz w:val="16"/>
                <w:szCs w:val="16"/>
                <w:lang w:val="fr-BE"/>
              </w:rPr>
              <w:t>Redukcja emisji gazów cieplarnianych: szacowany roczny spadek emisji gazów cieplarnianych</w:t>
            </w:r>
          </w:p>
        </w:tc>
        <w:tc>
          <w:tcPr>
            <w:tcW w:w="0" w:type="auto"/>
            <w:shd w:val="clear" w:color="auto" w:fill="auto"/>
          </w:tcPr>
          <w:p w14:paraId="7CE6C066" w14:textId="77777777" w:rsidR="008C5CFA" w:rsidRPr="0024468B" w:rsidRDefault="00E82A60" w:rsidP="00300A01">
            <w:pPr>
              <w:spacing w:before="0" w:after="0"/>
              <w:rPr>
                <w:sz w:val="16"/>
                <w:szCs w:val="16"/>
                <w:lang w:val="fr-BE"/>
              </w:rPr>
            </w:pPr>
            <w:r>
              <w:rPr>
                <w:noProof/>
                <w:sz w:val="16"/>
                <w:szCs w:val="16"/>
                <w:lang w:val="fr-BE"/>
              </w:rPr>
              <w:t>Tony równoważnika CO2</w:t>
            </w:r>
          </w:p>
        </w:tc>
        <w:tc>
          <w:tcPr>
            <w:tcW w:w="0" w:type="auto"/>
            <w:shd w:val="clear" w:color="auto" w:fill="auto"/>
          </w:tcPr>
          <w:p w14:paraId="3B7007C2" w14:textId="77777777" w:rsidR="008C5CFA" w:rsidRPr="0024468B" w:rsidRDefault="00E82A60"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14:paraId="53E67D4F" w14:textId="77777777" w:rsidR="008C5CFA" w:rsidRPr="0024468B" w:rsidRDefault="00E82A60" w:rsidP="00300A01">
            <w:pPr>
              <w:spacing w:before="0" w:after="0"/>
              <w:jc w:val="right"/>
              <w:rPr>
                <w:sz w:val="16"/>
                <w:szCs w:val="16"/>
                <w:lang w:val="fr-BE"/>
              </w:rPr>
            </w:pPr>
            <w:r>
              <w:rPr>
                <w:noProof/>
                <w:sz w:val="16"/>
                <w:szCs w:val="16"/>
                <w:lang w:val="fr-BE"/>
              </w:rPr>
              <w:t>5 759,00</w:t>
            </w:r>
          </w:p>
        </w:tc>
        <w:tc>
          <w:tcPr>
            <w:tcW w:w="0" w:type="auto"/>
            <w:shd w:val="clear" w:color="auto" w:fill="auto"/>
          </w:tcPr>
          <w:p w14:paraId="4C6225C0" w14:textId="77777777" w:rsidR="008C5CFA" w:rsidRPr="0024468B" w:rsidRDefault="008C5CFA" w:rsidP="00300A01">
            <w:pPr>
              <w:spacing w:before="0" w:after="0"/>
              <w:jc w:val="right"/>
              <w:rPr>
                <w:sz w:val="16"/>
                <w:szCs w:val="16"/>
                <w:lang w:val="fr-BE"/>
              </w:rPr>
            </w:pPr>
          </w:p>
        </w:tc>
        <w:tc>
          <w:tcPr>
            <w:tcW w:w="0" w:type="auto"/>
          </w:tcPr>
          <w:p w14:paraId="6C4F1FB9" w14:textId="77777777" w:rsidR="008C5CFA" w:rsidRPr="0024468B" w:rsidRDefault="008C5CFA" w:rsidP="00300A01">
            <w:pPr>
              <w:spacing w:before="0" w:after="0"/>
              <w:jc w:val="right"/>
              <w:rPr>
                <w:sz w:val="16"/>
                <w:szCs w:val="16"/>
                <w:lang w:val="fr-BE"/>
              </w:rPr>
            </w:pPr>
          </w:p>
        </w:tc>
        <w:tc>
          <w:tcPr>
            <w:tcW w:w="0" w:type="auto"/>
            <w:shd w:val="clear" w:color="auto" w:fill="auto"/>
          </w:tcPr>
          <w:p w14:paraId="3280E868" w14:textId="77777777" w:rsidR="008C5CFA" w:rsidRPr="0024468B" w:rsidRDefault="00E82A60" w:rsidP="00300A01">
            <w:pPr>
              <w:spacing w:before="0" w:after="0"/>
              <w:jc w:val="right"/>
              <w:rPr>
                <w:sz w:val="16"/>
                <w:szCs w:val="16"/>
                <w:lang w:val="fr-BE"/>
              </w:rPr>
            </w:pPr>
            <w:r w:rsidRPr="0024468B">
              <w:rPr>
                <w:noProof/>
                <w:sz w:val="16"/>
                <w:szCs w:val="16"/>
                <w:lang w:val="fr-BE"/>
              </w:rPr>
              <w:t>1 966,92</w:t>
            </w:r>
          </w:p>
        </w:tc>
        <w:tc>
          <w:tcPr>
            <w:tcW w:w="0" w:type="auto"/>
            <w:shd w:val="clear" w:color="auto" w:fill="auto"/>
          </w:tcPr>
          <w:p w14:paraId="16609C59"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135ACF83"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1DD78B84" w14:textId="77777777" w:rsidR="008C5CFA" w:rsidRPr="0024468B" w:rsidRDefault="00E82A60" w:rsidP="00300A01">
            <w:pPr>
              <w:spacing w:before="0" w:after="0"/>
              <w:rPr>
                <w:sz w:val="16"/>
                <w:szCs w:val="16"/>
                <w:lang w:val="fr-BE"/>
              </w:rPr>
            </w:pPr>
            <w:r w:rsidRPr="0024468B">
              <w:rPr>
                <w:noProof/>
                <w:sz w:val="16"/>
                <w:szCs w:val="16"/>
                <w:lang w:val="fr-BE"/>
              </w:rPr>
              <w:t>Zaproponowana zmiana pozwoli zrealizować wskaźnika na poziomie 11%.</w:t>
            </w:r>
          </w:p>
        </w:tc>
      </w:tr>
      <w:tr w:rsidR="006B2EC1" w14:paraId="421FF575" w14:textId="77777777" w:rsidTr="0047688D">
        <w:tc>
          <w:tcPr>
            <w:tcW w:w="0" w:type="auto"/>
          </w:tcPr>
          <w:p w14:paraId="0DD8F632" w14:textId="77777777" w:rsidR="008C5CFA" w:rsidRPr="0024468B" w:rsidRDefault="00E82A60" w:rsidP="00300A01">
            <w:pPr>
              <w:spacing w:before="0" w:after="0"/>
              <w:rPr>
                <w:sz w:val="16"/>
                <w:szCs w:val="16"/>
                <w:lang w:val="fr-BE"/>
              </w:rPr>
            </w:pPr>
            <w:r>
              <w:rPr>
                <w:noProof/>
                <w:sz w:val="16"/>
                <w:szCs w:val="16"/>
                <w:lang w:val="fr-BE"/>
              </w:rPr>
              <w:t>S</w:t>
            </w:r>
          </w:p>
        </w:tc>
        <w:tc>
          <w:tcPr>
            <w:tcW w:w="0" w:type="auto"/>
            <w:shd w:val="clear" w:color="auto" w:fill="auto"/>
          </w:tcPr>
          <w:p w14:paraId="57699555" w14:textId="77777777" w:rsidR="008C5CFA" w:rsidRPr="0024468B" w:rsidRDefault="00E82A60" w:rsidP="00300A01">
            <w:pPr>
              <w:spacing w:before="0" w:after="0"/>
              <w:rPr>
                <w:sz w:val="16"/>
                <w:szCs w:val="16"/>
                <w:lang w:val="fr-BE"/>
              </w:rPr>
            </w:pPr>
            <w:r w:rsidRPr="0024468B">
              <w:rPr>
                <w:noProof/>
                <w:sz w:val="16"/>
                <w:szCs w:val="16"/>
                <w:lang w:val="fr-BE"/>
              </w:rPr>
              <w:t>CO34</w:t>
            </w:r>
          </w:p>
        </w:tc>
        <w:tc>
          <w:tcPr>
            <w:tcW w:w="0" w:type="auto"/>
            <w:shd w:val="clear" w:color="auto" w:fill="auto"/>
          </w:tcPr>
          <w:p w14:paraId="0892CE6D" w14:textId="77777777" w:rsidR="008C5CFA" w:rsidRPr="0024468B" w:rsidRDefault="00E82A60" w:rsidP="00300A01">
            <w:pPr>
              <w:spacing w:before="0" w:after="0"/>
              <w:rPr>
                <w:sz w:val="16"/>
                <w:szCs w:val="16"/>
                <w:lang w:val="fr-BE"/>
              </w:rPr>
            </w:pPr>
            <w:r w:rsidRPr="0024468B">
              <w:rPr>
                <w:noProof/>
                <w:sz w:val="16"/>
                <w:szCs w:val="16"/>
                <w:lang w:val="fr-BE"/>
              </w:rPr>
              <w:t>Redukcja emisji gazów cieplarnianych: szacowany roczny spadek emisji gazów cieplarnianych</w:t>
            </w:r>
          </w:p>
        </w:tc>
        <w:tc>
          <w:tcPr>
            <w:tcW w:w="0" w:type="auto"/>
            <w:shd w:val="clear" w:color="auto" w:fill="auto"/>
          </w:tcPr>
          <w:p w14:paraId="0305D855" w14:textId="77777777" w:rsidR="008C5CFA" w:rsidRPr="0024468B" w:rsidRDefault="00E82A60" w:rsidP="00300A01">
            <w:pPr>
              <w:spacing w:before="0" w:after="0"/>
              <w:rPr>
                <w:sz w:val="16"/>
                <w:szCs w:val="16"/>
                <w:lang w:val="fr-BE"/>
              </w:rPr>
            </w:pPr>
            <w:r>
              <w:rPr>
                <w:noProof/>
                <w:sz w:val="16"/>
                <w:szCs w:val="16"/>
                <w:lang w:val="fr-BE"/>
              </w:rPr>
              <w:t>Tony równoważnika CO2</w:t>
            </w:r>
          </w:p>
        </w:tc>
        <w:tc>
          <w:tcPr>
            <w:tcW w:w="0" w:type="auto"/>
            <w:shd w:val="clear" w:color="auto" w:fill="auto"/>
          </w:tcPr>
          <w:p w14:paraId="1248F937" w14:textId="77777777" w:rsidR="008C5CFA" w:rsidRPr="0024468B" w:rsidRDefault="00E82A60"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14:paraId="148D7FA3" w14:textId="77777777" w:rsidR="008C5CFA" w:rsidRPr="0024468B" w:rsidRDefault="00E82A60" w:rsidP="00300A01">
            <w:pPr>
              <w:spacing w:before="0" w:after="0"/>
              <w:jc w:val="right"/>
              <w:rPr>
                <w:sz w:val="16"/>
                <w:szCs w:val="16"/>
                <w:lang w:val="fr-BE"/>
              </w:rPr>
            </w:pPr>
            <w:r>
              <w:rPr>
                <w:noProof/>
                <w:sz w:val="16"/>
                <w:szCs w:val="16"/>
                <w:lang w:val="fr-BE"/>
              </w:rPr>
              <w:t>5 759,00</w:t>
            </w:r>
          </w:p>
        </w:tc>
        <w:tc>
          <w:tcPr>
            <w:tcW w:w="0" w:type="auto"/>
            <w:shd w:val="clear" w:color="auto" w:fill="auto"/>
          </w:tcPr>
          <w:p w14:paraId="136653BA" w14:textId="77777777" w:rsidR="008C5CFA" w:rsidRPr="0024468B" w:rsidRDefault="008C5CFA" w:rsidP="00300A01">
            <w:pPr>
              <w:spacing w:before="0" w:after="0"/>
              <w:jc w:val="right"/>
              <w:rPr>
                <w:sz w:val="16"/>
                <w:szCs w:val="16"/>
                <w:lang w:val="fr-BE"/>
              </w:rPr>
            </w:pPr>
          </w:p>
        </w:tc>
        <w:tc>
          <w:tcPr>
            <w:tcW w:w="0" w:type="auto"/>
          </w:tcPr>
          <w:p w14:paraId="57A6D34C" w14:textId="77777777" w:rsidR="008C5CFA" w:rsidRPr="0024468B" w:rsidRDefault="008C5CFA" w:rsidP="00300A01">
            <w:pPr>
              <w:spacing w:before="0" w:after="0"/>
              <w:jc w:val="right"/>
              <w:rPr>
                <w:sz w:val="16"/>
                <w:szCs w:val="16"/>
                <w:lang w:val="fr-BE"/>
              </w:rPr>
            </w:pPr>
          </w:p>
        </w:tc>
        <w:tc>
          <w:tcPr>
            <w:tcW w:w="0" w:type="auto"/>
            <w:shd w:val="clear" w:color="auto" w:fill="auto"/>
          </w:tcPr>
          <w:p w14:paraId="3604E473" w14:textId="77777777" w:rsidR="008C5CFA" w:rsidRPr="0024468B" w:rsidRDefault="00E82A60" w:rsidP="00300A01">
            <w:pPr>
              <w:spacing w:before="0" w:after="0"/>
              <w:jc w:val="right"/>
              <w:rPr>
                <w:sz w:val="16"/>
                <w:szCs w:val="16"/>
                <w:lang w:val="fr-BE"/>
              </w:rPr>
            </w:pPr>
            <w:r w:rsidRPr="0024468B">
              <w:rPr>
                <w:noProof/>
                <w:sz w:val="16"/>
                <w:szCs w:val="16"/>
                <w:lang w:val="fr-BE"/>
              </w:rPr>
              <w:t>18 751,63</w:t>
            </w:r>
          </w:p>
        </w:tc>
        <w:tc>
          <w:tcPr>
            <w:tcW w:w="0" w:type="auto"/>
            <w:shd w:val="clear" w:color="auto" w:fill="auto"/>
          </w:tcPr>
          <w:p w14:paraId="74BCE172"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0D21D22C"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658889EB" w14:textId="77777777" w:rsidR="008C5CFA" w:rsidRPr="0024468B" w:rsidRDefault="00E82A60" w:rsidP="00300A01">
            <w:pPr>
              <w:spacing w:before="0" w:after="0"/>
              <w:rPr>
                <w:sz w:val="16"/>
                <w:szCs w:val="16"/>
                <w:lang w:val="fr-BE"/>
              </w:rPr>
            </w:pPr>
            <w:r w:rsidRPr="0024468B">
              <w:rPr>
                <w:noProof/>
                <w:sz w:val="16"/>
                <w:szCs w:val="16"/>
                <w:lang w:val="fr-BE"/>
              </w:rPr>
              <w:t>IZ podjęła decyzję  o urealnieniu wartości docelowej wskaźnika w oparciu o dane z projektów przyjętych do realizacji do poziomu 18 000 ton równoważnika CO2.</w:t>
            </w:r>
          </w:p>
        </w:tc>
      </w:tr>
      <w:tr w:rsidR="006B2EC1" w14:paraId="79812871" w14:textId="77777777" w:rsidTr="0047688D">
        <w:tc>
          <w:tcPr>
            <w:tcW w:w="0" w:type="auto"/>
          </w:tcPr>
          <w:p w14:paraId="5F18515C" w14:textId="77777777" w:rsidR="008C5CFA" w:rsidRPr="0024468B" w:rsidRDefault="00E82A60" w:rsidP="00300A01">
            <w:pPr>
              <w:spacing w:before="0" w:after="0"/>
              <w:rPr>
                <w:sz w:val="16"/>
                <w:szCs w:val="16"/>
                <w:lang w:val="fr-BE"/>
              </w:rPr>
            </w:pPr>
            <w:r>
              <w:rPr>
                <w:noProof/>
                <w:sz w:val="16"/>
                <w:szCs w:val="16"/>
                <w:lang w:val="fr-BE"/>
              </w:rPr>
              <w:t>F</w:t>
            </w:r>
          </w:p>
        </w:tc>
        <w:tc>
          <w:tcPr>
            <w:tcW w:w="0" w:type="auto"/>
            <w:shd w:val="clear" w:color="auto" w:fill="auto"/>
          </w:tcPr>
          <w:p w14:paraId="42F617AE" w14:textId="77777777" w:rsidR="008C5CFA" w:rsidRPr="0024468B" w:rsidRDefault="00E82A60" w:rsidP="00300A01">
            <w:pPr>
              <w:spacing w:before="0" w:after="0"/>
              <w:rPr>
                <w:sz w:val="16"/>
                <w:szCs w:val="16"/>
                <w:lang w:val="fr-BE"/>
              </w:rPr>
            </w:pPr>
            <w:r>
              <w:rPr>
                <w:noProof/>
                <w:sz w:val="16"/>
                <w:szCs w:val="16"/>
                <w:lang w:val="fr-BE"/>
              </w:rPr>
              <w:t>31</w:t>
            </w:r>
          </w:p>
        </w:tc>
        <w:tc>
          <w:tcPr>
            <w:tcW w:w="0" w:type="auto"/>
            <w:shd w:val="clear" w:color="auto" w:fill="auto"/>
          </w:tcPr>
          <w:p w14:paraId="75F73F35" w14:textId="77777777" w:rsidR="008C5CFA" w:rsidRPr="0024468B" w:rsidRDefault="00E82A60" w:rsidP="00300A01">
            <w:pPr>
              <w:spacing w:before="0" w:after="0"/>
              <w:rPr>
                <w:sz w:val="16"/>
                <w:szCs w:val="16"/>
                <w:lang w:val="fr-BE"/>
              </w:rPr>
            </w:pPr>
            <w:r>
              <w:rPr>
                <w:noProof/>
                <w:sz w:val="16"/>
                <w:szCs w:val="16"/>
                <w:lang w:val="fr-BE"/>
              </w:rPr>
              <w:t>Liczba przedsiębiorstw, które w wyniku wsparcia poprawiły efektywność energetyczną</w:t>
            </w:r>
          </w:p>
        </w:tc>
        <w:tc>
          <w:tcPr>
            <w:tcW w:w="0" w:type="auto"/>
            <w:shd w:val="clear" w:color="auto" w:fill="auto"/>
          </w:tcPr>
          <w:p w14:paraId="2940BBA8" w14:textId="77777777" w:rsidR="008C5CFA" w:rsidRPr="0024468B" w:rsidRDefault="00E82A60" w:rsidP="00300A01">
            <w:pPr>
              <w:spacing w:before="0" w:after="0"/>
              <w:rPr>
                <w:sz w:val="16"/>
                <w:szCs w:val="16"/>
                <w:lang w:val="fr-BE"/>
              </w:rPr>
            </w:pPr>
            <w:r w:rsidRPr="0024468B">
              <w:rPr>
                <w:noProof/>
                <w:sz w:val="16"/>
                <w:szCs w:val="16"/>
                <w:lang w:val="fr-BE"/>
              </w:rPr>
              <w:t>szt.</w:t>
            </w:r>
          </w:p>
        </w:tc>
        <w:tc>
          <w:tcPr>
            <w:tcW w:w="0" w:type="auto"/>
            <w:shd w:val="clear" w:color="auto" w:fill="auto"/>
          </w:tcPr>
          <w:p w14:paraId="336BE8FC" w14:textId="77777777" w:rsidR="008C5CFA" w:rsidRPr="0024468B" w:rsidRDefault="00E82A60"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14:paraId="4DD5D3ED" w14:textId="77777777" w:rsidR="008C5CFA" w:rsidRPr="0024468B" w:rsidRDefault="00E82A60" w:rsidP="00300A01">
            <w:pPr>
              <w:spacing w:before="0" w:after="0"/>
              <w:jc w:val="right"/>
              <w:rPr>
                <w:sz w:val="16"/>
                <w:szCs w:val="16"/>
                <w:lang w:val="fr-BE"/>
              </w:rPr>
            </w:pPr>
            <w:r>
              <w:rPr>
                <w:noProof/>
                <w:sz w:val="16"/>
                <w:szCs w:val="16"/>
                <w:lang w:val="fr-BE"/>
              </w:rPr>
              <w:t>55,00</w:t>
            </w:r>
          </w:p>
        </w:tc>
        <w:tc>
          <w:tcPr>
            <w:tcW w:w="0" w:type="auto"/>
            <w:shd w:val="clear" w:color="auto" w:fill="auto"/>
          </w:tcPr>
          <w:p w14:paraId="1F3016C6" w14:textId="77777777" w:rsidR="008C5CFA" w:rsidRPr="0024468B" w:rsidRDefault="008C5CFA" w:rsidP="00300A01">
            <w:pPr>
              <w:spacing w:before="0" w:after="0"/>
              <w:jc w:val="right"/>
              <w:rPr>
                <w:sz w:val="16"/>
                <w:szCs w:val="16"/>
                <w:lang w:val="fr-BE"/>
              </w:rPr>
            </w:pPr>
          </w:p>
        </w:tc>
        <w:tc>
          <w:tcPr>
            <w:tcW w:w="0" w:type="auto"/>
          </w:tcPr>
          <w:p w14:paraId="12E65E15" w14:textId="77777777" w:rsidR="008C5CFA" w:rsidRPr="0024468B" w:rsidRDefault="008C5CFA" w:rsidP="00300A01">
            <w:pPr>
              <w:spacing w:before="0" w:after="0"/>
              <w:jc w:val="right"/>
              <w:rPr>
                <w:sz w:val="16"/>
                <w:szCs w:val="16"/>
                <w:lang w:val="fr-BE"/>
              </w:rPr>
            </w:pPr>
          </w:p>
        </w:tc>
        <w:tc>
          <w:tcPr>
            <w:tcW w:w="0" w:type="auto"/>
            <w:shd w:val="clear" w:color="auto" w:fill="auto"/>
          </w:tcPr>
          <w:p w14:paraId="2AB40F4A" w14:textId="77777777" w:rsidR="008C5CFA" w:rsidRPr="0024468B" w:rsidRDefault="00E82A60" w:rsidP="00300A01">
            <w:pPr>
              <w:spacing w:before="0" w:after="0"/>
              <w:jc w:val="right"/>
              <w:rPr>
                <w:sz w:val="16"/>
                <w:szCs w:val="16"/>
                <w:lang w:val="fr-BE"/>
              </w:rPr>
            </w:pPr>
            <w:r w:rsidRPr="0024468B">
              <w:rPr>
                <w:noProof/>
                <w:sz w:val="16"/>
                <w:szCs w:val="16"/>
                <w:lang w:val="fr-BE"/>
              </w:rPr>
              <w:t>32,00</w:t>
            </w:r>
          </w:p>
        </w:tc>
        <w:tc>
          <w:tcPr>
            <w:tcW w:w="0" w:type="auto"/>
            <w:shd w:val="clear" w:color="auto" w:fill="auto"/>
          </w:tcPr>
          <w:p w14:paraId="58BB648B"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280D2075"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1AA2FAED" w14:textId="77777777" w:rsidR="008C5CFA" w:rsidRPr="0024468B" w:rsidRDefault="00E82A60" w:rsidP="00300A01">
            <w:pPr>
              <w:spacing w:before="0" w:after="0"/>
              <w:rPr>
                <w:sz w:val="16"/>
                <w:szCs w:val="16"/>
                <w:lang w:val="fr-BE"/>
              </w:rPr>
            </w:pPr>
            <w:r w:rsidRPr="0024468B">
              <w:rPr>
                <w:noProof/>
                <w:sz w:val="16"/>
                <w:szCs w:val="16"/>
                <w:lang w:val="fr-BE"/>
              </w:rPr>
              <w:t>Zaproponowana zmiana pozwoli zrealizować wskaźnika na poziomie 30%.</w:t>
            </w:r>
          </w:p>
        </w:tc>
      </w:tr>
      <w:tr w:rsidR="006B2EC1" w14:paraId="3DBB1273" w14:textId="77777777" w:rsidTr="0047688D">
        <w:tc>
          <w:tcPr>
            <w:tcW w:w="0" w:type="auto"/>
          </w:tcPr>
          <w:p w14:paraId="6AF968CA" w14:textId="77777777" w:rsidR="008C5CFA" w:rsidRPr="0024468B" w:rsidRDefault="00E82A60" w:rsidP="00300A01">
            <w:pPr>
              <w:spacing w:before="0" w:after="0"/>
              <w:rPr>
                <w:sz w:val="16"/>
                <w:szCs w:val="16"/>
                <w:lang w:val="fr-BE"/>
              </w:rPr>
            </w:pPr>
            <w:r>
              <w:rPr>
                <w:noProof/>
                <w:sz w:val="16"/>
                <w:szCs w:val="16"/>
                <w:lang w:val="fr-BE"/>
              </w:rPr>
              <w:t>S</w:t>
            </w:r>
          </w:p>
        </w:tc>
        <w:tc>
          <w:tcPr>
            <w:tcW w:w="0" w:type="auto"/>
            <w:shd w:val="clear" w:color="auto" w:fill="auto"/>
          </w:tcPr>
          <w:p w14:paraId="7D360364" w14:textId="77777777" w:rsidR="008C5CFA" w:rsidRPr="0024468B" w:rsidRDefault="00E82A60" w:rsidP="00300A01">
            <w:pPr>
              <w:spacing w:before="0" w:after="0"/>
              <w:rPr>
                <w:sz w:val="16"/>
                <w:szCs w:val="16"/>
                <w:lang w:val="fr-BE"/>
              </w:rPr>
            </w:pPr>
            <w:r>
              <w:rPr>
                <w:noProof/>
                <w:sz w:val="16"/>
                <w:szCs w:val="16"/>
                <w:lang w:val="fr-BE"/>
              </w:rPr>
              <w:t>31</w:t>
            </w:r>
          </w:p>
        </w:tc>
        <w:tc>
          <w:tcPr>
            <w:tcW w:w="0" w:type="auto"/>
            <w:shd w:val="clear" w:color="auto" w:fill="auto"/>
          </w:tcPr>
          <w:p w14:paraId="1C2D16D4" w14:textId="77777777" w:rsidR="008C5CFA" w:rsidRPr="0024468B" w:rsidRDefault="00E82A60" w:rsidP="00300A01">
            <w:pPr>
              <w:spacing w:before="0" w:after="0"/>
              <w:rPr>
                <w:sz w:val="16"/>
                <w:szCs w:val="16"/>
                <w:lang w:val="fr-BE"/>
              </w:rPr>
            </w:pPr>
            <w:r>
              <w:rPr>
                <w:noProof/>
                <w:sz w:val="16"/>
                <w:szCs w:val="16"/>
                <w:lang w:val="fr-BE"/>
              </w:rPr>
              <w:t>Liczba przedsiębiorstw, które w wyniku wsparcia poprawiły efektywność energetyczną</w:t>
            </w:r>
          </w:p>
        </w:tc>
        <w:tc>
          <w:tcPr>
            <w:tcW w:w="0" w:type="auto"/>
            <w:shd w:val="clear" w:color="auto" w:fill="auto"/>
          </w:tcPr>
          <w:p w14:paraId="08D19477" w14:textId="77777777" w:rsidR="008C5CFA" w:rsidRPr="0024468B" w:rsidRDefault="00E82A60" w:rsidP="00300A01">
            <w:pPr>
              <w:spacing w:before="0" w:after="0"/>
              <w:rPr>
                <w:sz w:val="16"/>
                <w:szCs w:val="16"/>
                <w:lang w:val="fr-BE"/>
              </w:rPr>
            </w:pPr>
            <w:r w:rsidRPr="0024468B">
              <w:rPr>
                <w:noProof/>
                <w:sz w:val="16"/>
                <w:szCs w:val="16"/>
                <w:lang w:val="fr-BE"/>
              </w:rPr>
              <w:t>szt.</w:t>
            </w:r>
          </w:p>
        </w:tc>
        <w:tc>
          <w:tcPr>
            <w:tcW w:w="0" w:type="auto"/>
            <w:shd w:val="clear" w:color="auto" w:fill="auto"/>
          </w:tcPr>
          <w:p w14:paraId="6B395DB6" w14:textId="77777777" w:rsidR="008C5CFA" w:rsidRPr="0024468B" w:rsidRDefault="00E82A60"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14:paraId="12CD1012" w14:textId="77777777" w:rsidR="008C5CFA" w:rsidRPr="0024468B" w:rsidRDefault="00E82A60" w:rsidP="00300A01">
            <w:pPr>
              <w:spacing w:before="0" w:after="0"/>
              <w:jc w:val="right"/>
              <w:rPr>
                <w:sz w:val="16"/>
                <w:szCs w:val="16"/>
                <w:lang w:val="fr-BE"/>
              </w:rPr>
            </w:pPr>
            <w:r>
              <w:rPr>
                <w:noProof/>
                <w:sz w:val="16"/>
                <w:szCs w:val="16"/>
                <w:lang w:val="fr-BE"/>
              </w:rPr>
              <w:t>55,00</w:t>
            </w:r>
          </w:p>
        </w:tc>
        <w:tc>
          <w:tcPr>
            <w:tcW w:w="0" w:type="auto"/>
            <w:shd w:val="clear" w:color="auto" w:fill="auto"/>
          </w:tcPr>
          <w:p w14:paraId="5FEE4D3E" w14:textId="77777777" w:rsidR="008C5CFA" w:rsidRPr="0024468B" w:rsidRDefault="008C5CFA" w:rsidP="00300A01">
            <w:pPr>
              <w:spacing w:before="0" w:after="0"/>
              <w:jc w:val="right"/>
              <w:rPr>
                <w:sz w:val="16"/>
                <w:szCs w:val="16"/>
                <w:lang w:val="fr-BE"/>
              </w:rPr>
            </w:pPr>
          </w:p>
        </w:tc>
        <w:tc>
          <w:tcPr>
            <w:tcW w:w="0" w:type="auto"/>
          </w:tcPr>
          <w:p w14:paraId="54162108" w14:textId="77777777" w:rsidR="008C5CFA" w:rsidRPr="0024468B" w:rsidRDefault="008C5CFA" w:rsidP="00300A01">
            <w:pPr>
              <w:spacing w:before="0" w:after="0"/>
              <w:jc w:val="right"/>
              <w:rPr>
                <w:sz w:val="16"/>
                <w:szCs w:val="16"/>
                <w:lang w:val="fr-BE"/>
              </w:rPr>
            </w:pPr>
          </w:p>
        </w:tc>
        <w:tc>
          <w:tcPr>
            <w:tcW w:w="0" w:type="auto"/>
            <w:shd w:val="clear" w:color="auto" w:fill="auto"/>
          </w:tcPr>
          <w:p w14:paraId="6FFE241E" w14:textId="77777777" w:rsidR="008C5CFA" w:rsidRPr="0024468B" w:rsidRDefault="00E82A60" w:rsidP="00300A01">
            <w:pPr>
              <w:spacing w:before="0" w:after="0"/>
              <w:jc w:val="right"/>
              <w:rPr>
                <w:sz w:val="16"/>
                <w:szCs w:val="16"/>
                <w:lang w:val="fr-BE"/>
              </w:rPr>
            </w:pPr>
            <w:r w:rsidRPr="0024468B">
              <w:rPr>
                <w:noProof/>
                <w:sz w:val="16"/>
                <w:szCs w:val="16"/>
                <w:lang w:val="fr-BE"/>
              </w:rPr>
              <w:t>102,00</w:t>
            </w:r>
          </w:p>
        </w:tc>
        <w:tc>
          <w:tcPr>
            <w:tcW w:w="0" w:type="auto"/>
            <w:shd w:val="clear" w:color="auto" w:fill="auto"/>
          </w:tcPr>
          <w:p w14:paraId="03BC888A"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72CED080"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0321AB73" w14:textId="77777777" w:rsidR="008C5CFA" w:rsidRPr="0024468B" w:rsidRDefault="00E82A60" w:rsidP="00300A01">
            <w:pPr>
              <w:spacing w:before="0" w:after="0"/>
              <w:rPr>
                <w:sz w:val="16"/>
                <w:szCs w:val="16"/>
                <w:lang w:val="fr-BE"/>
              </w:rPr>
            </w:pPr>
            <w:r w:rsidRPr="0024468B">
              <w:rPr>
                <w:noProof/>
                <w:sz w:val="16"/>
                <w:szCs w:val="16"/>
                <w:lang w:val="fr-BE"/>
              </w:rPr>
              <w:t>IZ podjęła decyzję  o urealnieniu wartości docelowej wskaźnika w oparciu o dane z projektów przyjętych do realizacji do poziomu 100 przedsiębiorstw.</w:t>
            </w:r>
          </w:p>
        </w:tc>
      </w:tr>
    </w:tbl>
    <w:p w14:paraId="4CBF9E0B" w14:textId="77777777" w:rsidR="008C5CFA" w:rsidRDefault="00E82A60" w:rsidP="00300A01">
      <w:pPr>
        <w:spacing w:before="0" w:after="0"/>
        <w:rPr>
          <w:lang w:val="fr-BE"/>
        </w:rPr>
      </w:pPr>
      <w:r>
        <w:rPr>
          <w:noProof/>
          <w:lang w:val="fr-BE"/>
        </w:rPr>
        <w:t>1) S=wartość skumulowana – produkty, które mają być zrealizowane poprzez wybrane operacje [prognoza przedstawiona przez beneficjentów], F=wartość skumulowana – produkty zrealizowane poprzez operacje [rzeczywiste wykonanie]</w:t>
      </w:r>
    </w:p>
    <w:p w14:paraId="6E1EFBC9"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02"/>
        <w:gridCol w:w="497"/>
        <w:gridCol w:w="5465"/>
        <w:gridCol w:w="993"/>
        <w:gridCol w:w="1093"/>
        <w:gridCol w:w="916"/>
        <w:gridCol w:w="993"/>
        <w:gridCol w:w="1093"/>
        <w:gridCol w:w="916"/>
        <w:gridCol w:w="907"/>
        <w:gridCol w:w="1093"/>
        <w:gridCol w:w="916"/>
      </w:tblGrid>
      <w:tr w:rsidR="006B2EC1" w14:paraId="4F432C33" w14:textId="77777777" w:rsidTr="0047688D">
        <w:trPr>
          <w:tblHeader/>
        </w:trPr>
        <w:tc>
          <w:tcPr>
            <w:tcW w:w="0" w:type="auto"/>
          </w:tcPr>
          <w:p w14:paraId="35AE4E86" w14:textId="77777777" w:rsidR="008C5CFA" w:rsidRPr="009143B4" w:rsidRDefault="00E82A60" w:rsidP="00300A01">
            <w:pPr>
              <w:spacing w:before="0" w:after="0"/>
              <w:rPr>
                <w:b/>
                <w:sz w:val="16"/>
                <w:szCs w:val="16"/>
                <w:lang w:val="fr-BE"/>
              </w:rPr>
            </w:pPr>
            <w:r w:rsidRPr="009143B4">
              <w:rPr>
                <w:b/>
                <w:sz w:val="16"/>
                <w:szCs w:val="16"/>
                <w:lang w:val="fr-BE"/>
              </w:rPr>
              <w:t>(1)</w:t>
            </w:r>
          </w:p>
        </w:tc>
        <w:tc>
          <w:tcPr>
            <w:tcW w:w="0" w:type="auto"/>
            <w:shd w:val="clear" w:color="auto" w:fill="auto"/>
          </w:tcPr>
          <w:p w14:paraId="7B0731EF" w14:textId="77777777" w:rsidR="008C5CFA" w:rsidRPr="009143B4" w:rsidRDefault="00E82A60" w:rsidP="00300A01">
            <w:pPr>
              <w:spacing w:before="0" w:after="0"/>
              <w:rPr>
                <w:b/>
                <w:sz w:val="16"/>
                <w:szCs w:val="16"/>
                <w:lang w:val="fr-BE"/>
              </w:rPr>
            </w:pPr>
            <w:r w:rsidRPr="009143B4">
              <w:rPr>
                <w:b/>
                <w:noProof/>
                <w:sz w:val="16"/>
                <w:szCs w:val="16"/>
                <w:lang w:val="fr-BE"/>
              </w:rPr>
              <w:t>ID</w:t>
            </w:r>
          </w:p>
        </w:tc>
        <w:tc>
          <w:tcPr>
            <w:tcW w:w="0" w:type="auto"/>
            <w:shd w:val="clear" w:color="auto" w:fill="auto"/>
          </w:tcPr>
          <w:p w14:paraId="5E13940F" w14:textId="77777777" w:rsidR="008C5CFA" w:rsidRPr="009143B4" w:rsidRDefault="00E82A60" w:rsidP="00300A01">
            <w:pPr>
              <w:spacing w:before="0" w:after="0"/>
              <w:rPr>
                <w:b/>
                <w:sz w:val="16"/>
                <w:szCs w:val="16"/>
                <w:lang w:val="fr-BE"/>
              </w:rPr>
            </w:pPr>
            <w:r w:rsidRPr="009143B4">
              <w:rPr>
                <w:b/>
                <w:noProof/>
                <w:sz w:val="16"/>
                <w:szCs w:val="16"/>
                <w:lang w:val="fr-BE"/>
              </w:rPr>
              <w:t>Wskaźnik</w:t>
            </w:r>
          </w:p>
        </w:tc>
        <w:tc>
          <w:tcPr>
            <w:tcW w:w="0" w:type="auto"/>
          </w:tcPr>
          <w:p w14:paraId="3023F591" w14:textId="77777777" w:rsidR="008C5CFA" w:rsidRPr="009143B4" w:rsidRDefault="00E82A60" w:rsidP="00300A01">
            <w:pPr>
              <w:spacing w:before="0" w:after="0"/>
              <w:jc w:val="center"/>
              <w:rPr>
                <w:b/>
                <w:sz w:val="16"/>
                <w:szCs w:val="16"/>
                <w:lang w:val="fr-BE"/>
              </w:rPr>
            </w:pPr>
            <w:r>
              <w:rPr>
                <w:b/>
                <w:sz w:val="16"/>
                <w:szCs w:val="16"/>
                <w:lang w:val="fr-BE"/>
              </w:rPr>
              <w:t xml:space="preserve">2018 </w:t>
            </w:r>
            <w:r w:rsidRPr="009143B4">
              <w:rPr>
                <w:b/>
                <w:noProof/>
                <w:sz w:val="16"/>
                <w:szCs w:val="16"/>
                <w:lang w:val="fr-BE"/>
              </w:rPr>
              <w:t>Ogółem</w:t>
            </w:r>
          </w:p>
        </w:tc>
        <w:tc>
          <w:tcPr>
            <w:tcW w:w="0" w:type="auto"/>
          </w:tcPr>
          <w:p w14:paraId="6E9087A7" w14:textId="77777777" w:rsidR="008C5CFA" w:rsidRPr="009143B4" w:rsidRDefault="00E82A60" w:rsidP="00300A01">
            <w:pPr>
              <w:spacing w:before="0" w:after="0"/>
              <w:jc w:val="center"/>
              <w:rPr>
                <w:b/>
                <w:sz w:val="16"/>
                <w:szCs w:val="16"/>
                <w:lang w:val="fr-BE"/>
              </w:rPr>
            </w:pPr>
            <w:r>
              <w:rPr>
                <w:b/>
                <w:sz w:val="16"/>
                <w:szCs w:val="16"/>
                <w:lang w:val="fr-BE"/>
              </w:rPr>
              <w:t xml:space="preserve">2018 </w:t>
            </w:r>
            <w:r w:rsidRPr="009143B4">
              <w:rPr>
                <w:b/>
                <w:noProof/>
                <w:sz w:val="16"/>
                <w:szCs w:val="16"/>
                <w:lang w:val="fr-BE"/>
              </w:rPr>
              <w:t>Mężczyźni</w:t>
            </w:r>
          </w:p>
        </w:tc>
        <w:tc>
          <w:tcPr>
            <w:tcW w:w="0" w:type="auto"/>
          </w:tcPr>
          <w:p w14:paraId="39B0F28D" w14:textId="77777777" w:rsidR="008C5CFA" w:rsidRPr="009143B4" w:rsidRDefault="00E82A60" w:rsidP="00300A01">
            <w:pPr>
              <w:spacing w:before="0" w:after="0"/>
              <w:jc w:val="center"/>
              <w:rPr>
                <w:b/>
                <w:sz w:val="16"/>
                <w:szCs w:val="16"/>
                <w:lang w:val="fr-BE"/>
              </w:rPr>
            </w:pPr>
            <w:r>
              <w:rPr>
                <w:b/>
                <w:sz w:val="16"/>
                <w:szCs w:val="16"/>
                <w:lang w:val="fr-BE"/>
              </w:rPr>
              <w:t xml:space="preserve">2018 </w:t>
            </w:r>
            <w:r w:rsidRPr="009143B4">
              <w:rPr>
                <w:b/>
                <w:noProof/>
                <w:sz w:val="16"/>
                <w:szCs w:val="16"/>
                <w:lang w:val="fr-BE"/>
              </w:rPr>
              <w:t>Kobiety</w:t>
            </w:r>
          </w:p>
        </w:tc>
        <w:tc>
          <w:tcPr>
            <w:tcW w:w="0" w:type="auto"/>
          </w:tcPr>
          <w:p w14:paraId="5455DFD1" w14:textId="77777777" w:rsidR="008C5CFA" w:rsidRPr="009143B4" w:rsidRDefault="00E82A60"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Ogółem</w:t>
            </w:r>
          </w:p>
        </w:tc>
        <w:tc>
          <w:tcPr>
            <w:tcW w:w="0" w:type="auto"/>
          </w:tcPr>
          <w:p w14:paraId="7D783189" w14:textId="77777777" w:rsidR="008C5CFA" w:rsidRPr="009143B4" w:rsidRDefault="00E82A60"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Mężczyźni</w:t>
            </w:r>
          </w:p>
        </w:tc>
        <w:tc>
          <w:tcPr>
            <w:tcW w:w="0" w:type="auto"/>
          </w:tcPr>
          <w:p w14:paraId="07114218" w14:textId="77777777" w:rsidR="008C5CFA" w:rsidRPr="009143B4" w:rsidRDefault="00E82A60"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Kobiety</w:t>
            </w:r>
          </w:p>
        </w:tc>
        <w:tc>
          <w:tcPr>
            <w:tcW w:w="0" w:type="auto"/>
            <w:shd w:val="clear" w:color="auto" w:fill="auto"/>
          </w:tcPr>
          <w:p w14:paraId="3C2146CB" w14:textId="77777777" w:rsidR="008C5CFA" w:rsidRPr="009143B4" w:rsidRDefault="00E82A60"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Ogółem</w:t>
            </w:r>
          </w:p>
        </w:tc>
        <w:tc>
          <w:tcPr>
            <w:tcW w:w="0" w:type="auto"/>
            <w:shd w:val="clear" w:color="auto" w:fill="auto"/>
          </w:tcPr>
          <w:p w14:paraId="63A5BCCD" w14:textId="77777777" w:rsidR="008C5CFA" w:rsidRPr="009143B4" w:rsidRDefault="00E82A60"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Mężczyźni</w:t>
            </w:r>
          </w:p>
        </w:tc>
        <w:tc>
          <w:tcPr>
            <w:tcW w:w="0" w:type="auto"/>
            <w:shd w:val="clear" w:color="auto" w:fill="auto"/>
          </w:tcPr>
          <w:p w14:paraId="6848E341" w14:textId="77777777" w:rsidR="008C5CFA" w:rsidRPr="009143B4" w:rsidRDefault="00E82A60"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Kobiety</w:t>
            </w:r>
          </w:p>
        </w:tc>
      </w:tr>
      <w:tr w:rsidR="006B2EC1" w14:paraId="226BBF15" w14:textId="77777777" w:rsidTr="0047688D">
        <w:tc>
          <w:tcPr>
            <w:tcW w:w="0" w:type="auto"/>
          </w:tcPr>
          <w:p w14:paraId="5F037678" w14:textId="77777777" w:rsidR="008C5CFA" w:rsidRPr="0024468B" w:rsidRDefault="00E82A60" w:rsidP="00300A01">
            <w:pPr>
              <w:spacing w:before="0" w:after="0"/>
              <w:rPr>
                <w:sz w:val="16"/>
                <w:szCs w:val="16"/>
                <w:lang w:val="fr-BE"/>
              </w:rPr>
            </w:pPr>
            <w:r>
              <w:rPr>
                <w:noProof/>
                <w:sz w:val="16"/>
                <w:szCs w:val="16"/>
                <w:lang w:val="fr-BE"/>
              </w:rPr>
              <w:t>F</w:t>
            </w:r>
          </w:p>
        </w:tc>
        <w:tc>
          <w:tcPr>
            <w:tcW w:w="0" w:type="auto"/>
            <w:shd w:val="clear" w:color="auto" w:fill="auto"/>
          </w:tcPr>
          <w:p w14:paraId="22E4C08C" w14:textId="77777777" w:rsidR="008C5CFA" w:rsidRPr="0024468B" w:rsidRDefault="00E82A60" w:rsidP="00300A01">
            <w:pPr>
              <w:spacing w:before="0" w:after="0"/>
              <w:rPr>
                <w:sz w:val="16"/>
                <w:szCs w:val="16"/>
                <w:lang w:val="fr-BE"/>
              </w:rPr>
            </w:pPr>
            <w:r w:rsidRPr="0024468B">
              <w:rPr>
                <w:noProof/>
                <w:sz w:val="16"/>
                <w:szCs w:val="16"/>
                <w:lang w:val="fr-BE"/>
              </w:rPr>
              <w:t>CO02</w:t>
            </w:r>
          </w:p>
        </w:tc>
        <w:tc>
          <w:tcPr>
            <w:tcW w:w="0" w:type="auto"/>
            <w:shd w:val="clear" w:color="auto" w:fill="auto"/>
          </w:tcPr>
          <w:p w14:paraId="3CBB845D" w14:textId="77777777" w:rsidR="008C5CFA" w:rsidRPr="0024468B" w:rsidRDefault="00E82A60" w:rsidP="00300A01">
            <w:pPr>
              <w:spacing w:before="0" w:after="0"/>
              <w:rPr>
                <w:sz w:val="16"/>
                <w:szCs w:val="16"/>
                <w:lang w:val="fr-BE"/>
              </w:rPr>
            </w:pPr>
            <w:r w:rsidRPr="0024468B">
              <w:rPr>
                <w:noProof/>
                <w:sz w:val="16"/>
                <w:szCs w:val="16"/>
                <w:lang w:val="fr-BE"/>
              </w:rPr>
              <w:t>Inwestycje produkcyjne: liczba przedsiębiorstw otrzymujących dotacje</w:t>
            </w:r>
          </w:p>
        </w:tc>
        <w:tc>
          <w:tcPr>
            <w:tcW w:w="0" w:type="auto"/>
          </w:tcPr>
          <w:p w14:paraId="00D1C4E5" w14:textId="77777777" w:rsidR="008C5CFA" w:rsidRPr="0024468B" w:rsidRDefault="00E82A60" w:rsidP="00300A01">
            <w:pPr>
              <w:spacing w:before="0" w:after="0"/>
              <w:jc w:val="right"/>
              <w:rPr>
                <w:sz w:val="16"/>
                <w:szCs w:val="16"/>
                <w:lang w:val="fr-BE"/>
              </w:rPr>
            </w:pPr>
            <w:r w:rsidRPr="0024468B">
              <w:rPr>
                <w:noProof/>
                <w:sz w:val="16"/>
                <w:szCs w:val="16"/>
                <w:lang w:val="fr-BE"/>
              </w:rPr>
              <w:t>19,00</w:t>
            </w:r>
          </w:p>
        </w:tc>
        <w:tc>
          <w:tcPr>
            <w:tcW w:w="0" w:type="auto"/>
          </w:tcPr>
          <w:p w14:paraId="0A7B4841"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368FAEE5"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41355EE5"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3786554D"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37834A35"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42C2A7EC"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40B0EC50"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5E66A243"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r w:rsidR="006B2EC1" w14:paraId="74652B95" w14:textId="77777777" w:rsidTr="0047688D">
        <w:tc>
          <w:tcPr>
            <w:tcW w:w="0" w:type="auto"/>
          </w:tcPr>
          <w:p w14:paraId="1A8E3AD5" w14:textId="77777777" w:rsidR="008C5CFA" w:rsidRPr="0024468B" w:rsidRDefault="00E82A60" w:rsidP="00300A01">
            <w:pPr>
              <w:spacing w:before="0" w:after="0"/>
              <w:rPr>
                <w:sz w:val="16"/>
                <w:szCs w:val="16"/>
                <w:lang w:val="fr-BE"/>
              </w:rPr>
            </w:pPr>
            <w:r>
              <w:rPr>
                <w:noProof/>
                <w:sz w:val="16"/>
                <w:szCs w:val="16"/>
                <w:lang w:val="fr-BE"/>
              </w:rPr>
              <w:t>S</w:t>
            </w:r>
          </w:p>
        </w:tc>
        <w:tc>
          <w:tcPr>
            <w:tcW w:w="0" w:type="auto"/>
            <w:shd w:val="clear" w:color="auto" w:fill="auto"/>
          </w:tcPr>
          <w:p w14:paraId="5D73CBAD" w14:textId="77777777" w:rsidR="008C5CFA" w:rsidRPr="0024468B" w:rsidRDefault="00E82A60" w:rsidP="00300A01">
            <w:pPr>
              <w:spacing w:before="0" w:after="0"/>
              <w:rPr>
                <w:sz w:val="16"/>
                <w:szCs w:val="16"/>
                <w:lang w:val="fr-BE"/>
              </w:rPr>
            </w:pPr>
            <w:r w:rsidRPr="0024468B">
              <w:rPr>
                <w:noProof/>
                <w:sz w:val="16"/>
                <w:szCs w:val="16"/>
                <w:lang w:val="fr-BE"/>
              </w:rPr>
              <w:t>CO02</w:t>
            </w:r>
          </w:p>
        </w:tc>
        <w:tc>
          <w:tcPr>
            <w:tcW w:w="0" w:type="auto"/>
            <w:shd w:val="clear" w:color="auto" w:fill="auto"/>
          </w:tcPr>
          <w:p w14:paraId="3E59A4EF" w14:textId="77777777" w:rsidR="008C5CFA" w:rsidRPr="0024468B" w:rsidRDefault="00E82A60" w:rsidP="00300A01">
            <w:pPr>
              <w:spacing w:before="0" w:after="0"/>
              <w:rPr>
                <w:sz w:val="16"/>
                <w:szCs w:val="16"/>
                <w:lang w:val="fr-BE"/>
              </w:rPr>
            </w:pPr>
            <w:r w:rsidRPr="0024468B">
              <w:rPr>
                <w:noProof/>
                <w:sz w:val="16"/>
                <w:szCs w:val="16"/>
                <w:lang w:val="fr-BE"/>
              </w:rPr>
              <w:t>Inwestycje produkcyjne: liczba przedsiębiorstw otrzymujących dotacje</w:t>
            </w:r>
          </w:p>
        </w:tc>
        <w:tc>
          <w:tcPr>
            <w:tcW w:w="0" w:type="auto"/>
          </w:tcPr>
          <w:p w14:paraId="10192CAF" w14:textId="77777777" w:rsidR="008C5CFA" w:rsidRPr="0024468B" w:rsidRDefault="00E82A60" w:rsidP="00300A01">
            <w:pPr>
              <w:spacing w:before="0" w:after="0"/>
              <w:jc w:val="right"/>
              <w:rPr>
                <w:sz w:val="16"/>
                <w:szCs w:val="16"/>
                <w:lang w:val="fr-BE"/>
              </w:rPr>
            </w:pPr>
            <w:r w:rsidRPr="0024468B">
              <w:rPr>
                <w:noProof/>
                <w:sz w:val="16"/>
                <w:szCs w:val="16"/>
                <w:lang w:val="fr-BE"/>
              </w:rPr>
              <w:t>51,00</w:t>
            </w:r>
          </w:p>
        </w:tc>
        <w:tc>
          <w:tcPr>
            <w:tcW w:w="0" w:type="auto"/>
          </w:tcPr>
          <w:p w14:paraId="30D3F078"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4DBCFC97"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66331441" w14:textId="77777777" w:rsidR="008C5CFA" w:rsidRPr="0024468B" w:rsidRDefault="00E82A60" w:rsidP="00300A01">
            <w:pPr>
              <w:spacing w:before="0" w:after="0"/>
              <w:jc w:val="right"/>
              <w:rPr>
                <w:sz w:val="16"/>
                <w:szCs w:val="16"/>
                <w:lang w:val="fr-BE"/>
              </w:rPr>
            </w:pPr>
            <w:r w:rsidRPr="0024468B">
              <w:rPr>
                <w:noProof/>
                <w:sz w:val="16"/>
                <w:szCs w:val="16"/>
                <w:lang w:val="fr-BE"/>
              </w:rPr>
              <w:t>15,00</w:t>
            </w:r>
          </w:p>
        </w:tc>
        <w:tc>
          <w:tcPr>
            <w:tcW w:w="0" w:type="auto"/>
          </w:tcPr>
          <w:p w14:paraId="509CF4ED"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306D16D8"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641221C7"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26A6A9CF"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62CD2DDC"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r w:rsidR="006B2EC1" w14:paraId="75D826E3" w14:textId="77777777" w:rsidTr="0047688D">
        <w:tc>
          <w:tcPr>
            <w:tcW w:w="0" w:type="auto"/>
          </w:tcPr>
          <w:p w14:paraId="6845EB16" w14:textId="77777777" w:rsidR="008C5CFA" w:rsidRPr="0024468B" w:rsidRDefault="00E82A60" w:rsidP="00300A01">
            <w:pPr>
              <w:spacing w:before="0" w:after="0"/>
              <w:rPr>
                <w:sz w:val="16"/>
                <w:szCs w:val="16"/>
                <w:lang w:val="fr-BE"/>
              </w:rPr>
            </w:pPr>
            <w:r>
              <w:rPr>
                <w:noProof/>
                <w:sz w:val="16"/>
                <w:szCs w:val="16"/>
                <w:lang w:val="fr-BE"/>
              </w:rPr>
              <w:lastRenderedPageBreak/>
              <w:t>F</w:t>
            </w:r>
          </w:p>
        </w:tc>
        <w:tc>
          <w:tcPr>
            <w:tcW w:w="0" w:type="auto"/>
            <w:shd w:val="clear" w:color="auto" w:fill="auto"/>
          </w:tcPr>
          <w:p w14:paraId="5D58A3DA" w14:textId="77777777" w:rsidR="008C5CFA" w:rsidRPr="0024468B" w:rsidRDefault="00E82A60" w:rsidP="00300A01">
            <w:pPr>
              <w:spacing w:before="0" w:after="0"/>
              <w:rPr>
                <w:sz w:val="16"/>
                <w:szCs w:val="16"/>
                <w:lang w:val="fr-BE"/>
              </w:rPr>
            </w:pPr>
            <w:r w:rsidRPr="0024468B">
              <w:rPr>
                <w:noProof/>
                <w:sz w:val="16"/>
                <w:szCs w:val="16"/>
                <w:lang w:val="fr-BE"/>
              </w:rPr>
              <w:t>CO06</w:t>
            </w:r>
          </w:p>
        </w:tc>
        <w:tc>
          <w:tcPr>
            <w:tcW w:w="0" w:type="auto"/>
            <w:shd w:val="clear" w:color="auto" w:fill="auto"/>
          </w:tcPr>
          <w:p w14:paraId="2C92BB83" w14:textId="77777777" w:rsidR="008C5CFA" w:rsidRPr="0024468B" w:rsidRDefault="00E82A60" w:rsidP="00300A01">
            <w:pPr>
              <w:spacing w:before="0" w:after="0"/>
              <w:rPr>
                <w:sz w:val="16"/>
                <w:szCs w:val="16"/>
                <w:lang w:val="fr-BE"/>
              </w:rPr>
            </w:pPr>
            <w:r w:rsidRPr="0024468B">
              <w:rPr>
                <w:noProof/>
                <w:sz w:val="16"/>
                <w:szCs w:val="16"/>
                <w:lang w:val="fr-BE"/>
              </w:rPr>
              <w:t>Inwestycje produkcyjne: inwestycje prywatne uzupełniające wsparcie publiczne dla przedsiębiorstw (dotacje)</w:t>
            </w:r>
          </w:p>
        </w:tc>
        <w:tc>
          <w:tcPr>
            <w:tcW w:w="0" w:type="auto"/>
          </w:tcPr>
          <w:p w14:paraId="143057DA" w14:textId="77777777" w:rsidR="008C5CFA" w:rsidRPr="0024468B" w:rsidRDefault="00E82A60" w:rsidP="00300A01">
            <w:pPr>
              <w:spacing w:before="0" w:after="0"/>
              <w:jc w:val="right"/>
              <w:rPr>
                <w:sz w:val="16"/>
                <w:szCs w:val="16"/>
                <w:lang w:val="fr-BE"/>
              </w:rPr>
            </w:pPr>
            <w:r w:rsidRPr="0024468B">
              <w:rPr>
                <w:noProof/>
                <w:sz w:val="16"/>
                <w:szCs w:val="16"/>
                <w:lang w:val="fr-BE"/>
              </w:rPr>
              <w:t>1 647 235,10</w:t>
            </w:r>
          </w:p>
        </w:tc>
        <w:tc>
          <w:tcPr>
            <w:tcW w:w="0" w:type="auto"/>
          </w:tcPr>
          <w:p w14:paraId="1DA6EFB5"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2846BE5C"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3D018D77"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7F9CD0FD"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3E0A740B"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3212A6D5"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1097153F"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0F16B987"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r w:rsidR="006B2EC1" w14:paraId="26C02312" w14:textId="77777777" w:rsidTr="0047688D">
        <w:tc>
          <w:tcPr>
            <w:tcW w:w="0" w:type="auto"/>
          </w:tcPr>
          <w:p w14:paraId="0058D12C" w14:textId="77777777" w:rsidR="008C5CFA" w:rsidRPr="0024468B" w:rsidRDefault="00E82A60" w:rsidP="00300A01">
            <w:pPr>
              <w:spacing w:before="0" w:after="0"/>
              <w:rPr>
                <w:sz w:val="16"/>
                <w:szCs w:val="16"/>
                <w:lang w:val="fr-BE"/>
              </w:rPr>
            </w:pPr>
            <w:r>
              <w:rPr>
                <w:noProof/>
                <w:sz w:val="16"/>
                <w:szCs w:val="16"/>
                <w:lang w:val="fr-BE"/>
              </w:rPr>
              <w:t>S</w:t>
            </w:r>
          </w:p>
        </w:tc>
        <w:tc>
          <w:tcPr>
            <w:tcW w:w="0" w:type="auto"/>
            <w:shd w:val="clear" w:color="auto" w:fill="auto"/>
          </w:tcPr>
          <w:p w14:paraId="6A5D3E74" w14:textId="77777777" w:rsidR="008C5CFA" w:rsidRPr="0024468B" w:rsidRDefault="00E82A60" w:rsidP="00300A01">
            <w:pPr>
              <w:spacing w:before="0" w:after="0"/>
              <w:rPr>
                <w:sz w:val="16"/>
                <w:szCs w:val="16"/>
                <w:lang w:val="fr-BE"/>
              </w:rPr>
            </w:pPr>
            <w:r w:rsidRPr="0024468B">
              <w:rPr>
                <w:noProof/>
                <w:sz w:val="16"/>
                <w:szCs w:val="16"/>
                <w:lang w:val="fr-BE"/>
              </w:rPr>
              <w:t>CO06</w:t>
            </w:r>
          </w:p>
        </w:tc>
        <w:tc>
          <w:tcPr>
            <w:tcW w:w="0" w:type="auto"/>
            <w:shd w:val="clear" w:color="auto" w:fill="auto"/>
          </w:tcPr>
          <w:p w14:paraId="1631CE33" w14:textId="77777777" w:rsidR="008C5CFA" w:rsidRPr="0024468B" w:rsidRDefault="00E82A60" w:rsidP="00300A01">
            <w:pPr>
              <w:spacing w:before="0" w:after="0"/>
              <w:rPr>
                <w:sz w:val="16"/>
                <w:szCs w:val="16"/>
                <w:lang w:val="fr-BE"/>
              </w:rPr>
            </w:pPr>
            <w:r w:rsidRPr="0024468B">
              <w:rPr>
                <w:noProof/>
                <w:sz w:val="16"/>
                <w:szCs w:val="16"/>
                <w:lang w:val="fr-BE"/>
              </w:rPr>
              <w:t>Inwestycje produkcyjne: inwestycje prywatne uzupełniające wsparcie publiczne dla przedsiębiorstw (dotacje)</w:t>
            </w:r>
          </w:p>
        </w:tc>
        <w:tc>
          <w:tcPr>
            <w:tcW w:w="0" w:type="auto"/>
          </w:tcPr>
          <w:p w14:paraId="0FC0252A" w14:textId="77777777" w:rsidR="008C5CFA" w:rsidRPr="0024468B" w:rsidRDefault="00E82A60" w:rsidP="00300A01">
            <w:pPr>
              <w:spacing w:before="0" w:after="0"/>
              <w:jc w:val="right"/>
              <w:rPr>
                <w:sz w:val="16"/>
                <w:szCs w:val="16"/>
                <w:lang w:val="fr-BE"/>
              </w:rPr>
            </w:pPr>
            <w:r w:rsidRPr="0024468B">
              <w:rPr>
                <w:noProof/>
                <w:sz w:val="16"/>
                <w:szCs w:val="16"/>
                <w:lang w:val="fr-BE"/>
              </w:rPr>
              <w:t>6 233 642,37</w:t>
            </w:r>
          </w:p>
        </w:tc>
        <w:tc>
          <w:tcPr>
            <w:tcW w:w="0" w:type="auto"/>
          </w:tcPr>
          <w:p w14:paraId="595E7D4B"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18F99990"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3A84F1B2" w14:textId="77777777" w:rsidR="008C5CFA" w:rsidRPr="0024468B" w:rsidRDefault="00E82A60" w:rsidP="00300A01">
            <w:pPr>
              <w:spacing w:before="0" w:after="0"/>
              <w:jc w:val="right"/>
              <w:rPr>
                <w:sz w:val="16"/>
                <w:szCs w:val="16"/>
                <w:lang w:val="fr-BE"/>
              </w:rPr>
            </w:pPr>
            <w:r w:rsidRPr="0024468B">
              <w:rPr>
                <w:noProof/>
                <w:sz w:val="16"/>
                <w:szCs w:val="16"/>
                <w:lang w:val="fr-BE"/>
              </w:rPr>
              <w:t>6 359 134,59</w:t>
            </w:r>
          </w:p>
        </w:tc>
        <w:tc>
          <w:tcPr>
            <w:tcW w:w="0" w:type="auto"/>
          </w:tcPr>
          <w:p w14:paraId="1938FEFA"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3A9A70F9"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51ECC41E"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032C8D91"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5F3F9EE8"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r w:rsidR="006B2EC1" w14:paraId="3A969B6B" w14:textId="77777777" w:rsidTr="0047688D">
        <w:tc>
          <w:tcPr>
            <w:tcW w:w="0" w:type="auto"/>
          </w:tcPr>
          <w:p w14:paraId="340E2C87" w14:textId="77777777" w:rsidR="008C5CFA" w:rsidRPr="0024468B" w:rsidRDefault="00E82A60" w:rsidP="00300A01">
            <w:pPr>
              <w:spacing w:before="0" w:after="0"/>
              <w:rPr>
                <w:sz w:val="16"/>
                <w:szCs w:val="16"/>
                <w:lang w:val="fr-BE"/>
              </w:rPr>
            </w:pPr>
            <w:r>
              <w:rPr>
                <w:noProof/>
                <w:sz w:val="16"/>
                <w:szCs w:val="16"/>
                <w:lang w:val="fr-BE"/>
              </w:rPr>
              <w:t>F</w:t>
            </w:r>
          </w:p>
        </w:tc>
        <w:tc>
          <w:tcPr>
            <w:tcW w:w="0" w:type="auto"/>
            <w:shd w:val="clear" w:color="auto" w:fill="auto"/>
          </w:tcPr>
          <w:p w14:paraId="1ECEF95B" w14:textId="77777777" w:rsidR="008C5CFA" w:rsidRPr="0024468B" w:rsidRDefault="00E82A60" w:rsidP="00300A01">
            <w:pPr>
              <w:spacing w:before="0" w:after="0"/>
              <w:rPr>
                <w:sz w:val="16"/>
                <w:szCs w:val="16"/>
                <w:lang w:val="fr-BE"/>
              </w:rPr>
            </w:pPr>
            <w:r w:rsidRPr="0024468B">
              <w:rPr>
                <w:noProof/>
                <w:sz w:val="16"/>
                <w:szCs w:val="16"/>
                <w:lang w:val="fr-BE"/>
              </w:rPr>
              <w:t>CO34</w:t>
            </w:r>
          </w:p>
        </w:tc>
        <w:tc>
          <w:tcPr>
            <w:tcW w:w="0" w:type="auto"/>
            <w:shd w:val="clear" w:color="auto" w:fill="auto"/>
          </w:tcPr>
          <w:p w14:paraId="0540E863" w14:textId="77777777" w:rsidR="008C5CFA" w:rsidRPr="0024468B" w:rsidRDefault="00E82A60" w:rsidP="00300A01">
            <w:pPr>
              <w:spacing w:before="0" w:after="0"/>
              <w:rPr>
                <w:sz w:val="16"/>
                <w:szCs w:val="16"/>
                <w:lang w:val="fr-BE"/>
              </w:rPr>
            </w:pPr>
            <w:r w:rsidRPr="0024468B">
              <w:rPr>
                <w:noProof/>
                <w:sz w:val="16"/>
                <w:szCs w:val="16"/>
                <w:lang w:val="fr-BE"/>
              </w:rPr>
              <w:t>Redukcja emisji gazów cieplarnianych: szacowany roczny spadek emisji gazów cieplarnianych</w:t>
            </w:r>
          </w:p>
        </w:tc>
        <w:tc>
          <w:tcPr>
            <w:tcW w:w="0" w:type="auto"/>
          </w:tcPr>
          <w:p w14:paraId="261FC6A7"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2C14C059"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3323DB58"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01A27D9D"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51B99DD1"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58E83417"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5F234180"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6694C1F6"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73E1DADF"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r w:rsidR="006B2EC1" w14:paraId="45B68D63" w14:textId="77777777" w:rsidTr="0047688D">
        <w:tc>
          <w:tcPr>
            <w:tcW w:w="0" w:type="auto"/>
          </w:tcPr>
          <w:p w14:paraId="3ED51BD5" w14:textId="77777777" w:rsidR="008C5CFA" w:rsidRPr="0024468B" w:rsidRDefault="00E82A60" w:rsidP="00300A01">
            <w:pPr>
              <w:spacing w:before="0" w:after="0"/>
              <w:rPr>
                <w:sz w:val="16"/>
                <w:szCs w:val="16"/>
                <w:lang w:val="fr-BE"/>
              </w:rPr>
            </w:pPr>
            <w:r>
              <w:rPr>
                <w:noProof/>
                <w:sz w:val="16"/>
                <w:szCs w:val="16"/>
                <w:lang w:val="fr-BE"/>
              </w:rPr>
              <w:t>S</w:t>
            </w:r>
          </w:p>
        </w:tc>
        <w:tc>
          <w:tcPr>
            <w:tcW w:w="0" w:type="auto"/>
            <w:shd w:val="clear" w:color="auto" w:fill="auto"/>
          </w:tcPr>
          <w:p w14:paraId="10998A8E" w14:textId="77777777" w:rsidR="008C5CFA" w:rsidRPr="0024468B" w:rsidRDefault="00E82A60" w:rsidP="00300A01">
            <w:pPr>
              <w:spacing w:before="0" w:after="0"/>
              <w:rPr>
                <w:sz w:val="16"/>
                <w:szCs w:val="16"/>
                <w:lang w:val="fr-BE"/>
              </w:rPr>
            </w:pPr>
            <w:r w:rsidRPr="0024468B">
              <w:rPr>
                <w:noProof/>
                <w:sz w:val="16"/>
                <w:szCs w:val="16"/>
                <w:lang w:val="fr-BE"/>
              </w:rPr>
              <w:t>CO34</w:t>
            </w:r>
          </w:p>
        </w:tc>
        <w:tc>
          <w:tcPr>
            <w:tcW w:w="0" w:type="auto"/>
            <w:shd w:val="clear" w:color="auto" w:fill="auto"/>
          </w:tcPr>
          <w:p w14:paraId="6D652AB2" w14:textId="77777777" w:rsidR="008C5CFA" w:rsidRPr="0024468B" w:rsidRDefault="00E82A60" w:rsidP="00300A01">
            <w:pPr>
              <w:spacing w:before="0" w:after="0"/>
              <w:rPr>
                <w:sz w:val="16"/>
                <w:szCs w:val="16"/>
                <w:lang w:val="fr-BE"/>
              </w:rPr>
            </w:pPr>
            <w:r w:rsidRPr="0024468B">
              <w:rPr>
                <w:noProof/>
                <w:sz w:val="16"/>
                <w:szCs w:val="16"/>
                <w:lang w:val="fr-BE"/>
              </w:rPr>
              <w:t>Redukcja emisji gazów cieplarnianych: szacowany roczny spadek emisji gazów cieplarnianych</w:t>
            </w:r>
          </w:p>
        </w:tc>
        <w:tc>
          <w:tcPr>
            <w:tcW w:w="0" w:type="auto"/>
          </w:tcPr>
          <w:p w14:paraId="5D23E8F2" w14:textId="77777777" w:rsidR="008C5CFA" w:rsidRPr="0024468B" w:rsidRDefault="00E82A60" w:rsidP="00300A01">
            <w:pPr>
              <w:spacing w:before="0" w:after="0"/>
              <w:jc w:val="right"/>
              <w:rPr>
                <w:sz w:val="16"/>
                <w:szCs w:val="16"/>
                <w:lang w:val="fr-BE"/>
              </w:rPr>
            </w:pPr>
            <w:r w:rsidRPr="0024468B">
              <w:rPr>
                <w:noProof/>
                <w:sz w:val="16"/>
                <w:szCs w:val="16"/>
                <w:lang w:val="fr-BE"/>
              </w:rPr>
              <w:t>12 386,28</w:t>
            </w:r>
          </w:p>
        </w:tc>
        <w:tc>
          <w:tcPr>
            <w:tcW w:w="0" w:type="auto"/>
          </w:tcPr>
          <w:p w14:paraId="45AC7689"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044C51D2"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7EEB95EA" w14:textId="77777777" w:rsidR="008C5CFA" w:rsidRPr="0024468B" w:rsidRDefault="00E82A60" w:rsidP="00300A01">
            <w:pPr>
              <w:spacing w:before="0" w:after="0"/>
              <w:jc w:val="right"/>
              <w:rPr>
                <w:sz w:val="16"/>
                <w:szCs w:val="16"/>
                <w:lang w:val="fr-BE"/>
              </w:rPr>
            </w:pPr>
            <w:r w:rsidRPr="0024468B">
              <w:rPr>
                <w:noProof/>
                <w:sz w:val="16"/>
                <w:szCs w:val="16"/>
                <w:lang w:val="fr-BE"/>
              </w:rPr>
              <w:t>4 031,61</w:t>
            </w:r>
          </w:p>
        </w:tc>
        <w:tc>
          <w:tcPr>
            <w:tcW w:w="0" w:type="auto"/>
          </w:tcPr>
          <w:p w14:paraId="2EE32DCA"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5C607AEB"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7C586FB8"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67C2EAB1"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3BB26417"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r w:rsidR="006B2EC1" w14:paraId="580ACD0A" w14:textId="77777777" w:rsidTr="0047688D">
        <w:tc>
          <w:tcPr>
            <w:tcW w:w="0" w:type="auto"/>
          </w:tcPr>
          <w:p w14:paraId="075AF04D" w14:textId="77777777" w:rsidR="008C5CFA" w:rsidRPr="0024468B" w:rsidRDefault="00E82A60" w:rsidP="00300A01">
            <w:pPr>
              <w:spacing w:before="0" w:after="0"/>
              <w:rPr>
                <w:sz w:val="16"/>
                <w:szCs w:val="16"/>
                <w:lang w:val="fr-BE"/>
              </w:rPr>
            </w:pPr>
            <w:r>
              <w:rPr>
                <w:noProof/>
                <w:sz w:val="16"/>
                <w:szCs w:val="16"/>
                <w:lang w:val="fr-BE"/>
              </w:rPr>
              <w:t>F</w:t>
            </w:r>
          </w:p>
        </w:tc>
        <w:tc>
          <w:tcPr>
            <w:tcW w:w="0" w:type="auto"/>
            <w:shd w:val="clear" w:color="auto" w:fill="auto"/>
          </w:tcPr>
          <w:p w14:paraId="46C16B93" w14:textId="77777777" w:rsidR="008C5CFA" w:rsidRPr="0024468B" w:rsidRDefault="00E82A60" w:rsidP="00300A01">
            <w:pPr>
              <w:spacing w:before="0" w:after="0"/>
              <w:rPr>
                <w:sz w:val="16"/>
                <w:szCs w:val="16"/>
                <w:lang w:val="fr-BE"/>
              </w:rPr>
            </w:pPr>
            <w:r>
              <w:rPr>
                <w:noProof/>
                <w:sz w:val="16"/>
                <w:szCs w:val="16"/>
                <w:lang w:val="fr-BE"/>
              </w:rPr>
              <w:t>31</w:t>
            </w:r>
          </w:p>
        </w:tc>
        <w:tc>
          <w:tcPr>
            <w:tcW w:w="0" w:type="auto"/>
            <w:shd w:val="clear" w:color="auto" w:fill="auto"/>
          </w:tcPr>
          <w:p w14:paraId="0548C9B0" w14:textId="77777777" w:rsidR="008C5CFA" w:rsidRPr="0024468B" w:rsidRDefault="00E82A60" w:rsidP="00300A01">
            <w:pPr>
              <w:spacing w:before="0" w:after="0"/>
              <w:rPr>
                <w:sz w:val="16"/>
                <w:szCs w:val="16"/>
                <w:lang w:val="fr-BE"/>
              </w:rPr>
            </w:pPr>
            <w:r>
              <w:rPr>
                <w:noProof/>
                <w:sz w:val="16"/>
                <w:szCs w:val="16"/>
                <w:lang w:val="fr-BE"/>
              </w:rPr>
              <w:t>Liczba przedsiębiorstw, które w wyniku wsparcia poprawiły efektywność energetyczną</w:t>
            </w:r>
          </w:p>
        </w:tc>
        <w:tc>
          <w:tcPr>
            <w:tcW w:w="0" w:type="auto"/>
          </w:tcPr>
          <w:p w14:paraId="546E0BE6" w14:textId="77777777" w:rsidR="008C5CFA" w:rsidRPr="0024468B" w:rsidRDefault="00E82A60" w:rsidP="00300A01">
            <w:pPr>
              <w:spacing w:before="0" w:after="0"/>
              <w:jc w:val="right"/>
              <w:rPr>
                <w:sz w:val="16"/>
                <w:szCs w:val="16"/>
                <w:lang w:val="fr-BE"/>
              </w:rPr>
            </w:pPr>
            <w:r w:rsidRPr="0024468B">
              <w:rPr>
                <w:noProof/>
                <w:sz w:val="16"/>
                <w:szCs w:val="16"/>
                <w:lang w:val="fr-BE"/>
              </w:rPr>
              <w:t>19,00</w:t>
            </w:r>
          </w:p>
        </w:tc>
        <w:tc>
          <w:tcPr>
            <w:tcW w:w="0" w:type="auto"/>
          </w:tcPr>
          <w:p w14:paraId="1CCB61C8"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4172E65C"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6FFC33CE"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395C649E"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288CC1C3"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3AF230CE"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784715F1"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5A21A6DA"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r w:rsidR="006B2EC1" w14:paraId="04C32B5A" w14:textId="77777777" w:rsidTr="0047688D">
        <w:tc>
          <w:tcPr>
            <w:tcW w:w="0" w:type="auto"/>
          </w:tcPr>
          <w:p w14:paraId="3168DC4A" w14:textId="77777777" w:rsidR="008C5CFA" w:rsidRPr="0024468B" w:rsidRDefault="00E82A60" w:rsidP="00300A01">
            <w:pPr>
              <w:spacing w:before="0" w:after="0"/>
              <w:rPr>
                <w:sz w:val="16"/>
                <w:szCs w:val="16"/>
                <w:lang w:val="fr-BE"/>
              </w:rPr>
            </w:pPr>
            <w:r>
              <w:rPr>
                <w:noProof/>
                <w:sz w:val="16"/>
                <w:szCs w:val="16"/>
                <w:lang w:val="fr-BE"/>
              </w:rPr>
              <w:t>S</w:t>
            </w:r>
          </w:p>
        </w:tc>
        <w:tc>
          <w:tcPr>
            <w:tcW w:w="0" w:type="auto"/>
            <w:shd w:val="clear" w:color="auto" w:fill="auto"/>
          </w:tcPr>
          <w:p w14:paraId="1ED7CCB1" w14:textId="77777777" w:rsidR="008C5CFA" w:rsidRPr="0024468B" w:rsidRDefault="00E82A60" w:rsidP="00300A01">
            <w:pPr>
              <w:spacing w:before="0" w:after="0"/>
              <w:rPr>
                <w:sz w:val="16"/>
                <w:szCs w:val="16"/>
                <w:lang w:val="fr-BE"/>
              </w:rPr>
            </w:pPr>
            <w:r>
              <w:rPr>
                <w:noProof/>
                <w:sz w:val="16"/>
                <w:szCs w:val="16"/>
                <w:lang w:val="fr-BE"/>
              </w:rPr>
              <w:t>31</w:t>
            </w:r>
          </w:p>
        </w:tc>
        <w:tc>
          <w:tcPr>
            <w:tcW w:w="0" w:type="auto"/>
            <w:shd w:val="clear" w:color="auto" w:fill="auto"/>
          </w:tcPr>
          <w:p w14:paraId="57D4528E" w14:textId="77777777" w:rsidR="008C5CFA" w:rsidRPr="0024468B" w:rsidRDefault="00E82A60" w:rsidP="00300A01">
            <w:pPr>
              <w:spacing w:before="0" w:after="0"/>
              <w:rPr>
                <w:sz w:val="16"/>
                <w:szCs w:val="16"/>
                <w:lang w:val="fr-BE"/>
              </w:rPr>
            </w:pPr>
            <w:r>
              <w:rPr>
                <w:noProof/>
                <w:sz w:val="16"/>
                <w:szCs w:val="16"/>
                <w:lang w:val="fr-BE"/>
              </w:rPr>
              <w:t>Liczba przedsiębiorstw, które w wyniku wsparcia poprawiły efektywność energetyczną</w:t>
            </w:r>
          </w:p>
        </w:tc>
        <w:tc>
          <w:tcPr>
            <w:tcW w:w="0" w:type="auto"/>
          </w:tcPr>
          <w:p w14:paraId="076FEA88" w14:textId="77777777" w:rsidR="008C5CFA" w:rsidRPr="0024468B" w:rsidRDefault="00E82A60" w:rsidP="00300A01">
            <w:pPr>
              <w:spacing w:before="0" w:after="0"/>
              <w:jc w:val="right"/>
              <w:rPr>
                <w:sz w:val="16"/>
                <w:szCs w:val="16"/>
                <w:lang w:val="fr-BE"/>
              </w:rPr>
            </w:pPr>
            <w:r w:rsidRPr="0024468B">
              <w:rPr>
                <w:noProof/>
                <w:sz w:val="16"/>
                <w:szCs w:val="16"/>
                <w:lang w:val="fr-BE"/>
              </w:rPr>
              <w:t>52,00</w:t>
            </w:r>
          </w:p>
        </w:tc>
        <w:tc>
          <w:tcPr>
            <w:tcW w:w="0" w:type="auto"/>
          </w:tcPr>
          <w:p w14:paraId="6B8507D2"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6989E7C4"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6A8D3A5E" w14:textId="77777777" w:rsidR="008C5CFA" w:rsidRPr="0024468B" w:rsidRDefault="00E82A60" w:rsidP="00300A01">
            <w:pPr>
              <w:spacing w:before="0" w:after="0"/>
              <w:jc w:val="right"/>
              <w:rPr>
                <w:sz w:val="16"/>
                <w:szCs w:val="16"/>
                <w:lang w:val="fr-BE"/>
              </w:rPr>
            </w:pPr>
            <w:r w:rsidRPr="0024468B">
              <w:rPr>
                <w:noProof/>
                <w:sz w:val="16"/>
                <w:szCs w:val="16"/>
                <w:lang w:val="fr-BE"/>
              </w:rPr>
              <w:t>14,00</w:t>
            </w:r>
          </w:p>
        </w:tc>
        <w:tc>
          <w:tcPr>
            <w:tcW w:w="0" w:type="auto"/>
          </w:tcPr>
          <w:p w14:paraId="47052521"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2B6E3BEE"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3EFDE43D"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2D29DCA4"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3A02494F"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bl>
    <w:p w14:paraId="4E62D264"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19"/>
        <w:gridCol w:w="525"/>
        <w:gridCol w:w="7540"/>
        <w:gridCol w:w="1065"/>
        <w:gridCol w:w="1261"/>
        <w:gridCol w:w="1074"/>
        <w:gridCol w:w="1065"/>
        <w:gridCol w:w="1261"/>
        <w:gridCol w:w="1074"/>
      </w:tblGrid>
      <w:tr w:rsidR="006B2EC1" w14:paraId="58A3EADA" w14:textId="77777777" w:rsidTr="0047688D">
        <w:trPr>
          <w:tblHeader/>
        </w:trPr>
        <w:tc>
          <w:tcPr>
            <w:tcW w:w="0" w:type="auto"/>
          </w:tcPr>
          <w:p w14:paraId="402E3718" w14:textId="77777777" w:rsidR="008C5CFA" w:rsidRPr="009143B4" w:rsidRDefault="00E82A60" w:rsidP="00300A01">
            <w:pPr>
              <w:spacing w:before="0" w:after="0"/>
              <w:rPr>
                <w:b/>
                <w:sz w:val="16"/>
                <w:szCs w:val="16"/>
                <w:lang w:val="fr-BE"/>
              </w:rPr>
            </w:pPr>
            <w:r w:rsidRPr="009143B4">
              <w:rPr>
                <w:b/>
                <w:sz w:val="16"/>
                <w:szCs w:val="16"/>
                <w:lang w:val="fr-BE"/>
              </w:rPr>
              <w:t>(1)</w:t>
            </w:r>
          </w:p>
        </w:tc>
        <w:tc>
          <w:tcPr>
            <w:tcW w:w="0" w:type="auto"/>
            <w:shd w:val="clear" w:color="auto" w:fill="auto"/>
          </w:tcPr>
          <w:p w14:paraId="48047BB8" w14:textId="77777777" w:rsidR="008C5CFA" w:rsidRPr="009143B4" w:rsidRDefault="00E82A60" w:rsidP="00300A01">
            <w:pPr>
              <w:spacing w:before="0" w:after="0"/>
              <w:rPr>
                <w:b/>
                <w:sz w:val="16"/>
                <w:szCs w:val="16"/>
                <w:lang w:val="fr-BE"/>
              </w:rPr>
            </w:pPr>
            <w:r w:rsidRPr="009143B4">
              <w:rPr>
                <w:b/>
                <w:noProof/>
                <w:sz w:val="16"/>
                <w:szCs w:val="16"/>
                <w:lang w:val="fr-BE"/>
              </w:rPr>
              <w:t>ID</w:t>
            </w:r>
          </w:p>
        </w:tc>
        <w:tc>
          <w:tcPr>
            <w:tcW w:w="0" w:type="auto"/>
            <w:shd w:val="clear" w:color="auto" w:fill="auto"/>
          </w:tcPr>
          <w:p w14:paraId="6F0B202D" w14:textId="77777777" w:rsidR="008C5CFA" w:rsidRPr="009143B4" w:rsidRDefault="00E82A60" w:rsidP="00300A01">
            <w:pPr>
              <w:spacing w:before="0" w:after="0"/>
              <w:rPr>
                <w:b/>
                <w:sz w:val="16"/>
                <w:szCs w:val="16"/>
                <w:lang w:val="fr-BE"/>
              </w:rPr>
            </w:pPr>
            <w:r w:rsidRPr="009143B4">
              <w:rPr>
                <w:b/>
                <w:noProof/>
                <w:sz w:val="16"/>
                <w:szCs w:val="16"/>
                <w:lang w:val="fr-BE"/>
              </w:rPr>
              <w:t>Wskaźnik</w:t>
            </w:r>
          </w:p>
        </w:tc>
        <w:tc>
          <w:tcPr>
            <w:tcW w:w="0" w:type="auto"/>
          </w:tcPr>
          <w:p w14:paraId="18DE527D" w14:textId="77777777" w:rsidR="008C5CFA" w:rsidRPr="009143B4" w:rsidRDefault="00E82A60"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Ogółem</w:t>
            </w:r>
          </w:p>
        </w:tc>
        <w:tc>
          <w:tcPr>
            <w:tcW w:w="0" w:type="auto"/>
          </w:tcPr>
          <w:p w14:paraId="240F4DDE" w14:textId="77777777" w:rsidR="008C5CFA" w:rsidRPr="009143B4" w:rsidRDefault="00E82A60"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Mężczyźni</w:t>
            </w:r>
          </w:p>
        </w:tc>
        <w:tc>
          <w:tcPr>
            <w:tcW w:w="0" w:type="auto"/>
          </w:tcPr>
          <w:p w14:paraId="7A2B09EC" w14:textId="77777777" w:rsidR="008C5CFA" w:rsidRPr="009143B4" w:rsidRDefault="00E82A60"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Kobiety</w:t>
            </w:r>
          </w:p>
        </w:tc>
        <w:tc>
          <w:tcPr>
            <w:tcW w:w="0" w:type="auto"/>
            <w:shd w:val="clear" w:color="auto" w:fill="auto"/>
          </w:tcPr>
          <w:p w14:paraId="60289F7D" w14:textId="77777777" w:rsidR="008C5CFA" w:rsidRPr="009143B4" w:rsidRDefault="00E82A60"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Ogółem</w:t>
            </w:r>
          </w:p>
        </w:tc>
        <w:tc>
          <w:tcPr>
            <w:tcW w:w="0" w:type="auto"/>
            <w:shd w:val="clear" w:color="auto" w:fill="auto"/>
          </w:tcPr>
          <w:p w14:paraId="117B68E3" w14:textId="77777777" w:rsidR="008C5CFA" w:rsidRPr="009143B4" w:rsidRDefault="00E82A60"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Mężczyźni</w:t>
            </w:r>
          </w:p>
        </w:tc>
        <w:tc>
          <w:tcPr>
            <w:tcW w:w="0" w:type="auto"/>
            <w:shd w:val="clear" w:color="auto" w:fill="auto"/>
          </w:tcPr>
          <w:p w14:paraId="46738436" w14:textId="77777777" w:rsidR="008C5CFA" w:rsidRPr="009143B4" w:rsidRDefault="00E82A60"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Kobiety</w:t>
            </w:r>
          </w:p>
        </w:tc>
      </w:tr>
      <w:tr w:rsidR="006B2EC1" w14:paraId="31937F45" w14:textId="77777777" w:rsidTr="0047688D">
        <w:tc>
          <w:tcPr>
            <w:tcW w:w="0" w:type="auto"/>
          </w:tcPr>
          <w:p w14:paraId="237581DE" w14:textId="77777777" w:rsidR="008C5CFA" w:rsidRPr="0024468B" w:rsidRDefault="00E82A60" w:rsidP="00300A01">
            <w:pPr>
              <w:spacing w:before="0" w:after="0"/>
              <w:rPr>
                <w:sz w:val="16"/>
                <w:szCs w:val="16"/>
                <w:lang w:val="fr-BE"/>
              </w:rPr>
            </w:pPr>
            <w:r>
              <w:rPr>
                <w:noProof/>
                <w:sz w:val="16"/>
                <w:szCs w:val="16"/>
                <w:lang w:val="fr-BE"/>
              </w:rPr>
              <w:t>F</w:t>
            </w:r>
          </w:p>
        </w:tc>
        <w:tc>
          <w:tcPr>
            <w:tcW w:w="0" w:type="auto"/>
            <w:shd w:val="clear" w:color="auto" w:fill="auto"/>
          </w:tcPr>
          <w:p w14:paraId="6E03DEDD" w14:textId="77777777" w:rsidR="008C5CFA" w:rsidRPr="0024468B" w:rsidRDefault="00E82A60" w:rsidP="00300A01">
            <w:pPr>
              <w:spacing w:before="0" w:after="0"/>
              <w:rPr>
                <w:sz w:val="16"/>
                <w:szCs w:val="16"/>
                <w:lang w:val="fr-BE"/>
              </w:rPr>
            </w:pPr>
            <w:r w:rsidRPr="0024468B">
              <w:rPr>
                <w:noProof/>
                <w:sz w:val="16"/>
                <w:szCs w:val="16"/>
                <w:lang w:val="fr-BE"/>
              </w:rPr>
              <w:t>CO02</w:t>
            </w:r>
          </w:p>
        </w:tc>
        <w:tc>
          <w:tcPr>
            <w:tcW w:w="0" w:type="auto"/>
            <w:shd w:val="clear" w:color="auto" w:fill="auto"/>
          </w:tcPr>
          <w:p w14:paraId="2589AD7D" w14:textId="77777777" w:rsidR="008C5CFA" w:rsidRPr="0024468B" w:rsidRDefault="00E82A60" w:rsidP="00300A01">
            <w:pPr>
              <w:spacing w:before="0" w:after="0"/>
              <w:rPr>
                <w:sz w:val="16"/>
                <w:szCs w:val="16"/>
                <w:lang w:val="fr-BE"/>
              </w:rPr>
            </w:pPr>
            <w:r w:rsidRPr="0024468B">
              <w:rPr>
                <w:noProof/>
                <w:sz w:val="16"/>
                <w:szCs w:val="16"/>
                <w:lang w:val="fr-BE"/>
              </w:rPr>
              <w:t>Inwestycje produkcyjne: liczba przedsiębiorstw otrzymujących dotacje</w:t>
            </w:r>
          </w:p>
        </w:tc>
        <w:tc>
          <w:tcPr>
            <w:tcW w:w="0" w:type="auto"/>
          </w:tcPr>
          <w:p w14:paraId="2DD148C9"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50E21F96"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0DE28BCC"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4719BD78"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41866C73"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5CFB5908"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r w:rsidR="006B2EC1" w14:paraId="1444DB2C" w14:textId="77777777" w:rsidTr="0047688D">
        <w:tc>
          <w:tcPr>
            <w:tcW w:w="0" w:type="auto"/>
          </w:tcPr>
          <w:p w14:paraId="02863B1C" w14:textId="77777777" w:rsidR="008C5CFA" w:rsidRPr="0024468B" w:rsidRDefault="00E82A60" w:rsidP="00300A01">
            <w:pPr>
              <w:spacing w:before="0" w:after="0"/>
              <w:rPr>
                <w:sz w:val="16"/>
                <w:szCs w:val="16"/>
                <w:lang w:val="fr-BE"/>
              </w:rPr>
            </w:pPr>
            <w:r>
              <w:rPr>
                <w:noProof/>
                <w:sz w:val="16"/>
                <w:szCs w:val="16"/>
                <w:lang w:val="fr-BE"/>
              </w:rPr>
              <w:t>S</w:t>
            </w:r>
          </w:p>
        </w:tc>
        <w:tc>
          <w:tcPr>
            <w:tcW w:w="0" w:type="auto"/>
            <w:shd w:val="clear" w:color="auto" w:fill="auto"/>
          </w:tcPr>
          <w:p w14:paraId="729647C2" w14:textId="77777777" w:rsidR="008C5CFA" w:rsidRPr="0024468B" w:rsidRDefault="00E82A60" w:rsidP="00300A01">
            <w:pPr>
              <w:spacing w:before="0" w:after="0"/>
              <w:rPr>
                <w:sz w:val="16"/>
                <w:szCs w:val="16"/>
                <w:lang w:val="fr-BE"/>
              </w:rPr>
            </w:pPr>
            <w:r w:rsidRPr="0024468B">
              <w:rPr>
                <w:noProof/>
                <w:sz w:val="16"/>
                <w:szCs w:val="16"/>
                <w:lang w:val="fr-BE"/>
              </w:rPr>
              <w:t>CO02</w:t>
            </w:r>
          </w:p>
        </w:tc>
        <w:tc>
          <w:tcPr>
            <w:tcW w:w="0" w:type="auto"/>
            <w:shd w:val="clear" w:color="auto" w:fill="auto"/>
          </w:tcPr>
          <w:p w14:paraId="0A4BCC3A" w14:textId="77777777" w:rsidR="008C5CFA" w:rsidRPr="0024468B" w:rsidRDefault="00E82A60" w:rsidP="00300A01">
            <w:pPr>
              <w:spacing w:before="0" w:after="0"/>
              <w:rPr>
                <w:sz w:val="16"/>
                <w:szCs w:val="16"/>
                <w:lang w:val="fr-BE"/>
              </w:rPr>
            </w:pPr>
            <w:r w:rsidRPr="0024468B">
              <w:rPr>
                <w:noProof/>
                <w:sz w:val="16"/>
                <w:szCs w:val="16"/>
                <w:lang w:val="fr-BE"/>
              </w:rPr>
              <w:t>Inwestycje produkcyjne: liczba przedsiębiorstw otrzymujących dotacje</w:t>
            </w:r>
          </w:p>
        </w:tc>
        <w:tc>
          <w:tcPr>
            <w:tcW w:w="0" w:type="auto"/>
          </w:tcPr>
          <w:p w14:paraId="18E68319"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5E400822"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5984E714"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5AA1C53A"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0B182F8B"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39E4A96F"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r w:rsidR="006B2EC1" w14:paraId="12C46150" w14:textId="77777777" w:rsidTr="0047688D">
        <w:tc>
          <w:tcPr>
            <w:tcW w:w="0" w:type="auto"/>
          </w:tcPr>
          <w:p w14:paraId="3098E447" w14:textId="77777777" w:rsidR="008C5CFA" w:rsidRPr="0024468B" w:rsidRDefault="00E82A60" w:rsidP="00300A01">
            <w:pPr>
              <w:spacing w:before="0" w:after="0"/>
              <w:rPr>
                <w:sz w:val="16"/>
                <w:szCs w:val="16"/>
                <w:lang w:val="fr-BE"/>
              </w:rPr>
            </w:pPr>
            <w:r>
              <w:rPr>
                <w:noProof/>
                <w:sz w:val="16"/>
                <w:szCs w:val="16"/>
                <w:lang w:val="fr-BE"/>
              </w:rPr>
              <w:t>F</w:t>
            </w:r>
          </w:p>
        </w:tc>
        <w:tc>
          <w:tcPr>
            <w:tcW w:w="0" w:type="auto"/>
            <w:shd w:val="clear" w:color="auto" w:fill="auto"/>
          </w:tcPr>
          <w:p w14:paraId="747A4198" w14:textId="77777777" w:rsidR="008C5CFA" w:rsidRPr="0024468B" w:rsidRDefault="00E82A60" w:rsidP="00300A01">
            <w:pPr>
              <w:spacing w:before="0" w:after="0"/>
              <w:rPr>
                <w:sz w:val="16"/>
                <w:szCs w:val="16"/>
                <w:lang w:val="fr-BE"/>
              </w:rPr>
            </w:pPr>
            <w:r w:rsidRPr="0024468B">
              <w:rPr>
                <w:noProof/>
                <w:sz w:val="16"/>
                <w:szCs w:val="16"/>
                <w:lang w:val="fr-BE"/>
              </w:rPr>
              <w:t>CO06</w:t>
            </w:r>
          </w:p>
        </w:tc>
        <w:tc>
          <w:tcPr>
            <w:tcW w:w="0" w:type="auto"/>
            <w:shd w:val="clear" w:color="auto" w:fill="auto"/>
          </w:tcPr>
          <w:p w14:paraId="11336134" w14:textId="77777777" w:rsidR="008C5CFA" w:rsidRPr="0024468B" w:rsidRDefault="00E82A60" w:rsidP="00300A01">
            <w:pPr>
              <w:spacing w:before="0" w:after="0"/>
              <w:rPr>
                <w:sz w:val="16"/>
                <w:szCs w:val="16"/>
                <w:lang w:val="fr-BE"/>
              </w:rPr>
            </w:pPr>
            <w:r w:rsidRPr="0024468B">
              <w:rPr>
                <w:noProof/>
                <w:sz w:val="16"/>
                <w:szCs w:val="16"/>
                <w:lang w:val="fr-BE"/>
              </w:rPr>
              <w:t>Inwestycje produkcyjne: inwestycje prywatne uzupełniające wsparcie publiczne dla przedsiębiorstw (dotacje)</w:t>
            </w:r>
          </w:p>
        </w:tc>
        <w:tc>
          <w:tcPr>
            <w:tcW w:w="0" w:type="auto"/>
          </w:tcPr>
          <w:p w14:paraId="7B24BA77"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4B12585F"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19D51925"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1F3251BF"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6876D3CB"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31A7F08F"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r w:rsidR="006B2EC1" w14:paraId="22B0DCD9" w14:textId="77777777" w:rsidTr="0047688D">
        <w:tc>
          <w:tcPr>
            <w:tcW w:w="0" w:type="auto"/>
          </w:tcPr>
          <w:p w14:paraId="12D5F8DB" w14:textId="77777777" w:rsidR="008C5CFA" w:rsidRPr="0024468B" w:rsidRDefault="00E82A60" w:rsidP="00300A01">
            <w:pPr>
              <w:spacing w:before="0" w:after="0"/>
              <w:rPr>
                <w:sz w:val="16"/>
                <w:szCs w:val="16"/>
                <w:lang w:val="fr-BE"/>
              </w:rPr>
            </w:pPr>
            <w:r>
              <w:rPr>
                <w:noProof/>
                <w:sz w:val="16"/>
                <w:szCs w:val="16"/>
                <w:lang w:val="fr-BE"/>
              </w:rPr>
              <w:t>S</w:t>
            </w:r>
          </w:p>
        </w:tc>
        <w:tc>
          <w:tcPr>
            <w:tcW w:w="0" w:type="auto"/>
            <w:shd w:val="clear" w:color="auto" w:fill="auto"/>
          </w:tcPr>
          <w:p w14:paraId="35B8A547" w14:textId="77777777" w:rsidR="008C5CFA" w:rsidRPr="0024468B" w:rsidRDefault="00E82A60" w:rsidP="00300A01">
            <w:pPr>
              <w:spacing w:before="0" w:after="0"/>
              <w:rPr>
                <w:sz w:val="16"/>
                <w:szCs w:val="16"/>
                <w:lang w:val="fr-BE"/>
              </w:rPr>
            </w:pPr>
            <w:r w:rsidRPr="0024468B">
              <w:rPr>
                <w:noProof/>
                <w:sz w:val="16"/>
                <w:szCs w:val="16"/>
                <w:lang w:val="fr-BE"/>
              </w:rPr>
              <w:t>CO06</w:t>
            </w:r>
          </w:p>
        </w:tc>
        <w:tc>
          <w:tcPr>
            <w:tcW w:w="0" w:type="auto"/>
            <w:shd w:val="clear" w:color="auto" w:fill="auto"/>
          </w:tcPr>
          <w:p w14:paraId="07A965B8" w14:textId="77777777" w:rsidR="008C5CFA" w:rsidRPr="0024468B" w:rsidRDefault="00E82A60" w:rsidP="00300A01">
            <w:pPr>
              <w:spacing w:before="0" w:after="0"/>
              <w:rPr>
                <w:sz w:val="16"/>
                <w:szCs w:val="16"/>
                <w:lang w:val="fr-BE"/>
              </w:rPr>
            </w:pPr>
            <w:r w:rsidRPr="0024468B">
              <w:rPr>
                <w:noProof/>
                <w:sz w:val="16"/>
                <w:szCs w:val="16"/>
                <w:lang w:val="fr-BE"/>
              </w:rPr>
              <w:t>Inwestycje produkcyjne: inwestycje prywatne uzupełniające wsparcie publiczne dla przedsiębiorstw (dotacje)</w:t>
            </w:r>
          </w:p>
        </w:tc>
        <w:tc>
          <w:tcPr>
            <w:tcW w:w="0" w:type="auto"/>
          </w:tcPr>
          <w:p w14:paraId="08AFFDEB"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62ACCB14"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19F7ACA3"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4DA6B20B"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0F093F1E"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70C723AF"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r w:rsidR="006B2EC1" w14:paraId="2B6C424D" w14:textId="77777777" w:rsidTr="0047688D">
        <w:tc>
          <w:tcPr>
            <w:tcW w:w="0" w:type="auto"/>
          </w:tcPr>
          <w:p w14:paraId="76153670" w14:textId="77777777" w:rsidR="008C5CFA" w:rsidRPr="0024468B" w:rsidRDefault="00E82A60" w:rsidP="00300A01">
            <w:pPr>
              <w:spacing w:before="0" w:after="0"/>
              <w:rPr>
                <w:sz w:val="16"/>
                <w:szCs w:val="16"/>
                <w:lang w:val="fr-BE"/>
              </w:rPr>
            </w:pPr>
            <w:r>
              <w:rPr>
                <w:noProof/>
                <w:sz w:val="16"/>
                <w:szCs w:val="16"/>
                <w:lang w:val="fr-BE"/>
              </w:rPr>
              <w:t>F</w:t>
            </w:r>
          </w:p>
        </w:tc>
        <w:tc>
          <w:tcPr>
            <w:tcW w:w="0" w:type="auto"/>
            <w:shd w:val="clear" w:color="auto" w:fill="auto"/>
          </w:tcPr>
          <w:p w14:paraId="26D65D13" w14:textId="77777777" w:rsidR="008C5CFA" w:rsidRPr="0024468B" w:rsidRDefault="00E82A60" w:rsidP="00300A01">
            <w:pPr>
              <w:spacing w:before="0" w:after="0"/>
              <w:rPr>
                <w:sz w:val="16"/>
                <w:szCs w:val="16"/>
                <w:lang w:val="fr-BE"/>
              </w:rPr>
            </w:pPr>
            <w:r w:rsidRPr="0024468B">
              <w:rPr>
                <w:noProof/>
                <w:sz w:val="16"/>
                <w:szCs w:val="16"/>
                <w:lang w:val="fr-BE"/>
              </w:rPr>
              <w:t>CO34</w:t>
            </w:r>
          </w:p>
        </w:tc>
        <w:tc>
          <w:tcPr>
            <w:tcW w:w="0" w:type="auto"/>
            <w:shd w:val="clear" w:color="auto" w:fill="auto"/>
          </w:tcPr>
          <w:p w14:paraId="08BD7B72" w14:textId="77777777" w:rsidR="008C5CFA" w:rsidRPr="0024468B" w:rsidRDefault="00E82A60" w:rsidP="00300A01">
            <w:pPr>
              <w:spacing w:before="0" w:after="0"/>
              <w:rPr>
                <w:sz w:val="16"/>
                <w:szCs w:val="16"/>
                <w:lang w:val="fr-BE"/>
              </w:rPr>
            </w:pPr>
            <w:r w:rsidRPr="0024468B">
              <w:rPr>
                <w:noProof/>
                <w:sz w:val="16"/>
                <w:szCs w:val="16"/>
                <w:lang w:val="fr-BE"/>
              </w:rPr>
              <w:t>Redukcja emisji gazów cieplarnianych: szacowany roczny spadek emisji gazów cieplarnianych</w:t>
            </w:r>
          </w:p>
        </w:tc>
        <w:tc>
          <w:tcPr>
            <w:tcW w:w="0" w:type="auto"/>
          </w:tcPr>
          <w:p w14:paraId="68357A36"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669E537D"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62F5D580"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0C0C6958"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53320047"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40417D2F"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r w:rsidR="006B2EC1" w14:paraId="7461F9EC" w14:textId="77777777" w:rsidTr="0047688D">
        <w:tc>
          <w:tcPr>
            <w:tcW w:w="0" w:type="auto"/>
          </w:tcPr>
          <w:p w14:paraId="73384FB9" w14:textId="77777777" w:rsidR="008C5CFA" w:rsidRPr="0024468B" w:rsidRDefault="00E82A60" w:rsidP="00300A01">
            <w:pPr>
              <w:spacing w:before="0" w:after="0"/>
              <w:rPr>
                <w:sz w:val="16"/>
                <w:szCs w:val="16"/>
                <w:lang w:val="fr-BE"/>
              </w:rPr>
            </w:pPr>
            <w:r>
              <w:rPr>
                <w:noProof/>
                <w:sz w:val="16"/>
                <w:szCs w:val="16"/>
                <w:lang w:val="fr-BE"/>
              </w:rPr>
              <w:t>S</w:t>
            </w:r>
          </w:p>
        </w:tc>
        <w:tc>
          <w:tcPr>
            <w:tcW w:w="0" w:type="auto"/>
            <w:shd w:val="clear" w:color="auto" w:fill="auto"/>
          </w:tcPr>
          <w:p w14:paraId="52575E8C" w14:textId="77777777" w:rsidR="008C5CFA" w:rsidRPr="0024468B" w:rsidRDefault="00E82A60" w:rsidP="00300A01">
            <w:pPr>
              <w:spacing w:before="0" w:after="0"/>
              <w:rPr>
                <w:sz w:val="16"/>
                <w:szCs w:val="16"/>
                <w:lang w:val="fr-BE"/>
              </w:rPr>
            </w:pPr>
            <w:r w:rsidRPr="0024468B">
              <w:rPr>
                <w:noProof/>
                <w:sz w:val="16"/>
                <w:szCs w:val="16"/>
                <w:lang w:val="fr-BE"/>
              </w:rPr>
              <w:t>CO34</w:t>
            </w:r>
          </w:p>
        </w:tc>
        <w:tc>
          <w:tcPr>
            <w:tcW w:w="0" w:type="auto"/>
            <w:shd w:val="clear" w:color="auto" w:fill="auto"/>
          </w:tcPr>
          <w:p w14:paraId="7CD301E3" w14:textId="77777777" w:rsidR="008C5CFA" w:rsidRPr="0024468B" w:rsidRDefault="00E82A60" w:rsidP="00300A01">
            <w:pPr>
              <w:spacing w:before="0" w:after="0"/>
              <w:rPr>
                <w:sz w:val="16"/>
                <w:szCs w:val="16"/>
                <w:lang w:val="fr-BE"/>
              </w:rPr>
            </w:pPr>
            <w:r w:rsidRPr="0024468B">
              <w:rPr>
                <w:noProof/>
                <w:sz w:val="16"/>
                <w:szCs w:val="16"/>
                <w:lang w:val="fr-BE"/>
              </w:rPr>
              <w:t>Redukcja emisji gazów cieplarnianych: szacowany roczny spadek emisji gazów cieplarnianych</w:t>
            </w:r>
          </w:p>
        </w:tc>
        <w:tc>
          <w:tcPr>
            <w:tcW w:w="0" w:type="auto"/>
          </w:tcPr>
          <w:p w14:paraId="45FC6A49"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7F864011"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5C54CC4D"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3C2E9731"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626AF7E2"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3CB48513"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r w:rsidR="006B2EC1" w14:paraId="1226BA93" w14:textId="77777777" w:rsidTr="0047688D">
        <w:tc>
          <w:tcPr>
            <w:tcW w:w="0" w:type="auto"/>
          </w:tcPr>
          <w:p w14:paraId="6DBDD2A2" w14:textId="77777777" w:rsidR="008C5CFA" w:rsidRPr="0024468B" w:rsidRDefault="00E82A60" w:rsidP="00300A01">
            <w:pPr>
              <w:spacing w:before="0" w:after="0"/>
              <w:rPr>
                <w:sz w:val="16"/>
                <w:szCs w:val="16"/>
                <w:lang w:val="fr-BE"/>
              </w:rPr>
            </w:pPr>
            <w:r>
              <w:rPr>
                <w:noProof/>
                <w:sz w:val="16"/>
                <w:szCs w:val="16"/>
                <w:lang w:val="fr-BE"/>
              </w:rPr>
              <w:t>F</w:t>
            </w:r>
          </w:p>
        </w:tc>
        <w:tc>
          <w:tcPr>
            <w:tcW w:w="0" w:type="auto"/>
            <w:shd w:val="clear" w:color="auto" w:fill="auto"/>
          </w:tcPr>
          <w:p w14:paraId="26469374" w14:textId="77777777" w:rsidR="008C5CFA" w:rsidRPr="0024468B" w:rsidRDefault="00E82A60" w:rsidP="00300A01">
            <w:pPr>
              <w:spacing w:before="0" w:after="0"/>
              <w:rPr>
                <w:sz w:val="16"/>
                <w:szCs w:val="16"/>
                <w:lang w:val="fr-BE"/>
              </w:rPr>
            </w:pPr>
            <w:r>
              <w:rPr>
                <w:noProof/>
                <w:sz w:val="16"/>
                <w:szCs w:val="16"/>
                <w:lang w:val="fr-BE"/>
              </w:rPr>
              <w:t>31</w:t>
            </w:r>
          </w:p>
        </w:tc>
        <w:tc>
          <w:tcPr>
            <w:tcW w:w="0" w:type="auto"/>
            <w:shd w:val="clear" w:color="auto" w:fill="auto"/>
          </w:tcPr>
          <w:p w14:paraId="7C9393B1" w14:textId="77777777" w:rsidR="008C5CFA" w:rsidRPr="0024468B" w:rsidRDefault="00E82A60" w:rsidP="00300A01">
            <w:pPr>
              <w:spacing w:before="0" w:after="0"/>
              <w:rPr>
                <w:sz w:val="16"/>
                <w:szCs w:val="16"/>
                <w:lang w:val="fr-BE"/>
              </w:rPr>
            </w:pPr>
            <w:r>
              <w:rPr>
                <w:noProof/>
                <w:sz w:val="16"/>
                <w:szCs w:val="16"/>
                <w:lang w:val="fr-BE"/>
              </w:rPr>
              <w:t>Liczba przedsiębiorstw, które w wyniku wsparcia poprawiły efektywność energetyczną</w:t>
            </w:r>
          </w:p>
        </w:tc>
        <w:tc>
          <w:tcPr>
            <w:tcW w:w="0" w:type="auto"/>
          </w:tcPr>
          <w:p w14:paraId="4495E33D"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453B7167"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147A58E2"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34B08F1F"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746F7ADD"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73C971FC"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r w:rsidR="006B2EC1" w14:paraId="2D97CFFB" w14:textId="77777777" w:rsidTr="0047688D">
        <w:tc>
          <w:tcPr>
            <w:tcW w:w="0" w:type="auto"/>
          </w:tcPr>
          <w:p w14:paraId="72D04DC6" w14:textId="77777777" w:rsidR="008C5CFA" w:rsidRPr="0024468B" w:rsidRDefault="00E82A60" w:rsidP="00300A01">
            <w:pPr>
              <w:spacing w:before="0" w:after="0"/>
              <w:rPr>
                <w:sz w:val="16"/>
                <w:szCs w:val="16"/>
                <w:lang w:val="fr-BE"/>
              </w:rPr>
            </w:pPr>
            <w:r>
              <w:rPr>
                <w:noProof/>
                <w:sz w:val="16"/>
                <w:szCs w:val="16"/>
                <w:lang w:val="fr-BE"/>
              </w:rPr>
              <w:t>S</w:t>
            </w:r>
          </w:p>
        </w:tc>
        <w:tc>
          <w:tcPr>
            <w:tcW w:w="0" w:type="auto"/>
            <w:shd w:val="clear" w:color="auto" w:fill="auto"/>
          </w:tcPr>
          <w:p w14:paraId="3C44A3DC" w14:textId="77777777" w:rsidR="008C5CFA" w:rsidRPr="0024468B" w:rsidRDefault="00E82A60" w:rsidP="00300A01">
            <w:pPr>
              <w:spacing w:before="0" w:after="0"/>
              <w:rPr>
                <w:sz w:val="16"/>
                <w:szCs w:val="16"/>
                <w:lang w:val="fr-BE"/>
              </w:rPr>
            </w:pPr>
            <w:r>
              <w:rPr>
                <w:noProof/>
                <w:sz w:val="16"/>
                <w:szCs w:val="16"/>
                <w:lang w:val="fr-BE"/>
              </w:rPr>
              <w:t>31</w:t>
            </w:r>
          </w:p>
        </w:tc>
        <w:tc>
          <w:tcPr>
            <w:tcW w:w="0" w:type="auto"/>
            <w:shd w:val="clear" w:color="auto" w:fill="auto"/>
          </w:tcPr>
          <w:p w14:paraId="304EFD60" w14:textId="77777777" w:rsidR="008C5CFA" w:rsidRPr="0024468B" w:rsidRDefault="00E82A60" w:rsidP="00300A01">
            <w:pPr>
              <w:spacing w:before="0" w:after="0"/>
              <w:rPr>
                <w:sz w:val="16"/>
                <w:szCs w:val="16"/>
                <w:lang w:val="fr-BE"/>
              </w:rPr>
            </w:pPr>
            <w:r>
              <w:rPr>
                <w:noProof/>
                <w:sz w:val="16"/>
                <w:szCs w:val="16"/>
                <w:lang w:val="fr-BE"/>
              </w:rPr>
              <w:t>Liczba przedsiębiorstw, które w wyniku wsparcia poprawiły efektywność energetyczną</w:t>
            </w:r>
          </w:p>
        </w:tc>
        <w:tc>
          <w:tcPr>
            <w:tcW w:w="0" w:type="auto"/>
          </w:tcPr>
          <w:p w14:paraId="615B062B"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7C088598"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6DFA2096"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2FC10AD0"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1BC88BD5"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77A91BAE"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bl>
    <w:p w14:paraId="3412AE12" w14:textId="77777777" w:rsidR="008C5CFA" w:rsidRDefault="008C5CFA" w:rsidP="00300A01">
      <w:pPr>
        <w:spacing w:before="0" w:after="0"/>
        <w:rPr>
          <w:lang w:val="fr-BE"/>
        </w:rPr>
      </w:pPr>
    </w:p>
    <w:p w14:paraId="4BACB2DE" w14:textId="77777777" w:rsidR="008C5CFA" w:rsidRDefault="008C5CFA" w:rsidP="00300A01">
      <w:pPr>
        <w:spacing w:before="0" w:after="0"/>
        <w:rPr>
          <w:lang w:val="fr-BE"/>
        </w:rPr>
      </w:pPr>
    </w:p>
    <w:p w14:paraId="3B56CFAE" w14:textId="77777777" w:rsidR="008C5CFA" w:rsidRDefault="00E82A60" w:rsidP="00300A01">
      <w:pPr>
        <w:spacing w:before="0" w:after="0"/>
        <w:rPr>
          <w:lang w:val="fr-BE"/>
        </w:rPr>
      </w:pPr>
      <w:r>
        <w:rPr>
          <w:lang w:val="fr-BE"/>
        </w:rPr>
        <w:br w:type="page"/>
      </w:r>
    </w:p>
    <w:p w14:paraId="0C6A28AC"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3"/>
        <w:gridCol w:w="12601"/>
      </w:tblGrid>
      <w:tr w:rsidR="006B2EC1" w14:paraId="7F490B2B" w14:textId="77777777" w:rsidTr="0047688D">
        <w:tc>
          <w:tcPr>
            <w:tcW w:w="0" w:type="auto"/>
            <w:shd w:val="clear" w:color="auto" w:fill="auto"/>
          </w:tcPr>
          <w:p w14:paraId="5FA6F585" w14:textId="77777777" w:rsidR="008C5CFA" w:rsidRPr="002124FC" w:rsidRDefault="00E82A60" w:rsidP="00300A01">
            <w:pPr>
              <w:spacing w:before="0" w:after="0"/>
              <w:rPr>
                <w:sz w:val="20"/>
                <w:szCs w:val="20"/>
                <w:lang w:val="fr-BE"/>
              </w:rPr>
            </w:pPr>
            <w:r>
              <w:rPr>
                <w:lang w:val="fr-BE"/>
              </w:rPr>
              <w:br w:type="page"/>
            </w:r>
            <w:r>
              <w:rPr>
                <w:lang w:val="fr-BE"/>
              </w:rPr>
              <w:br w:type="page"/>
            </w:r>
            <w:r>
              <w:rPr>
                <w:lang w:val="fr-BE"/>
              </w:rPr>
              <w:br w:type="page"/>
            </w:r>
            <w:r w:rsidRPr="002124FC">
              <w:rPr>
                <w:noProof/>
                <w:sz w:val="20"/>
                <w:szCs w:val="20"/>
                <w:lang w:val="fr-BE"/>
              </w:rPr>
              <w:t>Oś priorytetowa</w:t>
            </w:r>
          </w:p>
        </w:tc>
        <w:tc>
          <w:tcPr>
            <w:tcW w:w="0" w:type="auto"/>
            <w:shd w:val="clear" w:color="auto" w:fill="auto"/>
          </w:tcPr>
          <w:p w14:paraId="2325E182" w14:textId="77777777" w:rsidR="008C5CFA" w:rsidRPr="002124FC" w:rsidRDefault="00E82A60" w:rsidP="00300A01">
            <w:pPr>
              <w:spacing w:before="0" w:after="0"/>
              <w:rPr>
                <w:sz w:val="20"/>
                <w:szCs w:val="20"/>
                <w:lang w:val="fr-BE"/>
              </w:rPr>
            </w:pPr>
            <w:r>
              <w:rPr>
                <w:noProof/>
                <w:sz w:val="20"/>
                <w:szCs w:val="20"/>
                <w:lang w:val="fr-BE"/>
              </w:rPr>
              <w:t>3</w:t>
            </w:r>
            <w:r w:rsidRPr="002124FC">
              <w:rPr>
                <w:sz w:val="20"/>
                <w:szCs w:val="20"/>
                <w:lang w:val="fr-BE"/>
              </w:rPr>
              <w:t xml:space="preserve"> - </w:t>
            </w:r>
            <w:r>
              <w:rPr>
                <w:noProof/>
                <w:sz w:val="20"/>
                <w:szCs w:val="20"/>
                <w:lang w:val="fr-BE"/>
              </w:rPr>
              <w:t>Efektywna i zielona energia</w:t>
            </w:r>
          </w:p>
        </w:tc>
      </w:tr>
      <w:tr w:rsidR="006B2EC1" w14:paraId="6953CB04" w14:textId="77777777" w:rsidTr="0047688D">
        <w:tc>
          <w:tcPr>
            <w:tcW w:w="0" w:type="auto"/>
            <w:shd w:val="clear" w:color="auto" w:fill="auto"/>
          </w:tcPr>
          <w:p w14:paraId="303E73BF" w14:textId="77777777" w:rsidR="008C5CFA" w:rsidRPr="002124FC" w:rsidRDefault="00E82A60"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14:paraId="66EB3B6E" w14:textId="77777777" w:rsidR="008C5CFA" w:rsidRPr="002124FC" w:rsidRDefault="00E82A60" w:rsidP="00300A01">
            <w:pPr>
              <w:spacing w:before="0" w:after="0"/>
              <w:rPr>
                <w:sz w:val="20"/>
                <w:szCs w:val="20"/>
                <w:lang w:val="fr-BE"/>
              </w:rPr>
            </w:pPr>
            <w:r w:rsidRPr="002124FC">
              <w:rPr>
                <w:noProof/>
                <w:sz w:val="20"/>
                <w:szCs w:val="20"/>
                <w:lang w:val="fr-BE"/>
              </w:rPr>
              <w:t>4b</w:t>
            </w:r>
            <w:r w:rsidRPr="002124FC">
              <w:rPr>
                <w:sz w:val="20"/>
                <w:szCs w:val="20"/>
                <w:lang w:val="fr-BE"/>
              </w:rPr>
              <w:t xml:space="preserve"> - </w:t>
            </w:r>
            <w:r>
              <w:rPr>
                <w:noProof/>
                <w:sz w:val="20"/>
                <w:szCs w:val="20"/>
                <w:lang w:val="fr-BE"/>
              </w:rPr>
              <w:t>Promowanie efektywności energetycznej i korzystania z odnawialnych źródeł energii w przedsiębiorstwach</w:t>
            </w:r>
          </w:p>
        </w:tc>
      </w:tr>
      <w:tr w:rsidR="006B2EC1" w14:paraId="39453C6F" w14:textId="77777777" w:rsidTr="0047688D">
        <w:tc>
          <w:tcPr>
            <w:tcW w:w="0" w:type="auto"/>
            <w:shd w:val="clear" w:color="auto" w:fill="auto"/>
          </w:tcPr>
          <w:p w14:paraId="4EA05369" w14:textId="77777777" w:rsidR="008C5CFA" w:rsidRPr="002124FC" w:rsidRDefault="00E82A60" w:rsidP="00300A01">
            <w:pPr>
              <w:spacing w:before="0" w:after="0"/>
              <w:ind w:left="113" w:hanging="113"/>
              <w:rPr>
                <w:sz w:val="20"/>
                <w:szCs w:val="20"/>
                <w:lang w:val="fr-BE"/>
              </w:rPr>
            </w:pPr>
            <w:r>
              <w:rPr>
                <w:noProof/>
                <w:sz w:val="20"/>
                <w:szCs w:val="20"/>
                <w:lang w:val="fr-BE"/>
              </w:rPr>
              <w:t>Cel szczegółowy</w:t>
            </w:r>
          </w:p>
        </w:tc>
        <w:tc>
          <w:tcPr>
            <w:tcW w:w="0" w:type="auto"/>
            <w:shd w:val="clear" w:color="auto" w:fill="auto"/>
          </w:tcPr>
          <w:p w14:paraId="77ACBFC1" w14:textId="77777777" w:rsidR="008C5CFA" w:rsidRPr="002124FC" w:rsidRDefault="00E82A60" w:rsidP="00300A01">
            <w:pPr>
              <w:spacing w:before="0" w:after="0"/>
              <w:rPr>
                <w:sz w:val="20"/>
                <w:szCs w:val="20"/>
                <w:lang w:val="fr-BE"/>
              </w:rPr>
            </w:pPr>
            <w:r>
              <w:rPr>
                <w:noProof/>
                <w:sz w:val="20"/>
                <w:szCs w:val="20"/>
                <w:lang w:val="fr-BE"/>
              </w:rPr>
              <w:t>1</w:t>
            </w:r>
            <w:r>
              <w:rPr>
                <w:sz w:val="20"/>
                <w:szCs w:val="20"/>
                <w:lang w:val="fr-BE"/>
              </w:rPr>
              <w:t xml:space="preserve"> - </w:t>
            </w:r>
            <w:r>
              <w:rPr>
                <w:noProof/>
                <w:sz w:val="20"/>
                <w:szCs w:val="20"/>
                <w:lang w:val="fr-BE"/>
              </w:rPr>
              <w:t>Zwiększona efektywności energetyczna przedsiębiorstw prowadzących  działalność w województwie świętokrzyskim</w:t>
            </w:r>
          </w:p>
        </w:tc>
      </w:tr>
    </w:tbl>
    <w:p w14:paraId="302C48C4" w14:textId="77777777" w:rsidR="008C5CFA" w:rsidRDefault="008C5CFA" w:rsidP="00300A01">
      <w:pPr>
        <w:spacing w:before="0" w:after="0"/>
        <w:rPr>
          <w:lang w:val="fr-BE"/>
        </w:rPr>
      </w:pPr>
    </w:p>
    <w:p w14:paraId="2DF043E5" w14:textId="77777777" w:rsidR="008C5CFA" w:rsidRDefault="00E82A60" w:rsidP="00300A01">
      <w:pPr>
        <w:spacing w:before="0" w:after="0"/>
        <w:rPr>
          <w:lang w:val="fr-BE"/>
        </w:rPr>
      </w:pPr>
      <w:r>
        <w:rPr>
          <w:lang w:val="fr-BE"/>
        </w:rPr>
        <w:t xml:space="preserve">Tabela 1: Wskaźniki rezultatu dla EFRR i Funduszu Spójności (według osi priorytetowej i celu szczegółowego); ma zastosowanie także do osi priorytetowej </w:t>
      </w:r>
      <w:r>
        <w:t>"</w:t>
      </w:r>
      <w:r>
        <w:rPr>
          <w:lang w:val="fr-BE"/>
        </w:rPr>
        <w:t>Pomoc techniczna</w:t>
      </w:r>
      <w:r>
        <w:t>"</w:t>
      </w:r>
    </w:p>
    <w:p w14:paraId="756986F9"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
        <w:gridCol w:w="2466"/>
        <w:gridCol w:w="1131"/>
        <w:gridCol w:w="1223"/>
        <w:gridCol w:w="1111"/>
        <w:gridCol w:w="924"/>
        <w:gridCol w:w="1468"/>
        <w:gridCol w:w="978"/>
        <w:gridCol w:w="1200"/>
        <w:gridCol w:w="4297"/>
      </w:tblGrid>
      <w:tr w:rsidR="006B2EC1" w14:paraId="4D76938E" w14:textId="77777777" w:rsidTr="0047688D">
        <w:tc>
          <w:tcPr>
            <w:tcW w:w="0" w:type="auto"/>
            <w:shd w:val="clear" w:color="auto" w:fill="auto"/>
          </w:tcPr>
          <w:p w14:paraId="6C6BF60A" w14:textId="77777777" w:rsidR="008C5CFA" w:rsidRPr="0024468B" w:rsidRDefault="00E82A60" w:rsidP="00300A01">
            <w:pPr>
              <w:spacing w:before="0" w:after="0"/>
              <w:rPr>
                <w:sz w:val="16"/>
                <w:szCs w:val="16"/>
                <w:lang w:val="fr-BE"/>
              </w:rPr>
            </w:pPr>
            <w:r w:rsidRPr="0024468B">
              <w:rPr>
                <w:noProof/>
                <w:sz w:val="16"/>
                <w:szCs w:val="16"/>
                <w:lang w:val="fr-BE"/>
              </w:rPr>
              <w:t>ID</w:t>
            </w:r>
          </w:p>
        </w:tc>
        <w:tc>
          <w:tcPr>
            <w:tcW w:w="0" w:type="auto"/>
            <w:shd w:val="clear" w:color="auto" w:fill="auto"/>
          </w:tcPr>
          <w:p w14:paraId="04CAD9F1" w14:textId="77777777" w:rsidR="008C5CFA" w:rsidRPr="0024468B" w:rsidRDefault="00E82A60" w:rsidP="00300A01">
            <w:pPr>
              <w:spacing w:before="0" w:after="0"/>
              <w:rPr>
                <w:sz w:val="16"/>
                <w:szCs w:val="16"/>
                <w:lang w:val="fr-BE"/>
              </w:rPr>
            </w:pPr>
            <w:r w:rsidRPr="0024468B">
              <w:rPr>
                <w:noProof/>
                <w:sz w:val="16"/>
                <w:szCs w:val="16"/>
                <w:lang w:val="fr-BE"/>
              </w:rPr>
              <w:t>Wskaźnik</w:t>
            </w:r>
          </w:p>
        </w:tc>
        <w:tc>
          <w:tcPr>
            <w:tcW w:w="0" w:type="auto"/>
            <w:shd w:val="clear" w:color="auto" w:fill="auto"/>
          </w:tcPr>
          <w:p w14:paraId="7517B336" w14:textId="77777777" w:rsidR="008C5CFA" w:rsidRPr="0024468B" w:rsidRDefault="00E82A60" w:rsidP="00300A01">
            <w:pPr>
              <w:spacing w:before="0" w:after="0"/>
              <w:rPr>
                <w:sz w:val="16"/>
                <w:szCs w:val="16"/>
                <w:lang w:val="fr-BE"/>
              </w:rPr>
            </w:pPr>
            <w:r w:rsidRPr="0024468B">
              <w:rPr>
                <w:noProof/>
                <w:sz w:val="16"/>
                <w:szCs w:val="16"/>
                <w:lang w:val="fr-BE"/>
              </w:rPr>
              <w:t>Jednostka miary</w:t>
            </w:r>
          </w:p>
        </w:tc>
        <w:tc>
          <w:tcPr>
            <w:tcW w:w="0" w:type="auto"/>
            <w:shd w:val="clear" w:color="auto" w:fill="auto"/>
          </w:tcPr>
          <w:p w14:paraId="29431575" w14:textId="77777777" w:rsidR="008C5CFA" w:rsidRPr="0024468B" w:rsidRDefault="00E82A60" w:rsidP="00300A01">
            <w:pPr>
              <w:spacing w:before="0" w:after="0"/>
              <w:rPr>
                <w:sz w:val="16"/>
                <w:szCs w:val="16"/>
                <w:lang w:val="fr-BE"/>
              </w:rPr>
            </w:pPr>
            <w:r w:rsidRPr="0024468B">
              <w:rPr>
                <w:noProof/>
                <w:sz w:val="16"/>
                <w:szCs w:val="16"/>
                <w:lang w:val="fr-BE"/>
              </w:rPr>
              <w:t>Kategoria regionu</w:t>
            </w:r>
          </w:p>
        </w:tc>
        <w:tc>
          <w:tcPr>
            <w:tcW w:w="0" w:type="auto"/>
            <w:shd w:val="clear" w:color="auto" w:fill="auto"/>
          </w:tcPr>
          <w:p w14:paraId="0D9AE048" w14:textId="77777777" w:rsidR="008C5CFA" w:rsidRPr="0024468B" w:rsidRDefault="00E82A60" w:rsidP="00300A01">
            <w:pPr>
              <w:spacing w:before="0" w:after="0"/>
              <w:rPr>
                <w:sz w:val="16"/>
                <w:szCs w:val="16"/>
                <w:lang w:val="fr-BE"/>
              </w:rPr>
            </w:pPr>
            <w:r w:rsidRPr="0024468B">
              <w:rPr>
                <w:noProof/>
                <w:sz w:val="16"/>
                <w:szCs w:val="16"/>
                <w:lang w:val="fr-BE"/>
              </w:rPr>
              <w:t>Wartość bazowa</w:t>
            </w:r>
          </w:p>
        </w:tc>
        <w:tc>
          <w:tcPr>
            <w:tcW w:w="0" w:type="auto"/>
            <w:shd w:val="clear" w:color="auto" w:fill="auto"/>
          </w:tcPr>
          <w:p w14:paraId="099AD52B" w14:textId="77777777" w:rsidR="008C5CFA" w:rsidRPr="0024468B" w:rsidRDefault="00E82A60" w:rsidP="00300A01">
            <w:pPr>
              <w:spacing w:before="0" w:after="0"/>
              <w:rPr>
                <w:sz w:val="16"/>
                <w:szCs w:val="16"/>
                <w:lang w:val="fr-BE"/>
              </w:rPr>
            </w:pPr>
            <w:r w:rsidRPr="0024468B">
              <w:rPr>
                <w:noProof/>
                <w:sz w:val="16"/>
                <w:szCs w:val="16"/>
                <w:lang w:val="fr-BE"/>
              </w:rPr>
              <w:t>Rok bazowy</w:t>
            </w:r>
          </w:p>
        </w:tc>
        <w:tc>
          <w:tcPr>
            <w:tcW w:w="0" w:type="auto"/>
            <w:shd w:val="clear" w:color="auto" w:fill="auto"/>
          </w:tcPr>
          <w:p w14:paraId="13F09024" w14:textId="77777777" w:rsidR="008C5CFA" w:rsidRPr="0024468B" w:rsidRDefault="00E82A60" w:rsidP="00300A01">
            <w:pPr>
              <w:spacing w:before="0" w:after="0"/>
              <w:rPr>
                <w:sz w:val="16"/>
                <w:szCs w:val="16"/>
                <w:lang w:val="fr-BE"/>
              </w:rPr>
            </w:pPr>
            <w:r w:rsidRPr="0024468B">
              <w:rPr>
                <w:noProof/>
                <w:sz w:val="16"/>
                <w:szCs w:val="16"/>
                <w:lang w:val="fr-BE"/>
              </w:rPr>
              <w:t>Wartość docelowa 2023</w:t>
            </w:r>
          </w:p>
        </w:tc>
        <w:tc>
          <w:tcPr>
            <w:tcW w:w="0" w:type="auto"/>
            <w:shd w:val="clear" w:color="auto" w:fill="auto"/>
          </w:tcPr>
          <w:p w14:paraId="0ED66D6D" w14:textId="77777777" w:rsidR="008C5CFA" w:rsidRPr="0024468B" w:rsidRDefault="00E82A60" w:rsidP="00300A01">
            <w:pPr>
              <w:spacing w:before="0" w:after="0"/>
              <w:jc w:val="center"/>
              <w:rPr>
                <w:sz w:val="16"/>
                <w:szCs w:val="16"/>
                <w:lang w:val="fr-BE"/>
              </w:rPr>
            </w:pPr>
            <w:r>
              <w:rPr>
                <w:sz w:val="16"/>
                <w:szCs w:val="16"/>
                <w:lang w:val="fr-BE"/>
              </w:rPr>
              <w:t xml:space="preserve">2019 </w:t>
            </w:r>
            <w:r>
              <w:rPr>
                <w:noProof/>
                <w:sz w:val="16"/>
                <w:szCs w:val="16"/>
                <w:lang w:val="fr-BE"/>
              </w:rPr>
              <w:t>Ogółem</w:t>
            </w:r>
          </w:p>
        </w:tc>
        <w:tc>
          <w:tcPr>
            <w:tcW w:w="0" w:type="auto"/>
            <w:shd w:val="clear" w:color="auto" w:fill="auto"/>
          </w:tcPr>
          <w:p w14:paraId="5330B8DA" w14:textId="77777777" w:rsidR="008C5CFA" w:rsidRPr="0024468B" w:rsidRDefault="00E82A60" w:rsidP="00300A01">
            <w:pPr>
              <w:spacing w:before="0" w:after="0"/>
              <w:jc w:val="center"/>
              <w:rPr>
                <w:sz w:val="16"/>
                <w:szCs w:val="16"/>
                <w:lang w:val="fr-BE"/>
              </w:rPr>
            </w:pPr>
            <w:r>
              <w:rPr>
                <w:sz w:val="16"/>
                <w:szCs w:val="16"/>
                <w:lang w:val="fr-BE"/>
              </w:rPr>
              <w:t xml:space="preserve">2019 </w:t>
            </w:r>
            <w:r w:rsidRPr="0024468B">
              <w:rPr>
                <w:noProof/>
                <w:sz w:val="16"/>
                <w:szCs w:val="16"/>
                <w:lang w:val="fr-BE"/>
              </w:rPr>
              <w:t>Jakościowe</w:t>
            </w:r>
          </w:p>
        </w:tc>
        <w:tc>
          <w:tcPr>
            <w:tcW w:w="0" w:type="auto"/>
            <w:shd w:val="clear" w:color="auto" w:fill="auto"/>
          </w:tcPr>
          <w:p w14:paraId="0F305D43" w14:textId="77777777" w:rsidR="008C5CFA" w:rsidRPr="0024468B" w:rsidRDefault="00E82A60" w:rsidP="00300A01">
            <w:pPr>
              <w:spacing w:before="0" w:after="0"/>
              <w:jc w:val="center"/>
              <w:rPr>
                <w:sz w:val="16"/>
                <w:szCs w:val="16"/>
                <w:lang w:val="fr-BE"/>
              </w:rPr>
            </w:pPr>
            <w:r w:rsidRPr="0024468B">
              <w:rPr>
                <w:noProof/>
                <w:sz w:val="16"/>
                <w:szCs w:val="16"/>
                <w:lang w:val="fr-BE"/>
              </w:rPr>
              <w:t>Uwagi</w:t>
            </w:r>
          </w:p>
        </w:tc>
      </w:tr>
      <w:tr w:rsidR="006B2EC1" w14:paraId="6D80CCB0" w14:textId="77777777" w:rsidTr="0047688D">
        <w:tc>
          <w:tcPr>
            <w:tcW w:w="0" w:type="auto"/>
            <w:shd w:val="clear" w:color="auto" w:fill="auto"/>
          </w:tcPr>
          <w:p w14:paraId="59077B9C" w14:textId="77777777" w:rsidR="008C5CFA" w:rsidRPr="0024468B" w:rsidRDefault="00E82A60" w:rsidP="00300A01">
            <w:pPr>
              <w:spacing w:before="0" w:after="0"/>
              <w:rPr>
                <w:sz w:val="16"/>
                <w:szCs w:val="16"/>
                <w:lang w:val="fr-BE"/>
              </w:rPr>
            </w:pPr>
            <w:r w:rsidRPr="0024468B">
              <w:rPr>
                <w:noProof/>
                <w:sz w:val="16"/>
                <w:szCs w:val="16"/>
                <w:lang w:val="fr-BE"/>
              </w:rPr>
              <w:t>29</w:t>
            </w:r>
          </w:p>
        </w:tc>
        <w:tc>
          <w:tcPr>
            <w:tcW w:w="0" w:type="auto"/>
            <w:shd w:val="clear" w:color="auto" w:fill="auto"/>
          </w:tcPr>
          <w:p w14:paraId="0F1E0563" w14:textId="77777777" w:rsidR="008C5CFA" w:rsidRPr="0024468B" w:rsidRDefault="00E82A60" w:rsidP="00300A01">
            <w:pPr>
              <w:spacing w:before="0" w:after="0"/>
              <w:rPr>
                <w:sz w:val="16"/>
                <w:szCs w:val="16"/>
                <w:lang w:val="fr-BE"/>
              </w:rPr>
            </w:pPr>
            <w:r w:rsidRPr="0024468B">
              <w:rPr>
                <w:noProof/>
                <w:sz w:val="16"/>
                <w:szCs w:val="16"/>
                <w:lang w:val="fr-BE"/>
              </w:rPr>
              <w:t>Zużycie energii elektrycznej na 1 mln zł PKB</w:t>
            </w:r>
          </w:p>
        </w:tc>
        <w:tc>
          <w:tcPr>
            <w:tcW w:w="0" w:type="auto"/>
            <w:shd w:val="clear" w:color="auto" w:fill="auto"/>
          </w:tcPr>
          <w:p w14:paraId="0DC16828" w14:textId="77777777" w:rsidR="008C5CFA" w:rsidRPr="0024468B" w:rsidRDefault="00E82A60" w:rsidP="00300A01">
            <w:pPr>
              <w:spacing w:before="0" w:after="0"/>
              <w:rPr>
                <w:sz w:val="16"/>
                <w:szCs w:val="16"/>
                <w:lang w:val="fr-BE"/>
              </w:rPr>
            </w:pPr>
            <w:r w:rsidRPr="0024468B">
              <w:rPr>
                <w:noProof/>
                <w:sz w:val="16"/>
                <w:szCs w:val="16"/>
                <w:lang w:val="fr-BE"/>
              </w:rPr>
              <w:t>GWh</w:t>
            </w:r>
          </w:p>
        </w:tc>
        <w:tc>
          <w:tcPr>
            <w:tcW w:w="0" w:type="auto"/>
            <w:shd w:val="clear" w:color="auto" w:fill="auto"/>
          </w:tcPr>
          <w:p w14:paraId="4FC57B0E" w14:textId="77777777" w:rsidR="008C5CFA" w:rsidRPr="0024468B" w:rsidRDefault="00E82A60"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14:paraId="660EAE96" w14:textId="77777777" w:rsidR="008C5CFA" w:rsidRPr="00C3185A" w:rsidRDefault="00E82A60" w:rsidP="00300A01">
            <w:pPr>
              <w:spacing w:before="0" w:after="0"/>
              <w:jc w:val="right"/>
              <w:rPr>
                <w:sz w:val="16"/>
                <w:szCs w:val="16"/>
                <w:lang w:val="fr-BE"/>
              </w:rPr>
            </w:pPr>
            <w:r w:rsidRPr="00C3185A">
              <w:rPr>
                <w:noProof/>
                <w:sz w:val="16"/>
                <w:szCs w:val="16"/>
                <w:lang w:val="fr-BE"/>
              </w:rPr>
              <w:t>0,13</w:t>
            </w:r>
          </w:p>
        </w:tc>
        <w:tc>
          <w:tcPr>
            <w:tcW w:w="0" w:type="auto"/>
            <w:shd w:val="clear" w:color="auto" w:fill="auto"/>
          </w:tcPr>
          <w:p w14:paraId="5C4C9CE9" w14:textId="77777777" w:rsidR="008C5CFA" w:rsidRPr="0024468B" w:rsidRDefault="00E82A60" w:rsidP="00300A01">
            <w:pPr>
              <w:spacing w:before="0" w:after="0"/>
              <w:rPr>
                <w:sz w:val="16"/>
                <w:szCs w:val="16"/>
                <w:lang w:val="fr-BE"/>
              </w:rPr>
            </w:pPr>
            <w:r w:rsidRPr="0024468B">
              <w:rPr>
                <w:noProof/>
                <w:sz w:val="16"/>
                <w:szCs w:val="16"/>
                <w:lang w:val="fr-BE"/>
              </w:rPr>
              <w:t>2011</w:t>
            </w:r>
          </w:p>
        </w:tc>
        <w:tc>
          <w:tcPr>
            <w:tcW w:w="0" w:type="auto"/>
            <w:shd w:val="clear" w:color="auto" w:fill="auto"/>
          </w:tcPr>
          <w:p w14:paraId="022C907B" w14:textId="77777777" w:rsidR="008C5CFA" w:rsidRPr="0024468B" w:rsidRDefault="00E82A60" w:rsidP="00300A01">
            <w:pPr>
              <w:spacing w:before="0" w:after="0"/>
              <w:jc w:val="right"/>
              <w:rPr>
                <w:sz w:val="16"/>
                <w:szCs w:val="16"/>
                <w:lang w:val="fr-BE"/>
              </w:rPr>
            </w:pPr>
            <w:r w:rsidRPr="0024468B">
              <w:rPr>
                <w:noProof/>
                <w:sz w:val="16"/>
                <w:szCs w:val="16"/>
                <w:lang w:val="fr-BE"/>
              </w:rPr>
              <w:t>0,12</w:t>
            </w:r>
          </w:p>
        </w:tc>
        <w:tc>
          <w:tcPr>
            <w:tcW w:w="0" w:type="auto"/>
            <w:shd w:val="clear" w:color="auto" w:fill="auto"/>
          </w:tcPr>
          <w:p w14:paraId="02AF7F80"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21BB098D" w14:textId="77777777" w:rsidR="008C5CFA" w:rsidRPr="0024468B" w:rsidRDefault="008C5CFA" w:rsidP="00300A01">
            <w:pPr>
              <w:spacing w:before="0" w:after="0"/>
              <w:jc w:val="right"/>
              <w:rPr>
                <w:sz w:val="16"/>
                <w:szCs w:val="16"/>
                <w:lang w:val="fr-BE"/>
              </w:rPr>
            </w:pPr>
          </w:p>
        </w:tc>
        <w:tc>
          <w:tcPr>
            <w:tcW w:w="0" w:type="auto"/>
            <w:shd w:val="clear" w:color="auto" w:fill="auto"/>
          </w:tcPr>
          <w:p w14:paraId="1F6A2B9B" w14:textId="77777777" w:rsidR="008C5CFA" w:rsidRPr="0024468B" w:rsidRDefault="00E82A60" w:rsidP="00300A01">
            <w:pPr>
              <w:spacing w:before="0" w:after="0"/>
              <w:rPr>
                <w:sz w:val="16"/>
                <w:szCs w:val="16"/>
                <w:lang w:val="fr-BE"/>
              </w:rPr>
            </w:pPr>
            <w:r w:rsidRPr="0024468B">
              <w:rPr>
                <w:noProof/>
                <w:sz w:val="16"/>
                <w:szCs w:val="16"/>
                <w:lang w:val="fr-BE"/>
              </w:rPr>
              <w:t>Brak aktualnych danych dostępnych w statystykach publicznych (systemie STRATEG)</w:t>
            </w:r>
          </w:p>
          <w:p w14:paraId="47178CC9" w14:textId="77777777" w:rsidR="008C5CFA" w:rsidRPr="0024468B" w:rsidRDefault="008C5CFA" w:rsidP="00300A01">
            <w:pPr>
              <w:spacing w:before="0" w:after="0"/>
              <w:rPr>
                <w:sz w:val="16"/>
                <w:szCs w:val="16"/>
                <w:lang w:val="fr-BE"/>
              </w:rPr>
            </w:pPr>
          </w:p>
        </w:tc>
      </w:tr>
    </w:tbl>
    <w:p w14:paraId="01397BB2"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
        <w:gridCol w:w="3629"/>
        <w:gridCol w:w="1261"/>
        <w:gridCol w:w="1517"/>
        <w:gridCol w:w="1261"/>
        <w:gridCol w:w="1517"/>
        <w:gridCol w:w="1261"/>
        <w:gridCol w:w="1517"/>
        <w:gridCol w:w="1261"/>
        <w:gridCol w:w="1517"/>
      </w:tblGrid>
      <w:tr w:rsidR="006B2EC1" w14:paraId="36D9D8E6" w14:textId="77777777" w:rsidTr="0047688D">
        <w:tc>
          <w:tcPr>
            <w:tcW w:w="0" w:type="auto"/>
            <w:shd w:val="clear" w:color="auto" w:fill="auto"/>
          </w:tcPr>
          <w:p w14:paraId="154B039B" w14:textId="77777777" w:rsidR="008C5CFA" w:rsidRPr="0024468B" w:rsidRDefault="00E82A60" w:rsidP="00300A01">
            <w:pPr>
              <w:spacing w:before="0" w:after="0"/>
              <w:rPr>
                <w:sz w:val="16"/>
                <w:szCs w:val="16"/>
                <w:lang w:val="fr-BE"/>
              </w:rPr>
            </w:pPr>
            <w:r w:rsidRPr="0024468B">
              <w:rPr>
                <w:noProof/>
                <w:sz w:val="16"/>
                <w:szCs w:val="16"/>
                <w:lang w:val="fr-BE"/>
              </w:rPr>
              <w:t>ID</w:t>
            </w:r>
          </w:p>
        </w:tc>
        <w:tc>
          <w:tcPr>
            <w:tcW w:w="0" w:type="auto"/>
            <w:shd w:val="clear" w:color="auto" w:fill="auto"/>
          </w:tcPr>
          <w:p w14:paraId="79D5FDAA" w14:textId="77777777" w:rsidR="008C5CFA" w:rsidRPr="0024468B" w:rsidRDefault="00E82A60" w:rsidP="00300A01">
            <w:pPr>
              <w:spacing w:before="0" w:after="0"/>
              <w:rPr>
                <w:sz w:val="16"/>
                <w:szCs w:val="16"/>
                <w:lang w:val="fr-BE"/>
              </w:rPr>
            </w:pPr>
            <w:r w:rsidRPr="0024468B">
              <w:rPr>
                <w:noProof/>
                <w:sz w:val="16"/>
                <w:szCs w:val="16"/>
                <w:lang w:val="fr-BE"/>
              </w:rPr>
              <w:t>Wskaźnik</w:t>
            </w:r>
          </w:p>
        </w:tc>
        <w:tc>
          <w:tcPr>
            <w:tcW w:w="0" w:type="auto"/>
          </w:tcPr>
          <w:p w14:paraId="21715C7B" w14:textId="77777777" w:rsidR="008C5CFA" w:rsidRPr="0024468B" w:rsidRDefault="00E82A60" w:rsidP="00300A01">
            <w:pPr>
              <w:spacing w:before="0" w:after="0"/>
              <w:jc w:val="center"/>
              <w:rPr>
                <w:sz w:val="16"/>
                <w:szCs w:val="16"/>
                <w:lang w:val="fr-BE"/>
              </w:rPr>
            </w:pPr>
            <w:r>
              <w:rPr>
                <w:sz w:val="16"/>
                <w:szCs w:val="16"/>
                <w:lang w:val="fr-BE"/>
              </w:rPr>
              <w:t xml:space="preserve">2018 </w:t>
            </w:r>
            <w:r>
              <w:rPr>
                <w:noProof/>
                <w:sz w:val="16"/>
                <w:szCs w:val="16"/>
                <w:lang w:val="fr-BE"/>
              </w:rPr>
              <w:t>Ogółem</w:t>
            </w:r>
          </w:p>
        </w:tc>
        <w:tc>
          <w:tcPr>
            <w:tcW w:w="0" w:type="auto"/>
          </w:tcPr>
          <w:p w14:paraId="14F5A457" w14:textId="77777777" w:rsidR="008C5CFA" w:rsidRPr="0024468B" w:rsidRDefault="00E82A60" w:rsidP="00300A01">
            <w:pPr>
              <w:spacing w:before="0" w:after="0"/>
              <w:jc w:val="center"/>
              <w:rPr>
                <w:sz w:val="16"/>
                <w:szCs w:val="16"/>
                <w:lang w:val="fr-BE"/>
              </w:rPr>
            </w:pPr>
            <w:r>
              <w:rPr>
                <w:sz w:val="16"/>
                <w:szCs w:val="16"/>
                <w:lang w:val="fr-BE"/>
              </w:rPr>
              <w:t xml:space="preserve">2018 </w:t>
            </w:r>
            <w:r w:rsidRPr="0024468B">
              <w:rPr>
                <w:noProof/>
                <w:sz w:val="16"/>
                <w:szCs w:val="16"/>
                <w:lang w:val="fr-BE"/>
              </w:rPr>
              <w:t>Jakościowe</w:t>
            </w:r>
          </w:p>
        </w:tc>
        <w:tc>
          <w:tcPr>
            <w:tcW w:w="0" w:type="auto"/>
          </w:tcPr>
          <w:p w14:paraId="2EAE664A" w14:textId="77777777" w:rsidR="008C5CFA" w:rsidRPr="0024468B" w:rsidRDefault="00E82A60" w:rsidP="00300A01">
            <w:pPr>
              <w:spacing w:before="0" w:after="0"/>
              <w:jc w:val="center"/>
              <w:rPr>
                <w:sz w:val="16"/>
                <w:szCs w:val="16"/>
                <w:lang w:val="fr-BE"/>
              </w:rPr>
            </w:pPr>
            <w:r>
              <w:rPr>
                <w:sz w:val="16"/>
                <w:szCs w:val="16"/>
                <w:lang w:val="fr-BE"/>
              </w:rPr>
              <w:t xml:space="preserve">2017 </w:t>
            </w:r>
            <w:r>
              <w:rPr>
                <w:noProof/>
                <w:sz w:val="16"/>
                <w:szCs w:val="16"/>
                <w:lang w:val="fr-BE"/>
              </w:rPr>
              <w:t>Ogółem</w:t>
            </w:r>
          </w:p>
        </w:tc>
        <w:tc>
          <w:tcPr>
            <w:tcW w:w="0" w:type="auto"/>
          </w:tcPr>
          <w:p w14:paraId="7396DFB3" w14:textId="77777777" w:rsidR="008C5CFA" w:rsidRPr="0024468B" w:rsidRDefault="00E82A60" w:rsidP="00300A01">
            <w:pPr>
              <w:spacing w:before="0" w:after="0"/>
              <w:jc w:val="center"/>
              <w:rPr>
                <w:sz w:val="16"/>
                <w:szCs w:val="16"/>
                <w:lang w:val="fr-BE"/>
              </w:rPr>
            </w:pPr>
            <w:r>
              <w:rPr>
                <w:sz w:val="16"/>
                <w:szCs w:val="16"/>
                <w:lang w:val="fr-BE"/>
              </w:rPr>
              <w:t xml:space="preserve">2017 </w:t>
            </w:r>
            <w:r w:rsidRPr="0024468B">
              <w:rPr>
                <w:noProof/>
                <w:sz w:val="16"/>
                <w:szCs w:val="16"/>
                <w:lang w:val="fr-BE"/>
              </w:rPr>
              <w:t>Jakościowe</w:t>
            </w:r>
          </w:p>
        </w:tc>
        <w:tc>
          <w:tcPr>
            <w:tcW w:w="0" w:type="auto"/>
          </w:tcPr>
          <w:p w14:paraId="7E10C66B" w14:textId="77777777" w:rsidR="008C5CFA" w:rsidRPr="0024468B" w:rsidRDefault="00E82A60" w:rsidP="00300A01">
            <w:pPr>
              <w:spacing w:before="0" w:after="0"/>
              <w:jc w:val="center"/>
              <w:rPr>
                <w:sz w:val="16"/>
                <w:szCs w:val="16"/>
                <w:lang w:val="fr-BE"/>
              </w:rPr>
            </w:pPr>
            <w:r>
              <w:rPr>
                <w:sz w:val="16"/>
                <w:szCs w:val="16"/>
                <w:lang w:val="fr-BE"/>
              </w:rPr>
              <w:t xml:space="preserve">2016 </w:t>
            </w:r>
            <w:r>
              <w:rPr>
                <w:noProof/>
                <w:sz w:val="16"/>
                <w:szCs w:val="16"/>
                <w:lang w:val="fr-BE"/>
              </w:rPr>
              <w:t>Ogółem</w:t>
            </w:r>
          </w:p>
        </w:tc>
        <w:tc>
          <w:tcPr>
            <w:tcW w:w="0" w:type="auto"/>
          </w:tcPr>
          <w:p w14:paraId="6498E264" w14:textId="77777777" w:rsidR="008C5CFA" w:rsidRPr="0024468B" w:rsidRDefault="00E82A60" w:rsidP="00300A01">
            <w:pPr>
              <w:spacing w:before="0" w:after="0"/>
              <w:jc w:val="center"/>
              <w:rPr>
                <w:sz w:val="16"/>
                <w:szCs w:val="16"/>
                <w:lang w:val="fr-BE"/>
              </w:rPr>
            </w:pPr>
            <w:r>
              <w:rPr>
                <w:sz w:val="16"/>
                <w:szCs w:val="16"/>
                <w:lang w:val="fr-BE"/>
              </w:rPr>
              <w:t xml:space="preserve">2016 </w:t>
            </w:r>
            <w:r w:rsidRPr="0024468B">
              <w:rPr>
                <w:noProof/>
                <w:sz w:val="16"/>
                <w:szCs w:val="16"/>
                <w:lang w:val="fr-BE"/>
              </w:rPr>
              <w:t>Jakościowe</w:t>
            </w:r>
          </w:p>
        </w:tc>
        <w:tc>
          <w:tcPr>
            <w:tcW w:w="0" w:type="auto"/>
          </w:tcPr>
          <w:p w14:paraId="58320958" w14:textId="77777777" w:rsidR="008C5CFA" w:rsidRPr="0024468B" w:rsidRDefault="00E82A60" w:rsidP="00300A01">
            <w:pPr>
              <w:spacing w:before="0" w:after="0"/>
              <w:jc w:val="center"/>
              <w:rPr>
                <w:sz w:val="16"/>
                <w:szCs w:val="16"/>
                <w:lang w:val="fr-BE"/>
              </w:rPr>
            </w:pPr>
            <w:r>
              <w:rPr>
                <w:sz w:val="16"/>
                <w:szCs w:val="16"/>
                <w:lang w:val="fr-BE"/>
              </w:rPr>
              <w:t xml:space="preserve">2015 </w:t>
            </w:r>
            <w:r>
              <w:rPr>
                <w:noProof/>
                <w:sz w:val="16"/>
                <w:szCs w:val="16"/>
                <w:lang w:val="fr-BE"/>
              </w:rPr>
              <w:t>Ogółem</w:t>
            </w:r>
          </w:p>
        </w:tc>
        <w:tc>
          <w:tcPr>
            <w:tcW w:w="0" w:type="auto"/>
          </w:tcPr>
          <w:p w14:paraId="129D47D8" w14:textId="77777777" w:rsidR="008C5CFA" w:rsidRPr="0024468B" w:rsidRDefault="00E82A60" w:rsidP="00300A01">
            <w:pPr>
              <w:spacing w:before="0" w:after="0"/>
              <w:jc w:val="center"/>
              <w:rPr>
                <w:sz w:val="16"/>
                <w:szCs w:val="16"/>
                <w:lang w:val="fr-BE"/>
              </w:rPr>
            </w:pPr>
            <w:r>
              <w:rPr>
                <w:sz w:val="16"/>
                <w:szCs w:val="16"/>
                <w:lang w:val="fr-BE"/>
              </w:rPr>
              <w:t xml:space="preserve">2015 </w:t>
            </w:r>
            <w:r w:rsidRPr="0024468B">
              <w:rPr>
                <w:noProof/>
                <w:sz w:val="16"/>
                <w:szCs w:val="16"/>
                <w:lang w:val="fr-BE"/>
              </w:rPr>
              <w:t>Jakościowe</w:t>
            </w:r>
          </w:p>
        </w:tc>
      </w:tr>
      <w:tr w:rsidR="006B2EC1" w14:paraId="53439C58" w14:textId="77777777" w:rsidTr="0047688D">
        <w:tc>
          <w:tcPr>
            <w:tcW w:w="0" w:type="auto"/>
            <w:shd w:val="clear" w:color="auto" w:fill="auto"/>
          </w:tcPr>
          <w:p w14:paraId="5E62C891" w14:textId="77777777" w:rsidR="008C5CFA" w:rsidRPr="0024468B" w:rsidRDefault="00E82A60" w:rsidP="00300A01">
            <w:pPr>
              <w:spacing w:before="0" w:after="0"/>
              <w:rPr>
                <w:sz w:val="16"/>
                <w:szCs w:val="16"/>
                <w:lang w:val="fr-BE"/>
              </w:rPr>
            </w:pPr>
            <w:r w:rsidRPr="0024468B">
              <w:rPr>
                <w:noProof/>
                <w:sz w:val="16"/>
                <w:szCs w:val="16"/>
                <w:lang w:val="fr-BE"/>
              </w:rPr>
              <w:t>29</w:t>
            </w:r>
          </w:p>
        </w:tc>
        <w:tc>
          <w:tcPr>
            <w:tcW w:w="0" w:type="auto"/>
            <w:shd w:val="clear" w:color="auto" w:fill="auto"/>
          </w:tcPr>
          <w:p w14:paraId="0EB55ACA" w14:textId="77777777" w:rsidR="008C5CFA" w:rsidRPr="0024468B" w:rsidRDefault="00E82A60" w:rsidP="00300A01">
            <w:pPr>
              <w:spacing w:before="0" w:after="0"/>
              <w:rPr>
                <w:sz w:val="16"/>
                <w:szCs w:val="16"/>
                <w:lang w:val="fr-BE"/>
              </w:rPr>
            </w:pPr>
            <w:r w:rsidRPr="0024468B">
              <w:rPr>
                <w:noProof/>
                <w:sz w:val="16"/>
                <w:szCs w:val="16"/>
                <w:lang w:val="fr-BE"/>
              </w:rPr>
              <w:t>Zużycie energii elektrycznej na 1 mln zł PKB</w:t>
            </w:r>
          </w:p>
        </w:tc>
        <w:tc>
          <w:tcPr>
            <w:tcW w:w="0" w:type="auto"/>
          </w:tcPr>
          <w:p w14:paraId="5E68B160"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7169A057" w14:textId="77777777" w:rsidR="008C5CFA" w:rsidRPr="0024468B" w:rsidRDefault="008C5CFA" w:rsidP="00300A01">
            <w:pPr>
              <w:spacing w:before="0" w:after="0"/>
              <w:jc w:val="right"/>
              <w:rPr>
                <w:sz w:val="16"/>
                <w:szCs w:val="16"/>
                <w:lang w:val="fr-BE"/>
              </w:rPr>
            </w:pPr>
          </w:p>
        </w:tc>
        <w:tc>
          <w:tcPr>
            <w:tcW w:w="0" w:type="auto"/>
          </w:tcPr>
          <w:p w14:paraId="7C391C18" w14:textId="77777777" w:rsidR="008C5CFA" w:rsidRPr="0024468B" w:rsidRDefault="00E82A60" w:rsidP="00300A01">
            <w:pPr>
              <w:spacing w:before="0" w:after="0"/>
              <w:jc w:val="right"/>
              <w:rPr>
                <w:sz w:val="16"/>
                <w:szCs w:val="16"/>
                <w:lang w:val="fr-BE"/>
              </w:rPr>
            </w:pPr>
            <w:r w:rsidRPr="0024468B">
              <w:rPr>
                <w:noProof/>
                <w:sz w:val="16"/>
                <w:szCs w:val="16"/>
                <w:lang w:val="fr-BE"/>
              </w:rPr>
              <w:t>0,11</w:t>
            </w:r>
          </w:p>
        </w:tc>
        <w:tc>
          <w:tcPr>
            <w:tcW w:w="0" w:type="auto"/>
          </w:tcPr>
          <w:p w14:paraId="35F7B38A" w14:textId="77777777" w:rsidR="008C5CFA" w:rsidRPr="0024468B" w:rsidRDefault="008C5CFA" w:rsidP="00300A01">
            <w:pPr>
              <w:spacing w:before="0" w:after="0"/>
              <w:jc w:val="right"/>
              <w:rPr>
                <w:sz w:val="16"/>
                <w:szCs w:val="16"/>
                <w:lang w:val="fr-BE"/>
              </w:rPr>
            </w:pPr>
          </w:p>
        </w:tc>
        <w:tc>
          <w:tcPr>
            <w:tcW w:w="0" w:type="auto"/>
          </w:tcPr>
          <w:p w14:paraId="7AAF817B" w14:textId="77777777" w:rsidR="008C5CFA" w:rsidRPr="0024468B" w:rsidRDefault="00E82A60" w:rsidP="00300A01">
            <w:pPr>
              <w:spacing w:before="0" w:after="0"/>
              <w:jc w:val="right"/>
              <w:rPr>
                <w:sz w:val="16"/>
                <w:szCs w:val="16"/>
                <w:lang w:val="fr-BE"/>
              </w:rPr>
            </w:pPr>
            <w:r w:rsidRPr="0024468B">
              <w:rPr>
                <w:noProof/>
                <w:sz w:val="16"/>
                <w:szCs w:val="16"/>
                <w:lang w:val="fr-BE"/>
              </w:rPr>
              <w:t>0,12</w:t>
            </w:r>
          </w:p>
        </w:tc>
        <w:tc>
          <w:tcPr>
            <w:tcW w:w="0" w:type="auto"/>
          </w:tcPr>
          <w:p w14:paraId="3A074F69" w14:textId="77777777" w:rsidR="008C5CFA" w:rsidRPr="0024468B" w:rsidRDefault="008C5CFA" w:rsidP="00300A01">
            <w:pPr>
              <w:spacing w:before="0" w:after="0"/>
              <w:jc w:val="right"/>
              <w:rPr>
                <w:sz w:val="16"/>
                <w:szCs w:val="16"/>
                <w:lang w:val="fr-BE"/>
              </w:rPr>
            </w:pPr>
          </w:p>
        </w:tc>
        <w:tc>
          <w:tcPr>
            <w:tcW w:w="0" w:type="auto"/>
          </w:tcPr>
          <w:p w14:paraId="457E2F35" w14:textId="77777777" w:rsidR="008C5CFA" w:rsidRPr="0024468B" w:rsidRDefault="00E82A60" w:rsidP="00300A01">
            <w:pPr>
              <w:spacing w:before="0" w:after="0"/>
              <w:jc w:val="right"/>
              <w:rPr>
                <w:sz w:val="16"/>
                <w:szCs w:val="16"/>
                <w:lang w:val="fr-BE"/>
              </w:rPr>
            </w:pPr>
            <w:r w:rsidRPr="0024468B">
              <w:rPr>
                <w:noProof/>
                <w:sz w:val="16"/>
                <w:szCs w:val="16"/>
                <w:lang w:val="fr-BE"/>
              </w:rPr>
              <w:t>0,11</w:t>
            </w:r>
          </w:p>
        </w:tc>
        <w:tc>
          <w:tcPr>
            <w:tcW w:w="0" w:type="auto"/>
          </w:tcPr>
          <w:p w14:paraId="14E5E9B6" w14:textId="77777777" w:rsidR="008C5CFA" w:rsidRPr="0024468B" w:rsidRDefault="008C5CFA" w:rsidP="00300A01">
            <w:pPr>
              <w:spacing w:before="0" w:after="0"/>
              <w:jc w:val="right"/>
              <w:rPr>
                <w:sz w:val="16"/>
                <w:szCs w:val="16"/>
                <w:lang w:val="fr-BE"/>
              </w:rPr>
            </w:pPr>
          </w:p>
        </w:tc>
      </w:tr>
    </w:tbl>
    <w:p w14:paraId="63D1C2C5"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4"/>
        <w:gridCol w:w="8044"/>
        <w:gridCol w:w="2794"/>
        <w:gridCol w:w="3362"/>
      </w:tblGrid>
      <w:tr w:rsidR="006B2EC1" w14:paraId="588A4CAB" w14:textId="77777777" w:rsidTr="0047688D">
        <w:tc>
          <w:tcPr>
            <w:tcW w:w="0" w:type="auto"/>
            <w:shd w:val="clear" w:color="auto" w:fill="auto"/>
          </w:tcPr>
          <w:p w14:paraId="0129E180" w14:textId="77777777" w:rsidR="008C5CFA" w:rsidRPr="0024468B" w:rsidRDefault="00E82A60" w:rsidP="00300A01">
            <w:pPr>
              <w:spacing w:before="0" w:after="0"/>
              <w:rPr>
                <w:sz w:val="16"/>
                <w:szCs w:val="16"/>
                <w:lang w:val="fr-BE"/>
              </w:rPr>
            </w:pPr>
            <w:r w:rsidRPr="0024468B">
              <w:rPr>
                <w:noProof/>
                <w:sz w:val="16"/>
                <w:szCs w:val="16"/>
                <w:lang w:val="fr-BE"/>
              </w:rPr>
              <w:t>ID</w:t>
            </w:r>
          </w:p>
        </w:tc>
        <w:tc>
          <w:tcPr>
            <w:tcW w:w="0" w:type="auto"/>
            <w:shd w:val="clear" w:color="auto" w:fill="auto"/>
          </w:tcPr>
          <w:p w14:paraId="3EBCAE7C" w14:textId="77777777" w:rsidR="008C5CFA" w:rsidRPr="0024468B" w:rsidRDefault="00E82A60" w:rsidP="00300A01">
            <w:pPr>
              <w:spacing w:before="0" w:after="0"/>
              <w:rPr>
                <w:sz w:val="16"/>
                <w:szCs w:val="16"/>
                <w:lang w:val="fr-BE"/>
              </w:rPr>
            </w:pPr>
            <w:r w:rsidRPr="0024468B">
              <w:rPr>
                <w:noProof/>
                <w:sz w:val="16"/>
                <w:szCs w:val="16"/>
                <w:lang w:val="fr-BE"/>
              </w:rPr>
              <w:t>Wskaźnik</w:t>
            </w:r>
          </w:p>
        </w:tc>
        <w:tc>
          <w:tcPr>
            <w:tcW w:w="0" w:type="auto"/>
            <w:shd w:val="clear" w:color="auto" w:fill="auto"/>
          </w:tcPr>
          <w:p w14:paraId="677EB3B9" w14:textId="77777777" w:rsidR="008C5CFA" w:rsidRPr="0024468B" w:rsidRDefault="00E82A60" w:rsidP="00300A01">
            <w:pPr>
              <w:spacing w:before="0" w:after="0"/>
              <w:jc w:val="center"/>
              <w:rPr>
                <w:sz w:val="16"/>
                <w:szCs w:val="16"/>
                <w:lang w:val="fr-BE"/>
              </w:rPr>
            </w:pPr>
            <w:r>
              <w:rPr>
                <w:sz w:val="16"/>
                <w:szCs w:val="16"/>
                <w:lang w:val="fr-BE"/>
              </w:rPr>
              <w:t xml:space="preserve">2014 </w:t>
            </w:r>
            <w:r>
              <w:rPr>
                <w:noProof/>
                <w:sz w:val="16"/>
                <w:szCs w:val="16"/>
                <w:lang w:val="fr-BE"/>
              </w:rPr>
              <w:t>Ogółem</w:t>
            </w:r>
          </w:p>
        </w:tc>
        <w:tc>
          <w:tcPr>
            <w:tcW w:w="0" w:type="auto"/>
            <w:shd w:val="clear" w:color="auto" w:fill="auto"/>
          </w:tcPr>
          <w:p w14:paraId="02C19C00" w14:textId="77777777" w:rsidR="008C5CFA" w:rsidRPr="0024468B" w:rsidRDefault="00E82A60" w:rsidP="00300A01">
            <w:pPr>
              <w:spacing w:before="0" w:after="0"/>
              <w:jc w:val="center"/>
              <w:rPr>
                <w:sz w:val="16"/>
                <w:szCs w:val="16"/>
                <w:lang w:val="fr-BE"/>
              </w:rPr>
            </w:pPr>
            <w:r>
              <w:rPr>
                <w:sz w:val="16"/>
                <w:szCs w:val="16"/>
                <w:lang w:val="fr-BE"/>
              </w:rPr>
              <w:t xml:space="preserve">2014 </w:t>
            </w:r>
            <w:r w:rsidRPr="0024468B">
              <w:rPr>
                <w:noProof/>
                <w:sz w:val="16"/>
                <w:szCs w:val="16"/>
                <w:lang w:val="fr-BE"/>
              </w:rPr>
              <w:t>Jakościowe</w:t>
            </w:r>
          </w:p>
        </w:tc>
      </w:tr>
      <w:tr w:rsidR="006B2EC1" w14:paraId="4AC09CAF" w14:textId="77777777" w:rsidTr="0047688D">
        <w:tc>
          <w:tcPr>
            <w:tcW w:w="0" w:type="auto"/>
            <w:shd w:val="clear" w:color="auto" w:fill="auto"/>
          </w:tcPr>
          <w:p w14:paraId="4CAC1D74" w14:textId="77777777" w:rsidR="008C5CFA" w:rsidRPr="0024468B" w:rsidRDefault="00E82A60" w:rsidP="00300A01">
            <w:pPr>
              <w:spacing w:before="0" w:after="0"/>
              <w:rPr>
                <w:sz w:val="16"/>
                <w:szCs w:val="16"/>
                <w:lang w:val="fr-BE"/>
              </w:rPr>
            </w:pPr>
            <w:r w:rsidRPr="0024468B">
              <w:rPr>
                <w:noProof/>
                <w:sz w:val="16"/>
                <w:szCs w:val="16"/>
                <w:lang w:val="fr-BE"/>
              </w:rPr>
              <w:t>29</w:t>
            </w:r>
          </w:p>
        </w:tc>
        <w:tc>
          <w:tcPr>
            <w:tcW w:w="0" w:type="auto"/>
            <w:shd w:val="clear" w:color="auto" w:fill="auto"/>
          </w:tcPr>
          <w:p w14:paraId="01F2DA1D" w14:textId="77777777" w:rsidR="008C5CFA" w:rsidRPr="0024468B" w:rsidRDefault="00E82A60" w:rsidP="00300A01">
            <w:pPr>
              <w:spacing w:before="0" w:after="0"/>
              <w:rPr>
                <w:sz w:val="16"/>
                <w:szCs w:val="16"/>
                <w:lang w:val="fr-BE"/>
              </w:rPr>
            </w:pPr>
            <w:r w:rsidRPr="0024468B">
              <w:rPr>
                <w:noProof/>
                <w:sz w:val="16"/>
                <w:szCs w:val="16"/>
                <w:lang w:val="fr-BE"/>
              </w:rPr>
              <w:t>Zużycie energii elektrycznej na 1 mln zł PKB</w:t>
            </w:r>
          </w:p>
        </w:tc>
        <w:tc>
          <w:tcPr>
            <w:tcW w:w="0" w:type="auto"/>
            <w:shd w:val="clear" w:color="auto" w:fill="auto"/>
          </w:tcPr>
          <w:p w14:paraId="5CA63E62" w14:textId="77777777" w:rsidR="008C5CFA" w:rsidRPr="0024468B" w:rsidRDefault="00E82A60" w:rsidP="00300A01">
            <w:pPr>
              <w:spacing w:before="0" w:after="0"/>
              <w:jc w:val="right"/>
              <w:rPr>
                <w:sz w:val="16"/>
                <w:szCs w:val="16"/>
                <w:lang w:val="fr-BE"/>
              </w:rPr>
            </w:pPr>
            <w:r w:rsidRPr="0024468B">
              <w:rPr>
                <w:noProof/>
                <w:sz w:val="16"/>
                <w:szCs w:val="16"/>
                <w:lang w:val="fr-BE"/>
              </w:rPr>
              <w:t>0,12</w:t>
            </w:r>
          </w:p>
        </w:tc>
        <w:tc>
          <w:tcPr>
            <w:tcW w:w="0" w:type="auto"/>
            <w:shd w:val="clear" w:color="auto" w:fill="auto"/>
          </w:tcPr>
          <w:p w14:paraId="70B42A1D" w14:textId="77777777" w:rsidR="008C5CFA" w:rsidRPr="0024468B" w:rsidRDefault="008C5CFA" w:rsidP="00300A01">
            <w:pPr>
              <w:spacing w:before="0" w:after="0"/>
              <w:jc w:val="right"/>
              <w:rPr>
                <w:sz w:val="16"/>
                <w:szCs w:val="16"/>
                <w:lang w:val="fr-BE"/>
              </w:rPr>
            </w:pPr>
          </w:p>
        </w:tc>
      </w:tr>
    </w:tbl>
    <w:p w14:paraId="5A47D30B" w14:textId="77777777" w:rsidR="008C5CFA" w:rsidRDefault="008C5CFA" w:rsidP="00300A01">
      <w:pPr>
        <w:spacing w:before="0" w:after="0"/>
        <w:rPr>
          <w:lang w:val="fr-BE"/>
        </w:rPr>
      </w:pPr>
    </w:p>
    <w:p w14:paraId="1078354D" w14:textId="77777777" w:rsidR="008C5CFA" w:rsidRDefault="00E82A60" w:rsidP="00300A01">
      <w:pPr>
        <w:spacing w:before="0" w:after="0"/>
        <w:rPr>
          <w:lang w:val="fr-BE"/>
        </w:rPr>
      </w:pPr>
      <w:r>
        <w:rPr>
          <w:lang w:val="fr-BE"/>
        </w:rPr>
        <w:br w:type="page"/>
      </w:r>
    </w:p>
    <w:p w14:paraId="6EA17874" w14:textId="77777777" w:rsidR="008C5CFA" w:rsidRPr="00B27C43" w:rsidRDefault="008C5CFA" w:rsidP="00300A01">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2"/>
        <w:gridCol w:w="13332"/>
      </w:tblGrid>
      <w:tr w:rsidR="006B2EC1" w14:paraId="3F143B5E" w14:textId="77777777" w:rsidTr="0047688D">
        <w:tc>
          <w:tcPr>
            <w:tcW w:w="0" w:type="auto"/>
            <w:shd w:val="clear" w:color="auto" w:fill="auto"/>
          </w:tcPr>
          <w:p w14:paraId="4396DDCC" w14:textId="77777777" w:rsidR="008C5CFA" w:rsidRPr="002124FC" w:rsidRDefault="00E82A60" w:rsidP="00300A01">
            <w:pPr>
              <w:spacing w:before="0" w:after="0"/>
              <w:rPr>
                <w:sz w:val="20"/>
                <w:szCs w:val="20"/>
                <w:lang w:val="fr-BE"/>
              </w:rPr>
            </w:pPr>
            <w:r>
              <w:rPr>
                <w:lang w:val="fr-BE"/>
              </w:rPr>
              <w:br w:type="page"/>
            </w:r>
            <w:r>
              <w:rPr>
                <w:lang w:val="fr-BE"/>
              </w:rPr>
              <w:br w:type="page"/>
            </w:r>
            <w:r w:rsidRPr="002124FC">
              <w:rPr>
                <w:noProof/>
                <w:sz w:val="20"/>
                <w:szCs w:val="20"/>
                <w:lang w:val="fr-BE"/>
              </w:rPr>
              <w:t>Oś priorytetowa</w:t>
            </w:r>
          </w:p>
        </w:tc>
        <w:tc>
          <w:tcPr>
            <w:tcW w:w="0" w:type="auto"/>
            <w:shd w:val="clear" w:color="auto" w:fill="auto"/>
          </w:tcPr>
          <w:p w14:paraId="0DC7A511" w14:textId="77777777" w:rsidR="008C5CFA" w:rsidRPr="002124FC" w:rsidRDefault="00E82A60" w:rsidP="00300A01">
            <w:pPr>
              <w:spacing w:before="0" w:after="0"/>
              <w:rPr>
                <w:sz w:val="20"/>
                <w:szCs w:val="20"/>
                <w:lang w:val="fr-BE"/>
              </w:rPr>
            </w:pPr>
            <w:r w:rsidRPr="002124FC">
              <w:rPr>
                <w:noProof/>
                <w:sz w:val="20"/>
                <w:szCs w:val="20"/>
                <w:lang w:val="fr-BE"/>
              </w:rPr>
              <w:t>3</w:t>
            </w:r>
            <w:r w:rsidRPr="002124FC">
              <w:rPr>
                <w:sz w:val="20"/>
                <w:szCs w:val="20"/>
                <w:lang w:val="fr-BE"/>
              </w:rPr>
              <w:t xml:space="preserve"> - </w:t>
            </w:r>
            <w:r w:rsidRPr="002124FC">
              <w:rPr>
                <w:noProof/>
                <w:sz w:val="20"/>
                <w:szCs w:val="20"/>
                <w:lang w:val="fr-BE"/>
              </w:rPr>
              <w:t>Efektywna i zielona energia</w:t>
            </w:r>
          </w:p>
        </w:tc>
      </w:tr>
      <w:tr w:rsidR="006B2EC1" w14:paraId="1CDA73DC" w14:textId="77777777" w:rsidTr="0047688D">
        <w:tc>
          <w:tcPr>
            <w:tcW w:w="0" w:type="auto"/>
            <w:shd w:val="clear" w:color="auto" w:fill="auto"/>
          </w:tcPr>
          <w:p w14:paraId="063655DA" w14:textId="77777777" w:rsidR="008C5CFA" w:rsidRPr="002124FC" w:rsidRDefault="00E82A60"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14:paraId="6D88315B" w14:textId="77777777" w:rsidR="008C5CFA" w:rsidRPr="002124FC" w:rsidRDefault="00E82A60" w:rsidP="00300A01">
            <w:pPr>
              <w:spacing w:before="0" w:after="0"/>
              <w:rPr>
                <w:sz w:val="20"/>
                <w:szCs w:val="20"/>
                <w:lang w:val="fr-BE"/>
              </w:rPr>
            </w:pPr>
            <w:r w:rsidRPr="002124FC">
              <w:rPr>
                <w:noProof/>
                <w:sz w:val="20"/>
                <w:szCs w:val="20"/>
                <w:lang w:val="fr-BE"/>
              </w:rPr>
              <w:t>4c</w:t>
            </w:r>
            <w:r w:rsidRPr="002124FC">
              <w:rPr>
                <w:sz w:val="20"/>
                <w:szCs w:val="20"/>
                <w:lang w:val="fr-BE"/>
              </w:rPr>
              <w:t xml:space="preserve"> - </w:t>
            </w:r>
            <w:r w:rsidRPr="002124FC">
              <w:rPr>
                <w:noProof/>
                <w:sz w:val="20"/>
                <w:szCs w:val="20"/>
                <w:lang w:val="fr-BE"/>
              </w:rPr>
              <w:t>Wspieranie efektywności energetycznej, inteligentnego zarządzania energią i wykorzystywania odnawialnych źródeł energii w infrastrukturze publicznej, w tym w budynkach publicznych i w sektorze mieszkaniowym</w:t>
            </w:r>
          </w:p>
        </w:tc>
      </w:tr>
    </w:tbl>
    <w:p w14:paraId="039B85E2" w14:textId="77777777" w:rsidR="008C5CFA" w:rsidRDefault="008C5CFA" w:rsidP="00300A01">
      <w:pPr>
        <w:spacing w:before="0" w:after="0"/>
        <w:rPr>
          <w:lang w:val="fr-BE"/>
        </w:rPr>
      </w:pPr>
    </w:p>
    <w:p w14:paraId="006BE31B" w14:textId="77777777" w:rsidR="008C5CFA" w:rsidRDefault="00E82A60" w:rsidP="00300A01">
      <w:pPr>
        <w:pStyle w:val="Nagwek2"/>
        <w:spacing w:before="0" w:after="0"/>
        <w:rPr>
          <w:lang w:val="fr-BE"/>
        </w:rPr>
      </w:pPr>
      <w:bookmarkStart w:id="28" w:name="_Toc46391712"/>
      <w:r>
        <w:rPr>
          <w:noProof/>
          <w:lang w:val="fr-BE"/>
        </w:rPr>
        <w:t>Tabela 3A</w:t>
      </w:r>
      <w:r>
        <w:rPr>
          <w:lang w:val="fr-BE"/>
        </w:rPr>
        <w:t xml:space="preserve">: </w:t>
      </w:r>
      <w:r>
        <w:rPr>
          <w:noProof/>
          <w:lang w:val="fr-BE"/>
        </w:rPr>
        <w:t>Wspólne i specyficzne dla danego programu wskaźniki produktu dla EFRR i Funduszu Spójności (wg osi priorytetowej, priorytetu inwestycyjnego, w podziale na kategorię regionu dla celów EFRR)</w:t>
      </w:r>
      <w:r w:rsidR="009C5874">
        <w:rPr>
          <w:lang w:val="fr-BE"/>
        </w:rPr>
        <w:t xml:space="preserve"> - </w:t>
      </w:r>
      <w:r w:rsidR="00F022AC" w:rsidRPr="002124FC">
        <w:rPr>
          <w:noProof/>
          <w:sz w:val="20"/>
          <w:szCs w:val="20"/>
          <w:lang w:val="fr-BE"/>
        </w:rPr>
        <w:t>3</w:t>
      </w:r>
      <w:r w:rsidR="00F022AC">
        <w:rPr>
          <w:sz w:val="20"/>
          <w:szCs w:val="20"/>
          <w:lang w:val="fr-BE"/>
        </w:rPr>
        <w:t xml:space="preserve"> / </w:t>
      </w:r>
      <w:r w:rsidR="00F022AC" w:rsidRPr="002124FC">
        <w:rPr>
          <w:noProof/>
          <w:sz w:val="20"/>
          <w:szCs w:val="20"/>
          <w:lang w:val="fr-BE"/>
        </w:rPr>
        <w:t>4c</w:t>
      </w:r>
      <w:bookmarkEnd w:id="28"/>
    </w:p>
    <w:p w14:paraId="45F43888"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01"/>
        <w:gridCol w:w="497"/>
        <w:gridCol w:w="2153"/>
        <w:gridCol w:w="1160"/>
        <w:gridCol w:w="880"/>
        <w:gridCol w:w="1293"/>
        <w:gridCol w:w="1069"/>
        <w:gridCol w:w="981"/>
        <w:gridCol w:w="1034"/>
        <w:gridCol w:w="886"/>
        <w:gridCol w:w="709"/>
        <w:gridCol w:w="4221"/>
      </w:tblGrid>
      <w:tr w:rsidR="006B2EC1" w14:paraId="02E9DC22" w14:textId="77777777" w:rsidTr="0047688D">
        <w:trPr>
          <w:tblHeader/>
        </w:trPr>
        <w:tc>
          <w:tcPr>
            <w:tcW w:w="0" w:type="auto"/>
          </w:tcPr>
          <w:p w14:paraId="45299C50" w14:textId="77777777" w:rsidR="008C5CFA" w:rsidRPr="009143B4" w:rsidRDefault="00E82A60" w:rsidP="00300A01">
            <w:pPr>
              <w:spacing w:before="0" w:after="0"/>
              <w:rPr>
                <w:b/>
                <w:sz w:val="16"/>
                <w:szCs w:val="16"/>
                <w:lang w:val="fr-BE"/>
              </w:rPr>
            </w:pPr>
            <w:r w:rsidRPr="009143B4">
              <w:rPr>
                <w:b/>
                <w:sz w:val="16"/>
                <w:szCs w:val="16"/>
                <w:lang w:val="fr-BE"/>
              </w:rPr>
              <w:t>(1)</w:t>
            </w:r>
          </w:p>
        </w:tc>
        <w:tc>
          <w:tcPr>
            <w:tcW w:w="0" w:type="auto"/>
            <w:shd w:val="clear" w:color="auto" w:fill="auto"/>
          </w:tcPr>
          <w:p w14:paraId="685E855F" w14:textId="77777777" w:rsidR="008C5CFA" w:rsidRPr="009143B4" w:rsidRDefault="00E82A60" w:rsidP="00300A01">
            <w:pPr>
              <w:spacing w:before="0" w:after="0"/>
              <w:rPr>
                <w:b/>
                <w:sz w:val="16"/>
                <w:szCs w:val="16"/>
                <w:lang w:val="fr-BE"/>
              </w:rPr>
            </w:pPr>
            <w:r w:rsidRPr="009143B4">
              <w:rPr>
                <w:b/>
                <w:noProof/>
                <w:sz w:val="16"/>
                <w:szCs w:val="16"/>
                <w:lang w:val="fr-BE"/>
              </w:rPr>
              <w:t>ID</w:t>
            </w:r>
          </w:p>
        </w:tc>
        <w:tc>
          <w:tcPr>
            <w:tcW w:w="0" w:type="auto"/>
            <w:shd w:val="clear" w:color="auto" w:fill="auto"/>
          </w:tcPr>
          <w:p w14:paraId="0D2F8553" w14:textId="77777777" w:rsidR="008C5CFA" w:rsidRPr="009143B4" w:rsidRDefault="00E82A60" w:rsidP="00300A01">
            <w:pPr>
              <w:spacing w:before="0" w:after="0"/>
              <w:rPr>
                <w:b/>
                <w:sz w:val="16"/>
                <w:szCs w:val="16"/>
                <w:lang w:val="fr-BE"/>
              </w:rPr>
            </w:pPr>
            <w:r w:rsidRPr="009143B4">
              <w:rPr>
                <w:b/>
                <w:noProof/>
                <w:sz w:val="16"/>
                <w:szCs w:val="16"/>
                <w:lang w:val="fr-BE"/>
              </w:rPr>
              <w:t>Wskaźnik</w:t>
            </w:r>
          </w:p>
        </w:tc>
        <w:tc>
          <w:tcPr>
            <w:tcW w:w="0" w:type="auto"/>
            <w:shd w:val="clear" w:color="auto" w:fill="auto"/>
          </w:tcPr>
          <w:p w14:paraId="731A85A2" w14:textId="77777777" w:rsidR="008C5CFA" w:rsidRPr="009143B4" w:rsidRDefault="00E82A60" w:rsidP="00300A01">
            <w:pPr>
              <w:spacing w:before="0" w:after="0"/>
              <w:rPr>
                <w:b/>
                <w:sz w:val="16"/>
                <w:szCs w:val="16"/>
                <w:lang w:val="fr-BE"/>
              </w:rPr>
            </w:pPr>
            <w:r w:rsidRPr="009143B4">
              <w:rPr>
                <w:b/>
                <w:noProof/>
                <w:sz w:val="16"/>
                <w:szCs w:val="16"/>
                <w:lang w:val="fr-BE"/>
              </w:rPr>
              <w:t>Jednostka miary</w:t>
            </w:r>
          </w:p>
        </w:tc>
        <w:tc>
          <w:tcPr>
            <w:tcW w:w="0" w:type="auto"/>
            <w:shd w:val="clear" w:color="auto" w:fill="auto"/>
          </w:tcPr>
          <w:p w14:paraId="5B8598CD" w14:textId="77777777" w:rsidR="008C5CFA" w:rsidRPr="009143B4" w:rsidRDefault="00E82A60" w:rsidP="00300A01">
            <w:pPr>
              <w:spacing w:before="0" w:after="0"/>
              <w:rPr>
                <w:b/>
                <w:sz w:val="16"/>
                <w:szCs w:val="16"/>
                <w:lang w:val="fr-BE"/>
              </w:rPr>
            </w:pPr>
            <w:r w:rsidRPr="009143B4">
              <w:rPr>
                <w:b/>
                <w:noProof/>
                <w:sz w:val="16"/>
                <w:szCs w:val="16"/>
                <w:lang w:val="fr-BE"/>
              </w:rPr>
              <w:t>Kategoria regionu</w:t>
            </w:r>
          </w:p>
        </w:tc>
        <w:tc>
          <w:tcPr>
            <w:tcW w:w="0" w:type="auto"/>
            <w:shd w:val="clear" w:color="auto" w:fill="auto"/>
          </w:tcPr>
          <w:p w14:paraId="2F43E18A" w14:textId="77777777" w:rsidR="008C5CFA" w:rsidRPr="009143B4" w:rsidRDefault="00E82A60" w:rsidP="00300A01">
            <w:pPr>
              <w:spacing w:before="0" w:after="0"/>
              <w:jc w:val="center"/>
              <w:rPr>
                <w:b/>
                <w:sz w:val="16"/>
                <w:szCs w:val="16"/>
                <w:lang w:val="fr-BE"/>
              </w:rPr>
            </w:pPr>
            <w:r w:rsidRPr="009143B4">
              <w:rPr>
                <w:b/>
                <w:noProof/>
                <w:sz w:val="16"/>
                <w:szCs w:val="16"/>
                <w:lang w:val="fr-BE"/>
              </w:rPr>
              <w:t>Wartość docelowa (2023) ogółem</w:t>
            </w:r>
          </w:p>
        </w:tc>
        <w:tc>
          <w:tcPr>
            <w:tcW w:w="0" w:type="auto"/>
            <w:shd w:val="clear" w:color="auto" w:fill="auto"/>
          </w:tcPr>
          <w:p w14:paraId="5A3048A4" w14:textId="77777777" w:rsidR="008C5CFA" w:rsidRPr="009143B4" w:rsidRDefault="00E82A60" w:rsidP="00300A01">
            <w:pPr>
              <w:spacing w:before="0" w:after="0"/>
              <w:jc w:val="center"/>
              <w:rPr>
                <w:b/>
                <w:sz w:val="16"/>
                <w:szCs w:val="16"/>
                <w:lang w:val="fr-BE"/>
              </w:rPr>
            </w:pPr>
            <w:r w:rsidRPr="009143B4">
              <w:rPr>
                <w:b/>
                <w:noProof/>
                <w:sz w:val="16"/>
                <w:szCs w:val="16"/>
                <w:lang w:val="fr-BE"/>
              </w:rPr>
              <w:t>Wartość docelowa (2023) mężczyźni</w:t>
            </w:r>
          </w:p>
        </w:tc>
        <w:tc>
          <w:tcPr>
            <w:tcW w:w="0" w:type="auto"/>
          </w:tcPr>
          <w:p w14:paraId="095FAFCC" w14:textId="77777777" w:rsidR="008C5CFA" w:rsidRPr="009143B4" w:rsidRDefault="00E82A60" w:rsidP="00300A01">
            <w:pPr>
              <w:spacing w:before="0" w:after="0"/>
              <w:jc w:val="center"/>
              <w:rPr>
                <w:b/>
                <w:sz w:val="16"/>
                <w:szCs w:val="16"/>
                <w:lang w:val="fr-BE"/>
              </w:rPr>
            </w:pPr>
            <w:r w:rsidRPr="009143B4">
              <w:rPr>
                <w:b/>
                <w:noProof/>
                <w:sz w:val="16"/>
                <w:szCs w:val="16"/>
                <w:lang w:val="fr-BE"/>
              </w:rPr>
              <w:t>Wartość docelowa (2023) kobiety</w:t>
            </w:r>
          </w:p>
        </w:tc>
        <w:tc>
          <w:tcPr>
            <w:tcW w:w="0" w:type="auto"/>
            <w:shd w:val="clear" w:color="auto" w:fill="auto"/>
          </w:tcPr>
          <w:p w14:paraId="36E7CE05" w14:textId="77777777" w:rsidR="008C5CFA" w:rsidRPr="009143B4" w:rsidRDefault="00E82A60" w:rsidP="00300A01">
            <w:pPr>
              <w:spacing w:before="0" w:after="0"/>
              <w:jc w:val="center"/>
              <w:rPr>
                <w:b/>
                <w:sz w:val="16"/>
                <w:szCs w:val="16"/>
                <w:lang w:val="fr-BE"/>
              </w:rPr>
            </w:pPr>
            <w:r>
              <w:rPr>
                <w:b/>
                <w:sz w:val="16"/>
                <w:szCs w:val="16"/>
                <w:lang w:val="fr-BE"/>
              </w:rPr>
              <w:t xml:space="preserve">2019 </w:t>
            </w:r>
            <w:r w:rsidRPr="009143B4">
              <w:rPr>
                <w:b/>
                <w:noProof/>
                <w:sz w:val="16"/>
                <w:szCs w:val="16"/>
                <w:lang w:val="fr-BE"/>
              </w:rPr>
              <w:t>Ogółem</w:t>
            </w:r>
          </w:p>
        </w:tc>
        <w:tc>
          <w:tcPr>
            <w:tcW w:w="0" w:type="auto"/>
            <w:shd w:val="clear" w:color="auto" w:fill="auto"/>
          </w:tcPr>
          <w:p w14:paraId="75D77665" w14:textId="77777777" w:rsidR="008C5CFA" w:rsidRPr="009143B4" w:rsidRDefault="00E82A60" w:rsidP="00300A01">
            <w:pPr>
              <w:spacing w:before="0" w:after="0"/>
              <w:jc w:val="center"/>
              <w:rPr>
                <w:b/>
                <w:sz w:val="16"/>
                <w:szCs w:val="16"/>
                <w:lang w:val="fr-BE"/>
              </w:rPr>
            </w:pPr>
            <w:r>
              <w:rPr>
                <w:b/>
                <w:sz w:val="16"/>
                <w:szCs w:val="16"/>
                <w:lang w:val="fr-BE"/>
              </w:rPr>
              <w:t xml:space="preserve">2019 </w:t>
            </w:r>
            <w:r w:rsidRPr="009143B4">
              <w:rPr>
                <w:b/>
                <w:noProof/>
                <w:sz w:val="16"/>
                <w:szCs w:val="16"/>
                <w:lang w:val="fr-BE"/>
              </w:rPr>
              <w:t>Mężczyźni</w:t>
            </w:r>
          </w:p>
        </w:tc>
        <w:tc>
          <w:tcPr>
            <w:tcW w:w="0" w:type="auto"/>
            <w:shd w:val="clear" w:color="auto" w:fill="auto"/>
          </w:tcPr>
          <w:p w14:paraId="65E60610" w14:textId="77777777" w:rsidR="008C5CFA" w:rsidRPr="009143B4" w:rsidRDefault="00E82A60" w:rsidP="00300A01">
            <w:pPr>
              <w:spacing w:before="0" w:after="0"/>
              <w:jc w:val="center"/>
              <w:rPr>
                <w:b/>
                <w:sz w:val="16"/>
                <w:szCs w:val="16"/>
                <w:lang w:val="fr-BE"/>
              </w:rPr>
            </w:pPr>
            <w:r>
              <w:rPr>
                <w:b/>
                <w:sz w:val="16"/>
                <w:szCs w:val="16"/>
                <w:lang w:val="fr-BE"/>
              </w:rPr>
              <w:t xml:space="preserve">2019 </w:t>
            </w:r>
            <w:r w:rsidRPr="009143B4">
              <w:rPr>
                <w:b/>
                <w:noProof/>
                <w:sz w:val="16"/>
                <w:szCs w:val="16"/>
                <w:lang w:val="fr-BE"/>
              </w:rPr>
              <w:t>Kobiety</w:t>
            </w:r>
          </w:p>
        </w:tc>
        <w:tc>
          <w:tcPr>
            <w:tcW w:w="0" w:type="auto"/>
            <w:shd w:val="clear" w:color="auto" w:fill="auto"/>
          </w:tcPr>
          <w:p w14:paraId="448379F1" w14:textId="77777777" w:rsidR="008C5CFA" w:rsidRPr="009143B4" w:rsidRDefault="00E82A60" w:rsidP="00300A01">
            <w:pPr>
              <w:spacing w:before="0" w:after="0"/>
              <w:jc w:val="center"/>
              <w:rPr>
                <w:b/>
                <w:sz w:val="16"/>
                <w:szCs w:val="16"/>
                <w:lang w:val="fr-BE"/>
              </w:rPr>
            </w:pPr>
            <w:r w:rsidRPr="009143B4">
              <w:rPr>
                <w:b/>
                <w:noProof/>
                <w:sz w:val="16"/>
                <w:szCs w:val="16"/>
                <w:lang w:val="fr-BE"/>
              </w:rPr>
              <w:t>Uwagi</w:t>
            </w:r>
          </w:p>
        </w:tc>
      </w:tr>
      <w:tr w:rsidR="006B2EC1" w14:paraId="77FCF7E9" w14:textId="77777777" w:rsidTr="0047688D">
        <w:tc>
          <w:tcPr>
            <w:tcW w:w="0" w:type="auto"/>
          </w:tcPr>
          <w:p w14:paraId="60AEC610" w14:textId="77777777" w:rsidR="008C5CFA" w:rsidRPr="0024468B" w:rsidRDefault="00E82A60" w:rsidP="00300A01">
            <w:pPr>
              <w:spacing w:before="0" w:after="0"/>
              <w:rPr>
                <w:sz w:val="16"/>
                <w:szCs w:val="16"/>
                <w:lang w:val="fr-BE"/>
              </w:rPr>
            </w:pPr>
            <w:r>
              <w:rPr>
                <w:noProof/>
                <w:sz w:val="16"/>
                <w:szCs w:val="16"/>
                <w:lang w:val="fr-BE"/>
              </w:rPr>
              <w:t>F</w:t>
            </w:r>
          </w:p>
        </w:tc>
        <w:tc>
          <w:tcPr>
            <w:tcW w:w="0" w:type="auto"/>
            <w:shd w:val="clear" w:color="auto" w:fill="auto"/>
          </w:tcPr>
          <w:p w14:paraId="2BF1391F" w14:textId="77777777" w:rsidR="008C5CFA" w:rsidRPr="0024468B" w:rsidRDefault="00E82A60" w:rsidP="00300A01">
            <w:pPr>
              <w:spacing w:before="0" w:after="0"/>
              <w:rPr>
                <w:sz w:val="16"/>
                <w:szCs w:val="16"/>
                <w:lang w:val="fr-BE"/>
              </w:rPr>
            </w:pPr>
            <w:r w:rsidRPr="0024468B">
              <w:rPr>
                <w:noProof/>
                <w:sz w:val="16"/>
                <w:szCs w:val="16"/>
                <w:lang w:val="fr-BE"/>
              </w:rPr>
              <w:t>CO31</w:t>
            </w:r>
          </w:p>
        </w:tc>
        <w:tc>
          <w:tcPr>
            <w:tcW w:w="0" w:type="auto"/>
            <w:shd w:val="clear" w:color="auto" w:fill="auto"/>
          </w:tcPr>
          <w:p w14:paraId="6029148E" w14:textId="77777777" w:rsidR="008C5CFA" w:rsidRPr="0024468B" w:rsidRDefault="00E82A60" w:rsidP="00300A01">
            <w:pPr>
              <w:spacing w:before="0" w:after="0"/>
              <w:rPr>
                <w:sz w:val="16"/>
                <w:szCs w:val="16"/>
                <w:lang w:val="fr-BE"/>
              </w:rPr>
            </w:pPr>
            <w:r w:rsidRPr="0024468B">
              <w:rPr>
                <w:noProof/>
                <w:sz w:val="16"/>
                <w:szCs w:val="16"/>
                <w:lang w:val="fr-BE"/>
              </w:rPr>
              <w:t>Efektywność energetyczna: liczba gospodarstw domowych z lepszą klasą zużycia energii</w:t>
            </w:r>
          </w:p>
        </w:tc>
        <w:tc>
          <w:tcPr>
            <w:tcW w:w="0" w:type="auto"/>
            <w:shd w:val="clear" w:color="auto" w:fill="auto"/>
          </w:tcPr>
          <w:p w14:paraId="23067191" w14:textId="77777777" w:rsidR="008C5CFA" w:rsidRPr="0024468B" w:rsidRDefault="00E82A60" w:rsidP="00300A01">
            <w:pPr>
              <w:spacing w:before="0" w:after="0"/>
              <w:rPr>
                <w:sz w:val="16"/>
                <w:szCs w:val="16"/>
                <w:lang w:val="fr-BE"/>
              </w:rPr>
            </w:pPr>
            <w:r>
              <w:rPr>
                <w:noProof/>
                <w:sz w:val="16"/>
                <w:szCs w:val="16"/>
                <w:lang w:val="fr-BE"/>
              </w:rPr>
              <w:t>Gospodarstwa domowe</w:t>
            </w:r>
          </w:p>
        </w:tc>
        <w:tc>
          <w:tcPr>
            <w:tcW w:w="0" w:type="auto"/>
            <w:shd w:val="clear" w:color="auto" w:fill="auto"/>
          </w:tcPr>
          <w:p w14:paraId="493F8352" w14:textId="77777777" w:rsidR="008C5CFA" w:rsidRPr="0024468B" w:rsidRDefault="00E82A60"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14:paraId="249DAABF" w14:textId="77777777" w:rsidR="008C5CFA" w:rsidRPr="0024468B" w:rsidRDefault="00E82A60" w:rsidP="00300A01">
            <w:pPr>
              <w:spacing w:before="0" w:after="0"/>
              <w:jc w:val="right"/>
              <w:rPr>
                <w:sz w:val="16"/>
                <w:szCs w:val="16"/>
                <w:lang w:val="fr-BE"/>
              </w:rPr>
            </w:pPr>
            <w:r>
              <w:rPr>
                <w:noProof/>
                <w:sz w:val="16"/>
                <w:szCs w:val="16"/>
                <w:lang w:val="fr-BE"/>
              </w:rPr>
              <w:t>5 100,00</w:t>
            </w:r>
          </w:p>
        </w:tc>
        <w:tc>
          <w:tcPr>
            <w:tcW w:w="0" w:type="auto"/>
            <w:shd w:val="clear" w:color="auto" w:fill="auto"/>
          </w:tcPr>
          <w:p w14:paraId="4FAC1F94" w14:textId="77777777" w:rsidR="008C5CFA" w:rsidRPr="0024468B" w:rsidRDefault="008C5CFA" w:rsidP="00300A01">
            <w:pPr>
              <w:spacing w:before="0" w:after="0"/>
              <w:jc w:val="right"/>
              <w:rPr>
                <w:sz w:val="16"/>
                <w:szCs w:val="16"/>
                <w:lang w:val="fr-BE"/>
              </w:rPr>
            </w:pPr>
          </w:p>
        </w:tc>
        <w:tc>
          <w:tcPr>
            <w:tcW w:w="0" w:type="auto"/>
          </w:tcPr>
          <w:p w14:paraId="19444177" w14:textId="77777777" w:rsidR="008C5CFA" w:rsidRPr="0024468B" w:rsidRDefault="008C5CFA" w:rsidP="00300A01">
            <w:pPr>
              <w:spacing w:before="0" w:after="0"/>
              <w:jc w:val="right"/>
              <w:rPr>
                <w:sz w:val="16"/>
                <w:szCs w:val="16"/>
                <w:lang w:val="fr-BE"/>
              </w:rPr>
            </w:pPr>
          </w:p>
        </w:tc>
        <w:tc>
          <w:tcPr>
            <w:tcW w:w="0" w:type="auto"/>
            <w:shd w:val="clear" w:color="auto" w:fill="auto"/>
          </w:tcPr>
          <w:p w14:paraId="6A903DC2" w14:textId="77777777" w:rsidR="008C5CFA" w:rsidRPr="0024468B" w:rsidRDefault="00E82A60" w:rsidP="00300A01">
            <w:pPr>
              <w:spacing w:before="0" w:after="0"/>
              <w:jc w:val="right"/>
              <w:rPr>
                <w:sz w:val="16"/>
                <w:szCs w:val="16"/>
                <w:lang w:val="fr-BE"/>
              </w:rPr>
            </w:pPr>
            <w:r w:rsidRPr="0024468B">
              <w:rPr>
                <w:noProof/>
                <w:sz w:val="16"/>
                <w:szCs w:val="16"/>
                <w:lang w:val="fr-BE"/>
              </w:rPr>
              <w:t>14,00</w:t>
            </w:r>
          </w:p>
        </w:tc>
        <w:tc>
          <w:tcPr>
            <w:tcW w:w="0" w:type="auto"/>
            <w:shd w:val="clear" w:color="auto" w:fill="auto"/>
          </w:tcPr>
          <w:p w14:paraId="3A9E18EA"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5E2E8FE3"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3B52F139" w14:textId="77777777" w:rsidR="008C5CFA" w:rsidRPr="0024468B" w:rsidRDefault="008C5CFA" w:rsidP="00300A01">
            <w:pPr>
              <w:spacing w:before="0" w:after="0"/>
              <w:rPr>
                <w:sz w:val="16"/>
                <w:szCs w:val="16"/>
                <w:lang w:val="fr-BE"/>
              </w:rPr>
            </w:pPr>
          </w:p>
        </w:tc>
      </w:tr>
      <w:tr w:rsidR="006B2EC1" w14:paraId="088914A7" w14:textId="77777777" w:rsidTr="0047688D">
        <w:tc>
          <w:tcPr>
            <w:tcW w:w="0" w:type="auto"/>
          </w:tcPr>
          <w:p w14:paraId="3EBFAE8A" w14:textId="77777777" w:rsidR="008C5CFA" w:rsidRPr="0024468B" w:rsidRDefault="00E82A60" w:rsidP="00300A01">
            <w:pPr>
              <w:spacing w:before="0" w:after="0"/>
              <w:rPr>
                <w:sz w:val="16"/>
                <w:szCs w:val="16"/>
                <w:lang w:val="fr-BE"/>
              </w:rPr>
            </w:pPr>
            <w:r>
              <w:rPr>
                <w:noProof/>
                <w:sz w:val="16"/>
                <w:szCs w:val="16"/>
                <w:lang w:val="fr-BE"/>
              </w:rPr>
              <w:t>S</w:t>
            </w:r>
          </w:p>
        </w:tc>
        <w:tc>
          <w:tcPr>
            <w:tcW w:w="0" w:type="auto"/>
            <w:shd w:val="clear" w:color="auto" w:fill="auto"/>
          </w:tcPr>
          <w:p w14:paraId="5A97B893" w14:textId="77777777" w:rsidR="008C5CFA" w:rsidRPr="0024468B" w:rsidRDefault="00E82A60" w:rsidP="00300A01">
            <w:pPr>
              <w:spacing w:before="0" w:after="0"/>
              <w:rPr>
                <w:sz w:val="16"/>
                <w:szCs w:val="16"/>
                <w:lang w:val="fr-BE"/>
              </w:rPr>
            </w:pPr>
            <w:r w:rsidRPr="0024468B">
              <w:rPr>
                <w:noProof/>
                <w:sz w:val="16"/>
                <w:szCs w:val="16"/>
                <w:lang w:val="fr-BE"/>
              </w:rPr>
              <w:t>CO31</w:t>
            </w:r>
          </w:p>
        </w:tc>
        <w:tc>
          <w:tcPr>
            <w:tcW w:w="0" w:type="auto"/>
            <w:shd w:val="clear" w:color="auto" w:fill="auto"/>
          </w:tcPr>
          <w:p w14:paraId="0990D472" w14:textId="77777777" w:rsidR="008C5CFA" w:rsidRPr="0024468B" w:rsidRDefault="00E82A60" w:rsidP="00300A01">
            <w:pPr>
              <w:spacing w:before="0" w:after="0"/>
              <w:rPr>
                <w:sz w:val="16"/>
                <w:szCs w:val="16"/>
                <w:lang w:val="fr-BE"/>
              </w:rPr>
            </w:pPr>
            <w:r w:rsidRPr="0024468B">
              <w:rPr>
                <w:noProof/>
                <w:sz w:val="16"/>
                <w:szCs w:val="16"/>
                <w:lang w:val="fr-BE"/>
              </w:rPr>
              <w:t>Efektywność energetyczna: liczba gospodarstw domowych z lepszą klasą zużycia energii</w:t>
            </w:r>
          </w:p>
        </w:tc>
        <w:tc>
          <w:tcPr>
            <w:tcW w:w="0" w:type="auto"/>
            <w:shd w:val="clear" w:color="auto" w:fill="auto"/>
          </w:tcPr>
          <w:p w14:paraId="1432C241" w14:textId="77777777" w:rsidR="008C5CFA" w:rsidRPr="0024468B" w:rsidRDefault="00E82A60" w:rsidP="00300A01">
            <w:pPr>
              <w:spacing w:before="0" w:after="0"/>
              <w:rPr>
                <w:sz w:val="16"/>
                <w:szCs w:val="16"/>
                <w:lang w:val="fr-BE"/>
              </w:rPr>
            </w:pPr>
            <w:r>
              <w:rPr>
                <w:noProof/>
                <w:sz w:val="16"/>
                <w:szCs w:val="16"/>
                <w:lang w:val="fr-BE"/>
              </w:rPr>
              <w:t>Gospodarstwa domowe</w:t>
            </w:r>
          </w:p>
        </w:tc>
        <w:tc>
          <w:tcPr>
            <w:tcW w:w="0" w:type="auto"/>
            <w:shd w:val="clear" w:color="auto" w:fill="auto"/>
          </w:tcPr>
          <w:p w14:paraId="7A52EADC" w14:textId="77777777" w:rsidR="008C5CFA" w:rsidRPr="0024468B" w:rsidRDefault="00E82A60"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14:paraId="5A09036A" w14:textId="77777777" w:rsidR="008C5CFA" w:rsidRPr="0024468B" w:rsidRDefault="00E82A60" w:rsidP="00300A01">
            <w:pPr>
              <w:spacing w:before="0" w:after="0"/>
              <w:jc w:val="right"/>
              <w:rPr>
                <w:sz w:val="16"/>
                <w:szCs w:val="16"/>
                <w:lang w:val="fr-BE"/>
              </w:rPr>
            </w:pPr>
            <w:r>
              <w:rPr>
                <w:noProof/>
                <w:sz w:val="16"/>
                <w:szCs w:val="16"/>
                <w:lang w:val="fr-BE"/>
              </w:rPr>
              <w:t>5 100,00</w:t>
            </w:r>
          </w:p>
        </w:tc>
        <w:tc>
          <w:tcPr>
            <w:tcW w:w="0" w:type="auto"/>
            <w:shd w:val="clear" w:color="auto" w:fill="auto"/>
          </w:tcPr>
          <w:p w14:paraId="26D4DF56" w14:textId="77777777" w:rsidR="008C5CFA" w:rsidRPr="0024468B" w:rsidRDefault="008C5CFA" w:rsidP="00300A01">
            <w:pPr>
              <w:spacing w:before="0" w:after="0"/>
              <w:jc w:val="right"/>
              <w:rPr>
                <w:sz w:val="16"/>
                <w:szCs w:val="16"/>
                <w:lang w:val="fr-BE"/>
              </w:rPr>
            </w:pPr>
          </w:p>
        </w:tc>
        <w:tc>
          <w:tcPr>
            <w:tcW w:w="0" w:type="auto"/>
          </w:tcPr>
          <w:p w14:paraId="4F88BA50" w14:textId="77777777" w:rsidR="008C5CFA" w:rsidRPr="0024468B" w:rsidRDefault="008C5CFA" w:rsidP="00300A01">
            <w:pPr>
              <w:spacing w:before="0" w:after="0"/>
              <w:jc w:val="right"/>
              <w:rPr>
                <w:sz w:val="16"/>
                <w:szCs w:val="16"/>
                <w:lang w:val="fr-BE"/>
              </w:rPr>
            </w:pPr>
          </w:p>
        </w:tc>
        <w:tc>
          <w:tcPr>
            <w:tcW w:w="0" w:type="auto"/>
            <w:shd w:val="clear" w:color="auto" w:fill="auto"/>
          </w:tcPr>
          <w:p w14:paraId="4B606142" w14:textId="77777777" w:rsidR="008C5CFA" w:rsidRPr="0024468B" w:rsidRDefault="00E82A60" w:rsidP="00300A01">
            <w:pPr>
              <w:spacing w:before="0" w:after="0"/>
              <w:jc w:val="right"/>
              <w:rPr>
                <w:sz w:val="16"/>
                <w:szCs w:val="16"/>
                <w:lang w:val="fr-BE"/>
              </w:rPr>
            </w:pPr>
            <w:r w:rsidRPr="0024468B">
              <w:rPr>
                <w:noProof/>
                <w:sz w:val="16"/>
                <w:szCs w:val="16"/>
                <w:lang w:val="fr-BE"/>
              </w:rPr>
              <w:t>14,00</w:t>
            </w:r>
          </w:p>
        </w:tc>
        <w:tc>
          <w:tcPr>
            <w:tcW w:w="0" w:type="auto"/>
            <w:shd w:val="clear" w:color="auto" w:fill="auto"/>
          </w:tcPr>
          <w:p w14:paraId="4B8004C8"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09444467"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1B00CB6F" w14:textId="77777777" w:rsidR="008C5CFA" w:rsidRPr="0024468B" w:rsidRDefault="00E82A60" w:rsidP="00300A01">
            <w:pPr>
              <w:spacing w:before="0" w:after="0"/>
              <w:rPr>
                <w:sz w:val="16"/>
                <w:szCs w:val="16"/>
                <w:lang w:val="fr-BE"/>
              </w:rPr>
            </w:pPr>
            <w:r w:rsidRPr="0024468B">
              <w:rPr>
                <w:noProof/>
                <w:sz w:val="16"/>
                <w:szCs w:val="16"/>
                <w:lang w:val="fr-BE"/>
              </w:rPr>
              <w:t>W związku z brakiem zainteresowania potencjalnych beneficjentów (spółdzielnie i wspólnoty mieszkaniowe), IZ podjebała decyzję o dopuszczeniu do realizacji innych podmiotów publicznych. Mimo tego wartość docelowa wskaźnika jest przeszacowany i zaproponowano jej zmianę do poziomu 450 gospodarstw domowych.</w:t>
            </w:r>
          </w:p>
        </w:tc>
      </w:tr>
      <w:tr w:rsidR="006B2EC1" w14:paraId="59213E41" w14:textId="77777777" w:rsidTr="0047688D">
        <w:tc>
          <w:tcPr>
            <w:tcW w:w="0" w:type="auto"/>
          </w:tcPr>
          <w:p w14:paraId="0DEA0E68" w14:textId="77777777" w:rsidR="008C5CFA" w:rsidRPr="0024468B" w:rsidRDefault="00E82A60" w:rsidP="00300A01">
            <w:pPr>
              <w:spacing w:before="0" w:after="0"/>
              <w:rPr>
                <w:sz w:val="16"/>
                <w:szCs w:val="16"/>
                <w:lang w:val="fr-BE"/>
              </w:rPr>
            </w:pPr>
            <w:r>
              <w:rPr>
                <w:noProof/>
                <w:sz w:val="16"/>
                <w:szCs w:val="16"/>
                <w:lang w:val="fr-BE"/>
              </w:rPr>
              <w:t>F</w:t>
            </w:r>
          </w:p>
        </w:tc>
        <w:tc>
          <w:tcPr>
            <w:tcW w:w="0" w:type="auto"/>
            <w:shd w:val="clear" w:color="auto" w:fill="auto"/>
          </w:tcPr>
          <w:p w14:paraId="6737670C" w14:textId="77777777" w:rsidR="008C5CFA" w:rsidRPr="0024468B" w:rsidRDefault="00E82A60" w:rsidP="00300A01">
            <w:pPr>
              <w:spacing w:before="0" w:after="0"/>
              <w:rPr>
                <w:sz w:val="16"/>
                <w:szCs w:val="16"/>
                <w:lang w:val="fr-BE"/>
              </w:rPr>
            </w:pPr>
            <w:r w:rsidRPr="0024468B">
              <w:rPr>
                <w:noProof/>
                <w:sz w:val="16"/>
                <w:szCs w:val="16"/>
                <w:lang w:val="fr-BE"/>
              </w:rPr>
              <w:t>CO32</w:t>
            </w:r>
          </w:p>
        </w:tc>
        <w:tc>
          <w:tcPr>
            <w:tcW w:w="0" w:type="auto"/>
            <w:shd w:val="clear" w:color="auto" w:fill="auto"/>
          </w:tcPr>
          <w:p w14:paraId="53792B33" w14:textId="77777777" w:rsidR="008C5CFA" w:rsidRPr="0024468B" w:rsidRDefault="00E82A60" w:rsidP="00300A01">
            <w:pPr>
              <w:spacing w:before="0" w:after="0"/>
              <w:rPr>
                <w:sz w:val="16"/>
                <w:szCs w:val="16"/>
                <w:lang w:val="fr-BE"/>
              </w:rPr>
            </w:pPr>
            <w:r w:rsidRPr="0024468B">
              <w:rPr>
                <w:noProof/>
                <w:sz w:val="16"/>
                <w:szCs w:val="16"/>
                <w:lang w:val="fr-BE"/>
              </w:rPr>
              <w:t>Efektywność energetyczna: zmniejszenie rocznego zużycia energii pierwotnej w budynkach publicznych</w:t>
            </w:r>
          </w:p>
        </w:tc>
        <w:tc>
          <w:tcPr>
            <w:tcW w:w="0" w:type="auto"/>
            <w:shd w:val="clear" w:color="auto" w:fill="auto"/>
          </w:tcPr>
          <w:p w14:paraId="6A7B1652" w14:textId="77777777" w:rsidR="008C5CFA" w:rsidRPr="0024468B" w:rsidRDefault="00E82A60" w:rsidP="00300A01">
            <w:pPr>
              <w:spacing w:before="0" w:after="0"/>
              <w:rPr>
                <w:sz w:val="16"/>
                <w:szCs w:val="16"/>
                <w:lang w:val="fr-BE"/>
              </w:rPr>
            </w:pPr>
            <w:r>
              <w:rPr>
                <w:noProof/>
                <w:sz w:val="16"/>
                <w:szCs w:val="16"/>
                <w:lang w:val="fr-BE"/>
              </w:rPr>
              <w:t>kWh/rok</w:t>
            </w:r>
          </w:p>
        </w:tc>
        <w:tc>
          <w:tcPr>
            <w:tcW w:w="0" w:type="auto"/>
            <w:shd w:val="clear" w:color="auto" w:fill="auto"/>
          </w:tcPr>
          <w:p w14:paraId="0F143CFB" w14:textId="77777777" w:rsidR="008C5CFA" w:rsidRPr="0024468B" w:rsidRDefault="00E82A60"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14:paraId="16741FF6" w14:textId="77777777" w:rsidR="008C5CFA" w:rsidRPr="0024468B" w:rsidRDefault="00E82A60" w:rsidP="00300A01">
            <w:pPr>
              <w:spacing w:before="0" w:after="0"/>
              <w:jc w:val="right"/>
              <w:rPr>
                <w:sz w:val="16"/>
                <w:szCs w:val="16"/>
                <w:lang w:val="fr-BE"/>
              </w:rPr>
            </w:pPr>
            <w:r>
              <w:rPr>
                <w:noProof/>
                <w:sz w:val="16"/>
                <w:szCs w:val="16"/>
                <w:lang w:val="fr-BE"/>
              </w:rPr>
              <w:t>154 293 611,00</w:t>
            </w:r>
          </w:p>
        </w:tc>
        <w:tc>
          <w:tcPr>
            <w:tcW w:w="0" w:type="auto"/>
            <w:shd w:val="clear" w:color="auto" w:fill="auto"/>
          </w:tcPr>
          <w:p w14:paraId="7FFACB5F" w14:textId="77777777" w:rsidR="008C5CFA" w:rsidRPr="0024468B" w:rsidRDefault="008C5CFA" w:rsidP="00300A01">
            <w:pPr>
              <w:spacing w:before="0" w:after="0"/>
              <w:jc w:val="right"/>
              <w:rPr>
                <w:sz w:val="16"/>
                <w:szCs w:val="16"/>
                <w:lang w:val="fr-BE"/>
              </w:rPr>
            </w:pPr>
          </w:p>
        </w:tc>
        <w:tc>
          <w:tcPr>
            <w:tcW w:w="0" w:type="auto"/>
          </w:tcPr>
          <w:p w14:paraId="535905C1" w14:textId="77777777" w:rsidR="008C5CFA" w:rsidRPr="0024468B" w:rsidRDefault="008C5CFA" w:rsidP="00300A01">
            <w:pPr>
              <w:spacing w:before="0" w:after="0"/>
              <w:jc w:val="right"/>
              <w:rPr>
                <w:sz w:val="16"/>
                <w:szCs w:val="16"/>
                <w:lang w:val="fr-BE"/>
              </w:rPr>
            </w:pPr>
          </w:p>
        </w:tc>
        <w:tc>
          <w:tcPr>
            <w:tcW w:w="0" w:type="auto"/>
            <w:shd w:val="clear" w:color="auto" w:fill="auto"/>
          </w:tcPr>
          <w:p w14:paraId="193E9BE6" w14:textId="77777777" w:rsidR="008C5CFA" w:rsidRPr="0024468B" w:rsidRDefault="00E82A60" w:rsidP="00300A01">
            <w:pPr>
              <w:spacing w:before="0" w:after="0"/>
              <w:jc w:val="right"/>
              <w:rPr>
                <w:sz w:val="16"/>
                <w:szCs w:val="16"/>
                <w:lang w:val="fr-BE"/>
              </w:rPr>
            </w:pPr>
            <w:r w:rsidRPr="0024468B">
              <w:rPr>
                <w:noProof/>
                <w:sz w:val="16"/>
                <w:szCs w:val="16"/>
                <w:lang w:val="fr-BE"/>
              </w:rPr>
              <w:t>6 874 569,96</w:t>
            </w:r>
          </w:p>
        </w:tc>
        <w:tc>
          <w:tcPr>
            <w:tcW w:w="0" w:type="auto"/>
            <w:shd w:val="clear" w:color="auto" w:fill="auto"/>
          </w:tcPr>
          <w:p w14:paraId="11EF97C8"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2F9E833D"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6F1D7BBF" w14:textId="77777777" w:rsidR="008C5CFA" w:rsidRPr="0024468B" w:rsidRDefault="008C5CFA" w:rsidP="00300A01">
            <w:pPr>
              <w:spacing w:before="0" w:after="0"/>
              <w:rPr>
                <w:sz w:val="16"/>
                <w:szCs w:val="16"/>
                <w:lang w:val="fr-BE"/>
              </w:rPr>
            </w:pPr>
          </w:p>
        </w:tc>
      </w:tr>
      <w:tr w:rsidR="006B2EC1" w14:paraId="27668556" w14:textId="77777777" w:rsidTr="0047688D">
        <w:tc>
          <w:tcPr>
            <w:tcW w:w="0" w:type="auto"/>
          </w:tcPr>
          <w:p w14:paraId="6B5E24CB" w14:textId="77777777" w:rsidR="008C5CFA" w:rsidRPr="0024468B" w:rsidRDefault="00E82A60" w:rsidP="00300A01">
            <w:pPr>
              <w:spacing w:before="0" w:after="0"/>
              <w:rPr>
                <w:sz w:val="16"/>
                <w:szCs w:val="16"/>
                <w:lang w:val="fr-BE"/>
              </w:rPr>
            </w:pPr>
            <w:r>
              <w:rPr>
                <w:noProof/>
                <w:sz w:val="16"/>
                <w:szCs w:val="16"/>
                <w:lang w:val="fr-BE"/>
              </w:rPr>
              <w:t>S</w:t>
            </w:r>
          </w:p>
        </w:tc>
        <w:tc>
          <w:tcPr>
            <w:tcW w:w="0" w:type="auto"/>
            <w:shd w:val="clear" w:color="auto" w:fill="auto"/>
          </w:tcPr>
          <w:p w14:paraId="15B67024" w14:textId="77777777" w:rsidR="008C5CFA" w:rsidRPr="0024468B" w:rsidRDefault="00E82A60" w:rsidP="00300A01">
            <w:pPr>
              <w:spacing w:before="0" w:after="0"/>
              <w:rPr>
                <w:sz w:val="16"/>
                <w:szCs w:val="16"/>
                <w:lang w:val="fr-BE"/>
              </w:rPr>
            </w:pPr>
            <w:r w:rsidRPr="0024468B">
              <w:rPr>
                <w:noProof/>
                <w:sz w:val="16"/>
                <w:szCs w:val="16"/>
                <w:lang w:val="fr-BE"/>
              </w:rPr>
              <w:t>CO32</w:t>
            </w:r>
          </w:p>
        </w:tc>
        <w:tc>
          <w:tcPr>
            <w:tcW w:w="0" w:type="auto"/>
            <w:shd w:val="clear" w:color="auto" w:fill="auto"/>
          </w:tcPr>
          <w:p w14:paraId="12F8DA3D" w14:textId="77777777" w:rsidR="008C5CFA" w:rsidRPr="0024468B" w:rsidRDefault="00E82A60" w:rsidP="00300A01">
            <w:pPr>
              <w:spacing w:before="0" w:after="0"/>
              <w:rPr>
                <w:sz w:val="16"/>
                <w:szCs w:val="16"/>
                <w:lang w:val="fr-BE"/>
              </w:rPr>
            </w:pPr>
            <w:r w:rsidRPr="0024468B">
              <w:rPr>
                <w:noProof/>
                <w:sz w:val="16"/>
                <w:szCs w:val="16"/>
                <w:lang w:val="fr-BE"/>
              </w:rPr>
              <w:t>Efektywność energetyczna: zmniejszenie rocznego zużycia energii pierwotnej w budynkach publicznych</w:t>
            </w:r>
          </w:p>
        </w:tc>
        <w:tc>
          <w:tcPr>
            <w:tcW w:w="0" w:type="auto"/>
            <w:shd w:val="clear" w:color="auto" w:fill="auto"/>
          </w:tcPr>
          <w:p w14:paraId="6FD922BC" w14:textId="77777777" w:rsidR="008C5CFA" w:rsidRPr="0024468B" w:rsidRDefault="00E82A60" w:rsidP="00300A01">
            <w:pPr>
              <w:spacing w:before="0" w:after="0"/>
              <w:rPr>
                <w:sz w:val="16"/>
                <w:szCs w:val="16"/>
                <w:lang w:val="fr-BE"/>
              </w:rPr>
            </w:pPr>
            <w:r>
              <w:rPr>
                <w:noProof/>
                <w:sz w:val="16"/>
                <w:szCs w:val="16"/>
                <w:lang w:val="fr-BE"/>
              </w:rPr>
              <w:t>kWh/rok</w:t>
            </w:r>
          </w:p>
        </w:tc>
        <w:tc>
          <w:tcPr>
            <w:tcW w:w="0" w:type="auto"/>
            <w:shd w:val="clear" w:color="auto" w:fill="auto"/>
          </w:tcPr>
          <w:p w14:paraId="7816788F" w14:textId="77777777" w:rsidR="008C5CFA" w:rsidRPr="0024468B" w:rsidRDefault="00E82A60"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14:paraId="111C064E" w14:textId="77777777" w:rsidR="008C5CFA" w:rsidRPr="0024468B" w:rsidRDefault="00E82A60" w:rsidP="00300A01">
            <w:pPr>
              <w:spacing w:before="0" w:after="0"/>
              <w:jc w:val="right"/>
              <w:rPr>
                <w:sz w:val="16"/>
                <w:szCs w:val="16"/>
                <w:lang w:val="fr-BE"/>
              </w:rPr>
            </w:pPr>
            <w:r>
              <w:rPr>
                <w:noProof/>
                <w:sz w:val="16"/>
                <w:szCs w:val="16"/>
                <w:lang w:val="fr-BE"/>
              </w:rPr>
              <w:t>154 293 611,00</w:t>
            </w:r>
          </w:p>
        </w:tc>
        <w:tc>
          <w:tcPr>
            <w:tcW w:w="0" w:type="auto"/>
            <w:shd w:val="clear" w:color="auto" w:fill="auto"/>
          </w:tcPr>
          <w:p w14:paraId="7B2A97A7" w14:textId="77777777" w:rsidR="008C5CFA" w:rsidRPr="0024468B" w:rsidRDefault="008C5CFA" w:rsidP="00300A01">
            <w:pPr>
              <w:spacing w:before="0" w:after="0"/>
              <w:jc w:val="right"/>
              <w:rPr>
                <w:sz w:val="16"/>
                <w:szCs w:val="16"/>
                <w:lang w:val="fr-BE"/>
              </w:rPr>
            </w:pPr>
          </w:p>
        </w:tc>
        <w:tc>
          <w:tcPr>
            <w:tcW w:w="0" w:type="auto"/>
          </w:tcPr>
          <w:p w14:paraId="2C08E026" w14:textId="77777777" w:rsidR="008C5CFA" w:rsidRPr="0024468B" w:rsidRDefault="008C5CFA" w:rsidP="00300A01">
            <w:pPr>
              <w:spacing w:before="0" w:after="0"/>
              <w:jc w:val="right"/>
              <w:rPr>
                <w:sz w:val="16"/>
                <w:szCs w:val="16"/>
                <w:lang w:val="fr-BE"/>
              </w:rPr>
            </w:pPr>
          </w:p>
        </w:tc>
        <w:tc>
          <w:tcPr>
            <w:tcW w:w="0" w:type="auto"/>
            <w:shd w:val="clear" w:color="auto" w:fill="auto"/>
          </w:tcPr>
          <w:p w14:paraId="6B8BDCA8" w14:textId="77777777" w:rsidR="008C5CFA" w:rsidRPr="0024468B" w:rsidRDefault="00E82A60" w:rsidP="00300A01">
            <w:pPr>
              <w:spacing w:before="0" w:after="0"/>
              <w:jc w:val="right"/>
              <w:rPr>
                <w:sz w:val="16"/>
                <w:szCs w:val="16"/>
                <w:lang w:val="fr-BE"/>
              </w:rPr>
            </w:pPr>
            <w:r w:rsidRPr="0024468B">
              <w:rPr>
                <w:noProof/>
                <w:sz w:val="16"/>
                <w:szCs w:val="16"/>
                <w:lang w:val="fr-BE"/>
              </w:rPr>
              <w:t>87 776 326,97</w:t>
            </w:r>
          </w:p>
        </w:tc>
        <w:tc>
          <w:tcPr>
            <w:tcW w:w="0" w:type="auto"/>
            <w:shd w:val="clear" w:color="auto" w:fill="auto"/>
          </w:tcPr>
          <w:p w14:paraId="6F9D047A"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75C1A870"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2167D517" w14:textId="77777777" w:rsidR="008C5CFA" w:rsidRPr="0024468B" w:rsidRDefault="00E82A60" w:rsidP="00300A01">
            <w:pPr>
              <w:spacing w:before="0" w:after="0"/>
              <w:rPr>
                <w:sz w:val="16"/>
                <w:szCs w:val="16"/>
                <w:lang w:val="fr-BE"/>
              </w:rPr>
            </w:pPr>
            <w:r w:rsidRPr="0024468B">
              <w:rPr>
                <w:noProof/>
                <w:sz w:val="16"/>
                <w:szCs w:val="16"/>
                <w:lang w:val="fr-BE"/>
              </w:rPr>
              <w:t>Wartość wskaźnika została urealniona w oparciu o projekty przyjęte i planowane do realizacji.  Zaproponowany poziom to 103 500 000 kWh rocznie.</w:t>
            </w:r>
          </w:p>
        </w:tc>
      </w:tr>
      <w:tr w:rsidR="006B2EC1" w14:paraId="19453BFE" w14:textId="77777777" w:rsidTr="0047688D">
        <w:tc>
          <w:tcPr>
            <w:tcW w:w="0" w:type="auto"/>
          </w:tcPr>
          <w:p w14:paraId="2315EDA4" w14:textId="77777777" w:rsidR="008C5CFA" w:rsidRPr="0024468B" w:rsidRDefault="00E82A60" w:rsidP="00300A01">
            <w:pPr>
              <w:spacing w:before="0" w:after="0"/>
              <w:rPr>
                <w:sz w:val="16"/>
                <w:szCs w:val="16"/>
                <w:lang w:val="fr-BE"/>
              </w:rPr>
            </w:pPr>
            <w:r>
              <w:rPr>
                <w:noProof/>
                <w:sz w:val="16"/>
                <w:szCs w:val="16"/>
                <w:lang w:val="fr-BE"/>
              </w:rPr>
              <w:t>F</w:t>
            </w:r>
          </w:p>
        </w:tc>
        <w:tc>
          <w:tcPr>
            <w:tcW w:w="0" w:type="auto"/>
            <w:shd w:val="clear" w:color="auto" w:fill="auto"/>
          </w:tcPr>
          <w:p w14:paraId="1B4A654D" w14:textId="77777777" w:rsidR="008C5CFA" w:rsidRPr="0024468B" w:rsidRDefault="00E82A60" w:rsidP="00300A01">
            <w:pPr>
              <w:spacing w:before="0" w:after="0"/>
              <w:rPr>
                <w:sz w:val="16"/>
                <w:szCs w:val="16"/>
                <w:lang w:val="fr-BE"/>
              </w:rPr>
            </w:pPr>
            <w:r w:rsidRPr="0024468B">
              <w:rPr>
                <w:noProof/>
                <w:sz w:val="16"/>
                <w:szCs w:val="16"/>
                <w:lang w:val="fr-BE"/>
              </w:rPr>
              <w:t>CO34</w:t>
            </w:r>
          </w:p>
        </w:tc>
        <w:tc>
          <w:tcPr>
            <w:tcW w:w="0" w:type="auto"/>
            <w:shd w:val="clear" w:color="auto" w:fill="auto"/>
          </w:tcPr>
          <w:p w14:paraId="101D01B5" w14:textId="77777777" w:rsidR="008C5CFA" w:rsidRPr="0024468B" w:rsidRDefault="00E82A60" w:rsidP="00300A01">
            <w:pPr>
              <w:spacing w:before="0" w:after="0"/>
              <w:rPr>
                <w:sz w:val="16"/>
                <w:szCs w:val="16"/>
                <w:lang w:val="fr-BE"/>
              </w:rPr>
            </w:pPr>
            <w:r w:rsidRPr="0024468B">
              <w:rPr>
                <w:noProof/>
                <w:sz w:val="16"/>
                <w:szCs w:val="16"/>
                <w:lang w:val="fr-BE"/>
              </w:rPr>
              <w:t>Redukcja emisji gazów cieplarnianych: szacowany roczny spadek emisji gazów cieplarnianych</w:t>
            </w:r>
          </w:p>
        </w:tc>
        <w:tc>
          <w:tcPr>
            <w:tcW w:w="0" w:type="auto"/>
            <w:shd w:val="clear" w:color="auto" w:fill="auto"/>
          </w:tcPr>
          <w:p w14:paraId="43D74236" w14:textId="77777777" w:rsidR="008C5CFA" w:rsidRPr="0024468B" w:rsidRDefault="00E82A60" w:rsidP="00300A01">
            <w:pPr>
              <w:spacing w:before="0" w:after="0"/>
              <w:rPr>
                <w:sz w:val="16"/>
                <w:szCs w:val="16"/>
                <w:lang w:val="fr-BE"/>
              </w:rPr>
            </w:pPr>
            <w:r>
              <w:rPr>
                <w:noProof/>
                <w:sz w:val="16"/>
                <w:szCs w:val="16"/>
                <w:lang w:val="fr-BE"/>
              </w:rPr>
              <w:t>Tony równoważnika CO2</w:t>
            </w:r>
          </w:p>
        </w:tc>
        <w:tc>
          <w:tcPr>
            <w:tcW w:w="0" w:type="auto"/>
            <w:shd w:val="clear" w:color="auto" w:fill="auto"/>
          </w:tcPr>
          <w:p w14:paraId="3413FA11" w14:textId="77777777" w:rsidR="008C5CFA" w:rsidRPr="0024468B" w:rsidRDefault="00E82A60"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14:paraId="7D6D3FF4" w14:textId="77777777" w:rsidR="008C5CFA" w:rsidRPr="0024468B" w:rsidRDefault="00E82A60" w:rsidP="00300A01">
            <w:pPr>
              <w:spacing w:before="0" w:after="0"/>
              <w:jc w:val="right"/>
              <w:rPr>
                <w:sz w:val="16"/>
                <w:szCs w:val="16"/>
                <w:lang w:val="fr-BE"/>
              </w:rPr>
            </w:pPr>
            <w:r>
              <w:rPr>
                <w:noProof/>
                <w:sz w:val="16"/>
                <w:szCs w:val="16"/>
                <w:lang w:val="fr-BE"/>
              </w:rPr>
              <w:t>52 775,00</w:t>
            </w:r>
          </w:p>
        </w:tc>
        <w:tc>
          <w:tcPr>
            <w:tcW w:w="0" w:type="auto"/>
            <w:shd w:val="clear" w:color="auto" w:fill="auto"/>
          </w:tcPr>
          <w:p w14:paraId="633B756A" w14:textId="77777777" w:rsidR="008C5CFA" w:rsidRPr="0024468B" w:rsidRDefault="008C5CFA" w:rsidP="00300A01">
            <w:pPr>
              <w:spacing w:before="0" w:after="0"/>
              <w:jc w:val="right"/>
              <w:rPr>
                <w:sz w:val="16"/>
                <w:szCs w:val="16"/>
                <w:lang w:val="fr-BE"/>
              </w:rPr>
            </w:pPr>
          </w:p>
        </w:tc>
        <w:tc>
          <w:tcPr>
            <w:tcW w:w="0" w:type="auto"/>
          </w:tcPr>
          <w:p w14:paraId="7B14546C" w14:textId="77777777" w:rsidR="008C5CFA" w:rsidRPr="0024468B" w:rsidRDefault="008C5CFA" w:rsidP="00300A01">
            <w:pPr>
              <w:spacing w:before="0" w:after="0"/>
              <w:jc w:val="right"/>
              <w:rPr>
                <w:sz w:val="16"/>
                <w:szCs w:val="16"/>
                <w:lang w:val="fr-BE"/>
              </w:rPr>
            </w:pPr>
          </w:p>
        </w:tc>
        <w:tc>
          <w:tcPr>
            <w:tcW w:w="0" w:type="auto"/>
            <w:shd w:val="clear" w:color="auto" w:fill="auto"/>
          </w:tcPr>
          <w:p w14:paraId="55F7A92C" w14:textId="77777777" w:rsidR="008C5CFA" w:rsidRPr="0024468B" w:rsidRDefault="00E82A60" w:rsidP="00300A01">
            <w:pPr>
              <w:spacing w:before="0" w:after="0"/>
              <w:jc w:val="right"/>
              <w:rPr>
                <w:sz w:val="16"/>
                <w:szCs w:val="16"/>
                <w:lang w:val="fr-BE"/>
              </w:rPr>
            </w:pPr>
            <w:r w:rsidRPr="0024468B">
              <w:rPr>
                <w:noProof/>
                <w:sz w:val="16"/>
                <w:szCs w:val="16"/>
                <w:lang w:val="fr-BE"/>
              </w:rPr>
              <w:t>3 192,60</w:t>
            </w:r>
          </w:p>
        </w:tc>
        <w:tc>
          <w:tcPr>
            <w:tcW w:w="0" w:type="auto"/>
            <w:shd w:val="clear" w:color="auto" w:fill="auto"/>
          </w:tcPr>
          <w:p w14:paraId="1921D33B"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41B13488"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463924CA" w14:textId="77777777" w:rsidR="008C5CFA" w:rsidRPr="0024468B" w:rsidRDefault="00E82A60" w:rsidP="00300A01">
            <w:pPr>
              <w:spacing w:before="0" w:after="0"/>
              <w:rPr>
                <w:sz w:val="16"/>
                <w:szCs w:val="16"/>
                <w:lang w:val="fr-BE"/>
              </w:rPr>
            </w:pPr>
            <w:r w:rsidRPr="0024468B">
              <w:rPr>
                <w:noProof/>
                <w:sz w:val="16"/>
                <w:szCs w:val="16"/>
                <w:lang w:val="fr-BE"/>
              </w:rPr>
              <w:t>Zaproponowana zmiana pozwoli osiągnąć wskaźnik na poziomie 10%</w:t>
            </w:r>
          </w:p>
        </w:tc>
      </w:tr>
      <w:tr w:rsidR="006B2EC1" w14:paraId="15DA39F3" w14:textId="77777777" w:rsidTr="0047688D">
        <w:tc>
          <w:tcPr>
            <w:tcW w:w="0" w:type="auto"/>
          </w:tcPr>
          <w:p w14:paraId="101B3440" w14:textId="77777777" w:rsidR="008C5CFA" w:rsidRPr="0024468B" w:rsidRDefault="00E82A60" w:rsidP="00300A01">
            <w:pPr>
              <w:spacing w:before="0" w:after="0"/>
              <w:rPr>
                <w:sz w:val="16"/>
                <w:szCs w:val="16"/>
                <w:lang w:val="fr-BE"/>
              </w:rPr>
            </w:pPr>
            <w:r>
              <w:rPr>
                <w:noProof/>
                <w:sz w:val="16"/>
                <w:szCs w:val="16"/>
                <w:lang w:val="fr-BE"/>
              </w:rPr>
              <w:t>S</w:t>
            </w:r>
          </w:p>
        </w:tc>
        <w:tc>
          <w:tcPr>
            <w:tcW w:w="0" w:type="auto"/>
            <w:shd w:val="clear" w:color="auto" w:fill="auto"/>
          </w:tcPr>
          <w:p w14:paraId="7EB03ED5" w14:textId="77777777" w:rsidR="008C5CFA" w:rsidRPr="0024468B" w:rsidRDefault="00E82A60" w:rsidP="00300A01">
            <w:pPr>
              <w:spacing w:before="0" w:after="0"/>
              <w:rPr>
                <w:sz w:val="16"/>
                <w:szCs w:val="16"/>
                <w:lang w:val="fr-BE"/>
              </w:rPr>
            </w:pPr>
            <w:r w:rsidRPr="0024468B">
              <w:rPr>
                <w:noProof/>
                <w:sz w:val="16"/>
                <w:szCs w:val="16"/>
                <w:lang w:val="fr-BE"/>
              </w:rPr>
              <w:t>CO34</w:t>
            </w:r>
          </w:p>
        </w:tc>
        <w:tc>
          <w:tcPr>
            <w:tcW w:w="0" w:type="auto"/>
            <w:shd w:val="clear" w:color="auto" w:fill="auto"/>
          </w:tcPr>
          <w:p w14:paraId="4A676B70" w14:textId="77777777" w:rsidR="008C5CFA" w:rsidRPr="0024468B" w:rsidRDefault="00E82A60" w:rsidP="00300A01">
            <w:pPr>
              <w:spacing w:before="0" w:after="0"/>
              <w:rPr>
                <w:sz w:val="16"/>
                <w:szCs w:val="16"/>
                <w:lang w:val="fr-BE"/>
              </w:rPr>
            </w:pPr>
            <w:r w:rsidRPr="0024468B">
              <w:rPr>
                <w:noProof/>
                <w:sz w:val="16"/>
                <w:szCs w:val="16"/>
                <w:lang w:val="fr-BE"/>
              </w:rPr>
              <w:t>Redukcja emisji gazów cieplarnianych: szacowany roczny spadek emisji gazów cieplarnianych</w:t>
            </w:r>
          </w:p>
        </w:tc>
        <w:tc>
          <w:tcPr>
            <w:tcW w:w="0" w:type="auto"/>
            <w:shd w:val="clear" w:color="auto" w:fill="auto"/>
          </w:tcPr>
          <w:p w14:paraId="7C917D7A" w14:textId="77777777" w:rsidR="008C5CFA" w:rsidRPr="0024468B" w:rsidRDefault="00E82A60" w:rsidP="00300A01">
            <w:pPr>
              <w:spacing w:before="0" w:after="0"/>
              <w:rPr>
                <w:sz w:val="16"/>
                <w:szCs w:val="16"/>
                <w:lang w:val="fr-BE"/>
              </w:rPr>
            </w:pPr>
            <w:r>
              <w:rPr>
                <w:noProof/>
                <w:sz w:val="16"/>
                <w:szCs w:val="16"/>
                <w:lang w:val="fr-BE"/>
              </w:rPr>
              <w:t>Tony równoważnika CO2</w:t>
            </w:r>
          </w:p>
        </w:tc>
        <w:tc>
          <w:tcPr>
            <w:tcW w:w="0" w:type="auto"/>
            <w:shd w:val="clear" w:color="auto" w:fill="auto"/>
          </w:tcPr>
          <w:p w14:paraId="7487B0B2" w14:textId="77777777" w:rsidR="008C5CFA" w:rsidRPr="0024468B" w:rsidRDefault="00E82A60"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14:paraId="149294C7" w14:textId="77777777" w:rsidR="008C5CFA" w:rsidRPr="0024468B" w:rsidRDefault="00E82A60" w:rsidP="00300A01">
            <w:pPr>
              <w:spacing w:before="0" w:after="0"/>
              <w:jc w:val="right"/>
              <w:rPr>
                <w:sz w:val="16"/>
                <w:szCs w:val="16"/>
                <w:lang w:val="fr-BE"/>
              </w:rPr>
            </w:pPr>
            <w:r>
              <w:rPr>
                <w:noProof/>
                <w:sz w:val="16"/>
                <w:szCs w:val="16"/>
                <w:lang w:val="fr-BE"/>
              </w:rPr>
              <w:t>52 775,00</w:t>
            </w:r>
          </w:p>
        </w:tc>
        <w:tc>
          <w:tcPr>
            <w:tcW w:w="0" w:type="auto"/>
            <w:shd w:val="clear" w:color="auto" w:fill="auto"/>
          </w:tcPr>
          <w:p w14:paraId="5662505D" w14:textId="77777777" w:rsidR="008C5CFA" w:rsidRPr="0024468B" w:rsidRDefault="008C5CFA" w:rsidP="00300A01">
            <w:pPr>
              <w:spacing w:before="0" w:after="0"/>
              <w:jc w:val="right"/>
              <w:rPr>
                <w:sz w:val="16"/>
                <w:szCs w:val="16"/>
                <w:lang w:val="fr-BE"/>
              </w:rPr>
            </w:pPr>
          </w:p>
        </w:tc>
        <w:tc>
          <w:tcPr>
            <w:tcW w:w="0" w:type="auto"/>
          </w:tcPr>
          <w:p w14:paraId="14B1D0DC" w14:textId="77777777" w:rsidR="008C5CFA" w:rsidRPr="0024468B" w:rsidRDefault="008C5CFA" w:rsidP="00300A01">
            <w:pPr>
              <w:spacing w:before="0" w:after="0"/>
              <w:jc w:val="right"/>
              <w:rPr>
                <w:sz w:val="16"/>
                <w:szCs w:val="16"/>
                <w:lang w:val="fr-BE"/>
              </w:rPr>
            </w:pPr>
          </w:p>
        </w:tc>
        <w:tc>
          <w:tcPr>
            <w:tcW w:w="0" w:type="auto"/>
            <w:shd w:val="clear" w:color="auto" w:fill="auto"/>
          </w:tcPr>
          <w:p w14:paraId="04A64FEF" w14:textId="77777777" w:rsidR="008C5CFA" w:rsidRPr="0024468B" w:rsidRDefault="00E82A60" w:rsidP="00300A01">
            <w:pPr>
              <w:spacing w:before="0" w:after="0"/>
              <w:jc w:val="right"/>
              <w:rPr>
                <w:sz w:val="16"/>
                <w:szCs w:val="16"/>
                <w:lang w:val="fr-BE"/>
              </w:rPr>
            </w:pPr>
            <w:r w:rsidRPr="0024468B">
              <w:rPr>
                <w:noProof/>
                <w:sz w:val="16"/>
                <w:szCs w:val="16"/>
                <w:lang w:val="fr-BE"/>
              </w:rPr>
              <w:t>24 677,46</w:t>
            </w:r>
          </w:p>
        </w:tc>
        <w:tc>
          <w:tcPr>
            <w:tcW w:w="0" w:type="auto"/>
            <w:shd w:val="clear" w:color="auto" w:fill="auto"/>
          </w:tcPr>
          <w:p w14:paraId="7B55264A"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0CAAD401"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1093EC3A" w14:textId="77777777" w:rsidR="008C5CFA" w:rsidRPr="0024468B" w:rsidRDefault="00E82A60" w:rsidP="00300A01">
            <w:pPr>
              <w:spacing w:before="0" w:after="0"/>
              <w:rPr>
                <w:sz w:val="16"/>
                <w:szCs w:val="16"/>
                <w:lang w:val="fr-BE"/>
              </w:rPr>
            </w:pPr>
            <w:r w:rsidRPr="0024468B">
              <w:rPr>
                <w:noProof/>
                <w:sz w:val="16"/>
                <w:szCs w:val="16"/>
                <w:lang w:val="fr-BE"/>
              </w:rPr>
              <w:t>Wartość wskaźnika została urealniona w oparciu o projekty przyjęte i planowane do realizacji.  Zaproponowany poziom to 30 550 ton równoważnika CO2.</w:t>
            </w:r>
          </w:p>
        </w:tc>
      </w:tr>
      <w:tr w:rsidR="006B2EC1" w14:paraId="5E1EB267" w14:textId="77777777" w:rsidTr="0047688D">
        <w:tc>
          <w:tcPr>
            <w:tcW w:w="0" w:type="auto"/>
          </w:tcPr>
          <w:p w14:paraId="6FEDE0B0" w14:textId="77777777" w:rsidR="008C5CFA" w:rsidRPr="0024468B" w:rsidRDefault="00E82A60" w:rsidP="00300A01">
            <w:pPr>
              <w:spacing w:before="0" w:after="0"/>
              <w:rPr>
                <w:sz w:val="16"/>
                <w:szCs w:val="16"/>
                <w:lang w:val="fr-BE"/>
              </w:rPr>
            </w:pPr>
            <w:r>
              <w:rPr>
                <w:noProof/>
                <w:sz w:val="16"/>
                <w:szCs w:val="16"/>
                <w:lang w:val="fr-BE"/>
              </w:rPr>
              <w:t>F</w:t>
            </w:r>
          </w:p>
        </w:tc>
        <w:tc>
          <w:tcPr>
            <w:tcW w:w="0" w:type="auto"/>
            <w:shd w:val="clear" w:color="auto" w:fill="auto"/>
          </w:tcPr>
          <w:p w14:paraId="13D1AFBC" w14:textId="77777777" w:rsidR="008C5CFA" w:rsidRPr="0024468B" w:rsidRDefault="00E82A60" w:rsidP="00300A01">
            <w:pPr>
              <w:spacing w:before="0" w:after="0"/>
              <w:rPr>
                <w:sz w:val="16"/>
                <w:szCs w:val="16"/>
                <w:lang w:val="fr-BE"/>
              </w:rPr>
            </w:pPr>
            <w:r>
              <w:rPr>
                <w:noProof/>
                <w:sz w:val="16"/>
                <w:szCs w:val="16"/>
                <w:lang w:val="fr-BE"/>
              </w:rPr>
              <w:t>34</w:t>
            </w:r>
          </w:p>
        </w:tc>
        <w:tc>
          <w:tcPr>
            <w:tcW w:w="0" w:type="auto"/>
            <w:shd w:val="clear" w:color="auto" w:fill="auto"/>
          </w:tcPr>
          <w:p w14:paraId="6E4F7312" w14:textId="77777777" w:rsidR="008C5CFA" w:rsidRPr="0024468B" w:rsidRDefault="00E82A60" w:rsidP="00300A01">
            <w:pPr>
              <w:spacing w:before="0" w:after="0"/>
              <w:rPr>
                <w:sz w:val="16"/>
                <w:szCs w:val="16"/>
                <w:lang w:val="fr-BE"/>
              </w:rPr>
            </w:pPr>
            <w:r>
              <w:rPr>
                <w:noProof/>
                <w:sz w:val="16"/>
                <w:szCs w:val="16"/>
                <w:lang w:val="fr-BE"/>
              </w:rPr>
              <w:t>Liczba zmodernizowanych energetycznie budynków</w:t>
            </w:r>
          </w:p>
        </w:tc>
        <w:tc>
          <w:tcPr>
            <w:tcW w:w="0" w:type="auto"/>
            <w:shd w:val="clear" w:color="auto" w:fill="auto"/>
          </w:tcPr>
          <w:p w14:paraId="78FE6715" w14:textId="77777777" w:rsidR="008C5CFA" w:rsidRPr="0024468B" w:rsidRDefault="00E82A60" w:rsidP="00300A01">
            <w:pPr>
              <w:spacing w:before="0" w:after="0"/>
              <w:rPr>
                <w:sz w:val="16"/>
                <w:szCs w:val="16"/>
                <w:lang w:val="fr-BE"/>
              </w:rPr>
            </w:pPr>
            <w:r w:rsidRPr="0024468B">
              <w:rPr>
                <w:noProof/>
                <w:sz w:val="16"/>
                <w:szCs w:val="16"/>
                <w:lang w:val="fr-BE"/>
              </w:rPr>
              <w:t>szt.</w:t>
            </w:r>
          </w:p>
        </w:tc>
        <w:tc>
          <w:tcPr>
            <w:tcW w:w="0" w:type="auto"/>
            <w:shd w:val="clear" w:color="auto" w:fill="auto"/>
          </w:tcPr>
          <w:p w14:paraId="52C5800C" w14:textId="77777777" w:rsidR="008C5CFA" w:rsidRPr="0024468B" w:rsidRDefault="00E82A60"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14:paraId="7DCE2A17" w14:textId="77777777" w:rsidR="008C5CFA" w:rsidRPr="0024468B" w:rsidRDefault="00E82A60" w:rsidP="00300A01">
            <w:pPr>
              <w:spacing w:before="0" w:after="0"/>
              <w:jc w:val="right"/>
              <w:rPr>
                <w:sz w:val="16"/>
                <w:szCs w:val="16"/>
                <w:lang w:val="fr-BE"/>
              </w:rPr>
            </w:pPr>
            <w:r>
              <w:rPr>
                <w:noProof/>
                <w:sz w:val="16"/>
                <w:szCs w:val="16"/>
                <w:lang w:val="fr-BE"/>
              </w:rPr>
              <w:t>280,00</w:t>
            </w:r>
          </w:p>
        </w:tc>
        <w:tc>
          <w:tcPr>
            <w:tcW w:w="0" w:type="auto"/>
            <w:shd w:val="clear" w:color="auto" w:fill="auto"/>
          </w:tcPr>
          <w:p w14:paraId="6931BD79" w14:textId="77777777" w:rsidR="008C5CFA" w:rsidRPr="0024468B" w:rsidRDefault="008C5CFA" w:rsidP="00300A01">
            <w:pPr>
              <w:spacing w:before="0" w:after="0"/>
              <w:jc w:val="right"/>
              <w:rPr>
                <w:sz w:val="16"/>
                <w:szCs w:val="16"/>
                <w:lang w:val="fr-BE"/>
              </w:rPr>
            </w:pPr>
          </w:p>
        </w:tc>
        <w:tc>
          <w:tcPr>
            <w:tcW w:w="0" w:type="auto"/>
          </w:tcPr>
          <w:p w14:paraId="343EB462" w14:textId="77777777" w:rsidR="008C5CFA" w:rsidRPr="0024468B" w:rsidRDefault="008C5CFA" w:rsidP="00300A01">
            <w:pPr>
              <w:spacing w:before="0" w:after="0"/>
              <w:jc w:val="right"/>
              <w:rPr>
                <w:sz w:val="16"/>
                <w:szCs w:val="16"/>
                <w:lang w:val="fr-BE"/>
              </w:rPr>
            </w:pPr>
          </w:p>
        </w:tc>
        <w:tc>
          <w:tcPr>
            <w:tcW w:w="0" w:type="auto"/>
            <w:shd w:val="clear" w:color="auto" w:fill="auto"/>
          </w:tcPr>
          <w:p w14:paraId="649ADCE1" w14:textId="77777777" w:rsidR="008C5CFA" w:rsidRPr="0024468B" w:rsidRDefault="00E82A60" w:rsidP="00300A01">
            <w:pPr>
              <w:spacing w:before="0" w:after="0"/>
              <w:jc w:val="right"/>
              <w:rPr>
                <w:sz w:val="16"/>
                <w:szCs w:val="16"/>
                <w:lang w:val="fr-BE"/>
              </w:rPr>
            </w:pPr>
            <w:r w:rsidRPr="0024468B">
              <w:rPr>
                <w:noProof/>
                <w:sz w:val="16"/>
                <w:szCs w:val="16"/>
                <w:lang w:val="fr-BE"/>
              </w:rPr>
              <w:t>152,00</w:t>
            </w:r>
          </w:p>
        </w:tc>
        <w:tc>
          <w:tcPr>
            <w:tcW w:w="0" w:type="auto"/>
            <w:shd w:val="clear" w:color="auto" w:fill="auto"/>
          </w:tcPr>
          <w:p w14:paraId="2418964E"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5E4AFDC2"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7DF5E9FE" w14:textId="77777777" w:rsidR="008C5CFA" w:rsidRPr="0024468B" w:rsidRDefault="008C5CFA" w:rsidP="00300A01">
            <w:pPr>
              <w:spacing w:before="0" w:after="0"/>
              <w:rPr>
                <w:sz w:val="16"/>
                <w:szCs w:val="16"/>
                <w:lang w:val="fr-BE"/>
              </w:rPr>
            </w:pPr>
          </w:p>
        </w:tc>
      </w:tr>
      <w:tr w:rsidR="006B2EC1" w14:paraId="72DD3615" w14:textId="77777777" w:rsidTr="0047688D">
        <w:tc>
          <w:tcPr>
            <w:tcW w:w="0" w:type="auto"/>
          </w:tcPr>
          <w:p w14:paraId="5AAF0071" w14:textId="77777777" w:rsidR="008C5CFA" w:rsidRPr="0024468B" w:rsidRDefault="00E82A60" w:rsidP="00300A01">
            <w:pPr>
              <w:spacing w:before="0" w:after="0"/>
              <w:rPr>
                <w:sz w:val="16"/>
                <w:szCs w:val="16"/>
                <w:lang w:val="fr-BE"/>
              </w:rPr>
            </w:pPr>
            <w:r>
              <w:rPr>
                <w:noProof/>
                <w:sz w:val="16"/>
                <w:szCs w:val="16"/>
                <w:lang w:val="fr-BE"/>
              </w:rPr>
              <w:t>S</w:t>
            </w:r>
          </w:p>
        </w:tc>
        <w:tc>
          <w:tcPr>
            <w:tcW w:w="0" w:type="auto"/>
            <w:shd w:val="clear" w:color="auto" w:fill="auto"/>
          </w:tcPr>
          <w:p w14:paraId="06B0E5E4" w14:textId="77777777" w:rsidR="008C5CFA" w:rsidRPr="0024468B" w:rsidRDefault="00E82A60" w:rsidP="00300A01">
            <w:pPr>
              <w:spacing w:before="0" w:after="0"/>
              <w:rPr>
                <w:sz w:val="16"/>
                <w:szCs w:val="16"/>
                <w:lang w:val="fr-BE"/>
              </w:rPr>
            </w:pPr>
            <w:r>
              <w:rPr>
                <w:noProof/>
                <w:sz w:val="16"/>
                <w:szCs w:val="16"/>
                <w:lang w:val="fr-BE"/>
              </w:rPr>
              <w:t>34</w:t>
            </w:r>
          </w:p>
        </w:tc>
        <w:tc>
          <w:tcPr>
            <w:tcW w:w="0" w:type="auto"/>
            <w:shd w:val="clear" w:color="auto" w:fill="auto"/>
          </w:tcPr>
          <w:p w14:paraId="4B701273" w14:textId="77777777" w:rsidR="008C5CFA" w:rsidRPr="0024468B" w:rsidRDefault="00E82A60" w:rsidP="00300A01">
            <w:pPr>
              <w:spacing w:before="0" w:after="0"/>
              <w:rPr>
                <w:sz w:val="16"/>
                <w:szCs w:val="16"/>
                <w:lang w:val="fr-BE"/>
              </w:rPr>
            </w:pPr>
            <w:r>
              <w:rPr>
                <w:noProof/>
                <w:sz w:val="16"/>
                <w:szCs w:val="16"/>
                <w:lang w:val="fr-BE"/>
              </w:rPr>
              <w:t>Liczba zmodernizowanych energetycznie budynków</w:t>
            </w:r>
          </w:p>
        </w:tc>
        <w:tc>
          <w:tcPr>
            <w:tcW w:w="0" w:type="auto"/>
            <w:shd w:val="clear" w:color="auto" w:fill="auto"/>
          </w:tcPr>
          <w:p w14:paraId="2580AF94" w14:textId="77777777" w:rsidR="008C5CFA" w:rsidRPr="0024468B" w:rsidRDefault="00E82A60" w:rsidP="00300A01">
            <w:pPr>
              <w:spacing w:before="0" w:after="0"/>
              <w:rPr>
                <w:sz w:val="16"/>
                <w:szCs w:val="16"/>
                <w:lang w:val="fr-BE"/>
              </w:rPr>
            </w:pPr>
            <w:r w:rsidRPr="0024468B">
              <w:rPr>
                <w:noProof/>
                <w:sz w:val="16"/>
                <w:szCs w:val="16"/>
                <w:lang w:val="fr-BE"/>
              </w:rPr>
              <w:t>szt.</w:t>
            </w:r>
          </w:p>
        </w:tc>
        <w:tc>
          <w:tcPr>
            <w:tcW w:w="0" w:type="auto"/>
            <w:shd w:val="clear" w:color="auto" w:fill="auto"/>
          </w:tcPr>
          <w:p w14:paraId="54DC8686" w14:textId="77777777" w:rsidR="008C5CFA" w:rsidRPr="0024468B" w:rsidRDefault="00E82A60"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14:paraId="2B21A0A4" w14:textId="77777777" w:rsidR="008C5CFA" w:rsidRPr="0024468B" w:rsidRDefault="00E82A60" w:rsidP="00300A01">
            <w:pPr>
              <w:spacing w:before="0" w:after="0"/>
              <w:jc w:val="right"/>
              <w:rPr>
                <w:sz w:val="16"/>
                <w:szCs w:val="16"/>
                <w:lang w:val="fr-BE"/>
              </w:rPr>
            </w:pPr>
            <w:r>
              <w:rPr>
                <w:noProof/>
                <w:sz w:val="16"/>
                <w:szCs w:val="16"/>
                <w:lang w:val="fr-BE"/>
              </w:rPr>
              <w:t>280,00</w:t>
            </w:r>
          </w:p>
        </w:tc>
        <w:tc>
          <w:tcPr>
            <w:tcW w:w="0" w:type="auto"/>
            <w:shd w:val="clear" w:color="auto" w:fill="auto"/>
          </w:tcPr>
          <w:p w14:paraId="441C84E0" w14:textId="77777777" w:rsidR="008C5CFA" w:rsidRPr="0024468B" w:rsidRDefault="008C5CFA" w:rsidP="00300A01">
            <w:pPr>
              <w:spacing w:before="0" w:after="0"/>
              <w:jc w:val="right"/>
              <w:rPr>
                <w:sz w:val="16"/>
                <w:szCs w:val="16"/>
                <w:lang w:val="fr-BE"/>
              </w:rPr>
            </w:pPr>
          </w:p>
        </w:tc>
        <w:tc>
          <w:tcPr>
            <w:tcW w:w="0" w:type="auto"/>
          </w:tcPr>
          <w:p w14:paraId="1522624A" w14:textId="77777777" w:rsidR="008C5CFA" w:rsidRPr="0024468B" w:rsidRDefault="008C5CFA" w:rsidP="00300A01">
            <w:pPr>
              <w:spacing w:before="0" w:after="0"/>
              <w:jc w:val="right"/>
              <w:rPr>
                <w:sz w:val="16"/>
                <w:szCs w:val="16"/>
                <w:lang w:val="fr-BE"/>
              </w:rPr>
            </w:pPr>
          </w:p>
        </w:tc>
        <w:tc>
          <w:tcPr>
            <w:tcW w:w="0" w:type="auto"/>
            <w:shd w:val="clear" w:color="auto" w:fill="auto"/>
          </w:tcPr>
          <w:p w14:paraId="63216D59" w14:textId="77777777" w:rsidR="008C5CFA" w:rsidRPr="0024468B" w:rsidRDefault="00E82A60" w:rsidP="00300A01">
            <w:pPr>
              <w:spacing w:before="0" w:after="0"/>
              <w:jc w:val="right"/>
              <w:rPr>
                <w:sz w:val="16"/>
                <w:szCs w:val="16"/>
                <w:lang w:val="fr-BE"/>
              </w:rPr>
            </w:pPr>
            <w:r w:rsidRPr="0024468B">
              <w:rPr>
                <w:noProof/>
                <w:sz w:val="16"/>
                <w:szCs w:val="16"/>
                <w:lang w:val="fr-BE"/>
              </w:rPr>
              <w:t>289,00</w:t>
            </w:r>
          </w:p>
        </w:tc>
        <w:tc>
          <w:tcPr>
            <w:tcW w:w="0" w:type="auto"/>
            <w:shd w:val="clear" w:color="auto" w:fill="auto"/>
          </w:tcPr>
          <w:p w14:paraId="146CDF94"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2FC9E7FD"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6FD5A9BA" w14:textId="77777777" w:rsidR="008C5CFA" w:rsidRPr="0024468B" w:rsidRDefault="00E82A60" w:rsidP="00300A01">
            <w:pPr>
              <w:spacing w:before="0" w:after="0"/>
              <w:rPr>
                <w:sz w:val="16"/>
                <w:szCs w:val="16"/>
                <w:lang w:val="fr-BE"/>
              </w:rPr>
            </w:pPr>
            <w:r w:rsidRPr="0024468B">
              <w:rPr>
                <w:sz w:val="16"/>
                <w:szCs w:val="16"/>
                <w:lang w:val="fr-BE"/>
              </w:rPr>
              <w:t xml:space="preserve">W związku z realokacją środków do PI 4c, której zasadność potwierdziło badanie </w:t>
            </w:r>
            <w:r>
              <w:t>"</w:t>
            </w:r>
            <w:r w:rsidRPr="0024468B">
              <w:rPr>
                <w:sz w:val="16"/>
                <w:szCs w:val="16"/>
                <w:lang w:val="fr-BE"/>
              </w:rPr>
              <w:t>Ewaluacja mid-term dotycząca postępu rzeczowego RPOWŚ 2014-2020 dla potrzeb przeglądu śródokresowego, w tym realizacji zapisów ram i rezerwy wykonania</w:t>
            </w:r>
            <w:r>
              <w:t>"</w:t>
            </w:r>
            <w:r w:rsidRPr="0024468B">
              <w:rPr>
                <w:sz w:val="16"/>
                <w:szCs w:val="16"/>
                <w:lang w:val="fr-BE"/>
              </w:rPr>
              <w:t>, IZ podjęła decyzję o zwiększeniu wartości docelowej wskaźnika do poziomu 380  budynków.</w:t>
            </w:r>
          </w:p>
        </w:tc>
      </w:tr>
    </w:tbl>
    <w:p w14:paraId="2B70CB07" w14:textId="77777777" w:rsidR="008C5CFA" w:rsidRDefault="00E82A60" w:rsidP="00300A01">
      <w:pPr>
        <w:spacing w:before="0" w:after="0"/>
        <w:rPr>
          <w:lang w:val="fr-BE"/>
        </w:rPr>
      </w:pPr>
      <w:r>
        <w:rPr>
          <w:noProof/>
          <w:lang w:val="fr-BE"/>
        </w:rPr>
        <w:t>1) S=wartość skumulowana – produkty, które mają być zrealizowane poprzez wybrane operacje [prognoza przedstawiona przez beneficjentów], F=wartość skumulowana – produkty zrealizowane poprzez operacje [rzeczywiste wykonanie]</w:t>
      </w:r>
    </w:p>
    <w:p w14:paraId="212987B6"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01"/>
        <w:gridCol w:w="497"/>
        <w:gridCol w:w="5385"/>
        <w:gridCol w:w="1034"/>
        <w:gridCol w:w="1098"/>
        <w:gridCol w:w="921"/>
        <w:gridCol w:w="993"/>
        <w:gridCol w:w="1099"/>
        <w:gridCol w:w="922"/>
        <w:gridCol w:w="913"/>
        <w:gridCol w:w="1099"/>
        <w:gridCol w:w="922"/>
      </w:tblGrid>
      <w:tr w:rsidR="006B2EC1" w14:paraId="342EDBFA" w14:textId="77777777" w:rsidTr="0047688D">
        <w:trPr>
          <w:tblHeader/>
        </w:trPr>
        <w:tc>
          <w:tcPr>
            <w:tcW w:w="0" w:type="auto"/>
          </w:tcPr>
          <w:p w14:paraId="5148257C" w14:textId="77777777" w:rsidR="008C5CFA" w:rsidRPr="009143B4" w:rsidRDefault="00E82A60" w:rsidP="00300A01">
            <w:pPr>
              <w:spacing w:before="0" w:after="0"/>
              <w:rPr>
                <w:b/>
                <w:sz w:val="16"/>
                <w:szCs w:val="16"/>
                <w:lang w:val="fr-BE"/>
              </w:rPr>
            </w:pPr>
            <w:r w:rsidRPr="009143B4">
              <w:rPr>
                <w:b/>
                <w:sz w:val="16"/>
                <w:szCs w:val="16"/>
                <w:lang w:val="fr-BE"/>
              </w:rPr>
              <w:t>(1)</w:t>
            </w:r>
          </w:p>
        </w:tc>
        <w:tc>
          <w:tcPr>
            <w:tcW w:w="0" w:type="auto"/>
            <w:shd w:val="clear" w:color="auto" w:fill="auto"/>
          </w:tcPr>
          <w:p w14:paraId="57D2F41E" w14:textId="77777777" w:rsidR="008C5CFA" w:rsidRPr="009143B4" w:rsidRDefault="00E82A60" w:rsidP="00300A01">
            <w:pPr>
              <w:spacing w:before="0" w:after="0"/>
              <w:rPr>
                <w:b/>
                <w:sz w:val="16"/>
                <w:szCs w:val="16"/>
                <w:lang w:val="fr-BE"/>
              </w:rPr>
            </w:pPr>
            <w:r w:rsidRPr="009143B4">
              <w:rPr>
                <w:b/>
                <w:noProof/>
                <w:sz w:val="16"/>
                <w:szCs w:val="16"/>
                <w:lang w:val="fr-BE"/>
              </w:rPr>
              <w:t>ID</w:t>
            </w:r>
          </w:p>
        </w:tc>
        <w:tc>
          <w:tcPr>
            <w:tcW w:w="0" w:type="auto"/>
            <w:shd w:val="clear" w:color="auto" w:fill="auto"/>
          </w:tcPr>
          <w:p w14:paraId="52EBF638" w14:textId="77777777" w:rsidR="008C5CFA" w:rsidRPr="009143B4" w:rsidRDefault="00E82A60" w:rsidP="00300A01">
            <w:pPr>
              <w:spacing w:before="0" w:after="0"/>
              <w:rPr>
                <w:b/>
                <w:sz w:val="16"/>
                <w:szCs w:val="16"/>
                <w:lang w:val="fr-BE"/>
              </w:rPr>
            </w:pPr>
            <w:r w:rsidRPr="009143B4">
              <w:rPr>
                <w:b/>
                <w:noProof/>
                <w:sz w:val="16"/>
                <w:szCs w:val="16"/>
                <w:lang w:val="fr-BE"/>
              </w:rPr>
              <w:t>Wskaźnik</w:t>
            </w:r>
          </w:p>
        </w:tc>
        <w:tc>
          <w:tcPr>
            <w:tcW w:w="0" w:type="auto"/>
          </w:tcPr>
          <w:p w14:paraId="41519B95" w14:textId="77777777" w:rsidR="008C5CFA" w:rsidRPr="009143B4" w:rsidRDefault="00E82A60" w:rsidP="00300A01">
            <w:pPr>
              <w:spacing w:before="0" w:after="0"/>
              <w:jc w:val="center"/>
              <w:rPr>
                <w:b/>
                <w:sz w:val="16"/>
                <w:szCs w:val="16"/>
                <w:lang w:val="fr-BE"/>
              </w:rPr>
            </w:pPr>
            <w:r>
              <w:rPr>
                <w:b/>
                <w:sz w:val="16"/>
                <w:szCs w:val="16"/>
                <w:lang w:val="fr-BE"/>
              </w:rPr>
              <w:t xml:space="preserve">2018 </w:t>
            </w:r>
            <w:r w:rsidRPr="009143B4">
              <w:rPr>
                <w:b/>
                <w:noProof/>
                <w:sz w:val="16"/>
                <w:szCs w:val="16"/>
                <w:lang w:val="fr-BE"/>
              </w:rPr>
              <w:t>Ogółem</w:t>
            </w:r>
          </w:p>
        </w:tc>
        <w:tc>
          <w:tcPr>
            <w:tcW w:w="0" w:type="auto"/>
          </w:tcPr>
          <w:p w14:paraId="72CA89C7" w14:textId="77777777" w:rsidR="008C5CFA" w:rsidRPr="009143B4" w:rsidRDefault="00E82A60" w:rsidP="00300A01">
            <w:pPr>
              <w:spacing w:before="0" w:after="0"/>
              <w:jc w:val="center"/>
              <w:rPr>
                <w:b/>
                <w:sz w:val="16"/>
                <w:szCs w:val="16"/>
                <w:lang w:val="fr-BE"/>
              </w:rPr>
            </w:pPr>
            <w:r>
              <w:rPr>
                <w:b/>
                <w:sz w:val="16"/>
                <w:szCs w:val="16"/>
                <w:lang w:val="fr-BE"/>
              </w:rPr>
              <w:t xml:space="preserve">2018 </w:t>
            </w:r>
            <w:r w:rsidRPr="009143B4">
              <w:rPr>
                <w:b/>
                <w:noProof/>
                <w:sz w:val="16"/>
                <w:szCs w:val="16"/>
                <w:lang w:val="fr-BE"/>
              </w:rPr>
              <w:t>Mężczyźni</w:t>
            </w:r>
          </w:p>
        </w:tc>
        <w:tc>
          <w:tcPr>
            <w:tcW w:w="0" w:type="auto"/>
          </w:tcPr>
          <w:p w14:paraId="5F1491A6" w14:textId="77777777" w:rsidR="008C5CFA" w:rsidRPr="009143B4" w:rsidRDefault="00E82A60" w:rsidP="00300A01">
            <w:pPr>
              <w:spacing w:before="0" w:after="0"/>
              <w:jc w:val="center"/>
              <w:rPr>
                <w:b/>
                <w:sz w:val="16"/>
                <w:szCs w:val="16"/>
                <w:lang w:val="fr-BE"/>
              </w:rPr>
            </w:pPr>
            <w:r>
              <w:rPr>
                <w:b/>
                <w:sz w:val="16"/>
                <w:szCs w:val="16"/>
                <w:lang w:val="fr-BE"/>
              </w:rPr>
              <w:t xml:space="preserve">2018 </w:t>
            </w:r>
            <w:r w:rsidRPr="009143B4">
              <w:rPr>
                <w:b/>
                <w:noProof/>
                <w:sz w:val="16"/>
                <w:szCs w:val="16"/>
                <w:lang w:val="fr-BE"/>
              </w:rPr>
              <w:t>Kobiety</w:t>
            </w:r>
          </w:p>
        </w:tc>
        <w:tc>
          <w:tcPr>
            <w:tcW w:w="0" w:type="auto"/>
          </w:tcPr>
          <w:p w14:paraId="33247EF9" w14:textId="77777777" w:rsidR="008C5CFA" w:rsidRPr="009143B4" w:rsidRDefault="00E82A60"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Ogółem</w:t>
            </w:r>
          </w:p>
        </w:tc>
        <w:tc>
          <w:tcPr>
            <w:tcW w:w="0" w:type="auto"/>
          </w:tcPr>
          <w:p w14:paraId="1A27DEFE" w14:textId="77777777" w:rsidR="008C5CFA" w:rsidRPr="009143B4" w:rsidRDefault="00E82A60"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Mężczyźni</w:t>
            </w:r>
          </w:p>
        </w:tc>
        <w:tc>
          <w:tcPr>
            <w:tcW w:w="0" w:type="auto"/>
          </w:tcPr>
          <w:p w14:paraId="06A26329" w14:textId="77777777" w:rsidR="008C5CFA" w:rsidRPr="009143B4" w:rsidRDefault="00E82A60"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Kobiety</w:t>
            </w:r>
          </w:p>
        </w:tc>
        <w:tc>
          <w:tcPr>
            <w:tcW w:w="0" w:type="auto"/>
            <w:shd w:val="clear" w:color="auto" w:fill="auto"/>
          </w:tcPr>
          <w:p w14:paraId="1EC2C7CE" w14:textId="77777777" w:rsidR="008C5CFA" w:rsidRPr="009143B4" w:rsidRDefault="00E82A60"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Ogółem</w:t>
            </w:r>
          </w:p>
        </w:tc>
        <w:tc>
          <w:tcPr>
            <w:tcW w:w="0" w:type="auto"/>
            <w:shd w:val="clear" w:color="auto" w:fill="auto"/>
          </w:tcPr>
          <w:p w14:paraId="3177EE3F" w14:textId="77777777" w:rsidR="008C5CFA" w:rsidRPr="009143B4" w:rsidRDefault="00E82A60"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Mężczyźni</w:t>
            </w:r>
          </w:p>
        </w:tc>
        <w:tc>
          <w:tcPr>
            <w:tcW w:w="0" w:type="auto"/>
            <w:shd w:val="clear" w:color="auto" w:fill="auto"/>
          </w:tcPr>
          <w:p w14:paraId="60FBBA81" w14:textId="77777777" w:rsidR="008C5CFA" w:rsidRPr="009143B4" w:rsidRDefault="00E82A60"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Kobiety</w:t>
            </w:r>
          </w:p>
        </w:tc>
      </w:tr>
      <w:tr w:rsidR="006B2EC1" w14:paraId="66ACD3F0" w14:textId="77777777" w:rsidTr="0047688D">
        <w:tc>
          <w:tcPr>
            <w:tcW w:w="0" w:type="auto"/>
          </w:tcPr>
          <w:p w14:paraId="04B9DBFE" w14:textId="77777777" w:rsidR="008C5CFA" w:rsidRPr="0024468B" w:rsidRDefault="00E82A60" w:rsidP="00300A01">
            <w:pPr>
              <w:spacing w:before="0" w:after="0"/>
              <w:rPr>
                <w:sz w:val="16"/>
                <w:szCs w:val="16"/>
                <w:lang w:val="fr-BE"/>
              </w:rPr>
            </w:pPr>
            <w:r>
              <w:rPr>
                <w:noProof/>
                <w:sz w:val="16"/>
                <w:szCs w:val="16"/>
                <w:lang w:val="fr-BE"/>
              </w:rPr>
              <w:t>F</w:t>
            </w:r>
          </w:p>
        </w:tc>
        <w:tc>
          <w:tcPr>
            <w:tcW w:w="0" w:type="auto"/>
            <w:shd w:val="clear" w:color="auto" w:fill="auto"/>
          </w:tcPr>
          <w:p w14:paraId="69394E67" w14:textId="77777777" w:rsidR="008C5CFA" w:rsidRPr="0024468B" w:rsidRDefault="00E82A60" w:rsidP="00300A01">
            <w:pPr>
              <w:spacing w:before="0" w:after="0"/>
              <w:rPr>
                <w:sz w:val="16"/>
                <w:szCs w:val="16"/>
                <w:lang w:val="fr-BE"/>
              </w:rPr>
            </w:pPr>
            <w:r w:rsidRPr="0024468B">
              <w:rPr>
                <w:noProof/>
                <w:sz w:val="16"/>
                <w:szCs w:val="16"/>
                <w:lang w:val="fr-BE"/>
              </w:rPr>
              <w:t>CO31</w:t>
            </w:r>
          </w:p>
        </w:tc>
        <w:tc>
          <w:tcPr>
            <w:tcW w:w="0" w:type="auto"/>
            <w:shd w:val="clear" w:color="auto" w:fill="auto"/>
          </w:tcPr>
          <w:p w14:paraId="5681A8EC" w14:textId="77777777" w:rsidR="008C5CFA" w:rsidRPr="0024468B" w:rsidRDefault="00E82A60" w:rsidP="00300A01">
            <w:pPr>
              <w:spacing w:before="0" w:after="0"/>
              <w:rPr>
                <w:sz w:val="16"/>
                <w:szCs w:val="16"/>
                <w:lang w:val="fr-BE"/>
              </w:rPr>
            </w:pPr>
            <w:r w:rsidRPr="0024468B">
              <w:rPr>
                <w:noProof/>
                <w:sz w:val="16"/>
                <w:szCs w:val="16"/>
                <w:lang w:val="fr-BE"/>
              </w:rPr>
              <w:t>Efektywność energetyczna: liczba gospodarstw domowych z lepszą klasą zużycia energii</w:t>
            </w:r>
          </w:p>
        </w:tc>
        <w:tc>
          <w:tcPr>
            <w:tcW w:w="0" w:type="auto"/>
          </w:tcPr>
          <w:p w14:paraId="473A47F7"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21E7AD98"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4FFB520C"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7787682E"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20B4940A"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4AA009B1"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78A09EC5"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44F7D2BE"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725CA181"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r w:rsidR="006B2EC1" w14:paraId="0D58C1D0" w14:textId="77777777" w:rsidTr="0047688D">
        <w:tc>
          <w:tcPr>
            <w:tcW w:w="0" w:type="auto"/>
          </w:tcPr>
          <w:p w14:paraId="0F4B849E" w14:textId="77777777" w:rsidR="008C5CFA" w:rsidRPr="0024468B" w:rsidRDefault="00E82A60" w:rsidP="00300A01">
            <w:pPr>
              <w:spacing w:before="0" w:after="0"/>
              <w:rPr>
                <w:sz w:val="16"/>
                <w:szCs w:val="16"/>
                <w:lang w:val="fr-BE"/>
              </w:rPr>
            </w:pPr>
            <w:r>
              <w:rPr>
                <w:noProof/>
                <w:sz w:val="16"/>
                <w:szCs w:val="16"/>
                <w:lang w:val="fr-BE"/>
              </w:rPr>
              <w:t>S</w:t>
            </w:r>
          </w:p>
        </w:tc>
        <w:tc>
          <w:tcPr>
            <w:tcW w:w="0" w:type="auto"/>
            <w:shd w:val="clear" w:color="auto" w:fill="auto"/>
          </w:tcPr>
          <w:p w14:paraId="5F2B607D" w14:textId="77777777" w:rsidR="008C5CFA" w:rsidRPr="0024468B" w:rsidRDefault="00E82A60" w:rsidP="00300A01">
            <w:pPr>
              <w:spacing w:before="0" w:after="0"/>
              <w:rPr>
                <w:sz w:val="16"/>
                <w:szCs w:val="16"/>
                <w:lang w:val="fr-BE"/>
              </w:rPr>
            </w:pPr>
            <w:r w:rsidRPr="0024468B">
              <w:rPr>
                <w:noProof/>
                <w:sz w:val="16"/>
                <w:szCs w:val="16"/>
                <w:lang w:val="fr-BE"/>
              </w:rPr>
              <w:t>CO31</w:t>
            </w:r>
          </w:p>
        </w:tc>
        <w:tc>
          <w:tcPr>
            <w:tcW w:w="0" w:type="auto"/>
            <w:shd w:val="clear" w:color="auto" w:fill="auto"/>
          </w:tcPr>
          <w:p w14:paraId="1E217301" w14:textId="77777777" w:rsidR="008C5CFA" w:rsidRPr="0024468B" w:rsidRDefault="00E82A60" w:rsidP="00300A01">
            <w:pPr>
              <w:spacing w:before="0" w:after="0"/>
              <w:rPr>
                <w:sz w:val="16"/>
                <w:szCs w:val="16"/>
                <w:lang w:val="fr-BE"/>
              </w:rPr>
            </w:pPr>
            <w:r w:rsidRPr="0024468B">
              <w:rPr>
                <w:noProof/>
                <w:sz w:val="16"/>
                <w:szCs w:val="16"/>
                <w:lang w:val="fr-BE"/>
              </w:rPr>
              <w:t>Efektywność energetyczna: liczba gospodarstw domowych z lepszą klasą zużycia energii</w:t>
            </w:r>
          </w:p>
        </w:tc>
        <w:tc>
          <w:tcPr>
            <w:tcW w:w="0" w:type="auto"/>
          </w:tcPr>
          <w:p w14:paraId="0445ADCE" w14:textId="77777777" w:rsidR="008C5CFA" w:rsidRPr="0024468B" w:rsidRDefault="00E82A60" w:rsidP="00300A01">
            <w:pPr>
              <w:spacing w:before="0" w:after="0"/>
              <w:jc w:val="right"/>
              <w:rPr>
                <w:sz w:val="16"/>
                <w:szCs w:val="16"/>
                <w:lang w:val="fr-BE"/>
              </w:rPr>
            </w:pPr>
            <w:r w:rsidRPr="0024468B">
              <w:rPr>
                <w:noProof/>
                <w:sz w:val="16"/>
                <w:szCs w:val="16"/>
                <w:lang w:val="fr-BE"/>
              </w:rPr>
              <w:t>14,00</w:t>
            </w:r>
          </w:p>
        </w:tc>
        <w:tc>
          <w:tcPr>
            <w:tcW w:w="0" w:type="auto"/>
          </w:tcPr>
          <w:p w14:paraId="00297368"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513D1FC4"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30F88AE1"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49F4B873"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4C54DE08"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6ED6B2F8"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3D9CBAAC"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40B22596"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r w:rsidR="006B2EC1" w14:paraId="6710ADCA" w14:textId="77777777" w:rsidTr="0047688D">
        <w:tc>
          <w:tcPr>
            <w:tcW w:w="0" w:type="auto"/>
          </w:tcPr>
          <w:p w14:paraId="211005A2" w14:textId="77777777" w:rsidR="008C5CFA" w:rsidRPr="0024468B" w:rsidRDefault="00E82A60" w:rsidP="00300A01">
            <w:pPr>
              <w:spacing w:before="0" w:after="0"/>
              <w:rPr>
                <w:sz w:val="16"/>
                <w:szCs w:val="16"/>
                <w:lang w:val="fr-BE"/>
              </w:rPr>
            </w:pPr>
            <w:r>
              <w:rPr>
                <w:noProof/>
                <w:sz w:val="16"/>
                <w:szCs w:val="16"/>
                <w:lang w:val="fr-BE"/>
              </w:rPr>
              <w:t>F</w:t>
            </w:r>
          </w:p>
        </w:tc>
        <w:tc>
          <w:tcPr>
            <w:tcW w:w="0" w:type="auto"/>
            <w:shd w:val="clear" w:color="auto" w:fill="auto"/>
          </w:tcPr>
          <w:p w14:paraId="7EB4CCBF" w14:textId="77777777" w:rsidR="008C5CFA" w:rsidRPr="0024468B" w:rsidRDefault="00E82A60" w:rsidP="00300A01">
            <w:pPr>
              <w:spacing w:before="0" w:after="0"/>
              <w:rPr>
                <w:sz w:val="16"/>
                <w:szCs w:val="16"/>
                <w:lang w:val="fr-BE"/>
              </w:rPr>
            </w:pPr>
            <w:r w:rsidRPr="0024468B">
              <w:rPr>
                <w:noProof/>
                <w:sz w:val="16"/>
                <w:szCs w:val="16"/>
                <w:lang w:val="fr-BE"/>
              </w:rPr>
              <w:t>CO32</w:t>
            </w:r>
          </w:p>
        </w:tc>
        <w:tc>
          <w:tcPr>
            <w:tcW w:w="0" w:type="auto"/>
            <w:shd w:val="clear" w:color="auto" w:fill="auto"/>
          </w:tcPr>
          <w:p w14:paraId="791FC4BA" w14:textId="77777777" w:rsidR="008C5CFA" w:rsidRPr="0024468B" w:rsidRDefault="00E82A60" w:rsidP="00300A01">
            <w:pPr>
              <w:spacing w:before="0" w:after="0"/>
              <w:rPr>
                <w:sz w:val="16"/>
                <w:szCs w:val="16"/>
                <w:lang w:val="fr-BE"/>
              </w:rPr>
            </w:pPr>
            <w:r w:rsidRPr="0024468B">
              <w:rPr>
                <w:noProof/>
                <w:sz w:val="16"/>
                <w:szCs w:val="16"/>
                <w:lang w:val="fr-BE"/>
              </w:rPr>
              <w:t>Efektywność energetyczna: zmniejszenie rocznego zużycia energii pierwotnej w budynkach publicznych</w:t>
            </w:r>
          </w:p>
        </w:tc>
        <w:tc>
          <w:tcPr>
            <w:tcW w:w="0" w:type="auto"/>
          </w:tcPr>
          <w:p w14:paraId="52CB11D3" w14:textId="77777777" w:rsidR="008C5CFA" w:rsidRPr="0024468B" w:rsidRDefault="00E82A60" w:rsidP="00300A01">
            <w:pPr>
              <w:spacing w:before="0" w:after="0"/>
              <w:jc w:val="right"/>
              <w:rPr>
                <w:sz w:val="16"/>
                <w:szCs w:val="16"/>
                <w:lang w:val="fr-BE"/>
              </w:rPr>
            </w:pPr>
            <w:r w:rsidRPr="0024468B">
              <w:rPr>
                <w:noProof/>
                <w:sz w:val="16"/>
                <w:szCs w:val="16"/>
                <w:lang w:val="fr-BE"/>
              </w:rPr>
              <w:t>1 667 735,54</w:t>
            </w:r>
          </w:p>
        </w:tc>
        <w:tc>
          <w:tcPr>
            <w:tcW w:w="0" w:type="auto"/>
          </w:tcPr>
          <w:p w14:paraId="5377A80A"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3076600D"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484F9316"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2FCA8DF5"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08B4B71D"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17E1957A"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443016CD"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03E79A22"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r w:rsidR="006B2EC1" w14:paraId="570038F3" w14:textId="77777777" w:rsidTr="0047688D">
        <w:tc>
          <w:tcPr>
            <w:tcW w:w="0" w:type="auto"/>
          </w:tcPr>
          <w:p w14:paraId="05E81B5E" w14:textId="77777777" w:rsidR="008C5CFA" w:rsidRPr="0024468B" w:rsidRDefault="00E82A60" w:rsidP="00300A01">
            <w:pPr>
              <w:spacing w:before="0" w:after="0"/>
              <w:rPr>
                <w:sz w:val="16"/>
                <w:szCs w:val="16"/>
                <w:lang w:val="fr-BE"/>
              </w:rPr>
            </w:pPr>
            <w:r>
              <w:rPr>
                <w:noProof/>
                <w:sz w:val="16"/>
                <w:szCs w:val="16"/>
                <w:lang w:val="fr-BE"/>
              </w:rPr>
              <w:t>S</w:t>
            </w:r>
          </w:p>
        </w:tc>
        <w:tc>
          <w:tcPr>
            <w:tcW w:w="0" w:type="auto"/>
            <w:shd w:val="clear" w:color="auto" w:fill="auto"/>
          </w:tcPr>
          <w:p w14:paraId="346E97BA" w14:textId="77777777" w:rsidR="008C5CFA" w:rsidRPr="0024468B" w:rsidRDefault="00E82A60" w:rsidP="00300A01">
            <w:pPr>
              <w:spacing w:before="0" w:after="0"/>
              <w:rPr>
                <w:sz w:val="16"/>
                <w:szCs w:val="16"/>
                <w:lang w:val="fr-BE"/>
              </w:rPr>
            </w:pPr>
            <w:r w:rsidRPr="0024468B">
              <w:rPr>
                <w:noProof/>
                <w:sz w:val="16"/>
                <w:szCs w:val="16"/>
                <w:lang w:val="fr-BE"/>
              </w:rPr>
              <w:t>CO32</w:t>
            </w:r>
          </w:p>
        </w:tc>
        <w:tc>
          <w:tcPr>
            <w:tcW w:w="0" w:type="auto"/>
            <w:shd w:val="clear" w:color="auto" w:fill="auto"/>
          </w:tcPr>
          <w:p w14:paraId="11BF855A" w14:textId="77777777" w:rsidR="008C5CFA" w:rsidRPr="0024468B" w:rsidRDefault="00E82A60" w:rsidP="00300A01">
            <w:pPr>
              <w:spacing w:before="0" w:after="0"/>
              <w:rPr>
                <w:sz w:val="16"/>
                <w:szCs w:val="16"/>
                <w:lang w:val="fr-BE"/>
              </w:rPr>
            </w:pPr>
            <w:r w:rsidRPr="0024468B">
              <w:rPr>
                <w:noProof/>
                <w:sz w:val="16"/>
                <w:szCs w:val="16"/>
                <w:lang w:val="fr-BE"/>
              </w:rPr>
              <w:t>Efektywność energetyczna: zmniejszenie rocznego zużycia energii pierwotnej w budynkach publicznych</w:t>
            </w:r>
          </w:p>
        </w:tc>
        <w:tc>
          <w:tcPr>
            <w:tcW w:w="0" w:type="auto"/>
          </w:tcPr>
          <w:p w14:paraId="7B6B8BCF" w14:textId="77777777" w:rsidR="008C5CFA" w:rsidRPr="0024468B" w:rsidRDefault="00E82A60" w:rsidP="00300A01">
            <w:pPr>
              <w:spacing w:before="0" w:after="0"/>
              <w:jc w:val="right"/>
              <w:rPr>
                <w:sz w:val="16"/>
                <w:szCs w:val="16"/>
                <w:lang w:val="fr-BE"/>
              </w:rPr>
            </w:pPr>
            <w:r w:rsidRPr="0024468B">
              <w:rPr>
                <w:noProof/>
                <w:sz w:val="16"/>
                <w:szCs w:val="16"/>
                <w:lang w:val="fr-BE"/>
              </w:rPr>
              <w:t>58 372 831,11</w:t>
            </w:r>
          </w:p>
        </w:tc>
        <w:tc>
          <w:tcPr>
            <w:tcW w:w="0" w:type="auto"/>
          </w:tcPr>
          <w:p w14:paraId="67DF744A"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027D30E6"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17C99E41" w14:textId="77777777" w:rsidR="008C5CFA" w:rsidRPr="0024468B" w:rsidRDefault="00E82A60" w:rsidP="00300A01">
            <w:pPr>
              <w:spacing w:before="0" w:after="0"/>
              <w:jc w:val="right"/>
              <w:rPr>
                <w:sz w:val="16"/>
                <w:szCs w:val="16"/>
                <w:lang w:val="fr-BE"/>
              </w:rPr>
            </w:pPr>
            <w:r w:rsidRPr="0024468B">
              <w:rPr>
                <w:noProof/>
                <w:sz w:val="16"/>
                <w:szCs w:val="16"/>
                <w:lang w:val="fr-BE"/>
              </w:rPr>
              <w:t>1 265 214,51</w:t>
            </w:r>
          </w:p>
        </w:tc>
        <w:tc>
          <w:tcPr>
            <w:tcW w:w="0" w:type="auto"/>
          </w:tcPr>
          <w:p w14:paraId="2CC8EE05"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33600E75"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071773C7"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29C14188"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75FBC6A2"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r w:rsidR="006B2EC1" w14:paraId="20498535" w14:textId="77777777" w:rsidTr="0047688D">
        <w:tc>
          <w:tcPr>
            <w:tcW w:w="0" w:type="auto"/>
          </w:tcPr>
          <w:p w14:paraId="3E95A51C" w14:textId="77777777" w:rsidR="008C5CFA" w:rsidRPr="0024468B" w:rsidRDefault="00E82A60" w:rsidP="00300A01">
            <w:pPr>
              <w:spacing w:before="0" w:after="0"/>
              <w:rPr>
                <w:sz w:val="16"/>
                <w:szCs w:val="16"/>
                <w:lang w:val="fr-BE"/>
              </w:rPr>
            </w:pPr>
            <w:r>
              <w:rPr>
                <w:noProof/>
                <w:sz w:val="16"/>
                <w:szCs w:val="16"/>
                <w:lang w:val="fr-BE"/>
              </w:rPr>
              <w:t>F</w:t>
            </w:r>
          </w:p>
        </w:tc>
        <w:tc>
          <w:tcPr>
            <w:tcW w:w="0" w:type="auto"/>
            <w:shd w:val="clear" w:color="auto" w:fill="auto"/>
          </w:tcPr>
          <w:p w14:paraId="0DEBED0E" w14:textId="77777777" w:rsidR="008C5CFA" w:rsidRPr="0024468B" w:rsidRDefault="00E82A60" w:rsidP="00300A01">
            <w:pPr>
              <w:spacing w:before="0" w:after="0"/>
              <w:rPr>
                <w:sz w:val="16"/>
                <w:szCs w:val="16"/>
                <w:lang w:val="fr-BE"/>
              </w:rPr>
            </w:pPr>
            <w:r w:rsidRPr="0024468B">
              <w:rPr>
                <w:noProof/>
                <w:sz w:val="16"/>
                <w:szCs w:val="16"/>
                <w:lang w:val="fr-BE"/>
              </w:rPr>
              <w:t>CO34</w:t>
            </w:r>
          </w:p>
        </w:tc>
        <w:tc>
          <w:tcPr>
            <w:tcW w:w="0" w:type="auto"/>
            <w:shd w:val="clear" w:color="auto" w:fill="auto"/>
          </w:tcPr>
          <w:p w14:paraId="2EF1E94F" w14:textId="77777777" w:rsidR="008C5CFA" w:rsidRPr="0024468B" w:rsidRDefault="00E82A60" w:rsidP="00300A01">
            <w:pPr>
              <w:spacing w:before="0" w:after="0"/>
              <w:rPr>
                <w:sz w:val="16"/>
                <w:szCs w:val="16"/>
                <w:lang w:val="fr-BE"/>
              </w:rPr>
            </w:pPr>
            <w:r w:rsidRPr="0024468B">
              <w:rPr>
                <w:noProof/>
                <w:sz w:val="16"/>
                <w:szCs w:val="16"/>
                <w:lang w:val="fr-BE"/>
              </w:rPr>
              <w:t>Redukcja emisji gazów cieplarnianych: szacowany roczny spadek emisji gazów cieplarnianych</w:t>
            </w:r>
          </w:p>
        </w:tc>
        <w:tc>
          <w:tcPr>
            <w:tcW w:w="0" w:type="auto"/>
          </w:tcPr>
          <w:p w14:paraId="11905085" w14:textId="77777777" w:rsidR="008C5CFA" w:rsidRPr="0024468B" w:rsidRDefault="00E82A60" w:rsidP="00300A01">
            <w:pPr>
              <w:spacing w:before="0" w:after="0"/>
              <w:jc w:val="right"/>
              <w:rPr>
                <w:sz w:val="16"/>
                <w:szCs w:val="16"/>
                <w:lang w:val="fr-BE"/>
              </w:rPr>
            </w:pPr>
            <w:r w:rsidRPr="0024468B">
              <w:rPr>
                <w:noProof/>
                <w:sz w:val="16"/>
                <w:szCs w:val="16"/>
                <w:lang w:val="fr-BE"/>
              </w:rPr>
              <w:t>15,90</w:t>
            </w:r>
          </w:p>
        </w:tc>
        <w:tc>
          <w:tcPr>
            <w:tcW w:w="0" w:type="auto"/>
          </w:tcPr>
          <w:p w14:paraId="686DC978"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56D6E18D"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0C97B9B7"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33BC4CA4"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59D4FB08"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5AAF385F"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0F1285E2"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54A6DBC2"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r w:rsidR="006B2EC1" w14:paraId="726566D0" w14:textId="77777777" w:rsidTr="0047688D">
        <w:tc>
          <w:tcPr>
            <w:tcW w:w="0" w:type="auto"/>
          </w:tcPr>
          <w:p w14:paraId="3F881307" w14:textId="77777777" w:rsidR="008C5CFA" w:rsidRPr="0024468B" w:rsidRDefault="00E82A60" w:rsidP="00300A01">
            <w:pPr>
              <w:spacing w:before="0" w:after="0"/>
              <w:rPr>
                <w:sz w:val="16"/>
                <w:szCs w:val="16"/>
                <w:lang w:val="fr-BE"/>
              </w:rPr>
            </w:pPr>
            <w:r>
              <w:rPr>
                <w:noProof/>
                <w:sz w:val="16"/>
                <w:szCs w:val="16"/>
                <w:lang w:val="fr-BE"/>
              </w:rPr>
              <w:t>S</w:t>
            </w:r>
          </w:p>
        </w:tc>
        <w:tc>
          <w:tcPr>
            <w:tcW w:w="0" w:type="auto"/>
            <w:shd w:val="clear" w:color="auto" w:fill="auto"/>
          </w:tcPr>
          <w:p w14:paraId="624EC60A" w14:textId="77777777" w:rsidR="008C5CFA" w:rsidRPr="0024468B" w:rsidRDefault="00E82A60" w:rsidP="00300A01">
            <w:pPr>
              <w:spacing w:before="0" w:after="0"/>
              <w:rPr>
                <w:sz w:val="16"/>
                <w:szCs w:val="16"/>
                <w:lang w:val="fr-BE"/>
              </w:rPr>
            </w:pPr>
            <w:r w:rsidRPr="0024468B">
              <w:rPr>
                <w:noProof/>
                <w:sz w:val="16"/>
                <w:szCs w:val="16"/>
                <w:lang w:val="fr-BE"/>
              </w:rPr>
              <w:t>CO34</w:t>
            </w:r>
          </w:p>
        </w:tc>
        <w:tc>
          <w:tcPr>
            <w:tcW w:w="0" w:type="auto"/>
            <w:shd w:val="clear" w:color="auto" w:fill="auto"/>
          </w:tcPr>
          <w:p w14:paraId="031046F4" w14:textId="77777777" w:rsidR="008C5CFA" w:rsidRPr="0024468B" w:rsidRDefault="00E82A60" w:rsidP="00300A01">
            <w:pPr>
              <w:spacing w:before="0" w:after="0"/>
              <w:rPr>
                <w:sz w:val="16"/>
                <w:szCs w:val="16"/>
                <w:lang w:val="fr-BE"/>
              </w:rPr>
            </w:pPr>
            <w:r w:rsidRPr="0024468B">
              <w:rPr>
                <w:noProof/>
                <w:sz w:val="16"/>
                <w:szCs w:val="16"/>
                <w:lang w:val="fr-BE"/>
              </w:rPr>
              <w:t>Redukcja emisji gazów cieplarnianych: szacowany roczny spadek emisji gazów cieplarnianych</w:t>
            </w:r>
          </w:p>
        </w:tc>
        <w:tc>
          <w:tcPr>
            <w:tcW w:w="0" w:type="auto"/>
          </w:tcPr>
          <w:p w14:paraId="227E9F89" w14:textId="77777777" w:rsidR="008C5CFA" w:rsidRPr="0024468B" w:rsidRDefault="00E82A60" w:rsidP="00300A01">
            <w:pPr>
              <w:spacing w:before="0" w:after="0"/>
              <w:jc w:val="right"/>
              <w:rPr>
                <w:sz w:val="16"/>
                <w:szCs w:val="16"/>
                <w:lang w:val="fr-BE"/>
              </w:rPr>
            </w:pPr>
            <w:r w:rsidRPr="0024468B">
              <w:rPr>
                <w:noProof/>
                <w:sz w:val="16"/>
                <w:szCs w:val="16"/>
                <w:lang w:val="fr-BE"/>
              </w:rPr>
              <w:t>17 160,88</w:t>
            </w:r>
          </w:p>
        </w:tc>
        <w:tc>
          <w:tcPr>
            <w:tcW w:w="0" w:type="auto"/>
          </w:tcPr>
          <w:p w14:paraId="6EBB1AA5"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1AFA0E8D"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060CEC33" w14:textId="77777777" w:rsidR="008C5CFA" w:rsidRPr="0024468B" w:rsidRDefault="00E82A60" w:rsidP="00300A01">
            <w:pPr>
              <w:spacing w:before="0" w:after="0"/>
              <w:jc w:val="right"/>
              <w:rPr>
                <w:sz w:val="16"/>
                <w:szCs w:val="16"/>
                <w:lang w:val="fr-BE"/>
              </w:rPr>
            </w:pPr>
            <w:r w:rsidRPr="0024468B">
              <w:rPr>
                <w:noProof/>
                <w:sz w:val="16"/>
                <w:szCs w:val="16"/>
                <w:lang w:val="fr-BE"/>
              </w:rPr>
              <w:t>449,76</w:t>
            </w:r>
          </w:p>
        </w:tc>
        <w:tc>
          <w:tcPr>
            <w:tcW w:w="0" w:type="auto"/>
          </w:tcPr>
          <w:p w14:paraId="38CE241D"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574C403B"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2348ED27"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3FBEC337"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1453EADA"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r w:rsidR="006B2EC1" w14:paraId="33D6C009" w14:textId="77777777" w:rsidTr="0047688D">
        <w:tc>
          <w:tcPr>
            <w:tcW w:w="0" w:type="auto"/>
          </w:tcPr>
          <w:p w14:paraId="37262D8D" w14:textId="77777777" w:rsidR="008C5CFA" w:rsidRPr="0024468B" w:rsidRDefault="00E82A60" w:rsidP="00300A01">
            <w:pPr>
              <w:spacing w:before="0" w:after="0"/>
              <w:rPr>
                <w:sz w:val="16"/>
                <w:szCs w:val="16"/>
                <w:lang w:val="fr-BE"/>
              </w:rPr>
            </w:pPr>
            <w:r>
              <w:rPr>
                <w:noProof/>
                <w:sz w:val="16"/>
                <w:szCs w:val="16"/>
                <w:lang w:val="fr-BE"/>
              </w:rPr>
              <w:t>F</w:t>
            </w:r>
          </w:p>
        </w:tc>
        <w:tc>
          <w:tcPr>
            <w:tcW w:w="0" w:type="auto"/>
            <w:shd w:val="clear" w:color="auto" w:fill="auto"/>
          </w:tcPr>
          <w:p w14:paraId="4EAE5AF4" w14:textId="77777777" w:rsidR="008C5CFA" w:rsidRPr="0024468B" w:rsidRDefault="00E82A60" w:rsidP="00300A01">
            <w:pPr>
              <w:spacing w:before="0" w:after="0"/>
              <w:rPr>
                <w:sz w:val="16"/>
                <w:szCs w:val="16"/>
                <w:lang w:val="fr-BE"/>
              </w:rPr>
            </w:pPr>
            <w:r>
              <w:rPr>
                <w:noProof/>
                <w:sz w:val="16"/>
                <w:szCs w:val="16"/>
                <w:lang w:val="fr-BE"/>
              </w:rPr>
              <w:t>34</w:t>
            </w:r>
          </w:p>
        </w:tc>
        <w:tc>
          <w:tcPr>
            <w:tcW w:w="0" w:type="auto"/>
            <w:shd w:val="clear" w:color="auto" w:fill="auto"/>
          </w:tcPr>
          <w:p w14:paraId="11E42F97" w14:textId="77777777" w:rsidR="008C5CFA" w:rsidRPr="0024468B" w:rsidRDefault="00E82A60" w:rsidP="00300A01">
            <w:pPr>
              <w:spacing w:before="0" w:after="0"/>
              <w:rPr>
                <w:sz w:val="16"/>
                <w:szCs w:val="16"/>
                <w:lang w:val="fr-BE"/>
              </w:rPr>
            </w:pPr>
            <w:r>
              <w:rPr>
                <w:noProof/>
                <w:sz w:val="16"/>
                <w:szCs w:val="16"/>
                <w:lang w:val="fr-BE"/>
              </w:rPr>
              <w:t>Liczba zmodernizowanych energetycznie budynków</w:t>
            </w:r>
          </w:p>
        </w:tc>
        <w:tc>
          <w:tcPr>
            <w:tcW w:w="0" w:type="auto"/>
          </w:tcPr>
          <w:p w14:paraId="7A026B60" w14:textId="77777777" w:rsidR="008C5CFA" w:rsidRPr="0024468B" w:rsidRDefault="00E82A60" w:rsidP="00300A01">
            <w:pPr>
              <w:spacing w:before="0" w:after="0"/>
              <w:jc w:val="right"/>
              <w:rPr>
                <w:sz w:val="16"/>
                <w:szCs w:val="16"/>
                <w:lang w:val="fr-BE"/>
              </w:rPr>
            </w:pPr>
            <w:r w:rsidRPr="0024468B">
              <w:rPr>
                <w:noProof/>
                <w:sz w:val="16"/>
                <w:szCs w:val="16"/>
                <w:lang w:val="fr-BE"/>
              </w:rPr>
              <w:t>63,00</w:t>
            </w:r>
          </w:p>
        </w:tc>
        <w:tc>
          <w:tcPr>
            <w:tcW w:w="0" w:type="auto"/>
          </w:tcPr>
          <w:p w14:paraId="49DE3291"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6C46C5B5"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721B9335"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26EB4C2B"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2BD5E776"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481D6B8A"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2BB36686"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1C70F0E8"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r w:rsidR="006B2EC1" w14:paraId="24933F22" w14:textId="77777777" w:rsidTr="0047688D">
        <w:tc>
          <w:tcPr>
            <w:tcW w:w="0" w:type="auto"/>
          </w:tcPr>
          <w:p w14:paraId="5091E53F" w14:textId="77777777" w:rsidR="008C5CFA" w:rsidRPr="0024468B" w:rsidRDefault="00E82A60" w:rsidP="00300A01">
            <w:pPr>
              <w:spacing w:before="0" w:after="0"/>
              <w:rPr>
                <w:sz w:val="16"/>
                <w:szCs w:val="16"/>
                <w:lang w:val="fr-BE"/>
              </w:rPr>
            </w:pPr>
            <w:r>
              <w:rPr>
                <w:noProof/>
                <w:sz w:val="16"/>
                <w:szCs w:val="16"/>
                <w:lang w:val="fr-BE"/>
              </w:rPr>
              <w:t>S</w:t>
            </w:r>
          </w:p>
        </w:tc>
        <w:tc>
          <w:tcPr>
            <w:tcW w:w="0" w:type="auto"/>
            <w:shd w:val="clear" w:color="auto" w:fill="auto"/>
          </w:tcPr>
          <w:p w14:paraId="081482C6" w14:textId="77777777" w:rsidR="008C5CFA" w:rsidRPr="0024468B" w:rsidRDefault="00E82A60" w:rsidP="00300A01">
            <w:pPr>
              <w:spacing w:before="0" w:after="0"/>
              <w:rPr>
                <w:sz w:val="16"/>
                <w:szCs w:val="16"/>
                <w:lang w:val="fr-BE"/>
              </w:rPr>
            </w:pPr>
            <w:r>
              <w:rPr>
                <w:noProof/>
                <w:sz w:val="16"/>
                <w:szCs w:val="16"/>
                <w:lang w:val="fr-BE"/>
              </w:rPr>
              <w:t>34</w:t>
            </w:r>
          </w:p>
        </w:tc>
        <w:tc>
          <w:tcPr>
            <w:tcW w:w="0" w:type="auto"/>
            <w:shd w:val="clear" w:color="auto" w:fill="auto"/>
          </w:tcPr>
          <w:p w14:paraId="15E99417" w14:textId="77777777" w:rsidR="008C5CFA" w:rsidRPr="0024468B" w:rsidRDefault="00E82A60" w:rsidP="00300A01">
            <w:pPr>
              <w:spacing w:before="0" w:after="0"/>
              <w:rPr>
                <w:sz w:val="16"/>
                <w:szCs w:val="16"/>
                <w:lang w:val="fr-BE"/>
              </w:rPr>
            </w:pPr>
            <w:r>
              <w:rPr>
                <w:noProof/>
                <w:sz w:val="16"/>
                <w:szCs w:val="16"/>
                <w:lang w:val="fr-BE"/>
              </w:rPr>
              <w:t>Liczba zmodernizowanych energetycznie budynków</w:t>
            </w:r>
          </w:p>
        </w:tc>
        <w:tc>
          <w:tcPr>
            <w:tcW w:w="0" w:type="auto"/>
          </w:tcPr>
          <w:p w14:paraId="3CE2E5A3" w14:textId="77777777" w:rsidR="008C5CFA" w:rsidRPr="0024468B" w:rsidRDefault="00E82A60" w:rsidP="00300A01">
            <w:pPr>
              <w:spacing w:before="0" w:after="0"/>
              <w:jc w:val="right"/>
              <w:rPr>
                <w:sz w:val="16"/>
                <w:szCs w:val="16"/>
                <w:lang w:val="fr-BE"/>
              </w:rPr>
            </w:pPr>
            <w:r w:rsidRPr="0024468B">
              <w:rPr>
                <w:noProof/>
                <w:sz w:val="16"/>
                <w:szCs w:val="16"/>
                <w:lang w:val="fr-BE"/>
              </w:rPr>
              <w:t>198,00</w:t>
            </w:r>
          </w:p>
        </w:tc>
        <w:tc>
          <w:tcPr>
            <w:tcW w:w="0" w:type="auto"/>
          </w:tcPr>
          <w:p w14:paraId="6790694A"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2A243C3D"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4B27A968" w14:textId="77777777" w:rsidR="008C5CFA" w:rsidRPr="0024468B" w:rsidRDefault="00E82A60" w:rsidP="00300A01">
            <w:pPr>
              <w:spacing w:before="0" w:after="0"/>
              <w:jc w:val="right"/>
              <w:rPr>
                <w:sz w:val="16"/>
                <w:szCs w:val="16"/>
                <w:lang w:val="fr-BE"/>
              </w:rPr>
            </w:pPr>
            <w:r w:rsidRPr="0024468B">
              <w:rPr>
                <w:noProof/>
                <w:sz w:val="16"/>
                <w:szCs w:val="16"/>
                <w:lang w:val="fr-BE"/>
              </w:rPr>
              <w:t>2,00</w:t>
            </w:r>
          </w:p>
        </w:tc>
        <w:tc>
          <w:tcPr>
            <w:tcW w:w="0" w:type="auto"/>
          </w:tcPr>
          <w:p w14:paraId="4B9ACBEE"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0C8E3870"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4717E566"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7AC8432E"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6FC646B3"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bl>
    <w:p w14:paraId="3FE9C9CD"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26"/>
        <w:gridCol w:w="536"/>
        <w:gridCol w:w="7376"/>
        <w:gridCol w:w="1088"/>
        <w:gridCol w:w="1288"/>
        <w:gridCol w:w="1097"/>
        <w:gridCol w:w="1088"/>
        <w:gridCol w:w="1288"/>
        <w:gridCol w:w="1097"/>
      </w:tblGrid>
      <w:tr w:rsidR="006B2EC1" w14:paraId="5E846600" w14:textId="77777777" w:rsidTr="0047688D">
        <w:trPr>
          <w:tblHeader/>
        </w:trPr>
        <w:tc>
          <w:tcPr>
            <w:tcW w:w="0" w:type="auto"/>
          </w:tcPr>
          <w:p w14:paraId="06EF9E22" w14:textId="77777777" w:rsidR="008C5CFA" w:rsidRPr="009143B4" w:rsidRDefault="00E82A60" w:rsidP="00300A01">
            <w:pPr>
              <w:spacing w:before="0" w:after="0"/>
              <w:rPr>
                <w:b/>
                <w:sz w:val="16"/>
                <w:szCs w:val="16"/>
                <w:lang w:val="fr-BE"/>
              </w:rPr>
            </w:pPr>
            <w:r w:rsidRPr="009143B4">
              <w:rPr>
                <w:b/>
                <w:sz w:val="16"/>
                <w:szCs w:val="16"/>
                <w:lang w:val="fr-BE"/>
              </w:rPr>
              <w:t>(1)</w:t>
            </w:r>
          </w:p>
        </w:tc>
        <w:tc>
          <w:tcPr>
            <w:tcW w:w="0" w:type="auto"/>
            <w:shd w:val="clear" w:color="auto" w:fill="auto"/>
          </w:tcPr>
          <w:p w14:paraId="31923DF8" w14:textId="77777777" w:rsidR="008C5CFA" w:rsidRPr="009143B4" w:rsidRDefault="00E82A60" w:rsidP="00300A01">
            <w:pPr>
              <w:spacing w:before="0" w:after="0"/>
              <w:rPr>
                <w:b/>
                <w:sz w:val="16"/>
                <w:szCs w:val="16"/>
                <w:lang w:val="fr-BE"/>
              </w:rPr>
            </w:pPr>
            <w:r w:rsidRPr="009143B4">
              <w:rPr>
                <w:b/>
                <w:noProof/>
                <w:sz w:val="16"/>
                <w:szCs w:val="16"/>
                <w:lang w:val="fr-BE"/>
              </w:rPr>
              <w:t>ID</w:t>
            </w:r>
          </w:p>
        </w:tc>
        <w:tc>
          <w:tcPr>
            <w:tcW w:w="0" w:type="auto"/>
            <w:shd w:val="clear" w:color="auto" w:fill="auto"/>
          </w:tcPr>
          <w:p w14:paraId="52600EBC" w14:textId="77777777" w:rsidR="008C5CFA" w:rsidRPr="009143B4" w:rsidRDefault="00E82A60" w:rsidP="00300A01">
            <w:pPr>
              <w:spacing w:before="0" w:after="0"/>
              <w:rPr>
                <w:b/>
                <w:sz w:val="16"/>
                <w:szCs w:val="16"/>
                <w:lang w:val="fr-BE"/>
              </w:rPr>
            </w:pPr>
            <w:r w:rsidRPr="009143B4">
              <w:rPr>
                <w:b/>
                <w:noProof/>
                <w:sz w:val="16"/>
                <w:szCs w:val="16"/>
                <w:lang w:val="fr-BE"/>
              </w:rPr>
              <w:t>Wskaźnik</w:t>
            </w:r>
          </w:p>
        </w:tc>
        <w:tc>
          <w:tcPr>
            <w:tcW w:w="0" w:type="auto"/>
          </w:tcPr>
          <w:p w14:paraId="4A22329D" w14:textId="77777777" w:rsidR="008C5CFA" w:rsidRPr="009143B4" w:rsidRDefault="00E82A60"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Ogółem</w:t>
            </w:r>
          </w:p>
        </w:tc>
        <w:tc>
          <w:tcPr>
            <w:tcW w:w="0" w:type="auto"/>
          </w:tcPr>
          <w:p w14:paraId="1CFC9597" w14:textId="77777777" w:rsidR="008C5CFA" w:rsidRPr="009143B4" w:rsidRDefault="00E82A60"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Mężczyźni</w:t>
            </w:r>
          </w:p>
        </w:tc>
        <w:tc>
          <w:tcPr>
            <w:tcW w:w="0" w:type="auto"/>
          </w:tcPr>
          <w:p w14:paraId="2103928E" w14:textId="77777777" w:rsidR="008C5CFA" w:rsidRPr="009143B4" w:rsidRDefault="00E82A60"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Kobiety</w:t>
            </w:r>
          </w:p>
        </w:tc>
        <w:tc>
          <w:tcPr>
            <w:tcW w:w="0" w:type="auto"/>
            <w:shd w:val="clear" w:color="auto" w:fill="auto"/>
          </w:tcPr>
          <w:p w14:paraId="211A1D1E" w14:textId="77777777" w:rsidR="008C5CFA" w:rsidRPr="009143B4" w:rsidRDefault="00E82A60"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Ogółem</w:t>
            </w:r>
          </w:p>
        </w:tc>
        <w:tc>
          <w:tcPr>
            <w:tcW w:w="0" w:type="auto"/>
            <w:shd w:val="clear" w:color="auto" w:fill="auto"/>
          </w:tcPr>
          <w:p w14:paraId="01DBBEFA" w14:textId="77777777" w:rsidR="008C5CFA" w:rsidRPr="009143B4" w:rsidRDefault="00E82A60"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Mężczyźni</w:t>
            </w:r>
          </w:p>
        </w:tc>
        <w:tc>
          <w:tcPr>
            <w:tcW w:w="0" w:type="auto"/>
            <w:shd w:val="clear" w:color="auto" w:fill="auto"/>
          </w:tcPr>
          <w:p w14:paraId="663A1D56" w14:textId="77777777" w:rsidR="008C5CFA" w:rsidRPr="009143B4" w:rsidRDefault="00E82A60"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Kobiety</w:t>
            </w:r>
          </w:p>
        </w:tc>
      </w:tr>
      <w:tr w:rsidR="006B2EC1" w14:paraId="038BD1DE" w14:textId="77777777" w:rsidTr="0047688D">
        <w:tc>
          <w:tcPr>
            <w:tcW w:w="0" w:type="auto"/>
          </w:tcPr>
          <w:p w14:paraId="184A0537" w14:textId="77777777" w:rsidR="008C5CFA" w:rsidRPr="0024468B" w:rsidRDefault="00E82A60" w:rsidP="00300A01">
            <w:pPr>
              <w:spacing w:before="0" w:after="0"/>
              <w:rPr>
                <w:sz w:val="16"/>
                <w:szCs w:val="16"/>
                <w:lang w:val="fr-BE"/>
              </w:rPr>
            </w:pPr>
            <w:r>
              <w:rPr>
                <w:noProof/>
                <w:sz w:val="16"/>
                <w:szCs w:val="16"/>
                <w:lang w:val="fr-BE"/>
              </w:rPr>
              <w:t>F</w:t>
            </w:r>
          </w:p>
        </w:tc>
        <w:tc>
          <w:tcPr>
            <w:tcW w:w="0" w:type="auto"/>
            <w:shd w:val="clear" w:color="auto" w:fill="auto"/>
          </w:tcPr>
          <w:p w14:paraId="6AB6C214" w14:textId="77777777" w:rsidR="008C5CFA" w:rsidRPr="0024468B" w:rsidRDefault="00E82A60" w:rsidP="00300A01">
            <w:pPr>
              <w:spacing w:before="0" w:after="0"/>
              <w:rPr>
                <w:sz w:val="16"/>
                <w:szCs w:val="16"/>
                <w:lang w:val="fr-BE"/>
              </w:rPr>
            </w:pPr>
            <w:r w:rsidRPr="0024468B">
              <w:rPr>
                <w:noProof/>
                <w:sz w:val="16"/>
                <w:szCs w:val="16"/>
                <w:lang w:val="fr-BE"/>
              </w:rPr>
              <w:t>CO31</w:t>
            </w:r>
          </w:p>
        </w:tc>
        <w:tc>
          <w:tcPr>
            <w:tcW w:w="0" w:type="auto"/>
            <w:shd w:val="clear" w:color="auto" w:fill="auto"/>
          </w:tcPr>
          <w:p w14:paraId="004074D4" w14:textId="77777777" w:rsidR="008C5CFA" w:rsidRPr="0024468B" w:rsidRDefault="00E82A60" w:rsidP="00300A01">
            <w:pPr>
              <w:spacing w:before="0" w:after="0"/>
              <w:rPr>
                <w:sz w:val="16"/>
                <w:szCs w:val="16"/>
                <w:lang w:val="fr-BE"/>
              </w:rPr>
            </w:pPr>
            <w:r w:rsidRPr="0024468B">
              <w:rPr>
                <w:noProof/>
                <w:sz w:val="16"/>
                <w:szCs w:val="16"/>
                <w:lang w:val="fr-BE"/>
              </w:rPr>
              <w:t>Efektywność energetyczna: liczba gospodarstw domowych z lepszą klasą zużycia energii</w:t>
            </w:r>
          </w:p>
        </w:tc>
        <w:tc>
          <w:tcPr>
            <w:tcW w:w="0" w:type="auto"/>
          </w:tcPr>
          <w:p w14:paraId="43CE8A49"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659BDEDF"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27C1FCC3"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580A7FF5"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25DBBFE9"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7A5E0251"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r w:rsidR="006B2EC1" w14:paraId="003307DD" w14:textId="77777777" w:rsidTr="0047688D">
        <w:tc>
          <w:tcPr>
            <w:tcW w:w="0" w:type="auto"/>
          </w:tcPr>
          <w:p w14:paraId="25FEEF9E" w14:textId="77777777" w:rsidR="008C5CFA" w:rsidRPr="0024468B" w:rsidRDefault="00E82A60" w:rsidP="00300A01">
            <w:pPr>
              <w:spacing w:before="0" w:after="0"/>
              <w:rPr>
                <w:sz w:val="16"/>
                <w:szCs w:val="16"/>
                <w:lang w:val="fr-BE"/>
              </w:rPr>
            </w:pPr>
            <w:r>
              <w:rPr>
                <w:noProof/>
                <w:sz w:val="16"/>
                <w:szCs w:val="16"/>
                <w:lang w:val="fr-BE"/>
              </w:rPr>
              <w:t>S</w:t>
            </w:r>
          </w:p>
        </w:tc>
        <w:tc>
          <w:tcPr>
            <w:tcW w:w="0" w:type="auto"/>
            <w:shd w:val="clear" w:color="auto" w:fill="auto"/>
          </w:tcPr>
          <w:p w14:paraId="403B3C31" w14:textId="77777777" w:rsidR="008C5CFA" w:rsidRPr="0024468B" w:rsidRDefault="00E82A60" w:rsidP="00300A01">
            <w:pPr>
              <w:spacing w:before="0" w:after="0"/>
              <w:rPr>
                <w:sz w:val="16"/>
                <w:szCs w:val="16"/>
                <w:lang w:val="fr-BE"/>
              </w:rPr>
            </w:pPr>
            <w:r w:rsidRPr="0024468B">
              <w:rPr>
                <w:noProof/>
                <w:sz w:val="16"/>
                <w:szCs w:val="16"/>
                <w:lang w:val="fr-BE"/>
              </w:rPr>
              <w:t>CO31</w:t>
            </w:r>
          </w:p>
        </w:tc>
        <w:tc>
          <w:tcPr>
            <w:tcW w:w="0" w:type="auto"/>
            <w:shd w:val="clear" w:color="auto" w:fill="auto"/>
          </w:tcPr>
          <w:p w14:paraId="3B80FBB1" w14:textId="77777777" w:rsidR="008C5CFA" w:rsidRPr="0024468B" w:rsidRDefault="00E82A60" w:rsidP="00300A01">
            <w:pPr>
              <w:spacing w:before="0" w:after="0"/>
              <w:rPr>
                <w:sz w:val="16"/>
                <w:szCs w:val="16"/>
                <w:lang w:val="fr-BE"/>
              </w:rPr>
            </w:pPr>
            <w:r w:rsidRPr="0024468B">
              <w:rPr>
                <w:noProof/>
                <w:sz w:val="16"/>
                <w:szCs w:val="16"/>
                <w:lang w:val="fr-BE"/>
              </w:rPr>
              <w:t>Efektywność energetyczna: liczba gospodarstw domowych z lepszą klasą zużycia energii</w:t>
            </w:r>
          </w:p>
        </w:tc>
        <w:tc>
          <w:tcPr>
            <w:tcW w:w="0" w:type="auto"/>
          </w:tcPr>
          <w:p w14:paraId="5E44919C"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0793057C"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2E462A88"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54DA7DFE"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5D206A44"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3F99893F"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r w:rsidR="006B2EC1" w14:paraId="6DAA3B88" w14:textId="77777777" w:rsidTr="0047688D">
        <w:tc>
          <w:tcPr>
            <w:tcW w:w="0" w:type="auto"/>
          </w:tcPr>
          <w:p w14:paraId="40C151D2" w14:textId="77777777" w:rsidR="008C5CFA" w:rsidRPr="0024468B" w:rsidRDefault="00E82A60" w:rsidP="00300A01">
            <w:pPr>
              <w:spacing w:before="0" w:after="0"/>
              <w:rPr>
                <w:sz w:val="16"/>
                <w:szCs w:val="16"/>
                <w:lang w:val="fr-BE"/>
              </w:rPr>
            </w:pPr>
            <w:r>
              <w:rPr>
                <w:noProof/>
                <w:sz w:val="16"/>
                <w:szCs w:val="16"/>
                <w:lang w:val="fr-BE"/>
              </w:rPr>
              <w:t>F</w:t>
            </w:r>
          </w:p>
        </w:tc>
        <w:tc>
          <w:tcPr>
            <w:tcW w:w="0" w:type="auto"/>
            <w:shd w:val="clear" w:color="auto" w:fill="auto"/>
          </w:tcPr>
          <w:p w14:paraId="536CC965" w14:textId="77777777" w:rsidR="008C5CFA" w:rsidRPr="0024468B" w:rsidRDefault="00E82A60" w:rsidP="00300A01">
            <w:pPr>
              <w:spacing w:before="0" w:after="0"/>
              <w:rPr>
                <w:sz w:val="16"/>
                <w:szCs w:val="16"/>
                <w:lang w:val="fr-BE"/>
              </w:rPr>
            </w:pPr>
            <w:r w:rsidRPr="0024468B">
              <w:rPr>
                <w:noProof/>
                <w:sz w:val="16"/>
                <w:szCs w:val="16"/>
                <w:lang w:val="fr-BE"/>
              </w:rPr>
              <w:t>CO32</w:t>
            </w:r>
          </w:p>
        </w:tc>
        <w:tc>
          <w:tcPr>
            <w:tcW w:w="0" w:type="auto"/>
            <w:shd w:val="clear" w:color="auto" w:fill="auto"/>
          </w:tcPr>
          <w:p w14:paraId="0F770355" w14:textId="77777777" w:rsidR="008C5CFA" w:rsidRPr="0024468B" w:rsidRDefault="00E82A60" w:rsidP="00300A01">
            <w:pPr>
              <w:spacing w:before="0" w:after="0"/>
              <w:rPr>
                <w:sz w:val="16"/>
                <w:szCs w:val="16"/>
                <w:lang w:val="fr-BE"/>
              </w:rPr>
            </w:pPr>
            <w:r w:rsidRPr="0024468B">
              <w:rPr>
                <w:noProof/>
                <w:sz w:val="16"/>
                <w:szCs w:val="16"/>
                <w:lang w:val="fr-BE"/>
              </w:rPr>
              <w:t>Efektywność energetyczna: zmniejszenie rocznego zużycia energii pierwotnej w budynkach publicznych</w:t>
            </w:r>
          </w:p>
        </w:tc>
        <w:tc>
          <w:tcPr>
            <w:tcW w:w="0" w:type="auto"/>
          </w:tcPr>
          <w:p w14:paraId="63C78CF9"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79781607"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0EF20820"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762E7795"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6FAE85AA"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154AB263"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r w:rsidR="006B2EC1" w14:paraId="4F51B318" w14:textId="77777777" w:rsidTr="0047688D">
        <w:tc>
          <w:tcPr>
            <w:tcW w:w="0" w:type="auto"/>
          </w:tcPr>
          <w:p w14:paraId="36BAB9C2" w14:textId="77777777" w:rsidR="008C5CFA" w:rsidRPr="0024468B" w:rsidRDefault="00E82A60" w:rsidP="00300A01">
            <w:pPr>
              <w:spacing w:before="0" w:after="0"/>
              <w:rPr>
                <w:sz w:val="16"/>
                <w:szCs w:val="16"/>
                <w:lang w:val="fr-BE"/>
              </w:rPr>
            </w:pPr>
            <w:r>
              <w:rPr>
                <w:noProof/>
                <w:sz w:val="16"/>
                <w:szCs w:val="16"/>
                <w:lang w:val="fr-BE"/>
              </w:rPr>
              <w:t>S</w:t>
            </w:r>
          </w:p>
        </w:tc>
        <w:tc>
          <w:tcPr>
            <w:tcW w:w="0" w:type="auto"/>
            <w:shd w:val="clear" w:color="auto" w:fill="auto"/>
          </w:tcPr>
          <w:p w14:paraId="347509F0" w14:textId="77777777" w:rsidR="008C5CFA" w:rsidRPr="0024468B" w:rsidRDefault="00E82A60" w:rsidP="00300A01">
            <w:pPr>
              <w:spacing w:before="0" w:after="0"/>
              <w:rPr>
                <w:sz w:val="16"/>
                <w:szCs w:val="16"/>
                <w:lang w:val="fr-BE"/>
              </w:rPr>
            </w:pPr>
            <w:r w:rsidRPr="0024468B">
              <w:rPr>
                <w:noProof/>
                <w:sz w:val="16"/>
                <w:szCs w:val="16"/>
                <w:lang w:val="fr-BE"/>
              </w:rPr>
              <w:t>CO32</w:t>
            </w:r>
          </w:p>
        </w:tc>
        <w:tc>
          <w:tcPr>
            <w:tcW w:w="0" w:type="auto"/>
            <w:shd w:val="clear" w:color="auto" w:fill="auto"/>
          </w:tcPr>
          <w:p w14:paraId="090B1A73" w14:textId="77777777" w:rsidR="008C5CFA" w:rsidRPr="0024468B" w:rsidRDefault="00E82A60" w:rsidP="00300A01">
            <w:pPr>
              <w:spacing w:before="0" w:after="0"/>
              <w:rPr>
                <w:sz w:val="16"/>
                <w:szCs w:val="16"/>
                <w:lang w:val="fr-BE"/>
              </w:rPr>
            </w:pPr>
            <w:r w:rsidRPr="0024468B">
              <w:rPr>
                <w:noProof/>
                <w:sz w:val="16"/>
                <w:szCs w:val="16"/>
                <w:lang w:val="fr-BE"/>
              </w:rPr>
              <w:t>Efektywność energetyczna: zmniejszenie rocznego zużycia energii pierwotnej w budynkach publicznych</w:t>
            </w:r>
          </w:p>
        </w:tc>
        <w:tc>
          <w:tcPr>
            <w:tcW w:w="0" w:type="auto"/>
          </w:tcPr>
          <w:p w14:paraId="0A027497"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1B3F6AEC"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6AF59DB3"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6BAFBE2E"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501FE91D"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733EE7DB"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r w:rsidR="006B2EC1" w14:paraId="7AF68EF9" w14:textId="77777777" w:rsidTr="0047688D">
        <w:tc>
          <w:tcPr>
            <w:tcW w:w="0" w:type="auto"/>
          </w:tcPr>
          <w:p w14:paraId="0C508759" w14:textId="77777777" w:rsidR="008C5CFA" w:rsidRPr="0024468B" w:rsidRDefault="00E82A60" w:rsidP="00300A01">
            <w:pPr>
              <w:spacing w:before="0" w:after="0"/>
              <w:rPr>
                <w:sz w:val="16"/>
                <w:szCs w:val="16"/>
                <w:lang w:val="fr-BE"/>
              </w:rPr>
            </w:pPr>
            <w:r>
              <w:rPr>
                <w:noProof/>
                <w:sz w:val="16"/>
                <w:szCs w:val="16"/>
                <w:lang w:val="fr-BE"/>
              </w:rPr>
              <w:t>F</w:t>
            </w:r>
          </w:p>
        </w:tc>
        <w:tc>
          <w:tcPr>
            <w:tcW w:w="0" w:type="auto"/>
            <w:shd w:val="clear" w:color="auto" w:fill="auto"/>
          </w:tcPr>
          <w:p w14:paraId="08651CD4" w14:textId="77777777" w:rsidR="008C5CFA" w:rsidRPr="0024468B" w:rsidRDefault="00E82A60" w:rsidP="00300A01">
            <w:pPr>
              <w:spacing w:before="0" w:after="0"/>
              <w:rPr>
                <w:sz w:val="16"/>
                <w:szCs w:val="16"/>
                <w:lang w:val="fr-BE"/>
              </w:rPr>
            </w:pPr>
            <w:r w:rsidRPr="0024468B">
              <w:rPr>
                <w:noProof/>
                <w:sz w:val="16"/>
                <w:szCs w:val="16"/>
                <w:lang w:val="fr-BE"/>
              </w:rPr>
              <w:t>CO34</w:t>
            </w:r>
          </w:p>
        </w:tc>
        <w:tc>
          <w:tcPr>
            <w:tcW w:w="0" w:type="auto"/>
            <w:shd w:val="clear" w:color="auto" w:fill="auto"/>
          </w:tcPr>
          <w:p w14:paraId="2A0FAD09" w14:textId="77777777" w:rsidR="008C5CFA" w:rsidRPr="0024468B" w:rsidRDefault="00E82A60" w:rsidP="00300A01">
            <w:pPr>
              <w:spacing w:before="0" w:after="0"/>
              <w:rPr>
                <w:sz w:val="16"/>
                <w:szCs w:val="16"/>
                <w:lang w:val="fr-BE"/>
              </w:rPr>
            </w:pPr>
            <w:r w:rsidRPr="0024468B">
              <w:rPr>
                <w:noProof/>
                <w:sz w:val="16"/>
                <w:szCs w:val="16"/>
                <w:lang w:val="fr-BE"/>
              </w:rPr>
              <w:t>Redukcja emisji gazów cieplarnianych: szacowany roczny spadek emisji gazów cieplarnianych</w:t>
            </w:r>
          </w:p>
        </w:tc>
        <w:tc>
          <w:tcPr>
            <w:tcW w:w="0" w:type="auto"/>
          </w:tcPr>
          <w:p w14:paraId="366DF8B4"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33EAE157"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54D3992D"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54A833A1"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53D190FD"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29B40A29"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r w:rsidR="006B2EC1" w14:paraId="07D12B71" w14:textId="77777777" w:rsidTr="0047688D">
        <w:tc>
          <w:tcPr>
            <w:tcW w:w="0" w:type="auto"/>
          </w:tcPr>
          <w:p w14:paraId="5FD7DC9E" w14:textId="77777777" w:rsidR="008C5CFA" w:rsidRPr="0024468B" w:rsidRDefault="00E82A60" w:rsidP="00300A01">
            <w:pPr>
              <w:spacing w:before="0" w:after="0"/>
              <w:rPr>
                <w:sz w:val="16"/>
                <w:szCs w:val="16"/>
                <w:lang w:val="fr-BE"/>
              </w:rPr>
            </w:pPr>
            <w:r>
              <w:rPr>
                <w:noProof/>
                <w:sz w:val="16"/>
                <w:szCs w:val="16"/>
                <w:lang w:val="fr-BE"/>
              </w:rPr>
              <w:t>S</w:t>
            </w:r>
          </w:p>
        </w:tc>
        <w:tc>
          <w:tcPr>
            <w:tcW w:w="0" w:type="auto"/>
            <w:shd w:val="clear" w:color="auto" w:fill="auto"/>
          </w:tcPr>
          <w:p w14:paraId="77378478" w14:textId="77777777" w:rsidR="008C5CFA" w:rsidRPr="0024468B" w:rsidRDefault="00E82A60" w:rsidP="00300A01">
            <w:pPr>
              <w:spacing w:before="0" w:after="0"/>
              <w:rPr>
                <w:sz w:val="16"/>
                <w:szCs w:val="16"/>
                <w:lang w:val="fr-BE"/>
              </w:rPr>
            </w:pPr>
            <w:r w:rsidRPr="0024468B">
              <w:rPr>
                <w:noProof/>
                <w:sz w:val="16"/>
                <w:szCs w:val="16"/>
                <w:lang w:val="fr-BE"/>
              </w:rPr>
              <w:t>CO34</w:t>
            </w:r>
          </w:p>
        </w:tc>
        <w:tc>
          <w:tcPr>
            <w:tcW w:w="0" w:type="auto"/>
            <w:shd w:val="clear" w:color="auto" w:fill="auto"/>
          </w:tcPr>
          <w:p w14:paraId="27E1DF17" w14:textId="77777777" w:rsidR="008C5CFA" w:rsidRPr="0024468B" w:rsidRDefault="00E82A60" w:rsidP="00300A01">
            <w:pPr>
              <w:spacing w:before="0" w:after="0"/>
              <w:rPr>
                <w:sz w:val="16"/>
                <w:szCs w:val="16"/>
                <w:lang w:val="fr-BE"/>
              </w:rPr>
            </w:pPr>
            <w:r w:rsidRPr="0024468B">
              <w:rPr>
                <w:noProof/>
                <w:sz w:val="16"/>
                <w:szCs w:val="16"/>
                <w:lang w:val="fr-BE"/>
              </w:rPr>
              <w:t>Redukcja emisji gazów cieplarnianych: szacowany roczny spadek emisji gazów cieplarnianych</w:t>
            </w:r>
          </w:p>
        </w:tc>
        <w:tc>
          <w:tcPr>
            <w:tcW w:w="0" w:type="auto"/>
          </w:tcPr>
          <w:p w14:paraId="1F3833A0"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4A21326D"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76986D5D"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50A88CF5"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6D347CBA"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11A1D0BA"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r w:rsidR="006B2EC1" w14:paraId="0C007CD7" w14:textId="77777777" w:rsidTr="0047688D">
        <w:tc>
          <w:tcPr>
            <w:tcW w:w="0" w:type="auto"/>
          </w:tcPr>
          <w:p w14:paraId="7E7C468B" w14:textId="77777777" w:rsidR="008C5CFA" w:rsidRPr="0024468B" w:rsidRDefault="00E82A60" w:rsidP="00300A01">
            <w:pPr>
              <w:spacing w:before="0" w:after="0"/>
              <w:rPr>
                <w:sz w:val="16"/>
                <w:szCs w:val="16"/>
                <w:lang w:val="fr-BE"/>
              </w:rPr>
            </w:pPr>
            <w:r>
              <w:rPr>
                <w:noProof/>
                <w:sz w:val="16"/>
                <w:szCs w:val="16"/>
                <w:lang w:val="fr-BE"/>
              </w:rPr>
              <w:t>F</w:t>
            </w:r>
          </w:p>
        </w:tc>
        <w:tc>
          <w:tcPr>
            <w:tcW w:w="0" w:type="auto"/>
            <w:shd w:val="clear" w:color="auto" w:fill="auto"/>
          </w:tcPr>
          <w:p w14:paraId="00AB410E" w14:textId="77777777" w:rsidR="008C5CFA" w:rsidRPr="0024468B" w:rsidRDefault="00E82A60" w:rsidP="00300A01">
            <w:pPr>
              <w:spacing w:before="0" w:after="0"/>
              <w:rPr>
                <w:sz w:val="16"/>
                <w:szCs w:val="16"/>
                <w:lang w:val="fr-BE"/>
              </w:rPr>
            </w:pPr>
            <w:r>
              <w:rPr>
                <w:noProof/>
                <w:sz w:val="16"/>
                <w:szCs w:val="16"/>
                <w:lang w:val="fr-BE"/>
              </w:rPr>
              <w:t>34</w:t>
            </w:r>
          </w:p>
        </w:tc>
        <w:tc>
          <w:tcPr>
            <w:tcW w:w="0" w:type="auto"/>
            <w:shd w:val="clear" w:color="auto" w:fill="auto"/>
          </w:tcPr>
          <w:p w14:paraId="44EB619F" w14:textId="77777777" w:rsidR="008C5CFA" w:rsidRPr="0024468B" w:rsidRDefault="00E82A60" w:rsidP="00300A01">
            <w:pPr>
              <w:spacing w:before="0" w:after="0"/>
              <w:rPr>
                <w:sz w:val="16"/>
                <w:szCs w:val="16"/>
                <w:lang w:val="fr-BE"/>
              </w:rPr>
            </w:pPr>
            <w:r>
              <w:rPr>
                <w:noProof/>
                <w:sz w:val="16"/>
                <w:szCs w:val="16"/>
                <w:lang w:val="fr-BE"/>
              </w:rPr>
              <w:t>Liczba zmodernizowanych energetycznie budynków</w:t>
            </w:r>
          </w:p>
        </w:tc>
        <w:tc>
          <w:tcPr>
            <w:tcW w:w="0" w:type="auto"/>
          </w:tcPr>
          <w:p w14:paraId="150CD8B2"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28E1F1FE"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7F0D6221"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3F7A896B"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5AF6AA68"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43F43E22"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r w:rsidR="006B2EC1" w14:paraId="242A2791" w14:textId="77777777" w:rsidTr="0047688D">
        <w:tc>
          <w:tcPr>
            <w:tcW w:w="0" w:type="auto"/>
          </w:tcPr>
          <w:p w14:paraId="09C1F975" w14:textId="77777777" w:rsidR="008C5CFA" w:rsidRPr="0024468B" w:rsidRDefault="00E82A60" w:rsidP="00300A01">
            <w:pPr>
              <w:spacing w:before="0" w:after="0"/>
              <w:rPr>
                <w:sz w:val="16"/>
                <w:szCs w:val="16"/>
                <w:lang w:val="fr-BE"/>
              </w:rPr>
            </w:pPr>
            <w:r>
              <w:rPr>
                <w:noProof/>
                <w:sz w:val="16"/>
                <w:szCs w:val="16"/>
                <w:lang w:val="fr-BE"/>
              </w:rPr>
              <w:t>S</w:t>
            </w:r>
          </w:p>
        </w:tc>
        <w:tc>
          <w:tcPr>
            <w:tcW w:w="0" w:type="auto"/>
            <w:shd w:val="clear" w:color="auto" w:fill="auto"/>
          </w:tcPr>
          <w:p w14:paraId="718BBD91" w14:textId="77777777" w:rsidR="008C5CFA" w:rsidRPr="0024468B" w:rsidRDefault="00E82A60" w:rsidP="00300A01">
            <w:pPr>
              <w:spacing w:before="0" w:after="0"/>
              <w:rPr>
                <w:sz w:val="16"/>
                <w:szCs w:val="16"/>
                <w:lang w:val="fr-BE"/>
              </w:rPr>
            </w:pPr>
            <w:r>
              <w:rPr>
                <w:noProof/>
                <w:sz w:val="16"/>
                <w:szCs w:val="16"/>
                <w:lang w:val="fr-BE"/>
              </w:rPr>
              <w:t>34</w:t>
            </w:r>
          </w:p>
        </w:tc>
        <w:tc>
          <w:tcPr>
            <w:tcW w:w="0" w:type="auto"/>
            <w:shd w:val="clear" w:color="auto" w:fill="auto"/>
          </w:tcPr>
          <w:p w14:paraId="18F44922" w14:textId="77777777" w:rsidR="008C5CFA" w:rsidRPr="0024468B" w:rsidRDefault="00E82A60" w:rsidP="00300A01">
            <w:pPr>
              <w:spacing w:before="0" w:after="0"/>
              <w:rPr>
                <w:sz w:val="16"/>
                <w:szCs w:val="16"/>
                <w:lang w:val="fr-BE"/>
              </w:rPr>
            </w:pPr>
            <w:r>
              <w:rPr>
                <w:noProof/>
                <w:sz w:val="16"/>
                <w:szCs w:val="16"/>
                <w:lang w:val="fr-BE"/>
              </w:rPr>
              <w:t>Liczba zmodernizowanych energetycznie budynków</w:t>
            </w:r>
          </w:p>
        </w:tc>
        <w:tc>
          <w:tcPr>
            <w:tcW w:w="0" w:type="auto"/>
          </w:tcPr>
          <w:p w14:paraId="6EA64EBA"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7D272A4E"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628EF289"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20FB69E2"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6819BD18"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3E783230"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bl>
    <w:p w14:paraId="003CAE23" w14:textId="77777777" w:rsidR="008C5CFA" w:rsidRDefault="008C5CFA" w:rsidP="00300A01">
      <w:pPr>
        <w:spacing w:before="0" w:after="0"/>
        <w:rPr>
          <w:lang w:val="fr-BE"/>
        </w:rPr>
      </w:pPr>
    </w:p>
    <w:p w14:paraId="32F11AA1" w14:textId="77777777" w:rsidR="008C5CFA" w:rsidRDefault="008C5CFA" w:rsidP="00300A01">
      <w:pPr>
        <w:spacing w:before="0" w:after="0"/>
        <w:rPr>
          <w:lang w:val="fr-BE"/>
        </w:rPr>
      </w:pPr>
    </w:p>
    <w:p w14:paraId="669768E1" w14:textId="77777777" w:rsidR="008C5CFA" w:rsidRDefault="00E82A60" w:rsidP="00300A01">
      <w:pPr>
        <w:spacing w:before="0" w:after="0"/>
        <w:rPr>
          <w:lang w:val="fr-BE"/>
        </w:rPr>
      </w:pPr>
      <w:r>
        <w:rPr>
          <w:lang w:val="fr-BE"/>
        </w:rPr>
        <w:br w:type="page"/>
      </w:r>
    </w:p>
    <w:p w14:paraId="599F7885"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2"/>
        <w:gridCol w:w="13332"/>
      </w:tblGrid>
      <w:tr w:rsidR="006B2EC1" w14:paraId="2B5EFF3C" w14:textId="77777777" w:rsidTr="0047688D">
        <w:tc>
          <w:tcPr>
            <w:tcW w:w="0" w:type="auto"/>
            <w:shd w:val="clear" w:color="auto" w:fill="auto"/>
          </w:tcPr>
          <w:p w14:paraId="55DF7F06" w14:textId="77777777" w:rsidR="008C5CFA" w:rsidRPr="002124FC" w:rsidRDefault="00E82A60" w:rsidP="00300A01">
            <w:pPr>
              <w:spacing w:before="0" w:after="0"/>
              <w:rPr>
                <w:sz w:val="20"/>
                <w:szCs w:val="20"/>
                <w:lang w:val="fr-BE"/>
              </w:rPr>
            </w:pPr>
            <w:r>
              <w:rPr>
                <w:lang w:val="fr-BE"/>
              </w:rPr>
              <w:br w:type="page"/>
            </w:r>
            <w:r>
              <w:rPr>
                <w:lang w:val="fr-BE"/>
              </w:rPr>
              <w:br w:type="page"/>
            </w:r>
            <w:r>
              <w:rPr>
                <w:lang w:val="fr-BE"/>
              </w:rPr>
              <w:br w:type="page"/>
            </w:r>
            <w:r w:rsidRPr="002124FC">
              <w:rPr>
                <w:noProof/>
                <w:sz w:val="20"/>
                <w:szCs w:val="20"/>
                <w:lang w:val="fr-BE"/>
              </w:rPr>
              <w:t>Oś priorytetowa</w:t>
            </w:r>
          </w:p>
        </w:tc>
        <w:tc>
          <w:tcPr>
            <w:tcW w:w="0" w:type="auto"/>
            <w:shd w:val="clear" w:color="auto" w:fill="auto"/>
          </w:tcPr>
          <w:p w14:paraId="7A18FAEB" w14:textId="77777777" w:rsidR="008C5CFA" w:rsidRPr="002124FC" w:rsidRDefault="00E82A60" w:rsidP="00300A01">
            <w:pPr>
              <w:spacing w:before="0" w:after="0"/>
              <w:rPr>
                <w:sz w:val="20"/>
                <w:szCs w:val="20"/>
                <w:lang w:val="fr-BE"/>
              </w:rPr>
            </w:pPr>
            <w:r>
              <w:rPr>
                <w:noProof/>
                <w:sz w:val="20"/>
                <w:szCs w:val="20"/>
                <w:lang w:val="fr-BE"/>
              </w:rPr>
              <w:t>3</w:t>
            </w:r>
            <w:r w:rsidRPr="002124FC">
              <w:rPr>
                <w:sz w:val="20"/>
                <w:szCs w:val="20"/>
                <w:lang w:val="fr-BE"/>
              </w:rPr>
              <w:t xml:space="preserve"> - </w:t>
            </w:r>
            <w:r>
              <w:rPr>
                <w:noProof/>
                <w:sz w:val="20"/>
                <w:szCs w:val="20"/>
                <w:lang w:val="fr-BE"/>
              </w:rPr>
              <w:t>Efektywna i zielona energia</w:t>
            </w:r>
          </w:p>
        </w:tc>
      </w:tr>
      <w:tr w:rsidR="006B2EC1" w14:paraId="5DCF7161" w14:textId="77777777" w:rsidTr="0047688D">
        <w:tc>
          <w:tcPr>
            <w:tcW w:w="0" w:type="auto"/>
            <w:shd w:val="clear" w:color="auto" w:fill="auto"/>
          </w:tcPr>
          <w:p w14:paraId="76726FFE" w14:textId="77777777" w:rsidR="008C5CFA" w:rsidRPr="002124FC" w:rsidRDefault="00E82A60"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14:paraId="1F3F6341" w14:textId="77777777" w:rsidR="008C5CFA" w:rsidRPr="002124FC" w:rsidRDefault="00E82A60" w:rsidP="00300A01">
            <w:pPr>
              <w:spacing w:before="0" w:after="0"/>
              <w:rPr>
                <w:sz w:val="20"/>
                <w:szCs w:val="20"/>
                <w:lang w:val="fr-BE"/>
              </w:rPr>
            </w:pPr>
            <w:r w:rsidRPr="002124FC">
              <w:rPr>
                <w:noProof/>
                <w:sz w:val="20"/>
                <w:szCs w:val="20"/>
                <w:lang w:val="fr-BE"/>
              </w:rPr>
              <w:t>4c</w:t>
            </w:r>
            <w:r w:rsidRPr="002124FC">
              <w:rPr>
                <w:sz w:val="20"/>
                <w:szCs w:val="20"/>
                <w:lang w:val="fr-BE"/>
              </w:rPr>
              <w:t xml:space="preserve"> - </w:t>
            </w:r>
            <w:r>
              <w:rPr>
                <w:noProof/>
                <w:sz w:val="20"/>
                <w:szCs w:val="20"/>
                <w:lang w:val="fr-BE"/>
              </w:rPr>
              <w:t>Wspieranie efektywności energetycznej, inteligentnego zarządzania energią i wykorzystywania odnawialnych źródeł energii w infrastrukturze publicznej, w tym w budynkach publicznych i w sektorze mieszkaniowym</w:t>
            </w:r>
          </w:p>
        </w:tc>
      </w:tr>
      <w:tr w:rsidR="006B2EC1" w14:paraId="2C781545" w14:textId="77777777" w:rsidTr="0047688D">
        <w:tc>
          <w:tcPr>
            <w:tcW w:w="0" w:type="auto"/>
            <w:shd w:val="clear" w:color="auto" w:fill="auto"/>
          </w:tcPr>
          <w:p w14:paraId="7A3D7BFD" w14:textId="77777777" w:rsidR="008C5CFA" w:rsidRPr="002124FC" w:rsidRDefault="00E82A60" w:rsidP="00300A01">
            <w:pPr>
              <w:spacing w:before="0" w:after="0"/>
              <w:ind w:left="113" w:hanging="113"/>
              <w:rPr>
                <w:sz w:val="20"/>
                <w:szCs w:val="20"/>
                <w:lang w:val="fr-BE"/>
              </w:rPr>
            </w:pPr>
            <w:r>
              <w:rPr>
                <w:noProof/>
                <w:sz w:val="20"/>
                <w:szCs w:val="20"/>
                <w:lang w:val="fr-BE"/>
              </w:rPr>
              <w:t>Cel szczegółowy</w:t>
            </w:r>
          </w:p>
        </w:tc>
        <w:tc>
          <w:tcPr>
            <w:tcW w:w="0" w:type="auto"/>
            <w:shd w:val="clear" w:color="auto" w:fill="auto"/>
          </w:tcPr>
          <w:p w14:paraId="23CA8C60" w14:textId="77777777" w:rsidR="008C5CFA" w:rsidRPr="002124FC" w:rsidRDefault="00E82A60" w:rsidP="00300A01">
            <w:pPr>
              <w:spacing w:before="0" w:after="0"/>
              <w:rPr>
                <w:sz w:val="20"/>
                <w:szCs w:val="20"/>
                <w:lang w:val="fr-BE"/>
              </w:rPr>
            </w:pPr>
            <w:r>
              <w:rPr>
                <w:noProof/>
                <w:sz w:val="20"/>
                <w:szCs w:val="20"/>
                <w:lang w:val="fr-BE"/>
              </w:rPr>
              <w:t>1</w:t>
            </w:r>
            <w:r>
              <w:rPr>
                <w:sz w:val="20"/>
                <w:szCs w:val="20"/>
                <w:lang w:val="fr-BE"/>
              </w:rPr>
              <w:t xml:space="preserve"> - </w:t>
            </w:r>
            <w:r>
              <w:rPr>
                <w:noProof/>
                <w:sz w:val="20"/>
                <w:szCs w:val="20"/>
                <w:lang w:val="fr-BE"/>
              </w:rPr>
              <w:t>Zwiększona efektywność energetyczna budynków publicznych  oraz sektora mieszkaniowego.</w:t>
            </w:r>
          </w:p>
        </w:tc>
      </w:tr>
    </w:tbl>
    <w:p w14:paraId="15D4BC1B" w14:textId="77777777" w:rsidR="008C5CFA" w:rsidRDefault="008C5CFA" w:rsidP="00300A01">
      <w:pPr>
        <w:spacing w:before="0" w:after="0"/>
        <w:rPr>
          <w:lang w:val="fr-BE"/>
        </w:rPr>
      </w:pPr>
    </w:p>
    <w:p w14:paraId="1D410897" w14:textId="77777777" w:rsidR="008C5CFA" w:rsidRDefault="00E82A60" w:rsidP="00300A01">
      <w:pPr>
        <w:spacing w:before="0" w:after="0"/>
        <w:rPr>
          <w:lang w:val="fr-BE"/>
        </w:rPr>
      </w:pPr>
      <w:r>
        <w:rPr>
          <w:lang w:val="fr-BE"/>
        </w:rPr>
        <w:t xml:space="preserve">Tabela 1: Wskaźniki rezultatu dla EFRR i Funduszu Spójności (według osi priorytetowej i celu szczegółowego); ma zastosowanie także do osi priorytetowej </w:t>
      </w:r>
      <w:r>
        <w:t>"</w:t>
      </w:r>
      <w:r>
        <w:rPr>
          <w:lang w:val="fr-BE"/>
        </w:rPr>
        <w:t>Pomoc techniczna</w:t>
      </w:r>
      <w:r>
        <w:t>"</w:t>
      </w:r>
    </w:p>
    <w:p w14:paraId="62F345D8"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
        <w:gridCol w:w="2872"/>
        <w:gridCol w:w="1096"/>
        <w:gridCol w:w="1182"/>
        <w:gridCol w:w="1189"/>
        <w:gridCol w:w="898"/>
        <w:gridCol w:w="1480"/>
        <w:gridCol w:w="948"/>
        <w:gridCol w:w="1170"/>
        <w:gridCol w:w="3892"/>
      </w:tblGrid>
      <w:tr w:rsidR="006B2EC1" w14:paraId="546C4EDA" w14:textId="77777777" w:rsidTr="0047688D">
        <w:tc>
          <w:tcPr>
            <w:tcW w:w="0" w:type="auto"/>
            <w:shd w:val="clear" w:color="auto" w:fill="auto"/>
          </w:tcPr>
          <w:p w14:paraId="29CB6A21" w14:textId="77777777" w:rsidR="008C5CFA" w:rsidRPr="0024468B" w:rsidRDefault="00E82A60" w:rsidP="00300A01">
            <w:pPr>
              <w:spacing w:before="0" w:after="0"/>
              <w:rPr>
                <w:sz w:val="16"/>
                <w:szCs w:val="16"/>
                <w:lang w:val="fr-BE"/>
              </w:rPr>
            </w:pPr>
            <w:r w:rsidRPr="0024468B">
              <w:rPr>
                <w:noProof/>
                <w:sz w:val="16"/>
                <w:szCs w:val="16"/>
                <w:lang w:val="fr-BE"/>
              </w:rPr>
              <w:t>ID</w:t>
            </w:r>
          </w:p>
        </w:tc>
        <w:tc>
          <w:tcPr>
            <w:tcW w:w="0" w:type="auto"/>
            <w:shd w:val="clear" w:color="auto" w:fill="auto"/>
          </w:tcPr>
          <w:p w14:paraId="7BB334B9" w14:textId="77777777" w:rsidR="008C5CFA" w:rsidRPr="0024468B" w:rsidRDefault="00E82A60" w:rsidP="00300A01">
            <w:pPr>
              <w:spacing w:before="0" w:after="0"/>
              <w:rPr>
                <w:sz w:val="16"/>
                <w:szCs w:val="16"/>
                <w:lang w:val="fr-BE"/>
              </w:rPr>
            </w:pPr>
            <w:r w:rsidRPr="0024468B">
              <w:rPr>
                <w:noProof/>
                <w:sz w:val="16"/>
                <w:szCs w:val="16"/>
                <w:lang w:val="fr-BE"/>
              </w:rPr>
              <w:t>Wskaźnik</w:t>
            </w:r>
          </w:p>
        </w:tc>
        <w:tc>
          <w:tcPr>
            <w:tcW w:w="0" w:type="auto"/>
            <w:shd w:val="clear" w:color="auto" w:fill="auto"/>
          </w:tcPr>
          <w:p w14:paraId="24FA9B03" w14:textId="77777777" w:rsidR="008C5CFA" w:rsidRPr="0024468B" w:rsidRDefault="00E82A60" w:rsidP="00300A01">
            <w:pPr>
              <w:spacing w:before="0" w:after="0"/>
              <w:rPr>
                <w:sz w:val="16"/>
                <w:szCs w:val="16"/>
                <w:lang w:val="fr-BE"/>
              </w:rPr>
            </w:pPr>
            <w:r w:rsidRPr="0024468B">
              <w:rPr>
                <w:noProof/>
                <w:sz w:val="16"/>
                <w:szCs w:val="16"/>
                <w:lang w:val="fr-BE"/>
              </w:rPr>
              <w:t>Jednostka miary</w:t>
            </w:r>
          </w:p>
        </w:tc>
        <w:tc>
          <w:tcPr>
            <w:tcW w:w="0" w:type="auto"/>
            <w:shd w:val="clear" w:color="auto" w:fill="auto"/>
          </w:tcPr>
          <w:p w14:paraId="3D199B08" w14:textId="77777777" w:rsidR="008C5CFA" w:rsidRPr="0024468B" w:rsidRDefault="00E82A60" w:rsidP="00300A01">
            <w:pPr>
              <w:spacing w:before="0" w:after="0"/>
              <w:rPr>
                <w:sz w:val="16"/>
                <w:szCs w:val="16"/>
                <w:lang w:val="fr-BE"/>
              </w:rPr>
            </w:pPr>
            <w:r w:rsidRPr="0024468B">
              <w:rPr>
                <w:noProof/>
                <w:sz w:val="16"/>
                <w:szCs w:val="16"/>
                <w:lang w:val="fr-BE"/>
              </w:rPr>
              <w:t>Kategoria regionu</w:t>
            </w:r>
          </w:p>
        </w:tc>
        <w:tc>
          <w:tcPr>
            <w:tcW w:w="0" w:type="auto"/>
            <w:shd w:val="clear" w:color="auto" w:fill="auto"/>
          </w:tcPr>
          <w:p w14:paraId="1A5D4CB0" w14:textId="77777777" w:rsidR="008C5CFA" w:rsidRPr="0024468B" w:rsidRDefault="00E82A60" w:rsidP="00300A01">
            <w:pPr>
              <w:spacing w:before="0" w:after="0"/>
              <w:rPr>
                <w:sz w:val="16"/>
                <w:szCs w:val="16"/>
                <w:lang w:val="fr-BE"/>
              </w:rPr>
            </w:pPr>
            <w:r w:rsidRPr="0024468B">
              <w:rPr>
                <w:noProof/>
                <w:sz w:val="16"/>
                <w:szCs w:val="16"/>
                <w:lang w:val="fr-BE"/>
              </w:rPr>
              <w:t>Wartość bazowa</w:t>
            </w:r>
          </w:p>
        </w:tc>
        <w:tc>
          <w:tcPr>
            <w:tcW w:w="0" w:type="auto"/>
            <w:shd w:val="clear" w:color="auto" w:fill="auto"/>
          </w:tcPr>
          <w:p w14:paraId="0853BA0F" w14:textId="77777777" w:rsidR="008C5CFA" w:rsidRPr="0024468B" w:rsidRDefault="00E82A60" w:rsidP="00300A01">
            <w:pPr>
              <w:spacing w:before="0" w:after="0"/>
              <w:rPr>
                <w:sz w:val="16"/>
                <w:szCs w:val="16"/>
                <w:lang w:val="fr-BE"/>
              </w:rPr>
            </w:pPr>
            <w:r w:rsidRPr="0024468B">
              <w:rPr>
                <w:noProof/>
                <w:sz w:val="16"/>
                <w:szCs w:val="16"/>
                <w:lang w:val="fr-BE"/>
              </w:rPr>
              <w:t>Rok bazowy</w:t>
            </w:r>
          </w:p>
        </w:tc>
        <w:tc>
          <w:tcPr>
            <w:tcW w:w="0" w:type="auto"/>
            <w:shd w:val="clear" w:color="auto" w:fill="auto"/>
          </w:tcPr>
          <w:p w14:paraId="0F1574D2" w14:textId="77777777" w:rsidR="008C5CFA" w:rsidRPr="0024468B" w:rsidRDefault="00E82A60" w:rsidP="00300A01">
            <w:pPr>
              <w:spacing w:before="0" w:after="0"/>
              <w:rPr>
                <w:sz w:val="16"/>
                <w:szCs w:val="16"/>
                <w:lang w:val="fr-BE"/>
              </w:rPr>
            </w:pPr>
            <w:r w:rsidRPr="0024468B">
              <w:rPr>
                <w:noProof/>
                <w:sz w:val="16"/>
                <w:szCs w:val="16"/>
                <w:lang w:val="fr-BE"/>
              </w:rPr>
              <w:t>Wartość docelowa 2023</w:t>
            </w:r>
          </w:p>
        </w:tc>
        <w:tc>
          <w:tcPr>
            <w:tcW w:w="0" w:type="auto"/>
            <w:shd w:val="clear" w:color="auto" w:fill="auto"/>
          </w:tcPr>
          <w:p w14:paraId="452F4593" w14:textId="77777777" w:rsidR="008C5CFA" w:rsidRPr="0024468B" w:rsidRDefault="00E82A60" w:rsidP="00300A01">
            <w:pPr>
              <w:spacing w:before="0" w:after="0"/>
              <w:jc w:val="center"/>
              <w:rPr>
                <w:sz w:val="16"/>
                <w:szCs w:val="16"/>
                <w:lang w:val="fr-BE"/>
              </w:rPr>
            </w:pPr>
            <w:r>
              <w:rPr>
                <w:sz w:val="16"/>
                <w:szCs w:val="16"/>
                <w:lang w:val="fr-BE"/>
              </w:rPr>
              <w:t xml:space="preserve">2019 </w:t>
            </w:r>
            <w:r>
              <w:rPr>
                <w:noProof/>
                <w:sz w:val="16"/>
                <w:szCs w:val="16"/>
                <w:lang w:val="fr-BE"/>
              </w:rPr>
              <w:t>Ogółem</w:t>
            </w:r>
          </w:p>
        </w:tc>
        <w:tc>
          <w:tcPr>
            <w:tcW w:w="0" w:type="auto"/>
            <w:shd w:val="clear" w:color="auto" w:fill="auto"/>
          </w:tcPr>
          <w:p w14:paraId="418CF577" w14:textId="77777777" w:rsidR="008C5CFA" w:rsidRPr="0024468B" w:rsidRDefault="00E82A60" w:rsidP="00300A01">
            <w:pPr>
              <w:spacing w:before="0" w:after="0"/>
              <w:jc w:val="center"/>
              <w:rPr>
                <w:sz w:val="16"/>
                <w:szCs w:val="16"/>
                <w:lang w:val="fr-BE"/>
              </w:rPr>
            </w:pPr>
            <w:r>
              <w:rPr>
                <w:sz w:val="16"/>
                <w:szCs w:val="16"/>
                <w:lang w:val="fr-BE"/>
              </w:rPr>
              <w:t xml:space="preserve">2019 </w:t>
            </w:r>
            <w:r w:rsidRPr="0024468B">
              <w:rPr>
                <w:noProof/>
                <w:sz w:val="16"/>
                <w:szCs w:val="16"/>
                <w:lang w:val="fr-BE"/>
              </w:rPr>
              <w:t>Jakościowe</w:t>
            </w:r>
          </w:p>
        </w:tc>
        <w:tc>
          <w:tcPr>
            <w:tcW w:w="0" w:type="auto"/>
            <w:shd w:val="clear" w:color="auto" w:fill="auto"/>
          </w:tcPr>
          <w:p w14:paraId="57B1A0A2" w14:textId="77777777" w:rsidR="008C5CFA" w:rsidRPr="0024468B" w:rsidRDefault="00E82A60" w:rsidP="00300A01">
            <w:pPr>
              <w:spacing w:before="0" w:after="0"/>
              <w:jc w:val="center"/>
              <w:rPr>
                <w:sz w:val="16"/>
                <w:szCs w:val="16"/>
                <w:lang w:val="fr-BE"/>
              </w:rPr>
            </w:pPr>
            <w:r w:rsidRPr="0024468B">
              <w:rPr>
                <w:noProof/>
                <w:sz w:val="16"/>
                <w:szCs w:val="16"/>
                <w:lang w:val="fr-BE"/>
              </w:rPr>
              <w:t>Uwagi</w:t>
            </w:r>
          </w:p>
        </w:tc>
      </w:tr>
      <w:tr w:rsidR="006B2EC1" w14:paraId="088888E6" w14:textId="77777777" w:rsidTr="0047688D">
        <w:tc>
          <w:tcPr>
            <w:tcW w:w="0" w:type="auto"/>
            <w:shd w:val="clear" w:color="auto" w:fill="auto"/>
          </w:tcPr>
          <w:p w14:paraId="5A19DF87" w14:textId="77777777" w:rsidR="008C5CFA" w:rsidRPr="0024468B" w:rsidRDefault="00E82A60" w:rsidP="00300A01">
            <w:pPr>
              <w:spacing w:before="0" w:after="0"/>
              <w:rPr>
                <w:sz w:val="16"/>
                <w:szCs w:val="16"/>
                <w:lang w:val="fr-BE"/>
              </w:rPr>
            </w:pPr>
            <w:r w:rsidRPr="0024468B">
              <w:rPr>
                <w:noProof/>
                <w:sz w:val="16"/>
                <w:szCs w:val="16"/>
                <w:lang w:val="fr-BE"/>
              </w:rPr>
              <w:t>150</w:t>
            </w:r>
          </w:p>
        </w:tc>
        <w:tc>
          <w:tcPr>
            <w:tcW w:w="0" w:type="auto"/>
            <w:shd w:val="clear" w:color="auto" w:fill="auto"/>
          </w:tcPr>
          <w:p w14:paraId="2DA1322F" w14:textId="77777777" w:rsidR="008C5CFA" w:rsidRPr="0024468B" w:rsidRDefault="00E82A60" w:rsidP="00300A01">
            <w:pPr>
              <w:spacing w:before="0" w:after="0"/>
              <w:rPr>
                <w:sz w:val="16"/>
                <w:szCs w:val="16"/>
                <w:lang w:val="fr-BE"/>
              </w:rPr>
            </w:pPr>
            <w:r w:rsidRPr="0024468B">
              <w:rPr>
                <w:noProof/>
                <w:sz w:val="16"/>
                <w:szCs w:val="16"/>
                <w:lang w:val="fr-BE"/>
              </w:rPr>
              <w:t>Sprzedaż energii cieplnej na cele komunalno-bytowe ogółem</w:t>
            </w:r>
          </w:p>
        </w:tc>
        <w:tc>
          <w:tcPr>
            <w:tcW w:w="0" w:type="auto"/>
            <w:shd w:val="clear" w:color="auto" w:fill="auto"/>
          </w:tcPr>
          <w:p w14:paraId="1C0EFD62" w14:textId="77777777" w:rsidR="008C5CFA" w:rsidRPr="0024468B" w:rsidRDefault="00E82A60" w:rsidP="00300A01">
            <w:pPr>
              <w:spacing w:before="0" w:after="0"/>
              <w:rPr>
                <w:sz w:val="16"/>
                <w:szCs w:val="16"/>
                <w:lang w:val="fr-BE"/>
              </w:rPr>
            </w:pPr>
            <w:r w:rsidRPr="0024468B">
              <w:rPr>
                <w:noProof/>
                <w:sz w:val="16"/>
                <w:szCs w:val="16"/>
                <w:lang w:val="fr-BE"/>
              </w:rPr>
              <w:t>GJ</w:t>
            </w:r>
          </w:p>
        </w:tc>
        <w:tc>
          <w:tcPr>
            <w:tcW w:w="0" w:type="auto"/>
            <w:shd w:val="clear" w:color="auto" w:fill="auto"/>
          </w:tcPr>
          <w:p w14:paraId="061B56F2" w14:textId="77777777" w:rsidR="008C5CFA" w:rsidRPr="0024468B" w:rsidRDefault="00E82A60"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14:paraId="61E33A2F" w14:textId="77777777" w:rsidR="008C5CFA" w:rsidRPr="00C3185A" w:rsidRDefault="00E82A60" w:rsidP="00300A01">
            <w:pPr>
              <w:spacing w:before="0" w:after="0"/>
              <w:jc w:val="right"/>
              <w:rPr>
                <w:sz w:val="16"/>
                <w:szCs w:val="16"/>
                <w:lang w:val="fr-BE"/>
              </w:rPr>
            </w:pPr>
            <w:r w:rsidRPr="00C3185A">
              <w:rPr>
                <w:noProof/>
                <w:sz w:val="16"/>
                <w:szCs w:val="16"/>
                <w:lang w:val="fr-BE"/>
              </w:rPr>
              <w:t>4 371 481,00</w:t>
            </w:r>
          </w:p>
        </w:tc>
        <w:tc>
          <w:tcPr>
            <w:tcW w:w="0" w:type="auto"/>
            <w:shd w:val="clear" w:color="auto" w:fill="auto"/>
          </w:tcPr>
          <w:p w14:paraId="653C06B9" w14:textId="77777777" w:rsidR="008C5CFA" w:rsidRPr="0024468B" w:rsidRDefault="00E82A60" w:rsidP="00300A01">
            <w:pPr>
              <w:spacing w:before="0" w:after="0"/>
              <w:rPr>
                <w:sz w:val="16"/>
                <w:szCs w:val="16"/>
                <w:lang w:val="fr-BE"/>
              </w:rPr>
            </w:pPr>
            <w:r w:rsidRPr="0024468B">
              <w:rPr>
                <w:noProof/>
                <w:sz w:val="16"/>
                <w:szCs w:val="16"/>
                <w:lang w:val="fr-BE"/>
              </w:rPr>
              <w:t>2012</w:t>
            </w:r>
          </w:p>
        </w:tc>
        <w:tc>
          <w:tcPr>
            <w:tcW w:w="0" w:type="auto"/>
            <w:shd w:val="clear" w:color="auto" w:fill="auto"/>
          </w:tcPr>
          <w:p w14:paraId="4ADAC564" w14:textId="77777777" w:rsidR="008C5CFA" w:rsidRPr="0024468B" w:rsidRDefault="00E82A60" w:rsidP="00300A01">
            <w:pPr>
              <w:spacing w:before="0" w:after="0"/>
              <w:jc w:val="right"/>
              <w:rPr>
                <w:sz w:val="16"/>
                <w:szCs w:val="16"/>
                <w:lang w:val="fr-BE"/>
              </w:rPr>
            </w:pPr>
            <w:r w:rsidRPr="0024468B">
              <w:rPr>
                <w:noProof/>
                <w:sz w:val="16"/>
                <w:szCs w:val="16"/>
                <w:lang w:val="fr-BE"/>
              </w:rPr>
              <w:t>4 000 000,00</w:t>
            </w:r>
          </w:p>
        </w:tc>
        <w:tc>
          <w:tcPr>
            <w:tcW w:w="0" w:type="auto"/>
            <w:shd w:val="clear" w:color="auto" w:fill="auto"/>
          </w:tcPr>
          <w:p w14:paraId="45D37388"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5C03F8F4" w14:textId="77777777" w:rsidR="008C5CFA" w:rsidRPr="0024468B" w:rsidRDefault="008C5CFA" w:rsidP="00300A01">
            <w:pPr>
              <w:spacing w:before="0" w:after="0"/>
              <w:jc w:val="right"/>
              <w:rPr>
                <w:sz w:val="16"/>
                <w:szCs w:val="16"/>
                <w:lang w:val="fr-BE"/>
              </w:rPr>
            </w:pPr>
          </w:p>
        </w:tc>
        <w:tc>
          <w:tcPr>
            <w:tcW w:w="0" w:type="auto"/>
            <w:shd w:val="clear" w:color="auto" w:fill="auto"/>
          </w:tcPr>
          <w:p w14:paraId="1F728C99" w14:textId="77777777" w:rsidR="008C5CFA" w:rsidRPr="0024468B" w:rsidRDefault="00E82A60" w:rsidP="00300A01">
            <w:pPr>
              <w:spacing w:before="0" w:after="0"/>
              <w:rPr>
                <w:sz w:val="16"/>
                <w:szCs w:val="16"/>
                <w:lang w:val="fr-BE"/>
              </w:rPr>
            </w:pPr>
            <w:r w:rsidRPr="0024468B">
              <w:rPr>
                <w:noProof/>
                <w:sz w:val="16"/>
                <w:szCs w:val="16"/>
                <w:lang w:val="fr-BE"/>
              </w:rPr>
              <w:t>Brak aktualnych danych dostępnych w statystykach publicznych (systemie STRATEG)</w:t>
            </w:r>
          </w:p>
        </w:tc>
      </w:tr>
    </w:tbl>
    <w:p w14:paraId="78F8A5AF"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
        <w:gridCol w:w="4411"/>
        <w:gridCol w:w="1168"/>
        <w:gridCol w:w="1404"/>
        <w:gridCol w:w="1167"/>
        <w:gridCol w:w="1404"/>
        <w:gridCol w:w="1167"/>
        <w:gridCol w:w="1404"/>
        <w:gridCol w:w="1167"/>
        <w:gridCol w:w="1404"/>
      </w:tblGrid>
      <w:tr w:rsidR="006B2EC1" w14:paraId="3C486884" w14:textId="77777777" w:rsidTr="0047688D">
        <w:tc>
          <w:tcPr>
            <w:tcW w:w="0" w:type="auto"/>
            <w:shd w:val="clear" w:color="auto" w:fill="auto"/>
          </w:tcPr>
          <w:p w14:paraId="75F92B5F" w14:textId="77777777" w:rsidR="008C5CFA" w:rsidRPr="0024468B" w:rsidRDefault="00E82A60" w:rsidP="00300A01">
            <w:pPr>
              <w:spacing w:before="0" w:after="0"/>
              <w:rPr>
                <w:sz w:val="16"/>
                <w:szCs w:val="16"/>
                <w:lang w:val="fr-BE"/>
              </w:rPr>
            </w:pPr>
            <w:r w:rsidRPr="0024468B">
              <w:rPr>
                <w:noProof/>
                <w:sz w:val="16"/>
                <w:szCs w:val="16"/>
                <w:lang w:val="fr-BE"/>
              </w:rPr>
              <w:t>ID</w:t>
            </w:r>
          </w:p>
        </w:tc>
        <w:tc>
          <w:tcPr>
            <w:tcW w:w="0" w:type="auto"/>
            <w:shd w:val="clear" w:color="auto" w:fill="auto"/>
          </w:tcPr>
          <w:p w14:paraId="7301E501" w14:textId="77777777" w:rsidR="008C5CFA" w:rsidRPr="0024468B" w:rsidRDefault="00E82A60" w:rsidP="00300A01">
            <w:pPr>
              <w:spacing w:before="0" w:after="0"/>
              <w:rPr>
                <w:sz w:val="16"/>
                <w:szCs w:val="16"/>
                <w:lang w:val="fr-BE"/>
              </w:rPr>
            </w:pPr>
            <w:r w:rsidRPr="0024468B">
              <w:rPr>
                <w:noProof/>
                <w:sz w:val="16"/>
                <w:szCs w:val="16"/>
                <w:lang w:val="fr-BE"/>
              </w:rPr>
              <w:t>Wskaźnik</w:t>
            </w:r>
          </w:p>
        </w:tc>
        <w:tc>
          <w:tcPr>
            <w:tcW w:w="0" w:type="auto"/>
          </w:tcPr>
          <w:p w14:paraId="2ABB3D31" w14:textId="77777777" w:rsidR="008C5CFA" w:rsidRPr="0024468B" w:rsidRDefault="00E82A60" w:rsidP="00300A01">
            <w:pPr>
              <w:spacing w:before="0" w:after="0"/>
              <w:jc w:val="center"/>
              <w:rPr>
                <w:sz w:val="16"/>
                <w:szCs w:val="16"/>
                <w:lang w:val="fr-BE"/>
              </w:rPr>
            </w:pPr>
            <w:r>
              <w:rPr>
                <w:sz w:val="16"/>
                <w:szCs w:val="16"/>
                <w:lang w:val="fr-BE"/>
              </w:rPr>
              <w:t xml:space="preserve">2018 </w:t>
            </w:r>
            <w:r>
              <w:rPr>
                <w:noProof/>
                <w:sz w:val="16"/>
                <w:szCs w:val="16"/>
                <w:lang w:val="fr-BE"/>
              </w:rPr>
              <w:t>Ogółem</w:t>
            </w:r>
          </w:p>
        </w:tc>
        <w:tc>
          <w:tcPr>
            <w:tcW w:w="0" w:type="auto"/>
          </w:tcPr>
          <w:p w14:paraId="6C2754F1" w14:textId="77777777" w:rsidR="008C5CFA" w:rsidRPr="0024468B" w:rsidRDefault="00E82A60" w:rsidP="00300A01">
            <w:pPr>
              <w:spacing w:before="0" w:after="0"/>
              <w:jc w:val="center"/>
              <w:rPr>
                <w:sz w:val="16"/>
                <w:szCs w:val="16"/>
                <w:lang w:val="fr-BE"/>
              </w:rPr>
            </w:pPr>
            <w:r>
              <w:rPr>
                <w:sz w:val="16"/>
                <w:szCs w:val="16"/>
                <w:lang w:val="fr-BE"/>
              </w:rPr>
              <w:t xml:space="preserve">2018 </w:t>
            </w:r>
            <w:r w:rsidRPr="0024468B">
              <w:rPr>
                <w:noProof/>
                <w:sz w:val="16"/>
                <w:szCs w:val="16"/>
                <w:lang w:val="fr-BE"/>
              </w:rPr>
              <w:t>Jakościowe</w:t>
            </w:r>
          </w:p>
        </w:tc>
        <w:tc>
          <w:tcPr>
            <w:tcW w:w="0" w:type="auto"/>
          </w:tcPr>
          <w:p w14:paraId="3BF2A114" w14:textId="77777777" w:rsidR="008C5CFA" w:rsidRPr="0024468B" w:rsidRDefault="00E82A60" w:rsidP="00300A01">
            <w:pPr>
              <w:spacing w:before="0" w:after="0"/>
              <w:jc w:val="center"/>
              <w:rPr>
                <w:sz w:val="16"/>
                <w:szCs w:val="16"/>
                <w:lang w:val="fr-BE"/>
              </w:rPr>
            </w:pPr>
            <w:r>
              <w:rPr>
                <w:sz w:val="16"/>
                <w:szCs w:val="16"/>
                <w:lang w:val="fr-BE"/>
              </w:rPr>
              <w:t xml:space="preserve">2017 </w:t>
            </w:r>
            <w:r>
              <w:rPr>
                <w:noProof/>
                <w:sz w:val="16"/>
                <w:szCs w:val="16"/>
                <w:lang w:val="fr-BE"/>
              </w:rPr>
              <w:t>Ogółem</w:t>
            </w:r>
          </w:p>
        </w:tc>
        <w:tc>
          <w:tcPr>
            <w:tcW w:w="0" w:type="auto"/>
          </w:tcPr>
          <w:p w14:paraId="661A5C19" w14:textId="77777777" w:rsidR="008C5CFA" w:rsidRPr="0024468B" w:rsidRDefault="00E82A60" w:rsidP="00300A01">
            <w:pPr>
              <w:spacing w:before="0" w:after="0"/>
              <w:jc w:val="center"/>
              <w:rPr>
                <w:sz w:val="16"/>
                <w:szCs w:val="16"/>
                <w:lang w:val="fr-BE"/>
              </w:rPr>
            </w:pPr>
            <w:r>
              <w:rPr>
                <w:sz w:val="16"/>
                <w:szCs w:val="16"/>
                <w:lang w:val="fr-BE"/>
              </w:rPr>
              <w:t xml:space="preserve">2017 </w:t>
            </w:r>
            <w:r w:rsidRPr="0024468B">
              <w:rPr>
                <w:noProof/>
                <w:sz w:val="16"/>
                <w:szCs w:val="16"/>
                <w:lang w:val="fr-BE"/>
              </w:rPr>
              <w:t>Jakościowe</w:t>
            </w:r>
          </w:p>
        </w:tc>
        <w:tc>
          <w:tcPr>
            <w:tcW w:w="0" w:type="auto"/>
          </w:tcPr>
          <w:p w14:paraId="1C4C1123" w14:textId="77777777" w:rsidR="008C5CFA" w:rsidRPr="0024468B" w:rsidRDefault="00E82A60" w:rsidP="00300A01">
            <w:pPr>
              <w:spacing w:before="0" w:after="0"/>
              <w:jc w:val="center"/>
              <w:rPr>
                <w:sz w:val="16"/>
                <w:szCs w:val="16"/>
                <w:lang w:val="fr-BE"/>
              </w:rPr>
            </w:pPr>
            <w:r>
              <w:rPr>
                <w:sz w:val="16"/>
                <w:szCs w:val="16"/>
                <w:lang w:val="fr-BE"/>
              </w:rPr>
              <w:t xml:space="preserve">2016 </w:t>
            </w:r>
            <w:r>
              <w:rPr>
                <w:noProof/>
                <w:sz w:val="16"/>
                <w:szCs w:val="16"/>
                <w:lang w:val="fr-BE"/>
              </w:rPr>
              <w:t>Ogółem</w:t>
            </w:r>
          </w:p>
        </w:tc>
        <w:tc>
          <w:tcPr>
            <w:tcW w:w="0" w:type="auto"/>
          </w:tcPr>
          <w:p w14:paraId="2D3A2E54" w14:textId="77777777" w:rsidR="008C5CFA" w:rsidRPr="0024468B" w:rsidRDefault="00E82A60" w:rsidP="00300A01">
            <w:pPr>
              <w:spacing w:before="0" w:after="0"/>
              <w:jc w:val="center"/>
              <w:rPr>
                <w:sz w:val="16"/>
                <w:szCs w:val="16"/>
                <w:lang w:val="fr-BE"/>
              </w:rPr>
            </w:pPr>
            <w:r>
              <w:rPr>
                <w:sz w:val="16"/>
                <w:szCs w:val="16"/>
                <w:lang w:val="fr-BE"/>
              </w:rPr>
              <w:t xml:space="preserve">2016 </w:t>
            </w:r>
            <w:r w:rsidRPr="0024468B">
              <w:rPr>
                <w:noProof/>
                <w:sz w:val="16"/>
                <w:szCs w:val="16"/>
                <w:lang w:val="fr-BE"/>
              </w:rPr>
              <w:t>Jakościowe</w:t>
            </w:r>
          </w:p>
        </w:tc>
        <w:tc>
          <w:tcPr>
            <w:tcW w:w="0" w:type="auto"/>
          </w:tcPr>
          <w:p w14:paraId="2C10125A" w14:textId="77777777" w:rsidR="008C5CFA" w:rsidRPr="0024468B" w:rsidRDefault="00E82A60" w:rsidP="00300A01">
            <w:pPr>
              <w:spacing w:before="0" w:after="0"/>
              <w:jc w:val="center"/>
              <w:rPr>
                <w:sz w:val="16"/>
                <w:szCs w:val="16"/>
                <w:lang w:val="fr-BE"/>
              </w:rPr>
            </w:pPr>
            <w:r>
              <w:rPr>
                <w:sz w:val="16"/>
                <w:szCs w:val="16"/>
                <w:lang w:val="fr-BE"/>
              </w:rPr>
              <w:t xml:space="preserve">2015 </w:t>
            </w:r>
            <w:r>
              <w:rPr>
                <w:noProof/>
                <w:sz w:val="16"/>
                <w:szCs w:val="16"/>
                <w:lang w:val="fr-BE"/>
              </w:rPr>
              <w:t>Ogółem</w:t>
            </w:r>
          </w:p>
        </w:tc>
        <w:tc>
          <w:tcPr>
            <w:tcW w:w="0" w:type="auto"/>
          </w:tcPr>
          <w:p w14:paraId="7F9CC542" w14:textId="77777777" w:rsidR="008C5CFA" w:rsidRPr="0024468B" w:rsidRDefault="00E82A60" w:rsidP="00300A01">
            <w:pPr>
              <w:spacing w:before="0" w:after="0"/>
              <w:jc w:val="center"/>
              <w:rPr>
                <w:sz w:val="16"/>
                <w:szCs w:val="16"/>
                <w:lang w:val="fr-BE"/>
              </w:rPr>
            </w:pPr>
            <w:r>
              <w:rPr>
                <w:sz w:val="16"/>
                <w:szCs w:val="16"/>
                <w:lang w:val="fr-BE"/>
              </w:rPr>
              <w:t xml:space="preserve">2015 </w:t>
            </w:r>
            <w:r w:rsidRPr="0024468B">
              <w:rPr>
                <w:noProof/>
                <w:sz w:val="16"/>
                <w:szCs w:val="16"/>
                <w:lang w:val="fr-BE"/>
              </w:rPr>
              <w:t>Jakościowe</w:t>
            </w:r>
          </w:p>
        </w:tc>
      </w:tr>
      <w:tr w:rsidR="006B2EC1" w14:paraId="6AB2BF21" w14:textId="77777777" w:rsidTr="0047688D">
        <w:tc>
          <w:tcPr>
            <w:tcW w:w="0" w:type="auto"/>
            <w:shd w:val="clear" w:color="auto" w:fill="auto"/>
          </w:tcPr>
          <w:p w14:paraId="40DE6D64" w14:textId="77777777" w:rsidR="008C5CFA" w:rsidRPr="0024468B" w:rsidRDefault="00E82A60" w:rsidP="00300A01">
            <w:pPr>
              <w:spacing w:before="0" w:after="0"/>
              <w:rPr>
                <w:sz w:val="16"/>
                <w:szCs w:val="16"/>
                <w:lang w:val="fr-BE"/>
              </w:rPr>
            </w:pPr>
            <w:r w:rsidRPr="0024468B">
              <w:rPr>
                <w:noProof/>
                <w:sz w:val="16"/>
                <w:szCs w:val="16"/>
                <w:lang w:val="fr-BE"/>
              </w:rPr>
              <w:t>150</w:t>
            </w:r>
          </w:p>
        </w:tc>
        <w:tc>
          <w:tcPr>
            <w:tcW w:w="0" w:type="auto"/>
            <w:shd w:val="clear" w:color="auto" w:fill="auto"/>
          </w:tcPr>
          <w:p w14:paraId="30175C36" w14:textId="77777777" w:rsidR="008C5CFA" w:rsidRPr="0024468B" w:rsidRDefault="00E82A60" w:rsidP="00300A01">
            <w:pPr>
              <w:spacing w:before="0" w:after="0"/>
              <w:rPr>
                <w:sz w:val="16"/>
                <w:szCs w:val="16"/>
                <w:lang w:val="fr-BE"/>
              </w:rPr>
            </w:pPr>
            <w:r w:rsidRPr="0024468B">
              <w:rPr>
                <w:noProof/>
                <w:sz w:val="16"/>
                <w:szCs w:val="16"/>
                <w:lang w:val="fr-BE"/>
              </w:rPr>
              <w:t>Sprzedaż energii cieplnej na cele komunalno-bytowe ogółem</w:t>
            </w:r>
          </w:p>
        </w:tc>
        <w:tc>
          <w:tcPr>
            <w:tcW w:w="0" w:type="auto"/>
          </w:tcPr>
          <w:p w14:paraId="0B395704" w14:textId="77777777" w:rsidR="008C5CFA" w:rsidRPr="0024468B" w:rsidRDefault="00E82A60" w:rsidP="00300A01">
            <w:pPr>
              <w:spacing w:before="0" w:after="0"/>
              <w:jc w:val="right"/>
              <w:rPr>
                <w:sz w:val="16"/>
                <w:szCs w:val="16"/>
                <w:lang w:val="fr-BE"/>
              </w:rPr>
            </w:pPr>
            <w:r w:rsidRPr="0024468B">
              <w:rPr>
                <w:noProof/>
                <w:sz w:val="16"/>
                <w:szCs w:val="16"/>
                <w:lang w:val="fr-BE"/>
              </w:rPr>
              <w:t>3 514 462,00</w:t>
            </w:r>
          </w:p>
        </w:tc>
        <w:tc>
          <w:tcPr>
            <w:tcW w:w="0" w:type="auto"/>
          </w:tcPr>
          <w:p w14:paraId="31CBEE4D" w14:textId="77777777" w:rsidR="008C5CFA" w:rsidRPr="0024468B" w:rsidRDefault="008C5CFA" w:rsidP="00300A01">
            <w:pPr>
              <w:spacing w:before="0" w:after="0"/>
              <w:jc w:val="right"/>
              <w:rPr>
                <w:sz w:val="16"/>
                <w:szCs w:val="16"/>
                <w:lang w:val="fr-BE"/>
              </w:rPr>
            </w:pPr>
          </w:p>
        </w:tc>
        <w:tc>
          <w:tcPr>
            <w:tcW w:w="0" w:type="auto"/>
          </w:tcPr>
          <w:p w14:paraId="7781BC23" w14:textId="77777777" w:rsidR="008C5CFA" w:rsidRPr="0024468B" w:rsidRDefault="00E82A60" w:rsidP="00300A01">
            <w:pPr>
              <w:spacing w:before="0" w:after="0"/>
              <w:jc w:val="right"/>
              <w:rPr>
                <w:sz w:val="16"/>
                <w:szCs w:val="16"/>
                <w:lang w:val="fr-BE"/>
              </w:rPr>
            </w:pPr>
            <w:r w:rsidRPr="0024468B">
              <w:rPr>
                <w:noProof/>
                <w:sz w:val="16"/>
                <w:szCs w:val="16"/>
                <w:lang w:val="fr-BE"/>
              </w:rPr>
              <w:t>3 800 149,00</w:t>
            </w:r>
          </w:p>
        </w:tc>
        <w:tc>
          <w:tcPr>
            <w:tcW w:w="0" w:type="auto"/>
          </w:tcPr>
          <w:p w14:paraId="471B8573" w14:textId="77777777" w:rsidR="008C5CFA" w:rsidRPr="0024468B" w:rsidRDefault="008C5CFA" w:rsidP="00300A01">
            <w:pPr>
              <w:spacing w:before="0" w:after="0"/>
              <w:jc w:val="right"/>
              <w:rPr>
                <w:sz w:val="16"/>
                <w:szCs w:val="16"/>
                <w:lang w:val="fr-BE"/>
              </w:rPr>
            </w:pPr>
          </w:p>
        </w:tc>
        <w:tc>
          <w:tcPr>
            <w:tcW w:w="0" w:type="auto"/>
          </w:tcPr>
          <w:p w14:paraId="05DB54A3" w14:textId="77777777" w:rsidR="008C5CFA" w:rsidRPr="0024468B" w:rsidRDefault="00E82A60" w:rsidP="00300A01">
            <w:pPr>
              <w:spacing w:before="0" w:after="0"/>
              <w:jc w:val="right"/>
              <w:rPr>
                <w:sz w:val="16"/>
                <w:szCs w:val="16"/>
                <w:lang w:val="fr-BE"/>
              </w:rPr>
            </w:pPr>
            <w:r w:rsidRPr="0024468B">
              <w:rPr>
                <w:noProof/>
                <w:sz w:val="16"/>
                <w:szCs w:val="16"/>
                <w:lang w:val="fr-BE"/>
              </w:rPr>
              <w:t>3 669 626,00</w:t>
            </w:r>
          </w:p>
        </w:tc>
        <w:tc>
          <w:tcPr>
            <w:tcW w:w="0" w:type="auto"/>
          </w:tcPr>
          <w:p w14:paraId="4A4AAC1C" w14:textId="77777777" w:rsidR="008C5CFA" w:rsidRPr="0024468B" w:rsidRDefault="008C5CFA" w:rsidP="00300A01">
            <w:pPr>
              <w:spacing w:before="0" w:after="0"/>
              <w:jc w:val="right"/>
              <w:rPr>
                <w:sz w:val="16"/>
                <w:szCs w:val="16"/>
                <w:lang w:val="fr-BE"/>
              </w:rPr>
            </w:pPr>
          </w:p>
        </w:tc>
        <w:tc>
          <w:tcPr>
            <w:tcW w:w="0" w:type="auto"/>
          </w:tcPr>
          <w:p w14:paraId="2DB97F2C" w14:textId="77777777" w:rsidR="008C5CFA" w:rsidRPr="0024468B" w:rsidRDefault="00E82A60" w:rsidP="00300A01">
            <w:pPr>
              <w:spacing w:before="0" w:after="0"/>
              <w:jc w:val="right"/>
              <w:rPr>
                <w:sz w:val="16"/>
                <w:szCs w:val="16"/>
                <w:lang w:val="fr-BE"/>
              </w:rPr>
            </w:pPr>
            <w:r w:rsidRPr="0024468B">
              <w:rPr>
                <w:noProof/>
                <w:sz w:val="16"/>
                <w:szCs w:val="16"/>
                <w:lang w:val="fr-BE"/>
              </w:rPr>
              <w:t>3 571 004,00</w:t>
            </w:r>
          </w:p>
        </w:tc>
        <w:tc>
          <w:tcPr>
            <w:tcW w:w="0" w:type="auto"/>
          </w:tcPr>
          <w:p w14:paraId="40507C06" w14:textId="77777777" w:rsidR="008C5CFA" w:rsidRPr="0024468B" w:rsidRDefault="008C5CFA" w:rsidP="00300A01">
            <w:pPr>
              <w:spacing w:before="0" w:after="0"/>
              <w:jc w:val="right"/>
              <w:rPr>
                <w:sz w:val="16"/>
                <w:szCs w:val="16"/>
                <w:lang w:val="fr-BE"/>
              </w:rPr>
            </w:pPr>
          </w:p>
        </w:tc>
      </w:tr>
    </w:tbl>
    <w:p w14:paraId="665B43BB"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
        <w:gridCol w:w="8965"/>
        <w:gridCol w:w="2373"/>
        <w:gridCol w:w="2855"/>
      </w:tblGrid>
      <w:tr w:rsidR="006B2EC1" w14:paraId="25B4EA2B" w14:textId="77777777" w:rsidTr="0047688D">
        <w:tc>
          <w:tcPr>
            <w:tcW w:w="0" w:type="auto"/>
            <w:shd w:val="clear" w:color="auto" w:fill="auto"/>
          </w:tcPr>
          <w:p w14:paraId="5642489B" w14:textId="77777777" w:rsidR="008C5CFA" w:rsidRPr="0024468B" w:rsidRDefault="00E82A60" w:rsidP="00300A01">
            <w:pPr>
              <w:spacing w:before="0" w:after="0"/>
              <w:rPr>
                <w:sz w:val="16"/>
                <w:szCs w:val="16"/>
                <w:lang w:val="fr-BE"/>
              </w:rPr>
            </w:pPr>
            <w:r w:rsidRPr="0024468B">
              <w:rPr>
                <w:noProof/>
                <w:sz w:val="16"/>
                <w:szCs w:val="16"/>
                <w:lang w:val="fr-BE"/>
              </w:rPr>
              <w:t>ID</w:t>
            </w:r>
          </w:p>
        </w:tc>
        <w:tc>
          <w:tcPr>
            <w:tcW w:w="0" w:type="auto"/>
            <w:shd w:val="clear" w:color="auto" w:fill="auto"/>
          </w:tcPr>
          <w:p w14:paraId="47E83CD2" w14:textId="77777777" w:rsidR="008C5CFA" w:rsidRPr="0024468B" w:rsidRDefault="00E82A60" w:rsidP="00300A01">
            <w:pPr>
              <w:spacing w:before="0" w:after="0"/>
              <w:rPr>
                <w:sz w:val="16"/>
                <w:szCs w:val="16"/>
                <w:lang w:val="fr-BE"/>
              </w:rPr>
            </w:pPr>
            <w:r w:rsidRPr="0024468B">
              <w:rPr>
                <w:noProof/>
                <w:sz w:val="16"/>
                <w:szCs w:val="16"/>
                <w:lang w:val="fr-BE"/>
              </w:rPr>
              <w:t>Wskaźnik</w:t>
            </w:r>
          </w:p>
        </w:tc>
        <w:tc>
          <w:tcPr>
            <w:tcW w:w="0" w:type="auto"/>
            <w:shd w:val="clear" w:color="auto" w:fill="auto"/>
          </w:tcPr>
          <w:p w14:paraId="33722E50" w14:textId="77777777" w:rsidR="008C5CFA" w:rsidRPr="0024468B" w:rsidRDefault="00E82A60" w:rsidP="00300A01">
            <w:pPr>
              <w:spacing w:before="0" w:after="0"/>
              <w:jc w:val="center"/>
              <w:rPr>
                <w:sz w:val="16"/>
                <w:szCs w:val="16"/>
                <w:lang w:val="fr-BE"/>
              </w:rPr>
            </w:pPr>
            <w:r>
              <w:rPr>
                <w:sz w:val="16"/>
                <w:szCs w:val="16"/>
                <w:lang w:val="fr-BE"/>
              </w:rPr>
              <w:t xml:space="preserve">2014 </w:t>
            </w:r>
            <w:r>
              <w:rPr>
                <w:noProof/>
                <w:sz w:val="16"/>
                <w:szCs w:val="16"/>
                <w:lang w:val="fr-BE"/>
              </w:rPr>
              <w:t>Ogółem</w:t>
            </w:r>
          </w:p>
        </w:tc>
        <w:tc>
          <w:tcPr>
            <w:tcW w:w="0" w:type="auto"/>
            <w:shd w:val="clear" w:color="auto" w:fill="auto"/>
          </w:tcPr>
          <w:p w14:paraId="3E678DBA" w14:textId="77777777" w:rsidR="008C5CFA" w:rsidRPr="0024468B" w:rsidRDefault="00E82A60" w:rsidP="00300A01">
            <w:pPr>
              <w:spacing w:before="0" w:after="0"/>
              <w:jc w:val="center"/>
              <w:rPr>
                <w:sz w:val="16"/>
                <w:szCs w:val="16"/>
                <w:lang w:val="fr-BE"/>
              </w:rPr>
            </w:pPr>
            <w:r>
              <w:rPr>
                <w:sz w:val="16"/>
                <w:szCs w:val="16"/>
                <w:lang w:val="fr-BE"/>
              </w:rPr>
              <w:t xml:space="preserve">2014 </w:t>
            </w:r>
            <w:r w:rsidRPr="0024468B">
              <w:rPr>
                <w:noProof/>
                <w:sz w:val="16"/>
                <w:szCs w:val="16"/>
                <w:lang w:val="fr-BE"/>
              </w:rPr>
              <w:t>Jakościowe</w:t>
            </w:r>
          </w:p>
        </w:tc>
      </w:tr>
      <w:tr w:rsidR="006B2EC1" w14:paraId="7852BC80" w14:textId="77777777" w:rsidTr="0047688D">
        <w:tc>
          <w:tcPr>
            <w:tcW w:w="0" w:type="auto"/>
            <w:shd w:val="clear" w:color="auto" w:fill="auto"/>
          </w:tcPr>
          <w:p w14:paraId="2888460B" w14:textId="77777777" w:rsidR="008C5CFA" w:rsidRPr="0024468B" w:rsidRDefault="00E82A60" w:rsidP="00300A01">
            <w:pPr>
              <w:spacing w:before="0" w:after="0"/>
              <w:rPr>
                <w:sz w:val="16"/>
                <w:szCs w:val="16"/>
                <w:lang w:val="fr-BE"/>
              </w:rPr>
            </w:pPr>
            <w:r w:rsidRPr="0024468B">
              <w:rPr>
                <w:noProof/>
                <w:sz w:val="16"/>
                <w:szCs w:val="16"/>
                <w:lang w:val="fr-BE"/>
              </w:rPr>
              <w:t>150</w:t>
            </w:r>
          </w:p>
        </w:tc>
        <w:tc>
          <w:tcPr>
            <w:tcW w:w="0" w:type="auto"/>
            <w:shd w:val="clear" w:color="auto" w:fill="auto"/>
          </w:tcPr>
          <w:p w14:paraId="0EF3E658" w14:textId="77777777" w:rsidR="008C5CFA" w:rsidRPr="0024468B" w:rsidRDefault="00E82A60" w:rsidP="00300A01">
            <w:pPr>
              <w:spacing w:before="0" w:after="0"/>
              <w:rPr>
                <w:sz w:val="16"/>
                <w:szCs w:val="16"/>
                <w:lang w:val="fr-BE"/>
              </w:rPr>
            </w:pPr>
            <w:r w:rsidRPr="0024468B">
              <w:rPr>
                <w:noProof/>
                <w:sz w:val="16"/>
                <w:szCs w:val="16"/>
                <w:lang w:val="fr-BE"/>
              </w:rPr>
              <w:t>Sprzedaż energii cieplnej na cele komunalno-bytowe ogółem</w:t>
            </w:r>
          </w:p>
        </w:tc>
        <w:tc>
          <w:tcPr>
            <w:tcW w:w="0" w:type="auto"/>
            <w:shd w:val="clear" w:color="auto" w:fill="auto"/>
          </w:tcPr>
          <w:p w14:paraId="3DD88959" w14:textId="77777777" w:rsidR="008C5CFA" w:rsidRPr="0024468B" w:rsidRDefault="00E82A60" w:rsidP="00300A01">
            <w:pPr>
              <w:spacing w:before="0" w:after="0"/>
              <w:jc w:val="right"/>
              <w:rPr>
                <w:sz w:val="16"/>
                <w:szCs w:val="16"/>
                <w:lang w:val="fr-BE"/>
              </w:rPr>
            </w:pPr>
            <w:r w:rsidRPr="0024468B">
              <w:rPr>
                <w:noProof/>
                <w:sz w:val="16"/>
                <w:szCs w:val="16"/>
                <w:lang w:val="fr-BE"/>
              </w:rPr>
              <w:t>3 991 177,00</w:t>
            </w:r>
          </w:p>
        </w:tc>
        <w:tc>
          <w:tcPr>
            <w:tcW w:w="0" w:type="auto"/>
            <w:shd w:val="clear" w:color="auto" w:fill="auto"/>
          </w:tcPr>
          <w:p w14:paraId="3719EAD5" w14:textId="77777777" w:rsidR="008C5CFA" w:rsidRPr="0024468B" w:rsidRDefault="008C5CFA" w:rsidP="00300A01">
            <w:pPr>
              <w:spacing w:before="0" w:after="0"/>
              <w:jc w:val="right"/>
              <w:rPr>
                <w:sz w:val="16"/>
                <w:szCs w:val="16"/>
                <w:lang w:val="fr-BE"/>
              </w:rPr>
            </w:pPr>
          </w:p>
        </w:tc>
      </w:tr>
    </w:tbl>
    <w:p w14:paraId="19167383" w14:textId="77777777" w:rsidR="008C5CFA" w:rsidRDefault="008C5CFA" w:rsidP="00300A01">
      <w:pPr>
        <w:spacing w:before="0" w:after="0"/>
        <w:rPr>
          <w:lang w:val="fr-BE"/>
        </w:rPr>
      </w:pPr>
    </w:p>
    <w:p w14:paraId="0D5A298E" w14:textId="77777777" w:rsidR="008C5CFA" w:rsidRDefault="00E82A60" w:rsidP="00300A01">
      <w:pPr>
        <w:spacing w:before="0" w:after="0"/>
        <w:rPr>
          <w:lang w:val="fr-BE"/>
        </w:rPr>
      </w:pPr>
      <w:r>
        <w:rPr>
          <w:lang w:val="fr-BE"/>
        </w:rPr>
        <w:br w:type="page"/>
      </w:r>
    </w:p>
    <w:p w14:paraId="56F8F291" w14:textId="77777777" w:rsidR="008C5CFA" w:rsidRPr="00B27C43" w:rsidRDefault="008C5CFA" w:rsidP="00300A01">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4"/>
        <w:gridCol w:w="13420"/>
      </w:tblGrid>
      <w:tr w:rsidR="006B2EC1" w14:paraId="13E77E00" w14:textId="77777777" w:rsidTr="0047688D">
        <w:tc>
          <w:tcPr>
            <w:tcW w:w="0" w:type="auto"/>
            <w:shd w:val="clear" w:color="auto" w:fill="auto"/>
          </w:tcPr>
          <w:p w14:paraId="277E978B" w14:textId="77777777" w:rsidR="008C5CFA" w:rsidRPr="002124FC" w:rsidRDefault="00E82A60" w:rsidP="00300A01">
            <w:pPr>
              <w:spacing w:before="0" w:after="0"/>
              <w:rPr>
                <w:sz w:val="20"/>
                <w:szCs w:val="20"/>
                <w:lang w:val="fr-BE"/>
              </w:rPr>
            </w:pPr>
            <w:r>
              <w:rPr>
                <w:lang w:val="fr-BE"/>
              </w:rPr>
              <w:br w:type="page"/>
            </w:r>
            <w:r>
              <w:rPr>
                <w:lang w:val="fr-BE"/>
              </w:rPr>
              <w:br w:type="page"/>
            </w:r>
            <w:r w:rsidRPr="002124FC">
              <w:rPr>
                <w:noProof/>
                <w:sz w:val="20"/>
                <w:szCs w:val="20"/>
                <w:lang w:val="fr-BE"/>
              </w:rPr>
              <w:t>Oś priorytetowa</w:t>
            </w:r>
          </w:p>
        </w:tc>
        <w:tc>
          <w:tcPr>
            <w:tcW w:w="0" w:type="auto"/>
            <w:shd w:val="clear" w:color="auto" w:fill="auto"/>
          </w:tcPr>
          <w:p w14:paraId="3E88746E" w14:textId="77777777" w:rsidR="008C5CFA" w:rsidRPr="002124FC" w:rsidRDefault="00E82A60" w:rsidP="00300A01">
            <w:pPr>
              <w:spacing w:before="0" w:after="0"/>
              <w:rPr>
                <w:sz w:val="20"/>
                <w:szCs w:val="20"/>
                <w:lang w:val="fr-BE"/>
              </w:rPr>
            </w:pPr>
            <w:r w:rsidRPr="002124FC">
              <w:rPr>
                <w:noProof/>
                <w:sz w:val="20"/>
                <w:szCs w:val="20"/>
                <w:lang w:val="fr-BE"/>
              </w:rPr>
              <w:t>3</w:t>
            </w:r>
            <w:r w:rsidRPr="002124FC">
              <w:rPr>
                <w:sz w:val="20"/>
                <w:szCs w:val="20"/>
                <w:lang w:val="fr-BE"/>
              </w:rPr>
              <w:t xml:space="preserve"> - </w:t>
            </w:r>
            <w:r w:rsidRPr="002124FC">
              <w:rPr>
                <w:noProof/>
                <w:sz w:val="20"/>
                <w:szCs w:val="20"/>
                <w:lang w:val="fr-BE"/>
              </w:rPr>
              <w:t>Efektywna i zielona energia</w:t>
            </w:r>
          </w:p>
        </w:tc>
      </w:tr>
      <w:tr w:rsidR="006B2EC1" w14:paraId="49834FF5" w14:textId="77777777" w:rsidTr="0047688D">
        <w:tc>
          <w:tcPr>
            <w:tcW w:w="0" w:type="auto"/>
            <w:shd w:val="clear" w:color="auto" w:fill="auto"/>
          </w:tcPr>
          <w:p w14:paraId="32D977E7" w14:textId="77777777" w:rsidR="008C5CFA" w:rsidRPr="002124FC" w:rsidRDefault="00E82A60"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14:paraId="5BD9B1B5" w14:textId="77777777" w:rsidR="008C5CFA" w:rsidRPr="002124FC" w:rsidRDefault="00E82A60" w:rsidP="00300A01">
            <w:pPr>
              <w:spacing w:before="0" w:after="0"/>
              <w:rPr>
                <w:sz w:val="20"/>
                <w:szCs w:val="20"/>
                <w:lang w:val="fr-BE"/>
              </w:rPr>
            </w:pPr>
            <w:r w:rsidRPr="002124FC">
              <w:rPr>
                <w:noProof/>
                <w:sz w:val="20"/>
                <w:szCs w:val="20"/>
                <w:lang w:val="fr-BE"/>
              </w:rPr>
              <w:t>4e</w:t>
            </w:r>
            <w:r w:rsidRPr="002124FC">
              <w:rPr>
                <w:sz w:val="20"/>
                <w:szCs w:val="20"/>
                <w:lang w:val="fr-BE"/>
              </w:rPr>
              <w:t xml:space="preserve"> - </w:t>
            </w:r>
            <w:r w:rsidRPr="002124FC">
              <w:rPr>
                <w:noProof/>
                <w:sz w:val="20"/>
                <w:szCs w:val="20"/>
                <w:lang w:val="fr-BE"/>
              </w:rPr>
              <w:t>Promowanie strategii niskoemisyjnych dla wszystkich rodzajów terytoriów, w szczególności dla obszarów miejskich, w tym wspieranie zrównoważonej multimodalnej mobilności miejskiej i działań adaptacyjnych mających oddziaływanie łagodzące na zmiany klimatu</w:t>
            </w:r>
          </w:p>
        </w:tc>
      </w:tr>
    </w:tbl>
    <w:p w14:paraId="4D9F56B9" w14:textId="77777777" w:rsidR="008C5CFA" w:rsidRDefault="008C5CFA" w:rsidP="00300A01">
      <w:pPr>
        <w:spacing w:before="0" w:after="0"/>
        <w:rPr>
          <w:lang w:val="fr-BE"/>
        </w:rPr>
      </w:pPr>
    </w:p>
    <w:p w14:paraId="74CEE68C" w14:textId="77777777" w:rsidR="008C5CFA" w:rsidRDefault="00E82A60" w:rsidP="00300A01">
      <w:pPr>
        <w:pStyle w:val="Nagwek2"/>
        <w:spacing w:before="0" w:after="0"/>
        <w:rPr>
          <w:lang w:val="fr-BE"/>
        </w:rPr>
      </w:pPr>
      <w:bookmarkStart w:id="29" w:name="_Toc46391713"/>
      <w:r>
        <w:rPr>
          <w:noProof/>
          <w:lang w:val="fr-BE"/>
        </w:rPr>
        <w:t>Tabela 3A</w:t>
      </w:r>
      <w:r>
        <w:rPr>
          <w:lang w:val="fr-BE"/>
        </w:rPr>
        <w:t xml:space="preserve">: </w:t>
      </w:r>
      <w:r>
        <w:rPr>
          <w:noProof/>
          <w:lang w:val="fr-BE"/>
        </w:rPr>
        <w:t>Wspólne i specyficzne dla danego programu wskaźniki produktu dla EFRR i Funduszu Spójności (wg osi priorytetowej, priorytetu inwestycyjnego, w podziale na kategorię regionu dla celów EFRR)</w:t>
      </w:r>
      <w:r w:rsidR="009C5874">
        <w:rPr>
          <w:lang w:val="fr-BE"/>
        </w:rPr>
        <w:t xml:space="preserve"> - </w:t>
      </w:r>
      <w:r w:rsidR="00F022AC" w:rsidRPr="002124FC">
        <w:rPr>
          <w:noProof/>
          <w:sz w:val="20"/>
          <w:szCs w:val="20"/>
          <w:lang w:val="fr-BE"/>
        </w:rPr>
        <w:t>3</w:t>
      </w:r>
      <w:r w:rsidR="00F022AC">
        <w:rPr>
          <w:sz w:val="20"/>
          <w:szCs w:val="20"/>
          <w:lang w:val="fr-BE"/>
        </w:rPr>
        <w:t xml:space="preserve"> / </w:t>
      </w:r>
      <w:r w:rsidR="00F022AC" w:rsidRPr="002124FC">
        <w:rPr>
          <w:noProof/>
          <w:sz w:val="20"/>
          <w:szCs w:val="20"/>
          <w:lang w:val="fr-BE"/>
        </w:rPr>
        <w:t>4e</w:t>
      </w:r>
      <w:bookmarkEnd w:id="29"/>
    </w:p>
    <w:p w14:paraId="406F85EA"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01"/>
        <w:gridCol w:w="497"/>
        <w:gridCol w:w="2193"/>
        <w:gridCol w:w="1153"/>
        <w:gridCol w:w="876"/>
        <w:gridCol w:w="972"/>
        <w:gridCol w:w="1055"/>
        <w:gridCol w:w="968"/>
        <w:gridCol w:w="789"/>
        <w:gridCol w:w="883"/>
        <w:gridCol w:w="706"/>
        <w:gridCol w:w="4791"/>
      </w:tblGrid>
      <w:tr w:rsidR="006B2EC1" w14:paraId="3F177B08" w14:textId="77777777" w:rsidTr="0047688D">
        <w:trPr>
          <w:tblHeader/>
        </w:trPr>
        <w:tc>
          <w:tcPr>
            <w:tcW w:w="0" w:type="auto"/>
          </w:tcPr>
          <w:p w14:paraId="117141FE" w14:textId="77777777" w:rsidR="008C5CFA" w:rsidRPr="009143B4" w:rsidRDefault="00E82A60" w:rsidP="00300A01">
            <w:pPr>
              <w:spacing w:before="0" w:after="0"/>
              <w:rPr>
                <w:b/>
                <w:sz w:val="16"/>
                <w:szCs w:val="16"/>
                <w:lang w:val="fr-BE"/>
              </w:rPr>
            </w:pPr>
            <w:r w:rsidRPr="009143B4">
              <w:rPr>
                <w:b/>
                <w:sz w:val="16"/>
                <w:szCs w:val="16"/>
                <w:lang w:val="fr-BE"/>
              </w:rPr>
              <w:t>(1)</w:t>
            </w:r>
          </w:p>
        </w:tc>
        <w:tc>
          <w:tcPr>
            <w:tcW w:w="0" w:type="auto"/>
            <w:shd w:val="clear" w:color="auto" w:fill="auto"/>
          </w:tcPr>
          <w:p w14:paraId="40FD7AE6" w14:textId="77777777" w:rsidR="008C5CFA" w:rsidRPr="009143B4" w:rsidRDefault="00E82A60" w:rsidP="00300A01">
            <w:pPr>
              <w:spacing w:before="0" w:after="0"/>
              <w:rPr>
                <w:b/>
                <w:sz w:val="16"/>
                <w:szCs w:val="16"/>
                <w:lang w:val="fr-BE"/>
              </w:rPr>
            </w:pPr>
            <w:r w:rsidRPr="009143B4">
              <w:rPr>
                <w:b/>
                <w:noProof/>
                <w:sz w:val="16"/>
                <w:szCs w:val="16"/>
                <w:lang w:val="fr-BE"/>
              </w:rPr>
              <w:t>ID</w:t>
            </w:r>
          </w:p>
        </w:tc>
        <w:tc>
          <w:tcPr>
            <w:tcW w:w="0" w:type="auto"/>
            <w:shd w:val="clear" w:color="auto" w:fill="auto"/>
          </w:tcPr>
          <w:p w14:paraId="5760AA49" w14:textId="77777777" w:rsidR="008C5CFA" w:rsidRPr="009143B4" w:rsidRDefault="00E82A60" w:rsidP="00300A01">
            <w:pPr>
              <w:spacing w:before="0" w:after="0"/>
              <w:rPr>
                <w:b/>
                <w:sz w:val="16"/>
                <w:szCs w:val="16"/>
                <w:lang w:val="fr-BE"/>
              </w:rPr>
            </w:pPr>
            <w:r w:rsidRPr="009143B4">
              <w:rPr>
                <w:b/>
                <w:noProof/>
                <w:sz w:val="16"/>
                <w:szCs w:val="16"/>
                <w:lang w:val="fr-BE"/>
              </w:rPr>
              <w:t>Wskaźnik</w:t>
            </w:r>
          </w:p>
        </w:tc>
        <w:tc>
          <w:tcPr>
            <w:tcW w:w="0" w:type="auto"/>
            <w:shd w:val="clear" w:color="auto" w:fill="auto"/>
          </w:tcPr>
          <w:p w14:paraId="32719F77" w14:textId="77777777" w:rsidR="008C5CFA" w:rsidRPr="009143B4" w:rsidRDefault="00E82A60" w:rsidP="00300A01">
            <w:pPr>
              <w:spacing w:before="0" w:after="0"/>
              <w:rPr>
                <w:b/>
                <w:sz w:val="16"/>
                <w:szCs w:val="16"/>
                <w:lang w:val="fr-BE"/>
              </w:rPr>
            </w:pPr>
            <w:r w:rsidRPr="009143B4">
              <w:rPr>
                <w:b/>
                <w:noProof/>
                <w:sz w:val="16"/>
                <w:szCs w:val="16"/>
                <w:lang w:val="fr-BE"/>
              </w:rPr>
              <w:t>Jednostka miary</w:t>
            </w:r>
          </w:p>
        </w:tc>
        <w:tc>
          <w:tcPr>
            <w:tcW w:w="0" w:type="auto"/>
            <w:shd w:val="clear" w:color="auto" w:fill="auto"/>
          </w:tcPr>
          <w:p w14:paraId="4BFF761D" w14:textId="77777777" w:rsidR="008C5CFA" w:rsidRPr="009143B4" w:rsidRDefault="00E82A60" w:rsidP="00300A01">
            <w:pPr>
              <w:spacing w:before="0" w:after="0"/>
              <w:rPr>
                <w:b/>
                <w:sz w:val="16"/>
                <w:szCs w:val="16"/>
                <w:lang w:val="fr-BE"/>
              </w:rPr>
            </w:pPr>
            <w:r w:rsidRPr="009143B4">
              <w:rPr>
                <w:b/>
                <w:noProof/>
                <w:sz w:val="16"/>
                <w:szCs w:val="16"/>
                <w:lang w:val="fr-BE"/>
              </w:rPr>
              <w:t>Kategoria regionu</w:t>
            </w:r>
          </w:p>
        </w:tc>
        <w:tc>
          <w:tcPr>
            <w:tcW w:w="0" w:type="auto"/>
            <w:shd w:val="clear" w:color="auto" w:fill="auto"/>
          </w:tcPr>
          <w:p w14:paraId="2263273B" w14:textId="77777777" w:rsidR="008C5CFA" w:rsidRPr="009143B4" w:rsidRDefault="00E82A60" w:rsidP="00300A01">
            <w:pPr>
              <w:spacing w:before="0" w:after="0"/>
              <w:jc w:val="center"/>
              <w:rPr>
                <w:b/>
                <w:sz w:val="16"/>
                <w:szCs w:val="16"/>
                <w:lang w:val="fr-BE"/>
              </w:rPr>
            </w:pPr>
            <w:r w:rsidRPr="009143B4">
              <w:rPr>
                <w:b/>
                <w:noProof/>
                <w:sz w:val="16"/>
                <w:szCs w:val="16"/>
                <w:lang w:val="fr-BE"/>
              </w:rPr>
              <w:t>Wartość docelowa (2023) ogółem</w:t>
            </w:r>
          </w:p>
        </w:tc>
        <w:tc>
          <w:tcPr>
            <w:tcW w:w="0" w:type="auto"/>
            <w:shd w:val="clear" w:color="auto" w:fill="auto"/>
          </w:tcPr>
          <w:p w14:paraId="50E4BD1A" w14:textId="77777777" w:rsidR="008C5CFA" w:rsidRPr="009143B4" w:rsidRDefault="00E82A60" w:rsidP="00300A01">
            <w:pPr>
              <w:spacing w:before="0" w:after="0"/>
              <w:jc w:val="center"/>
              <w:rPr>
                <w:b/>
                <w:sz w:val="16"/>
                <w:szCs w:val="16"/>
                <w:lang w:val="fr-BE"/>
              </w:rPr>
            </w:pPr>
            <w:r w:rsidRPr="009143B4">
              <w:rPr>
                <w:b/>
                <w:noProof/>
                <w:sz w:val="16"/>
                <w:szCs w:val="16"/>
                <w:lang w:val="fr-BE"/>
              </w:rPr>
              <w:t>Wartość docelowa (2023) mężczyźni</w:t>
            </w:r>
          </w:p>
        </w:tc>
        <w:tc>
          <w:tcPr>
            <w:tcW w:w="0" w:type="auto"/>
          </w:tcPr>
          <w:p w14:paraId="723770E6" w14:textId="77777777" w:rsidR="008C5CFA" w:rsidRPr="009143B4" w:rsidRDefault="00E82A60" w:rsidP="00300A01">
            <w:pPr>
              <w:spacing w:before="0" w:after="0"/>
              <w:jc w:val="center"/>
              <w:rPr>
                <w:b/>
                <w:sz w:val="16"/>
                <w:szCs w:val="16"/>
                <w:lang w:val="fr-BE"/>
              </w:rPr>
            </w:pPr>
            <w:r w:rsidRPr="009143B4">
              <w:rPr>
                <w:b/>
                <w:noProof/>
                <w:sz w:val="16"/>
                <w:szCs w:val="16"/>
                <w:lang w:val="fr-BE"/>
              </w:rPr>
              <w:t>Wartość docelowa (2023) kobiety</w:t>
            </w:r>
          </w:p>
        </w:tc>
        <w:tc>
          <w:tcPr>
            <w:tcW w:w="0" w:type="auto"/>
            <w:shd w:val="clear" w:color="auto" w:fill="auto"/>
          </w:tcPr>
          <w:p w14:paraId="53F31B51" w14:textId="77777777" w:rsidR="008C5CFA" w:rsidRPr="009143B4" w:rsidRDefault="00E82A60" w:rsidP="00300A01">
            <w:pPr>
              <w:spacing w:before="0" w:after="0"/>
              <w:jc w:val="center"/>
              <w:rPr>
                <w:b/>
                <w:sz w:val="16"/>
                <w:szCs w:val="16"/>
                <w:lang w:val="fr-BE"/>
              </w:rPr>
            </w:pPr>
            <w:r>
              <w:rPr>
                <w:b/>
                <w:sz w:val="16"/>
                <w:szCs w:val="16"/>
                <w:lang w:val="fr-BE"/>
              </w:rPr>
              <w:t xml:space="preserve">2019 </w:t>
            </w:r>
            <w:r w:rsidRPr="009143B4">
              <w:rPr>
                <w:b/>
                <w:noProof/>
                <w:sz w:val="16"/>
                <w:szCs w:val="16"/>
                <w:lang w:val="fr-BE"/>
              </w:rPr>
              <w:t>Ogółem</w:t>
            </w:r>
          </w:p>
        </w:tc>
        <w:tc>
          <w:tcPr>
            <w:tcW w:w="0" w:type="auto"/>
            <w:shd w:val="clear" w:color="auto" w:fill="auto"/>
          </w:tcPr>
          <w:p w14:paraId="306BE4B1" w14:textId="77777777" w:rsidR="008C5CFA" w:rsidRPr="009143B4" w:rsidRDefault="00E82A60" w:rsidP="00300A01">
            <w:pPr>
              <w:spacing w:before="0" w:after="0"/>
              <w:jc w:val="center"/>
              <w:rPr>
                <w:b/>
                <w:sz w:val="16"/>
                <w:szCs w:val="16"/>
                <w:lang w:val="fr-BE"/>
              </w:rPr>
            </w:pPr>
            <w:r>
              <w:rPr>
                <w:b/>
                <w:sz w:val="16"/>
                <w:szCs w:val="16"/>
                <w:lang w:val="fr-BE"/>
              </w:rPr>
              <w:t xml:space="preserve">2019 </w:t>
            </w:r>
            <w:r w:rsidRPr="009143B4">
              <w:rPr>
                <w:b/>
                <w:noProof/>
                <w:sz w:val="16"/>
                <w:szCs w:val="16"/>
                <w:lang w:val="fr-BE"/>
              </w:rPr>
              <w:t>Mężczyźni</w:t>
            </w:r>
          </w:p>
        </w:tc>
        <w:tc>
          <w:tcPr>
            <w:tcW w:w="0" w:type="auto"/>
            <w:shd w:val="clear" w:color="auto" w:fill="auto"/>
          </w:tcPr>
          <w:p w14:paraId="36313437" w14:textId="77777777" w:rsidR="008C5CFA" w:rsidRPr="009143B4" w:rsidRDefault="00E82A60" w:rsidP="00300A01">
            <w:pPr>
              <w:spacing w:before="0" w:after="0"/>
              <w:jc w:val="center"/>
              <w:rPr>
                <w:b/>
                <w:sz w:val="16"/>
                <w:szCs w:val="16"/>
                <w:lang w:val="fr-BE"/>
              </w:rPr>
            </w:pPr>
            <w:r>
              <w:rPr>
                <w:b/>
                <w:sz w:val="16"/>
                <w:szCs w:val="16"/>
                <w:lang w:val="fr-BE"/>
              </w:rPr>
              <w:t xml:space="preserve">2019 </w:t>
            </w:r>
            <w:r w:rsidRPr="009143B4">
              <w:rPr>
                <w:b/>
                <w:noProof/>
                <w:sz w:val="16"/>
                <w:szCs w:val="16"/>
                <w:lang w:val="fr-BE"/>
              </w:rPr>
              <w:t>Kobiety</w:t>
            </w:r>
          </w:p>
        </w:tc>
        <w:tc>
          <w:tcPr>
            <w:tcW w:w="0" w:type="auto"/>
            <w:shd w:val="clear" w:color="auto" w:fill="auto"/>
          </w:tcPr>
          <w:p w14:paraId="18ACFAA0" w14:textId="77777777" w:rsidR="008C5CFA" w:rsidRPr="009143B4" w:rsidRDefault="00E82A60" w:rsidP="00300A01">
            <w:pPr>
              <w:spacing w:before="0" w:after="0"/>
              <w:jc w:val="center"/>
              <w:rPr>
                <w:b/>
                <w:sz w:val="16"/>
                <w:szCs w:val="16"/>
                <w:lang w:val="fr-BE"/>
              </w:rPr>
            </w:pPr>
            <w:r w:rsidRPr="009143B4">
              <w:rPr>
                <w:b/>
                <w:noProof/>
                <w:sz w:val="16"/>
                <w:szCs w:val="16"/>
                <w:lang w:val="fr-BE"/>
              </w:rPr>
              <w:t>Uwagi</w:t>
            </w:r>
          </w:p>
        </w:tc>
      </w:tr>
      <w:tr w:rsidR="006B2EC1" w14:paraId="17BED234" w14:textId="77777777" w:rsidTr="0047688D">
        <w:tc>
          <w:tcPr>
            <w:tcW w:w="0" w:type="auto"/>
          </w:tcPr>
          <w:p w14:paraId="02D7B083" w14:textId="77777777" w:rsidR="008C5CFA" w:rsidRPr="0024468B" w:rsidRDefault="00E82A60" w:rsidP="00300A01">
            <w:pPr>
              <w:spacing w:before="0" w:after="0"/>
              <w:rPr>
                <w:sz w:val="16"/>
                <w:szCs w:val="16"/>
                <w:lang w:val="fr-BE"/>
              </w:rPr>
            </w:pPr>
            <w:r>
              <w:rPr>
                <w:noProof/>
                <w:sz w:val="16"/>
                <w:szCs w:val="16"/>
                <w:lang w:val="fr-BE"/>
              </w:rPr>
              <w:t>F</w:t>
            </w:r>
          </w:p>
        </w:tc>
        <w:tc>
          <w:tcPr>
            <w:tcW w:w="0" w:type="auto"/>
            <w:shd w:val="clear" w:color="auto" w:fill="auto"/>
          </w:tcPr>
          <w:p w14:paraId="279B3376" w14:textId="77777777" w:rsidR="008C5CFA" w:rsidRPr="0024468B" w:rsidRDefault="00E82A60" w:rsidP="00300A01">
            <w:pPr>
              <w:spacing w:before="0" w:after="0"/>
              <w:rPr>
                <w:sz w:val="16"/>
                <w:szCs w:val="16"/>
                <w:lang w:val="fr-BE"/>
              </w:rPr>
            </w:pPr>
            <w:r w:rsidRPr="0024468B">
              <w:rPr>
                <w:noProof/>
                <w:sz w:val="16"/>
                <w:szCs w:val="16"/>
                <w:lang w:val="fr-BE"/>
              </w:rPr>
              <w:t>CO34</w:t>
            </w:r>
          </w:p>
        </w:tc>
        <w:tc>
          <w:tcPr>
            <w:tcW w:w="0" w:type="auto"/>
            <w:shd w:val="clear" w:color="auto" w:fill="auto"/>
          </w:tcPr>
          <w:p w14:paraId="0811ED3F" w14:textId="77777777" w:rsidR="008C5CFA" w:rsidRPr="0024468B" w:rsidRDefault="00E82A60" w:rsidP="00300A01">
            <w:pPr>
              <w:spacing w:before="0" w:after="0"/>
              <w:rPr>
                <w:sz w:val="16"/>
                <w:szCs w:val="16"/>
                <w:lang w:val="fr-BE"/>
              </w:rPr>
            </w:pPr>
            <w:r w:rsidRPr="0024468B">
              <w:rPr>
                <w:noProof/>
                <w:sz w:val="16"/>
                <w:szCs w:val="16"/>
                <w:lang w:val="fr-BE"/>
              </w:rPr>
              <w:t>Redukcja emisji gazów cieplarnianych: szacowany roczny spadek emisji gazów cieplarnianych</w:t>
            </w:r>
          </w:p>
        </w:tc>
        <w:tc>
          <w:tcPr>
            <w:tcW w:w="0" w:type="auto"/>
            <w:shd w:val="clear" w:color="auto" w:fill="auto"/>
          </w:tcPr>
          <w:p w14:paraId="32C736EB" w14:textId="77777777" w:rsidR="008C5CFA" w:rsidRPr="0024468B" w:rsidRDefault="00E82A60" w:rsidP="00300A01">
            <w:pPr>
              <w:spacing w:before="0" w:after="0"/>
              <w:rPr>
                <w:sz w:val="16"/>
                <w:szCs w:val="16"/>
                <w:lang w:val="fr-BE"/>
              </w:rPr>
            </w:pPr>
            <w:r>
              <w:rPr>
                <w:noProof/>
                <w:sz w:val="16"/>
                <w:szCs w:val="16"/>
                <w:lang w:val="fr-BE"/>
              </w:rPr>
              <w:t>Tony równoważnika CO2</w:t>
            </w:r>
          </w:p>
        </w:tc>
        <w:tc>
          <w:tcPr>
            <w:tcW w:w="0" w:type="auto"/>
            <w:shd w:val="clear" w:color="auto" w:fill="auto"/>
          </w:tcPr>
          <w:p w14:paraId="1F92B595" w14:textId="77777777" w:rsidR="008C5CFA" w:rsidRPr="0024468B" w:rsidRDefault="00E82A60"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14:paraId="5A4CD14C" w14:textId="77777777" w:rsidR="008C5CFA" w:rsidRPr="0024468B" w:rsidRDefault="00E82A60" w:rsidP="00300A01">
            <w:pPr>
              <w:spacing w:before="0" w:after="0"/>
              <w:jc w:val="right"/>
              <w:rPr>
                <w:sz w:val="16"/>
                <w:szCs w:val="16"/>
                <w:lang w:val="fr-BE"/>
              </w:rPr>
            </w:pPr>
            <w:r>
              <w:rPr>
                <w:noProof/>
                <w:sz w:val="16"/>
                <w:szCs w:val="16"/>
                <w:lang w:val="fr-BE"/>
              </w:rPr>
              <w:t>11 184,00</w:t>
            </w:r>
          </w:p>
        </w:tc>
        <w:tc>
          <w:tcPr>
            <w:tcW w:w="0" w:type="auto"/>
            <w:shd w:val="clear" w:color="auto" w:fill="auto"/>
          </w:tcPr>
          <w:p w14:paraId="500624FA" w14:textId="77777777" w:rsidR="008C5CFA" w:rsidRPr="0024468B" w:rsidRDefault="008C5CFA" w:rsidP="00300A01">
            <w:pPr>
              <w:spacing w:before="0" w:after="0"/>
              <w:jc w:val="right"/>
              <w:rPr>
                <w:sz w:val="16"/>
                <w:szCs w:val="16"/>
                <w:lang w:val="fr-BE"/>
              </w:rPr>
            </w:pPr>
          </w:p>
        </w:tc>
        <w:tc>
          <w:tcPr>
            <w:tcW w:w="0" w:type="auto"/>
          </w:tcPr>
          <w:p w14:paraId="16C578E5" w14:textId="77777777" w:rsidR="008C5CFA" w:rsidRPr="0024468B" w:rsidRDefault="008C5CFA" w:rsidP="00300A01">
            <w:pPr>
              <w:spacing w:before="0" w:after="0"/>
              <w:jc w:val="right"/>
              <w:rPr>
                <w:sz w:val="16"/>
                <w:szCs w:val="16"/>
                <w:lang w:val="fr-BE"/>
              </w:rPr>
            </w:pPr>
          </w:p>
        </w:tc>
        <w:tc>
          <w:tcPr>
            <w:tcW w:w="0" w:type="auto"/>
            <w:shd w:val="clear" w:color="auto" w:fill="auto"/>
          </w:tcPr>
          <w:p w14:paraId="30BB9626" w14:textId="77777777" w:rsidR="008C5CFA" w:rsidRPr="0024468B" w:rsidRDefault="00E82A60" w:rsidP="00300A01">
            <w:pPr>
              <w:spacing w:before="0" w:after="0"/>
              <w:jc w:val="right"/>
              <w:rPr>
                <w:sz w:val="16"/>
                <w:szCs w:val="16"/>
                <w:lang w:val="fr-BE"/>
              </w:rPr>
            </w:pPr>
            <w:r w:rsidRPr="0024468B">
              <w:rPr>
                <w:noProof/>
                <w:sz w:val="16"/>
                <w:szCs w:val="16"/>
                <w:lang w:val="fr-BE"/>
              </w:rPr>
              <w:t>400,38</w:t>
            </w:r>
          </w:p>
        </w:tc>
        <w:tc>
          <w:tcPr>
            <w:tcW w:w="0" w:type="auto"/>
            <w:shd w:val="clear" w:color="auto" w:fill="auto"/>
          </w:tcPr>
          <w:p w14:paraId="277C090C"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5C73D1A5"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623EA14C" w14:textId="77777777" w:rsidR="008C5CFA" w:rsidRPr="0024468B" w:rsidRDefault="008C5CFA" w:rsidP="00300A01">
            <w:pPr>
              <w:spacing w:before="0" w:after="0"/>
              <w:rPr>
                <w:sz w:val="16"/>
                <w:szCs w:val="16"/>
                <w:lang w:val="fr-BE"/>
              </w:rPr>
            </w:pPr>
          </w:p>
        </w:tc>
      </w:tr>
      <w:tr w:rsidR="006B2EC1" w14:paraId="3FE9AA78" w14:textId="77777777" w:rsidTr="0047688D">
        <w:tc>
          <w:tcPr>
            <w:tcW w:w="0" w:type="auto"/>
          </w:tcPr>
          <w:p w14:paraId="0E92D675" w14:textId="77777777" w:rsidR="008C5CFA" w:rsidRPr="0024468B" w:rsidRDefault="00E82A60" w:rsidP="00300A01">
            <w:pPr>
              <w:spacing w:before="0" w:after="0"/>
              <w:rPr>
                <w:sz w:val="16"/>
                <w:szCs w:val="16"/>
                <w:lang w:val="fr-BE"/>
              </w:rPr>
            </w:pPr>
            <w:r>
              <w:rPr>
                <w:noProof/>
                <w:sz w:val="16"/>
                <w:szCs w:val="16"/>
                <w:lang w:val="fr-BE"/>
              </w:rPr>
              <w:t>S</w:t>
            </w:r>
          </w:p>
        </w:tc>
        <w:tc>
          <w:tcPr>
            <w:tcW w:w="0" w:type="auto"/>
            <w:shd w:val="clear" w:color="auto" w:fill="auto"/>
          </w:tcPr>
          <w:p w14:paraId="3239F782" w14:textId="77777777" w:rsidR="008C5CFA" w:rsidRPr="0024468B" w:rsidRDefault="00E82A60" w:rsidP="00300A01">
            <w:pPr>
              <w:spacing w:before="0" w:after="0"/>
              <w:rPr>
                <w:sz w:val="16"/>
                <w:szCs w:val="16"/>
                <w:lang w:val="fr-BE"/>
              </w:rPr>
            </w:pPr>
            <w:r w:rsidRPr="0024468B">
              <w:rPr>
                <w:noProof/>
                <w:sz w:val="16"/>
                <w:szCs w:val="16"/>
                <w:lang w:val="fr-BE"/>
              </w:rPr>
              <w:t>CO34</w:t>
            </w:r>
          </w:p>
        </w:tc>
        <w:tc>
          <w:tcPr>
            <w:tcW w:w="0" w:type="auto"/>
            <w:shd w:val="clear" w:color="auto" w:fill="auto"/>
          </w:tcPr>
          <w:p w14:paraId="74D9081F" w14:textId="77777777" w:rsidR="008C5CFA" w:rsidRPr="0024468B" w:rsidRDefault="00E82A60" w:rsidP="00300A01">
            <w:pPr>
              <w:spacing w:before="0" w:after="0"/>
              <w:rPr>
                <w:sz w:val="16"/>
                <w:szCs w:val="16"/>
                <w:lang w:val="fr-BE"/>
              </w:rPr>
            </w:pPr>
            <w:r w:rsidRPr="0024468B">
              <w:rPr>
                <w:noProof/>
                <w:sz w:val="16"/>
                <w:szCs w:val="16"/>
                <w:lang w:val="fr-BE"/>
              </w:rPr>
              <w:t>Redukcja emisji gazów cieplarnianych: szacowany roczny spadek emisji gazów cieplarnianych</w:t>
            </w:r>
          </w:p>
        </w:tc>
        <w:tc>
          <w:tcPr>
            <w:tcW w:w="0" w:type="auto"/>
            <w:shd w:val="clear" w:color="auto" w:fill="auto"/>
          </w:tcPr>
          <w:p w14:paraId="45197B8E" w14:textId="77777777" w:rsidR="008C5CFA" w:rsidRPr="0024468B" w:rsidRDefault="00E82A60" w:rsidP="00300A01">
            <w:pPr>
              <w:spacing w:before="0" w:after="0"/>
              <w:rPr>
                <w:sz w:val="16"/>
                <w:szCs w:val="16"/>
                <w:lang w:val="fr-BE"/>
              </w:rPr>
            </w:pPr>
            <w:r>
              <w:rPr>
                <w:noProof/>
                <w:sz w:val="16"/>
                <w:szCs w:val="16"/>
                <w:lang w:val="fr-BE"/>
              </w:rPr>
              <w:t>Tony równoważnika CO2</w:t>
            </w:r>
          </w:p>
        </w:tc>
        <w:tc>
          <w:tcPr>
            <w:tcW w:w="0" w:type="auto"/>
            <w:shd w:val="clear" w:color="auto" w:fill="auto"/>
          </w:tcPr>
          <w:p w14:paraId="7DA5DECF" w14:textId="77777777" w:rsidR="008C5CFA" w:rsidRPr="0024468B" w:rsidRDefault="00E82A60"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14:paraId="5F619E70" w14:textId="77777777" w:rsidR="008C5CFA" w:rsidRPr="0024468B" w:rsidRDefault="00E82A60" w:rsidP="00300A01">
            <w:pPr>
              <w:spacing w:before="0" w:after="0"/>
              <w:jc w:val="right"/>
              <w:rPr>
                <w:sz w:val="16"/>
                <w:szCs w:val="16"/>
                <w:lang w:val="fr-BE"/>
              </w:rPr>
            </w:pPr>
            <w:r>
              <w:rPr>
                <w:noProof/>
                <w:sz w:val="16"/>
                <w:szCs w:val="16"/>
                <w:lang w:val="fr-BE"/>
              </w:rPr>
              <w:t>11 184,00</w:t>
            </w:r>
          </w:p>
        </w:tc>
        <w:tc>
          <w:tcPr>
            <w:tcW w:w="0" w:type="auto"/>
            <w:shd w:val="clear" w:color="auto" w:fill="auto"/>
          </w:tcPr>
          <w:p w14:paraId="3F08169D" w14:textId="77777777" w:rsidR="008C5CFA" w:rsidRPr="0024468B" w:rsidRDefault="008C5CFA" w:rsidP="00300A01">
            <w:pPr>
              <w:spacing w:before="0" w:after="0"/>
              <w:jc w:val="right"/>
              <w:rPr>
                <w:sz w:val="16"/>
                <w:szCs w:val="16"/>
                <w:lang w:val="fr-BE"/>
              </w:rPr>
            </w:pPr>
          </w:p>
        </w:tc>
        <w:tc>
          <w:tcPr>
            <w:tcW w:w="0" w:type="auto"/>
          </w:tcPr>
          <w:p w14:paraId="34585C67" w14:textId="77777777" w:rsidR="008C5CFA" w:rsidRPr="0024468B" w:rsidRDefault="008C5CFA" w:rsidP="00300A01">
            <w:pPr>
              <w:spacing w:before="0" w:after="0"/>
              <w:jc w:val="right"/>
              <w:rPr>
                <w:sz w:val="16"/>
                <w:szCs w:val="16"/>
                <w:lang w:val="fr-BE"/>
              </w:rPr>
            </w:pPr>
          </w:p>
        </w:tc>
        <w:tc>
          <w:tcPr>
            <w:tcW w:w="0" w:type="auto"/>
            <w:shd w:val="clear" w:color="auto" w:fill="auto"/>
          </w:tcPr>
          <w:p w14:paraId="3CDDAD51" w14:textId="77777777" w:rsidR="008C5CFA" w:rsidRPr="0024468B" w:rsidRDefault="00E82A60" w:rsidP="00300A01">
            <w:pPr>
              <w:spacing w:before="0" w:after="0"/>
              <w:jc w:val="right"/>
              <w:rPr>
                <w:sz w:val="16"/>
                <w:szCs w:val="16"/>
                <w:lang w:val="fr-BE"/>
              </w:rPr>
            </w:pPr>
            <w:r w:rsidRPr="0024468B">
              <w:rPr>
                <w:noProof/>
                <w:sz w:val="16"/>
                <w:szCs w:val="16"/>
                <w:lang w:val="fr-BE"/>
              </w:rPr>
              <w:t>16 059,65</w:t>
            </w:r>
          </w:p>
        </w:tc>
        <w:tc>
          <w:tcPr>
            <w:tcW w:w="0" w:type="auto"/>
            <w:shd w:val="clear" w:color="auto" w:fill="auto"/>
          </w:tcPr>
          <w:p w14:paraId="1F4EC45C"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2BCFBF49"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5BEA2065" w14:textId="77777777" w:rsidR="008C5CFA" w:rsidRPr="0024468B" w:rsidRDefault="00E82A60" w:rsidP="00300A01">
            <w:pPr>
              <w:spacing w:before="0" w:after="0"/>
              <w:rPr>
                <w:sz w:val="16"/>
                <w:szCs w:val="16"/>
                <w:lang w:val="fr-BE"/>
              </w:rPr>
            </w:pPr>
            <w:r w:rsidRPr="0024468B">
              <w:rPr>
                <w:noProof/>
                <w:sz w:val="16"/>
                <w:szCs w:val="16"/>
                <w:lang w:val="fr-BE"/>
              </w:rPr>
              <w:t>Realokacja środków na Pi 4e wzmocni działania dotyczące ograniczenia emisji gazów cieplarnianych. Analizując projekty przyjęte i planowane do realizacji IZ podjęła decyzje o zwiększenia wartości wskaźnika do poziomu 21 000 ton równoważniak CO2.</w:t>
            </w:r>
          </w:p>
        </w:tc>
      </w:tr>
      <w:tr w:rsidR="006B2EC1" w14:paraId="61D4B54B" w14:textId="77777777" w:rsidTr="0047688D">
        <w:tc>
          <w:tcPr>
            <w:tcW w:w="0" w:type="auto"/>
          </w:tcPr>
          <w:p w14:paraId="023D8707" w14:textId="77777777" w:rsidR="008C5CFA" w:rsidRPr="0024468B" w:rsidRDefault="00E82A60" w:rsidP="00300A01">
            <w:pPr>
              <w:spacing w:before="0" w:after="0"/>
              <w:rPr>
                <w:sz w:val="16"/>
                <w:szCs w:val="16"/>
                <w:lang w:val="fr-BE"/>
              </w:rPr>
            </w:pPr>
            <w:r>
              <w:rPr>
                <w:noProof/>
                <w:sz w:val="16"/>
                <w:szCs w:val="16"/>
                <w:lang w:val="fr-BE"/>
              </w:rPr>
              <w:t>F</w:t>
            </w:r>
          </w:p>
        </w:tc>
        <w:tc>
          <w:tcPr>
            <w:tcW w:w="0" w:type="auto"/>
            <w:shd w:val="clear" w:color="auto" w:fill="auto"/>
          </w:tcPr>
          <w:p w14:paraId="0D71CB52" w14:textId="77777777" w:rsidR="008C5CFA" w:rsidRPr="0024468B" w:rsidRDefault="00E82A60" w:rsidP="00300A01">
            <w:pPr>
              <w:spacing w:before="0" w:after="0"/>
              <w:rPr>
                <w:sz w:val="16"/>
                <w:szCs w:val="16"/>
                <w:lang w:val="fr-BE"/>
              </w:rPr>
            </w:pPr>
            <w:r>
              <w:rPr>
                <w:noProof/>
                <w:sz w:val="16"/>
                <w:szCs w:val="16"/>
                <w:lang w:val="fr-BE"/>
              </w:rPr>
              <w:t>140</w:t>
            </w:r>
          </w:p>
        </w:tc>
        <w:tc>
          <w:tcPr>
            <w:tcW w:w="0" w:type="auto"/>
            <w:shd w:val="clear" w:color="auto" w:fill="auto"/>
          </w:tcPr>
          <w:p w14:paraId="6191CFF9" w14:textId="77777777" w:rsidR="008C5CFA" w:rsidRPr="0024468B" w:rsidRDefault="00E82A60" w:rsidP="00300A01">
            <w:pPr>
              <w:spacing w:before="0" w:after="0"/>
              <w:rPr>
                <w:sz w:val="16"/>
                <w:szCs w:val="16"/>
                <w:lang w:val="fr-BE"/>
              </w:rPr>
            </w:pPr>
            <w:r>
              <w:rPr>
                <w:noProof/>
                <w:sz w:val="16"/>
                <w:szCs w:val="16"/>
                <w:lang w:val="fr-BE"/>
              </w:rPr>
              <w:t>Liczba zmodernizowanych źródeł ciepła</w:t>
            </w:r>
          </w:p>
        </w:tc>
        <w:tc>
          <w:tcPr>
            <w:tcW w:w="0" w:type="auto"/>
            <w:shd w:val="clear" w:color="auto" w:fill="auto"/>
          </w:tcPr>
          <w:p w14:paraId="31E4635E" w14:textId="77777777" w:rsidR="008C5CFA" w:rsidRPr="0024468B" w:rsidRDefault="00E82A60" w:rsidP="00300A01">
            <w:pPr>
              <w:spacing w:before="0" w:after="0"/>
              <w:rPr>
                <w:sz w:val="16"/>
                <w:szCs w:val="16"/>
                <w:lang w:val="fr-BE"/>
              </w:rPr>
            </w:pPr>
            <w:r w:rsidRPr="0024468B">
              <w:rPr>
                <w:noProof/>
                <w:sz w:val="16"/>
                <w:szCs w:val="16"/>
                <w:lang w:val="fr-BE"/>
              </w:rPr>
              <w:t>szt.</w:t>
            </w:r>
          </w:p>
        </w:tc>
        <w:tc>
          <w:tcPr>
            <w:tcW w:w="0" w:type="auto"/>
            <w:shd w:val="clear" w:color="auto" w:fill="auto"/>
          </w:tcPr>
          <w:p w14:paraId="21C4D3CF" w14:textId="77777777" w:rsidR="008C5CFA" w:rsidRPr="0024468B" w:rsidRDefault="00E82A60"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14:paraId="16FE6AB1" w14:textId="77777777" w:rsidR="008C5CFA" w:rsidRPr="0024468B" w:rsidRDefault="00E82A60" w:rsidP="00300A01">
            <w:pPr>
              <w:spacing w:before="0" w:after="0"/>
              <w:jc w:val="right"/>
              <w:rPr>
                <w:sz w:val="16"/>
                <w:szCs w:val="16"/>
                <w:lang w:val="fr-BE"/>
              </w:rPr>
            </w:pPr>
            <w:r>
              <w:rPr>
                <w:noProof/>
                <w:sz w:val="16"/>
                <w:szCs w:val="16"/>
                <w:lang w:val="fr-BE"/>
              </w:rPr>
              <w:t>4,00</w:t>
            </w:r>
          </w:p>
        </w:tc>
        <w:tc>
          <w:tcPr>
            <w:tcW w:w="0" w:type="auto"/>
            <w:shd w:val="clear" w:color="auto" w:fill="auto"/>
          </w:tcPr>
          <w:p w14:paraId="394FCE82" w14:textId="77777777" w:rsidR="008C5CFA" w:rsidRPr="0024468B" w:rsidRDefault="008C5CFA" w:rsidP="00300A01">
            <w:pPr>
              <w:spacing w:before="0" w:after="0"/>
              <w:jc w:val="right"/>
              <w:rPr>
                <w:sz w:val="16"/>
                <w:szCs w:val="16"/>
                <w:lang w:val="fr-BE"/>
              </w:rPr>
            </w:pPr>
          </w:p>
        </w:tc>
        <w:tc>
          <w:tcPr>
            <w:tcW w:w="0" w:type="auto"/>
          </w:tcPr>
          <w:p w14:paraId="45B232A2" w14:textId="77777777" w:rsidR="008C5CFA" w:rsidRPr="0024468B" w:rsidRDefault="008C5CFA" w:rsidP="00300A01">
            <w:pPr>
              <w:spacing w:before="0" w:after="0"/>
              <w:jc w:val="right"/>
              <w:rPr>
                <w:sz w:val="16"/>
                <w:szCs w:val="16"/>
                <w:lang w:val="fr-BE"/>
              </w:rPr>
            </w:pPr>
          </w:p>
        </w:tc>
        <w:tc>
          <w:tcPr>
            <w:tcW w:w="0" w:type="auto"/>
            <w:shd w:val="clear" w:color="auto" w:fill="auto"/>
          </w:tcPr>
          <w:p w14:paraId="604D4FC9"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10FAB12F"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7C6BFF69"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563246D8" w14:textId="77777777" w:rsidR="008C5CFA" w:rsidRPr="0024468B" w:rsidRDefault="008C5CFA" w:rsidP="00300A01">
            <w:pPr>
              <w:spacing w:before="0" w:after="0"/>
              <w:rPr>
                <w:sz w:val="16"/>
                <w:szCs w:val="16"/>
                <w:lang w:val="fr-BE"/>
              </w:rPr>
            </w:pPr>
          </w:p>
        </w:tc>
      </w:tr>
      <w:tr w:rsidR="006B2EC1" w14:paraId="06671698" w14:textId="77777777" w:rsidTr="0047688D">
        <w:tc>
          <w:tcPr>
            <w:tcW w:w="0" w:type="auto"/>
          </w:tcPr>
          <w:p w14:paraId="383BDC82" w14:textId="77777777" w:rsidR="008C5CFA" w:rsidRPr="0024468B" w:rsidRDefault="00E82A60" w:rsidP="00300A01">
            <w:pPr>
              <w:spacing w:before="0" w:after="0"/>
              <w:rPr>
                <w:sz w:val="16"/>
                <w:szCs w:val="16"/>
                <w:lang w:val="fr-BE"/>
              </w:rPr>
            </w:pPr>
            <w:r>
              <w:rPr>
                <w:noProof/>
                <w:sz w:val="16"/>
                <w:szCs w:val="16"/>
                <w:lang w:val="fr-BE"/>
              </w:rPr>
              <w:t>S</w:t>
            </w:r>
          </w:p>
        </w:tc>
        <w:tc>
          <w:tcPr>
            <w:tcW w:w="0" w:type="auto"/>
            <w:shd w:val="clear" w:color="auto" w:fill="auto"/>
          </w:tcPr>
          <w:p w14:paraId="6B872E08" w14:textId="77777777" w:rsidR="008C5CFA" w:rsidRPr="0024468B" w:rsidRDefault="00E82A60" w:rsidP="00300A01">
            <w:pPr>
              <w:spacing w:before="0" w:after="0"/>
              <w:rPr>
                <w:sz w:val="16"/>
                <w:szCs w:val="16"/>
                <w:lang w:val="fr-BE"/>
              </w:rPr>
            </w:pPr>
            <w:r>
              <w:rPr>
                <w:noProof/>
                <w:sz w:val="16"/>
                <w:szCs w:val="16"/>
                <w:lang w:val="fr-BE"/>
              </w:rPr>
              <w:t>140</w:t>
            </w:r>
          </w:p>
        </w:tc>
        <w:tc>
          <w:tcPr>
            <w:tcW w:w="0" w:type="auto"/>
            <w:shd w:val="clear" w:color="auto" w:fill="auto"/>
          </w:tcPr>
          <w:p w14:paraId="3BFDDBB2" w14:textId="77777777" w:rsidR="008C5CFA" w:rsidRPr="0024468B" w:rsidRDefault="00E82A60" w:rsidP="00300A01">
            <w:pPr>
              <w:spacing w:before="0" w:after="0"/>
              <w:rPr>
                <w:sz w:val="16"/>
                <w:szCs w:val="16"/>
                <w:lang w:val="fr-BE"/>
              </w:rPr>
            </w:pPr>
            <w:r>
              <w:rPr>
                <w:noProof/>
                <w:sz w:val="16"/>
                <w:szCs w:val="16"/>
                <w:lang w:val="fr-BE"/>
              </w:rPr>
              <w:t>Liczba zmodernizowanych źródeł ciepła</w:t>
            </w:r>
          </w:p>
        </w:tc>
        <w:tc>
          <w:tcPr>
            <w:tcW w:w="0" w:type="auto"/>
            <w:shd w:val="clear" w:color="auto" w:fill="auto"/>
          </w:tcPr>
          <w:p w14:paraId="14E21FFF" w14:textId="77777777" w:rsidR="008C5CFA" w:rsidRPr="0024468B" w:rsidRDefault="00E82A60" w:rsidP="00300A01">
            <w:pPr>
              <w:spacing w:before="0" w:after="0"/>
              <w:rPr>
                <w:sz w:val="16"/>
                <w:szCs w:val="16"/>
                <w:lang w:val="fr-BE"/>
              </w:rPr>
            </w:pPr>
            <w:r w:rsidRPr="0024468B">
              <w:rPr>
                <w:noProof/>
                <w:sz w:val="16"/>
                <w:szCs w:val="16"/>
                <w:lang w:val="fr-BE"/>
              </w:rPr>
              <w:t>szt.</w:t>
            </w:r>
          </w:p>
        </w:tc>
        <w:tc>
          <w:tcPr>
            <w:tcW w:w="0" w:type="auto"/>
            <w:shd w:val="clear" w:color="auto" w:fill="auto"/>
          </w:tcPr>
          <w:p w14:paraId="41F2356E" w14:textId="77777777" w:rsidR="008C5CFA" w:rsidRPr="0024468B" w:rsidRDefault="00E82A60"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14:paraId="03F894DB" w14:textId="77777777" w:rsidR="008C5CFA" w:rsidRPr="0024468B" w:rsidRDefault="00E82A60" w:rsidP="00300A01">
            <w:pPr>
              <w:spacing w:before="0" w:after="0"/>
              <w:jc w:val="right"/>
              <w:rPr>
                <w:sz w:val="16"/>
                <w:szCs w:val="16"/>
                <w:lang w:val="fr-BE"/>
              </w:rPr>
            </w:pPr>
            <w:r>
              <w:rPr>
                <w:noProof/>
                <w:sz w:val="16"/>
                <w:szCs w:val="16"/>
                <w:lang w:val="fr-BE"/>
              </w:rPr>
              <w:t>4,00</w:t>
            </w:r>
          </w:p>
        </w:tc>
        <w:tc>
          <w:tcPr>
            <w:tcW w:w="0" w:type="auto"/>
            <w:shd w:val="clear" w:color="auto" w:fill="auto"/>
          </w:tcPr>
          <w:p w14:paraId="72734B81" w14:textId="77777777" w:rsidR="008C5CFA" w:rsidRPr="0024468B" w:rsidRDefault="008C5CFA" w:rsidP="00300A01">
            <w:pPr>
              <w:spacing w:before="0" w:after="0"/>
              <w:jc w:val="right"/>
              <w:rPr>
                <w:sz w:val="16"/>
                <w:szCs w:val="16"/>
                <w:lang w:val="fr-BE"/>
              </w:rPr>
            </w:pPr>
          </w:p>
        </w:tc>
        <w:tc>
          <w:tcPr>
            <w:tcW w:w="0" w:type="auto"/>
          </w:tcPr>
          <w:p w14:paraId="4C248BAC" w14:textId="77777777" w:rsidR="008C5CFA" w:rsidRPr="0024468B" w:rsidRDefault="008C5CFA" w:rsidP="00300A01">
            <w:pPr>
              <w:spacing w:before="0" w:after="0"/>
              <w:jc w:val="right"/>
              <w:rPr>
                <w:sz w:val="16"/>
                <w:szCs w:val="16"/>
                <w:lang w:val="fr-BE"/>
              </w:rPr>
            </w:pPr>
          </w:p>
        </w:tc>
        <w:tc>
          <w:tcPr>
            <w:tcW w:w="0" w:type="auto"/>
            <w:shd w:val="clear" w:color="auto" w:fill="auto"/>
          </w:tcPr>
          <w:p w14:paraId="310F3069" w14:textId="77777777" w:rsidR="008C5CFA" w:rsidRPr="0024468B" w:rsidRDefault="00E82A60" w:rsidP="00300A01">
            <w:pPr>
              <w:spacing w:before="0" w:after="0"/>
              <w:jc w:val="right"/>
              <w:rPr>
                <w:sz w:val="16"/>
                <w:szCs w:val="16"/>
                <w:lang w:val="fr-BE"/>
              </w:rPr>
            </w:pPr>
            <w:r w:rsidRPr="0024468B">
              <w:rPr>
                <w:noProof/>
                <w:sz w:val="16"/>
                <w:szCs w:val="16"/>
                <w:lang w:val="fr-BE"/>
              </w:rPr>
              <w:t>3,00</w:t>
            </w:r>
          </w:p>
        </w:tc>
        <w:tc>
          <w:tcPr>
            <w:tcW w:w="0" w:type="auto"/>
            <w:shd w:val="clear" w:color="auto" w:fill="auto"/>
          </w:tcPr>
          <w:p w14:paraId="2EC0E757"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3977BB1D"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41521E74" w14:textId="77777777" w:rsidR="008C5CFA" w:rsidRPr="0024468B" w:rsidRDefault="00E82A60" w:rsidP="00300A01">
            <w:pPr>
              <w:spacing w:before="0" w:after="0"/>
              <w:rPr>
                <w:sz w:val="16"/>
                <w:szCs w:val="16"/>
                <w:lang w:val="fr-BE"/>
              </w:rPr>
            </w:pPr>
            <w:r w:rsidRPr="0024468B">
              <w:rPr>
                <w:noProof/>
                <w:sz w:val="16"/>
                <w:szCs w:val="16"/>
                <w:lang w:val="fr-BE"/>
              </w:rPr>
              <w:t>W wyniku ograniczenia realizacji projektów do tych, które dotyczą efektywnych systemów ciepłowniczych oraz znikomego zainteresowania ich realizacja, IZ podjęła decyzję o urealnieniu wartości wskaźnika do poziomu 3.</w:t>
            </w:r>
          </w:p>
        </w:tc>
      </w:tr>
      <w:tr w:rsidR="006B2EC1" w14:paraId="4520F8A6" w14:textId="77777777" w:rsidTr="0047688D">
        <w:tc>
          <w:tcPr>
            <w:tcW w:w="0" w:type="auto"/>
          </w:tcPr>
          <w:p w14:paraId="3BDA7F83" w14:textId="77777777" w:rsidR="008C5CFA" w:rsidRPr="0024468B" w:rsidRDefault="00E82A60" w:rsidP="00300A01">
            <w:pPr>
              <w:spacing w:before="0" w:after="0"/>
              <w:rPr>
                <w:sz w:val="16"/>
                <w:szCs w:val="16"/>
                <w:lang w:val="fr-BE"/>
              </w:rPr>
            </w:pPr>
            <w:r>
              <w:rPr>
                <w:noProof/>
                <w:sz w:val="16"/>
                <w:szCs w:val="16"/>
                <w:lang w:val="fr-BE"/>
              </w:rPr>
              <w:t>F</w:t>
            </w:r>
          </w:p>
        </w:tc>
        <w:tc>
          <w:tcPr>
            <w:tcW w:w="0" w:type="auto"/>
            <w:shd w:val="clear" w:color="auto" w:fill="auto"/>
          </w:tcPr>
          <w:p w14:paraId="485AAA91" w14:textId="77777777" w:rsidR="008C5CFA" w:rsidRPr="0024468B" w:rsidRDefault="00E82A60" w:rsidP="00300A01">
            <w:pPr>
              <w:spacing w:before="0" w:after="0"/>
              <w:rPr>
                <w:sz w:val="16"/>
                <w:szCs w:val="16"/>
                <w:lang w:val="fr-BE"/>
              </w:rPr>
            </w:pPr>
            <w:r>
              <w:rPr>
                <w:noProof/>
                <w:sz w:val="16"/>
                <w:szCs w:val="16"/>
                <w:lang w:val="fr-BE"/>
              </w:rPr>
              <w:t>37</w:t>
            </w:r>
          </w:p>
        </w:tc>
        <w:tc>
          <w:tcPr>
            <w:tcW w:w="0" w:type="auto"/>
            <w:shd w:val="clear" w:color="auto" w:fill="auto"/>
          </w:tcPr>
          <w:p w14:paraId="594E5EAE" w14:textId="77777777" w:rsidR="008C5CFA" w:rsidRPr="0024468B" w:rsidRDefault="00E82A60" w:rsidP="00300A01">
            <w:pPr>
              <w:spacing w:before="0" w:after="0"/>
              <w:rPr>
                <w:sz w:val="16"/>
                <w:szCs w:val="16"/>
                <w:lang w:val="fr-BE"/>
              </w:rPr>
            </w:pPr>
            <w:r>
              <w:rPr>
                <w:noProof/>
                <w:sz w:val="16"/>
                <w:szCs w:val="16"/>
                <w:lang w:val="fr-BE"/>
              </w:rPr>
              <w:t>Liczba zmodernizowanych źródeł oświetlenia ulicznego</w:t>
            </w:r>
          </w:p>
        </w:tc>
        <w:tc>
          <w:tcPr>
            <w:tcW w:w="0" w:type="auto"/>
            <w:shd w:val="clear" w:color="auto" w:fill="auto"/>
          </w:tcPr>
          <w:p w14:paraId="2E932988" w14:textId="77777777" w:rsidR="008C5CFA" w:rsidRPr="0024468B" w:rsidRDefault="00E82A60" w:rsidP="00300A01">
            <w:pPr>
              <w:spacing w:before="0" w:after="0"/>
              <w:rPr>
                <w:sz w:val="16"/>
                <w:szCs w:val="16"/>
                <w:lang w:val="fr-BE"/>
              </w:rPr>
            </w:pPr>
            <w:r w:rsidRPr="0024468B">
              <w:rPr>
                <w:noProof/>
                <w:sz w:val="16"/>
                <w:szCs w:val="16"/>
                <w:lang w:val="fr-BE"/>
              </w:rPr>
              <w:t>szt.</w:t>
            </w:r>
          </w:p>
        </w:tc>
        <w:tc>
          <w:tcPr>
            <w:tcW w:w="0" w:type="auto"/>
            <w:shd w:val="clear" w:color="auto" w:fill="auto"/>
          </w:tcPr>
          <w:p w14:paraId="5EAD0498" w14:textId="77777777" w:rsidR="008C5CFA" w:rsidRPr="0024468B" w:rsidRDefault="00E82A60"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14:paraId="2E963248" w14:textId="77777777" w:rsidR="008C5CFA" w:rsidRPr="0024468B" w:rsidRDefault="00E82A60" w:rsidP="00300A01">
            <w:pPr>
              <w:spacing w:before="0" w:after="0"/>
              <w:jc w:val="right"/>
              <w:rPr>
                <w:sz w:val="16"/>
                <w:szCs w:val="16"/>
                <w:lang w:val="fr-BE"/>
              </w:rPr>
            </w:pPr>
            <w:r>
              <w:rPr>
                <w:noProof/>
                <w:sz w:val="16"/>
                <w:szCs w:val="16"/>
                <w:lang w:val="fr-BE"/>
              </w:rPr>
              <w:t>5 500,00</w:t>
            </w:r>
          </w:p>
        </w:tc>
        <w:tc>
          <w:tcPr>
            <w:tcW w:w="0" w:type="auto"/>
            <w:shd w:val="clear" w:color="auto" w:fill="auto"/>
          </w:tcPr>
          <w:p w14:paraId="5313BFAF" w14:textId="77777777" w:rsidR="008C5CFA" w:rsidRPr="0024468B" w:rsidRDefault="008C5CFA" w:rsidP="00300A01">
            <w:pPr>
              <w:spacing w:before="0" w:after="0"/>
              <w:jc w:val="right"/>
              <w:rPr>
                <w:sz w:val="16"/>
                <w:szCs w:val="16"/>
                <w:lang w:val="fr-BE"/>
              </w:rPr>
            </w:pPr>
          </w:p>
        </w:tc>
        <w:tc>
          <w:tcPr>
            <w:tcW w:w="0" w:type="auto"/>
          </w:tcPr>
          <w:p w14:paraId="37AD7A03" w14:textId="77777777" w:rsidR="008C5CFA" w:rsidRPr="0024468B" w:rsidRDefault="008C5CFA" w:rsidP="00300A01">
            <w:pPr>
              <w:spacing w:before="0" w:after="0"/>
              <w:jc w:val="right"/>
              <w:rPr>
                <w:sz w:val="16"/>
                <w:szCs w:val="16"/>
                <w:lang w:val="fr-BE"/>
              </w:rPr>
            </w:pPr>
          </w:p>
        </w:tc>
        <w:tc>
          <w:tcPr>
            <w:tcW w:w="0" w:type="auto"/>
            <w:shd w:val="clear" w:color="auto" w:fill="auto"/>
          </w:tcPr>
          <w:p w14:paraId="152E8BFA" w14:textId="77777777" w:rsidR="008C5CFA" w:rsidRPr="0024468B" w:rsidRDefault="00E82A60" w:rsidP="00300A01">
            <w:pPr>
              <w:spacing w:before="0" w:after="0"/>
              <w:jc w:val="right"/>
              <w:rPr>
                <w:sz w:val="16"/>
                <w:szCs w:val="16"/>
                <w:lang w:val="fr-BE"/>
              </w:rPr>
            </w:pPr>
            <w:r w:rsidRPr="0024468B">
              <w:rPr>
                <w:noProof/>
                <w:sz w:val="16"/>
                <w:szCs w:val="16"/>
                <w:lang w:val="fr-BE"/>
              </w:rPr>
              <w:t>2 020,00</w:t>
            </w:r>
          </w:p>
        </w:tc>
        <w:tc>
          <w:tcPr>
            <w:tcW w:w="0" w:type="auto"/>
            <w:shd w:val="clear" w:color="auto" w:fill="auto"/>
          </w:tcPr>
          <w:p w14:paraId="35BCA2DA"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20C06568"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0FFF02F4" w14:textId="77777777" w:rsidR="008C5CFA" w:rsidRPr="0024468B" w:rsidRDefault="008C5CFA" w:rsidP="00300A01">
            <w:pPr>
              <w:spacing w:before="0" w:after="0"/>
              <w:rPr>
                <w:sz w:val="16"/>
                <w:szCs w:val="16"/>
                <w:lang w:val="fr-BE"/>
              </w:rPr>
            </w:pPr>
          </w:p>
        </w:tc>
      </w:tr>
      <w:tr w:rsidR="006B2EC1" w14:paraId="4FD11925" w14:textId="77777777" w:rsidTr="0047688D">
        <w:tc>
          <w:tcPr>
            <w:tcW w:w="0" w:type="auto"/>
          </w:tcPr>
          <w:p w14:paraId="1CEFC003" w14:textId="77777777" w:rsidR="008C5CFA" w:rsidRPr="0024468B" w:rsidRDefault="00E82A60" w:rsidP="00300A01">
            <w:pPr>
              <w:spacing w:before="0" w:after="0"/>
              <w:rPr>
                <w:sz w:val="16"/>
                <w:szCs w:val="16"/>
                <w:lang w:val="fr-BE"/>
              </w:rPr>
            </w:pPr>
            <w:r>
              <w:rPr>
                <w:noProof/>
                <w:sz w:val="16"/>
                <w:szCs w:val="16"/>
                <w:lang w:val="fr-BE"/>
              </w:rPr>
              <w:t>S</w:t>
            </w:r>
          </w:p>
        </w:tc>
        <w:tc>
          <w:tcPr>
            <w:tcW w:w="0" w:type="auto"/>
            <w:shd w:val="clear" w:color="auto" w:fill="auto"/>
          </w:tcPr>
          <w:p w14:paraId="34A60669" w14:textId="77777777" w:rsidR="008C5CFA" w:rsidRPr="0024468B" w:rsidRDefault="00E82A60" w:rsidP="00300A01">
            <w:pPr>
              <w:spacing w:before="0" w:after="0"/>
              <w:rPr>
                <w:sz w:val="16"/>
                <w:szCs w:val="16"/>
                <w:lang w:val="fr-BE"/>
              </w:rPr>
            </w:pPr>
            <w:r>
              <w:rPr>
                <w:noProof/>
                <w:sz w:val="16"/>
                <w:szCs w:val="16"/>
                <w:lang w:val="fr-BE"/>
              </w:rPr>
              <w:t>37</w:t>
            </w:r>
          </w:p>
        </w:tc>
        <w:tc>
          <w:tcPr>
            <w:tcW w:w="0" w:type="auto"/>
            <w:shd w:val="clear" w:color="auto" w:fill="auto"/>
          </w:tcPr>
          <w:p w14:paraId="6050C362" w14:textId="77777777" w:rsidR="008C5CFA" w:rsidRPr="0024468B" w:rsidRDefault="00E82A60" w:rsidP="00300A01">
            <w:pPr>
              <w:spacing w:before="0" w:after="0"/>
              <w:rPr>
                <w:sz w:val="16"/>
                <w:szCs w:val="16"/>
                <w:lang w:val="fr-BE"/>
              </w:rPr>
            </w:pPr>
            <w:r>
              <w:rPr>
                <w:noProof/>
                <w:sz w:val="16"/>
                <w:szCs w:val="16"/>
                <w:lang w:val="fr-BE"/>
              </w:rPr>
              <w:t>Liczba zmodernizowanych źródeł oświetlenia ulicznego</w:t>
            </w:r>
          </w:p>
        </w:tc>
        <w:tc>
          <w:tcPr>
            <w:tcW w:w="0" w:type="auto"/>
            <w:shd w:val="clear" w:color="auto" w:fill="auto"/>
          </w:tcPr>
          <w:p w14:paraId="15646D42" w14:textId="77777777" w:rsidR="008C5CFA" w:rsidRPr="0024468B" w:rsidRDefault="00E82A60" w:rsidP="00300A01">
            <w:pPr>
              <w:spacing w:before="0" w:after="0"/>
              <w:rPr>
                <w:sz w:val="16"/>
                <w:szCs w:val="16"/>
                <w:lang w:val="fr-BE"/>
              </w:rPr>
            </w:pPr>
            <w:r w:rsidRPr="0024468B">
              <w:rPr>
                <w:noProof/>
                <w:sz w:val="16"/>
                <w:szCs w:val="16"/>
                <w:lang w:val="fr-BE"/>
              </w:rPr>
              <w:t>szt.</w:t>
            </w:r>
          </w:p>
        </w:tc>
        <w:tc>
          <w:tcPr>
            <w:tcW w:w="0" w:type="auto"/>
            <w:shd w:val="clear" w:color="auto" w:fill="auto"/>
          </w:tcPr>
          <w:p w14:paraId="48C02A9C" w14:textId="77777777" w:rsidR="008C5CFA" w:rsidRPr="0024468B" w:rsidRDefault="00E82A60"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14:paraId="0F2F6DE7" w14:textId="77777777" w:rsidR="008C5CFA" w:rsidRPr="0024468B" w:rsidRDefault="00E82A60" w:rsidP="00300A01">
            <w:pPr>
              <w:spacing w:before="0" w:after="0"/>
              <w:jc w:val="right"/>
              <w:rPr>
                <w:sz w:val="16"/>
                <w:szCs w:val="16"/>
                <w:lang w:val="fr-BE"/>
              </w:rPr>
            </w:pPr>
            <w:r>
              <w:rPr>
                <w:noProof/>
                <w:sz w:val="16"/>
                <w:szCs w:val="16"/>
                <w:lang w:val="fr-BE"/>
              </w:rPr>
              <w:t>5 500,00</w:t>
            </w:r>
          </w:p>
        </w:tc>
        <w:tc>
          <w:tcPr>
            <w:tcW w:w="0" w:type="auto"/>
            <w:shd w:val="clear" w:color="auto" w:fill="auto"/>
          </w:tcPr>
          <w:p w14:paraId="2997F87B" w14:textId="77777777" w:rsidR="008C5CFA" w:rsidRPr="0024468B" w:rsidRDefault="008C5CFA" w:rsidP="00300A01">
            <w:pPr>
              <w:spacing w:before="0" w:after="0"/>
              <w:jc w:val="right"/>
              <w:rPr>
                <w:sz w:val="16"/>
                <w:szCs w:val="16"/>
                <w:lang w:val="fr-BE"/>
              </w:rPr>
            </w:pPr>
          </w:p>
        </w:tc>
        <w:tc>
          <w:tcPr>
            <w:tcW w:w="0" w:type="auto"/>
          </w:tcPr>
          <w:p w14:paraId="46245E0D" w14:textId="77777777" w:rsidR="008C5CFA" w:rsidRPr="0024468B" w:rsidRDefault="008C5CFA" w:rsidP="00300A01">
            <w:pPr>
              <w:spacing w:before="0" w:after="0"/>
              <w:jc w:val="right"/>
              <w:rPr>
                <w:sz w:val="16"/>
                <w:szCs w:val="16"/>
                <w:lang w:val="fr-BE"/>
              </w:rPr>
            </w:pPr>
          </w:p>
        </w:tc>
        <w:tc>
          <w:tcPr>
            <w:tcW w:w="0" w:type="auto"/>
            <w:shd w:val="clear" w:color="auto" w:fill="auto"/>
          </w:tcPr>
          <w:p w14:paraId="7C38EA9E" w14:textId="77777777" w:rsidR="008C5CFA" w:rsidRPr="0024468B" w:rsidRDefault="00E82A60" w:rsidP="00300A01">
            <w:pPr>
              <w:spacing w:before="0" w:after="0"/>
              <w:jc w:val="right"/>
              <w:rPr>
                <w:sz w:val="16"/>
                <w:szCs w:val="16"/>
                <w:lang w:val="fr-BE"/>
              </w:rPr>
            </w:pPr>
            <w:r w:rsidRPr="0024468B">
              <w:rPr>
                <w:noProof/>
                <w:sz w:val="16"/>
                <w:szCs w:val="16"/>
                <w:lang w:val="fr-BE"/>
              </w:rPr>
              <w:t>51 002,00</w:t>
            </w:r>
          </w:p>
        </w:tc>
        <w:tc>
          <w:tcPr>
            <w:tcW w:w="0" w:type="auto"/>
            <w:shd w:val="clear" w:color="auto" w:fill="auto"/>
          </w:tcPr>
          <w:p w14:paraId="2E8D9DB2"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09E77788"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0FE142EC" w14:textId="77777777" w:rsidR="008C5CFA" w:rsidRPr="0024468B" w:rsidRDefault="00E82A60" w:rsidP="00300A01">
            <w:pPr>
              <w:spacing w:before="0" w:after="0"/>
              <w:rPr>
                <w:sz w:val="16"/>
                <w:szCs w:val="16"/>
                <w:lang w:val="fr-BE"/>
              </w:rPr>
            </w:pPr>
            <w:r w:rsidRPr="0024468B">
              <w:rPr>
                <w:sz w:val="16"/>
                <w:szCs w:val="16"/>
                <w:lang w:val="fr-BE"/>
              </w:rPr>
              <w:t xml:space="preserve">W związku z realokacją środków do PI 4e, której zasadność potwierdziło badanie </w:t>
            </w:r>
            <w:r>
              <w:t>"</w:t>
            </w:r>
            <w:r w:rsidRPr="0024468B">
              <w:rPr>
                <w:sz w:val="16"/>
                <w:szCs w:val="16"/>
                <w:lang w:val="fr-BE"/>
              </w:rPr>
              <w:t>Ewaluacja mid-term dotycząca postępu rzeczowego RPOWŚ 2014-2020 dla potrzeb przeglądu śródokresowego, w tym realizacji zapisów ram i rezerwy wykonania</w:t>
            </w:r>
            <w:r>
              <w:t>"</w:t>
            </w:r>
            <w:r w:rsidRPr="0024468B">
              <w:rPr>
                <w:sz w:val="16"/>
                <w:szCs w:val="16"/>
                <w:lang w:val="fr-BE"/>
              </w:rPr>
              <w:t xml:space="preserve"> IZ podjęła decyzję o zwiększeniu wartości docelowej wskaźnika  również w oparciu o analizę przyjętych do realizacji projektów do poziomu 55 500 źródeł oświetlenia  ulicznego.</w:t>
            </w:r>
          </w:p>
        </w:tc>
      </w:tr>
      <w:tr w:rsidR="006B2EC1" w14:paraId="7E33BC2D" w14:textId="77777777" w:rsidTr="0047688D">
        <w:tc>
          <w:tcPr>
            <w:tcW w:w="0" w:type="auto"/>
          </w:tcPr>
          <w:p w14:paraId="23BE903D" w14:textId="77777777" w:rsidR="008C5CFA" w:rsidRPr="0024468B" w:rsidRDefault="00E82A60" w:rsidP="00300A01">
            <w:pPr>
              <w:spacing w:before="0" w:after="0"/>
              <w:rPr>
                <w:sz w:val="16"/>
                <w:szCs w:val="16"/>
                <w:lang w:val="fr-BE"/>
              </w:rPr>
            </w:pPr>
            <w:r>
              <w:rPr>
                <w:noProof/>
                <w:sz w:val="16"/>
                <w:szCs w:val="16"/>
                <w:lang w:val="fr-BE"/>
              </w:rPr>
              <w:t>F</w:t>
            </w:r>
          </w:p>
        </w:tc>
        <w:tc>
          <w:tcPr>
            <w:tcW w:w="0" w:type="auto"/>
            <w:shd w:val="clear" w:color="auto" w:fill="auto"/>
          </w:tcPr>
          <w:p w14:paraId="60B027EF" w14:textId="77777777" w:rsidR="008C5CFA" w:rsidRPr="0024468B" w:rsidRDefault="00E82A60" w:rsidP="00300A01">
            <w:pPr>
              <w:spacing w:before="0" w:after="0"/>
              <w:rPr>
                <w:sz w:val="16"/>
                <w:szCs w:val="16"/>
                <w:lang w:val="fr-BE"/>
              </w:rPr>
            </w:pPr>
            <w:r>
              <w:rPr>
                <w:noProof/>
                <w:sz w:val="16"/>
                <w:szCs w:val="16"/>
                <w:lang w:val="fr-BE"/>
              </w:rPr>
              <w:t>38</w:t>
            </w:r>
          </w:p>
        </w:tc>
        <w:tc>
          <w:tcPr>
            <w:tcW w:w="0" w:type="auto"/>
            <w:shd w:val="clear" w:color="auto" w:fill="auto"/>
          </w:tcPr>
          <w:p w14:paraId="60F8E95E" w14:textId="77777777" w:rsidR="008C5CFA" w:rsidRPr="0024468B" w:rsidRDefault="00E82A60" w:rsidP="00300A01">
            <w:pPr>
              <w:spacing w:before="0" w:after="0"/>
              <w:rPr>
                <w:sz w:val="16"/>
                <w:szCs w:val="16"/>
                <w:lang w:val="fr-BE"/>
              </w:rPr>
            </w:pPr>
            <w:r>
              <w:rPr>
                <w:noProof/>
                <w:sz w:val="16"/>
                <w:szCs w:val="16"/>
                <w:lang w:val="fr-BE"/>
              </w:rPr>
              <w:t>Liczba zakupionych lub zmodernizowanych jednostek taboru pasażerskiego w publicznym transporcie zbiorowym</w:t>
            </w:r>
          </w:p>
        </w:tc>
        <w:tc>
          <w:tcPr>
            <w:tcW w:w="0" w:type="auto"/>
            <w:shd w:val="clear" w:color="auto" w:fill="auto"/>
          </w:tcPr>
          <w:p w14:paraId="481DAA6B" w14:textId="77777777" w:rsidR="008C5CFA" w:rsidRPr="0024468B" w:rsidRDefault="00E82A60" w:rsidP="00300A01">
            <w:pPr>
              <w:spacing w:before="0" w:after="0"/>
              <w:rPr>
                <w:sz w:val="16"/>
                <w:szCs w:val="16"/>
                <w:lang w:val="fr-BE"/>
              </w:rPr>
            </w:pPr>
            <w:r w:rsidRPr="0024468B">
              <w:rPr>
                <w:noProof/>
                <w:sz w:val="16"/>
                <w:szCs w:val="16"/>
                <w:lang w:val="fr-BE"/>
              </w:rPr>
              <w:t>szt.</w:t>
            </w:r>
          </w:p>
        </w:tc>
        <w:tc>
          <w:tcPr>
            <w:tcW w:w="0" w:type="auto"/>
            <w:shd w:val="clear" w:color="auto" w:fill="auto"/>
          </w:tcPr>
          <w:p w14:paraId="351F9A99" w14:textId="77777777" w:rsidR="008C5CFA" w:rsidRPr="0024468B" w:rsidRDefault="00E82A60"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14:paraId="187A9D40" w14:textId="77777777" w:rsidR="008C5CFA" w:rsidRPr="0024468B" w:rsidRDefault="00E82A60" w:rsidP="00300A01">
            <w:pPr>
              <w:spacing w:before="0" w:after="0"/>
              <w:jc w:val="right"/>
              <w:rPr>
                <w:sz w:val="16"/>
                <w:szCs w:val="16"/>
                <w:lang w:val="fr-BE"/>
              </w:rPr>
            </w:pPr>
            <w:r>
              <w:rPr>
                <w:noProof/>
                <w:sz w:val="16"/>
                <w:szCs w:val="16"/>
                <w:lang w:val="fr-BE"/>
              </w:rPr>
              <w:t>25,00</w:t>
            </w:r>
          </w:p>
        </w:tc>
        <w:tc>
          <w:tcPr>
            <w:tcW w:w="0" w:type="auto"/>
            <w:shd w:val="clear" w:color="auto" w:fill="auto"/>
          </w:tcPr>
          <w:p w14:paraId="32EF6689" w14:textId="77777777" w:rsidR="008C5CFA" w:rsidRPr="0024468B" w:rsidRDefault="008C5CFA" w:rsidP="00300A01">
            <w:pPr>
              <w:spacing w:before="0" w:after="0"/>
              <w:jc w:val="right"/>
              <w:rPr>
                <w:sz w:val="16"/>
                <w:szCs w:val="16"/>
                <w:lang w:val="fr-BE"/>
              </w:rPr>
            </w:pPr>
          </w:p>
        </w:tc>
        <w:tc>
          <w:tcPr>
            <w:tcW w:w="0" w:type="auto"/>
          </w:tcPr>
          <w:p w14:paraId="253D57C9" w14:textId="77777777" w:rsidR="008C5CFA" w:rsidRPr="0024468B" w:rsidRDefault="008C5CFA" w:rsidP="00300A01">
            <w:pPr>
              <w:spacing w:before="0" w:after="0"/>
              <w:jc w:val="right"/>
              <w:rPr>
                <w:sz w:val="16"/>
                <w:szCs w:val="16"/>
                <w:lang w:val="fr-BE"/>
              </w:rPr>
            </w:pPr>
          </w:p>
        </w:tc>
        <w:tc>
          <w:tcPr>
            <w:tcW w:w="0" w:type="auto"/>
            <w:shd w:val="clear" w:color="auto" w:fill="auto"/>
          </w:tcPr>
          <w:p w14:paraId="3D5D6E78"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4463D121"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445AA92B"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6518A9B7" w14:textId="77777777" w:rsidR="008C5CFA" w:rsidRPr="0024468B" w:rsidRDefault="008C5CFA" w:rsidP="00300A01">
            <w:pPr>
              <w:spacing w:before="0" w:after="0"/>
              <w:rPr>
                <w:sz w:val="16"/>
                <w:szCs w:val="16"/>
                <w:lang w:val="fr-BE"/>
              </w:rPr>
            </w:pPr>
          </w:p>
        </w:tc>
      </w:tr>
      <w:tr w:rsidR="006B2EC1" w14:paraId="3B464B4A" w14:textId="77777777" w:rsidTr="0047688D">
        <w:tc>
          <w:tcPr>
            <w:tcW w:w="0" w:type="auto"/>
          </w:tcPr>
          <w:p w14:paraId="21C6FD5D" w14:textId="77777777" w:rsidR="008C5CFA" w:rsidRPr="0024468B" w:rsidRDefault="00E82A60" w:rsidP="00300A01">
            <w:pPr>
              <w:spacing w:before="0" w:after="0"/>
              <w:rPr>
                <w:sz w:val="16"/>
                <w:szCs w:val="16"/>
                <w:lang w:val="fr-BE"/>
              </w:rPr>
            </w:pPr>
            <w:r>
              <w:rPr>
                <w:noProof/>
                <w:sz w:val="16"/>
                <w:szCs w:val="16"/>
                <w:lang w:val="fr-BE"/>
              </w:rPr>
              <w:t>S</w:t>
            </w:r>
          </w:p>
        </w:tc>
        <w:tc>
          <w:tcPr>
            <w:tcW w:w="0" w:type="auto"/>
            <w:shd w:val="clear" w:color="auto" w:fill="auto"/>
          </w:tcPr>
          <w:p w14:paraId="69F2ABBB" w14:textId="77777777" w:rsidR="008C5CFA" w:rsidRPr="0024468B" w:rsidRDefault="00E82A60" w:rsidP="00300A01">
            <w:pPr>
              <w:spacing w:before="0" w:after="0"/>
              <w:rPr>
                <w:sz w:val="16"/>
                <w:szCs w:val="16"/>
                <w:lang w:val="fr-BE"/>
              </w:rPr>
            </w:pPr>
            <w:r>
              <w:rPr>
                <w:noProof/>
                <w:sz w:val="16"/>
                <w:szCs w:val="16"/>
                <w:lang w:val="fr-BE"/>
              </w:rPr>
              <w:t>38</w:t>
            </w:r>
          </w:p>
        </w:tc>
        <w:tc>
          <w:tcPr>
            <w:tcW w:w="0" w:type="auto"/>
            <w:shd w:val="clear" w:color="auto" w:fill="auto"/>
          </w:tcPr>
          <w:p w14:paraId="1DB301B2" w14:textId="77777777" w:rsidR="008C5CFA" w:rsidRPr="0024468B" w:rsidRDefault="00E82A60" w:rsidP="00300A01">
            <w:pPr>
              <w:spacing w:before="0" w:after="0"/>
              <w:rPr>
                <w:sz w:val="16"/>
                <w:szCs w:val="16"/>
                <w:lang w:val="fr-BE"/>
              </w:rPr>
            </w:pPr>
            <w:r>
              <w:rPr>
                <w:noProof/>
                <w:sz w:val="16"/>
                <w:szCs w:val="16"/>
                <w:lang w:val="fr-BE"/>
              </w:rPr>
              <w:t>Liczba zakupionych lub zmodernizowanych jednostek taboru pasażerskiego w publicznym transporcie zbiorowym</w:t>
            </w:r>
          </w:p>
        </w:tc>
        <w:tc>
          <w:tcPr>
            <w:tcW w:w="0" w:type="auto"/>
            <w:shd w:val="clear" w:color="auto" w:fill="auto"/>
          </w:tcPr>
          <w:p w14:paraId="7754DE8E" w14:textId="77777777" w:rsidR="008C5CFA" w:rsidRPr="0024468B" w:rsidRDefault="00E82A60" w:rsidP="00300A01">
            <w:pPr>
              <w:spacing w:before="0" w:after="0"/>
              <w:rPr>
                <w:sz w:val="16"/>
                <w:szCs w:val="16"/>
                <w:lang w:val="fr-BE"/>
              </w:rPr>
            </w:pPr>
            <w:r w:rsidRPr="0024468B">
              <w:rPr>
                <w:noProof/>
                <w:sz w:val="16"/>
                <w:szCs w:val="16"/>
                <w:lang w:val="fr-BE"/>
              </w:rPr>
              <w:t>szt.</w:t>
            </w:r>
          </w:p>
        </w:tc>
        <w:tc>
          <w:tcPr>
            <w:tcW w:w="0" w:type="auto"/>
            <w:shd w:val="clear" w:color="auto" w:fill="auto"/>
          </w:tcPr>
          <w:p w14:paraId="0DEAE613" w14:textId="77777777" w:rsidR="008C5CFA" w:rsidRPr="0024468B" w:rsidRDefault="00E82A60"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14:paraId="07891D61" w14:textId="77777777" w:rsidR="008C5CFA" w:rsidRPr="0024468B" w:rsidRDefault="00E82A60" w:rsidP="00300A01">
            <w:pPr>
              <w:spacing w:before="0" w:after="0"/>
              <w:jc w:val="right"/>
              <w:rPr>
                <w:sz w:val="16"/>
                <w:szCs w:val="16"/>
                <w:lang w:val="fr-BE"/>
              </w:rPr>
            </w:pPr>
            <w:r>
              <w:rPr>
                <w:noProof/>
                <w:sz w:val="16"/>
                <w:szCs w:val="16"/>
                <w:lang w:val="fr-BE"/>
              </w:rPr>
              <w:t>25,00</w:t>
            </w:r>
          </w:p>
        </w:tc>
        <w:tc>
          <w:tcPr>
            <w:tcW w:w="0" w:type="auto"/>
            <w:shd w:val="clear" w:color="auto" w:fill="auto"/>
          </w:tcPr>
          <w:p w14:paraId="3238C7BD" w14:textId="77777777" w:rsidR="008C5CFA" w:rsidRPr="0024468B" w:rsidRDefault="008C5CFA" w:rsidP="00300A01">
            <w:pPr>
              <w:spacing w:before="0" w:after="0"/>
              <w:jc w:val="right"/>
              <w:rPr>
                <w:sz w:val="16"/>
                <w:szCs w:val="16"/>
                <w:lang w:val="fr-BE"/>
              </w:rPr>
            </w:pPr>
          </w:p>
        </w:tc>
        <w:tc>
          <w:tcPr>
            <w:tcW w:w="0" w:type="auto"/>
          </w:tcPr>
          <w:p w14:paraId="47536BA9" w14:textId="77777777" w:rsidR="008C5CFA" w:rsidRPr="0024468B" w:rsidRDefault="008C5CFA" w:rsidP="00300A01">
            <w:pPr>
              <w:spacing w:before="0" w:after="0"/>
              <w:jc w:val="right"/>
              <w:rPr>
                <w:sz w:val="16"/>
                <w:szCs w:val="16"/>
                <w:lang w:val="fr-BE"/>
              </w:rPr>
            </w:pPr>
          </w:p>
        </w:tc>
        <w:tc>
          <w:tcPr>
            <w:tcW w:w="0" w:type="auto"/>
            <w:shd w:val="clear" w:color="auto" w:fill="auto"/>
          </w:tcPr>
          <w:p w14:paraId="66560F9A" w14:textId="77777777" w:rsidR="008C5CFA" w:rsidRPr="0024468B" w:rsidRDefault="00E82A60" w:rsidP="00300A01">
            <w:pPr>
              <w:spacing w:before="0" w:after="0"/>
              <w:jc w:val="right"/>
              <w:rPr>
                <w:sz w:val="16"/>
                <w:szCs w:val="16"/>
                <w:lang w:val="fr-BE"/>
              </w:rPr>
            </w:pPr>
            <w:r w:rsidRPr="0024468B">
              <w:rPr>
                <w:noProof/>
                <w:sz w:val="16"/>
                <w:szCs w:val="16"/>
                <w:lang w:val="fr-BE"/>
              </w:rPr>
              <w:t>5,00</w:t>
            </w:r>
          </w:p>
        </w:tc>
        <w:tc>
          <w:tcPr>
            <w:tcW w:w="0" w:type="auto"/>
            <w:shd w:val="clear" w:color="auto" w:fill="auto"/>
          </w:tcPr>
          <w:p w14:paraId="0EA185A7"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65911110"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094871E6" w14:textId="77777777" w:rsidR="008C5CFA" w:rsidRPr="0024468B" w:rsidRDefault="008C5CFA" w:rsidP="00300A01">
            <w:pPr>
              <w:spacing w:before="0" w:after="0"/>
              <w:rPr>
                <w:sz w:val="16"/>
                <w:szCs w:val="16"/>
                <w:lang w:val="fr-BE"/>
              </w:rPr>
            </w:pPr>
          </w:p>
        </w:tc>
      </w:tr>
      <w:tr w:rsidR="006B2EC1" w14:paraId="5B21A4B1" w14:textId="77777777" w:rsidTr="0047688D">
        <w:tc>
          <w:tcPr>
            <w:tcW w:w="0" w:type="auto"/>
          </w:tcPr>
          <w:p w14:paraId="12C31B58" w14:textId="77777777" w:rsidR="008C5CFA" w:rsidRPr="0024468B" w:rsidRDefault="00E82A60" w:rsidP="00300A01">
            <w:pPr>
              <w:spacing w:before="0" w:after="0"/>
              <w:rPr>
                <w:sz w:val="16"/>
                <w:szCs w:val="16"/>
                <w:lang w:val="fr-BE"/>
              </w:rPr>
            </w:pPr>
            <w:r>
              <w:rPr>
                <w:noProof/>
                <w:sz w:val="16"/>
                <w:szCs w:val="16"/>
                <w:lang w:val="fr-BE"/>
              </w:rPr>
              <w:t>F</w:t>
            </w:r>
          </w:p>
        </w:tc>
        <w:tc>
          <w:tcPr>
            <w:tcW w:w="0" w:type="auto"/>
            <w:shd w:val="clear" w:color="auto" w:fill="auto"/>
          </w:tcPr>
          <w:p w14:paraId="61FCC10E" w14:textId="77777777" w:rsidR="008C5CFA" w:rsidRPr="0024468B" w:rsidRDefault="00E82A60" w:rsidP="00300A01">
            <w:pPr>
              <w:spacing w:before="0" w:after="0"/>
              <w:rPr>
                <w:sz w:val="16"/>
                <w:szCs w:val="16"/>
                <w:lang w:val="fr-BE"/>
              </w:rPr>
            </w:pPr>
            <w:r>
              <w:rPr>
                <w:noProof/>
                <w:sz w:val="16"/>
                <w:szCs w:val="16"/>
                <w:lang w:val="fr-BE"/>
              </w:rPr>
              <w:t>39</w:t>
            </w:r>
          </w:p>
        </w:tc>
        <w:tc>
          <w:tcPr>
            <w:tcW w:w="0" w:type="auto"/>
            <w:shd w:val="clear" w:color="auto" w:fill="auto"/>
          </w:tcPr>
          <w:p w14:paraId="388717DE" w14:textId="77777777" w:rsidR="008C5CFA" w:rsidRPr="0024468B" w:rsidRDefault="00E82A60" w:rsidP="00300A01">
            <w:pPr>
              <w:spacing w:before="0" w:after="0"/>
              <w:rPr>
                <w:sz w:val="16"/>
                <w:szCs w:val="16"/>
                <w:lang w:val="fr-BE"/>
              </w:rPr>
            </w:pPr>
            <w:r>
              <w:rPr>
                <w:noProof/>
                <w:sz w:val="16"/>
                <w:szCs w:val="16"/>
                <w:lang w:val="fr-BE"/>
              </w:rPr>
              <w:t>Długość ścieżek rowerowych</w:t>
            </w:r>
          </w:p>
        </w:tc>
        <w:tc>
          <w:tcPr>
            <w:tcW w:w="0" w:type="auto"/>
            <w:shd w:val="clear" w:color="auto" w:fill="auto"/>
          </w:tcPr>
          <w:p w14:paraId="31AB7B10" w14:textId="77777777" w:rsidR="008C5CFA" w:rsidRPr="0024468B" w:rsidRDefault="00E82A60" w:rsidP="00300A01">
            <w:pPr>
              <w:spacing w:before="0" w:after="0"/>
              <w:rPr>
                <w:sz w:val="16"/>
                <w:szCs w:val="16"/>
                <w:lang w:val="fr-BE"/>
              </w:rPr>
            </w:pPr>
            <w:r w:rsidRPr="0024468B">
              <w:rPr>
                <w:noProof/>
                <w:sz w:val="16"/>
                <w:szCs w:val="16"/>
                <w:lang w:val="fr-BE"/>
              </w:rPr>
              <w:t>km</w:t>
            </w:r>
          </w:p>
        </w:tc>
        <w:tc>
          <w:tcPr>
            <w:tcW w:w="0" w:type="auto"/>
            <w:shd w:val="clear" w:color="auto" w:fill="auto"/>
          </w:tcPr>
          <w:p w14:paraId="1A9CDF5E" w14:textId="77777777" w:rsidR="008C5CFA" w:rsidRPr="0024468B" w:rsidRDefault="00E82A60"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14:paraId="0F31E8BA" w14:textId="77777777" w:rsidR="008C5CFA" w:rsidRPr="0024468B" w:rsidRDefault="00E82A60" w:rsidP="00300A01">
            <w:pPr>
              <w:spacing w:before="0" w:after="0"/>
              <w:jc w:val="right"/>
              <w:rPr>
                <w:sz w:val="16"/>
                <w:szCs w:val="16"/>
                <w:lang w:val="fr-BE"/>
              </w:rPr>
            </w:pPr>
            <w:r>
              <w:rPr>
                <w:noProof/>
                <w:sz w:val="16"/>
                <w:szCs w:val="16"/>
                <w:lang w:val="fr-BE"/>
              </w:rPr>
              <w:t>120,00</w:t>
            </w:r>
          </w:p>
        </w:tc>
        <w:tc>
          <w:tcPr>
            <w:tcW w:w="0" w:type="auto"/>
            <w:shd w:val="clear" w:color="auto" w:fill="auto"/>
          </w:tcPr>
          <w:p w14:paraId="08B9D74E" w14:textId="77777777" w:rsidR="008C5CFA" w:rsidRPr="0024468B" w:rsidRDefault="008C5CFA" w:rsidP="00300A01">
            <w:pPr>
              <w:spacing w:before="0" w:after="0"/>
              <w:jc w:val="right"/>
              <w:rPr>
                <w:sz w:val="16"/>
                <w:szCs w:val="16"/>
                <w:lang w:val="fr-BE"/>
              </w:rPr>
            </w:pPr>
          </w:p>
        </w:tc>
        <w:tc>
          <w:tcPr>
            <w:tcW w:w="0" w:type="auto"/>
          </w:tcPr>
          <w:p w14:paraId="5C85737F" w14:textId="77777777" w:rsidR="008C5CFA" w:rsidRPr="0024468B" w:rsidRDefault="008C5CFA" w:rsidP="00300A01">
            <w:pPr>
              <w:spacing w:before="0" w:after="0"/>
              <w:jc w:val="right"/>
              <w:rPr>
                <w:sz w:val="16"/>
                <w:szCs w:val="16"/>
                <w:lang w:val="fr-BE"/>
              </w:rPr>
            </w:pPr>
          </w:p>
        </w:tc>
        <w:tc>
          <w:tcPr>
            <w:tcW w:w="0" w:type="auto"/>
            <w:shd w:val="clear" w:color="auto" w:fill="auto"/>
          </w:tcPr>
          <w:p w14:paraId="06ACB6C4"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2AEC38B3"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4347E70C"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38777DCB" w14:textId="77777777" w:rsidR="008C5CFA" w:rsidRPr="0024468B" w:rsidRDefault="008C5CFA" w:rsidP="00300A01">
            <w:pPr>
              <w:spacing w:before="0" w:after="0"/>
              <w:rPr>
                <w:sz w:val="16"/>
                <w:szCs w:val="16"/>
                <w:lang w:val="fr-BE"/>
              </w:rPr>
            </w:pPr>
          </w:p>
        </w:tc>
      </w:tr>
      <w:tr w:rsidR="006B2EC1" w14:paraId="0CCDBB9A" w14:textId="77777777" w:rsidTr="0047688D">
        <w:tc>
          <w:tcPr>
            <w:tcW w:w="0" w:type="auto"/>
          </w:tcPr>
          <w:p w14:paraId="34B8133C" w14:textId="77777777" w:rsidR="008C5CFA" w:rsidRPr="0024468B" w:rsidRDefault="00E82A60" w:rsidP="00300A01">
            <w:pPr>
              <w:spacing w:before="0" w:after="0"/>
              <w:rPr>
                <w:sz w:val="16"/>
                <w:szCs w:val="16"/>
                <w:lang w:val="fr-BE"/>
              </w:rPr>
            </w:pPr>
            <w:r>
              <w:rPr>
                <w:noProof/>
                <w:sz w:val="16"/>
                <w:szCs w:val="16"/>
                <w:lang w:val="fr-BE"/>
              </w:rPr>
              <w:t>S</w:t>
            </w:r>
          </w:p>
        </w:tc>
        <w:tc>
          <w:tcPr>
            <w:tcW w:w="0" w:type="auto"/>
            <w:shd w:val="clear" w:color="auto" w:fill="auto"/>
          </w:tcPr>
          <w:p w14:paraId="14C6C515" w14:textId="77777777" w:rsidR="008C5CFA" w:rsidRPr="0024468B" w:rsidRDefault="00E82A60" w:rsidP="00300A01">
            <w:pPr>
              <w:spacing w:before="0" w:after="0"/>
              <w:rPr>
                <w:sz w:val="16"/>
                <w:szCs w:val="16"/>
                <w:lang w:val="fr-BE"/>
              </w:rPr>
            </w:pPr>
            <w:r>
              <w:rPr>
                <w:noProof/>
                <w:sz w:val="16"/>
                <w:szCs w:val="16"/>
                <w:lang w:val="fr-BE"/>
              </w:rPr>
              <w:t>39</w:t>
            </w:r>
          </w:p>
        </w:tc>
        <w:tc>
          <w:tcPr>
            <w:tcW w:w="0" w:type="auto"/>
            <w:shd w:val="clear" w:color="auto" w:fill="auto"/>
          </w:tcPr>
          <w:p w14:paraId="288379C4" w14:textId="77777777" w:rsidR="008C5CFA" w:rsidRPr="0024468B" w:rsidRDefault="00E82A60" w:rsidP="00300A01">
            <w:pPr>
              <w:spacing w:before="0" w:after="0"/>
              <w:rPr>
                <w:sz w:val="16"/>
                <w:szCs w:val="16"/>
                <w:lang w:val="fr-BE"/>
              </w:rPr>
            </w:pPr>
            <w:r>
              <w:rPr>
                <w:noProof/>
                <w:sz w:val="16"/>
                <w:szCs w:val="16"/>
                <w:lang w:val="fr-BE"/>
              </w:rPr>
              <w:t>Długość ścieżek rowerowych</w:t>
            </w:r>
          </w:p>
        </w:tc>
        <w:tc>
          <w:tcPr>
            <w:tcW w:w="0" w:type="auto"/>
            <w:shd w:val="clear" w:color="auto" w:fill="auto"/>
          </w:tcPr>
          <w:p w14:paraId="56E32473" w14:textId="77777777" w:rsidR="008C5CFA" w:rsidRPr="0024468B" w:rsidRDefault="00E82A60" w:rsidP="00300A01">
            <w:pPr>
              <w:spacing w:before="0" w:after="0"/>
              <w:rPr>
                <w:sz w:val="16"/>
                <w:szCs w:val="16"/>
                <w:lang w:val="fr-BE"/>
              </w:rPr>
            </w:pPr>
            <w:r w:rsidRPr="0024468B">
              <w:rPr>
                <w:noProof/>
                <w:sz w:val="16"/>
                <w:szCs w:val="16"/>
                <w:lang w:val="fr-BE"/>
              </w:rPr>
              <w:t>km</w:t>
            </w:r>
          </w:p>
        </w:tc>
        <w:tc>
          <w:tcPr>
            <w:tcW w:w="0" w:type="auto"/>
            <w:shd w:val="clear" w:color="auto" w:fill="auto"/>
          </w:tcPr>
          <w:p w14:paraId="62FA3E38" w14:textId="77777777" w:rsidR="008C5CFA" w:rsidRPr="0024468B" w:rsidRDefault="00E82A60"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14:paraId="3531E082" w14:textId="77777777" w:rsidR="008C5CFA" w:rsidRPr="0024468B" w:rsidRDefault="00E82A60" w:rsidP="00300A01">
            <w:pPr>
              <w:spacing w:before="0" w:after="0"/>
              <w:jc w:val="right"/>
              <w:rPr>
                <w:sz w:val="16"/>
                <w:szCs w:val="16"/>
                <w:lang w:val="fr-BE"/>
              </w:rPr>
            </w:pPr>
            <w:r>
              <w:rPr>
                <w:noProof/>
                <w:sz w:val="16"/>
                <w:szCs w:val="16"/>
                <w:lang w:val="fr-BE"/>
              </w:rPr>
              <w:t>120,00</w:t>
            </w:r>
          </w:p>
        </w:tc>
        <w:tc>
          <w:tcPr>
            <w:tcW w:w="0" w:type="auto"/>
            <w:shd w:val="clear" w:color="auto" w:fill="auto"/>
          </w:tcPr>
          <w:p w14:paraId="557E9FDC" w14:textId="77777777" w:rsidR="008C5CFA" w:rsidRPr="0024468B" w:rsidRDefault="008C5CFA" w:rsidP="00300A01">
            <w:pPr>
              <w:spacing w:before="0" w:after="0"/>
              <w:jc w:val="right"/>
              <w:rPr>
                <w:sz w:val="16"/>
                <w:szCs w:val="16"/>
                <w:lang w:val="fr-BE"/>
              </w:rPr>
            </w:pPr>
          </w:p>
        </w:tc>
        <w:tc>
          <w:tcPr>
            <w:tcW w:w="0" w:type="auto"/>
          </w:tcPr>
          <w:p w14:paraId="75C7A372" w14:textId="77777777" w:rsidR="008C5CFA" w:rsidRPr="0024468B" w:rsidRDefault="008C5CFA" w:rsidP="00300A01">
            <w:pPr>
              <w:spacing w:before="0" w:after="0"/>
              <w:jc w:val="right"/>
              <w:rPr>
                <w:sz w:val="16"/>
                <w:szCs w:val="16"/>
                <w:lang w:val="fr-BE"/>
              </w:rPr>
            </w:pPr>
          </w:p>
        </w:tc>
        <w:tc>
          <w:tcPr>
            <w:tcW w:w="0" w:type="auto"/>
            <w:shd w:val="clear" w:color="auto" w:fill="auto"/>
          </w:tcPr>
          <w:p w14:paraId="06D6352B" w14:textId="77777777" w:rsidR="008C5CFA" w:rsidRPr="0024468B" w:rsidRDefault="00E82A60" w:rsidP="00300A01">
            <w:pPr>
              <w:spacing w:before="0" w:after="0"/>
              <w:jc w:val="right"/>
              <w:rPr>
                <w:sz w:val="16"/>
                <w:szCs w:val="16"/>
                <w:lang w:val="fr-BE"/>
              </w:rPr>
            </w:pPr>
            <w:r w:rsidRPr="0024468B">
              <w:rPr>
                <w:noProof/>
                <w:sz w:val="16"/>
                <w:szCs w:val="16"/>
                <w:lang w:val="fr-BE"/>
              </w:rPr>
              <w:t>9,23</w:t>
            </w:r>
          </w:p>
        </w:tc>
        <w:tc>
          <w:tcPr>
            <w:tcW w:w="0" w:type="auto"/>
            <w:shd w:val="clear" w:color="auto" w:fill="auto"/>
          </w:tcPr>
          <w:p w14:paraId="62C263B3"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5677A2E4"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46B0EF00" w14:textId="77777777" w:rsidR="008C5CFA" w:rsidRPr="0024468B" w:rsidRDefault="00E82A60" w:rsidP="00300A01">
            <w:pPr>
              <w:spacing w:before="0" w:after="0"/>
              <w:rPr>
                <w:sz w:val="16"/>
                <w:szCs w:val="16"/>
                <w:lang w:val="fr-BE"/>
              </w:rPr>
            </w:pPr>
            <w:r w:rsidRPr="0024468B">
              <w:rPr>
                <w:noProof/>
                <w:sz w:val="16"/>
                <w:szCs w:val="16"/>
                <w:lang w:val="fr-BE"/>
              </w:rPr>
              <w:t xml:space="preserve">W związku z ograniczeniem realizacji projektów dot. infrastruktury rowerowej w ramach PI4e do miast, w których prowadzony jest publiczny </w:t>
            </w:r>
            <w:r w:rsidRPr="0024468B">
              <w:rPr>
                <w:noProof/>
                <w:sz w:val="16"/>
                <w:szCs w:val="16"/>
                <w:lang w:val="fr-BE"/>
              </w:rPr>
              <w:lastRenderedPageBreak/>
              <w:t>transport zbiorowy IZ podjęła decyzję o urealnieniu wartości wskaźnika do poziomu 20 km.</w:t>
            </w:r>
          </w:p>
        </w:tc>
      </w:tr>
      <w:tr w:rsidR="006B2EC1" w14:paraId="30B9372D" w14:textId="77777777" w:rsidTr="0047688D">
        <w:tc>
          <w:tcPr>
            <w:tcW w:w="0" w:type="auto"/>
          </w:tcPr>
          <w:p w14:paraId="4BA2CC4D" w14:textId="77777777" w:rsidR="008C5CFA" w:rsidRPr="0024468B" w:rsidRDefault="00E82A60" w:rsidP="00300A01">
            <w:pPr>
              <w:spacing w:before="0" w:after="0"/>
              <w:rPr>
                <w:sz w:val="16"/>
                <w:szCs w:val="16"/>
                <w:lang w:val="fr-BE"/>
              </w:rPr>
            </w:pPr>
            <w:r>
              <w:rPr>
                <w:noProof/>
                <w:sz w:val="16"/>
                <w:szCs w:val="16"/>
                <w:lang w:val="fr-BE"/>
              </w:rPr>
              <w:lastRenderedPageBreak/>
              <w:t>F</w:t>
            </w:r>
          </w:p>
        </w:tc>
        <w:tc>
          <w:tcPr>
            <w:tcW w:w="0" w:type="auto"/>
            <w:shd w:val="clear" w:color="auto" w:fill="auto"/>
          </w:tcPr>
          <w:p w14:paraId="3F847925" w14:textId="77777777" w:rsidR="008C5CFA" w:rsidRPr="0024468B" w:rsidRDefault="00E82A60" w:rsidP="00300A01">
            <w:pPr>
              <w:spacing w:before="0" w:after="0"/>
              <w:rPr>
                <w:sz w:val="16"/>
                <w:szCs w:val="16"/>
                <w:lang w:val="fr-BE"/>
              </w:rPr>
            </w:pPr>
            <w:r>
              <w:rPr>
                <w:noProof/>
                <w:sz w:val="16"/>
                <w:szCs w:val="16"/>
                <w:lang w:val="fr-BE"/>
              </w:rPr>
              <w:t>40</w:t>
            </w:r>
          </w:p>
        </w:tc>
        <w:tc>
          <w:tcPr>
            <w:tcW w:w="0" w:type="auto"/>
            <w:shd w:val="clear" w:color="auto" w:fill="auto"/>
          </w:tcPr>
          <w:p w14:paraId="58284BBE" w14:textId="77777777" w:rsidR="008C5CFA" w:rsidRPr="0024468B" w:rsidRDefault="00E82A60" w:rsidP="00300A01">
            <w:pPr>
              <w:spacing w:before="0" w:after="0"/>
              <w:rPr>
                <w:sz w:val="16"/>
                <w:szCs w:val="16"/>
                <w:lang w:val="fr-BE"/>
              </w:rPr>
            </w:pPr>
            <w:r>
              <w:rPr>
                <w:noProof/>
                <w:sz w:val="16"/>
                <w:szCs w:val="16"/>
                <w:lang w:val="fr-BE"/>
              </w:rPr>
              <w:t>Długość sieci ciepłowniczej</w:t>
            </w:r>
          </w:p>
        </w:tc>
        <w:tc>
          <w:tcPr>
            <w:tcW w:w="0" w:type="auto"/>
            <w:shd w:val="clear" w:color="auto" w:fill="auto"/>
          </w:tcPr>
          <w:p w14:paraId="1CEEA6EB" w14:textId="77777777" w:rsidR="008C5CFA" w:rsidRPr="0024468B" w:rsidRDefault="00E82A60" w:rsidP="00300A01">
            <w:pPr>
              <w:spacing w:before="0" w:after="0"/>
              <w:rPr>
                <w:sz w:val="16"/>
                <w:szCs w:val="16"/>
                <w:lang w:val="fr-BE"/>
              </w:rPr>
            </w:pPr>
            <w:r w:rsidRPr="0024468B">
              <w:rPr>
                <w:noProof/>
                <w:sz w:val="16"/>
                <w:szCs w:val="16"/>
                <w:lang w:val="fr-BE"/>
              </w:rPr>
              <w:t>km</w:t>
            </w:r>
          </w:p>
        </w:tc>
        <w:tc>
          <w:tcPr>
            <w:tcW w:w="0" w:type="auto"/>
            <w:shd w:val="clear" w:color="auto" w:fill="auto"/>
          </w:tcPr>
          <w:p w14:paraId="0A86589F" w14:textId="77777777" w:rsidR="008C5CFA" w:rsidRPr="0024468B" w:rsidRDefault="00E82A60"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14:paraId="5F0277AB" w14:textId="77777777" w:rsidR="008C5CFA" w:rsidRPr="0024468B" w:rsidRDefault="00E82A60" w:rsidP="00300A01">
            <w:pPr>
              <w:spacing w:before="0" w:after="0"/>
              <w:jc w:val="right"/>
              <w:rPr>
                <w:sz w:val="16"/>
                <w:szCs w:val="16"/>
                <w:lang w:val="fr-BE"/>
              </w:rPr>
            </w:pPr>
            <w:r>
              <w:rPr>
                <w:noProof/>
                <w:sz w:val="16"/>
                <w:szCs w:val="16"/>
                <w:lang w:val="fr-BE"/>
              </w:rPr>
              <w:t>18,00</w:t>
            </w:r>
          </w:p>
        </w:tc>
        <w:tc>
          <w:tcPr>
            <w:tcW w:w="0" w:type="auto"/>
            <w:shd w:val="clear" w:color="auto" w:fill="auto"/>
          </w:tcPr>
          <w:p w14:paraId="7CB5C5E4" w14:textId="77777777" w:rsidR="008C5CFA" w:rsidRPr="0024468B" w:rsidRDefault="008C5CFA" w:rsidP="00300A01">
            <w:pPr>
              <w:spacing w:before="0" w:after="0"/>
              <w:jc w:val="right"/>
              <w:rPr>
                <w:sz w:val="16"/>
                <w:szCs w:val="16"/>
                <w:lang w:val="fr-BE"/>
              </w:rPr>
            </w:pPr>
          </w:p>
        </w:tc>
        <w:tc>
          <w:tcPr>
            <w:tcW w:w="0" w:type="auto"/>
          </w:tcPr>
          <w:p w14:paraId="6475B5CF" w14:textId="77777777" w:rsidR="008C5CFA" w:rsidRPr="0024468B" w:rsidRDefault="008C5CFA" w:rsidP="00300A01">
            <w:pPr>
              <w:spacing w:before="0" w:after="0"/>
              <w:jc w:val="right"/>
              <w:rPr>
                <w:sz w:val="16"/>
                <w:szCs w:val="16"/>
                <w:lang w:val="fr-BE"/>
              </w:rPr>
            </w:pPr>
          </w:p>
        </w:tc>
        <w:tc>
          <w:tcPr>
            <w:tcW w:w="0" w:type="auto"/>
            <w:shd w:val="clear" w:color="auto" w:fill="auto"/>
          </w:tcPr>
          <w:p w14:paraId="12CCBB51"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533AC23B"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103A26EE"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21F4359B" w14:textId="77777777" w:rsidR="008C5CFA" w:rsidRPr="0024468B" w:rsidRDefault="008C5CFA" w:rsidP="00300A01">
            <w:pPr>
              <w:spacing w:before="0" w:after="0"/>
              <w:rPr>
                <w:sz w:val="16"/>
                <w:szCs w:val="16"/>
                <w:lang w:val="fr-BE"/>
              </w:rPr>
            </w:pPr>
          </w:p>
        </w:tc>
      </w:tr>
      <w:tr w:rsidR="006B2EC1" w14:paraId="1230D0FF" w14:textId="77777777" w:rsidTr="0047688D">
        <w:tc>
          <w:tcPr>
            <w:tcW w:w="0" w:type="auto"/>
          </w:tcPr>
          <w:p w14:paraId="4C869835" w14:textId="77777777" w:rsidR="008C5CFA" w:rsidRPr="0024468B" w:rsidRDefault="00E82A60" w:rsidP="00300A01">
            <w:pPr>
              <w:spacing w:before="0" w:after="0"/>
              <w:rPr>
                <w:sz w:val="16"/>
                <w:szCs w:val="16"/>
                <w:lang w:val="fr-BE"/>
              </w:rPr>
            </w:pPr>
            <w:r>
              <w:rPr>
                <w:noProof/>
                <w:sz w:val="16"/>
                <w:szCs w:val="16"/>
                <w:lang w:val="fr-BE"/>
              </w:rPr>
              <w:t>S</w:t>
            </w:r>
          </w:p>
        </w:tc>
        <w:tc>
          <w:tcPr>
            <w:tcW w:w="0" w:type="auto"/>
            <w:shd w:val="clear" w:color="auto" w:fill="auto"/>
          </w:tcPr>
          <w:p w14:paraId="628A0171" w14:textId="77777777" w:rsidR="008C5CFA" w:rsidRPr="0024468B" w:rsidRDefault="00E82A60" w:rsidP="00300A01">
            <w:pPr>
              <w:spacing w:before="0" w:after="0"/>
              <w:rPr>
                <w:sz w:val="16"/>
                <w:szCs w:val="16"/>
                <w:lang w:val="fr-BE"/>
              </w:rPr>
            </w:pPr>
            <w:r>
              <w:rPr>
                <w:noProof/>
                <w:sz w:val="16"/>
                <w:szCs w:val="16"/>
                <w:lang w:val="fr-BE"/>
              </w:rPr>
              <w:t>40</w:t>
            </w:r>
          </w:p>
        </w:tc>
        <w:tc>
          <w:tcPr>
            <w:tcW w:w="0" w:type="auto"/>
            <w:shd w:val="clear" w:color="auto" w:fill="auto"/>
          </w:tcPr>
          <w:p w14:paraId="6366443C" w14:textId="77777777" w:rsidR="008C5CFA" w:rsidRPr="0024468B" w:rsidRDefault="00E82A60" w:rsidP="00300A01">
            <w:pPr>
              <w:spacing w:before="0" w:after="0"/>
              <w:rPr>
                <w:sz w:val="16"/>
                <w:szCs w:val="16"/>
                <w:lang w:val="fr-BE"/>
              </w:rPr>
            </w:pPr>
            <w:r>
              <w:rPr>
                <w:noProof/>
                <w:sz w:val="16"/>
                <w:szCs w:val="16"/>
                <w:lang w:val="fr-BE"/>
              </w:rPr>
              <w:t>Długość sieci ciepłowniczej</w:t>
            </w:r>
          </w:p>
        </w:tc>
        <w:tc>
          <w:tcPr>
            <w:tcW w:w="0" w:type="auto"/>
            <w:shd w:val="clear" w:color="auto" w:fill="auto"/>
          </w:tcPr>
          <w:p w14:paraId="6554991F" w14:textId="77777777" w:rsidR="008C5CFA" w:rsidRPr="0024468B" w:rsidRDefault="00E82A60" w:rsidP="00300A01">
            <w:pPr>
              <w:spacing w:before="0" w:after="0"/>
              <w:rPr>
                <w:sz w:val="16"/>
                <w:szCs w:val="16"/>
                <w:lang w:val="fr-BE"/>
              </w:rPr>
            </w:pPr>
            <w:r w:rsidRPr="0024468B">
              <w:rPr>
                <w:noProof/>
                <w:sz w:val="16"/>
                <w:szCs w:val="16"/>
                <w:lang w:val="fr-BE"/>
              </w:rPr>
              <w:t>km</w:t>
            </w:r>
          </w:p>
        </w:tc>
        <w:tc>
          <w:tcPr>
            <w:tcW w:w="0" w:type="auto"/>
            <w:shd w:val="clear" w:color="auto" w:fill="auto"/>
          </w:tcPr>
          <w:p w14:paraId="7983269B" w14:textId="77777777" w:rsidR="008C5CFA" w:rsidRPr="0024468B" w:rsidRDefault="00E82A60"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14:paraId="376CFB2D" w14:textId="77777777" w:rsidR="008C5CFA" w:rsidRPr="0024468B" w:rsidRDefault="00E82A60" w:rsidP="00300A01">
            <w:pPr>
              <w:spacing w:before="0" w:after="0"/>
              <w:jc w:val="right"/>
              <w:rPr>
                <w:sz w:val="16"/>
                <w:szCs w:val="16"/>
                <w:lang w:val="fr-BE"/>
              </w:rPr>
            </w:pPr>
            <w:r>
              <w:rPr>
                <w:noProof/>
                <w:sz w:val="16"/>
                <w:szCs w:val="16"/>
                <w:lang w:val="fr-BE"/>
              </w:rPr>
              <w:t>18,00</w:t>
            </w:r>
          </w:p>
        </w:tc>
        <w:tc>
          <w:tcPr>
            <w:tcW w:w="0" w:type="auto"/>
            <w:shd w:val="clear" w:color="auto" w:fill="auto"/>
          </w:tcPr>
          <w:p w14:paraId="6AECB25B" w14:textId="77777777" w:rsidR="008C5CFA" w:rsidRPr="0024468B" w:rsidRDefault="008C5CFA" w:rsidP="00300A01">
            <w:pPr>
              <w:spacing w:before="0" w:after="0"/>
              <w:jc w:val="right"/>
              <w:rPr>
                <w:sz w:val="16"/>
                <w:szCs w:val="16"/>
                <w:lang w:val="fr-BE"/>
              </w:rPr>
            </w:pPr>
          </w:p>
        </w:tc>
        <w:tc>
          <w:tcPr>
            <w:tcW w:w="0" w:type="auto"/>
          </w:tcPr>
          <w:p w14:paraId="15833211" w14:textId="77777777" w:rsidR="008C5CFA" w:rsidRPr="0024468B" w:rsidRDefault="008C5CFA" w:rsidP="00300A01">
            <w:pPr>
              <w:spacing w:before="0" w:after="0"/>
              <w:jc w:val="right"/>
              <w:rPr>
                <w:sz w:val="16"/>
                <w:szCs w:val="16"/>
                <w:lang w:val="fr-BE"/>
              </w:rPr>
            </w:pPr>
          </w:p>
        </w:tc>
        <w:tc>
          <w:tcPr>
            <w:tcW w:w="0" w:type="auto"/>
            <w:shd w:val="clear" w:color="auto" w:fill="auto"/>
          </w:tcPr>
          <w:p w14:paraId="652463F4" w14:textId="77777777" w:rsidR="008C5CFA" w:rsidRPr="0024468B" w:rsidRDefault="00E82A60" w:rsidP="00300A01">
            <w:pPr>
              <w:spacing w:before="0" w:after="0"/>
              <w:jc w:val="right"/>
              <w:rPr>
                <w:sz w:val="16"/>
                <w:szCs w:val="16"/>
                <w:lang w:val="fr-BE"/>
              </w:rPr>
            </w:pPr>
            <w:r w:rsidRPr="0024468B">
              <w:rPr>
                <w:noProof/>
                <w:sz w:val="16"/>
                <w:szCs w:val="16"/>
                <w:lang w:val="fr-BE"/>
              </w:rPr>
              <w:t>0,13</w:t>
            </w:r>
          </w:p>
        </w:tc>
        <w:tc>
          <w:tcPr>
            <w:tcW w:w="0" w:type="auto"/>
            <w:shd w:val="clear" w:color="auto" w:fill="auto"/>
          </w:tcPr>
          <w:p w14:paraId="401B872B"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7B1D5C4D"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306AF474" w14:textId="77777777" w:rsidR="008C5CFA" w:rsidRPr="0024468B" w:rsidRDefault="00E82A60" w:rsidP="00300A01">
            <w:pPr>
              <w:spacing w:before="0" w:after="0"/>
              <w:rPr>
                <w:sz w:val="16"/>
                <w:szCs w:val="16"/>
                <w:lang w:val="fr-BE"/>
              </w:rPr>
            </w:pPr>
            <w:r w:rsidRPr="0024468B">
              <w:rPr>
                <w:noProof/>
                <w:sz w:val="16"/>
                <w:szCs w:val="16"/>
                <w:lang w:val="fr-BE"/>
              </w:rPr>
              <w:t>W wyniku ograniczenia realizacji projektów do tych, które dotyczą efektywnych systemów ciepłowniczych oraz znikomego zainteresowania ich realizacją, IZ podjęła decyzję o urealnieniu wartości wskaźnika do poziomu 3,5 km sieci.</w:t>
            </w:r>
          </w:p>
        </w:tc>
      </w:tr>
      <w:tr w:rsidR="006B2EC1" w14:paraId="7C019806" w14:textId="77777777" w:rsidTr="0047688D">
        <w:tc>
          <w:tcPr>
            <w:tcW w:w="0" w:type="auto"/>
          </w:tcPr>
          <w:p w14:paraId="75CE8BB8" w14:textId="77777777" w:rsidR="008C5CFA" w:rsidRPr="0024468B" w:rsidRDefault="00E82A60" w:rsidP="00300A01">
            <w:pPr>
              <w:spacing w:before="0" w:after="0"/>
              <w:rPr>
                <w:sz w:val="16"/>
                <w:szCs w:val="16"/>
                <w:lang w:val="fr-BE"/>
              </w:rPr>
            </w:pPr>
            <w:r>
              <w:rPr>
                <w:noProof/>
                <w:sz w:val="16"/>
                <w:szCs w:val="16"/>
                <w:lang w:val="fr-BE"/>
              </w:rPr>
              <w:t>F</w:t>
            </w:r>
          </w:p>
        </w:tc>
        <w:tc>
          <w:tcPr>
            <w:tcW w:w="0" w:type="auto"/>
            <w:shd w:val="clear" w:color="auto" w:fill="auto"/>
          </w:tcPr>
          <w:p w14:paraId="0FD2FDD2" w14:textId="77777777" w:rsidR="008C5CFA" w:rsidRPr="0024468B" w:rsidRDefault="00E82A60" w:rsidP="00300A01">
            <w:pPr>
              <w:spacing w:before="0" w:after="0"/>
              <w:rPr>
                <w:sz w:val="16"/>
                <w:szCs w:val="16"/>
                <w:lang w:val="fr-BE"/>
              </w:rPr>
            </w:pPr>
            <w:r>
              <w:rPr>
                <w:noProof/>
                <w:sz w:val="16"/>
                <w:szCs w:val="16"/>
                <w:lang w:val="fr-BE"/>
              </w:rPr>
              <w:t>41</w:t>
            </w:r>
          </w:p>
        </w:tc>
        <w:tc>
          <w:tcPr>
            <w:tcW w:w="0" w:type="auto"/>
            <w:shd w:val="clear" w:color="auto" w:fill="auto"/>
          </w:tcPr>
          <w:p w14:paraId="2C600B07" w14:textId="77777777" w:rsidR="008C5CFA" w:rsidRPr="0024468B" w:rsidRDefault="00E82A60" w:rsidP="00300A01">
            <w:pPr>
              <w:spacing w:before="0" w:after="0"/>
              <w:rPr>
                <w:sz w:val="16"/>
                <w:szCs w:val="16"/>
                <w:lang w:val="fr-BE"/>
              </w:rPr>
            </w:pPr>
            <w:r>
              <w:rPr>
                <w:noProof/>
                <w:sz w:val="16"/>
                <w:szCs w:val="16"/>
                <w:lang w:val="fr-BE"/>
              </w:rPr>
              <w:t>Liczba zmodernizowanych dworców i centrów przesiadkowych</w:t>
            </w:r>
          </w:p>
        </w:tc>
        <w:tc>
          <w:tcPr>
            <w:tcW w:w="0" w:type="auto"/>
            <w:shd w:val="clear" w:color="auto" w:fill="auto"/>
          </w:tcPr>
          <w:p w14:paraId="7B93C5AF" w14:textId="77777777" w:rsidR="008C5CFA" w:rsidRPr="0024468B" w:rsidRDefault="00E82A60" w:rsidP="00300A01">
            <w:pPr>
              <w:spacing w:before="0" w:after="0"/>
              <w:rPr>
                <w:sz w:val="16"/>
                <w:szCs w:val="16"/>
                <w:lang w:val="fr-BE"/>
              </w:rPr>
            </w:pPr>
            <w:r w:rsidRPr="0024468B">
              <w:rPr>
                <w:noProof/>
                <w:sz w:val="16"/>
                <w:szCs w:val="16"/>
                <w:lang w:val="fr-BE"/>
              </w:rPr>
              <w:t>szt.</w:t>
            </w:r>
          </w:p>
        </w:tc>
        <w:tc>
          <w:tcPr>
            <w:tcW w:w="0" w:type="auto"/>
            <w:shd w:val="clear" w:color="auto" w:fill="auto"/>
          </w:tcPr>
          <w:p w14:paraId="6F13C8FA" w14:textId="77777777" w:rsidR="008C5CFA" w:rsidRPr="0024468B" w:rsidRDefault="00E82A60"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14:paraId="65120924" w14:textId="77777777" w:rsidR="008C5CFA" w:rsidRPr="0024468B" w:rsidRDefault="00E82A60" w:rsidP="00300A01">
            <w:pPr>
              <w:spacing w:before="0" w:after="0"/>
              <w:jc w:val="right"/>
              <w:rPr>
                <w:sz w:val="16"/>
                <w:szCs w:val="16"/>
                <w:lang w:val="fr-BE"/>
              </w:rPr>
            </w:pPr>
            <w:r>
              <w:rPr>
                <w:noProof/>
                <w:sz w:val="16"/>
                <w:szCs w:val="16"/>
                <w:lang w:val="fr-BE"/>
              </w:rPr>
              <w:t>4,00</w:t>
            </w:r>
          </w:p>
        </w:tc>
        <w:tc>
          <w:tcPr>
            <w:tcW w:w="0" w:type="auto"/>
            <w:shd w:val="clear" w:color="auto" w:fill="auto"/>
          </w:tcPr>
          <w:p w14:paraId="7FF5A0B0" w14:textId="77777777" w:rsidR="008C5CFA" w:rsidRPr="0024468B" w:rsidRDefault="008C5CFA" w:rsidP="00300A01">
            <w:pPr>
              <w:spacing w:before="0" w:after="0"/>
              <w:jc w:val="right"/>
              <w:rPr>
                <w:sz w:val="16"/>
                <w:szCs w:val="16"/>
                <w:lang w:val="fr-BE"/>
              </w:rPr>
            </w:pPr>
          </w:p>
        </w:tc>
        <w:tc>
          <w:tcPr>
            <w:tcW w:w="0" w:type="auto"/>
          </w:tcPr>
          <w:p w14:paraId="0D226E63" w14:textId="77777777" w:rsidR="008C5CFA" w:rsidRPr="0024468B" w:rsidRDefault="008C5CFA" w:rsidP="00300A01">
            <w:pPr>
              <w:spacing w:before="0" w:after="0"/>
              <w:jc w:val="right"/>
              <w:rPr>
                <w:sz w:val="16"/>
                <w:szCs w:val="16"/>
                <w:lang w:val="fr-BE"/>
              </w:rPr>
            </w:pPr>
          </w:p>
        </w:tc>
        <w:tc>
          <w:tcPr>
            <w:tcW w:w="0" w:type="auto"/>
            <w:shd w:val="clear" w:color="auto" w:fill="auto"/>
          </w:tcPr>
          <w:p w14:paraId="7CF1758C"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563774CB"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2888702E"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154465C9" w14:textId="77777777" w:rsidR="008C5CFA" w:rsidRPr="0024468B" w:rsidRDefault="008C5CFA" w:rsidP="00300A01">
            <w:pPr>
              <w:spacing w:before="0" w:after="0"/>
              <w:rPr>
                <w:sz w:val="16"/>
                <w:szCs w:val="16"/>
                <w:lang w:val="fr-BE"/>
              </w:rPr>
            </w:pPr>
          </w:p>
        </w:tc>
      </w:tr>
      <w:tr w:rsidR="006B2EC1" w14:paraId="1A058FBB" w14:textId="77777777" w:rsidTr="0047688D">
        <w:tc>
          <w:tcPr>
            <w:tcW w:w="0" w:type="auto"/>
          </w:tcPr>
          <w:p w14:paraId="64320D5F" w14:textId="77777777" w:rsidR="008C5CFA" w:rsidRPr="0024468B" w:rsidRDefault="00E82A60" w:rsidP="00300A01">
            <w:pPr>
              <w:spacing w:before="0" w:after="0"/>
              <w:rPr>
                <w:sz w:val="16"/>
                <w:szCs w:val="16"/>
                <w:lang w:val="fr-BE"/>
              </w:rPr>
            </w:pPr>
            <w:r>
              <w:rPr>
                <w:noProof/>
                <w:sz w:val="16"/>
                <w:szCs w:val="16"/>
                <w:lang w:val="fr-BE"/>
              </w:rPr>
              <w:t>S</w:t>
            </w:r>
          </w:p>
        </w:tc>
        <w:tc>
          <w:tcPr>
            <w:tcW w:w="0" w:type="auto"/>
            <w:shd w:val="clear" w:color="auto" w:fill="auto"/>
          </w:tcPr>
          <w:p w14:paraId="6F37E4A1" w14:textId="77777777" w:rsidR="008C5CFA" w:rsidRPr="0024468B" w:rsidRDefault="00E82A60" w:rsidP="00300A01">
            <w:pPr>
              <w:spacing w:before="0" w:after="0"/>
              <w:rPr>
                <w:sz w:val="16"/>
                <w:szCs w:val="16"/>
                <w:lang w:val="fr-BE"/>
              </w:rPr>
            </w:pPr>
            <w:r>
              <w:rPr>
                <w:noProof/>
                <w:sz w:val="16"/>
                <w:szCs w:val="16"/>
                <w:lang w:val="fr-BE"/>
              </w:rPr>
              <w:t>41</w:t>
            </w:r>
          </w:p>
        </w:tc>
        <w:tc>
          <w:tcPr>
            <w:tcW w:w="0" w:type="auto"/>
            <w:shd w:val="clear" w:color="auto" w:fill="auto"/>
          </w:tcPr>
          <w:p w14:paraId="4E4ADCA3" w14:textId="77777777" w:rsidR="008C5CFA" w:rsidRPr="0024468B" w:rsidRDefault="00E82A60" w:rsidP="00300A01">
            <w:pPr>
              <w:spacing w:before="0" w:after="0"/>
              <w:rPr>
                <w:sz w:val="16"/>
                <w:szCs w:val="16"/>
                <w:lang w:val="fr-BE"/>
              </w:rPr>
            </w:pPr>
            <w:r>
              <w:rPr>
                <w:noProof/>
                <w:sz w:val="16"/>
                <w:szCs w:val="16"/>
                <w:lang w:val="fr-BE"/>
              </w:rPr>
              <w:t>Liczba zmodernizowanych dworców i centrów przesiadkowych</w:t>
            </w:r>
          </w:p>
        </w:tc>
        <w:tc>
          <w:tcPr>
            <w:tcW w:w="0" w:type="auto"/>
            <w:shd w:val="clear" w:color="auto" w:fill="auto"/>
          </w:tcPr>
          <w:p w14:paraId="28FF45A3" w14:textId="77777777" w:rsidR="008C5CFA" w:rsidRPr="0024468B" w:rsidRDefault="00E82A60" w:rsidP="00300A01">
            <w:pPr>
              <w:spacing w:before="0" w:after="0"/>
              <w:rPr>
                <w:sz w:val="16"/>
                <w:szCs w:val="16"/>
                <w:lang w:val="fr-BE"/>
              </w:rPr>
            </w:pPr>
            <w:r w:rsidRPr="0024468B">
              <w:rPr>
                <w:noProof/>
                <w:sz w:val="16"/>
                <w:szCs w:val="16"/>
                <w:lang w:val="fr-BE"/>
              </w:rPr>
              <w:t>szt.</w:t>
            </w:r>
          </w:p>
        </w:tc>
        <w:tc>
          <w:tcPr>
            <w:tcW w:w="0" w:type="auto"/>
            <w:shd w:val="clear" w:color="auto" w:fill="auto"/>
          </w:tcPr>
          <w:p w14:paraId="641F51AF" w14:textId="77777777" w:rsidR="008C5CFA" w:rsidRPr="0024468B" w:rsidRDefault="00E82A60"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14:paraId="208D8DC1" w14:textId="77777777" w:rsidR="008C5CFA" w:rsidRPr="0024468B" w:rsidRDefault="00E82A60" w:rsidP="00300A01">
            <w:pPr>
              <w:spacing w:before="0" w:after="0"/>
              <w:jc w:val="right"/>
              <w:rPr>
                <w:sz w:val="16"/>
                <w:szCs w:val="16"/>
                <w:lang w:val="fr-BE"/>
              </w:rPr>
            </w:pPr>
            <w:r>
              <w:rPr>
                <w:noProof/>
                <w:sz w:val="16"/>
                <w:szCs w:val="16"/>
                <w:lang w:val="fr-BE"/>
              </w:rPr>
              <w:t>4,00</w:t>
            </w:r>
          </w:p>
        </w:tc>
        <w:tc>
          <w:tcPr>
            <w:tcW w:w="0" w:type="auto"/>
            <w:shd w:val="clear" w:color="auto" w:fill="auto"/>
          </w:tcPr>
          <w:p w14:paraId="7183DD28" w14:textId="77777777" w:rsidR="008C5CFA" w:rsidRPr="0024468B" w:rsidRDefault="008C5CFA" w:rsidP="00300A01">
            <w:pPr>
              <w:spacing w:before="0" w:after="0"/>
              <w:jc w:val="right"/>
              <w:rPr>
                <w:sz w:val="16"/>
                <w:szCs w:val="16"/>
                <w:lang w:val="fr-BE"/>
              </w:rPr>
            </w:pPr>
          </w:p>
        </w:tc>
        <w:tc>
          <w:tcPr>
            <w:tcW w:w="0" w:type="auto"/>
          </w:tcPr>
          <w:p w14:paraId="6AC842A3" w14:textId="77777777" w:rsidR="008C5CFA" w:rsidRPr="0024468B" w:rsidRDefault="008C5CFA" w:rsidP="00300A01">
            <w:pPr>
              <w:spacing w:before="0" w:after="0"/>
              <w:jc w:val="right"/>
              <w:rPr>
                <w:sz w:val="16"/>
                <w:szCs w:val="16"/>
                <w:lang w:val="fr-BE"/>
              </w:rPr>
            </w:pPr>
          </w:p>
        </w:tc>
        <w:tc>
          <w:tcPr>
            <w:tcW w:w="0" w:type="auto"/>
            <w:shd w:val="clear" w:color="auto" w:fill="auto"/>
          </w:tcPr>
          <w:p w14:paraId="1FB151D7" w14:textId="77777777" w:rsidR="008C5CFA" w:rsidRPr="0024468B" w:rsidRDefault="00E82A60" w:rsidP="00300A01">
            <w:pPr>
              <w:spacing w:before="0" w:after="0"/>
              <w:jc w:val="right"/>
              <w:rPr>
                <w:sz w:val="16"/>
                <w:szCs w:val="16"/>
                <w:lang w:val="fr-BE"/>
              </w:rPr>
            </w:pPr>
            <w:r w:rsidRPr="0024468B">
              <w:rPr>
                <w:noProof/>
                <w:sz w:val="16"/>
                <w:szCs w:val="16"/>
                <w:lang w:val="fr-BE"/>
              </w:rPr>
              <w:t>1,00</w:t>
            </w:r>
          </w:p>
        </w:tc>
        <w:tc>
          <w:tcPr>
            <w:tcW w:w="0" w:type="auto"/>
            <w:shd w:val="clear" w:color="auto" w:fill="auto"/>
          </w:tcPr>
          <w:p w14:paraId="709D6ADC"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62197E3E"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070D0856" w14:textId="77777777" w:rsidR="008C5CFA" w:rsidRPr="0024468B" w:rsidRDefault="008C5CFA" w:rsidP="00300A01">
            <w:pPr>
              <w:spacing w:before="0" w:after="0"/>
              <w:rPr>
                <w:sz w:val="16"/>
                <w:szCs w:val="16"/>
                <w:lang w:val="fr-BE"/>
              </w:rPr>
            </w:pPr>
          </w:p>
        </w:tc>
      </w:tr>
    </w:tbl>
    <w:p w14:paraId="6267AD28" w14:textId="77777777" w:rsidR="008C5CFA" w:rsidRDefault="00E82A60" w:rsidP="00300A01">
      <w:pPr>
        <w:spacing w:before="0" w:after="0"/>
        <w:rPr>
          <w:lang w:val="fr-BE"/>
        </w:rPr>
      </w:pPr>
      <w:r>
        <w:rPr>
          <w:noProof/>
          <w:lang w:val="fr-BE"/>
        </w:rPr>
        <w:t>1) S=wartość skumulowana – produkty, które mają być zrealizowane poprzez wybrane operacje [prognoza przedstawiona przez beneficjentów], F=wartość skumulowana – produkty zrealizowane poprzez operacje [rzeczywiste wykonanie]</w:t>
      </w:r>
    </w:p>
    <w:p w14:paraId="3E6AC886"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01"/>
        <w:gridCol w:w="497"/>
        <w:gridCol w:w="5654"/>
        <w:gridCol w:w="932"/>
        <w:gridCol w:w="1087"/>
        <w:gridCol w:w="911"/>
        <w:gridCol w:w="902"/>
        <w:gridCol w:w="1088"/>
        <w:gridCol w:w="911"/>
        <w:gridCol w:w="902"/>
        <w:gridCol w:w="1088"/>
        <w:gridCol w:w="911"/>
      </w:tblGrid>
      <w:tr w:rsidR="006B2EC1" w14:paraId="12E94846" w14:textId="77777777" w:rsidTr="0047688D">
        <w:trPr>
          <w:tblHeader/>
        </w:trPr>
        <w:tc>
          <w:tcPr>
            <w:tcW w:w="0" w:type="auto"/>
          </w:tcPr>
          <w:p w14:paraId="219B9339" w14:textId="77777777" w:rsidR="008C5CFA" w:rsidRPr="009143B4" w:rsidRDefault="00E82A60" w:rsidP="00300A01">
            <w:pPr>
              <w:spacing w:before="0" w:after="0"/>
              <w:rPr>
                <w:b/>
                <w:sz w:val="16"/>
                <w:szCs w:val="16"/>
                <w:lang w:val="fr-BE"/>
              </w:rPr>
            </w:pPr>
            <w:r w:rsidRPr="009143B4">
              <w:rPr>
                <w:b/>
                <w:sz w:val="16"/>
                <w:szCs w:val="16"/>
                <w:lang w:val="fr-BE"/>
              </w:rPr>
              <w:t>(1)</w:t>
            </w:r>
          </w:p>
        </w:tc>
        <w:tc>
          <w:tcPr>
            <w:tcW w:w="0" w:type="auto"/>
            <w:shd w:val="clear" w:color="auto" w:fill="auto"/>
          </w:tcPr>
          <w:p w14:paraId="686BC3AD" w14:textId="77777777" w:rsidR="008C5CFA" w:rsidRPr="009143B4" w:rsidRDefault="00E82A60" w:rsidP="00300A01">
            <w:pPr>
              <w:spacing w:before="0" w:after="0"/>
              <w:rPr>
                <w:b/>
                <w:sz w:val="16"/>
                <w:szCs w:val="16"/>
                <w:lang w:val="fr-BE"/>
              </w:rPr>
            </w:pPr>
            <w:r w:rsidRPr="009143B4">
              <w:rPr>
                <w:b/>
                <w:noProof/>
                <w:sz w:val="16"/>
                <w:szCs w:val="16"/>
                <w:lang w:val="fr-BE"/>
              </w:rPr>
              <w:t>ID</w:t>
            </w:r>
          </w:p>
        </w:tc>
        <w:tc>
          <w:tcPr>
            <w:tcW w:w="0" w:type="auto"/>
            <w:shd w:val="clear" w:color="auto" w:fill="auto"/>
          </w:tcPr>
          <w:p w14:paraId="093EB91D" w14:textId="77777777" w:rsidR="008C5CFA" w:rsidRPr="009143B4" w:rsidRDefault="00E82A60" w:rsidP="00300A01">
            <w:pPr>
              <w:spacing w:before="0" w:after="0"/>
              <w:rPr>
                <w:b/>
                <w:sz w:val="16"/>
                <w:szCs w:val="16"/>
                <w:lang w:val="fr-BE"/>
              </w:rPr>
            </w:pPr>
            <w:r w:rsidRPr="009143B4">
              <w:rPr>
                <w:b/>
                <w:noProof/>
                <w:sz w:val="16"/>
                <w:szCs w:val="16"/>
                <w:lang w:val="fr-BE"/>
              </w:rPr>
              <w:t>Wskaźnik</w:t>
            </w:r>
          </w:p>
        </w:tc>
        <w:tc>
          <w:tcPr>
            <w:tcW w:w="0" w:type="auto"/>
          </w:tcPr>
          <w:p w14:paraId="46504B47" w14:textId="77777777" w:rsidR="008C5CFA" w:rsidRPr="009143B4" w:rsidRDefault="00E82A60" w:rsidP="00300A01">
            <w:pPr>
              <w:spacing w:before="0" w:after="0"/>
              <w:jc w:val="center"/>
              <w:rPr>
                <w:b/>
                <w:sz w:val="16"/>
                <w:szCs w:val="16"/>
                <w:lang w:val="fr-BE"/>
              </w:rPr>
            </w:pPr>
            <w:r>
              <w:rPr>
                <w:b/>
                <w:sz w:val="16"/>
                <w:szCs w:val="16"/>
                <w:lang w:val="fr-BE"/>
              </w:rPr>
              <w:t xml:space="preserve">2018 </w:t>
            </w:r>
            <w:r w:rsidRPr="009143B4">
              <w:rPr>
                <w:b/>
                <w:noProof/>
                <w:sz w:val="16"/>
                <w:szCs w:val="16"/>
                <w:lang w:val="fr-BE"/>
              </w:rPr>
              <w:t>Ogółem</w:t>
            </w:r>
          </w:p>
        </w:tc>
        <w:tc>
          <w:tcPr>
            <w:tcW w:w="0" w:type="auto"/>
          </w:tcPr>
          <w:p w14:paraId="1164B00C" w14:textId="77777777" w:rsidR="008C5CFA" w:rsidRPr="009143B4" w:rsidRDefault="00E82A60" w:rsidP="00300A01">
            <w:pPr>
              <w:spacing w:before="0" w:after="0"/>
              <w:jc w:val="center"/>
              <w:rPr>
                <w:b/>
                <w:sz w:val="16"/>
                <w:szCs w:val="16"/>
                <w:lang w:val="fr-BE"/>
              </w:rPr>
            </w:pPr>
            <w:r>
              <w:rPr>
                <w:b/>
                <w:sz w:val="16"/>
                <w:szCs w:val="16"/>
                <w:lang w:val="fr-BE"/>
              </w:rPr>
              <w:t xml:space="preserve">2018 </w:t>
            </w:r>
            <w:r w:rsidRPr="009143B4">
              <w:rPr>
                <w:b/>
                <w:noProof/>
                <w:sz w:val="16"/>
                <w:szCs w:val="16"/>
                <w:lang w:val="fr-BE"/>
              </w:rPr>
              <w:t>Mężczyźni</w:t>
            </w:r>
          </w:p>
        </w:tc>
        <w:tc>
          <w:tcPr>
            <w:tcW w:w="0" w:type="auto"/>
          </w:tcPr>
          <w:p w14:paraId="5EC27A40" w14:textId="77777777" w:rsidR="008C5CFA" w:rsidRPr="009143B4" w:rsidRDefault="00E82A60" w:rsidP="00300A01">
            <w:pPr>
              <w:spacing w:before="0" w:after="0"/>
              <w:jc w:val="center"/>
              <w:rPr>
                <w:b/>
                <w:sz w:val="16"/>
                <w:szCs w:val="16"/>
                <w:lang w:val="fr-BE"/>
              </w:rPr>
            </w:pPr>
            <w:r>
              <w:rPr>
                <w:b/>
                <w:sz w:val="16"/>
                <w:szCs w:val="16"/>
                <w:lang w:val="fr-BE"/>
              </w:rPr>
              <w:t xml:space="preserve">2018 </w:t>
            </w:r>
            <w:r w:rsidRPr="009143B4">
              <w:rPr>
                <w:b/>
                <w:noProof/>
                <w:sz w:val="16"/>
                <w:szCs w:val="16"/>
                <w:lang w:val="fr-BE"/>
              </w:rPr>
              <w:t>Kobiety</w:t>
            </w:r>
          </w:p>
        </w:tc>
        <w:tc>
          <w:tcPr>
            <w:tcW w:w="0" w:type="auto"/>
          </w:tcPr>
          <w:p w14:paraId="65D8C470" w14:textId="77777777" w:rsidR="008C5CFA" w:rsidRPr="009143B4" w:rsidRDefault="00E82A60"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Ogółem</w:t>
            </w:r>
          </w:p>
        </w:tc>
        <w:tc>
          <w:tcPr>
            <w:tcW w:w="0" w:type="auto"/>
          </w:tcPr>
          <w:p w14:paraId="47F4D8B3" w14:textId="77777777" w:rsidR="008C5CFA" w:rsidRPr="009143B4" w:rsidRDefault="00E82A60"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Mężczyźni</w:t>
            </w:r>
          </w:p>
        </w:tc>
        <w:tc>
          <w:tcPr>
            <w:tcW w:w="0" w:type="auto"/>
          </w:tcPr>
          <w:p w14:paraId="172A26F8" w14:textId="77777777" w:rsidR="008C5CFA" w:rsidRPr="009143B4" w:rsidRDefault="00E82A60"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Kobiety</w:t>
            </w:r>
          </w:p>
        </w:tc>
        <w:tc>
          <w:tcPr>
            <w:tcW w:w="0" w:type="auto"/>
            <w:shd w:val="clear" w:color="auto" w:fill="auto"/>
          </w:tcPr>
          <w:p w14:paraId="4725A6B3" w14:textId="77777777" w:rsidR="008C5CFA" w:rsidRPr="009143B4" w:rsidRDefault="00E82A60"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Ogółem</w:t>
            </w:r>
          </w:p>
        </w:tc>
        <w:tc>
          <w:tcPr>
            <w:tcW w:w="0" w:type="auto"/>
            <w:shd w:val="clear" w:color="auto" w:fill="auto"/>
          </w:tcPr>
          <w:p w14:paraId="0A78FA1F" w14:textId="77777777" w:rsidR="008C5CFA" w:rsidRPr="009143B4" w:rsidRDefault="00E82A60"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Mężczyźni</w:t>
            </w:r>
          </w:p>
        </w:tc>
        <w:tc>
          <w:tcPr>
            <w:tcW w:w="0" w:type="auto"/>
            <w:shd w:val="clear" w:color="auto" w:fill="auto"/>
          </w:tcPr>
          <w:p w14:paraId="5E20299D" w14:textId="77777777" w:rsidR="008C5CFA" w:rsidRPr="009143B4" w:rsidRDefault="00E82A60"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Kobiety</w:t>
            </w:r>
          </w:p>
        </w:tc>
      </w:tr>
      <w:tr w:rsidR="006B2EC1" w14:paraId="7CD8B005" w14:textId="77777777" w:rsidTr="0047688D">
        <w:tc>
          <w:tcPr>
            <w:tcW w:w="0" w:type="auto"/>
          </w:tcPr>
          <w:p w14:paraId="1A866FE9" w14:textId="77777777" w:rsidR="008C5CFA" w:rsidRPr="0024468B" w:rsidRDefault="00E82A60" w:rsidP="00300A01">
            <w:pPr>
              <w:spacing w:before="0" w:after="0"/>
              <w:rPr>
                <w:sz w:val="16"/>
                <w:szCs w:val="16"/>
                <w:lang w:val="fr-BE"/>
              </w:rPr>
            </w:pPr>
            <w:r>
              <w:rPr>
                <w:noProof/>
                <w:sz w:val="16"/>
                <w:szCs w:val="16"/>
                <w:lang w:val="fr-BE"/>
              </w:rPr>
              <w:t>F</w:t>
            </w:r>
          </w:p>
        </w:tc>
        <w:tc>
          <w:tcPr>
            <w:tcW w:w="0" w:type="auto"/>
            <w:shd w:val="clear" w:color="auto" w:fill="auto"/>
          </w:tcPr>
          <w:p w14:paraId="32800640" w14:textId="77777777" w:rsidR="008C5CFA" w:rsidRPr="0024468B" w:rsidRDefault="00E82A60" w:rsidP="00300A01">
            <w:pPr>
              <w:spacing w:before="0" w:after="0"/>
              <w:rPr>
                <w:sz w:val="16"/>
                <w:szCs w:val="16"/>
                <w:lang w:val="fr-BE"/>
              </w:rPr>
            </w:pPr>
            <w:r w:rsidRPr="0024468B">
              <w:rPr>
                <w:noProof/>
                <w:sz w:val="16"/>
                <w:szCs w:val="16"/>
                <w:lang w:val="fr-BE"/>
              </w:rPr>
              <w:t>CO34</w:t>
            </w:r>
          </w:p>
        </w:tc>
        <w:tc>
          <w:tcPr>
            <w:tcW w:w="0" w:type="auto"/>
            <w:shd w:val="clear" w:color="auto" w:fill="auto"/>
          </w:tcPr>
          <w:p w14:paraId="747C9F76" w14:textId="77777777" w:rsidR="008C5CFA" w:rsidRPr="0024468B" w:rsidRDefault="00E82A60" w:rsidP="00300A01">
            <w:pPr>
              <w:spacing w:before="0" w:after="0"/>
              <w:rPr>
                <w:sz w:val="16"/>
                <w:szCs w:val="16"/>
                <w:lang w:val="fr-BE"/>
              </w:rPr>
            </w:pPr>
            <w:r w:rsidRPr="0024468B">
              <w:rPr>
                <w:noProof/>
                <w:sz w:val="16"/>
                <w:szCs w:val="16"/>
                <w:lang w:val="fr-BE"/>
              </w:rPr>
              <w:t>Redukcja emisji gazów cieplarnianych: szacowany roczny spadek emisji gazów cieplarnianych</w:t>
            </w:r>
          </w:p>
        </w:tc>
        <w:tc>
          <w:tcPr>
            <w:tcW w:w="0" w:type="auto"/>
          </w:tcPr>
          <w:p w14:paraId="6BFE6661"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19AA8277"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3D5BC002"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03E1F016"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0DC429ED"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398929D6"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5E16CE2F"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2BF0B9F1"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4D1A165C"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r w:rsidR="006B2EC1" w14:paraId="590067DE" w14:textId="77777777" w:rsidTr="0047688D">
        <w:tc>
          <w:tcPr>
            <w:tcW w:w="0" w:type="auto"/>
          </w:tcPr>
          <w:p w14:paraId="1FE59F89" w14:textId="77777777" w:rsidR="008C5CFA" w:rsidRPr="0024468B" w:rsidRDefault="00E82A60" w:rsidP="00300A01">
            <w:pPr>
              <w:spacing w:before="0" w:after="0"/>
              <w:rPr>
                <w:sz w:val="16"/>
                <w:szCs w:val="16"/>
                <w:lang w:val="fr-BE"/>
              </w:rPr>
            </w:pPr>
            <w:r>
              <w:rPr>
                <w:noProof/>
                <w:sz w:val="16"/>
                <w:szCs w:val="16"/>
                <w:lang w:val="fr-BE"/>
              </w:rPr>
              <w:t>S</w:t>
            </w:r>
          </w:p>
        </w:tc>
        <w:tc>
          <w:tcPr>
            <w:tcW w:w="0" w:type="auto"/>
            <w:shd w:val="clear" w:color="auto" w:fill="auto"/>
          </w:tcPr>
          <w:p w14:paraId="47261E04" w14:textId="77777777" w:rsidR="008C5CFA" w:rsidRPr="0024468B" w:rsidRDefault="00E82A60" w:rsidP="00300A01">
            <w:pPr>
              <w:spacing w:before="0" w:after="0"/>
              <w:rPr>
                <w:sz w:val="16"/>
                <w:szCs w:val="16"/>
                <w:lang w:val="fr-BE"/>
              </w:rPr>
            </w:pPr>
            <w:r w:rsidRPr="0024468B">
              <w:rPr>
                <w:noProof/>
                <w:sz w:val="16"/>
                <w:szCs w:val="16"/>
                <w:lang w:val="fr-BE"/>
              </w:rPr>
              <w:t>CO34</w:t>
            </w:r>
          </w:p>
        </w:tc>
        <w:tc>
          <w:tcPr>
            <w:tcW w:w="0" w:type="auto"/>
            <w:shd w:val="clear" w:color="auto" w:fill="auto"/>
          </w:tcPr>
          <w:p w14:paraId="1C5A51BA" w14:textId="77777777" w:rsidR="008C5CFA" w:rsidRPr="0024468B" w:rsidRDefault="00E82A60" w:rsidP="00300A01">
            <w:pPr>
              <w:spacing w:before="0" w:after="0"/>
              <w:rPr>
                <w:sz w:val="16"/>
                <w:szCs w:val="16"/>
                <w:lang w:val="fr-BE"/>
              </w:rPr>
            </w:pPr>
            <w:r w:rsidRPr="0024468B">
              <w:rPr>
                <w:noProof/>
                <w:sz w:val="16"/>
                <w:szCs w:val="16"/>
                <w:lang w:val="fr-BE"/>
              </w:rPr>
              <w:t>Redukcja emisji gazów cieplarnianych: szacowany roczny spadek emisji gazów cieplarnianych</w:t>
            </w:r>
          </w:p>
        </w:tc>
        <w:tc>
          <w:tcPr>
            <w:tcW w:w="0" w:type="auto"/>
          </w:tcPr>
          <w:p w14:paraId="4FFE10FB" w14:textId="77777777" w:rsidR="008C5CFA" w:rsidRPr="0024468B" w:rsidRDefault="00E82A60" w:rsidP="00300A01">
            <w:pPr>
              <w:spacing w:before="0" w:after="0"/>
              <w:jc w:val="right"/>
              <w:rPr>
                <w:sz w:val="16"/>
                <w:szCs w:val="16"/>
                <w:lang w:val="fr-BE"/>
              </w:rPr>
            </w:pPr>
            <w:r w:rsidRPr="0024468B">
              <w:rPr>
                <w:noProof/>
                <w:sz w:val="16"/>
                <w:szCs w:val="16"/>
                <w:lang w:val="fr-BE"/>
              </w:rPr>
              <w:t>7 245,15</w:t>
            </w:r>
          </w:p>
        </w:tc>
        <w:tc>
          <w:tcPr>
            <w:tcW w:w="0" w:type="auto"/>
          </w:tcPr>
          <w:p w14:paraId="60DE40CD"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4968ED96"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596F69A9"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22354DE4"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71F9E0F8"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1A386C54"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01A08B17"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0704AA28"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r w:rsidR="006B2EC1" w14:paraId="53C43FDF" w14:textId="77777777" w:rsidTr="0047688D">
        <w:tc>
          <w:tcPr>
            <w:tcW w:w="0" w:type="auto"/>
          </w:tcPr>
          <w:p w14:paraId="7F9DA2D9" w14:textId="77777777" w:rsidR="008C5CFA" w:rsidRPr="0024468B" w:rsidRDefault="00E82A60" w:rsidP="00300A01">
            <w:pPr>
              <w:spacing w:before="0" w:after="0"/>
              <w:rPr>
                <w:sz w:val="16"/>
                <w:szCs w:val="16"/>
                <w:lang w:val="fr-BE"/>
              </w:rPr>
            </w:pPr>
            <w:r>
              <w:rPr>
                <w:noProof/>
                <w:sz w:val="16"/>
                <w:szCs w:val="16"/>
                <w:lang w:val="fr-BE"/>
              </w:rPr>
              <w:t>F</w:t>
            </w:r>
          </w:p>
        </w:tc>
        <w:tc>
          <w:tcPr>
            <w:tcW w:w="0" w:type="auto"/>
            <w:shd w:val="clear" w:color="auto" w:fill="auto"/>
          </w:tcPr>
          <w:p w14:paraId="5D7D5644" w14:textId="77777777" w:rsidR="008C5CFA" w:rsidRPr="0024468B" w:rsidRDefault="00E82A60" w:rsidP="00300A01">
            <w:pPr>
              <w:spacing w:before="0" w:after="0"/>
              <w:rPr>
                <w:sz w:val="16"/>
                <w:szCs w:val="16"/>
                <w:lang w:val="fr-BE"/>
              </w:rPr>
            </w:pPr>
            <w:r>
              <w:rPr>
                <w:noProof/>
                <w:sz w:val="16"/>
                <w:szCs w:val="16"/>
                <w:lang w:val="fr-BE"/>
              </w:rPr>
              <w:t>140</w:t>
            </w:r>
          </w:p>
        </w:tc>
        <w:tc>
          <w:tcPr>
            <w:tcW w:w="0" w:type="auto"/>
            <w:shd w:val="clear" w:color="auto" w:fill="auto"/>
          </w:tcPr>
          <w:p w14:paraId="2C635D39" w14:textId="77777777" w:rsidR="008C5CFA" w:rsidRPr="0024468B" w:rsidRDefault="00E82A60" w:rsidP="00300A01">
            <w:pPr>
              <w:spacing w:before="0" w:after="0"/>
              <w:rPr>
                <w:sz w:val="16"/>
                <w:szCs w:val="16"/>
                <w:lang w:val="fr-BE"/>
              </w:rPr>
            </w:pPr>
            <w:r>
              <w:rPr>
                <w:noProof/>
                <w:sz w:val="16"/>
                <w:szCs w:val="16"/>
                <w:lang w:val="fr-BE"/>
              </w:rPr>
              <w:t>Liczba zmodernizowanych źródeł ciepła</w:t>
            </w:r>
          </w:p>
        </w:tc>
        <w:tc>
          <w:tcPr>
            <w:tcW w:w="0" w:type="auto"/>
          </w:tcPr>
          <w:p w14:paraId="7AFC2A79"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36F64AD6"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21A1B65B"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53DD86E4"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748CBDC1"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565888A7"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1D7F4C1B"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37976EB1"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477E4FB2"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r w:rsidR="006B2EC1" w14:paraId="74015B8D" w14:textId="77777777" w:rsidTr="0047688D">
        <w:tc>
          <w:tcPr>
            <w:tcW w:w="0" w:type="auto"/>
          </w:tcPr>
          <w:p w14:paraId="2AD3308B" w14:textId="77777777" w:rsidR="008C5CFA" w:rsidRPr="0024468B" w:rsidRDefault="00E82A60" w:rsidP="00300A01">
            <w:pPr>
              <w:spacing w:before="0" w:after="0"/>
              <w:rPr>
                <w:sz w:val="16"/>
                <w:szCs w:val="16"/>
                <w:lang w:val="fr-BE"/>
              </w:rPr>
            </w:pPr>
            <w:r>
              <w:rPr>
                <w:noProof/>
                <w:sz w:val="16"/>
                <w:szCs w:val="16"/>
                <w:lang w:val="fr-BE"/>
              </w:rPr>
              <w:t>S</w:t>
            </w:r>
          </w:p>
        </w:tc>
        <w:tc>
          <w:tcPr>
            <w:tcW w:w="0" w:type="auto"/>
            <w:shd w:val="clear" w:color="auto" w:fill="auto"/>
          </w:tcPr>
          <w:p w14:paraId="02FA18DF" w14:textId="77777777" w:rsidR="008C5CFA" w:rsidRPr="0024468B" w:rsidRDefault="00E82A60" w:rsidP="00300A01">
            <w:pPr>
              <w:spacing w:before="0" w:after="0"/>
              <w:rPr>
                <w:sz w:val="16"/>
                <w:szCs w:val="16"/>
                <w:lang w:val="fr-BE"/>
              </w:rPr>
            </w:pPr>
            <w:r>
              <w:rPr>
                <w:noProof/>
                <w:sz w:val="16"/>
                <w:szCs w:val="16"/>
                <w:lang w:val="fr-BE"/>
              </w:rPr>
              <w:t>140</w:t>
            </w:r>
          </w:p>
        </w:tc>
        <w:tc>
          <w:tcPr>
            <w:tcW w:w="0" w:type="auto"/>
            <w:shd w:val="clear" w:color="auto" w:fill="auto"/>
          </w:tcPr>
          <w:p w14:paraId="4F98C45B" w14:textId="77777777" w:rsidR="008C5CFA" w:rsidRPr="0024468B" w:rsidRDefault="00E82A60" w:rsidP="00300A01">
            <w:pPr>
              <w:spacing w:before="0" w:after="0"/>
              <w:rPr>
                <w:sz w:val="16"/>
                <w:szCs w:val="16"/>
                <w:lang w:val="fr-BE"/>
              </w:rPr>
            </w:pPr>
            <w:r>
              <w:rPr>
                <w:noProof/>
                <w:sz w:val="16"/>
                <w:szCs w:val="16"/>
                <w:lang w:val="fr-BE"/>
              </w:rPr>
              <w:t>Liczba zmodernizowanych źródeł ciepła</w:t>
            </w:r>
          </w:p>
        </w:tc>
        <w:tc>
          <w:tcPr>
            <w:tcW w:w="0" w:type="auto"/>
          </w:tcPr>
          <w:p w14:paraId="32B1AA62"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64E23B7B"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5610BB45"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5AED1AE2"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552D419E"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443B2B5B"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2CFB1D8C"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38A95562"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533D5C0E"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r w:rsidR="006B2EC1" w14:paraId="1C492ACE" w14:textId="77777777" w:rsidTr="0047688D">
        <w:tc>
          <w:tcPr>
            <w:tcW w:w="0" w:type="auto"/>
          </w:tcPr>
          <w:p w14:paraId="73222196" w14:textId="77777777" w:rsidR="008C5CFA" w:rsidRPr="0024468B" w:rsidRDefault="00E82A60" w:rsidP="00300A01">
            <w:pPr>
              <w:spacing w:before="0" w:after="0"/>
              <w:rPr>
                <w:sz w:val="16"/>
                <w:szCs w:val="16"/>
                <w:lang w:val="fr-BE"/>
              </w:rPr>
            </w:pPr>
            <w:r>
              <w:rPr>
                <w:noProof/>
                <w:sz w:val="16"/>
                <w:szCs w:val="16"/>
                <w:lang w:val="fr-BE"/>
              </w:rPr>
              <w:t>F</w:t>
            </w:r>
          </w:p>
        </w:tc>
        <w:tc>
          <w:tcPr>
            <w:tcW w:w="0" w:type="auto"/>
            <w:shd w:val="clear" w:color="auto" w:fill="auto"/>
          </w:tcPr>
          <w:p w14:paraId="7F6F70F3" w14:textId="77777777" w:rsidR="008C5CFA" w:rsidRPr="0024468B" w:rsidRDefault="00E82A60" w:rsidP="00300A01">
            <w:pPr>
              <w:spacing w:before="0" w:after="0"/>
              <w:rPr>
                <w:sz w:val="16"/>
                <w:szCs w:val="16"/>
                <w:lang w:val="fr-BE"/>
              </w:rPr>
            </w:pPr>
            <w:r>
              <w:rPr>
                <w:noProof/>
                <w:sz w:val="16"/>
                <w:szCs w:val="16"/>
                <w:lang w:val="fr-BE"/>
              </w:rPr>
              <w:t>37</w:t>
            </w:r>
          </w:p>
        </w:tc>
        <w:tc>
          <w:tcPr>
            <w:tcW w:w="0" w:type="auto"/>
            <w:shd w:val="clear" w:color="auto" w:fill="auto"/>
          </w:tcPr>
          <w:p w14:paraId="714D050C" w14:textId="77777777" w:rsidR="008C5CFA" w:rsidRPr="0024468B" w:rsidRDefault="00E82A60" w:rsidP="00300A01">
            <w:pPr>
              <w:spacing w:before="0" w:after="0"/>
              <w:rPr>
                <w:sz w:val="16"/>
                <w:szCs w:val="16"/>
                <w:lang w:val="fr-BE"/>
              </w:rPr>
            </w:pPr>
            <w:r>
              <w:rPr>
                <w:noProof/>
                <w:sz w:val="16"/>
                <w:szCs w:val="16"/>
                <w:lang w:val="fr-BE"/>
              </w:rPr>
              <w:t>Liczba zmodernizowanych źródeł oświetlenia ulicznego</w:t>
            </w:r>
          </w:p>
        </w:tc>
        <w:tc>
          <w:tcPr>
            <w:tcW w:w="0" w:type="auto"/>
          </w:tcPr>
          <w:p w14:paraId="32C7976B"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2E08B9AA"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1FC787C6"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44B088AD"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43783535"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759DFC5B"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48E7218C"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65FEE6AD"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7EE46D7C"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r w:rsidR="006B2EC1" w14:paraId="4EEC6254" w14:textId="77777777" w:rsidTr="0047688D">
        <w:tc>
          <w:tcPr>
            <w:tcW w:w="0" w:type="auto"/>
          </w:tcPr>
          <w:p w14:paraId="3DFBE4F2" w14:textId="77777777" w:rsidR="008C5CFA" w:rsidRPr="0024468B" w:rsidRDefault="00E82A60" w:rsidP="00300A01">
            <w:pPr>
              <w:spacing w:before="0" w:after="0"/>
              <w:rPr>
                <w:sz w:val="16"/>
                <w:szCs w:val="16"/>
                <w:lang w:val="fr-BE"/>
              </w:rPr>
            </w:pPr>
            <w:r>
              <w:rPr>
                <w:noProof/>
                <w:sz w:val="16"/>
                <w:szCs w:val="16"/>
                <w:lang w:val="fr-BE"/>
              </w:rPr>
              <w:t>S</w:t>
            </w:r>
          </w:p>
        </w:tc>
        <w:tc>
          <w:tcPr>
            <w:tcW w:w="0" w:type="auto"/>
            <w:shd w:val="clear" w:color="auto" w:fill="auto"/>
          </w:tcPr>
          <w:p w14:paraId="038AF607" w14:textId="77777777" w:rsidR="008C5CFA" w:rsidRPr="0024468B" w:rsidRDefault="00E82A60" w:rsidP="00300A01">
            <w:pPr>
              <w:spacing w:before="0" w:after="0"/>
              <w:rPr>
                <w:sz w:val="16"/>
                <w:szCs w:val="16"/>
                <w:lang w:val="fr-BE"/>
              </w:rPr>
            </w:pPr>
            <w:r>
              <w:rPr>
                <w:noProof/>
                <w:sz w:val="16"/>
                <w:szCs w:val="16"/>
                <w:lang w:val="fr-BE"/>
              </w:rPr>
              <w:t>37</w:t>
            </w:r>
          </w:p>
        </w:tc>
        <w:tc>
          <w:tcPr>
            <w:tcW w:w="0" w:type="auto"/>
            <w:shd w:val="clear" w:color="auto" w:fill="auto"/>
          </w:tcPr>
          <w:p w14:paraId="050D236B" w14:textId="77777777" w:rsidR="008C5CFA" w:rsidRPr="0024468B" w:rsidRDefault="00E82A60" w:rsidP="00300A01">
            <w:pPr>
              <w:spacing w:before="0" w:after="0"/>
              <w:rPr>
                <w:sz w:val="16"/>
                <w:szCs w:val="16"/>
                <w:lang w:val="fr-BE"/>
              </w:rPr>
            </w:pPr>
            <w:r>
              <w:rPr>
                <w:noProof/>
                <w:sz w:val="16"/>
                <w:szCs w:val="16"/>
                <w:lang w:val="fr-BE"/>
              </w:rPr>
              <w:t>Liczba zmodernizowanych źródeł oświetlenia ulicznego</w:t>
            </w:r>
          </w:p>
        </w:tc>
        <w:tc>
          <w:tcPr>
            <w:tcW w:w="0" w:type="auto"/>
          </w:tcPr>
          <w:p w14:paraId="64146E2D" w14:textId="77777777" w:rsidR="008C5CFA" w:rsidRPr="0024468B" w:rsidRDefault="00E82A60" w:rsidP="00300A01">
            <w:pPr>
              <w:spacing w:before="0" w:after="0"/>
              <w:jc w:val="right"/>
              <w:rPr>
                <w:sz w:val="16"/>
                <w:szCs w:val="16"/>
                <w:lang w:val="fr-BE"/>
              </w:rPr>
            </w:pPr>
            <w:r w:rsidRPr="0024468B">
              <w:rPr>
                <w:noProof/>
                <w:sz w:val="16"/>
                <w:szCs w:val="16"/>
                <w:lang w:val="fr-BE"/>
              </w:rPr>
              <w:t>26 400,00</w:t>
            </w:r>
          </w:p>
        </w:tc>
        <w:tc>
          <w:tcPr>
            <w:tcW w:w="0" w:type="auto"/>
          </w:tcPr>
          <w:p w14:paraId="7ED397ED"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1678484D"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1F7A665A"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35B53CE6"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04EE11DC"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3C2FD148"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117C7F04"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70217758"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r w:rsidR="006B2EC1" w14:paraId="42AC4F7A" w14:textId="77777777" w:rsidTr="0047688D">
        <w:tc>
          <w:tcPr>
            <w:tcW w:w="0" w:type="auto"/>
          </w:tcPr>
          <w:p w14:paraId="5D8517FD" w14:textId="77777777" w:rsidR="008C5CFA" w:rsidRPr="0024468B" w:rsidRDefault="00E82A60" w:rsidP="00300A01">
            <w:pPr>
              <w:spacing w:before="0" w:after="0"/>
              <w:rPr>
                <w:sz w:val="16"/>
                <w:szCs w:val="16"/>
                <w:lang w:val="fr-BE"/>
              </w:rPr>
            </w:pPr>
            <w:r>
              <w:rPr>
                <w:noProof/>
                <w:sz w:val="16"/>
                <w:szCs w:val="16"/>
                <w:lang w:val="fr-BE"/>
              </w:rPr>
              <w:t>F</w:t>
            </w:r>
          </w:p>
        </w:tc>
        <w:tc>
          <w:tcPr>
            <w:tcW w:w="0" w:type="auto"/>
            <w:shd w:val="clear" w:color="auto" w:fill="auto"/>
          </w:tcPr>
          <w:p w14:paraId="55F63F31" w14:textId="77777777" w:rsidR="008C5CFA" w:rsidRPr="0024468B" w:rsidRDefault="00E82A60" w:rsidP="00300A01">
            <w:pPr>
              <w:spacing w:before="0" w:after="0"/>
              <w:rPr>
                <w:sz w:val="16"/>
                <w:szCs w:val="16"/>
                <w:lang w:val="fr-BE"/>
              </w:rPr>
            </w:pPr>
            <w:r>
              <w:rPr>
                <w:noProof/>
                <w:sz w:val="16"/>
                <w:szCs w:val="16"/>
                <w:lang w:val="fr-BE"/>
              </w:rPr>
              <w:t>38</w:t>
            </w:r>
          </w:p>
        </w:tc>
        <w:tc>
          <w:tcPr>
            <w:tcW w:w="0" w:type="auto"/>
            <w:shd w:val="clear" w:color="auto" w:fill="auto"/>
          </w:tcPr>
          <w:p w14:paraId="62E3256C" w14:textId="77777777" w:rsidR="008C5CFA" w:rsidRPr="0024468B" w:rsidRDefault="00E82A60" w:rsidP="00300A01">
            <w:pPr>
              <w:spacing w:before="0" w:after="0"/>
              <w:rPr>
                <w:sz w:val="16"/>
                <w:szCs w:val="16"/>
                <w:lang w:val="fr-BE"/>
              </w:rPr>
            </w:pPr>
            <w:r>
              <w:rPr>
                <w:noProof/>
                <w:sz w:val="16"/>
                <w:szCs w:val="16"/>
                <w:lang w:val="fr-BE"/>
              </w:rPr>
              <w:t>Liczba zakupionych lub zmodernizowanych jednostek taboru pasażerskiego w publicznym transporcie zbiorowym</w:t>
            </w:r>
          </w:p>
        </w:tc>
        <w:tc>
          <w:tcPr>
            <w:tcW w:w="0" w:type="auto"/>
          </w:tcPr>
          <w:p w14:paraId="3F1F8C48"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38557D26"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42AEF039"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4C42973E"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31B10BE0"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70216EDB"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4DA6C9A2"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12923248"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0D9FB340"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r w:rsidR="006B2EC1" w14:paraId="2618B914" w14:textId="77777777" w:rsidTr="0047688D">
        <w:tc>
          <w:tcPr>
            <w:tcW w:w="0" w:type="auto"/>
          </w:tcPr>
          <w:p w14:paraId="6771E21F" w14:textId="77777777" w:rsidR="008C5CFA" w:rsidRPr="0024468B" w:rsidRDefault="00E82A60" w:rsidP="00300A01">
            <w:pPr>
              <w:spacing w:before="0" w:after="0"/>
              <w:rPr>
                <w:sz w:val="16"/>
                <w:szCs w:val="16"/>
                <w:lang w:val="fr-BE"/>
              </w:rPr>
            </w:pPr>
            <w:r>
              <w:rPr>
                <w:noProof/>
                <w:sz w:val="16"/>
                <w:szCs w:val="16"/>
                <w:lang w:val="fr-BE"/>
              </w:rPr>
              <w:t>S</w:t>
            </w:r>
          </w:p>
        </w:tc>
        <w:tc>
          <w:tcPr>
            <w:tcW w:w="0" w:type="auto"/>
            <w:shd w:val="clear" w:color="auto" w:fill="auto"/>
          </w:tcPr>
          <w:p w14:paraId="16FCA132" w14:textId="77777777" w:rsidR="008C5CFA" w:rsidRPr="0024468B" w:rsidRDefault="00E82A60" w:rsidP="00300A01">
            <w:pPr>
              <w:spacing w:before="0" w:after="0"/>
              <w:rPr>
                <w:sz w:val="16"/>
                <w:szCs w:val="16"/>
                <w:lang w:val="fr-BE"/>
              </w:rPr>
            </w:pPr>
            <w:r>
              <w:rPr>
                <w:noProof/>
                <w:sz w:val="16"/>
                <w:szCs w:val="16"/>
                <w:lang w:val="fr-BE"/>
              </w:rPr>
              <w:t>38</w:t>
            </w:r>
          </w:p>
        </w:tc>
        <w:tc>
          <w:tcPr>
            <w:tcW w:w="0" w:type="auto"/>
            <w:shd w:val="clear" w:color="auto" w:fill="auto"/>
          </w:tcPr>
          <w:p w14:paraId="74C0BE26" w14:textId="77777777" w:rsidR="008C5CFA" w:rsidRPr="0024468B" w:rsidRDefault="00E82A60" w:rsidP="00300A01">
            <w:pPr>
              <w:spacing w:before="0" w:after="0"/>
              <w:rPr>
                <w:sz w:val="16"/>
                <w:szCs w:val="16"/>
                <w:lang w:val="fr-BE"/>
              </w:rPr>
            </w:pPr>
            <w:r>
              <w:rPr>
                <w:noProof/>
                <w:sz w:val="16"/>
                <w:szCs w:val="16"/>
                <w:lang w:val="fr-BE"/>
              </w:rPr>
              <w:t>Liczba zakupionych lub zmodernizowanych jednostek taboru pasażerskiego w publicznym transporcie zbiorowym</w:t>
            </w:r>
          </w:p>
        </w:tc>
        <w:tc>
          <w:tcPr>
            <w:tcW w:w="0" w:type="auto"/>
          </w:tcPr>
          <w:p w14:paraId="214BA07B"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6D585F14"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72447EA5"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48BB6DDC"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59727CBE"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18286D7A"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61FC9CBD"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3315DA13"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685BD574"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r w:rsidR="006B2EC1" w14:paraId="666DCE30" w14:textId="77777777" w:rsidTr="0047688D">
        <w:tc>
          <w:tcPr>
            <w:tcW w:w="0" w:type="auto"/>
          </w:tcPr>
          <w:p w14:paraId="1D810A5C" w14:textId="77777777" w:rsidR="008C5CFA" w:rsidRPr="0024468B" w:rsidRDefault="00E82A60" w:rsidP="00300A01">
            <w:pPr>
              <w:spacing w:before="0" w:after="0"/>
              <w:rPr>
                <w:sz w:val="16"/>
                <w:szCs w:val="16"/>
                <w:lang w:val="fr-BE"/>
              </w:rPr>
            </w:pPr>
            <w:r>
              <w:rPr>
                <w:noProof/>
                <w:sz w:val="16"/>
                <w:szCs w:val="16"/>
                <w:lang w:val="fr-BE"/>
              </w:rPr>
              <w:t>F</w:t>
            </w:r>
          </w:p>
        </w:tc>
        <w:tc>
          <w:tcPr>
            <w:tcW w:w="0" w:type="auto"/>
            <w:shd w:val="clear" w:color="auto" w:fill="auto"/>
          </w:tcPr>
          <w:p w14:paraId="7A7739F2" w14:textId="77777777" w:rsidR="008C5CFA" w:rsidRPr="0024468B" w:rsidRDefault="00E82A60" w:rsidP="00300A01">
            <w:pPr>
              <w:spacing w:before="0" w:after="0"/>
              <w:rPr>
                <w:sz w:val="16"/>
                <w:szCs w:val="16"/>
                <w:lang w:val="fr-BE"/>
              </w:rPr>
            </w:pPr>
            <w:r>
              <w:rPr>
                <w:noProof/>
                <w:sz w:val="16"/>
                <w:szCs w:val="16"/>
                <w:lang w:val="fr-BE"/>
              </w:rPr>
              <w:t>39</w:t>
            </w:r>
          </w:p>
        </w:tc>
        <w:tc>
          <w:tcPr>
            <w:tcW w:w="0" w:type="auto"/>
            <w:shd w:val="clear" w:color="auto" w:fill="auto"/>
          </w:tcPr>
          <w:p w14:paraId="4AF6E08A" w14:textId="77777777" w:rsidR="008C5CFA" w:rsidRPr="0024468B" w:rsidRDefault="00E82A60" w:rsidP="00300A01">
            <w:pPr>
              <w:spacing w:before="0" w:after="0"/>
              <w:rPr>
                <w:sz w:val="16"/>
                <w:szCs w:val="16"/>
                <w:lang w:val="fr-BE"/>
              </w:rPr>
            </w:pPr>
            <w:r>
              <w:rPr>
                <w:noProof/>
                <w:sz w:val="16"/>
                <w:szCs w:val="16"/>
                <w:lang w:val="fr-BE"/>
              </w:rPr>
              <w:t>Długość ścieżek rowerowych</w:t>
            </w:r>
          </w:p>
        </w:tc>
        <w:tc>
          <w:tcPr>
            <w:tcW w:w="0" w:type="auto"/>
          </w:tcPr>
          <w:p w14:paraId="7C10F010"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30D67F2A"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2FD930B8"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3A2EE11B"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337E8F9E"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19586CD4"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7053BEFB"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57D28557"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425232A5"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r w:rsidR="006B2EC1" w14:paraId="726B4711" w14:textId="77777777" w:rsidTr="0047688D">
        <w:tc>
          <w:tcPr>
            <w:tcW w:w="0" w:type="auto"/>
          </w:tcPr>
          <w:p w14:paraId="1D8BF702" w14:textId="77777777" w:rsidR="008C5CFA" w:rsidRPr="0024468B" w:rsidRDefault="00E82A60" w:rsidP="00300A01">
            <w:pPr>
              <w:spacing w:before="0" w:after="0"/>
              <w:rPr>
                <w:sz w:val="16"/>
                <w:szCs w:val="16"/>
                <w:lang w:val="fr-BE"/>
              </w:rPr>
            </w:pPr>
            <w:r>
              <w:rPr>
                <w:noProof/>
                <w:sz w:val="16"/>
                <w:szCs w:val="16"/>
                <w:lang w:val="fr-BE"/>
              </w:rPr>
              <w:t>S</w:t>
            </w:r>
          </w:p>
        </w:tc>
        <w:tc>
          <w:tcPr>
            <w:tcW w:w="0" w:type="auto"/>
            <w:shd w:val="clear" w:color="auto" w:fill="auto"/>
          </w:tcPr>
          <w:p w14:paraId="1D8FCCF6" w14:textId="77777777" w:rsidR="008C5CFA" w:rsidRPr="0024468B" w:rsidRDefault="00E82A60" w:rsidP="00300A01">
            <w:pPr>
              <w:spacing w:before="0" w:after="0"/>
              <w:rPr>
                <w:sz w:val="16"/>
                <w:szCs w:val="16"/>
                <w:lang w:val="fr-BE"/>
              </w:rPr>
            </w:pPr>
            <w:r>
              <w:rPr>
                <w:noProof/>
                <w:sz w:val="16"/>
                <w:szCs w:val="16"/>
                <w:lang w:val="fr-BE"/>
              </w:rPr>
              <w:t>39</w:t>
            </w:r>
          </w:p>
        </w:tc>
        <w:tc>
          <w:tcPr>
            <w:tcW w:w="0" w:type="auto"/>
            <w:shd w:val="clear" w:color="auto" w:fill="auto"/>
          </w:tcPr>
          <w:p w14:paraId="30B6CCEA" w14:textId="77777777" w:rsidR="008C5CFA" w:rsidRPr="0024468B" w:rsidRDefault="00E82A60" w:rsidP="00300A01">
            <w:pPr>
              <w:spacing w:before="0" w:after="0"/>
              <w:rPr>
                <w:sz w:val="16"/>
                <w:szCs w:val="16"/>
                <w:lang w:val="fr-BE"/>
              </w:rPr>
            </w:pPr>
            <w:r>
              <w:rPr>
                <w:noProof/>
                <w:sz w:val="16"/>
                <w:szCs w:val="16"/>
                <w:lang w:val="fr-BE"/>
              </w:rPr>
              <w:t>Długość ścieżek rowerowych</w:t>
            </w:r>
          </w:p>
        </w:tc>
        <w:tc>
          <w:tcPr>
            <w:tcW w:w="0" w:type="auto"/>
          </w:tcPr>
          <w:p w14:paraId="6FDFF4C9"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7DBEC3AB"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1A6572AE"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40ED44EB"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6979BEB0"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7E956589"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446545C9"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7C330429"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4C33986C"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r w:rsidR="006B2EC1" w14:paraId="74B48473" w14:textId="77777777" w:rsidTr="0047688D">
        <w:tc>
          <w:tcPr>
            <w:tcW w:w="0" w:type="auto"/>
          </w:tcPr>
          <w:p w14:paraId="18923D3B" w14:textId="77777777" w:rsidR="008C5CFA" w:rsidRPr="0024468B" w:rsidRDefault="00E82A60" w:rsidP="00300A01">
            <w:pPr>
              <w:spacing w:before="0" w:after="0"/>
              <w:rPr>
                <w:sz w:val="16"/>
                <w:szCs w:val="16"/>
                <w:lang w:val="fr-BE"/>
              </w:rPr>
            </w:pPr>
            <w:r>
              <w:rPr>
                <w:noProof/>
                <w:sz w:val="16"/>
                <w:szCs w:val="16"/>
                <w:lang w:val="fr-BE"/>
              </w:rPr>
              <w:t>F</w:t>
            </w:r>
          </w:p>
        </w:tc>
        <w:tc>
          <w:tcPr>
            <w:tcW w:w="0" w:type="auto"/>
            <w:shd w:val="clear" w:color="auto" w:fill="auto"/>
          </w:tcPr>
          <w:p w14:paraId="3D43C332" w14:textId="77777777" w:rsidR="008C5CFA" w:rsidRPr="0024468B" w:rsidRDefault="00E82A60" w:rsidP="00300A01">
            <w:pPr>
              <w:spacing w:before="0" w:after="0"/>
              <w:rPr>
                <w:sz w:val="16"/>
                <w:szCs w:val="16"/>
                <w:lang w:val="fr-BE"/>
              </w:rPr>
            </w:pPr>
            <w:r>
              <w:rPr>
                <w:noProof/>
                <w:sz w:val="16"/>
                <w:szCs w:val="16"/>
                <w:lang w:val="fr-BE"/>
              </w:rPr>
              <w:t>40</w:t>
            </w:r>
          </w:p>
        </w:tc>
        <w:tc>
          <w:tcPr>
            <w:tcW w:w="0" w:type="auto"/>
            <w:shd w:val="clear" w:color="auto" w:fill="auto"/>
          </w:tcPr>
          <w:p w14:paraId="6BA428EE" w14:textId="77777777" w:rsidR="008C5CFA" w:rsidRPr="0024468B" w:rsidRDefault="00E82A60" w:rsidP="00300A01">
            <w:pPr>
              <w:spacing w:before="0" w:after="0"/>
              <w:rPr>
                <w:sz w:val="16"/>
                <w:szCs w:val="16"/>
                <w:lang w:val="fr-BE"/>
              </w:rPr>
            </w:pPr>
            <w:r>
              <w:rPr>
                <w:noProof/>
                <w:sz w:val="16"/>
                <w:szCs w:val="16"/>
                <w:lang w:val="fr-BE"/>
              </w:rPr>
              <w:t>Długość sieci ciepłowniczej</w:t>
            </w:r>
          </w:p>
        </w:tc>
        <w:tc>
          <w:tcPr>
            <w:tcW w:w="0" w:type="auto"/>
          </w:tcPr>
          <w:p w14:paraId="13C33583"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42E8B097"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73CB6E10"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5E4A5A84"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657F59C9"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61A45A12"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79204D83"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674A86C9"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3121B1F3"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r w:rsidR="006B2EC1" w14:paraId="184B230B" w14:textId="77777777" w:rsidTr="0047688D">
        <w:tc>
          <w:tcPr>
            <w:tcW w:w="0" w:type="auto"/>
          </w:tcPr>
          <w:p w14:paraId="4C4A336D" w14:textId="77777777" w:rsidR="008C5CFA" w:rsidRPr="0024468B" w:rsidRDefault="00E82A60" w:rsidP="00300A01">
            <w:pPr>
              <w:spacing w:before="0" w:after="0"/>
              <w:rPr>
                <w:sz w:val="16"/>
                <w:szCs w:val="16"/>
                <w:lang w:val="fr-BE"/>
              </w:rPr>
            </w:pPr>
            <w:r>
              <w:rPr>
                <w:noProof/>
                <w:sz w:val="16"/>
                <w:szCs w:val="16"/>
                <w:lang w:val="fr-BE"/>
              </w:rPr>
              <w:t>S</w:t>
            </w:r>
          </w:p>
        </w:tc>
        <w:tc>
          <w:tcPr>
            <w:tcW w:w="0" w:type="auto"/>
            <w:shd w:val="clear" w:color="auto" w:fill="auto"/>
          </w:tcPr>
          <w:p w14:paraId="55A3BBFB" w14:textId="77777777" w:rsidR="008C5CFA" w:rsidRPr="0024468B" w:rsidRDefault="00E82A60" w:rsidP="00300A01">
            <w:pPr>
              <w:spacing w:before="0" w:after="0"/>
              <w:rPr>
                <w:sz w:val="16"/>
                <w:szCs w:val="16"/>
                <w:lang w:val="fr-BE"/>
              </w:rPr>
            </w:pPr>
            <w:r>
              <w:rPr>
                <w:noProof/>
                <w:sz w:val="16"/>
                <w:szCs w:val="16"/>
                <w:lang w:val="fr-BE"/>
              </w:rPr>
              <w:t>40</w:t>
            </w:r>
          </w:p>
        </w:tc>
        <w:tc>
          <w:tcPr>
            <w:tcW w:w="0" w:type="auto"/>
            <w:shd w:val="clear" w:color="auto" w:fill="auto"/>
          </w:tcPr>
          <w:p w14:paraId="056F6ECB" w14:textId="77777777" w:rsidR="008C5CFA" w:rsidRPr="0024468B" w:rsidRDefault="00E82A60" w:rsidP="00300A01">
            <w:pPr>
              <w:spacing w:before="0" w:after="0"/>
              <w:rPr>
                <w:sz w:val="16"/>
                <w:szCs w:val="16"/>
                <w:lang w:val="fr-BE"/>
              </w:rPr>
            </w:pPr>
            <w:r>
              <w:rPr>
                <w:noProof/>
                <w:sz w:val="16"/>
                <w:szCs w:val="16"/>
                <w:lang w:val="fr-BE"/>
              </w:rPr>
              <w:t>Długość sieci ciepłowniczej</w:t>
            </w:r>
          </w:p>
        </w:tc>
        <w:tc>
          <w:tcPr>
            <w:tcW w:w="0" w:type="auto"/>
          </w:tcPr>
          <w:p w14:paraId="1EFA16B9"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7B467ACA"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59E19171"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3D9571D8"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293D447C"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2E791ACC"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7705BE1A"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325ADBEA"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62B36C35"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r w:rsidR="006B2EC1" w14:paraId="3A824FA1" w14:textId="77777777" w:rsidTr="0047688D">
        <w:tc>
          <w:tcPr>
            <w:tcW w:w="0" w:type="auto"/>
          </w:tcPr>
          <w:p w14:paraId="158C2528" w14:textId="77777777" w:rsidR="008C5CFA" w:rsidRPr="0024468B" w:rsidRDefault="00E82A60" w:rsidP="00300A01">
            <w:pPr>
              <w:spacing w:before="0" w:after="0"/>
              <w:rPr>
                <w:sz w:val="16"/>
                <w:szCs w:val="16"/>
                <w:lang w:val="fr-BE"/>
              </w:rPr>
            </w:pPr>
            <w:r>
              <w:rPr>
                <w:noProof/>
                <w:sz w:val="16"/>
                <w:szCs w:val="16"/>
                <w:lang w:val="fr-BE"/>
              </w:rPr>
              <w:t>F</w:t>
            </w:r>
          </w:p>
        </w:tc>
        <w:tc>
          <w:tcPr>
            <w:tcW w:w="0" w:type="auto"/>
            <w:shd w:val="clear" w:color="auto" w:fill="auto"/>
          </w:tcPr>
          <w:p w14:paraId="3C7A1FEF" w14:textId="77777777" w:rsidR="008C5CFA" w:rsidRPr="0024468B" w:rsidRDefault="00E82A60" w:rsidP="00300A01">
            <w:pPr>
              <w:spacing w:before="0" w:after="0"/>
              <w:rPr>
                <w:sz w:val="16"/>
                <w:szCs w:val="16"/>
                <w:lang w:val="fr-BE"/>
              </w:rPr>
            </w:pPr>
            <w:r>
              <w:rPr>
                <w:noProof/>
                <w:sz w:val="16"/>
                <w:szCs w:val="16"/>
                <w:lang w:val="fr-BE"/>
              </w:rPr>
              <w:t>41</w:t>
            </w:r>
          </w:p>
        </w:tc>
        <w:tc>
          <w:tcPr>
            <w:tcW w:w="0" w:type="auto"/>
            <w:shd w:val="clear" w:color="auto" w:fill="auto"/>
          </w:tcPr>
          <w:p w14:paraId="3427FAB4" w14:textId="77777777" w:rsidR="008C5CFA" w:rsidRPr="0024468B" w:rsidRDefault="00E82A60" w:rsidP="00300A01">
            <w:pPr>
              <w:spacing w:before="0" w:after="0"/>
              <w:rPr>
                <w:sz w:val="16"/>
                <w:szCs w:val="16"/>
                <w:lang w:val="fr-BE"/>
              </w:rPr>
            </w:pPr>
            <w:r>
              <w:rPr>
                <w:noProof/>
                <w:sz w:val="16"/>
                <w:szCs w:val="16"/>
                <w:lang w:val="fr-BE"/>
              </w:rPr>
              <w:t>Liczba zmodernizowanych dworców i centrów przesiadkowych</w:t>
            </w:r>
          </w:p>
        </w:tc>
        <w:tc>
          <w:tcPr>
            <w:tcW w:w="0" w:type="auto"/>
          </w:tcPr>
          <w:p w14:paraId="7CC98DEC"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5B56A253"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259E3347"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4121FE90"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502FB700"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518C48ED"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0DD68258"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79532010"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05020B90"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r w:rsidR="006B2EC1" w14:paraId="2FF36C27" w14:textId="77777777" w:rsidTr="0047688D">
        <w:tc>
          <w:tcPr>
            <w:tcW w:w="0" w:type="auto"/>
          </w:tcPr>
          <w:p w14:paraId="3435B5CC" w14:textId="77777777" w:rsidR="008C5CFA" w:rsidRPr="0024468B" w:rsidRDefault="00E82A60" w:rsidP="00300A01">
            <w:pPr>
              <w:spacing w:before="0" w:after="0"/>
              <w:rPr>
                <w:sz w:val="16"/>
                <w:szCs w:val="16"/>
                <w:lang w:val="fr-BE"/>
              </w:rPr>
            </w:pPr>
            <w:r>
              <w:rPr>
                <w:noProof/>
                <w:sz w:val="16"/>
                <w:szCs w:val="16"/>
                <w:lang w:val="fr-BE"/>
              </w:rPr>
              <w:t>S</w:t>
            </w:r>
          </w:p>
        </w:tc>
        <w:tc>
          <w:tcPr>
            <w:tcW w:w="0" w:type="auto"/>
            <w:shd w:val="clear" w:color="auto" w:fill="auto"/>
          </w:tcPr>
          <w:p w14:paraId="0B8C1294" w14:textId="77777777" w:rsidR="008C5CFA" w:rsidRPr="0024468B" w:rsidRDefault="00E82A60" w:rsidP="00300A01">
            <w:pPr>
              <w:spacing w:before="0" w:after="0"/>
              <w:rPr>
                <w:sz w:val="16"/>
                <w:szCs w:val="16"/>
                <w:lang w:val="fr-BE"/>
              </w:rPr>
            </w:pPr>
            <w:r>
              <w:rPr>
                <w:noProof/>
                <w:sz w:val="16"/>
                <w:szCs w:val="16"/>
                <w:lang w:val="fr-BE"/>
              </w:rPr>
              <w:t>41</w:t>
            </w:r>
          </w:p>
        </w:tc>
        <w:tc>
          <w:tcPr>
            <w:tcW w:w="0" w:type="auto"/>
            <w:shd w:val="clear" w:color="auto" w:fill="auto"/>
          </w:tcPr>
          <w:p w14:paraId="17B1657A" w14:textId="77777777" w:rsidR="008C5CFA" w:rsidRPr="0024468B" w:rsidRDefault="00E82A60" w:rsidP="00300A01">
            <w:pPr>
              <w:spacing w:before="0" w:after="0"/>
              <w:rPr>
                <w:sz w:val="16"/>
                <w:szCs w:val="16"/>
                <w:lang w:val="fr-BE"/>
              </w:rPr>
            </w:pPr>
            <w:r>
              <w:rPr>
                <w:noProof/>
                <w:sz w:val="16"/>
                <w:szCs w:val="16"/>
                <w:lang w:val="fr-BE"/>
              </w:rPr>
              <w:t>Liczba zmodernizowanych dworców i centrów przesiadkowych</w:t>
            </w:r>
          </w:p>
        </w:tc>
        <w:tc>
          <w:tcPr>
            <w:tcW w:w="0" w:type="auto"/>
          </w:tcPr>
          <w:p w14:paraId="0B8EA528"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7A62ACF8"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3692A433"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32B206FA"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72C2857A"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2B877F4D"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082B68B2"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045C1F3A"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5D26AE23"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bl>
    <w:p w14:paraId="2888DC2D"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11"/>
        <w:gridCol w:w="514"/>
        <w:gridCol w:w="7705"/>
        <w:gridCol w:w="1042"/>
        <w:gridCol w:w="1234"/>
        <w:gridCol w:w="1051"/>
        <w:gridCol w:w="1042"/>
        <w:gridCol w:w="1234"/>
        <w:gridCol w:w="1051"/>
      </w:tblGrid>
      <w:tr w:rsidR="006B2EC1" w14:paraId="477E2024" w14:textId="77777777" w:rsidTr="0047688D">
        <w:trPr>
          <w:tblHeader/>
        </w:trPr>
        <w:tc>
          <w:tcPr>
            <w:tcW w:w="0" w:type="auto"/>
          </w:tcPr>
          <w:p w14:paraId="2573732E" w14:textId="77777777" w:rsidR="008C5CFA" w:rsidRPr="009143B4" w:rsidRDefault="00E82A60" w:rsidP="00300A01">
            <w:pPr>
              <w:spacing w:before="0" w:after="0"/>
              <w:rPr>
                <w:b/>
                <w:sz w:val="16"/>
                <w:szCs w:val="16"/>
                <w:lang w:val="fr-BE"/>
              </w:rPr>
            </w:pPr>
            <w:r w:rsidRPr="009143B4">
              <w:rPr>
                <w:b/>
                <w:sz w:val="16"/>
                <w:szCs w:val="16"/>
                <w:lang w:val="fr-BE"/>
              </w:rPr>
              <w:t>(1)</w:t>
            </w:r>
          </w:p>
        </w:tc>
        <w:tc>
          <w:tcPr>
            <w:tcW w:w="0" w:type="auto"/>
            <w:shd w:val="clear" w:color="auto" w:fill="auto"/>
          </w:tcPr>
          <w:p w14:paraId="59167477" w14:textId="77777777" w:rsidR="008C5CFA" w:rsidRPr="009143B4" w:rsidRDefault="00E82A60" w:rsidP="00300A01">
            <w:pPr>
              <w:spacing w:before="0" w:after="0"/>
              <w:rPr>
                <w:b/>
                <w:sz w:val="16"/>
                <w:szCs w:val="16"/>
                <w:lang w:val="fr-BE"/>
              </w:rPr>
            </w:pPr>
            <w:r w:rsidRPr="009143B4">
              <w:rPr>
                <w:b/>
                <w:noProof/>
                <w:sz w:val="16"/>
                <w:szCs w:val="16"/>
                <w:lang w:val="fr-BE"/>
              </w:rPr>
              <w:t>ID</w:t>
            </w:r>
          </w:p>
        </w:tc>
        <w:tc>
          <w:tcPr>
            <w:tcW w:w="0" w:type="auto"/>
            <w:shd w:val="clear" w:color="auto" w:fill="auto"/>
          </w:tcPr>
          <w:p w14:paraId="4D7EE161" w14:textId="77777777" w:rsidR="008C5CFA" w:rsidRPr="009143B4" w:rsidRDefault="00E82A60" w:rsidP="00300A01">
            <w:pPr>
              <w:spacing w:before="0" w:after="0"/>
              <w:rPr>
                <w:b/>
                <w:sz w:val="16"/>
                <w:szCs w:val="16"/>
                <w:lang w:val="fr-BE"/>
              </w:rPr>
            </w:pPr>
            <w:r w:rsidRPr="009143B4">
              <w:rPr>
                <w:b/>
                <w:noProof/>
                <w:sz w:val="16"/>
                <w:szCs w:val="16"/>
                <w:lang w:val="fr-BE"/>
              </w:rPr>
              <w:t>Wskaźnik</w:t>
            </w:r>
          </w:p>
        </w:tc>
        <w:tc>
          <w:tcPr>
            <w:tcW w:w="0" w:type="auto"/>
          </w:tcPr>
          <w:p w14:paraId="17993283" w14:textId="77777777" w:rsidR="008C5CFA" w:rsidRPr="009143B4" w:rsidRDefault="00E82A60"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Ogółem</w:t>
            </w:r>
          </w:p>
        </w:tc>
        <w:tc>
          <w:tcPr>
            <w:tcW w:w="0" w:type="auto"/>
          </w:tcPr>
          <w:p w14:paraId="6B33911F" w14:textId="77777777" w:rsidR="008C5CFA" w:rsidRPr="009143B4" w:rsidRDefault="00E82A60"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Mężczyźni</w:t>
            </w:r>
          </w:p>
        </w:tc>
        <w:tc>
          <w:tcPr>
            <w:tcW w:w="0" w:type="auto"/>
          </w:tcPr>
          <w:p w14:paraId="345341AE" w14:textId="77777777" w:rsidR="008C5CFA" w:rsidRPr="009143B4" w:rsidRDefault="00E82A60"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Kobiety</w:t>
            </w:r>
          </w:p>
        </w:tc>
        <w:tc>
          <w:tcPr>
            <w:tcW w:w="0" w:type="auto"/>
            <w:shd w:val="clear" w:color="auto" w:fill="auto"/>
          </w:tcPr>
          <w:p w14:paraId="790B8DF1" w14:textId="77777777" w:rsidR="008C5CFA" w:rsidRPr="009143B4" w:rsidRDefault="00E82A60"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Ogółem</w:t>
            </w:r>
          </w:p>
        </w:tc>
        <w:tc>
          <w:tcPr>
            <w:tcW w:w="0" w:type="auto"/>
            <w:shd w:val="clear" w:color="auto" w:fill="auto"/>
          </w:tcPr>
          <w:p w14:paraId="4B515FAB" w14:textId="77777777" w:rsidR="008C5CFA" w:rsidRPr="009143B4" w:rsidRDefault="00E82A60"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Mężczyźni</w:t>
            </w:r>
          </w:p>
        </w:tc>
        <w:tc>
          <w:tcPr>
            <w:tcW w:w="0" w:type="auto"/>
            <w:shd w:val="clear" w:color="auto" w:fill="auto"/>
          </w:tcPr>
          <w:p w14:paraId="0BD00C8C" w14:textId="77777777" w:rsidR="008C5CFA" w:rsidRPr="009143B4" w:rsidRDefault="00E82A60"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Kobiety</w:t>
            </w:r>
          </w:p>
        </w:tc>
      </w:tr>
      <w:tr w:rsidR="006B2EC1" w14:paraId="7834DDBE" w14:textId="77777777" w:rsidTr="0047688D">
        <w:tc>
          <w:tcPr>
            <w:tcW w:w="0" w:type="auto"/>
          </w:tcPr>
          <w:p w14:paraId="4CA3D148" w14:textId="77777777" w:rsidR="008C5CFA" w:rsidRPr="0024468B" w:rsidRDefault="00E82A60" w:rsidP="00300A01">
            <w:pPr>
              <w:spacing w:before="0" w:after="0"/>
              <w:rPr>
                <w:sz w:val="16"/>
                <w:szCs w:val="16"/>
                <w:lang w:val="fr-BE"/>
              </w:rPr>
            </w:pPr>
            <w:r>
              <w:rPr>
                <w:noProof/>
                <w:sz w:val="16"/>
                <w:szCs w:val="16"/>
                <w:lang w:val="fr-BE"/>
              </w:rPr>
              <w:t>F</w:t>
            </w:r>
          </w:p>
        </w:tc>
        <w:tc>
          <w:tcPr>
            <w:tcW w:w="0" w:type="auto"/>
            <w:shd w:val="clear" w:color="auto" w:fill="auto"/>
          </w:tcPr>
          <w:p w14:paraId="43A08695" w14:textId="77777777" w:rsidR="008C5CFA" w:rsidRPr="0024468B" w:rsidRDefault="00E82A60" w:rsidP="00300A01">
            <w:pPr>
              <w:spacing w:before="0" w:after="0"/>
              <w:rPr>
                <w:sz w:val="16"/>
                <w:szCs w:val="16"/>
                <w:lang w:val="fr-BE"/>
              </w:rPr>
            </w:pPr>
            <w:r w:rsidRPr="0024468B">
              <w:rPr>
                <w:noProof/>
                <w:sz w:val="16"/>
                <w:szCs w:val="16"/>
                <w:lang w:val="fr-BE"/>
              </w:rPr>
              <w:t>CO34</w:t>
            </w:r>
          </w:p>
        </w:tc>
        <w:tc>
          <w:tcPr>
            <w:tcW w:w="0" w:type="auto"/>
            <w:shd w:val="clear" w:color="auto" w:fill="auto"/>
          </w:tcPr>
          <w:p w14:paraId="0057CA4A" w14:textId="77777777" w:rsidR="008C5CFA" w:rsidRPr="0024468B" w:rsidRDefault="00E82A60" w:rsidP="00300A01">
            <w:pPr>
              <w:spacing w:before="0" w:after="0"/>
              <w:rPr>
                <w:sz w:val="16"/>
                <w:szCs w:val="16"/>
                <w:lang w:val="fr-BE"/>
              </w:rPr>
            </w:pPr>
            <w:r w:rsidRPr="0024468B">
              <w:rPr>
                <w:noProof/>
                <w:sz w:val="16"/>
                <w:szCs w:val="16"/>
                <w:lang w:val="fr-BE"/>
              </w:rPr>
              <w:t>Redukcja emisji gazów cieplarnianych: szacowany roczny spadek emisji gazów cieplarnianych</w:t>
            </w:r>
          </w:p>
        </w:tc>
        <w:tc>
          <w:tcPr>
            <w:tcW w:w="0" w:type="auto"/>
          </w:tcPr>
          <w:p w14:paraId="42F82949"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4554BC66"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5ECC65FA"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62710840"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255676B0"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011405F3"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r w:rsidR="006B2EC1" w14:paraId="68AFE43F" w14:textId="77777777" w:rsidTr="0047688D">
        <w:tc>
          <w:tcPr>
            <w:tcW w:w="0" w:type="auto"/>
          </w:tcPr>
          <w:p w14:paraId="1F2BB125" w14:textId="77777777" w:rsidR="008C5CFA" w:rsidRPr="0024468B" w:rsidRDefault="00E82A60" w:rsidP="00300A01">
            <w:pPr>
              <w:spacing w:before="0" w:after="0"/>
              <w:rPr>
                <w:sz w:val="16"/>
                <w:szCs w:val="16"/>
                <w:lang w:val="fr-BE"/>
              </w:rPr>
            </w:pPr>
            <w:r>
              <w:rPr>
                <w:noProof/>
                <w:sz w:val="16"/>
                <w:szCs w:val="16"/>
                <w:lang w:val="fr-BE"/>
              </w:rPr>
              <w:t>S</w:t>
            </w:r>
          </w:p>
        </w:tc>
        <w:tc>
          <w:tcPr>
            <w:tcW w:w="0" w:type="auto"/>
            <w:shd w:val="clear" w:color="auto" w:fill="auto"/>
          </w:tcPr>
          <w:p w14:paraId="6A37A5D7" w14:textId="77777777" w:rsidR="008C5CFA" w:rsidRPr="0024468B" w:rsidRDefault="00E82A60" w:rsidP="00300A01">
            <w:pPr>
              <w:spacing w:before="0" w:after="0"/>
              <w:rPr>
                <w:sz w:val="16"/>
                <w:szCs w:val="16"/>
                <w:lang w:val="fr-BE"/>
              </w:rPr>
            </w:pPr>
            <w:r w:rsidRPr="0024468B">
              <w:rPr>
                <w:noProof/>
                <w:sz w:val="16"/>
                <w:szCs w:val="16"/>
                <w:lang w:val="fr-BE"/>
              </w:rPr>
              <w:t>CO34</w:t>
            </w:r>
          </w:p>
        </w:tc>
        <w:tc>
          <w:tcPr>
            <w:tcW w:w="0" w:type="auto"/>
            <w:shd w:val="clear" w:color="auto" w:fill="auto"/>
          </w:tcPr>
          <w:p w14:paraId="73E21B4B" w14:textId="77777777" w:rsidR="008C5CFA" w:rsidRPr="0024468B" w:rsidRDefault="00E82A60" w:rsidP="00300A01">
            <w:pPr>
              <w:spacing w:before="0" w:after="0"/>
              <w:rPr>
                <w:sz w:val="16"/>
                <w:szCs w:val="16"/>
                <w:lang w:val="fr-BE"/>
              </w:rPr>
            </w:pPr>
            <w:r w:rsidRPr="0024468B">
              <w:rPr>
                <w:noProof/>
                <w:sz w:val="16"/>
                <w:szCs w:val="16"/>
                <w:lang w:val="fr-BE"/>
              </w:rPr>
              <w:t>Redukcja emisji gazów cieplarnianych: szacowany roczny spadek emisji gazów cieplarnianych</w:t>
            </w:r>
          </w:p>
        </w:tc>
        <w:tc>
          <w:tcPr>
            <w:tcW w:w="0" w:type="auto"/>
          </w:tcPr>
          <w:p w14:paraId="443E058E"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1A67F56D"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213F0C19"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0ABFE916"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7F5DA7D6"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46FCBB72"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r w:rsidR="006B2EC1" w14:paraId="77A2A5B9" w14:textId="77777777" w:rsidTr="0047688D">
        <w:tc>
          <w:tcPr>
            <w:tcW w:w="0" w:type="auto"/>
          </w:tcPr>
          <w:p w14:paraId="3ED42AF0" w14:textId="77777777" w:rsidR="008C5CFA" w:rsidRPr="0024468B" w:rsidRDefault="00E82A60" w:rsidP="00300A01">
            <w:pPr>
              <w:spacing w:before="0" w:after="0"/>
              <w:rPr>
                <w:sz w:val="16"/>
                <w:szCs w:val="16"/>
                <w:lang w:val="fr-BE"/>
              </w:rPr>
            </w:pPr>
            <w:r>
              <w:rPr>
                <w:noProof/>
                <w:sz w:val="16"/>
                <w:szCs w:val="16"/>
                <w:lang w:val="fr-BE"/>
              </w:rPr>
              <w:t>F</w:t>
            </w:r>
          </w:p>
        </w:tc>
        <w:tc>
          <w:tcPr>
            <w:tcW w:w="0" w:type="auto"/>
            <w:shd w:val="clear" w:color="auto" w:fill="auto"/>
          </w:tcPr>
          <w:p w14:paraId="6C802229" w14:textId="77777777" w:rsidR="008C5CFA" w:rsidRPr="0024468B" w:rsidRDefault="00E82A60" w:rsidP="00300A01">
            <w:pPr>
              <w:spacing w:before="0" w:after="0"/>
              <w:rPr>
                <w:sz w:val="16"/>
                <w:szCs w:val="16"/>
                <w:lang w:val="fr-BE"/>
              </w:rPr>
            </w:pPr>
            <w:r>
              <w:rPr>
                <w:noProof/>
                <w:sz w:val="16"/>
                <w:szCs w:val="16"/>
                <w:lang w:val="fr-BE"/>
              </w:rPr>
              <w:t>140</w:t>
            </w:r>
          </w:p>
        </w:tc>
        <w:tc>
          <w:tcPr>
            <w:tcW w:w="0" w:type="auto"/>
            <w:shd w:val="clear" w:color="auto" w:fill="auto"/>
          </w:tcPr>
          <w:p w14:paraId="0AAB6B18" w14:textId="77777777" w:rsidR="008C5CFA" w:rsidRPr="0024468B" w:rsidRDefault="00E82A60" w:rsidP="00300A01">
            <w:pPr>
              <w:spacing w:before="0" w:after="0"/>
              <w:rPr>
                <w:sz w:val="16"/>
                <w:szCs w:val="16"/>
                <w:lang w:val="fr-BE"/>
              </w:rPr>
            </w:pPr>
            <w:r>
              <w:rPr>
                <w:noProof/>
                <w:sz w:val="16"/>
                <w:szCs w:val="16"/>
                <w:lang w:val="fr-BE"/>
              </w:rPr>
              <w:t>Liczba zmodernizowanych źródeł ciepła</w:t>
            </w:r>
          </w:p>
        </w:tc>
        <w:tc>
          <w:tcPr>
            <w:tcW w:w="0" w:type="auto"/>
          </w:tcPr>
          <w:p w14:paraId="6D383648"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20875BB3"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03D5991B"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345F4154"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455A06E9"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29C7F8DB"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r w:rsidR="006B2EC1" w14:paraId="69BB5ED5" w14:textId="77777777" w:rsidTr="0047688D">
        <w:tc>
          <w:tcPr>
            <w:tcW w:w="0" w:type="auto"/>
          </w:tcPr>
          <w:p w14:paraId="35BCA4F1" w14:textId="77777777" w:rsidR="008C5CFA" w:rsidRPr="0024468B" w:rsidRDefault="00E82A60" w:rsidP="00300A01">
            <w:pPr>
              <w:spacing w:before="0" w:after="0"/>
              <w:rPr>
                <w:sz w:val="16"/>
                <w:szCs w:val="16"/>
                <w:lang w:val="fr-BE"/>
              </w:rPr>
            </w:pPr>
            <w:r>
              <w:rPr>
                <w:noProof/>
                <w:sz w:val="16"/>
                <w:szCs w:val="16"/>
                <w:lang w:val="fr-BE"/>
              </w:rPr>
              <w:t>S</w:t>
            </w:r>
          </w:p>
        </w:tc>
        <w:tc>
          <w:tcPr>
            <w:tcW w:w="0" w:type="auto"/>
            <w:shd w:val="clear" w:color="auto" w:fill="auto"/>
          </w:tcPr>
          <w:p w14:paraId="21107969" w14:textId="77777777" w:rsidR="008C5CFA" w:rsidRPr="0024468B" w:rsidRDefault="00E82A60" w:rsidP="00300A01">
            <w:pPr>
              <w:spacing w:before="0" w:after="0"/>
              <w:rPr>
                <w:sz w:val="16"/>
                <w:szCs w:val="16"/>
                <w:lang w:val="fr-BE"/>
              </w:rPr>
            </w:pPr>
            <w:r>
              <w:rPr>
                <w:noProof/>
                <w:sz w:val="16"/>
                <w:szCs w:val="16"/>
                <w:lang w:val="fr-BE"/>
              </w:rPr>
              <w:t>140</w:t>
            </w:r>
          </w:p>
        </w:tc>
        <w:tc>
          <w:tcPr>
            <w:tcW w:w="0" w:type="auto"/>
            <w:shd w:val="clear" w:color="auto" w:fill="auto"/>
          </w:tcPr>
          <w:p w14:paraId="100E6C0B" w14:textId="77777777" w:rsidR="008C5CFA" w:rsidRPr="0024468B" w:rsidRDefault="00E82A60" w:rsidP="00300A01">
            <w:pPr>
              <w:spacing w:before="0" w:after="0"/>
              <w:rPr>
                <w:sz w:val="16"/>
                <w:szCs w:val="16"/>
                <w:lang w:val="fr-BE"/>
              </w:rPr>
            </w:pPr>
            <w:r>
              <w:rPr>
                <w:noProof/>
                <w:sz w:val="16"/>
                <w:szCs w:val="16"/>
                <w:lang w:val="fr-BE"/>
              </w:rPr>
              <w:t>Liczba zmodernizowanych źródeł ciepła</w:t>
            </w:r>
          </w:p>
        </w:tc>
        <w:tc>
          <w:tcPr>
            <w:tcW w:w="0" w:type="auto"/>
          </w:tcPr>
          <w:p w14:paraId="14538CA2"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6446E3E3"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0EA16EC8"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6223B709"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0F31BFF2"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029D5B11"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r w:rsidR="006B2EC1" w14:paraId="6BA296F6" w14:textId="77777777" w:rsidTr="0047688D">
        <w:tc>
          <w:tcPr>
            <w:tcW w:w="0" w:type="auto"/>
          </w:tcPr>
          <w:p w14:paraId="54321268" w14:textId="77777777" w:rsidR="008C5CFA" w:rsidRPr="0024468B" w:rsidRDefault="00E82A60" w:rsidP="00300A01">
            <w:pPr>
              <w:spacing w:before="0" w:after="0"/>
              <w:rPr>
                <w:sz w:val="16"/>
                <w:szCs w:val="16"/>
                <w:lang w:val="fr-BE"/>
              </w:rPr>
            </w:pPr>
            <w:r>
              <w:rPr>
                <w:noProof/>
                <w:sz w:val="16"/>
                <w:szCs w:val="16"/>
                <w:lang w:val="fr-BE"/>
              </w:rPr>
              <w:t>F</w:t>
            </w:r>
          </w:p>
        </w:tc>
        <w:tc>
          <w:tcPr>
            <w:tcW w:w="0" w:type="auto"/>
            <w:shd w:val="clear" w:color="auto" w:fill="auto"/>
          </w:tcPr>
          <w:p w14:paraId="1FF90862" w14:textId="77777777" w:rsidR="008C5CFA" w:rsidRPr="0024468B" w:rsidRDefault="00E82A60" w:rsidP="00300A01">
            <w:pPr>
              <w:spacing w:before="0" w:after="0"/>
              <w:rPr>
                <w:sz w:val="16"/>
                <w:szCs w:val="16"/>
                <w:lang w:val="fr-BE"/>
              </w:rPr>
            </w:pPr>
            <w:r>
              <w:rPr>
                <w:noProof/>
                <w:sz w:val="16"/>
                <w:szCs w:val="16"/>
                <w:lang w:val="fr-BE"/>
              </w:rPr>
              <w:t>37</w:t>
            </w:r>
          </w:p>
        </w:tc>
        <w:tc>
          <w:tcPr>
            <w:tcW w:w="0" w:type="auto"/>
            <w:shd w:val="clear" w:color="auto" w:fill="auto"/>
          </w:tcPr>
          <w:p w14:paraId="2FC360F5" w14:textId="77777777" w:rsidR="008C5CFA" w:rsidRPr="0024468B" w:rsidRDefault="00E82A60" w:rsidP="00300A01">
            <w:pPr>
              <w:spacing w:before="0" w:after="0"/>
              <w:rPr>
                <w:sz w:val="16"/>
                <w:szCs w:val="16"/>
                <w:lang w:val="fr-BE"/>
              </w:rPr>
            </w:pPr>
            <w:r>
              <w:rPr>
                <w:noProof/>
                <w:sz w:val="16"/>
                <w:szCs w:val="16"/>
                <w:lang w:val="fr-BE"/>
              </w:rPr>
              <w:t>Liczba zmodernizowanych źródeł oświetlenia ulicznego</w:t>
            </w:r>
          </w:p>
        </w:tc>
        <w:tc>
          <w:tcPr>
            <w:tcW w:w="0" w:type="auto"/>
          </w:tcPr>
          <w:p w14:paraId="756B6A2C"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34D50BA7"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6C2CCE45"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0DF22DA6"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1ECDE118"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5B411A80"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r w:rsidR="006B2EC1" w14:paraId="0FB1BDBD" w14:textId="77777777" w:rsidTr="0047688D">
        <w:tc>
          <w:tcPr>
            <w:tcW w:w="0" w:type="auto"/>
          </w:tcPr>
          <w:p w14:paraId="57863BE0" w14:textId="77777777" w:rsidR="008C5CFA" w:rsidRPr="0024468B" w:rsidRDefault="00E82A60" w:rsidP="00300A01">
            <w:pPr>
              <w:spacing w:before="0" w:after="0"/>
              <w:rPr>
                <w:sz w:val="16"/>
                <w:szCs w:val="16"/>
                <w:lang w:val="fr-BE"/>
              </w:rPr>
            </w:pPr>
            <w:r>
              <w:rPr>
                <w:noProof/>
                <w:sz w:val="16"/>
                <w:szCs w:val="16"/>
                <w:lang w:val="fr-BE"/>
              </w:rPr>
              <w:t>S</w:t>
            </w:r>
          </w:p>
        </w:tc>
        <w:tc>
          <w:tcPr>
            <w:tcW w:w="0" w:type="auto"/>
            <w:shd w:val="clear" w:color="auto" w:fill="auto"/>
          </w:tcPr>
          <w:p w14:paraId="53B3D86A" w14:textId="77777777" w:rsidR="008C5CFA" w:rsidRPr="0024468B" w:rsidRDefault="00E82A60" w:rsidP="00300A01">
            <w:pPr>
              <w:spacing w:before="0" w:after="0"/>
              <w:rPr>
                <w:sz w:val="16"/>
                <w:szCs w:val="16"/>
                <w:lang w:val="fr-BE"/>
              </w:rPr>
            </w:pPr>
            <w:r>
              <w:rPr>
                <w:noProof/>
                <w:sz w:val="16"/>
                <w:szCs w:val="16"/>
                <w:lang w:val="fr-BE"/>
              </w:rPr>
              <w:t>37</w:t>
            </w:r>
          </w:p>
        </w:tc>
        <w:tc>
          <w:tcPr>
            <w:tcW w:w="0" w:type="auto"/>
            <w:shd w:val="clear" w:color="auto" w:fill="auto"/>
          </w:tcPr>
          <w:p w14:paraId="358244C2" w14:textId="77777777" w:rsidR="008C5CFA" w:rsidRPr="0024468B" w:rsidRDefault="00E82A60" w:rsidP="00300A01">
            <w:pPr>
              <w:spacing w:before="0" w:after="0"/>
              <w:rPr>
                <w:sz w:val="16"/>
                <w:szCs w:val="16"/>
                <w:lang w:val="fr-BE"/>
              </w:rPr>
            </w:pPr>
            <w:r>
              <w:rPr>
                <w:noProof/>
                <w:sz w:val="16"/>
                <w:szCs w:val="16"/>
                <w:lang w:val="fr-BE"/>
              </w:rPr>
              <w:t>Liczba zmodernizowanych źródeł oświetlenia ulicznego</w:t>
            </w:r>
          </w:p>
        </w:tc>
        <w:tc>
          <w:tcPr>
            <w:tcW w:w="0" w:type="auto"/>
          </w:tcPr>
          <w:p w14:paraId="61948FAE"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1B58F1CF"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3E4165BF"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6DE9182A"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225103E9"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190FD6D7"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r w:rsidR="006B2EC1" w14:paraId="54E6CE9A" w14:textId="77777777" w:rsidTr="0047688D">
        <w:tc>
          <w:tcPr>
            <w:tcW w:w="0" w:type="auto"/>
          </w:tcPr>
          <w:p w14:paraId="30C8C803" w14:textId="77777777" w:rsidR="008C5CFA" w:rsidRPr="0024468B" w:rsidRDefault="00E82A60" w:rsidP="00300A01">
            <w:pPr>
              <w:spacing w:before="0" w:after="0"/>
              <w:rPr>
                <w:sz w:val="16"/>
                <w:szCs w:val="16"/>
                <w:lang w:val="fr-BE"/>
              </w:rPr>
            </w:pPr>
            <w:r>
              <w:rPr>
                <w:noProof/>
                <w:sz w:val="16"/>
                <w:szCs w:val="16"/>
                <w:lang w:val="fr-BE"/>
              </w:rPr>
              <w:t>F</w:t>
            </w:r>
          </w:p>
        </w:tc>
        <w:tc>
          <w:tcPr>
            <w:tcW w:w="0" w:type="auto"/>
            <w:shd w:val="clear" w:color="auto" w:fill="auto"/>
          </w:tcPr>
          <w:p w14:paraId="21ADF874" w14:textId="77777777" w:rsidR="008C5CFA" w:rsidRPr="0024468B" w:rsidRDefault="00E82A60" w:rsidP="00300A01">
            <w:pPr>
              <w:spacing w:before="0" w:after="0"/>
              <w:rPr>
                <w:sz w:val="16"/>
                <w:szCs w:val="16"/>
                <w:lang w:val="fr-BE"/>
              </w:rPr>
            </w:pPr>
            <w:r>
              <w:rPr>
                <w:noProof/>
                <w:sz w:val="16"/>
                <w:szCs w:val="16"/>
                <w:lang w:val="fr-BE"/>
              </w:rPr>
              <w:t>38</w:t>
            </w:r>
          </w:p>
        </w:tc>
        <w:tc>
          <w:tcPr>
            <w:tcW w:w="0" w:type="auto"/>
            <w:shd w:val="clear" w:color="auto" w:fill="auto"/>
          </w:tcPr>
          <w:p w14:paraId="2A213A0E" w14:textId="77777777" w:rsidR="008C5CFA" w:rsidRPr="0024468B" w:rsidRDefault="00E82A60" w:rsidP="00300A01">
            <w:pPr>
              <w:spacing w:before="0" w:after="0"/>
              <w:rPr>
                <w:sz w:val="16"/>
                <w:szCs w:val="16"/>
                <w:lang w:val="fr-BE"/>
              </w:rPr>
            </w:pPr>
            <w:r>
              <w:rPr>
                <w:noProof/>
                <w:sz w:val="16"/>
                <w:szCs w:val="16"/>
                <w:lang w:val="fr-BE"/>
              </w:rPr>
              <w:t>Liczba zakupionych lub zmodernizowanych jednostek taboru pasażerskiego w publicznym transporcie zbiorowym</w:t>
            </w:r>
          </w:p>
        </w:tc>
        <w:tc>
          <w:tcPr>
            <w:tcW w:w="0" w:type="auto"/>
          </w:tcPr>
          <w:p w14:paraId="57BD029A"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0919ADC8"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392C9159"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7DD0C5F1"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4D469ABF"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28AB7651"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r w:rsidR="006B2EC1" w14:paraId="25044D1D" w14:textId="77777777" w:rsidTr="0047688D">
        <w:tc>
          <w:tcPr>
            <w:tcW w:w="0" w:type="auto"/>
          </w:tcPr>
          <w:p w14:paraId="3590C73B" w14:textId="77777777" w:rsidR="008C5CFA" w:rsidRPr="0024468B" w:rsidRDefault="00E82A60" w:rsidP="00300A01">
            <w:pPr>
              <w:spacing w:before="0" w:after="0"/>
              <w:rPr>
                <w:sz w:val="16"/>
                <w:szCs w:val="16"/>
                <w:lang w:val="fr-BE"/>
              </w:rPr>
            </w:pPr>
            <w:r>
              <w:rPr>
                <w:noProof/>
                <w:sz w:val="16"/>
                <w:szCs w:val="16"/>
                <w:lang w:val="fr-BE"/>
              </w:rPr>
              <w:lastRenderedPageBreak/>
              <w:t>S</w:t>
            </w:r>
          </w:p>
        </w:tc>
        <w:tc>
          <w:tcPr>
            <w:tcW w:w="0" w:type="auto"/>
            <w:shd w:val="clear" w:color="auto" w:fill="auto"/>
          </w:tcPr>
          <w:p w14:paraId="0E3801BF" w14:textId="77777777" w:rsidR="008C5CFA" w:rsidRPr="0024468B" w:rsidRDefault="00E82A60" w:rsidP="00300A01">
            <w:pPr>
              <w:spacing w:before="0" w:after="0"/>
              <w:rPr>
                <w:sz w:val="16"/>
                <w:szCs w:val="16"/>
                <w:lang w:val="fr-BE"/>
              </w:rPr>
            </w:pPr>
            <w:r>
              <w:rPr>
                <w:noProof/>
                <w:sz w:val="16"/>
                <w:szCs w:val="16"/>
                <w:lang w:val="fr-BE"/>
              </w:rPr>
              <w:t>38</w:t>
            </w:r>
          </w:p>
        </w:tc>
        <w:tc>
          <w:tcPr>
            <w:tcW w:w="0" w:type="auto"/>
            <w:shd w:val="clear" w:color="auto" w:fill="auto"/>
          </w:tcPr>
          <w:p w14:paraId="15A7B1AA" w14:textId="77777777" w:rsidR="008C5CFA" w:rsidRPr="0024468B" w:rsidRDefault="00E82A60" w:rsidP="00300A01">
            <w:pPr>
              <w:spacing w:before="0" w:after="0"/>
              <w:rPr>
                <w:sz w:val="16"/>
                <w:szCs w:val="16"/>
                <w:lang w:val="fr-BE"/>
              </w:rPr>
            </w:pPr>
            <w:r>
              <w:rPr>
                <w:noProof/>
                <w:sz w:val="16"/>
                <w:szCs w:val="16"/>
                <w:lang w:val="fr-BE"/>
              </w:rPr>
              <w:t>Liczba zakupionych lub zmodernizowanych jednostek taboru pasażerskiego w publicznym transporcie zbiorowym</w:t>
            </w:r>
          </w:p>
        </w:tc>
        <w:tc>
          <w:tcPr>
            <w:tcW w:w="0" w:type="auto"/>
          </w:tcPr>
          <w:p w14:paraId="5D577FDA"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00D0B7C6"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6226D7C8"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0730FDFC"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7D8C61D1"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0D9194C0"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r w:rsidR="006B2EC1" w14:paraId="58742AED" w14:textId="77777777" w:rsidTr="0047688D">
        <w:tc>
          <w:tcPr>
            <w:tcW w:w="0" w:type="auto"/>
          </w:tcPr>
          <w:p w14:paraId="310F1054" w14:textId="77777777" w:rsidR="008C5CFA" w:rsidRPr="0024468B" w:rsidRDefault="00E82A60" w:rsidP="00300A01">
            <w:pPr>
              <w:spacing w:before="0" w:after="0"/>
              <w:rPr>
                <w:sz w:val="16"/>
                <w:szCs w:val="16"/>
                <w:lang w:val="fr-BE"/>
              </w:rPr>
            </w:pPr>
            <w:r>
              <w:rPr>
                <w:noProof/>
                <w:sz w:val="16"/>
                <w:szCs w:val="16"/>
                <w:lang w:val="fr-BE"/>
              </w:rPr>
              <w:t>F</w:t>
            </w:r>
          </w:p>
        </w:tc>
        <w:tc>
          <w:tcPr>
            <w:tcW w:w="0" w:type="auto"/>
            <w:shd w:val="clear" w:color="auto" w:fill="auto"/>
          </w:tcPr>
          <w:p w14:paraId="29F2223C" w14:textId="77777777" w:rsidR="008C5CFA" w:rsidRPr="0024468B" w:rsidRDefault="00E82A60" w:rsidP="00300A01">
            <w:pPr>
              <w:spacing w:before="0" w:after="0"/>
              <w:rPr>
                <w:sz w:val="16"/>
                <w:szCs w:val="16"/>
                <w:lang w:val="fr-BE"/>
              </w:rPr>
            </w:pPr>
            <w:r>
              <w:rPr>
                <w:noProof/>
                <w:sz w:val="16"/>
                <w:szCs w:val="16"/>
                <w:lang w:val="fr-BE"/>
              </w:rPr>
              <w:t>39</w:t>
            </w:r>
          </w:p>
        </w:tc>
        <w:tc>
          <w:tcPr>
            <w:tcW w:w="0" w:type="auto"/>
            <w:shd w:val="clear" w:color="auto" w:fill="auto"/>
          </w:tcPr>
          <w:p w14:paraId="491828B8" w14:textId="77777777" w:rsidR="008C5CFA" w:rsidRPr="0024468B" w:rsidRDefault="00E82A60" w:rsidP="00300A01">
            <w:pPr>
              <w:spacing w:before="0" w:after="0"/>
              <w:rPr>
                <w:sz w:val="16"/>
                <w:szCs w:val="16"/>
                <w:lang w:val="fr-BE"/>
              </w:rPr>
            </w:pPr>
            <w:r>
              <w:rPr>
                <w:noProof/>
                <w:sz w:val="16"/>
                <w:szCs w:val="16"/>
                <w:lang w:val="fr-BE"/>
              </w:rPr>
              <w:t>Długość ścieżek rowerowych</w:t>
            </w:r>
          </w:p>
        </w:tc>
        <w:tc>
          <w:tcPr>
            <w:tcW w:w="0" w:type="auto"/>
          </w:tcPr>
          <w:p w14:paraId="3EDEFB47"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0B5AA3DE"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2F4D43A8"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42294CDD"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4576830A"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6E8DFEC8"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r w:rsidR="006B2EC1" w14:paraId="0D37FC61" w14:textId="77777777" w:rsidTr="0047688D">
        <w:tc>
          <w:tcPr>
            <w:tcW w:w="0" w:type="auto"/>
          </w:tcPr>
          <w:p w14:paraId="7B9FB211" w14:textId="77777777" w:rsidR="008C5CFA" w:rsidRPr="0024468B" w:rsidRDefault="00E82A60" w:rsidP="00300A01">
            <w:pPr>
              <w:spacing w:before="0" w:after="0"/>
              <w:rPr>
                <w:sz w:val="16"/>
                <w:szCs w:val="16"/>
                <w:lang w:val="fr-BE"/>
              </w:rPr>
            </w:pPr>
            <w:r>
              <w:rPr>
                <w:noProof/>
                <w:sz w:val="16"/>
                <w:szCs w:val="16"/>
                <w:lang w:val="fr-BE"/>
              </w:rPr>
              <w:t>S</w:t>
            </w:r>
          </w:p>
        </w:tc>
        <w:tc>
          <w:tcPr>
            <w:tcW w:w="0" w:type="auto"/>
            <w:shd w:val="clear" w:color="auto" w:fill="auto"/>
          </w:tcPr>
          <w:p w14:paraId="387F2C90" w14:textId="77777777" w:rsidR="008C5CFA" w:rsidRPr="0024468B" w:rsidRDefault="00E82A60" w:rsidP="00300A01">
            <w:pPr>
              <w:spacing w:before="0" w:after="0"/>
              <w:rPr>
                <w:sz w:val="16"/>
                <w:szCs w:val="16"/>
                <w:lang w:val="fr-BE"/>
              </w:rPr>
            </w:pPr>
            <w:r>
              <w:rPr>
                <w:noProof/>
                <w:sz w:val="16"/>
                <w:szCs w:val="16"/>
                <w:lang w:val="fr-BE"/>
              </w:rPr>
              <w:t>39</w:t>
            </w:r>
          </w:p>
        </w:tc>
        <w:tc>
          <w:tcPr>
            <w:tcW w:w="0" w:type="auto"/>
            <w:shd w:val="clear" w:color="auto" w:fill="auto"/>
          </w:tcPr>
          <w:p w14:paraId="01DD69DB" w14:textId="77777777" w:rsidR="008C5CFA" w:rsidRPr="0024468B" w:rsidRDefault="00E82A60" w:rsidP="00300A01">
            <w:pPr>
              <w:spacing w:before="0" w:after="0"/>
              <w:rPr>
                <w:sz w:val="16"/>
                <w:szCs w:val="16"/>
                <w:lang w:val="fr-BE"/>
              </w:rPr>
            </w:pPr>
            <w:r>
              <w:rPr>
                <w:noProof/>
                <w:sz w:val="16"/>
                <w:szCs w:val="16"/>
                <w:lang w:val="fr-BE"/>
              </w:rPr>
              <w:t>Długość ścieżek rowerowych</w:t>
            </w:r>
          </w:p>
        </w:tc>
        <w:tc>
          <w:tcPr>
            <w:tcW w:w="0" w:type="auto"/>
          </w:tcPr>
          <w:p w14:paraId="2632AC5C"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010B08F0"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1F629C8E"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251CC45D"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5BA5DB6B"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04DF7FD7"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r w:rsidR="006B2EC1" w14:paraId="6279A259" w14:textId="77777777" w:rsidTr="0047688D">
        <w:tc>
          <w:tcPr>
            <w:tcW w:w="0" w:type="auto"/>
          </w:tcPr>
          <w:p w14:paraId="37D9BB3A" w14:textId="77777777" w:rsidR="008C5CFA" w:rsidRPr="0024468B" w:rsidRDefault="00E82A60" w:rsidP="00300A01">
            <w:pPr>
              <w:spacing w:before="0" w:after="0"/>
              <w:rPr>
                <w:sz w:val="16"/>
                <w:szCs w:val="16"/>
                <w:lang w:val="fr-BE"/>
              </w:rPr>
            </w:pPr>
            <w:r>
              <w:rPr>
                <w:noProof/>
                <w:sz w:val="16"/>
                <w:szCs w:val="16"/>
                <w:lang w:val="fr-BE"/>
              </w:rPr>
              <w:t>F</w:t>
            </w:r>
          </w:p>
        </w:tc>
        <w:tc>
          <w:tcPr>
            <w:tcW w:w="0" w:type="auto"/>
            <w:shd w:val="clear" w:color="auto" w:fill="auto"/>
          </w:tcPr>
          <w:p w14:paraId="36F07D6F" w14:textId="77777777" w:rsidR="008C5CFA" w:rsidRPr="0024468B" w:rsidRDefault="00E82A60" w:rsidP="00300A01">
            <w:pPr>
              <w:spacing w:before="0" w:after="0"/>
              <w:rPr>
                <w:sz w:val="16"/>
                <w:szCs w:val="16"/>
                <w:lang w:val="fr-BE"/>
              </w:rPr>
            </w:pPr>
            <w:r>
              <w:rPr>
                <w:noProof/>
                <w:sz w:val="16"/>
                <w:szCs w:val="16"/>
                <w:lang w:val="fr-BE"/>
              </w:rPr>
              <w:t>40</w:t>
            </w:r>
          </w:p>
        </w:tc>
        <w:tc>
          <w:tcPr>
            <w:tcW w:w="0" w:type="auto"/>
            <w:shd w:val="clear" w:color="auto" w:fill="auto"/>
          </w:tcPr>
          <w:p w14:paraId="4308CB3D" w14:textId="77777777" w:rsidR="008C5CFA" w:rsidRPr="0024468B" w:rsidRDefault="00E82A60" w:rsidP="00300A01">
            <w:pPr>
              <w:spacing w:before="0" w:after="0"/>
              <w:rPr>
                <w:sz w:val="16"/>
                <w:szCs w:val="16"/>
                <w:lang w:val="fr-BE"/>
              </w:rPr>
            </w:pPr>
            <w:r>
              <w:rPr>
                <w:noProof/>
                <w:sz w:val="16"/>
                <w:szCs w:val="16"/>
                <w:lang w:val="fr-BE"/>
              </w:rPr>
              <w:t>Długość sieci ciepłowniczej</w:t>
            </w:r>
          </w:p>
        </w:tc>
        <w:tc>
          <w:tcPr>
            <w:tcW w:w="0" w:type="auto"/>
          </w:tcPr>
          <w:p w14:paraId="4369BAAD"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4A2B5EAE"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7CDC1F43"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23A83651"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07388756"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1EACB3C7"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r w:rsidR="006B2EC1" w14:paraId="6DE8D554" w14:textId="77777777" w:rsidTr="0047688D">
        <w:tc>
          <w:tcPr>
            <w:tcW w:w="0" w:type="auto"/>
          </w:tcPr>
          <w:p w14:paraId="6F560DFD" w14:textId="77777777" w:rsidR="008C5CFA" w:rsidRPr="0024468B" w:rsidRDefault="00E82A60" w:rsidP="00300A01">
            <w:pPr>
              <w:spacing w:before="0" w:after="0"/>
              <w:rPr>
                <w:sz w:val="16"/>
                <w:szCs w:val="16"/>
                <w:lang w:val="fr-BE"/>
              </w:rPr>
            </w:pPr>
            <w:r>
              <w:rPr>
                <w:noProof/>
                <w:sz w:val="16"/>
                <w:szCs w:val="16"/>
                <w:lang w:val="fr-BE"/>
              </w:rPr>
              <w:t>S</w:t>
            </w:r>
          </w:p>
        </w:tc>
        <w:tc>
          <w:tcPr>
            <w:tcW w:w="0" w:type="auto"/>
            <w:shd w:val="clear" w:color="auto" w:fill="auto"/>
          </w:tcPr>
          <w:p w14:paraId="5363A50F" w14:textId="77777777" w:rsidR="008C5CFA" w:rsidRPr="0024468B" w:rsidRDefault="00E82A60" w:rsidP="00300A01">
            <w:pPr>
              <w:spacing w:before="0" w:after="0"/>
              <w:rPr>
                <w:sz w:val="16"/>
                <w:szCs w:val="16"/>
                <w:lang w:val="fr-BE"/>
              </w:rPr>
            </w:pPr>
            <w:r>
              <w:rPr>
                <w:noProof/>
                <w:sz w:val="16"/>
                <w:szCs w:val="16"/>
                <w:lang w:val="fr-BE"/>
              </w:rPr>
              <w:t>40</w:t>
            </w:r>
          </w:p>
        </w:tc>
        <w:tc>
          <w:tcPr>
            <w:tcW w:w="0" w:type="auto"/>
            <w:shd w:val="clear" w:color="auto" w:fill="auto"/>
          </w:tcPr>
          <w:p w14:paraId="30C01DEC" w14:textId="77777777" w:rsidR="008C5CFA" w:rsidRPr="0024468B" w:rsidRDefault="00E82A60" w:rsidP="00300A01">
            <w:pPr>
              <w:spacing w:before="0" w:after="0"/>
              <w:rPr>
                <w:sz w:val="16"/>
                <w:szCs w:val="16"/>
                <w:lang w:val="fr-BE"/>
              </w:rPr>
            </w:pPr>
            <w:r>
              <w:rPr>
                <w:noProof/>
                <w:sz w:val="16"/>
                <w:szCs w:val="16"/>
                <w:lang w:val="fr-BE"/>
              </w:rPr>
              <w:t>Długość sieci ciepłowniczej</w:t>
            </w:r>
          </w:p>
        </w:tc>
        <w:tc>
          <w:tcPr>
            <w:tcW w:w="0" w:type="auto"/>
          </w:tcPr>
          <w:p w14:paraId="5548A8AC"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5F7BA254"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250F542C"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581CE5CA"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67A84CFF"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3E9ED1F1"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r w:rsidR="006B2EC1" w14:paraId="6DAC37B1" w14:textId="77777777" w:rsidTr="0047688D">
        <w:tc>
          <w:tcPr>
            <w:tcW w:w="0" w:type="auto"/>
          </w:tcPr>
          <w:p w14:paraId="184CDBFF" w14:textId="77777777" w:rsidR="008C5CFA" w:rsidRPr="0024468B" w:rsidRDefault="00E82A60" w:rsidP="00300A01">
            <w:pPr>
              <w:spacing w:before="0" w:after="0"/>
              <w:rPr>
                <w:sz w:val="16"/>
                <w:szCs w:val="16"/>
                <w:lang w:val="fr-BE"/>
              </w:rPr>
            </w:pPr>
            <w:r>
              <w:rPr>
                <w:noProof/>
                <w:sz w:val="16"/>
                <w:szCs w:val="16"/>
                <w:lang w:val="fr-BE"/>
              </w:rPr>
              <w:t>F</w:t>
            </w:r>
          </w:p>
        </w:tc>
        <w:tc>
          <w:tcPr>
            <w:tcW w:w="0" w:type="auto"/>
            <w:shd w:val="clear" w:color="auto" w:fill="auto"/>
          </w:tcPr>
          <w:p w14:paraId="57A08F71" w14:textId="77777777" w:rsidR="008C5CFA" w:rsidRPr="0024468B" w:rsidRDefault="00E82A60" w:rsidP="00300A01">
            <w:pPr>
              <w:spacing w:before="0" w:after="0"/>
              <w:rPr>
                <w:sz w:val="16"/>
                <w:szCs w:val="16"/>
                <w:lang w:val="fr-BE"/>
              </w:rPr>
            </w:pPr>
            <w:r>
              <w:rPr>
                <w:noProof/>
                <w:sz w:val="16"/>
                <w:szCs w:val="16"/>
                <w:lang w:val="fr-BE"/>
              </w:rPr>
              <w:t>41</w:t>
            </w:r>
          </w:p>
        </w:tc>
        <w:tc>
          <w:tcPr>
            <w:tcW w:w="0" w:type="auto"/>
            <w:shd w:val="clear" w:color="auto" w:fill="auto"/>
          </w:tcPr>
          <w:p w14:paraId="45ABB8AB" w14:textId="77777777" w:rsidR="008C5CFA" w:rsidRPr="0024468B" w:rsidRDefault="00E82A60" w:rsidP="00300A01">
            <w:pPr>
              <w:spacing w:before="0" w:after="0"/>
              <w:rPr>
                <w:sz w:val="16"/>
                <w:szCs w:val="16"/>
                <w:lang w:val="fr-BE"/>
              </w:rPr>
            </w:pPr>
            <w:r>
              <w:rPr>
                <w:noProof/>
                <w:sz w:val="16"/>
                <w:szCs w:val="16"/>
                <w:lang w:val="fr-BE"/>
              </w:rPr>
              <w:t>Liczba zmodernizowanych dworców i centrów przesiadkowych</w:t>
            </w:r>
          </w:p>
        </w:tc>
        <w:tc>
          <w:tcPr>
            <w:tcW w:w="0" w:type="auto"/>
          </w:tcPr>
          <w:p w14:paraId="67D8510F"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70AA9D97"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5C6C8E55"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4B9D430C"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6B21F9F9"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117FC4C3"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r w:rsidR="006B2EC1" w14:paraId="633223FD" w14:textId="77777777" w:rsidTr="0047688D">
        <w:tc>
          <w:tcPr>
            <w:tcW w:w="0" w:type="auto"/>
          </w:tcPr>
          <w:p w14:paraId="02E16CC1" w14:textId="77777777" w:rsidR="008C5CFA" w:rsidRPr="0024468B" w:rsidRDefault="00E82A60" w:rsidP="00300A01">
            <w:pPr>
              <w:spacing w:before="0" w:after="0"/>
              <w:rPr>
                <w:sz w:val="16"/>
                <w:szCs w:val="16"/>
                <w:lang w:val="fr-BE"/>
              </w:rPr>
            </w:pPr>
            <w:r>
              <w:rPr>
                <w:noProof/>
                <w:sz w:val="16"/>
                <w:szCs w:val="16"/>
                <w:lang w:val="fr-BE"/>
              </w:rPr>
              <w:t>S</w:t>
            </w:r>
          </w:p>
        </w:tc>
        <w:tc>
          <w:tcPr>
            <w:tcW w:w="0" w:type="auto"/>
            <w:shd w:val="clear" w:color="auto" w:fill="auto"/>
          </w:tcPr>
          <w:p w14:paraId="1D15C783" w14:textId="77777777" w:rsidR="008C5CFA" w:rsidRPr="0024468B" w:rsidRDefault="00E82A60" w:rsidP="00300A01">
            <w:pPr>
              <w:spacing w:before="0" w:after="0"/>
              <w:rPr>
                <w:sz w:val="16"/>
                <w:szCs w:val="16"/>
                <w:lang w:val="fr-BE"/>
              </w:rPr>
            </w:pPr>
            <w:r>
              <w:rPr>
                <w:noProof/>
                <w:sz w:val="16"/>
                <w:szCs w:val="16"/>
                <w:lang w:val="fr-BE"/>
              </w:rPr>
              <w:t>41</w:t>
            </w:r>
          </w:p>
        </w:tc>
        <w:tc>
          <w:tcPr>
            <w:tcW w:w="0" w:type="auto"/>
            <w:shd w:val="clear" w:color="auto" w:fill="auto"/>
          </w:tcPr>
          <w:p w14:paraId="6793A430" w14:textId="77777777" w:rsidR="008C5CFA" w:rsidRPr="0024468B" w:rsidRDefault="00E82A60" w:rsidP="00300A01">
            <w:pPr>
              <w:spacing w:before="0" w:after="0"/>
              <w:rPr>
                <w:sz w:val="16"/>
                <w:szCs w:val="16"/>
                <w:lang w:val="fr-BE"/>
              </w:rPr>
            </w:pPr>
            <w:r>
              <w:rPr>
                <w:noProof/>
                <w:sz w:val="16"/>
                <w:szCs w:val="16"/>
                <w:lang w:val="fr-BE"/>
              </w:rPr>
              <w:t>Liczba zmodernizowanych dworców i centrów przesiadkowych</w:t>
            </w:r>
          </w:p>
        </w:tc>
        <w:tc>
          <w:tcPr>
            <w:tcW w:w="0" w:type="auto"/>
          </w:tcPr>
          <w:p w14:paraId="260EADBD"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1C2BFF82"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5EF5DB84"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18F34720"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47FC46E1"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3437FEAE"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bl>
    <w:p w14:paraId="159B8564" w14:textId="77777777" w:rsidR="008C5CFA" w:rsidRDefault="008C5CFA" w:rsidP="00300A01">
      <w:pPr>
        <w:spacing w:before="0" w:after="0"/>
        <w:rPr>
          <w:lang w:val="fr-BE"/>
        </w:rPr>
      </w:pPr>
    </w:p>
    <w:p w14:paraId="0A591710" w14:textId="77777777" w:rsidR="008C5CFA" w:rsidRDefault="008C5CFA" w:rsidP="00300A01">
      <w:pPr>
        <w:spacing w:before="0" w:after="0"/>
        <w:rPr>
          <w:lang w:val="fr-BE"/>
        </w:rPr>
      </w:pPr>
    </w:p>
    <w:p w14:paraId="16D66A1A" w14:textId="77777777" w:rsidR="008C5CFA" w:rsidRDefault="00E82A60" w:rsidP="00300A01">
      <w:pPr>
        <w:spacing w:before="0" w:after="0"/>
        <w:rPr>
          <w:lang w:val="fr-BE"/>
        </w:rPr>
      </w:pPr>
      <w:r>
        <w:rPr>
          <w:lang w:val="fr-BE"/>
        </w:rPr>
        <w:br w:type="page"/>
      </w:r>
    </w:p>
    <w:p w14:paraId="3AB11E25"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4"/>
        <w:gridCol w:w="13420"/>
      </w:tblGrid>
      <w:tr w:rsidR="006B2EC1" w14:paraId="27009AEE" w14:textId="77777777" w:rsidTr="0047688D">
        <w:tc>
          <w:tcPr>
            <w:tcW w:w="0" w:type="auto"/>
            <w:shd w:val="clear" w:color="auto" w:fill="auto"/>
          </w:tcPr>
          <w:p w14:paraId="37DE3BD9" w14:textId="77777777" w:rsidR="008C5CFA" w:rsidRPr="002124FC" w:rsidRDefault="00E82A60" w:rsidP="00300A01">
            <w:pPr>
              <w:spacing w:before="0" w:after="0"/>
              <w:rPr>
                <w:sz w:val="20"/>
                <w:szCs w:val="20"/>
                <w:lang w:val="fr-BE"/>
              </w:rPr>
            </w:pPr>
            <w:r>
              <w:rPr>
                <w:lang w:val="fr-BE"/>
              </w:rPr>
              <w:br w:type="page"/>
            </w:r>
            <w:r>
              <w:rPr>
                <w:lang w:val="fr-BE"/>
              </w:rPr>
              <w:br w:type="page"/>
            </w:r>
            <w:r>
              <w:rPr>
                <w:lang w:val="fr-BE"/>
              </w:rPr>
              <w:br w:type="page"/>
            </w:r>
            <w:r w:rsidRPr="002124FC">
              <w:rPr>
                <w:noProof/>
                <w:sz w:val="20"/>
                <w:szCs w:val="20"/>
                <w:lang w:val="fr-BE"/>
              </w:rPr>
              <w:t>Oś priorytetowa</w:t>
            </w:r>
          </w:p>
        </w:tc>
        <w:tc>
          <w:tcPr>
            <w:tcW w:w="0" w:type="auto"/>
            <w:shd w:val="clear" w:color="auto" w:fill="auto"/>
          </w:tcPr>
          <w:p w14:paraId="63AAB578" w14:textId="77777777" w:rsidR="008C5CFA" w:rsidRPr="002124FC" w:rsidRDefault="00E82A60" w:rsidP="00300A01">
            <w:pPr>
              <w:spacing w:before="0" w:after="0"/>
              <w:rPr>
                <w:sz w:val="20"/>
                <w:szCs w:val="20"/>
                <w:lang w:val="fr-BE"/>
              </w:rPr>
            </w:pPr>
            <w:r>
              <w:rPr>
                <w:noProof/>
                <w:sz w:val="20"/>
                <w:szCs w:val="20"/>
                <w:lang w:val="fr-BE"/>
              </w:rPr>
              <w:t>3</w:t>
            </w:r>
            <w:r w:rsidRPr="002124FC">
              <w:rPr>
                <w:sz w:val="20"/>
                <w:szCs w:val="20"/>
                <w:lang w:val="fr-BE"/>
              </w:rPr>
              <w:t xml:space="preserve"> - </w:t>
            </w:r>
            <w:r>
              <w:rPr>
                <w:noProof/>
                <w:sz w:val="20"/>
                <w:szCs w:val="20"/>
                <w:lang w:val="fr-BE"/>
              </w:rPr>
              <w:t>Efektywna i zielona energia</w:t>
            </w:r>
          </w:p>
        </w:tc>
      </w:tr>
      <w:tr w:rsidR="006B2EC1" w14:paraId="0616AFF0" w14:textId="77777777" w:rsidTr="0047688D">
        <w:tc>
          <w:tcPr>
            <w:tcW w:w="0" w:type="auto"/>
            <w:shd w:val="clear" w:color="auto" w:fill="auto"/>
          </w:tcPr>
          <w:p w14:paraId="5D446A3C" w14:textId="77777777" w:rsidR="008C5CFA" w:rsidRPr="002124FC" w:rsidRDefault="00E82A60"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14:paraId="24AC6E78" w14:textId="77777777" w:rsidR="008C5CFA" w:rsidRPr="002124FC" w:rsidRDefault="00E82A60" w:rsidP="00300A01">
            <w:pPr>
              <w:spacing w:before="0" w:after="0"/>
              <w:rPr>
                <w:sz w:val="20"/>
                <w:szCs w:val="20"/>
                <w:lang w:val="fr-BE"/>
              </w:rPr>
            </w:pPr>
            <w:r w:rsidRPr="002124FC">
              <w:rPr>
                <w:noProof/>
                <w:sz w:val="20"/>
                <w:szCs w:val="20"/>
                <w:lang w:val="fr-BE"/>
              </w:rPr>
              <w:t>4e</w:t>
            </w:r>
            <w:r w:rsidRPr="002124FC">
              <w:rPr>
                <w:sz w:val="20"/>
                <w:szCs w:val="20"/>
                <w:lang w:val="fr-BE"/>
              </w:rPr>
              <w:t xml:space="preserve"> - </w:t>
            </w:r>
            <w:r>
              <w:rPr>
                <w:noProof/>
                <w:sz w:val="20"/>
                <w:szCs w:val="20"/>
                <w:lang w:val="fr-BE"/>
              </w:rPr>
              <w:t>Promowanie strategii niskoemisyjnych dla wszystkich rodzajów terytoriów, w szczególności dla obszarów miejskich, w tym wspieranie zrównoważonej multimodalnej mobilności miejskiej i działań adaptacyjnych mających oddziaływanie łagodzące na zmiany klimatu</w:t>
            </w:r>
          </w:p>
        </w:tc>
      </w:tr>
      <w:tr w:rsidR="006B2EC1" w14:paraId="69A3F25A" w14:textId="77777777" w:rsidTr="0047688D">
        <w:tc>
          <w:tcPr>
            <w:tcW w:w="0" w:type="auto"/>
            <w:shd w:val="clear" w:color="auto" w:fill="auto"/>
          </w:tcPr>
          <w:p w14:paraId="2F684276" w14:textId="77777777" w:rsidR="008C5CFA" w:rsidRPr="002124FC" w:rsidRDefault="00E82A60" w:rsidP="00300A01">
            <w:pPr>
              <w:spacing w:before="0" w:after="0"/>
              <w:ind w:left="113" w:hanging="113"/>
              <w:rPr>
                <w:sz w:val="20"/>
                <w:szCs w:val="20"/>
                <w:lang w:val="fr-BE"/>
              </w:rPr>
            </w:pPr>
            <w:r>
              <w:rPr>
                <w:noProof/>
                <w:sz w:val="20"/>
                <w:szCs w:val="20"/>
                <w:lang w:val="fr-BE"/>
              </w:rPr>
              <w:t>Cel szczegółowy</w:t>
            </w:r>
          </w:p>
        </w:tc>
        <w:tc>
          <w:tcPr>
            <w:tcW w:w="0" w:type="auto"/>
            <w:shd w:val="clear" w:color="auto" w:fill="auto"/>
          </w:tcPr>
          <w:p w14:paraId="4DCA6C27" w14:textId="77777777" w:rsidR="008C5CFA" w:rsidRPr="002124FC" w:rsidRDefault="00E82A60" w:rsidP="00300A01">
            <w:pPr>
              <w:spacing w:before="0" w:after="0"/>
              <w:rPr>
                <w:sz w:val="20"/>
                <w:szCs w:val="20"/>
                <w:lang w:val="fr-BE"/>
              </w:rPr>
            </w:pPr>
            <w:r>
              <w:rPr>
                <w:noProof/>
                <w:sz w:val="20"/>
                <w:szCs w:val="20"/>
                <w:lang w:val="fr-BE"/>
              </w:rPr>
              <w:t>1</w:t>
            </w:r>
            <w:r>
              <w:rPr>
                <w:sz w:val="20"/>
                <w:szCs w:val="20"/>
                <w:lang w:val="fr-BE"/>
              </w:rPr>
              <w:t xml:space="preserve"> - </w:t>
            </w:r>
            <w:r>
              <w:rPr>
                <w:noProof/>
                <w:sz w:val="20"/>
                <w:szCs w:val="20"/>
                <w:lang w:val="fr-BE"/>
              </w:rPr>
              <w:t>Ograniczona emisja pyłów i substancji szkodliwych do atmosfery</w:t>
            </w:r>
          </w:p>
        </w:tc>
      </w:tr>
    </w:tbl>
    <w:p w14:paraId="51954CE6" w14:textId="77777777" w:rsidR="008C5CFA" w:rsidRDefault="008C5CFA" w:rsidP="00300A01">
      <w:pPr>
        <w:spacing w:before="0" w:after="0"/>
        <w:rPr>
          <w:lang w:val="fr-BE"/>
        </w:rPr>
      </w:pPr>
    </w:p>
    <w:p w14:paraId="67B3E41A" w14:textId="77777777" w:rsidR="008C5CFA" w:rsidRDefault="00E82A60" w:rsidP="00300A01">
      <w:pPr>
        <w:spacing w:before="0" w:after="0"/>
        <w:rPr>
          <w:lang w:val="fr-BE"/>
        </w:rPr>
      </w:pPr>
      <w:r>
        <w:rPr>
          <w:lang w:val="fr-BE"/>
        </w:rPr>
        <w:t xml:space="preserve">Tabela 1: Wskaźniki rezultatu dla EFRR i Funduszu Spójności (według osi priorytetowej i celu szczegółowego); ma zastosowanie także do osi priorytetowej </w:t>
      </w:r>
      <w:r>
        <w:t>"</w:t>
      </w:r>
      <w:r>
        <w:rPr>
          <w:lang w:val="fr-BE"/>
        </w:rPr>
        <w:t>Pomoc techniczna</w:t>
      </w:r>
      <w:r>
        <w:t>"</w:t>
      </w:r>
    </w:p>
    <w:p w14:paraId="7B429D65"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3650"/>
        <w:gridCol w:w="1425"/>
        <w:gridCol w:w="1555"/>
        <w:gridCol w:w="1445"/>
        <w:gridCol w:w="1154"/>
        <w:gridCol w:w="1993"/>
        <w:gridCol w:w="1234"/>
        <w:gridCol w:w="1485"/>
        <w:gridCol w:w="727"/>
      </w:tblGrid>
      <w:tr w:rsidR="006B2EC1" w14:paraId="334F25F3" w14:textId="77777777" w:rsidTr="0047688D">
        <w:tc>
          <w:tcPr>
            <w:tcW w:w="0" w:type="auto"/>
            <w:shd w:val="clear" w:color="auto" w:fill="auto"/>
          </w:tcPr>
          <w:p w14:paraId="459D37BB" w14:textId="77777777" w:rsidR="008C5CFA" w:rsidRPr="0024468B" w:rsidRDefault="00E82A60" w:rsidP="00300A01">
            <w:pPr>
              <w:spacing w:before="0" w:after="0"/>
              <w:rPr>
                <w:sz w:val="16"/>
                <w:szCs w:val="16"/>
                <w:lang w:val="fr-BE"/>
              </w:rPr>
            </w:pPr>
            <w:r w:rsidRPr="0024468B">
              <w:rPr>
                <w:noProof/>
                <w:sz w:val="16"/>
                <w:szCs w:val="16"/>
                <w:lang w:val="fr-BE"/>
              </w:rPr>
              <w:t>ID</w:t>
            </w:r>
          </w:p>
        </w:tc>
        <w:tc>
          <w:tcPr>
            <w:tcW w:w="0" w:type="auto"/>
            <w:shd w:val="clear" w:color="auto" w:fill="auto"/>
          </w:tcPr>
          <w:p w14:paraId="3B6FED81" w14:textId="77777777" w:rsidR="008C5CFA" w:rsidRPr="0024468B" w:rsidRDefault="00E82A60" w:rsidP="00300A01">
            <w:pPr>
              <w:spacing w:before="0" w:after="0"/>
              <w:rPr>
                <w:sz w:val="16"/>
                <w:szCs w:val="16"/>
                <w:lang w:val="fr-BE"/>
              </w:rPr>
            </w:pPr>
            <w:r w:rsidRPr="0024468B">
              <w:rPr>
                <w:noProof/>
                <w:sz w:val="16"/>
                <w:szCs w:val="16"/>
                <w:lang w:val="fr-BE"/>
              </w:rPr>
              <w:t>Wskaźnik</w:t>
            </w:r>
          </w:p>
        </w:tc>
        <w:tc>
          <w:tcPr>
            <w:tcW w:w="0" w:type="auto"/>
            <w:shd w:val="clear" w:color="auto" w:fill="auto"/>
          </w:tcPr>
          <w:p w14:paraId="4FF74F45" w14:textId="77777777" w:rsidR="008C5CFA" w:rsidRPr="0024468B" w:rsidRDefault="00E82A60" w:rsidP="00300A01">
            <w:pPr>
              <w:spacing w:before="0" w:after="0"/>
              <w:rPr>
                <w:sz w:val="16"/>
                <w:szCs w:val="16"/>
                <w:lang w:val="fr-BE"/>
              </w:rPr>
            </w:pPr>
            <w:r w:rsidRPr="0024468B">
              <w:rPr>
                <w:noProof/>
                <w:sz w:val="16"/>
                <w:szCs w:val="16"/>
                <w:lang w:val="fr-BE"/>
              </w:rPr>
              <w:t>Jednostka miary</w:t>
            </w:r>
          </w:p>
        </w:tc>
        <w:tc>
          <w:tcPr>
            <w:tcW w:w="0" w:type="auto"/>
            <w:shd w:val="clear" w:color="auto" w:fill="auto"/>
          </w:tcPr>
          <w:p w14:paraId="5DA8E900" w14:textId="77777777" w:rsidR="008C5CFA" w:rsidRPr="0024468B" w:rsidRDefault="00E82A60" w:rsidP="00300A01">
            <w:pPr>
              <w:spacing w:before="0" w:after="0"/>
              <w:rPr>
                <w:sz w:val="16"/>
                <w:szCs w:val="16"/>
                <w:lang w:val="fr-BE"/>
              </w:rPr>
            </w:pPr>
            <w:r w:rsidRPr="0024468B">
              <w:rPr>
                <w:noProof/>
                <w:sz w:val="16"/>
                <w:szCs w:val="16"/>
                <w:lang w:val="fr-BE"/>
              </w:rPr>
              <w:t>Kategoria regionu</w:t>
            </w:r>
          </w:p>
        </w:tc>
        <w:tc>
          <w:tcPr>
            <w:tcW w:w="0" w:type="auto"/>
            <w:shd w:val="clear" w:color="auto" w:fill="auto"/>
          </w:tcPr>
          <w:p w14:paraId="33FF8429" w14:textId="77777777" w:rsidR="008C5CFA" w:rsidRPr="0024468B" w:rsidRDefault="00E82A60" w:rsidP="00300A01">
            <w:pPr>
              <w:spacing w:before="0" w:after="0"/>
              <w:rPr>
                <w:sz w:val="16"/>
                <w:szCs w:val="16"/>
                <w:lang w:val="fr-BE"/>
              </w:rPr>
            </w:pPr>
            <w:r w:rsidRPr="0024468B">
              <w:rPr>
                <w:noProof/>
                <w:sz w:val="16"/>
                <w:szCs w:val="16"/>
                <w:lang w:val="fr-BE"/>
              </w:rPr>
              <w:t>Wartość bazowa</w:t>
            </w:r>
          </w:p>
        </w:tc>
        <w:tc>
          <w:tcPr>
            <w:tcW w:w="0" w:type="auto"/>
            <w:shd w:val="clear" w:color="auto" w:fill="auto"/>
          </w:tcPr>
          <w:p w14:paraId="6C7DE698" w14:textId="77777777" w:rsidR="008C5CFA" w:rsidRPr="0024468B" w:rsidRDefault="00E82A60" w:rsidP="00300A01">
            <w:pPr>
              <w:spacing w:before="0" w:after="0"/>
              <w:rPr>
                <w:sz w:val="16"/>
                <w:szCs w:val="16"/>
                <w:lang w:val="fr-BE"/>
              </w:rPr>
            </w:pPr>
            <w:r w:rsidRPr="0024468B">
              <w:rPr>
                <w:noProof/>
                <w:sz w:val="16"/>
                <w:szCs w:val="16"/>
                <w:lang w:val="fr-BE"/>
              </w:rPr>
              <w:t>Rok bazowy</w:t>
            </w:r>
          </w:p>
        </w:tc>
        <w:tc>
          <w:tcPr>
            <w:tcW w:w="0" w:type="auto"/>
            <w:shd w:val="clear" w:color="auto" w:fill="auto"/>
          </w:tcPr>
          <w:p w14:paraId="35043CEC" w14:textId="77777777" w:rsidR="008C5CFA" w:rsidRPr="0024468B" w:rsidRDefault="00E82A60" w:rsidP="00300A01">
            <w:pPr>
              <w:spacing w:before="0" w:after="0"/>
              <w:rPr>
                <w:sz w:val="16"/>
                <w:szCs w:val="16"/>
                <w:lang w:val="fr-BE"/>
              </w:rPr>
            </w:pPr>
            <w:r w:rsidRPr="0024468B">
              <w:rPr>
                <w:noProof/>
                <w:sz w:val="16"/>
                <w:szCs w:val="16"/>
                <w:lang w:val="fr-BE"/>
              </w:rPr>
              <w:t>Wartość docelowa 2023</w:t>
            </w:r>
          </w:p>
        </w:tc>
        <w:tc>
          <w:tcPr>
            <w:tcW w:w="0" w:type="auto"/>
            <w:shd w:val="clear" w:color="auto" w:fill="auto"/>
          </w:tcPr>
          <w:p w14:paraId="7EA1EC31" w14:textId="77777777" w:rsidR="008C5CFA" w:rsidRPr="0024468B" w:rsidRDefault="00E82A60" w:rsidP="00300A01">
            <w:pPr>
              <w:spacing w:before="0" w:after="0"/>
              <w:jc w:val="center"/>
              <w:rPr>
                <w:sz w:val="16"/>
                <w:szCs w:val="16"/>
                <w:lang w:val="fr-BE"/>
              </w:rPr>
            </w:pPr>
            <w:r>
              <w:rPr>
                <w:sz w:val="16"/>
                <w:szCs w:val="16"/>
                <w:lang w:val="fr-BE"/>
              </w:rPr>
              <w:t xml:space="preserve">2019 </w:t>
            </w:r>
            <w:r>
              <w:rPr>
                <w:noProof/>
                <w:sz w:val="16"/>
                <w:szCs w:val="16"/>
                <w:lang w:val="fr-BE"/>
              </w:rPr>
              <w:t>Ogółem</w:t>
            </w:r>
          </w:p>
        </w:tc>
        <w:tc>
          <w:tcPr>
            <w:tcW w:w="0" w:type="auto"/>
            <w:shd w:val="clear" w:color="auto" w:fill="auto"/>
          </w:tcPr>
          <w:p w14:paraId="24EF186D" w14:textId="77777777" w:rsidR="008C5CFA" w:rsidRPr="0024468B" w:rsidRDefault="00E82A60" w:rsidP="00300A01">
            <w:pPr>
              <w:spacing w:before="0" w:after="0"/>
              <w:jc w:val="center"/>
              <w:rPr>
                <w:sz w:val="16"/>
                <w:szCs w:val="16"/>
                <w:lang w:val="fr-BE"/>
              </w:rPr>
            </w:pPr>
            <w:r>
              <w:rPr>
                <w:sz w:val="16"/>
                <w:szCs w:val="16"/>
                <w:lang w:val="fr-BE"/>
              </w:rPr>
              <w:t xml:space="preserve">2019 </w:t>
            </w:r>
            <w:r w:rsidRPr="0024468B">
              <w:rPr>
                <w:noProof/>
                <w:sz w:val="16"/>
                <w:szCs w:val="16"/>
                <w:lang w:val="fr-BE"/>
              </w:rPr>
              <w:t>Jakościowe</w:t>
            </w:r>
          </w:p>
        </w:tc>
        <w:tc>
          <w:tcPr>
            <w:tcW w:w="0" w:type="auto"/>
            <w:shd w:val="clear" w:color="auto" w:fill="auto"/>
          </w:tcPr>
          <w:p w14:paraId="0388D48F" w14:textId="77777777" w:rsidR="008C5CFA" w:rsidRPr="0024468B" w:rsidRDefault="00E82A60" w:rsidP="00300A01">
            <w:pPr>
              <w:spacing w:before="0" w:after="0"/>
              <w:jc w:val="center"/>
              <w:rPr>
                <w:sz w:val="16"/>
                <w:szCs w:val="16"/>
                <w:lang w:val="fr-BE"/>
              </w:rPr>
            </w:pPr>
            <w:r w:rsidRPr="0024468B">
              <w:rPr>
                <w:noProof/>
                <w:sz w:val="16"/>
                <w:szCs w:val="16"/>
                <w:lang w:val="fr-BE"/>
              </w:rPr>
              <w:t>Uwagi</w:t>
            </w:r>
          </w:p>
        </w:tc>
      </w:tr>
      <w:tr w:rsidR="006B2EC1" w14:paraId="59926234" w14:textId="77777777" w:rsidTr="0047688D">
        <w:tc>
          <w:tcPr>
            <w:tcW w:w="0" w:type="auto"/>
            <w:shd w:val="clear" w:color="auto" w:fill="auto"/>
          </w:tcPr>
          <w:p w14:paraId="7E6FB75C" w14:textId="77777777" w:rsidR="008C5CFA" w:rsidRPr="0024468B" w:rsidRDefault="00E82A60" w:rsidP="00300A01">
            <w:pPr>
              <w:spacing w:before="0" w:after="0"/>
              <w:rPr>
                <w:sz w:val="16"/>
                <w:szCs w:val="16"/>
                <w:lang w:val="fr-BE"/>
              </w:rPr>
            </w:pPr>
            <w:r w:rsidRPr="0024468B">
              <w:rPr>
                <w:noProof/>
                <w:sz w:val="16"/>
                <w:szCs w:val="16"/>
                <w:lang w:val="fr-BE"/>
              </w:rPr>
              <w:t>042</w:t>
            </w:r>
          </w:p>
        </w:tc>
        <w:tc>
          <w:tcPr>
            <w:tcW w:w="0" w:type="auto"/>
            <w:shd w:val="clear" w:color="auto" w:fill="auto"/>
          </w:tcPr>
          <w:p w14:paraId="1EDA4DB1" w14:textId="77777777" w:rsidR="008C5CFA" w:rsidRPr="0024468B" w:rsidRDefault="00E82A60" w:rsidP="00300A01">
            <w:pPr>
              <w:spacing w:before="0" w:after="0"/>
              <w:rPr>
                <w:sz w:val="16"/>
                <w:szCs w:val="16"/>
                <w:lang w:val="fr-BE"/>
              </w:rPr>
            </w:pPr>
            <w:r w:rsidRPr="0024468B">
              <w:rPr>
                <w:noProof/>
                <w:sz w:val="16"/>
                <w:szCs w:val="16"/>
                <w:lang w:val="fr-BE"/>
              </w:rPr>
              <w:t>Wartość średniej rocznej emisji dla pyłu PM10</w:t>
            </w:r>
          </w:p>
        </w:tc>
        <w:tc>
          <w:tcPr>
            <w:tcW w:w="0" w:type="auto"/>
            <w:shd w:val="clear" w:color="auto" w:fill="auto"/>
          </w:tcPr>
          <w:p w14:paraId="37E35026" w14:textId="77777777" w:rsidR="008C5CFA" w:rsidRPr="0024468B" w:rsidRDefault="00E82A60" w:rsidP="00300A01">
            <w:pPr>
              <w:spacing w:before="0" w:after="0"/>
              <w:rPr>
                <w:sz w:val="16"/>
                <w:szCs w:val="16"/>
                <w:lang w:val="fr-BE"/>
              </w:rPr>
            </w:pPr>
            <w:r w:rsidRPr="0024468B">
              <w:rPr>
                <w:noProof/>
                <w:sz w:val="16"/>
                <w:szCs w:val="16"/>
                <w:lang w:val="fr-BE"/>
              </w:rPr>
              <w:t>µmg/m3</w:t>
            </w:r>
          </w:p>
        </w:tc>
        <w:tc>
          <w:tcPr>
            <w:tcW w:w="0" w:type="auto"/>
            <w:shd w:val="clear" w:color="auto" w:fill="auto"/>
          </w:tcPr>
          <w:p w14:paraId="26869B45" w14:textId="77777777" w:rsidR="008C5CFA" w:rsidRPr="0024468B" w:rsidRDefault="00E82A60"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14:paraId="14FF7B43" w14:textId="77777777" w:rsidR="008C5CFA" w:rsidRPr="00C3185A" w:rsidRDefault="00E82A60" w:rsidP="00300A01">
            <w:pPr>
              <w:spacing w:before="0" w:after="0"/>
              <w:jc w:val="right"/>
              <w:rPr>
                <w:sz w:val="16"/>
                <w:szCs w:val="16"/>
                <w:lang w:val="fr-BE"/>
              </w:rPr>
            </w:pPr>
            <w:r w:rsidRPr="00C3185A">
              <w:rPr>
                <w:noProof/>
                <w:sz w:val="16"/>
                <w:szCs w:val="16"/>
                <w:lang w:val="fr-BE"/>
              </w:rPr>
              <w:t>38,00</w:t>
            </w:r>
          </w:p>
        </w:tc>
        <w:tc>
          <w:tcPr>
            <w:tcW w:w="0" w:type="auto"/>
            <w:shd w:val="clear" w:color="auto" w:fill="auto"/>
          </w:tcPr>
          <w:p w14:paraId="282880F9" w14:textId="77777777" w:rsidR="008C5CFA" w:rsidRPr="0024468B" w:rsidRDefault="00E82A60" w:rsidP="00300A01">
            <w:pPr>
              <w:spacing w:before="0" w:after="0"/>
              <w:rPr>
                <w:sz w:val="16"/>
                <w:szCs w:val="16"/>
                <w:lang w:val="fr-BE"/>
              </w:rPr>
            </w:pPr>
            <w:r w:rsidRPr="0024468B">
              <w:rPr>
                <w:noProof/>
                <w:sz w:val="16"/>
                <w:szCs w:val="16"/>
                <w:lang w:val="fr-BE"/>
              </w:rPr>
              <w:t>2013</w:t>
            </w:r>
          </w:p>
        </w:tc>
        <w:tc>
          <w:tcPr>
            <w:tcW w:w="0" w:type="auto"/>
            <w:shd w:val="clear" w:color="auto" w:fill="auto"/>
          </w:tcPr>
          <w:p w14:paraId="34E89CCF" w14:textId="77777777" w:rsidR="008C5CFA" w:rsidRPr="0024468B" w:rsidRDefault="00E82A60" w:rsidP="00300A01">
            <w:pPr>
              <w:spacing w:before="0" w:after="0"/>
              <w:jc w:val="right"/>
              <w:rPr>
                <w:sz w:val="16"/>
                <w:szCs w:val="16"/>
                <w:lang w:val="fr-BE"/>
              </w:rPr>
            </w:pPr>
            <w:r w:rsidRPr="0024468B">
              <w:rPr>
                <w:noProof/>
                <w:sz w:val="16"/>
                <w:szCs w:val="16"/>
                <w:lang w:val="fr-BE"/>
              </w:rPr>
              <w:t>32,00</w:t>
            </w:r>
          </w:p>
        </w:tc>
        <w:tc>
          <w:tcPr>
            <w:tcW w:w="0" w:type="auto"/>
            <w:shd w:val="clear" w:color="auto" w:fill="auto"/>
          </w:tcPr>
          <w:p w14:paraId="5AD48E8F"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276DEA3A" w14:textId="77777777" w:rsidR="008C5CFA" w:rsidRPr="0024468B" w:rsidRDefault="008C5CFA" w:rsidP="00300A01">
            <w:pPr>
              <w:spacing w:before="0" w:after="0"/>
              <w:jc w:val="right"/>
              <w:rPr>
                <w:sz w:val="16"/>
                <w:szCs w:val="16"/>
                <w:lang w:val="fr-BE"/>
              </w:rPr>
            </w:pPr>
          </w:p>
        </w:tc>
        <w:tc>
          <w:tcPr>
            <w:tcW w:w="0" w:type="auto"/>
            <w:shd w:val="clear" w:color="auto" w:fill="auto"/>
          </w:tcPr>
          <w:p w14:paraId="3EBF8A96" w14:textId="77777777" w:rsidR="008C5CFA" w:rsidRPr="0024468B" w:rsidRDefault="008C5CFA" w:rsidP="00300A01">
            <w:pPr>
              <w:spacing w:before="0" w:after="0"/>
              <w:rPr>
                <w:sz w:val="16"/>
                <w:szCs w:val="16"/>
                <w:lang w:val="fr-BE"/>
              </w:rPr>
            </w:pPr>
          </w:p>
          <w:p w14:paraId="55347C53" w14:textId="77777777" w:rsidR="008C5CFA" w:rsidRPr="0024468B" w:rsidRDefault="008C5CFA" w:rsidP="00300A01">
            <w:pPr>
              <w:spacing w:before="0" w:after="0"/>
              <w:rPr>
                <w:sz w:val="16"/>
                <w:szCs w:val="16"/>
                <w:lang w:val="fr-BE"/>
              </w:rPr>
            </w:pPr>
          </w:p>
        </w:tc>
      </w:tr>
    </w:tbl>
    <w:p w14:paraId="5FCE4DDD"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0"/>
        <w:gridCol w:w="3684"/>
        <w:gridCol w:w="1246"/>
        <w:gridCol w:w="1499"/>
        <w:gridCol w:w="1246"/>
        <w:gridCol w:w="1499"/>
        <w:gridCol w:w="1246"/>
        <w:gridCol w:w="1499"/>
        <w:gridCol w:w="1246"/>
        <w:gridCol w:w="1499"/>
      </w:tblGrid>
      <w:tr w:rsidR="006B2EC1" w14:paraId="29E0BF78" w14:textId="77777777" w:rsidTr="0047688D">
        <w:tc>
          <w:tcPr>
            <w:tcW w:w="0" w:type="auto"/>
            <w:shd w:val="clear" w:color="auto" w:fill="auto"/>
          </w:tcPr>
          <w:p w14:paraId="088E037C" w14:textId="77777777" w:rsidR="008C5CFA" w:rsidRPr="0024468B" w:rsidRDefault="00E82A60" w:rsidP="00300A01">
            <w:pPr>
              <w:spacing w:before="0" w:after="0"/>
              <w:rPr>
                <w:sz w:val="16"/>
                <w:szCs w:val="16"/>
                <w:lang w:val="fr-BE"/>
              </w:rPr>
            </w:pPr>
            <w:r w:rsidRPr="0024468B">
              <w:rPr>
                <w:noProof/>
                <w:sz w:val="16"/>
                <w:szCs w:val="16"/>
                <w:lang w:val="fr-BE"/>
              </w:rPr>
              <w:t>ID</w:t>
            </w:r>
          </w:p>
        </w:tc>
        <w:tc>
          <w:tcPr>
            <w:tcW w:w="0" w:type="auto"/>
            <w:shd w:val="clear" w:color="auto" w:fill="auto"/>
          </w:tcPr>
          <w:p w14:paraId="4B286A9D" w14:textId="77777777" w:rsidR="008C5CFA" w:rsidRPr="0024468B" w:rsidRDefault="00E82A60" w:rsidP="00300A01">
            <w:pPr>
              <w:spacing w:before="0" w:after="0"/>
              <w:rPr>
                <w:sz w:val="16"/>
                <w:szCs w:val="16"/>
                <w:lang w:val="fr-BE"/>
              </w:rPr>
            </w:pPr>
            <w:r w:rsidRPr="0024468B">
              <w:rPr>
                <w:noProof/>
                <w:sz w:val="16"/>
                <w:szCs w:val="16"/>
                <w:lang w:val="fr-BE"/>
              </w:rPr>
              <w:t>Wskaźnik</w:t>
            </w:r>
          </w:p>
        </w:tc>
        <w:tc>
          <w:tcPr>
            <w:tcW w:w="0" w:type="auto"/>
          </w:tcPr>
          <w:p w14:paraId="688ED636" w14:textId="77777777" w:rsidR="008C5CFA" w:rsidRPr="0024468B" w:rsidRDefault="00E82A60" w:rsidP="00300A01">
            <w:pPr>
              <w:spacing w:before="0" w:after="0"/>
              <w:jc w:val="center"/>
              <w:rPr>
                <w:sz w:val="16"/>
                <w:szCs w:val="16"/>
                <w:lang w:val="fr-BE"/>
              </w:rPr>
            </w:pPr>
            <w:r>
              <w:rPr>
                <w:sz w:val="16"/>
                <w:szCs w:val="16"/>
                <w:lang w:val="fr-BE"/>
              </w:rPr>
              <w:t xml:space="preserve">2018 </w:t>
            </w:r>
            <w:r>
              <w:rPr>
                <w:noProof/>
                <w:sz w:val="16"/>
                <w:szCs w:val="16"/>
                <w:lang w:val="fr-BE"/>
              </w:rPr>
              <w:t>Ogółem</w:t>
            </w:r>
          </w:p>
        </w:tc>
        <w:tc>
          <w:tcPr>
            <w:tcW w:w="0" w:type="auto"/>
          </w:tcPr>
          <w:p w14:paraId="4ABCB2E7" w14:textId="77777777" w:rsidR="008C5CFA" w:rsidRPr="0024468B" w:rsidRDefault="00E82A60" w:rsidP="00300A01">
            <w:pPr>
              <w:spacing w:before="0" w:after="0"/>
              <w:jc w:val="center"/>
              <w:rPr>
                <w:sz w:val="16"/>
                <w:szCs w:val="16"/>
                <w:lang w:val="fr-BE"/>
              </w:rPr>
            </w:pPr>
            <w:r>
              <w:rPr>
                <w:sz w:val="16"/>
                <w:szCs w:val="16"/>
                <w:lang w:val="fr-BE"/>
              </w:rPr>
              <w:t xml:space="preserve">2018 </w:t>
            </w:r>
            <w:r w:rsidRPr="0024468B">
              <w:rPr>
                <w:noProof/>
                <w:sz w:val="16"/>
                <w:szCs w:val="16"/>
                <w:lang w:val="fr-BE"/>
              </w:rPr>
              <w:t>Jakościowe</w:t>
            </w:r>
          </w:p>
        </w:tc>
        <w:tc>
          <w:tcPr>
            <w:tcW w:w="0" w:type="auto"/>
          </w:tcPr>
          <w:p w14:paraId="4428273A" w14:textId="77777777" w:rsidR="008C5CFA" w:rsidRPr="0024468B" w:rsidRDefault="00E82A60" w:rsidP="00300A01">
            <w:pPr>
              <w:spacing w:before="0" w:after="0"/>
              <w:jc w:val="center"/>
              <w:rPr>
                <w:sz w:val="16"/>
                <w:szCs w:val="16"/>
                <w:lang w:val="fr-BE"/>
              </w:rPr>
            </w:pPr>
            <w:r>
              <w:rPr>
                <w:sz w:val="16"/>
                <w:szCs w:val="16"/>
                <w:lang w:val="fr-BE"/>
              </w:rPr>
              <w:t xml:space="preserve">2017 </w:t>
            </w:r>
            <w:r>
              <w:rPr>
                <w:noProof/>
                <w:sz w:val="16"/>
                <w:szCs w:val="16"/>
                <w:lang w:val="fr-BE"/>
              </w:rPr>
              <w:t>Ogółem</w:t>
            </w:r>
          </w:p>
        </w:tc>
        <w:tc>
          <w:tcPr>
            <w:tcW w:w="0" w:type="auto"/>
          </w:tcPr>
          <w:p w14:paraId="5375B7B5" w14:textId="77777777" w:rsidR="008C5CFA" w:rsidRPr="0024468B" w:rsidRDefault="00E82A60" w:rsidP="00300A01">
            <w:pPr>
              <w:spacing w:before="0" w:after="0"/>
              <w:jc w:val="center"/>
              <w:rPr>
                <w:sz w:val="16"/>
                <w:szCs w:val="16"/>
                <w:lang w:val="fr-BE"/>
              </w:rPr>
            </w:pPr>
            <w:r>
              <w:rPr>
                <w:sz w:val="16"/>
                <w:szCs w:val="16"/>
                <w:lang w:val="fr-BE"/>
              </w:rPr>
              <w:t xml:space="preserve">2017 </w:t>
            </w:r>
            <w:r w:rsidRPr="0024468B">
              <w:rPr>
                <w:noProof/>
                <w:sz w:val="16"/>
                <w:szCs w:val="16"/>
                <w:lang w:val="fr-BE"/>
              </w:rPr>
              <w:t>Jakościowe</w:t>
            </w:r>
          </w:p>
        </w:tc>
        <w:tc>
          <w:tcPr>
            <w:tcW w:w="0" w:type="auto"/>
          </w:tcPr>
          <w:p w14:paraId="66157A36" w14:textId="77777777" w:rsidR="008C5CFA" w:rsidRPr="0024468B" w:rsidRDefault="00E82A60" w:rsidP="00300A01">
            <w:pPr>
              <w:spacing w:before="0" w:after="0"/>
              <w:jc w:val="center"/>
              <w:rPr>
                <w:sz w:val="16"/>
                <w:szCs w:val="16"/>
                <w:lang w:val="fr-BE"/>
              </w:rPr>
            </w:pPr>
            <w:r>
              <w:rPr>
                <w:sz w:val="16"/>
                <w:szCs w:val="16"/>
                <w:lang w:val="fr-BE"/>
              </w:rPr>
              <w:t xml:space="preserve">2016 </w:t>
            </w:r>
            <w:r>
              <w:rPr>
                <w:noProof/>
                <w:sz w:val="16"/>
                <w:szCs w:val="16"/>
                <w:lang w:val="fr-BE"/>
              </w:rPr>
              <w:t>Ogółem</w:t>
            </w:r>
          </w:p>
        </w:tc>
        <w:tc>
          <w:tcPr>
            <w:tcW w:w="0" w:type="auto"/>
          </w:tcPr>
          <w:p w14:paraId="60FE5331" w14:textId="77777777" w:rsidR="008C5CFA" w:rsidRPr="0024468B" w:rsidRDefault="00E82A60" w:rsidP="00300A01">
            <w:pPr>
              <w:spacing w:before="0" w:after="0"/>
              <w:jc w:val="center"/>
              <w:rPr>
                <w:sz w:val="16"/>
                <w:szCs w:val="16"/>
                <w:lang w:val="fr-BE"/>
              </w:rPr>
            </w:pPr>
            <w:r>
              <w:rPr>
                <w:sz w:val="16"/>
                <w:szCs w:val="16"/>
                <w:lang w:val="fr-BE"/>
              </w:rPr>
              <w:t xml:space="preserve">2016 </w:t>
            </w:r>
            <w:r w:rsidRPr="0024468B">
              <w:rPr>
                <w:noProof/>
                <w:sz w:val="16"/>
                <w:szCs w:val="16"/>
                <w:lang w:val="fr-BE"/>
              </w:rPr>
              <w:t>Jakościowe</w:t>
            </w:r>
          </w:p>
        </w:tc>
        <w:tc>
          <w:tcPr>
            <w:tcW w:w="0" w:type="auto"/>
          </w:tcPr>
          <w:p w14:paraId="17CA5605" w14:textId="77777777" w:rsidR="008C5CFA" w:rsidRPr="0024468B" w:rsidRDefault="00E82A60" w:rsidP="00300A01">
            <w:pPr>
              <w:spacing w:before="0" w:after="0"/>
              <w:jc w:val="center"/>
              <w:rPr>
                <w:sz w:val="16"/>
                <w:szCs w:val="16"/>
                <w:lang w:val="fr-BE"/>
              </w:rPr>
            </w:pPr>
            <w:r>
              <w:rPr>
                <w:sz w:val="16"/>
                <w:szCs w:val="16"/>
                <w:lang w:val="fr-BE"/>
              </w:rPr>
              <w:t xml:space="preserve">2015 </w:t>
            </w:r>
            <w:r>
              <w:rPr>
                <w:noProof/>
                <w:sz w:val="16"/>
                <w:szCs w:val="16"/>
                <w:lang w:val="fr-BE"/>
              </w:rPr>
              <w:t>Ogółem</w:t>
            </w:r>
          </w:p>
        </w:tc>
        <w:tc>
          <w:tcPr>
            <w:tcW w:w="0" w:type="auto"/>
          </w:tcPr>
          <w:p w14:paraId="4852C1C7" w14:textId="77777777" w:rsidR="008C5CFA" w:rsidRPr="0024468B" w:rsidRDefault="00E82A60" w:rsidP="00300A01">
            <w:pPr>
              <w:spacing w:before="0" w:after="0"/>
              <w:jc w:val="center"/>
              <w:rPr>
                <w:sz w:val="16"/>
                <w:szCs w:val="16"/>
                <w:lang w:val="fr-BE"/>
              </w:rPr>
            </w:pPr>
            <w:r>
              <w:rPr>
                <w:sz w:val="16"/>
                <w:szCs w:val="16"/>
                <w:lang w:val="fr-BE"/>
              </w:rPr>
              <w:t xml:space="preserve">2015 </w:t>
            </w:r>
            <w:r w:rsidRPr="0024468B">
              <w:rPr>
                <w:noProof/>
                <w:sz w:val="16"/>
                <w:szCs w:val="16"/>
                <w:lang w:val="fr-BE"/>
              </w:rPr>
              <w:t>Jakościowe</w:t>
            </w:r>
          </w:p>
        </w:tc>
      </w:tr>
      <w:tr w:rsidR="006B2EC1" w14:paraId="42C6E1D9" w14:textId="77777777" w:rsidTr="0047688D">
        <w:tc>
          <w:tcPr>
            <w:tcW w:w="0" w:type="auto"/>
            <w:shd w:val="clear" w:color="auto" w:fill="auto"/>
          </w:tcPr>
          <w:p w14:paraId="2E1E1FB5" w14:textId="77777777" w:rsidR="008C5CFA" w:rsidRPr="0024468B" w:rsidRDefault="00E82A60" w:rsidP="00300A01">
            <w:pPr>
              <w:spacing w:before="0" w:after="0"/>
              <w:rPr>
                <w:sz w:val="16"/>
                <w:szCs w:val="16"/>
                <w:lang w:val="fr-BE"/>
              </w:rPr>
            </w:pPr>
            <w:r w:rsidRPr="0024468B">
              <w:rPr>
                <w:noProof/>
                <w:sz w:val="16"/>
                <w:szCs w:val="16"/>
                <w:lang w:val="fr-BE"/>
              </w:rPr>
              <w:t>042</w:t>
            </w:r>
          </w:p>
        </w:tc>
        <w:tc>
          <w:tcPr>
            <w:tcW w:w="0" w:type="auto"/>
            <w:shd w:val="clear" w:color="auto" w:fill="auto"/>
          </w:tcPr>
          <w:p w14:paraId="54B336AC" w14:textId="77777777" w:rsidR="008C5CFA" w:rsidRPr="0024468B" w:rsidRDefault="00E82A60" w:rsidP="00300A01">
            <w:pPr>
              <w:spacing w:before="0" w:after="0"/>
              <w:rPr>
                <w:sz w:val="16"/>
                <w:szCs w:val="16"/>
                <w:lang w:val="fr-BE"/>
              </w:rPr>
            </w:pPr>
            <w:r w:rsidRPr="0024468B">
              <w:rPr>
                <w:noProof/>
                <w:sz w:val="16"/>
                <w:szCs w:val="16"/>
                <w:lang w:val="fr-BE"/>
              </w:rPr>
              <w:t>Wartość średniej rocznej emisji dla pyłu PM10</w:t>
            </w:r>
          </w:p>
        </w:tc>
        <w:tc>
          <w:tcPr>
            <w:tcW w:w="0" w:type="auto"/>
          </w:tcPr>
          <w:p w14:paraId="7A454F1B" w14:textId="77777777" w:rsidR="008C5CFA" w:rsidRPr="0024468B" w:rsidRDefault="00E82A60" w:rsidP="00300A01">
            <w:pPr>
              <w:spacing w:before="0" w:after="0"/>
              <w:jc w:val="right"/>
              <w:rPr>
                <w:sz w:val="16"/>
                <w:szCs w:val="16"/>
                <w:lang w:val="fr-BE"/>
              </w:rPr>
            </w:pPr>
            <w:r w:rsidRPr="0024468B">
              <w:rPr>
                <w:noProof/>
                <w:sz w:val="16"/>
                <w:szCs w:val="16"/>
                <w:lang w:val="fr-BE"/>
              </w:rPr>
              <w:t>44,75</w:t>
            </w:r>
          </w:p>
        </w:tc>
        <w:tc>
          <w:tcPr>
            <w:tcW w:w="0" w:type="auto"/>
          </w:tcPr>
          <w:p w14:paraId="4FF8AADB" w14:textId="77777777" w:rsidR="008C5CFA" w:rsidRPr="0024468B" w:rsidRDefault="008C5CFA" w:rsidP="00300A01">
            <w:pPr>
              <w:spacing w:before="0" w:after="0"/>
              <w:jc w:val="right"/>
              <w:rPr>
                <w:sz w:val="16"/>
                <w:szCs w:val="16"/>
                <w:lang w:val="fr-BE"/>
              </w:rPr>
            </w:pPr>
          </w:p>
        </w:tc>
        <w:tc>
          <w:tcPr>
            <w:tcW w:w="0" w:type="auto"/>
          </w:tcPr>
          <w:p w14:paraId="11BF6AB4" w14:textId="77777777" w:rsidR="008C5CFA" w:rsidRPr="0024468B" w:rsidRDefault="00E82A60" w:rsidP="00300A01">
            <w:pPr>
              <w:spacing w:before="0" w:after="0"/>
              <w:jc w:val="right"/>
              <w:rPr>
                <w:sz w:val="16"/>
                <w:szCs w:val="16"/>
                <w:lang w:val="fr-BE"/>
              </w:rPr>
            </w:pPr>
            <w:r w:rsidRPr="0024468B">
              <w:rPr>
                <w:noProof/>
                <w:sz w:val="16"/>
                <w:szCs w:val="16"/>
                <w:lang w:val="fr-BE"/>
              </w:rPr>
              <w:t>30,75</w:t>
            </w:r>
          </w:p>
        </w:tc>
        <w:tc>
          <w:tcPr>
            <w:tcW w:w="0" w:type="auto"/>
          </w:tcPr>
          <w:p w14:paraId="776D3861" w14:textId="77777777" w:rsidR="008C5CFA" w:rsidRPr="0024468B" w:rsidRDefault="008C5CFA" w:rsidP="00300A01">
            <w:pPr>
              <w:spacing w:before="0" w:after="0"/>
              <w:jc w:val="right"/>
              <w:rPr>
                <w:sz w:val="16"/>
                <w:szCs w:val="16"/>
                <w:lang w:val="fr-BE"/>
              </w:rPr>
            </w:pPr>
          </w:p>
        </w:tc>
        <w:tc>
          <w:tcPr>
            <w:tcW w:w="0" w:type="auto"/>
          </w:tcPr>
          <w:p w14:paraId="3418DBE6" w14:textId="77777777" w:rsidR="008C5CFA" w:rsidRPr="0024468B" w:rsidRDefault="00E82A60" w:rsidP="00300A01">
            <w:pPr>
              <w:spacing w:before="0" w:after="0"/>
              <w:jc w:val="right"/>
              <w:rPr>
                <w:sz w:val="16"/>
                <w:szCs w:val="16"/>
                <w:lang w:val="fr-BE"/>
              </w:rPr>
            </w:pPr>
            <w:r w:rsidRPr="0024468B">
              <w:rPr>
                <w:noProof/>
                <w:sz w:val="16"/>
                <w:szCs w:val="16"/>
                <w:lang w:val="fr-BE"/>
              </w:rPr>
              <w:t>28,60</w:t>
            </w:r>
          </w:p>
        </w:tc>
        <w:tc>
          <w:tcPr>
            <w:tcW w:w="0" w:type="auto"/>
          </w:tcPr>
          <w:p w14:paraId="38B8C75E" w14:textId="77777777" w:rsidR="008C5CFA" w:rsidRPr="0024468B" w:rsidRDefault="008C5CFA" w:rsidP="00300A01">
            <w:pPr>
              <w:spacing w:before="0" w:after="0"/>
              <w:jc w:val="right"/>
              <w:rPr>
                <w:sz w:val="16"/>
                <w:szCs w:val="16"/>
                <w:lang w:val="fr-BE"/>
              </w:rPr>
            </w:pPr>
          </w:p>
        </w:tc>
        <w:tc>
          <w:tcPr>
            <w:tcW w:w="0" w:type="auto"/>
          </w:tcPr>
          <w:p w14:paraId="23C53F8F" w14:textId="77777777" w:rsidR="008C5CFA" w:rsidRPr="0024468B" w:rsidRDefault="00E82A60" w:rsidP="00300A01">
            <w:pPr>
              <w:spacing w:before="0" w:after="0"/>
              <w:jc w:val="right"/>
              <w:rPr>
                <w:sz w:val="16"/>
                <w:szCs w:val="16"/>
                <w:lang w:val="fr-BE"/>
              </w:rPr>
            </w:pPr>
            <w:r w:rsidRPr="0024468B">
              <w:rPr>
                <w:noProof/>
                <w:sz w:val="16"/>
                <w:szCs w:val="16"/>
                <w:lang w:val="fr-BE"/>
              </w:rPr>
              <w:t>30,00</w:t>
            </w:r>
          </w:p>
        </w:tc>
        <w:tc>
          <w:tcPr>
            <w:tcW w:w="0" w:type="auto"/>
          </w:tcPr>
          <w:p w14:paraId="612425B1" w14:textId="77777777" w:rsidR="008C5CFA" w:rsidRPr="0024468B" w:rsidRDefault="008C5CFA" w:rsidP="00300A01">
            <w:pPr>
              <w:spacing w:before="0" w:after="0"/>
              <w:jc w:val="right"/>
              <w:rPr>
                <w:sz w:val="16"/>
                <w:szCs w:val="16"/>
                <w:lang w:val="fr-BE"/>
              </w:rPr>
            </w:pPr>
          </w:p>
        </w:tc>
      </w:tr>
    </w:tbl>
    <w:p w14:paraId="62D326E9"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7"/>
        <w:gridCol w:w="8049"/>
        <w:gridCol w:w="2722"/>
        <w:gridCol w:w="3276"/>
      </w:tblGrid>
      <w:tr w:rsidR="006B2EC1" w14:paraId="49F21748" w14:textId="77777777" w:rsidTr="0047688D">
        <w:tc>
          <w:tcPr>
            <w:tcW w:w="0" w:type="auto"/>
            <w:shd w:val="clear" w:color="auto" w:fill="auto"/>
          </w:tcPr>
          <w:p w14:paraId="598893C2" w14:textId="77777777" w:rsidR="008C5CFA" w:rsidRPr="0024468B" w:rsidRDefault="00E82A60" w:rsidP="00300A01">
            <w:pPr>
              <w:spacing w:before="0" w:after="0"/>
              <w:rPr>
                <w:sz w:val="16"/>
                <w:szCs w:val="16"/>
                <w:lang w:val="fr-BE"/>
              </w:rPr>
            </w:pPr>
            <w:r w:rsidRPr="0024468B">
              <w:rPr>
                <w:noProof/>
                <w:sz w:val="16"/>
                <w:szCs w:val="16"/>
                <w:lang w:val="fr-BE"/>
              </w:rPr>
              <w:t>ID</w:t>
            </w:r>
          </w:p>
        </w:tc>
        <w:tc>
          <w:tcPr>
            <w:tcW w:w="0" w:type="auto"/>
            <w:shd w:val="clear" w:color="auto" w:fill="auto"/>
          </w:tcPr>
          <w:p w14:paraId="67994E85" w14:textId="77777777" w:rsidR="008C5CFA" w:rsidRPr="0024468B" w:rsidRDefault="00E82A60" w:rsidP="00300A01">
            <w:pPr>
              <w:spacing w:before="0" w:after="0"/>
              <w:rPr>
                <w:sz w:val="16"/>
                <w:szCs w:val="16"/>
                <w:lang w:val="fr-BE"/>
              </w:rPr>
            </w:pPr>
            <w:r w:rsidRPr="0024468B">
              <w:rPr>
                <w:noProof/>
                <w:sz w:val="16"/>
                <w:szCs w:val="16"/>
                <w:lang w:val="fr-BE"/>
              </w:rPr>
              <w:t>Wskaźnik</w:t>
            </w:r>
          </w:p>
        </w:tc>
        <w:tc>
          <w:tcPr>
            <w:tcW w:w="0" w:type="auto"/>
            <w:shd w:val="clear" w:color="auto" w:fill="auto"/>
          </w:tcPr>
          <w:p w14:paraId="7F66245F" w14:textId="77777777" w:rsidR="008C5CFA" w:rsidRPr="0024468B" w:rsidRDefault="00E82A60" w:rsidP="00300A01">
            <w:pPr>
              <w:spacing w:before="0" w:after="0"/>
              <w:jc w:val="center"/>
              <w:rPr>
                <w:sz w:val="16"/>
                <w:szCs w:val="16"/>
                <w:lang w:val="fr-BE"/>
              </w:rPr>
            </w:pPr>
            <w:r>
              <w:rPr>
                <w:sz w:val="16"/>
                <w:szCs w:val="16"/>
                <w:lang w:val="fr-BE"/>
              </w:rPr>
              <w:t xml:space="preserve">2014 </w:t>
            </w:r>
            <w:r>
              <w:rPr>
                <w:noProof/>
                <w:sz w:val="16"/>
                <w:szCs w:val="16"/>
                <w:lang w:val="fr-BE"/>
              </w:rPr>
              <w:t>Ogółem</w:t>
            </w:r>
          </w:p>
        </w:tc>
        <w:tc>
          <w:tcPr>
            <w:tcW w:w="0" w:type="auto"/>
            <w:shd w:val="clear" w:color="auto" w:fill="auto"/>
          </w:tcPr>
          <w:p w14:paraId="0C8E4B79" w14:textId="77777777" w:rsidR="008C5CFA" w:rsidRPr="0024468B" w:rsidRDefault="00E82A60" w:rsidP="00300A01">
            <w:pPr>
              <w:spacing w:before="0" w:after="0"/>
              <w:jc w:val="center"/>
              <w:rPr>
                <w:sz w:val="16"/>
                <w:szCs w:val="16"/>
                <w:lang w:val="fr-BE"/>
              </w:rPr>
            </w:pPr>
            <w:r>
              <w:rPr>
                <w:sz w:val="16"/>
                <w:szCs w:val="16"/>
                <w:lang w:val="fr-BE"/>
              </w:rPr>
              <w:t xml:space="preserve">2014 </w:t>
            </w:r>
            <w:r w:rsidRPr="0024468B">
              <w:rPr>
                <w:noProof/>
                <w:sz w:val="16"/>
                <w:szCs w:val="16"/>
                <w:lang w:val="fr-BE"/>
              </w:rPr>
              <w:t>Jakościowe</w:t>
            </w:r>
          </w:p>
        </w:tc>
      </w:tr>
      <w:tr w:rsidR="006B2EC1" w14:paraId="6B1A5249" w14:textId="77777777" w:rsidTr="0047688D">
        <w:tc>
          <w:tcPr>
            <w:tcW w:w="0" w:type="auto"/>
            <w:shd w:val="clear" w:color="auto" w:fill="auto"/>
          </w:tcPr>
          <w:p w14:paraId="6773F314" w14:textId="77777777" w:rsidR="008C5CFA" w:rsidRPr="0024468B" w:rsidRDefault="00E82A60" w:rsidP="00300A01">
            <w:pPr>
              <w:spacing w:before="0" w:after="0"/>
              <w:rPr>
                <w:sz w:val="16"/>
                <w:szCs w:val="16"/>
                <w:lang w:val="fr-BE"/>
              </w:rPr>
            </w:pPr>
            <w:r w:rsidRPr="0024468B">
              <w:rPr>
                <w:noProof/>
                <w:sz w:val="16"/>
                <w:szCs w:val="16"/>
                <w:lang w:val="fr-BE"/>
              </w:rPr>
              <w:t>042</w:t>
            </w:r>
          </w:p>
        </w:tc>
        <w:tc>
          <w:tcPr>
            <w:tcW w:w="0" w:type="auto"/>
            <w:shd w:val="clear" w:color="auto" w:fill="auto"/>
          </w:tcPr>
          <w:p w14:paraId="664142DF" w14:textId="77777777" w:rsidR="008C5CFA" w:rsidRPr="0024468B" w:rsidRDefault="00E82A60" w:rsidP="00300A01">
            <w:pPr>
              <w:spacing w:before="0" w:after="0"/>
              <w:rPr>
                <w:sz w:val="16"/>
                <w:szCs w:val="16"/>
                <w:lang w:val="fr-BE"/>
              </w:rPr>
            </w:pPr>
            <w:r w:rsidRPr="0024468B">
              <w:rPr>
                <w:noProof/>
                <w:sz w:val="16"/>
                <w:szCs w:val="16"/>
                <w:lang w:val="fr-BE"/>
              </w:rPr>
              <w:t>Wartość średniej rocznej emisji dla pyłu PM10</w:t>
            </w:r>
          </w:p>
        </w:tc>
        <w:tc>
          <w:tcPr>
            <w:tcW w:w="0" w:type="auto"/>
            <w:shd w:val="clear" w:color="auto" w:fill="auto"/>
          </w:tcPr>
          <w:p w14:paraId="70AF4178" w14:textId="77777777" w:rsidR="008C5CFA" w:rsidRPr="0024468B" w:rsidRDefault="00E82A60" w:rsidP="00300A01">
            <w:pPr>
              <w:spacing w:before="0" w:after="0"/>
              <w:jc w:val="right"/>
              <w:rPr>
                <w:sz w:val="16"/>
                <w:szCs w:val="16"/>
                <w:lang w:val="fr-BE"/>
              </w:rPr>
            </w:pPr>
            <w:r w:rsidRPr="0024468B">
              <w:rPr>
                <w:noProof/>
                <w:sz w:val="16"/>
                <w:szCs w:val="16"/>
                <w:lang w:val="fr-BE"/>
              </w:rPr>
              <w:t>32,00</w:t>
            </w:r>
          </w:p>
        </w:tc>
        <w:tc>
          <w:tcPr>
            <w:tcW w:w="0" w:type="auto"/>
            <w:shd w:val="clear" w:color="auto" w:fill="auto"/>
          </w:tcPr>
          <w:p w14:paraId="0E6F9E58" w14:textId="77777777" w:rsidR="008C5CFA" w:rsidRPr="0024468B" w:rsidRDefault="008C5CFA" w:rsidP="00300A01">
            <w:pPr>
              <w:spacing w:before="0" w:after="0"/>
              <w:jc w:val="right"/>
              <w:rPr>
                <w:sz w:val="16"/>
                <w:szCs w:val="16"/>
                <w:lang w:val="fr-BE"/>
              </w:rPr>
            </w:pPr>
          </w:p>
        </w:tc>
      </w:tr>
    </w:tbl>
    <w:p w14:paraId="6BD39CD3" w14:textId="77777777" w:rsidR="008C5CFA" w:rsidRDefault="008C5CFA" w:rsidP="00300A01">
      <w:pPr>
        <w:spacing w:before="0" w:after="0"/>
        <w:rPr>
          <w:lang w:val="fr-BE"/>
        </w:rPr>
      </w:pPr>
    </w:p>
    <w:p w14:paraId="3034307B" w14:textId="77777777" w:rsidR="008C5CFA" w:rsidRDefault="00E82A60" w:rsidP="00300A01">
      <w:pPr>
        <w:spacing w:before="0" w:after="0"/>
        <w:rPr>
          <w:lang w:val="fr-BE"/>
        </w:rPr>
      </w:pPr>
      <w:r>
        <w:rPr>
          <w:lang w:val="fr-BE"/>
        </w:rPr>
        <w:br w:type="page"/>
      </w:r>
    </w:p>
    <w:p w14:paraId="5D34B2D4" w14:textId="77777777" w:rsidR="008C5CFA" w:rsidRPr="00B27C43" w:rsidRDefault="008C5CFA" w:rsidP="00300A01">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7"/>
        <w:gridCol w:w="13247"/>
      </w:tblGrid>
      <w:tr w:rsidR="006B2EC1" w14:paraId="3C27B6CF" w14:textId="77777777" w:rsidTr="0047688D">
        <w:tc>
          <w:tcPr>
            <w:tcW w:w="0" w:type="auto"/>
            <w:shd w:val="clear" w:color="auto" w:fill="auto"/>
          </w:tcPr>
          <w:p w14:paraId="49BD482E" w14:textId="77777777" w:rsidR="008C5CFA" w:rsidRPr="002124FC" w:rsidRDefault="00E82A60" w:rsidP="00300A01">
            <w:pPr>
              <w:spacing w:before="0" w:after="0"/>
              <w:rPr>
                <w:sz w:val="20"/>
                <w:szCs w:val="20"/>
                <w:lang w:val="fr-BE"/>
              </w:rPr>
            </w:pPr>
            <w:r>
              <w:rPr>
                <w:lang w:val="fr-BE"/>
              </w:rPr>
              <w:br w:type="page"/>
            </w:r>
            <w:r>
              <w:rPr>
                <w:lang w:val="fr-BE"/>
              </w:rPr>
              <w:br w:type="page"/>
            </w:r>
            <w:r w:rsidRPr="002124FC">
              <w:rPr>
                <w:noProof/>
                <w:sz w:val="20"/>
                <w:szCs w:val="20"/>
                <w:lang w:val="fr-BE"/>
              </w:rPr>
              <w:t>Oś priorytetowa</w:t>
            </w:r>
          </w:p>
        </w:tc>
        <w:tc>
          <w:tcPr>
            <w:tcW w:w="0" w:type="auto"/>
            <w:shd w:val="clear" w:color="auto" w:fill="auto"/>
          </w:tcPr>
          <w:p w14:paraId="7D86EC64" w14:textId="77777777" w:rsidR="008C5CFA" w:rsidRPr="002124FC" w:rsidRDefault="00E82A60" w:rsidP="00300A01">
            <w:pPr>
              <w:spacing w:before="0" w:after="0"/>
              <w:rPr>
                <w:sz w:val="20"/>
                <w:szCs w:val="20"/>
                <w:lang w:val="fr-BE"/>
              </w:rPr>
            </w:pPr>
            <w:r w:rsidRPr="002124FC">
              <w:rPr>
                <w:noProof/>
                <w:sz w:val="20"/>
                <w:szCs w:val="20"/>
                <w:lang w:val="fr-BE"/>
              </w:rPr>
              <w:t>4</w:t>
            </w:r>
            <w:r w:rsidRPr="002124FC">
              <w:rPr>
                <w:sz w:val="20"/>
                <w:szCs w:val="20"/>
                <w:lang w:val="fr-BE"/>
              </w:rPr>
              <w:t xml:space="preserve"> - </w:t>
            </w:r>
            <w:r w:rsidRPr="002124FC">
              <w:rPr>
                <w:noProof/>
                <w:sz w:val="20"/>
                <w:szCs w:val="20"/>
                <w:lang w:val="fr-BE"/>
              </w:rPr>
              <w:t>Dziedzictwo naturalne i kulturowe</w:t>
            </w:r>
          </w:p>
        </w:tc>
      </w:tr>
      <w:tr w:rsidR="006B2EC1" w14:paraId="375AE198" w14:textId="77777777" w:rsidTr="0047688D">
        <w:tc>
          <w:tcPr>
            <w:tcW w:w="0" w:type="auto"/>
            <w:shd w:val="clear" w:color="auto" w:fill="auto"/>
          </w:tcPr>
          <w:p w14:paraId="5A9CEE0D" w14:textId="77777777" w:rsidR="008C5CFA" w:rsidRPr="002124FC" w:rsidRDefault="00E82A60"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14:paraId="5165542B" w14:textId="77777777" w:rsidR="008C5CFA" w:rsidRPr="002124FC" w:rsidRDefault="00E82A60" w:rsidP="00300A01">
            <w:pPr>
              <w:spacing w:before="0" w:after="0"/>
              <w:rPr>
                <w:sz w:val="20"/>
                <w:szCs w:val="20"/>
                <w:lang w:val="fr-BE"/>
              </w:rPr>
            </w:pPr>
            <w:r w:rsidRPr="002124FC">
              <w:rPr>
                <w:noProof/>
                <w:sz w:val="20"/>
                <w:szCs w:val="20"/>
                <w:lang w:val="fr-BE"/>
              </w:rPr>
              <w:t>5b</w:t>
            </w:r>
            <w:r w:rsidRPr="002124FC">
              <w:rPr>
                <w:sz w:val="20"/>
                <w:szCs w:val="20"/>
                <w:lang w:val="fr-BE"/>
              </w:rPr>
              <w:t xml:space="preserve"> - </w:t>
            </w:r>
            <w:r w:rsidRPr="002124FC">
              <w:rPr>
                <w:noProof/>
                <w:sz w:val="20"/>
                <w:szCs w:val="20"/>
                <w:lang w:val="fr-BE"/>
              </w:rPr>
              <w:t>Promowanie inwestycji ukierunkowanych na konkretne rodzaje ryzyka, zapewniających odporność na klęski żywiołowe oraz stworzenie systemów zarządzania klęskami żywiołowymi</w:t>
            </w:r>
          </w:p>
        </w:tc>
      </w:tr>
    </w:tbl>
    <w:p w14:paraId="348D543E" w14:textId="77777777" w:rsidR="008C5CFA" w:rsidRDefault="008C5CFA" w:rsidP="00300A01">
      <w:pPr>
        <w:spacing w:before="0" w:after="0"/>
        <w:rPr>
          <w:lang w:val="fr-BE"/>
        </w:rPr>
      </w:pPr>
    </w:p>
    <w:p w14:paraId="2CE5A810" w14:textId="77777777" w:rsidR="008C5CFA" w:rsidRDefault="00E82A60" w:rsidP="00300A01">
      <w:pPr>
        <w:pStyle w:val="Nagwek2"/>
        <w:spacing w:before="0" w:after="0"/>
        <w:rPr>
          <w:lang w:val="fr-BE"/>
        </w:rPr>
      </w:pPr>
      <w:bookmarkStart w:id="30" w:name="_Toc46391714"/>
      <w:r>
        <w:rPr>
          <w:noProof/>
          <w:lang w:val="fr-BE"/>
        </w:rPr>
        <w:t>Tabela 3A</w:t>
      </w:r>
      <w:r>
        <w:rPr>
          <w:lang w:val="fr-BE"/>
        </w:rPr>
        <w:t xml:space="preserve">: </w:t>
      </w:r>
      <w:r>
        <w:rPr>
          <w:noProof/>
          <w:lang w:val="fr-BE"/>
        </w:rPr>
        <w:t>Wspólne i specyficzne dla danego programu wskaźniki produktu dla EFRR i Funduszu Spójności (wg osi priorytetowej, priorytetu inwestycyjnego, w podziale na kategorię regionu dla celów EFRR)</w:t>
      </w:r>
      <w:r w:rsidR="009C5874">
        <w:rPr>
          <w:lang w:val="fr-BE"/>
        </w:rPr>
        <w:t xml:space="preserve"> - </w:t>
      </w:r>
      <w:r w:rsidR="00F022AC" w:rsidRPr="002124FC">
        <w:rPr>
          <w:noProof/>
          <w:sz w:val="20"/>
          <w:szCs w:val="20"/>
          <w:lang w:val="fr-BE"/>
        </w:rPr>
        <w:t>4</w:t>
      </w:r>
      <w:r w:rsidR="00F022AC">
        <w:rPr>
          <w:sz w:val="20"/>
          <w:szCs w:val="20"/>
          <w:lang w:val="fr-BE"/>
        </w:rPr>
        <w:t xml:space="preserve"> / </w:t>
      </w:r>
      <w:r w:rsidR="00F022AC" w:rsidRPr="002124FC">
        <w:rPr>
          <w:noProof/>
          <w:sz w:val="20"/>
          <w:szCs w:val="20"/>
          <w:lang w:val="fr-BE"/>
        </w:rPr>
        <w:t>5b</w:t>
      </w:r>
      <w:bookmarkEnd w:id="30"/>
    </w:p>
    <w:p w14:paraId="016D49FA"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01"/>
        <w:gridCol w:w="497"/>
        <w:gridCol w:w="2809"/>
        <w:gridCol w:w="895"/>
        <w:gridCol w:w="908"/>
        <w:gridCol w:w="1227"/>
        <w:gridCol w:w="1157"/>
        <w:gridCol w:w="1062"/>
        <w:gridCol w:w="718"/>
        <w:gridCol w:w="904"/>
        <w:gridCol w:w="727"/>
        <w:gridCol w:w="3979"/>
      </w:tblGrid>
      <w:tr w:rsidR="006B2EC1" w14:paraId="36BB5DC8" w14:textId="77777777" w:rsidTr="0047688D">
        <w:trPr>
          <w:tblHeader/>
        </w:trPr>
        <w:tc>
          <w:tcPr>
            <w:tcW w:w="0" w:type="auto"/>
          </w:tcPr>
          <w:p w14:paraId="58BBBF54" w14:textId="77777777" w:rsidR="008C5CFA" w:rsidRPr="009143B4" w:rsidRDefault="00E82A60" w:rsidP="00300A01">
            <w:pPr>
              <w:spacing w:before="0" w:after="0"/>
              <w:rPr>
                <w:b/>
                <w:sz w:val="16"/>
                <w:szCs w:val="16"/>
                <w:lang w:val="fr-BE"/>
              </w:rPr>
            </w:pPr>
            <w:r w:rsidRPr="009143B4">
              <w:rPr>
                <w:b/>
                <w:sz w:val="16"/>
                <w:szCs w:val="16"/>
                <w:lang w:val="fr-BE"/>
              </w:rPr>
              <w:t>(1)</w:t>
            </w:r>
          </w:p>
        </w:tc>
        <w:tc>
          <w:tcPr>
            <w:tcW w:w="0" w:type="auto"/>
            <w:shd w:val="clear" w:color="auto" w:fill="auto"/>
          </w:tcPr>
          <w:p w14:paraId="35A7EC9C" w14:textId="77777777" w:rsidR="008C5CFA" w:rsidRPr="009143B4" w:rsidRDefault="00E82A60" w:rsidP="00300A01">
            <w:pPr>
              <w:spacing w:before="0" w:after="0"/>
              <w:rPr>
                <w:b/>
                <w:sz w:val="16"/>
                <w:szCs w:val="16"/>
                <w:lang w:val="fr-BE"/>
              </w:rPr>
            </w:pPr>
            <w:r w:rsidRPr="009143B4">
              <w:rPr>
                <w:b/>
                <w:noProof/>
                <w:sz w:val="16"/>
                <w:szCs w:val="16"/>
                <w:lang w:val="fr-BE"/>
              </w:rPr>
              <w:t>ID</w:t>
            </w:r>
          </w:p>
        </w:tc>
        <w:tc>
          <w:tcPr>
            <w:tcW w:w="0" w:type="auto"/>
            <w:shd w:val="clear" w:color="auto" w:fill="auto"/>
          </w:tcPr>
          <w:p w14:paraId="062CDB9E" w14:textId="77777777" w:rsidR="008C5CFA" w:rsidRPr="009143B4" w:rsidRDefault="00E82A60" w:rsidP="00300A01">
            <w:pPr>
              <w:spacing w:before="0" w:after="0"/>
              <w:rPr>
                <w:b/>
                <w:sz w:val="16"/>
                <w:szCs w:val="16"/>
                <w:lang w:val="fr-BE"/>
              </w:rPr>
            </w:pPr>
            <w:r w:rsidRPr="009143B4">
              <w:rPr>
                <w:b/>
                <w:noProof/>
                <w:sz w:val="16"/>
                <w:szCs w:val="16"/>
                <w:lang w:val="fr-BE"/>
              </w:rPr>
              <w:t>Wskaźnik</w:t>
            </w:r>
          </w:p>
        </w:tc>
        <w:tc>
          <w:tcPr>
            <w:tcW w:w="0" w:type="auto"/>
            <w:shd w:val="clear" w:color="auto" w:fill="auto"/>
          </w:tcPr>
          <w:p w14:paraId="01F1DFB2" w14:textId="77777777" w:rsidR="008C5CFA" w:rsidRPr="009143B4" w:rsidRDefault="00E82A60" w:rsidP="00300A01">
            <w:pPr>
              <w:spacing w:before="0" w:after="0"/>
              <w:rPr>
                <w:b/>
                <w:sz w:val="16"/>
                <w:szCs w:val="16"/>
                <w:lang w:val="fr-BE"/>
              </w:rPr>
            </w:pPr>
            <w:r w:rsidRPr="009143B4">
              <w:rPr>
                <w:b/>
                <w:noProof/>
                <w:sz w:val="16"/>
                <w:szCs w:val="16"/>
                <w:lang w:val="fr-BE"/>
              </w:rPr>
              <w:t>Jednostka miary</w:t>
            </w:r>
          </w:p>
        </w:tc>
        <w:tc>
          <w:tcPr>
            <w:tcW w:w="0" w:type="auto"/>
            <w:shd w:val="clear" w:color="auto" w:fill="auto"/>
          </w:tcPr>
          <w:p w14:paraId="371F51FB" w14:textId="77777777" w:rsidR="008C5CFA" w:rsidRPr="009143B4" w:rsidRDefault="00E82A60" w:rsidP="00300A01">
            <w:pPr>
              <w:spacing w:before="0" w:after="0"/>
              <w:rPr>
                <w:b/>
                <w:sz w:val="16"/>
                <w:szCs w:val="16"/>
                <w:lang w:val="fr-BE"/>
              </w:rPr>
            </w:pPr>
            <w:r w:rsidRPr="009143B4">
              <w:rPr>
                <w:b/>
                <w:noProof/>
                <w:sz w:val="16"/>
                <w:szCs w:val="16"/>
                <w:lang w:val="fr-BE"/>
              </w:rPr>
              <w:t>Kategoria regionu</w:t>
            </w:r>
          </w:p>
        </w:tc>
        <w:tc>
          <w:tcPr>
            <w:tcW w:w="0" w:type="auto"/>
            <w:shd w:val="clear" w:color="auto" w:fill="auto"/>
          </w:tcPr>
          <w:p w14:paraId="4798EB5E" w14:textId="77777777" w:rsidR="008C5CFA" w:rsidRPr="009143B4" w:rsidRDefault="00E82A60" w:rsidP="00300A01">
            <w:pPr>
              <w:spacing w:before="0" w:after="0"/>
              <w:jc w:val="center"/>
              <w:rPr>
                <w:b/>
                <w:sz w:val="16"/>
                <w:szCs w:val="16"/>
                <w:lang w:val="fr-BE"/>
              </w:rPr>
            </w:pPr>
            <w:r w:rsidRPr="009143B4">
              <w:rPr>
                <w:b/>
                <w:noProof/>
                <w:sz w:val="16"/>
                <w:szCs w:val="16"/>
                <w:lang w:val="fr-BE"/>
              </w:rPr>
              <w:t>Wartość docelowa (2023) ogółem</w:t>
            </w:r>
          </w:p>
        </w:tc>
        <w:tc>
          <w:tcPr>
            <w:tcW w:w="0" w:type="auto"/>
            <w:shd w:val="clear" w:color="auto" w:fill="auto"/>
          </w:tcPr>
          <w:p w14:paraId="508A562E" w14:textId="77777777" w:rsidR="008C5CFA" w:rsidRPr="009143B4" w:rsidRDefault="00E82A60" w:rsidP="00300A01">
            <w:pPr>
              <w:spacing w:before="0" w:after="0"/>
              <w:jc w:val="center"/>
              <w:rPr>
                <w:b/>
                <w:sz w:val="16"/>
                <w:szCs w:val="16"/>
                <w:lang w:val="fr-BE"/>
              </w:rPr>
            </w:pPr>
            <w:r w:rsidRPr="009143B4">
              <w:rPr>
                <w:b/>
                <w:noProof/>
                <w:sz w:val="16"/>
                <w:szCs w:val="16"/>
                <w:lang w:val="fr-BE"/>
              </w:rPr>
              <w:t>Wartość docelowa (2023) mężczyźni</w:t>
            </w:r>
          </w:p>
        </w:tc>
        <w:tc>
          <w:tcPr>
            <w:tcW w:w="0" w:type="auto"/>
          </w:tcPr>
          <w:p w14:paraId="6619052A" w14:textId="77777777" w:rsidR="008C5CFA" w:rsidRPr="009143B4" w:rsidRDefault="00E82A60" w:rsidP="00300A01">
            <w:pPr>
              <w:spacing w:before="0" w:after="0"/>
              <w:jc w:val="center"/>
              <w:rPr>
                <w:b/>
                <w:sz w:val="16"/>
                <w:szCs w:val="16"/>
                <w:lang w:val="fr-BE"/>
              </w:rPr>
            </w:pPr>
            <w:r w:rsidRPr="009143B4">
              <w:rPr>
                <w:b/>
                <w:noProof/>
                <w:sz w:val="16"/>
                <w:szCs w:val="16"/>
                <w:lang w:val="fr-BE"/>
              </w:rPr>
              <w:t>Wartość docelowa (2023) kobiety</w:t>
            </w:r>
          </w:p>
        </w:tc>
        <w:tc>
          <w:tcPr>
            <w:tcW w:w="0" w:type="auto"/>
            <w:shd w:val="clear" w:color="auto" w:fill="auto"/>
          </w:tcPr>
          <w:p w14:paraId="68E81005" w14:textId="77777777" w:rsidR="008C5CFA" w:rsidRPr="009143B4" w:rsidRDefault="00E82A60" w:rsidP="00300A01">
            <w:pPr>
              <w:spacing w:before="0" w:after="0"/>
              <w:jc w:val="center"/>
              <w:rPr>
                <w:b/>
                <w:sz w:val="16"/>
                <w:szCs w:val="16"/>
                <w:lang w:val="fr-BE"/>
              </w:rPr>
            </w:pPr>
            <w:r>
              <w:rPr>
                <w:b/>
                <w:sz w:val="16"/>
                <w:szCs w:val="16"/>
                <w:lang w:val="fr-BE"/>
              </w:rPr>
              <w:t xml:space="preserve">2019 </w:t>
            </w:r>
            <w:r w:rsidRPr="009143B4">
              <w:rPr>
                <w:b/>
                <w:noProof/>
                <w:sz w:val="16"/>
                <w:szCs w:val="16"/>
                <w:lang w:val="fr-BE"/>
              </w:rPr>
              <w:t>Ogółem</w:t>
            </w:r>
          </w:p>
        </w:tc>
        <w:tc>
          <w:tcPr>
            <w:tcW w:w="0" w:type="auto"/>
            <w:shd w:val="clear" w:color="auto" w:fill="auto"/>
          </w:tcPr>
          <w:p w14:paraId="29BB8202" w14:textId="77777777" w:rsidR="008C5CFA" w:rsidRPr="009143B4" w:rsidRDefault="00E82A60" w:rsidP="00300A01">
            <w:pPr>
              <w:spacing w:before="0" w:after="0"/>
              <w:jc w:val="center"/>
              <w:rPr>
                <w:b/>
                <w:sz w:val="16"/>
                <w:szCs w:val="16"/>
                <w:lang w:val="fr-BE"/>
              </w:rPr>
            </w:pPr>
            <w:r>
              <w:rPr>
                <w:b/>
                <w:sz w:val="16"/>
                <w:szCs w:val="16"/>
                <w:lang w:val="fr-BE"/>
              </w:rPr>
              <w:t xml:space="preserve">2019 </w:t>
            </w:r>
            <w:r w:rsidRPr="009143B4">
              <w:rPr>
                <w:b/>
                <w:noProof/>
                <w:sz w:val="16"/>
                <w:szCs w:val="16"/>
                <w:lang w:val="fr-BE"/>
              </w:rPr>
              <w:t>Mężczyźni</w:t>
            </w:r>
          </w:p>
        </w:tc>
        <w:tc>
          <w:tcPr>
            <w:tcW w:w="0" w:type="auto"/>
            <w:shd w:val="clear" w:color="auto" w:fill="auto"/>
          </w:tcPr>
          <w:p w14:paraId="197759AD" w14:textId="77777777" w:rsidR="008C5CFA" w:rsidRPr="009143B4" w:rsidRDefault="00E82A60" w:rsidP="00300A01">
            <w:pPr>
              <w:spacing w:before="0" w:after="0"/>
              <w:jc w:val="center"/>
              <w:rPr>
                <w:b/>
                <w:sz w:val="16"/>
                <w:szCs w:val="16"/>
                <w:lang w:val="fr-BE"/>
              </w:rPr>
            </w:pPr>
            <w:r>
              <w:rPr>
                <w:b/>
                <w:sz w:val="16"/>
                <w:szCs w:val="16"/>
                <w:lang w:val="fr-BE"/>
              </w:rPr>
              <w:t xml:space="preserve">2019 </w:t>
            </w:r>
            <w:r w:rsidRPr="009143B4">
              <w:rPr>
                <w:b/>
                <w:noProof/>
                <w:sz w:val="16"/>
                <w:szCs w:val="16"/>
                <w:lang w:val="fr-BE"/>
              </w:rPr>
              <w:t>Kobiety</w:t>
            </w:r>
          </w:p>
        </w:tc>
        <w:tc>
          <w:tcPr>
            <w:tcW w:w="0" w:type="auto"/>
            <w:shd w:val="clear" w:color="auto" w:fill="auto"/>
          </w:tcPr>
          <w:p w14:paraId="12B7F840" w14:textId="77777777" w:rsidR="008C5CFA" w:rsidRPr="009143B4" w:rsidRDefault="00E82A60" w:rsidP="00300A01">
            <w:pPr>
              <w:spacing w:before="0" w:after="0"/>
              <w:jc w:val="center"/>
              <w:rPr>
                <w:b/>
                <w:sz w:val="16"/>
                <w:szCs w:val="16"/>
                <w:lang w:val="fr-BE"/>
              </w:rPr>
            </w:pPr>
            <w:r w:rsidRPr="009143B4">
              <w:rPr>
                <w:b/>
                <w:noProof/>
                <w:sz w:val="16"/>
                <w:szCs w:val="16"/>
                <w:lang w:val="fr-BE"/>
              </w:rPr>
              <w:t>Uwagi</w:t>
            </w:r>
          </w:p>
        </w:tc>
      </w:tr>
      <w:tr w:rsidR="006B2EC1" w14:paraId="47CD8953" w14:textId="77777777" w:rsidTr="0047688D">
        <w:tc>
          <w:tcPr>
            <w:tcW w:w="0" w:type="auto"/>
          </w:tcPr>
          <w:p w14:paraId="4D0993C7" w14:textId="77777777" w:rsidR="008C5CFA" w:rsidRPr="0024468B" w:rsidRDefault="00E82A60" w:rsidP="00300A01">
            <w:pPr>
              <w:spacing w:before="0" w:after="0"/>
              <w:rPr>
                <w:sz w:val="16"/>
                <w:szCs w:val="16"/>
                <w:lang w:val="fr-BE"/>
              </w:rPr>
            </w:pPr>
            <w:r>
              <w:rPr>
                <w:noProof/>
                <w:sz w:val="16"/>
                <w:szCs w:val="16"/>
                <w:lang w:val="fr-BE"/>
              </w:rPr>
              <w:t>F</w:t>
            </w:r>
          </w:p>
        </w:tc>
        <w:tc>
          <w:tcPr>
            <w:tcW w:w="0" w:type="auto"/>
            <w:shd w:val="clear" w:color="auto" w:fill="auto"/>
          </w:tcPr>
          <w:p w14:paraId="03771622" w14:textId="77777777" w:rsidR="008C5CFA" w:rsidRPr="0024468B" w:rsidRDefault="00E82A60" w:rsidP="00300A01">
            <w:pPr>
              <w:spacing w:before="0" w:after="0"/>
              <w:rPr>
                <w:sz w:val="16"/>
                <w:szCs w:val="16"/>
                <w:lang w:val="fr-BE"/>
              </w:rPr>
            </w:pPr>
            <w:r w:rsidRPr="0024468B">
              <w:rPr>
                <w:noProof/>
                <w:sz w:val="16"/>
                <w:szCs w:val="16"/>
                <w:lang w:val="fr-BE"/>
              </w:rPr>
              <w:t>CO20</w:t>
            </w:r>
          </w:p>
        </w:tc>
        <w:tc>
          <w:tcPr>
            <w:tcW w:w="0" w:type="auto"/>
            <w:shd w:val="clear" w:color="auto" w:fill="auto"/>
          </w:tcPr>
          <w:p w14:paraId="0A98CBDB" w14:textId="77777777" w:rsidR="008C5CFA" w:rsidRPr="0024468B" w:rsidRDefault="00E82A60" w:rsidP="00300A01">
            <w:pPr>
              <w:spacing w:before="0" w:after="0"/>
              <w:rPr>
                <w:sz w:val="16"/>
                <w:szCs w:val="16"/>
                <w:lang w:val="fr-BE"/>
              </w:rPr>
            </w:pPr>
            <w:r w:rsidRPr="0024468B">
              <w:rPr>
                <w:noProof/>
                <w:sz w:val="16"/>
                <w:szCs w:val="16"/>
                <w:lang w:val="fr-BE"/>
              </w:rPr>
              <w:t>Zapobieganie ryzyku i zarządzenie ryzykiem: liczba ludności odnoszącej korzyści ze środków ochrony przeciwpowodziowej</w:t>
            </w:r>
          </w:p>
        </w:tc>
        <w:tc>
          <w:tcPr>
            <w:tcW w:w="0" w:type="auto"/>
            <w:shd w:val="clear" w:color="auto" w:fill="auto"/>
          </w:tcPr>
          <w:p w14:paraId="22D13833" w14:textId="77777777" w:rsidR="008C5CFA" w:rsidRPr="0024468B" w:rsidRDefault="00E82A60" w:rsidP="00300A01">
            <w:pPr>
              <w:spacing w:before="0" w:after="0"/>
              <w:rPr>
                <w:sz w:val="16"/>
                <w:szCs w:val="16"/>
                <w:lang w:val="fr-BE"/>
              </w:rPr>
            </w:pPr>
            <w:r>
              <w:rPr>
                <w:noProof/>
                <w:sz w:val="16"/>
                <w:szCs w:val="16"/>
                <w:lang w:val="fr-BE"/>
              </w:rPr>
              <w:t>Osoby</w:t>
            </w:r>
          </w:p>
        </w:tc>
        <w:tc>
          <w:tcPr>
            <w:tcW w:w="0" w:type="auto"/>
            <w:shd w:val="clear" w:color="auto" w:fill="auto"/>
          </w:tcPr>
          <w:p w14:paraId="4F65B360" w14:textId="77777777" w:rsidR="008C5CFA" w:rsidRPr="0024468B" w:rsidRDefault="00E82A60"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14:paraId="0B9F4238" w14:textId="77777777" w:rsidR="008C5CFA" w:rsidRPr="0024468B" w:rsidRDefault="00E82A60" w:rsidP="00300A01">
            <w:pPr>
              <w:spacing w:before="0" w:after="0"/>
              <w:jc w:val="right"/>
              <w:rPr>
                <w:sz w:val="16"/>
                <w:szCs w:val="16"/>
                <w:lang w:val="fr-BE"/>
              </w:rPr>
            </w:pPr>
            <w:r>
              <w:rPr>
                <w:noProof/>
                <w:sz w:val="16"/>
                <w:szCs w:val="16"/>
                <w:lang w:val="fr-BE"/>
              </w:rPr>
              <w:t>3 100,00</w:t>
            </w:r>
          </w:p>
        </w:tc>
        <w:tc>
          <w:tcPr>
            <w:tcW w:w="0" w:type="auto"/>
            <w:shd w:val="clear" w:color="auto" w:fill="auto"/>
          </w:tcPr>
          <w:p w14:paraId="77BC17BC" w14:textId="77777777" w:rsidR="008C5CFA" w:rsidRPr="0024468B" w:rsidRDefault="008C5CFA" w:rsidP="00300A01">
            <w:pPr>
              <w:spacing w:before="0" w:after="0"/>
              <w:jc w:val="right"/>
              <w:rPr>
                <w:sz w:val="16"/>
                <w:szCs w:val="16"/>
                <w:lang w:val="fr-BE"/>
              </w:rPr>
            </w:pPr>
          </w:p>
        </w:tc>
        <w:tc>
          <w:tcPr>
            <w:tcW w:w="0" w:type="auto"/>
          </w:tcPr>
          <w:p w14:paraId="05E78CBF" w14:textId="77777777" w:rsidR="008C5CFA" w:rsidRPr="0024468B" w:rsidRDefault="008C5CFA" w:rsidP="00300A01">
            <w:pPr>
              <w:spacing w:before="0" w:after="0"/>
              <w:jc w:val="right"/>
              <w:rPr>
                <w:sz w:val="16"/>
                <w:szCs w:val="16"/>
                <w:lang w:val="fr-BE"/>
              </w:rPr>
            </w:pPr>
          </w:p>
        </w:tc>
        <w:tc>
          <w:tcPr>
            <w:tcW w:w="0" w:type="auto"/>
            <w:shd w:val="clear" w:color="auto" w:fill="auto"/>
          </w:tcPr>
          <w:p w14:paraId="1F0F4232"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276B4498"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5933392F"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1D25A23C" w14:textId="77777777" w:rsidR="008C5CFA" w:rsidRPr="0024468B" w:rsidRDefault="00E82A60" w:rsidP="00300A01">
            <w:pPr>
              <w:spacing w:before="0" w:after="0"/>
              <w:rPr>
                <w:sz w:val="16"/>
                <w:szCs w:val="16"/>
                <w:lang w:val="fr-BE"/>
              </w:rPr>
            </w:pPr>
            <w:r w:rsidRPr="0024468B">
              <w:rPr>
                <w:noProof/>
                <w:sz w:val="16"/>
                <w:szCs w:val="16"/>
                <w:lang w:val="fr-BE"/>
              </w:rPr>
              <w:t>Braku możliwości kontraktacji w ramach PI 5b  projektów z zakresu małej retencji, w związku z negatywną opinią KE dotyczącą aktualizacji Planów Gospodarowania Wodami w Dorzeczu Wisły (brak spełnienia warunku ex ante dla PI 5b).</w:t>
            </w:r>
          </w:p>
        </w:tc>
      </w:tr>
      <w:tr w:rsidR="006B2EC1" w14:paraId="5BCF446B" w14:textId="77777777" w:rsidTr="0047688D">
        <w:tc>
          <w:tcPr>
            <w:tcW w:w="0" w:type="auto"/>
          </w:tcPr>
          <w:p w14:paraId="331A1177" w14:textId="77777777" w:rsidR="008C5CFA" w:rsidRPr="0024468B" w:rsidRDefault="00E82A60" w:rsidP="00300A01">
            <w:pPr>
              <w:spacing w:before="0" w:after="0"/>
              <w:rPr>
                <w:sz w:val="16"/>
                <w:szCs w:val="16"/>
                <w:lang w:val="fr-BE"/>
              </w:rPr>
            </w:pPr>
            <w:r>
              <w:rPr>
                <w:noProof/>
                <w:sz w:val="16"/>
                <w:szCs w:val="16"/>
                <w:lang w:val="fr-BE"/>
              </w:rPr>
              <w:t>S</w:t>
            </w:r>
          </w:p>
        </w:tc>
        <w:tc>
          <w:tcPr>
            <w:tcW w:w="0" w:type="auto"/>
            <w:shd w:val="clear" w:color="auto" w:fill="auto"/>
          </w:tcPr>
          <w:p w14:paraId="0A1CD3AE" w14:textId="77777777" w:rsidR="008C5CFA" w:rsidRPr="0024468B" w:rsidRDefault="00E82A60" w:rsidP="00300A01">
            <w:pPr>
              <w:spacing w:before="0" w:after="0"/>
              <w:rPr>
                <w:sz w:val="16"/>
                <w:szCs w:val="16"/>
                <w:lang w:val="fr-BE"/>
              </w:rPr>
            </w:pPr>
            <w:r w:rsidRPr="0024468B">
              <w:rPr>
                <w:noProof/>
                <w:sz w:val="16"/>
                <w:szCs w:val="16"/>
                <w:lang w:val="fr-BE"/>
              </w:rPr>
              <w:t>CO20</w:t>
            </w:r>
          </w:p>
        </w:tc>
        <w:tc>
          <w:tcPr>
            <w:tcW w:w="0" w:type="auto"/>
            <w:shd w:val="clear" w:color="auto" w:fill="auto"/>
          </w:tcPr>
          <w:p w14:paraId="0EF17EB3" w14:textId="77777777" w:rsidR="008C5CFA" w:rsidRPr="0024468B" w:rsidRDefault="00E82A60" w:rsidP="00300A01">
            <w:pPr>
              <w:spacing w:before="0" w:after="0"/>
              <w:rPr>
                <w:sz w:val="16"/>
                <w:szCs w:val="16"/>
                <w:lang w:val="fr-BE"/>
              </w:rPr>
            </w:pPr>
            <w:r w:rsidRPr="0024468B">
              <w:rPr>
                <w:noProof/>
                <w:sz w:val="16"/>
                <w:szCs w:val="16"/>
                <w:lang w:val="fr-BE"/>
              </w:rPr>
              <w:t>Zapobieganie ryzyku i zarządzenie ryzykiem: liczba ludności odnoszącej korzyści ze środków ochrony przeciwpowodziowej</w:t>
            </w:r>
          </w:p>
        </w:tc>
        <w:tc>
          <w:tcPr>
            <w:tcW w:w="0" w:type="auto"/>
            <w:shd w:val="clear" w:color="auto" w:fill="auto"/>
          </w:tcPr>
          <w:p w14:paraId="61964D40" w14:textId="77777777" w:rsidR="008C5CFA" w:rsidRPr="0024468B" w:rsidRDefault="00E82A60" w:rsidP="00300A01">
            <w:pPr>
              <w:spacing w:before="0" w:after="0"/>
              <w:rPr>
                <w:sz w:val="16"/>
                <w:szCs w:val="16"/>
                <w:lang w:val="fr-BE"/>
              </w:rPr>
            </w:pPr>
            <w:r>
              <w:rPr>
                <w:noProof/>
                <w:sz w:val="16"/>
                <w:szCs w:val="16"/>
                <w:lang w:val="fr-BE"/>
              </w:rPr>
              <w:t>Osoby</w:t>
            </w:r>
          </w:p>
        </w:tc>
        <w:tc>
          <w:tcPr>
            <w:tcW w:w="0" w:type="auto"/>
            <w:shd w:val="clear" w:color="auto" w:fill="auto"/>
          </w:tcPr>
          <w:p w14:paraId="5E1E813E" w14:textId="77777777" w:rsidR="008C5CFA" w:rsidRPr="0024468B" w:rsidRDefault="00E82A60"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14:paraId="5350FE11" w14:textId="77777777" w:rsidR="008C5CFA" w:rsidRPr="0024468B" w:rsidRDefault="00E82A60" w:rsidP="00300A01">
            <w:pPr>
              <w:spacing w:before="0" w:after="0"/>
              <w:jc w:val="right"/>
              <w:rPr>
                <w:sz w:val="16"/>
                <w:szCs w:val="16"/>
                <w:lang w:val="fr-BE"/>
              </w:rPr>
            </w:pPr>
            <w:r>
              <w:rPr>
                <w:noProof/>
                <w:sz w:val="16"/>
                <w:szCs w:val="16"/>
                <w:lang w:val="fr-BE"/>
              </w:rPr>
              <w:t>3 100,00</w:t>
            </w:r>
          </w:p>
        </w:tc>
        <w:tc>
          <w:tcPr>
            <w:tcW w:w="0" w:type="auto"/>
            <w:shd w:val="clear" w:color="auto" w:fill="auto"/>
          </w:tcPr>
          <w:p w14:paraId="652FA425" w14:textId="77777777" w:rsidR="008C5CFA" w:rsidRPr="0024468B" w:rsidRDefault="008C5CFA" w:rsidP="00300A01">
            <w:pPr>
              <w:spacing w:before="0" w:after="0"/>
              <w:jc w:val="right"/>
              <w:rPr>
                <w:sz w:val="16"/>
                <w:szCs w:val="16"/>
                <w:lang w:val="fr-BE"/>
              </w:rPr>
            </w:pPr>
          </w:p>
        </w:tc>
        <w:tc>
          <w:tcPr>
            <w:tcW w:w="0" w:type="auto"/>
          </w:tcPr>
          <w:p w14:paraId="6FB914B4" w14:textId="77777777" w:rsidR="008C5CFA" w:rsidRPr="0024468B" w:rsidRDefault="008C5CFA" w:rsidP="00300A01">
            <w:pPr>
              <w:spacing w:before="0" w:after="0"/>
              <w:jc w:val="right"/>
              <w:rPr>
                <w:sz w:val="16"/>
                <w:szCs w:val="16"/>
                <w:lang w:val="fr-BE"/>
              </w:rPr>
            </w:pPr>
          </w:p>
        </w:tc>
        <w:tc>
          <w:tcPr>
            <w:tcW w:w="0" w:type="auto"/>
            <w:shd w:val="clear" w:color="auto" w:fill="auto"/>
          </w:tcPr>
          <w:p w14:paraId="2A5C217F"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2B7DD264"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14FD0439"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4997B388" w14:textId="77777777" w:rsidR="008C5CFA" w:rsidRPr="0024468B" w:rsidRDefault="00E82A60" w:rsidP="00300A01">
            <w:pPr>
              <w:spacing w:before="0" w:after="0"/>
              <w:rPr>
                <w:sz w:val="16"/>
                <w:szCs w:val="16"/>
                <w:lang w:val="fr-BE"/>
              </w:rPr>
            </w:pPr>
            <w:r w:rsidRPr="0024468B">
              <w:rPr>
                <w:noProof/>
                <w:sz w:val="16"/>
                <w:szCs w:val="16"/>
                <w:lang w:val="fr-BE"/>
              </w:rPr>
              <w:t>Braku możliwości kontraktacji w ramach PI 5b  projektów z zakresu małej retencji, w związku z negatywną opinią KE dotyczącą aktualizacji Planów Gospodarowania Wodami w Dorzeczu Wisły (brak spełnienia warunku ex ante dla PI 5b).</w:t>
            </w:r>
          </w:p>
        </w:tc>
      </w:tr>
      <w:tr w:rsidR="006B2EC1" w14:paraId="6260B060" w14:textId="77777777" w:rsidTr="0047688D">
        <w:tc>
          <w:tcPr>
            <w:tcW w:w="0" w:type="auto"/>
          </w:tcPr>
          <w:p w14:paraId="398098CF" w14:textId="77777777" w:rsidR="008C5CFA" w:rsidRPr="0024468B" w:rsidRDefault="00E82A60" w:rsidP="00300A01">
            <w:pPr>
              <w:spacing w:before="0" w:after="0"/>
              <w:rPr>
                <w:sz w:val="16"/>
                <w:szCs w:val="16"/>
                <w:lang w:val="fr-BE"/>
              </w:rPr>
            </w:pPr>
            <w:r>
              <w:rPr>
                <w:noProof/>
                <w:sz w:val="16"/>
                <w:szCs w:val="16"/>
                <w:lang w:val="fr-BE"/>
              </w:rPr>
              <w:t>F</w:t>
            </w:r>
          </w:p>
        </w:tc>
        <w:tc>
          <w:tcPr>
            <w:tcW w:w="0" w:type="auto"/>
            <w:shd w:val="clear" w:color="auto" w:fill="auto"/>
          </w:tcPr>
          <w:p w14:paraId="1573122C" w14:textId="77777777" w:rsidR="008C5CFA" w:rsidRPr="0024468B" w:rsidRDefault="00E82A60" w:rsidP="00300A01">
            <w:pPr>
              <w:spacing w:before="0" w:after="0"/>
              <w:rPr>
                <w:sz w:val="16"/>
                <w:szCs w:val="16"/>
                <w:lang w:val="fr-BE"/>
              </w:rPr>
            </w:pPr>
            <w:r>
              <w:rPr>
                <w:noProof/>
                <w:sz w:val="16"/>
                <w:szCs w:val="16"/>
                <w:lang w:val="fr-BE"/>
              </w:rPr>
              <w:t>028</w:t>
            </w:r>
          </w:p>
        </w:tc>
        <w:tc>
          <w:tcPr>
            <w:tcW w:w="0" w:type="auto"/>
            <w:shd w:val="clear" w:color="auto" w:fill="auto"/>
          </w:tcPr>
          <w:p w14:paraId="7A8CD4B5" w14:textId="77777777" w:rsidR="008C5CFA" w:rsidRPr="0024468B" w:rsidRDefault="00E82A60" w:rsidP="00300A01">
            <w:pPr>
              <w:spacing w:before="0" w:after="0"/>
              <w:rPr>
                <w:sz w:val="16"/>
                <w:szCs w:val="16"/>
                <w:lang w:val="fr-BE"/>
              </w:rPr>
            </w:pPr>
            <w:r>
              <w:rPr>
                <w:noProof/>
                <w:sz w:val="16"/>
                <w:szCs w:val="16"/>
                <w:lang w:val="fr-BE"/>
              </w:rPr>
              <w:t>Pojemność obiektów małej retencji</w:t>
            </w:r>
          </w:p>
        </w:tc>
        <w:tc>
          <w:tcPr>
            <w:tcW w:w="0" w:type="auto"/>
            <w:shd w:val="clear" w:color="auto" w:fill="auto"/>
          </w:tcPr>
          <w:p w14:paraId="07C922D6" w14:textId="77777777" w:rsidR="008C5CFA" w:rsidRPr="0024468B" w:rsidRDefault="00E82A60" w:rsidP="00300A01">
            <w:pPr>
              <w:spacing w:before="0" w:after="0"/>
              <w:rPr>
                <w:sz w:val="16"/>
                <w:szCs w:val="16"/>
                <w:lang w:val="fr-BE"/>
              </w:rPr>
            </w:pPr>
            <w:r w:rsidRPr="0024468B">
              <w:rPr>
                <w:noProof/>
                <w:sz w:val="16"/>
                <w:szCs w:val="16"/>
                <w:lang w:val="fr-BE"/>
              </w:rPr>
              <w:t>m3</w:t>
            </w:r>
          </w:p>
        </w:tc>
        <w:tc>
          <w:tcPr>
            <w:tcW w:w="0" w:type="auto"/>
            <w:shd w:val="clear" w:color="auto" w:fill="auto"/>
          </w:tcPr>
          <w:p w14:paraId="4A4A219E" w14:textId="77777777" w:rsidR="008C5CFA" w:rsidRPr="0024468B" w:rsidRDefault="00E82A60"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14:paraId="18F874E1" w14:textId="77777777" w:rsidR="008C5CFA" w:rsidRPr="0024468B" w:rsidRDefault="00E82A60" w:rsidP="00300A01">
            <w:pPr>
              <w:spacing w:before="0" w:after="0"/>
              <w:jc w:val="right"/>
              <w:rPr>
                <w:sz w:val="16"/>
                <w:szCs w:val="16"/>
                <w:lang w:val="fr-BE"/>
              </w:rPr>
            </w:pPr>
            <w:r>
              <w:rPr>
                <w:noProof/>
                <w:sz w:val="16"/>
                <w:szCs w:val="16"/>
                <w:lang w:val="fr-BE"/>
              </w:rPr>
              <w:t>2 510 000,00</w:t>
            </w:r>
          </w:p>
        </w:tc>
        <w:tc>
          <w:tcPr>
            <w:tcW w:w="0" w:type="auto"/>
            <w:shd w:val="clear" w:color="auto" w:fill="auto"/>
          </w:tcPr>
          <w:p w14:paraId="0EA8A459" w14:textId="77777777" w:rsidR="008C5CFA" w:rsidRPr="0024468B" w:rsidRDefault="008C5CFA" w:rsidP="00300A01">
            <w:pPr>
              <w:spacing w:before="0" w:after="0"/>
              <w:jc w:val="right"/>
              <w:rPr>
                <w:sz w:val="16"/>
                <w:szCs w:val="16"/>
                <w:lang w:val="fr-BE"/>
              </w:rPr>
            </w:pPr>
          </w:p>
        </w:tc>
        <w:tc>
          <w:tcPr>
            <w:tcW w:w="0" w:type="auto"/>
          </w:tcPr>
          <w:p w14:paraId="76B59E2E" w14:textId="77777777" w:rsidR="008C5CFA" w:rsidRPr="0024468B" w:rsidRDefault="008C5CFA" w:rsidP="00300A01">
            <w:pPr>
              <w:spacing w:before="0" w:after="0"/>
              <w:jc w:val="right"/>
              <w:rPr>
                <w:sz w:val="16"/>
                <w:szCs w:val="16"/>
                <w:lang w:val="fr-BE"/>
              </w:rPr>
            </w:pPr>
          </w:p>
        </w:tc>
        <w:tc>
          <w:tcPr>
            <w:tcW w:w="0" w:type="auto"/>
            <w:shd w:val="clear" w:color="auto" w:fill="auto"/>
          </w:tcPr>
          <w:p w14:paraId="30823F3A"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0FC058EF"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61207987"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35E30C6E" w14:textId="77777777" w:rsidR="008C5CFA" w:rsidRPr="0024468B" w:rsidRDefault="00E82A60" w:rsidP="00300A01">
            <w:pPr>
              <w:spacing w:before="0" w:after="0"/>
              <w:rPr>
                <w:sz w:val="16"/>
                <w:szCs w:val="16"/>
                <w:lang w:val="fr-BE"/>
              </w:rPr>
            </w:pPr>
            <w:r w:rsidRPr="0024468B">
              <w:rPr>
                <w:noProof/>
                <w:sz w:val="16"/>
                <w:szCs w:val="16"/>
                <w:lang w:val="fr-BE"/>
              </w:rPr>
              <w:t>Braku możliwości kontraktacji w ramach PI 5b  projektów z zakresu małej retencji, w związku z negatywną opinią KE dotyczącą aktualizacji Planów Gospodarowania Wodami w Dorzeczu Wisły (brak spełnienia warunku ex ante dla PI 5b).</w:t>
            </w:r>
          </w:p>
        </w:tc>
      </w:tr>
      <w:tr w:rsidR="006B2EC1" w14:paraId="66BB7487" w14:textId="77777777" w:rsidTr="0047688D">
        <w:tc>
          <w:tcPr>
            <w:tcW w:w="0" w:type="auto"/>
          </w:tcPr>
          <w:p w14:paraId="325B399A" w14:textId="77777777" w:rsidR="008C5CFA" w:rsidRPr="0024468B" w:rsidRDefault="00E82A60" w:rsidP="00300A01">
            <w:pPr>
              <w:spacing w:before="0" w:after="0"/>
              <w:rPr>
                <w:sz w:val="16"/>
                <w:szCs w:val="16"/>
                <w:lang w:val="fr-BE"/>
              </w:rPr>
            </w:pPr>
            <w:r>
              <w:rPr>
                <w:noProof/>
                <w:sz w:val="16"/>
                <w:szCs w:val="16"/>
                <w:lang w:val="fr-BE"/>
              </w:rPr>
              <w:t>S</w:t>
            </w:r>
          </w:p>
        </w:tc>
        <w:tc>
          <w:tcPr>
            <w:tcW w:w="0" w:type="auto"/>
            <w:shd w:val="clear" w:color="auto" w:fill="auto"/>
          </w:tcPr>
          <w:p w14:paraId="70BDA3E8" w14:textId="77777777" w:rsidR="008C5CFA" w:rsidRPr="0024468B" w:rsidRDefault="00E82A60" w:rsidP="00300A01">
            <w:pPr>
              <w:spacing w:before="0" w:after="0"/>
              <w:rPr>
                <w:sz w:val="16"/>
                <w:szCs w:val="16"/>
                <w:lang w:val="fr-BE"/>
              </w:rPr>
            </w:pPr>
            <w:r>
              <w:rPr>
                <w:noProof/>
                <w:sz w:val="16"/>
                <w:szCs w:val="16"/>
                <w:lang w:val="fr-BE"/>
              </w:rPr>
              <w:t>028</w:t>
            </w:r>
          </w:p>
        </w:tc>
        <w:tc>
          <w:tcPr>
            <w:tcW w:w="0" w:type="auto"/>
            <w:shd w:val="clear" w:color="auto" w:fill="auto"/>
          </w:tcPr>
          <w:p w14:paraId="3645E8C1" w14:textId="77777777" w:rsidR="008C5CFA" w:rsidRPr="0024468B" w:rsidRDefault="00E82A60" w:rsidP="00300A01">
            <w:pPr>
              <w:spacing w:before="0" w:after="0"/>
              <w:rPr>
                <w:sz w:val="16"/>
                <w:szCs w:val="16"/>
                <w:lang w:val="fr-BE"/>
              </w:rPr>
            </w:pPr>
            <w:r>
              <w:rPr>
                <w:noProof/>
                <w:sz w:val="16"/>
                <w:szCs w:val="16"/>
                <w:lang w:val="fr-BE"/>
              </w:rPr>
              <w:t>Pojemność obiektów małej retencji</w:t>
            </w:r>
          </w:p>
        </w:tc>
        <w:tc>
          <w:tcPr>
            <w:tcW w:w="0" w:type="auto"/>
            <w:shd w:val="clear" w:color="auto" w:fill="auto"/>
          </w:tcPr>
          <w:p w14:paraId="32FEF620" w14:textId="77777777" w:rsidR="008C5CFA" w:rsidRPr="0024468B" w:rsidRDefault="00E82A60" w:rsidP="00300A01">
            <w:pPr>
              <w:spacing w:before="0" w:after="0"/>
              <w:rPr>
                <w:sz w:val="16"/>
                <w:szCs w:val="16"/>
                <w:lang w:val="fr-BE"/>
              </w:rPr>
            </w:pPr>
            <w:r w:rsidRPr="0024468B">
              <w:rPr>
                <w:noProof/>
                <w:sz w:val="16"/>
                <w:szCs w:val="16"/>
                <w:lang w:val="fr-BE"/>
              </w:rPr>
              <w:t>m3</w:t>
            </w:r>
          </w:p>
        </w:tc>
        <w:tc>
          <w:tcPr>
            <w:tcW w:w="0" w:type="auto"/>
            <w:shd w:val="clear" w:color="auto" w:fill="auto"/>
          </w:tcPr>
          <w:p w14:paraId="7A35046F" w14:textId="77777777" w:rsidR="008C5CFA" w:rsidRPr="0024468B" w:rsidRDefault="00E82A60"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14:paraId="5EF81C38" w14:textId="77777777" w:rsidR="008C5CFA" w:rsidRPr="0024468B" w:rsidRDefault="00E82A60" w:rsidP="00300A01">
            <w:pPr>
              <w:spacing w:before="0" w:after="0"/>
              <w:jc w:val="right"/>
              <w:rPr>
                <w:sz w:val="16"/>
                <w:szCs w:val="16"/>
                <w:lang w:val="fr-BE"/>
              </w:rPr>
            </w:pPr>
            <w:r>
              <w:rPr>
                <w:noProof/>
                <w:sz w:val="16"/>
                <w:szCs w:val="16"/>
                <w:lang w:val="fr-BE"/>
              </w:rPr>
              <w:t>2 510 000,00</w:t>
            </w:r>
          </w:p>
        </w:tc>
        <w:tc>
          <w:tcPr>
            <w:tcW w:w="0" w:type="auto"/>
            <w:shd w:val="clear" w:color="auto" w:fill="auto"/>
          </w:tcPr>
          <w:p w14:paraId="6F5F80F5" w14:textId="77777777" w:rsidR="008C5CFA" w:rsidRPr="0024468B" w:rsidRDefault="008C5CFA" w:rsidP="00300A01">
            <w:pPr>
              <w:spacing w:before="0" w:after="0"/>
              <w:jc w:val="right"/>
              <w:rPr>
                <w:sz w:val="16"/>
                <w:szCs w:val="16"/>
                <w:lang w:val="fr-BE"/>
              </w:rPr>
            </w:pPr>
          </w:p>
        </w:tc>
        <w:tc>
          <w:tcPr>
            <w:tcW w:w="0" w:type="auto"/>
          </w:tcPr>
          <w:p w14:paraId="3DE3376E" w14:textId="77777777" w:rsidR="008C5CFA" w:rsidRPr="0024468B" w:rsidRDefault="008C5CFA" w:rsidP="00300A01">
            <w:pPr>
              <w:spacing w:before="0" w:after="0"/>
              <w:jc w:val="right"/>
              <w:rPr>
                <w:sz w:val="16"/>
                <w:szCs w:val="16"/>
                <w:lang w:val="fr-BE"/>
              </w:rPr>
            </w:pPr>
          </w:p>
        </w:tc>
        <w:tc>
          <w:tcPr>
            <w:tcW w:w="0" w:type="auto"/>
            <w:shd w:val="clear" w:color="auto" w:fill="auto"/>
          </w:tcPr>
          <w:p w14:paraId="50D25DB0"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316103E7"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71DF7C06"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25A5DA7B" w14:textId="77777777" w:rsidR="008C5CFA" w:rsidRPr="0024468B" w:rsidRDefault="00E82A60" w:rsidP="00300A01">
            <w:pPr>
              <w:spacing w:before="0" w:after="0"/>
              <w:rPr>
                <w:sz w:val="16"/>
                <w:szCs w:val="16"/>
                <w:lang w:val="fr-BE"/>
              </w:rPr>
            </w:pPr>
            <w:r w:rsidRPr="0024468B">
              <w:rPr>
                <w:noProof/>
                <w:sz w:val="16"/>
                <w:szCs w:val="16"/>
                <w:lang w:val="fr-BE"/>
              </w:rPr>
              <w:t>Braku możliwości kontraktacji w ramach PI 5b  projektów z zakresu małej retencji, w związku z negatywną opinią KE dotyczącą aktualizacji Planów Gospodarowania Wodami w Dorzeczu Wisły (brak spełnienia warunku ex ante dla PI 5b).</w:t>
            </w:r>
          </w:p>
        </w:tc>
      </w:tr>
      <w:tr w:rsidR="006B2EC1" w14:paraId="78D522D7" w14:textId="77777777" w:rsidTr="0047688D">
        <w:tc>
          <w:tcPr>
            <w:tcW w:w="0" w:type="auto"/>
          </w:tcPr>
          <w:p w14:paraId="407242B3" w14:textId="77777777" w:rsidR="008C5CFA" w:rsidRPr="0024468B" w:rsidRDefault="00E82A60" w:rsidP="00300A01">
            <w:pPr>
              <w:spacing w:before="0" w:after="0"/>
              <w:rPr>
                <w:sz w:val="16"/>
                <w:szCs w:val="16"/>
                <w:lang w:val="fr-BE"/>
              </w:rPr>
            </w:pPr>
            <w:r>
              <w:rPr>
                <w:noProof/>
                <w:sz w:val="16"/>
                <w:szCs w:val="16"/>
                <w:lang w:val="fr-BE"/>
              </w:rPr>
              <w:t>F</w:t>
            </w:r>
          </w:p>
        </w:tc>
        <w:tc>
          <w:tcPr>
            <w:tcW w:w="0" w:type="auto"/>
            <w:shd w:val="clear" w:color="auto" w:fill="auto"/>
          </w:tcPr>
          <w:p w14:paraId="7A7596D4" w14:textId="77777777" w:rsidR="008C5CFA" w:rsidRPr="0024468B" w:rsidRDefault="00E82A60" w:rsidP="00300A01">
            <w:pPr>
              <w:spacing w:before="0" w:after="0"/>
              <w:rPr>
                <w:sz w:val="16"/>
                <w:szCs w:val="16"/>
                <w:lang w:val="fr-BE"/>
              </w:rPr>
            </w:pPr>
            <w:r>
              <w:rPr>
                <w:noProof/>
                <w:sz w:val="16"/>
                <w:szCs w:val="16"/>
                <w:lang w:val="fr-BE"/>
              </w:rPr>
              <w:t>47</w:t>
            </w:r>
          </w:p>
        </w:tc>
        <w:tc>
          <w:tcPr>
            <w:tcW w:w="0" w:type="auto"/>
            <w:shd w:val="clear" w:color="auto" w:fill="auto"/>
          </w:tcPr>
          <w:p w14:paraId="0C284000" w14:textId="77777777" w:rsidR="008C5CFA" w:rsidRPr="0024468B" w:rsidRDefault="00E82A60" w:rsidP="00300A01">
            <w:pPr>
              <w:spacing w:before="0" w:after="0"/>
              <w:rPr>
                <w:sz w:val="16"/>
                <w:szCs w:val="16"/>
                <w:lang w:val="fr-BE"/>
              </w:rPr>
            </w:pPr>
            <w:r>
              <w:rPr>
                <w:noProof/>
                <w:sz w:val="16"/>
                <w:szCs w:val="16"/>
                <w:lang w:val="fr-BE"/>
              </w:rPr>
              <w:t>Liczba jednostek służb ratowniczych doposażonych  w sprzęt do prowadzenia akcji ratowniczych  i usuwania skutków katastrof</w:t>
            </w:r>
          </w:p>
        </w:tc>
        <w:tc>
          <w:tcPr>
            <w:tcW w:w="0" w:type="auto"/>
            <w:shd w:val="clear" w:color="auto" w:fill="auto"/>
          </w:tcPr>
          <w:p w14:paraId="7F2BF293" w14:textId="77777777" w:rsidR="008C5CFA" w:rsidRPr="0024468B" w:rsidRDefault="00E82A60" w:rsidP="00300A01">
            <w:pPr>
              <w:spacing w:before="0" w:after="0"/>
              <w:rPr>
                <w:sz w:val="16"/>
                <w:szCs w:val="16"/>
                <w:lang w:val="fr-BE"/>
              </w:rPr>
            </w:pPr>
            <w:r w:rsidRPr="0024468B">
              <w:rPr>
                <w:noProof/>
                <w:sz w:val="16"/>
                <w:szCs w:val="16"/>
                <w:lang w:val="fr-BE"/>
              </w:rPr>
              <w:t>szt.</w:t>
            </w:r>
          </w:p>
        </w:tc>
        <w:tc>
          <w:tcPr>
            <w:tcW w:w="0" w:type="auto"/>
            <w:shd w:val="clear" w:color="auto" w:fill="auto"/>
          </w:tcPr>
          <w:p w14:paraId="5405E28B" w14:textId="77777777" w:rsidR="008C5CFA" w:rsidRPr="0024468B" w:rsidRDefault="00E82A60"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14:paraId="00D0D321" w14:textId="77777777" w:rsidR="008C5CFA" w:rsidRPr="0024468B" w:rsidRDefault="00E82A60" w:rsidP="00300A01">
            <w:pPr>
              <w:spacing w:before="0" w:after="0"/>
              <w:jc w:val="right"/>
              <w:rPr>
                <w:sz w:val="16"/>
                <w:szCs w:val="16"/>
                <w:lang w:val="fr-BE"/>
              </w:rPr>
            </w:pPr>
            <w:r>
              <w:rPr>
                <w:noProof/>
                <w:sz w:val="16"/>
                <w:szCs w:val="16"/>
                <w:lang w:val="fr-BE"/>
              </w:rPr>
              <w:t>25,00</w:t>
            </w:r>
          </w:p>
        </w:tc>
        <w:tc>
          <w:tcPr>
            <w:tcW w:w="0" w:type="auto"/>
            <w:shd w:val="clear" w:color="auto" w:fill="auto"/>
          </w:tcPr>
          <w:p w14:paraId="66404A4A" w14:textId="77777777" w:rsidR="008C5CFA" w:rsidRPr="0024468B" w:rsidRDefault="008C5CFA" w:rsidP="00300A01">
            <w:pPr>
              <w:spacing w:before="0" w:after="0"/>
              <w:jc w:val="right"/>
              <w:rPr>
                <w:sz w:val="16"/>
                <w:szCs w:val="16"/>
                <w:lang w:val="fr-BE"/>
              </w:rPr>
            </w:pPr>
          </w:p>
        </w:tc>
        <w:tc>
          <w:tcPr>
            <w:tcW w:w="0" w:type="auto"/>
          </w:tcPr>
          <w:p w14:paraId="4B6EE6A7" w14:textId="77777777" w:rsidR="008C5CFA" w:rsidRPr="0024468B" w:rsidRDefault="008C5CFA" w:rsidP="00300A01">
            <w:pPr>
              <w:spacing w:before="0" w:after="0"/>
              <w:jc w:val="right"/>
              <w:rPr>
                <w:sz w:val="16"/>
                <w:szCs w:val="16"/>
                <w:lang w:val="fr-BE"/>
              </w:rPr>
            </w:pPr>
          </w:p>
        </w:tc>
        <w:tc>
          <w:tcPr>
            <w:tcW w:w="0" w:type="auto"/>
            <w:shd w:val="clear" w:color="auto" w:fill="auto"/>
          </w:tcPr>
          <w:p w14:paraId="78937DF0" w14:textId="77777777" w:rsidR="008C5CFA" w:rsidRPr="0024468B" w:rsidRDefault="00E82A60" w:rsidP="00300A01">
            <w:pPr>
              <w:spacing w:before="0" w:after="0"/>
              <w:jc w:val="right"/>
              <w:rPr>
                <w:sz w:val="16"/>
                <w:szCs w:val="16"/>
                <w:lang w:val="fr-BE"/>
              </w:rPr>
            </w:pPr>
            <w:r w:rsidRPr="0024468B">
              <w:rPr>
                <w:noProof/>
                <w:sz w:val="16"/>
                <w:szCs w:val="16"/>
                <w:lang w:val="fr-BE"/>
              </w:rPr>
              <w:t>26,00</w:t>
            </w:r>
          </w:p>
        </w:tc>
        <w:tc>
          <w:tcPr>
            <w:tcW w:w="0" w:type="auto"/>
            <w:shd w:val="clear" w:color="auto" w:fill="auto"/>
          </w:tcPr>
          <w:p w14:paraId="4D536842"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13D3806C"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33F27DE9" w14:textId="77777777" w:rsidR="008C5CFA" w:rsidRPr="0024468B" w:rsidRDefault="008C5CFA" w:rsidP="00300A01">
            <w:pPr>
              <w:spacing w:before="0" w:after="0"/>
              <w:rPr>
                <w:sz w:val="16"/>
                <w:szCs w:val="16"/>
                <w:lang w:val="fr-BE"/>
              </w:rPr>
            </w:pPr>
          </w:p>
        </w:tc>
      </w:tr>
      <w:tr w:rsidR="006B2EC1" w14:paraId="0E75FD1D" w14:textId="77777777" w:rsidTr="0047688D">
        <w:tc>
          <w:tcPr>
            <w:tcW w:w="0" w:type="auto"/>
          </w:tcPr>
          <w:p w14:paraId="23A69216" w14:textId="77777777" w:rsidR="008C5CFA" w:rsidRPr="0024468B" w:rsidRDefault="00E82A60" w:rsidP="00300A01">
            <w:pPr>
              <w:spacing w:before="0" w:after="0"/>
              <w:rPr>
                <w:sz w:val="16"/>
                <w:szCs w:val="16"/>
                <w:lang w:val="fr-BE"/>
              </w:rPr>
            </w:pPr>
            <w:r>
              <w:rPr>
                <w:noProof/>
                <w:sz w:val="16"/>
                <w:szCs w:val="16"/>
                <w:lang w:val="fr-BE"/>
              </w:rPr>
              <w:t>S</w:t>
            </w:r>
          </w:p>
        </w:tc>
        <w:tc>
          <w:tcPr>
            <w:tcW w:w="0" w:type="auto"/>
            <w:shd w:val="clear" w:color="auto" w:fill="auto"/>
          </w:tcPr>
          <w:p w14:paraId="483F12C2" w14:textId="77777777" w:rsidR="008C5CFA" w:rsidRPr="0024468B" w:rsidRDefault="00E82A60" w:rsidP="00300A01">
            <w:pPr>
              <w:spacing w:before="0" w:after="0"/>
              <w:rPr>
                <w:sz w:val="16"/>
                <w:szCs w:val="16"/>
                <w:lang w:val="fr-BE"/>
              </w:rPr>
            </w:pPr>
            <w:r>
              <w:rPr>
                <w:noProof/>
                <w:sz w:val="16"/>
                <w:szCs w:val="16"/>
                <w:lang w:val="fr-BE"/>
              </w:rPr>
              <w:t>47</w:t>
            </w:r>
          </w:p>
        </w:tc>
        <w:tc>
          <w:tcPr>
            <w:tcW w:w="0" w:type="auto"/>
            <w:shd w:val="clear" w:color="auto" w:fill="auto"/>
          </w:tcPr>
          <w:p w14:paraId="36BF823B" w14:textId="77777777" w:rsidR="008C5CFA" w:rsidRPr="0024468B" w:rsidRDefault="00E82A60" w:rsidP="00300A01">
            <w:pPr>
              <w:spacing w:before="0" w:after="0"/>
              <w:rPr>
                <w:sz w:val="16"/>
                <w:szCs w:val="16"/>
                <w:lang w:val="fr-BE"/>
              </w:rPr>
            </w:pPr>
            <w:r>
              <w:rPr>
                <w:noProof/>
                <w:sz w:val="16"/>
                <w:szCs w:val="16"/>
                <w:lang w:val="fr-BE"/>
              </w:rPr>
              <w:t>Liczba jednostek służb ratowniczych doposażonych  w sprzęt do prowadzenia akcji ratowniczych  i usuwania skutków katastrof</w:t>
            </w:r>
          </w:p>
        </w:tc>
        <w:tc>
          <w:tcPr>
            <w:tcW w:w="0" w:type="auto"/>
            <w:shd w:val="clear" w:color="auto" w:fill="auto"/>
          </w:tcPr>
          <w:p w14:paraId="6BF3DE88" w14:textId="77777777" w:rsidR="008C5CFA" w:rsidRPr="0024468B" w:rsidRDefault="00E82A60" w:rsidP="00300A01">
            <w:pPr>
              <w:spacing w:before="0" w:after="0"/>
              <w:rPr>
                <w:sz w:val="16"/>
                <w:szCs w:val="16"/>
                <w:lang w:val="fr-BE"/>
              </w:rPr>
            </w:pPr>
            <w:r w:rsidRPr="0024468B">
              <w:rPr>
                <w:noProof/>
                <w:sz w:val="16"/>
                <w:szCs w:val="16"/>
                <w:lang w:val="fr-BE"/>
              </w:rPr>
              <w:t>szt.</w:t>
            </w:r>
          </w:p>
        </w:tc>
        <w:tc>
          <w:tcPr>
            <w:tcW w:w="0" w:type="auto"/>
            <w:shd w:val="clear" w:color="auto" w:fill="auto"/>
          </w:tcPr>
          <w:p w14:paraId="05AD0417" w14:textId="77777777" w:rsidR="008C5CFA" w:rsidRPr="0024468B" w:rsidRDefault="00E82A60"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14:paraId="5982A36C" w14:textId="77777777" w:rsidR="008C5CFA" w:rsidRPr="0024468B" w:rsidRDefault="00E82A60" w:rsidP="00300A01">
            <w:pPr>
              <w:spacing w:before="0" w:after="0"/>
              <w:jc w:val="right"/>
              <w:rPr>
                <w:sz w:val="16"/>
                <w:szCs w:val="16"/>
                <w:lang w:val="fr-BE"/>
              </w:rPr>
            </w:pPr>
            <w:r>
              <w:rPr>
                <w:noProof/>
                <w:sz w:val="16"/>
                <w:szCs w:val="16"/>
                <w:lang w:val="fr-BE"/>
              </w:rPr>
              <w:t>25,00</w:t>
            </w:r>
          </w:p>
        </w:tc>
        <w:tc>
          <w:tcPr>
            <w:tcW w:w="0" w:type="auto"/>
            <w:shd w:val="clear" w:color="auto" w:fill="auto"/>
          </w:tcPr>
          <w:p w14:paraId="03C44180" w14:textId="77777777" w:rsidR="008C5CFA" w:rsidRPr="0024468B" w:rsidRDefault="008C5CFA" w:rsidP="00300A01">
            <w:pPr>
              <w:spacing w:before="0" w:after="0"/>
              <w:jc w:val="right"/>
              <w:rPr>
                <w:sz w:val="16"/>
                <w:szCs w:val="16"/>
                <w:lang w:val="fr-BE"/>
              </w:rPr>
            </w:pPr>
          </w:p>
        </w:tc>
        <w:tc>
          <w:tcPr>
            <w:tcW w:w="0" w:type="auto"/>
          </w:tcPr>
          <w:p w14:paraId="1B11881F" w14:textId="77777777" w:rsidR="008C5CFA" w:rsidRPr="0024468B" w:rsidRDefault="008C5CFA" w:rsidP="00300A01">
            <w:pPr>
              <w:spacing w:before="0" w:after="0"/>
              <w:jc w:val="right"/>
              <w:rPr>
                <w:sz w:val="16"/>
                <w:szCs w:val="16"/>
                <w:lang w:val="fr-BE"/>
              </w:rPr>
            </w:pPr>
          </w:p>
        </w:tc>
        <w:tc>
          <w:tcPr>
            <w:tcW w:w="0" w:type="auto"/>
            <w:shd w:val="clear" w:color="auto" w:fill="auto"/>
          </w:tcPr>
          <w:p w14:paraId="0A9FBEB8" w14:textId="77777777" w:rsidR="008C5CFA" w:rsidRPr="0024468B" w:rsidRDefault="00E82A60" w:rsidP="00300A01">
            <w:pPr>
              <w:spacing w:before="0" w:after="0"/>
              <w:jc w:val="right"/>
              <w:rPr>
                <w:sz w:val="16"/>
                <w:szCs w:val="16"/>
                <w:lang w:val="fr-BE"/>
              </w:rPr>
            </w:pPr>
            <w:r w:rsidRPr="0024468B">
              <w:rPr>
                <w:noProof/>
                <w:sz w:val="16"/>
                <w:szCs w:val="16"/>
                <w:lang w:val="fr-BE"/>
              </w:rPr>
              <w:t>31,00</w:t>
            </w:r>
          </w:p>
        </w:tc>
        <w:tc>
          <w:tcPr>
            <w:tcW w:w="0" w:type="auto"/>
            <w:shd w:val="clear" w:color="auto" w:fill="auto"/>
          </w:tcPr>
          <w:p w14:paraId="2D6447D3"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7B243F38"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389A31D1" w14:textId="77777777" w:rsidR="008C5CFA" w:rsidRPr="0024468B" w:rsidRDefault="008C5CFA" w:rsidP="00300A01">
            <w:pPr>
              <w:spacing w:before="0" w:after="0"/>
              <w:rPr>
                <w:sz w:val="16"/>
                <w:szCs w:val="16"/>
                <w:lang w:val="fr-BE"/>
              </w:rPr>
            </w:pPr>
          </w:p>
        </w:tc>
      </w:tr>
    </w:tbl>
    <w:p w14:paraId="5F7C015F" w14:textId="77777777" w:rsidR="008C5CFA" w:rsidRDefault="00E82A60" w:rsidP="00300A01">
      <w:pPr>
        <w:spacing w:before="0" w:after="0"/>
        <w:rPr>
          <w:lang w:val="fr-BE"/>
        </w:rPr>
      </w:pPr>
      <w:r>
        <w:rPr>
          <w:noProof/>
          <w:lang w:val="fr-BE"/>
        </w:rPr>
        <w:t>1) S=wartość skumulowana – produkty, które mają być zrealizowane poprzez wybrane operacje [prognoza przedstawiona przez beneficjentów], F=wartość skumulowana – produkty zrealizowane poprzez operacje [rzeczywiste wykonanie]</w:t>
      </w:r>
    </w:p>
    <w:p w14:paraId="334D906D"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01"/>
        <w:gridCol w:w="497"/>
        <w:gridCol w:w="5882"/>
        <w:gridCol w:w="879"/>
        <w:gridCol w:w="1066"/>
        <w:gridCol w:w="889"/>
        <w:gridCol w:w="880"/>
        <w:gridCol w:w="1066"/>
        <w:gridCol w:w="889"/>
        <w:gridCol w:w="880"/>
        <w:gridCol w:w="1066"/>
        <w:gridCol w:w="889"/>
      </w:tblGrid>
      <w:tr w:rsidR="006B2EC1" w14:paraId="13144D26" w14:textId="77777777" w:rsidTr="0047688D">
        <w:trPr>
          <w:tblHeader/>
        </w:trPr>
        <w:tc>
          <w:tcPr>
            <w:tcW w:w="0" w:type="auto"/>
          </w:tcPr>
          <w:p w14:paraId="41AA6330" w14:textId="77777777" w:rsidR="008C5CFA" w:rsidRPr="009143B4" w:rsidRDefault="00E82A60" w:rsidP="00300A01">
            <w:pPr>
              <w:spacing w:before="0" w:after="0"/>
              <w:rPr>
                <w:b/>
                <w:sz w:val="16"/>
                <w:szCs w:val="16"/>
                <w:lang w:val="fr-BE"/>
              </w:rPr>
            </w:pPr>
            <w:r w:rsidRPr="009143B4">
              <w:rPr>
                <w:b/>
                <w:sz w:val="16"/>
                <w:szCs w:val="16"/>
                <w:lang w:val="fr-BE"/>
              </w:rPr>
              <w:t>(1)</w:t>
            </w:r>
          </w:p>
        </w:tc>
        <w:tc>
          <w:tcPr>
            <w:tcW w:w="0" w:type="auto"/>
            <w:shd w:val="clear" w:color="auto" w:fill="auto"/>
          </w:tcPr>
          <w:p w14:paraId="40AC0E1E" w14:textId="77777777" w:rsidR="008C5CFA" w:rsidRPr="009143B4" w:rsidRDefault="00E82A60" w:rsidP="00300A01">
            <w:pPr>
              <w:spacing w:before="0" w:after="0"/>
              <w:rPr>
                <w:b/>
                <w:sz w:val="16"/>
                <w:szCs w:val="16"/>
                <w:lang w:val="fr-BE"/>
              </w:rPr>
            </w:pPr>
            <w:r w:rsidRPr="009143B4">
              <w:rPr>
                <w:b/>
                <w:noProof/>
                <w:sz w:val="16"/>
                <w:szCs w:val="16"/>
                <w:lang w:val="fr-BE"/>
              </w:rPr>
              <w:t>ID</w:t>
            </w:r>
          </w:p>
        </w:tc>
        <w:tc>
          <w:tcPr>
            <w:tcW w:w="0" w:type="auto"/>
            <w:shd w:val="clear" w:color="auto" w:fill="auto"/>
          </w:tcPr>
          <w:p w14:paraId="23A65B09" w14:textId="77777777" w:rsidR="008C5CFA" w:rsidRPr="009143B4" w:rsidRDefault="00E82A60" w:rsidP="00300A01">
            <w:pPr>
              <w:spacing w:before="0" w:after="0"/>
              <w:rPr>
                <w:b/>
                <w:sz w:val="16"/>
                <w:szCs w:val="16"/>
                <w:lang w:val="fr-BE"/>
              </w:rPr>
            </w:pPr>
            <w:r w:rsidRPr="009143B4">
              <w:rPr>
                <w:b/>
                <w:noProof/>
                <w:sz w:val="16"/>
                <w:szCs w:val="16"/>
                <w:lang w:val="fr-BE"/>
              </w:rPr>
              <w:t>Wskaźnik</w:t>
            </w:r>
          </w:p>
        </w:tc>
        <w:tc>
          <w:tcPr>
            <w:tcW w:w="0" w:type="auto"/>
          </w:tcPr>
          <w:p w14:paraId="3FFF1C58" w14:textId="77777777" w:rsidR="008C5CFA" w:rsidRPr="009143B4" w:rsidRDefault="00E82A60" w:rsidP="00300A01">
            <w:pPr>
              <w:spacing w:before="0" w:after="0"/>
              <w:jc w:val="center"/>
              <w:rPr>
                <w:b/>
                <w:sz w:val="16"/>
                <w:szCs w:val="16"/>
                <w:lang w:val="fr-BE"/>
              </w:rPr>
            </w:pPr>
            <w:r>
              <w:rPr>
                <w:b/>
                <w:sz w:val="16"/>
                <w:szCs w:val="16"/>
                <w:lang w:val="fr-BE"/>
              </w:rPr>
              <w:t xml:space="preserve">2018 </w:t>
            </w:r>
            <w:r w:rsidRPr="009143B4">
              <w:rPr>
                <w:b/>
                <w:noProof/>
                <w:sz w:val="16"/>
                <w:szCs w:val="16"/>
                <w:lang w:val="fr-BE"/>
              </w:rPr>
              <w:t>Ogółem</w:t>
            </w:r>
          </w:p>
        </w:tc>
        <w:tc>
          <w:tcPr>
            <w:tcW w:w="0" w:type="auto"/>
          </w:tcPr>
          <w:p w14:paraId="38EF3F06" w14:textId="77777777" w:rsidR="008C5CFA" w:rsidRPr="009143B4" w:rsidRDefault="00E82A60" w:rsidP="00300A01">
            <w:pPr>
              <w:spacing w:before="0" w:after="0"/>
              <w:jc w:val="center"/>
              <w:rPr>
                <w:b/>
                <w:sz w:val="16"/>
                <w:szCs w:val="16"/>
                <w:lang w:val="fr-BE"/>
              </w:rPr>
            </w:pPr>
            <w:r>
              <w:rPr>
                <w:b/>
                <w:sz w:val="16"/>
                <w:szCs w:val="16"/>
                <w:lang w:val="fr-BE"/>
              </w:rPr>
              <w:t xml:space="preserve">2018 </w:t>
            </w:r>
            <w:r w:rsidRPr="009143B4">
              <w:rPr>
                <w:b/>
                <w:noProof/>
                <w:sz w:val="16"/>
                <w:szCs w:val="16"/>
                <w:lang w:val="fr-BE"/>
              </w:rPr>
              <w:t>Mężczyźni</w:t>
            </w:r>
          </w:p>
        </w:tc>
        <w:tc>
          <w:tcPr>
            <w:tcW w:w="0" w:type="auto"/>
          </w:tcPr>
          <w:p w14:paraId="4D51A7F7" w14:textId="77777777" w:rsidR="008C5CFA" w:rsidRPr="009143B4" w:rsidRDefault="00E82A60" w:rsidP="00300A01">
            <w:pPr>
              <w:spacing w:before="0" w:after="0"/>
              <w:jc w:val="center"/>
              <w:rPr>
                <w:b/>
                <w:sz w:val="16"/>
                <w:szCs w:val="16"/>
                <w:lang w:val="fr-BE"/>
              </w:rPr>
            </w:pPr>
            <w:r>
              <w:rPr>
                <w:b/>
                <w:sz w:val="16"/>
                <w:szCs w:val="16"/>
                <w:lang w:val="fr-BE"/>
              </w:rPr>
              <w:t xml:space="preserve">2018 </w:t>
            </w:r>
            <w:r w:rsidRPr="009143B4">
              <w:rPr>
                <w:b/>
                <w:noProof/>
                <w:sz w:val="16"/>
                <w:szCs w:val="16"/>
                <w:lang w:val="fr-BE"/>
              </w:rPr>
              <w:t>Kobiety</w:t>
            </w:r>
          </w:p>
        </w:tc>
        <w:tc>
          <w:tcPr>
            <w:tcW w:w="0" w:type="auto"/>
          </w:tcPr>
          <w:p w14:paraId="50A57FF4" w14:textId="77777777" w:rsidR="008C5CFA" w:rsidRPr="009143B4" w:rsidRDefault="00E82A60"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Ogółem</w:t>
            </w:r>
          </w:p>
        </w:tc>
        <w:tc>
          <w:tcPr>
            <w:tcW w:w="0" w:type="auto"/>
          </w:tcPr>
          <w:p w14:paraId="782A8995" w14:textId="77777777" w:rsidR="008C5CFA" w:rsidRPr="009143B4" w:rsidRDefault="00E82A60"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Mężczyźni</w:t>
            </w:r>
          </w:p>
        </w:tc>
        <w:tc>
          <w:tcPr>
            <w:tcW w:w="0" w:type="auto"/>
          </w:tcPr>
          <w:p w14:paraId="12ED0015" w14:textId="77777777" w:rsidR="008C5CFA" w:rsidRPr="009143B4" w:rsidRDefault="00E82A60"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Kobiety</w:t>
            </w:r>
          </w:p>
        </w:tc>
        <w:tc>
          <w:tcPr>
            <w:tcW w:w="0" w:type="auto"/>
            <w:shd w:val="clear" w:color="auto" w:fill="auto"/>
          </w:tcPr>
          <w:p w14:paraId="2928EF49" w14:textId="77777777" w:rsidR="008C5CFA" w:rsidRPr="009143B4" w:rsidRDefault="00E82A60"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Ogółem</w:t>
            </w:r>
          </w:p>
        </w:tc>
        <w:tc>
          <w:tcPr>
            <w:tcW w:w="0" w:type="auto"/>
            <w:shd w:val="clear" w:color="auto" w:fill="auto"/>
          </w:tcPr>
          <w:p w14:paraId="22708C34" w14:textId="77777777" w:rsidR="008C5CFA" w:rsidRPr="009143B4" w:rsidRDefault="00E82A60"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Mężczyźni</w:t>
            </w:r>
          </w:p>
        </w:tc>
        <w:tc>
          <w:tcPr>
            <w:tcW w:w="0" w:type="auto"/>
            <w:shd w:val="clear" w:color="auto" w:fill="auto"/>
          </w:tcPr>
          <w:p w14:paraId="52BF61B5" w14:textId="77777777" w:rsidR="008C5CFA" w:rsidRPr="009143B4" w:rsidRDefault="00E82A60"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Kobiety</w:t>
            </w:r>
          </w:p>
        </w:tc>
      </w:tr>
      <w:tr w:rsidR="006B2EC1" w14:paraId="13BB7375" w14:textId="77777777" w:rsidTr="0047688D">
        <w:tc>
          <w:tcPr>
            <w:tcW w:w="0" w:type="auto"/>
          </w:tcPr>
          <w:p w14:paraId="0CE06FF8" w14:textId="77777777" w:rsidR="008C5CFA" w:rsidRPr="0024468B" w:rsidRDefault="00E82A60" w:rsidP="00300A01">
            <w:pPr>
              <w:spacing w:before="0" w:after="0"/>
              <w:rPr>
                <w:sz w:val="16"/>
                <w:szCs w:val="16"/>
                <w:lang w:val="fr-BE"/>
              </w:rPr>
            </w:pPr>
            <w:r>
              <w:rPr>
                <w:noProof/>
                <w:sz w:val="16"/>
                <w:szCs w:val="16"/>
                <w:lang w:val="fr-BE"/>
              </w:rPr>
              <w:t>F</w:t>
            </w:r>
          </w:p>
        </w:tc>
        <w:tc>
          <w:tcPr>
            <w:tcW w:w="0" w:type="auto"/>
            <w:shd w:val="clear" w:color="auto" w:fill="auto"/>
          </w:tcPr>
          <w:p w14:paraId="1934234F" w14:textId="77777777" w:rsidR="008C5CFA" w:rsidRPr="0024468B" w:rsidRDefault="00E82A60" w:rsidP="00300A01">
            <w:pPr>
              <w:spacing w:before="0" w:after="0"/>
              <w:rPr>
                <w:sz w:val="16"/>
                <w:szCs w:val="16"/>
                <w:lang w:val="fr-BE"/>
              </w:rPr>
            </w:pPr>
            <w:r w:rsidRPr="0024468B">
              <w:rPr>
                <w:noProof/>
                <w:sz w:val="16"/>
                <w:szCs w:val="16"/>
                <w:lang w:val="fr-BE"/>
              </w:rPr>
              <w:t>CO20</w:t>
            </w:r>
          </w:p>
        </w:tc>
        <w:tc>
          <w:tcPr>
            <w:tcW w:w="0" w:type="auto"/>
            <w:shd w:val="clear" w:color="auto" w:fill="auto"/>
          </w:tcPr>
          <w:p w14:paraId="003B599B" w14:textId="77777777" w:rsidR="008C5CFA" w:rsidRPr="0024468B" w:rsidRDefault="00E82A60" w:rsidP="00300A01">
            <w:pPr>
              <w:spacing w:before="0" w:after="0"/>
              <w:rPr>
                <w:sz w:val="16"/>
                <w:szCs w:val="16"/>
                <w:lang w:val="fr-BE"/>
              </w:rPr>
            </w:pPr>
            <w:r w:rsidRPr="0024468B">
              <w:rPr>
                <w:noProof/>
                <w:sz w:val="16"/>
                <w:szCs w:val="16"/>
                <w:lang w:val="fr-BE"/>
              </w:rPr>
              <w:t>Zapobieganie ryzyku i zarządzenie ryzykiem: liczba ludności odnoszącej korzyści ze środków ochrony przeciwpowodziowej</w:t>
            </w:r>
          </w:p>
        </w:tc>
        <w:tc>
          <w:tcPr>
            <w:tcW w:w="0" w:type="auto"/>
          </w:tcPr>
          <w:p w14:paraId="7FE942DB"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32B6CA91"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2985DA0B"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0F0AA8C6"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26F96010"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47E71F20"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08A1FC40"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4956CCC3"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21FA2072"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r w:rsidR="006B2EC1" w14:paraId="516B4205" w14:textId="77777777" w:rsidTr="0047688D">
        <w:tc>
          <w:tcPr>
            <w:tcW w:w="0" w:type="auto"/>
          </w:tcPr>
          <w:p w14:paraId="19491245" w14:textId="77777777" w:rsidR="008C5CFA" w:rsidRPr="0024468B" w:rsidRDefault="00E82A60" w:rsidP="00300A01">
            <w:pPr>
              <w:spacing w:before="0" w:after="0"/>
              <w:rPr>
                <w:sz w:val="16"/>
                <w:szCs w:val="16"/>
                <w:lang w:val="fr-BE"/>
              </w:rPr>
            </w:pPr>
            <w:r>
              <w:rPr>
                <w:noProof/>
                <w:sz w:val="16"/>
                <w:szCs w:val="16"/>
                <w:lang w:val="fr-BE"/>
              </w:rPr>
              <w:t>S</w:t>
            </w:r>
          </w:p>
        </w:tc>
        <w:tc>
          <w:tcPr>
            <w:tcW w:w="0" w:type="auto"/>
            <w:shd w:val="clear" w:color="auto" w:fill="auto"/>
          </w:tcPr>
          <w:p w14:paraId="234E8E7A" w14:textId="77777777" w:rsidR="008C5CFA" w:rsidRPr="0024468B" w:rsidRDefault="00E82A60" w:rsidP="00300A01">
            <w:pPr>
              <w:spacing w:before="0" w:after="0"/>
              <w:rPr>
                <w:sz w:val="16"/>
                <w:szCs w:val="16"/>
                <w:lang w:val="fr-BE"/>
              </w:rPr>
            </w:pPr>
            <w:r w:rsidRPr="0024468B">
              <w:rPr>
                <w:noProof/>
                <w:sz w:val="16"/>
                <w:szCs w:val="16"/>
                <w:lang w:val="fr-BE"/>
              </w:rPr>
              <w:t>CO20</w:t>
            </w:r>
          </w:p>
        </w:tc>
        <w:tc>
          <w:tcPr>
            <w:tcW w:w="0" w:type="auto"/>
            <w:shd w:val="clear" w:color="auto" w:fill="auto"/>
          </w:tcPr>
          <w:p w14:paraId="17BC94A5" w14:textId="77777777" w:rsidR="008C5CFA" w:rsidRPr="0024468B" w:rsidRDefault="00E82A60" w:rsidP="00300A01">
            <w:pPr>
              <w:spacing w:before="0" w:after="0"/>
              <w:rPr>
                <w:sz w:val="16"/>
                <w:szCs w:val="16"/>
                <w:lang w:val="fr-BE"/>
              </w:rPr>
            </w:pPr>
            <w:r w:rsidRPr="0024468B">
              <w:rPr>
                <w:noProof/>
                <w:sz w:val="16"/>
                <w:szCs w:val="16"/>
                <w:lang w:val="fr-BE"/>
              </w:rPr>
              <w:t>Zapobieganie ryzyku i zarządzenie ryzykiem: liczba ludności odnoszącej korzyści ze środków ochrony przeciwpowodziowej</w:t>
            </w:r>
          </w:p>
        </w:tc>
        <w:tc>
          <w:tcPr>
            <w:tcW w:w="0" w:type="auto"/>
          </w:tcPr>
          <w:p w14:paraId="389F4BDE"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522E59E4"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573B5C4A"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1B506245"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75D6AD4E"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47C38B09"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33B9C24B"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785F91E8"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056D693F"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r w:rsidR="006B2EC1" w14:paraId="740E5B44" w14:textId="77777777" w:rsidTr="0047688D">
        <w:tc>
          <w:tcPr>
            <w:tcW w:w="0" w:type="auto"/>
          </w:tcPr>
          <w:p w14:paraId="1AD09322" w14:textId="77777777" w:rsidR="008C5CFA" w:rsidRPr="0024468B" w:rsidRDefault="00E82A60" w:rsidP="00300A01">
            <w:pPr>
              <w:spacing w:before="0" w:after="0"/>
              <w:rPr>
                <w:sz w:val="16"/>
                <w:szCs w:val="16"/>
                <w:lang w:val="fr-BE"/>
              </w:rPr>
            </w:pPr>
            <w:r>
              <w:rPr>
                <w:noProof/>
                <w:sz w:val="16"/>
                <w:szCs w:val="16"/>
                <w:lang w:val="fr-BE"/>
              </w:rPr>
              <w:t>F</w:t>
            </w:r>
          </w:p>
        </w:tc>
        <w:tc>
          <w:tcPr>
            <w:tcW w:w="0" w:type="auto"/>
            <w:shd w:val="clear" w:color="auto" w:fill="auto"/>
          </w:tcPr>
          <w:p w14:paraId="4EA9469C" w14:textId="77777777" w:rsidR="008C5CFA" w:rsidRPr="0024468B" w:rsidRDefault="00E82A60" w:rsidP="00300A01">
            <w:pPr>
              <w:spacing w:before="0" w:after="0"/>
              <w:rPr>
                <w:sz w:val="16"/>
                <w:szCs w:val="16"/>
                <w:lang w:val="fr-BE"/>
              </w:rPr>
            </w:pPr>
            <w:r>
              <w:rPr>
                <w:noProof/>
                <w:sz w:val="16"/>
                <w:szCs w:val="16"/>
                <w:lang w:val="fr-BE"/>
              </w:rPr>
              <w:t>028</w:t>
            </w:r>
          </w:p>
        </w:tc>
        <w:tc>
          <w:tcPr>
            <w:tcW w:w="0" w:type="auto"/>
            <w:shd w:val="clear" w:color="auto" w:fill="auto"/>
          </w:tcPr>
          <w:p w14:paraId="4F069E8B" w14:textId="77777777" w:rsidR="008C5CFA" w:rsidRPr="0024468B" w:rsidRDefault="00E82A60" w:rsidP="00300A01">
            <w:pPr>
              <w:spacing w:before="0" w:after="0"/>
              <w:rPr>
                <w:sz w:val="16"/>
                <w:szCs w:val="16"/>
                <w:lang w:val="fr-BE"/>
              </w:rPr>
            </w:pPr>
            <w:r>
              <w:rPr>
                <w:noProof/>
                <w:sz w:val="16"/>
                <w:szCs w:val="16"/>
                <w:lang w:val="fr-BE"/>
              </w:rPr>
              <w:t>Pojemność obiektów małej retencji</w:t>
            </w:r>
          </w:p>
        </w:tc>
        <w:tc>
          <w:tcPr>
            <w:tcW w:w="0" w:type="auto"/>
          </w:tcPr>
          <w:p w14:paraId="4BFD2C76"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4A9F8F45"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66483330"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7AE0B291"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192F67BA"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4AAB1892"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20DA7641"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77F74D96"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6568799D"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r w:rsidR="006B2EC1" w14:paraId="6F0F7284" w14:textId="77777777" w:rsidTr="0047688D">
        <w:tc>
          <w:tcPr>
            <w:tcW w:w="0" w:type="auto"/>
          </w:tcPr>
          <w:p w14:paraId="65D03ABC" w14:textId="77777777" w:rsidR="008C5CFA" w:rsidRPr="0024468B" w:rsidRDefault="00E82A60" w:rsidP="00300A01">
            <w:pPr>
              <w:spacing w:before="0" w:after="0"/>
              <w:rPr>
                <w:sz w:val="16"/>
                <w:szCs w:val="16"/>
                <w:lang w:val="fr-BE"/>
              </w:rPr>
            </w:pPr>
            <w:r>
              <w:rPr>
                <w:noProof/>
                <w:sz w:val="16"/>
                <w:szCs w:val="16"/>
                <w:lang w:val="fr-BE"/>
              </w:rPr>
              <w:t>S</w:t>
            </w:r>
          </w:p>
        </w:tc>
        <w:tc>
          <w:tcPr>
            <w:tcW w:w="0" w:type="auto"/>
            <w:shd w:val="clear" w:color="auto" w:fill="auto"/>
          </w:tcPr>
          <w:p w14:paraId="006A2208" w14:textId="77777777" w:rsidR="008C5CFA" w:rsidRPr="0024468B" w:rsidRDefault="00E82A60" w:rsidP="00300A01">
            <w:pPr>
              <w:spacing w:before="0" w:after="0"/>
              <w:rPr>
                <w:sz w:val="16"/>
                <w:szCs w:val="16"/>
                <w:lang w:val="fr-BE"/>
              </w:rPr>
            </w:pPr>
            <w:r>
              <w:rPr>
                <w:noProof/>
                <w:sz w:val="16"/>
                <w:szCs w:val="16"/>
                <w:lang w:val="fr-BE"/>
              </w:rPr>
              <w:t>028</w:t>
            </w:r>
          </w:p>
        </w:tc>
        <w:tc>
          <w:tcPr>
            <w:tcW w:w="0" w:type="auto"/>
            <w:shd w:val="clear" w:color="auto" w:fill="auto"/>
          </w:tcPr>
          <w:p w14:paraId="02A83752" w14:textId="77777777" w:rsidR="008C5CFA" w:rsidRPr="0024468B" w:rsidRDefault="00E82A60" w:rsidP="00300A01">
            <w:pPr>
              <w:spacing w:before="0" w:after="0"/>
              <w:rPr>
                <w:sz w:val="16"/>
                <w:szCs w:val="16"/>
                <w:lang w:val="fr-BE"/>
              </w:rPr>
            </w:pPr>
            <w:r>
              <w:rPr>
                <w:noProof/>
                <w:sz w:val="16"/>
                <w:szCs w:val="16"/>
                <w:lang w:val="fr-BE"/>
              </w:rPr>
              <w:t>Pojemność obiektów małej retencji</w:t>
            </w:r>
          </w:p>
        </w:tc>
        <w:tc>
          <w:tcPr>
            <w:tcW w:w="0" w:type="auto"/>
          </w:tcPr>
          <w:p w14:paraId="0A5EF0ED"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774D728C"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71304A22"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6498E306"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584A53F1"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36831A92"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5E9F1A98"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18CC24F8"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6AB2F936"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r w:rsidR="006B2EC1" w14:paraId="675A210C" w14:textId="77777777" w:rsidTr="0047688D">
        <w:tc>
          <w:tcPr>
            <w:tcW w:w="0" w:type="auto"/>
          </w:tcPr>
          <w:p w14:paraId="3EA9335B" w14:textId="77777777" w:rsidR="008C5CFA" w:rsidRPr="0024468B" w:rsidRDefault="00E82A60" w:rsidP="00300A01">
            <w:pPr>
              <w:spacing w:before="0" w:after="0"/>
              <w:rPr>
                <w:sz w:val="16"/>
                <w:szCs w:val="16"/>
                <w:lang w:val="fr-BE"/>
              </w:rPr>
            </w:pPr>
            <w:r>
              <w:rPr>
                <w:noProof/>
                <w:sz w:val="16"/>
                <w:szCs w:val="16"/>
                <w:lang w:val="fr-BE"/>
              </w:rPr>
              <w:lastRenderedPageBreak/>
              <w:t>F</w:t>
            </w:r>
          </w:p>
        </w:tc>
        <w:tc>
          <w:tcPr>
            <w:tcW w:w="0" w:type="auto"/>
            <w:shd w:val="clear" w:color="auto" w:fill="auto"/>
          </w:tcPr>
          <w:p w14:paraId="7C23F835" w14:textId="77777777" w:rsidR="008C5CFA" w:rsidRPr="0024468B" w:rsidRDefault="00E82A60" w:rsidP="00300A01">
            <w:pPr>
              <w:spacing w:before="0" w:after="0"/>
              <w:rPr>
                <w:sz w:val="16"/>
                <w:szCs w:val="16"/>
                <w:lang w:val="fr-BE"/>
              </w:rPr>
            </w:pPr>
            <w:r>
              <w:rPr>
                <w:noProof/>
                <w:sz w:val="16"/>
                <w:szCs w:val="16"/>
                <w:lang w:val="fr-BE"/>
              </w:rPr>
              <w:t>47</w:t>
            </w:r>
          </w:p>
        </w:tc>
        <w:tc>
          <w:tcPr>
            <w:tcW w:w="0" w:type="auto"/>
            <w:shd w:val="clear" w:color="auto" w:fill="auto"/>
          </w:tcPr>
          <w:p w14:paraId="0AF5F468" w14:textId="77777777" w:rsidR="008C5CFA" w:rsidRPr="0024468B" w:rsidRDefault="00E82A60" w:rsidP="00300A01">
            <w:pPr>
              <w:spacing w:before="0" w:after="0"/>
              <w:rPr>
                <w:sz w:val="16"/>
                <w:szCs w:val="16"/>
                <w:lang w:val="fr-BE"/>
              </w:rPr>
            </w:pPr>
            <w:r>
              <w:rPr>
                <w:noProof/>
                <w:sz w:val="16"/>
                <w:szCs w:val="16"/>
                <w:lang w:val="fr-BE"/>
              </w:rPr>
              <w:t>Liczba jednostek służb ratowniczych doposażonych  w sprzęt do prowadzenia akcji ratowniczych  i usuwania skutków katastrof</w:t>
            </w:r>
          </w:p>
        </w:tc>
        <w:tc>
          <w:tcPr>
            <w:tcW w:w="0" w:type="auto"/>
          </w:tcPr>
          <w:p w14:paraId="18ADE3AB" w14:textId="77777777" w:rsidR="008C5CFA" w:rsidRPr="0024468B" w:rsidRDefault="00E82A60" w:rsidP="00300A01">
            <w:pPr>
              <w:spacing w:before="0" w:after="0"/>
              <w:jc w:val="right"/>
              <w:rPr>
                <w:sz w:val="16"/>
                <w:szCs w:val="16"/>
                <w:lang w:val="fr-BE"/>
              </w:rPr>
            </w:pPr>
            <w:r w:rsidRPr="0024468B">
              <w:rPr>
                <w:noProof/>
                <w:sz w:val="16"/>
                <w:szCs w:val="16"/>
                <w:lang w:val="fr-BE"/>
              </w:rPr>
              <w:t>14,00</w:t>
            </w:r>
          </w:p>
        </w:tc>
        <w:tc>
          <w:tcPr>
            <w:tcW w:w="0" w:type="auto"/>
          </w:tcPr>
          <w:p w14:paraId="6203DF33"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49969DB0"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322C53F0" w14:textId="77777777" w:rsidR="008C5CFA" w:rsidRPr="0024468B" w:rsidRDefault="00E82A60" w:rsidP="00300A01">
            <w:pPr>
              <w:spacing w:before="0" w:after="0"/>
              <w:jc w:val="right"/>
              <w:rPr>
                <w:sz w:val="16"/>
                <w:szCs w:val="16"/>
                <w:lang w:val="fr-BE"/>
              </w:rPr>
            </w:pPr>
            <w:r w:rsidRPr="0024468B">
              <w:rPr>
                <w:noProof/>
                <w:sz w:val="16"/>
                <w:szCs w:val="16"/>
                <w:lang w:val="fr-BE"/>
              </w:rPr>
              <w:t>11,00</w:t>
            </w:r>
          </w:p>
        </w:tc>
        <w:tc>
          <w:tcPr>
            <w:tcW w:w="0" w:type="auto"/>
          </w:tcPr>
          <w:p w14:paraId="699CE059"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42579F15"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367EBFEC"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37958BAA"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7F1BC4CE"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r w:rsidR="006B2EC1" w14:paraId="40D1CB30" w14:textId="77777777" w:rsidTr="0047688D">
        <w:tc>
          <w:tcPr>
            <w:tcW w:w="0" w:type="auto"/>
          </w:tcPr>
          <w:p w14:paraId="07B2C046" w14:textId="77777777" w:rsidR="008C5CFA" w:rsidRPr="0024468B" w:rsidRDefault="00E82A60" w:rsidP="00300A01">
            <w:pPr>
              <w:spacing w:before="0" w:after="0"/>
              <w:rPr>
                <w:sz w:val="16"/>
                <w:szCs w:val="16"/>
                <w:lang w:val="fr-BE"/>
              </w:rPr>
            </w:pPr>
            <w:r>
              <w:rPr>
                <w:noProof/>
                <w:sz w:val="16"/>
                <w:szCs w:val="16"/>
                <w:lang w:val="fr-BE"/>
              </w:rPr>
              <w:t>S</w:t>
            </w:r>
          </w:p>
        </w:tc>
        <w:tc>
          <w:tcPr>
            <w:tcW w:w="0" w:type="auto"/>
            <w:shd w:val="clear" w:color="auto" w:fill="auto"/>
          </w:tcPr>
          <w:p w14:paraId="6F86FB05" w14:textId="77777777" w:rsidR="008C5CFA" w:rsidRPr="0024468B" w:rsidRDefault="00E82A60" w:rsidP="00300A01">
            <w:pPr>
              <w:spacing w:before="0" w:after="0"/>
              <w:rPr>
                <w:sz w:val="16"/>
                <w:szCs w:val="16"/>
                <w:lang w:val="fr-BE"/>
              </w:rPr>
            </w:pPr>
            <w:r>
              <w:rPr>
                <w:noProof/>
                <w:sz w:val="16"/>
                <w:szCs w:val="16"/>
                <w:lang w:val="fr-BE"/>
              </w:rPr>
              <w:t>47</w:t>
            </w:r>
          </w:p>
        </w:tc>
        <w:tc>
          <w:tcPr>
            <w:tcW w:w="0" w:type="auto"/>
            <w:shd w:val="clear" w:color="auto" w:fill="auto"/>
          </w:tcPr>
          <w:p w14:paraId="2858D47F" w14:textId="77777777" w:rsidR="008C5CFA" w:rsidRPr="0024468B" w:rsidRDefault="00E82A60" w:rsidP="00300A01">
            <w:pPr>
              <w:spacing w:before="0" w:after="0"/>
              <w:rPr>
                <w:sz w:val="16"/>
                <w:szCs w:val="16"/>
                <w:lang w:val="fr-BE"/>
              </w:rPr>
            </w:pPr>
            <w:r>
              <w:rPr>
                <w:noProof/>
                <w:sz w:val="16"/>
                <w:szCs w:val="16"/>
                <w:lang w:val="fr-BE"/>
              </w:rPr>
              <w:t>Liczba jednostek służb ratowniczych doposażonych  w sprzęt do prowadzenia akcji ratowniczych  i usuwania skutków katastrof</w:t>
            </w:r>
          </w:p>
        </w:tc>
        <w:tc>
          <w:tcPr>
            <w:tcW w:w="0" w:type="auto"/>
          </w:tcPr>
          <w:p w14:paraId="72DCD257" w14:textId="77777777" w:rsidR="008C5CFA" w:rsidRPr="0024468B" w:rsidRDefault="00E82A60" w:rsidP="00300A01">
            <w:pPr>
              <w:spacing w:before="0" w:after="0"/>
              <w:jc w:val="right"/>
              <w:rPr>
                <w:sz w:val="16"/>
                <w:szCs w:val="16"/>
                <w:lang w:val="fr-BE"/>
              </w:rPr>
            </w:pPr>
            <w:r w:rsidRPr="0024468B">
              <w:rPr>
                <w:noProof/>
                <w:sz w:val="16"/>
                <w:szCs w:val="16"/>
                <w:lang w:val="fr-BE"/>
              </w:rPr>
              <w:t>28,00</w:t>
            </w:r>
          </w:p>
        </w:tc>
        <w:tc>
          <w:tcPr>
            <w:tcW w:w="0" w:type="auto"/>
          </w:tcPr>
          <w:p w14:paraId="1C7E5B61"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368450CF"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0D1CF45D" w14:textId="77777777" w:rsidR="008C5CFA" w:rsidRPr="0024468B" w:rsidRDefault="00E82A60" w:rsidP="00300A01">
            <w:pPr>
              <w:spacing w:before="0" w:after="0"/>
              <w:jc w:val="right"/>
              <w:rPr>
                <w:sz w:val="16"/>
                <w:szCs w:val="16"/>
                <w:lang w:val="fr-BE"/>
              </w:rPr>
            </w:pPr>
            <w:r w:rsidRPr="0024468B">
              <w:rPr>
                <w:noProof/>
                <w:sz w:val="16"/>
                <w:szCs w:val="16"/>
                <w:lang w:val="fr-BE"/>
              </w:rPr>
              <w:t>14,00</w:t>
            </w:r>
          </w:p>
        </w:tc>
        <w:tc>
          <w:tcPr>
            <w:tcW w:w="0" w:type="auto"/>
          </w:tcPr>
          <w:p w14:paraId="2AD73B20"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1E03FBF7"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19E5F532" w14:textId="77777777" w:rsidR="008C5CFA" w:rsidRPr="0024468B" w:rsidRDefault="00E82A60" w:rsidP="00300A01">
            <w:pPr>
              <w:spacing w:before="0" w:after="0"/>
              <w:jc w:val="right"/>
              <w:rPr>
                <w:sz w:val="16"/>
                <w:szCs w:val="16"/>
                <w:lang w:val="fr-BE"/>
              </w:rPr>
            </w:pPr>
            <w:r w:rsidRPr="0024468B">
              <w:rPr>
                <w:noProof/>
                <w:sz w:val="16"/>
                <w:szCs w:val="16"/>
                <w:lang w:val="fr-BE"/>
              </w:rPr>
              <w:t>14,00</w:t>
            </w:r>
          </w:p>
        </w:tc>
        <w:tc>
          <w:tcPr>
            <w:tcW w:w="0" w:type="auto"/>
            <w:shd w:val="clear" w:color="auto" w:fill="auto"/>
          </w:tcPr>
          <w:p w14:paraId="25FC3710"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57D9279E"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bl>
    <w:p w14:paraId="4B6CD4C4"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02"/>
        <w:gridCol w:w="498"/>
        <w:gridCol w:w="8036"/>
        <w:gridCol w:w="993"/>
        <w:gridCol w:w="1179"/>
        <w:gridCol w:w="1002"/>
        <w:gridCol w:w="993"/>
        <w:gridCol w:w="1179"/>
        <w:gridCol w:w="1002"/>
      </w:tblGrid>
      <w:tr w:rsidR="006B2EC1" w14:paraId="5B8053D1" w14:textId="77777777" w:rsidTr="0047688D">
        <w:trPr>
          <w:tblHeader/>
        </w:trPr>
        <w:tc>
          <w:tcPr>
            <w:tcW w:w="0" w:type="auto"/>
          </w:tcPr>
          <w:p w14:paraId="292B455C" w14:textId="77777777" w:rsidR="008C5CFA" w:rsidRPr="009143B4" w:rsidRDefault="00E82A60" w:rsidP="00300A01">
            <w:pPr>
              <w:spacing w:before="0" w:after="0"/>
              <w:rPr>
                <w:b/>
                <w:sz w:val="16"/>
                <w:szCs w:val="16"/>
                <w:lang w:val="fr-BE"/>
              </w:rPr>
            </w:pPr>
            <w:r w:rsidRPr="009143B4">
              <w:rPr>
                <w:b/>
                <w:sz w:val="16"/>
                <w:szCs w:val="16"/>
                <w:lang w:val="fr-BE"/>
              </w:rPr>
              <w:t>(1)</w:t>
            </w:r>
          </w:p>
        </w:tc>
        <w:tc>
          <w:tcPr>
            <w:tcW w:w="0" w:type="auto"/>
            <w:shd w:val="clear" w:color="auto" w:fill="auto"/>
          </w:tcPr>
          <w:p w14:paraId="7C10B24F" w14:textId="77777777" w:rsidR="008C5CFA" w:rsidRPr="009143B4" w:rsidRDefault="00E82A60" w:rsidP="00300A01">
            <w:pPr>
              <w:spacing w:before="0" w:after="0"/>
              <w:rPr>
                <w:b/>
                <w:sz w:val="16"/>
                <w:szCs w:val="16"/>
                <w:lang w:val="fr-BE"/>
              </w:rPr>
            </w:pPr>
            <w:r w:rsidRPr="009143B4">
              <w:rPr>
                <w:b/>
                <w:noProof/>
                <w:sz w:val="16"/>
                <w:szCs w:val="16"/>
                <w:lang w:val="fr-BE"/>
              </w:rPr>
              <w:t>ID</w:t>
            </w:r>
          </w:p>
        </w:tc>
        <w:tc>
          <w:tcPr>
            <w:tcW w:w="0" w:type="auto"/>
            <w:shd w:val="clear" w:color="auto" w:fill="auto"/>
          </w:tcPr>
          <w:p w14:paraId="27958360" w14:textId="77777777" w:rsidR="008C5CFA" w:rsidRPr="009143B4" w:rsidRDefault="00E82A60" w:rsidP="00300A01">
            <w:pPr>
              <w:spacing w:before="0" w:after="0"/>
              <w:rPr>
                <w:b/>
                <w:sz w:val="16"/>
                <w:szCs w:val="16"/>
                <w:lang w:val="fr-BE"/>
              </w:rPr>
            </w:pPr>
            <w:r w:rsidRPr="009143B4">
              <w:rPr>
                <w:b/>
                <w:noProof/>
                <w:sz w:val="16"/>
                <w:szCs w:val="16"/>
                <w:lang w:val="fr-BE"/>
              </w:rPr>
              <w:t>Wskaźnik</w:t>
            </w:r>
          </w:p>
        </w:tc>
        <w:tc>
          <w:tcPr>
            <w:tcW w:w="0" w:type="auto"/>
          </w:tcPr>
          <w:p w14:paraId="2DDDCB53" w14:textId="77777777" w:rsidR="008C5CFA" w:rsidRPr="009143B4" w:rsidRDefault="00E82A60"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Ogółem</w:t>
            </w:r>
          </w:p>
        </w:tc>
        <w:tc>
          <w:tcPr>
            <w:tcW w:w="0" w:type="auto"/>
          </w:tcPr>
          <w:p w14:paraId="30CDF3A3" w14:textId="77777777" w:rsidR="008C5CFA" w:rsidRPr="009143B4" w:rsidRDefault="00E82A60"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Mężczyźni</w:t>
            </w:r>
          </w:p>
        </w:tc>
        <w:tc>
          <w:tcPr>
            <w:tcW w:w="0" w:type="auto"/>
          </w:tcPr>
          <w:p w14:paraId="68088ECD" w14:textId="77777777" w:rsidR="008C5CFA" w:rsidRPr="009143B4" w:rsidRDefault="00E82A60"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Kobiety</w:t>
            </w:r>
          </w:p>
        </w:tc>
        <w:tc>
          <w:tcPr>
            <w:tcW w:w="0" w:type="auto"/>
            <w:shd w:val="clear" w:color="auto" w:fill="auto"/>
          </w:tcPr>
          <w:p w14:paraId="2B5B3F77" w14:textId="77777777" w:rsidR="008C5CFA" w:rsidRPr="009143B4" w:rsidRDefault="00E82A60"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Ogółem</w:t>
            </w:r>
          </w:p>
        </w:tc>
        <w:tc>
          <w:tcPr>
            <w:tcW w:w="0" w:type="auto"/>
            <w:shd w:val="clear" w:color="auto" w:fill="auto"/>
          </w:tcPr>
          <w:p w14:paraId="669E8EC5" w14:textId="77777777" w:rsidR="008C5CFA" w:rsidRPr="009143B4" w:rsidRDefault="00E82A60"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Mężczyźni</w:t>
            </w:r>
          </w:p>
        </w:tc>
        <w:tc>
          <w:tcPr>
            <w:tcW w:w="0" w:type="auto"/>
            <w:shd w:val="clear" w:color="auto" w:fill="auto"/>
          </w:tcPr>
          <w:p w14:paraId="6BD813E6" w14:textId="77777777" w:rsidR="008C5CFA" w:rsidRPr="009143B4" w:rsidRDefault="00E82A60"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Kobiety</w:t>
            </w:r>
          </w:p>
        </w:tc>
      </w:tr>
      <w:tr w:rsidR="006B2EC1" w14:paraId="77FF57FC" w14:textId="77777777" w:rsidTr="0047688D">
        <w:tc>
          <w:tcPr>
            <w:tcW w:w="0" w:type="auto"/>
          </w:tcPr>
          <w:p w14:paraId="651C5D1A" w14:textId="77777777" w:rsidR="008C5CFA" w:rsidRPr="0024468B" w:rsidRDefault="00E82A60" w:rsidP="00300A01">
            <w:pPr>
              <w:spacing w:before="0" w:after="0"/>
              <w:rPr>
                <w:sz w:val="16"/>
                <w:szCs w:val="16"/>
                <w:lang w:val="fr-BE"/>
              </w:rPr>
            </w:pPr>
            <w:r>
              <w:rPr>
                <w:noProof/>
                <w:sz w:val="16"/>
                <w:szCs w:val="16"/>
                <w:lang w:val="fr-BE"/>
              </w:rPr>
              <w:t>F</w:t>
            </w:r>
          </w:p>
        </w:tc>
        <w:tc>
          <w:tcPr>
            <w:tcW w:w="0" w:type="auto"/>
            <w:shd w:val="clear" w:color="auto" w:fill="auto"/>
          </w:tcPr>
          <w:p w14:paraId="0C2CA908" w14:textId="77777777" w:rsidR="008C5CFA" w:rsidRPr="0024468B" w:rsidRDefault="00E82A60" w:rsidP="00300A01">
            <w:pPr>
              <w:spacing w:before="0" w:after="0"/>
              <w:rPr>
                <w:sz w:val="16"/>
                <w:szCs w:val="16"/>
                <w:lang w:val="fr-BE"/>
              </w:rPr>
            </w:pPr>
            <w:r w:rsidRPr="0024468B">
              <w:rPr>
                <w:noProof/>
                <w:sz w:val="16"/>
                <w:szCs w:val="16"/>
                <w:lang w:val="fr-BE"/>
              </w:rPr>
              <w:t>CO20</w:t>
            </w:r>
          </w:p>
        </w:tc>
        <w:tc>
          <w:tcPr>
            <w:tcW w:w="0" w:type="auto"/>
            <w:shd w:val="clear" w:color="auto" w:fill="auto"/>
          </w:tcPr>
          <w:p w14:paraId="285D51AE" w14:textId="77777777" w:rsidR="008C5CFA" w:rsidRPr="0024468B" w:rsidRDefault="00E82A60" w:rsidP="00300A01">
            <w:pPr>
              <w:spacing w:before="0" w:after="0"/>
              <w:rPr>
                <w:sz w:val="16"/>
                <w:szCs w:val="16"/>
                <w:lang w:val="fr-BE"/>
              </w:rPr>
            </w:pPr>
            <w:r w:rsidRPr="0024468B">
              <w:rPr>
                <w:noProof/>
                <w:sz w:val="16"/>
                <w:szCs w:val="16"/>
                <w:lang w:val="fr-BE"/>
              </w:rPr>
              <w:t>Zapobieganie ryzyku i zarządzenie ryzykiem: liczba ludności odnoszącej korzyści ze środków ochrony przeciwpowodziowej</w:t>
            </w:r>
          </w:p>
        </w:tc>
        <w:tc>
          <w:tcPr>
            <w:tcW w:w="0" w:type="auto"/>
          </w:tcPr>
          <w:p w14:paraId="1F13356A"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3EF4D5A3"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51B4958C"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17D9F2B4"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1F40AAE0"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0EE811CB"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r w:rsidR="006B2EC1" w14:paraId="0D6624FB" w14:textId="77777777" w:rsidTr="0047688D">
        <w:tc>
          <w:tcPr>
            <w:tcW w:w="0" w:type="auto"/>
          </w:tcPr>
          <w:p w14:paraId="19DF4414" w14:textId="77777777" w:rsidR="008C5CFA" w:rsidRPr="0024468B" w:rsidRDefault="00E82A60" w:rsidP="00300A01">
            <w:pPr>
              <w:spacing w:before="0" w:after="0"/>
              <w:rPr>
                <w:sz w:val="16"/>
                <w:szCs w:val="16"/>
                <w:lang w:val="fr-BE"/>
              </w:rPr>
            </w:pPr>
            <w:r>
              <w:rPr>
                <w:noProof/>
                <w:sz w:val="16"/>
                <w:szCs w:val="16"/>
                <w:lang w:val="fr-BE"/>
              </w:rPr>
              <w:t>S</w:t>
            </w:r>
          </w:p>
        </w:tc>
        <w:tc>
          <w:tcPr>
            <w:tcW w:w="0" w:type="auto"/>
            <w:shd w:val="clear" w:color="auto" w:fill="auto"/>
          </w:tcPr>
          <w:p w14:paraId="25436B8A" w14:textId="77777777" w:rsidR="008C5CFA" w:rsidRPr="0024468B" w:rsidRDefault="00E82A60" w:rsidP="00300A01">
            <w:pPr>
              <w:spacing w:before="0" w:after="0"/>
              <w:rPr>
                <w:sz w:val="16"/>
                <w:szCs w:val="16"/>
                <w:lang w:val="fr-BE"/>
              </w:rPr>
            </w:pPr>
            <w:r w:rsidRPr="0024468B">
              <w:rPr>
                <w:noProof/>
                <w:sz w:val="16"/>
                <w:szCs w:val="16"/>
                <w:lang w:val="fr-BE"/>
              </w:rPr>
              <w:t>CO20</w:t>
            </w:r>
          </w:p>
        </w:tc>
        <w:tc>
          <w:tcPr>
            <w:tcW w:w="0" w:type="auto"/>
            <w:shd w:val="clear" w:color="auto" w:fill="auto"/>
          </w:tcPr>
          <w:p w14:paraId="2681506C" w14:textId="77777777" w:rsidR="008C5CFA" w:rsidRPr="0024468B" w:rsidRDefault="00E82A60" w:rsidP="00300A01">
            <w:pPr>
              <w:spacing w:before="0" w:after="0"/>
              <w:rPr>
                <w:sz w:val="16"/>
                <w:szCs w:val="16"/>
                <w:lang w:val="fr-BE"/>
              </w:rPr>
            </w:pPr>
            <w:r w:rsidRPr="0024468B">
              <w:rPr>
                <w:noProof/>
                <w:sz w:val="16"/>
                <w:szCs w:val="16"/>
                <w:lang w:val="fr-BE"/>
              </w:rPr>
              <w:t>Zapobieganie ryzyku i zarządzenie ryzykiem: liczba ludności odnoszącej korzyści ze środków ochrony przeciwpowodziowej</w:t>
            </w:r>
          </w:p>
        </w:tc>
        <w:tc>
          <w:tcPr>
            <w:tcW w:w="0" w:type="auto"/>
          </w:tcPr>
          <w:p w14:paraId="49F6F70E"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2270BA4A"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59A7796E"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08EA54EB"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20C87AB0"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46177812"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r w:rsidR="006B2EC1" w14:paraId="7A4311AB" w14:textId="77777777" w:rsidTr="0047688D">
        <w:tc>
          <w:tcPr>
            <w:tcW w:w="0" w:type="auto"/>
          </w:tcPr>
          <w:p w14:paraId="22A56DE1" w14:textId="77777777" w:rsidR="008C5CFA" w:rsidRPr="0024468B" w:rsidRDefault="00E82A60" w:rsidP="00300A01">
            <w:pPr>
              <w:spacing w:before="0" w:after="0"/>
              <w:rPr>
                <w:sz w:val="16"/>
                <w:szCs w:val="16"/>
                <w:lang w:val="fr-BE"/>
              </w:rPr>
            </w:pPr>
            <w:r>
              <w:rPr>
                <w:noProof/>
                <w:sz w:val="16"/>
                <w:szCs w:val="16"/>
                <w:lang w:val="fr-BE"/>
              </w:rPr>
              <w:t>F</w:t>
            </w:r>
          </w:p>
        </w:tc>
        <w:tc>
          <w:tcPr>
            <w:tcW w:w="0" w:type="auto"/>
            <w:shd w:val="clear" w:color="auto" w:fill="auto"/>
          </w:tcPr>
          <w:p w14:paraId="3F750929" w14:textId="77777777" w:rsidR="008C5CFA" w:rsidRPr="0024468B" w:rsidRDefault="00E82A60" w:rsidP="00300A01">
            <w:pPr>
              <w:spacing w:before="0" w:after="0"/>
              <w:rPr>
                <w:sz w:val="16"/>
                <w:szCs w:val="16"/>
                <w:lang w:val="fr-BE"/>
              </w:rPr>
            </w:pPr>
            <w:r>
              <w:rPr>
                <w:noProof/>
                <w:sz w:val="16"/>
                <w:szCs w:val="16"/>
                <w:lang w:val="fr-BE"/>
              </w:rPr>
              <w:t>028</w:t>
            </w:r>
          </w:p>
        </w:tc>
        <w:tc>
          <w:tcPr>
            <w:tcW w:w="0" w:type="auto"/>
            <w:shd w:val="clear" w:color="auto" w:fill="auto"/>
          </w:tcPr>
          <w:p w14:paraId="07ED3B1F" w14:textId="77777777" w:rsidR="008C5CFA" w:rsidRPr="0024468B" w:rsidRDefault="00E82A60" w:rsidP="00300A01">
            <w:pPr>
              <w:spacing w:before="0" w:after="0"/>
              <w:rPr>
                <w:sz w:val="16"/>
                <w:szCs w:val="16"/>
                <w:lang w:val="fr-BE"/>
              </w:rPr>
            </w:pPr>
            <w:r>
              <w:rPr>
                <w:noProof/>
                <w:sz w:val="16"/>
                <w:szCs w:val="16"/>
                <w:lang w:val="fr-BE"/>
              </w:rPr>
              <w:t>Pojemność obiektów małej retencji</w:t>
            </w:r>
          </w:p>
        </w:tc>
        <w:tc>
          <w:tcPr>
            <w:tcW w:w="0" w:type="auto"/>
          </w:tcPr>
          <w:p w14:paraId="3301C3D8"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65C2F60E"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036666F5"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0A887FC0"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3199ABD0"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6F6113D7"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r w:rsidR="006B2EC1" w14:paraId="71923751" w14:textId="77777777" w:rsidTr="0047688D">
        <w:tc>
          <w:tcPr>
            <w:tcW w:w="0" w:type="auto"/>
          </w:tcPr>
          <w:p w14:paraId="7A09C2FB" w14:textId="77777777" w:rsidR="008C5CFA" w:rsidRPr="0024468B" w:rsidRDefault="00E82A60" w:rsidP="00300A01">
            <w:pPr>
              <w:spacing w:before="0" w:after="0"/>
              <w:rPr>
                <w:sz w:val="16"/>
                <w:szCs w:val="16"/>
                <w:lang w:val="fr-BE"/>
              </w:rPr>
            </w:pPr>
            <w:r>
              <w:rPr>
                <w:noProof/>
                <w:sz w:val="16"/>
                <w:szCs w:val="16"/>
                <w:lang w:val="fr-BE"/>
              </w:rPr>
              <w:t>S</w:t>
            </w:r>
          </w:p>
        </w:tc>
        <w:tc>
          <w:tcPr>
            <w:tcW w:w="0" w:type="auto"/>
            <w:shd w:val="clear" w:color="auto" w:fill="auto"/>
          </w:tcPr>
          <w:p w14:paraId="638A0CBF" w14:textId="77777777" w:rsidR="008C5CFA" w:rsidRPr="0024468B" w:rsidRDefault="00E82A60" w:rsidP="00300A01">
            <w:pPr>
              <w:spacing w:before="0" w:after="0"/>
              <w:rPr>
                <w:sz w:val="16"/>
                <w:szCs w:val="16"/>
                <w:lang w:val="fr-BE"/>
              </w:rPr>
            </w:pPr>
            <w:r>
              <w:rPr>
                <w:noProof/>
                <w:sz w:val="16"/>
                <w:szCs w:val="16"/>
                <w:lang w:val="fr-BE"/>
              </w:rPr>
              <w:t>028</w:t>
            </w:r>
          </w:p>
        </w:tc>
        <w:tc>
          <w:tcPr>
            <w:tcW w:w="0" w:type="auto"/>
            <w:shd w:val="clear" w:color="auto" w:fill="auto"/>
          </w:tcPr>
          <w:p w14:paraId="4217D513" w14:textId="77777777" w:rsidR="008C5CFA" w:rsidRPr="0024468B" w:rsidRDefault="00E82A60" w:rsidP="00300A01">
            <w:pPr>
              <w:spacing w:before="0" w:after="0"/>
              <w:rPr>
                <w:sz w:val="16"/>
                <w:szCs w:val="16"/>
                <w:lang w:val="fr-BE"/>
              </w:rPr>
            </w:pPr>
            <w:r>
              <w:rPr>
                <w:noProof/>
                <w:sz w:val="16"/>
                <w:szCs w:val="16"/>
                <w:lang w:val="fr-BE"/>
              </w:rPr>
              <w:t>Pojemność obiektów małej retencji</w:t>
            </w:r>
          </w:p>
        </w:tc>
        <w:tc>
          <w:tcPr>
            <w:tcW w:w="0" w:type="auto"/>
          </w:tcPr>
          <w:p w14:paraId="27562401"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2EAFF5A2"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2F6F1554"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53920A4F"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24A26DE4"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065E7A9B"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r w:rsidR="006B2EC1" w14:paraId="1D35DB89" w14:textId="77777777" w:rsidTr="0047688D">
        <w:tc>
          <w:tcPr>
            <w:tcW w:w="0" w:type="auto"/>
          </w:tcPr>
          <w:p w14:paraId="1161024F" w14:textId="77777777" w:rsidR="008C5CFA" w:rsidRPr="0024468B" w:rsidRDefault="00E82A60" w:rsidP="00300A01">
            <w:pPr>
              <w:spacing w:before="0" w:after="0"/>
              <w:rPr>
                <w:sz w:val="16"/>
                <w:szCs w:val="16"/>
                <w:lang w:val="fr-BE"/>
              </w:rPr>
            </w:pPr>
            <w:r>
              <w:rPr>
                <w:noProof/>
                <w:sz w:val="16"/>
                <w:szCs w:val="16"/>
                <w:lang w:val="fr-BE"/>
              </w:rPr>
              <w:t>F</w:t>
            </w:r>
          </w:p>
        </w:tc>
        <w:tc>
          <w:tcPr>
            <w:tcW w:w="0" w:type="auto"/>
            <w:shd w:val="clear" w:color="auto" w:fill="auto"/>
          </w:tcPr>
          <w:p w14:paraId="51A2491F" w14:textId="77777777" w:rsidR="008C5CFA" w:rsidRPr="0024468B" w:rsidRDefault="00E82A60" w:rsidP="00300A01">
            <w:pPr>
              <w:spacing w:before="0" w:after="0"/>
              <w:rPr>
                <w:sz w:val="16"/>
                <w:szCs w:val="16"/>
                <w:lang w:val="fr-BE"/>
              </w:rPr>
            </w:pPr>
            <w:r>
              <w:rPr>
                <w:noProof/>
                <w:sz w:val="16"/>
                <w:szCs w:val="16"/>
                <w:lang w:val="fr-BE"/>
              </w:rPr>
              <w:t>47</w:t>
            </w:r>
          </w:p>
        </w:tc>
        <w:tc>
          <w:tcPr>
            <w:tcW w:w="0" w:type="auto"/>
            <w:shd w:val="clear" w:color="auto" w:fill="auto"/>
          </w:tcPr>
          <w:p w14:paraId="59DBFB7C" w14:textId="77777777" w:rsidR="008C5CFA" w:rsidRPr="0024468B" w:rsidRDefault="00E82A60" w:rsidP="00300A01">
            <w:pPr>
              <w:spacing w:before="0" w:after="0"/>
              <w:rPr>
                <w:sz w:val="16"/>
                <w:szCs w:val="16"/>
                <w:lang w:val="fr-BE"/>
              </w:rPr>
            </w:pPr>
            <w:r>
              <w:rPr>
                <w:noProof/>
                <w:sz w:val="16"/>
                <w:szCs w:val="16"/>
                <w:lang w:val="fr-BE"/>
              </w:rPr>
              <w:t>Liczba jednostek służb ratowniczych doposażonych  w sprzęt do prowadzenia akcji ratowniczych  i usuwania skutków katastrof</w:t>
            </w:r>
          </w:p>
        </w:tc>
        <w:tc>
          <w:tcPr>
            <w:tcW w:w="0" w:type="auto"/>
          </w:tcPr>
          <w:p w14:paraId="674B99FD"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5A5F65DC"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18D398CB"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08995E7E"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7ECACAD5"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44D43D06"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r w:rsidR="006B2EC1" w14:paraId="2A334AB1" w14:textId="77777777" w:rsidTr="0047688D">
        <w:tc>
          <w:tcPr>
            <w:tcW w:w="0" w:type="auto"/>
          </w:tcPr>
          <w:p w14:paraId="3633CDC5" w14:textId="77777777" w:rsidR="008C5CFA" w:rsidRPr="0024468B" w:rsidRDefault="00E82A60" w:rsidP="00300A01">
            <w:pPr>
              <w:spacing w:before="0" w:after="0"/>
              <w:rPr>
                <w:sz w:val="16"/>
                <w:szCs w:val="16"/>
                <w:lang w:val="fr-BE"/>
              </w:rPr>
            </w:pPr>
            <w:r>
              <w:rPr>
                <w:noProof/>
                <w:sz w:val="16"/>
                <w:szCs w:val="16"/>
                <w:lang w:val="fr-BE"/>
              </w:rPr>
              <w:t>S</w:t>
            </w:r>
          </w:p>
        </w:tc>
        <w:tc>
          <w:tcPr>
            <w:tcW w:w="0" w:type="auto"/>
            <w:shd w:val="clear" w:color="auto" w:fill="auto"/>
          </w:tcPr>
          <w:p w14:paraId="7C69BE7A" w14:textId="77777777" w:rsidR="008C5CFA" w:rsidRPr="0024468B" w:rsidRDefault="00E82A60" w:rsidP="00300A01">
            <w:pPr>
              <w:spacing w:before="0" w:after="0"/>
              <w:rPr>
                <w:sz w:val="16"/>
                <w:szCs w:val="16"/>
                <w:lang w:val="fr-BE"/>
              </w:rPr>
            </w:pPr>
            <w:r>
              <w:rPr>
                <w:noProof/>
                <w:sz w:val="16"/>
                <w:szCs w:val="16"/>
                <w:lang w:val="fr-BE"/>
              </w:rPr>
              <w:t>47</w:t>
            </w:r>
          </w:p>
        </w:tc>
        <w:tc>
          <w:tcPr>
            <w:tcW w:w="0" w:type="auto"/>
            <w:shd w:val="clear" w:color="auto" w:fill="auto"/>
          </w:tcPr>
          <w:p w14:paraId="7FBD4C32" w14:textId="77777777" w:rsidR="008C5CFA" w:rsidRPr="0024468B" w:rsidRDefault="00E82A60" w:rsidP="00300A01">
            <w:pPr>
              <w:spacing w:before="0" w:after="0"/>
              <w:rPr>
                <w:sz w:val="16"/>
                <w:szCs w:val="16"/>
                <w:lang w:val="fr-BE"/>
              </w:rPr>
            </w:pPr>
            <w:r>
              <w:rPr>
                <w:noProof/>
                <w:sz w:val="16"/>
                <w:szCs w:val="16"/>
                <w:lang w:val="fr-BE"/>
              </w:rPr>
              <w:t>Liczba jednostek służb ratowniczych doposażonych  w sprzęt do prowadzenia akcji ratowniczych  i usuwania skutków katastrof</w:t>
            </w:r>
          </w:p>
        </w:tc>
        <w:tc>
          <w:tcPr>
            <w:tcW w:w="0" w:type="auto"/>
          </w:tcPr>
          <w:p w14:paraId="1C21205D"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3DE34F8D"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546F9DCD"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5905A98C"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4946452A"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27D825EA"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bl>
    <w:p w14:paraId="0CC5231F" w14:textId="77777777" w:rsidR="008C5CFA" w:rsidRDefault="008C5CFA" w:rsidP="00300A01">
      <w:pPr>
        <w:spacing w:before="0" w:after="0"/>
        <w:rPr>
          <w:lang w:val="fr-BE"/>
        </w:rPr>
      </w:pPr>
    </w:p>
    <w:p w14:paraId="01E1264C" w14:textId="77777777" w:rsidR="008C5CFA" w:rsidRDefault="008C5CFA" w:rsidP="00300A01">
      <w:pPr>
        <w:spacing w:before="0" w:after="0"/>
        <w:rPr>
          <w:lang w:val="fr-BE"/>
        </w:rPr>
      </w:pPr>
    </w:p>
    <w:p w14:paraId="3586D068" w14:textId="77777777" w:rsidR="008C5CFA" w:rsidRDefault="00E82A60" w:rsidP="00300A01">
      <w:pPr>
        <w:spacing w:before="0" w:after="0"/>
        <w:rPr>
          <w:lang w:val="fr-BE"/>
        </w:rPr>
      </w:pPr>
      <w:r>
        <w:rPr>
          <w:lang w:val="fr-BE"/>
        </w:rPr>
        <w:br w:type="page"/>
      </w:r>
    </w:p>
    <w:p w14:paraId="0FF5F25D"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7"/>
        <w:gridCol w:w="13247"/>
      </w:tblGrid>
      <w:tr w:rsidR="006B2EC1" w14:paraId="7069FA3F" w14:textId="77777777" w:rsidTr="0047688D">
        <w:tc>
          <w:tcPr>
            <w:tcW w:w="0" w:type="auto"/>
            <w:shd w:val="clear" w:color="auto" w:fill="auto"/>
          </w:tcPr>
          <w:p w14:paraId="695F9653" w14:textId="77777777" w:rsidR="008C5CFA" w:rsidRPr="002124FC" w:rsidRDefault="00E82A60" w:rsidP="00300A01">
            <w:pPr>
              <w:spacing w:before="0" w:after="0"/>
              <w:rPr>
                <w:sz w:val="20"/>
                <w:szCs w:val="20"/>
                <w:lang w:val="fr-BE"/>
              </w:rPr>
            </w:pPr>
            <w:r>
              <w:rPr>
                <w:lang w:val="fr-BE"/>
              </w:rPr>
              <w:br w:type="page"/>
            </w:r>
            <w:r>
              <w:rPr>
                <w:lang w:val="fr-BE"/>
              </w:rPr>
              <w:br w:type="page"/>
            </w:r>
            <w:r>
              <w:rPr>
                <w:lang w:val="fr-BE"/>
              </w:rPr>
              <w:br w:type="page"/>
            </w:r>
            <w:r w:rsidRPr="002124FC">
              <w:rPr>
                <w:noProof/>
                <w:sz w:val="20"/>
                <w:szCs w:val="20"/>
                <w:lang w:val="fr-BE"/>
              </w:rPr>
              <w:t>Oś priorytetowa</w:t>
            </w:r>
          </w:p>
        </w:tc>
        <w:tc>
          <w:tcPr>
            <w:tcW w:w="0" w:type="auto"/>
            <w:shd w:val="clear" w:color="auto" w:fill="auto"/>
          </w:tcPr>
          <w:p w14:paraId="1316E55E" w14:textId="77777777" w:rsidR="008C5CFA" w:rsidRPr="002124FC" w:rsidRDefault="00E82A60" w:rsidP="00300A01">
            <w:pPr>
              <w:spacing w:before="0" w:after="0"/>
              <w:rPr>
                <w:sz w:val="20"/>
                <w:szCs w:val="20"/>
                <w:lang w:val="fr-BE"/>
              </w:rPr>
            </w:pPr>
            <w:r>
              <w:rPr>
                <w:noProof/>
                <w:sz w:val="20"/>
                <w:szCs w:val="20"/>
                <w:lang w:val="fr-BE"/>
              </w:rPr>
              <w:t>4</w:t>
            </w:r>
            <w:r w:rsidRPr="002124FC">
              <w:rPr>
                <w:sz w:val="20"/>
                <w:szCs w:val="20"/>
                <w:lang w:val="fr-BE"/>
              </w:rPr>
              <w:t xml:space="preserve"> - </w:t>
            </w:r>
            <w:r>
              <w:rPr>
                <w:noProof/>
                <w:sz w:val="20"/>
                <w:szCs w:val="20"/>
                <w:lang w:val="fr-BE"/>
              </w:rPr>
              <w:t>Dziedzictwo naturalne i kulturowe</w:t>
            </w:r>
          </w:p>
        </w:tc>
      </w:tr>
      <w:tr w:rsidR="006B2EC1" w14:paraId="55716F95" w14:textId="77777777" w:rsidTr="0047688D">
        <w:tc>
          <w:tcPr>
            <w:tcW w:w="0" w:type="auto"/>
            <w:shd w:val="clear" w:color="auto" w:fill="auto"/>
          </w:tcPr>
          <w:p w14:paraId="2CB23E72" w14:textId="77777777" w:rsidR="008C5CFA" w:rsidRPr="002124FC" w:rsidRDefault="00E82A60"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14:paraId="4D12631F" w14:textId="77777777" w:rsidR="008C5CFA" w:rsidRPr="002124FC" w:rsidRDefault="00E82A60" w:rsidP="00300A01">
            <w:pPr>
              <w:spacing w:before="0" w:after="0"/>
              <w:rPr>
                <w:sz w:val="20"/>
                <w:szCs w:val="20"/>
                <w:lang w:val="fr-BE"/>
              </w:rPr>
            </w:pPr>
            <w:r w:rsidRPr="002124FC">
              <w:rPr>
                <w:noProof/>
                <w:sz w:val="20"/>
                <w:szCs w:val="20"/>
                <w:lang w:val="fr-BE"/>
              </w:rPr>
              <w:t>5b</w:t>
            </w:r>
            <w:r w:rsidRPr="002124FC">
              <w:rPr>
                <w:sz w:val="20"/>
                <w:szCs w:val="20"/>
                <w:lang w:val="fr-BE"/>
              </w:rPr>
              <w:t xml:space="preserve"> - </w:t>
            </w:r>
            <w:r>
              <w:rPr>
                <w:noProof/>
                <w:sz w:val="20"/>
                <w:szCs w:val="20"/>
                <w:lang w:val="fr-BE"/>
              </w:rPr>
              <w:t>Promowanie inwestycji ukierunkowanych na konkretne rodzaje ryzyka, zapewniających odporność na klęski żywiołowe oraz stworzenie systemów zarządzania klęskami żywiołowymi</w:t>
            </w:r>
          </w:p>
        </w:tc>
      </w:tr>
      <w:tr w:rsidR="006B2EC1" w14:paraId="1627989F" w14:textId="77777777" w:rsidTr="0047688D">
        <w:tc>
          <w:tcPr>
            <w:tcW w:w="0" w:type="auto"/>
            <w:shd w:val="clear" w:color="auto" w:fill="auto"/>
          </w:tcPr>
          <w:p w14:paraId="7BD2805D" w14:textId="77777777" w:rsidR="008C5CFA" w:rsidRPr="002124FC" w:rsidRDefault="00E82A60" w:rsidP="00300A01">
            <w:pPr>
              <w:spacing w:before="0" w:after="0"/>
              <w:ind w:left="113" w:hanging="113"/>
              <w:rPr>
                <w:sz w:val="20"/>
                <w:szCs w:val="20"/>
                <w:lang w:val="fr-BE"/>
              </w:rPr>
            </w:pPr>
            <w:r>
              <w:rPr>
                <w:noProof/>
                <w:sz w:val="20"/>
                <w:szCs w:val="20"/>
                <w:lang w:val="fr-BE"/>
              </w:rPr>
              <w:t>Cel szczegółowy</w:t>
            </w:r>
          </w:p>
        </w:tc>
        <w:tc>
          <w:tcPr>
            <w:tcW w:w="0" w:type="auto"/>
            <w:shd w:val="clear" w:color="auto" w:fill="auto"/>
          </w:tcPr>
          <w:p w14:paraId="55937CCD" w14:textId="77777777" w:rsidR="008C5CFA" w:rsidRPr="002124FC" w:rsidRDefault="00E82A60" w:rsidP="00300A01">
            <w:pPr>
              <w:spacing w:before="0" w:after="0"/>
              <w:rPr>
                <w:sz w:val="20"/>
                <w:szCs w:val="20"/>
                <w:lang w:val="fr-BE"/>
              </w:rPr>
            </w:pPr>
            <w:r>
              <w:rPr>
                <w:noProof/>
                <w:sz w:val="20"/>
                <w:szCs w:val="20"/>
                <w:lang w:val="fr-BE"/>
              </w:rPr>
              <w:t>1</w:t>
            </w:r>
            <w:r>
              <w:rPr>
                <w:sz w:val="20"/>
                <w:szCs w:val="20"/>
                <w:lang w:val="fr-BE"/>
              </w:rPr>
              <w:t xml:space="preserve"> - </w:t>
            </w:r>
            <w:r>
              <w:rPr>
                <w:noProof/>
                <w:sz w:val="20"/>
                <w:szCs w:val="20"/>
                <w:lang w:val="fr-BE"/>
              </w:rPr>
              <w:t>Zwiększona skuteczność przeciwdziałania skutkom klęsk żywiołowych oraz w usuwaniu skutków katastrof.</w:t>
            </w:r>
          </w:p>
        </w:tc>
      </w:tr>
    </w:tbl>
    <w:p w14:paraId="0816BE91" w14:textId="77777777" w:rsidR="008C5CFA" w:rsidRDefault="008C5CFA" w:rsidP="00300A01">
      <w:pPr>
        <w:spacing w:before="0" w:after="0"/>
        <w:rPr>
          <w:lang w:val="fr-BE"/>
        </w:rPr>
      </w:pPr>
    </w:p>
    <w:p w14:paraId="6B9979FE" w14:textId="77777777" w:rsidR="008C5CFA" w:rsidRDefault="00E82A60" w:rsidP="00300A01">
      <w:pPr>
        <w:spacing w:before="0" w:after="0"/>
        <w:rPr>
          <w:lang w:val="fr-BE"/>
        </w:rPr>
      </w:pPr>
      <w:r>
        <w:rPr>
          <w:lang w:val="fr-BE"/>
        </w:rPr>
        <w:t xml:space="preserve">Tabela 1: Wskaźniki rezultatu dla EFRR i Funduszu Spójności (według osi priorytetowej i celu szczegółowego); ma zastosowanie także do osi priorytetowej </w:t>
      </w:r>
      <w:r>
        <w:t>"</w:t>
      </w:r>
      <w:r>
        <w:rPr>
          <w:lang w:val="fr-BE"/>
        </w:rPr>
        <w:t>Pomoc techniczna</w:t>
      </w:r>
      <w:r>
        <w:t>"</w:t>
      </w:r>
    </w:p>
    <w:p w14:paraId="79EA03C0"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3200"/>
        <w:gridCol w:w="1078"/>
        <w:gridCol w:w="1162"/>
        <w:gridCol w:w="1180"/>
        <w:gridCol w:w="885"/>
        <w:gridCol w:w="1450"/>
        <w:gridCol w:w="933"/>
        <w:gridCol w:w="1155"/>
        <w:gridCol w:w="3685"/>
      </w:tblGrid>
      <w:tr w:rsidR="006B2EC1" w14:paraId="011CD09B" w14:textId="77777777" w:rsidTr="0047688D">
        <w:tc>
          <w:tcPr>
            <w:tcW w:w="0" w:type="auto"/>
            <w:shd w:val="clear" w:color="auto" w:fill="auto"/>
          </w:tcPr>
          <w:p w14:paraId="219ECDF8" w14:textId="77777777" w:rsidR="008C5CFA" w:rsidRPr="0024468B" w:rsidRDefault="00E82A60" w:rsidP="00300A01">
            <w:pPr>
              <w:spacing w:before="0" w:after="0"/>
              <w:rPr>
                <w:sz w:val="16"/>
                <w:szCs w:val="16"/>
                <w:lang w:val="fr-BE"/>
              </w:rPr>
            </w:pPr>
            <w:r w:rsidRPr="0024468B">
              <w:rPr>
                <w:noProof/>
                <w:sz w:val="16"/>
                <w:szCs w:val="16"/>
                <w:lang w:val="fr-BE"/>
              </w:rPr>
              <w:t>ID</w:t>
            </w:r>
          </w:p>
        </w:tc>
        <w:tc>
          <w:tcPr>
            <w:tcW w:w="0" w:type="auto"/>
            <w:shd w:val="clear" w:color="auto" w:fill="auto"/>
          </w:tcPr>
          <w:p w14:paraId="64506840" w14:textId="77777777" w:rsidR="008C5CFA" w:rsidRPr="0024468B" w:rsidRDefault="00E82A60" w:rsidP="00300A01">
            <w:pPr>
              <w:spacing w:before="0" w:after="0"/>
              <w:rPr>
                <w:sz w:val="16"/>
                <w:szCs w:val="16"/>
                <w:lang w:val="fr-BE"/>
              </w:rPr>
            </w:pPr>
            <w:r w:rsidRPr="0024468B">
              <w:rPr>
                <w:noProof/>
                <w:sz w:val="16"/>
                <w:szCs w:val="16"/>
                <w:lang w:val="fr-BE"/>
              </w:rPr>
              <w:t>Wskaźnik</w:t>
            </w:r>
          </w:p>
        </w:tc>
        <w:tc>
          <w:tcPr>
            <w:tcW w:w="0" w:type="auto"/>
            <w:shd w:val="clear" w:color="auto" w:fill="auto"/>
          </w:tcPr>
          <w:p w14:paraId="7BBC5230" w14:textId="77777777" w:rsidR="008C5CFA" w:rsidRPr="0024468B" w:rsidRDefault="00E82A60" w:rsidP="00300A01">
            <w:pPr>
              <w:spacing w:before="0" w:after="0"/>
              <w:rPr>
                <w:sz w:val="16"/>
                <w:szCs w:val="16"/>
                <w:lang w:val="fr-BE"/>
              </w:rPr>
            </w:pPr>
            <w:r w:rsidRPr="0024468B">
              <w:rPr>
                <w:noProof/>
                <w:sz w:val="16"/>
                <w:szCs w:val="16"/>
                <w:lang w:val="fr-BE"/>
              </w:rPr>
              <w:t>Jednostka miary</w:t>
            </w:r>
          </w:p>
        </w:tc>
        <w:tc>
          <w:tcPr>
            <w:tcW w:w="0" w:type="auto"/>
            <w:shd w:val="clear" w:color="auto" w:fill="auto"/>
          </w:tcPr>
          <w:p w14:paraId="02A9EDB5" w14:textId="77777777" w:rsidR="008C5CFA" w:rsidRPr="0024468B" w:rsidRDefault="00E82A60" w:rsidP="00300A01">
            <w:pPr>
              <w:spacing w:before="0" w:after="0"/>
              <w:rPr>
                <w:sz w:val="16"/>
                <w:szCs w:val="16"/>
                <w:lang w:val="fr-BE"/>
              </w:rPr>
            </w:pPr>
            <w:r w:rsidRPr="0024468B">
              <w:rPr>
                <w:noProof/>
                <w:sz w:val="16"/>
                <w:szCs w:val="16"/>
                <w:lang w:val="fr-BE"/>
              </w:rPr>
              <w:t>Kategoria regionu</w:t>
            </w:r>
          </w:p>
        </w:tc>
        <w:tc>
          <w:tcPr>
            <w:tcW w:w="0" w:type="auto"/>
            <w:shd w:val="clear" w:color="auto" w:fill="auto"/>
          </w:tcPr>
          <w:p w14:paraId="4C10EC61" w14:textId="77777777" w:rsidR="008C5CFA" w:rsidRPr="0024468B" w:rsidRDefault="00E82A60" w:rsidP="00300A01">
            <w:pPr>
              <w:spacing w:before="0" w:after="0"/>
              <w:rPr>
                <w:sz w:val="16"/>
                <w:szCs w:val="16"/>
                <w:lang w:val="fr-BE"/>
              </w:rPr>
            </w:pPr>
            <w:r w:rsidRPr="0024468B">
              <w:rPr>
                <w:noProof/>
                <w:sz w:val="16"/>
                <w:szCs w:val="16"/>
                <w:lang w:val="fr-BE"/>
              </w:rPr>
              <w:t>Wartość bazowa</w:t>
            </w:r>
          </w:p>
        </w:tc>
        <w:tc>
          <w:tcPr>
            <w:tcW w:w="0" w:type="auto"/>
            <w:shd w:val="clear" w:color="auto" w:fill="auto"/>
          </w:tcPr>
          <w:p w14:paraId="404924D9" w14:textId="77777777" w:rsidR="008C5CFA" w:rsidRPr="0024468B" w:rsidRDefault="00E82A60" w:rsidP="00300A01">
            <w:pPr>
              <w:spacing w:before="0" w:after="0"/>
              <w:rPr>
                <w:sz w:val="16"/>
                <w:szCs w:val="16"/>
                <w:lang w:val="fr-BE"/>
              </w:rPr>
            </w:pPr>
            <w:r w:rsidRPr="0024468B">
              <w:rPr>
                <w:noProof/>
                <w:sz w:val="16"/>
                <w:szCs w:val="16"/>
                <w:lang w:val="fr-BE"/>
              </w:rPr>
              <w:t>Rok bazowy</w:t>
            </w:r>
          </w:p>
        </w:tc>
        <w:tc>
          <w:tcPr>
            <w:tcW w:w="0" w:type="auto"/>
            <w:shd w:val="clear" w:color="auto" w:fill="auto"/>
          </w:tcPr>
          <w:p w14:paraId="511780FB" w14:textId="77777777" w:rsidR="008C5CFA" w:rsidRPr="0024468B" w:rsidRDefault="00E82A60" w:rsidP="00300A01">
            <w:pPr>
              <w:spacing w:before="0" w:after="0"/>
              <w:rPr>
                <w:sz w:val="16"/>
                <w:szCs w:val="16"/>
                <w:lang w:val="fr-BE"/>
              </w:rPr>
            </w:pPr>
            <w:r w:rsidRPr="0024468B">
              <w:rPr>
                <w:noProof/>
                <w:sz w:val="16"/>
                <w:szCs w:val="16"/>
                <w:lang w:val="fr-BE"/>
              </w:rPr>
              <w:t>Wartość docelowa 2023</w:t>
            </w:r>
          </w:p>
        </w:tc>
        <w:tc>
          <w:tcPr>
            <w:tcW w:w="0" w:type="auto"/>
            <w:shd w:val="clear" w:color="auto" w:fill="auto"/>
          </w:tcPr>
          <w:p w14:paraId="0DBC0975" w14:textId="77777777" w:rsidR="008C5CFA" w:rsidRPr="0024468B" w:rsidRDefault="00E82A60" w:rsidP="00300A01">
            <w:pPr>
              <w:spacing w:before="0" w:after="0"/>
              <w:jc w:val="center"/>
              <w:rPr>
                <w:sz w:val="16"/>
                <w:szCs w:val="16"/>
                <w:lang w:val="fr-BE"/>
              </w:rPr>
            </w:pPr>
            <w:r>
              <w:rPr>
                <w:sz w:val="16"/>
                <w:szCs w:val="16"/>
                <w:lang w:val="fr-BE"/>
              </w:rPr>
              <w:t xml:space="preserve">2019 </w:t>
            </w:r>
            <w:r>
              <w:rPr>
                <w:noProof/>
                <w:sz w:val="16"/>
                <w:szCs w:val="16"/>
                <w:lang w:val="fr-BE"/>
              </w:rPr>
              <w:t>Ogółem</w:t>
            </w:r>
          </w:p>
        </w:tc>
        <w:tc>
          <w:tcPr>
            <w:tcW w:w="0" w:type="auto"/>
            <w:shd w:val="clear" w:color="auto" w:fill="auto"/>
          </w:tcPr>
          <w:p w14:paraId="01C3930B" w14:textId="77777777" w:rsidR="008C5CFA" w:rsidRPr="0024468B" w:rsidRDefault="00E82A60" w:rsidP="00300A01">
            <w:pPr>
              <w:spacing w:before="0" w:after="0"/>
              <w:jc w:val="center"/>
              <w:rPr>
                <w:sz w:val="16"/>
                <w:szCs w:val="16"/>
                <w:lang w:val="fr-BE"/>
              </w:rPr>
            </w:pPr>
            <w:r>
              <w:rPr>
                <w:sz w:val="16"/>
                <w:szCs w:val="16"/>
                <w:lang w:val="fr-BE"/>
              </w:rPr>
              <w:t xml:space="preserve">2019 </w:t>
            </w:r>
            <w:r w:rsidRPr="0024468B">
              <w:rPr>
                <w:noProof/>
                <w:sz w:val="16"/>
                <w:szCs w:val="16"/>
                <w:lang w:val="fr-BE"/>
              </w:rPr>
              <w:t>Jakościowe</w:t>
            </w:r>
          </w:p>
        </w:tc>
        <w:tc>
          <w:tcPr>
            <w:tcW w:w="0" w:type="auto"/>
            <w:shd w:val="clear" w:color="auto" w:fill="auto"/>
          </w:tcPr>
          <w:p w14:paraId="46ECAFB0" w14:textId="77777777" w:rsidR="008C5CFA" w:rsidRPr="0024468B" w:rsidRDefault="00E82A60" w:rsidP="00300A01">
            <w:pPr>
              <w:spacing w:before="0" w:after="0"/>
              <w:jc w:val="center"/>
              <w:rPr>
                <w:sz w:val="16"/>
                <w:szCs w:val="16"/>
                <w:lang w:val="fr-BE"/>
              </w:rPr>
            </w:pPr>
            <w:r w:rsidRPr="0024468B">
              <w:rPr>
                <w:noProof/>
                <w:sz w:val="16"/>
                <w:szCs w:val="16"/>
                <w:lang w:val="fr-BE"/>
              </w:rPr>
              <w:t>Uwagi</w:t>
            </w:r>
          </w:p>
        </w:tc>
      </w:tr>
      <w:tr w:rsidR="006B2EC1" w14:paraId="40F21886" w14:textId="77777777" w:rsidTr="0047688D">
        <w:tc>
          <w:tcPr>
            <w:tcW w:w="0" w:type="auto"/>
            <w:shd w:val="clear" w:color="auto" w:fill="auto"/>
          </w:tcPr>
          <w:p w14:paraId="497B705F" w14:textId="77777777" w:rsidR="008C5CFA" w:rsidRPr="0024468B" w:rsidRDefault="00E82A60" w:rsidP="00300A01">
            <w:pPr>
              <w:spacing w:before="0" w:after="0"/>
              <w:rPr>
                <w:sz w:val="16"/>
                <w:szCs w:val="16"/>
                <w:lang w:val="fr-BE"/>
              </w:rPr>
            </w:pPr>
            <w:r w:rsidRPr="0024468B">
              <w:rPr>
                <w:noProof/>
                <w:sz w:val="16"/>
                <w:szCs w:val="16"/>
                <w:lang w:val="fr-BE"/>
              </w:rPr>
              <w:t>043</w:t>
            </w:r>
          </w:p>
        </w:tc>
        <w:tc>
          <w:tcPr>
            <w:tcW w:w="0" w:type="auto"/>
            <w:shd w:val="clear" w:color="auto" w:fill="auto"/>
          </w:tcPr>
          <w:p w14:paraId="1F92D0D8" w14:textId="77777777" w:rsidR="008C5CFA" w:rsidRPr="0024468B" w:rsidRDefault="00E82A60" w:rsidP="00300A01">
            <w:pPr>
              <w:spacing w:before="0" w:after="0"/>
              <w:rPr>
                <w:sz w:val="16"/>
                <w:szCs w:val="16"/>
                <w:lang w:val="fr-BE"/>
              </w:rPr>
            </w:pPr>
            <w:r w:rsidRPr="0024468B">
              <w:rPr>
                <w:noProof/>
                <w:sz w:val="16"/>
                <w:szCs w:val="16"/>
                <w:lang w:val="fr-BE"/>
              </w:rPr>
              <w:t>Pojemność obiektów małej retencji</w:t>
            </w:r>
          </w:p>
        </w:tc>
        <w:tc>
          <w:tcPr>
            <w:tcW w:w="0" w:type="auto"/>
            <w:shd w:val="clear" w:color="auto" w:fill="auto"/>
          </w:tcPr>
          <w:p w14:paraId="5E62B5B9" w14:textId="77777777" w:rsidR="008C5CFA" w:rsidRPr="0024468B" w:rsidRDefault="00E82A60" w:rsidP="00300A01">
            <w:pPr>
              <w:spacing w:before="0" w:after="0"/>
              <w:rPr>
                <w:sz w:val="16"/>
                <w:szCs w:val="16"/>
                <w:lang w:val="fr-BE"/>
              </w:rPr>
            </w:pPr>
            <w:r w:rsidRPr="0024468B">
              <w:rPr>
                <w:noProof/>
                <w:sz w:val="16"/>
                <w:szCs w:val="16"/>
                <w:lang w:val="fr-BE"/>
              </w:rPr>
              <w:t>m3</w:t>
            </w:r>
          </w:p>
        </w:tc>
        <w:tc>
          <w:tcPr>
            <w:tcW w:w="0" w:type="auto"/>
            <w:shd w:val="clear" w:color="auto" w:fill="auto"/>
          </w:tcPr>
          <w:p w14:paraId="0BE27073" w14:textId="77777777" w:rsidR="008C5CFA" w:rsidRPr="0024468B" w:rsidRDefault="00E82A60"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14:paraId="09009105" w14:textId="77777777" w:rsidR="008C5CFA" w:rsidRPr="00C3185A" w:rsidRDefault="00E82A60" w:rsidP="00300A01">
            <w:pPr>
              <w:spacing w:before="0" w:after="0"/>
              <w:jc w:val="right"/>
              <w:rPr>
                <w:sz w:val="16"/>
                <w:szCs w:val="16"/>
                <w:lang w:val="fr-BE"/>
              </w:rPr>
            </w:pPr>
            <w:r w:rsidRPr="00C3185A">
              <w:rPr>
                <w:noProof/>
                <w:sz w:val="16"/>
                <w:szCs w:val="16"/>
                <w:lang w:val="fr-BE"/>
              </w:rPr>
              <w:t>7 148 100,00</w:t>
            </w:r>
          </w:p>
        </w:tc>
        <w:tc>
          <w:tcPr>
            <w:tcW w:w="0" w:type="auto"/>
            <w:shd w:val="clear" w:color="auto" w:fill="auto"/>
          </w:tcPr>
          <w:p w14:paraId="75C82ADB" w14:textId="77777777" w:rsidR="008C5CFA" w:rsidRPr="0024468B" w:rsidRDefault="00E82A60" w:rsidP="00300A01">
            <w:pPr>
              <w:spacing w:before="0" w:after="0"/>
              <w:rPr>
                <w:sz w:val="16"/>
                <w:szCs w:val="16"/>
                <w:lang w:val="fr-BE"/>
              </w:rPr>
            </w:pPr>
            <w:r w:rsidRPr="0024468B">
              <w:rPr>
                <w:noProof/>
                <w:sz w:val="16"/>
                <w:szCs w:val="16"/>
                <w:lang w:val="fr-BE"/>
              </w:rPr>
              <w:t>2013</w:t>
            </w:r>
          </w:p>
        </w:tc>
        <w:tc>
          <w:tcPr>
            <w:tcW w:w="0" w:type="auto"/>
            <w:shd w:val="clear" w:color="auto" w:fill="auto"/>
          </w:tcPr>
          <w:p w14:paraId="1B20FCB0" w14:textId="77777777" w:rsidR="008C5CFA" w:rsidRPr="0024468B" w:rsidRDefault="00E82A60" w:rsidP="00300A01">
            <w:pPr>
              <w:spacing w:before="0" w:after="0"/>
              <w:jc w:val="right"/>
              <w:rPr>
                <w:sz w:val="16"/>
                <w:szCs w:val="16"/>
                <w:lang w:val="fr-BE"/>
              </w:rPr>
            </w:pPr>
            <w:r w:rsidRPr="0024468B">
              <w:rPr>
                <w:noProof/>
                <w:sz w:val="16"/>
                <w:szCs w:val="16"/>
                <w:lang w:val="fr-BE"/>
              </w:rPr>
              <w:t>9 658 000,00</w:t>
            </w:r>
          </w:p>
        </w:tc>
        <w:tc>
          <w:tcPr>
            <w:tcW w:w="0" w:type="auto"/>
            <w:shd w:val="clear" w:color="auto" w:fill="auto"/>
          </w:tcPr>
          <w:p w14:paraId="5B8A996B"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6F2C8186" w14:textId="77777777" w:rsidR="008C5CFA" w:rsidRPr="0024468B" w:rsidRDefault="008C5CFA" w:rsidP="00300A01">
            <w:pPr>
              <w:spacing w:before="0" w:after="0"/>
              <w:jc w:val="right"/>
              <w:rPr>
                <w:sz w:val="16"/>
                <w:szCs w:val="16"/>
                <w:lang w:val="fr-BE"/>
              </w:rPr>
            </w:pPr>
          </w:p>
        </w:tc>
        <w:tc>
          <w:tcPr>
            <w:tcW w:w="0" w:type="auto"/>
            <w:shd w:val="clear" w:color="auto" w:fill="auto"/>
          </w:tcPr>
          <w:p w14:paraId="1971E1DA" w14:textId="77777777" w:rsidR="008C5CFA" w:rsidRPr="0024468B" w:rsidRDefault="00E82A60" w:rsidP="00300A01">
            <w:pPr>
              <w:spacing w:before="0" w:after="0"/>
              <w:rPr>
                <w:sz w:val="16"/>
                <w:szCs w:val="16"/>
                <w:lang w:val="fr-BE"/>
              </w:rPr>
            </w:pPr>
            <w:r w:rsidRPr="0024468B">
              <w:rPr>
                <w:noProof/>
                <w:sz w:val="16"/>
                <w:szCs w:val="16"/>
                <w:lang w:val="fr-BE"/>
              </w:rPr>
              <w:t>Brak aktualnych danych dostępnych w statystykach publicznych (systemie STRATEG)</w:t>
            </w:r>
          </w:p>
        </w:tc>
      </w:tr>
      <w:tr w:rsidR="006B2EC1" w14:paraId="466FC39F" w14:textId="77777777" w:rsidTr="0047688D">
        <w:tc>
          <w:tcPr>
            <w:tcW w:w="0" w:type="auto"/>
            <w:shd w:val="clear" w:color="auto" w:fill="auto"/>
          </w:tcPr>
          <w:p w14:paraId="22A3AC97" w14:textId="77777777" w:rsidR="008C5CFA" w:rsidRPr="0024468B" w:rsidRDefault="00E82A60" w:rsidP="00300A01">
            <w:pPr>
              <w:spacing w:before="0" w:after="0"/>
              <w:rPr>
                <w:sz w:val="16"/>
                <w:szCs w:val="16"/>
                <w:lang w:val="fr-BE"/>
              </w:rPr>
            </w:pPr>
            <w:r w:rsidRPr="0024468B">
              <w:rPr>
                <w:noProof/>
                <w:sz w:val="16"/>
                <w:szCs w:val="16"/>
                <w:lang w:val="fr-BE"/>
              </w:rPr>
              <w:t>044</w:t>
            </w:r>
          </w:p>
        </w:tc>
        <w:tc>
          <w:tcPr>
            <w:tcW w:w="0" w:type="auto"/>
            <w:shd w:val="clear" w:color="auto" w:fill="auto"/>
          </w:tcPr>
          <w:p w14:paraId="7C20E382" w14:textId="77777777" w:rsidR="008C5CFA" w:rsidRPr="0024468B" w:rsidRDefault="00E82A60" w:rsidP="00300A01">
            <w:pPr>
              <w:spacing w:before="0" w:after="0"/>
              <w:rPr>
                <w:sz w:val="16"/>
                <w:szCs w:val="16"/>
                <w:lang w:val="fr-BE"/>
              </w:rPr>
            </w:pPr>
            <w:r w:rsidRPr="0024468B">
              <w:rPr>
                <w:noProof/>
                <w:sz w:val="16"/>
                <w:szCs w:val="16"/>
                <w:lang w:val="fr-BE"/>
              </w:rPr>
              <w:t>Średni czas reakcji służb ratowniczych od momentu przyjęcia zgłoszenia</w:t>
            </w:r>
          </w:p>
        </w:tc>
        <w:tc>
          <w:tcPr>
            <w:tcW w:w="0" w:type="auto"/>
            <w:shd w:val="clear" w:color="auto" w:fill="auto"/>
          </w:tcPr>
          <w:p w14:paraId="14C4FD72" w14:textId="77777777" w:rsidR="008C5CFA" w:rsidRPr="0024468B" w:rsidRDefault="00E82A60" w:rsidP="00300A01">
            <w:pPr>
              <w:spacing w:before="0" w:after="0"/>
              <w:rPr>
                <w:sz w:val="16"/>
                <w:szCs w:val="16"/>
                <w:lang w:val="fr-BE"/>
              </w:rPr>
            </w:pPr>
            <w:r w:rsidRPr="0024468B">
              <w:rPr>
                <w:noProof/>
                <w:sz w:val="16"/>
                <w:szCs w:val="16"/>
                <w:lang w:val="fr-BE"/>
              </w:rPr>
              <w:t>min.</w:t>
            </w:r>
          </w:p>
        </w:tc>
        <w:tc>
          <w:tcPr>
            <w:tcW w:w="0" w:type="auto"/>
            <w:shd w:val="clear" w:color="auto" w:fill="auto"/>
          </w:tcPr>
          <w:p w14:paraId="643BC4C5" w14:textId="77777777" w:rsidR="008C5CFA" w:rsidRPr="0024468B" w:rsidRDefault="00E82A60"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14:paraId="63F8A8E8" w14:textId="77777777" w:rsidR="008C5CFA" w:rsidRPr="00C3185A" w:rsidRDefault="00E82A60" w:rsidP="00300A01">
            <w:pPr>
              <w:spacing w:before="0" w:after="0"/>
              <w:jc w:val="right"/>
              <w:rPr>
                <w:sz w:val="16"/>
                <w:szCs w:val="16"/>
                <w:lang w:val="fr-BE"/>
              </w:rPr>
            </w:pPr>
            <w:r w:rsidRPr="00C3185A">
              <w:rPr>
                <w:noProof/>
                <w:sz w:val="16"/>
                <w:szCs w:val="16"/>
                <w:lang w:val="fr-BE"/>
              </w:rPr>
              <w:t>10,25</w:t>
            </w:r>
          </w:p>
        </w:tc>
        <w:tc>
          <w:tcPr>
            <w:tcW w:w="0" w:type="auto"/>
            <w:shd w:val="clear" w:color="auto" w:fill="auto"/>
          </w:tcPr>
          <w:p w14:paraId="5574C956" w14:textId="77777777" w:rsidR="008C5CFA" w:rsidRPr="0024468B" w:rsidRDefault="00E82A60" w:rsidP="00300A01">
            <w:pPr>
              <w:spacing w:before="0" w:after="0"/>
              <w:rPr>
                <w:sz w:val="16"/>
                <w:szCs w:val="16"/>
                <w:lang w:val="fr-BE"/>
              </w:rPr>
            </w:pPr>
            <w:r w:rsidRPr="0024468B">
              <w:rPr>
                <w:noProof/>
                <w:sz w:val="16"/>
                <w:szCs w:val="16"/>
                <w:lang w:val="fr-BE"/>
              </w:rPr>
              <w:t>2013</w:t>
            </w:r>
          </w:p>
        </w:tc>
        <w:tc>
          <w:tcPr>
            <w:tcW w:w="0" w:type="auto"/>
            <w:shd w:val="clear" w:color="auto" w:fill="auto"/>
          </w:tcPr>
          <w:p w14:paraId="7C5CC826" w14:textId="77777777" w:rsidR="008C5CFA" w:rsidRPr="0024468B" w:rsidRDefault="00E82A60" w:rsidP="00300A01">
            <w:pPr>
              <w:spacing w:before="0" w:after="0"/>
              <w:jc w:val="right"/>
              <w:rPr>
                <w:sz w:val="16"/>
                <w:szCs w:val="16"/>
                <w:lang w:val="fr-BE"/>
              </w:rPr>
            </w:pPr>
            <w:r w:rsidRPr="0024468B">
              <w:rPr>
                <w:noProof/>
                <w:sz w:val="16"/>
                <w:szCs w:val="16"/>
                <w:lang w:val="fr-BE"/>
              </w:rPr>
              <w:t>7,00</w:t>
            </w:r>
          </w:p>
        </w:tc>
        <w:tc>
          <w:tcPr>
            <w:tcW w:w="0" w:type="auto"/>
            <w:shd w:val="clear" w:color="auto" w:fill="auto"/>
          </w:tcPr>
          <w:p w14:paraId="0E7746D4" w14:textId="77777777" w:rsidR="008C5CFA" w:rsidRPr="0024468B" w:rsidRDefault="00E82A60" w:rsidP="00300A01">
            <w:pPr>
              <w:spacing w:before="0" w:after="0"/>
              <w:jc w:val="right"/>
              <w:rPr>
                <w:sz w:val="16"/>
                <w:szCs w:val="16"/>
                <w:lang w:val="fr-BE"/>
              </w:rPr>
            </w:pPr>
            <w:r w:rsidRPr="0024468B">
              <w:rPr>
                <w:noProof/>
                <w:sz w:val="16"/>
                <w:szCs w:val="16"/>
                <w:lang w:val="fr-BE"/>
              </w:rPr>
              <w:t>10,12</w:t>
            </w:r>
          </w:p>
        </w:tc>
        <w:tc>
          <w:tcPr>
            <w:tcW w:w="0" w:type="auto"/>
            <w:shd w:val="clear" w:color="auto" w:fill="auto"/>
          </w:tcPr>
          <w:p w14:paraId="10E4F195" w14:textId="77777777" w:rsidR="008C5CFA" w:rsidRPr="0024468B" w:rsidRDefault="008C5CFA" w:rsidP="00300A01">
            <w:pPr>
              <w:spacing w:before="0" w:after="0"/>
              <w:jc w:val="right"/>
              <w:rPr>
                <w:sz w:val="16"/>
                <w:szCs w:val="16"/>
                <w:lang w:val="fr-BE"/>
              </w:rPr>
            </w:pPr>
          </w:p>
        </w:tc>
        <w:tc>
          <w:tcPr>
            <w:tcW w:w="0" w:type="auto"/>
            <w:shd w:val="clear" w:color="auto" w:fill="auto"/>
          </w:tcPr>
          <w:p w14:paraId="3A14AE4E" w14:textId="77777777" w:rsidR="008C5CFA" w:rsidRPr="0024468B" w:rsidRDefault="008C5CFA" w:rsidP="00300A01">
            <w:pPr>
              <w:spacing w:before="0" w:after="0"/>
              <w:rPr>
                <w:sz w:val="16"/>
                <w:szCs w:val="16"/>
                <w:lang w:val="fr-BE"/>
              </w:rPr>
            </w:pPr>
          </w:p>
        </w:tc>
      </w:tr>
    </w:tbl>
    <w:p w14:paraId="48B08A12"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
        <w:gridCol w:w="4959"/>
        <w:gridCol w:w="1107"/>
        <w:gridCol w:w="1333"/>
        <w:gridCol w:w="1108"/>
        <w:gridCol w:w="1333"/>
        <w:gridCol w:w="1108"/>
        <w:gridCol w:w="1333"/>
        <w:gridCol w:w="1108"/>
        <w:gridCol w:w="1333"/>
      </w:tblGrid>
      <w:tr w:rsidR="006B2EC1" w14:paraId="1CCE3BC6" w14:textId="77777777" w:rsidTr="0047688D">
        <w:tc>
          <w:tcPr>
            <w:tcW w:w="0" w:type="auto"/>
            <w:shd w:val="clear" w:color="auto" w:fill="auto"/>
          </w:tcPr>
          <w:p w14:paraId="37ADB02D" w14:textId="77777777" w:rsidR="008C5CFA" w:rsidRPr="0024468B" w:rsidRDefault="00E82A60" w:rsidP="00300A01">
            <w:pPr>
              <w:spacing w:before="0" w:after="0"/>
              <w:rPr>
                <w:sz w:val="16"/>
                <w:szCs w:val="16"/>
                <w:lang w:val="fr-BE"/>
              </w:rPr>
            </w:pPr>
            <w:r w:rsidRPr="0024468B">
              <w:rPr>
                <w:noProof/>
                <w:sz w:val="16"/>
                <w:szCs w:val="16"/>
                <w:lang w:val="fr-BE"/>
              </w:rPr>
              <w:t>ID</w:t>
            </w:r>
          </w:p>
        </w:tc>
        <w:tc>
          <w:tcPr>
            <w:tcW w:w="0" w:type="auto"/>
            <w:shd w:val="clear" w:color="auto" w:fill="auto"/>
          </w:tcPr>
          <w:p w14:paraId="1D4C8DCF" w14:textId="77777777" w:rsidR="008C5CFA" w:rsidRPr="0024468B" w:rsidRDefault="00E82A60" w:rsidP="00300A01">
            <w:pPr>
              <w:spacing w:before="0" w:after="0"/>
              <w:rPr>
                <w:sz w:val="16"/>
                <w:szCs w:val="16"/>
                <w:lang w:val="fr-BE"/>
              </w:rPr>
            </w:pPr>
            <w:r w:rsidRPr="0024468B">
              <w:rPr>
                <w:noProof/>
                <w:sz w:val="16"/>
                <w:szCs w:val="16"/>
                <w:lang w:val="fr-BE"/>
              </w:rPr>
              <w:t>Wskaźnik</w:t>
            </w:r>
          </w:p>
        </w:tc>
        <w:tc>
          <w:tcPr>
            <w:tcW w:w="0" w:type="auto"/>
          </w:tcPr>
          <w:p w14:paraId="1CE9016A" w14:textId="77777777" w:rsidR="008C5CFA" w:rsidRPr="0024468B" w:rsidRDefault="00E82A60" w:rsidP="00300A01">
            <w:pPr>
              <w:spacing w:before="0" w:after="0"/>
              <w:jc w:val="center"/>
              <w:rPr>
                <w:sz w:val="16"/>
                <w:szCs w:val="16"/>
                <w:lang w:val="fr-BE"/>
              </w:rPr>
            </w:pPr>
            <w:r>
              <w:rPr>
                <w:sz w:val="16"/>
                <w:szCs w:val="16"/>
                <w:lang w:val="fr-BE"/>
              </w:rPr>
              <w:t xml:space="preserve">2018 </w:t>
            </w:r>
            <w:r>
              <w:rPr>
                <w:noProof/>
                <w:sz w:val="16"/>
                <w:szCs w:val="16"/>
                <w:lang w:val="fr-BE"/>
              </w:rPr>
              <w:t>Ogółem</w:t>
            </w:r>
          </w:p>
        </w:tc>
        <w:tc>
          <w:tcPr>
            <w:tcW w:w="0" w:type="auto"/>
          </w:tcPr>
          <w:p w14:paraId="31E7F05D" w14:textId="77777777" w:rsidR="008C5CFA" w:rsidRPr="0024468B" w:rsidRDefault="00E82A60" w:rsidP="00300A01">
            <w:pPr>
              <w:spacing w:before="0" w:after="0"/>
              <w:jc w:val="center"/>
              <w:rPr>
                <w:sz w:val="16"/>
                <w:szCs w:val="16"/>
                <w:lang w:val="fr-BE"/>
              </w:rPr>
            </w:pPr>
            <w:r>
              <w:rPr>
                <w:sz w:val="16"/>
                <w:szCs w:val="16"/>
                <w:lang w:val="fr-BE"/>
              </w:rPr>
              <w:t xml:space="preserve">2018 </w:t>
            </w:r>
            <w:r w:rsidRPr="0024468B">
              <w:rPr>
                <w:noProof/>
                <w:sz w:val="16"/>
                <w:szCs w:val="16"/>
                <w:lang w:val="fr-BE"/>
              </w:rPr>
              <w:t>Jakościowe</w:t>
            </w:r>
          </w:p>
        </w:tc>
        <w:tc>
          <w:tcPr>
            <w:tcW w:w="0" w:type="auto"/>
          </w:tcPr>
          <w:p w14:paraId="29FCE3BF" w14:textId="77777777" w:rsidR="008C5CFA" w:rsidRPr="0024468B" w:rsidRDefault="00E82A60" w:rsidP="00300A01">
            <w:pPr>
              <w:spacing w:before="0" w:after="0"/>
              <w:jc w:val="center"/>
              <w:rPr>
                <w:sz w:val="16"/>
                <w:szCs w:val="16"/>
                <w:lang w:val="fr-BE"/>
              </w:rPr>
            </w:pPr>
            <w:r>
              <w:rPr>
                <w:sz w:val="16"/>
                <w:szCs w:val="16"/>
                <w:lang w:val="fr-BE"/>
              </w:rPr>
              <w:t xml:space="preserve">2017 </w:t>
            </w:r>
            <w:r>
              <w:rPr>
                <w:noProof/>
                <w:sz w:val="16"/>
                <w:szCs w:val="16"/>
                <w:lang w:val="fr-BE"/>
              </w:rPr>
              <w:t>Ogółem</w:t>
            </w:r>
          </w:p>
        </w:tc>
        <w:tc>
          <w:tcPr>
            <w:tcW w:w="0" w:type="auto"/>
          </w:tcPr>
          <w:p w14:paraId="65B9E68F" w14:textId="77777777" w:rsidR="008C5CFA" w:rsidRPr="0024468B" w:rsidRDefault="00E82A60" w:rsidP="00300A01">
            <w:pPr>
              <w:spacing w:before="0" w:after="0"/>
              <w:jc w:val="center"/>
              <w:rPr>
                <w:sz w:val="16"/>
                <w:szCs w:val="16"/>
                <w:lang w:val="fr-BE"/>
              </w:rPr>
            </w:pPr>
            <w:r>
              <w:rPr>
                <w:sz w:val="16"/>
                <w:szCs w:val="16"/>
                <w:lang w:val="fr-BE"/>
              </w:rPr>
              <w:t xml:space="preserve">2017 </w:t>
            </w:r>
            <w:r w:rsidRPr="0024468B">
              <w:rPr>
                <w:noProof/>
                <w:sz w:val="16"/>
                <w:szCs w:val="16"/>
                <w:lang w:val="fr-BE"/>
              </w:rPr>
              <w:t>Jakościowe</w:t>
            </w:r>
          </w:p>
        </w:tc>
        <w:tc>
          <w:tcPr>
            <w:tcW w:w="0" w:type="auto"/>
          </w:tcPr>
          <w:p w14:paraId="27CEE36D" w14:textId="77777777" w:rsidR="008C5CFA" w:rsidRPr="0024468B" w:rsidRDefault="00E82A60" w:rsidP="00300A01">
            <w:pPr>
              <w:spacing w:before="0" w:after="0"/>
              <w:jc w:val="center"/>
              <w:rPr>
                <w:sz w:val="16"/>
                <w:szCs w:val="16"/>
                <w:lang w:val="fr-BE"/>
              </w:rPr>
            </w:pPr>
            <w:r>
              <w:rPr>
                <w:sz w:val="16"/>
                <w:szCs w:val="16"/>
                <w:lang w:val="fr-BE"/>
              </w:rPr>
              <w:t xml:space="preserve">2016 </w:t>
            </w:r>
            <w:r>
              <w:rPr>
                <w:noProof/>
                <w:sz w:val="16"/>
                <w:szCs w:val="16"/>
                <w:lang w:val="fr-BE"/>
              </w:rPr>
              <w:t>Ogółem</w:t>
            </w:r>
          </w:p>
        </w:tc>
        <w:tc>
          <w:tcPr>
            <w:tcW w:w="0" w:type="auto"/>
          </w:tcPr>
          <w:p w14:paraId="46F7A084" w14:textId="77777777" w:rsidR="008C5CFA" w:rsidRPr="0024468B" w:rsidRDefault="00E82A60" w:rsidP="00300A01">
            <w:pPr>
              <w:spacing w:before="0" w:after="0"/>
              <w:jc w:val="center"/>
              <w:rPr>
                <w:sz w:val="16"/>
                <w:szCs w:val="16"/>
                <w:lang w:val="fr-BE"/>
              </w:rPr>
            </w:pPr>
            <w:r>
              <w:rPr>
                <w:sz w:val="16"/>
                <w:szCs w:val="16"/>
                <w:lang w:val="fr-BE"/>
              </w:rPr>
              <w:t xml:space="preserve">2016 </w:t>
            </w:r>
            <w:r w:rsidRPr="0024468B">
              <w:rPr>
                <w:noProof/>
                <w:sz w:val="16"/>
                <w:szCs w:val="16"/>
                <w:lang w:val="fr-BE"/>
              </w:rPr>
              <w:t>Jakościowe</w:t>
            </w:r>
          </w:p>
        </w:tc>
        <w:tc>
          <w:tcPr>
            <w:tcW w:w="0" w:type="auto"/>
          </w:tcPr>
          <w:p w14:paraId="24D5D294" w14:textId="77777777" w:rsidR="008C5CFA" w:rsidRPr="0024468B" w:rsidRDefault="00E82A60" w:rsidP="00300A01">
            <w:pPr>
              <w:spacing w:before="0" w:after="0"/>
              <w:jc w:val="center"/>
              <w:rPr>
                <w:sz w:val="16"/>
                <w:szCs w:val="16"/>
                <w:lang w:val="fr-BE"/>
              </w:rPr>
            </w:pPr>
            <w:r>
              <w:rPr>
                <w:sz w:val="16"/>
                <w:szCs w:val="16"/>
                <w:lang w:val="fr-BE"/>
              </w:rPr>
              <w:t xml:space="preserve">2015 </w:t>
            </w:r>
            <w:r>
              <w:rPr>
                <w:noProof/>
                <w:sz w:val="16"/>
                <w:szCs w:val="16"/>
                <w:lang w:val="fr-BE"/>
              </w:rPr>
              <w:t>Ogółem</w:t>
            </w:r>
          </w:p>
        </w:tc>
        <w:tc>
          <w:tcPr>
            <w:tcW w:w="0" w:type="auto"/>
          </w:tcPr>
          <w:p w14:paraId="39FC3D73" w14:textId="77777777" w:rsidR="008C5CFA" w:rsidRPr="0024468B" w:rsidRDefault="00E82A60" w:rsidP="00300A01">
            <w:pPr>
              <w:spacing w:before="0" w:after="0"/>
              <w:jc w:val="center"/>
              <w:rPr>
                <w:sz w:val="16"/>
                <w:szCs w:val="16"/>
                <w:lang w:val="fr-BE"/>
              </w:rPr>
            </w:pPr>
            <w:r>
              <w:rPr>
                <w:sz w:val="16"/>
                <w:szCs w:val="16"/>
                <w:lang w:val="fr-BE"/>
              </w:rPr>
              <w:t xml:space="preserve">2015 </w:t>
            </w:r>
            <w:r w:rsidRPr="0024468B">
              <w:rPr>
                <w:noProof/>
                <w:sz w:val="16"/>
                <w:szCs w:val="16"/>
                <w:lang w:val="fr-BE"/>
              </w:rPr>
              <w:t>Jakościowe</w:t>
            </w:r>
          </w:p>
        </w:tc>
      </w:tr>
      <w:tr w:rsidR="006B2EC1" w14:paraId="4F9EFF80" w14:textId="77777777" w:rsidTr="0047688D">
        <w:tc>
          <w:tcPr>
            <w:tcW w:w="0" w:type="auto"/>
            <w:shd w:val="clear" w:color="auto" w:fill="auto"/>
          </w:tcPr>
          <w:p w14:paraId="2ED7C9FC" w14:textId="77777777" w:rsidR="008C5CFA" w:rsidRPr="0024468B" w:rsidRDefault="00E82A60" w:rsidP="00300A01">
            <w:pPr>
              <w:spacing w:before="0" w:after="0"/>
              <w:rPr>
                <w:sz w:val="16"/>
                <w:szCs w:val="16"/>
                <w:lang w:val="fr-BE"/>
              </w:rPr>
            </w:pPr>
            <w:r w:rsidRPr="0024468B">
              <w:rPr>
                <w:noProof/>
                <w:sz w:val="16"/>
                <w:szCs w:val="16"/>
                <w:lang w:val="fr-BE"/>
              </w:rPr>
              <w:t>043</w:t>
            </w:r>
          </w:p>
        </w:tc>
        <w:tc>
          <w:tcPr>
            <w:tcW w:w="0" w:type="auto"/>
            <w:shd w:val="clear" w:color="auto" w:fill="auto"/>
          </w:tcPr>
          <w:p w14:paraId="276CA516" w14:textId="77777777" w:rsidR="008C5CFA" w:rsidRPr="0024468B" w:rsidRDefault="00E82A60" w:rsidP="00300A01">
            <w:pPr>
              <w:spacing w:before="0" w:after="0"/>
              <w:rPr>
                <w:sz w:val="16"/>
                <w:szCs w:val="16"/>
                <w:lang w:val="fr-BE"/>
              </w:rPr>
            </w:pPr>
            <w:r w:rsidRPr="0024468B">
              <w:rPr>
                <w:noProof/>
                <w:sz w:val="16"/>
                <w:szCs w:val="16"/>
                <w:lang w:val="fr-BE"/>
              </w:rPr>
              <w:t>Pojemność obiektów małej retencji</w:t>
            </w:r>
          </w:p>
        </w:tc>
        <w:tc>
          <w:tcPr>
            <w:tcW w:w="0" w:type="auto"/>
          </w:tcPr>
          <w:p w14:paraId="0E05FCFC" w14:textId="77777777" w:rsidR="008C5CFA" w:rsidRPr="0024468B" w:rsidRDefault="00E82A60" w:rsidP="00300A01">
            <w:pPr>
              <w:spacing w:before="0" w:after="0"/>
              <w:jc w:val="right"/>
              <w:rPr>
                <w:sz w:val="16"/>
                <w:szCs w:val="16"/>
                <w:lang w:val="fr-BE"/>
              </w:rPr>
            </w:pPr>
            <w:r w:rsidRPr="0024468B">
              <w:rPr>
                <w:noProof/>
                <w:sz w:val="16"/>
                <w:szCs w:val="16"/>
                <w:lang w:val="fr-BE"/>
              </w:rPr>
              <w:t>7 440 800,00</w:t>
            </w:r>
          </w:p>
        </w:tc>
        <w:tc>
          <w:tcPr>
            <w:tcW w:w="0" w:type="auto"/>
          </w:tcPr>
          <w:p w14:paraId="16C707AC" w14:textId="77777777" w:rsidR="008C5CFA" w:rsidRPr="0024468B" w:rsidRDefault="008C5CFA" w:rsidP="00300A01">
            <w:pPr>
              <w:spacing w:before="0" w:after="0"/>
              <w:jc w:val="right"/>
              <w:rPr>
                <w:sz w:val="16"/>
                <w:szCs w:val="16"/>
                <w:lang w:val="fr-BE"/>
              </w:rPr>
            </w:pPr>
          </w:p>
        </w:tc>
        <w:tc>
          <w:tcPr>
            <w:tcW w:w="0" w:type="auto"/>
          </w:tcPr>
          <w:p w14:paraId="6C7E06D5"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39D8FFCE" w14:textId="77777777" w:rsidR="008C5CFA" w:rsidRPr="0024468B" w:rsidRDefault="008C5CFA" w:rsidP="00300A01">
            <w:pPr>
              <w:spacing w:before="0" w:after="0"/>
              <w:jc w:val="right"/>
              <w:rPr>
                <w:sz w:val="16"/>
                <w:szCs w:val="16"/>
                <w:lang w:val="fr-BE"/>
              </w:rPr>
            </w:pPr>
          </w:p>
        </w:tc>
        <w:tc>
          <w:tcPr>
            <w:tcW w:w="0" w:type="auto"/>
          </w:tcPr>
          <w:p w14:paraId="54DA675D" w14:textId="77777777" w:rsidR="008C5CFA" w:rsidRPr="0024468B" w:rsidRDefault="00E82A60" w:rsidP="00300A01">
            <w:pPr>
              <w:spacing w:before="0" w:after="0"/>
              <w:jc w:val="right"/>
              <w:rPr>
                <w:sz w:val="16"/>
                <w:szCs w:val="16"/>
                <w:lang w:val="fr-BE"/>
              </w:rPr>
            </w:pPr>
            <w:r w:rsidRPr="0024468B">
              <w:rPr>
                <w:noProof/>
                <w:sz w:val="16"/>
                <w:szCs w:val="16"/>
                <w:lang w:val="fr-BE"/>
              </w:rPr>
              <w:t>7 440 800,00</w:t>
            </w:r>
          </w:p>
        </w:tc>
        <w:tc>
          <w:tcPr>
            <w:tcW w:w="0" w:type="auto"/>
          </w:tcPr>
          <w:p w14:paraId="59BC3958" w14:textId="77777777" w:rsidR="008C5CFA" w:rsidRPr="0024468B" w:rsidRDefault="008C5CFA" w:rsidP="00300A01">
            <w:pPr>
              <w:spacing w:before="0" w:after="0"/>
              <w:jc w:val="right"/>
              <w:rPr>
                <w:sz w:val="16"/>
                <w:szCs w:val="16"/>
                <w:lang w:val="fr-BE"/>
              </w:rPr>
            </w:pPr>
          </w:p>
        </w:tc>
        <w:tc>
          <w:tcPr>
            <w:tcW w:w="0" w:type="auto"/>
          </w:tcPr>
          <w:p w14:paraId="24F0C7A7" w14:textId="77777777" w:rsidR="008C5CFA" w:rsidRPr="0024468B" w:rsidRDefault="00E82A60" w:rsidP="00300A01">
            <w:pPr>
              <w:spacing w:before="0" w:after="0"/>
              <w:jc w:val="right"/>
              <w:rPr>
                <w:sz w:val="16"/>
                <w:szCs w:val="16"/>
                <w:lang w:val="fr-BE"/>
              </w:rPr>
            </w:pPr>
            <w:r w:rsidRPr="0024468B">
              <w:rPr>
                <w:noProof/>
                <w:sz w:val="16"/>
                <w:szCs w:val="16"/>
                <w:lang w:val="fr-BE"/>
              </w:rPr>
              <w:t>7 148 100,00</w:t>
            </w:r>
          </w:p>
        </w:tc>
        <w:tc>
          <w:tcPr>
            <w:tcW w:w="0" w:type="auto"/>
          </w:tcPr>
          <w:p w14:paraId="44280D9C" w14:textId="77777777" w:rsidR="008C5CFA" w:rsidRPr="0024468B" w:rsidRDefault="008C5CFA" w:rsidP="00300A01">
            <w:pPr>
              <w:spacing w:before="0" w:after="0"/>
              <w:jc w:val="right"/>
              <w:rPr>
                <w:sz w:val="16"/>
                <w:szCs w:val="16"/>
                <w:lang w:val="fr-BE"/>
              </w:rPr>
            </w:pPr>
          </w:p>
        </w:tc>
      </w:tr>
      <w:tr w:rsidR="006B2EC1" w14:paraId="6A407167" w14:textId="77777777" w:rsidTr="0047688D">
        <w:tc>
          <w:tcPr>
            <w:tcW w:w="0" w:type="auto"/>
            <w:shd w:val="clear" w:color="auto" w:fill="auto"/>
          </w:tcPr>
          <w:p w14:paraId="21BCA592" w14:textId="77777777" w:rsidR="008C5CFA" w:rsidRPr="0024468B" w:rsidRDefault="00E82A60" w:rsidP="00300A01">
            <w:pPr>
              <w:spacing w:before="0" w:after="0"/>
              <w:rPr>
                <w:sz w:val="16"/>
                <w:szCs w:val="16"/>
                <w:lang w:val="fr-BE"/>
              </w:rPr>
            </w:pPr>
            <w:r w:rsidRPr="0024468B">
              <w:rPr>
                <w:noProof/>
                <w:sz w:val="16"/>
                <w:szCs w:val="16"/>
                <w:lang w:val="fr-BE"/>
              </w:rPr>
              <w:t>044</w:t>
            </w:r>
          </w:p>
        </w:tc>
        <w:tc>
          <w:tcPr>
            <w:tcW w:w="0" w:type="auto"/>
            <w:shd w:val="clear" w:color="auto" w:fill="auto"/>
          </w:tcPr>
          <w:p w14:paraId="5D28A43C" w14:textId="77777777" w:rsidR="008C5CFA" w:rsidRPr="0024468B" w:rsidRDefault="00E82A60" w:rsidP="00300A01">
            <w:pPr>
              <w:spacing w:before="0" w:after="0"/>
              <w:rPr>
                <w:sz w:val="16"/>
                <w:szCs w:val="16"/>
                <w:lang w:val="fr-BE"/>
              </w:rPr>
            </w:pPr>
            <w:r w:rsidRPr="0024468B">
              <w:rPr>
                <w:noProof/>
                <w:sz w:val="16"/>
                <w:szCs w:val="16"/>
                <w:lang w:val="fr-BE"/>
              </w:rPr>
              <w:t>Średni czas reakcji służb ratowniczych od momentu przyjęcia zgłoszenia</w:t>
            </w:r>
          </w:p>
        </w:tc>
        <w:tc>
          <w:tcPr>
            <w:tcW w:w="0" w:type="auto"/>
          </w:tcPr>
          <w:p w14:paraId="7B317599" w14:textId="77777777" w:rsidR="008C5CFA" w:rsidRPr="0024468B" w:rsidRDefault="00E82A60" w:rsidP="00300A01">
            <w:pPr>
              <w:spacing w:before="0" w:after="0"/>
              <w:jc w:val="right"/>
              <w:rPr>
                <w:sz w:val="16"/>
                <w:szCs w:val="16"/>
                <w:lang w:val="fr-BE"/>
              </w:rPr>
            </w:pPr>
            <w:r w:rsidRPr="0024468B">
              <w:rPr>
                <w:noProof/>
                <w:sz w:val="16"/>
                <w:szCs w:val="16"/>
                <w:lang w:val="fr-BE"/>
              </w:rPr>
              <w:t>10,03</w:t>
            </w:r>
          </w:p>
        </w:tc>
        <w:tc>
          <w:tcPr>
            <w:tcW w:w="0" w:type="auto"/>
          </w:tcPr>
          <w:p w14:paraId="33796CB0" w14:textId="77777777" w:rsidR="008C5CFA" w:rsidRPr="0024468B" w:rsidRDefault="008C5CFA" w:rsidP="00300A01">
            <w:pPr>
              <w:spacing w:before="0" w:after="0"/>
              <w:jc w:val="right"/>
              <w:rPr>
                <w:sz w:val="16"/>
                <w:szCs w:val="16"/>
                <w:lang w:val="fr-BE"/>
              </w:rPr>
            </w:pPr>
          </w:p>
        </w:tc>
        <w:tc>
          <w:tcPr>
            <w:tcW w:w="0" w:type="auto"/>
          </w:tcPr>
          <w:p w14:paraId="544B6A63" w14:textId="77777777" w:rsidR="008C5CFA" w:rsidRPr="0024468B" w:rsidRDefault="00E82A60" w:rsidP="00300A01">
            <w:pPr>
              <w:spacing w:before="0" w:after="0"/>
              <w:jc w:val="right"/>
              <w:rPr>
                <w:sz w:val="16"/>
                <w:szCs w:val="16"/>
                <w:lang w:val="fr-BE"/>
              </w:rPr>
            </w:pPr>
            <w:r w:rsidRPr="0024468B">
              <w:rPr>
                <w:noProof/>
                <w:sz w:val="16"/>
                <w:szCs w:val="16"/>
                <w:lang w:val="fr-BE"/>
              </w:rPr>
              <w:t>10,33</w:t>
            </w:r>
          </w:p>
        </w:tc>
        <w:tc>
          <w:tcPr>
            <w:tcW w:w="0" w:type="auto"/>
          </w:tcPr>
          <w:p w14:paraId="6C3D389F" w14:textId="77777777" w:rsidR="008C5CFA" w:rsidRPr="0024468B" w:rsidRDefault="008C5CFA" w:rsidP="00300A01">
            <w:pPr>
              <w:spacing w:before="0" w:after="0"/>
              <w:jc w:val="right"/>
              <w:rPr>
                <w:sz w:val="16"/>
                <w:szCs w:val="16"/>
                <w:lang w:val="fr-BE"/>
              </w:rPr>
            </w:pPr>
          </w:p>
        </w:tc>
        <w:tc>
          <w:tcPr>
            <w:tcW w:w="0" w:type="auto"/>
          </w:tcPr>
          <w:p w14:paraId="03B211BE" w14:textId="77777777" w:rsidR="008C5CFA" w:rsidRPr="0024468B" w:rsidRDefault="00E82A60" w:rsidP="00300A01">
            <w:pPr>
              <w:spacing w:before="0" w:after="0"/>
              <w:jc w:val="right"/>
              <w:rPr>
                <w:sz w:val="16"/>
                <w:szCs w:val="16"/>
                <w:lang w:val="fr-BE"/>
              </w:rPr>
            </w:pPr>
            <w:r w:rsidRPr="0024468B">
              <w:rPr>
                <w:noProof/>
                <w:sz w:val="16"/>
                <w:szCs w:val="16"/>
                <w:lang w:val="fr-BE"/>
              </w:rPr>
              <w:t>10,33</w:t>
            </w:r>
          </w:p>
        </w:tc>
        <w:tc>
          <w:tcPr>
            <w:tcW w:w="0" w:type="auto"/>
          </w:tcPr>
          <w:p w14:paraId="615F61BD" w14:textId="77777777" w:rsidR="008C5CFA" w:rsidRPr="0024468B" w:rsidRDefault="008C5CFA" w:rsidP="00300A01">
            <w:pPr>
              <w:spacing w:before="0" w:after="0"/>
              <w:jc w:val="right"/>
              <w:rPr>
                <w:sz w:val="16"/>
                <w:szCs w:val="16"/>
                <w:lang w:val="fr-BE"/>
              </w:rPr>
            </w:pPr>
          </w:p>
        </w:tc>
        <w:tc>
          <w:tcPr>
            <w:tcW w:w="0" w:type="auto"/>
          </w:tcPr>
          <w:p w14:paraId="233586F3" w14:textId="77777777" w:rsidR="008C5CFA" w:rsidRPr="0024468B" w:rsidRDefault="00E82A60" w:rsidP="00300A01">
            <w:pPr>
              <w:spacing w:before="0" w:after="0"/>
              <w:jc w:val="right"/>
              <w:rPr>
                <w:sz w:val="16"/>
                <w:szCs w:val="16"/>
                <w:lang w:val="fr-BE"/>
              </w:rPr>
            </w:pPr>
            <w:r w:rsidRPr="0024468B">
              <w:rPr>
                <w:noProof/>
                <w:sz w:val="16"/>
                <w:szCs w:val="16"/>
                <w:lang w:val="fr-BE"/>
              </w:rPr>
              <w:t>10,12</w:t>
            </w:r>
          </w:p>
        </w:tc>
        <w:tc>
          <w:tcPr>
            <w:tcW w:w="0" w:type="auto"/>
          </w:tcPr>
          <w:p w14:paraId="5786D258" w14:textId="77777777" w:rsidR="008C5CFA" w:rsidRPr="0024468B" w:rsidRDefault="008C5CFA" w:rsidP="00300A01">
            <w:pPr>
              <w:spacing w:before="0" w:after="0"/>
              <w:jc w:val="right"/>
              <w:rPr>
                <w:sz w:val="16"/>
                <w:szCs w:val="16"/>
                <w:lang w:val="fr-BE"/>
              </w:rPr>
            </w:pPr>
          </w:p>
        </w:tc>
      </w:tr>
    </w:tbl>
    <w:p w14:paraId="454B6ACA"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
        <w:gridCol w:w="9578"/>
        <w:gridCol w:w="2139"/>
        <w:gridCol w:w="2574"/>
      </w:tblGrid>
      <w:tr w:rsidR="006B2EC1" w14:paraId="26094E5D" w14:textId="77777777" w:rsidTr="0047688D">
        <w:tc>
          <w:tcPr>
            <w:tcW w:w="0" w:type="auto"/>
            <w:shd w:val="clear" w:color="auto" w:fill="auto"/>
          </w:tcPr>
          <w:p w14:paraId="794C9036" w14:textId="77777777" w:rsidR="008C5CFA" w:rsidRPr="0024468B" w:rsidRDefault="00E82A60" w:rsidP="00300A01">
            <w:pPr>
              <w:spacing w:before="0" w:after="0"/>
              <w:rPr>
                <w:sz w:val="16"/>
                <w:szCs w:val="16"/>
                <w:lang w:val="fr-BE"/>
              </w:rPr>
            </w:pPr>
            <w:r w:rsidRPr="0024468B">
              <w:rPr>
                <w:noProof/>
                <w:sz w:val="16"/>
                <w:szCs w:val="16"/>
                <w:lang w:val="fr-BE"/>
              </w:rPr>
              <w:t>ID</w:t>
            </w:r>
          </w:p>
        </w:tc>
        <w:tc>
          <w:tcPr>
            <w:tcW w:w="0" w:type="auto"/>
            <w:shd w:val="clear" w:color="auto" w:fill="auto"/>
          </w:tcPr>
          <w:p w14:paraId="094556BD" w14:textId="77777777" w:rsidR="008C5CFA" w:rsidRPr="0024468B" w:rsidRDefault="00E82A60" w:rsidP="00300A01">
            <w:pPr>
              <w:spacing w:before="0" w:after="0"/>
              <w:rPr>
                <w:sz w:val="16"/>
                <w:szCs w:val="16"/>
                <w:lang w:val="fr-BE"/>
              </w:rPr>
            </w:pPr>
            <w:r w:rsidRPr="0024468B">
              <w:rPr>
                <w:noProof/>
                <w:sz w:val="16"/>
                <w:szCs w:val="16"/>
                <w:lang w:val="fr-BE"/>
              </w:rPr>
              <w:t>Wskaźnik</w:t>
            </w:r>
          </w:p>
        </w:tc>
        <w:tc>
          <w:tcPr>
            <w:tcW w:w="0" w:type="auto"/>
            <w:shd w:val="clear" w:color="auto" w:fill="auto"/>
          </w:tcPr>
          <w:p w14:paraId="441D5286" w14:textId="77777777" w:rsidR="008C5CFA" w:rsidRPr="0024468B" w:rsidRDefault="00E82A60" w:rsidP="00300A01">
            <w:pPr>
              <w:spacing w:before="0" w:after="0"/>
              <w:jc w:val="center"/>
              <w:rPr>
                <w:sz w:val="16"/>
                <w:szCs w:val="16"/>
                <w:lang w:val="fr-BE"/>
              </w:rPr>
            </w:pPr>
            <w:r>
              <w:rPr>
                <w:sz w:val="16"/>
                <w:szCs w:val="16"/>
                <w:lang w:val="fr-BE"/>
              </w:rPr>
              <w:t xml:space="preserve">2014 </w:t>
            </w:r>
            <w:r>
              <w:rPr>
                <w:noProof/>
                <w:sz w:val="16"/>
                <w:szCs w:val="16"/>
                <w:lang w:val="fr-BE"/>
              </w:rPr>
              <w:t>Ogółem</w:t>
            </w:r>
          </w:p>
        </w:tc>
        <w:tc>
          <w:tcPr>
            <w:tcW w:w="0" w:type="auto"/>
            <w:shd w:val="clear" w:color="auto" w:fill="auto"/>
          </w:tcPr>
          <w:p w14:paraId="33F3AB8F" w14:textId="77777777" w:rsidR="008C5CFA" w:rsidRPr="0024468B" w:rsidRDefault="00E82A60" w:rsidP="00300A01">
            <w:pPr>
              <w:spacing w:before="0" w:after="0"/>
              <w:jc w:val="center"/>
              <w:rPr>
                <w:sz w:val="16"/>
                <w:szCs w:val="16"/>
                <w:lang w:val="fr-BE"/>
              </w:rPr>
            </w:pPr>
            <w:r>
              <w:rPr>
                <w:sz w:val="16"/>
                <w:szCs w:val="16"/>
                <w:lang w:val="fr-BE"/>
              </w:rPr>
              <w:t xml:space="preserve">2014 </w:t>
            </w:r>
            <w:r w:rsidRPr="0024468B">
              <w:rPr>
                <w:noProof/>
                <w:sz w:val="16"/>
                <w:szCs w:val="16"/>
                <w:lang w:val="fr-BE"/>
              </w:rPr>
              <w:t>Jakościowe</w:t>
            </w:r>
          </w:p>
        </w:tc>
      </w:tr>
      <w:tr w:rsidR="006B2EC1" w14:paraId="709F4283" w14:textId="77777777" w:rsidTr="0047688D">
        <w:tc>
          <w:tcPr>
            <w:tcW w:w="0" w:type="auto"/>
            <w:shd w:val="clear" w:color="auto" w:fill="auto"/>
          </w:tcPr>
          <w:p w14:paraId="4E100F37" w14:textId="77777777" w:rsidR="008C5CFA" w:rsidRPr="0024468B" w:rsidRDefault="00E82A60" w:rsidP="00300A01">
            <w:pPr>
              <w:spacing w:before="0" w:after="0"/>
              <w:rPr>
                <w:sz w:val="16"/>
                <w:szCs w:val="16"/>
                <w:lang w:val="fr-BE"/>
              </w:rPr>
            </w:pPr>
            <w:r w:rsidRPr="0024468B">
              <w:rPr>
                <w:noProof/>
                <w:sz w:val="16"/>
                <w:szCs w:val="16"/>
                <w:lang w:val="fr-BE"/>
              </w:rPr>
              <w:t>043</w:t>
            </w:r>
          </w:p>
        </w:tc>
        <w:tc>
          <w:tcPr>
            <w:tcW w:w="0" w:type="auto"/>
            <w:shd w:val="clear" w:color="auto" w:fill="auto"/>
          </w:tcPr>
          <w:p w14:paraId="59248B1E" w14:textId="77777777" w:rsidR="008C5CFA" w:rsidRPr="0024468B" w:rsidRDefault="00E82A60" w:rsidP="00300A01">
            <w:pPr>
              <w:spacing w:before="0" w:after="0"/>
              <w:rPr>
                <w:sz w:val="16"/>
                <w:szCs w:val="16"/>
                <w:lang w:val="fr-BE"/>
              </w:rPr>
            </w:pPr>
            <w:r w:rsidRPr="0024468B">
              <w:rPr>
                <w:noProof/>
                <w:sz w:val="16"/>
                <w:szCs w:val="16"/>
                <w:lang w:val="fr-BE"/>
              </w:rPr>
              <w:t>Pojemność obiektów małej retencji</w:t>
            </w:r>
          </w:p>
        </w:tc>
        <w:tc>
          <w:tcPr>
            <w:tcW w:w="0" w:type="auto"/>
            <w:shd w:val="clear" w:color="auto" w:fill="auto"/>
          </w:tcPr>
          <w:p w14:paraId="69F9EB71" w14:textId="77777777" w:rsidR="008C5CFA" w:rsidRPr="0024468B" w:rsidRDefault="00E82A60" w:rsidP="00300A01">
            <w:pPr>
              <w:spacing w:before="0" w:after="0"/>
              <w:jc w:val="right"/>
              <w:rPr>
                <w:sz w:val="16"/>
                <w:szCs w:val="16"/>
                <w:lang w:val="fr-BE"/>
              </w:rPr>
            </w:pPr>
            <w:r w:rsidRPr="0024468B">
              <w:rPr>
                <w:noProof/>
                <w:sz w:val="16"/>
                <w:szCs w:val="16"/>
                <w:lang w:val="fr-BE"/>
              </w:rPr>
              <w:t>7 148 100,00</w:t>
            </w:r>
          </w:p>
        </w:tc>
        <w:tc>
          <w:tcPr>
            <w:tcW w:w="0" w:type="auto"/>
            <w:shd w:val="clear" w:color="auto" w:fill="auto"/>
          </w:tcPr>
          <w:p w14:paraId="33CA3D52" w14:textId="77777777" w:rsidR="008C5CFA" w:rsidRPr="0024468B" w:rsidRDefault="008C5CFA" w:rsidP="00300A01">
            <w:pPr>
              <w:spacing w:before="0" w:after="0"/>
              <w:jc w:val="right"/>
              <w:rPr>
                <w:sz w:val="16"/>
                <w:szCs w:val="16"/>
                <w:lang w:val="fr-BE"/>
              </w:rPr>
            </w:pPr>
          </w:p>
        </w:tc>
      </w:tr>
      <w:tr w:rsidR="006B2EC1" w14:paraId="68E929F6" w14:textId="77777777" w:rsidTr="0047688D">
        <w:tc>
          <w:tcPr>
            <w:tcW w:w="0" w:type="auto"/>
            <w:shd w:val="clear" w:color="auto" w:fill="auto"/>
          </w:tcPr>
          <w:p w14:paraId="28C77F9F" w14:textId="77777777" w:rsidR="008C5CFA" w:rsidRPr="0024468B" w:rsidRDefault="00E82A60" w:rsidP="00300A01">
            <w:pPr>
              <w:spacing w:before="0" w:after="0"/>
              <w:rPr>
                <w:sz w:val="16"/>
                <w:szCs w:val="16"/>
                <w:lang w:val="fr-BE"/>
              </w:rPr>
            </w:pPr>
            <w:r w:rsidRPr="0024468B">
              <w:rPr>
                <w:noProof/>
                <w:sz w:val="16"/>
                <w:szCs w:val="16"/>
                <w:lang w:val="fr-BE"/>
              </w:rPr>
              <w:t>044</w:t>
            </w:r>
          </w:p>
        </w:tc>
        <w:tc>
          <w:tcPr>
            <w:tcW w:w="0" w:type="auto"/>
            <w:shd w:val="clear" w:color="auto" w:fill="auto"/>
          </w:tcPr>
          <w:p w14:paraId="0877BD20" w14:textId="77777777" w:rsidR="008C5CFA" w:rsidRPr="0024468B" w:rsidRDefault="00E82A60" w:rsidP="00300A01">
            <w:pPr>
              <w:spacing w:before="0" w:after="0"/>
              <w:rPr>
                <w:sz w:val="16"/>
                <w:szCs w:val="16"/>
                <w:lang w:val="fr-BE"/>
              </w:rPr>
            </w:pPr>
            <w:r w:rsidRPr="0024468B">
              <w:rPr>
                <w:noProof/>
                <w:sz w:val="16"/>
                <w:szCs w:val="16"/>
                <w:lang w:val="fr-BE"/>
              </w:rPr>
              <w:t>Średni czas reakcji służb ratowniczych od momentu przyjęcia zgłoszenia</w:t>
            </w:r>
          </w:p>
        </w:tc>
        <w:tc>
          <w:tcPr>
            <w:tcW w:w="0" w:type="auto"/>
            <w:shd w:val="clear" w:color="auto" w:fill="auto"/>
          </w:tcPr>
          <w:p w14:paraId="749F173D" w14:textId="77777777" w:rsidR="008C5CFA" w:rsidRPr="0024468B" w:rsidRDefault="00E82A60" w:rsidP="00300A01">
            <w:pPr>
              <w:spacing w:before="0" w:after="0"/>
              <w:jc w:val="right"/>
              <w:rPr>
                <w:sz w:val="16"/>
                <w:szCs w:val="16"/>
                <w:lang w:val="fr-BE"/>
              </w:rPr>
            </w:pPr>
            <w:r w:rsidRPr="0024468B">
              <w:rPr>
                <w:noProof/>
                <w:sz w:val="16"/>
                <w:szCs w:val="16"/>
                <w:lang w:val="fr-BE"/>
              </w:rPr>
              <w:t>10,45</w:t>
            </w:r>
          </w:p>
        </w:tc>
        <w:tc>
          <w:tcPr>
            <w:tcW w:w="0" w:type="auto"/>
            <w:shd w:val="clear" w:color="auto" w:fill="auto"/>
          </w:tcPr>
          <w:p w14:paraId="164B7C38" w14:textId="77777777" w:rsidR="008C5CFA" w:rsidRPr="0024468B" w:rsidRDefault="008C5CFA" w:rsidP="00300A01">
            <w:pPr>
              <w:spacing w:before="0" w:after="0"/>
              <w:jc w:val="right"/>
              <w:rPr>
                <w:sz w:val="16"/>
                <w:szCs w:val="16"/>
                <w:lang w:val="fr-BE"/>
              </w:rPr>
            </w:pPr>
          </w:p>
        </w:tc>
      </w:tr>
    </w:tbl>
    <w:p w14:paraId="53FBB65B" w14:textId="77777777" w:rsidR="008C5CFA" w:rsidRDefault="008C5CFA" w:rsidP="00300A01">
      <w:pPr>
        <w:spacing w:before="0" w:after="0"/>
        <w:rPr>
          <w:lang w:val="fr-BE"/>
        </w:rPr>
      </w:pPr>
    </w:p>
    <w:p w14:paraId="7A8FA1CA" w14:textId="77777777" w:rsidR="008C5CFA" w:rsidRDefault="00E82A60" w:rsidP="00300A01">
      <w:pPr>
        <w:spacing w:before="0" w:after="0"/>
        <w:rPr>
          <w:lang w:val="fr-BE"/>
        </w:rPr>
      </w:pPr>
      <w:r>
        <w:rPr>
          <w:lang w:val="fr-BE"/>
        </w:rPr>
        <w:br w:type="page"/>
      </w:r>
    </w:p>
    <w:p w14:paraId="733EAF53" w14:textId="77777777" w:rsidR="008C5CFA" w:rsidRPr="00B27C43" w:rsidRDefault="008C5CFA" w:rsidP="00300A01">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2"/>
        <w:gridCol w:w="13412"/>
      </w:tblGrid>
      <w:tr w:rsidR="006B2EC1" w14:paraId="15016813" w14:textId="77777777" w:rsidTr="0047688D">
        <w:tc>
          <w:tcPr>
            <w:tcW w:w="0" w:type="auto"/>
            <w:shd w:val="clear" w:color="auto" w:fill="auto"/>
          </w:tcPr>
          <w:p w14:paraId="46D9078D" w14:textId="77777777" w:rsidR="008C5CFA" w:rsidRPr="002124FC" w:rsidRDefault="00E82A60" w:rsidP="00300A01">
            <w:pPr>
              <w:spacing w:before="0" w:after="0"/>
              <w:rPr>
                <w:sz w:val="20"/>
                <w:szCs w:val="20"/>
                <w:lang w:val="fr-BE"/>
              </w:rPr>
            </w:pPr>
            <w:r>
              <w:rPr>
                <w:lang w:val="fr-BE"/>
              </w:rPr>
              <w:br w:type="page"/>
            </w:r>
            <w:r>
              <w:rPr>
                <w:lang w:val="fr-BE"/>
              </w:rPr>
              <w:br w:type="page"/>
            </w:r>
            <w:r w:rsidRPr="002124FC">
              <w:rPr>
                <w:noProof/>
                <w:sz w:val="20"/>
                <w:szCs w:val="20"/>
                <w:lang w:val="fr-BE"/>
              </w:rPr>
              <w:t>Oś priorytetowa</w:t>
            </w:r>
          </w:p>
        </w:tc>
        <w:tc>
          <w:tcPr>
            <w:tcW w:w="0" w:type="auto"/>
            <w:shd w:val="clear" w:color="auto" w:fill="auto"/>
          </w:tcPr>
          <w:p w14:paraId="0F038491" w14:textId="77777777" w:rsidR="008C5CFA" w:rsidRPr="002124FC" w:rsidRDefault="00E82A60" w:rsidP="00300A01">
            <w:pPr>
              <w:spacing w:before="0" w:after="0"/>
              <w:rPr>
                <w:sz w:val="20"/>
                <w:szCs w:val="20"/>
                <w:lang w:val="fr-BE"/>
              </w:rPr>
            </w:pPr>
            <w:r w:rsidRPr="002124FC">
              <w:rPr>
                <w:noProof/>
                <w:sz w:val="20"/>
                <w:szCs w:val="20"/>
                <w:lang w:val="fr-BE"/>
              </w:rPr>
              <w:t>4</w:t>
            </w:r>
            <w:r w:rsidRPr="002124FC">
              <w:rPr>
                <w:sz w:val="20"/>
                <w:szCs w:val="20"/>
                <w:lang w:val="fr-BE"/>
              </w:rPr>
              <w:t xml:space="preserve"> - </w:t>
            </w:r>
            <w:r w:rsidRPr="002124FC">
              <w:rPr>
                <w:noProof/>
                <w:sz w:val="20"/>
                <w:szCs w:val="20"/>
                <w:lang w:val="fr-BE"/>
              </w:rPr>
              <w:t>Dziedzictwo naturalne i kulturowe</w:t>
            </w:r>
          </w:p>
        </w:tc>
      </w:tr>
      <w:tr w:rsidR="006B2EC1" w14:paraId="12945E62" w14:textId="77777777" w:rsidTr="0047688D">
        <w:tc>
          <w:tcPr>
            <w:tcW w:w="0" w:type="auto"/>
            <w:shd w:val="clear" w:color="auto" w:fill="auto"/>
          </w:tcPr>
          <w:p w14:paraId="7202599F" w14:textId="77777777" w:rsidR="008C5CFA" w:rsidRPr="002124FC" w:rsidRDefault="00E82A60"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14:paraId="5F3515DB" w14:textId="77777777" w:rsidR="008C5CFA" w:rsidRPr="002124FC" w:rsidRDefault="00E82A60" w:rsidP="00300A01">
            <w:pPr>
              <w:spacing w:before="0" w:after="0"/>
              <w:rPr>
                <w:sz w:val="20"/>
                <w:szCs w:val="20"/>
                <w:lang w:val="fr-BE"/>
              </w:rPr>
            </w:pPr>
            <w:r w:rsidRPr="002124FC">
              <w:rPr>
                <w:noProof/>
                <w:sz w:val="20"/>
                <w:szCs w:val="20"/>
                <w:lang w:val="fr-BE"/>
              </w:rPr>
              <w:t>6a</w:t>
            </w:r>
            <w:r w:rsidRPr="002124FC">
              <w:rPr>
                <w:sz w:val="20"/>
                <w:szCs w:val="20"/>
                <w:lang w:val="fr-BE"/>
              </w:rPr>
              <w:t xml:space="preserve"> - </w:t>
            </w:r>
            <w:r w:rsidRPr="002124FC">
              <w:rPr>
                <w:noProof/>
                <w:sz w:val="20"/>
                <w:szCs w:val="20"/>
                <w:lang w:val="fr-BE"/>
              </w:rPr>
              <w:t>Inwestowanie w sektor gospodarki odpadami celem wypełnienia zobowiązań określonych w dorobku prawnym Unii w zakresie środowiska oraz zaspokojenia wykraczających poza te zobowiązania potrzeb inwestycyjnych określonych przez państwa członkowskie</w:t>
            </w:r>
          </w:p>
        </w:tc>
      </w:tr>
    </w:tbl>
    <w:p w14:paraId="60F597B0" w14:textId="77777777" w:rsidR="008C5CFA" w:rsidRDefault="008C5CFA" w:rsidP="00300A01">
      <w:pPr>
        <w:spacing w:before="0" w:after="0"/>
        <w:rPr>
          <w:lang w:val="fr-BE"/>
        </w:rPr>
      </w:pPr>
    </w:p>
    <w:p w14:paraId="48C91CB8" w14:textId="77777777" w:rsidR="008C5CFA" w:rsidRDefault="00E82A60" w:rsidP="00300A01">
      <w:pPr>
        <w:pStyle w:val="Nagwek2"/>
        <w:spacing w:before="0" w:after="0"/>
        <w:rPr>
          <w:lang w:val="fr-BE"/>
        </w:rPr>
      </w:pPr>
      <w:bookmarkStart w:id="31" w:name="_Toc46391715"/>
      <w:r>
        <w:rPr>
          <w:noProof/>
          <w:lang w:val="fr-BE"/>
        </w:rPr>
        <w:t>Tabela 3A</w:t>
      </w:r>
      <w:r>
        <w:rPr>
          <w:lang w:val="fr-BE"/>
        </w:rPr>
        <w:t xml:space="preserve">: </w:t>
      </w:r>
      <w:r>
        <w:rPr>
          <w:noProof/>
          <w:lang w:val="fr-BE"/>
        </w:rPr>
        <w:t>Wspólne i specyficzne dla danego programu wskaźniki produktu dla EFRR i Funduszu Spójności (wg osi priorytetowej, priorytetu inwestycyjnego, w podziale na kategorię regionu dla celów EFRR)</w:t>
      </w:r>
      <w:r w:rsidR="009C5874">
        <w:rPr>
          <w:lang w:val="fr-BE"/>
        </w:rPr>
        <w:t xml:space="preserve"> - </w:t>
      </w:r>
      <w:r w:rsidR="00F022AC" w:rsidRPr="002124FC">
        <w:rPr>
          <w:noProof/>
          <w:sz w:val="20"/>
          <w:szCs w:val="20"/>
          <w:lang w:val="fr-BE"/>
        </w:rPr>
        <w:t>4</w:t>
      </w:r>
      <w:r w:rsidR="00F022AC">
        <w:rPr>
          <w:sz w:val="20"/>
          <w:szCs w:val="20"/>
          <w:lang w:val="fr-BE"/>
        </w:rPr>
        <w:t xml:space="preserve"> / </w:t>
      </w:r>
      <w:r w:rsidR="00F022AC" w:rsidRPr="002124FC">
        <w:rPr>
          <w:noProof/>
          <w:sz w:val="20"/>
          <w:szCs w:val="20"/>
          <w:lang w:val="fr-BE"/>
        </w:rPr>
        <w:t>6a</w:t>
      </w:r>
      <w:bookmarkEnd w:id="31"/>
    </w:p>
    <w:p w14:paraId="665F9A41"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02"/>
        <w:gridCol w:w="354"/>
        <w:gridCol w:w="1914"/>
        <w:gridCol w:w="871"/>
        <w:gridCol w:w="878"/>
        <w:gridCol w:w="971"/>
        <w:gridCol w:w="1061"/>
        <w:gridCol w:w="974"/>
        <w:gridCol w:w="698"/>
        <w:gridCol w:w="884"/>
        <w:gridCol w:w="707"/>
        <w:gridCol w:w="5570"/>
      </w:tblGrid>
      <w:tr w:rsidR="006B2EC1" w14:paraId="5E7FAE00" w14:textId="77777777" w:rsidTr="0047688D">
        <w:trPr>
          <w:tblHeader/>
        </w:trPr>
        <w:tc>
          <w:tcPr>
            <w:tcW w:w="0" w:type="auto"/>
          </w:tcPr>
          <w:p w14:paraId="7CADA087" w14:textId="77777777" w:rsidR="008C5CFA" w:rsidRPr="009143B4" w:rsidRDefault="00E82A60" w:rsidP="00300A01">
            <w:pPr>
              <w:spacing w:before="0" w:after="0"/>
              <w:rPr>
                <w:b/>
                <w:sz w:val="16"/>
                <w:szCs w:val="16"/>
                <w:lang w:val="fr-BE"/>
              </w:rPr>
            </w:pPr>
            <w:r w:rsidRPr="009143B4">
              <w:rPr>
                <w:b/>
                <w:sz w:val="16"/>
                <w:szCs w:val="16"/>
                <w:lang w:val="fr-BE"/>
              </w:rPr>
              <w:t>(1)</w:t>
            </w:r>
          </w:p>
        </w:tc>
        <w:tc>
          <w:tcPr>
            <w:tcW w:w="0" w:type="auto"/>
            <w:shd w:val="clear" w:color="auto" w:fill="auto"/>
          </w:tcPr>
          <w:p w14:paraId="2BF450FB" w14:textId="77777777" w:rsidR="008C5CFA" w:rsidRPr="009143B4" w:rsidRDefault="00E82A60" w:rsidP="00300A01">
            <w:pPr>
              <w:spacing w:before="0" w:after="0"/>
              <w:rPr>
                <w:b/>
                <w:sz w:val="16"/>
                <w:szCs w:val="16"/>
                <w:lang w:val="fr-BE"/>
              </w:rPr>
            </w:pPr>
            <w:r w:rsidRPr="009143B4">
              <w:rPr>
                <w:b/>
                <w:noProof/>
                <w:sz w:val="16"/>
                <w:szCs w:val="16"/>
                <w:lang w:val="fr-BE"/>
              </w:rPr>
              <w:t>ID</w:t>
            </w:r>
          </w:p>
        </w:tc>
        <w:tc>
          <w:tcPr>
            <w:tcW w:w="0" w:type="auto"/>
            <w:shd w:val="clear" w:color="auto" w:fill="auto"/>
          </w:tcPr>
          <w:p w14:paraId="56D3836D" w14:textId="77777777" w:rsidR="008C5CFA" w:rsidRPr="009143B4" w:rsidRDefault="00E82A60" w:rsidP="00300A01">
            <w:pPr>
              <w:spacing w:before="0" w:after="0"/>
              <w:rPr>
                <w:b/>
                <w:sz w:val="16"/>
                <w:szCs w:val="16"/>
                <w:lang w:val="fr-BE"/>
              </w:rPr>
            </w:pPr>
            <w:r w:rsidRPr="009143B4">
              <w:rPr>
                <w:b/>
                <w:noProof/>
                <w:sz w:val="16"/>
                <w:szCs w:val="16"/>
                <w:lang w:val="fr-BE"/>
              </w:rPr>
              <w:t>Wskaźnik</w:t>
            </w:r>
          </w:p>
        </w:tc>
        <w:tc>
          <w:tcPr>
            <w:tcW w:w="0" w:type="auto"/>
            <w:shd w:val="clear" w:color="auto" w:fill="auto"/>
          </w:tcPr>
          <w:p w14:paraId="0B65C910" w14:textId="77777777" w:rsidR="008C5CFA" w:rsidRPr="009143B4" w:rsidRDefault="00E82A60" w:rsidP="00300A01">
            <w:pPr>
              <w:spacing w:before="0" w:after="0"/>
              <w:rPr>
                <w:b/>
                <w:sz w:val="16"/>
                <w:szCs w:val="16"/>
                <w:lang w:val="fr-BE"/>
              </w:rPr>
            </w:pPr>
            <w:r w:rsidRPr="009143B4">
              <w:rPr>
                <w:b/>
                <w:noProof/>
                <w:sz w:val="16"/>
                <w:szCs w:val="16"/>
                <w:lang w:val="fr-BE"/>
              </w:rPr>
              <w:t>Jednostka miary</w:t>
            </w:r>
          </w:p>
        </w:tc>
        <w:tc>
          <w:tcPr>
            <w:tcW w:w="0" w:type="auto"/>
            <w:shd w:val="clear" w:color="auto" w:fill="auto"/>
          </w:tcPr>
          <w:p w14:paraId="5ADF23D5" w14:textId="77777777" w:rsidR="008C5CFA" w:rsidRPr="009143B4" w:rsidRDefault="00E82A60" w:rsidP="00300A01">
            <w:pPr>
              <w:spacing w:before="0" w:after="0"/>
              <w:rPr>
                <w:b/>
                <w:sz w:val="16"/>
                <w:szCs w:val="16"/>
                <w:lang w:val="fr-BE"/>
              </w:rPr>
            </w:pPr>
            <w:r w:rsidRPr="009143B4">
              <w:rPr>
                <w:b/>
                <w:noProof/>
                <w:sz w:val="16"/>
                <w:szCs w:val="16"/>
                <w:lang w:val="fr-BE"/>
              </w:rPr>
              <w:t>Kategoria regionu</w:t>
            </w:r>
          </w:p>
        </w:tc>
        <w:tc>
          <w:tcPr>
            <w:tcW w:w="0" w:type="auto"/>
            <w:shd w:val="clear" w:color="auto" w:fill="auto"/>
          </w:tcPr>
          <w:p w14:paraId="3D6E84FC" w14:textId="77777777" w:rsidR="008C5CFA" w:rsidRPr="009143B4" w:rsidRDefault="00E82A60" w:rsidP="00300A01">
            <w:pPr>
              <w:spacing w:before="0" w:after="0"/>
              <w:jc w:val="center"/>
              <w:rPr>
                <w:b/>
                <w:sz w:val="16"/>
                <w:szCs w:val="16"/>
                <w:lang w:val="fr-BE"/>
              </w:rPr>
            </w:pPr>
            <w:r w:rsidRPr="009143B4">
              <w:rPr>
                <w:b/>
                <w:noProof/>
                <w:sz w:val="16"/>
                <w:szCs w:val="16"/>
                <w:lang w:val="fr-BE"/>
              </w:rPr>
              <w:t>Wartość docelowa (2023) ogółem</w:t>
            </w:r>
          </w:p>
        </w:tc>
        <w:tc>
          <w:tcPr>
            <w:tcW w:w="0" w:type="auto"/>
            <w:shd w:val="clear" w:color="auto" w:fill="auto"/>
          </w:tcPr>
          <w:p w14:paraId="53F092E2" w14:textId="77777777" w:rsidR="008C5CFA" w:rsidRPr="009143B4" w:rsidRDefault="00E82A60" w:rsidP="00300A01">
            <w:pPr>
              <w:spacing w:before="0" w:after="0"/>
              <w:jc w:val="center"/>
              <w:rPr>
                <w:b/>
                <w:sz w:val="16"/>
                <w:szCs w:val="16"/>
                <w:lang w:val="fr-BE"/>
              </w:rPr>
            </w:pPr>
            <w:r w:rsidRPr="009143B4">
              <w:rPr>
                <w:b/>
                <w:noProof/>
                <w:sz w:val="16"/>
                <w:szCs w:val="16"/>
                <w:lang w:val="fr-BE"/>
              </w:rPr>
              <w:t>Wartość docelowa (2023) mężczyźni</w:t>
            </w:r>
          </w:p>
        </w:tc>
        <w:tc>
          <w:tcPr>
            <w:tcW w:w="0" w:type="auto"/>
          </w:tcPr>
          <w:p w14:paraId="4F3FD20D" w14:textId="77777777" w:rsidR="008C5CFA" w:rsidRPr="009143B4" w:rsidRDefault="00E82A60" w:rsidP="00300A01">
            <w:pPr>
              <w:spacing w:before="0" w:after="0"/>
              <w:jc w:val="center"/>
              <w:rPr>
                <w:b/>
                <w:sz w:val="16"/>
                <w:szCs w:val="16"/>
                <w:lang w:val="fr-BE"/>
              </w:rPr>
            </w:pPr>
            <w:r w:rsidRPr="009143B4">
              <w:rPr>
                <w:b/>
                <w:noProof/>
                <w:sz w:val="16"/>
                <w:szCs w:val="16"/>
                <w:lang w:val="fr-BE"/>
              </w:rPr>
              <w:t>Wartość docelowa (2023) kobiety</w:t>
            </w:r>
          </w:p>
        </w:tc>
        <w:tc>
          <w:tcPr>
            <w:tcW w:w="0" w:type="auto"/>
            <w:shd w:val="clear" w:color="auto" w:fill="auto"/>
          </w:tcPr>
          <w:p w14:paraId="5E6A106B" w14:textId="77777777" w:rsidR="008C5CFA" w:rsidRPr="009143B4" w:rsidRDefault="00E82A60" w:rsidP="00300A01">
            <w:pPr>
              <w:spacing w:before="0" w:after="0"/>
              <w:jc w:val="center"/>
              <w:rPr>
                <w:b/>
                <w:sz w:val="16"/>
                <w:szCs w:val="16"/>
                <w:lang w:val="fr-BE"/>
              </w:rPr>
            </w:pPr>
            <w:r>
              <w:rPr>
                <w:b/>
                <w:sz w:val="16"/>
                <w:szCs w:val="16"/>
                <w:lang w:val="fr-BE"/>
              </w:rPr>
              <w:t xml:space="preserve">2019 </w:t>
            </w:r>
            <w:r w:rsidRPr="009143B4">
              <w:rPr>
                <w:b/>
                <w:noProof/>
                <w:sz w:val="16"/>
                <w:szCs w:val="16"/>
                <w:lang w:val="fr-BE"/>
              </w:rPr>
              <w:t>Ogółem</w:t>
            </w:r>
          </w:p>
        </w:tc>
        <w:tc>
          <w:tcPr>
            <w:tcW w:w="0" w:type="auto"/>
            <w:shd w:val="clear" w:color="auto" w:fill="auto"/>
          </w:tcPr>
          <w:p w14:paraId="2604AE97" w14:textId="77777777" w:rsidR="008C5CFA" w:rsidRPr="009143B4" w:rsidRDefault="00E82A60" w:rsidP="00300A01">
            <w:pPr>
              <w:spacing w:before="0" w:after="0"/>
              <w:jc w:val="center"/>
              <w:rPr>
                <w:b/>
                <w:sz w:val="16"/>
                <w:szCs w:val="16"/>
                <w:lang w:val="fr-BE"/>
              </w:rPr>
            </w:pPr>
            <w:r>
              <w:rPr>
                <w:b/>
                <w:sz w:val="16"/>
                <w:szCs w:val="16"/>
                <w:lang w:val="fr-BE"/>
              </w:rPr>
              <w:t xml:space="preserve">2019 </w:t>
            </w:r>
            <w:r w:rsidRPr="009143B4">
              <w:rPr>
                <w:b/>
                <w:noProof/>
                <w:sz w:val="16"/>
                <w:szCs w:val="16"/>
                <w:lang w:val="fr-BE"/>
              </w:rPr>
              <w:t>Mężczyźni</w:t>
            </w:r>
          </w:p>
        </w:tc>
        <w:tc>
          <w:tcPr>
            <w:tcW w:w="0" w:type="auto"/>
            <w:shd w:val="clear" w:color="auto" w:fill="auto"/>
          </w:tcPr>
          <w:p w14:paraId="1CAAA8E8" w14:textId="77777777" w:rsidR="008C5CFA" w:rsidRPr="009143B4" w:rsidRDefault="00E82A60" w:rsidP="00300A01">
            <w:pPr>
              <w:spacing w:before="0" w:after="0"/>
              <w:jc w:val="center"/>
              <w:rPr>
                <w:b/>
                <w:sz w:val="16"/>
                <w:szCs w:val="16"/>
                <w:lang w:val="fr-BE"/>
              </w:rPr>
            </w:pPr>
            <w:r>
              <w:rPr>
                <w:b/>
                <w:sz w:val="16"/>
                <w:szCs w:val="16"/>
                <w:lang w:val="fr-BE"/>
              </w:rPr>
              <w:t xml:space="preserve">2019 </w:t>
            </w:r>
            <w:r w:rsidRPr="009143B4">
              <w:rPr>
                <w:b/>
                <w:noProof/>
                <w:sz w:val="16"/>
                <w:szCs w:val="16"/>
                <w:lang w:val="fr-BE"/>
              </w:rPr>
              <w:t>Kobiety</w:t>
            </w:r>
          </w:p>
        </w:tc>
        <w:tc>
          <w:tcPr>
            <w:tcW w:w="0" w:type="auto"/>
            <w:shd w:val="clear" w:color="auto" w:fill="auto"/>
          </w:tcPr>
          <w:p w14:paraId="5A1E7BC9" w14:textId="77777777" w:rsidR="008C5CFA" w:rsidRPr="009143B4" w:rsidRDefault="00E82A60" w:rsidP="00300A01">
            <w:pPr>
              <w:spacing w:before="0" w:after="0"/>
              <w:jc w:val="center"/>
              <w:rPr>
                <w:b/>
                <w:sz w:val="16"/>
                <w:szCs w:val="16"/>
                <w:lang w:val="fr-BE"/>
              </w:rPr>
            </w:pPr>
            <w:r w:rsidRPr="009143B4">
              <w:rPr>
                <w:b/>
                <w:noProof/>
                <w:sz w:val="16"/>
                <w:szCs w:val="16"/>
                <w:lang w:val="fr-BE"/>
              </w:rPr>
              <w:t>Uwagi</w:t>
            </w:r>
          </w:p>
        </w:tc>
      </w:tr>
      <w:tr w:rsidR="006B2EC1" w14:paraId="43D3B04A" w14:textId="77777777" w:rsidTr="0047688D">
        <w:tc>
          <w:tcPr>
            <w:tcW w:w="0" w:type="auto"/>
          </w:tcPr>
          <w:p w14:paraId="634329FD" w14:textId="77777777" w:rsidR="008C5CFA" w:rsidRPr="0024468B" w:rsidRDefault="00E82A60" w:rsidP="00300A01">
            <w:pPr>
              <w:spacing w:before="0" w:after="0"/>
              <w:rPr>
                <w:sz w:val="16"/>
                <w:szCs w:val="16"/>
                <w:lang w:val="fr-BE"/>
              </w:rPr>
            </w:pPr>
            <w:r>
              <w:rPr>
                <w:noProof/>
                <w:sz w:val="16"/>
                <w:szCs w:val="16"/>
                <w:lang w:val="fr-BE"/>
              </w:rPr>
              <w:t>F</w:t>
            </w:r>
          </w:p>
        </w:tc>
        <w:tc>
          <w:tcPr>
            <w:tcW w:w="0" w:type="auto"/>
            <w:shd w:val="clear" w:color="auto" w:fill="auto"/>
          </w:tcPr>
          <w:p w14:paraId="22AEAFA5" w14:textId="77777777" w:rsidR="008C5CFA" w:rsidRPr="0024468B" w:rsidRDefault="00E82A60" w:rsidP="00300A01">
            <w:pPr>
              <w:spacing w:before="0" w:after="0"/>
              <w:rPr>
                <w:sz w:val="16"/>
                <w:szCs w:val="16"/>
                <w:lang w:val="fr-BE"/>
              </w:rPr>
            </w:pPr>
            <w:r>
              <w:rPr>
                <w:noProof/>
                <w:sz w:val="16"/>
                <w:szCs w:val="16"/>
                <w:lang w:val="fr-BE"/>
              </w:rPr>
              <w:t>030</w:t>
            </w:r>
          </w:p>
        </w:tc>
        <w:tc>
          <w:tcPr>
            <w:tcW w:w="0" w:type="auto"/>
            <w:shd w:val="clear" w:color="auto" w:fill="auto"/>
          </w:tcPr>
          <w:p w14:paraId="22951387" w14:textId="77777777" w:rsidR="008C5CFA" w:rsidRPr="0024468B" w:rsidRDefault="00E82A60" w:rsidP="00300A01">
            <w:pPr>
              <w:spacing w:before="0" w:after="0"/>
              <w:rPr>
                <w:sz w:val="16"/>
                <w:szCs w:val="16"/>
                <w:lang w:val="fr-BE"/>
              </w:rPr>
            </w:pPr>
            <w:r>
              <w:rPr>
                <w:noProof/>
                <w:sz w:val="16"/>
                <w:szCs w:val="16"/>
                <w:lang w:val="fr-BE"/>
              </w:rPr>
              <w:t>Liczba przebudowanych  zakładów zagospodarowania odpadów</w:t>
            </w:r>
          </w:p>
        </w:tc>
        <w:tc>
          <w:tcPr>
            <w:tcW w:w="0" w:type="auto"/>
            <w:shd w:val="clear" w:color="auto" w:fill="auto"/>
          </w:tcPr>
          <w:p w14:paraId="4C1AD990" w14:textId="77777777" w:rsidR="008C5CFA" w:rsidRPr="0024468B" w:rsidRDefault="00E82A60" w:rsidP="00300A01">
            <w:pPr>
              <w:spacing w:before="0" w:after="0"/>
              <w:rPr>
                <w:sz w:val="16"/>
                <w:szCs w:val="16"/>
                <w:lang w:val="fr-BE"/>
              </w:rPr>
            </w:pPr>
            <w:r w:rsidRPr="0024468B">
              <w:rPr>
                <w:noProof/>
                <w:sz w:val="16"/>
                <w:szCs w:val="16"/>
                <w:lang w:val="fr-BE"/>
              </w:rPr>
              <w:t>szt.</w:t>
            </w:r>
          </w:p>
        </w:tc>
        <w:tc>
          <w:tcPr>
            <w:tcW w:w="0" w:type="auto"/>
            <w:shd w:val="clear" w:color="auto" w:fill="auto"/>
          </w:tcPr>
          <w:p w14:paraId="3D195A01" w14:textId="77777777" w:rsidR="008C5CFA" w:rsidRPr="0024468B" w:rsidRDefault="00E82A60"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14:paraId="109EB966" w14:textId="77777777" w:rsidR="008C5CFA" w:rsidRPr="0024468B" w:rsidRDefault="00E82A60" w:rsidP="00300A01">
            <w:pPr>
              <w:spacing w:before="0" w:after="0"/>
              <w:jc w:val="right"/>
              <w:rPr>
                <w:sz w:val="16"/>
                <w:szCs w:val="16"/>
                <w:lang w:val="fr-BE"/>
              </w:rPr>
            </w:pPr>
            <w:r>
              <w:rPr>
                <w:noProof/>
                <w:sz w:val="16"/>
                <w:szCs w:val="16"/>
                <w:lang w:val="fr-BE"/>
              </w:rPr>
              <w:t>2,00</w:t>
            </w:r>
          </w:p>
        </w:tc>
        <w:tc>
          <w:tcPr>
            <w:tcW w:w="0" w:type="auto"/>
            <w:shd w:val="clear" w:color="auto" w:fill="auto"/>
          </w:tcPr>
          <w:p w14:paraId="343B3A26" w14:textId="77777777" w:rsidR="008C5CFA" w:rsidRPr="0024468B" w:rsidRDefault="008C5CFA" w:rsidP="00300A01">
            <w:pPr>
              <w:spacing w:before="0" w:after="0"/>
              <w:jc w:val="right"/>
              <w:rPr>
                <w:sz w:val="16"/>
                <w:szCs w:val="16"/>
                <w:lang w:val="fr-BE"/>
              </w:rPr>
            </w:pPr>
          </w:p>
        </w:tc>
        <w:tc>
          <w:tcPr>
            <w:tcW w:w="0" w:type="auto"/>
          </w:tcPr>
          <w:p w14:paraId="5F329134" w14:textId="77777777" w:rsidR="008C5CFA" w:rsidRPr="0024468B" w:rsidRDefault="008C5CFA" w:rsidP="00300A01">
            <w:pPr>
              <w:spacing w:before="0" w:after="0"/>
              <w:jc w:val="right"/>
              <w:rPr>
                <w:sz w:val="16"/>
                <w:szCs w:val="16"/>
                <w:lang w:val="fr-BE"/>
              </w:rPr>
            </w:pPr>
          </w:p>
        </w:tc>
        <w:tc>
          <w:tcPr>
            <w:tcW w:w="0" w:type="auto"/>
            <w:shd w:val="clear" w:color="auto" w:fill="auto"/>
          </w:tcPr>
          <w:p w14:paraId="31F96A15"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48677A93"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44D6362A"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68E8BE26" w14:textId="77777777" w:rsidR="008C5CFA" w:rsidRPr="0024468B" w:rsidRDefault="008C5CFA" w:rsidP="00300A01">
            <w:pPr>
              <w:spacing w:before="0" w:after="0"/>
              <w:rPr>
                <w:sz w:val="16"/>
                <w:szCs w:val="16"/>
                <w:lang w:val="fr-BE"/>
              </w:rPr>
            </w:pPr>
          </w:p>
        </w:tc>
      </w:tr>
      <w:tr w:rsidR="006B2EC1" w14:paraId="6D9CA8E0" w14:textId="77777777" w:rsidTr="0047688D">
        <w:tc>
          <w:tcPr>
            <w:tcW w:w="0" w:type="auto"/>
          </w:tcPr>
          <w:p w14:paraId="2B1EE3B8" w14:textId="77777777" w:rsidR="008C5CFA" w:rsidRPr="0024468B" w:rsidRDefault="00E82A60" w:rsidP="00300A01">
            <w:pPr>
              <w:spacing w:before="0" w:after="0"/>
              <w:rPr>
                <w:sz w:val="16"/>
                <w:szCs w:val="16"/>
                <w:lang w:val="fr-BE"/>
              </w:rPr>
            </w:pPr>
            <w:r>
              <w:rPr>
                <w:noProof/>
                <w:sz w:val="16"/>
                <w:szCs w:val="16"/>
                <w:lang w:val="fr-BE"/>
              </w:rPr>
              <w:t>S</w:t>
            </w:r>
          </w:p>
        </w:tc>
        <w:tc>
          <w:tcPr>
            <w:tcW w:w="0" w:type="auto"/>
            <w:shd w:val="clear" w:color="auto" w:fill="auto"/>
          </w:tcPr>
          <w:p w14:paraId="5B12E5B4" w14:textId="77777777" w:rsidR="008C5CFA" w:rsidRPr="0024468B" w:rsidRDefault="00E82A60" w:rsidP="00300A01">
            <w:pPr>
              <w:spacing w:before="0" w:after="0"/>
              <w:rPr>
                <w:sz w:val="16"/>
                <w:szCs w:val="16"/>
                <w:lang w:val="fr-BE"/>
              </w:rPr>
            </w:pPr>
            <w:r>
              <w:rPr>
                <w:noProof/>
                <w:sz w:val="16"/>
                <w:szCs w:val="16"/>
                <w:lang w:val="fr-BE"/>
              </w:rPr>
              <w:t>030</w:t>
            </w:r>
          </w:p>
        </w:tc>
        <w:tc>
          <w:tcPr>
            <w:tcW w:w="0" w:type="auto"/>
            <w:shd w:val="clear" w:color="auto" w:fill="auto"/>
          </w:tcPr>
          <w:p w14:paraId="7F031EC0" w14:textId="77777777" w:rsidR="008C5CFA" w:rsidRPr="0024468B" w:rsidRDefault="00E82A60" w:rsidP="00300A01">
            <w:pPr>
              <w:spacing w:before="0" w:after="0"/>
              <w:rPr>
                <w:sz w:val="16"/>
                <w:szCs w:val="16"/>
                <w:lang w:val="fr-BE"/>
              </w:rPr>
            </w:pPr>
            <w:r>
              <w:rPr>
                <w:noProof/>
                <w:sz w:val="16"/>
                <w:szCs w:val="16"/>
                <w:lang w:val="fr-BE"/>
              </w:rPr>
              <w:t>Liczba przebudowanych  zakładów zagospodarowania odpadów</w:t>
            </w:r>
          </w:p>
        </w:tc>
        <w:tc>
          <w:tcPr>
            <w:tcW w:w="0" w:type="auto"/>
            <w:shd w:val="clear" w:color="auto" w:fill="auto"/>
          </w:tcPr>
          <w:p w14:paraId="35BFAF53" w14:textId="77777777" w:rsidR="008C5CFA" w:rsidRPr="0024468B" w:rsidRDefault="00E82A60" w:rsidP="00300A01">
            <w:pPr>
              <w:spacing w:before="0" w:after="0"/>
              <w:rPr>
                <w:sz w:val="16"/>
                <w:szCs w:val="16"/>
                <w:lang w:val="fr-BE"/>
              </w:rPr>
            </w:pPr>
            <w:r w:rsidRPr="0024468B">
              <w:rPr>
                <w:noProof/>
                <w:sz w:val="16"/>
                <w:szCs w:val="16"/>
                <w:lang w:val="fr-BE"/>
              </w:rPr>
              <w:t>szt.</w:t>
            </w:r>
          </w:p>
        </w:tc>
        <w:tc>
          <w:tcPr>
            <w:tcW w:w="0" w:type="auto"/>
            <w:shd w:val="clear" w:color="auto" w:fill="auto"/>
          </w:tcPr>
          <w:p w14:paraId="15B5DB7F" w14:textId="77777777" w:rsidR="008C5CFA" w:rsidRPr="0024468B" w:rsidRDefault="00E82A60"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14:paraId="7CB25087" w14:textId="77777777" w:rsidR="008C5CFA" w:rsidRPr="0024468B" w:rsidRDefault="00E82A60" w:rsidP="00300A01">
            <w:pPr>
              <w:spacing w:before="0" w:after="0"/>
              <w:jc w:val="right"/>
              <w:rPr>
                <w:sz w:val="16"/>
                <w:szCs w:val="16"/>
                <w:lang w:val="fr-BE"/>
              </w:rPr>
            </w:pPr>
            <w:r>
              <w:rPr>
                <w:noProof/>
                <w:sz w:val="16"/>
                <w:szCs w:val="16"/>
                <w:lang w:val="fr-BE"/>
              </w:rPr>
              <w:t>2,00</w:t>
            </w:r>
          </w:p>
        </w:tc>
        <w:tc>
          <w:tcPr>
            <w:tcW w:w="0" w:type="auto"/>
            <w:shd w:val="clear" w:color="auto" w:fill="auto"/>
          </w:tcPr>
          <w:p w14:paraId="5FC8507D" w14:textId="77777777" w:rsidR="008C5CFA" w:rsidRPr="0024468B" w:rsidRDefault="008C5CFA" w:rsidP="00300A01">
            <w:pPr>
              <w:spacing w:before="0" w:after="0"/>
              <w:jc w:val="right"/>
              <w:rPr>
                <w:sz w:val="16"/>
                <w:szCs w:val="16"/>
                <w:lang w:val="fr-BE"/>
              </w:rPr>
            </w:pPr>
          </w:p>
        </w:tc>
        <w:tc>
          <w:tcPr>
            <w:tcW w:w="0" w:type="auto"/>
          </w:tcPr>
          <w:p w14:paraId="22C4B895" w14:textId="77777777" w:rsidR="008C5CFA" w:rsidRPr="0024468B" w:rsidRDefault="008C5CFA" w:rsidP="00300A01">
            <w:pPr>
              <w:spacing w:before="0" w:after="0"/>
              <w:jc w:val="right"/>
              <w:rPr>
                <w:sz w:val="16"/>
                <w:szCs w:val="16"/>
                <w:lang w:val="fr-BE"/>
              </w:rPr>
            </w:pPr>
          </w:p>
        </w:tc>
        <w:tc>
          <w:tcPr>
            <w:tcW w:w="0" w:type="auto"/>
            <w:shd w:val="clear" w:color="auto" w:fill="auto"/>
          </w:tcPr>
          <w:p w14:paraId="6FE9F88E" w14:textId="77777777" w:rsidR="008C5CFA" w:rsidRPr="0024468B" w:rsidRDefault="00E82A60" w:rsidP="00300A01">
            <w:pPr>
              <w:spacing w:before="0" w:after="0"/>
              <w:jc w:val="right"/>
              <w:rPr>
                <w:sz w:val="16"/>
                <w:szCs w:val="16"/>
                <w:lang w:val="fr-BE"/>
              </w:rPr>
            </w:pPr>
            <w:r w:rsidRPr="0024468B">
              <w:rPr>
                <w:noProof/>
                <w:sz w:val="16"/>
                <w:szCs w:val="16"/>
                <w:lang w:val="fr-BE"/>
              </w:rPr>
              <w:t>2,00</w:t>
            </w:r>
          </w:p>
        </w:tc>
        <w:tc>
          <w:tcPr>
            <w:tcW w:w="0" w:type="auto"/>
            <w:shd w:val="clear" w:color="auto" w:fill="auto"/>
          </w:tcPr>
          <w:p w14:paraId="7DF143E9"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2BC74A3E"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1777E519" w14:textId="77777777" w:rsidR="008C5CFA" w:rsidRPr="0024468B" w:rsidRDefault="008C5CFA" w:rsidP="00300A01">
            <w:pPr>
              <w:spacing w:before="0" w:after="0"/>
              <w:rPr>
                <w:sz w:val="16"/>
                <w:szCs w:val="16"/>
                <w:lang w:val="fr-BE"/>
              </w:rPr>
            </w:pPr>
          </w:p>
        </w:tc>
      </w:tr>
      <w:tr w:rsidR="006B2EC1" w14:paraId="5974C83B" w14:textId="77777777" w:rsidTr="0047688D">
        <w:tc>
          <w:tcPr>
            <w:tcW w:w="0" w:type="auto"/>
          </w:tcPr>
          <w:p w14:paraId="2E078D71" w14:textId="77777777" w:rsidR="008C5CFA" w:rsidRPr="0024468B" w:rsidRDefault="00E82A60" w:rsidP="00300A01">
            <w:pPr>
              <w:spacing w:before="0" w:after="0"/>
              <w:rPr>
                <w:sz w:val="16"/>
                <w:szCs w:val="16"/>
                <w:lang w:val="fr-BE"/>
              </w:rPr>
            </w:pPr>
            <w:r>
              <w:rPr>
                <w:noProof/>
                <w:sz w:val="16"/>
                <w:szCs w:val="16"/>
                <w:lang w:val="fr-BE"/>
              </w:rPr>
              <w:t>F</w:t>
            </w:r>
          </w:p>
        </w:tc>
        <w:tc>
          <w:tcPr>
            <w:tcW w:w="0" w:type="auto"/>
            <w:shd w:val="clear" w:color="auto" w:fill="auto"/>
          </w:tcPr>
          <w:p w14:paraId="72C9E976" w14:textId="77777777" w:rsidR="008C5CFA" w:rsidRPr="0024468B" w:rsidRDefault="00E82A60" w:rsidP="00300A01">
            <w:pPr>
              <w:spacing w:before="0" w:after="0"/>
              <w:rPr>
                <w:sz w:val="16"/>
                <w:szCs w:val="16"/>
                <w:lang w:val="fr-BE"/>
              </w:rPr>
            </w:pPr>
            <w:r>
              <w:rPr>
                <w:noProof/>
                <w:sz w:val="16"/>
                <w:szCs w:val="16"/>
                <w:lang w:val="fr-BE"/>
              </w:rPr>
              <w:t>031</w:t>
            </w:r>
          </w:p>
        </w:tc>
        <w:tc>
          <w:tcPr>
            <w:tcW w:w="0" w:type="auto"/>
            <w:shd w:val="clear" w:color="auto" w:fill="auto"/>
          </w:tcPr>
          <w:p w14:paraId="470E43A9" w14:textId="77777777" w:rsidR="008C5CFA" w:rsidRPr="0024468B" w:rsidRDefault="00E82A60" w:rsidP="00300A01">
            <w:pPr>
              <w:spacing w:before="0" w:after="0"/>
              <w:rPr>
                <w:sz w:val="16"/>
                <w:szCs w:val="16"/>
                <w:lang w:val="fr-BE"/>
              </w:rPr>
            </w:pPr>
            <w:r>
              <w:rPr>
                <w:noProof/>
                <w:sz w:val="16"/>
                <w:szCs w:val="16"/>
                <w:lang w:val="fr-BE"/>
              </w:rPr>
              <w:t>Liczba wspartych Punktów Selektywnego Zbierania Odpadów Komunalnych</w:t>
            </w:r>
          </w:p>
        </w:tc>
        <w:tc>
          <w:tcPr>
            <w:tcW w:w="0" w:type="auto"/>
            <w:shd w:val="clear" w:color="auto" w:fill="auto"/>
          </w:tcPr>
          <w:p w14:paraId="09468489" w14:textId="77777777" w:rsidR="008C5CFA" w:rsidRPr="0024468B" w:rsidRDefault="00E82A60" w:rsidP="00300A01">
            <w:pPr>
              <w:spacing w:before="0" w:after="0"/>
              <w:rPr>
                <w:sz w:val="16"/>
                <w:szCs w:val="16"/>
                <w:lang w:val="fr-BE"/>
              </w:rPr>
            </w:pPr>
            <w:r w:rsidRPr="0024468B">
              <w:rPr>
                <w:noProof/>
                <w:sz w:val="16"/>
                <w:szCs w:val="16"/>
                <w:lang w:val="fr-BE"/>
              </w:rPr>
              <w:t>szt.</w:t>
            </w:r>
          </w:p>
        </w:tc>
        <w:tc>
          <w:tcPr>
            <w:tcW w:w="0" w:type="auto"/>
            <w:shd w:val="clear" w:color="auto" w:fill="auto"/>
          </w:tcPr>
          <w:p w14:paraId="715742F3" w14:textId="77777777" w:rsidR="008C5CFA" w:rsidRPr="0024468B" w:rsidRDefault="00E82A60"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14:paraId="3BB0538C" w14:textId="77777777" w:rsidR="008C5CFA" w:rsidRPr="0024468B" w:rsidRDefault="00E82A60" w:rsidP="00300A01">
            <w:pPr>
              <w:spacing w:before="0" w:after="0"/>
              <w:jc w:val="right"/>
              <w:rPr>
                <w:sz w:val="16"/>
                <w:szCs w:val="16"/>
                <w:lang w:val="fr-BE"/>
              </w:rPr>
            </w:pPr>
            <w:r>
              <w:rPr>
                <w:noProof/>
                <w:sz w:val="16"/>
                <w:szCs w:val="16"/>
                <w:lang w:val="fr-BE"/>
              </w:rPr>
              <w:t>10,00</w:t>
            </w:r>
          </w:p>
        </w:tc>
        <w:tc>
          <w:tcPr>
            <w:tcW w:w="0" w:type="auto"/>
            <w:shd w:val="clear" w:color="auto" w:fill="auto"/>
          </w:tcPr>
          <w:p w14:paraId="7681F1A8" w14:textId="77777777" w:rsidR="008C5CFA" w:rsidRPr="0024468B" w:rsidRDefault="008C5CFA" w:rsidP="00300A01">
            <w:pPr>
              <w:spacing w:before="0" w:after="0"/>
              <w:jc w:val="right"/>
              <w:rPr>
                <w:sz w:val="16"/>
                <w:szCs w:val="16"/>
                <w:lang w:val="fr-BE"/>
              </w:rPr>
            </w:pPr>
          </w:p>
        </w:tc>
        <w:tc>
          <w:tcPr>
            <w:tcW w:w="0" w:type="auto"/>
          </w:tcPr>
          <w:p w14:paraId="7220A507" w14:textId="77777777" w:rsidR="008C5CFA" w:rsidRPr="0024468B" w:rsidRDefault="008C5CFA" w:rsidP="00300A01">
            <w:pPr>
              <w:spacing w:before="0" w:after="0"/>
              <w:jc w:val="right"/>
              <w:rPr>
                <w:sz w:val="16"/>
                <w:szCs w:val="16"/>
                <w:lang w:val="fr-BE"/>
              </w:rPr>
            </w:pPr>
          </w:p>
        </w:tc>
        <w:tc>
          <w:tcPr>
            <w:tcW w:w="0" w:type="auto"/>
            <w:shd w:val="clear" w:color="auto" w:fill="auto"/>
          </w:tcPr>
          <w:p w14:paraId="6967E611" w14:textId="77777777" w:rsidR="008C5CFA" w:rsidRPr="0024468B" w:rsidRDefault="00E82A60" w:rsidP="00300A01">
            <w:pPr>
              <w:spacing w:before="0" w:after="0"/>
              <w:jc w:val="right"/>
              <w:rPr>
                <w:sz w:val="16"/>
                <w:szCs w:val="16"/>
                <w:lang w:val="fr-BE"/>
              </w:rPr>
            </w:pPr>
            <w:r w:rsidRPr="0024468B">
              <w:rPr>
                <w:noProof/>
                <w:sz w:val="16"/>
                <w:szCs w:val="16"/>
                <w:lang w:val="fr-BE"/>
              </w:rPr>
              <w:t>3,00</w:t>
            </w:r>
          </w:p>
        </w:tc>
        <w:tc>
          <w:tcPr>
            <w:tcW w:w="0" w:type="auto"/>
            <w:shd w:val="clear" w:color="auto" w:fill="auto"/>
          </w:tcPr>
          <w:p w14:paraId="51F20300"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4C69F542"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17F2D226" w14:textId="77777777" w:rsidR="008C5CFA" w:rsidRPr="0024468B" w:rsidRDefault="008C5CFA" w:rsidP="00300A01">
            <w:pPr>
              <w:spacing w:before="0" w:after="0"/>
              <w:rPr>
                <w:sz w:val="16"/>
                <w:szCs w:val="16"/>
                <w:lang w:val="fr-BE"/>
              </w:rPr>
            </w:pPr>
          </w:p>
        </w:tc>
      </w:tr>
      <w:tr w:rsidR="006B2EC1" w14:paraId="5D22D799" w14:textId="77777777" w:rsidTr="0047688D">
        <w:tc>
          <w:tcPr>
            <w:tcW w:w="0" w:type="auto"/>
          </w:tcPr>
          <w:p w14:paraId="703263C3" w14:textId="77777777" w:rsidR="008C5CFA" w:rsidRPr="0024468B" w:rsidRDefault="00E82A60" w:rsidP="00300A01">
            <w:pPr>
              <w:spacing w:before="0" w:after="0"/>
              <w:rPr>
                <w:sz w:val="16"/>
                <w:szCs w:val="16"/>
                <w:lang w:val="fr-BE"/>
              </w:rPr>
            </w:pPr>
            <w:r>
              <w:rPr>
                <w:noProof/>
                <w:sz w:val="16"/>
                <w:szCs w:val="16"/>
                <w:lang w:val="fr-BE"/>
              </w:rPr>
              <w:t>S</w:t>
            </w:r>
          </w:p>
        </w:tc>
        <w:tc>
          <w:tcPr>
            <w:tcW w:w="0" w:type="auto"/>
            <w:shd w:val="clear" w:color="auto" w:fill="auto"/>
          </w:tcPr>
          <w:p w14:paraId="582A11FF" w14:textId="77777777" w:rsidR="008C5CFA" w:rsidRPr="0024468B" w:rsidRDefault="00E82A60" w:rsidP="00300A01">
            <w:pPr>
              <w:spacing w:before="0" w:after="0"/>
              <w:rPr>
                <w:sz w:val="16"/>
                <w:szCs w:val="16"/>
                <w:lang w:val="fr-BE"/>
              </w:rPr>
            </w:pPr>
            <w:r>
              <w:rPr>
                <w:noProof/>
                <w:sz w:val="16"/>
                <w:szCs w:val="16"/>
                <w:lang w:val="fr-BE"/>
              </w:rPr>
              <w:t>031</w:t>
            </w:r>
          </w:p>
        </w:tc>
        <w:tc>
          <w:tcPr>
            <w:tcW w:w="0" w:type="auto"/>
            <w:shd w:val="clear" w:color="auto" w:fill="auto"/>
          </w:tcPr>
          <w:p w14:paraId="61013BAD" w14:textId="77777777" w:rsidR="008C5CFA" w:rsidRPr="0024468B" w:rsidRDefault="00E82A60" w:rsidP="00300A01">
            <w:pPr>
              <w:spacing w:before="0" w:after="0"/>
              <w:rPr>
                <w:sz w:val="16"/>
                <w:szCs w:val="16"/>
                <w:lang w:val="fr-BE"/>
              </w:rPr>
            </w:pPr>
            <w:r>
              <w:rPr>
                <w:noProof/>
                <w:sz w:val="16"/>
                <w:szCs w:val="16"/>
                <w:lang w:val="fr-BE"/>
              </w:rPr>
              <w:t>Liczba wspartych Punktów Selektywnego Zbierania Odpadów Komunalnych</w:t>
            </w:r>
          </w:p>
        </w:tc>
        <w:tc>
          <w:tcPr>
            <w:tcW w:w="0" w:type="auto"/>
            <w:shd w:val="clear" w:color="auto" w:fill="auto"/>
          </w:tcPr>
          <w:p w14:paraId="075B461A" w14:textId="77777777" w:rsidR="008C5CFA" w:rsidRPr="0024468B" w:rsidRDefault="00E82A60" w:rsidP="00300A01">
            <w:pPr>
              <w:spacing w:before="0" w:after="0"/>
              <w:rPr>
                <w:sz w:val="16"/>
                <w:szCs w:val="16"/>
                <w:lang w:val="fr-BE"/>
              </w:rPr>
            </w:pPr>
            <w:r w:rsidRPr="0024468B">
              <w:rPr>
                <w:noProof/>
                <w:sz w:val="16"/>
                <w:szCs w:val="16"/>
                <w:lang w:val="fr-BE"/>
              </w:rPr>
              <w:t>szt.</w:t>
            </w:r>
          </w:p>
        </w:tc>
        <w:tc>
          <w:tcPr>
            <w:tcW w:w="0" w:type="auto"/>
            <w:shd w:val="clear" w:color="auto" w:fill="auto"/>
          </w:tcPr>
          <w:p w14:paraId="539CF649" w14:textId="77777777" w:rsidR="008C5CFA" w:rsidRPr="0024468B" w:rsidRDefault="00E82A60"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14:paraId="47A13A1E" w14:textId="77777777" w:rsidR="008C5CFA" w:rsidRPr="0024468B" w:rsidRDefault="00E82A60" w:rsidP="00300A01">
            <w:pPr>
              <w:spacing w:before="0" w:after="0"/>
              <w:jc w:val="right"/>
              <w:rPr>
                <w:sz w:val="16"/>
                <w:szCs w:val="16"/>
                <w:lang w:val="fr-BE"/>
              </w:rPr>
            </w:pPr>
            <w:r>
              <w:rPr>
                <w:noProof/>
                <w:sz w:val="16"/>
                <w:szCs w:val="16"/>
                <w:lang w:val="fr-BE"/>
              </w:rPr>
              <w:t>10,00</w:t>
            </w:r>
          </w:p>
        </w:tc>
        <w:tc>
          <w:tcPr>
            <w:tcW w:w="0" w:type="auto"/>
            <w:shd w:val="clear" w:color="auto" w:fill="auto"/>
          </w:tcPr>
          <w:p w14:paraId="0F3F6472" w14:textId="77777777" w:rsidR="008C5CFA" w:rsidRPr="0024468B" w:rsidRDefault="008C5CFA" w:rsidP="00300A01">
            <w:pPr>
              <w:spacing w:before="0" w:after="0"/>
              <w:jc w:val="right"/>
              <w:rPr>
                <w:sz w:val="16"/>
                <w:szCs w:val="16"/>
                <w:lang w:val="fr-BE"/>
              </w:rPr>
            </w:pPr>
          </w:p>
        </w:tc>
        <w:tc>
          <w:tcPr>
            <w:tcW w:w="0" w:type="auto"/>
          </w:tcPr>
          <w:p w14:paraId="0DFD3133" w14:textId="77777777" w:rsidR="008C5CFA" w:rsidRPr="0024468B" w:rsidRDefault="008C5CFA" w:rsidP="00300A01">
            <w:pPr>
              <w:spacing w:before="0" w:after="0"/>
              <w:jc w:val="right"/>
              <w:rPr>
                <w:sz w:val="16"/>
                <w:szCs w:val="16"/>
                <w:lang w:val="fr-BE"/>
              </w:rPr>
            </w:pPr>
          </w:p>
        </w:tc>
        <w:tc>
          <w:tcPr>
            <w:tcW w:w="0" w:type="auto"/>
            <w:shd w:val="clear" w:color="auto" w:fill="auto"/>
          </w:tcPr>
          <w:p w14:paraId="45552574" w14:textId="77777777" w:rsidR="008C5CFA" w:rsidRPr="0024468B" w:rsidRDefault="00E82A60" w:rsidP="00300A01">
            <w:pPr>
              <w:spacing w:before="0" w:after="0"/>
              <w:jc w:val="right"/>
              <w:rPr>
                <w:sz w:val="16"/>
                <w:szCs w:val="16"/>
                <w:lang w:val="fr-BE"/>
              </w:rPr>
            </w:pPr>
            <w:r w:rsidRPr="0024468B">
              <w:rPr>
                <w:noProof/>
                <w:sz w:val="16"/>
                <w:szCs w:val="16"/>
                <w:lang w:val="fr-BE"/>
              </w:rPr>
              <w:t>5,00</w:t>
            </w:r>
          </w:p>
        </w:tc>
        <w:tc>
          <w:tcPr>
            <w:tcW w:w="0" w:type="auto"/>
            <w:shd w:val="clear" w:color="auto" w:fill="auto"/>
          </w:tcPr>
          <w:p w14:paraId="6E8AA842"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5865D300"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555C9DE9" w14:textId="77777777" w:rsidR="008C5CFA" w:rsidRPr="0024468B" w:rsidRDefault="008C5CFA" w:rsidP="00300A01">
            <w:pPr>
              <w:spacing w:before="0" w:after="0"/>
              <w:rPr>
                <w:sz w:val="16"/>
                <w:szCs w:val="16"/>
                <w:lang w:val="fr-BE"/>
              </w:rPr>
            </w:pPr>
          </w:p>
        </w:tc>
      </w:tr>
      <w:tr w:rsidR="006B2EC1" w14:paraId="2BBC1B8F" w14:textId="77777777" w:rsidTr="0047688D">
        <w:tc>
          <w:tcPr>
            <w:tcW w:w="0" w:type="auto"/>
          </w:tcPr>
          <w:p w14:paraId="1CB5EE43" w14:textId="77777777" w:rsidR="008C5CFA" w:rsidRPr="0024468B" w:rsidRDefault="00E82A60" w:rsidP="00300A01">
            <w:pPr>
              <w:spacing w:before="0" w:after="0"/>
              <w:rPr>
                <w:sz w:val="16"/>
                <w:szCs w:val="16"/>
                <w:lang w:val="fr-BE"/>
              </w:rPr>
            </w:pPr>
            <w:r>
              <w:rPr>
                <w:noProof/>
                <w:sz w:val="16"/>
                <w:szCs w:val="16"/>
                <w:lang w:val="fr-BE"/>
              </w:rPr>
              <w:t>F</w:t>
            </w:r>
          </w:p>
        </w:tc>
        <w:tc>
          <w:tcPr>
            <w:tcW w:w="0" w:type="auto"/>
            <w:shd w:val="clear" w:color="auto" w:fill="auto"/>
          </w:tcPr>
          <w:p w14:paraId="0A82467A" w14:textId="77777777" w:rsidR="008C5CFA" w:rsidRPr="0024468B" w:rsidRDefault="00E82A60" w:rsidP="00300A01">
            <w:pPr>
              <w:spacing w:before="0" w:after="0"/>
              <w:rPr>
                <w:sz w:val="16"/>
                <w:szCs w:val="16"/>
                <w:lang w:val="fr-BE"/>
              </w:rPr>
            </w:pPr>
            <w:r>
              <w:rPr>
                <w:noProof/>
                <w:sz w:val="16"/>
                <w:szCs w:val="16"/>
                <w:lang w:val="fr-BE"/>
              </w:rPr>
              <w:t>032</w:t>
            </w:r>
          </w:p>
        </w:tc>
        <w:tc>
          <w:tcPr>
            <w:tcW w:w="0" w:type="auto"/>
            <w:shd w:val="clear" w:color="auto" w:fill="auto"/>
          </w:tcPr>
          <w:p w14:paraId="42D66A65" w14:textId="77777777" w:rsidR="008C5CFA" w:rsidRPr="0024468B" w:rsidRDefault="00E82A60" w:rsidP="00300A01">
            <w:pPr>
              <w:spacing w:before="0" w:after="0"/>
              <w:rPr>
                <w:sz w:val="16"/>
                <w:szCs w:val="16"/>
                <w:lang w:val="fr-BE"/>
              </w:rPr>
            </w:pPr>
            <w:r>
              <w:rPr>
                <w:noProof/>
                <w:sz w:val="16"/>
                <w:szCs w:val="16"/>
                <w:lang w:val="fr-BE"/>
              </w:rPr>
              <w:t>Masa unieszkodliwionych odpadów niebezpiecznych</w:t>
            </w:r>
          </w:p>
        </w:tc>
        <w:tc>
          <w:tcPr>
            <w:tcW w:w="0" w:type="auto"/>
            <w:shd w:val="clear" w:color="auto" w:fill="auto"/>
          </w:tcPr>
          <w:p w14:paraId="36BC87BF" w14:textId="77777777" w:rsidR="008C5CFA" w:rsidRPr="0024468B" w:rsidRDefault="00E82A60" w:rsidP="00300A01">
            <w:pPr>
              <w:spacing w:before="0" w:after="0"/>
              <w:rPr>
                <w:sz w:val="16"/>
                <w:szCs w:val="16"/>
                <w:lang w:val="fr-BE"/>
              </w:rPr>
            </w:pPr>
            <w:r w:rsidRPr="0024468B">
              <w:rPr>
                <w:noProof/>
                <w:sz w:val="16"/>
                <w:szCs w:val="16"/>
                <w:lang w:val="fr-BE"/>
              </w:rPr>
              <w:t>Mg</w:t>
            </w:r>
          </w:p>
        </w:tc>
        <w:tc>
          <w:tcPr>
            <w:tcW w:w="0" w:type="auto"/>
            <w:shd w:val="clear" w:color="auto" w:fill="auto"/>
          </w:tcPr>
          <w:p w14:paraId="79B0892B" w14:textId="77777777" w:rsidR="008C5CFA" w:rsidRPr="0024468B" w:rsidRDefault="00E82A60"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14:paraId="048B2E36" w14:textId="77777777" w:rsidR="008C5CFA" w:rsidRPr="0024468B" w:rsidRDefault="00E82A60" w:rsidP="00300A01">
            <w:pPr>
              <w:spacing w:before="0" w:after="0"/>
              <w:jc w:val="right"/>
              <w:rPr>
                <w:sz w:val="16"/>
                <w:szCs w:val="16"/>
                <w:lang w:val="fr-BE"/>
              </w:rPr>
            </w:pPr>
            <w:r>
              <w:rPr>
                <w:noProof/>
                <w:sz w:val="16"/>
                <w:szCs w:val="16"/>
                <w:lang w:val="fr-BE"/>
              </w:rPr>
              <w:t>800,00</w:t>
            </w:r>
          </w:p>
        </w:tc>
        <w:tc>
          <w:tcPr>
            <w:tcW w:w="0" w:type="auto"/>
            <w:shd w:val="clear" w:color="auto" w:fill="auto"/>
          </w:tcPr>
          <w:p w14:paraId="6A787D32" w14:textId="77777777" w:rsidR="008C5CFA" w:rsidRPr="0024468B" w:rsidRDefault="008C5CFA" w:rsidP="00300A01">
            <w:pPr>
              <w:spacing w:before="0" w:after="0"/>
              <w:jc w:val="right"/>
              <w:rPr>
                <w:sz w:val="16"/>
                <w:szCs w:val="16"/>
                <w:lang w:val="fr-BE"/>
              </w:rPr>
            </w:pPr>
          </w:p>
        </w:tc>
        <w:tc>
          <w:tcPr>
            <w:tcW w:w="0" w:type="auto"/>
          </w:tcPr>
          <w:p w14:paraId="2B67CE1E" w14:textId="77777777" w:rsidR="008C5CFA" w:rsidRPr="0024468B" w:rsidRDefault="008C5CFA" w:rsidP="00300A01">
            <w:pPr>
              <w:spacing w:before="0" w:after="0"/>
              <w:jc w:val="right"/>
              <w:rPr>
                <w:sz w:val="16"/>
                <w:szCs w:val="16"/>
                <w:lang w:val="fr-BE"/>
              </w:rPr>
            </w:pPr>
          </w:p>
        </w:tc>
        <w:tc>
          <w:tcPr>
            <w:tcW w:w="0" w:type="auto"/>
            <w:shd w:val="clear" w:color="auto" w:fill="auto"/>
          </w:tcPr>
          <w:p w14:paraId="485B1E67"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6AAA3686"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1EFA9C1B"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0F438117" w14:textId="77777777" w:rsidR="008C5CFA" w:rsidRPr="0024468B" w:rsidRDefault="00E82A60" w:rsidP="00300A01">
            <w:pPr>
              <w:spacing w:before="0" w:after="0"/>
              <w:rPr>
                <w:sz w:val="16"/>
                <w:szCs w:val="16"/>
                <w:lang w:val="fr-BE"/>
              </w:rPr>
            </w:pPr>
            <w:r w:rsidRPr="0024468B">
              <w:rPr>
                <w:sz w:val="16"/>
                <w:szCs w:val="16"/>
                <w:lang w:val="fr-BE"/>
              </w:rPr>
              <w:t xml:space="preserve">W ramach dotychczas przeprowadzonych konkursów nie wpłynął żaden projekt dot. unieszkodliwiania odpadów niebezpiecznych. W związku z powyższym IZ nie planuje ogłaszania kolejnych  konkursów z tego zakresu. Powyższe znajduje potwierdzenie także w raporcie ewaluacyjnym </w:t>
            </w:r>
            <w:r>
              <w:t>"</w:t>
            </w:r>
            <w:r w:rsidRPr="0024468B">
              <w:rPr>
                <w:sz w:val="16"/>
                <w:szCs w:val="16"/>
                <w:lang w:val="fr-BE"/>
              </w:rPr>
              <w:t>Ewaluacja mid-term dotycząca postępu rzeczowego RPOWŚ 2014-2020 dla potrzeb przeglądu śródokresowego, w tym realizacji zapisów ram i rezerwy wykonania</w:t>
            </w:r>
            <w:r>
              <w:t>"</w:t>
            </w:r>
            <w:r w:rsidRPr="0024468B">
              <w:rPr>
                <w:sz w:val="16"/>
                <w:szCs w:val="16"/>
                <w:lang w:val="fr-BE"/>
              </w:rPr>
              <w:t>. Brak zainteresowania potencjalnych beneficjentów realizujących tego typu inwestycje, uniemożliwia osiągnięcie zakładanej wartości wskaźnika. IZ podjęła decyzję o usunięciu przedmiotowego wskaźnika.</w:t>
            </w:r>
          </w:p>
        </w:tc>
      </w:tr>
      <w:tr w:rsidR="006B2EC1" w14:paraId="149413ED" w14:textId="77777777" w:rsidTr="0047688D">
        <w:tc>
          <w:tcPr>
            <w:tcW w:w="0" w:type="auto"/>
          </w:tcPr>
          <w:p w14:paraId="6A7A0C5F" w14:textId="77777777" w:rsidR="008C5CFA" w:rsidRPr="0024468B" w:rsidRDefault="00E82A60" w:rsidP="00300A01">
            <w:pPr>
              <w:spacing w:before="0" w:after="0"/>
              <w:rPr>
                <w:sz w:val="16"/>
                <w:szCs w:val="16"/>
                <w:lang w:val="fr-BE"/>
              </w:rPr>
            </w:pPr>
            <w:r>
              <w:rPr>
                <w:noProof/>
                <w:sz w:val="16"/>
                <w:szCs w:val="16"/>
                <w:lang w:val="fr-BE"/>
              </w:rPr>
              <w:t>S</w:t>
            </w:r>
          </w:p>
        </w:tc>
        <w:tc>
          <w:tcPr>
            <w:tcW w:w="0" w:type="auto"/>
            <w:shd w:val="clear" w:color="auto" w:fill="auto"/>
          </w:tcPr>
          <w:p w14:paraId="67398707" w14:textId="77777777" w:rsidR="008C5CFA" w:rsidRPr="0024468B" w:rsidRDefault="00E82A60" w:rsidP="00300A01">
            <w:pPr>
              <w:spacing w:before="0" w:after="0"/>
              <w:rPr>
                <w:sz w:val="16"/>
                <w:szCs w:val="16"/>
                <w:lang w:val="fr-BE"/>
              </w:rPr>
            </w:pPr>
            <w:r>
              <w:rPr>
                <w:noProof/>
                <w:sz w:val="16"/>
                <w:szCs w:val="16"/>
                <w:lang w:val="fr-BE"/>
              </w:rPr>
              <w:t>032</w:t>
            </w:r>
          </w:p>
        </w:tc>
        <w:tc>
          <w:tcPr>
            <w:tcW w:w="0" w:type="auto"/>
            <w:shd w:val="clear" w:color="auto" w:fill="auto"/>
          </w:tcPr>
          <w:p w14:paraId="24FE14AD" w14:textId="77777777" w:rsidR="008C5CFA" w:rsidRPr="0024468B" w:rsidRDefault="00E82A60" w:rsidP="00300A01">
            <w:pPr>
              <w:spacing w:before="0" w:after="0"/>
              <w:rPr>
                <w:sz w:val="16"/>
                <w:szCs w:val="16"/>
                <w:lang w:val="fr-BE"/>
              </w:rPr>
            </w:pPr>
            <w:r>
              <w:rPr>
                <w:noProof/>
                <w:sz w:val="16"/>
                <w:szCs w:val="16"/>
                <w:lang w:val="fr-BE"/>
              </w:rPr>
              <w:t>Masa unieszkodliwionych odpadów niebezpiecznych</w:t>
            </w:r>
          </w:p>
        </w:tc>
        <w:tc>
          <w:tcPr>
            <w:tcW w:w="0" w:type="auto"/>
            <w:shd w:val="clear" w:color="auto" w:fill="auto"/>
          </w:tcPr>
          <w:p w14:paraId="426BF15C" w14:textId="77777777" w:rsidR="008C5CFA" w:rsidRPr="0024468B" w:rsidRDefault="00E82A60" w:rsidP="00300A01">
            <w:pPr>
              <w:spacing w:before="0" w:after="0"/>
              <w:rPr>
                <w:sz w:val="16"/>
                <w:szCs w:val="16"/>
                <w:lang w:val="fr-BE"/>
              </w:rPr>
            </w:pPr>
            <w:r w:rsidRPr="0024468B">
              <w:rPr>
                <w:noProof/>
                <w:sz w:val="16"/>
                <w:szCs w:val="16"/>
                <w:lang w:val="fr-BE"/>
              </w:rPr>
              <w:t>Mg</w:t>
            </w:r>
          </w:p>
        </w:tc>
        <w:tc>
          <w:tcPr>
            <w:tcW w:w="0" w:type="auto"/>
            <w:shd w:val="clear" w:color="auto" w:fill="auto"/>
          </w:tcPr>
          <w:p w14:paraId="42173F52" w14:textId="77777777" w:rsidR="008C5CFA" w:rsidRPr="0024468B" w:rsidRDefault="00E82A60"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14:paraId="10E51205" w14:textId="77777777" w:rsidR="008C5CFA" w:rsidRPr="0024468B" w:rsidRDefault="00E82A60" w:rsidP="00300A01">
            <w:pPr>
              <w:spacing w:before="0" w:after="0"/>
              <w:jc w:val="right"/>
              <w:rPr>
                <w:sz w:val="16"/>
                <w:szCs w:val="16"/>
                <w:lang w:val="fr-BE"/>
              </w:rPr>
            </w:pPr>
            <w:r>
              <w:rPr>
                <w:noProof/>
                <w:sz w:val="16"/>
                <w:szCs w:val="16"/>
                <w:lang w:val="fr-BE"/>
              </w:rPr>
              <w:t>800,00</w:t>
            </w:r>
          </w:p>
        </w:tc>
        <w:tc>
          <w:tcPr>
            <w:tcW w:w="0" w:type="auto"/>
            <w:shd w:val="clear" w:color="auto" w:fill="auto"/>
          </w:tcPr>
          <w:p w14:paraId="3EF10C81" w14:textId="77777777" w:rsidR="008C5CFA" w:rsidRPr="0024468B" w:rsidRDefault="008C5CFA" w:rsidP="00300A01">
            <w:pPr>
              <w:spacing w:before="0" w:after="0"/>
              <w:jc w:val="right"/>
              <w:rPr>
                <w:sz w:val="16"/>
                <w:szCs w:val="16"/>
                <w:lang w:val="fr-BE"/>
              </w:rPr>
            </w:pPr>
          </w:p>
        </w:tc>
        <w:tc>
          <w:tcPr>
            <w:tcW w:w="0" w:type="auto"/>
          </w:tcPr>
          <w:p w14:paraId="40797DAA" w14:textId="77777777" w:rsidR="008C5CFA" w:rsidRPr="0024468B" w:rsidRDefault="008C5CFA" w:rsidP="00300A01">
            <w:pPr>
              <w:spacing w:before="0" w:after="0"/>
              <w:jc w:val="right"/>
              <w:rPr>
                <w:sz w:val="16"/>
                <w:szCs w:val="16"/>
                <w:lang w:val="fr-BE"/>
              </w:rPr>
            </w:pPr>
          </w:p>
        </w:tc>
        <w:tc>
          <w:tcPr>
            <w:tcW w:w="0" w:type="auto"/>
            <w:shd w:val="clear" w:color="auto" w:fill="auto"/>
          </w:tcPr>
          <w:p w14:paraId="0FD6C392"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3D195F3A"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11670DD6"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398A9572" w14:textId="77777777" w:rsidR="008C5CFA" w:rsidRPr="0024468B" w:rsidRDefault="00E82A60" w:rsidP="00300A01">
            <w:pPr>
              <w:spacing w:before="0" w:after="0"/>
              <w:rPr>
                <w:sz w:val="16"/>
                <w:szCs w:val="16"/>
                <w:lang w:val="fr-BE"/>
              </w:rPr>
            </w:pPr>
            <w:r w:rsidRPr="0024468B">
              <w:rPr>
                <w:sz w:val="16"/>
                <w:szCs w:val="16"/>
                <w:lang w:val="fr-BE"/>
              </w:rPr>
              <w:t xml:space="preserve">W ramach dotychczas przeprowadzonych konkursów nie wpłynął żaden projekt dot. unieszkodliwiania odpadów niebezpiecznych. W związku z powyższym IZ nie planuje ogłaszania kolejnych  konkursów z tego zakresu. Powyższe znajduje potwierdzenie także w raporcie ewaluacyjnym </w:t>
            </w:r>
            <w:r>
              <w:t>"</w:t>
            </w:r>
            <w:r w:rsidRPr="0024468B">
              <w:rPr>
                <w:sz w:val="16"/>
                <w:szCs w:val="16"/>
                <w:lang w:val="fr-BE"/>
              </w:rPr>
              <w:t>Ewaluacja mid-term dotycząca postępu rzeczowego RPOWŚ 2014-2020 dla potrzeb przeglądu śródokresowego, w tym realizacji zapisów ram i rezerwy wykonania</w:t>
            </w:r>
            <w:r>
              <w:t>"</w:t>
            </w:r>
            <w:r w:rsidRPr="0024468B">
              <w:rPr>
                <w:sz w:val="16"/>
                <w:szCs w:val="16"/>
                <w:lang w:val="fr-BE"/>
              </w:rPr>
              <w:t>. Brak zainteresowania potencjalnych beneficjentów realizujących tego typu inwestycje, uniemożliwia osiągnięcie zakładanej wartości wskaźnika. IZ podjęła decyzję o usunięciu przedmiotowego wskaźnika.</w:t>
            </w:r>
          </w:p>
        </w:tc>
      </w:tr>
    </w:tbl>
    <w:p w14:paraId="0FCD38F4" w14:textId="77777777" w:rsidR="008C5CFA" w:rsidRDefault="00E82A60" w:rsidP="00300A01">
      <w:pPr>
        <w:spacing w:before="0" w:after="0"/>
        <w:rPr>
          <w:lang w:val="fr-BE"/>
        </w:rPr>
      </w:pPr>
      <w:r>
        <w:rPr>
          <w:noProof/>
          <w:lang w:val="fr-BE"/>
        </w:rPr>
        <w:t>1) S=wartość skumulowana – produkty, które mają być zrealizowane poprzez wybrane operacje [prognoza przedstawiona przez beneficjentów], F=wartość skumulowana – produkty zrealizowane poprzez operacje [rzeczywiste wykonanie]</w:t>
      </w:r>
    </w:p>
    <w:p w14:paraId="4F0E918D"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01"/>
        <w:gridCol w:w="354"/>
        <w:gridCol w:w="4962"/>
        <w:gridCol w:w="998"/>
        <w:gridCol w:w="1184"/>
        <w:gridCol w:w="1007"/>
        <w:gridCol w:w="998"/>
        <w:gridCol w:w="1184"/>
        <w:gridCol w:w="1007"/>
        <w:gridCol w:w="998"/>
        <w:gridCol w:w="1184"/>
        <w:gridCol w:w="1007"/>
      </w:tblGrid>
      <w:tr w:rsidR="006B2EC1" w14:paraId="723267A1" w14:textId="77777777" w:rsidTr="0047688D">
        <w:trPr>
          <w:tblHeader/>
        </w:trPr>
        <w:tc>
          <w:tcPr>
            <w:tcW w:w="0" w:type="auto"/>
          </w:tcPr>
          <w:p w14:paraId="7CF2AECD" w14:textId="77777777" w:rsidR="008C5CFA" w:rsidRPr="009143B4" w:rsidRDefault="00E82A60" w:rsidP="00300A01">
            <w:pPr>
              <w:spacing w:before="0" w:after="0"/>
              <w:rPr>
                <w:b/>
                <w:sz w:val="16"/>
                <w:szCs w:val="16"/>
                <w:lang w:val="fr-BE"/>
              </w:rPr>
            </w:pPr>
            <w:r w:rsidRPr="009143B4">
              <w:rPr>
                <w:b/>
                <w:sz w:val="16"/>
                <w:szCs w:val="16"/>
                <w:lang w:val="fr-BE"/>
              </w:rPr>
              <w:t>(1)</w:t>
            </w:r>
          </w:p>
        </w:tc>
        <w:tc>
          <w:tcPr>
            <w:tcW w:w="0" w:type="auto"/>
            <w:shd w:val="clear" w:color="auto" w:fill="auto"/>
          </w:tcPr>
          <w:p w14:paraId="0528F3D9" w14:textId="77777777" w:rsidR="008C5CFA" w:rsidRPr="009143B4" w:rsidRDefault="00E82A60" w:rsidP="00300A01">
            <w:pPr>
              <w:spacing w:before="0" w:after="0"/>
              <w:rPr>
                <w:b/>
                <w:sz w:val="16"/>
                <w:szCs w:val="16"/>
                <w:lang w:val="fr-BE"/>
              </w:rPr>
            </w:pPr>
            <w:r w:rsidRPr="009143B4">
              <w:rPr>
                <w:b/>
                <w:noProof/>
                <w:sz w:val="16"/>
                <w:szCs w:val="16"/>
                <w:lang w:val="fr-BE"/>
              </w:rPr>
              <w:t>ID</w:t>
            </w:r>
          </w:p>
        </w:tc>
        <w:tc>
          <w:tcPr>
            <w:tcW w:w="0" w:type="auto"/>
            <w:shd w:val="clear" w:color="auto" w:fill="auto"/>
          </w:tcPr>
          <w:p w14:paraId="0F1F8B99" w14:textId="77777777" w:rsidR="008C5CFA" w:rsidRPr="009143B4" w:rsidRDefault="00E82A60" w:rsidP="00300A01">
            <w:pPr>
              <w:spacing w:before="0" w:after="0"/>
              <w:rPr>
                <w:b/>
                <w:sz w:val="16"/>
                <w:szCs w:val="16"/>
                <w:lang w:val="fr-BE"/>
              </w:rPr>
            </w:pPr>
            <w:r w:rsidRPr="009143B4">
              <w:rPr>
                <w:b/>
                <w:noProof/>
                <w:sz w:val="16"/>
                <w:szCs w:val="16"/>
                <w:lang w:val="fr-BE"/>
              </w:rPr>
              <w:t>Wskaźnik</w:t>
            </w:r>
          </w:p>
        </w:tc>
        <w:tc>
          <w:tcPr>
            <w:tcW w:w="0" w:type="auto"/>
          </w:tcPr>
          <w:p w14:paraId="483B3629" w14:textId="77777777" w:rsidR="008C5CFA" w:rsidRPr="009143B4" w:rsidRDefault="00E82A60" w:rsidP="00300A01">
            <w:pPr>
              <w:spacing w:before="0" w:after="0"/>
              <w:jc w:val="center"/>
              <w:rPr>
                <w:b/>
                <w:sz w:val="16"/>
                <w:szCs w:val="16"/>
                <w:lang w:val="fr-BE"/>
              </w:rPr>
            </w:pPr>
            <w:r>
              <w:rPr>
                <w:b/>
                <w:sz w:val="16"/>
                <w:szCs w:val="16"/>
                <w:lang w:val="fr-BE"/>
              </w:rPr>
              <w:t xml:space="preserve">2018 </w:t>
            </w:r>
            <w:r w:rsidRPr="009143B4">
              <w:rPr>
                <w:b/>
                <w:noProof/>
                <w:sz w:val="16"/>
                <w:szCs w:val="16"/>
                <w:lang w:val="fr-BE"/>
              </w:rPr>
              <w:t>Ogółem</w:t>
            </w:r>
          </w:p>
        </w:tc>
        <w:tc>
          <w:tcPr>
            <w:tcW w:w="0" w:type="auto"/>
          </w:tcPr>
          <w:p w14:paraId="2299AAF9" w14:textId="77777777" w:rsidR="008C5CFA" w:rsidRPr="009143B4" w:rsidRDefault="00E82A60" w:rsidP="00300A01">
            <w:pPr>
              <w:spacing w:before="0" w:after="0"/>
              <w:jc w:val="center"/>
              <w:rPr>
                <w:b/>
                <w:sz w:val="16"/>
                <w:szCs w:val="16"/>
                <w:lang w:val="fr-BE"/>
              </w:rPr>
            </w:pPr>
            <w:r>
              <w:rPr>
                <w:b/>
                <w:sz w:val="16"/>
                <w:szCs w:val="16"/>
                <w:lang w:val="fr-BE"/>
              </w:rPr>
              <w:t xml:space="preserve">2018 </w:t>
            </w:r>
            <w:r w:rsidRPr="009143B4">
              <w:rPr>
                <w:b/>
                <w:noProof/>
                <w:sz w:val="16"/>
                <w:szCs w:val="16"/>
                <w:lang w:val="fr-BE"/>
              </w:rPr>
              <w:t>Mężczyźni</w:t>
            </w:r>
          </w:p>
        </w:tc>
        <w:tc>
          <w:tcPr>
            <w:tcW w:w="0" w:type="auto"/>
          </w:tcPr>
          <w:p w14:paraId="7C40D165" w14:textId="77777777" w:rsidR="008C5CFA" w:rsidRPr="009143B4" w:rsidRDefault="00E82A60" w:rsidP="00300A01">
            <w:pPr>
              <w:spacing w:before="0" w:after="0"/>
              <w:jc w:val="center"/>
              <w:rPr>
                <w:b/>
                <w:sz w:val="16"/>
                <w:szCs w:val="16"/>
                <w:lang w:val="fr-BE"/>
              </w:rPr>
            </w:pPr>
            <w:r>
              <w:rPr>
                <w:b/>
                <w:sz w:val="16"/>
                <w:szCs w:val="16"/>
                <w:lang w:val="fr-BE"/>
              </w:rPr>
              <w:t xml:space="preserve">2018 </w:t>
            </w:r>
            <w:r w:rsidRPr="009143B4">
              <w:rPr>
                <w:b/>
                <w:noProof/>
                <w:sz w:val="16"/>
                <w:szCs w:val="16"/>
                <w:lang w:val="fr-BE"/>
              </w:rPr>
              <w:t>Kobiety</w:t>
            </w:r>
          </w:p>
        </w:tc>
        <w:tc>
          <w:tcPr>
            <w:tcW w:w="0" w:type="auto"/>
          </w:tcPr>
          <w:p w14:paraId="5DADFFB5" w14:textId="77777777" w:rsidR="008C5CFA" w:rsidRPr="009143B4" w:rsidRDefault="00E82A60"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Ogółem</w:t>
            </w:r>
          </w:p>
        </w:tc>
        <w:tc>
          <w:tcPr>
            <w:tcW w:w="0" w:type="auto"/>
          </w:tcPr>
          <w:p w14:paraId="7737B1DF" w14:textId="77777777" w:rsidR="008C5CFA" w:rsidRPr="009143B4" w:rsidRDefault="00E82A60"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Mężczyźni</w:t>
            </w:r>
          </w:p>
        </w:tc>
        <w:tc>
          <w:tcPr>
            <w:tcW w:w="0" w:type="auto"/>
          </w:tcPr>
          <w:p w14:paraId="2EAFA02A" w14:textId="77777777" w:rsidR="008C5CFA" w:rsidRPr="009143B4" w:rsidRDefault="00E82A60"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Kobiety</w:t>
            </w:r>
          </w:p>
        </w:tc>
        <w:tc>
          <w:tcPr>
            <w:tcW w:w="0" w:type="auto"/>
            <w:shd w:val="clear" w:color="auto" w:fill="auto"/>
          </w:tcPr>
          <w:p w14:paraId="22A03151" w14:textId="77777777" w:rsidR="008C5CFA" w:rsidRPr="009143B4" w:rsidRDefault="00E82A60"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Ogółem</w:t>
            </w:r>
          </w:p>
        </w:tc>
        <w:tc>
          <w:tcPr>
            <w:tcW w:w="0" w:type="auto"/>
            <w:shd w:val="clear" w:color="auto" w:fill="auto"/>
          </w:tcPr>
          <w:p w14:paraId="7690C3E5" w14:textId="77777777" w:rsidR="008C5CFA" w:rsidRPr="009143B4" w:rsidRDefault="00E82A60"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Mężczyźni</w:t>
            </w:r>
          </w:p>
        </w:tc>
        <w:tc>
          <w:tcPr>
            <w:tcW w:w="0" w:type="auto"/>
            <w:shd w:val="clear" w:color="auto" w:fill="auto"/>
          </w:tcPr>
          <w:p w14:paraId="2AB80F5F" w14:textId="77777777" w:rsidR="008C5CFA" w:rsidRPr="009143B4" w:rsidRDefault="00E82A60"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Kobiety</w:t>
            </w:r>
          </w:p>
        </w:tc>
      </w:tr>
      <w:tr w:rsidR="006B2EC1" w14:paraId="013BA5A9" w14:textId="77777777" w:rsidTr="0047688D">
        <w:tc>
          <w:tcPr>
            <w:tcW w:w="0" w:type="auto"/>
          </w:tcPr>
          <w:p w14:paraId="12BE8D91" w14:textId="77777777" w:rsidR="008C5CFA" w:rsidRPr="0024468B" w:rsidRDefault="00E82A60" w:rsidP="00300A01">
            <w:pPr>
              <w:spacing w:before="0" w:after="0"/>
              <w:rPr>
                <w:sz w:val="16"/>
                <w:szCs w:val="16"/>
                <w:lang w:val="fr-BE"/>
              </w:rPr>
            </w:pPr>
            <w:r>
              <w:rPr>
                <w:noProof/>
                <w:sz w:val="16"/>
                <w:szCs w:val="16"/>
                <w:lang w:val="fr-BE"/>
              </w:rPr>
              <w:t>F</w:t>
            </w:r>
          </w:p>
        </w:tc>
        <w:tc>
          <w:tcPr>
            <w:tcW w:w="0" w:type="auto"/>
            <w:shd w:val="clear" w:color="auto" w:fill="auto"/>
          </w:tcPr>
          <w:p w14:paraId="3349B3BE" w14:textId="77777777" w:rsidR="008C5CFA" w:rsidRPr="0024468B" w:rsidRDefault="00E82A60" w:rsidP="00300A01">
            <w:pPr>
              <w:spacing w:before="0" w:after="0"/>
              <w:rPr>
                <w:sz w:val="16"/>
                <w:szCs w:val="16"/>
                <w:lang w:val="fr-BE"/>
              </w:rPr>
            </w:pPr>
            <w:r>
              <w:rPr>
                <w:noProof/>
                <w:sz w:val="16"/>
                <w:szCs w:val="16"/>
                <w:lang w:val="fr-BE"/>
              </w:rPr>
              <w:t>030</w:t>
            </w:r>
          </w:p>
        </w:tc>
        <w:tc>
          <w:tcPr>
            <w:tcW w:w="0" w:type="auto"/>
            <w:shd w:val="clear" w:color="auto" w:fill="auto"/>
          </w:tcPr>
          <w:p w14:paraId="2D813F1D" w14:textId="77777777" w:rsidR="008C5CFA" w:rsidRPr="0024468B" w:rsidRDefault="00E82A60" w:rsidP="00300A01">
            <w:pPr>
              <w:spacing w:before="0" w:after="0"/>
              <w:rPr>
                <w:sz w:val="16"/>
                <w:szCs w:val="16"/>
                <w:lang w:val="fr-BE"/>
              </w:rPr>
            </w:pPr>
            <w:r>
              <w:rPr>
                <w:noProof/>
                <w:sz w:val="16"/>
                <w:szCs w:val="16"/>
                <w:lang w:val="fr-BE"/>
              </w:rPr>
              <w:t>Liczba przebudowanych  zakładów zagospodarowania odpadów</w:t>
            </w:r>
          </w:p>
        </w:tc>
        <w:tc>
          <w:tcPr>
            <w:tcW w:w="0" w:type="auto"/>
          </w:tcPr>
          <w:p w14:paraId="525F1320"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246D996E"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1BA3CC88"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75EA4064"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36B52501"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5E5967C3"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26EE79DC"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25C5B47B"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2CA99812"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r w:rsidR="006B2EC1" w14:paraId="120715F1" w14:textId="77777777" w:rsidTr="0047688D">
        <w:tc>
          <w:tcPr>
            <w:tcW w:w="0" w:type="auto"/>
          </w:tcPr>
          <w:p w14:paraId="684F03EE" w14:textId="77777777" w:rsidR="008C5CFA" w:rsidRPr="0024468B" w:rsidRDefault="00E82A60" w:rsidP="00300A01">
            <w:pPr>
              <w:spacing w:before="0" w:after="0"/>
              <w:rPr>
                <w:sz w:val="16"/>
                <w:szCs w:val="16"/>
                <w:lang w:val="fr-BE"/>
              </w:rPr>
            </w:pPr>
            <w:r>
              <w:rPr>
                <w:noProof/>
                <w:sz w:val="16"/>
                <w:szCs w:val="16"/>
                <w:lang w:val="fr-BE"/>
              </w:rPr>
              <w:t>S</w:t>
            </w:r>
          </w:p>
        </w:tc>
        <w:tc>
          <w:tcPr>
            <w:tcW w:w="0" w:type="auto"/>
            <w:shd w:val="clear" w:color="auto" w:fill="auto"/>
          </w:tcPr>
          <w:p w14:paraId="3A56C2DD" w14:textId="77777777" w:rsidR="008C5CFA" w:rsidRPr="0024468B" w:rsidRDefault="00E82A60" w:rsidP="00300A01">
            <w:pPr>
              <w:spacing w:before="0" w:after="0"/>
              <w:rPr>
                <w:sz w:val="16"/>
                <w:szCs w:val="16"/>
                <w:lang w:val="fr-BE"/>
              </w:rPr>
            </w:pPr>
            <w:r>
              <w:rPr>
                <w:noProof/>
                <w:sz w:val="16"/>
                <w:szCs w:val="16"/>
                <w:lang w:val="fr-BE"/>
              </w:rPr>
              <w:t>030</w:t>
            </w:r>
          </w:p>
        </w:tc>
        <w:tc>
          <w:tcPr>
            <w:tcW w:w="0" w:type="auto"/>
            <w:shd w:val="clear" w:color="auto" w:fill="auto"/>
          </w:tcPr>
          <w:p w14:paraId="2D7E71D3" w14:textId="77777777" w:rsidR="008C5CFA" w:rsidRPr="0024468B" w:rsidRDefault="00E82A60" w:rsidP="00300A01">
            <w:pPr>
              <w:spacing w:before="0" w:after="0"/>
              <w:rPr>
                <w:sz w:val="16"/>
                <w:szCs w:val="16"/>
                <w:lang w:val="fr-BE"/>
              </w:rPr>
            </w:pPr>
            <w:r>
              <w:rPr>
                <w:noProof/>
                <w:sz w:val="16"/>
                <w:szCs w:val="16"/>
                <w:lang w:val="fr-BE"/>
              </w:rPr>
              <w:t>Liczba przebudowanych  zakładów zagospodarowania odpadów</w:t>
            </w:r>
          </w:p>
        </w:tc>
        <w:tc>
          <w:tcPr>
            <w:tcW w:w="0" w:type="auto"/>
          </w:tcPr>
          <w:p w14:paraId="66E187D0" w14:textId="77777777" w:rsidR="008C5CFA" w:rsidRPr="0024468B" w:rsidRDefault="00E82A60" w:rsidP="00300A01">
            <w:pPr>
              <w:spacing w:before="0" w:after="0"/>
              <w:jc w:val="right"/>
              <w:rPr>
                <w:sz w:val="16"/>
                <w:szCs w:val="16"/>
                <w:lang w:val="fr-BE"/>
              </w:rPr>
            </w:pPr>
            <w:r w:rsidRPr="0024468B">
              <w:rPr>
                <w:noProof/>
                <w:sz w:val="16"/>
                <w:szCs w:val="16"/>
                <w:lang w:val="fr-BE"/>
              </w:rPr>
              <w:t>1,00</w:t>
            </w:r>
          </w:p>
        </w:tc>
        <w:tc>
          <w:tcPr>
            <w:tcW w:w="0" w:type="auto"/>
          </w:tcPr>
          <w:p w14:paraId="7524206F"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05FD356B"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5DF6FD58"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67621100"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38332CC1"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1E48B657"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6687F35B"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088FDC67"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r w:rsidR="006B2EC1" w14:paraId="1D9C765A" w14:textId="77777777" w:rsidTr="0047688D">
        <w:tc>
          <w:tcPr>
            <w:tcW w:w="0" w:type="auto"/>
          </w:tcPr>
          <w:p w14:paraId="34E16CB5" w14:textId="77777777" w:rsidR="008C5CFA" w:rsidRPr="0024468B" w:rsidRDefault="00E82A60" w:rsidP="00300A01">
            <w:pPr>
              <w:spacing w:before="0" w:after="0"/>
              <w:rPr>
                <w:sz w:val="16"/>
                <w:szCs w:val="16"/>
                <w:lang w:val="fr-BE"/>
              </w:rPr>
            </w:pPr>
            <w:r>
              <w:rPr>
                <w:noProof/>
                <w:sz w:val="16"/>
                <w:szCs w:val="16"/>
                <w:lang w:val="fr-BE"/>
              </w:rPr>
              <w:t>F</w:t>
            </w:r>
          </w:p>
        </w:tc>
        <w:tc>
          <w:tcPr>
            <w:tcW w:w="0" w:type="auto"/>
            <w:shd w:val="clear" w:color="auto" w:fill="auto"/>
          </w:tcPr>
          <w:p w14:paraId="47143166" w14:textId="77777777" w:rsidR="008C5CFA" w:rsidRPr="0024468B" w:rsidRDefault="00E82A60" w:rsidP="00300A01">
            <w:pPr>
              <w:spacing w:before="0" w:after="0"/>
              <w:rPr>
                <w:sz w:val="16"/>
                <w:szCs w:val="16"/>
                <w:lang w:val="fr-BE"/>
              </w:rPr>
            </w:pPr>
            <w:r>
              <w:rPr>
                <w:noProof/>
                <w:sz w:val="16"/>
                <w:szCs w:val="16"/>
                <w:lang w:val="fr-BE"/>
              </w:rPr>
              <w:t>031</w:t>
            </w:r>
          </w:p>
        </w:tc>
        <w:tc>
          <w:tcPr>
            <w:tcW w:w="0" w:type="auto"/>
            <w:shd w:val="clear" w:color="auto" w:fill="auto"/>
          </w:tcPr>
          <w:p w14:paraId="6CB7E121" w14:textId="77777777" w:rsidR="008C5CFA" w:rsidRPr="0024468B" w:rsidRDefault="00E82A60" w:rsidP="00300A01">
            <w:pPr>
              <w:spacing w:before="0" w:after="0"/>
              <w:rPr>
                <w:sz w:val="16"/>
                <w:szCs w:val="16"/>
                <w:lang w:val="fr-BE"/>
              </w:rPr>
            </w:pPr>
            <w:r>
              <w:rPr>
                <w:noProof/>
                <w:sz w:val="16"/>
                <w:szCs w:val="16"/>
                <w:lang w:val="fr-BE"/>
              </w:rPr>
              <w:t>Liczba wspartych Punktów Selektywnego Zbierania Odpadów Komunalnych</w:t>
            </w:r>
          </w:p>
        </w:tc>
        <w:tc>
          <w:tcPr>
            <w:tcW w:w="0" w:type="auto"/>
          </w:tcPr>
          <w:p w14:paraId="6544AF57" w14:textId="77777777" w:rsidR="008C5CFA" w:rsidRPr="0024468B" w:rsidRDefault="00E82A60" w:rsidP="00300A01">
            <w:pPr>
              <w:spacing w:before="0" w:after="0"/>
              <w:jc w:val="right"/>
              <w:rPr>
                <w:sz w:val="16"/>
                <w:szCs w:val="16"/>
                <w:lang w:val="fr-BE"/>
              </w:rPr>
            </w:pPr>
            <w:r w:rsidRPr="0024468B">
              <w:rPr>
                <w:noProof/>
                <w:sz w:val="16"/>
                <w:szCs w:val="16"/>
                <w:lang w:val="fr-BE"/>
              </w:rPr>
              <w:t>2,00</w:t>
            </w:r>
          </w:p>
        </w:tc>
        <w:tc>
          <w:tcPr>
            <w:tcW w:w="0" w:type="auto"/>
          </w:tcPr>
          <w:p w14:paraId="17077C4B"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1537FB00"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1FA4F9DB"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17120BA5"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2A557E8D"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2CE4B73F"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5D56C56D"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64E0C2C2"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r w:rsidR="006B2EC1" w14:paraId="75BF78E4" w14:textId="77777777" w:rsidTr="0047688D">
        <w:tc>
          <w:tcPr>
            <w:tcW w:w="0" w:type="auto"/>
          </w:tcPr>
          <w:p w14:paraId="1675276D" w14:textId="77777777" w:rsidR="008C5CFA" w:rsidRPr="0024468B" w:rsidRDefault="00E82A60" w:rsidP="00300A01">
            <w:pPr>
              <w:spacing w:before="0" w:after="0"/>
              <w:rPr>
                <w:sz w:val="16"/>
                <w:szCs w:val="16"/>
                <w:lang w:val="fr-BE"/>
              </w:rPr>
            </w:pPr>
            <w:r>
              <w:rPr>
                <w:noProof/>
                <w:sz w:val="16"/>
                <w:szCs w:val="16"/>
                <w:lang w:val="fr-BE"/>
              </w:rPr>
              <w:t>S</w:t>
            </w:r>
          </w:p>
        </w:tc>
        <w:tc>
          <w:tcPr>
            <w:tcW w:w="0" w:type="auto"/>
            <w:shd w:val="clear" w:color="auto" w:fill="auto"/>
          </w:tcPr>
          <w:p w14:paraId="27763413" w14:textId="77777777" w:rsidR="008C5CFA" w:rsidRPr="0024468B" w:rsidRDefault="00E82A60" w:rsidP="00300A01">
            <w:pPr>
              <w:spacing w:before="0" w:after="0"/>
              <w:rPr>
                <w:sz w:val="16"/>
                <w:szCs w:val="16"/>
                <w:lang w:val="fr-BE"/>
              </w:rPr>
            </w:pPr>
            <w:r>
              <w:rPr>
                <w:noProof/>
                <w:sz w:val="16"/>
                <w:szCs w:val="16"/>
                <w:lang w:val="fr-BE"/>
              </w:rPr>
              <w:t>031</w:t>
            </w:r>
          </w:p>
        </w:tc>
        <w:tc>
          <w:tcPr>
            <w:tcW w:w="0" w:type="auto"/>
            <w:shd w:val="clear" w:color="auto" w:fill="auto"/>
          </w:tcPr>
          <w:p w14:paraId="7CB88E92" w14:textId="77777777" w:rsidR="008C5CFA" w:rsidRPr="0024468B" w:rsidRDefault="00E82A60" w:rsidP="00300A01">
            <w:pPr>
              <w:spacing w:before="0" w:after="0"/>
              <w:rPr>
                <w:sz w:val="16"/>
                <w:szCs w:val="16"/>
                <w:lang w:val="fr-BE"/>
              </w:rPr>
            </w:pPr>
            <w:r>
              <w:rPr>
                <w:noProof/>
                <w:sz w:val="16"/>
                <w:szCs w:val="16"/>
                <w:lang w:val="fr-BE"/>
              </w:rPr>
              <w:t>Liczba wspartych Punktów Selektywnego Zbierania Odpadów Komunalnych</w:t>
            </w:r>
          </w:p>
        </w:tc>
        <w:tc>
          <w:tcPr>
            <w:tcW w:w="0" w:type="auto"/>
          </w:tcPr>
          <w:p w14:paraId="4F4276CB" w14:textId="77777777" w:rsidR="008C5CFA" w:rsidRPr="0024468B" w:rsidRDefault="00E82A60" w:rsidP="00300A01">
            <w:pPr>
              <w:spacing w:before="0" w:after="0"/>
              <w:jc w:val="right"/>
              <w:rPr>
                <w:sz w:val="16"/>
                <w:szCs w:val="16"/>
                <w:lang w:val="fr-BE"/>
              </w:rPr>
            </w:pPr>
            <w:r w:rsidRPr="0024468B">
              <w:rPr>
                <w:noProof/>
                <w:sz w:val="16"/>
                <w:szCs w:val="16"/>
                <w:lang w:val="fr-BE"/>
              </w:rPr>
              <w:t>4,00</w:t>
            </w:r>
          </w:p>
        </w:tc>
        <w:tc>
          <w:tcPr>
            <w:tcW w:w="0" w:type="auto"/>
          </w:tcPr>
          <w:p w14:paraId="43D4180C"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3AAB5715"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5A38887C"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45D8DE4E"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2BD52756"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2B52CF48"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22E6CA1C"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0AE45C8E"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r w:rsidR="006B2EC1" w14:paraId="0F04A136" w14:textId="77777777" w:rsidTr="0047688D">
        <w:tc>
          <w:tcPr>
            <w:tcW w:w="0" w:type="auto"/>
          </w:tcPr>
          <w:p w14:paraId="4D8DC3B4" w14:textId="77777777" w:rsidR="008C5CFA" w:rsidRPr="0024468B" w:rsidRDefault="00E82A60" w:rsidP="00300A01">
            <w:pPr>
              <w:spacing w:before="0" w:after="0"/>
              <w:rPr>
                <w:sz w:val="16"/>
                <w:szCs w:val="16"/>
                <w:lang w:val="fr-BE"/>
              </w:rPr>
            </w:pPr>
            <w:r>
              <w:rPr>
                <w:noProof/>
                <w:sz w:val="16"/>
                <w:szCs w:val="16"/>
                <w:lang w:val="fr-BE"/>
              </w:rPr>
              <w:t>F</w:t>
            </w:r>
          </w:p>
        </w:tc>
        <w:tc>
          <w:tcPr>
            <w:tcW w:w="0" w:type="auto"/>
            <w:shd w:val="clear" w:color="auto" w:fill="auto"/>
          </w:tcPr>
          <w:p w14:paraId="5299BA6A" w14:textId="77777777" w:rsidR="008C5CFA" w:rsidRPr="0024468B" w:rsidRDefault="00E82A60" w:rsidP="00300A01">
            <w:pPr>
              <w:spacing w:before="0" w:after="0"/>
              <w:rPr>
                <w:sz w:val="16"/>
                <w:szCs w:val="16"/>
                <w:lang w:val="fr-BE"/>
              </w:rPr>
            </w:pPr>
            <w:r>
              <w:rPr>
                <w:noProof/>
                <w:sz w:val="16"/>
                <w:szCs w:val="16"/>
                <w:lang w:val="fr-BE"/>
              </w:rPr>
              <w:t>032</w:t>
            </w:r>
          </w:p>
        </w:tc>
        <w:tc>
          <w:tcPr>
            <w:tcW w:w="0" w:type="auto"/>
            <w:shd w:val="clear" w:color="auto" w:fill="auto"/>
          </w:tcPr>
          <w:p w14:paraId="6E914F2B" w14:textId="77777777" w:rsidR="008C5CFA" w:rsidRPr="0024468B" w:rsidRDefault="00E82A60" w:rsidP="00300A01">
            <w:pPr>
              <w:spacing w:before="0" w:after="0"/>
              <w:rPr>
                <w:sz w:val="16"/>
                <w:szCs w:val="16"/>
                <w:lang w:val="fr-BE"/>
              </w:rPr>
            </w:pPr>
            <w:r>
              <w:rPr>
                <w:noProof/>
                <w:sz w:val="16"/>
                <w:szCs w:val="16"/>
                <w:lang w:val="fr-BE"/>
              </w:rPr>
              <w:t>Masa unieszkodliwionych odpadów niebezpiecznych</w:t>
            </w:r>
          </w:p>
        </w:tc>
        <w:tc>
          <w:tcPr>
            <w:tcW w:w="0" w:type="auto"/>
          </w:tcPr>
          <w:p w14:paraId="57971C95"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5B3052A0"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67DE9D70"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624ABF4E"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689A0992"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786E1800"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329BC2C5"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1C8BC254"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38AAE449"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r w:rsidR="006B2EC1" w14:paraId="10BB4181" w14:textId="77777777" w:rsidTr="0047688D">
        <w:tc>
          <w:tcPr>
            <w:tcW w:w="0" w:type="auto"/>
          </w:tcPr>
          <w:p w14:paraId="3FA93C2E" w14:textId="77777777" w:rsidR="008C5CFA" w:rsidRPr="0024468B" w:rsidRDefault="00E82A60" w:rsidP="00300A01">
            <w:pPr>
              <w:spacing w:before="0" w:after="0"/>
              <w:rPr>
                <w:sz w:val="16"/>
                <w:szCs w:val="16"/>
                <w:lang w:val="fr-BE"/>
              </w:rPr>
            </w:pPr>
            <w:r>
              <w:rPr>
                <w:noProof/>
                <w:sz w:val="16"/>
                <w:szCs w:val="16"/>
                <w:lang w:val="fr-BE"/>
              </w:rPr>
              <w:t>S</w:t>
            </w:r>
          </w:p>
        </w:tc>
        <w:tc>
          <w:tcPr>
            <w:tcW w:w="0" w:type="auto"/>
            <w:shd w:val="clear" w:color="auto" w:fill="auto"/>
          </w:tcPr>
          <w:p w14:paraId="5A7686F4" w14:textId="77777777" w:rsidR="008C5CFA" w:rsidRPr="0024468B" w:rsidRDefault="00E82A60" w:rsidP="00300A01">
            <w:pPr>
              <w:spacing w:before="0" w:after="0"/>
              <w:rPr>
                <w:sz w:val="16"/>
                <w:szCs w:val="16"/>
                <w:lang w:val="fr-BE"/>
              </w:rPr>
            </w:pPr>
            <w:r>
              <w:rPr>
                <w:noProof/>
                <w:sz w:val="16"/>
                <w:szCs w:val="16"/>
                <w:lang w:val="fr-BE"/>
              </w:rPr>
              <w:t>032</w:t>
            </w:r>
          </w:p>
        </w:tc>
        <w:tc>
          <w:tcPr>
            <w:tcW w:w="0" w:type="auto"/>
            <w:shd w:val="clear" w:color="auto" w:fill="auto"/>
          </w:tcPr>
          <w:p w14:paraId="10241B1B" w14:textId="77777777" w:rsidR="008C5CFA" w:rsidRPr="0024468B" w:rsidRDefault="00E82A60" w:rsidP="00300A01">
            <w:pPr>
              <w:spacing w:before="0" w:after="0"/>
              <w:rPr>
                <w:sz w:val="16"/>
                <w:szCs w:val="16"/>
                <w:lang w:val="fr-BE"/>
              </w:rPr>
            </w:pPr>
            <w:r>
              <w:rPr>
                <w:noProof/>
                <w:sz w:val="16"/>
                <w:szCs w:val="16"/>
                <w:lang w:val="fr-BE"/>
              </w:rPr>
              <w:t>Masa unieszkodliwionych odpadów niebezpiecznych</w:t>
            </w:r>
          </w:p>
        </w:tc>
        <w:tc>
          <w:tcPr>
            <w:tcW w:w="0" w:type="auto"/>
          </w:tcPr>
          <w:p w14:paraId="543093D4"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66A40E9F"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3ED1C51A"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10833A09"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1556189B"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22FAA1AA"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0418C8CF"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45DC5CB4"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31DD4560"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bl>
    <w:p w14:paraId="7ACCAC3B"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77"/>
        <w:gridCol w:w="442"/>
        <w:gridCol w:w="6325"/>
        <w:gridCol w:w="1259"/>
        <w:gridCol w:w="1491"/>
        <w:gridCol w:w="1270"/>
        <w:gridCol w:w="1259"/>
        <w:gridCol w:w="1491"/>
        <w:gridCol w:w="1270"/>
      </w:tblGrid>
      <w:tr w:rsidR="006B2EC1" w14:paraId="7BE74C75" w14:textId="77777777" w:rsidTr="0047688D">
        <w:trPr>
          <w:tblHeader/>
        </w:trPr>
        <w:tc>
          <w:tcPr>
            <w:tcW w:w="0" w:type="auto"/>
          </w:tcPr>
          <w:p w14:paraId="18F84062" w14:textId="77777777" w:rsidR="008C5CFA" w:rsidRPr="009143B4" w:rsidRDefault="00E82A60" w:rsidP="00300A01">
            <w:pPr>
              <w:spacing w:before="0" w:after="0"/>
              <w:rPr>
                <w:b/>
                <w:sz w:val="16"/>
                <w:szCs w:val="16"/>
                <w:lang w:val="fr-BE"/>
              </w:rPr>
            </w:pPr>
            <w:r w:rsidRPr="009143B4">
              <w:rPr>
                <w:b/>
                <w:sz w:val="16"/>
                <w:szCs w:val="16"/>
                <w:lang w:val="fr-BE"/>
              </w:rPr>
              <w:t>(1)</w:t>
            </w:r>
          </w:p>
        </w:tc>
        <w:tc>
          <w:tcPr>
            <w:tcW w:w="0" w:type="auto"/>
            <w:shd w:val="clear" w:color="auto" w:fill="auto"/>
          </w:tcPr>
          <w:p w14:paraId="06CAA747" w14:textId="77777777" w:rsidR="008C5CFA" w:rsidRPr="009143B4" w:rsidRDefault="00E82A60" w:rsidP="00300A01">
            <w:pPr>
              <w:spacing w:before="0" w:after="0"/>
              <w:rPr>
                <w:b/>
                <w:sz w:val="16"/>
                <w:szCs w:val="16"/>
                <w:lang w:val="fr-BE"/>
              </w:rPr>
            </w:pPr>
            <w:r w:rsidRPr="009143B4">
              <w:rPr>
                <w:b/>
                <w:noProof/>
                <w:sz w:val="16"/>
                <w:szCs w:val="16"/>
                <w:lang w:val="fr-BE"/>
              </w:rPr>
              <w:t>ID</w:t>
            </w:r>
          </w:p>
        </w:tc>
        <w:tc>
          <w:tcPr>
            <w:tcW w:w="0" w:type="auto"/>
            <w:shd w:val="clear" w:color="auto" w:fill="auto"/>
          </w:tcPr>
          <w:p w14:paraId="278000B2" w14:textId="77777777" w:rsidR="008C5CFA" w:rsidRPr="009143B4" w:rsidRDefault="00E82A60" w:rsidP="00300A01">
            <w:pPr>
              <w:spacing w:before="0" w:after="0"/>
              <w:rPr>
                <w:b/>
                <w:sz w:val="16"/>
                <w:szCs w:val="16"/>
                <w:lang w:val="fr-BE"/>
              </w:rPr>
            </w:pPr>
            <w:r w:rsidRPr="009143B4">
              <w:rPr>
                <w:b/>
                <w:noProof/>
                <w:sz w:val="16"/>
                <w:szCs w:val="16"/>
                <w:lang w:val="fr-BE"/>
              </w:rPr>
              <w:t>Wskaźnik</w:t>
            </w:r>
          </w:p>
        </w:tc>
        <w:tc>
          <w:tcPr>
            <w:tcW w:w="0" w:type="auto"/>
          </w:tcPr>
          <w:p w14:paraId="74A78574" w14:textId="77777777" w:rsidR="008C5CFA" w:rsidRPr="009143B4" w:rsidRDefault="00E82A60"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Ogółem</w:t>
            </w:r>
          </w:p>
        </w:tc>
        <w:tc>
          <w:tcPr>
            <w:tcW w:w="0" w:type="auto"/>
          </w:tcPr>
          <w:p w14:paraId="59B79658" w14:textId="77777777" w:rsidR="008C5CFA" w:rsidRPr="009143B4" w:rsidRDefault="00E82A60"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Mężczyźni</w:t>
            </w:r>
          </w:p>
        </w:tc>
        <w:tc>
          <w:tcPr>
            <w:tcW w:w="0" w:type="auto"/>
          </w:tcPr>
          <w:p w14:paraId="730F9AB0" w14:textId="77777777" w:rsidR="008C5CFA" w:rsidRPr="009143B4" w:rsidRDefault="00E82A60"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Kobiety</w:t>
            </w:r>
          </w:p>
        </w:tc>
        <w:tc>
          <w:tcPr>
            <w:tcW w:w="0" w:type="auto"/>
            <w:shd w:val="clear" w:color="auto" w:fill="auto"/>
          </w:tcPr>
          <w:p w14:paraId="38AE4148" w14:textId="77777777" w:rsidR="008C5CFA" w:rsidRPr="009143B4" w:rsidRDefault="00E82A60"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Ogółem</w:t>
            </w:r>
          </w:p>
        </w:tc>
        <w:tc>
          <w:tcPr>
            <w:tcW w:w="0" w:type="auto"/>
            <w:shd w:val="clear" w:color="auto" w:fill="auto"/>
          </w:tcPr>
          <w:p w14:paraId="100B3E00" w14:textId="77777777" w:rsidR="008C5CFA" w:rsidRPr="009143B4" w:rsidRDefault="00E82A60"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Mężczyźni</w:t>
            </w:r>
          </w:p>
        </w:tc>
        <w:tc>
          <w:tcPr>
            <w:tcW w:w="0" w:type="auto"/>
            <w:shd w:val="clear" w:color="auto" w:fill="auto"/>
          </w:tcPr>
          <w:p w14:paraId="1A564D7C" w14:textId="77777777" w:rsidR="008C5CFA" w:rsidRPr="009143B4" w:rsidRDefault="00E82A60"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Kobiety</w:t>
            </w:r>
          </w:p>
        </w:tc>
      </w:tr>
      <w:tr w:rsidR="006B2EC1" w14:paraId="099D8C5D" w14:textId="77777777" w:rsidTr="0047688D">
        <w:tc>
          <w:tcPr>
            <w:tcW w:w="0" w:type="auto"/>
          </w:tcPr>
          <w:p w14:paraId="736D3078" w14:textId="77777777" w:rsidR="008C5CFA" w:rsidRPr="0024468B" w:rsidRDefault="00E82A60" w:rsidP="00300A01">
            <w:pPr>
              <w:spacing w:before="0" w:after="0"/>
              <w:rPr>
                <w:sz w:val="16"/>
                <w:szCs w:val="16"/>
                <w:lang w:val="fr-BE"/>
              </w:rPr>
            </w:pPr>
            <w:r>
              <w:rPr>
                <w:noProof/>
                <w:sz w:val="16"/>
                <w:szCs w:val="16"/>
                <w:lang w:val="fr-BE"/>
              </w:rPr>
              <w:t>F</w:t>
            </w:r>
          </w:p>
        </w:tc>
        <w:tc>
          <w:tcPr>
            <w:tcW w:w="0" w:type="auto"/>
            <w:shd w:val="clear" w:color="auto" w:fill="auto"/>
          </w:tcPr>
          <w:p w14:paraId="3EE9511F" w14:textId="77777777" w:rsidR="008C5CFA" w:rsidRPr="0024468B" w:rsidRDefault="00E82A60" w:rsidP="00300A01">
            <w:pPr>
              <w:spacing w:before="0" w:after="0"/>
              <w:rPr>
                <w:sz w:val="16"/>
                <w:szCs w:val="16"/>
                <w:lang w:val="fr-BE"/>
              </w:rPr>
            </w:pPr>
            <w:r>
              <w:rPr>
                <w:noProof/>
                <w:sz w:val="16"/>
                <w:szCs w:val="16"/>
                <w:lang w:val="fr-BE"/>
              </w:rPr>
              <w:t>030</w:t>
            </w:r>
          </w:p>
        </w:tc>
        <w:tc>
          <w:tcPr>
            <w:tcW w:w="0" w:type="auto"/>
            <w:shd w:val="clear" w:color="auto" w:fill="auto"/>
          </w:tcPr>
          <w:p w14:paraId="17D9F0E6" w14:textId="77777777" w:rsidR="008C5CFA" w:rsidRPr="0024468B" w:rsidRDefault="00E82A60" w:rsidP="00300A01">
            <w:pPr>
              <w:spacing w:before="0" w:after="0"/>
              <w:rPr>
                <w:sz w:val="16"/>
                <w:szCs w:val="16"/>
                <w:lang w:val="fr-BE"/>
              </w:rPr>
            </w:pPr>
            <w:r>
              <w:rPr>
                <w:noProof/>
                <w:sz w:val="16"/>
                <w:szCs w:val="16"/>
                <w:lang w:val="fr-BE"/>
              </w:rPr>
              <w:t>Liczba przebudowanych  zakładów zagospodarowania odpadów</w:t>
            </w:r>
          </w:p>
        </w:tc>
        <w:tc>
          <w:tcPr>
            <w:tcW w:w="0" w:type="auto"/>
          </w:tcPr>
          <w:p w14:paraId="1EFB6AD8"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2E3E984B"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32653516"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6FB25D8A"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28BB5B17"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36A240D2"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r w:rsidR="006B2EC1" w14:paraId="701FC7E5" w14:textId="77777777" w:rsidTr="0047688D">
        <w:tc>
          <w:tcPr>
            <w:tcW w:w="0" w:type="auto"/>
          </w:tcPr>
          <w:p w14:paraId="7C1E779D" w14:textId="77777777" w:rsidR="008C5CFA" w:rsidRPr="0024468B" w:rsidRDefault="00E82A60" w:rsidP="00300A01">
            <w:pPr>
              <w:spacing w:before="0" w:after="0"/>
              <w:rPr>
                <w:sz w:val="16"/>
                <w:szCs w:val="16"/>
                <w:lang w:val="fr-BE"/>
              </w:rPr>
            </w:pPr>
            <w:r>
              <w:rPr>
                <w:noProof/>
                <w:sz w:val="16"/>
                <w:szCs w:val="16"/>
                <w:lang w:val="fr-BE"/>
              </w:rPr>
              <w:t>S</w:t>
            </w:r>
          </w:p>
        </w:tc>
        <w:tc>
          <w:tcPr>
            <w:tcW w:w="0" w:type="auto"/>
            <w:shd w:val="clear" w:color="auto" w:fill="auto"/>
          </w:tcPr>
          <w:p w14:paraId="37DFCC34" w14:textId="77777777" w:rsidR="008C5CFA" w:rsidRPr="0024468B" w:rsidRDefault="00E82A60" w:rsidP="00300A01">
            <w:pPr>
              <w:spacing w:before="0" w:after="0"/>
              <w:rPr>
                <w:sz w:val="16"/>
                <w:szCs w:val="16"/>
                <w:lang w:val="fr-BE"/>
              </w:rPr>
            </w:pPr>
            <w:r>
              <w:rPr>
                <w:noProof/>
                <w:sz w:val="16"/>
                <w:szCs w:val="16"/>
                <w:lang w:val="fr-BE"/>
              </w:rPr>
              <w:t>030</w:t>
            </w:r>
          </w:p>
        </w:tc>
        <w:tc>
          <w:tcPr>
            <w:tcW w:w="0" w:type="auto"/>
            <w:shd w:val="clear" w:color="auto" w:fill="auto"/>
          </w:tcPr>
          <w:p w14:paraId="1FA9BEA2" w14:textId="77777777" w:rsidR="008C5CFA" w:rsidRPr="0024468B" w:rsidRDefault="00E82A60" w:rsidP="00300A01">
            <w:pPr>
              <w:spacing w:before="0" w:after="0"/>
              <w:rPr>
                <w:sz w:val="16"/>
                <w:szCs w:val="16"/>
                <w:lang w:val="fr-BE"/>
              </w:rPr>
            </w:pPr>
            <w:r>
              <w:rPr>
                <w:noProof/>
                <w:sz w:val="16"/>
                <w:szCs w:val="16"/>
                <w:lang w:val="fr-BE"/>
              </w:rPr>
              <w:t>Liczba przebudowanych  zakładów zagospodarowania odpadów</w:t>
            </w:r>
          </w:p>
        </w:tc>
        <w:tc>
          <w:tcPr>
            <w:tcW w:w="0" w:type="auto"/>
          </w:tcPr>
          <w:p w14:paraId="4E031B3A"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683859C2"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54D85193"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09BE560A"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65F764BE"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5EE0C62E"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r w:rsidR="006B2EC1" w14:paraId="1BDF4C04" w14:textId="77777777" w:rsidTr="0047688D">
        <w:tc>
          <w:tcPr>
            <w:tcW w:w="0" w:type="auto"/>
          </w:tcPr>
          <w:p w14:paraId="0E449FB2" w14:textId="77777777" w:rsidR="008C5CFA" w:rsidRPr="0024468B" w:rsidRDefault="00E82A60" w:rsidP="00300A01">
            <w:pPr>
              <w:spacing w:before="0" w:after="0"/>
              <w:rPr>
                <w:sz w:val="16"/>
                <w:szCs w:val="16"/>
                <w:lang w:val="fr-BE"/>
              </w:rPr>
            </w:pPr>
            <w:r>
              <w:rPr>
                <w:noProof/>
                <w:sz w:val="16"/>
                <w:szCs w:val="16"/>
                <w:lang w:val="fr-BE"/>
              </w:rPr>
              <w:t>F</w:t>
            </w:r>
          </w:p>
        </w:tc>
        <w:tc>
          <w:tcPr>
            <w:tcW w:w="0" w:type="auto"/>
            <w:shd w:val="clear" w:color="auto" w:fill="auto"/>
          </w:tcPr>
          <w:p w14:paraId="79AF1ABF" w14:textId="77777777" w:rsidR="008C5CFA" w:rsidRPr="0024468B" w:rsidRDefault="00E82A60" w:rsidP="00300A01">
            <w:pPr>
              <w:spacing w:before="0" w:after="0"/>
              <w:rPr>
                <w:sz w:val="16"/>
                <w:szCs w:val="16"/>
                <w:lang w:val="fr-BE"/>
              </w:rPr>
            </w:pPr>
            <w:r>
              <w:rPr>
                <w:noProof/>
                <w:sz w:val="16"/>
                <w:szCs w:val="16"/>
                <w:lang w:val="fr-BE"/>
              </w:rPr>
              <w:t>031</w:t>
            </w:r>
          </w:p>
        </w:tc>
        <w:tc>
          <w:tcPr>
            <w:tcW w:w="0" w:type="auto"/>
            <w:shd w:val="clear" w:color="auto" w:fill="auto"/>
          </w:tcPr>
          <w:p w14:paraId="4DA1FC3C" w14:textId="77777777" w:rsidR="008C5CFA" w:rsidRPr="0024468B" w:rsidRDefault="00E82A60" w:rsidP="00300A01">
            <w:pPr>
              <w:spacing w:before="0" w:after="0"/>
              <w:rPr>
                <w:sz w:val="16"/>
                <w:szCs w:val="16"/>
                <w:lang w:val="fr-BE"/>
              </w:rPr>
            </w:pPr>
            <w:r>
              <w:rPr>
                <w:noProof/>
                <w:sz w:val="16"/>
                <w:szCs w:val="16"/>
                <w:lang w:val="fr-BE"/>
              </w:rPr>
              <w:t>Liczba wspartych Punktów Selektywnego Zbierania Odpadów Komunalnych</w:t>
            </w:r>
          </w:p>
        </w:tc>
        <w:tc>
          <w:tcPr>
            <w:tcW w:w="0" w:type="auto"/>
          </w:tcPr>
          <w:p w14:paraId="5A566489"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3F5BB456"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3C22158B"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02A14839"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005C5434"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711709C9"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r w:rsidR="006B2EC1" w14:paraId="1ACC0635" w14:textId="77777777" w:rsidTr="0047688D">
        <w:tc>
          <w:tcPr>
            <w:tcW w:w="0" w:type="auto"/>
          </w:tcPr>
          <w:p w14:paraId="6074039A" w14:textId="77777777" w:rsidR="008C5CFA" w:rsidRPr="0024468B" w:rsidRDefault="00E82A60" w:rsidP="00300A01">
            <w:pPr>
              <w:spacing w:before="0" w:after="0"/>
              <w:rPr>
                <w:sz w:val="16"/>
                <w:szCs w:val="16"/>
                <w:lang w:val="fr-BE"/>
              </w:rPr>
            </w:pPr>
            <w:r>
              <w:rPr>
                <w:noProof/>
                <w:sz w:val="16"/>
                <w:szCs w:val="16"/>
                <w:lang w:val="fr-BE"/>
              </w:rPr>
              <w:t>S</w:t>
            </w:r>
          </w:p>
        </w:tc>
        <w:tc>
          <w:tcPr>
            <w:tcW w:w="0" w:type="auto"/>
            <w:shd w:val="clear" w:color="auto" w:fill="auto"/>
          </w:tcPr>
          <w:p w14:paraId="5DBB1617" w14:textId="77777777" w:rsidR="008C5CFA" w:rsidRPr="0024468B" w:rsidRDefault="00E82A60" w:rsidP="00300A01">
            <w:pPr>
              <w:spacing w:before="0" w:after="0"/>
              <w:rPr>
                <w:sz w:val="16"/>
                <w:szCs w:val="16"/>
                <w:lang w:val="fr-BE"/>
              </w:rPr>
            </w:pPr>
            <w:r>
              <w:rPr>
                <w:noProof/>
                <w:sz w:val="16"/>
                <w:szCs w:val="16"/>
                <w:lang w:val="fr-BE"/>
              </w:rPr>
              <w:t>031</w:t>
            </w:r>
          </w:p>
        </w:tc>
        <w:tc>
          <w:tcPr>
            <w:tcW w:w="0" w:type="auto"/>
            <w:shd w:val="clear" w:color="auto" w:fill="auto"/>
          </w:tcPr>
          <w:p w14:paraId="6D4B66D1" w14:textId="77777777" w:rsidR="008C5CFA" w:rsidRPr="0024468B" w:rsidRDefault="00E82A60" w:rsidP="00300A01">
            <w:pPr>
              <w:spacing w:before="0" w:after="0"/>
              <w:rPr>
                <w:sz w:val="16"/>
                <w:szCs w:val="16"/>
                <w:lang w:val="fr-BE"/>
              </w:rPr>
            </w:pPr>
            <w:r>
              <w:rPr>
                <w:noProof/>
                <w:sz w:val="16"/>
                <w:szCs w:val="16"/>
                <w:lang w:val="fr-BE"/>
              </w:rPr>
              <w:t>Liczba wspartych Punktów Selektywnego Zbierania Odpadów Komunalnych</w:t>
            </w:r>
          </w:p>
        </w:tc>
        <w:tc>
          <w:tcPr>
            <w:tcW w:w="0" w:type="auto"/>
          </w:tcPr>
          <w:p w14:paraId="00B44070"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1E18BA5E"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35B26C09"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18E769FB"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00D96FBF"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30A09049"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r w:rsidR="006B2EC1" w14:paraId="0788B4DD" w14:textId="77777777" w:rsidTr="0047688D">
        <w:tc>
          <w:tcPr>
            <w:tcW w:w="0" w:type="auto"/>
          </w:tcPr>
          <w:p w14:paraId="2016DB63" w14:textId="77777777" w:rsidR="008C5CFA" w:rsidRPr="0024468B" w:rsidRDefault="00E82A60" w:rsidP="00300A01">
            <w:pPr>
              <w:spacing w:before="0" w:after="0"/>
              <w:rPr>
                <w:sz w:val="16"/>
                <w:szCs w:val="16"/>
                <w:lang w:val="fr-BE"/>
              </w:rPr>
            </w:pPr>
            <w:r>
              <w:rPr>
                <w:noProof/>
                <w:sz w:val="16"/>
                <w:szCs w:val="16"/>
                <w:lang w:val="fr-BE"/>
              </w:rPr>
              <w:t>F</w:t>
            </w:r>
          </w:p>
        </w:tc>
        <w:tc>
          <w:tcPr>
            <w:tcW w:w="0" w:type="auto"/>
            <w:shd w:val="clear" w:color="auto" w:fill="auto"/>
          </w:tcPr>
          <w:p w14:paraId="27EB22AC" w14:textId="77777777" w:rsidR="008C5CFA" w:rsidRPr="0024468B" w:rsidRDefault="00E82A60" w:rsidP="00300A01">
            <w:pPr>
              <w:spacing w:before="0" w:after="0"/>
              <w:rPr>
                <w:sz w:val="16"/>
                <w:szCs w:val="16"/>
                <w:lang w:val="fr-BE"/>
              </w:rPr>
            </w:pPr>
            <w:r>
              <w:rPr>
                <w:noProof/>
                <w:sz w:val="16"/>
                <w:szCs w:val="16"/>
                <w:lang w:val="fr-BE"/>
              </w:rPr>
              <w:t>032</w:t>
            </w:r>
          </w:p>
        </w:tc>
        <w:tc>
          <w:tcPr>
            <w:tcW w:w="0" w:type="auto"/>
            <w:shd w:val="clear" w:color="auto" w:fill="auto"/>
          </w:tcPr>
          <w:p w14:paraId="029DD713" w14:textId="77777777" w:rsidR="008C5CFA" w:rsidRPr="0024468B" w:rsidRDefault="00E82A60" w:rsidP="00300A01">
            <w:pPr>
              <w:spacing w:before="0" w:after="0"/>
              <w:rPr>
                <w:sz w:val="16"/>
                <w:szCs w:val="16"/>
                <w:lang w:val="fr-BE"/>
              </w:rPr>
            </w:pPr>
            <w:r>
              <w:rPr>
                <w:noProof/>
                <w:sz w:val="16"/>
                <w:szCs w:val="16"/>
                <w:lang w:val="fr-BE"/>
              </w:rPr>
              <w:t>Masa unieszkodliwionych odpadów niebezpiecznych</w:t>
            </w:r>
          </w:p>
        </w:tc>
        <w:tc>
          <w:tcPr>
            <w:tcW w:w="0" w:type="auto"/>
          </w:tcPr>
          <w:p w14:paraId="7C50A0AB"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3C30C17D"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357BA6DC"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63BD2694"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6A7DE1BE"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7A4A1807"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r w:rsidR="006B2EC1" w14:paraId="49530160" w14:textId="77777777" w:rsidTr="0047688D">
        <w:tc>
          <w:tcPr>
            <w:tcW w:w="0" w:type="auto"/>
          </w:tcPr>
          <w:p w14:paraId="228F408D" w14:textId="77777777" w:rsidR="008C5CFA" w:rsidRPr="0024468B" w:rsidRDefault="00E82A60" w:rsidP="00300A01">
            <w:pPr>
              <w:spacing w:before="0" w:after="0"/>
              <w:rPr>
                <w:sz w:val="16"/>
                <w:szCs w:val="16"/>
                <w:lang w:val="fr-BE"/>
              </w:rPr>
            </w:pPr>
            <w:r>
              <w:rPr>
                <w:noProof/>
                <w:sz w:val="16"/>
                <w:szCs w:val="16"/>
                <w:lang w:val="fr-BE"/>
              </w:rPr>
              <w:t>S</w:t>
            </w:r>
          </w:p>
        </w:tc>
        <w:tc>
          <w:tcPr>
            <w:tcW w:w="0" w:type="auto"/>
            <w:shd w:val="clear" w:color="auto" w:fill="auto"/>
          </w:tcPr>
          <w:p w14:paraId="6CAC38E3" w14:textId="77777777" w:rsidR="008C5CFA" w:rsidRPr="0024468B" w:rsidRDefault="00E82A60" w:rsidP="00300A01">
            <w:pPr>
              <w:spacing w:before="0" w:after="0"/>
              <w:rPr>
                <w:sz w:val="16"/>
                <w:szCs w:val="16"/>
                <w:lang w:val="fr-BE"/>
              </w:rPr>
            </w:pPr>
            <w:r>
              <w:rPr>
                <w:noProof/>
                <w:sz w:val="16"/>
                <w:szCs w:val="16"/>
                <w:lang w:val="fr-BE"/>
              </w:rPr>
              <w:t>032</w:t>
            </w:r>
          </w:p>
        </w:tc>
        <w:tc>
          <w:tcPr>
            <w:tcW w:w="0" w:type="auto"/>
            <w:shd w:val="clear" w:color="auto" w:fill="auto"/>
          </w:tcPr>
          <w:p w14:paraId="260F4A3D" w14:textId="77777777" w:rsidR="008C5CFA" w:rsidRPr="0024468B" w:rsidRDefault="00E82A60" w:rsidP="00300A01">
            <w:pPr>
              <w:spacing w:before="0" w:after="0"/>
              <w:rPr>
                <w:sz w:val="16"/>
                <w:szCs w:val="16"/>
                <w:lang w:val="fr-BE"/>
              </w:rPr>
            </w:pPr>
            <w:r>
              <w:rPr>
                <w:noProof/>
                <w:sz w:val="16"/>
                <w:szCs w:val="16"/>
                <w:lang w:val="fr-BE"/>
              </w:rPr>
              <w:t>Masa unieszkodliwionych odpadów niebezpiecznych</w:t>
            </w:r>
          </w:p>
        </w:tc>
        <w:tc>
          <w:tcPr>
            <w:tcW w:w="0" w:type="auto"/>
          </w:tcPr>
          <w:p w14:paraId="339FBDAF"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123CACE8"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3CC1FAF3"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78C51EBB"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3D38DFB3"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49EAA1EE"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bl>
    <w:p w14:paraId="10689885" w14:textId="77777777" w:rsidR="008C5CFA" w:rsidRDefault="008C5CFA" w:rsidP="00300A01">
      <w:pPr>
        <w:spacing w:before="0" w:after="0"/>
        <w:rPr>
          <w:lang w:val="fr-BE"/>
        </w:rPr>
      </w:pPr>
    </w:p>
    <w:p w14:paraId="17AFD539" w14:textId="77777777" w:rsidR="008C5CFA" w:rsidRDefault="008C5CFA" w:rsidP="00300A01">
      <w:pPr>
        <w:spacing w:before="0" w:after="0"/>
        <w:rPr>
          <w:lang w:val="fr-BE"/>
        </w:rPr>
      </w:pPr>
    </w:p>
    <w:p w14:paraId="4F93BA4E" w14:textId="77777777" w:rsidR="008C5CFA" w:rsidRDefault="00E82A60" w:rsidP="00300A01">
      <w:pPr>
        <w:spacing w:before="0" w:after="0"/>
        <w:rPr>
          <w:lang w:val="fr-BE"/>
        </w:rPr>
      </w:pPr>
      <w:r>
        <w:rPr>
          <w:lang w:val="fr-BE"/>
        </w:rPr>
        <w:br w:type="page"/>
      </w:r>
    </w:p>
    <w:p w14:paraId="715F30ED"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2"/>
        <w:gridCol w:w="13412"/>
      </w:tblGrid>
      <w:tr w:rsidR="006B2EC1" w14:paraId="41B89897" w14:textId="77777777" w:rsidTr="0047688D">
        <w:tc>
          <w:tcPr>
            <w:tcW w:w="0" w:type="auto"/>
            <w:shd w:val="clear" w:color="auto" w:fill="auto"/>
          </w:tcPr>
          <w:p w14:paraId="6BE4F832" w14:textId="77777777" w:rsidR="008C5CFA" w:rsidRPr="002124FC" w:rsidRDefault="00E82A60" w:rsidP="00300A01">
            <w:pPr>
              <w:spacing w:before="0" w:after="0"/>
              <w:rPr>
                <w:sz w:val="20"/>
                <w:szCs w:val="20"/>
                <w:lang w:val="fr-BE"/>
              </w:rPr>
            </w:pPr>
            <w:r>
              <w:rPr>
                <w:lang w:val="fr-BE"/>
              </w:rPr>
              <w:br w:type="page"/>
            </w:r>
            <w:r>
              <w:rPr>
                <w:lang w:val="fr-BE"/>
              </w:rPr>
              <w:br w:type="page"/>
            </w:r>
            <w:r>
              <w:rPr>
                <w:lang w:val="fr-BE"/>
              </w:rPr>
              <w:br w:type="page"/>
            </w:r>
            <w:r w:rsidRPr="002124FC">
              <w:rPr>
                <w:noProof/>
                <w:sz w:val="20"/>
                <w:szCs w:val="20"/>
                <w:lang w:val="fr-BE"/>
              </w:rPr>
              <w:t>Oś priorytetowa</w:t>
            </w:r>
          </w:p>
        </w:tc>
        <w:tc>
          <w:tcPr>
            <w:tcW w:w="0" w:type="auto"/>
            <w:shd w:val="clear" w:color="auto" w:fill="auto"/>
          </w:tcPr>
          <w:p w14:paraId="4A1278FF" w14:textId="77777777" w:rsidR="008C5CFA" w:rsidRPr="002124FC" w:rsidRDefault="00E82A60" w:rsidP="00300A01">
            <w:pPr>
              <w:spacing w:before="0" w:after="0"/>
              <w:rPr>
                <w:sz w:val="20"/>
                <w:szCs w:val="20"/>
                <w:lang w:val="fr-BE"/>
              </w:rPr>
            </w:pPr>
            <w:r>
              <w:rPr>
                <w:noProof/>
                <w:sz w:val="20"/>
                <w:szCs w:val="20"/>
                <w:lang w:val="fr-BE"/>
              </w:rPr>
              <w:t>4</w:t>
            </w:r>
            <w:r w:rsidRPr="002124FC">
              <w:rPr>
                <w:sz w:val="20"/>
                <w:szCs w:val="20"/>
                <w:lang w:val="fr-BE"/>
              </w:rPr>
              <w:t xml:space="preserve"> - </w:t>
            </w:r>
            <w:r>
              <w:rPr>
                <w:noProof/>
                <w:sz w:val="20"/>
                <w:szCs w:val="20"/>
                <w:lang w:val="fr-BE"/>
              </w:rPr>
              <w:t>Dziedzictwo naturalne i kulturowe</w:t>
            </w:r>
          </w:p>
        </w:tc>
      </w:tr>
      <w:tr w:rsidR="006B2EC1" w14:paraId="3BC36AFF" w14:textId="77777777" w:rsidTr="0047688D">
        <w:tc>
          <w:tcPr>
            <w:tcW w:w="0" w:type="auto"/>
            <w:shd w:val="clear" w:color="auto" w:fill="auto"/>
          </w:tcPr>
          <w:p w14:paraId="61C2BD68" w14:textId="77777777" w:rsidR="008C5CFA" w:rsidRPr="002124FC" w:rsidRDefault="00E82A60"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14:paraId="06E935D9" w14:textId="77777777" w:rsidR="008C5CFA" w:rsidRPr="002124FC" w:rsidRDefault="00E82A60" w:rsidP="00300A01">
            <w:pPr>
              <w:spacing w:before="0" w:after="0"/>
              <w:rPr>
                <w:sz w:val="20"/>
                <w:szCs w:val="20"/>
                <w:lang w:val="fr-BE"/>
              </w:rPr>
            </w:pPr>
            <w:r w:rsidRPr="002124FC">
              <w:rPr>
                <w:noProof/>
                <w:sz w:val="20"/>
                <w:szCs w:val="20"/>
                <w:lang w:val="fr-BE"/>
              </w:rPr>
              <w:t>6a</w:t>
            </w:r>
            <w:r w:rsidRPr="002124FC">
              <w:rPr>
                <w:sz w:val="20"/>
                <w:szCs w:val="20"/>
                <w:lang w:val="fr-BE"/>
              </w:rPr>
              <w:t xml:space="preserve"> - </w:t>
            </w:r>
            <w:r>
              <w:rPr>
                <w:noProof/>
                <w:sz w:val="20"/>
                <w:szCs w:val="20"/>
                <w:lang w:val="fr-BE"/>
              </w:rPr>
              <w:t>Inwestowanie w sektor gospodarki odpadami celem wypełnienia zobowiązań określonych w dorobku prawnym Unii w zakresie środowiska oraz zaspokojenia wykraczających poza te zobowiązania potrzeb inwestycyjnych określonych przez państwa członkowskie</w:t>
            </w:r>
          </w:p>
        </w:tc>
      </w:tr>
      <w:tr w:rsidR="006B2EC1" w14:paraId="71F17B69" w14:textId="77777777" w:rsidTr="0047688D">
        <w:tc>
          <w:tcPr>
            <w:tcW w:w="0" w:type="auto"/>
            <w:shd w:val="clear" w:color="auto" w:fill="auto"/>
          </w:tcPr>
          <w:p w14:paraId="52EC9612" w14:textId="77777777" w:rsidR="008C5CFA" w:rsidRPr="002124FC" w:rsidRDefault="00E82A60" w:rsidP="00300A01">
            <w:pPr>
              <w:spacing w:before="0" w:after="0"/>
              <w:ind w:left="113" w:hanging="113"/>
              <w:rPr>
                <w:sz w:val="20"/>
                <w:szCs w:val="20"/>
                <w:lang w:val="fr-BE"/>
              </w:rPr>
            </w:pPr>
            <w:r>
              <w:rPr>
                <w:noProof/>
                <w:sz w:val="20"/>
                <w:szCs w:val="20"/>
                <w:lang w:val="fr-BE"/>
              </w:rPr>
              <w:t>Cel szczegółowy</w:t>
            </w:r>
          </w:p>
        </w:tc>
        <w:tc>
          <w:tcPr>
            <w:tcW w:w="0" w:type="auto"/>
            <w:shd w:val="clear" w:color="auto" w:fill="auto"/>
          </w:tcPr>
          <w:p w14:paraId="59461DC9" w14:textId="77777777" w:rsidR="008C5CFA" w:rsidRPr="002124FC" w:rsidRDefault="00E82A60" w:rsidP="00300A01">
            <w:pPr>
              <w:spacing w:before="0" w:after="0"/>
              <w:rPr>
                <w:sz w:val="20"/>
                <w:szCs w:val="20"/>
                <w:lang w:val="fr-BE"/>
              </w:rPr>
            </w:pPr>
            <w:r>
              <w:rPr>
                <w:noProof/>
                <w:sz w:val="20"/>
                <w:szCs w:val="20"/>
                <w:lang w:val="fr-BE"/>
              </w:rPr>
              <w:t>1</w:t>
            </w:r>
            <w:r>
              <w:rPr>
                <w:sz w:val="20"/>
                <w:szCs w:val="20"/>
                <w:lang w:val="fr-BE"/>
              </w:rPr>
              <w:t xml:space="preserve"> - </w:t>
            </w:r>
            <w:r>
              <w:rPr>
                <w:noProof/>
                <w:sz w:val="20"/>
                <w:szCs w:val="20"/>
                <w:lang w:val="fr-BE"/>
              </w:rPr>
              <w:t>Zwiększony udział odpadów zebranych selektywnie</w:t>
            </w:r>
          </w:p>
        </w:tc>
      </w:tr>
    </w:tbl>
    <w:p w14:paraId="581871B7" w14:textId="77777777" w:rsidR="008C5CFA" w:rsidRDefault="008C5CFA" w:rsidP="00300A01">
      <w:pPr>
        <w:spacing w:before="0" w:after="0"/>
        <w:rPr>
          <w:lang w:val="fr-BE"/>
        </w:rPr>
      </w:pPr>
    </w:p>
    <w:p w14:paraId="3CCF5C03" w14:textId="77777777" w:rsidR="008C5CFA" w:rsidRDefault="00E82A60" w:rsidP="00300A01">
      <w:pPr>
        <w:spacing w:before="0" w:after="0"/>
        <w:rPr>
          <w:lang w:val="fr-BE"/>
        </w:rPr>
      </w:pPr>
      <w:r>
        <w:rPr>
          <w:lang w:val="fr-BE"/>
        </w:rPr>
        <w:t xml:space="preserve">Tabela 1: Wskaźniki rezultatu dla EFRR i Funduszu Spójności (według osi priorytetowej i celu szczegółowego); ma zastosowanie także do osi priorytetowej </w:t>
      </w:r>
      <w:r>
        <w:t>"</w:t>
      </w:r>
      <w:r>
        <w:rPr>
          <w:lang w:val="fr-BE"/>
        </w:rPr>
        <w:t>Pomoc techniczna</w:t>
      </w:r>
      <w:r>
        <w:t>"</w:t>
      </w:r>
    </w:p>
    <w:p w14:paraId="7A09B375"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3243"/>
        <w:gridCol w:w="1088"/>
        <w:gridCol w:w="1173"/>
        <w:gridCol w:w="1057"/>
        <w:gridCol w:w="892"/>
        <w:gridCol w:w="1372"/>
        <w:gridCol w:w="941"/>
        <w:gridCol w:w="1163"/>
        <w:gridCol w:w="3799"/>
      </w:tblGrid>
      <w:tr w:rsidR="006B2EC1" w14:paraId="6C1C035A" w14:textId="77777777" w:rsidTr="0047688D">
        <w:tc>
          <w:tcPr>
            <w:tcW w:w="0" w:type="auto"/>
            <w:shd w:val="clear" w:color="auto" w:fill="auto"/>
          </w:tcPr>
          <w:p w14:paraId="61367D92" w14:textId="77777777" w:rsidR="008C5CFA" w:rsidRPr="0024468B" w:rsidRDefault="00E82A60" w:rsidP="00300A01">
            <w:pPr>
              <w:spacing w:before="0" w:after="0"/>
              <w:rPr>
                <w:sz w:val="16"/>
                <w:szCs w:val="16"/>
                <w:lang w:val="fr-BE"/>
              </w:rPr>
            </w:pPr>
            <w:r w:rsidRPr="0024468B">
              <w:rPr>
                <w:noProof/>
                <w:sz w:val="16"/>
                <w:szCs w:val="16"/>
                <w:lang w:val="fr-BE"/>
              </w:rPr>
              <w:t>ID</w:t>
            </w:r>
          </w:p>
        </w:tc>
        <w:tc>
          <w:tcPr>
            <w:tcW w:w="0" w:type="auto"/>
            <w:shd w:val="clear" w:color="auto" w:fill="auto"/>
          </w:tcPr>
          <w:p w14:paraId="027C43CD" w14:textId="77777777" w:rsidR="008C5CFA" w:rsidRPr="0024468B" w:rsidRDefault="00E82A60" w:rsidP="00300A01">
            <w:pPr>
              <w:spacing w:before="0" w:after="0"/>
              <w:rPr>
                <w:sz w:val="16"/>
                <w:szCs w:val="16"/>
                <w:lang w:val="fr-BE"/>
              </w:rPr>
            </w:pPr>
            <w:r w:rsidRPr="0024468B">
              <w:rPr>
                <w:noProof/>
                <w:sz w:val="16"/>
                <w:szCs w:val="16"/>
                <w:lang w:val="fr-BE"/>
              </w:rPr>
              <w:t>Wskaźnik</w:t>
            </w:r>
          </w:p>
        </w:tc>
        <w:tc>
          <w:tcPr>
            <w:tcW w:w="0" w:type="auto"/>
            <w:shd w:val="clear" w:color="auto" w:fill="auto"/>
          </w:tcPr>
          <w:p w14:paraId="7441C950" w14:textId="77777777" w:rsidR="008C5CFA" w:rsidRPr="0024468B" w:rsidRDefault="00E82A60" w:rsidP="00300A01">
            <w:pPr>
              <w:spacing w:before="0" w:after="0"/>
              <w:rPr>
                <w:sz w:val="16"/>
                <w:szCs w:val="16"/>
                <w:lang w:val="fr-BE"/>
              </w:rPr>
            </w:pPr>
            <w:r w:rsidRPr="0024468B">
              <w:rPr>
                <w:noProof/>
                <w:sz w:val="16"/>
                <w:szCs w:val="16"/>
                <w:lang w:val="fr-BE"/>
              </w:rPr>
              <w:t>Jednostka miary</w:t>
            </w:r>
          </w:p>
        </w:tc>
        <w:tc>
          <w:tcPr>
            <w:tcW w:w="0" w:type="auto"/>
            <w:shd w:val="clear" w:color="auto" w:fill="auto"/>
          </w:tcPr>
          <w:p w14:paraId="1AD50AF6" w14:textId="77777777" w:rsidR="008C5CFA" w:rsidRPr="0024468B" w:rsidRDefault="00E82A60" w:rsidP="00300A01">
            <w:pPr>
              <w:spacing w:before="0" w:after="0"/>
              <w:rPr>
                <w:sz w:val="16"/>
                <w:szCs w:val="16"/>
                <w:lang w:val="fr-BE"/>
              </w:rPr>
            </w:pPr>
            <w:r w:rsidRPr="0024468B">
              <w:rPr>
                <w:noProof/>
                <w:sz w:val="16"/>
                <w:szCs w:val="16"/>
                <w:lang w:val="fr-BE"/>
              </w:rPr>
              <w:t>Kategoria regionu</w:t>
            </w:r>
          </w:p>
        </w:tc>
        <w:tc>
          <w:tcPr>
            <w:tcW w:w="0" w:type="auto"/>
            <w:shd w:val="clear" w:color="auto" w:fill="auto"/>
          </w:tcPr>
          <w:p w14:paraId="7A12445F" w14:textId="77777777" w:rsidR="008C5CFA" w:rsidRPr="0024468B" w:rsidRDefault="00E82A60" w:rsidP="00300A01">
            <w:pPr>
              <w:spacing w:before="0" w:after="0"/>
              <w:rPr>
                <w:sz w:val="16"/>
                <w:szCs w:val="16"/>
                <w:lang w:val="fr-BE"/>
              </w:rPr>
            </w:pPr>
            <w:r w:rsidRPr="0024468B">
              <w:rPr>
                <w:noProof/>
                <w:sz w:val="16"/>
                <w:szCs w:val="16"/>
                <w:lang w:val="fr-BE"/>
              </w:rPr>
              <w:t>Wartość bazowa</w:t>
            </w:r>
          </w:p>
        </w:tc>
        <w:tc>
          <w:tcPr>
            <w:tcW w:w="0" w:type="auto"/>
            <w:shd w:val="clear" w:color="auto" w:fill="auto"/>
          </w:tcPr>
          <w:p w14:paraId="29D5FBE1" w14:textId="77777777" w:rsidR="008C5CFA" w:rsidRPr="0024468B" w:rsidRDefault="00E82A60" w:rsidP="00300A01">
            <w:pPr>
              <w:spacing w:before="0" w:after="0"/>
              <w:rPr>
                <w:sz w:val="16"/>
                <w:szCs w:val="16"/>
                <w:lang w:val="fr-BE"/>
              </w:rPr>
            </w:pPr>
            <w:r w:rsidRPr="0024468B">
              <w:rPr>
                <w:noProof/>
                <w:sz w:val="16"/>
                <w:szCs w:val="16"/>
                <w:lang w:val="fr-BE"/>
              </w:rPr>
              <w:t>Rok bazowy</w:t>
            </w:r>
          </w:p>
        </w:tc>
        <w:tc>
          <w:tcPr>
            <w:tcW w:w="0" w:type="auto"/>
            <w:shd w:val="clear" w:color="auto" w:fill="auto"/>
          </w:tcPr>
          <w:p w14:paraId="112CBAE3" w14:textId="77777777" w:rsidR="008C5CFA" w:rsidRPr="0024468B" w:rsidRDefault="00E82A60" w:rsidP="00300A01">
            <w:pPr>
              <w:spacing w:before="0" w:after="0"/>
              <w:rPr>
                <w:sz w:val="16"/>
                <w:szCs w:val="16"/>
                <w:lang w:val="fr-BE"/>
              </w:rPr>
            </w:pPr>
            <w:r w:rsidRPr="0024468B">
              <w:rPr>
                <w:noProof/>
                <w:sz w:val="16"/>
                <w:szCs w:val="16"/>
                <w:lang w:val="fr-BE"/>
              </w:rPr>
              <w:t>Wartość docelowa 2023</w:t>
            </w:r>
          </w:p>
        </w:tc>
        <w:tc>
          <w:tcPr>
            <w:tcW w:w="0" w:type="auto"/>
            <w:shd w:val="clear" w:color="auto" w:fill="auto"/>
          </w:tcPr>
          <w:p w14:paraId="7C0A4943" w14:textId="77777777" w:rsidR="008C5CFA" w:rsidRPr="0024468B" w:rsidRDefault="00E82A60" w:rsidP="00300A01">
            <w:pPr>
              <w:spacing w:before="0" w:after="0"/>
              <w:jc w:val="center"/>
              <w:rPr>
                <w:sz w:val="16"/>
                <w:szCs w:val="16"/>
                <w:lang w:val="fr-BE"/>
              </w:rPr>
            </w:pPr>
            <w:r>
              <w:rPr>
                <w:sz w:val="16"/>
                <w:szCs w:val="16"/>
                <w:lang w:val="fr-BE"/>
              </w:rPr>
              <w:t xml:space="preserve">2019 </w:t>
            </w:r>
            <w:r>
              <w:rPr>
                <w:noProof/>
                <w:sz w:val="16"/>
                <w:szCs w:val="16"/>
                <w:lang w:val="fr-BE"/>
              </w:rPr>
              <w:t>Ogółem</w:t>
            </w:r>
          </w:p>
        </w:tc>
        <w:tc>
          <w:tcPr>
            <w:tcW w:w="0" w:type="auto"/>
            <w:shd w:val="clear" w:color="auto" w:fill="auto"/>
          </w:tcPr>
          <w:p w14:paraId="31A99563" w14:textId="77777777" w:rsidR="008C5CFA" w:rsidRPr="0024468B" w:rsidRDefault="00E82A60" w:rsidP="00300A01">
            <w:pPr>
              <w:spacing w:before="0" w:after="0"/>
              <w:jc w:val="center"/>
              <w:rPr>
                <w:sz w:val="16"/>
                <w:szCs w:val="16"/>
                <w:lang w:val="fr-BE"/>
              </w:rPr>
            </w:pPr>
            <w:r>
              <w:rPr>
                <w:sz w:val="16"/>
                <w:szCs w:val="16"/>
                <w:lang w:val="fr-BE"/>
              </w:rPr>
              <w:t xml:space="preserve">2019 </w:t>
            </w:r>
            <w:r w:rsidRPr="0024468B">
              <w:rPr>
                <w:noProof/>
                <w:sz w:val="16"/>
                <w:szCs w:val="16"/>
                <w:lang w:val="fr-BE"/>
              </w:rPr>
              <w:t>Jakościowe</w:t>
            </w:r>
          </w:p>
        </w:tc>
        <w:tc>
          <w:tcPr>
            <w:tcW w:w="0" w:type="auto"/>
            <w:shd w:val="clear" w:color="auto" w:fill="auto"/>
          </w:tcPr>
          <w:p w14:paraId="51D4CF28" w14:textId="77777777" w:rsidR="008C5CFA" w:rsidRPr="0024468B" w:rsidRDefault="00E82A60" w:rsidP="00300A01">
            <w:pPr>
              <w:spacing w:before="0" w:after="0"/>
              <w:jc w:val="center"/>
              <w:rPr>
                <w:sz w:val="16"/>
                <w:szCs w:val="16"/>
                <w:lang w:val="fr-BE"/>
              </w:rPr>
            </w:pPr>
            <w:r w:rsidRPr="0024468B">
              <w:rPr>
                <w:noProof/>
                <w:sz w:val="16"/>
                <w:szCs w:val="16"/>
                <w:lang w:val="fr-BE"/>
              </w:rPr>
              <w:t>Uwagi</w:t>
            </w:r>
          </w:p>
        </w:tc>
      </w:tr>
      <w:tr w:rsidR="006B2EC1" w14:paraId="08F8A49D" w14:textId="77777777" w:rsidTr="0047688D">
        <w:tc>
          <w:tcPr>
            <w:tcW w:w="0" w:type="auto"/>
            <w:shd w:val="clear" w:color="auto" w:fill="auto"/>
          </w:tcPr>
          <w:p w14:paraId="09B97B06" w14:textId="77777777" w:rsidR="008C5CFA" w:rsidRPr="0024468B" w:rsidRDefault="00E82A60" w:rsidP="00300A01">
            <w:pPr>
              <w:spacing w:before="0" w:after="0"/>
              <w:rPr>
                <w:sz w:val="16"/>
                <w:szCs w:val="16"/>
                <w:lang w:val="fr-BE"/>
              </w:rPr>
            </w:pPr>
            <w:r w:rsidRPr="0024468B">
              <w:rPr>
                <w:noProof/>
                <w:sz w:val="16"/>
                <w:szCs w:val="16"/>
                <w:lang w:val="fr-BE"/>
              </w:rPr>
              <w:t>045</w:t>
            </w:r>
          </w:p>
        </w:tc>
        <w:tc>
          <w:tcPr>
            <w:tcW w:w="0" w:type="auto"/>
            <w:shd w:val="clear" w:color="auto" w:fill="auto"/>
          </w:tcPr>
          <w:p w14:paraId="2BB15B3D" w14:textId="77777777" w:rsidR="008C5CFA" w:rsidRPr="0024468B" w:rsidRDefault="00E82A60" w:rsidP="00300A01">
            <w:pPr>
              <w:spacing w:before="0" w:after="0"/>
              <w:rPr>
                <w:sz w:val="16"/>
                <w:szCs w:val="16"/>
                <w:lang w:val="fr-BE"/>
              </w:rPr>
            </w:pPr>
            <w:r w:rsidRPr="0024468B">
              <w:rPr>
                <w:noProof/>
                <w:sz w:val="16"/>
                <w:szCs w:val="16"/>
                <w:lang w:val="fr-BE"/>
              </w:rPr>
              <w:t>Odpady zebrane selektywnie w relacji do ogółu odpadów komunalnych</w:t>
            </w:r>
          </w:p>
        </w:tc>
        <w:tc>
          <w:tcPr>
            <w:tcW w:w="0" w:type="auto"/>
            <w:shd w:val="clear" w:color="auto" w:fill="auto"/>
          </w:tcPr>
          <w:p w14:paraId="4E0606A1" w14:textId="77777777" w:rsidR="008C5CFA" w:rsidRPr="0024468B" w:rsidRDefault="00E82A60" w:rsidP="00300A01">
            <w:pPr>
              <w:spacing w:before="0" w:after="0"/>
              <w:rPr>
                <w:sz w:val="16"/>
                <w:szCs w:val="16"/>
                <w:lang w:val="fr-BE"/>
              </w:rPr>
            </w:pPr>
            <w:r w:rsidRPr="0024468B">
              <w:rPr>
                <w:noProof/>
                <w:sz w:val="16"/>
                <w:szCs w:val="16"/>
                <w:lang w:val="fr-BE"/>
              </w:rPr>
              <w:t>%</w:t>
            </w:r>
          </w:p>
        </w:tc>
        <w:tc>
          <w:tcPr>
            <w:tcW w:w="0" w:type="auto"/>
            <w:shd w:val="clear" w:color="auto" w:fill="auto"/>
          </w:tcPr>
          <w:p w14:paraId="583935AA" w14:textId="77777777" w:rsidR="008C5CFA" w:rsidRPr="0024468B" w:rsidRDefault="00E82A60"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14:paraId="25CC992B" w14:textId="77777777" w:rsidR="008C5CFA" w:rsidRPr="00C3185A" w:rsidRDefault="00E82A60" w:rsidP="00300A01">
            <w:pPr>
              <w:spacing w:before="0" w:after="0"/>
              <w:jc w:val="right"/>
              <w:rPr>
                <w:sz w:val="16"/>
                <w:szCs w:val="16"/>
                <w:lang w:val="fr-BE"/>
              </w:rPr>
            </w:pPr>
            <w:r w:rsidRPr="00C3185A">
              <w:rPr>
                <w:noProof/>
                <w:sz w:val="16"/>
                <w:szCs w:val="16"/>
                <w:lang w:val="fr-BE"/>
              </w:rPr>
              <w:t>7,80</w:t>
            </w:r>
          </w:p>
        </w:tc>
        <w:tc>
          <w:tcPr>
            <w:tcW w:w="0" w:type="auto"/>
            <w:shd w:val="clear" w:color="auto" w:fill="auto"/>
          </w:tcPr>
          <w:p w14:paraId="351CDB5E" w14:textId="77777777" w:rsidR="008C5CFA" w:rsidRPr="0024468B" w:rsidRDefault="00E82A60" w:rsidP="00300A01">
            <w:pPr>
              <w:spacing w:before="0" w:after="0"/>
              <w:rPr>
                <w:sz w:val="16"/>
                <w:szCs w:val="16"/>
                <w:lang w:val="fr-BE"/>
              </w:rPr>
            </w:pPr>
            <w:r w:rsidRPr="0024468B">
              <w:rPr>
                <w:noProof/>
                <w:sz w:val="16"/>
                <w:szCs w:val="16"/>
                <w:lang w:val="fr-BE"/>
              </w:rPr>
              <w:t>2012</w:t>
            </w:r>
          </w:p>
        </w:tc>
        <w:tc>
          <w:tcPr>
            <w:tcW w:w="0" w:type="auto"/>
            <w:shd w:val="clear" w:color="auto" w:fill="auto"/>
          </w:tcPr>
          <w:p w14:paraId="2F186956" w14:textId="77777777" w:rsidR="008C5CFA" w:rsidRPr="0024468B" w:rsidRDefault="00E82A60" w:rsidP="00300A01">
            <w:pPr>
              <w:spacing w:before="0" w:after="0"/>
              <w:jc w:val="right"/>
              <w:rPr>
                <w:sz w:val="16"/>
                <w:szCs w:val="16"/>
                <w:lang w:val="fr-BE"/>
              </w:rPr>
            </w:pPr>
            <w:r w:rsidRPr="0024468B">
              <w:rPr>
                <w:noProof/>
                <w:sz w:val="16"/>
                <w:szCs w:val="16"/>
                <w:lang w:val="fr-BE"/>
              </w:rPr>
              <w:t>50,00</w:t>
            </w:r>
          </w:p>
        </w:tc>
        <w:tc>
          <w:tcPr>
            <w:tcW w:w="0" w:type="auto"/>
            <w:shd w:val="clear" w:color="auto" w:fill="auto"/>
          </w:tcPr>
          <w:p w14:paraId="568DC6F5"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1816801F" w14:textId="77777777" w:rsidR="008C5CFA" w:rsidRPr="0024468B" w:rsidRDefault="008C5CFA" w:rsidP="00300A01">
            <w:pPr>
              <w:spacing w:before="0" w:after="0"/>
              <w:jc w:val="right"/>
              <w:rPr>
                <w:sz w:val="16"/>
                <w:szCs w:val="16"/>
                <w:lang w:val="fr-BE"/>
              </w:rPr>
            </w:pPr>
          </w:p>
        </w:tc>
        <w:tc>
          <w:tcPr>
            <w:tcW w:w="0" w:type="auto"/>
            <w:shd w:val="clear" w:color="auto" w:fill="auto"/>
          </w:tcPr>
          <w:p w14:paraId="323DD3F1" w14:textId="77777777" w:rsidR="008C5CFA" w:rsidRPr="0024468B" w:rsidRDefault="00E82A60" w:rsidP="00300A01">
            <w:pPr>
              <w:spacing w:before="0" w:after="0"/>
              <w:rPr>
                <w:sz w:val="16"/>
                <w:szCs w:val="16"/>
                <w:lang w:val="fr-BE"/>
              </w:rPr>
            </w:pPr>
            <w:r w:rsidRPr="0024468B">
              <w:rPr>
                <w:noProof/>
                <w:sz w:val="16"/>
                <w:szCs w:val="16"/>
                <w:lang w:val="fr-BE"/>
              </w:rPr>
              <w:t>Brak aktualnych danych dostępnych w statystykach publicznych (systemie STRATEG)</w:t>
            </w:r>
          </w:p>
        </w:tc>
      </w:tr>
    </w:tbl>
    <w:p w14:paraId="45CFC944"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
        <w:gridCol w:w="4899"/>
        <w:gridCol w:w="1114"/>
        <w:gridCol w:w="1341"/>
        <w:gridCol w:w="1114"/>
        <w:gridCol w:w="1341"/>
        <w:gridCol w:w="1114"/>
        <w:gridCol w:w="1341"/>
        <w:gridCol w:w="1114"/>
        <w:gridCol w:w="1341"/>
      </w:tblGrid>
      <w:tr w:rsidR="006B2EC1" w14:paraId="6584393A" w14:textId="77777777" w:rsidTr="0047688D">
        <w:tc>
          <w:tcPr>
            <w:tcW w:w="0" w:type="auto"/>
            <w:shd w:val="clear" w:color="auto" w:fill="auto"/>
          </w:tcPr>
          <w:p w14:paraId="4F691250" w14:textId="77777777" w:rsidR="008C5CFA" w:rsidRPr="0024468B" w:rsidRDefault="00E82A60" w:rsidP="00300A01">
            <w:pPr>
              <w:spacing w:before="0" w:after="0"/>
              <w:rPr>
                <w:sz w:val="16"/>
                <w:szCs w:val="16"/>
                <w:lang w:val="fr-BE"/>
              </w:rPr>
            </w:pPr>
            <w:r w:rsidRPr="0024468B">
              <w:rPr>
                <w:noProof/>
                <w:sz w:val="16"/>
                <w:szCs w:val="16"/>
                <w:lang w:val="fr-BE"/>
              </w:rPr>
              <w:t>ID</w:t>
            </w:r>
          </w:p>
        </w:tc>
        <w:tc>
          <w:tcPr>
            <w:tcW w:w="0" w:type="auto"/>
            <w:shd w:val="clear" w:color="auto" w:fill="auto"/>
          </w:tcPr>
          <w:p w14:paraId="0CF07463" w14:textId="77777777" w:rsidR="008C5CFA" w:rsidRPr="0024468B" w:rsidRDefault="00E82A60" w:rsidP="00300A01">
            <w:pPr>
              <w:spacing w:before="0" w:after="0"/>
              <w:rPr>
                <w:sz w:val="16"/>
                <w:szCs w:val="16"/>
                <w:lang w:val="fr-BE"/>
              </w:rPr>
            </w:pPr>
            <w:r w:rsidRPr="0024468B">
              <w:rPr>
                <w:noProof/>
                <w:sz w:val="16"/>
                <w:szCs w:val="16"/>
                <w:lang w:val="fr-BE"/>
              </w:rPr>
              <w:t>Wskaźnik</w:t>
            </w:r>
          </w:p>
        </w:tc>
        <w:tc>
          <w:tcPr>
            <w:tcW w:w="0" w:type="auto"/>
          </w:tcPr>
          <w:p w14:paraId="7FADADF6" w14:textId="77777777" w:rsidR="008C5CFA" w:rsidRPr="0024468B" w:rsidRDefault="00E82A60" w:rsidP="00300A01">
            <w:pPr>
              <w:spacing w:before="0" w:after="0"/>
              <w:jc w:val="center"/>
              <w:rPr>
                <w:sz w:val="16"/>
                <w:szCs w:val="16"/>
                <w:lang w:val="fr-BE"/>
              </w:rPr>
            </w:pPr>
            <w:r>
              <w:rPr>
                <w:sz w:val="16"/>
                <w:szCs w:val="16"/>
                <w:lang w:val="fr-BE"/>
              </w:rPr>
              <w:t xml:space="preserve">2018 </w:t>
            </w:r>
            <w:r>
              <w:rPr>
                <w:noProof/>
                <w:sz w:val="16"/>
                <w:szCs w:val="16"/>
                <w:lang w:val="fr-BE"/>
              </w:rPr>
              <w:t>Ogółem</w:t>
            </w:r>
          </w:p>
        </w:tc>
        <w:tc>
          <w:tcPr>
            <w:tcW w:w="0" w:type="auto"/>
          </w:tcPr>
          <w:p w14:paraId="44F7B8D1" w14:textId="77777777" w:rsidR="008C5CFA" w:rsidRPr="0024468B" w:rsidRDefault="00E82A60" w:rsidP="00300A01">
            <w:pPr>
              <w:spacing w:before="0" w:after="0"/>
              <w:jc w:val="center"/>
              <w:rPr>
                <w:sz w:val="16"/>
                <w:szCs w:val="16"/>
                <w:lang w:val="fr-BE"/>
              </w:rPr>
            </w:pPr>
            <w:r>
              <w:rPr>
                <w:sz w:val="16"/>
                <w:szCs w:val="16"/>
                <w:lang w:val="fr-BE"/>
              </w:rPr>
              <w:t xml:space="preserve">2018 </w:t>
            </w:r>
            <w:r w:rsidRPr="0024468B">
              <w:rPr>
                <w:noProof/>
                <w:sz w:val="16"/>
                <w:szCs w:val="16"/>
                <w:lang w:val="fr-BE"/>
              </w:rPr>
              <w:t>Jakościowe</w:t>
            </w:r>
          </w:p>
        </w:tc>
        <w:tc>
          <w:tcPr>
            <w:tcW w:w="0" w:type="auto"/>
          </w:tcPr>
          <w:p w14:paraId="6E7A0CE7" w14:textId="77777777" w:rsidR="008C5CFA" w:rsidRPr="0024468B" w:rsidRDefault="00E82A60" w:rsidP="00300A01">
            <w:pPr>
              <w:spacing w:before="0" w:after="0"/>
              <w:jc w:val="center"/>
              <w:rPr>
                <w:sz w:val="16"/>
                <w:szCs w:val="16"/>
                <w:lang w:val="fr-BE"/>
              </w:rPr>
            </w:pPr>
            <w:r>
              <w:rPr>
                <w:sz w:val="16"/>
                <w:szCs w:val="16"/>
                <w:lang w:val="fr-BE"/>
              </w:rPr>
              <w:t xml:space="preserve">2017 </w:t>
            </w:r>
            <w:r>
              <w:rPr>
                <w:noProof/>
                <w:sz w:val="16"/>
                <w:szCs w:val="16"/>
                <w:lang w:val="fr-BE"/>
              </w:rPr>
              <w:t>Ogółem</w:t>
            </w:r>
          </w:p>
        </w:tc>
        <w:tc>
          <w:tcPr>
            <w:tcW w:w="0" w:type="auto"/>
          </w:tcPr>
          <w:p w14:paraId="5B4DF819" w14:textId="77777777" w:rsidR="008C5CFA" w:rsidRPr="0024468B" w:rsidRDefault="00E82A60" w:rsidP="00300A01">
            <w:pPr>
              <w:spacing w:before="0" w:after="0"/>
              <w:jc w:val="center"/>
              <w:rPr>
                <w:sz w:val="16"/>
                <w:szCs w:val="16"/>
                <w:lang w:val="fr-BE"/>
              </w:rPr>
            </w:pPr>
            <w:r>
              <w:rPr>
                <w:sz w:val="16"/>
                <w:szCs w:val="16"/>
                <w:lang w:val="fr-BE"/>
              </w:rPr>
              <w:t xml:space="preserve">2017 </w:t>
            </w:r>
            <w:r w:rsidRPr="0024468B">
              <w:rPr>
                <w:noProof/>
                <w:sz w:val="16"/>
                <w:szCs w:val="16"/>
                <w:lang w:val="fr-BE"/>
              </w:rPr>
              <w:t>Jakościowe</w:t>
            </w:r>
          </w:p>
        </w:tc>
        <w:tc>
          <w:tcPr>
            <w:tcW w:w="0" w:type="auto"/>
          </w:tcPr>
          <w:p w14:paraId="5933AC6D" w14:textId="77777777" w:rsidR="008C5CFA" w:rsidRPr="0024468B" w:rsidRDefault="00E82A60" w:rsidP="00300A01">
            <w:pPr>
              <w:spacing w:before="0" w:after="0"/>
              <w:jc w:val="center"/>
              <w:rPr>
                <w:sz w:val="16"/>
                <w:szCs w:val="16"/>
                <w:lang w:val="fr-BE"/>
              </w:rPr>
            </w:pPr>
            <w:r>
              <w:rPr>
                <w:sz w:val="16"/>
                <w:szCs w:val="16"/>
                <w:lang w:val="fr-BE"/>
              </w:rPr>
              <w:t xml:space="preserve">2016 </w:t>
            </w:r>
            <w:r>
              <w:rPr>
                <w:noProof/>
                <w:sz w:val="16"/>
                <w:szCs w:val="16"/>
                <w:lang w:val="fr-BE"/>
              </w:rPr>
              <w:t>Ogółem</w:t>
            </w:r>
          </w:p>
        </w:tc>
        <w:tc>
          <w:tcPr>
            <w:tcW w:w="0" w:type="auto"/>
          </w:tcPr>
          <w:p w14:paraId="2E6AA72B" w14:textId="77777777" w:rsidR="008C5CFA" w:rsidRPr="0024468B" w:rsidRDefault="00E82A60" w:rsidP="00300A01">
            <w:pPr>
              <w:spacing w:before="0" w:after="0"/>
              <w:jc w:val="center"/>
              <w:rPr>
                <w:sz w:val="16"/>
                <w:szCs w:val="16"/>
                <w:lang w:val="fr-BE"/>
              </w:rPr>
            </w:pPr>
            <w:r>
              <w:rPr>
                <w:sz w:val="16"/>
                <w:szCs w:val="16"/>
                <w:lang w:val="fr-BE"/>
              </w:rPr>
              <w:t xml:space="preserve">2016 </w:t>
            </w:r>
            <w:r w:rsidRPr="0024468B">
              <w:rPr>
                <w:noProof/>
                <w:sz w:val="16"/>
                <w:szCs w:val="16"/>
                <w:lang w:val="fr-BE"/>
              </w:rPr>
              <w:t>Jakościowe</w:t>
            </w:r>
          </w:p>
        </w:tc>
        <w:tc>
          <w:tcPr>
            <w:tcW w:w="0" w:type="auto"/>
          </w:tcPr>
          <w:p w14:paraId="4C9BE0BB" w14:textId="77777777" w:rsidR="008C5CFA" w:rsidRPr="0024468B" w:rsidRDefault="00E82A60" w:rsidP="00300A01">
            <w:pPr>
              <w:spacing w:before="0" w:after="0"/>
              <w:jc w:val="center"/>
              <w:rPr>
                <w:sz w:val="16"/>
                <w:szCs w:val="16"/>
                <w:lang w:val="fr-BE"/>
              </w:rPr>
            </w:pPr>
            <w:r>
              <w:rPr>
                <w:sz w:val="16"/>
                <w:szCs w:val="16"/>
                <w:lang w:val="fr-BE"/>
              </w:rPr>
              <w:t xml:space="preserve">2015 </w:t>
            </w:r>
            <w:r>
              <w:rPr>
                <w:noProof/>
                <w:sz w:val="16"/>
                <w:szCs w:val="16"/>
                <w:lang w:val="fr-BE"/>
              </w:rPr>
              <w:t>Ogółem</w:t>
            </w:r>
          </w:p>
        </w:tc>
        <w:tc>
          <w:tcPr>
            <w:tcW w:w="0" w:type="auto"/>
          </w:tcPr>
          <w:p w14:paraId="1309440C" w14:textId="77777777" w:rsidR="008C5CFA" w:rsidRPr="0024468B" w:rsidRDefault="00E82A60" w:rsidP="00300A01">
            <w:pPr>
              <w:spacing w:before="0" w:after="0"/>
              <w:jc w:val="center"/>
              <w:rPr>
                <w:sz w:val="16"/>
                <w:szCs w:val="16"/>
                <w:lang w:val="fr-BE"/>
              </w:rPr>
            </w:pPr>
            <w:r>
              <w:rPr>
                <w:sz w:val="16"/>
                <w:szCs w:val="16"/>
                <w:lang w:val="fr-BE"/>
              </w:rPr>
              <w:t xml:space="preserve">2015 </w:t>
            </w:r>
            <w:r w:rsidRPr="0024468B">
              <w:rPr>
                <w:noProof/>
                <w:sz w:val="16"/>
                <w:szCs w:val="16"/>
                <w:lang w:val="fr-BE"/>
              </w:rPr>
              <w:t>Jakościowe</w:t>
            </w:r>
          </w:p>
        </w:tc>
      </w:tr>
      <w:tr w:rsidR="006B2EC1" w14:paraId="254EB220" w14:textId="77777777" w:rsidTr="0047688D">
        <w:tc>
          <w:tcPr>
            <w:tcW w:w="0" w:type="auto"/>
            <w:shd w:val="clear" w:color="auto" w:fill="auto"/>
          </w:tcPr>
          <w:p w14:paraId="1C94611B" w14:textId="77777777" w:rsidR="008C5CFA" w:rsidRPr="0024468B" w:rsidRDefault="00E82A60" w:rsidP="00300A01">
            <w:pPr>
              <w:spacing w:before="0" w:after="0"/>
              <w:rPr>
                <w:sz w:val="16"/>
                <w:szCs w:val="16"/>
                <w:lang w:val="fr-BE"/>
              </w:rPr>
            </w:pPr>
            <w:r w:rsidRPr="0024468B">
              <w:rPr>
                <w:noProof/>
                <w:sz w:val="16"/>
                <w:szCs w:val="16"/>
                <w:lang w:val="fr-BE"/>
              </w:rPr>
              <w:t>045</w:t>
            </w:r>
          </w:p>
        </w:tc>
        <w:tc>
          <w:tcPr>
            <w:tcW w:w="0" w:type="auto"/>
            <w:shd w:val="clear" w:color="auto" w:fill="auto"/>
          </w:tcPr>
          <w:p w14:paraId="035E0607" w14:textId="77777777" w:rsidR="008C5CFA" w:rsidRPr="0024468B" w:rsidRDefault="00E82A60" w:rsidP="00300A01">
            <w:pPr>
              <w:spacing w:before="0" w:after="0"/>
              <w:rPr>
                <w:sz w:val="16"/>
                <w:szCs w:val="16"/>
                <w:lang w:val="fr-BE"/>
              </w:rPr>
            </w:pPr>
            <w:r w:rsidRPr="0024468B">
              <w:rPr>
                <w:noProof/>
                <w:sz w:val="16"/>
                <w:szCs w:val="16"/>
                <w:lang w:val="fr-BE"/>
              </w:rPr>
              <w:t>Odpady zebrane selektywnie w relacji do ogółu odpadów komunalnych</w:t>
            </w:r>
          </w:p>
        </w:tc>
        <w:tc>
          <w:tcPr>
            <w:tcW w:w="0" w:type="auto"/>
          </w:tcPr>
          <w:p w14:paraId="4919FD61" w14:textId="77777777" w:rsidR="008C5CFA" w:rsidRPr="0024468B" w:rsidRDefault="00E82A60" w:rsidP="00300A01">
            <w:pPr>
              <w:spacing w:before="0" w:after="0"/>
              <w:jc w:val="right"/>
              <w:rPr>
                <w:sz w:val="16"/>
                <w:szCs w:val="16"/>
                <w:lang w:val="fr-BE"/>
              </w:rPr>
            </w:pPr>
            <w:r w:rsidRPr="0024468B">
              <w:rPr>
                <w:noProof/>
                <w:sz w:val="16"/>
                <w:szCs w:val="16"/>
                <w:lang w:val="fr-BE"/>
              </w:rPr>
              <w:t>27,90</w:t>
            </w:r>
          </w:p>
        </w:tc>
        <w:tc>
          <w:tcPr>
            <w:tcW w:w="0" w:type="auto"/>
          </w:tcPr>
          <w:p w14:paraId="051A4CFB" w14:textId="77777777" w:rsidR="008C5CFA" w:rsidRPr="0024468B" w:rsidRDefault="008C5CFA" w:rsidP="00300A01">
            <w:pPr>
              <w:spacing w:before="0" w:after="0"/>
              <w:jc w:val="right"/>
              <w:rPr>
                <w:sz w:val="16"/>
                <w:szCs w:val="16"/>
                <w:lang w:val="fr-BE"/>
              </w:rPr>
            </w:pPr>
          </w:p>
        </w:tc>
        <w:tc>
          <w:tcPr>
            <w:tcW w:w="0" w:type="auto"/>
          </w:tcPr>
          <w:p w14:paraId="5D07EB62" w14:textId="77777777" w:rsidR="008C5CFA" w:rsidRPr="0024468B" w:rsidRDefault="00E82A60" w:rsidP="00300A01">
            <w:pPr>
              <w:spacing w:before="0" w:after="0"/>
              <w:jc w:val="right"/>
              <w:rPr>
                <w:sz w:val="16"/>
                <w:szCs w:val="16"/>
                <w:lang w:val="fr-BE"/>
              </w:rPr>
            </w:pPr>
            <w:r w:rsidRPr="0024468B">
              <w:rPr>
                <w:noProof/>
                <w:sz w:val="16"/>
                <w:szCs w:val="16"/>
                <w:lang w:val="fr-BE"/>
              </w:rPr>
              <w:t>28,00</w:t>
            </w:r>
          </w:p>
        </w:tc>
        <w:tc>
          <w:tcPr>
            <w:tcW w:w="0" w:type="auto"/>
          </w:tcPr>
          <w:p w14:paraId="13DE0345" w14:textId="77777777" w:rsidR="008C5CFA" w:rsidRPr="0024468B" w:rsidRDefault="008C5CFA" w:rsidP="00300A01">
            <w:pPr>
              <w:spacing w:before="0" w:after="0"/>
              <w:jc w:val="right"/>
              <w:rPr>
                <w:sz w:val="16"/>
                <w:szCs w:val="16"/>
                <w:lang w:val="fr-BE"/>
              </w:rPr>
            </w:pPr>
          </w:p>
        </w:tc>
        <w:tc>
          <w:tcPr>
            <w:tcW w:w="0" w:type="auto"/>
          </w:tcPr>
          <w:p w14:paraId="47301A6D" w14:textId="77777777" w:rsidR="008C5CFA" w:rsidRPr="0024468B" w:rsidRDefault="00E82A60" w:rsidP="00300A01">
            <w:pPr>
              <w:spacing w:before="0" w:after="0"/>
              <w:jc w:val="right"/>
              <w:rPr>
                <w:sz w:val="16"/>
                <w:szCs w:val="16"/>
                <w:lang w:val="fr-BE"/>
              </w:rPr>
            </w:pPr>
            <w:r w:rsidRPr="0024468B">
              <w:rPr>
                <w:noProof/>
                <w:sz w:val="16"/>
                <w:szCs w:val="16"/>
                <w:lang w:val="fr-BE"/>
              </w:rPr>
              <w:t>27,30</w:t>
            </w:r>
          </w:p>
        </w:tc>
        <w:tc>
          <w:tcPr>
            <w:tcW w:w="0" w:type="auto"/>
          </w:tcPr>
          <w:p w14:paraId="1B728F75" w14:textId="77777777" w:rsidR="008C5CFA" w:rsidRPr="0024468B" w:rsidRDefault="008C5CFA" w:rsidP="00300A01">
            <w:pPr>
              <w:spacing w:before="0" w:after="0"/>
              <w:jc w:val="right"/>
              <w:rPr>
                <w:sz w:val="16"/>
                <w:szCs w:val="16"/>
                <w:lang w:val="fr-BE"/>
              </w:rPr>
            </w:pPr>
          </w:p>
        </w:tc>
        <w:tc>
          <w:tcPr>
            <w:tcW w:w="0" w:type="auto"/>
          </w:tcPr>
          <w:p w14:paraId="14F63667" w14:textId="77777777" w:rsidR="008C5CFA" w:rsidRPr="0024468B" w:rsidRDefault="00E82A60" w:rsidP="00300A01">
            <w:pPr>
              <w:spacing w:before="0" w:after="0"/>
              <w:jc w:val="right"/>
              <w:rPr>
                <w:sz w:val="16"/>
                <w:szCs w:val="16"/>
                <w:lang w:val="fr-BE"/>
              </w:rPr>
            </w:pPr>
            <w:r w:rsidRPr="0024468B">
              <w:rPr>
                <w:noProof/>
                <w:sz w:val="16"/>
                <w:szCs w:val="16"/>
                <w:lang w:val="fr-BE"/>
              </w:rPr>
              <w:t>26,30</w:t>
            </w:r>
          </w:p>
        </w:tc>
        <w:tc>
          <w:tcPr>
            <w:tcW w:w="0" w:type="auto"/>
          </w:tcPr>
          <w:p w14:paraId="4491B80D" w14:textId="77777777" w:rsidR="008C5CFA" w:rsidRPr="0024468B" w:rsidRDefault="008C5CFA" w:rsidP="00300A01">
            <w:pPr>
              <w:spacing w:before="0" w:after="0"/>
              <w:jc w:val="right"/>
              <w:rPr>
                <w:sz w:val="16"/>
                <w:szCs w:val="16"/>
                <w:lang w:val="fr-BE"/>
              </w:rPr>
            </w:pPr>
          </w:p>
        </w:tc>
      </w:tr>
    </w:tbl>
    <w:p w14:paraId="57144293"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
        <w:gridCol w:w="9514"/>
        <w:gridCol w:w="2163"/>
        <w:gridCol w:w="2603"/>
      </w:tblGrid>
      <w:tr w:rsidR="006B2EC1" w14:paraId="7AB1F643" w14:textId="77777777" w:rsidTr="0047688D">
        <w:tc>
          <w:tcPr>
            <w:tcW w:w="0" w:type="auto"/>
            <w:shd w:val="clear" w:color="auto" w:fill="auto"/>
          </w:tcPr>
          <w:p w14:paraId="3F4AF026" w14:textId="77777777" w:rsidR="008C5CFA" w:rsidRPr="0024468B" w:rsidRDefault="00E82A60" w:rsidP="00300A01">
            <w:pPr>
              <w:spacing w:before="0" w:after="0"/>
              <w:rPr>
                <w:sz w:val="16"/>
                <w:szCs w:val="16"/>
                <w:lang w:val="fr-BE"/>
              </w:rPr>
            </w:pPr>
            <w:r w:rsidRPr="0024468B">
              <w:rPr>
                <w:noProof/>
                <w:sz w:val="16"/>
                <w:szCs w:val="16"/>
                <w:lang w:val="fr-BE"/>
              </w:rPr>
              <w:t>ID</w:t>
            </w:r>
          </w:p>
        </w:tc>
        <w:tc>
          <w:tcPr>
            <w:tcW w:w="0" w:type="auto"/>
            <w:shd w:val="clear" w:color="auto" w:fill="auto"/>
          </w:tcPr>
          <w:p w14:paraId="38EBA71D" w14:textId="77777777" w:rsidR="008C5CFA" w:rsidRPr="0024468B" w:rsidRDefault="00E82A60" w:rsidP="00300A01">
            <w:pPr>
              <w:spacing w:before="0" w:after="0"/>
              <w:rPr>
                <w:sz w:val="16"/>
                <w:szCs w:val="16"/>
                <w:lang w:val="fr-BE"/>
              </w:rPr>
            </w:pPr>
            <w:r w:rsidRPr="0024468B">
              <w:rPr>
                <w:noProof/>
                <w:sz w:val="16"/>
                <w:szCs w:val="16"/>
                <w:lang w:val="fr-BE"/>
              </w:rPr>
              <w:t>Wskaźnik</w:t>
            </w:r>
          </w:p>
        </w:tc>
        <w:tc>
          <w:tcPr>
            <w:tcW w:w="0" w:type="auto"/>
            <w:shd w:val="clear" w:color="auto" w:fill="auto"/>
          </w:tcPr>
          <w:p w14:paraId="4376DE0C" w14:textId="77777777" w:rsidR="008C5CFA" w:rsidRPr="0024468B" w:rsidRDefault="00E82A60" w:rsidP="00300A01">
            <w:pPr>
              <w:spacing w:before="0" w:after="0"/>
              <w:jc w:val="center"/>
              <w:rPr>
                <w:sz w:val="16"/>
                <w:szCs w:val="16"/>
                <w:lang w:val="fr-BE"/>
              </w:rPr>
            </w:pPr>
            <w:r>
              <w:rPr>
                <w:sz w:val="16"/>
                <w:szCs w:val="16"/>
                <w:lang w:val="fr-BE"/>
              </w:rPr>
              <w:t xml:space="preserve">2014 </w:t>
            </w:r>
            <w:r>
              <w:rPr>
                <w:noProof/>
                <w:sz w:val="16"/>
                <w:szCs w:val="16"/>
                <w:lang w:val="fr-BE"/>
              </w:rPr>
              <w:t>Ogółem</w:t>
            </w:r>
          </w:p>
        </w:tc>
        <w:tc>
          <w:tcPr>
            <w:tcW w:w="0" w:type="auto"/>
            <w:shd w:val="clear" w:color="auto" w:fill="auto"/>
          </w:tcPr>
          <w:p w14:paraId="42315C62" w14:textId="77777777" w:rsidR="008C5CFA" w:rsidRPr="0024468B" w:rsidRDefault="00E82A60" w:rsidP="00300A01">
            <w:pPr>
              <w:spacing w:before="0" w:after="0"/>
              <w:jc w:val="center"/>
              <w:rPr>
                <w:sz w:val="16"/>
                <w:szCs w:val="16"/>
                <w:lang w:val="fr-BE"/>
              </w:rPr>
            </w:pPr>
            <w:r>
              <w:rPr>
                <w:sz w:val="16"/>
                <w:szCs w:val="16"/>
                <w:lang w:val="fr-BE"/>
              </w:rPr>
              <w:t xml:space="preserve">2014 </w:t>
            </w:r>
            <w:r w:rsidRPr="0024468B">
              <w:rPr>
                <w:noProof/>
                <w:sz w:val="16"/>
                <w:szCs w:val="16"/>
                <w:lang w:val="fr-BE"/>
              </w:rPr>
              <w:t>Jakościowe</w:t>
            </w:r>
          </w:p>
        </w:tc>
      </w:tr>
      <w:tr w:rsidR="006B2EC1" w14:paraId="47DA5ADE" w14:textId="77777777" w:rsidTr="0047688D">
        <w:tc>
          <w:tcPr>
            <w:tcW w:w="0" w:type="auto"/>
            <w:shd w:val="clear" w:color="auto" w:fill="auto"/>
          </w:tcPr>
          <w:p w14:paraId="1841604E" w14:textId="77777777" w:rsidR="008C5CFA" w:rsidRPr="0024468B" w:rsidRDefault="00E82A60" w:rsidP="00300A01">
            <w:pPr>
              <w:spacing w:before="0" w:after="0"/>
              <w:rPr>
                <w:sz w:val="16"/>
                <w:szCs w:val="16"/>
                <w:lang w:val="fr-BE"/>
              </w:rPr>
            </w:pPr>
            <w:r w:rsidRPr="0024468B">
              <w:rPr>
                <w:noProof/>
                <w:sz w:val="16"/>
                <w:szCs w:val="16"/>
                <w:lang w:val="fr-BE"/>
              </w:rPr>
              <w:t>045</w:t>
            </w:r>
          </w:p>
        </w:tc>
        <w:tc>
          <w:tcPr>
            <w:tcW w:w="0" w:type="auto"/>
            <w:shd w:val="clear" w:color="auto" w:fill="auto"/>
          </w:tcPr>
          <w:p w14:paraId="1F183C79" w14:textId="77777777" w:rsidR="008C5CFA" w:rsidRPr="0024468B" w:rsidRDefault="00E82A60" w:rsidP="00300A01">
            <w:pPr>
              <w:spacing w:before="0" w:after="0"/>
              <w:rPr>
                <w:sz w:val="16"/>
                <w:szCs w:val="16"/>
                <w:lang w:val="fr-BE"/>
              </w:rPr>
            </w:pPr>
            <w:r w:rsidRPr="0024468B">
              <w:rPr>
                <w:noProof/>
                <w:sz w:val="16"/>
                <w:szCs w:val="16"/>
                <w:lang w:val="fr-BE"/>
              </w:rPr>
              <w:t>Odpady zebrane selektywnie w relacji do ogółu odpadów komunalnych</w:t>
            </w:r>
          </w:p>
        </w:tc>
        <w:tc>
          <w:tcPr>
            <w:tcW w:w="0" w:type="auto"/>
            <w:shd w:val="clear" w:color="auto" w:fill="auto"/>
          </w:tcPr>
          <w:p w14:paraId="7FD4A0E8" w14:textId="77777777" w:rsidR="008C5CFA" w:rsidRPr="0024468B" w:rsidRDefault="00E82A60" w:rsidP="00300A01">
            <w:pPr>
              <w:spacing w:before="0" w:after="0"/>
              <w:jc w:val="right"/>
              <w:rPr>
                <w:sz w:val="16"/>
                <w:szCs w:val="16"/>
                <w:lang w:val="fr-BE"/>
              </w:rPr>
            </w:pPr>
            <w:r w:rsidRPr="0024468B">
              <w:rPr>
                <w:noProof/>
                <w:sz w:val="16"/>
                <w:szCs w:val="16"/>
                <w:lang w:val="fr-BE"/>
              </w:rPr>
              <w:t>25,90</w:t>
            </w:r>
          </w:p>
        </w:tc>
        <w:tc>
          <w:tcPr>
            <w:tcW w:w="0" w:type="auto"/>
            <w:shd w:val="clear" w:color="auto" w:fill="auto"/>
          </w:tcPr>
          <w:p w14:paraId="1B2DD1E7" w14:textId="77777777" w:rsidR="008C5CFA" w:rsidRPr="0024468B" w:rsidRDefault="008C5CFA" w:rsidP="00300A01">
            <w:pPr>
              <w:spacing w:before="0" w:after="0"/>
              <w:jc w:val="right"/>
              <w:rPr>
                <w:sz w:val="16"/>
                <w:szCs w:val="16"/>
                <w:lang w:val="fr-BE"/>
              </w:rPr>
            </w:pPr>
          </w:p>
        </w:tc>
      </w:tr>
    </w:tbl>
    <w:p w14:paraId="1EDCC939" w14:textId="77777777" w:rsidR="008C5CFA" w:rsidRDefault="008C5CFA" w:rsidP="00300A01">
      <w:pPr>
        <w:spacing w:before="0" w:after="0"/>
        <w:rPr>
          <w:lang w:val="fr-BE"/>
        </w:rPr>
      </w:pPr>
    </w:p>
    <w:p w14:paraId="172049A1" w14:textId="77777777" w:rsidR="008C5CFA" w:rsidRDefault="00E82A60" w:rsidP="00300A01">
      <w:pPr>
        <w:spacing w:before="0" w:after="0"/>
        <w:rPr>
          <w:lang w:val="fr-BE"/>
        </w:rPr>
      </w:pPr>
      <w:r>
        <w:rPr>
          <w:lang w:val="fr-BE"/>
        </w:rPr>
        <w:br w:type="page"/>
      </w:r>
    </w:p>
    <w:p w14:paraId="4CB568A0" w14:textId="77777777" w:rsidR="008C5CFA" w:rsidRPr="00B27C43" w:rsidRDefault="008C5CFA" w:rsidP="00300A01">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4"/>
        <w:gridCol w:w="13410"/>
      </w:tblGrid>
      <w:tr w:rsidR="006B2EC1" w14:paraId="1C1B6ACE" w14:textId="77777777" w:rsidTr="0047688D">
        <w:tc>
          <w:tcPr>
            <w:tcW w:w="0" w:type="auto"/>
            <w:shd w:val="clear" w:color="auto" w:fill="auto"/>
          </w:tcPr>
          <w:p w14:paraId="667B925F" w14:textId="77777777" w:rsidR="008C5CFA" w:rsidRPr="002124FC" w:rsidRDefault="00E82A60" w:rsidP="00300A01">
            <w:pPr>
              <w:spacing w:before="0" w:after="0"/>
              <w:rPr>
                <w:sz w:val="20"/>
                <w:szCs w:val="20"/>
                <w:lang w:val="fr-BE"/>
              </w:rPr>
            </w:pPr>
            <w:r>
              <w:rPr>
                <w:lang w:val="fr-BE"/>
              </w:rPr>
              <w:br w:type="page"/>
            </w:r>
            <w:r>
              <w:rPr>
                <w:lang w:val="fr-BE"/>
              </w:rPr>
              <w:br w:type="page"/>
            </w:r>
            <w:r w:rsidRPr="002124FC">
              <w:rPr>
                <w:noProof/>
                <w:sz w:val="20"/>
                <w:szCs w:val="20"/>
                <w:lang w:val="fr-BE"/>
              </w:rPr>
              <w:t>Oś priorytetowa</w:t>
            </w:r>
          </w:p>
        </w:tc>
        <w:tc>
          <w:tcPr>
            <w:tcW w:w="0" w:type="auto"/>
            <w:shd w:val="clear" w:color="auto" w:fill="auto"/>
          </w:tcPr>
          <w:p w14:paraId="2DAB34F5" w14:textId="77777777" w:rsidR="008C5CFA" w:rsidRPr="002124FC" w:rsidRDefault="00E82A60" w:rsidP="00300A01">
            <w:pPr>
              <w:spacing w:before="0" w:after="0"/>
              <w:rPr>
                <w:sz w:val="20"/>
                <w:szCs w:val="20"/>
                <w:lang w:val="fr-BE"/>
              </w:rPr>
            </w:pPr>
            <w:r w:rsidRPr="002124FC">
              <w:rPr>
                <w:noProof/>
                <w:sz w:val="20"/>
                <w:szCs w:val="20"/>
                <w:lang w:val="fr-BE"/>
              </w:rPr>
              <w:t>4</w:t>
            </w:r>
            <w:r w:rsidRPr="002124FC">
              <w:rPr>
                <w:sz w:val="20"/>
                <w:szCs w:val="20"/>
                <w:lang w:val="fr-BE"/>
              </w:rPr>
              <w:t xml:space="preserve"> - </w:t>
            </w:r>
            <w:r w:rsidRPr="002124FC">
              <w:rPr>
                <w:noProof/>
                <w:sz w:val="20"/>
                <w:szCs w:val="20"/>
                <w:lang w:val="fr-BE"/>
              </w:rPr>
              <w:t>Dziedzictwo naturalne i kulturowe</w:t>
            </w:r>
          </w:p>
        </w:tc>
      </w:tr>
      <w:tr w:rsidR="006B2EC1" w14:paraId="0A1548A7" w14:textId="77777777" w:rsidTr="0047688D">
        <w:tc>
          <w:tcPr>
            <w:tcW w:w="0" w:type="auto"/>
            <w:shd w:val="clear" w:color="auto" w:fill="auto"/>
          </w:tcPr>
          <w:p w14:paraId="62DD2578" w14:textId="77777777" w:rsidR="008C5CFA" w:rsidRPr="002124FC" w:rsidRDefault="00E82A60"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14:paraId="58F3551E" w14:textId="77777777" w:rsidR="008C5CFA" w:rsidRPr="002124FC" w:rsidRDefault="00E82A60" w:rsidP="00300A01">
            <w:pPr>
              <w:spacing w:before="0" w:after="0"/>
              <w:rPr>
                <w:sz w:val="20"/>
                <w:szCs w:val="20"/>
                <w:lang w:val="fr-BE"/>
              </w:rPr>
            </w:pPr>
            <w:r w:rsidRPr="002124FC">
              <w:rPr>
                <w:noProof/>
                <w:sz w:val="20"/>
                <w:szCs w:val="20"/>
                <w:lang w:val="fr-BE"/>
              </w:rPr>
              <w:t>6b</w:t>
            </w:r>
            <w:r w:rsidRPr="002124FC">
              <w:rPr>
                <w:sz w:val="20"/>
                <w:szCs w:val="20"/>
                <w:lang w:val="fr-BE"/>
              </w:rPr>
              <w:t xml:space="preserve"> - </w:t>
            </w:r>
            <w:r w:rsidRPr="002124FC">
              <w:rPr>
                <w:noProof/>
                <w:sz w:val="20"/>
                <w:szCs w:val="20"/>
                <w:lang w:val="fr-BE"/>
              </w:rPr>
              <w:t>Inwestowanie w sektor gospodarki wodnej celem wypełnienia zobowiązań określonych w dorobku prawnym Unii w zakresie środowiska oraz zaspokojenia wykraczających poza te zobowiązania potrzeb inwestycyjnych, określonych przez państwa członkowskie</w:t>
            </w:r>
          </w:p>
        </w:tc>
      </w:tr>
    </w:tbl>
    <w:p w14:paraId="6D90DF98" w14:textId="77777777" w:rsidR="008C5CFA" w:rsidRDefault="008C5CFA" w:rsidP="00300A01">
      <w:pPr>
        <w:spacing w:before="0" w:after="0"/>
        <w:rPr>
          <w:lang w:val="fr-BE"/>
        </w:rPr>
      </w:pPr>
    </w:p>
    <w:p w14:paraId="69DEBB82" w14:textId="77777777" w:rsidR="008C5CFA" w:rsidRDefault="00E82A60" w:rsidP="00300A01">
      <w:pPr>
        <w:pStyle w:val="Nagwek2"/>
        <w:spacing w:before="0" w:after="0"/>
        <w:rPr>
          <w:lang w:val="fr-BE"/>
        </w:rPr>
      </w:pPr>
      <w:bookmarkStart w:id="32" w:name="_Toc46391716"/>
      <w:r>
        <w:rPr>
          <w:noProof/>
          <w:lang w:val="fr-BE"/>
        </w:rPr>
        <w:t>Tabela 3A</w:t>
      </w:r>
      <w:r>
        <w:rPr>
          <w:lang w:val="fr-BE"/>
        </w:rPr>
        <w:t xml:space="preserve">: </w:t>
      </w:r>
      <w:r>
        <w:rPr>
          <w:noProof/>
          <w:lang w:val="fr-BE"/>
        </w:rPr>
        <w:t>Wspólne i specyficzne dla danego programu wskaźniki produktu dla EFRR i Funduszu Spójności (wg osi priorytetowej, priorytetu inwestycyjnego, w podziale na kategorię regionu dla celów EFRR)</w:t>
      </w:r>
      <w:r w:rsidR="009C5874">
        <w:rPr>
          <w:lang w:val="fr-BE"/>
        </w:rPr>
        <w:t xml:space="preserve"> - </w:t>
      </w:r>
      <w:r w:rsidR="00F022AC" w:rsidRPr="002124FC">
        <w:rPr>
          <w:noProof/>
          <w:sz w:val="20"/>
          <w:szCs w:val="20"/>
          <w:lang w:val="fr-BE"/>
        </w:rPr>
        <w:t>4</w:t>
      </w:r>
      <w:r w:rsidR="00F022AC">
        <w:rPr>
          <w:sz w:val="20"/>
          <w:szCs w:val="20"/>
          <w:lang w:val="fr-BE"/>
        </w:rPr>
        <w:t xml:space="preserve"> / </w:t>
      </w:r>
      <w:r w:rsidR="00F022AC" w:rsidRPr="002124FC">
        <w:rPr>
          <w:noProof/>
          <w:sz w:val="20"/>
          <w:szCs w:val="20"/>
          <w:lang w:val="fr-BE"/>
        </w:rPr>
        <w:t>6b</w:t>
      </w:r>
      <w:bookmarkEnd w:id="32"/>
    </w:p>
    <w:p w14:paraId="20CC5CA5"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01"/>
        <w:gridCol w:w="497"/>
        <w:gridCol w:w="1789"/>
        <w:gridCol w:w="1156"/>
        <w:gridCol w:w="871"/>
        <w:gridCol w:w="1029"/>
        <w:gridCol w:w="1041"/>
        <w:gridCol w:w="955"/>
        <w:gridCol w:w="787"/>
        <w:gridCol w:w="880"/>
        <w:gridCol w:w="703"/>
        <w:gridCol w:w="5175"/>
      </w:tblGrid>
      <w:tr w:rsidR="006B2EC1" w14:paraId="20D2E0E6" w14:textId="77777777" w:rsidTr="0047688D">
        <w:trPr>
          <w:tblHeader/>
        </w:trPr>
        <w:tc>
          <w:tcPr>
            <w:tcW w:w="0" w:type="auto"/>
          </w:tcPr>
          <w:p w14:paraId="5B0AE76D" w14:textId="77777777" w:rsidR="008C5CFA" w:rsidRPr="009143B4" w:rsidRDefault="00E82A60" w:rsidP="00300A01">
            <w:pPr>
              <w:spacing w:before="0" w:after="0"/>
              <w:rPr>
                <w:b/>
                <w:sz w:val="16"/>
                <w:szCs w:val="16"/>
                <w:lang w:val="fr-BE"/>
              </w:rPr>
            </w:pPr>
            <w:r w:rsidRPr="009143B4">
              <w:rPr>
                <w:b/>
                <w:sz w:val="16"/>
                <w:szCs w:val="16"/>
                <w:lang w:val="fr-BE"/>
              </w:rPr>
              <w:t>(1)</w:t>
            </w:r>
          </w:p>
        </w:tc>
        <w:tc>
          <w:tcPr>
            <w:tcW w:w="0" w:type="auto"/>
            <w:shd w:val="clear" w:color="auto" w:fill="auto"/>
          </w:tcPr>
          <w:p w14:paraId="4C5D375C" w14:textId="77777777" w:rsidR="008C5CFA" w:rsidRPr="009143B4" w:rsidRDefault="00E82A60" w:rsidP="00300A01">
            <w:pPr>
              <w:spacing w:before="0" w:after="0"/>
              <w:rPr>
                <w:b/>
                <w:sz w:val="16"/>
                <w:szCs w:val="16"/>
                <w:lang w:val="fr-BE"/>
              </w:rPr>
            </w:pPr>
            <w:r w:rsidRPr="009143B4">
              <w:rPr>
                <w:b/>
                <w:noProof/>
                <w:sz w:val="16"/>
                <w:szCs w:val="16"/>
                <w:lang w:val="fr-BE"/>
              </w:rPr>
              <w:t>ID</w:t>
            </w:r>
          </w:p>
        </w:tc>
        <w:tc>
          <w:tcPr>
            <w:tcW w:w="0" w:type="auto"/>
            <w:shd w:val="clear" w:color="auto" w:fill="auto"/>
          </w:tcPr>
          <w:p w14:paraId="2F219A71" w14:textId="77777777" w:rsidR="008C5CFA" w:rsidRPr="009143B4" w:rsidRDefault="00E82A60" w:rsidP="00300A01">
            <w:pPr>
              <w:spacing w:before="0" w:after="0"/>
              <w:rPr>
                <w:b/>
                <w:sz w:val="16"/>
                <w:szCs w:val="16"/>
                <w:lang w:val="fr-BE"/>
              </w:rPr>
            </w:pPr>
            <w:r w:rsidRPr="009143B4">
              <w:rPr>
                <w:b/>
                <w:noProof/>
                <w:sz w:val="16"/>
                <w:szCs w:val="16"/>
                <w:lang w:val="fr-BE"/>
              </w:rPr>
              <w:t>Wskaźnik</w:t>
            </w:r>
          </w:p>
        </w:tc>
        <w:tc>
          <w:tcPr>
            <w:tcW w:w="0" w:type="auto"/>
            <w:shd w:val="clear" w:color="auto" w:fill="auto"/>
          </w:tcPr>
          <w:p w14:paraId="372EA89C" w14:textId="77777777" w:rsidR="008C5CFA" w:rsidRPr="009143B4" w:rsidRDefault="00E82A60" w:rsidP="00300A01">
            <w:pPr>
              <w:spacing w:before="0" w:after="0"/>
              <w:rPr>
                <w:b/>
                <w:sz w:val="16"/>
                <w:szCs w:val="16"/>
                <w:lang w:val="fr-BE"/>
              </w:rPr>
            </w:pPr>
            <w:r w:rsidRPr="009143B4">
              <w:rPr>
                <w:b/>
                <w:noProof/>
                <w:sz w:val="16"/>
                <w:szCs w:val="16"/>
                <w:lang w:val="fr-BE"/>
              </w:rPr>
              <w:t>Jednostka miary</w:t>
            </w:r>
          </w:p>
        </w:tc>
        <w:tc>
          <w:tcPr>
            <w:tcW w:w="0" w:type="auto"/>
            <w:shd w:val="clear" w:color="auto" w:fill="auto"/>
          </w:tcPr>
          <w:p w14:paraId="14072E0F" w14:textId="77777777" w:rsidR="008C5CFA" w:rsidRPr="009143B4" w:rsidRDefault="00E82A60" w:rsidP="00300A01">
            <w:pPr>
              <w:spacing w:before="0" w:after="0"/>
              <w:rPr>
                <w:b/>
                <w:sz w:val="16"/>
                <w:szCs w:val="16"/>
                <w:lang w:val="fr-BE"/>
              </w:rPr>
            </w:pPr>
            <w:r w:rsidRPr="009143B4">
              <w:rPr>
                <w:b/>
                <w:noProof/>
                <w:sz w:val="16"/>
                <w:szCs w:val="16"/>
                <w:lang w:val="fr-BE"/>
              </w:rPr>
              <w:t>Kategoria regionu</w:t>
            </w:r>
          </w:p>
        </w:tc>
        <w:tc>
          <w:tcPr>
            <w:tcW w:w="0" w:type="auto"/>
            <w:shd w:val="clear" w:color="auto" w:fill="auto"/>
          </w:tcPr>
          <w:p w14:paraId="727EB091" w14:textId="77777777" w:rsidR="008C5CFA" w:rsidRPr="009143B4" w:rsidRDefault="00E82A60" w:rsidP="00300A01">
            <w:pPr>
              <w:spacing w:before="0" w:after="0"/>
              <w:jc w:val="center"/>
              <w:rPr>
                <w:b/>
                <w:sz w:val="16"/>
                <w:szCs w:val="16"/>
                <w:lang w:val="fr-BE"/>
              </w:rPr>
            </w:pPr>
            <w:r w:rsidRPr="009143B4">
              <w:rPr>
                <w:b/>
                <w:noProof/>
                <w:sz w:val="16"/>
                <w:szCs w:val="16"/>
                <w:lang w:val="fr-BE"/>
              </w:rPr>
              <w:t>Wartość docelowa (2023) ogółem</w:t>
            </w:r>
          </w:p>
        </w:tc>
        <w:tc>
          <w:tcPr>
            <w:tcW w:w="0" w:type="auto"/>
            <w:shd w:val="clear" w:color="auto" w:fill="auto"/>
          </w:tcPr>
          <w:p w14:paraId="01489095" w14:textId="77777777" w:rsidR="008C5CFA" w:rsidRPr="009143B4" w:rsidRDefault="00E82A60" w:rsidP="00300A01">
            <w:pPr>
              <w:spacing w:before="0" w:after="0"/>
              <w:jc w:val="center"/>
              <w:rPr>
                <w:b/>
                <w:sz w:val="16"/>
                <w:szCs w:val="16"/>
                <w:lang w:val="fr-BE"/>
              </w:rPr>
            </w:pPr>
            <w:r w:rsidRPr="009143B4">
              <w:rPr>
                <w:b/>
                <w:noProof/>
                <w:sz w:val="16"/>
                <w:szCs w:val="16"/>
                <w:lang w:val="fr-BE"/>
              </w:rPr>
              <w:t>Wartość docelowa (2023) mężczyźni</w:t>
            </w:r>
          </w:p>
        </w:tc>
        <w:tc>
          <w:tcPr>
            <w:tcW w:w="0" w:type="auto"/>
          </w:tcPr>
          <w:p w14:paraId="57DF58CD" w14:textId="77777777" w:rsidR="008C5CFA" w:rsidRPr="009143B4" w:rsidRDefault="00E82A60" w:rsidP="00300A01">
            <w:pPr>
              <w:spacing w:before="0" w:after="0"/>
              <w:jc w:val="center"/>
              <w:rPr>
                <w:b/>
                <w:sz w:val="16"/>
                <w:szCs w:val="16"/>
                <w:lang w:val="fr-BE"/>
              </w:rPr>
            </w:pPr>
            <w:r w:rsidRPr="009143B4">
              <w:rPr>
                <w:b/>
                <w:noProof/>
                <w:sz w:val="16"/>
                <w:szCs w:val="16"/>
                <w:lang w:val="fr-BE"/>
              </w:rPr>
              <w:t>Wartość docelowa (2023) kobiety</w:t>
            </w:r>
          </w:p>
        </w:tc>
        <w:tc>
          <w:tcPr>
            <w:tcW w:w="0" w:type="auto"/>
            <w:shd w:val="clear" w:color="auto" w:fill="auto"/>
          </w:tcPr>
          <w:p w14:paraId="2E5EA4EA" w14:textId="77777777" w:rsidR="008C5CFA" w:rsidRPr="009143B4" w:rsidRDefault="00E82A60" w:rsidP="00300A01">
            <w:pPr>
              <w:spacing w:before="0" w:after="0"/>
              <w:jc w:val="center"/>
              <w:rPr>
                <w:b/>
                <w:sz w:val="16"/>
                <w:szCs w:val="16"/>
                <w:lang w:val="fr-BE"/>
              </w:rPr>
            </w:pPr>
            <w:r>
              <w:rPr>
                <w:b/>
                <w:sz w:val="16"/>
                <w:szCs w:val="16"/>
                <w:lang w:val="fr-BE"/>
              </w:rPr>
              <w:t xml:space="preserve">2019 </w:t>
            </w:r>
            <w:r w:rsidRPr="009143B4">
              <w:rPr>
                <w:b/>
                <w:noProof/>
                <w:sz w:val="16"/>
                <w:szCs w:val="16"/>
                <w:lang w:val="fr-BE"/>
              </w:rPr>
              <w:t>Ogółem</w:t>
            </w:r>
          </w:p>
        </w:tc>
        <w:tc>
          <w:tcPr>
            <w:tcW w:w="0" w:type="auto"/>
            <w:shd w:val="clear" w:color="auto" w:fill="auto"/>
          </w:tcPr>
          <w:p w14:paraId="7FE96E49" w14:textId="77777777" w:rsidR="008C5CFA" w:rsidRPr="009143B4" w:rsidRDefault="00E82A60" w:rsidP="00300A01">
            <w:pPr>
              <w:spacing w:before="0" w:after="0"/>
              <w:jc w:val="center"/>
              <w:rPr>
                <w:b/>
                <w:sz w:val="16"/>
                <w:szCs w:val="16"/>
                <w:lang w:val="fr-BE"/>
              </w:rPr>
            </w:pPr>
            <w:r>
              <w:rPr>
                <w:b/>
                <w:sz w:val="16"/>
                <w:szCs w:val="16"/>
                <w:lang w:val="fr-BE"/>
              </w:rPr>
              <w:t xml:space="preserve">2019 </w:t>
            </w:r>
            <w:r w:rsidRPr="009143B4">
              <w:rPr>
                <w:b/>
                <w:noProof/>
                <w:sz w:val="16"/>
                <w:szCs w:val="16"/>
                <w:lang w:val="fr-BE"/>
              </w:rPr>
              <w:t>Mężczyźni</w:t>
            </w:r>
          </w:p>
        </w:tc>
        <w:tc>
          <w:tcPr>
            <w:tcW w:w="0" w:type="auto"/>
            <w:shd w:val="clear" w:color="auto" w:fill="auto"/>
          </w:tcPr>
          <w:p w14:paraId="3938D916" w14:textId="77777777" w:rsidR="008C5CFA" w:rsidRPr="009143B4" w:rsidRDefault="00E82A60" w:rsidP="00300A01">
            <w:pPr>
              <w:spacing w:before="0" w:after="0"/>
              <w:jc w:val="center"/>
              <w:rPr>
                <w:b/>
                <w:sz w:val="16"/>
                <w:szCs w:val="16"/>
                <w:lang w:val="fr-BE"/>
              </w:rPr>
            </w:pPr>
            <w:r>
              <w:rPr>
                <w:b/>
                <w:sz w:val="16"/>
                <w:szCs w:val="16"/>
                <w:lang w:val="fr-BE"/>
              </w:rPr>
              <w:t xml:space="preserve">2019 </w:t>
            </w:r>
            <w:r w:rsidRPr="009143B4">
              <w:rPr>
                <w:b/>
                <w:noProof/>
                <w:sz w:val="16"/>
                <w:szCs w:val="16"/>
                <w:lang w:val="fr-BE"/>
              </w:rPr>
              <w:t>Kobiety</w:t>
            </w:r>
          </w:p>
        </w:tc>
        <w:tc>
          <w:tcPr>
            <w:tcW w:w="0" w:type="auto"/>
            <w:shd w:val="clear" w:color="auto" w:fill="auto"/>
          </w:tcPr>
          <w:p w14:paraId="54ECF07D" w14:textId="77777777" w:rsidR="008C5CFA" w:rsidRPr="009143B4" w:rsidRDefault="00E82A60" w:rsidP="00300A01">
            <w:pPr>
              <w:spacing w:before="0" w:after="0"/>
              <w:jc w:val="center"/>
              <w:rPr>
                <w:b/>
                <w:sz w:val="16"/>
                <w:szCs w:val="16"/>
                <w:lang w:val="fr-BE"/>
              </w:rPr>
            </w:pPr>
            <w:r w:rsidRPr="009143B4">
              <w:rPr>
                <w:b/>
                <w:noProof/>
                <w:sz w:val="16"/>
                <w:szCs w:val="16"/>
                <w:lang w:val="fr-BE"/>
              </w:rPr>
              <w:t>Uwagi</w:t>
            </w:r>
          </w:p>
        </w:tc>
      </w:tr>
      <w:tr w:rsidR="006B2EC1" w14:paraId="447DD6BA" w14:textId="77777777" w:rsidTr="0047688D">
        <w:tc>
          <w:tcPr>
            <w:tcW w:w="0" w:type="auto"/>
          </w:tcPr>
          <w:p w14:paraId="550AAA33" w14:textId="77777777" w:rsidR="008C5CFA" w:rsidRPr="0024468B" w:rsidRDefault="00E82A60" w:rsidP="00300A01">
            <w:pPr>
              <w:spacing w:before="0" w:after="0"/>
              <w:rPr>
                <w:sz w:val="16"/>
                <w:szCs w:val="16"/>
                <w:lang w:val="fr-BE"/>
              </w:rPr>
            </w:pPr>
            <w:r>
              <w:rPr>
                <w:noProof/>
                <w:sz w:val="16"/>
                <w:szCs w:val="16"/>
                <w:lang w:val="fr-BE"/>
              </w:rPr>
              <w:t>F</w:t>
            </w:r>
          </w:p>
        </w:tc>
        <w:tc>
          <w:tcPr>
            <w:tcW w:w="0" w:type="auto"/>
            <w:shd w:val="clear" w:color="auto" w:fill="auto"/>
          </w:tcPr>
          <w:p w14:paraId="15304DC8" w14:textId="77777777" w:rsidR="008C5CFA" w:rsidRPr="0024468B" w:rsidRDefault="00E82A60" w:rsidP="00300A01">
            <w:pPr>
              <w:spacing w:before="0" w:after="0"/>
              <w:rPr>
                <w:sz w:val="16"/>
                <w:szCs w:val="16"/>
                <w:lang w:val="fr-BE"/>
              </w:rPr>
            </w:pPr>
            <w:r w:rsidRPr="0024468B">
              <w:rPr>
                <w:noProof/>
                <w:sz w:val="16"/>
                <w:szCs w:val="16"/>
                <w:lang w:val="fr-BE"/>
              </w:rPr>
              <w:t>CO19</w:t>
            </w:r>
          </w:p>
        </w:tc>
        <w:tc>
          <w:tcPr>
            <w:tcW w:w="0" w:type="auto"/>
            <w:shd w:val="clear" w:color="auto" w:fill="auto"/>
          </w:tcPr>
          <w:p w14:paraId="7924B0AB" w14:textId="77777777" w:rsidR="008C5CFA" w:rsidRPr="0024468B" w:rsidRDefault="00E82A60" w:rsidP="00300A01">
            <w:pPr>
              <w:spacing w:before="0" w:after="0"/>
              <w:rPr>
                <w:sz w:val="16"/>
                <w:szCs w:val="16"/>
                <w:lang w:val="fr-BE"/>
              </w:rPr>
            </w:pPr>
            <w:r w:rsidRPr="0024468B">
              <w:rPr>
                <w:noProof/>
                <w:sz w:val="16"/>
                <w:szCs w:val="16"/>
                <w:lang w:val="fr-BE"/>
              </w:rPr>
              <w:t>Oczyszczanie ścieków: liczba dodatkowych osób korzystających z ulepszonego oczyszczania ścieków</w:t>
            </w:r>
          </w:p>
        </w:tc>
        <w:tc>
          <w:tcPr>
            <w:tcW w:w="0" w:type="auto"/>
            <w:shd w:val="clear" w:color="auto" w:fill="auto"/>
          </w:tcPr>
          <w:p w14:paraId="0F9A871C" w14:textId="77777777" w:rsidR="008C5CFA" w:rsidRPr="0024468B" w:rsidRDefault="00E82A60" w:rsidP="00300A01">
            <w:pPr>
              <w:spacing w:before="0" w:after="0"/>
              <w:rPr>
                <w:sz w:val="16"/>
                <w:szCs w:val="16"/>
                <w:lang w:val="fr-BE"/>
              </w:rPr>
            </w:pPr>
            <w:r>
              <w:rPr>
                <w:noProof/>
                <w:sz w:val="16"/>
                <w:szCs w:val="16"/>
                <w:lang w:val="fr-BE"/>
              </w:rPr>
              <w:t>Równoważna liczba mieszkańców</w:t>
            </w:r>
          </w:p>
        </w:tc>
        <w:tc>
          <w:tcPr>
            <w:tcW w:w="0" w:type="auto"/>
            <w:shd w:val="clear" w:color="auto" w:fill="auto"/>
          </w:tcPr>
          <w:p w14:paraId="363E01BB" w14:textId="77777777" w:rsidR="008C5CFA" w:rsidRPr="0024468B" w:rsidRDefault="00E82A60"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14:paraId="03D5447F" w14:textId="77777777" w:rsidR="008C5CFA" w:rsidRPr="0024468B" w:rsidRDefault="00E82A60" w:rsidP="00300A01">
            <w:pPr>
              <w:spacing w:before="0" w:after="0"/>
              <w:jc w:val="right"/>
              <w:rPr>
                <w:sz w:val="16"/>
                <w:szCs w:val="16"/>
                <w:lang w:val="fr-BE"/>
              </w:rPr>
            </w:pPr>
            <w:r>
              <w:rPr>
                <w:noProof/>
                <w:sz w:val="16"/>
                <w:szCs w:val="16"/>
                <w:lang w:val="fr-BE"/>
              </w:rPr>
              <w:t>100 000,00</w:t>
            </w:r>
          </w:p>
        </w:tc>
        <w:tc>
          <w:tcPr>
            <w:tcW w:w="0" w:type="auto"/>
            <w:shd w:val="clear" w:color="auto" w:fill="auto"/>
          </w:tcPr>
          <w:p w14:paraId="27B15C48" w14:textId="77777777" w:rsidR="008C5CFA" w:rsidRPr="0024468B" w:rsidRDefault="008C5CFA" w:rsidP="00300A01">
            <w:pPr>
              <w:spacing w:before="0" w:after="0"/>
              <w:jc w:val="right"/>
              <w:rPr>
                <w:sz w:val="16"/>
                <w:szCs w:val="16"/>
                <w:lang w:val="fr-BE"/>
              </w:rPr>
            </w:pPr>
          </w:p>
        </w:tc>
        <w:tc>
          <w:tcPr>
            <w:tcW w:w="0" w:type="auto"/>
          </w:tcPr>
          <w:p w14:paraId="5A2E0D12" w14:textId="77777777" w:rsidR="008C5CFA" w:rsidRPr="0024468B" w:rsidRDefault="008C5CFA" w:rsidP="00300A01">
            <w:pPr>
              <w:spacing w:before="0" w:after="0"/>
              <w:jc w:val="right"/>
              <w:rPr>
                <w:sz w:val="16"/>
                <w:szCs w:val="16"/>
                <w:lang w:val="fr-BE"/>
              </w:rPr>
            </w:pPr>
          </w:p>
        </w:tc>
        <w:tc>
          <w:tcPr>
            <w:tcW w:w="0" w:type="auto"/>
            <w:shd w:val="clear" w:color="auto" w:fill="auto"/>
          </w:tcPr>
          <w:p w14:paraId="33B8605A" w14:textId="77777777" w:rsidR="008C5CFA" w:rsidRPr="0024468B" w:rsidRDefault="00E82A60" w:rsidP="00300A01">
            <w:pPr>
              <w:spacing w:before="0" w:after="0"/>
              <w:jc w:val="right"/>
              <w:rPr>
                <w:sz w:val="16"/>
                <w:szCs w:val="16"/>
                <w:lang w:val="fr-BE"/>
              </w:rPr>
            </w:pPr>
            <w:r w:rsidRPr="0024468B">
              <w:rPr>
                <w:noProof/>
                <w:sz w:val="16"/>
                <w:szCs w:val="16"/>
                <w:lang w:val="fr-BE"/>
              </w:rPr>
              <w:t>9 159,00</w:t>
            </w:r>
          </w:p>
        </w:tc>
        <w:tc>
          <w:tcPr>
            <w:tcW w:w="0" w:type="auto"/>
            <w:shd w:val="clear" w:color="auto" w:fill="auto"/>
          </w:tcPr>
          <w:p w14:paraId="43553D5A"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381F8BAC"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2D3E277E" w14:textId="77777777" w:rsidR="008C5CFA" w:rsidRPr="0024468B" w:rsidRDefault="008C5CFA" w:rsidP="00300A01">
            <w:pPr>
              <w:spacing w:before="0" w:after="0"/>
              <w:rPr>
                <w:sz w:val="16"/>
                <w:szCs w:val="16"/>
                <w:lang w:val="fr-BE"/>
              </w:rPr>
            </w:pPr>
          </w:p>
        </w:tc>
      </w:tr>
      <w:tr w:rsidR="006B2EC1" w14:paraId="6501BC23" w14:textId="77777777" w:rsidTr="0047688D">
        <w:tc>
          <w:tcPr>
            <w:tcW w:w="0" w:type="auto"/>
          </w:tcPr>
          <w:p w14:paraId="2AA38220" w14:textId="77777777" w:rsidR="008C5CFA" w:rsidRPr="0024468B" w:rsidRDefault="00E82A60" w:rsidP="00300A01">
            <w:pPr>
              <w:spacing w:before="0" w:after="0"/>
              <w:rPr>
                <w:sz w:val="16"/>
                <w:szCs w:val="16"/>
                <w:lang w:val="fr-BE"/>
              </w:rPr>
            </w:pPr>
            <w:r>
              <w:rPr>
                <w:noProof/>
                <w:sz w:val="16"/>
                <w:szCs w:val="16"/>
                <w:lang w:val="fr-BE"/>
              </w:rPr>
              <w:t>S</w:t>
            </w:r>
          </w:p>
        </w:tc>
        <w:tc>
          <w:tcPr>
            <w:tcW w:w="0" w:type="auto"/>
            <w:shd w:val="clear" w:color="auto" w:fill="auto"/>
          </w:tcPr>
          <w:p w14:paraId="5DC3D652" w14:textId="77777777" w:rsidR="008C5CFA" w:rsidRPr="0024468B" w:rsidRDefault="00E82A60" w:rsidP="00300A01">
            <w:pPr>
              <w:spacing w:before="0" w:after="0"/>
              <w:rPr>
                <w:sz w:val="16"/>
                <w:szCs w:val="16"/>
                <w:lang w:val="fr-BE"/>
              </w:rPr>
            </w:pPr>
            <w:r w:rsidRPr="0024468B">
              <w:rPr>
                <w:noProof/>
                <w:sz w:val="16"/>
                <w:szCs w:val="16"/>
                <w:lang w:val="fr-BE"/>
              </w:rPr>
              <w:t>CO19</w:t>
            </w:r>
          </w:p>
        </w:tc>
        <w:tc>
          <w:tcPr>
            <w:tcW w:w="0" w:type="auto"/>
            <w:shd w:val="clear" w:color="auto" w:fill="auto"/>
          </w:tcPr>
          <w:p w14:paraId="3D01F9AE" w14:textId="77777777" w:rsidR="008C5CFA" w:rsidRPr="0024468B" w:rsidRDefault="00E82A60" w:rsidP="00300A01">
            <w:pPr>
              <w:spacing w:before="0" w:after="0"/>
              <w:rPr>
                <w:sz w:val="16"/>
                <w:szCs w:val="16"/>
                <w:lang w:val="fr-BE"/>
              </w:rPr>
            </w:pPr>
            <w:r w:rsidRPr="0024468B">
              <w:rPr>
                <w:noProof/>
                <w:sz w:val="16"/>
                <w:szCs w:val="16"/>
                <w:lang w:val="fr-BE"/>
              </w:rPr>
              <w:t>Oczyszczanie ścieków: liczba dodatkowych osób korzystających z ulepszonego oczyszczania ścieków</w:t>
            </w:r>
          </w:p>
        </w:tc>
        <w:tc>
          <w:tcPr>
            <w:tcW w:w="0" w:type="auto"/>
            <w:shd w:val="clear" w:color="auto" w:fill="auto"/>
          </w:tcPr>
          <w:p w14:paraId="0FD465A6" w14:textId="77777777" w:rsidR="008C5CFA" w:rsidRPr="0024468B" w:rsidRDefault="00E82A60" w:rsidP="00300A01">
            <w:pPr>
              <w:spacing w:before="0" w:after="0"/>
              <w:rPr>
                <w:sz w:val="16"/>
                <w:szCs w:val="16"/>
                <w:lang w:val="fr-BE"/>
              </w:rPr>
            </w:pPr>
            <w:r>
              <w:rPr>
                <w:noProof/>
                <w:sz w:val="16"/>
                <w:szCs w:val="16"/>
                <w:lang w:val="fr-BE"/>
              </w:rPr>
              <w:t>Równoważna liczba mieszkańców</w:t>
            </w:r>
          </w:p>
        </w:tc>
        <w:tc>
          <w:tcPr>
            <w:tcW w:w="0" w:type="auto"/>
            <w:shd w:val="clear" w:color="auto" w:fill="auto"/>
          </w:tcPr>
          <w:p w14:paraId="624C582F" w14:textId="77777777" w:rsidR="008C5CFA" w:rsidRPr="0024468B" w:rsidRDefault="00E82A60"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14:paraId="25DFFCD6" w14:textId="77777777" w:rsidR="008C5CFA" w:rsidRPr="0024468B" w:rsidRDefault="00E82A60" w:rsidP="00300A01">
            <w:pPr>
              <w:spacing w:before="0" w:after="0"/>
              <w:jc w:val="right"/>
              <w:rPr>
                <w:sz w:val="16"/>
                <w:szCs w:val="16"/>
                <w:lang w:val="fr-BE"/>
              </w:rPr>
            </w:pPr>
            <w:r>
              <w:rPr>
                <w:noProof/>
                <w:sz w:val="16"/>
                <w:szCs w:val="16"/>
                <w:lang w:val="fr-BE"/>
              </w:rPr>
              <w:t>100 000,00</w:t>
            </w:r>
          </w:p>
        </w:tc>
        <w:tc>
          <w:tcPr>
            <w:tcW w:w="0" w:type="auto"/>
            <w:shd w:val="clear" w:color="auto" w:fill="auto"/>
          </w:tcPr>
          <w:p w14:paraId="1CF35797" w14:textId="77777777" w:rsidR="008C5CFA" w:rsidRPr="0024468B" w:rsidRDefault="008C5CFA" w:rsidP="00300A01">
            <w:pPr>
              <w:spacing w:before="0" w:after="0"/>
              <w:jc w:val="right"/>
              <w:rPr>
                <w:sz w:val="16"/>
                <w:szCs w:val="16"/>
                <w:lang w:val="fr-BE"/>
              </w:rPr>
            </w:pPr>
          </w:p>
        </w:tc>
        <w:tc>
          <w:tcPr>
            <w:tcW w:w="0" w:type="auto"/>
          </w:tcPr>
          <w:p w14:paraId="3E73F806" w14:textId="77777777" w:rsidR="008C5CFA" w:rsidRPr="0024468B" w:rsidRDefault="008C5CFA" w:rsidP="00300A01">
            <w:pPr>
              <w:spacing w:before="0" w:after="0"/>
              <w:jc w:val="right"/>
              <w:rPr>
                <w:sz w:val="16"/>
                <w:szCs w:val="16"/>
                <w:lang w:val="fr-BE"/>
              </w:rPr>
            </w:pPr>
          </w:p>
        </w:tc>
        <w:tc>
          <w:tcPr>
            <w:tcW w:w="0" w:type="auto"/>
            <w:shd w:val="clear" w:color="auto" w:fill="auto"/>
          </w:tcPr>
          <w:p w14:paraId="01FED28E" w14:textId="77777777" w:rsidR="008C5CFA" w:rsidRPr="0024468B" w:rsidRDefault="00E82A60" w:rsidP="00300A01">
            <w:pPr>
              <w:spacing w:before="0" w:after="0"/>
              <w:jc w:val="right"/>
              <w:rPr>
                <w:sz w:val="16"/>
                <w:szCs w:val="16"/>
                <w:lang w:val="fr-BE"/>
              </w:rPr>
            </w:pPr>
            <w:r w:rsidRPr="0024468B">
              <w:rPr>
                <w:noProof/>
                <w:sz w:val="16"/>
                <w:szCs w:val="16"/>
                <w:lang w:val="fr-BE"/>
              </w:rPr>
              <w:t>58 711,00</w:t>
            </w:r>
          </w:p>
        </w:tc>
        <w:tc>
          <w:tcPr>
            <w:tcW w:w="0" w:type="auto"/>
            <w:shd w:val="clear" w:color="auto" w:fill="auto"/>
          </w:tcPr>
          <w:p w14:paraId="27E032EE"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5F0EA7C8"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504793E6" w14:textId="77777777" w:rsidR="008C5CFA" w:rsidRPr="0024468B" w:rsidRDefault="00E82A60" w:rsidP="00300A01">
            <w:pPr>
              <w:spacing w:before="0" w:after="0"/>
              <w:rPr>
                <w:sz w:val="16"/>
                <w:szCs w:val="16"/>
                <w:lang w:val="fr-BE"/>
              </w:rPr>
            </w:pPr>
            <w:r w:rsidRPr="0024468B">
              <w:rPr>
                <w:noProof/>
                <w:sz w:val="16"/>
                <w:szCs w:val="16"/>
                <w:lang w:val="fr-BE"/>
              </w:rPr>
              <w:t>Pomimo dużego zainteresowania realizacją inwestycji w zakresie budowy kanalizacji sanitarnej, duża część potencjalnych wnioskodawców nie mogła ubiegać się o dofinansowanie w ramach RPOWŚ 2014-2020 ze względu na brak ujęcia inwestycji w KPOŚK i/lub brak spełnienia właściwego poziomu współczynnika koncentracji. Stąd mniejszy niż zakładano pierwotnie na etapie programowania potencjał absorpcyjny w ramach tego działania. Biorąc powyższe pod uwagę, jak również wzrost cen towarów i usług w stosunku do roku 2013 i 2014, w wyniku którego beneficjenci realizują mniejsze zakresy rzeczowe.Ponadto trendy demograficzne, które wskazują na zmniejszanie się liczby ludności w miejscowościach (odpływ młodych ludzi do większych ośrodków, ujemny przyrost naturalny) spowodował iż IZ podjęła decyzję o urealnieniu wskaźnika do poziomu 60 000 RLM.</w:t>
            </w:r>
          </w:p>
        </w:tc>
      </w:tr>
      <w:tr w:rsidR="006B2EC1" w14:paraId="0663D1B8" w14:textId="77777777" w:rsidTr="0047688D">
        <w:tc>
          <w:tcPr>
            <w:tcW w:w="0" w:type="auto"/>
          </w:tcPr>
          <w:p w14:paraId="0E9B85E6" w14:textId="77777777" w:rsidR="008C5CFA" w:rsidRPr="0024468B" w:rsidRDefault="00E82A60" w:rsidP="00300A01">
            <w:pPr>
              <w:spacing w:before="0" w:after="0"/>
              <w:rPr>
                <w:sz w:val="16"/>
                <w:szCs w:val="16"/>
                <w:lang w:val="fr-BE"/>
              </w:rPr>
            </w:pPr>
            <w:r>
              <w:rPr>
                <w:noProof/>
                <w:sz w:val="16"/>
                <w:szCs w:val="16"/>
                <w:lang w:val="fr-BE"/>
              </w:rPr>
              <w:t>F</w:t>
            </w:r>
          </w:p>
        </w:tc>
        <w:tc>
          <w:tcPr>
            <w:tcW w:w="0" w:type="auto"/>
            <w:shd w:val="clear" w:color="auto" w:fill="auto"/>
          </w:tcPr>
          <w:p w14:paraId="7F6C93B4" w14:textId="77777777" w:rsidR="008C5CFA" w:rsidRPr="0024468B" w:rsidRDefault="00E82A60" w:rsidP="00300A01">
            <w:pPr>
              <w:spacing w:before="0" w:after="0"/>
              <w:rPr>
                <w:sz w:val="16"/>
                <w:szCs w:val="16"/>
                <w:lang w:val="fr-BE"/>
              </w:rPr>
            </w:pPr>
            <w:r>
              <w:rPr>
                <w:noProof/>
                <w:sz w:val="16"/>
                <w:szCs w:val="16"/>
                <w:lang w:val="fr-BE"/>
              </w:rPr>
              <w:t>033</w:t>
            </w:r>
          </w:p>
        </w:tc>
        <w:tc>
          <w:tcPr>
            <w:tcW w:w="0" w:type="auto"/>
            <w:shd w:val="clear" w:color="auto" w:fill="auto"/>
          </w:tcPr>
          <w:p w14:paraId="036B67B7" w14:textId="77777777" w:rsidR="008C5CFA" w:rsidRPr="0024468B" w:rsidRDefault="00E82A60" w:rsidP="00300A01">
            <w:pPr>
              <w:spacing w:before="0" w:after="0"/>
              <w:rPr>
                <w:sz w:val="16"/>
                <w:szCs w:val="16"/>
                <w:lang w:val="fr-BE"/>
              </w:rPr>
            </w:pPr>
            <w:r>
              <w:rPr>
                <w:noProof/>
                <w:sz w:val="16"/>
                <w:szCs w:val="16"/>
                <w:lang w:val="fr-BE"/>
              </w:rPr>
              <w:t>Liczba wspartych oczyszczalni ścieków komunalnych</w:t>
            </w:r>
          </w:p>
        </w:tc>
        <w:tc>
          <w:tcPr>
            <w:tcW w:w="0" w:type="auto"/>
            <w:shd w:val="clear" w:color="auto" w:fill="auto"/>
          </w:tcPr>
          <w:p w14:paraId="4A768CC1" w14:textId="77777777" w:rsidR="008C5CFA" w:rsidRPr="0024468B" w:rsidRDefault="00E82A60" w:rsidP="00300A01">
            <w:pPr>
              <w:spacing w:before="0" w:after="0"/>
              <w:rPr>
                <w:sz w:val="16"/>
                <w:szCs w:val="16"/>
                <w:lang w:val="fr-BE"/>
              </w:rPr>
            </w:pPr>
            <w:r w:rsidRPr="0024468B">
              <w:rPr>
                <w:noProof/>
                <w:sz w:val="16"/>
                <w:szCs w:val="16"/>
                <w:lang w:val="fr-BE"/>
              </w:rPr>
              <w:t>szt.</w:t>
            </w:r>
          </w:p>
        </w:tc>
        <w:tc>
          <w:tcPr>
            <w:tcW w:w="0" w:type="auto"/>
            <w:shd w:val="clear" w:color="auto" w:fill="auto"/>
          </w:tcPr>
          <w:p w14:paraId="4102A792" w14:textId="77777777" w:rsidR="008C5CFA" w:rsidRPr="0024468B" w:rsidRDefault="00E82A60"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14:paraId="1DE3759E" w14:textId="77777777" w:rsidR="008C5CFA" w:rsidRPr="0024468B" w:rsidRDefault="00E82A60" w:rsidP="00300A01">
            <w:pPr>
              <w:spacing w:before="0" w:after="0"/>
              <w:jc w:val="right"/>
              <w:rPr>
                <w:sz w:val="16"/>
                <w:szCs w:val="16"/>
                <w:lang w:val="fr-BE"/>
              </w:rPr>
            </w:pPr>
            <w:r>
              <w:rPr>
                <w:noProof/>
                <w:sz w:val="16"/>
                <w:szCs w:val="16"/>
                <w:lang w:val="fr-BE"/>
              </w:rPr>
              <w:t>14,00</w:t>
            </w:r>
          </w:p>
        </w:tc>
        <w:tc>
          <w:tcPr>
            <w:tcW w:w="0" w:type="auto"/>
            <w:shd w:val="clear" w:color="auto" w:fill="auto"/>
          </w:tcPr>
          <w:p w14:paraId="3A23DF41" w14:textId="77777777" w:rsidR="008C5CFA" w:rsidRPr="0024468B" w:rsidRDefault="008C5CFA" w:rsidP="00300A01">
            <w:pPr>
              <w:spacing w:before="0" w:after="0"/>
              <w:jc w:val="right"/>
              <w:rPr>
                <w:sz w:val="16"/>
                <w:szCs w:val="16"/>
                <w:lang w:val="fr-BE"/>
              </w:rPr>
            </w:pPr>
          </w:p>
        </w:tc>
        <w:tc>
          <w:tcPr>
            <w:tcW w:w="0" w:type="auto"/>
          </w:tcPr>
          <w:p w14:paraId="0D388494" w14:textId="77777777" w:rsidR="008C5CFA" w:rsidRPr="0024468B" w:rsidRDefault="008C5CFA" w:rsidP="00300A01">
            <w:pPr>
              <w:spacing w:before="0" w:after="0"/>
              <w:jc w:val="right"/>
              <w:rPr>
                <w:sz w:val="16"/>
                <w:szCs w:val="16"/>
                <w:lang w:val="fr-BE"/>
              </w:rPr>
            </w:pPr>
          </w:p>
        </w:tc>
        <w:tc>
          <w:tcPr>
            <w:tcW w:w="0" w:type="auto"/>
            <w:shd w:val="clear" w:color="auto" w:fill="auto"/>
          </w:tcPr>
          <w:p w14:paraId="4C42CB93" w14:textId="77777777" w:rsidR="008C5CFA" w:rsidRPr="0024468B" w:rsidRDefault="00E82A60" w:rsidP="00300A01">
            <w:pPr>
              <w:spacing w:before="0" w:after="0"/>
              <w:jc w:val="right"/>
              <w:rPr>
                <w:sz w:val="16"/>
                <w:szCs w:val="16"/>
                <w:lang w:val="fr-BE"/>
              </w:rPr>
            </w:pPr>
            <w:r w:rsidRPr="0024468B">
              <w:rPr>
                <w:noProof/>
                <w:sz w:val="16"/>
                <w:szCs w:val="16"/>
                <w:lang w:val="fr-BE"/>
              </w:rPr>
              <w:t>3,00</w:t>
            </w:r>
          </w:p>
        </w:tc>
        <w:tc>
          <w:tcPr>
            <w:tcW w:w="0" w:type="auto"/>
            <w:shd w:val="clear" w:color="auto" w:fill="auto"/>
          </w:tcPr>
          <w:p w14:paraId="3988ADE1"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4B8364A8"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0AB96BA8" w14:textId="77777777" w:rsidR="008C5CFA" w:rsidRPr="0024468B" w:rsidRDefault="008C5CFA" w:rsidP="00300A01">
            <w:pPr>
              <w:spacing w:before="0" w:after="0"/>
              <w:rPr>
                <w:sz w:val="16"/>
                <w:szCs w:val="16"/>
                <w:lang w:val="fr-BE"/>
              </w:rPr>
            </w:pPr>
          </w:p>
        </w:tc>
      </w:tr>
      <w:tr w:rsidR="006B2EC1" w14:paraId="73E99A05" w14:textId="77777777" w:rsidTr="0047688D">
        <w:tc>
          <w:tcPr>
            <w:tcW w:w="0" w:type="auto"/>
          </w:tcPr>
          <w:p w14:paraId="3E713079" w14:textId="77777777" w:rsidR="008C5CFA" w:rsidRPr="0024468B" w:rsidRDefault="00E82A60" w:rsidP="00300A01">
            <w:pPr>
              <w:spacing w:before="0" w:after="0"/>
              <w:rPr>
                <w:sz w:val="16"/>
                <w:szCs w:val="16"/>
                <w:lang w:val="fr-BE"/>
              </w:rPr>
            </w:pPr>
            <w:r>
              <w:rPr>
                <w:noProof/>
                <w:sz w:val="16"/>
                <w:szCs w:val="16"/>
                <w:lang w:val="fr-BE"/>
              </w:rPr>
              <w:t>S</w:t>
            </w:r>
          </w:p>
        </w:tc>
        <w:tc>
          <w:tcPr>
            <w:tcW w:w="0" w:type="auto"/>
            <w:shd w:val="clear" w:color="auto" w:fill="auto"/>
          </w:tcPr>
          <w:p w14:paraId="175D6761" w14:textId="77777777" w:rsidR="008C5CFA" w:rsidRPr="0024468B" w:rsidRDefault="00E82A60" w:rsidP="00300A01">
            <w:pPr>
              <w:spacing w:before="0" w:after="0"/>
              <w:rPr>
                <w:sz w:val="16"/>
                <w:szCs w:val="16"/>
                <w:lang w:val="fr-BE"/>
              </w:rPr>
            </w:pPr>
            <w:r>
              <w:rPr>
                <w:noProof/>
                <w:sz w:val="16"/>
                <w:szCs w:val="16"/>
                <w:lang w:val="fr-BE"/>
              </w:rPr>
              <w:t>033</w:t>
            </w:r>
          </w:p>
        </w:tc>
        <w:tc>
          <w:tcPr>
            <w:tcW w:w="0" w:type="auto"/>
            <w:shd w:val="clear" w:color="auto" w:fill="auto"/>
          </w:tcPr>
          <w:p w14:paraId="7553AA69" w14:textId="77777777" w:rsidR="008C5CFA" w:rsidRPr="0024468B" w:rsidRDefault="00E82A60" w:rsidP="00300A01">
            <w:pPr>
              <w:spacing w:before="0" w:after="0"/>
              <w:rPr>
                <w:sz w:val="16"/>
                <w:szCs w:val="16"/>
                <w:lang w:val="fr-BE"/>
              </w:rPr>
            </w:pPr>
            <w:r>
              <w:rPr>
                <w:noProof/>
                <w:sz w:val="16"/>
                <w:szCs w:val="16"/>
                <w:lang w:val="fr-BE"/>
              </w:rPr>
              <w:t>Liczba wspartych oczyszczalni ścieków komunalnych</w:t>
            </w:r>
          </w:p>
        </w:tc>
        <w:tc>
          <w:tcPr>
            <w:tcW w:w="0" w:type="auto"/>
            <w:shd w:val="clear" w:color="auto" w:fill="auto"/>
          </w:tcPr>
          <w:p w14:paraId="25BD6480" w14:textId="77777777" w:rsidR="008C5CFA" w:rsidRPr="0024468B" w:rsidRDefault="00E82A60" w:rsidP="00300A01">
            <w:pPr>
              <w:spacing w:before="0" w:after="0"/>
              <w:rPr>
                <w:sz w:val="16"/>
                <w:szCs w:val="16"/>
                <w:lang w:val="fr-BE"/>
              </w:rPr>
            </w:pPr>
            <w:r w:rsidRPr="0024468B">
              <w:rPr>
                <w:noProof/>
                <w:sz w:val="16"/>
                <w:szCs w:val="16"/>
                <w:lang w:val="fr-BE"/>
              </w:rPr>
              <w:t>szt.</w:t>
            </w:r>
          </w:p>
        </w:tc>
        <w:tc>
          <w:tcPr>
            <w:tcW w:w="0" w:type="auto"/>
            <w:shd w:val="clear" w:color="auto" w:fill="auto"/>
          </w:tcPr>
          <w:p w14:paraId="6DC53AC5" w14:textId="77777777" w:rsidR="008C5CFA" w:rsidRPr="0024468B" w:rsidRDefault="00E82A60"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14:paraId="426C8137" w14:textId="77777777" w:rsidR="008C5CFA" w:rsidRPr="0024468B" w:rsidRDefault="00E82A60" w:rsidP="00300A01">
            <w:pPr>
              <w:spacing w:before="0" w:after="0"/>
              <w:jc w:val="right"/>
              <w:rPr>
                <w:sz w:val="16"/>
                <w:szCs w:val="16"/>
                <w:lang w:val="fr-BE"/>
              </w:rPr>
            </w:pPr>
            <w:r>
              <w:rPr>
                <w:noProof/>
                <w:sz w:val="16"/>
                <w:szCs w:val="16"/>
                <w:lang w:val="fr-BE"/>
              </w:rPr>
              <w:t>14,00</w:t>
            </w:r>
          </w:p>
        </w:tc>
        <w:tc>
          <w:tcPr>
            <w:tcW w:w="0" w:type="auto"/>
            <w:shd w:val="clear" w:color="auto" w:fill="auto"/>
          </w:tcPr>
          <w:p w14:paraId="57A5F950" w14:textId="77777777" w:rsidR="008C5CFA" w:rsidRPr="0024468B" w:rsidRDefault="008C5CFA" w:rsidP="00300A01">
            <w:pPr>
              <w:spacing w:before="0" w:after="0"/>
              <w:jc w:val="right"/>
              <w:rPr>
                <w:sz w:val="16"/>
                <w:szCs w:val="16"/>
                <w:lang w:val="fr-BE"/>
              </w:rPr>
            </w:pPr>
          </w:p>
        </w:tc>
        <w:tc>
          <w:tcPr>
            <w:tcW w:w="0" w:type="auto"/>
          </w:tcPr>
          <w:p w14:paraId="155A6634" w14:textId="77777777" w:rsidR="008C5CFA" w:rsidRPr="0024468B" w:rsidRDefault="008C5CFA" w:rsidP="00300A01">
            <w:pPr>
              <w:spacing w:before="0" w:after="0"/>
              <w:jc w:val="right"/>
              <w:rPr>
                <w:sz w:val="16"/>
                <w:szCs w:val="16"/>
                <w:lang w:val="fr-BE"/>
              </w:rPr>
            </w:pPr>
          </w:p>
        </w:tc>
        <w:tc>
          <w:tcPr>
            <w:tcW w:w="0" w:type="auto"/>
            <w:shd w:val="clear" w:color="auto" w:fill="auto"/>
          </w:tcPr>
          <w:p w14:paraId="480FA132" w14:textId="77777777" w:rsidR="008C5CFA" w:rsidRPr="0024468B" w:rsidRDefault="00E82A60" w:rsidP="00300A01">
            <w:pPr>
              <w:spacing w:before="0" w:after="0"/>
              <w:jc w:val="right"/>
              <w:rPr>
                <w:sz w:val="16"/>
                <w:szCs w:val="16"/>
                <w:lang w:val="fr-BE"/>
              </w:rPr>
            </w:pPr>
            <w:r w:rsidRPr="0024468B">
              <w:rPr>
                <w:noProof/>
                <w:sz w:val="16"/>
                <w:szCs w:val="16"/>
                <w:lang w:val="fr-BE"/>
              </w:rPr>
              <w:t>24,00</w:t>
            </w:r>
          </w:p>
        </w:tc>
        <w:tc>
          <w:tcPr>
            <w:tcW w:w="0" w:type="auto"/>
            <w:shd w:val="clear" w:color="auto" w:fill="auto"/>
          </w:tcPr>
          <w:p w14:paraId="1AA7DFDF"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35442649"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127D81CF" w14:textId="77777777" w:rsidR="008C5CFA" w:rsidRPr="0024468B" w:rsidRDefault="008C5CFA" w:rsidP="00300A01">
            <w:pPr>
              <w:spacing w:before="0" w:after="0"/>
              <w:rPr>
                <w:sz w:val="16"/>
                <w:szCs w:val="16"/>
                <w:lang w:val="fr-BE"/>
              </w:rPr>
            </w:pPr>
          </w:p>
        </w:tc>
      </w:tr>
      <w:tr w:rsidR="006B2EC1" w14:paraId="60C4835F" w14:textId="77777777" w:rsidTr="0047688D">
        <w:tc>
          <w:tcPr>
            <w:tcW w:w="0" w:type="auto"/>
          </w:tcPr>
          <w:p w14:paraId="63C69804" w14:textId="77777777" w:rsidR="008C5CFA" w:rsidRPr="0024468B" w:rsidRDefault="00E82A60" w:rsidP="00300A01">
            <w:pPr>
              <w:spacing w:before="0" w:after="0"/>
              <w:rPr>
                <w:sz w:val="16"/>
                <w:szCs w:val="16"/>
                <w:lang w:val="fr-BE"/>
              </w:rPr>
            </w:pPr>
            <w:r>
              <w:rPr>
                <w:noProof/>
                <w:sz w:val="16"/>
                <w:szCs w:val="16"/>
                <w:lang w:val="fr-BE"/>
              </w:rPr>
              <w:t>F</w:t>
            </w:r>
          </w:p>
        </w:tc>
        <w:tc>
          <w:tcPr>
            <w:tcW w:w="0" w:type="auto"/>
            <w:shd w:val="clear" w:color="auto" w:fill="auto"/>
          </w:tcPr>
          <w:p w14:paraId="54C2C85D" w14:textId="77777777" w:rsidR="008C5CFA" w:rsidRPr="0024468B" w:rsidRDefault="00E82A60" w:rsidP="00300A01">
            <w:pPr>
              <w:spacing w:before="0" w:after="0"/>
              <w:rPr>
                <w:sz w:val="16"/>
                <w:szCs w:val="16"/>
                <w:lang w:val="fr-BE"/>
              </w:rPr>
            </w:pPr>
            <w:r>
              <w:rPr>
                <w:noProof/>
                <w:sz w:val="16"/>
                <w:szCs w:val="16"/>
                <w:lang w:val="fr-BE"/>
              </w:rPr>
              <w:t>56</w:t>
            </w:r>
          </w:p>
        </w:tc>
        <w:tc>
          <w:tcPr>
            <w:tcW w:w="0" w:type="auto"/>
            <w:shd w:val="clear" w:color="auto" w:fill="auto"/>
          </w:tcPr>
          <w:p w14:paraId="4F8D7BBD" w14:textId="77777777" w:rsidR="008C5CFA" w:rsidRPr="0024468B" w:rsidRDefault="00E82A60" w:rsidP="00300A01">
            <w:pPr>
              <w:spacing w:before="0" w:after="0"/>
              <w:rPr>
                <w:sz w:val="16"/>
                <w:szCs w:val="16"/>
                <w:lang w:val="fr-BE"/>
              </w:rPr>
            </w:pPr>
            <w:r>
              <w:rPr>
                <w:noProof/>
                <w:sz w:val="16"/>
                <w:szCs w:val="16"/>
                <w:lang w:val="fr-BE"/>
              </w:rPr>
              <w:t>Długość wybudowanej kanalizacji sanitarnej</w:t>
            </w:r>
          </w:p>
        </w:tc>
        <w:tc>
          <w:tcPr>
            <w:tcW w:w="0" w:type="auto"/>
            <w:shd w:val="clear" w:color="auto" w:fill="auto"/>
          </w:tcPr>
          <w:p w14:paraId="01D0E758" w14:textId="77777777" w:rsidR="008C5CFA" w:rsidRPr="0024468B" w:rsidRDefault="00E82A60" w:rsidP="00300A01">
            <w:pPr>
              <w:spacing w:before="0" w:after="0"/>
              <w:rPr>
                <w:sz w:val="16"/>
                <w:szCs w:val="16"/>
                <w:lang w:val="fr-BE"/>
              </w:rPr>
            </w:pPr>
            <w:r w:rsidRPr="0024468B">
              <w:rPr>
                <w:noProof/>
                <w:sz w:val="16"/>
                <w:szCs w:val="16"/>
                <w:lang w:val="fr-BE"/>
              </w:rPr>
              <w:t>km</w:t>
            </w:r>
          </w:p>
        </w:tc>
        <w:tc>
          <w:tcPr>
            <w:tcW w:w="0" w:type="auto"/>
            <w:shd w:val="clear" w:color="auto" w:fill="auto"/>
          </w:tcPr>
          <w:p w14:paraId="4647BABD" w14:textId="77777777" w:rsidR="008C5CFA" w:rsidRPr="0024468B" w:rsidRDefault="00E82A60"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14:paraId="48D3BF1A" w14:textId="77777777" w:rsidR="008C5CFA" w:rsidRPr="0024468B" w:rsidRDefault="00E82A60" w:rsidP="00300A01">
            <w:pPr>
              <w:spacing w:before="0" w:after="0"/>
              <w:jc w:val="right"/>
              <w:rPr>
                <w:sz w:val="16"/>
                <w:szCs w:val="16"/>
                <w:lang w:val="fr-BE"/>
              </w:rPr>
            </w:pPr>
            <w:r>
              <w:rPr>
                <w:noProof/>
                <w:sz w:val="16"/>
                <w:szCs w:val="16"/>
                <w:lang w:val="fr-BE"/>
              </w:rPr>
              <w:t>300,00</w:t>
            </w:r>
          </w:p>
        </w:tc>
        <w:tc>
          <w:tcPr>
            <w:tcW w:w="0" w:type="auto"/>
            <w:shd w:val="clear" w:color="auto" w:fill="auto"/>
          </w:tcPr>
          <w:p w14:paraId="7E571C23" w14:textId="77777777" w:rsidR="008C5CFA" w:rsidRPr="0024468B" w:rsidRDefault="008C5CFA" w:rsidP="00300A01">
            <w:pPr>
              <w:spacing w:before="0" w:after="0"/>
              <w:jc w:val="right"/>
              <w:rPr>
                <w:sz w:val="16"/>
                <w:szCs w:val="16"/>
                <w:lang w:val="fr-BE"/>
              </w:rPr>
            </w:pPr>
          </w:p>
        </w:tc>
        <w:tc>
          <w:tcPr>
            <w:tcW w:w="0" w:type="auto"/>
          </w:tcPr>
          <w:p w14:paraId="6EDF66CB" w14:textId="77777777" w:rsidR="008C5CFA" w:rsidRPr="0024468B" w:rsidRDefault="008C5CFA" w:rsidP="00300A01">
            <w:pPr>
              <w:spacing w:before="0" w:after="0"/>
              <w:jc w:val="right"/>
              <w:rPr>
                <w:sz w:val="16"/>
                <w:szCs w:val="16"/>
                <w:lang w:val="fr-BE"/>
              </w:rPr>
            </w:pPr>
          </w:p>
        </w:tc>
        <w:tc>
          <w:tcPr>
            <w:tcW w:w="0" w:type="auto"/>
            <w:shd w:val="clear" w:color="auto" w:fill="auto"/>
          </w:tcPr>
          <w:p w14:paraId="0B777229" w14:textId="77777777" w:rsidR="008C5CFA" w:rsidRPr="0024468B" w:rsidRDefault="00E82A60" w:rsidP="00300A01">
            <w:pPr>
              <w:spacing w:before="0" w:after="0"/>
              <w:jc w:val="right"/>
              <w:rPr>
                <w:sz w:val="16"/>
                <w:szCs w:val="16"/>
                <w:lang w:val="fr-BE"/>
              </w:rPr>
            </w:pPr>
            <w:r w:rsidRPr="0024468B">
              <w:rPr>
                <w:noProof/>
                <w:sz w:val="16"/>
                <w:szCs w:val="16"/>
                <w:lang w:val="fr-BE"/>
              </w:rPr>
              <w:t>131,31</w:t>
            </w:r>
          </w:p>
        </w:tc>
        <w:tc>
          <w:tcPr>
            <w:tcW w:w="0" w:type="auto"/>
            <w:shd w:val="clear" w:color="auto" w:fill="auto"/>
          </w:tcPr>
          <w:p w14:paraId="00633E7A"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7A608EE8"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65574A26" w14:textId="77777777" w:rsidR="008C5CFA" w:rsidRPr="0024468B" w:rsidRDefault="008C5CFA" w:rsidP="00300A01">
            <w:pPr>
              <w:spacing w:before="0" w:after="0"/>
              <w:rPr>
                <w:sz w:val="16"/>
                <w:szCs w:val="16"/>
                <w:lang w:val="fr-BE"/>
              </w:rPr>
            </w:pPr>
          </w:p>
        </w:tc>
      </w:tr>
      <w:tr w:rsidR="006B2EC1" w14:paraId="7CE2DB68" w14:textId="77777777" w:rsidTr="0047688D">
        <w:tc>
          <w:tcPr>
            <w:tcW w:w="0" w:type="auto"/>
          </w:tcPr>
          <w:p w14:paraId="6DF0BF1B" w14:textId="77777777" w:rsidR="008C5CFA" w:rsidRPr="0024468B" w:rsidRDefault="00E82A60" w:rsidP="00300A01">
            <w:pPr>
              <w:spacing w:before="0" w:after="0"/>
              <w:rPr>
                <w:sz w:val="16"/>
                <w:szCs w:val="16"/>
                <w:lang w:val="fr-BE"/>
              </w:rPr>
            </w:pPr>
            <w:r>
              <w:rPr>
                <w:noProof/>
                <w:sz w:val="16"/>
                <w:szCs w:val="16"/>
                <w:lang w:val="fr-BE"/>
              </w:rPr>
              <w:t>S</w:t>
            </w:r>
          </w:p>
        </w:tc>
        <w:tc>
          <w:tcPr>
            <w:tcW w:w="0" w:type="auto"/>
            <w:shd w:val="clear" w:color="auto" w:fill="auto"/>
          </w:tcPr>
          <w:p w14:paraId="47E068B7" w14:textId="77777777" w:rsidR="008C5CFA" w:rsidRPr="0024468B" w:rsidRDefault="00E82A60" w:rsidP="00300A01">
            <w:pPr>
              <w:spacing w:before="0" w:after="0"/>
              <w:rPr>
                <w:sz w:val="16"/>
                <w:szCs w:val="16"/>
                <w:lang w:val="fr-BE"/>
              </w:rPr>
            </w:pPr>
            <w:r>
              <w:rPr>
                <w:noProof/>
                <w:sz w:val="16"/>
                <w:szCs w:val="16"/>
                <w:lang w:val="fr-BE"/>
              </w:rPr>
              <w:t>56</w:t>
            </w:r>
          </w:p>
        </w:tc>
        <w:tc>
          <w:tcPr>
            <w:tcW w:w="0" w:type="auto"/>
            <w:shd w:val="clear" w:color="auto" w:fill="auto"/>
          </w:tcPr>
          <w:p w14:paraId="071E22B4" w14:textId="77777777" w:rsidR="008C5CFA" w:rsidRPr="0024468B" w:rsidRDefault="00E82A60" w:rsidP="00300A01">
            <w:pPr>
              <w:spacing w:before="0" w:after="0"/>
              <w:rPr>
                <w:sz w:val="16"/>
                <w:szCs w:val="16"/>
                <w:lang w:val="fr-BE"/>
              </w:rPr>
            </w:pPr>
            <w:r>
              <w:rPr>
                <w:noProof/>
                <w:sz w:val="16"/>
                <w:szCs w:val="16"/>
                <w:lang w:val="fr-BE"/>
              </w:rPr>
              <w:t>Długość wybudowanej kanalizacji sanitarnej</w:t>
            </w:r>
          </w:p>
        </w:tc>
        <w:tc>
          <w:tcPr>
            <w:tcW w:w="0" w:type="auto"/>
            <w:shd w:val="clear" w:color="auto" w:fill="auto"/>
          </w:tcPr>
          <w:p w14:paraId="2A260E49" w14:textId="77777777" w:rsidR="008C5CFA" w:rsidRPr="0024468B" w:rsidRDefault="00E82A60" w:rsidP="00300A01">
            <w:pPr>
              <w:spacing w:before="0" w:after="0"/>
              <w:rPr>
                <w:sz w:val="16"/>
                <w:szCs w:val="16"/>
                <w:lang w:val="fr-BE"/>
              </w:rPr>
            </w:pPr>
            <w:r w:rsidRPr="0024468B">
              <w:rPr>
                <w:noProof/>
                <w:sz w:val="16"/>
                <w:szCs w:val="16"/>
                <w:lang w:val="fr-BE"/>
              </w:rPr>
              <w:t>km</w:t>
            </w:r>
          </w:p>
        </w:tc>
        <w:tc>
          <w:tcPr>
            <w:tcW w:w="0" w:type="auto"/>
            <w:shd w:val="clear" w:color="auto" w:fill="auto"/>
          </w:tcPr>
          <w:p w14:paraId="10FED785" w14:textId="77777777" w:rsidR="008C5CFA" w:rsidRPr="0024468B" w:rsidRDefault="00E82A60"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14:paraId="1B9ECA5B" w14:textId="77777777" w:rsidR="008C5CFA" w:rsidRPr="0024468B" w:rsidRDefault="00E82A60" w:rsidP="00300A01">
            <w:pPr>
              <w:spacing w:before="0" w:after="0"/>
              <w:jc w:val="right"/>
              <w:rPr>
                <w:sz w:val="16"/>
                <w:szCs w:val="16"/>
                <w:lang w:val="fr-BE"/>
              </w:rPr>
            </w:pPr>
            <w:r>
              <w:rPr>
                <w:noProof/>
                <w:sz w:val="16"/>
                <w:szCs w:val="16"/>
                <w:lang w:val="fr-BE"/>
              </w:rPr>
              <w:t>300,00</w:t>
            </w:r>
          </w:p>
        </w:tc>
        <w:tc>
          <w:tcPr>
            <w:tcW w:w="0" w:type="auto"/>
            <w:shd w:val="clear" w:color="auto" w:fill="auto"/>
          </w:tcPr>
          <w:p w14:paraId="35C5D203" w14:textId="77777777" w:rsidR="008C5CFA" w:rsidRPr="0024468B" w:rsidRDefault="008C5CFA" w:rsidP="00300A01">
            <w:pPr>
              <w:spacing w:before="0" w:after="0"/>
              <w:jc w:val="right"/>
              <w:rPr>
                <w:sz w:val="16"/>
                <w:szCs w:val="16"/>
                <w:lang w:val="fr-BE"/>
              </w:rPr>
            </w:pPr>
          </w:p>
        </w:tc>
        <w:tc>
          <w:tcPr>
            <w:tcW w:w="0" w:type="auto"/>
          </w:tcPr>
          <w:p w14:paraId="0116857A" w14:textId="77777777" w:rsidR="008C5CFA" w:rsidRPr="0024468B" w:rsidRDefault="008C5CFA" w:rsidP="00300A01">
            <w:pPr>
              <w:spacing w:before="0" w:after="0"/>
              <w:jc w:val="right"/>
              <w:rPr>
                <w:sz w:val="16"/>
                <w:szCs w:val="16"/>
                <w:lang w:val="fr-BE"/>
              </w:rPr>
            </w:pPr>
          </w:p>
        </w:tc>
        <w:tc>
          <w:tcPr>
            <w:tcW w:w="0" w:type="auto"/>
            <w:shd w:val="clear" w:color="auto" w:fill="auto"/>
          </w:tcPr>
          <w:p w14:paraId="580B3844" w14:textId="77777777" w:rsidR="008C5CFA" w:rsidRPr="0024468B" w:rsidRDefault="00E82A60" w:rsidP="00300A01">
            <w:pPr>
              <w:spacing w:before="0" w:after="0"/>
              <w:jc w:val="right"/>
              <w:rPr>
                <w:sz w:val="16"/>
                <w:szCs w:val="16"/>
                <w:lang w:val="fr-BE"/>
              </w:rPr>
            </w:pPr>
            <w:r w:rsidRPr="0024468B">
              <w:rPr>
                <w:noProof/>
                <w:sz w:val="16"/>
                <w:szCs w:val="16"/>
                <w:lang w:val="fr-BE"/>
              </w:rPr>
              <w:t>409,67</w:t>
            </w:r>
          </w:p>
        </w:tc>
        <w:tc>
          <w:tcPr>
            <w:tcW w:w="0" w:type="auto"/>
            <w:shd w:val="clear" w:color="auto" w:fill="auto"/>
          </w:tcPr>
          <w:p w14:paraId="417A6338"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0F3D2A79"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3893103E" w14:textId="77777777" w:rsidR="008C5CFA" w:rsidRPr="0024468B" w:rsidRDefault="008C5CFA" w:rsidP="00300A01">
            <w:pPr>
              <w:spacing w:before="0" w:after="0"/>
              <w:rPr>
                <w:sz w:val="16"/>
                <w:szCs w:val="16"/>
                <w:lang w:val="fr-BE"/>
              </w:rPr>
            </w:pPr>
          </w:p>
        </w:tc>
      </w:tr>
    </w:tbl>
    <w:p w14:paraId="26083086" w14:textId="77777777" w:rsidR="008C5CFA" w:rsidRDefault="00E82A60" w:rsidP="00300A01">
      <w:pPr>
        <w:spacing w:before="0" w:after="0"/>
        <w:rPr>
          <w:lang w:val="fr-BE"/>
        </w:rPr>
      </w:pPr>
      <w:r>
        <w:rPr>
          <w:noProof/>
          <w:lang w:val="fr-BE"/>
        </w:rPr>
        <w:t>1) S=wartość skumulowana – produkty, które mają być zrealizowane poprzez wybrane operacje [prognoza przedstawiona przez beneficjentów], F=wartość skumulowana – produkty zrealizowane poprzez operacje [rzeczywiste wykonanie]</w:t>
      </w:r>
    </w:p>
    <w:p w14:paraId="233A5561"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01"/>
        <w:gridCol w:w="497"/>
        <w:gridCol w:w="5420"/>
        <w:gridCol w:w="951"/>
        <w:gridCol w:w="1114"/>
        <w:gridCol w:w="937"/>
        <w:gridCol w:w="934"/>
        <w:gridCol w:w="1114"/>
        <w:gridCol w:w="937"/>
        <w:gridCol w:w="928"/>
        <w:gridCol w:w="1114"/>
        <w:gridCol w:w="937"/>
      </w:tblGrid>
      <w:tr w:rsidR="006B2EC1" w14:paraId="37295CFC" w14:textId="77777777" w:rsidTr="0047688D">
        <w:trPr>
          <w:tblHeader/>
        </w:trPr>
        <w:tc>
          <w:tcPr>
            <w:tcW w:w="0" w:type="auto"/>
          </w:tcPr>
          <w:p w14:paraId="0FEA35C5" w14:textId="77777777" w:rsidR="008C5CFA" w:rsidRPr="009143B4" w:rsidRDefault="00E82A60" w:rsidP="00300A01">
            <w:pPr>
              <w:spacing w:before="0" w:after="0"/>
              <w:rPr>
                <w:b/>
                <w:sz w:val="16"/>
                <w:szCs w:val="16"/>
                <w:lang w:val="fr-BE"/>
              </w:rPr>
            </w:pPr>
            <w:r w:rsidRPr="009143B4">
              <w:rPr>
                <w:b/>
                <w:sz w:val="16"/>
                <w:szCs w:val="16"/>
                <w:lang w:val="fr-BE"/>
              </w:rPr>
              <w:t>(1)</w:t>
            </w:r>
          </w:p>
        </w:tc>
        <w:tc>
          <w:tcPr>
            <w:tcW w:w="0" w:type="auto"/>
            <w:shd w:val="clear" w:color="auto" w:fill="auto"/>
          </w:tcPr>
          <w:p w14:paraId="271D7DA4" w14:textId="77777777" w:rsidR="008C5CFA" w:rsidRPr="009143B4" w:rsidRDefault="00E82A60" w:rsidP="00300A01">
            <w:pPr>
              <w:spacing w:before="0" w:after="0"/>
              <w:rPr>
                <w:b/>
                <w:sz w:val="16"/>
                <w:szCs w:val="16"/>
                <w:lang w:val="fr-BE"/>
              </w:rPr>
            </w:pPr>
            <w:r w:rsidRPr="009143B4">
              <w:rPr>
                <w:b/>
                <w:noProof/>
                <w:sz w:val="16"/>
                <w:szCs w:val="16"/>
                <w:lang w:val="fr-BE"/>
              </w:rPr>
              <w:t>ID</w:t>
            </w:r>
          </w:p>
        </w:tc>
        <w:tc>
          <w:tcPr>
            <w:tcW w:w="0" w:type="auto"/>
            <w:shd w:val="clear" w:color="auto" w:fill="auto"/>
          </w:tcPr>
          <w:p w14:paraId="3169C376" w14:textId="77777777" w:rsidR="008C5CFA" w:rsidRPr="009143B4" w:rsidRDefault="00E82A60" w:rsidP="00300A01">
            <w:pPr>
              <w:spacing w:before="0" w:after="0"/>
              <w:rPr>
                <w:b/>
                <w:sz w:val="16"/>
                <w:szCs w:val="16"/>
                <w:lang w:val="fr-BE"/>
              </w:rPr>
            </w:pPr>
            <w:r w:rsidRPr="009143B4">
              <w:rPr>
                <w:b/>
                <w:noProof/>
                <w:sz w:val="16"/>
                <w:szCs w:val="16"/>
                <w:lang w:val="fr-BE"/>
              </w:rPr>
              <w:t>Wskaźnik</w:t>
            </w:r>
          </w:p>
        </w:tc>
        <w:tc>
          <w:tcPr>
            <w:tcW w:w="0" w:type="auto"/>
          </w:tcPr>
          <w:p w14:paraId="417C5943" w14:textId="77777777" w:rsidR="008C5CFA" w:rsidRPr="009143B4" w:rsidRDefault="00E82A60" w:rsidP="00300A01">
            <w:pPr>
              <w:spacing w:before="0" w:after="0"/>
              <w:jc w:val="center"/>
              <w:rPr>
                <w:b/>
                <w:sz w:val="16"/>
                <w:szCs w:val="16"/>
                <w:lang w:val="fr-BE"/>
              </w:rPr>
            </w:pPr>
            <w:r>
              <w:rPr>
                <w:b/>
                <w:sz w:val="16"/>
                <w:szCs w:val="16"/>
                <w:lang w:val="fr-BE"/>
              </w:rPr>
              <w:t xml:space="preserve">2018 </w:t>
            </w:r>
            <w:r w:rsidRPr="009143B4">
              <w:rPr>
                <w:b/>
                <w:noProof/>
                <w:sz w:val="16"/>
                <w:szCs w:val="16"/>
                <w:lang w:val="fr-BE"/>
              </w:rPr>
              <w:t>Ogółem</w:t>
            </w:r>
          </w:p>
        </w:tc>
        <w:tc>
          <w:tcPr>
            <w:tcW w:w="0" w:type="auto"/>
          </w:tcPr>
          <w:p w14:paraId="5A793F8C" w14:textId="77777777" w:rsidR="008C5CFA" w:rsidRPr="009143B4" w:rsidRDefault="00E82A60" w:rsidP="00300A01">
            <w:pPr>
              <w:spacing w:before="0" w:after="0"/>
              <w:jc w:val="center"/>
              <w:rPr>
                <w:b/>
                <w:sz w:val="16"/>
                <w:szCs w:val="16"/>
                <w:lang w:val="fr-BE"/>
              </w:rPr>
            </w:pPr>
            <w:r>
              <w:rPr>
                <w:b/>
                <w:sz w:val="16"/>
                <w:szCs w:val="16"/>
                <w:lang w:val="fr-BE"/>
              </w:rPr>
              <w:t xml:space="preserve">2018 </w:t>
            </w:r>
            <w:r w:rsidRPr="009143B4">
              <w:rPr>
                <w:b/>
                <w:noProof/>
                <w:sz w:val="16"/>
                <w:szCs w:val="16"/>
                <w:lang w:val="fr-BE"/>
              </w:rPr>
              <w:t>Mężczyźni</w:t>
            </w:r>
          </w:p>
        </w:tc>
        <w:tc>
          <w:tcPr>
            <w:tcW w:w="0" w:type="auto"/>
          </w:tcPr>
          <w:p w14:paraId="7887C063" w14:textId="77777777" w:rsidR="008C5CFA" w:rsidRPr="009143B4" w:rsidRDefault="00E82A60" w:rsidP="00300A01">
            <w:pPr>
              <w:spacing w:before="0" w:after="0"/>
              <w:jc w:val="center"/>
              <w:rPr>
                <w:b/>
                <w:sz w:val="16"/>
                <w:szCs w:val="16"/>
                <w:lang w:val="fr-BE"/>
              </w:rPr>
            </w:pPr>
            <w:r>
              <w:rPr>
                <w:b/>
                <w:sz w:val="16"/>
                <w:szCs w:val="16"/>
                <w:lang w:val="fr-BE"/>
              </w:rPr>
              <w:t xml:space="preserve">2018 </w:t>
            </w:r>
            <w:r w:rsidRPr="009143B4">
              <w:rPr>
                <w:b/>
                <w:noProof/>
                <w:sz w:val="16"/>
                <w:szCs w:val="16"/>
                <w:lang w:val="fr-BE"/>
              </w:rPr>
              <w:t>Kobiety</w:t>
            </w:r>
          </w:p>
        </w:tc>
        <w:tc>
          <w:tcPr>
            <w:tcW w:w="0" w:type="auto"/>
          </w:tcPr>
          <w:p w14:paraId="0AEC90B3" w14:textId="77777777" w:rsidR="008C5CFA" w:rsidRPr="009143B4" w:rsidRDefault="00E82A60"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Ogółem</w:t>
            </w:r>
          </w:p>
        </w:tc>
        <w:tc>
          <w:tcPr>
            <w:tcW w:w="0" w:type="auto"/>
          </w:tcPr>
          <w:p w14:paraId="3077EAE3" w14:textId="77777777" w:rsidR="008C5CFA" w:rsidRPr="009143B4" w:rsidRDefault="00E82A60"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Mężczyźni</w:t>
            </w:r>
          </w:p>
        </w:tc>
        <w:tc>
          <w:tcPr>
            <w:tcW w:w="0" w:type="auto"/>
          </w:tcPr>
          <w:p w14:paraId="037AC15D" w14:textId="77777777" w:rsidR="008C5CFA" w:rsidRPr="009143B4" w:rsidRDefault="00E82A60"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Kobiety</w:t>
            </w:r>
          </w:p>
        </w:tc>
        <w:tc>
          <w:tcPr>
            <w:tcW w:w="0" w:type="auto"/>
            <w:shd w:val="clear" w:color="auto" w:fill="auto"/>
          </w:tcPr>
          <w:p w14:paraId="1758B76C" w14:textId="77777777" w:rsidR="008C5CFA" w:rsidRPr="009143B4" w:rsidRDefault="00E82A60"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Ogółem</w:t>
            </w:r>
          </w:p>
        </w:tc>
        <w:tc>
          <w:tcPr>
            <w:tcW w:w="0" w:type="auto"/>
            <w:shd w:val="clear" w:color="auto" w:fill="auto"/>
          </w:tcPr>
          <w:p w14:paraId="41816B46" w14:textId="77777777" w:rsidR="008C5CFA" w:rsidRPr="009143B4" w:rsidRDefault="00E82A60"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Mężczyźni</w:t>
            </w:r>
          </w:p>
        </w:tc>
        <w:tc>
          <w:tcPr>
            <w:tcW w:w="0" w:type="auto"/>
            <w:shd w:val="clear" w:color="auto" w:fill="auto"/>
          </w:tcPr>
          <w:p w14:paraId="1CFD2962" w14:textId="77777777" w:rsidR="008C5CFA" w:rsidRPr="009143B4" w:rsidRDefault="00E82A60"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Kobiety</w:t>
            </w:r>
          </w:p>
        </w:tc>
      </w:tr>
      <w:tr w:rsidR="006B2EC1" w14:paraId="327BC145" w14:textId="77777777" w:rsidTr="0047688D">
        <w:tc>
          <w:tcPr>
            <w:tcW w:w="0" w:type="auto"/>
          </w:tcPr>
          <w:p w14:paraId="48E0F4DB" w14:textId="77777777" w:rsidR="008C5CFA" w:rsidRPr="0024468B" w:rsidRDefault="00E82A60" w:rsidP="00300A01">
            <w:pPr>
              <w:spacing w:before="0" w:after="0"/>
              <w:rPr>
                <w:sz w:val="16"/>
                <w:szCs w:val="16"/>
                <w:lang w:val="fr-BE"/>
              </w:rPr>
            </w:pPr>
            <w:r>
              <w:rPr>
                <w:noProof/>
                <w:sz w:val="16"/>
                <w:szCs w:val="16"/>
                <w:lang w:val="fr-BE"/>
              </w:rPr>
              <w:t>F</w:t>
            </w:r>
          </w:p>
        </w:tc>
        <w:tc>
          <w:tcPr>
            <w:tcW w:w="0" w:type="auto"/>
            <w:shd w:val="clear" w:color="auto" w:fill="auto"/>
          </w:tcPr>
          <w:p w14:paraId="791E5012" w14:textId="77777777" w:rsidR="008C5CFA" w:rsidRPr="0024468B" w:rsidRDefault="00E82A60" w:rsidP="00300A01">
            <w:pPr>
              <w:spacing w:before="0" w:after="0"/>
              <w:rPr>
                <w:sz w:val="16"/>
                <w:szCs w:val="16"/>
                <w:lang w:val="fr-BE"/>
              </w:rPr>
            </w:pPr>
            <w:r w:rsidRPr="0024468B">
              <w:rPr>
                <w:noProof/>
                <w:sz w:val="16"/>
                <w:szCs w:val="16"/>
                <w:lang w:val="fr-BE"/>
              </w:rPr>
              <w:t>CO19</w:t>
            </w:r>
          </w:p>
        </w:tc>
        <w:tc>
          <w:tcPr>
            <w:tcW w:w="0" w:type="auto"/>
            <w:shd w:val="clear" w:color="auto" w:fill="auto"/>
          </w:tcPr>
          <w:p w14:paraId="1AF2AC91" w14:textId="77777777" w:rsidR="008C5CFA" w:rsidRPr="0024468B" w:rsidRDefault="00E82A60" w:rsidP="00300A01">
            <w:pPr>
              <w:spacing w:before="0" w:after="0"/>
              <w:rPr>
                <w:sz w:val="16"/>
                <w:szCs w:val="16"/>
                <w:lang w:val="fr-BE"/>
              </w:rPr>
            </w:pPr>
            <w:r w:rsidRPr="0024468B">
              <w:rPr>
                <w:noProof/>
                <w:sz w:val="16"/>
                <w:szCs w:val="16"/>
                <w:lang w:val="fr-BE"/>
              </w:rPr>
              <w:t>Oczyszczanie ścieków: liczba dodatkowych osób korzystających z ulepszonego oczyszczania ścieków</w:t>
            </w:r>
          </w:p>
        </w:tc>
        <w:tc>
          <w:tcPr>
            <w:tcW w:w="0" w:type="auto"/>
          </w:tcPr>
          <w:p w14:paraId="6AD2EB0C" w14:textId="77777777" w:rsidR="008C5CFA" w:rsidRPr="0024468B" w:rsidRDefault="00E82A60" w:rsidP="00300A01">
            <w:pPr>
              <w:spacing w:before="0" w:after="0"/>
              <w:jc w:val="right"/>
              <w:rPr>
                <w:sz w:val="16"/>
                <w:szCs w:val="16"/>
                <w:lang w:val="fr-BE"/>
              </w:rPr>
            </w:pPr>
            <w:r w:rsidRPr="0024468B">
              <w:rPr>
                <w:noProof/>
                <w:sz w:val="16"/>
                <w:szCs w:val="16"/>
                <w:lang w:val="fr-BE"/>
              </w:rPr>
              <w:t>1 363,00</w:t>
            </w:r>
          </w:p>
        </w:tc>
        <w:tc>
          <w:tcPr>
            <w:tcW w:w="0" w:type="auto"/>
          </w:tcPr>
          <w:p w14:paraId="38902A4A"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0DB32756"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2CF8C88A"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5F3215BF"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1F792265"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052946A6"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1B880C7F"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4D5434D6"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r w:rsidR="006B2EC1" w14:paraId="7C5F8327" w14:textId="77777777" w:rsidTr="0047688D">
        <w:tc>
          <w:tcPr>
            <w:tcW w:w="0" w:type="auto"/>
          </w:tcPr>
          <w:p w14:paraId="50B25180" w14:textId="77777777" w:rsidR="008C5CFA" w:rsidRPr="0024468B" w:rsidRDefault="00E82A60" w:rsidP="00300A01">
            <w:pPr>
              <w:spacing w:before="0" w:after="0"/>
              <w:rPr>
                <w:sz w:val="16"/>
                <w:szCs w:val="16"/>
                <w:lang w:val="fr-BE"/>
              </w:rPr>
            </w:pPr>
            <w:r>
              <w:rPr>
                <w:noProof/>
                <w:sz w:val="16"/>
                <w:szCs w:val="16"/>
                <w:lang w:val="fr-BE"/>
              </w:rPr>
              <w:t>S</w:t>
            </w:r>
          </w:p>
        </w:tc>
        <w:tc>
          <w:tcPr>
            <w:tcW w:w="0" w:type="auto"/>
            <w:shd w:val="clear" w:color="auto" w:fill="auto"/>
          </w:tcPr>
          <w:p w14:paraId="63ED88BE" w14:textId="77777777" w:rsidR="008C5CFA" w:rsidRPr="0024468B" w:rsidRDefault="00E82A60" w:rsidP="00300A01">
            <w:pPr>
              <w:spacing w:before="0" w:after="0"/>
              <w:rPr>
                <w:sz w:val="16"/>
                <w:szCs w:val="16"/>
                <w:lang w:val="fr-BE"/>
              </w:rPr>
            </w:pPr>
            <w:r w:rsidRPr="0024468B">
              <w:rPr>
                <w:noProof/>
                <w:sz w:val="16"/>
                <w:szCs w:val="16"/>
                <w:lang w:val="fr-BE"/>
              </w:rPr>
              <w:t>CO19</w:t>
            </w:r>
          </w:p>
        </w:tc>
        <w:tc>
          <w:tcPr>
            <w:tcW w:w="0" w:type="auto"/>
            <w:shd w:val="clear" w:color="auto" w:fill="auto"/>
          </w:tcPr>
          <w:p w14:paraId="2AA3DAC9" w14:textId="77777777" w:rsidR="008C5CFA" w:rsidRPr="0024468B" w:rsidRDefault="00E82A60" w:rsidP="00300A01">
            <w:pPr>
              <w:spacing w:before="0" w:after="0"/>
              <w:rPr>
                <w:sz w:val="16"/>
                <w:szCs w:val="16"/>
                <w:lang w:val="fr-BE"/>
              </w:rPr>
            </w:pPr>
            <w:r w:rsidRPr="0024468B">
              <w:rPr>
                <w:noProof/>
                <w:sz w:val="16"/>
                <w:szCs w:val="16"/>
                <w:lang w:val="fr-BE"/>
              </w:rPr>
              <w:t>Oczyszczanie ścieków: liczba dodatkowych osób korzystających z ulepszonego oczyszczania ścieków</w:t>
            </w:r>
          </w:p>
        </w:tc>
        <w:tc>
          <w:tcPr>
            <w:tcW w:w="0" w:type="auto"/>
          </w:tcPr>
          <w:p w14:paraId="6B0D0ADD" w14:textId="77777777" w:rsidR="008C5CFA" w:rsidRPr="0024468B" w:rsidRDefault="00E82A60" w:rsidP="00300A01">
            <w:pPr>
              <w:spacing w:before="0" w:after="0"/>
              <w:jc w:val="right"/>
              <w:rPr>
                <w:sz w:val="16"/>
                <w:szCs w:val="16"/>
                <w:lang w:val="fr-BE"/>
              </w:rPr>
            </w:pPr>
            <w:r w:rsidRPr="0024468B">
              <w:rPr>
                <w:noProof/>
                <w:sz w:val="16"/>
                <w:szCs w:val="16"/>
                <w:lang w:val="fr-BE"/>
              </w:rPr>
              <w:t>48 432,00</w:t>
            </w:r>
          </w:p>
        </w:tc>
        <w:tc>
          <w:tcPr>
            <w:tcW w:w="0" w:type="auto"/>
          </w:tcPr>
          <w:p w14:paraId="6E66A2D0"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7281005E"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59F80B43" w14:textId="77777777" w:rsidR="008C5CFA" w:rsidRPr="0024468B" w:rsidRDefault="00E82A60" w:rsidP="00300A01">
            <w:pPr>
              <w:spacing w:before="0" w:after="0"/>
              <w:jc w:val="right"/>
              <w:rPr>
                <w:sz w:val="16"/>
                <w:szCs w:val="16"/>
                <w:lang w:val="fr-BE"/>
              </w:rPr>
            </w:pPr>
            <w:r w:rsidRPr="0024468B">
              <w:rPr>
                <w:noProof/>
                <w:sz w:val="16"/>
                <w:szCs w:val="16"/>
                <w:lang w:val="fr-BE"/>
              </w:rPr>
              <w:t>5 548,00</w:t>
            </w:r>
          </w:p>
        </w:tc>
        <w:tc>
          <w:tcPr>
            <w:tcW w:w="0" w:type="auto"/>
          </w:tcPr>
          <w:p w14:paraId="1BD4DF96"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50923397"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13D2073E"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7B6C91C3"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0F20E78B"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r w:rsidR="006B2EC1" w14:paraId="139E4C39" w14:textId="77777777" w:rsidTr="0047688D">
        <w:tc>
          <w:tcPr>
            <w:tcW w:w="0" w:type="auto"/>
          </w:tcPr>
          <w:p w14:paraId="77377031" w14:textId="77777777" w:rsidR="008C5CFA" w:rsidRPr="0024468B" w:rsidRDefault="00E82A60" w:rsidP="00300A01">
            <w:pPr>
              <w:spacing w:before="0" w:after="0"/>
              <w:rPr>
                <w:sz w:val="16"/>
                <w:szCs w:val="16"/>
                <w:lang w:val="fr-BE"/>
              </w:rPr>
            </w:pPr>
            <w:r>
              <w:rPr>
                <w:noProof/>
                <w:sz w:val="16"/>
                <w:szCs w:val="16"/>
                <w:lang w:val="fr-BE"/>
              </w:rPr>
              <w:lastRenderedPageBreak/>
              <w:t>F</w:t>
            </w:r>
          </w:p>
        </w:tc>
        <w:tc>
          <w:tcPr>
            <w:tcW w:w="0" w:type="auto"/>
            <w:shd w:val="clear" w:color="auto" w:fill="auto"/>
          </w:tcPr>
          <w:p w14:paraId="24D7FFEA" w14:textId="77777777" w:rsidR="008C5CFA" w:rsidRPr="0024468B" w:rsidRDefault="00E82A60" w:rsidP="00300A01">
            <w:pPr>
              <w:spacing w:before="0" w:after="0"/>
              <w:rPr>
                <w:sz w:val="16"/>
                <w:szCs w:val="16"/>
                <w:lang w:val="fr-BE"/>
              </w:rPr>
            </w:pPr>
            <w:r>
              <w:rPr>
                <w:noProof/>
                <w:sz w:val="16"/>
                <w:szCs w:val="16"/>
                <w:lang w:val="fr-BE"/>
              </w:rPr>
              <w:t>033</w:t>
            </w:r>
          </w:p>
        </w:tc>
        <w:tc>
          <w:tcPr>
            <w:tcW w:w="0" w:type="auto"/>
            <w:shd w:val="clear" w:color="auto" w:fill="auto"/>
          </w:tcPr>
          <w:p w14:paraId="0D816E15" w14:textId="77777777" w:rsidR="008C5CFA" w:rsidRPr="0024468B" w:rsidRDefault="00E82A60" w:rsidP="00300A01">
            <w:pPr>
              <w:spacing w:before="0" w:after="0"/>
              <w:rPr>
                <w:sz w:val="16"/>
                <w:szCs w:val="16"/>
                <w:lang w:val="fr-BE"/>
              </w:rPr>
            </w:pPr>
            <w:r>
              <w:rPr>
                <w:noProof/>
                <w:sz w:val="16"/>
                <w:szCs w:val="16"/>
                <w:lang w:val="fr-BE"/>
              </w:rPr>
              <w:t>Liczba wspartych oczyszczalni ścieków komunalnych</w:t>
            </w:r>
          </w:p>
        </w:tc>
        <w:tc>
          <w:tcPr>
            <w:tcW w:w="0" w:type="auto"/>
          </w:tcPr>
          <w:p w14:paraId="3968C657"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038DBF9E"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6FFCB2DD"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4C66B767"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1B96D2A5"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041BD0D2"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3A26C9B4"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7D14C7D1"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21429D6E"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r w:rsidR="006B2EC1" w14:paraId="67DA38A9" w14:textId="77777777" w:rsidTr="0047688D">
        <w:tc>
          <w:tcPr>
            <w:tcW w:w="0" w:type="auto"/>
          </w:tcPr>
          <w:p w14:paraId="3ADED038" w14:textId="77777777" w:rsidR="008C5CFA" w:rsidRPr="0024468B" w:rsidRDefault="00E82A60" w:rsidP="00300A01">
            <w:pPr>
              <w:spacing w:before="0" w:after="0"/>
              <w:rPr>
                <w:sz w:val="16"/>
                <w:szCs w:val="16"/>
                <w:lang w:val="fr-BE"/>
              </w:rPr>
            </w:pPr>
            <w:r>
              <w:rPr>
                <w:noProof/>
                <w:sz w:val="16"/>
                <w:szCs w:val="16"/>
                <w:lang w:val="fr-BE"/>
              </w:rPr>
              <w:t>S</w:t>
            </w:r>
          </w:p>
        </w:tc>
        <w:tc>
          <w:tcPr>
            <w:tcW w:w="0" w:type="auto"/>
            <w:shd w:val="clear" w:color="auto" w:fill="auto"/>
          </w:tcPr>
          <w:p w14:paraId="10E6BFF3" w14:textId="77777777" w:rsidR="008C5CFA" w:rsidRPr="0024468B" w:rsidRDefault="00E82A60" w:rsidP="00300A01">
            <w:pPr>
              <w:spacing w:before="0" w:after="0"/>
              <w:rPr>
                <w:sz w:val="16"/>
                <w:szCs w:val="16"/>
                <w:lang w:val="fr-BE"/>
              </w:rPr>
            </w:pPr>
            <w:r>
              <w:rPr>
                <w:noProof/>
                <w:sz w:val="16"/>
                <w:szCs w:val="16"/>
                <w:lang w:val="fr-BE"/>
              </w:rPr>
              <w:t>033</w:t>
            </w:r>
          </w:p>
        </w:tc>
        <w:tc>
          <w:tcPr>
            <w:tcW w:w="0" w:type="auto"/>
            <w:shd w:val="clear" w:color="auto" w:fill="auto"/>
          </w:tcPr>
          <w:p w14:paraId="7F5E8B50" w14:textId="77777777" w:rsidR="008C5CFA" w:rsidRPr="0024468B" w:rsidRDefault="00E82A60" w:rsidP="00300A01">
            <w:pPr>
              <w:spacing w:before="0" w:after="0"/>
              <w:rPr>
                <w:sz w:val="16"/>
                <w:szCs w:val="16"/>
                <w:lang w:val="fr-BE"/>
              </w:rPr>
            </w:pPr>
            <w:r>
              <w:rPr>
                <w:noProof/>
                <w:sz w:val="16"/>
                <w:szCs w:val="16"/>
                <w:lang w:val="fr-BE"/>
              </w:rPr>
              <w:t>Liczba wspartych oczyszczalni ścieków komunalnych</w:t>
            </w:r>
          </w:p>
        </w:tc>
        <w:tc>
          <w:tcPr>
            <w:tcW w:w="0" w:type="auto"/>
          </w:tcPr>
          <w:p w14:paraId="69138B8C" w14:textId="77777777" w:rsidR="008C5CFA" w:rsidRPr="0024468B" w:rsidRDefault="00E82A60" w:rsidP="00300A01">
            <w:pPr>
              <w:spacing w:before="0" w:after="0"/>
              <w:jc w:val="right"/>
              <w:rPr>
                <w:sz w:val="16"/>
                <w:szCs w:val="16"/>
                <w:lang w:val="fr-BE"/>
              </w:rPr>
            </w:pPr>
            <w:r w:rsidRPr="0024468B">
              <w:rPr>
                <w:noProof/>
                <w:sz w:val="16"/>
                <w:szCs w:val="16"/>
                <w:lang w:val="fr-BE"/>
              </w:rPr>
              <w:t>22,00</w:t>
            </w:r>
          </w:p>
        </w:tc>
        <w:tc>
          <w:tcPr>
            <w:tcW w:w="0" w:type="auto"/>
          </w:tcPr>
          <w:p w14:paraId="2DDD7412"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23BA93D5"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47C61C2F"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16340DB2"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65FE183D"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5FF4CD4D"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4D74E773"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18E016DF"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r w:rsidR="006B2EC1" w14:paraId="3A9FBD6F" w14:textId="77777777" w:rsidTr="0047688D">
        <w:tc>
          <w:tcPr>
            <w:tcW w:w="0" w:type="auto"/>
          </w:tcPr>
          <w:p w14:paraId="39BC8875" w14:textId="77777777" w:rsidR="008C5CFA" w:rsidRPr="0024468B" w:rsidRDefault="00E82A60" w:rsidP="00300A01">
            <w:pPr>
              <w:spacing w:before="0" w:after="0"/>
              <w:rPr>
                <w:sz w:val="16"/>
                <w:szCs w:val="16"/>
                <w:lang w:val="fr-BE"/>
              </w:rPr>
            </w:pPr>
            <w:r>
              <w:rPr>
                <w:noProof/>
                <w:sz w:val="16"/>
                <w:szCs w:val="16"/>
                <w:lang w:val="fr-BE"/>
              </w:rPr>
              <w:t>F</w:t>
            </w:r>
          </w:p>
        </w:tc>
        <w:tc>
          <w:tcPr>
            <w:tcW w:w="0" w:type="auto"/>
            <w:shd w:val="clear" w:color="auto" w:fill="auto"/>
          </w:tcPr>
          <w:p w14:paraId="10CBBAE9" w14:textId="77777777" w:rsidR="008C5CFA" w:rsidRPr="0024468B" w:rsidRDefault="00E82A60" w:rsidP="00300A01">
            <w:pPr>
              <w:spacing w:before="0" w:after="0"/>
              <w:rPr>
                <w:sz w:val="16"/>
                <w:szCs w:val="16"/>
                <w:lang w:val="fr-BE"/>
              </w:rPr>
            </w:pPr>
            <w:r>
              <w:rPr>
                <w:noProof/>
                <w:sz w:val="16"/>
                <w:szCs w:val="16"/>
                <w:lang w:val="fr-BE"/>
              </w:rPr>
              <w:t>56</w:t>
            </w:r>
          </w:p>
        </w:tc>
        <w:tc>
          <w:tcPr>
            <w:tcW w:w="0" w:type="auto"/>
            <w:shd w:val="clear" w:color="auto" w:fill="auto"/>
          </w:tcPr>
          <w:p w14:paraId="72CE3E47" w14:textId="77777777" w:rsidR="008C5CFA" w:rsidRPr="0024468B" w:rsidRDefault="00E82A60" w:rsidP="00300A01">
            <w:pPr>
              <w:spacing w:before="0" w:after="0"/>
              <w:rPr>
                <w:sz w:val="16"/>
                <w:szCs w:val="16"/>
                <w:lang w:val="fr-BE"/>
              </w:rPr>
            </w:pPr>
            <w:r>
              <w:rPr>
                <w:noProof/>
                <w:sz w:val="16"/>
                <w:szCs w:val="16"/>
                <w:lang w:val="fr-BE"/>
              </w:rPr>
              <w:t>Długość wybudowanej kanalizacji sanitarnej</w:t>
            </w:r>
          </w:p>
        </w:tc>
        <w:tc>
          <w:tcPr>
            <w:tcW w:w="0" w:type="auto"/>
          </w:tcPr>
          <w:p w14:paraId="6D382E7D" w14:textId="77777777" w:rsidR="008C5CFA" w:rsidRPr="0024468B" w:rsidRDefault="00E82A60" w:rsidP="00300A01">
            <w:pPr>
              <w:spacing w:before="0" w:after="0"/>
              <w:jc w:val="right"/>
              <w:rPr>
                <w:sz w:val="16"/>
                <w:szCs w:val="16"/>
                <w:lang w:val="fr-BE"/>
              </w:rPr>
            </w:pPr>
            <w:r w:rsidRPr="0024468B">
              <w:rPr>
                <w:noProof/>
                <w:sz w:val="16"/>
                <w:szCs w:val="16"/>
                <w:lang w:val="fr-BE"/>
              </w:rPr>
              <w:t>80,26</w:t>
            </w:r>
          </w:p>
        </w:tc>
        <w:tc>
          <w:tcPr>
            <w:tcW w:w="0" w:type="auto"/>
          </w:tcPr>
          <w:p w14:paraId="1F5C65A0"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36B37A7A"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1E6E5B83"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0AB9651E"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0568F00A"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25CD75B1"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5628DAC5"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785D9EBD"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r w:rsidR="006B2EC1" w14:paraId="76AAD3FC" w14:textId="77777777" w:rsidTr="0047688D">
        <w:tc>
          <w:tcPr>
            <w:tcW w:w="0" w:type="auto"/>
          </w:tcPr>
          <w:p w14:paraId="1D332012" w14:textId="77777777" w:rsidR="008C5CFA" w:rsidRPr="0024468B" w:rsidRDefault="00E82A60" w:rsidP="00300A01">
            <w:pPr>
              <w:spacing w:before="0" w:after="0"/>
              <w:rPr>
                <w:sz w:val="16"/>
                <w:szCs w:val="16"/>
                <w:lang w:val="fr-BE"/>
              </w:rPr>
            </w:pPr>
            <w:r>
              <w:rPr>
                <w:noProof/>
                <w:sz w:val="16"/>
                <w:szCs w:val="16"/>
                <w:lang w:val="fr-BE"/>
              </w:rPr>
              <w:t>S</w:t>
            </w:r>
          </w:p>
        </w:tc>
        <w:tc>
          <w:tcPr>
            <w:tcW w:w="0" w:type="auto"/>
            <w:shd w:val="clear" w:color="auto" w:fill="auto"/>
          </w:tcPr>
          <w:p w14:paraId="4D6216B9" w14:textId="77777777" w:rsidR="008C5CFA" w:rsidRPr="0024468B" w:rsidRDefault="00E82A60" w:rsidP="00300A01">
            <w:pPr>
              <w:spacing w:before="0" w:after="0"/>
              <w:rPr>
                <w:sz w:val="16"/>
                <w:szCs w:val="16"/>
                <w:lang w:val="fr-BE"/>
              </w:rPr>
            </w:pPr>
            <w:r>
              <w:rPr>
                <w:noProof/>
                <w:sz w:val="16"/>
                <w:szCs w:val="16"/>
                <w:lang w:val="fr-BE"/>
              </w:rPr>
              <w:t>56</w:t>
            </w:r>
          </w:p>
        </w:tc>
        <w:tc>
          <w:tcPr>
            <w:tcW w:w="0" w:type="auto"/>
            <w:shd w:val="clear" w:color="auto" w:fill="auto"/>
          </w:tcPr>
          <w:p w14:paraId="470E9C49" w14:textId="77777777" w:rsidR="008C5CFA" w:rsidRPr="0024468B" w:rsidRDefault="00E82A60" w:rsidP="00300A01">
            <w:pPr>
              <w:spacing w:before="0" w:after="0"/>
              <w:rPr>
                <w:sz w:val="16"/>
                <w:szCs w:val="16"/>
                <w:lang w:val="fr-BE"/>
              </w:rPr>
            </w:pPr>
            <w:r>
              <w:rPr>
                <w:noProof/>
                <w:sz w:val="16"/>
                <w:szCs w:val="16"/>
                <w:lang w:val="fr-BE"/>
              </w:rPr>
              <w:t>Długość wybudowanej kanalizacji sanitarnej</w:t>
            </w:r>
          </w:p>
        </w:tc>
        <w:tc>
          <w:tcPr>
            <w:tcW w:w="0" w:type="auto"/>
          </w:tcPr>
          <w:p w14:paraId="168E77A3" w14:textId="77777777" w:rsidR="008C5CFA" w:rsidRPr="0024468B" w:rsidRDefault="00E82A60" w:rsidP="00300A01">
            <w:pPr>
              <w:spacing w:before="0" w:after="0"/>
              <w:jc w:val="right"/>
              <w:rPr>
                <w:sz w:val="16"/>
                <w:szCs w:val="16"/>
                <w:lang w:val="fr-BE"/>
              </w:rPr>
            </w:pPr>
            <w:r w:rsidRPr="0024468B">
              <w:rPr>
                <w:noProof/>
                <w:sz w:val="16"/>
                <w:szCs w:val="16"/>
                <w:lang w:val="fr-BE"/>
              </w:rPr>
              <w:t>344,77</w:t>
            </w:r>
          </w:p>
        </w:tc>
        <w:tc>
          <w:tcPr>
            <w:tcW w:w="0" w:type="auto"/>
          </w:tcPr>
          <w:p w14:paraId="729056E4"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26626F40"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2952BEFF" w14:textId="77777777" w:rsidR="008C5CFA" w:rsidRPr="0024468B" w:rsidRDefault="00E82A60" w:rsidP="00300A01">
            <w:pPr>
              <w:spacing w:before="0" w:after="0"/>
              <w:jc w:val="right"/>
              <w:rPr>
                <w:sz w:val="16"/>
                <w:szCs w:val="16"/>
                <w:lang w:val="fr-BE"/>
              </w:rPr>
            </w:pPr>
            <w:r w:rsidRPr="0024468B">
              <w:rPr>
                <w:noProof/>
                <w:sz w:val="16"/>
                <w:szCs w:val="16"/>
                <w:lang w:val="fr-BE"/>
              </w:rPr>
              <w:t>76,40</w:t>
            </w:r>
          </w:p>
        </w:tc>
        <w:tc>
          <w:tcPr>
            <w:tcW w:w="0" w:type="auto"/>
          </w:tcPr>
          <w:p w14:paraId="667600D2"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580A5D5E"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20ACBA43"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1D727163"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4A749CA9"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bl>
    <w:p w14:paraId="12936D86"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28"/>
        <w:gridCol w:w="543"/>
        <w:gridCol w:w="7281"/>
        <w:gridCol w:w="1101"/>
        <w:gridCol w:w="1304"/>
        <w:gridCol w:w="1111"/>
        <w:gridCol w:w="1101"/>
        <w:gridCol w:w="1304"/>
        <w:gridCol w:w="1111"/>
      </w:tblGrid>
      <w:tr w:rsidR="006B2EC1" w14:paraId="394CA91D" w14:textId="77777777" w:rsidTr="0047688D">
        <w:trPr>
          <w:tblHeader/>
        </w:trPr>
        <w:tc>
          <w:tcPr>
            <w:tcW w:w="0" w:type="auto"/>
          </w:tcPr>
          <w:p w14:paraId="3CDD74A3" w14:textId="77777777" w:rsidR="008C5CFA" w:rsidRPr="009143B4" w:rsidRDefault="00E82A60" w:rsidP="00300A01">
            <w:pPr>
              <w:spacing w:before="0" w:after="0"/>
              <w:rPr>
                <w:b/>
                <w:sz w:val="16"/>
                <w:szCs w:val="16"/>
                <w:lang w:val="fr-BE"/>
              </w:rPr>
            </w:pPr>
            <w:r w:rsidRPr="009143B4">
              <w:rPr>
                <w:b/>
                <w:sz w:val="16"/>
                <w:szCs w:val="16"/>
                <w:lang w:val="fr-BE"/>
              </w:rPr>
              <w:t>(1)</w:t>
            </w:r>
          </w:p>
        </w:tc>
        <w:tc>
          <w:tcPr>
            <w:tcW w:w="0" w:type="auto"/>
            <w:shd w:val="clear" w:color="auto" w:fill="auto"/>
          </w:tcPr>
          <w:p w14:paraId="16D06B95" w14:textId="77777777" w:rsidR="008C5CFA" w:rsidRPr="009143B4" w:rsidRDefault="00E82A60" w:rsidP="00300A01">
            <w:pPr>
              <w:spacing w:before="0" w:after="0"/>
              <w:rPr>
                <w:b/>
                <w:sz w:val="16"/>
                <w:szCs w:val="16"/>
                <w:lang w:val="fr-BE"/>
              </w:rPr>
            </w:pPr>
            <w:r w:rsidRPr="009143B4">
              <w:rPr>
                <w:b/>
                <w:noProof/>
                <w:sz w:val="16"/>
                <w:szCs w:val="16"/>
                <w:lang w:val="fr-BE"/>
              </w:rPr>
              <w:t>ID</w:t>
            </w:r>
          </w:p>
        </w:tc>
        <w:tc>
          <w:tcPr>
            <w:tcW w:w="0" w:type="auto"/>
            <w:shd w:val="clear" w:color="auto" w:fill="auto"/>
          </w:tcPr>
          <w:p w14:paraId="54BBE8DA" w14:textId="77777777" w:rsidR="008C5CFA" w:rsidRPr="009143B4" w:rsidRDefault="00E82A60" w:rsidP="00300A01">
            <w:pPr>
              <w:spacing w:before="0" w:after="0"/>
              <w:rPr>
                <w:b/>
                <w:sz w:val="16"/>
                <w:szCs w:val="16"/>
                <w:lang w:val="fr-BE"/>
              </w:rPr>
            </w:pPr>
            <w:r w:rsidRPr="009143B4">
              <w:rPr>
                <w:b/>
                <w:noProof/>
                <w:sz w:val="16"/>
                <w:szCs w:val="16"/>
                <w:lang w:val="fr-BE"/>
              </w:rPr>
              <w:t>Wskaźnik</w:t>
            </w:r>
          </w:p>
        </w:tc>
        <w:tc>
          <w:tcPr>
            <w:tcW w:w="0" w:type="auto"/>
          </w:tcPr>
          <w:p w14:paraId="47E0D61A" w14:textId="77777777" w:rsidR="008C5CFA" w:rsidRPr="009143B4" w:rsidRDefault="00E82A60"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Ogółem</w:t>
            </w:r>
          </w:p>
        </w:tc>
        <w:tc>
          <w:tcPr>
            <w:tcW w:w="0" w:type="auto"/>
          </w:tcPr>
          <w:p w14:paraId="1782744C" w14:textId="77777777" w:rsidR="008C5CFA" w:rsidRPr="009143B4" w:rsidRDefault="00E82A60"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Mężczyźni</w:t>
            </w:r>
          </w:p>
        </w:tc>
        <w:tc>
          <w:tcPr>
            <w:tcW w:w="0" w:type="auto"/>
          </w:tcPr>
          <w:p w14:paraId="02B43AB7" w14:textId="77777777" w:rsidR="008C5CFA" w:rsidRPr="009143B4" w:rsidRDefault="00E82A60"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Kobiety</w:t>
            </w:r>
          </w:p>
        </w:tc>
        <w:tc>
          <w:tcPr>
            <w:tcW w:w="0" w:type="auto"/>
            <w:shd w:val="clear" w:color="auto" w:fill="auto"/>
          </w:tcPr>
          <w:p w14:paraId="573D2D4F" w14:textId="77777777" w:rsidR="008C5CFA" w:rsidRPr="009143B4" w:rsidRDefault="00E82A60"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Ogółem</w:t>
            </w:r>
          </w:p>
        </w:tc>
        <w:tc>
          <w:tcPr>
            <w:tcW w:w="0" w:type="auto"/>
            <w:shd w:val="clear" w:color="auto" w:fill="auto"/>
          </w:tcPr>
          <w:p w14:paraId="61001DB2" w14:textId="77777777" w:rsidR="008C5CFA" w:rsidRPr="009143B4" w:rsidRDefault="00E82A60"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Mężczyźni</w:t>
            </w:r>
          </w:p>
        </w:tc>
        <w:tc>
          <w:tcPr>
            <w:tcW w:w="0" w:type="auto"/>
            <w:shd w:val="clear" w:color="auto" w:fill="auto"/>
          </w:tcPr>
          <w:p w14:paraId="5C801904" w14:textId="77777777" w:rsidR="008C5CFA" w:rsidRPr="009143B4" w:rsidRDefault="00E82A60"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Kobiety</w:t>
            </w:r>
          </w:p>
        </w:tc>
      </w:tr>
      <w:tr w:rsidR="006B2EC1" w14:paraId="1DC8AB4A" w14:textId="77777777" w:rsidTr="0047688D">
        <w:tc>
          <w:tcPr>
            <w:tcW w:w="0" w:type="auto"/>
          </w:tcPr>
          <w:p w14:paraId="4D007E46" w14:textId="77777777" w:rsidR="008C5CFA" w:rsidRPr="0024468B" w:rsidRDefault="00E82A60" w:rsidP="00300A01">
            <w:pPr>
              <w:spacing w:before="0" w:after="0"/>
              <w:rPr>
                <w:sz w:val="16"/>
                <w:szCs w:val="16"/>
                <w:lang w:val="fr-BE"/>
              </w:rPr>
            </w:pPr>
            <w:r>
              <w:rPr>
                <w:noProof/>
                <w:sz w:val="16"/>
                <w:szCs w:val="16"/>
                <w:lang w:val="fr-BE"/>
              </w:rPr>
              <w:t>F</w:t>
            </w:r>
          </w:p>
        </w:tc>
        <w:tc>
          <w:tcPr>
            <w:tcW w:w="0" w:type="auto"/>
            <w:shd w:val="clear" w:color="auto" w:fill="auto"/>
          </w:tcPr>
          <w:p w14:paraId="26F91ADF" w14:textId="77777777" w:rsidR="008C5CFA" w:rsidRPr="0024468B" w:rsidRDefault="00E82A60" w:rsidP="00300A01">
            <w:pPr>
              <w:spacing w:before="0" w:after="0"/>
              <w:rPr>
                <w:sz w:val="16"/>
                <w:szCs w:val="16"/>
                <w:lang w:val="fr-BE"/>
              </w:rPr>
            </w:pPr>
            <w:r w:rsidRPr="0024468B">
              <w:rPr>
                <w:noProof/>
                <w:sz w:val="16"/>
                <w:szCs w:val="16"/>
                <w:lang w:val="fr-BE"/>
              </w:rPr>
              <w:t>CO19</w:t>
            </w:r>
          </w:p>
        </w:tc>
        <w:tc>
          <w:tcPr>
            <w:tcW w:w="0" w:type="auto"/>
            <w:shd w:val="clear" w:color="auto" w:fill="auto"/>
          </w:tcPr>
          <w:p w14:paraId="3D88B5E1" w14:textId="77777777" w:rsidR="008C5CFA" w:rsidRPr="0024468B" w:rsidRDefault="00E82A60" w:rsidP="00300A01">
            <w:pPr>
              <w:spacing w:before="0" w:after="0"/>
              <w:rPr>
                <w:sz w:val="16"/>
                <w:szCs w:val="16"/>
                <w:lang w:val="fr-BE"/>
              </w:rPr>
            </w:pPr>
            <w:r w:rsidRPr="0024468B">
              <w:rPr>
                <w:noProof/>
                <w:sz w:val="16"/>
                <w:szCs w:val="16"/>
                <w:lang w:val="fr-BE"/>
              </w:rPr>
              <w:t>Oczyszczanie ścieków: liczba dodatkowych osób korzystających z ulepszonego oczyszczania ścieków</w:t>
            </w:r>
          </w:p>
        </w:tc>
        <w:tc>
          <w:tcPr>
            <w:tcW w:w="0" w:type="auto"/>
          </w:tcPr>
          <w:p w14:paraId="40B63C8C"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2A3DAF76"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1B810B39"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40985CE1"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302FEF0B"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39F24187"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r w:rsidR="006B2EC1" w14:paraId="47572DFE" w14:textId="77777777" w:rsidTr="0047688D">
        <w:tc>
          <w:tcPr>
            <w:tcW w:w="0" w:type="auto"/>
          </w:tcPr>
          <w:p w14:paraId="36600828" w14:textId="77777777" w:rsidR="008C5CFA" w:rsidRPr="0024468B" w:rsidRDefault="00E82A60" w:rsidP="00300A01">
            <w:pPr>
              <w:spacing w:before="0" w:after="0"/>
              <w:rPr>
                <w:sz w:val="16"/>
                <w:szCs w:val="16"/>
                <w:lang w:val="fr-BE"/>
              </w:rPr>
            </w:pPr>
            <w:r>
              <w:rPr>
                <w:noProof/>
                <w:sz w:val="16"/>
                <w:szCs w:val="16"/>
                <w:lang w:val="fr-BE"/>
              </w:rPr>
              <w:t>S</w:t>
            </w:r>
          </w:p>
        </w:tc>
        <w:tc>
          <w:tcPr>
            <w:tcW w:w="0" w:type="auto"/>
            <w:shd w:val="clear" w:color="auto" w:fill="auto"/>
          </w:tcPr>
          <w:p w14:paraId="1D25AAF1" w14:textId="77777777" w:rsidR="008C5CFA" w:rsidRPr="0024468B" w:rsidRDefault="00E82A60" w:rsidP="00300A01">
            <w:pPr>
              <w:spacing w:before="0" w:after="0"/>
              <w:rPr>
                <w:sz w:val="16"/>
                <w:szCs w:val="16"/>
                <w:lang w:val="fr-BE"/>
              </w:rPr>
            </w:pPr>
            <w:r w:rsidRPr="0024468B">
              <w:rPr>
                <w:noProof/>
                <w:sz w:val="16"/>
                <w:szCs w:val="16"/>
                <w:lang w:val="fr-BE"/>
              </w:rPr>
              <w:t>CO19</w:t>
            </w:r>
          </w:p>
        </w:tc>
        <w:tc>
          <w:tcPr>
            <w:tcW w:w="0" w:type="auto"/>
            <w:shd w:val="clear" w:color="auto" w:fill="auto"/>
          </w:tcPr>
          <w:p w14:paraId="491BB32C" w14:textId="77777777" w:rsidR="008C5CFA" w:rsidRPr="0024468B" w:rsidRDefault="00E82A60" w:rsidP="00300A01">
            <w:pPr>
              <w:spacing w:before="0" w:after="0"/>
              <w:rPr>
                <w:sz w:val="16"/>
                <w:szCs w:val="16"/>
                <w:lang w:val="fr-BE"/>
              </w:rPr>
            </w:pPr>
            <w:r w:rsidRPr="0024468B">
              <w:rPr>
                <w:noProof/>
                <w:sz w:val="16"/>
                <w:szCs w:val="16"/>
                <w:lang w:val="fr-BE"/>
              </w:rPr>
              <w:t>Oczyszczanie ścieków: liczba dodatkowych osób korzystających z ulepszonego oczyszczania ścieków</w:t>
            </w:r>
          </w:p>
        </w:tc>
        <w:tc>
          <w:tcPr>
            <w:tcW w:w="0" w:type="auto"/>
          </w:tcPr>
          <w:p w14:paraId="46B56DBC"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393F9B77"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583BF9B9"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0FE811B7"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54FC5559"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6F631630"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r w:rsidR="006B2EC1" w14:paraId="6FEBAA80" w14:textId="77777777" w:rsidTr="0047688D">
        <w:tc>
          <w:tcPr>
            <w:tcW w:w="0" w:type="auto"/>
          </w:tcPr>
          <w:p w14:paraId="768C3B2B" w14:textId="77777777" w:rsidR="008C5CFA" w:rsidRPr="0024468B" w:rsidRDefault="00E82A60" w:rsidP="00300A01">
            <w:pPr>
              <w:spacing w:before="0" w:after="0"/>
              <w:rPr>
                <w:sz w:val="16"/>
                <w:szCs w:val="16"/>
                <w:lang w:val="fr-BE"/>
              </w:rPr>
            </w:pPr>
            <w:r>
              <w:rPr>
                <w:noProof/>
                <w:sz w:val="16"/>
                <w:szCs w:val="16"/>
                <w:lang w:val="fr-BE"/>
              </w:rPr>
              <w:t>F</w:t>
            </w:r>
          </w:p>
        </w:tc>
        <w:tc>
          <w:tcPr>
            <w:tcW w:w="0" w:type="auto"/>
            <w:shd w:val="clear" w:color="auto" w:fill="auto"/>
          </w:tcPr>
          <w:p w14:paraId="7CC6CEEA" w14:textId="77777777" w:rsidR="008C5CFA" w:rsidRPr="0024468B" w:rsidRDefault="00E82A60" w:rsidP="00300A01">
            <w:pPr>
              <w:spacing w:before="0" w:after="0"/>
              <w:rPr>
                <w:sz w:val="16"/>
                <w:szCs w:val="16"/>
                <w:lang w:val="fr-BE"/>
              </w:rPr>
            </w:pPr>
            <w:r>
              <w:rPr>
                <w:noProof/>
                <w:sz w:val="16"/>
                <w:szCs w:val="16"/>
                <w:lang w:val="fr-BE"/>
              </w:rPr>
              <w:t>033</w:t>
            </w:r>
          </w:p>
        </w:tc>
        <w:tc>
          <w:tcPr>
            <w:tcW w:w="0" w:type="auto"/>
            <w:shd w:val="clear" w:color="auto" w:fill="auto"/>
          </w:tcPr>
          <w:p w14:paraId="71FCCF3B" w14:textId="77777777" w:rsidR="008C5CFA" w:rsidRPr="0024468B" w:rsidRDefault="00E82A60" w:rsidP="00300A01">
            <w:pPr>
              <w:spacing w:before="0" w:after="0"/>
              <w:rPr>
                <w:sz w:val="16"/>
                <w:szCs w:val="16"/>
                <w:lang w:val="fr-BE"/>
              </w:rPr>
            </w:pPr>
            <w:r>
              <w:rPr>
                <w:noProof/>
                <w:sz w:val="16"/>
                <w:szCs w:val="16"/>
                <w:lang w:val="fr-BE"/>
              </w:rPr>
              <w:t>Liczba wspartych oczyszczalni ścieków komunalnych</w:t>
            </w:r>
          </w:p>
        </w:tc>
        <w:tc>
          <w:tcPr>
            <w:tcW w:w="0" w:type="auto"/>
          </w:tcPr>
          <w:p w14:paraId="0AA6FDC0"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43617735"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0D26F889"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2B194FCD"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05172F83"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6586655E"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r w:rsidR="006B2EC1" w14:paraId="6A26872E" w14:textId="77777777" w:rsidTr="0047688D">
        <w:tc>
          <w:tcPr>
            <w:tcW w:w="0" w:type="auto"/>
          </w:tcPr>
          <w:p w14:paraId="3EF8EB28" w14:textId="77777777" w:rsidR="008C5CFA" w:rsidRPr="0024468B" w:rsidRDefault="00E82A60" w:rsidP="00300A01">
            <w:pPr>
              <w:spacing w:before="0" w:after="0"/>
              <w:rPr>
                <w:sz w:val="16"/>
                <w:szCs w:val="16"/>
                <w:lang w:val="fr-BE"/>
              </w:rPr>
            </w:pPr>
            <w:r>
              <w:rPr>
                <w:noProof/>
                <w:sz w:val="16"/>
                <w:szCs w:val="16"/>
                <w:lang w:val="fr-BE"/>
              </w:rPr>
              <w:t>S</w:t>
            </w:r>
          </w:p>
        </w:tc>
        <w:tc>
          <w:tcPr>
            <w:tcW w:w="0" w:type="auto"/>
            <w:shd w:val="clear" w:color="auto" w:fill="auto"/>
          </w:tcPr>
          <w:p w14:paraId="6E6244B4" w14:textId="77777777" w:rsidR="008C5CFA" w:rsidRPr="0024468B" w:rsidRDefault="00E82A60" w:rsidP="00300A01">
            <w:pPr>
              <w:spacing w:before="0" w:after="0"/>
              <w:rPr>
                <w:sz w:val="16"/>
                <w:szCs w:val="16"/>
                <w:lang w:val="fr-BE"/>
              </w:rPr>
            </w:pPr>
            <w:r>
              <w:rPr>
                <w:noProof/>
                <w:sz w:val="16"/>
                <w:szCs w:val="16"/>
                <w:lang w:val="fr-BE"/>
              </w:rPr>
              <w:t>033</w:t>
            </w:r>
          </w:p>
        </w:tc>
        <w:tc>
          <w:tcPr>
            <w:tcW w:w="0" w:type="auto"/>
            <w:shd w:val="clear" w:color="auto" w:fill="auto"/>
          </w:tcPr>
          <w:p w14:paraId="4AF2B22A" w14:textId="77777777" w:rsidR="008C5CFA" w:rsidRPr="0024468B" w:rsidRDefault="00E82A60" w:rsidP="00300A01">
            <w:pPr>
              <w:spacing w:before="0" w:after="0"/>
              <w:rPr>
                <w:sz w:val="16"/>
                <w:szCs w:val="16"/>
                <w:lang w:val="fr-BE"/>
              </w:rPr>
            </w:pPr>
            <w:r>
              <w:rPr>
                <w:noProof/>
                <w:sz w:val="16"/>
                <w:szCs w:val="16"/>
                <w:lang w:val="fr-BE"/>
              </w:rPr>
              <w:t>Liczba wspartych oczyszczalni ścieków komunalnych</w:t>
            </w:r>
          </w:p>
        </w:tc>
        <w:tc>
          <w:tcPr>
            <w:tcW w:w="0" w:type="auto"/>
          </w:tcPr>
          <w:p w14:paraId="5BA9CA00"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1BB74C8D"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62007BF0"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479F814D"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4D303C04"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4E7B4583"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r w:rsidR="006B2EC1" w14:paraId="4904F786" w14:textId="77777777" w:rsidTr="0047688D">
        <w:tc>
          <w:tcPr>
            <w:tcW w:w="0" w:type="auto"/>
          </w:tcPr>
          <w:p w14:paraId="631CF2AF" w14:textId="77777777" w:rsidR="008C5CFA" w:rsidRPr="0024468B" w:rsidRDefault="00E82A60" w:rsidP="00300A01">
            <w:pPr>
              <w:spacing w:before="0" w:after="0"/>
              <w:rPr>
                <w:sz w:val="16"/>
                <w:szCs w:val="16"/>
                <w:lang w:val="fr-BE"/>
              </w:rPr>
            </w:pPr>
            <w:r>
              <w:rPr>
                <w:noProof/>
                <w:sz w:val="16"/>
                <w:szCs w:val="16"/>
                <w:lang w:val="fr-BE"/>
              </w:rPr>
              <w:t>F</w:t>
            </w:r>
          </w:p>
        </w:tc>
        <w:tc>
          <w:tcPr>
            <w:tcW w:w="0" w:type="auto"/>
            <w:shd w:val="clear" w:color="auto" w:fill="auto"/>
          </w:tcPr>
          <w:p w14:paraId="689710E4" w14:textId="77777777" w:rsidR="008C5CFA" w:rsidRPr="0024468B" w:rsidRDefault="00E82A60" w:rsidP="00300A01">
            <w:pPr>
              <w:spacing w:before="0" w:after="0"/>
              <w:rPr>
                <w:sz w:val="16"/>
                <w:szCs w:val="16"/>
                <w:lang w:val="fr-BE"/>
              </w:rPr>
            </w:pPr>
            <w:r>
              <w:rPr>
                <w:noProof/>
                <w:sz w:val="16"/>
                <w:szCs w:val="16"/>
                <w:lang w:val="fr-BE"/>
              </w:rPr>
              <w:t>56</w:t>
            </w:r>
          </w:p>
        </w:tc>
        <w:tc>
          <w:tcPr>
            <w:tcW w:w="0" w:type="auto"/>
            <w:shd w:val="clear" w:color="auto" w:fill="auto"/>
          </w:tcPr>
          <w:p w14:paraId="066FFB8F" w14:textId="77777777" w:rsidR="008C5CFA" w:rsidRPr="0024468B" w:rsidRDefault="00E82A60" w:rsidP="00300A01">
            <w:pPr>
              <w:spacing w:before="0" w:after="0"/>
              <w:rPr>
                <w:sz w:val="16"/>
                <w:szCs w:val="16"/>
                <w:lang w:val="fr-BE"/>
              </w:rPr>
            </w:pPr>
            <w:r>
              <w:rPr>
                <w:noProof/>
                <w:sz w:val="16"/>
                <w:szCs w:val="16"/>
                <w:lang w:val="fr-BE"/>
              </w:rPr>
              <w:t>Długość wybudowanej kanalizacji sanitarnej</w:t>
            </w:r>
          </w:p>
        </w:tc>
        <w:tc>
          <w:tcPr>
            <w:tcW w:w="0" w:type="auto"/>
          </w:tcPr>
          <w:p w14:paraId="111252AD"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06FA7365"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5129942D"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43265BD0"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319D0FC2"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71724D1B"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r w:rsidR="006B2EC1" w14:paraId="4C9609D8" w14:textId="77777777" w:rsidTr="0047688D">
        <w:tc>
          <w:tcPr>
            <w:tcW w:w="0" w:type="auto"/>
          </w:tcPr>
          <w:p w14:paraId="5E98AD1D" w14:textId="77777777" w:rsidR="008C5CFA" w:rsidRPr="0024468B" w:rsidRDefault="00E82A60" w:rsidP="00300A01">
            <w:pPr>
              <w:spacing w:before="0" w:after="0"/>
              <w:rPr>
                <w:sz w:val="16"/>
                <w:szCs w:val="16"/>
                <w:lang w:val="fr-BE"/>
              </w:rPr>
            </w:pPr>
            <w:r>
              <w:rPr>
                <w:noProof/>
                <w:sz w:val="16"/>
                <w:szCs w:val="16"/>
                <w:lang w:val="fr-BE"/>
              </w:rPr>
              <w:t>S</w:t>
            </w:r>
          </w:p>
        </w:tc>
        <w:tc>
          <w:tcPr>
            <w:tcW w:w="0" w:type="auto"/>
            <w:shd w:val="clear" w:color="auto" w:fill="auto"/>
          </w:tcPr>
          <w:p w14:paraId="22361EC8" w14:textId="77777777" w:rsidR="008C5CFA" w:rsidRPr="0024468B" w:rsidRDefault="00E82A60" w:rsidP="00300A01">
            <w:pPr>
              <w:spacing w:before="0" w:after="0"/>
              <w:rPr>
                <w:sz w:val="16"/>
                <w:szCs w:val="16"/>
                <w:lang w:val="fr-BE"/>
              </w:rPr>
            </w:pPr>
            <w:r>
              <w:rPr>
                <w:noProof/>
                <w:sz w:val="16"/>
                <w:szCs w:val="16"/>
                <w:lang w:val="fr-BE"/>
              </w:rPr>
              <w:t>56</w:t>
            </w:r>
          </w:p>
        </w:tc>
        <w:tc>
          <w:tcPr>
            <w:tcW w:w="0" w:type="auto"/>
            <w:shd w:val="clear" w:color="auto" w:fill="auto"/>
          </w:tcPr>
          <w:p w14:paraId="1147B20E" w14:textId="77777777" w:rsidR="008C5CFA" w:rsidRPr="0024468B" w:rsidRDefault="00E82A60" w:rsidP="00300A01">
            <w:pPr>
              <w:spacing w:before="0" w:after="0"/>
              <w:rPr>
                <w:sz w:val="16"/>
                <w:szCs w:val="16"/>
                <w:lang w:val="fr-BE"/>
              </w:rPr>
            </w:pPr>
            <w:r>
              <w:rPr>
                <w:noProof/>
                <w:sz w:val="16"/>
                <w:szCs w:val="16"/>
                <w:lang w:val="fr-BE"/>
              </w:rPr>
              <w:t>Długość wybudowanej kanalizacji sanitarnej</w:t>
            </w:r>
          </w:p>
        </w:tc>
        <w:tc>
          <w:tcPr>
            <w:tcW w:w="0" w:type="auto"/>
          </w:tcPr>
          <w:p w14:paraId="06867CEF"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707398FD"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1DC11CA5"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1474ADCD"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5B3C4C5D"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334A8326"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bl>
    <w:p w14:paraId="3304706C" w14:textId="77777777" w:rsidR="008C5CFA" w:rsidRDefault="008C5CFA" w:rsidP="00300A01">
      <w:pPr>
        <w:spacing w:before="0" w:after="0"/>
        <w:rPr>
          <w:lang w:val="fr-BE"/>
        </w:rPr>
      </w:pPr>
    </w:p>
    <w:p w14:paraId="4C59A79D" w14:textId="77777777" w:rsidR="008C5CFA" w:rsidRDefault="008C5CFA" w:rsidP="00300A01">
      <w:pPr>
        <w:spacing w:before="0" w:after="0"/>
        <w:rPr>
          <w:lang w:val="fr-BE"/>
        </w:rPr>
      </w:pPr>
    </w:p>
    <w:p w14:paraId="26801DB6" w14:textId="77777777" w:rsidR="008C5CFA" w:rsidRDefault="00E82A60" w:rsidP="00300A01">
      <w:pPr>
        <w:spacing w:before="0" w:after="0"/>
        <w:rPr>
          <w:lang w:val="fr-BE"/>
        </w:rPr>
      </w:pPr>
      <w:r>
        <w:rPr>
          <w:lang w:val="fr-BE"/>
        </w:rPr>
        <w:br w:type="page"/>
      </w:r>
    </w:p>
    <w:p w14:paraId="1C008345"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4"/>
        <w:gridCol w:w="13410"/>
      </w:tblGrid>
      <w:tr w:rsidR="006B2EC1" w14:paraId="292D5A65" w14:textId="77777777" w:rsidTr="0047688D">
        <w:tc>
          <w:tcPr>
            <w:tcW w:w="0" w:type="auto"/>
            <w:shd w:val="clear" w:color="auto" w:fill="auto"/>
          </w:tcPr>
          <w:p w14:paraId="5AB8B1BA" w14:textId="77777777" w:rsidR="008C5CFA" w:rsidRPr="002124FC" w:rsidRDefault="00E82A60" w:rsidP="00300A01">
            <w:pPr>
              <w:spacing w:before="0" w:after="0"/>
              <w:rPr>
                <w:sz w:val="20"/>
                <w:szCs w:val="20"/>
                <w:lang w:val="fr-BE"/>
              </w:rPr>
            </w:pPr>
            <w:r>
              <w:rPr>
                <w:lang w:val="fr-BE"/>
              </w:rPr>
              <w:br w:type="page"/>
            </w:r>
            <w:r>
              <w:rPr>
                <w:lang w:val="fr-BE"/>
              </w:rPr>
              <w:br w:type="page"/>
            </w:r>
            <w:r>
              <w:rPr>
                <w:lang w:val="fr-BE"/>
              </w:rPr>
              <w:br w:type="page"/>
            </w:r>
            <w:r w:rsidRPr="002124FC">
              <w:rPr>
                <w:noProof/>
                <w:sz w:val="20"/>
                <w:szCs w:val="20"/>
                <w:lang w:val="fr-BE"/>
              </w:rPr>
              <w:t>Oś priorytetowa</w:t>
            </w:r>
          </w:p>
        </w:tc>
        <w:tc>
          <w:tcPr>
            <w:tcW w:w="0" w:type="auto"/>
            <w:shd w:val="clear" w:color="auto" w:fill="auto"/>
          </w:tcPr>
          <w:p w14:paraId="7A87073B" w14:textId="77777777" w:rsidR="008C5CFA" w:rsidRPr="002124FC" w:rsidRDefault="00E82A60" w:rsidP="00300A01">
            <w:pPr>
              <w:spacing w:before="0" w:after="0"/>
              <w:rPr>
                <w:sz w:val="20"/>
                <w:szCs w:val="20"/>
                <w:lang w:val="fr-BE"/>
              </w:rPr>
            </w:pPr>
            <w:r>
              <w:rPr>
                <w:noProof/>
                <w:sz w:val="20"/>
                <w:szCs w:val="20"/>
                <w:lang w:val="fr-BE"/>
              </w:rPr>
              <w:t>4</w:t>
            </w:r>
            <w:r w:rsidRPr="002124FC">
              <w:rPr>
                <w:sz w:val="20"/>
                <w:szCs w:val="20"/>
                <w:lang w:val="fr-BE"/>
              </w:rPr>
              <w:t xml:space="preserve"> - </w:t>
            </w:r>
            <w:r>
              <w:rPr>
                <w:noProof/>
                <w:sz w:val="20"/>
                <w:szCs w:val="20"/>
                <w:lang w:val="fr-BE"/>
              </w:rPr>
              <w:t>Dziedzictwo naturalne i kulturowe</w:t>
            </w:r>
          </w:p>
        </w:tc>
      </w:tr>
      <w:tr w:rsidR="006B2EC1" w14:paraId="0CF47460" w14:textId="77777777" w:rsidTr="0047688D">
        <w:tc>
          <w:tcPr>
            <w:tcW w:w="0" w:type="auto"/>
            <w:shd w:val="clear" w:color="auto" w:fill="auto"/>
          </w:tcPr>
          <w:p w14:paraId="4BF1A730" w14:textId="77777777" w:rsidR="008C5CFA" w:rsidRPr="002124FC" w:rsidRDefault="00E82A60"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14:paraId="10A7B5C1" w14:textId="77777777" w:rsidR="008C5CFA" w:rsidRPr="002124FC" w:rsidRDefault="00E82A60" w:rsidP="00300A01">
            <w:pPr>
              <w:spacing w:before="0" w:after="0"/>
              <w:rPr>
                <w:sz w:val="20"/>
                <w:szCs w:val="20"/>
                <w:lang w:val="fr-BE"/>
              </w:rPr>
            </w:pPr>
            <w:r w:rsidRPr="002124FC">
              <w:rPr>
                <w:noProof/>
                <w:sz w:val="20"/>
                <w:szCs w:val="20"/>
                <w:lang w:val="fr-BE"/>
              </w:rPr>
              <w:t>6b</w:t>
            </w:r>
            <w:r w:rsidRPr="002124FC">
              <w:rPr>
                <w:sz w:val="20"/>
                <w:szCs w:val="20"/>
                <w:lang w:val="fr-BE"/>
              </w:rPr>
              <w:t xml:space="preserve"> - </w:t>
            </w:r>
            <w:r>
              <w:rPr>
                <w:noProof/>
                <w:sz w:val="20"/>
                <w:szCs w:val="20"/>
                <w:lang w:val="fr-BE"/>
              </w:rPr>
              <w:t>Inwestowanie w sektor gospodarki wodnej celem wypełnienia zobowiązań określonych w dorobku prawnym Unii w zakresie środowiska oraz zaspokojenia wykraczających poza te zobowiązania potrzeb inwestycyjnych, określonych przez państwa członkowskie</w:t>
            </w:r>
          </w:p>
        </w:tc>
      </w:tr>
      <w:tr w:rsidR="006B2EC1" w14:paraId="1990CC15" w14:textId="77777777" w:rsidTr="0047688D">
        <w:tc>
          <w:tcPr>
            <w:tcW w:w="0" w:type="auto"/>
            <w:shd w:val="clear" w:color="auto" w:fill="auto"/>
          </w:tcPr>
          <w:p w14:paraId="19213063" w14:textId="77777777" w:rsidR="008C5CFA" w:rsidRPr="002124FC" w:rsidRDefault="00E82A60" w:rsidP="00300A01">
            <w:pPr>
              <w:spacing w:before="0" w:after="0"/>
              <w:ind w:left="113" w:hanging="113"/>
              <w:rPr>
                <w:sz w:val="20"/>
                <w:szCs w:val="20"/>
                <w:lang w:val="fr-BE"/>
              </w:rPr>
            </w:pPr>
            <w:r>
              <w:rPr>
                <w:noProof/>
                <w:sz w:val="20"/>
                <w:szCs w:val="20"/>
                <w:lang w:val="fr-BE"/>
              </w:rPr>
              <w:t>Cel szczegółowy</w:t>
            </w:r>
          </w:p>
        </w:tc>
        <w:tc>
          <w:tcPr>
            <w:tcW w:w="0" w:type="auto"/>
            <w:shd w:val="clear" w:color="auto" w:fill="auto"/>
          </w:tcPr>
          <w:p w14:paraId="294A1192" w14:textId="77777777" w:rsidR="008C5CFA" w:rsidRPr="002124FC" w:rsidRDefault="00E82A60" w:rsidP="00300A01">
            <w:pPr>
              <w:spacing w:before="0" w:after="0"/>
              <w:rPr>
                <w:sz w:val="20"/>
                <w:szCs w:val="20"/>
                <w:lang w:val="fr-BE"/>
              </w:rPr>
            </w:pPr>
            <w:r>
              <w:rPr>
                <w:noProof/>
                <w:sz w:val="20"/>
                <w:szCs w:val="20"/>
                <w:lang w:val="fr-BE"/>
              </w:rPr>
              <w:t>1</w:t>
            </w:r>
            <w:r>
              <w:rPr>
                <w:sz w:val="20"/>
                <w:szCs w:val="20"/>
                <w:lang w:val="fr-BE"/>
              </w:rPr>
              <w:t xml:space="preserve"> - </w:t>
            </w:r>
            <w:r>
              <w:rPr>
                <w:noProof/>
                <w:sz w:val="20"/>
                <w:szCs w:val="20"/>
                <w:lang w:val="fr-BE"/>
              </w:rPr>
              <w:t>Zwiększony odsetek ludności korzystającej z systemu oczyszczania ścieków zgodnego z  dyrektywą dotyczącą ścieków komunalnych.</w:t>
            </w:r>
          </w:p>
        </w:tc>
      </w:tr>
    </w:tbl>
    <w:p w14:paraId="62F20463" w14:textId="77777777" w:rsidR="008C5CFA" w:rsidRDefault="008C5CFA" w:rsidP="00300A01">
      <w:pPr>
        <w:spacing w:before="0" w:after="0"/>
        <w:rPr>
          <w:lang w:val="fr-BE"/>
        </w:rPr>
      </w:pPr>
    </w:p>
    <w:p w14:paraId="799F4418" w14:textId="77777777" w:rsidR="008C5CFA" w:rsidRDefault="00E82A60" w:rsidP="00300A01">
      <w:pPr>
        <w:spacing w:before="0" w:after="0"/>
        <w:rPr>
          <w:lang w:val="fr-BE"/>
        </w:rPr>
      </w:pPr>
      <w:r>
        <w:rPr>
          <w:lang w:val="fr-BE"/>
        </w:rPr>
        <w:t xml:space="preserve">Tabela 1: Wskaźniki rezultatu dla EFRR i Funduszu Spójności (według osi priorytetowej i celu szczegółowego); ma zastosowanie także do osi priorytetowej </w:t>
      </w:r>
      <w:r>
        <w:t>"</w:t>
      </w:r>
      <w:r>
        <w:rPr>
          <w:lang w:val="fr-BE"/>
        </w:rPr>
        <w:t>Pomoc techniczna</w:t>
      </w:r>
      <w:r>
        <w:t>"</w:t>
      </w:r>
    </w:p>
    <w:p w14:paraId="6E044FC4"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
        <w:gridCol w:w="2810"/>
        <w:gridCol w:w="1113"/>
        <w:gridCol w:w="1203"/>
        <w:gridCol w:w="1089"/>
        <w:gridCol w:w="911"/>
        <w:gridCol w:w="1429"/>
        <w:gridCol w:w="963"/>
        <w:gridCol w:w="1185"/>
        <w:gridCol w:w="4095"/>
      </w:tblGrid>
      <w:tr w:rsidR="006B2EC1" w14:paraId="0B112CBE" w14:textId="77777777" w:rsidTr="0047688D">
        <w:tc>
          <w:tcPr>
            <w:tcW w:w="0" w:type="auto"/>
            <w:shd w:val="clear" w:color="auto" w:fill="auto"/>
          </w:tcPr>
          <w:p w14:paraId="36750691" w14:textId="77777777" w:rsidR="008C5CFA" w:rsidRPr="0024468B" w:rsidRDefault="00E82A60" w:rsidP="00300A01">
            <w:pPr>
              <w:spacing w:before="0" w:after="0"/>
              <w:rPr>
                <w:sz w:val="16"/>
                <w:szCs w:val="16"/>
                <w:lang w:val="fr-BE"/>
              </w:rPr>
            </w:pPr>
            <w:r w:rsidRPr="0024468B">
              <w:rPr>
                <w:noProof/>
                <w:sz w:val="16"/>
                <w:szCs w:val="16"/>
                <w:lang w:val="fr-BE"/>
              </w:rPr>
              <w:t>ID</w:t>
            </w:r>
          </w:p>
        </w:tc>
        <w:tc>
          <w:tcPr>
            <w:tcW w:w="0" w:type="auto"/>
            <w:shd w:val="clear" w:color="auto" w:fill="auto"/>
          </w:tcPr>
          <w:p w14:paraId="4289C5F6" w14:textId="77777777" w:rsidR="008C5CFA" w:rsidRPr="0024468B" w:rsidRDefault="00E82A60" w:rsidP="00300A01">
            <w:pPr>
              <w:spacing w:before="0" w:after="0"/>
              <w:rPr>
                <w:sz w:val="16"/>
                <w:szCs w:val="16"/>
                <w:lang w:val="fr-BE"/>
              </w:rPr>
            </w:pPr>
            <w:r w:rsidRPr="0024468B">
              <w:rPr>
                <w:noProof/>
                <w:sz w:val="16"/>
                <w:szCs w:val="16"/>
                <w:lang w:val="fr-BE"/>
              </w:rPr>
              <w:t>Wskaźnik</w:t>
            </w:r>
          </w:p>
        </w:tc>
        <w:tc>
          <w:tcPr>
            <w:tcW w:w="0" w:type="auto"/>
            <w:shd w:val="clear" w:color="auto" w:fill="auto"/>
          </w:tcPr>
          <w:p w14:paraId="3A7C4DAD" w14:textId="77777777" w:rsidR="008C5CFA" w:rsidRPr="0024468B" w:rsidRDefault="00E82A60" w:rsidP="00300A01">
            <w:pPr>
              <w:spacing w:before="0" w:after="0"/>
              <w:rPr>
                <w:sz w:val="16"/>
                <w:szCs w:val="16"/>
                <w:lang w:val="fr-BE"/>
              </w:rPr>
            </w:pPr>
            <w:r w:rsidRPr="0024468B">
              <w:rPr>
                <w:noProof/>
                <w:sz w:val="16"/>
                <w:szCs w:val="16"/>
                <w:lang w:val="fr-BE"/>
              </w:rPr>
              <w:t>Jednostka miary</w:t>
            </w:r>
          </w:p>
        </w:tc>
        <w:tc>
          <w:tcPr>
            <w:tcW w:w="0" w:type="auto"/>
            <w:shd w:val="clear" w:color="auto" w:fill="auto"/>
          </w:tcPr>
          <w:p w14:paraId="4DBCC17C" w14:textId="77777777" w:rsidR="008C5CFA" w:rsidRPr="0024468B" w:rsidRDefault="00E82A60" w:rsidP="00300A01">
            <w:pPr>
              <w:spacing w:before="0" w:after="0"/>
              <w:rPr>
                <w:sz w:val="16"/>
                <w:szCs w:val="16"/>
                <w:lang w:val="fr-BE"/>
              </w:rPr>
            </w:pPr>
            <w:r w:rsidRPr="0024468B">
              <w:rPr>
                <w:noProof/>
                <w:sz w:val="16"/>
                <w:szCs w:val="16"/>
                <w:lang w:val="fr-BE"/>
              </w:rPr>
              <w:t>Kategoria regionu</w:t>
            </w:r>
          </w:p>
        </w:tc>
        <w:tc>
          <w:tcPr>
            <w:tcW w:w="0" w:type="auto"/>
            <w:shd w:val="clear" w:color="auto" w:fill="auto"/>
          </w:tcPr>
          <w:p w14:paraId="5D579181" w14:textId="77777777" w:rsidR="008C5CFA" w:rsidRPr="0024468B" w:rsidRDefault="00E82A60" w:rsidP="00300A01">
            <w:pPr>
              <w:spacing w:before="0" w:after="0"/>
              <w:rPr>
                <w:sz w:val="16"/>
                <w:szCs w:val="16"/>
                <w:lang w:val="fr-BE"/>
              </w:rPr>
            </w:pPr>
            <w:r w:rsidRPr="0024468B">
              <w:rPr>
                <w:noProof/>
                <w:sz w:val="16"/>
                <w:szCs w:val="16"/>
                <w:lang w:val="fr-BE"/>
              </w:rPr>
              <w:t>Wartość bazowa</w:t>
            </w:r>
          </w:p>
        </w:tc>
        <w:tc>
          <w:tcPr>
            <w:tcW w:w="0" w:type="auto"/>
            <w:shd w:val="clear" w:color="auto" w:fill="auto"/>
          </w:tcPr>
          <w:p w14:paraId="0375EB71" w14:textId="77777777" w:rsidR="008C5CFA" w:rsidRPr="0024468B" w:rsidRDefault="00E82A60" w:rsidP="00300A01">
            <w:pPr>
              <w:spacing w:before="0" w:after="0"/>
              <w:rPr>
                <w:sz w:val="16"/>
                <w:szCs w:val="16"/>
                <w:lang w:val="fr-BE"/>
              </w:rPr>
            </w:pPr>
            <w:r w:rsidRPr="0024468B">
              <w:rPr>
                <w:noProof/>
                <w:sz w:val="16"/>
                <w:szCs w:val="16"/>
                <w:lang w:val="fr-BE"/>
              </w:rPr>
              <w:t>Rok bazowy</w:t>
            </w:r>
          </w:p>
        </w:tc>
        <w:tc>
          <w:tcPr>
            <w:tcW w:w="0" w:type="auto"/>
            <w:shd w:val="clear" w:color="auto" w:fill="auto"/>
          </w:tcPr>
          <w:p w14:paraId="5DD5FEE7" w14:textId="77777777" w:rsidR="008C5CFA" w:rsidRPr="0024468B" w:rsidRDefault="00E82A60" w:rsidP="00300A01">
            <w:pPr>
              <w:spacing w:before="0" w:after="0"/>
              <w:rPr>
                <w:sz w:val="16"/>
                <w:szCs w:val="16"/>
                <w:lang w:val="fr-BE"/>
              </w:rPr>
            </w:pPr>
            <w:r w:rsidRPr="0024468B">
              <w:rPr>
                <w:noProof/>
                <w:sz w:val="16"/>
                <w:szCs w:val="16"/>
                <w:lang w:val="fr-BE"/>
              </w:rPr>
              <w:t>Wartość docelowa 2023</w:t>
            </w:r>
          </w:p>
        </w:tc>
        <w:tc>
          <w:tcPr>
            <w:tcW w:w="0" w:type="auto"/>
            <w:shd w:val="clear" w:color="auto" w:fill="auto"/>
          </w:tcPr>
          <w:p w14:paraId="75A0CE3D" w14:textId="77777777" w:rsidR="008C5CFA" w:rsidRPr="0024468B" w:rsidRDefault="00E82A60" w:rsidP="00300A01">
            <w:pPr>
              <w:spacing w:before="0" w:after="0"/>
              <w:jc w:val="center"/>
              <w:rPr>
                <w:sz w:val="16"/>
                <w:szCs w:val="16"/>
                <w:lang w:val="fr-BE"/>
              </w:rPr>
            </w:pPr>
            <w:r>
              <w:rPr>
                <w:sz w:val="16"/>
                <w:szCs w:val="16"/>
                <w:lang w:val="fr-BE"/>
              </w:rPr>
              <w:t xml:space="preserve">2019 </w:t>
            </w:r>
            <w:r>
              <w:rPr>
                <w:noProof/>
                <w:sz w:val="16"/>
                <w:szCs w:val="16"/>
                <w:lang w:val="fr-BE"/>
              </w:rPr>
              <w:t>Ogółem</w:t>
            </w:r>
          </w:p>
        </w:tc>
        <w:tc>
          <w:tcPr>
            <w:tcW w:w="0" w:type="auto"/>
            <w:shd w:val="clear" w:color="auto" w:fill="auto"/>
          </w:tcPr>
          <w:p w14:paraId="3514F0B3" w14:textId="77777777" w:rsidR="008C5CFA" w:rsidRPr="0024468B" w:rsidRDefault="00E82A60" w:rsidP="00300A01">
            <w:pPr>
              <w:spacing w:before="0" w:after="0"/>
              <w:jc w:val="center"/>
              <w:rPr>
                <w:sz w:val="16"/>
                <w:szCs w:val="16"/>
                <w:lang w:val="fr-BE"/>
              </w:rPr>
            </w:pPr>
            <w:r>
              <w:rPr>
                <w:sz w:val="16"/>
                <w:szCs w:val="16"/>
                <w:lang w:val="fr-BE"/>
              </w:rPr>
              <w:t xml:space="preserve">2019 </w:t>
            </w:r>
            <w:r w:rsidRPr="0024468B">
              <w:rPr>
                <w:noProof/>
                <w:sz w:val="16"/>
                <w:szCs w:val="16"/>
                <w:lang w:val="fr-BE"/>
              </w:rPr>
              <w:t>Jakościowe</w:t>
            </w:r>
          </w:p>
        </w:tc>
        <w:tc>
          <w:tcPr>
            <w:tcW w:w="0" w:type="auto"/>
            <w:shd w:val="clear" w:color="auto" w:fill="auto"/>
          </w:tcPr>
          <w:p w14:paraId="7F62C449" w14:textId="77777777" w:rsidR="008C5CFA" w:rsidRPr="0024468B" w:rsidRDefault="00E82A60" w:rsidP="00300A01">
            <w:pPr>
              <w:spacing w:before="0" w:after="0"/>
              <w:jc w:val="center"/>
              <w:rPr>
                <w:sz w:val="16"/>
                <w:szCs w:val="16"/>
                <w:lang w:val="fr-BE"/>
              </w:rPr>
            </w:pPr>
            <w:r w:rsidRPr="0024468B">
              <w:rPr>
                <w:noProof/>
                <w:sz w:val="16"/>
                <w:szCs w:val="16"/>
                <w:lang w:val="fr-BE"/>
              </w:rPr>
              <w:t>Uwagi</w:t>
            </w:r>
          </w:p>
        </w:tc>
      </w:tr>
      <w:tr w:rsidR="006B2EC1" w14:paraId="37496ACA" w14:textId="77777777" w:rsidTr="0047688D">
        <w:tc>
          <w:tcPr>
            <w:tcW w:w="0" w:type="auto"/>
            <w:shd w:val="clear" w:color="auto" w:fill="auto"/>
          </w:tcPr>
          <w:p w14:paraId="2CEE3131" w14:textId="77777777" w:rsidR="008C5CFA" w:rsidRPr="0024468B" w:rsidRDefault="00E82A60" w:rsidP="00300A01">
            <w:pPr>
              <w:spacing w:before="0" w:after="0"/>
              <w:rPr>
                <w:sz w:val="16"/>
                <w:szCs w:val="16"/>
                <w:lang w:val="fr-BE"/>
              </w:rPr>
            </w:pPr>
            <w:r w:rsidRPr="0024468B">
              <w:rPr>
                <w:noProof/>
                <w:sz w:val="16"/>
                <w:szCs w:val="16"/>
                <w:lang w:val="fr-BE"/>
              </w:rPr>
              <w:t>51</w:t>
            </w:r>
          </w:p>
        </w:tc>
        <w:tc>
          <w:tcPr>
            <w:tcW w:w="0" w:type="auto"/>
            <w:shd w:val="clear" w:color="auto" w:fill="auto"/>
          </w:tcPr>
          <w:p w14:paraId="48E1F92B" w14:textId="77777777" w:rsidR="008C5CFA" w:rsidRPr="0024468B" w:rsidRDefault="00E82A60" w:rsidP="00300A01">
            <w:pPr>
              <w:spacing w:before="0" w:after="0"/>
              <w:rPr>
                <w:sz w:val="16"/>
                <w:szCs w:val="16"/>
                <w:lang w:val="fr-BE"/>
              </w:rPr>
            </w:pPr>
            <w:r w:rsidRPr="0024468B">
              <w:rPr>
                <w:noProof/>
                <w:sz w:val="16"/>
                <w:szCs w:val="16"/>
                <w:lang w:val="fr-BE"/>
              </w:rPr>
              <w:t>Odsetek ludności korzystającej z oczyszczalni ścieków</w:t>
            </w:r>
          </w:p>
        </w:tc>
        <w:tc>
          <w:tcPr>
            <w:tcW w:w="0" w:type="auto"/>
            <w:shd w:val="clear" w:color="auto" w:fill="auto"/>
          </w:tcPr>
          <w:p w14:paraId="2020D4B1" w14:textId="77777777" w:rsidR="008C5CFA" w:rsidRPr="0024468B" w:rsidRDefault="00E82A60" w:rsidP="00300A01">
            <w:pPr>
              <w:spacing w:before="0" w:after="0"/>
              <w:rPr>
                <w:sz w:val="16"/>
                <w:szCs w:val="16"/>
                <w:lang w:val="fr-BE"/>
              </w:rPr>
            </w:pPr>
            <w:r w:rsidRPr="0024468B">
              <w:rPr>
                <w:noProof/>
                <w:sz w:val="16"/>
                <w:szCs w:val="16"/>
                <w:lang w:val="fr-BE"/>
              </w:rPr>
              <w:t>%</w:t>
            </w:r>
          </w:p>
        </w:tc>
        <w:tc>
          <w:tcPr>
            <w:tcW w:w="0" w:type="auto"/>
            <w:shd w:val="clear" w:color="auto" w:fill="auto"/>
          </w:tcPr>
          <w:p w14:paraId="268C5D9F" w14:textId="77777777" w:rsidR="008C5CFA" w:rsidRPr="0024468B" w:rsidRDefault="00E82A60"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14:paraId="71F07600" w14:textId="77777777" w:rsidR="008C5CFA" w:rsidRPr="00C3185A" w:rsidRDefault="00E82A60" w:rsidP="00300A01">
            <w:pPr>
              <w:spacing w:before="0" w:after="0"/>
              <w:jc w:val="right"/>
              <w:rPr>
                <w:sz w:val="16"/>
                <w:szCs w:val="16"/>
                <w:lang w:val="fr-BE"/>
              </w:rPr>
            </w:pPr>
            <w:r w:rsidRPr="00C3185A">
              <w:rPr>
                <w:noProof/>
                <w:sz w:val="16"/>
                <w:szCs w:val="16"/>
                <w:lang w:val="fr-BE"/>
              </w:rPr>
              <w:t>53,60</w:t>
            </w:r>
          </w:p>
        </w:tc>
        <w:tc>
          <w:tcPr>
            <w:tcW w:w="0" w:type="auto"/>
            <w:shd w:val="clear" w:color="auto" w:fill="auto"/>
          </w:tcPr>
          <w:p w14:paraId="30EBC4A7" w14:textId="77777777" w:rsidR="008C5CFA" w:rsidRPr="0024468B" w:rsidRDefault="00E82A60" w:rsidP="00300A01">
            <w:pPr>
              <w:spacing w:before="0" w:after="0"/>
              <w:rPr>
                <w:sz w:val="16"/>
                <w:szCs w:val="16"/>
                <w:lang w:val="fr-BE"/>
              </w:rPr>
            </w:pPr>
            <w:r w:rsidRPr="0024468B">
              <w:rPr>
                <w:noProof/>
                <w:sz w:val="16"/>
                <w:szCs w:val="16"/>
                <w:lang w:val="fr-BE"/>
              </w:rPr>
              <w:t>2012</w:t>
            </w:r>
          </w:p>
        </w:tc>
        <w:tc>
          <w:tcPr>
            <w:tcW w:w="0" w:type="auto"/>
            <w:shd w:val="clear" w:color="auto" w:fill="auto"/>
          </w:tcPr>
          <w:p w14:paraId="5FE40ED0" w14:textId="77777777" w:rsidR="008C5CFA" w:rsidRPr="0024468B" w:rsidRDefault="00E82A60" w:rsidP="00300A01">
            <w:pPr>
              <w:spacing w:before="0" w:after="0"/>
              <w:jc w:val="right"/>
              <w:rPr>
                <w:sz w:val="16"/>
                <w:szCs w:val="16"/>
                <w:lang w:val="fr-BE"/>
              </w:rPr>
            </w:pPr>
            <w:r w:rsidRPr="0024468B">
              <w:rPr>
                <w:noProof/>
                <w:sz w:val="16"/>
                <w:szCs w:val="16"/>
                <w:lang w:val="fr-BE"/>
              </w:rPr>
              <w:t>63,60</w:t>
            </w:r>
          </w:p>
        </w:tc>
        <w:tc>
          <w:tcPr>
            <w:tcW w:w="0" w:type="auto"/>
            <w:shd w:val="clear" w:color="auto" w:fill="auto"/>
          </w:tcPr>
          <w:p w14:paraId="4B191ABA"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1D233142" w14:textId="77777777" w:rsidR="008C5CFA" w:rsidRPr="0024468B" w:rsidRDefault="008C5CFA" w:rsidP="00300A01">
            <w:pPr>
              <w:spacing w:before="0" w:after="0"/>
              <w:jc w:val="right"/>
              <w:rPr>
                <w:sz w:val="16"/>
                <w:szCs w:val="16"/>
                <w:lang w:val="fr-BE"/>
              </w:rPr>
            </w:pPr>
          </w:p>
        </w:tc>
        <w:tc>
          <w:tcPr>
            <w:tcW w:w="0" w:type="auto"/>
            <w:shd w:val="clear" w:color="auto" w:fill="auto"/>
          </w:tcPr>
          <w:p w14:paraId="6A2562BA" w14:textId="77777777" w:rsidR="008C5CFA" w:rsidRPr="0024468B" w:rsidRDefault="00E82A60" w:rsidP="00300A01">
            <w:pPr>
              <w:spacing w:before="0" w:after="0"/>
              <w:rPr>
                <w:sz w:val="16"/>
                <w:szCs w:val="16"/>
                <w:lang w:val="fr-BE"/>
              </w:rPr>
            </w:pPr>
            <w:r w:rsidRPr="0024468B">
              <w:rPr>
                <w:noProof/>
                <w:sz w:val="16"/>
                <w:szCs w:val="16"/>
                <w:lang w:val="fr-BE"/>
              </w:rPr>
              <w:t>Brak aktualnych danych dostępnych w statystykach publicznych (systemie STRATEG)</w:t>
            </w:r>
          </w:p>
        </w:tc>
      </w:tr>
      <w:tr w:rsidR="006B2EC1" w14:paraId="62BCEEC1" w14:textId="77777777" w:rsidTr="0047688D">
        <w:tc>
          <w:tcPr>
            <w:tcW w:w="0" w:type="auto"/>
            <w:shd w:val="clear" w:color="auto" w:fill="auto"/>
          </w:tcPr>
          <w:p w14:paraId="16928C78" w14:textId="77777777" w:rsidR="008C5CFA" w:rsidRPr="0024468B" w:rsidRDefault="00E82A60" w:rsidP="00300A01">
            <w:pPr>
              <w:spacing w:before="0" w:after="0"/>
              <w:rPr>
                <w:sz w:val="16"/>
                <w:szCs w:val="16"/>
                <w:lang w:val="fr-BE"/>
              </w:rPr>
            </w:pPr>
            <w:r w:rsidRPr="0024468B">
              <w:rPr>
                <w:noProof/>
                <w:sz w:val="16"/>
                <w:szCs w:val="16"/>
                <w:lang w:val="fr-BE"/>
              </w:rPr>
              <w:t>52</w:t>
            </w:r>
          </w:p>
        </w:tc>
        <w:tc>
          <w:tcPr>
            <w:tcW w:w="0" w:type="auto"/>
            <w:shd w:val="clear" w:color="auto" w:fill="auto"/>
          </w:tcPr>
          <w:p w14:paraId="0F239D35" w14:textId="77777777" w:rsidR="008C5CFA" w:rsidRPr="0024468B" w:rsidRDefault="00E82A60" w:rsidP="00300A01">
            <w:pPr>
              <w:spacing w:before="0" w:after="0"/>
              <w:rPr>
                <w:sz w:val="16"/>
                <w:szCs w:val="16"/>
                <w:lang w:val="fr-BE"/>
              </w:rPr>
            </w:pPr>
            <w:r w:rsidRPr="0024468B">
              <w:rPr>
                <w:noProof/>
                <w:sz w:val="16"/>
                <w:szCs w:val="16"/>
                <w:lang w:val="fr-BE"/>
              </w:rPr>
              <w:t>Odsetek ludności korzystającej z sieci kanalizacyjnej</w:t>
            </w:r>
          </w:p>
        </w:tc>
        <w:tc>
          <w:tcPr>
            <w:tcW w:w="0" w:type="auto"/>
            <w:shd w:val="clear" w:color="auto" w:fill="auto"/>
          </w:tcPr>
          <w:p w14:paraId="6452A3EA" w14:textId="77777777" w:rsidR="008C5CFA" w:rsidRPr="0024468B" w:rsidRDefault="00E82A60" w:rsidP="00300A01">
            <w:pPr>
              <w:spacing w:before="0" w:after="0"/>
              <w:rPr>
                <w:sz w:val="16"/>
                <w:szCs w:val="16"/>
                <w:lang w:val="fr-BE"/>
              </w:rPr>
            </w:pPr>
            <w:r w:rsidRPr="0024468B">
              <w:rPr>
                <w:noProof/>
                <w:sz w:val="16"/>
                <w:szCs w:val="16"/>
                <w:lang w:val="fr-BE"/>
              </w:rPr>
              <w:t>%</w:t>
            </w:r>
          </w:p>
        </w:tc>
        <w:tc>
          <w:tcPr>
            <w:tcW w:w="0" w:type="auto"/>
            <w:shd w:val="clear" w:color="auto" w:fill="auto"/>
          </w:tcPr>
          <w:p w14:paraId="5167218C" w14:textId="77777777" w:rsidR="008C5CFA" w:rsidRPr="0024468B" w:rsidRDefault="00E82A60"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14:paraId="7C7ED405" w14:textId="77777777" w:rsidR="008C5CFA" w:rsidRPr="00C3185A" w:rsidRDefault="00E82A60" w:rsidP="00300A01">
            <w:pPr>
              <w:spacing w:before="0" w:after="0"/>
              <w:jc w:val="right"/>
              <w:rPr>
                <w:sz w:val="16"/>
                <w:szCs w:val="16"/>
                <w:lang w:val="fr-BE"/>
              </w:rPr>
            </w:pPr>
            <w:r w:rsidRPr="00C3185A">
              <w:rPr>
                <w:noProof/>
                <w:sz w:val="16"/>
                <w:szCs w:val="16"/>
                <w:lang w:val="fr-BE"/>
              </w:rPr>
              <w:t>51,50</w:t>
            </w:r>
          </w:p>
        </w:tc>
        <w:tc>
          <w:tcPr>
            <w:tcW w:w="0" w:type="auto"/>
            <w:shd w:val="clear" w:color="auto" w:fill="auto"/>
          </w:tcPr>
          <w:p w14:paraId="2898ADB1" w14:textId="77777777" w:rsidR="008C5CFA" w:rsidRPr="0024468B" w:rsidRDefault="00E82A60" w:rsidP="00300A01">
            <w:pPr>
              <w:spacing w:before="0" w:after="0"/>
              <w:rPr>
                <w:sz w:val="16"/>
                <w:szCs w:val="16"/>
                <w:lang w:val="fr-BE"/>
              </w:rPr>
            </w:pPr>
            <w:r w:rsidRPr="0024468B">
              <w:rPr>
                <w:noProof/>
                <w:sz w:val="16"/>
                <w:szCs w:val="16"/>
                <w:lang w:val="fr-BE"/>
              </w:rPr>
              <w:t>2012</w:t>
            </w:r>
          </w:p>
        </w:tc>
        <w:tc>
          <w:tcPr>
            <w:tcW w:w="0" w:type="auto"/>
            <w:shd w:val="clear" w:color="auto" w:fill="auto"/>
          </w:tcPr>
          <w:p w14:paraId="044C2C1B" w14:textId="77777777" w:rsidR="008C5CFA" w:rsidRPr="0024468B" w:rsidRDefault="00E82A60" w:rsidP="00300A01">
            <w:pPr>
              <w:spacing w:before="0" w:after="0"/>
              <w:jc w:val="right"/>
              <w:rPr>
                <w:sz w:val="16"/>
                <w:szCs w:val="16"/>
                <w:lang w:val="fr-BE"/>
              </w:rPr>
            </w:pPr>
            <w:r w:rsidRPr="0024468B">
              <w:rPr>
                <w:noProof/>
                <w:sz w:val="16"/>
                <w:szCs w:val="16"/>
                <w:lang w:val="fr-BE"/>
              </w:rPr>
              <w:t>62,00</w:t>
            </w:r>
          </w:p>
        </w:tc>
        <w:tc>
          <w:tcPr>
            <w:tcW w:w="0" w:type="auto"/>
            <w:shd w:val="clear" w:color="auto" w:fill="auto"/>
          </w:tcPr>
          <w:p w14:paraId="7944C240"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5DDD052A" w14:textId="77777777" w:rsidR="008C5CFA" w:rsidRPr="0024468B" w:rsidRDefault="008C5CFA" w:rsidP="00300A01">
            <w:pPr>
              <w:spacing w:before="0" w:after="0"/>
              <w:jc w:val="right"/>
              <w:rPr>
                <w:sz w:val="16"/>
                <w:szCs w:val="16"/>
                <w:lang w:val="fr-BE"/>
              </w:rPr>
            </w:pPr>
          </w:p>
        </w:tc>
        <w:tc>
          <w:tcPr>
            <w:tcW w:w="0" w:type="auto"/>
            <w:shd w:val="clear" w:color="auto" w:fill="auto"/>
          </w:tcPr>
          <w:p w14:paraId="031BF61A" w14:textId="77777777" w:rsidR="008C5CFA" w:rsidRPr="0024468B" w:rsidRDefault="00E82A60" w:rsidP="00300A01">
            <w:pPr>
              <w:spacing w:before="0" w:after="0"/>
              <w:rPr>
                <w:sz w:val="16"/>
                <w:szCs w:val="16"/>
                <w:lang w:val="fr-BE"/>
              </w:rPr>
            </w:pPr>
            <w:r w:rsidRPr="0024468B">
              <w:rPr>
                <w:noProof/>
                <w:sz w:val="16"/>
                <w:szCs w:val="16"/>
                <w:lang w:val="fr-BE"/>
              </w:rPr>
              <w:t>Brak aktualnych danych dostępnych w statystykach publicznych (systemie STRATEG)</w:t>
            </w:r>
          </w:p>
        </w:tc>
      </w:tr>
    </w:tbl>
    <w:p w14:paraId="05203B82"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4130"/>
        <w:gridCol w:w="1206"/>
        <w:gridCol w:w="1451"/>
        <w:gridCol w:w="1206"/>
        <w:gridCol w:w="1451"/>
        <w:gridCol w:w="1206"/>
        <w:gridCol w:w="1451"/>
        <w:gridCol w:w="1206"/>
        <w:gridCol w:w="1451"/>
      </w:tblGrid>
      <w:tr w:rsidR="006B2EC1" w14:paraId="2347F182" w14:textId="77777777" w:rsidTr="0047688D">
        <w:tc>
          <w:tcPr>
            <w:tcW w:w="0" w:type="auto"/>
            <w:shd w:val="clear" w:color="auto" w:fill="auto"/>
          </w:tcPr>
          <w:p w14:paraId="4097A917" w14:textId="77777777" w:rsidR="008C5CFA" w:rsidRPr="0024468B" w:rsidRDefault="00E82A60" w:rsidP="00300A01">
            <w:pPr>
              <w:spacing w:before="0" w:after="0"/>
              <w:rPr>
                <w:sz w:val="16"/>
                <w:szCs w:val="16"/>
                <w:lang w:val="fr-BE"/>
              </w:rPr>
            </w:pPr>
            <w:r w:rsidRPr="0024468B">
              <w:rPr>
                <w:noProof/>
                <w:sz w:val="16"/>
                <w:szCs w:val="16"/>
                <w:lang w:val="fr-BE"/>
              </w:rPr>
              <w:t>ID</w:t>
            </w:r>
          </w:p>
        </w:tc>
        <w:tc>
          <w:tcPr>
            <w:tcW w:w="0" w:type="auto"/>
            <w:shd w:val="clear" w:color="auto" w:fill="auto"/>
          </w:tcPr>
          <w:p w14:paraId="153EC068" w14:textId="77777777" w:rsidR="008C5CFA" w:rsidRPr="0024468B" w:rsidRDefault="00E82A60" w:rsidP="00300A01">
            <w:pPr>
              <w:spacing w:before="0" w:after="0"/>
              <w:rPr>
                <w:sz w:val="16"/>
                <w:szCs w:val="16"/>
                <w:lang w:val="fr-BE"/>
              </w:rPr>
            </w:pPr>
            <w:r w:rsidRPr="0024468B">
              <w:rPr>
                <w:noProof/>
                <w:sz w:val="16"/>
                <w:szCs w:val="16"/>
                <w:lang w:val="fr-BE"/>
              </w:rPr>
              <w:t>Wskaźnik</w:t>
            </w:r>
          </w:p>
        </w:tc>
        <w:tc>
          <w:tcPr>
            <w:tcW w:w="0" w:type="auto"/>
          </w:tcPr>
          <w:p w14:paraId="23682296" w14:textId="77777777" w:rsidR="008C5CFA" w:rsidRPr="0024468B" w:rsidRDefault="00E82A60" w:rsidP="00300A01">
            <w:pPr>
              <w:spacing w:before="0" w:after="0"/>
              <w:jc w:val="center"/>
              <w:rPr>
                <w:sz w:val="16"/>
                <w:szCs w:val="16"/>
                <w:lang w:val="fr-BE"/>
              </w:rPr>
            </w:pPr>
            <w:r>
              <w:rPr>
                <w:sz w:val="16"/>
                <w:szCs w:val="16"/>
                <w:lang w:val="fr-BE"/>
              </w:rPr>
              <w:t xml:space="preserve">2018 </w:t>
            </w:r>
            <w:r>
              <w:rPr>
                <w:noProof/>
                <w:sz w:val="16"/>
                <w:szCs w:val="16"/>
                <w:lang w:val="fr-BE"/>
              </w:rPr>
              <w:t>Ogółem</w:t>
            </w:r>
          </w:p>
        </w:tc>
        <w:tc>
          <w:tcPr>
            <w:tcW w:w="0" w:type="auto"/>
          </w:tcPr>
          <w:p w14:paraId="6D038EEF" w14:textId="77777777" w:rsidR="008C5CFA" w:rsidRPr="0024468B" w:rsidRDefault="00E82A60" w:rsidP="00300A01">
            <w:pPr>
              <w:spacing w:before="0" w:after="0"/>
              <w:jc w:val="center"/>
              <w:rPr>
                <w:sz w:val="16"/>
                <w:szCs w:val="16"/>
                <w:lang w:val="fr-BE"/>
              </w:rPr>
            </w:pPr>
            <w:r>
              <w:rPr>
                <w:sz w:val="16"/>
                <w:szCs w:val="16"/>
                <w:lang w:val="fr-BE"/>
              </w:rPr>
              <w:t xml:space="preserve">2018 </w:t>
            </w:r>
            <w:r w:rsidRPr="0024468B">
              <w:rPr>
                <w:noProof/>
                <w:sz w:val="16"/>
                <w:szCs w:val="16"/>
                <w:lang w:val="fr-BE"/>
              </w:rPr>
              <w:t>Jakościowe</w:t>
            </w:r>
          </w:p>
        </w:tc>
        <w:tc>
          <w:tcPr>
            <w:tcW w:w="0" w:type="auto"/>
          </w:tcPr>
          <w:p w14:paraId="3C8F5ABD" w14:textId="77777777" w:rsidR="008C5CFA" w:rsidRPr="0024468B" w:rsidRDefault="00E82A60" w:rsidP="00300A01">
            <w:pPr>
              <w:spacing w:before="0" w:after="0"/>
              <w:jc w:val="center"/>
              <w:rPr>
                <w:sz w:val="16"/>
                <w:szCs w:val="16"/>
                <w:lang w:val="fr-BE"/>
              </w:rPr>
            </w:pPr>
            <w:r>
              <w:rPr>
                <w:sz w:val="16"/>
                <w:szCs w:val="16"/>
                <w:lang w:val="fr-BE"/>
              </w:rPr>
              <w:t xml:space="preserve">2017 </w:t>
            </w:r>
            <w:r>
              <w:rPr>
                <w:noProof/>
                <w:sz w:val="16"/>
                <w:szCs w:val="16"/>
                <w:lang w:val="fr-BE"/>
              </w:rPr>
              <w:t>Ogółem</w:t>
            </w:r>
          </w:p>
        </w:tc>
        <w:tc>
          <w:tcPr>
            <w:tcW w:w="0" w:type="auto"/>
          </w:tcPr>
          <w:p w14:paraId="6298DE7F" w14:textId="77777777" w:rsidR="008C5CFA" w:rsidRPr="0024468B" w:rsidRDefault="00E82A60" w:rsidP="00300A01">
            <w:pPr>
              <w:spacing w:before="0" w:after="0"/>
              <w:jc w:val="center"/>
              <w:rPr>
                <w:sz w:val="16"/>
                <w:szCs w:val="16"/>
                <w:lang w:val="fr-BE"/>
              </w:rPr>
            </w:pPr>
            <w:r>
              <w:rPr>
                <w:sz w:val="16"/>
                <w:szCs w:val="16"/>
                <w:lang w:val="fr-BE"/>
              </w:rPr>
              <w:t xml:space="preserve">2017 </w:t>
            </w:r>
            <w:r w:rsidRPr="0024468B">
              <w:rPr>
                <w:noProof/>
                <w:sz w:val="16"/>
                <w:szCs w:val="16"/>
                <w:lang w:val="fr-BE"/>
              </w:rPr>
              <w:t>Jakościowe</w:t>
            </w:r>
          </w:p>
        </w:tc>
        <w:tc>
          <w:tcPr>
            <w:tcW w:w="0" w:type="auto"/>
          </w:tcPr>
          <w:p w14:paraId="1D9CA62D" w14:textId="77777777" w:rsidR="008C5CFA" w:rsidRPr="0024468B" w:rsidRDefault="00E82A60" w:rsidP="00300A01">
            <w:pPr>
              <w:spacing w:before="0" w:after="0"/>
              <w:jc w:val="center"/>
              <w:rPr>
                <w:sz w:val="16"/>
                <w:szCs w:val="16"/>
                <w:lang w:val="fr-BE"/>
              </w:rPr>
            </w:pPr>
            <w:r>
              <w:rPr>
                <w:sz w:val="16"/>
                <w:szCs w:val="16"/>
                <w:lang w:val="fr-BE"/>
              </w:rPr>
              <w:t xml:space="preserve">2016 </w:t>
            </w:r>
            <w:r>
              <w:rPr>
                <w:noProof/>
                <w:sz w:val="16"/>
                <w:szCs w:val="16"/>
                <w:lang w:val="fr-BE"/>
              </w:rPr>
              <w:t>Ogółem</w:t>
            </w:r>
          </w:p>
        </w:tc>
        <w:tc>
          <w:tcPr>
            <w:tcW w:w="0" w:type="auto"/>
          </w:tcPr>
          <w:p w14:paraId="1D9FBF60" w14:textId="77777777" w:rsidR="008C5CFA" w:rsidRPr="0024468B" w:rsidRDefault="00E82A60" w:rsidP="00300A01">
            <w:pPr>
              <w:spacing w:before="0" w:after="0"/>
              <w:jc w:val="center"/>
              <w:rPr>
                <w:sz w:val="16"/>
                <w:szCs w:val="16"/>
                <w:lang w:val="fr-BE"/>
              </w:rPr>
            </w:pPr>
            <w:r>
              <w:rPr>
                <w:sz w:val="16"/>
                <w:szCs w:val="16"/>
                <w:lang w:val="fr-BE"/>
              </w:rPr>
              <w:t xml:space="preserve">2016 </w:t>
            </w:r>
            <w:r w:rsidRPr="0024468B">
              <w:rPr>
                <w:noProof/>
                <w:sz w:val="16"/>
                <w:szCs w:val="16"/>
                <w:lang w:val="fr-BE"/>
              </w:rPr>
              <w:t>Jakościowe</w:t>
            </w:r>
          </w:p>
        </w:tc>
        <w:tc>
          <w:tcPr>
            <w:tcW w:w="0" w:type="auto"/>
          </w:tcPr>
          <w:p w14:paraId="147D941A" w14:textId="77777777" w:rsidR="008C5CFA" w:rsidRPr="0024468B" w:rsidRDefault="00E82A60" w:rsidP="00300A01">
            <w:pPr>
              <w:spacing w:before="0" w:after="0"/>
              <w:jc w:val="center"/>
              <w:rPr>
                <w:sz w:val="16"/>
                <w:szCs w:val="16"/>
                <w:lang w:val="fr-BE"/>
              </w:rPr>
            </w:pPr>
            <w:r>
              <w:rPr>
                <w:sz w:val="16"/>
                <w:szCs w:val="16"/>
                <w:lang w:val="fr-BE"/>
              </w:rPr>
              <w:t xml:space="preserve">2015 </w:t>
            </w:r>
            <w:r>
              <w:rPr>
                <w:noProof/>
                <w:sz w:val="16"/>
                <w:szCs w:val="16"/>
                <w:lang w:val="fr-BE"/>
              </w:rPr>
              <w:t>Ogółem</w:t>
            </w:r>
          </w:p>
        </w:tc>
        <w:tc>
          <w:tcPr>
            <w:tcW w:w="0" w:type="auto"/>
          </w:tcPr>
          <w:p w14:paraId="30A77533" w14:textId="77777777" w:rsidR="008C5CFA" w:rsidRPr="0024468B" w:rsidRDefault="00E82A60" w:rsidP="00300A01">
            <w:pPr>
              <w:spacing w:before="0" w:after="0"/>
              <w:jc w:val="center"/>
              <w:rPr>
                <w:sz w:val="16"/>
                <w:szCs w:val="16"/>
                <w:lang w:val="fr-BE"/>
              </w:rPr>
            </w:pPr>
            <w:r>
              <w:rPr>
                <w:sz w:val="16"/>
                <w:szCs w:val="16"/>
                <w:lang w:val="fr-BE"/>
              </w:rPr>
              <w:t xml:space="preserve">2015 </w:t>
            </w:r>
            <w:r w:rsidRPr="0024468B">
              <w:rPr>
                <w:noProof/>
                <w:sz w:val="16"/>
                <w:szCs w:val="16"/>
                <w:lang w:val="fr-BE"/>
              </w:rPr>
              <w:t>Jakościowe</w:t>
            </w:r>
          </w:p>
        </w:tc>
      </w:tr>
      <w:tr w:rsidR="006B2EC1" w14:paraId="34AE85E5" w14:textId="77777777" w:rsidTr="0047688D">
        <w:tc>
          <w:tcPr>
            <w:tcW w:w="0" w:type="auto"/>
            <w:shd w:val="clear" w:color="auto" w:fill="auto"/>
          </w:tcPr>
          <w:p w14:paraId="1A08C2C0" w14:textId="77777777" w:rsidR="008C5CFA" w:rsidRPr="0024468B" w:rsidRDefault="00E82A60" w:rsidP="00300A01">
            <w:pPr>
              <w:spacing w:before="0" w:after="0"/>
              <w:rPr>
                <w:sz w:val="16"/>
                <w:szCs w:val="16"/>
                <w:lang w:val="fr-BE"/>
              </w:rPr>
            </w:pPr>
            <w:r w:rsidRPr="0024468B">
              <w:rPr>
                <w:noProof/>
                <w:sz w:val="16"/>
                <w:szCs w:val="16"/>
                <w:lang w:val="fr-BE"/>
              </w:rPr>
              <w:t>51</w:t>
            </w:r>
          </w:p>
        </w:tc>
        <w:tc>
          <w:tcPr>
            <w:tcW w:w="0" w:type="auto"/>
            <w:shd w:val="clear" w:color="auto" w:fill="auto"/>
          </w:tcPr>
          <w:p w14:paraId="5D23EDE8" w14:textId="77777777" w:rsidR="008C5CFA" w:rsidRPr="0024468B" w:rsidRDefault="00E82A60" w:rsidP="00300A01">
            <w:pPr>
              <w:spacing w:before="0" w:after="0"/>
              <w:rPr>
                <w:sz w:val="16"/>
                <w:szCs w:val="16"/>
                <w:lang w:val="fr-BE"/>
              </w:rPr>
            </w:pPr>
            <w:r w:rsidRPr="0024468B">
              <w:rPr>
                <w:noProof/>
                <w:sz w:val="16"/>
                <w:szCs w:val="16"/>
                <w:lang w:val="fr-BE"/>
              </w:rPr>
              <w:t>Odsetek ludności korzystającej z oczyszczalni ścieków</w:t>
            </w:r>
          </w:p>
        </w:tc>
        <w:tc>
          <w:tcPr>
            <w:tcW w:w="0" w:type="auto"/>
          </w:tcPr>
          <w:p w14:paraId="466AB2ED" w14:textId="77777777" w:rsidR="008C5CFA" w:rsidRPr="0024468B" w:rsidRDefault="00E82A60" w:rsidP="00300A01">
            <w:pPr>
              <w:spacing w:before="0" w:after="0"/>
              <w:jc w:val="right"/>
              <w:rPr>
                <w:sz w:val="16"/>
                <w:szCs w:val="16"/>
                <w:lang w:val="fr-BE"/>
              </w:rPr>
            </w:pPr>
            <w:r w:rsidRPr="0024468B">
              <w:rPr>
                <w:noProof/>
                <w:sz w:val="16"/>
                <w:szCs w:val="16"/>
                <w:lang w:val="fr-BE"/>
              </w:rPr>
              <w:t>64,30</w:t>
            </w:r>
          </w:p>
        </w:tc>
        <w:tc>
          <w:tcPr>
            <w:tcW w:w="0" w:type="auto"/>
          </w:tcPr>
          <w:p w14:paraId="065EF92E" w14:textId="77777777" w:rsidR="008C5CFA" w:rsidRPr="0024468B" w:rsidRDefault="008C5CFA" w:rsidP="00300A01">
            <w:pPr>
              <w:spacing w:before="0" w:after="0"/>
              <w:jc w:val="right"/>
              <w:rPr>
                <w:sz w:val="16"/>
                <w:szCs w:val="16"/>
                <w:lang w:val="fr-BE"/>
              </w:rPr>
            </w:pPr>
          </w:p>
        </w:tc>
        <w:tc>
          <w:tcPr>
            <w:tcW w:w="0" w:type="auto"/>
          </w:tcPr>
          <w:p w14:paraId="048A0D57" w14:textId="77777777" w:rsidR="008C5CFA" w:rsidRPr="0024468B" w:rsidRDefault="00E82A60" w:rsidP="00300A01">
            <w:pPr>
              <w:spacing w:before="0" w:after="0"/>
              <w:jc w:val="right"/>
              <w:rPr>
                <w:sz w:val="16"/>
                <w:szCs w:val="16"/>
                <w:lang w:val="fr-BE"/>
              </w:rPr>
            </w:pPr>
            <w:r w:rsidRPr="0024468B">
              <w:rPr>
                <w:noProof/>
                <w:sz w:val="16"/>
                <w:szCs w:val="16"/>
                <w:lang w:val="fr-BE"/>
              </w:rPr>
              <w:t>64,00</w:t>
            </w:r>
          </w:p>
        </w:tc>
        <w:tc>
          <w:tcPr>
            <w:tcW w:w="0" w:type="auto"/>
          </w:tcPr>
          <w:p w14:paraId="3F2E7BDA" w14:textId="77777777" w:rsidR="008C5CFA" w:rsidRPr="0024468B" w:rsidRDefault="008C5CFA" w:rsidP="00300A01">
            <w:pPr>
              <w:spacing w:before="0" w:after="0"/>
              <w:jc w:val="right"/>
              <w:rPr>
                <w:sz w:val="16"/>
                <w:szCs w:val="16"/>
                <w:lang w:val="fr-BE"/>
              </w:rPr>
            </w:pPr>
          </w:p>
        </w:tc>
        <w:tc>
          <w:tcPr>
            <w:tcW w:w="0" w:type="auto"/>
          </w:tcPr>
          <w:p w14:paraId="75522B57" w14:textId="77777777" w:rsidR="008C5CFA" w:rsidRPr="0024468B" w:rsidRDefault="00E82A60" w:rsidP="00300A01">
            <w:pPr>
              <w:spacing w:before="0" w:after="0"/>
              <w:jc w:val="right"/>
              <w:rPr>
                <w:sz w:val="16"/>
                <w:szCs w:val="16"/>
                <w:lang w:val="fr-BE"/>
              </w:rPr>
            </w:pPr>
            <w:r w:rsidRPr="0024468B">
              <w:rPr>
                <w:noProof/>
                <w:sz w:val="16"/>
                <w:szCs w:val="16"/>
                <w:lang w:val="fr-BE"/>
              </w:rPr>
              <w:t>63,20</w:t>
            </w:r>
          </w:p>
        </w:tc>
        <w:tc>
          <w:tcPr>
            <w:tcW w:w="0" w:type="auto"/>
          </w:tcPr>
          <w:p w14:paraId="6C559DF1" w14:textId="77777777" w:rsidR="008C5CFA" w:rsidRPr="0024468B" w:rsidRDefault="008C5CFA" w:rsidP="00300A01">
            <w:pPr>
              <w:spacing w:before="0" w:after="0"/>
              <w:jc w:val="right"/>
              <w:rPr>
                <w:sz w:val="16"/>
                <w:szCs w:val="16"/>
                <w:lang w:val="fr-BE"/>
              </w:rPr>
            </w:pPr>
          </w:p>
        </w:tc>
        <w:tc>
          <w:tcPr>
            <w:tcW w:w="0" w:type="auto"/>
          </w:tcPr>
          <w:p w14:paraId="2B9911C6" w14:textId="77777777" w:rsidR="008C5CFA" w:rsidRPr="0024468B" w:rsidRDefault="00E82A60" w:rsidP="00300A01">
            <w:pPr>
              <w:spacing w:before="0" w:after="0"/>
              <w:jc w:val="right"/>
              <w:rPr>
                <w:sz w:val="16"/>
                <w:szCs w:val="16"/>
                <w:lang w:val="fr-BE"/>
              </w:rPr>
            </w:pPr>
            <w:r w:rsidRPr="0024468B">
              <w:rPr>
                <w:noProof/>
                <w:sz w:val="16"/>
                <w:szCs w:val="16"/>
                <w:lang w:val="fr-BE"/>
              </w:rPr>
              <w:t>61,70</w:t>
            </w:r>
          </w:p>
        </w:tc>
        <w:tc>
          <w:tcPr>
            <w:tcW w:w="0" w:type="auto"/>
          </w:tcPr>
          <w:p w14:paraId="2A4BB013" w14:textId="77777777" w:rsidR="008C5CFA" w:rsidRPr="0024468B" w:rsidRDefault="008C5CFA" w:rsidP="00300A01">
            <w:pPr>
              <w:spacing w:before="0" w:after="0"/>
              <w:jc w:val="right"/>
              <w:rPr>
                <w:sz w:val="16"/>
                <w:szCs w:val="16"/>
                <w:lang w:val="fr-BE"/>
              </w:rPr>
            </w:pPr>
          </w:p>
        </w:tc>
      </w:tr>
      <w:tr w:rsidR="006B2EC1" w14:paraId="2C4044B2" w14:textId="77777777" w:rsidTr="0047688D">
        <w:tc>
          <w:tcPr>
            <w:tcW w:w="0" w:type="auto"/>
            <w:shd w:val="clear" w:color="auto" w:fill="auto"/>
          </w:tcPr>
          <w:p w14:paraId="2653767D" w14:textId="77777777" w:rsidR="008C5CFA" w:rsidRPr="0024468B" w:rsidRDefault="00E82A60" w:rsidP="00300A01">
            <w:pPr>
              <w:spacing w:before="0" w:after="0"/>
              <w:rPr>
                <w:sz w:val="16"/>
                <w:szCs w:val="16"/>
                <w:lang w:val="fr-BE"/>
              </w:rPr>
            </w:pPr>
            <w:r w:rsidRPr="0024468B">
              <w:rPr>
                <w:noProof/>
                <w:sz w:val="16"/>
                <w:szCs w:val="16"/>
                <w:lang w:val="fr-BE"/>
              </w:rPr>
              <w:t>52</w:t>
            </w:r>
          </w:p>
        </w:tc>
        <w:tc>
          <w:tcPr>
            <w:tcW w:w="0" w:type="auto"/>
            <w:shd w:val="clear" w:color="auto" w:fill="auto"/>
          </w:tcPr>
          <w:p w14:paraId="6AF55A25" w14:textId="77777777" w:rsidR="008C5CFA" w:rsidRPr="0024468B" w:rsidRDefault="00E82A60" w:rsidP="00300A01">
            <w:pPr>
              <w:spacing w:before="0" w:after="0"/>
              <w:rPr>
                <w:sz w:val="16"/>
                <w:szCs w:val="16"/>
                <w:lang w:val="fr-BE"/>
              </w:rPr>
            </w:pPr>
            <w:r w:rsidRPr="0024468B">
              <w:rPr>
                <w:noProof/>
                <w:sz w:val="16"/>
                <w:szCs w:val="16"/>
                <w:lang w:val="fr-BE"/>
              </w:rPr>
              <w:t>Odsetek ludności korzystającej z sieci kanalizacyjnej</w:t>
            </w:r>
          </w:p>
        </w:tc>
        <w:tc>
          <w:tcPr>
            <w:tcW w:w="0" w:type="auto"/>
          </w:tcPr>
          <w:p w14:paraId="61903B3F" w14:textId="77777777" w:rsidR="008C5CFA" w:rsidRPr="0024468B" w:rsidRDefault="00E82A60" w:rsidP="00300A01">
            <w:pPr>
              <w:spacing w:before="0" w:after="0"/>
              <w:jc w:val="right"/>
              <w:rPr>
                <w:sz w:val="16"/>
                <w:szCs w:val="16"/>
                <w:lang w:val="fr-BE"/>
              </w:rPr>
            </w:pPr>
            <w:r w:rsidRPr="0024468B">
              <w:rPr>
                <w:noProof/>
                <w:sz w:val="16"/>
                <w:szCs w:val="16"/>
                <w:lang w:val="fr-BE"/>
              </w:rPr>
              <w:t>59,00</w:t>
            </w:r>
          </w:p>
        </w:tc>
        <w:tc>
          <w:tcPr>
            <w:tcW w:w="0" w:type="auto"/>
          </w:tcPr>
          <w:p w14:paraId="753DB8D3" w14:textId="77777777" w:rsidR="008C5CFA" w:rsidRPr="0024468B" w:rsidRDefault="008C5CFA" w:rsidP="00300A01">
            <w:pPr>
              <w:spacing w:before="0" w:after="0"/>
              <w:jc w:val="right"/>
              <w:rPr>
                <w:sz w:val="16"/>
                <w:szCs w:val="16"/>
                <w:lang w:val="fr-BE"/>
              </w:rPr>
            </w:pPr>
          </w:p>
        </w:tc>
        <w:tc>
          <w:tcPr>
            <w:tcW w:w="0" w:type="auto"/>
          </w:tcPr>
          <w:p w14:paraId="5BE867CB" w14:textId="77777777" w:rsidR="008C5CFA" w:rsidRPr="0024468B" w:rsidRDefault="00E82A60" w:rsidP="00300A01">
            <w:pPr>
              <w:spacing w:before="0" w:after="0"/>
              <w:jc w:val="right"/>
              <w:rPr>
                <w:sz w:val="16"/>
                <w:szCs w:val="16"/>
                <w:lang w:val="fr-BE"/>
              </w:rPr>
            </w:pPr>
            <w:r w:rsidRPr="0024468B">
              <w:rPr>
                <w:noProof/>
                <w:sz w:val="16"/>
                <w:szCs w:val="16"/>
                <w:lang w:val="fr-BE"/>
              </w:rPr>
              <w:t>58,70</w:t>
            </w:r>
          </w:p>
        </w:tc>
        <w:tc>
          <w:tcPr>
            <w:tcW w:w="0" w:type="auto"/>
          </w:tcPr>
          <w:p w14:paraId="7DE2BB5F" w14:textId="77777777" w:rsidR="008C5CFA" w:rsidRPr="0024468B" w:rsidRDefault="008C5CFA" w:rsidP="00300A01">
            <w:pPr>
              <w:spacing w:before="0" w:after="0"/>
              <w:jc w:val="right"/>
              <w:rPr>
                <w:sz w:val="16"/>
                <w:szCs w:val="16"/>
                <w:lang w:val="fr-BE"/>
              </w:rPr>
            </w:pPr>
          </w:p>
        </w:tc>
        <w:tc>
          <w:tcPr>
            <w:tcW w:w="0" w:type="auto"/>
          </w:tcPr>
          <w:p w14:paraId="7E3B298A" w14:textId="77777777" w:rsidR="008C5CFA" w:rsidRPr="0024468B" w:rsidRDefault="00E82A60" w:rsidP="00300A01">
            <w:pPr>
              <w:spacing w:before="0" w:after="0"/>
              <w:jc w:val="right"/>
              <w:rPr>
                <w:sz w:val="16"/>
                <w:szCs w:val="16"/>
                <w:lang w:val="fr-BE"/>
              </w:rPr>
            </w:pPr>
            <w:r w:rsidRPr="0024468B">
              <w:rPr>
                <w:noProof/>
                <w:sz w:val="16"/>
                <w:szCs w:val="16"/>
                <w:lang w:val="fr-BE"/>
              </w:rPr>
              <w:t>58,80</w:t>
            </w:r>
          </w:p>
        </w:tc>
        <w:tc>
          <w:tcPr>
            <w:tcW w:w="0" w:type="auto"/>
          </w:tcPr>
          <w:p w14:paraId="3EB5810E" w14:textId="77777777" w:rsidR="008C5CFA" w:rsidRPr="0024468B" w:rsidRDefault="008C5CFA" w:rsidP="00300A01">
            <w:pPr>
              <w:spacing w:before="0" w:after="0"/>
              <w:jc w:val="right"/>
              <w:rPr>
                <w:sz w:val="16"/>
                <w:szCs w:val="16"/>
                <w:lang w:val="fr-BE"/>
              </w:rPr>
            </w:pPr>
          </w:p>
        </w:tc>
        <w:tc>
          <w:tcPr>
            <w:tcW w:w="0" w:type="auto"/>
          </w:tcPr>
          <w:p w14:paraId="5424BB8B" w14:textId="77777777" w:rsidR="008C5CFA" w:rsidRPr="0024468B" w:rsidRDefault="00E82A60" w:rsidP="00300A01">
            <w:pPr>
              <w:spacing w:before="0" w:after="0"/>
              <w:jc w:val="right"/>
              <w:rPr>
                <w:sz w:val="16"/>
                <w:szCs w:val="16"/>
                <w:lang w:val="fr-BE"/>
              </w:rPr>
            </w:pPr>
            <w:r w:rsidRPr="0024468B">
              <w:rPr>
                <w:noProof/>
                <w:sz w:val="16"/>
                <w:szCs w:val="16"/>
                <w:lang w:val="fr-BE"/>
              </w:rPr>
              <w:t>57,90</w:t>
            </w:r>
          </w:p>
        </w:tc>
        <w:tc>
          <w:tcPr>
            <w:tcW w:w="0" w:type="auto"/>
          </w:tcPr>
          <w:p w14:paraId="203BABF3" w14:textId="77777777" w:rsidR="008C5CFA" w:rsidRPr="0024468B" w:rsidRDefault="008C5CFA" w:rsidP="00300A01">
            <w:pPr>
              <w:spacing w:before="0" w:after="0"/>
              <w:jc w:val="right"/>
              <w:rPr>
                <w:sz w:val="16"/>
                <w:szCs w:val="16"/>
                <w:lang w:val="fr-BE"/>
              </w:rPr>
            </w:pPr>
          </w:p>
        </w:tc>
      </w:tr>
    </w:tbl>
    <w:p w14:paraId="38983C14"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8695"/>
        <w:gridCol w:w="2539"/>
        <w:gridCol w:w="3055"/>
      </w:tblGrid>
      <w:tr w:rsidR="006B2EC1" w14:paraId="02525778" w14:textId="77777777" w:rsidTr="0047688D">
        <w:tc>
          <w:tcPr>
            <w:tcW w:w="0" w:type="auto"/>
            <w:shd w:val="clear" w:color="auto" w:fill="auto"/>
          </w:tcPr>
          <w:p w14:paraId="434595D2" w14:textId="77777777" w:rsidR="008C5CFA" w:rsidRPr="0024468B" w:rsidRDefault="00E82A60" w:rsidP="00300A01">
            <w:pPr>
              <w:spacing w:before="0" w:after="0"/>
              <w:rPr>
                <w:sz w:val="16"/>
                <w:szCs w:val="16"/>
                <w:lang w:val="fr-BE"/>
              </w:rPr>
            </w:pPr>
            <w:r w:rsidRPr="0024468B">
              <w:rPr>
                <w:noProof/>
                <w:sz w:val="16"/>
                <w:szCs w:val="16"/>
                <w:lang w:val="fr-BE"/>
              </w:rPr>
              <w:t>ID</w:t>
            </w:r>
          </w:p>
        </w:tc>
        <w:tc>
          <w:tcPr>
            <w:tcW w:w="0" w:type="auto"/>
            <w:shd w:val="clear" w:color="auto" w:fill="auto"/>
          </w:tcPr>
          <w:p w14:paraId="5F9168DC" w14:textId="77777777" w:rsidR="008C5CFA" w:rsidRPr="0024468B" w:rsidRDefault="00E82A60" w:rsidP="00300A01">
            <w:pPr>
              <w:spacing w:before="0" w:after="0"/>
              <w:rPr>
                <w:sz w:val="16"/>
                <w:szCs w:val="16"/>
                <w:lang w:val="fr-BE"/>
              </w:rPr>
            </w:pPr>
            <w:r w:rsidRPr="0024468B">
              <w:rPr>
                <w:noProof/>
                <w:sz w:val="16"/>
                <w:szCs w:val="16"/>
                <w:lang w:val="fr-BE"/>
              </w:rPr>
              <w:t>Wskaźnik</w:t>
            </w:r>
          </w:p>
        </w:tc>
        <w:tc>
          <w:tcPr>
            <w:tcW w:w="0" w:type="auto"/>
            <w:shd w:val="clear" w:color="auto" w:fill="auto"/>
          </w:tcPr>
          <w:p w14:paraId="6870BC60" w14:textId="77777777" w:rsidR="008C5CFA" w:rsidRPr="0024468B" w:rsidRDefault="00E82A60" w:rsidP="00300A01">
            <w:pPr>
              <w:spacing w:before="0" w:after="0"/>
              <w:jc w:val="center"/>
              <w:rPr>
                <w:sz w:val="16"/>
                <w:szCs w:val="16"/>
                <w:lang w:val="fr-BE"/>
              </w:rPr>
            </w:pPr>
            <w:r>
              <w:rPr>
                <w:sz w:val="16"/>
                <w:szCs w:val="16"/>
                <w:lang w:val="fr-BE"/>
              </w:rPr>
              <w:t xml:space="preserve">2014 </w:t>
            </w:r>
            <w:r>
              <w:rPr>
                <w:noProof/>
                <w:sz w:val="16"/>
                <w:szCs w:val="16"/>
                <w:lang w:val="fr-BE"/>
              </w:rPr>
              <w:t>Ogółem</w:t>
            </w:r>
          </w:p>
        </w:tc>
        <w:tc>
          <w:tcPr>
            <w:tcW w:w="0" w:type="auto"/>
            <w:shd w:val="clear" w:color="auto" w:fill="auto"/>
          </w:tcPr>
          <w:p w14:paraId="47F7A3C3" w14:textId="77777777" w:rsidR="008C5CFA" w:rsidRPr="0024468B" w:rsidRDefault="00E82A60" w:rsidP="00300A01">
            <w:pPr>
              <w:spacing w:before="0" w:after="0"/>
              <w:jc w:val="center"/>
              <w:rPr>
                <w:sz w:val="16"/>
                <w:szCs w:val="16"/>
                <w:lang w:val="fr-BE"/>
              </w:rPr>
            </w:pPr>
            <w:r>
              <w:rPr>
                <w:sz w:val="16"/>
                <w:szCs w:val="16"/>
                <w:lang w:val="fr-BE"/>
              </w:rPr>
              <w:t xml:space="preserve">2014 </w:t>
            </w:r>
            <w:r w:rsidRPr="0024468B">
              <w:rPr>
                <w:noProof/>
                <w:sz w:val="16"/>
                <w:szCs w:val="16"/>
                <w:lang w:val="fr-BE"/>
              </w:rPr>
              <w:t>Jakościowe</w:t>
            </w:r>
          </w:p>
        </w:tc>
      </w:tr>
      <w:tr w:rsidR="006B2EC1" w14:paraId="7BDB0675" w14:textId="77777777" w:rsidTr="0047688D">
        <w:tc>
          <w:tcPr>
            <w:tcW w:w="0" w:type="auto"/>
            <w:shd w:val="clear" w:color="auto" w:fill="auto"/>
          </w:tcPr>
          <w:p w14:paraId="2BF25217" w14:textId="77777777" w:rsidR="008C5CFA" w:rsidRPr="0024468B" w:rsidRDefault="00E82A60" w:rsidP="00300A01">
            <w:pPr>
              <w:spacing w:before="0" w:after="0"/>
              <w:rPr>
                <w:sz w:val="16"/>
                <w:szCs w:val="16"/>
                <w:lang w:val="fr-BE"/>
              </w:rPr>
            </w:pPr>
            <w:r w:rsidRPr="0024468B">
              <w:rPr>
                <w:noProof/>
                <w:sz w:val="16"/>
                <w:szCs w:val="16"/>
                <w:lang w:val="fr-BE"/>
              </w:rPr>
              <w:t>51</w:t>
            </w:r>
          </w:p>
        </w:tc>
        <w:tc>
          <w:tcPr>
            <w:tcW w:w="0" w:type="auto"/>
            <w:shd w:val="clear" w:color="auto" w:fill="auto"/>
          </w:tcPr>
          <w:p w14:paraId="0A43F861" w14:textId="77777777" w:rsidR="008C5CFA" w:rsidRPr="0024468B" w:rsidRDefault="00E82A60" w:rsidP="00300A01">
            <w:pPr>
              <w:spacing w:before="0" w:after="0"/>
              <w:rPr>
                <w:sz w:val="16"/>
                <w:szCs w:val="16"/>
                <w:lang w:val="fr-BE"/>
              </w:rPr>
            </w:pPr>
            <w:r w:rsidRPr="0024468B">
              <w:rPr>
                <w:noProof/>
                <w:sz w:val="16"/>
                <w:szCs w:val="16"/>
                <w:lang w:val="fr-BE"/>
              </w:rPr>
              <w:t>Odsetek ludności korzystającej z oczyszczalni ścieków</w:t>
            </w:r>
          </w:p>
        </w:tc>
        <w:tc>
          <w:tcPr>
            <w:tcW w:w="0" w:type="auto"/>
            <w:shd w:val="clear" w:color="auto" w:fill="auto"/>
          </w:tcPr>
          <w:p w14:paraId="6C9C584F" w14:textId="77777777" w:rsidR="008C5CFA" w:rsidRPr="0024468B" w:rsidRDefault="00E82A60" w:rsidP="00300A01">
            <w:pPr>
              <w:spacing w:before="0" w:after="0"/>
              <w:jc w:val="right"/>
              <w:rPr>
                <w:sz w:val="16"/>
                <w:szCs w:val="16"/>
                <w:lang w:val="fr-BE"/>
              </w:rPr>
            </w:pPr>
            <w:r w:rsidRPr="0024468B">
              <w:rPr>
                <w:noProof/>
                <w:sz w:val="16"/>
                <w:szCs w:val="16"/>
                <w:lang w:val="fr-BE"/>
              </w:rPr>
              <w:t>58,50</w:t>
            </w:r>
          </w:p>
        </w:tc>
        <w:tc>
          <w:tcPr>
            <w:tcW w:w="0" w:type="auto"/>
            <w:shd w:val="clear" w:color="auto" w:fill="auto"/>
          </w:tcPr>
          <w:p w14:paraId="44F4BBF2" w14:textId="77777777" w:rsidR="008C5CFA" w:rsidRPr="0024468B" w:rsidRDefault="008C5CFA" w:rsidP="00300A01">
            <w:pPr>
              <w:spacing w:before="0" w:after="0"/>
              <w:jc w:val="right"/>
              <w:rPr>
                <w:sz w:val="16"/>
                <w:szCs w:val="16"/>
                <w:lang w:val="fr-BE"/>
              </w:rPr>
            </w:pPr>
          </w:p>
        </w:tc>
      </w:tr>
      <w:tr w:rsidR="006B2EC1" w14:paraId="55BD2BF2" w14:textId="77777777" w:rsidTr="0047688D">
        <w:tc>
          <w:tcPr>
            <w:tcW w:w="0" w:type="auto"/>
            <w:shd w:val="clear" w:color="auto" w:fill="auto"/>
          </w:tcPr>
          <w:p w14:paraId="1C93A4A7" w14:textId="77777777" w:rsidR="008C5CFA" w:rsidRPr="0024468B" w:rsidRDefault="00E82A60" w:rsidP="00300A01">
            <w:pPr>
              <w:spacing w:before="0" w:after="0"/>
              <w:rPr>
                <w:sz w:val="16"/>
                <w:szCs w:val="16"/>
                <w:lang w:val="fr-BE"/>
              </w:rPr>
            </w:pPr>
            <w:r w:rsidRPr="0024468B">
              <w:rPr>
                <w:noProof/>
                <w:sz w:val="16"/>
                <w:szCs w:val="16"/>
                <w:lang w:val="fr-BE"/>
              </w:rPr>
              <w:t>52</w:t>
            </w:r>
          </w:p>
        </w:tc>
        <w:tc>
          <w:tcPr>
            <w:tcW w:w="0" w:type="auto"/>
            <w:shd w:val="clear" w:color="auto" w:fill="auto"/>
          </w:tcPr>
          <w:p w14:paraId="67204EBE" w14:textId="77777777" w:rsidR="008C5CFA" w:rsidRPr="0024468B" w:rsidRDefault="00E82A60" w:rsidP="00300A01">
            <w:pPr>
              <w:spacing w:before="0" w:after="0"/>
              <w:rPr>
                <w:sz w:val="16"/>
                <w:szCs w:val="16"/>
                <w:lang w:val="fr-BE"/>
              </w:rPr>
            </w:pPr>
            <w:r w:rsidRPr="0024468B">
              <w:rPr>
                <w:noProof/>
                <w:sz w:val="16"/>
                <w:szCs w:val="16"/>
                <w:lang w:val="fr-BE"/>
              </w:rPr>
              <w:t>Odsetek ludności korzystającej z sieci kanalizacyjnej</w:t>
            </w:r>
          </w:p>
        </w:tc>
        <w:tc>
          <w:tcPr>
            <w:tcW w:w="0" w:type="auto"/>
            <w:shd w:val="clear" w:color="auto" w:fill="auto"/>
          </w:tcPr>
          <w:p w14:paraId="5D79B214" w14:textId="77777777" w:rsidR="008C5CFA" w:rsidRPr="0024468B" w:rsidRDefault="00E82A60" w:rsidP="00300A01">
            <w:pPr>
              <w:spacing w:before="0" w:after="0"/>
              <w:jc w:val="right"/>
              <w:rPr>
                <w:sz w:val="16"/>
                <w:szCs w:val="16"/>
                <w:lang w:val="fr-BE"/>
              </w:rPr>
            </w:pPr>
            <w:r w:rsidRPr="0024468B">
              <w:rPr>
                <w:noProof/>
                <w:sz w:val="16"/>
                <w:szCs w:val="16"/>
                <w:lang w:val="fr-BE"/>
              </w:rPr>
              <w:t>56,10</w:t>
            </w:r>
          </w:p>
        </w:tc>
        <w:tc>
          <w:tcPr>
            <w:tcW w:w="0" w:type="auto"/>
            <w:shd w:val="clear" w:color="auto" w:fill="auto"/>
          </w:tcPr>
          <w:p w14:paraId="20B1880D" w14:textId="77777777" w:rsidR="008C5CFA" w:rsidRPr="0024468B" w:rsidRDefault="008C5CFA" w:rsidP="00300A01">
            <w:pPr>
              <w:spacing w:before="0" w:after="0"/>
              <w:jc w:val="right"/>
              <w:rPr>
                <w:sz w:val="16"/>
                <w:szCs w:val="16"/>
                <w:lang w:val="fr-BE"/>
              </w:rPr>
            </w:pPr>
          </w:p>
        </w:tc>
      </w:tr>
    </w:tbl>
    <w:p w14:paraId="554BB8DB" w14:textId="77777777" w:rsidR="008C5CFA" w:rsidRDefault="008C5CFA" w:rsidP="00300A01">
      <w:pPr>
        <w:spacing w:before="0" w:after="0"/>
        <w:rPr>
          <w:lang w:val="fr-BE"/>
        </w:rPr>
      </w:pPr>
    </w:p>
    <w:p w14:paraId="54FF9082" w14:textId="77777777" w:rsidR="008C5CFA" w:rsidRDefault="00E82A60" w:rsidP="00300A01">
      <w:pPr>
        <w:spacing w:before="0" w:after="0"/>
        <w:rPr>
          <w:lang w:val="fr-BE"/>
        </w:rPr>
      </w:pPr>
      <w:r>
        <w:rPr>
          <w:lang w:val="fr-BE"/>
        </w:rPr>
        <w:br w:type="page"/>
      </w:r>
    </w:p>
    <w:p w14:paraId="6B57BB18" w14:textId="77777777" w:rsidR="008C5CFA" w:rsidRPr="00B27C43" w:rsidRDefault="008C5CFA" w:rsidP="00300A01">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9"/>
        <w:gridCol w:w="11865"/>
      </w:tblGrid>
      <w:tr w:rsidR="006B2EC1" w14:paraId="0A7FD88D" w14:textId="77777777" w:rsidTr="0047688D">
        <w:tc>
          <w:tcPr>
            <w:tcW w:w="0" w:type="auto"/>
            <w:shd w:val="clear" w:color="auto" w:fill="auto"/>
          </w:tcPr>
          <w:p w14:paraId="1FB168D4" w14:textId="77777777" w:rsidR="008C5CFA" w:rsidRPr="002124FC" w:rsidRDefault="00E82A60" w:rsidP="00300A01">
            <w:pPr>
              <w:spacing w:before="0" w:after="0"/>
              <w:rPr>
                <w:sz w:val="20"/>
                <w:szCs w:val="20"/>
                <w:lang w:val="fr-BE"/>
              </w:rPr>
            </w:pPr>
            <w:r>
              <w:rPr>
                <w:lang w:val="fr-BE"/>
              </w:rPr>
              <w:br w:type="page"/>
            </w:r>
            <w:r>
              <w:rPr>
                <w:lang w:val="fr-BE"/>
              </w:rPr>
              <w:br w:type="page"/>
            </w:r>
            <w:r w:rsidRPr="002124FC">
              <w:rPr>
                <w:noProof/>
                <w:sz w:val="20"/>
                <w:szCs w:val="20"/>
                <w:lang w:val="fr-BE"/>
              </w:rPr>
              <w:t>Oś priorytetowa</w:t>
            </w:r>
          </w:p>
        </w:tc>
        <w:tc>
          <w:tcPr>
            <w:tcW w:w="0" w:type="auto"/>
            <w:shd w:val="clear" w:color="auto" w:fill="auto"/>
          </w:tcPr>
          <w:p w14:paraId="740F5013" w14:textId="77777777" w:rsidR="008C5CFA" w:rsidRPr="002124FC" w:rsidRDefault="00E82A60" w:rsidP="00300A01">
            <w:pPr>
              <w:spacing w:before="0" w:after="0"/>
              <w:rPr>
                <w:sz w:val="20"/>
                <w:szCs w:val="20"/>
                <w:lang w:val="fr-BE"/>
              </w:rPr>
            </w:pPr>
            <w:r w:rsidRPr="002124FC">
              <w:rPr>
                <w:noProof/>
                <w:sz w:val="20"/>
                <w:szCs w:val="20"/>
                <w:lang w:val="fr-BE"/>
              </w:rPr>
              <w:t>4</w:t>
            </w:r>
            <w:r w:rsidRPr="002124FC">
              <w:rPr>
                <w:sz w:val="20"/>
                <w:szCs w:val="20"/>
                <w:lang w:val="fr-BE"/>
              </w:rPr>
              <w:t xml:space="preserve"> - </w:t>
            </w:r>
            <w:r w:rsidRPr="002124FC">
              <w:rPr>
                <w:noProof/>
                <w:sz w:val="20"/>
                <w:szCs w:val="20"/>
                <w:lang w:val="fr-BE"/>
              </w:rPr>
              <w:t>Dziedzictwo naturalne i kulturowe</w:t>
            </w:r>
          </w:p>
        </w:tc>
      </w:tr>
      <w:tr w:rsidR="006B2EC1" w14:paraId="61B67818" w14:textId="77777777" w:rsidTr="0047688D">
        <w:tc>
          <w:tcPr>
            <w:tcW w:w="0" w:type="auto"/>
            <w:shd w:val="clear" w:color="auto" w:fill="auto"/>
          </w:tcPr>
          <w:p w14:paraId="65A33F36" w14:textId="77777777" w:rsidR="008C5CFA" w:rsidRPr="002124FC" w:rsidRDefault="00E82A60"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14:paraId="42BCD7FA" w14:textId="77777777" w:rsidR="008C5CFA" w:rsidRPr="002124FC" w:rsidRDefault="00E82A60" w:rsidP="00300A01">
            <w:pPr>
              <w:spacing w:before="0" w:after="0"/>
              <w:rPr>
                <w:sz w:val="20"/>
                <w:szCs w:val="20"/>
                <w:lang w:val="fr-BE"/>
              </w:rPr>
            </w:pPr>
            <w:r w:rsidRPr="002124FC">
              <w:rPr>
                <w:noProof/>
                <w:sz w:val="20"/>
                <w:szCs w:val="20"/>
                <w:lang w:val="fr-BE"/>
              </w:rPr>
              <w:t>6c</w:t>
            </w:r>
            <w:r w:rsidRPr="002124FC">
              <w:rPr>
                <w:sz w:val="20"/>
                <w:szCs w:val="20"/>
                <w:lang w:val="fr-BE"/>
              </w:rPr>
              <w:t xml:space="preserve"> - </w:t>
            </w:r>
            <w:r w:rsidRPr="002124FC">
              <w:rPr>
                <w:noProof/>
                <w:sz w:val="20"/>
                <w:szCs w:val="20"/>
                <w:lang w:val="fr-BE"/>
              </w:rPr>
              <w:t>Zachowanie, ochrona, promowanie i rozwój dziedzictwa naturalnego i kulturowego</w:t>
            </w:r>
          </w:p>
        </w:tc>
      </w:tr>
    </w:tbl>
    <w:p w14:paraId="302A2E99" w14:textId="77777777" w:rsidR="008C5CFA" w:rsidRDefault="008C5CFA" w:rsidP="00300A01">
      <w:pPr>
        <w:spacing w:before="0" w:after="0"/>
        <w:rPr>
          <w:lang w:val="fr-BE"/>
        </w:rPr>
      </w:pPr>
    </w:p>
    <w:p w14:paraId="5D4A836A" w14:textId="77777777" w:rsidR="008C5CFA" w:rsidRDefault="00E82A60" w:rsidP="00300A01">
      <w:pPr>
        <w:pStyle w:val="Nagwek2"/>
        <w:spacing w:before="0" w:after="0"/>
        <w:rPr>
          <w:lang w:val="fr-BE"/>
        </w:rPr>
      </w:pPr>
      <w:bookmarkStart w:id="33" w:name="_Toc46391717"/>
      <w:r>
        <w:rPr>
          <w:noProof/>
          <w:lang w:val="fr-BE"/>
        </w:rPr>
        <w:t>Tabela 3A</w:t>
      </w:r>
      <w:r>
        <w:rPr>
          <w:lang w:val="fr-BE"/>
        </w:rPr>
        <w:t xml:space="preserve">: </w:t>
      </w:r>
      <w:r>
        <w:rPr>
          <w:noProof/>
          <w:lang w:val="fr-BE"/>
        </w:rPr>
        <w:t>Wspólne i specyficzne dla danego programu wskaźniki produktu dla EFRR i Funduszu Spójności (wg osi priorytetowej, priorytetu inwestycyjnego, w podziale na kategorię regionu dla celów EFRR)</w:t>
      </w:r>
      <w:r w:rsidR="009C5874">
        <w:rPr>
          <w:lang w:val="fr-BE"/>
        </w:rPr>
        <w:t xml:space="preserve"> - </w:t>
      </w:r>
      <w:r w:rsidR="00F022AC" w:rsidRPr="002124FC">
        <w:rPr>
          <w:noProof/>
          <w:sz w:val="20"/>
          <w:szCs w:val="20"/>
          <w:lang w:val="fr-BE"/>
        </w:rPr>
        <w:t>4</w:t>
      </w:r>
      <w:r w:rsidR="00F022AC">
        <w:rPr>
          <w:sz w:val="20"/>
          <w:szCs w:val="20"/>
          <w:lang w:val="fr-BE"/>
        </w:rPr>
        <w:t xml:space="preserve"> / </w:t>
      </w:r>
      <w:r w:rsidR="00F022AC" w:rsidRPr="002124FC">
        <w:rPr>
          <w:noProof/>
          <w:sz w:val="20"/>
          <w:szCs w:val="20"/>
          <w:lang w:val="fr-BE"/>
        </w:rPr>
        <w:t>6c</w:t>
      </w:r>
      <w:bookmarkEnd w:id="33"/>
    </w:p>
    <w:p w14:paraId="0EA05F90"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02"/>
        <w:gridCol w:w="355"/>
        <w:gridCol w:w="2273"/>
        <w:gridCol w:w="1088"/>
        <w:gridCol w:w="871"/>
        <w:gridCol w:w="959"/>
        <w:gridCol w:w="1040"/>
        <w:gridCol w:w="954"/>
        <w:gridCol w:w="856"/>
        <w:gridCol w:w="880"/>
        <w:gridCol w:w="703"/>
        <w:gridCol w:w="4903"/>
      </w:tblGrid>
      <w:tr w:rsidR="006B2EC1" w14:paraId="5511B33C" w14:textId="77777777" w:rsidTr="0047688D">
        <w:trPr>
          <w:tblHeader/>
        </w:trPr>
        <w:tc>
          <w:tcPr>
            <w:tcW w:w="0" w:type="auto"/>
          </w:tcPr>
          <w:p w14:paraId="397ED9ED" w14:textId="77777777" w:rsidR="008C5CFA" w:rsidRPr="009143B4" w:rsidRDefault="00E82A60" w:rsidP="00300A01">
            <w:pPr>
              <w:spacing w:before="0" w:after="0"/>
              <w:rPr>
                <w:b/>
                <w:sz w:val="16"/>
                <w:szCs w:val="16"/>
                <w:lang w:val="fr-BE"/>
              </w:rPr>
            </w:pPr>
            <w:r w:rsidRPr="009143B4">
              <w:rPr>
                <w:b/>
                <w:sz w:val="16"/>
                <w:szCs w:val="16"/>
                <w:lang w:val="fr-BE"/>
              </w:rPr>
              <w:t>(1)</w:t>
            </w:r>
          </w:p>
        </w:tc>
        <w:tc>
          <w:tcPr>
            <w:tcW w:w="0" w:type="auto"/>
            <w:shd w:val="clear" w:color="auto" w:fill="auto"/>
          </w:tcPr>
          <w:p w14:paraId="527B1EEE" w14:textId="77777777" w:rsidR="008C5CFA" w:rsidRPr="009143B4" w:rsidRDefault="00E82A60" w:rsidP="00300A01">
            <w:pPr>
              <w:spacing w:before="0" w:after="0"/>
              <w:rPr>
                <w:b/>
                <w:sz w:val="16"/>
                <w:szCs w:val="16"/>
                <w:lang w:val="fr-BE"/>
              </w:rPr>
            </w:pPr>
            <w:r w:rsidRPr="009143B4">
              <w:rPr>
                <w:b/>
                <w:noProof/>
                <w:sz w:val="16"/>
                <w:szCs w:val="16"/>
                <w:lang w:val="fr-BE"/>
              </w:rPr>
              <w:t>ID</w:t>
            </w:r>
          </w:p>
        </w:tc>
        <w:tc>
          <w:tcPr>
            <w:tcW w:w="0" w:type="auto"/>
            <w:shd w:val="clear" w:color="auto" w:fill="auto"/>
          </w:tcPr>
          <w:p w14:paraId="585E7563" w14:textId="77777777" w:rsidR="008C5CFA" w:rsidRPr="009143B4" w:rsidRDefault="00E82A60" w:rsidP="00300A01">
            <w:pPr>
              <w:spacing w:before="0" w:after="0"/>
              <w:rPr>
                <w:b/>
                <w:sz w:val="16"/>
                <w:szCs w:val="16"/>
                <w:lang w:val="fr-BE"/>
              </w:rPr>
            </w:pPr>
            <w:r w:rsidRPr="009143B4">
              <w:rPr>
                <w:b/>
                <w:noProof/>
                <w:sz w:val="16"/>
                <w:szCs w:val="16"/>
                <w:lang w:val="fr-BE"/>
              </w:rPr>
              <w:t>Wskaźnik</w:t>
            </w:r>
          </w:p>
        </w:tc>
        <w:tc>
          <w:tcPr>
            <w:tcW w:w="0" w:type="auto"/>
            <w:shd w:val="clear" w:color="auto" w:fill="auto"/>
          </w:tcPr>
          <w:p w14:paraId="3ACA4A81" w14:textId="77777777" w:rsidR="008C5CFA" w:rsidRPr="009143B4" w:rsidRDefault="00E82A60" w:rsidP="00300A01">
            <w:pPr>
              <w:spacing w:before="0" w:after="0"/>
              <w:rPr>
                <w:b/>
                <w:sz w:val="16"/>
                <w:szCs w:val="16"/>
                <w:lang w:val="fr-BE"/>
              </w:rPr>
            </w:pPr>
            <w:r w:rsidRPr="009143B4">
              <w:rPr>
                <w:b/>
                <w:noProof/>
                <w:sz w:val="16"/>
                <w:szCs w:val="16"/>
                <w:lang w:val="fr-BE"/>
              </w:rPr>
              <w:t>Jednostka miary</w:t>
            </w:r>
          </w:p>
        </w:tc>
        <w:tc>
          <w:tcPr>
            <w:tcW w:w="0" w:type="auto"/>
            <w:shd w:val="clear" w:color="auto" w:fill="auto"/>
          </w:tcPr>
          <w:p w14:paraId="7D991425" w14:textId="77777777" w:rsidR="008C5CFA" w:rsidRPr="009143B4" w:rsidRDefault="00E82A60" w:rsidP="00300A01">
            <w:pPr>
              <w:spacing w:before="0" w:after="0"/>
              <w:rPr>
                <w:b/>
                <w:sz w:val="16"/>
                <w:szCs w:val="16"/>
                <w:lang w:val="fr-BE"/>
              </w:rPr>
            </w:pPr>
            <w:r w:rsidRPr="009143B4">
              <w:rPr>
                <w:b/>
                <w:noProof/>
                <w:sz w:val="16"/>
                <w:szCs w:val="16"/>
                <w:lang w:val="fr-BE"/>
              </w:rPr>
              <w:t>Kategoria regionu</w:t>
            </w:r>
          </w:p>
        </w:tc>
        <w:tc>
          <w:tcPr>
            <w:tcW w:w="0" w:type="auto"/>
            <w:shd w:val="clear" w:color="auto" w:fill="auto"/>
          </w:tcPr>
          <w:p w14:paraId="74A6D51C" w14:textId="77777777" w:rsidR="008C5CFA" w:rsidRPr="009143B4" w:rsidRDefault="00E82A60" w:rsidP="00300A01">
            <w:pPr>
              <w:spacing w:before="0" w:after="0"/>
              <w:jc w:val="center"/>
              <w:rPr>
                <w:b/>
                <w:sz w:val="16"/>
                <w:szCs w:val="16"/>
                <w:lang w:val="fr-BE"/>
              </w:rPr>
            </w:pPr>
            <w:r w:rsidRPr="009143B4">
              <w:rPr>
                <w:b/>
                <w:noProof/>
                <w:sz w:val="16"/>
                <w:szCs w:val="16"/>
                <w:lang w:val="fr-BE"/>
              </w:rPr>
              <w:t>Wartość docelowa (2023) ogółem</w:t>
            </w:r>
          </w:p>
        </w:tc>
        <w:tc>
          <w:tcPr>
            <w:tcW w:w="0" w:type="auto"/>
            <w:shd w:val="clear" w:color="auto" w:fill="auto"/>
          </w:tcPr>
          <w:p w14:paraId="3F4A952C" w14:textId="77777777" w:rsidR="008C5CFA" w:rsidRPr="009143B4" w:rsidRDefault="00E82A60" w:rsidP="00300A01">
            <w:pPr>
              <w:spacing w:before="0" w:after="0"/>
              <w:jc w:val="center"/>
              <w:rPr>
                <w:b/>
                <w:sz w:val="16"/>
                <w:szCs w:val="16"/>
                <w:lang w:val="fr-BE"/>
              </w:rPr>
            </w:pPr>
            <w:r w:rsidRPr="009143B4">
              <w:rPr>
                <w:b/>
                <w:noProof/>
                <w:sz w:val="16"/>
                <w:szCs w:val="16"/>
                <w:lang w:val="fr-BE"/>
              </w:rPr>
              <w:t>Wartość docelowa (2023) mężczyźni</w:t>
            </w:r>
          </w:p>
        </w:tc>
        <w:tc>
          <w:tcPr>
            <w:tcW w:w="0" w:type="auto"/>
          </w:tcPr>
          <w:p w14:paraId="2B499885" w14:textId="77777777" w:rsidR="008C5CFA" w:rsidRPr="009143B4" w:rsidRDefault="00E82A60" w:rsidP="00300A01">
            <w:pPr>
              <w:spacing w:before="0" w:after="0"/>
              <w:jc w:val="center"/>
              <w:rPr>
                <w:b/>
                <w:sz w:val="16"/>
                <w:szCs w:val="16"/>
                <w:lang w:val="fr-BE"/>
              </w:rPr>
            </w:pPr>
            <w:r w:rsidRPr="009143B4">
              <w:rPr>
                <w:b/>
                <w:noProof/>
                <w:sz w:val="16"/>
                <w:szCs w:val="16"/>
                <w:lang w:val="fr-BE"/>
              </w:rPr>
              <w:t>Wartość docelowa (2023) kobiety</w:t>
            </w:r>
          </w:p>
        </w:tc>
        <w:tc>
          <w:tcPr>
            <w:tcW w:w="0" w:type="auto"/>
            <w:shd w:val="clear" w:color="auto" w:fill="auto"/>
          </w:tcPr>
          <w:p w14:paraId="416CF07F" w14:textId="77777777" w:rsidR="008C5CFA" w:rsidRPr="009143B4" w:rsidRDefault="00E82A60" w:rsidP="00300A01">
            <w:pPr>
              <w:spacing w:before="0" w:after="0"/>
              <w:jc w:val="center"/>
              <w:rPr>
                <w:b/>
                <w:sz w:val="16"/>
                <w:szCs w:val="16"/>
                <w:lang w:val="fr-BE"/>
              </w:rPr>
            </w:pPr>
            <w:r>
              <w:rPr>
                <w:b/>
                <w:sz w:val="16"/>
                <w:szCs w:val="16"/>
                <w:lang w:val="fr-BE"/>
              </w:rPr>
              <w:t xml:space="preserve">2019 </w:t>
            </w:r>
            <w:r w:rsidRPr="009143B4">
              <w:rPr>
                <w:b/>
                <w:noProof/>
                <w:sz w:val="16"/>
                <w:szCs w:val="16"/>
                <w:lang w:val="fr-BE"/>
              </w:rPr>
              <w:t>Ogółem</w:t>
            </w:r>
          </w:p>
        </w:tc>
        <w:tc>
          <w:tcPr>
            <w:tcW w:w="0" w:type="auto"/>
            <w:shd w:val="clear" w:color="auto" w:fill="auto"/>
          </w:tcPr>
          <w:p w14:paraId="0B530B3C" w14:textId="77777777" w:rsidR="008C5CFA" w:rsidRPr="009143B4" w:rsidRDefault="00E82A60" w:rsidP="00300A01">
            <w:pPr>
              <w:spacing w:before="0" w:after="0"/>
              <w:jc w:val="center"/>
              <w:rPr>
                <w:b/>
                <w:sz w:val="16"/>
                <w:szCs w:val="16"/>
                <w:lang w:val="fr-BE"/>
              </w:rPr>
            </w:pPr>
            <w:r>
              <w:rPr>
                <w:b/>
                <w:sz w:val="16"/>
                <w:szCs w:val="16"/>
                <w:lang w:val="fr-BE"/>
              </w:rPr>
              <w:t xml:space="preserve">2019 </w:t>
            </w:r>
            <w:r w:rsidRPr="009143B4">
              <w:rPr>
                <w:b/>
                <w:noProof/>
                <w:sz w:val="16"/>
                <w:szCs w:val="16"/>
                <w:lang w:val="fr-BE"/>
              </w:rPr>
              <w:t>Mężczyźni</w:t>
            </w:r>
          </w:p>
        </w:tc>
        <w:tc>
          <w:tcPr>
            <w:tcW w:w="0" w:type="auto"/>
            <w:shd w:val="clear" w:color="auto" w:fill="auto"/>
          </w:tcPr>
          <w:p w14:paraId="0BE2C123" w14:textId="77777777" w:rsidR="008C5CFA" w:rsidRPr="009143B4" w:rsidRDefault="00E82A60" w:rsidP="00300A01">
            <w:pPr>
              <w:spacing w:before="0" w:after="0"/>
              <w:jc w:val="center"/>
              <w:rPr>
                <w:b/>
                <w:sz w:val="16"/>
                <w:szCs w:val="16"/>
                <w:lang w:val="fr-BE"/>
              </w:rPr>
            </w:pPr>
            <w:r>
              <w:rPr>
                <w:b/>
                <w:sz w:val="16"/>
                <w:szCs w:val="16"/>
                <w:lang w:val="fr-BE"/>
              </w:rPr>
              <w:t xml:space="preserve">2019 </w:t>
            </w:r>
            <w:r w:rsidRPr="009143B4">
              <w:rPr>
                <w:b/>
                <w:noProof/>
                <w:sz w:val="16"/>
                <w:szCs w:val="16"/>
                <w:lang w:val="fr-BE"/>
              </w:rPr>
              <w:t>Kobiety</w:t>
            </w:r>
          </w:p>
        </w:tc>
        <w:tc>
          <w:tcPr>
            <w:tcW w:w="0" w:type="auto"/>
            <w:shd w:val="clear" w:color="auto" w:fill="auto"/>
          </w:tcPr>
          <w:p w14:paraId="15180202" w14:textId="77777777" w:rsidR="008C5CFA" w:rsidRPr="009143B4" w:rsidRDefault="00E82A60" w:rsidP="00300A01">
            <w:pPr>
              <w:spacing w:before="0" w:after="0"/>
              <w:jc w:val="center"/>
              <w:rPr>
                <w:b/>
                <w:sz w:val="16"/>
                <w:szCs w:val="16"/>
                <w:lang w:val="fr-BE"/>
              </w:rPr>
            </w:pPr>
            <w:r w:rsidRPr="009143B4">
              <w:rPr>
                <w:b/>
                <w:noProof/>
                <w:sz w:val="16"/>
                <w:szCs w:val="16"/>
                <w:lang w:val="fr-BE"/>
              </w:rPr>
              <w:t>Uwagi</w:t>
            </w:r>
          </w:p>
        </w:tc>
      </w:tr>
      <w:tr w:rsidR="006B2EC1" w14:paraId="42B2231B" w14:textId="77777777" w:rsidTr="0047688D">
        <w:tc>
          <w:tcPr>
            <w:tcW w:w="0" w:type="auto"/>
          </w:tcPr>
          <w:p w14:paraId="2315DA98" w14:textId="77777777" w:rsidR="008C5CFA" w:rsidRPr="0024468B" w:rsidRDefault="00E82A60" w:rsidP="00300A01">
            <w:pPr>
              <w:spacing w:before="0" w:after="0"/>
              <w:rPr>
                <w:sz w:val="16"/>
                <w:szCs w:val="16"/>
                <w:lang w:val="fr-BE"/>
              </w:rPr>
            </w:pPr>
            <w:r>
              <w:rPr>
                <w:noProof/>
                <w:sz w:val="16"/>
                <w:szCs w:val="16"/>
                <w:lang w:val="fr-BE"/>
              </w:rPr>
              <w:t>F</w:t>
            </w:r>
          </w:p>
        </w:tc>
        <w:tc>
          <w:tcPr>
            <w:tcW w:w="0" w:type="auto"/>
            <w:shd w:val="clear" w:color="auto" w:fill="auto"/>
          </w:tcPr>
          <w:p w14:paraId="186FABDF" w14:textId="77777777" w:rsidR="008C5CFA" w:rsidRPr="0024468B" w:rsidRDefault="00E82A60" w:rsidP="00300A01">
            <w:pPr>
              <w:spacing w:before="0" w:after="0"/>
              <w:rPr>
                <w:sz w:val="16"/>
                <w:szCs w:val="16"/>
                <w:lang w:val="fr-BE"/>
              </w:rPr>
            </w:pPr>
            <w:r>
              <w:rPr>
                <w:noProof/>
                <w:sz w:val="16"/>
                <w:szCs w:val="16"/>
                <w:lang w:val="fr-BE"/>
              </w:rPr>
              <w:t>036</w:t>
            </w:r>
          </w:p>
        </w:tc>
        <w:tc>
          <w:tcPr>
            <w:tcW w:w="0" w:type="auto"/>
            <w:shd w:val="clear" w:color="auto" w:fill="auto"/>
          </w:tcPr>
          <w:p w14:paraId="0F215BC3" w14:textId="77777777" w:rsidR="008C5CFA" w:rsidRPr="0024468B" w:rsidRDefault="00E82A60" w:rsidP="00300A01">
            <w:pPr>
              <w:spacing w:before="0" w:after="0"/>
              <w:rPr>
                <w:sz w:val="16"/>
                <w:szCs w:val="16"/>
                <w:lang w:val="fr-BE"/>
              </w:rPr>
            </w:pPr>
            <w:r>
              <w:rPr>
                <w:noProof/>
                <w:sz w:val="16"/>
                <w:szCs w:val="16"/>
                <w:lang w:val="fr-BE"/>
              </w:rPr>
              <w:t>Wzrost oczekiwanej liczby odwiedzin w objętych wsparciem miejscach należących do dziedzictwa kulturowego i naturalnego oraz stanowiących atrakcje turystyczne</w:t>
            </w:r>
          </w:p>
        </w:tc>
        <w:tc>
          <w:tcPr>
            <w:tcW w:w="0" w:type="auto"/>
            <w:shd w:val="clear" w:color="auto" w:fill="auto"/>
          </w:tcPr>
          <w:p w14:paraId="0DCA01D6" w14:textId="77777777" w:rsidR="008C5CFA" w:rsidRPr="0024468B" w:rsidRDefault="00E82A60" w:rsidP="00300A01">
            <w:pPr>
              <w:spacing w:before="0" w:after="0"/>
              <w:rPr>
                <w:sz w:val="16"/>
                <w:szCs w:val="16"/>
                <w:lang w:val="fr-BE"/>
              </w:rPr>
            </w:pPr>
            <w:r w:rsidRPr="0024468B">
              <w:rPr>
                <w:noProof/>
                <w:sz w:val="16"/>
                <w:szCs w:val="16"/>
                <w:lang w:val="fr-BE"/>
              </w:rPr>
              <w:t>odwiedziny/na rok</w:t>
            </w:r>
          </w:p>
        </w:tc>
        <w:tc>
          <w:tcPr>
            <w:tcW w:w="0" w:type="auto"/>
            <w:shd w:val="clear" w:color="auto" w:fill="auto"/>
          </w:tcPr>
          <w:p w14:paraId="19B538D9" w14:textId="77777777" w:rsidR="008C5CFA" w:rsidRPr="0024468B" w:rsidRDefault="00E82A60"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14:paraId="5852A8F5" w14:textId="77777777" w:rsidR="008C5CFA" w:rsidRPr="0024468B" w:rsidRDefault="00E82A60" w:rsidP="00300A01">
            <w:pPr>
              <w:spacing w:before="0" w:after="0"/>
              <w:jc w:val="right"/>
              <w:rPr>
                <w:sz w:val="16"/>
                <w:szCs w:val="16"/>
                <w:lang w:val="fr-BE"/>
              </w:rPr>
            </w:pPr>
            <w:r>
              <w:rPr>
                <w:noProof/>
                <w:sz w:val="16"/>
                <w:szCs w:val="16"/>
                <w:lang w:val="fr-BE"/>
              </w:rPr>
              <w:t>19 987,00</w:t>
            </w:r>
          </w:p>
        </w:tc>
        <w:tc>
          <w:tcPr>
            <w:tcW w:w="0" w:type="auto"/>
            <w:shd w:val="clear" w:color="auto" w:fill="auto"/>
          </w:tcPr>
          <w:p w14:paraId="7628ADD2" w14:textId="77777777" w:rsidR="008C5CFA" w:rsidRPr="0024468B" w:rsidRDefault="008C5CFA" w:rsidP="00300A01">
            <w:pPr>
              <w:spacing w:before="0" w:after="0"/>
              <w:jc w:val="right"/>
              <w:rPr>
                <w:sz w:val="16"/>
                <w:szCs w:val="16"/>
                <w:lang w:val="fr-BE"/>
              </w:rPr>
            </w:pPr>
          </w:p>
        </w:tc>
        <w:tc>
          <w:tcPr>
            <w:tcW w:w="0" w:type="auto"/>
          </w:tcPr>
          <w:p w14:paraId="11A143EF" w14:textId="77777777" w:rsidR="008C5CFA" w:rsidRPr="0024468B" w:rsidRDefault="008C5CFA" w:rsidP="00300A01">
            <w:pPr>
              <w:spacing w:before="0" w:after="0"/>
              <w:jc w:val="right"/>
              <w:rPr>
                <w:sz w:val="16"/>
                <w:szCs w:val="16"/>
                <w:lang w:val="fr-BE"/>
              </w:rPr>
            </w:pPr>
          </w:p>
        </w:tc>
        <w:tc>
          <w:tcPr>
            <w:tcW w:w="0" w:type="auto"/>
            <w:shd w:val="clear" w:color="auto" w:fill="auto"/>
          </w:tcPr>
          <w:p w14:paraId="72B7D800" w14:textId="77777777" w:rsidR="008C5CFA" w:rsidRPr="0024468B" w:rsidRDefault="00E82A60" w:rsidP="00300A01">
            <w:pPr>
              <w:spacing w:before="0" w:after="0"/>
              <w:jc w:val="right"/>
              <w:rPr>
                <w:sz w:val="16"/>
                <w:szCs w:val="16"/>
                <w:lang w:val="fr-BE"/>
              </w:rPr>
            </w:pPr>
            <w:r w:rsidRPr="0024468B">
              <w:rPr>
                <w:noProof/>
                <w:sz w:val="16"/>
                <w:szCs w:val="16"/>
                <w:lang w:val="fr-BE"/>
              </w:rPr>
              <w:t>39 547,00</w:t>
            </w:r>
          </w:p>
        </w:tc>
        <w:tc>
          <w:tcPr>
            <w:tcW w:w="0" w:type="auto"/>
            <w:shd w:val="clear" w:color="auto" w:fill="auto"/>
          </w:tcPr>
          <w:p w14:paraId="11E67057"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5070624A"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0277A2EE" w14:textId="77777777" w:rsidR="008C5CFA" w:rsidRPr="0024468B" w:rsidRDefault="008C5CFA" w:rsidP="00300A01">
            <w:pPr>
              <w:spacing w:before="0" w:after="0"/>
              <w:rPr>
                <w:sz w:val="16"/>
                <w:szCs w:val="16"/>
                <w:lang w:val="fr-BE"/>
              </w:rPr>
            </w:pPr>
          </w:p>
        </w:tc>
      </w:tr>
      <w:tr w:rsidR="006B2EC1" w14:paraId="2A307401" w14:textId="77777777" w:rsidTr="0047688D">
        <w:tc>
          <w:tcPr>
            <w:tcW w:w="0" w:type="auto"/>
          </w:tcPr>
          <w:p w14:paraId="46F9A7D0" w14:textId="77777777" w:rsidR="008C5CFA" w:rsidRPr="0024468B" w:rsidRDefault="00E82A60" w:rsidP="00300A01">
            <w:pPr>
              <w:spacing w:before="0" w:after="0"/>
              <w:rPr>
                <w:sz w:val="16"/>
                <w:szCs w:val="16"/>
                <w:lang w:val="fr-BE"/>
              </w:rPr>
            </w:pPr>
            <w:r>
              <w:rPr>
                <w:noProof/>
                <w:sz w:val="16"/>
                <w:szCs w:val="16"/>
                <w:lang w:val="fr-BE"/>
              </w:rPr>
              <w:t>S</w:t>
            </w:r>
          </w:p>
        </w:tc>
        <w:tc>
          <w:tcPr>
            <w:tcW w:w="0" w:type="auto"/>
            <w:shd w:val="clear" w:color="auto" w:fill="auto"/>
          </w:tcPr>
          <w:p w14:paraId="72A7C1B5" w14:textId="77777777" w:rsidR="008C5CFA" w:rsidRPr="0024468B" w:rsidRDefault="00E82A60" w:rsidP="00300A01">
            <w:pPr>
              <w:spacing w:before="0" w:after="0"/>
              <w:rPr>
                <w:sz w:val="16"/>
                <w:szCs w:val="16"/>
                <w:lang w:val="fr-BE"/>
              </w:rPr>
            </w:pPr>
            <w:r>
              <w:rPr>
                <w:noProof/>
                <w:sz w:val="16"/>
                <w:szCs w:val="16"/>
                <w:lang w:val="fr-BE"/>
              </w:rPr>
              <w:t>036</w:t>
            </w:r>
          </w:p>
        </w:tc>
        <w:tc>
          <w:tcPr>
            <w:tcW w:w="0" w:type="auto"/>
            <w:shd w:val="clear" w:color="auto" w:fill="auto"/>
          </w:tcPr>
          <w:p w14:paraId="28BF3338" w14:textId="77777777" w:rsidR="008C5CFA" w:rsidRPr="0024468B" w:rsidRDefault="00E82A60" w:rsidP="00300A01">
            <w:pPr>
              <w:spacing w:before="0" w:after="0"/>
              <w:rPr>
                <w:sz w:val="16"/>
                <w:szCs w:val="16"/>
                <w:lang w:val="fr-BE"/>
              </w:rPr>
            </w:pPr>
            <w:r>
              <w:rPr>
                <w:noProof/>
                <w:sz w:val="16"/>
                <w:szCs w:val="16"/>
                <w:lang w:val="fr-BE"/>
              </w:rPr>
              <w:t>Wzrost oczekiwanej liczby odwiedzin w objętych wsparciem miejscach należących do dziedzictwa kulturowego i naturalnego oraz stanowiących atrakcje turystyczne</w:t>
            </w:r>
          </w:p>
        </w:tc>
        <w:tc>
          <w:tcPr>
            <w:tcW w:w="0" w:type="auto"/>
            <w:shd w:val="clear" w:color="auto" w:fill="auto"/>
          </w:tcPr>
          <w:p w14:paraId="4A1CA590" w14:textId="77777777" w:rsidR="008C5CFA" w:rsidRPr="0024468B" w:rsidRDefault="00E82A60" w:rsidP="00300A01">
            <w:pPr>
              <w:spacing w:before="0" w:after="0"/>
              <w:rPr>
                <w:sz w:val="16"/>
                <w:szCs w:val="16"/>
                <w:lang w:val="fr-BE"/>
              </w:rPr>
            </w:pPr>
            <w:r w:rsidRPr="0024468B">
              <w:rPr>
                <w:noProof/>
                <w:sz w:val="16"/>
                <w:szCs w:val="16"/>
                <w:lang w:val="fr-BE"/>
              </w:rPr>
              <w:t>odwiedziny/na rok</w:t>
            </w:r>
          </w:p>
        </w:tc>
        <w:tc>
          <w:tcPr>
            <w:tcW w:w="0" w:type="auto"/>
            <w:shd w:val="clear" w:color="auto" w:fill="auto"/>
          </w:tcPr>
          <w:p w14:paraId="48086452" w14:textId="77777777" w:rsidR="008C5CFA" w:rsidRPr="0024468B" w:rsidRDefault="00E82A60"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14:paraId="04FD83EC" w14:textId="77777777" w:rsidR="008C5CFA" w:rsidRPr="0024468B" w:rsidRDefault="00E82A60" w:rsidP="00300A01">
            <w:pPr>
              <w:spacing w:before="0" w:after="0"/>
              <w:jc w:val="right"/>
              <w:rPr>
                <w:sz w:val="16"/>
                <w:szCs w:val="16"/>
                <w:lang w:val="fr-BE"/>
              </w:rPr>
            </w:pPr>
            <w:r>
              <w:rPr>
                <w:noProof/>
                <w:sz w:val="16"/>
                <w:szCs w:val="16"/>
                <w:lang w:val="fr-BE"/>
              </w:rPr>
              <w:t>19 987,00</w:t>
            </w:r>
          </w:p>
        </w:tc>
        <w:tc>
          <w:tcPr>
            <w:tcW w:w="0" w:type="auto"/>
            <w:shd w:val="clear" w:color="auto" w:fill="auto"/>
          </w:tcPr>
          <w:p w14:paraId="0CBA97F4" w14:textId="77777777" w:rsidR="008C5CFA" w:rsidRPr="0024468B" w:rsidRDefault="008C5CFA" w:rsidP="00300A01">
            <w:pPr>
              <w:spacing w:before="0" w:after="0"/>
              <w:jc w:val="right"/>
              <w:rPr>
                <w:sz w:val="16"/>
                <w:szCs w:val="16"/>
                <w:lang w:val="fr-BE"/>
              </w:rPr>
            </w:pPr>
          </w:p>
        </w:tc>
        <w:tc>
          <w:tcPr>
            <w:tcW w:w="0" w:type="auto"/>
          </w:tcPr>
          <w:p w14:paraId="6D642D5A" w14:textId="77777777" w:rsidR="008C5CFA" w:rsidRPr="0024468B" w:rsidRDefault="008C5CFA" w:rsidP="00300A01">
            <w:pPr>
              <w:spacing w:before="0" w:after="0"/>
              <w:jc w:val="right"/>
              <w:rPr>
                <w:sz w:val="16"/>
                <w:szCs w:val="16"/>
                <w:lang w:val="fr-BE"/>
              </w:rPr>
            </w:pPr>
          </w:p>
        </w:tc>
        <w:tc>
          <w:tcPr>
            <w:tcW w:w="0" w:type="auto"/>
            <w:shd w:val="clear" w:color="auto" w:fill="auto"/>
          </w:tcPr>
          <w:p w14:paraId="372CBB00" w14:textId="77777777" w:rsidR="008C5CFA" w:rsidRPr="0024468B" w:rsidRDefault="00E82A60" w:rsidP="00300A01">
            <w:pPr>
              <w:spacing w:before="0" w:after="0"/>
              <w:jc w:val="right"/>
              <w:rPr>
                <w:sz w:val="16"/>
                <w:szCs w:val="16"/>
                <w:lang w:val="fr-BE"/>
              </w:rPr>
            </w:pPr>
            <w:r w:rsidRPr="0024468B">
              <w:rPr>
                <w:noProof/>
                <w:sz w:val="16"/>
                <w:szCs w:val="16"/>
                <w:lang w:val="fr-BE"/>
              </w:rPr>
              <w:t>526 589,00</w:t>
            </w:r>
          </w:p>
        </w:tc>
        <w:tc>
          <w:tcPr>
            <w:tcW w:w="0" w:type="auto"/>
            <w:shd w:val="clear" w:color="auto" w:fill="auto"/>
          </w:tcPr>
          <w:p w14:paraId="4A0EB8A7"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31CECDB6"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65B6A04C" w14:textId="77777777" w:rsidR="008C5CFA" w:rsidRPr="0024468B" w:rsidRDefault="00E82A60" w:rsidP="00300A01">
            <w:pPr>
              <w:spacing w:before="0" w:after="0"/>
              <w:rPr>
                <w:sz w:val="16"/>
                <w:szCs w:val="16"/>
                <w:lang w:val="fr-BE"/>
              </w:rPr>
            </w:pPr>
            <w:r w:rsidRPr="0024468B">
              <w:rPr>
                <w:noProof/>
                <w:sz w:val="16"/>
                <w:szCs w:val="16"/>
                <w:lang w:val="fr-BE"/>
              </w:rPr>
              <w:t>IZ podjęła decyzję o urealnieniu wartości wskaźnika do poziomu 350 000  osób odwiedzających instytucje kultury.</w:t>
            </w:r>
          </w:p>
        </w:tc>
      </w:tr>
      <w:tr w:rsidR="006B2EC1" w14:paraId="402770D6" w14:textId="77777777" w:rsidTr="0047688D">
        <w:tc>
          <w:tcPr>
            <w:tcW w:w="0" w:type="auto"/>
          </w:tcPr>
          <w:p w14:paraId="1FDF0F86" w14:textId="77777777" w:rsidR="008C5CFA" w:rsidRPr="0024468B" w:rsidRDefault="00E82A60" w:rsidP="00300A01">
            <w:pPr>
              <w:spacing w:before="0" w:after="0"/>
              <w:rPr>
                <w:sz w:val="16"/>
                <w:szCs w:val="16"/>
                <w:lang w:val="fr-BE"/>
              </w:rPr>
            </w:pPr>
            <w:r>
              <w:rPr>
                <w:noProof/>
                <w:sz w:val="16"/>
                <w:szCs w:val="16"/>
                <w:lang w:val="fr-BE"/>
              </w:rPr>
              <w:t>F</w:t>
            </w:r>
          </w:p>
        </w:tc>
        <w:tc>
          <w:tcPr>
            <w:tcW w:w="0" w:type="auto"/>
            <w:shd w:val="clear" w:color="auto" w:fill="auto"/>
          </w:tcPr>
          <w:p w14:paraId="4B635442" w14:textId="77777777" w:rsidR="008C5CFA" w:rsidRPr="0024468B" w:rsidRDefault="00E82A60" w:rsidP="00300A01">
            <w:pPr>
              <w:spacing w:before="0" w:after="0"/>
              <w:rPr>
                <w:sz w:val="16"/>
                <w:szCs w:val="16"/>
                <w:lang w:val="fr-BE"/>
              </w:rPr>
            </w:pPr>
            <w:r>
              <w:rPr>
                <w:noProof/>
                <w:sz w:val="16"/>
                <w:szCs w:val="16"/>
                <w:lang w:val="fr-BE"/>
              </w:rPr>
              <w:t>60</w:t>
            </w:r>
          </w:p>
        </w:tc>
        <w:tc>
          <w:tcPr>
            <w:tcW w:w="0" w:type="auto"/>
            <w:shd w:val="clear" w:color="auto" w:fill="auto"/>
          </w:tcPr>
          <w:p w14:paraId="3CA433E1" w14:textId="77777777" w:rsidR="008C5CFA" w:rsidRPr="0024468B" w:rsidRDefault="00E82A60" w:rsidP="00300A01">
            <w:pPr>
              <w:spacing w:before="0" w:after="0"/>
              <w:rPr>
                <w:sz w:val="16"/>
                <w:szCs w:val="16"/>
                <w:lang w:val="fr-BE"/>
              </w:rPr>
            </w:pPr>
            <w:r>
              <w:rPr>
                <w:noProof/>
                <w:sz w:val="16"/>
                <w:szCs w:val="16"/>
                <w:lang w:val="fr-BE"/>
              </w:rPr>
              <w:t>Liczba zabytków nieruchomych objętych wsparciem</w:t>
            </w:r>
          </w:p>
        </w:tc>
        <w:tc>
          <w:tcPr>
            <w:tcW w:w="0" w:type="auto"/>
            <w:shd w:val="clear" w:color="auto" w:fill="auto"/>
          </w:tcPr>
          <w:p w14:paraId="026718A8" w14:textId="77777777" w:rsidR="008C5CFA" w:rsidRPr="0024468B" w:rsidRDefault="00E82A60" w:rsidP="00300A01">
            <w:pPr>
              <w:spacing w:before="0" w:after="0"/>
              <w:rPr>
                <w:sz w:val="16"/>
                <w:szCs w:val="16"/>
                <w:lang w:val="fr-BE"/>
              </w:rPr>
            </w:pPr>
            <w:r w:rsidRPr="0024468B">
              <w:rPr>
                <w:noProof/>
                <w:sz w:val="16"/>
                <w:szCs w:val="16"/>
                <w:lang w:val="fr-BE"/>
              </w:rPr>
              <w:t>szt.</w:t>
            </w:r>
          </w:p>
        </w:tc>
        <w:tc>
          <w:tcPr>
            <w:tcW w:w="0" w:type="auto"/>
            <w:shd w:val="clear" w:color="auto" w:fill="auto"/>
          </w:tcPr>
          <w:p w14:paraId="4829974F" w14:textId="77777777" w:rsidR="008C5CFA" w:rsidRPr="0024468B" w:rsidRDefault="00E82A60"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14:paraId="7E9E86F7" w14:textId="77777777" w:rsidR="008C5CFA" w:rsidRPr="0024468B" w:rsidRDefault="00E82A60" w:rsidP="00300A01">
            <w:pPr>
              <w:spacing w:before="0" w:after="0"/>
              <w:jc w:val="right"/>
              <w:rPr>
                <w:sz w:val="16"/>
                <w:szCs w:val="16"/>
                <w:lang w:val="fr-BE"/>
              </w:rPr>
            </w:pPr>
            <w:r>
              <w:rPr>
                <w:noProof/>
                <w:sz w:val="16"/>
                <w:szCs w:val="16"/>
                <w:lang w:val="fr-BE"/>
              </w:rPr>
              <w:t>14,00</w:t>
            </w:r>
          </w:p>
        </w:tc>
        <w:tc>
          <w:tcPr>
            <w:tcW w:w="0" w:type="auto"/>
            <w:shd w:val="clear" w:color="auto" w:fill="auto"/>
          </w:tcPr>
          <w:p w14:paraId="22ACBDB3" w14:textId="77777777" w:rsidR="008C5CFA" w:rsidRPr="0024468B" w:rsidRDefault="008C5CFA" w:rsidP="00300A01">
            <w:pPr>
              <w:spacing w:before="0" w:after="0"/>
              <w:jc w:val="right"/>
              <w:rPr>
                <w:sz w:val="16"/>
                <w:szCs w:val="16"/>
                <w:lang w:val="fr-BE"/>
              </w:rPr>
            </w:pPr>
          </w:p>
        </w:tc>
        <w:tc>
          <w:tcPr>
            <w:tcW w:w="0" w:type="auto"/>
          </w:tcPr>
          <w:p w14:paraId="57F63B31" w14:textId="77777777" w:rsidR="008C5CFA" w:rsidRPr="0024468B" w:rsidRDefault="008C5CFA" w:rsidP="00300A01">
            <w:pPr>
              <w:spacing w:before="0" w:after="0"/>
              <w:jc w:val="right"/>
              <w:rPr>
                <w:sz w:val="16"/>
                <w:szCs w:val="16"/>
                <w:lang w:val="fr-BE"/>
              </w:rPr>
            </w:pPr>
          </w:p>
        </w:tc>
        <w:tc>
          <w:tcPr>
            <w:tcW w:w="0" w:type="auto"/>
            <w:shd w:val="clear" w:color="auto" w:fill="auto"/>
          </w:tcPr>
          <w:p w14:paraId="1C49A55D" w14:textId="77777777" w:rsidR="008C5CFA" w:rsidRPr="0024468B" w:rsidRDefault="00E82A60" w:rsidP="00300A01">
            <w:pPr>
              <w:spacing w:before="0" w:after="0"/>
              <w:jc w:val="right"/>
              <w:rPr>
                <w:sz w:val="16"/>
                <w:szCs w:val="16"/>
                <w:lang w:val="fr-BE"/>
              </w:rPr>
            </w:pPr>
            <w:r w:rsidRPr="0024468B">
              <w:rPr>
                <w:noProof/>
                <w:sz w:val="16"/>
                <w:szCs w:val="16"/>
                <w:lang w:val="fr-BE"/>
              </w:rPr>
              <w:t>31,00</w:t>
            </w:r>
          </w:p>
        </w:tc>
        <w:tc>
          <w:tcPr>
            <w:tcW w:w="0" w:type="auto"/>
            <w:shd w:val="clear" w:color="auto" w:fill="auto"/>
          </w:tcPr>
          <w:p w14:paraId="50599D1A"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18ECD0C1"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50113B94" w14:textId="77777777" w:rsidR="008C5CFA" w:rsidRPr="0024468B" w:rsidRDefault="008C5CFA" w:rsidP="00300A01">
            <w:pPr>
              <w:spacing w:before="0" w:after="0"/>
              <w:rPr>
                <w:sz w:val="16"/>
                <w:szCs w:val="16"/>
                <w:lang w:val="fr-BE"/>
              </w:rPr>
            </w:pPr>
          </w:p>
        </w:tc>
      </w:tr>
      <w:tr w:rsidR="006B2EC1" w14:paraId="3C40CC77" w14:textId="77777777" w:rsidTr="0047688D">
        <w:tc>
          <w:tcPr>
            <w:tcW w:w="0" w:type="auto"/>
          </w:tcPr>
          <w:p w14:paraId="442093F0" w14:textId="77777777" w:rsidR="008C5CFA" w:rsidRPr="0024468B" w:rsidRDefault="00E82A60" w:rsidP="00300A01">
            <w:pPr>
              <w:spacing w:before="0" w:after="0"/>
              <w:rPr>
                <w:sz w:val="16"/>
                <w:szCs w:val="16"/>
                <w:lang w:val="fr-BE"/>
              </w:rPr>
            </w:pPr>
            <w:r>
              <w:rPr>
                <w:noProof/>
                <w:sz w:val="16"/>
                <w:szCs w:val="16"/>
                <w:lang w:val="fr-BE"/>
              </w:rPr>
              <w:t>S</w:t>
            </w:r>
          </w:p>
        </w:tc>
        <w:tc>
          <w:tcPr>
            <w:tcW w:w="0" w:type="auto"/>
            <w:shd w:val="clear" w:color="auto" w:fill="auto"/>
          </w:tcPr>
          <w:p w14:paraId="30D841FE" w14:textId="77777777" w:rsidR="008C5CFA" w:rsidRPr="0024468B" w:rsidRDefault="00E82A60" w:rsidP="00300A01">
            <w:pPr>
              <w:spacing w:before="0" w:after="0"/>
              <w:rPr>
                <w:sz w:val="16"/>
                <w:szCs w:val="16"/>
                <w:lang w:val="fr-BE"/>
              </w:rPr>
            </w:pPr>
            <w:r>
              <w:rPr>
                <w:noProof/>
                <w:sz w:val="16"/>
                <w:szCs w:val="16"/>
                <w:lang w:val="fr-BE"/>
              </w:rPr>
              <w:t>60</w:t>
            </w:r>
          </w:p>
        </w:tc>
        <w:tc>
          <w:tcPr>
            <w:tcW w:w="0" w:type="auto"/>
            <w:shd w:val="clear" w:color="auto" w:fill="auto"/>
          </w:tcPr>
          <w:p w14:paraId="73688503" w14:textId="77777777" w:rsidR="008C5CFA" w:rsidRPr="0024468B" w:rsidRDefault="00E82A60" w:rsidP="00300A01">
            <w:pPr>
              <w:spacing w:before="0" w:after="0"/>
              <w:rPr>
                <w:sz w:val="16"/>
                <w:szCs w:val="16"/>
                <w:lang w:val="fr-BE"/>
              </w:rPr>
            </w:pPr>
            <w:r>
              <w:rPr>
                <w:noProof/>
                <w:sz w:val="16"/>
                <w:szCs w:val="16"/>
                <w:lang w:val="fr-BE"/>
              </w:rPr>
              <w:t>Liczba zabytków nieruchomych objętych wsparciem</w:t>
            </w:r>
          </w:p>
        </w:tc>
        <w:tc>
          <w:tcPr>
            <w:tcW w:w="0" w:type="auto"/>
            <w:shd w:val="clear" w:color="auto" w:fill="auto"/>
          </w:tcPr>
          <w:p w14:paraId="0BC3B8D5" w14:textId="77777777" w:rsidR="008C5CFA" w:rsidRPr="0024468B" w:rsidRDefault="00E82A60" w:rsidP="00300A01">
            <w:pPr>
              <w:spacing w:before="0" w:after="0"/>
              <w:rPr>
                <w:sz w:val="16"/>
                <w:szCs w:val="16"/>
                <w:lang w:val="fr-BE"/>
              </w:rPr>
            </w:pPr>
            <w:r w:rsidRPr="0024468B">
              <w:rPr>
                <w:noProof/>
                <w:sz w:val="16"/>
                <w:szCs w:val="16"/>
                <w:lang w:val="fr-BE"/>
              </w:rPr>
              <w:t>szt.</w:t>
            </w:r>
          </w:p>
        </w:tc>
        <w:tc>
          <w:tcPr>
            <w:tcW w:w="0" w:type="auto"/>
            <w:shd w:val="clear" w:color="auto" w:fill="auto"/>
          </w:tcPr>
          <w:p w14:paraId="6E9676DA" w14:textId="77777777" w:rsidR="008C5CFA" w:rsidRPr="0024468B" w:rsidRDefault="00E82A60"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14:paraId="1D5A813C" w14:textId="77777777" w:rsidR="008C5CFA" w:rsidRPr="0024468B" w:rsidRDefault="00E82A60" w:rsidP="00300A01">
            <w:pPr>
              <w:spacing w:before="0" w:after="0"/>
              <w:jc w:val="right"/>
              <w:rPr>
                <w:sz w:val="16"/>
                <w:szCs w:val="16"/>
                <w:lang w:val="fr-BE"/>
              </w:rPr>
            </w:pPr>
            <w:r>
              <w:rPr>
                <w:noProof/>
                <w:sz w:val="16"/>
                <w:szCs w:val="16"/>
                <w:lang w:val="fr-BE"/>
              </w:rPr>
              <w:t>14,00</w:t>
            </w:r>
          </w:p>
        </w:tc>
        <w:tc>
          <w:tcPr>
            <w:tcW w:w="0" w:type="auto"/>
            <w:shd w:val="clear" w:color="auto" w:fill="auto"/>
          </w:tcPr>
          <w:p w14:paraId="341C8DF9" w14:textId="77777777" w:rsidR="008C5CFA" w:rsidRPr="0024468B" w:rsidRDefault="008C5CFA" w:rsidP="00300A01">
            <w:pPr>
              <w:spacing w:before="0" w:after="0"/>
              <w:jc w:val="right"/>
              <w:rPr>
                <w:sz w:val="16"/>
                <w:szCs w:val="16"/>
                <w:lang w:val="fr-BE"/>
              </w:rPr>
            </w:pPr>
          </w:p>
        </w:tc>
        <w:tc>
          <w:tcPr>
            <w:tcW w:w="0" w:type="auto"/>
          </w:tcPr>
          <w:p w14:paraId="467F659E" w14:textId="77777777" w:rsidR="008C5CFA" w:rsidRPr="0024468B" w:rsidRDefault="008C5CFA" w:rsidP="00300A01">
            <w:pPr>
              <w:spacing w:before="0" w:after="0"/>
              <w:jc w:val="right"/>
              <w:rPr>
                <w:sz w:val="16"/>
                <w:szCs w:val="16"/>
                <w:lang w:val="fr-BE"/>
              </w:rPr>
            </w:pPr>
          </w:p>
        </w:tc>
        <w:tc>
          <w:tcPr>
            <w:tcW w:w="0" w:type="auto"/>
            <w:shd w:val="clear" w:color="auto" w:fill="auto"/>
          </w:tcPr>
          <w:p w14:paraId="206A4846" w14:textId="77777777" w:rsidR="008C5CFA" w:rsidRPr="0024468B" w:rsidRDefault="00E82A60" w:rsidP="00300A01">
            <w:pPr>
              <w:spacing w:before="0" w:after="0"/>
              <w:jc w:val="right"/>
              <w:rPr>
                <w:sz w:val="16"/>
                <w:szCs w:val="16"/>
                <w:lang w:val="fr-BE"/>
              </w:rPr>
            </w:pPr>
            <w:r w:rsidRPr="0024468B">
              <w:rPr>
                <w:noProof/>
                <w:sz w:val="16"/>
                <w:szCs w:val="16"/>
                <w:lang w:val="fr-BE"/>
              </w:rPr>
              <w:t>33,00</w:t>
            </w:r>
          </w:p>
        </w:tc>
        <w:tc>
          <w:tcPr>
            <w:tcW w:w="0" w:type="auto"/>
            <w:shd w:val="clear" w:color="auto" w:fill="auto"/>
          </w:tcPr>
          <w:p w14:paraId="28637228"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0A1F4260"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6C42082E" w14:textId="77777777" w:rsidR="008C5CFA" w:rsidRPr="0024468B" w:rsidRDefault="00E82A60" w:rsidP="00300A01">
            <w:pPr>
              <w:spacing w:before="0" w:after="0"/>
              <w:rPr>
                <w:sz w:val="16"/>
                <w:szCs w:val="16"/>
                <w:lang w:val="fr-BE"/>
              </w:rPr>
            </w:pPr>
            <w:r w:rsidRPr="0024468B">
              <w:rPr>
                <w:noProof/>
                <w:sz w:val="16"/>
                <w:szCs w:val="16"/>
                <w:lang w:val="fr-BE"/>
              </w:rPr>
              <w:t>Po dokonaniu analizy wartości wskaźników w projektach wybranych do dofinansowania IZ podjęła decyzję o zwiększeniu wartość wskaźnika do poziomu 28 zabytków. Jest to wynikiem m.in. ogłoszenia  odrębnego konkursu tylko dla małych projektów, gdzie maksymalny poziom dofinansowania wynosił 500 tyś. PLN. W ramach tego konkursu wybrano do dofinansowania aż 24 projekty, co bezpośrednio przełożyło się na wzrost wszystkich wskaźników w ramach PI 6c.</w:t>
            </w:r>
          </w:p>
        </w:tc>
      </w:tr>
      <w:tr w:rsidR="006B2EC1" w14:paraId="0B8004D7" w14:textId="77777777" w:rsidTr="0047688D">
        <w:tc>
          <w:tcPr>
            <w:tcW w:w="0" w:type="auto"/>
          </w:tcPr>
          <w:p w14:paraId="1CF0BF88" w14:textId="77777777" w:rsidR="008C5CFA" w:rsidRPr="0024468B" w:rsidRDefault="00E82A60" w:rsidP="00300A01">
            <w:pPr>
              <w:spacing w:before="0" w:after="0"/>
              <w:rPr>
                <w:sz w:val="16"/>
                <w:szCs w:val="16"/>
                <w:lang w:val="fr-BE"/>
              </w:rPr>
            </w:pPr>
            <w:r>
              <w:rPr>
                <w:noProof/>
                <w:sz w:val="16"/>
                <w:szCs w:val="16"/>
                <w:lang w:val="fr-BE"/>
              </w:rPr>
              <w:t>F</w:t>
            </w:r>
          </w:p>
        </w:tc>
        <w:tc>
          <w:tcPr>
            <w:tcW w:w="0" w:type="auto"/>
            <w:shd w:val="clear" w:color="auto" w:fill="auto"/>
          </w:tcPr>
          <w:p w14:paraId="5AF09720" w14:textId="77777777" w:rsidR="008C5CFA" w:rsidRPr="0024468B" w:rsidRDefault="00E82A60" w:rsidP="00300A01">
            <w:pPr>
              <w:spacing w:before="0" w:after="0"/>
              <w:rPr>
                <w:sz w:val="16"/>
                <w:szCs w:val="16"/>
                <w:lang w:val="fr-BE"/>
              </w:rPr>
            </w:pPr>
            <w:r>
              <w:rPr>
                <w:noProof/>
                <w:sz w:val="16"/>
                <w:szCs w:val="16"/>
                <w:lang w:val="fr-BE"/>
              </w:rPr>
              <w:t>61</w:t>
            </w:r>
          </w:p>
        </w:tc>
        <w:tc>
          <w:tcPr>
            <w:tcW w:w="0" w:type="auto"/>
            <w:shd w:val="clear" w:color="auto" w:fill="auto"/>
          </w:tcPr>
          <w:p w14:paraId="5AE294D8" w14:textId="77777777" w:rsidR="008C5CFA" w:rsidRPr="0024468B" w:rsidRDefault="00E82A60" w:rsidP="00300A01">
            <w:pPr>
              <w:spacing w:before="0" w:after="0"/>
              <w:rPr>
                <w:sz w:val="16"/>
                <w:szCs w:val="16"/>
                <w:lang w:val="fr-BE"/>
              </w:rPr>
            </w:pPr>
            <w:r>
              <w:rPr>
                <w:noProof/>
                <w:sz w:val="16"/>
                <w:szCs w:val="16"/>
                <w:lang w:val="fr-BE"/>
              </w:rPr>
              <w:t>Liczba instytucji kultury objętych wsparciem</w:t>
            </w:r>
          </w:p>
        </w:tc>
        <w:tc>
          <w:tcPr>
            <w:tcW w:w="0" w:type="auto"/>
            <w:shd w:val="clear" w:color="auto" w:fill="auto"/>
          </w:tcPr>
          <w:p w14:paraId="417503BA" w14:textId="77777777" w:rsidR="008C5CFA" w:rsidRPr="0024468B" w:rsidRDefault="00E82A60" w:rsidP="00300A01">
            <w:pPr>
              <w:spacing w:before="0" w:after="0"/>
              <w:rPr>
                <w:sz w:val="16"/>
                <w:szCs w:val="16"/>
                <w:lang w:val="fr-BE"/>
              </w:rPr>
            </w:pPr>
            <w:r w:rsidRPr="0024468B">
              <w:rPr>
                <w:noProof/>
                <w:sz w:val="16"/>
                <w:szCs w:val="16"/>
                <w:lang w:val="fr-BE"/>
              </w:rPr>
              <w:t>szt.</w:t>
            </w:r>
          </w:p>
        </w:tc>
        <w:tc>
          <w:tcPr>
            <w:tcW w:w="0" w:type="auto"/>
            <w:shd w:val="clear" w:color="auto" w:fill="auto"/>
          </w:tcPr>
          <w:p w14:paraId="411CC791" w14:textId="77777777" w:rsidR="008C5CFA" w:rsidRPr="0024468B" w:rsidRDefault="00E82A60"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14:paraId="0820ED15" w14:textId="77777777" w:rsidR="008C5CFA" w:rsidRPr="0024468B" w:rsidRDefault="00E82A60" w:rsidP="00300A01">
            <w:pPr>
              <w:spacing w:before="0" w:after="0"/>
              <w:jc w:val="right"/>
              <w:rPr>
                <w:sz w:val="16"/>
                <w:szCs w:val="16"/>
                <w:lang w:val="fr-BE"/>
              </w:rPr>
            </w:pPr>
            <w:r>
              <w:rPr>
                <w:noProof/>
                <w:sz w:val="16"/>
                <w:szCs w:val="16"/>
                <w:lang w:val="fr-BE"/>
              </w:rPr>
              <w:t>23,00</w:t>
            </w:r>
          </w:p>
        </w:tc>
        <w:tc>
          <w:tcPr>
            <w:tcW w:w="0" w:type="auto"/>
            <w:shd w:val="clear" w:color="auto" w:fill="auto"/>
          </w:tcPr>
          <w:p w14:paraId="7233E537" w14:textId="77777777" w:rsidR="008C5CFA" w:rsidRPr="0024468B" w:rsidRDefault="008C5CFA" w:rsidP="00300A01">
            <w:pPr>
              <w:spacing w:before="0" w:after="0"/>
              <w:jc w:val="right"/>
              <w:rPr>
                <w:sz w:val="16"/>
                <w:szCs w:val="16"/>
                <w:lang w:val="fr-BE"/>
              </w:rPr>
            </w:pPr>
          </w:p>
        </w:tc>
        <w:tc>
          <w:tcPr>
            <w:tcW w:w="0" w:type="auto"/>
          </w:tcPr>
          <w:p w14:paraId="4BED5DB9" w14:textId="77777777" w:rsidR="008C5CFA" w:rsidRPr="0024468B" w:rsidRDefault="008C5CFA" w:rsidP="00300A01">
            <w:pPr>
              <w:spacing w:before="0" w:after="0"/>
              <w:jc w:val="right"/>
              <w:rPr>
                <w:sz w:val="16"/>
                <w:szCs w:val="16"/>
                <w:lang w:val="fr-BE"/>
              </w:rPr>
            </w:pPr>
          </w:p>
        </w:tc>
        <w:tc>
          <w:tcPr>
            <w:tcW w:w="0" w:type="auto"/>
            <w:shd w:val="clear" w:color="auto" w:fill="auto"/>
          </w:tcPr>
          <w:p w14:paraId="6C316E07" w14:textId="77777777" w:rsidR="008C5CFA" w:rsidRPr="0024468B" w:rsidRDefault="00E82A60" w:rsidP="00300A01">
            <w:pPr>
              <w:spacing w:before="0" w:after="0"/>
              <w:jc w:val="right"/>
              <w:rPr>
                <w:sz w:val="16"/>
                <w:szCs w:val="16"/>
                <w:lang w:val="fr-BE"/>
              </w:rPr>
            </w:pPr>
            <w:r w:rsidRPr="0024468B">
              <w:rPr>
                <w:noProof/>
                <w:sz w:val="16"/>
                <w:szCs w:val="16"/>
                <w:lang w:val="fr-BE"/>
              </w:rPr>
              <w:t>33,00</w:t>
            </w:r>
          </w:p>
        </w:tc>
        <w:tc>
          <w:tcPr>
            <w:tcW w:w="0" w:type="auto"/>
            <w:shd w:val="clear" w:color="auto" w:fill="auto"/>
          </w:tcPr>
          <w:p w14:paraId="3F56EAFE"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0481F435"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0882583E" w14:textId="77777777" w:rsidR="008C5CFA" w:rsidRPr="0024468B" w:rsidRDefault="008C5CFA" w:rsidP="00300A01">
            <w:pPr>
              <w:spacing w:before="0" w:after="0"/>
              <w:rPr>
                <w:sz w:val="16"/>
                <w:szCs w:val="16"/>
                <w:lang w:val="fr-BE"/>
              </w:rPr>
            </w:pPr>
          </w:p>
        </w:tc>
      </w:tr>
      <w:tr w:rsidR="006B2EC1" w14:paraId="278A95FC" w14:textId="77777777" w:rsidTr="0047688D">
        <w:tc>
          <w:tcPr>
            <w:tcW w:w="0" w:type="auto"/>
          </w:tcPr>
          <w:p w14:paraId="49465611" w14:textId="77777777" w:rsidR="008C5CFA" w:rsidRPr="0024468B" w:rsidRDefault="00E82A60" w:rsidP="00300A01">
            <w:pPr>
              <w:spacing w:before="0" w:after="0"/>
              <w:rPr>
                <w:sz w:val="16"/>
                <w:szCs w:val="16"/>
                <w:lang w:val="fr-BE"/>
              </w:rPr>
            </w:pPr>
            <w:r>
              <w:rPr>
                <w:noProof/>
                <w:sz w:val="16"/>
                <w:szCs w:val="16"/>
                <w:lang w:val="fr-BE"/>
              </w:rPr>
              <w:t>S</w:t>
            </w:r>
          </w:p>
        </w:tc>
        <w:tc>
          <w:tcPr>
            <w:tcW w:w="0" w:type="auto"/>
            <w:shd w:val="clear" w:color="auto" w:fill="auto"/>
          </w:tcPr>
          <w:p w14:paraId="2A60993A" w14:textId="77777777" w:rsidR="008C5CFA" w:rsidRPr="0024468B" w:rsidRDefault="00E82A60" w:rsidP="00300A01">
            <w:pPr>
              <w:spacing w:before="0" w:after="0"/>
              <w:rPr>
                <w:sz w:val="16"/>
                <w:szCs w:val="16"/>
                <w:lang w:val="fr-BE"/>
              </w:rPr>
            </w:pPr>
            <w:r>
              <w:rPr>
                <w:noProof/>
                <w:sz w:val="16"/>
                <w:szCs w:val="16"/>
                <w:lang w:val="fr-BE"/>
              </w:rPr>
              <w:t>61</w:t>
            </w:r>
          </w:p>
        </w:tc>
        <w:tc>
          <w:tcPr>
            <w:tcW w:w="0" w:type="auto"/>
            <w:shd w:val="clear" w:color="auto" w:fill="auto"/>
          </w:tcPr>
          <w:p w14:paraId="56E311BF" w14:textId="77777777" w:rsidR="008C5CFA" w:rsidRPr="0024468B" w:rsidRDefault="00E82A60" w:rsidP="00300A01">
            <w:pPr>
              <w:spacing w:before="0" w:after="0"/>
              <w:rPr>
                <w:sz w:val="16"/>
                <w:szCs w:val="16"/>
                <w:lang w:val="fr-BE"/>
              </w:rPr>
            </w:pPr>
            <w:r>
              <w:rPr>
                <w:noProof/>
                <w:sz w:val="16"/>
                <w:szCs w:val="16"/>
                <w:lang w:val="fr-BE"/>
              </w:rPr>
              <w:t>Liczba instytucji kultury objętych wsparciem</w:t>
            </w:r>
          </w:p>
        </w:tc>
        <w:tc>
          <w:tcPr>
            <w:tcW w:w="0" w:type="auto"/>
            <w:shd w:val="clear" w:color="auto" w:fill="auto"/>
          </w:tcPr>
          <w:p w14:paraId="602CB7C2" w14:textId="77777777" w:rsidR="008C5CFA" w:rsidRPr="0024468B" w:rsidRDefault="00E82A60" w:rsidP="00300A01">
            <w:pPr>
              <w:spacing w:before="0" w:after="0"/>
              <w:rPr>
                <w:sz w:val="16"/>
                <w:szCs w:val="16"/>
                <w:lang w:val="fr-BE"/>
              </w:rPr>
            </w:pPr>
            <w:r w:rsidRPr="0024468B">
              <w:rPr>
                <w:noProof/>
                <w:sz w:val="16"/>
                <w:szCs w:val="16"/>
                <w:lang w:val="fr-BE"/>
              </w:rPr>
              <w:t>szt.</w:t>
            </w:r>
          </w:p>
        </w:tc>
        <w:tc>
          <w:tcPr>
            <w:tcW w:w="0" w:type="auto"/>
            <w:shd w:val="clear" w:color="auto" w:fill="auto"/>
          </w:tcPr>
          <w:p w14:paraId="2E92727B" w14:textId="77777777" w:rsidR="008C5CFA" w:rsidRPr="0024468B" w:rsidRDefault="00E82A60"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14:paraId="433EACD4" w14:textId="77777777" w:rsidR="008C5CFA" w:rsidRPr="0024468B" w:rsidRDefault="00E82A60" w:rsidP="00300A01">
            <w:pPr>
              <w:spacing w:before="0" w:after="0"/>
              <w:jc w:val="right"/>
              <w:rPr>
                <w:sz w:val="16"/>
                <w:szCs w:val="16"/>
                <w:lang w:val="fr-BE"/>
              </w:rPr>
            </w:pPr>
            <w:r>
              <w:rPr>
                <w:noProof/>
                <w:sz w:val="16"/>
                <w:szCs w:val="16"/>
                <w:lang w:val="fr-BE"/>
              </w:rPr>
              <w:t>23,00</w:t>
            </w:r>
          </w:p>
        </w:tc>
        <w:tc>
          <w:tcPr>
            <w:tcW w:w="0" w:type="auto"/>
            <w:shd w:val="clear" w:color="auto" w:fill="auto"/>
          </w:tcPr>
          <w:p w14:paraId="56791A2E" w14:textId="77777777" w:rsidR="008C5CFA" w:rsidRPr="0024468B" w:rsidRDefault="008C5CFA" w:rsidP="00300A01">
            <w:pPr>
              <w:spacing w:before="0" w:after="0"/>
              <w:jc w:val="right"/>
              <w:rPr>
                <w:sz w:val="16"/>
                <w:szCs w:val="16"/>
                <w:lang w:val="fr-BE"/>
              </w:rPr>
            </w:pPr>
          </w:p>
        </w:tc>
        <w:tc>
          <w:tcPr>
            <w:tcW w:w="0" w:type="auto"/>
          </w:tcPr>
          <w:p w14:paraId="7EEE3664" w14:textId="77777777" w:rsidR="008C5CFA" w:rsidRPr="0024468B" w:rsidRDefault="008C5CFA" w:rsidP="00300A01">
            <w:pPr>
              <w:spacing w:before="0" w:after="0"/>
              <w:jc w:val="right"/>
              <w:rPr>
                <w:sz w:val="16"/>
                <w:szCs w:val="16"/>
                <w:lang w:val="fr-BE"/>
              </w:rPr>
            </w:pPr>
          </w:p>
        </w:tc>
        <w:tc>
          <w:tcPr>
            <w:tcW w:w="0" w:type="auto"/>
            <w:shd w:val="clear" w:color="auto" w:fill="auto"/>
          </w:tcPr>
          <w:p w14:paraId="13A998CF" w14:textId="77777777" w:rsidR="008C5CFA" w:rsidRPr="0024468B" w:rsidRDefault="00E82A60" w:rsidP="00300A01">
            <w:pPr>
              <w:spacing w:before="0" w:after="0"/>
              <w:jc w:val="right"/>
              <w:rPr>
                <w:sz w:val="16"/>
                <w:szCs w:val="16"/>
                <w:lang w:val="fr-BE"/>
              </w:rPr>
            </w:pPr>
            <w:r w:rsidRPr="0024468B">
              <w:rPr>
                <w:noProof/>
                <w:sz w:val="16"/>
                <w:szCs w:val="16"/>
                <w:lang w:val="fr-BE"/>
              </w:rPr>
              <w:t>35,00</w:t>
            </w:r>
          </w:p>
        </w:tc>
        <w:tc>
          <w:tcPr>
            <w:tcW w:w="0" w:type="auto"/>
            <w:shd w:val="clear" w:color="auto" w:fill="auto"/>
          </w:tcPr>
          <w:p w14:paraId="6C58080D"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0839C62C"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2B744BBF" w14:textId="77777777" w:rsidR="008C5CFA" w:rsidRPr="0024468B" w:rsidRDefault="008C5CFA" w:rsidP="00300A01">
            <w:pPr>
              <w:spacing w:before="0" w:after="0"/>
              <w:rPr>
                <w:sz w:val="16"/>
                <w:szCs w:val="16"/>
                <w:lang w:val="fr-BE"/>
              </w:rPr>
            </w:pPr>
          </w:p>
        </w:tc>
      </w:tr>
    </w:tbl>
    <w:p w14:paraId="0AA8B5D9" w14:textId="77777777" w:rsidR="008C5CFA" w:rsidRDefault="00E82A60" w:rsidP="00300A01">
      <w:pPr>
        <w:spacing w:before="0" w:after="0"/>
        <w:rPr>
          <w:lang w:val="fr-BE"/>
        </w:rPr>
      </w:pPr>
      <w:r>
        <w:rPr>
          <w:noProof/>
          <w:lang w:val="fr-BE"/>
        </w:rPr>
        <w:t>1) S=wartość skumulowana – produkty, które mają być zrealizowane poprzez wybrane operacje [prognoza przedstawiona przez beneficjentów], F=wartość skumulowana – produkty zrealizowane poprzez operacje [rzeczywiste wykonanie]</w:t>
      </w:r>
    </w:p>
    <w:p w14:paraId="0554FC62"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02"/>
        <w:gridCol w:w="354"/>
        <w:gridCol w:w="6239"/>
        <w:gridCol w:w="927"/>
        <w:gridCol w:w="1027"/>
        <w:gridCol w:w="850"/>
        <w:gridCol w:w="890"/>
        <w:gridCol w:w="1027"/>
        <w:gridCol w:w="850"/>
        <w:gridCol w:w="841"/>
        <w:gridCol w:w="1027"/>
        <w:gridCol w:w="850"/>
      </w:tblGrid>
      <w:tr w:rsidR="006B2EC1" w14:paraId="1CF85C03" w14:textId="77777777" w:rsidTr="0047688D">
        <w:trPr>
          <w:tblHeader/>
        </w:trPr>
        <w:tc>
          <w:tcPr>
            <w:tcW w:w="0" w:type="auto"/>
          </w:tcPr>
          <w:p w14:paraId="2862F812" w14:textId="77777777" w:rsidR="008C5CFA" w:rsidRPr="009143B4" w:rsidRDefault="00E82A60" w:rsidP="00300A01">
            <w:pPr>
              <w:spacing w:before="0" w:after="0"/>
              <w:rPr>
                <w:b/>
                <w:sz w:val="16"/>
                <w:szCs w:val="16"/>
                <w:lang w:val="fr-BE"/>
              </w:rPr>
            </w:pPr>
            <w:r w:rsidRPr="009143B4">
              <w:rPr>
                <w:b/>
                <w:sz w:val="16"/>
                <w:szCs w:val="16"/>
                <w:lang w:val="fr-BE"/>
              </w:rPr>
              <w:t>(1)</w:t>
            </w:r>
          </w:p>
        </w:tc>
        <w:tc>
          <w:tcPr>
            <w:tcW w:w="0" w:type="auto"/>
            <w:shd w:val="clear" w:color="auto" w:fill="auto"/>
          </w:tcPr>
          <w:p w14:paraId="77D3946A" w14:textId="77777777" w:rsidR="008C5CFA" w:rsidRPr="009143B4" w:rsidRDefault="00E82A60" w:rsidP="00300A01">
            <w:pPr>
              <w:spacing w:before="0" w:after="0"/>
              <w:rPr>
                <w:b/>
                <w:sz w:val="16"/>
                <w:szCs w:val="16"/>
                <w:lang w:val="fr-BE"/>
              </w:rPr>
            </w:pPr>
            <w:r w:rsidRPr="009143B4">
              <w:rPr>
                <w:b/>
                <w:noProof/>
                <w:sz w:val="16"/>
                <w:szCs w:val="16"/>
                <w:lang w:val="fr-BE"/>
              </w:rPr>
              <w:t>ID</w:t>
            </w:r>
          </w:p>
        </w:tc>
        <w:tc>
          <w:tcPr>
            <w:tcW w:w="0" w:type="auto"/>
            <w:shd w:val="clear" w:color="auto" w:fill="auto"/>
          </w:tcPr>
          <w:p w14:paraId="0AF1AA76" w14:textId="77777777" w:rsidR="008C5CFA" w:rsidRPr="009143B4" w:rsidRDefault="00E82A60" w:rsidP="00300A01">
            <w:pPr>
              <w:spacing w:before="0" w:after="0"/>
              <w:rPr>
                <w:b/>
                <w:sz w:val="16"/>
                <w:szCs w:val="16"/>
                <w:lang w:val="fr-BE"/>
              </w:rPr>
            </w:pPr>
            <w:r w:rsidRPr="009143B4">
              <w:rPr>
                <w:b/>
                <w:noProof/>
                <w:sz w:val="16"/>
                <w:szCs w:val="16"/>
                <w:lang w:val="fr-BE"/>
              </w:rPr>
              <w:t>Wskaźnik</w:t>
            </w:r>
          </w:p>
        </w:tc>
        <w:tc>
          <w:tcPr>
            <w:tcW w:w="0" w:type="auto"/>
          </w:tcPr>
          <w:p w14:paraId="74251F65" w14:textId="77777777" w:rsidR="008C5CFA" w:rsidRPr="009143B4" w:rsidRDefault="00E82A60" w:rsidP="00300A01">
            <w:pPr>
              <w:spacing w:before="0" w:after="0"/>
              <w:jc w:val="center"/>
              <w:rPr>
                <w:b/>
                <w:sz w:val="16"/>
                <w:szCs w:val="16"/>
                <w:lang w:val="fr-BE"/>
              </w:rPr>
            </w:pPr>
            <w:r>
              <w:rPr>
                <w:b/>
                <w:sz w:val="16"/>
                <w:szCs w:val="16"/>
                <w:lang w:val="fr-BE"/>
              </w:rPr>
              <w:t xml:space="preserve">2018 </w:t>
            </w:r>
            <w:r w:rsidRPr="009143B4">
              <w:rPr>
                <w:b/>
                <w:noProof/>
                <w:sz w:val="16"/>
                <w:szCs w:val="16"/>
                <w:lang w:val="fr-BE"/>
              </w:rPr>
              <w:t>Ogółem</w:t>
            </w:r>
          </w:p>
        </w:tc>
        <w:tc>
          <w:tcPr>
            <w:tcW w:w="0" w:type="auto"/>
          </w:tcPr>
          <w:p w14:paraId="4F325E2D" w14:textId="77777777" w:rsidR="008C5CFA" w:rsidRPr="009143B4" w:rsidRDefault="00E82A60" w:rsidP="00300A01">
            <w:pPr>
              <w:spacing w:before="0" w:after="0"/>
              <w:jc w:val="center"/>
              <w:rPr>
                <w:b/>
                <w:sz w:val="16"/>
                <w:szCs w:val="16"/>
                <w:lang w:val="fr-BE"/>
              </w:rPr>
            </w:pPr>
            <w:r>
              <w:rPr>
                <w:b/>
                <w:sz w:val="16"/>
                <w:szCs w:val="16"/>
                <w:lang w:val="fr-BE"/>
              </w:rPr>
              <w:t xml:space="preserve">2018 </w:t>
            </w:r>
            <w:r w:rsidRPr="009143B4">
              <w:rPr>
                <w:b/>
                <w:noProof/>
                <w:sz w:val="16"/>
                <w:szCs w:val="16"/>
                <w:lang w:val="fr-BE"/>
              </w:rPr>
              <w:t>Mężczyźni</w:t>
            </w:r>
          </w:p>
        </w:tc>
        <w:tc>
          <w:tcPr>
            <w:tcW w:w="0" w:type="auto"/>
          </w:tcPr>
          <w:p w14:paraId="5A53C12F" w14:textId="77777777" w:rsidR="008C5CFA" w:rsidRPr="009143B4" w:rsidRDefault="00E82A60" w:rsidP="00300A01">
            <w:pPr>
              <w:spacing w:before="0" w:after="0"/>
              <w:jc w:val="center"/>
              <w:rPr>
                <w:b/>
                <w:sz w:val="16"/>
                <w:szCs w:val="16"/>
                <w:lang w:val="fr-BE"/>
              </w:rPr>
            </w:pPr>
            <w:r>
              <w:rPr>
                <w:b/>
                <w:sz w:val="16"/>
                <w:szCs w:val="16"/>
                <w:lang w:val="fr-BE"/>
              </w:rPr>
              <w:t xml:space="preserve">2018 </w:t>
            </w:r>
            <w:r w:rsidRPr="009143B4">
              <w:rPr>
                <w:b/>
                <w:noProof/>
                <w:sz w:val="16"/>
                <w:szCs w:val="16"/>
                <w:lang w:val="fr-BE"/>
              </w:rPr>
              <w:t>Kobiety</w:t>
            </w:r>
          </w:p>
        </w:tc>
        <w:tc>
          <w:tcPr>
            <w:tcW w:w="0" w:type="auto"/>
          </w:tcPr>
          <w:p w14:paraId="5A2703EF" w14:textId="77777777" w:rsidR="008C5CFA" w:rsidRPr="009143B4" w:rsidRDefault="00E82A60"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Ogółem</w:t>
            </w:r>
          </w:p>
        </w:tc>
        <w:tc>
          <w:tcPr>
            <w:tcW w:w="0" w:type="auto"/>
          </w:tcPr>
          <w:p w14:paraId="25CEDC31" w14:textId="77777777" w:rsidR="008C5CFA" w:rsidRPr="009143B4" w:rsidRDefault="00E82A60"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Mężczyźni</w:t>
            </w:r>
          </w:p>
        </w:tc>
        <w:tc>
          <w:tcPr>
            <w:tcW w:w="0" w:type="auto"/>
          </w:tcPr>
          <w:p w14:paraId="0BE1FAA7" w14:textId="77777777" w:rsidR="008C5CFA" w:rsidRPr="009143B4" w:rsidRDefault="00E82A60"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Kobiety</w:t>
            </w:r>
          </w:p>
        </w:tc>
        <w:tc>
          <w:tcPr>
            <w:tcW w:w="0" w:type="auto"/>
            <w:shd w:val="clear" w:color="auto" w:fill="auto"/>
          </w:tcPr>
          <w:p w14:paraId="77598AA4" w14:textId="77777777" w:rsidR="008C5CFA" w:rsidRPr="009143B4" w:rsidRDefault="00E82A60"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Ogółem</w:t>
            </w:r>
          </w:p>
        </w:tc>
        <w:tc>
          <w:tcPr>
            <w:tcW w:w="0" w:type="auto"/>
            <w:shd w:val="clear" w:color="auto" w:fill="auto"/>
          </w:tcPr>
          <w:p w14:paraId="4128BBB3" w14:textId="77777777" w:rsidR="008C5CFA" w:rsidRPr="009143B4" w:rsidRDefault="00E82A60"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Mężczyźni</w:t>
            </w:r>
          </w:p>
        </w:tc>
        <w:tc>
          <w:tcPr>
            <w:tcW w:w="0" w:type="auto"/>
            <w:shd w:val="clear" w:color="auto" w:fill="auto"/>
          </w:tcPr>
          <w:p w14:paraId="52B5A143" w14:textId="77777777" w:rsidR="008C5CFA" w:rsidRPr="009143B4" w:rsidRDefault="00E82A60"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Kobiety</w:t>
            </w:r>
          </w:p>
        </w:tc>
      </w:tr>
      <w:tr w:rsidR="006B2EC1" w14:paraId="1056441E" w14:textId="77777777" w:rsidTr="0047688D">
        <w:tc>
          <w:tcPr>
            <w:tcW w:w="0" w:type="auto"/>
          </w:tcPr>
          <w:p w14:paraId="7EEE9C4E" w14:textId="77777777" w:rsidR="008C5CFA" w:rsidRPr="0024468B" w:rsidRDefault="00E82A60" w:rsidP="00300A01">
            <w:pPr>
              <w:spacing w:before="0" w:after="0"/>
              <w:rPr>
                <w:sz w:val="16"/>
                <w:szCs w:val="16"/>
                <w:lang w:val="fr-BE"/>
              </w:rPr>
            </w:pPr>
            <w:r>
              <w:rPr>
                <w:noProof/>
                <w:sz w:val="16"/>
                <w:szCs w:val="16"/>
                <w:lang w:val="fr-BE"/>
              </w:rPr>
              <w:t>F</w:t>
            </w:r>
          </w:p>
        </w:tc>
        <w:tc>
          <w:tcPr>
            <w:tcW w:w="0" w:type="auto"/>
            <w:shd w:val="clear" w:color="auto" w:fill="auto"/>
          </w:tcPr>
          <w:p w14:paraId="22EF458A" w14:textId="77777777" w:rsidR="008C5CFA" w:rsidRPr="0024468B" w:rsidRDefault="00E82A60" w:rsidP="00300A01">
            <w:pPr>
              <w:spacing w:before="0" w:after="0"/>
              <w:rPr>
                <w:sz w:val="16"/>
                <w:szCs w:val="16"/>
                <w:lang w:val="fr-BE"/>
              </w:rPr>
            </w:pPr>
            <w:r>
              <w:rPr>
                <w:noProof/>
                <w:sz w:val="16"/>
                <w:szCs w:val="16"/>
                <w:lang w:val="fr-BE"/>
              </w:rPr>
              <w:t>036</w:t>
            </w:r>
          </w:p>
        </w:tc>
        <w:tc>
          <w:tcPr>
            <w:tcW w:w="0" w:type="auto"/>
            <w:shd w:val="clear" w:color="auto" w:fill="auto"/>
          </w:tcPr>
          <w:p w14:paraId="504B7382" w14:textId="77777777" w:rsidR="008C5CFA" w:rsidRPr="0024468B" w:rsidRDefault="00E82A60" w:rsidP="00300A01">
            <w:pPr>
              <w:spacing w:before="0" w:after="0"/>
              <w:rPr>
                <w:sz w:val="16"/>
                <w:szCs w:val="16"/>
                <w:lang w:val="fr-BE"/>
              </w:rPr>
            </w:pPr>
            <w:r>
              <w:rPr>
                <w:noProof/>
                <w:sz w:val="16"/>
                <w:szCs w:val="16"/>
                <w:lang w:val="fr-BE"/>
              </w:rPr>
              <w:t>Wzrost oczekiwanej liczby odwiedzin w objętych wsparciem miejscach należących do dziedzictwa kulturowego i naturalnego oraz stanowiących atrakcje turystyczne</w:t>
            </w:r>
          </w:p>
        </w:tc>
        <w:tc>
          <w:tcPr>
            <w:tcW w:w="0" w:type="auto"/>
          </w:tcPr>
          <w:p w14:paraId="799B1ACA" w14:textId="77777777" w:rsidR="008C5CFA" w:rsidRPr="0024468B" w:rsidRDefault="00E82A60" w:rsidP="00300A01">
            <w:pPr>
              <w:spacing w:before="0" w:after="0"/>
              <w:jc w:val="right"/>
              <w:rPr>
                <w:sz w:val="16"/>
                <w:szCs w:val="16"/>
                <w:lang w:val="fr-BE"/>
              </w:rPr>
            </w:pPr>
            <w:r w:rsidRPr="0024468B">
              <w:rPr>
                <w:noProof/>
                <w:sz w:val="16"/>
                <w:szCs w:val="16"/>
                <w:lang w:val="fr-BE"/>
              </w:rPr>
              <w:t>2 958,00</w:t>
            </w:r>
          </w:p>
        </w:tc>
        <w:tc>
          <w:tcPr>
            <w:tcW w:w="0" w:type="auto"/>
          </w:tcPr>
          <w:p w14:paraId="4E5FAC0C"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47581B28"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1A169C5C"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70792C31"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73A14B89"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0DDBAACD"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3F3440D5"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52A7F45C"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r w:rsidR="006B2EC1" w14:paraId="7F20C5AD" w14:textId="77777777" w:rsidTr="0047688D">
        <w:tc>
          <w:tcPr>
            <w:tcW w:w="0" w:type="auto"/>
          </w:tcPr>
          <w:p w14:paraId="587FEC71" w14:textId="77777777" w:rsidR="008C5CFA" w:rsidRPr="0024468B" w:rsidRDefault="00E82A60" w:rsidP="00300A01">
            <w:pPr>
              <w:spacing w:before="0" w:after="0"/>
              <w:rPr>
                <w:sz w:val="16"/>
                <w:szCs w:val="16"/>
                <w:lang w:val="fr-BE"/>
              </w:rPr>
            </w:pPr>
            <w:r>
              <w:rPr>
                <w:noProof/>
                <w:sz w:val="16"/>
                <w:szCs w:val="16"/>
                <w:lang w:val="fr-BE"/>
              </w:rPr>
              <w:t>S</w:t>
            </w:r>
          </w:p>
        </w:tc>
        <w:tc>
          <w:tcPr>
            <w:tcW w:w="0" w:type="auto"/>
            <w:shd w:val="clear" w:color="auto" w:fill="auto"/>
          </w:tcPr>
          <w:p w14:paraId="3E9E9812" w14:textId="77777777" w:rsidR="008C5CFA" w:rsidRPr="0024468B" w:rsidRDefault="00E82A60" w:rsidP="00300A01">
            <w:pPr>
              <w:spacing w:before="0" w:after="0"/>
              <w:rPr>
                <w:sz w:val="16"/>
                <w:szCs w:val="16"/>
                <w:lang w:val="fr-BE"/>
              </w:rPr>
            </w:pPr>
            <w:r>
              <w:rPr>
                <w:noProof/>
                <w:sz w:val="16"/>
                <w:szCs w:val="16"/>
                <w:lang w:val="fr-BE"/>
              </w:rPr>
              <w:t>036</w:t>
            </w:r>
          </w:p>
        </w:tc>
        <w:tc>
          <w:tcPr>
            <w:tcW w:w="0" w:type="auto"/>
            <w:shd w:val="clear" w:color="auto" w:fill="auto"/>
          </w:tcPr>
          <w:p w14:paraId="653CCF64" w14:textId="77777777" w:rsidR="008C5CFA" w:rsidRPr="0024468B" w:rsidRDefault="00E82A60" w:rsidP="00300A01">
            <w:pPr>
              <w:spacing w:before="0" w:after="0"/>
              <w:rPr>
                <w:sz w:val="16"/>
                <w:szCs w:val="16"/>
                <w:lang w:val="fr-BE"/>
              </w:rPr>
            </w:pPr>
            <w:r>
              <w:rPr>
                <w:noProof/>
                <w:sz w:val="16"/>
                <w:szCs w:val="16"/>
                <w:lang w:val="fr-BE"/>
              </w:rPr>
              <w:t>Wzrost oczekiwanej liczby odwiedzin w objętych wsparciem miejscach należących do dziedzictwa kulturowego i naturalnego oraz stanowiących atrakcje turystyczne</w:t>
            </w:r>
          </w:p>
        </w:tc>
        <w:tc>
          <w:tcPr>
            <w:tcW w:w="0" w:type="auto"/>
          </w:tcPr>
          <w:p w14:paraId="68ED1BE6" w14:textId="77777777" w:rsidR="008C5CFA" w:rsidRPr="0024468B" w:rsidRDefault="00E82A60" w:rsidP="00300A01">
            <w:pPr>
              <w:spacing w:before="0" w:after="0"/>
              <w:jc w:val="right"/>
              <w:rPr>
                <w:sz w:val="16"/>
                <w:szCs w:val="16"/>
                <w:lang w:val="fr-BE"/>
              </w:rPr>
            </w:pPr>
            <w:r w:rsidRPr="0024468B">
              <w:rPr>
                <w:noProof/>
                <w:sz w:val="16"/>
                <w:szCs w:val="16"/>
                <w:lang w:val="fr-BE"/>
              </w:rPr>
              <w:t>526 928,00</w:t>
            </w:r>
          </w:p>
        </w:tc>
        <w:tc>
          <w:tcPr>
            <w:tcW w:w="0" w:type="auto"/>
          </w:tcPr>
          <w:p w14:paraId="6B5427F6"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168DE74E"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5CEF5434" w14:textId="77777777" w:rsidR="008C5CFA" w:rsidRPr="0024468B" w:rsidRDefault="00E82A60" w:rsidP="00300A01">
            <w:pPr>
              <w:spacing w:before="0" w:after="0"/>
              <w:jc w:val="right"/>
              <w:rPr>
                <w:sz w:val="16"/>
                <w:szCs w:val="16"/>
                <w:lang w:val="fr-BE"/>
              </w:rPr>
            </w:pPr>
            <w:r w:rsidRPr="0024468B">
              <w:rPr>
                <w:noProof/>
                <w:sz w:val="16"/>
                <w:szCs w:val="16"/>
                <w:lang w:val="fr-BE"/>
              </w:rPr>
              <w:t>17 670,00</w:t>
            </w:r>
          </w:p>
        </w:tc>
        <w:tc>
          <w:tcPr>
            <w:tcW w:w="0" w:type="auto"/>
          </w:tcPr>
          <w:p w14:paraId="647E49EC"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5BE6C650"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3F52D443"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67A5E913"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62EB7CD4"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r w:rsidR="006B2EC1" w14:paraId="3D6B55C7" w14:textId="77777777" w:rsidTr="0047688D">
        <w:tc>
          <w:tcPr>
            <w:tcW w:w="0" w:type="auto"/>
          </w:tcPr>
          <w:p w14:paraId="274C76EF" w14:textId="77777777" w:rsidR="008C5CFA" w:rsidRPr="0024468B" w:rsidRDefault="00E82A60" w:rsidP="00300A01">
            <w:pPr>
              <w:spacing w:before="0" w:after="0"/>
              <w:rPr>
                <w:sz w:val="16"/>
                <w:szCs w:val="16"/>
                <w:lang w:val="fr-BE"/>
              </w:rPr>
            </w:pPr>
            <w:r>
              <w:rPr>
                <w:noProof/>
                <w:sz w:val="16"/>
                <w:szCs w:val="16"/>
                <w:lang w:val="fr-BE"/>
              </w:rPr>
              <w:t>F</w:t>
            </w:r>
          </w:p>
        </w:tc>
        <w:tc>
          <w:tcPr>
            <w:tcW w:w="0" w:type="auto"/>
            <w:shd w:val="clear" w:color="auto" w:fill="auto"/>
          </w:tcPr>
          <w:p w14:paraId="3B7B76AE" w14:textId="77777777" w:rsidR="008C5CFA" w:rsidRPr="0024468B" w:rsidRDefault="00E82A60" w:rsidP="00300A01">
            <w:pPr>
              <w:spacing w:before="0" w:after="0"/>
              <w:rPr>
                <w:sz w:val="16"/>
                <w:szCs w:val="16"/>
                <w:lang w:val="fr-BE"/>
              </w:rPr>
            </w:pPr>
            <w:r>
              <w:rPr>
                <w:noProof/>
                <w:sz w:val="16"/>
                <w:szCs w:val="16"/>
                <w:lang w:val="fr-BE"/>
              </w:rPr>
              <w:t>60</w:t>
            </w:r>
          </w:p>
        </w:tc>
        <w:tc>
          <w:tcPr>
            <w:tcW w:w="0" w:type="auto"/>
            <w:shd w:val="clear" w:color="auto" w:fill="auto"/>
          </w:tcPr>
          <w:p w14:paraId="0A84D279" w14:textId="77777777" w:rsidR="008C5CFA" w:rsidRPr="0024468B" w:rsidRDefault="00E82A60" w:rsidP="00300A01">
            <w:pPr>
              <w:spacing w:before="0" w:after="0"/>
              <w:rPr>
                <w:sz w:val="16"/>
                <w:szCs w:val="16"/>
                <w:lang w:val="fr-BE"/>
              </w:rPr>
            </w:pPr>
            <w:r>
              <w:rPr>
                <w:noProof/>
                <w:sz w:val="16"/>
                <w:szCs w:val="16"/>
                <w:lang w:val="fr-BE"/>
              </w:rPr>
              <w:t>Liczba zabytków nieruchomych objętych wsparciem</w:t>
            </w:r>
          </w:p>
        </w:tc>
        <w:tc>
          <w:tcPr>
            <w:tcW w:w="0" w:type="auto"/>
          </w:tcPr>
          <w:p w14:paraId="248B1698" w14:textId="77777777" w:rsidR="008C5CFA" w:rsidRPr="0024468B" w:rsidRDefault="00E82A60" w:rsidP="00300A01">
            <w:pPr>
              <w:spacing w:before="0" w:after="0"/>
              <w:jc w:val="right"/>
              <w:rPr>
                <w:sz w:val="16"/>
                <w:szCs w:val="16"/>
                <w:lang w:val="fr-BE"/>
              </w:rPr>
            </w:pPr>
            <w:r w:rsidRPr="0024468B">
              <w:rPr>
                <w:noProof/>
                <w:sz w:val="16"/>
                <w:szCs w:val="16"/>
                <w:lang w:val="fr-BE"/>
              </w:rPr>
              <w:t>21,00</w:t>
            </w:r>
          </w:p>
        </w:tc>
        <w:tc>
          <w:tcPr>
            <w:tcW w:w="0" w:type="auto"/>
          </w:tcPr>
          <w:p w14:paraId="06EE8643"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07A15EEF"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54C398D7"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6ECB5BC6"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0A8CBBCF"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540DB7DC"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2D534D96"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6FD44516"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r w:rsidR="006B2EC1" w14:paraId="7A520B94" w14:textId="77777777" w:rsidTr="0047688D">
        <w:tc>
          <w:tcPr>
            <w:tcW w:w="0" w:type="auto"/>
          </w:tcPr>
          <w:p w14:paraId="59C685A3" w14:textId="77777777" w:rsidR="008C5CFA" w:rsidRPr="0024468B" w:rsidRDefault="00E82A60" w:rsidP="00300A01">
            <w:pPr>
              <w:spacing w:before="0" w:after="0"/>
              <w:rPr>
                <w:sz w:val="16"/>
                <w:szCs w:val="16"/>
                <w:lang w:val="fr-BE"/>
              </w:rPr>
            </w:pPr>
            <w:r>
              <w:rPr>
                <w:noProof/>
                <w:sz w:val="16"/>
                <w:szCs w:val="16"/>
                <w:lang w:val="fr-BE"/>
              </w:rPr>
              <w:t>S</w:t>
            </w:r>
          </w:p>
        </w:tc>
        <w:tc>
          <w:tcPr>
            <w:tcW w:w="0" w:type="auto"/>
            <w:shd w:val="clear" w:color="auto" w:fill="auto"/>
          </w:tcPr>
          <w:p w14:paraId="3001AFF5" w14:textId="77777777" w:rsidR="008C5CFA" w:rsidRPr="0024468B" w:rsidRDefault="00E82A60" w:rsidP="00300A01">
            <w:pPr>
              <w:spacing w:before="0" w:after="0"/>
              <w:rPr>
                <w:sz w:val="16"/>
                <w:szCs w:val="16"/>
                <w:lang w:val="fr-BE"/>
              </w:rPr>
            </w:pPr>
            <w:r>
              <w:rPr>
                <w:noProof/>
                <w:sz w:val="16"/>
                <w:szCs w:val="16"/>
                <w:lang w:val="fr-BE"/>
              </w:rPr>
              <w:t>60</w:t>
            </w:r>
          </w:p>
        </w:tc>
        <w:tc>
          <w:tcPr>
            <w:tcW w:w="0" w:type="auto"/>
            <w:shd w:val="clear" w:color="auto" w:fill="auto"/>
          </w:tcPr>
          <w:p w14:paraId="4BC81981" w14:textId="77777777" w:rsidR="008C5CFA" w:rsidRPr="0024468B" w:rsidRDefault="00E82A60" w:rsidP="00300A01">
            <w:pPr>
              <w:spacing w:before="0" w:after="0"/>
              <w:rPr>
                <w:sz w:val="16"/>
                <w:szCs w:val="16"/>
                <w:lang w:val="fr-BE"/>
              </w:rPr>
            </w:pPr>
            <w:r>
              <w:rPr>
                <w:noProof/>
                <w:sz w:val="16"/>
                <w:szCs w:val="16"/>
                <w:lang w:val="fr-BE"/>
              </w:rPr>
              <w:t>Liczba zabytków nieruchomych objętych wsparciem</w:t>
            </w:r>
          </w:p>
        </w:tc>
        <w:tc>
          <w:tcPr>
            <w:tcW w:w="0" w:type="auto"/>
          </w:tcPr>
          <w:p w14:paraId="568738FD" w14:textId="77777777" w:rsidR="008C5CFA" w:rsidRPr="0024468B" w:rsidRDefault="00E82A60" w:rsidP="00300A01">
            <w:pPr>
              <w:spacing w:before="0" w:after="0"/>
              <w:jc w:val="right"/>
              <w:rPr>
                <w:sz w:val="16"/>
                <w:szCs w:val="16"/>
                <w:lang w:val="fr-BE"/>
              </w:rPr>
            </w:pPr>
            <w:r w:rsidRPr="0024468B">
              <w:rPr>
                <w:noProof/>
                <w:sz w:val="16"/>
                <w:szCs w:val="16"/>
                <w:lang w:val="fr-BE"/>
              </w:rPr>
              <w:t>33,00</w:t>
            </w:r>
          </w:p>
        </w:tc>
        <w:tc>
          <w:tcPr>
            <w:tcW w:w="0" w:type="auto"/>
          </w:tcPr>
          <w:p w14:paraId="1CA2148F"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10FB72D7"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1971611F" w14:textId="77777777" w:rsidR="008C5CFA" w:rsidRPr="0024468B" w:rsidRDefault="00E82A60" w:rsidP="00300A01">
            <w:pPr>
              <w:spacing w:before="0" w:after="0"/>
              <w:jc w:val="right"/>
              <w:rPr>
                <w:sz w:val="16"/>
                <w:szCs w:val="16"/>
                <w:lang w:val="fr-BE"/>
              </w:rPr>
            </w:pPr>
            <w:r w:rsidRPr="0024468B">
              <w:rPr>
                <w:noProof/>
                <w:sz w:val="16"/>
                <w:szCs w:val="16"/>
                <w:lang w:val="fr-BE"/>
              </w:rPr>
              <w:t>2,00</w:t>
            </w:r>
          </w:p>
        </w:tc>
        <w:tc>
          <w:tcPr>
            <w:tcW w:w="0" w:type="auto"/>
          </w:tcPr>
          <w:p w14:paraId="2DA7B2E3"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15867307"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61F78EBC"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712BAF2A"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33EBDB8A"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r w:rsidR="006B2EC1" w14:paraId="3195AF46" w14:textId="77777777" w:rsidTr="0047688D">
        <w:tc>
          <w:tcPr>
            <w:tcW w:w="0" w:type="auto"/>
          </w:tcPr>
          <w:p w14:paraId="389333CA" w14:textId="77777777" w:rsidR="008C5CFA" w:rsidRPr="0024468B" w:rsidRDefault="00E82A60" w:rsidP="00300A01">
            <w:pPr>
              <w:spacing w:before="0" w:after="0"/>
              <w:rPr>
                <w:sz w:val="16"/>
                <w:szCs w:val="16"/>
                <w:lang w:val="fr-BE"/>
              </w:rPr>
            </w:pPr>
            <w:r>
              <w:rPr>
                <w:noProof/>
                <w:sz w:val="16"/>
                <w:szCs w:val="16"/>
                <w:lang w:val="fr-BE"/>
              </w:rPr>
              <w:t>F</w:t>
            </w:r>
          </w:p>
        </w:tc>
        <w:tc>
          <w:tcPr>
            <w:tcW w:w="0" w:type="auto"/>
            <w:shd w:val="clear" w:color="auto" w:fill="auto"/>
          </w:tcPr>
          <w:p w14:paraId="02368C27" w14:textId="77777777" w:rsidR="008C5CFA" w:rsidRPr="0024468B" w:rsidRDefault="00E82A60" w:rsidP="00300A01">
            <w:pPr>
              <w:spacing w:before="0" w:after="0"/>
              <w:rPr>
                <w:sz w:val="16"/>
                <w:szCs w:val="16"/>
                <w:lang w:val="fr-BE"/>
              </w:rPr>
            </w:pPr>
            <w:r>
              <w:rPr>
                <w:noProof/>
                <w:sz w:val="16"/>
                <w:szCs w:val="16"/>
                <w:lang w:val="fr-BE"/>
              </w:rPr>
              <w:t>61</w:t>
            </w:r>
          </w:p>
        </w:tc>
        <w:tc>
          <w:tcPr>
            <w:tcW w:w="0" w:type="auto"/>
            <w:shd w:val="clear" w:color="auto" w:fill="auto"/>
          </w:tcPr>
          <w:p w14:paraId="01AB5763" w14:textId="77777777" w:rsidR="008C5CFA" w:rsidRPr="0024468B" w:rsidRDefault="00E82A60" w:rsidP="00300A01">
            <w:pPr>
              <w:spacing w:before="0" w:after="0"/>
              <w:rPr>
                <w:sz w:val="16"/>
                <w:szCs w:val="16"/>
                <w:lang w:val="fr-BE"/>
              </w:rPr>
            </w:pPr>
            <w:r>
              <w:rPr>
                <w:noProof/>
                <w:sz w:val="16"/>
                <w:szCs w:val="16"/>
                <w:lang w:val="fr-BE"/>
              </w:rPr>
              <w:t>Liczba instytucji kultury objętych wsparciem</w:t>
            </w:r>
          </w:p>
        </w:tc>
        <w:tc>
          <w:tcPr>
            <w:tcW w:w="0" w:type="auto"/>
          </w:tcPr>
          <w:p w14:paraId="254432AE" w14:textId="77777777" w:rsidR="008C5CFA" w:rsidRPr="0024468B" w:rsidRDefault="00E82A60" w:rsidP="00300A01">
            <w:pPr>
              <w:spacing w:before="0" w:after="0"/>
              <w:jc w:val="right"/>
              <w:rPr>
                <w:sz w:val="16"/>
                <w:szCs w:val="16"/>
                <w:lang w:val="fr-BE"/>
              </w:rPr>
            </w:pPr>
            <w:r w:rsidRPr="0024468B">
              <w:rPr>
                <w:noProof/>
                <w:sz w:val="16"/>
                <w:szCs w:val="16"/>
                <w:lang w:val="fr-BE"/>
              </w:rPr>
              <w:t>22,00</w:t>
            </w:r>
          </w:p>
        </w:tc>
        <w:tc>
          <w:tcPr>
            <w:tcW w:w="0" w:type="auto"/>
          </w:tcPr>
          <w:p w14:paraId="44591326"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2840781E"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4C4CCC2C"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39419372"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23C23FA0"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6E0FB457"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6B8657ED"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1BE815B6"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r w:rsidR="006B2EC1" w14:paraId="46334AB3" w14:textId="77777777" w:rsidTr="0047688D">
        <w:tc>
          <w:tcPr>
            <w:tcW w:w="0" w:type="auto"/>
          </w:tcPr>
          <w:p w14:paraId="5671E732" w14:textId="77777777" w:rsidR="008C5CFA" w:rsidRPr="0024468B" w:rsidRDefault="00E82A60" w:rsidP="00300A01">
            <w:pPr>
              <w:spacing w:before="0" w:after="0"/>
              <w:rPr>
                <w:sz w:val="16"/>
                <w:szCs w:val="16"/>
                <w:lang w:val="fr-BE"/>
              </w:rPr>
            </w:pPr>
            <w:r>
              <w:rPr>
                <w:noProof/>
                <w:sz w:val="16"/>
                <w:szCs w:val="16"/>
                <w:lang w:val="fr-BE"/>
              </w:rPr>
              <w:lastRenderedPageBreak/>
              <w:t>S</w:t>
            </w:r>
          </w:p>
        </w:tc>
        <w:tc>
          <w:tcPr>
            <w:tcW w:w="0" w:type="auto"/>
            <w:shd w:val="clear" w:color="auto" w:fill="auto"/>
          </w:tcPr>
          <w:p w14:paraId="6ABF500A" w14:textId="77777777" w:rsidR="008C5CFA" w:rsidRPr="0024468B" w:rsidRDefault="00E82A60" w:rsidP="00300A01">
            <w:pPr>
              <w:spacing w:before="0" w:after="0"/>
              <w:rPr>
                <w:sz w:val="16"/>
                <w:szCs w:val="16"/>
                <w:lang w:val="fr-BE"/>
              </w:rPr>
            </w:pPr>
            <w:r>
              <w:rPr>
                <w:noProof/>
                <w:sz w:val="16"/>
                <w:szCs w:val="16"/>
                <w:lang w:val="fr-BE"/>
              </w:rPr>
              <w:t>61</w:t>
            </w:r>
          </w:p>
        </w:tc>
        <w:tc>
          <w:tcPr>
            <w:tcW w:w="0" w:type="auto"/>
            <w:shd w:val="clear" w:color="auto" w:fill="auto"/>
          </w:tcPr>
          <w:p w14:paraId="486E7888" w14:textId="77777777" w:rsidR="008C5CFA" w:rsidRPr="0024468B" w:rsidRDefault="00E82A60" w:rsidP="00300A01">
            <w:pPr>
              <w:spacing w:before="0" w:after="0"/>
              <w:rPr>
                <w:sz w:val="16"/>
                <w:szCs w:val="16"/>
                <w:lang w:val="fr-BE"/>
              </w:rPr>
            </w:pPr>
            <w:r>
              <w:rPr>
                <w:noProof/>
                <w:sz w:val="16"/>
                <w:szCs w:val="16"/>
                <w:lang w:val="fr-BE"/>
              </w:rPr>
              <w:t>Liczba instytucji kultury objętych wsparciem</w:t>
            </w:r>
          </w:p>
        </w:tc>
        <w:tc>
          <w:tcPr>
            <w:tcW w:w="0" w:type="auto"/>
          </w:tcPr>
          <w:p w14:paraId="5112DEA2" w14:textId="77777777" w:rsidR="008C5CFA" w:rsidRPr="0024468B" w:rsidRDefault="00E82A60" w:rsidP="00300A01">
            <w:pPr>
              <w:spacing w:before="0" w:after="0"/>
              <w:jc w:val="right"/>
              <w:rPr>
                <w:sz w:val="16"/>
                <w:szCs w:val="16"/>
                <w:lang w:val="fr-BE"/>
              </w:rPr>
            </w:pPr>
            <w:r w:rsidRPr="0024468B">
              <w:rPr>
                <w:noProof/>
                <w:sz w:val="16"/>
                <w:szCs w:val="16"/>
                <w:lang w:val="fr-BE"/>
              </w:rPr>
              <w:t>37,00</w:t>
            </w:r>
          </w:p>
        </w:tc>
        <w:tc>
          <w:tcPr>
            <w:tcW w:w="0" w:type="auto"/>
          </w:tcPr>
          <w:p w14:paraId="5BF3D5E6"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3461CBB8"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26D132A7" w14:textId="77777777" w:rsidR="008C5CFA" w:rsidRPr="0024468B" w:rsidRDefault="00E82A60" w:rsidP="00300A01">
            <w:pPr>
              <w:spacing w:before="0" w:after="0"/>
              <w:jc w:val="right"/>
              <w:rPr>
                <w:sz w:val="16"/>
                <w:szCs w:val="16"/>
                <w:lang w:val="fr-BE"/>
              </w:rPr>
            </w:pPr>
            <w:r w:rsidRPr="0024468B">
              <w:rPr>
                <w:noProof/>
                <w:sz w:val="16"/>
                <w:szCs w:val="16"/>
                <w:lang w:val="fr-BE"/>
              </w:rPr>
              <w:t>4,00</w:t>
            </w:r>
          </w:p>
        </w:tc>
        <w:tc>
          <w:tcPr>
            <w:tcW w:w="0" w:type="auto"/>
          </w:tcPr>
          <w:p w14:paraId="4290FE38"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4F75841B"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6A59F0E0"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177A9EE3"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562E3850"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bl>
    <w:p w14:paraId="38C5959C"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01"/>
        <w:gridCol w:w="354"/>
        <w:gridCol w:w="8573"/>
        <w:gridCol w:w="927"/>
        <w:gridCol w:w="1113"/>
        <w:gridCol w:w="937"/>
        <w:gridCol w:w="928"/>
        <w:gridCol w:w="1114"/>
        <w:gridCol w:w="937"/>
      </w:tblGrid>
      <w:tr w:rsidR="006B2EC1" w14:paraId="61E122D8" w14:textId="77777777" w:rsidTr="0047688D">
        <w:trPr>
          <w:tblHeader/>
        </w:trPr>
        <w:tc>
          <w:tcPr>
            <w:tcW w:w="0" w:type="auto"/>
          </w:tcPr>
          <w:p w14:paraId="0F0960AF" w14:textId="77777777" w:rsidR="008C5CFA" w:rsidRPr="009143B4" w:rsidRDefault="00E82A60" w:rsidP="00300A01">
            <w:pPr>
              <w:spacing w:before="0" w:after="0"/>
              <w:rPr>
                <w:b/>
                <w:sz w:val="16"/>
                <w:szCs w:val="16"/>
                <w:lang w:val="fr-BE"/>
              </w:rPr>
            </w:pPr>
            <w:r w:rsidRPr="009143B4">
              <w:rPr>
                <w:b/>
                <w:sz w:val="16"/>
                <w:szCs w:val="16"/>
                <w:lang w:val="fr-BE"/>
              </w:rPr>
              <w:t>(1)</w:t>
            </w:r>
          </w:p>
        </w:tc>
        <w:tc>
          <w:tcPr>
            <w:tcW w:w="0" w:type="auto"/>
            <w:shd w:val="clear" w:color="auto" w:fill="auto"/>
          </w:tcPr>
          <w:p w14:paraId="75CED956" w14:textId="77777777" w:rsidR="008C5CFA" w:rsidRPr="009143B4" w:rsidRDefault="00E82A60" w:rsidP="00300A01">
            <w:pPr>
              <w:spacing w:before="0" w:after="0"/>
              <w:rPr>
                <w:b/>
                <w:sz w:val="16"/>
                <w:szCs w:val="16"/>
                <w:lang w:val="fr-BE"/>
              </w:rPr>
            </w:pPr>
            <w:r w:rsidRPr="009143B4">
              <w:rPr>
                <w:b/>
                <w:noProof/>
                <w:sz w:val="16"/>
                <w:szCs w:val="16"/>
                <w:lang w:val="fr-BE"/>
              </w:rPr>
              <w:t>ID</w:t>
            </w:r>
          </w:p>
        </w:tc>
        <w:tc>
          <w:tcPr>
            <w:tcW w:w="0" w:type="auto"/>
            <w:shd w:val="clear" w:color="auto" w:fill="auto"/>
          </w:tcPr>
          <w:p w14:paraId="1B74A830" w14:textId="77777777" w:rsidR="008C5CFA" w:rsidRPr="009143B4" w:rsidRDefault="00E82A60" w:rsidP="00300A01">
            <w:pPr>
              <w:spacing w:before="0" w:after="0"/>
              <w:rPr>
                <w:b/>
                <w:sz w:val="16"/>
                <w:szCs w:val="16"/>
                <w:lang w:val="fr-BE"/>
              </w:rPr>
            </w:pPr>
            <w:r w:rsidRPr="009143B4">
              <w:rPr>
                <w:b/>
                <w:noProof/>
                <w:sz w:val="16"/>
                <w:szCs w:val="16"/>
                <w:lang w:val="fr-BE"/>
              </w:rPr>
              <w:t>Wskaźnik</w:t>
            </w:r>
          </w:p>
        </w:tc>
        <w:tc>
          <w:tcPr>
            <w:tcW w:w="0" w:type="auto"/>
          </w:tcPr>
          <w:p w14:paraId="6564FB4C" w14:textId="77777777" w:rsidR="008C5CFA" w:rsidRPr="009143B4" w:rsidRDefault="00E82A60"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Ogółem</w:t>
            </w:r>
          </w:p>
        </w:tc>
        <w:tc>
          <w:tcPr>
            <w:tcW w:w="0" w:type="auto"/>
          </w:tcPr>
          <w:p w14:paraId="6E0985D9" w14:textId="77777777" w:rsidR="008C5CFA" w:rsidRPr="009143B4" w:rsidRDefault="00E82A60"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Mężczyźni</w:t>
            </w:r>
          </w:p>
        </w:tc>
        <w:tc>
          <w:tcPr>
            <w:tcW w:w="0" w:type="auto"/>
          </w:tcPr>
          <w:p w14:paraId="7E60BD9B" w14:textId="77777777" w:rsidR="008C5CFA" w:rsidRPr="009143B4" w:rsidRDefault="00E82A60"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Kobiety</w:t>
            </w:r>
          </w:p>
        </w:tc>
        <w:tc>
          <w:tcPr>
            <w:tcW w:w="0" w:type="auto"/>
            <w:shd w:val="clear" w:color="auto" w:fill="auto"/>
          </w:tcPr>
          <w:p w14:paraId="6056D32D" w14:textId="77777777" w:rsidR="008C5CFA" w:rsidRPr="009143B4" w:rsidRDefault="00E82A60"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Ogółem</w:t>
            </w:r>
          </w:p>
        </w:tc>
        <w:tc>
          <w:tcPr>
            <w:tcW w:w="0" w:type="auto"/>
            <w:shd w:val="clear" w:color="auto" w:fill="auto"/>
          </w:tcPr>
          <w:p w14:paraId="7DF04687" w14:textId="77777777" w:rsidR="008C5CFA" w:rsidRPr="009143B4" w:rsidRDefault="00E82A60"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Mężczyźni</w:t>
            </w:r>
          </w:p>
        </w:tc>
        <w:tc>
          <w:tcPr>
            <w:tcW w:w="0" w:type="auto"/>
            <w:shd w:val="clear" w:color="auto" w:fill="auto"/>
          </w:tcPr>
          <w:p w14:paraId="05CE9970" w14:textId="77777777" w:rsidR="008C5CFA" w:rsidRPr="009143B4" w:rsidRDefault="00E82A60"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Kobiety</w:t>
            </w:r>
          </w:p>
        </w:tc>
      </w:tr>
      <w:tr w:rsidR="006B2EC1" w14:paraId="7F844082" w14:textId="77777777" w:rsidTr="0047688D">
        <w:tc>
          <w:tcPr>
            <w:tcW w:w="0" w:type="auto"/>
          </w:tcPr>
          <w:p w14:paraId="1502AB69" w14:textId="77777777" w:rsidR="008C5CFA" w:rsidRPr="0024468B" w:rsidRDefault="00E82A60" w:rsidP="00300A01">
            <w:pPr>
              <w:spacing w:before="0" w:after="0"/>
              <w:rPr>
                <w:sz w:val="16"/>
                <w:szCs w:val="16"/>
                <w:lang w:val="fr-BE"/>
              </w:rPr>
            </w:pPr>
            <w:r>
              <w:rPr>
                <w:noProof/>
                <w:sz w:val="16"/>
                <w:szCs w:val="16"/>
                <w:lang w:val="fr-BE"/>
              </w:rPr>
              <w:t>F</w:t>
            </w:r>
          </w:p>
        </w:tc>
        <w:tc>
          <w:tcPr>
            <w:tcW w:w="0" w:type="auto"/>
            <w:shd w:val="clear" w:color="auto" w:fill="auto"/>
          </w:tcPr>
          <w:p w14:paraId="2276A70D" w14:textId="77777777" w:rsidR="008C5CFA" w:rsidRPr="0024468B" w:rsidRDefault="00E82A60" w:rsidP="00300A01">
            <w:pPr>
              <w:spacing w:before="0" w:after="0"/>
              <w:rPr>
                <w:sz w:val="16"/>
                <w:szCs w:val="16"/>
                <w:lang w:val="fr-BE"/>
              </w:rPr>
            </w:pPr>
            <w:r>
              <w:rPr>
                <w:noProof/>
                <w:sz w:val="16"/>
                <w:szCs w:val="16"/>
                <w:lang w:val="fr-BE"/>
              </w:rPr>
              <w:t>036</w:t>
            </w:r>
          </w:p>
        </w:tc>
        <w:tc>
          <w:tcPr>
            <w:tcW w:w="0" w:type="auto"/>
            <w:shd w:val="clear" w:color="auto" w:fill="auto"/>
          </w:tcPr>
          <w:p w14:paraId="3CF35146" w14:textId="77777777" w:rsidR="008C5CFA" w:rsidRPr="0024468B" w:rsidRDefault="00E82A60" w:rsidP="00300A01">
            <w:pPr>
              <w:spacing w:before="0" w:after="0"/>
              <w:rPr>
                <w:sz w:val="16"/>
                <w:szCs w:val="16"/>
                <w:lang w:val="fr-BE"/>
              </w:rPr>
            </w:pPr>
            <w:r>
              <w:rPr>
                <w:noProof/>
                <w:sz w:val="16"/>
                <w:szCs w:val="16"/>
                <w:lang w:val="fr-BE"/>
              </w:rPr>
              <w:t>Wzrost oczekiwanej liczby odwiedzin w objętych wsparciem miejscach należących do dziedzictwa kulturowego i naturalnego oraz stanowiących atrakcje turystyczne</w:t>
            </w:r>
          </w:p>
        </w:tc>
        <w:tc>
          <w:tcPr>
            <w:tcW w:w="0" w:type="auto"/>
          </w:tcPr>
          <w:p w14:paraId="5D81C312"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56255ECE"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72B2F9CC"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5725F5B4"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664FD820"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20232662"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r w:rsidR="006B2EC1" w14:paraId="23157F9B" w14:textId="77777777" w:rsidTr="0047688D">
        <w:tc>
          <w:tcPr>
            <w:tcW w:w="0" w:type="auto"/>
          </w:tcPr>
          <w:p w14:paraId="0FABC34D" w14:textId="77777777" w:rsidR="008C5CFA" w:rsidRPr="0024468B" w:rsidRDefault="00E82A60" w:rsidP="00300A01">
            <w:pPr>
              <w:spacing w:before="0" w:after="0"/>
              <w:rPr>
                <w:sz w:val="16"/>
                <w:szCs w:val="16"/>
                <w:lang w:val="fr-BE"/>
              </w:rPr>
            </w:pPr>
            <w:r>
              <w:rPr>
                <w:noProof/>
                <w:sz w:val="16"/>
                <w:szCs w:val="16"/>
                <w:lang w:val="fr-BE"/>
              </w:rPr>
              <w:t>S</w:t>
            </w:r>
          </w:p>
        </w:tc>
        <w:tc>
          <w:tcPr>
            <w:tcW w:w="0" w:type="auto"/>
            <w:shd w:val="clear" w:color="auto" w:fill="auto"/>
          </w:tcPr>
          <w:p w14:paraId="4B700F0E" w14:textId="77777777" w:rsidR="008C5CFA" w:rsidRPr="0024468B" w:rsidRDefault="00E82A60" w:rsidP="00300A01">
            <w:pPr>
              <w:spacing w:before="0" w:after="0"/>
              <w:rPr>
                <w:sz w:val="16"/>
                <w:szCs w:val="16"/>
                <w:lang w:val="fr-BE"/>
              </w:rPr>
            </w:pPr>
            <w:r>
              <w:rPr>
                <w:noProof/>
                <w:sz w:val="16"/>
                <w:szCs w:val="16"/>
                <w:lang w:val="fr-BE"/>
              </w:rPr>
              <w:t>036</w:t>
            </w:r>
          </w:p>
        </w:tc>
        <w:tc>
          <w:tcPr>
            <w:tcW w:w="0" w:type="auto"/>
            <w:shd w:val="clear" w:color="auto" w:fill="auto"/>
          </w:tcPr>
          <w:p w14:paraId="24FE5AC3" w14:textId="77777777" w:rsidR="008C5CFA" w:rsidRPr="0024468B" w:rsidRDefault="00E82A60" w:rsidP="00300A01">
            <w:pPr>
              <w:spacing w:before="0" w:after="0"/>
              <w:rPr>
                <w:sz w:val="16"/>
                <w:szCs w:val="16"/>
                <w:lang w:val="fr-BE"/>
              </w:rPr>
            </w:pPr>
            <w:r>
              <w:rPr>
                <w:noProof/>
                <w:sz w:val="16"/>
                <w:szCs w:val="16"/>
                <w:lang w:val="fr-BE"/>
              </w:rPr>
              <w:t>Wzrost oczekiwanej liczby odwiedzin w objętych wsparciem miejscach należących do dziedzictwa kulturowego i naturalnego oraz stanowiących atrakcje turystyczne</w:t>
            </w:r>
          </w:p>
        </w:tc>
        <w:tc>
          <w:tcPr>
            <w:tcW w:w="0" w:type="auto"/>
          </w:tcPr>
          <w:p w14:paraId="4CECBA0A"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30A9EB40"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01B2B305"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3F8A8635"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404B6C5C"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2888CC61"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r w:rsidR="006B2EC1" w14:paraId="75709562" w14:textId="77777777" w:rsidTr="0047688D">
        <w:tc>
          <w:tcPr>
            <w:tcW w:w="0" w:type="auto"/>
          </w:tcPr>
          <w:p w14:paraId="0ACD1309" w14:textId="77777777" w:rsidR="008C5CFA" w:rsidRPr="0024468B" w:rsidRDefault="00E82A60" w:rsidP="00300A01">
            <w:pPr>
              <w:spacing w:before="0" w:after="0"/>
              <w:rPr>
                <w:sz w:val="16"/>
                <w:szCs w:val="16"/>
                <w:lang w:val="fr-BE"/>
              </w:rPr>
            </w:pPr>
            <w:r>
              <w:rPr>
                <w:noProof/>
                <w:sz w:val="16"/>
                <w:szCs w:val="16"/>
                <w:lang w:val="fr-BE"/>
              </w:rPr>
              <w:t>F</w:t>
            </w:r>
          </w:p>
        </w:tc>
        <w:tc>
          <w:tcPr>
            <w:tcW w:w="0" w:type="auto"/>
            <w:shd w:val="clear" w:color="auto" w:fill="auto"/>
          </w:tcPr>
          <w:p w14:paraId="785FFCCF" w14:textId="77777777" w:rsidR="008C5CFA" w:rsidRPr="0024468B" w:rsidRDefault="00E82A60" w:rsidP="00300A01">
            <w:pPr>
              <w:spacing w:before="0" w:after="0"/>
              <w:rPr>
                <w:sz w:val="16"/>
                <w:szCs w:val="16"/>
                <w:lang w:val="fr-BE"/>
              </w:rPr>
            </w:pPr>
            <w:r>
              <w:rPr>
                <w:noProof/>
                <w:sz w:val="16"/>
                <w:szCs w:val="16"/>
                <w:lang w:val="fr-BE"/>
              </w:rPr>
              <w:t>60</w:t>
            </w:r>
          </w:p>
        </w:tc>
        <w:tc>
          <w:tcPr>
            <w:tcW w:w="0" w:type="auto"/>
            <w:shd w:val="clear" w:color="auto" w:fill="auto"/>
          </w:tcPr>
          <w:p w14:paraId="1572886A" w14:textId="77777777" w:rsidR="008C5CFA" w:rsidRPr="0024468B" w:rsidRDefault="00E82A60" w:rsidP="00300A01">
            <w:pPr>
              <w:spacing w:before="0" w:after="0"/>
              <w:rPr>
                <w:sz w:val="16"/>
                <w:szCs w:val="16"/>
                <w:lang w:val="fr-BE"/>
              </w:rPr>
            </w:pPr>
            <w:r>
              <w:rPr>
                <w:noProof/>
                <w:sz w:val="16"/>
                <w:szCs w:val="16"/>
                <w:lang w:val="fr-BE"/>
              </w:rPr>
              <w:t>Liczba zabytków nieruchomych objętych wsparciem</w:t>
            </w:r>
          </w:p>
        </w:tc>
        <w:tc>
          <w:tcPr>
            <w:tcW w:w="0" w:type="auto"/>
          </w:tcPr>
          <w:p w14:paraId="65E7FDAF"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0FFBFEBD"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51685C2B"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2BA4D0B6"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6CE7AFF4"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0F561BAE"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r w:rsidR="006B2EC1" w14:paraId="7562D497" w14:textId="77777777" w:rsidTr="0047688D">
        <w:tc>
          <w:tcPr>
            <w:tcW w:w="0" w:type="auto"/>
          </w:tcPr>
          <w:p w14:paraId="7B1FD320" w14:textId="77777777" w:rsidR="008C5CFA" w:rsidRPr="0024468B" w:rsidRDefault="00E82A60" w:rsidP="00300A01">
            <w:pPr>
              <w:spacing w:before="0" w:after="0"/>
              <w:rPr>
                <w:sz w:val="16"/>
                <w:szCs w:val="16"/>
                <w:lang w:val="fr-BE"/>
              </w:rPr>
            </w:pPr>
            <w:r>
              <w:rPr>
                <w:noProof/>
                <w:sz w:val="16"/>
                <w:szCs w:val="16"/>
                <w:lang w:val="fr-BE"/>
              </w:rPr>
              <w:t>S</w:t>
            </w:r>
          </w:p>
        </w:tc>
        <w:tc>
          <w:tcPr>
            <w:tcW w:w="0" w:type="auto"/>
            <w:shd w:val="clear" w:color="auto" w:fill="auto"/>
          </w:tcPr>
          <w:p w14:paraId="0EF35CA7" w14:textId="77777777" w:rsidR="008C5CFA" w:rsidRPr="0024468B" w:rsidRDefault="00E82A60" w:rsidP="00300A01">
            <w:pPr>
              <w:spacing w:before="0" w:after="0"/>
              <w:rPr>
                <w:sz w:val="16"/>
                <w:szCs w:val="16"/>
                <w:lang w:val="fr-BE"/>
              </w:rPr>
            </w:pPr>
            <w:r>
              <w:rPr>
                <w:noProof/>
                <w:sz w:val="16"/>
                <w:szCs w:val="16"/>
                <w:lang w:val="fr-BE"/>
              </w:rPr>
              <w:t>60</w:t>
            </w:r>
          </w:p>
        </w:tc>
        <w:tc>
          <w:tcPr>
            <w:tcW w:w="0" w:type="auto"/>
            <w:shd w:val="clear" w:color="auto" w:fill="auto"/>
          </w:tcPr>
          <w:p w14:paraId="2936270B" w14:textId="77777777" w:rsidR="008C5CFA" w:rsidRPr="0024468B" w:rsidRDefault="00E82A60" w:rsidP="00300A01">
            <w:pPr>
              <w:spacing w:before="0" w:after="0"/>
              <w:rPr>
                <w:sz w:val="16"/>
                <w:szCs w:val="16"/>
                <w:lang w:val="fr-BE"/>
              </w:rPr>
            </w:pPr>
            <w:r>
              <w:rPr>
                <w:noProof/>
                <w:sz w:val="16"/>
                <w:szCs w:val="16"/>
                <w:lang w:val="fr-BE"/>
              </w:rPr>
              <w:t>Liczba zabytków nieruchomych objętych wsparciem</w:t>
            </w:r>
          </w:p>
        </w:tc>
        <w:tc>
          <w:tcPr>
            <w:tcW w:w="0" w:type="auto"/>
          </w:tcPr>
          <w:p w14:paraId="1D84A990"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0569C79E"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461BA4C2"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2D8C6E56"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7F719422"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434CD3B6"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r w:rsidR="006B2EC1" w14:paraId="34C3A484" w14:textId="77777777" w:rsidTr="0047688D">
        <w:tc>
          <w:tcPr>
            <w:tcW w:w="0" w:type="auto"/>
          </w:tcPr>
          <w:p w14:paraId="6B829F23" w14:textId="77777777" w:rsidR="008C5CFA" w:rsidRPr="0024468B" w:rsidRDefault="00E82A60" w:rsidP="00300A01">
            <w:pPr>
              <w:spacing w:before="0" w:after="0"/>
              <w:rPr>
                <w:sz w:val="16"/>
                <w:szCs w:val="16"/>
                <w:lang w:val="fr-BE"/>
              </w:rPr>
            </w:pPr>
            <w:r>
              <w:rPr>
                <w:noProof/>
                <w:sz w:val="16"/>
                <w:szCs w:val="16"/>
                <w:lang w:val="fr-BE"/>
              </w:rPr>
              <w:t>F</w:t>
            </w:r>
          </w:p>
        </w:tc>
        <w:tc>
          <w:tcPr>
            <w:tcW w:w="0" w:type="auto"/>
            <w:shd w:val="clear" w:color="auto" w:fill="auto"/>
          </w:tcPr>
          <w:p w14:paraId="0D1FEC57" w14:textId="77777777" w:rsidR="008C5CFA" w:rsidRPr="0024468B" w:rsidRDefault="00E82A60" w:rsidP="00300A01">
            <w:pPr>
              <w:spacing w:before="0" w:after="0"/>
              <w:rPr>
                <w:sz w:val="16"/>
                <w:szCs w:val="16"/>
                <w:lang w:val="fr-BE"/>
              </w:rPr>
            </w:pPr>
            <w:r>
              <w:rPr>
                <w:noProof/>
                <w:sz w:val="16"/>
                <w:szCs w:val="16"/>
                <w:lang w:val="fr-BE"/>
              </w:rPr>
              <w:t>61</w:t>
            </w:r>
          </w:p>
        </w:tc>
        <w:tc>
          <w:tcPr>
            <w:tcW w:w="0" w:type="auto"/>
            <w:shd w:val="clear" w:color="auto" w:fill="auto"/>
          </w:tcPr>
          <w:p w14:paraId="1CBA8B5E" w14:textId="77777777" w:rsidR="008C5CFA" w:rsidRPr="0024468B" w:rsidRDefault="00E82A60" w:rsidP="00300A01">
            <w:pPr>
              <w:spacing w:before="0" w:after="0"/>
              <w:rPr>
                <w:sz w:val="16"/>
                <w:szCs w:val="16"/>
                <w:lang w:val="fr-BE"/>
              </w:rPr>
            </w:pPr>
            <w:r>
              <w:rPr>
                <w:noProof/>
                <w:sz w:val="16"/>
                <w:szCs w:val="16"/>
                <w:lang w:val="fr-BE"/>
              </w:rPr>
              <w:t>Liczba instytucji kultury objętych wsparciem</w:t>
            </w:r>
          </w:p>
        </w:tc>
        <w:tc>
          <w:tcPr>
            <w:tcW w:w="0" w:type="auto"/>
          </w:tcPr>
          <w:p w14:paraId="3B814CBF"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6A6A0CAF"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0175727D"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11B5E1E1"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09A73E9F"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701A1C7C"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r w:rsidR="006B2EC1" w14:paraId="67DF7578" w14:textId="77777777" w:rsidTr="0047688D">
        <w:tc>
          <w:tcPr>
            <w:tcW w:w="0" w:type="auto"/>
          </w:tcPr>
          <w:p w14:paraId="508B278E" w14:textId="77777777" w:rsidR="008C5CFA" w:rsidRPr="0024468B" w:rsidRDefault="00E82A60" w:rsidP="00300A01">
            <w:pPr>
              <w:spacing w:before="0" w:after="0"/>
              <w:rPr>
                <w:sz w:val="16"/>
                <w:szCs w:val="16"/>
                <w:lang w:val="fr-BE"/>
              </w:rPr>
            </w:pPr>
            <w:r>
              <w:rPr>
                <w:noProof/>
                <w:sz w:val="16"/>
                <w:szCs w:val="16"/>
                <w:lang w:val="fr-BE"/>
              </w:rPr>
              <w:t>S</w:t>
            </w:r>
          </w:p>
        </w:tc>
        <w:tc>
          <w:tcPr>
            <w:tcW w:w="0" w:type="auto"/>
            <w:shd w:val="clear" w:color="auto" w:fill="auto"/>
          </w:tcPr>
          <w:p w14:paraId="057956FE" w14:textId="77777777" w:rsidR="008C5CFA" w:rsidRPr="0024468B" w:rsidRDefault="00E82A60" w:rsidP="00300A01">
            <w:pPr>
              <w:spacing w:before="0" w:after="0"/>
              <w:rPr>
                <w:sz w:val="16"/>
                <w:szCs w:val="16"/>
                <w:lang w:val="fr-BE"/>
              </w:rPr>
            </w:pPr>
            <w:r>
              <w:rPr>
                <w:noProof/>
                <w:sz w:val="16"/>
                <w:szCs w:val="16"/>
                <w:lang w:val="fr-BE"/>
              </w:rPr>
              <w:t>61</w:t>
            </w:r>
          </w:p>
        </w:tc>
        <w:tc>
          <w:tcPr>
            <w:tcW w:w="0" w:type="auto"/>
            <w:shd w:val="clear" w:color="auto" w:fill="auto"/>
          </w:tcPr>
          <w:p w14:paraId="1B0B110A" w14:textId="77777777" w:rsidR="008C5CFA" w:rsidRPr="0024468B" w:rsidRDefault="00E82A60" w:rsidP="00300A01">
            <w:pPr>
              <w:spacing w:before="0" w:after="0"/>
              <w:rPr>
                <w:sz w:val="16"/>
                <w:szCs w:val="16"/>
                <w:lang w:val="fr-BE"/>
              </w:rPr>
            </w:pPr>
            <w:r>
              <w:rPr>
                <w:noProof/>
                <w:sz w:val="16"/>
                <w:szCs w:val="16"/>
                <w:lang w:val="fr-BE"/>
              </w:rPr>
              <w:t>Liczba instytucji kultury objętych wsparciem</w:t>
            </w:r>
          </w:p>
        </w:tc>
        <w:tc>
          <w:tcPr>
            <w:tcW w:w="0" w:type="auto"/>
          </w:tcPr>
          <w:p w14:paraId="12995A0B"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20200E52"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08D22DB8"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02309BBA"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1DD2E4AC"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3E9B5382"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bl>
    <w:p w14:paraId="02AA753B" w14:textId="77777777" w:rsidR="008C5CFA" w:rsidRDefault="008C5CFA" w:rsidP="00300A01">
      <w:pPr>
        <w:spacing w:before="0" w:after="0"/>
        <w:rPr>
          <w:lang w:val="fr-BE"/>
        </w:rPr>
      </w:pPr>
    </w:p>
    <w:p w14:paraId="60601CD7" w14:textId="77777777" w:rsidR="008C5CFA" w:rsidRDefault="008C5CFA" w:rsidP="00300A01">
      <w:pPr>
        <w:spacing w:before="0" w:after="0"/>
        <w:rPr>
          <w:lang w:val="fr-BE"/>
        </w:rPr>
      </w:pPr>
    </w:p>
    <w:p w14:paraId="623F5E17" w14:textId="77777777" w:rsidR="008C5CFA" w:rsidRDefault="00E82A60" w:rsidP="00300A01">
      <w:pPr>
        <w:spacing w:before="0" w:after="0"/>
        <w:rPr>
          <w:lang w:val="fr-BE"/>
        </w:rPr>
      </w:pPr>
      <w:r>
        <w:rPr>
          <w:lang w:val="fr-BE"/>
        </w:rPr>
        <w:br w:type="page"/>
      </w:r>
    </w:p>
    <w:p w14:paraId="34097E1C"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9"/>
        <w:gridCol w:w="11865"/>
      </w:tblGrid>
      <w:tr w:rsidR="006B2EC1" w14:paraId="3F2F56D1" w14:textId="77777777" w:rsidTr="0047688D">
        <w:tc>
          <w:tcPr>
            <w:tcW w:w="0" w:type="auto"/>
            <w:shd w:val="clear" w:color="auto" w:fill="auto"/>
          </w:tcPr>
          <w:p w14:paraId="6B37C545" w14:textId="77777777" w:rsidR="008C5CFA" w:rsidRPr="002124FC" w:rsidRDefault="00E82A60" w:rsidP="00300A01">
            <w:pPr>
              <w:spacing w:before="0" w:after="0"/>
              <w:rPr>
                <w:sz w:val="20"/>
                <w:szCs w:val="20"/>
                <w:lang w:val="fr-BE"/>
              </w:rPr>
            </w:pPr>
            <w:r>
              <w:rPr>
                <w:lang w:val="fr-BE"/>
              </w:rPr>
              <w:br w:type="page"/>
            </w:r>
            <w:r>
              <w:rPr>
                <w:lang w:val="fr-BE"/>
              </w:rPr>
              <w:br w:type="page"/>
            </w:r>
            <w:r>
              <w:rPr>
                <w:lang w:val="fr-BE"/>
              </w:rPr>
              <w:br w:type="page"/>
            </w:r>
            <w:r w:rsidRPr="002124FC">
              <w:rPr>
                <w:noProof/>
                <w:sz w:val="20"/>
                <w:szCs w:val="20"/>
                <w:lang w:val="fr-BE"/>
              </w:rPr>
              <w:t>Oś priorytetowa</w:t>
            </w:r>
          </w:p>
        </w:tc>
        <w:tc>
          <w:tcPr>
            <w:tcW w:w="0" w:type="auto"/>
            <w:shd w:val="clear" w:color="auto" w:fill="auto"/>
          </w:tcPr>
          <w:p w14:paraId="5597E4BF" w14:textId="77777777" w:rsidR="008C5CFA" w:rsidRPr="002124FC" w:rsidRDefault="00E82A60" w:rsidP="00300A01">
            <w:pPr>
              <w:spacing w:before="0" w:after="0"/>
              <w:rPr>
                <w:sz w:val="20"/>
                <w:szCs w:val="20"/>
                <w:lang w:val="fr-BE"/>
              </w:rPr>
            </w:pPr>
            <w:r>
              <w:rPr>
                <w:noProof/>
                <w:sz w:val="20"/>
                <w:szCs w:val="20"/>
                <w:lang w:val="fr-BE"/>
              </w:rPr>
              <w:t>4</w:t>
            </w:r>
            <w:r w:rsidRPr="002124FC">
              <w:rPr>
                <w:sz w:val="20"/>
                <w:szCs w:val="20"/>
                <w:lang w:val="fr-BE"/>
              </w:rPr>
              <w:t xml:space="preserve"> - </w:t>
            </w:r>
            <w:r>
              <w:rPr>
                <w:noProof/>
                <w:sz w:val="20"/>
                <w:szCs w:val="20"/>
                <w:lang w:val="fr-BE"/>
              </w:rPr>
              <w:t>Dziedzictwo naturalne i kulturowe</w:t>
            </w:r>
          </w:p>
        </w:tc>
      </w:tr>
      <w:tr w:rsidR="006B2EC1" w14:paraId="0B6527B1" w14:textId="77777777" w:rsidTr="0047688D">
        <w:tc>
          <w:tcPr>
            <w:tcW w:w="0" w:type="auto"/>
            <w:shd w:val="clear" w:color="auto" w:fill="auto"/>
          </w:tcPr>
          <w:p w14:paraId="16226B31" w14:textId="77777777" w:rsidR="008C5CFA" w:rsidRPr="002124FC" w:rsidRDefault="00E82A60"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14:paraId="4176F36B" w14:textId="77777777" w:rsidR="008C5CFA" w:rsidRPr="002124FC" w:rsidRDefault="00E82A60" w:rsidP="00300A01">
            <w:pPr>
              <w:spacing w:before="0" w:after="0"/>
              <w:rPr>
                <w:sz w:val="20"/>
                <w:szCs w:val="20"/>
                <w:lang w:val="fr-BE"/>
              </w:rPr>
            </w:pPr>
            <w:r w:rsidRPr="002124FC">
              <w:rPr>
                <w:noProof/>
                <w:sz w:val="20"/>
                <w:szCs w:val="20"/>
                <w:lang w:val="fr-BE"/>
              </w:rPr>
              <w:t>6c</w:t>
            </w:r>
            <w:r w:rsidRPr="002124FC">
              <w:rPr>
                <w:sz w:val="20"/>
                <w:szCs w:val="20"/>
                <w:lang w:val="fr-BE"/>
              </w:rPr>
              <w:t xml:space="preserve"> - </w:t>
            </w:r>
            <w:r>
              <w:rPr>
                <w:noProof/>
                <w:sz w:val="20"/>
                <w:szCs w:val="20"/>
                <w:lang w:val="fr-BE"/>
              </w:rPr>
              <w:t>Zachowanie, ochrona, promowanie i rozwój dziedzictwa naturalnego i kulturowego</w:t>
            </w:r>
          </w:p>
        </w:tc>
      </w:tr>
      <w:tr w:rsidR="006B2EC1" w14:paraId="27B2C6AF" w14:textId="77777777" w:rsidTr="0047688D">
        <w:tc>
          <w:tcPr>
            <w:tcW w:w="0" w:type="auto"/>
            <w:shd w:val="clear" w:color="auto" w:fill="auto"/>
          </w:tcPr>
          <w:p w14:paraId="42B06048" w14:textId="77777777" w:rsidR="008C5CFA" w:rsidRPr="002124FC" w:rsidRDefault="00E82A60" w:rsidP="00300A01">
            <w:pPr>
              <w:spacing w:before="0" w:after="0"/>
              <w:ind w:left="113" w:hanging="113"/>
              <w:rPr>
                <w:sz w:val="20"/>
                <w:szCs w:val="20"/>
                <w:lang w:val="fr-BE"/>
              </w:rPr>
            </w:pPr>
            <w:r>
              <w:rPr>
                <w:noProof/>
                <w:sz w:val="20"/>
                <w:szCs w:val="20"/>
                <w:lang w:val="fr-BE"/>
              </w:rPr>
              <w:t>Cel szczegółowy</w:t>
            </w:r>
          </w:p>
        </w:tc>
        <w:tc>
          <w:tcPr>
            <w:tcW w:w="0" w:type="auto"/>
            <w:shd w:val="clear" w:color="auto" w:fill="auto"/>
          </w:tcPr>
          <w:p w14:paraId="036A7FBA" w14:textId="77777777" w:rsidR="008C5CFA" w:rsidRPr="002124FC" w:rsidRDefault="00E82A60" w:rsidP="00300A01">
            <w:pPr>
              <w:spacing w:before="0" w:after="0"/>
              <w:rPr>
                <w:sz w:val="20"/>
                <w:szCs w:val="20"/>
                <w:lang w:val="fr-BE"/>
              </w:rPr>
            </w:pPr>
            <w:r>
              <w:rPr>
                <w:noProof/>
                <w:sz w:val="20"/>
                <w:szCs w:val="20"/>
                <w:lang w:val="fr-BE"/>
              </w:rPr>
              <w:t>1</w:t>
            </w:r>
            <w:r>
              <w:rPr>
                <w:sz w:val="20"/>
                <w:szCs w:val="20"/>
                <w:lang w:val="fr-BE"/>
              </w:rPr>
              <w:t xml:space="preserve"> - </w:t>
            </w:r>
            <w:r>
              <w:rPr>
                <w:noProof/>
                <w:sz w:val="20"/>
                <w:szCs w:val="20"/>
                <w:lang w:val="fr-BE"/>
              </w:rPr>
              <w:t>Zwiększona dostępność zasobów kulturowych regionu.</w:t>
            </w:r>
          </w:p>
        </w:tc>
      </w:tr>
    </w:tbl>
    <w:p w14:paraId="107CDF53" w14:textId="77777777" w:rsidR="008C5CFA" w:rsidRDefault="008C5CFA" w:rsidP="00300A01">
      <w:pPr>
        <w:spacing w:before="0" w:after="0"/>
        <w:rPr>
          <w:lang w:val="fr-BE"/>
        </w:rPr>
      </w:pPr>
    </w:p>
    <w:p w14:paraId="21902C06" w14:textId="77777777" w:rsidR="008C5CFA" w:rsidRDefault="00E82A60" w:rsidP="00300A01">
      <w:pPr>
        <w:spacing w:before="0" w:after="0"/>
        <w:rPr>
          <w:lang w:val="fr-BE"/>
        </w:rPr>
      </w:pPr>
      <w:r>
        <w:rPr>
          <w:lang w:val="fr-BE"/>
        </w:rPr>
        <w:t xml:space="preserve">Tabela 1: Wskaźniki rezultatu dla EFRR i Funduszu Spójności (według osi priorytetowej i celu szczegółowego); ma zastosowanie także do osi priorytetowej </w:t>
      </w:r>
      <w:r>
        <w:t>"</w:t>
      </w:r>
      <w:r>
        <w:rPr>
          <w:lang w:val="fr-BE"/>
        </w:rPr>
        <w:t>Pomoc techniczna</w:t>
      </w:r>
      <w:r>
        <w:t>"</w:t>
      </w:r>
    </w:p>
    <w:p w14:paraId="32F5B6DA"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5594"/>
        <w:gridCol w:w="982"/>
        <w:gridCol w:w="1049"/>
        <w:gridCol w:w="1128"/>
        <w:gridCol w:w="814"/>
        <w:gridCol w:w="1286"/>
        <w:gridCol w:w="849"/>
        <w:gridCol w:w="1071"/>
        <w:gridCol w:w="1955"/>
      </w:tblGrid>
      <w:tr w:rsidR="006B2EC1" w14:paraId="294AFAFF" w14:textId="77777777" w:rsidTr="0047688D">
        <w:tc>
          <w:tcPr>
            <w:tcW w:w="0" w:type="auto"/>
            <w:shd w:val="clear" w:color="auto" w:fill="auto"/>
          </w:tcPr>
          <w:p w14:paraId="1774866A" w14:textId="77777777" w:rsidR="008C5CFA" w:rsidRPr="0024468B" w:rsidRDefault="00E82A60" w:rsidP="00300A01">
            <w:pPr>
              <w:spacing w:before="0" w:after="0"/>
              <w:rPr>
                <w:sz w:val="16"/>
                <w:szCs w:val="16"/>
                <w:lang w:val="fr-BE"/>
              </w:rPr>
            </w:pPr>
            <w:r w:rsidRPr="0024468B">
              <w:rPr>
                <w:noProof/>
                <w:sz w:val="16"/>
                <w:szCs w:val="16"/>
                <w:lang w:val="fr-BE"/>
              </w:rPr>
              <w:t>ID</w:t>
            </w:r>
          </w:p>
        </w:tc>
        <w:tc>
          <w:tcPr>
            <w:tcW w:w="0" w:type="auto"/>
            <w:shd w:val="clear" w:color="auto" w:fill="auto"/>
          </w:tcPr>
          <w:p w14:paraId="6C555357" w14:textId="77777777" w:rsidR="008C5CFA" w:rsidRPr="0024468B" w:rsidRDefault="00E82A60" w:rsidP="00300A01">
            <w:pPr>
              <w:spacing w:before="0" w:after="0"/>
              <w:rPr>
                <w:sz w:val="16"/>
                <w:szCs w:val="16"/>
                <w:lang w:val="fr-BE"/>
              </w:rPr>
            </w:pPr>
            <w:r w:rsidRPr="0024468B">
              <w:rPr>
                <w:noProof/>
                <w:sz w:val="16"/>
                <w:szCs w:val="16"/>
                <w:lang w:val="fr-BE"/>
              </w:rPr>
              <w:t>Wskaźnik</w:t>
            </w:r>
          </w:p>
        </w:tc>
        <w:tc>
          <w:tcPr>
            <w:tcW w:w="0" w:type="auto"/>
            <w:shd w:val="clear" w:color="auto" w:fill="auto"/>
          </w:tcPr>
          <w:p w14:paraId="206B31B6" w14:textId="77777777" w:rsidR="008C5CFA" w:rsidRPr="0024468B" w:rsidRDefault="00E82A60" w:rsidP="00300A01">
            <w:pPr>
              <w:spacing w:before="0" w:after="0"/>
              <w:rPr>
                <w:sz w:val="16"/>
                <w:szCs w:val="16"/>
                <w:lang w:val="fr-BE"/>
              </w:rPr>
            </w:pPr>
            <w:r w:rsidRPr="0024468B">
              <w:rPr>
                <w:noProof/>
                <w:sz w:val="16"/>
                <w:szCs w:val="16"/>
                <w:lang w:val="fr-BE"/>
              </w:rPr>
              <w:t>Jednostka miary</w:t>
            </w:r>
          </w:p>
        </w:tc>
        <w:tc>
          <w:tcPr>
            <w:tcW w:w="0" w:type="auto"/>
            <w:shd w:val="clear" w:color="auto" w:fill="auto"/>
          </w:tcPr>
          <w:p w14:paraId="4B5EC565" w14:textId="77777777" w:rsidR="008C5CFA" w:rsidRPr="0024468B" w:rsidRDefault="00E82A60" w:rsidP="00300A01">
            <w:pPr>
              <w:spacing w:before="0" w:after="0"/>
              <w:rPr>
                <w:sz w:val="16"/>
                <w:szCs w:val="16"/>
                <w:lang w:val="fr-BE"/>
              </w:rPr>
            </w:pPr>
            <w:r w:rsidRPr="0024468B">
              <w:rPr>
                <w:noProof/>
                <w:sz w:val="16"/>
                <w:szCs w:val="16"/>
                <w:lang w:val="fr-BE"/>
              </w:rPr>
              <w:t>Kategoria regionu</w:t>
            </w:r>
          </w:p>
        </w:tc>
        <w:tc>
          <w:tcPr>
            <w:tcW w:w="0" w:type="auto"/>
            <w:shd w:val="clear" w:color="auto" w:fill="auto"/>
          </w:tcPr>
          <w:p w14:paraId="0DC788F7" w14:textId="77777777" w:rsidR="008C5CFA" w:rsidRPr="0024468B" w:rsidRDefault="00E82A60" w:rsidP="00300A01">
            <w:pPr>
              <w:spacing w:before="0" w:after="0"/>
              <w:rPr>
                <w:sz w:val="16"/>
                <w:szCs w:val="16"/>
                <w:lang w:val="fr-BE"/>
              </w:rPr>
            </w:pPr>
            <w:r w:rsidRPr="0024468B">
              <w:rPr>
                <w:noProof/>
                <w:sz w:val="16"/>
                <w:szCs w:val="16"/>
                <w:lang w:val="fr-BE"/>
              </w:rPr>
              <w:t>Wartość bazowa</w:t>
            </w:r>
          </w:p>
        </w:tc>
        <w:tc>
          <w:tcPr>
            <w:tcW w:w="0" w:type="auto"/>
            <w:shd w:val="clear" w:color="auto" w:fill="auto"/>
          </w:tcPr>
          <w:p w14:paraId="3ADE13F8" w14:textId="77777777" w:rsidR="008C5CFA" w:rsidRPr="0024468B" w:rsidRDefault="00E82A60" w:rsidP="00300A01">
            <w:pPr>
              <w:spacing w:before="0" w:after="0"/>
              <w:rPr>
                <w:sz w:val="16"/>
                <w:szCs w:val="16"/>
                <w:lang w:val="fr-BE"/>
              </w:rPr>
            </w:pPr>
            <w:r w:rsidRPr="0024468B">
              <w:rPr>
                <w:noProof/>
                <w:sz w:val="16"/>
                <w:szCs w:val="16"/>
                <w:lang w:val="fr-BE"/>
              </w:rPr>
              <w:t>Rok bazowy</w:t>
            </w:r>
          </w:p>
        </w:tc>
        <w:tc>
          <w:tcPr>
            <w:tcW w:w="0" w:type="auto"/>
            <w:shd w:val="clear" w:color="auto" w:fill="auto"/>
          </w:tcPr>
          <w:p w14:paraId="74B0D952" w14:textId="77777777" w:rsidR="008C5CFA" w:rsidRPr="0024468B" w:rsidRDefault="00E82A60" w:rsidP="00300A01">
            <w:pPr>
              <w:spacing w:before="0" w:after="0"/>
              <w:rPr>
                <w:sz w:val="16"/>
                <w:szCs w:val="16"/>
                <w:lang w:val="fr-BE"/>
              </w:rPr>
            </w:pPr>
            <w:r w:rsidRPr="0024468B">
              <w:rPr>
                <w:noProof/>
                <w:sz w:val="16"/>
                <w:szCs w:val="16"/>
                <w:lang w:val="fr-BE"/>
              </w:rPr>
              <w:t>Wartość docelowa 2023</w:t>
            </w:r>
          </w:p>
        </w:tc>
        <w:tc>
          <w:tcPr>
            <w:tcW w:w="0" w:type="auto"/>
            <w:shd w:val="clear" w:color="auto" w:fill="auto"/>
          </w:tcPr>
          <w:p w14:paraId="3F8E22E3" w14:textId="77777777" w:rsidR="008C5CFA" w:rsidRPr="0024468B" w:rsidRDefault="00E82A60" w:rsidP="00300A01">
            <w:pPr>
              <w:spacing w:before="0" w:after="0"/>
              <w:jc w:val="center"/>
              <w:rPr>
                <w:sz w:val="16"/>
                <w:szCs w:val="16"/>
                <w:lang w:val="fr-BE"/>
              </w:rPr>
            </w:pPr>
            <w:r>
              <w:rPr>
                <w:sz w:val="16"/>
                <w:szCs w:val="16"/>
                <w:lang w:val="fr-BE"/>
              </w:rPr>
              <w:t xml:space="preserve">2019 </w:t>
            </w:r>
            <w:r>
              <w:rPr>
                <w:noProof/>
                <w:sz w:val="16"/>
                <w:szCs w:val="16"/>
                <w:lang w:val="fr-BE"/>
              </w:rPr>
              <w:t>Ogółem</w:t>
            </w:r>
          </w:p>
        </w:tc>
        <w:tc>
          <w:tcPr>
            <w:tcW w:w="0" w:type="auto"/>
            <w:shd w:val="clear" w:color="auto" w:fill="auto"/>
          </w:tcPr>
          <w:p w14:paraId="4ADD414C" w14:textId="77777777" w:rsidR="008C5CFA" w:rsidRPr="0024468B" w:rsidRDefault="00E82A60" w:rsidP="00300A01">
            <w:pPr>
              <w:spacing w:before="0" w:after="0"/>
              <w:jc w:val="center"/>
              <w:rPr>
                <w:sz w:val="16"/>
                <w:szCs w:val="16"/>
                <w:lang w:val="fr-BE"/>
              </w:rPr>
            </w:pPr>
            <w:r>
              <w:rPr>
                <w:sz w:val="16"/>
                <w:szCs w:val="16"/>
                <w:lang w:val="fr-BE"/>
              </w:rPr>
              <w:t xml:space="preserve">2019 </w:t>
            </w:r>
            <w:r w:rsidRPr="0024468B">
              <w:rPr>
                <w:noProof/>
                <w:sz w:val="16"/>
                <w:szCs w:val="16"/>
                <w:lang w:val="fr-BE"/>
              </w:rPr>
              <w:t>Jakościowe</w:t>
            </w:r>
          </w:p>
        </w:tc>
        <w:tc>
          <w:tcPr>
            <w:tcW w:w="0" w:type="auto"/>
            <w:shd w:val="clear" w:color="auto" w:fill="auto"/>
          </w:tcPr>
          <w:p w14:paraId="251ECA7E" w14:textId="77777777" w:rsidR="008C5CFA" w:rsidRPr="0024468B" w:rsidRDefault="00E82A60" w:rsidP="00300A01">
            <w:pPr>
              <w:spacing w:before="0" w:after="0"/>
              <w:jc w:val="center"/>
              <w:rPr>
                <w:sz w:val="16"/>
                <w:szCs w:val="16"/>
                <w:lang w:val="fr-BE"/>
              </w:rPr>
            </w:pPr>
            <w:r w:rsidRPr="0024468B">
              <w:rPr>
                <w:noProof/>
                <w:sz w:val="16"/>
                <w:szCs w:val="16"/>
                <w:lang w:val="fr-BE"/>
              </w:rPr>
              <w:t>Uwagi</w:t>
            </w:r>
          </w:p>
        </w:tc>
      </w:tr>
      <w:tr w:rsidR="006B2EC1" w14:paraId="2A30F4BA" w14:textId="77777777" w:rsidTr="0047688D">
        <w:tc>
          <w:tcPr>
            <w:tcW w:w="0" w:type="auto"/>
            <w:shd w:val="clear" w:color="auto" w:fill="auto"/>
          </w:tcPr>
          <w:p w14:paraId="3C8BDD75" w14:textId="77777777" w:rsidR="008C5CFA" w:rsidRPr="0024468B" w:rsidRDefault="00E82A60" w:rsidP="00300A01">
            <w:pPr>
              <w:spacing w:before="0" w:after="0"/>
              <w:rPr>
                <w:sz w:val="16"/>
                <w:szCs w:val="16"/>
                <w:lang w:val="fr-BE"/>
              </w:rPr>
            </w:pPr>
            <w:r w:rsidRPr="0024468B">
              <w:rPr>
                <w:noProof/>
                <w:sz w:val="16"/>
                <w:szCs w:val="16"/>
                <w:lang w:val="fr-BE"/>
              </w:rPr>
              <w:t>046</w:t>
            </w:r>
          </w:p>
        </w:tc>
        <w:tc>
          <w:tcPr>
            <w:tcW w:w="0" w:type="auto"/>
            <w:shd w:val="clear" w:color="auto" w:fill="auto"/>
          </w:tcPr>
          <w:p w14:paraId="5CBB9CA8" w14:textId="77777777" w:rsidR="008C5CFA" w:rsidRPr="0024468B" w:rsidRDefault="00E82A60" w:rsidP="00300A01">
            <w:pPr>
              <w:spacing w:before="0" w:after="0"/>
              <w:rPr>
                <w:sz w:val="16"/>
                <w:szCs w:val="16"/>
                <w:lang w:val="fr-BE"/>
              </w:rPr>
            </w:pPr>
            <w:r w:rsidRPr="0024468B">
              <w:rPr>
                <w:noProof/>
                <w:sz w:val="16"/>
                <w:szCs w:val="16"/>
                <w:lang w:val="fr-BE"/>
              </w:rPr>
              <w:t>Liczba odwiedzających instytucje kultury ( w tym: zwiedzający muzea; widzowie i słuchacze w teatrach i instytucjach muzycznych, uczestnicy imprez w domach, ośrodkach kultury, świetlicach oraz czytelnicy w bibliotekach</w:t>
            </w:r>
          </w:p>
        </w:tc>
        <w:tc>
          <w:tcPr>
            <w:tcW w:w="0" w:type="auto"/>
            <w:shd w:val="clear" w:color="auto" w:fill="auto"/>
          </w:tcPr>
          <w:p w14:paraId="2475B9FE" w14:textId="77777777" w:rsidR="008C5CFA" w:rsidRPr="0024468B" w:rsidRDefault="00E82A60" w:rsidP="00300A01">
            <w:pPr>
              <w:spacing w:before="0" w:after="0"/>
              <w:rPr>
                <w:sz w:val="16"/>
                <w:szCs w:val="16"/>
                <w:lang w:val="fr-BE"/>
              </w:rPr>
            </w:pPr>
            <w:r w:rsidRPr="0024468B">
              <w:rPr>
                <w:noProof/>
                <w:sz w:val="16"/>
                <w:szCs w:val="16"/>
                <w:lang w:val="fr-BE"/>
              </w:rPr>
              <w:t>osoby</w:t>
            </w:r>
          </w:p>
        </w:tc>
        <w:tc>
          <w:tcPr>
            <w:tcW w:w="0" w:type="auto"/>
            <w:shd w:val="clear" w:color="auto" w:fill="auto"/>
          </w:tcPr>
          <w:p w14:paraId="536CFA66" w14:textId="77777777" w:rsidR="008C5CFA" w:rsidRPr="0024468B" w:rsidRDefault="00E82A60"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14:paraId="16CEEC94" w14:textId="77777777" w:rsidR="008C5CFA" w:rsidRPr="00C3185A" w:rsidRDefault="00E82A60" w:rsidP="00300A01">
            <w:pPr>
              <w:spacing w:before="0" w:after="0"/>
              <w:jc w:val="right"/>
              <w:rPr>
                <w:sz w:val="16"/>
                <w:szCs w:val="16"/>
                <w:lang w:val="fr-BE"/>
              </w:rPr>
            </w:pPr>
            <w:r w:rsidRPr="00C3185A">
              <w:rPr>
                <w:noProof/>
                <w:sz w:val="16"/>
                <w:szCs w:val="16"/>
                <w:lang w:val="fr-BE"/>
              </w:rPr>
              <w:t>2 016 393,00</w:t>
            </w:r>
          </w:p>
        </w:tc>
        <w:tc>
          <w:tcPr>
            <w:tcW w:w="0" w:type="auto"/>
            <w:shd w:val="clear" w:color="auto" w:fill="auto"/>
          </w:tcPr>
          <w:p w14:paraId="1B56B539" w14:textId="77777777" w:rsidR="008C5CFA" w:rsidRPr="0024468B" w:rsidRDefault="00E82A60" w:rsidP="00300A01">
            <w:pPr>
              <w:spacing w:before="0" w:after="0"/>
              <w:rPr>
                <w:sz w:val="16"/>
                <w:szCs w:val="16"/>
                <w:lang w:val="fr-BE"/>
              </w:rPr>
            </w:pPr>
            <w:r w:rsidRPr="0024468B">
              <w:rPr>
                <w:noProof/>
                <w:sz w:val="16"/>
                <w:szCs w:val="16"/>
                <w:lang w:val="fr-BE"/>
              </w:rPr>
              <w:t>2012</w:t>
            </w:r>
          </w:p>
        </w:tc>
        <w:tc>
          <w:tcPr>
            <w:tcW w:w="0" w:type="auto"/>
            <w:shd w:val="clear" w:color="auto" w:fill="auto"/>
          </w:tcPr>
          <w:p w14:paraId="6872FBCF" w14:textId="77777777" w:rsidR="008C5CFA" w:rsidRPr="0024468B" w:rsidRDefault="00E82A60" w:rsidP="00300A01">
            <w:pPr>
              <w:spacing w:before="0" w:after="0"/>
              <w:jc w:val="right"/>
              <w:rPr>
                <w:sz w:val="16"/>
                <w:szCs w:val="16"/>
                <w:lang w:val="fr-BE"/>
              </w:rPr>
            </w:pPr>
            <w:r w:rsidRPr="0024468B">
              <w:rPr>
                <w:noProof/>
                <w:sz w:val="16"/>
                <w:szCs w:val="16"/>
                <w:lang w:val="fr-BE"/>
              </w:rPr>
              <w:t>2 392 855,00</w:t>
            </w:r>
          </w:p>
        </w:tc>
        <w:tc>
          <w:tcPr>
            <w:tcW w:w="0" w:type="auto"/>
            <w:shd w:val="clear" w:color="auto" w:fill="auto"/>
          </w:tcPr>
          <w:p w14:paraId="1E332591"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2B34FEB3" w14:textId="77777777" w:rsidR="008C5CFA" w:rsidRPr="0024468B" w:rsidRDefault="008C5CFA" w:rsidP="00300A01">
            <w:pPr>
              <w:spacing w:before="0" w:after="0"/>
              <w:jc w:val="right"/>
              <w:rPr>
                <w:sz w:val="16"/>
                <w:szCs w:val="16"/>
                <w:lang w:val="fr-BE"/>
              </w:rPr>
            </w:pPr>
          </w:p>
        </w:tc>
        <w:tc>
          <w:tcPr>
            <w:tcW w:w="0" w:type="auto"/>
            <w:shd w:val="clear" w:color="auto" w:fill="auto"/>
          </w:tcPr>
          <w:p w14:paraId="2B1BD665" w14:textId="77777777" w:rsidR="008C5CFA" w:rsidRPr="0024468B" w:rsidRDefault="00E82A60" w:rsidP="00300A01">
            <w:pPr>
              <w:spacing w:before="0" w:after="0"/>
              <w:rPr>
                <w:sz w:val="16"/>
                <w:szCs w:val="16"/>
                <w:lang w:val="fr-BE"/>
              </w:rPr>
            </w:pPr>
            <w:r w:rsidRPr="0024468B">
              <w:rPr>
                <w:noProof/>
                <w:sz w:val="16"/>
                <w:szCs w:val="16"/>
                <w:lang w:val="fr-BE"/>
              </w:rPr>
              <w:t>Brak aktualnych danych dostępnych w systemie STRATEG</w:t>
            </w:r>
          </w:p>
          <w:p w14:paraId="65FCB176" w14:textId="77777777" w:rsidR="008C5CFA" w:rsidRPr="0024468B" w:rsidRDefault="008C5CFA" w:rsidP="00300A01">
            <w:pPr>
              <w:spacing w:before="0" w:after="0"/>
              <w:rPr>
                <w:sz w:val="16"/>
                <w:szCs w:val="16"/>
                <w:lang w:val="fr-BE"/>
              </w:rPr>
            </w:pPr>
          </w:p>
        </w:tc>
      </w:tr>
    </w:tbl>
    <w:p w14:paraId="33295CE3"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6112"/>
        <w:gridCol w:w="1069"/>
        <w:gridCol w:w="1085"/>
        <w:gridCol w:w="1069"/>
        <w:gridCol w:w="1085"/>
        <w:gridCol w:w="1069"/>
        <w:gridCol w:w="1085"/>
        <w:gridCol w:w="1069"/>
        <w:gridCol w:w="1085"/>
      </w:tblGrid>
      <w:tr w:rsidR="006B2EC1" w14:paraId="1F80954F" w14:textId="77777777" w:rsidTr="0047688D">
        <w:tc>
          <w:tcPr>
            <w:tcW w:w="0" w:type="auto"/>
            <w:shd w:val="clear" w:color="auto" w:fill="auto"/>
          </w:tcPr>
          <w:p w14:paraId="54DD37B9" w14:textId="77777777" w:rsidR="008C5CFA" w:rsidRPr="0024468B" w:rsidRDefault="00E82A60" w:rsidP="00300A01">
            <w:pPr>
              <w:spacing w:before="0" w:after="0"/>
              <w:rPr>
                <w:sz w:val="16"/>
                <w:szCs w:val="16"/>
                <w:lang w:val="fr-BE"/>
              </w:rPr>
            </w:pPr>
            <w:r w:rsidRPr="0024468B">
              <w:rPr>
                <w:noProof/>
                <w:sz w:val="16"/>
                <w:szCs w:val="16"/>
                <w:lang w:val="fr-BE"/>
              </w:rPr>
              <w:t>ID</w:t>
            </w:r>
          </w:p>
        </w:tc>
        <w:tc>
          <w:tcPr>
            <w:tcW w:w="0" w:type="auto"/>
            <w:shd w:val="clear" w:color="auto" w:fill="auto"/>
          </w:tcPr>
          <w:p w14:paraId="45AF8415" w14:textId="77777777" w:rsidR="008C5CFA" w:rsidRPr="0024468B" w:rsidRDefault="00E82A60" w:rsidP="00300A01">
            <w:pPr>
              <w:spacing w:before="0" w:after="0"/>
              <w:rPr>
                <w:sz w:val="16"/>
                <w:szCs w:val="16"/>
                <w:lang w:val="fr-BE"/>
              </w:rPr>
            </w:pPr>
            <w:r w:rsidRPr="0024468B">
              <w:rPr>
                <w:noProof/>
                <w:sz w:val="16"/>
                <w:szCs w:val="16"/>
                <w:lang w:val="fr-BE"/>
              </w:rPr>
              <w:t>Wskaźnik</w:t>
            </w:r>
          </w:p>
        </w:tc>
        <w:tc>
          <w:tcPr>
            <w:tcW w:w="0" w:type="auto"/>
          </w:tcPr>
          <w:p w14:paraId="796AE53A" w14:textId="77777777" w:rsidR="008C5CFA" w:rsidRPr="0024468B" w:rsidRDefault="00E82A60" w:rsidP="00300A01">
            <w:pPr>
              <w:spacing w:before="0" w:after="0"/>
              <w:jc w:val="center"/>
              <w:rPr>
                <w:sz w:val="16"/>
                <w:szCs w:val="16"/>
                <w:lang w:val="fr-BE"/>
              </w:rPr>
            </w:pPr>
            <w:r>
              <w:rPr>
                <w:sz w:val="16"/>
                <w:szCs w:val="16"/>
                <w:lang w:val="fr-BE"/>
              </w:rPr>
              <w:t xml:space="preserve">2018 </w:t>
            </w:r>
            <w:r>
              <w:rPr>
                <w:noProof/>
                <w:sz w:val="16"/>
                <w:szCs w:val="16"/>
                <w:lang w:val="fr-BE"/>
              </w:rPr>
              <w:t>Ogółem</w:t>
            </w:r>
          </w:p>
        </w:tc>
        <w:tc>
          <w:tcPr>
            <w:tcW w:w="0" w:type="auto"/>
          </w:tcPr>
          <w:p w14:paraId="14E8ECD7" w14:textId="77777777" w:rsidR="008C5CFA" w:rsidRPr="0024468B" w:rsidRDefault="00E82A60" w:rsidP="00300A01">
            <w:pPr>
              <w:spacing w:before="0" w:after="0"/>
              <w:jc w:val="center"/>
              <w:rPr>
                <w:sz w:val="16"/>
                <w:szCs w:val="16"/>
                <w:lang w:val="fr-BE"/>
              </w:rPr>
            </w:pPr>
            <w:r>
              <w:rPr>
                <w:sz w:val="16"/>
                <w:szCs w:val="16"/>
                <w:lang w:val="fr-BE"/>
              </w:rPr>
              <w:t xml:space="preserve">2018 </w:t>
            </w:r>
            <w:r w:rsidRPr="0024468B">
              <w:rPr>
                <w:noProof/>
                <w:sz w:val="16"/>
                <w:szCs w:val="16"/>
                <w:lang w:val="fr-BE"/>
              </w:rPr>
              <w:t>Jakościowe</w:t>
            </w:r>
          </w:p>
        </w:tc>
        <w:tc>
          <w:tcPr>
            <w:tcW w:w="0" w:type="auto"/>
          </w:tcPr>
          <w:p w14:paraId="46D2B6DE" w14:textId="77777777" w:rsidR="008C5CFA" w:rsidRPr="0024468B" w:rsidRDefault="00E82A60" w:rsidP="00300A01">
            <w:pPr>
              <w:spacing w:before="0" w:after="0"/>
              <w:jc w:val="center"/>
              <w:rPr>
                <w:sz w:val="16"/>
                <w:szCs w:val="16"/>
                <w:lang w:val="fr-BE"/>
              </w:rPr>
            </w:pPr>
            <w:r>
              <w:rPr>
                <w:sz w:val="16"/>
                <w:szCs w:val="16"/>
                <w:lang w:val="fr-BE"/>
              </w:rPr>
              <w:t xml:space="preserve">2017 </w:t>
            </w:r>
            <w:r>
              <w:rPr>
                <w:noProof/>
                <w:sz w:val="16"/>
                <w:szCs w:val="16"/>
                <w:lang w:val="fr-BE"/>
              </w:rPr>
              <w:t>Ogółem</w:t>
            </w:r>
          </w:p>
        </w:tc>
        <w:tc>
          <w:tcPr>
            <w:tcW w:w="0" w:type="auto"/>
          </w:tcPr>
          <w:p w14:paraId="1CBE366C" w14:textId="77777777" w:rsidR="008C5CFA" w:rsidRPr="0024468B" w:rsidRDefault="00E82A60" w:rsidP="00300A01">
            <w:pPr>
              <w:spacing w:before="0" w:after="0"/>
              <w:jc w:val="center"/>
              <w:rPr>
                <w:sz w:val="16"/>
                <w:szCs w:val="16"/>
                <w:lang w:val="fr-BE"/>
              </w:rPr>
            </w:pPr>
            <w:r>
              <w:rPr>
                <w:sz w:val="16"/>
                <w:szCs w:val="16"/>
                <w:lang w:val="fr-BE"/>
              </w:rPr>
              <w:t xml:space="preserve">2017 </w:t>
            </w:r>
            <w:r w:rsidRPr="0024468B">
              <w:rPr>
                <w:noProof/>
                <w:sz w:val="16"/>
                <w:szCs w:val="16"/>
                <w:lang w:val="fr-BE"/>
              </w:rPr>
              <w:t>Jakościowe</w:t>
            </w:r>
          </w:p>
        </w:tc>
        <w:tc>
          <w:tcPr>
            <w:tcW w:w="0" w:type="auto"/>
          </w:tcPr>
          <w:p w14:paraId="483A838F" w14:textId="77777777" w:rsidR="008C5CFA" w:rsidRPr="0024468B" w:rsidRDefault="00E82A60" w:rsidP="00300A01">
            <w:pPr>
              <w:spacing w:before="0" w:after="0"/>
              <w:jc w:val="center"/>
              <w:rPr>
                <w:sz w:val="16"/>
                <w:szCs w:val="16"/>
                <w:lang w:val="fr-BE"/>
              </w:rPr>
            </w:pPr>
            <w:r>
              <w:rPr>
                <w:sz w:val="16"/>
                <w:szCs w:val="16"/>
                <w:lang w:val="fr-BE"/>
              </w:rPr>
              <w:t xml:space="preserve">2016 </w:t>
            </w:r>
            <w:r>
              <w:rPr>
                <w:noProof/>
                <w:sz w:val="16"/>
                <w:szCs w:val="16"/>
                <w:lang w:val="fr-BE"/>
              </w:rPr>
              <w:t>Ogółem</w:t>
            </w:r>
          </w:p>
        </w:tc>
        <w:tc>
          <w:tcPr>
            <w:tcW w:w="0" w:type="auto"/>
          </w:tcPr>
          <w:p w14:paraId="07D5D2E1" w14:textId="77777777" w:rsidR="008C5CFA" w:rsidRPr="0024468B" w:rsidRDefault="00E82A60" w:rsidP="00300A01">
            <w:pPr>
              <w:spacing w:before="0" w:after="0"/>
              <w:jc w:val="center"/>
              <w:rPr>
                <w:sz w:val="16"/>
                <w:szCs w:val="16"/>
                <w:lang w:val="fr-BE"/>
              </w:rPr>
            </w:pPr>
            <w:r>
              <w:rPr>
                <w:sz w:val="16"/>
                <w:szCs w:val="16"/>
                <w:lang w:val="fr-BE"/>
              </w:rPr>
              <w:t xml:space="preserve">2016 </w:t>
            </w:r>
            <w:r w:rsidRPr="0024468B">
              <w:rPr>
                <w:noProof/>
                <w:sz w:val="16"/>
                <w:szCs w:val="16"/>
                <w:lang w:val="fr-BE"/>
              </w:rPr>
              <w:t>Jakościowe</w:t>
            </w:r>
          </w:p>
        </w:tc>
        <w:tc>
          <w:tcPr>
            <w:tcW w:w="0" w:type="auto"/>
          </w:tcPr>
          <w:p w14:paraId="3107B19E" w14:textId="77777777" w:rsidR="008C5CFA" w:rsidRPr="0024468B" w:rsidRDefault="00E82A60" w:rsidP="00300A01">
            <w:pPr>
              <w:spacing w:before="0" w:after="0"/>
              <w:jc w:val="center"/>
              <w:rPr>
                <w:sz w:val="16"/>
                <w:szCs w:val="16"/>
                <w:lang w:val="fr-BE"/>
              </w:rPr>
            </w:pPr>
            <w:r>
              <w:rPr>
                <w:sz w:val="16"/>
                <w:szCs w:val="16"/>
                <w:lang w:val="fr-BE"/>
              </w:rPr>
              <w:t xml:space="preserve">2015 </w:t>
            </w:r>
            <w:r>
              <w:rPr>
                <w:noProof/>
                <w:sz w:val="16"/>
                <w:szCs w:val="16"/>
                <w:lang w:val="fr-BE"/>
              </w:rPr>
              <w:t>Ogółem</w:t>
            </w:r>
          </w:p>
        </w:tc>
        <w:tc>
          <w:tcPr>
            <w:tcW w:w="0" w:type="auto"/>
          </w:tcPr>
          <w:p w14:paraId="0F35D6DD" w14:textId="77777777" w:rsidR="008C5CFA" w:rsidRPr="0024468B" w:rsidRDefault="00E82A60" w:rsidP="00300A01">
            <w:pPr>
              <w:spacing w:before="0" w:after="0"/>
              <w:jc w:val="center"/>
              <w:rPr>
                <w:sz w:val="16"/>
                <w:szCs w:val="16"/>
                <w:lang w:val="fr-BE"/>
              </w:rPr>
            </w:pPr>
            <w:r>
              <w:rPr>
                <w:sz w:val="16"/>
                <w:szCs w:val="16"/>
                <w:lang w:val="fr-BE"/>
              </w:rPr>
              <w:t xml:space="preserve">2015 </w:t>
            </w:r>
            <w:r w:rsidRPr="0024468B">
              <w:rPr>
                <w:noProof/>
                <w:sz w:val="16"/>
                <w:szCs w:val="16"/>
                <w:lang w:val="fr-BE"/>
              </w:rPr>
              <w:t>Jakościowe</w:t>
            </w:r>
          </w:p>
        </w:tc>
      </w:tr>
      <w:tr w:rsidR="006B2EC1" w14:paraId="1F94FF04" w14:textId="77777777" w:rsidTr="0047688D">
        <w:tc>
          <w:tcPr>
            <w:tcW w:w="0" w:type="auto"/>
            <w:shd w:val="clear" w:color="auto" w:fill="auto"/>
          </w:tcPr>
          <w:p w14:paraId="22ECB3F2" w14:textId="77777777" w:rsidR="008C5CFA" w:rsidRPr="0024468B" w:rsidRDefault="00E82A60" w:rsidP="00300A01">
            <w:pPr>
              <w:spacing w:before="0" w:after="0"/>
              <w:rPr>
                <w:sz w:val="16"/>
                <w:szCs w:val="16"/>
                <w:lang w:val="fr-BE"/>
              </w:rPr>
            </w:pPr>
            <w:r w:rsidRPr="0024468B">
              <w:rPr>
                <w:noProof/>
                <w:sz w:val="16"/>
                <w:szCs w:val="16"/>
                <w:lang w:val="fr-BE"/>
              </w:rPr>
              <w:t>046</w:t>
            </w:r>
          </w:p>
        </w:tc>
        <w:tc>
          <w:tcPr>
            <w:tcW w:w="0" w:type="auto"/>
            <w:shd w:val="clear" w:color="auto" w:fill="auto"/>
          </w:tcPr>
          <w:p w14:paraId="6DBFFFE3" w14:textId="77777777" w:rsidR="008C5CFA" w:rsidRPr="0024468B" w:rsidRDefault="00E82A60" w:rsidP="00300A01">
            <w:pPr>
              <w:spacing w:before="0" w:after="0"/>
              <w:rPr>
                <w:sz w:val="16"/>
                <w:szCs w:val="16"/>
                <w:lang w:val="fr-BE"/>
              </w:rPr>
            </w:pPr>
            <w:r w:rsidRPr="0024468B">
              <w:rPr>
                <w:noProof/>
                <w:sz w:val="16"/>
                <w:szCs w:val="16"/>
                <w:lang w:val="fr-BE"/>
              </w:rPr>
              <w:t>Liczba odwiedzających instytucje kultury ( w tym: zwiedzający muzea; widzowie i słuchacze w teatrach i instytucjach muzycznych, uczestnicy imprez w domach, ośrodkach kultury, świetlicach oraz czytelnicy w bibliotekach</w:t>
            </w:r>
          </w:p>
        </w:tc>
        <w:tc>
          <w:tcPr>
            <w:tcW w:w="0" w:type="auto"/>
          </w:tcPr>
          <w:p w14:paraId="79C89169" w14:textId="77777777" w:rsidR="008C5CFA" w:rsidRPr="0024468B" w:rsidRDefault="00E82A60" w:rsidP="00300A01">
            <w:pPr>
              <w:spacing w:before="0" w:after="0"/>
              <w:jc w:val="right"/>
              <w:rPr>
                <w:sz w:val="16"/>
                <w:szCs w:val="16"/>
                <w:lang w:val="fr-BE"/>
              </w:rPr>
            </w:pPr>
            <w:r w:rsidRPr="0024468B">
              <w:rPr>
                <w:noProof/>
                <w:sz w:val="16"/>
                <w:szCs w:val="16"/>
                <w:lang w:val="fr-BE"/>
              </w:rPr>
              <w:t>2 400 020,00</w:t>
            </w:r>
          </w:p>
        </w:tc>
        <w:tc>
          <w:tcPr>
            <w:tcW w:w="0" w:type="auto"/>
          </w:tcPr>
          <w:p w14:paraId="1E7F635B" w14:textId="77777777" w:rsidR="008C5CFA" w:rsidRPr="0024468B" w:rsidRDefault="008C5CFA" w:rsidP="00300A01">
            <w:pPr>
              <w:spacing w:before="0" w:after="0"/>
              <w:jc w:val="right"/>
              <w:rPr>
                <w:sz w:val="16"/>
                <w:szCs w:val="16"/>
                <w:lang w:val="fr-BE"/>
              </w:rPr>
            </w:pPr>
          </w:p>
        </w:tc>
        <w:tc>
          <w:tcPr>
            <w:tcW w:w="0" w:type="auto"/>
          </w:tcPr>
          <w:p w14:paraId="1813576D" w14:textId="77777777" w:rsidR="008C5CFA" w:rsidRPr="0024468B" w:rsidRDefault="00E82A60" w:rsidP="00300A01">
            <w:pPr>
              <w:spacing w:before="0" w:after="0"/>
              <w:jc w:val="right"/>
              <w:rPr>
                <w:sz w:val="16"/>
                <w:szCs w:val="16"/>
                <w:lang w:val="fr-BE"/>
              </w:rPr>
            </w:pPr>
            <w:r w:rsidRPr="0024468B">
              <w:rPr>
                <w:noProof/>
                <w:sz w:val="16"/>
                <w:szCs w:val="16"/>
                <w:lang w:val="fr-BE"/>
              </w:rPr>
              <w:t>2 368 667,00</w:t>
            </w:r>
          </w:p>
        </w:tc>
        <w:tc>
          <w:tcPr>
            <w:tcW w:w="0" w:type="auto"/>
          </w:tcPr>
          <w:p w14:paraId="390DC15F" w14:textId="77777777" w:rsidR="008C5CFA" w:rsidRPr="0024468B" w:rsidRDefault="008C5CFA" w:rsidP="00300A01">
            <w:pPr>
              <w:spacing w:before="0" w:after="0"/>
              <w:jc w:val="right"/>
              <w:rPr>
                <w:sz w:val="16"/>
                <w:szCs w:val="16"/>
                <w:lang w:val="fr-BE"/>
              </w:rPr>
            </w:pPr>
          </w:p>
        </w:tc>
        <w:tc>
          <w:tcPr>
            <w:tcW w:w="0" w:type="auto"/>
          </w:tcPr>
          <w:p w14:paraId="5FC02C02" w14:textId="77777777" w:rsidR="008C5CFA" w:rsidRPr="0024468B" w:rsidRDefault="00E82A60" w:rsidP="00300A01">
            <w:pPr>
              <w:spacing w:before="0" w:after="0"/>
              <w:jc w:val="right"/>
              <w:rPr>
                <w:sz w:val="16"/>
                <w:szCs w:val="16"/>
                <w:lang w:val="fr-BE"/>
              </w:rPr>
            </w:pPr>
            <w:r w:rsidRPr="0024468B">
              <w:rPr>
                <w:noProof/>
                <w:sz w:val="16"/>
                <w:szCs w:val="16"/>
                <w:lang w:val="fr-BE"/>
              </w:rPr>
              <w:t>2 367 950,00</w:t>
            </w:r>
          </w:p>
        </w:tc>
        <w:tc>
          <w:tcPr>
            <w:tcW w:w="0" w:type="auto"/>
          </w:tcPr>
          <w:p w14:paraId="6A65220A" w14:textId="77777777" w:rsidR="008C5CFA" w:rsidRPr="0024468B" w:rsidRDefault="008C5CFA" w:rsidP="00300A01">
            <w:pPr>
              <w:spacing w:before="0" w:after="0"/>
              <w:jc w:val="right"/>
              <w:rPr>
                <w:sz w:val="16"/>
                <w:szCs w:val="16"/>
                <w:lang w:val="fr-BE"/>
              </w:rPr>
            </w:pPr>
          </w:p>
        </w:tc>
        <w:tc>
          <w:tcPr>
            <w:tcW w:w="0" w:type="auto"/>
          </w:tcPr>
          <w:p w14:paraId="44D7C741" w14:textId="77777777" w:rsidR="008C5CFA" w:rsidRPr="0024468B" w:rsidRDefault="00E82A60" w:rsidP="00300A01">
            <w:pPr>
              <w:spacing w:before="0" w:after="0"/>
              <w:jc w:val="right"/>
              <w:rPr>
                <w:sz w:val="16"/>
                <w:szCs w:val="16"/>
                <w:lang w:val="fr-BE"/>
              </w:rPr>
            </w:pPr>
            <w:r w:rsidRPr="0024468B">
              <w:rPr>
                <w:noProof/>
                <w:sz w:val="16"/>
                <w:szCs w:val="16"/>
                <w:lang w:val="fr-BE"/>
              </w:rPr>
              <w:t>2 262 569,00</w:t>
            </w:r>
          </w:p>
        </w:tc>
        <w:tc>
          <w:tcPr>
            <w:tcW w:w="0" w:type="auto"/>
          </w:tcPr>
          <w:p w14:paraId="2503D87D" w14:textId="77777777" w:rsidR="008C5CFA" w:rsidRPr="0024468B" w:rsidRDefault="008C5CFA" w:rsidP="00300A01">
            <w:pPr>
              <w:spacing w:before="0" w:after="0"/>
              <w:jc w:val="right"/>
              <w:rPr>
                <w:sz w:val="16"/>
                <w:szCs w:val="16"/>
                <w:lang w:val="fr-BE"/>
              </w:rPr>
            </w:pPr>
          </w:p>
        </w:tc>
      </w:tr>
    </w:tbl>
    <w:p w14:paraId="3207FA7F"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12388"/>
        <w:gridCol w:w="1086"/>
        <w:gridCol w:w="1254"/>
      </w:tblGrid>
      <w:tr w:rsidR="006B2EC1" w14:paraId="418B89EE" w14:textId="77777777" w:rsidTr="0047688D">
        <w:tc>
          <w:tcPr>
            <w:tcW w:w="0" w:type="auto"/>
            <w:shd w:val="clear" w:color="auto" w:fill="auto"/>
          </w:tcPr>
          <w:p w14:paraId="77219CE5" w14:textId="77777777" w:rsidR="008C5CFA" w:rsidRPr="0024468B" w:rsidRDefault="00E82A60" w:rsidP="00300A01">
            <w:pPr>
              <w:spacing w:before="0" w:after="0"/>
              <w:rPr>
                <w:sz w:val="16"/>
                <w:szCs w:val="16"/>
                <w:lang w:val="fr-BE"/>
              </w:rPr>
            </w:pPr>
            <w:r w:rsidRPr="0024468B">
              <w:rPr>
                <w:noProof/>
                <w:sz w:val="16"/>
                <w:szCs w:val="16"/>
                <w:lang w:val="fr-BE"/>
              </w:rPr>
              <w:t>ID</w:t>
            </w:r>
          </w:p>
        </w:tc>
        <w:tc>
          <w:tcPr>
            <w:tcW w:w="0" w:type="auto"/>
            <w:shd w:val="clear" w:color="auto" w:fill="auto"/>
          </w:tcPr>
          <w:p w14:paraId="5F8CF753" w14:textId="77777777" w:rsidR="008C5CFA" w:rsidRPr="0024468B" w:rsidRDefault="00E82A60" w:rsidP="00300A01">
            <w:pPr>
              <w:spacing w:before="0" w:after="0"/>
              <w:rPr>
                <w:sz w:val="16"/>
                <w:szCs w:val="16"/>
                <w:lang w:val="fr-BE"/>
              </w:rPr>
            </w:pPr>
            <w:r w:rsidRPr="0024468B">
              <w:rPr>
                <w:noProof/>
                <w:sz w:val="16"/>
                <w:szCs w:val="16"/>
                <w:lang w:val="fr-BE"/>
              </w:rPr>
              <w:t>Wskaźnik</w:t>
            </w:r>
          </w:p>
        </w:tc>
        <w:tc>
          <w:tcPr>
            <w:tcW w:w="0" w:type="auto"/>
            <w:shd w:val="clear" w:color="auto" w:fill="auto"/>
          </w:tcPr>
          <w:p w14:paraId="3DF907FD" w14:textId="77777777" w:rsidR="008C5CFA" w:rsidRPr="0024468B" w:rsidRDefault="00E82A60" w:rsidP="00300A01">
            <w:pPr>
              <w:spacing w:before="0" w:after="0"/>
              <w:jc w:val="center"/>
              <w:rPr>
                <w:sz w:val="16"/>
                <w:szCs w:val="16"/>
                <w:lang w:val="fr-BE"/>
              </w:rPr>
            </w:pPr>
            <w:r>
              <w:rPr>
                <w:sz w:val="16"/>
                <w:szCs w:val="16"/>
                <w:lang w:val="fr-BE"/>
              </w:rPr>
              <w:t xml:space="preserve">2014 </w:t>
            </w:r>
            <w:r>
              <w:rPr>
                <w:noProof/>
                <w:sz w:val="16"/>
                <w:szCs w:val="16"/>
                <w:lang w:val="fr-BE"/>
              </w:rPr>
              <w:t>Ogółem</w:t>
            </w:r>
          </w:p>
        </w:tc>
        <w:tc>
          <w:tcPr>
            <w:tcW w:w="0" w:type="auto"/>
            <w:shd w:val="clear" w:color="auto" w:fill="auto"/>
          </w:tcPr>
          <w:p w14:paraId="15B450C6" w14:textId="77777777" w:rsidR="008C5CFA" w:rsidRPr="0024468B" w:rsidRDefault="00E82A60" w:rsidP="00300A01">
            <w:pPr>
              <w:spacing w:before="0" w:after="0"/>
              <w:jc w:val="center"/>
              <w:rPr>
                <w:sz w:val="16"/>
                <w:szCs w:val="16"/>
                <w:lang w:val="fr-BE"/>
              </w:rPr>
            </w:pPr>
            <w:r>
              <w:rPr>
                <w:sz w:val="16"/>
                <w:szCs w:val="16"/>
                <w:lang w:val="fr-BE"/>
              </w:rPr>
              <w:t xml:space="preserve">2014 </w:t>
            </w:r>
            <w:r w:rsidRPr="0024468B">
              <w:rPr>
                <w:noProof/>
                <w:sz w:val="16"/>
                <w:szCs w:val="16"/>
                <w:lang w:val="fr-BE"/>
              </w:rPr>
              <w:t>Jakościowe</w:t>
            </w:r>
          </w:p>
        </w:tc>
      </w:tr>
      <w:tr w:rsidR="006B2EC1" w14:paraId="2F5AFD2B" w14:textId="77777777" w:rsidTr="0047688D">
        <w:tc>
          <w:tcPr>
            <w:tcW w:w="0" w:type="auto"/>
            <w:shd w:val="clear" w:color="auto" w:fill="auto"/>
          </w:tcPr>
          <w:p w14:paraId="21374CAD" w14:textId="77777777" w:rsidR="008C5CFA" w:rsidRPr="0024468B" w:rsidRDefault="00E82A60" w:rsidP="00300A01">
            <w:pPr>
              <w:spacing w:before="0" w:after="0"/>
              <w:rPr>
                <w:sz w:val="16"/>
                <w:szCs w:val="16"/>
                <w:lang w:val="fr-BE"/>
              </w:rPr>
            </w:pPr>
            <w:r w:rsidRPr="0024468B">
              <w:rPr>
                <w:noProof/>
                <w:sz w:val="16"/>
                <w:szCs w:val="16"/>
                <w:lang w:val="fr-BE"/>
              </w:rPr>
              <w:t>046</w:t>
            </w:r>
          </w:p>
        </w:tc>
        <w:tc>
          <w:tcPr>
            <w:tcW w:w="0" w:type="auto"/>
            <w:shd w:val="clear" w:color="auto" w:fill="auto"/>
          </w:tcPr>
          <w:p w14:paraId="61853AD3" w14:textId="77777777" w:rsidR="008C5CFA" w:rsidRPr="0024468B" w:rsidRDefault="00E82A60" w:rsidP="00300A01">
            <w:pPr>
              <w:spacing w:before="0" w:after="0"/>
              <w:rPr>
                <w:sz w:val="16"/>
                <w:szCs w:val="16"/>
                <w:lang w:val="fr-BE"/>
              </w:rPr>
            </w:pPr>
            <w:r w:rsidRPr="0024468B">
              <w:rPr>
                <w:noProof/>
                <w:sz w:val="16"/>
                <w:szCs w:val="16"/>
                <w:lang w:val="fr-BE"/>
              </w:rPr>
              <w:t>Liczba odwiedzających instytucje kultury ( w tym: zwiedzający muzea; widzowie i słuchacze w teatrach i instytucjach muzycznych, uczestnicy imprez w domach, ośrodkach kultury, świetlicach oraz czytelnicy w bibliotekach</w:t>
            </w:r>
          </w:p>
        </w:tc>
        <w:tc>
          <w:tcPr>
            <w:tcW w:w="0" w:type="auto"/>
            <w:shd w:val="clear" w:color="auto" w:fill="auto"/>
          </w:tcPr>
          <w:p w14:paraId="4F2E9069" w14:textId="77777777" w:rsidR="008C5CFA" w:rsidRPr="0024468B" w:rsidRDefault="00E82A60" w:rsidP="00300A01">
            <w:pPr>
              <w:spacing w:before="0" w:after="0"/>
              <w:jc w:val="right"/>
              <w:rPr>
                <w:sz w:val="16"/>
                <w:szCs w:val="16"/>
                <w:lang w:val="fr-BE"/>
              </w:rPr>
            </w:pPr>
            <w:r w:rsidRPr="0024468B">
              <w:rPr>
                <w:noProof/>
                <w:sz w:val="16"/>
                <w:szCs w:val="16"/>
                <w:lang w:val="fr-BE"/>
              </w:rPr>
              <w:t>2 470 079,00</w:t>
            </w:r>
          </w:p>
        </w:tc>
        <w:tc>
          <w:tcPr>
            <w:tcW w:w="0" w:type="auto"/>
            <w:shd w:val="clear" w:color="auto" w:fill="auto"/>
          </w:tcPr>
          <w:p w14:paraId="4866EB3A" w14:textId="77777777" w:rsidR="008C5CFA" w:rsidRPr="0024468B" w:rsidRDefault="008C5CFA" w:rsidP="00300A01">
            <w:pPr>
              <w:spacing w:before="0" w:after="0"/>
              <w:jc w:val="right"/>
              <w:rPr>
                <w:sz w:val="16"/>
                <w:szCs w:val="16"/>
                <w:lang w:val="fr-BE"/>
              </w:rPr>
            </w:pPr>
          </w:p>
        </w:tc>
      </w:tr>
    </w:tbl>
    <w:p w14:paraId="50AF2014" w14:textId="77777777" w:rsidR="008C5CFA" w:rsidRDefault="008C5CFA" w:rsidP="00300A01">
      <w:pPr>
        <w:spacing w:before="0" w:after="0"/>
        <w:rPr>
          <w:lang w:val="fr-BE"/>
        </w:rPr>
      </w:pPr>
    </w:p>
    <w:p w14:paraId="696E87B7" w14:textId="77777777" w:rsidR="008C5CFA" w:rsidRDefault="00E82A60" w:rsidP="00300A01">
      <w:pPr>
        <w:spacing w:before="0" w:after="0"/>
        <w:rPr>
          <w:lang w:val="fr-BE"/>
        </w:rPr>
      </w:pPr>
      <w:r>
        <w:rPr>
          <w:lang w:val="fr-BE"/>
        </w:rPr>
        <w:br w:type="page"/>
      </w:r>
    </w:p>
    <w:p w14:paraId="50595943" w14:textId="77777777" w:rsidR="008C5CFA" w:rsidRPr="00B27C43" w:rsidRDefault="008C5CFA" w:rsidP="00300A01">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2"/>
        <w:gridCol w:w="13252"/>
      </w:tblGrid>
      <w:tr w:rsidR="006B2EC1" w14:paraId="6BA317B1" w14:textId="77777777" w:rsidTr="0047688D">
        <w:tc>
          <w:tcPr>
            <w:tcW w:w="0" w:type="auto"/>
            <w:shd w:val="clear" w:color="auto" w:fill="auto"/>
          </w:tcPr>
          <w:p w14:paraId="0EC23AC1" w14:textId="77777777" w:rsidR="008C5CFA" w:rsidRPr="002124FC" w:rsidRDefault="00E82A60" w:rsidP="00300A01">
            <w:pPr>
              <w:spacing w:before="0" w:after="0"/>
              <w:rPr>
                <w:sz w:val="20"/>
                <w:szCs w:val="20"/>
                <w:lang w:val="fr-BE"/>
              </w:rPr>
            </w:pPr>
            <w:r>
              <w:rPr>
                <w:lang w:val="fr-BE"/>
              </w:rPr>
              <w:br w:type="page"/>
            </w:r>
            <w:r>
              <w:rPr>
                <w:lang w:val="fr-BE"/>
              </w:rPr>
              <w:br w:type="page"/>
            </w:r>
            <w:r w:rsidRPr="002124FC">
              <w:rPr>
                <w:noProof/>
                <w:sz w:val="20"/>
                <w:szCs w:val="20"/>
                <w:lang w:val="fr-BE"/>
              </w:rPr>
              <w:t>Oś priorytetowa</w:t>
            </w:r>
          </w:p>
        </w:tc>
        <w:tc>
          <w:tcPr>
            <w:tcW w:w="0" w:type="auto"/>
            <w:shd w:val="clear" w:color="auto" w:fill="auto"/>
          </w:tcPr>
          <w:p w14:paraId="4C54C8AB" w14:textId="77777777" w:rsidR="008C5CFA" w:rsidRPr="002124FC" w:rsidRDefault="00E82A60" w:rsidP="00300A01">
            <w:pPr>
              <w:spacing w:before="0" w:after="0"/>
              <w:rPr>
                <w:sz w:val="20"/>
                <w:szCs w:val="20"/>
                <w:lang w:val="fr-BE"/>
              </w:rPr>
            </w:pPr>
            <w:r w:rsidRPr="002124FC">
              <w:rPr>
                <w:noProof/>
                <w:sz w:val="20"/>
                <w:szCs w:val="20"/>
                <w:lang w:val="fr-BE"/>
              </w:rPr>
              <w:t>4</w:t>
            </w:r>
            <w:r w:rsidRPr="002124FC">
              <w:rPr>
                <w:sz w:val="20"/>
                <w:szCs w:val="20"/>
                <w:lang w:val="fr-BE"/>
              </w:rPr>
              <w:t xml:space="preserve"> - </w:t>
            </w:r>
            <w:r w:rsidRPr="002124FC">
              <w:rPr>
                <w:noProof/>
                <w:sz w:val="20"/>
                <w:szCs w:val="20"/>
                <w:lang w:val="fr-BE"/>
              </w:rPr>
              <w:t>Dziedzictwo naturalne i kulturowe</w:t>
            </w:r>
          </w:p>
        </w:tc>
      </w:tr>
      <w:tr w:rsidR="006B2EC1" w14:paraId="24D30993" w14:textId="77777777" w:rsidTr="0047688D">
        <w:tc>
          <w:tcPr>
            <w:tcW w:w="0" w:type="auto"/>
            <w:shd w:val="clear" w:color="auto" w:fill="auto"/>
          </w:tcPr>
          <w:p w14:paraId="6AD0DDC1" w14:textId="77777777" w:rsidR="008C5CFA" w:rsidRPr="002124FC" w:rsidRDefault="00E82A60"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14:paraId="69D82A13" w14:textId="77777777" w:rsidR="008C5CFA" w:rsidRPr="002124FC" w:rsidRDefault="00E82A60" w:rsidP="00300A01">
            <w:pPr>
              <w:spacing w:before="0" w:after="0"/>
              <w:rPr>
                <w:sz w:val="20"/>
                <w:szCs w:val="20"/>
                <w:lang w:val="fr-BE"/>
              </w:rPr>
            </w:pPr>
            <w:r w:rsidRPr="002124FC">
              <w:rPr>
                <w:noProof/>
                <w:sz w:val="20"/>
                <w:szCs w:val="20"/>
                <w:lang w:val="fr-BE"/>
              </w:rPr>
              <w:t>6d</w:t>
            </w:r>
            <w:r w:rsidRPr="002124FC">
              <w:rPr>
                <w:sz w:val="20"/>
                <w:szCs w:val="20"/>
                <w:lang w:val="fr-BE"/>
              </w:rPr>
              <w:t xml:space="preserve"> - Ochrona i przywrócenie różnorodności biologicznej, ochrona i rekultywacja gleby oraz wspieranie usług ekosystemowych, także poprzez program </w:t>
            </w:r>
            <w:r>
              <w:t>"</w:t>
            </w:r>
            <w:r w:rsidRPr="002124FC">
              <w:rPr>
                <w:sz w:val="20"/>
                <w:szCs w:val="20"/>
                <w:lang w:val="fr-BE"/>
              </w:rPr>
              <w:t>Natura 2000</w:t>
            </w:r>
            <w:r>
              <w:t>"</w:t>
            </w:r>
            <w:r w:rsidRPr="002124FC">
              <w:rPr>
                <w:sz w:val="20"/>
                <w:szCs w:val="20"/>
                <w:lang w:val="fr-BE"/>
              </w:rPr>
              <w:t xml:space="preserve"> i zieloną infrastrukturę</w:t>
            </w:r>
          </w:p>
        </w:tc>
      </w:tr>
    </w:tbl>
    <w:p w14:paraId="4F230ABE" w14:textId="77777777" w:rsidR="008C5CFA" w:rsidRDefault="008C5CFA" w:rsidP="00300A01">
      <w:pPr>
        <w:spacing w:before="0" w:after="0"/>
        <w:rPr>
          <w:lang w:val="fr-BE"/>
        </w:rPr>
      </w:pPr>
    </w:p>
    <w:p w14:paraId="0E5FF9A9" w14:textId="77777777" w:rsidR="008C5CFA" w:rsidRDefault="00E82A60" w:rsidP="00300A01">
      <w:pPr>
        <w:pStyle w:val="Nagwek2"/>
        <w:spacing w:before="0" w:after="0"/>
        <w:rPr>
          <w:lang w:val="fr-BE"/>
        </w:rPr>
      </w:pPr>
      <w:bookmarkStart w:id="34" w:name="_Toc46391718"/>
      <w:r>
        <w:rPr>
          <w:noProof/>
          <w:lang w:val="fr-BE"/>
        </w:rPr>
        <w:t>Tabela 3A</w:t>
      </w:r>
      <w:r>
        <w:rPr>
          <w:lang w:val="fr-BE"/>
        </w:rPr>
        <w:t xml:space="preserve">: </w:t>
      </w:r>
      <w:r>
        <w:rPr>
          <w:noProof/>
          <w:lang w:val="fr-BE"/>
        </w:rPr>
        <w:t>Wspólne i specyficzne dla danego programu wskaźniki produktu dla EFRR i Funduszu Spójności (wg osi priorytetowej, priorytetu inwestycyjnego, w podziale na kategorię regionu dla celów EFRR)</w:t>
      </w:r>
      <w:r w:rsidR="009C5874">
        <w:rPr>
          <w:lang w:val="fr-BE"/>
        </w:rPr>
        <w:t xml:space="preserve"> - </w:t>
      </w:r>
      <w:r w:rsidR="00F022AC" w:rsidRPr="002124FC">
        <w:rPr>
          <w:noProof/>
          <w:sz w:val="20"/>
          <w:szCs w:val="20"/>
          <w:lang w:val="fr-BE"/>
        </w:rPr>
        <w:t>4</w:t>
      </w:r>
      <w:r w:rsidR="00F022AC">
        <w:rPr>
          <w:sz w:val="20"/>
          <w:szCs w:val="20"/>
          <w:lang w:val="fr-BE"/>
        </w:rPr>
        <w:t xml:space="preserve"> / </w:t>
      </w:r>
      <w:r w:rsidR="00F022AC" w:rsidRPr="002124FC">
        <w:rPr>
          <w:noProof/>
          <w:sz w:val="20"/>
          <w:szCs w:val="20"/>
          <w:lang w:val="fr-BE"/>
        </w:rPr>
        <w:t>6d</w:t>
      </w:r>
      <w:bookmarkEnd w:id="34"/>
    </w:p>
    <w:p w14:paraId="12F98BAF"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02"/>
        <w:gridCol w:w="354"/>
        <w:gridCol w:w="2915"/>
        <w:gridCol w:w="961"/>
        <w:gridCol w:w="992"/>
        <w:gridCol w:w="1296"/>
        <w:gridCol w:w="1415"/>
        <w:gridCol w:w="1302"/>
        <w:gridCol w:w="771"/>
        <w:gridCol w:w="957"/>
        <w:gridCol w:w="780"/>
        <w:gridCol w:w="3139"/>
      </w:tblGrid>
      <w:tr w:rsidR="006B2EC1" w14:paraId="05CE7CA8" w14:textId="77777777" w:rsidTr="0047688D">
        <w:trPr>
          <w:tblHeader/>
        </w:trPr>
        <w:tc>
          <w:tcPr>
            <w:tcW w:w="0" w:type="auto"/>
          </w:tcPr>
          <w:p w14:paraId="0A707066" w14:textId="77777777" w:rsidR="008C5CFA" w:rsidRPr="009143B4" w:rsidRDefault="00E82A60" w:rsidP="00300A01">
            <w:pPr>
              <w:spacing w:before="0" w:after="0"/>
              <w:rPr>
                <w:b/>
                <w:sz w:val="16"/>
                <w:szCs w:val="16"/>
                <w:lang w:val="fr-BE"/>
              </w:rPr>
            </w:pPr>
            <w:r w:rsidRPr="009143B4">
              <w:rPr>
                <w:b/>
                <w:sz w:val="16"/>
                <w:szCs w:val="16"/>
                <w:lang w:val="fr-BE"/>
              </w:rPr>
              <w:t>(1)</w:t>
            </w:r>
          </w:p>
        </w:tc>
        <w:tc>
          <w:tcPr>
            <w:tcW w:w="0" w:type="auto"/>
            <w:shd w:val="clear" w:color="auto" w:fill="auto"/>
          </w:tcPr>
          <w:p w14:paraId="1694B8E5" w14:textId="77777777" w:rsidR="008C5CFA" w:rsidRPr="009143B4" w:rsidRDefault="00E82A60" w:rsidP="00300A01">
            <w:pPr>
              <w:spacing w:before="0" w:after="0"/>
              <w:rPr>
                <w:b/>
                <w:sz w:val="16"/>
                <w:szCs w:val="16"/>
                <w:lang w:val="fr-BE"/>
              </w:rPr>
            </w:pPr>
            <w:r w:rsidRPr="009143B4">
              <w:rPr>
                <w:b/>
                <w:noProof/>
                <w:sz w:val="16"/>
                <w:szCs w:val="16"/>
                <w:lang w:val="fr-BE"/>
              </w:rPr>
              <w:t>ID</w:t>
            </w:r>
          </w:p>
        </w:tc>
        <w:tc>
          <w:tcPr>
            <w:tcW w:w="0" w:type="auto"/>
            <w:shd w:val="clear" w:color="auto" w:fill="auto"/>
          </w:tcPr>
          <w:p w14:paraId="6285F9BD" w14:textId="77777777" w:rsidR="008C5CFA" w:rsidRPr="009143B4" w:rsidRDefault="00E82A60" w:rsidP="00300A01">
            <w:pPr>
              <w:spacing w:before="0" w:after="0"/>
              <w:rPr>
                <w:b/>
                <w:sz w:val="16"/>
                <w:szCs w:val="16"/>
                <w:lang w:val="fr-BE"/>
              </w:rPr>
            </w:pPr>
            <w:r w:rsidRPr="009143B4">
              <w:rPr>
                <w:b/>
                <w:noProof/>
                <w:sz w:val="16"/>
                <w:szCs w:val="16"/>
                <w:lang w:val="fr-BE"/>
              </w:rPr>
              <w:t>Wskaźnik</w:t>
            </w:r>
          </w:p>
        </w:tc>
        <w:tc>
          <w:tcPr>
            <w:tcW w:w="0" w:type="auto"/>
            <w:shd w:val="clear" w:color="auto" w:fill="auto"/>
          </w:tcPr>
          <w:p w14:paraId="48CAAB9D" w14:textId="77777777" w:rsidR="008C5CFA" w:rsidRPr="009143B4" w:rsidRDefault="00E82A60" w:rsidP="00300A01">
            <w:pPr>
              <w:spacing w:before="0" w:after="0"/>
              <w:rPr>
                <w:b/>
                <w:sz w:val="16"/>
                <w:szCs w:val="16"/>
                <w:lang w:val="fr-BE"/>
              </w:rPr>
            </w:pPr>
            <w:r w:rsidRPr="009143B4">
              <w:rPr>
                <w:b/>
                <w:noProof/>
                <w:sz w:val="16"/>
                <w:szCs w:val="16"/>
                <w:lang w:val="fr-BE"/>
              </w:rPr>
              <w:t>Jednostka miary</w:t>
            </w:r>
          </w:p>
        </w:tc>
        <w:tc>
          <w:tcPr>
            <w:tcW w:w="0" w:type="auto"/>
            <w:shd w:val="clear" w:color="auto" w:fill="auto"/>
          </w:tcPr>
          <w:p w14:paraId="22268BB7" w14:textId="77777777" w:rsidR="008C5CFA" w:rsidRPr="009143B4" w:rsidRDefault="00E82A60" w:rsidP="00300A01">
            <w:pPr>
              <w:spacing w:before="0" w:after="0"/>
              <w:rPr>
                <w:b/>
                <w:sz w:val="16"/>
                <w:szCs w:val="16"/>
                <w:lang w:val="fr-BE"/>
              </w:rPr>
            </w:pPr>
            <w:r w:rsidRPr="009143B4">
              <w:rPr>
                <w:b/>
                <w:noProof/>
                <w:sz w:val="16"/>
                <w:szCs w:val="16"/>
                <w:lang w:val="fr-BE"/>
              </w:rPr>
              <w:t>Kategoria regionu</w:t>
            </w:r>
          </w:p>
        </w:tc>
        <w:tc>
          <w:tcPr>
            <w:tcW w:w="0" w:type="auto"/>
            <w:shd w:val="clear" w:color="auto" w:fill="auto"/>
          </w:tcPr>
          <w:p w14:paraId="3BCAB19D" w14:textId="77777777" w:rsidR="008C5CFA" w:rsidRPr="009143B4" w:rsidRDefault="00E82A60" w:rsidP="00300A01">
            <w:pPr>
              <w:spacing w:before="0" w:after="0"/>
              <w:jc w:val="center"/>
              <w:rPr>
                <w:b/>
                <w:sz w:val="16"/>
                <w:szCs w:val="16"/>
                <w:lang w:val="fr-BE"/>
              </w:rPr>
            </w:pPr>
            <w:r w:rsidRPr="009143B4">
              <w:rPr>
                <w:b/>
                <w:noProof/>
                <w:sz w:val="16"/>
                <w:szCs w:val="16"/>
                <w:lang w:val="fr-BE"/>
              </w:rPr>
              <w:t>Wartość docelowa (2023) ogółem</w:t>
            </w:r>
          </w:p>
        </w:tc>
        <w:tc>
          <w:tcPr>
            <w:tcW w:w="0" w:type="auto"/>
            <w:shd w:val="clear" w:color="auto" w:fill="auto"/>
          </w:tcPr>
          <w:p w14:paraId="6A0CAE79" w14:textId="77777777" w:rsidR="008C5CFA" w:rsidRPr="009143B4" w:rsidRDefault="00E82A60" w:rsidP="00300A01">
            <w:pPr>
              <w:spacing w:before="0" w:after="0"/>
              <w:jc w:val="center"/>
              <w:rPr>
                <w:b/>
                <w:sz w:val="16"/>
                <w:szCs w:val="16"/>
                <w:lang w:val="fr-BE"/>
              </w:rPr>
            </w:pPr>
            <w:r w:rsidRPr="009143B4">
              <w:rPr>
                <w:b/>
                <w:noProof/>
                <w:sz w:val="16"/>
                <w:szCs w:val="16"/>
                <w:lang w:val="fr-BE"/>
              </w:rPr>
              <w:t>Wartość docelowa (2023) mężczyźni</w:t>
            </w:r>
          </w:p>
        </w:tc>
        <w:tc>
          <w:tcPr>
            <w:tcW w:w="0" w:type="auto"/>
          </w:tcPr>
          <w:p w14:paraId="038E3B04" w14:textId="77777777" w:rsidR="008C5CFA" w:rsidRPr="009143B4" w:rsidRDefault="00E82A60" w:rsidP="00300A01">
            <w:pPr>
              <w:spacing w:before="0" w:after="0"/>
              <w:jc w:val="center"/>
              <w:rPr>
                <w:b/>
                <w:sz w:val="16"/>
                <w:szCs w:val="16"/>
                <w:lang w:val="fr-BE"/>
              </w:rPr>
            </w:pPr>
            <w:r w:rsidRPr="009143B4">
              <w:rPr>
                <w:b/>
                <w:noProof/>
                <w:sz w:val="16"/>
                <w:szCs w:val="16"/>
                <w:lang w:val="fr-BE"/>
              </w:rPr>
              <w:t>Wartość docelowa (2023) kobiety</w:t>
            </w:r>
          </w:p>
        </w:tc>
        <w:tc>
          <w:tcPr>
            <w:tcW w:w="0" w:type="auto"/>
            <w:shd w:val="clear" w:color="auto" w:fill="auto"/>
          </w:tcPr>
          <w:p w14:paraId="027AC0E1" w14:textId="77777777" w:rsidR="008C5CFA" w:rsidRPr="009143B4" w:rsidRDefault="00E82A60" w:rsidP="00300A01">
            <w:pPr>
              <w:spacing w:before="0" w:after="0"/>
              <w:jc w:val="center"/>
              <w:rPr>
                <w:b/>
                <w:sz w:val="16"/>
                <w:szCs w:val="16"/>
                <w:lang w:val="fr-BE"/>
              </w:rPr>
            </w:pPr>
            <w:r>
              <w:rPr>
                <w:b/>
                <w:sz w:val="16"/>
                <w:szCs w:val="16"/>
                <w:lang w:val="fr-BE"/>
              </w:rPr>
              <w:t xml:space="preserve">2019 </w:t>
            </w:r>
            <w:r w:rsidRPr="009143B4">
              <w:rPr>
                <w:b/>
                <w:noProof/>
                <w:sz w:val="16"/>
                <w:szCs w:val="16"/>
                <w:lang w:val="fr-BE"/>
              </w:rPr>
              <w:t>Ogółem</w:t>
            </w:r>
          </w:p>
        </w:tc>
        <w:tc>
          <w:tcPr>
            <w:tcW w:w="0" w:type="auto"/>
            <w:shd w:val="clear" w:color="auto" w:fill="auto"/>
          </w:tcPr>
          <w:p w14:paraId="3A462299" w14:textId="77777777" w:rsidR="008C5CFA" w:rsidRPr="009143B4" w:rsidRDefault="00E82A60" w:rsidP="00300A01">
            <w:pPr>
              <w:spacing w:before="0" w:after="0"/>
              <w:jc w:val="center"/>
              <w:rPr>
                <w:b/>
                <w:sz w:val="16"/>
                <w:szCs w:val="16"/>
                <w:lang w:val="fr-BE"/>
              </w:rPr>
            </w:pPr>
            <w:r>
              <w:rPr>
                <w:b/>
                <w:sz w:val="16"/>
                <w:szCs w:val="16"/>
                <w:lang w:val="fr-BE"/>
              </w:rPr>
              <w:t xml:space="preserve">2019 </w:t>
            </w:r>
            <w:r w:rsidRPr="009143B4">
              <w:rPr>
                <w:b/>
                <w:noProof/>
                <w:sz w:val="16"/>
                <w:szCs w:val="16"/>
                <w:lang w:val="fr-BE"/>
              </w:rPr>
              <w:t>Mężczyźni</w:t>
            </w:r>
          </w:p>
        </w:tc>
        <w:tc>
          <w:tcPr>
            <w:tcW w:w="0" w:type="auto"/>
            <w:shd w:val="clear" w:color="auto" w:fill="auto"/>
          </w:tcPr>
          <w:p w14:paraId="2FAA1D87" w14:textId="77777777" w:rsidR="008C5CFA" w:rsidRPr="009143B4" w:rsidRDefault="00E82A60" w:rsidP="00300A01">
            <w:pPr>
              <w:spacing w:before="0" w:after="0"/>
              <w:jc w:val="center"/>
              <w:rPr>
                <w:b/>
                <w:sz w:val="16"/>
                <w:szCs w:val="16"/>
                <w:lang w:val="fr-BE"/>
              </w:rPr>
            </w:pPr>
            <w:r>
              <w:rPr>
                <w:b/>
                <w:sz w:val="16"/>
                <w:szCs w:val="16"/>
                <w:lang w:val="fr-BE"/>
              </w:rPr>
              <w:t xml:space="preserve">2019 </w:t>
            </w:r>
            <w:r w:rsidRPr="009143B4">
              <w:rPr>
                <w:b/>
                <w:noProof/>
                <w:sz w:val="16"/>
                <w:szCs w:val="16"/>
                <w:lang w:val="fr-BE"/>
              </w:rPr>
              <w:t>Kobiety</w:t>
            </w:r>
          </w:p>
        </w:tc>
        <w:tc>
          <w:tcPr>
            <w:tcW w:w="0" w:type="auto"/>
            <w:shd w:val="clear" w:color="auto" w:fill="auto"/>
          </w:tcPr>
          <w:p w14:paraId="2C3B9BA3" w14:textId="77777777" w:rsidR="008C5CFA" w:rsidRPr="009143B4" w:rsidRDefault="00E82A60" w:rsidP="00300A01">
            <w:pPr>
              <w:spacing w:before="0" w:after="0"/>
              <w:jc w:val="center"/>
              <w:rPr>
                <w:b/>
                <w:sz w:val="16"/>
                <w:szCs w:val="16"/>
                <w:lang w:val="fr-BE"/>
              </w:rPr>
            </w:pPr>
            <w:r w:rsidRPr="009143B4">
              <w:rPr>
                <w:b/>
                <w:noProof/>
                <w:sz w:val="16"/>
                <w:szCs w:val="16"/>
                <w:lang w:val="fr-BE"/>
              </w:rPr>
              <w:t>Uwagi</w:t>
            </w:r>
          </w:p>
        </w:tc>
      </w:tr>
      <w:tr w:rsidR="006B2EC1" w14:paraId="11ED6ED7" w14:textId="77777777" w:rsidTr="0047688D">
        <w:tc>
          <w:tcPr>
            <w:tcW w:w="0" w:type="auto"/>
          </w:tcPr>
          <w:p w14:paraId="5D90F499" w14:textId="77777777" w:rsidR="008C5CFA" w:rsidRPr="0024468B" w:rsidRDefault="00E82A60" w:rsidP="00300A01">
            <w:pPr>
              <w:spacing w:before="0" w:after="0"/>
              <w:rPr>
                <w:sz w:val="16"/>
                <w:szCs w:val="16"/>
                <w:lang w:val="fr-BE"/>
              </w:rPr>
            </w:pPr>
            <w:r>
              <w:rPr>
                <w:noProof/>
                <w:sz w:val="16"/>
                <w:szCs w:val="16"/>
                <w:lang w:val="fr-BE"/>
              </w:rPr>
              <w:t>F</w:t>
            </w:r>
          </w:p>
        </w:tc>
        <w:tc>
          <w:tcPr>
            <w:tcW w:w="0" w:type="auto"/>
            <w:shd w:val="clear" w:color="auto" w:fill="auto"/>
          </w:tcPr>
          <w:p w14:paraId="1D047AEF" w14:textId="77777777" w:rsidR="008C5CFA" w:rsidRPr="0024468B" w:rsidRDefault="00E82A60" w:rsidP="00300A01">
            <w:pPr>
              <w:spacing w:before="0" w:after="0"/>
              <w:rPr>
                <w:sz w:val="16"/>
                <w:szCs w:val="16"/>
                <w:lang w:val="fr-BE"/>
              </w:rPr>
            </w:pPr>
            <w:r>
              <w:rPr>
                <w:noProof/>
                <w:sz w:val="16"/>
                <w:szCs w:val="16"/>
                <w:lang w:val="fr-BE"/>
              </w:rPr>
              <w:t>037</w:t>
            </w:r>
          </w:p>
        </w:tc>
        <w:tc>
          <w:tcPr>
            <w:tcW w:w="0" w:type="auto"/>
            <w:shd w:val="clear" w:color="auto" w:fill="auto"/>
          </w:tcPr>
          <w:p w14:paraId="4FECE523" w14:textId="77777777" w:rsidR="008C5CFA" w:rsidRPr="0024468B" w:rsidRDefault="00E82A60" w:rsidP="00300A01">
            <w:pPr>
              <w:spacing w:before="0" w:after="0"/>
              <w:rPr>
                <w:sz w:val="16"/>
                <w:szCs w:val="16"/>
                <w:lang w:val="fr-BE"/>
              </w:rPr>
            </w:pPr>
            <w:r>
              <w:rPr>
                <w:noProof/>
                <w:sz w:val="16"/>
                <w:szCs w:val="16"/>
                <w:lang w:val="fr-BE"/>
              </w:rPr>
              <w:t>Liczba wspartych form ochrony przyrody</w:t>
            </w:r>
          </w:p>
        </w:tc>
        <w:tc>
          <w:tcPr>
            <w:tcW w:w="0" w:type="auto"/>
            <w:shd w:val="clear" w:color="auto" w:fill="auto"/>
          </w:tcPr>
          <w:p w14:paraId="4E1F400A" w14:textId="77777777" w:rsidR="008C5CFA" w:rsidRPr="0024468B" w:rsidRDefault="00E82A60" w:rsidP="00300A01">
            <w:pPr>
              <w:spacing w:before="0" w:after="0"/>
              <w:rPr>
                <w:sz w:val="16"/>
                <w:szCs w:val="16"/>
                <w:lang w:val="fr-BE"/>
              </w:rPr>
            </w:pPr>
            <w:r w:rsidRPr="0024468B">
              <w:rPr>
                <w:noProof/>
                <w:sz w:val="16"/>
                <w:szCs w:val="16"/>
                <w:lang w:val="fr-BE"/>
              </w:rPr>
              <w:t>szt.</w:t>
            </w:r>
          </w:p>
        </w:tc>
        <w:tc>
          <w:tcPr>
            <w:tcW w:w="0" w:type="auto"/>
            <w:shd w:val="clear" w:color="auto" w:fill="auto"/>
          </w:tcPr>
          <w:p w14:paraId="1FE88EAF" w14:textId="77777777" w:rsidR="008C5CFA" w:rsidRPr="0024468B" w:rsidRDefault="00E82A60"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14:paraId="37B69B41" w14:textId="77777777" w:rsidR="008C5CFA" w:rsidRPr="0024468B" w:rsidRDefault="00E82A60" w:rsidP="00300A01">
            <w:pPr>
              <w:spacing w:before="0" w:after="0"/>
              <w:jc w:val="right"/>
              <w:rPr>
                <w:sz w:val="16"/>
                <w:szCs w:val="16"/>
                <w:lang w:val="fr-BE"/>
              </w:rPr>
            </w:pPr>
            <w:r>
              <w:rPr>
                <w:noProof/>
                <w:sz w:val="16"/>
                <w:szCs w:val="16"/>
                <w:lang w:val="fr-BE"/>
              </w:rPr>
              <w:t>8,00</w:t>
            </w:r>
          </w:p>
        </w:tc>
        <w:tc>
          <w:tcPr>
            <w:tcW w:w="0" w:type="auto"/>
            <w:shd w:val="clear" w:color="auto" w:fill="auto"/>
          </w:tcPr>
          <w:p w14:paraId="736ED19F" w14:textId="77777777" w:rsidR="008C5CFA" w:rsidRPr="0024468B" w:rsidRDefault="008C5CFA" w:rsidP="00300A01">
            <w:pPr>
              <w:spacing w:before="0" w:after="0"/>
              <w:jc w:val="right"/>
              <w:rPr>
                <w:sz w:val="16"/>
                <w:szCs w:val="16"/>
                <w:lang w:val="fr-BE"/>
              </w:rPr>
            </w:pPr>
          </w:p>
        </w:tc>
        <w:tc>
          <w:tcPr>
            <w:tcW w:w="0" w:type="auto"/>
          </w:tcPr>
          <w:p w14:paraId="7D6CA5C3" w14:textId="77777777" w:rsidR="008C5CFA" w:rsidRPr="0024468B" w:rsidRDefault="008C5CFA" w:rsidP="00300A01">
            <w:pPr>
              <w:spacing w:before="0" w:after="0"/>
              <w:jc w:val="right"/>
              <w:rPr>
                <w:sz w:val="16"/>
                <w:szCs w:val="16"/>
                <w:lang w:val="fr-BE"/>
              </w:rPr>
            </w:pPr>
          </w:p>
        </w:tc>
        <w:tc>
          <w:tcPr>
            <w:tcW w:w="0" w:type="auto"/>
            <w:shd w:val="clear" w:color="auto" w:fill="auto"/>
          </w:tcPr>
          <w:p w14:paraId="4C202459" w14:textId="77777777" w:rsidR="008C5CFA" w:rsidRPr="0024468B" w:rsidRDefault="00E82A60" w:rsidP="00300A01">
            <w:pPr>
              <w:spacing w:before="0" w:after="0"/>
              <w:jc w:val="right"/>
              <w:rPr>
                <w:sz w:val="16"/>
                <w:szCs w:val="16"/>
                <w:lang w:val="fr-BE"/>
              </w:rPr>
            </w:pPr>
            <w:r w:rsidRPr="0024468B">
              <w:rPr>
                <w:noProof/>
                <w:sz w:val="16"/>
                <w:szCs w:val="16"/>
                <w:lang w:val="fr-BE"/>
              </w:rPr>
              <w:t>31,00</w:t>
            </w:r>
          </w:p>
        </w:tc>
        <w:tc>
          <w:tcPr>
            <w:tcW w:w="0" w:type="auto"/>
            <w:shd w:val="clear" w:color="auto" w:fill="auto"/>
          </w:tcPr>
          <w:p w14:paraId="081F4393"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32701EB1"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1256404C" w14:textId="77777777" w:rsidR="008C5CFA" w:rsidRPr="0024468B" w:rsidRDefault="008C5CFA" w:rsidP="00300A01">
            <w:pPr>
              <w:spacing w:before="0" w:after="0"/>
              <w:rPr>
                <w:sz w:val="16"/>
                <w:szCs w:val="16"/>
                <w:lang w:val="fr-BE"/>
              </w:rPr>
            </w:pPr>
          </w:p>
        </w:tc>
      </w:tr>
      <w:tr w:rsidR="006B2EC1" w14:paraId="134ACC85" w14:textId="77777777" w:rsidTr="0047688D">
        <w:tc>
          <w:tcPr>
            <w:tcW w:w="0" w:type="auto"/>
          </w:tcPr>
          <w:p w14:paraId="5CC1EFAB" w14:textId="77777777" w:rsidR="008C5CFA" w:rsidRPr="0024468B" w:rsidRDefault="00E82A60" w:rsidP="00300A01">
            <w:pPr>
              <w:spacing w:before="0" w:after="0"/>
              <w:rPr>
                <w:sz w:val="16"/>
                <w:szCs w:val="16"/>
                <w:lang w:val="fr-BE"/>
              </w:rPr>
            </w:pPr>
            <w:r>
              <w:rPr>
                <w:noProof/>
                <w:sz w:val="16"/>
                <w:szCs w:val="16"/>
                <w:lang w:val="fr-BE"/>
              </w:rPr>
              <w:t>S</w:t>
            </w:r>
          </w:p>
        </w:tc>
        <w:tc>
          <w:tcPr>
            <w:tcW w:w="0" w:type="auto"/>
            <w:shd w:val="clear" w:color="auto" w:fill="auto"/>
          </w:tcPr>
          <w:p w14:paraId="17144A7E" w14:textId="77777777" w:rsidR="008C5CFA" w:rsidRPr="0024468B" w:rsidRDefault="00E82A60" w:rsidP="00300A01">
            <w:pPr>
              <w:spacing w:before="0" w:after="0"/>
              <w:rPr>
                <w:sz w:val="16"/>
                <w:szCs w:val="16"/>
                <w:lang w:val="fr-BE"/>
              </w:rPr>
            </w:pPr>
            <w:r>
              <w:rPr>
                <w:noProof/>
                <w:sz w:val="16"/>
                <w:szCs w:val="16"/>
                <w:lang w:val="fr-BE"/>
              </w:rPr>
              <w:t>037</w:t>
            </w:r>
          </w:p>
        </w:tc>
        <w:tc>
          <w:tcPr>
            <w:tcW w:w="0" w:type="auto"/>
            <w:shd w:val="clear" w:color="auto" w:fill="auto"/>
          </w:tcPr>
          <w:p w14:paraId="007A6F50" w14:textId="77777777" w:rsidR="008C5CFA" w:rsidRPr="0024468B" w:rsidRDefault="00E82A60" w:rsidP="00300A01">
            <w:pPr>
              <w:spacing w:before="0" w:after="0"/>
              <w:rPr>
                <w:sz w:val="16"/>
                <w:szCs w:val="16"/>
                <w:lang w:val="fr-BE"/>
              </w:rPr>
            </w:pPr>
            <w:r>
              <w:rPr>
                <w:noProof/>
                <w:sz w:val="16"/>
                <w:szCs w:val="16"/>
                <w:lang w:val="fr-BE"/>
              </w:rPr>
              <w:t>Liczba wspartych form ochrony przyrody</w:t>
            </w:r>
          </w:p>
        </w:tc>
        <w:tc>
          <w:tcPr>
            <w:tcW w:w="0" w:type="auto"/>
            <w:shd w:val="clear" w:color="auto" w:fill="auto"/>
          </w:tcPr>
          <w:p w14:paraId="740CF1A1" w14:textId="77777777" w:rsidR="008C5CFA" w:rsidRPr="0024468B" w:rsidRDefault="00E82A60" w:rsidP="00300A01">
            <w:pPr>
              <w:spacing w:before="0" w:after="0"/>
              <w:rPr>
                <w:sz w:val="16"/>
                <w:szCs w:val="16"/>
                <w:lang w:val="fr-BE"/>
              </w:rPr>
            </w:pPr>
            <w:r w:rsidRPr="0024468B">
              <w:rPr>
                <w:noProof/>
                <w:sz w:val="16"/>
                <w:szCs w:val="16"/>
                <w:lang w:val="fr-BE"/>
              </w:rPr>
              <w:t>szt.</w:t>
            </w:r>
          </w:p>
        </w:tc>
        <w:tc>
          <w:tcPr>
            <w:tcW w:w="0" w:type="auto"/>
            <w:shd w:val="clear" w:color="auto" w:fill="auto"/>
          </w:tcPr>
          <w:p w14:paraId="2F9E95B7" w14:textId="77777777" w:rsidR="008C5CFA" w:rsidRPr="0024468B" w:rsidRDefault="00E82A60"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14:paraId="71E265F8" w14:textId="77777777" w:rsidR="008C5CFA" w:rsidRPr="0024468B" w:rsidRDefault="00E82A60" w:rsidP="00300A01">
            <w:pPr>
              <w:spacing w:before="0" w:after="0"/>
              <w:jc w:val="right"/>
              <w:rPr>
                <w:sz w:val="16"/>
                <w:szCs w:val="16"/>
                <w:lang w:val="fr-BE"/>
              </w:rPr>
            </w:pPr>
            <w:r>
              <w:rPr>
                <w:noProof/>
                <w:sz w:val="16"/>
                <w:szCs w:val="16"/>
                <w:lang w:val="fr-BE"/>
              </w:rPr>
              <w:t>8,00</w:t>
            </w:r>
          </w:p>
        </w:tc>
        <w:tc>
          <w:tcPr>
            <w:tcW w:w="0" w:type="auto"/>
            <w:shd w:val="clear" w:color="auto" w:fill="auto"/>
          </w:tcPr>
          <w:p w14:paraId="156EC8CB" w14:textId="77777777" w:rsidR="008C5CFA" w:rsidRPr="0024468B" w:rsidRDefault="008C5CFA" w:rsidP="00300A01">
            <w:pPr>
              <w:spacing w:before="0" w:after="0"/>
              <w:jc w:val="right"/>
              <w:rPr>
                <w:sz w:val="16"/>
                <w:szCs w:val="16"/>
                <w:lang w:val="fr-BE"/>
              </w:rPr>
            </w:pPr>
          </w:p>
        </w:tc>
        <w:tc>
          <w:tcPr>
            <w:tcW w:w="0" w:type="auto"/>
          </w:tcPr>
          <w:p w14:paraId="5619C439" w14:textId="77777777" w:rsidR="008C5CFA" w:rsidRPr="0024468B" w:rsidRDefault="008C5CFA" w:rsidP="00300A01">
            <w:pPr>
              <w:spacing w:before="0" w:after="0"/>
              <w:jc w:val="right"/>
              <w:rPr>
                <w:sz w:val="16"/>
                <w:szCs w:val="16"/>
                <w:lang w:val="fr-BE"/>
              </w:rPr>
            </w:pPr>
          </w:p>
        </w:tc>
        <w:tc>
          <w:tcPr>
            <w:tcW w:w="0" w:type="auto"/>
            <w:shd w:val="clear" w:color="auto" w:fill="auto"/>
          </w:tcPr>
          <w:p w14:paraId="3589AC8E" w14:textId="77777777" w:rsidR="008C5CFA" w:rsidRPr="0024468B" w:rsidRDefault="00E82A60" w:rsidP="00300A01">
            <w:pPr>
              <w:spacing w:before="0" w:after="0"/>
              <w:jc w:val="right"/>
              <w:rPr>
                <w:sz w:val="16"/>
                <w:szCs w:val="16"/>
                <w:lang w:val="fr-BE"/>
              </w:rPr>
            </w:pPr>
            <w:r w:rsidRPr="0024468B">
              <w:rPr>
                <w:noProof/>
                <w:sz w:val="16"/>
                <w:szCs w:val="16"/>
                <w:lang w:val="fr-BE"/>
              </w:rPr>
              <w:t>47,00</w:t>
            </w:r>
          </w:p>
        </w:tc>
        <w:tc>
          <w:tcPr>
            <w:tcW w:w="0" w:type="auto"/>
            <w:shd w:val="clear" w:color="auto" w:fill="auto"/>
          </w:tcPr>
          <w:p w14:paraId="7DAD81FF"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04611F9B"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1D063C7A" w14:textId="77777777" w:rsidR="008C5CFA" w:rsidRPr="0024468B" w:rsidRDefault="00E82A60" w:rsidP="00300A01">
            <w:pPr>
              <w:spacing w:before="0" w:after="0"/>
              <w:rPr>
                <w:sz w:val="16"/>
                <w:szCs w:val="16"/>
                <w:lang w:val="fr-BE"/>
              </w:rPr>
            </w:pPr>
            <w:r w:rsidRPr="0024468B">
              <w:rPr>
                <w:noProof/>
                <w:sz w:val="16"/>
                <w:szCs w:val="16"/>
                <w:lang w:val="fr-BE"/>
              </w:rPr>
              <w:t>IZ podjęła decyzję o urealnieniu wartości docelowej wskaźnika do poziomu 35 wspartych form ochrony przyrody.</w:t>
            </w:r>
          </w:p>
        </w:tc>
      </w:tr>
      <w:tr w:rsidR="006B2EC1" w14:paraId="5C776DB0" w14:textId="77777777" w:rsidTr="0047688D">
        <w:tc>
          <w:tcPr>
            <w:tcW w:w="0" w:type="auto"/>
          </w:tcPr>
          <w:p w14:paraId="3794C6A2" w14:textId="77777777" w:rsidR="008C5CFA" w:rsidRPr="0024468B" w:rsidRDefault="00E82A60" w:rsidP="00300A01">
            <w:pPr>
              <w:spacing w:before="0" w:after="0"/>
              <w:rPr>
                <w:sz w:val="16"/>
                <w:szCs w:val="16"/>
                <w:lang w:val="fr-BE"/>
              </w:rPr>
            </w:pPr>
            <w:r>
              <w:rPr>
                <w:noProof/>
                <w:sz w:val="16"/>
                <w:szCs w:val="16"/>
                <w:lang w:val="fr-BE"/>
              </w:rPr>
              <w:t>F</w:t>
            </w:r>
          </w:p>
        </w:tc>
        <w:tc>
          <w:tcPr>
            <w:tcW w:w="0" w:type="auto"/>
            <w:shd w:val="clear" w:color="auto" w:fill="auto"/>
          </w:tcPr>
          <w:p w14:paraId="61951728" w14:textId="77777777" w:rsidR="008C5CFA" w:rsidRPr="0024468B" w:rsidRDefault="00E82A60" w:rsidP="00300A01">
            <w:pPr>
              <w:spacing w:before="0" w:after="0"/>
              <w:rPr>
                <w:sz w:val="16"/>
                <w:szCs w:val="16"/>
                <w:lang w:val="fr-BE"/>
              </w:rPr>
            </w:pPr>
            <w:r>
              <w:rPr>
                <w:noProof/>
                <w:sz w:val="16"/>
                <w:szCs w:val="16"/>
                <w:lang w:val="fr-BE"/>
              </w:rPr>
              <w:t>038</w:t>
            </w:r>
          </w:p>
        </w:tc>
        <w:tc>
          <w:tcPr>
            <w:tcW w:w="0" w:type="auto"/>
            <w:shd w:val="clear" w:color="auto" w:fill="auto"/>
          </w:tcPr>
          <w:p w14:paraId="2FA63F5C" w14:textId="77777777" w:rsidR="008C5CFA" w:rsidRPr="0024468B" w:rsidRDefault="00E82A60" w:rsidP="00300A01">
            <w:pPr>
              <w:spacing w:before="0" w:after="0"/>
              <w:rPr>
                <w:sz w:val="16"/>
                <w:szCs w:val="16"/>
                <w:lang w:val="fr-BE"/>
              </w:rPr>
            </w:pPr>
            <w:r>
              <w:rPr>
                <w:noProof/>
                <w:sz w:val="16"/>
                <w:szCs w:val="16"/>
                <w:lang w:val="fr-BE"/>
              </w:rPr>
              <w:t>Liczba opracowanych dokumentów planistycznych z zakresu ochrony przyrody</w:t>
            </w:r>
          </w:p>
        </w:tc>
        <w:tc>
          <w:tcPr>
            <w:tcW w:w="0" w:type="auto"/>
            <w:shd w:val="clear" w:color="auto" w:fill="auto"/>
          </w:tcPr>
          <w:p w14:paraId="17D9807F" w14:textId="77777777" w:rsidR="008C5CFA" w:rsidRPr="0024468B" w:rsidRDefault="00E82A60" w:rsidP="00300A01">
            <w:pPr>
              <w:spacing w:before="0" w:after="0"/>
              <w:rPr>
                <w:sz w:val="16"/>
                <w:szCs w:val="16"/>
                <w:lang w:val="fr-BE"/>
              </w:rPr>
            </w:pPr>
            <w:r w:rsidRPr="0024468B">
              <w:rPr>
                <w:noProof/>
                <w:sz w:val="16"/>
                <w:szCs w:val="16"/>
                <w:lang w:val="fr-BE"/>
              </w:rPr>
              <w:t>szt.</w:t>
            </w:r>
          </w:p>
        </w:tc>
        <w:tc>
          <w:tcPr>
            <w:tcW w:w="0" w:type="auto"/>
            <w:shd w:val="clear" w:color="auto" w:fill="auto"/>
          </w:tcPr>
          <w:p w14:paraId="0E2333F9" w14:textId="77777777" w:rsidR="008C5CFA" w:rsidRPr="0024468B" w:rsidRDefault="00E82A60"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14:paraId="778D94E5" w14:textId="77777777" w:rsidR="008C5CFA" w:rsidRPr="0024468B" w:rsidRDefault="00E82A60" w:rsidP="00300A01">
            <w:pPr>
              <w:spacing w:before="0" w:after="0"/>
              <w:jc w:val="right"/>
              <w:rPr>
                <w:sz w:val="16"/>
                <w:szCs w:val="16"/>
                <w:lang w:val="fr-BE"/>
              </w:rPr>
            </w:pPr>
            <w:r>
              <w:rPr>
                <w:noProof/>
                <w:sz w:val="16"/>
                <w:szCs w:val="16"/>
                <w:lang w:val="fr-BE"/>
              </w:rPr>
              <w:t>9,00</w:t>
            </w:r>
          </w:p>
        </w:tc>
        <w:tc>
          <w:tcPr>
            <w:tcW w:w="0" w:type="auto"/>
            <w:shd w:val="clear" w:color="auto" w:fill="auto"/>
          </w:tcPr>
          <w:p w14:paraId="0D96134D" w14:textId="77777777" w:rsidR="008C5CFA" w:rsidRPr="0024468B" w:rsidRDefault="008C5CFA" w:rsidP="00300A01">
            <w:pPr>
              <w:spacing w:before="0" w:after="0"/>
              <w:jc w:val="right"/>
              <w:rPr>
                <w:sz w:val="16"/>
                <w:szCs w:val="16"/>
                <w:lang w:val="fr-BE"/>
              </w:rPr>
            </w:pPr>
          </w:p>
        </w:tc>
        <w:tc>
          <w:tcPr>
            <w:tcW w:w="0" w:type="auto"/>
          </w:tcPr>
          <w:p w14:paraId="516F190F" w14:textId="77777777" w:rsidR="008C5CFA" w:rsidRPr="0024468B" w:rsidRDefault="008C5CFA" w:rsidP="00300A01">
            <w:pPr>
              <w:spacing w:before="0" w:after="0"/>
              <w:jc w:val="right"/>
              <w:rPr>
                <w:sz w:val="16"/>
                <w:szCs w:val="16"/>
                <w:lang w:val="fr-BE"/>
              </w:rPr>
            </w:pPr>
          </w:p>
        </w:tc>
        <w:tc>
          <w:tcPr>
            <w:tcW w:w="0" w:type="auto"/>
            <w:shd w:val="clear" w:color="auto" w:fill="auto"/>
          </w:tcPr>
          <w:p w14:paraId="2E21351C"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4AFF32C9"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3B4C2B07"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741B757F" w14:textId="77777777" w:rsidR="008C5CFA" w:rsidRPr="0024468B" w:rsidRDefault="008C5CFA" w:rsidP="00300A01">
            <w:pPr>
              <w:spacing w:before="0" w:after="0"/>
              <w:rPr>
                <w:sz w:val="16"/>
                <w:szCs w:val="16"/>
                <w:lang w:val="fr-BE"/>
              </w:rPr>
            </w:pPr>
          </w:p>
        </w:tc>
      </w:tr>
      <w:tr w:rsidR="006B2EC1" w14:paraId="38A9BCA0" w14:textId="77777777" w:rsidTr="0047688D">
        <w:tc>
          <w:tcPr>
            <w:tcW w:w="0" w:type="auto"/>
          </w:tcPr>
          <w:p w14:paraId="6CB7F025" w14:textId="77777777" w:rsidR="008C5CFA" w:rsidRPr="0024468B" w:rsidRDefault="00E82A60" w:rsidP="00300A01">
            <w:pPr>
              <w:spacing w:before="0" w:after="0"/>
              <w:rPr>
                <w:sz w:val="16"/>
                <w:szCs w:val="16"/>
                <w:lang w:val="fr-BE"/>
              </w:rPr>
            </w:pPr>
            <w:r>
              <w:rPr>
                <w:noProof/>
                <w:sz w:val="16"/>
                <w:szCs w:val="16"/>
                <w:lang w:val="fr-BE"/>
              </w:rPr>
              <w:t>S</w:t>
            </w:r>
          </w:p>
        </w:tc>
        <w:tc>
          <w:tcPr>
            <w:tcW w:w="0" w:type="auto"/>
            <w:shd w:val="clear" w:color="auto" w:fill="auto"/>
          </w:tcPr>
          <w:p w14:paraId="6784BB44" w14:textId="77777777" w:rsidR="008C5CFA" w:rsidRPr="0024468B" w:rsidRDefault="00E82A60" w:rsidP="00300A01">
            <w:pPr>
              <w:spacing w:before="0" w:after="0"/>
              <w:rPr>
                <w:sz w:val="16"/>
                <w:szCs w:val="16"/>
                <w:lang w:val="fr-BE"/>
              </w:rPr>
            </w:pPr>
            <w:r>
              <w:rPr>
                <w:noProof/>
                <w:sz w:val="16"/>
                <w:szCs w:val="16"/>
                <w:lang w:val="fr-BE"/>
              </w:rPr>
              <w:t>038</w:t>
            </w:r>
          </w:p>
        </w:tc>
        <w:tc>
          <w:tcPr>
            <w:tcW w:w="0" w:type="auto"/>
            <w:shd w:val="clear" w:color="auto" w:fill="auto"/>
          </w:tcPr>
          <w:p w14:paraId="6A111B68" w14:textId="77777777" w:rsidR="008C5CFA" w:rsidRPr="0024468B" w:rsidRDefault="00E82A60" w:rsidP="00300A01">
            <w:pPr>
              <w:spacing w:before="0" w:after="0"/>
              <w:rPr>
                <w:sz w:val="16"/>
                <w:szCs w:val="16"/>
                <w:lang w:val="fr-BE"/>
              </w:rPr>
            </w:pPr>
            <w:r>
              <w:rPr>
                <w:noProof/>
                <w:sz w:val="16"/>
                <w:szCs w:val="16"/>
                <w:lang w:val="fr-BE"/>
              </w:rPr>
              <w:t>Liczba opracowanych dokumentów planistycznych z zakresu ochrony przyrody</w:t>
            </w:r>
          </w:p>
        </w:tc>
        <w:tc>
          <w:tcPr>
            <w:tcW w:w="0" w:type="auto"/>
            <w:shd w:val="clear" w:color="auto" w:fill="auto"/>
          </w:tcPr>
          <w:p w14:paraId="2D5560B7" w14:textId="77777777" w:rsidR="008C5CFA" w:rsidRPr="0024468B" w:rsidRDefault="00E82A60" w:rsidP="00300A01">
            <w:pPr>
              <w:spacing w:before="0" w:after="0"/>
              <w:rPr>
                <w:sz w:val="16"/>
                <w:szCs w:val="16"/>
                <w:lang w:val="fr-BE"/>
              </w:rPr>
            </w:pPr>
            <w:r w:rsidRPr="0024468B">
              <w:rPr>
                <w:noProof/>
                <w:sz w:val="16"/>
                <w:szCs w:val="16"/>
                <w:lang w:val="fr-BE"/>
              </w:rPr>
              <w:t>szt.</w:t>
            </w:r>
          </w:p>
        </w:tc>
        <w:tc>
          <w:tcPr>
            <w:tcW w:w="0" w:type="auto"/>
            <w:shd w:val="clear" w:color="auto" w:fill="auto"/>
          </w:tcPr>
          <w:p w14:paraId="3F6C1097" w14:textId="77777777" w:rsidR="008C5CFA" w:rsidRPr="0024468B" w:rsidRDefault="00E82A60"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14:paraId="2FC54EF7" w14:textId="77777777" w:rsidR="008C5CFA" w:rsidRPr="0024468B" w:rsidRDefault="00E82A60" w:rsidP="00300A01">
            <w:pPr>
              <w:spacing w:before="0" w:after="0"/>
              <w:jc w:val="right"/>
              <w:rPr>
                <w:sz w:val="16"/>
                <w:szCs w:val="16"/>
                <w:lang w:val="fr-BE"/>
              </w:rPr>
            </w:pPr>
            <w:r>
              <w:rPr>
                <w:noProof/>
                <w:sz w:val="16"/>
                <w:szCs w:val="16"/>
                <w:lang w:val="fr-BE"/>
              </w:rPr>
              <w:t>9,00</w:t>
            </w:r>
          </w:p>
        </w:tc>
        <w:tc>
          <w:tcPr>
            <w:tcW w:w="0" w:type="auto"/>
            <w:shd w:val="clear" w:color="auto" w:fill="auto"/>
          </w:tcPr>
          <w:p w14:paraId="3F7338F7" w14:textId="77777777" w:rsidR="008C5CFA" w:rsidRPr="0024468B" w:rsidRDefault="008C5CFA" w:rsidP="00300A01">
            <w:pPr>
              <w:spacing w:before="0" w:after="0"/>
              <w:jc w:val="right"/>
              <w:rPr>
                <w:sz w:val="16"/>
                <w:szCs w:val="16"/>
                <w:lang w:val="fr-BE"/>
              </w:rPr>
            </w:pPr>
          </w:p>
        </w:tc>
        <w:tc>
          <w:tcPr>
            <w:tcW w:w="0" w:type="auto"/>
          </w:tcPr>
          <w:p w14:paraId="425D3066" w14:textId="77777777" w:rsidR="008C5CFA" w:rsidRPr="0024468B" w:rsidRDefault="008C5CFA" w:rsidP="00300A01">
            <w:pPr>
              <w:spacing w:before="0" w:after="0"/>
              <w:jc w:val="right"/>
              <w:rPr>
                <w:sz w:val="16"/>
                <w:szCs w:val="16"/>
                <w:lang w:val="fr-BE"/>
              </w:rPr>
            </w:pPr>
          </w:p>
        </w:tc>
        <w:tc>
          <w:tcPr>
            <w:tcW w:w="0" w:type="auto"/>
            <w:shd w:val="clear" w:color="auto" w:fill="auto"/>
          </w:tcPr>
          <w:p w14:paraId="0C169CA3" w14:textId="77777777" w:rsidR="008C5CFA" w:rsidRPr="0024468B" w:rsidRDefault="00E82A60" w:rsidP="00300A01">
            <w:pPr>
              <w:spacing w:before="0" w:after="0"/>
              <w:jc w:val="right"/>
              <w:rPr>
                <w:sz w:val="16"/>
                <w:szCs w:val="16"/>
                <w:lang w:val="fr-BE"/>
              </w:rPr>
            </w:pPr>
            <w:r w:rsidRPr="0024468B">
              <w:rPr>
                <w:noProof/>
                <w:sz w:val="16"/>
                <w:szCs w:val="16"/>
                <w:lang w:val="fr-BE"/>
              </w:rPr>
              <w:t>9,00</w:t>
            </w:r>
          </w:p>
        </w:tc>
        <w:tc>
          <w:tcPr>
            <w:tcW w:w="0" w:type="auto"/>
            <w:shd w:val="clear" w:color="auto" w:fill="auto"/>
          </w:tcPr>
          <w:p w14:paraId="5A83DC0D"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0F9DB977"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30E0BC6F" w14:textId="77777777" w:rsidR="008C5CFA" w:rsidRPr="0024468B" w:rsidRDefault="008C5CFA" w:rsidP="00300A01">
            <w:pPr>
              <w:spacing w:before="0" w:after="0"/>
              <w:rPr>
                <w:sz w:val="16"/>
                <w:szCs w:val="16"/>
                <w:lang w:val="fr-BE"/>
              </w:rPr>
            </w:pPr>
          </w:p>
        </w:tc>
      </w:tr>
      <w:tr w:rsidR="006B2EC1" w14:paraId="064D7B05" w14:textId="77777777" w:rsidTr="0047688D">
        <w:tc>
          <w:tcPr>
            <w:tcW w:w="0" w:type="auto"/>
          </w:tcPr>
          <w:p w14:paraId="62B618D8" w14:textId="77777777" w:rsidR="008C5CFA" w:rsidRPr="0024468B" w:rsidRDefault="00E82A60" w:rsidP="00300A01">
            <w:pPr>
              <w:spacing w:before="0" w:after="0"/>
              <w:rPr>
                <w:sz w:val="16"/>
                <w:szCs w:val="16"/>
                <w:lang w:val="fr-BE"/>
              </w:rPr>
            </w:pPr>
            <w:r>
              <w:rPr>
                <w:noProof/>
                <w:sz w:val="16"/>
                <w:szCs w:val="16"/>
                <w:lang w:val="fr-BE"/>
              </w:rPr>
              <w:t>F</w:t>
            </w:r>
          </w:p>
        </w:tc>
        <w:tc>
          <w:tcPr>
            <w:tcW w:w="0" w:type="auto"/>
            <w:shd w:val="clear" w:color="auto" w:fill="auto"/>
          </w:tcPr>
          <w:p w14:paraId="7EE404AF" w14:textId="77777777" w:rsidR="008C5CFA" w:rsidRPr="0024468B" w:rsidRDefault="00E82A60" w:rsidP="00300A01">
            <w:pPr>
              <w:spacing w:before="0" w:after="0"/>
              <w:rPr>
                <w:sz w:val="16"/>
                <w:szCs w:val="16"/>
                <w:lang w:val="fr-BE"/>
              </w:rPr>
            </w:pPr>
            <w:r>
              <w:rPr>
                <w:noProof/>
                <w:sz w:val="16"/>
                <w:szCs w:val="16"/>
                <w:lang w:val="fr-BE"/>
              </w:rPr>
              <w:t>039</w:t>
            </w:r>
          </w:p>
        </w:tc>
        <w:tc>
          <w:tcPr>
            <w:tcW w:w="0" w:type="auto"/>
            <w:shd w:val="clear" w:color="auto" w:fill="auto"/>
          </w:tcPr>
          <w:p w14:paraId="0C94B533" w14:textId="77777777" w:rsidR="008C5CFA" w:rsidRPr="0024468B" w:rsidRDefault="00E82A60" w:rsidP="00300A01">
            <w:pPr>
              <w:spacing w:before="0" w:after="0"/>
              <w:rPr>
                <w:sz w:val="16"/>
                <w:szCs w:val="16"/>
                <w:lang w:val="fr-BE"/>
              </w:rPr>
            </w:pPr>
            <w:r>
              <w:rPr>
                <w:noProof/>
                <w:sz w:val="16"/>
                <w:szCs w:val="16"/>
                <w:lang w:val="fr-BE"/>
              </w:rPr>
              <w:t>Powierzchnia siedlisk wspartych w zakresie uzyskania lepszego statusu ochrony</w:t>
            </w:r>
          </w:p>
        </w:tc>
        <w:tc>
          <w:tcPr>
            <w:tcW w:w="0" w:type="auto"/>
            <w:shd w:val="clear" w:color="auto" w:fill="auto"/>
          </w:tcPr>
          <w:p w14:paraId="3FF81050" w14:textId="77777777" w:rsidR="008C5CFA" w:rsidRPr="0024468B" w:rsidRDefault="00E82A60" w:rsidP="00300A01">
            <w:pPr>
              <w:spacing w:before="0" w:after="0"/>
              <w:rPr>
                <w:sz w:val="16"/>
                <w:szCs w:val="16"/>
                <w:lang w:val="fr-BE"/>
              </w:rPr>
            </w:pPr>
            <w:r w:rsidRPr="0024468B">
              <w:rPr>
                <w:noProof/>
                <w:sz w:val="16"/>
                <w:szCs w:val="16"/>
                <w:lang w:val="fr-BE"/>
              </w:rPr>
              <w:t>ha</w:t>
            </w:r>
          </w:p>
        </w:tc>
        <w:tc>
          <w:tcPr>
            <w:tcW w:w="0" w:type="auto"/>
            <w:shd w:val="clear" w:color="auto" w:fill="auto"/>
          </w:tcPr>
          <w:p w14:paraId="2A969C0A" w14:textId="77777777" w:rsidR="008C5CFA" w:rsidRPr="0024468B" w:rsidRDefault="00E82A60"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14:paraId="6EECF057" w14:textId="77777777" w:rsidR="008C5CFA" w:rsidRPr="0024468B" w:rsidRDefault="00E82A60" w:rsidP="00300A01">
            <w:pPr>
              <w:spacing w:before="0" w:after="0"/>
              <w:jc w:val="right"/>
              <w:rPr>
                <w:sz w:val="16"/>
                <w:szCs w:val="16"/>
                <w:lang w:val="fr-BE"/>
              </w:rPr>
            </w:pPr>
            <w:r>
              <w:rPr>
                <w:noProof/>
                <w:sz w:val="16"/>
                <w:szCs w:val="16"/>
                <w:lang w:val="fr-BE"/>
              </w:rPr>
              <w:t>15,00</w:t>
            </w:r>
          </w:p>
        </w:tc>
        <w:tc>
          <w:tcPr>
            <w:tcW w:w="0" w:type="auto"/>
            <w:shd w:val="clear" w:color="auto" w:fill="auto"/>
          </w:tcPr>
          <w:p w14:paraId="12CD291A" w14:textId="77777777" w:rsidR="008C5CFA" w:rsidRPr="0024468B" w:rsidRDefault="008C5CFA" w:rsidP="00300A01">
            <w:pPr>
              <w:spacing w:before="0" w:after="0"/>
              <w:jc w:val="right"/>
              <w:rPr>
                <w:sz w:val="16"/>
                <w:szCs w:val="16"/>
                <w:lang w:val="fr-BE"/>
              </w:rPr>
            </w:pPr>
          </w:p>
        </w:tc>
        <w:tc>
          <w:tcPr>
            <w:tcW w:w="0" w:type="auto"/>
          </w:tcPr>
          <w:p w14:paraId="63AE88B5" w14:textId="77777777" w:rsidR="008C5CFA" w:rsidRPr="0024468B" w:rsidRDefault="008C5CFA" w:rsidP="00300A01">
            <w:pPr>
              <w:spacing w:before="0" w:after="0"/>
              <w:jc w:val="right"/>
              <w:rPr>
                <w:sz w:val="16"/>
                <w:szCs w:val="16"/>
                <w:lang w:val="fr-BE"/>
              </w:rPr>
            </w:pPr>
          </w:p>
        </w:tc>
        <w:tc>
          <w:tcPr>
            <w:tcW w:w="0" w:type="auto"/>
            <w:shd w:val="clear" w:color="auto" w:fill="auto"/>
          </w:tcPr>
          <w:p w14:paraId="39BF85C9"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037C376E"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4F672E68"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446C3581" w14:textId="77777777" w:rsidR="008C5CFA" w:rsidRPr="0024468B" w:rsidRDefault="008C5CFA" w:rsidP="00300A01">
            <w:pPr>
              <w:spacing w:before="0" w:after="0"/>
              <w:rPr>
                <w:sz w:val="16"/>
                <w:szCs w:val="16"/>
                <w:lang w:val="fr-BE"/>
              </w:rPr>
            </w:pPr>
          </w:p>
        </w:tc>
      </w:tr>
      <w:tr w:rsidR="006B2EC1" w14:paraId="2C37C04B" w14:textId="77777777" w:rsidTr="0047688D">
        <w:tc>
          <w:tcPr>
            <w:tcW w:w="0" w:type="auto"/>
          </w:tcPr>
          <w:p w14:paraId="65752A88" w14:textId="77777777" w:rsidR="008C5CFA" w:rsidRPr="0024468B" w:rsidRDefault="00E82A60" w:rsidP="00300A01">
            <w:pPr>
              <w:spacing w:before="0" w:after="0"/>
              <w:rPr>
                <w:sz w:val="16"/>
                <w:szCs w:val="16"/>
                <w:lang w:val="fr-BE"/>
              </w:rPr>
            </w:pPr>
            <w:r>
              <w:rPr>
                <w:noProof/>
                <w:sz w:val="16"/>
                <w:szCs w:val="16"/>
                <w:lang w:val="fr-BE"/>
              </w:rPr>
              <w:t>S</w:t>
            </w:r>
          </w:p>
        </w:tc>
        <w:tc>
          <w:tcPr>
            <w:tcW w:w="0" w:type="auto"/>
            <w:shd w:val="clear" w:color="auto" w:fill="auto"/>
          </w:tcPr>
          <w:p w14:paraId="5AED9AB1" w14:textId="77777777" w:rsidR="008C5CFA" w:rsidRPr="0024468B" w:rsidRDefault="00E82A60" w:rsidP="00300A01">
            <w:pPr>
              <w:spacing w:before="0" w:after="0"/>
              <w:rPr>
                <w:sz w:val="16"/>
                <w:szCs w:val="16"/>
                <w:lang w:val="fr-BE"/>
              </w:rPr>
            </w:pPr>
            <w:r>
              <w:rPr>
                <w:noProof/>
                <w:sz w:val="16"/>
                <w:szCs w:val="16"/>
                <w:lang w:val="fr-BE"/>
              </w:rPr>
              <w:t>039</w:t>
            </w:r>
          </w:p>
        </w:tc>
        <w:tc>
          <w:tcPr>
            <w:tcW w:w="0" w:type="auto"/>
            <w:shd w:val="clear" w:color="auto" w:fill="auto"/>
          </w:tcPr>
          <w:p w14:paraId="685458BB" w14:textId="77777777" w:rsidR="008C5CFA" w:rsidRPr="0024468B" w:rsidRDefault="00E82A60" w:rsidP="00300A01">
            <w:pPr>
              <w:spacing w:before="0" w:after="0"/>
              <w:rPr>
                <w:sz w:val="16"/>
                <w:szCs w:val="16"/>
                <w:lang w:val="fr-BE"/>
              </w:rPr>
            </w:pPr>
            <w:r>
              <w:rPr>
                <w:noProof/>
                <w:sz w:val="16"/>
                <w:szCs w:val="16"/>
                <w:lang w:val="fr-BE"/>
              </w:rPr>
              <w:t>Powierzchnia siedlisk wspartych w zakresie uzyskania lepszego statusu ochrony</w:t>
            </w:r>
          </w:p>
        </w:tc>
        <w:tc>
          <w:tcPr>
            <w:tcW w:w="0" w:type="auto"/>
            <w:shd w:val="clear" w:color="auto" w:fill="auto"/>
          </w:tcPr>
          <w:p w14:paraId="06DCF560" w14:textId="77777777" w:rsidR="008C5CFA" w:rsidRPr="0024468B" w:rsidRDefault="00E82A60" w:rsidP="00300A01">
            <w:pPr>
              <w:spacing w:before="0" w:after="0"/>
              <w:rPr>
                <w:sz w:val="16"/>
                <w:szCs w:val="16"/>
                <w:lang w:val="fr-BE"/>
              </w:rPr>
            </w:pPr>
            <w:r w:rsidRPr="0024468B">
              <w:rPr>
                <w:noProof/>
                <w:sz w:val="16"/>
                <w:szCs w:val="16"/>
                <w:lang w:val="fr-BE"/>
              </w:rPr>
              <w:t>ha</w:t>
            </w:r>
          </w:p>
        </w:tc>
        <w:tc>
          <w:tcPr>
            <w:tcW w:w="0" w:type="auto"/>
            <w:shd w:val="clear" w:color="auto" w:fill="auto"/>
          </w:tcPr>
          <w:p w14:paraId="65BE0584" w14:textId="77777777" w:rsidR="008C5CFA" w:rsidRPr="0024468B" w:rsidRDefault="00E82A60"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14:paraId="45E68826" w14:textId="77777777" w:rsidR="008C5CFA" w:rsidRPr="0024468B" w:rsidRDefault="00E82A60" w:rsidP="00300A01">
            <w:pPr>
              <w:spacing w:before="0" w:after="0"/>
              <w:jc w:val="right"/>
              <w:rPr>
                <w:sz w:val="16"/>
                <w:szCs w:val="16"/>
                <w:lang w:val="fr-BE"/>
              </w:rPr>
            </w:pPr>
            <w:r>
              <w:rPr>
                <w:noProof/>
                <w:sz w:val="16"/>
                <w:szCs w:val="16"/>
                <w:lang w:val="fr-BE"/>
              </w:rPr>
              <w:t>15,00</w:t>
            </w:r>
          </w:p>
        </w:tc>
        <w:tc>
          <w:tcPr>
            <w:tcW w:w="0" w:type="auto"/>
            <w:shd w:val="clear" w:color="auto" w:fill="auto"/>
          </w:tcPr>
          <w:p w14:paraId="3801E290" w14:textId="77777777" w:rsidR="008C5CFA" w:rsidRPr="0024468B" w:rsidRDefault="008C5CFA" w:rsidP="00300A01">
            <w:pPr>
              <w:spacing w:before="0" w:after="0"/>
              <w:jc w:val="right"/>
              <w:rPr>
                <w:sz w:val="16"/>
                <w:szCs w:val="16"/>
                <w:lang w:val="fr-BE"/>
              </w:rPr>
            </w:pPr>
          </w:p>
        </w:tc>
        <w:tc>
          <w:tcPr>
            <w:tcW w:w="0" w:type="auto"/>
          </w:tcPr>
          <w:p w14:paraId="3B5D701A" w14:textId="77777777" w:rsidR="008C5CFA" w:rsidRPr="0024468B" w:rsidRDefault="008C5CFA" w:rsidP="00300A01">
            <w:pPr>
              <w:spacing w:before="0" w:after="0"/>
              <w:jc w:val="right"/>
              <w:rPr>
                <w:sz w:val="16"/>
                <w:szCs w:val="16"/>
                <w:lang w:val="fr-BE"/>
              </w:rPr>
            </w:pPr>
          </w:p>
        </w:tc>
        <w:tc>
          <w:tcPr>
            <w:tcW w:w="0" w:type="auto"/>
            <w:shd w:val="clear" w:color="auto" w:fill="auto"/>
          </w:tcPr>
          <w:p w14:paraId="0AA25B5B" w14:textId="77777777" w:rsidR="008C5CFA" w:rsidRPr="0024468B" w:rsidRDefault="00E82A60" w:rsidP="00300A01">
            <w:pPr>
              <w:spacing w:before="0" w:after="0"/>
              <w:jc w:val="right"/>
              <w:rPr>
                <w:sz w:val="16"/>
                <w:szCs w:val="16"/>
                <w:lang w:val="fr-BE"/>
              </w:rPr>
            </w:pPr>
            <w:r w:rsidRPr="0024468B">
              <w:rPr>
                <w:noProof/>
                <w:sz w:val="16"/>
                <w:szCs w:val="16"/>
                <w:lang w:val="fr-BE"/>
              </w:rPr>
              <w:t>58,00</w:t>
            </w:r>
          </w:p>
        </w:tc>
        <w:tc>
          <w:tcPr>
            <w:tcW w:w="0" w:type="auto"/>
            <w:shd w:val="clear" w:color="auto" w:fill="auto"/>
          </w:tcPr>
          <w:p w14:paraId="11977798"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7AD3CB45"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2A2A1A17" w14:textId="77777777" w:rsidR="008C5CFA" w:rsidRPr="0024468B" w:rsidRDefault="00E82A60" w:rsidP="00300A01">
            <w:pPr>
              <w:spacing w:before="0" w:after="0"/>
              <w:rPr>
                <w:sz w:val="16"/>
                <w:szCs w:val="16"/>
                <w:lang w:val="fr-BE"/>
              </w:rPr>
            </w:pPr>
            <w:r w:rsidRPr="0024468B">
              <w:rPr>
                <w:noProof/>
                <w:sz w:val="16"/>
                <w:szCs w:val="16"/>
                <w:lang w:val="fr-BE"/>
              </w:rPr>
              <w:t>IZ podjęła decyzję o urealnieniu wartości docelowej wskaźnika do poziomu 40 ha powierzchni siedlisk.</w:t>
            </w:r>
          </w:p>
        </w:tc>
      </w:tr>
      <w:tr w:rsidR="006B2EC1" w14:paraId="1006C576" w14:textId="77777777" w:rsidTr="0047688D">
        <w:tc>
          <w:tcPr>
            <w:tcW w:w="0" w:type="auto"/>
          </w:tcPr>
          <w:p w14:paraId="71D8D236" w14:textId="77777777" w:rsidR="008C5CFA" w:rsidRPr="0024468B" w:rsidRDefault="00E82A60" w:rsidP="00300A01">
            <w:pPr>
              <w:spacing w:before="0" w:after="0"/>
              <w:rPr>
                <w:sz w:val="16"/>
                <w:szCs w:val="16"/>
                <w:lang w:val="fr-BE"/>
              </w:rPr>
            </w:pPr>
            <w:r>
              <w:rPr>
                <w:noProof/>
                <w:sz w:val="16"/>
                <w:szCs w:val="16"/>
                <w:lang w:val="fr-BE"/>
              </w:rPr>
              <w:t>F</w:t>
            </w:r>
          </w:p>
        </w:tc>
        <w:tc>
          <w:tcPr>
            <w:tcW w:w="0" w:type="auto"/>
            <w:shd w:val="clear" w:color="auto" w:fill="auto"/>
          </w:tcPr>
          <w:p w14:paraId="26056112" w14:textId="77777777" w:rsidR="008C5CFA" w:rsidRPr="0024468B" w:rsidRDefault="00E82A60" w:rsidP="00300A01">
            <w:pPr>
              <w:spacing w:before="0" w:after="0"/>
              <w:rPr>
                <w:sz w:val="16"/>
                <w:szCs w:val="16"/>
                <w:lang w:val="fr-BE"/>
              </w:rPr>
            </w:pPr>
            <w:r>
              <w:rPr>
                <w:noProof/>
                <w:sz w:val="16"/>
                <w:szCs w:val="16"/>
                <w:lang w:val="fr-BE"/>
              </w:rPr>
              <w:t>69</w:t>
            </w:r>
          </w:p>
        </w:tc>
        <w:tc>
          <w:tcPr>
            <w:tcW w:w="0" w:type="auto"/>
            <w:shd w:val="clear" w:color="auto" w:fill="auto"/>
          </w:tcPr>
          <w:p w14:paraId="3769C854" w14:textId="77777777" w:rsidR="008C5CFA" w:rsidRPr="0024468B" w:rsidRDefault="00E82A60" w:rsidP="00300A01">
            <w:pPr>
              <w:spacing w:before="0" w:after="0"/>
              <w:rPr>
                <w:sz w:val="16"/>
                <w:szCs w:val="16"/>
                <w:lang w:val="fr-BE"/>
              </w:rPr>
            </w:pPr>
            <w:r>
              <w:rPr>
                <w:noProof/>
                <w:sz w:val="16"/>
                <w:szCs w:val="16"/>
                <w:lang w:val="fr-BE"/>
              </w:rPr>
              <w:t>Liczba  ośrodków prowadzących działalność w zakresie edukacji ekologicznej objętych wsparciem</w:t>
            </w:r>
          </w:p>
        </w:tc>
        <w:tc>
          <w:tcPr>
            <w:tcW w:w="0" w:type="auto"/>
            <w:shd w:val="clear" w:color="auto" w:fill="auto"/>
          </w:tcPr>
          <w:p w14:paraId="703721B8" w14:textId="77777777" w:rsidR="008C5CFA" w:rsidRPr="0024468B" w:rsidRDefault="00E82A60" w:rsidP="00300A01">
            <w:pPr>
              <w:spacing w:before="0" w:after="0"/>
              <w:rPr>
                <w:sz w:val="16"/>
                <w:szCs w:val="16"/>
                <w:lang w:val="fr-BE"/>
              </w:rPr>
            </w:pPr>
            <w:r w:rsidRPr="0024468B">
              <w:rPr>
                <w:noProof/>
                <w:sz w:val="16"/>
                <w:szCs w:val="16"/>
                <w:lang w:val="fr-BE"/>
              </w:rPr>
              <w:t>szt.</w:t>
            </w:r>
          </w:p>
        </w:tc>
        <w:tc>
          <w:tcPr>
            <w:tcW w:w="0" w:type="auto"/>
            <w:shd w:val="clear" w:color="auto" w:fill="auto"/>
          </w:tcPr>
          <w:p w14:paraId="0E157C91" w14:textId="77777777" w:rsidR="008C5CFA" w:rsidRPr="0024468B" w:rsidRDefault="00E82A60"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14:paraId="69588FBB" w14:textId="77777777" w:rsidR="008C5CFA" w:rsidRPr="0024468B" w:rsidRDefault="00E82A60" w:rsidP="00300A01">
            <w:pPr>
              <w:spacing w:before="0" w:after="0"/>
              <w:jc w:val="right"/>
              <w:rPr>
                <w:sz w:val="16"/>
                <w:szCs w:val="16"/>
                <w:lang w:val="fr-BE"/>
              </w:rPr>
            </w:pPr>
            <w:r>
              <w:rPr>
                <w:noProof/>
                <w:sz w:val="16"/>
                <w:szCs w:val="16"/>
                <w:lang w:val="fr-BE"/>
              </w:rPr>
              <w:t>1,00</w:t>
            </w:r>
          </w:p>
        </w:tc>
        <w:tc>
          <w:tcPr>
            <w:tcW w:w="0" w:type="auto"/>
            <w:shd w:val="clear" w:color="auto" w:fill="auto"/>
          </w:tcPr>
          <w:p w14:paraId="058ED699" w14:textId="77777777" w:rsidR="008C5CFA" w:rsidRPr="0024468B" w:rsidRDefault="008C5CFA" w:rsidP="00300A01">
            <w:pPr>
              <w:spacing w:before="0" w:after="0"/>
              <w:jc w:val="right"/>
              <w:rPr>
                <w:sz w:val="16"/>
                <w:szCs w:val="16"/>
                <w:lang w:val="fr-BE"/>
              </w:rPr>
            </w:pPr>
          </w:p>
        </w:tc>
        <w:tc>
          <w:tcPr>
            <w:tcW w:w="0" w:type="auto"/>
          </w:tcPr>
          <w:p w14:paraId="53CB6101" w14:textId="77777777" w:rsidR="008C5CFA" w:rsidRPr="0024468B" w:rsidRDefault="008C5CFA" w:rsidP="00300A01">
            <w:pPr>
              <w:spacing w:before="0" w:after="0"/>
              <w:jc w:val="right"/>
              <w:rPr>
                <w:sz w:val="16"/>
                <w:szCs w:val="16"/>
                <w:lang w:val="fr-BE"/>
              </w:rPr>
            </w:pPr>
          </w:p>
        </w:tc>
        <w:tc>
          <w:tcPr>
            <w:tcW w:w="0" w:type="auto"/>
            <w:shd w:val="clear" w:color="auto" w:fill="auto"/>
          </w:tcPr>
          <w:p w14:paraId="3C5550C2"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300803CF"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3E86F42A"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5A51D289" w14:textId="77777777" w:rsidR="008C5CFA" w:rsidRPr="0024468B" w:rsidRDefault="008C5CFA" w:rsidP="00300A01">
            <w:pPr>
              <w:spacing w:before="0" w:after="0"/>
              <w:rPr>
                <w:sz w:val="16"/>
                <w:szCs w:val="16"/>
                <w:lang w:val="fr-BE"/>
              </w:rPr>
            </w:pPr>
          </w:p>
        </w:tc>
      </w:tr>
      <w:tr w:rsidR="006B2EC1" w14:paraId="63284FCC" w14:textId="77777777" w:rsidTr="0047688D">
        <w:tc>
          <w:tcPr>
            <w:tcW w:w="0" w:type="auto"/>
          </w:tcPr>
          <w:p w14:paraId="6ED204B9" w14:textId="77777777" w:rsidR="008C5CFA" w:rsidRPr="0024468B" w:rsidRDefault="00E82A60" w:rsidP="00300A01">
            <w:pPr>
              <w:spacing w:before="0" w:after="0"/>
              <w:rPr>
                <w:sz w:val="16"/>
                <w:szCs w:val="16"/>
                <w:lang w:val="fr-BE"/>
              </w:rPr>
            </w:pPr>
            <w:r>
              <w:rPr>
                <w:noProof/>
                <w:sz w:val="16"/>
                <w:szCs w:val="16"/>
                <w:lang w:val="fr-BE"/>
              </w:rPr>
              <w:t>S</w:t>
            </w:r>
          </w:p>
        </w:tc>
        <w:tc>
          <w:tcPr>
            <w:tcW w:w="0" w:type="auto"/>
            <w:shd w:val="clear" w:color="auto" w:fill="auto"/>
          </w:tcPr>
          <w:p w14:paraId="0A0C2AA4" w14:textId="77777777" w:rsidR="008C5CFA" w:rsidRPr="0024468B" w:rsidRDefault="00E82A60" w:rsidP="00300A01">
            <w:pPr>
              <w:spacing w:before="0" w:after="0"/>
              <w:rPr>
                <w:sz w:val="16"/>
                <w:szCs w:val="16"/>
                <w:lang w:val="fr-BE"/>
              </w:rPr>
            </w:pPr>
            <w:r>
              <w:rPr>
                <w:noProof/>
                <w:sz w:val="16"/>
                <w:szCs w:val="16"/>
                <w:lang w:val="fr-BE"/>
              </w:rPr>
              <w:t>69</w:t>
            </w:r>
          </w:p>
        </w:tc>
        <w:tc>
          <w:tcPr>
            <w:tcW w:w="0" w:type="auto"/>
            <w:shd w:val="clear" w:color="auto" w:fill="auto"/>
          </w:tcPr>
          <w:p w14:paraId="0FCC8BC1" w14:textId="77777777" w:rsidR="008C5CFA" w:rsidRPr="0024468B" w:rsidRDefault="00E82A60" w:rsidP="00300A01">
            <w:pPr>
              <w:spacing w:before="0" w:after="0"/>
              <w:rPr>
                <w:sz w:val="16"/>
                <w:szCs w:val="16"/>
                <w:lang w:val="fr-BE"/>
              </w:rPr>
            </w:pPr>
            <w:r>
              <w:rPr>
                <w:noProof/>
                <w:sz w:val="16"/>
                <w:szCs w:val="16"/>
                <w:lang w:val="fr-BE"/>
              </w:rPr>
              <w:t>Liczba  ośrodków prowadzących działalność w zakresie edukacji ekologicznej objętych wsparciem</w:t>
            </w:r>
          </w:p>
        </w:tc>
        <w:tc>
          <w:tcPr>
            <w:tcW w:w="0" w:type="auto"/>
            <w:shd w:val="clear" w:color="auto" w:fill="auto"/>
          </w:tcPr>
          <w:p w14:paraId="351A2B1A" w14:textId="77777777" w:rsidR="008C5CFA" w:rsidRPr="0024468B" w:rsidRDefault="00E82A60" w:rsidP="00300A01">
            <w:pPr>
              <w:spacing w:before="0" w:after="0"/>
              <w:rPr>
                <w:sz w:val="16"/>
                <w:szCs w:val="16"/>
                <w:lang w:val="fr-BE"/>
              </w:rPr>
            </w:pPr>
            <w:r w:rsidRPr="0024468B">
              <w:rPr>
                <w:noProof/>
                <w:sz w:val="16"/>
                <w:szCs w:val="16"/>
                <w:lang w:val="fr-BE"/>
              </w:rPr>
              <w:t>szt.</w:t>
            </w:r>
          </w:p>
        </w:tc>
        <w:tc>
          <w:tcPr>
            <w:tcW w:w="0" w:type="auto"/>
            <w:shd w:val="clear" w:color="auto" w:fill="auto"/>
          </w:tcPr>
          <w:p w14:paraId="47F462EE" w14:textId="77777777" w:rsidR="008C5CFA" w:rsidRPr="0024468B" w:rsidRDefault="00E82A60"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14:paraId="0584202D" w14:textId="77777777" w:rsidR="008C5CFA" w:rsidRPr="0024468B" w:rsidRDefault="00E82A60" w:rsidP="00300A01">
            <w:pPr>
              <w:spacing w:before="0" w:after="0"/>
              <w:jc w:val="right"/>
              <w:rPr>
                <w:sz w:val="16"/>
                <w:szCs w:val="16"/>
                <w:lang w:val="fr-BE"/>
              </w:rPr>
            </w:pPr>
            <w:r>
              <w:rPr>
                <w:noProof/>
                <w:sz w:val="16"/>
                <w:szCs w:val="16"/>
                <w:lang w:val="fr-BE"/>
              </w:rPr>
              <w:t>1,00</w:t>
            </w:r>
          </w:p>
        </w:tc>
        <w:tc>
          <w:tcPr>
            <w:tcW w:w="0" w:type="auto"/>
            <w:shd w:val="clear" w:color="auto" w:fill="auto"/>
          </w:tcPr>
          <w:p w14:paraId="38D31E6A" w14:textId="77777777" w:rsidR="008C5CFA" w:rsidRPr="0024468B" w:rsidRDefault="008C5CFA" w:rsidP="00300A01">
            <w:pPr>
              <w:spacing w:before="0" w:after="0"/>
              <w:jc w:val="right"/>
              <w:rPr>
                <w:sz w:val="16"/>
                <w:szCs w:val="16"/>
                <w:lang w:val="fr-BE"/>
              </w:rPr>
            </w:pPr>
          </w:p>
        </w:tc>
        <w:tc>
          <w:tcPr>
            <w:tcW w:w="0" w:type="auto"/>
          </w:tcPr>
          <w:p w14:paraId="1642879A" w14:textId="77777777" w:rsidR="008C5CFA" w:rsidRPr="0024468B" w:rsidRDefault="008C5CFA" w:rsidP="00300A01">
            <w:pPr>
              <w:spacing w:before="0" w:after="0"/>
              <w:jc w:val="right"/>
              <w:rPr>
                <w:sz w:val="16"/>
                <w:szCs w:val="16"/>
                <w:lang w:val="fr-BE"/>
              </w:rPr>
            </w:pPr>
          </w:p>
        </w:tc>
        <w:tc>
          <w:tcPr>
            <w:tcW w:w="0" w:type="auto"/>
            <w:shd w:val="clear" w:color="auto" w:fill="auto"/>
          </w:tcPr>
          <w:p w14:paraId="1158D02D" w14:textId="77777777" w:rsidR="008C5CFA" w:rsidRPr="0024468B" w:rsidRDefault="00E82A60" w:rsidP="00300A01">
            <w:pPr>
              <w:spacing w:before="0" w:after="0"/>
              <w:jc w:val="right"/>
              <w:rPr>
                <w:sz w:val="16"/>
                <w:szCs w:val="16"/>
                <w:lang w:val="fr-BE"/>
              </w:rPr>
            </w:pPr>
            <w:r w:rsidRPr="0024468B">
              <w:rPr>
                <w:noProof/>
                <w:sz w:val="16"/>
                <w:szCs w:val="16"/>
                <w:lang w:val="fr-BE"/>
              </w:rPr>
              <w:t>1,00</w:t>
            </w:r>
          </w:p>
        </w:tc>
        <w:tc>
          <w:tcPr>
            <w:tcW w:w="0" w:type="auto"/>
            <w:shd w:val="clear" w:color="auto" w:fill="auto"/>
          </w:tcPr>
          <w:p w14:paraId="17370ECA"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363F16F4"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2D6051A1" w14:textId="77777777" w:rsidR="008C5CFA" w:rsidRPr="0024468B" w:rsidRDefault="008C5CFA" w:rsidP="00300A01">
            <w:pPr>
              <w:spacing w:before="0" w:after="0"/>
              <w:rPr>
                <w:sz w:val="16"/>
                <w:szCs w:val="16"/>
                <w:lang w:val="fr-BE"/>
              </w:rPr>
            </w:pPr>
          </w:p>
        </w:tc>
      </w:tr>
    </w:tbl>
    <w:p w14:paraId="1C8A3BCC" w14:textId="77777777" w:rsidR="008C5CFA" w:rsidRDefault="00E82A60" w:rsidP="00300A01">
      <w:pPr>
        <w:spacing w:before="0" w:after="0"/>
        <w:rPr>
          <w:lang w:val="fr-BE"/>
        </w:rPr>
      </w:pPr>
      <w:r>
        <w:rPr>
          <w:noProof/>
          <w:lang w:val="fr-BE"/>
        </w:rPr>
        <w:t>1) S=wartość skumulowana – produkty, które mają być zrealizowane poprzez wybrane operacje [prognoza przedstawiona przez beneficjentów], F=wartość skumulowana – produkty zrealizowane poprzez operacje [rzeczywiste wykonanie]</w:t>
      </w:r>
    </w:p>
    <w:p w14:paraId="7E24D028"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02"/>
        <w:gridCol w:w="355"/>
        <w:gridCol w:w="5472"/>
        <w:gridCol w:w="942"/>
        <w:gridCol w:w="1127"/>
        <w:gridCol w:w="950"/>
        <w:gridCol w:w="941"/>
        <w:gridCol w:w="1127"/>
        <w:gridCol w:w="950"/>
        <w:gridCol w:w="941"/>
        <w:gridCol w:w="1127"/>
        <w:gridCol w:w="950"/>
      </w:tblGrid>
      <w:tr w:rsidR="006B2EC1" w14:paraId="74D4AF7C" w14:textId="77777777" w:rsidTr="0047688D">
        <w:trPr>
          <w:tblHeader/>
        </w:trPr>
        <w:tc>
          <w:tcPr>
            <w:tcW w:w="0" w:type="auto"/>
          </w:tcPr>
          <w:p w14:paraId="65528092" w14:textId="77777777" w:rsidR="008C5CFA" w:rsidRPr="009143B4" w:rsidRDefault="00E82A60" w:rsidP="00300A01">
            <w:pPr>
              <w:spacing w:before="0" w:after="0"/>
              <w:rPr>
                <w:b/>
                <w:sz w:val="16"/>
                <w:szCs w:val="16"/>
                <w:lang w:val="fr-BE"/>
              </w:rPr>
            </w:pPr>
            <w:r w:rsidRPr="009143B4">
              <w:rPr>
                <w:b/>
                <w:sz w:val="16"/>
                <w:szCs w:val="16"/>
                <w:lang w:val="fr-BE"/>
              </w:rPr>
              <w:t>(1)</w:t>
            </w:r>
          </w:p>
        </w:tc>
        <w:tc>
          <w:tcPr>
            <w:tcW w:w="0" w:type="auto"/>
            <w:shd w:val="clear" w:color="auto" w:fill="auto"/>
          </w:tcPr>
          <w:p w14:paraId="291B4C90" w14:textId="77777777" w:rsidR="008C5CFA" w:rsidRPr="009143B4" w:rsidRDefault="00E82A60" w:rsidP="00300A01">
            <w:pPr>
              <w:spacing w:before="0" w:after="0"/>
              <w:rPr>
                <w:b/>
                <w:sz w:val="16"/>
                <w:szCs w:val="16"/>
                <w:lang w:val="fr-BE"/>
              </w:rPr>
            </w:pPr>
            <w:r w:rsidRPr="009143B4">
              <w:rPr>
                <w:b/>
                <w:noProof/>
                <w:sz w:val="16"/>
                <w:szCs w:val="16"/>
                <w:lang w:val="fr-BE"/>
              </w:rPr>
              <w:t>ID</w:t>
            </w:r>
          </w:p>
        </w:tc>
        <w:tc>
          <w:tcPr>
            <w:tcW w:w="0" w:type="auto"/>
            <w:shd w:val="clear" w:color="auto" w:fill="auto"/>
          </w:tcPr>
          <w:p w14:paraId="1754FCE4" w14:textId="77777777" w:rsidR="008C5CFA" w:rsidRPr="009143B4" w:rsidRDefault="00E82A60" w:rsidP="00300A01">
            <w:pPr>
              <w:spacing w:before="0" w:after="0"/>
              <w:rPr>
                <w:b/>
                <w:sz w:val="16"/>
                <w:szCs w:val="16"/>
                <w:lang w:val="fr-BE"/>
              </w:rPr>
            </w:pPr>
            <w:r w:rsidRPr="009143B4">
              <w:rPr>
                <w:b/>
                <w:noProof/>
                <w:sz w:val="16"/>
                <w:szCs w:val="16"/>
                <w:lang w:val="fr-BE"/>
              </w:rPr>
              <w:t>Wskaźnik</w:t>
            </w:r>
          </w:p>
        </w:tc>
        <w:tc>
          <w:tcPr>
            <w:tcW w:w="0" w:type="auto"/>
          </w:tcPr>
          <w:p w14:paraId="327682BB" w14:textId="77777777" w:rsidR="008C5CFA" w:rsidRPr="009143B4" w:rsidRDefault="00E82A60" w:rsidP="00300A01">
            <w:pPr>
              <w:spacing w:before="0" w:after="0"/>
              <w:jc w:val="center"/>
              <w:rPr>
                <w:b/>
                <w:sz w:val="16"/>
                <w:szCs w:val="16"/>
                <w:lang w:val="fr-BE"/>
              </w:rPr>
            </w:pPr>
            <w:r>
              <w:rPr>
                <w:b/>
                <w:sz w:val="16"/>
                <w:szCs w:val="16"/>
                <w:lang w:val="fr-BE"/>
              </w:rPr>
              <w:t xml:space="preserve">2018 </w:t>
            </w:r>
            <w:r w:rsidRPr="009143B4">
              <w:rPr>
                <w:b/>
                <w:noProof/>
                <w:sz w:val="16"/>
                <w:szCs w:val="16"/>
                <w:lang w:val="fr-BE"/>
              </w:rPr>
              <w:t>Ogółem</w:t>
            </w:r>
          </w:p>
        </w:tc>
        <w:tc>
          <w:tcPr>
            <w:tcW w:w="0" w:type="auto"/>
          </w:tcPr>
          <w:p w14:paraId="078219DA" w14:textId="77777777" w:rsidR="008C5CFA" w:rsidRPr="009143B4" w:rsidRDefault="00E82A60" w:rsidP="00300A01">
            <w:pPr>
              <w:spacing w:before="0" w:after="0"/>
              <w:jc w:val="center"/>
              <w:rPr>
                <w:b/>
                <w:sz w:val="16"/>
                <w:szCs w:val="16"/>
                <w:lang w:val="fr-BE"/>
              </w:rPr>
            </w:pPr>
            <w:r>
              <w:rPr>
                <w:b/>
                <w:sz w:val="16"/>
                <w:szCs w:val="16"/>
                <w:lang w:val="fr-BE"/>
              </w:rPr>
              <w:t xml:space="preserve">2018 </w:t>
            </w:r>
            <w:r w:rsidRPr="009143B4">
              <w:rPr>
                <w:b/>
                <w:noProof/>
                <w:sz w:val="16"/>
                <w:szCs w:val="16"/>
                <w:lang w:val="fr-BE"/>
              </w:rPr>
              <w:t>Mężczyźni</w:t>
            </w:r>
          </w:p>
        </w:tc>
        <w:tc>
          <w:tcPr>
            <w:tcW w:w="0" w:type="auto"/>
          </w:tcPr>
          <w:p w14:paraId="25267279" w14:textId="77777777" w:rsidR="008C5CFA" w:rsidRPr="009143B4" w:rsidRDefault="00E82A60" w:rsidP="00300A01">
            <w:pPr>
              <w:spacing w:before="0" w:after="0"/>
              <w:jc w:val="center"/>
              <w:rPr>
                <w:b/>
                <w:sz w:val="16"/>
                <w:szCs w:val="16"/>
                <w:lang w:val="fr-BE"/>
              </w:rPr>
            </w:pPr>
            <w:r>
              <w:rPr>
                <w:b/>
                <w:sz w:val="16"/>
                <w:szCs w:val="16"/>
                <w:lang w:val="fr-BE"/>
              </w:rPr>
              <w:t xml:space="preserve">2018 </w:t>
            </w:r>
            <w:r w:rsidRPr="009143B4">
              <w:rPr>
                <w:b/>
                <w:noProof/>
                <w:sz w:val="16"/>
                <w:szCs w:val="16"/>
                <w:lang w:val="fr-BE"/>
              </w:rPr>
              <w:t>Kobiety</w:t>
            </w:r>
          </w:p>
        </w:tc>
        <w:tc>
          <w:tcPr>
            <w:tcW w:w="0" w:type="auto"/>
          </w:tcPr>
          <w:p w14:paraId="4F02613A" w14:textId="77777777" w:rsidR="008C5CFA" w:rsidRPr="009143B4" w:rsidRDefault="00E82A60"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Ogółem</w:t>
            </w:r>
          </w:p>
        </w:tc>
        <w:tc>
          <w:tcPr>
            <w:tcW w:w="0" w:type="auto"/>
          </w:tcPr>
          <w:p w14:paraId="2958BCAC" w14:textId="77777777" w:rsidR="008C5CFA" w:rsidRPr="009143B4" w:rsidRDefault="00E82A60"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Mężczyźni</w:t>
            </w:r>
          </w:p>
        </w:tc>
        <w:tc>
          <w:tcPr>
            <w:tcW w:w="0" w:type="auto"/>
          </w:tcPr>
          <w:p w14:paraId="4C4ADAB7" w14:textId="77777777" w:rsidR="008C5CFA" w:rsidRPr="009143B4" w:rsidRDefault="00E82A60"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Kobiety</w:t>
            </w:r>
          </w:p>
        </w:tc>
        <w:tc>
          <w:tcPr>
            <w:tcW w:w="0" w:type="auto"/>
            <w:shd w:val="clear" w:color="auto" w:fill="auto"/>
          </w:tcPr>
          <w:p w14:paraId="6EB57C37" w14:textId="77777777" w:rsidR="008C5CFA" w:rsidRPr="009143B4" w:rsidRDefault="00E82A60"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Ogółem</w:t>
            </w:r>
          </w:p>
        </w:tc>
        <w:tc>
          <w:tcPr>
            <w:tcW w:w="0" w:type="auto"/>
            <w:shd w:val="clear" w:color="auto" w:fill="auto"/>
          </w:tcPr>
          <w:p w14:paraId="436B2CBC" w14:textId="77777777" w:rsidR="008C5CFA" w:rsidRPr="009143B4" w:rsidRDefault="00E82A60"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Mężczyźni</w:t>
            </w:r>
          </w:p>
        </w:tc>
        <w:tc>
          <w:tcPr>
            <w:tcW w:w="0" w:type="auto"/>
            <w:shd w:val="clear" w:color="auto" w:fill="auto"/>
          </w:tcPr>
          <w:p w14:paraId="01A011BA" w14:textId="77777777" w:rsidR="008C5CFA" w:rsidRPr="009143B4" w:rsidRDefault="00E82A60"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Kobiety</w:t>
            </w:r>
          </w:p>
        </w:tc>
      </w:tr>
      <w:tr w:rsidR="006B2EC1" w14:paraId="4FBC9BC1" w14:textId="77777777" w:rsidTr="0047688D">
        <w:tc>
          <w:tcPr>
            <w:tcW w:w="0" w:type="auto"/>
          </w:tcPr>
          <w:p w14:paraId="1E5D1A9E" w14:textId="77777777" w:rsidR="008C5CFA" w:rsidRPr="0024468B" w:rsidRDefault="00E82A60" w:rsidP="00300A01">
            <w:pPr>
              <w:spacing w:before="0" w:after="0"/>
              <w:rPr>
                <w:sz w:val="16"/>
                <w:szCs w:val="16"/>
                <w:lang w:val="fr-BE"/>
              </w:rPr>
            </w:pPr>
            <w:r>
              <w:rPr>
                <w:noProof/>
                <w:sz w:val="16"/>
                <w:szCs w:val="16"/>
                <w:lang w:val="fr-BE"/>
              </w:rPr>
              <w:t>F</w:t>
            </w:r>
          </w:p>
        </w:tc>
        <w:tc>
          <w:tcPr>
            <w:tcW w:w="0" w:type="auto"/>
            <w:shd w:val="clear" w:color="auto" w:fill="auto"/>
          </w:tcPr>
          <w:p w14:paraId="74D2D412" w14:textId="77777777" w:rsidR="008C5CFA" w:rsidRPr="0024468B" w:rsidRDefault="00E82A60" w:rsidP="00300A01">
            <w:pPr>
              <w:spacing w:before="0" w:after="0"/>
              <w:rPr>
                <w:sz w:val="16"/>
                <w:szCs w:val="16"/>
                <w:lang w:val="fr-BE"/>
              </w:rPr>
            </w:pPr>
            <w:r>
              <w:rPr>
                <w:noProof/>
                <w:sz w:val="16"/>
                <w:szCs w:val="16"/>
                <w:lang w:val="fr-BE"/>
              </w:rPr>
              <w:t>037</w:t>
            </w:r>
          </w:p>
        </w:tc>
        <w:tc>
          <w:tcPr>
            <w:tcW w:w="0" w:type="auto"/>
            <w:shd w:val="clear" w:color="auto" w:fill="auto"/>
          </w:tcPr>
          <w:p w14:paraId="571EAAFA" w14:textId="77777777" w:rsidR="008C5CFA" w:rsidRPr="0024468B" w:rsidRDefault="00E82A60" w:rsidP="00300A01">
            <w:pPr>
              <w:spacing w:before="0" w:after="0"/>
              <w:rPr>
                <w:sz w:val="16"/>
                <w:szCs w:val="16"/>
                <w:lang w:val="fr-BE"/>
              </w:rPr>
            </w:pPr>
            <w:r>
              <w:rPr>
                <w:noProof/>
                <w:sz w:val="16"/>
                <w:szCs w:val="16"/>
                <w:lang w:val="fr-BE"/>
              </w:rPr>
              <w:t>Liczba wspartych form ochrony przyrody</w:t>
            </w:r>
          </w:p>
        </w:tc>
        <w:tc>
          <w:tcPr>
            <w:tcW w:w="0" w:type="auto"/>
          </w:tcPr>
          <w:p w14:paraId="4E921D26" w14:textId="77777777" w:rsidR="008C5CFA" w:rsidRPr="0024468B" w:rsidRDefault="00E82A60" w:rsidP="00300A01">
            <w:pPr>
              <w:spacing w:before="0" w:after="0"/>
              <w:jc w:val="right"/>
              <w:rPr>
                <w:sz w:val="16"/>
                <w:szCs w:val="16"/>
                <w:lang w:val="fr-BE"/>
              </w:rPr>
            </w:pPr>
            <w:r w:rsidRPr="0024468B">
              <w:rPr>
                <w:noProof/>
                <w:sz w:val="16"/>
                <w:szCs w:val="16"/>
                <w:lang w:val="fr-BE"/>
              </w:rPr>
              <w:t>10,00</w:t>
            </w:r>
          </w:p>
        </w:tc>
        <w:tc>
          <w:tcPr>
            <w:tcW w:w="0" w:type="auto"/>
          </w:tcPr>
          <w:p w14:paraId="56751CF6"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65E4E142"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18A27D4A"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2CAD5155"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1015EE5E"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34664060"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51C06D81"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5E35C467"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r w:rsidR="006B2EC1" w14:paraId="65CB2D1F" w14:textId="77777777" w:rsidTr="0047688D">
        <w:tc>
          <w:tcPr>
            <w:tcW w:w="0" w:type="auto"/>
          </w:tcPr>
          <w:p w14:paraId="11B00A04" w14:textId="77777777" w:rsidR="008C5CFA" w:rsidRPr="0024468B" w:rsidRDefault="00E82A60" w:rsidP="00300A01">
            <w:pPr>
              <w:spacing w:before="0" w:after="0"/>
              <w:rPr>
                <w:sz w:val="16"/>
                <w:szCs w:val="16"/>
                <w:lang w:val="fr-BE"/>
              </w:rPr>
            </w:pPr>
            <w:r>
              <w:rPr>
                <w:noProof/>
                <w:sz w:val="16"/>
                <w:szCs w:val="16"/>
                <w:lang w:val="fr-BE"/>
              </w:rPr>
              <w:t>S</w:t>
            </w:r>
          </w:p>
        </w:tc>
        <w:tc>
          <w:tcPr>
            <w:tcW w:w="0" w:type="auto"/>
            <w:shd w:val="clear" w:color="auto" w:fill="auto"/>
          </w:tcPr>
          <w:p w14:paraId="297CF932" w14:textId="77777777" w:rsidR="008C5CFA" w:rsidRPr="0024468B" w:rsidRDefault="00E82A60" w:rsidP="00300A01">
            <w:pPr>
              <w:spacing w:before="0" w:after="0"/>
              <w:rPr>
                <w:sz w:val="16"/>
                <w:szCs w:val="16"/>
                <w:lang w:val="fr-BE"/>
              </w:rPr>
            </w:pPr>
            <w:r>
              <w:rPr>
                <w:noProof/>
                <w:sz w:val="16"/>
                <w:szCs w:val="16"/>
                <w:lang w:val="fr-BE"/>
              </w:rPr>
              <w:t>037</w:t>
            </w:r>
          </w:p>
        </w:tc>
        <w:tc>
          <w:tcPr>
            <w:tcW w:w="0" w:type="auto"/>
            <w:shd w:val="clear" w:color="auto" w:fill="auto"/>
          </w:tcPr>
          <w:p w14:paraId="3A70C06A" w14:textId="77777777" w:rsidR="008C5CFA" w:rsidRPr="0024468B" w:rsidRDefault="00E82A60" w:rsidP="00300A01">
            <w:pPr>
              <w:spacing w:before="0" w:after="0"/>
              <w:rPr>
                <w:sz w:val="16"/>
                <w:szCs w:val="16"/>
                <w:lang w:val="fr-BE"/>
              </w:rPr>
            </w:pPr>
            <w:r>
              <w:rPr>
                <w:noProof/>
                <w:sz w:val="16"/>
                <w:szCs w:val="16"/>
                <w:lang w:val="fr-BE"/>
              </w:rPr>
              <w:t>Liczba wspartych form ochrony przyrody</w:t>
            </w:r>
          </w:p>
        </w:tc>
        <w:tc>
          <w:tcPr>
            <w:tcW w:w="0" w:type="auto"/>
          </w:tcPr>
          <w:p w14:paraId="129286C4" w14:textId="77777777" w:rsidR="008C5CFA" w:rsidRPr="0024468B" w:rsidRDefault="00E82A60" w:rsidP="00300A01">
            <w:pPr>
              <w:spacing w:before="0" w:after="0"/>
              <w:jc w:val="right"/>
              <w:rPr>
                <w:sz w:val="16"/>
                <w:szCs w:val="16"/>
                <w:lang w:val="fr-BE"/>
              </w:rPr>
            </w:pPr>
            <w:r w:rsidRPr="0024468B">
              <w:rPr>
                <w:noProof/>
                <w:sz w:val="16"/>
                <w:szCs w:val="16"/>
                <w:lang w:val="fr-BE"/>
              </w:rPr>
              <w:t>47,00</w:t>
            </w:r>
          </w:p>
        </w:tc>
        <w:tc>
          <w:tcPr>
            <w:tcW w:w="0" w:type="auto"/>
          </w:tcPr>
          <w:p w14:paraId="1A48C208"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7448628D"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17F9BD87" w14:textId="77777777" w:rsidR="008C5CFA" w:rsidRPr="0024468B" w:rsidRDefault="00E82A60" w:rsidP="00300A01">
            <w:pPr>
              <w:spacing w:before="0" w:after="0"/>
              <w:jc w:val="right"/>
              <w:rPr>
                <w:sz w:val="16"/>
                <w:szCs w:val="16"/>
                <w:lang w:val="fr-BE"/>
              </w:rPr>
            </w:pPr>
            <w:r w:rsidRPr="0024468B">
              <w:rPr>
                <w:noProof/>
                <w:sz w:val="16"/>
                <w:szCs w:val="16"/>
                <w:lang w:val="fr-BE"/>
              </w:rPr>
              <w:t>35,00</w:t>
            </w:r>
          </w:p>
        </w:tc>
        <w:tc>
          <w:tcPr>
            <w:tcW w:w="0" w:type="auto"/>
          </w:tcPr>
          <w:p w14:paraId="62E892B9"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0F51A345"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49F13C4C"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46A30C38"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7818ADA9"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r w:rsidR="006B2EC1" w14:paraId="27FA16EC" w14:textId="77777777" w:rsidTr="0047688D">
        <w:tc>
          <w:tcPr>
            <w:tcW w:w="0" w:type="auto"/>
          </w:tcPr>
          <w:p w14:paraId="3E8EDA80" w14:textId="77777777" w:rsidR="008C5CFA" w:rsidRPr="0024468B" w:rsidRDefault="00E82A60" w:rsidP="00300A01">
            <w:pPr>
              <w:spacing w:before="0" w:after="0"/>
              <w:rPr>
                <w:sz w:val="16"/>
                <w:szCs w:val="16"/>
                <w:lang w:val="fr-BE"/>
              </w:rPr>
            </w:pPr>
            <w:r>
              <w:rPr>
                <w:noProof/>
                <w:sz w:val="16"/>
                <w:szCs w:val="16"/>
                <w:lang w:val="fr-BE"/>
              </w:rPr>
              <w:t>F</w:t>
            </w:r>
          </w:p>
        </w:tc>
        <w:tc>
          <w:tcPr>
            <w:tcW w:w="0" w:type="auto"/>
            <w:shd w:val="clear" w:color="auto" w:fill="auto"/>
          </w:tcPr>
          <w:p w14:paraId="09612AFB" w14:textId="77777777" w:rsidR="008C5CFA" w:rsidRPr="0024468B" w:rsidRDefault="00E82A60" w:rsidP="00300A01">
            <w:pPr>
              <w:spacing w:before="0" w:after="0"/>
              <w:rPr>
                <w:sz w:val="16"/>
                <w:szCs w:val="16"/>
                <w:lang w:val="fr-BE"/>
              </w:rPr>
            </w:pPr>
            <w:r>
              <w:rPr>
                <w:noProof/>
                <w:sz w:val="16"/>
                <w:szCs w:val="16"/>
                <w:lang w:val="fr-BE"/>
              </w:rPr>
              <w:t>038</w:t>
            </w:r>
          </w:p>
        </w:tc>
        <w:tc>
          <w:tcPr>
            <w:tcW w:w="0" w:type="auto"/>
            <w:shd w:val="clear" w:color="auto" w:fill="auto"/>
          </w:tcPr>
          <w:p w14:paraId="6FBAA7C9" w14:textId="77777777" w:rsidR="008C5CFA" w:rsidRPr="0024468B" w:rsidRDefault="00E82A60" w:rsidP="00300A01">
            <w:pPr>
              <w:spacing w:before="0" w:after="0"/>
              <w:rPr>
                <w:sz w:val="16"/>
                <w:szCs w:val="16"/>
                <w:lang w:val="fr-BE"/>
              </w:rPr>
            </w:pPr>
            <w:r>
              <w:rPr>
                <w:noProof/>
                <w:sz w:val="16"/>
                <w:szCs w:val="16"/>
                <w:lang w:val="fr-BE"/>
              </w:rPr>
              <w:t>Liczba opracowanych dokumentów planistycznych z zakresu ochrony przyrody</w:t>
            </w:r>
          </w:p>
        </w:tc>
        <w:tc>
          <w:tcPr>
            <w:tcW w:w="0" w:type="auto"/>
          </w:tcPr>
          <w:p w14:paraId="66C3CA98"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00401DBD"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36C17A15"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377547BB"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294D9977"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21053D7A"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61144397"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6171E2A0"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69100E1B"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r w:rsidR="006B2EC1" w14:paraId="61F51CFD" w14:textId="77777777" w:rsidTr="0047688D">
        <w:tc>
          <w:tcPr>
            <w:tcW w:w="0" w:type="auto"/>
          </w:tcPr>
          <w:p w14:paraId="404E31E7" w14:textId="77777777" w:rsidR="008C5CFA" w:rsidRPr="0024468B" w:rsidRDefault="00E82A60" w:rsidP="00300A01">
            <w:pPr>
              <w:spacing w:before="0" w:after="0"/>
              <w:rPr>
                <w:sz w:val="16"/>
                <w:szCs w:val="16"/>
                <w:lang w:val="fr-BE"/>
              </w:rPr>
            </w:pPr>
            <w:r>
              <w:rPr>
                <w:noProof/>
                <w:sz w:val="16"/>
                <w:szCs w:val="16"/>
                <w:lang w:val="fr-BE"/>
              </w:rPr>
              <w:t>S</w:t>
            </w:r>
          </w:p>
        </w:tc>
        <w:tc>
          <w:tcPr>
            <w:tcW w:w="0" w:type="auto"/>
            <w:shd w:val="clear" w:color="auto" w:fill="auto"/>
          </w:tcPr>
          <w:p w14:paraId="12DD406A" w14:textId="77777777" w:rsidR="008C5CFA" w:rsidRPr="0024468B" w:rsidRDefault="00E82A60" w:rsidP="00300A01">
            <w:pPr>
              <w:spacing w:before="0" w:after="0"/>
              <w:rPr>
                <w:sz w:val="16"/>
                <w:szCs w:val="16"/>
                <w:lang w:val="fr-BE"/>
              </w:rPr>
            </w:pPr>
            <w:r>
              <w:rPr>
                <w:noProof/>
                <w:sz w:val="16"/>
                <w:szCs w:val="16"/>
                <w:lang w:val="fr-BE"/>
              </w:rPr>
              <w:t>038</w:t>
            </w:r>
          </w:p>
        </w:tc>
        <w:tc>
          <w:tcPr>
            <w:tcW w:w="0" w:type="auto"/>
            <w:shd w:val="clear" w:color="auto" w:fill="auto"/>
          </w:tcPr>
          <w:p w14:paraId="4CFCDFA6" w14:textId="77777777" w:rsidR="008C5CFA" w:rsidRPr="0024468B" w:rsidRDefault="00E82A60" w:rsidP="00300A01">
            <w:pPr>
              <w:spacing w:before="0" w:after="0"/>
              <w:rPr>
                <w:sz w:val="16"/>
                <w:szCs w:val="16"/>
                <w:lang w:val="fr-BE"/>
              </w:rPr>
            </w:pPr>
            <w:r>
              <w:rPr>
                <w:noProof/>
                <w:sz w:val="16"/>
                <w:szCs w:val="16"/>
                <w:lang w:val="fr-BE"/>
              </w:rPr>
              <w:t>Liczba opracowanych dokumentów planistycznych z zakresu ochrony przyrody</w:t>
            </w:r>
          </w:p>
        </w:tc>
        <w:tc>
          <w:tcPr>
            <w:tcW w:w="0" w:type="auto"/>
          </w:tcPr>
          <w:p w14:paraId="1C1CC58A" w14:textId="77777777" w:rsidR="008C5CFA" w:rsidRPr="0024468B" w:rsidRDefault="00E82A60" w:rsidP="00300A01">
            <w:pPr>
              <w:spacing w:before="0" w:after="0"/>
              <w:jc w:val="right"/>
              <w:rPr>
                <w:sz w:val="16"/>
                <w:szCs w:val="16"/>
                <w:lang w:val="fr-BE"/>
              </w:rPr>
            </w:pPr>
            <w:r w:rsidRPr="0024468B">
              <w:rPr>
                <w:noProof/>
                <w:sz w:val="16"/>
                <w:szCs w:val="16"/>
                <w:lang w:val="fr-BE"/>
              </w:rPr>
              <w:t>9,00</w:t>
            </w:r>
          </w:p>
        </w:tc>
        <w:tc>
          <w:tcPr>
            <w:tcW w:w="0" w:type="auto"/>
          </w:tcPr>
          <w:p w14:paraId="16D2F7A2"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3672B3AE"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6963EC08" w14:textId="77777777" w:rsidR="008C5CFA" w:rsidRPr="0024468B" w:rsidRDefault="00E82A60" w:rsidP="00300A01">
            <w:pPr>
              <w:spacing w:before="0" w:after="0"/>
              <w:jc w:val="right"/>
              <w:rPr>
                <w:sz w:val="16"/>
                <w:szCs w:val="16"/>
                <w:lang w:val="fr-BE"/>
              </w:rPr>
            </w:pPr>
            <w:r w:rsidRPr="0024468B">
              <w:rPr>
                <w:noProof/>
                <w:sz w:val="16"/>
                <w:szCs w:val="16"/>
                <w:lang w:val="fr-BE"/>
              </w:rPr>
              <w:t>9,00</w:t>
            </w:r>
          </w:p>
        </w:tc>
        <w:tc>
          <w:tcPr>
            <w:tcW w:w="0" w:type="auto"/>
          </w:tcPr>
          <w:p w14:paraId="3962D63C"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1FC181C8"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5D9CA228"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5D05C3D4"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41367A0D"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r w:rsidR="006B2EC1" w14:paraId="04459B51" w14:textId="77777777" w:rsidTr="0047688D">
        <w:tc>
          <w:tcPr>
            <w:tcW w:w="0" w:type="auto"/>
          </w:tcPr>
          <w:p w14:paraId="1365EEB4" w14:textId="77777777" w:rsidR="008C5CFA" w:rsidRPr="0024468B" w:rsidRDefault="00E82A60" w:rsidP="00300A01">
            <w:pPr>
              <w:spacing w:before="0" w:after="0"/>
              <w:rPr>
                <w:sz w:val="16"/>
                <w:szCs w:val="16"/>
                <w:lang w:val="fr-BE"/>
              </w:rPr>
            </w:pPr>
            <w:r>
              <w:rPr>
                <w:noProof/>
                <w:sz w:val="16"/>
                <w:szCs w:val="16"/>
                <w:lang w:val="fr-BE"/>
              </w:rPr>
              <w:t>F</w:t>
            </w:r>
          </w:p>
        </w:tc>
        <w:tc>
          <w:tcPr>
            <w:tcW w:w="0" w:type="auto"/>
            <w:shd w:val="clear" w:color="auto" w:fill="auto"/>
          </w:tcPr>
          <w:p w14:paraId="48832C3B" w14:textId="77777777" w:rsidR="008C5CFA" w:rsidRPr="0024468B" w:rsidRDefault="00E82A60" w:rsidP="00300A01">
            <w:pPr>
              <w:spacing w:before="0" w:after="0"/>
              <w:rPr>
                <w:sz w:val="16"/>
                <w:szCs w:val="16"/>
                <w:lang w:val="fr-BE"/>
              </w:rPr>
            </w:pPr>
            <w:r>
              <w:rPr>
                <w:noProof/>
                <w:sz w:val="16"/>
                <w:szCs w:val="16"/>
                <w:lang w:val="fr-BE"/>
              </w:rPr>
              <w:t>039</w:t>
            </w:r>
          </w:p>
        </w:tc>
        <w:tc>
          <w:tcPr>
            <w:tcW w:w="0" w:type="auto"/>
            <w:shd w:val="clear" w:color="auto" w:fill="auto"/>
          </w:tcPr>
          <w:p w14:paraId="6B44C027" w14:textId="77777777" w:rsidR="008C5CFA" w:rsidRPr="0024468B" w:rsidRDefault="00E82A60" w:rsidP="00300A01">
            <w:pPr>
              <w:spacing w:before="0" w:after="0"/>
              <w:rPr>
                <w:sz w:val="16"/>
                <w:szCs w:val="16"/>
                <w:lang w:val="fr-BE"/>
              </w:rPr>
            </w:pPr>
            <w:r>
              <w:rPr>
                <w:noProof/>
                <w:sz w:val="16"/>
                <w:szCs w:val="16"/>
                <w:lang w:val="fr-BE"/>
              </w:rPr>
              <w:t>Powierzchnia siedlisk wspartych w zakresie uzyskania lepszego statusu ochrony</w:t>
            </w:r>
          </w:p>
        </w:tc>
        <w:tc>
          <w:tcPr>
            <w:tcW w:w="0" w:type="auto"/>
          </w:tcPr>
          <w:p w14:paraId="478C8783"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7537836E"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6DBA00CE"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13BDC3C4"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720C0374"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51ED5D65"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1A24C708"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0FF4417F"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28815278"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r w:rsidR="006B2EC1" w14:paraId="6E983F31" w14:textId="77777777" w:rsidTr="0047688D">
        <w:tc>
          <w:tcPr>
            <w:tcW w:w="0" w:type="auto"/>
          </w:tcPr>
          <w:p w14:paraId="7D641E1B" w14:textId="77777777" w:rsidR="008C5CFA" w:rsidRPr="0024468B" w:rsidRDefault="00E82A60" w:rsidP="00300A01">
            <w:pPr>
              <w:spacing w:before="0" w:after="0"/>
              <w:rPr>
                <w:sz w:val="16"/>
                <w:szCs w:val="16"/>
                <w:lang w:val="fr-BE"/>
              </w:rPr>
            </w:pPr>
            <w:r>
              <w:rPr>
                <w:noProof/>
                <w:sz w:val="16"/>
                <w:szCs w:val="16"/>
                <w:lang w:val="fr-BE"/>
              </w:rPr>
              <w:t>S</w:t>
            </w:r>
          </w:p>
        </w:tc>
        <w:tc>
          <w:tcPr>
            <w:tcW w:w="0" w:type="auto"/>
            <w:shd w:val="clear" w:color="auto" w:fill="auto"/>
          </w:tcPr>
          <w:p w14:paraId="04E3EE0B" w14:textId="77777777" w:rsidR="008C5CFA" w:rsidRPr="0024468B" w:rsidRDefault="00E82A60" w:rsidP="00300A01">
            <w:pPr>
              <w:spacing w:before="0" w:after="0"/>
              <w:rPr>
                <w:sz w:val="16"/>
                <w:szCs w:val="16"/>
                <w:lang w:val="fr-BE"/>
              </w:rPr>
            </w:pPr>
            <w:r>
              <w:rPr>
                <w:noProof/>
                <w:sz w:val="16"/>
                <w:szCs w:val="16"/>
                <w:lang w:val="fr-BE"/>
              </w:rPr>
              <w:t>039</w:t>
            </w:r>
          </w:p>
        </w:tc>
        <w:tc>
          <w:tcPr>
            <w:tcW w:w="0" w:type="auto"/>
            <w:shd w:val="clear" w:color="auto" w:fill="auto"/>
          </w:tcPr>
          <w:p w14:paraId="372FD5C4" w14:textId="77777777" w:rsidR="008C5CFA" w:rsidRPr="0024468B" w:rsidRDefault="00E82A60" w:rsidP="00300A01">
            <w:pPr>
              <w:spacing w:before="0" w:after="0"/>
              <w:rPr>
                <w:sz w:val="16"/>
                <w:szCs w:val="16"/>
                <w:lang w:val="fr-BE"/>
              </w:rPr>
            </w:pPr>
            <w:r>
              <w:rPr>
                <w:noProof/>
                <w:sz w:val="16"/>
                <w:szCs w:val="16"/>
                <w:lang w:val="fr-BE"/>
              </w:rPr>
              <w:t>Powierzchnia siedlisk wspartych w zakresie uzyskania lepszego statusu ochrony</w:t>
            </w:r>
          </w:p>
        </w:tc>
        <w:tc>
          <w:tcPr>
            <w:tcW w:w="0" w:type="auto"/>
          </w:tcPr>
          <w:p w14:paraId="41289BC4" w14:textId="77777777" w:rsidR="008C5CFA" w:rsidRPr="0024468B" w:rsidRDefault="00E82A60" w:rsidP="00300A01">
            <w:pPr>
              <w:spacing w:before="0" w:after="0"/>
              <w:jc w:val="right"/>
              <w:rPr>
                <w:sz w:val="16"/>
                <w:szCs w:val="16"/>
                <w:lang w:val="fr-BE"/>
              </w:rPr>
            </w:pPr>
            <w:r w:rsidRPr="0024468B">
              <w:rPr>
                <w:noProof/>
                <w:sz w:val="16"/>
                <w:szCs w:val="16"/>
                <w:lang w:val="fr-BE"/>
              </w:rPr>
              <w:t>58,00</w:t>
            </w:r>
          </w:p>
        </w:tc>
        <w:tc>
          <w:tcPr>
            <w:tcW w:w="0" w:type="auto"/>
          </w:tcPr>
          <w:p w14:paraId="4DEC86B1"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05F82200"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1B3D0A7B" w14:textId="77777777" w:rsidR="008C5CFA" w:rsidRPr="0024468B" w:rsidRDefault="00E82A60" w:rsidP="00300A01">
            <w:pPr>
              <w:spacing w:before="0" w:after="0"/>
              <w:jc w:val="right"/>
              <w:rPr>
                <w:sz w:val="16"/>
                <w:szCs w:val="16"/>
                <w:lang w:val="fr-BE"/>
              </w:rPr>
            </w:pPr>
            <w:r w:rsidRPr="0024468B">
              <w:rPr>
                <w:noProof/>
                <w:sz w:val="16"/>
                <w:szCs w:val="16"/>
                <w:lang w:val="fr-BE"/>
              </w:rPr>
              <w:t>50,00</w:t>
            </w:r>
          </w:p>
        </w:tc>
        <w:tc>
          <w:tcPr>
            <w:tcW w:w="0" w:type="auto"/>
          </w:tcPr>
          <w:p w14:paraId="0FC7D82B"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00BCA80A"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608746DF"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40B6BE8A"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3DB89E28"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r w:rsidR="006B2EC1" w14:paraId="4975E734" w14:textId="77777777" w:rsidTr="0047688D">
        <w:tc>
          <w:tcPr>
            <w:tcW w:w="0" w:type="auto"/>
          </w:tcPr>
          <w:p w14:paraId="61BD32C2" w14:textId="77777777" w:rsidR="008C5CFA" w:rsidRPr="0024468B" w:rsidRDefault="00E82A60" w:rsidP="00300A01">
            <w:pPr>
              <w:spacing w:before="0" w:after="0"/>
              <w:rPr>
                <w:sz w:val="16"/>
                <w:szCs w:val="16"/>
                <w:lang w:val="fr-BE"/>
              </w:rPr>
            </w:pPr>
            <w:r>
              <w:rPr>
                <w:noProof/>
                <w:sz w:val="16"/>
                <w:szCs w:val="16"/>
                <w:lang w:val="fr-BE"/>
              </w:rPr>
              <w:t>F</w:t>
            </w:r>
          </w:p>
        </w:tc>
        <w:tc>
          <w:tcPr>
            <w:tcW w:w="0" w:type="auto"/>
            <w:shd w:val="clear" w:color="auto" w:fill="auto"/>
          </w:tcPr>
          <w:p w14:paraId="32513556" w14:textId="77777777" w:rsidR="008C5CFA" w:rsidRPr="0024468B" w:rsidRDefault="00E82A60" w:rsidP="00300A01">
            <w:pPr>
              <w:spacing w:before="0" w:after="0"/>
              <w:rPr>
                <w:sz w:val="16"/>
                <w:szCs w:val="16"/>
                <w:lang w:val="fr-BE"/>
              </w:rPr>
            </w:pPr>
            <w:r>
              <w:rPr>
                <w:noProof/>
                <w:sz w:val="16"/>
                <w:szCs w:val="16"/>
                <w:lang w:val="fr-BE"/>
              </w:rPr>
              <w:t>69</w:t>
            </w:r>
          </w:p>
        </w:tc>
        <w:tc>
          <w:tcPr>
            <w:tcW w:w="0" w:type="auto"/>
            <w:shd w:val="clear" w:color="auto" w:fill="auto"/>
          </w:tcPr>
          <w:p w14:paraId="7077FD8E" w14:textId="77777777" w:rsidR="008C5CFA" w:rsidRPr="0024468B" w:rsidRDefault="00E82A60" w:rsidP="00300A01">
            <w:pPr>
              <w:spacing w:before="0" w:after="0"/>
              <w:rPr>
                <w:sz w:val="16"/>
                <w:szCs w:val="16"/>
                <w:lang w:val="fr-BE"/>
              </w:rPr>
            </w:pPr>
            <w:r>
              <w:rPr>
                <w:noProof/>
                <w:sz w:val="16"/>
                <w:szCs w:val="16"/>
                <w:lang w:val="fr-BE"/>
              </w:rPr>
              <w:t>Liczba  ośrodków prowadzących działalność w zakresie edukacji ekologicznej objętych wsparciem</w:t>
            </w:r>
          </w:p>
        </w:tc>
        <w:tc>
          <w:tcPr>
            <w:tcW w:w="0" w:type="auto"/>
          </w:tcPr>
          <w:p w14:paraId="46471E35"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315EA734"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17414877"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3E85B727"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2AD0164E"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0BF47E96"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3DA90893"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18BABF34"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4F45F286"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r w:rsidR="006B2EC1" w14:paraId="14E95608" w14:textId="77777777" w:rsidTr="0047688D">
        <w:tc>
          <w:tcPr>
            <w:tcW w:w="0" w:type="auto"/>
          </w:tcPr>
          <w:p w14:paraId="4B339EA4" w14:textId="77777777" w:rsidR="008C5CFA" w:rsidRPr="0024468B" w:rsidRDefault="00E82A60" w:rsidP="00300A01">
            <w:pPr>
              <w:spacing w:before="0" w:after="0"/>
              <w:rPr>
                <w:sz w:val="16"/>
                <w:szCs w:val="16"/>
                <w:lang w:val="fr-BE"/>
              </w:rPr>
            </w:pPr>
            <w:r>
              <w:rPr>
                <w:noProof/>
                <w:sz w:val="16"/>
                <w:szCs w:val="16"/>
                <w:lang w:val="fr-BE"/>
              </w:rPr>
              <w:t>S</w:t>
            </w:r>
          </w:p>
        </w:tc>
        <w:tc>
          <w:tcPr>
            <w:tcW w:w="0" w:type="auto"/>
            <w:shd w:val="clear" w:color="auto" w:fill="auto"/>
          </w:tcPr>
          <w:p w14:paraId="1659D0DF" w14:textId="77777777" w:rsidR="008C5CFA" w:rsidRPr="0024468B" w:rsidRDefault="00E82A60" w:rsidP="00300A01">
            <w:pPr>
              <w:spacing w:before="0" w:after="0"/>
              <w:rPr>
                <w:sz w:val="16"/>
                <w:szCs w:val="16"/>
                <w:lang w:val="fr-BE"/>
              </w:rPr>
            </w:pPr>
            <w:r>
              <w:rPr>
                <w:noProof/>
                <w:sz w:val="16"/>
                <w:szCs w:val="16"/>
                <w:lang w:val="fr-BE"/>
              </w:rPr>
              <w:t>69</w:t>
            </w:r>
          </w:p>
        </w:tc>
        <w:tc>
          <w:tcPr>
            <w:tcW w:w="0" w:type="auto"/>
            <w:shd w:val="clear" w:color="auto" w:fill="auto"/>
          </w:tcPr>
          <w:p w14:paraId="0EAEC5F1" w14:textId="77777777" w:rsidR="008C5CFA" w:rsidRPr="0024468B" w:rsidRDefault="00E82A60" w:rsidP="00300A01">
            <w:pPr>
              <w:spacing w:before="0" w:after="0"/>
              <w:rPr>
                <w:sz w:val="16"/>
                <w:szCs w:val="16"/>
                <w:lang w:val="fr-BE"/>
              </w:rPr>
            </w:pPr>
            <w:r>
              <w:rPr>
                <w:noProof/>
                <w:sz w:val="16"/>
                <w:szCs w:val="16"/>
                <w:lang w:val="fr-BE"/>
              </w:rPr>
              <w:t>Liczba  ośrodków prowadzących działalność w zakresie edukacji ekologicznej objętych wsparciem</w:t>
            </w:r>
          </w:p>
        </w:tc>
        <w:tc>
          <w:tcPr>
            <w:tcW w:w="0" w:type="auto"/>
          </w:tcPr>
          <w:p w14:paraId="61EC7A9A" w14:textId="77777777" w:rsidR="008C5CFA" w:rsidRPr="0024468B" w:rsidRDefault="00E82A60" w:rsidP="00300A01">
            <w:pPr>
              <w:spacing w:before="0" w:after="0"/>
              <w:jc w:val="right"/>
              <w:rPr>
                <w:sz w:val="16"/>
                <w:szCs w:val="16"/>
                <w:lang w:val="fr-BE"/>
              </w:rPr>
            </w:pPr>
            <w:r w:rsidRPr="0024468B">
              <w:rPr>
                <w:noProof/>
                <w:sz w:val="16"/>
                <w:szCs w:val="16"/>
                <w:lang w:val="fr-BE"/>
              </w:rPr>
              <w:t>1,00</w:t>
            </w:r>
          </w:p>
        </w:tc>
        <w:tc>
          <w:tcPr>
            <w:tcW w:w="0" w:type="auto"/>
          </w:tcPr>
          <w:p w14:paraId="48284DCC"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4D3D5B82"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45EC603F"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18351872"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47F792CC"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7FC77D96"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2329EFC3"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1ADFC084"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bl>
    <w:p w14:paraId="56962EB9"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36"/>
        <w:gridCol w:w="396"/>
        <w:gridCol w:w="7242"/>
        <w:gridCol w:w="1129"/>
        <w:gridCol w:w="1337"/>
        <w:gridCol w:w="1139"/>
        <w:gridCol w:w="1129"/>
        <w:gridCol w:w="1337"/>
        <w:gridCol w:w="1139"/>
      </w:tblGrid>
      <w:tr w:rsidR="006B2EC1" w14:paraId="2031F1FA" w14:textId="77777777" w:rsidTr="0047688D">
        <w:trPr>
          <w:tblHeader/>
        </w:trPr>
        <w:tc>
          <w:tcPr>
            <w:tcW w:w="0" w:type="auto"/>
          </w:tcPr>
          <w:p w14:paraId="5A8B436D" w14:textId="77777777" w:rsidR="008C5CFA" w:rsidRPr="009143B4" w:rsidRDefault="00E82A60" w:rsidP="00300A01">
            <w:pPr>
              <w:spacing w:before="0" w:after="0"/>
              <w:rPr>
                <w:b/>
                <w:sz w:val="16"/>
                <w:szCs w:val="16"/>
                <w:lang w:val="fr-BE"/>
              </w:rPr>
            </w:pPr>
            <w:r w:rsidRPr="009143B4">
              <w:rPr>
                <w:b/>
                <w:sz w:val="16"/>
                <w:szCs w:val="16"/>
                <w:lang w:val="fr-BE"/>
              </w:rPr>
              <w:t>(1)</w:t>
            </w:r>
          </w:p>
        </w:tc>
        <w:tc>
          <w:tcPr>
            <w:tcW w:w="0" w:type="auto"/>
            <w:shd w:val="clear" w:color="auto" w:fill="auto"/>
          </w:tcPr>
          <w:p w14:paraId="2BA68CBB" w14:textId="77777777" w:rsidR="008C5CFA" w:rsidRPr="009143B4" w:rsidRDefault="00E82A60" w:rsidP="00300A01">
            <w:pPr>
              <w:spacing w:before="0" w:after="0"/>
              <w:rPr>
                <w:b/>
                <w:sz w:val="16"/>
                <w:szCs w:val="16"/>
                <w:lang w:val="fr-BE"/>
              </w:rPr>
            </w:pPr>
            <w:r w:rsidRPr="009143B4">
              <w:rPr>
                <w:b/>
                <w:noProof/>
                <w:sz w:val="16"/>
                <w:szCs w:val="16"/>
                <w:lang w:val="fr-BE"/>
              </w:rPr>
              <w:t>ID</w:t>
            </w:r>
          </w:p>
        </w:tc>
        <w:tc>
          <w:tcPr>
            <w:tcW w:w="0" w:type="auto"/>
            <w:shd w:val="clear" w:color="auto" w:fill="auto"/>
          </w:tcPr>
          <w:p w14:paraId="2F71BD7F" w14:textId="77777777" w:rsidR="008C5CFA" w:rsidRPr="009143B4" w:rsidRDefault="00E82A60" w:rsidP="00300A01">
            <w:pPr>
              <w:spacing w:before="0" w:after="0"/>
              <w:rPr>
                <w:b/>
                <w:sz w:val="16"/>
                <w:szCs w:val="16"/>
                <w:lang w:val="fr-BE"/>
              </w:rPr>
            </w:pPr>
            <w:r w:rsidRPr="009143B4">
              <w:rPr>
                <w:b/>
                <w:noProof/>
                <w:sz w:val="16"/>
                <w:szCs w:val="16"/>
                <w:lang w:val="fr-BE"/>
              </w:rPr>
              <w:t>Wskaźnik</w:t>
            </w:r>
          </w:p>
        </w:tc>
        <w:tc>
          <w:tcPr>
            <w:tcW w:w="0" w:type="auto"/>
          </w:tcPr>
          <w:p w14:paraId="397F89A1" w14:textId="77777777" w:rsidR="008C5CFA" w:rsidRPr="009143B4" w:rsidRDefault="00E82A60"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Ogółem</w:t>
            </w:r>
          </w:p>
        </w:tc>
        <w:tc>
          <w:tcPr>
            <w:tcW w:w="0" w:type="auto"/>
          </w:tcPr>
          <w:p w14:paraId="6CCFACD1" w14:textId="77777777" w:rsidR="008C5CFA" w:rsidRPr="009143B4" w:rsidRDefault="00E82A60"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Mężczyźni</w:t>
            </w:r>
          </w:p>
        </w:tc>
        <w:tc>
          <w:tcPr>
            <w:tcW w:w="0" w:type="auto"/>
          </w:tcPr>
          <w:p w14:paraId="7625CB21" w14:textId="77777777" w:rsidR="008C5CFA" w:rsidRPr="009143B4" w:rsidRDefault="00E82A60"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Kobiety</w:t>
            </w:r>
          </w:p>
        </w:tc>
        <w:tc>
          <w:tcPr>
            <w:tcW w:w="0" w:type="auto"/>
            <w:shd w:val="clear" w:color="auto" w:fill="auto"/>
          </w:tcPr>
          <w:p w14:paraId="22EE9EE9" w14:textId="77777777" w:rsidR="008C5CFA" w:rsidRPr="009143B4" w:rsidRDefault="00E82A60"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Ogółem</w:t>
            </w:r>
          </w:p>
        </w:tc>
        <w:tc>
          <w:tcPr>
            <w:tcW w:w="0" w:type="auto"/>
            <w:shd w:val="clear" w:color="auto" w:fill="auto"/>
          </w:tcPr>
          <w:p w14:paraId="3753161B" w14:textId="77777777" w:rsidR="008C5CFA" w:rsidRPr="009143B4" w:rsidRDefault="00E82A60"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Mężczyźni</w:t>
            </w:r>
          </w:p>
        </w:tc>
        <w:tc>
          <w:tcPr>
            <w:tcW w:w="0" w:type="auto"/>
            <w:shd w:val="clear" w:color="auto" w:fill="auto"/>
          </w:tcPr>
          <w:p w14:paraId="0983CBE6" w14:textId="77777777" w:rsidR="008C5CFA" w:rsidRPr="009143B4" w:rsidRDefault="00E82A60"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Kobiety</w:t>
            </w:r>
          </w:p>
        </w:tc>
      </w:tr>
      <w:tr w:rsidR="006B2EC1" w14:paraId="5A44BAC4" w14:textId="77777777" w:rsidTr="0047688D">
        <w:tc>
          <w:tcPr>
            <w:tcW w:w="0" w:type="auto"/>
          </w:tcPr>
          <w:p w14:paraId="371CB8DF" w14:textId="77777777" w:rsidR="008C5CFA" w:rsidRPr="0024468B" w:rsidRDefault="00E82A60" w:rsidP="00300A01">
            <w:pPr>
              <w:spacing w:before="0" w:after="0"/>
              <w:rPr>
                <w:sz w:val="16"/>
                <w:szCs w:val="16"/>
                <w:lang w:val="fr-BE"/>
              </w:rPr>
            </w:pPr>
            <w:r>
              <w:rPr>
                <w:noProof/>
                <w:sz w:val="16"/>
                <w:szCs w:val="16"/>
                <w:lang w:val="fr-BE"/>
              </w:rPr>
              <w:t>F</w:t>
            </w:r>
          </w:p>
        </w:tc>
        <w:tc>
          <w:tcPr>
            <w:tcW w:w="0" w:type="auto"/>
            <w:shd w:val="clear" w:color="auto" w:fill="auto"/>
          </w:tcPr>
          <w:p w14:paraId="63ED0D90" w14:textId="77777777" w:rsidR="008C5CFA" w:rsidRPr="0024468B" w:rsidRDefault="00E82A60" w:rsidP="00300A01">
            <w:pPr>
              <w:spacing w:before="0" w:after="0"/>
              <w:rPr>
                <w:sz w:val="16"/>
                <w:szCs w:val="16"/>
                <w:lang w:val="fr-BE"/>
              </w:rPr>
            </w:pPr>
            <w:r>
              <w:rPr>
                <w:noProof/>
                <w:sz w:val="16"/>
                <w:szCs w:val="16"/>
                <w:lang w:val="fr-BE"/>
              </w:rPr>
              <w:t>037</w:t>
            </w:r>
          </w:p>
        </w:tc>
        <w:tc>
          <w:tcPr>
            <w:tcW w:w="0" w:type="auto"/>
            <w:shd w:val="clear" w:color="auto" w:fill="auto"/>
          </w:tcPr>
          <w:p w14:paraId="182E4341" w14:textId="77777777" w:rsidR="008C5CFA" w:rsidRPr="0024468B" w:rsidRDefault="00E82A60" w:rsidP="00300A01">
            <w:pPr>
              <w:spacing w:before="0" w:after="0"/>
              <w:rPr>
                <w:sz w:val="16"/>
                <w:szCs w:val="16"/>
                <w:lang w:val="fr-BE"/>
              </w:rPr>
            </w:pPr>
            <w:r>
              <w:rPr>
                <w:noProof/>
                <w:sz w:val="16"/>
                <w:szCs w:val="16"/>
                <w:lang w:val="fr-BE"/>
              </w:rPr>
              <w:t>Liczba wspartych form ochrony przyrody</w:t>
            </w:r>
          </w:p>
        </w:tc>
        <w:tc>
          <w:tcPr>
            <w:tcW w:w="0" w:type="auto"/>
          </w:tcPr>
          <w:p w14:paraId="41D6C458"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6737327E"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4B98F366"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45BE71E9"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3624DA07"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3ECD04FA"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r w:rsidR="006B2EC1" w14:paraId="06627A7F" w14:textId="77777777" w:rsidTr="0047688D">
        <w:tc>
          <w:tcPr>
            <w:tcW w:w="0" w:type="auto"/>
          </w:tcPr>
          <w:p w14:paraId="19BDEA24" w14:textId="77777777" w:rsidR="008C5CFA" w:rsidRPr="0024468B" w:rsidRDefault="00E82A60" w:rsidP="00300A01">
            <w:pPr>
              <w:spacing w:before="0" w:after="0"/>
              <w:rPr>
                <w:sz w:val="16"/>
                <w:szCs w:val="16"/>
                <w:lang w:val="fr-BE"/>
              </w:rPr>
            </w:pPr>
            <w:r>
              <w:rPr>
                <w:noProof/>
                <w:sz w:val="16"/>
                <w:szCs w:val="16"/>
                <w:lang w:val="fr-BE"/>
              </w:rPr>
              <w:t>S</w:t>
            </w:r>
          </w:p>
        </w:tc>
        <w:tc>
          <w:tcPr>
            <w:tcW w:w="0" w:type="auto"/>
            <w:shd w:val="clear" w:color="auto" w:fill="auto"/>
          </w:tcPr>
          <w:p w14:paraId="25CC2100" w14:textId="77777777" w:rsidR="008C5CFA" w:rsidRPr="0024468B" w:rsidRDefault="00E82A60" w:rsidP="00300A01">
            <w:pPr>
              <w:spacing w:before="0" w:after="0"/>
              <w:rPr>
                <w:sz w:val="16"/>
                <w:szCs w:val="16"/>
                <w:lang w:val="fr-BE"/>
              </w:rPr>
            </w:pPr>
            <w:r>
              <w:rPr>
                <w:noProof/>
                <w:sz w:val="16"/>
                <w:szCs w:val="16"/>
                <w:lang w:val="fr-BE"/>
              </w:rPr>
              <w:t>037</w:t>
            </w:r>
          </w:p>
        </w:tc>
        <w:tc>
          <w:tcPr>
            <w:tcW w:w="0" w:type="auto"/>
            <w:shd w:val="clear" w:color="auto" w:fill="auto"/>
          </w:tcPr>
          <w:p w14:paraId="231AC023" w14:textId="77777777" w:rsidR="008C5CFA" w:rsidRPr="0024468B" w:rsidRDefault="00E82A60" w:rsidP="00300A01">
            <w:pPr>
              <w:spacing w:before="0" w:after="0"/>
              <w:rPr>
                <w:sz w:val="16"/>
                <w:szCs w:val="16"/>
                <w:lang w:val="fr-BE"/>
              </w:rPr>
            </w:pPr>
            <w:r>
              <w:rPr>
                <w:noProof/>
                <w:sz w:val="16"/>
                <w:szCs w:val="16"/>
                <w:lang w:val="fr-BE"/>
              </w:rPr>
              <w:t>Liczba wspartych form ochrony przyrody</w:t>
            </w:r>
          </w:p>
        </w:tc>
        <w:tc>
          <w:tcPr>
            <w:tcW w:w="0" w:type="auto"/>
          </w:tcPr>
          <w:p w14:paraId="5449CEF6"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2E95A1D0"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3D6D785D"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2BAF4C6C"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7F138D64"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2C244471"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r w:rsidR="006B2EC1" w14:paraId="36419C5F" w14:textId="77777777" w:rsidTr="0047688D">
        <w:tc>
          <w:tcPr>
            <w:tcW w:w="0" w:type="auto"/>
          </w:tcPr>
          <w:p w14:paraId="0B020CA4" w14:textId="77777777" w:rsidR="008C5CFA" w:rsidRPr="0024468B" w:rsidRDefault="00E82A60" w:rsidP="00300A01">
            <w:pPr>
              <w:spacing w:before="0" w:after="0"/>
              <w:rPr>
                <w:sz w:val="16"/>
                <w:szCs w:val="16"/>
                <w:lang w:val="fr-BE"/>
              </w:rPr>
            </w:pPr>
            <w:r>
              <w:rPr>
                <w:noProof/>
                <w:sz w:val="16"/>
                <w:szCs w:val="16"/>
                <w:lang w:val="fr-BE"/>
              </w:rPr>
              <w:t>F</w:t>
            </w:r>
          </w:p>
        </w:tc>
        <w:tc>
          <w:tcPr>
            <w:tcW w:w="0" w:type="auto"/>
            <w:shd w:val="clear" w:color="auto" w:fill="auto"/>
          </w:tcPr>
          <w:p w14:paraId="68ABB363" w14:textId="77777777" w:rsidR="008C5CFA" w:rsidRPr="0024468B" w:rsidRDefault="00E82A60" w:rsidP="00300A01">
            <w:pPr>
              <w:spacing w:before="0" w:after="0"/>
              <w:rPr>
                <w:sz w:val="16"/>
                <w:szCs w:val="16"/>
                <w:lang w:val="fr-BE"/>
              </w:rPr>
            </w:pPr>
            <w:r>
              <w:rPr>
                <w:noProof/>
                <w:sz w:val="16"/>
                <w:szCs w:val="16"/>
                <w:lang w:val="fr-BE"/>
              </w:rPr>
              <w:t>038</w:t>
            </w:r>
          </w:p>
        </w:tc>
        <w:tc>
          <w:tcPr>
            <w:tcW w:w="0" w:type="auto"/>
            <w:shd w:val="clear" w:color="auto" w:fill="auto"/>
          </w:tcPr>
          <w:p w14:paraId="1E0DC591" w14:textId="77777777" w:rsidR="008C5CFA" w:rsidRPr="0024468B" w:rsidRDefault="00E82A60" w:rsidP="00300A01">
            <w:pPr>
              <w:spacing w:before="0" w:after="0"/>
              <w:rPr>
                <w:sz w:val="16"/>
                <w:szCs w:val="16"/>
                <w:lang w:val="fr-BE"/>
              </w:rPr>
            </w:pPr>
            <w:r>
              <w:rPr>
                <w:noProof/>
                <w:sz w:val="16"/>
                <w:szCs w:val="16"/>
                <w:lang w:val="fr-BE"/>
              </w:rPr>
              <w:t>Liczba opracowanych dokumentów planistycznych z zakresu ochrony przyrody</w:t>
            </w:r>
          </w:p>
        </w:tc>
        <w:tc>
          <w:tcPr>
            <w:tcW w:w="0" w:type="auto"/>
          </w:tcPr>
          <w:p w14:paraId="11611509"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5470A713"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00C67593"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58992A92"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0702F64A"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17AF2C42"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r w:rsidR="006B2EC1" w14:paraId="185190E4" w14:textId="77777777" w:rsidTr="0047688D">
        <w:tc>
          <w:tcPr>
            <w:tcW w:w="0" w:type="auto"/>
          </w:tcPr>
          <w:p w14:paraId="0E18AB6D" w14:textId="77777777" w:rsidR="008C5CFA" w:rsidRPr="0024468B" w:rsidRDefault="00E82A60" w:rsidP="00300A01">
            <w:pPr>
              <w:spacing w:before="0" w:after="0"/>
              <w:rPr>
                <w:sz w:val="16"/>
                <w:szCs w:val="16"/>
                <w:lang w:val="fr-BE"/>
              </w:rPr>
            </w:pPr>
            <w:r>
              <w:rPr>
                <w:noProof/>
                <w:sz w:val="16"/>
                <w:szCs w:val="16"/>
                <w:lang w:val="fr-BE"/>
              </w:rPr>
              <w:t>S</w:t>
            </w:r>
          </w:p>
        </w:tc>
        <w:tc>
          <w:tcPr>
            <w:tcW w:w="0" w:type="auto"/>
            <w:shd w:val="clear" w:color="auto" w:fill="auto"/>
          </w:tcPr>
          <w:p w14:paraId="63752FF0" w14:textId="77777777" w:rsidR="008C5CFA" w:rsidRPr="0024468B" w:rsidRDefault="00E82A60" w:rsidP="00300A01">
            <w:pPr>
              <w:spacing w:before="0" w:after="0"/>
              <w:rPr>
                <w:sz w:val="16"/>
                <w:szCs w:val="16"/>
                <w:lang w:val="fr-BE"/>
              </w:rPr>
            </w:pPr>
            <w:r>
              <w:rPr>
                <w:noProof/>
                <w:sz w:val="16"/>
                <w:szCs w:val="16"/>
                <w:lang w:val="fr-BE"/>
              </w:rPr>
              <w:t>038</w:t>
            </w:r>
          </w:p>
        </w:tc>
        <w:tc>
          <w:tcPr>
            <w:tcW w:w="0" w:type="auto"/>
            <w:shd w:val="clear" w:color="auto" w:fill="auto"/>
          </w:tcPr>
          <w:p w14:paraId="21BD04FF" w14:textId="77777777" w:rsidR="008C5CFA" w:rsidRPr="0024468B" w:rsidRDefault="00E82A60" w:rsidP="00300A01">
            <w:pPr>
              <w:spacing w:before="0" w:after="0"/>
              <w:rPr>
                <w:sz w:val="16"/>
                <w:szCs w:val="16"/>
                <w:lang w:val="fr-BE"/>
              </w:rPr>
            </w:pPr>
            <w:r>
              <w:rPr>
                <w:noProof/>
                <w:sz w:val="16"/>
                <w:szCs w:val="16"/>
                <w:lang w:val="fr-BE"/>
              </w:rPr>
              <w:t>Liczba opracowanych dokumentów planistycznych z zakresu ochrony przyrody</w:t>
            </w:r>
          </w:p>
        </w:tc>
        <w:tc>
          <w:tcPr>
            <w:tcW w:w="0" w:type="auto"/>
          </w:tcPr>
          <w:p w14:paraId="6B75794F"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14BBC144"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01F20108"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3C1E53A4"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727B9C36"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0B24A819"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r w:rsidR="006B2EC1" w14:paraId="4D11E852" w14:textId="77777777" w:rsidTr="0047688D">
        <w:tc>
          <w:tcPr>
            <w:tcW w:w="0" w:type="auto"/>
          </w:tcPr>
          <w:p w14:paraId="0C302B16" w14:textId="77777777" w:rsidR="008C5CFA" w:rsidRPr="0024468B" w:rsidRDefault="00E82A60" w:rsidP="00300A01">
            <w:pPr>
              <w:spacing w:before="0" w:after="0"/>
              <w:rPr>
                <w:sz w:val="16"/>
                <w:szCs w:val="16"/>
                <w:lang w:val="fr-BE"/>
              </w:rPr>
            </w:pPr>
            <w:r>
              <w:rPr>
                <w:noProof/>
                <w:sz w:val="16"/>
                <w:szCs w:val="16"/>
                <w:lang w:val="fr-BE"/>
              </w:rPr>
              <w:t>F</w:t>
            </w:r>
          </w:p>
        </w:tc>
        <w:tc>
          <w:tcPr>
            <w:tcW w:w="0" w:type="auto"/>
            <w:shd w:val="clear" w:color="auto" w:fill="auto"/>
          </w:tcPr>
          <w:p w14:paraId="2EF19D92" w14:textId="77777777" w:rsidR="008C5CFA" w:rsidRPr="0024468B" w:rsidRDefault="00E82A60" w:rsidP="00300A01">
            <w:pPr>
              <w:spacing w:before="0" w:after="0"/>
              <w:rPr>
                <w:sz w:val="16"/>
                <w:szCs w:val="16"/>
                <w:lang w:val="fr-BE"/>
              </w:rPr>
            </w:pPr>
            <w:r>
              <w:rPr>
                <w:noProof/>
                <w:sz w:val="16"/>
                <w:szCs w:val="16"/>
                <w:lang w:val="fr-BE"/>
              </w:rPr>
              <w:t>039</w:t>
            </w:r>
          </w:p>
        </w:tc>
        <w:tc>
          <w:tcPr>
            <w:tcW w:w="0" w:type="auto"/>
            <w:shd w:val="clear" w:color="auto" w:fill="auto"/>
          </w:tcPr>
          <w:p w14:paraId="0636B4D2" w14:textId="77777777" w:rsidR="008C5CFA" w:rsidRPr="0024468B" w:rsidRDefault="00E82A60" w:rsidP="00300A01">
            <w:pPr>
              <w:spacing w:before="0" w:after="0"/>
              <w:rPr>
                <w:sz w:val="16"/>
                <w:szCs w:val="16"/>
                <w:lang w:val="fr-BE"/>
              </w:rPr>
            </w:pPr>
            <w:r>
              <w:rPr>
                <w:noProof/>
                <w:sz w:val="16"/>
                <w:szCs w:val="16"/>
                <w:lang w:val="fr-BE"/>
              </w:rPr>
              <w:t>Powierzchnia siedlisk wspartych w zakresie uzyskania lepszego statusu ochrony</w:t>
            </w:r>
          </w:p>
        </w:tc>
        <w:tc>
          <w:tcPr>
            <w:tcW w:w="0" w:type="auto"/>
          </w:tcPr>
          <w:p w14:paraId="7BC39A67"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1A075183"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25CEDE3E"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0C30A739"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418C001C"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32ED1A2C"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r w:rsidR="006B2EC1" w14:paraId="171312D0" w14:textId="77777777" w:rsidTr="0047688D">
        <w:tc>
          <w:tcPr>
            <w:tcW w:w="0" w:type="auto"/>
          </w:tcPr>
          <w:p w14:paraId="430A5F91" w14:textId="77777777" w:rsidR="008C5CFA" w:rsidRPr="0024468B" w:rsidRDefault="00E82A60" w:rsidP="00300A01">
            <w:pPr>
              <w:spacing w:before="0" w:after="0"/>
              <w:rPr>
                <w:sz w:val="16"/>
                <w:szCs w:val="16"/>
                <w:lang w:val="fr-BE"/>
              </w:rPr>
            </w:pPr>
            <w:r>
              <w:rPr>
                <w:noProof/>
                <w:sz w:val="16"/>
                <w:szCs w:val="16"/>
                <w:lang w:val="fr-BE"/>
              </w:rPr>
              <w:t>S</w:t>
            </w:r>
          </w:p>
        </w:tc>
        <w:tc>
          <w:tcPr>
            <w:tcW w:w="0" w:type="auto"/>
            <w:shd w:val="clear" w:color="auto" w:fill="auto"/>
          </w:tcPr>
          <w:p w14:paraId="000105FC" w14:textId="77777777" w:rsidR="008C5CFA" w:rsidRPr="0024468B" w:rsidRDefault="00E82A60" w:rsidP="00300A01">
            <w:pPr>
              <w:spacing w:before="0" w:after="0"/>
              <w:rPr>
                <w:sz w:val="16"/>
                <w:szCs w:val="16"/>
                <w:lang w:val="fr-BE"/>
              </w:rPr>
            </w:pPr>
            <w:r>
              <w:rPr>
                <w:noProof/>
                <w:sz w:val="16"/>
                <w:szCs w:val="16"/>
                <w:lang w:val="fr-BE"/>
              </w:rPr>
              <w:t>039</w:t>
            </w:r>
          </w:p>
        </w:tc>
        <w:tc>
          <w:tcPr>
            <w:tcW w:w="0" w:type="auto"/>
            <w:shd w:val="clear" w:color="auto" w:fill="auto"/>
          </w:tcPr>
          <w:p w14:paraId="424F52E3" w14:textId="77777777" w:rsidR="008C5CFA" w:rsidRPr="0024468B" w:rsidRDefault="00E82A60" w:rsidP="00300A01">
            <w:pPr>
              <w:spacing w:before="0" w:after="0"/>
              <w:rPr>
                <w:sz w:val="16"/>
                <w:szCs w:val="16"/>
                <w:lang w:val="fr-BE"/>
              </w:rPr>
            </w:pPr>
            <w:r>
              <w:rPr>
                <w:noProof/>
                <w:sz w:val="16"/>
                <w:szCs w:val="16"/>
                <w:lang w:val="fr-BE"/>
              </w:rPr>
              <w:t>Powierzchnia siedlisk wspartych w zakresie uzyskania lepszego statusu ochrony</w:t>
            </w:r>
          </w:p>
        </w:tc>
        <w:tc>
          <w:tcPr>
            <w:tcW w:w="0" w:type="auto"/>
          </w:tcPr>
          <w:p w14:paraId="782BAD19"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3E9C8F98"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173D8945"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2EC7E7BF"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46124F65"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477CBAB2"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r w:rsidR="006B2EC1" w14:paraId="4AC10B14" w14:textId="77777777" w:rsidTr="0047688D">
        <w:tc>
          <w:tcPr>
            <w:tcW w:w="0" w:type="auto"/>
          </w:tcPr>
          <w:p w14:paraId="51C5685D" w14:textId="77777777" w:rsidR="008C5CFA" w:rsidRPr="0024468B" w:rsidRDefault="00E82A60" w:rsidP="00300A01">
            <w:pPr>
              <w:spacing w:before="0" w:after="0"/>
              <w:rPr>
                <w:sz w:val="16"/>
                <w:szCs w:val="16"/>
                <w:lang w:val="fr-BE"/>
              </w:rPr>
            </w:pPr>
            <w:r>
              <w:rPr>
                <w:noProof/>
                <w:sz w:val="16"/>
                <w:szCs w:val="16"/>
                <w:lang w:val="fr-BE"/>
              </w:rPr>
              <w:t>F</w:t>
            </w:r>
          </w:p>
        </w:tc>
        <w:tc>
          <w:tcPr>
            <w:tcW w:w="0" w:type="auto"/>
            <w:shd w:val="clear" w:color="auto" w:fill="auto"/>
          </w:tcPr>
          <w:p w14:paraId="1D419779" w14:textId="77777777" w:rsidR="008C5CFA" w:rsidRPr="0024468B" w:rsidRDefault="00E82A60" w:rsidP="00300A01">
            <w:pPr>
              <w:spacing w:before="0" w:after="0"/>
              <w:rPr>
                <w:sz w:val="16"/>
                <w:szCs w:val="16"/>
                <w:lang w:val="fr-BE"/>
              </w:rPr>
            </w:pPr>
            <w:r>
              <w:rPr>
                <w:noProof/>
                <w:sz w:val="16"/>
                <w:szCs w:val="16"/>
                <w:lang w:val="fr-BE"/>
              </w:rPr>
              <w:t>69</w:t>
            </w:r>
          </w:p>
        </w:tc>
        <w:tc>
          <w:tcPr>
            <w:tcW w:w="0" w:type="auto"/>
            <w:shd w:val="clear" w:color="auto" w:fill="auto"/>
          </w:tcPr>
          <w:p w14:paraId="785CAEB5" w14:textId="77777777" w:rsidR="008C5CFA" w:rsidRPr="0024468B" w:rsidRDefault="00E82A60" w:rsidP="00300A01">
            <w:pPr>
              <w:spacing w:before="0" w:after="0"/>
              <w:rPr>
                <w:sz w:val="16"/>
                <w:szCs w:val="16"/>
                <w:lang w:val="fr-BE"/>
              </w:rPr>
            </w:pPr>
            <w:r>
              <w:rPr>
                <w:noProof/>
                <w:sz w:val="16"/>
                <w:szCs w:val="16"/>
                <w:lang w:val="fr-BE"/>
              </w:rPr>
              <w:t>Liczba  ośrodków prowadzących działalność w zakresie edukacji ekologicznej objętych wsparciem</w:t>
            </w:r>
          </w:p>
        </w:tc>
        <w:tc>
          <w:tcPr>
            <w:tcW w:w="0" w:type="auto"/>
          </w:tcPr>
          <w:p w14:paraId="16A746F9"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2A5A839E"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6D7810F9"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323012B9"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794B1D31"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51ABE6C6"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r w:rsidR="006B2EC1" w14:paraId="69F45E40" w14:textId="77777777" w:rsidTr="0047688D">
        <w:tc>
          <w:tcPr>
            <w:tcW w:w="0" w:type="auto"/>
          </w:tcPr>
          <w:p w14:paraId="6AD2CD3D" w14:textId="77777777" w:rsidR="008C5CFA" w:rsidRPr="0024468B" w:rsidRDefault="00E82A60" w:rsidP="00300A01">
            <w:pPr>
              <w:spacing w:before="0" w:after="0"/>
              <w:rPr>
                <w:sz w:val="16"/>
                <w:szCs w:val="16"/>
                <w:lang w:val="fr-BE"/>
              </w:rPr>
            </w:pPr>
            <w:r>
              <w:rPr>
                <w:noProof/>
                <w:sz w:val="16"/>
                <w:szCs w:val="16"/>
                <w:lang w:val="fr-BE"/>
              </w:rPr>
              <w:t>S</w:t>
            </w:r>
          </w:p>
        </w:tc>
        <w:tc>
          <w:tcPr>
            <w:tcW w:w="0" w:type="auto"/>
            <w:shd w:val="clear" w:color="auto" w:fill="auto"/>
          </w:tcPr>
          <w:p w14:paraId="3418883C" w14:textId="77777777" w:rsidR="008C5CFA" w:rsidRPr="0024468B" w:rsidRDefault="00E82A60" w:rsidP="00300A01">
            <w:pPr>
              <w:spacing w:before="0" w:after="0"/>
              <w:rPr>
                <w:sz w:val="16"/>
                <w:szCs w:val="16"/>
                <w:lang w:val="fr-BE"/>
              </w:rPr>
            </w:pPr>
            <w:r>
              <w:rPr>
                <w:noProof/>
                <w:sz w:val="16"/>
                <w:szCs w:val="16"/>
                <w:lang w:val="fr-BE"/>
              </w:rPr>
              <w:t>69</w:t>
            </w:r>
          </w:p>
        </w:tc>
        <w:tc>
          <w:tcPr>
            <w:tcW w:w="0" w:type="auto"/>
            <w:shd w:val="clear" w:color="auto" w:fill="auto"/>
          </w:tcPr>
          <w:p w14:paraId="2C2F2F01" w14:textId="77777777" w:rsidR="008C5CFA" w:rsidRPr="0024468B" w:rsidRDefault="00E82A60" w:rsidP="00300A01">
            <w:pPr>
              <w:spacing w:before="0" w:after="0"/>
              <w:rPr>
                <w:sz w:val="16"/>
                <w:szCs w:val="16"/>
                <w:lang w:val="fr-BE"/>
              </w:rPr>
            </w:pPr>
            <w:r>
              <w:rPr>
                <w:noProof/>
                <w:sz w:val="16"/>
                <w:szCs w:val="16"/>
                <w:lang w:val="fr-BE"/>
              </w:rPr>
              <w:t>Liczba  ośrodków prowadzących działalność w zakresie edukacji ekologicznej objętych wsparciem</w:t>
            </w:r>
          </w:p>
        </w:tc>
        <w:tc>
          <w:tcPr>
            <w:tcW w:w="0" w:type="auto"/>
          </w:tcPr>
          <w:p w14:paraId="292AFE99"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71760720"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57FC44C5"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03E71402"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52F74D6B"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7461E0A7"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bl>
    <w:p w14:paraId="5ED0B98E" w14:textId="77777777" w:rsidR="008C5CFA" w:rsidRDefault="008C5CFA" w:rsidP="00300A01">
      <w:pPr>
        <w:spacing w:before="0" w:after="0"/>
        <w:rPr>
          <w:lang w:val="fr-BE"/>
        </w:rPr>
      </w:pPr>
    </w:p>
    <w:p w14:paraId="086B638B" w14:textId="77777777" w:rsidR="008C5CFA" w:rsidRDefault="008C5CFA" w:rsidP="00300A01">
      <w:pPr>
        <w:spacing w:before="0" w:after="0"/>
        <w:rPr>
          <w:lang w:val="fr-BE"/>
        </w:rPr>
      </w:pPr>
    </w:p>
    <w:p w14:paraId="1AD66EA4" w14:textId="77777777" w:rsidR="008C5CFA" w:rsidRDefault="00E82A60" w:rsidP="00300A01">
      <w:pPr>
        <w:spacing w:before="0" w:after="0"/>
        <w:rPr>
          <w:lang w:val="fr-BE"/>
        </w:rPr>
      </w:pPr>
      <w:r>
        <w:rPr>
          <w:lang w:val="fr-BE"/>
        </w:rPr>
        <w:br w:type="page"/>
      </w:r>
    </w:p>
    <w:p w14:paraId="2F5F4453"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2"/>
        <w:gridCol w:w="13252"/>
      </w:tblGrid>
      <w:tr w:rsidR="006B2EC1" w14:paraId="6530C0B1" w14:textId="77777777" w:rsidTr="0047688D">
        <w:tc>
          <w:tcPr>
            <w:tcW w:w="0" w:type="auto"/>
            <w:shd w:val="clear" w:color="auto" w:fill="auto"/>
          </w:tcPr>
          <w:p w14:paraId="74CCE736" w14:textId="77777777" w:rsidR="008C5CFA" w:rsidRPr="002124FC" w:rsidRDefault="00E82A60" w:rsidP="00300A01">
            <w:pPr>
              <w:spacing w:before="0" w:after="0"/>
              <w:rPr>
                <w:sz w:val="20"/>
                <w:szCs w:val="20"/>
                <w:lang w:val="fr-BE"/>
              </w:rPr>
            </w:pPr>
            <w:r>
              <w:rPr>
                <w:lang w:val="fr-BE"/>
              </w:rPr>
              <w:br w:type="page"/>
            </w:r>
            <w:r>
              <w:rPr>
                <w:lang w:val="fr-BE"/>
              </w:rPr>
              <w:br w:type="page"/>
            </w:r>
            <w:r>
              <w:rPr>
                <w:lang w:val="fr-BE"/>
              </w:rPr>
              <w:br w:type="page"/>
            </w:r>
            <w:r w:rsidRPr="002124FC">
              <w:rPr>
                <w:noProof/>
                <w:sz w:val="20"/>
                <w:szCs w:val="20"/>
                <w:lang w:val="fr-BE"/>
              </w:rPr>
              <w:t>Oś priorytetowa</w:t>
            </w:r>
          </w:p>
        </w:tc>
        <w:tc>
          <w:tcPr>
            <w:tcW w:w="0" w:type="auto"/>
            <w:shd w:val="clear" w:color="auto" w:fill="auto"/>
          </w:tcPr>
          <w:p w14:paraId="73CEF242" w14:textId="77777777" w:rsidR="008C5CFA" w:rsidRPr="002124FC" w:rsidRDefault="00E82A60" w:rsidP="00300A01">
            <w:pPr>
              <w:spacing w:before="0" w:after="0"/>
              <w:rPr>
                <w:sz w:val="20"/>
                <w:szCs w:val="20"/>
                <w:lang w:val="fr-BE"/>
              </w:rPr>
            </w:pPr>
            <w:r>
              <w:rPr>
                <w:noProof/>
                <w:sz w:val="20"/>
                <w:szCs w:val="20"/>
                <w:lang w:val="fr-BE"/>
              </w:rPr>
              <w:t>4</w:t>
            </w:r>
            <w:r w:rsidRPr="002124FC">
              <w:rPr>
                <w:sz w:val="20"/>
                <w:szCs w:val="20"/>
                <w:lang w:val="fr-BE"/>
              </w:rPr>
              <w:t xml:space="preserve"> - </w:t>
            </w:r>
            <w:r>
              <w:rPr>
                <w:noProof/>
                <w:sz w:val="20"/>
                <w:szCs w:val="20"/>
                <w:lang w:val="fr-BE"/>
              </w:rPr>
              <w:t>Dziedzictwo naturalne i kulturowe</w:t>
            </w:r>
          </w:p>
        </w:tc>
      </w:tr>
      <w:tr w:rsidR="006B2EC1" w14:paraId="25BD37E5" w14:textId="77777777" w:rsidTr="0047688D">
        <w:tc>
          <w:tcPr>
            <w:tcW w:w="0" w:type="auto"/>
            <w:shd w:val="clear" w:color="auto" w:fill="auto"/>
          </w:tcPr>
          <w:p w14:paraId="1A5D23BD" w14:textId="77777777" w:rsidR="008C5CFA" w:rsidRPr="002124FC" w:rsidRDefault="00E82A60"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14:paraId="0230D08C" w14:textId="77777777" w:rsidR="008C5CFA" w:rsidRPr="002124FC" w:rsidRDefault="00E82A60" w:rsidP="00300A01">
            <w:pPr>
              <w:spacing w:before="0" w:after="0"/>
              <w:rPr>
                <w:sz w:val="20"/>
                <w:szCs w:val="20"/>
                <w:lang w:val="fr-BE"/>
              </w:rPr>
            </w:pPr>
            <w:r w:rsidRPr="002124FC">
              <w:rPr>
                <w:noProof/>
                <w:sz w:val="20"/>
                <w:szCs w:val="20"/>
                <w:lang w:val="fr-BE"/>
              </w:rPr>
              <w:t>6d</w:t>
            </w:r>
            <w:r w:rsidRPr="002124FC">
              <w:rPr>
                <w:sz w:val="20"/>
                <w:szCs w:val="20"/>
                <w:lang w:val="fr-BE"/>
              </w:rPr>
              <w:t xml:space="preserve"> - </w:t>
            </w:r>
            <w:r>
              <w:rPr>
                <w:sz w:val="20"/>
                <w:szCs w:val="20"/>
                <w:lang w:val="fr-BE"/>
              </w:rPr>
              <w:t xml:space="preserve">Ochrona i przywrócenie różnorodności biologicznej, ochrona i rekultywacja gleby oraz wspieranie usług ekosystemowych, także poprzez program </w:t>
            </w:r>
            <w:r>
              <w:t>"</w:t>
            </w:r>
            <w:r>
              <w:rPr>
                <w:sz w:val="20"/>
                <w:szCs w:val="20"/>
                <w:lang w:val="fr-BE"/>
              </w:rPr>
              <w:t>Natura 2000</w:t>
            </w:r>
            <w:r>
              <w:t>"</w:t>
            </w:r>
            <w:r>
              <w:rPr>
                <w:sz w:val="20"/>
                <w:szCs w:val="20"/>
                <w:lang w:val="fr-BE"/>
              </w:rPr>
              <w:t xml:space="preserve"> i zieloną infrastrukturę</w:t>
            </w:r>
          </w:p>
        </w:tc>
      </w:tr>
      <w:tr w:rsidR="006B2EC1" w14:paraId="3C442A24" w14:textId="77777777" w:rsidTr="0047688D">
        <w:tc>
          <w:tcPr>
            <w:tcW w:w="0" w:type="auto"/>
            <w:shd w:val="clear" w:color="auto" w:fill="auto"/>
          </w:tcPr>
          <w:p w14:paraId="67160609" w14:textId="77777777" w:rsidR="008C5CFA" w:rsidRPr="002124FC" w:rsidRDefault="00E82A60" w:rsidP="00300A01">
            <w:pPr>
              <w:spacing w:before="0" w:after="0"/>
              <w:ind w:left="113" w:hanging="113"/>
              <w:rPr>
                <w:sz w:val="20"/>
                <w:szCs w:val="20"/>
                <w:lang w:val="fr-BE"/>
              </w:rPr>
            </w:pPr>
            <w:r>
              <w:rPr>
                <w:noProof/>
                <w:sz w:val="20"/>
                <w:szCs w:val="20"/>
                <w:lang w:val="fr-BE"/>
              </w:rPr>
              <w:t>Cel szczegółowy</w:t>
            </w:r>
          </w:p>
        </w:tc>
        <w:tc>
          <w:tcPr>
            <w:tcW w:w="0" w:type="auto"/>
            <w:shd w:val="clear" w:color="auto" w:fill="auto"/>
          </w:tcPr>
          <w:p w14:paraId="52F280CD" w14:textId="77777777" w:rsidR="008C5CFA" w:rsidRPr="002124FC" w:rsidRDefault="00E82A60" w:rsidP="00300A01">
            <w:pPr>
              <w:spacing w:before="0" w:after="0"/>
              <w:rPr>
                <w:sz w:val="20"/>
                <w:szCs w:val="20"/>
                <w:lang w:val="fr-BE"/>
              </w:rPr>
            </w:pPr>
            <w:r>
              <w:rPr>
                <w:noProof/>
                <w:sz w:val="20"/>
                <w:szCs w:val="20"/>
                <w:lang w:val="fr-BE"/>
              </w:rPr>
              <w:t>1</w:t>
            </w:r>
            <w:r>
              <w:rPr>
                <w:sz w:val="20"/>
                <w:szCs w:val="20"/>
                <w:lang w:val="fr-BE"/>
              </w:rPr>
              <w:t xml:space="preserve"> - </w:t>
            </w:r>
            <w:r>
              <w:rPr>
                <w:noProof/>
                <w:sz w:val="20"/>
                <w:szCs w:val="20"/>
                <w:lang w:val="fr-BE"/>
              </w:rPr>
              <w:t>Utrzymane obszary cenne przyrodniczo oraz wykorzystanie lokalnych i regionalnych zasobów przyrodniczych</w:t>
            </w:r>
          </w:p>
        </w:tc>
      </w:tr>
    </w:tbl>
    <w:p w14:paraId="1E116F9C" w14:textId="77777777" w:rsidR="008C5CFA" w:rsidRDefault="008C5CFA" w:rsidP="00300A01">
      <w:pPr>
        <w:spacing w:before="0" w:after="0"/>
        <w:rPr>
          <w:lang w:val="fr-BE"/>
        </w:rPr>
      </w:pPr>
    </w:p>
    <w:p w14:paraId="1DF386EB" w14:textId="77777777" w:rsidR="008C5CFA" w:rsidRDefault="00E82A60" w:rsidP="00300A01">
      <w:pPr>
        <w:spacing w:before="0" w:after="0"/>
        <w:rPr>
          <w:lang w:val="fr-BE"/>
        </w:rPr>
      </w:pPr>
      <w:r>
        <w:rPr>
          <w:lang w:val="fr-BE"/>
        </w:rPr>
        <w:t xml:space="preserve">Tabela 1: Wskaźniki rezultatu dla EFRR i Funduszu Spójności (według osi priorytetowej i celu szczegółowego); ma zastosowanie także do osi priorytetowej </w:t>
      </w:r>
      <w:r>
        <w:t>"</w:t>
      </w:r>
      <w:r>
        <w:rPr>
          <w:lang w:val="fr-BE"/>
        </w:rPr>
        <w:t>Pomoc techniczna</w:t>
      </w:r>
      <w:r>
        <w:t>"</w:t>
      </w:r>
    </w:p>
    <w:p w14:paraId="228BB7A5"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2969"/>
        <w:gridCol w:w="1102"/>
        <w:gridCol w:w="1189"/>
        <w:gridCol w:w="1074"/>
        <w:gridCol w:w="903"/>
        <w:gridCol w:w="1403"/>
        <w:gridCol w:w="953"/>
        <w:gridCol w:w="1175"/>
        <w:gridCol w:w="3960"/>
      </w:tblGrid>
      <w:tr w:rsidR="006B2EC1" w14:paraId="56385327" w14:textId="77777777" w:rsidTr="0047688D">
        <w:tc>
          <w:tcPr>
            <w:tcW w:w="0" w:type="auto"/>
            <w:shd w:val="clear" w:color="auto" w:fill="auto"/>
          </w:tcPr>
          <w:p w14:paraId="6510F959" w14:textId="77777777" w:rsidR="008C5CFA" w:rsidRPr="0024468B" w:rsidRDefault="00E82A60" w:rsidP="00300A01">
            <w:pPr>
              <w:spacing w:before="0" w:after="0"/>
              <w:rPr>
                <w:sz w:val="16"/>
                <w:szCs w:val="16"/>
                <w:lang w:val="fr-BE"/>
              </w:rPr>
            </w:pPr>
            <w:r w:rsidRPr="0024468B">
              <w:rPr>
                <w:noProof/>
                <w:sz w:val="16"/>
                <w:szCs w:val="16"/>
                <w:lang w:val="fr-BE"/>
              </w:rPr>
              <w:t>ID</w:t>
            </w:r>
          </w:p>
        </w:tc>
        <w:tc>
          <w:tcPr>
            <w:tcW w:w="0" w:type="auto"/>
            <w:shd w:val="clear" w:color="auto" w:fill="auto"/>
          </w:tcPr>
          <w:p w14:paraId="573AC550" w14:textId="77777777" w:rsidR="008C5CFA" w:rsidRPr="0024468B" w:rsidRDefault="00E82A60" w:rsidP="00300A01">
            <w:pPr>
              <w:spacing w:before="0" w:after="0"/>
              <w:rPr>
                <w:sz w:val="16"/>
                <w:szCs w:val="16"/>
                <w:lang w:val="fr-BE"/>
              </w:rPr>
            </w:pPr>
            <w:r w:rsidRPr="0024468B">
              <w:rPr>
                <w:noProof/>
                <w:sz w:val="16"/>
                <w:szCs w:val="16"/>
                <w:lang w:val="fr-BE"/>
              </w:rPr>
              <w:t>Wskaźnik</w:t>
            </w:r>
          </w:p>
        </w:tc>
        <w:tc>
          <w:tcPr>
            <w:tcW w:w="0" w:type="auto"/>
            <w:shd w:val="clear" w:color="auto" w:fill="auto"/>
          </w:tcPr>
          <w:p w14:paraId="04B0832E" w14:textId="77777777" w:rsidR="008C5CFA" w:rsidRPr="0024468B" w:rsidRDefault="00E82A60" w:rsidP="00300A01">
            <w:pPr>
              <w:spacing w:before="0" w:after="0"/>
              <w:rPr>
                <w:sz w:val="16"/>
                <w:szCs w:val="16"/>
                <w:lang w:val="fr-BE"/>
              </w:rPr>
            </w:pPr>
            <w:r w:rsidRPr="0024468B">
              <w:rPr>
                <w:noProof/>
                <w:sz w:val="16"/>
                <w:szCs w:val="16"/>
                <w:lang w:val="fr-BE"/>
              </w:rPr>
              <w:t>Jednostka miary</w:t>
            </w:r>
          </w:p>
        </w:tc>
        <w:tc>
          <w:tcPr>
            <w:tcW w:w="0" w:type="auto"/>
            <w:shd w:val="clear" w:color="auto" w:fill="auto"/>
          </w:tcPr>
          <w:p w14:paraId="02A52B85" w14:textId="77777777" w:rsidR="008C5CFA" w:rsidRPr="0024468B" w:rsidRDefault="00E82A60" w:rsidP="00300A01">
            <w:pPr>
              <w:spacing w:before="0" w:after="0"/>
              <w:rPr>
                <w:sz w:val="16"/>
                <w:szCs w:val="16"/>
                <w:lang w:val="fr-BE"/>
              </w:rPr>
            </w:pPr>
            <w:r w:rsidRPr="0024468B">
              <w:rPr>
                <w:noProof/>
                <w:sz w:val="16"/>
                <w:szCs w:val="16"/>
                <w:lang w:val="fr-BE"/>
              </w:rPr>
              <w:t>Kategoria regionu</w:t>
            </w:r>
          </w:p>
        </w:tc>
        <w:tc>
          <w:tcPr>
            <w:tcW w:w="0" w:type="auto"/>
            <w:shd w:val="clear" w:color="auto" w:fill="auto"/>
          </w:tcPr>
          <w:p w14:paraId="15833C73" w14:textId="77777777" w:rsidR="008C5CFA" w:rsidRPr="0024468B" w:rsidRDefault="00E82A60" w:rsidP="00300A01">
            <w:pPr>
              <w:spacing w:before="0" w:after="0"/>
              <w:rPr>
                <w:sz w:val="16"/>
                <w:szCs w:val="16"/>
                <w:lang w:val="fr-BE"/>
              </w:rPr>
            </w:pPr>
            <w:r w:rsidRPr="0024468B">
              <w:rPr>
                <w:noProof/>
                <w:sz w:val="16"/>
                <w:szCs w:val="16"/>
                <w:lang w:val="fr-BE"/>
              </w:rPr>
              <w:t>Wartość bazowa</w:t>
            </w:r>
          </w:p>
        </w:tc>
        <w:tc>
          <w:tcPr>
            <w:tcW w:w="0" w:type="auto"/>
            <w:shd w:val="clear" w:color="auto" w:fill="auto"/>
          </w:tcPr>
          <w:p w14:paraId="66B2C4EB" w14:textId="77777777" w:rsidR="008C5CFA" w:rsidRPr="0024468B" w:rsidRDefault="00E82A60" w:rsidP="00300A01">
            <w:pPr>
              <w:spacing w:before="0" w:after="0"/>
              <w:rPr>
                <w:sz w:val="16"/>
                <w:szCs w:val="16"/>
                <w:lang w:val="fr-BE"/>
              </w:rPr>
            </w:pPr>
            <w:r w:rsidRPr="0024468B">
              <w:rPr>
                <w:noProof/>
                <w:sz w:val="16"/>
                <w:szCs w:val="16"/>
                <w:lang w:val="fr-BE"/>
              </w:rPr>
              <w:t>Rok bazowy</w:t>
            </w:r>
          </w:p>
        </w:tc>
        <w:tc>
          <w:tcPr>
            <w:tcW w:w="0" w:type="auto"/>
            <w:shd w:val="clear" w:color="auto" w:fill="auto"/>
          </w:tcPr>
          <w:p w14:paraId="7339649A" w14:textId="77777777" w:rsidR="008C5CFA" w:rsidRPr="0024468B" w:rsidRDefault="00E82A60" w:rsidP="00300A01">
            <w:pPr>
              <w:spacing w:before="0" w:after="0"/>
              <w:rPr>
                <w:sz w:val="16"/>
                <w:szCs w:val="16"/>
                <w:lang w:val="fr-BE"/>
              </w:rPr>
            </w:pPr>
            <w:r w:rsidRPr="0024468B">
              <w:rPr>
                <w:noProof/>
                <w:sz w:val="16"/>
                <w:szCs w:val="16"/>
                <w:lang w:val="fr-BE"/>
              </w:rPr>
              <w:t>Wartość docelowa 2023</w:t>
            </w:r>
          </w:p>
        </w:tc>
        <w:tc>
          <w:tcPr>
            <w:tcW w:w="0" w:type="auto"/>
            <w:shd w:val="clear" w:color="auto" w:fill="auto"/>
          </w:tcPr>
          <w:p w14:paraId="7BD56419" w14:textId="77777777" w:rsidR="008C5CFA" w:rsidRPr="0024468B" w:rsidRDefault="00E82A60" w:rsidP="00300A01">
            <w:pPr>
              <w:spacing w:before="0" w:after="0"/>
              <w:jc w:val="center"/>
              <w:rPr>
                <w:sz w:val="16"/>
                <w:szCs w:val="16"/>
                <w:lang w:val="fr-BE"/>
              </w:rPr>
            </w:pPr>
            <w:r>
              <w:rPr>
                <w:sz w:val="16"/>
                <w:szCs w:val="16"/>
                <w:lang w:val="fr-BE"/>
              </w:rPr>
              <w:t xml:space="preserve">2019 </w:t>
            </w:r>
            <w:r>
              <w:rPr>
                <w:noProof/>
                <w:sz w:val="16"/>
                <w:szCs w:val="16"/>
                <w:lang w:val="fr-BE"/>
              </w:rPr>
              <w:t>Ogółem</w:t>
            </w:r>
          </w:p>
        </w:tc>
        <w:tc>
          <w:tcPr>
            <w:tcW w:w="0" w:type="auto"/>
            <w:shd w:val="clear" w:color="auto" w:fill="auto"/>
          </w:tcPr>
          <w:p w14:paraId="446E1289" w14:textId="77777777" w:rsidR="008C5CFA" w:rsidRPr="0024468B" w:rsidRDefault="00E82A60" w:rsidP="00300A01">
            <w:pPr>
              <w:spacing w:before="0" w:after="0"/>
              <w:jc w:val="center"/>
              <w:rPr>
                <w:sz w:val="16"/>
                <w:szCs w:val="16"/>
                <w:lang w:val="fr-BE"/>
              </w:rPr>
            </w:pPr>
            <w:r>
              <w:rPr>
                <w:sz w:val="16"/>
                <w:szCs w:val="16"/>
                <w:lang w:val="fr-BE"/>
              </w:rPr>
              <w:t xml:space="preserve">2019 </w:t>
            </w:r>
            <w:r w:rsidRPr="0024468B">
              <w:rPr>
                <w:noProof/>
                <w:sz w:val="16"/>
                <w:szCs w:val="16"/>
                <w:lang w:val="fr-BE"/>
              </w:rPr>
              <w:t>Jakościowe</w:t>
            </w:r>
          </w:p>
        </w:tc>
        <w:tc>
          <w:tcPr>
            <w:tcW w:w="0" w:type="auto"/>
            <w:shd w:val="clear" w:color="auto" w:fill="auto"/>
          </w:tcPr>
          <w:p w14:paraId="4DC9EA8F" w14:textId="77777777" w:rsidR="008C5CFA" w:rsidRPr="0024468B" w:rsidRDefault="00E82A60" w:rsidP="00300A01">
            <w:pPr>
              <w:spacing w:before="0" w:after="0"/>
              <w:jc w:val="center"/>
              <w:rPr>
                <w:sz w:val="16"/>
                <w:szCs w:val="16"/>
                <w:lang w:val="fr-BE"/>
              </w:rPr>
            </w:pPr>
            <w:r w:rsidRPr="0024468B">
              <w:rPr>
                <w:noProof/>
                <w:sz w:val="16"/>
                <w:szCs w:val="16"/>
                <w:lang w:val="fr-BE"/>
              </w:rPr>
              <w:t>Uwagi</w:t>
            </w:r>
          </w:p>
        </w:tc>
      </w:tr>
      <w:tr w:rsidR="006B2EC1" w14:paraId="0C2E7D35" w14:textId="77777777" w:rsidTr="0047688D">
        <w:tc>
          <w:tcPr>
            <w:tcW w:w="0" w:type="auto"/>
            <w:shd w:val="clear" w:color="auto" w:fill="auto"/>
          </w:tcPr>
          <w:p w14:paraId="49DAEBE3" w14:textId="77777777" w:rsidR="008C5CFA" w:rsidRPr="0024468B" w:rsidRDefault="00E82A60" w:rsidP="00300A01">
            <w:pPr>
              <w:spacing w:before="0" w:after="0"/>
              <w:rPr>
                <w:sz w:val="16"/>
                <w:szCs w:val="16"/>
                <w:lang w:val="fr-BE"/>
              </w:rPr>
            </w:pPr>
            <w:r w:rsidRPr="0024468B">
              <w:rPr>
                <w:noProof/>
                <w:sz w:val="16"/>
                <w:szCs w:val="16"/>
                <w:lang w:val="fr-BE"/>
              </w:rPr>
              <w:t>047</w:t>
            </w:r>
          </w:p>
        </w:tc>
        <w:tc>
          <w:tcPr>
            <w:tcW w:w="0" w:type="auto"/>
            <w:shd w:val="clear" w:color="auto" w:fill="auto"/>
          </w:tcPr>
          <w:p w14:paraId="6E9852CE" w14:textId="77777777" w:rsidR="008C5CFA" w:rsidRPr="0024468B" w:rsidRDefault="00E82A60" w:rsidP="00300A01">
            <w:pPr>
              <w:spacing w:before="0" w:after="0"/>
              <w:rPr>
                <w:sz w:val="16"/>
                <w:szCs w:val="16"/>
                <w:lang w:val="fr-BE"/>
              </w:rPr>
            </w:pPr>
            <w:r w:rsidRPr="0024468B">
              <w:rPr>
                <w:noProof/>
                <w:sz w:val="16"/>
                <w:szCs w:val="16"/>
                <w:lang w:val="fr-BE"/>
              </w:rPr>
              <w:t>Udział obszarów prawnie chronionych w powierzchni ogółem</w:t>
            </w:r>
          </w:p>
        </w:tc>
        <w:tc>
          <w:tcPr>
            <w:tcW w:w="0" w:type="auto"/>
            <w:shd w:val="clear" w:color="auto" w:fill="auto"/>
          </w:tcPr>
          <w:p w14:paraId="64ADA5E4" w14:textId="77777777" w:rsidR="008C5CFA" w:rsidRPr="0024468B" w:rsidRDefault="00E82A60" w:rsidP="00300A01">
            <w:pPr>
              <w:spacing w:before="0" w:after="0"/>
              <w:rPr>
                <w:sz w:val="16"/>
                <w:szCs w:val="16"/>
                <w:lang w:val="fr-BE"/>
              </w:rPr>
            </w:pPr>
            <w:r w:rsidRPr="0024468B">
              <w:rPr>
                <w:noProof/>
                <w:sz w:val="16"/>
                <w:szCs w:val="16"/>
                <w:lang w:val="fr-BE"/>
              </w:rPr>
              <w:t>%</w:t>
            </w:r>
          </w:p>
        </w:tc>
        <w:tc>
          <w:tcPr>
            <w:tcW w:w="0" w:type="auto"/>
            <w:shd w:val="clear" w:color="auto" w:fill="auto"/>
          </w:tcPr>
          <w:p w14:paraId="74C1FBCF" w14:textId="77777777" w:rsidR="008C5CFA" w:rsidRPr="0024468B" w:rsidRDefault="00E82A60"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14:paraId="50E62830" w14:textId="77777777" w:rsidR="008C5CFA" w:rsidRPr="00C3185A" w:rsidRDefault="00E82A60" w:rsidP="00300A01">
            <w:pPr>
              <w:spacing w:before="0" w:after="0"/>
              <w:jc w:val="right"/>
              <w:rPr>
                <w:sz w:val="16"/>
                <w:szCs w:val="16"/>
                <w:lang w:val="fr-BE"/>
              </w:rPr>
            </w:pPr>
            <w:r w:rsidRPr="00C3185A">
              <w:rPr>
                <w:noProof/>
                <w:sz w:val="16"/>
                <w:szCs w:val="16"/>
                <w:lang w:val="fr-BE"/>
              </w:rPr>
              <w:t>64,53</w:t>
            </w:r>
          </w:p>
        </w:tc>
        <w:tc>
          <w:tcPr>
            <w:tcW w:w="0" w:type="auto"/>
            <w:shd w:val="clear" w:color="auto" w:fill="auto"/>
          </w:tcPr>
          <w:p w14:paraId="28A09A2C" w14:textId="77777777" w:rsidR="008C5CFA" w:rsidRPr="0024468B" w:rsidRDefault="00E82A60" w:rsidP="00300A01">
            <w:pPr>
              <w:spacing w:before="0" w:after="0"/>
              <w:rPr>
                <w:sz w:val="16"/>
                <w:szCs w:val="16"/>
                <w:lang w:val="fr-BE"/>
              </w:rPr>
            </w:pPr>
            <w:r w:rsidRPr="0024468B">
              <w:rPr>
                <w:noProof/>
                <w:sz w:val="16"/>
                <w:szCs w:val="16"/>
                <w:lang w:val="fr-BE"/>
              </w:rPr>
              <w:t>2012</w:t>
            </w:r>
          </w:p>
        </w:tc>
        <w:tc>
          <w:tcPr>
            <w:tcW w:w="0" w:type="auto"/>
            <w:shd w:val="clear" w:color="auto" w:fill="auto"/>
          </w:tcPr>
          <w:p w14:paraId="34475091" w14:textId="77777777" w:rsidR="008C5CFA" w:rsidRPr="0024468B" w:rsidRDefault="00E82A60" w:rsidP="00300A01">
            <w:pPr>
              <w:spacing w:before="0" w:after="0"/>
              <w:jc w:val="right"/>
              <w:rPr>
                <w:sz w:val="16"/>
                <w:szCs w:val="16"/>
                <w:lang w:val="fr-BE"/>
              </w:rPr>
            </w:pPr>
            <w:r w:rsidRPr="0024468B">
              <w:rPr>
                <w:noProof/>
                <w:sz w:val="16"/>
                <w:szCs w:val="16"/>
                <w:lang w:val="fr-BE"/>
              </w:rPr>
              <w:t>64,70</w:t>
            </w:r>
          </w:p>
        </w:tc>
        <w:tc>
          <w:tcPr>
            <w:tcW w:w="0" w:type="auto"/>
            <w:shd w:val="clear" w:color="auto" w:fill="auto"/>
          </w:tcPr>
          <w:p w14:paraId="2EEAA890"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7B5166A3" w14:textId="77777777" w:rsidR="008C5CFA" w:rsidRPr="0024468B" w:rsidRDefault="008C5CFA" w:rsidP="00300A01">
            <w:pPr>
              <w:spacing w:before="0" w:after="0"/>
              <w:jc w:val="right"/>
              <w:rPr>
                <w:sz w:val="16"/>
                <w:szCs w:val="16"/>
                <w:lang w:val="fr-BE"/>
              </w:rPr>
            </w:pPr>
          </w:p>
        </w:tc>
        <w:tc>
          <w:tcPr>
            <w:tcW w:w="0" w:type="auto"/>
            <w:shd w:val="clear" w:color="auto" w:fill="auto"/>
          </w:tcPr>
          <w:p w14:paraId="7CDB829B" w14:textId="77777777" w:rsidR="008C5CFA" w:rsidRPr="0024468B" w:rsidRDefault="00E82A60" w:rsidP="00300A01">
            <w:pPr>
              <w:spacing w:before="0" w:after="0"/>
              <w:rPr>
                <w:sz w:val="16"/>
                <w:szCs w:val="16"/>
                <w:lang w:val="fr-BE"/>
              </w:rPr>
            </w:pPr>
            <w:r w:rsidRPr="0024468B">
              <w:rPr>
                <w:noProof/>
                <w:sz w:val="16"/>
                <w:szCs w:val="16"/>
                <w:lang w:val="fr-BE"/>
              </w:rPr>
              <w:t>Brak aktualnych danych dostępnych w statystykach publicznych (systemie STRATEG)</w:t>
            </w:r>
          </w:p>
        </w:tc>
      </w:tr>
    </w:tbl>
    <w:p w14:paraId="6E860855"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
        <w:gridCol w:w="4465"/>
        <w:gridCol w:w="1162"/>
        <w:gridCol w:w="1397"/>
        <w:gridCol w:w="1161"/>
        <w:gridCol w:w="1397"/>
        <w:gridCol w:w="1161"/>
        <w:gridCol w:w="1397"/>
        <w:gridCol w:w="1161"/>
        <w:gridCol w:w="1397"/>
      </w:tblGrid>
      <w:tr w:rsidR="006B2EC1" w14:paraId="58901455" w14:textId="77777777" w:rsidTr="0047688D">
        <w:tc>
          <w:tcPr>
            <w:tcW w:w="0" w:type="auto"/>
            <w:shd w:val="clear" w:color="auto" w:fill="auto"/>
          </w:tcPr>
          <w:p w14:paraId="26FA99EB" w14:textId="77777777" w:rsidR="008C5CFA" w:rsidRPr="0024468B" w:rsidRDefault="00E82A60" w:rsidP="00300A01">
            <w:pPr>
              <w:spacing w:before="0" w:after="0"/>
              <w:rPr>
                <w:sz w:val="16"/>
                <w:szCs w:val="16"/>
                <w:lang w:val="fr-BE"/>
              </w:rPr>
            </w:pPr>
            <w:r w:rsidRPr="0024468B">
              <w:rPr>
                <w:noProof/>
                <w:sz w:val="16"/>
                <w:szCs w:val="16"/>
                <w:lang w:val="fr-BE"/>
              </w:rPr>
              <w:t>ID</w:t>
            </w:r>
          </w:p>
        </w:tc>
        <w:tc>
          <w:tcPr>
            <w:tcW w:w="0" w:type="auto"/>
            <w:shd w:val="clear" w:color="auto" w:fill="auto"/>
          </w:tcPr>
          <w:p w14:paraId="76EF9BB8" w14:textId="77777777" w:rsidR="008C5CFA" w:rsidRPr="0024468B" w:rsidRDefault="00E82A60" w:rsidP="00300A01">
            <w:pPr>
              <w:spacing w:before="0" w:after="0"/>
              <w:rPr>
                <w:sz w:val="16"/>
                <w:szCs w:val="16"/>
                <w:lang w:val="fr-BE"/>
              </w:rPr>
            </w:pPr>
            <w:r w:rsidRPr="0024468B">
              <w:rPr>
                <w:noProof/>
                <w:sz w:val="16"/>
                <w:szCs w:val="16"/>
                <w:lang w:val="fr-BE"/>
              </w:rPr>
              <w:t>Wskaźnik</w:t>
            </w:r>
          </w:p>
        </w:tc>
        <w:tc>
          <w:tcPr>
            <w:tcW w:w="0" w:type="auto"/>
          </w:tcPr>
          <w:p w14:paraId="6135C965" w14:textId="77777777" w:rsidR="008C5CFA" w:rsidRPr="0024468B" w:rsidRDefault="00E82A60" w:rsidP="00300A01">
            <w:pPr>
              <w:spacing w:before="0" w:after="0"/>
              <w:jc w:val="center"/>
              <w:rPr>
                <w:sz w:val="16"/>
                <w:szCs w:val="16"/>
                <w:lang w:val="fr-BE"/>
              </w:rPr>
            </w:pPr>
            <w:r>
              <w:rPr>
                <w:sz w:val="16"/>
                <w:szCs w:val="16"/>
                <w:lang w:val="fr-BE"/>
              </w:rPr>
              <w:t xml:space="preserve">2018 </w:t>
            </w:r>
            <w:r>
              <w:rPr>
                <w:noProof/>
                <w:sz w:val="16"/>
                <w:szCs w:val="16"/>
                <w:lang w:val="fr-BE"/>
              </w:rPr>
              <w:t>Ogółem</w:t>
            </w:r>
          </w:p>
        </w:tc>
        <w:tc>
          <w:tcPr>
            <w:tcW w:w="0" w:type="auto"/>
          </w:tcPr>
          <w:p w14:paraId="677C02BA" w14:textId="77777777" w:rsidR="008C5CFA" w:rsidRPr="0024468B" w:rsidRDefault="00E82A60" w:rsidP="00300A01">
            <w:pPr>
              <w:spacing w:before="0" w:after="0"/>
              <w:jc w:val="center"/>
              <w:rPr>
                <w:sz w:val="16"/>
                <w:szCs w:val="16"/>
                <w:lang w:val="fr-BE"/>
              </w:rPr>
            </w:pPr>
            <w:r>
              <w:rPr>
                <w:sz w:val="16"/>
                <w:szCs w:val="16"/>
                <w:lang w:val="fr-BE"/>
              </w:rPr>
              <w:t xml:space="preserve">2018 </w:t>
            </w:r>
            <w:r w:rsidRPr="0024468B">
              <w:rPr>
                <w:noProof/>
                <w:sz w:val="16"/>
                <w:szCs w:val="16"/>
                <w:lang w:val="fr-BE"/>
              </w:rPr>
              <w:t>Jakościowe</w:t>
            </w:r>
          </w:p>
        </w:tc>
        <w:tc>
          <w:tcPr>
            <w:tcW w:w="0" w:type="auto"/>
          </w:tcPr>
          <w:p w14:paraId="1B818E03" w14:textId="77777777" w:rsidR="008C5CFA" w:rsidRPr="0024468B" w:rsidRDefault="00E82A60" w:rsidP="00300A01">
            <w:pPr>
              <w:spacing w:before="0" w:after="0"/>
              <w:jc w:val="center"/>
              <w:rPr>
                <w:sz w:val="16"/>
                <w:szCs w:val="16"/>
                <w:lang w:val="fr-BE"/>
              </w:rPr>
            </w:pPr>
            <w:r>
              <w:rPr>
                <w:sz w:val="16"/>
                <w:szCs w:val="16"/>
                <w:lang w:val="fr-BE"/>
              </w:rPr>
              <w:t xml:space="preserve">2017 </w:t>
            </w:r>
            <w:r>
              <w:rPr>
                <w:noProof/>
                <w:sz w:val="16"/>
                <w:szCs w:val="16"/>
                <w:lang w:val="fr-BE"/>
              </w:rPr>
              <w:t>Ogółem</w:t>
            </w:r>
          </w:p>
        </w:tc>
        <w:tc>
          <w:tcPr>
            <w:tcW w:w="0" w:type="auto"/>
          </w:tcPr>
          <w:p w14:paraId="5431C6E8" w14:textId="77777777" w:rsidR="008C5CFA" w:rsidRPr="0024468B" w:rsidRDefault="00E82A60" w:rsidP="00300A01">
            <w:pPr>
              <w:spacing w:before="0" w:after="0"/>
              <w:jc w:val="center"/>
              <w:rPr>
                <w:sz w:val="16"/>
                <w:szCs w:val="16"/>
                <w:lang w:val="fr-BE"/>
              </w:rPr>
            </w:pPr>
            <w:r>
              <w:rPr>
                <w:sz w:val="16"/>
                <w:szCs w:val="16"/>
                <w:lang w:val="fr-BE"/>
              </w:rPr>
              <w:t xml:space="preserve">2017 </w:t>
            </w:r>
            <w:r w:rsidRPr="0024468B">
              <w:rPr>
                <w:noProof/>
                <w:sz w:val="16"/>
                <w:szCs w:val="16"/>
                <w:lang w:val="fr-BE"/>
              </w:rPr>
              <w:t>Jakościowe</w:t>
            </w:r>
          </w:p>
        </w:tc>
        <w:tc>
          <w:tcPr>
            <w:tcW w:w="0" w:type="auto"/>
          </w:tcPr>
          <w:p w14:paraId="14A88681" w14:textId="77777777" w:rsidR="008C5CFA" w:rsidRPr="0024468B" w:rsidRDefault="00E82A60" w:rsidP="00300A01">
            <w:pPr>
              <w:spacing w:before="0" w:after="0"/>
              <w:jc w:val="center"/>
              <w:rPr>
                <w:sz w:val="16"/>
                <w:szCs w:val="16"/>
                <w:lang w:val="fr-BE"/>
              </w:rPr>
            </w:pPr>
            <w:r>
              <w:rPr>
                <w:sz w:val="16"/>
                <w:szCs w:val="16"/>
                <w:lang w:val="fr-BE"/>
              </w:rPr>
              <w:t xml:space="preserve">2016 </w:t>
            </w:r>
            <w:r>
              <w:rPr>
                <w:noProof/>
                <w:sz w:val="16"/>
                <w:szCs w:val="16"/>
                <w:lang w:val="fr-BE"/>
              </w:rPr>
              <w:t>Ogółem</w:t>
            </w:r>
          </w:p>
        </w:tc>
        <w:tc>
          <w:tcPr>
            <w:tcW w:w="0" w:type="auto"/>
          </w:tcPr>
          <w:p w14:paraId="203CBCA3" w14:textId="77777777" w:rsidR="008C5CFA" w:rsidRPr="0024468B" w:rsidRDefault="00E82A60" w:rsidP="00300A01">
            <w:pPr>
              <w:spacing w:before="0" w:after="0"/>
              <w:jc w:val="center"/>
              <w:rPr>
                <w:sz w:val="16"/>
                <w:szCs w:val="16"/>
                <w:lang w:val="fr-BE"/>
              </w:rPr>
            </w:pPr>
            <w:r>
              <w:rPr>
                <w:sz w:val="16"/>
                <w:szCs w:val="16"/>
                <w:lang w:val="fr-BE"/>
              </w:rPr>
              <w:t xml:space="preserve">2016 </w:t>
            </w:r>
            <w:r w:rsidRPr="0024468B">
              <w:rPr>
                <w:noProof/>
                <w:sz w:val="16"/>
                <w:szCs w:val="16"/>
                <w:lang w:val="fr-BE"/>
              </w:rPr>
              <w:t>Jakościowe</w:t>
            </w:r>
          </w:p>
        </w:tc>
        <w:tc>
          <w:tcPr>
            <w:tcW w:w="0" w:type="auto"/>
          </w:tcPr>
          <w:p w14:paraId="551D6E6A" w14:textId="77777777" w:rsidR="008C5CFA" w:rsidRPr="0024468B" w:rsidRDefault="00E82A60" w:rsidP="00300A01">
            <w:pPr>
              <w:spacing w:before="0" w:after="0"/>
              <w:jc w:val="center"/>
              <w:rPr>
                <w:sz w:val="16"/>
                <w:szCs w:val="16"/>
                <w:lang w:val="fr-BE"/>
              </w:rPr>
            </w:pPr>
            <w:r>
              <w:rPr>
                <w:sz w:val="16"/>
                <w:szCs w:val="16"/>
                <w:lang w:val="fr-BE"/>
              </w:rPr>
              <w:t xml:space="preserve">2015 </w:t>
            </w:r>
            <w:r>
              <w:rPr>
                <w:noProof/>
                <w:sz w:val="16"/>
                <w:szCs w:val="16"/>
                <w:lang w:val="fr-BE"/>
              </w:rPr>
              <w:t>Ogółem</w:t>
            </w:r>
          </w:p>
        </w:tc>
        <w:tc>
          <w:tcPr>
            <w:tcW w:w="0" w:type="auto"/>
          </w:tcPr>
          <w:p w14:paraId="6521B0FF" w14:textId="77777777" w:rsidR="008C5CFA" w:rsidRPr="0024468B" w:rsidRDefault="00E82A60" w:rsidP="00300A01">
            <w:pPr>
              <w:spacing w:before="0" w:after="0"/>
              <w:jc w:val="center"/>
              <w:rPr>
                <w:sz w:val="16"/>
                <w:szCs w:val="16"/>
                <w:lang w:val="fr-BE"/>
              </w:rPr>
            </w:pPr>
            <w:r>
              <w:rPr>
                <w:sz w:val="16"/>
                <w:szCs w:val="16"/>
                <w:lang w:val="fr-BE"/>
              </w:rPr>
              <w:t xml:space="preserve">2015 </w:t>
            </w:r>
            <w:r w:rsidRPr="0024468B">
              <w:rPr>
                <w:noProof/>
                <w:sz w:val="16"/>
                <w:szCs w:val="16"/>
                <w:lang w:val="fr-BE"/>
              </w:rPr>
              <w:t>Jakościowe</w:t>
            </w:r>
          </w:p>
        </w:tc>
      </w:tr>
      <w:tr w:rsidR="006B2EC1" w14:paraId="56E202F7" w14:textId="77777777" w:rsidTr="0047688D">
        <w:tc>
          <w:tcPr>
            <w:tcW w:w="0" w:type="auto"/>
            <w:shd w:val="clear" w:color="auto" w:fill="auto"/>
          </w:tcPr>
          <w:p w14:paraId="2A68D7B9" w14:textId="77777777" w:rsidR="008C5CFA" w:rsidRPr="0024468B" w:rsidRDefault="00E82A60" w:rsidP="00300A01">
            <w:pPr>
              <w:spacing w:before="0" w:after="0"/>
              <w:rPr>
                <w:sz w:val="16"/>
                <w:szCs w:val="16"/>
                <w:lang w:val="fr-BE"/>
              </w:rPr>
            </w:pPr>
            <w:r w:rsidRPr="0024468B">
              <w:rPr>
                <w:noProof/>
                <w:sz w:val="16"/>
                <w:szCs w:val="16"/>
                <w:lang w:val="fr-BE"/>
              </w:rPr>
              <w:t>047</w:t>
            </w:r>
          </w:p>
        </w:tc>
        <w:tc>
          <w:tcPr>
            <w:tcW w:w="0" w:type="auto"/>
            <w:shd w:val="clear" w:color="auto" w:fill="auto"/>
          </w:tcPr>
          <w:p w14:paraId="13289BB1" w14:textId="77777777" w:rsidR="008C5CFA" w:rsidRPr="0024468B" w:rsidRDefault="00E82A60" w:rsidP="00300A01">
            <w:pPr>
              <w:spacing w:before="0" w:after="0"/>
              <w:rPr>
                <w:sz w:val="16"/>
                <w:szCs w:val="16"/>
                <w:lang w:val="fr-BE"/>
              </w:rPr>
            </w:pPr>
            <w:r w:rsidRPr="0024468B">
              <w:rPr>
                <w:noProof/>
                <w:sz w:val="16"/>
                <w:szCs w:val="16"/>
                <w:lang w:val="fr-BE"/>
              </w:rPr>
              <w:t>Udział obszarów prawnie chronionych w powierzchni ogółem</w:t>
            </w:r>
          </w:p>
        </w:tc>
        <w:tc>
          <w:tcPr>
            <w:tcW w:w="0" w:type="auto"/>
          </w:tcPr>
          <w:p w14:paraId="17E993B8" w14:textId="77777777" w:rsidR="008C5CFA" w:rsidRPr="0024468B" w:rsidRDefault="00E82A60" w:rsidP="00300A01">
            <w:pPr>
              <w:spacing w:before="0" w:after="0"/>
              <w:jc w:val="right"/>
              <w:rPr>
                <w:sz w:val="16"/>
                <w:szCs w:val="16"/>
                <w:lang w:val="fr-BE"/>
              </w:rPr>
            </w:pPr>
            <w:r w:rsidRPr="0024468B">
              <w:rPr>
                <w:noProof/>
                <w:sz w:val="16"/>
                <w:szCs w:val="16"/>
                <w:lang w:val="fr-BE"/>
              </w:rPr>
              <w:t>65,00</w:t>
            </w:r>
          </w:p>
        </w:tc>
        <w:tc>
          <w:tcPr>
            <w:tcW w:w="0" w:type="auto"/>
          </w:tcPr>
          <w:p w14:paraId="76D4B915" w14:textId="77777777" w:rsidR="008C5CFA" w:rsidRPr="0024468B" w:rsidRDefault="008C5CFA" w:rsidP="00300A01">
            <w:pPr>
              <w:spacing w:before="0" w:after="0"/>
              <w:jc w:val="right"/>
              <w:rPr>
                <w:sz w:val="16"/>
                <w:szCs w:val="16"/>
                <w:lang w:val="fr-BE"/>
              </w:rPr>
            </w:pPr>
          </w:p>
        </w:tc>
        <w:tc>
          <w:tcPr>
            <w:tcW w:w="0" w:type="auto"/>
          </w:tcPr>
          <w:p w14:paraId="59CD4028" w14:textId="77777777" w:rsidR="008C5CFA" w:rsidRPr="0024468B" w:rsidRDefault="00E82A60" w:rsidP="00300A01">
            <w:pPr>
              <w:spacing w:before="0" w:after="0"/>
              <w:jc w:val="right"/>
              <w:rPr>
                <w:sz w:val="16"/>
                <w:szCs w:val="16"/>
                <w:lang w:val="fr-BE"/>
              </w:rPr>
            </w:pPr>
            <w:r w:rsidRPr="0024468B">
              <w:rPr>
                <w:noProof/>
                <w:sz w:val="16"/>
                <w:szCs w:val="16"/>
                <w:lang w:val="fr-BE"/>
              </w:rPr>
              <w:t>65,00</w:t>
            </w:r>
          </w:p>
        </w:tc>
        <w:tc>
          <w:tcPr>
            <w:tcW w:w="0" w:type="auto"/>
          </w:tcPr>
          <w:p w14:paraId="32231D2B" w14:textId="77777777" w:rsidR="008C5CFA" w:rsidRPr="0024468B" w:rsidRDefault="008C5CFA" w:rsidP="00300A01">
            <w:pPr>
              <w:spacing w:before="0" w:after="0"/>
              <w:jc w:val="right"/>
              <w:rPr>
                <w:sz w:val="16"/>
                <w:szCs w:val="16"/>
                <w:lang w:val="fr-BE"/>
              </w:rPr>
            </w:pPr>
          </w:p>
        </w:tc>
        <w:tc>
          <w:tcPr>
            <w:tcW w:w="0" w:type="auto"/>
          </w:tcPr>
          <w:p w14:paraId="0822BDE9" w14:textId="77777777" w:rsidR="008C5CFA" w:rsidRPr="0024468B" w:rsidRDefault="00E82A60" w:rsidP="00300A01">
            <w:pPr>
              <w:spacing w:before="0" w:after="0"/>
              <w:jc w:val="right"/>
              <w:rPr>
                <w:sz w:val="16"/>
                <w:szCs w:val="16"/>
                <w:lang w:val="fr-BE"/>
              </w:rPr>
            </w:pPr>
            <w:r w:rsidRPr="0024468B">
              <w:rPr>
                <w:noProof/>
                <w:sz w:val="16"/>
                <w:szCs w:val="16"/>
                <w:lang w:val="fr-BE"/>
              </w:rPr>
              <w:t>64,60</w:t>
            </w:r>
          </w:p>
        </w:tc>
        <w:tc>
          <w:tcPr>
            <w:tcW w:w="0" w:type="auto"/>
          </w:tcPr>
          <w:p w14:paraId="37DC4B78" w14:textId="77777777" w:rsidR="008C5CFA" w:rsidRPr="0024468B" w:rsidRDefault="008C5CFA" w:rsidP="00300A01">
            <w:pPr>
              <w:spacing w:before="0" w:after="0"/>
              <w:jc w:val="right"/>
              <w:rPr>
                <w:sz w:val="16"/>
                <w:szCs w:val="16"/>
                <w:lang w:val="fr-BE"/>
              </w:rPr>
            </w:pPr>
          </w:p>
        </w:tc>
        <w:tc>
          <w:tcPr>
            <w:tcW w:w="0" w:type="auto"/>
          </w:tcPr>
          <w:p w14:paraId="1947FA6F" w14:textId="77777777" w:rsidR="008C5CFA" w:rsidRPr="0024468B" w:rsidRDefault="00E82A60" w:rsidP="00300A01">
            <w:pPr>
              <w:spacing w:before="0" w:after="0"/>
              <w:jc w:val="right"/>
              <w:rPr>
                <w:sz w:val="16"/>
                <w:szCs w:val="16"/>
                <w:lang w:val="fr-BE"/>
              </w:rPr>
            </w:pPr>
            <w:r w:rsidRPr="0024468B">
              <w:rPr>
                <w:noProof/>
                <w:sz w:val="16"/>
                <w:szCs w:val="16"/>
                <w:lang w:val="fr-BE"/>
              </w:rPr>
              <w:t>65,00</w:t>
            </w:r>
          </w:p>
        </w:tc>
        <w:tc>
          <w:tcPr>
            <w:tcW w:w="0" w:type="auto"/>
          </w:tcPr>
          <w:p w14:paraId="795F44DE" w14:textId="77777777" w:rsidR="008C5CFA" w:rsidRPr="0024468B" w:rsidRDefault="008C5CFA" w:rsidP="00300A01">
            <w:pPr>
              <w:spacing w:before="0" w:after="0"/>
              <w:jc w:val="right"/>
              <w:rPr>
                <w:sz w:val="16"/>
                <w:szCs w:val="16"/>
                <w:lang w:val="fr-BE"/>
              </w:rPr>
            </w:pPr>
          </w:p>
        </w:tc>
      </w:tr>
    </w:tbl>
    <w:p w14:paraId="3798A38F"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1"/>
        <w:gridCol w:w="9028"/>
        <w:gridCol w:w="2349"/>
        <w:gridCol w:w="2826"/>
      </w:tblGrid>
      <w:tr w:rsidR="006B2EC1" w14:paraId="2A5BC5A1" w14:textId="77777777" w:rsidTr="0047688D">
        <w:tc>
          <w:tcPr>
            <w:tcW w:w="0" w:type="auto"/>
            <w:shd w:val="clear" w:color="auto" w:fill="auto"/>
          </w:tcPr>
          <w:p w14:paraId="75C77904" w14:textId="77777777" w:rsidR="008C5CFA" w:rsidRPr="0024468B" w:rsidRDefault="00E82A60" w:rsidP="00300A01">
            <w:pPr>
              <w:spacing w:before="0" w:after="0"/>
              <w:rPr>
                <w:sz w:val="16"/>
                <w:szCs w:val="16"/>
                <w:lang w:val="fr-BE"/>
              </w:rPr>
            </w:pPr>
            <w:r w:rsidRPr="0024468B">
              <w:rPr>
                <w:noProof/>
                <w:sz w:val="16"/>
                <w:szCs w:val="16"/>
                <w:lang w:val="fr-BE"/>
              </w:rPr>
              <w:t>ID</w:t>
            </w:r>
          </w:p>
        </w:tc>
        <w:tc>
          <w:tcPr>
            <w:tcW w:w="0" w:type="auto"/>
            <w:shd w:val="clear" w:color="auto" w:fill="auto"/>
          </w:tcPr>
          <w:p w14:paraId="007A8704" w14:textId="77777777" w:rsidR="008C5CFA" w:rsidRPr="0024468B" w:rsidRDefault="00E82A60" w:rsidP="00300A01">
            <w:pPr>
              <w:spacing w:before="0" w:after="0"/>
              <w:rPr>
                <w:sz w:val="16"/>
                <w:szCs w:val="16"/>
                <w:lang w:val="fr-BE"/>
              </w:rPr>
            </w:pPr>
            <w:r w:rsidRPr="0024468B">
              <w:rPr>
                <w:noProof/>
                <w:sz w:val="16"/>
                <w:szCs w:val="16"/>
                <w:lang w:val="fr-BE"/>
              </w:rPr>
              <w:t>Wskaźnik</w:t>
            </w:r>
          </w:p>
        </w:tc>
        <w:tc>
          <w:tcPr>
            <w:tcW w:w="0" w:type="auto"/>
            <w:shd w:val="clear" w:color="auto" w:fill="auto"/>
          </w:tcPr>
          <w:p w14:paraId="779A61F7" w14:textId="77777777" w:rsidR="008C5CFA" w:rsidRPr="0024468B" w:rsidRDefault="00E82A60" w:rsidP="00300A01">
            <w:pPr>
              <w:spacing w:before="0" w:after="0"/>
              <w:jc w:val="center"/>
              <w:rPr>
                <w:sz w:val="16"/>
                <w:szCs w:val="16"/>
                <w:lang w:val="fr-BE"/>
              </w:rPr>
            </w:pPr>
            <w:r>
              <w:rPr>
                <w:sz w:val="16"/>
                <w:szCs w:val="16"/>
                <w:lang w:val="fr-BE"/>
              </w:rPr>
              <w:t xml:space="preserve">2014 </w:t>
            </w:r>
            <w:r>
              <w:rPr>
                <w:noProof/>
                <w:sz w:val="16"/>
                <w:szCs w:val="16"/>
                <w:lang w:val="fr-BE"/>
              </w:rPr>
              <w:t>Ogółem</w:t>
            </w:r>
          </w:p>
        </w:tc>
        <w:tc>
          <w:tcPr>
            <w:tcW w:w="0" w:type="auto"/>
            <w:shd w:val="clear" w:color="auto" w:fill="auto"/>
          </w:tcPr>
          <w:p w14:paraId="78AD45CD" w14:textId="77777777" w:rsidR="008C5CFA" w:rsidRPr="0024468B" w:rsidRDefault="00E82A60" w:rsidP="00300A01">
            <w:pPr>
              <w:spacing w:before="0" w:after="0"/>
              <w:jc w:val="center"/>
              <w:rPr>
                <w:sz w:val="16"/>
                <w:szCs w:val="16"/>
                <w:lang w:val="fr-BE"/>
              </w:rPr>
            </w:pPr>
            <w:r>
              <w:rPr>
                <w:sz w:val="16"/>
                <w:szCs w:val="16"/>
                <w:lang w:val="fr-BE"/>
              </w:rPr>
              <w:t xml:space="preserve">2014 </w:t>
            </w:r>
            <w:r w:rsidRPr="0024468B">
              <w:rPr>
                <w:noProof/>
                <w:sz w:val="16"/>
                <w:szCs w:val="16"/>
                <w:lang w:val="fr-BE"/>
              </w:rPr>
              <w:t>Jakościowe</w:t>
            </w:r>
          </w:p>
        </w:tc>
      </w:tr>
      <w:tr w:rsidR="006B2EC1" w14:paraId="3E185088" w14:textId="77777777" w:rsidTr="0047688D">
        <w:tc>
          <w:tcPr>
            <w:tcW w:w="0" w:type="auto"/>
            <w:shd w:val="clear" w:color="auto" w:fill="auto"/>
          </w:tcPr>
          <w:p w14:paraId="1DB98A95" w14:textId="77777777" w:rsidR="008C5CFA" w:rsidRPr="0024468B" w:rsidRDefault="00E82A60" w:rsidP="00300A01">
            <w:pPr>
              <w:spacing w:before="0" w:after="0"/>
              <w:rPr>
                <w:sz w:val="16"/>
                <w:szCs w:val="16"/>
                <w:lang w:val="fr-BE"/>
              </w:rPr>
            </w:pPr>
            <w:r w:rsidRPr="0024468B">
              <w:rPr>
                <w:noProof/>
                <w:sz w:val="16"/>
                <w:szCs w:val="16"/>
                <w:lang w:val="fr-BE"/>
              </w:rPr>
              <w:t>047</w:t>
            </w:r>
          </w:p>
        </w:tc>
        <w:tc>
          <w:tcPr>
            <w:tcW w:w="0" w:type="auto"/>
            <w:shd w:val="clear" w:color="auto" w:fill="auto"/>
          </w:tcPr>
          <w:p w14:paraId="7206287A" w14:textId="77777777" w:rsidR="008C5CFA" w:rsidRPr="0024468B" w:rsidRDefault="00E82A60" w:rsidP="00300A01">
            <w:pPr>
              <w:spacing w:before="0" w:after="0"/>
              <w:rPr>
                <w:sz w:val="16"/>
                <w:szCs w:val="16"/>
                <w:lang w:val="fr-BE"/>
              </w:rPr>
            </w:pPr>
            <w:r w:rsidRPr="0024468B">
              <w:rPr>
                <w:noProof/>
                <w:sz w:val="16"/>
                <w:szCs w:val="16"/>
                <w:lang w:val="fr-BE"/>
              </w:rPr>
              <w:t>Udział obszarów prawnie chronionych w powierzchni ogółem</w:t>
            </w:r>
          </w:p>
        </w:tc>
        <w:tc>
          <w:tcPr>
            <w:tcW w:w="0" w:type="auto"/>
            <w:shd w:val="clear" w:color="auto" w:fill="auto"/>
          </w:tcPr>
          <w:p w14:paraId="714BD2EB" w14:textId="77777777" w:rsidR="008C5CFA" w:rsidRPr="0024468B" w:rsidRDefault="00E82A60" w:rsidP="00300A01">
            <w:pPr>
              <w:spacing w:before="0" w:after="0"/>
              <w:jc w:val="right"/>
              <w:rPr>
                <w:sz w:val="16"/>
                <w:szCs w:val="16"/>
                <w:lang w:val="fr-BE"/>
              </w:rPr>
            </w:pPr>
            <w:r w:rsidRPr="0024468B">
              <w:rPr>
                <w:noProof/>
                <w:sz w:val="16"/>
                <w:szCs w:val="16"/>
                <w:lang w:val="fr-BE"/>
              </w:rPr>
              <w:t>65,10</w:t>
            </w:r>
          </w:p>
        </w:tc>
        <w:tc>
          <w:tcPr>
            <w:tcW w:w="0" w:type="auto"/>
            <w:shd w:val="clear" w:color="auto" w:fill="auto"/>
          </w:tcPr>
          <w:p w14:paraId="04E7724B" w14:textId="77777777" w:rsidR="008C5CFA" w:rsidRPr="0024468B" w:rsidRDefault="008C5CFA" w:rsidP="00300A01">
            <w:pPr>
              <w:spacing w:before="0" w:after="0"/>
              <w:jc w:val="right"/>
              <w:rPr>
                <w:sz w:val="16"/>
                <w:szCs w:val="16"/>
                <w:lang w:val="fr-BE"/>
              </w:rPr>
            </w:pPr>
          </w:p>
        </w:tc>
      </w:tr>
    </w:tbl>
    <w:p w14:paraId="45D64E78" w14:textId="77777777" w:rsidR="008C5CFA" w:rsidRDefault="008C5CFA" w:rsidP="00300A01">
      <w:pPr>
        <w:spacing w:before="0" w:after="0"/>
        <w:rPr>
          <w:lang w:val="fr-BE"/>
        </w:rPr>
      </w:pPr>
    </w:p>
    <w:p w14:paraId="498D1BFF" w14:textId="77777777" w:rsidR="008C5CFA" w:rsidRDefault="00E82A60" w:rsidP="00300A01">
      <w:pPr>
        <w:spacing w:before="0" w:after="0"/>
        <w:rPr>
          <w:lang w:val="fr-BE"/>
        </w:rPr>
      </w:pPr>
      <w:r>
        <w:rPr>
          <w:lang w:val="fr-BE"/>
        </w:rPr>
        <w:br w:type="page"/>
      </w:r>
    </w:p>
    <w:p w14:paraId="4577EDA3" w14:textId="77777777" w:rsidR="008C5CFA" w:rsidRPr="00B27C43" w:rsidRDefault="008C5CFA" w:rsidP="00300A01">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6"/>
        <w:gridCol w:w="13128"/>
      </w:tblGrid>
      <w:tr w:rsidR="006B2EC1" w14:paraId="31011F4F" w14:textId="77777777" w:rsidTr="0047688D">
        <w:tc>
          <w:tcPr>
            <w:tcW w:w="0" w:type="auto"/>
            <w:shd w:val="clear" w:color="auto" w:fill="auto"/>
          </w:tcPr>
          <w:p w14:paraId="24E4648D" w14:textId="77777777" w:rsidR="008C5CFA" w:rsidRPr="002124FC" w:rsidRDefault="00E82A60" w:rsidP="00300A01">
            <w:pPr>
              <w:spacing w:before="0" w:after="0"/>
              <w:rPr>
                <w:sz w:val="20"/>
                <w:szCs w:val="20"/>
                <w:lang w:val="fr-BE"/>
              </w:rPr>
            </w:pPr>
            <w:r>
              <w:rPr>
                <w:lang w:val="fr-BE"/>
              </w:rPr>
              <w:br w:type="page"/>
            </w:r>
            <w:r>
              <w:rPr>
                <w:lang w:val="fr-BE"/>
              </w:rPr>
              <w:br w:type="page"/>
            </w:r>
            <w:r w:rsidRPr="002124FC">
              <w:rPr>
                <w:noProof/>
                <w:sz w:val="20"/>
                <w:szCs w:val="20"/>
                <w:lang w:val="fr-BE"/>
              </w:rPr>
              <w:t>Oś priorytetowa</w:t>
            </w:r>
          </w:p>
        </w:tc>
        <w:tc>
          <w:tcPr>
            <w:tcW w:w="0" w:type="auto"/>
            <w:shd w:val="clear" w:color="auto" w:fill="auto"/>
          </w:tcPr>
          <w:p w14:paraId="68F242FF" w14:textId="77777777" w:rsidR="008C5CFA" w:rsidRPr="002124FC" w:rsidRDefault="00E82A60" w:rsidP="00300A01">
            <w:pPr>
              <w:spacing w:before="0" w:after="0"/>
              <w:rPr>
                <w:sz w:val="20"/>
                <w:szCs w:val="20"/>
                <w:lang w:val="fr-BE"/>
              </w:rPr>
            </w:pPr>
            <w:r w:rsidRPr="002124FC">
              <w:rPr>
                <w:noProof/>
                <w:sz w:val="20"/>
                <w:szCs w:val="20"/>
                <w:lang w:val="fr-BE"/>
              </w:rPr>
              <w:t>5</w:t>
            </w:r>
            <w:r w:rsidRPr="002124FC">
              <w:rPr>
                <w:sz w:val="20"/>
                <w:szCs w:val="20"/>
                <w:lang w:val="fr-BE"/>
              </w:rPr>
              <w:t xml:space="preserve"> - </w:t>
            </w:r>
            <w:r w:rsidRPr="002124FC">
              <w:rPr>
                <w:noProof/>
                <w:sz w:val="20"/>
                <w:szCs w:val="20"/>
                <w:lang w:val="fr-BE"/>
              </w:rPr>
              <w:t>Nowoczesna komunikacja</w:t>
            </w:r>
          </w:p>
        </w:tc>
      </w:tr>
      <w:tr w:rsidR="006B2EC1" w14:paraId="0ACED85B" w14:textId="77777777" w:rsidTr="0047688D">
        <w:tc>
          <w:tcPr>
            <w:tcW w:w="0" w:type="auto"/>
            <w:shd w:val="clear" w:color="auto" w:fill="auto"/>
          </w:tcPr>
          <w:p w14:paraId="131AD80B" w14:textId="77777777" w:rsidR="008C5CFA" w:rsidRPr="002124FC" w:rsidRDefault="00E82A60"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14:paraId="07DED645" w14:textId="77777777" w:rsidR="008C5CFA" w:rsidRPr="002124FC" w:rsidRDefault="00E82A60" w:rsidP="00300A01">
            <w:pPr>
              <w:spacing w:before="0" w:after="0"/>
              <w:rPr>
                <w:sz w:val="20"/>
                <w:szCs w:val="20"/>
                <w:lang w:val="fr-BE"/>
              </w:rPr>
            </w:pPr>
            <w:r w:rsidRPr="002124FC">
              <w:rPr>
                <w:noProof/>
                <w:sz w:val="20"/>
                <w:szCs w:val="20"/>
                <w:lang w:val="fr-BE"/>
              </w:rPr>
              <w:t>7b</w:t>
            </w:r>
            <w:r w:rsidRPr="002124FC">
              <w:rPr>
                <w:sz w:val="20"/>
                <w:szCs w:val="20"/>
                <w:lang w:val="fr-BE"/>
              </w:rPr>
              <w:t xml:space="preserve"> - </w:t>
            </w:r>
            <w:r w:rsidRPr="002124FC">
              <w:rPr>
                <w:noProof/>
                <w:sz w:val="20"/>
                <w:szCs w:val="20"/>
                <w:lang w:val="fr-BE"/>
              </w:rPr>
              <w:t>Zwiększanie mobilności regionalnej poprzez łączenie węzłów drugorzędnych i trzeciorzędnych z infrastrukturą TEN-T, w tym z węzłami multimodalnymi</w:t>
            </w:r>
          </w:p>
        </w:tc>
      </w:tr>
    </w:tbl>
    <w:p w14:paraId="3C4ED2E1" w14:textId="77777777" w:rsidR="008C5CFA" w:rsidRDefault="008C5CFA" w:rsidP="00300A01">
      <w:pPr>
        <w:spacing w:before="0" w:after="0"/>
        <w:rPr>
          <w:lang w:val="fr-BE"/>
        </w:rPr>
      </w:pPr>
    </w:p>
    <w:p w14:paraId="36FCE7F1" w14:textId="77777777" w:rsidR="008C5CFA" w:rsidRDefault="00E82A60" w:rsidP="00300A01">
      <w:pPr>
        <w:pStyle w:val="Nagwek2"/>
        <w:spacing w:before="0" w:after="0"/>
        <w:rPr>
          <w:lang w:val="fr-BE"/>
        </w:rPr>
      </w:pPr>
      <w:bookmarkStart w:id="35" w:name="_Toc46391719"/>
      <w:r>
        <w:rPr>
          <w:noProof/>
          <w:lang w:val="fr-BE"/>
        </w:rPr>
        <w:t>Tabela 3A</w:t>
      </w:r>
      <w:r>
        <w:rPr>
          <w:lang w:val="fr-BE"/>
        </w:rPr>
        <w:t xml:space="preserve">: </w:t>
      </w:r>
      <w:r>
        <w:rPr>
          <w:noProof/>
          <w:lang w:val="fr-BE"/>
        </w:rPr>
        <w:t>Wspólne i specyficzne dla danego programu wskaźniki produktu dla EFRR i Funduszu Spójności (wg osi priorytetowej, priorytetu inwestycyjnego, w podziale na kategorię regionu dla celów EFRR)</w:t>
      </w:r>
      <w:r w:rsidR="009C5874">
        <w:rPr>
          <w:lang w:val="fr-BE"/>
        </w:rPr>
        <w:t xml:space="preserve"> - </w:t>
      </w:r>
      <w:r w:rsidR="00F022AC" w:rsidRPr="002124FC">
        <w:rPr>
          <w:noProof/>
          <w:sz w:val="20"/>
          <w:szCs w:val="20"/>
          <w:lang w:val="fr-BE"/>
        </w:rPr>
        <w:t>5</w:t>
      </w:r>
      <w:r w:rsidR="00F022AC">
        <w:rPr>
          <w:sz w:val="20"/>
          <w:szCs w:val="20"/>
          <w:lang w:val="fr-BE"/>
        </w:rPr>
        <w:t xml:space="preserve"> / </w:t>
      </w:r>
      <w:r w:rsidR="00F022AC" w:rsidRPr="002124FC">
        <w:rPr>
          <w:noProof/>
          <w:sz w:val="20"/>
          <w:szCs w:val="20"/>
          <w:lang w:val="fr-BE"/>
        </w:rPr>
        <w:t>7b</w:t>
      </w:r>
      <w:bookmarkEnd w:id="35"/>
    </w:p>
    <w:p w14:paraId="1F5AD91A"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01"/>
        <w:gridCol w:w="497"/>
        <w:gridCol w:w="3432"/>
        <w:gridCol w:w="1083"/>
        <w:gridCol w:w="1145"/>
        <w:gridCol w:w="1735"/>
        <w:gridCol w:w="1893"/>
        <w:gridCol w:w="1746"/>
        <w:gridCol w:w="869"/>
        <w:gridCol w:w="1055"/>
        <w:gridCol w:w="878"/>
        <w:gridCol w:w="550"/>
      </w:tblGrid>
      <w:tr w:rsidR="006B2EC1" w14:paraId="74E45801" w14:textId="77777777" w:rsidTr="0047688D">
        <w:trPr>
          <w:tblHeader/>
        </w:trPr>
        <w:tc>
          <w:tcPr>
            <w:tcW w:w="0" w:type="auto"/>
          </w:tcPr>
          <w:p w14:paraId="7B477808" w14:textId="77777777" w:rsidR="008C5CFA" w:rsidRPr="009143B4" w:rsidRDefault="00E82A60" w:rsidP="00300A01">
            <w:pPr>
              <w:spacing w:before="0" w:after="0"/>
              <w:rPr>
                <w:b/>
                <w:sz w:val="16"/>
                <w:szCs w:val="16"/>
                <w:lang w:val="fr-BE"/>
              </w:rPr>
            </w:pPr>
            <w:r w:rsidRPr="009143B4">
              <w:rPr>
                <w:b/>
                <w:sz w:val="16"/>
                <w:szCs w:val="16"/>
                <w:lang w:val="fr-BE"/>
              </w:rPr>
              <w:t>(1)</w:t>
            </w:r>
          </w:p>
        </w:tc>
        <w:tc>
          <w:tcPr>
            <w:tcW w:w="0" w:type="auto"/>
            <w:shd w:val="clear" w:color="auto" w:fill="auto"/>
          </w:tcPr>
          <w:p w14:paraId="7FD4D6F2" w14:textId="77777777" w:rsidR="008C5CFA" w:rsidRPr="009143B4" w:rsidRDefault="00E82A60" w:rsidP="00300A01">
            <w:pPr>
              <w:spacing w:before="0" w:after="0"/>
              <w:rPr>
                <w:b/>
                <w:sz w:val="16"/>
                <w:szCs w:val="16"/>
                <w:lang w:val="fr-BE"/>
              </w:rPr>
            </w:pPr>
            <w:r w:rsidRPr="009143B4">
              <w:rPr>
                <w:b/>
                <w:noProof/>
                <w:sz w:val="16"/>
                <w:szCs w:val="16"/>
                <w:lang w:val="fr-BE"/>
              </w:rPr>
              <w:t>ID</w:t>
            </w:r>
          </w:p>
        </w:tc>
        <w:tc>
          <w:tcPr>
            <w:tcW w:w="0" w:type="auto"/>
            <w:shd w:val="clear" w:color="auto" w:fill="auto"/>
          </w:tcPr>
          <w:p w14:paraId="2346EE7D" w14:textId="77777777" w:rsidR="008C5CFA" w:rsidRPr="009143B4" w:rsidRDefault="00E82A60" w:rsidP="00300A01">
            <w:pPr>
              <w:spacing w:before="0" w:after="0"/>
              <w:rPr>
                <w:b/>
                <w:sz w:val="16"/>
                <w:szCs w:val="16"/>
                <w:lang w:val="fr-BE"/>
              </w:rPr>
            </w:pPr>
            <w:r w:rsidRPr="009143B4">
              <w:rPr>
                <w:b/>
                <w:noProof/>
                <w:sz w:val="16"/>
                <w:szCs w:val="16"/>
                <w:lang w:val="fr-BE"/>
              </w:rPr>
              <w:t>Wskaźnik</w:t>
            </w:r>
          </w:p>
        </w:tc>
        <w:tc>
          <w:tcPr>
            <w:tcW w:w="0" w:type="auto"/>
            <w:shd w:val="clear" w:color="auto" w:fill="auto"/>
          </w:tcPr>
          <w:p w14:paraId="7337EC87" w14:textId="77777777" w:rsidR="008C5CFA" w:rsidRPr="009143B4" w:rsidRDefault="00E82A60" w:rsidP="00300A01">
            <w:pPr>
              <w:spacing w:before="0" w:after="0"/>
              <w:rPr>
                <w:b/>
                <w:sz w:val="16"/>
                <w:szCs w:val="16"/>
                <w:lang w:val="fr-BE"/>
              </w:rPr>
            </w:pPr>
            <w:r w:rsidRPr="009143B4">
              <w:rPr>
                <w:b/>
                <w:noProof/>
                <w:sz w:val="16"/>
                <w:szCs w:val="16"/>
                <w:lang w:val="fr-BE"/>
              </w:rPr>
              <w:t>Jednostka miary</w:t>
            </w:r>
          </w:p>
        </w:tc>
        <w:tc>
          <w:tcPr>
            <w:tcW w:w="0" w:type="auto"/>
            <w:shd w:val="clear" w:color="auto" w:fill="auto"/>
          </w:tcPr>
          <w:p w14:paraId="4379DCF2" w14:textId="77777777" w:rsidR="008C5CFA" w:rsidRPr="009143B4" w:rsidRDefault="00E82A60" w:rsidP="00300A01">
            <w:pPr>
              <w:spacing w:before="0" w:after="0"/>
              <w:rPr>
                <w:b/>
                <w:sz w:val="16"/>
                <w:szCs w:val="16"/>
                <w:lang w:val="fr-BE"/>
              </w:rPr>
            </w:pPr>
            <w:r w:rsidRPr="009143B4">
              <w:rPr>
                <w:b/>
                <w:noProof/>
                <w:sz w:val="16"/>
                <w:szCs w:val="16"/>
                <w:lang w:val="fr-BE"/>
              </w:rPr>
              <w:t>Kategoria regionu</w:t>
            </w:r>
          </w:p>
        </w:tc>
        <w:tc>
          <w:tcPr>
            <w:tcW w:w="0" w:type="auto"/>
            <w:shd w:val="clear" w:color="auto" w:fill="auto"/>
          </w:tcPr>
          <w:p w14:paraId="351E0AF4" w14:textId="77777777" w:rsidR="008C5CFA" w:rsidRPr="009143B4" w:rsidRDefault="00E82A60" w:rsidP="00300A01">
            <w:pPr>
              <w:spacing w:before="0" w:after="0"/>
              <w:jc w:val="center"/>
              <w:rPr>
                <w:b/>
                <w:sz w:val="16"/>
                <w:szCs w:val="16"/>
                <w:lang w:val="fr-BE"/>
              </w:rPr>
            </w:pPr>
            <w:r w:rsidRPr="009143B4">
              <w:rPr>
                <w:b/>
                <w:noProof/>
                <w:sz w:val="16"/>
                <w:szCs w:val="16"/>
                <w:lang w:val="fr-BE"/>
              </w:rPr>
              <w:t>Wartość docelowa (2023) ogółem</w:t>
            </w:r>
          </w:p>
        </w:tc>
        <w:tc>
          <w:tcPr>
            <w:tcW w:w="0" w:type="auto"/>
            <w:shd w:val="clear" w:color="auto" w:fill="auto"/>
          </w:tcPr>
          <w:p w14:paraId="5C9700B7" w14:textId="77777777" w:rsidR="008C5CFA" w:rsidRPr="009143B4" w:rsidRDefault="00E82A60" w:rsidP="00300A01">
            <w:pPr>
              <w:spacing w:before="0" w:after="0"/>
              <w:jc w:val="center"/>
              <w:rPr>
                <w:b/>
                <w:sz w:val="16"/>
                <w:szCs w:val="16"/>
                <w:lang w:val="fr-BE"/>
              </w:rPr>
            </w:pPr>
            <w:r w:rsidRPr="009143B4">
              <w:rPr>
                <w:b/>
                <w:noProof/>
                <w:sz w:val="16"/>
                <w:szCs w:val="16"/>
                <w:lang w:val="fr-BE"/>
              </w:rPr>
              <w:t>Wartość docelowa (2023) mężczyźni</w:t>
            </w:r>
          </w:p>
        </w:tc>
        <w:tc>
          <w:tcPr>
            <w:tcW w:w="0" w:type="auto"/>
          </w:tcPr>
          <w:p w14:paraId="280350A9" w14:textId="77777777" w:rsidR="008C5CFA" w:rsidRPr="009143B4" w:rsidRDefault="00E82A60" w:rsidP="00300A01">
            <w:pPr>
              <w:spacing w:before="0" w:after="0"/>
              <w:jc w:val="center"/>
              <w:rPr>
                <w:b/>
                <w:sz w:val="16"/>
                <w:szCs w:val="16"/>
                <w:lang w:val="fr-BE"/>
              </w:rPr>
            </w:pPr>
            <w:r w:rsidRPr="009143B4">
              <w:rPr>
                <w:b/>
                <w:noProof/>
                <w:sz w:val="16"/>
                <w:szCs w:val="16"/>
                <w:lang w:val="fr-BE"/>
              </w:rPr>
              <w:t>Wartość docelowa (2023) kobiety</w:t>
            </w:r>
          </w:p>
        </w:tc>
        <w:tc>
          <w:tcPr>
            <w:tcW w:w="0" w:type="auto"/>
            <w:shd w:val="clear" w:color="auto" w:fill="auto"/>
          </w:tcPr>
          <w:p w14:paraId="223A379E" w14:textId="77777777" w:rsidR="008C5CFA" w:rsidRPr="009143B4" w:rsidRDefault="00E82A60" w:rsidP="00300A01">
            <w:pPr>
              <w:spacing w:before="0" w:after="0"/>
              <w:jc w:val="center"/>
              <w:rPr>
                <w:b/>
                <w:sz w:val="16"/>
                <w:szCs w:val="16"/>
                <w:lang w:val="fr-BE"/>
              </w:rPr>
            </w:pPr>
            <w:r>
              <w:rPr>
                <w:b/>
                <w:sz w:val="16"/>
                <w:szCs w:val="16"/>
                <w:lang w:val="fr-BE"/>
              </w:rPr>
              <w:t xml:space="preserve">2019 </w:t>
            </w:r>
            <w:r w:rsidRPr="009143B4">
              <w:rPr>
                <w:b/>
                <w:noProof/>
                <w:sz w:val="16"/>
                <w:szCs w:val="16"/>
                <w:lang w:val="fr-BE"/>
              </w:rPr>
              <w:t>Ogółem</w:t>
            </w:r>
          </w:p>
        </w:tc>
        <w:tc>
          <w:tcPr>
            <w:tcW w:w="0" w:type="auto"/>
            <w:shd w:val="clear" w:color="auto" w:fill="auto"/>
          </w:tcPr>
          <w:p w14:paraId="2E74622B" w14:textId="77777777" w:rsidR="008C5CFA" w:rsidRPr="009143B4" w:rsidRDefault="00E82A60" w:rsidP="00300A01">
            <w:pPr>
              <w:spacing w:before="0" w:after="0"/>
              <w:jc w:val="center"/>
              <w:rPr>
                <w:b/>
                <w:sz w:val="16"/>
                <w:szCs w:val="16"/>
                <w:lang w:val="fr-BE"/>
              </w:rPr>
            </w:pPr>
            <w:r>
              <w:rPr>
                <w:b/>
                <w:sz w:val="16"/>
                <w:szCs w:val="16"/>
                <w:lang w:val="fr-BE"/>
              </w:rPr>
              <w:t xml:space="preserve">2019 </w:t>
            </w:r>
            <w:r w:rsidRPr="009143B4">
              <w:rPr>
                <w:b/>
                <w:noProof/>
                <w:sz w:val="16"/>
                <w:szCs w:val="16"/>
                <w:lang w:val="fr-BE"/>
              </w:rPr>
              <w:t>Mężczyźni</w:t>
            </w:r>
          </w:p>
        </w:tc>
        <w:tc>
          <w:tcPr>
            <w:tcW w:w="0" w:type="auto"/>
            <w:shd w:val="clear" w:color="auto" w:fill="auto"/>
          </w:tcPr>
          <w:p w14:paraId="41E6E72F" w14:textId="77777777" w:rsidR="008C5CFA" w:rsidRPr="009143B4" w:rsidRDefault="00E82A60" w:rsidP="00300A01">
            <w:pPr>
              <w:spacing w:before="0" w:after="0"/>
              <w:jc w:val="center"/>
              <w:rPr>
                <w:b/>
                <w:sz w:val="16"/>
                <w:szCs w:val="16"/>
                <w:lang w:val="fr-BE"/>
              </w:rPr>
            </w:pPr>
            <w:r>
              <w:rPr>
                <w:b/>
                <w:sz w:val="16"/>
                <w:szCs w:val="16"/>
                <w:lang w:val="fr-BE"/>
              </w:rPr>
              <w:t xml:space="preserve">2019 </w:t>
            </w:r>
            <w:r w:rsidRPr="009143B4">
              <w:rPr>
                <w:b/>
                <w:noProof/>
                <w:sz w:val="16"/>
                <w:szCs w:val="16"/>
                <w:lang w:val="fr-BE"/>
              </w:rPr>
              <w:t>Kobiety</w:t>
            </w:r>
          </w:p>
        </w:tc>
        <w:tc>
          <w:tcPr>
            <w:tcW w:w="0" w:type="auto"/>
            <w:shd w:val="clear" w:color="auto" w:fill="auto"/>
          </w:tcPr>
          <w:p w14:paraId="523FCE90" w14:textId="77777777" w:rsidR="008C5CFA" w:rsidRPr="009143B4" w:rsidRDefault="00E82A60" w:rsidP="00300A01">
            <w:pPr>
              <w:spacing w:before="0" w:after="0"/>
              <w:jc w:val="center"/>
              <w:rPr>
                <w:b/>
                <w:sz w:val="16"/>
                <w:szCs w:val="16"/>
                <w:lang w:val="fr-BE"/>
              </w:rPr>
            </w:pPr>
            <w:r w:rsidRPr="009143B4">
              <w:rPr>
                <w:b/>
                <w:noProof/>
                <w:sz w:val="16"/>
                <w:szCs w:val="16"/>
                <w:lang w:val="fr-BE"/>
              </w:rPr>
              <w:t>Uwagi</w:t>
            </w:r>
          </w:p>
        </w:tc>
      </w:tr>
      <w:tr w:rsidR="006B2EC1" w14:paraId="3F205247" w14:textId="77777777" w:rsidTr="0047688D">
        <w:tc>
          <w:tcPr>
            <w:tcW w:w="0" w:type="auto"/>
          </w:tcPr>
          <w:p w14:paraId="77111B91" w14:textId="77777777" w:rsidR="008C5CFA" w:rsidRPr="0024468B" w:rsidRDefault="00E82A60" w:rsidP="00300A01">
            <w:pPr>
              <w:spacing w:before="0" w:after="0"/>
              <w:rPr>
                <w:sz w:val="16"/>
                <w:szCs w:val="16"/>
                <w:lang w:val="fr-BE"/>
              </w:rPr>
            </w:pPr>
            <w:r>
              <w:rPr>
                <w:noProof/>
                <w:sz w:val="16"/>
                <w:szCs w:val="16"/>
                <w:lang w:val="fr-BE"/>
              </w:rPr>
              <w:t>F</w:t>
            </w:r>
          </w:p>
        </w:tc>
        <w:tc>
          <w:tcPr>
            <w:tcW w:w="0" w:type="auto"/>
            <w:shd w:val="clear" w:color="auto" w:fill="auto"/>
          </w:tcPr>
          <w:p w14:paraId="665B7798" w14:textId="77777777" w:rsidR="008C5CFA" w:rsidRPr="0024468B" w:rsidRDefault="00E82A60" w:rsidP="00300A01">
            <w:pPr>
              <w:spacing w:before="0" w:after="0"/>
              <w:rPr>
                <w:sz w:val="16"/>
                <w:szCs w:val="16"/>
                <w:lang w:val="fr-BE"/>
              </w:rPr>
            </w:pPr>
            <w:r w:rsidRPr="0024468B">
              <w:rPr>
                <w:noProof/>
                <w:sz w:val="16"/>
                <w:szCs w:val="16"/>
                <w:lang w:val="fr-BE"/>
              </w:rPr>
              <w:t>CO14</w:t>
            </w:r>
          </w:p>
        </w:tc>
        <w:tc>
          <w:tcPr>
            <w:tcW w:w="0" w:type="auto"/>
            <w:shd w:val="clear" w:color="auto" w:fill="auto"/>
          </w:tcPr>
          <w:p w14:paraId="5E07EE0A" w14:textId="77777777" w:rsidR="008C5CFA" w:rsidRPr="0024468B" w:rsidRDefault="00E82A60" w:rsidP="00300A01">
            <w:pPr>
              <w:spacing w:before="0" w:after="0"/>
              <w:rPr>
                <w:sz w:val="16"/>
                <w:szCs w:val="16"/>
                <w:lang w:val="fr-BE"/>
              </w:rPr>
            </w:pPr>
            <w:r w:rsidRPr="0024468B">
              <w:rPr>
                <w:noProof/>
                <w:sz w:val="16"/>
                <w:szCs w:val="16"/>
                <w:lang w:val="fr-BE"/>
              </w:rPr>
              <w:t>Drogi: całkowita długość przebudowanych lub zmodernizowanych dróg</w:t>
            </w:r>
          </w:p>
        </w:tc>
        <w:tc>
          <w:tcPr>
            <w:tcW w:w="0" w:type="auto"/>
            <w:shd w:val="clear" w:color="auto" w:fill="auto"/>
          </w:tcPr>
          <w:p w14:paraId="7143DE15" w14:textId="77777777" w:rsidR="008C5CFA" w:rsidRPr="0024468B" w:rsidRDefault="00E82A60" w:rsidP="00300A01">
            <w:pPr>
              <w:spacing w:before="0" w:after="0"/>
              <w:rPr>
                <w:sz w:val="16"/>
                <w:szCs w:val="16"/>
                <w:lang w:val="fr-BE"/>
              </w:rPr>
            </w:pPr>
            <w:r>
              <w:rPr>
                <w:noProof/>
                <w:sz w:val="16"/>
                <w:szCs w:val="16"/>
                <w:lang w:val="fr-BE"/>
              </w:rPr>
              <w:t>km</w:t>
            </w:r>
          </w:p>
        </w:tc>
        <w:tc>
          <w:tcPr>
            <w:tcW w:w="0" w:type="auto"/>
            <w:shd w:val="clear" w:color="auto" w:fill="auto"/>
          </w:tcPr>
          <w:p w14:paraId="53ABAD69" w14:textId="77777777" w:rsidR="008C5CFA" w:rsidRPr="0024468B" w:rsidRDefault="00E82A60"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14:paraId="7C2870A1" w14:textId="77777777" w:rsidR="008C5CFA" w:rsidRPr="0024468B" w:rsidRDefault="00E82A60" w:rsidP="00300A01">
            <w:pPr>
              <w:spacing w:before="0" w:after="0"/>
              <w:jc w:val="right"/>
              <w:rPr>
                <w:sz w:val="16"/>
                <w:szCs w:val="16"/>
                <w:lang w:val="fr-BE"/>
              </w:rPr>
            </w:pPr>
            <w:r>
              <w:rPr>
                <w:noProof/>
                <w:sz w:val="16"/>
                <w:szCs w:val="16"/>
                <w:lang w:val="fr-BE"/>
              </w:rPr>
              <w:t>60,00</w:t>
            </w:r>
          </w:p>
        </w:tc>
        <w:tc>
          <w:tcPr>
            <w:tcW w:w="0" w:type="auto"/>
            <w:shd w:val="clear" w:color="auto" w:fill="auto"/>
          </w:tcPr>
          <w:p w14:paraId="3675C860" w14:textId="77777777" w:rsidR="008C5CFA" w:rsidRPr="0024468B" w:rsidRDefault="008C5CFA" w:rsidP="00300A01">
            <w:pPr>
              <w:spacing w:before="0" w:after="0"/>
              <w:jc w:val="right"/>
              <w:rPr>
                <w:sz w:val="16"/>
                <w:szCs w:val="16"/>
                <w:lang w:val="fr-BE"/>
              </w:rPr>
            </w:pPr>
          </w:p>
        </w:tc>
        <w:tc>
          <w:tcPr>
            <w:tcW w:w="0" w:type="auto"/>
          </w:tcPr>
          <w:p w14:paraId="5F94D654" w14:textId="77777777" w:rsidR="008C5CFA" w:rsidRPr="0024468B" w:rsidRDefault="008C5CFA" w:rsidP="00300A01">
            <w:pPr>
              <w:spacing w:before="0" w:after="0"/>
              <w:jc w:val="right"/>
              <w:rPr>
                <w:sz w:val="16"/>
                <w:szCs w:val="16"/>
                <w:lang w:val="fr-BE"/>
              </w:rPr>
            </w:pPr>
          </w:p>
        </w:tc>
        <w:tc>
          <w:tcPr>
            <w:tcW w:w="0" w:type="auto"/>
            <w:shd w:val="clear" w:color="auto" w:fill="auto"/>
          </w:tcPr>
          <w:p w14:paraId="6BEF2AFB" w14:textId="77777777" w:rsidR="008C5CFA" w:rsidRPr="0024468B" w:rsidRDefault="00E82A60" w:rsidP="00300A01">
            <w:pPr>
              <w:spacing w:before="0" w:after="0"/>
              <w:jc w:val="right"/>
              <w:rPr>
                <w:sz w:val="16"/>
                <w:szCs w:val="16"/>
                <w:lang w:val="fr-BE"/>
              </w:rPr>
            </w:pPr>
            <w:r w:rsidRPr="0024468B">
              <w:rPr>
                <w:noProof/>
                <w:sz w:val="16"/>
                <w:szCs w:val="16"/>
                <w:lang w:val="fr-BE"/>
              </w:rPr>
              <w:t>33,12</w:t>
            </w:r>
          </w:p>
        </w:tc>
        <w:tc>
          <w:tcPr>
            <w:tcW w:w="0" w:type="auto"/>
            <w:shd w:val="clear" w:color="auto" w:fill="auto"/>
          </w:tcPr>
          <w:p w14:paraId="5150D08D"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245D8452"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32AA0220" w14:textId="77777777" w:rsidR="008C5CFA" w:rsidRPr="0024468B" w:rsidRDefault="008C5CFA" w:rsidP="00300A01">
            <w:pPr>
              <w:spacing w:before="0" w:after="0"/>
              <w:rPr>
                <w:sz w:val="16"/>
                <w:szCs w:val="16"/>
                <w:lang w:val="fr-BE"/>
              </w:rPr>
            </w:pPr>
          </w:p>
        </w:tc>
      </w:tr>
      <w:tr w:rsidR="006B2EC1" w14:paraId="469E2BFE" w14:textId="77777777" w:rsidTr="0047688D">
        <w:tc>
          <w:tcPr>
            <w:tcW w:w="0" w:type="auto"/>
          </w:tcPr>
          <w:p w14:paraId="560140AA" w14:textId="77777777" w:rsidR="008C5CFA" w:rsidRPr="0024468B" w:rsidRDefault="00E82A60" w:rsidP="00300A01">
            <w:pPr>
              <w:spacing w:before="0" w:after="0"/>
              <w:rPr>
                <w:sz w:val="16"/>
                <w:szCs w:val="16"/>
                <w:lang w:val="fr-BE"/>
              </w:rPr>
            </w:pPr>
            <w:r>
              <w:rPr>
                <w:noProof/>
                <w:sz w:val="16"/>
                <w:szCs w:val="16"/>
                <w:lang w:val="fr-BE"/>
              </w:rPr>
              <w:t>S</w:t>
            </w:r>
          </w:p>
        </w:tc>
        <w:tc>
          <w:tcPr>
            <w:tcW w:w="0" w:type="auto"/>
            <w:shd w:val="clear" w:color="auto" w:fill="auto"/>
          </w:tcPr>
          <w:p w14:paraId="091A8F8E" w14:textId="77777777" w:rsidR="008C5CFA" w:rsidRPr="0024468B" w:rsidRDefault="00E82A60" w:rsidP="00300A01">
            <w:pPr>
              <w:spacing w:before="0" w:after="0"/>
              <w:rPr>
                <w:sz w:val="16"/>
                <w:szCs w:val="16"/>
                <w:lang w:val="fr-BE"/>
              </w:rPr>
            </w:pPr>
            <w:r w:rsidRPr="0024468B">
              <w:rPr>
                <w:noProof/>
                <w:sz w:val="16"/>
                <w:szCs w:val="16"/>
                <w:lang w:val="fr-BE"/>
              </w:rPr>
              <w:t>CO14</w:t>
            </w:r>
          </w:p>
        </w:tc>
        <w:tc>
          <w:tcPr>
            <w:tcW w:w="0" w:type="auto"/>
            <w:shd w:val="clear" w:color="auto" w:fill="auto"/>
          </w:tcPr>
          <w:p w14:paraId="5B01ED3C" w14:textId="77777777" w:rsidR="008C5CFA" w:rsidRPr="0024468B" w:rsidRDefault="00E82A60" w:rsidP="00300A01">
            <w:pPr>
              <w:spacing w:before="0" w:after="0"/>
              <w:rPr>
                <w:sz w:val="16"/>
                <w:szCs w:val="16"/>
                <w:lang w:val="fr-BE"/>
              </w:rPr>
            </w:pPr>
            <w:r w:rsidRPr="0024468B">
              <w:rPr>
                <w:noProof/>
                <w:sz w:val="16"/>
                <w:szCs w:val="16"/>
                <w:lang w:val="fr-BE"/>
              </w:rPr>
              <w:t>Drogi: całkowita długość przebudowanych lub zmodernizowanych dróg</w:t>
            </w:r>
          </w:p>
        </w:tc>
        <w:tc>
          <w:tcPr>
            <w:tcW w:w="0" w:type="auto"/>
            <w:shd w:val="clear" w:color="auto" w:fill="auto"/>
          </w:tcPr>
          <w:p w14:paraId="73F70EE7" w14:textId="77777777" w:rsidR="008C5CFA" w:rsidRPr="0024468B" w:rsidRDefault="00E82A60" w:rsidP="00300A01">
            <w:pPr>
              <w:spacing w:before="0" w:after="0"/>
              <w:rPr>
                <w:sz w:val="16"/>
                <w:szCs w:val="16"/>
                <w:lang w:val="fr-BE"/>
              </w:rPr>
            </w:pPr>
            <w:r>
              <w:rPr>
                <w:noProof/>
                <w:sz w:val="16"/>
                <w:szCs w:val="16"/>
                <w:lang w:val="fr-BE"/>
              </w:rPr>
              <w:t>km</w:t>
            </w:r>
          </w:p>
        </w:tc>
        <w:tc>
          <w:tcPr>
            <w:tcW w:w="0" w:type="auto"/>
            <w:shd w:val="clear" w:color="auto" w:fill="auto"/>
          </w:tcPr>
          <w:p w14:paraId="6803BAA3" w14:textId="77777777" w:rsidR="008C5CFA" w:rsidRPr="0024468B" w:rsidRDefault="00E82A60"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14:paraId="721BEFD4" w14:textId="77777777" w:rsidR="008C5CFA" w:rsidRPr="0024468B" w:rsidRDefault="00E82A60" w:rsidP="00300A01">
            <w:pPr>
              <w:spacing w:before="0" w:after="0"/>
              <w:jc w:val="right"/>
              <w:rPr>
                <w:sz w:val="16"/>
                <w:szCs w:val="16"/>
                <w:lang w:val="fr-BE"/>
              </w:rPr>
            </w:pPr>
            <w:r>
              <w:rPr>
                <w:noProof/>
                <w:sz w:val="16"/>
                <w:szCs w:val="16"/>
                <w:lang w:val="fr-BE"/>
              </w:rPr>
              <w:t>60,00</w:t>
            </w:r>
          </w:p>
        </w:tc>
        <w:tc>
          <w:tcPr>
            <w:tcW w:w="0" w:type="auto"/>
            <w:shd w:val="clear" w:color="auto" w:fill="auto"/>
          </w:tcPr>
          <w:p w14:paraId="34CC9872" w14:textId="77777777" w:rsidR="008C5CFA" w:rsidRPr="0024468B" w:rsidRDefault="008C5CFA" w:rsidP="00300A01">
            <w:pPr>
              <w:spacing w:before="0" w:after="0"/>
              <w:jc w:val="right"/>
              <w:rPr>
                <w:sz w:val="16"/>
                <w:szCs w:val="16"/>
                <w:lang w:val="fr-BE"/>
              </w:rPr>
            </w:pPr>
          </w:p>
        </w:tc>
        <w:tc>
          <w:tcPr>
            <w:tcW w:w="0" w:type="auto"/>
          </w:tcPr>
          <w:p w14:paraId="28010DC7" w14:textId="77777777" w:rsidR="008C5CFA" w:rsidRPr="0024468B" w:rsidRDefault="008C5CFA" w:rsidP="00300A01">
            <w:pPr>
              <w:spacing w:before="0" w:after="0"/>
              <w:jc w:val="right"/>
              <w:rPr>
                <w:sz w:val="16"/>
                <w:szCs w:val="16"/>
                <w:lang w:val="fr-BE"/>
              </w:rPr>
            </w:pPr>
          </w:p>
        </w:tc>
        <w:tc>
          <w:tcPr>
            <w:tcW w:w="0" w:type="auto"/>
            <w:shd w:val="clear" w:color="auto" w:fill="auto"/>
          </w:tcPr>
          <w:p w14:paraId="4B7A6641" w14:textId="77777777" w:rsidR="008C5CFA" w:rsidRPr="0024468B" w:rsidRDefault="00E82A60" w:rsidP="00300A01">
            <w:pPr>
              <w:spacing w:before="0" w:after="0"/>
              <w:jc w:val="right"/>
              <w:rPr>
                <w:sz w:val="16"/>
                <w:szCs w:val="16"/>
                <w:lang w:val="fr-BE"/>
              </w:rPr>
            </w:pPr>
            <w:r w:rsidRPr="0024468B">
              <w:rPr>
                <w:noProof/>
                <w:sz w:val="16"/>
                <w:szCs w:val="16"/>
                <w:lang w:val="fr-BE"/>
              </w:rPr>
              <w:t>61,54</w:t>
            </w:r>
          </w:p>
        </w:tc>
        <w:tc>
          <w:tcPr>
            <w:tcW w:w="0" w:type="auto"/>
            <w:shd w:val="clear" w:color="auto" w:fill="auto"/>
          </w:tcPr>
          <w:p w14:paraId="31B1B916"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0A1642EF"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1312784F" w14:textId="77777777" w:rsidR="008C5CFA" w:rsidRPr="0024468B" w:rsidRDefault="008C5CFA" w:rsidP="00300A01">
            <w:pPr>
              <w:spacing w:before="0" w:after="0"/>
              <w:rPr>
                <w:sz w:val="16"/>
                <w:szCs w:val="16"/>
                <w:lang w:val="fr-BE"/>
              </w:rPr>
            </w:pPr>
          </w:p>
        </w:tc>
      </w:tr>
      <w:tr w:rsidR="006B2EC1" w14:paraId="5A13657B" w14:textId="77777777" w:rsidTr="0047688D">
        <w:tc>
          <w:tcPr>
            <w:tcW w:w="0" w:type="auto"/>
          </w:tcPr>
          <w:p w14:paraId="3D0A7914" w14:textId="77777777" w:rsidR="008C5CFA" w:rsidRPr="0024468B" w:rsidRDefault="00E82A60" w:rsidP="00300A01">
            <w:pPr>
              <w:spacing w:before="0" w:after="0"/>
              <w:rPr>
                <w:sz w:val="16"/>
                <w:szCs w:val="16"/>
                <w:lang w:val="fr-BE"/>
              </w:rPr>
            </w:pPr>
            <w:r>
              <w:rPr>
                <w:noProof/>
                <w:sz w:val="16"/>
                <w:szCs w:val="16"/>
                <w:lang w:val="fr-BE"/>
              </w:rPr>
              <w:t>F</w:t>
            </w:r>
          </w:p>
        </w:tc>
        <w:tc>
          <w:tcPr>
            <w:tcW w:w="0" w:type="auto"/>
            <w:shd w:val="clear" w:color="auto" w:fill="auto"/>
          </w:tcPr>
          <w:p w14:paraId="55D3CAE2" w14:textId="77777777" w:rsidR="008C5CFA" w:rsidRPr="0024468B" w:rsidRDefault="00E82A60" w:rsidP="00300A01">
            <w:pPr>
              <w:spacing w:before="0" w:after="0"/>
              <w:rPr>
                <w:sz w:val="16"/>
                <w:szCs w:val="16"/>
                <w:lang w:val="fr-BE"/>
              </w:rPr>
            </w:pPr>
            <w:r>
              <w:rPr>
                <w:noProof/>
                <w:sz w:val="16"/>
                <w:szCs w:val="16"/>
                <w:lang w:val="fr-BE"/>
              </w:rPr>
              <w:t>147</w:t>
            </w:r>
          </w:p>
        </w:tc>
        <w:tc>
          <w:tcPr>
            <w:tcW w:w="0" w:type="auto"/>
            <w:shd w:val="clear" w:color="auto" w:fill="auto"/>
          </w:tcPr>
          <w:p w14:paraId="391B190B" w14:textId="77777777" w:rsidR="008C5CFA" w:rsidRPr="0024468B" w:rsidRDefault="00E82A60" w:rsidP="00300A01">
            <w:pPr>
              <w:spacing w:before="0" w:after="0"/>
              <w:rPr>
                <w:sz w:val="16"/>
                <w:szCs w:val="16"/>
                <w:lang w:val="fr-BE"/>
              </w:rPr>
            </w:pPr>
            <w:r>
              <w:rPr>
                <w:noProof/>
                <w:sz w:val="16"/>
                <w:szCs w:val="16"/>
                <w:lang w:val="fr-BE"/>
              </w:rPr>
              <w:t>Całkowita długość nowych dróg</w:t>
            </w:r>
          </w:p>
        </w:tc>
        <w:tc>
          <w:tcPr>
            <w:tcW w:w="0" w:type="auto"/>
            <w:shd w:val="clear" w:color="auto" w:fill="auto"/>
          </w:tcPr>
          <w:p w14:paraId="5F9C85C6" w14:textId="77777777" w:rsidR="008C5CFA" w:rsidRPr="0024468B" w:rsidRDefault="00E82A60" w:rsidP="00300A01">
            <w:pPr>
              <w:spacing w:before="0" w:after="0"/>
              <w:rPr>
                <w:sz w:val="16"/>
                <w:szCs w:val="16"/>
                <w:lang w:val="fr-BE"/>
              </w:rPr>
            </w:pPr>
            <w:r w:rsidRPr="0024468B">
              <w:rPr>
                <w:noProof/>
                <w:sz w:val="16"/>
                <w:szCs w:val="16"/>
                <w:lang w:val="fr-BE"/>
              </w:rPr>
              <w:t>km</w:t>
            </w:r>
          </w:p>
        </w:tc>
        <w:tc>
          <w:tcPr>
            <w:tcW w:w="0" w:type="auto"/>
            <w:shd w:val="clear" w:color="auto" w:fill="auto"/>
          </w:tcPr>
          <w:p w14:paraId="12C4E169" w14:textId="77777777" w:rsidR="008C5CFA" w:rsidRPr="0024468B" w:rsidRDefault="00E82A60"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14:paraId="260842E0" w14:textId="77777777" w:rsidR="008C5CFA" w:rsidRPr="0024468B" w:rsidRDefault="00E82A60" w:rsidP="00300A01">
            <w:pPr>
              <w:spacing w:before="0" w:after="0"/>
              <w:jc w:val="right"/>
              <w:rPr>
                <w:sz w:val="16"/>
                <w:szCs w:val="16"/>
                <w:lang w:val="fr-BE"/>
              </w:rPr>
            </w:pPr>
            <w:r>
              <w:rPr>
                <w:noProof/>
                <w:sz w:val="16"/>
                <w:szCs w:val="16"/>
                <w:lang w:val="fr-BE"/>
              </w:rPr>
              <w:t>40,00</w:t>
            </w:r>
          </w:p>
        </w:tc>
        <w:tc>
          <w:tcPr>
            <w:tcW w:w="0" w:type="auto"/>
            <w:shd w:val="clear" w:color="auto" w:fill="auto"/>
          </w:tcPr>
          <w:p w14:paraId="25FA5B07" w14:textId="77777777" w:rsidR="008C5CFA" w:rsidRPr="0024468B" w:rsidRDefault="008C5CFA" w:rsidP="00300A01">
            <w:pPr>
              <w:spacing w:before="0" w:after="0"/>
              <w:jc w:val="right"/>
              <w:rPr>
                <w:sz w:val="16"/>
                <w:szCs w:val="16"/>
                <w:lang w:val="fr-BE"/>
              </w:rPr>
            </w:pPr>
          </w:p>
        </w:tc>
        <w:tc>
          <w:tcPr>
            <w:tcW w:w="0" w:type="auto"/>
          </w:tcPr>
          <w:p w14:paraId="1082D23E" w14:textId="77777777" w:rsidR="008C5CFA" w:rsidRPr="0024468B" w:rsidRDefault="008C5CFA" w:rsidP="00300A01">
            <w:pPr>
              <w:spacing w:before="0" w:after="0"/>
              <w:jc w:val="right"/>
              <w:rPr>
                <w:sz w:val="16"/>
                <w:szCs w:val="16"/>
                <w:lang w:val="fr-BE"/>
              </w:rPr>
            </w:pPr>
          </w:p>
        </w:tc>
        <w:tc>
          <w:tcPr>
            <w:tcW w:w="0" w:type="auto"/>
            <w:shd w:val="clear" w:color="auto" w:fill="auto"/>
          </w:tcPr>
          <w:p w14:paraId="05C85EEE" w14:textId="77777777" w:rsidR="008C5CFA" w:rsidRPr="0024468B" w:rsidRDefault="00E82A60" w:rsidP="00300A01">
            <w:pPr>
              <w:spacing w:before="0" w:after="0"/>
              <w:jc w:val="right"/>
              <w:rPr>
                <w:sz w:val="16"/>
                <w:szCs w:val="16"/>
                <w:lang w:val="fr-BE"/>
              </w:rPr>
            </w:pPr>
            <w:r w:rsidRPr="0024468B">
              <w:rPr>
                <w:noProof/>
                <w:sz w:val="16"/>
                <w:szCs w:val="16"/>
                <w:lang w:val="fr-BE"/>
              </w:rPr>
              <w:t>5,09</w:t>
            </w:r>
          </w:p>
        </w:tc>
        <w:tc>
          <w:tcPr>
            <w:tcW w:w="0" w:type="auto"/>
            <w:shd w:val="clear" w:color="auto" w:fill="auto"/>
          </w:tcPr>
          <w:p w14:paraId="72EE9218"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4567A76B"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348E81B9" w14:textId="77777777" w:rsidR="008C5CFA" w:rsidRPr="0024468B" w:rsidRDefault="008C5CFA" w:rsidP="00300A01">
            <w:pPr>
              <w:spacing w:before="0" w:after="0"/>
              <w:rPr>
                <w:sz w:val="16"/>
                <w:szCs w:val="16"/>
                <w:lang w:val="fr-BE"/>
              </w:rPr>
            </w:pPr>
          </w:p>
        </w:tc>
      </w:tr>
      <w:tr w:rsidR="006B2EC1" w14:paraId="6A514022" w14:textId="77777777" w:rsidTr="0047688D">
        <w:tc>
          <w:tcPr>
            <w:tcW w:w="0" w:type="auto"/>
          </w:tcPr>
          <w:p w14:paraId="35290044" w14:textId="77777777" w:rsidR="008C5CFA" w:rsidRPr="0024468B" w:rsidRDefault="00E82A60" w:rsidP="00300A01">
            <w:pPr>
              <w:spacing w:before="0" w:after="0"/>
              <w:rPr>
                <w:sz w:val="16"/>
                <w:szCs w:val="16"/>
                <w:lang w:val="fr-BE"/>
              </w:rPr>
            </w:pPr>
            <w:r>
              <w:rPr>
                <w:noProof/>
                <w:sz w:val="16"/>
                <w:szCs w:val="16"/>
                <w:lang w:val="fr-BE"/>
              </w:rPr>
              <w:t>S</w:t>
            </w:r>
          </w:p>
        </w:tc>
        <w:tc>
          <w:tcPr>
            <w:tcW w:w="0" w:type="auto"/>
            <w:shd w:val="clear" w:color="auto" w:fill="auto"/>
          </w:tcPr>
          <w:p w14:paraId="00FC0FB7" w14:textId="77777777" w:rsidR="008C5CFA" w:rsidRPr="0024468B" w:rsidRDefault="00E82A60" w:rsidP="00300A01">
            <w:pPr>
              <w:spacing w:before="0" w:after="0"/>
              <w:rPr>
                <w:sz w:val="16"/>
                <w:szCs w:val="16"/>
                <w:lang w:val="fr-BE"/>
              </w:rPr>
            </w:pPr>
            <w:r>
              <w:rPr>
                <w:noProof/>
                <w:sz w:val="16"/>
                <w:szCs w:val="16"/>
                <w:lang w:val="fr-BE"/>
              </w:rPr>
              <w:t>147</w:t>
            </w:r>
          </w:p>
        </w:tc>
        <w:tc>
          <w:tcPr>
            <w:tcW w:w="0" w:type="auto"/>
            <w:shd w:val="clear" w:color="auto" w:fill="auto"/>
          </w:tcPr>
          <w:p w14:paraId="60F39F3E" w14:textId="77777777" w:rsidR="008C5CFA" w:rsidRPr="0024468B" w:rsidRDefault="00E82A60" w:rsidP="00300A01">
            <w:pPr>
              <w:spacing w:before="0" w:after="0"/>
              <w:rPr>
                <w:sz w:val="16"/>
                <w:szCs w:val="16"/>
                <w:lang w:val="fr-BE"/>
              </w:rPr>
            </w:pPr>
            <w:r>
              <w:rPr>
                <w:noProof/>
                <w:sz w:val="16"/>
                <w:szCs w:val="16"/>
                <w:lang w:val="fr-BE"/>
              </w:rPr>
              <w:t>Całkowita długość nowych dróg</w:t>
            </w:r>
          </w:p>
        </w:tc>
        <w:tc>
          <w:tcPr>
            <w:tcW w:w="0" w:type="auto"/>
            <w:shd w:val="clear" w:color="auto" w:fill="auto"/>
          </w:tcPr>
          <w:p w14:paraId="7D30FD77" w14:textId="77777777" w:rsidR="008C5CFA" w:rsidRPr="0024468B" w:rsidRDefault="00E82A60" w:rsidP="00300A01">
            <w:pPr>
              <w:spacing w:before="0" w:after="0"/>
              <w:rPr>
                <w:sz w:val="16"/>
                <w:szCs w:val="16"/>
                <w:lang w:val="fr-BE"/>
              </w:rPr>
            </w:pPr>
            <w:r w:rsidRPr="0024468B">
              <w:rPr>
                <w:noProof/>
                <w:sz w:val="16"/>
                <w:szCs w:val="16"/>
                <w:lang w:val="fr-BE"/>
              </w:rPr>
              <w:t>km</w:t>
            </w:r>
          </w:p>
        </w:tc>
        <w:tc>
          <w:tcPr>
            <w:tcW w:w="0" w:type="auto"/>
            <w:shd w:val="clear" w:color="auto" w:fill="auto"/>
          </w:tcPr>
          <w:p w14:paraId="5B78B1C5" w14:textId="77777777" w:rsidR="008C5CFA" w:rsidRPr="0024468B" w:rsidRDefault="00E82A60"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14:paraId="4048B001" w14:textId="77777777" w:rsidR="008C5CFA" w:rsidRPr="0024468B" w:rsidRDefault="00E82A60" w:rsidP="00300A01">
            <w:pPr>
              <w:spacing w:before="0" w:after="0"/>
              <w:jc w:val="right"/>
              <w:rPr>
                <w:sz w:val="16"/>
                <w:szCs w:val="16"/>
                <w:lang w:val="fr-BE"/>
              </w:rPr>
            </w:pPr>
            <w:r>
              <w:rPr>
                <w:noProof/>
                <w:sz w:val="16"/>
                <w:szCs w:val="16"/>
                <w:lang w:val="fr-BE"/>
              </w:rPr>
              <w:t>40,00</w:t>
            </w:r>
          </w:p>
        </w:tc>
        <w:tc>
          <w:tcPr>
            <w:tcW w:w="0" w:type="auto"/>
            <w:shd w:val="clear" w:color="auto" w:fill="auto"/>
          </w:tcPr>
          <w:p w14:paraId="3F94DD3F" w14:textId="77777777" w:rsidR="008C5CFA" w:rsidRPr="0024468B" w:rsidRDefault="008C5CFA" w:rsidP="00300A01">
            <w:pPr>
              <w:spacing w:before="0" w:after="0"/>
              <w:jc w:val="right"/>
              <w:rPr>
                <w:sz w:val="16"/>
                <w:szCs w:val="16"/>
                <w:lang w:val="fr-BE"/>
              </w:rPr>
            </w:pPr>
          </w:p>
        </w:tc>
        <w:tc>
          <w:tcPr>
            <w:tcW w:w="0" w:type="auto"/>
          </w:tcPr>
          <w:p w14:paraId="4CF88D48" w14:textId="77777777" w:rsidR="008C5CFA" w:rsidRPr="0024468B" w:rsidRDefault="008C5CFA" w:rsidP="00300A01">
            <w:pPr>
              <w:spacing w:before="0" w:after="0"/>
              <w:jc w:val="right"/>
              <w:rPr>
                <w:sz w:val="16"/>
                <w:szCs w:val="16"/>
                <w:lang w:val="fr-BE"/>
              </w:rPr>
            </w:pPr>
          </w:p>
        </w:tc>
        <w:tc>
          <w:tcPr>
            <w:tcW w:w="0" w:type="auto"/>
            <w:shd w:val="clear" w:color="auto" w:fill="auto"/>
          </w:tcPr>
          <w:p w14:paraId="7650E35C" w14:textId="77777777" w:rsidR="008C5CFA" w:rsidRPr="0024468B" w:rsidRDefault="00E82A60" w:rsidP="00300A01">
            <w:pPr>
              <w:spacing w:before="0" w:after="0"/>
              <w:jc w:val="right"/>
              <w:rPr>
                <w:sz w:val="16"/>
                <w:szCs w:val="16"/>
                <w:lang w:val="fr-BE"/>
              </w:rPr>
            </w:pPr>
            <w:r w:rsidRPr="0024468B">
              <w:rPr>
                <w:noProof/>
                <w:sz w:val="16"/>
                <w:szCs w:val="16"/>
                <w:lang w:val="fr-BE"/>
              </w:rPr>
              <w:t>37,53</w:t>
            </w:r>
          </w:p>
        </w:tc>
        <w:tc>
          <w:tcPr>
            <w:tcW w:w="0" w:type="auto"/>
            <w:shd w:val="clear" w:color="auto" w:fill="auto"/>
          </w:tcPr>
          <w:p w14:paraId="182F4952"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691C7CDE"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04EF45B1" w14:textId="77777777" w:rsidR="008C5CFA" w:rsidRPr="0024468B" w:rsidRDefault="008C5CFA" w:rsidP="00300A01">
            <w:pPr>
              <w:spacing w:before="0" w:after="0"/>
              <w:rPr>
                <w:sz w:val="16"/>
                <w:szCs w:val="16"/>
                <w:lang w:val="fr-BE"/>
              </w:rPr>
            </w:pPr>
          </w:p>
        </w:tc>
      </w:tr>
    </w:tbl>
    <w:p w14:paraId="4A165854" w14:textId="77777777" w:rsidR="008C5CFA" w:rsidRDefault="00E82A60" w:rsidP="00300A01">
      <w:pPr>
        <w:spacing w:before="0" w:after="0"/>
        <w:rPr>
          <w:lang w:val="fr-BE"/>
        </w:rPr>
      </w:pPr>
      <w:r>
        <w:rPr>
          <w:noProof/>
          <w:lang w:val="fr-BE"/>
        </w:rPr>
        <w:t>1) S=wartość skumulowana – produkty, które mają być zrealizowane poprzez wybrane operacje [prognoza przedstawiona przez beneficjentów], F=wartość skumulowana – produkty zrealizowane poprzez operacje [rzeczywiste wykonanie]</w:t>
      </w:r>
    </w:p>
    <w:p w14:paraId="564771A5"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01"/>
        <w:gridCol w:w="497"/>
        <w:gridCol w:w="4731"/>
        <w:gridCol w:w="1007"/>
        <w:gridCol w:w="1193"/>
        <w:gridCol w:w="1017"/>
        <w:gridCol w:w="1008"/>
        <w:gridCol w:w="1194"/>
        <w:gridCol w:w="1017"/>
        <w:gridCol w:w="1008"/>
        <w:gridCol w:w="1194"/>
        <w:gridCol w:w="1017"/>
      </w:tblGrid>
      <w:tr w:rsidR="006B2EC1" w14:paraId="25E73310" w14:textId="77777777" w:rsidTr="0047688D">
        <w:trPr>
          <w:tblHeader/>
        </w:trPr>
        <w:tc>
          <w:tcPr>
            <w:tcW w:w="0" w:type="auto"/>
          </w:tcPr>
          <w:p w14:paraId="0DDFACB3" w14:textId="77777777" w:rsidR="008C5CFA" w:rsidRPr="009143B4" w:rsidRDefault="00E82A60" w:rsidP="00300A01">
            <w:pPr>
              <w:spacing w:before="0" w:after="0"/>
              <w:rPr>
                <w:b/>
                <w:sz w:val="16"/>
                <w:szCs w:val="16"/>
                <w:lang w:val="fr-BE"/>
              </w:rPr>
            </w:pPr>
            <w:r w:rsidRPr="009143B4">
              <w:rPr>
                <w:b/>
                <w:sz w:val="16"/>
                <w:szCs w:val="16"/>
                <w:lang w:val="fr-BE"/>
              </w:rPr>
              <w:t>(1)</w:t>
            </w:r>
          </w:p>
        </w:tc>
        <w:tc>
          <w:tcPr>
            <w:tcW w:w="0" w:type="auto"/>
            <w:shd w:val="clear" w:color="auto" w:fill="auto"/>
          </w:tcPr>
          <w:p w14:paraId="58F0F5C4" w14:textId="77777777" w:rsidR="008C5CFA" w:rsidRPr="009143B4" w:rsidRDefault="00E82A60" w:rsidP="00300A01">
            <w:pPr>
              <w:spacing w:before="0" w:after="0"/>
              <w:rPr>
                <w:b/>
                <w:sz w:val="16"/>
                <w:szCs w:val="16"/>
                <w:lang w:val="fr-BE"/>
              </w:rPr>
            </w:pPr>
            <w:r w:rsidRPr="009143B4">
              <w:rPr>
                <w:b/>
                <w:noProof/>
                <w:sz w:val="16"/>
                <w:szCs w:val="16"/>
                <w:lang w:val="fr-BE"/>
              </w:rPr>
              <w:t>ID</w:t>
            </w:r>
          </w:p>
        </w:tc>
        <w:tc>
          <w:tcPr>
            <w:tcW w:w="0" w:type="auto"/>
            <w:shd w:val="clear" w:color="auto" w:fill="auto"/>
          </w:tcPr>
          <w:p w14:paraId="2F113686" w14:textId="77777777" w:rsidR="008C5CFA" w:rsidRPr="009143B4" w:rsidRDefault="00E82A60" w:rsidP="00300A01">
            <w:pPr>
              <w:spacing w:before="0" w:after="0"/>
              <w:rPr>
                <w:b/>
                <w:sz w:val="16"/>
                <w:szCs w:val="16"/>
                <w:lang w:val="fr-BE"/>
              </w:rPr>
            </w:pPr>
            <w:r w:rsidRPr="009143B4">
              <w:rPr>
                <w:b/>
                <w:noProof/>
                <w:sz w:val="16"/>
                <w:szCs w:val="16"/>
                <w:lang w:val="fr-BE"/>
              </w:rPr>
              <w:t>Wskaźnik</w:t>
            </w:r>
          </w:p>
        </w:tc>
        <w:tc>
          <w:tcPr>
            <w:tcW w:w="0" w:type="auto"/>
          </w:tcPr>
          <w:p w14:paraId="42656FBF" w14:textId="77777777" w:rsidR="008C5CFA" w:rsidRPr="009143B4" w:rsidRDefault="00E82A60" w:rsidP="00300A01">
            <w:pPr>
              <w:spacing w:before="0" w:after="0"/>
              <w:jc w:val="center"/>
              <w:rPr>
                <w:b/>
                <w:sz w:val="16"/>
                <w:szCs w:val="16"/>
                <w:lang w:val="fr-BE"/>
              </w:rPr>
            </w:pPr>
            <w:r>
              <w:rPr>
                <w:b/>
                <w:sz w:val="16"/>
                <w:szCs w:val="16"/>
                <w:lang w:val="fr-BE"/>
              </w:rPr>
              <w:t xml:space="preserve">2018 </w:t>
            </w:r>
            <w:r w:rsidRPr="009143B4">
              <w:rPr>
                <w:b/>
                <w:noProof/>
                <w:sz w:val="16"/>
                <w:szCs w:val="16"/>
                <w:lang w:val="fr-BE"/>
              </w:rPr>
              <w:t>Ogółem</w:t>
            </w:r>
          </w:p>
        </w:tc>
        <w:tc>
          <w:tcPr>
            <w:tcW w:w="0" w:type="auto"/>
          </w:tcPr>
          <w:p w14:paraId="487CCDA6" w14:textId="77777777" w:rsidR="008C5CFA" w:rsidRPr="009143B4" w:rsidRDefault="00E82A60" w:rsidP="00300A01">
            <w:pPr>
              <w:spacing w:before="0" w:after="0"/>
              <w:jc w:val="center"/>
              <w:rPr>
                <w:b/>
                <w:sz w:val="16"/>
                <w:szCs w:val="16"/>
                <w:lang w:val="fr-BE"/>
              </w:rPr>
            </w:pPr>
            <w:r>
              <w:rPr>
                <w:b/>
                <w:sz w:val="16"/>
                <w:szCs w:val="16"/>
                <w:lang w:val="fr-BE"/>
              </w:rPr>
              <w:t xml:space="preserve">2018 </w:t>
            </w:r>
            <w:r w:rsidRPr="009143B4">
              <w:rPr>
                <w:b/>
                <w:noProof/>
                <w:sz w:val="16"/>
                <w:szCs w:val="16"/>
                <w:lang w:val="fr-BE"/>
              </w:rPr>
              <w:t>Mężczyźni</w:t>
            </w:r>
          </w:p>
        </w:tc>
        <w:tc>
          <w:tcPr>
            <w:tcW w:w="0" w:type="auto"/>
          </w:tcPr>
          <w:p w14:paraId="76EA3C48" w14:textId="77777777" w:rsidR="008C5CFA" w:rsidRPr="009143B4" w:rsidRDefault="00E82A60" w:rsidP="00300A01">
            <w:pPr>
              <w:spacing w:before="0" w:after="0"/>
              <w:jc w:val="center"/>
              <w:rPr>
                <w:b/>
                <w:sz w:val="16"/>
                <w:szCs w:val="16"/>
                <w:lang w:val="fr-BE"/>
              </w:rPr>
            </w:pPr>
            <w:r>
              <w:rPr>
                <w:b/>
                <w:sz w:val="16"/>
                <w:szCs w:val="16"/>
                <w:lang w:val="fr-BE"/>
              </w:rPr>
              <w:t xml:space="preserve">2018 </w:t>
            </w:r>
            <w:r w:rsidRPr="009143B4">
              <w:rPr>
                <w:b/>
                <w:noProof/>
                <w:sz w:val="16"/>
                <w:szCs w:val="16"/>
                <w:lang w:val="fr-BE"/>
              </w:rPr>
              <w:t>Kobiety</w:t>
            </w:r>
          </w:p>
        </w:tc>
        <w:tc>
          <w:tcPr>
            <w:tcW w:w="0" w:type="auto"/>
          </w:tcPr>
          <w:p w14:paraId="13179457" w14:textId="77777777" w:rsidR="008C5CFA" w:rsidRPr="009143B4" w:rsidRDefault="00E82A60"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Ogółem</w:t>
            </w:r>
          </w:p>
        </w:tc>
        <w:tc>
          <w:tcPr>
            <w:tcW w:w="0" w:type="auto"/>
          </w:tcPr>
          <w:p w14:paraId="0AA27C97" w14:textId="77777777" w:rsidR="008C5CFA" w:rsidRPr="009143B4" w:rsidRDefault="00E82A60"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Mężczyźni</w:t>
            </w:r>
          </w:p>
        </w:tc>
        <w:tc>
          <w:tcPr>
            <w:tcW w:w="0" w:type="auto"/>
          </w:tcPr>
          <w:p w14:paraId="16925C10" w14:textId="77777777" w:rsidR="008C5CFA" w:rsidRPr="009143B4" w:rsidRDefault="00E82A60"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Kobiety</w:t>
            </w:r>
          </w:p>
        </w:tc>
        <w:tc>
          <w:tcPr>
            <w:tcW w:w="0" w:type="auto"/>
            <w:shd w:val="clear" w:color="auto" w:fill="auto"/>
          </w:tcPr>
          <w:p w14:paraId="07E295ED" w14:textId="77777777" w:rsidR="008C5CFA" w:rsidRPr="009143B4" w:rsidRDefault="00E82A60"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Ogółem</w:t>
            </w:r>
          </w:p>
        </w:tc>
        <w:tc>
          <w:tcPr>
            <w:tcW w:w="0" w:type="auto"/>
            <w:shd w:val="clear" w:color="auto" w:fill="auto"/>
          </w:tcPr>
          <w:p w14:paraId="1A9E5CD9" w14:textId="77777777" w:rsidR="008C5CFA" w:rsidRPr="009143B4" w:rsidRDefault="00E82A60"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Mężczyźni</w:t>
            </w:r>
          </w:p>
        </w:tc>
        <w:tc>
          <w:tcPr>
            <w:tcW w:w="0" w:type="auto"/>
            <w:shd w:val="clear" w:color="auto" w:fill="auto"/>
          </w:tcPr>
          <w:p w14:paraId="485CA9B4" w14:textId="77777777" w:rsidR="008C5CFA" w:rsidRPr="009143B4" w:rsidRDefault="00E82A60"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Kobiety</w:t>
            </w:r>
          </w:p>
        </w:tc>
      </w:tr>
      <w:tr w:rsidR="006B2EC1" w14:paraId="79C6D437" w14:textId="77777777" w:rsidTr="0047688D">
        <w:tc>
          <w:tcPr>
            <w:tcW w:w="0" w:type="auto"/>
          </w:tcPr>
          <w:p w14:paraId="319EAA08" w14:textId="77777777" w:rsidR="008C5CFA" w:rsidRPr="0024468B" w:rsidRDefault="00E82A60" w:rsidP="00300A01">
            <w:pPr>
              <w:spacing w:before="0" w:after="0"/>
              <w:rPr>
                <w:sz w:val="16"/>
                <w:szCs w:val="16"/>
                <w:lang w:val="fr-BE"/>
              </w:rPr>
            </w:pPr>
            <w:r>
              <w:rPr>
                <w:noProof/>
                <w:sz w:val="16"/>
                <w:szCs w:val="16"/>
                <w:lang w:val="fr-BE"/>
              </w:rPr>
              <w:t>F</w:t>
            </w:r>
          </w:p>
        </w:tc>
        <w:tc>
          <w:tcPr>
            <w:tcW w:w="0" w:type="auto"/>
            <w:shd w:val="clear" w:color="auto" w:fill="auto"/>
          </w:tcPr>
          <w:p w14:paraId="2EEDB7BE" w14:textId="77777777" w:rsidR="008C5CFA" w:rsidRPr="0024468B" w:rsidRDefault="00E82A60" w:rsidP="00300A01">
            <w:pPr>
              <w:spacing w:before="0" w:after="0"/>
              <w:rPr>
                <w:sz w:val="16"/>
                <w:szCs w:val="16"/>
                <w:lang w:val="fr-BE"/>
              </w:rPr>
            </w:pPr>
            <w:r w:rsidRPr="0024468B">
              <w:rPr>
                <w:noProof/>
                <w:sz w:val="16"/>
                <w:szCs w:val="16"/>
                <w:lang w:val="fr-BE"/>
              </w:rPr>
              <w:t>CO14</w:t>
            </w:r>
          </w:p>
        </w:tc>
        <w:tc>
          <w:tcPr>
            <w:tcW w:w="0" w:type="auto"/>
            <w:shd w:val="clear" w:color="auto" w:fill="auto"/>
          </w:tcPr>
          <w:p w14:paraId="70AECEC2" w14:textId="77777777" w:rsidR="008C5CFA" w:rsidRPr="0024468B" w:rsidRDefault="00E82A60" w:rsidP="00300A01">
            <w:pPr>
              <w:spacing w:before="0" w:after="0"/>
              <w:rPr>
                <w:sz w:val="16"/>
                <w:szCs w:val="16"/>
                <w:lang w:val="fr-BE"/>
              </w:rPr>
            </w:pPr>
            <w:r w:rsidRPr="0024468B">
              <w:rPr>
                <w:noProof/>
                <w:sz w:val="16"/>
                <w:szCs w:val="16"/>
                <w:lang w:val="fr-BE"/>
              </w:rPr>
              <w:t>Drogi: całkowita długość przebudowanych lub zmodernizowanych dróg</w:t>
            </w:r>
          </w:p>
        </w:tc>
        <w:tc>
          <w:tcPr>
            <w:tcW w:w="0" w:type="auto"/>
          </w:tcPr>
          <w:p w14:paraId="7D3EE767" w14:textId="77777777" w:rsidR="008C5CFA" w:rsidRPr="0024468B" w:rsidRDefault="00E82A60" w:rsidP="00300A01">
            <w:pPr>
              <w:spacing w:before="0" w:after="0"/>
              <w:jc w:val="right"/>
              <w:rPr>
                <w:sz w:val="16"/>
                <w:szCs w:val="16"/>
                <w:lang w:val="fr-BE"/>
              </w:rPr>
            </w:pPr>
            <w:r w:rsidRPr="0024468B">
              <w:rPr>
                <w:noProof/>
                <w:sz w:val="16"/>
                <w:szCs w:val="16"/>
                <w:lang w:val="fr-BE"/>
              </w:rPr>
              <w:t>33,12</w:t>
            </w:r>
          </w:p>
        </w:tc>
        <w:tc>
          <w:tcPr>
            <w:tcW w:w="0" w:type="auto"/>
          </w:tcPr>
          <w:p w14:paraId="71404F3A"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4B2C6B2A"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02181748" w14:textId="77777777" w:rsidR="008C5CFA" w:rsidRPr="0024468B" w:rsidRDefault="00E82A60" w:rsidP="00300A01">
            <w:pPr>
              <w:spacing w:before="0" w:after="0"/>
              <w:jc w:val="right"/>
              <w:rPr>
                <w:sz w:val="16"/>
                <w:szCs w:val="16"/>
                <w:lang w:val="fr-BE"/>
              </w:rPr>
            </w:pPr>
            <w:r w:rsidRPr="0024468B">
              <w:rPr>
                <w:noProof/>
                <w:sz w:val="16"/>
                <w:szCs w:val="16"/>
                <w:lang w:val="fr-BE"/>
              </w:rPr>
              <w:t>1,65</w:t>
            </w:r>
          </w:p>
        </w:tc>
        <w:tc>
          <w:tcPr>
            <w:tcW w:w="0" w:type="auto"/>
          </w:tcPr>
          <w:p w14:paraId="7141E3A5"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07C71D85"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7CC422FF"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0B7F8CDF"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374C00C8"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r w:rsidR="006B2EC1" w14:paraId="4E3745DF" w14:textId="77777777" w:rsidTr="0047688D">
        <w:tc>
          <w:tcPr>
            <w:tcW w:w="0" w:type="auto"/>
          </w:tcPr>
          <w:p w14:paraId="5BC840D5" w14:textId="77777777" w:rsidR="008C5CFA" w:rsidRPr="0024468B" w:rsidRDefault="00E82A60" w:rsidP="00300A01">
            <w:pPr>
              <w:spacing w:before="0" w:after="0"/>
              <w:rPr>
                <w:sz w:val="16"/>
                <w:szCs w:val="16"/>
                <w:lang w:val="fr-BE"/>
              </w:rPr>
            </w:pPr>
            <w:r>
              <w:rPr>
                <w:noProof/>
                <w:sz w:val="16"/>
                <w:szCs w:val="16"/>
                <w:lang w:val="fr-BE"/>
              </w:rPr>
              <w:t>S</w:t>
            </w:r>
          </w:p>
        </w:tc>
        <w:tc>
          <w:tcPr>
            <w:tcW w:w="0" w:type="auto"/>
            <w:shd w:val="clear" w:color="auto" w:fill="auto"/>
          </w:tcPr>
          <w:p w14:paraId="2C6C1926" w14:textId="77777777" w:rsidR="008C5CFA" w:rsidRPr="0024468B" w:rsidRDefault="00E82A60" w:rsidP="00300A01">
            <w:pPr>
              <w:spacing w:before="0" w:after="0"/>
              <w:rPr>
                <w:sz w:val="16"/>
                <w:szCs w:val="16"/>
                <w:lang w:val="fr-BE"/>
              </w:rPr>
            </w:pPr>
            <w:r w:rsidRPr="0024468B">
              <w:rPr>
                <w:noProof/>
                <w:sz w:val="16"/>
                <w:szCs w:val="16"/>
                <w:lang w:val="fr-BE"/>
              </w:rPr>
              <w:t>CO14</w:t>
            </w:r>
          </w:p>
        </w:tc>
        <w:tc>
          <w:tcPr>
            <w:tcW w:w="0" w:type="auto"/>
            <w:shd w:val="clear" w:color="auto" w:fill="auto"/>
          </w:tcPr>
          <w:p w14:paraId="4A0DA49D" w14:textId="77777777" w:rsidR="008C5CFA" w:rsidRPr="0024468B" w:rsidRDefault="00E82A60" w:rsidP="00300A01">
            <w:pPr>
              <w:spacing w:before="0" w:after="0"/>
              <w:rPr>
                <w:sz w:val="16"/>
                <w:szCs w:val="16"/>
                <w:lang w:val="fr-BE"/>
              </w:rPr>
            </w:pPr>
            <w:r w:rsidRPr="0024468B">
              <w:rPr>
                <w:noProof/>
                <w:sz w:val="16"/>
                <w:szCs w:val="16"/>
                <w:lang w:val="fr-BE"/>
              </w:rPr>
              <w:t>Drogi: całkowita długość przebudowanych lub zmodernizowanych dróg</w:t>
            </w:r>
          </w:p>
        </w:tc>
        <w:tc>
          <w:tcPr>
            <w:tcW w:w="0" w:type="auto"/>
          </w:tcPr>
          <w:p w14:paraId="087104C3" w14:textId="77777777" w:rsidR="008C5CFA" w:rsidRPr="0024468B" w:rsidRDefault="00E82A60" w:rsidP="00300A01">
            <w:pPr>
              <w:spacing w:before="0" w:after="0"/>
              <w:jc w:val="right"/>
              <w:rPr>
                <w:sz w:val="16"/>
                <w:szCs w:val="16"/>
                <w:lang w:val="fr-BE"/>
              </w:rPr>
            </w:pPr>
            <w:r w:rsidRPr="0024468B">
              <w:rPr>
                <w:noProof/>
                <w:sz w:val="16"/>
                <w:szCs w:val="16"/>
                <w:lang w:val="fr-BE"/>
              </w:rPr>
              <w:t>60,92</w:t>
            </w:r>
          </w:p>
        </w:tc>
        <w:tc>
          <w:tcPr>
            <w:tcW w:w="0" w:type="auto"/>
          </w:tcPr>
          <w:p w14:paraId="72D06BA1"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40BDE192"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4F836F09" w14:textId="77777777" w:rsidR="008C5CFA" w:rsidRPr="0024468B" w:rsidRDefault="00E82A60" w:rsidP="00300A01">
            <w:pPr>
              <w:spacing w:before="0" w:after="0"/>
              <w:jc w:val="right"/>
              <w:rPr>
                <w:sz w:val="16"/>
                <w:szCs w:val="16"/>
                <w:lang w:val="fr-BE"/>
              </w:rPr>
            </w:pPr>
            <w:r w:rsidRPr="0024468B">
              <w:rPr>
                <w:noProof/>
                <w:sz w:val="16"/>
                <w:szCs w:val="16"/>
                <w:lang w:val="fr-BE"/>
              </w:rPr>
              <w:t>44,96</w:t>
            </w:r>
          </w:p>
        </w:tc>
        <w:tc>
          <w:tcPr>
            <w:tcW w:w="0" w:type="auto"/>
          </w:tcPr>
          <w:p w14:paraId="004793AD"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54F8FA6F"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6EAC6311" w14:textId="77777777" w:rsidR="008C5CFA" w:rsidRPr="0024468B" w:rsidRDefault="00E82A60" w:rsidP="00300A01">
            <w:pPr>
              <w:spacing w:before="0" w:after="0"/>
              <w:jc w:val="right"/>
              <w:rPr>
                <w:sz w:val="16"/>
                <w:szCs w:val="16"/>
                <w:lang w:val="fr-BE"/>
              </w:rPr>
            </w:pPr>
            <w:r w:rsidRPr="0024468B">
              <w:rPr>
                <w:noProof/>
                <w:sz w:val="16"/>
                <w:szCs w:val="16"/>
                <w:lang w:val="fr-BE"/>
              </w:rPr>
              <w:t>1,65</w:t>
            </w:r>
          </w:p>
        </w:tc>
        <w:tc>
          <w:tcPr>
            <w:tcW w:w="0" w:type="auto"/>
            <w:shd w:val="clear" w:color="auto" w:fill="auto"/>
          </w:tcPr>
          <w:p w14:paraId="66617D3B"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450E3C97"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r w:rsidR="006B2EC1" w14:paraId="5CA96892" w14:textId="77777777" w:rsidTr="0047688D">
        <w:tc>
          <w:tcPr>
            <w:tcW w:w="0" w:type="auto"/>
          </w:tcPr>
          <w:p w14:paraId="39804DC2" w14:textId="77777777" w:rsidR="008C5CFA" w:rsidRPr="0024468B" w:rsidRDefault="00E82A60" w:rsidP="00300A01">
            <w:pPr>
              <w:spacing w:before="0" w:after="0"/>
              <w:rPr>
                <w:sz w:val="16"/>
                <w:szCs w:val="16"/>
                <w:lang w:val="fr-BE"/>
              </w:rPr>
            </w:pPr>
            <w:r>
              <w:rPr>
                <w:noProof/>
                <w:sz w:val="16"/>
                <w:szCs w:val="16"/>
                <w:lang w:val="fr-BE"/>
              </w:rPr>
              <w:t>F</w:t>
            </w:r>
          </w:p>
        </w:tc>
        <w:tc>
          <w:tcPr>
            <w:tcW w:w="0" w:type="auto"/>
            <w:shd w:val="clear" w:color="auto" w:fill="auto"/>
          </w:tcPr>
          <w:p w14:paraId="0A33EBD7" w14:textId="77777777" w:rsidR="008C5CFA" w:rsidRPr="0024468B" w:rsidRDefault="00E82A60" w:rsidP="00300A01">
            <w:pPr>
              <w:spacing w:before="0" w:after="0"/>
              <w:rPr>
                <w:sz w:val="16"/>
                <w:szCs w:val="16"/>
                <w:lang w:val="fr-BE"/>
              </w:rPr>
            </w:pPr>
            <w:r>
              <w:rPr>
                <w:noProof/>
                <w:sz w:val="16"/>
                <w:szCs w:val="16"/>
                <w:lang w:val="fr-BE"/>
              </w:rPr>
              <w:t>147</w:t>
            </w:r>
          </w:p>
        </w:tc>
        <w:tc>
          <w:tcPr>
            <w:tcW w:w="0" w:type="auto"/>
            <w:shd w:val="clear" w:color="auto" w:fill="auto"/>
          </w:tcPr>
          <w:p w14:paraId="04EB3ADA" w14:textId="77777777" w:rsidR="008C5CFA" w:rsidRPr="0024468B" w:rsidRDefault="00E82A60" w:rsidP="00300A01">
            <w:pPr>
              <w:spacing w:before="0" w:after="0"/>
              <w:rPr>
                <w:sz w:val="16"/>
                <w:szCs w:val="16"/>
                <w:lang w:val="fr-BE"/>
              </w:rPr>
            </w:pPr>
            <w:r>
              <w:rPr>
                <w:noProof/>
                <w:sz w:val="16"/>
                <w:szCs w:val="16"/>
                <w:lang w:val="fr-BE"/>
              </w:rPr>
              <w:t>Całkowita długość nowych dróg</w:t>
            </w:r>
          </w:p>
        </w:tc>
        <w:tc>
          <w:tcPr>
            <w:tcW w:w="0" w:type="auto"/>
          </w:tcPr>
          <w:p w14:paraId="4F3D62F5"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010A3FD4"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013F4DEF"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749D79DA"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58589617"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5982E59E"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0DAFC282"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2AC59C1E"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7A02E8C9"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r w:rsidR="006B2EC1" w14:paraId="2BEDD725" w14:textId="77777777" w:rsidTr="0047688D">
        <w:tc>
          <w:tcPr>
            <w:tcW w:w="0" w:type="auto"/>
          </w:tcPr>
          <w:p w14:paraId="6A1D8520" w14:textId="77777777" w:rsidR="008C5CFA" w:rsidRPr="0024468B" w:rsidRDefault="00E82A60" w:rsidP="00300A01">
            <w:pPr>
              <w:spacing w:before="0" w:after="0"/>
              <w:rPr>
                <w:sz w:val="16"/>
                <w:szCs w:val="16"/>
                <w:lang w:val="fr-BE"/>
              </w:rPr>
            </w:pPr>
            <w:r>
              <w:rPr>
                <w:noProof/>
                <w:sz w:val="16"/>
                <w:szCs w:val="16"/>
                <w:lang w:val="fr-BE"/>
              </w:rPr>
              <w:t>S</w:t>
            </w:r>
          </w:p>
        </w:tc>
        <w:tc>
          <w:tcPr>
            <w:tcW w:w="0" w:type="auto"/>
            <w:shd w:val="clear" w:color="auto" w:fill="auto"/>
          </w:tcPr>
          <w:p w14:paraId="0988FF89" w14:textId="77777777" w:rsidR="008C5CFA" w:rsidRPr="0024468B" w:rsidRDefault="00E82A60" w:rsidP="00300A01">
            <w:pPr>
              <w:spacing w:before="0" w:after="0"/>
              <w:rPr>
                <w:sz w:val="16"/>
                <w:szCs w:val="16"/>
                <w:lang w:val="fr-BE"/>
              </w:rPr>
            </w:pPr>
            <w:r>
              <w:rPr>
                <w:noProof/>
                <w:sz w:val="16"/>
                <w:szCs w:val="16"/>
                <w:lang w:val="fr-BE"/>
              </w:rPr>
              <w:t>147</w:t>
            </w:r>
          </w:p>
        </w:tc>
        <w:tc>
          <w:tcPr>
            <w:tcW w:w="0" w:type="auto"/>
            <w:shd w:val="clear" w:color="auto" w:fill="auto"/>
          </w:tcPr>
          <w:p w14:paraId="67BFD540" w14:textId="77777777" w:rsidR="008C5CFA" w:rsidRPr="0024468B" w:rsidRDefault="00E82A60" w:rsidP="00300A01">
            <w:pPr>
              <w:spacing w:before="0" w:after="0"/>
              <w:rPr>
                <w:sz w:val="16"/>
                <w:szCs w:val="16"/>
                <w:lang w:val="fr-BE"/>
              </w:rPr>
            </w:pPr>
            <w:r>
              <w:rPr>
                <w:noProof/>
                <w:sz w:val="16"/>
                <w:szCs w:val="16"/>
                <w:lang w:val="fr-BE"/>
              </w:rPr>
              <w:t>Całkowita długość nowych dróg</w:t>
            </w:r>
          </w:p>
        </w:tc>
        <w:tc>
          <w:tcPr>
            <w:tcW w:w="0" w:type="auto"/>
          </w:tcPr>
          <w:p w14:paraId="4564F814" w14:textId="77777777" w:rsidR="008C5CFA" w:rsidRPr="0024468B" w:rsidRDefault="00E82A60" w:rsidP="00300A01">
            <w:pPr>
              <w:spacing w:before="0" w:after="0"/>
              <w:jc w:val="right"/>
              <w:rPr>
                <w:sz w:val="16"/>
                <w:szCs w:val="16"/>
                <w:lang w:val="fr-BE"/>
              </w:rPr>
            </w:pPr>
            <w:r w:rsidRPr="0024468B">
              <w:rPr>
                <w:noProof/>
                <w:sz w:val="16"/>
                <w:szCs w:val="16"/>
                <w:lang w:val="fr-BE"/>
              </w:rPr>
              <w:t>33,96</w:t>
            </w:r>
          </w:p>
        </w:tc>
        <w:tc>
          <w:tcPr>
            <w:tcW w:w="0" w:type="auto"/>
          </w:tcPr>
          <w:p w14:paraId="4D8DEC75"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58B5327F"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3A5F24DA"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6F159C8E"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2B23D9DD"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1969CAE1"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0A98DA2E"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24F6D248"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bl>
    <w:p w14:paraId="5E6368C0"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82"/>
        <w:gridCol w:w="630"/>
        <w:gridCol w:w="6006"/>
        <w:gridCol w:w="1279"/>
        <w:gridCol w:w="1514"/>
        <w:gridCol w:w="1290"/>
        <w:gridCol w:w="1279"/>
        <w:gridCol w:w="1514"/>
        <w:gridCol w:w="1290"/>
      </w:tblGrid>
      <w:tr w:rsidR="006B2EC1" w14:paraId="5C625758" w14:textId="77777777" w:rsidTr="0047688D">
        <w:trPr>
          <w:tblHeader/>
        </w:trPr>
        <w:tc>
          <w:tcPr>
            <w:tcW w:w="0" w:type="auto"/>
          </w:tcPr>
          <w:p w14:paraId="26B68470" w14:textId="77777777" w:rsidR="008C5CFA" w:rsidRPr="009143B4" w:rsidRDefault="00E82A60" w:rsidP="00300A01">
            <w:pPr>
              <w:spacing w:before="0" w:after="0"/>
              <w:rPr>
                <w:b/>
                <w:sz w:val="16"/>
                <w:szCs w:val="16"/>
                <w:lang w:val="fr-BE"/>
              </w:rPr>
            </w:pPr>
            <w:r w:rsidRPr="009143B4">
              <w:rPr>
                <w:b/>
                <w:sz w:val="16"/>
                <w:szCs w:val="16"/>
                <w:lang w:val="fr-BE"/>
              </w:rPr>
              <w:t>(1)</w:t>
            </w:r>
          </w:p>
        </w:tc>
        <w:tc>
          <w:tcPr>
            <w:tcW w:w="0" w:type="auto"/>
            <w:shd w:val="clear" w:color="auto" w:fill="auto"/>
          </w:tcPr>
          <w:p w14:paraId="43038BBD" w14:textId="77777777" w:rsidR="008C5CFA" w:rsidRPr="009143B4" w:rsidRDefault="00E82A60" w:rsidP="00300A01">
            <w:pPr>
              <w:spacing w:before="0" w:after="0"/>
              <w:rPr>
                <w:b/>
                <w:sz w:val="16"/>
                <w:szCs w:val="16"/>
                <w:lang w:val="fr-BE"/>
              </w:rPr>
            </w:pPr>
            <w:r w:rsidRPr="009143B4">
              <w:rPr>
                <w:b/>
                <w:noProof/>
                <w:sz w:val="16"/>
                <w:szCs w:val="16"/>
                <w:lang w:val="fr-BE"/>
              </w:rPr>
              <w:t>ID</w:t>
            </w:r>
          </w:p>
        </w:tc>
        <w:tc>
          <w:tcPr>
            <w:tcW w:w="0" w:type="auto"/>
            <w:shd w:val="clear" w:color="auto" w:fill="auto"/>
          </w:tcPr>
          <w:p w14:paraId="7A149D56" w14:textId="77777777" w:rsidR="008C5CFA" w:rsidRPr="009143B4" w:rsidRDefault="00E82A60" w:rsidP="00300A01">
            <w:pPr>
              <w:spacing w:before="0" w:after="0"/>
              <w:rPr>
                <w:b/>
                <w:sz w:val="16"/>
                <w:szCs w:val="16"/>
                <w:lang w:val="fr-BE"/>
              </w:rPr>
            </w:pPr>
            <w:r w:rsidRPr="009143B4">
              <w:rPr>
                <w:b/>
                <w:noProof/>
                <w:sz w:val="16"/>
                <w:szCs w:val="16"/>
                <w:lang w:val="fr-BE"/>
              </w:rPr>
              <w:t>Wskaźnik</w:t>
            </w:r>
          </w:p>
        </w:tc>
        <w:tc>
          <w:tcPr>
            <w:tcW w:w="0" w:type="auto"/>
          </w:tcPr>
          <w:p w14:paraId="03E4D79E" w14:textId="77777777" w:rsidR="008C5CFA" w:rsidRPr="009143B4" w:rsidRDefault="00E82A60"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Ogółem</w:t>
            </w:r>
          </w:p>
        </w:tc>
        <w:tc>
          <w:tcPr>
            <w:tcW w:w="0" w:type="auto"/>
          </w:tcPr>
          <w:p w14:paraId="7D30871C" w14:textId="77777777" w:rsidR="008C5CFA" w:rsidRPr="009143B4" w:rsidRDefault="00E82A60"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Mężczyźni</w:t>
            </w:r>
          </w:p>
        </w:tc>
        <w:tc>
          <w:tcPr>
            <w:tcW w:w="0" w:type="auto"/>
          </w:tcPr>
          <w:p w14:paraId="49BC3EA6" w14:textId="77777777" w:rsidR="008C5CFA" w:rsidRPr="009143B4" w:rsidRDefault="00E82A60"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Kobiety</w:t>
            </w:r>
          </w:p>
        </w:tc>
        <w:tc>
          <w:tcPr>
            <w:tcW w:w="0" w:type="auto"/>
            <w:shd w:val="clear" w:color="auto" w:fill="auto"/>
          </w:tcPr>
          <w:p w14:paraId="55BC3B59" w14:textId="77777777" w:rsidR="008C5CFA" w:rsidRPr="009143B4" w:rsidRDefault="00E82A60"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Ogółem</w:t>
            </w:r>
          </w:p>
        </w:tc>
        <w:tc>
          <w:tcPr>
            <w:tcW w:w="0" w:type="auto"/>
            <w:shd w:val="clear" w:color="auto" w:fill="auto"/>
          </w:tcPr>
          <w:p w14:paraId="313DA564" w14:textId="77777777" w:rsidR="008C5CFA" w:rsidRPr="009143B4" w:rsidRDefault="00E82A60"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Mężczyźni</w:t>
            </w:r>
          </w:p>
        </w:tc>
        <w:tc>
          <w:tcPr>
            <w:tcW w:w="0" w:type="auto"/>
            <w:shd w:val="clear" w:color="auto" w:fill="auto"/>
          </w:tcPr>
          <w:p w14:paraId="24FEC1ED" w14:textId="77777777" w:rsidR="008C5CFA" w:rsidRPr="009143B4" w:rsidRDefault="00E82A60"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Kobiety</w:t>
            </w:r>
          </w:p>
        </w:tc>
      </w:tr>
      <w:tr w:rsidR="006B2EC1" w14:paraId="7C3CAB1D" w14:textId="77777777" w:rsidTr="0047688D">
        <w:tc>
          <w:tcPr>
            <w:tcW w:w="0" w:type="auto"/>
          </w:tcPr>
          <w:p w14:paraId="43BDB84A" w14:textId="77777777" w:rsidR="008C5CFA" w:rsidRPr="0024468B" w:rsidRDefault="00E82A60" w:rsidP="00300A01">
            <w:pPr>
              <w:spacing w:before="0" w:after="0"/>
              <w:rPr>
                <w:sz w:val="16"/>
                <w:szCs w:val="16"/>
                <w:lang w:val="fr-BE"/>
              </w:rPr>
            </w:pPr>
            <w:r>
              <w:rPr>
                <w:noProof/>
                <w:sz w:val="16"/>
                <w:szCs w:val="16"/>
                <w:lang w:val="fr-BE"/>
              </w:rPr>
              <w:t>F</w:t>
            </w:r>
          </w:p>
        </w:tc>
        <w:tc>
          <w:tcPr>
            <w:tcW w:w="0" w:type="auto"/>
            <w:shd w:val="clear" w:color="auto" w:fill="auto"/>
          </w:tcPr>
          <w:p w14:paraId="6053C93F" w14:textId="77777777" w:rsidR="008C5CFA" w:rsidRPr="0024468B" w:rsidRDefault="00E82A60" w:rsidP="00300A01">
            <w:pPr>
              <w:spacing w:before="0" w:after="0"/>
              <w:rPr>
                <w:sz w:val="16"/>
                <w:szCs w:val="16"/>
                <w:lang w:val="fr-BE"/>
              </w:rPr>
            </w:pPr>
            <w:r w:rsidRPr="0024468B">
              <w:rPr>
                <w:noProof/>
                <w:sz w:val="16"/>
                <w:szCs w:val="16"/>
                <w:lang w:val="fr-BE"/>
              </w:rPr>
              <w:t>CO14</w:t>
            </w:r>
          </w:p>
        </w:tc>
        <w:tc>
          <w:tcPr>
            <w:tcW w:w="0" w:type="auto"/>
            <w:shd w:val="clear" w:color="auto" w:fill="auto"/>
          </w:tcPr>
          <w:p w14:paraId="095C51FA" w14:textId="77777777" w:rsidR="008C5CFA" w:rsidRPr="0024468B" w:rsidRDefault="00E82A60" w:rsidP="00300A01">
            <w:pPr>
              <w:spacing w:before="0" w:after="0"/>
              <w:rPr>
                <w:sz w:val="16"/>
                <w:szCs w:val="16"/>
                <w:lang w:val="fr-BE"/>
              </w:rPr>
            </w:pPr>
            <w:r w:rsidRPr="0024468B">
              <w:rPr>
                <w:noProof/>
                <w:sz w:val="16"/>
                <w:szCs w:val="16"/>
                <w:lang w:val="fr-BE"/>
              </w:rPr>
              <w:t>Drogi: całkowita długość przebudowanych lub zmodernizowanych dróg</w:t>
            </w:r>
          </w:p>
        </w:tc>
        <w:tc>
          <w:tcPr>
            <w:tcW w:w="0" w:type="auto"/>
          </w:tcPr>
          <w:p w14:paraId="35C1A05D"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6031E0A2"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74838050"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73DE789E"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38C63378"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26B155FE"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r w:rsidR="006B2EC1" w14:paraId="06781138" w14:textId="77777777" w:rsidTr="0047688D">
        <w:tc>
          <w:tcPr>
            <w:tcW w:w="0" w:type="auto"/>
          </w:tcPr>
          <w:p w14:paraId="3E7D806E" w14:textId="77777777" w:rsidR="008C5CFA" w:rsidRPr="0024468B" w:rsidRDefault="00E82A60" w:rsidP="00300A01">
            <w:pPr>
              <w:spacing w:before="0" w:after="0"/>
              <w:rPr>
                <w:sz w:val="16"/>
                <w:szCs w:val="16"/>
                <w:lang w:val="fr-BE"/>
              </w:rPr>
            </w:pPr>
            <w:r>
              <w:rPr>
                <w:noProof/>
                <w:sz w:val="16"/>
                <w:szCs w:val="16"/>
                <w:lang w:val="fr-BE"/>
              </w:rPr>
              <w:t>S</w:t>
            </w:r>
          </w:p>
        </w:tc>
        <w:tc>
          <w:tcPr>
            <w:tcW w:w="0" w:type="auto"/>
            <w:shd w:val="clear" w:color="auto" w:fill="auto"/>
          </w:tcPr>
          <w:p w14:paraId="6FB4D067" w14:textId="77777777" w:rsidR="008C5CFA" w:rsidRPr="0024468B" w:rsidRDefault="00E82A60" w:rsidP="00300A01">
            <w:pPr>
              <w:spacing w:before="0" w:after="0"/>
              <w:rPr>
                <w:sz w:val="16"/>
                <w:szCs w:val="16"/>
                <w:lang w:val="fr-BE"/>
              </w:rPr>
            </w:pPr>
            <w:r w:rsidRPr="0024468B">
              <w:rPr>
                <w:noProof/>
                <w:sz w:val="16"/>
                <w:szCs w:val="16"/>
                <w:lang w:val="fr-BE"/>
              </w:rPr>
              <w:t>CO14</w:t>
            </w:r>
          </w:p>
        </w:tc>
        <w:tc>
          <w:tcPr>
            <w:tcW w:w="0" w:type="auto"/>
            <w:shd w:val="clear" w:color="auto" w:fill="auto"/>
          </w:tcPr>
          <w:p w14:paraId="06ABF476" w14:textId="77777777" w:rsidR="008C5CFA" w:rsidRPr="0024468B" w:rsidRDefault="00E82A60" w:rsidP="00300A01">
            <w:pPr>
              <w:spacing w:before="0" w:after="0"/>
              <w:rPr>
                <w:sz w:val="16"/>
                <w:szCs w:val="16"/>
                <w:lang w:val="fr-BE"/>
              </w:rPr>
            </w:pPr>
            <w:r w:rsidRPr="0024468B">
              <w:rPr>
                <w:noProof/>
                <w:sz w:val="16"/>
                <w:szCs w:val="16"/>
                <w:lang w:val="fr-BE"/>
              </w:rPr>
              <w:t>Drogi: całkowita długość przebudowanych lub zmodernizowanych dróg</w:t>
            </w:r>
          </w:p>
        </w:tc>
        <w:tc>
          <w:tcPr>
            <w:tcW w:w="0" w:type="auto"/>
          </w:tcPr>
          <w:p w14:paraId="0DCDFBDB"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3243C1BF"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6C6C9746"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1CF43EEF"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611F1CE1"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01A3DD93"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r w:rsidR="006B2EC1" w14:paraId="4F7A39DB" w14:textId="77777777" w:rsidTr="0047688D">
        <w:tc>
          <w:tcPr>
            <w:tcW w:w="0" w:type="auto"/>
          </w:tcPr>
          <w:p w14:paraId="47394964" w14:textId="77777777" w:rsidR="008C5CFA" w:rsidRPr="0024468B" w:rsidRDefault="00E82A60" w:rsidP="00300A01">
            <w:pPr>
              <w:spacing w:before="0" w:after="0"/>
              <w:rPr>
                <w:sz w:val="16"/>
                <w:szCs w:val="16"/>
                <w:lang w:val="fr-BE"/>
              </w:rPr>
            </w:pPr>
            <w:r>
              <w:rPr>
                <w:noProof/>
                <w:sz w:val="16"/>
                <w:szCs w:val="16"/>
                <w:lang w:val="fr-BE"/>
              </w:rPr>
              <w:t>F</w:t>
            </w:r>
          </w:p>
        </w:tc>
        <w:tc>
          <w:tcPr>
            <w:tcW w:w="0" w:type="auto"/>
            <w:shd w:val="clear" w:color="auto" w:fill="auto"/>
          </w:tcPr>
          <w:p w14:paraId="7BC16191" w14:textId="77777777" w:rsidR="008C5CFA" w:rsidRPr="0024468B" w:rsidRDefault="00E82A60" w:rsidP="00300A01">
            <w:pPr>
              <w:spacing w:before="0" w:after="0"/>
              <w:rPr>
                <w:sz w:val="16"/>
                <w:szCs w:val="16"/>
                <w:lang w:val="fr-BE"/>
              </w:rPr>
            </w:pPr>
            <w:r>
              <w:rPr>
                <w:noProof/>
                <w:sz w:val="16"/>
                <w:szCs w:val="16"/>
                <w:lang w:val="fr-BE"/>
              </w:rPr>
              <w:t>147</w:t>
            </w:r>
          </w:p>
        </w:tc>
        <w:tc>
          <w:tcPr>
            <w:tcW w:w="0" w:type="auto"/>
            <w:shd w:val="clear" w:color="auto" w:fill="auto"/>
          </w:tcPr>
          <w:p w14:paraId="44C8E944" w14:textId="77777777" w:rsidR="008C5CFA" w:rsidRPr="0024468B" w:rsidRDefault="00E82A60" w:rsidP="00300A01">
            <w:pPr>
              <w:spacing w:before="0" w:after="0"/>
              <w:rPr>
                <w:sz w:val="16"/>
                <w:szCs w:val="16"/>
                <w:lang w:val="fr-BE"/>
              </w:rPr>
            </w:pPr>
            <w:r>
              <w:rPr>
                <w:noProof/>
                <w:sz w:val="16"/>
                <w:szCs w:val="16"/>
                <w:lang w:val="fr-BE"/>
              </w:rPr>
              <w:t>Całkowita długość nowych dróg</w:t>
            </w:r>
          </w:p>
        </w:tc>
        <w:tc>
          <w:tcPr>
            <w:tcW w:w="0" w:type="auto"/>
          </w:tcPr>
          <w:p w14:paraId="6AA9BDA0"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0CDCA0DC"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0713C376"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1C3E2770"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177BB58D"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7FF0AF18"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r w:rsidR="006B2EC1" w14:paraId="1835CD51" w14:textId="77777777" w:rsidTr="0047688D">
        <w:tc>
          <w:tcPr>
            <w:tcW w:w="0" w:type="auto"/>
          </w:tcPr>
          <w:p w14:paraId="1F0A766E" w14:textId="77777777" w:rsidR="008C5CFA" w:rsidRPr="0024468B" w:rsidRDefault="00E82A60" w:rsidP="00300A01">
            <w:pPr>
              <w:spacing w:before="0" w:after="0"/>
              <w:rPr>
                <w:sz w:val="16"/>
                <w:szCs w:val="16"/>
                <w:lang w:val="fr-BE"/>
              </w:rPr>
            </w:pPr>
            <w:r>
              <w:rPr>
                <w:noProof/>
                <w:sz w:val="16"/>
                <w:szCs w:val="16"/>
                <w:lang w:val="fr-BE"/>
              </w:rPr>
              <w:t>S</w:t>
            </w:r>
          </w:p>
        </w:tc>
        <w:tc>
          <w:tcPr>
            <w:tcW w:w="0" w:type="auto"/>
            <w:shd w:val="clear" w:color="auto" w:fill="auto"/>
          </w:tcPr>
          <w:p w14:paraId="6F6E14B4" w14:textId="77777777" w:rsidR="008C5CFA" w:rsidRPr="0024468B" w:rsidRDefault="00E82A60" w:rsidP="00300A01">
            <w:pPr>
              <w:spacing w:before="0" w:after="0"/>
              <w:rPr>
                <w:sz w:val="16"/>
                <w:szCs w:val="16"/>
                <w:lang w:val="fr-BE"/>
              </w:rPr>
            </w:pPr>
            <w:r>
              <w:rPr>
                <w:noProof/>
                <w:sz w:val="16"/>
                <w:szCs w:val="16"/>
                <w:lang w:val="fr-BE"/>
              </w:rPr>
              <w:t>147</w:t>
            </w:r>
          </w:p>
        </w:tc>
        <w:tc>
          <w:tcPr>
            <w:tcW w:w="0" w:type="auto"/>
            <w:shd w:val="clear" w:color="auto" w:fill="auto"/>
          </w:tcPr>
          <w:p w14:paraId="6D1D26D0" w14:textId="77777777" w:rsidR="008C5CFA" w:rsidRPr="0024468B" w:rsidRDefault="00E82A60" w:rsidP="00300A01">
            <w:pPr>
              <w:spacing w:before="0" w:after="0"/>
              <w:rPr>
                <w:sz w:val="16"/>
                <w:szCs w:val="16"/>
                <w:lang w:val="fr-BE"/>
              </w:rPr>
            </w:pPr>
            <w:r>
              <w:rPr>
                <w:noProof/>
                <w:sz w:val="16"/>
                <w:szCs w:val="16"/>
                <w:lang w:val="fr-BE"/>
              </w:rPr>
              <w:t>Całkowita długość nowych dróg</w:t>
            </w:r>
          </w:p>
        </w:tc>
        <w:tc>
          <w:tcPr>
            <w:tcW w:w="0" w:type="auto"/>
          </w:tcPr>
          <w:p w14:paraId="1266E949"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11104268"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37D03BB1"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4A8EB9B6"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60774EBC"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5C147769"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bl>
    <w:p w14:paraId="63124B8E" w14:textId="77777777" w:rsidR="008C5CFA" w:rsidRDefault="008C5CFA" w:rsidP="00300A01">
      <w:pPr>
        <w:spacing w:before="0" w:after="0"/>
        <w:rPr>
          <w:lang w:val="fr-BE"/>
        </w:rPr>
      </w:pPr>
    </w:p>
    <w:p w14:paraId="4FE96A17" w14:textId="77777777" w:rsidR="008C5CFA" w:rsidRDefault="008C5CFA" w:rsidP="00300A01">
      <w:pPr>
        <w:spacing w:before="0" w:after="0"/>
        <w:rPr>
          <w:lang w:val="fr-BE"/>
        </w:rPr>
      </w:pPr>
    </w:p>
    <w:p w14:paraId="4897D696" w14:textId="77777777" w:rsidR="008C5CFA" w:rsidRDefault="00E82A60" w:rsidP="00300A01">
      <w:pPr>
        <w:spacing w:before="0" w:after="0"/>
        <w:rPr>
          <w:lang w:val="fr-BE"/>
        </w:rPr>
      </w:pPr>
      <w:r>
        <w:rPr>
          <w:lang w:val="fr-BE"/>
        </w:rPr>
        <w:br w:type="page"/>
      </w:r>
    </w:p>
    <w:p w14:paraId="0410175B"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6"/>
        <w:gridCol w:w="13128"/>
      </w:tblGrid>
      <w:tr w:rsidR="006B2EC1" w14:paraId="6DD7FCD8" w14:textId="77777777" w:rsidTr="0047688D">
        <w:tc>
          <w:tcPr>
            <w:tcW w:w="0" w:type="auto"/>
            <w:shd w:val="clear" w:color="auto" w:fill="auto"/>
          </w:tcPr>
          <w:p w14:paraId="785CAFE2" w14:textId="77777777" w:rsidR="008C5CFA" w:rsidRPr="002124FC" w:rsidRDefault="00E82A60" w:rsidP="00300A01">
            <w:pPr>
              <w:spacing w:before="0" w:after="0"/>
              <w:rPr>
                <w:sz w:val="20"/>
                <w:szCs w:val="20"/>
                <w:lang w:val="fr-BE"/>
              </w:rPr>
            </w:pPr>
            <w:r>
              <w:rPr>
                <w:lang w:val="fr-BE"/>
              </w:rPr>
              <w:br w:type="page"/>
            </w:r>
            <w:r>
              <w:rPr>
                <w:lang w:val="fr-BE"/>
              </w:rPr>
              <w:br w:type="page"/>
            </w:r>
            <w:r>
              <w:rPr>
                <w:lang w:val="fr-BE"/>
              </w:rPr>
              <w:br w:type="page"/>
            </w:r>
            <w:r w:rsidRPr="002124FC">
              <w:rPr>
                <w:noProof/>
                <w:sz w:val="20"/>
                <w:szCs w:val="20"/>
                <w:lang w:val="fr-BE"/>
              </w:rPr>
              <w:t>Oś priorytetowa</w:t>
            </w:r>
          </w:p>
        </w:tc>
        <w:tc>
          <w:tcPr>
            <w:tcW w:w="0" w:type="auto"/>
            <w:shd w:val="clear" w:color="auto" w:fill="auto"/>
          </w:tcPr>
          <w:p w14:paraId="16D4694A" w14:textId="77777777" w:rsidR="008C5CFA" w:rsidRPr="002124FC" w:rsidRDefault="00E82A60" w:rsidP="00300A01">
            <w:pPr>
              <w:spacing w:before="0" w:after="0"/>
              <w:rPr>
                <w:sz w:val="20"/>
                <w:szCs w:val="20"/>
                <w:lang w:val="fr-BE"/>
              </w:rPr>
            </w:pPr>
            <w:r>
              <w:rPr>
                <w:noProof/>
                <w:sz w:val="20"/>
                <w:szCs w:val="20"/>
                <w:lang w:val="fr-BE"/>
              </w:rPr>
              <w:t>5</w:t>
            </w:r>
            <w:r w:rsidRPr="002124FC">
              <w:rPr>
                <w:sz w:val="20"/>
                <w:szCs w:val="20"/>
                <w:lang w:val="fr-BE"/>
              </w:rPr>
              <w:t xml:space="preserve"> - </w:t>
            </w:r>
            <w:r>
              <w:rPr>
                <w:noProof/>
                <w:sz w:val="20"/>
                <w:szCs w:val="20"/>
                <w:lang w:val="fr-BE"/>
              </w:rPr>
              <w:t>Nowoczesna komunikacja</w:t>
            </w:r>
          </w:p>
        </w:tc>
      </w:tr>
      <w:tr w:rsidR="006B2EC1" w14:paraId="18E6ECA4" w14:textId="77777777" w:rsidTr="0047688D">
        <w:tc>
          <w:tcPr>
            <w:tcW w:w="0" w:type="auto"/>
            <w:shd w:val="clear" w:color="auto" w:fill="auto"/>
          </w:tcPr>
          <w:p w14:paraId="120BD6D1" w14:textId="77777777" w:rsidR="008C5CFA" w:rsidRPr="002124FC" w:rsidRDefault="00E82A60"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14:paraId="6B3CDC93" w14:textId="77777777" w:rsidR="008C5CFA" w:rsidRPr="002124FC" w:rsidRDefault="00E82A60" w:rsidP="00300A01">
            <w:pPr>
              <w:spacing w:before="0" w:after="0"/>
              <w:rPr>
                <w:sz w:val="20"/>
                <w:szCs w:val="20"/>
                <w:lang w:val="fr-BE"/>
              </w:rPr>
            </w:pPr>
            <w:r w:rsidRPr="002124FC">
              <w:rPr>
                <w:noProof/>
                <w:sz w:val="20"/>
                <w:szCs w:val="20"/>
                <w:lang w:val="fr-BE"/>
              </w:rPr>
              <w:t>7b</w:t>
            </w:r>
            <w:r w:rsidRPr="002124FC">
              <w:rPr>
                <w:sz w:val="20"/>
                <w:szCs w:val="20"/>
                <w:lang w:val="fr-BE"/>
              </w:rPr>
              <w:t xml:space="preserve"> - </w:t>
            </w:r>
            <w:r>
              <w:rPr>
                <w:noProof/>
                <w:sz w:val="20"/>
                <w:szCs w:val="20"/>
                <w:lang w:val="fr-BE"/>
              </w:rPr>
              <w:t>Zwiększanie mobilności regionalnej poprzez łączenie węzłów drugorzędnych i trzeciorzędnych z infrastrukturą TEN-T, w tym z węzłami multimodalnymi</w:t>
            </w:r>
          </w:p>
        </w:tc>
      </w:tr>
      <w:tr w:rsidR="006B2EC1" w14:paraId="7795C6B3" w14:textId="77777777" w:rsidTr="0047688D">
        <w:tc>
          <w:tcPr>
            <w:tcW w:w="0" w:type="auto"/>
            <w:shd w:val="clear" w:color="auto" w:fill="auto"/>
          </w:tcPr>
          <w:p w14:paraId="6E10FF28" w14:textId="77777777" w:rsidR="008C5CFA" w:rsidRPr="002124FC" w:rsidRDefault="00E82A60" w:rsidP="00300A01">
            <w:pPr>
              <w:spacing w:before="0" w:after="0"/>
              <w:ind w:left="113" w:hanging="113"/>
              <w:rPr>
                <w:sz w:val="20"/>
                <w:szCs w:val="20"/>
                <w:lang w:val="fr-BE"/>
              </w:rPr>
            </w:pPr>
            <w:r>
              <w:rPr>
                <w:noProof/>
                <w:sz w:val="20"/>
                <w:szCs w:val="20"/>
                <w:lang w:val="fr-BE"/>
              </w:rPr>
              <w:t>Cel szczegółowy</w:t>
            </w:r>
          </w:p>
        </w:tc>
        <w:tc>
          <w:tcPr>
            <w:tcW w:w="0" w:type="auto"/>
            <w:shd w:val="clear" w:color="auto" w:fill="auto"/>
          </w:tcPr>
          <w:p w14:paraId="1D19887C" w14:textId="77777777" w:rsidR="008C5CFA" w:rsidRPr="002124FC" w:rsidRDefault="00E82A60" w:rsidP="00300A01">
            <w:pPr>
              <w:spacing w:before="0" w:after="0"/>
              <w:rPr>
                <w:sz w:val="20"/>
                <w:szCs w:val="20"/>
                <w:lang w:val="fr-BE"/>
              </w:rPr>
            </w:pPr>
            <w:r>
              <w:rPr>
                <w:noProof/>
                <w:sz w:val="20"/>
                <w:szCs w:val="20"/>
                <w:lang w:val="fr-BE"/>
              </w:rPr>
              <w:t>1</w:t>
            </w:r>
            <w:r>
              <w:rPr>
                <w:sz w:val="20"/>
                <w:szCs w:val="20"/>
                <w:lang w:val="fr-BE"/>
              </w:rPr>
              <w:t xml:space="preserve"> - </w:t>
            </w:r>
            <w:r>
              <w:rPr>
                <w:noProof/>
                <w:sz w:val="20"/>
                <w:szCs w:val="20"/>
                <w:lang w:val="fr-BE"/>
              </w:rPr>
              <w:t>Zwiększona dostępność transportowa i poprawa bezpieczeństwa regionalnej sieci drogowej uzupełniającej sieć TEN-T</w:t>
            </w:r>
          </w:p>
        </w:tc>
      </w:tr>
    </w:tbl>
    <w:p w14:paraId="47F4B012" w14:textId="77777777" w:rsidR="008C5CFA" w:rsidRDefault="008C5CFA" w:rsidP="00300A01">
      <w:pPr>
        <w:spacing w:before="0" w:after="0"/>
        <w:rPr>
          <w:lang w:val="fr-BE"/>
        </w:rPr>
      </w:pPr>
    </w:p>
    <w:p w14:paraId="111383E0" w14:textId="77777777" w:rsidR="008C5CFA" w:rsidRDefault="00E82A60" w:rsidP="00300A01">
      <w:pPr>
        <w:spacing w:before="0" w:after="0"/>
        <w:rPr>
          <w:lang w:val="fr-BE"/>
        </w:rPr>
      </w:pPr>
      <w:r>
        <w:rPr>
          <w:lang w:val="fr-BE"/>
        </w:rPr>
        <w:t xml:space="preserve">Tabela 1: Wskaźniki rezultatu dla EFRR i Funduszu Spójności (według osi priorytetowej i celu szczegółowego); ma zastosowanie także do osi priorytetowej </w:t>
      </w:r>
      <w:r>
        <w:t>"</w:t>
      </w:r>
      <w:r>
        <w:rPr>
          <w:lang w:val="fr-BE"/>
        </w:rPr>
        <w:t>Pomoc techniczna</w:t>
      </w:r>
      <w:r>
        <w:t>"</w:t>
      </w:r>
    </w:p>
    <w:p w14:paraId="34B6D9FB"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
        <w:gridCol w:w="3186"/>
        <w:gridCol w:w="1091"/>
        <w:gridCol w:w="1176"/>
        <w:gridCol w:w="1060"/>
        <w:gridCol w:w="894"/>
        <w:gridCol w:w="1378"/>
        <w:gridCol w:w="944"/>
        <w:gridCol w:w="1166"/>
        <w:gridCol w:w="3832"/>
      </w:tblGrid>
      <w:tr w:rsidR="006B2EC1" w14:paraId="32D339D6" w14:textId="77777777" w:rsidTr="0047688D">
        <w:tc>
          <w:tcPr>
            <w:tcW w:w="0" w:type="auto"/>
            <w:shd w:val="clear" w:color="auto" w:fill="auto"/>
          </w:tcPr>
          <w:p w14:paraId="65D52F19" w14:textId="77777777" w:rsidR="008C5CFA" w:rsidRPr="0024468B" w:rsidRDefault="00E82A60" w:rsidP="00300A01">
            <w:pPr>
              <w:spacing w:before="0" w:after="0"/>
              <w:rPr>
                <w:sz w:val="16"/>
                <w:szCs w:val="16"/>
                <w:lang w:val="fr-BE"/>
              </w:rPr>
            </w:pPr>
            <w:r w:rsidRPr="0024468B">
              <w:rPr>
                <w:noProof/>
                <w:sz w:val="16"/>
                <w:szCs w:val="16"/>
                <w:lang w:val="fr-BE"/>
              </w:rPr>
              <w:t>ID</w:t>
            </w:r>
          </w:p>
        </w:tc>
        <w:tc>
          <w:tcPr>
            <w:tcW w:w="0" w:type="auto"/>
            <w:shd w:val="clear" w:color="auto" w:fill="auto"/>
          </w:tcPr>
          <w:p w14:paraId="3E7CC5C6" w14:textId="77777777" w:rsidR="008C5CFA" w:rsidRPr="0024468B" w:rsidRDefault="00E82A60" w:rsidP="00300A01">
            <w:pPr>
              <w:spacing w:before="0" w:after="0"/>
              <w:rPr>
                <w:sz w:val="16"/>
                <w:szCs w:val="16"/>
                <w:lang w:val="fr-BE"/>
              </w:rPr>
            </w:pPr>
            <w:r w:rsidRPr="0024468B">
              <w:rPr>
                <w:noProof/>
                <w:sz w:val="16"/>
                <w:szCs w:val="16"/>
                <w:lang w:val="fr-BE"/>
              </w:rPr>
              <w:t>Wskaźnik</w:t>
            </w:r>
          </w:p>
        </w:tc>
        <w:tc>
          <w:tcPr>
            <w:tcW w:w="0" w:type="auto"/>
            <w:shd w:val="clear" w:color="auto" w:fill="auto"/>
          </w:tcPr>
          <w:p w14:paraId="53BC01CA" w14:textId="77777777" w:rsidR="008C5CFA" w:rsidRPr="0024468B" w:rsidRDefault="00E82A60" w:rsidP="00300A01">
            <w:pPr>
              <w:spacing w:before="0" w:after="0"/>
              <w:rPr>
                <w:sz w:val="16"/>
                <w:szCs w:val="16"/>
                <w:lang w:val="fr-BE"/>
              </w:rPr>
            </w:pPr>
            <w:r w:rsidRPr="0024468B">
              <w:rPr>
                <w:noProof/>
                <w:sz w:val="16"/>
                <w:szCs w:val="16"/>
                <w:lang w:val="fr-BE"/>
              </w:rPr>
              <w:t>Jednostka miary</w:t>
            </w:r>
          </w:p>
        </w:tc>
        <w:tc>
          <w:tcPr>
            <w:tcW w:w="0" w:type="auto"/>
            <w:shd w:val="clear" w:color="auto" w:fill="auto"/>
          </w:tcPr>
          <w:p w14:paraId="6E9D7972" w14:textId="77777777" w:rsidR="008C5CFA" w:rsidRPr="0024468B" w:rsidRDefault="00E82A60" w:rsidP="00300A01">
            <w:pPr>
              <w:spacing w:before="0" w:after="0"/>
              <w:rPr>
                <w:sz w:val="16"/>
                <w:szCs w:val="16"/>
                <w:lang w:val="fr-BE"/>
              </w:rPr>
            </w:pPr>
            <w:r w:rsidRPr="0024468B">
              <w:rPr>
                <w:noProof/>
                <w:sz w:val="16"/>
                <w:szCs w:val="16"/>
                <w:lang w:val="fr-BE"/>
              </w:rPr>
              <w:t>Kategoria regionu</w:t>
            </w:r>
          </w:p>
        </w:tc>
        <w:tc>
          <w:tcPr>
            <w:tcW w:w="0" w:type="auto"/>
            <w:shd w:val="clear" w:color="auto" w:fill="auto"/>
          </w:tcPr>
          <w:p w14:paraId="2A490D2A" w14:textId="77777777" w:rsidR="008C5CFA" w:rsidRPr="0024468B" w:rsidRDefault="00E82A60" w:rsidP="00300A01">
            <w:pPr>
              <w:spacing w:before="0" w:after="0"/>
              <w:rPr>
                <w:sz w:val="16"/>
                <w:szCs w:val="16"/>
                <w:lang w:val="fr-BE"/>
              </w:rPr>
            </w:pPr>
            <w:r w:rsidRPr="0024468B">
              <w:rPr>
                <w:noProof/>
                <w:sz w:val="16"/>
                <w:szCs w:val="16"/>
                <w:lang w:val="fr-BE"/>
              </w:rPr>
              <w:t>Wartość bazowa</w:t>
            </w:r>
          </w:p>
        </w:tc>
        <w:tc>
          <w:tcPr>
            <w:tcW w:w="0" w:type="auto"/>
            <w:shd w:val="clear" w:color="auto" w:fill="auto"/>
          </w:tcPr>
          <w:p w14:paraId="4F8ADCBF" w14:textId="77777777" w:rsidR="008C5CFA" w:rsidRPr="0024468B" w:rsidRDefault="00E82A60" w:rsidP="00300A01">
            <w:pPr>
              <w:spacing w:before="0" w:after="0"/>
              <w:rPr>
                <w:sz w:val="16"/>
                <w:szCs w:val="16"/>
                <w:lang w:val="fr-BE"/>
              </w:rPr>
            </w:pPr>
            <w:r w:rsidRPr="0024468B">
              <w:rPr>
                <w:noProof/>
                <w:sz w:val="16"/>
                <w:szCs w:val="16"/>
                <w:lang w:val="fr-BE"/>
              </w:rPr>
              <w:t>Rok bazowy</w:t>
            </w:r>
          </w:p>
        </w:tc>
        <w:tc>
          <w:tcPr>
            <w:tcW w:w="0" w:type="auto"/>
            <w:shd w:val="clear" w:color="auto" w:fill="auto"/>
          </w:tcPr>
          <w:p w14:paraId="1D437916" w14:textId="77777777" w:rsidR="008C5CFA" w:rsidRPr="0024468B" w:rsidRDefault="00E82A60" w:rsidP="00300A01">
            <w:pPr>
              <w:spacing w:before="0" w:after="0"/>
              <w:rPr>
                <w:sz w:val="16"/>
                <w:szCs w:val="16"/>
                <w:lang w:val="fr-BE"/>
              </w:rPr>
            </w:pPr>
            <w:r w:rsidRPr="0024468B">
              <w:rPr>
                <w:noProof/>
                <w:sz w:val="16"/>
                <w:szCs w:val="16"/>
                <w:lang w:val="fr-BE"/>
              </w:rPr>
              <w:t>Wartość docelowa 2023</w:t>
            </w:r>
          </w:p>
        </w:tc>
        <w:tc>
          <w:tcPr>
            <w:tcW w:w="0" w:type="auto"/>
            <w:shd w:val="clear" w:color="auto" w:fill="auto"/>
          </w:tcPr>
          <w:p w14:paraId="4088F179" w14:textId="77777777" w:rsidR="008C5CFA" w:rsidRPr="0024468B" w:rsidRDefault="00E82A60" w:rsidP="00300A01">
            <w:pPr>
              <w:spacing w:before="0" w:after="0"/>
              <w:jc w:val="center"/>
              <w:rPr>
                <w:sz w:val="16"/>
                <w:szCs w:val="16"/>
                <w:lang w:val="fr-BE"/>
              </w:rPr>
            </w:pPr>
            <w:r>
              <w:rPr>
                <w:sz w:val="16"/>
                <w:szCs w:val="16"/>
                <w:lang w:val="fr-BE"/>
              </w:rPr>
              <w:t xml:space="preserve">2019 </w:t>
            </w:r>
            <w:r>
              <w:rPr>
                <w:noProof/>
                <w:sz w:val="16"/>
                <w:szCs w:val="16"/>
                <w:lang w:val="fr-BE"/>
              </w:rPr>
              <w:t>Ogółem</w:t>
            </w:r>
          </w:p>
        </w:tc>
        <w:tc>
          <w:tcPr>
            <w:tcW w:w="0" w:type="auto"/>
            <w:shd w:val="clear" w:color="auto" w:fill="auto"/>
          </w:tcPr>
          <w:p w14:paraId="60A47670" w14:textId="77777777" w:rsidR="008C5CFA" w:rsidRPr="0024468B" w:rsidRDefault="00E82A60" w:rsidP="00300A01">
            <w:pPr>
              <w:spacing w:before="0" w:after="0"/>
              <w:jc w:val="center"/>
              <w:rPr>
                <w:sz w:val="16"/>
                <w:szCs w:val="16"/>
                <w:lang w:val="fr-BE"/>
              </w:rPr>
            </w:pPr>
            <w:r>
              <w:rPr>
                <w:sz w:val="16"/>
                <w:szCs w:val="16"/>
                <w:lang w:val="fr-BE"/>
              </w:rPr>
              <w:t xml:space="preserve">2019 </w:t>
            </w:r>
            <w:r w:rsidRPr="0024468B">
              <w:rPr>
                <w:noProof/>
                <w:sz w:val="16"/>
                <w:szCs w:val="16"/>
                <w:lang w:val="fr-BE"/>
              </w:rPr>
              <w:t>Jakościowe</w:t>
            </w:r>
          </w:p>
        </w:tc>
        <w:tc>
          <w:tcPr>
            <w:tcW w:w="0" w:type="auto"/>
            <w:shd w:val="clear" w:color="auto" w:fill="auto"/>
          </w:tcPr>
          <w:p w14:paraId="20608B78" w14:textId="77777777" w:rsidR="008C5CFA" w:rsidRPr="0024468B" w:rsidRDefault="00E82A60" w:rsidP="00300A01">
            <w:pPr>
              <w:spacing w:before="0" w:after="0"/>
              <w:jc w:val="center"/>
              <w:rPr>
                <w:sz w:val="16"/>
                <w:szCs w:val="16"/>
                <w:lang w:val="fr-BE"/>
              </w:rPr>
            </w:pPr>
            <w:r w:rsidRPr="0024468B">
              <w:rPr>
                <w:noProof/>
                <w:sz w:val="16"/>
                <w:szCs w:val="16"/>
                <w:lang w:val="fr-BE"/>
              </w:rPr>
              <w:t>Uwagi</w:t>
            </w:r>
          </w:p>
        </w:tc>
      </w:tr>
      <w:tr w:rsidR="006B2EC1" w14:paraId="7EE9B28E" w14:textId="77777777" w:rsidTr="0047688D">
        <w:tc>
          <w:tcPr>
            <w:tcW w:w="0" w:type="auto"/>
            <w:shd w:val="clear" w:color="auto" w:fill="auto"/>
          </w:tcPr>
          <w:p w14:paraId="6C5E85E8" w14:textId="77777777" w:rsidR="008C5CFA" w:rsidRPr="0024468B" w:rsidRDefault="00E82A60" w:rsidP="00300A01">
            <w:pPr>
              <w:spacing w:before="0" w:after="0"/>
              <w:rPr>
                <w:sz w:val="16"/>
                <w:szCs w:val="16"/>
                <w:lang w:val="fr-BE"/>
              </w:rPr>
            </w:pPr>
            <w:r w:rsidRPr="0024468B">
              <w:rPr>
                <w:noProof/>
                <w:sz w:val="16"/>
                <w:szCs w:val="16"/>
                <w:lang w:val="fr-BE"/>
              </w:rPr>
              <w:t>048</w:t>
            </w:r>
          </w:p>
        </w:tc>
        <w:tc>
          <w:tcPr>
            <w:tcW w:w="0" w:type="auto"/>
            <w:shd w:val="clear" w:color="auto" w:fill="auto"/>
          </w:tcPr>
          <w:p w14:paraId="0143F3D8" w14:textId="77777777" w:rsidR="008C5CFA" w:rsidRPr="0024468B" w:rsidRDefault="00E82A60" w:rsidP="00300A01">
            <w:pPr>
              <w:spacing w:before="0" w:after="0"/>
              <w:rPr>
                <w:sz w:val="16"/>
                <w:szCs w:val="16"/>
                <w:lang w:val="fr-BE"/>
              </w:rPr>
            </w:pPr>
            <w:r w:rsidRPr="0024468B">
              <w:rPr>
                <w:noProof/>
                <w:sz w:val="16"/>
                <w:szCs w:val="16"/>
                <w:lang w:val="fr-BE"/>
              </w:rPr>
              <w:t>WDDT II (wskaźnik drogowej dostępności –liczony na bazie WMDT)</w:t>
            </w:r>
          </w:p>
        </w:tc>
        <w:tc>
          <w:tcPr>
            <w:tcW w:w="0" w:type="auto"/>
            <w:shd w:val="clear" w:color="auto" w:fill="auto"/>
          </w:tcPr>
          <w:p w14:paraId="26EE61F0" w14:textId="77777777" w:rsidR="008C5CFA" w:rsidRPr="0024468B" w:rsidRDefault="00E82A60" w:rsidP="00300A01">
            <w:pPr>
              <w:spacing w:before="0" w:after="0"/>
              <w:rPr>
                <w:sz w:val="16"/>
                <w:szCs w:val="16"/>
                <w:lang w:val="fr-BE"/>
              </w:rPr>
            </w:pPr>
            <w:r w:rsidRPr="0024468B">
              <w:rPr>
                <w:noProof/>
                <w:sz w:val="16"/>
                <w:szCs w:val="16"/>
                <w:lang w:val="fr-BE"/>
              </w:rPr>
              <w:t>n/d</w:t>
            </w:r>
          </w:p>
        </w:tc>
        <w:tc>
          <w:tcPr>
            <w:tcW w:w="0" w:type="auto"/>
            <w:shd w:val="clear" w:color="auto" w:fill="auto"/>
          </w:tcPr>
          <w:p w14:paraId="222FFE12" w14:textId="77777777" w:rsidR="008C5CFA" w:rsidRPr="0024468B" w:rsidRDefault="00E82A60"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14:paraId="2632BB44" w14:textId="77777777" w:rsidR="008C5CFA" w:rsidRPr="00C3185A" w:rsidRDefault="00E82A60" w:rsidP="00300A01">
            <w:pPr>
              <w:spacing w:before="0" w:after="0"/>
              <w:jc w:val="right"/>
              <w:rPr>
                <w:sz w:val="16"/>
                <w:szCs w:val="16"/>
                <w:lang w:val="fr-BE"/>
              </w:rPr>
            </w:pPr>
            <w:r w:rsidRPr="00C3185A">
              <w:rPr>
                <w:noProof/>
                <w:sz w:val="16"/>
                <w:szCs w:val="16"/>
                <w:lang w:val="fr-BE"/>
              </w:rPr>
              <w:t>27,39</w:t>
            </w:r>
          </w:p>
        </w:tc>
        <w:tc>
          <w:tcPr>
            <w:tcW w:w="0" w:type="auto"/>
            <w:shd w:val="clear" w:color="auto" w:fill="auto"/>
          </w:tcPr>
          <w:p w14:paraId="0346DCD0" w14:textId="77777777" w:rsidR="008C5CFA" w:rsidRPr="0024468B" w:rsidRDefault="00E82A60" w:rsidP="00300A01">
            <w:pPr>
              <w:spacing w:before="0" w:after="0"/>
              <w:rPr>
                <w:sz w:val="16"/>
                <w:szCs w:val="16"/>
                <w:lang w:val="fr-BE"/>
              </w:rPr>
            </w:pPr>
            <w:r w:rsidRPr="0024468B">
              <w:rPr>
                <w:noProof/>
                <w:sz w:val="16"/>
                <w:szCs w:val="16"/>
                <w:lang w:val="fr-BE"/>
              </w:rPr>
              <w:t>2013</w:t>
            </w:r>
          </w:p>
        </w:tc>
        <w:tc>
          <w:tcPr>
            <w:tcW w:w="0" w:type="auto"/>
            <w:shd w:val="clear" w:color="auto" w:fill="auto"/>
          </w:tcPr>
          <w:p w14:paraId="5091BCC4" w14:textId="77777777" w:rsidR="008C5CFA" w:rsidRPr="0024468B" w:rsidRDefault="00E82A60" w:rsidP="00300A01">
            <w:pPr>
              <w:spacing w:before="0" w:after="0"/>
              <w:jc w:val="right"/>
              <w:rPr>
                <w:sz w:val="16"/>
                <w:szCs w:val="16"/>
                <w:lang w:val="fr-BE"/>
              </w:rPr>
            </w:pPr>
            <w:r w:rsidRPr="0024468B">
              <w:rPr>
                <w:noProof/>
                <w:sz w:val="16"/>
                <w:szCs w:val="16"/>
                <w:lang w:val="fr-BE"/>
              </w:rPr>
              <w:t>34,38</w:t>
            </w:r>
          </w:p>
        </w:tc>
        <w:tc>
          <w:tcPr>
            <w:tcW w:w="0" w:type="auto"/>
            <w:shd w:val="clear" w:color="auto" w:fill="auto"/>
          </w:tcPr>
          <w:p w14:paraId="020378F3"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5A43A485" w14:textId="77777777" w:rsidR="008C5CFA" w:rsidRPr="0024468B" w:rsidRDefault="008C5CFA" w:rsidP="00300A01">
            <w:pPr>
              <w:spacing w:before="0" w:after="0"/>
              <w:jc w:val="right"/>
              <w:rPr>
                <w:sz w:val="16"/>
                <w:szCs w:val="16"/>
                <w:lang w:val="fr-BE"/>
              </w:rPr>
            </w:pPr>
          </w:p>
        </w:tc>
        <w:tc>
          <w:tcPr>
            <w:tcW w:w="0" w:type="auto"/>
            <w:shd w:val="clear" w:color="auto" w:fill="auto"/>
          </w:tcPr>
          <w:p w14:paraId="700B5C88" w14:textId="77777777" w:rsidR="008C5CFA" w:rsidRPr="0024468B" w:rsidRDefault="00E82A60" w:rsidP="00300A01">
            <w:pPr>
              <w:spacing w:before="0" w:after="0"/>
              <w:rPr>
                <w:sz w:val="16"/>
                <w:szCs w:val="16"/>
                <w:lang w:val="fr-BE"/>
              </w:rPr>
            </w:pPr>
            <w:r w:rsidRPr="0024468B">
              <w:rPr>
                <w:noProof/>
                <w:sz w:val="16"/>
                <w:szCs w:val="16"/>
                <w:lang w:val="fr-BE"/>
              </w:rPr>
              <w:t>Brak aktualnych danych dostępnych w statystykach publicznych (systemie STRATEG)</w:t>
            </w:r>
          </w:p>
        </w:tc>
      </w:tr>
    </w:tbl>
    <w:p w14:paraId="6673FA2E"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
        <w:gridCol w:w="4856"/>
        <w:gridCol w:w="1119"/>
        <w:gridCol w:w="1346"/>
        <w:gridCol w:w="1119"/>
        <w:gridCol w:w="1346"/>
        <w:gridCol w:w="1119"/>
        <w:gridCol w:w="1346"/>
        <w:gridCol w:w="1119"/>
        <w:gridCol w:w="1346"/>
      </w:tblGrid>
      <w:tr w:rsidR="006B2EC1" w14:paraId="57B8BD02" w14:textId="77777777" w:rsidTr="0047688D">
        <w:tc>
          <w:tcPr>
            <w:tcW w:w="0" w:type="auto"/>
            <w:shd w:val="clear" w:color="auto" w:fill="auto"/>
          </w:tcPr>
          <w:p w14:paraId="0A5195A6" w14:textId="77777777" w:rsidR="008C5CFA" w:rsidRPr="0024468B" w:rsidRDefault="00E82A60" w:rsidP="00300A01">
            <w:pPr>
              <w:spacing w:before="0" w:after="0"/>
              <w:rPr>
                <w:sz w:val="16"/>
                <w:szCs w:val="16"/>
                <w:lang w:val="fr-BE"/>
              </w:rPr>
            </w:pPr>
            <w:r w:rsidRPr="0024468B">
              <w:rPr>
                <w:noProof/>
                <w:sz w:val="16"/>
                <w:szCs w:val="16"/>
                <w:lang w:val="fr-BE"/>
              </w:rPr>
              <w:t>ID</w:t>
            </w:r>
          </w:p>
        </w:tc>
        <w:tc>
          <w:tcPr>
            <w:tcW w:w="0" w:type="auto"/>
            <w:shd w:val="clear" w:color="auto" w:fill="auto"/>
          </w:tcPr>
          <w:p w14:paraId="76E6BA19" w14:textId="77777777" w:rsidR="008C5CFA" w:rsidRPr="0024468B" w:rsidRDefault="00E82A60" w:rsidP="00300A01">
            <w:pPr>
              <w:spacing w:before="0" w:after="0"/>
              <w:rPr>
                <w:sz w:val="16"/>
                <w:szCs w:val="16"/>
                <w:lang w:val="fr-BE"/>
              </w:rPr>
            </w:pPr>
            <w:r w:rsidRPr="0024468B">
              <w:rPr>
                <w:noProof/>
                <w:sz w:val="16"/>
                <w:szCs w:val="16"/>
                <w:lang w:val="fr-BE"/>
              </w:rPr>
              <w:t>Wskaźnik</w:t>
            </w:r>
          </w:p>
        </w:tc>
        <w:tc>
          <w:tcPr>
            <w:tcW w:w="0" w:type="auto"/>
          </w:tcPr>
          <w:p w14:paraId="0C7E4526" w14:textId="77777777" w:rsidR="008C5CFA" w:rsidRPr="0024468B" w:rsidRDefault="00E82A60" w:rsidP="00300A01">
            <w:pPr>
              <w:spacing w:before="0" w:after="0"/>
              <w:jc w:val="center"/>
              <w:rPr>
                <w:sz w:val="16"/>
                <w:szCs w:val="16"/>
                <w:lang w:val="fr-BE"/>
              </w:rPr>
            </w:pPr>
            <w:r>
              <w:rPr>
                <w:sz w:val="16"/>
                <w:szCs w:val="16"/>
                <w:lang w:val="fr-BE"/>
              </w:rPr>
              <w:t xml:space="preserve">2018 </w:t>
            </w:r>
            <w:r>
              <w:rPr>
                <w:noProof/>
                <w:sz w:val="16"/>
                <w:szCs w:val="16"/>
                <w:lang w:val="fr-BE"/>
              </w:rPr>
              <w:t>Ogółem</w:t>
            </w:r>
          </w:p>
        </w:tc>
        <w:tc>
          <w:tcPr>
            <w:tcW w:w="0" w:type="auto"/>
          </w:tcPr>
          <w:p w14:paraId="632F8437" w14:textId="77777777" w:rsidR="008C5CFA" w:rsidRPr="0024468B" w:rsidRDefault="00E82A60" w:rsidP="00300A01">
            <w:pPr>
              <w:spacing w:before="0" w:after="0"/>
              <w:jc w:val="center"/>
              <w:rPr>
                <w:sz w:val="16"/>
                <w:szCs w:val="16"/>
                <w:lang w:val="fr-BE"/>
              </w:rPr>
            </w:pPr>
            <w:r>
              <w:rPr>
                <w:sz w:val="16"/>
                <w:szCs w:val="16"/>
                <w:lang w:val="fr-BE"/>
              </w:rPr>
              <w:t xml:space="preserve">2018 </w:t>
            </w:r>
            <w:r w:rsidRPr="0024468B">
              <w:rPr>
                <w:noProof/>
                <w:sz w:val="16"/>
                <w:szCs w:val="16"/>
                <w:lang w:val="fr-BE"/>
              </w:rPr>
              <w:t>Jakościowe</w:t>
            </w:r>
          </w:p>
        </w:tc>
        <w:tc>
          <w:tcPr>
            <w:tcW w:w="0" w:type="auto"/>
          </w:tcPr>
          <w:p w14:paraId="30F021C6" w14:textId="77777777" w:rsidR="008C5CFA" w:rsidRPr="0024468B" w:rsidRDefault="00E82A60" w:rsidP="00300A01">
            <w:pPr>
              <w:spacing w:before="0" w:after="0"/>
              <w:jc w:val="center"/>
              <w:rPr>
                <w:sz w:val="16"/>
                <w:szCs w:val="16"/>
                <w:lang w:val="fr-BE"/>
              </w:rPr>
            </w:pPr>
            <w:r>
              <w:rPr>
                <w:sz w:val="16"/>
                <w:szCs w:val="16"/>
                <w:lang w:val="fr-BE"/>
              </w:rPr>
              <w:t xml:space="preserve">2017 </w:t>
            </w:r>
            <w:r>
              <w:rPr>
                <w:noProof/>
                <w:sz w:val="16"/>
                <w:szCs w:val="16"/>
                <w:lang w:val="fr-BE"/>
              </w:rPr>
              <w:t>Ogółem</w:t>
            </w:r>
          </w:p>
        </w:tc>
        <w:tc>
          <w:tcPr>
            <w:tcW w:w="0" w:type="auto"/>
          </w:tcPr>
          <w:p w14:paraId="074C8312" w14:textId="77777777" w:rsidR="008C5CFA" w:rsidRPr="0024468B" w:rsidRDefault="00E82A60" w:rsidP="00300A01">
            <w:pPr>
              <w:spacing w:before="0" w:after="0"/>
              <w:jc w:val="center"/>
              <w:rPr>
                <w:sz w:val="16"/>
                <w:szCs w:val="16"/>
                <w:lang w:val="fr-BE"/>
              </w:rPr>
            </w:pPr>
            <w:r>
              <w:rPr>
                <w:sz w:val="16"/>
                <w:szCs w:val="16"/>
                <w:lang w:val="fr-BE"/>
              </w:rPr>
              <w:t xml:space="preserve">2017 </w:t>
            </w:r>
            <w:r w:rsidRPr="0024468B">
              <w:rPr>
                <w:noProof/>
                <w:sz w:val="16"/>
                <w:szCs w:val="16"/>
                <w:lang w:val="fr-BE"/>
              </w:rPr>
              <w:t>Jakościowe</w:t>
            </w:r>
          </w:p>
        </w:tc>
        <w:tc>
          <w:tcPr>
            <w:tcW w:w="0" w:type="auto"/>
          </w:tcPr>
          <w:p w14:paraId="1D4D10B9" w14:textId="77777777" w:rsidR="008C5CFA" w:rsidRPr="0024468B" w:rsidRDefault="00E82A60" w:rsidP="00300A01">
            <w:pPr>
              <w:spacing w:before="0" w:after="0"/>
              <w:jc w:val="center"/>
              <w:rPr>
                <w:sz w:val="16"/>
                <w:szCs w:val="16"/>
                <w:lang w:val="fr-BE"/>
              </w:rPr>
            </w:pPr>
            <w:r>
              <w:rPr>
                <w:sz w:val="16"/>
                <w:szCs w:val="16"/>
                <w:lang w:val="fr-BE"/>
              </w:rPr>
              <w:t xml:space="preserve">2016 </w:t>
            </w:r>
            <w:r>
              <w:rPr>
                <w:noProof/>
                <w:sz w:val="16"/>
                <w:szCs w:val="16"/>
                <w:lang w:val="fr-BE"/>
              </w:rPr>
              <w:t>Ogółem</w:t>
            </w:r>
          </w:p>
        </w:tc>
        <w:tc>
          <w:tcPr>
            <w:tcW w:w="0" w:type="auto"/>
          </w:tcPr>
          <w:p w14:paraId="3087521D" w14:textId="77777777" w:rsidR="008C5CFA" w:rsidRPr="0024468B" w:rsidRDefault="00E82A60" w:rsidP="00300A01">
            <w:pPr>
              <w:spacing w:before="0" w:after="0"/>
              <w:jc w:val="center"/>
              <w:rPr>
                <w:sz w:val="16"/>
                <w:szCs w:val="16"/>
                <w:lang w:val="fr-BE"/>
              </w:rPr>
            </w:pPr>
            <w:r>
              <w:rPr>
                <w:sz w:val="16"/>
                <w:szCs w:val="16"/>
                <w:lang w:val="fr-BE"/>
              </w:rPr>
              <w:t xml:space="preserve">2016 </w:t>
            </w:r>
            <w:r w:rsidRPr="0024468B">
              <w:rPr>
                <w:noProof/>
                <w:sz w:val="16"/>
                <w:szCs w:val="16"/>
                <w:lang w:val="fr-BE"/>
              </w:rPr>
              <w:t>Jakościowe</w:t>
            </w:r>
          </w:p>
        </w:tc>
        <w:tc>
          <w:tcPr>
            <w:tcW w:w="0" w:type="auto"/>
          </w:tcPr>
          <w:p w14:paraId="5265F242" w14:textId="77777777" w:rsidR="008C5CFA" w:rsidRPr="0024468B" w:rsidRDefault="00E82A60" w:rsidP="00300A01">
            <w:pPr>
              <w:spacing w:before="0" w:after="0"/>
              <w:jc w:val="center"/>
              <w:rPr>
                <w:sz w:val="16"/>
                <w:szCs w:val="16"/>
                <w:lang w:val="fr-BE"/>
              </w:rPr>
            </w:pPr>
            <w:r>
              <w:rPr>
                <w:sz w:val="16"/>
                <w:szCs w:val="16"/>
                <w:lang w:val="fr-BE"/>
              </w:rPr>
              <w:t xml:space="preserve">2015 </w:t>
            </w:r>
            <w:r>
              <w:rPr>
                <w:noProof/>
                <w:sz w:val="16"/>
                <w:szCs w:val="16"/>
                <w:lang w:val="fr-BE"/>
              </w:rPr>
              <w:t>Ogółem</w:t>
            </w:r>
          </w:p>
        </w:tc>
        <w:tc>
          <w:tcPr>
            <w:tcW w:w="0" w:type="auto"/>
          </w:tcPr>
          <w:p w14:paraId="2C0BB202" w14:textId="77777777" w:rsidR="008C5CFA" w:rsidRPr="0024468B" w:rsidRDefault="00E82A60" w:rsidP="00300A01">
            <w:pPr>
              <w:spacing w:before="0" w:after="0"/>
              <w:jc w:val="center"/>
              <w:rPr>
                <w:sz w:val="16"/>
                <w:szCs w:val="16"/>
                <w:lang w:val="fr-BE"/>
              </w:rPr>
            </w:pPr>
            <w:r>
              <w:rPr>
                <w:sz w:val="16"/>
                <w:szCs w:val="16"/>
                <w:lang w:val="fr-BE"/>
              </w:rPr>
              <w:t xml:space="preserve">2015 </w:t>
            </w:r>
            <w:r w:rsidRPr="0024468B">
              <w:rPr>
                <w:noProof/>
                <w:sz w:val="16"/>
                <w:szCs w:val="16"/>
                <w:lang w:val="fr-BE"/>
              </w:rPr>
              <w:t>Jakościowe</w:t>
            </w:r>
          </w:p>
        </w:tc>
      </w:tr>
      <w:tr w:rsidR="006B2EC1" w14:paraId="748F837F" w14:textId="77777777" w:rsidTr="0047688D">
        <w:tc>
          <w:tcPr>
            <w:tcW w:w="0" w:type="auto"/>
            <w:shd w:val="clear" w:color="auto" w:fill="auto"/>
          </w:tcPr>
          <w:p w14:paraId="6537DE1A" w14:textId="77777777" w:rsidR="008C5CFA" w:rsidRPr="0024468B" w:rsidRDefault="00E82A60" w:rsidP="00300A01">
            <w:pPr>
              <w:spacing w:before="0" w:after="0"/>
              <w:rPr>
                <w:sz w:val="16"/>
                <w:szCs w:val="16"/>
                <w:lang w:val="fr-BE"/>
              </w:rPr>
            </w:pPr>
            <w:r w:rsidRPr="0024468B">
              <w:rPr>
                <w:noProof/>
                <w:sz w:val="16"/>
                <w:szCs w:val="16"/>
                <w:lang w:val="fr-BE"/>
              </w:rPr>
              <w:t>048</w:t>
            </w:r>
          </w:p>
        </w:tc>
        <w:tc>
          <w:tcPr>
            <w:tcW w:w="0" w:type="auto"/>
            <w:shd w:val="clear" w:color="auto" w:fill="auto"/>
          </w:tcPr>
          <w:p w14:paraId="2B506643" w14:textId="77777777" w:rsidR="008C5CFA" w:rsidRPr="0024468B" w:rsidRDefault="00E82A60" w:rsidP="00300A01">
            <w:pPr>
              <w:spacing w:before="0" w:after="0"/>
              <w:rPr>
                <w:sz w:val="16"/>
                <w:szCs w:val="16"/>
                <w:lang w:val="fr-BE"/>
              </w:rPr>
            </w:pPr>
            <w:r w:rsidRPr="0024468B">
              <w:rPr>
                <w:noProof/>
                <w:sz w:val="16"/>
                <w:szCs w:val="16"/>
                <w:lang w:val="fr-BE"/>
              </w:rPr>
              <w:t>WDDT II (wskaźnik drogowej dostępności –liczony na bazie WMDT)</w:t>
            </w:r>
          </w:p>
        </w:tc>
        <w:tc>
          <w:tcPr>
            <w:tcW w:w="0" w:type="auto"/>
          </w:tcPr>
          <w:p w14:paraId="466FD183"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4AC558C5" w14:textId="77777777" w:rsidR="008C5CFA" w:rsidRPr="0024468B" w:rsidRDefault="008C5CFA" w:rsidP="00300A01">
            <w:pPr>
              <w:spacing w:before="0" w:after="0"/>
              <w:jc w:val="right"/>
              <w:rPr>
                <w:sz w:val="16"/>
                <w:szCs w:val="16"/>
                <w:lang w:val="fr-BE"/>
              </w:rPr>
            </w:pPr>
          </w:p>
        </w:tc>
        <w:tc>
          <w:tcPr>
            <w:tcW w:w="0" w:type="auto"/>
          </w:tcPr>
          <w:p w14:paraId="0FEB50AA" w14:textId="77777777" w:rsidR="008C5CFA" w:rsidRPr="0024468B" w:rsidRDefault="00E82A60" w:rsidP="00300A01">
            <w:pPr>
              <w:spacing w:before="0" w:after="0"/>
              <w:jc w:val="right"/>
              <w:rPr>
                <w:sz w:val="16"/>
                <w:szCs w:val="16"/>
                <w:lang w:val="fr-BE"/>
              </w:rPr>
            </w:pPr>
            <w:r w:rsidRPr="0024468B">
              <w:rPr>
                <w:noProof/>
                <w:sz w:val="16"/>
                <w:szCs w:val="16"/>
                <w:lang w:val="fr-BE"/>
              </w:rPr>
              <w:t>29,65</w:t>
            </w:r>
          </w:p>
        </w:tc>
        <w:tc>
          <w:tcPr>
            <w:tcW w:w="0" w:type="auto"/>
          </w:tcPr>
          <w:p w14:paraId="51824E17" w14:textId="77777777" w:rsidR="008C5CFA" w:rsidRPr="0024468B" w:rsidRDefault="008C5CFA" w:rsidP="00300A01">
            <w:pPr>
              <w:spacing w:before="0" w:after="0"/>
              <w:jc w:val="right"/>
              <w:rPr>
                <w:sz w:val="16"/>
                <w:szCs w:val="16"/>
                <w:lang w:val="fr-BE"/>
              </w:rPr>
            </w:pPr>
          </w:p>
        </w:tc>
        <w:tc>
          <w:tcPr>
            <w:tcW w:w="0" w:type="auto"/>
          </w:tcPr>
          <w:p w14:paraId="0EFABB60" w14:textId="77777777" w:rsidR="008C5CFA" w:rsidRPr="0024468B" w:rsidRDefault="00E82A60" w:rsidP="00300A01">
            <w:pPr>
              <w:spacing w:before="0" w:after="0"/>
              <w:jc w:val="right"/>
              <w:rPr>
                <w:sz w:val="16"/>
                <w:szCs w:val="16"/>
                <w:lang w:val="fr-BE"/>
              </w:rPr>
            </w:pPr>
            <w:r w:rsidRPr="0024468B">
              <w:rPr>
                <w:noProof/>
                <w:sz w:val="16"/>
                <w:szCs w:val="16"/>
                <w:lang w:val="fr-BE"/>
              </w:rPr>
              <w:t>28,44</w:t>
            </w:r>
          </w:p>
        </w:tc>
        <w:tc>
          <w:tcPr>
            <w:tcW w:w="0" w:type="auto"/>
          </w:tcPr>
          <w:p w14:paraId="43F2FE62" w14:textId="77777777" w:rsidR="008C5CFA" w:rsidRPr="0024468B" w:rsidRDefault="008C5CFA" w:rsidP="00300A01">
            <w:pPr>
              <w:spacing w:before="0" w:after="0"/>
              <w:jc w:val="right"/>
              <w:rPr>
                <w:sz w:val="16"/>
                <w:szCs w:val="16"/>
                <w:lang w:val="fr-BE"/>
              </w:rPr>
            </w:pPr>
          </w:p>
        </w:tc>
        <w:tc>
          <w:tcPr>
            <w:tcW w:w="0" w:type="auto"/>
          </w:tcPr>
          <w:p w14:paraId="5C15CB65" w14:textId="77777777" w:rsidR="008C5CFA" w:rsidRPr="0024468B" w:rsidRDefault="00E82A60" w:rsidP="00300A01">
            <w:pPr>
              <w:spacing w:before="0" w:after="0"/>
              <w:jc w:val="right"/>
              <w:rPr>
                <w:sz w:val="16"/>
                <w:szCs w:val="16"/>
                <w:lang w:val="fr-BE"/>
              </w:rPr>
            </w:pPr>
            <w:r w:rsidRPr="0024468B">
              <w:rPr>
                <w:noProof/>
                <w:sz w:val="16"/>
                <w:szCs w:val="16"/>
                <w:lang w:val="fr-BE"/>
              </w:rPr>
              <w:t>28,08</w:t>
            </w:r>
          </w:p>
        </w:tc>
        <w:tc>
          <w:tcPr>
            <w:tcW w:w="0" w:type="auto"/>
          </w:tcPr>
          <w:p w14:paraId="4B28BAB5" w14:textId="77777777" w:rsidR="008C5CFA" w:rsidRPr="0024468B" w:rsidRDefault="008C5CFA" w:rsidP="00300A01">
            <w:pPr>
              <w:spacing w:before="0" w:after="0"/>
              <w:jc w:val="right"/>
              <w:rPr>
                <w:sz w:val="16"/>
                <w:szCs w:val="16"/>
                <w:lang w:val="fr-BE"/>
              </w:rPr>
            </w:pPr>
          </w:p>
        </w:tc>
      </w:tr>
    </w:tbl>
    <w:p w14:paraId="40B4A5DC"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
        <w:gridCol w:w="9468"/>
        <w:gridCol w:w="2181"/>
        <w:gridCol w:w="2625"/>
      </w:tblGrid>
      <w:tr w:rsidR="006B2EC1" w14:paraId="52489BED" w14:textId="77777777" w:rsidTr="0047688D">
        <w:tc>
          <w:tcPr>
            <w:tcW w:w="0" w:type="auto"/>
            <w:shd w:val="clear" w:color="auto" w:fill="auto"/>
          </w:tcPr>
          <w:p w14:paraId="6D4BB32C" w14:textId="77777777" w:rsidR="008C5CFA" w:rsidRPr="0024468B" w:rsidRDefault="00E82A60" w:rsidP="00300A01">
            <w:pPr>
              <w:spacing w:before="0" w:after="0"/>
              <w:rPr>
                <w:sz w:val="16"/>
                <w:szCs w:val="16"/>
                <w:lang w:val="fr-BE"/>
              </w:rPr>
            </w:pPr>
            <w:r w:rsidRPr="0024468B">
              <w:rPr>
                <w:noProof/>
                <w:sz w:val="16"/>
                <w:szCs w:val="16"/>
                <w:lang w:val="fr-BE"/>
              </w:rPr>
              <w:t>ID</w:t>
            </w:r>
          </w:p>
        </w:tc>
        <w:tc>
          <w:tcPr>
            <w:tcW w:w="0" w:type="auto"/>
            <w:shd w:val="clear" w:color="auto" w:fill="auto"/>
          </w:tcPr>
          <w:p w14:paraId="0C259F6A" w14:textId="77777777" w:rsidR="008C5CFA" w:rsidRPr="0024468B" w:rsidRDefault="00E82A60" w:rsidP="00300A01">
            <w:pPr>
              <w:spacing w:before="0" w:after="0"/>
              <w:rPr>
                <w:sz w:val="16"/>
                <w:szCs w:val="16"/>
                <w:lang w:val="fr-BE"/>
              </w:rPr>
            </w:pPr>
            <w:r w:rsidRPr="0024468B">
              <w:rPr>
                <w:noProof/>
                <w:sz w:val="16"/>
                <w:szCs w:val="16"/>
                <w:lang w:val="fr-BE"/>
              </w:rPr>
              <w:t>Wskaźnik</w:t>
            </w:r>
          </w:p>
        </w:tc>
        <w:tc>
          <w:tcPr>
            <w:tcW w:w="0" w:type="auto"/>
            <w:shd w:val="clear" w:color="auto" w:fill="auto"/>
          </w:tcPr>
          <w:p w14:paraId="1A6165E0" w14:textId="77777777" w:rsidR="008C5CFA" w:rsidRPr="0024468B" w:rsidRDefault="00E82A60" w:rsidP="00300A01">
            <w:pPr>
              <w:spacing w:before="0" w:after="0"/>
              <w:jc w:val="center"/>
              <w:rPr>
                <w:sz w:val="16"/>
                <w:szCs w:val="16"/>
                <w:lang w:val="fr-BE"/>
              </w:rPr>
            </w:pPr>
            <w:r>
              <w:rPr>
                <w:sz w:val="16"/>
                <w:szCs w:val="16"/>
                <w:lang w:val="fr-BE"/>
              </w:rPr>
              <w:t xml:space="preserve">2014 </w:t>
            </w:r>
            <w:r>
              <w:rPr>
                <w:noProof/>
                <w:sz w:val="16"/>
                <w:szCs w:val="16"/>
                <w:lang w:val="fr-BE"/>
              </w:rPr>
              <w:t>Ogółem</w:t>
            </w:r>
          </w:p>
        </w:tc>
        <w:tc>
          <w:tcPr>
            <w:tcW w:w="0" w:type="auto"/>
            <w:shd w:val="clear" w:color="auto" w:fill="auto"/>
          </w:tcPr>
          <w:p w14:paraId="258DF6FA" w14:textId="77777777" w:rsidR="008C5CFA" w:rsidRPr="0024468B" w:rsidRDefault="00E82A60" w:rsidP="00300A01">
            <w:pPr>
              <w:spacing w:before="0" w:after="0"/>
              <w:jc w:val="center"/>
              <w:rPr>
                <w:sz w:val="16"/>
                <w:szCs w:val="16"/>
                <w:lang w:val="fr-BE"/>
              </w:rPr>
            </w:pPr>
            <w:r>
              <w:rPr>
                <w:sz w:val="16"/>
                <w:szCs w:val="16"/>
                <w:lang w:val="fr-BE"/>
              </w:rPr>
              <w:t xml:space="preserve">2014 </w:t>
            </w:r>
            <w:r w:rsidRPr="0024468B">
              <w:rPr>
                <w:noProof/>
                <w:sz w:val="16"/>
                <w:szCs w:val="16"/>
                <w:lang w:val="fr-BE"/>
              </w:rPr>
              <w:t>Jakościowe</w:t>
            </w:r>
          </w:p>
        </w:tc>
      </w:tr>
      <w:tr w:rsidR="006B2EC1" w14:paraId="56EA6CDA" w14:textId="77777777" w:rsidTr="0047688D">
        <w:tc>
          <w:tcPr>
            <w:tcW w:w="0" w:type="auto"/>
            <w:shd w:val="clear" w:color="auto" w:fill="auto"/>
          </w:tcPr>
          <w:p w14:paraId="4692BB66" w14:textId="77777777" w:rsidR="008C5CFA" w:rsidRPr="0024468B" w:rsidRDefault="00E82A60" w:rsidP="00300A01">
            <w:pPr>
              <w:spacing w:before="0" w:after="0"/>
              <w:rPr>
                <w:sz w:val="16"/>
                <w:szCs w:val="16"/>
                <w:lang w:val="fr-BE"/>
              </w:rPr>
            </w:pPr>
            <w:r w:rsidRPr="0024468B">
              <w:rPr>
                <w:noProof/>
                <w:sz w:val="16"/>
                <w:szCs w:val="16"/>
                <w:lang w:val="fr-BE"/>
              </w:rPr>
              <w:t>048</w:t>
            </w:r>
          </w:p>
        </w:tc>
        <w:tc>
          <w:tcPr>
            <w:tcW w:w="0" w:type="auto"/>
            <w:shd w:val="clear" w:color="auto" w:fill="auto"/>
          </w:tcPr>
          <w:p w14:paraId="062C0BE7" w14:textId="77777777" w:rsidR="008C5CFA" w:rsidRPr="0024468B" w:rsidRDefault="00E82A60" w:rsidP="00300A01">
            <w:pPr>
              <w:spacing w:before="0" w:after="0"/>
              <w:rPr>
                <w:sz w:val="16"/>
                <w:szCs w:val="16"/>
                <w:lang w:val="fr-BE"/>
              </w:rPr>
            </w:pPr>
            <w:r w:rsidRPr="0024468B">
              <w:rPr>
                <w:noProof/>
                <w:sz w:val="16"/>
                <w:szCs w:val="16"/>
                <w:lang w:val="fr-BE"/>
              </w:rPr>
              <w:t>WDDT II (wskaźnik drogowej dostępności –liczony na bazie WMDT)</w:t>
            </w:r>
          </w:p>
        </w:tc>
        <w:tc>
          <w:tcPr>
            <w:tcW w:w="0" w:type="auto"/>
            <w:shd w:val="clear" w:color="auto" w:fill="auto"/>
          </w:tcPr>
          <w:p w14:paraId="62D15A35" w14:textId="77777777" w:rsidR="008C5CFA" w:rsidRPr="0024468B" w:rsidRDefault="00E82A60" w:rsidP="00300A01">
            <w:pPr>
              <w:spacing w:before="0" w:after="0"/>
              <w:jc w:val="right"/>
              <w:rPr>
                <w:sz w:val="16"/>
                <w:szCs w:val="16"/>
                <w:lang w:val="fr-BE"/>
              </w:rPr>
            </w:pPr>
            <w:r w:rsidRPr="0024468B">
              <w:rPr>
                <w:noProof/>
                <w:sz w:val="16"/>
                <w:szCs w:val="16"/>
                <w:lang w:val="fr-BE"/>
              </w:rPr>
              <w:t>27,79</w:t>
            </w:r>
          </w:p>
        </w:tc>
        <w:tc>
          <w:tcPr>
            <w:tcW w:w="0" w:type="auto"/>
            <w:shd w:val="clear" w:color="auto" w:fill="auto"/>
          </w:tcPr>
          <w:p w14:paraId="147E936D" w14:textId="77777777" w:rsidR="008C5CFA" w:rsidRPr="0024468B" w:rsidRDefault="008C5CFA" w:rsidP="00300A01">
            <w:pPr>
              <w:spacing w:before="0" w:after="0"/>
              <w:jc w:val="right"/>
              <w:rPr>
                <w:sz w:val="16"/>
                <w:szCs w:val="16"/>
                <w:lang w:val="fr-BE"/>
              </w:rPr>
            </w:pPr>
          </w:p>
        </w:tc>
      </w:tr>
    </w:tbl>
    <w:p w14:paraId="7A5EC022" w14:textId="77777777" w:rsidR="008C5CFA" w:rsidRDefault="008C5CFA" w:rsidP="00300A01">
      <w:pPr>
        <w:spacing w:before="0" w:after="0"/>
        <w:rPr>
          <w:lang w:val="fr-BE"/>
        </w:rPr>
      </w:pPr>
    </w:p>
    <w:p w14:paraId="1FFDC97F" w14:textId="77777777" w:rsidR="008C5CFA" w:rsidRDefault="00E82A60" w:rsidP="00300A01">
      <w:pPr>
        <w:spacing w:before="0" w:after="0"/>
        <w:rPr>
          <w:lang w:val="fr-BE"/>
        </w:rPr>
      </w:pPr>
      <w:r>
        <w:rPr>
          <w:lang w:val="fr-BE"/>
        </w:rPr>
        <w:br w:type="page"/>
      </w:r>
    </w:p>
    <w:p w14:paraId="6627CB66" w14:textId="77777777" w:rsidR="008C5CFA" w:rsidRPr="00B27C43" w:rsidRDefault="008C5CFA" w:rsidP="00300A01">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13200"/>
      </w:tblGrid>
      <w:tr w:rsidR="006B2EC1" w14:paraId="5BC2C3DD" w14:textId="77777777" w:rsidTr="0047688D">
        <w:tc>
          <w:tcPr>
            <w:tcW w:w="0" w:type="auto"/>
            <w:shd w:val="clear" w:color="auto" w:fill="auto"/>
          </w:tcPr>
          <w:p w14:paraId="1FB30616" w14:textId="77777777" w:rsidR="008C5CFA" w:rsidRPr="002124FC" w:rsidRDefault="00E82A60" w:rsidP="00300A01">
            <w:pPr>
              <w:spacing w:before="0" w:after="0"/>
              <w:rPr>
                <w:sz w:val="20"/>
                <w:szCs w:val="20"/>
                <w:lang w:val="fr-BE"/>
              </w:rPr>
            </w:pPr>
            <w:r>
              <w:rPr>
                <w:lang w:val="fr-BE"/>
              </w:rPr>
              <w:br w:type="page"/>
            </w:r>
            <w:r>
              <w:rPr>
                <w:lang w:val="fr-BE"/>
              </w:rPr>
              <w:br w:type="page"/>
            </w:r>
            <w:r w:rsidRPr="002124FC">
              <w:rPr>
                <w:noProof/>
                <w:sz w:val="20"/>
                <w:szCs w:val="20"/>
                <w:lang w:val="fr-BE"/>
              </w:rPr>
              <w:t>Oś priorytetowa</w:t>
            </w:r>
          </w:p>
        </w:tc>
        <w:tc>
          <w:tcPr>
            <w:tcW w:w="0" w:type="auto"/>
            <w:shd w:val="clear" w:color="auto" w:fill="auto"/>
          </w:tcPr>
          <w:p w14:paraId="31FD4166" w14:textId="77777777" w:rsidR="008C5CFA" w:rsidRPr="002124FC" w:rsidRDefault="00E82A60" w:rsidP="00300A01">
            <w:pPr>
              <w:spacing w:before="0" w:after="0"/>
              <w:rPr>
                <w:sz w:val="20"/>
                <w:szCs w:val="20"/>
                <w:lang w:val="fr-BE"/>
              </w:rPr>
            </w:pPr>
            <w:r w:rsidRPr="002124FC">
              <w:rPr>
                <w:noProof/>
                <w:sz w:val="20"/>
                <w:szCs w:val="20"/>
                <w:lang w:val="fr-BE"/>
              </w:rPr>
              <w:t>5</w:t>
            </w:r>
            <w:r w:rsidRPr="002124FC">
              <w:rPr>
                <w:sz w:val="20"/>
                <w:szCs w:val="20"/>
                <w:lang w:val="fr-BE"/>
              </w:rPr>
              <w:t xml:space="preserve"> - </w:t>
            </w:r>
            <w:r w:rsidRPr="002124FC">
              <w:rPr>
                <w:noProof/>
                <w:sz w:val="20"/>
                <w:szCs w:val="20"/>
                <w:lang w:val="fr-BE"/>
              </w:rPr>
              <w:t>Nowoczesna komunikacja</w:t>
            </w:r>
          </w:p>
        </w:tc>
      </w:tr>
      <w:tr w:rsidR="006B2EC1" w14:paraId="5B717DD1" w14:textId="77777777" w:rsidTr="0047688D">
        <w:tc>
          <w:tcPr>
            <w:tcW w:w="0" w:type="auto"/>
            <w:shd w:val="clear" w:color="auto" w:fill="auto"/>
          </w:tcPr>
          <w:p w14:paraId="59E0DF02" w14:textId="77777777" w:rsidR="008C5CFA" w:rsidRPr="002124FC" w:rsidRDefault="00E82A60"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14:paraId="22D834E2" w14:textId="77777777" w:rsidR="008C5CFA" w:rsidRPr="002124FC" w:rsidRDefault="00E82A60" w:rsidP="00300A01">
            <w:pPr>
              <w:spacing w:before="0" w:after="0"/>
              <w:rPr>
                <w:sz w:val="20"/>
                <w:szCs w:val="20"/>
                <w:lang w:val="fr-BE"/>
              </w:rPr>
            </w:pPr>
            <w:r w:rsidRPr="002124FC">
              <w:rPr>
                <w:noProof/>
                <w:sz w:val="20"/>
                <w:szCs w:val="20"/>
                <w:lang w:val="fr-BE"/>
              </w:rPr>
              <w:t>7d</w:t>
            </w:r>
            <w:r w:rsidRPr="002124FC">
              <w:rPr>
                <w:sz w:val="20"/>
                <w:szCs w:val="20"/>
                <w:lang w:val="fr-BE"/>
              </w:rPr>
              <w:t xml:space="preserve"> - </w:t>
            </w:r>
            <w:r w:rsidRPr="002124FC">
              <w:rPr>
                <w:noProof/>
                <w:sz w:val="20"/>
                <w:szCs w:val="20"/>
                <w:lang w:val="fr-BE"/>
              </w:rPr>
              <w:t>Rozwój i rehabilitacja kompleksowych, wysokiej jakości i interoperacyjnych systemów transportu kolejowego oraz propagowanie działań służących zmniejszaniu hałasu</w:t>
            </w:r>
          </w:p>
        </w:tc>
      </w:tr>
    </w:tbl>
    <w:p w14:paraId="2BF4B237" w14:textId="77777777" w:rsidR="008C5CFA" w:rsidRDefault="008C5CFA" w:rsidP="00300A01">
      <w:pPr>
        <w:spacing w:before="0" w:after="0"/>
        <w:rPr>
          <w:lang w:val="fr-BE"/>
        </w:rPr>
      </w:pPr>
    </w:p>
    <w:p w14:paraId="6565A20C" w14:textId="77777777" w:rsidR="008C5CFA" w:rsidRDefault="00E82A60" w:rsidP="00300A01">
      <w:pPr>
        <w:pStyle w:val="Nagwek2"/>
        <w:spacing w:before="0" w:after="0"/>
        <w:rPr>
          <w:lang w:val="fr-BE"/>
        </w:rPr>
      </w:pPr>
      <w:bookmarkStart w:id="36" w:name="_Toc46391720"/>
      <w:r>
        <w:rPr>
          <w:noProof/>
          <w:lang w:val="fr-BE"/>
        </w:rPr>
        <w:t>Tabela 3A</w:t>
      </w:r>
      <w:r>
        <w:rPr>
          <w:lang w:val="fr-BE"/>
        </w:rPr>
        <w:t xml:space="preserve">: </w:t>
      </w:r>
      <w:r>
        <w:rPr>
          <w:noProof/>
          <w:lang w:val="fr-BE"/>
        </w:rPr>
        <w:t>Wspólne i specyficzne dla danego programu wskaźniki produktu dla EFRR i Funduszu Spójności (wg osi priorytetowej, priorytetu inwestycyjnego, w podziale na kategorię regionu dla celów EFRR)</w:t>
      </w:r>
      <w:r w:rsidR="009C5874">
        <w:rPr>
          <w:lang w:val="fr-BE"/>
        </w:rPr>
        <w:t xml:space="preserve"> - </w:t>
      </w:r>
      <w:r w:rsidR="00F022AC" w:rsidRPr="002124FC">
        <w:rPr>
          <w:noProof/>
          <w:sz w:val="20"/>
          <w:szCs w:val="20"/>
          <w:lang w:val="fr-BE"/>
        </w:rPr>
        <w:t>5</w:t>
      </w:r>
      <w:r w:rsidR="00F022AC">
        <w:rPr>
          <w:sz w:val="20"/>
          <w:szCs w:val="20"/>
          <w:lang w:val="fr-BE"/>
        </w:rPr>
        <w:t xml:space="preserve"> / </w:t>
      </w:r>
      <w:r w:rsidR="00F022AC" w:rsidRPr="002124FC">
        <w:rPr>
          <w:noProof/>
          <w:sz w:val="20"/>
          <w:szCs w:val="20"/>
          <w:lang w:val="fr-BE"/>
        </w:rPr>
        <w:t>7d</w:t>
      </w:r>
      <w:bookmarkEnd w:id="36"/>
    </w:p>
    <w:p w14:paraId="07069DCD"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01"/>
        <w:gridCol w:w="497"/>
        <w:gridCol w:w="2657"/>
        <w:gridCol w:w="1133"/>
        <w:gridCol w:w="1207"/>
        <w:gridCol w:w="1911"/>
        <w:gridCol w:w="2085"/>
        <w:gridCol w:w="1924"/>
        <w:gridCol w:w="908"/>
        <w:gridCol w:w="1094"/>
        <w:gridCol w:w="917"/>
        <w:gridCol w:w="550"/>
      </w:tblGrid>
      <w:tr w:rsidR="006B2EC1" w14:paraId="5F9E2225" w14:textId="77777777" w:rsidTr="0047688D">
        <w:trPr>
          <w:tblHeader/>
        </w:trPr>
        <w:tc>
          <w:tcPr>
            <w:tcW w:w="0" w:type="auto"/>
          </w:tcPr>
          <w:p w14:paraId="23E0631E" w14:textId="77777777" w:rsidR="008C5CFA" w:rsidRPr="009143B4" w:rsidRDefault="00E82A60" w:rsidP="00300A01">
            <w:pPr>
              <w:spacing w:before="0" w:after="0"/>
              <w:rPr>
                <w:b/>
                <w:sz w:val="16"/>
                <w:szCs w:val="16"/>
                <w:lang w:val="fr-BE"/>
              </w:rPr>
            </w:pPr>
            <w:r w:rsidRPr="009143B4">
              <w:rPr>
                <w:b/>
                <w:sz w:val="16"/>
                <w:szCs w:val="16"/>
                <w:lang w:val="fr-BE"/>
              </w:rPr>
              <w:t>(1)</w:t>
            </w:r>
          </w:p>
        </w:tc>
        <w:tc>
          <w:tcPr>
            <w:tcW w:w="0" w:type="auto"/>
            <w:shd w:val="clear" w:color="auto" w:fill="auto"/>
          </w:tcPr>
          <w:p w14:paraId="72473EBA" w14:textId="77777777" w:rsidR="008C5CFA" w:rsidRPr="009143B4" w:rsidRDefault="00E82A60" w:rsidP="00300A01">
            <w:pPr>
              <w:spacing w:before="0" w:after="0"/>
              <w:rPr>
                <w:b/>
                <w:sz w:val="16"/>
                <w:szCs w:val="16"/>
                <w:lang w:val="fr-BE"/>
              </w:rPr>
            </w:pPr>
            <w:r w:rsidRPr="009143B4">
              <w:rPr>
                <w:b/>
                <w:noProof/>
                <w:sz w:val="16"/>
                <w:szCs w:val="16"/>
                <w:lang w:val="fr-BE"/>
              </w:rPr>
              <w:t>ID</w:t>
            </w:r>
          </w:p>
        </w:tc>
        <w:tc>
          <w:tcPr>
            <w:tcW w:w="0" w:type="auto"/>
            <w:shd w:val="clear" w:color="auto" w:fill="auto"/>
          </w:tcPr>
          <w:p w14:paraId="323E54B1" w14:textId="77777777" w:rsidR="008C5CFA" w:rsidRPr="009143B4" w:rsidRDefault="00E82A60" w:rsidP="00300A01">
            <w:pPr>
              <w:spacing w:before="0" w:after="0"/>
              <w:rPr>
                <w:b/>
                <w:sz w:val="16"/>
                <w:szCs w:val="16"/>
                <w:lang w:val="fr-BE"/>
              </w:rPr>
            </w:pPr>
            <w:r w:rsidRPr="009143B4">
              <w:rPr>
                <w:b/>
                <w:noProof/>
                <w:sz w:val="16"/>
                <w:szCs w:val="16"/>
                <w:lang w:val="fr-BE"/>
              </w:rPr>
              <w:t>Wskaźnik</w:t>
            </w:r>
          </w:p>
        </w:tc>
        <w:tc>
          <w:tcPr>
            <w:tcW w:w="0" w:type="auto"/>
            <w:shd w:val="clear" w:color="auto" w:fill="auto"/>
          </w:tcPr>
          <w:p w14:paraId="1C43CC2A" w14:textId="77777777" w:rsidR="008C5CFA" w:rsidRPr="009143B4" w:rsidRDefault="00E82A60" w:rsidP="00300A01">
            <w:pPr>
              <w:spacing w:before="0" w:after="0"/>
              <w:rPr>
                <w:b/>
                <w:sz w:val="16"/>
                <w:szCs w:val="16"/>
                <w:lang w:val="fr-BE"/>
              </w:rPr>
            </w:pPr>
            <w:r w:rsidRPr="009143B4">
              <w:rPr>
                <w:b/>
                <w:noProof/>
                <w:sz w:val="16"/>
                <w:szCs w:val="16"/>
                <w:lang w:val="fr-BE"/>
              </w:rPr>
              <w:t>Jednostka miary</w:t>
            </w:r>
          </w:p>
        </w:tc>
        <w:tc>
          <w:tcPr>
            <w:tcW w:w="0" w:type="auto"/>
            <w:shd w:val="clear" w:color="auto" w:fill="auto"/>
          </w:tcPr>
          <w:p w14:paraId="6FFC3422" w14:textId="77777777" w:rsidR="008C5CFA" w:rsidRPr="009143B4" w:rsidRDefault="00E82A60" w:rsidP="00300A01">
            <w:pPr>
              <w:spacing w:before="0" w:after="0"/>
              <w:rPr>
                <w:b/>
                <w:sz w:val="16"/>
                <w:szCs w:val="16"/>
                <w:lang w:val="fr-BE"/>
              </w:rPr>
            </w:pPr>
            <w:r w:rsidRPr="009143B4">
              <w:rPr>
                <w:b/>
                <w:noProof/>
                <w:sz w:val="16"/>
                <w:szCs w:val="16"/>
                <w:lang w:val="fr-BE"/>
              </w:rPr>
              <w:t>Kategoria regionu</w:t>
            </w:r>
          </w:p>
        </w:tc>
        <w:tc>
          <w:tcPr>
            <w:tcW w:w="0" w:type="auto"/>
            <w:shd w:val="clear" w:color="auto" w:fill="auto"/>
          </w:tcPr>
          <w:p w14:paraId="3968E421" w14:textId="77777777" w:rsidR="008C5CFA" w:rsidRPr="009143B4" w:rsidRDefault="00E82A60" w:rsidP="00300A01">
            <w:pPr>
              <w:spacing w:before="0" w:after="0"/>
              <w:jc w:val="center"/>
              <w:rPr>
                <w:b/>
                <w:sz w:val="16"/>
                <w:szCs w:val="16"/>
                <w:lang w:val="fr-BE"/>
              </w:rPr>
            </w:pPr>
            <w:r w:rsidRPr="009143B4">
              <w:rPr>
                <w:b/>
                <w:noProof/>
                <w:sz w:val="16"/>
                <w:szCs w:val="16"/>
                <w:lang w:val="fr-BE"/>
              </w:rPr>
              <w:t>Wartość docelowa (2023) ogółem</w:t>
            </w:r>
          </w:p>
        </w:tc>
        <w:tc>
          <w:tcPr>
            <w:tcW w:w="0" w:type="auto"/>
            <w:shd w:val="clear" w:color="auto" w:fill="auto"/>
          </w:tcPr>
          <w:p w14:paraId="08048F7F" w14:textId="77777777" w:rsidR="008C5CFA" w:rsidRPr="009143B4" w:rsidRDefault="00E82A60" w:rsidP="00300A01">
            <w:pPr>
              <w:spacing w:before="0" w:after="0"/>
              <w:jc w:val="center"/>
              <w:rPr>
                <w:b/>
                <w:sz w:val="16"/>
                <w:szCs w:val="16"/>
                <w:lang w:val="fr-BE"/>
              </w:rPr>
            </w:pPr>
            <w:r w:rsidRPr="009143B4">
              <w:rPr>
                <w:b/>
                <w:noProof/>
                <w:sz w:val="16"/>
                <w:szCs w:val="16"/>
                <w:lang w:val="fr-BE"/>
              </w:rPr>
              <w:t>Wartość docelowa (2023) mężczyźni</w:t>
            </w:r>
          </w:p>
        </w:tc>
        <w:tc>
          <w:tcPr>
            <w:tcW w:w="0" w:type="auto"/>
          </w:tcPr>
          <w:p w14:paraId="3201B5E2" w14:textId="77777777" w:rsidR="008C5CFA" w:rsidRPr="009143B4" w:rsidRDefault="00E82A60" w:rsidP="00300A01">
            <w:pPr>
              <w:spacing w:before="0" w:after="0"/>
              <w:jc w:val="center"/>
              <w:rPr>
                <w:b/>
                <w:sz w:val="16"/>
                <w:szCs w:val="16"/>
                <w:lang w:val="fr-BE"/>
              </w:rPr>
            </w:pPr>
            <w:r w:rsidRPr="009143B4">
              <w:rPr>
                <w:b/>
                <w:noProof/>
                <w:sz w:val="16"/>
                <w:szCs w:val="16"/>
                <w:lang w:val="fr-BE"/>
              </w:rPr>
              <w:t>Wartość docelowa (2023) kobiety</w:t>
            </w:r>
          </w:p>
        </w:tc>
        <w:tc>
          <w:tcPr>
            <w:tcW w:w="0" w:type="auto"/>
            <w:shd w:val="clear" w:color="auto" w:fill="auto"/>
          </w:tcPr>
          <w:p w14:paraId="06AB622B" w14:textId="77777777" w:rsidR="008C5CFA" w:rsidRPr="009143B4" w:rsidRDefault="00E82A60" w:rsidP="00300A01">
            <w:pPr>
              <w:spacing w:before="0" w:after="0"/>
              <w:jc w:val="center"/>
              <w:rPr>
                <w:b/>
                <w:sz w:val="16"/>
                <w:szCs w:val="16"/>
                <w:lang w:val="fr-BE"/>
              </w:rPr>
            </w:pPr>
            <w:r>
              <w:rPr>
                <w:b/>
                <w:sz w:val="16"/>
                <w:szCs w:val="16"/>
                <w:lang w:val="fr-BE"/>
              </w:rPr>
              <w:t xml:space="preserve">2019 </w:t>
            </w:r>
            <w:r w:rsidRPr="009143B4">
              <w:rPr>
                <w:b/>
                <w:noProof/>
                <w:sz w:val="16"/>
                <w:szCs w:val="16"/>
                <w:lang w:val="fr-BE"/>
              </w:rPr>
              <w:t>Ogółem</w:t>
            </w:r>
          </w:p>
        </w:tc>
        <w:tc>
          <w:tcPr>
            <w:tcW w:w="0" w:type="auto"/>
            <w:shd w:val="clear" w:color="auto" w:fill="auto"/>
          </w:tcPr>
          <w:p w14:paraId="77E1AE89" w14:textId="77777777" w:rsidR="008C5CFA" w:rsidRPr="009143B4" w:rsidRDefault="00E82A60" w:rsidP="00300A01">
            <w:pPr>
              <w:spacing w:before="0" w:after="0"/>
              <w:jc w:val="center"/>
              <w:rPr>
                <w:b/>
                <w:sz w:val="16"/>
                <w:szCs w:val="16"/>
                <w:lang w:val="fr-BE"/>
              </w:rPr>
            </w:pPr>
            <w:r>
              <w:rPr>
                <w:b/>
                <w:sz w:val="16"/>
                <w:szCs w:val="16"/>
                <w:lang w:val="fr-BE"/>
              </w:rPr>
              <w:t xml:space="preserve">2019 </w:t>
            </w:r>
            <w:r w:rsidRPr="009143B4">
              <w:rPr>
                <w:b/>
                <w:noProof/>
                <w:sz w:val="16"/>
                <w:szCs w:val="16"/>
                <w:lang w:val="fr-BE"/>
              </w:rPr>
              <w:t>Mężczyźni</w:t>
            </w:r>
          </w:p>
        </w:tc>
        <w:tc>
          <w:tcPr>
            <w:tcW w:w="0" w:type="auto"/>
            <w:shd w:val="clear" w:color="auto" w:fill="auto"/>
          </w:tcPr>
          <w:p w14:paraId="27F1B056" w14:textId="77777777" w:rsidR="008C5CFA" w:rsidRPr="009143B4" w:rsidRDefault="00E82A60" w:rsidP="00300A01">
            <w:pPr>
              <w:spacing w:before="0" w:after="0"/>
              <w:jc w:val="center"/>
              <w:rPr>
                <w:b/>
                <w:sz w:val="16"/>
                <w:szCs w:val="16"/>
                <w:lang w:val="fr-BE"/>
              </w:rPr>
            </w:pPr>
            <w:r>
              <w:rPr>
                <w:b/>
                <w:sz w:val="16"/>
                <w:szCs w:val="16"/>
                <w:lang w:val="fr-BE"/>
              </w:rPr>
              <w:t xml:space="preserve">2019 </w:t>
            </w:r>
            <w:r w:rsidRPr="009143B4">
              <w:rPr>
                <w:b/>
                <w:noProof/>
                <w:sz w:val="16"/>
                <w:szCs w:val="16"/>
                <w:lang w:val="fr-BE"/>
              </w:rPr>
              <w:t>Kobiety</w:t>
            </w:r>
          </w:p>
        </w:tc>
        <w:tc>
          <w:tcPr>
            <w:tcW w:w="0" w:type="auto"/>
            <w:shd w:val="clear" w:color="auto" w:fill="auto"/>
          </w:tcPr>
          <w:p w14:paraId="7E06A2BD" w14:textId="77777777" w:rsidR="008C5CFA" w:rsidRPr="009143B4" w:rsidRDefault="00E82A60" w:rsidP="00300A01">
            <w:pPr>
              <w:spacing w:before="0" w:after="0"/>
              <w:jc w:val="center"/>
              <w:rPr>
                <w:b/>
                <w:sz w:val="16"/>
                <w:szCs w:val="16"/>
                <w:lang w:val="fr-BE"/>
              </w:rPr>
            </w:pPr>
            <w:r w:rsidRPr="009143B4">
              <w:rPr>
                <w:b/>
                <w:noProof/>
                <w:sz w:val="16"/>
                <w:szCs w:val="16"/>
                <w:lang w:val="fr-BE"/>
              </w:rPr>
              <w:t>Uwagi</w:t>
            </w:r>
          </w:p>
        </w:tc>
      </w:tr>
      <w:tr w:rsidR="006B2EC1" w14:paraId="684E46D9" w14:textId="77777777" w:rsidTr="0047688D">
        <w:tc>
          <w:tcPr>
            <w:tcW w:w="0" w:type="auto"/>
          </w:tcPr>
          <w:p w14:paraId="5090DE73" w14:textId="77777777" w:rsidR="008C5CFA" w:rsidRPr="0024468B" w:rsidRDefault="00E82A60" w:rsidP="00300A01">
            <w:pPr>
              <w:spacing w:before="0" w:after="0"/>
              <w:rPr>
                <w:sz w:val="16"/>
                <w:szCs w:val="16"/>
                <w:lang w:val="fr-BE"/>
              </w:rPr>
            </w:pPr>
            <w:r>
              <w:rPr>
                <w:noProof/>
                <w:sz w:val="16"/>
                <w:szCs w:val="16"/>
                <w:lang w:val="fr-BE"/>
              </w:rPr>
              <w:t>F</w:t>
            </w:r>
          </w:p>
        </w:tc>
        <w:tc>
          <w:tcPr>
            <w:tcW w:w="0" w:type="auto"/>
            <w:shd w:val="clear" w:color="auto" w:fill="auto"/>
          </w:tcPr>
          <w:p w14:paraId="60B2C907" w14:textId="77777777" w:rsidR="008C5CFA" w:rsidRPr="0024468B" w:rsidRDefault="00E82A60" w:rsidP="00300A01">
            <w:pPr>
              <w:spacing w:before="0" w:after="0"/>
              <w:rPr>
                <w:sz w:val="16"/>
                <w:szCs w:val="16"/>
                <w:lang w:val="fr-BE"/>
              </w:rPr>
            </w:pPr>
            <w:r w:rsidRPr="0024468B">
              <w:rPr>
                <w:noProof/>
                <w:sz w:val="16"/>
                <w:szCs w:val="16"/>
                <w:lang w:val="fr-BE"/>
              </w:rPr>
              <w:t>CO11</w:t>
            </w:r>
          </w:p>
        </w:tc>
        <w:tc>
          <w:tcPr>
            <w:tcW w:w="0" w:type="auto"/>
            <w:shd w:val="clear" w:color="auto" w:fill="auto"/>
          </w:tcPr>
          <w:p w14:paraId="45D6F6EC" w14:textId="77777777" w:rsidR="008C5CFA" w:rsidRPr="0024468B" w:rsidRDefault="00E82A60" w:rsidP="00300A01">
            <w:pPr>
              <w:spacing w:before="0" w:after="0"/>
              <w:rPr>
                <w:sz w:val="16"/>
                <w:szCs w:val="16"/>
                <w:lang w:val="fr-BE"/>
              </w:rPr>
            </w:pPr>
            <w:r w:rsidRPr="0024468B">
              <w:rPr>
                <w:noProof/>
                <w:sz w:val="16"/>
                <w:szCs w:val="16"/>
                <w:lang w:val="fr-BE"/>
              </w:rPr>
              <w:t>Kolej: całkowita długość nowych linii kolejowych</w:t>
            </w:r>
          </w:p>
        </w:tc>
        <w:tc>
          <w:tcPr>
            <w:tcW w:w="0" w:type="auto"/>
            <w:shd w:val="clear" w:color="auto" w:fill="auto"/>
          </w:tcPr>
          <w:p w14:paraId="62CB8C5B" w14:textId="77777777" w:rsidR="008C5CFA" w:rsidRPr="0024468B" w:rsidRDefault="00E82A60" w:rsidP="00300A01">
            <w:pPr>
              <w:spacing w:before="0" w:after="0"/>
              <w:rPr>
                <w:sz w:val="16"/>
                <w:szCs w:val="16"/>
                <w:lang w:val="fr-BE"/>
              </w:rPr>
            </w:pPr>
            <w:r>
              <w:rPr>
                <w:noProof/>
                <w:sz w:val="16"/>
                <w:szCs w:val="16"/>
                <w:lang w:val="fr-BE"/>
              </w:rPr>
              <w:t>km</w:t>
            </w:r>
          </w:p>
        </w:tc>
        <w:tc>
          <w:tcPr>
            <w:tcW w:w="0" w:type="auto"/>
            <w:shd w:val="clear" w:color="auto" w:fill="auto"/>
          </w:tcPr>
          <w:p w14:paraId="35D469FB" w14:textId="77777777" w:rsidR="008C5CFA" w:rsidRPr="0024468B" w:rsidRDefault="00E82A60"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14:paraId="30F2A3BE" w14:textId="77777777" w:rsidR="008C5CFA" w:rsidRPr="0024468B" w:rsidRDefault="00E82A60" w:rsidP="00300A01">
            <w:pPr>
              <w:spacing w:before="0" w:after="0"/>
              <w:jc w:val="right"/>
              <w:rPr>
                <w:sz w:val="16"/>
                <w:szCs w:val="16"/>
                <w:lang w:val="fr-BE"/>
              </w:rPr>
            </w:pPr>
            <w:r>
              <w:rPr>
                <w:noProof/>
                <w:sz w:val="16"/>
                <w:szCs w:val="16"/>
                <w:lang w:val="fr-BE"/>
              </w:rPr>
              <w:t>3,90</w:t>
            </w:r>
          </w:p>
        </w:tc>
        <w:tc>
          <w:tcPr>
            <w:tcW w:w="0" w:type="auto"/>
            <w:shd w:val="clear" w:color="auto" w:fill="auto"/>
          </w:tcPr>
          <w:p w14:paraId="67807687" w14:textId="77777777" w:rsidR="008C5CFA" w:rsidRPr="0024468B" w:rsidRDefault="008C5CFA" w:rsidP="00300A01">
            <w:pPr>
              <w:spacing w:before="0" w:after="0"/>
              <w:jc w:val="right"/>
              <w:rPr>
                <w:sz w:val="16"/>
                <w:szCs w:val="16"/>
                <w:lang w:val="fr-BE"/>
              </w:rPr>
            </w:pPr>
          </w:p>
        </w:tc>
        <w:tc>
          <w:tcPr>
            <w:tcW w:w="0" w:type="auto"/>
          </w:tcPr>
          <w:p w14:paraId="46501653" w14:textId="77777777" w:rsidR="008C5CFA" w:rsidRPr="0024468B" w:rsidRDefault="008C5CFA" w:rsidP="00300A01">
            <w:pPr>
              <w:spacing w:before="0" w:after="0"/>
              <w:jc w:val="right"/>
              <w:rPr>
                <w:sz w:val="16"/>
                <w:szCs w:val="16"/>
                <w:lang w:val="fr-BE"/>
              </w:rPr>
            </w:pPr>
          </w:p>
        </w:tc>
        <w:tc>
          <w:tcPr>
            <w:tcW w:w="0" w:type="auto"/>
            <w:shd w:val="clear" w:color="auto" w:fill="auto"/>
          </w:tcPr>
          <w:p w14:paraId="09753C9B"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71A2C09A"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0BC3B9ED"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6EC074D0" w14:textId="77777777" w:rsidR="008C5CFA" w:rsidRPr="0024468B" w:rsidRDefault="008C5CFA" w:rsidP="00300A01">
            <w:pPr>
              <w:spacing w:before="0" w:after="0"/>
              <w:rPr>
                <w:sz w:val="16"/>
                <w:szCs w:val="16"/>
                <w:lang w:val="fr-BE"/>
              </w:rPr>
            </w:pPr>
          </w:p>
        </w:tc>
      </w:tr>
      <w:tr w:rsidR="006B2EC1" w14:paraId="0FE5379E" w14:textId="77777777" w:rsidTr="0047688D">
        <w:tc>
          <w:tcPr>
            <w:tcW w:w="0" w:type="auto"/>
          </w:tcPr>
          <w:p w14:paraId="1E00D344" w14:textId="77777777" w:rsidR="008C5CFA" w:rsidRPr="0024468B" w:rsidRDefault="00E82A60" w:rsidP="00300A01">
            <w:pPr>
              <w:spacing w:before="0" w:after="0"/>
              <w:rPr>
                <w:sz w:val="16"/>
                <w:szCs w:val="16"/>
                <w:lang w:val="fr-BE"/>
              </w:rPr>
            </w:pPr>
            <w:r>
              <w:rPr>
                <w:noProof/>
                <w:sz w:val="16"/>
                <w:szCs w:val="16"/>
                <w:lang w:val="fr-BE"/>
              </w:rPr>
              <w:t>S</w:t>
            </w:r>
          </w:p>
        </w:tc>
        <w:tc>
          <w:tcPr>
            <w:tcW w:w="0" w:type="auto"/>
            <w:shd w:val="clear" w:color="auto" w:fill="auto"/>
          </w:tcPr>
          <w:p w14:paraId="20B5A8C7" w14:textId="77777777" w:rsidR="008C5CFA" w:rsidRPr="0024468B" w:rsidRDefault="00E82A60" w:rsidP="00300A01">
            <w:pPr>
              <w:spacing w:before="0" w:after="0"/>
              <w:rPr>
                <w:sz w:val="16"/>
                <w:szCs w:val="16"/>
                <w:lang w:val="fr-BE"/>
              </w:rPr>
            </w:pPr>
            <w:r w:rsidRPr="0024468B">
              <w:rPr>
                <w:noProof/>
                <w:sz w:val="16"/>
                <w:szCs w:val="16"/>
                <w:lang w:val="fr-BE"/>
              </w:rPr>
              <w:t>CO11</w:t>
            </w:r>
          </w:p>
        </w:tc>
        <w:tc>
          <w:tcPr>
            <w:tcW w:w="0" w:type="auto"/>
            <w:shd w:val="clear" w:color="auto" w:fill="auto"/>
          </w:tcPr>
          <w:p w14:paraId="7418A24C" w14:textId="77777777" w:rsidR="008C5CFA" w:rsidRPr="0024468B" w:rsidRDefault="00E82A60" w:rsidP="00300A01">
            <w:pPr>
              <w:spacing w:before="0" w:after="0"/>
              <w:rPr>
                <w:sz w:val="16"/>
                <w:szCs w:val="16"/>
                <w:lang w:val="fr-BE"/>
              </w:rPr>
            </w:pPr>
            <w:r w:rsidRPr="0024468B">
              <w:rPr>
                <w:noProof/>
                <w:sz w:val="16"/>
                <w:szCs w:val="16"/>
                <w:lang w:val="fr-BE"/>
              </w:rPr>
              <w:t>Kolej: całkowita długość nowych linii kolejowych</w:t>
            </w:r>
          </w:p>
        </w:tc>
        <w:tc>
          <w:tcPr>
            <w:tcW w:w="0" w:type="auto"/>
            <w:shd w:val="clear" w:color="auto" w:fill="auto"/>
          </w:tcPr>
          <w:p w14:paraId="70172CCD" w14:textId="77777777" w:rsidR="008C5CFA" w:rsidRPr="0024468B" w:rsidRDefault="00E82A60" w:rsidP="00300A01">
            <w:pPr>
              <w:spacing w:before="0" w:after="0"/>
              <w:rPr>
                <w:sz w:val="16"/>
                <w:szCs w:val="16"/>
                <w:lang w:val="fr-BE"/>
              </w:rPr>
            </w:pPr>
            <w:r>
              <w:rPr>
                <w:noProof/>
                <w:sz w:val="16"/>
                <w:szCs w:val="16"/>
                <w:lang w:val="fr-BE"/>
              </w:rPr>
              <w:t>km</w:t>
            </w:r>
          </w:p>
        </w:tc>
        <w:tc>
          <w:tcPr>
            <w:tcW w:w="0" w:type="auto"/>
            <w:shd w:val="clear" w:color="auto" w:fill="auto"/>
          </w:tcPr>
          <w:p w14:paraId="441EA397" w14:textId="77777777" w:rsidR="008C5CFA" w:rsidRPr="0024468B" w:rsidRDefault="00E82A60"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14:paraId="6676C014" w14:textId="77777777" w:rsidR="008C5CFA" w:rsidRPr="0024468B" w:rsidRDefault="00E82A60" w:rsidP="00300A01">
            <w:pPr>
              <w:spacing w:before="0" w:after="0"/>
              <w:jc w:val="right"/>
              <w:rPr>
                <w:sz w:val="16"/>
                <w:szCs w:val="16"/>
                <w:lang w:val="fr-BE"/>
              </w:rPr>
            </w:pPr>
            <w:r>
              <w:rPr>
                <w:noProof/>
                <w:sz w:val="16"/>
                <w:szCs w:val="16"/>
                <w:lang w:val="fr-BE"/>
              </w:rPr>
              <w:t>3,90</w:t>
            </w:r>
          </w:p>
        </w:tc>
        <w:tc>
          <w:tcPr>
            <w:tcW w:w="0" w:type="auto"/>
            <w:shd w:val="clear" w:color="auto" w:fill="auto"/>
          </w:tcPr>
          <w:p w14:paraId="74B3B281" w14:textId="77777777" w:rsidR="008C5CFA" w:rsidRPr="0024468B" w:rsidRDefault="008C5CFA" w:rsidP="00300A01">
            <w:pPr>
              <w:spacing w:before="0" w:after="0"/>
              <w:jc w:val="right"/>
              <w:rPr>
                <w:sz w:val="16"/>
                <w:szCs w:val="16"/>
                <w:lang w:val="fr-BE"/>
              </w:rPr>
            </w:pPr>
          </w:p>
        </w:tc>
        <w:tc>
          <w:tcPr>
            <w:tcW w:w="0" w:type="auto"/>
          </w:tcPr>
          <w:p w14:paraId="2CD3E6A4" w14:textId="77777777" w:rsidR="008C5CFA" w:rsidRPr="0024468B" w:rsidRDefault="008C5CFA" w:rsidP="00300A01">
            <w:pPr>
              <w:spacing w:before="0" w:after="0"/>
              <w:jc w:val="right"/>
              <w:rPr>
                <w:sz w:val="16"/>
                <w:szCs w:val="16"/>
                <w:lang w:val="fr-BE"/>
              </w:rPr>
            </w:pPr>
          </w:p>
        </w:tc>
        <w:tc>
          <w:tcPr>
            <w:tcW w:w="0" w:type="auto"/>
            <w:shd w:val="clear" w:color="auto" w:fill="auto"/>
          </w:tcPr>
          <w:p w14:paraId="5843EB15" w14:textId="77777777" w:rsidR="008C5CFA" w:rsidRPr="0024468B" w:rsidRDefault="00E82A60" w:rsidP="00300A01">
            <w:pPr>
              <w:spacing w:before="0" w:after="0"/>
              <w:jc w:val="right"/>
              <w:rPr>
                <w:sz w:val="16"/>
                <w:szCs w:val="16"/>
                <w:lang w:val="fr-BE"/>
              </w:rPr>
            </w:pPr>
            <w:r w:rsidRPr="0024468B">
              <w:rPr>
                <w:noProof/>
                <w:sz w:val="16"/>
                <w:szCs w:val="16"/>
                <w:lang w:val="fr-BE"/>
              </w:rPr>
              <w:t>3,25</w:t>
            </w:r>
          </w:p>
        </w:tc>
        <w:tc>
          <w:tcPr>
            <w:tcW w:w="0" w:type="auto"/>
            <w:shd w:val="clear" w:color="auto" w:fill="auto"/>
          </w:tcPr>
          <w:p w14:paraId="409E65BC"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17B1C6B9"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1A21707D" w14:textId="77777777" w:rsidR="008C5CFA" w:rsidRPr="0024468B" w:rsidRDefault="008C5CFA" w:rsidP="00300A01">
            <w:pPr>
              <w:spacing w:before="0" w:after="0"/>
              <w:rPr>
                <w:sz w:val="16"/>
                <w:szCs w:val="16"/>
                <w:lang w:val="fr-BE"/>
              </w:rPr>
            </w:pPr>
          </w:p>
        </w:tc>
      </w:tr>
    </w:tbl>
    <w:p w14:paraId="67935175" w14:textId="77777777" w:rsidR="008C5CFA" w:rsidRDefault="00E82A60" w:rsidP="00300A01">
      <w:pPr>
        <w:spacing w:before="0" w:after="0"/>
        <w:rPr>
          <w:lang w:val="fr-BE"/>
        </w:rPr>
      </w:pPr>
      <w:r>
        <w:rPr>
          <w:noProof/>
          <w:lang w:val="fr-BE"/>
        </w:rPr>
        <w:t>1) S=wartość skumulowana – produkty, które mają być zrealizowane poprzez wybrane operacje [prognoza przedstawiona przez beneficjentów], F=wartość skumulowana – produkty zrealizowane poprzez operacje [rzeczywiste wykonanie]</w:t>
      </w:r>
    </w:p>
    <w:p w14:paraId="19A8E407"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31"/>
        <w:gridCol w:w="547"/>
        <w:gridCol w:w="3680"/>
        <w:gridCol w:w="1109"/>
        <w:gridCol w:w="1314"/>
        <w:gridCol w:w="1119"/>
        <w:gridCol w:w="1109"/>
        <w:gridCol w:w="1314"/>
        <w:gridCol w:w="1119"/>
        <w:gridCol w:w="1109"/>
        <w:gridCol w:w="1314"/>
        <w:gridCol w:w="1119"/>
      </w:tblGrid>
      <w:tr w:rsidR="006B2EC1" w14:paraId="2766DE02" w14:textId="77777777" w:rsidTr="0047688D">
        <w:trPr>
          <w:tblHeader/>
        </w:trPr>
        <w:tc>
          <w:tcPr>
            <w:tcW w:w="0" w:type="auto"/>
          </w:tcPr>
          <w:p w14:paraId="7F4090F1" w14:textId="77777777" w:rsidR="008C5CFA" w:rsidRPr="009143B4" w:rsidRDefault="00E82A60" w:rsidP="00300A01">
            <w:pPr>
              <w:spacing w:before="0" w:after="0"/>
              <w:rPr>
                <w:b/>
                <w:sz w:val="16"/>
                <w:szCs w:val="16"/>
                <w:lang w:val="fr-BE"/>
              </w:rPr>
            </w:pPr>
            <w:r w:rsidRPr="009143B4">
              <w:rPr>
                <w:b/>
                <w:sz w:val="16"/>
                <w:szCs w:val="16"/>
                <w:lang w:val="fr-BE"/>
              </w:rPr>
              <w:t>(1)</w:t>
            </w:r>
          </w:p>
        </w:tc>
        <w:tc>
          <w:tcPr>
            <w:tcW w:w="0" w:type="auto"/>
            <w:shd w:val="clear" w:color="auto" w:fill="auto"/>
          </w:tcPr>
          <w:p w14:paraId="6B057ACA" w14:textId="77777777" w:rsidR="008C5CFA" w:rsidRPr="009143B4" w:rsidRDefault="00E82A60" w:rsidP="00300A01">
            <w:pPr>
              <w:spacing w:before="0" w:after="0"/>
              <w:rPr>
                <w:b/>
                <w:sz w:val="16"/>
                <w:szCs w:val="16"/>
                <w:lang w:val="fr-BE"/>
              </w:rPr>
            </w:pPr>
            <w:r w:rsidRPr="009143B4">
              <w:rPr>
                <w:b/>
                <w:noProof/>
                <w:sz w:val="16"/>
                <w:szCs w:val="16"/>
                <w:lang w:val="fr-BE"/>
              </w:rPr>
              <w:t>ID</w:t>
            </w:r>
          </w:p>
        </w:tc>
        <w:tc>
          <w:tcPr>
            <w:tcW w:w="0" w:type="auto"/>
            <w:shd w:val="clear" w:color="auto" w:fill="auto"/>
          </w:tcPr>
          <w:p w14:paraId="4C44805B" w14:textId="77777777" w:rsidR="008C5CFA" w:rsidRPr="009143B4" w:rsidRDefault="00E82A60" w:rsidP="00300A01">
            <w:pPr>
              <w:spacing w:before="0" w:after="0"/>
              <w:rPr>
                <w:b/>
                <w:sz w:val="16"/>
                <w:szCs w:val="16"/>
                <w:lang w:val="fr-BE"/>
              </w:rPr>
            </w:pPr>
            <w:r w:rsidRPr="009143B4">
              <w:rPr>
                <w:b/>
                <w:noProof/>
                <w:sz w:val="16"/>
                <w:szCs w:val="16"/>
                <w:lang w:val="fr-BE"/>
              </w:rPr>
              <w:t>Wskaźnik</w:t>
            </w:r>
          </w:p>
        </w:tc>
        <w:tc>
          <w:tcPr>
            <w:tcW w:w="0" w:type="auto"/>
          </w:tcPr>
          <w:p w14:paraId="7AFD0F54" w14:textId="77777777" w:rsidR="008C5CFA" w:rsidRPr="009143B4" w:rsidRDefault="00E82A60" w:rsidP="00300A01">
            <w:pPr>
              <w:spacing w:before="0" w:after="0"/>
              <w:jc w:val="center"/>
              <w:rPr>
                <w:b/>
                <w:sz w:val="16"/>
                <w:szCs w:val="16"/>
                <w:lang w:val="fr-BE"/>
              </w:rPr>
            </w:pPr>
            <w:r>
              <w:rPr>
                <w:b/>
                <w:sz w:val="16"/>
                <w:szCs w:val="16"/>
                <w:lang w:val="fr-BE"/>
              </w:rPr>
              <w:t xml:space="preserve">2018 </w:t>
            </w:r>
            <w:r w:rsidRPr="009143B4">
              <w:rPr>
                <w:b/>
                <w:noProof/>
                <w:sz w:val="16"/>
                <w:szCs w:val="16"/>
                <w:lang w:val="fr-BE"/>
              </w:rPr>
              <w:t>Ogółem</w:t>
            </w:r>
          </w:p>
        </w:tc>
        <w:tc>
          <w:tcPr>
            <w:tcW w:w="0" w:type="auto"/>
          </w:tcPr>
          <w:p w14:paraId="5941F569" w14:textId="77777777" w:rsidR="008C5CFA" w:rsidRPr="009143B4" w:rsidRDefault="00E82A60" w:rsidP="00300A01">
            <w:pPr>
              <w:spacing w:before="0" w:after="0"/>
              <w:jc w:val="center"/>
              <w:rPr>
                <w:b/>
                <w:sz w:val="16"/>
                <w:szCs w:val="16"/>
                <w:lang w:val="fr-BE"/>
              </w:rPr>
            </w:pPr>
            <w:r>
              <w:rPr>
                <w:b/>
                <w:sz w:val="16"/>
                <w:szCs w:val="16"/>
                <w:lang w:val="fr-BE"/>
              </w:rPr>
              <w:t xml:space="preserve">2018 </w:t>
            </w:r>
            <w:r w:rsidRPr="009143B4">
              <w:rPr>
                <w:b/>
                <w:noProof/>
                <w:sz w:val="16"/>
                <w:szCs w:val="16"/>
                <w:lang w:val="fr-BE"/>
              </w:rPr>
              <w:t>Mężczyźni</w:t>
            </w:r>
          </w:p>
        </w:tc>
        <w:tc>
          <w:tcPr>
            <w:tcW w:w="0" w:type="auto"/>
          </w:tcPr>
          <w:p w14:paraId="5270AC90" w14:textId="77777777" w:rsidR="008C5CFA" w:rsidRPr="009143B4" w:rsidRDefault="00E82A60" w:rsidP="00300A01">
            <w:pPr>
              <w:spacing w:before="0" w:after="0"/>
              <w:jc w:val="center"/>
              <w:rPr>
                <w:b/>
                <w:sz w:val="16"/>
                <w:szCs w:val="16"/>
                <w:lang w:val="fr-BE"/>
              </w:rPr>
            </w:pPr>
            <w:r>
              <w:rPr>
                <w:b/>
                <w:sz w:val="16"/>
                <w:szCs w:val="16"/>
                <w:lang w:val="fr-BE"/>
              </w:rPr>
              <w:t xml:space="preserve">2018 </w:t>
            </w:r>
            <w:r w:rsidRPr="009143B4">
              <w:rPr>
                <w:b/>
                <w:noProof/>
                <w:sz w:val="16"/>
                <w:szCs w:val="16"/>
                <w:lang w:val="fr-BE"/>
              </w:rPr>
              <w:t>Kobiety</w:t>
            </w:r>
          </w:p>
        </w:tc>
        <w:tc>
          <w:tcPr>
            <w:tcW w:w="0" w:type="auto"/>
          </w:tcPr>
          <w:p w14:paraId="4798EDF9" w14:textId="77777777" w:rsidR="008C5CFA" w:rsidRPr="009143B4" w:rsidRDefault="00E82A60"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Ogółem</w:t>
            </w:r>
          </w:p>
        </w:tc>
        <w:tc>
          <w:tcPr>
            <w:tcW w:w="0" w:type="auto"/>
          </w:tcPr>
          <w:p w14:paraId="50EE453E" w14:textId="77777777" w:rsidR="008C5CFA" w:rsidRPr="009143B4" w:rsidRDefault="00E82A60"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Mężczyźni</w:t>
            </w:r>
          </w:p>
        </w:tc>
        <w:tc>
          <w:tcPr>
            <w:tcW w:w="0" w:type="auto"/>
          </w:tcPr>
          <w:p w14:paraId="5FE348EB" w14:textId="77777777" w:rsidR="008C5CFA" w:rsidRPr="009143B4" w:rsidRDefault="00E82A60"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Kobiety</w:t>
            </w:r>
          </w:p>
        </w:tc>
        <w:tc>
          <w:tcPr>
            <w:tcW w:w="0" w:type="auto"/>
            <w:shd w:val="clear" w:color="auto" w:fill="auto"/>
          </w:tcPr>
          <w:p w14:paraId="2D7140B4" w14:textId="77777777" w:rsidR="008C5CFA" w:rsidRPr="009143B4" w:rsidRDefault="00E82A60"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Ogółem</w:t>
            </w:r>
          </w:p>
        </w:tc>
        <w:tc>
          <w:tcPr>
            <w:tcW w:w="0" w:type="auto"/>
            <w:shd w:val="clear" w:color="auto" w:fill="auto"/>
          </w:tcPr>
          <w:p w14:paraId="6CCC115B" w14:textId="77777777" w:rsidR="008C5CFA" w:rsidRPr="009143B4" w:rsidRDefault="00E82A60"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Mężczyźni</w:t>
            </w:r>
          </w:p>
        </w:tc>
        <w:tc>
          <w:tcPr>
            <w:tcW w:w="0" w:type="auto"/>
            <w:shd w:val="clear" w:color="auto" w:fill="auto"/>
          </w:tcPr>
          <w:p w14:paraId="6BC2B356" w14:textId="77777777" w:rsidR="008C5CFA" w:rsidRPr="009143B4" w:rsidRDefault="00E82A60"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Kobiety</w:t>
            </w:r>
          </w:p>
        </w:tc>
      </w:tr>
      <w:tr w:rsidR="006B2EC1" w14:paraId="6A866CCE" w14:textId="77777777" w:rsidTr="0047688D">
        <w:tc>
          <w:tcPr>
            <w:tcW w:w="0" w:type="auto"/>
          </w:tcPr>
          <w:p w14:paraId="305FBEA1" w14:textId="77777777" w:rsidR="008C5CFA" w:rsidRPr="0024468B" w:rsidRDefault="00E82A60" w:rsidP="00300A01">
            <w:pPr>
              <w:spacing w:before="0" w:after="0"/>
              <w:rPr>
                <w:sz w:val="16"/>
                <w:szCs w:val="16"/>
                <w:lang w:val="fr-BE"/>
              </w:rPr>
            </w:pPr>
            <w:r>
              <w:rPr>
                <w:noProof/>
                <w:sz w:val="16"/>
                <w:szCs w:val="16"/>
                <w:lang w:val="fr-BE"/>
              </w:rPr>
              <w:t>F</w:t>
            </w:r>
          </w:p>
        </w:tc>
        <w:tc>
          <w:tcPr>
            <w:tcW w:w="0" w:type="auto"/>
            <w:shd w:val="clear" w:color="auto" w:fill="auto"/>
          </w:tcPr>
          <w:p w14:paraId="64210066" w14:textId="77777777" w:rsidR="008C5CFA" w:rsidRPr="0024468B" w:rsidRDefault="00E82A60" w:rsidP="00300A01">
            <w:pPr>
              <w:spacing w:before="0" w:after="0"/>
              <w:rPr>
                <w:sz w:val="16"/>
                <w:szCs w:val="16"/>
                <w:lang w:val="fr-BE"/>
              </w:rPr>
            </w:pPr>
            <w:r w:rsidRPr="0024468B">
              <w:rPr>
                <w:noProof/>
                <w:sz w:val="16"/>
                <w:szCs w:val="16"/>
                <w:lang w:val="fr-BE"/>
              </w:rPr>
              <w:t>CO11</w:t>
            </w:r>
          </w:p>
        </w:tc>
        <w:tc>
          <w:tcPr>
            <w:tcW w:w="0" w:type="auto"/>
            <w:shd w:val="clear" w:color="auto" w:fill="auto"/>
          </w:tcPr>
          <w:p w14:paraId="6119480E" w14:textId="77777777" w:rsidR="008C5CFA" w:rsidRPr="0024468B" w:rsidRDefault="00E82A60" w:rsidP="00300A01">
            <w:pPr>
              <w:spacing w:before="0" w:after="0"/>
              <w:rPr>
                <w:sz w:val="16"/>
                <w:szCs w:val="16"/>
                <w:lang w:val="fr-BE"/>
              </w:rPr>
            </w:pPr>
            <w:r w:rsidRPr="0024468B">
              <w:rPr>
                <w:noProof/>
                <w:sz w:val="16"/>
                <w:szCs w:val="16"/>
                <w:lang w:val="fr-BE"/>
              </w:rPr>
              <w:t>Kolej: całkowita długość nowych linii kolejowych</w:t>
            </w:r>
          </w:p>
        </w:tc>
        <w:tc>
          <w:tcPr>
            <w:tcW w:w="0" w:type="auto"/>
          </w:tcPr>
          <w:p w14:paraId="21EE3CB8"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4B9C2D71"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418836A5"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21A535AE"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5A09109A"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28CECD39"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20A3BF0D"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44E52A2B"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268F824C"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r w:rsidR="006B2EC1" w14:paraId="3C41659E" w14:textId="77777777" w:rsidTr="0047688D">
        <w:tc>
          <w:tcPr>
            <w:tcW w:w="0" w:type="auto"/>
          </w:tcPr>
          <w:p w14:paraId="42091AD0" w14:textId="77777777" w:rsidR="008C5CFA" w:rsidRPr="0024468B" w:rsidRDefault="00E82A60" w:rsidP="00300A01">
            <w:pPr>
              <w:spacing w:before="0" w:after="0"/>
              <w:rPr>
                <w:sz w:val="16"/>
                <w:szCs w:val="16"/>
                <w:lang w:val="fr-BE"/>
              </w:rPr>
            </w:pPr>
            <w:r>
              <w:rPr>
                <w:noProof/>
                <w:sz w:val="16"/>
                <w:szCs w:val="16"/>
                <w:lang w:val="fr-BE"/>
              </w:rPr>
              <w:t>S</w:t>
            </w:r>
          </w:p>
        </w:tc>
        <w:tc>
          <w:tcPr>
            <w:tcW w:w="0" w:type="auto"/>
            <w:shd w:val="clear" w:color="auto" w:fill="auto"/>
          </w:tcPr>
          <w:p w14:paraId="725680B1" w14:textId="77777777" w:rsidR="008C5CFA" w:rsidRPr="0024468B" w:rsidRDefault="00E82A60" w:rsidP="00300A01">
            <w:pPr>
              <w:spacing w:before="0" w:after="0"/>
              <w:rPr>
                <w:sz w:val="16"/>
                <w:szCs w:val="16"/>
                <w:lang w:val="fr-BE"/>
              </w:rPr>
            </w:pPr>
            <w:r w:rsidRPr="0024468B">
              <w:rPr>
                <w:noProof/>
                <w:sz w:val="16"/>
                <w:szCs w:val="16"/>
                <w:lang w:val="fr-BE"/>
              </w:rPr>
              <w:t>CO11</w:t>
            </w:r>
          </w:p>
        </w:tc>
        <w:tc>
          <w:tcPr>
            <w:tcW w:w="0" w:type="auto"/>
            <w:shd w:val="clear" w:color="auto" w:fill="auto"/>
          </w:tcPr>
          <w:p w14:paraId="7B93EC0D" w14:textId="77777777" w:rsidR="008C5CFA" w:rsidRPr="0024468B" w:rsidRDefault="00E82A60" w:rsidP="00300A01">
            <w:pPr>
              <w:spacing w:before="0" w:after="0"/>
              <w:rPr>
                <w:sz w:val="16"/>
                <w:szCs w:val="16"/>
                <w:lang w:val="fr-BE"/>
              </w:rPr>
            </w:pPr>
            <w:r w:rsidRPr="0024468B">
              <w:rPr>
                <w:noProof/>
                <w:sz w:val="16"/>
                <w:szCs w:val="16"/>
                <w:lang w:val="fr-BE"/>
              </w:rPr>
              <w:t>Kolej: całkowita długość nowych linii kolejowych</w:t>
            </w:r>
          </w:p>
        </w:tc>
        <w:tc>
          <w:tcPr>
            <w:tcW w:w="0" w:type="auto"/>
          </w:tcPr>
          <w:p w14:paraId="74D3A256" w14:textId="77777777" w:rsidR="008C5CFA" w:rsidRPr="0024468B" w:rsidRDefault="00E82A60" w:rsidP="00300A01">
            <w:pPr>
              <w:spacing w:before="0" w:after="0"/>
              <w:jc w:val="right"/>
              <w:rPr>
                <w:sz w:val="16"/>
                <w:szCs w:val="16"/>
                <w:lang w:val="fr-BE"/>
              </w:rPr>
            </w:pPr>
            <w:r w:rsidRPr="0024468B">
              <w:rPr>
                <w:noProof/>
                <w:sz w:val="16"/>
                <w:szCs w:val="16"/>
                <w:lang w:val="fr-BE"/>
              </w:rPr>
              <w:t>3,25</w:t>
            </w:r>
          </w:p>
        </w:tc>
        <w:tc>
          <w:tcPr>
            <w:tcW w:w="0" w:type="auto"/>
          </w:tcPr>
          <w:p w14:paraId="7607A191"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1DCE4046"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0C847601"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50AFBD29"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00F89B99"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5C75FDEB"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359B0933"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17BCACE4"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bl>
    <w:p w14:paraId="33E4407B"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33"/>
        <w:gridCol w:w="713"/>
        <w:gridCol w:w="4800"/>
        <w:gridCol w:w="1447"/>
        <w:gridCol w:w="1713"/>
        <w:gridCol w:w="1459"/>
        <w:gridCol w:w="1447"/>
        <w:gridCol w:w="1713"/>
        <w:gridCol w:w="1459"/>
      </w:tblGrid>
      <w:tr w:rsidR="006B2EC1" w14:paraId="1DE88189" w14:textId="77777777" w:rsidTr="0047688D">
        <w:trPr>
          <w:tblHeader/>
        </w:trPr>
        <w:tc>
          <w:tcPr>
            <w:tcW w:w="0" w:type="auto"/>
          </w:tcPr>
          <w:p w14:paraId="568A7F9B" w14:textId="77777777" w:rsidR="008C5CFA" w:rsidRPr="009143B4" w:rsidRDefault="00E82A60" w:rsidP="00300A01">
            <w:pPr>
              <w:spacing w:before="0" w:after="0"/>
              <w:rPr>
                <w:b/>
                <w:sz w:val="16"/>
                <w:szCs w:val="16"/>
                <w:lang w:val="fr-BE"/>
              </w:rPr>
            </w:pPr>
            <w:r w:rsidRPr="009143B4">
              <w:rPr>
                <w:b/>
                <w:sz w:val="16"/>
                <w:szCs w:val="16"/>
                <w:lang w:val="fr-BE"/>
              </w:rPr>
              <w:t>(1)</w:t>
            </w:r>
          </w:p>
        </w:tc>
        <w:tc>
          <w:tcPr>
            <w:tcW w:w="0" w:type="auto"/>
            <w:shd w:val="clear" w:color="auto" w:fill="auto"/>
          </w:tcPr>
          <w:p w14:paraId="1A4E3DBE" w14:textId="77777777" w:rsidR="008C5CFA" w:rsidRPr="009143B4" w:rsidRDefault="00E82A60" w:rsidP="00300A01">
            <w:pPr>
              <w:spacing w:before="0" w:after="0"/>
              <w:rPr>
                <w:b/>
                <w:sz w:val="16"/>
                <w:szCs w:val="16"/>
                <w:lang w:val="fr-BE"/>
              </w:rPr>
            </w:pPr>
            <w:r w:rsidRPr="009143B4">
              <w:rPr>
                <w:b/>
                <w:noProof/>
                <w:sz w:val="16"/>
                <w:szCs w:val="16"/>
                <w:lang w:val="fr-BE"/>
              </w:rPr>
              <w:t>ID</w:t>
            </w:r>
          </w:p>
        </w:tc>
        <w:tc>
          <w:tcPr>
            <w:tcW w:w="0" w:type="auto"/>
            <w:shd w:val="clear" w:color="auto" w:fill="auto"/>
          </w:tcPr>
          <w:p w14:paraId="46A37319" w14:textId="77777777" w:rsidR="008C5CFA" w:rsidRPr="009143B4" w:rsidRDefault="00E82A60" w:rsidP="00300A01">
            <w:pPr>
              <w:spacing w:before="0" w:after="0"/>
              <w:rPr>
                <w:b/>
                <w:sz w:val="16"/>
                <w:szCs w:val="16"/>
                <w:lang w:val="fr-BE"/>
              </w:rPr>
            </w:pPr>
            <w:r w:rsidRPr="009143B4">
              <w:rPr>
                <w:b/>
                <w:noProof/>
                <w:sz w:val="16"/>
                <w:szCs w:val="16"/>
                <w:lang w:val="fr-BE"/>
              </w:rPr>
              <w:t>Wskaźnik</w:t>
            </w:r>
          </w:p>
        </w:tc>
        <w:tc>
          <w:tcPr>
            <w:tcW w:w="0" w:type="auto"/>
          </w:tcPr>
          <w:p w14:paraId="07834E18" w14:textId="77777777" w:rsidR="008C5CFA" w:rsidRPr="009143B4" w:rsidRDefault="00E82A60"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Ogółem</w:t>
            </w:r>
          </w:p>
        </w:tc>
        <w:tc>
          <w:tcPr>
            <w:tcW w:w="0" w:type="auto"/>
          </w:tcPr>
          <w:p w14:paraId="5357912F" w14:textId="77777777" w:rsidR="008C5CFA" w:rsidRPr="009143B4" w:rsidRDefault="00E82A60"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Mężczyźni</w:t>
            </w:r>
          </w:p>
        </w:tc>
        <w:tc>
          <w:tcPr>
            <w:tcW w:w="0" w:type="auto"/>
          </w:tcPr>
          <w:p w14:paraId="6169A731" w14:textId="77777777" w:rsidR="008C5CFA" w:rsidRPr="009143B4" w:rsidRDefault="00E82A60"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Kobiety</w:t>
            </w:r>
          </w:p>
        </w:tc>
        <w:tc>
          <w:tcPr>
            <w:tcW w:w="0" w:type="auto"/>
            <w:shd w:val="clear" w:color="auto" w:fill="auto"/>
          </w:tcPr>
          <w:p w14:paraId="2D3FEAF4" w14:textId="77777777" w:rsidR="008C5CFA" w:rsidRPr="009143B4" w:rsidRDefault="00E82A60"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Ogółem</w:t>
            </w:r>
          </w:p>
        </w:tc>
        <w:tc>
          <w:tcPr>
            <w:tcW w:w="0" w:type="auto"/>
            <w:shd w:val="clear" w:color="auto" w:fill="auto"/>
          </w:tcPr>
          <w:p w14:paraId="0825588D" w14:textId="77777777" w:rsidR="008C5CFA" w:rsidRPr="009143B4" w:rsidRDefault="00E82A60"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Mężczyźni</w:t>
            </w:r>
          </w:p>
        </w:tc>
        <w:tc>
          <w:tcPr>
            <w:tcW w:w="0" w:type="auto"/>
            <w:shd w:val="clear" w:color="auto" w:fill="auto"/>
          </w:tcPr>
          <w:p w14:paraId="1BC2DEC2" w14:textId="77777777" w:rsidR="008C5CFA" w:rsidRPr="009143B4" w:rsidRDefault="00E82A60"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Kobiety</w:t>
            </w:r>
          </w:p>
        </w:tc>
      </w:tr>
      <w:tr w:rsidR="006B2EC1" w14:paraId="1E0306E8" w14:textId="77777777" w:rsidTr="0047688D">
        <w:tc>
          <w:tcPr>
            <w:tcW w:w="0" w:type="auto"/>
          </w:tcPr>
          <w:p w14:paraId="7BBE1C10" w14:textId="77777777" w:rsidR="008C5CFA" w:rsidRPr="0024468B" w:rsidRDefault="00E82A60" w:rsidP="00300A01">
            <w:pPr>
              <w:spacing w:before="0" w:after="0"/>
              <w:rPr>
                <w:sz w:val="16"/>
                <w:szCs w:val="16"/>
                <w:lang w:val="fr-BE"/>
              </w:rPr>
            </w:pPr>
            <w:r>
              <w:rPr>
                <w:noProof/>
                <w:sz w:val="16"/>
                <w:szCs w:val="16"/>
                <w:lang w:val="fr-BE"/>
              </w:rPr>
              <w:t>F</w:t>
            </w:r>
          </w:p>
        </w:tc>
        <w:tc>
          <w:tcPr>
            <w:tcW w:w="0" w:type="auto"/>
            <w:shd w:val="clear" w:color="auto" w:fill="auto"/>
          </w:tcPr>
          <w:p w14:paraId="474793F6" w14:textId="77777777" w:rsidR="008C5CFA" w:rsidRPr="0024468B" w:rsidRDefault="00E82A60" w:rsidP="00300A01">
            <w:pPr>
              <w:spacing w:before="0" w:after="0"/>
              <w:rPr>
                <w:sz w:val="16"/>
                <w:szCs w:val="16"/>
                <w:lang w:val="fr-BE"/>
              </w:rPr>
            </w:pPr>
            <w:r w:rsidRPr="0024468B">
              <w:rPr>
                <w:noProof/>
                <w:sz w:val="16"/>
                <w:szCs w:val="16"/>
                <w:lang w:val="fr-BE"/>
              </w:rPr>
              <w:t>CO11</w:t>
            </w:r>
          </w:p>
        </w:tc>
        <w:tc>
          <w:tcPr>
            <w:tcW w:w="0" w:type="auto"/>
            <w:shd w:val="clear" w:color="auto" w:fill="auto"/>
          </w:tcPr>
          <w:p w14:paraId="200431D7" w14:textId="77777777" w:rsidR="008C5CFA" w:rsidRPr="0024468B" w:rsidRDefault="00E82A60" w:rsidP="00300A01">
            <w:pPr>
              <w:spacing w:before="0" w:after="0"/>
              <w:rPr>
                <w:sz w:val="16"/>
                <w:szCs w:val="16"/>
                <w:lang w:val="fr-BE"/>
              </w:rPr>
            </w:pPr>
            <w:r w:rsidRPr="0024468B">
              <w:rPr>
                <w:noProof/>
                <w:sz w:val="16"/>
                <w:szCs w:val="16"/>
                <w:lang w:val="fr-BE"/>
              </w:rPr>
              <w:t>Kolej: całkowita długość nowych linii kolejowych</w:t>
            </w:r>
          </w:p>
        </w:tc>
        <w:tc>
          <w:tcPr>
            <w:tcW w:w="0" w:type="auto"/>
          </w:tcPr>
          <w:p w14:paraId="5BF8C70A"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71F8C4D7"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6FA44FC2"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0D94B5CC"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1D0F1161"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661A678A"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r w:rsidR="006B2EC1" w14:paraId="41BD7686" w14:textId="77777777" w:rsidTr="0047688D">
        <w:tc>
          <w:tcPr>
            <w:tcW w:w="0" w:type="auto"/>
          </w:tcPr>
          <w:p w14:paraId="752CA9BA" w14:textId="77777777" w:rsidR="008C5CFA" w:rsidRPr="0024468B" w:rsidRDefault="00E82A60" w:rsidP="00300A01">
            <w:pPr>
              <w:spacing w:before="0" w:after="0"/>
              <w:rPr>
                <w:sz w:val="16"/>
                <w:szCs w:val="16"/>
                <w:lang w:val="fr-BE"/>
              </w:rPr>
            </w:pPr>
            <w:r>
              <w:rPr>
                <w:noProof/>
                <w:sz w:val="16"/>
                <w:szCs w:val="16"/>
                <w:lang w:val="fr-BE"/>
              </w:rPr>
              <w:t>S</w:t>
            </w:r>
          </w:p>
        </w:tc>
        <w:tc>
          <w:tcPr>
            <w:tcW w:w="0" w:type="auto"/>
            <w:shd w:val="clear" w:color="auto" w:fill="auto"/>
          </w:tcPr>
          <w:p w14:paraId="4D782E4B" w14:textId="77777777" w:rsidR="008C5CFA" w:rsidRPr="0024468B" w:rsidRDefault="00E82A60" w:rsidP="00300A01">
            <w:pPr>
              <w:spacing w:before="0" w:after="0"/>
              <w:rPr>
                <w:sz w:val="16"/>
                <w:szCs w:val="16"/>
                <w:lang w:val="fr-BE"/>
              </w:rPr>
            </w:pPr>
            <w:r w:rsidRPr="0024468B">
              <w:rPr>
                <w:noProof/>
                <w:sz w:val="16"/>
                <w:szCs w:val="16"/>
                <w:lang w:val="fr-BE"/>
              </w:rPr>
              <w:t>CO11</w:t>
            </w:r>
          </w:p>
        </w:tc>
        <w:tc>
          <w:tcPr>
            <w:tcW w:w="0" w:type="auto"/>
            <w:shd w:val="clear" w:color="auto" w:fill="auto"/>
          </w:tcPr>
          <w:p w14:paraId="1694D87A" w14:textId="77777777" w:rsidR="008C5CFA" w:rsidRPr="0024468B" w:rsidRDefault="00E82A60" w:rsidP="00300A01">
            <w:pPr>
              <w:spacing w:before="0" w:after="0"/>
              <w:rPr>
                <w:sz w:val="16"/>
                <w:szCs w:val="16"/>
                <w:lang w:val="fr-BE"/>
              </w:rPr>
            </w:pPr>
            <w:r w:rsidRPr="0024468B">
              <w:rPr>
                <w:noProof/>
                <w:sz w:val="16"/>
                <w:szCs w:val="16"/>
                <w:lang w:val="fr-BE"/>
              </w:rPr>
              <w:t>Kolej: całkowita długość nowych linii kolejowych</w:t>
            </w:r>
          </w:p>
        </w:tc>
        <w:tc>
          <w:tcPr>
            <w:tcW w:w="0" w:type="auto"/>
          </w:tcPr>
          <w:p w14:paraId="67418301"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574BB087"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0DC00BDB"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1B9377C0"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0365B428"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6FBD06DE"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bl>
    <w:p w14:paraId="1C78C088" w14:textId="77777777" w:rsidR="008C5CFA" w:rsidRDefault="008C5CFA" w:rsidP="00300A01">
      <w:pPr>
        <w:spacing w:before="0" w:after="0"/>
        <w:rPr>
          <w:lang w:val="fr-BE"/>
        </w:rPr>
      </w:pPr>
    </w:p>
    <w:p w14:paraId="5F7EF0AE" w14:textId="77777777" w:rsidR="008C5CFA" w:rsidRDefault="008C5CFA" w:rsidP="00300A01">
      <w:pPr>
        <w:spacing w:before="0" w:after="0"/>
        <w:rPr>
          <w:lang w:val="fr-BE"/>
        </w:rPr>
      </w:pPr>
    </w:p>
    <w:p w14:paraId="23E423CC" w14:textId="77777777" w:rsidR="008C5CFA" w:rsidRDefault="00E82A60" w:rsidP="00300A01">
      <w:pPr>
        <w:spacing w:before="0" w:after="0"/>
        <w:rPr>
          <w:lang w:val="fr-BE"/>
        </w:rPr>
      </w:pPr>
      <w:r>
        <w:rPr>
          <w:lang w:val="fr-BE"/>
        </w:rPr>
        <w:br w:type="page"/>
      </w:r>
    </w:p>
    <w:p w14:paraId="023E01C2"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13200"/>
      </w:tblGrid>
      <w:tr w:rsidR="006B2EC1" w14:paraId="69EC0F85" w14:textId="77777777" w:rsidTr="0047688D">
        <w:tc>
          <w:tcPr>
            <w:tcW w:w="0" w:type="auto"/>
            <w:shd w:val="clear" w:color="auto" w:fill="auto"/>
          </w:tcPr>
          <w:p w14:paraId="1FD62F3E" w14:textId="77777777" w:rsidR="008C5CFA" w:rsidRPr="002124FC" w:rsidRDefault="00E82A60" w:rsidP="00300A01">
            <w:pPr>
              <w:spacing w:before="0" w:after="0"/>
              <w:rPr>
                <w:sz w:val="20"/>
                <w:szCs w:val="20"/>
                <w:lang w:val="fr-BE"/>
              </w:rPr>
            </w:pPr>
            <w:r>
              <w:rPr>
                <w:lang w:val="fr-BE"/>
              </w:rPr>
              <w:br w:type="page"/>
            </w:r>
            <w:r>
              <w:rPr>
                <w:lang w:val="fr-BE"/>
              </w:rPr>
              <w:br w:type="page"/>
            </w:r>
            <w:r>
              <w:rPr>
                <w:lang w:val="fr-BE"/>
              </w:rPr>
              <w:br w:type="page"/>
            </w:r>
            <w:r w:rsidRPr="002124FC">
              <w:rPr>
                <w:noProof/>
                <w:sz w:val="20"/>
                <w:szCs w:val="20"/>
                <w:lang w:val="fr-BE"/>
              </w:rPr>
              <w:t>Oś priorytetowa</w:t>
            </w:r>
          </w:p>
        </w:tc>
        <w:tc>
          <w:tcPr>
            <w:tcW w:w="0" w:type="auto"/>
            <w:shd w:val="clear" w:color="auto" w:fill="auto"/>
          </w:tcPr>
          <w:p w14:paraId="76DF271A" w14:textId="77777777" w:rsidR="008C5CFA" w:rsidRPr="002124FC" w:rsidRDefault="00E82A60" w:rsidP="00300A01">
            <w:pPr>
              <w:spacing w:before="0" w:after="0"/>
              <w:rPr>
                <w:sz w:val="20"/>
                <w:szCs w:val="20"/>
                <w:lang w:val="fr-BE"/>
              </w:rPr>
            </w:pPr>
            <w:r>
              <w:rPr>
                <w:noProof/>
                <w:sz w:val="20"/>
                <w:szCs w:val="20"/>
                <w:lang w:val="fr-BE"/>
              </w:rPr>
              <w:t>5</w:t>
            </w:r>
            <w:r w:rsidRPr="002124FC">
              <w:rPr>
                <w:sz w:val="20"/>
                <w:szCs w:val="20"/>
                <w:lang w:val="fr-BE"/>
              </w:rPr>
              <w:t xml:space="preserve"> - </w:t>
            </w:r>
            <w:r>
              <w:rPr>
                <w:noProof/>
                <w:sz w:val="20"/>
                <w:szCs w:val="20"/>
                <w:lang w:val="fr-BE"/>
              </w:rPr>
              <w:t>Nowoczesna komunikacja</w:t>
            </w:r>
          </w:p>
        </w:tc>
      </w:tr>
      <w:tr w:rsidR="006B2EC1" w14:paraId="24248BCE" w14:textId="77777777" w:rsidTr="0047688D">
        <w:tc>
          <w:tcPr>
            <w:tcW w:w="0" w:type="auto"/>
            <w:shd w:val="clear" w:color="auto" w:fill="auto"/>
          </w:tcPr>
          <w:p w14:paraId="201C63EB" w14:textId="77777777" w:rsidR="008C5CFA" w:rsidRPr="002124FC" w:rsidRDefault="00E82A60"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14:paraId="7C31F8D9" w14:textId="77777777" w:rsidR="008C5CFA" w:rsidRPr="002124FC" w:rsidRDefault="00E82A60" w:rsidP="00300A01">
            <w:pPr>
              <w:spacing w:before="0" w:after="0"/>
              <w:rPr>
                <w:sz w:val="20"/>
                <w:szCs w:val="20"/>
                <w:lang w:val="fr-BE"/>
              </w:rPr>
            </w:pPr>
            <w:r w:rsidRPr="002124FC">
              <w:rPr>
                <w:noProof/>
                <w:sz w:val="20"/>
                <w:szCs w:val="20"/>
                <w:lang w:val="fr-BE"/>
              </w:rPr>
              <w:t>7d</w:t>
            </w:r>
            <w:r w:rsidRPr="002124FC">
              <w:rPr>
                <w:sz w:val="20"/>
                <w:szCs w:val="20"/>
                <w:lang w:val="fr-BE"/>
              </w:rPr>
              <w:t xml:space="preserve"> - </w:t>
            </w:r>
            <w:r>
              <w:rPr>
                <w:noProof/>
                <w:sz w:val="20"/>
                <w:szCs w:val="20"/>
                <w:lang w:val="fr-BE"/>
              </w:rPr>
              <w:t>Rozwój i rehabilitacja kompleksowych, wysokiej jakości i interoperacyjnych systemów transportu kolejowego oraz propagowanie działań służących zmniejszaniu hałasu</w:t>
            </w:r>
          </w:p>
        </w:tc>
      </w:tr>
      <w:tr w:rsidR="006B2EC1" w14:paraId="77B4B007" w14:textId="77777777" w:rsidTr="0047688D">
        <w:tc>
          <w:tcPr>
            <w:tcW w:w="0" w:type="auto"/>
            <w:shd w:val="clear" w:color="auto" w:fill="auto"/>
          </w:tcPr>
          <w:p w14:paraId="291411C3" w14:textId="77777777" w:rsidR="008C5CFA" w:rsidRPr="002124FC" w:rsidRDefault="00E82A60" w:rsidP="00300A01">
            <w:pPr>
              <w:spacing w:before="0" w:after="0"/>
              <w:ind w:left="113" w:hanging="113"/>
              <w:rPr>
                <w:sz w:val="20"/>
                <w:szCs w:val="20"/>
                <w:lang w:val="fr-BE"/>
              </w:rPr>
            </w:pPr>
            <w:r>
              <w:rPr>
                <w:noProof/>
                <w:sz w:val="20"/>
                <w:szCs w:val="20"/>
                <w:lang w:val="fr-BE"/>
              </w:rPr>
              <w:t>Cel szczegółowy</w:t>
            </w:r>
          </w:p>
        </w:tc>
        <w:tc>
          <w:tcPr>
            <w:tcW w:w="0" w:type="auto"/>
            <w:shd w:val="clear" w:color="auto" w:fill="auto"/>
          </w:tcPr>
          <w:p w14:paraId="01FA3AF6" w14:textId="77777777" w:rsidR="008C5CFA" w:rsidRPr="002124FC" w:rsidRDefault="00E82A60" w:rsidP="00300A01">
            <w:pPr>
              <w:spacing w:before="0" w:after="0"/>
              <w:rPr>
                <w:sz w:val="20"/>
                <w:szCs w:val="20"/>
                <w:lang w:val="fr-BE"/>
              </w:rPr>
            </w:pPr>
            <w:r>
              <w:rPr>
                <w:noProof/>
                <w:sz w:val="20"/>
                <w:szCs w:val="20"/>
                <w:lang w:val="fr-BE"/>
              </w:rPr>
              <w:t>1</w:t>
            </w:r>
            <w:r>
              <w:rPr>
                <w:sz w:val="20"/>
                <w:szCs w:val="20"/>
                <w:lang w:val="fr-BE"/>
              </w:rPr>
              <w:t xml:space="preserve"> - </w:t>
            </w:r>
            <w:r>
              <w:rPr>
                <w:noProof/>
                <w:sz w:val="20"/>
                <w:szCs w:val="20"/>
                <w:lang w:val="fr-BE"/>
              </w:rPr>
              <w:t>Poprawiony stan połączeń kolejowych w regionie</w:t>
            </w:r>
          </w:p>
        </w:tc>
      </w:tr>
    </w:tbl>
    <w:p w14:paraId="69D1F361" w14:textId="77777777" w:rsidR="008C5CFA" w:rsidRDefault="008C5CFA" w:rsidP="00300A01">
      <w:pPr>
        <w:spacing w:before="0" w:after="0"/>
        <w:rPr>
          <w:lang w:val="fr-BE"/>
        </w:rPr>
      </w:pPr>
    </w:p>
    <w:p w14:paraId="3672C44E" w14:textId="77777777" w:rsidR="008C5CFA" w:rsidRDefault="00E82A60" w:rsidP="00300A01">
      <w:pPr>
        <w:spacing w:before="0" w:after="0"/>
        <w:rPr>
          <w:lang w:val="fr-BE"/>
        </w:rPr>
      </w:pPr>
      <w:r>
        <w:rPr>
          <w:lang w:val="fr-BE"/>
        </w:rPr>
        <w:t xml:space="preserve">Tabela 1: Wskaźniki rezultatu dla EFRR i Funduszu Spójności (według osi priorytetowej i celu szczegółowego); ma zastosowanie także do osi priorytetowej </w:t>
      </w:r>
      <w:r>
        <w:t>"</w:t>
      </w:r>
      <w:r>
        <w:rPr>
          <w:lang w:val="fr-BE"/>
        </w:rPr>
        <w:t>Pomoc techniczna</w:t>
      </w:r>
      <w:r>
        <w:t>"</w:t>
      </w:r>
    </w:p>
    <w:p w14:paraId="6BE1A5AC"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3603"/>
        <w:gridCol w:w="1070"/>
        <w:gridCol w:w="1152"/>
        <w:gridCol w:w="1033"/>
        <w:gridCol w:w="879"/>
        <w:gridCol w:w="1331"/>
        <w:gridCol w:w="925"/>
        <w:gridCol w:w="1147"/>
        <w:gridCol w:w="3588"/>
      </w:tblGrid>
      <w:tr w:rsidR="006B2EC1" w14:paraId="42189885" w14:textId="77777777" w:rsidTr="0047688D">
        <w:tc>
          <w:tcPr>
            <w:tcW w:w="0" w:type="auto"/>
            <w:shd w:val="clear" w:color="auto" w:fill="auto"/>
          </w:tcPr>
          <w:p w14:paraId="4A9DA04F" w14:textId="77777777" w:rsidR="008C5CFA" w:rsidRPr="0024468B" w:rsidRDefault="00E82A60" w:rsidP="00300A01">
            <w:pPr>
              <w:spacing w:before="0" w:after="0"/>
              <w:rPr>
                <w:sz w:val="16"/>
                <w:szCs w:val="16"/>
                <w:lang w:val="fr-BE"/>
              </w:rPr>
            </w:pPr>
            <w:r w:rsidRPr="0024468B">
              <w:rPr>
                <w:noProof/>
                <w:sz w:val="16"/>
                <w:szCs w:val="16"/>
                <w:lang w:val="fr-BE"/>
              </w:rPr>
              <w:t>ID</w:t>
            </w:r>
          </w:p>
        </w:tc>
        <w:tc>
          <w:tcPr>
            <w:tcW w:w="0" w:type="auto"/>
            <w:shd w:val="clear" w:color="auto" w:fill="auto"/>
          </w:tcPr>
          <w:p w14:paraId="1C1BD509" w14:textId="77777777" w:rsidR="008C5CFA" w:rsidRPr="0024468B" w:rsidRDefault="00E82A60" w:rsidP="00300A01">
            <w:pPr>
              <w:spacing w:before="0" w:after="0"/>
              <w:rPr>
                <w:sz w:val="16"/>
                <w:szCs w:val="16"/>
                <w:lang w:val="fr-BE"/>
              </w:rPr>
            </w:pPr>
            <w:r w:rsidRPr="0024468B">
              <w:rPr>
                <w:noProof/>
                <w:sz w:val="16"/>
                <w:szCs w:val="16"/>
                <w:lang w:val="fr-BE"/>
              </w:rPr>
              <w:t>Wskaźnik</w:t>
            </w:r>
          </w:p>
        </w:tc>
        <w:tc>
          <w:tcPr>
            <w:tcW w:w="0" w:type="auto"/>
            <w:shd w:val="clear" w:color="auto" w:fill="auto"/>
          </w:tcPr>
          <w:p w14:paraId="72C8880B" w14:textId="77777777" w:rsidR="008C5CFA" w:rsidRPr="0024468B" w:rsidRDefault="00E82A60" w:rsidP="00300A01">
            <w:pPr>
              <w:spacing w:before="0" w:after="0"/>
              <w:rPr>
                <w:sz w:val="16"/>
                <w:szCs w:val="16"/>
                <w:lang w:val="fr-BE"/>
              </w:rPr>
            </w:pPr>
            <w:r w:rsidRPr="0024468B">
              <w:rPr>
                <w:noProof/>
                <w:sz w:val="16"/>
                <w:szCs w:val="16"/>
                <w:lang w:val="fr-BE"/>
              </w:rPr>
              <w:t>Jednostka miary</w:t>
            </w:r>
          </w:p>
        </w:tc>
        <w:tc>
          <w:tcPr>
            <w:tcW w:w="0" w:type="auto"/>
            <w:shd w:val="clear" w:color="auto" w:fill="auto"/>
          </w:tcPr>
          <w:p w14:paraId="1217FCAB" w14:textId="77777777" w:rsidR="008C5CFA" w:rsidRPr="0024468B" w:rsidRDefault="00E82A60" w:rsidP="00300A01">
            <w:pPr>
              <w:spacing w:before="0" w:after="0"/>
              <w:rPr>
                <w:sz w:val="16"/>
                <w:szCs w:val="16"/>
                <w:lang w:val="fr-BE"/>
              </w:rPr>
            </w:pPr>
            <w:r w:rsidRPr="0024468B">
              <w:rPr>
                <w:noProof/>
                <w:sz w:val="16"/>
                <w:szCs w:val="16"/>
                <w:lang w:val="fr-BE"/>
              </w:rPr>
              <w:t>Kategoria regionu</w:t>
            </w:r>
          </w:p>
        </w:tc>
        <w:tc>
          <w:tcPr>
            <w:tcW w:w="0" w:type="auto"/>
            <w:shd w:val="clear" w:color="auto" w:fill="auto"/>
          </w:tcPr>
          <w:p w14:paraId="3D44EA89" w14:textId="77777777" w:rsidR="008C5CFA" w:rsidRPr="0024468B" w:rsidRDefault="00E82A60" w:rsidP="00300A01">
            <w:pPr>
              <w:spacing w:before="0" w:after="0"/>
              <w:rPr>
                <w:sz w:val="16"/>
                <w:szCs w:val="16"/>
                <w:lang w:val="fr-BE"/>
              </w:rPr>
            </w:pPr>
            <w:r w:rsidRPr="0024468B">
              <w:rPr>
                <w:noProof/>
                <w:sz w:val="16"/>
                <w:szCs w:val="16"/>
                <w:lang w:val="fr-BE"/>
              </w:rPr>
              <w:t>Wartość bazowa</w:t>
            </w:r>
          </w:p>
        </w:tc>
        <w:tc>
          <w:tcPr>
            <w:tcW w:w="0" w:type="auto"/>
            <w:shd w:val="clear" w:color="auto" w:fill="auto"/>
          </w:tcPr>
          <w:p w14:paraId="17E66F60" w14:textId="77777777" w:rsidR="008C5CFA" w:rsidRPr="0024468B" w:rsidRDefault="00E82A60" w:rsidP="00300A01">
            <w:pPr>
              <w:spacing w:before="0" w:after="0"/>
              <w:rPr>
                <w:sz w:val="16"/>
                <w:szCs w:val="16"/>
                <w:lang w:val="fr-BE"/>
              </w:rPr>
            </w:pPr>
            <w:r w:rsidRPr="0024468B">
              <w:rPr>
                <w:noProof/>
                <w:sz w:val="16"/>
                <w:szCs w:val="16"/>
                <w:lang w:val="fr-BE"/>
              </w:rPr>
              <w:t>Rok bazowy</w:t>
            </w:r>
          </w:p>
        </w:tc>
        <w:tc>
          <w:tcPr>
            <w:tcW w:w="0" w:type="auto"/>
            <w:shd w:val="clear" w:color="auto" w:fill="auto"/>
          </w:tcPr>
          <w:p w14:paraId="7E4B7509" w14:textId="77777777" w:rsidR="008C5CFA" w:rsidRPr="0024468B" w:rsidRDefault="00E82A60" w:rsidP="00300A01">
            <w:pPr>
              <w:spacing w:before="0" w:after="0"/>
              <w:rPr>
                <w:sz w:val="16"/>
                <w:szCs w:val="16"/>
                <w:lang w:val="fr-BE"/>
              </w:rPr>
            </w:pPr>
            <w:r w:rsidRPr="0024468B">
              <w:rPr>
                <w:noProof/>
                <w:sz w:val="16"/>
                <w:szCs w:val="16"/>
                <w:lang w:val="fr-BE"/>
              </w:rPr>
              <w:t>Wartość docelowa 2023</w:t>
            </w:r>
          </w:p>
        </w:tc>
        <w:tc>
          <w:tcPr>
            <w:tcW w:w="0" w:type="auto"/>
            <w:shd w:val="clear" w:color="auto" w:fill="auto"/>
          </w:tcPr>
          <w:p w14:paraId="2FD5DF32" w14:textId="77777777" w:rsidR="008C5CFA" w:rsidRPr="0024468B" w:rsidRDefault="00E82A60" w:rsidP="00300A01">
            <w:pPr>
              <w:spacing w:before="0" w:after="0"/>
              <w:jc w:val="center"/>
              <w:rPr>
                <w:sz w:val="16"/>
                <w:szCs w:val="16"/>
                <w:lang w:val="fr-BE"/>
              </w:rPr>
            </w:pPr>
            <w:r>
              <w:rPr>
                <w:sz w:val="16"/>
                <w:szCs w:val="16"/>
                <w:lang w:val="fr-BE"/>
              </w:rPr>
              <w:t xml:space="preserve">2019 </w:t>
            </w:r>
            <w:r>
              <w:rPr>
                <w:noProof/>
                <w:sz w:val="16"/>
                <w:szCs w:val="16"/>
                <w:lang w:val="fr-BE"/>
              </w:rPr>
              <w:t>Ogółem</w:t>
            </w:r>
          </w:p>
        </w:tc>
        <w:tc>
          <w:tcPr>
            <w:tcW w:w="0" w:type="auto"/>
            <w:shd w:val="clear" w:color="auto" w:fill="auto"/>
          </w:tcPr>
          <w:p w14:paraId="3AE03DA2" w14:textId="77777777" w:rsidR="008C5CFA" w:rsidRPr="0024468B" w:rsidRDefault="00E82A60" w:rsidP="00300A01">
            <w:pPr>
              <w:spacing w:before="0" w:after="0"/>
              <w:jc w:val="center"/>
              <w:rPr>
                <w:sz w:val="16"/>
                <w:szCs w:val="16"/>
                <w:lang w:val="fr-BE"/>
              </w:rPr>
            </w:pPr>
            <w:r>
              <w:rPr>
                <w:sz w:val="16"/>
                <w:szCs w:val="16"/>
                <w:lang w:val="fr-BE"/>
              </w:rPr>
              <w:t xml:space="preserve">2019 </w:t>
            </w:r>
            <w:r w:rsidRPr="0024468B">
              <w:rPr>
                <w:noProof/>
                <w:sz w:val="16"/>
                <w:szCs w:val="16"/>
                <w:lang w:val="fr-BE"/>
              </w:rPr>
              <w:t>Jakościowe</w:t>
            </w:r>
          </w:p>
        </w:tc>
        <w:tc>
          <w:tcPr>
            <w:tcW w:w="0" w:type="auto"/>
            <w:shd w:val="clear" w:color="auto" w:fill="auto"/>
          </w:tcPr>
          <w:p w14:paraId="47A939BB" w14:textId="77777777" w:rsidR="008C5CFA" w:rsidRPr="0024468B" w:rsidRDefault="00E82A60" w:rsidP="00300A01">
            <w:pPr>
              <w:spacing w:before="0" w:after="0"/>
              <w:jc w:val="center"/>
              <w:rPr>
                <w:sz w:val="16"/>
                <w:szCs w:val="16"/>
                <w:lang w:val="fr-BE"/>
              </w:rPr>
            </w:pPr>
            <w:r w:rsidRPr="0024468B">
              <w:rPr>
                <w:noProof/>
                <w:sz w:val="16"/>
                <w:szCs w:val="16"/>
                <w:lang w:val="fr-BE"/>
              </w:rPr>
              <w:t>Uwagi</w:t>
            </w:r>
          </w:p>
        </w:tc>
      </w:tr>
      <w:tr w:rsidR="006B2EC1" w14:paraId="4FB907D5" w14:textId="77777777" w:rsidTr="0047688D">
        <w:tc>
          <w:tcPr>
            <w:tcW w:w="0" w:type="auto"/>
            <w:shd w:val="clear" w:color="auto" w:fill="auto"/>
          </w:tcPr>
          <w:p w14:paraId="449FFB23" w14:textId="77777777" w:rsidR="008C5CFA" w:rsidRPr="0024468B" w:rsidRDefault="00E82A60" w:rsidP="00300A01">
            <w:pPr>
              <w:spacing w:before="0" w:after="0"/>
              <w:rPr>
                <w:sz w:val="16"/>
                <w:szCs w:val="16"/>
                <w:lang w:val="fr-BE"/>
              </w:rPr>
            </w:pPr>
            <w:r w:rsidRPr="0024468B">
              <w:rPr>
                <w:noProof/>
                <w:sz w:val="16"/>
                <w:szCs w:val="16"/>
                <w:lang w:val="fr-BE"/>
              </w:rPr>
              <w:t>049</w:t>
            </w:r>
          </w:p>
        </w:tc>
        <w:tc>
          <w:tcPr>
            <w:tcW w:w="0" w:type="auto"/>
            <w:shd w:val="clear" w:color="auto" w:fill="auto"/>
          </w:tcPr>
          <w:p w14:paraId="487238DE" w14:textId="77777777" w:rsidR="008C5CFA" w:rsidRPr="0024468B" w:rsidRDefault="00E82A60" w:rsidP="00300A01">
            <w:pPr>
              <w:spacing w:before="0" w:after="0"/>
              <w:rPr>
                <w:sz w:val="16"/>
                <w:szCs w:val="16"/>
                <w:lang w:val="fr-BE"/>
              </w:rPr>
            </w:pPr>
            <w:r w:rsidRPr="0024468B">
              <w:rPr>
                <w:noProof/>
                <w:sz w:val="16"/>
                <w:szCs w:val="16"/>
                <w:lang w:val="fr-BE"/>
              </w:rPr>
              <w:t>WKDT II ( wskaźnik kolejowej dostępności transportowej – liczony na bazie WMDT)</w:t>
            </w:r>
          </w:p>
        </w:tc>
        <w:tc>
          <w:tcPr>
            <w:tcW w:w="0" w:type="auto"/>
            <w:shd w:val="clear" w:color="auto" w:fill="auto"/>
          </w:tcPr>
          <w:p w14:paraId="60FC7D9B" w14:textId="77777777" w:rsidR="008C5CFA" w:rsidRPr="0024468B" w:rsidRDefault="00E82A60" w:rsidP="00300A01">
            <w:pPr>
              <w:spacing w:before="0" w:after="0"/>
              <w:rPr>
                <w:sz w:val="16"/>
                <w:szCs w:val="16"/>
                <w:lang w:val="fr-BE"/>
              </w:rPr>
            </w:pPr>
            <w:r w:rsidRPr="0024468B">
              <w:rPr>
                <w:noProof/>
                <w:sz w:val="16"/>
                <w:szCs w:val="16"/>
                <w:lang w:val="fr-BE"/>
              </w:rPr>
              <w:t>n/d</w:t>
            </w:r>
          </w:p>
        </w:tc>
        <w:tc>
          <w:tcPr>
            <w:tcW w:w="0" w:type="auto"/>
            <w:shd w:val="clear" w:color="auto" w:fill="auto"/>
          </w:tcPr>
          <w:p w14:paraId="516B7ECC" w14:textId="77777777" w:rsidR="008C5CFA" w:rsidRPr="0024468B" w:rsidRDefault="00E82A60"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14:paraId="23EC29A2" w14:textId="77777777" w:rsidR="008C5CFA" w:rsidRPr="00C3185A" w:rsidRDefault="00E82A60" w:rsidP="00300A01">
            <w:pPr>
              <w:spacing w:before="0" w:after="0"/>
              <w:jc w:val="right"/>
              <w:rPr>
                <w:sz w:val="16"/>
                <w:szCs w:val="16"/>
                <w:lang w:val="fr-BE"/>
              </w:rPr>
            </w:pPr>
            <w:r w:rsidRPr="00C3185A">
              <w:rPr>
                <w:noProof/>
                <w:sz w:val="16"/>
                <w:szCs w:val="16"/>
                <w:lang w:val="fr-BE"/>
              </w:rPr>
              <w:t>23,20</w:t>
            </w:r>
          </w:p>
        </w:tc>
        <w:tc>
          <w:tcPr>
            <w:tcW w:w="0" w:type="auto"/>
            <w:shd w:val="clear" w:color="auto" w:fill="auto"/>
          </w:tcPr>
          <w:p w14:paraId="3605F74E" w14:textId="77777777" w:rsidR="008C5CFA" w:rsidRPr="0024468B" w:rsidRDefault="00E82A60" w:rsidP="00300A01">
            <w:pPr>
              <w:spacing w:before="0" w:after="0"/>
              <w:rPr>
                <w:sz w:val="16"/>
                <w:szCs w:val="16"/>
                <w:lang w:val="fr-BE"/>
              </w:rPr>
            </w:pPr>
            <w:r w:rsidRPr="0024468B">
              <w:rPr>
                <w:noProof/>
                <w:sz w:val="16"/>
                <w:szCs w:val="16"/>
                <w:lang w:val="fr-BE"/>
              </w:rPr>
              <w:t>2013</w:t>
            </w:r>
          </w:p>
        </w:tc>
        <w:tc>
          <w:tcPr>
            <w:tcW w:w="0" w:type="auto"/>
            <w:shd w:val="clear" w:color="auto" w:fill="auto"/>
          </w:tcPr>
          <w:p w14:paraId="1DED41CE" w14:textId="77777777" w:rsidR="008C5CFA" w:rsidRPr="0024468B" w:rsidRDefault="00E82A60" w:rsidP="00300A01">
            <w:pPr>
              <w:spacing w:before="0" w:after="0"/>
              <w:jc w:val="right"/>
              <w:rPr>
                <w:sz w:val="16"/>
                <w:szCs w:val="16"/>
                <w:lang w:val="fr-BE"/>
              </w:rPr>
            </w:pPr>
            <w:r w:rsidRPr="0024468B">
              <w:rPr>
                <w:noProof/>
                <w:sz w:val="16"/>
                <w:szCs w:val="16"/>
                <w:lang w:val="fr-BE"/>
              </w:rPr>
              <w:t>36,50</w:t>
            </w:r>
          </w:p>
        </w:tc>
        <w:tc>
          <w:tcPr>
            <w:tcW w:w="0" w:type="auto"/>
            <w:shd w:val="clear" w:color="auto" w:fill="auto"/>
          </w:tcPr>
          <w:p w14:paraId="320246D7"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1C647921" w14:textId="77777777" w:rsidR="008C5CFA" w:rsidRPr="0024468B" w:rsidRDefault="008C5CFA" w:rsidP="00300A01">
            <w:pPr>
              <w:spacing w:before="0" w:after="0"/>
              <w:jc w:val="right"/>
              <w:rPr>
                <w:sz w:val="16"/>
                <w:szCs w:val="16"/>
                <w:lang w:val="fr-BE"/>
              </w:rPr>
            </w:pPr>
          </w:p>
        </w:tc>
        <w:tc>
          <w:tcPr>
            <w:tcW w:w="0" w:type="auto"/>
            <w:shd w:val="clear" w:color="auto" w:fill="auto"/>
          </w:tcPr>
          <w:p w14:paraId="5587A45B" w14:textId="77777777" w:rsidR="008C5CFA" w:rsidRPr="0024468B" w:rsidRDefault="00E82A60" w:rsidP="00300A01">
            <w:pPr>
              <w:spacing w:before="0" w:after="0"/>
              <w:rPr>
                <w:sz w:val="16"/>
                <w:szCs w:val="16"/>
                <w:lang w:val="fr-BE"/>
              </w:rPr>
            </w:pPr>
            <w:r w:rsidRPr="0024468B">
              <w:rPr>
                <w:noProof/>
                <w:sz w:val="16"/>
                <w:szCs w:val="16"/>
                <w:lang w:val="fr-BE"/>
              </w:rPr>
              <w:t>Brak aktualnych danych dostępnych w statystykach publicznych (systemie STRATEG)</w:t>
            </w:r>
          </w:p>
        </w:tc>
      </w:tr>
    </w:tbl>
    <w:p w14:paraId="086E48E1"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
        <w:gridCol w:w="5358"/>
        <w:gridCol w:w="1061"/>
        <w:gridCol w:w="1282"/>
        <w:gridCol w:w="1060"/>
        <w:gridCol w:w="1282"/>
        <w:gridCol w:w="1060"/>
        <w:gridCol w:w="1282"/>
        <w:gridCol w:w="1060"/>
        <w:gridCol w:w="1282"/>
      </w:tblGrid>
      <w:tr w:rsidR="006B2EC1" w14:paraId="7AC1DC3D" w14:textId="77777777" w:rsidTr="0047688D">
        <w:tc>
          <w:tcPr>
            <w:tcW w:w="0" w:type="auto"/>
            <w:shd w:val="clear" w:color="auto" w:fill="auto"/>
          </w:tcPr>
          <w:p w14:paraId="09EE92B1" w14:textId="77777777" w:rsidR="008C5CFA" w:rsidRPr="0024468B" w:rsidRDefault="00E82A60" w:rsidP="00300A01">
            <w:pPr>
              <w:spacing w:before="0" w:after="0"/>
              <w:rPr>
                <w:sz w:val="16"/>
                <w:szCs w:val="16"/>
                <w:lang w:val="fr-BE"/>
              </w:rPr>
            </w:pPr>
            <w:r w:rsidRPr="0024468B">
              <w:rPr>
                <w:noProof/>
                <w:sz w:val="16"/>
                <w:szCs w:val="16"/>
                <w:lang w:val="fr-BE"/>
              </w:rPr>
              <w:t>ID</w:t>
            </w:r>
          </w:p>
        </w:tc>
        <w:tc>
          <w:tcPr>
            <w:tcW w:w="0" w:type="auto"/>
            <w:shd w:val="clear" w:color="auto" w:fill="auto"/>
          </w:tcPr>
          <w:p w14:paraId="207E578F" w14:textId="77777777" w:rsidR="008C5CFA" w:rsidRPr="0024468B" w:rsidRDefault="00E82A60" w:rsidP="00300A01">
            <w:pPr>
              <w:spacing w:before="0" w:after="0"/>
              <w:rPr>
                <w:sz w:val="16"/>
                <w:szCs w:val="16"/>
                <w:lang w:val="fr-BE"/>
              </w:rPr>
            </w:pPr>
            <w:r w:rsidRPr="0024468B">
              <w:rPr>
                <w:noProof/>
                <w:sz w:val="16"/>
                <w:szCs w:val="16"/>
                <w:lang w:val="fr-BE"/>
              </w:rPr>
              <w:t>Wskaźnik</w:t>
            </w:r>
          </w:p>
        </w:tc>
        <w:tc>
          <w:tcPr>
            <w:tcW w:w="0" w:type="auto"/>
          </w:tcPr>
          <w:p w14:paraId="29F1D8D3" w14:textId="77777777" w:rsidR="008C5CFA" w:rsidRPr="0024468B" w:rsidRDefault="00E82A60" w:rsidP="00300A01">
            <w:pPr>
              <w:spacing w:before="0" w:after="0"/>
              <w:jc w:val="center"/>
              <w:rPr>
                <w:sz w:val="16"/>
                <w:szCs w:val="16"/>
                <w:lang w:val="fr-BE"/>
              </w:rPr>
            </w:pPr>
            <w:r>
              <w:rPr>
                <w:sz w:val="16"/>
                <w:szCs w:val="16"/>
                <w:lang w:val="fr-BE"/>
              </w:rPr>
              <w:t xml:space="preserve">2018 </w:t>
            </w:r>
            <w:r>
              <w:rPr>
                <w:noProof/>
                <w:sz w:val="16"/>
                <w:szCs w:val="16"/>
                <w:lang w:val="fr-BE"/>
              </w:rPr>
              <w:t>Ogółem</w:t>
            </w:r>
          </w:p>
        </w:tc>
        <w:tc>
          <w:tcPr>
            <w:tcW w:w="0" w:type="auto"/>
          </w:tcPr>
          <w:p w14:paraId="3E17E241" w14:textId="77777777" w:rsidR="008C5CFA" w:rsidRPr="0024468B" w:rsidRDefault="00E82A60" w:rsidP="00300A01">
            <w:pPr>
              <w:spacing w:before="0" w:after="0"/>
              <w:jc w:val="center"/>
              <w:rPr>
                <w:sz w:val="16"/>
                <w:szCs w:val="16"/>
                <w:lang w:val="fr-BE"/>
              </w:rPr>
            </w:pPr>
            <w:r>
              <w:rPr>
                <w:sz w:val="16"/>
                <w:szCs w:val="16"/>
                <w:lang w:val="fr-BE"/>
              </w:rPr>
              <w:t xml:space="preserve">2018 </w:t>
            </w:r>
            <w:r w:rsidRPr="0024468B">
              <w:rPr>
                <w:noProof/>
                <w:sz w:val="16"/>
                <w:szCs w:val="16"/>
                <w:lang w:val="fr-BE"/>
              </w:rPr>
              <w:t>Jakościowe</w:t>
            </w:r>
          </w:p>
        </w:tc>
        <w:tc>
          <w:tcPr>
            <w:tcW w:w="0" w:type="auto"/>
          </w:tcPr>
          <w:p w14:paraId="354FBC05" w14:textId="77777777" w:rsidR="008C5CFA" w:rsidRPr="0024468B" w:rsidRDefault="00E82A60" w:rsidP="00300A01">
            <w:pPr>
              <w:spacing w:before="0" w:after="0"/>
              <w:jc w:val="center"/>
              <w:rPr>
                <w:sz w:val="16"/>
                <w:szCs w:val="16"/>
                <w:lang w:val="fr-BE"/>
              </w:rPr>
            </w:pPr>
            <w:r>
              <w:rPr>
                <w:sz w:val="16"/>
                <w:szCs w:val="16"/>
                <w:lang w:val="fr-BE"/>
              </w:rPr>
              <w:t xml:space="preserve">2017 </w:t>
            </w:r>
            <w:r>
              <w:rPr>
                <w:noProof/>
                <w:sz w:val="16"/>
                <w:szCs w:val="16"/>
                <w:lang w:val="fr-BE"/>
              </w:rPr>
              <w:t>Ogółem</w:t>
            </w:r>
          </w:p>
        </w:tc>
        <w:tc>
          <w:tcPr>
            <w:tcW w:w="0" w:type="auto"/>
          </w:tcPr>
          <w:p w14:paraId="4EECCE94" w14:textId="77777777" w:rsidR="008C5CFA" w:rsidRPr="0024468B" w:rsidRDefault="00E82A60" w:rsidP="00300A01">
            <w:pPr>
              <w:spacing w:before="0" w:after="0"/>
              <w:jc w:val="center"/>
              <w:rPr>
                <w:sz w:val="16"/>
                <w:szCs w:val="16"/>
                <w:lang w:val="fr-BE"/>
              </w:rPr>
            </w:pPr>
            <w:r>
              <w:rPr>
                <w:sz w:val="16"/>
                <w:szCs w:val="16"/>
                <w:lang w:val="fr-BE"/>
              </w:rPr>
              <w:t xml:space="preserve">2017 </w:t>
            </w:r>
            <w:r w:rsidRPr="0024468B">
              <w:rPr>
                <w:noProof/>
                <w:sz w:val="16"/>
                <w:szCs w:val="16"/>
                <w:lang w:val="fr-BE"/>
              </w:rPr>
              <w:t>Jakościowe</w:t>
            </w:r>
          </w:p>
        </w:tc>
        <w:tc>
          <w:tcPr>
            <w:tcW w:w="0" w:type="auto"/>
          </w:tcPr>
          <w:p w14:paraId="6DBDD788" w14:textId="77777777" w:rsidR="008C5CFA" w:rsidRPr="0024468B" w:rsidRDefault="00E82A60" w:rsidP="00300A01">
            <w:pPr>
              <w:spacing w:before="0" w:after="0"/>
              <w:jc w:val="center"/>
              <w:rPr>
                <w:sz w:val="16"/>
                <w:szCs w:val="16"/>
                <w:lang w:val="fr-BE"/>
              </w:rPr>
            </w:pPr>
            <w:r>
              <w:rPr>
                <w:sz w:val="16"/>
                <w:szCs w:val="16"/>
                <w:lang w:val="fr-BE"/>
              </w:rPr>
              <w:t xml:space="preserve">2016 </w:t>
            </w:r>
            <w:r>
              <w:rPr>
                <w:noProof/>
                <w:sz w:val="16"/>
                <w:szCs w:val="16"/>
                <w:lang w:val="fr-BE"/>
              </w:rPr>
              <w:t>Ogółem</w:t>
            </w:r>
          </w:p>
        </w:tc>
        <w:tc>
          <w:tcPr>
            <w:tcW w:w="0" w:type="auto"/>
          </w:tcPr>
          <w:p w14:paraId="27027F75" w14:textId="77777777" w:rsidR="008C5CFA" w:rsidRPr="0024468B" w:rsidRDefault="00E82A60" w:rsidP="00300A01">
            <w:pPr>
              <w:spacing w:before="0" w:after="0"/>
              <w:jc w:val="center"/>
              <w:rPr>
                <w:sz w:val="16"/>
                <w:szCs w:val="16"/>
                <w:lang w:val="fr-BE"/>
              </w:rPr>
            </w:pPr>
            <w:r>
              <w:rPr>
                <w:sz w:val="16"/>
                <w:szCs w:val="16"/>
                <w:lang w:val="fr-BE"/>
              </w:rPr>
              <w:t xml:space="preserve">2016 </w:t>
            </w:r>
            <w:r w:rsidRPr="0024468B">
              <w:rPr>
                <w:noProof/>
                <w:sz w:val="16"/>
                <w:szCs w:val="16"/>
                <w:lang w:val="fr-BE"/>
              </w:rPr>
              <w:t>Jakościowe</w:t>
            </w:r>
          </w:p>
        </w:tc>
        <w:tc>
          <w:tcPr>
            <w:tcW w:w="0" w:type="auto"/>
          </w:tcPr>
          <w:p w14:paraId="25E07982" w14:textId="77777777" w:rsidR="008C5CFA" w:rsidRPr="0024468B" w:rsidRDefault="00E82A60" w:rsidP="00300A01">
            <w:pPr>
              <w:spacing w:before="0" w:after="0"/>
              <w:jc w:val="center"/>
              <w:rPr>
                <w:sz w:val="16"/>
                <w:szCs w:val="16"/>
                <w:lang w:val="fr-BE"/>
              </w:rPr>
            </w:pPr>
            <w:r>
              <w:rPr>
                <w:sz w:val="16"/>
                <w:szCs w:val="16"/>
                <w:lang w:val="fr-BE"/>
              </w:rPr>
              <w:t xml:space="preserve">2015 </w:t>
            </w:r>
            <w:r>
              <w:rPr>
                <w:noProof/>
                <w:sz w:val="16"/>
                <w:szCs w:val="16"/>
                <w:lang w:val="fr-BE"/>
              </w:rPr>
              <w:t>Ogółem</w:t>
            </w:r>
          </w:p>
        </w:tc>
        <w:tc>
          <w:tcPr>
            <w:tcW w:w="0" w:type="auto"/>
          </w:tcPr>
          <w:p w14:paraId="2FA22713" w14:textId="77777777" w:rsidR="008C5CFA" w:rsidRPr="0024468B" w:rsidRDefault="00E82A60" w:rsidP="00300A01">
            <w:pPr>
              <w:spacing w:before="0" w:after="0"/>
              <w:jc w:val="center"/>
              <w:rPr>
                <w:sz w:val="16"/>
                <w:szCs w:val="16"/>
                <w:lang w:val="fr-BE"/>
              </w:rPr>
            </w:pPr>
            <w:r>
              <w:rPr>
                <w:sz w:val="16"/>
                <w:szCs w:val="16"/>
                <w:lang w:val="fr-BE"/>
              </w:rPr>
              <w:t xml:space="preserve">2015 </w:t>
            </w:r>
            <w:r w:rsidRPr="0024468B">
              <w:rPr>
                <w:noProof/>
                <w:sz w:val="16"/>
                <w:szCs w:val="16"/>
                <w:lang w:val="fr-BE"/>
              </w:rPr>
              <w:t>Jakościowe</w:t>
            </w:r>
          </w:p>
        </w:tc>
      </w:tr>
      <w:tr w:rsidR="006B2EC1" w14:paraId="03FA3E38" w14:textId="77777777" w:rsidTr="0047688D">
        <w:tc>
          <w:tcPr>
            <w:tcW w:w="0" w:type="auto"/>
            <w:shd w:val="clear" w:color="auto" w:fill="auto"/>
          </w:tcPr>
          <w:p w14:paraId="7A2B1647" w14:textId="77777777" w:rsidR="008C5CFA" w:rsidRPr="0024468B" w:rsidRDefault="00E82A60" w:rsidP="00300A01">
            <w:pPr>
              <w:spacing w:before="0" w:after="0"/>
              <w:rPr>
                <w:sz w:val="16"/>
                <w:szCs w:val="16"/>
                <w:lang w:val="fr-BE"/>
              </w:rPr>
            </w:pPr>
            <w:r w:rsidRPr="0024468B">
              <w:rPr>
                <w:noProof/>
                <w:sz w:val="16"/>
                <w:szCs w:val="16"/>
                <w:lang w:val="fr-BE"/>
              </w:rPr>
              <w:t>049</w:t>
            </w:r>
          </w:p>
        </w:tc>
        <w:tc>
          <w:tcPr>
            <w:tcW w:w="0" w:type="auto"/>
            <w:shd w:val="clear" w:color="auto" w:fill="auto"/>
          </w:tcPr>
          <w:p w14:paraId="6202A763" w14:textId="77777777" w:rsidR="008C5CFA" w:rsidRPr="0024468B" w:rsidRDefault="00E82A60" w:rsidP="00300A01">
            <w:pPr>
              <w:spacing w:before="0" w:after="0"/>
              <w:rPr>
                <w:sz w:val="16"/>
                <w:szCs w:val="16"/>
                <w:lang w:val="fr-BE"/>
              </w:rPr>
            </w:pPr>
            <w:r w:rsidRPr="0024468B">
              <w:rPr>
                <w:noProof/>
                <w:sz w:val="16"/>
                <w:szCs w:val="16"/>
                <w:lang w:val="fr-BE"/>
              </w:rPr>
              <w:t>WKDT II ( wskaźnik kolejowej dostępności transportowej – liczony na bazie WMDT)</w:t>
            </w:r>
          </w:p>
        </w:tc>
        <w:tc>
          <w:tcPr>
            <w:tcW w:w="0" w:type="auto"/>
          </w:tcPr>
          <w:p w14:paraId="1ADC7C13"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1790A917" w14:textId="77777777" w:rsidR="008C5CFA" w:rsidRPr="0024468B" w:rsidRDefault="008C5CFA" w:rsidP="00300A01">
            <w:pPr>
              <w:spacing w:before="0" w:after="0"/>
              <w:jc w:val="right"/>
              <w:rPr>
                <w:sz w:val="16"/>
                <w:szCs w:val="16"/>
                <w:lang w:val="fr-BE"/>
              </w:rPr>
            </w:pPr>
          </w:p>
        </w:tc>
        <w:tc>
          <w:tcPr>
            <w:tcW w:w="0" w:type="auto"/>
          </w:tcPr>
          <w:p w14:paraId="23B39613" w14:textId="77777777" w:rsidR="008C5CFA" w:rsidRPr="0024468B" w:rsidRDefault="00E82A60" w:rsidP="00300A01">
            <w:pPr>
              <w:spacing w:before="0" w:after="0"/>
              <w:jc w:val="right"/>
              <w:rPr>
                <w:sz w:val="16"/>
                <w:szCs w:val="16"/>
                <w:lang w:val="fr-BE"/>
              </w:rPr>
            </w:pPr>
            <w:r w:rsidRPr="0024468B">
              <w:rPr>
                <w:noProof/>
                <w:sz w:val="16"/>
                <w:szCs w:val="16"/>
                <w:lang w:val="fr-BE"/>
              </w:rPr>
              <w:t>26,90</w:t>
            </w:r>
          </w:p>
        </w:tc>
        <w:tc>
          <w:tcPr>
            <w:tcW w:w="0" w:type="auto"/>
          </w:tcPr>
          <w:p w14:paraId="3B910BA7" w14:textId="77777777" w:rsidR="008C5CFA" w:rsidRPr="0024468B" w:rsidRDefault="008C5CFA" w:rsidP="00300A01">
            <w:pPr>
              <w:spacing w:before="0" w:after="0"/>
              <w:jc w:val="right"/>
              <w:rPr>
                <w:sz w:val="16"/>
                <w:szCs w:val="16"/>
                <w:lang w:val="fr-BE"/>
              </w:rPr>
            </w:pPr>
          </w:p>
        </w:tc>
        <w:tc>
          <w:tcPr>
            <w:tcW w:w="0" w:type="auto"/>
          </w:tcPr>
          <w:p w14:paraId="4678DAB6" w14:textId="77777777" w:rsidR="008C5CFA" w:rsidRPr="0024468B" w:rsidRDefault="00E82A60" w:rsidP="00300A01">
            <w:pPr>
              <w:spacing w:before="0" w:after="0"/>
              <w:jc w:val="right"/>
              <w:rPr>
                <w:sz w:val="16"/>
                <w:szCs w:val="16"/>
                <w:lang w:val="fr-BE"/>
              </w:rPr>
            </w:pPr>
            <w:r w:rsidRPr="0024468B">
              <w:rPr>
                <w:noProof/>
                <w:sz w:val="16"/>
                <w:szCs w:val="16"/>
                <w:lang w:val="fr-BE"/>
              </w:rPr>
              <w:t>26,61</w:t>
            </w:r>
          </w:p>
        </w:tc>
        <w:tc>
          <w:tcPr>
            <w:tcW w:w="0" w:type="auto"/>
          </w:tcPr>
          <w:p w14:paraId="256B582D" w14:textId="77777777" w:rsidR="008C5CFA" w:rsidRPr="0024468B" w:rsidRDefault="008C5CFA" w:rsidP="00300A01">
            <w:pPr>
              <w:spacing w:before="0" w:after="0"/>
              <w:jc w:val="right"/>
              <w:rPr>
                <w:sz w:val="16"/>
                <w:szCs w:val="16"/>
                <w:lang w:val="fr-BE"/>
              </w:rPr>
            </w:pPr>
          </w:p>
        </w:tc>
        <w:tc>
          <w:tcPr>
            <w:tcW w:w="0" w:type="auto"/>
          </w:tcPr>
          <w:p w14:paraId="22228AF2" w14:textId="77777777" w:rsidR="008C5CFA" w:rsidRPr="0024468B" w:rsidRDefault="00E82A60" w:rsidP="00300A01">
            <w:pPr>
              <w:spacing w:before="0" w:after="0"/>
              <w:jc w:val="right"/>
              <w:rPr>
                <w:sz w:val="16"/>
                <w:szCs w:val="16"/>
                <w:lang w:val="fr-BE"/>
              </w:rPr>
            </w:pPr>
            <w:r w:rsidRPr="0024468B">
              <w:rPr>
                <w:noProof/>
                <w:sz w:val="16"/>
                <w:szCs w:val="16"/>
                <w:lang w:val="fr-BE"/>
              </w:rPr>
              <w:t>25,40</w:t>
            </w:r>
          </w:p>
        </w:tc>
        <w:tc>
          <w:tcPr>
            <w:tcW w:w="0" w:type="auto"/>
          </w:tcPr>
          <w:p w14:paraId="22391C2A" w14:textId="77777777" w:rsidR="008C5CFA" w:rsidRPr="0024468B" w:rsidRDefault="008C5CFA" w:rsidP="00300A01">
            <w:pPr>
              <w:spacing w:before="0" w:after="0"/>
              <w:jc w:val="right"/>
              <w:rPr>
                <w:sz w:val="16"/>
                <w:szCs w:val="16"/>
                <w:lang w:val="fr-BE"/>
              </w:rPr>
            </w:pPr>
          </w:p>
        </w:tc>
      </w:tr>
    </w:tbl>
    <w:p w14:paraId="32319E58"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3"/>
        <w:gridCol w:w="10147"/>
        <w:gridCol w:w="1922"/>
        <w:gridCol w:w="2312"/>
      </w:tblGrid>
      <w:tr w:rsidR="006B2EC1" w14:paraId="56B91CC3" w14:textId="77777777" w:rsidTr="0047688D">
        <w:tc>
          <w:tcPr>
            <w:tcW w:w="0" w:type="auto"/>
            <w:shd w:val="clear" w:color="auto" w:fill="auto"/>
          </w:tcPr>
          <w:p w14:paraId="3494720F" w14:textId="77777777" w:rsidR="008C5CFA" w:rsidRPr="0024468B" w:rsidRDefault="00E82A60" w:rsidP="00300A01">
            <w:pPr>
              <w:spacing w:before="0" w:after="0"/>
              <w:rPr>
                <w:sz w:val="16"/>
                <w:szCs w:val="16"/>
                <w:lang w:val="fr-BE"/>
              </w:rPr>
            </w:pPr>
            <w:r w:rsidRPr="0024468B">
              <w:rPr>
                <w:noProof/>
                <w:sz w:val="16"/>
                <w:szCs w:val="16"/>
                <w:lang w:val="fr-BE"/>
              </w:rPr>
              <w:t>ID</w:t>
            </w:r>
          </w:p>
        </w:tc>
        <w:tc>
          <w:tcPr>
            <w:tcW w:w="0" w:type="auto"/>
            <w:shd w:val="clear" w:color="auto" w:fill="auto"/>
          </w:tcPr>
          <w:p w14:paraId="3DE865FE" w14:textId="77777777" w:rsidR="008C5CFA" w:rsidRPr="0024468B" w:rsidRDefault="00E82A60" w:rsidP="00300A01">
            <w:pPr>
              <w:spacing w:before="0" w:after="0"/>
              <w:rPr>
                <w:sz w:val="16"/>
                <w:szCs w:val="16"/>
                <w:lang w:val="fr-BE"/>
              </w:rPr>
            </w:pPr>
            <w:r w:rsidRPr="0024468B">
              <w:rPr>
                <w:noProof/>
                <w:sz w:val="16"/>
                <w:szCs w:val="16"/>
                <w:lang w:val="fr-BE"/>
              </w:rPr>
              <w:t>Wskaźnik</w:t>
            </w:r>
          </w:p>
        </w:tc>
        <w:tc>
          <w:tcPr>
            <w:tcW w:w="0" w:type="auto"/>
            <w:shd w:val="clear" w:color="auto" w:fill="auto"/>
          </w:tcPr>
          <w:p w14:paraId="179D9220" w14:textId="77777777" w:rsidR="008C5CFA" w:rsidRPr="0024468B" w:rsidRDefault="00E82A60" w:rsidP="00300A01">
            <w:pPr>
              <w:spacing w:before="0" w:after="0"/>
              <w:jc w:val="center"/>
              <w:rPr>
                <w:sz w:val="16"/>
                <w:szCs w:val="16"/>
                <w:lang w:val="fr-BE"/>
              </w:rPr>
            </w:pPr>
            <w:r>
              <w:rPr>
                <w:sz w:val="16"/>
                <w:szCs w:val="16"/>
                <w:lang w:val="fr-BE"/>
              </w:rPr>
              <w:t xml:space="preserve">2014 </w:t>
            </w:r>
            <w:r>
              <w:rPr>
                <w:noProof/>
                <w:sz w:val="16"/>
                <w:szCs w:val="16"/>
                <w:lang w:val="fr-BE"/>
              </w:rPr>
              <w:t>Ogółem</w:t>
            </w:r>
          </w:p>
        </w:tc>
        <w:tc>
          <w:tcPr>
            <w:tcW w:w="0" w:type="auto"/>
            <w:shd w:val="clear" w:color="auto" w:fill="auto"/>
          </w:tcPr>
          <w:p w14:paraId="12FB88BB" w14:textId="77777777" w:rsidR="008C5CFA" w:rsidRPr="0024468B" w:rsidRDefault="00E82A60" w:rsidP="00300A01">
            <w:pPr>
              <w:spacing w:before="0" w:after="0"/>
              <w:jc w:val="center"/>
              <w:rPr>
                <w:sz w:val="16"/>
                <w:szCs w:val="16"/>
                <w:lang w:val="fr-BE"/>
              </w:rPr>
            </w:pPr>
            <w:r>
              <w:rPr>
                <w:sz w:val="16"/>
                <w:szCs w:val="16"/>
                <w:lang w:val="fr-BE"/>
              </w:rPr>
              <w:t xml:space="preserve">2014 </w:t>
            </w:r>
            <w:r w:rsidRPr="0024468B">
              <w:rPr>
                <w:noProof/>
                <w:sz w:val="16"/>
                <w:szCs w:val="16"/>
                <w:lang w:val="fr-BE"/>
              </w:rPr>
              <w:t>Jakościowe</w:t>
            </w:r>
          </w:p>
        </w:tc>
      </w:tr>
      <w:tr w:rsidR="006B2EC1" w14:paraId="70E2CB02" w14:textId="77777777" w:rsidTr="0047688D">
        <w:tc>
          <w:tcPr>
            <w:tcW w:w="0" w:type="auto"/>
            <w:shd w:val="clear" w:color="auto" w:fill="auto"/>
          </w:tcPr>
          <w:p w14:paraId="169152D6" w14:textId="77777777" w:rsidR="008C5CFA" w:rsidRPr="0024468B" w:rsidRDefault="00E82A60" w:rsidP="00300A01">
            <w:pPr>
              <w:spacing w:before="0" w:after="0"/>
              <w:rPr>
                <w:sz w:val="16"/>
                <w:szCs w:val="16"/>
                <w:lang w:val="fr-BE"/>
              </w:rPr>
            </w:pPr>
            <w:r w:rsidRPr="0024468B">
              <w:rPr>
                <w:noProof/>
                <w:sz w:val="16"/>
                <w:szCs w:val="16"/>
                <w:lang w:val="fr-BE"/>
              </w:rPr>
              <w:t>049</w:t>
            </w:r>
          </w:p>
        </w:tc>
        <w:tc>
          <w:tcPr>
            <w:tcW w:w="0" w:type="auto"/>
            <w:shd w:val="clear" w:color="auto" w:fill="auto"/>
          </w:tcPr>
          <w:p w14:paraId="6023A818" w14:textId="77777777" w:rsidR="008C5CFA" w:rsidRPr="0024468B" w:rsidRDefault="00E82A60" w:rsidP="00300A01">
            <w:pPr>
              <w:spacing w:before="0" w:after="0"/>
              <w:rPr>
                <w:sz w:val="16"/>
                <w:szCs w:val="16"/>
                <w:lang w:val="fr-BE"/>
              </w:rPr>
            </w:pPr>
            <w:r w:rsidRPr="0024468B">
              <w:rPr>
                <w:noProof/>
                <w:sz w:val="16"/>
                <w:szCs w:val="16"/>
                <w:lang w:val="fr-BE"/>
              </w:rPr>
              <w:t>WKDT II ( wskaźnik kolejowej dostępności transportowej – liczony na bazie WMDT)</w:t>
            </w:r>
          </w:p>
        </w:tc>
        <w:tc>
          <w:tcPr>
            <w:tcW w:w="0" w:type="auto"/>
            <w:shd w:val="clear" w:color="auto" w:fill="auto"/>
          </w:tcPr>
          <w:p w14:paraId="52F47E14" w14:textId="77777777" w:rsidR="008C5CFA" w:rsidRPr="0024468B" w:rsidRDefault="00E82A60" w:rsidP="00300A01">
            <w:pPr>
              <w:spacing w:before="0" w:after="0"/>
              <w:jc w:val="right"/>
              <w:rPr>
                <w:sz w:val="16"/>
                <w:szCs w:val="16"/>
                <w:lang w:val="fr-BE"/>
              </w:rPr>
            </w:pPr>
            <w:r w:rsidRPr="0024468B">
              <w:rPr>
                <w:noProof/>
                <w:sz w:val="16"/>
                <w:szCs w:val="16"/>
                <w:lang w:val="fr-BE"/>
              </w:rPr>
              <w:t>24,56</w:t>
            </w:r>
          </w:p>
        </w:tc>
        <w:tc>
          <w:tcPr>
            <w:tcW w:w="0" w:type="auto"/>
            <w:shd w:val="clear" w:color="auto" w:fill="auto"/>
          </w:tcPr>
          <w:p w14:paraId="0895AB8C" w14:textId="77777777" w:rsidR="008C5CFA" w:rsidRPr="0024468B" w:rsidRDefault="008C5CFA" w:rsidP="00300A01">
            <w:pPr>
              <w:spacing w:before="0" w:after="0"/>
              <w:jc w:val="right"/>
              <w:rPr>
                <w:sz w:val="16"/>
                <w:szCs w:val="16"/>
                <w:lang w:val="fr-BE"/>
              </w:rPr>
            </w:pPr>
          </w:p>
        </w:tc>
      </w:tr>
    </w:tbl>
    <w:p w14:paraId="479311EC" w14:textId="77777777" w:rsidR="008C5CFA" w:rsidRDefault="008C5CFA" w:rsidP="00300A01">
      <w:pPr>
        <w:spacing w:before="0" w:after="0"/>
        <w:rPr>
          <w:lang w:val="fr-BE"/>
        </w:rPr>
      </w:pPr>
    </w:p>
    <w:p w14:paraId="702370DC" w14:textId="77777777" w:rsidR="008C5CFA" w:rsidRDefault="00E82A60" w:rsidP="00300A01">
      <w:pPr>
        <w:spacing w:before="0" w:after="0"/>
        <w:rPr>
          <w:lang w:val="fr-BE"/>
        </w:rPr>
      </w:pPr>
      <w:r>
        <w:rPr>
          <w:lang w:val="fr-BE"/>
        </w:rPr>
        <w:br w:type="page"/>
      </w:r>
    </w:p>
    <w:p w14:paraId="1AAD97DE" w14:textId="77777777" w:rsidR="008C5CFA" w:rsidRPr="00B27C43" w:rsidRDefault="008C5CFA" w:rsidP="00300A01">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2"/>
        <w:gridCol w:w="13332"/>
      </w:tblGrid>
      <w:tr w:rsidR="006B2EC1" w14:paraId="2A275C02" w14:textId="77777777" w:rsidTr="0047688D">
        <w:tc>
          <w:tcPr>
            <w:tcW w:w="0" w:type="auto"/>
            <w:shd w:val="clear" w:color="auto" w:fill="auto"/>
          </w:tcPr>
          <w:p w14:paraId="10A7E183" w14:textId="77777777" w:rsidR="008C5CFA" w:rsidRPr="002124FC" w:rsidRDefault="00E82A60" w:rsidP="00300A01">
            <w:pPr>
              <w:spacing w:before="0" w:after="0"/>
              <w:rPr>
                <w:sz w:val="20"/>
                <w:szCs w:val="20"/>
                <w:lang w:val="fr-BE"/>
              </w:rPr>
            </w:pPr>
            <w:r>
              <w:rPr>
                <w:lang w:val="fr-BE"/>
              </w:rPr>
              <w:br w:type="page"/>
            </w:r>
            <w:r>
              <w:rPr>
                <w:lang w:val="fr-BE"/>
              </w:rPr>
              <w:br w:type="page"/>
            </w:r>
            <w:r w:rsidRPr="002124FC">
              <w:rPr>
                <w:noProof/>
                <w:sz w:val="20"/>
                <w:szCs w:val="20"/>
                <w:lang w:val="fr-BE"/>
              </w:rPr>
              <w:t>Oś priorytetowa</w:t>
            </w:r>
          </w:p>
        </w:tc>
        <w:tc>
          <w:tcPr>
            <w:tcW w:w="0" w:type="auto"/>
            <w:shd w:val="clear" w:color="auto" w:fill="auto"/>
          </w:tcPr>
          <w:p w14:paraId="13832B78" w14:textId="77777777" w:rsidR="008C5CFA" w:rsidRPr="002124FC" w:rsidRDefault="00E82A60" w:rsidP="00300A01">
            <w:pPr>
              <w:spacing w:before="0" w:after="0"/>
              <w:rPr>
                <w:sz w:val="20"/>
                <w:szCs w:val="20"/>
                <w:lang w:val="fr-BE"/>
              </w:rPr>
            </w:pPr>
            <w:r w:rsidRPr="002124FC">
              <w:rPr>
                <w:noProof/>
                <w:sz w:val="20"/>
                <w:szCs w:val="20"/>
                <w:lang w:val="fr-BE"/>
              </w:rPr>
              <w:t>6</w:t>
            </w:r>
            <w:r w:rsidRPr="002124FC">
              <w:rPr>
                <w:sz w:val="20"/>
                <w:szCs w:val="20"/>
                <w:lang w:val="fr-BE"/>
              </w:rPr>
              <w:t xml:space="preserve"> - </w:t>
            </w:r>
            <w:r w:rsidRPr="002124FC">
              <w:rPr>
                <w:noProof/>
                <w:sz w:val="20"/>
                <w:szCs w:val="20"/>
                <w:lang w:val="fr-BE"/>
              </w:rPr>
              <w:t>Rozwój miast</w:t>
            </w:r>
          </w:p>
        </w:tc>
      </w:tr>
      <w:tr w:rsidR="006B2EC1" w14:paraId="743817AA" w14:textId="77777777" w:rsidTr="0047688D">
        <w:tc>
          <w:tcPr>
            <w:tcW w:w="0" w:type="auto"/>
            <w:shd w:val="clear" w:color="auto" w:fill="auto"/>
          </w:tcPr>
          <w:p w14:paraId="43018228" w14:textId="77777777" w:rsidR="008C5CFA" w:rsidRPr="002124FC" w:rsidRDefault="00E82A60"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14:paraId="2BEB12AC" w14:textId="77777777" w:rsidR="008C5CFA" w:rsidRPr="002124FC" w:rsidRDefault="00E82A60" w:rsidP="00300A01">
            <w:pPr>
              <w:spacing w:before="0" w:after="0"/>
              <w:rPr>
                <w:sz w:val="20"/>
                <w:szCs w:val="20"/>
                <w:lang w:val="fr-BE"/>
              </w:rPr>
            </w:pPr>
            <w:r w:rsidRPr="002124FC">
              <w:rPr>
                <w:noProof/>
                <w:sz w:val="20"/>
                <w:szCs w:val="20"/>
                <w:lang w:val="fr-BE"/>
              </w:rPr>
              <w:t>4c</w:t>
            </w:r>
            <w:r w:rsidRPr="002124FC">
              <w:rPr>
                <w:sz w:val="20"/>
                <w:szCs w:val="20"/>
                <w:lang w:val="fr-BE"/>
              </w:rPr>
              <w:t xml:space="preserve"> - </w:t>
            </w:r>
            <w:r w:rsidRPr="002124FC">
              <w:rPr>
                <w:noProof/>
                <w:sz w:val="20"/>
                <w:szCs w:val="20"/>
                <w:lang w:val="fr-BE"/>
              </w:rPr>
              <w:t>Wspieranie efektywności energetycznej, inteligentnego zarządzania energią i wykorzystywania odnawialnych źródeł energii w infrastrukturze publicznej, w tym w budynkach publicznych i w sektorze mieszkaniowym</w:t>
            </w:r>
          </w:p>
        </w:tc>
      </w:tr>
    </w:tbl>
    <w:p w14:paraId="26F0C407" w14:textId="77777777" w:rsidR="008C5CFA" w:rsidRDefault="008C5CFA" w:rsidP="00300A01">
      <w:pPr>
        <w:spacing w:before="0" w:after="0"/>
        <w:rPr>
          <w:lang w:val="fr-BE"/>
        </w:rPr>
      </w:pPr>
    </w:p>
    <w:p w14:paraId="7D9D1057" w14:textId="77777777" w:rsidR="008C5CFA" w:rsidRDefault="00E82A60" w:rsidP="00300A01">
      <w:pPr>
        <w:pStyle w:val="Nagwek2"/>
        <w:spacing w:before="0" w:after="0"/>
        <w:rPr>
          <w:lang w:val="fr-BE"/>
        </w:rPr>
      </w:pPr>
      <w:bookmarkStart w:id="37" w:name="_Toc46391721"/>
      <w:r>
        <w:rPr>
          <w:noProof/>
          <w:lang w:val="fr-BE"/>
        </w:rPr>
        <w:t>Tabela 3A</w:t>
      </w:r>
      <w:r>
        <w:rPr>
          <w:lang w:val="fr-BE"/>
        </w:rPr>
        <w:t xml:space="preserve">: </w:t>
      </w:r>
      <w:r>
        <w:rPr>
          <w:noProof/>
          <w:lang w:val="fr-BE"/>
        </w:rPr>
        <w:t>Wspólne i specyficzne dla danego programu wskaźniki produktu dla EFRR i Funduszu Spójności (wg osi priorytetowej, priorytetu inwestycyjnego, w podziale na kategorię regionu dla celów EFRR)</w:t>
      </w:r>
      <w:r w:rsidR="009C5874">
        <w:rPr>
          <w:lang w:val="fr-BE"/>
        </w:rPr>
        <w:t xml:space="preserve"> - </w:t>
      </w:r>
      <w:r w:rsidR="00F022AC" w:rsidRPr="002124FC">
        <w:rPr>
          <w:noProof/>
          <w:sz w:val="20"/>
          <w:szCs w:val="20"/>
          <w:lang w:val="fr-BE"/>
        </w:rPr>
        <w:t>6</w:t>
      </w:r>
      <w:r w:rsidR="00F022AC">
        <w:rPr>
          <w:sz w:val="20"/>
          <w:szCs w:val="20"/>
          <w:lang w:val="fr-BE"/>
        </w:rPr>
        <w:t xml:space="preserve"> / </w:t>
      </w:r>
      <w:r w:rsidR="00F022AC" w:rsidRPr="002124FC">
        <w:rPr>
          <w:noProof/>
          <w:sz w:val="20"/>
          <w:szCs w:val="20"/>
          <w:lang w:val="fr-BE"/>
        </w:rPr>
        <w:t>4c</w:t>
      </w:r>
      <w:bookmarkEnd w:id="37"/>
    </w:p>
    <w:p w14:paraId="0D88C49B"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01"/>
        <w:gridCol w:w="497"/>
        <w:gridCol w:w="2480"/>
        <w:gridCol w:w="1203"/>
        <w:gridCol w:w="914"/>
        <w:gridCol w:w="1303"/>
        <w:gridCol w:w="1173"/>
        <w:gridCol w:w="1078"/>
        <w:gridCol w:w="1034"/>
        <w:gridCol w:w="907"/>
        <w:gridCol w:w="730"/>
        <w:gridCol w:w="3564"/>
      </w:tblGrid>
      <w:tr w:rsidR="006B2EC1" w14:paraId="2D2E8C9C" w14:textId="77777777" w:rsidTr="0047688D">
        <w:trPr>
          <w:tblHeader/>
        </w:trPr>
        <w:tc>
          <w:tcPr>
            <w:tcW w:w="0" w:type="auto"/>
          </w:tcPr>
          <w:p w14:paraId="52EB3078" w14:textId="77777777" w:rsidR="008C5CFA" w:rsidRPr="009143B4" w:rsidRDefault="00E82A60" w:rsidP="00300A01">
            <w:pPr>
              <w:spacing w:before="0" w:after="0"/>
              <w:rPr>
                <w:b/>
                <w:sz w:val="16"/>
                <w:szCs w:val="16"/>
                <w:lang w:val="fr-BE"/>
              </w:rPr>
            </w:pPr>
            <w:r w:rsidRPr="009143B4">
              <w:rPr>
                <w:b/>
                <w:sz w:val="16"/>
                <w:szCs w:val="16"/>
                <w:lang w:val="fr-BE"/>
              </w:rPr>
              <w:t>(1)</w:t>
            </w:r>
          </w:p>
        </w:tc>
        <w:tc>
          <w:tcPr>
            <w:tcW w:w="0" w:type="auto"/>
            <w:shd w:val="clear" w:color="auto" w:fill="auto"/>
          </w:tcPr>
          <w:p w14:paraId="23AF5458" w14:textId="77777777" w:rsidR="008C5CFA" w:rsidRPr="009143B4" w:rsidRDefault="00E82A60" w:rsidP="00300A01">
            <w:pPr>
              <w:spacing w:before="0" w:after="0"/>
              <w:rPr>
                <w:b/>
                <w:sz w:val="16"/>
                <w:szCs w:val="16"/>
                <w:lang w:val="fr-BE"/>
              </w:rPr>
            </w:pPr>
            <w:r w:rsidRPr="009143B4">
              <w:rPr>
                <w:b/>
                <w:noProof/>
                <w:sz w:val="16"/>
                <w:szCs w:val="16"/>
                <w:lang w:val="fr-BE"/>
              </w:rPr>
              <w:t>ID</w:t>
            </w:r>
          </w:p>
        </w:tc>
        <w:tc>
          <w:tcPr>
            <w:tcW w:w="0" w:type="auto"/>
            <w:shd w:val="clear" w:color="auto" w:fill="auto"/>
          </w:tcPr>
          <w:p w14:paraId="18438B43" w14:textId="77777777" w:rsidR="008C5CFA" w:rsidRPr="009143B4" w:rsidRDefault="00E82A60" w:rsidP="00300A01">
            <w:pPr>
              <w:spacing w:before="0" w:after="0"/>
              <w:rPr>
                <w:b/>
                <w:sz w:val="16"/>
                <w:szCs w:val="16"/>
                <w:lang w:val="fr-BE"/>
              </w:rPr>
            </w:pPr>
            <w:r w:rsidRPr="009143B4">
              <w:rPr>
                <w:b/>
                <w:noProof/>
                <w:sz w:val="16"/>
                <w:szCs w:val="16"/>
                <w:lang w:val="fr-BE"/>
              </w:rPr>
              <w:t>Wskaźnik</w:t>
            </w:r>
          </w:p>
        </w:tc>
        <w:tc>
          <w:tcPr>
            <w:tcW w:w="0" w:type="auto"/>
            <w:shd w:val="clear" w:color="auto" w:fill="auto"/>
          </w:tcPr>
          <w:p w14:paraId="72425444" w14:textId="77777777" w:rsidR="008C5CFA" w:rsidRPr="009143B4" w:rsidRDefault="00E82A60" w:rsidP="00300A01">
            <w:pPr>
              <w:spacing w:before="0" w:after="0"/>
              <w:rPr>
                <w:b/>
                <w:sz w:val="16"/>
                <w:szCs w:val="16"/>
                <w:lang w:val="fr-BE"/>
              </w:rPr>
            </w:pPr>
            <w:r w:rsidRPr="009143B4">
              <w:rPr>
                <w:b/>
                <w:noProof/>
                <w:sz w:val="16"/>
                <w:szCs w:val="16"/>
                <w:lang w:val="fr-BE"/>
              </w:rPr>
              <w:t>Jednostka miary</w:t>
            </w:r>
          </w:p>
        </w:tc>
        <w:tc>
          <w:tcPr>
            <w:tcW w:w="0" w:type="auto"/>
            <w:shd w:val="clear" w:color="auto" w:fill="auto"/>
          </w:tcPr>
          <w:p w14:paraId="75A7A71E" w14:textId="77777777" w:rsidR="008C5CFA" w:rsidRPr="009143B4" w:rsidRDefault="00E82A60" w:rsidP="00300A01">
            <w:pPr>
              <w:spacing w:before="0" w:after="0"/>
              <w:rPr>
                <w:b/>
                <w:sz w:val="16"/>
                <w:szCs w:val="16"/>
                <w:lang w:val="fr-BE"/>
              </w:rPr>
            </w:pPr>
            <w:r w:rsidRPr="009143B4">
              <w:rPr>
                <w:b/>
                <w:noProof/>
                <w:sz w:val="16"/>
                <w:szCs w:val="16"/>
                <w:lang w:val="fr-BE"/>
              </w:rPr>
              <w:t>Kategoria regionu</w:t>
            </w:r>
          </w:p>
        </w:tc>
        <w:tc>
          <w:tcPr>
            <w:tcW w:w="0" w:type="auto"/>
            <w:shd w:val="clear" w:color="auto" w:fill="auto"/>
          </w:tcPr>
          <w:p w14:paraId="3BC311D3" w14:textId="77777777" w:rsidR="008C5CFA" w:rsidRPr="009143B4" w:rsidRDefault="00E82A60" w:rsidP="00300A01">
            <w:pPr>
              <w:spacing w:before="0" w:after="0"/>
              <w:jc w:val="center"/>
              <w:rPr>
                <w:b/>
                <w:sz w:val="16"/>
                <w:szCs w:val="16"/>
                <w:lang w:val="fr-BE"/>
              </w:rPr>
            </w:pPr>
            <w:r w:rsidRPr="009143B4">
              <w:rPr>
                <w:b/>
                <w:noProof/>
                <w:sz w:val="16"/>
                <w:szCs w:val="16"/>
                <w:lang w:val="fr-BE"/>
              </w:rPr>
              <w:t>Wartość docelowa (2023) ogółem</w:t>
            </w:r>
          </w:p>
        </w:tc>
        <w:tc>
          <w:tcPr>
            <w:tcW w:w="0" w:type="auto"/>
            <w:shd w:val="clear" w:color="auto" w:fill="auto"/>
          </w:tcPr>
          <w:p w14:paraId="458FA318" w14:textId="77777777" w:rsidR="008C5CFA" w:rsidRPr="009143B4" w:rsidRDefault="00E82A60" w:rsidP="00300A01">
            <w:pPr>
              <w:spacing w:before="0" w:after="0"/>
              <w:jc w:val="center"/>
              <w:rPr>
                <w:b/>
                <w:sz w:val="16"/>
                <w:szCs w:val="16"/>
                <w:lang w:val="fr-BE"/>
              </w:rPr>
            </w:pPr>
            <w:r w:rsidRPr="009143B4">
              <w:rPr>
                <w:b/>
                <w:noProof/>
                <w:sz w:val="16"/>
                <w:szCs w:val="16"/>
                <w:lang w:val="fr-BE"/>
              </w:rPr>
              <w:t>Wartość docelowa (2023) mężczyźni</w:t>
            </w:r>
          </w:p>
        </w:tc>
        <w:tc>
          <w:tcPr>
            <w:tcW w:w="0" w:type="auto"/>
          </w:tcPr>
          <w:p w14:paraId="3270A896" w14:textId="77777777" w:rsidR="008C5CFA" w:rsidRPr="009143B4" w:rsidRDefault="00E82A60" w:rsidP="00300A01">
            <w:pPr>
              <w:spacing w:before="0" w:after="0"/>
              <w:jc w:val="center"/>
              <w:rPr>
                <w:b/>
                <w:sz w:val="16"/>
                <w:szCs w:val="16"/>
                <w:lang w:val="fr-BE"/>
              </w:rPr>
            </w:pPr>
            <w:r w:rsidRPr="009143B4">
              <w:rPr>
                <w:b/>
                <w:noProof/>
                <w:sz w:val="16"/>
                <w:szCs w:val="16"/>
                <w:lang w:val="fr-BE"/>
              </w:rPr>
              <w:t>Wartość docelowa (2023) kobiety</w:t>
            </w:r>
          </w:p>
        </w:tc>
        <w:tc>
          <w:tcPr>
            <w:tcW w:w="0" w:type="auto"/>
            <w:shd w:val="clear" w:color="auto" w:fill="auto"/>
          </w:tcPr>
          <w:p w14:paraId="2700464E" w14:textId="77777777" w:rsidR="008C5CFA" w:rsidRPr="009143B4" w:rsidRDefault="00E82A60" w:rsidP="00300A01">
            <w:pPr>
              <w:spacing w:before="0" w:after="0"/>
              <w:jc w:val="center"/>
              <w:rPr>
                <w:b/>
                <w:sz w:val="16"/>
                <w:szCs w:val="16"/>
                <w:lang w:val="fr-BE"/>
              </w:rPr>
            </w:pPr>
            <w:r>
              <w:rPr>
                <w:b/>
                <w:sz w:val="16"/>
                <w:szCs w:val="16"/>
                <w:lang w:val="fr-BE"/>
              </w:rPr>
              <w:t xml:space="preserve">2019 </w:t>
            </w:r>
            <w:r w:rsidRPr="009143B4">
              <w:rPr>
                <w:b/>
                <w:noProof/>
                <w:sz w:val="16"/>
                <w:szCs w:val="16"/>
                <w:lang w:val="fr-BE"/>
              </w:rPr>
              <w:t>Ogółem</w:t>
            </w:r>
          </w:p>
        </w:tc>
        <w:tc>
          <w:tcPr>
            <w:tcW w:w="0" w:type="auto"/>
            <w:shd w:val="clear" w:color="auto" w:fill="auto"/>
          </w:tcPr>
          <w:p w14:paraId="5095E092" w14:textId="77777777" w:rsidR="008C5CFA" w:rsidRPr="009143B4" w:rsidRDefault="00E82A60" w:rsidP="00300A01">
            <w:pPr>
              <w:spacing w:before="0" w:after="0"/>
              <w:jc w:val="center"/>
              <w:rPr>
                <w:b/>
                <w:sz w:val="16"/>
                <w:szCs w:val="16"/>
                <w:lang w:val="fr-BE"/>
              </w:rPr>
            </w:pPr>
            <w:r>
              <w:rPr>
                <w:b/>
                <w:sz w:val="16"/>
                <w:szCs w:val="16"/>
                <w:lang w:val="fr-BE"/>
              </w:rPr>
              <w:t xml:space="preserve">2019 </w:t>
            </w:r>
            <w:r w:rsidRPr="009143B4">
              <w:rPr>
                <w:b/>
                <w:noProof/>
                <w:sz w:val="16"/>
                <w:szCs w:val="16"/>
                <w:lang w:val="fr-BE"/>
              </w:rPr>
              <w:t>Mężczyźni</w:t>
            </w:r>
          </w:p>
        </w:tc>
        <w:tc>
          <w:tcPr>
            <w:tcW w:w="0" w:type="auto"/>
            <w:shd w:val="clear" w:color="auto" w:fill="auto"/>
          </w:tcPr>
          <w:p w14:paraId="20D530C2" w14:textId="77777777" w:rsidR="008C5CFA" w:rsidRPr="009143B4" w:rsidRDefault="00E82A60" w:rsidP="00300A01">
            <w:pPr>
              <w:spacing w:before="0" w:after="0"/>
              <w:jc w:val="center"/>
              <w:rPr>
                <w:b/>
                <w:sz w:val="16"/>
                <w:szCs w:val="16"/>
                <w:lang w:val="fr-BE"/>
              </w:rPr>
            </w:pPr>
            <w:r>
              <w:rPr>
                <w:b/>
                <w:sz w:val="16"/>
                <w:szCs w:val="16"/>
                <w:lang w:val="fr-BE"/>
              </w:rPr>
              <w:t xml:space="preserve">2019 </w:t>
            </w:r>
            <w:r w:rsidRPr="009143B4">
              <w:rPr>
                <w:b/>
                <w:noProof/>
                <w:sz w:val="16"/>
                <w:szCs w:val="16"/>
                <w:lang w:val="fr-BE"/>
              </w:rPr>
              <w:t>Kobiety</w:t>
            </w:r>
          </w:p>
        </w:tc>
        <w:tc>
          <w:tcPr>
            <w:tcW w:w="0" w:type="auto"/>
            <w:shd w:val="clear" w:color="auto" w:fill="auto"/>
          </w:tcPr>
          <w:p w14:paraId="2DBC55A6" w14:textId="77777777" w:rsidR="008C5CFA" w:rsidRPr="009143B4" w:rsidRDefault="00E82A60" w:rsidP="00300A01">
            <w:pPr>
              <w:spacing w:before="0" w:after="0"/>
              <w:jc w:val="center"/>
              <w:rPr>
                <w:b/>
                <w:sz w:val="16"/>
                <w:szCs w:val="16"/>
                <w:lang w:val="fr-BE"/>
              </w:rPr>
            </w:pPr>
            <w:r w:rsidRPr="009143B4">
              <w:rPr>
                <w:b/>
                <w:noProof/>
                <w:sz w:val="16"/>
                <w:szCs w:val="16"/>
                <w:lang w:val="fr-BE"/>
              </w:rPr>
              <w:t>Uwagi</w:t>
            </w:r>
          </w:p>
        </w:tc>
      </w:tr>
      <w:tr w:rsidR="006B2EC1" w14:paraId="60A56D76" w14:textId="77777777" w:rsidTr="0047688D">
        <w:tc>
          <w:tcPr>
            <w:tcW w:w="0" w:type="auto"/>
          </w:tcPr>
          <w:p w14:paraId="6DD50533" w14:textId="77777777" w:rsidR="008C5CFA" w:rsidRPr="0024468B" w:rsidRDefault="00E82A60" w:rsidP="00300A01">
            <w:pPr>
              <w:spacing w:before="0" w:after="0"/>
              <w:rPr>
                <w:sz w:val="16"/>
                <w:szCs w:val="16"/>
                <w:lang w:val="fr-BE"/>
              </w:rPr>
            </w:pPr>
            <w:r>
              <w:rPr>
                <w:noProof/>
                <w:sz w:val="16"/>
                <w:szCs w:val="16"/>
                <w:lang w:val="fr-BE"/>
              </w:rPr>
              <w:t>F</w:t>
            </w:r>
          </w:p>
        </w:tc>
        <w:tc>
          <w:tcPr>
            <w:tcW w:w="0" w:type="auto"/>
            <w:shd w:val="clear" w:color="auto" w:fill="auto"/>
          </w:tcPr>
          <w:p w14:paraId="20356F23" w14:textId="77777777" w:rsidR="008C5CFA" w:rsidRPr="0024468B" w:rsidRDefault="00E82A60" w:rsidP="00300A01">
            <w:pPr>
              <w:spacing w:before="0" w:after="0"/>
              <w:rPr>
                <w:sz w:val="16"/>
                <w:szCs w:val="16"/>
                <w:lang w:val="fr-BE"/>
              </w:rPr>
            </w:pPr>
            <w:r w:rsidRPr="0024468B">
              <w:rPr>
                <w:noProof/>
                <w:sz w:val="16"/>
                <w:szCs w:val="16"/>
                <w:lang w:val="fr-BE"/>
              </w:rPr>
              <w:t>CO32</w:t>
            </w:r>
          </w:p>
        </w:tc>
        <w:tc>
          <w:tcPr>
            <w:tcW w:w="0" w:type="auto"/>
            <w:shd w:val="clear" w:color="auto" w:fill="auto"/>
          </w:tcPr>
          <w:p w14:paraId="3CF56410" w14:textId="77777777" w:rsidR="008C5CFA" w:rsidRPr="0024468B" w:rsidRDefault="00E82A60" w:rsidP="00300A01">
            <w:pPr>
              <w:spacing w:before="0" w:after="0"/>
              <w:rPr>
                <w:sz w:val="16"/>
                <w:szCs w:val="16"/>
                <w:lang w:val="fr-BE"/>
              </w:rPr>
            </w:pPr>
            <w:r w:rsidRPr="0024468B">
              <w:rPr>
                <w:noProof/>
                <w:sz w:val="16"/>
                <w:szCs w:val="16"/>
                <w:lang w:val="fr-BE"/>
              </w:rPr>
              <w:t>Efektywność energetyczna: zmniejszenie rocznego zużycia energii pierwotnej w budynkach publicznych</w:t>
            </w:r>
          </w:p>
        </w:tc>
        <w:tc>
          <w:tcPr>
            <w:tcW w:w="0" w:type="auto"/>
            <w:shd w:val="clear" w:color="auto" w:fill="auto"/>
          </w:tcPr>
          <w:p w14:paraId="2D0C8531" w14:textId="77777777" w:rsidR="008C5CFA" w:rsidRPr="0024468B" w:rsidRDefault="00E82A60" w:rsidP="00300A01">
            <w:pPr>
              <w:spacing w:before="0" w:after="0"/>
              <w:rPr>
                <w:sz w:val="16"/>
                <w:szCs w:val="16"/>
                <w:lang w:val="fr-BE"/>
              </w:rPr>
            </w:pPr>
            <w:r>
              <w:rPr>
                <w:noProof/>
                <w:sz w:val="16"/>
                <w:szCs w:val="16"/>
                <w:lang w:val="fr-BE"/>
              </w:rPr>
              <w:t>kWh/rok</w:t>
            </w:r>
          </w:p>
        </w:tc>
        <w:tc>
          <w:tcPr>
            <w:tcW w:w="0" w:type="auto"/>
            <w:shd w:val="clear" w:color="auto" w:fill="auto"/>
          </w:tcPr>
          <w:p w14:paraId="545E784C" w14:textId="77777777" w:rsidR="008C5CFA" w:rsidRPr="0024468B" w:rsidRDefault="00E82A60"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14:paraId="4739F119" w14:textId="77777777" w:rsidR="008C5CFA" w:rsidRPr="0024468B" w:rsidRDefault="00E82A60" w:rsidP="00300A01">
            <w:pPr>
              <w:spacing w:before="0" w:after="0"/>
              <w:jc w:val="right"/>
              <w:rPr>
                <w:sz w:val="16"/>
                <w:szCs w:val="16"/>
                <w:lang w:val="fr-BE"/>
              </w:rPr>
            </w:pPr>
            <w:r>
              <w:rPr>
                <w:noProof/>
                <w:sz w:val="16"/>
                <w:szCs w:val="16"/>
                <w:lang w:val="fr-BE"/>
              </w:rPr>
              <w:t>14 918 550,64</w:t>
            </w:r>
          </w:p>
        </w:tc>
        <w:tc>
          <w:tcPr>
            <w:tcW w:w="0" w:type="auto"/>
            <w:shd w:val="clear" w:color="auto" w:fill="auto"/>
          </w:tcPr>
          <w:p w14:paraId="14E31EBB" w14:textId="77777777" w:rsidR="008C5CFA" w:rsidRPr="0024468B" w:rsidRDefault="008C5CFA" w:rsidP="00300A01">
            <w:pPr>
              <w:spacing w:before="0" w:after="0"/>
              <w:jc w:val="right"/>
              <w:rPr>
                <w:sz w:val="16"/>
                <w:szCs w:val="16"/>
                <w:lang w:val="fr-BE"/>
              </w:rPr>
            </w:pPr>
          </w:p>
        </w:tc>
        <w:tc>
          <w:tcPr>
            <w:tcW w:w="0" w:type="auto"/>
          </w:tcPr>
          <w:p w14:paraId="681EACD2" w14:textId="77777777" w:rsidR="008C5CFA" w:rsidRPr="0024468B" w:rsidRDefault="008C5CFA" w:rsidP="00300A01">
            <w:pPr>
              <w:spacing w:before="0" w:after="0"/>
              <w:jc w:val="right"/>
              <w:rPr>
                <w:sz w:val="16"/>
                <w:szCs w:val="16"/>
                <w:lang w:val="fr-BE"/>
              </w:rPr>
            </w:pPr>
          </w:p>
        </w:tc>
        <w:tc>
          <w:tcPr>
            <w:tcW w:w="0" w:type="auto"/>
            <w:shd w:val="clear" w:color="auto" w:fill="auto"/>
          </w:tcPr>
          <w:p w14:paraId="7BD8D9AA"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492345BE"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693774F2"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0F8E4979" w14:textId="77777777" w:rsidR="008C5CFA" w:rsidRPr="0024468B" w:rsidRDefault="008C5CFA" w:rsidP="00300A01">
            <w:pPr>
              <w:spacing w:before="0" w:after="0"/>
              <w:rPr>
                <w:sz w:val="16"/>
                <w:szCs w:val="16"/>
                <w:lang w:val="fr-BE"/>
              </w:rPr>
            </w:pPr>
          </w:p>
        </w:tc>
      </w:tr>
      <w:tr w:rsidR="006B2EC1" w14:paraId="4DB203C5" w14:textId="77777777" w:rsidTr="0047688D">
        <w:tc>
          <w:tcPr>
            <w:tcW w:w="0" w:type="auto"/>
          </w:tcPr>
          <w:p w14:paraId="45654526" w14:textId="77777777" w:rsidR="008C5CFA" w:rsidRPr="0024468B" w:rsidRDefault="00E82A60" w:rsidP="00300A01">
            <w:pPr>
              <w:spacing w:before="0" w:after="0"/>
              <w:rPr>
                <w:sz w:val="16"/>
                <w:szCs w:val="16"/>
                <w:lang w:val="fr-BE"/>
              </w:rPr>
            </w:pPr>
            <w:r>
              <w:rPr>
                <w:noProof/>
                <w:sz w:val="16"/>
                <w:szCs w:val="16"/>
                <w:lang w:val="fr-BE"/>
              </w:rPr>
              <w:t>S</w:t>
            </w:r>
          </w:p>
        </w:tc>
        <w:tc>
          <w:tcPr>
            <w:tcW w:w="0" w:type="auto"/>
            <w:shd w:val="clear" w:color="auto" w:fill="auto"/>
          </w:tcPr>
          <w:p w14:paraId="591A9141" w14:textId="77777777" w:rsidR="008C5CFA" w:rsidRPr="0024468B" w:rsidRDefault="00E82A60" w:rsidP="00300A01">
            <w:pPr>
              <w:spacing w:before="0" w:after="0"/>
              <w:rPr>
                <w:sz w:val="16"/>
                <w:szCs w:val="16"/>
                <w:lang w:val="fr-BE"/>
              </w:rPr>
            </w:pPr>
            <w:r w:rsidRPr="0024468B">
              <w:rPr>
                <w:noProof/>
                <w:sz w:val="16"/>
                <w:szCs w:val="16"/>
                <w:lang w:val="fr-BE"/>
              </w:rPr>
              <w:t>CO32</w:t>
            </w:r>
          </w:p>
        </w:tc>
        <w:tc>
          <w:tcPr>
            <w:tcW w:w="0" w:type="auto"/>
            <w:shd w:val="clear" w:color="auto" w:fill="auto"/>
          </w:tcPr>
          <w:p w14:paraId="6B434B45" w14:textId="77777777" w:rsidR="008C5CFA" w:rsidRPr="0024468B" w:rsidRDefault="00E82A60" w:rsidP="00300A01">
            <w:pPr>
              <w:spacing w:before="0" w:after="0"/>
              <w:rPr>
                <w:sz w:val="16"/>
                <w:szCs w:val="16"/>
                <w:lang w:val="fr-BE"/>
              </w:rPr>
            </w:pPr>
            <w:r w:rsidRPr="0024468B">
              <w:rPr>
                <w:noProof/>
                <w:sz w:val="16"/>
                <w:szCs w:val="16"/>
                <w:lang w:val="fr-BE"/>
              </w:rPr>
              <w:t>Efektywność energetyczna: zmniejszenie rocznego zużycia energii pierwotnej w budynkach publicznych</w:t>
            </w:r>
          </w:p>
        </w:tc>
        <w:tc>
          <w:tcPr>
            <w:tcW w:w="0" w:type="auto"/>
            <w:shd w:val="clear" w:color="auto" w:fill="auto"/>
          </w:tcPr>
          <w:p w14:paraId="0FAB7C0C" w14:textId="77777777" w:rsidR="008C5CFA" w:rsidRPr="0024468B" w:rsidRDefault="00E82A60" w:rsidP="00300A01">
            <w:pPr>
              <w:spacing w:before="0" w:after="0"/>
              <w:rPr>
                <w:sz w:val="16"/>
                <w:szCs w:val="16"/>
                <w:lang w:val="fr-BE"/>
              </w:rPr>
            </w:pPr>
            <w:r>
              <w:rPr>
                <w:noProof/>
                <w:sz w:val="16"/>
                <w:szCs w:val="16"/>
                <w:lang w:val="fr-BE"/>
              </w:rPr>
              <w:t>kWh/rok</w:t>
            </w:r>
          </w:p>
        </w:tc>
        <w:tc>
          <w:tcPr>
            <w:tcW w:w="0" w:type="auto"/>
            <w:shd w:val="clear" w:color="auto" w:fill="auto"/>
          </w:tcPr>
          <w:p w14:paraId="40C29414" w14:textId="77777777" w:rsidR="008C5CFA" w:rsidRPr="0024468B" w:rsidRDefault="00E82A60"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14:paraId="03B79431" w14:textId="77777777" w:rsidR="008C5CFA" w:rsidRPr="0024468B" w:rsidRDefault="00E82A60" w:rsidP="00300A01">
            <w:pPr>
              <w:spacing w:before="0" w:after="0"/>
              <w:jc w:val="right"/>
              <w:rPr>
                <w:sz w:val="16"/>
                <w:szCs w:val="16"/>
                <w:lang w:val="fr-BE"/>
              </w:rPr>
            </w:pPr>
            <w:r>
              <w:rPr>
                <w:noProof/>
                <w:sz w:val="16"/>
                <w:szCs w:val="16"/>
                <w:lang w:val="fr-BE"/>
              </w:rPr>
              <w:t>14 918 550,64</w:t>
            </w:r>
          </w:p>
        </w:tc>
        <w:tc>
          <w:tcPr>
            <w:tcW w:w="0" w:type="auto"/>
            <w:shd w:val="clear" w:color="auto" w:fill="auto"/>
          </w:tcPr>
          <w:p w14:paraId="34BCD5DF" w14:textId="77777777" w:rsidR="008C5CFA" w:rsidRPr="0024468B" w:rsidRDefault="008C5CFA" w:rsidP="00300A01">
            <w:pPr>
              <w:spacing w:before="0" w:after="0"/>
              <w:jc w:val="right"/>
              <w:rPr>
                <w:sz w:val="16"/>
                <w:szCs w:val="16"/>
                <w:lang w:val="fr-BE"/>
              </w:rPr>
            </w:pPr>
          </w:p>
        </w:tc>
        <w:tc>
          <w:tcPr>
            <w:tcW w:w="0" w:type="auto"/>
          </w:tcPr>
          <w:p w14:paraId="4B659D15" w14:textId="77777777" w:rsidR="008C5CFA" w:rsidRPr="0024468B" w:rsidRDefault="008C5CFA" w:rsidP="00300A01">
            <w:pPr>
              <w:spacing w:before="0" w:after="0"/>
              <w:jc w:val="right"/>
              <w:rPr>
                <w:sz w:val="16"/>
                <w:szCs w:val="16"/>
                <w:lang w:val="fr-BE"/>
              </w:rPr>
            </w:pPr>
          </w:p>
        </w:tc>
        <w:tc>
          <w:tcPr>
            <w:tcW w:w="0" w:type="auto"/>
            <w:shd w:val="clear" w:color="auto" w:fill="auto"/>
          </w:tcPr>
          <w:p w14:paraId="14481D00" w14:textId="77777777" w:rsidR="008C5CFA" w:rsidRPr="0024468B" w:rsidRDefault="00E82A60" w:rsidP="00300A01">
            <w:pPr>
              <w:spacing w:before="0" w:after="0"/>
              <w:jc w:val="right"/>
              <w:rPr>
                <w:sz w:val="16"/>
                <w:szCs w:val="16"/>
                <w:lang w:val="fr-BE"/>
              </w:rPr>
            </w:pPr>
            <w:r w:rsidRPr="0024468B">
              <w:rPr>
                <w:noProof/>
                <w:sz w:val="16"/>
                <w:szCs w:val="16"/>
                <w:lang w:val="fr-BE"/>
              </w:rPr>
              <w:t>18 171 953,45</w:t>
            </w:r>
          </w:p>
        </w:tc>
        <w:tc>
          <w:tcPr>
            <w:tcW w:w="0" w:type="auto"/>
            <w:shd w:val="clear" w:color="auto" w:fill="auto"/>
          </w:tcPr>
          <w:p w14:paraId="2D8D51D5"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21892123"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24C8FD81" w14:textId="77777777" w:rsidR="008C5CFA" w:rsidRPr="0024468B" w:rsidRDefault="008C5CFA" w:rsidP="00300A01">
            <w:pPr>
              <w:spacing w:before="0" w:after="0"/>
              <w:rPr>
                <w:sz w:val="16"/>
                <w:szCs w:val="16"/>
                <w:lang w:val="fr-BE"/>
              </w:rPr>
            </w:pPr>
          </w:p>
        </w:tc>
      </w:tr>
      <w:tr w:rsidR="006B2EC1" w14:paraId="57F6D0D5" w14:textId="77777777" w:rsidTr="0047688D">
        <w:tc>
          <w:tcPr>
            <w:tcW w:w="0" w:type="auto"/>
          </w:tcPr>
          <w:p w14:paraId="41478877" w14:textId="77777777" w:rsidR="008C5CFA" w:rsidRPr="0024468B" w:rsidRDefault="00E82A60" w:rsidP="00300A01">
            <w:pPr>
              <w:spacing w:before="0" w:after="0"/>
              <w:rPr>
                <w:sz w:val="16"/>
                <w:szCs w:val="16"/>
                <w:lang w:val="fr-BE"/>
              </w:rPr>
            </w:pPr>
            <w:r>
              <w:rPr>
                <w:noProof/>
                <w:sz w:val="16"/>
                <w:szCs w:val="16"/>
                <w:lang w:val="fr-BE"/>
              </w:rPr>
              <w:t>F</w:t>
            </w:r>
          </w:p>
        </w:tc>
        <w:tc>
          <w:tcPr>
            <w:tcW w:w="0" w:type="auto"/>
            <w:shd w:val="clear" w:color="auto" w:fill="auto"/>
          </w:tcPr>
          <w:p w14:paraId="704B0648" w14:textId="77777777" w:rsidR="008C5CFA" w:rsidRPr="0024468B" w:rsidRDefault="00E82A60" w:rsidP="00300A01">
            <w:pPr>
              <w:spacing w:before="0" w:after="0"/>
              <w:rPr>
                <w:sz w:val="16"/>
                <w:szCs w:val="16"/>
                <w:lang w:val="fr-BE"/>
              </w:rPr>
            </w:pPr>
            <w:r w:rsidRPr="0024468B">
              <w:rPr>
                <w:noProof/>
                <w:sz w:val="16"/>
                <w:szCs w:val="16"/>
                <w:lang w:val="fr-BE"/>
              </w:rPr>
              <w:t>CO34</w:t>
            </w:r>
          </w:p>
        </w:tc>
        <w:tc>
          <w:tcPr>
            <w:tcW w:w="0" w:type="auto"/>
            <w:shd w:val="clear" w:color="auto" w:fill="auto"/>
          </w:tcPr>
          <w:p w14:paraId="093CFC2F" w14:textId="77777777" w:rsidR="008C5CFA" w:rsidRPr="0024468B" w:rsidRDefault="00E82A60" w:rsidP="00300A01">
            <w:pPr>
              <w:spacing w:before="0" w:after="0"/>
              <w:rPr>
                <w:sz w:val="16"/>
                <w:szCs w:val="16"/>
                <w:lang w:val="fr-BE"/>
              </w:rPr>
            </w:pPr>
            <w:r w:rsidRPr="0024468B">
              <w:rPr>
                <w:noProof/>
                <w:sz w:val="16"/>
                <w:szCs w:val="16"/>
                <w:lang w:val="fr-BE"/>
              </w:rPr>
              <w:t>Redukcja emisji gazów cieplarnianych: szacowany roczny spadek emisji gazów cieplarnianych</w:t>
            </w:r>
          </w:p>
        </w:tc>
        <w:tc>
          <w:tcPr>
            <w:tcW w:w="0" w:type="auto"/>
            <w:shd w:val="clear" w:color="auto" w:fill="auto"/>
          </w:tcPr>
          <w:p w14:paraId="03A34CA7" w14:textId="77777777" w:rsidR="008C5CFA" w:rsidRPr="0024468B" w:rsidRDefault="00E82A60" w:rsidP="00300A01">
            <w:pPr>
              <w:spacing w:before="0" w:after="0"/>
              <w:rPr>
                <w:sz w:val="16"/>
                <w:szCs w:val="16"/>
                <w:lang w:val="fr-BE"/>
              </w:rPr>
            </w:pPr>
            <w:r>
              <w:rPr>
                <w:noProof/>
                <w:sz w:val="16"/>
                <w:szCs w:val="16"/>
                <w:lang w:val="fr-BE"/>
              </w:rPr>
              <w:t>Tony równoważnika CO2</w:t>
            </w:r>
          </w:p>
        </w:tc>
        <w:tc>
          <w:tcPr>
            <w:tcW w:w="0" w:type="auto"/>
            <w:shd w:val="clear" w:color="auto" w:fill="auto"/>
          </w:tcPr>
          <w:p w14:paraId="2AC05146" w14:textId="77777777" w:rsidR="008C5CFA" w:rsidRPr="0024468B" w:rsidRDefault="00E82A60"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14:paraId="2EFAC385" w14:textId="77777777" w:rsidR="008C5CFA" w:rsidRPr="0024468B" w:rsidRDefault="00E82A60" w:rsidP="00300A01">
            <w:pPr>
              <w:spacing w:before="0" w:after="0"/>
              <w:jc w:val="right"/>
              <w:rPr>
                <w:sz w:val="16"/>
                <w:szCs w:val="16"/>
                <w:lang w:val="fr-BE"/>
              </w:rPr>
            </w:pPr>
            <w:r>
              <w:rPr>
                <w:noProof/>
                <w:sz w:val="16"/>
                <w:szCs w:val="16"/>
                <w:lang w:val="fr-BE"/>
              </w:rPr>
              <w:t>2 827,00</w:t>
            </w:r>
          </w:p>
        </w:tc>
        <w:tc>
          <w:tcPr>
            <w:tcW w:w="0" w:type="auto"/>
            <w:shd w:val="clear" w:color="auto" w:fill="auto"/>
          </w:tcPr>
          <w:p w14:paraId="652B9E08" w14:textId="77777777" w:rsidR="008C5CFA" w:rsidRPr="0024468B" w:rsidRDefault="008C5CFA" w:rsidP="00300A01">
            <w:pPr>
              <w:spacing w:before="0" w:after="0"/>
              <w:jc w:val="right"/>
              <w:rPr>
                <w:sz w:val="16"/>
                <w:szCs w:val="16"/>
                <w:lang w:val="fr-BE"/>
              </w:rPr>
            </w:pPr>
          </w:p>
        </w:tc>
        <w:tc>
          <w:tcPr>
            <w:tcW w:w="0" w:type="auto"/>
          </w:tcPr>
          <w:p w14:paraId="555A7524" w14:textId="77777777" w:rsidR="008C5CFA" w:rsidRPr="0024468B" w:rsidRDefault="008C5CFA" w:rsidP="00300A01">
            <w:pPr>
              <w:spacing w:before="0" w:after="0"/>
              <w:jc w:val="right"/>
              <w:rPr>
                <w:sz w:val="16"/>
                <w:szCs w:val="16"/>
                <w:lang w:val="fr-BE"/>
              </w:rPr>
            </w:pPr>
          </w:p>
        </w:tc>
        <w:tc>
          <w:tcPr>
            <w:tcW w:w="0" w:type="auto"/>
            <w:shd w:val="clear" w:color="auto" w:fill="auto"/>
          </w:tcPr>
          <w:p w14:paraId="0A4CD6EC"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40DDE457"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1B8DB7D2"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26D1C171" w14:textId="77777777" w:rsidR="008C5CFA" w:rsidRPr="0024468B" w:rsidRDefault="008C5CFA" w:rsidP="00300A01">
            <w:pPr>
              <w:spacing w:before="0" w:after="0"/>
              <w:rPr>
                <w:sz w:val="16"/>
                <w:szCs w:val="16"/>
                <w:lang w:val="fr-BE"/>
              </w:rPr>
            </w:pPr>
          </w:p>
        </w:tc>
      </w:tr>
      <w:tr w:rsidR="006B2EC1" w14:paraId="08D046F2" w14:textId="77777777" w:rsidTr="0047688D">
        <w:tc>
          <w:tcPr>
            <w:tcW w:w="0" w:type="auto"/>
          </w:tcPr>
          <w:p w14:paraId="32B671D7" w14:textId="77777777" w:rsidR="008C5CFA" w:rsidRPr="0024468B" w:rsidRDefault="00E82A60" w:rsidP="00300A01">
            <w:pPr>
              <w:spacing w:before="0" w:after="0"/>
              <w:rPr>
                <w:sz w:val="16"/>
                <w:szCs w:val="16"/>
                <w:lang w:val="fr-BE"/>
              </w:rPr>
            </w:pPr>
            <w:r>
              <w:rPr>
                <w:noProof/>
                <w:sz w:val="16"/>
                <w:szCs w:val="16"/>
                <w:lang w:val="fr-BE"/>
              </w:rPr>
              <w:t>S</w:t>
            </w:r>
          </w:p>
        </w:tc>
        <w:tc>
          <w:tcPr>
            <w:tcW w:w="0" w:type="auto"/>
            <w:shd w:val="clear" w:color="auto" w:fill="auto"/>
          </w:tcPr>
          <w:p w14:paraId="1C3A259E" w14:textId="77777777" w:rsidR="008C5CFA" w:rsidRPr="0024468B" w:rsidRDefault="00E82A60" w:rsidP="00300A01">
            <w:pPr>
              <w:spacing w:before="0" w:after="0"/>
              <w:rPr>
                <w:sz w:val="16"/>
                <w:szCs w:val="16"/>
                <w:lang w:val="fr-BE"/>
              </w:rPr>
            </w:pPr>
            <w:r w:rsidRPr="0024468B">
              <w:rPr>
                <w:noProof/>
                <w:sz w:val="16"/>
                <w:szCs w:val="16"/>
                <w:lang w:val="fr-BE"/>
              </w:rPr>
              <w:t>CO34</w:t>
            </w:r>
          </w:p>
        </w:tc>
        <w:tc>
          <w:tcPr>
            <w:tcW w:w="0" w:type="auto"/>
            <w:shd w:val="clear" w:color="auto" w:fill="auto"/>
          </w:tcPr>
          <w:p w14:paraId="7DC1D013" w14:textId="77777777" w:rsidR="008C5CFA" w:rsidRPr="0024468B" w:rsidRDefault="00E82A60" w:rsidP="00300A01">
            <w:pPr>
              <w:spacing w:before="0" w:after="0"/>
              <w:rPr>
                <w:sz w:val="16"/>
                <w:szCs w:val="16"/>
                <w:lang w:val="fr-BE"/>
              </w:rPr>
            </w:pPr>
            <w:r w:rsidRPr="0024468B">
              <w:rPr>
                <w:noProof/>
                <w:sz w:val="16"/>
                <w:szCs w:val="16"/>
                <w:lang w:val="fr-BE"/>
              </w:rPr>
              <w:t>Redukcja emisji gazów cieplarnianych: szacowany roczny spadek emisji gazów cieplarnianych</w:t>
            </w:r>
          </w:p>
        </w:tc>
        <w:tc>
          <w:tcPr>
            <w:tcW w:w="0" w:type="auto"/>
            <w:shd w:val="clear" w:color="auto" w:fill="auto"/>
          </w:tcPr>
          <w:p w14:paraId="0F585327" w14:textId="77777777" w:rsidR="008C5CFA" w:rsidRPr="0024468B" w:rsidRDefault="00E82A60" w:rsidP="00300A01">
            <w:pPr>
              <w:spacing w:before="0" w:after="0"/>
              <w:rPr>
                <w:sz w:val="16"/>
                <w:szCs w:val="16"/>
                <w:lang w:val="fr-BE"/>
              </w:rPr>
            </w:pPr>
            <w:r>
              <w:rPr>
                <w:noProof/>
                <w:sz w:val="16"/>
                <w:szCs w:val="16"/>
                <w:lang w:val="fr-BE"/>
              </w:rPr>
              <w:t>Tony równoważnika CO2</w:t>
            </w:r>
          </w:p>
        </w:tc>
        <w:tc>
          <w:tcPr>
            <w:tcW w:w="0" w:type="auto"/>
            <w:shd w:val="clear" w:color="auto" w:fill="auto"/>
          </w:tcPr>
          <w:p w14:paraId="4A7AC886" w14:textId="77777777" w:rsidR="008C5CFA" w:rsidRPr="0024468B" w:rsidRDefault="00E82A60"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14:paraId="636B8FD9" w14:textId="77777777" w:rsidR="008C5CFA" w:rsidRPr="0024468B" w:rsidRDefault="00E82A60" w:rsidP="00300A01">
            <w:pPr>
              <w:spacing w:before="0" w:after="0"/>
              <w:jc w:val="right"/>
              <w:rPr>
                <w:sz w:val="16"/>
                <w:szCs w:val="16"/>
                <w:lang w:val="fr-BE"/>
              </w:rPr>
            </w:pPr>
            <w:r>
              <w:rPr>
                <w:noProof/>
                <w:sz w:val="16"/>
                <w:szCs w:val="16"/>
                <w:lang w:val="fr-BE"/>
              </w:rPr>
              <w:t>2 827,00</w:t>
            </w:r>
          </w:p>
        </w:tc>
        <w:tc>
          <w:tcPr>
            <w:tcW w:w="0" w:type="auto"/>
            <w:shd w:val="clear" w:color="auto" w:fill="auto"/>
          </w:tcPr>
          <w:p w14:paraId="307A6980" w14:textId="77777777" w:rsidR="008C5CFA" w:rsidRPr="0024468B" w:rsidRDefault="008C5CFA" w:rsidP="00300A01">
            <w:pPr>
              <w:spacing w:before="0" w:after="0"/>
              <w:jc w:val="right"/>
              <w:rPr>
                <w:sz w:val="16"/>
                <w:szCs w:val="16"/>
                <w:lang w:val="fr-BE"/>
              </w:rPr>
            </w:pPr>
          </w:p>
        </w:tc>
        <w:tc>
          <w:tcPr>
            <w:tcW w:w="0" w:type="auto"/>
          </w:tcPr>
          <w:p w14:paraId="632E1C07" w14:textId="77777777" w:rsidR="008C5CFA" w:rsidRPr="0024468B" w:rsidRDefault="008C5CFA" w:rsidP="00300A01">
            <w:pPr>
              <w:spacing w:before="0" w:after="0"/>
              <w:jc w:val="right"/>
              <w:rPr>
                <w:sz w:val="16"/>
                <w:szCs w:val="16"/>
                <w:lang w:val="fr-BE"/>
              </w:rPr>
            </w:pPr>
          </w:p>
        </w:tc>
        <w:tc>
          <w:tcPr>
            <w:tcW w:w="0" w:type="auto"/>
            <w:shd w:val="clear" w:color="auto" w:fill="auto"/>
          </w:tcPr>
          <w:p w14:paraId="7AF63226" w14:textId="77777777" w:rsidR="008C5CFA" w:rsidRPr="0024468B" w:rsidRDefault="00E82A60" w:rsidP="00300A01">
            <w:pPr>
              <w:spacing w:before="0" w:after="0"/>
              <w:jc w:val="right"/>
              <w:rPr>
                <w:sz w:val="16"/>
                <w:szCs w:val="16"/>
                <w:lang w:val="fr-BE"/>
              </w:rPr>
            </w:pPr>
            <w:r w:rsidRPr="0024468B">
              <w:rPr>
                <w:noProof/>
                <w:sz w:val="16"/>
                <w:szCs w:val="16"/>
                <w:lang w:val="fr-BE"/>
              </w:rPr>
              <w:t>5 360,30</w:t>
            </w:r>
          </w:p>
        </w:tc>
        <w:tc>
          <w:tcPr>
            <w:tcW w:w="0" w:type="auto"/>
            <w:shd w:val="clear" w:color="auto" w:fill="auto"/>
          </w:tcPr>
          <w:p w14:paraId="51EED470"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5258B79C"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3088BD3B" w14:textId="77777777" w:rsidR="008C5CFA" w:rsidRPr="0024468B" w:rsidRDefault="00E82A60" w:rsidP="00300A01">
            <w:pPr>
              <w:spacing w:before="0" w:after="0"/>
              <w:rPr>
                <w:sz w:val="16"/>
                <w:szCs w:val="16"/>
                <w:lang w:val="fr-BE"/>
              </w:rPr>
            </w:pPr>
            <w:r w:rsidRPr="0024468B">
              <w:rPr>
                <w:noProof/>
                <w:sz w:val="16"/>
                <w:szCs w:val="16"/>
                <w:lang w:val="fr-BE"/>
              </w:rPr>
              <w:t>IZ podjęła decyzję o urealnieniu wartości docelowej wskaźnika analizując liczbę zmodernizowanych i planowanych do modernizacji budynków do poziomu 6 000 ton równoważnika CO2.</w:t>
            </w:r>
          </w:p>
        </w:tc>
      </w:tr>
      <w:tr w:rsidR="006B2EC1" w14:paraId="186978FC" w14:textId="77777777" w:rsidTr="0047688D">
        <w:tc>
          <w:tcPr>
            <w:tcW w:w="0" w:type="auto"/>
          </w:tcPr>
          <w:p w14:paraId="393E6278" w14:textId="77777777" w:rsidR="008C5CFA" w:rsidRPr="0024468B" w:rsidRDefault="00E82A60" w:rsidP="00300A01">
            <w:pPr>
              <w:spacing w:before="0" w:after="0"/>
              <w:rPr>
                <w:sz w:val="16"/>
                <w:szCs w:val="16"/>
                <w:lang w:val="fr-BE"/>
              </w:rPr>
            </w:pPr>
            <w:r>
              <w:rPr>
                <w:noProof/>
                <w:sz w:val="16"/>
                <w:szCs w:val="16"/>
                <w:lang w:val="fr-BE"/>
              </w:rPr>
              <w:t>F</w:t>
            </w:r>
          </w:p>
        </w:tc>
        <w:tc>
          <w:tcPr>
            <w:tcW w:w="0" w:type="auto"/>
            <w:shd w:val="clear" w:color="auto" w:fill="auto"/>
          </w:tcPr>
          <w:p w14:paraId="2954640C" w14:textId="77777777" w:rsidR="008C5CFA" w:rsidRPr="0024468B" w:rsidRDefault="00E82A60" w:rsidP="00300A01">
            <w:pPr>
              <w:spacing w:before="0" w:after="0"/>
              <w:rPr>
                <w:sz w:val="16"/>
                <w:szCs w:val="16"/>
                <w:lang w:val="fr-BE"/>
              </w:rPr>
            </w:pPr>
            <w:r>
              <w:rPr>
                <w:noProof/>
                <w:sz w:val="16"/>
                <w:szCs w:val="16"/>
                <w:lang w:val="fr-BE"/>
              </w:rPr>
              <w:t>34</w:t>
            </w:r>
          </w:p>
        </w:tc>
        <w:tc>
          <w:tcPr>
            <w:tcW w:w="0" w:type="auto"/>
            <w:shd w:val="clear" w:color="auto" w:fill="auto"/>
          </w:tcPr>
          <w:p w14:paraId="258EDAA8" w14:textId="77777777" w:rsidR="008C5CFA" w:rsidRPr="0024468B" w:rsidRDefault="00E82A60" w:rsidP="00300A01">
            <w:pPr>
              <w:spacing w:before="0" w:after="0"/>
              <w:rPr>
                <w:sz w:val="16"/>
                <w:szCs w:val="16"/>
                <w:lang w:val="fr-BE"/>
              </w:rPr>
            </w:pPr>
            <w:r>
              <w:rPr>
                <w:noProof/>
                <w:sz w:val="16"/>
                <w:szCs w:val="16"/>
                <w:lang w:val="fr-BE"/>
              </w:rPr>
              <w:t>Liczba zmodernizowanych energetycznie budynków</w:t>
            </w:r>
          </w:p>
        </w:tc>
        <w:tc>
          <w:tcPr>
            <w:tcW w:w="0" w:type="auto"/>
            <w:shd w:val="clear" w:color="auto" w:fill="auto"/>
          </w:tcPr>
          <w:p w14:paraId="74671EA4" w14:textId="77777777" w:rsidR="008C5CFA" w:rsidRPr="0024468B" w:rsidRDefault="00E82A60" w:rsidP="00300A01">
            <w:pPr>
              <w:spacing w:before="0" w:after="0"/>
              <w:rPr>
                <w:sz w:val="16"/>
                <w:szCs w:val="16"/>
                <w:lang w:val="fr-BE"/>
              </w:rPr>
            </w:pPr>
            <w:r w:rsidRPr="0024468B">
              <w:rPr>
                <w:noProof/>
                <w:sz w:val="16"/>
                <w:szCs w:val="16"/>
                <w:lang w:val="fr-BE"/>
              </w:rPr>
              <w:t>szt.</w:t>
            </w:r>
          </w:p>
        </w:tc>
        <w:tc>
          <w:tcPr>
            <w:tcW w:w="0" w:type="auto"/>
            <w:shd w:val="clear" w:color="auto" w:fill="auto"/>
          </w:tcPr>
          <w:p w14:paraId="330F81F3" w14:textId="77777777" w:rsidR="008C5CFA" w:rsidRPr="0024468B" w:rsidRDefault="00E82A60"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14:paraId="74F9113B" w14:textId="77777777" w:rsidR="008C5CFA" w:rsidRPr="0024468B" w:rsidRDefault="00E82A60" w:rsidP="00300A01">
            <w:pPr>
              <w:spacing w:before="0" w:after="0"/>
              <w:jc w:val="right"/>
              <w:rPr>
                <w:sz w:val="16"/>
                <w:szCs w:val="16"/>
                <w:lang w:val="fr-BE"/>
              </w:rPr>
            </w:pPr>
            <w:r>
              <w:rPr>
                <w:noProof/>
                <w:sz w:val="16"/>
                <w:szCs w:val="16"/>
                <w:lang w:val="fr-BE"/>
              </w:rPr>
              <w:t>41,00</w:t>
            </w:r>
          </w:p>
        </w:tc>
        <w:tc>
          <w:tcPr>
            <w:tcW w:w="0" w:type="auto"/>
            <w:shd w:val="clear" w:color="auto" w:fill="auto"/>
          </w:tcPr>
          <w:p w14:paraId="1216E8FE" w14:textId="77777777" w:rsidR="008C5CFA" w:rsidRPr="0024468B" w:rsidRDefault="008C5CFA" w:rsidP="00300A01">
            <w:pPr>
              <w:spacing w:before="0" w:after="0"/>
              <w:jc w:val="right"/>
              <w:rPr>
                <w:sz w:val="16"/>
                <w:szCs w:val="16"/>
                <w:lang w:val="fr-BE"/>
              </w:rPr>
            </w:pPr>
          </w:p>
        </w:tc>
        <w:tc>
          <w:tcPr>
            <w:tcW w:w="0" w:type="auto"/>
          </w:tcPr>
          <w:p w14:paraId="13F502C3" w14:textId="77777777" w:rsidR="008C5CFA" w:rsidRPr="0024468B" w:rsidRDefault="008C5CFA" w:rsidP="00300A01">
            <w:pPr>
              <w:spacing w:before="0" w:after="0"/>
              <w:jc w:val="right"/>
              <w:rPr>
                <w:sz w:val="16"/>
                <w:szCs w:val="16"/>
                <w:lang w:val="fr-BE"/>
              </w:rPr>
            </w:pPr>
          </w:p>
        </w:tc>
        <w:tc>
          <w:tcPr>
            <w:tcW w:w="0" w:type="auto"/>
            <w:shd w:val="clear" w:color="auto" w:fill="auto"/>
          </w:tcPr>
          <w:p w14:paraId="3977A5F1" w14:textId="77777777" w:rsidR="008C5CFA" w:rsidRPr="0024468B" w:rsidRDefault="00E82A60" w:rsidP="00300A01">
            <w:pPr>
              <w:spacing w:before="0" w:after="0"/>
              <w:jc w:val="right"/>
              <w:rPr>
                <w:sz w:val="16"/>
                <w:szCs w:val="16"/>
                <w:lang w:val="fr-BE"/>
              </w:rPr>
            </w:pPr>
            <w:r w:rsidRPr="0024468B">
              <w:rPr>
                <w:noProof/>
                <w:sz w:val="16"/>
                <w:szCs w:val="16"/>
                <w:lang w:val="fr-BE"/>
              </w:rPr>
              <w:t>41,00</w:t>
            </w:r>
          </w:p>
        </w:tc>
        <w:tc>
          <w:tcPr>
            <w:tcW w:w="0" w:type="auto"/>
            <w:shd w:val="clear" w:color="auto" w:fill="auto"/>
          </w:tcPr>
          <w:p w14:paraId="3E25E3BF"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4E9EDE05"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3FB8322B" w14:textId="77777777" w:rsidR="008C5CFA" w:rsidRPr="0024468B" w:rsidRDefault="008C5CFA" w:rsidP="00300A01">
            <w:pPr>
              <w:spacing w:before="0" w:after="0"/>
              <w:rPr>
                <w:sz w:val="16"/>
                <w:szCs w:val="16"/>
                <w:lang w:val="fr-BE"/>
              </w:rPr>
            </w:pPr>
          </w:p>
        </w:tc>
      </w:tr>
      <w:tr w:rsidR="006B2EC1" w14:paraId="62FE14A8" w14:textId="77777777" w:rsidTr="0047688D">
        <w:tc>
          <w:tcPr>
            <w:tcW w:w="0" w:type="auto"/>
          </w:tcPr>
          <w:p w14:paraId="21531B77" w14:textId="77777777" w:rsidR="008C5CFA" w:rsidRPr="0024468B" w:rsidRDefault="00E82A60" w:rsidP="00300A01">
            <w:pPr>
              <w:spacing w:before="0" w:after="0"/>
              <w:rPr>
                <w:sz w:val="16"/>
                <w:szCs w:val="16"/>
                <w:lang w:val="fr-BE"/>
              </w:rPr>
            </w:pPr>
            <w:r>
              <w:rPr>
                <w:noProof/>
                <w:sz w:val="16"/>
                <w:szCs w:val="16"/>
                <w:lang w:val="fr-BE"/>
              </w:rPr>
              <w:t>S</w:t>
            </w:r>
          </w:p>
        </w:tc>
        <w:tc>
          <w:tcPr>
            <w:tcW w:w="0" w:type="auto"/>
            <w:shd w:val="clear" w:color="auto" w:fill="auto"/>
          </w:tcPr>
          <w:p w14:paraId="0C515563" w14:textId="77777777" w:rsidR="008C5CFA" w:rsidRPr="0024468B" w:rsidRDefault="00E82A60" w:rsidP="00300A01">
            <w:pPr>
              <w:spacing w:before="0" w:after="0"/>
              <w:rPr>
                <w:sz w:val="16"/>
                <w:szCs w:val="16"/>
                <w:lang w:val="fr-BE"/>
              </w:rPr>
            </w:pPr>
            <w:r>
              <w:rPr>
                <w:noProof/>
                <w:sz w:val="16"/>
                <w:szCs w:val="16"/>
                <w:lang w:val="fr-BE"/>
              </w:rPr>
              <w:t>34</w:t>
            </w:r>
          </w:p>
        </w:tc>
        <w:tc>
          <w:tcPr>
            <w:tcW w:w="0" w:type="auto"/>
            <w:shd w:val="clear" w:color="auto" w:fill="auto"/>
          </w:tcPr>
          <w:p w14:paraId="27457070" w14:textId="77777777" w:rsidR="008C5CFA" w:rsidRPr="0024468B" w:rsidRDefault="00E82A60" w:rsidP="00300A01">
            <w:pPr>
              <w:spacing w:before="0" w:after="0"/>
              <w:rPr>
                <w:sz w:val="16"/>
                <w:szCs w:val="16"/>
                <w:lang w:val="fr-BE"/>
              </w:rPr>
            </w:pPr>
            <w:r>
              <w:rPr>
                <w:noProof/>
                <w:sz w:val="16"/>
                <w:szCs w:val="16"/>
                <w:lang w:val="fr-BE"/>
              </w:rPr>
              <w:t>Liczba zmodernizowanych energetycznie budynków</w:t>
            </w:r>
          </w:p>
        </w:tc>
        <w:tc>
          <w:tcPr>
            <w:tcW w:w="0" w:type="auto"/>
            <w:shd w:val="clear" w:color="auto" w:fill="auto"/>
          </w:tcPr>
          <w:p w14:paraId="2DF73861" w14:textId="77777777" w:rsidR="008C5CFA" w:rsidRPr="0024468B" w:rsidRDefault="00E82A60" w:rsidP="00300A01">
            <w:pPr>
              <w:spacing w:before="0" w:after="0"/>
              <w:rPr>
                <w:sz w:val="16"/>
                <w:szCs w:val="16"/>
                <w:lang w:val="fr-BE"/>
              </w:rPr>
            </w:pPr>
            <w:r w:rsidRPr="0024468B">
              <w:rPr>
                <w:noProof/>
                <w:sz w:val="16"/>
                <w:szCs w:val="16"/>
                <w:lang w:val="fr-BE"/>
              </w:rPr>
              <w:t>szt.</w:t>
            </w:r>
          </w:p>
        </w:tc>
        <w:tc>
          <w:tcPr>
            <w:tcW w:w="0" w:type="auto"/>
            <w:shd w:val="clear" w:color="auto" w:fill="auto"/>
          </w:tcPr>
          <w:p w14:paraId="003AA3DB" w14:textId="77777777" w:rsidR="008C5CFA" w:rsidRPr="0024468B" w:rsidRDefault="00E82A60"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14:paraId="64ACA807" w14:textId="77777777" w:rsidR="008C5CFA" w:rsidRPr="0024468B" w:rsidRDefault="00E82A60" w:rsidP="00300A01">
            <w:pPr>
              <w:spacing w:before="0" w:after="0"/>
              <w:jc w:val="right"/>
              <w:rPr>
                <w:sz w:val="16"/>
                <w:szCs w:val="16"/>
                <w:lang w:val="fr-BE"/>
              </w:rPr>
            </w:pPr>
            <w:r>
              <w:rPr>
                <w:noProof/>
                <w:sz w:val="16"/>
                <w:szCs w:val="16"/>
                <w:lang w:val="fr-BE"/>
              </w:rPr>
              <w:t>41,00</w:t>
            </w:r>
          </w:p>
        </w:tc>
        <w:tc>
          <w:tcPr>
            <w:tcW w:w="0" w:type="auto"/>
            <w:shd w:val="clear" w:color="auto" w:fill="auto"/>
          </w:tcPr>
          <w:p w14:paraId="4EB6F979" w14:textId="77777777" w:rsidR="008C5CFA" w:rsidRPr="0024468B" w:rsidRDefault="008C5CFA" w:rsidP="00300A01">
            <w:pPr>
              <w:spacing w:before="0" w:after="0"/>
              <w:jc w:val="right"/>
              <w:rPr>
                <w:sz w:val="16"/>
                <w:szCs w:val="16"/>
                <w:lang w:val="fr-BE"/>
              </w:rPr>
            </w:pPr>
          </w:p>
        </w:tc>
        <w:tc>
          <w:tcPr>
            <w:tcW w:w="0" w:type="auto"/>
          </w:tcPr>
          <w:p w14:paraId="5C8D7285" w14:textId="77777777" w:rsidR="008C5CFA" w:rsidRPr="0024468B" w:rsidRDefault="008C5CFA" w:rsidP="00300A01">
            <w:pPr>
              <w:spacing w:before="0" w:after="0"/>
              <w:jc w:val="right"/>
              <w:rPr>
                <w:sz w:val="16"/>
                <w:szCs w:val="16"/>
                <w:lang w:val="fr-BE"/>
              </w:rPr>
            </w:pPr>
          </w:p>
        </w:tc>
        <w:tc>
          <w:tcPr>
            <w:tcW w:w="0" w:type="auto"/>
            <w:shd w:val="clear" w:color="auto" w:fill="auto"/>
          </w:tcPr>
          <w:p w14:paraId="396F30CF" w14:textId="77777777" w:rsidR="008C5CFA" w:rsidRPr="0024468B" w:rsidRDefault="00E82A60" w:rsidP="00300A01">
            <w:pPr>
              <w:spacing w:before="0" w:after="0"/>
              <w:jc w:val="right"/>
              <w:rPr>
                <w:sz w:val="16"/>
                <w:szCs w:val="16"/>
                <w:lang w:val="fr-BE"/>
              </w:rPr>
            </w:pPr>
            <w:r w:rsidRPr="0024468B">
              <w:rPr>
                <w:noProof/>
                <w:sz w:val="16"/>
                <w:szCs w:val="16"/>
                <w:lang w:val="fr-BE"/>
              </w:rPr>
              <w:t>46,00</w:t>
            </w:r>
          </w:p>
        </w:tc>
        <w:tc>
          <w:tcPr>
            <w:tcW w:w="0" w:type="auto"/>
            <w:shd w:val="clear" w:color="auto" w:fill="auto"/>
          </w:tcPr>
          <w:p w14:paraId="79B03C87"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790F043F"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5022D2CE" w14:textId="77777777" w:rsidR="008C5CFA" w:rsidRPr="0024468B" w:rsidRDefault="008C5CFA" w:rsidP="00300A01">
            <w:pPr>
              <w:spacing w:before="0" w:after="0"/>
              <w:rPr>
                <w:sz w:val="16"/>
                <w:szCs w:val="16"/>
                <w:lang w:val="fr-BE"/>
              </w:rPr>
            </w:pPr>
          </w:p>
        </w:tc>
      </w:tr>
    </w:tbl>
    <w:p w14:paraId="486B597B" w14:textId="77777777" w:rsidR="008C5CFA" w:rsidRDefault="00E82A60" w:rsidP="00300A01">
      <w:pPr>
        <w:spacing w:before="0" w:after="0"/>
        <w:rPr>
          <w:lang w:val="fr-BE"/>
        </w:rPr>
      </w:pPr>
      <w:r>
        <w:rPr>
          <w:noProof/>
          <w:lang w:val="fr-BE"/>
        </w:rPr>
        <w:t>1) S=wartość skumulowana – produkty, które mają być zrealizowane poprzez wybrane operacje [prognoza przedstawiona przez beneficjentów], F=wartość skumulowana – produkty zrealizowane poprzez operacje [rzeczywiste wykonanie]</w:t>
      </w:r>
    </w:p>
    <w:p w14:paraId="5954A577"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01"/>
        <w:gridCol w:w="497"/>
        <w:gridCol w:w="5357"/>
        <w:gridCol w:w="1034"/>
        <w:gridCol w:w="1096"/>
        <w:gridCol w:w="920"/>
        <w:gridCol w:w="1034"/>
        <w:gridCol w:w="1097"/>
        <w:gridCol w:w="920"/>
        <w:gridCol w:w="911"/>
        <w:gridCol w:w="1097"/>
        <w:gridCol w:w="920"/>
      </w:tblGrid>
      <w:tr w:rsidR="006B2EC1" w14:paraId="24E9CB89" w14:textId="77777777" w:rsidTr="0047688D">
        <w:trPr>
          <w:tblHeader/>
        </w:trPr>
        <w:tc>
          <w:tcPr>
            <w:tcW w:w="0" w:type="auto"/>
          </w:tcPr>
          <w:p w14:paraId="1F5CA1A5" w14:textId="77777777" w:rsidR="008C5CFA" w:rsidRPr="009143B4" w:rsidRDefault="00E82A60" w:rsidP="00300A01">
            <w:pPr>
              <w:spacing w:before="0" w:after="0"/>
              <w:rPr>
                <w:b/>
                <w:sz w:val="16"/>
                <w:szCs w:val="16"/>
                <w:lang w:val="fr-BE"/>
              </w:rPr>
            </w:pPr>
            <w:r w:rsidRPr="009143B4">
              <w:rPr>
                <w:b/>
                <w:sz w:val="16"/>
                <w:szCs w:val="16"/>
                <w:lang w:val="fr-BE"/>
              </w:rPr>
              <w:t>(1)</w:t>
            </w:r>
          </w:p>
        </w:tc>
        <w:tc>
          <w:tcPr>
            <w:tcW w:w="0" w:type="auto"/>
            <w:shd w:val="clear" w:color="auto" w:fill="auto"/>
          </w:tcPr>
          <w:p w14:paraId="3FB2017F" w14:textId="77777777" w:rsidR="008C5CFA" w:rsidRPr="009143B4" w:rsidRDefault="00E82A60" w:rsidP="00300A01">
            <w:pPr>
              <w:spacing w:before="0" w:after="0"/>
              <w:rPr>
                <w:b/>
                <w:sz w:val="16"/>
                <w:szCs w:val="16"/>
                <w:lang w:val="fr-BE"/>
              </w:rPr>
            </w:pPr>
            <w:r w:rsidRPr="009143B4">
              <w:rPr>
                <w:b/>
                <w:noProof/>
                <w:sz w:val="16"/>
                <w:szCs w:val="16"/>
                <w:lang w:val="fr-BE"/>
              </w:rPr>
              <w:t>ID</w:t>
            </w:r>
          </w:p>
        </w:tc>
        <w:tc>
          <w:tcPr>
            <w:tcW w:w="0" w:type="auto"/>
            <w:shd w:val="clear" w:color="auto" w:fill="auto"/>
          </w:tcPr>
          <w:p w14:paraId="2AF034B6" w14:textId="77777777" w:rsidR="008C5CFA" w:rsidRPr="009143B4" w:rsidRDefault="00E82A60" w:rsidP="00300A01">
            <w:pPr>
              <w:spacing w:before="0" w:after="0"/>
              <w:rPr>
                <w:b/>
                <w:sz w:val="16"/>
                <w:szCs w:val="16"/>
                <w:lang w:val="fr-BE"/>
              </w:rPr>
            </w:pPr>
            <w:r w:rsidRPr="009143B4">
              <w:rPr>
                <w:b/>
                <w:noProof/>
                <w:sz w:val="16"/>
                <w:szCs w:val="16"/>
                <w:lang w:val="fr-BE"/>
              </w:rPr>
              <w:t>Wskaźnik</w:t>
            </w:r>
          </w:p>
        </w:tc>
        <w:tc>
          <w:tcPr>
            <w:tcW w:w="0" w:type="auto"/>
          </w:tcPr>
          <w:p w14:paraId="5C230035" w14:textId="77777777" w:rsidR="008C5CFA" w:rsidRPr="009143B4" w:rsidRDefault="00E82A60" w:rsidP="00300A01">
            <w:pPr>
              <w:spacing w:before="0" w:after="0"/>
              <w:jc w:val="center"/>
              <w:rPr>
                <w:b/>
                <w:sz w:val="16"/>
                <w:szCs w:val="16"/>
                <w:lang w:val="fr-BE"/>
              </w:rPr>
            </w:pPr>
            <w:r>
              <w:rPr>
                <w:b/>
                <w:sz w:val="16"/>
                <w:szCs w:val="16"/>
                <w:lang w:val="fr-BE"/>
              </w:rPr>
              <w:t xml:space="preserve">2018 </w:t>
            </w:r>
            <w:r w:rsidRPr="009143B4">
              <w:rPr>
                <w:b/>
                <w:noProof/>
                <w:sz w:val="16"/>
                <w:szCs w:val="16"/>
                <w:lang w:val="fr-BE"/>
              </w:rPr>
              <w:t>Ogółem</w:t>
            </w:r>
          </w:p>
        </w:tc>
        <w:tc>
          <w:tcPr>
            <w:tcW w:w="0" w:type="auto"/>
          </w:tcPr>
          <w:p w14:paraId="45CBE624" w14:textId="77777777" w:rsidR="008C5CFA" w:rsidRPr="009143B4" w:rsidRDefault="00E82A60" w:rsidP="00300A01">
            <w:pPr>
              <w:spacing w:before="0" w:after="0"/>
              <w:jc w:val="center"/>
              <w:rPr>
                <w:b/>
                <w:sz w:val="16"/>
                <w:szCs w:val="16"/>
                <w:lang w:val="fr-BE"/>
              </w:rPr>
            </w:pPr>
            <w:r>
              <w:rPr>
                <w:b/>
                <w:sz w:val="16"/>
                <w:szCs w:val="16"/>
                <w:lang w:val="fr-BE"/>
              </w:rPr>
              <w:t xml:space="preserve">2018 </w:t>
            </w:r>
            <w:r w:rsidRPr="009143B4">
              <w:rPr>
                <w:b/>
                <w:noProof/>
                <w:sz w:val="16"/>
                <w:szCs w:val="16"/>
                <w:lang w:val="fr-BE"/>
              </w:rPr>
              <w:t>Mężczyźni</w:t>
            </w:r>
          </w:p>
        </w:tc>
        <w:tc>
          <w:tcPr>
            <w:tcW w:w="0" w:type="auto"/>
          </w:tcPr>
          <w:p w14:paraId="3A48DAB4" w14:textId="77777777" w:rsidR="008C5CFA" w:rsidRPr="009143B4" w:rsidRDefault="00E82A60" w:rsidP="00300A01">
            <w:pPr>
              <w:spacing w:before="0" w:after="0"/>
              <w:jc w:val="center"/>
              <w:rPr>
                <w:b/>
                <w:sz w:val="16"/>
                <w:szCs w:val="16"/>
                <w:lang w:val="fr-BE"/>
              </w:rPr>
            </w:pPr>
            <w:r>
              <w:rPr>
                <w:b/>
                <w:sz w:val="16"/>
                <w:szCs w:val="16"/>
                <w:lang w:val="fr-BE"/>
              </w:rPr>
              <w:t xml:space="preserve">2018 </w:t>
            </w:r>
            <w:r w:rsidRPr="009143B4">
              <w:rPr>
                <w:b/>
                <w:noProof/>
                <w:sz w:val="16"/>
                <w:szCs w:val="16"/>
                <w:lang w:val="fr-BE"/>
              </w:rPr>
              <w:t>Kobiety</w:t>
            </w:r>
          </w:p>
        </w:tc>
        <w:tc>
          <w:tcPr>
            <w:tcW w:w="0" w:type="auto"/>
          </w:tcPr>
          <w:p w14:paraId="17FB0D40" w14:textId="77777777" w:rsidR="008C5CFA" w:rsidRPr="009143B4" w:rsidRDefault="00E82A60"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Ogółem</w:t>
            </w:r>
          </w:p>
        </w:tc>
        <w:tc>
          <w:tcPr>
            <w:tcW w:w="0" w:type="auto"/>
          </w:tcPr>
          <w:p w14:paraId="15380C45" w14:textId="77777777" w:rsidR="008C5CFA" w:rsidRPr="009143B4" w:rsidRDefault="00E82A60"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Mężczyźni</w:t>
            </w:r>
          </w:p>
        </w:tc>
        <w:tc>
          <w:tcPr>
            <w:tcW w:w="0" w:type="auto"/>
          </w:tcPr>
          <w:p w14:paraId="223B7980" w14:textId="77777777" w:rsidR="008C5CFA" w:rsidRPr="009143B4" w:rsidRDefault="00E82A60"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Kobiety</w:t>
            </w:r>
          </w:p>
        </w:tc>
        <w:tc>
          <w:tcPr>
            <w:tcW w:w="0" w:type="auto"/>
            <w:shd w:val="clear" w:color="auto" w:fill="auto"/>
          </w:tcPr>
          <w:p w14:paraId="5EB0F372" w14:textId="77777777" w:rsidR="008C5CFA" w:rsidRPr="009143B4" w:rsidRDefault="00E82A60"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Ogółem</w:t>
            </w:r>
          </w:p>
        </w:tc>
        <w:tc>
          <w:tcPr>
            <w:tcW w:w="0" w:type="auto"/>
            <w:shd w:val="clear" w:color="auto" w:fill="auto"/>
          </w:tcPr>
          <w:p w14:paraId="45785559" w14:textId="77777777" w:rsidR="008C5CFA" w:rsidRPr="009143B4" w:rsidRDefault="00E82A60"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Mężczyźni</w:t>
            </w:r>
          </w:p>
        </w:tc>
        <w:tc>
          <w:tcPr>
            <w:tcW w:w="0" w:type="auto"/>
            <w:shd w:val="clear" w:color="auto" w:fill="auto"/>
          </w:tcPr>
          <w:p w14:paraId="346F179E" w14:textId="77777777" w:rsidR="008C5CFA" w:rsidRPr="009143B4" w:rsidRDefault="00E82A60"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Kobiety</w:t>
            </w:r>
          </w:p>
        </w:tc>
      </w:tr>
      <w:tr w:rsidR="006B2EC1" w14:paraId="11756BEB" w14:textId="77777777" w:rsidTr="0047688D">
        <w:tc>
          <w:tcPr>
            <w:tcW w:w="0" w:type="auto"/>
          </w:tcPr>
          <w:p w14:paraId="38321705" w14:textId="77777777" w:rsidR="008C5CFA" w:rsidRPr="0024468B" w:rsidRDefault="00E82A60" w:rsidP="00300A01">
            <w:pPr>
              <w:spacing w:before="0" w:after="0"/>
              <w:rPr>
                <w:sz w:val="16"/>
                <w:szCs w:val="16"/>
                <w:lang w:val="fr-BE"/>
              </w:rPr>
            </w:pPr>
            <w:r>
              <w:rPr>
                <w:noProof/>
                <w:sz w:val="16"/>
                <w:szCs w:val="16"/>
                <w:lang w:val="fr-BE"/>
              </w:rPr>
              <w:t>F</w:t>
            </w:r>
          </w:p>
        </w:tc>
        <w:tc>
          <w:tcPr>
            <w:tcW w:w="0" w:type="auto"/>
            <w:shd w:val="clear" w:color="auto" w:fill="auto"/>
          </w:tcPr>
          <w:p w14:paraId="74A9E2E5" w14:textId="77777777" w:rsidR="008C5CFA" w:rsidRPr="0024468B" w:rsidRDefault="00E82A60" w:rsidP="00300A01">
            <w:pPr>
              <w:spacing w:before="0" w:after="0"/>
              <w:rPr>
                <w:sz w:val="16"/>
                <w:szCs w:val="16"/>
                <w:lang w:val="fr-BE"/>
              </w:rPr>
            </w:pPr>
            <w:r w:rsidRPr="0024468B">
              <w:rPr>
                <w:noProof/>
                <w:sz w:val="16"/>
                <w:szCs w:val="16"/>
                <w:lang w:val="fr-BE"/>
              </w:rPr>
              <w:t>CO32</w:t>
            </w:r>
          </w:p>
        </w:tc>
        <w:tc>
          <w:tcPr>
            <w:tcW w:w="0" w:type="auto"/>
            <w:shd w:val="clear" w:color="auto" w:fill="auto"/>
          </w:tcPr>
          <w:p w14:paraId="3472615B" w14:textId="77777777" w:rsidR="008C5CFA" w:rsidRPr="0024468B" w:rsidRDefault="00E82A60" w:rsidP="00300A01">
            <w:pPr>
              <w:spacing w:before="0" w:after="0"/>
              <w:rPr>
                <w:sz w:val="16"/>
                <w:szCs w:val="16"/>
                <w:lang w:val="fr-BE"/>
              </w:rPr>
            </w:pPr>
            <w:r w:rsidRPr="0024468B">
              <w:rPr>
                <w:noProof/>
                <w:sz w:val="16"/>
                <w:szCs w:val="16"/>
                <w:lang w:val="fr-BE"/>
              </w:rPr>
              <w:t>Efektywność energetyczna: zmniejszenie rocznego zużycia energii pierwotnej w budynkach publicznych</w:t>
            </w:r>
          </w:p>
        </w:tc>
        <w:tc>
          <w:tcPr>
            <w:tcW w:w="0" w:type="auto"/>
          </w:tcPr>
          <w:p w14:paraId="230DA4C5"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5D76E2B2"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34E3AB4B"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1D2F33EA"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36E75F6A"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65444351"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06D76427"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1029EAF6"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33279B16"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r w:rsidR="006B2EC1" w14:paraId="410FCE0E" w14:textId="77777777" w:rsidTr="0047688D">
        <w:tc>
          <w:tcPr>
            <w:tcW w:w="0" w:type="auto"/>
          </w:tcPr>
          <w:p w14:paraId="60B9D070" w14:textId="77777777" w:rsidR="008C5CFA" w:rsidRPr="0024468B" w:rsidRDefault="00E82A60" w:rsidP="00300A01">
            <w:pPr>
              <w:spacing w:before="0" w:after="0"/>
              <w:rPr>
                <w:sz w:val="16"/>
                <w:szCs w:val="16"/>
                <w:lang w:val="fr-BE"/>
              </w:rPr>
            </w:pPr>
            <w:r>
              <w:rPr>
                <w:noProof/>
                <w:sz w:val="16"/>
                <w:szCs w:val="16"/>
                <w:lang w:val="fr-BE"/>
              </w:rPr>
              <w:t>S</w:t>
            </w:r>
          </w:p>
        </w:tc>
        <w:tc>
          <w:tcPr>
            <w:tcW w:w="0" w:type="auto"/>
            <w:shd w:val="clear" w:color="auto" w:fill="auto"/>
          </w:tcPr>
          <w:p w14:paraId="537E501F" w14:textId="77777777" w:rsidR="008C5CFA" w:rsidRPr="0024468B" w:rsidRDefault="00E82A60" w:rsidP="00300A01">
            <w:pPr>
              <w:spacing w:before="0" w:after="0"/>
              <w:rPr>
                <w:sz w:val="16"/>
                <w:szCs w:val="16"/>
                <w:lang w:val="fr-BE"/>
              </w:rPr>
            </w:pPr>
            <w:r w:rsidRPr="0024468B">
              <w:rPr>
                <w:noProof/>
                <w:sz w:val="16"/>
                <w:szCs w:val="16"/>
                <w:lang w:val="fr-BE"/>
              </w:rPr>
              <w:t>CO32</w:t>
            </w:r>
          </w:p>
        </w:tc>
        <w:tc>
          <w:tcPr>
            <w:tcW w:w="0" w:type="auto"/>
            <w:shd w:val="clear" w:color="auto" w:fill="auto"/>
          </w:tcPr>
          <w:p w14:paraId="2FD4A3A2" w14:textId="77777777" w:rsidR="008C5CFA" w:rsidRPr="0024468B" w:rsidRDefault="00E82A60" w:rsidP="00300A01">
            <w:pPr>
              <w:spacing w:before="0" w:after="0"/>
              <w:rPr>
                <w:sz w:val="16"/>
                <w:szCs w:val="16"/>
                <w:lang w:val="fr-BE"/>
              </w:rPr>
            </w:pPr>
            <w:r w:rsidRPr="0024468B">
              <w:rPr>
                <w:noProof/>
                <w:sz w:val="16"/>
                <w:szCs w:val="16"/>
                <w:lang w:val="fr-BE"/>
              </w:rPr>
              <w:t>Efektywność energetyczna: zmniejszenie rocznego zużycia energii pierwotnej w budynkach publicznych</w:t>
            </w:r>
          </w:p>
        </w:tc>
        <w:tc>
          <w:tcPr>
            <w:tcW w:w="0" w:type="auto"/>
          </w:tcPr>
          <w:p w14:paraId="0B9646AF" w14:textId="77777777" w:rsidR="008C5CFA" w:rsidRPr="0024468B" w:rsidRDefault="00E82A60" w:rsidP="00300A01">
            <w:pPr>
              <w:spacing w:before="0" w:after="0"/>
              <w:jc w:val="right"/>
              <w:rPr>
                <w:sz w:val="16"/>
                <w:szCs w:val="16"/>
                <w:lang w:val="fr-BE"/>
              </w:rPr>
            </w:pPr>
            <w:r w:rsidRPr="0024468B">
              <w:rPr>
                <w:noProof/>
                <w:sz w:val="16"/>
                <w:szCs w:val="16"/>
                <w:lang w:val="fr-BE"/>
              </w:rPr>
              <w:t>16 736 529,53</w:t>
            </w:r>
          </w:p>
        </w:tc>
        <w:tc>
          <w:tcPr>
            <w:tcW w:w="0" w:type="auto"/>
          </w:tcPr>
          <w:p w14:paraId="1F227055"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073C2EAB"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2AD71C08" w14:textId="77777777" w:rsidR="008C5CFA" w:rsidRPr="0024468B" w:rsidRDefault="00E82A60" w:rsidP="00300A01">
            <w:pPr>
              <w:spacing w:before="0" w:after="0"/>
              <w:jc w:val="right"/>
              <w:rPr>
                <w:sz w:val="16"/>
                <w:szCs w:val="16"/>
                <w:lang w:val="fr-BE"/>
              </w:rPr>
            </w:pPr>
            <w:r w:rsidRPr="0024468B">
              <w:rPr>
                <w:noProof/>
                <w:sz w:val="16"/>
                <w:szCs w:val="16"/>
                <w:lang w:val="fr-BE"/>
              </w:rPr>
              <w:t>13 524 072,92</w:t>
            </w:r>
          </w:p>
        </w:tc>
        <w:tc>
          <w:tcPr>
            <w:tcW w:w="0" w:type="auto"/>
          </w:tcPr>
          <w:p w14:paraId="195B2471"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5891CC1B"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6C500577"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54EEA861"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62BE7EB5"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r w:rsidR="006B2EC1" w14:paraId="0F72B7EA" w14:textId="77777777" w:rsidTr="0047688D">
        <w:tc>
          <w:tcPr>
            <w:tcW w:w="0" w:type="auto"/>
          </w:tcPr>
          <w:p w14:paraId="1660C2EF" w14:textId="77777777" w:rsidR="008C5CFA" w:rsidRPr="0024468B" w:rsidRDefault="00E82A60" w:rsidP="00300A01">
            <w:pPr>
              <w:spacing w:before="0" w:after="0"/>
              <w:rPr>
                <w:sz w:val="16"/>
                <w:szCs w:val="16"/>
                <w:lang w:val="fr-BE"/>
              </w:rPr>
            </w:pPr>
            <w:r>
              <w:rPr>
                <w:noProof/>
                <w:sz w:val="16"/>
                <w:szCs w:val="16"/>
                <w:lang w:val="fr-BE"/>
              </w:rPr>
              <w:t>F</w:t>
            </w:r>
          </w:p>
        </w:tc>
        <w:tc>
          <w:tcPr>
            <w:tcW w:w="0" w:type="auto"/>
            <w:shd w:val="clear" w:color="auto" w:fill="auto"/>
          </w:tcPr>
          <w:p w14:paraId="1923081E" w14:textId="77777777" w:rsidR="008C5CFA" w:rsidRPr="0024468B" w:rsidRDefault="00E82A60" w:rsidP="00300A01">
            <w:pPr>
              <w:spacing w:before="0" w:after="0"/>
              <w:rPr>
                <w:sz w:val="16"/>
                <w:szCs w:val="16"/>
                <w:lang w:val="fr-BE"/>
              </w:rPr>
            </w:pPr>
            <w:r w:rsidRPr="0024468B">
              <w:rPr>
                <w:noProof/>
                <w:sz w:val="16"/>
                <w:szCs w:val="16"/>
                <w:lang w:val="fr-BE"/>
              </w:rPr>
              <w:t>CO34</w:t>
            </w:r>
          </w:p>
        </w:tc>
        <w:tc>
          <w:tcPr>
            <w:tcW w:w="0" w:type="auto"/>
            <w:shd w:val="clear" w:color="auto" w:fill="auto"/>
          </w:tcPr>
          <w:p w14:paraId="6FFB30B3" w14:textId="77777777" w:rsidR="008C5CFA" w:rsidRPr="0024468B" w:rsidRDefault="00E82A60" w:rsidP="00300A01">
            <w:pPr>
              <w:spacing w:before="0" w:after="0"/>
              <w:rPr>
                <w:sz w:val="16"/>
                <w:szCs w:val="16"/>
                <w:lang w:val="fr-BE"/>
              </w:rPr>
            </w:pPr>
            <w:r w:rsidRPr="0024468B">
              <w:rPr>
                <w:noProof/>
                <w:sz w:val="16"/>
                <w:szCs w:val="16"/>
                <w:lang w:val="fr-BE"/>
              </w:rPr>
              <w:t>Redukcja emisji gazów cieplarnianych: szacowany roczny spadek emisji gazów cieplarnianych</w:t>
            </w:r>
          </w:p>
        </w:tc>
        <w:tc>
          <w:tcPr>
            <w:tcW w:w="0" w:type="auto"/>
          </w:tcPr>
          <w:p w14:paraId="12884003"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100C65AB"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46A51BE6"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472C2B09"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047BC201"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1ACE49A7"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76EC425D"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60BADA8D"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7B5F3B4B"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r w:rsidR="006B2EC1" w14:paraId="24A00749" w14:textId="77777777" w:rsidTr="0047688D">
        <w:tc>
          <w:tcPr>
            <w:tcW w:w="0" w:type="auto"/>
          </w:tcPr>
          <w:p w14:paraId="3F0655AA" w14:textId="77777777" w:rsidR="008C5CFA" w:rsidRPr="0024468B" w:rsidRDefault="00E82A60" w:rsidP="00300A01">
            <w:pPr>
              <w:spacing w:before="0" w:after="0"/>
              <w:rPr>
                <w:sz w:val="16"/>
                <w:szCs w:val="16"/>
                <w:lang w:val="fr-BE"/>
              </w:rPr>
            </w:pPr>
            <w:r>
              <w:rPr>
                <w:noProof/>
                <w:sz w:val="16"/>
                <w:szCs w:val="16"/>
                <w:lang w:val="fr-BE"/>
              </w:rPr>
              <w:t>S</w:t>
            </w:r>
          </w:p>
        </w:tc>
        <w:tc>
          <w:tcPr>
            <w:tcW w:w="0" w:type="auto"/>
            <w:shd w:val="clear" w:color="auto" w:fill="auto"/>
          </w:tcPr>
          <w:p w14:paraId="71112370" w14:textId="77777777" w:rsidR="008C5CFA" w:rsidRPr="0024468B" w:rsidRDefault="00E82A60" w:rsidP="00300A01">
            <w:pPr>
              <w:spacing w:before="0" w:after="0"/>
              <w:rPr>
                <w:sz w:val="16"/>
                <w:szCs w:val="16"/>
                <w:lang w:val="fr-BE"/>
              </w:rPr>
            </w:pPr>
            <w:r w:rsidRPr="0024468B">
              <w:rPr>
                <w:noProof/>
                <w:sz w:val="16"/>
                <w:szCs w:val="16"/>
                <w:lang w:val="fr-BE"/>
              </w:rPr>
              <w:t>CO34</w:t>
            </w:r>
          </w:p>
        </w:tc>
        <w:tc>
          <w:tcPr>
            <w:tcW w:w="0" w:type="auto"/>
            <w:shd w:val="clear" w:color="auto" w:fill="auto"/>
          </w:tcPr>
          <w:p w14:paraId="398960DF" w14:textId="77777777" w:rsidR="008C5CFA" w:rsidRPr="0024468B" w:rsidRDefault="00E82A60" w:rsidP="00300A01">
            <w:pPr>
              <w:spacing w:before="0" w:after="0"/>
              <w:rPr>
                <w:sz w:val="16"/>
                <w:szCs w:val="16"/>
                <w:lang w:val="fr-BE"/>
              </w:rPr>
            </w:pPr>
            <w:r w:rsidRPr="0024468B">
              <w:rPr>
                <w:noProof/>
                <w:sz w:val="16"/>
                <w:szCs w:val="16"/>
                <w:lang w:val="fr-BE"/>
              </w:rPr>
              <w:t>Redukcja emisji gazów cieplarnianych: szacowany roczny spadek emisji gazów cieplarnianych</w:t>
            </w:r>
          </w:p>
        </w:tc>
        <w:tc>
          <w:tcPr>
            <w:tcW w:w="0" w:type="auto"/>
          </w:tcPr>
          <w:p w14:paraId="6656151D" w14:textId="77777777" w:rsidR="008C5CFA" w:rsidRPr="0024468B" w:rsidRDefault="00E82A60" w:rsidP="00300A01">
            <w:pPr>
              <w:spacing w:before="0" w:after="0"/>
              <w:jc w:val="right"/>
              <w:rPr>
                <w:sz w:val="16"/>
                <w:szCs w:val="16"/>
                <w:lang w:val="fr-BE"/>
              </w:rPr>
            </w:pPr>
            <w:r w:rsidRPr="0024468B">
              <w:rPr>
                <w:noProof/>
                <w:sz w:val="16"/>
                <w:szCs w:val="16"/>
                <w:lang w:val="fr-BE"/>
              </w:rPr>
              <w:t>5 016,49</w:t>
            </w:r>
          </w:p>
        </w:tc>
        <w:tc>
          <w:tcPr>
            <w:tcW w:w="0" w:type="auto"/>
          </w:tcPr>
          <w:p w14:paraId="0F74EC07"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138F9100"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05BA7948" w14:textId="77777777" w:rsidR="008C5CFA" w:rsidRPr="0024468B" w:rsidRDefault="00E82A60" w:rsidP="00300A01">
            <w:pPr>
              <w:spacing w:before="0" w:after="0"/>
              <w:jc w:val="right"/>
              <w:rPr>
                <w:sz w:val="16"/>
                <w:szCs w:val="16"/>
                <w:lang w:val="fr-BE"/>
              </w:rPr>
            </w:pPr>
            <w:r w:rsidRPr="0024468B">
              <w:rPr>
                <w:noProof/>
                <w:sz w:val="16"/>
                <w:szCs w:val="16"/>
                <w:lang w:val="fr-BE"/>
              </w:rPr>
              <w:t>3 922,41</w:t>
            </w:r>
          </w:p>
        </w:tc>
        <w:tc>
          <w:tcPr>
            <w:tcW w:w="0" w:type="auto"/>
          </w:tcPr>
          <w:p w14:paraId="5DCB6F2F"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60754879"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0E6A211A"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18849F71"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32E55FFC"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r w:rsidR="006B2EC1" w14:paraId="411FC339" w14:textId="77777777" w:rsidTr="0047688D">
        <w:tc>
          <w:tcPr>
            <w:tcW w:w="0" w:type="auto"/>
          </w:tcPr>
          <w:p w14:paraId="2A4452F6" w14:textId="77777777" w:rsidR="008C5CFA" w:rsidRPr="0024468B" w:rsidRDefault="00E82A60" w:rsidP="00300A01">
            <w:pPr>
              <w:spacing w:before="0" w:after="0"/>
              <w:rPr>
                <w:sz w:val="16"/>
                <w:szCs w:val="16"/>
                <w:lang w:val="fr-BE"/>
              </w:rPr>
            </w:pPr>
            <w:r>
              <w:rPr>
                <w:noProof/>
                <w:sz w:val="16"/>
                <w:szCs w:val="16"/>
                <w:lang w:val="fr-BE"/>
              </w:rPr>
              <w:t>F</w:t>
            </w:r>
          </w:p>
        </w:tc>
        <w:tc>
          <w:tcPr>
            <w:tcW w:w="0" w:type="auto"/>
            <w:shd w:val="clear" w:color="auto" w:fill="auto"/>
          </w:tcPr>
          <w:p w14:paraId="1A2F803C" w14:textId="77777777" w:rsidR="008C5CFA" w:rsidRPr="0024468B" w:rsidRDefault="00E82A60" w:rsidP="00300A01">
            <w:pPr>
              <w:spacing w:before="0" w:after="0"/>
              <w:rPr>
                <w:sz w:val="16"/>
                <w:szCs w:val="16"/>
                <w:lang w:val="fr-BE"/>
              </w:rPr>
            </w:pPr>
            <w:r>
              <w:rPr>
                <w:noProof/>
                <w:sz w:val="16"/>
                <w:szCs w:val="16"/>
                <w:lang w:val="fr-BE"/>
              </w:rPr>
              <w:t>34</w:t>
            </w:r>
          </w:p>
        </w:tc>
        <w:tc>
          <w:tcPr>
            <w:tcW w:w="0" w:type="auto"/>
            <w:shd w:val="clear" w:color="auto" w:fill="auto"/>
          </w:tcPr>
          <w:p w14:paraId="2B57419C" w14:textId="77777777" w:rsidR="008C5CFA" w:rsidRPr="0024468B" w:rsidRDefault="00E82A60" w:rsidP="00300A01">
            <w:pPr>
              <w:spacing w:before="0" w:after="0"/>
              <w:rPr>
                <w:sz w:val="16"/>
                <w:szCs w:val="16"/>
                <w:lang w:val="fr-BE"/>
              </w:rPr>
            </w:pPr>
            <w:r>
              <w:rPr>
                <w:noProof/>
                <w:sz w:val="16"/>
                <w:szCs w:val="16"/>
                <w:lang w:val="fr-BE"/>
              </w:rPr>
              <w:t>Liczba zmodernizowanych energetycznie budynków</w:t>
            </w:r>
          </w:p>
        </w:tc>
        <w:tc>
          <w:tcPr>
            <w:tcW w:w="0" w:type="auto"/>
          </w:tcPr>
          <w:p w14:paraId="4D7CBFE8" w14:textId="77777777" w:rsidR="008C5CFA" w:rsidRPr="0024468B" w:rsidRDefault="00E82A60" w:rsidP="00300A01">
            <w:pPr>
              <w:spacing w:before="0" w:after="0"/>
              <w:jc w:val="right"/>
              <w:rPr>
                <w:sz w:val="16"/>
                <w:szCs w:val="16"/>
                <w:lang w:val="fr-BE"/>
              </w:rPr>
            </w:pPr>
            <w:r w:rsidRPr="0024468B">
              <w:rPr>
                <w:noProof/>
                <w:sz w:val="16"/>
                <w:szCs w:val="16"/>
                <w:lang w:val="fr-BE"/>
              </w:rPr>
              <w:t>28,00</w:t>
            </w:r>
          </w:p>
        </w:tc>
        <w:tc>
          <w:tcPr>
            <w:tcW w:w="0" w:type="auto"/>
          </w:tcPr>
          <w:p w14:paraId="45DB1700"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010E2E2D"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180E194A"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6FECF469"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70696541"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165E4FA6"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3B224F79"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2E4FA954"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r w:rsidR="006B2EC1" w14:paraId="7DA3F15F" w14:textId="77777777" w:rsidTr="0047688D">
        <w:tc>
          <w:tcPr>
            <w:tcW w:w="0" w:type="auto"/>
          </w:tcPr>
          <w:p w14:paraId="7A913506" w14:textId="77777777" w:rsidR="008C5CFA" w:rsidRPr="0024468B" w:rsidRDefault="00E82A60" w:rsidP="00300A01">
            <w:pPr>
              <w:spacing w:before="0" w:after="0"/>
              <w:rPr>
                <w:sz w:val="16"/>
                <w:szCs w:val="16"/>
                <w:lang w:val="fr-BE"/>
              </w:rPr>
            </w:pPr>
            <w:r>
              <w:rPr>
                <w:noProof/>
                <w:sz w:val="16"/>
                <w:szCs w:val="16"/>
                <w:lang w:val="fr-BE"/>
              </w:rPr>
              <w:t>S</w:t>
            </w:r>
          </w:p>
        </w:tc>
        <w:tc>
          <w:tcPr>
            <w:tcW w:w="0" w:type="auto"/>
            <w:shd w:val="clear" w:color="auto" w:fill="auto"/>
          </w:tcPr>
          <w:p w14:paraId="2FAC26C9" w14:textId="77777777" w:rsidR="008C5CFA" w:rsidRPr="0024468B" w:rsidRDefault="00E82A60" w:rsidP="00300A01">
            <w:pPr>
              <w:spacing w:before="0" w:after="0"/>
              <w:rPr>
                <w:sz w:val="16"/>
                <w:szCs w:val="16"/>
                <w:lang w:val="fr-BE"/>
              </w:rPr>
            </w:pPr>
            <w:r>
              <w:rPr>
                <w:noProof/>
                <w:sz w:val="16"/>
                <w:szCs w:val="16"/>
                <w:lang w:val="fr-BE"/>
              </w:rPr>
              <w:t>34</w:t>
            </w:r>
          </w:p>
        </w:tc>
        <w:tc>
          <w:tcPr>
            <w:tcW w:w="0" w:type="auto"/>
            <w:shd w:val="clear" w:color="auto" w:fill="auto"/>
          </w:tcPr>
          <w:p w14:paraId="7A58AD61" w14:textId="77777777" w:rsidR="008C5CFA" w:rsidRPr="0024468B" w:rsidRDefault="00E82A60" w:rsidP="00300A01">
            <w:pPr>
              <w:spacing w:before="0" w:after="0"/>
              <w:rPr>
                <w:sz w:val="16"/>
                <w:szCs w:val="16"/>
                <w:lang w:val="fr-BE"/>
              </w:rPr>
            </w:pPr>
            <w:r>
              <w:rPr>
                <w:noProof/>
                <w:sz w:val="16"/>
                <w:szCs w:val="16"/>
                <w:lang w:val="fr-BE"/>
              </w:rPr>
              <w:t>Liczba zmodernizowanych energetycznie budynków</w:t>
            </w:r>
          </w:p>
        </w:tc>
        <w:tc>
          <w:tcPr>
            <w:tcW w:w="0" w:type="auto"/>
          </w:tcPr>
          <w:p w14:paraId="37006391" w14:textId="77777777" w:rsidR="008C5CFA" w:rsidRPr="0024468B" w:rsidRDefault="00E82A60" w:rsidP="00300A01">
            <w:pPr>
              <w:spacing w:before="0" w:after="0"/>
              <w:jc w:val="right"/>
              <w:rPr>
                <w:sz w:val="16"/>
                <w:szCs w:val="16"/>
                <w:lang w:val="fr-BE"/>
              </w:rPr>
            </w:pPr>
            <w:r w:rsidRPr="0024468B">
              <w:rPr>
                <w:noProof/>
                <w:sz w:val="16"/>
                <w:szCs w:val="16"/>
                <w:lang w:val="fr-BE"/>
              </w:rPr>
              <w:t>44,00</w:t>
            </w:r>
          </w:p>
        </w:tc>
        <w:tc>
          <w:tcPr>
            <w:tcW w:w="0" w:type="auto"/>
          </w:tcPr>
          <w:p w14:paraId="24F878EF"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6B4438B2"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333FF6A2" w14:textId="77777777" w:rsidR="008C5CFA" w:rsidRPr="0024468B" w:rsidRDefault="00E82A60" w:rsidP="00300A01">
            <w:pPr>
              <w:spacing w:before="0" w:after="0"/>
              <w:jc w:val="right"/>
              <w:rPr>
                <w:sz w:val="16"/>
                <w:szCs w:val="16"/>
                <w:lang w:val="fr-BE"/>
              </w:rPr>
            </w:pPr>
            <w:r w:rsidRPr="0024468B">
              <w:rPr>
                <w:noProof/>
                <w:sz w:val="16"/>
                <w:szCs w:val="16"/>
                <w:lang w:val="fr-BE"/>
              </w:rPr>
              <w:t>32,00</w:t>
            </w:r>
          </w:p>
        </w:tc>
        <w:tc>
          <w:tcPr>
            <w:tcW w:w="0" w:type="auto"/>
          </w:tcPr>
          <w:p w14:paraId="37E562F8"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76128DD2"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40D7A74D"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2C3A121C"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4AD58D8B"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bl>
    <w:p w14:paraId="156FCE96"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26"/>
        <w:gridCol w:w="536"/>
        <w:gridCol w:w="7376"/>
        <w:gridCol w:w="1088"/>
        <w:gridCol w:w="1288"/>
        <w:gridCol w:w="1097"/>
        <w:gridCol w:w="1088"/>
        <w:gridCol w:w="1288"/>
        <w:gridCol w:w="1097"/>
      </w:tblGrid>
      <w:tr w:rsidR="006B2EC1" w14:paraId="520D1908" w14:textId="77777777" w:rsidTr="0047688D">
        <w:trPr>
          <w:tblHeader/>
        </w:trPr>
        <w:tc>
          <w:tcPr>
            <w:tcW w:w="0" w:type="auto"/>
          </w:tcPr>
          <w:p w14:paraId="7D551ABE" w14:textId="77777777" w:rsidR="008C5CFA" w:rsidRPr="009143B4" w:rsidRDefault="00E82A60" w:rsidP="00300A01">
            <w:pPr>
              <w:spacing w:before="0" w:after="0"/>
              <w:rPr>
                <w:b/>
                <w:sz w:val="16"/>
                <w:szCs w:val="16"/>
                <w:lang w:val="fr-BE"/>
              </w:rPr>
            </w:pPr>
            <w:r w:rsidRPr="009143B4">
              <w:rPr>
                <w:b/>
                <w:sz w:val="16"/>
                <w:szCs w:val="16"/>
                <w:lang w:val="fr-BE"/>
              </w:rPr>
              <w:lastRenderedPageBreak/>
              <w:t>(1)</w:t>
            </w:r>
          </w:p>
        </w:tc>
        <w:tc>
          <w:tcPr>
            <w:tcW w:w="0" w:type="auto"/>
            <w:shd w:val="clear" w:color="auto" w:fill="auto"/>
          </w:tcPr>
          <w:p w14:paraId="44EFEB73" w14:textId="77777777" w:rsidR="008C5CFA" w:rsidRPr="009143B4" w:rsidRDefault="00E82A60" w:rsidP="00300A01">
            <w:pPr>
              <w:spacing w:before="0" w:after="0"/>
              <w:rPr>
                <w:b/>
                <w:sz w:val="16"/>
                <w:szCs w:val="16"/>
                <w:lang w:val="fr-BE"/>
              </w:rPr>
            </w:pPr>
            <w:r w:rsidRPr="009143B4">
              <w:rPr>
                <w:b/>
                <w:noProof/>
                <w:sz w:val="16"/>
                <w:szCs w:val="16"/>
                <w:lang w:val="fr-BE"/>
              </w:rPr>
              <w:t>ID</w:t>
            </w:r>
          </w:p>
        </w:tc>
        <w:tc>
          <w:tcPr>
            <w:tcW w:w="0" w:type="auto"/>
            <w:shd w:val="clear" w:color="auto" w:fill="auto"/>
          </w:tcPr>
          <w:p w14:paraId="43288181" w14:textId="77777777" w:rsidR="008C5CFA" w:rsidRPr="009143B4" w:rsidRDefault="00E82A60" w:rsidP="00300A01">
            <w:pPr>
              <w:spacing w:before="0" w:after="0"/>
              <w:rPr>
                <w:b/>
                <w:sz w:val="16"/>
                <w:szCs w:val="16"/>
                <w:lang w:val="fr-BE"/>
              </w:rPr>
            </w:pPr>
            <w:r w:rsidRPr="009143B4">
              <w:rPr>
                <w:b/>
                <w:noProof/>
                <w:sz w:val="16"/>
                <w:szCs w:val="16"/>
                <w:lang w:val="fr-BE"/>
              </w:rPr>
              <w:t>Wskaźnik</w:t>
            </w:r>
          </w:p>
        </w:tc>
        <w:tc>
          <w:tcPr>
            <w:tcW w:w="0" w:type="auto"/>
          </w:tcPr>
          <w:p w14:paraId="03FD0CD5" w14:textId="77777777" w:rsidR="008C5CFA" w:rsidRPr="009143B4" w:rsidRDefault="00E82A60"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Ogółem</w:t>
            </w:r>
          </w:p>
        </w:tc>
        <w:tc>
          <w:tcPr>
            <w:tcW w:w="0" w:type="auto"/>
          </w:tcPr>
          <w:p w14:paraId="1DE1E820" w14:textId="77777777" w:rsidR="008C5CFA" w:rsidRPr="009143B4" w:rsidRDefault="00E82A60"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Mężczyźni</w:t>
            </w:r>
          </w:p>
        </w:tc>
        <w:tc>
          <w:tcPr>
            <w:tcW w:w="0" w:type="auto"/>
          </w:tcPr>
          <w:p w14:paraId="7E92D58F" w14:textId="77777777" w:rsidR="008C5CFA" w:rsidRPr="009143B4" w:rsidRDefault="00E82A60"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Kobiety</w:t>
            </w:r>
          </w:p>
        </w:tc>
        <w:tc>
          <w:tcPr>
            <w:tcW w:w="0" w:type="auto"/>
            <w:shd w:val="clear" w:color="auto" w:fill="auto"/>
          </w:tcPr>
          <w:p w14:paraId="6217C928" w14:textId="77777777" w:rsidR="008C5CFA" w:rsidRPr="009143B4" w:rsidRDefault="00E82A60"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Ogółem</w:t>
            </w:r>
          </w:p>
        </w:tc>
        <w:tc>
          <w:tcPr>
            <w:tcW w:w="0" w:type="auto"/>
            <w:shd w:val="clear" w:color="auto" w:fill="auto"/>
          </w:tcPr>
          <w:p w14:paraId="458CE743" w14:textId="77777777" w:rsidR="008C5CFA" w:rsidRPr="009143B4" w:rsidRDefault="00E82A60"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Mężczyźni</w:t>
            </w:r>
          </w:p>
        </w:tc>
        <w:tc>
          <w:tcPr>
            <w:tcW w:w="0" w:type="auto"/>
            <w:shd w:val="clear" w:color="auto" w:fill="auto"/>
          </w:tcPr>
          <w:p w14:paraId="4990C61D" w14:textId="77777777" w:rsidR="008C5CFA" w:rsidRPr="009143B4" w:rsidRDefault="00E82A60"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Kobiety</w:t>
            </w:r>
          </w:p>
        </w:tc>
      </w:tr>
      <w:tr w:rsidR="006B2EC1" w14:paraId="511B7F7B" w14:textId="77777777" w:rsidTr="0047688D">
        <w:tc>
          <w:tcPr>
            <w:tcW w:w="0" w:type="auto"/>
          </w:tcPr>
          <w:p w14:paraId="5B862138" w14:textId="77777777" w:rsidR="008C5CFA" w:rsidRPr="0024468B" w:rsidRDefault="00E82A60" w:rsidP="00300A01">
            <w:pPr>
              <w:spacing w:before="0" w:after="0"/>
              <w:rPr>
                <w:sz w:val="16"/>
                <w:szCs w:val="16"/>
                <w:lang w:val="fr-BE"/>
              </w:rPr>
            </w:pPr>
            <w:r>
              <w:rPr>
                <w:noProof/>
                <w:sz w:val="16"/>
                <w:szCs w:val="16"/>
                <w:lang w:val="fr-BE"/>
              </w:rPr>
              <w:t>F</w:t>
            </w:r>
          </w:p>
        </w:tc>
        <w:tc>
          <w:tcPr>
            <w:tcW w:w="0" w:type="auto"/>
            <w:shd w:val="clear" w:color="auto" w:fill="auto"/>
          </w:tcPr>
          <w:p w14:paraId="43B54EF7" w14:textId="77777777" w:rsidR="008C5CFA" w:rsidRPr="0024468B" w:rsidRDefault="00E82A60" w:rsidP="00300A01">
            <w:pPr>
              <w:spacing w:before="0" w:after="0"/>
              <w:rPr>
                <w:sz w:val="16"/>
                <w:szCs w:val="16"/>
                <w:lang w:val="fr-BE"/>
              </w:rPr>
            </w:pPr>
            <w:r w:rsidRPr="0024468B">
              <w:rPr>
                <w:noProof/>
                <w:sz w:val="16"/>
                <w:szCs w:val="16"/>
                <w:lang w:val="fr-BE"/>
              </w:rPr>
              <w:t>CO32</w:t>
            </w:r>
          </w:p>
        </w:tc>
        <w:tc>
          <w:tcPr>
            <w:tcW w:w="0" w:type="auto"/>
            <w:shd w:val="clear" w:color="auto" w:fill="auto"/>
          </w:tcPr>
          <w:p w14:paraId="1DA3299B" w14:textId="77777777" w:rsidR="008C5CFA" w:rsidRPr="0024468B" w:rsidRDefault="00E82A60" w:rsidP="00300A01">
            <w:pPr>
              <w:spacing w:before="0" w:after="0"/>
              <w:rPr>
                <w:sz w:val="16"/>
                <w:szCs w:val="16"/>
                <w:lang w:val="fr-BE"/>
              </w:rPr>
            </w:pPr>
            <w:r w:rsidRPr="0024468B">
              <w:rPr>
                <w:noProof/>
                <w:sz w:val="16"/>
                <w:szCs w:val="16"/>
                <w:lang w:val="fr-BE"/>
              </w:rPr>
              <w:t>Efektywność energetyczna: zmniejszenie rocznego zużycia energii pierwotnej w budynkach publicznych</w:t>
            </w:r>
          </w:p>
        </w:tc>
        <w:tc>
          <w:tcPr>
            <w:tcW w:w="0" w:type="auto"/>
          </w:tcPr>
          <w:p w14:paraId="177FEAEA"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2163D10D"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0D57A27D"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760142D0"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296D289D"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5BBBDD09"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r w:rsidR="006B2EC1" w14:paraId="505E6BAC" w14:textId="77777777" w:rsidTr="0047688D">
        <w:tc>
          <w:tcPr>
            <w:tcW w:w="0" w:type="auto"/>
          </w:tcPr>
          <w:p w14:paraId="26F66A07" w14:textId="77777777" w:rsidR="008C5CFA" w:rsidRPr="0024468B" w:rsidRDefault="00E82A60" w:rsidP="00300A01">
            <w:pPr>
              <w:spacing w:before="0" w:after="0"/>
              <w:rPr>
                <w:sz w:val="16"/>
                <w:szCs w:val="16"/>
                <w:lang w:val="fr-BE"/>
              </w:rPr>
            </w:pPr>
            <w:r>
              <w:rPr>
                <w:noProof/>
                <w:sz w:val="16"/>
                <w:szCs w:val="16"/>
                <w:lang w:val="fr-BE"/>
              </w:rPr>
              <w:t>S</w:t>
            </w:r>
          </w:p>
        </w:tc>
        <w:tc>
          <w:tcPr>
            <w:tcW w:w="0" w:type="auto"/>
            <w:shd w:val="clear" w:color="auto" w:fill="auto"/>
          </w:tcPr>
          <w:p w14:paraId="564E47F0" w14:textId="77777777" w:rsidR="008C5CFA" w:rsidRPr="0024468B" w:rsidRDefault="00E82A60" w:rsidP="00300A01">
            <w:pPr>
              <w:spacing w:before="0" w:after="0"/>
              <w:rPr>
                <w:sz w:val="16"/>
                <w:szCs w:val="16"/>
                <w:lang w:val="fr-BE"/>
              </w:rPr>
            </w:pPr>
            <w:r w:rsidRPr="0024468B">
              <w:rPr>
                <w:noProof/>
                <w:sz w:val="16"/>
                <w:szCs w:val="16"/>
                <w:lang w:val="fr-BE"/>
              </w:rPr>
              <w:t>CO32</w:t>
            </w:r>
          </w:p>
        </w:tc>
        <w:tc>
          <w:tcPr>
            <w:tcW w:w="0" w:type="auto"/>
            <w:shd w:val="clear" w:color="auto" w:fill="auto"/>
          </w:tcPr>
          <w:p w14:paraId="142AA146" w14:textId="77777777" w:rsidR="008C5CFA" w:rsidRPr="0024468B" w:rsidRDefault="00E82A60" w:rsidP="00300A01">
            <w:pPr>
              <w:spacing w:before="0" w:after="0"/>
              <w:rPr>
                <w:sz w:val="16"/>
                <w:szCs w:val="16"/>
                <w:lang w:val="fr-BE"/>
              </w:rPr>
            </w:pPr>
            <w:r w:rsidRPr="0024468B">
              <w:rPr>
                <w:noProof/>
                <w:sz w:val="16"/>
                <w:szCs w:val="16"/>
                <w:lang w:val="fr-BE"/>
              </w:rPr>
              <w:t>Efektywność energetyczna: zmniejszenie rocznego zużycia energii pierwotnej w budynkach publicznych</w:t>
            </w:r>
          </w:p>
        </w:tc>
        <w:tc>
          <w:tcPr>
            <w:tcW w:w="0" w:type="auto"/>
          </w:tcPr>
          <w:p w14:paraId="4279C12A"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53F42DB7"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598AADEE"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383F653E"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731BD6EF"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0E117FBF"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r w:rsidR="006B2EC1" w14:paraId="689963A0" w14:textId="77777777" w:rsidTr="0047688D">
        <w:tc>
          <w:tcPr>
            <w:tcW w:w="0" w:type="auto"/>
          </w:tcPr>
          <w:p w14:paraId="5155828B" w14:textId="77777777" w:rsidR="008C5CFA" w:rsidRPr="0024468B" w:rsidRDefault="00E82A60" w:rsidP="00300A01">
            <w:pPr>
              <w:spacing w:before="0" w:after="0"/>
              <w:rPr>
                <w:sz w:val="16"/>
                <w:szCs w:val="16"/>
                <w:lang w:val="fr-BE"/>
              </w:rPr>
            </w:pPr>
            <w:r>
              <w:rPr>
                <w:noProof/>
                <w:sz w:val="16"/>
                <w:szCs w:val="16"/>
                <w:lang w:val="fr-BE"/>
              </w:rPr>
              <w:t>F</w:t>
            </w:r>
          </w:p>
        </w:tc>
        <w:tc>
          <w:tcPr>
            <w:tcW w:w="0" w:type="auto"/>
            <w:shd w:val="clear" w:color="auto" w:fill="auto"/>
          </w:tcPr>
          <w:p w14:paraId="587DFF43" w14:textId="77777777" w:rsidR="008C5CFA" w:rsidRPr="0024468B" w:rsidRDefault="00E82A60" w:rsidP="00300A01">
            <w:pPr>
              <w:spacing w:before="0" w:after="0"/>
              <w:rPr>
                <w:sz w:val="16"/>
                <w:szCs w:val="16"/>
                <w:lang w:val="fr-BE"/>
              </w:rPr>
            </w:pPr>
            <w:r w:rsidRPr="0024468B">
              <w:rPr>
                <w:noProof/>
                <w:sz w:val="16"/>
                <w:szCs w:val="16"/>
                <w:lang w:val="fr-BE"/>
              </w:rPr>
              <w:t>CO34</w:t>
            </w:r>
          </w:p>
        </w:tc>
        <w:tc>
          <w:tcPr>
            <w:tcW w:w="0" w:type="auto"/>
            <w:shd w:val="clear" w:color="auto" w:fill="auto"/>
          </w:tcPr>
          <w:p w14:paraId="74B69556" w14:textId="77777777" w:rsidR="008C5CFA" w:rsidRPr="0024468B" w:rsidRDefault="00E82A60" w:rsidP="00300A01">
            <w:pPr>
              <w:spacing w:before="0" w:after="0"/>
              <w:rPr>
                <w:sz w:val="16"/>
                <w:szCs w:val="16"/>
                <w:lang w:val="fr-BE"/>
              </w:rPr>
            </w:pPr>
            <w:r w:rsidRPr="0024468B">
              <w:rPr>
                <w:noProof/>
                <w:sz w:val="16"/>
                <w:szCs w:val="16"/>
                <w:lang w:val="fr-BE"/>
              </w:rPr>
              <w:t>Redukcja emisji gazów cieplarnianych: szacowany roczny spadek emisji gazów cieplarnianych</w:t>
            </w:r>
          </w:p>
        </w:tc>
        <w:tc>
          <w:tcPr>
            <w:tcW w:w="0" w:type="auto"/>
          </w:tcPr>
          <w:p w14:paraId="1B8C08F1"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663FD366"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399DE5B1"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798197E1"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7BAC981B"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2754504D"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r w:rsidR="006B2EC1" w14:paraId="4CAF21D2" w14:textId="77777777" w:rsidTr="0047688D">
        <w:tc>
          <w:tcPr>
            <w:tcW w:w="0" w:type="auto"/>
          </w:tcPr>
          <w:p w14:paraId="5F8FE02B" w14:textId="77777777" w:rsidR="008C5CFA" w:rsidRPr="0024468B" w:rsidRDefault="00E82A60" w:rsidP="00300A01">
            <w:pPr>
              <w:spacing w:before="0" w:after="0"/>
              <w:rPr>
                <w:sz w:val="16"/>
                <w:szCs w:val="16"/>
                <w:lang w:val="fr-BE"/>
              </w:rPr>
            </w:pPr>
            <w:r>
              <w:rPr>
                <w:noProof/>
                <w:sz w:val="16"/>
                <w:szCs w:val="16"/>
                <w:lang w:val="fr-BE"/>
              </w:rPr>
              <w:t>S</w:t>
            </w:r>
          </w:p>
        </w:tc>
        <w:tc>
          <w:tcPr>
            <w:tcW w:w="0" w:type="auto"/>
            <w:shd w:val="clear" w:color="auto" w:fill="auto"/>
          </w:tcPr>
          <w:p w14:paraId="2D97B2CE" w14:textId="77777777" w:rsidR="008C5CFA" w:rsidRPr="0024468B" w:rsidRDefault="00E82A60" w:rsidP="00300A01">
            <w:pPr>
              <w:spacing w:before="0" w:after="0"/>
              <w:rPr>
                <w:sz w:val="16"/>
                <w:szCs w:val="16"/>
                <w:lang w:val="fr-BE"/>
              </w:rPr>
            </w:pPr>
            <w:r w:rsidRPr="0024468B">
              <w:rPr>
                <w:noProof/>
                <w:sz w:val="16"/>
                <w:szCs w:val="16"/>
                <w:lang w:val="fr-BE"/>
              </w:rPr>
              <w:t>CO34</w:t>
            </w:r>
          </w:p>
        </w:tc>
        <w:tc>
          <w:tcPr>
            <w:tcW w:w="0" w:type="auto"/>
            <w:shd w:val="clear" w:color="auto" w:fill="auto"/>
          </w:tcPr>
          <w:p w14:paraId="2FB352DE" w14:textId="77777777" w:rsidR="008C5CFA" w:rsidRPr="0024468B" w:rsidRDefault="00E82A60" w:rsidP="00300A01">
            <w:pPr>
              <w:spacing w:before="0" w:after="0"/>
              <w:rPr>
                <w:sz w:val="16"/>
                <w:szCs w:val="16"/>
                <w:lang w:val="fr-BE"/>
              </w:rPr>
            </w:pPr>
            <w:r w:rsidRPr="0024468B">
              <w:rPr>
                <w:noProof/>
                <w:sz w:val="16"/>
                <w:szCs w:val="16"/>
                <w:lang w:val="fr-BE"/>
              </w:rPr>
              <w:t>Redukcja emisji gazów cieplarnianych: szacowany roczny spadek emisji gazów cieplarnianych</w:t>
            </w:r>
          </w:p>
        </w:tc>
        <w:tc>
          <w:tcPr>
            <w:tcW w:w="0" w:type="auto"/>
          </w:tcPr>
          <w:p w14:paraId="0D7ED3D0"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559078C6"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22763633"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2C09F614"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153235E9"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424ADA8D"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r w:rsidR="006B2EC1" w14:paraId="235D53C6" w14:textId="77777777" w:rsidTr="0047688D">
        <w:tc>
          <w:tcPr>
            <w:tcW w:w="0" w:type="auto"/>
          </w:tcPr>
          <w:p w14:paraId="75B163E1" w14:textId="77777777" w:rsidR="008C5CFA" w:rsidRPr="0024468B" w:rsidRDefault="00E82A60" w:rsidP="00300A01">
            <w:pPr>
              <w:spacing w:before="0" w:after="0"/>
              <w:rPr>
                <w:sz w:val="16"/>
                <w:szCs w:val="16"/>
                <w:lang w:val="fr-BE"/>
              </w:rPr>
            </w:pPr>
            <w:r>
              <w:rPr>
                <w:noProof/>
                <w:sz w:val="16"/>
                <w:szCs w:val="16"/>
                <w:lang w:val="fr-BE"/>
              </w:rPr>
              <w:t>F</w:t>
            </w:r>
          </w:p>
        </w:tc>
        <w:tc>
          <w:tcPr>
            <w:tcW w:w="0" w:type="auto"/>
            <w:shd w:val="clear" w:color="auto" w:fill="auto"/>
          </w:tcPr>
          <w:p w14:paraId="3151B2D7" w14:textId="77777777" w:rsidR="008C5CFA" w:rsidRPr="0024468B" w:rsidRDefault="00E82A60" w:rsidP="00300A01">
            <w:pPr>
              <w:spacing w:before="0" w:after="0"/>
              <w:rPr>
                <w:sz w:val="16"/>
                <w:szCs w:val="16"/>
                <w:lang w:val="fr-BE"/>
              </w:rPr>
            </w:pPr>
            <w:r>
              <w:rPr>
                <w:noProof/>
                <w:sz w:val="16"/>
                <w:szCs w:val="16"/>
                <w:lang w:val="fr-BE"/>
              </w:rPr>
              <w:t>34</w:t>
            </w:r>
          </w:p>
        </w:tc>
        <w:tc>
          <w:tcPr>
            <w:tcW w:w="0" w:type="auto"/>
            <w:shd w:val="clear" w:color="auto" w:fill="auto"/>
          </w:tcPr>
          <w:p w14:paraId="26469E93" w14:textId="77777777" w:rsidR="008C5CFA" w:rsidRPr="0024468B" w:rsidRDefault="00E82A60" w:rsidP="00300A01">
            <w:pPr>
              <w:spacing w:before="0" w:after="0"/>
              <w:rPr>
                <w:sz w:val="16"/>
                <w:szCs w:val="16"/>
                <w:lang w:val="fr-BE"/>
              </w:rPr>
            </w:pPr>
            <w:r>
              <w:rPr>
                <w:noProof/>
                <w:sz w:val="16"/>
                <w:szCs w:val="16"/>
                <w:lang w:val="fr-BE"/>
              </w:rPr>
              <w:t>Liczba zmodernizowanych energetycznie budynków</w:t>
            </w:r>
          </w:p>
        </w:tc>
        <w:tc>
          <w:tcPr>
            <w:tcW w:w="0" w:type="auto"/>
          </w:tcPr>
          <w:p w14:paraId="7E3E3747"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33DBA2BE"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0BFF27EC"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56AB347E"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0109A29D"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69B01688"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r w:rsidR="006B2EC1" w14:paraId="15C9617B" w14:textId="77777777" w:rsidTr="0047688D">
        <w:tc>
          <w:tcPr>
            <w:tcW w:w="0" w:type="auto"/>
          </w:tcPr>
          <w:p w14:paraId="4E63953E" w14:textId="77777777" w:rsidR="008C5CFA" w:rsidRPr="0024468B" w:rsidRDefault="00E82A60" w:rsidP="00300A01">
            <w:pPr>
              <w:spacing w:before="0" w:after="0"/>
              <w:rPr>
                <w:sz w:val="16"/>
                <w:szCs w:val="16"/>
                <w:lang w:val="fr-BE"/>
              </w:rPr>
            </w:pPr>
            <w:r>
              <w:rPr>
                <w:noProof/>
                <w:sz w:val="16"/>
                <w:szCs w:val="16"/>
                <w:lang w:val="fr-BE"/>
              </w:rPr>
              <w:t>S</w:t>
            </w:r>
          </w:p>
        </w:tc>
        <w:tc>
          <w:tcPr>
            <w:tcW w:w="0" w:type="auto"/>
            <w:shd w:val="clear" w:color="auto" w:fill="auto"/>
          </w:tcPr>
          <w:p w14:paraId="5D613BD8" w14:textId="77777777" w:rsidR="008C5CFA" w:rsidRPr="0024468B" w:rsidRDefault="00E82A60" w:rsidP="00300A01">
            <w:pPr>
              <w:spacing w:before="0" w:after="0"/>
              <w:rPr>
                <w:sz w:val="16"/>
                <w:szCs w:val="16"/>
                <w:lang w:val="fr-BE"/>
              </w:rPr>
            </w:pPr>
            <w:r>
              <w:rPr>
                <w:noProof/>
                <w:sz w:val="16"/>
                <w:szCs w:val="16"/>
                <w:lang w:val="fr-BE"/>
              </w:rPr>
              <w:t>34</w:t>
            </w:r>
          </w:p>
        </w:tc>
        <w:tc>
          <w:tcPr>
            <w:tcW w:w="0" w:type="auto"/>
            <w:shd w:val="clear" w:color="auto" w:fill="auto"/>
          </w:tcPr>
          <w:p w14:paraId="7641C2E1" w14:textId="77777777" w:rsidR="008C5CFA" w:rsidRPr="0024468B" w:rsidRDefault="00E82A60" w:rsidP="00300A01">
            <w:pPr>
              <w:spacing w:before="0" w:after="0"/>
              <w:rPr>
                <w:sz w:val="16"/>
                <w:szCs w:val="16"/>
                <w:lang w:val="fr-BE"/>
              </w:rPr>
            </w:pPr>
            <w:r>
              <w:rPr>
                <w:noProof/>
                <w:sz w:val="16"/>
                <w:szCs w:val="16"/>
                <w:lang w:val="fr-BE"/>
              </w:rPr>
              <w:t>Liczba zmodernizowanych energetycznie budynków</w:t>
            </w:r>
          </w:p>
        </w:tc>
        <w:tc>
          <w:tcPr>
            <w:tcW w:w="0" w:type="auto"/>
          </w:tcPr>
          <w:p w14:paraId="53DE23C7"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0C0F74D2"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48014281"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73611AC3"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6F4CAB1D"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6B4D7689"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bl>
    <w:p w14:paraId="69AD5AF6" w14:textId="77777777" w:rsidR="008C5CFA" w:rsidRDefault="008C5CFA" w:rsidP="00300A01">
      <w:pPr>
        <w:spacing w:before="0" w:after="0"/>
        <w:rPr>
          <w:lang w:val="fr-BE"/>
        </w:rPr>
      </w:pPr>
    </w:p>
    <w:p w14:paraId="3A8780CF" w14:textId="77777777" w:rsidR="008C5CFA" w:rsidRDefault="008C5CFA" w:rsidP="00300A01">
      <w:pPr>
        <w:spacing w:before="0" w:after="0"/>
        <w:rPr>
          <w:lang w:val="fr-BE"/>
        </w:rPr>
      </w:pPr>
    </w:p>
    <w:p w14:paraId="7B655F2F" w14:textId="77777777" w:rsidR="008C5CFA" w:rsidRDefault="00E82A60" w:rsidP="00300A01">
      <w:pPr>
        <w:spacing w:before="0" w:after="0"/>
        <w:rPr>
          <w:lang w:val="fr-BE"/>
        </w:rPr>
      </w:pPr>
      <w:r>
        <w:rPr>
          <w:lang w:val="fr-BE"/>
        </w:rPr>
        <w:br w:type="page"/>
      </w:r>
    </w:p>
    <w:p w14:paraId="7B01940B"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2"/>
        <w:gridCol w:w="13332"/>
      </w:tblGrid>
      <w:tr w:rsidR="006B2EC1" w14:paraId="0AD87A79" w14:textId="77777777" w:rsidTr="0047688D">
        <w:tc>
          <w:tcPr>
            <w:tcW w:w="0" w:type="auto"/>
            <w:shd w:val="clear" w:color="auto" w:fill="auto"/>
          </w:tcPr>
          <w:p w14:paraId="06996183" w14:textId="77777777" w:rsidR="008C5CFA" w:rsidRPr="002124FC" w:rsidRDefault="00E82A60" w:rsidP="00300A01">
            <w:pPr>
              <w:spacing w:before="0" w:after="0"/>
              <w:rPr>
                <w:sz w:val="20"/>
                <w:szCs w:val="20"/>
                <w:lang w:val="fr-BE"/>
              </w:rPr>
            </w:pPr>
            <w:r>
              <w:rPr>
                <w:lang w:val="fr-BE"/>
              </w:rPr>
              <w:br w:type="page"/>
            </w:r>
            <w:r>
              <w:rPr>
                <w:lang w:val="fr-BE"/>
              </w:rPr>
              <w:br w:type="page"/>
            </w:r>
            <w:r>
              <w:rPr>
                <w:lang w:val="fr-BE"/>
              </w:rPr>
              <w:br w:type="page"/>
            </w:r>
            <w:r w:rsidRPr="002124FC">
              <w:rPr>
                <w:noProof/>
                <w:sz w:val="20"/>
                <w:szCs w:val="20"/>
                <w:lang w:val="fr-BE"/>
              </w:rPr>
              <w:t>Oś priorytetowa</w:t>
            </w:r>
          </w:p>
        </w:tc>
        <w:tc>
          <w:tcPr>
            <w:tcW w:w="0" w:type="auto"/>
            <w:shd w:val="clear" w:color="auto" w:fill="auto"/>
          </w:tcPr>
          <w:p w14:paraId="453E8747" w14:textId="77777777" w:rsidR="008C5CFA" w:rsidRPr="002124FC" w:rsidRDefault="00E82A60" w:rsidP="00300A01">
            <w:pPr>
              <w:spacing w:before="0" w:after="0"/>
              <w:rPr>
                <w:sz w:val="20"/>
                <w:szCs w:val="20"/>
                <w:lang w:val="fr-BE"/>
              </w:rPr>
            </w:pPr>
            <w:r>
              <w:rPr>
                <w:noProof/>
                <w:sz w:val="20"/>
                <w:szCs w:val="20"/>
                <w:lang w:val="fr-BE"/>
              </w:rPr>
              <w:t>6</w:t>
            </w:r>
            <w:r w:rsidRPr="002124FC">
              <w:rPr>
                <w:sz w:val="20"/>
                <w:szCs w:val="20"/>
                <w:lang w:val="fr-BE"/>
              </w:rPr>
              <w:t xml:space="preserve"> - </w:t>
            </w:r>
            <w:r>
              <w:rPr>
                <w:noProof/>
                <w:sz w:val="20"/>
                <w:szCs w:val="20"/>
                <w:lang w:val="fr-BE"/>
              </w:rPr>
              <w:t>Rozwój miast</w:t>
            </w:r>
          </w:p>
        </w:tc>
      </w:tr>
      <w:tr w:rsidR="006B2EC1" w14:paraId="7D554070" w14:textId="77777777" w:rsidTr="0047688D">
        <w:tc>
          <w:tcPr>
            <w:tcW w:w="0" w:type="auto"/>
            <w:shd w:val="clear" w:color="auto" w:fill="auto"/>
          </w:tcPr>
          <w:p w14:paraId="2DDF38F8" w14:textId="77777777" w:rsidR="008C5CFA" w:rsidRPr="002124FC" w:rsidRDefault="00E82A60"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14:paraId="679940BB" w14:textId="77777777" w:rsidR="008C5CFA" w:rsidRPr="002124FC" w:rsidRDefault="00E82A60" w:rsidP="00300A01">
            <w:pPr>
              <w:spacing w:before="0" w:after="0"/>
              <w:rPr>
                <w:sz w:val="20"/>
                <w:szCs w:val="20"/>
                <w:lang w:val="fr-BE"/>
              </w:rPr>
            </w:pPr>
            <w:r w:rsidRPr="002124FC">
              <w:rPr>
                <w:noProof/>
                <w:sz w:val="20"/>
                <w:szCs w:val="20"/>
                <w:lang w:val="fr-BE"/>
              </w:rPr>
              <w:t>4c</w:t>
            </w:r>
            <w:r w:rsidRPr="002124FC">
              <w:rPr>
                <w:sz w:val="20"/>
                <w:szCs w:val="20"/>
                <w:lang w:val="fr-BE"/>
              </w:rPr>
              <w:t xml:space="preserve"> - </w:t>
            </w:r>
            <w:r>
              <w:rPr>
                <w:noProof/>
                <w:sz w:val="20"/>
                <w:szCs w:val="20"/>
                <w:lang w:val="fr-BE"/>
              </w:rPr>
              <w:t>Wspieranie efektywności energetycznej, inteligentnego zarządzania energią i wykorzystywania odnawialnych źródeł energii w infrastrukturze publicznej, w tym w budynkach publicznych i w sektorze mieszkaniowym</w:t>
            </w:r>
          </w:p>
        </w:tc>
      </w:tr>
      <w:tr w:rsidR="006B2EC1" w14:paraId="5FD9E29D" w14:textId="77777777" w:rsidTr="0047688D">
        <w:tc>
          <w:tcPr>
            <w:tcW w:w="0" w:type="auto"/>
            <w:shd w:val="clear" w:color="auto" w:fill="auto"/>
          </w:tcPr>
          <w:p w14:paraId="4A960837" w14:textId="77777777" w:rsidR="008C5CFA" w:rsidRPr="002124FC" w:rsidRDefault="00E82A60" w:rsidP="00300A01">
            <w:pPr>
              <w:spacing w:before="0" w:after="0"/>
              <w:ind w:left="113" w:hanging="113"/>
              <w:rPr>
                <w:sz w:val="20"/>
                <w:szCs w:val="20"/>
                <w:lang w:val="fr-BE"/>
              </w:rPr>
            </w:pPr>
            <w:r>
              <w:rPr>
                <w:noProof/>
                <w:sz w:val="20"/>
                <w:szCs w:val="20"/>
                <w:lang w:val="fr-BE"/>
              </w:rPr>
              <w:t>Cel szczegółowy</w:t>
            </w:r>
          </w:p>
        </w:tc>
        <w:tc>
          <w:tcPr>
            <w:tcW w:w="0" w:type="auto"/>
            <w:shd w:val="clear" w:color="auto" w:fill="auto"/>
          </w:tcPr>
          <w:p w14:paraId="78C605D0" w14:textId="77777777" w:rsidR="008C5CFA" w:rsidRPr="002124FC" w:rsidRDefault="00E82A60" w:rsidP="00300A01">
            <w:pPr>
              <w:spacing w:before="0" w:after="0"/>
              <w:rPr>
                <w:sz w:val="20"/>
                <w:szCs w:val="20"/>
                <w:lang w:val="fr-BE"/>
              </w:rPr>
            </w:pPr>
            <w:r>
              <w:rPr>
                <w:noProof/>
                <w:sz w:val="20"/>
                <w:szCs w:val="20"/>
                <w:lang w:val="fr-BE"/>
              </w:rPr>
              <w:t>1</w:t>
            </w:r>
            <w:r>
              <w:rPr>
                <w:sz w:val="20"/>
                <w:szCs w:val="20"/>
                <w:lang w:val="fr-BE"/>
              </w:rPr>
              <w:t xml:space="preserve"> - </w:t>
            </w:r>
            <w:r>
              <w:rPr>
                <w:noProof/>
                <w:sz w:val="20"/>
                <w:szCs w:val="20"/>
                <w:lang w:val="fr-BE"/>
              </w:rPr>
              <w:t>Zwiększona efektywność energetyczna w sektorze użyteczności publicznej na obszarze KOF</w:t>
            </w:r>
          </w:p>
        </w:tc>
      </w:tr>
    </w:tbl>
    <w:p w14:paraId="44D78A29" w14:textId="77777777" w:rsidR="008C5CFA" w:rsidRDefault="008C5CFA" w:rsidP="00300A01">
      <w:pPr>
        <w:spacing w:before="0" w:after="0"/>
        <w:rPr>
          <w:lang w:val="fr-BE"/>
        </w:rPr>
      </w:pPr>
    </w:p>
    <w:p w14:paraId="1BDC1AAB" w14:textId="77777777" w:rsidR="008C5CFA" w:rsidRDefault="00E82A60" w:rsidP="00300A01">
      <w:pPr>
        <w:spacing w:before="0" w:after="0"/>
        <w:rPr>
          <w:lang w:val="fr-BE"/>
        </w:rPr>
      </w:pPr>
      <w:r>
        <w:rPr>
          <w:lang w:val="fr-BE"/>
        </w:rPr>
        <w:t xml:space="preserve">Tabela 1: Wskaźniki rezultatu dla EFRR i Funduszu Spójności (według osi priorytetowej i celu szczegółowego); ma zastosowanie także do osi priorytetowej </w:t>
      </w:r>
      <w:r>
        <w:t>"</w:t>
      </w:r>
      <w:r>
        <w:rPr>
          <w:lang w:val="fr-BE"/>
        </w:rPr>
        <w:t>Pomoc techniczna</w:t>
      </w:r>
      <w:r>
        <w:t>"</w:t>
      </w:r>
    </w:p>
    <w:p w14:paraId="65F7C871"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4344"/>
        <w:gridCol w:w="1076"/>
        <w:gridCol w:w="1159"/>
        <w:gridCol w:w="1125"/>
        <w:gridCol w:w="884"/>
        <w:gridCol w:w="1393"/>
        <w:gridCol w:w="931"/>
        <w:gridCol w:w="1153"/>
        <w:gridCol w:w="2663"/>
      </w:tblGrid>
      <w:tr w:rsidR="006B2EC1" w14:paraId="58D99DEC" w14:textId="77777777" w:rsidTr="0047688D">
        <w:tc>
          <w:tcPr>
            <w:tcW w:w="0" w:type="auto"/>
            <w:shd w:val="clear" w:color="auto" w:fill="auto"/>
          </w:tcPr>
          <w:p w14:paraId="6DD18B56" w14:textId="77777777" w:rsidR="008C5CFA" w:rsidRPr="0024468B" w:rsidRDefault="00E82A60" w:rsidP="00300A01">
            <w:pPr>
              <w:spacing w:before="0" w:after="0"/>
              <w:rPr>
                <w:sz w:val="16"/>
                <w:szCs w:val="16"/>
                <w:lang w:val="fr-BE"/>
              </w:rPr>
            </w:pPr>
            <w:r w:rsidRPr="0024468B">
              <w:rPr>
                <w:noProof/>
                <w:sz w:val="16"/>
                <w:szCs w:val="16"/>
                <w:lang w:val="fr-BE"/>
              </w:rPr>
              <w:t>ID</w:t>
            </w:r>
          </w:p>
        </w:tc>
        <w:tc>
          <w:tcPr>
            <w:tcW w:w="0" w:type="auto"/>
            <w:shd w:val="clear" w:color="auto" w:fill="auto"/>
          </w:tcPr>
          <w:p w14:paraId="1ADB5EDA" w14:textId="77777777" w:rsidR="008C5CFA" w:rsidRPr="0024468B" w:rsidRDefault="00E82A60" w:rsidP="00300A01">
            <w:pPr>
              <w:spacing w:before="0" w:after="0"/>
              <w:rPr>
                <w:sz w:val="16"/>
                <w:szCs w:val="16"/>
                <w:lang w:val="fr-BE"/>
              </w:rPr>
            </w:pPr>
            <w:r w:rsidRPr="0024468B">
              <w:rPr>
                <w:noProof/>
                <w:sz w:val="16"/>
                <w:szCs w:val="16"/>
                <w:lang w:val="fr-BE"/>
              </w:rPr>
              <w:t>Wskaźnik</w:t>
            </w:r>
          </w:p>
        </w:tc>
        <w:tc>
          <w:tcPr>
            <w:tcW w:w="0" w:type="auto"/>
            <w:shd w:val="clear" w:color="auto" w:fill="auto"/>
          </w:tcPr>
          <w:p w14:paraId="6CD2875E" w14:textId="77777777" w:rsidR="008C5CFA" w:rsidRPr="0024468B" w:rsidRDefault="00E82A60" w:rsidP="00300A01">
            <w:pPr>
              <w:spacing w:before="0" w:after="0"/>
              <w:rPr>
                <w:sz w:val="16"/>
                <w:szCs w:val="16"/>
                <w:lang w:val="fr-BE"/>
              </w:rPr>
            </w:pPr>
            <w:r w:rsidRPr="0024468B">
              <w:rPr>
                <w:noProof/>
                <w:sz w:val="16"/>
                <w:szCs w:val="16"/>
                <w:lang w:val="fr-BE"/>
              </w:rPr>
              <w:t>Jednostka miary</w:t>
            </w:r>
          </w:p>
        </w:tc>
        <w:tc>
          <w:tcPr>
            <w:tcW w:w="0" w:type="auto"/>
            <w:shd w:val="clear" w:color="auto" w:fill="auto"/>
          </w:tcPr>
          <w:p w14:paraId="63A00780" w14:textId="77777777" w:rsidR="008C5CFA" w:rsidRPr="0024468B" w:rsidRDefault="00E82A60" w:rsidP="00300A01">
            <w:pPr>
              <w:spacing w:before="0" w:after="0"/>
              <w:rPr>
                <w:sz w:val="16"/>
                <w:szCs w:val="16"/>
                <w:lang w:val="fr-BE"/>
              </w:rPr>
            </w:pPr>
            <w:r w:rsidRPr="0024468B">
              <w:rPr>
                <w:noProof/>
                <w:sz w:val="16"/>
                <w:szCs w:val="16"/>
                <w:lang w:val="fr-BE"/>
              </w:rPr>
              <w:t>Kategoria regionu</w:t>
            </w:r>
          </w:p>
        </w:tc>
        <w:tc>
          <w:tcPr>
            <w:tcW w:w="0" w:type="auto"/>
            <w:shd w:val="clear" w:color="auto" w:fill="auto"/>
          </w:tcPr>
          <w:p w14:paraId="0D4C9823" w14:textId="77777777" w:rsidR="008C5CFA" w:rsidRPr="0024468B" w:rsidRDefault="00E82A60" w:rsidP="00300A01">
            <w:pPr>
              <w:spacing w:before="0" w:after="0"/>
              <w:rPr>
                <w:sz w:val="16"/>
                <w:szCs w:val="16"/>
                <w:lang w:val="fr-BE"/>
              </w:rPr>
            </w:pPr>
            <w:r w:rsidRPr="0024468B">
              <w:rPr>
                <w:noProof/>
                <w:sz w:val="16"/>
                <w:szCs w:val="16"/>
                <w:lang w:val="fr-BE"/>
              </w:rPr>
              <w:t>Wartość bazowa</w:t>
            </w:r>
          </w:p>
        </w:tc>
        <w:tc>
          <w:tcPr>
            <w:tcW w:w="0" w:type="auto"/>
            <w:shd w:val="clear" w:color="auto" w:fill="auto"/>
          </w:tcPr>
          <w:p w14:paraId="4E753A00" w14:textId="77777777" w:rsidR="008C5CFA" w:rsidRPr="0024468B" w:rsidRDefault="00E82A60" w:rsidP="00300A01">
            <w:pPr>
              <w:spacing w:before="0" w:after="0"/>
              <w:rPr>
                <w:sz w:val="16"/>
                <w:szCs w:val="16"/>
                <w:lang w:val="fr-BE"/>
              </w:rPr>
            </w:pPr>
            <w:r w:rsidRPr="0024468B">
              <w:rPr>
                <w:noProof/>
                <w:sz w:val="16"/>
                <w:szCs w:val="16"/>
                <w:lang w:val="fr-BE"/>
              </w:rPr>
              <w:t>Rok bazowy</w:t>
            </w:r>
          </w:p>
        </w:tc>
        <w:tc>
          <w:tcPr>
            <w:tcW w:w="0" w:type="auto"/>
            <w:shd w:val="clear" w:color="auto" w:fill="auto"/>
          </w:tcPr>
          <w:p w14:paraId="023EF030" w14:textId="77777777" w:rsidR="008C5CFA" w:rsidRPr="0024468B" w:rsidRDefault="00E82A60" w:rsidP="00300A01">
            <w:pPr>
              <w:spacing w:before="0" w:after="0"/>
              <w:rPr>
                <w:sz w:val="16"/>
                <w:szCs w:val="16"/>
                <w:lang w:val="fr-BE"/>
              </w:rPr>
            </w:pPr>
            <w:r w:rsidRPr="0024468B">
              <w:rPr>
                <w:noProof/>
                <w:sz w:val="16"/>
                <w:szCs w:val="16"/>
                <w:lang w:val="fr-BE"/>
              </w:rPr>
              <w:t>Wartość docelowa 2023</w:t>
            </w:r>
          </w:p>
        </w:tc>
        <w:tc>
          <w:tcPr>
            <w:tcW w:w="0" w:type="auto"/>
            <w:shd w:val="clear" w:color="auto" w:fill="auto"/>
          </w:tcPr>
          <w:p w14:paraId="43912147" w14:textId="77777777" w:rsidR="008C5CFA" w:rsidRPr="0024468B" w:rsidRDefault="00E82A60" w:rsidP="00300A01">
            <w:pPr>
              <w:spacing w:before="0" w:after="0"/>
              <w:jc w:val="center"/>
              <w:rPr>
                <w:sz w:val="16"/>
                <w:szCs w:val="16"/>
                <w:lang w:val="fr-BE"/>
              </w:rPr>
            </w:pPr>
            <w:r>
              <w:rPr>
                <w:sz w:val="16"/>
                <w:szCs w:val="16"/>
                <w:lang w:val="fr-BE"/>
              </w:rPr>
              <w:t xml:space="preserve">2019 </w:t>
            </w:r>
            <w:r>
              <w:rPr>
                <w:noProof/>
                <w:sz w:val="16"/>
                <w:szCs w:val="16"/>
                <w:lang w:val="fr-BE"/>
              </w:rPr>
              <w:t>Ogółem</w:t>
            </w:r>
          </w:p>
        </w:tc>
        <w:tc>
          <w:tcPr>
            <w:tcW w:w="0" w:type="auto"/>
            <w:shd w:val="clear" w:color="auto" w:fill="auto"/>
          </w:tcPr>
          <w:p w14:paraId="31B67158" w14:textId="77777777" w:rsidR="008C5CFA" w:rsidRPr="0024468B" w:rsidRDefault="00E82A60" w:rsidP="00300A01">
            <w:pPr>
              <w:spacing w:before="0" w:after="0"/>
              <w:jc w:val="center"/>
              <w:rPr>
                <w:sz w:val="16"/>
                <w:szCs w:val="16"/>
                <w:lang w:val="fr-BE"/>
              </w:rPr>
            </w:pPr>
            <w:r>
              <w:rPr>
                <w:sz w:val="16"/>
                <w:szCs w:val="16"/>
                <w:lang w:val="fr-BE"/>
              </w:rPr>
              <w:t xml:space="preserve">2019 </w:t>
            </w:r>
            <w:r w:rsidRPr="0024468B">
              <w:rPr>
                <w:noProof/>
                <w:sz w:val="16"/>
                <w:szCs w:val="16"/>
                <w:lang w:val="fr-BE"/>
              </w:rPr>
              <w:t>Jakościowe</w:t>
            </w:r>
          </w:p>
        </w:tc>
        <w:tc>
          <w:tcPr>
            <w:tcW w:w="0" w:type="auto"/>
            <w:shd w:val="clear" w:color="auto" w:fill="auto"/>
          </w:tcPr>
          <w:p w14:paraId="3F271190" w14:textId="77777777" w:rsidR="008C5CFA" w:rsidRPr="0024468B" w:rsidRDefault="00E82A60" w:rsidP="00300A01">
            <w:pPr>
              <w:spacing w:before="0" w:after="0"/>
              <w:jc w:val="center"/>
              <w:rPr>
                <w:sz w:val="16"/>
                <w:szCs w:val="16"/>
                <w:lang w:val="fr-BE"/>
              </w:rPr>
            </w:pPr>
            <w:r w:rsidRPr="0024468B">
              <w:rPr>
                <w:noProof/>
                <w:sz w:val="16"/>
                <w:szCs w:val="16"/>
                <w:lang w:val="fr-BE"/>
              </w:rPr>
              <w:t>Uwagi</w:t>
            </w:r>
          </w:p>
        </w:tc>
      </w:tr>
      <w:tr w:rsidR="006B2EC1" w14:paraId="4CBF7816" w14:textId="77777777" w:rsidTr="0047688D">
        <w:tc>
          <w:tcPr>
            <w:tcW w:w="0" w:type="auto"/>
            <w:shd w:val="clear" w:color="auto" w:fill="auto"/>
          </w:tcPr>
          <w:p w14:paraId="2F8C540E" w14:textId="77777777" w:rsidR="008C5CFA" w:rsidRPr="0024468B" w:rsidRDefault="00E82A60" w:rsidP="00300A01">
            <w:pPr>
              <w:spacing w:before="0" w:after="0"/>
              <w:rPr>
                <w:sz w:val="16"/>
                <w:szCs w:val="16"/>
                <w:lang w:val="fr-BE"/>
              </w:rPr>
            </w:pPr>
            <w:r w:rsidRPr="0024468B">
              <w:rPr>
                <w:noProof/>
                <w:sz w:val="16"/>
                <w:szCs w:val="16"/>
                <w:lang w:val="fr-BE"/>
              </w:rPr>
              <w:t>050</w:t>
            </w:r>
          </w:p>
        </w:tc>
        <w:tc>
          <w:tcPr>
            <w:tcW w:w="0" w:type="auto"/>
            <w:shd w:val="clear" w:color="auto" w:fill="auto"/>
          </w:tcPr>
          <w:p w14:paraId="35817773" w14:textId="77777777" w:rsidR="008C5CFA" w:rsidRPr="0024468B" w:rsidRDefault="00E82A60" w:rsidP="00300A01">
            <w:pPr>
              <w:spacing w:before="0" w:after="0"/>
              <w:rPr>
                <w:sz w:val="16"/>
                <w:szCs w:val="16"/>
                <w:lang w:val="fr-BE"/>
              </w:rPr>
            </w:pPr>
            <w:r w:rsidRPr="0024468B">
              <w:rPr>
                <w:noProof/>
                <w:sz w:val="16"/>
                <w:szCs w:val="16"/>
                <w:lang w:val="fr-BE"/>
              </w:rPr>
              <w:t>Sprzedaż energii cieplnej w ciągu roku w budynkach użyteczności w obszarze wchodzącym w skład KOF</w:t>
            </w:r>
          </w:p>
        </w:tc>
        <w:tc>
          <w:tcPr>
            <w:tcW w:w="0" w:type="auto"/>
            <w:shd w:val="clear" w:color="auto" w:fill="auto"/>
          </w:tcPr>
          <w:p w14:paraId="42D052DD" w14:textId="77777777" w:rsidR="008C5CFA" w:rsidRPr="0024468B" w:rsidRDefault="00E82A60" w:rsidP="00300A01">
            <w:pPr>
              <w:spacing w:before="0" w:after="0"/>
              <w:rPr>
                <w:sz w:val="16"/>
                <w:szCs w:val="16"/>
                <w:lang w:val="fr-BE"/>
              </w:rPr>
            </w:pPr>
            <w:r w:rsidRPr="0024468B">
              <w:rPr>
                <w:noProof/>
                <w:sz w:val="16"/>
                <w:szCs w:val="16"/>
                <w:lang w:val="fr-BE"/>
              </w:rPr>
              <w:t>GJ</w:t>
            </w:r>
          </w:p>
        </w:tc>
        <w:tc>
          <w:tcPr>
            <w:tcW w:w="0" w:type="auto"/>
            <w:shd w:val="clear" w:color="auto" w:fill="auto"/>
          </w:tcPr>
          <w:p w14:paraId="4D07CB31" w14:textId="77777777" w:rsidR="008C5CFA" w:rsidRPr="0024468B" w:rsidRDefault="00E82A60"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14:paraId="3F0AE7A6" w14:textId="77777777" w:rsidR="008C5CFA" w:rsidRPr="00C3185A" w:rsidRDefault="00E82A60" w:rsidP="00300A01">
            <w:pPr>
              <w:spacing w:before="0" w:after="0"/>
              <w:jc w:val="right"/>
              <w:rPr>
                <w:sz w:val="16"/>
                <w:szCs w:val="16"/>
                <w:lang w:val="fr-BE"/>
              </w:rPr>
            </w:pPr>
            <w:r w:rsidRPr="00C3185A">
              <w:rPr>
                <w:noProof/>
                <w:sz w:val="16"/>
                <w:szCs w:val="16"/>
                <w:lang w:val="fr-BE"/>
              </w:rPr>
              <w:t>137 332,00</w:t>
            </w:r>
          </w:p>
        </w:tc>
        <w:tc>
          <w:tcPr>
            <w:tcW w:w="0" w:type="auto"/>
            <w:shd w:val="clear" w:color="auto" w:fill="auto"/>
          </w:tcPr>
          <w:p w14:paraId="2065A4C5" w14:textId="77777777" w:rsidR="008C5CFA" w:rsidRPr="0024468B" w:rsidRDefault="00E82A60" w:rsidP="00300A01">
            <w:pPr>
              <w:spacing w:before="0" w:after="0"/>
              <w:rPr>
                <w:sz w:val="16"/>
                <w:szCs w:val="16"/>
                <w:lang w:val="fr-BE"/>
              </w:rPr>
            </w:pPr>
            <w:r w:rsidRPr="0024468B">
              <w:rPr>
                <w:noProof/>
                <w:sz w:val="16"/>
                <w:szCs w:val="16"/>
                <w:lang w:val="fr-BE"/>
              </w:rPr>
              <w:t>2013</w:t>
            </w:r>
          </w:p>
        </w:tc>
        <w:tc>
          <w:tcPr>
            <w:tcW w:w="0" w:type="auto"/>
            <w:shd w:val="clear" w:color="auto" w:fill="auto"/>
          </w:tcPr>
          <w:p w14:paraId="766EEEC2" w14:textId="77777777" w:rsidR="008C5CFA" w:rsidRPr="0024468B" w:rsidRDefault="00E82A60" w:rsidP="00300A01">
            <w:pPr>
              <w:spacing w:before="0" w:after="0"/>
              <w:jc w:val="right"/>
              <w:rPr>
                <w:sz w:val="16"/>
                <w:szCs w:val="16"/>
                <w:lang w:val="fr-BE"/>
              </w:rPr>
            </w:pPr>
            <w:r w:rsidRPr="0024468B">
              <w:rPr>
                <w:noProof/>
                <w:sz w:val="16"/>
                <w:szCs w:val="16"/>
                <w:lang w:val="fr-BE"/>
              </w:rPr>
              <w:t>135 932,00</w:t>
            </w:r>
          </w:p>
        </w:tc>
        <w:tc>
          <w:tcPr>
            <w:tcW w:w="0" w:type="auto"/>
            <w:shd w:val="clear" w:color="auto" w:fill="auto"/>
          </w:tcPr>
          <w:p w14:paraId="18CA7679"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2A2FCC50" w14:textId="77777777" w:rsidR="008C5CFA" w:rsidRPr="0024468B" w:rsidRDefault="008C5CFA" w:rsidP="00300A01">
            <w:pPr>
              <w:spacing w:before="0" w:after="0"/>
              <w:jc w:val="right"/>
              <w:rPr>
                <w:sz w:val="16"/>
                <w:szCs w:val="16"/>
                <w:lang w:val="fr-BE"/>
              </w:rPr>
            </w:pPr>
          </w:p>
        </w:tc>
        <w:tc>
          <w:tcPr>
            <w:tcW w:w="0" w:type="auto"/>
            <w:shd w:val="clear" w:color="auto" w:fill="auto"/>
          </w:tcPr>
          <w:p w14:paraId="06BDD010" w14:textId="77777777" w:rsidR="008C5CFA" w:rsidRPr="0024468B" w:rsidRDefault="00E82A60" w:rsidP="00300A01">
            <w:pPr>
              <w:spacing w:before="0" w:after="0"/>
              <w:rPr>
                <w:sz w:val="16"/>
                <w:szCs w:val="16"/>
                <w:lang w:val="fr-BE"/>
              </w:rPr>
            </w:pPr>
            <w:r w:rsidRPr="0024468B">
              <w:rPr>
                <w:noProof/>
                <w:sz w:val="16"/>
                <w:szCs w:val="16"/>
                <w:lang w:val="fr-BE"/>
              </w:rPr>
              <w:t>Brak aktualnych danych dostępnych w systemie STRATEG</w:t>
            </w:r>
          </w:p>
          <w:p w14:paraId="3AE3B5BA" w14:textId="77777777" w:rsidR="008C5CFA" w:rsidRPr="0024468B" w:rsidRDefault="008C5CFA" w:rsidP="00300A01">
            <w:pPr>
              <w:spacing w:before="0" w:after="0"/>
              <w:rPr>
                <w:sz w:val="16"/>
                <w:szCs w:val="16"/>
                <w:lang w:val="fr-BE"/>
              </w:rPr>
            </w:pPr>
          </w:p>
        </w:tc>
      </w:tr>
    </w:tbl>
    <w:p w14:paraId="686EC3D3"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5593"/>
        <w:gridCol w:w="1054"/>
        <w:gridCol w:w="1229"/>
        <w:gridCol w:w="1055"/>
        <w:gridCol w:w="1229"/>
        <w:gridCol w:w="1055"/>
        <w:gridCol w:w="1229"/>
        <w:gridCol w:w="1055"/>
        <w:gridCol w:w="1229"/>
      </w:tblGrid>
      <w:tr w:rsidR="006B2EC1" w14:paraId="5D6A1150" w14:textId="77777777" w:rsidTr="0047688D">
        <w:tc>
          <w:tcPr>
            <w:tcW w:w="0" w:type="auto"/>
            <w:shd w:val="clear" w:color="auto" w:fill="auto"/>
          </w:tcPr>
          <w:p w14:paraId="7C5B5BB4" w14:textId="77777777" w:rsidR="008C5CFA" w:rsidRPr="0024468B" w:rsidRDefault="00E82A60" w:rsidP="00300A01">
            <w:pPr>
              <w:spacing w:before="0" w:after="0"/>
              <w:rPr>
                <w:sz w:val="16"/>
                <w:szCs w:val="16"/>
                <w:lang w:val="fr-BE"/>
              </w:rPr>
            </w:pPr>
            <w:r w:rsidRPr="0024468B">
              <w:rPr>
                <w:noProof/>
                <w:sz w:val="16"/>
                <w:szCs w:val="16"/>
                <w:lang w:val="fr-BE"/>
              </w:rPr>
              <w:t>ID</w:t>
            </w:r>
          </w:p>
        </w:tc>
        <w:tc>
          <w:tcPr>
            <w:tcW w:w="0" w:type="auto"/>
            <w:shd w:val="clear" w:color="auto" w:fill="auto"/>
          </w:tcPr>
          <w:p w14:paraId="57D9F15D" w14:textId="77777777" w:rsidR="008C5CFA" w:rsidRPr="0024468B" w:rsidRDefault="00E82A60" w:rsidP="00300A01">
            <w:pPr>
              <w:spacing w:before="0" w:after="0"/>
              <w:rPr>
                <w:sz w:val="16"/>
                <w:szCs w:val="16"/>
                <w:lang w:val="fr-BE"/>
              </w:rPr>
            </w:pPr>
            <w:r w:rsidRPr="0024468B">
              <w:rPr>
                <w:noProof/>
                <w:sz w:val="16"/>
                <w:szCs w:val="16"/>
                <w:lang w:val="fr-BE"/>
              </w:rPr>
              <w:t>Wskaźnik</w:t>
            </w:r>
          </w:p>
        </w:tc>
        <w:tc>
          <w:tcPr>
            <w:tcW w:w="0" w:type="auto"/>
          </w:tcPr>
          <w:p w14:paraId="5F0D690E" w14:textId="77777777" w:rsidR="008C5CFA" w:rsidRPr="0024468B" w:rsidRDefault="00E82A60" w:rsidP="00300A01">
            <w:pPr>
              <w:spacing w:before="0" w:after="0"/>
              <w:jc w:val="center"/>
              <w:rPr>
                <w:sz w:val="16"/>
                <w:szCs w:val="16"/>
                <w:lang w:val="fr-BE"/>
              </w:rPr>
            </w:pPr>
            <w:r>
              <w:rPr>
                <w:sz w:val="16"/>
                <w:szCs w:val="16"/>
                <w:lang w:val="fr-BE"/>
              </w:rPr>
              <w:t xml:space="preserve">2018 </w:t>
            </w:r>
            <w:r>
              <w:rPr>
                <w:noProof/>
                <w:sz w:val="16"/>
                <w:szCs w:val="16"/>
                <w:lang w:val="fr-BE"/>
              </w:rPr>
              <w:t>Ogółem</w:t>
            </w:r>
          </w:p>
        </w:tc>
        <w:tc>
          <w:tcPr>
            <w:tcW w:w="0" w:type="auto"/>
          </w:tcPr>
          <w:p w14:paraId="208429FC" w14:textId="77777777" w:rsidR="008C5CFA" w:rsidRPr="0024468B" w:rsidRDefault="00E82A60" w:rsidP="00300A01">
            <w:pPr>
              <w:spacing w:before="0" w:after="0"/>
              <w:jc w:val="center"/>
              <w:rPr>
                <w:sz w:val="16"/>
                <w:szCs w:val="16"/>
                <w:lang w:val="fr-BE"/>
              </w:rPr>
            </w:pPr>
            <w:r>
              <w:rPr>
                <w:sz w:val="16"/>
                <w:szCs w:val="16"/>
                <w:lang w:val="fr-BE"/>
              </w:rPr>
              <w:t xml:space="preserve">2018 </w:t>
            </w:r>
            <w:r w:rsidRPr="0024468B">
              <w:rPr>
                <w:noProof/>
                <w:sz w:val="16"/>
                <w:szCs w:val="16"/>
                <w:lang w:val="fr-BE"/>
              </w:rPr>
              <w:t>Jakościowe</w:t>
            </w:r>
          </w:p>
        </w:tc>
        <w:tc>
          <w:tcPr>
            <w:tcW w:w="0" w:type="auto"/>
          </w:tcPr>
          <w:p w14:paraId="094B719B" w14:textId="77777777" w:rsidR="008C5CFA" w:rsidRPr="0024468B" w:rsidRDefault="00E82A60" w:rsidP="00300A01">
            <w:pPr>
              <w:spacing w:before="0" w:after="0"/>
              <w:jc w:val="center"/>
              <w:rPr>
                <w:sz w:val="16"/>
                <w:szCs w:val="16"/>
                <w:lang w:val="fr-BE"/>
              </w:rPr>
            </w:pPr>
            <w:r>
              <w:rPr>
                <w:sz w:val="16"/>
                <w:szCs w:val="16"/>
                <w:lang w:val="fr-BE"/>
              </w:rPr>
              <w:t xml:space="preserve">2017 </w:t>
            </w:r>
            <w:r>
              <w:rPr>
                <w:noProof/>
                <w:sz w:val="16"/>
                <w:szCs w:val="16"/>
                <w:lang w:val="fr-BE"/>
              </w:rPr>
              <w:t>Ogółem</w:t>
            </w:r>
          </w:p>
        </w:tc>
        <w:tc>
          <w:tcPr>
            <w:tcW w:w="0" w:type="auto"/>
          </w:tcPr>
          <w:p w14:paraId="2E51FE9B" w14:textId="77777777" w:rsidR="008C5CFA" w:rsidRPr="0024468B" w:rsidRDefault="00E82A60" w:rsidP="00300A01">
            <w:pPr>
              <w:spacing w:before="0" w:after="0"/>
              <w:jc w:val="center"/>
              <w:rPr>
                <w:sz w:val="16"/>
                <w:szCs w:val="16"/>
                <w:lang w:val="fr-BE"/>
              </w:rPr>
            </w:pPr>
            <w:r>
              <w:rPr>
                <w:sz w:val="16"/>
                <w:szCs w:val="16"/>
                <w:lang w:val="fr-BE"/>
              </w:rPr>
              <w:t xml:space="preserve">2017 </w:t>
            </w:r>
            <w:r w:rsidRPr="0024468B">
              <w:rPr>
                <w:noProof/>
                <w:sz w:val="16"/>
                <w:szCs w:val="16"/>
                <w:lang w:val="fr-BE"/>
              </w:rPr>
              <w:t>Jakościowe</w:t>
            </w:r>
          </w:p>
        </w:tc>
        <w:tc>
          <w:tcPr>
            <w:tcW w:w="0" w:type="auto"/>
          </w:tcPr>
          <w:p w14:paraId="1AA15C19" w14:textId="77777777" w:rsidR="008C5CFA" w:rsidRPr="0024468B" w:rsidRDefault="00E82A60" w:rsidP="00300A01">
            <w:pPr>
              <w:spacing w:before="0" w:after="0"/>
              <w:jc w:val="center"/>
              <w:rPr>
                <w:sz w:val="16"/>
                <w:szCs w:val="16"/>
                <w:lang w:val="fr-BE"/>
              </w:rPr>
            </w:pPr>
            <w:r>
              <w:rPr>
                <w:sz w:val="16"/>
                <w:szCs w:val="16"/>
                <w:lang w:val="fr-BE"/>
              </w:rPr>
              <w:t xml:space="preserve">2016 </w:t>
            </w:r>
            <w:r>
              <w:rPr>
                <w:noProof/>
                <w:sz w:val="16"/>
                <w:szCs w:val="16"/>
                <w:lang w:val="fr-BE"/>
              </w:rPr>
              <w:t>Ogółem</w:t>
            </w:r>
          </w:p>
        </w:tc>
        <w:tc>
          <w:tcPr>
            <w:tcW w:w="0" w:type="auto"/>
          </w:tcPr>
          <w:p w14:paraId="3B56F21D" w14:textId="77777777" w:rsidR="008C5CFA" w:rsidRPr="0024468B" w:rsidRDefault="00E82A60" w:rsidP="00300A01">
            <w:pPr>
              <w:spacing w:before="0" w:after="0"/>
              <w:jc w:val="center"/>
              <w:rPr>
                <w:sz w:val="16"/>
                <w:szCs w:val="16"/>
                <w:lang w:val="fr-BE"/>
              </w:rPr>
            </w:pPr>
            <w:r>
              <w:rPr>
                <w:sz w:val="16"/>
                <w:szCs w:val="16"/>
                <w:lang w:val="fr-BE"/>
              </w:rPr>
              <w:t xml:space="preserve">2016 </w:t>
            </w:r>
            <w:r w:rsidRPr="0024468B">
              <w:rPr>
                <w:noProof/>
                <w:sz w:val="16"/>
                <w:szCs w:val="16"/>
                <w:lang w:val="fr-BE"/>
              </w:rPr>
              <w:t>Jakościowe</w:t>
            </w:r>
          </w:p>
        </w:tc>
        <w:tc>
          <w:tcPr>
            <w:tcW w:w="0" w:type="auto"/>
          </w:tcPr>
          <w:p w14:paraId="119323DF" w14:textId="77777777" w:rsidR="008C5CFA" w:rsidRPr="0024468B" w:rsidRDefault="00E82A60" w:rsidP="00300A01">
            <w:pPr>
              <w:spacing w:before="0" w:after="0"/>
              <w:jc w:val="center"/>
              <w:rPr>
                <w:sz w:val="16"/>
                <w:szCs w:val="16"/>
                <w:lang w:val="fr-BE"/>
              </w:rPr>
            </w:pPr>
            <w:r>
              <w:rPr>
                <w:sz w:val="16"/>
                <w:szCs w:val="16"/>
                <w:lang w:val="fr-BE"/>
              </w:rPr>
              <w:t xml:space="preserve">2015 </w:t>
            </w:r>
            <w:r>
              <w:rPr>
                <w:noProof/>
                <w:sz w:val="16"/>
                <w:szCs w:val="16"/>
                <w:lang w:val="fr-BE"/>
              </w:rPr>
              <w:t>Ogółem</w:t>
            </w:r>
          </w:p>
        </w:tc>
        <w:tc>
          <w:tcPr>
            <w:tcW w:w="0" w:type="auto"/>
          </w:tcPr>
          <w:p w14:paraId="54D3D39D" w14:textId="77777777" w:rsidR="008C5CFA" w:rsidRPr="0024468B" w:rsidRDefault="00E82A60" w:rsidP="00300A01">
            <w:pPr>
              <w:spacing w:before="0" w:after="0"/>
              <w:jc w:val="center"/>
              <w:rPr>
                <w:sz w:val="16"/>
                <w:szCs w:val="16"/>
                <w:lang w:val="fr-BE"/>
              </w:rPr>
            </w:pPr>
            <w:r>
              <w:rPr>
                <w:sz w:val="16"/>
                <w:szCs w:val="16"/>
                <w:lang w:val="fr-BE"/>
              </w:rPr>
              <w:t xml:space="preserve">2015 </w:t>
            </w:r>
            <w:r w:rsidRPr="0024468B">
              <w:rPr>
                <w:noProof/>
                <w:sz w:val="16"/>
                <w:szCs w:val="16"/>
                <w:lang w:val="fr-BE"/>
              </w:rPr>
              <w:t>Jakościowe</w:t>
            </w:r>
          </w:p>
        </w:tc>
      </w:tr>
      <w:tr w:rsidR="006B2EC1" w14:paraId="42D2768C" w14:textId="77777777" w:rsidTr="0047688D">
        <w:tc>
          <w:tcPr>
            <w:tcW w:w="0" w:type="auto"/>
            <w:shd w:val="clear" w:color="auto" w:fill="auto"/>
          </w:tcPr>
          <w:p w14:paraId="49271DC0" w14:textId="77777777" w:rsidR="008C5CFA" w:rsidRPr="0024468B" w:rsidRDefault="00E82A60" w:rsidP="00300A01">
            <w:pPr>
              <w:spacing w:before="0" w:after="0"/>
              <w:rPr>
                <w:sz w:val="16"/>
                <w:szCs w:val="16"/>
                <w:lang w:val="fr-BE"/>
              </w:rPr>
            </w:pPr>
            <w:r w:rsidRPr="0024468B">
              <w:rPr>
                <w:noProof/>
                <w:sz w:val="16"/>
                <w:szCs w:val="16"/>
                <w:lang w:val="fr-BE"/>
              </w:rPr>
              <w:t>050</w:t>
            </w:r>
          </w:p>
        </w:tc>
        <w:tc>
          <w:tcPr>
            <w:tcW w:w="0" w:type="auto"/>
            <w:shd w:val="clear" w:color="auto" w:fill="auto"/>
          </w:tcPr>
          <w:p w14:paraId="7CAD39F8" w14:textId="77777777" w:rsidR="008C5CFA" w:rsidRPr="0024468B" w:rsidRDefault="00E82A60" w:rsidP="00300A01">
            <w:pPr>
              <w:spacing w:before="0" w:after="0"/>
              <w:rPr>
                <w:sz w:val="16"/>
                <w:szCs w:val="16"/>
                <w:lang w:val="fr-BE"/>
              </w:rPr>
            </w:pPr>
            <w:r w:rsidRPr="0024468B">
              <w:rPr>
                <w:noProof/>
                <w:sz w:val="16"/>
                <w:szCs w:val="16"/>
                <w:lang w:val="fr-BE"/>
              </w:rPr>
              <w:t>Sprzedaż energii cieplnej w ciągu roku w budynkach użyteczności w obszarze wchodzącym w skład KOF</w:t>
            </w:r>
          </w:p>
        </w:tc>
        <w:tc>
          <w:tcPr>
            <w:tcW w:w="0" w:type="auto"/>
          </w:tcPr>
          <w:p w14:paraId="1C95DC87" w14:textId="77777777" w:rsidR="008C5CFA" w:rsidRPr="0024468B" w:rsidRDefault="00E82A60" w:rsidP="00300A01">
            <w:pPr>
              <w:spacing w:before="0" w:after="0"/>
              <w:jc w:val="right"/>
              <w:rPr>
                <w:sz w:val="16"/>
                <w:szCs w:val="16"/>
                <w:lang w:val="fr-BE"/>
              </w:rPr>
            </w:pPr>
            <w:r w:rsidRPr="0024468B">
              <w:rPr>
                <w:noProof/>
                <w:sz w:val="16"/>
                <w:szCs w:val="16"/>
                <w:lang w:val="fr-BE"/>
              </w:rPr>
              <w:t>371 948,00</w:t>
            </w:r>
          </w:p>
        </w:tc>
        <w:tc>
          <w:tcPr>
            <w:tcW w:w="0" w:type="auto"/>
          </w:tcPr>
          <w:p w14:paraId="3C39DD37" w14:textId="77777777" w:rsidR="008C5CFA" w:rsidRPr="0024468B" w:rsidRDefault="008C5CFA" w:rsidP="00300A01">
            <w:pPr>
              <w:spacing w:before="0" w:after="0"/>
              <w:jc w:val="right"/>
              <w:rPr>
                <w:sz w:val="16"/>
                <w:szCs w:val="16"/>
                <w:lang w:val="fr-BE"/>
              </w:rPr>
            </w:pPr>
          </w:p>
        </w:tc>
        <w:tc>
          <w:tcPr>
            <w:tcW w:w="0" w:type="auto"/>
          </w:tcPr>
          <w:p w14:paraId="12E86D56" w14:textId="77777777" w:rsidR="008C5CFA" w:rsidRPr="0024468B" w:rsidRDefault="00E82A60" w:rsidP="00300A01">
            <w:pPr>
              <w:spacing w:before="0" w:after="0"/>
              <w:jc w:val="right"/>
              <w:rPr>
                <w:sz w:val="16"/>
                <w:szCs w:val="16"/>
                <w:lang w:val="fr-BE"/>
              </w:rPr>
            </w:pPr>
            <w:r w:rsidRPr="0024468B">
              <w:rPr>
                <w:noProof/>
                <w:sz w:val="16"/>
                <w:szCs w:val="16"/>
                <w:lang w:val="fr-BE"/>
              </w:rPr>
              <w:t>405 605,00</w:t>
            </w:r>
          </w:p>
        </w:tc>
        <w:tc>
          <w:tcPr>
            <w:tcW w:w="0" w:type="auto"/>
          </w:tcPr>
          <w:p w14:paraId="79B7345C" w14:textId="77777777" w:rsidR="008C5CFA" w:rsidRPr="0024468B" w:rsidRDefault="008C5CFA" w:rsidP="00300A01">
            <w:pPr>
              <w:spacing w:before="0" w:after="0"/>
              <w:jc w:val="right"/>
              <w:rPr>
                <w:sz w:val="16"/>
                <w:szCs w:val="16"/>
                <w:lang w:val="fr-BE"/>
              </w:rPr>
            </w:pPr>
          </w:p>
        </w:tc>
        <w:tc>
          <w:tcPr>
            <w:tcW w:w="0" w:type="auto"/>
          </w:tcPr>
          <w:p w14:paraId="0460AF80" w14:textId="77777777" w:rsidR="008C5CFA" w:rsidRPr="0024468B" w:rsidRDefault="00E82A60" w:rsidP="00300A01">
            <w:pPr>
              <w:spacing w:before="0" w:after="0"/>
              <w:jc w:val="right"/>
              <w:rPr>
                <w:sz w:val="16"/>
                <w:szCs w:val="16"/>
                <w:lang w:val="fr-BE"/>
              </w:rPr>
            </w:pPr>
            <w:r w:rsidRPr="0024468B">
              <w:rPr>
                <w:noProof/>
                <w:sz w:val="16"/>
                <w:szCs w:val="16"/>
                <w:lang w:val="fr-BE"/>
              </w:rPr>
              <w:t>367 893,00</w:t>
            </w:r>
          </w:p>
        </w:tc>
        <w:tc>
          <w:tcPr>
            <w:tcW w:w="0" w:type="auto"/>
          </w:tcPr>
          <w:p w14:paraId="0C398191" w14:textId="77777777" w:rsidR="008C5CFA" w:rsidRPr="0024468B" w:rsidRDefault="008C5CFA" w:rsidP="00300A01">
            <w:pPr>
              <w:spacing w:before="0" w:after="0"/>
              <w:jc w:val="right"/>
              <w:rPr>
                <w:sz w:val="16"/>
                <w:szCs w:val="16"/>
                <w:lang w:val="fr-BE"/>
              </w:rPr>
            </w:pPr>
          </w:p>
        </w:tc>
        <w:tc>
          <w:tcPr>
            <w:tcW w:w="0" w:type="auto"/>
          </w:tcPr>
          <w:p w14:paraId="152C56C5" w14:textId="77777777" w:rsidR="008C5CFA" w:rsidRPr="0024468B" w:rsidRDefault="00E82A60" w:rsidP="00300A01">
            <w:pPr>
              <w:spacing w:before="0" w:after="0"/>
              <w:jc w:val="right"/>
              <w:rPr>
                <w:sz w:val="16"/>
                <w:szCs w:val="16"/>
                <w:lang w:val="fr-BE"/>
              </w:rPr>
            </w:pPr>
            <w:r w:rsidRPr="0024468B">
              <w:rPr>
                <w:noProof/>
                <w:sz w:val="16"/>
                <w:szCs w:val="16"/>
                <w:lang w:val="fr-BE"/>
              </w:rPr>
              <w:t>364 119,00</w:t>
            </w:r>
          </w:p>
        </w:tc>
        <w:tc>
          <w:tcPr>
            <w:tcW w:w="0" w:type="auto"/>
          </w:tcPr>
          <w:p w14:paraId="610974CB" w14:textId="77777777" w:rsidR="008C5CFA" w:rsidRPr="0024468B" w:rsidRDefault="008C5CFA" w:rsidP="00300A01">
            <w:pPr>
              <w:spacing w:before="0" w:after="0"/>
              <w:jc w:val="right"/>
              <w:rPr>
                <w:sz w:val="16"/>
                <w:szCs w:val="16"/>
                <w:lang w:val="fr-BE"/>
              </w:rPr>
            </w:pPr>
          </w:p>
        </w:tc>
      </w:tr>
    </w:tbl>
    <w:p w14:paraId="1F1ABACB"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10780"/>
        <w:gridCol w:w="1680"/>
        <w:gridCol w:w="2022"/>
      </w:tblGrid>
      <w:tr w:rsidR="006B2EC1" w14:paraId="381D129E" w14:textId="77777777" w:rsidTr="0047688D">
        <w:tc>
          <w:tcPr>
            <w:tcW w:w="0" w:type="auto"/>
            <w:shd w:val="clear" w:color="auto" w:fill="auto"/>
          </w:tcPr>
          <w:p w14:paraId="5F7CC0BB" w14:textId="77777777" w:rsidR="008C5CFA" w:rsidRPr="0024468B" w:rsidRDefault="00E82A60" w:rsidP="00300A01">
            <w:pPr>
              <w:spacing w:before="0" w:after="0"/>
              <w:rPr>
                <w:sz w:val="16"/>
                <w:szCs w:val="16"/>
                <w:lang w:val="fr-BE"/>
              </w:rPr>
            </w:pPr>
            <w:r w:rsidRPr="0024468B">
              <w:rPr>
                <w:noProof/>
                <w:sz w:val="16"/>
                <w:szCs w:val="16"/>
                <w:lang w:val="fr-BE"/>
              </w:rPr>
              <w:t>ID</w:t>
            </w:r>
          </w:p>
        </w:tc>
        <w:tc>
          <w:tcPr>
            <w:tcW w:w="0" w:type="auto"/>
            <w:shd w:val="clear" w:color="auto" w:fill="auto"/>
          </w:tcPr>
          <w:p w14:paraId="4FFAAE9C" w14:textId="77777777" w:rsidR="008C5CFA" w:rsidRPr="0024468B" w:rsidRDefault="00E82A60" w:rsidP="00300A01">
            <w:pPr>
              <w:spacing w:before="0" w:after="0"/>
              <w:rPr>
                <w:sz w:val="16"/>
                <w:szCs w:val="16"/>
                <w:lang w:val="fr-BE"/>
              </w:rPr>
            </w:pPr>
            <w:r w:rsidRPr="0024468B">
              <w:rPr>
                <w:noProof/>
                <w:sz w:val="16"/>
                <w:szCs w:val="16"/>
                <w:lang w:val="fr-BE"/>
              </w:rPr>
              <w:t>Wskaźnik</w:t>
            </w:r>
          </w:p>
        </w:tc>
        <w:tc>
          <w:tcPr>
            <w:tcW w:w="0" w:type="auto"/>
            <w:shd w:val="clear" w:color="auto" w:fill="auto"/>
          </w:tcPr>
          <w:p w14:paraId="5F0966FE" w14:textId="77777777" w:rsidR="008C5CFA" w:rsidRPr="0024468B" w:rsidRDefault="00E82A60" w:rsidP="00300A01">
            <w:pPr>
              <w:spacing w:before="0" w:after="0"/>
              <w:jc w:val="center"/>
              <w:rPr>
                <w:sz w:val="16"/>
                <w:szCs w:val="16"/>
                <w:lang w:val="fr-BE"/>
              </w:rPr>
            </w:pPr>
            <w:r>
              <w:rPr>
                <w:sz w:val="16"/>
                <w:szCs w:val="16"/>
                <w:lang w:val="fr-BE"/>
              </w:rPr>
              <w:t xml:space="preserve">2014 </w:t>
            </w:r>
            <w:r>
              <w:rPr>
                <w:noProof/>
                <w:sz w:val="16"/>
                <w:szCs w:val="16"/>
                <w:lang w:val="fr-BE"/>
              </w:rPr>
              <w:t>Ogółem</w:t>
            </w:r>
          </w:p>
        </w:tc>
        <w:tc>
          <w:tcPr>
            <w:tcW w:w="0" w:type="auto"/>
            <w:shd w:val="clear" w:color="auto" w:fill="auto"/>
          </w:tcPr>
          <w:p w14:paraId="06C113B1" w14:textId="77777777" w:rsidR="008C5CFA" w:rsidRPr="0024468B" w:rsidRDefault="00E82A60" w:rsidP="00300A01">
            <w:pPr>
              <w:spacing w:before="0" w:after="0"/>
              <w:jc w:val="center"/>
              <w:rPr>
                <w:sz w:val="16"/>
                <w:szCs w:val="16"/>
                <w:lang w:val="fr-BE"/>
              </w:rPr>
            </w:pPr>
            <w:r>
              <w:rPr>
                <w:sz w:val="16"/>
                <w:szCs w:val="16"/>
                <w:lang w:val="fr-BE"/>
              </w:rPr>
              <w:t xml:space="preserve">2014 </w:t>
            </w:r>
            <w:r w:rsidRPr="0024468B">
              <w:rPr>
                <w:noProof/>
                <w:sz w:val="16"/>
                <w:szCs w:val="16"/>
                <w:lang w:val="fr-BE"/>
              </w:rPr>
              <w:t>Jakościowe</w:t>
            </w:r>
          </w:p>
        </w:tc>
      </w:tr>
      <w:tr w:rsidR="006B2EC1" w14:paraId="0F280BEC" w14:textId="77777777" w:rsidTr="0047688D">
        <w:tc>
          <w:tcPr>
            <w:tcW w:w="0" w:type="auto"/>
            <w:shd w:val="clear" w:color="auto" w:fill="auto"/>
          </w:tcPr>
          <w:p w14:paraId="4E5FFC68" w14:textId="77777777" w:rsidR="008C5CFA" w:rsidRPr="0024468B" w:rsidRDefault="00E82A60" w:rsidP="00300A01">
            <w:pPr>
              <w:spacing w:before="0" w:after="0"/>
              <w:rPr>
                <w:sz w:val="16"/>
                <w:szCs w:val="16"/>
                <w:lang w:val="fr-BE"/>
              </w:rPr>
            </w:pPr>
            <w:r w:rsidRPr="0024468B">
              <w:rPr>
                <w:noProof/>
                <w:sz w:val="16"/>
                <w:szCs w:val="16"/>
                <w:lang w:val="fr-BE"/>
              </w:rPr>
              <w:t>050</w:t>
            </w:r>
          </w:p>
        </w:tc>
        <w:tc>
          <w:tcPr>
            <w:tcW w:w="0" w:type="auto"/>
            <w:shd w:val="clear" w:color="auto" w:fill="auto"/>
          </w:tcPr>
          <w:p w14:paraId="536306C9" w14:textId="77777777" w:rsidR="008C5CFA" w:rsidRPr="0024468B" w:rsidRDefault="00E82A60" w:rsidP="00300A01">
            <w:pPr>
              <w:spacing w:before="0" w:after="0"/>
              <w:rPr>
                <w:sz w:val="16"/>
                <w:szCs w:val="16"/>
                <w:lang w:val="fr-BE"/>
              </w:rPr>
            </w:pPr>
            <w:r w:rsidRPr="0024468B">
              <w:rPr>
                <w:noProof/>
                <w:sz w:val="16"/>
                <w:szCs w:val="16"/>
                <w:lang w:val="fr-BE"/>
              </w:rPr>
              <w:t>Sprzedaż energii cieplnej w ciągu roku w budynkach użyteczności w obszarze wchodzącym w skład KOF</w:t>
            </w:r>
          </w:p>
        </w:tc>
        <w:tc>
          <w:tcPr>
            <w:tcW w:w="0" w:type="auto"/>
            <w:shd w:val="clear" w:color="auto" w:fill="auto"/>
          </w:tcPr>
          <w:p w14:paraId="1908212B" w14:textId="77777777" w:rsidR="008C5CFA" w:rsidRPr="0024468B" w:rsidRDefault="00E82A60" w:rsidP="00300A01">
            <w:pPr>
              <w:spacing w:before="0" w:after="0"/>
              <w:jc w:val="right"/>
              <w:rPr>
                <w:sz w:val="16"/>
                <w:szCs w:val="16"/>
                <w:lang w:val="fr-BE"/>
              </w:rPr>
            </w:pPr>
            <w:r w:rsidRPr="0024468B">
              <w:rPr>
                <w:noProof/>
                <w:sz w:val="16"/>
                <w:szCs w:val="16"/>
                <w:lang w:val="fr-BE"/>
              </w:rPr>
              <w:t>377 868,00</w:t>
            </w:r>
          </w:p>
        </w:tc>
        <w:tc>
          <w:tcPr>
            <w:tcW w:w="0" w:type="auto"/>
            <w:shd w:val="clear" w:color="auto" w:fill="auto"/>
          </w:tcPr>
          <w:p w14:paraId="67ED216C" w14:textId="77777777" w:rsidR="008C5CFA" w:rsidRPr="0024468B" w:rsidRDefault="008C5CFA" w:rsidP="00300A01">
            <w:pPr>
              <w:spacing w:before="0" w:after="0"/>
              <w:jc w:val="right"/>
              <w:rPr>
                <w:sz w:val="16"/>
                <w:szCs w:val="16"/>
                <w:lang w:val="fr-BE"/>
              </w:rPr>
            </w:pPr>
          </w:p>
        </w:tc>
      </w:tr>
    </w:tbl>
    <w:p w14:paraId="0E5E0E7D" w14:textId="77777777" w:rsidR="008C5CFA" w:rsidRDefault="008C5CFA" w:rsidP="00300A01">
      <w:pPr>
        <w:spacing w:before="0" w:after="0"/>
        <w:rPr>
          <w:lang w:val="fr-BE"/>
        </w:rPr>
      </w:pPr>
    </w:p>
    <w:p w14:paraId="495E9C43" w14:textId="77777777" w:rsidR="008C5CFA" w:rsidRDefault="00E82A60" w:rsidP="00300A01">
      <w:pPr>
        <w:spacing w:before="0" w:after="0"/>
        <w:rPr>
          <w:lang w:val="fr-BE"/>
        </w:rPr>
      </w:pPr>
      <w:r>
        <w:rPr>
          <w:lang w:val="fr-BE"/>
        </w:rPr>
        <w:br w:type="page"/>
      </w:r>
    </w:p>
    <w:p w14:paraId="4D9DA1C9" w14:textId="77777777" w:rsidR="008C5CFA" w:rsidRPr="00B27C43" w:rsidRDefault="008C5CFA" w:rsidP="00300A01">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4"/>
        <w:gridCol w:w="13420"/>
      </w:tblGrid>
      <w:tr w:rsidR="006B2EC1" w14:paraId="77DC9C25" w14:textId="77777777" w:rsidTr="0047688D">
        <w:tc>
          <w:tcPr>
            <w:tcW w:w="0" w:type="auto"/>
            <w:shd w:val="clear" w:color="auto" w:fill="auto"/>
          </w:tcPr>
          <w:p w14:paraId="335487FE" w14:textId="77777777" w:rsidR="008C5CFA" w:rsidRPr="002124FC" w:rsidRDefault="00E82A60" w:rsidP="00300A01">
            <w:pPr>
              <w:spacing w:before="0" w:after="0"/>
              <w:rPr>
                <w:sz w:val="20"/>
                <w:szCs w:val="20"/>
                <w:lang w:val="fr-BE"/>
              </w:rPr>
            </w:pPr>
            <w:r>
              <w:rPr>
                <w:lang w:val="fr-BE"/>
              </w:rPr>
              <w:br w:type="page"/>
            </w:r>
            <w:r>
              <w:rPr>
                <w:lang w:val="fr-BE"/>
              </w:rPr>
              <w:br w:type="page"/>
            </w:r>
            <w:r w:rsidRPr="002124FC">
              <w:rPr>
                <w:noProof/>
                <w:sz w:val="20"/>
                <w:szCs w:val="20"/>
                <w:lang w:val="fr-BE"/>
              </w:rPr>
              <w:t>Oś priorytetowa</w:t>
            </w:r>
          </w:p>
        </w:tc>
        <w:tc>
          <w:tcPr>
            <w:tcW w:w="0" w:type="auto"/>
            <w:shd w:val="clear" w:color="auto" w:fill="auto"/>
          </w:tcPr>
          <w:p w14:paraId="4CF1EB4C" w14:textId="77777777" w:rsidR="008C5CFA" w:rsidRPr="002124FC" w:rsidRDefault="00E82A60" w:rsidP="00300A01">
            <w:pPr>
              <w:spacing w:before="0" w:after="0"/>
              <w:rPr>
                <w:sz w:val="20"/>
                <w:szCs w:val="20"/>
                <w:lang w:val="fr-BE"/>
              </w:rPr>
            </w:pPr>
            <w:r w:rsidRPr="002124FC">
              <w:rPr>
                <w:noProof/>
                <w:sz w:val="20"/>
                <w:szCs w:val="20"/>
                <w:lang w:val="fr-BE"/>
              </w:rPr>
              <w:t>6</w:t>
            </w:r>
            <w:r w:rsidRPr="002124FC">
              <w:rPr>
                <w:sz w:val="20"/>
                <w:szCs w:val="20"/>
                <w:lang w:val="fr-BE"/>
              </w:rPr>
              <w:t xml:space="preserve"> - </w:t>
            </w:r>
            <w:r w:rsidRPr="002124FC">
              <w:rPr>
                <w:noProof/>
                <w:sz w:val="20"/>
                <w:szCs w:val="20"/>
                <w:lang w:val="fr-BE"/>
              </w:rPr>
              <w:t>Rozwój miast</w:t>
            </w:r>
          </w:p>
        </w:tc>
      </w:tr>
      <w:tr w:rsidR="006B2EC1" w14:paraId="5153A0C7" w14:textId="77777777" w:rsidTr="0047688D">
        <w:tc>
          <w:tcPr>
            <w:tcW w:w="0" w:type="auto"/>
            <w:shd w:val="clear" w:color="auto" w:fill="auto"/>
          </w:tcPr>
          <w:p w14:paraId="655F39F7" w14:textId="77777777" w:rsidR="008C5CFA" w:rsidRPr="002124FC" w:rsidRDefault="00E82A60"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14:paraId="113FA2C2" w14:textId="77777777" w:rsidR="008C5CFA" w:rsidRPr="002124FC" w:rsidRDefault="00E82A60" w:rsidP="00300A01">
            <w:pPr>
              <w:spacing w:before="0" w:after="0"/>
              <w:rPr>
                <w:sz w:val="20"/>
                <w:szCs w:val="20"/>
                <w:lang w:val="fr-BE"/>
              </w:rPr>
            </w:pPr>
            <w:r w:rsidRPr="002124FC">
              <w:rPr>
                <w:noProof/>
                <w:sz w:val="20"/>
                <w:szCs w:val="20"/>
                <w:lang w:val="fr-BE"/>
              </w:rPr>
              <w:t>4e</w:t>
            </w:r>
            <w:r w:rsidRPr="002124FC">
              <w:rPr>
                <w:sz w:val="20"/>
                <w:szCs w:val="20"/>
                <w:lang w:val="fr-BE"/>
              </w:rPr>
              <w:t xml:space="preserve"> - </w:t>
            </w:r>
            <w:r w:rsidRPr="002124FC">
              <w:rPr>
                <w:noProof/>
                <w:sz w:val="20"/>
                <w:szCs w:val="20"/>
                <w:lang w:val="fr-BE"/>
              </w:rPr>
              <w:t>Promowanie strategii niskoemisyjnych dla wszystkich rodzajów terytoriów, w szczególności dla obszarów miejskich, w tym wspieranie zrównoważonej multimodalnej mobilności miejskiej i działań adaptacyjnych mających oddziaływanie łagodzące na zmiany klimatu</w:t>
            </w:r>
          </w:p>
        </w:tc>
      </w:tr>
    </w:tbl>
    <w:p w14:paraId="104BC3E5" w14:textId="77777777" w:rsidR="008C5CFA" w:rsidRDefault="008C5CFA" w:rsidP="00300A01">
      <w:pPr>
        <w:spacing w:before="0" w:after="0"/>
        <w:rPr>
          <w:lang w:val="fr-BE"/>
        </w:rPr>
      </w:pPr>
    </w:p>
    <w:p w14:paraId="45A6D440" w14:textId="77777777" w:rsidR="008C5CFA" w:rsidRDefault="00E82A60" w:rsidP="00300A01">
      <w:pPr>
        <w:pStyle w:val="Nagwek2"/>
        <w:spacing w:before="0" w:after="0"/>
        <w:rPr>
          <w:lang w:val="fr-BE"/>
        </w:rPr>
      </w:pPr>
      <w:bookmarkStart w:id="38" w:name="_Toc46391722"/>
      <w:r>
        <w:rPr>
          <w:noProof/>
          <w:lang w:val="fr-BE"/>
        </w:rPr>
        <w:t>Tabela 3A</w:t>
      </w:r>
      <w:r>
        <w:rPr>
          <w:lang w:val="fr-BE"/>
        </w:rPr>
        <w:t xml:space="preserve">: </w:t>
      </w:r>
      <w:r>
        <w:rPr>
          <w:noProof/>
          <w:lang w:val="fr-BE"/>
        </w:rPr>
        <w:t>Wspólne i specyficzne dla danego programu wskaźniki produktu dla EFRR i Funduszu Spójności (wg osi priorytetowej, priorytetu inwestycyjnego, w podziale na kategorię regionu dla celów EFRR)</w:t>
      </w:r>
      <w:r w:rsidR="009C5874">
        <w:rPr>
          <w:lang w:val="fr-BE"/>
        </w:rPr>
        <w:t xml:space="preserve"> - </w:t>
      </w:r>
      <w:r w:rsidR="00F022AC" w:rsidRPr="002124FC">
        <w:rPr>
          <w:noProof/>
          <w:sz w:val="20"/>
          <w:szCs w:val="20"/>
          <w:lang w:val="fr-BE"/>
        </w:rPr>
        <w:t>6</w:t>
      </w:r>
      <w:r w:rsidR="00F022AC">
        <w:rPr>
          <w:sz w:val="20"/>
          <w:szCs w:val="20"/>
          <w:lang w:val="fr-BE"/>
        </w:rPr>
        <w:t xml:space="preserve"> / </w:t>
      </w:r>
      <w:r w:rsidR="00F022AC" w:rsidRPr="002124FC">
        <w:rPr>
          <w:noProof/>
          <w:sz w:val="20"/>
          <w:szCs w:val="20"/>
          <w:lang w:val="fr-BE"/>
        </w:rPr>
        <w:t>4e</w:t>
      </w:r>
      <w:bookmarkEnd w:id="38"/>
    </w:p>
    <w:p w14:paraId="2C296D99"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01"/>
        <w:gridCol w:w="497"/>
        <w:gridCol w:w="1978"/>
        <w:gridCol w:w="1147"/>
        <w:gridCol w:w="870"/>
        <w:gridCol w:w="950"/>
        <w:gridCol w:w="1038"/>
        <w:gridCol w:w="952"/>
        <w:gridCol w:w="786"/>
        <w:gridCol w:w="879"/>
        <w:gridCol w:w="702"/>
        <w:gridCol w:w="5084"/>
      </w:tblGrid>
      <w:tr w:rsidR="006B2EC1" w14:paraId="1B1D583B" w14:textId="77777777" w:rsidTr="0047688D">
        <w:trPr>
          <w:tblHeader/>
        </w:trPr>
        <w:tc>
          <w:tcPr>
            <w:tcW w:w="0" w:type="auto"/>
          </w:tcPr>
          <w:p w14:paraId="4C5E51F6" w14:textId="77777777" w:rsidR="008C5CFA" w:rsidRPr="009143B4" w:rsidRDefault="00E82A60" w:rsidP="00300A01">
            <w:pPr>
              <w:spacing w:before="0" w:after="0"/>
              <w:rPr>
                <w:b/>
                <w:sz w:val="16"/>
                <w:szCs w:val="16"/>
                <w:lang w:val="fr-BE"/>
              </w:rPr>
            </w:pPr>
            <w:r w:rsidRPr="009143B4">
              <w:rPr>
                <w:b/>
                <w:sz w:val="16"/>
                <w:szCs w:val="16"/>
                <w:lang w:val="fr-BE"/>
              </w:rPr>
              <w:t>(1)</w:t>
            </w:r>
          </w:p>
        </w:tc>
        <w:tc>
          <w:tcPr>
            <w:tcW w:w="0" w:type="auto"/>
            <w:shd w:val="clear" w:color="auto" w:fill="auto"/>
          </w:tcPr>
          <w:p w14:paraId="597B19DD" w14:textId="77777777" w:rsidR="008C5CFA" w:rsidRPr="009143B4" w:rsidRDefault="00E82A60" w:rsidP="00300A01">
            <w:pPr>
              <w:spacing w:before="0" w:after="0"/>
              <w:rPr>
                <w:b/>
                <w:sz w:val="16"/>
                <w:szCs w:val="16"/>
                <w:lang w:val="fr-BE"/>
              </w:rPr>
            </w:pPr>
            <w:r w:rsidRPr="009143B4">
              <w:rPr>
                <w:b/>
                <w:noProof/>
                <w:sz w:val="16"/>
                <w:szCs w:val="16"/>
                <w:lang w:val="fr-BE"/>
              </w:rPr>
              <w:t>ID</w:t>
            </w:r>
          </w:p>
        </w:tc>
        <w:tc>
          <w:tcPr>
            <w:tcW w:w="0" w:type="auto"/>
            <w:shd w:val="clear" w:color="auto" w:fill="auto"/>
          </w:tcPr>
          <w:p w14:paraId="629C28C5" w14:textId="77777777" w:rsidR="008C5CFA" w:rsidRPr="009143B4" w:rsidRDefault="00E82A60" w:rsidP="00300A01">
            <w:pPr>
              <w:spacing w:before="0" w:after="0"/>
              <w:rPr>
                <w:b/>
                <w:sz w:val="16"/>
                <w:szCs w:val="16"/>
                <w:lang w:val="fr-BE"/>
              </w:rPr>
            </w:pPr>
            <w:r w:rsidRPr="009143B4">
              <w:rPr>
                <w:b/>
                <w:noProof/>
                <w:sz w:val="16"/>
                <w:szCs w:val="16"/>
                <w:lang w:val="fr-BE"/>
              </w:rPr>
              <w:t>Wskaźnik</w:t>
            </w:r>
          </w:p>
        </w:tc>
        <w:tc>
          <w:tcPr>
            <w:tcW w:w="0" w:type="auto"/>
            <w:shd w:val="clear" w:color="auto" w:fill="auto"/>
          </w:tcPr>
          <w:p w14:paraId="1BD50694" w14:textId="77777777" w:rsidR="008C5CFA" w:rsidRPr="009143B4" w:rsidRDefault="00E82A60" w:rsidP="00300A01">
            <w:pPr>
              <w:spacing w:before="0" w:after="0"/>
              <w:rPr>
                <w:b/>
                <w:sz w:val="16"/>
                <w:szCs w:val="16"/>
                <w:lang w:val="fr-BE"/>
              </w:rPr>
            </w:pPr>
            <w:r w:rsidRPr="009143B4">
              <w:rPr>
                <w:b/>
                <w:noProof/>
                <w:sz w:val="16"/>
                <w:szCs w:val="16"/>
                <w:lang w:val="fr-BE"/>
              </w:rPr>
              <w:t>Jednostka miary</w:t>
            </w:r>
          </w:p>
        </w:tc>
        <w:tc>
          <w:tcPr>
            <w:tcW w:w="0" w:type="auto"/>
            <w:shd w:val="clear" w:color="auto" w:fill="auto"/>
          </w:tcPr>
          <w:p w14:paraId="566A1CA7" w14:textId="77777777" w:rsidR="008C5CFA" w:rsidRPr="009143B4" w:rsidRDefault="00E82A60" w:rsidP="00300A01">
            <w:pPr>
              <w:spacing w:before="0" w:after="0"/>
              <w:rPr>
                <w:b/>
                <w:sz w:val="16"/>
                <w:szCs w:val="16"/>
                <w:lang w:val="fr-BE"/>
              </w:rPr>
            </w:pPr>
            <w:r w:rsidRPr="009143B4">
              <w:rPr>
                <w:b/>
                <w:noProof/>
                <w:sz w:val="16"/>
                <w:szCs w:val="16"/>
                <w:lang w:val="fr-BE"/>
              </w:rPr>
              <w:t>Kategoria regionu</w:t>
            </w:r>
          </w:p>
        </w:tc>
        <w:tc>
          <w:tcPr>
            <w:tcW w:w="0" w:type="auto"/>
            <w:shd w:val="clear" w:color="auto" w:fill="auto"/>
          </w:tcPr>
          <w:p w14:paraId="3FDA180C" w14:textId="77777777" w:rsidR="008C5CFA" w:rsidRPr="009143B4" w:rsidRDefault="00E82A60" w:rsidP="00300A01">
            <w:pPr>
              <w:spacing w:before="0" w:after="0"/>
              <w:jc w:val="center"/>
              <w:rPr>
                <w:b/>
                <w:sz w:val="16"/>
                <w:szCs w:val="16"/>
                <w:lang w:val="fr-BE"/>
              </w:rPr>
            </w:pPr>
            <w:r w:rsidRPr="009143B4">
              <w:rPr>
                <w:b/>
                <w:noProof/>
                <w:sz w:val="16"/>
                <w:szCs w:val="16"/>
                <w:lang w:val="fr-BE"/>
              </w:rPr>
              <w:t>Wartość docelowa (2023) ogółem</w:t>
            </w:r>
          </w:p>
        </w:tc>
        <w:tc>
          <w:tcPr>
            <w:tcW w:w="0" w:type="auto"/>
            <w:shd w:val="clear" w:color="auto" w:fill="auto"/>
          </w:tcPr>
          <w:p w14:paraId="2CD954FC" w14:textId="77777777" w:rsidR="008C5CFA" w:rsidRPr="009143B4" w:rsidRDefault="00E82A60" w:rsidP="00300A01">
            <w:pPr>
              <w:spacing w:before="0" w:after="0"/>
              <w:jc w:val="center"/>
              <w:rPr>
                <w:b/>
                <w:sz w:val="16"/>
                <w:szCs w:val="16"/>
                <w:lang w:val="fr-BE"/>
              </w:rPr>
            </w:pPr>
            <w:r w:rsidRPr="009143B4">
              <w:rPr>
                <w:b/>
                <w:noProof/>
                <w:sz w:val="16"/>
                <w:szCs w:val="16"/>
                <w:lang w:val="fr-BE"/>
              </w:rPr>
              <w:t>Wartość docelowa (2023) mężczyźni</w:t>
            </w:r>
          </w:p>
        </w:tc>
        <w:tc>
          <w:tcPr>
            <w:tcW w:w="0" w:type="auto"/>
          </w:tcPr>
          <w:p w14:paraId="289E0C1C" w14:textId="77777777" w:rsidR="008C5CFA" w:rsidRPr="009143B4" w:rsidRDefault="00E82A60" w:rsidP="00300A01">
            <w:pPr>
              <w:spacing w:before="0" w:after="0"/>
              <w:jc w:val="center"/>
              <w:rPr>
                <w:b/>
                <w:sz w:val="16"/>
                <w:szCs w:val="16"/>
                <w:lang w:val="fr-BE"/>
              </w:rPr>
            </w:pPr>
            <w:r w:rsidRPr="009143B4">
              <w:rPr>
                <w:b/>
                <w:noProof/>
                <w:sz w:val="16"/>
                <w:szCs w:val="16"/>
                <w:lang w:val="fr-BE"/>
              </w:rPr>
              <w:t>Wartość docelowa (2023) kobiety</w:t>
            </w:r>
          </w:p>
        </w:tc>
        <w:tc>
          <w:tcPr>
            <w:tcW w:w="0" w:type="auto"/>
            <w:shd w:val="clear" w:color="auto" w:fill="auto"/>
          </w:tcPr>
          <w:p w14:paraId="5243495D" w14:textId="77777777" w:rsidR="008C5CFA" w:rsidRPr="009143B4" w:rsidRDefault="00E82A60" w:rsidP="00300A01">
            <w:pPr>
              <w:spacing w:before="0" w:after="0"/>
              <w:jc w:val="center"/>
              <w:rPr>
                <w:b/>
                <w:sz w:val="16"/>
                <w:szCs w:val="16"/>
                <w:lang w:val="fr-BE"/>
              </w:rPr>
            </w:pPr>
            <w:r>
              <w:rPr>
                <w:b/>
                <w:sz w:val="16"/>
                <w:szCs w:val="16"/>
                <w:lang w:val="fr-BE"/>
              </w:rPr>
              <w:t xml:space="preserve">2019 </w:t>
            </w:r>
            <w:r w:rsidRPr="009143B4">
              <w:rPr>
                <w:b/>
                <w:noProof/>
                <w:sz w:val="16"/>
                <w:szCs w:val="16"/>
                <w:lang w:val="fr-BE"/>
              </w:rPr>
              <w:t>Ogółem</w:t>
            </w:r>
          </w:p>
        </w:tc>
        <w:tc>
          <w:tcPr>
            <w:tcW w:w="0" w:type="auto"/>
            <w:shd w:val="clear" w:color="auto" w:fill="auto"/>
          </w:tcPr>
          <w:p w14:paraId="7A6261A7" w14:textId="77777777" w:rsidR="008C5CFA" w:rsidRPr="009143B4" w:rsidRDefault="00E82A60" w:rsidP="00300A01">
            <w:pPr>
              <w:spacing w:before="0" w:after="0"/>
              <w:jc w:val="center"/>
              <w:rPr>
                <w:b/>
                <w:sz w:val="16"/>
                <w:szCs w:val="16"/>
                <w:lang w:val="fr-BE"/>
              </w:rPr>
            </w:pPr>
            <w:r>
              <w:rPr>
                <w:b/>
                <w:sz w:val="16"/>
                <w:szCs w:val="16"/>
                <w:lang w:val="fr-BE"/>
              </w:rPr>
              <w:t xml:space="preserve">2019 </w:t>
            </w:r>
            <w:r w:rsidRPr="009143B4">
              <w:rPr>
                <w:b/>
                <w:noProof/>
                <w:sz w:val="16"/>
                <w:szCs w:val="16"/>
                <w:lang w:val="fr-BE"/>
              </w:rPr>
              <w:t>Mężczyźni</w:t>
            </w:r>
          </w:p>
        </w:tc>
        <w:tc>
          <w:tcPr>
            <w:tcW w:w="0" w:type="auto"/>
            <w:shd w:val="clear" w:color="auto" w:fill="auto"/>
          </w:tcPr>
          <w:p w14:paraId="2B4940F3" w14:textId="77777777" w:rsidR="008C5CFA" w:rsidRPr="009143B4" w:rsidRDefault="00E82A60" w:rsidP="00300A01">
            <w:pPr>
              <w:spacing w:before="0" w:after="0"/>
              <w:jc w:val="center"/>
              <w:rPr>
                <w:b/>
                <w:sz w:val="16"/>
                <w:szCs w:val="16"/>
                <w:lang w:val="fr-BE"/>
              </w:rPr>
            </w:pPr>
            <w:r>
              <w:rPr>
                <w:b/>
                <w:sz w:val="16"/>
                <w:szCs w:val="16"/>
                <w:lang w:val="fr-BE"/>
              </w:rPr>
              <w:t xml:space="preserve">2019 </w:t>
            </w:r>
            <w:r w:rsidRPr="009143B4">
              <w:rPr>
                <w:b/>
                <w:noProof/>
                <w:sz w:val="16"/>
                <w:szCs w:val="16"/>
                <w:lang w:val="fr-BE"/>
              </w:rPr>
              <w:t>Kobiety</w:t>
            </w:r>
          </w:p>
        </w:tc>
        <w:tc>
          <w:tcPr>
            <w:tcW w:w="0" w:type="auto"/>
            <w:shd w:val="clear" w:color="auto" w:fill="auto"/>
          </w:tcPr>
          <w:p w14:paraId="344D78BA" w14:textId="77777777" w:rsidR="008C5CFA" w:rsidRPr="009143B4" w:rsidRDefault="00E82A60" w:rsidP="00300A01">
            <w:pPr>
              <w:spacing w:before="0" w:after="0"/>
              <w:jc w:val="center"/>
              <w:rPr>
                <w:b/>
                <w:sz w:val="16"/>
                <w:szCs w:val="16"/>
                <w:lang w:val="fr-BE"/>
              </w:rPr>
            </w:pPr>
            <w:r w:rsidRPr="009143B4">
              <w:rPr>
                <w:b/>
                <w:noProof/>
                <w:sz w:val="16"/>
                <w:szCs w:val="16"/>
                <w:lang w:val="fr-BE"/>
              </w:rPr>
              <w:t>Uwagi</w:t>
            </w:r>
          </w:p>
        </w:tc>
      </w:tr>
      <w:tr w:rsidR="006B2EC1" w14:paraId="23098C1B" w14:textId="77777777" w:rsidTr="0047688D">
        <w:tc>
          <w:tcPr>
            <w:tcW w:w="0" w:type="auto"/>
          </w:tcPr>
          <w:p w14:paraId="4FCE8F0C" w14:textId="77777777" w:rsidR="008C5CFA" w:rsidRPr="0024468B" w:rsidRDefault="00E82A60" w:rsidP="00300A01">
            <w:pPr>
              <w:spacing w:before="0" w:after="0"/>
              <w:rPr>
                <w:sz w:val="16"/>
                <w:szCs w:val="16"/>
                <w:lang w:val="fr-BE"/>
              </w:rPr>
            </w:pPr>
            <w:r>
              <w:rPr>
                <w:noProof/>
                <w:sz w:val="16"/>
                <w:szCs w:val="16"/>
                <w:lang w:val="fr-BE"/>
              </w:rPr>
              <w:t>F</w:t>
            </w:r>
          </w:p>
        </w:tc>
        <w:tc>
          <w:tcPr>
            <w:tcW w:w="0" w:type="auto"/>
            <w:shd w:val="clear" w:color="auto" w:fill="auto"/>
          </w:tcPr>
          <w:p w14:paraId="4252A15E" w14:textId="77777777" w:rsidR="008C5CFA" w:rsidRPr="0024468B" w:rsidRDefault="00E82A60" w:rsidP="00300A01">
            <w:pPr>
              <w:spacing w:before="0" w:after="0"/>
              <w:rPr>
                <w:sz w:val="16"/>
                <w:szCs w:val="16"/>
                <w:lang w:val="fr-BE"/>
              </w:rPr>
            </w:pPr>
            <w:r w:rsidRPr="0024468B">
              <w:rPr>
                <w:noProof/>
                <w:sz w:val="16"/>
                <w:szCs w:val="16"/>
                <w:lang w:val="fr-BE"/>
              </w:rPr>
              <w:t>CO34</w:t>
            </w:r>
          </w:p>
        </w:tc>
        <w:tc>
          <w:tcPr>
            <w:tcW w:w="0" w:type="auto"/>
            <w:shd w:val="clear" w:color="auto" w:fill="auto"/>
          </w:tcPr>
          <w:p w14:paraId="77055D1A" w14:textId="77777777" w:rsidR="008C5CFA" w:rsidRPr="0024468B" w:rsidRDefault="00E82A60" w:rsidP="00300A01">
            <w:pPr>
              <w:spacing w:before="0" w:after="0"/>
              <w:rPr>
                <w:sz w:val="16"/>
                <w:szCs w:val="16"/>
                <w:lang w:val="fr-BE"/>
              </w:rPr>
            </w:pPr>
            <w:r w:rsidRPr="0024468B">
              <w:rPr>
                <w:noProof/>
                <w:sz w:val="16"/>
                <w:szCs w:val="16"/>
                <w:lang w:val="fr-BE"/>
              </w:rPr>
              <w:t>Redukcja emisji gazów cieplarnianych: szacowany roczny spadek emisji gazów cieplarnianych</w:t>
            </w:r>
          </w:p>
        </w:tc>
        <w:tc>
          <w:tcPr>
            <w:tcW w:w="0" w:type="auto"/>
            <w:shd w:val="clear" w:color="auto" w:fill="auto"/>
          </w:tcPr>
          <w:p w14:paraId="23D19300" w14:textId="77777777" w:rsidR="008C5CFA" w:rsidRPr="0024468B" w:rsidRDefault="00E82A60" w:rsidP="00300A01">
            <w:pPr>
              <w:spacing w:before="0" w:after="0"/>
              <w:rPr>
                <w:sz w:val="16"/>
                <w:szCs w:val="16"/>
                <w:lang w:val="fr-BE"/>
              </w:rPr>
            </w:pPr>
            <w:r>
              <w:rPr>
                <w:noProof/>
                <w:sz w:val="16"/>
                <w:szCs w:val="16"/>
                <w:lang w:val="fr-BE"/>
              </w:rPr>
              <w:t>Tony równoważnika CO2</w:t>
            </w:r>
          </w:p>
        </w:tc>
        <w:tc>
          <w:tcPr>
            <w:tcW w:w="0" w:type="auto"/>
            <w:shd w:val="clear" w:color="auto" w:fill="auto"/>
          </w:tcPr>
          <w:p w14:paraId="3A0137D9" w14:textId="77777777" w:rsidR="008C5CFA" w:rsidRPr="0024468B" w:rsidRDefault="00E82A60"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14:paraId="5BC8594C" w14:textId="77777777" w:rsidR="008C5CFA" w:rsidRPr="0024468B" w:rsidRDefault="00E82A60" w:rsidP="00300A01">
            <w:pPr>
              <w:spacing w:before="0" w:after="0"/>
              <w:jc w:val="right"/>
              <w:rPr>
                <w:sz w:val="16"/>
                <w:szCs w:val="16"/>
                <w:lang w:val="fr-BE"/>
              </w:rPr>
            </w:pPr>
            <w:r>
              <w:rPr>
                <w:noProof/>
                <w:sz w:val="16"/>
                <w:szCs w:val="16"/>
                <w:lang w:val="fr-BE"/>
              </w:rPr>
              <w:t>5 490,00</w:t>
            </w:r>
          </w:p>
        </w:tc>
        <w:tc>
          <w:tcPr>
            <w:tcW w:w="0" w:type="auto"/>
            <w:shd w:val="clear" w:color="auto" w:fill="auto"/>
          </w:tcPr>
          <w:p w14:paraId="30168DCE" w14:textId="77777777" w:rsidR="008C5CFA" w:rsidRPr="0024468B" w:rsidRDefault="008C5CFA" w:rsidP="00300A01">
            <w:pPr>
              <w:spacing w:before="0" w:after="0"/>
              <w:jc w:val="right"/>
              <w:rPr>
                <w:sz w:val="16"/>
                <w:szCs w:val="16"/>
                <w:lang w:val="fr-BE"/>
              </w:rPr>
            </w:pPr>
          </w:p>
        </w:tc>
        <w:tc>
          <w:tcPr>
            <w:tcW w:w="0" w:type="auto"/>
          </w:tcPr>
          <w:p w14:paraId="6C4ADF77" w14:textId="77777777" w:rsidR="008C5CFA" w:rsidRPr="0024468B" w:rsidRDefault="008C5CFA" w:rsidP="00300A01">
            <w:pPr>
              <w:spacing w:before="0" w:after="0"/>
              <w:jc w:val="right"/>
              <w:rPr>
                <w:sz w:val="16"/>
                <w:szCs w:val="16"/>
                <w:lang w:val="fr-BE"/>
              </w:rPr>
            </w:pPr>
          </w:p>
        </w:tc>
        <w:tc>
          <w:tcPr>
            <w:tcW w:w="0" w:type="auto"/>
            <w:shd w:val="clear" w:color="auto" w:fill="auto"/>
          </w:tcPr>
          <w:p w14:paraId="0F6BCAF3" w14:textId="77777777" w:rsidR="008C5CFA" w:rsidRPr="0024468B" w:rsidRDefault="00E82A60" w:rsidP="00300A01">
            <w:pPr>
              <w:spacing w:before="0" w:after="0"/>
              <w:jc w:val="right"/>
              <w:rPr>
                <w:sz w:val="16"/>
                <w:szCs w:val="16"/>
                <w:lang w:val="fr-BE"/>
              </w:rPr>
            </w:pPr>
            <w:r w:rsidRPr="0024468B">
              <w:rPr>
                <w:noProof/>
                <w:sz w:val="16"/>
                <w:szCs w:val="16"/>
                <w:lang w:val="fr-BE"/>
              </w:rPr>
              <w:t>1 162,10</w:t>
            </w:r>
          </w:p>
        </w:tc>
        <w:tc>
          <w:tcPr>
            <w:tcW w:w="0" w:type="auto"/>
            <w:shd w:val="clear" w:color="auto" w:fill="auto"/>
          </w:tcPr>
          <w:p w14:paraId="3555835A"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2C9CDA94"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187A332A" w14:textId="77777777" w:rsidR="008C5CFA" w:rsidRPr="0024468B" w:rsidRDefault="008C5CFA" w:rsidP="00300A01">
            <w:pPr>
              <w:spacing w:before="0" w:after="0"/>
              <w:rPr>
                <w:sz w:val="16"/>
                <w:szCs w:val="16"/>
                <w:lang w:val="fr-BE"/>
              </w:rPr>
            </w:pPr>
          </w:p>
        </w:tc>
      </w:tr>
      <w:tr w:rsidR="006B2EC1" w14:paraId="5B614A0B" w14:textId="77777777" w:rsidTr="0047688D">
        <w:tc>
          <w:tcPr>
            <w:tcW w:w="0" w:type="auto"/>
          </w:tcPr>
          <w:p w14:paraId="4050A3FA" w14:textId="77777777" w:rsidR="008C5CFA" w:rsidRPr="0024468B" w:rsidRDefault="00E82A60" w:rsidP="00300A01">
            <w:pPr>
              <w:spacing w:before="0" w:after="0"/>
              <w:rPr>
                <w:sz w:val="16"/>
                <w:szCs w:val="16"/>
                <w:lang w:val="fr-BE"/>
              </w:rPr>
            </w:pPr>
            <w:r>
              <w:rPr>
                <w:noProof/>
                <w:sz w:val="16"/>
                <w:szCs w:val="16"/>
                <w:lang w:val="fr-BE"/>
              </w:rPr>
              <w:t>S</w:t>
            </w:r>
          </w:p>
        </w:tc>
        <w:tc>
          <w:tcPr>
            <w:tcW w:w="0" w:type="auto"/>
            <w:shd w:val="clear" w:color="auto" w:fill="auto"/>
          </w:tcPr>
          <w:p w14:paraId="70AF8230" w14:textId="77777777" w:rsidR="008C5CFA" w:rsidRPr="0024468B" w:rsidRDefault="00E82A60" w:rsidP="00300A01">
            <w:pPr>
              <w:spacing w:before="0" w:after="0"/>
              <w:rPr>
                <w:sz w:val="16"/>
                <w:szCs w:val="16"/>
                <w:lang w:val="fr-BE"/>
              </w:rPr>
            </w:pPr>
            <w:r w:rsidRPr="0024468B">
              <w:rPr>
                <w:noProof/>
                <w:sz w:val="16"/>
                <w:szCs w:val="16"/>
                <w:lang w:val="fr-BE"/>
              </w:rPr>
              <w:t>CO34</w:t>
            </w:r>
          </w:p>
        </w:tc>
        <w:tc>
          <w:tcPr>
            <w:tcW w:w="0" w:type="auto"/>
            <w:shd w:val="clear" w:color="auto" w:fill="auto"/>
          </w:tcPr>
          <w:p w14:paraId="18225983" w14:textId="77777777" w:rsidR="008C5CFA" w:rsidRPr="0024468B" w:rsidRDefault="00E82A60" w:rsidP="00300A01">
            <w:pPr>
              <w:spacing w:before="0" w:after="0"/>
              <w:rPr>
                <w:sz w:val="16"/>
                <w:szCs w:val="16"/>
                <w:lang w:val="fr-BE"/>
              </w:rPr>
            </w:pPr>
            <w:r w:rsidRPr="0024468B">
              <w:rPr>
                <w:noProof/>
                <w:sz w:val="16"/>
                <w:szCs w:val="16"/>
                <w:lang w:val="fr-BE"/>
              </w:rPr>
              <w:t>Redukcja emisji gazów cieplarnianych: szacowany roczny spadek emisji gazów cieplarnianych</w:t>
            </w:r>
          </w:p>
        </w:tc>
        <w:tc>
          <w:tcPr>
            <w:tcW w:w="0" w:type="auto"/>
            <w:shd w:val="clear" w:color="auto" w:fill="auto"/>
          </w:tcPr>
          <w:p w14:paraId="78D0A39E" w14:textId="77777777" w:rsidR="008C5CFA" w:rsidRPr="0024468B" w:rsidRDefault="00E82A60" w:rsidP="00300A01">
            <w:pPr>
              <w:spacing w:before="0" w:after="0"/>
              <w:rPr>
                <w:sz w:val="16"/>
                <w:szCs w:val="16"/>
                <w:lang w:val="fr-BE"/>
              </w:rPr>
            </w:pPr>
            <w:r>
              <w:rPr>
                <w:noProof/>
                <w:sz w:val="16"/>
                <w:szCs w:val="16"/>
                <w:lang w:val="fr-BE"/>
              </w:rPr>
              <w:t>Tony równoważnika CO2</w:t>
            </w:r>
          </w:p>
        </w:tc>
        <w:tc>
          <w:tcPr>
            <w:tcW w:w="0" w:type="auto"/>
            <w:shd w:val="clear" w:color="auto" w:fill="auto"/>
          </w:tcPr>
          <w:p w14:paraId="7721EAF7" w14:textId="77777777" w:rsidR="008C5CFA" w:rsidRPr="0024468B" w:rsidRDefault="00E82A60"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14:paraId="6B400E9F" w14:textId="77777777" w:rsidR="008C5CFA" w:rsidRPr="0024468B" w:rsidRDefault="00E82A60" w:rsidP="00300A01">
            <w:pPr>
              <w:spacing w:before="0" w:after="0"/>
              <w:jc w:val="right"/>
              <w:rPr>
                <w:sz w:val="16"/>
                <w:szCs w:val="16"/>
                <w:lang w:val="fr-BE"/>
              </w:rPr>
            </w:pPr>
            <w:r>
              <w:rPr>
                <w:noProof/>
                <w:sz w:val="16"/>
                <w:szCs w:val="16"/>
                <w:lang w:val="fr-BE"/>
              </w:rPr>
              <w:t>5 490,00</w:t>
            </w:r>
          </w:p>
        </w:tc>
        <w:tc>
          <w:tcPr>
            <w:tcW w:w="0" w:type="auto"/>
            <w:shd w:val="clear" w:color="auto" w:fill="auto"/>
          </w:tcPr>
          <w:p w14:paraId="137DE492" w14:textId="77777777" w:rsidR="008C5CFA" w:rsidRPr="0024468B" w:rsidRDefault="008C5CFA" w:rsidP="00300A01">
            <w:pPr>
              <w:spacing w:before="0" w:after="0"/>
              <w:jc w:val="right"/>
              <w:rPr>
                <w:sz w:val="16"/>
                <w:szCs w:val="16"/>
                <w:lang w:val="fr-BE"/>
              </w:rPr>
            </w:pPr>
          </w:p>
        </w:tc>
        <w:tc>
          <w:tcPr>
            <w:tcW w:w="0" w:type="auto"/>
          </w:tcPr>
          <w:p w14:paraId="5FB683C9" w14:textId="77777777" w:rsidR="008C5CFA" w:rsidRPr="0024468B" w:rsidRDefault="008C5CFA" w:rsidP="00300A01">
            <w:pPr>
              <w:spacing w:before="0" w:after="0"/>
              <w:jc w:val="right"/>
              <w:rPr>
                <w:sz w:val="16"/>
                <w:szCs w:val="16"/>
                <w:lang w:val="fr-BE"/>
              </w:rPr>
            </w:pPr>
          </w:p>
        </w:tc>
        <w:tc>
          <w:tcPr>
            <w:tcW w:w="0" w:type="auto"/>
            <w:shd w:val="clear" w:color="auto" w:fill="auto"/>
          </w:tcPr>
          <w:p w14:paraId="77EAB28C" w14:textId="77777777" w:rsidR="008C5CFA" w:rsidRPr="0024468B" w:rsidRDefault="00E82A60" w:rsidP="00300A01">
            <w:pPr>
              <w:spacing w:before="0" w:after="0"/>
              <w:jc w:val="right"/>
              <w:rPr>
                <w:sz w:val="16"/>
                <w:szCs w:val="16"/>
                <w:lang w:val="fr-BE"/>
              </w:rPr>
            </w:pPr>
            <w:r w:rsidRPr="0024468B">
              <w:rPr>
                <w:noProof/>
                <w:sz w:val="16"/>
                <w:szCs w:val="16"/>
                <w:lang w:val="fr-BE"/>
              </w:rPr>
              <w:t>4 695,04</w:t>
            </w:r>
          </w:p>
        </w:tc>
        <w:tc>
          <w:tcPr>
            <w:tcW w:w="0" w:type="auto"/>
            <w:shd w:val="clear" w:color="auto" w:fill="auto"/>
          </w:tcPr>
          <w:p w14:paraId="01D0A0B8"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3BB27010"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4781D8A7" w14:textId="77777777" w:rsidR="008C5CFA" w:rsidRPr="0024468B" w:rsidRDefault="008C5CFA" w:rsidP="00300A01">
            <w:pPr>
              <w:spacing w:before="0" w:after="0"/>
              <w:rPr>
                <w:sz w:val="16"/>
                <w:szCs w:val="16"/>
                <w:lang w:val="fr-BE"/>
              </w:rPr>
            </w:pPr>
          </w:p>
        </w:tc>
      </w:tr>
      <w:tr w:rsidR="006B2EC1" w14:paraId="615AB112" w14:textId="77777777" w:rsidTr="0047688D">
        <w:tc>
          <w:tcPr>
            <w:tcW w:w="0" w:type="auto"/>
          </w:tcPr>
          <w:p w14:paraId="3E627DDC" w14:textId="77777777" w:rsidR="008C5CFA" w:rsidRPr="0024468B" w:rsidRDefault="00E82A60" w:rsidP="00300A01">
            <w:pPr>
              <w:spacing w:before="0" w:after="0"/>
              <w:rPr>
                <w:sz w:val="16"/>
                <w:szCs w:val="16"/>
                <w:lang w:val="fr-BE"/>
              </w:rPr>
            </w:pPr>
            <w:r>
              <w:rPr>
                <w:noProof/>
                <w:sz w:val="16"/>
                <w:szCs w:val="16"/>
                <w:lang w:val="fr-BE"/>
              </w:rPr>
              <w:t>F</w:t>
            </w:r>
          </w:p>
        </w:tc>
        <w:tc>
          <w:tcPr>
            <w:tcW w:w="0" w:type="auto"/>
            <w:shd w:val="clear" w:color="auto" w:fill="auto"/>
          </w:tcPr>
          <w:p w14:paraId="6383300B" w14:textId="77777777" w:rsidR="008C5CFA" w:rsidRPr="0024468B" w:rsidRDefault="00E82A60" w:rsidP="00300A01">
            <w:pPr>
              <w:spacing w:before="0" w:after="0"/>
              <w:rPr>
                <w:sz w:val="16"/>
                <w:szCs w:val="16"/>
                <w:lang w:val="fr-BE"/>
              </w:rPr>
            </w:pPr>
            <w:r>
              <w:rPr>
                <w:noProof/>
                <w:sz w:val="16"/>
                <w:szCs w:val="16"/>
                <w:lang w:val="fr-BE"/>
              </w:rPr>
              <w:t>39</w:t>
            </w:r>
          </w:p>
        </w:tc>
        <w:tc>
          <w:tcPr>
            <w:tcW w:w="0" w:type="auto"/>
            <w:shd w:val="clear" w:color="auto" w:fill="auto"/>
          </w:tcPr>
          <w:p w14:paraId="3AD70F02" w14:textId="77777777" w:rsidR="008C5CFA" w:rsidRPr="0024468B" w:rsidRDefault="00E82A60" w:rsidP="00300A01">
            <w:pPr>
              <w:spacing w:before="0" w:after="0"/>
              <w:rPr>
                <w:sz w:val="16"/>
                <w:szCs w:val="16"/>
                <w:lang w:val="fr-BE"/>
              </w:rPr>
            </w:pPr>
            <w:r>
              <w:rPr>
                <w:noProof/>
                <w:sz w:val="16"/>
                <w:szCs w:val="16"/>
                <w:lang w:val="fr-BE"/>
              </w:rPr>
              <w:t>Długość ścieżek rowerowych</w:t>
            </w:r>
          </w:p>
        </w:tc>
        <w:tc>
          <w:tcPr>
            <w:tcW w:w="0" w:type="auto"/>
            <w:shd w:val="clear" w:color="auto" w:fill="auto"/>
          </w:tcPr>
          <w:p w14:paraId="6767809D" w14:textId="77777777" w:rsidR="008C5CFA" w:rsidRPr="0024468B" w:rsidRDefault="00E82A60" w:rsidP="00300A01">
            <w:pPr>
              <w:spacing w:before="0" w:after="0"/>
              <w:rPr>
                <w:sz w:val="16"/>
                <w:szCs w:val="16"/>
                <w:lang w:val="fr-BE"/>
              </w:rPr>
            </w:pPr>
            <w:r w:rsidRPr="0024468B">
              <w:rPr>
                <w:noProof/>
                <w:sz w:val="16"/>
                <w:szCs w:val="16"/>
                <w:lang w:val="fr-BE"/>
              </w:rPr>
              <w:t>km</w:t>
            </w:r>
          </w:p>
        </w:tc>
        <w:tc>
          <w:tcPr>
            <w:tcW w:w="0" w:type="auto"/>
            <w:shd w:val="clear" w:color="auto" w:fill="auto"/>
          </w:tcPr>
          <w:p w14:paraId="08BDEC6B" w14:textId="77777777" w:rsidR="008C5CFA" w:rsidRPr="0024468B" w:rsidRDefault="00E82A60"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14:paraId="79236F21" w14:textId="77777777" w:rsidR="008C5CFA" w:rsidRPr="0024468B" w:rsidRDefault="00E82A60" w:rsidP="00300A01">
            <w:pPr>
              <w:spacing w:before="0" w:after="0"/>
              <w:jc w:val="right"/>
              <w:rPr>
                <w:sz w:val="16"/>
                <w:szCs w:val="16"/>
                <w:lang w:val="fr-BE"/>
              </w:rPr>
            </w:pPr>
            <w:r>
              <w:rPr>
                <w:noProof/>
                <w:sz w:val="16"/>
                <w:szCs w:val="16"/>
                <w:lang w:val="fr-BE"/>
              </w:rPr>
              <w:t>34,00</w:t>
            </w:r>
          </w:p>
        </w:tc>
        <w:tc>
          <w:tcPr>
            <w:tcW w:w="0" w:type="auto"/>
            <w:shd w:val="clear" w:color="auto" w:fill="auto"/>
          </w:tcPr>
          <w:p w14:paraId="5F6B2FE9" w14:textId="77777777" w:rsidR="008C5CFA" w:rsidRPr="0024468B" w:rsidRDefault="008C5CFA" w:rsidP="00300A01">
            <w:pPr>
              <w:spacing w:before="0" w:after="0"/>
              <w:jc w:val="right"/>
              <w:rPr>
                <w:sz w:val="16"/>
                <w:szCs w:val="16"/>
                <w:lang w:val="fr-BE"/>
              </w:rPr>
            </w:pPr>
          </w:p>
        </w:tc>
        <w:tc>
          <w:tcPr>
            <w:tcW w:w="0" w:type="auto"/>
          </w:tcPr>
          <w:p w14:paraId="2E19DF47" w14:textId="77777777" w:rsidR="008C5CFA" w:rsidRPr="0024468B" w:rsidRDefault="008C5CFA" w:rsidP="00300A01">
            <w:pPr>
              <w:spacing w:before="0" w:after="0"/>
              <w:jc w:val="right"/>
              <w:rPr>
                <w:sz w:val="16"/>
                <w:szCs w:val="16"/>
                <w:lang w:val="fr-BE"/>
              </w:rPr>
            </w:pPr>
          </w:p>
        </w:tc>
        <w:tc>
          <w:tcPr>
            <w:tcW w:w="0" w:type="auto"/>
            <w:shd w:val="clear" w:color="auto" w:fill="auto"/>
          </w:tcPr>
          <w:p w14:paraId="31977445"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1A544DDD"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2F3BE61C"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27F79D4F" w14:textId="77777777" w:rsidR="008C5CFA" w:rsidRPr="0024468B" w:rsidRDefault="008C5CFA" w:rsidP="00300A01">
            <w:pPr>
              <w:spacing w:before="0" w:after="0"/>
              <w:rPr>
                <w:sz w:val="16"/>
                <w:szCs w:val="16"/>
                <w:lang w:val="fr-BE"/>
              </w:rPr>
            </w:pPr>
          </w:p>
        </w:tc>
      </w:tr>
      <w:tr w:rsidR="006B2EC1" w14:paraId="06E51530" w14:textId="77777777" w:rsidTr="0047688D">
        <w:tc>
          <w:tcPr>
            <w:tcW w:w="0" w:type="auto"/>
          </w:tcPr>
          <w:p w14:paraId="6F47E36A" w14:textId="77777777" w:rsidR="008C5CFA" w:rsidRPr="0024468B" w:rsidRDefault="00E82A60" w:rsidP="00300A01">
            <w:pPr>
              <w:spacing w:before="0" w:after="0"/>
              <w:rPr>
                <w:sz w:val="16"/>
                <w:szCs w:val="16"/>
                <w:lang w:val="fr-BE"/>
              </w:rPr>
            </w:pPr>
            <w:r>
              <w:rPr>
                <w:noProof/>
                <w:sz w:val="16"/>
                <w:szCs w:val="16"/>
                <w:lang w:val="fr-BE"/>
              </w:rPr>
              <w:t>S</w:t>
            </w:r>
          </w:p>
        </w:tc>
        <w:tc>
          <w:tcPr>
            <w:tcW w:w="0" w:type="auto"/>
            <w:shd w:val="clear" w:color="auto" w:fill="auto"/>
          </w:tcPr>
          <w:p w14:paraId="33EC5E95" w14:textId="77777777" w:rsidR="008C5CFA" w:rsidRPr="0024468B" w:rsidRDefault="00E82A60" w:rsidP="00300A01">
            <w:pPr>
              <w:spacing w:before="0" w:after="0"/>
              <w:rPr>
                <w:sz w:val="16"/>
                <w:szCs w:val="16"/>
                <w:lang w:val="fr-BE"/>
              </w:rPr>
            </w:pPr>
            <w:r>
              <w:rPr>
                <w:noProof/>
                <w:sz w:val="16"/>
                <w:szCs w:val="16"/>
                <w:lang w:val="fr-BE"/>
              </w:rPr>
              <w:t>39</w:t>
            </w:r>
          </w:p>
        </w:tc>
        <w:tc>
          <w:tcPr>
            <w:tcW w:w="0" w:type="auto"/>
            <w:shd w:val="clear" w:color="auto" w:fill="auto"/>
          </w:tcPr>
          <w:p w14:paraId="0DF54463" w14:textId="77777777" w:rsidR="008C5CFA" w:rsidRPr="0024468B" w:rsidRDefault="00E82A60" w:rsidP="00300A01">
            <w:pPr>
              <w:spacing w:before="0" w:after="0"/>
              <w:rPr>
                <w:sz w:val="16"/>
                <w:szCs w:val="16"/>
                <w:lang w:val="fr-BE"/>
              </w:rPr>
            </w:pPr>
            <w:r>
              <w:rPr>
                <w:noProof/>
                <w:sz w:val="16"/>
                <w:szCs w:val="16"/>
                <w:lang w:val="fr-BE"/>
              </w:rPr>
              <w:t>Długość ścieżek rowerowych</w:t>
            </w:r>
          </w:p>
        </w:tc>
        <w:tc>
          <w:tcPr>
            <w:tcW w:w="0" w:type="auto"/>
            <w:shd w:val="clear" w:color="auto" w:fill="auto"/>
          </w:tcPr>
          <w:p w14:paraId="154D3DAB" w14:textId="77777777" w:rsidR="008C5CFA" w:rsidRPr="0024468B" w:rsidRDefault="00E82A60" w:rsidP="00300A01">
            <w:pPr>
              <w:spacing w:before="0" w:after="0"/>
              <w:rPr>
                <w:sz w:val="16"/>
                <w:szCs w:val="16"/>
                <w:lang w:val="fr-BE"/>
              </w:rPr>
            </w:pPr>
            <w:r w:rsidRPr="0024468B">
              <w:rPr>
                <w:noProof/>
                <w:sz w:val="16"/>
                <w:szCs w:val="16"/>
                <w:lang w:val="fr-BE"/>
              </w:rPr>
              <w:t>km</w:t>
            </w:r>
          </w:p>
        </w:tc>
        <w:tc>
          <w:tcPr>
            <w:tcW w:w="0" w:type="auto"/>
            <w:shd w:val="clear" w:color="auto" w:fill="auto"/>
          </w:tcPr>
          <w:p w14:paraId="4F438956" w14:textId="77777777" w:rsidR="008C5CFA" w:rsidRPr="0024468B" w:rsidRDefault="00E82A60"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14:paraId="6CF87544" w14:textId="77777777" w:rsidR="008C5CFA" w:rsidRPr="0024468B" w:rsidRDefault="00E82A60" w:rsidP="00300A01">
            <w:pPr>
              <w:spacing w:before="0" w:after="0"/>
              <w:jc w:val="right"/>
              <w:rPr>
                <w:sz w:val="16"/>
                <w:szCs w:val="16"/>
                <w:lang w:val="fr-BE"/>
              </w:rPr>
            </w:pPr>
            <w:r>
              <w:rPr>
                <w:noProof/>
                <w:sz w:val="16"/>
                <w:szCs w:val="16"/>
                <w:lang w:val="fr-BE"/>
              </w:rPr>
              <w:t>34,00</w:t>
            </w:r>
          </w:p>
        </w:tc>
        <w:tc>
          <w:tcPr>
            <w:tcW w:w="0" w:type="auto"/>
            <w:shd w:val="clear" w:color="auto" w:fill="auto"/>
          </w:tcPr>
          <w:p w14:paraId="12B7A76B" w14:textId="77777777" w:rsidR="008C5CFA" w:rsidRPr="0024468B" w:rsidRDefault="008C5CFA" w:rsidP="00300A01">
            <w:pPr>
              <w:spacing w:before="0" w:after="0"/>
              <w:jc w:val="right"/>
              <w:rPr>
                <w:sz w:val="16"/>
                <w:szCs w:val="16"/>
                <w:lang w:val="fr-BE"/>
              </w:rPr>
            </w:pPr>
          </w:p>
        </w:tc>
        <w:tc>
          <w:tcPr>
            <w:tcW w:w="0" w:type="auto"/>
          </w:tcPr>
          <w:p w14:paraId="2A9E7523" w14:textId="77777777" w:rsidR="008C5CFA" w:rsidRPr="0024468B" w:rsidRDefault="008C5CFA" w:rsidP="00300A01">
            <w:pPr>
              <w:spacing w:before="0" w:after="0"/>
              <w:jc w:val="right"/>
              <w:rPr>
                <w:sz w:val="16"/>
                <w:szCs w:val="16"/>
                <w:lang w:val="fr-BE"/>
              </w:rPr>
            </w:pPr>
          </w:p>
        </w:tc>
        <w:tc>
          <w:tcPr>
            <w:tcW w:w="0" w:type="auto"/>
            <w:shd w:val="clear" w:color="auto" w:fill="auto"/>
          </w:tcPr>
          <w:p w14:paraId="1C007B36" w14:textId="77777777" w:rsidR="008C5CFA" w:rsidRPr="0024468B" w:rsidRDefault="00E82A60" w:rsidP="00300A01">
            <w:pPr>
              <w:spacing w:before="0" w:after="0"/>
              <w:jc w:val="right"/>
              <w:rPr>
                <w:sz w:val="16"/>
                <w:szCs w:val="16"/>
                <w:lang w:val="fr-BE"/>
              </w:rPr>
            </w:pPr>
            <w:r w:rsidRPr="0024468B">
              <w:rPr>
                <w:noProof/>
                <w:sz w:val="16"/>
                <w:szCs w:val="16"/>
                <w:lang w:val="fr-BE"/>
              </w:rPr>
              <w:t>29,54</w:t>
            </w:r>
          </w:p>
        </w:tc>
        <w:tc>
          <w:tcPr>
            <w:tcW w:w="0" w:type="auto"/>
            <w:shd w:val="clear" w:color="auto" w:fill="auto"/>
          </w:tcPr>
          <w:p w14:paraId="598382A2"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25376DA6"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5A764940" w14:textId="77777777" w:rsidR="008C5CFA" w:rsidRPr="0024468B" w:rsidRDefault="00E82A60" w:rsidP="00300A01">
            <w:pPr>
              <w:spacing w:before="0" w:after="0"/>
              <w:rPr>
                <w:sz w:val="16"/>
                <w:szCs w:val="16"/>
                <w:lang w:val="fr-BE"/>
              </w:rPr>
            </w:pPr>
            <w:r w:rsidRPr="0024468B">
              <w:rPr>
                <w:sz w:val="16"/>
                <w:szCs w:val="16"/>
                <w:lang w:val="fr-BE"/>
              </w:rPr>
              <w:t xml:space="preserve">IZ podjęła decyzję o urealnieniu wartości docelowej wskaźnika z uwagi na zagrożenie jego nieosiągnięcia spowodowane drastycznym wzrostem cen towarów i usług w stosunku do cen przyjętych do jego szacowania w 2014 roku. Problem ten był wielokrotnie przytaczane w treści raportu </w:t>
            </w:r>
            <w:r>
              <w:t>"</w:t>
            </w:r>
            <w:r w:rsidRPr="0024468B">
              <w:rPr>
                <w:sz w:val="16"/>
                <w:szCs w:val="16"/>
                <w:lang w:val="fr-BE"/>
              </w:rPr>
              <w:t>Ewaluacja mid-term dotycząca postępu rzeczowego RPOWŚ 2014-2020 dla potrzeb przeglądu śródokresowego, w tym realizacji zapisów ram i rezerwy wykonania</w:t>
            </w:r>
            <w:r>
              <w:t>"</w:t>
            </w:r>
            <w:r w:rsidRPr="0024468B">
              <w:rPr>
                <w:sz w:val="16"/>
                <w:szCs w:val="16"/>
                <w:lang w:val="fr-BE"/>
              </w:rPr>
              <w:t>. Oszacowano na podstawie 3 zawartych w 2019 r. kontraktów na budowę ścieżek rowerowych na terenie 3 gmin Kieleckiego Obszaru Funkcjonalnego długości to 15 km.</w:t>
            </w:r>
          </w:p>
        </w:tc>
      </w:tr>
      <w:tr w:rsidR="006B2EC1" w14:paraId="1476B0A5" w14:textId="77777777" w:rsidTr="0047688D">
        <w:tc>
          <w:tcPr>
            <w:tcW w:w="0" w:type="auto"/>
          </w:tcPr>
          <w:p w14:paraId="1D6A8C5C" w14:textId="77777777" w:rsidR="008C5CFA" w:rsidRPr="0024468B" w:rsidRDefault="00E82A60" w:rsidP="00300A01">
            <w:pPr>
              <w:spacing w:before="0" w:after="0"/>
              <w:rPr>
                <w:sz w:val="16"/>
                <w:szCs w:val="16"/>
                <w:lang w:val="fr-BE"/>
              </w:rPr>
            </w:pPr>
            <w:r>
              <w:rPr>
                <w:noProof/>
                <w:sz w:val="16"/>
                <w:szCs w:val="16"/>
                <w:lang w:val="fr-BE"/>
              </w:rPr>
              <w:t>F</w:t>
            </w:r>
          </w:p>
        </w:tc>
        <w:tc>
          <w:tcPr>
            <w:tcW w:w="0" w:type="auto"/>
            <w:shd w:val="clear" w:color="auto" w:fill="auto"/>
          </w:tcPr>
          <w:p w14:paraId="1B97688F" w14:textId="77777777" w:rsidR="008C5CFA" w:rsidRPr="0024468B" w:rsidRDefault="00E82A60" w:rsidP="00300A01">
            <w:pPr>
              <w:spacing w:before="0" w:after="0"/>
              <w:rPr>
                <w:sz w:val="16"/>
                <w:szCs w:val="16"/>
                <w:lang w:val="fr-BE"/>
              </w:rPr>
            </w:pPr>
            <w:r>
              <w:rPr>
                <w:noProof/>
                <w:sz w:val="16"/>
                <w:szCs w:val="16"/>
                <w:lang w:val="fr-BE"/>
              </w:rPr>
              <w:t>74</w:t>
            </w:r>
          </w:p>
        </w:tc>
        <w:tc>
          <w:tcPr>
            <w:tcW w:w="0" w:type="auto"/>
            <w:shd w:val="clear" w:color="auto" w:fill="auto"/>
          </w:tcPr>
          <w:p w14:paraId="1A930633" w14:textId="77777777" w:rsidR="008C5CFA" w:rsidRPr="0024468B" w:rsidRDefault="00E82A60" w:rsidP="00300A01">
            <w:pPr>
              <w:spacing w:before="0" w:after="0"/>
              <w:rPr>
                <w:sz w:val="16"/>
                <w:szCs w:val="16"/>
                <w:lang w:val="fr-BE"/>
              </w:rPr>
            </w:pPr>
            <w:r>
              <w:rPr>
                <w:noProof/>
                <w:sz w:val="16"/>
                <w:szCs w:val="16"/>
                <w:lang w:val="fr-BE"/>
              </w:rPr>
              <w:t>Liczba zmodernizowanych źródeł oświetlenia gminnego</w:t>
            </w:r>
          </w:p>
        </w:tc>
        <w:tc>
          <w:tcPr>
            <w:tcW w:w="0" w:type="auto"/>
            <w:shd w:val="clear" w:color="auto" w:fill="auto"/>
          </w:tcPr>
          <w:p w14:paraId="15619A9C" w14:textId="77777777" w:rsidR="008C5CFA" w:rsidRPr="0024468B" w:rsidRDefault="00E82A60" w:rsidP="00300A01">
            <w:pPr>
              <w:spacing w:before="0" w:after="0"/>
              <w:rPr>
                <w:sz w:val="16"/>
                <w:szCs w:val="16"/>
                <w:lang w:val="fr-BE"/>
              </w:rPr>
            </w:pPr>
            <w:r w:rsidRPr="0024468B">
              <w:rPr>
                <w:noProof/>
                <w:sz w:val="16"/>
                <w:szCs w:val="16"/>
                <w:lang w:val="fr-BE"/>
              </w:rPr>
              <w:t>szt.</w:t>
            </w:r>
          </w:p>
        </w:tc>
        <w:tc>
          <w:tcPr>
            <w:tcW w:w="0" w:type="auto"/>
            <w:shd w:val="clear" w:color="auto" w:fill="auto"/>
          </w:tcPr>
          <w:p w14:paraId="5C752278" w14:textId="77777777" w:rsidR="008C5CFA" w:rsidRPr="0024468B" w:rsidRDefault="00E82A60"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14:paraId="14B84098" w14:textId="77777777" w:rsidR="008C5CFA" w:rsidRPr="0024468B" w:rsidRDefault="00E82A60" w:rsidP="00300A01">
            <w:pPr>
              <w:spacing w:before="0" w:after="0"/>
              <w:jc w:val="right"/>
              <w:rPr>
                <w:sz w:val="16"/>
                <w:szCs w:val="16"/>
                <w:lang w:val="fr-BE"/>
              </w:rPr>
            </w:pPr>
            <w:r>
              <w:rPr>
                <w:noProof/>
                <w:sz w:val="16"/>
                <w:szCs w:val="16"/>
                <w:lang w:val="fr-BE"/>
              </w:rPr>
              <w:t>6 100,00</w:t>
            </w:r>
          </w:p>
        </w:tc>
        <w:tc>
          <w:tcPr>
            <w:tcW w:w="0" w:type="auto"/>
            <w:shd w:val="clear" w:color="auto" w:fill="auto"/>
          </w:tcPr>
          <w:p w14:paraId="7B92C961" w14:textId="77777777" w:rsidR="008C5CFA" w:rsidRPr="0024468B" w:rsidRDefault="008C5CFA" w:rsidP="00300A01">
            <w:pPr>
              <w:spacing w:before="0" w:after="0"/>
              <w:jc w:val="right"/>
              <w:rPr>
                <w:sz w:val="16"/>
                <w:szCs w:val="16"/>
                <w:lang w:val="fr-BE"/>
              </w:rPr>
            </w:pPr>
          </w:p>
        </w:tc>
        <w:tc>
          <w:tcPr>
            <w:tcW w:w="0" w:type="auto"/>
          </w:tcPr>
          <w:p w14:paraId="494476FD" w14:textId="77777777" w:rsidR="008C5CFA" w:rsidRPr="0024468B" w:rsidRDefault="008C5CFA" w:rsidP="00300A01">
            <w:pPr>
              <w:spacing w:before="0" w:after="0"/>
              <w:jc w:val="right"/>
              <w:rPr>
                <w:sz w:val="16"/>
                <w:szCs w:val="16"/>
                <w:lang w:val="fr-BE"/>
              </w:rPr>
            </w:pPr>
          </w:p>
        </w:tc>
        <w:tc>
          <w:tcPr>
            <w:tcW w:w="0" w:type="auto"/>
            <w:shd w:val="clear" w:color="auto" w:fill="auto"/>
          </w:tcPr>
          <w:p w14:paraId="62959F5A" w14:textId="77777777" w:rsidR="008C5CFA" w:rsidRPr="0024468B" w:rsidRDefault="00E82A60" w:rsidP="00300A01">
            <w:pPr>
              <w:spacing w:before="0" w:after="0"/>
              <w:jc w:val="right"/>
              <w:rPr>
                <w:sz w:val="16"/>
                <w:szCs w:val="16"/>
                <w:lang w:val="fr-BE"/>
              </w:rPr>
            </w:pPr>
            <w:r w:rsidRPr="0024468B">
              <w:rPr>
                <w:noProof/>
                <w:sz w:val="16"/>
                <w:szCs w:val="16"/>
                <w:lang w:val="fr-BE"/>
              </w:rPr>
              <w:t>14 444,00</w:t>
            </w:r>
          </w:p>
        </w:tc>
        <w:tc>
          <w:tcPr>
            <w:tcW w:w="0" w:type="auto"/>
            <w:shd w:val="clear" w:color="auto" w:fill="auto"/>
          </w:tcPr>
          <w:p w14:paraId="210F1890"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5B2E101F"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112D5DDD" w14:textId="77777777" w:rsidR="008C5CFA" w:rsidRPr="0024468B" w:rsidRDefault="00E82A60" w:rsidP="00300A01">
            <w:pPr>
              <w:spacing w:before="0" w:after="0"/>
              <w:rPr>
                <w:sz w:val="16"/>
                <w:szCs w:val="16"/>
                <w:lang w:val="fr-BE"/>
              </w:rPr>
            </w:pPr>
            <w:r w:rsidRPr="0024468B">
              <w:rPr>
                <w:noProof/>
                <w:sz w:val="16"/>
                <w:szCs w:val="16"/>
                <w:lang w:val="fr-BE"/>
              </w:rPr>
              <w:t>Na etapie programowania dla oszacowania wartości tego wskaźnika  przyjęto średnią cenę jednostkową modernizacji oświetlenia na poziomie 3 400 PLN (wg cen z 2014 r). Uwzględniał on pełną modernizacji oświetlenia (tj. słup, przyłącze, oprawa). Na podstawie audytów energetycznych dla realizowanych projektów, większość inwestycji dotyczy wymiany samych opraw oświetleniowych, co ma przełożenie na zmiany kosztu jednostkowego. Urealniając cenę  jednostkową wg cen z 2017-2018 roku do wartości 1 800 PLN za 1 sztukę oświetlenia, alokacja  środków  UE pozwoli zmodernizować około 15 000 źródeł oświetlenia gminnego. Cenę jednostkową oszacowano na podstawie 12 zawartych kontraktów na modernizację oświetlenia gminnego na terenie 12 gmin Kieleckiego Obszaru Funkcjonalnego.</w:t>
            </w:r>
          </w:p>
        </w:tc>
      </w:tr>
      <w:tr w:rsidR="006B2EC1" w14:paraId="46B87FA0" w14:textId="77777777" w:rsidTr="0047688D">
        <w:tc>
          <w:tcPr>
            <w:tcW w:w="0" w:type="auto"/>
          </w:tcPr>
          <w:p w14:paraId="286356C0" w14:textId="77777777" w:rsidR="008C5CFA" w:rsidRPr="0024468B" w:rsidRDefault="00E82A60" w:rsidP="00300A01">
            <w:pPr>
              <w:spacing w:before="0" w:after="0"/>
              <w:rPr>
                <w:sz w:val="16"/>
                <w:szCs w:val="16"/>
                <w:lang w:val="fr-BE"/>
              </w:rPr>
            </w:pPr>
            <w:r>
              <w:rPr>
                <w:noProof/>
                <w:sz w:val="16"/>
                <w:szCs w:val="16"/>
                <w:lang w:val="fr-BE"/>
              </w:rPr>
              <w:t>S</w:t>
            </w:r>
          </w:p>
        </w:tc>
        <w:tc>
          <w:tcPr>
            <w:tcW w:w="0" w:type="auto"/>
            <w:shd w:val="clear" w:color="auto" w:fill="auto"/>
          </w:tcPr>
          <w:p w14:paraId="0603CF0F" w14:textId="77777777" w:rsidR="008C5CFA" w:rsidRPr="0024468B" w:rsidRDefault="00E82A60" w:rsidP="00300A01">
            <w:pPr>
              <w:spacing w:before="0" w:after="0"/>
              <w:rPr>
                <w:sz w:val="16"/>
                <w:szCs w:val="16"/>
                <w:lang w:val="fr-BE"/>
              </w:rPr>
            </w:pPr>
            <w:r>
              <w:rPr>
                <w:noProof/>
                <w:sz w:val="16"/>
                <w:szCs w:val="16"/>
                <w:lang w:val="fr-BE"/>
              </w:rPr>
              <w:t>74</w:t>
            </w:r>
          </w:p>
        </w:tc>
        <w:tc>
          <w:tcPr>
            <w:tcW w:w="0" w:type="auto"/>
            <w:shd w:val="clear" w:color="auto" w:fill="auto"/>
          </w:tcPr>
          <w:p w14:paraId="5B2B149D" w14:textId="77777777" w:rsidR="008C5CFA" w:rsidRPr="0024468B" w:rsidRDefault="00E82A60" w:rsidP="00300A01">
            <w:pPr>
              <w:spacing w:before="0" w:after="0"/>
              <w:rPr>
                <w:sz w:val="16"/>
                <w:szCs w:val="16"/>
                <w:lang w:val="fr-BE"/>
              </w:rPr>
            </w:pPr>
            <w:r>
              <w:rPr>
                <w:noProof/>
                <w:sz w:val="16"/>
                <w:szCs w:val="16"/>
                <w:lang w:val="fr-BE"/>
              </w:rPr>
              <w:t>Liczba zmodernizowanych źródeł oświetlenia gminnego</w:t>
            </w:r>
          </w:p>
        </w:tc>
        <w:tc>
          <w:tcPr>
            <w:tcW w:w="0" w:type="auto"/>
            <w:shd w:val="clear" w:color="auto" w:fill="auto"/>
          </w:tcPr>
          <w:p w14:paraId="1EC2C4A5" w14:textId="77777777" w:rsidR="008C5CFA" w:rsidRPr="0024468B" w:rsidRDefault="00E82A60" w:rsidP="00300A01">
            <w:pPr>
              <w:spacing w:before="0" w:after="0"/>
              <w:rPr>
                <w:sz w:val="16"/>
                <w:szCs w:val="16"/>
                <w:lang w:val="fr-BE"/>
              </w:rPr>
            </w:pPr>
            <w:r w:rsidRPr="0024468B">
              <w:rPr>
                <w:noProof/>
                <w:sz w:val="16"/>
                <w:szCs w:val="16"/>
                <w:lang w:val="fr-BE"/>
              </w:rPr>
              <w:t>szt.</w:t>
            </w:r>
          </w:p>
        </w:tc>
        <w:tc>
          <w:tcPr>
            <w:tcW w:w="0" w:type="auto"/>
            <w:shd w:val="clear" w:color="auto" w:fill="auto"/>
          </w:tcPr>
          <w:p w14:paraId="30FEC037" w14:textId="77777777" w:rsidR="008C5CFA" w:rsidRPr="0024468B" w:rsidRDefault="00E82A60"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14:paraId="3820C264" w14:textId="77777777" w:rsidR="008C5CFA" w:rsidRPr="0024468B" w:rsidRDefault="00E82A60" w:rsidP="00300A01">
            <w:pPr>
              <w:spacing w:before="0" w:after="0"/>
              <w:jc w:val="right"/>
              <w:rPr>
                <w:sz w:val="16"/>
                <w:szCs w:val="16"/>
                <w:lang w:val="fr-BE"/>
              </w:rPr>
            </w:pPr>
            <w:r>
              <w:rPr>
                <w:noProof/>
                <w:sz w:val="16"/>
                <w:szCs w:val="16"/>
                <w:lang w:val="fr-BE"/>
              </w:rPr>
              <w:t>6 100,00</w:t>
            </w:r>
          </w:p>
        </w:tc>
        <w:tc>
          <w:tcPr>
            <w:tcW w:w="0" w:type="auto"/>
            <w:shd w:val="clear" w:color="auto" w:fill="auto"/>
          </w:tcPr>
          <w:p w14:paraId="5BCE49F2" w14:textId="77777777" w:rsidR="008C5CFA" w:rsidRPr="0024468B" w:rsidRDefault="008C5CFA" w:rsidP="00300A01">
            <w:pPr>
              <w:spacing w:before="0" w:after="0"/>
              <w:jc w:val="right"/>
              <w:rPr>
                <w:sz w:val="16"/>
                <w:szCs w:val="16"/>
                <w:lang w:val="fr-BE"/>
              </w:rPr>
            </w:pPr>
          </w:p>
        </w:tc>
        <w:tc>
          <w:tcPr>
            <w:tcW w:w="0" w:type="auto"/>
          </w:tcPr>
          <w:p w14:paraId="13F7BE08" w14:textId="77777777" w:rsidR="008C5CFA" w:rsidRPr="0024468B" w:rsidRDefault="008C5CFA" w:rsidP="00300A01">
            <w:pPr>
              <w:spacing w:before="0" w:after="0"/>
              <w:jc w:val="right"/>
              <w:rPr>
                <w:sz w:val="16"/>
                <w:szCs w:val="16"/>
                <w:lang w:val="fr-BE"/>
              </w:rPr>
            </w:pPr>
          </w:p>
        </w:tc>
        <w:tc>
          <w:tcPr>
            <w:tcW w:w="0" w:type="auto"/>
            <w:shd w:val="clear" w:color="auto" w:fill="auto"/>
          </w:tcPr>
          <w:p w14:paraId="2241E8B6" w14:textId="77777777" w:rsidR="008C5CFA" w:rsidRPr="0024468B" w:rsidRDefault="00E82A60" w:rsidP="00300A01">
            <w:pPr>
              <w:spacing w:before="0" w:after="0"/>
              <w:jc w:val="right"/>
              <w:rPr>
                <w:sz w:val="16"/>
                <w:szCs w:val="16"/>
                <w:lang w:val="fr-BE"/>
              </w:rPr>
            </w:pPr>
            <w:r w:rsidRPr="0024468B">
              <w:rPr>
                <w:noProof/>
                <w:sz w:val="16"/>
                <w:szCs w:val="16"/>
                <w:lang w:val="fr-BE"/>
              </w:rPr>
              <w:t>15 844,00</w:t>
            </w:r>
          </w:p>
        </w:tc>
        <w:tc>
          <w:tcPr>
            <w:tcW w:w="0" w:type="auto"/>
            <w:shd w:val="clear" w:color="auto" w:fill="auto"/>
          </w:tcPr>
          <w:p w14:paraId="5589639C"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12BF3B2E"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4D4E0F94" w14:textId="77777777" w:rsidR="008C5CFA" w:rsidRPr="0024468B" w:rsidRDefault="00E82A60" w:rsidP="00300A01">
            <w:pPr>
              <w:spacing w:before="0" w:after="0"/>
              <w:rPr>
                <w:sz w:val="16"/>
                <w:szCs w:val="16"/>
                <w:lang w:val="fr-BE"/>
              </w:rPr>
            </w:pPr>
            <w:r w:rsidRPr="0024468B">
              <w:rPr>
                <w:noProof/>
                <w:sz w:val="16"/>
                <w:szCs w:val="16"/>
                <w:lang w:val="fr-BE"/>
              </w:rPr>
              <w:t xml:space="preserve">Na etapie programowania dla oszacowania wartości tego wskaźnika  przyjęto średnią cenę jednostkową modernizacji oświetlenia na poziomie 3 400 PLN (wg cen z 2014 r). Uwzględniał on pełną modernizacji oświetlenia (tj. słup, przyłącze, oprawa). Na podstawie audytów energetycznych dla realizowanych projektów, większość inwestycji dotyczy wymiany samych opraw oświetleniowych, co ma przełożenie na zmiany kosztu jednostkowego. Urealniając cenę  jednostkową wg cen z 2017-2018 roku do wartości 1 800 </w:t>
            </w:r>
            <w:r w:rsidRPr="0024468B">
              <w:rPr>
                <w:noProof/>
                <w:sz w:val="16"/>
                <w:szCs w:val="16"/>
                <w:lang w:val="fr-BE"/>
              </w:rPr>
              <w:lastRenderedPageBreak/>
              <w:t>PLN za 1 sztukę oświetlenia, alokacja  środków  UE pozwoli zmodernizować około 15 000 źródeł oświetlenia gminnego. Cenę jednostkową oszacowano na podstawie 12 zawartych kontraktów na modernizację oświetlenia gminnego na terenie 12 gmin Kieleckiego Obszaru Funkcjonalnego.</w:t>
            </w:r>
          </w:p>
        </w:tc>
      </w:tr>
    </w:tbl>
    <w:p w14:paraId="2F04F551" w14:textId="77777777" w:rsidR="008C5CFA" w:rsidRDefault="00E82A60" w:rsidP="00300A01">
      <w:pPr>
        <w:spacing w:before="0" w:after="0"/>
        <w:rPr>
          <w:lang w:val="fr-BE"/>
        </w:rPr>
      </w:pPr>
      <w:r>
        <w:rPr>
          <w:noProof/>
          <w:lang w:val="fr-BE"/>
        </w:rPr>
        <w:lastRenderedPageBreak/>
        <w:t>1) S=wartość skumulowana – produkty, które mają być zrealizowane poprzez wybrane operacje [prognoza przedstawiona przez beneficjentów], F=wartość skumulowana – produkty zrealizowane poprzez operacje [rzeczywiste wykonanie]</w:t>
      </w:r>
    </w:p>
    <w:p w14:paraId="6C43F63F"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02"/>
        <w:gridCol w:w="497"/>
        <w:gridCol w:w="5306"/>
        <w:gridCol w:w="961"/>
        <w:gridCol w:w="1127"/>
        <w:gridCol w:w="950"/>
        <w:gridCol w:w="946"/>
        <w:gridCol w:w="1127"/>
        <w:gridCol w:w="950"/>
        <w:gridCol w:w="941"/>
        <w:gridCol w:w="1127"/>
        <w:gridCol w:w="950"/>
      </w:tblGrid>
      <w:tr w:rsidR="006B2EC1" w14:paraId="3A8FB3B1" w14:textId="77777777" w:rsidTr="0047688D">
        <w:trPr>
          <w:tblHeader/>
        </w:trPr>
        <w:tc>
          <w:tcPr>
            <w:tcW w:w="0" w:type="auto"/>
          </w:tcPr>
          <w:p w14:paraId="064AB637" w14:textId="77777777" w:rsidR="008C5CFA" w:rsidRPr="009143B4" w:rsidRDefault="00E82A60" w:rsidP="00300A01">
            <w:pPr>
              <w:spacing w:before="0" w:after="0"/>
              <w:rPr>
                <w:b/>
                <w:sz w:val="16"/>
                <w:szCs w:val="16"/>
                <w:lang w:val="fr-BE"/>
              </w:rPr>
            </w:pPr>
            <w:r w:rsidRPr="009143B4">
              <w:rPr>
                <w:b/>
                <w:sz w:val="16"/>
                <w:szCs w:val="16"/>
                <w:lang w:val="fr-BE"/>
              </w:rPr>
              <w:t>(1)</w:t>
            </w:r>
          </w:p>
        </w:tc>
        <w:tc>
          <w:tcPr>
            <w:tcW w:w="0" w:type="auto"/>
            <w:shd w:val="clear" w:color="auto" w:fill="auto"/>
          </w:tcPr>
          <w:p w14:paraId="7B3D2209" w14:textId="77777777" w:rsidR="008C5CFA" w:rsidRPr="009143B4" w:rsidRDefault="00E82A60" w:rsidP="00300A01">
            <w:pPr>
              <w:spacing w:before="0" w:after="0"/>
              <w:rPr>
                <w:b/>
                <w:sz w:val="16"/>
                <w:szCs w:val="16"/>
                <w:lang w:val="fr-BE"/>
              </w:rPr>
            </w:pPr>
            <w:r w:rsidRPr="009143B4">
              <w:rPr>
                <w:b/>
                <w:noProof/>
                <w:sz w:val="16"/>
                <w:szCs w:val="16"/>
                <w:lang w:val="fr-BE"/>
              </w:rPr>
              <w:t>ID</w:t>
            </w:r>
          </w:p>
        </w:tc>
        <w:tc>
          <w:tcPr>
            <w:tcW w:w="0" w:type="auto"/>
            <w:shd w:val="clear" w:color="auto" w:fill="auto"/>
          </w:tcPr>
          <w:p w14:paraId="734FAD1A" w14:textId="77777777" w:rsidR="008C5CFA" w:rsidRPr="009143B4" w:rsidRDefault="00E82A60" w:rsidP="00300A01">
            <w:pPr>
              <w:spacing w:before="0" w:after="0"/>
              <w:rPr>
                <w:b/>
                <w:sz w:val="16"/>
                <w:szCs w:val="16"/>
                <w:lang w:val="fr-BE"/>
              </w:rPr>
            </w:pPr>
            <w:r w:rsidRPr="009143B4">
              <w:rPr>
                <w:b/>
                <w:noProof/>
                <w:sz w:val="16"/>
                <w:szCs w:val="16"/>
                <w:lang w:val="fr-BE"/>
              </w:rPr>
              <w:t>Wskaźnik</w:t>
            </w:r>
          </w:p>
        </w:tc>
        <w:tc>
          <w:tcPr>
            <w:tcW w:w="0" w:type="auto"/>
          </w:tcPr>
          <w:p w14:paraId="52B0A5C5" w14:textId="77777777" w:rsidR="008C5CFA" w:rsidRPr="009143B4" w:rsidRDefault="00E82A60" w:rsidP="00300A01">
            <w:pPr>
              <w:spacing w:before="0" w:after="0"/>
              <w:jc w:val="center"/>
              <w:rPr>
                <w:b/>
                <w:sz w:val="16"/>
                <w:szCs w:val="16"/>
                <w:lang w:val="fr-BE"/>
              </w:rPr>
            </w:pPr>
            <w:r>
              <w:rPr>
                <w:b/>
                <w:sz w:val="16"/>
                <w:szCs w:val="16"/>
                <w:lang w:val="fr-BE"/>
              </w:rPr>
              <w:t xml:space="preserve">2018 </w:t>
            </w:r>
            <w:r w:rsidRPr="009143B4">
              <w:rPr>
                <w:b/>
                <w:noProof/>
                <w:sz w:val="16"/>
                <w:szCs w:val="16"/>
                <w:lang w:val="fr-BE"/>
              </w:rPr>
              <w:t>Ogółem</w:t>
            </w:r>
          </w:p>
        </w:tc>
        <w:tc>
          <w:tcPr>
            <w:tcW w:w="0" w:type="auto"/>
          </w:tcPr>
          <w:p w14:paraId="5DD462FC" w14:textId="77777777" w:rsidR="008C5CFA" w:rsidRPr="009143B4" w:rsidRDefault="00E82A60" w:rsidP="00300A01">
            <w:pPr>
              <w:spacing w:before="0" w:after="0"/>
              <w:jc w:val="center"/>
              <w:rPr>
                <w:b/>
                <w:sz w:val="16"/>
                <w:szCs w:val="16"/>
                <w:lang w:val="fr-BE"/>
              </w:rPr>
            </w:pPr>
            <w:r>
              <w:rPr>
                <w:b/>
                <w:sz w:val="16"/>
                <w:szCs w:val="16"/>
                <w:lang w:val="fr-BE"/>
              </w:rPr>
              <w:t xml:space="preserve">2018 </w:t>
            </w:r>
            <w:r w:rsidRPr="009143B4">
              <w:rPr>
                <w:b/>
                <w:noProof/>
                <w:sz w:val="16"/>
                <w:szCs w:val="16"/>
                <w:lang w:val="fr-BE"/>
              </w:rPr>
              <w:t>Mężczyźni</w:t>
            </w:r>
          </w:p>
        </w:tc>
        <w:tc>
          <w:tcPr>
            <w:tcW w:w="0" w:type="auto"/>
          </w:tcPr>
          <w:p w14:paraId="37E65762" w14:textId="77777777" w:rsidR="008C5CFA" w:rsidRPr="009143B4" w:rsidRDefault="00E82A60" w:rsidP="00300A01">
            <w:pPr>
              <w:spacing w:before="0" w:after="0"/>
              <w:jc w:val="center"/>
              <w:rPr>
                <w:b/>
                <w:sz w:val="16"/>
                <w:szCs w:val="16"/>
                <w:lang w:val="fr-BE"/>
              </w:rPr>
            </w:pPr>
            <w:r>
              <w:rPr>
                <w:b/>
                <w:sz w:val="16"/>
                <w:szCs w:val="16"/>
                <w:lang w:val="fr-BE"/>
              </w:rPr>
              <w:t xml:space="preserve">2018 </w:t>
            </w:r>
            <w:r w:rsidRPr="009143B4">
              <w:rPr>
                <w:b/>
                <w:noProof/>
                <w:sz w:val="16"/>
                <w:szCs w:val="16"/>
                <w:lang w:val="fr-BE"/>
              </w:rPr>
              <w:t>Kobiety</w:t>
            </w:r>
          </w:p>
        </w:tc>
        <w:tc>
          <w:tcPr>
            <w:tcW w:w="0" w:type="auto"/>
          </w:tcPr>
          <w:p w14:paraId="1AB30B6B" w14:textId="77777777" w:rsidR="008C5CFA" w:rsidRPr="009143B4" w:rsidRDefault="00E82A60"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Ogółem</w:t>
            </w:r>
          </w:p>
        </w:tc>
        <w:tc>
          <w:tcPr>
            <w:tcW w:w="0" w:type="auto"/>
          </w:tcPr>
          <w:p w14:paraId="61C9BFEA" w14:textId="77777777" w:rsidR="008C5CFA" w:rsidRPr="009143B4" w:rsidRDefault="00E82A60"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Mężczyźni</w:t>
            </w:r>
          </w:p>
        </w:tc>
        <w:tc>
          <w:tcPr>
            <w:tcW w:w="0" w:type="auto"/>
          </w:tcPr>
          <w:p w14:paraId="13D46F1E" w14:textId="77777777" w:rsidR="008C5CFA" w:rsidRPr="009143B4" w:rsidRDefault="00E82A60"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Kobiety</w:t>
            </w:r>
          </w:p>
        </w:tc>
        <w:tc>
          <w:tcPr>
            <w:tcW w:w="0" w:type="auto"/>
            <w:shd w:val="clear" w:color="auto" w:fill="auto"/>
          </w:tcPr>
          <w:p w14:paraId="57B79615" w14:textId="77777777" w:rsidR="008C5CFA" w:rsidRPr="009143B4" w:rsidRDefault="00E82A60"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Ogółem</w:t>
            </w:r>
          </w:p>
        </w:tc>
        <w:tc>
          <w:tcPr>
            <w:tcW w:w="0" w:type="auto"/>
            <w:shd w:val="clear" w:color="auto" w:fill="auto"/>
          </w:tcPr>
          <w:p w14:paraId="390588B5" w14:textId="77777777" w:rsidR="008C5CFA" w:rsidRPr="009143B4" w:rsidRDefault="00E82A60"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Mężczyźni</w:t>
            </w:r>
          </w:p>
        </w:tc>
        <w:tc>
          <w:tcPr>
            <w:tcW w:w="0" w:type="auto"/>
            <w:shd w:val="clear" w:color="auto" w:fill="auto"/>
          </w:tcPr>
          <w:p w14:paraId="245A62DE" w14:textId="77777777" w:rsidR="008C5CFA" w:rsidRPr="009143B4" w:rsidRDefault="00E82A60"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Kobiety</w:t>
            </w:r>
          </w:p>
        </w:tc>
      </w:tr>
      <w:tr w:rsidR="006B2EC1" w14:paraId="046AE1E6" w14:textId="77777777" w:rsidTr="0047688D">
        <w:tc>
          <w:tcPr>
            <w:tcW w:w="0" w:type="auto"/>
          </w:tcPr>
          <w:p w14:paraId="35ED6D5C" w14:textId="77777777" w:rsidR="008C5CFA" w:rsidRPr="0024468B" w:rsidRDefault="00E82A60" w:rsidP="00300A01">
            <w:pPr>
              <w:spacing w:before="0" w:after="0"/>
              <w:rPr>
                <w:sz w:val="16"/>
                <w:szCs w:val="16"/>
                <w:lang w:val="fr-BE"/>
              </w:rPr>
            </w:pPr>
            <w:r>
              <w:rPr>
                <w:noProof/>
                <w:sz w:val="16"/>
                <w:szCs w:val="16"/>
                <w:lang w:val="fr-BE"/>
              </w:rPr>
              <w:t>F</w:t>
            </w:r>
          </w:p>
        </w:tc>
        <w:tc>
          <w:tcPr>
            <w:tcW w:w="0" w:type="auto"/>
            <w:shd w:val="clear" w:color="auto" w:fill="auto"/>
          </w:tcPr>
          <w:p w14:paraId="70893703" w14:textId="77777777" w:rsidR="008C5CFA" w:rsidRPr="0024468B" w:rsidRDefault="00E82A60" w:rsidP="00300A01">
            <w:pPr>
              <w:spacing w:before="0" w:after="0"/>
              <w:rPr>
                <w:sz w:val="16"/>
                <w:szCs w:val="16"/>
                <w:lang w:val="fr-BE"/>
              </w:rPr>
            </w:pPr>
            <w:r w:rsidRPr="0024468B">
              <w:rPr>
                <w:noProof/>
                <w:sz w:val="16"/>
                <w:szCs w:val="16"/>
                <w:lang w:val="fr-BE"/>
              </w:rPr>
              <w:t>CO34</w:t>
            </w:r>
          </w:p>
        </w:tc>
        <w:tc>
          <w:tcPr>
            <w:tcW w:w="0" w:type="auto"/>
            <w:shd w:val="clear" w:color="auto" w:fill="auto"/>
          </w:tcPr>
          <w:p w14:paraId="5B107110" w14:textId="77777777" w:rsidR="008C5CFA" w:rsidRPr="0024468B" w:rsidRDefault="00E82A60" w:rsidP="00300A01">
            <w:pPr>
              <w:spacing w:before="0" w:after="0"/>
              <w:rPr>
                <w:sz w:val="16"/>
                <w:szCs w:val="16"/>
                <w:lang w:val="fr-BE"/>
              </w:rPr>
            </w:pPr>
            <w:r w:rsidRPr="0024468B">
              <w:rPr>
                <w:noProof/>
                <w:sz w:val="16"/>
                <w:szCs w:val="16"/>
                <w:lang w:val="fr-BE"/>
              </w:rPr>
              <w:t>Redukcja emisji gazów cieplarnianych: szacowany roczny spadek emisji gazów cieplarnianych</w:t>
            </w:r>
          </w:p>
        </w:tc>
        <w:tc>
          <w:tcPr>
            <w:tcW w:w="0" w:type="auto"/>
          </w:tcPr>
          <w:p w14:paraId="20CE6023"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284AD2B8"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59829291"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013DA796"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3552CFFA"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45018349"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66166836"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04A8DC4D"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5D18330A"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r w:rsidR="006B2EC1" w14:paraId="0ACBCD49" w14:textId="77777777" w:rsidTr="0047688D">
        <w:tc>
          <w:tcPr>
            <w:tcW w:w="0" w:type="auto"/>
          </w:tcPr>
          <w:p w14:paraId="1368F12D" w14:textId="77777777" w:rsidR="008C5CFA" w:rsidRPr="0024468B" w:rsidRDefault="00E82A60" w:rsidP="00300A01">
            <w:pPr>
              <w:spacing w:before="0" w:after="0"/>
              <w:rPr>
                <w:sz w:val="16"/>
                <w:szCs w:val="16"/>
                <w:lang w:val="fr-BE"/>
              </w:rPr>
            </w:pPr>
            <w:r>
              <w:rPr>
                <w:noProof/>
                <w:sz w:val="16"/>
                <w:szCs w:val="16"/>
                <w:lang w:val="fr-BE"/>
              </w:rPr>
              <w:t>S</w:t>
            </w:r>
          </w:p>
        </w:tc>
        <w:tc>
          <w:tcPr>
            <w:tcW w:w="0" w:type="auto"/>
            <w:shd w:val="clear" w:color="auto" w:fill="auto"/>
          </w:tcPr>
          <w:p w14:paraId="3BF8FCCD" w14:textId="77777777" w:rsidR="008C5CFA" w:rsidRPr="0024468B" w:rsidRDefault="00E82A60" w:rsidP="00300A01">
            <w:pPr>
              <w:spacing w:before="0" w:after="0"/>
              <w:rPr>
                <w:sz w:val="16"/>
                <w:szCs w:val="16"/>
                <w:lang w:val="fr-BE"/>
              </w:rPr>
            </w:pPr>
            <w:r w:rsidRPr="0024468B">
              <w:rPr>
                <w:noProof/>
                <w:sz w:val="16"/>
                <w:szCs w:val="16"/>
                <w:lang w:val="fr-BE"/>
              </w:rPr>
              <w:t>CO34</w:t>
            </w:r>
          </w:p>
        </w:tc>
        <w:tc>
          <w:tcPr>
            <w:tcW w:w="0" w:type="auto"/>
            <w:shd w:val="clear" w:color="auto" w:fill="auto"/>
          </w:tcPr>
          <w:p w14:paraId="5A0719D1" w14:textId="77777777" w:rsidR="008C5CFA" w:rsidRPr="0024468B" w:rsidRDefault="00E82A60" w:rsidP="00300A01">
            <w:pPr>
              <w:spacing w:before="0" w:after="0"/>
              <w:rPr>
                <w:sz w:val="16"/>
                <w:szCs w:val="16"/>
                <w:lang w:val="fr-BE"/>
              </w:rPr>
            </w:pPr>
            <w:r w:rsidRPr="0024468B">
              <w:rPr>
                <w:noProof/>
                <w:sz w:val="16"/>
                <w:szCs w:val="16"/>
                <w:lang w:val="fr-BE"/>
              </w:rPr>
              <w:t>Redukcja emisji gazów cieplarnianych: szacowany roczny spadek emisji gazów cieplarnianych</w:t>
            </w:r>
          </w:p>
        </w:tc>
        <w:tc>
          <w:tcPr>
            <w:tcW w:w="0" w:type="auto"/>
          </w:tcPr>
          <w:p w14:paraId="5D763C7E" w14:textId="77777777" w:rsidR="008C5CFA" w:rsidRPr="0024468B" w:rsidRDefault="00E82A60" w:rsidP="00300A01">
            <w:pPr>
              <w:spacing w:before="0" w:after="0"/>
              <w:jc w:val="right"/>
              <w:rPr>
                <w:sz w:val="16"/>
                <w:szCs w:val="16"/>
                <w:lang w:val="fr-BE"/>
              </w:rPr>
            </w:pPr>
            <w:r w:rsidRPr="0024468B">
              <w:rPr>
                <w:noProof/>
                <w:sz w:val="16"/>
                <w:szCs w:val="16"/>
                <w:lang w:val="fr-BE"/>
              </w:rPr>
              <w:t>4 695,04</w:t>
            </w:r>
          </w:p>
        </w:tc>
        <w:tc>
          <w:tcPr>
            <w:tcW w:w="0" w:type="auto"/>
          </w:tcPr>
          <w:p w14:paraId="1BFB9840"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1E0C8700"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61A3C3DE" w14:textId="77777777" w:rsidR="008C5CFA" w:rsidRPr="0024468B" w:rsidRDefault="00E82A60" w:rsidP="00300A01">
            <w:pPr>
              <w:spacing w:before="0" w:after="0"/>
              <w:jc w:val="right"/>
              <w:rPr>
                <w:sz w:val="16"/>
                <w:szCs w:val="16"/>
                <w:lang w:val="fr-BE"/>
              </w:rPr>
            </w:pPr>
            <w:r w:rsidRPr="0024468B">
              <w:rPr>
                <w:noProof/>
                <w:sz w:val="16"/>
                <w:szCs w:val="16"/>
                <w:lang w:val="fr-BE"/>
              </w:rPr>
              <w:t>2 603,41</w:t>
            </w:r>
          </w:p>
        </w:tc>
        <w:tc>
          <w:tcPr>
            <w:tcW w:w="0" w:type="auto"/>
          </w:tcPr>
          <w:p w14:paraId="629E16AE"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65D8F4CA"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4F33D295"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122278DF"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4F83B537"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r w:rsidR="006B2EC1" w14:paraId="058CA29A" w14:textId="77777777" w:rsidTr="0047688D">
        <w:tc>
          <w:tcPr>
            <w:tcW w:w="0" w:type="auto"/>
          </w:tcPr>
          <w:p w14:paraId="478F15E0" w14:textId="77777777" w:rsidR="008C5CFA" w:rsidRPr="0024468B" w:rsidRDefault="00E82A60" w:rsidP="00300A01">
            <w:pPr>
              <w:spacing w:before="0" w:after="0"/>
              <w:rPr>
                <w:sz w:val="16"/>
                <w:szCs w:val="16"/>
                <w:lang w:val="fr-BE"/>
              </w:rPr>
            </w:pPr>
            <w:r>
              <w:rPr>
                <w:noProof/>
                <w:sz w:val="16"/>
                <w:szCs w:val="16"/>
                <w:lang w:val="fr-BE"/>
              </w:rPr>
              <w:t>F</w:t>
            </w:r>
          </w:p>
        </w:tc>
        <w:tc>
          <w:tcPr>
            <w:tcW w:w="0" w:type="auto"/>
            <w:shd w:val="clear" w:color="auto" w:fill="auto"/>
          </w:tcPr>
          <w:p w14:paraId="57472098" w14:textId="77777777" w:rsidR="008C5CFA" w:rsidRPr="0024468B" w:rsidRDefault="00E82A60" w:rsidP="00300A01">
            <w:pPr>
              <w:spacing w:before="0" w:after="0"/>
              <w:rPr>
                <w:sz w:val="16"/>
                <w:szCs w:val="16"/>
                <w:lang w:val="fr-BE"/>
              </w:rPr>
            </w:pPr>
            <w:r>
              <w:rPr>
                <w:noProof/>
                <w:sz w:val="16"/>
                <w:szCs w:val="16"/>
                <w:lang w:val="fr-BE"/>
              </w:rPr>
              <w:t>39</w:t>
            </w:r>
          </w:p>
        </w:tc>
        <w:tc>
          <w:tcPr>
            <w:tcW w:w="0" w:type="auto"/>
            <w:shd w:val="clear" w:color="auto" w:fill="auto"/>
          </w:tcPr>
          <w:p w14:paraId="5EBA4879" w14:textId="77777777" w:rsidR="008C5CFA" w:rsidRPr="0024468B" w:rsidRDefault="00E82A60" w:rsidP="00300A01">
            <w:pPr>
              <w:spacing w:before="0" w:after="0"/>
              <w:rPr>
                <w:sz w:val="16"/>
                <w:szCs w:val="16"/>
                <w:lang w:val="fr-BE"/>
              </w:rPr>
            </w:pPr>
            <w:r>
              <w:rPr>
                <w:noProof/>
                <w:sz w:val="16"/>
                <w:szCs w:val="16"/>
                <w:lang w:val="fr-BE"/>
              </w:rPr>
              <w:t>Długość ścieżek rowerowych</w:t>
            </w:r>
          </w:p>
        </w:tc>
        <w:tc>
          <w:tcPr>
            <w:tcW w:w="0" w:type="auto"/>
          </w:tcPr>
          <w:p w14:paraId="2B7B4152"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3285A7D4"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4C843CF7"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0823BE7A"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5E4F13A1"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1AB0E201"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0EDB0407"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033634D9"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51961411"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r w:rsidR="006B2EC1" w14:paraId="4B471B3C" w14:textId="77777777" w:rsidTr="0047688D">
        <w:tc>
          <w:tcPr>
            <w:tcW w:w="0" w:type="auto"/>
          </w:tcPr>
          <w:p w14:paraId="7F46B0ED" w14:textId="77777777" w:rsidR="008C5CFA" w:rsidRPr="0024468B" w:rsidRDefault="00E82A60" w:rsidP="00300A01">
            <w:pPr>
              <w:spacing w:before="0" w:after="0"/>
              <w:rPr>
                <w:sz w:val="16"/>
                <w:szCs w:val="16"/>
                <w:lang w:val="fr-BE"/>
              </w:rPr>
            </w:pPr>
            <w:r>
              <w:rPr>
                <w:noProof/>
                <w:sz w:val="16"/>
                <w:szCs w:val="16"/>
                <w:lang w:val="fr-BE"/>
              </w:rPr>
              <w:t>S</w:t>
            </w:r>
          </w:p>
        </w:tc>
        <w:tc>
          <w:tcPr>
            <w:tcW w:w="0" w:type="auto"/>
            <w:shd w:val="clear" w:color="auto" w:fill="auto"/>
          </w:tcPr>
          <w:p w14:paraId="55FE8322" w14:textId="77777777" w:rsidR="008C5CFA" w:rsidRPr="0024468B" w:rsidRDefault="00E82A60" w:rsidP="00300A01">
            <w:pPr>
              <w:spacing w:before="0" w:after="0"/>
              <w:rPr>
                <w:sz w:val="16"/>
                <w:szCs w:val="16"/>
                <w:lang w:val="fr-BE"/>
              </w:rPr>
            </w:pPr>
            <w:r>
              <w:rPr>
                <w:noProof/>
                <w:sz w:val="16"/>
                <w:szCs w:val="16"/>
                <w:lang w:val="fr-BE"/>
              </w:rPr>
              <w:t>39</w:t>
            </w:r>
          </w:p>
        </w:tc>
        <w:tc>
          <w:tcPr>
            <w:tcW w:w="0" w:type="auto"/>
            <w:shd w:val="clear" w:color="auto" w:fill="auto"/>
          </w:tcPr>
          <w:p w14:paraId="1FF9A61D" w14:textId="77777777" w:rsidR="008C5CFA" w:rsidRPr="0024468B" w:rsidRDefault="00E82A60" w:rsidP="00300A01">
            <w:pPr>
              <w:spacing w:before="0" w:after="0"/>
              <w:rPr>
                <w:sz w:val="16"/>
                <w:szCs w:val="16"/>
                <w:lang w:val="fr-BE"/>
              </w:rPr>
            </w:pPr>
            <w:r>
              <w:rPr>
                <w:noProof/>
                <w:sz w:val="16"/>
                <w:szCs w:val="16"/>
                <w:lang w:val="fr-BE"/>
              </w:rPr>
              <w:t>Długość ścieżek rowerowych</w:t>
            </w:r>
          </w:p>
        </w:tc>
        <w:tc>
          <w:tcPr>
            <w:tcW w:w="0" w:type="auto"/>
          </w:tcPr>
          <w:p w14:paraId="47667C8D" w14:textId="77777777" w:rsidR="008C5CFA" w:rsidRPr="0024468B" w:rsidRDefault="00E82A60" w:rsidP="00300A01">
            <w:pPr>
              <w:spacing w:before="0" w:after="0"/>
              <w:jc w:val="right"/>
              <w:rPr>
                <w:sz w:val="16"/>
                <w:szCs w:val="16"/>
                <w:lang w:val="fr-BE"/>
              </w:rPr>
            </w:pPr>
            <w:r w:rsidRPr="0024468B">
              <w:rPr>
                <w:noProof/>
                <w:sz w:val="16"/>
                <w:szCs w:val="16"/>
                <w:lang w:val="fr-BE"/>
              </w:rPr>
              <w:t>29,54</w:t>
            </w:r>
          </w:p>
        </w:tc>
        <w:tc>
          <w:tcPr>
            <w:tcW w:w="0" w:type="auto"/>
          </w:tcPr>
          <w:p w14:paraId="41C51B25"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41AF1FD3"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7664C322"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129ED542"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7267F9A6"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19E149BF"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72D6E25A"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38B678DA"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r w:rsidR="006B2EC1" w14:paraId="73E0A09A" w14:textId="77777777" w:rsidTr="0047688D">
        <w:tc>
          <w:tcPr>
            <w:tcW w:w="0" w:type="auto"/>
          </w:tcPr>
          <w:p w14:paraId="01ECB70D" w14:textId="77777777" w:rsidR="008C5CFA" w:rsidRPr="0024468B" w:rsidRDefault="00E82A60" w:rsidP="00300A01">
            <w:pPr>
              <w:spacing w:before="0" w:after="0"/>
              <w:rPr>
                <w:sz w:val="16"/>
                <w:szCs w:val="16"/>
                <w:lang w:val="fr-BE"/>
              </w:rPr>
            </w:pPr>
            <w:r>
              <w:rPr>
                <w:noProof/>
                <w:sz w:val="16"/>
                <w:szCs w:val="16"/>
                <w:lang w:val="fr-BE"/>
              </w:rPr>
              <w:t>F</w:t>
            </w:r>
          </w:p>
        </w:tc>
        <w:tc>
          <w:tcPr>
            <w:tcW w:w="0" w:type="auto"/>
            <w:shd w:val="clear" w:color="auto" w:fill="auto"/>
          </w:tcPr>
          <w:p w14:paraId="71371090" w14:textId="77777777" w:rsidR="008C5CFA" w:rsidRPr="0024468B" w:rsidRDefault="00E82A60" w:rsidP="00300A01">
            <w:pPr>
              <w:spacing w:before="0" w:after="0"/>
              <w:rPr>
                <w:sz w:val="16"/>
                <w:szCs w:val="16"/>
                <w:lang w:val="fr-BE"/>
              </w:rPr>
            </w:pPr>
            <w:r>
              <w:rPr>
                <w:noProof/>
                <w:sz w:val="16"/>
                <w:szCs w:val="16"/>
                <w:lang w:val="fr-BE"/>
              </w:rPr>
              <w:t>74</w:t>
            </w:r>
          </w:p>
        </w:tc>
        <w:tc>
          <w:tcPr>
            <w:tcW w:w="0" w:type="auto"/>
            <w:shd w:val="clear" w:color="auto" w:fill="auto"/>
          </w:tcPr>
          <w:p w14:paraId="68834FE9" w14:textId="77777777" w:rsidR="008C5CFA" w:rsidRPr="0024468B" w:rsidRDefault="00E82A60" w:rsidP="00300A01">
            <w:pPr>
              <w:spacing w:before="0" w:after="0"/>
              <w:rPr>
                <w:sz w:val="16"/>
                <w:szCs w:val="16"/>
                <w:lang w:val="fr-BE"/>
              </w:rPr>
            </w:pPr>
            <w:r>
              <w:rPr>
                <w:noProof/>
                <w:sz w:val="16"/>
                <w:szCs w:val="16"/>
                <w:lang w:val="fr-BE"/>
              </w:rPr>
              <w:t>Liczba zmodernizowanych źródeł oświetlenia gminnego</w:t>
            </w:r>
          </w:p>
        </w:tc>
        <w:tc>
          <w:tcPr>
            <w:tcW w:w="0" w:type="auto"/>
          </w:tcPr>
          <w:p w14:paraId="109D8845" w14:textId="77777777" w:rsidR="008C5CFA" w:rsidRPr="0024468B" w:rsidRDefault="00E82A60" w:rsidP="00300A01">
            <w:pPr>
              <w:spacing w:before="0" w:after="0"/>
              <w:jc w:val="right"/>
              <w:rPr>
                <w:sz w:val="16"/>
                <w:szCs w:val="16"/>
                <w:lang w:val="fr-BE"/>
              </w:rPr>
            </w:pPr>
            <w:r w:rsidRPr="0024468B">
              <w:rPr>
                <w:noProof/>
                <w:sz w:val="16"/>
                <w:szCs w:val="16"/>
                <w:lang w:val="fr-BE"/>
              </w:rPr>
              <w:t>5 632,00</w:t>
            </w:r>
          </w:p>
        </w:tc>
        <w:tc>
          <w:tcPr>
            <w:tcW w:w="0" w:type="auto"/>
          </w:tcPr>
          <w:p w14:paraId="068184C1"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31CE90BE"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5C939E71"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26323197"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6EA52DD7"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51DC95F4"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16718D6E"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1D4B7BFF"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r w:rsidR="006B2EC1" w14:paraId="5CFAFA02" w14:textId="77777777" w:rsidTr="0047688D">
        <w:tc>
          <w:tcPr>
            <w:tcW w:w="0" w:type="auto"/>
          </w:tcPr>
          <w:p w14:paraId="0B7E3247" w14:textId="77777777" w:rsidR="008C5CFA" w:rsidRPr="0024468B" w:rsidRDefault="00E82A60" w:rsidP="00300A01">
            <w:pPr>
              <w:spacing w:before="0" w:after="0"/>
              <w:rPr>
                <w:sz w:val="16"/>
                <w:szCs w:val="16"/>
                <w:lang w:val="fr-BE"/>
              </w:rPr>
            </w:pPr>
            <w:r>
              <w:rPr>
                <w:noProof/>
                <w:sz w:val="16"/>
                <w:szCs w:val="16"/>
                <w:lang w:val="fr-BE"/>
              </w:rPr>
              <w:t>S</w:t>
            </w:r>
          </w:p>
        </w:tc>
        <w:tc>
          <w:tcPr>
            <w:tcW w:w="0" w:type="auto"/>
            <w:shd w:val="clear" w:color="auto" w:fill="auto"/>
          </w:tcPr>
          <w:p w14:paraId="035B8ADD" w14:textId="77777777" w:rsidR="008C5CFA" w:rsidRPr="0024468B" w:rsidRDefault="00E82A60" w:rsidP="00300A01">
            <w:pPr>
              <w:spacing w:before="0" w:after="0"/>
              <w:rPr>
                <w:sz w:val="16"/>
                <w:szCs w:val="16"/>
                <w:lang w:val="fr-BE"/>
              </w:rPr>
            </w:pPr>
            <w:r>
              <w:rPr>
                <w:noProof/>
                <w:sz w:val="16"/>
                <w:szCs w:val="16"/>
                <w:lang w:val="fr-BE"/>
              </w:rPr>
              <w:t>74</w:t>
            </w:r>
          </w:p>
        </w:tc>
        <w:tc>
          <w:tcPr>
            <w:tcW w:w="0" w:type="auto"/>
            <w:shd w:val="clear" w:color="auto" w:fill="auto"/>
          </w:tcPr>
          <w:p w14:paraId="69EAF52F" w14:textId="77777777" w:rsidR="008C5CFA" w:rsidRPr="0024468B" w:rsidRDefault="00E82A60" w:rsidP="00300A01">
            <w:pPr>
              <w:spacing w:before="0" w:after="0"/>
              <w:rPr>
                <w:sz w:val="16"/>
                <w:szCs w:val="16"/>
                <w:lang w:val="fr-BE"/>
              </w:rPr>
            </w:pPr>
            <w:r>
              <w:rPr>
                <w:noProof/>
                <w:sz w:val="16"/>
                <w:szCs w:val="16"/>
                <w:lang w:val="fr-BE"/>
              </w:rPr>
              <w:t>Liczba zmodernizowanych źródeł oświetlenia gminnego</w:t>
            </w:r>
          </w:p>
        </w:tc>
        <w:tc>
          <w:tcPr>
            <w:tcW w:w="0" w:type="auto"/>
          </w:tcPr>
          <w:p w14:paraId="75CCEF0D" w14:textId="77777777" w:rsidR="008C5CFA" w:rsidRPr="0024468B" w:rsidRDefault="00E82A60" w:rsidP="00300A01">
            <w:pPr>
              <w:spacing w:before="0" w:after="0"/>
              <w:jc w:val="right"/>
              <w:rPr>
                <w:sz w:val="16"/>
                <w:szCs w:val="16"/>
                <w:lang w:val="fr-BE"/>
              </w:rPr>
            </w:pPr>
            <w:r w:rsidRPr="0024468B">
              <w:rPr>
                <w:noProof/>
                <w:sz w:val="16"/>
                <w:szCs w:val="16"/>
                <w:lang w:val="fr-BE"/>
              </w:rPr>
              <w:t>15 844,00</w:t>
            </w:r>
          </w:p>
        </w:tc>
        <w:tc>
          <w:tcPr>
            <w:tcW w:w="0" w:type="auto"/>
          </w:tcPr>
          <w:p w14:paraId="51FBC3E7"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42974A43"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4108C1E9" w14:textId="77777777" w:rsidR="008C5CFA" w:rsidRPr="0024468B" w:rsidRDefault="00E82A60" w:rsidP="00300A01">
            <w:pPr>
              <w:spacing w:before="0" w:after="0"/>
              <w:jc w:val="right"/>
              <w:rPr>
                <w:sz w:val="16"/>
                <w:szCs w:val="16"/>
                <w:lang w:val="fr-BE"/>
              </w:rPr>
            </w:pPr>
            <w:r w:rsidRPr="0024468B">
              <w:rPr>
                <w:noProof/>
                <w:sz w:val="16"/>
                <w:szCs w:val="16"/>
                <w:lang w:val="fr-BE"/>
              </w:rPr>
              <w:t>9 773,00</w:t>
            </w:r>
          </w:p>
        </w:tc>
        <w:tc>
          <w:tcPr>
            <w:tcW w:w="0" w:type="auto"/>
          </w:tcPr>
          <w:p w14:paraId="0803CBC2"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14AC893A"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3A192EF1"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732AA838"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46844FEC"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bl>
    <w:p w14:paraId="2356006F"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39"/>
        <w:gridCol w:w="561"/>
        <w:gridCol w:w="7010"/>
        <w:gridCol w:w="1139"/>
        <w:gridCol w:w="1349"/>
        <w:gridCol w:w="1149"/>
        <w:gridCol w:w="1139"/>
        <w:gridCol w:w="1349"/>
        <w:gridCol w:w="1149"/>
      </w:tblGrid>
      <w:tr w:rsidR="006B2EC1" w14:paraId="46FF62F4" w14:textId="77777777" w:rsidTr="0047688D">
        <w:trPr>
          <w:tblHeader/>
        </w:trPr>
        <w:tc>
          <w:tcPr>
            <w:tcW w:w="0" w:type="auto"/>
          </w:tcPr>
          <w:p w14:paraId="355B76C5" w14:textId="77777777" w:rsidR="008C5CFA" w:rsidRPr="009143B4" w:rsidRDefault="00E82A60" w:rsidP="00300A01">
            <w:pPr>
              <w:spacing w:before="0" w:after="0"/>
              <w:rPr>
                <w:b/>
                <w:sz w:val="16"/>
                <w:szCs w:val="16"/>
                <w:lang w:val="fr-BE"/>
              </w:rPr>
            </w:pPr>
            <w:r w:rsidRPr="009143B4">
              <w:rPr>
                <w:b/>
                <w:sz w:val="16"/>
                <w:szCs w:val="16"/>
                <w:lang w:val="fr-BE"/>
              </w:rPr>
              <w:t>(1)</w:t>
            </w:r>
          </w:p>
        </w:tc>
        <w:tc>
          <w:tcPr>
            <w:tcW w:w="0" w:type="auto"/>
            <w:shd w:val="clear" w:color="auto" w:fill="auto"/>
          </w:tcPr>
          <w:p w14:paraId="10E8323F" w14:textId="77777777" w:rsidR="008C5CFA" w:rsidRPr="009143B4" w:rsidRDefault="00E82A60" w:rsidP="00300A01">
            <w:pPr>
              <w:spacing w:before="0" w:after="0"/>
              <w:rPr>
                <w:b/>
                <w:sz w:val="16"/>
                <w:szCs w:val="16"/>
                <w:lang w:val="fr-BE"/>
              </w:rPr>
            </w:pPr>
            <w:r w:rsidRPr="009143B4">
              <w:rPr>
                <w:b/>
                <w:noProof/>
                <w:sz w:val="16"/>
                <w:szCs w:val="16"/>
                <w:lang w:val="fr-BE"/>
              </w:rPr>
              <w:t>ID</w:t>
            </w:r>
          </w:p>
        </w:tc>
        <w:tc>
          <w:tcPr>
            <w:tcW w:w="0" w:type="auto"/>
            <w:shd w:val="clear" w:color="auto" w:fill="auto"/>
          </w:tcPr>
          <w:p w14:paraId="36DC43B9" w14:textId="77777777" w:rsidR="008C5CFA" w:rsidRPr="009143B4" w:rsidRDefault="00E82A60" w:rsidP="00300A01">
            <w:pPr>
              <w:spacing w:before="0" w:after="0"/>
              <w:rPr>
                <w:b/>
                <w:sz w:val="16"/>
                <w:szCs w:val="16"/>
                <w:lang w:val="fr-BE"/>
              </w:rPr>
            </w:pPr>
            <w:r w:rsidRPr="009143B4">
              <w:rPr>
                <w:b/>
                <w:noProof/>
                <w:sz w:val="16"/>
                <w:szCs w:val="16"/>
                <w:lang w:val="fr-BE"/>
              </w:rPr>
              <w:t>Wskaźnik</w:t>
            </w:r>
          </w:p>
        </w:tc>
        <w:tc>
          <w:tcPr>
            <w:tcW w:w="0" w:type="auto"/>
          </w:tcPr>
          <w:p w14:paraId="3B1EE9D2" w14:textId="77777777" w:rsidR="008C5CFA" w:rsidRPr="009143B4" w:rsidRDefault="00E82A60"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Ogółem</w:t>
            </w:r>
          </w:p>
        </w:tc>
        <w:tc>
          <w:tcPr>
            <w:tcW w:w="0" w:type="auto"/>
          </w:tcPr>
          <w:p w14:paraId="2BFD006C" w14:textId="77777777" w:rsidR="008C5CFA" w:rsidRPr="009143B4" w:rsidRDefault="00E82A60"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Mężczyźni</w:t>
            </w:r>
          </w:p>
        </w:tc>
        <w:tc>
          <w:tcPr>
            <w:tcW w:w="0" w:type="auto"/>
          </w:tcPr>
          <w:p w14:paraId="2405EEA0" w14:textId="77777777" w:rsidR="008C5CFA" w:rsidRPr="009143B4" w:rsidRDefault="00E82A60"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Kobiety</w:t>
            </w:r>
          </w:p>
        </w:tc>
        <w:tc>
          <w:tcPr>
            <w:tcW w:w="0" w:type="auto"/>
            <w:shd w:val="clear" w:color="auto" w:fill="auto"/>
          </w:tcPr>
          <w:p w14:paraId="12A03D3B" w14:textId="77777777" w:rsidR="008C5CFA" w:rsidRPr="009143B4" w:rsidRDefault="00E82A60"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Ogółem</w:t>
            </w:r>
          </w:p>
        </w:tc>
        <w:tc>
          <w:tcPr>
            <w:tcW w:w="0" w:type="auto"/>
            <w:shd w:val="clear" w:color="auto" w:fill="auto"/>
          </w:tcPr>
          <w:p w14:paraId="2859B064" w14:textId="77777777" w:rsidR="008C5CFA" w:rsidRPr="009143B4" w:rsidRDefault="00E82A60"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Mężczyźni</w:t>
            </w:r>
          </w:p>
        </w:tc>
        <w:tc>
          <w:tcPr>
            <w:tcW w:w="0" w:type="auto"/>
            <w:shd w:val="clear" w:color="auto" w:fill="auto"/>
          </w:tcPr>
          <w:p w14:paraId="13D0A966" w14:textId="77777777" w:rsidR="008C5CFA" w:rsidRPr="009143B4" w:rsidRDefault="00E82A60"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Kobiety</w:t>
            </w:r>
          </w:p>
        </w:tc>
      </w:tr>
      <w:tr w:rsidR="006B2EC1" w14:paraId="6E85FEBB" w14:textId="77777777" w:rsidTr="0047688D">
        <w:tc>
          <w:tcPr>
            <w:tcW w:w="0" w:type="auto"/>
          </w:tcPr>
          <w:p w14:paraId="4E840D9F" w14:textId="77777777" w:rsidR="008C5CFA" w:rsidRPr="0024468B" w:rsidRDefault="00E82A60" w:rsidP="00300A01">
            <w:pPr>
              <w:spacing w:before="0" w:after="0"/>
              <w:rPr>
                <w:sz w:val="16"/>
                <w:szCs w:val="16"/>
                <w:lang w:val="fr-BE"/>
              </w:rPr>
            </w:pPr>
            <w:r>
              <w:rPr>
                <w:noProof/>
                <w:sz w:val="16"/>
                <w:szCs w:val="16"/>
                <w:lang w:val="fr-BE"/>
              </w:rPr>
              <w:t>F</w:t>
            </w:r>
          </w:p>
        </w:tc>
        <w:tc>
          <w:tcPr>
            <w:tcW w:w="0" w:type="auto"/>
            <w:shd w:val="clear" w:color="auto" w:fill="auto"/>
          </w:tcPr>
          <w:p w14:paraId="3B0B6494" w14:textId="77777777" w:rsidR="008C5CFA" w:rsidRPr="0024468B" w:rsidRDefault="00E82A60" w:rsidP="00300A01">
            <w:pPr>
              <w:spacing w:before="0" w:after="0"/>
              <w:rPr>
                <w:sz w:val="16"/>
                <w:szCs w:val="16"/>
                <w:lang w:val="fr-BE"/>
              </w:rPr>
            </w:pPr>
            <w:r w:rsidRPr="0024468B">
              <w:rPr>
                <w:noProof/>
                <w:sz w:val="16"/>
                <w:szCs w:val="16"/>
                <w:lang w:val="fr-BE"/>
              </w:rPr>
              <w:t>CO34</w:t>
            </w:r>
          </w:p>
        </w:tc>
        <w:tc>
          <w:tcPr>
            <w:tcW w:w="0" w:type="auto"/>
            <w:shd w:val="clear" w:color="auto" w:fill="auto"/>
          </w:tcPr>
          <w:p w14:paraId="3F1E571C" w14:textId="77777777" w:rsidR="008C5CFA" w:rsidRPr="0024468B" w:rsidRDefault="00E82A60" w:rsidP="00300A01">
            <w:pPr>
              <w:spacing w:before="0" w:after="0"/>
              <w:rPr>
                <w:sz w:val="16"/>
                <w:szCs w:val="16"/>
                <w:lang w:val="fr-BE"/>
              </w:rPr>
            </w:pPr>
            <w:r w:rsidRPr="0024468B">
              <w:rPr>
                <w:noProof/>
                <w:sz w:val="16"/>
                <w:szCs w:val="16"/>
                <w:lang w:val="fr-BE"/>
              </w:rPr>
              <w:t>Redukcja emisji gazów cieplarnianych: szacowany roczny spadek emisji gazów cieplarnianych</w:t>
            </w:r>
          </w:p>
        </w:tc>
        <w:tc>
          <w:tcPr>
            <w:tcW w:w="0" w:type="auto"/>
          </w:tcPr>
          <w:p w14:paraId="0A00A2BE"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55701722"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48345176"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1A25FB1B"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3E1EE91D"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42E1E11D"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r w:rsidR="006B2EC1" w14:paraId="1145C546" w14:textId="77777777" w:rsidTr="0047688D">
        <w:tc>
          <w:tcPr>
            <w:tcW w:w="0" w:type="auto"/>
          </w:tcPr>
          <w:p w14:paraId="258A4D09" w14:textId="77777777" w:rsidR="008C5CFA" w:rsidRPr="0024468B" w:rsidRDefault="00E82A60" w:rsidP="00300A01">
            <w:pPr>
              <w:spacing w:before="0" w:after="0"/>
              <w:rPr>
                <w:sz w:val="16"/>
                <w:szCs w:val="16"/>
                <w:lang w:val="fr-BE"/>
              </w:rPr>
            </w:pPr>
            <w:r>
              <w:rPr>
                <w:noProof/>
                <w:sz w:val="16"/>
                <w:szCs w:val="16"/>
                <w:lang w:val="fr-BE"/>
              </w:rPr>
              <w:t>S</w:t>
            </w:r>
          </w:p>
        </w:tc>
        <w:tc>
          <w:tcPr>
            <w:tcW w:w="0" w:type="auto"/>
            <w:shd w:val="clear" w:color="auto" w:fill="auto"/>
          </w:tcPr>
          <w:p w14:paraId="45BA2AE9" w14:textId="77777777" w:rsidR="008C5CFA" w:rsidRPr="0024468B" w:rsidRDefault="00E82A60" w:rsidP="00300A01">
            <w:pPr>
              <w:spacing w:before="0" w:after="0"/>
              <w:rPr>
                <w:sz w:val="16"/>
                <w:szCs w:val="16"/>
                <w:lang w:val="fr-BE"/>
              </w:rPr>
            </w:pPr>
            <w:r w:rsidRPr="0024468B">
              <w:rPr>
                <w:noProof/>
                <w:sz w:val="16"/>
                <w:szCs w:val="16"/>
                <w:lang w:val="fr-BE"/>
              </w:rPr>
              <w:t>CO34</w:t>
            </w:r>
          </w:p>
        </w:tc>
        <w:tc>
          <w:tcPr>
            <w:tcW w:w="0" w:type="auto"/>
            <w:shd w:val="clear" w:color="auto" w:fill="auto"/>
          </w:tcPr>
          <w:p w14:paraId="120D01EB" w14:textId="77777777" w:rsidR="008C5CFA" w:rsidRPr="0024468B" w:rsidRDefault="00E82A60" w:rsidP="00300A01">
            <w:pPr>
              <w:spacing w:before="0" w:after="0"/>
              <w:rPr>
                <w:sz w:val="16"/>
                <w:szCs w:val="16"/>
                <w:lang w:val="fr-BE"/>
              </w:rPr>
            </w:pPr>
            <w:r w:rsidRPr="0024468B">
              <w:rPr>
                <w:noProof/>
                <w:sz w:val="16"/>
                <w:szCs w:val="16"/>
                <w:lang w:val="fr-BE"/>
              </w:rPr>
              <w:t>Redukcja emisji gazów cieplarnianych: szacowany roczny spadek emisji gazów cieplarnianych</w:t>
            </w:r>
          </w:p>
        </w:tc>
        <w:tc>
          <w:tcPr>
            <w:tcW w:w="0" w:type="auto"/>
          </w:tcPr>
          <w:p w14:paraId="180F3C9C"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1B94F4E8"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3C841FA7"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33BF2C6D"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48181482"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5ED7A0EE"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r w:rsidR="006B2EC1" w14:paraId="0621C020" w14:textId="77777777" w:rsidTr="0047688D">
        <w:tc>
          <w:tcPr>
            <w:tcW w:w="0" w:type="auto"/>
          </w:tcPr>
          <w:p w14:paraId="3CADB6BE" w14:textId="77777777" w:rsidR="008C5CFA" w:rsidRPr="0024468B" w:rsidRDefault="00E82A60" w:rsidP="00300A01">
            <w:pPr>
              <w:spacing w:before="0" w:after="0"/>
              <w:rPr>
                <w:sz w:val="16"/>
                <w:szCs w:val="16"/>
                <w:lang w:val="fr-BE"/>
              </w:rPr>
            </w:pPr>
            <w:r>
              <w:rPr>
                <w:noProof/>
                <w:sz w:val="16"/>
                <w:szCs w:val="16"/>
                <w:lang w:val="fr-BE"/>
              </w:rPr>
              <w:t>F</w:t>
            </w:r>
          </w:p>
        </w:tc>
        <w:tc>
          <w:tcPr>
            <w:tcW w:w="0" w:type="auto"/>
            <w:shd w:val="clear" w:color="auto" w:fill="auto"/>
          </w:tcPr>
          <w:p w14:paraId="6F486638" w14:textId="77777777" w:rsidR="008C5CFA" w:rsidRPr="0024468B" w:rsidRDefault="00E82A60" w:rsidP="00300A01">
            <w:pPr>
              <w:spacing w:before="0" w:after="0"/>
              <w:rPr>
                <w:sz w:val="16"/>
                <w:szCs w:val="16"/>
                <w:lang w:val="fr-BE"/>
              </w:rPr>
            </w:pPr>
            <w:r>
              <w:rPr>
                <w:noProof/>
                <w:sz w:val="16"/>
                <w:szCs w:val="16"/>
                <w:lang w:val="fr-BE"/>
              </w:rPr>
              <w:t>39</w:t>
            </w:r>
          </w:p>
        </w:tc>
        <w:tc>
          <w:tcPr>
            <w:tcW w:w="0" w:type="auto"/>
            <w:shd w:val="clear" w:color="auto" w:fill="auto"/>
          </w:tcPr>
          <w:p w14:paraId="47867252" w14:textId="77777777" w:rsidR="008C5CFA" w:rsidRPr="0024468B" w:rsidRDefault="00E82A60" w:rsidP="00300A01">
            <w:pPr>
              <w:spacing w:before="0" w:after="0"/>
              <w:rPr>
                <w:sz w:val="16"/>
                <w:szCs w:val="16"/>
                <w:lang w:val="fr-BE"/>
              </w:rPr>
            </w:pPr>
            <w:r>
              <w:rPr>
                <w:noProof/>
                <w:sz w:val="16"/>
                <w:szCs w:val="16"/>
                <w:lang w:val="fr-BE"/>
              </w:rPr>
              <w:t>Długość ścieżek rowerowych</w:t>
            </w:r>
          </w:p>
        </w:tc>
        <w:tc>
          <w:tcPr>
            <w:tcW w:w="0" w:type="auto"/>
          </w:tcPr>
          <w:p w14:paraId="0BDC96EC"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28969B20"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34C9E7BA"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40CBA0E3"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5EE807E5"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0683B775"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r w:rsidR="006B2EC1" w14:paraId="6A0E4670" w14:textId="77777777" w:rsidTr="0047688D">
        <w:tc>
          <w:tcPr>
            <w:tcW w:w="0" w:type="auto"/>
          </w:tcPr>
          <w:p w14:paraId="57D43D14" w14:textId="77777777" w:rsidR="008C5CFA" w:rsidRPr="0024468B" w:rsidRDefault="00E82A60" w:rsidP="00300A01">
            <w:pPr>
              <w:spacing w:before="0" w:after="0"/>
              <w:rPr>
                <w:sz w:val="16"/>
                <w:szCs w:val="16"/>
                <w:lang w:val="fr-BE"/>
              </w:rPr>
            </w:pPr>
            <w:r>
              <w:rPr>
                <w:noProof/>
                <w:sz w:val="16"/>
                <w:szCs w:val="16"/>
                <w:lang w:val="fr-BE"/>
              </w:rPr>
              <w:t>S</w:t>
            </w:r>
          </w:p>
        </w:tc>
        <w:tc>
          <w:tcPr>
            <w:tcW w:w="0" w:type="auto"/>
            <w:shd w:val="clear" w:color="auto" w:fill="auto"/>
          </w:tcPr>
          <w:p w14:paraId="0437FD9D" w14:textId="77777777" w:rsidR="008C5CFA" w:rsidRPr="0024468B" w:rsidRDefault="00E82A60" w:rsidP="00300A01">
            <w:pPr>
              <w:spacing w:before="0" w:after="0"/>
              <w:rPr>
                <w:sz w:val="16"/>
                <w:szCs w:val="16"/>
                <w:lang w:val="fr-BE"/>
              </w:rPr>
            </w:pPr>
            <w:r>
              <w:rPr>
                <w:noProof/>
                <w:sz w:val="16"/>
                <w:szCs w:val="16"/>
                <w:lang w:val="fr-BE"/>
              </w:rPr>
              <w:t>39</w:t>
            </w:r>
          </w:p>
        </w:tc>
        <w:tc>
          <w:tcPr>
            <w:tcW w:w="0" w:type="auto"/>
            <w:shd w:val="clear" w:color="auto" w:fill="auto"/>
          </w:tcPr>
          <w:p w14:paraId="73091F3D" w14:textId="77777777" w:rsidR="008C5CFA" w:rsidRPr="0024468B" w:rsidRDefault="00E82A60" w:rsidP="00300A01">
            <w:pPr>
              <w:spacing w:before="0" w:after="0"/>
              <w:rPr>
                <w:sz w:val="16"/>
                <w:szCs w:val="16"/>
                <w:lang w:val="fr-BE"/>
              </w:rPr>
            </w:pPr>
            <w:r>
              <w:rPr>
                <w:noProof/>
                <w:sz w:val="16"/>
                <w:szCs w:val="16"/>
                <w:lang w:val="fr-BE"/>
              </w:rPr>
              <w:t>Długość ścieżek rowerowych</w:t>
            </w:r>
          </w:p>
        </w:tc>
        <w:tc>
          <w:tcPr>
            <w:tcW w:w="0" w:type="auto"/>
          </w:tcPr>
          <w:p w14:paraId="400051A2"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67489209"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66174978"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266A7782"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5D7773D1"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4AA2FE9A"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r w:rsidR="006B2EC1" w14:paraId="66E7E5CE" w14:textId="77777777" w:rsidTr="0047688D">
        <w:tc>
          <w:tcPr>
            <w:tcW w:w="0" w:type="auto"/>
          </w:tcPr>
          <w:p w14:paraId="40B1377D" w14:textId="77777777" w:rsidR="008C5CFA" w:rsidRPr="0024468B" w:rsidRDefault="00E82A60" w:rsidP="00300A01">
            <w:pPr>
              <w:spacing w:before="0" w:after="0"/>
              <w:rPr>
                <w:sz w:val="16"/>
                <w:szCs w:val="16"/>
                <w:lang w:val="fr-BE"/>
              </w:rPr>
            </w:pPr>
            <w:r>
              <w:rPr>
                <w:noProof/>
                <w:sz w:val="16"/>
                <w:szCs w:val="16"/>
                <w:lang w:val="fr-BE"/>
              </w:rPr>
              <w:t>F</w:t>
            </w:r>
          </w:p>
        </w:tc>
        <w:tc>
          <w:tcPr>
            <w:tcW w:w="0" w:type="auto"/>
            <w:shd w:val="clear" w:color="auto" w:fill="auto"/>
          </w:tcPr>
          <w:p w14:paraId="69AA9977" w14:textId="77777777" w:rsidR="008C5CFA" w:rsidRPr="0024468B" w:rsidRDefault="00E82A60" w:rsidP="00300A01">
            <w:pPr>
              <w:spacing w:before="0" w:after="0"/>
              <w:rPr>
                <w:sz w:val="16"/>
                <w:szCs w:val="16"/>
                <w:lang w:val="fr-BE"/>
              </w:rPr>
            </w:pPr>
            <w:r>
              <w:rPr>
                <w:noProof/>
                <w:sz w:val="16"/>
                <w:szCs w:val="16"/>
                <w:lang w:val="fr-BE"/>
              </w:rPr>
              <w:t>74</w:t>
            </w:r>
          </w:p>
        </w:tc>
        <w:tc>
          <w:tcPr>
            <w:tcW w:w="0" w:type="auto"/>
            <w:shd w:val="clear" w:color="auto" w:fill="auto"/>
          </w:tcPr>
          <w:p w14:paraId="50CE4904" w14:textId="77777777" w:rsidR="008C5CFA" w:rsidRPr="0024468B" w:rsidRDefault="00E82A60" w:rsidP="00300A01">
            <w:pPr>
              <w:spacing w:before="0" w:after="0"/>
              <w:rPr>
                <w:sz w:val="16"/>
                <w:szCs w:val="16"/>
                <w:lang w:val="fr-BE"/>
              </w:rPr>
            </w:pPr>
            <w:r>
              <w:rPr>
                <w:noProof/>
                <w:sz w:val="16"/>
                <w:szCs w:val="16"/>
                <w:lang w:val="fr-BE"/>
              </w:rPr>
              <w:t>Liczba zmodernizowanych źródeł oświetlenia gminnego</w:t>
            </w:r>
          </w:p>
        </w:tc>
        <w:tc>
          <w:tcPr>
            <w:tcW w:w="0" w:type="auto"/>
          </w:tcPr>
          <w:p w14:paraId="14D3EFAE"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219E95CB"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5BE54D55"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06D4A5C0"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26E7717F"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17F9D833"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r w:rsidR="006B2EC1" w14:paraId="631EBB08" w14:textId="77777777" w:rsidTr="0047688D">
        <w:tc>
          <w:tcPr>
            <w:tcW w:w="0" w:type="auto"/>
          </w:tcPr>
          <w:p w14:paraId="69680266" w14:textId="77777777" w:rsidR="008C5CFA" w:rsidRPr="0024468B" w:rsidRDefault="00E82A60" w:rsidP="00300A01">
            <w:pPr>
              <w:spacing w:before="0" w:after="0"/>
              <w:rPr>
                <w:sz w:val="16"/>
                <w:szCs w:val="16"/>
                <w:lang w:val="fr-BE"/>
              </w:rPr>
            </w:pPr>
            <w:r>
              <w:rPr>
                <w:noProof/>
                <w:sz w:val="16"/>
                <w:szCs w:val="16"/>
                <w:lang w:val="fr-BE"/>
              </w:rPr>
              <w:t>S</w:t>
            </w:r>
          </w:p>
        </w:tc>
        <w:tc>
          <w:tcPr>
            <w:tcW w:w="0" w:type="auto"/>
            <w:shd w:val="clear" w:color="auto" w:fill="auto"/>
          </w:tcPr>
          <w:p w14:paraId="5630F8D7" w14:textId="77777777" w:rsidR="008C5CFA" w:rsidRPr="0024468B" w:rsidRDefault="00E82A60" w:rsidP="00300A01">
            <w:pPr>
              <w:spacing w:before="0" w:after="0"/>
              <w:rPr>
                <w:sz w:val="16"/>
                <w:szCs w:val="16"/>
                <w:lang w:val="fr-BE"/>
              </w:rPr>
            </w:pPr>
            <w:r>
              <w:rPr>
                <w:noProof/>
                <w:sz w:val="16"/>
                <w:szCs w:val="16"/>
                <w:lang w:val="fr-BE"/>
              </w:rPr>
              <w:t>74</w:t>
            </w:r>
          </w:p>
        </w:tc>
        <w:tc>
          <w:tcPr>
            <w:tcW w:w="0" w:type="auto"/>
            <w:shd w:val="clear" w:color="auto" w:fill="auto"/>
          </w:tcPr>
          <w:p w14:paraId="2FC73EA0" w14:textId="77777777" w:rsidR="008C5CFA" w:rsidRPr="0024468B" w:rsidRDefault="00E82A60" w:rsidP="00300A01">
            <w:pPr>
              <w:spacing w:before="0" w:after="0"/>
              <w:rPr>
                <w:sz w:val="16"/>
                <w:szCs w:val="16"/>
                <w:lang w:val="fr-BE"/>
              </w:rPr>
            </w:pPr>
            <w:r>
              <w:rPr>
                <w:noProof/>
                <w:sz w:val="16"/>
                <w:szCs w:val="16"/>
                <w:lang w:val="fr-BE"/>
              </w:rPr>
              <w:t>Liczba zmodernizowanych źródeł oświetlenia gminnego</w:t>
            </w:r>
          </w:p>
        </w:tc>
        <w:tc>
          <w:tcPr>
            <w:tcW w:w="0" w:type="auto"/>
          </w:tcPr>
          <w:p w14:paraId="09BA56E5"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4CA44FB4"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5692954A"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50761D1C"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5E47A438"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7D73EB81"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bl>
    <w:p w14:paraId="2CFA15D2" w14:textId="77777777" w:rsidR="008C5CFA" w:rsidRDefault="008C5CFA" w:rsidP="00300A01">
      <w:pPr>
        <w:spacing w:before="0" w:after="0"/>
        <w:rPr>
          <w:lang w:val="fr-BE"/>
        </w:rPr>
      </w:pPr>
    </w:p>
    <w:p w14:paraId="1123F30E" w14:textId="77777777" w:rsidR="008C5CFA" w:rsidRDefault="008C5CFA" w:rsidP="00300A01">
      <w:pPr>
        <w:spacing w:before="0" w:after="0"/>
        <w:rPr>
          <w:lang w:val="fr-BE"/>
        </w:rPr>
      </w:pPr>
    </w:p>
    <w:p w14:paraId="2B302ACB" w14:textId="77777777" w:rsidR="008C5CFA" w:rsidRDefault="00E82A60" w:rsidP="00300A01">
      <w:pPr>
        <w:spacing w:before="0" w:after="0"/>
        <w:rPr>
          <w:lang w:val="fr-BE"/>
        </w:rPr>
      </w:pPr>
      <w:r>
        <w:rPr>
          <w:lang w:val="fr-BE"/>
        </w:rPr>
        <w:br w:type="page"/>
      </w:r>
    </w:p>
    <w:p w14:paraId="71E664E4"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4"/>
        <w:gridCol w:w="13420"/>
      </w:tblGrid>
      <w:tr w:rsidR="006B2EC1" w14:paraId="7B3AE384" w14:textId="77777777" w:rsidTr="0047688D">
        <w:tc>
          <w:tcPr>
            <w:tcW w:w="0" w:type="auto"/>
            <w:shd w:val="clear" w:color="auto" w:fill="auto"/>
          </w:tcPr>
          <w:p w14:paraId="2EB9730B" w14:textId="77777777" w:rsidR="008C5CFA" w:rsidRPr="002124FC" w:rsidRDefault="00E82A60" w:rsidP="00300A01">
            <w:pPr>
              <w:spacing w:before="0" w:after="0"/>
              <w:rPr>
                <w:sz w:val="20"/>
                <w:szCs w:val="20"/>
                <w:lang w:val="fr-BE"/>
              </w:rPr>
            </w:pPr>
            <w:r>
              <w:rPr>
                <w:lang w:val="fr-BE"/>
              </w:rPr>
              <w:br w:type="page"/>
            </w:r>
            <w:r>
              <w:rPr>
                <w:lang w:val="fr-BE"/>
              </w:rPr>
              <w:br w:type="page"/>
            </w:r>
            <w:r>
              <w:rPr>
                <w:lang w:val="fr-BE"/>
              </w:rPr>
              <w:br w:type="page"/>
            </w:r>
            <w:r w:rsidRPr="002124FC">
              <w:rPr>
                <w:noProof/>
                <w:sz w:val="20"/>
                <w:szCs w:val="20"/>
                <w:lang w:val="fr-BE"/>
              </w:rPr>
              <w:t>Oś priorytetowa</w:t>
            </w:r>
          </w:p>
        </w:tc>
        <w:tc>
          <w:tcPr>
            <w:tcW w:w="0" w:type="auto"/>
            <w:shd w:val="clear" w:color="auto" w:fill="auto"/>
          </w:tcPr>
          <w:p w14:paraId="1B7F3C59" w14:textId="77777777" w:rsidR="008C5CFA" w:rsidRPr="002124FC" w:rsidRDefault="00E82A60" w:rsidP="00300A01">
            <w:pPr>
              <w:spacing w:before="0" w:after="0"/>
              <w:rPr>
                <w:sz w:val="20"/>
                <w:szCs w:val="20"/>
                <w:lang w:val="fr-BE"/>
              </w:rPr>
            </w:pPr>
            <w:r>
              <w:rPr>
                <w:noProof/>
                <w:sz w:val="20"/>
                <w:szCs w:val="20"/>
                <w:lang w:val="fr-BE"/>
              </w:rPr>
              <w:t>6</w:t>
            </w:r>
            <w:r w:rsidRPr="002124FC">
              <w:rPr>
                <w:sz w:val="20"/>
                <w:szCs w:val="20"/>
                <w:lang w:val="fr-BE"/>
              </w:rPr>
              <w:t xml:space="preserve"> - </w:t>
            </w:r>
            <w:r>
              <w:rPr>
                <w:noProof/>
                <w:sz w:val="20"/>
                <w:szCs w:val="20"/>
                <w:lang w:val="fr-BE"/>
              </w:rPr>
              <w:t>Rozwój miast</w:t>
            </w:r>
          </w:p>
        </w:tc>
      </w:tr>
      <w:tr w:rsidR="006B2EC1" w14:paraId="7E8A559E" w14:textId="77777777" w:rsidTr="0047688D">
        <w:tc>
          <w:tcPr>
            <w:tcW w:w="0" w:type="auto"/>
            <w:shd w:val="clear" w:color="auto" w:fill="auto"/>
          </w:tcPr>
          <w:p w14:paraId="1D374035" w14:textId="77777777" w:rsidR="008C5CFA" w:rsidRPr="002124FC" w:rsidRDefault="00E82A60"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14:paraId="6BA6F177" w14:textId="77777777" w:rsidR="008C5CFA" w:rsidRPr="002124FC" w:rsidRDefault="00E82A60" w:rsidP="00300A01">
            <w:pPr>
              <w:spacing w:before="0" w:after="0"/>
              <w:rPr>
                <w:sz w:val="20"/>
                <w:szCs w:val="20"/>
                <w:lang w:val="fr-BE"/>
              </w:rPr>
            </w:pPr>
            <w:r w:rsidRPr="002124FC">
              <w:rPr>
                <w:noProof/>
                <w:sz w:val="20"/>
                <w:szCs w:val="20"/>
                <w:lang w:val="fr-BE"/>
              </w:rPr>
              <w:t>4e</w:t>
            </w:r>
            <w:r w:rsidRPr="002124FC">
              <w:rPr>
                <w:sz w:val="20"/>
                <w:szCs w:val="20"/>
                <w:lang w:val="fr-BE"/>
              </w:rPr>
              <w:t xml:space="preserve"> - </w:t>
            </w:r>
            <w:r>
              <w:rPr>
                <w:noProof/>
                <w:sz w:val="20"/>
                <w:szCs w:val="20"/>
                <w:lang w:val="fr-BE"/>
              </w:rPr>
              <w:t>Promowanie strategii niskoemisyjnych dla wszystkich rodzajów terytoriów, w szczególności dla obszarów miejskich, w tym wspieranie zrównoważonej multimodalnej mobilności miejskiej i działań adaptacyjnych mających oddziaływanie łagodzące na zmiany klimatu</w:t>
            </w:r>
          </w:p>
        </w:tc>
      </w:tr>
      <w:tr w:rsidR="006B2EC1" w14:paraId="0D4E2CF8" w14:textId="77777777" w:rsidTr="0047688D">
        <w:tc>
          <w:tcPr>
            <w:tcW w:w="0" w:type="auto"/>
            <w:shd w:val="clear" w:color="auto" w:fill="auto"/>
          </w:tcPr>
          <w:p w14:paraId="1C03841D" w14:textId="77777777" w:rsidR="008C5CFA" w:rsidRPr="002124FC" w:rsidRDefault="00E82A60" w:rsidP="00300A01">
            <w:pPr>
              <w:spacing w:before="0" w:after="0"/>
              <w:ind w:left="113" w:hanging="113"/>
              <w:rPr>
                <w:sz w:val="20"/>
                <w:szCs w:val="20"/>
                <w:lang w:val="fr-BE"/>
              </w:rPr>
            </w:pPr>
            <w:r>
              <w:rPr>
                <w:noProof/>
                <w:sz w:val="20"/>
                <w:szCs w:val="20"/>
                <w:lang w:val="fr-BE"/>
              </w:rPr>
              <w:t>Cel szczegółowy</w:t>
            </w:r>
          </w:p>
        </w:tc>
        <w:tc>
          <w:tcPr>
            <w:tcW w:w="0" w:type="auto"/>
            <w:shd w:val="clear" w:color="auto" w:fill="auto"/>
          </w:tcPr>
          <w:p w14:paraId="4DF00DCC" w14:textId="77777777" w:rsidR="008C5CFA" w:rsidRPr="002124FC" w:rsidRDefault="00E82A60" w:rsidP="00300A01">
            <w:pPr>
              <w:spacing w:before="0" w:after="0"/>
              <w:rPr>
                <w:sz w:val="20"/>
                <w:szCs w:val="20"/>
                <w:lang w:val="fr-BE"/>
              </w:rPr>
            </w:pPr>
            <w:r>
              <w:rPr>
                <w:noProof/>
                <w:sz w:val="20"/>
                <w:szCs w:val="20"/>
                <w:lang w:val="fr-BE"/>
              </w:rPr>
              <w:t>1</w:t>
            </w:r>
            <w:r>
              <w:rPr>
                <w:sz w:val="20"/>
                <w:szCs w:val="20"/>
                <w:lang w:val="fr-BE"/>
              </w:rPr>
              <w:t xml:space="preserve"> - </w:t>
            </w:r>
            <w:r>
              <w:rPr>
                <w:noProof/>
                <w:sz w:val="20"/>
                <w:szCs w:val="20"/>
                <w:lang w:val="fr-BE"/>
              </w:rPr>
              <w:t>Obniżona emisja substancji szkodliwych do powietrza na obszarze KOF</w:t>
            </w:r>
          </w:p>
        </w:tc>
      </w:tr>
    </w:tbl>
    <w:p w14:paraId="0B1FE21D" w14:textId="77777777" w:rsidR="008C5CFA" w:rsidRDefault="008C5CFA" w:rsidP="00300A01">
      <w:pPr>
        <w:spacing w:before="0" w:after="0"/>
        <w:rPr>
          <w:lang w:val="fr-BE"/>
        </w:rPr>
      </w:pPr>
    </w:p>
    <w:p w14:paraId="613238F7" w14:textId="77777777" w:rsidR="008C5CFA" w:rsidRDefault="00E82A60" w:rsidP="00300A01">
      <w:pPr>
        <w:spacing w:before="0" w:after="0"/>
        <w:rPr>
          <w:lang w:val="fr-BE"/>
        </w:rPr>
      </w:pPr>
      <w:r>
        <w:rPr>
          <w:lang w:val="fr-BE"/>
        </w:rPr>
        <w:t xml:space="preserve">Tabela 1: Wskaźniki rezultatu dla EFRR i Funduszu Spójności (według osi priorytetowej i celu szczegółowego); ma zastosowanie także do osi priorytetowej </w:t>
      </w:r>
      <w:r>
        <w:t>"</w:t>
      </w:r>
      <w:r>
        <w:rPr>
          <w:lang w:val="fr-BE"/>
        </w:rPr>
        <w:t>Pomoc techniczna</w:t>
      </w:r>
      <w:r>
        <w:t>"</w:t>
      </w:r>
    </w:p>
    <w:p w14:paraId="5EC0520A"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5770"/>
        <w:gridCol w:w="1165"/>
        <w:gridCol w:w="1263"/>
        <w:gridCol w:w="1155"/>
        <w:gridCol w:w="949"/>
        <w:gridCol w:w="1545"/>
        <w:gridCol w:w="1008"/>
        <w:gridCol w:w="1230"/>
        <w:gridCol w:w="643"/>
      </w:tblGrid>
      <w:tr w:rsidR="006B2EC1" w14:paraId="364AFC04" w14:textId="77777777" w:rsidTr="0047688D">
        <w:tc>
          <w:tcPr>
            <w:tcW w:w="0" w:type="auto"/>
            <w:shd w:val="clear" w:color="auto" w:fill="auto"/>
          </w:tcPr>
          <w:p w14:paraId="13184292" w14:textId="77777777" w:rsidR="008C5CFA" w:rsidRPr="0024468B" w:rsidRDefault="00E82A60" w:rsidP="00300A01">
            <w:pPr>
              <w:spacing w:before="0" w:after="0"/>
              <w:rPr>
                <w:sz w:val="16"/>
                <w:szCs w:val="16"/>
                <w:lang w:val="fr-BE"/>
              </w:rPr>
            </w:pPr>
            <w:r w:rsidRPr="0024468B">
              <w:rPr>
                <w:noProof/>
                <w:sz w:val="16"/>
                <w:szCs w:val="16"/>
                <w:lang w:val="fr-BE"/>
              </w:rPr>
              <w:t>ID</w:t>
            </w:r>
          </w:p>
        </w:tc>
        <w:tc>
          <w:tcPr>
            <w:tcW w:w="0" w:type="auto"/>
            <w:shd w:val="clear" w:color="auto" w:fill="auto"/>
          </w:tcPr>
          <w:p w14:paraId="24BE94F6" w14:textId="77777777" w:rsidR="008C5CFA" w:rsidRPr="0024468B" w:rsidRDefault="00E82A60" w:rsidP="00300A01">
            <w:pPr>
              <w:spacing w:before="0" w:after="0"/>
              <w:rPr>
                <w:sz w:val="16"/>
                <w:szCs w:val="16"/>
                <w:lang w:val="fr-BE"/>
              </w:rPr>
            </w:pPr>
            <w:r w:rsidRPr="0024468B">
              <w:rPr>
                <w:noProof/>
                <w:sz w:val="16"/>
                <w:szCs w:val="16"/>
                <w:lang w:val="fr-BE"/>
              </w:rPr>
              <w:t>Wskaźnik</w:t>
            </w:r>
          </w:p>
        </w:tc>
        <w:tc>
          <w:tcPr>
            <w:tcW w:w="0" w:type="auto"/>
            <w:shd w:val="clear" w:color="auto" w:fill="auto"/>
          </w:tcPr>
          <w:p w14:paraId="3E656481" w14:textId="77777777" w:rsidR="008C5CFA" w:rsidRPr="0024468B" w:rsidRDefault="00E82A60" w:rsidP="00300A01">
            <w:pPr>
              <w:spacing w:before="0" w:after="0"/>
              <w:rPr>
                <w:sz w:val="16"/>
                <w:szCs w:val="16"/>
                <w:lang w:val="fr-BE"/>
              </w:rPr>
            </w:pPr>
            <w:r w:rsidRPr="0024468B">
              <w:rPr>
                <w:noProof/>
                <w:sz w:val="16"/>
                <w:szCs w:val="16"/>
                <w:lang w:val="fr-BE"/>
              </w:rPr>
              <w:t>Jednostka miary</w:t>
            </w:r>
          </w:p>
        </w:tc>
        <w:tc>
          <w:tcPr>
            <w:tcW w:w="0" w:type="auto"/>
            <w:shd w:val="clear" w:color="auto" w:fill="auto"/>
          </w:tcPr>
          <w:p w14:paraId="52CD791C" w14:textId="77777777" w:rsidR="008C5CFA" w:rsidRPr="0024468B" w:rsidRDefault="00E82A60" w:rsidP="00300A01">
            <w:pPr>
              <w:spacing w:before="0" w:after="0"/>
              <w:rPr>
                <w:sz w:val="16"/>
                <w:szCs w:val="16"/>
                <w:lang w:val="fr-BE"/>
              </w:rPr>
            </w:pPr>
            <w:r w:rsidRPr="0024468B">
              <w:rPr>
                <w:noProof/>
                <w:sz w:val="16"/>
                <w:szCs w:val="16"/>
                <w:lang w:val="fr-BE"/>
              </w:rPr>
              <w:t>Kategoria regionu</w:t>
            </w:r>
          </w:p>
        </w:tc>
        <w:tc>
          <w:tcPr>
            <w:tcW w:w="0" w:type="auto"/>
            <w:shd w:val="clear" w:color="auto" w:fill="auto"/>
          </w:tcPr>
          <w:p w14:paraId="2FAC159E" w14:textId="77777777" w:rsidR="008C5CFA" w:rsidRPr="0024468B" w:rsidRDefault="00E82A60" w:rsidP="00300A01">
            <w:pPr>
              <w:spacing w:before="0" w:after="0"/>
              <w:rPr>
                <w:sz w:val="16"/>
                <w:szCs w:val="16"/>
                <w:lang w:val="fr-BE"/>
              </w:rPr>
            </w:pPr>
            <w:r w:rsidRPr="0024468B">
              <w:rPr>
                <w:noProof/>
                <w:sz w:val="16"/>
                <w:szCs w:val="16"/>
                <w:lang w:val="fr-BE"/>
              </w:rPr>
              <w:t>Wartość bazowa</w:t>
            </w:r>
          </w:p>
        </w:tc>
        <w:tc>
          <w:tcPr>
            <w:tcW w:w="0" w:type="auto"/>
            <w:shd w:val="clear" w:color="auto" w:fill="auto"/>
          </w:tcPr>
          <w:p w14:paraId="77C61E32" w14:textId="77777777" w:rsidR="008C5CFA" w:rsidRPr="0024468B" w:rsidRDefault="00E82A60" w:rsidP="00300A01">
            <w:pPr>
              <w:spacing w:before="0" w:after="0"/>
              <w:rPr>
                <w:sz w:val="16"/>
                <w:szCs w:val="16"/>
                <w:lang w:val="fr-BE"/>
              </w:rPr>
            </w:pPr>
            <w:r w:rsidRPr="0024468B">
              <w:rPr>
                <w:noProof/>
                <w:sz w:val="16"/>
                <w:szCs w:val="16"/>
                <w:lang w:val="fr-BE"/>
              </w:rPr>
              <w:t>Rok bazowy</w:t>
            </w:r>
          </w:p>
        </w:tc>
        <w:tc>
          <w:tcPr>
            <w:tcW w:w="0" w:type="auto"/>
            <w:shd w:val="clear" w:color="auto" w:fill="auto"/>
          </w:tcPr>
          <w:p w14:paraId="06814F2A" w14:textId="77777777" w:rsidR="008C5CFA" w:rsidRPr="0024468B" w:rsidRDefault="00E82A60" w:rsidP="00300A01">
            <w:pPr>
              <w:spacing w:before="0" w:after="0"/>
              <w:rPr>
                <w:sz w:val="16"/>
                <w:szCs w:val="16"/>
                <w:lang w:val="fr-BE"/>
              </w:rPr>
            </w:pPr>
            <w:r w:rsidRPr="0024468B">
              <w:rPr>
                <w:noProof/>
                <w:sz w:val="16"/>
                <w:szCs w:val="16"/>
                <w:lang w:val="fr-BE"/>
              </w:rPr>
              <w:t>Wartość docelowa 2023</w:t>
            </w:r>
          </w:p>
        </w:tc>
        <w:tc>
          <w:tcPr>
            <w:tcW w:w="0" w:type="auto"/>
            <w:shd w:val="clear" w:color="auto" w:fill="auto"/>
          </w:tcPr>
          <w:p w14:paraId="29C6C06C" w14:textId="77777777" w:rsidR="008C5CFA" w:rsidRPr="0024468B" w:rsidRDefault="00E82A60" w:rsidP="00300A01">
            <w:pPr>
              <w:spacing w:before="0" w:after="0"/>
              <w:jc w:val="center"/>
              <w:rPr>
                <w:sz w:val="16"/>
                <w:szCs w:val="16"/>
                <w:lang w:val="fr-BE"/>
              </w:rPr>
            </w:pPr>
            <w:r>
              <w:rPr>
                <w:sz w:val="16"/>
                <w:szCs w:val="16"/>
                <w:lang w:val="fr-BE"/>
              </w:rPr>
              <w:t xml:space="preserve">2019 </w:t>
            </w:r>
            <w:r>
              <w:rPr>
                <w:noProof/>
                <w:sz w:val="16"/>
                <w:szCs w:val="16"/>
                <w:lang w:val="fr-BE"/>
              </w:rPr>
              <w:t>Ogółem</w:t>
            </w:r>
          </w:p>
        </w:tc>
        <w:tc>
          <w:tcPr>
            <w:tcW w:w="0" w:type="auto"/>
            <w:shd w:val="clear" w:color="auto" w:fill="auto"/>
          </w:tcPr>
          <w:p w14:paraId="48D0B19F" w14:textId="77777777" w:rsidR="008C5CFA" w:rsidRPr="0024468B" w:rsidRDefault="00E82A60" w:rsidP="00300A01">
            <w:pPr>
              <w:spacing w:before="0" w:after="0"/>
              <w:jc w:val="center"/>
              <w:rPr>
                <w:sz w:val="16"/>
                <w:szCs w:val="16"/>
                <w:lang w:val="fr-BE"/>
              </w:rPr>
            </w:pPr>
            <w:r>
              <w:rPr>
                <w:sz w:val="16"/>
                <w:szCs w:val="16"/>
                <w:lang w:val="fr-BE"/>
              </w:rPr>
              <w:t xml:space="preserve">2019 </w:t>
            </w:r>
            <w:r w:rsidRPr="0024468B">
              <w:rPr>
                <w:noProof/>
                <w:sz w:val="16"/>
                <w:szCs w:val="16"/>
                <w:lang w:val="fr-BE"/>
              </w:rPr>
              <w:t>Jakościowe</w:t>
            </w:r>
          </w:p>
        </w:tc>
        <w:tc>
          <w:tcPr>
            <w:tcW w:w="0" w:type="auto"/>
            <w:shd w:val="clear" w:color="auto" w:fill="auto"/>
          </w:tcPr>
          <w:p w14:paraId="093AF80F" w14:textId="77777777" w:rsidR="008C5CFA" w:rsidRPr="0024468B" w:rsidRDefault="00E82A60" w:rsidP="00300A01">
            <w:pPr>
              <w:spacing w:before="0" w:after="0"/>
              <w:jc w:val="center"/>
              <w:rPr>
                <w:sz w:val="16"/>
                <w:szCs w:val="16"/>
                <w:lang w:val="fr-BE"/>
              </w:rPr>
            </w:pPr>
            <w:r w:rsidRPr="0024468B">
              <w:rPr>
                <w:noProof/>
                <w:sz w:val="16"/>
                <w:szCs w:val="16"/>
                <w:lang w:val="fr-BE"/>
              </w:rPr>
              <w:t>Uwagi</w:t>
            </w:r>
          </w:p>
        </w:tc>
      </w:tr>
      <w:tr w:rsidR="006B2EC1" w14:paraId="68BDA935" w14:textId="77777777" w:rsidTr="0047688D">
        <w:tc>
          <w:tcPr>
            <w:tcW w:w="0" w:type="auto"/>
            <w:shd w:val="clear" w:color="auto" w:fill="auto"/>
          </w:tcPr>
          <w:p w14:paraId="75B2F181" w14:textId="77777777" w:rsidR="008C5CFA" w:rsidRPr="0024468B" w:rsidRDefault="00E82A60" w:rsidP="00300A01">
            <w:pPr>
              <w:spacing w:before="0" w:after="0"/>
              <w:rPr>
                <w:sz w:val="16"/>
                <w:szCs w:val="16"/>
                <w:lang w:val="fr-BE"/>
              </w:rPr>
            </w:pPr>
            <w:r w:rsidRPr="0024468B">
              <w:rPr>
                <w:noProof/>
                <w:sz w:val="16"/>
                <w:szCs w:val="16"/>
                <w:lang w:val="fr-BE"/>
              </w:rPr>
              <w:t>051</w:t>
            </w:r>
          </w:p>
        </w:tc>
        <w:tc>
          <w:tcPr>
            <w:tcW w:w="0" w:type="auto"/>
            <w:shd w:val="clear" w:color="auto" w:fill="auto"/>
          </w:tcPr>
          <w:p w14:paraId="6CE7C9B6" w14:textId="77777777" w:rsidR="008C5CFA" w:rsidRPr="0024468B" w:rsidRDefault="00E82A60" w:rsidP="00300A01">
            <w:pPr>
              <w:spacing w:before="0" w:after="0"/>
              <w:rPr>
                <w:sz w:val="16"/>
                <w:szCs w:val="16"/>
                <w:lang w:val="fr-BE"/>
              </w:rPr>
            </w:pPr>
            <w:r w:rsidRPr="0024468B">
              <w:rPr>
                <w:noProof/>
                <w:sz w:val="16"/>
                <w:szCs w:val="16"/>
                <w:lang w:val="fr-BE"/>
              </w:rPr>
              <w:t>Liczba dni w ciągu roku, w których odnotowano dobowe przekroczenia emisji pyłu PM 10 na obszarze KOF</w:t>
            </w:r>
          </w:p>
        </w:tc>
        <w:tc>
          <w:tcPr>
            <w:tcW w:w="0" w:type="auto"/>
            <w:shd w:val="clear" w:color="auto" w:fill="auto"/>
          </w:tcPr>
          <w:p w14:paraId="13324208" w14:textId="77777777" w:rsidR="008C5CFA" w:rsidRPr="0024468B" w:rsidRDefault="00E82A60" w:rsidP="00300A01">
            <w:pPr>
              <w:spacing w:before="0" w:after="0"/>
              <w:rPr>
                <w:sz w:val="16"/>
                <w:szCs w:val="16"/>
                <w:lang w:val="fr-BE"/>
              </w:rPr>
            </w:pPr>
            <w:r w:rsidRPr="0024468B">
              <w:rPr>
                <w:noProof/>
                <w:sz w:val="16"/>
                <w:szCs w:val="16"/>
                <w:lang w:val="fr-BE"/>
              </w:rPr>
              <w:t>dzień</w:t>
            </w:r>
          </w:p>
        </w:tc>
        <w:tc>
          <w:tcPr>
            <w:tcW w:w="0" w:type="auto"/>
            <w:shd w:val="clear" w:color="auto" w:fill="auto"/>
          </w:tcPr>
          <w:p w14:paraId="0A1BEA93" w14:textId="77777777" w:rsidR="008C5CFA" w:rsidRPr="0024468B" w:rsidRDefault="00E82A60"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14:paraId="6C02CFAF" w14:textId="77777777" w:rsidR="008C5CFA" w:rsidRPr="00C3185A" w:rsidRDefault="00E82A60" w:rsidP="00300A01">
            <w:pPr>
              <w:spacing w:before="0" w:after="0"/>
              <w:jc w:val="right"/>
              <w:rPr>
                <w:sz w:val="16"/>
                <w:szCs w:val="16"/>
                <w:lang w:val="fr-BE"/>
              </w:rPr>
            </w:pPr>
            <w:r w:rsidRPr="00C3185A">
              <w:rPr>
                <w:noProof/>
                <w:sz w:val="16"/>
                <w:szCs w:val="16"/>
                <w:lang w:val="fr-BE"/>
              </w:rPr>
              <w:t>80,00</w:t>
            </w:r>
          </w:p>
        </w:tc>
        <w:tc>
          <w:tcPr>
            <w:tcW w:w="0" w:type="auto"/>
            <w:shd w:val="clear" w:color="auto" w:fill="auto"/>
          </w:tcPr>
          <w:p w14:paraId="42E654F3" w14:textId="77777777" w:rsidR="008C5CFA" w:rsidRPr="0024468B" w:rsidRDefault="00E82A60" w:rsidP="00300A01">
            <w:pPr>
              <w:spacing w:before="0" w:after="0"/>
              <w:rPr>
                <w:sz w:val="16"/>
                <w:szCs w:val="16"/>
                <w:lang w:val="fr-BE"/>
              </w:rPr>
            </w:pPr>
            <w:r w:rsidRPr="0024468B">
              <w:rPr>
                <w:noProof/>
                <w:sz w:val="16"/>
                <w:szCs w:val="16"/>
                <w:lang w:val="fr-BE"/>
              </w:rPr>
              <w:t>2013</w:t>
            </w:r>
          </w:p>
        </w:tc>
        <w:tc>
          <w:tcPr>
            <w:tcW w:w="0" w:type="auto"/>
            <w:shd w:val="clear" w:color="auto" w:fill="auto"/>
          </w:tcPr>
          <w:p w14:paraId="1955C92B" w14:textId="77777777" w:rsidR="008C5CFA" w:rsidRPr="0024468B" w:rsidRDefault="00E82A60" w:rsidP="00300A01">
            <w:pPr>
              <w:spacing w:before="0" w:after="0"/>
              <w:jc w:val="right"/>
              <w:rPr>
                <w:sz w:val="16"/>
                <w:szCs w:val="16"/>
                <w:lang w:val="fr-BE"/>
              </w:rPr>
            </w:pPr>
            <w:r w:rsidRPr="0024468B">
              <w:rPr>
                <w:noProof/>
                <w:sz w:val="16"/>
                <w:szCs w:val="16"/>
                <w:lang w:val="fr-BE"/>
              </w:rPr>
              <w:t>72,00</w:t>
            </w:r>
          </w:p>
        </w:tc>
        <w:tc>
          <w:tcPr>
            <w:tcW w:w="0" w:type="auto"/>
            <w:shd w:val="clear" w:color="auto" w:fill="auto"/>
          </w:tcPr>
          <w:p w14:paraId="0B1336C3" w14:textId="77777777" w:rsidR="008C5CFA" w:rsidRPr="0024468B" w:rsidRDefault="00E82A60" w:rsidP="00300A01">
            <w:pPr>
              <w:spacing w:before="0" w:after="0"/>
              <w:jc w:val="right"/>
              <w:rPr>
                <w:sz w:val="16"/>
                <w:szCs w:val="16"/>
                <w:lang w:val="fr-BE"/>
              </w:rPr>
            </w:pPr>
            <w:r w:rsidRPr="0024468B">
              <w:rPr>
                <w:noProof/>
                <w:sz w:val="16"/>
                <w:szCs w:val="16"/>
                <w:lang w:val="fr-BE"/>
              </w:rPr>
              <w:t>38,00</w:t>
            </w:r>
          </w:p>
        </w:tc>
        <w:tc>
          <w:tcPr>
            <w:tcW w:w="0" w:type="auto"/>
            <w:shd w:val="clear" w:color="auto" w:fill="auto"/>
          </w:tcPr>
          <w:p w14:paraId="7B289CE5" w14:textId="77777777" w:rsidR="008C5CFA" w:rsidRPr="0024468B" w:rsidRDefault="008C5CFA" w:rsidP="00300A01">
            <w:pPr>
              <w:spacing w:before="0" w:after="0"/>
              <w:jc w:val="right"/>
              <w:rPr>
                <w:sz w:val="16"/>
                <w:szCs w:val="16"/>
                <w:lang w:val="fr-BE"/>
              </w:rPr>
            </w:pPr>
          </w:p>
        </w:tc>
        <w:tc>
          <w:tcPr>
            <w:tcW w:w="0" w:type="auto"/>
            <w:shd w:val="clear" w:color="auto" w:fill="auto"/>
          </w:tcPr>
          <w:p w14:paraId="6017F706" w14:textId="77777777" w:rsidR="008C5CFA" w:rsidRPr="0024468B" w:rsidRDefault="008C5CFA" w:rsidP="00300A01">
            <w:pPr>
              <w:spacing w:before="0" w:after="0"/>
              <w:rPr>
                <w:sz w:val="16"/>
                <w:szCs w:val="16"/>
                <w:lang w:val="fr-BE"/>
              </w:rPr>
            </w:pPr>
          </w:p>
          <w:p w14:paraId="126C8882" w14:textId="77777777" w:rsidR="008C5CFA" w:rsidRPr="0024468B" w:rsidRDefault="008C5CFA" w:rsidP="00300A01">
            <w:pPr>
              <w:spacing w:before="0" w:after="0"/>
              <w:rPr>
                <w:sz w:val="16"/>
                <w:szCs w:val="16"/>
                <w:lang w:val="fr-BE"/>
              </w:rPr>
            </w:pPr>
          </w:p>
        </w:tc>
      </w:tr>
    </w:tbl>
    <w:p w14:paraId="4F11491E"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
        <w:gridCol w:w="5775"/>
        <w:gridCol w:w="1008"/>
        <w:gridCol w:w="1230"/>
        <w:gridCol w:w="1008"/>
        <w:gridCol w:w="1230"/>
        <w:gridCol w:w="1008"/>
        <w:gridCol w:w="1230"/>
        <w:gridCol w:w="1008"/>
        <w:gridCol w:w="1230"/>
      </w:tblGrid>
      <w:tr w:rsidR="006B2EC1" w14:paraId="2D7851F0" w14:textId="77777777" w:rsidTr="0047688D">
        <w:tc>
          <w:tcPr>
            <w:tcW w:w="0" w:type="auto"/>
            <w:shd w:val="clear" w:color="auto" w:fill="auto"/>
          </w:tcPr>
          <w:p w14:paraId="652EEF32" w14:textId="77777777" w:rsidR="008C5CFA" w:rsidRPr="0024468B" w:rsidRDefault="00E82A60" w:rsidP="00300A01">
            <w:pPr>
              <w:spacing w:before="0" w:after="0"/>
              <w:rPr>
                <w:sz w:val="16"/>
                <w:szCs w:val="16"/>
                <w:lang w:val="fr-BE"/>
              </w:rPr>
            </w:pPr>
            <w:r w:rsidRPr="0024468B">
              <w:rPr>
                <w:noProof/>
                <w:sz w:val="16"/>
                <w:szCs w:val="16"/>
                <w:lang w:val="fr-BE"/>
              </w:rPr>
              <w:t>ID</w:t>
            </w:r>
          </w:p>
        </w:tc>
        <w:tc>
          <w:tcPr>
            <w:tcW w:w="0" w:type="auto"/>
            <w:shd w:val="clear" w:color="auto" w:fill="auto"/>
          </w:tcPr>
          <w:p w14:paraId="549B2F33" w14:textId="77777777" w:rsidR="008C5CFA" w:rsidRPr="0024468B" w:rsidRDefault="00E82A60" w:rsidP="00300A01">
            <w:pPr>
              <w:spacing w:before="0" w:after="0"/>
              <w:rPr>
                <w:sz w:val="16"/>
                <w:szCs w:val="16"/>
                <w:lang w:val="fr-BE"/>
              </w:rPr>
            </w:pPr>
            <w:r w:rsidRPr="0024468B">
              <w:rPr>
                <w:noProof/>
                <w:sz w:val="16"/>
                <w:szCs w:val="16"/>
                <w:lang w:val="fr-BE"/>
              </w:rPr>
              <w:t>Wskaźnik</w:t>
            </w:r>
          </w:p>
        </w:tc>
        <w:tc>
          <w:tcPr>
            <w:tcW w:w="0" w:type="auto"/>
          </w:tcPr>
          <w:p w14:paraId="606E8FCB" w14:textId="77777777" w:rsidR="008C5CFA" w:rsidRPr="0024468B" w:rsidRDefault="00E82A60" w:rsidP="00300A01">
            <w:pPr>
              <w:spacing w:before="0" w:after="0"/>
              <w:jc w:val="center"/>
              <w:rPr>
                <w:sz w:val="16"/>
                <w:szCs w:val="16"/>
                <w:lang w:val="fr-BE"/>
              </w:rPr>
            </w:pPr>
            <w:r>
              <w:rPr>
                <w:sz w:val="16"/>
                <w:szCs w:val="16"/>
                <w:lang w:val="fr-BE"/>
              </w:rPr>
              <w:t xml:space="preserve">2018 </w:t>
            </w:r>
            <w:r>
              <w:rPr>
                <w:noProof/>
                <w:sz w:val="16"/>
                <w:szCs w:val="16"/>
                <w:lang w:val="fr-BE"/>
              </w:rPr>
              <w:t>Ogółem</w:t>
            </w:r>
          </w:p>
        </w:tc>
        <w:tc>
          <w:tcPr>
            <w:tcW w:w="0" w:type="auto"/>
          </w:tcPr>
          <w:p w14:paraId="0C8F378A" w14:textId="77777777" w:rsidR="008C5CFA" w:rsidRPr="0024468B" w:rsidRDefault="00E82A60" w:rsidP="00300A01">
            <w:pPr>
              <w:spacing w:before="0" w:after="0"/>
              <w:jc w:val="center"/>
              <w:rPr>
                <w:sz w:val="16"/>
                <w:szCs w:val="16"/>
                <w:lang w:val="fr-BE"/>
              </w:rPr>
            </w:pPr>
            <w:r>
              <w:rPr>
                <w:sz w:val="16"/>
                <w:szCs w:val="16"/>
                <w:lang w:val="fr-BE"/>
              </w:rPr>
              <w:t xml:space="preserve">2018 </w:t>
            </w:r>
            <w:r w:rsidRPr="0024468B">
              <w:rPr>
                <w:noProof/>
                <w:sz w:val="16"/>
                <w:szCs w:val="16"/>
                <w:lang w:val="fr-BE"/>
              </w:rPr>
              <w:t>Jakościowe</w:t>
            </w:r>
          </w:p>
        </w:tc>
        <w:tc>
          <w:tcPr>
            <w:tcW w:w="0" w:type="auto"/>
          </w:tcPr>
          <w:p w14:paraId="6D5265F9" w14:textId="77777777" w:rsidR="008C5CFA" w:rsidRPr="0024468B" w:rsidRDefault="00E82A60" w:rsidP="00300A01">
            <w:pPr>
              <w:spacing w:before="0" w:after="0"/>
              <w:jc w:val="center"/>
              <w:rPr>
                <w:sz w:val="16"/>
                <w:szCs w:val="16"/>
                <w:lang w:val="fr-BE"/>
              </w:rPr>
            </w:pPr>
            <w:r>
              <w:rPr>
                <w:sz w:val="16"/>
                <w:szCs w:val="16"/>
                <w:lang w:val="fr-BE"/>
              </w:rPr>
              <w:t xml:space="preserve">2017 </w:t>
            </w:r>
            <w:r>
              <w:rPr>
                <w:noProof/>
                <w:sz w:val="16"/>
                <w:szCs w:val="16"/>
                <w:lang w:val="fr-BE"/>
              </w:rPr>
              <w:t>Ogółem</w:t>
            </w:r>
          </w:p>
        </w:tc>
        <w:tc>
          <w:tcPr>
            <w:tcW w:w="0" w:type="auto"/>
          </w:tcPr>
          <w:p w14:paraId="0D1EEE2E" w14:textId="77777777" w:rsidR="008C5CFA" w:rsidRPr="0024468B" w:rsidRDefault="00E82A60" w:rsidP="00300A01">
            <w:pPr>
              <w:spacing w:before="0" w:after="0"/>
              <w:jc w:val="center"/>
              <w:rPr>
                <w:sz w:val="16"/>
                <w:szCs w:val="16"/>
                <w:lang w:val="fr-BE"/>
              </w:rPr>
            </w:pPr>
            <w:r>
              <w:rPr>
                <w:sz w:val="16"/>
                <w:szCs w:val="16"/>
                <w:lang w:val="fr-BE"/>
              </w:rPr>
              <w:t xml:space="preserve">2017 </w:t>
            </w:r>
            <w:r w:rsidRPr="0024468B">
              <w:rPr>
                <w:noProof/>
                <w:sz w:val="16"/>
                <w:szCs w:val="16"/>
                <w:lang w:val="fr-BE"/>
              </w:rPr>
              <w:t>Jakościowe</w:t>
            </w:r>
          </w:p>
        </w:tc>
        <w:tc>
          <w:tcPr>
            <w:tcW w:w="0" w:type="auto"/>
          </w:tcPr>
          <w:p w14:paraId="76A423C3" w14:textId="77777777" w:rsidR="008C5CFA" w:rsidRPr="0024468B" w:rsidRDefault="00E82A60" w:rsidP="00300A01">
            <w:pPr>
              <w:spacing w:before="0" w:after="0"/>
              <w:jc w:val="center"/>
              <w:rPr>
                <w:sz w:val="16"/>
                <w:szCs w:val="16"/>
                <w:lang w:val="fr-BE"/>
              </w:rPr>
            </w:pPr>
            <w:r>
              <w:rPr>
                <w:sz w:val="16"/>
                <w:szCs w:val="16"/>
                <w:lang w:val="fr-BE"/>
              </w:rPr>
              <w:t xml:space="preserve">2016 </w:t>
            </w:r>
            <w:r>
              <w:rPr>
                <w:noProof/>
                <w:sz w:val="16"/>
                <w:szCs w:val="16"/>
                <w:lang w:val="fr-BE"/>
              </w:rPr>
              <w:t>Ogółem</w:t>
            </w:r>
          </w:p>
        </w:tc>
        <w:tc>
          <w:tcPr>
            <w:tcW w:w="0" w:type="auto"/>
          </w:tcPr>
          <w:p w14:paraId="11FCF3DE" w14:textId="77777777" w:rsidR="008C5CFA" w:rsidRPr="0024468B" w:rsidRDefault="00E82A60" w:rsidP="00300A01">
            <w:pPr>
              <w:spacing w:before="0" w:after="0"/>
              <w:jc w:val="center"/>
              <w:rPr>
                <w:sz w:val="16"/>
                <w:szCs w:val="16"/>
                <w:lang w:val="fr-BE"/>
              </w:rPr>
            </w:pPr>
            <w:r>
              <w:rPr>
                <w:sz w:val="16"/>
                <w:szCs w:val="16"/>
                <w:lang w:val="fr-BE"/>
              </w:rPr>
              <w:t xml:space="preserve">2016 </w:t>
            </w:r>
            <w:r w:rsidRPr="0024468B">
              <w:rPr>
                <w:noProof/>
                <w:sz w:val="16"/>
                <w:szCs w:val="16"/>
                <w:lang w:val="fr-BE"/>
              </w:rPr>
              <w:t>Jakościowe</w:t>
            </w:r>
          </w:p>
        </w:tc>
        <w:tc>
          <w:tcPr>
            <w:tcW w:w="0" w:type="auto"/>
          </w:tcPr>
          <w:p w14:paraId="30244139" w14:textId="77777777" w:rsidR="008C5CFA" w:rsidRPr="0024468B" w:rsidRDefault="00E82A60" w:rsidP="00300A01">
            <w:pPr>
              <w:spacing w:before="0" w:after="0"/>
              <w:jc w:val="center"/>
              <w:rPr>
                <w:sz w:val="16"/>
                <w:szCs w:val="16"/>
                <w:lang w:val="fr-BE"/>
              </w:rPr>
            </w:pPr>
            <w:r>
              <w:rPr>
                <w:sz w:val="16"/>
                <w:szCs w:val="16"/>
                <w:lang w:val="fr-BE"/>
              </w:rPr>
              <w:t xml:space="preserve">2015 </w:t>
            </w:r>
            <w:r>
              <w:rPr>
                <w:noProof/>
                <w:sz w:val="16"/>
                <w:szCs w:val="16"/>
                <w:lang w:val="fr-BE"/>
              </w:rPr>
              <w:t>Ogółem</w:t>
            </w:r>
          </w:p>
        </w:tc>
        <w:tc>
          <w:tcPr>
            <w:tcW w:w="0" w:type="auto"/>
          </w:tcPr>
          <w:p w14:paraId="79E6FCAC" w14:textId="77777777" w:rsidR="008C5CFA" w:rsidRPr="0024468B" w:rsidRDefault="00E82A60" w:rsidP="00300A01">
            <w:pPr>
              <w:spacing w:before="0" w:after="0"/>
              <w:jc w:val="center"/>
              <w:rPr>
                <w:sz w:val="16"/>
                <w:szCs w:val="16"/>
                <w:lang w:val="fr-BE"/>
              </w:rPr>
            </w:pPr>
            <w:r>
              <w:rPr>
                <w:sz w:val="16"/>
                <w:szCs w:val="16"/>
                <w:lang w:val="fr-BE"/>
              </w:rPr>
              <w:t xml:space="preserve">2015 </w:t>
            </w:r>
            <w:r w:rsidRPr="0024468B">
              <w:rPr>
                <w:noProof/>
                <w:sz w:val="16"/>
                <w:szCs w:val="16"/>
                <w:lang w:val="fr-BE"/>
              </w:rPr>
              <w:t>Jakościowe</w:t>
            </w:r>
          </w:p>
        </w:tc>
      </w:tr>
      <w:tr w:rsidR="006B2EC1" w14:paraId="15EEE2CE" w14:textId="77777777" w:rsidTr="0047688D">
        <w:tc>
          <w:tcPr>
            <w:tcW w:w="0" w:type="auto"/>
            <w:shd w:val="clear" w:color="auto" w:fill="auto"/>
          </w:tcPr>
          <w:p w14:paraId="7BEC3CF9" w14:textId="77777777" w:rsidR="008C5CFA" w:rsidRPr="0024468B" w:rsidRDefault="00E82A60" w:rsidP="00300A01">
            <w:pPr>
              <w:spacing w:before="0" w:after="0"/>
              <w:rPr>
                <w:sz w:val="16"/>
                <w:szCs w:val="16"/>
                <w:lang w:val="fr-BE"/>
              </w:rPr>
            </w:pPr>
            <w:r w:rsidRPr="0024468B">
              <w:rPr>
                <w:noProof/>
                <w:sz w:val="16"/>
                <w:szCs w:val="16"/>
                <w:lang w:val="fr-BE"/>
              </w:rPr>
              <w:t>051</w:t>
            </w:r>
          </w:p>
        </w:tc>
        <w:tc>
          <w:tcPr>
            <w:tcW w:w="0" w:type="auto"/>
            <w:shd w:val="clear" w:color="auto" w:fill="auto"/>
          </w:tcPr>
          <w:p w14:paraId="30EC2607" w14:textId="77777777" w:rsidR="008C5CFA" w:rsidRPr="0024468B" w:rsidRDefault="00E82A60" w:rsidP="00300A01">
            <w:pPr>
              <w:spacing w:before="0" w:after="0"/>
              <w:rPr>
                <w:sz w:val="16"/>
                <w:szCs w:val="16"/>
                <w:lang w:val="fr-BE"/>
              </w:rPr>
            </w:pPr>
            <w:r w:rsidRPr="0024468B">
              <w:rPr>
                <w:noProof/>
                <w:sz w:val="16"/>
                <w:szCs w:val="16"/>
                <w:lang w:val="fr-BE"/>
              </w:rPr>
              <w:t>Liczba dni w ciągu roku, w których odnotowano dobowe przekroczenia emisji pyłu PM 10 na obszarze KOF</w:t>
            </w:r>
          </w:p>
        </w:tc>
        <w:tc>
          <w:tcPr>
            <w:tcW w:w="0" w:type="auto"/>
          </w:tcPr>
          <w:p w14:paraId="6E7BA0E6" w14:textId="77777777" w:rsidR="008C5CFA" w:rsidRPr="0024468B" w:rsidRDefault="00E82A60" w:rsidP="00300A01">
            <w:pPr>
              <w:spacing w:before="0" w:after="0"/>
              <w:jc w:val="right"/>
              <w:rPr>
                <w:sz w:val="16"/>
                <w:szCs w:val="16"/>
                <w:lang w:val="fr-BE"/>
              </w:rPr>
            </w:pPr>
            <w:r w:rsidRPr="0024468B">
              <w:rPr>
                <w:noProof/>
                <w:sz w:val="16"/>
                <w:szCs w:val="16"/>
                <w:lang w:val="fr-BE"/>
              </w:rPr>
              <w:t>60,33</w:t>
            </w:r>
          </w:p>
        </w:tc>
        <w:tc>
          <w:tcPr>
            <w:tcW w:w="0" w:type="auto"/>
          </w:tcPr>
          <w:p w14:paraId="17D886E7" w14:textId="77777777" w:rsidR="008C5CFA" w:rsidRPr="0024468B" w:rsidRDefault="008C5CFA" w:rsidP="00300A01">
            <w:pPr>
              <w:spacing w:before="0" w:after="0"/>
              <w:jc w:val="right"/>
              <w:rPr>
                <w:sz w:val="16"/>
                <w:szCs w:val="16"/>
                <w:lang w:val="fr-BE"/>
              </w:rPr>
            </w:pPr>
          </w:p>
        </w:tc>
        <w:tc>
          <w:tcPr>
            <w:tcW w:w="0" w:type="auto"/>
          </w:tcPr>
          <w:p w14:paraId="68BBFC65" w14:textId="77777777" w:rsidR="008C5CFA" w:rsidRPr="0024468B" w:rsidRDefault="00E82A60" w:rsidP="00300A01">
            <w:pPr>
              <w:spacing w:before="0" w:after="0"/>
              <w:jc w:val="right"/>
              <w:rPr>
                <w:sz w:val="16"/>
                <w:szCs w:val="16"/>
                <w:lang w:val="fr-BE"/>
              </w:rPr>
            </w:pPr>
            <w:r w:rsidRPr="0024468B">
              <w:rPr>
                <w:noProof/>
                <w:sz w:val="16"/>
                <w:szCs w:val="16"/>
                <w:lang w:val="fr-BE"/>
              </w:rPr>
              <w:t>62,00</w:t>
            </w:r>
          </w:p>
        </w:tc>
        <w:tc>
          <w:tcPr>
            <w:tcW w:w="0" w:type="auto"/>
          </w:tcPr>
          <w:p w14:paraId="0ECE9C8A" w14:textId="77777777" w:rsidR="008C5CFA" w:rsidRPr="0024468B" w:rsidRDefault="008C5CFA" w:rsidP="00300A01">
            <w:pPr>
              <w:spacing w:before="0" w:after="0"/>
              <w:jc w:val="right"/>
              <w:rPr>
                <w:sz w:val="16"/>
                <w:szCs w:val="16"/>
                <w:lang w:val="fr-BE"/>
              </w:rPr>
            </w:pPr>
          </w:p>
        </w:tc>
        <w:tc>
          <w:tcPr>
            <w:tcW w:w="0" w:type="auto"/>
          </w:tcPr>
          <w:p w14:paraId="2758188D" w14:textId="77777777" w:rsidR="008C5CFA" w:rsidRPr="0024468B" w:rsidRDefault="00E82A60" w:rsidP="00300A01">
            <w:pPr>
              <w:spacing w:before="0" w:after="0"/>
              <w:jc w:val="right"/>
              <w:rPr>
                <w:sz w:val="16"/>
                <w:szCs w:val="16"/>
                <w:lang w:val="fr-BE"/>
              </w:rPr>
            </w:pPr>
            <w:r w:rsidRPr="0024468B">
              <w:rPr>
                <w:noProof/>
                <w:sz w:val="16"/>
                <w:szCs w:val="16"/>
                <w:lang w:val="fr-BE"/>
              </w:rPr>
              <w:t>45,00</w:t>
            </w:r>
          </w:p>
        </w:tc>
        <w:tc>
          <w:tcPr>
            <w:tcW w:w="0" w:type="auto"/>
          </w:tcPr>
          <w:p w14:paraId="79B29875" w14:textId="77777777" w:rsidR="008C5CFA" w:rsidRPr="0024468B" w:rsidRDefault="008C5CFA" w:rsidP="00300A01">
            <w:pPr>
              <w:spacing w:before="0" w:after="0"/>
              <w:jc w:val="right"/>
              <w:rPr>
                <w:sz w:val="16"/>
                <w:szCs w:val="16"/>
                <w:lang w:val="fr-BE"/>
              </w:rPr>
            </w:pPr>
          </w:p>
        </w:tc>
        <w:tc>
          <w:tcPr>
            <w:tcW w:w="0" w:type="auto"/>
          </w:tcPr>
          <w:p w14:paraId="538FCC65" w14:textId="77777777" w:rsidR="008C5CFA" w:rsidRPr="0024468B" w:rsidRDefault="00E82A60" w:rsidP="00300A01">
            <w:pPr>
              <w:spacing w:before="0" w:after="0"/>
              <w:jc w:val="right"/>
              <w:rPr>
                <w:sz w:val="16"/>
                <w:szCs w:val="16"/>
                <w:lang w:val="fr-BE"/>
              </w:rPr>
            </w:pPr>
            <w:r w:rsidRPr="0024468B">
              <w:rPr>
                <w:noProof/>
                <w:sz w:val="16"/>
                <w:szCs w:val="16"/>
                <w:lang w:val="fr-BE"/>
              </w:rPr>
              <w:t>66,00</w:t>
            </w:r>
          </w:p>
        </w:tc>
        <w:tc>
          <w:tcPr>
            <w:tcW w:w="0" w:type="auto"/>
          </w:tcPr>
          <w:p w14:paraId="4EA11D53" w14:textId="77777777" w:rsidR="008C5CFA" w:rsidRPr="0024468B" w:rsidRDefault="008C5CFA" w:rsidP="00300A01">
            <w:pPr>
              <w:spacing w:before="0" w:after="0"/>
              <w:jc w:val="right"/>
              <w:rPr>
                <w:sz w:val="16"/>
                <w:szCs w:val="16"/>
                <w:lang w:val="fr-BE"/>
              </w:rPr>
            </w:pPr>
          </w:p>
        </w:tc>
      </w:tr>
    </w:tbl>
    <w:p w14:paraId="087FB0A9"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9"/>
        <w:gridCol w:w="10860"/>
        <w:gridCol w:w="1650"/>
        <w:gridCol w:w="1985"/>
      </w:tblGrid>
      <w:tr w:rsidR="006B2EC1" w14:paraId="53A463A4" w14:textId="77777777" w:rsidTr="0047688D">
        <w:tc>
          <w:tcPr>
            <w:tcW w:w="0" w:type="auto"/>
            <w:shd w:val="clear" w:color="auto" w:fill="auto"/>
          </w:tcPr>
          <w:p w14:paraId="25A9033C" w14:textId="77777777" w:rsidR="008C5CFA" w:rsidRPr="0024468B" w:rsidRDefault="00E82A60" w:rsidP="00300A01">
            <w:pPr>
              <w:spacing w:before="0" w:after="0"/>
              <w:rPr>
                <w:sz w:val="16"/>
                <w:szCs w:val="16"/>
                <w:lang w:val="fr-BE"/>
              </w:rPr>
            </w:pPr>
            <w:r w:rsidRPr="0024468B">
              <w:rPr>
                <w:noProof/>
                <w:sz w:val="16"/>
                <w:szCs w:val="16"/>
                <w:lang w:val="fr-BE"/>
              </w:rPr>
              <w:t>ID</w:t>
            </w:r>
          </w:p>
        </w:tc>
        <w:tc>
          <w:tcPr>
            <w:tcW w:w="0" w:type="auto"/>
            <w:shd w:val="clear" w:color="auto" w:fill="auto"/>
          </w:tcPr>
          <w:p w14:paraId="5FEDE558" w14:textId="77777777" w:rsidR="008C5CFA" w:rsidRPr="0024468B" w:rsidRDefault="00E82A60" w:rsidP="00300A01">
            <w:pPr>
              <w:spacing w:before="0" w:after="0"/>
              <w:rPr>
                <w:sz w:val="16"/>
                <w:szCs w:val="16"/>
                <w:lang w:val="fr-BE"/>
              </w:rPr>
            </w:pPr>
            <w:r w:rsidRPr="0024468B">
              <w:rPr>
                <w:noProof/>
                <w:sz w:val="16"/>
                <w:szCs w:val="16"/>
                <w:lang w:val="fr-BE"/>
              </w:rPr>
              <w:t>Wskaźnik</w:t>
            </w:r>
          </w:p>
        </w:tc>
        <w:tc>
          <w:tcPr>
            <w:tcW w:w="0" w:type="auto"/>
            <w:shd w:val="clear" w:color="auto" w:fill="auto"/>
          </w:tcPr>
          <w:p w14:paraId="448444EC" w14:textId="77777777" w:rsidR="008C5CFA" w:rsidRPr="0024468B" w:rsidRDefault="00E82A60" w:rsidP="00300A01">
            <w:pPr>
              <w:spacing w:before="0" w:after="0"/>
              <w:jc w:val="center"/>
              <w:rPr>
                <w:sz w:val="16"/>
                <w:szCs w:val="16"/>
                <w:lang w:val="fr-BE"/>
              </w:rPr>
            </w:pPr>
            <w:r>
              <w:rPr>
                <w:sz w:val="16"/>
                <w:szCs w:val="16"/>
                <w:lang w:val="fr-BE"/>
              </w:rPr>
              <w:t xml:space="preserve">2014 </w:t>
            </w:r>
            <w:r>
              <w:rPr>
                <w:noProof/>
                <w:sz w:val="16"/>
                <w:szCs w:val="16"/>
                <w:lang w:val="fr-BE"/>
              </w:rPr>
              <w:t>Ogółem</w:t>
            </w:r>
          </w:p>
        </w:tc>
        <w:tc>
          <w:tcPr>
            <w:tcW w:w="0" w:type="auto"/>
            <w:shd w:val="clear" w:color="auto" w:fill="auto"/>
          </w:tcPr>
          <w:p w14:paraId="2154F76A" w14:textId="77777777" w:rsidR="008C5CFA" w:rsidRPr="0024468B" w:rsidRDefault="00E82A60" w:rsidP="00300A01">
            <w:pPr>
              <w:spacing w:before="0" w:after="0"/>
              <w:jc w:val="center"/>
              <w:rPr>
                <w:sz w:val="16"/>
                <w:szCs w:val="16"/>
                <w:lang w:val="fr-BE"/>
              </w:rPr>
            </w:pPr>
            <w:r>
              <w:rPr>
                <w:sz w:val="16"/>
                <w:szCs w:val="16"/>
                <w:lang w:val="fr-BE"/>
              </w:rPr>
              <w:t xml:space="preserve">2014 </w:t>
            </w:r>
            <w:r w:rsidRPr="0024468B">
              <w:rPr>
                <w:noProof/>
                <w:sz w:val="16"/>
                <w:szCs w:val="16"/>
                <w:lang w:val="fr-BE"/>
              </w:rPr>
              <w:t>Jakościowe</w:t>
            </w:r>
          </w:p>
        </w:tc>
      </w:tr>
      <w:tr w:rsidR="006B2EC1" w14:paraId="6AB5F1E0" w14:textId="77777777" w:rsidTr="0047688D">
        <w:tc>
          <w:tcPr>
            <w:tcW w:w="0" w:type="auto"/>
            <w:shd w:val="clear" w:color="auto" w:fill="auto"/>
          </w:tcPr>
          <w:p w14:paraId="648F6504" w14:textId="77777777" w:rsidR="008C5CFA" w:rsidRPr="0024468B" w:rsidRDefault="00E82A60" w:rsidP="00300A01">
            <w:pPr>
              <w:spacing w:before="0" w:after="0"/>
              <w:rPr>
                <w:sz w:val="16"/>
                <w:szCs w:val="16"/>
                <w:lang w:val="fr-BE"/>
              </w:rPr>
            </w:pPr>
            <w:r w:rsidRPr="0024468B">
              <w:rPr>
                <w:noProof/>
                <w:sz w:val="16"/>
                <w:szCs w:val="16"/>
                <w:lang w:val="fr-BE"/>
              </w:rPr>
              <w:t>051</w:t>
            </w:r>
          </w:p>
        </w:tc>
        <w:tc>
          <w:tcPr>
            <w:tcW w:w="0" w:type="auto"/>
            <w:shd w:val="clear" w:color="auto" w:fill="auto"/>
          </w:tcPr>
          <w:p w14:paraId="6C232D82" w14:textId="77777777" w:rsidR="008C5CFA" w:rsidRPr="0024468B" w:rsidRDefault="00E82A60" w:rsidP="00300A01">
            <w:pPr>
              <w:spacing w:before="0" w:after="0"/>
              <w:rPr>
                <w:sz w:val="16"/>
                <w:szCs w:val="16"/>
                <w:lang w:val="fr-BE"/>
              </w:rPr>
            </w:pPr>
            <w:r w:rsidRPr="0024468B">
              <w:rPr>
                <w:noProof/>
                <w:sz w:val="16"/>
                <w:szCs w:val="16"/>
                <w:lang w:val="fr-BE"/>
              </w:rPr>
              <w:t>Liczba dni w ciągu roku, w których odnotowano dobowe przekroczenia emisji pyłu PM 10 na obszarze KOF</w:t>
            </w:r>
          </w:p>
        </w:tc>
        <w:tc>
          <w:tcPr>
            <w:tcW w:w="0" w:type="auto"/>
            <w:shd w:val="clear" w:color="auto" w:fill="auto"/>
          </w:tcPr>
          <w:p w14:paraId="1C95B303" w14:textId="77777777" w:rsidR="008C5CFA" w:rsidRPr="0024468B" w:rsidRDefault="00E82A60" w:rsidP="00300A01">
            <w:pPr>
              <w:spacing w:before="0" w:after="0"/>
              <w:jc w:val="right"/>
              <w:rPr>
                <w:sz w:val="16"/>
                <w:szCs w:val="16"/>
                <w:lang w:val="fr-BE"/>
              </w:rPr>
            </w:pPr>
            <w:r w:rsidRPr="0024468B">
              <w:rPr>
                <w:noProof/>
                <w:sz w:val="16"/>
                <w:szCs w:val="16"/>
                <w:lang w:val="fr-BE"/>
              </w:rPr>
              <w:t>68,00</w:t>
            </w:r>
          </w:p>
        </w:tc>
        <w:tc>
          <w:tcPr>
            <w:tcW w:w="0" w:type="auto"/>
            <w:shd w:val="clear" w:color="auto" w:fill="auto"/>
          </w:tcPr>
          <w:p w14:paraId="36014B63" w14:textId="77777777" w:rsidR="008C5CFA" w:rsidRPr="0024468B" w:rsidRDefault="008C5CFA" w:rsidP="00300A01">
            <w:pPr>
              <w:spacing w:before="0" w:after="0"/>
              <w:jc w:val="right"/>
              <w:rPr>
                <w:sz w:val="16"/>
                <w:szCs w:val="16"/>
                <w:lang w:val="fr-BE"/>
              </w:rPr>
            </w:pPr>
          </w:p>
        </w:tc>
      </w:tr>
    </w:tbl>
    <w:p w14:paraId="610D0134" w14:textId="77777777" w:rsidR="008C5CFA" w:rsidRDefault="008C5CFA" w:rsidP="00300A01">
      <w:pPr>
        <w:spacing w:before="0" w:after="0"/>
        <w:rPr>
          <w:lang w:val="fr-BE"/>
        </w:rPr>
      </w:pPr>
    </w:p>
    <w:p w14:paraId="4AF41822" w14:textId="77777777" w:rsidR="008C5CFA" w:rsidRDefault="00E82A60" w:rsidP="00300A01">
      <w:pPr>
        <w:spacing w:before="0" w:after="0"/>
        <w:rPr>
          <w:lang w:val="fr-BE"/>
        </w:rPr>
      </w:pPr>
      <w:r>
        <w:rPr>
          <w:lang w:val="fr-BE"/>
        </w:rPr>
        <w:br w:type="page"/>
      </w:r>
    </w:p>
    <w:p w14:paraId="114EADF1" w14:textId="77777777" w:rsidR="008C5CFA" w:rsidRPr="00B27C43" w:rsidRDefault="008C5CFA" w:rsidP="00300A01">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2"/>
        <w:gridCol w:w="13252"/>
      </w:tblGrid>
      <w:tr w:rsidR="006B2EC1" w14:paraId="58F780B2" w14:textId="77777777" w:rsidTr="0047688D">
        <w:tc>
          <w:tcPr>
            <w:tcW w:w="0" w:type="auto"/>
            <w:shd w:val="clear" w:color="auto" w:fill="auto"/>
          </w:tcPr>
          <w:p w14:paraId="1273A502" w14:textId="77777777" w:rsidR="008C5CFA" w:rsidRPr="002124FC" w:rsidRDefault="00E82A60" w:rsidP="00300A01">
            <w:pPr>
              <w:spacing w:before="0" w:after="0"/>
              <w:rPr>
                <w:sz w:val="20"/>
                <w:szCs w:val="20"/>
                <w:lang w:val="fr-BE"/>
              </w:rPr>
            </w:pPr>
            <w:r>
              <w:rPr>
                <w:lang w:val="fr-BE"/>
              </w:rPr>
              <w:br w:type="page"/>
            </w:r>
            <w:r>
              <w:rPr>
                <w:lang w:val="fr-BE"/>
              </w:rPr>
              <w:br w:type="page"/>
            </w:r>
            <w:r w:rsidRPr="002124FC">
              <w:rPr>
                <w:noProof/>
                <w:sz w:val="20"/>
                <w:szCs w:val="20"/>
                <w:lang w:val="fr-BE"/>
              </w:rPr>
              <w:t>Oś priorytetowa</w:t>
            </w:r>
          </w:p>
        </w:tc>
        <w:tc>
          <w:tcPr>
            <w:tcW w:w="0" w:type="auto"/>
            <w:shd w:val="clear" w:color="auto" w:fill="auto"/>
          </w:tcPr>
          <w:p w14:paraId="798E08E0" w14:textId="77777777" w:rsidR="008C5CFA" w:rsidRPr="002124FC" w:rsidRDefault="00E82A60" w:rsidP="00300A01">
            <w:pPr>
              <w:spacing w:before="0" w:after="0"/>
              <w:rPr>
                <w:sz w:val="20"/>
                <w:szCs w:val="20"/>
                <w:lang w:val="fr-BE"/>
              </w:rPr>
            </w:pPr>
            <w:r w:rsidRPr="002124FC">
              <w:rPr>
                <w:noProof/>
                <w:sz w:val="20"/>
                <w:szCs w:val="20"/>
                <w:lang w:val="fr-BE"/>
              </w:rPr>
              <w:t>6</w:t>
            </w:r>
            <w:r w:rsidRPr="002124FC">
              <w:rPr>
                <w:sz w:val="20"/>
                <w:szCs w:val="20"/>
                <w:lang w:val="fr-BE"/>
              </w:rPr>
              <w:t xml:space="preserve"> - </w:t>
            </w:r>
            <w:r w:rsidRPr="002124FC">
              <w:rPr>
                <w:noProof/>
                <w:sz w:val="20"/>
                <w:szCs w:val="20"/>
                <w:lang w:val="fr-BE"/>
              </w:rPr>
              <w:t>Rozwój miast</w:t>
            </w:r>
          </w:p>
        </w:tc>
      </w:tr>
      <w:tr w:rsidR="006B2EC1" w14:paraId="24D8D289" w14:textId="77777777" w:rsidTr="0047688D">
        <w:tc>
          <w:tcPr>
            <w:tcW w:w="0" w:type="auto"/>
            <w:shd w:val="clear" w:color="auto" w:fill="auto"/>
          </w:tcPr>
          <w:p w14:paraId="2A11084E" w14:textId="77777777" w:rsidR="008C5CFA" w:rsidRPr="002124FC" w:rsidRDefault="00E82A60"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14:paraId="6A78516E" w14:textId="77777777" w:rsidR="008C5CFA" w:rsidRPr="002124FC" w:rsidRDefault="00E82A60" w:rsidP="00300A01">
            <w:pPr>
              <w:spacing w:before="0" w:after="0"/>
              <w:rPr>
                <w:sz w:val="20"/>
                <w:szCs w:val="20"/>
                <w:lang w:val="fr-BE"/>
              </w:rPr>
            </w:pPr>
            <w:r w:rsidRPr="002124FC">
              <w:rPr>
                <w:noProof/>
                <w:sz w:val="20"/>
                <w:szCs w:val="20"/>
                <w:lang w:val="fr-BE"/>
              </w:rPr>
              <w:t>6d</w:t>
            </w:r>
            <w:r w:rsidRPr="002124FC">
              <w:rPr>
                <w:sz w:val="20"/>
                <w:szCs w:val="20"/>
                <w:lang w:val="fr-BE"/>
              </w:rPr>
              <w:t xml:space="preserve"> - Ochrona i przywrócenie różnorodności biologicznej, ochrona i rekultywacja gleby oraz wspieranie usług ekosystemowych, także poprzez program </w:t>
            </w:r>
            <w:r>
              <w:t>"</w:t>
            </w:r>
            <w:r w:rsidRPr="002124FC">
              <w:rPr>
                <w:sz w:val="20"/>
                <w:szCs w:val="20"/>
                <w:lang w:val="fr-BE"/>
              </w:rPr>
              <w:t>Natura 2000</w:t>
            </w:r>
            <w:r>
              <w:t>"</w:t>
            </w:r>
            <w:r w:rsidRPr="002124FC">
              <w:rPr>
                <w:sz w:val="20"/>
                <w:szCs w:val="20"/>
                <w:lang w:val="fr-BE"/>
              </w:rPr>
              <w:t xml:space="preserve"> i zieloną infrastrukturę</w:t>
            </w:r>
          </w:p>
        </w:tc>
      </w:tr>
    </w:tbl>
    <w:p w14:paraId="2D11A8FD" w14:textId="77777777" w:rsidR="008C5CFA" w:rsidRDefault="008C5CFA" w:rsidP="00300A01">
      <w:pPr>
        <w:spacing w:before="0" w:after="0"/>
        <w:rPr>
          <w:lang w:val="fr-BE"/>
        </w:rPr>
      </w:pPr>
    </w:p>
    <w:p w14:paraId="198CB5DF" w14:textId="77777777" w:rsidR="008C5CFA" w:rsidRDefault="00E82A60" w:rsidP="00300A01">
      <w:pPr>
        <w:pStyle w:val="Nagwek2"/>
        <w:spacing w:before="0" w:after="0"/>
        <w:rPr>
          <w:lang w:val="fr-BE"/>
        </w:rPr>
      </w:pPr>
      <w:bookmarkStart w:id="39" w:name="_Toc46391723"/>
      <w:r>
        <w:rPr>
          <w:noProof/>
          <w:lang w:val="fr-BE"/>
        </w:rPr>
        <w:t>Tabela 3A</w:t>
      </w:r>
      <w:r>
        <w:rPr>
          <w:lang w:val="fr-BE"/>
        </w:rPr>
        <w:t xml:space="preserve">: </w:t>
      </w:r>
      <w:r>
        <w:rPr>
          <w:noProof/>
          <w:lang w:val="fr-BE"/>
        </w:rPr>
        <w:t>Wspólne i specyficzne dla danego programu wskaźniki produktu dla EFRR i Funduszu Spójności (wg osi priorytetowej, priorytetu inwestycyjnego, w podziale na kategorię regionu dla celów EFRR)</w:t>
      </w:r>
      <w:r w:rsidR="009C5874">
        <w:rPr>
          <w:lang w:val="fr-BE"/>
        </w:rPr>
        <w:t xml:space="preserve"> - </w:t>
      </w:r>
      <w:r w:rsidR="00F022AC" w:rsidRPr="002124FC">
        <w:rPr>
          <w:noProof/>
          <w:sz w:val="20"/>
          <w:szCs w:val="20"/>
          <w:lang w:val="fr-BE"/>
        </w:rPr>
        <w:t>6</w:t>
      </w:r>
      <w:r w:rsidR="00F022AC">
        <w:rPr>
          <w:sz w:val="20"/>
          <w:szCs w:val="20"/>
          <w:lang w:val="fr-BE"/>
        </w:rPr>
        <w:t xml:space="preserve"> / </w:t>
      </w:r>
      <w:r w:rsidR="00F022AC" w:rsidRPr="002124FC">
        <w:rPr>
          <w:noProof/>
          <w:sz w:val="20"/>
          <w:szCs w:val="20"/>
          <w:lang w:val="fr-BE"/>
        </w:rPr>
        <w:t>6d</w:t>
      </w:r>
      <w:bookmarkEnd w:id="39"/>
    </w:p>
    <w:p w14:paraId="4629FC2F"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02"/>
        <w:gridCol w:w="293"/>
        <w:gridCol w:w="3922"/>
        <w:gridCol w:w="1065"/>
        <w:gridCol w:w="1122"/>
        <w:gridCol w:w="1670"/>
        <w:gridCol w:w="1822"/>
        <w:gridCol w:w="1681"/>
        <w:gridCol w:w="854"/>
        <w:gridCol w:w="1040"/>
        <w:gridCol w:w="863"/>
        <w:gridCol w:w="550"/>
      </w:tblGrid>
      <w:tr w:rsidR="006B2EC1" w14:paraId="18742340" w14:textId="77777777" w:rsidTr="0047688D">
        <w:trPr>
          <w:tblHeader/>
        </w:trPr>
        <w:tc>
          <w:tcPr>
            <w:tcW w:w="0" w:type="auto"/>
          </w:tcPr>
          <w:p w14:paraId="53BC7E8D" w14:textId="77777777" w:rsidR="008C5CFA" w:rsidRPr="009143B4" w:rsidRDefault="00E82A60" w:rsidP="00300A01">
            <w:pPr>
              <w:spacing w:before="0" w:after="0"/>
              <w:rPr>
                <w:b/>
                <w:sz w:val="16"/>
                <w:szCs w:val="16"/>
                <w:lang w:val="fr-BE"/>
              </w:rPr>
            </w:pPr>
            <w:r w:rsidRPr="009143B4">
              <w:rPr>
                <w:b/>
                <w:sz w:val="16"/>
                <w:szCs w:val="16"/>
                <w:lang w:val="fr-BE"/>
              </w:rPr>
              <w:t>(1)</w:t>
            </w:r>
          </w:p>
        </w:tc>
        <w:tc>
          <w:tcPr>
            <w:tcW w:w="0" w:type="auto"/>
            <w:shd w:val="clear" w:color="auto" w:fill="auto"/>
          </w:tcPr>
          <w:p w14:paraId="014FBB26" w14:textId="77777777" w:rsidR="008C5CFA" w:rsidRPr="009143B4" w:rsidRDefault="00E82A60" w:rsidP="00300A01">
            <w:pPr>
              <w:spacing w:before="0" w:after="0"/>
              <w:rPr>
                <w:b/>
                <w:sz w:val="16"/>
                <w:szCs w:val="16"/>
                <w:lang w:val="fr-BE"/>
              </w:rPr>
            </w:pPr>
            <w:r w:rsidRPr="009143B4">
              <w:rPr>
                <w:b/>
                <w:noProof/>
                <w:sz w:val="16"/>
                <w:szCs w:val="16"/>
                <w:lang w:val="fr-BE"/>
              </w:rPr>
              <w:t>ID</w:t>
            </w:r>
          </w:p>
        </w:tc>
        <w:tc>
          <w:tcPr>
            <w:tcW w:w="0" w:type="auto"/>
            <w:shd w:val="clear" w:color="auto" w:fill="auto"/>
          </w:tcPr>
          <w:p w14:paraId="6ACB3EB3" w14:textId="77777777" w:rsidR="008C5CFA" w:rsidRPr="009143B4" w:rsidRDefault="00E82A60" w:rsidP="00300A01">
            <w:pPr>
              <w:spacing w:before="0" w:after="0"/>
              <w:rPr>
                <w:b/>
                <w:sz w:val="16"/>
                <w:szCs w:val="16"/>
                <w:lang w:val="fr-BE"/>
              </w:rPr>
            </w:pPr>
            <w:r w:rsidRPr="009143B4">
              <w:rPr>
                <w:b/>
                <w:noProof/>
                <w:sz w:val="16"/>
                <w:szCs w:val="16"/>
                <w:lang w:val="fr-BE"/>
              </w:rPr>
              <w:t>Wskaźnik</w:t>
            </w:r>
          </w:p>
        </w:tc>
        <w:tc>
          <w:tcPr>
            <w:tcW w:w="0" w:type="auto"/>
            <w:shd w:val="clear" w:color="auto" w:fill="auto"/>
          </w:tcPr>
          <w:p w14:paraId="12314514" w14:textId="77777777" w:rsidR="008C5CFA" w:rsidRPr="009143B4" w:rsidRDefault="00E82A60" w:rsidP="00300A01">
            <w:pPr>
              <w:spacing w:before="0" w:after="0"/>
              <w:rPr>
                <w:b/>
                <w:sz w:val="16"/>
                <w:szCs w:val="16"/>
                <w:lang w:val="fr-BE"/>
              </w:rPr>
            </w:pPr>
            <w:r w:rsidRPr="009143B4">
              <w:rPr>
                <w:b/>
                <w:noProof/>
                <w:sz w:val="16"/>
                <w:szCs w:val="16"/>
                <w:lang w:val="fr-BE"/>
              </w:rPr>
              <w:t>Jednostka miary</w:t>
            </w:r>
          </w:p>
        </w:tc>
        <w:tc>
          <w:tcPr>
            <w:tcW w:w="0" w:type="auto"/>
            <w:shd w:val="clear" w:color="auto" w:fill="auto"/>
          </w:tcPr>
          <w:p w14:paraId="0733CC70" w14:textId="77777777" w:rsidR="008C5CFA" w:rsidRPr="009143B4" w:rsidRDefault="00E82A60" w:rsidP="00300A01">
            <w:pPr>
              <w:spacing w:before="0" w:after="0"/>
              <w:rPr>
                <w:b/>
                <w:sz w:val="16"/>
                <w:szCs w:val="16"/>
                <w:lang w:val="fr-BE"/>
              </w:rPr>
            </w:pPr>
            <w:r w:rsidRPr="009143B4">
              <w:rPr>
                <w:b/>
                <w:noProof/>
                <w:sz w:val="16"/>
                <w:szCs w:val="16"/>
                <w:lang w:val="fr-BE"/>
              </w:rPr>
              <w:t>Kategoria regionu</w:t>
            </w:r>
          </w:p>
        </w:tc>
        <w:tc>
          <w:tcPr>
            <w:tcW w:w="0" w:type="auto"/>
            <w:shd w:val="clear" w:color="auto" w:fill="auto"/>
          </w:tcPr>
          <w:p w14:paraId="693692B1" w14:textId="77777777" w:rsidR="008C5CFA" w:rsidRPr="009143B4" w:rsidRDefault="00E82A60" w:rsidP="00300A01">
            <w:pPr>
              <w:spacing w:before="0" w:after="0"/>
              <w:jc w:val="center"/>
              <w:rPr>
                <w:b/>
                <w:sz w:val="16"/>
                <w:szCs w:val="16"/>
                <w:lang w:val="fr-BE"/>
              </w:rPr>
            </w:pPr>
            <w:r w:rsidRPr="009143B4">
              <w:rPr>
                <w:b/>
                <w:noProof/>
                <w:sz w:val="16"/>
                <w:szCs w:val="16"/>
                <w:lang w:val="fr-BE"/>
              </w:rPr>
              <w:t>Wartość docelowa (2023) ogółem</w:t>
            </w:r>
          </w:p>
        </w:tc>
        <w:tc>
          <w:tcPr>
            <w:tcW w:w="0" w:type="auto"/>
            <w:shd w:val="clear" w:color="auto" w:fill="auto"/>
          </w:tcPr>
          <w:p w14:paraId="6DA67E5E" w14:textId="77777777" w:rsidR="008C5CFA" w:rsidRPr="009143B4" w:rsidRDefault="00E82A60" w:rsidP="00300A01">
            <w:pPr>
              <w:spacing w:before="0" w:after="0"/>
              <w:jc w:val="center"/>
              <w:rPr>
                <w:b/>
                <w:sz w:val="16"/>
                <w:szCs w:val="16"/>
                <w:lang w:val="fr-BE"/>
              </w:rPr>
            </w:pPr>
            <w:r w:rsidRPr="009143B4">
              <w:rPr>
                <w:b/>
                <w:noProof/>
                <w:sz w:val="16"/>
                <w:szCs w:val="16"/>
                <w:lang w:val="fr-BE"/>
              </w:rPr>
              <w:t>Wartość docelowa (2023) mężczyźni</w:t>
            </w:r>
          </w:p>
        </w:tc>
        <w:tc>
          <w:tcPr>
            <w:tcW w:w="0" w:type="auto"/>
          </w:tcPr>
          <w:p w14:paraId="274AD5D5" w14:textId="77777777" w:rsidR="008C5CFA" w:rsidRPr="009143B4" w:rsidRDefault="00E82A60" w:rsidP="00300A01">
            <w:pPr>
              <w:spacing w:before="0" w:after="0"/>
              <w:jc w:val="center"/>
              <w:rPr>
                <w:b/>
                <w:sz w:val="16"/>
                <w:szCs w:val="16"/>
                <w:lang w:val="fr-BE"/>
              </w:rPr>
            </w:pPr>
            <w:r w:rsidRPr="009143B4">
              <w:rPr>
                <w:b/>
                <w:noProof/>
                <w:sz w:val="16"/>
                <w:szCs w:val="16"/>
                <w:lang w:val="fr-BE"/>
              </w:rPr>
              <w:t>Wartość docelowa (2023) kobiety</w:t>
            </w:r>
          </w:p>
        </w:tc>
        <w:tc>
          <w:tcPr>
            <w:tcW w:w="0" w:type="auto"/>
            <w:shd w:val="clear" w:color="auto" w:fill="auto"/>
          </w:tcPr>
          <w:p w14:paraId="7CFA259D" w14:textId="77777777" w:rsidR="008C5CFA" w:rsidRPr="009143B4" w:rsidRDefault="00E82A60" w:rsidP="00300A01">
            <w:pPr>
              <w:spacing w:before="0" w:after="0"/>
              <w:jc w:val="center"/>
              <w:rPr>
                <w:b/>
                <w:sz w:val="16"/>
                <w:szCs w:val="16"/>
                <w:lang w:val="fr-BE"/>
              </w:rPr>
            </w:pPr>
            <w:r>
              <w:rPr>
                <w:b/>
                <w:sz w:val="16"/>
                <w:szCs w:val="16"/>
                <w:lang w:val="fr-BE"/>
              </w:rPr>
              <w:t xml:space="preserve">2019 </w:t>
            </w:r>
            <w:r w:rsidRPr="009143B4">
              <w:rPr>
                <w:b/>
                <w:noProof/>
                <w:sz w:val="16"/>
                <w:szCs w:val="16"/>
                <w:lang w:val="fr-BE"/>
              </w:rPr>
              <w:t>Ogółem</w:t>
            </w:r>
          </w:p>
        </w:tc>
        <w:tc>
          <w:tcPr>
            <w:tcW w:w="0" w:type="auto"/>
            <w:shd w:val="clear" w:color="auto" w:fill="auto"/>
          </w:tcPr>
          <w:p w14:paraId="2382050D" w14:textId="77777777" w:rsidR="008C5CFA" w:rsidRPr="009143B4" w:rsidRDefault="00E82A60" w:rsidP="00300A01">
            <w:pPr>
              <w:spacing w:before="0" w:after="0"/>
              <w:jc w:val="center"/>
              <w:rPr>
                <w:b/>
                <w:sz w:val="16"/>
                <w:szCs w:val="16"/>
                <w:lang w:val="fr-BE"/>
              </w:rPr>
            </w:pPr>
            <w:r>
              <w:rPr>
                <w:b/>
                <w:sz w:val="16"/>
                <w:szCs w:val="16"/>
                <w:lang w:val="fr-BE"/>
              </w:rPr>
              <w:t xml:space="preserve">2019 </w:t>
            </w:r>
            <w:r w:rsidRPr="009143B4">
              <w:rPr>
                <w:b/>
                <w:noProof/>
                <w:sz w:val="16"/>
                <w:szCs w:val="16"/>
                <w:lang w:val="fr-BE"/>
              </w:rPr>
              <w:t>Mężczyźni</w:t>
            </w:r>
          </w:p>
        </w:tc>
        <w:tc>
          <w:tcPr>
            <w:tcW w:w="0" w:type="auto"/>
            <w:shd w:val="clear" w:color="auto" w:fill="auto"/>
          </w:tcPr>
          <w:p w14:paraId="4E0897DE" w14:textId="77777777" w:rsidR="008C5CFA" w:rsidRPr="009143B4" w:rsidRDefault="00E82A60" w:rsidP="00300A01">
            <w:pPr>
              <w:spacing w:before="0" w:after="0"/>
              <w:jc w:val="center"/>
              <w:rPr>
                <w:b/>
                <w:sz w:val="16"/>
                <w:szCs w:val="16"/>
                <w:lang w:val="fr-BE"/>
              </w:rPr>
            </w:pPr>
            <w:r>
              <w:rPr>
                <w:b/>
                <w:sz w:val="16"/>
                <w:szCs w:val="16"/>
                <w:lang w:val="fr-BE"/>
              </w:rPr>
              <w:t xml:space="preserve">2019 </w:t>
            </w:r>
            <w:r w:rsidRPr="009143B4">
              <w:rPr>
                <w:b/>
                <w:noProof/>
                <w:sz w:val="16"/>
                <w:szCs w:val="16"/>
                <w:lang w:val="fr-BE"/>
              </w:rPr>
              <w:t>Kobiety</w:t>
            </w:r>
          </w:p>
        </w:tc>
        <w:tc>
          <w:tcPr>
            <w:tcW w:w="0" w:type="auto"/>
            <w:shd w:val="clear" w:color="auto" w:fill="auto"/>
          </w:tcPr>
          <w:p w14:paraId="3AB6F8D0" w14:textId="77777777" w:rsidR="008C5CFA" w:rsidRPr="009143B4" w:rsidRDefault="00E82A60" w:rsidP="00300A01">
            <w:pPr>
              <w:spacing w:before="0" w:after="0"/>
              <w:jc w:val="center"/>
              <w:rPr>
                <w:b/>
                <w:sz w:val="16"/>
                <w:szCs w:val="16"/>
                <w:lang w:val="fr-BE"/>
              </w:rPr>
            </w:pPr>
            <w:r w:rsidRPr="009143B4">
              <w:rPr>
                <w:b/>
                <w:noProof/>
                <w:sz w:val="16"/>
                <w:szCs w:val="16"/>
                <w:lang w:val="fr-BE"/>
              </w:rPr>
              <w:t>Uwagi</w:t>
            </w:r>
          </w:p>
        </w:tc>
      </w:tr>
      <w:tr w:rsidR="006B2EC1" w14:paraId="3AE8AF91" w14:textId="77777777" w:rsidTr="0047688D">
        <w:tc>
          <w:tcPr>
            <w:tcW w:w="0" w:type="auto"/>
          </w:tcPr>
          <w:p w14:paraId="3A790001" w14:textId="77777777" w:rsidR="008C5CFA" w:rsidRPr="0024468B" w:rsidRDefault="00E82A60" w:rsidP="00300A01">
            <w:pPr>
              <w:spacing w:before="0" w:after="0"/>
              <w:rPr>
                <w:sz w:val="16"/>
                <w:szCs w:val="16"/>
                <w:lang w:val="fr-BE"/>
              </w:rPr>
            </w:pPr>
            <w:r>
              <w:rPr>
                <w:noProof/>
                <w:sz w:val="16"/>
                <w:szCs w:val="16"/>
                <w:lang w:val="fr-BE"/>
              </w:rPr>
              <w:t>F</w:t>
            </w:r>
          </w:p>
        </w:tc>
        <w:tc>
          <w:tcPr>
            <w:tcW w:w="0" w:type="auto"/>
            <w:shd w:val="clear" w:color="auto" w:fill="auto"/>
          </w:tcPr>
          <w:p w14:paraId="4F01F137" w14:textId="77777777" w:rsidR="008C5CFA" w:rsidRPr="0024468B" w:rsidRDefault="00E82A60" w:rsidP="00300A01">
            <w:pPr>
              <w:spacing w:before="0" w:after="0"/>
              <w:rPr>
                <w:sz w:val="16"/>
                <w:szCs w:val="16"/>
                <w:lang w:val="fr-BE"/>
              </w:rPr>
            </w:pPr>
            <w:r>
              <w:rPr>
                <w:noProof/>
                <w:sz w:val="16"/>
                <w:szCs w:val="16"/>
                <w:lang w:val="fr-BE"/>
              </w:rPr>
              <w:t>68</w:t>
            </w:r>
          </w:p>
        </w:tc>
        <w:tc>
          <w:tcPr>
            <w:tcW w:w="0" w:type="auto"/>
            <w:shd w:val="clear" w:color="auto" w:fill="auto"/>
          </w:tcPr>
          <w:p w14:paraId="188FB66E" w14:textId="77777777" w:rsidR="008C5CFA" w:rsidRPr="0024468B" w:rsidRDefault="00E82A60" w:rsidP="00300A01">
            <w:pPr>
              <w:spacing w:before="0" w:after="0"/>
              <w:rPr>
                <w:sz w:val="16"/>
                <w:szCs w:val="16"/>
                <w:lang w:val="fr-BE"/>
              </w:rPr>
            </w:pPr>
            <w:r>
              <w:rPr>
                <w:noProof/>
                <w:sz w:val="16"/>
                <w:szCs w:val="16"/>
                <w:lang w:val="fr-BE"/>
              </w:rPr>
              <w:t>Liczba przebudowanych lub zmodernizowanych obiektów turystycznych i rekreacyjnych</w:t>
            </w:r>
          </w:p>
        </w:tc>
        <w:tc>
          <w:tcPr>
            <w:tcW w:w="0" w:type="auto"/>
            <w:shd w:val="clear" w:color="auto" w:fill="auto"/>
          </w:tcPr>
          <w:p w14:paraId="5C565F91" w14:textId="77777777" w:rsidR="008C5CFA" w:rsidRPr="0024468B" w:rsidRDefault="00E82A60" w:rsidP="00300A01">
            <w:pPr>
              <w:spacing w:before="0" w:after="0"/>
              <w:rPr>
                <w:sz w:val="16"/>
                <w:szCs w:val="16"/>
                <w:lang w:val="fr-BE"/>
              </w:rPr>
            </w:pPr>
            <w:r w:rsidRPr="0024468B">
              <w:rPr>
                <w:noProof/>
                <w:sz w:val="16"/>
                <w:szCs w:val="16"/>
                <w:lang w:val="fr-BE"/>
              </w:rPr>
              <w:t>szt.</w:t>
            </w:r>
          </w:p>
        </w:tc>
        <w:tc>
          <w:tcPr>
            <w:tcW w:w="0" w:type="auto"/>
            <w:shd w:val="clear" w:color="auto" w:fill="auto"/>
          </w:tcPr>
          <w:p w14:paraId="789D340F" w14:textId="77777777" w:rsidR="008C5CFA" w:rsidRPr="0024468B" w:rsidRDefault="00E82A60"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14:paraId="41E3235A" w14:textId="77777777" w:rsidR="008C5CFA" w:rsidRPr="0024468B" w:rsidRDefault="00E82A60" w:rsidP="00300A01">
            <w:pPr>
              <w:spacing w:before="0" w:after="0"/>
              <w:jc w:val="right"/>
              <w:rPr>
                <w:sz w:val="16"/>
                <w:szCs w:val="16"/>
                <w:lang w:val="fr-BE"/>
              </w:rPr>
            </w:pPr>
            <w:r>
              <w:rPr>
                <w:noProof/>
                <w:sz w:val="16"/>
                <w:szCs w:val="16"/>
                <w:lang w:val="fr-BE"/>
              </w:rPr>
              <w:t>10,00</w:t>
            </w:r>
          </w:p>
        </w:tc>
        <w:tc>
          <w:tcPr>
            <w:tcW w:w="0" w:type="auto"/>
            <w:shd w:val="clear" w:color="auto" w:fill="auto"/>
          </w:tcPr>
          <w:p w14:paraId="41D00FEF" w14:textId="77777777" w:rsidR="008C5CFA" w:rsidRPr="0024468B" w:rsidRDefault="008C5CFA" w:rsidP="00300A01">
            <w:pPr>
              <w:spacing w:before="0" w:after="0"/>
              <w:jc w:val="right"/>
              <w:rPr>
                <w:sz w:val="16"/>
                <w:szCs w:val="16"/>
                <w:lang w:val="fr-BE"/>
              </w:rPr>
            </w:pPr>
          </w:p>
        </w:tc>
        <w:tc>
          <w:tcPr>
            <w:tcW w:w="0" w:type="auto"/>
          </w:tcPr>
          <w:p w14:paraId="66000E4D" w14:textId="77777777" w:rsidR="008C5CFA" w:rsidRPr="0024468B" w:rsidRDefault="008C5CFA" w:rsidP="00300A01">
            <w:pPr>
              <w:spacing w:before="0" w:after="0"/>
              <w:jc w:val="right"/>
              <w:rPr>
                <w:sz w:val="16"/>
                <w:szCs w:val="16"/>
                <w:lang w:val="fr-BE"/>
              </w:rPr>
            </w:pPr>
          </w:p>
        </w:tc>
        <w:tc>
          <w:tcPr>
            <w:tcW w:w="0" w:type="auto"/>
            <w:shd w:val="clear" w:color="auto" w:fill="auto"/>
          </w:tcPr>
          <w:p w14:paraId="2B318EF1" w14:textId="77777777" w:rsidR="008C5CFA" w:rsidRPr="0024468B" w:rsidRDefault="00E82A60" w:rsidP="00300A01">
            <w:pPr>
              <w:spacing w:before="0" w:after="0"/>
              <w:jc w:val="right"/>
              <w:rPr>
                <w:sz w:val="16"/>
                <w:szCs w:val="16"/>
                <w:lang w:val="fr-BE"/>
              </w:rPr>
            </w:pPr>
            <w:r w:rsidRPr="0024468B">
              <w:rPr>
                <w:noProof/>
                <w:sz w:val="16"/>
                <w:szCs w:val="16"/>
                <w:lang w:val="fr-BE"/>
              </w:rPr>
              <w:t>8,00</w:t>
            </w:r>
          </w:p>
        </w:tc>
        <w:tc>
          <w:tcPr>
            <w:tcW w:w="0" w:type="auto"/>
            <w:shd w:val="clear" w:color="auto" w:fill="auto"/>
          </w:tcPr>
          <w:p w14:paraId="27458DC4"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325C665B"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1DCF75D8" w14:textId="77777777" w:rsidR="008C5CFA" w:rsidRPr="0024468B" w:rsidRDefault="008C5CFA" w:rsidP="00300A01">
            <w:pPr>
              <w:spacing w:before="0" w:after="0"/>
              <w:rPr>
                <w:sz w:val="16"/>
                <w:szCs w:val="16"/>
                <w:lang w:val="fr-BE"/>
              </w:rPr>
            </w:pPr>
          </w:p>
        </w:tc>
      </w:tr>
      <w:tr w:rsidR="006B2EC1" w14:paraId="69D2BF72" w14:textId="77777777" w:rsidTr="0047688D">
        <w:tc>
          <w:tcPr>
            <w:tcW w:w="0" w:type="auto"/>
          </w:tcPr>
          <w:p w14:paraId="0BA42E30" w14:textId="77777777" w:rsidR="008C5CFA" w:rsidRPr="0024468B" w:rsidRDefault="00E82A60" w:rsidP="00300A01">
            <w:pPr>
              <w:spacing w:before="0" w:after="0"/>
              <w:rPr>
                <w:sz w:val="16"/>
                <w:szCs w:val="16"/>
                <w:lang w:val="fr-BE"/>
              </w:rPr>
            </w:pPr>
            <w:r>
              <w:rPr>
                <w:noProof/>
                <w:sz w:val="16"/>
                <w:szCs w:val="16"/>
                <w:lang w:val="fr-BE"/>
              </w:rPr>
              <w:t>S</w:t>
            </w:r>
          </w:p>
        </w:tc>
        <w:tc>
          <w:tcPr>
            <w:tcW w:w="0" w:type="auto"/>
            <w:shd w:val="clear" w:color="auto" w:fill="auto"/>
          </w:tcPr>
          <w:p w14:paraId="348C991E" w14:textId="77777777" w:rsidR="008C5CFA" w:rsidRPr="0024468B" w:rsidRDefault="00E82A60" w:rsidP="00300A01">
            <w:pPr>
              <w:spacing w:before="0" w:after="0"/>
              <w:rPr>
                <w:sz w:val="16"/>
                <w:szCs w:val="16"/>
                <w:lang w:val="fr-BE"/>
              </w:rPr>
            </w:pPr>
            <w:r>
              <w:rPr>
                <w:noProof/>
                <w:sz w:val="16"/>
                <w:szCs w:val="16"/>
                <w:lang w:val="fr-BE"/>
              </w:rPr>
              <w:t>68</w:t>
            </w:r>
          </w:p>
        </w:tc>
        <w:tc>
          <w:tcPr>
            <w:tcW w:w="0" w:type="auto"/>
            <w:shd w:val="clear" w:color="auto" w:fill="auto"/>
          </w:tcPr>
          <w:p w14:paraId="10DAD7C9" w14:textId="77777777" w:rsidR="008C5CFA" w:rsidRPr="0024468B" w:rsidRDefault="00E82A60" w:rsidP="00300A01">
            <w:pPr>
              <w:spacing w:before="0" w:after="0"/>
              <w:rPr>
                <w:sz w:val="16"/>
                <w:szCs w:val="16"/>
                <w:lang w:val="fr-BE"/>
              </w:rPr>
            </w:pPr>
            <w:r>
              <w:rPr>
                <w:noProof/>
                <w:sz w:val="16"/>
                <w:szCs w:val="16"/>
                <w:lang w:val="fr-BE"/>
              </w:rPr>
              <w:t>Liczba przebudowanych lub zmodernizowanych obiektów turystycznych i rekreacyjnych</w:t>
            </w:r>
          </w:p>
        </w:tc>
        <w:tc>
          <w:tcPr>
            <w:tcW w:w="0" w:type="auto"/>
            <w:shd w:val="clear" w:color="auto" w:fill="auto"/>
          </w:tcPr>
          <w:p w14:paraId="3695033A" w14:textId="77777777" w:rsidR="008C5CFA" w:rsidRPr="0024468B" w:rsidRDefault="00E82A60" w:rsidP="00300A01">
            <w:pPr>
              <w:spacing w:before="0" w:after="0"/>
              <w:rPr>
                <w:sz w:val="16"/>
                <w:szCs w:val="16"/>
                <w:lang w:val="fr-BE"/>
              </w:rPr>
            </w:pPr>
            <w:r w:rsidRPr="0024468B">
              <w:rPr>
                <w:noProof/>
                <w:sz w:val="16"/>
                <w:szCs w:val="16"/>
                <w:lang w:val="fr-BE"/>
              </w:rPr>
              <w:t>szt.</w:t>
            </w:r>
          </w:p>
        </w:tc>
        <w:tc>
          <w:tcPr>
            <w:tcW w:w="0" w:type="auto"/>
            <w:shd w:val="clear" w:color="auto" w:fill="auto"/>
          </w:tcPr>
          <w:p w14:paraId="0DA98D4F" w14:textId="77777777" w:rsidR="008C5CFA" w:rsidRPr="0024468B" w:rsidRDefault="00E82A60"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14:paraId="3C9EBCE2" w14:textId="77777777" w:rsidR="008C5CFA" w:rsidRPr="0024468B" w:rsidRDefault="00E82A60" w:rsidP="00300A01">
            <w:pPr>
              <w:spacing w:before="0" w:after="0"/>
              <w:jc w:val="right"/>
              <w:rPr>
                <w:sz w:val="16"/>
                <w:szCs w:val="16"/>
                <w:lang w:val="fr-BE"/>
              </w:rPr>
            </w:pPr>
            <w:r>
              <w:rPr>
                <w:noProof/>
                <w:sz w:val="16"/>
                <w:szCs w:val="16"/>
                <w:lang w:val="fr-BE"/>
              </w:rPr>
              <w:t>10,00</w:t>
            </w:r>
          </w:p>
        </w:tc>
        <w:tc>
          <w:tcPr>
            <w:tcW w:w="0" w:type="auto"/>
            <w:shd w:val="clear" w:color="auto" w:fill="auto"/>
          </w:tcPr>
          <w:p w14:paraId="30C0F1E2" w14:textId="77777777" w:rsidR="008C5CFA" w:rsidRPr="0024468B" w:rsidRDefault="008C5CFA" w:rsidP="00300A01">
            <w:pPr>
              <w:spacing w:before="0" w:after="0"/>
              <w:jc w:val="right"/>
              <w:rPr>
                <w:sz w:val="16"/>
                <w:szCs w:val="16"/>
                <w:lang w:val="fr-BE"/>
              </w:rPr>
            </w:pPr>
          </w:p>
        </w:tc>
        <w:tc>
          <w:tcPr>
            <w:tcW w:w="0" w:type="auto"/>
          </w:tcPr>
          <w:p w14:paraId="750C4563" w14:textId="77777777" w:rsidR="008C5CFA" w:rsidRPr="0024468B" w:rsidRDefault="008C5CFA" w:rsidP="00300A01">
            <w:pPr>
              <w:spacing w:before="0" w:after="0"/>
              <w:jc w:val="right"/>
              <w:rPr>
                <w:sz w:val="16"/>
                <w:szCs w:val="16"/>
                <w:lang w:val="fr-BE"/>
              </w:rPr>
            </w:pPr>
          </w:p>
        </w:tc>
        <w:tc>
          <w:tcPr>
            <w:tcW w:w="0" w:type="auto"/>
            <w:shd w:val="clear" w:color="auto" w:fill="auto"/>
          </w:tcPr>
          <w:p w14:paraId="72CEE272" w14:textId="77777777" w:rsidR="008C5CFA" w:rsidRPr="0024468B" w:rsidRDefault="00E82A60" w:rsidP="00300A01">
            <w:pPr>
              <w:spacing w:before="0" w:after="0"/>
              <w:jc w:val="right"/>
              <w:rPr>
                <w:sz w:val="16"/>
                <w:szCs w:val="16"/>
                <w:lang w:val="fr-BE"/>
              </w:rPr>
            </w:pPr>
            <w:r w:rsidRPr="0024468B">
              <w:rPr>
                <w:noProof/>
                <w:sz w:val="16"/>
                <w:szCs w:val="16"/>
                <w:lang w:val="fr-BE"/>
              </w:rPr>
              <w:t>17,00</w:t>
            </w:r>
          </w:p>
        </w:tc>
        <w:tc>
          <w:tcPr>
            <w:tcW w:w="0" w:type="auto"/>
            <w:shd w:val="clear" w:color="auto" w:fill="auto"/>
          </w:tcPr>
          <w:p w14:paraId="05D21672"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67B3BD99"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757D7A89" w14:textId="77777777" w:rsidR="008C5CFA" w:rsidRPr="0024468B" w:rsidRDefault="008C5CFA" w:rsidP="00300A01">
            <w:pPr>
              <w:spacing w:before="0" w:after="0"/>
              <w:rPr>
                <w:sz w:val="16"/>
                <w:szCs w:val="16"/>
                <w:lang w:val="fr-BE"/>
              </w:rPr>
            </w:pPr>
          </w:p>
        </w:tc>
      </w:tr>
    </w:tbl>
    <w:p w14:paraId="550764FC" w14:textId="77777777" w:rsidR="008C5CFA" w:rsidRDefault="00E82A60" w:rsidP="00300A01">
      <w:pPr>
        <w:spacing w:before="0" w:after="0"/>
        <w:rPr>
          <w:lang w:val="fr-BE"/>
        </w:rPr>
      </w:pPr>
      <w:r>
        <w:rPr>
          <w:noProof/>
          <w:lang w:val="fr-BE"/>
        </w:rPr>
        <w:t>1) S=wartość skumulowana – produkty, które mają być zrealizowane poprzez wybrane operacje [prognoza przedstawiona przez beneficjentów], F=wartość skumulowana – produkty zrealizowane poprzez operacje [rzeczywiste wykonanie]</w:t>
      </w:r>
    </w:p>
    <w:p w14:paraId="17B9F8F5"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02"/>
        <w:gridCol w:w="293"/>
        <w:gridCol w:w="5309"/>
        <w:gridCol w:w="967"/>
        <w:gridCol w:w="1152"/>
        <w:gridCol w:w="975"/>
        <w:gridCol w:w="966"/>
        <w:gridCol w:w="1152"/>
        <w:gridCol w:w="975"/>
        <w:gridCol w:w="966"/>
        <w:gridCol w:w="1152"/>
        <w:gridCol w:w="975"/>
      </w:tblGrid>
      <w:tr w:rsidR="006B2EC1" w14:paraId="665842BE" w14:textId="77777777" w:rsidTr="0047688D">
        <w:trPr>
          <w:tblHeader/>
        </w:trPr>
        <w:tc>
          <w:tcPr>
            <w:tcW w:w="0" w:type="auto"/>
          </w:tcPr>
          <w:p w14:paraId="54908793" w14:textId="77777777" w:rsidR="008C5CFA" w:rsidRPr="009143B4" w:rsidRDefault="00E82A60" w:rsidP="00300A01">
            <w:pPr>
              <w:spacing w:before="0" w:after="0"/>
              <w:rPr>
                <w:b/>
                <w:sz w:val="16"/>
                <w:szCs w:val="16"/>
                <w:lang w:val="fr-BE"/>
              </w:rPr>
            </w:pPr>
            <w:r w:rsidRPr="009143B4">
              <w:rPr>
                <w:b/>
                <w:sz w:val="16"/>
                <w:szCs w:val="16"/>
                <w:lang w:val="fr-BE"/>
              </w:rPr>
              <w:t>(1)</w:t>
            </w:r>
          </w:p>
        </w:tc>
        <w:tc>
          <w:tcPr>
            <w:tcW w:w="0" w:type="auto"/>
            <w:shd w:val="clear" w:color="auto" w:fill="auto"/>
          </w:tcPr>
          <w:p w14:paraId="47ADF190" w14:textId="77777777" w:rsidR="008C5CFA" w:rsidRPr="009143B4" w:rsidRDefault="00E82A60" w:rsidP="00300A01">
            <w:pPr>
              <w:spacing w:before="0" w:after="0"/>
              <w:rPr>
                <w:b/>
                <w:sz w:val="16"/>
                <w:szCs w:val="16"/>
                <w:lang w:val="fr-BE"/>
              </w:rPr>
            </w:pPr>
            <w:r w:rsidRPr="009143B4">
              <w:rPr>
                <w:b/>
                <w:noProof/>
                <w:sz w:val="16"/>
                <w:szCs w:val="16"/>
                <w:lang w:val="fr-BE"/>
              </w:rPr>
              <w:t>ID</w:t>
            </w:r>
          </w:p>
        </w:tc>
        <w:tc>
          <w:tcPr>
            <w:tcW w:w="0" w:type="auto"/>
            <w:shd w:val="clear" w:color="auto" w:fill="auto"/>
          </w:tcPr>
          <w:p w14:paraId="7718EF03" w14:textId="77777777" w:rsidR="008C5CFA" w:rsidRPr="009143B4" w:rsidRDefault="00E82A60" w:rsidP="00300A01">
            <w:pPr>
              <w:spacing w:before="0" w:after="0"/>
              <w:rPr>
                <w:b/>
                <w:sz w:val="16"/>
                <w:szCs w:val="16"/>
                <w:lang w:val="fr-BE"/>
              </w:rPr>
            </w:pPr>
            <w:r w:rsidRPr="009143B4">
              <w:rPr>
                <w:b/>
                <w:noProof/>
                <w:sz w:val="16"/>
                <w:szCs w:val="16"/>
                <w:lang w:val="fr-BE"/>
              </w:rPr>
              <w:t>Wskaźnik</w:t>
            </w:r>
          </w:p>
        </w:tc>
        <w:tc>
          <w:tcPr>
            <w:tcW w:w="0" w:type="auto"/>
          </w:tcPr>
          <w:p w14:paraId="12962DCB" w14:textId="77777777" w:rsidR="008C5CFA" w:rsidRPr="009143B4" w:rsidRDefault="00E82A60" w:rsidP="00300A01">
            <w:pPr>
              <w:spacing w:before="0" w:after="0"/>
              <w:jc w:val="center"/>
              <w:rPr>
                <w:b/>
                <w:sz w:val="16"/>
                <w:szCs w:val="16"/>
                <w:lang w:val="fr-BE"/>
              </w:rPr>
            </w:pPr>
            <w:r>
              <w:rPr>
                <w:b/>
                <w:sz w:val="16"/>
                <w:szCs w:val="16"/>
                <w:lang w:val="fr-BE"/>
              </w:rPr>
              <w:t xml:space="preserve">2018 </w:t>
            </w:r>
            <w:r w:rsidRPr="009143B4">
              <w:rPr>
                <w:b/>
                <w:noProof/>
                <w:sz w:val="16"/>
                <w:szCs w:val="16"/>
                <w:lang w:val="fr-BE"/>
              </w:rPr>
              <w:t>Ogółem</w:t>
            </w:r>
          </w:p>
        </w:tc>
        <w:tc>
          <w:tcPr>
            <w:tcW w:w="0" w:type="auto"/>
          </w:tcPr>
          <w:p w14:paraId="26678736" w14:textId="77777777" w:rsidR="008C5CFA" w:rsidRPr="009143B4" w:rsidRDefault="00E82A60" w:rsidP="00300A01">
            <w:pPr>
              <w:spacing w:before="0" w:after="0"/>
              <w:jc w:val="center"/>
              <w:rPr>
                <w:b/>
                <w:sz w:val="16"/>
                <w:szCs w:val="16"/>
                <w:lang w:val="fr-BE"/>
              </w:rPr>
            </w:pPr>
            <w:r>
              <w:rPr>
                <w:b/>
                <w:sz w:val="16"/>
                <w:szCs w:val="16"/>
                <w:lang w:val="fr-BE"/>
              </w:rPr>
              <w:t xml:space="preserve">2018 </w:t>
            </w:r>
            <w:r w:rsidRPr="009143B4">
              <w:rPr>
                <w:b/>
                <w:noProof/>
                <w:sz w:val="16"/>
                <w:szCs w:val="16"/>
                <w:lang w:val="fr-BE"/>
              </w:rPr>
              <w:t>Mężczyźni</w:t>
            </w:r>
          </w:p>
        </w:tc>
        <w:tc>
          <w:tcPr>
            <w:tcW w:w="0" w:type="auto"/>
          </w:tcPr>
          <w:p w14:paraId="6CBADA83" w14:textId="77777777" w:rsidR="008C5CFA" w:rsidRPr="009143B4" w:rsidRDefault="00E82A60" w:rsidP="00300A01">
            <w:pPr>
              <w:spacing w:before="0" w:after="0"/>
              <w:jc w:val="center"/>
              <w:rPr>
                <w:b/>
                <w:sz w:val="16"/>
                <w:szCs w:val="16"/>
                <w:lang w:val="fr-BE"/>
              </w:rPr>
            </w:pPr>
            <w:r>
              <w:rPr>
                <w:b/>
                <w:sz w:val="16"/>
                <w:szCs w:val="16"/>
                <w:lang w:val="fr-BE"/>
              </w:rPr>
              <w:t xml:space="preserve">2018 </w:t>
            </w:r>
            <w:r w:rsidRPr="009143B4">
              <w:rPr>
                <w:b/>
                <w:noProof/>
                <w:sz w:val="16"/>
                <w:szCs w:val="16"/>
                <w:lang w:val="fr-BE"/>
              </w:rPr>
              <w:t>Kobiety</w:t>
            </w:r>
          </w:p>
        </w:tc>
        <w:tc>
          <w:tcPr>
            <w:tcW w:w="0" w:type="auto"/>
          </w:tcPr>
          <w:p w14:paraId="575DC0C2" w14:textId="77777777" w:rsidR="008C5CFA" w:rsidRPr="009143B4" w:rsidRDefault="00E82A60"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Ogółem</w:t>
            </w:r>
          </w:p>
        </w:tc>
        <w:tc>
          <w:tcPr>
            <w:tcW w:w="0" w:type="auto"/>
          </w:tcPr>
          <w:p w14:paraId="42B8C557" w14:textId="77777777" w:rsidR="008C5CFA" w:rsidRPr="009143B4" w:rsidRDefault="00E82A60"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Mężczyźni</w:t>
            </w:r>
          </w:p>
        </w:tc>
        <w:tc>
          <w:tcPr>
            <w:tcW w:w="0" w:type="auto"/>
          </w:tcPr>
          <w:p w14:paraId="457785E7" w14:textId="77777777" w:rsidR="008C5CFA" w:rsidRPr="009143B4" w:rsidRDefault="00E82A60"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Kobiety</w:t>
            </w:r>
          </w:p>
        </w:tc>
        <w:tc>
          <w:tcPr>
            <w:tcW w:w="0" w:type="auto"/>
            <w:shd w:val="clear" w:color="auto" w:fill="auto"/>
          </w:tcPr>
          <w:p w14:paraId="1558CCF5" w14:textId="77777777" w:rsidR="008C5CFA" w:rsidRPr="009143B4" w:rsidRDefault="00E82A60"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Ogółem</w:t>
            </w:r>
          </w:p>
        </w:tc>
        <w:tc>
          <w:tcPr>
            <w:tcW w:w="0" w:type="auto"/>
            <w:shd w:val="clear" w:color="auto" w:fill="auto"/>
          </w:tcPr>
          <w:p w14:paraId="0ABB84E9" w14:textId="77777777" w:rsidR="008C5CFA" w:rsidRPr="009143B4" w:rsidRDefault="00E82A60"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Mężczyźni</w:t>
            </w:r>
          </w:p>
        </w:tc>
        <w:tc>
          <w:tcPr>
            <w:tcW w:w="0" w:type="auto"/>
            <w:shd w:val="clear" w:color="auto" w:fill="auto"/>
          </w:tcPr>
          <w:p w14:paraId="56E69112" w14:textId="77777777" w:rsidR="008C5CFA" w:rsidRPr="009143B4" w:rsidRDefault="00E82A60"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Kobiety</w:t>
            </w:r>
          </w:p>
        </w:tc>
      </w:tr>
      <w:tr w:rsidR="006B2EC1" w14:paraId="69F93D59" w14:textId="77777777" w:rsidTr="0047688D">
        <w:tc>
          <w:tcPr>
            <w:tcW w:w="0" w:type="auto"/>
          </w:tcPr>
          <w:p w14:paraId="63055FBE" w14:textId="77777777" w:rsidR="008C5CFA" w:rsidRPr="0024468B" w:rsidRDefault="00E82A60" w:rsidP="00300A01">
            <w:pPr>
              <w:spacing w:before="0" w:after="0"/>
              <w:rPr>
                <w:sz w:val="16"/>
                <w:szCs w:val="16"/>
                <w:lang w:val="fr-BE"/>
              </w:rPr>
            </w:pPr>
            <w:r>
              <w:rPr>
                <w:noProof/>
                <w:sz w:val="16"/>
                <w:szCs w:val="16"/>
                <w:lang w:val="fr-BE"/>
              </w:rPr>
              <w:t>F</w:t>
            </w:r>
          </w:p>
        </w:tc>
        <w:tc>
          <w:tcPr>
            <w:tcW w:w="0" w:type="auto"/>
            <w:shd w:val="clear" w:color="auto" w:fill="auto"/>
          </w:tcPr>
          <w:p w14:paraId="6036EB5E" w14:textId="77777777" w:rsidR="008C5CFA" w:rsidRPr="0024468B" w:rsidRDefault="00E82A60" w:rsidP="00300A01">
            <w:pPr>
              <w:spacing w:before="0" w:after="0"/>
              <w:rPr>
                <w:sz w:val="16"/>
                <w:szCs w:val="16"/>
                <w:lang w:val="fr-BE"/>
              </w:rPr>
            </w:pPr>
            <w:r>
              <w:rPr>
                <w:noProof/>
                <w:sz w:val="16"/>
                <w:szCs w:val="16"/>
                <w:lang w:val="fr-BE"/>
              </w:rPr>
              <w:t>68</w:t>
            </w:r>
          </w:p>
        </w:tc>
        <w:tc>
          <w:tcPr>
            <w:tcW w:w="0" w:type="auto"/>
            <w:shd w:val="clear" w:color="auto" w:fill="auto"/>
          </w:tcPr>
          <w:p w14:paraId="35F04BD7" w14:textId="77777777" w:rsidR="008C5CFA" w:rsidRPr="0024468B" w:rsidRDefault="00E82A60" w:rsidP="00300A01">
            <w:pPr>
              <w:spacing w:before="0" w:after="0"/>
              <w:rPr>
                <w:sz w:val="16"/>
                <w:szCs w:val="16"/>
                <w:lang w:val="fr-BE"/>
              </w:rPr>
            </w:pPr>
            <w:r>
              <w:rPr>
                <w:noProof/>
                <w:sz w:val="16"/>
                <w:szCs w:val="16"/>
                <w:lang w:val="fr-BE"/>
              </w:rPr>
              <w:t>Liczba przebudowanych lub zmodernizowanych obiektów turystycznych i rekreacyjnych</w:t>
            </w:r>
          </w:p>
        </w:tc>
        <w:tc>
          <w:tcPr>
            <w:tcW w:w="0" w:type="auto"/>
          </w:tcPr>
          <w:p w14:paraId="5E9A5703"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6208FB1C"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0D964607"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590940C0"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5305E728"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2481C878"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21F45C64"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36893608"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48EA923E"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r w:rsidR="006B2EC1" w14:paraId="5C2225EE" w14:textId="77777777" w:rsidTr="0047688D">
        <w:tc>
          <w:tcPr>
            <w:tcW w:w="0" w:type="auto"/>
          </w:tcPr>
          <w:p w14:paraId="19B35D98" w14:textId="77777777" w:rsidR="008C5CFA" w:rsidRPr="0024468B" w:rsidRDefault="00E82A60" w:rsidP="00300A01">
            <w:pPr>
              <w:spacing w:before="0" w:after="0"/>
              <w:rPr>
                <w:sz w:val="16"/>
                <w:szCs w:val="16"/>
                <w:lang w:val="fr-BE"/>
              </w:rPr>
            </w:pPr>
            <w:r>
              <w:rPr>
                <w:noProof/>
                <w:sz w:val="16"/>
                <w:szCs w:val="16"/>
                <w:lang w:val="fr-BE"/>
              </w:rPr>
              <w:t>S</w:t>
            </w:r>
          </w:p>
        </w:tc>
        <w:tc>
          <w:tcPr>
            <w:tcW w:w="0" w:type="auto"/>
            <w:shd w:val="clear" w:color="auto" w:fill="auto"/>
          </w:tcPr>
          <w:p w14:paraId="111A5707" w14:textId="77777777" w:rsidR="008C5CFA" w:rsidRPr="0024468B" w:rsidRDefault="00E82A60" w:rsidP="00300A01">
            <w:pPr>
              <w:spacing w:before="0" w:after="0"/>
              <w:rPr>
                <w:sz w:val="16"/>
                <w:szCs w:val="16"/>
                <w:lang w:val="fr-BE"/>
              </w:rPr>
            </w:pPr>
            <w:r>
              <w:rPr>
                <w:noProof/>
                <w:sz w:val="16"/>
                <w:szCs w:val="16"/>
                <w:lang w:val="fr-BE"/>
              </w:rPr>
              <w:t>68</w:t>
            </w:r>
          </w:p>
        </w:tc>
        <w:tc>
          <w:tcPr>
            <w:tcW w:w="0" w:type="auto"/>
            <w:shd w:val="clear" w:color="auto" w:fill="auto"/>
          </w:tcPr>
          <w:p w14:paraId="3A8973F8" w14:textId="77777777" w:rsidR="008C5CFA" w:rsidRPr="0024468B" w:rsidRDefault="00E82A60" w:rsidP="00300A01">
            <w:pPr>
              <w:spacing w:before="0" w:after="0"/>
              <w:rPr>
                <w:sz w:val="16"/>
                <w:szCs w:val="16"/>
                <w:lang w:val="fr-BE"/>
              </w:rPr>
            </w:pPr>
            <w:r>
              <w:rPr>
                <w:noProof/>
                <w:sz w:val="16"/>
                <w:szCs w:val="16"/>
                <w:lang w:val="fr-BE"/>
              </w:rPr>
              <w:t>Liczba przebudowanych lub zmodernizowanych obiektów turystycznych i rekreacyjnych</w:t>
            </w:r>
          </w:p>
        </w:tc>
        <w:tc>
          <w:tcPr>
            <w:tcW w:w="0" w:type="auto"/>
          </w:tcPr>
          <w:p w14:paraId="4632D56C" w14:textId="77777777" w:rsidR="008C5CFA" w:rsidRPr="0024468B" w:rsidRDefault="00E82A60" w:rsidP="00300A01">
            <w:pPr>
              <w:spacing w:before="0" w:after="0"/>
              <w:jc w:val="right"/>
              <w:rPr>
                <w:sz w:val="16"/>
                <w:szCs w:val="16"/>
                <w:lang w:val="fr-BE"/>
              </w:rPr>
            </w:pPr>
            <w:r w:rsidRPr="0024468B">
              <w:rPr>
                <w:noProof/>
                <w:sz w:val="16"/>
                <w:szCs w:val="16"/>
                <w:lang w:val="fr-BE"/>
              </w:rPr>
              <w:t>10,00</w:t>
            </w:r>
          </w:p>
        </w:tc>
        <w:tc>
          <w:tcPr>
            <w:tcW w:w="0" w:type="auto"/>
          </w:tcPr>
          <w:p w14:paraId="27327264"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555B3E38"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286EC6A8"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3CC7EC7B"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5CC7EF2B"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7D2F1F35"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13CD2540"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401AB86E"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bl>
    <w:p w14:paraId="251610BA"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56"/>
        <w:gridCol w:w="345"/>
        <w:gridCol w:w="6879"/>
        <w:gridCol w:w="1191"/>
        <w:gridCol w:w="1410"/>
        <w:gridCol w:w="1201"/>
        <w:gridCol w:w="1191"/>
        <w:gridCol w:w="1410"/>
        <w:gridCol w:w="1201"/>
      </w:tblGrid>
      <w:tr w:rsidR="006B2EC1" w14:paraId="26A11E8A" w14:textId="77777777" w:rsidTr="0047688D">
        <w:trPr>
          <w:tblHeader/>
        </w:trPr>
        <w:tc>
          <w:tcPr>
            <w:tcW w:w="0" w:type="auto"/>
          </w:tcPr>
          <w:p w14:paraId="5A8C6D4F" w14:textId="77777777" w:rsidR="008C5CFA" w:rsidRPr="009143B4" w:rsidRDefault="00E82A60" w:rsidP="00300A01">
            <w:pPr>
              <w:spacing w:before="0" w:after="0"/>
              <w:rPr>
                <w:b/>
                <w:sz w:val="16"/>
                <w:szCs w:val="16"/>
                <w:lang w:val="fr-BE"/>
              </w:rPr>
            </w:pPr>
            <w:r w:rsidRPr="009143B4">
              <w:rPr>
                <w:b/>
                <w:sz w:val="16"/>
                <w:szCs w:val="16"/>
                <w:lang w:val="fr-BE"/>
              </w:rPr>
              <w:t>(1)</w:t>
            </w:r>
          </w:p>
        </w:tc>
        <w:tc>
          <w:tcPr>
            <w:tcW w:w="0" w:type="auto"/>
            <w:shd w:val="clear" w:color="auto" w:fill="auto"/>
          </w:tcPr>
          <w:p w14:paraId="584A6350" w14:textId="77777777" w:rsidR="008C5CFA" w:rsidRPr="009143B4" w:rsidRDefault="00E82A60" w:rsidP="00300A01">
            <w:pPr>
              <w:spacing w:before="0" w:after="0"/>
              <w:rPr>
                <w:b/>
                <w:sz w:val="16"/>
                <w:szCs w:val="16"/>
                <w:lang w:val="fr-BE"/>
              </w:rPr>
            </w:pPr>
            <w:r w:rsidRPr="009143B4">
              <w:rPr>
                <w:b/>
                <w:noProof/>
                <w:sz w:val="16"/>
                <w:szCs w:val="16"/>
                <w:lang w:val="fr-BE"/>
              </w:rPr>
              <w:t>ID</w:t>
            </w:r>
          </w:p>
        </w:tc>
        <w:tc>
          <w:tcPr>
            <w:tcW w:w="0" w:type="auto"/>
            <w:shd w:val="clear" w:color="auto" w:fill="auto"/>
          </w:tcPr>
          <w:p w14:paraId="38D0D851" w14:textId="77777777" w:rsidR="008C5CFA" w:rsidRPr="009143B4" w:rsidRDefault="00E82A60" w:rsidP="00300A01">
            <w:pPr>
              <w:spacing w:before="0" w:after="0"/>
              <w:rPr>
                <w:b/>
                <w:sz w:val="16"/>
                <w:szCs w:val="16"/>
                <w:lang w:val="fr-BE"/>
              </w:rPr>
            </w:pPr>
            <w:r w:rsidRPr="009143B4">
              <w:rPr>
                <w:b/>
                <w:noProof/>
                <w:sz w:val="16"/>
                <w:szCs w:val="16"/>
                <w:lang w:val="fr-BE"/>
              </w:rPr>
              <w:t>Wskaźnik</w:t>
            </w:r>
          </w:p>
        </w:tc>
        <w:tc>
          <w:tcPr>
            <w:tcW w:w="0" w:type="auto"/>
          </w:tcPr>
          <w:p w14:paraId="3F07769D" w14:textId="77777777" w:rsidR="008C5CFA" w:rsidRPr="009143B4" w:rsidRDefault="00E82A60"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Ogółem</w:t>
            </w:r>
          </w:p>
        </w:tc>
        <w:tc>
          <w:tcPr>
            <w:tcW w:w="0" w:type="auto"/>
          </w:tcPr>
          <w:p w14:paraId="1C5E410D" w14:textId="77777777" w:rsidR="008C5CFA" w:rsidRPr="009143B4" w:rsidRDefault="00E82A60"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Mężczyźni</w:t>
            </w:r>
          </w:p>
        </w:tc>
        <w:tc>
          <w:tcPr>
            <w:tcW w:w="0" w:type="auto"/>
          </w:tcPr>
          <w:p w14:paraId="66F2454B" w14:textId="77777777" w:rsidR="008C5CFA" w:rsidRPr="009143B4" w:rsidRDefault="00E82A60"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Kobiety</w:t>
            </w:r>
          </w:p>
        </w:tc>
        <w:tc>
          <w:tcPr>
            <w:tcW w:w="0" w:type="auto"/>
            <w:shd w:val="clear" w:color="auto" w:fill="auto"/>
          </w:tcPr>
          <w:p w14:paraId="77594993" w14:textId="77777777" w:rsidR="008C5CFA" w:rsidRPr="009143B4" w:rsidRDefault="00E82A60"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Ogółem</w:t>
            </w:r>
          </w:p>
        </w:tc>
        <w:tc>
          <w:tcPr>
            <w:tcW w:w="0" w:type="auto"/>
            <w:shd w:val="clear" w:color="auto" w:fill="auto"/>
          </w:tcPr>
          <w:p w14:paraId="37688BDB" w14:textId="77777777" w:rsidR="008C5CFA" w:rsidRPr="009143B4" w:rsidRDefault="00E82A60"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Mężczyźni</w:t>
            </w:r>
          </w:p>
        </w:tc>
        <w:tc>
          <w:tcPr>
            <w:tcW w:w="0" w:type="auto"/>
            <w:shd w:val="clear" w:color="auto" w:fill="auto"/>
          </w:tcPr>
          <w:p w14:paraId="40CA2959" w14:textId="77777777" w:rsidR="008C5CFA" w:rsidRPr="009143B4" w:rsidRDefault="00E82A60"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Kobiety</w:t>
            </w:r>
          </w:p>
        </w:tc>
      </w:tr>
      <w:tr w:rsidR="006B2EC1" w14:paraId="34469D8B" w14:textId="77777777" w:rsidTr="0047688D">
        <w:tc>
          <w:tcPr>
            <w:tcW w:w="0" w:type="auto"/>
          </w:tcPr>
          <w:p w14:paraId="0E1D5A7E" w14:textId="77777777" w:rsidR="008C5CFA" w:rsidRPr="0024468B" w:rsidRDefault="00E82A60" w:rsidP="00300A01">
            <w:pPr>
              <w:spacing w:before="0" w:after="0"/>
              <w:rPr>
                <w:sz w:val="16"/>
                <w:szCs w:val="16"/>
                <w:lang w:val="fr-BE"/>
              </w:rPr>
            </w:pPr>
            <w:r>
              <w:rPr>
                <w:noProof/>
                <w:sz w:val="16"/>
                <w:szCs w:val="16"/>
                <w:lang w:val="fr-BE"/>
              </w:rPr>
              <w:t>F</w:t>
            </w:r>
          </w:p>
        </w:tc>
        <w:tc>
          <w:tcPr>
            <w:tcW w:w="0" w:type="auto"/>
            <w:shd w:val="clear" w:color="auto" w:fill="auto"/>
          </w:tcPr>
          <w:p w14:paraId="17255CC2" w14:textId="77777777" w:rsidR="008C5CFA" w:rsidRPr="0024468B" w:rsidRDefault="00E82A60" w:rsidP="00300A01">
            <w:pPr>
              <w:spacing w:before="0" w:after="0"/>
              <w:rPr>
                <w:sz w:val="16"/>
                <w:szCs w:val="16"/>
                <w:lang w:val="fr-BE"/>
              </w:rPr>
            </w:pPr>
            <w:r>
              <w:rPr>
                <w:noProof/>
                <w:sz w:val="16"/>
                <w:szCs w:val="16"/>
                <w:lang w:val="fr-BE"/>
              </w:rPr>
              <w:t>68</w:t>
            </w:r>
          </w:p>
        </w:tc>
        <w:tc>
          <w:tcPr>
            <w:tcW w:w="0" w:type="auto"/>
            <w:shd w:val="clear" w:color="auto" w:fill="auto"/>
          </w:tcPr>
          <w:p w14:paraId="0F642ECF" w14:textId="77777777" w:rsidR="008C5CFA" w:rsidRPr="0024468B" w:rsidRDefault="00E82A60" w:rsidP="00300A01">
            <w:pPr>
              <w:spacing w:before="0" w:after="0"/>
              <w:rPr>
                <w:sz w:val="16"/>
                <w:szCs w:val="16"/>
                <w:lang w:val="fr-BE"/>
              </w:rPr>
            </w:pPr>
            <w:r>
              <w:rPr>
                <w:noProof/>
                <w:sz w:val="16"/>
                <w:szCs w:val="16"/>
                <w:lang w:val="fr-BE"/>
              </w:rPr>
              <w:t>Liczba przebudowanych lub zmodernizowanych obiektów turystycznych i rekreacyjnych</w:t>
            </w:r>
          </w:p>
        </w:tc>
        <w:tc>
          <w:tcPr>
            <w:tcW w:w="0" w:type="auto"/>
          </w:tcPr>
          <w:p w14:paraId="116474BF"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55DF8A0B"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7BBFACD9"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0356ED68"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38DE69E7"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47918275"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r w:rsidR="006B2EC1" w14:paraId="03768308" w14:textId="77777777" w:rsidTr="0047688D">
        <w:tc>
          <w:tcPr>
            <w:tcW w:w="0" w:type="auto"/>
          </w:tcPr>
          <w:p w14:paraId="1416AB93" w14:textId="77777777" w:rsidR="008C5CFA" w:rsidRPr="0024468B" w:rsidRDefault="00E82A60" w:rsidP="00300A01">
            <w:pPr>
              <w:spacing w:before="0" w:after="0"/>
              <w:rPr>
                <w:sz w:val="16"/>
                <w:szCs w:val="16"/>
                <w:lang w:val="fr-BE"/>
              </w:rPr>
            </w:pPr>
            <w:r>
              <w:rPr>
                <w:noProof/>
                <w:sz w:val="16"/>
                <w:szCs w:val="16"/>
                <w:lang w:val="fr-BE"/>
              </w:rPr>
              <w:t>S</w:t>
            </w:r>
          </w:p>
        </w:tc>
        <w:tc>
          <w:tcPr>
            <w:tcW w:w="0" w:type="auto"/>
            <w:shd w:val="clear" w:color="auto" w:fill="auto"/>
          </w:tcPr>
          <w:p w14:paraId="44C0E438" w14:textId="77777777" w:rsidR="008C5CFA" w:rsidRPr="0024468B" w:rsidRDefault="00E82A60" w:rsidP="00300A01">
            <w:pPr>
              <w:spacing w:before="0" w:after="0"/>
              <w:rPr>
                <w:sz w:val="16"/>
                <w:szCs w:val="16"/>
                <w:lang w:val="fr-BE"/>
              </w:rPr>
            </w:pPr>
            <w:r>
              <w:rPr>
                <w:noProof/>
                <w:sz w:val="16"/>
                <w:szCs w:val="16"/>
                <w:lang w:val="fr-BE"/>
              </w:rPr>
              <w:t>68</w:t>
            </w:r>
          </w:p>
        </w:tc>
        <w:tc>
          <w:tcPr>
            <w:tcW w:w="0" w:type="auto"/>
            <w:shd w:val="clear" w:color="auto" w:fill="auto"/>
          </w:tcPr>
          <w:p w14:paraId="37000C90" w14:textId="77777777" w:rsidR="008C5CFA" w:rsidRPr="0024468B" w:rsidRDefault="00E82A60" w:rsidP="00300A01">
            <w:pPr>
              <w:spacing w:before="0" w:after="0"/>
              <w:rPr>
                <w:sz w:val="16"/>
                <w:szCs w:val="16"/>
                <w:lang w:val="fr-BE"/>
              </w:rPr>
            </w:pPr>
            <w:r>
              <w:rPr>
                <w:noProof/>
                <w:sz w:val="16"/>
                <w:szCs w:val="16"/>
                <w:lang w:val="fr-BE"/>
              </w:rPr>
              <w:t>Liczba przebudowanych lub zmodernizowanych obiektów turystycznych i rekreacyjnych</w:t>
            </w:r>
          </w:p>
        </w:tc>
        <w:tc>
          <w:tcPr>
            <w:tcW w:w="0" w:type="auto"/>
          </w:tcPr>
          <w:p w14:paraId="17EED073"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3FBF80FA"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30C3CF50"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62F4F764"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6AC3B488"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70F1B340"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bl>
    <w:p w14:paraId="748D8938" w14:textId="77777777" w:rsidR="008C5CFA" w:rsidRDefault="008C5CFA" w:rsidP="00300A01">
      <w:pPr>
        <w:spacing w:before="0" w:after="0"/>
        <w:rPr>
          <w:lang w:val="fr-BE"/>
        </w:rPr>
      </w:pPr>
    </w:p>
    <w:p w14:paraId="74D615D6" w14:textId="77777777" w:rsidR="008C5CFA" w:rsidRDefault="008C5CFA" w:rsidP="00300A01">
      <w:pPr>
        <w:spacing w:before="0" w:after="0"/>
        <w:rPr>
          <w:lang w:val="fr-BE"/>
        </w:rPr>
      </w:pPr>
    </w:p>
    <w:p w14:paraId="5410B38B" w14:textId="77777777" w:rsidR="008C5CFA" w:rsidRDefault="00E82A60" w:rsidP="00300A01">
      <w:pPr>
        <w:spacing w:before="0" w:after="0"/>
        <w:rPr>
          <w:lang w:val="fr-BE"/>
        </w:rPr>
      </w:pPr>
      <w:r>
        <w:rPr>
          <w:lang w:val="fr-BE"/>
        </w:rPr>
        <w:br w:type="page"/>
      </w:r>
    </w:p>
    <w:p w14:paraId="1FC4BEA1"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2"/>
        <w:gridCol w:w="13252"/>
      </w:tblGrid>
      <w:tr w:rsidR="006B2EC1" w14:paraId="3988CF6C" w14:textId="77777777" w:rsidTr="0047688D">
        <w:tc>
          <w:tcPr>
            <w:tcW w:w="0" w:type="auto"/>
            <w:shd w:val="clear" w:color="auto" w:fill="auto"/>
          </w:tcPr>
          <w:p w14:paraId="59D1E5E0" w14:textId="77777777" w:rsidR="008C5CFA" w:rsidRPr="002124FC" w:rsidRDefault="00E82A60" w:rsidP="00300A01">
            <w:pPr>
              <w:spacing w:before="0" w:after="0"/>
              <w:rPr>
                <w:sz w:val="20"/>
                <w:szCs w:val="20"/>
                <w:lang w:val="fr-BE"/>
              </w:rPr>
            </w:pPr>
            <w:r>
              <w:rPr>
                <w:lang w:val="fr-BE"/>
              </w:rPr>
              <w:br w:type="page"/>
            </w:r>
            <w:r>
              <w:rPr>
                <w:lang w:val="fr-BE"/>
              </w:rPr>
              <w:br w:type="page"/>
            </w:r>
            <w:r>
              <w:rPr>
                <w:lang w:val="fr-BE"/>
              </w:rPr>
              <w:br w:type="page"/>
            </w:r>
            <w:r w:rsidRPr="002124FC">
              <w:rPr>
                <w:noProof/>
                <w:sz w:val="20"/>
                <w:szCs w:val="20"/>
                <w:lang w:val="fr-BE"/>
              </w:rPr>
              <w:t>Oś priorytetowa</w:t>
            </w:r>
          </w:p>
        </w:tc>
        <w:tc>
          <w:tcPr>
            <w:tcW w:w="0" w:type="auto"/>
            <w:shd w:val="clear" w:color="auto" w:fill="auto"/>
          </w:tcPr>
          <w:p w14:paraId="646CB5D6" w14:textId="77777777" w:rsidR="008C5CFA" w:rsidRPr="002124FC" w:rsidRDefault="00E82A60" w:rsidP="00300A01">
            <w:pPr>
              <w:spacing w:before="0" w:after="0"/>
              <w:rPr>
                <w:sz w:val="20"/>
                <w:szCs w:val="20"/>
                <w:lang w:val="fr-BE"/>
              </w:rPr>
            </w:pPr>
            <w:r>
              <w:rPr>
                <w:noProof/>
                <w:sz w:val="20"/>
                <w:szCs w:val="20"/>
                <w:lang w:val="fr-BE"/>
              </w:rPr>
              <w:t>6</w:t>
            </w:r>
            <w:r w:rsidRPr="002124FC">
              <w:rPr>
                <w:sz w:val="20"/>
                <w:szCs w:val="20"/>
                <w:lang w:val="fr-BE"/>
              </w:rPr>
              <w:t xml:space="preserve"> - </w:t>
            </w:r>
            <w:r>
              <w:rPr>
                <w:noProof/>
                <w:sz w:val="20"/>
                <w:szCs w:val="20"/>
                <w:lang w:val="fr-BE"/>
              </w:rPr>
              <w:t>Rozwój miast</w:t>
            </w:r>
          </w:p>
        </w:tc>
      </w:tr>
      <w:tr w:rsidR="006B2EC1" w14:paraId="7519B0CB" w14:textId="77777777" w:rsidTr="0047688D">
        <w:tc>
          <w:tcPr>
            <w:tcW w:w="0" w:type="auto"/>
            <w:shd w:val="clear" w:color="auto" w:fill="auto"/>
          </w:tcPr>
          <w:p w14:paraId="508A45AA" w14:textId="77777777" w:rsidR="008C5CFA" w:rsidRPr="002124FC" w:rsidRDefault="00E82A60"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14:paraId="639F6605" w14:textId="77777777" w:rsidR="008C5CFA" w:rsidRPr="002124FC" w:rsidRDefault="00E82A60" w:rsidP="00300A01">
            <w:pPr>
              <w:spacing w:before="0" w:after="0"/>
              <w:rPr>
                <w:sz w:val="20"/>
                <w:szCs w:val="20"/>
                <w:lang w:val="fr-BE"/>
              </w:rPr>
            </w:pPr>
            <w:r w:rsidRPr="002124FC">
              <w:rPr>
                <w:noProof/>
                <w:sz w:val="20"/>
                <w:szCs w:val="20"/>
                <w:lang w:val="fr-BE"/>
              </w:rPr>
              <w:t>6d</w:t>
            </w:r>
            <w:r w:rsidRPr="002124FC">
              <w:rPr>
                <w:sz w:val="20"/>
                <w:szCs w:val="20"/>
                <w:lang w:val="fr-BE"/>
              </w:rPr>
              <w:t xml:space="preserve"> - </w:t>
            </w:r>
            <w:r>
              <w:rPr>
                <w:sz w:val="20"/>
                <w:szCs w:val="20"/>
                <w:lang w:val="fr-BE"/>
              </w:rPr>
              <w:t xml:space="preserve">Ochrona i przywrócenie różnorodności biologicznej, ochrona i rekultywacja gleby oraz wspieranie usług ekosystemowych, także poprzez program </w:t>
            </w:r>
            <w:r>
              <w:t>"</w:t>
            </w:r>
            <w:r>
              <w:rPr>
                <w:sz w:val="20"/>
                <w:szCs w:val="20"/>
                <w:lang w:val="fr-BE"/>
              </w:rPr>
              <w:t>Natura 2000</w:t>
            </w:r>
            <w:r>
              <w:t>"</w:t>
            </w:r>
            <w:r>
              <w:rPr>
                <w:sz w:val="20"/>
                <w:szCs w:val="20"/>
                <w:lang w:val="fr-BE"/>
              </w:rPr>
              <w:t xml:space="preserve"> i zieloną infrastrukturę</w:t>
            </w:r>
          </w:p>
        </w:tc>
      </w:tr>
      <w:tr w:rsidR="006B2EC1" w14:paraId="4C7EFAB2" w14:textId="77777777" w:rsidTr="0047688D">
        <w:tc>
          <w:tcPr>
            <w:tcW w:w="0" w:type="auto"/>
            <w:shd w:val="clear" w:color="auto" w:fill="auto"/>
          </w:tcPr>
          <w:p w14:paraId="75A059EC" w14:textId="77777777" w:rsidR="008C5CFA" w:rsidRPr="002124FC" w:rsidRDefault="00E82A60" w:rsidP="00300A01">
            <w:pPr>
              <w:spacing w:before="0" w:after="0"/>
              <w:ind w:left="113" w:hanging="113"/>
              <w:rPr>
                <w:sz w:val="20"/>
                <w:szCs w:val="20"/>
                <w:lang w:val="fr-BE"/>
              </w:rPr>
            </w:pPr>
            <w:r>
              <w:rPr>
                <w:noProof/>
                <w:sz w:val="20"/>
                <w:szCs w:val="20"/>
                <w:lang w:val="fr-BE"/>
              </w:rPr>
              <w:t>Cel szczegółowy</w:t>
            </w:r>
          </w:p>
        </w:tc>
        <w:tc>
          <w:tcPr>
            <w:tcW w:w="0" w:type="auto"/>
            <w:shd w:val="clear" w:color="auto" w:fill="auto"/>
          </w:tcPr>
          <w:p w14:paraId="23A6AE71" w14:textId="77777777" w:rsidR="008C5CFA" w:rsidRPr="002124FC" w:rsidRDefault="00E82A60" w:rsidP="00300A01">
            <w:pPr>
              <w:spacing w:before="0" w:after="0"/>
              <w:rPr>
                <w:sz w:val="20"/>
                <w:szCs w:val="20"/>
                <w:lang w:val="fr-BE"/>
              </w:rPr>
            </w:pPr>
            <w:r>
              <w:rPr>
                <w:noProof/>
                <w:sz w:val="20"/>
                <w:szCs w:val="20"/>
                <w:lang w:val="fr-BE"/>
              </w:rPr>
              <w:t>1</w:t>
            </w:r>
            <w:r>
              <w:rPr>
                <w:sz w:val="20"/>
                <w:szCs w:val="20"/>
                <w:lang w:val="fr-BE"/>
              </w:rPr>
              <w:t xml:space="preserve"> - </w:t>
            </w:r>
            <w:r>
              <w:rPr>
                <w:noProof/>
                <w:sz w:val="20"/>
                <w:szCs w:val="20"/>
                <w:lang w:val="fr-BE"/>
              </w:rPr>
              <w:t>Zwiększona efektywność wykorzystania zasobów przyrodniczych KOF</w:t>
            </w:r>
          </w:p>
        </w:tc>
      </w:tr>
    </w:tbl>
    <w:p w14:paraId="3E6449BE" w14:textId="77777777" w:rsidR="008C5CFA" w:rsidRDefault="008C5CFA" w:rsidP="00300A01">
      <w:pPr>
        <w:spacing w:before="0" w:after="0"/>
        <w:rPr>
          <w:lang w:val="fr-BE"/>
        </w:rPr>
      </w:pPr>
    </w:p>
    <w:p w14:paraId="286DD804" w14:textId="77777777" w:rsidR="008C5CFA" w:rsidRDefault="00E82A60" w:rsidP="00300A01">
      <w:pPr>
        <w:spacing w:before="0" w:after="0"/>
        <w:rPr>
          <w:lang w:val="fr-BE"/>
        </w:rPr>
      </w:pPr>
      <w:r>
        <w:rPr>
          <w:lang w:val="fr-BE"/>
        </w:rPr>
        <w:t xml:space="preserve">Tabela 1: Wskaźniki rezultatu dla EFRR i Funduszu Spójności (według osi priorytetowej i celu szczegółowego); ma zastosowanie także do osi priorytetowej </w:t>
      </w:r>
      <w:r>
        <w:t>"</w:t>
      </w:r>
      <w:r>
        <w:rPr>
          <w:lang w:val="fr-BE"/>
        </w:rPr>
        <w:t>Pomoc techniczna</w:t>
      </w:r>
      <w:r>
        <w:t>"</w:t>
      </w:r>
    </w:p>
    <w:p w14:paraId="1904CAB3"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
        <w:gridCol w:w="4412"/>
        <w:gridCol w:w="1331"/>
        <w:gridCol w:w="1453"/>
        <w:gridCol w:w="1349"/>
        <w:gridCol w:w="1078"/>
        <w:gridCol w:w="1861"/>
        <w:gridCol w:w="1153"/>
        <w:gridCol w:w="1387"/>
        <w:gridCol w:w="679"/>
      </w:tblGrid>
      <w:tr w:rsidR="006B2EC1" w14:paraId="2E3D0575" w14:textId="77777777" w:rsidTr="0047688D">
        <w:tc>
          <w:tcPr>
            <w:tcW w:w="0" w:type="auto"/>
            <w:shd w:val="clear" w:color="auto" w:fill="auto"/>
          </w:tcPr>
          <w:p w14:paraId="67E1062C" w14:textId="77777777" w:rsidR="008C5CFA" w:rsidRPr="0024468B" w:rsidRDefault="00E82A60" w:rsidP="00300A01">
            <w:pPr>
              <w:spacing w:before="0" w:after="0"/>
              <w:rPr>
                <w:sz w:val="16"/>
                <w:szCs w:val="16"/>
                <w:lang w:val="fr-BE"/>
              </w:rPr>
            </w:pPr>
            <w:r w:rsidRPr="0024468B">
              <w:rPr>
                <w:noProof/>
                <w:sz w:val="16"/>
                <w:szCs w:val="16"/>
                <w:lang w:val="fr-BE"/>
              </w:rPr>
              <w:t>ID</w:t>
            </w:r>
          </w:p>
        </w:tc>
        <w:tc>
          <w:tcPr>
            <w:tcW w:w="0" w:type="auto"/>
            <w:shd w:val="clear" w:color="auto" w:fill="auto"/>
          </w:tcPr>
          <w:p w14:paraId="3EB6BB53" w14:textId="77777777" w:rsidR="008C5CFA" w:rsidRPr="0024468B" w:rsidRDefault="00E82A60" w:rsidP="00300A01">
            <w:pPr>
              <w:spacing w:before="0" w:after="0"/>
              <w:rPr>
                <w:sz w:val="16"/>
                <w:szCs w:val="16"/>
                <w:lang w:val="fr-BE"/>
              </w:rPr>
            </w:pPr>
            <w:r w:rsidRPr="0024468B">
              <w:rPr>
                <w:noProof/>
                <w:sz w:val="16"/>
                <w:szCs w:val="16"/>
                <w:lang w:val="fr-BE"/>
              </w:rPr>
              <w:t>Wskaźnik</w:t>
            </w:r>
          </w:p>
        </w:tc>
        <w:tc>
          <w:tcPr>
            <w:tcW w:w="0" w:type="auto"/>
            <w:shd w:val="clear" w:color="auto" w:fill="auto"/>
          </w:tcPr>
          <w:p w14:paraId="033D23DE" w14:textId="77777777" w:rsidR="008C5CFA" w:rsidRPr="0024468B" w:rsidRDefault="00E82A60" w:rsidP="00300A01">
            <w:pPr>
              <w:spacing w:before="0" w:after="0"/>
              <w:rPr>
                <w:sz w:val="16"/>
                <w:szCs w:val="16"/>
                <w:lang w:val="fr-BE"/>
              </w:rPr>
            </w:pPr>
            <w:r w:rsidRPr="0024468B">
              <w:rPr>
                <w:noProof/>
                <w:sz w:val="16"/>
                <w:szCs w:val="16"/>
                <w:lang w:val="fr-BE"/>
              </w:rPr>
              <w:t>Jednostka miary</w:t>
            </w:r>
          </w:p>
        </w:tc>
        <w:tc>
          <w:tcPr>
            <w:tcW w:w="0" w:type="auto"/>
            <w:shd w:val="clear" w:color="auto" w:fill="auto"/>
          </w:tcPr>
          <w:p w14:paraId="5B959E6A" w14:textId="77777777" w:rsidR="008C5CFA" w:rsidRPr="0024468B" w:rsidRDefault="00E82A60" w:rsidP="00300A01">
            <w:pPr>
              <w:spacing w:before="0" w:after="0"/>
              <w:rPr>
                <w:sz w:val="16"/>
                <w:szCs w:val="16"/>
                <w:lang w:val="fr-BE"/>
              </w:rPr>
            </w:pPr>
            <w:r w:rsidRPr="0024468B">
              <w:rPr>
                <w:noProof/>
                <w:sz w:val="16"/>
                <w:szCs w:val="16"/>
                <w:lang w:val="fr-BE"/>
              </w:rPr>
              <w:t>Kategoria regionu</w:t>
            </w:r>
          </w:p>
        </w:tc>
        <w:tc>
          <w:tcPr>
            <w:tcW w:w="0" w:type="auto"/>
            <w:shd w:val="clear" w:color="auto" w:fill="auto"/>
          </w:tcPr>
          <w:p w14:paraId="15EB2D24" w14:textId="77777777" w:rsidR="008C5CFA" w:rsidRPr="0024468B" w:rsidRDefault="00E82A60" w:rsidP="00300A01">
            <w:pPr>
              <w:spacing w:before="0" w:after="0"/>
              <w:rPr>
                <w:sz w:val="16"/>
                <w:szCs w:val="16"/>
                <w:lang w:val="fr-BE"/>
              </w:rPr>
            </w:pPr>
            <w:r w:rsidRPr="0024468B">
              <w:rPr>
                <w:noProof/>
                <w:sz w:val="16"/>
                <w:szCs w:val="16"/>
                <w:lang w:val="fr-BE"/>
              </w:rPr>
              <w:t>Wartość bazowa</w:t>
            </w:r>
          </w:p>
        </w:tc>
        <w:tc>
          <w:tcPr>
            <w:tcW w:w="0" w:type="auto"/>
            <w:shd w:val="clear" w:color="auto" w:fill="auto"/>
          </w:tcPr>
          <w:p w14:paraId="7A2F8661" w14:textId="77777777" w:rsidR="008C5CFA" w:rsidRPr="0024468B" w:rsidRDefault="00E82A60" w:rsidP="00300A01">
            <w:pPr>
              <w:spacing w:before="0" w:after="0"/>
              <w:rPr>
                <w:sz w:val="16"/>
                <w:szCs w:val="16"/>
                <w:lang w:val="fr-BE"/>
              </w:rPr>
            </w:pPr>
            <w:r w:rsidRPr="0024468B">
              <w:rPr>
                <w:noProof/>
                <w:sz w:val="16"/>
                <w:szCs w:val="16"/>
                <w:lang w:val="fr-BE"/>
              </w:rPr>
              <w:t>Rok bazowy</w:t>
            </w:r>
          </w:p>
        </w:tc>
        <w:tc>
          <w:tcPr>
            <w:tcW w:w="0" w:type="auto"/>
            <w:shd w:val="clear" w:color="auto" w:fill="auto"/>
          </w:tcPr>
          <w:p w14:paraId="0C43424F" w14:textId="77777777" w:rsidR="008C5CFA" w:rsidRPr="0024468B" w:rsidRDefault="00E82A60" w:rsidP="00300A01">
            <w:pPr>
              <w:spacing w:before="0" w:after="0"/>
              <w:rPr>
                <w:sz w:val="16"/>
                <w:szCs w:val="16"/>
                <w:lang w:val="fr-BE"/>
              </w:rPr>
            </w:pPr>
            <w:r w:rsidRPr="0024468B">
              <w:rPr>
                <w:noProof/>
                <w:sz w:val="16"/>
                <w:szCs w:val="16"/>
                <w:lang w:val="fr-BE"/>
              </w:rPr>
              <w:t>Wartość docelowa 2023</w:t>
            </w:r>
          </w:p>
        </w:tc>
        <w:tc>
          <w:tcPr>
            <w:tcW w:w="0" w:type="auto"/>
            <w:shd w:val="clear" w:color="auto" w:fill="auto"/>
          </w:tcPr>
          <w:p w14:paraId="0B5388F9" w14:textId="77777777" w:rsidR="008C5CFA" w:rsidRPr="0024468B" w:rsidRDefault="00E82A60" w:rsidP="00300A01">
            <w:pPr>
              <w:spacing w:before="0" w:after="0"/>
              <w:jc w:val="center"/>
              <w:rPr>
                <w:sz w:val="16"/>
                <w:szCs w:val="16"/>
                <w:lang w:val="fr-BE"/>
              </w:rPr>
            </w:pPr>
            <w:r>
              <w:rPr>
                <w:sz w:val="16"/>
                <w:szCs w:val="16"/>
                <w:lang w:val="fr-BE"/>
              </w:rPr>
              <w:t xml:space="preserve">2019 </w:t>
            </w:r>
            <w:r>
              <w:rPr>
                <w:noProof/>
                <w:sz w:val="16"/>
                <w:szCs w:val="16"/>
                <w:lang w:val="fr-BE"/>
              </w:rPr>
              <w:t>Ogółem</w:t>
            </w:r>
          </w:p>
        </w:tc>
        <w:tc>
          <w:tcPr>
            <w:tcW w:w="0" w:type="auto"/>
            <w:shd w:val="clear" w:color="auto" w:fill="auto"/>
          </w:tcPr>
          <w:p w14:paraId="1EBA7BBF" w14:textId="77777777" w:rsidR="008C5CFA" w:rsidRPr="0024468B" w:rsidRDefault="00E82A60" w:rsidP="00300A01">
            <w:pPr>
              <w:spacing w:before="0" w:after="0"/>
              <w:jc w:val="center"/>
              <w:rPr>
                <w:sz w:val="16"/>
                <w:szCs w:val="16"/>
                <w:lang w:val="fr-BE"/>
              </w:rPr>
            </w:pPr>
            <w:r>
              <w:rPr>
                <w:sz w:val="16"/>
                <w:szCs w:val="16"/>
                <w:lang w:val="fr-BE"/>
              </w:rPr>
              <w:t xml:space="preserve">2019 </w:t>
            </w:r>
            <w:r w:rsidRPr="0024468B">
              <w:rPr>
                <w:noProof/>
                <w:sz w:val="16"/>
                <w:szCs w:val="16"/>
                <w:lang w:val="fr-BE"/>
              </w:rPr>
              <w:t>Jakościowe</w:t>
            </w:r>
          </w:p>
        </w:tc>
        <w:tc>
          <w:tcPr>
            <w:tcW w:w="0" w:type="auto"/>
            <w:shd w:val="clear" w:color="auto" w:fill="auto"/>
          </w:tcPr>
          <w:p w14:paraId="732A0635" w14:textId="77777777" w:rsidR="008C5CFA" w:rsidRPr="0024468B" w:rsidRDefault="00E82A60" w:rsidP="00300A01">
            <w:pPr>
              <w:spacing w:before="0" w:after="0"/>
              <w:jc w:val="center"/>
              <w:rPr>
                <w:sz w:val="16"/>
                <w:szCs w:val="16"/>
                <w:lang w:val="fr-BE"/>
              </w:rPr>
            </w:pPr>
            <w:r w:rsidRPr="0024468B">
              <w:rPr>
                <w:noProof/>
                <w:sz w:val="16"/>
                <w:szCs w:val="16"/>
                <w:lang w:val="fr-BE"/>
              </w:rPr>
              <w:t>Uwagi</w:t>
            </w:r>
          </w:p>
        </w:tc>
      </w:tr>
      <w:tr w:rsidR="006B2EC1" w14:paraId="2998113A" w14:textId="77777777" w:rsidTr="0047688D">
        <w:tc>
          <w:tcPr>
            <w:tcW w:w="0" w:type="auto"/>
            <w:shd w:val="clear" w:color="auto" w:fill="auto"/>
          </w:tcPr>
          <w:p w14:paraId="76072A0D" w14:textId="77777777" w:rsidR="008C5CFA" w:rsidRPr="0024468B" w:rsidRDefault="00E82A60" w:rsidP="00300A01">
            <w:pPr>
              <w:spacing w:before="0" w:after="0"/>
              <w:rPr>
                <w:sz w:val="16"/>
                <w:szCs w:val="16"/>
                <w:lang w:val="fr-BE"/>
              </w:rPr>
            </w:pPr>
            <w:r w:rsidRPr="0024468B">
              <w:rPr>
                <w:noProof/>
                <w:sz w:val="16"/>
                <w:szCs w:val="16"/>
                <w:lang w:val="fr-BE"/>
              </w:rPr>
              <w:t>052</w:t>
            </w:r>
          </w:p>
        </w:tc>
        <w:tc>
          <w:tcPr>
            <w:tcW w:w="0" w:type="auto"/>
            <w:shd w:val="clear" w:color="auto" w:fill="auto"/>
          </w:tcPr>
          <w:p w14:paraId="0BE518AE" w14:textId="77777777" w:rsidR="008C5CFA" w:rsidRPr="0024468B" w:rsidRDefault="00E82A60" w:rsidP="00300A01">
            <w:pPr>
              <w:spacing w:before="0" w:after="0"/>
              <w:rPr>
                <w:sz w:val="16"/>
                <w:szCs w:val="16"/>
                <w:lang w:val="fr-BE"/>
              </w:rPr>
            </w:pPr>
            <w:r w:rsidRPr="0024468B">
              <w:rPr>
                <w:noProof/>
                <w:sz w:val="16"/>
                <w:szCs w:val="16"/>
                <w:lang w:val="fr-BE"/>
              </w:rPr>
              <w:t>Stopień wykorzystania miejsc noclegowych na obszarze KOF</w:t>
            </w:r>
          </w:p>
        </w:tc>
        <w:tc>
          <w:tcPr>
            <w:tcW w:w="0" w:type="auto"/>
            <w:shd w:val="clear" w:color="auto" w:fill="auto"/>
          </w:tcPr>
          <w:p w14:paraId="6EF08AAC" w14:textId="77777777" w:rsidR="008C5CFA" w:rsidRPr="0024468B" w:rsidRDefault="00E82A60" w:rsidP="00300A01">
            <w:pPr>
              <w:spacing w:before="0" w:after="0"/>
              <w:rPr>
                <w:sz w:val="16"/>
                <w:szCs w:val="16"/>
                <w:lang w:val="fr-BE"/>
              </w:rPr>
            </w:pPr>
            <w:r w:rsidRPr="0024468B">
              <w:rPr>
                <w:noProof/>
                <w:sz w:val="16"/>
                <w:szCs w:val="16"/>
                <w:lang w:val="fr-BE"/>
              </w:rPr>
              <w:t>%</w:t>
            </w:r>
          </w:p>
        </w:tc>
        <w:tc>
          <w:tcPr>
            <w:tcW w:w="0" w:type="auto"/>
            <w:shd w:val="clear" w:color="auto" w:fill="auto"/>
          </w:tcPr>
          <w:p w14:paraId="1D04E2EB" w14:textId="77777777" w:rsidR="008C5CFA" w:rsidRPr="0024468B" w:rsidRDefault="00E82A60"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14:paraId="5F8223B7" w14:textId="77777777" w:rsidR="008C5CFA" w:rsidRPr="00C3185A" w:rsidRDefault="00E82A60" w:rsidP="00300A01">
            <w:pPr>
              <w:spacing w:before="0" w:after="0"/>
              <w:jc w:val="right"/>
              <w:rPr>
                <w:sz w:val="16"/>
                <w:szCs w:val="16"/>
                <w:lang w:val="fr-BE"/>
              </w:rPr>
            </w:pPr>
            <w:r w:rsidRPr="00C3185A">
              <w:rPr>
                <w:noProof/>
                <w:sz w:val="16"/>
                <w:szCs w:val="16"/>
                <w:lang w:val="fr-BE"/>
              </w:rPr>
              <w:t>18,20</w:t>
            </w:r>
          </w:p>
        </w:tc>
        <w:tc>
          <w:tcPr>
            <w:tcW w:w="0" w:type="auto"/>
            <w:shd w:val="clear" w:color="auto" w:fill="auto"/>
          </w:tcPr>
          <w:p w14:paraId="1EA11539" w14:textId="77777777" w:rsidR="008C5CFA" w:rsidRPr="0024468B" w:rsidRDefault="00E82A60" w:rsidP="00300A01">
            <w:pPr>
              <w:spacing w:before="0" w:after="0"/>
              <w:rPr>
                <w:sz w:val="16"/>
                <w:szCs w:val="16"/>
                <w:lang w:val="fr-BE"/>
              </w:rPr>
            </w:pPr>
            <w:r w:rsidRPr="0024468B">
              <w:rPr>
                <w:noProof/>
                <w:sz w:val="16"/>
                <w:szCs w:val="16"/>
                <w:lang w:val="fr-BE"/>
              </w:rPr>
              <w:t>2013</w:t>
            </w:r>
          </w:p>
        </w:tc>
        <w:tc>
          <w:tcPr>
            <w:tcW w:w="0" w:type="auto"/>
            <w:shd w:val="clear" w:color="auto" w:fill="auto"/>
          </w:tcPr>
          <w:p w14:paraId="24B7FB35" w14:textId="77777777" w:rsidR="008C5CFA" w:rsidRPr="0024468B" w:rsidRDefault="00E82A60" w:rsidP="00300A01">
            <w:pPr>
              <w:spacing w:before="0" w:after="0"/>
              <w:jc w:val="right"/>
              <w:rPr>
                <w:sz w:val="16"/>
                <w:szCs w:val="16"/>
                <w:lang w:val="fr-BE"/>
              </w:rPr>
            </w:pPr>
            <w:r w:rsidRPr="0024468B">
              <w:rPr>
                <w:noProof/>
                <w:sz w:val="16"/>
                <w:szCs w:val="16"/>
                <w:lang w:val="fr-BE"/>
              </w:rPr>
              <w:t>18,30</w:t>
            </w:r>
          </w:p>
        </w:tc>
        <w:tc>
          <w:tcPr>
            <w:tcW w:w="0" w:type="auto"/>
            <w:shd w:val="clear" w:color="auto" w:fill="auto"/>
          </w:tcPr>
          <w:p w14:paraId="412CEF61" w14:textId="77777777" w:rsidR="008C5CFA" w:rsidRPr="0024468B" w:rsidRDefault="00E82A60" w:rsidP="00300A01">
            <w:pPr>
              <w:spacing w:before="0" w:after="0"/>
              <w:jc w:val="right"/>
              <w:rPr>
                <w:sz w:val="16"/>
                <w:szCs w:val="16"/>
                <w:lang w:val="fr-BE"/>
              </w:rPr>
            </w:pPr>
            <w:r w:rsidRPr="0024468B">
              <w:rPr>
                <w:noProof/>
                <w:sz w:val="16"/>
                <w:szCs w:val="16"/>
                <w:lang w:val="fr-BE"/>
              </w:rPr>
              <w:t>24,80</w:t>
            </w:r>
          </w:p>
        </w:tc>
        <w:tc>
          <w:tcPr>
            <w:tcW w:w="0" w:type="auto"/>
            <w:shd w:val="clear" w:color="auto" w:fill="auto"/>
          </w:tcPr>
          <w:p w14:paraId="73E82EE2" w14:textId="77777777" w:rsidR="008C5CFA" w:rsidRPr="0024468B" w:rsidRDefault="008C5CFA" w:rsidP="00300A01">
            <w:pPr>
              <w:spacing w:before="0" w:after="0"/>
              <w:jc w:val="right"/>
              <w:rPr>
                <w:sz w:val="16"/>
                <w:szCs w:val="16"/>
                <w:lang w:val="fr-BE"/>
              </w:rPr>
            </w:pPr>
          </w:p>
        </w:tc>
        <w:tc>
          <w:tcPr>
            <w:tcW w:w="0" w:type="auto"/>
            <w:shd w:val="clear" w:color="auto" w:fill="auto"/>
          </w:tcPr>
          <w:p w14:paraId="2D5B7B5B" w14:textId="77777777" w:rsidR="008C5CFA" w:rsidRPr="0024468B" w:rsidRDefault="008C5CFA" w:rsidP="00300A01">
            <w:pPr>
              <w:spacing w:before="0" w:after="0"/>
              <w:rPr>
                <w:sz w:val="16"/>
                <w:szCs w:val="16"/>
                <w:lang w:val="fr-BE"/>
              </w:rPr>
            </w:pPr>
          </w:p>
        </w:tc>
      </w:tr>
    </w:tbl>
    <w:p w14:paraId="49D99644"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
        <w:gridCol w:w="4451"/>
        <w:gridCol w:w="1163"/>
        <w:gridCol w:w="1399"/>
        <w:gridCol w:w="1163"/>
        <w:gridCol w:w="1399"/>
        <w:gridCol w:w="1163"/>
        <w:gridCol w:w="1399"/>
        <w:gridCol w:w="1163"/>
        <w:gridCol w:w="1399"/>
      </w:tblGrid>
      <w:tr w:rsidR="006B2EC1" w14:paraId="0E832372" w14:textId="77777777" w:rsidTr="0047688D">
        <w:tc>
          <w:tcPr>
            <w:tcW w:w="0" w:type="auto"/>
            <w:shd w:val="clear" w:color="auto" w:fill="auto"/>
          </w:tcPr>
          <w:p w14:paraId="3B669162" w14:textId="77777777" w:rsidR="008C5CFA" w:rsidRPr="0024468B" w:rsidRDefault="00E82A60" w:rsidP="00300A01">
            <w:pPr>
              <w:spacing w:before="0" w:after="0"/>
              <w:rPr>
                <w:sz w:val="16"/>
                <w:szCs w:val="16"/>
                <w:lang w:val="fr-BE"/>
              </w:rPr>
            </w:pPr>
            <w:r w:rsidRPr="0024468B">
              <w:rPr>
                <w:noProof/>
                <w:sz w:val="16"/>
                <w:szCs w:val="16"/>
                <w:lang w:val="fr-BE"/>
              </w:rPr>
              <w:t>ID</w:t>
            </w:r>
          </w:p>
        </w:tc>
        <w:tc>
          <w:tcPr>
            <w:tcW w:w="0" w:type="auto"/>
            <w:shd w:val="clear" w:color="auto" w:fill="auto"/>
          </w:tcPr>
          <w:p w14:paraId="68E43EE8" w14:textId="77777777" w:rsidR="008C5CFA" w:rsidRPr="0024468B" w:rsidRDefault="00E82A60" w:rsidP="00300A01">
            <w:pPr>
              <w:spacing w:before="0" w:after="0"/>
              <w:rPr>
                <w:sz w:val="16"/>
                <w:szCs w:val="16"/>
                <w:lang w:val="fr-BE"/>
              </w:rPr>
            </w:pPr>
            <w:r w:rsidRPr="0024468B">
              <w:rPr>
                <w:noProof/>
                <w:sz w:val="16"/>
                <w:szCs w:val="16"/>
                <w:lang w:val="fr-BE"/>
              </w:rPr>
              <w:t>Wskaźnik</w:t>
            </w:r>
          </w:p>
        </w:tc>
        <w:tc>
          <w:tcPr>
            <w:tcW w:w="0" w:type="auto"/>
          </w:tcPr>
          <w:p w14:paraId="174E301D" w14:textId="77777777" w:rsidR="008C5CFA" w:rsidRPr="0024468B" w:rsidRDefault="00E82A60" w:rsidP="00300A01">
            <w:pPr>
              <w:spacing w:before="0" w:after="0"/>
              <w:jc w:val="center"/>
              <w:rPr>
                <w:sz w:val="16"/>
                <w:szCs w:val="16"/>
                <w:lang w:val="fr-BE"/>
              </w:rPr>
            </w:pPr>
            <w:r>
              <w:rPr>
                <w:sz w:val="16"/>
                <w:szCs w:val="16"/>
                <w:lang w:val="fr-BE"/>
              </w:rPr>
              <w:t xml:space="preserve">2018 </w:t>
            </w:r>
            <w:r>
              <w:rPr>
                <w:noProof/>
                <w:sz w:val="16"/>
                <w:szCs w:val="16"/>
                <w:lang w:val="fr-BE"/>
              </w:rPr>
              <w:t>Ogółem</w:t>
            </w:r>
          </w:p>
        </w:tc>
        <w:tc>
          <w:tcPr>
            <w:tcW w:w="0" w:type="auto"/>
          </w:tcPr>
          <w:p w14:paraId="2D98763E" w14:textId="77777777" w:rsidR="008C5CFA" w:rsidRPr="0024468B" w:rsidRDefault="00E82A60" w:rsidP="00300A01">
            <w:pPr>
              <w:spacing w:before="0" w:after="0"/>
              <w:jc w:val="center"/>
              <w:rPr>
                <w:sz w:val="16"/>
                <w:szCs w:val="16"/>
                <w:lang w:val="fr-BE"/>
              </w:rPr>
            </w:pPr>
            <w:r>
              <w:rPr>
                <w:sz w:val="16"/>
                <w:szCs w:val="16"/>
                <w:lang w:val="fr-BE"/>
              </w:rPr>
              <w:t xml:space="preserve">2018 </w:t>
            </w:r>
            <w:r w:rsidRPr="0024468B">
              <w:rPr>
                <w:noProof/>
                <w:sz w:val="16"/>
                <w:szCs w:val="16"/>
                <w:lang w:val="fr-BE"/>
              </w:rPr>
              <w:t>Jakościowe</w:t>
            </w:r>
          </w:p>
        </w:tc>
        <w:tc>
          <w:tcPr>
            <w:tcW w:w="0" w:type="auto"/>
          </w:tcPr>
          <w:p w14:paraId="4CFCFAB8" w14:textId="77777777" w:rsidR="008C5CFA" w:rsidRPr="0024468B" w:rsidRDefault="00E82A60" w:rsidP="00300A01">
            <w:pPr>
              <w:spacing w:before="0" w:after="0"/>
              <w:jc w:val="center"/>
              <w:rPr>
                <w:sz w:val="16"/>
                <w:szCs w:val="16"/>
                <w:lang w:val="fr-BE"/>
              </w:rPr>
            </w:pPr>
            <w:r>
              <w:rPr>
                <w:sz w:val="16"/>
                <w:szCs w:val="16"/>
                <w:lang w:val="fr-BE"/>
              </w:rPr>
              <w:t xml:space="preserve">2017 </w:t>
            </w:r>
            <w:r>
              <w:rPr>
                <w:noProof/>
                <w:sz w:val="16"/>
                <w:szCs w:val="16"/>
                <w:lang w:val="fr-BE"/>
              </w:rPr>
              <w:t>Ogółem</w:t>
            </w:r>
          </w:p>
        </w:tc>
        <w:tc>
          <w:tcPr>
            <w:tcW w:w="0" w:type="auto"/>
          </w:tcPr>
          <w:p w14:paraId="202B48A7" w14:textId="77777777" w:rsidR="008C5CFA" w:rsidRPr="0024468B" w:rsidRDefault="00E82A60" w:rsidP="00300A01">
            <w:pPr>
              <w:spacing w:before="0" w:after="0"/>
              <w:jc w:val="center"/>
              <w:rPr>
                <w:sz w:val="16"/>
                <w:szCs w:val="16"/>
                <w:lang w:val="fr-BE"/>
              </w:rPr>
            </w:pPr>
            <w:r>
              <w:rPr>
                <w:sz w:val="16"/>
                <w:szCs w:val="16"/>
                <w:lang w:val="fr-BE"/>
              </w:rPr>
              <w:t xml:space="preserve">2017 </w:t>
            </w:r>
            <w:r w:rsidRPr="0024468B">
              <w:rPr>
                <w:noProof/>
                <w:sz w:val="16"/>
                <w:szCs w:val="16"/>
                <w:lang w:val="fr-BE"/>
              </w:rPr>
              <w:t>Jakościowe</w:t>
            </w:r>
          </w:p>
        </w:tc>
        <w:tc>
          <w:tcPr>
            <w:tcW w:w="0" w:type="auto"/>
          </w:tcPr>
          <w:p w14:paraId="378EE00C" w14:textId="77777777" w:rsidR="008C5CFA" w:rsidRPr="0024468B" w:rsidRDefault="00E82A60" w:rsidP="00300A01">
            <w:pPr>
              <w:spacing w:before="0" w:after="0"/>
              <w:jc w:val="center"/>
              <w:rPr>
                <w:sz w:val="16"/>
                <w:szCs w:val="16"/>
                <w:lang w:val="fr-BE"/>
              </w:rPr>
            </w:pPr>
            <w:r>
              <w:rPr>
                <w:sz w:val="16"/>
                <w:szCs w:val="16"/>
                <w:lang w:val="fr-BE"/>
              </w:rPr>
              <w:t xml:space="preserve">2016 </w:t>
            </w:r>
            <w:r>
              <w:rPr>
                <w:noProof/>
                <w:sz w:val="16"/>
                <w:szCs w:val="16"/>
                <w:lang w:val="fr-BE"/>
              </w:rPr>
              <w:t>Ogółem</w:t>
            </w:r>
          </w:p>
        </w:tc>
        <w:tc>
          <w:tcPr>
            <w:tcW w:w="0" w:type="auto"/>
          </w:tcPr>
          <w:p w14:paraId="7F35FABB" w14:textId="77777777" w:rsidR="008C5CFA" w:rsidRPr="0024468B" w:rsidRDefault="00E82A60" w:rsidP="00300A01">
            <w:pPr>
              <w:spacing w:before="0" w:after="0"/>
              <w:jc w:val="center"/>
              <w:rPr>
                <w:sz w:val="16"/>
                <w:szCs w:val="16"/>
                <w:lang w:val="fr-BE"/>
              </w:rPr>
            </w:pPr>
            <w:r>
              <w:rPr>
                <w:sz w:val="16"/>
                <w:szCs w:val="16"/>
                <w:lang w:val="fr-BE"/>
              </w:rPr>
              <w:t xml:space="preserve">2016 </w:t>
            </w:r>
            <w:r w:rsidRPr="0024468B">
              <w:rPr>
                <w:noProof/>
                <w:sz w:val="16"/>
                <w:szCs w:val="16"/>
                <w:lang w:val="fr-BE"/>
              </w:rPr>
              <w:t>Jakościowe</w:t>
            </w:r>
          </w:p>
        </w:tc>
        <w:tc>
          <w:tcPr>
            <w:tcW w:w="0" w:type="auto"/>
          </w:tcPr>
          <w:p w14:paraId="54E0D7FC" w14:textId="77777777" w:rsidR="008C5CFA" w:rsidRPr="0024468B" w:rsidRDefault="00E82A60" w:rsidP="00300A01">
            <w:pPr>
              <w:spacing w:before="0" w:after="0"/>
              <w:jc w:val="center"/>
              <w:rPr>
                <w:sz w:val="16"/>
                <w:szCs w:val="16"/>
                <w:lang w:val="fr-BE"/>
              </w:rPr>
            </w:pPr>
            <w:r>
              <w:rPr>
                <w:sz w:val="16"/>
                <w:szCs w:val="16"/>
                <w:lang w:val="fr-BE"/>
              </w:rPr>
              <w:t xml:space="preserve">2015 </w:t>
            </w:r>
            <w:r>
              <w:rPr>
                <w:noProof/>
                <w:sz w:val="16"/>
                <w:szCs w:val="16"/>
                <w:lang w:val="fr-BE"/>
              </w:rPr>
              <w:t>Ogółem</w:t>
            </w:r>
          </w:p>
        </w:tc>
        <w:tc>
          <w:tcPr>
            <w:tcW w:w="0" w:type="auto"/>
          </w:tcPr>
          <w:p w14:paraId="50CAC8B8" w14:textId="77777777" w:rsidR="008C5CFA" w:rsidRPr="0024468B" w:rsidRDefault="00E82A60" w:rsidP="00300A01">
            <w:pPr>
              <w:spacing w:before="0" w:after="0"/>
              <w:jc w:val="center"/>
              <w:rPr>
                <w:sz w:val="16"/>
                <w:szCs w:val="16"/>
                <w:lang w:val="fr-BE"/>
              </w:rPr>
            </w:pPr>
            <w:r>
              <w:rPr>
                <w:sz w:val="16"/>
                <w:szCs w:val="16"/>
                <w:lang w:val="fr-BE"/>
              </w:rPr>
              <w:t xml:space="preserve">2015 </w:t>
            </w:r>
            <w:r w:rsidRPr="0024468B">
              <w:rPr>
                <w:noProof/>
                <w:sz w:val="16"/>
                <w:szCs w:val="16"/>
                <w:lang w:val="fr-BE"/>
              </w:rPr>
              <w:t>Jakościowe</w:t>
            </w:r>
          </w:p>
        </w:tc>
      </w:tr>
      <w:tr w:rsidR="006B2EC1" w14:paraId="53139F4C" w14:textId="77777777" w:rsidTr="0047688D">
        <w:tc>
          <w:tcPr>
            <w:tcW w:w="0" w:type="auto"/>
            <w:shd w:val="clear" w:color="auto" w:fill="auto"/>
          </w:tcPr>
          <w:p w14:paraId="57F395C5" w14:textId="77777777" w:rsidR="008C5CFA" w:rsidRPr="0024468B" w:rsidRDefault="00E82A60" w:rsidP="00300A01">
            <w:pPr>
              <w:spacing w:before="0" w:after="0"/>
              <w:rPr>
                <w:sz w:val="16"/>
                <w:szCs w:val="16"/>
                <w:lang w:val="fr-BE"/>
              </w:rPr>
            </w:pPr>
            <w:r w:rsidRPr="0024468B">
              <w:rPr>
                <w:noProof/>
                <w:sz w:val="16"/>
                <w:szCs w:val="16"/>
                <w:lang w:val="fr-BE"/>
              </w:rPr>
              <w:t>052</w:t>
            </w:r>
          </w:p>
        </w:tc>
        <w:tc>
          <w:tcPr>
            <w:tcW w:w="0" w:type="auto"/>
            <w:shd w:val="clear" w:color="auto" w:fill="auto"/>
          </w:tcPr>
          <w:p w14:paraId="36C579BD" w14:textId="77777777" w:rsidR="008C5CFA" w:rsidRPr="0024468B" w:rsidRDefault="00E82A60" w:rsidP="00300A01">
            <w:pPr>
              <w:spacing w:before="0" w:after="0"/>
              <w:rPr>
                <w:sz w:val="16"/>
                <w:szCs w:val="16"/>
                <w:lang w:val="fr-BE"/>
              </w:rPr>
            </w:pPr>
            <w:r w:rsidRPr="0024468B">
              <w:rPr>
                <w:noProof/>
                <w:sz w:val="16"/>
                <w:szCs w:val="16"/>
                <w:lang w:val="fr-BE"/>
              </w:rPr>
              <w:t>Stopień wykorzystania miejsc noclegowych na obszarze KOF</w:t>
            </w:r>
          </w:p>
        </w:tc>
        <w:tc>
          <w:tcPr>
            <w:tcW w:w="0" w:type="auto"/>
          </w:tcPr>
          <w:p w14:paraId="50DC12F6" w14:textId="77777777" w:rsidR="008C5CFA" w:rsidRPr="0024468B" w:rsidRDefault="00E82A60" w:rsidP="00300A01">
            <w:pPr>
              <w:spacing w:before="0" w:after="0"/>
              <w:jc w:val="right"/>
              <w:rPr>
                <w:sz w:val="16"/>
                <w:szCs w:val="16"/>
                <w:lang w:val="fr-BE"/>
              </w:rPr>
            </w:pPr>
            <w:r w:rsidRPr="0024468B">
              <w:rPr>
                <w:noProof/>
                <w:sz w:val="16"/>
                <w:szCs w:val="16"/>
                <w:lang w:val="fr-BE"/>
              </w:rPr>
              <w:t>26,00</w:t>
            </w:r>
          </w:p>
        </w:tc>
        <w:tc>
          <w:tcPr>
            <w:tcW w:w="0" w:type="auto"/>
          </w:tcPr>
          <w:p w14:paraId="25D05643" w14:textId="77777777" w:rsidR="008C5CFA" w:rsidRPr="0024468B" w:rsidRDefault="008C5CFA" w:rsidP="00300A01">
            <w:pPr>
              <w:spacing w:before="0" w:after="0"/>
              <w:jc w:val="right"/>
              <w:rPr>
                <w:sz w:val="16"/>
                <w:szCs w:val="16"/>
                <w:lang w:val="fr-BE"/>
              </w:rPr>
            </w:pPr>
          </w:p>
        </w:tc>
        <w:tc>
          <w:tcPr>
            <w:tcW w:w="0" w:type="auto"/>
          </w:tcPr>
          <w:p w14:paraId="448A1B96" w14:textId="77777777" w:rsidR="008C5CFA" w:rsidRPr="0024468B" w:rsidRDefault="00E82A60" w:rsidP="00300A01">
            <w:pPr>
              <w:spacing w:before="0" w:after="0"/>
              <w:jc w:val="right"/>
              <w:rPr>
                <w:sz w:val="16"/>
                <w:szCs w:val="16"/>
                <w:lang w:val="fr-BE"/>
              </w:rPr>
            </w:pPr>
            <w:r w:rsidRPr="0024468B">
              <w:rPr>
                <w:noProof/>
                <w:sz w:val="16"/>
                <w:szCs w:val="16"/>
                <w:lang w:val="fr-BE"/>
              </w:rPr>
              <w:t>26,20</w:t>
            </w:r>
          </w:p>
        </w:tc>
        <w:tc>
          <w:tcPr>
            <w:tcW w:w="0" w:type="auto"/>
          </w:tcPr>
          <w:p w14:paraId="01511BC5" w14:textId="77777777" w:rsidR="008C5CFA" w:rsidRPr="0024468B" w:rsidRDefault="008C5CFA" w:rsidP="00300A01">
            <w:pPr>
              <w:spacing w:before="0" w:after="0"/>
              <w:jc w:val="right"/>
              <w:rPr>
                <w:sz w:val="16"/>
                <w:szCs w:val="16"/>
                <w:lang w:val="fr-BE"/>
              </w:rPr>
            </w:pPr>
          </w:p>
        </w:tc>
        <w:tc>
          <w:tcPr>
            <w:tcW w:w="0" w:type="auto"/>
          </w:tcPr>
          <w:p w14:paraId="1FA2F29D" w14:textId="77777777" w:rsidR="008C5CFA" w:rsidRPr="0024468B" w:rsidRDefault="00E82A60" w:rsidP="00300A01">
            <w:pPr>
              <w:spacing w:before="0" w:after="0"/>
              <w:jc w:val="right"/>
              <w:rPr>
                <w:sz w:val="16"/>
                <w:szCs w:val="16"/>
                <w:lang w:val="fr-BE"/>
              </w:rPr>
            </w:pPr>
            <w:r w:rsidRPr="0024468B">
              <w:rPr>
                <w:noProof/>
                <w:sz w:val="16"/>
                <w:szCs w:val="16"/>
                <w:lang w:val="fr-BE"/>
              </w:rPr>
              <w:t>20,49</w:t>
            </w:r>
          </w:p>
        </w:tc>
        <w:tc>
          <w:tcPr>
            <w:tcW w:w="0" w:type="auto"/>
          </w:tcPr>
          <w:p w14:paraId="494244A8" w14:textId="77777777" w:rsidR="008C5CFA" w:rsidRPr="0024468B" w:rsidRDefault="008C5CFA" w:rsidP="00300A01">
            <w:pPr>
              <w:spacing w:before="0" w:after="0"/>
              <w:jc w:val="right"/>
              <w:rPr>
                <w:sz w:val="16"/>
                <w:szCs w:val="16"/>
                <w:lang w:val="fr-BE"/>
              </w:rPr>
            </w:pPr>
          </w:p>
        </w:tc>
        <w:tc>
          <w:tcPr>
            <w:tcW w:w="0" w:type="auto"/>
          </w:tcPr>
          <w:p w14:paraId="0E50BB49" w14:textId="77777777" w:rsidR="008C5CFA" w:rsidRPr="0024468B" w:rsidRDefault="00E82A60" w:rsidP="00300A01">
            <w:pPr>
              <w:spacing w:before="0" w:after="0"/>
              <w:jc w:val="right"/>
              <w:rPr>
                <w:sz w:val="16"/>
                <w:szCs w:val="16"/>
                <w:lang w:val="fr-BE"/>
              </w:rPr>
            </w:pPr>
            <w:r w:rsidRPr="0024468B">
              <w:rPr>
                <w:noProof/>
                <w:sz w:val="16"/>
                <w:szCs w:val="16"/>
                <w:lang w:val="fr-BE"/>
              </w:rPr>
              <w:t>18,07</w:t>
            </w:r>
          </w:p>
        </w:tc>
        <w:tc>
          <w:tcPr>
            <w:tcW w:w="0" w:type="auto"/>
          </w:tcPr>
          <w:p w14:paraId="4A2D9E02" w14:textId="77777777" w:rsidR="008C5CFA" w:rsidRPr="0024468B" w:rsidRDefault="008C5CFA" w:rsidP="00300A01">
            <w:pPr>
              <w:spacing w:before="0" w:after="0"/>
              <w:jc w:val="right"/>
              <w:rPr>
                <w:sz w:val="16"/>
                <w:szCs w:val="16"/>
                <w:lang w:val="fr-BE"/>
              </w:rPr>
            </w:pPr>
          </w:p>
        </w:tc>
      </w:tr>
    </w:tbl>
    <w:p w14:paraId="32D30804"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
        <w:gridCol w:w="9013"/>
        <w:gridCol w:w="2355"/>
        <w:gridCol w:w="2833"/>
      </w:tblGrid>
      <w:tr w:rsidR="006B2EC1" w14:paraId="708A3904" w14:textId="77777777" w:rsidTr="0047688D">
        <w:tc>
          <w:tcPr>
            <w:tcW w:w="0" w:type="auto"/>
            <w:shd w:val="clear" w:color="auto" w:fill="auto"/>
          </w:tcPr>
          <w:p w14:paraId="64E76063" w14:textId="77777777" w:rsidR="008C5CFA" w:rsidRPr="0024468B" w:rsidRDefault="00E82A60" w:rsidP="00300A01">
            <w:pPr>
              <w:spacing w:before="0" w:after="0"/>
              <w:rPr>
                <w:sz w:val="16"/>
                <w:szCs w:val="16"/>
                <w:lang w:val="fr-BE"/>
              </w:rPr>
            </w:pPr>
            <w:r w:rsidRPr="0024468B">
              <w:rPr>
                <w:noProof/>
                <w:sz w:val="16"/>
                <w:szCs w:val="16"/>
                <w:lang w:val="fr-BE"/>
              </w:rPr>
              <w:t>ID</w:t>
            </w:r>
          </w:p>
        </w:tc>
        <w:tc>
          <w:tcPr>
            <w:tcW w:w="0" w:type="auto"/>
            <w:shd w:val="clear" w:color="auto" w:fill="auto"/>
          </w:tcPr>
          <w:p w14:paraId="1B699520" w14:textId="77777777" w:rsidR="008C5CFA" w:rsidRPr="0024468B" w:rsidRDefault="00E82A60" w:rsidP="00300A01">
            <w:pPr>
              <w:spacing w:before="0" w:after="0"/>
              <w:rPr>
                <w:sz w:val="16"/>
                <w:szCs w:val="16"/>
                <w:lang w:val="fr-BE"/>
              </w:rPr>
            </w:pPr>
            <w:r w:rsidRPr="0024468B">
              <w:rPr>
                <w:noProof/>
                <w:sz w:val="16"/>
                <w:szCs w:val="16"/>
                <w:lang w:val="fr-BE"/>
              </w:rPr>
              <w:t>Wskaźnik</w:t>
            </w:r>
          </w:p>
        </w:tc>
        <w:tc>
          <w:tcPr>
            <w:tcW w:w="0" w:type="auto"/>
            <w:shd w:val="clear" w:color="auto" w:fill="auto"/>
          </w:tcPr>
          <w:p w14:paraId="3C8ABA54" w14:textId="77777777" w:rsidR="008C5CFA" w:rsidRPr="0024468B" w:rsidRDefault="00E82A60" w:rsidP="00300A01">
            <w:pPr>
              <w:spacing w:before="0" w:after="0"/>
              <w:jc w:val="center"/>
              <w:rPr>
                <w:sz w:val="16"/>
                <w:szCs w:val="16"/>
                <w:lang w:val="fr-BE"/>
              </w:rPr>
            </w:pPr>
            <w:r>
              <w:rPr>
                <w:sz w:val="16"/>
                <w:szCs w:val="16"/>
                <w:lang w:val="fr-BE"/>
              </w:rPr>
              <w:t xml:space="preserve">2014 </w:t>
            </w:r>
            <w:r>
              <w:rPr>
                <w:noProof/>
                <w:sz w:val="16"/>
                <w:szCs w:val="16"/>
                <w:lang w:val="fr-BE"/>
              </w:rPr>
              <w:t>Ogółem</w:t>
            </w:r>
          </w:p>
        </w:tc>
        <w:tc>
          <w:tcPr>
            <w:tcW w:w="0" w:type="auto"/>
            <w:shd w:val="clear" w:color="auto" w:fill="auto"/>
          </w:tcPr>
          <w:p w14:paraId="311AE9DB" w14:textId="77777777" w:rsidR="008C5CFA" w:rsidRPr="0024468B" w:rsidRDefault="00E82A60" w:rsidP="00300A01">
            <w:pPr>
              <w:spacing w:before="0" w:after="0"/>
              <w:jc w:val="center"/>
              <w:rPr>
                <w:sz w:val="16"/>
                <w:szCs w:val="16"/>
                <w:lang w:val="fr-BE"/>
              </w:rPr>
            </w:pPr>
            <w:r>
              <w:rPr>
                <w:sz w:val="16"/>
                <w:szCs w:val="16"/>
                <w:lang w:val="fr-BE"/>
              </w:rPr>
              <w:t xml:space="preserve">2014 </w:t>
            </w:r>
            <w:r w:rsidRPr="0024468B">
              <w:rPr>
                <w:noProof/>
                <w:sz w:val="16"/>
                <w:szCs w:val="16"/>
                <w:lang w:val="fr-BE"/>
              </w:rPr>
              <w:t>Jakościowe</w:t>
            </w:r>
          </w:p>
        </w:tc>
      </w:tr>
      <w:tr w:rsidR="006B2EC1" w14:paraId="7930D953" w14:textId="77777777" w:rsidTr="0047688D">
        <w:tc>
          <w:tcPr>
            <w:tcW w:w="0" w:type="auto"/>
            <w:shd w:val="clear" w:color="auto" w:fill="auto"/>
          </w:tcPr>
          <w:p w14:paraId="01BA5315" w14:textId="77777777" w:rsidR="008C5CFA" w:rsidRPr="0024468B" w:rsidRDefault="00E82A60" w:rsidP="00300A01">
            <w:pPr>
              <w:spacing w:before="0" w:after="0"/>
              <w:rPr>
                <w:sz w:val="16"/>
                <w:szCs w:val="16"/>
                <w:lang w:val="fr-BE"/>
              </w:rPr>
            </w:pPr>
            <w:r w:rsidRPr="0024468B">
              <w:rPr>
                <w:noProof/>
                <w:sz w:val="16"/>
                <w:szCs w:val="16"/>
                <w:lang w:val="fr-BE"/>
              </w:rPr>
              <w:t>052</w:t>
            </w:r>
          </w:p>
        </w:tc>
        <w:tc>
          <w:tcPr>
            <w:tcW w:w="0" w:type="auto"/>
            <w:shd w:val="clear" w:color="auto" w:fill="auto"/>
          </w:tcPr>
          <w:p w14:paraId="6411ED39" w14:textId="77777777" w:rsidR="008C5CFA" w:rsidRPr="0024468B" w:rsidRDefault="00E82A60" w:rsidP="00300A01">
            <w:pPr>
              <w:spacing w:before="0" w:after="0"/>
              <w:rPr>
                <w:sz w:val="16"/>
                <w:szCs w:val="16"/>
                <w:lang w:val="fr-BE"/>
              </w:rPr>
            </w:pPr>
            <w:r w:rsidRPr="0024468B">
              <w:rPr>
                <w:noProof/>
                <w:sz w:val="16"/>
                <w:szCs w:val="16"/>
                <w:lang w:val="fr-BE"/>
              </w:rPr>
              <w:t>Stopień wykorzystania miejsc noclegowych na obszarze KOF</w:t>
            </w:r>
          </w:p>
        </w:tc>
        <w:tc>
          <w:tcPr>
            <w:tcW w:w="0" w:type="auto"/>
            <w:shd w:val="clear" w:color="auto" w:fill="auto"/>
          </w:tcPr>
          <w:p w14:paraId="1EC67E13" w14:textId="77777777" w:rsidR="008C5CFA" w:rsidRPr="0024468B" w:rsidRDefault="00E82A60" w:rsidP="00300A01">
            <w:pPr>
              <w:spacing w:before="0" w:after="0"/>
              <w:jc w:val="right"/>
              <w:rPr>
                <w:sz w:val="16"/>
                <w:szCs w:val="16"/>
                <w:lang w:val="fr-BE"/>
              </w:rPr>
            </w:pPr>
            <w:r w:rsidRPr="0024468B">
              <w:rPr>
                <w:noProof/>
                <w:sz w:val="16"/>
                <w:szCs w:val="16"/>
                <w:lang w:val="fr-BE"/>
              </w:rPr>
              <w:t>18,20</w:t>
            </w:r>
          </w:p>
        </w:tc>
        <w:tc>
          <w:tcPr>
            <w:tcW w:w="0" w:type="auto"/>
            <w:shd w:val="clear" w:color="auto" w:fill="auto"/>
          </w:tcPr>
          <w:p w14:paraId="3FDF6BA1" w14:textId="77777777" w:rsidR="008C5CFA" w:rsidRPr="0024468B" w:rsidRDefault="008C5CFA" w:rsidP="00300A01">
            <w:pPr>
              <w:spacing w:before="0" w:after="0"/>
              <w:jc w:val="right"/>
              <w:rPr>
                <w:sz w:val="16"/>
                <w:szCs w:val="16"/>
                <w:lang w:val="fr-BE"/>
              </w:rPr>
            </w:pPr>
          </w:p>
        </w:tc>
      </w:tr>
    </w:tbl>
    <w:p w14:paraId="620E3D30" w14:textId="77777777" w:rsidR="008C5CFA" w:rsidRDefault="008C5CFA" w:rsidP="00300A01">
      <w:pPr>
        <w:spacing w:before="0" w:after="0"/>
        <w:rPr>
          <w:lang w:val="fr-BE"/>
        </w:rPr>
      </w:pPr>
    </w:p>
    <w:p w14:paraId="574E33FA" w14:textId="77777777" w:rsidR="008C5CFA" w:rsidRDefault="00E82A60" w:rsidP="00300A01">
      <w:pPr>
        <w:spacing w:before="0" w:after="0"/>
        <w:rPr>
          <w:lang w:val="fr-BE"/>
        </w:rPr>
      </w:pPr>
      <w:r>
        <w:rPr>
          <w:lang w:val="fr-BE"/>
        </w:rPr>
        <w:br w:type="page"/>
      </w:r>
    </w:p>
    <w:p w14:paraId="6E2CD9FB" w14:textId="77777777" w:rsidR="008C5CFA" w:rsidRPr="00B27C43" w:rsidRDefault="008C5CFA" w:rsidP="00300A01">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6"/>
        <w:gridCol w:w="13128"/>
      </w:tblGrid>
      <w:tr w:rsidR="006B2EC1" w14:paraId="1815100F" w14:textId="77777777" w:rsidTr="0047688D">
        <w:tc>
          <w:tcPr>
            <w:tcW w:w="0" w:type="auto"/>
            <w:shd w:val="clear" w:color="auto" w:fill="auto"/>
          </w:tcPr>
          <w:p w14:paraId="49B35C0F" w14:textId="77777777" w:rsidR="008C5CFA" w:rsidRPr="002124FC" w:rsidRDefault="00E82A60" w:rsidP="00300A01">
            <w:pPr>
              <w:spacing w:before="0" w:after="0"/>
              <w:rPr>
                <w:sz w:val="20"/>
                <w:szCs w:val="20"/>
                <w:lang w:val="fr-BE"/>
              </w:rPr>
            </w:pPr>
            <w:r>
              <w:rPr>
                <w:lang w:val="fr-BE"/>
              </w:rPr>
              <w:br w:type="page"/>
            </w:r>
            <w:r>
              <w:rPr>
                <w:lang w:val="fr-BE"/>
              </w:rPr>
              <w:br w:type="page"/>
            </w:r>
            <w:r w:rsidRPr="002124FC">
              <w:rPr>
                <w:noProof/>
                <w:sz w:val="20"/>
                <w:szCs w:val="20"/>
                <w:lang w:val="fr-BE"/>
              </w:rPr>
              <w:t>Oś priorytetowa</w:t>
            </w:r>
          </w:p>
        </w:tc>
        <w:tc>
          <w:tcPr>
            <w:tcW w:w="0" w:type="auto"/>
            <w:shd w:val="clear" w:color="auto" w:fill="auto"/>
          </w:tcPr>
          <w:p w14:paraId="00DF7841" w14:textId="77777777" w:rsidR="008C5CFA" w:rsidRPr="002124FC" w:rsidRDefault="00E82A60" w:rsidP="00300A01">
            <w:pPr>
              <w:spacing w:before="0" w:after="0"/>
              <w:rPr>
                <w:sz w:val="20"/>
                <w:szCs w:val="20"/>
                <w:lang w:val="fr-BE"/>
              </w:rPr>
            </w:pPr>
            <w:r w:rsidRPr="002124FC">
              <w:rPr>
                <w:noProof/>
                <w:sz w:val="20"/>
                <w:szCs w:val="20"/>
                <w:lang w:val="fr-BE"/>
              </w:rPr>
              <w:t>6</w:t>
            </w:r>
            <w:r w:rsidRPr="002124FC">
              <w:rPr>
                <w:sz w:val="20"/>
                <w:szCs w:val="20"/>
                <w:lang w:val="fr-BE"/>
              </w:rPr>
              <w:t xml:space="preserve"> - </w:t>
            </w:r>
            <w:r w:rsidRPr="002124FC">
              <w:rPr>
                <w:noProof/>
                <w:sz w:val="20"/>
                <w:szCs w:val="20"/>
                <w:lang w:val="fr-BE"/>
              </w:rPr>
              <w:t>Rozwój miast</w:t>
            </w:r>
          </w:p>
        </w:tc>
      </w:tr>
      <w:tr w:rsidR="006B2EC1" w14:paraId="0417C019" w14:textId="77777777" w:rsidTr="0047688D">
        <w:tc>
          <w:tcPr>
            <w:tcW w:w="0" w:type="auto"/>
            <w:shd w:val="clear" w:color="auto" w:fill="auto"/>
          </w:tcPr>
          <w:p w14:paraId="7B15DCFF" w14:textId="77777777" w:rsidR="008C5CFA" w:rsidRPr="002124FC" w:rsidRDefault="00E82A60"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14:paraId="10CC2E45" w14:textId="77777777" w:rsidR="008C5CFA" w:rsidRPr="002124FC" w:rsidRDefault="00E82A60" w:rsidP="00300A01">
            <w:pPr>
              <w:spacing w:before="0" w:after="0"/>
              <w:rPr>
                <w:sz w:val="20"/>
                <w:szCs w:val="20"/>
                <w:lang w:val="fr-BE"/>
              </w:rPr>
            </w:pPr>
            <w:r w:rsidRPr="002124FC">
              <w:rPr>
                <w:noProof/>
                <w:sz w:val="20"/>
                <w:szCs w:val="20"/>
                <w:lang w:val="fr-BE"/>
              </w:rPr>
              <w:t>7b</w:t>
            </w:r>
            <w:r w:rsidRPr="002124FC">
              <w:rPr>
                <w:sz w:val="20"/>
                <w:szCs w:val="20"/>
                <w:lang w:val="fr-BE"/>
              </w:rPr>
              <w:t xml:space="preserve"> - </w:t>
            </w:r>
            <w:r w:rsidRPr="002124FC">
              <w:rPr>
                <w:noProof/>
                <w:sz w:val="20"/>
                <w:szCs w:val="20"/>
                <w:lang w:val="fr-BE"/>
              </w:rPr>
              <w:t>Zwiększanie mobilności regionalnej poprzez łączenie węzłów drugorzędnych i trzeciorzędnych z infrastrukturą TEN-T, w tym z węzłami multimodalnymi</w:t>
            </w:r>
          </w:p>
        </w:tc>
      </w:tr>
    </w:tbl>
    <w:p w14:paraId="1E3126F2" w14:textId="77777777" w:rsidR="008C5CFA" w:rsidRDefault="008C5CFA" w:rsidP="00300A01">
      <w:pPr>
        <w:spacing w:before="0" w:after="0"/>
        <w:rPr>
          <w:lang w:val="fr-BE"/>
        </w:rPr>
      </w:pPr>
    </w:p>
    <w:p w14:paraId="5EAFDDAA" w14:textId="77777777" w:rsidR="008C5CFA" w:rsidRDefault="00E82A60" w:rsidP="00300A01">
      <w:pPr>
        <w:pStyle w:val="Nagwek2"/>
        <w:spacing w:before="0" w:after="0"/>
        <w:rPr>
          <w:lang w:val="fr-BE"/>
        </w:rPr>
      </w:pPr>
      <w:bookmarkStart w:id="40" w:name="_Toc46391724"/>
      <w:r>
        <w:rPr>
          <w:noProof/>
          <w:lang w:val="fr-BE"/>
        </w:rPr>
        <w:t>Tabela 3A</w:t>
      </w:r>
      <w:r>
        <w:rPr>
          <w:lang w:val="fr-BE"/>
        </w:rPr>
        <w:t xml:space="preserve">: </w:t>
      </w:r>
      <w:r>
        <w:rPr>
          <w:noProof/>
          <w:lang w:val="fr-BE"/>
        </w:rPr>
        <w:t>Wspólne i specyficzne dla danego programu wskaźniki produktu dla EFRR i Funduszu Spójności (wg osi priorytetowej, priorytetu inwestycyjnego, w podziale na kategorię regionu dla celów EFRR)</w:t>
      </w:r>
      <w:r w:rsidR="009C5874">
        <w:rPr>
          <w:lang w:val="fr-BE"/>
        </w:rPr>
        <w:t xml:space="preserve"> - </w:t>
      </w:r>
      <w:r w:rsidR="00F022AC" w:rsidRPr="002124FC">
        <w:rPr>
          <w:noProof/>
          <w:sz w:val="20"/>
          <w:szCs w:val="20"/>
          <w:lang w:val="fr-BE"/>
        </w:rPr>
        <w:t>6</w:t>
      </w:r>
      <w:r w:rsidR="00F022AC">
        <w:rPr>
          <w:sz w:val="20"/>
          <w:szCs w:val="20"/>
          <w:lang w:val="fr-BE"/>
        </w:rPr>
        <w:t xml:space="preserve"> / </w:t>
      </w:r>
      <w:r w:rsidR="00F022AC" w:rsidRPr="002124FC">
        <w:rPr>
          <w:noProof/>
          <w:sz w:val="20"/>
          <w:szCs w:val="20"/>
          <w:lang w:val="fr-BE"/>
        </w:rPr>
        <w:t>7b</w:t>
      </w:r>
      <w:bookmarkEnd w:id="40"/>
    </w:p>
    <w:p w14:paraId="1BD7B51A"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01"/>
        <w:gridCol w:w="497"/>
        <w:gridCol w:w="3432"/>
        <w:gridCol w:w="1083"/>
        <w:gridCol w:w="1145"/>
        <w:gridCol w:w="1735"/>
        <w:gridCol w:w="1893"/>
        <w:gridCol w:w="1746"/>
        <w:gridCol w:w="869"/>
        <w:gridCol w:w="1055"/>
        <w:gridCol w:w="878"/>
        <w:gridCol w:w="550"/>
      </w:tblGrid>
      <w:tr w:rsidR="006B2EC1" w14:paraId="01AAF222" w14:textId="77777777" w:rsidTr="0047688D">
        <w:trPr>
          <w:tblHeader/>
        </w:trPr>
        <w:tc>
          <w:tcPr>
            <w:tcW w:w="0" w:type="auto"/>
          </w:tcPr>
          <w:p w14:paraId="3D4B60F7" w14:textId="77777777" w:rsidR="008C5CFA" w:rsidRPr="009143B4" w:rsidRDefault="00E82A60" w:rsidP="00300A01">
            <w:pPr>
              <w:spacing w:before="0" w:after="0"/>
              <w:rPr>
                <w:b/>
                <w:sz w:val="16"/>
                <w:szCs w:val="16"/>
                <w:lang w:val="fr-BE"/>
              </w:rPr>
            </w:pPr>
            <w:r w:rsidRPr="009143B4">
              <w:rPr>
                <w:b/>
                <w:sz w:val="16"/>
                <w:szCs w:val="16"/>
                <w:lang w:val="fr-BE"/>
              </w:rPr>
              <w:t>(1)</w:t>
            </w:r>
          </w:p>
        </w:tc>
        <w:tc>
          <w:tcPr>
            <w:tcW w:w="0" w:type="auto"/>
            <w:shd w:val="clear" w:color="auto" w:fill="auto"/>
          </w:tcPr>
          <w:p w14:paraId="0FD3B841" w14:textId="77777777" w:rsidR="008C5CFA" w:rsidRPr="009143B4" w:rsidRDefault="00E82A60" w:rsidP="00300A01">
            <w:pPr>
              <w:spacing w:before="0" w:after="0"/>
              <w:rPr>
                <w:b/>
                <w:sz w:val="16"/>
                <w:szCs w:val="16"/>
                <w:lang w:val="fr-BE"/>
              </w:rPr>
            </w:pPr>
            <w:r w:rsidRPr="009143B4">
              <w:rPr>
                <w:b/>
                <w:noProof/>
                <w:sz w:val="16"/>
                <w:szCs w:val="16"/>
                <w:lang w:val="fr-BE"/>
              </w:rPr>
              <w:t>ID</w:t>
            </w:r>
          </w:p>
        </w:tc>
        <w:tc>
          <w:tcPr>
            <w:tcW w:w="0" w:type="auto"/>
            <w:shd w:val="clear" w:color="auto" w:fill="auto"/>
          </w:tcPr>
          <w:p w14:paraId="485044E5" w14:textId="77777777" w:rsidR="008C5CFA" w:rsidRPr="009143B4" w:rsidRDefault="00E82A60" w:rsidP="00300A01">
            <w:pPr>
              <w:spacing w:before="0" w:after="0"/>
              <w:rPr>
                <w:b/>
                <w:sz w:val="16"/>
                <w:szCs w:val="16"/>
                <w:lang w:val="fr-BE"/>
              </w:rPr>
            </w:pPr>
            <w:r w:rsidRPr="009143B4">
              <w:rPr>
                <w:b/>
                <w:noProof/>
                <w:sz w:val="16"/>
                <w:szCs w:val="16"/>
                <w:lang w:val="fr-BE"/>
              </w:rPr>
              <w:t>Wskaźnik</w:t>
            </w:r>
          </w:p>
        </w:tc>
        <w:tc>
          <w:tcPr>
            <w:tcW w:w="0" w:type="auto"/>
            <w:shd w:val="clear" w:color="auto" w:fill="auto"/>
          </w:tcPr>
          <w:p w14:paraId="4A6FD045" w14:textId="77777777" w:rsidR="008C5CFA" w:rsidRPr="009143B4" w:rsidRDefault="00E82A60" w:rsidP="00300A01">
            <w:pPr>
              <w:spacing w:before="0" w:after="0"/>
              <w:rPr>
                <w:b/>
                <w:sz w:val="16"/>
                <w:szCs w:val="16"/>
                <w:lang w:val="fr-BE"/>
              </w:rPr>
            </w:pPr>
            <w:r w:rsidRPr="009143B4">
              <w:rPr>
                <w:b/>
                <w:noProof/>
                <w:sz w:val="16"/>
                <w:szCs w:val="16"/>
                <w:lang w:val="fr-BE"/>
              </w:rPr>
              <w:t>Jednostka miary</w:t>
            </w:r>
          </w:p>
        </w:tc>
        <w:tc>
          <w:tcPr>
            <w:tcW w:w="0" w:type="auto"/>
            <w:shd w:val="clear" w:color="auto" w:fill="auto"/>
          </w:tcPr>
          <w:p w14:paraId="3E95C10E" w14:textId="77777777" w:rsidR="008C5CFA" w:rsidRPr="009143B4" w:rsidRDefault="00E82A60" w:rsidP="00300A01">
            <w:pPr>
              <w:spacing w:before="0" w:after="0"/>
              <w:rPr>
                <w:b/>
                <w:sz w:val="16"/>
                <w:szCs w:val="16"/>
                <w:lang w:val="fr-BE"/>
              </w:rPr>
            </w:pPr>
            <w:r w:rsidRPr="009143B4">
              <w:rPr>
                <w:b/>
                <w:noProof/>
                <w:sz w:val="16"/>
                <w:szCs w:val="16"/>
                <w:lang w:val="fr-BE"/>
              </w:rPr>
              <w:t>Kategoria regionu</w:t>
            </w:r>
          </w:p>
        </w:tc>
        <w:tc>
          <w:tcPr>
            <w:tcW w:w="0" w:type="auto"/>
            <w:shd w:val="clear" w:color="auto" w:fill="auto"/>
          </w:tcPr>
          <w:p w14:paraId="121C15B3" w14:textId="77777777" w:rsidR="008C5CFA" w:rsidRPr="009143B4" w:rsidRDefault="00E82A60" w:rsidP="00300A01">
            <w:pPr>
              <w:spacing w:before="0" w:after="0"/>
              <w:jc w:val="center"/>
              <w:rPr>
                <w:b/>
                <w:sz w:val="16"/>
                <w:szCs w:val="16"/>
                <w:lang w:val="fr-BE"/>
              </w:rPr>
            </w:pPr>
            <w:r w:rsidRPr="009143B4">
              <w:rPr>
                <w:b/>
                <w:noProof/>
                <w:sz w:val="16"/>
                <w:szCs w:val="16"/>
                <w:lang w:val="fr-BE"/>
              </w:rPr>
              <w:t>Wartość docelowa (2023) ogółem</w:t>
            </w:r>
          </w:p>
        </w:tc>
        <w:tc>
          <w:tcPr>
            <w:tcW w:w="0" w:type="auto"/>
            <w:shd w:val="clear" w:color="auto" w:fill="auto"/>
          </w:tcPr>
          <w:p w14:paraId="5A791ECF" w14:textId="77777777" w:rsidR="008C5CFA" w:rsidRPr="009143B4" w:rsidRDefault="00E82A60" w:rsidP="00300A01">
            <w:pPr>
              <w:spacing w:before="0" w:after="0"/>
              <w:jc w:val="center"/>
              <w:rPr>
                <w:b/>
                <w:sz w:val="16"/>
                <w:szCs w:val="16"/>
                <w:lang w:val="fr-BE"/>
              </w:rPr>
            </w:pPr>
            <w:r w:rsidRPr="009143B4">
              <w:rPr>
                <w:b/>
                <w:noProof/>
                <w:sz w:val="16"/>
                <w:szCs w:val="16"/>
                <w:lang w:val="fr-BE"/>
              </w:rPr>
              <w:t>Wartość docelowa (2023) mężczyźni</w:t>
            </w:r>
          </w:p>
        </w:tc>
        <w:tc>
          <w:tcPr>
            <w:tcW w:w="0" w:type="auto"/>
          </w:tcPr>
          <w:p w14:paraId="739FE089" w14:textId="77777777" w:rsidR="008C5CFA" w:rsidRPr="009143B4" w:rsidRDefault="00E82A60" w:rsidP="00300A01">
            <w:pPr>
              <w:spacing w:before="0" w:after="0"/>
              <w:jc w:val="center"/>
              <w:rPr>
                <w:b/>
                <w:sz w:val="16"/>
                <w:szCs w:val="16"/>
                <w:lang w:val="fr-BE"/>
              </w:rPr>
            </w:pPr>
            <w:r w:rsidRPr="009143B4">
              <w:rPr>
                <w:b/>
                <w:noProof/>
                <w:sz w:val="16"/>
                <w:szCs w:val="16"/>
                <w:lang w:val="fr-BE"/>
              </w:rPr>
              <w:t>Wartość docelowa (2023) kobiety</w:t>
            </w:r>
          </w:p>
        </w:tc>
        <w:tc>
          <w:tcPr>
            <w:tcW w:w="0" w:type="auto"/>
            <w:shd w:val="clear" w:color="auto" w:fill="auto"/>
          </w:tcPr>
          <w:p w14:paraId="5775D2D7" w14:textId="77777777" w:rsidR="008C5CFA" w:rsidRPr="009143B4" w:rsidRDefault="00E82A60" w:rsidP="00300A01">
            <w:pPr>
              <w:spacing w:before="0" w:after="0"/>
              <w:jc w:val="center"/>
              <w:rPr>
                <w:b/>
                <w:sz w:val="16"/>
                <w:szCs w:val="16"/>
                <w:lang w:val="fr-BE"/>
              </w:rPr>
            </w:pPr>
            <w:r>
              <w:rPr>
                <w:b/>
                <w:sz w:val="16"/>
                <w:szCs w:val="16"/>
                <w:lang w:val="fr-BE"/>
              </w:rPr>
              <w:t xml:space="preserve">2019 </w:t>
            </w:r>
            <w:r w:rsidRPr="009143B4">
              <w:rPr>
                <w:b/>
                <w:noProof/>
                <w:sz w:val="16"/>
                <w:szCs w:val="16"/>
                <w:lang w:val="fr-BE"/>
              </w:rPr>
              <w:t>Ogółem</w:t>
            </w:r>
          </w:p>
        </w:tc>
        <w:tc>
          <w:tcPr>
            <w:tcW w:w="0" w:type="auto"/>
            <w:shd w:val="clear" w:color="auto" w:fill="auto"/>
          </w:tcPr>
          <w:p w14:paraId="5E2671AC" w14:textId="77777777" w:rsidR="008C5CFA" w:rsidRPr="009143B4" w:rsidRDefault="00E82A60" w:rsidP="00300A01">
            <w:pPr>
              <w:spacing w:before="0" w:after="0"/>
              <w:jc w:val="center"/>
              <w:rPr>
                <w:b/>
                <w:sz w:val="16"/>
                <w:szCs w:val="16"/>
                <w:lang w:val="fr-BE"/>
              </w:rPr>
            </w:pPr>
            <w:r>
              <w:rPr>
                <w:b/>
                <w:sz w:val="16"/>
                <w:szCs w:val="16"/>
                <w:lang w:val="fr-BE"/>
              </w:rPr>
              <w:t xml:space="preserve">2019 </w:t>
            </w:r>
            <w:r w:rsidRPr="009143B4">
              <w:rPr>
                <w:b/>
                <w:noProof/>
                <w:sz w:val="16"/>
                <w:szCs w:val="16"/>
                <w:lang w:val="fr-BE"/>
              </w:rPr>
              <w:t>Mężczyźni</w:t>
            </w:r>
          </w:p>
        </w:tc>
        <w:tc>
          <w:tcPr>
            <w:tcW w:w="0" w:type="auto"/>
            <w:shd w:val="clear" w:color="auto" w:fill="auto"/>
          </w:tcPr>
          <w:p w14:paraId="03E3BF16" w14:textId="77777777" w:rsidR="008C5CFA" w:rsidRPr="009143B4" w:rsidRDefault="00E82A60" w:rsidP="00300A01">
            <w:pPr>
              <w:spacing w:before="0" w:after="0"/>
              <w:jc w:val="center"/>
              <w:rPr>
                <w:b/>
                <w:sz w:val="16"/>
                <w:szCs w:val="16"/>
                <w:lang w:val="fr-BE"/>
              </w:rPr>
            </w:pPr>
            <w:r>
              <w:rPr>
                <w:b/>
                <w:sz w:val="16"/>
                <w:szCs w:val="16"/>
                <w:lang w:val="fr-BE"/>
              </w:rPr>
              <w:t xml:space="preserve">2019 </w:t>
            </w:r>
            <w:r w:rsidRPr="009143B4">
              <w:rPr>
                <w:b/>
                <w:noProof/>
                <w:sz w:val="16"/>
                <w:szCs w:val="16"/>
                <w:lang w:val="fr-BE"/>
              </w:rPr>
              <w:t>Kobiety</w:t>
            </w:r>
          </w:p>
        </w:tc>
        <w:tc>
          <w:tcPr>
            <w:tcW w:w="0" w:type="auto"/>
            <w:shd w:val="clear" w:color="auto" w:fill="auto"/>
          </w:tcPr>
          <w:p w14:paraId="53265C2C" w14:textId="77777777" w:rsidR="008C5CFA" w:rsidRPr="009143B4" w:rsidRDefault="00E82A60" w:rsidP="00300A01">
            <w:pPr>
              <w:spacing w:before="0" w:after="0"/>
              <w:jc w:val="center"/>
              <w:rPr>
                <w:b/>
                <w:sz w:val="16"/>
                <w:szCs w:val="16"/>
                <w:lang w:val="fr-BE"/>
              </w:rPr>
            </w:pPr>
            <w:r w:rsidRPr="009143B4">
              <w:rPr>
                <w:b/>
                <w:noProof/>
                <w:sz w:val="16"/>
                <w:szCs w:val="16"/>
                <w:lang w:val="fr-BE"/>
              </w:rPr>
              <w:t>Uwagi</w:t>
            </w:r>
          </w:p>
        </w:tc>
      </w:tr>
      <w:tr w:rsidR="006B2EC1" w14:paraId="2CAD31AA" w14:textId="77777777" w:rsidTr="0047688D">
        <w:tc>
          <w:tcPr>
            <w:tcW w:w="0" w:type="auto"/>
          </w:tcPr>
          <w:p w14:paraId="1617B648" w14:textId="77777777" w:rsidR="008C5CFA" w:rsidRPr="0024468B" w:rsidRDefault="00E82A60" w:rsidP="00300A01">
            <w:pPr>
              <w:spacing w:before="0" w:after="0"/>
              <w:rPr>
                <w:sz w:val="16"/>
                <w:szCs w:val="16"/>
                <w:lang w:val="fr-BE"/>
              </w:rPr>
            </w:pPr>
            <w:r>
              <w:rPr>
                <w:noProof/>
                <w:sz w:val="16"/>
                <w:szCs w:val="16"/>
                <w:lang w:val="fr-BE"/>
              </w:rPr>
              <w:t>F</w:t>
            </w:r>
          </w:p>
        </w:tc>
        <w:tc>
          <w:tcPr>
            <w:tcW w:w="0" w:type="auto"/>
            <w:shd w:val="clear" w:color="auto" w:fill="auto"/>
          </w:tcPr>
          <w:p w14:paraId="26B896EA" w14:textId="77777777" w:rsidR="008C5CFA" w:rsidRPr="0024468B" w:rsidRDefault="00E82A60" w:rsidP="00300A01">
            <w:pPr>
              <w:spacing w:before="0" w:after="0"/>
              <w:rPr>
                <w:sz w:val="16"/>
                <w:szCs w:val="16"/>
                <w:lang w:val="fr-BE"/>
              </w:rPr>
            </w:pPr>
            <w:r w:rsidRPr="0024468B">
              <w:rPr>
                <w:noProof/>
                <w:sz w:val="16"/>
                <w:szCs w:val="16"/>
                <w:lang w:val="fr-BE"/>
              </w:rPr>
              <w:t>CO13</w:t>
            </w:r>
          </w:p>
        </w:tc>
        <w:tc>
          <w:tcPr>
            <w:tcW w:w="0" w:type="auto"/>
            <w:shd w:val="clear" w:color="auto" w:fill="auto"/>
          </w:tcPr>
          <w:p w14:paraId="128266AD" w14:textId="77777777" w:rsidR="008C5CFA" w:rsidRPr="0024468B" w:rsidRDefault="00E82A60" w:rsidP="00300A01">
            <w:pPr>
              <w:spacing w:before="0" w:after="0"/>
              <w:rPr>
                <w:sz w:val="16"/>
                <w:szCs w:val="16"/>
                <w:lang w:val="fr-BE"/>
              </w:rPr>
            </w:pPr>
            <w:r w:rsidRPr="0024468B">
              <w:rPr>
                <w:noProof/>
                <w:sz w:val="16"/>
                <w:szCs w:val="16"/>
                <w:lang w:val="fr-BE"/>
              </w:rPr>
              <w:t>Drogi: całkowita długość nowych dróg</w:t>
            </w:r>
          </w:p>
        </w:tc>
        <w:tc>
          <w:tcPr>
            <w:tcW w:w="0" w:type="auto"/>
            <w:shd w:val="clear" w:color="auto" w:fill="auto"/>
          </w:tcPr>
          <w:p w14:paraId="2FA9C241" w14:textId="77777777" w:rsidR="008C5CFA" w:rsidRPr="0024468B" w:rsidRDefault="00E82A60" w:rsidP="00300A01">
            <w:pPr>
              <w:spacing w:before="0" w:after="0"/>
              <w:rPr>
                <w:sz w:val="16"/>
                <w:szCs w:val="16"/>
                <w:lang w:val="fr-BE"/>
              </w:rPr>
            </w:pPr>
            <w:r>
              <w:rPr>
                <w:noProof/>
                <w:sz w:val="16"/>
                <w:szCs w:val="16"/>
                <w:lang w:val="fr-BE"/>
              </w:rPr>
              <w:t>km</w:t>
            </w:r>
          </w:p>
        </w:tc>
        <w:tc>
          <w:tcPr>
            <w:tcW w:w="0" w:type="auto"/>
            <w:shd w:val="clear" w:color="auto" w:fill="auto"/>
          </w:tcPr>
          <w:p w14:paraId="1E8E156D" w14:textId="77777777" w:rsidR="008C5CFA" w:rsidRPr="0024468B" w:rsidRDefault="00E82A60"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14:paraId="4BD8B9F5" w14:textId="77777777" w:rsidR="008C5CFA" w:rsidRPr="0024468B" w:rsidRDefault="00E82A60" w:rsidP="00300A01">
            <w:pPr>
              <w:spacing w:before="0" w:after="0"/>
              <w:jc w:val="right"/>
              <w:rPr>
                <w:sz w:val="16"/>
                <w:szCs w:val="16"/>
                <w:lang w:val="fr-BE"/>
              </w:rPr>
            </w:pPr>
            <w:r>
              <w:rPr>
                <w:noProof/>
                <w:sz w:val="16"/>
                <w:szCs w:val="16"/>
                <w:lang w:val="fr-BE"/>
              </w:rPr>
              <w:t>4,50</w:t>
            </w:r>
          </w:p>
        </w:tc>
        <w:tc>
          <w:tcPr>
            <w:tcW w:w="0" w:type="auto"/>
            <w:shd w:val="clear" w:color="auto" w:fill="auto"/>
          </w:tcPr>
          <w:p w14:paraId="5462D128" w14:textId="77777777" w:rsidR="008C5CFA" w:rsidRPr="0024468B" w:rsidRDefault="008C5CFA" w:rsidP="00300A01">
            <w:pPr>
              <w:spacing w:before="0" w:after="0"/>
              <w:jc w:val="right"/>
              <w:rPr>
                <w:sz w:val="16"/>
                <w:szCs w:val="16"/>
                <w:lang w:val="fr-BE"/>
              </w:rPr>
            </w:pPr>
          </w:p>
        </w:tc>
        <w:tc>
          <w:tcPr>
            <w:tcW w:w="0" w:type="auto"/>
          </w:tcPr>
          <w:p w14:paraId="6DFECD9C" w14:textId="77777777" w:rsidR="008C5CFA" w:rsidRPr="0024468B" w:rsidRDefault="008C5CFA" w:rsidP="00300A01">
            <w:pPr>
              <w:spacing w:before="0" w:after="0"/>
              <w:jc w:val="right"/>
              <w:rPr>
                <w:sz w:val="16"/>
                <w:szCs w:val="16"/>
                <w:lang w:val="fr-BE"/>
              </w:rPr>
            </w:pPr>
          </w:p>
        </w:tc>
        <w:tc>
          <w:tcPr>
            <w:tcW w:w="0" w:type="auto"/>
            <w:shd w:val="clear" w:color="auto" w:fill="auto"/>
          </w:tcPr>
          <w:p w14:paraId="6322D0F5"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49B72770"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1270C4C3"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0B3934D9" w14:textId="77777777" w:rsidR="008C5CFA" w:rsidRPr="0024468B" w:rsidRDefault="008C5CFA" w:rsidP="00300A01">
            <w:pPr>
              <w:spacing w:before="0" w:after="0"/>
              <w:rPr>
                <w:sz w:val="16"/>
                <w:szCs w:val="16"/>
                <w:lang w:val="fr-BE"/>
              </w:rPr>
            </w:pPr>
          </w:p>
        </w:tc>
      </w:tr>
      <w:tr w:rsidR="006B2EC1" w14:paraId="5358DEB8" w14:textId="77777777" w:rsidTr="0047688D">
        <w:tc>
          <w:tcPr>
            <w:tcW w:w="0" w:type="auto"/>
          </w:tcPr>
          <w:p w14:paraId="0B570F84" w14:textId="77777777" w:rsidR="008C5CFA" w:rsidRPr="0024468B" w:rsidRDefault="00E82A60" w:rsidP="00300A01">
            <w:pPr>
              <w:spacing w:before="0" w:after="0"/>
              <w:rPr>
                <w:sz w:val="16"/>
                <w:szCs w:val="16"/>
                <w:lang w:val="fr-BE"/>
              </w:rPr>
            </w:pPr>
            <w:r>
              <w:rPr>
                <w:noProof/>
                <w:sz w:val="16"/>
                <w:szCs w:val="16"/>
                <w:lang w:val="fr-BE"/>
              </w:rPr>
              <w:t>S</w:t>
            </w:r>
          </w:p>
        </w:tc>
        <w:tc>
          <w:tcPr>
            <w:tcW w:w="0" w:type="auto"/>
            <w:shd w:val="clear" w:color="auto" w:fill="auto"/>
          </w:tcPr>
          <w:p w14:paraId="25FAFCBE" w14:textId="77777777" w:rsidR="008C5CFA" w:rsidRPr="0024468B" w:rsidRDefault="00E82A60" w:rsidP="00300A01">
            <w:pPr>
              <w:spacing w:before="0" w:after="0"/>
              <w:rPr>
                <w:sz w:val="16"/>
                <w:szCs w:val="16"/>
                <w:lang w:val="fr-BE"/>
              </w:rPr>
            </w:pPr>
            <w:r w:rsidRPr="0024468B">
              <w:rPr>
                <w:noProof/>
                <w:sz w:val="16"/>
                <w:szCs w:val="16"/>
                <w:lang w:val="fr-BE"/>
              </w:rPr>
              <w:t>CO13</w:t>
            </w:r>
          </w:p>
        </w:tc>
        <w:tc>
          <w:tcPr>
            <w:tcW w:w="0" w:type="auto"/>
            <w:shd w:val="clear" w:color="auto" w:fill="auto"/>
          </w:tcPr>
          <w:p w14:paraId="28BECAEF" w14:textId="77777777" w:rsidR="008C5CFA" w:rsidRPr="0024468B" w:rsidRDefault="00E82A60" w:rsidP="00300A01">
            <w:pPr>
              <w:spacing w:before="0" w:after="0"/>
              <w:rPr>
                <w:sz w:val="16"/>
                <w:szCs w:val="16"/>
                <w:lang w:val="fr-BE"/>
              </w:rPr>
            </w:pPr>
            <w:r w:rsidRPr="0024468B">
              <w:rPr>
                <w:noProof/>
                <w:sz w:val="16"/>
                <w:szCs w:val="16"/>
                <w:lang w:val="fr-BE"/>
              </w:rPr>
              <w:t>Drogi: całkowita długość nowych dróg</w:t>
            </w:r>
          </w:p>
        </w:tc>
        <w:tc>
          <w:tcPr>
            <w:tcW w:w="0" w:type="auto"/>
            <w:shd w:val="clear" w:color="auto" w:fill="auto"/>
          </w:tcPr>
          <w:p w14:paraId="3A7BF85C" w14:textId="77777777" w:rsidR="008C5CFA" w:rsidRPr="0024468B" w:rsidRDefault="00E82A60" w:rsidP="00300A01">
            <w:pPr>
              <w:spacing w:before="0" w:after="0"/>
              <w:rPr>
                <w:sz w:val="16"/>
                <w:szCs w:val="16"/>
                <w:lang w:val="fr-BE"/>
              </w:rPr>
            </w:pPr>
            <w:r>
              <w:rPr>
                <w:noProof/>
                <w:sz w:val="16"/>
                <w:szCs w:val="16"/>
                <w:lang w:val="fr-BE"/>
              </w:rPr>
              <w:t>km</w:t>
            </w:r>
          </w:p>
        </w:tc>
        <w:tc>
          <w:tcPr>
            <w:tcW w:w="0" w:type="auto"/>
            <w:shd w:val="clear" w:color="auto" w:fill="auto"/>
          </w:tcPr>
          <w:p w14:paraId="40F3AA7A" w14:textId="77777777" w:rsidR="008C5CFA" w:rsidRPr="0024468B" w:rsidRDefault="00E82A60"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14:paraId="5EDFE7FB" w14:textId="77777777" w:rsidR="008C5CFA" w:rsidRPr="0024468B" w:rsidRDefault="00E82A60" w:rsidP="00300A01">
            <w:pPr>
              <w:spacing w:before="0" w:after="0"/>
              <w:jc w:val="right"/>
              <w:rPr>
                <w:sz w:val="16"/>
                <w:szCs w:val="16"/>
                <w:lang w:val="fr-BE"/>
              </w:rPr>
            </w:pPr>
            <w:r>
              <w:rPr>
                <w:noProof/>
                <w:sz w:val="16"/>
                <w:szCs w:val="16"/>
                <w:lang w:val="fr-BE"/>
              </w:rPr>
              <w:t>4,50</w:t>
            </w:r>
          </w:p>
        </w:tc>
        <w:tc>
          <w:tcPr>
            <w:tcW w:w="0" w:type="auto"/>
            <w:shd w:val="clear" w:color="auto" w:fill="auto"/>
          </w:tcPr>
          <w:p w14:paraId="4ED363F8" w14:textId="77777777" w:rsidR="008C5CFA" w:rsidRPr="0024468B" w:rsidRDefault="008C5CFA" w:rsidP="00300A01">
            <w:pPr>
              <w:spacing w:before="0" w:after="0"/>
              <w:jc w:val="right"/>
              <w:rPr>
                <w:sz w:val="16"/>
                <w:szCs w:val="16"/>
                <w:lang w:val="fr-BE"/>
              </w:rPr>
            </w:pPr>
          </w:p>
        </w:tc>
        <w:tc>
          <w:tcPr>
            <w:tcW w:w="0" w:type="auto"/>
          </w:tcPr>
          <w:p w14:paraId="1EAF0E7E" w14:textId="77777777" w:rsidR="008C5CFA" w:rsidRPr="0024468B" w:rsidRDefault="008C5CFA" w:rsidP="00300A01">
            <w:pPr>
              <w:spacing w:before="0" w:after="0"/>
              <w:jc w:val="right"/>
              <w:rPr>
                <w:sz w:val="16"/>
                <w:szCs w:val="16"/>
                <w:lang w:val="fr-BE"/>
              </w:rPr>
            </w:pPr>
          </w:p>
        </w:tc>
        <w:tc>
          <w:tcPr>
            <w:tcW w:w="0" w:type="auto"/>
            <w:shd w:val="clear" w:color="auto" w:fill="auto"/>
          </w:tcPr>
          <w:p w14:paraId="3CCBB2BE" w14:textId="77777777" w:rsidR="008C5CFA" w:rsidRPr="0024468B" w:rsidRDefault="00E82A60" w:rsidP="00300A01">
            <w:pPr>
              <w:spacing w:before="0" w:after="0"/>
              <w:jc w:val="right"/>
              <w:rPr>
                <w:sz w:val="16"/>
                <w:szCs w:val="16"/>
                <w:lang w:val="fr-BE"/>
              </w:rPr>
            </w:pPr>
            <w:r w:rsidRPr="0024468B">
              <w:rPr>
                <w:noProof/>
                <w:sz w:val="16"/>
                <w:szCs w:val="16"/>
                <w:lang w:val="fr-BE"/>
              </w:rPr>
              <w:t>4,85</w:t>
            </w:r>
          </w:p>
        </w:tc>
        <w:tc>
          <w:tcPr>
            <w:tcW w:w="0" w:type="auto"/>
            <w:shd w:val="clear" w:color="auto" w:fill="auto"/>
          </w:tcPr>
          <w:p w14:paraId="6D94FAFD"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076D9F32"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1380E834" w14:textId="77777777" w:rsidR="008C5CFA" w:rsidRPr="0024468B" w:rsidRDefault="008C5CFA" w:rsidP="00300A01">
            <w:pPr>
              <w:spacing w:before="0" w:after="0"/>
              <w:rPr>
                <w:sz w:val="16"/>
                <w:szCs w:val="16"/>
                <w:lang w:val="fr-BE"/>
              </w:rPr>
            </w:pPr>
          </w:p>
        </w:tc>
      </w:tr>
      <w:tr w:rsidR="006B2EC1" w14:paraId="7606FFF6" w14:textId="77777777" w:rsidTr="0047688D">
        <w:tc>
          <w:tcPr>
            <w:tcW w:w="0" w:type="auto"/>
          </w:tcPr>
          <w:p w14:paraId="13650BCB" w14:textId="77777777" w:rsidR="008C5CFA" w:rsidRPr="0024468B" w:rsidRDefault="00E82A60" w:rsidP="00300A01">
            <w:pPr>
              <w:spacing w:before="0" w:after="0"/>
              <w:rPr>
                <w:sz w:val="16"/>
                <w:szCs w:val="16"/>
                <w:lang w:val="fr-BE"/>
              </w:rPr>
            </w:pPr>
            <w:r>
              <w:rPr>
                <w:noProof/>
                <w:sz w:val="16"/>
                <w:szCs w:val="16"/>
                <w:lang w:val="fr-BE"/>
              </w:rPr>
              <w:t>F</w:t>
            </w:r>
          </w:p>
        </w:tc>
        <w:tc>
          <w:tcPr>
            <w:tcW w:w="0" w:type="auto"/>
            <w:shd w:val="clear" w:color="auto" w:fill="auto"/>
          </w:tcPr>
          <w:p w14:paraId="26822125" w14:textId="77777777" w:rsidR="008C5CFA" w:rsidRPr="0024468B" w:rsidRDefault="00E82A60" w:rsidP="00300A01">
            <w:pPr>
              <w:spacing w:before="0" w:after="0"/>
              <w:rPr>
                <w:sz w:val="16"/>
                <w:szCs w:val="16"/>
                <w:lang w:val="fr-BE"/>
              </w:rPr>
            </w:pPr>
            <w:r w:rsidRPr="0024468B">
              <w:rPr>
                <w:noProof/>
                <w:sz w:val="16"/>
                <w:szCs w:val="16"/>
                <w:lang w:val="fr-BE"/>
              </w:rPr>
              <w:t>CO14</w:t>
            </w:r>
          </w:p>
        </w:tc>
        <w:tc>
          <w:tcPr>
            <w:tcW w:w="0" w:type="auto"/>
            <w:shd w:val="clear" w:color="auto" w:fill="auto"/>
          </w:tcPr>
          <w:p w14:paraId="693E5D55" w14:textId="77777777" w:rsidR="008C5CFA" w:rsidRPr="0024468B" w:rsidRDefault="00E82A60" w:rsidP="00300A01">
            <w:pPr>
              <w:spacing w:before="0" w:after="0"/>
              <w:rPr>
                <w:sz w:val="16"/>
                <w:szCs w:val="16"/>
                <w:lang w:val="fr-BE"/>
              </w:rPr>
            </w:pPr>
            <w:r w:rsidRPr="0024468B">
              <w:rPr>
                <w:noProof/>
                <w:sz w:val="16"/>
                <w:szCs w:val="16"/>
                <w:lang w:val="fr-BE"/>
              </w:rPr>
              <w:t>Drogi: całkowita długość przebudowanych lub zmodernizowanych dróg</w:t>
            </w:r>
          </w:p>
        </w:tc>
        <w:tc>
          <w:tcPr>
            <w:tcW w:w="0" w:type="auto"/>
            <w:shd w:val="clear" w:color="auto" w:fill="auto"/>
          </w:tcPr>
          <w:p w14:paraId="188F7E5E" w14:textId="77777777" w:rsidR="008C5CFA" w:rsidRPr="0024468B" w:rsidRDefault="00E82A60" w:rsidP="00300A01">
            <w:pPr>
              <w:spacing w:before="0" w:after="0"/>
              <w:rPr>
                <w:sz w:val="16"/>
                <w:szCs w:val="16"/>
                <w:lang w:val="fr-BE"/>
              </w:rPr>
            </w:pPr>
            <w:r>
              <w:rPr>
                <w:noProof/>
                <w:sz w:val="16"/>
                <w:szCs w:val="16"/>
                <w:lang w:val="fr-BE"/>
              </w:rPr>
              <w:t>km</w:t>
            </w:r>
          </w:p>
        </w:tc>
        <w:tc>
          <w:tcPr>
            <w:tcW w:w="0" w:type="auto"/>
            <w:shd w:val="clear" w:color="auto" w:fill="auto"/>
          </w:tcPr>
          <w:p w14:paraId="53EF929F" w14:textId="77777777" w:rsidR="008C5CFA" w:rsidRPr="0024468B" w:rsidRDefault="00E82A60"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14:paraId="28D8B9A0" w14:textId="77777777" w:rsidR="008C5CFA" w:rsidRPr="0024468B" w:rsidRDefault="00E82A60" w:rsidP="00300A01">
            <w:pPr>
              <w:spacing w:before="0" w:after="0"/>
              <w:jc w:val="right"/>
              <w:rPr>
                <w:sz w:val="16"/>
                <w:szCs w:val="16"/>
                <w:lang w:val="fr-BE"/>
              </w:rPr>
            </w:pPr>
            <w:r>
              <w:rPr>
                <w:noProof/>
                <w:sz w:val="16"/>
                <w:szCs w:val="16"/>
                <w:lang w:val="fr-BE"/>
              </w:rPr>
              <w:t>2,00</w:t>
            </w:r>
          </w:p>
        </w:tc>
        <w:tc>
          <w:tcPr>
            <w:tcW w:w="0" w:type="auto"/>
            <w:shd w:val="clear" w:color="auto" w:fill="auto"/>
          </w:tcPr>
          <w:p w14:paraId="1D55FD21" w14:textId="77777777" w:rsidR="008C5CFA" w:rsidRPr="0024468B" w:rsidRDefault="008C5CFA" w:rsidP="00300A01">
            <w:pPr>
              <w:spacing w:before="0" w:after="0"/>
              <w:jc w:val="right"/>
              <w:rPr>
                <w:sz w:val="16"/>
                <w:szCs w:val="16"/>
                <w:lang w:val="fr-BE"/>
              </w:rPr>
            </w:pPr>
          </w:p>
        </w:tc>
        <w:tc>
          <w:tcPr>
            <w:tcW w:w="0" w:type="auto"/>
          </w:tcPr>
          <w:p w14:paraId="06DC91D7" w14:textId="77777777" w:rsidR="008C5CFA" w:rsidRPr="0024468B" w:rsidRDefault="008C5CFA" w:rsidP="00300A01">
            <w:pPr>
              <w:spacing w:before="0" w:after="0"/>
              <w:jc w:val="right"/>
              <w:rPr>
                <w:sz w:val="16"/>
                <w:szCs w:val="16"/>
                <w:lang w:val="fr-BE"/>
              </w:rPr>
            </w:pPr>
          </w:p>
        </w:tc>
        <w:tc>
          <w:tcPr>
            <w:tcW w:w="0" w:type="auto"/>
            <w:shd w:val="clear" w:color="auto" w:fill="auto"/>
          </w:tcPr>
          <w:p w14:paraId="56D39715" w14:textId="77777777" w:rsidR="008C5CFA" w:rsidRPr="0024468B" w:rsidRDefault="00E82A60" w:rsidP="00300A01">
            <w:pPr>
              <w:spacing w:before="0" w:after="0"/>
              <w:jc w:val="right"/>
              <w:rPr>
                <w:sz w:val="16"/>
                <w:szCs w:val="16"/>
                <w:lang w:val="fr-BE"/>
              </w:rPr>
            </w:pPr>
            <w:r w:rsidRPr="0024468B">
              <w:rPr>
                <w:noProof/>
                <w:sz w:val="16"/>
                <w:szCs w:val="16"/>
                <w:lang w:val="fr-BE"/>
              </w:rPr>
              <w:t>2,03</w:t>
            </w:r>
          </w:p>
        </w:tc>
        <w:tc>
          <w:tcPr>
            <w:tcW w:w="0" w:type="auto"/>
            <w:shd w:val="clear" w:color="auto" w:fill="auto"/>
          </w:tcPr>
          <w:p w14:paraId="0E57E064"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5C48150C"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545C5A74" w14:textId="77777777" w:rsidR="008C5CFA" w:rsidRPr="0024468B" w:rsidRDefault="008C5CFA" w:rsidP="00300A01">
            <w:pPr>
              <w:spacing w:before="0" w:after="0"/>
              <w:rPr>
                <w:sz w:val="16"/>
                <w:szCs w:val="16"/>
                <w:lang w:val="fr-BE"/>
              </w:rPr>
            </w:pPr>
          </w:p>
        </w:tc>
      </w:tr>
      <w:tr w:rsidR="006B2EC1" w14:paraId="68ABA20A" w14:textId="77777777" w:rsidTr="0047688D">
        <w:tc>
          <w:tcPr>
            <w:tcW w:w="0" w:type="auto"/>
          </w:tcPr>
          <w:p w14:paraId="059668D2" w14:textId="77777777" w:rsidR="008C5CFA" w:rsidRPr="0024468B" w:rsidRDefault="00E82A60" w:rsidP="00300A01">
            <w:pPr>
              <w:spacing w:before="0" w:after="0"/>
              <w:rPr>
                <w:sz w:val="16"/>
                <w:szCs w:val="16"/>
                <w:lang w:val="fr-BE"/>
              </w:rPr>
            </w:pPr>
            <w:r>
              <w:rPr>
                <w:noProof/>
                <w:sz w:val="16"/>
                <w:szCs w:val="16"/>
                <w:lang w:val="fr-BE"/>
              </w:rPr>
              <w:t>S</w:t>
            </w:r>
          </w:p>
        </w:tc>
        <w:tc>
          <w:tcPr>
            <w:tcW w:w="0" w:type="auto"/>
            <w:shd w:val="clear" w:color="auto" w:fill="auto"/>
          </w:tcPr>
          <w:p w14:paraId="763FFBDB" w14:textId="77777777" w:rsidR="008C5CFA" w:rsidRPr="0024468B" w:rsidRDefault="00E82A60" w:rsidP="00300A01">
            <w:pPr>
              <w:spacing w:before="0" w:after="0"/>
              <w:rPr>
                <w:sz w:val="16"/>
                <w:szCs w:val="16"/>
                <w:lang w:val="fr-BE"/>
              </w:rPr>
            </w:pPr>
            <w:r w:rsidRPr="0024468B">
              <w:rPr>
                <w:noProof/>
                <w:sz w:val="16"/>
                <w:szCs w:val="16"/>
                <w:lang w:val="fr-BE"/>
              </w:rPr>
              <w:t>CO14</w:t>
            </w:r>
          </w:p>
        </w:tc>
        <w:tc>
          <w:tcPr>
            <w:tcW w:w="0" w:type="auto"/>
            <w:shd w:val="clear" w:color="auto" w:fill="auto"/>
          </w:tcPr>
          <w:p w14:paraId="0FADE9E9" w14:textId="77777777" w:rsidR="008C5CFA" w:rsidRPr="0024468B" w:rsidRDefault="00E82A60" w:rsidP="00300A01">
            <w:pPr>
              <w:spacing w:before="0" w:after="0"/>
              <w:rPr>
                <w:sz w:val="16"/>
                <w:szCs w:val="16"/>
                <w:lang w:val="fr-BE"/>
              </w:rPr>
            </w:pPr>
            <w:r w:rsidRPr="0024468B">
              <w:rPr>
                <w:noProof/>
                <w:sz w:val="16"/>
                <w:szCs w:val="16"/>
                <w:lang w:val="fr-BE"/>
              </w:rPr>
              <w:t>Drogi: całkowita długość przebudowanych lub zmodernizowanych dróg</w:t>
            </w:r>
          </w:p>
        </w:tc>
        <w:tc>
          <w:tcPr>
            <w:tcW w:w="0" w:type="auto"/>
            <w:shd w:val="clear" w:color="auto" w:fill="auto"/>
          </w:tcPr>
          <w:p w14:paraId="1DF3521C" w14:textId="77777777" w:rsidR="008C5CFA" w:rsidRPr="0024468B" w:rsidRDefault="00E82A60" w:rsidP="00300A01">
            <w:pPr>
              <w:spacing w:before="0" w:after="0"/>
              <w:rPr>
                <w:sz w:val="16"/>
                <w:szCs w:val="16"/>
                <w:lang w:val="fr-BE"/>
              </w:rPr>
            </w:pPr>
            <w:r>
              <w:rPr>
                <w:noProof/>
                <w:sz w:val="16"/>
                <w:szCs w:val="16"/>
                <w:lang w:val="fr-BE"/>
              </w:rPr>
              <w:t>km</w:t>
            </w:r>
          </w:p>
        </w:tc>
        <w:tc>
          <w:tcPr>
            <w:tcW w:w="0" w:type="auto"/>
            <w:shd w:val="clear" w:color="auto" w:fill="auto"/>
          </w:tcPr>
          <w:p w14:paraId="1AA1B412" w14:textId="77777777" w:rsidR="008C5CFA" w:rsidRPr="0024468B" w:rsidRDefault="00E82A60"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14:paraId="4885DD59" w14:textId="77777777" w:rsidR="008C5CFA" w:rsidRPr="0024468B" w:rsidRDefault="00E82A60" w:rsidP="00300A01">
            <w:pPr>
              <w:spacing w:before="0" w:after="0"/>
              <w:jc w:val="right"/>
              <w:rPr>
                <w:sz w:val="16"/>
                <w:szCs w:val="16"/>
                <w:lang w:val="fr-BE"/>
              </w:rPr>
            </w:pPr>
            <w:r>
              <w:rPr>
                <w:noProof/>
                <w:sz w:val="16"/>
                <w:szCs w:val="16"/>
                <w:lang w:val="fr-BE"/>
              </w:rPr>
              <w:t>2,00</w:t>
            </w:r>
          </w:p>
        </w:tc>
        <w:tc>
          <w:tcPr>
            <w:tcW w:w="0" w:type="auto"/>
            <w:shd w:val="clear" w:color="auto" w:fill="auto"/>
          </w:tcPr>
          <w:p w14:paraId="52896BC2" w14:textId="77777777" w:rsidR="008C5CFA" w:rsidRPr="0024468B" w:rsidRDefault="008C5CFA" w:rsidP="00300A01">
            <w:pPr>
              <w:spacing w:before="0" w:after="0"/>
              <w:jc w:val="right"/>
              <w:rPr>
                <w:sz w:val="16"/>
                <w:szCs w:val="16"/>
                <w:lang w:val="fr-BE"/>
              </w:rPr>
            </w:pPr>
          </w:p>
        </w:tc>
        <w:tc>
          <w:tcPr>
            <w:tcW w:w="0" w:type="auto"/>
          </w:tcPr>
          <w:p w14:paraId="7CF7D5CD" w14:textId="77777777" w:rsidR="008C5CFA" w:rsidRPr="0024468B" w:rsidRDefault="008C5CFA" w:rsidP="00300A01">
            <w:pPr>
              <w:spacing w:before="0" w:after="0"/>
              <w:jc w:val="right"/>
              <w:rPr>
                <w:sz w:val="16"/>
                <w:szCs w:val="16"/>
                <w:lang w:val="fr-BE"/>
              </w:rPr>
            </w:pPr>
          </w:p>
        </w:tc>
        <w:tc>
          <w:tcPr>
            <w:tcW w:w="0" w:type="auto"/>
            <w:shd w:val="clear" w:color="auto" w:fill="auto"/>
          </w:tcPr>
          <w:p w14:paraId="4AD221FE" w14:textId="77777777" w:rsidR="008C5CFA" w:rsidRPr="0024468B" w:rsidRDefault="00E82A60" w:rsidP="00300A01">
            <w:pPr>
              <w:spacing w:before="0" w:after="0"/>
              <w:jc w:val="right"/>
              <w:rPr>
                <w:sz w:val="16"/>
                <w:szCs w:val="16"/>
                <w:lang w:val="fr-BE"/>
              </w:rPr>
            </w:pPr>
            <w:r w:rsidRPr="0024468B">
              <w:rPr>
                <w:noProof/>
                <w:sz w:val="16"/>
                <w:szCs w:val="16"/>
                <w:lang w:val="fr-BE"/>
              </w:rPr>
              <w:t>2,74</w:t>
            </w:r>
          </w:p>
        </w:tc>
        <w:tc>
          <w:tcPr>
            <w:tcW w:w="0" w:type="auto"/>
            <w:shd w:val="clear" w:color="auto" w:fill="auto"/>
          </w:tcPr>
          <w:p w14:paraId="7A6EE550"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0B601850"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00917E6C" w14:textId="77777777" w:rsidR="008C5CFA" w:rsidRPr="0024468B" w:rsidRDefault="008C5CFA" w:rsidP="00300A01">
            <w:pPr>
              <w:spacing w:before="0" w:after="0"/>
              <w:rPr>
                <w:sz w:val="16"/>
                <w:szCs w:val="16"/>
                <w:lang w:val="fr-BE"/>
              </w:rPr>
            </w:pPr>
          </w:p>
        </w:tc>
      </w:tr>
    </w:tbl>
    <w:p w14:paraId="1B744B4E" w14:textId="77777777" w:rsidR="008C5CFA" w:rsidRDefault="00E82A60" w:rsidP="00300A01">
      <w:pPr>
        <w:spacing w:before="0" w:after="0"/>
        <w:rPr>
          <w:lang w:val="fr-BE"/>
        </w:rPr>
      </w:pPr>
      <w:r>
        <w:rPr>
          <w:noProof/>
          <w:lang w:val="fr-BE"/>
        </w:rPr>
        <w:t>1) S=wartość skumulowana – produkty, które mają być zrealizowane poprzez wybrane operacje [prognoza przedstawiona przez beneficjentów], F=wartość skumulowana – produkty zrealizowane poprzez operacje [rzeczywiste wykonanie]</w:t>
      </w:r>
    </w:p>
    <w:p w14:paraId="57799CF7"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01"/>
        <w:gridCol w:w="497"/>
        <w:gridCol w:w="4731"/>
        <w:gridCol w:w="1007"/>
        <w:gridCol w:w="1193"/>
        <w:gridCol w:w="1017"/>
        <w:gridCol w:w="1008"/>
        <w:gridCol w:w="1194"/>
        <w:gridCol w:w="1017"/>
        <w:gridCol w:w="1008"/>
        <w:gridCol w:w="1194"/>
        <w:gridCol w:w="1017"/>
      </w:tblGrid>
      <w:tr w:rsidR="006B2EC1" w14:paraId="79DD853C" w14:textId="77777777" w:rsidTr="0047688D">
        <w:trPr>
          <w:tblHeader/>
        </w:trPr>
        <w:tc>
          <w:tcPr>
            <w:tcW w:w="0" w:type="auto"/>
          </w:tcPr>
          <w:p w14:paraId="6F87A152" w14:textId="77777777" w:rsidR="008C5CFA" w:rsidRPr="009143B4" w:rsidRDefault="00E82A60" w:rsidP="00300A01">
            <w:pPr>
              <w:spacing w:before="0" w:after="0"/>
              <w:rPr>
                <w:b/>
                <w:sz w:val="16"/>
                <w:szCs w:val="16"/>
                <w:lang w:val="fr-BE"/>
              </w:rPr>
            </w:pPr>
            <w:r w:rsidRPr="009143B4">
              <w:rPr>
                <w:b/>
                <w:sz w:val="16"/>
                <w:szCs w:val="16"/>
                <w:lang w:val="fr-BE"/>
              </w:rPr>
              <w:t>(1)</w:t>
            </w:r>
          </w:p>
        </w:tc>
        <w:tc>
          <w:tcPr>
            <w:tcW w:w="0" w:type="auto"/>
            <w:shd w:val="clear" w:color="auto" w:fill="auto"/>
          </w:tcPr>
          <w:p w14:paraId="4144AEB7" w14:textId="77777777" w:rsidR="008C5CFA" w:rsidRPr="009143B4" w:rsidRDefault="00E82A60" w:rsidP="00300A01">
            <w:pPr>
              <w:spacing w:before="0" w:after="0"/>
              <w:rPr>
                <w:b/>
                <w:sz w:val="16"/>
                <w:szCs w:val="16"/>
                <w:lang w:val="fr-BE"/>
              </w:rPr>
            </w:pPr>
            <w:r w:rsidRPr="009143B4">
              <w:rPr>
                <w:b/>
                <w:noProof/>
                <w:sz w:val="16"/>
                <w:szCs w:val="16"/>
                <w:lang w:val="fr-BE"/>
              </w:rPr>
              <w:t>ID</w:t>
            </w:r>
          </w:p>
        </w:tc>
        <w:tc>
          <w:tcPr>
            <w:tcW w:w="0" w:type="auto"/>
            <w:shd w:val="clear" w:color="auto" w:fill="auto"/>
          </w:tcPr>
          <w:p w14:paraId="02EF79ED" w14:textId="77777777" w:rsidR="008C5CFA" w:rsidRPr="009143B4" w:rsidRDefault="00E82A60" w:rsidP="00300A01">
            <w:pPr>
              <w:spacing w:before="0" w:after="0"/>
              <w:rPr>
                <w:b/>
                <w:sz w:val="16"/>
                <w:szCs w:val="16"/>
                <w:lang w:val="fr-BE"/>
              </w:rPr>
            </w:pPr>
            <w:r w:rsidRPr="009143B4">
              <w:rPr>
                <w:b/>
                <w:noProof/>
                <w:sz w:val="16"/>
                <w:szCs w:val="16"/>
                <w:lang w:val="fr-BE"/>
              </w:rPr>
              <w:t>Wskaźnik</w:t>
            </w:r>
          </w:p>
        </w:tc>
        <w:tc>
          <w:tcPr>
            <w:tcW w:w="0" w:type="auto"/>
          </w:tcPr>
          <w:p w14:paraId="38252B9A" w14:textId="77777777" w:rsidR="008C5CFA" w:rsidRPr="009143B4" w:rsidRDefault="00E82A60" w:rsidP="00300A01">
            <w:pPr>
              <w:spacing w:before="0" w:after="0"/>
              <w:jc w:val="center"/>
              <w:rPr>
                <w:b/>
                <w:sz w:val="16"/>
                <w:szCs w:val="16"/>
                <w:lang w:val="fr-BE"/>
              </w:rPr>
            </w:pPr>
            <w:r>
              <w:rPr>
                <w:b/>
                <w:sz w:val="16"/>
                <w:szCs w:val="16"/>
                <w:lang w:val="fr-BE"/>
              </w:rPr>
              <w:t xml:space="preserve">2018 </w:t>
            </w:r>
            <w:r w:rsidRPr="009143B4">
              <w:rPr>
                <w:b/>
                <w:noProof/>
                <w:sz w:val="16"/>
                <w:szCs w:val="16"/>
                <w:lang w:val="fr-BE"/>
              </w:rPr>
              <w:t>Ogółem</w:t>
            </w:r>
          </w:p>
        </w:tc>
        <w:tc>
          <w:tcPr>
            <w:tcW w:w="0" w:type="auto"/>
          </w:tcPr>
          <w:p w14:paraId="050676C3" w14:textId="77777777" w:rsidR="008C5CFA" w:rsidRPr="009143B4" w:rsidRDefault="00E82A60" w:rsidP="00300A01">
            <w:pPr>
              <w:spacing w:before="0" w:after="0"/>
              <w:jc w:val="center"/>
              <w:rPr>
                <w:b/>
                <w:sz w:val="16"/>
                <w:szCs w:val="16"/>
                <w:lang w:val="fr-BE"/>
              </w:rPr>
            </w:pPr>
            <w:r>
              <w:rPr>
                <w:b/>
                <w:sz w:val="16"/>
                <w:szCs w:val="16"/>
                <w:lang w:val="fr-BE"/>
              </w:rPr>
              <w:t xml:space="preserve">2018 </w:t>
            </w:r>
            <w:r w:rsidRPr="009143B4">
              <w:rPr>
                <w:b/>
                <w:noProof/>
                <w:sz w:val="16"/>
                <w:szCs w:val="16"/>
                <w:lang w:val="fr-BE"/>
              </w:rPr>
              <w:t>Mężczyźni</w:t>
            </w:r>
          </w:p>
        </w:tc>
        <w:tc>
          <w:tcPr>
            <w:tcW w:w="0" w:type="auto"/>
          </w:tcPr>
          <w:p w14:paraId="6406C9B7" w14:textId="77777777" w:rsidR="008C5CFA" w:rsidRPr="009143B4" w:rsidRDefault="00E82A60" w:rsidP="00300A01">
            <w:pPr>
              <w:spacing w:before="0" w:after="0"/>
              <w:jc w:val="center"/>
              <w:rPr>
                <w:b/>
                <w:sz w:val="16"/>
                <w:szCs w:val="16"/>
                <w:lang w:val="fr-BE"/>
              </w:rPr>
            </w:pPr>
            <w:r>
              <w:rPr>
                <w:b/>
                <w:sz w:val="16"/>
                <w:szCs w:val="16"/>
                <w:lang w:val="fr-BE"/>
              </w:rPr>
              <w:t xml:space="preserve">2018 </w:t>
            </w:r>
            <w:r w:rsidRPr="009143B4">
              <w:rPr>
                <w:b/>
                <w:noProof/>
                <w:sz w:val="16"/>
                <w:szCs w:val="16"/>
                <w:lang w:val="fr-BE"/>
              </w:rPr>
              <w:t>Kobiety</w:t>
            </w:r>
          </w:p>
        </w:tc>
        <w:tc>
          <w:tcPr>
            <w:tcW w:w="0" w:type="auto"/>
          </w:tcPr>
          <w:p w14:paraId="73755821" w14:textId="77777777" w:rsidR="008C5CFA" w:rsidRPr="009143B4" w:rsidRDefault="00E82A60"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Ogółem</w:t>
            </w:r>
          </w:p>
        </w:tc>
        <w:tc>
          <w:tcPr>
            <w:tcW w:w="0" w:type="auto"/>
          </w:tcPr>
          <w:p w14:paraId="77C2E458" w14:textId="77777777" w:rsidR="008C5CFA" w:rsidRPr="009143B4" w:rsidRDefault="00E82A60"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Mężczyźni</w:t>
            </w:r>
          </w:p>
        </w:tc>
        <w:tc>
          <w:tcPr>
            <w:tcW w:w="0" w:type="auto"/>
          </w:tcPr>
          <w:p w14:paraId="0ABEF5A3" w14:textId="77777777" w:rsidR="008C5CFA" w:rsidRPr="009143B4" w:rsidRDefault="00E82A60"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Kobiety</w:t>
            </w:r>
          </w:p>
        </w:tc>
        <w:tc>
          <w:tcPr>
            <w:tcW w:w="0" w:type="auto"/>
            <w:shd w:val="clear" w:color="auto" w:fill="auto"/>
          </w:tcPr>
          <w:p w14:paraId="5AE236D2" w14:textId="77777777" w:rsidR="008C5CFA" w:rsidRPr="009143B4" w:rsidRDefault="00E82A60"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Ogółem</w:t>
            </w:r>
          </w:p>
        </w:tc>
        <w:tc>
          <w:tcPr>
            <w:tcW w:w="0" w:type="auto"/>
            <w:shd w:val="clear" w:color="auto" w:fill="auto"/>
          </w:tcPr>
          <w:p w14:paraId="335DF081" w14:textId="77777777" w:rsidR="008C5CFA" w:rsidRPr="009143B4" w:rsidRDefault="00E82A60"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Mężczyźni</w:t>
            </w:r>
          </w:p>
        </w:tc>
        <w:tc>
          <w:tcPr>
            <w:tcW w:w="0" w:type="auto"/>
            <w:shd w:val="clear" w:color="auto" w:fill="auto"/>
          </w:tcPr>
          <w:p w14:paraId="35E05304" w14:textId="77777777" w:rsidR="008C5CFA" w:rsidRPr="009143B4" w:rsidRDefault="00E82A60"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Kobiety</w:t>
            </w:r>
          </w:p>
        </w:tc>
      </w:tr>
      <w:tr w:rsidR="006B2EC1" w14:paraId="276E1D6B" w14:textId="77777777" w:rsidTr="0047688D">
        <w:tc>
          <w:tcPr>
            <w:tcW w:w="0" w:type="auto"/>
          </w:tcPr>
          <w:p w14:paraId="424D4542" w14:textId="77777777" w:rsidR="008C5CFA" w:rsidRPr="0024468B" w:rsidRDefault="00E82A60" w:rsidP="00300A01">
            <w:pPr>
              <w:spacing w:before="0" w:after="0"/>
              <w:rPr>
                <w:sz w:val="16"/>
                <w:szCs w:val="16"/>
                <w:lang w:val="fr-BE"/>
              </w:rPr>
            </w:pPr>
            <w:r>
              <w:rPr>
                <w:noProof/>
                <w:sz w:val="16"/>
                <w:szCs w:val="16"/>
                <w:lang w:val="fr-BE"/>
              </w:rPr>
              <w:t>F</w:t>
            </w:r>
          </w:p>
        </w:tc>
        <w:tc>
          <w:tcPr>
            <w:tcW w:w="0" w:type="auto"/>
            <w:shd w:val="clear" w:color="auto" w:fill="auto"/>
          </w:tcPr>
          <w:p w14:paraId="2966D590" w14:textId="77777777" w:rsidR="008C5CFA" w:rsidRPr="0024468B" w:rsidRDefault="00E82A60" w:rsidP="00300A01">
            <w:pPr>
              <w:spacing w:before="0" w:after="0"/>
              <w:rPr>
                <w:sz w:val="16"/>
                <w:szCs w:val="16"/>
                <w:lang w:val="fr-BE"/>
              </w:rPr>
            </w:pPr>
            <w:r w:rsidRPr="0024468B">
              <w:rPr>
                <w:noProof/>
                <w:sz w:val="16"/>
                <w:szCs w:val="16"/>
                <w:lang w:val="fr-BE"/>
              </w:rPr>
              <w:t>CO13</w:t>
            </w:r>
          </w:p>
        </w:tc>
        <w:tc>
          <w:tcPr>
            <w:tcW w:w="0" w:type="auto"/>
            <w:shd w:val="clear" w:color="auto" w:fill="auto"/>
          </w:tcPr>
          <w:p w14:paraId="691BADF5" w14:textId="77777777" w:rsidR="008C5CFA" w:rsidRPr="0024468B" w:rsidRDefault="00E82A60" w:rsidP="00300A01">
            <w:pPr>
              <w:spacing w:before="0" w:after="0"/>
              <w:rPr>
                <w:sz w:val="16"/>
                <w:szCs w:val="16"/>
                <w:lang w:val="fr-BE"/>
              </w:rPr>
            </w:pPr>
            <w:r w:rsidRPr="0024468B">
              <w:rPr>
                <w:noProof/>
                <w:sz w:val="16"/>
                <w:szCs w:val="16"/>
                <w:lang w:val="fr-BE"/>
              </w:rPr>
              <w:t>Drogi: całkowita długość nowych dróg</w:t>
            </w:r>
          </w:p>
        </w:tc>
        <w:tc>
          <w:tcPr>
            <w:tcW w:w="0" w:type="auto"/>
          </w:tcPr>
          <w:p w14:paraId="65ED7621"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61D9BFEE"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79A4F588"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486C6E13"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02C79890"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3E346EA1"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7C84F7AB"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141E6285"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6CB6447B"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r w:rsidR="006B2EC1" w14:paraId="45383BD5" w14:textId="77777777" w:rsidTr="0047688D">
        <w:tc>
          <w:tcPr>
            <w:tcW w:w="0" w:type="auto"/>
          </w:tcPr>
          <w:p w14:paraId="466B59BA" w14:textId="77777777" w:rsidR="008C5CFA" w:rsidRPr="0024468B" w:rsidRDefault="00E82A60" w:rsidP="00300A01">
            <w:pPr>
              <w:spacing w:before="0" w:after="0"/>
              <w:rPr>
                <w:sz w:val="16"/>
                <w:szCs w:val="16"/>
                <w:lang w:val="fr-BE"/>
              </w:rPr>
            </w:pPr>
            <w:r>
              <w:rPr>
                <w:noProof/>
                <w:sz w:val="16"/>
                <w:szCs w:val="16"/>
                <w:lang w:val="fr-BE"/>
              </w:rPr>
              <w:t>S</w:t>
            </w:r>
          </w:p>
        </w:tc>
        <w:tc>
          <w:tcPr>
            <w:tcW w:w="0" w:type="auto"/>
            <w:shd w:val="clear" w:color="auto" w:fill="auto"/>
          </w:tcPr>
          <w:p w14:paraId="1F5E15D4" w14:textId="77777777" w:rsidR="008C5CFA" w:rsidRPr="0024468B" w:rsidRDefault="00E82A60" w:rsidP="00300A01">
            <w:pPr>
              <w:spacing w:before="0" w:after="0"/>
              <w:rPr>
                <w:sz w:val="16"/>
                <w:szCs w:val="16"/>
                <w:lang w:val="fr-BE"/>
              </w:rPr>
            </w:pPr>
            <w:r w:rsidRPr="0024468B">
              <w:rPr>
                <w:noProof/>
                <w:sz w:val="16"/>
                <w:szCs w:val="16"/>
                <w:lang w:val="fr-BE"/>
              </w:rPr>
              <w:t>CO13</w:t>
            </w:r>
          </w:p>
        </w:tc>
        <w:tc>
          <w:tcPr>
            <w:tcW w:w="0" w:type="auto"/>
            <w:shd w:val="clear" w:color="auto" w:fill="auto"/>
          </w:tcPr>
          <w:p w14:paraId="77783703" w14:textId="77777777" w:rsidR="008C5CFA" w:rsidRPr="0024468B" w:rsidRDefault="00E82A60" w:rsidP="00300A01">
            <w:pPr>
              <w:spacing w:before="0" w:after="0"/>
              <w:rPr>
                <w:sz w:val="16"/>
                <w:szCs w:val="16"/>
                <w:lang w:val="fr-BE"/>
              </w:rPr>
            </w:pPr>
            <w:r w:rsidRPr="0024468B">
              <w:rPr>
                <w:noProof/>
                <w:sz w:val="16"/>
                <w:szCs w:val="16"/>
                <w:lang w:val="fr-BE"/>
              </w:rPr>
              <w:t>Drogi: całkowita długość nowych dróg</w:t>
            </w:r>
          </w:p>
        </w:tc>
        <w:tc>
          <w:tcPr>
            <w:tcW w:w="0" w:type="auto"/>
          </w:tcPr>
          <w:p w14:paraId="59E3557D" w14:textId="77777777" w:rsidR="008C5CFA" w:rsidRPr="0024468B" w:rsidRDefault="00E82A60" w:rsidP="00300A01">
            <w:pPr>
              <w:spacing w:before="0" w:after="0"/>
              <w:jc w:val="right"/>
              <w:rPr>
                <w:sz w:val="16"/>
                <w:szCs w:val="16"/>
                <w:lang w:val="fr-BE"/>
              </w:rPr>
            </w:pPr>
            <w:r w:rsidRPr="0024468B">
              <w:rPr>
                <w:noProof/>
                <w:sz w:val="16"/>
                <w:szCs w:val="16"/>
                <w:lang w:val="fr-BE"/>
              </w:rPr>
              <w:t>4,85</w:t>
            </w:r>
          </w:p>
        </w:tc>
        <w:tc>
          <w:tcPr>
            <w:tcW w:w="0" w:type="auto"/>
          </w:tcPr>
          <w:p w14:paraId="01538FBB"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7DBD9AF3"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6DEE47F3"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694B1B67"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01672E71"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6E6D475E"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7157C254"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4EC70C85"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r w:rsidR="006B2EC1" w14:paraId="25828273" w14:textId="77777777" w:rsidTr="0047688D">
        <w:tc>
          <w:tcPr>
            <w:tcW w:w="0" w:type="auto"/>
          </w:tcPr>
          <w:p w14:paraId="195C3B57" w14:textId="77777777" w:rsidR="008C5CFA" w:rsidRPr="0024468B" w:rsidRDefault="00E82A60" w:rsidP="00300A01">
            <w:pPr>
              <w:spacing w:before="0" w:after="0"/>
              <w:rPr>
                <w:sz w:val="16"/>
                <w:szCs w:val="16"/>
                <w:lang w:val="fr-BE"/>
              </w:rPr>
            </w:pPr>
            <w:r>
              <w:rPr>
                <w:noProof/>
                <w:sz w:val="16"/>
                <w:szCs w:val="16"/>
                <w:lang w:val="fr-BE"/>
              </w:rPr>
              <w:t>F</w:t>
            </w:r>
          </w:p>
        </w:tc>
        <w:tc>
          <w:tcPr>
            <w:tcW w:w="0" w:type="auto"/>
            <w:shd w:val="clear" w:color="auto" w:fill="auto"/>
          </w:tcPr>
          <w:p w14:paraId="025D2DBC" w14:textId="77777777" w:rsidR="008C5CFA" w:rsidRPr="0024468B" w:rsidRDefault="00E82A60" w:rsidP="00300A01">
            <w:pPr>
              <w:spacing w:before="0" w:after="0"/>
              <w:rPr>
                <w:sz w:val="16"/>
                <w:szCs w:val="16"/>
                <w:lang w:val="fr-BE"/>
              </w:rPr>
            </w:pPr>
            <w:r w:rsidRPr="0024468B">
              <w:rPr>
                <w:noProof/>
                <w:sz w:val="16"/>
                <w:szCs w:val="16"/>
                <w:lang w:val="fr-BE"/>
              </w:rPr>
              <w:t>CO14</w:t>
            </w:r>
          </w:p>
        </w:tc>
        <w:tc>
          <w:tcPr>
            <w:tcW w:w="0" w:type="auto"/>
            <w:shd w:val="clear" w:color="auto" w:fill="auto"/>
          </w:tcPr>
          <w:p w14:paraId="4BB03075" w14:textId="77777777" w:rsidR="008C5CFA" w:rsidRPr="0024468B" w:rsidRDefault="00E82A60" w:rsidP="00300A01">
            <w:pPr>
              <w:spacing w:before="0" w:after="0"/>
              <w:rPr>
                <w:sz w:val="16"/>
                <w:szCs w:val="16"/>
                <w:lang w:val="fr-BE"/>
              </w:rPr>
            </w:pPr>
            <w:r w:rsidRPr="0024468B">
              <w:rPr>
                <w:noProof/>
                <w:sz w:val="16"/>
                <w:szCs w:val="16"/>
                <w:lang w:val="fr-BE"/>
              </w:rPr>
              <w:t>Drogi: całkowita długość przebudowanych lub zmodernizowanych dróg</w:t>
            </w:r>
          </w:p>
        </w:tc>
        <w:tc>
          <w:tcPr>
            <w:tcW w:w="0" w:type="auto"/>
          </w:tcPr>
          <w:p w14:paraId="413FC3F6"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464D7B79"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2586B942"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3C7DECD2"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45F317F2"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19EA68B9"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50C03176"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783654CE"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576053FA"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r w:rsidR="006B2EC1" w14:paraId="10E383B3" w14:textId="77777777" w:rsidTr="0047688D">
        <w:tc>
          <w:tcPr>
            <w:tcW w:w="0" w:type="auto"/>
          </w:tcPr>
          <w:p w14:paraId="1AD34D72" w14:textId="77777777" w:rsidR="008C5CFA" w:rsidRPr="0024468B" w:rsidRDefault="00E82A60" w:rsidP="00300A01">
            <w:pPr>
              <w:spacing w:before="0" w:after="0"/>
              <w:rPr>
                <w:sz w:val="16"/>
                <w:szCs w:val="16"/>
                <w:lang w:val="fr-BE"/>
              </w:rPr>
            </w:pPr>
            <w:r>
              <w:rPr>
                <w:noProof/>
                <w:sz w:val="16"/>
                <w:szCs w:val="16"/>
                <w:lang w:val="fr-BE"/>
              </w:rPr>
              <w:t>S</w:t>
            </w:r>
          </w:p>
        </w:tc>
        <w:tc>
          <w:tcPr>
            <w:tcW w:w="0" w:type="auto"/>
            <w:shd w:val="clear" w:color="auto" w:fill="auto"/>
          </w:tcPr>
          <w:p w14:paraId="374ED5D2" w14:textId="77777777" w:rsidR="008C5CFA" w:rsidRPr="0024468B" w:rsidRDefault="00E82A60" w:rsidP="00300A01">
            <w:pPr>
              <w:spacing w:before="0" w:after="0"/>
              <w:rPr>
                <w:sz w:val="16"/>
                <w:szCs w:val="16"/>
                <w:lang w:val="fr-BE"/>
              </w:rPr>
            </w:pPr>
            <w:r w:rsidRPr="0024468B">
              <w:rPr>
                <w:noProof/>
                <w:sz w:val="16"/>
                <w:szCs w:val="16"/>
                <w:lang w:val="fr-BE"/>
              </w:rPr>
              <w:t>CO14</w:t>
            </w:r>
          </w:p>
        </w:tc>
        <w:tc>
          <w:tcPr>
            <w:tcW w:w="0" w:type="auto"/>
            <w:shd w:val="clear" w:color="auto" w:fill="auto"/>
          </w:tcPr>
          <w:p w14:paraId="666DB719" w14:textId="77777777" w:rsidR="008C5CFA" w:rsidRPr="0024468B" w:rsidRDefault="00E82A60" w:rsidP="00300A01">
            <w:pPr>
              <w:spacing w:before="0" w:after="0"/>
              <w:rPr>
                <w:sz w:val="16"/>
                <w:szCs w:val="16"/>
                <w:lang w:val="fr-BE"/>
              </w:rPr>
            </w:pPr>
            <w:r w:rsidRPr="0024468B">
              <w:rPr>
                <w:noProof/>
                <w:sz w:val="16"/>
                <w:szCs w:val="16"/>
                <w:lang w:val="fr-BE"/>
              </w:rPr>
              <w:t>Drogi: całkowita długość przebudowanych lub zmodernizowanych dróg</w:t>
            </w:r>
          </w:p>
        </w:tc>
        <w:tc>
          <w:tcPr>
            <w:tcW w:w="0" w:type="auto"/>
          </w:tcPr>
          <w:p w14:paraId="1A1623CF" w14:textId="77777777" w:rsidR="008C5CFA" w:rsidRPr="0024468B" w:rsidRDefault="00E82A60" w:rsidP="00300A01">
            <w:pPr>
              <w:spacing w:before="0" w:after="0"/>
              <w:jc w:val="right"/>
              <w:rPr>
                <w:sz w:val="16"/>
                <w:szCs w:val="16"/>
                <w:lang w:val="fr-BE"/>
              </w:rPr>
            </w:pPr>
            <w:r w:rsidRPr="0024468B">
              <w:rPr>
                <w:noProof/>
                <w:sz w:val="16"/>
                <w:szCs w:val="16"/>
                <w:lang w:val="fr-BE"/>
              </w:rPr>
              <w:t>2,74</w:t>
            </w:r>
          </w:p>
        </w:tc>
        <w:tc>
          <w:tcPr>
            <w:tcW w:w="0" w:type="auto"/>
          </w:tcPr>
          <w:p w14:paraId="5E687AFD"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69431DFD"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4EE26A32" w14:textId="77777777" w:rsidR="008C5CFA" w:rsidRPr="0024468B" w:rsidRDefault="00E82A60" w:rsidP="00300A01">
            <w:pPr>
              <w:spacing w:before="0" w:after="0"/>
              <w:jc w:val="right"/>
              <w:rPr>
                <w:sz w:val="16"/>
                <w:szCs w:val="16"/>
                <w:lang w:val="fr-BE"/>
              </w:rPr>
            </w:pPr>
            <w:r w:rsidRPr="0024468B">
              <w:rPr>
                <w:noProof/>
                <w:sz w:val="16"/>
                <w:szCs w:val="16"/>
                <w:lang w:val="fr-BE"/>
              </w:rPr>
              <w:t>2,03</w:t>
            </w:r>
          </w:p>
        </w:tc>
        <w:tc>
          <w:tcPr>
            <w:tcW w:w="0" w:type="auto"/>
          </w:tcPr>
          <w:p w14:paraId="5F10E098"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25851EA8"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7EF5DB09"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38E0D777"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24B6B8FD"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bl>
    <w:p w14:paraId="03402FF1"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82"/>
        <w:gridCol w:w="630"/>
        <w:gridCol w:w="6006"/>
        <w:gridCol w:w="1279"/>
        <w:gridCol w:w="1514"/>
        <w:gridCol w:w="1290"/>
        <w:gridCol w:w="1279"/>
        <w:gridCol w:w="1514"/>
        <w:gridCol w:w="1290"/>
      </w:tblGrid>
      <w:tr w:rsidR="006B2EC1" w14:paraId="5BDA69CD" w14:textId="77777777" w:rsidTr="0047688D">
        <w:trPr>
          <w:tblHeader/>
        </w:trPr>
        <w:tc>
          <w:tcPr>
            <w:tcW w:w="0" w:type="auto"/>
          </w:tcPr>
          <w:p w14:paraId="507BCFB8" w14:textId="77777777" w:rsidR="008C5CFA" w:rsidRPr="009143B4" w:rsidRDefault="00E82A60" w:rsidP="00300A01">
            <w:pPr>
              <w:spacing w:before="0" w:after="0"/>
              <w:rPr>
                <w:b/>
                <w:sz w:val="16"/>
                <w:szCs w:val="16"/>
                <w:lang w:val="fr-BE"/>
              </w:rPr>
            </w:pPr>
            <w:r w:rsidRPr="009143B4">
              <w:rPr>
                <w:b/>
                <w:sz w:val="16"/>
                <w:szCs w:val="16"/>
                <w:lang w:val="fr-BE"/>
              </w:rPr>
              <w:t>(1)</w:t>
            </w:r>
          </w:p>
        </w:tc>
        <w:tc>
          <w:tcPr>
            <w:tcW w:w="0" w:type="auto"/>
            <w:shd w:val="clear" w:color="auto" w:fill="auto"/>
          </w:tcPr>
          <w:p w14:paraId="38DCB544" w14:textId="77777777" w:rsidR="008C5CFA" w:rsidRPr="009143B4" w:rsidRDefault="00E82A60" w:rsidP="00300A01">
            <w:pPr>
              <w:spacing w:before="0" w:after="0"/>
              <w:rPr>
                <w:b/>
                <w:sz w:val="16"/>
                <w:szCs w:val="16"/>
                <w:lang w:val="fr-BE"/>
              </w:rPr>
            </w:pPr>
            <w:r w:rsidRPr="009143B4">
              <w:rPr>
                <w:b/>
                <w:noProof/>
                <w:sz w:val="16"/>
                <w:szCs w:val="16"/>
                <w:lang w:val="fr-BE"/>
              </w:rPr>
              <w:t>ID</w:t>
            </w:r>
          </w:p>
        </w:tc>
        <w:tc>
          <w:tcPr>
            <w:tcW w:w="0" w:type="auto"/>
            <w:shd w:val="clear" w:color="auto" w:fill="auto"/>
          </w:tcPr>
          <w:p w14:paraId="0622C002" w14:textId="77777777" w:rsidR="008C5CFA" w:rsidRPr="009143B4" w:rsidRDefault="00E82A60" w:rsidP="00300A01">
            <w:pPr>
              <w:spacing w:before="0" w:after="0"/>
              <w:rPr>
                <w:b/>
                <w:sz w:val="16"/>
                <w:szCs w:val="16"/>
                <w:lang w:val="fr-BE"/>
              </w:rPr>
            </w:pPr>
            <w:r w:rsidRPr="009143B4">
              <w:rPr>
                <w:b/>
                <w:noProof/>
                <w:sz w:val="16"/>
                <w:szCs w:val="16"/>
                <w:lang w:val="fr-BE"/>
              </w:rPr>
              <w:t>Wskaźnik</w:t>
            </w:r>
          </w:p>
        </w:tc>
        <w:tc>
          <w:tcPr>
            <w:tcW w:w="0" w:type="auto"/>
          </w:tcPr>
          <w:p w14:paraId="7E2CB915" w14:textId="77777777" w:rsidR="008C5CFA" w:rsidRPr="009143B4" w:rsidRDefault="00E82A60"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Ogółem</w:t>
            </w:r>
          </w:p>
        </w:tc>
        <w:tc>
          <w:tcPr>
            <w:tcW w:w="0" w:type="auto"/>
          </w:tcPr>
          <w:p w14:paraId="14C548DA" w14:textId="77777777" w:rsidR="008C5CFA" w:rsidRPr="009143B4" w:rsidRDefault="00E82A60"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Mężczyźni</w:t>
            </w:r>
          </w:p>
        </w:tc>
        <w:tc>
          <w:tcPr>
            <w:tcW w:w="0" w:type="auto"/>
          </w:tcPr>
          <w:p w14:paraId="6F888E29" w14:textId="77777777" w:rsidR="008C5CFA" w:rsidRPr="009143B4" w:rsidRDefault="00E82A60"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Kobiety</w:t>
            </w:r>
          </w:p>
        </w:tc>
        <w:tc>
          <w:tcPr>
            <w:tcW w:w="0" w:type="auto"/>
            <w:shd w:val="clear" w:color="auto" w:fill="auto"/>
          </w:tcPr>
          <w:p w14:paraId="64C2B939" w14:textId="77777777" w:rsidR="008C5CFA" w:rsidRPr="009143B4" w:rsidRDefault="00E82A60"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Ogółem</w:t>
            </w:r>
          </w:p>
        </w:tc>
        <w:tc>
          <w:tcPr>
            <w:tcW w:w="0" w:type="auto"/>
            <w:shd w:val="clear" w:color="auto" w:fill="auto"/>
          </w:tcPr>
          <w:p w14:paraId="1D48A324" w14:textId="77777777" w:rsidR="008C5CFA" w:rsidRPr="009143B4" w:rsidRDefault="00E82A60"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Mężczyźni</w:t>
            </w:r>
          </w:p>
        </w:tc>
        <w:tc>
          <w:tcPr>
            <w:tcW w:w="0" w:type="auto"/>
            <w:shd w:val="clear" w:color="auto" w:fill="auto"/>
          </w:tcPr>
          <w:p w14:paraId="06A750FB" w14:textId="77777777" w:rsidR="008C5CFA" w:rsidRPr="009143B4" w:rsidRDefault="00E82A60"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Kobiety</w:t>
            </w:r>
          </w:p>
        </w:tc>
      </w:tr>
      <w:tr w:rsidR="006B2EC1" w14:paraId="34C8A5C6" w14:textId="77777777" w:rsidTr="0047688D">
        <w:tc>
          <w:tcPr>
            <w:tcW w:w="0" w:type="auto"/>
          </w:tcPr>
          <w:p w14:paraId="6519B549" w14:textId="77777777" w:rsidR="008C5CFA" w:rsidRPr="0024468B" w:rsidRDefault="00E82A60" w:rsidP="00300A01">
            <w:pPr>
              <w:spacing w:before="0" w:after="0"/>
              <w:rPr>
                <w:sz w:val="16"/>
                <w:szCs w:val="16"/>
                <w:lang w:val="fr-BE"/>
              </w:rPr>
            </w:pPr>
            <w:r>
              <w:rPr>
                <w:noProof/>
                <w:sz w:val="16"/>
                <w:szCs w:val="16"/>
                <w:lang w:val="fr-BE"/>
              </w:rPr>
              <w:t>F</w:t>
            </w:r>
          </w:p>
        </w:tc>
        <w:tc>
          <w:tcPr>
            <w:tcW w:w="0" w:type="auto"/>
            <w:shd w:val="clear" w:color="auto" w:fill="auto"/>
          </w:tcPr>
          <w:p w14:paraId="264CAD3A" w14:textId="77777777" w:rsidR="008C5CFA" w:rsidRPr="0024468B" w:rsidRDefault="00E82A60" w:rsidP="00300A01">
            <w:pPr>
              <w:spacing w:before="0" w:after="0"/>
              <w:rPr>
                <w:sz w:val="16"/>
                <w:szCs w:val="16"/>
                <w:lang w:val="fr-BE"/>
              </w:rPr>
            </w:pPr>
            <w:r w:rsidRPr="0024468B">
              <w:rPr>
                <w:noProof/>
                <w:sz w:val="16"/>
                <w:szCs w:val="16"/>
                <w:lang w:val="fr-BE"/>
              </w:rPr>
              <w:t>CO13</w:t>
            </w:r>
          </w:p>
        </w:tc>
        <w:tc>
          <w:tcPr>
            <w:tcW w:w="0" w:type="auto"/>
            <w:shd w:val="clear" w:color="auto" w:fill="auto"/>
          </w:tcPr>
          <w:p w14:paraId="669E5FA3" w14:textId="77777777" w:rsidR="008C5CFA" w:rsidRPr="0024468B" w:rsidRDefault="00E82A60" w:rsidP="00300A01">
            <w:pPr>
              <w:spacing w:before="0" w:after="0"/>
              <w:rPr>
                <w:sz w:val="16"/>
                <w:szCs w:val="16"/>
                <w:lang w:val="fr-BE"/>
              </w:rPr>
            </w:pPr>
            <w:r w:rsidRPr="0024468B">
              <w:rPr>
                <w:noProof/>
                <w:sz w:val="16"/>
                <w:szCs w:val="16"/>
                <w:lang w:val="fr-BE"/>
              </w:rPr>
              <w:t>Drogi: całkowita długość nowych dróg</w:t>
            </w:r>
          </w:p>
        </w:tc>
        <w:tc>
          <w:tcPr>
            <w:tcW w:w="0" w:type="auto"/>
          </w:tcPr>
          <w:p w14:paraId="64C7DAB0"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621D700C"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1E605B98"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71A6AAE3"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21F6AA0C"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0EE65146"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r w:rsidR="006B2EC1" w14:paraId="621F8B83" w14:textId="77777777" w:rsidTr="0047688D">
        <w:tc>
          <w:tcPr>
            <w:tcW w:w="0" w:type="auto"/>
          </w:tcPr>
          <w:p w14:paraId="108C7161" w14:textId="77777777" w:rsidR="008C5CFA" w:rsidRPr="0024468B" w:rsidRDefault="00E82A60" w:rsidP="00300A01">
            <w:pPr>
              <w:spacing w:before="0" w:after="0"/>
              <w:rPr>
                <w:sz w:val="16"/>
                <w:szCs w:val="16"/>
                <w:lang w:val="fr-BE"/>
              </w:rPr>
            </w:pPr>
            <w:r>
              <w:rPr>
                <w:noProof/>
                <w:sz w:val="16"/>
                <w:szCs w:val="16"/>
                <w:lang w:val="fr-BE"/>
              </w:rPr>
              <w:t>S</w:t>
            </w:r>
          </w:p>
        </w:tc>
        <w:tc>
          <w:tcPr>
            <w:tcW w:w="0" w:type="auto"/>
            <w:shd w:val="clear" w:color="auto" w:fill="auto"/>
          </w:tcPr>
          <w:p w14:paraId="76E63E8C" w14:textId="77777777" w:rsidR="008C5CFA" w:rsidRPr="0024468B" w:rsidRDefault="00E82A60" w:rsidP="00300A01">
            <w:pPr>
              <w:spacing w:before="0" w:after="0"/>
              <w:rPr>
                <w:sz w:val="16"/>
                <w:szCs w:val="16"/>
                <w:lang w:val="fr-BE"/>
              </w:rPr>
            </w:pPr>
            <w:r w:rsidRPr="0024468B">
              <w:rPr>
                <w:noProof/>
                <w:sz w:val="16"/>
                <w:szCs w:val="16"/>
                <w:lang w:val="fr-BE"/>
              </w:rPr>
              <w:t>CO13</w:t>
            </w:r>
          </w:p>
        </w:tc>
        <w:tc>
          <w:tcPr>
            <w:tcW w:w="0" w:type="auto"/>
            <w:shd w:val="clear" w:color="auto" w:fill="auto"/>
          </w:tcPr>
          <w:p w14:paraId="79FA766B" w14:textId="77777777" w:rsidR="008C5CFA" w:rsidRPr="0024468B" w:rsidRDefault="00E82A60" w:rsidP="00300A01">
            <w:pPr>
              <w:spacing w:before="0" w:after="0"/>
              <w:rPr>
                <w:sz w:val="16"/>
                <w:szCs w:val="16"/>
                <w:lang w:val="fr-BE"/>
              </w:rPr>
            </w:pPr>
            <w:r w:rsidRPr="0024468B">
              <w:rPr>
                <w:noProof/>
                <w:sz w:val="16"/>
                <w:szCs w:val="16"/>
                <w:lang w:val="fr-BE"/>
              </w:rPr>
              <w:t>Drogi: całkowita długość nowych dróg</w:t>
            </w:r>
          </w:p>
        </w:tc>
        <w:tc>
          <w:tcPr>
            <w:tcW w:w="0" w:type="auto"/>
          </w:tcPr>
          <w:p w14:paraId="189DE6ED"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7CB0D5E8"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270B0DE2"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6E206074"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6B213BAC"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74FB274C"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r w:rsidR="006B2EC1" w14:paraId="771571F5" w14:textId="77777777" w:rsidTr="0047688D">
        <w:tc>
          <w:tcPr>
            <w:tcW w:w="0" w:type="auto"/>
          </w:tcPr>
          <w:p w14:paraId="6F3818FF" w14:textId="77777777" w:rsidR="008C5CFA" w:rsidRPr="0024468B" w:rsidRDefault="00E82A60" w:rsidP="00300A01">
            <w:pPr>
              <w:spacing w:before="0" w:after="0"/>
              <w:rPr>
                <w:sz w:val="16"/>
                <w:szCs w:val="16"/>
                <w:lang w:val="fr-BE"/>
              </w:rPr>
            </w:pPr>
            <w:r>
              <w:rPr>
                <w:noProof/>
                <w:sz w:val="16"/>
                <w:szCs w:val="16"/>
                <w:lang w:val="fr-BE"/>
              </w:rPr>
              <w:t>F</w:t>
            </w:r>
          </w:p>
        </w:tc>
        <w:tc>
          <w:tcPr>
            <w:tcW w:w="0" w:type="auto"/>
            <w:shd w:val="clear" w:color="auto" w:fill="auto"/>
          </w:tcPr>
          <w:p w14:paraId="5623EADE" w14:textId="77777777" w:rsidR="008C5CFA" w:rsidRPr="0024468B" w:rsidRDefault="00E82A60" w:rsidP="00300A01">
            <w:pPr>
              <w:spacing w:before="0" w:after="0"/>
              <w:rPr>
                <w:sz w:val="16"/>
                <w:szCs w:val="16"/>
                <w:lang w:val="fr-BE"/>
              </w:rPr>
            </w:pPr>
            <w:r w:rsidRPr="0024468B">
              <w:rPr>
                <w:noProof/>
                <w:sz w:val="16"/>
                <w:szCs w:val="16"/>
                <w:lang w:val="fr-BE"/>
              </w:rPr>
              <w:t>CO14</w:t>
            </w:r>
          </w:p>
        </w:tc>
        <w:tc>
          <w:tcPr>
            <w:tcW w:w="0" w:type="auto"/>
            <w:shd w:val="clear" w:color="auto" w:fill="auto"/>
          </w:tcPr>
          <w:p w14:paraId="3AF626C8" w14:textId="77777777" w:rsidR="008C5CFA" w:rsidRPr="0024468B" w:rsidRDefault="00E82A60" w:rsidP="00300A01">
            <w:pPr>
              <w:spacing w:before="0" w:after="0"/>
              <w:rPr>
                <w:sz w:val="16"/>
                <w:szCs w:val="16"/>
                <w:lang w:val="fr-BE"/>
              </w:rPr>
            </w:pPr>
            <w:r w:rsidRPr="0024468B">
              <w:rPr>
                <w:noProof/>
                <w:sz w:val="16"/>
                <w:szCs w:val="16"/>
                <w:lang w:val="fr-BE"/>
              </w:rPr>
              <w:t>Drogi: całkowita długość przebudowanych lub zmodernizowanych dróg</w:t>
            </w:r>
          </w:p>
        </w:tc>
        <w:tc>
          <w:tcPr>
            <w:tcW w:w="0" w:type="auto"/>
          </w:tcPr>
          <w:p w14:paraId="103AA239"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346E16D6"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7E6ED712"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7D3DCABE"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4697C8F1"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4804B15F"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r w:rsidR="006B2EC1" w14:paraId="22E45566" w14:textId="77777777" w:rsidTr="0047688D">
        <w:tc>
          <w:tcPr>
            <w:tcW w:w="0" w:type="auto"/>
          </w:tcPr>
          <w:p w14:paraId="0CC1CC27" w14:textId="77777777" w:rsidR="008C5CFA" w:rsidRPr="0024468B" w:rsidRDefault="00E82A60" w:rsidP="00300A01">
            <w:pPr>
              <w:spacing w:before="0" w:after="0"/>
              <w:rPr>
                <w:sz w:val="16"/>
                <w:szCs w:val="16"/>
                <w:lang w:val="fr-BE"/>
              </w:rPr>
            </w:pPr>
            <w:r>
              <w:rPr>
                <w:noProof/>
                <w:sz w:val="16"/>
                <w:szCs w:val="16"/>
                <w:lang w:val="fr-BE"/>
              </w:rPr>
              <w:t>S</w:t>
            </w:r>
          </w:p>
        </w:tc>
        <w:tc>
          <w:tcPr>
            <w:tcW w:w="0" w:type="auto"/>
            <w:shd w:val="clear" w:color="auto" w:fill="auto"/>
          </w:tcPr>
          <w:p w14:paraId="01C1A94C" w14:textId="77777777" w:rsidR="008C5CFA" w:rsidRPr="0024468B" w:rsidRDefault="00E82A60" w:rsidP="00300A01">
            <w:pPr>
              <w:spacing w:before="0" w:after="0"/>
              <w:rPr>
                <w:sz w:val="16"/>
                <w:szCs w:val="16"/>
                <w:lang w:val="fr-BE"/>
              </w:rPr>
            </w:pPr>
            <w:r w:rsidRPr="0024468B">
              <w:rPr>
                <w:noProof/>
                <w:sz w:val="16"/>
                <w:szCs w:val="16"/>
                <w:lang w:val="fr-BE"/>
              </w:rPr>
              <w:t>CO14</w:t>
            </w:r>
          </w:p>
        </w:tc>
        <w:tc>
          <w:tcPr>
            <w:tcW w:w="0" w:type="auto"/>
            <w:shd w:val="clear" w:color="auto" w:fill="auto"/>
          </w:tcPr>
          <w:p w14:paraId="7D8873C4" w14:textId="77777777" w:rsidR="008C5CFA" w:rsidRPr="0024468B" w:rsidRDefault="00E82A60" w:rsidP="00300A01">
            <w:pPr>
              <w:spacing w:before="0" w:after="0"/>
              <w:rPr>
                <w:sz w:val="16"/>
                <w:szCs w:val="16"/>
                <w:lang w:val="fr-BE"/>
              </w:rPr>
            </w:pPr>
            <w:r w:rsidRPr="0024468B">
              <w:rPr>
                <w:noProof/>
                <w:sz w:val="16"/>
                <w:szCs w:val="16"/>
                <w:lang w:val="fr-BE"/>
              </w:rPr>
              <w:t>Drogi: całkowita długość przebudowanych lub zmodernizowanych dróg</w:t>
            </w:r>
          </w:p>
        </w:tc>
        <w:tc>
          <w:tcPr>
            <w:tcW w:w="0" w:type="auto"/>
          </w:tcPr>
          <w:p w14:paraId="76CE1805"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5B7C6549"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4E4689E5"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0324F102"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3B3E92E6"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6A964BBC"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bl>
    <w:p w14:paraId="2CACE553" w14:textId="77777777" w:rsidR="008C5CFA" w:rsidRDefault="008C5CFA" w:rsidP="00300A01">
      <w:pPr>
        <w:spacing w:before="0" w:after="0"/>
        <w:rPr>
          <w:lang w:val="fr-BE"/>
        </w:rPr>
      </w:pPr>
    </w:p>
    <w:p w14:paraId="7FE66EA0" w14:textId="77777777" w:rsidR="008C5CFA" w:rsidRDefault="008C5CFA" w:rsidP="00300A01">
      <w:pPr>
        <w:spacing w:before="0" w:after="0"/>
        <w:rPr>
          <w:lang w:val="fr-BE"/>
        </w:rPr>
      </w:pPr>
    </w:p>
    <w:p w14:paraId="462EE949" w14:textId="77777777" w:rsidR="008C5CFA" w:rsidRDefault="00E82A60" w:rsidP="00300A01">
      <w:pPr>
        <w:spacing w:before="0" w:after="0"/>
        <w:rPr>
          <w:lang w:val="fr-BE"/>
        </w:rPr>
      </w:pPr>
      <w:r>
        <w:rPr>
          <w:lang w:val="fr-BE"/>
        </w:rPr>
        <w:br w:type="page"/>
      </w:r>
    </w:p>
    <w:p w14:paraId="10B8646C"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6"/>
        <w:gridCol w:w="13128"/>
      </w:tblGrid>
      <w:tr w:rsidR="006B2EC1" w14:paraId="78158ACA" w14:textId="77777777" w:rsidTr="0047688D">
        <w:tc>
          <w:tcPr>
            <w:tcW w:w="0" w:type="auto"/>
            <w:shd w:val="clear" w:color="auto" w:fill="auto"/>
          </w:tcPr>
          <w:p w14:paraId="0CF140FB" w14:textId="77777777" w:rsidR="008C5CFA" w:rsidRPr="002124FC" w:rsidRDefault="00E82A60" w:rsidP="00300A01">
            <w:pPr>
              <w:spacing w:before="0" w:after="0"/>
              <w:rPr>
                <w:sz w:val="20"/>
                <w:szCs w:val="20"/>
                <w:lang w:val="fr-BE"/>
              </w:rPr>
            </w:pPr>
            <w:r>
              <w:rPr>
                <w:lang w:val="fr-BE"/>
              </w:rPr>
              <w:br w:type="page"/>
            </w:r>
            <w:r>
              <w:rPr>
                <w:lang w:val="fr-BE"/>
              </w:rPr>
              <w:br w:type="page"/>
            </w:r>
            <w:r>
              <w:rPr>
                <w:lang w:val="fr-BE"/>
              </w:rPr>
              <w:br w:type="page"/>
            </w:r>
            <w:r w:rsidRPr="002124FC">
              <w:rPr>
                <w:noProof/>
                <w:sz w:val="20"/>
                <w:szCs w:val="20"/>
                <w:lang w:val="fr-BE"/>
              </w:rPr>
              <w:t>Oś priorytetowa</w:t>
            </w:r>
          </w:p>
        </w:tc>
        <w:tc>
          <w:tcPr>
            <w:tcW w:w="0" w:type="auto"/>
            <w:shd w:val="clear" w:color="auto" w:fill="auto"/>
          </w:tcPr>
          <w:p w14:paraId="1E568413" w14:textId="77777777" w:rsidR="008C5CFA" w:rsidRPr="002124FC" w:rsidRDefault="00E82A60" w:rsidP="00300A01">
            <w:pPr>
              <w:spacing w:before="0" w:after="0"/>
              <w:rPr>
                <w:sz w:val="20"/>
                <w:szCs w:val="20"/>
                <w:lang w:val="fr-BE"/>
              </w:rPr>
            </w:pPr>
            <w:r>
              <w:rPr>
                <w:noProof/>
                <w:sz w:val="20"/>
                <w:szCs w:val="20"/>
                <w:lang w:val="fr-BE"/>
              </w:rPr>
              <w:t>6</w:t>
            </w:r>
            <w:r w:rsidRPr="002124FC">
              <w:rPr>
                <w:sz w:val="20"/>
                <w:szCs w:val="20"/>
                <w:lang w:val="fr-BE"/>
              </w:rPr>
              <w:t xml:space="preserve"> - </w:t>
            </w:r>
            <w:r>
              <w:rPr>
                <w:noProof/>
                <w:sz w:val="20"/>
                <w:szCs w:val="20"/>
                <w:lang w:val="fr-BE"/>
              </w:rPr>
              <w:t>Rozwój miast</w:t>
            </w:r>
          </w:p>
        </w:tc>
      </w:tr>
      <w:tr w:rsidR="006B2EC1" w14:paraId="2149F1A1" w14:textId="77777777" w:rsidTr="0047688D">
        <w:tc>
          <w:tcPr>
            <w:tcW w:w="0" w:type="auto"/>
            <w:shd w:val="clear" w:color="auto" w:fill="auto"/>
          </w:tcPr>
          <w:p w14:paraId="6D7A68EE" w14:textId="77777777" w:rsidR="008C5CFA" w:rsidRPr="002124FC" w:rsidRDefault="00E82A60"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14:paraId="0C1874EA" w14:textId="77777777" w:rsidR="008C5CFA" w:rsidRPr="002124FC" w:rsidRDefault="00E82A60" w:rsidP="00300A01">
            <w:pPr>
              <w:spacing w:before="0" w:after="0"/>
              <w:rPr>
                <w:sz w:val="20"/>
                <w:szCs w:val="20"/>
                <w:lang w:val="fr-BE"/>
              </w:rPr>
            </w:pPr>
            <w:r w:rsidRPr="002124FC">
              <w:rPr>
                <w:noProof/>
                <w:sz w:val="20"/>
                <w:szCs w:val="20"/>
                <w:lang w:val="fr-BE"/>
              </w:rPr>
              <w:t>7b</w:t>
            </w:r>
            <w:r w:rsidRPr="002124FC">
              <w:rPr>
                <w:sz w:val="20"/>
                <w:szCs w:val="20"/>
                <w:lang w:val="fr-BE"/>
              </w:rPr>
              <w:t xml:space="preserve"> - </w:t>
            </w:r>
            <w:r>
              <w:rPr>
                <w:noProof/>
                <w:sz w:val="20"/>
                <w:szCs w:val="20"/>
                <w:lang w:val="fr-BE"/>
              </w:rPr>
              <w:t>Zwiększanie mobilności regionalnej poprzez łączenie węzłów drugorzędnych i trzeciorzędnych z infrastrukturą TEN-T, w tym z węzłami multimodalnymi</w:t>
            </w:r>
          </w:p>
        </w:tc>
      </w:tr>
      <w:tr w:rsidR="006B2EC1" w14:paraId="3AD1DEC3" w14:textId="77777777" w:rsidTr="0047688D">
        <w:tc>
          <w:tcPr>
            <w:tcW w:w="0" w:type="auto"/>
            <w:shd w:val="clear" w:color="auto" w:fill="auto"/>
          </w:tcPr>
          <w:p w14:paraId="2CC75EF1" w14:textId="77777777" w:rsidR="008C5CFA" w:rsidRPr="002124FC" w:rsidRDefault="00E82A60" w:rsidP="00300A01">
            <w:pPr>
              <w:spacing w:before="0" w:after="0"/>
              <w:ind w:left="113" w:hanging="113"/>
              <w:rPr>
                <w:sz w:val="20"/>
                <w:szCs w:val="20"/>
                <w:lang w:val="fr-BE"/>
              </w:rPr>
            </w:pPr>
            <w:r>
              <w:rPr>
                <w:noProof/>
                <w:sz w:val="20"/>
                <w:szCs w:val="20"/>
                <w:lang w:val="fr-BE"/>
              </w:rPr>
              <w:t>Cel szczegółowy</w:t>
            </w:r>
          </w:p>
        </w:tc>
        <w:tc>
          <w:tcPr>
            <w:tcW w:w="0" w:type="auto"/>
            <w:shd w:val="clear" w:color="auto" w:fill="auto"/>
          </w:tcPr>
          <w:p w14:paraId="779218E4" w14:textId="77777777" w:rsidR="008C5CFA" w:rsidRPr="002124FC" w:rsidRDefault="00E82A60" w:rsidP="00300A01">
            <w:pPr>
              <w:spacing w:before="0" w:after="0"/>
              <w:rPr>
                <w:sz w:val="20"/>
                <w:szCs w:val="20"/>
                <w:lang w:val="fr-BE"/>
              </w:rPr>
            </w:pPr>
            <w:r>
              <w:rPr>
                <w:noProof/>
                <w:sz w:val="20"/>
                <w:szCs w:val="20"/>
                <w:lang w:val="fr-BE"/>
              </w:rPr>
              <w:t>1</w:t>
            </w:r>
            <w:r>
              <w:rPr>
                <w:sz w:val="20"/>
                <w:szCs w:val="20"/>
                <w:lang w:val="fr-BE"/>
              </w:rPr>
              <w:t xml:space="preserve"> - </w:t>
            </w:r>
            <w:r>
              <w:rPr>
                <w:noProof/>
                <w:sz w:val="20"/>
                <w:szCs w:val="20"/>
                <w:lang w:val="fr-BE"/>
              </w:rPr>
              <w:t>Zwiększone bezpieczeństwo uczestników ruchu drogowego na obszarze KOF.</w:t>
            </w:r>
          </w:p>
        </w:tc>
      </w:tr>
    </w:tbl>
    <w:p w14:paraId="205BA31A" w14:textId="77777777" w:rsidR="008C5CFA" w:rsidRDefault="008C5CFA" w:rsidP="00300A01">
      <w:pPr>
        <w:spacing w:before="0" w:after="0"/>
        <w:rPr>
          <w:lang w:val="fr-BE"/>
        </w:rPr>
      </w:pPr>
    </w:p>
    <w:p w14:paraId="768CE220" w14:textId="77777777" w:rsidR="008C5CFA" w:rsidRDefault="00E82A60" w:rsidP="00300A01">
      <w:pPr>
        <w:spacing w:before="0" w:after="0"/>
        <w:rPr>
          <w:lang w:val="fr-BE"/>
        </w:rPr>
      </w:pPr>
      <w:r>
        <w:rPr>
          <w:lang w:val="fr-BE"/>
        </w:rPr>
        <w:t xml:space="preserve">Tabela 1: Wskaźniki rezultatu dla EFRR i Funduszu Spójności (według osi priorytetowej i celu szczegółowego); ma zastosowanie także do osi priorytetowej </w:t>
      </w:r>
      <w:r>
        <w:t>"</w:t>
      </w:r>
      <w:r>
        <w:rPr>
          <w:lang w:val="fr-BE"/>
        </w:rPr>
        <w:t>Pomoc techniczna</w:t>
      </w:r>
      <w:r>
        <w:t>"</w:t>
      </w:r>
    </w:p>
    <w:p w14:paraId="15CBE2FC"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5279"/>
        <w:gridCol w:w="1225"/>
        <w:gridCol w:w="1333"/>
        <w:gridCol w:w="1231"/>
        <w:gridCol w:w="994"/>
        <w:gridCol w:w="1681"/>
        <w:gridCol w:w="1060"/>
        <w:gridCol w:w="1282"/>
        <w:gridCol w:w="643"/>
      </w:tblGrid>
      <w:tr w:rsidR="006B2EC1" w14:paraId="6876790D" w14:textId="77777777" w:rsidTr="0047688D">
        <w:tc>
          <w:tcPr>
            <w:tcW w:w="0" w:type="auto"/>
            <w:shd w:val="clear" w:color="auto" w:fill="auto"/>
          </w:tcPr>
          <w:p w14:paraId="49CF8CAD" w14:textId="77777777" w:rsidR="008C5CFA" w:rsidRPr="0024468B" w:rsidRDefault="00E82A60" w:rsidP="00300A01">
            <w:pPr>
              <w:spacing w:before="0" w:after="0"/>
              <w:rPr>
                <w:sz w:val="16"/>
                <w:szCs w:val="16"/>
                <w:lang w:val="fr-BE"/>
              </w:rPr>
            </w:pPr>
            <w:r w:rsidRPr="0024468B">
              <w:rPr>
                <w:noProof/>
                <w:sz w:val="16"/>
                <w:szCs w:val="16"/>
                <w:lang w:val="fr-BE"/>
              </w:rPr>
              <w:t>ID</w:t>
            </w:r>
          </w:p>
        </w:tc>
        <w:tc>
          <w:tcPr>
            <w:tcW w:w="0" w:type="auto"/>
            <w:shd w:val="clear" w:color="auto" w:fill="auto"/>
          </w:tcPr>
          <w:p w14:paraId="3A54AC5A" w14:textId="77777777" w:rsidR="008C5CFA" w:rsidRPr="0024468B" w:rsidRDefault="00E82A60" w:rsidP="00300A01">
            <w:pPr>
              <w:spacing w:before="0" w:after="0"/>
              <w:rPr>
                <w:sz w:val="16"/>
                <w:szCs w:val="16"/>
                <w:lang w:val="fr-BE"/>
              </w:rPr>
            </w:pPr>
            <w:r w:rsidRPr="0024468B">
              <w:rPr>
                <w:noProof/>
                <w:sz w:val="16"/>
                <w:szCs w:val="16"/>
                <w:lang w:val="fr-BE"/>
              </w:rPr>
              <w:t>Wskaźnik</w:t>
            </w:r>
          </w:p>
        </w:tc>
        <w:tc>
          <w:tcPr>
            <w:tcW w:w="0" w:type="auto"/>
            <w:shd w:val="clear" w:color="auto" w:fill="auto"/>
          </w:tcPr>
          <w:p w14:paraId="5D64DAED" w14:textId="77777777" w:rsidR="008C5CFA" w:rsidRPr="0024468B" w:rsidRDefault="00E82A60" w:rsidP="00300A01">
            <w:pPr>
              <w:spacing w:before="0" w:after="0"/>
              <w:rPr>
                <w:sz w:val="16"/>
                <w:szCs w:val="16"/>
                <w:lang w:val="fr-BE"/>
              </w:rPr>
            </w:pPr>
            <w:r w:rsidRPr="0024468B">
              <w:rPr>
                <w:noProof/>
                <w:sz w:val="16"/>
                <w:szCs w:val="16"/>
                <w:lang w:val="fr-BE"/>
              </w:rPr>
              <w:t>Jednostka miary</w:t>
            </w:r>
          </w:p>
        </w:tc>
        <w:tc>
          <w:tcPr>
            <w:tcW w:w="0" w:type="auto"/>
            <w:shd w:val="clear" w:color="auto" w:fill="auto"/>
          </w:tcPr>
          <w:p w14:paraId="012F94F6" w14:textId="77777777" w:rsidR="008C5CFA" w:rsidRPr="0024468B" w:rsidRDefault="00E82A60" w:rsidP="00300A01">
            <w:pPr>
              <w:spacing w:before="0" w:after="0"/>
              <w:rPr>
                <w:sz w:val="16"/>
                <w:szCs w:val="16"/>
                <w:lang w:val="fr-BE"/>
              </w:rPr>
            </w:pPr>
            <w:r w:rsidRPr="0024468B">
              <w:rPr>
                <w:noProof/>
                <w:sz w:val="16"/>
                <w:szCs w:val="16"/>
                <w:lang w:val="fr-BE"/>
              </w:rPr>
              <w:t>Kategoria regionu</w:t>
            </w:r>
          </w:p>
        </w:tc>
        <w:tc>
          <w:tcPr>
            <w:tcW w:w="0" w:type="auto"/>
            <w:shd w:val="clear" w:color="auto" w:fill="auto"/>
          </w:tcPr>
          <w:p w14:paraId="19725332" w14:textId="77777777" w:rsidR="008C5CFA" w:rsidRPr="0024468B" w:rsidRDefault="00E82A60" w:rsidP="00300A01">
            <w:pPr>
              <w:spacing w:before="0" w:after="0"/>
              <w:rPr>
                <w:sz w:val="16"/>
                <w:szCs w:val="16"/>
                <w:lang w:val="fr-BE"/>
              </w:rPr>
            </w:pPr>
            <w:r w:rsidRPr="0024468B">
              <w:rPr>
                <w:noProof/>
                <w:sz w:val="16"/>
                <w:szCs w:val="16"/>
                <w:lang w:val="fr-BE"/>
              </w:rPr>
              <w:t>Wartość bazowa</w:t>
            </w:r>
          </w:p>
        </w:tc>
        <w:tc>
          <w:tcPr>
            <w:tcW w:w="0" w:type="auto"/>
            <w:shd w:val="clear" w:color="auto" w:fill="auto"/>
          </w:tcPr>
          <w:p w14:paraId="51EE76FC" w14:textId="77777777" w:rsidR="008C5CFA" w:rsidRPr="0024468B" w:rsidRDefault="00E82A60" w:rsidP="00300A01">
            <w:pPr>
              <w:spacing w:before="0" w:after="0"/>
              <w:rPr>
                <w:sz w:val="16"/>
                <w:szCs w:val="16"/>
                <w:lang w:val="fr-BE"/>
              </w:rPr>
            </w:pPr>
            <w:r w:rsidRPr="0024468B">
              <w:rPr>
                <w:noProof/>
                <w:sz w:val="16"/>
                <w:szCs w:val="16"/>
                <w:lang w:val="fr-BE"/>
              </w:rPr>
              <w:t>Rok bazowy</w:t>
            </w:r>
          </w:p>
        </w:tc>
        <w:tc>
          <w:tcPr>
            <w:tcW w:w="0" w:type="auto"/>
            <w:shd w:val="clear" w:color="auto" w:fill="auto"/>
          </w:tcPr>
          <w:p w14:paraId="44579460" w14:textId="77777777" w:rsidR="008C5CFA" w:rsidRPr="0024468B" w:rsidRDefault="00E82A60" w:rsidP="00300A01">
            <w:pPr>
              <w:spacing w:before="0" w:after="0"/>
              <w:rPr>
                <w:sz w:val="16"/>
                <w:szCs w:val="16"/>
                <w:lang w:val="fr-BE"/>
              </w:rPr>
            </w:pPr>
            <w:r w:rsidRPr="0024468B">
              <w:rPr>
                <w:noProof/>
                <w:sz w:val="16"/>
                <w:szCs w:val="16"/>
                <w:lang w:val="fr-BE"/>
              </w:rPr>
              <w:t>Wartość docelowa 2023</w:t>
            </w:r>
          </w:p>
        </w:tc>
        <w:tc>
          <w:tcPr>
            <w:tcW w:w="0" w:type="auto"/>
            <w:shd w:val="clear" w:color="auto" w:fill="auto"/>
          </w:tcPr>
          <w:p w14:paraId="6EE3FB8B" w14:textId="77777777" w:rsidR="008C5CFA" w:rsidRPr="0024468B" w:rsidRDefault="00E82A60" w:rsidP="00300A01">
            <w:pPr>
              <w:spacing w:before="0" w:after="0"/>
              <w:jc w:val="center"/>
              <w:rPr>
                <w:sz w:val="16"/>
                <w:szCs w:val="16"/>
                <w:lang w:val="fr-BE"/>
              </w:rPr>
            </w:pPr>
            <w:r>
              <w:rPr>
                <w:sz w:val="16"/>
                <w:szCs w:val="16"/>
                <w:lang w:val="fr-BE"/>
              </w:rPr>
              <w:t xml:space="preserve">2019 </w:t>
            </w:r>
            <w:r>
              <w:rPr>
                <w:noProof/>
                <w:sz w:val="16"/>
                <w:szCs w:val="16"/>
                <w:lang w:val="fr-BE"/>
              </w:rPr>
              <w:t>Ogółem</w:t>
            </w:r>
          </w:p>
        </w:tc>
        <w:tc>
          <w:tcPr>
            <w:tcW w:w="0" w:type="auto"/>
            <w:shd w:val="clear" w:color="auto" w:fill="auto"/>
          </w:tcPr>
          <w:p w14:paraId="3B35E714" w14:textId="77777777" w:rsidR="008C5CFA" w:rsidRPr="0024468B" w:rsidRDefault="00E82A60" w:rsidP="00300A01">
            <w:pPr>
              <w:spacing w:before="0" w:after="0"/>
              <w:jc w:val="center"/>
              <w:rPr>
                <w:sz w:val="16"/>
                <w:szCs w:val="16"/>
                <w:lang w:val="fr-BE"/>
              </w:rPr>
            </w:pPr>
            <w:r>
              <w:rPr>
                <w:sz w:val="16"/>
                <w:szCs w:val="16"/>
                <w:lang w:val="fr-BE"/>
              </w:rPr>
              <w:t xml:space="preserve">2019 </w:t>
            </w:r>
            <w:r w:rsidRPr="0024468B">
              <w:rPr>
                <w:noProof/>
                <w:sz w:val="16"/>
                <w:szCs w:val="16"/>
                <w:lang w:val="fr-BE"/>
              </w:rPr>
              <w:t>Jakościowe</w:t>
            </w:r>
          </w:p>
        </w:tc>
        <w:tc>
          <w:tcPr>
            <w:tcW w:w="0" w:type="auto"/>
            <w:shd w:val="clear" w:color="auto" w:fill="auto"/>
          </w:tcPr>
          <w:p w14:paraId="1DEEAD2E" w14:textId="77777777" w:rsidR="008C5CFA" w:rsidRPr="0024468B" w:rsidRDefault="00E82A60" w:rsidP="00300A01">
            <w:pPr>
              <w:spacing w:before="0" w:after="0"/>
              <w:jc w:val="center"/>
              <w:rPr>
                <w:sz w:val="16"/>
                <w:szCs w:val="16"/>
                <w:lang w:val="fr-BE"/>
              </w:rPr>
            </w:pPr>
            <w:r w:rsidRPr="0024468B">
              <w:rPr>
                <w:noProof/>
                <w:sz w:val="16"/>
                <w:szCs w:val="16"/>
                <w:lang w:val="fr-BE"/>
              </w:rPr>
              <w:t>Uwagi</w:t>
            </w:r>
          </w:p>
        </w:tc>
      </w:tr>
      <w:tr w:rsidR="006B2EC1" w14:paraId="662D5999" w14:textId="77777777" w:rsidTr="0047688D">
        <w:tc>
          <w:tcPr>
            <w:tcW w:w="0" w:type="auto"/>
            <w:shd w:val="clear" w:color="auto" w:fill="auto"/>
          </w:tcPr>
          <w:p w14:paraId="240EE288" w14:textId="77777777" w:rsidR="008C5CFA" w:rsidRPr="0024468B" w:rsidRDefault="00E82A60" w:rsidP="00300A01">
            <w:pPr>
              <w:spacing w:before="0" w:after="0"/>
              <w:rPr>
                <w:sz w:val="16"/>
                <w:szCs w:val="16"/>
                <w:lang w:val="fr-BE"/>
              </w:rPr>
            </w:pPr>
            <w:r w:rsidRPr="0024468B">
              <w:rPr>
                <w:noProof/>
                <w:sz w:val="16"/>
                <w:szCs w:val="16"/>
                <w:lang w:val="fr-BE"/>
              </w:rPr>
              <w:t>053</w:t>
            </w:r>
          </w:p>
        </w:tc>
        <w:tc>
          <w:tcPr>
            <w:tcW w:w="0" w:type="auto"/>
            <w:shd w:val="clear" w:color="auto" w:fill="auto"/>
          </w:tcPr>
          <w:p w14:paraId="6A154A14" w14:textId="77777777" w:rsidR="008C5CFA" w:rsidRPr="0024468B" w:rsidRDefault="00E82A60" w:rsidP="00300A01">
            <w:pPr>
              <w:spacing w:before="0" w:after="0"/>
              <w:rPr>
                <w:sz w:val="16"/>
                <w:szCs w:val="16"/>
                <w:lang w:val="fr-BE"/>
              </w:rPr>
            </w:pPr>
            <w:r w:rsidRPr="0024468B">
              <w:rPr>
                <w:noProof/>
                <w:sz w:val="16"/>
                <w:szCs w:val="16"/>
                <w:lang w:val="fr-BE"/>
              </w:rPr>
              <w:t>Liczba ofiar śmiertelnych w wypadkach drogowych odnotowanych na obszarze KOF</w:t>
            </w:r>
          </w:p>
        </w:tc>
        <w:tc>
          <w:tcPr>
            <w:tcW w:w="0" w:type="auto"/>
            <w:shd w:val="clear" w:color="auto" w:fill="auto"/>
          </w:tcPr>
          <w:p w14:paraId="4DC7D6D4" w14:textId="77777777" w:rsidR="008C5CFA" w:rsidRPr="0024468B" w:rsidRDefault="00E82A60" w:rsidP="00300A01">
            <w:pPr>
              <w:spacing w:before="0" w:after="0"/>
              <w:rPr>
                <w:sz w:val="16"/>
                <w:szCs w:val="16"/>
                <w:lang w:val="fr-BE"/>
              </w:rPr>
            </w:pPr>
            <w:r w:rsidRPr="0024468B">
              <w:rPr>
                <w:noProof/>
                <w:sz w:val="16"/>
                <w:szCs w:val="16"/>
                <w:lang w:val="fr-BE"/>
              </w:rPr>
              <w:t>osoba</w:t>
            </w:r>
          </w:p>
        </w:tc>
        <w:tc>
          <w:tcPr>
            <w:tcW w:w="0" w:type="auto"/>
            <w:shd w:val="clear" w:color="auto" w:fill="auto"/>
          </w:tcPr>
          <w:p w14:paraId="06895CA2" w14:textId="77777777" w:rsidR="008C5CFA" w:rsidRPr="0024468B" w:rsidRDefault="00E82A60"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14:paraId="5EB36F9E" w14:textId="77777777" w:rsidR="008C5CFA" w:rsidRPr="00C3185A" w:rsidRDefault="00E82A60" w:rsidP="00300A01">
            <w:pPr>
              <w:spacing w:before="0" w:after="0"/>
              <w:jc w:val="right"/>
              <w:rPr>
                <w:sz w:val="16"/>
                <w:szCs w:val="16"/>
                <w:lang w:val="fr-BE"/>
              </w:rPr>
            </w:pPr>
            <w:r w:rsidRPr="00C3185A">
              <w:rPr>
                <w:noProof/>
                <w:sz w:val="16"/>
                <w:szCs w:val="16"/>
                <w:lang w:val="fr-BE"/>
              </w:rPr>
              <w:t>35,00</w:t>
            </w:r>
          </w:p>
        </w:tc>
        <w:tc>
          <w:tcPr>
            <w:tcW w:w="0" w:type="auto"/>
            <w:shd w:val="clear" w:color="auto" w:fill="auto"/>
          </w:tcPr>
          <w:p w14:paraId="24CDE627" w14:textId="77777777" w:rsidR="008C5CFA" w:rsidRPr="0024468B" w:rsidRDefault="00E82A60" w:rsidP="00300A01">
            <w:pPr>
              <w:spacing w:before="0" w:after="0"/>
              <w:rPr>
                <w:sz w:val="16"/>
                <w:szCs w:val="16"/>
                <w:lang w:val="fr-BE"/>
              </w:rPr>
            </w:pPr>
            <w:r w:rsidRPr="0024468B">
              <w:rPr>
                <w:noProof/>
                <w:sz w:val="16"/>
                <w:szCs w:val="16"/>
                <w:lang w:val="fr-BE"/>
              </w:rPr>
              <w:t>2013</w:t>
            </w:r>
          </w:p>
        </w:tc>
        <w:tc>
          <w:tcPr>
            <w:tcW w:w="0" w:type="auto"/>
            <w:shd w:val="clear" w:color="auto" w:fill="auto"/>
          </w:tcPr>
          <w:p w14:paraId="0A033346" w14:textId="77777777" w:rsidR="008C5CFA" w:rsidRPr="0024468B" w:rsidRDefault="00E82A60" w:rsidP="00300A01">
            <w:pPr>
              <w:spacing w:before="0" w:after="0"/>
              <w:jc w:val="right"/>
              <w:rPr>
                <w:sz w:val="16"/>
                <w:szCs w:val="16"/>
                <w:lang w:val="fr-BE"/>
              </w:rPr>
            </w:pPr>
            <w:r w:rsidRPr="0024468B">
              <w:rPr>
                <w:noProof/>
                <w:sz w:val="16"/>
                <w:szCs w:val="16"/>
                <w:lang w:val="fr-BE"/>
              </w:rPr>
              <w:t>33,00</w:t>
            </w:r>
          </w:p>
        </w:tc>
        <w:tc>
          <w:tcPr>
            <w:tcW w:w="0" w:type="auto"/>
            <w:shd w:val="clear" w:color="auto" w:fill="auto"/>
          </w:tcPr>
          <w:p w14:paraId="37D2B462" w14:textId="77777777" w:rsidR="008C5CFA" w:rsidRPr="0024468B" w:rsidRDefault="00E82A60" w:rsidP="00300A01">
            <w:pPr>
              <w:spacing w:before="0" w:after="0"/>
              <w:jc w:val="right"/>
              <w:rPr>
                <w:sz w:val="16"/>
                <w:szCs w:val="16"/>
                <w:lang w:val="fr-BE"/>
              </w:rPr>
            </w:pPr>
            <w:r w:rsidRPr="0024468B">
              <w:rPr>
                <w:noProof/>
                <w:sz w:val="16"/>
                <w:szCs w:val="16"/>
                <w:lang w:val="fr-BE"/>
              </w:rPr>
              <w:t>20,00</w:t>
            </w:r>
          </w:p>
        </w:tc>
        <w:tc>
          <w:tcPr>
            <w:tcW w:w="0" w:type="auto"/>
            <w:shd w:val="clear" w:color="auto" w:fill="auto"/>
          </w:tcPr>
          <w:p w14:paraId="295EF708" w14:textId="77777777" w:rsidR="008C5CFA" w:rsidRPr="0024468B" w:rsidRDefault="008C5CFA" w:rsidP="00300A01">
            <w:pPr>
              <w:spacing w:before="0" w:after="0"/>
              <w:jc w:val="right"/>
              <w:rPr>
                <w:sz w:val="16"/>
                <w:szCs w:val="16"/>
                <w:lang w:val="fr-BE"/>
              </w:rPr>
            </w:pPr>
          </w:p>
        </w:tc>
        <w:tc>
          <w:tcPr>
            <w:tcW w:w="0" w:type="auto"/>
            <w:shd w:val="clear" w:color="auto" w:fill="auto"/>
          </w:tcPr>
          <w:p w14:paraId="3B37C92B" w14:textId="77777777" w:rsidR="008C5CFA" w:rsidRPr="0024468B" w:rsidRDefault="008C5CFA" w:rsidP="00300A01">
            <w:pPr>
              <w:spacing w:before="0" w:after="0"/>
              <w:rPr>
                <w:sz w:val="16"/>
                <w:szCs w:val="16"/>
                <w:lang w:val="fr-BE"/>
              </w:rPr>
            </w:pPr>
          </w:p>
        </w:tc>
      </w:tr>
    </w:tbl>
    <w:p w14:paraId="74D340C2"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
        <w:gridCol w:w="5327"/>
        <w:gridCol w:w="1064"/>
        <w:gridCol w:w="1286"/>
        <w:gridCol w:w="1064"/>
        <w:gridCol w:w="1286"/>
        <w:gridCol w:w="1064"/>
        <w:gridCol w:w="1286"/>
        <w:gridCol w:w="1064"/>
        <w:gridCol w:w="1286"/>
      </w:tblGrid>
      <w:tr w:rsidR="006B2EC1" w14:paraId="40AC25AE" w14:textId="77777777" w:rsidTr="0047688D">
        <w:tc>
          <w:tcPr>
            <w:tcW w:w="0" w:type="auto"/>
            <w:shd w:val="clear" w:color="auto" w:fill="auto"/>
          </w:tcPr>
          <w:p w14:paraId="67684E2E" w14:textId="77777777" w:rsidR="008C5CFA" w:rsidRPr="0024468B" w:rsidRDefault="00E82A60" w:rsidP="00300A01">
            <w:pPr>
              <w:spacing w:before="0" w:after="0"/>
              <w:rPr>
                <w:sz w:val="16"/>
                <w:szCs w:val="16"/>
                <w:lang w:val="fr-BE"/>
              </w:rPr>
            </w:pPr>
            <w:r w:rsidRPr="0024468B">
              <w:rPr>
                <w:noProof/>
                <w:sz w:val="16"/>
                <w:szCs w:val="16"/>
                <w:lang w:val="fr-BE"/>
              </w:rPr>
              <w:t>ID</w:t>
            </w:r>
          </w:p>
        </w:tc>
        <w:tc>
          <w:tcPr>
            <w:tcW w:w="0" w:type="auto"/>
            <w:shd w:val="clear" w:color="auto" w:fill="auto"/>
          </w:tcPr>
          <w:p w14:paraId="278C36B8" w14:textId="77777777" w:rsidR="008C5CFA" w:rsidRPr="0024468B" w:rsidRDefault="00E82A60" w:rsidP="00300A01">
            <w:pPr>
              <w:spacing w:before="0" w:after="0"/>
              <w:rPr>
                <w:sz w:val="16"/>
                <w:szCs w:val="16"/>
                <w:lang w:val="fr-BE"/>
              </w:rPr>
            </w:pPr>
            <w:r w:rsidRPr="0024468B">
              <w:rPr>
                <w:noProof/>
                <w:sz w:val="16"/>
                <w:szCs w:val="16"/>
                <w:lang w:val="fr-BE"/>
              </w:rPr>
              <w:t>Wskaźnik</w:t>
            </w:r>
          </w:p>
        </w:tc>
        <w:tc>
          <w:tcPr>
            <w:tcW w:w="0" w:type="auto"/>
          </w:tcPr>
          <w:p w14:paraId="491BFBEC" w14:textId="77777777" w:rsidR="008C5CFA" w:rsidRPr="0024468B" w:rsidRDefault="00E82A60" w:rsidP="00300A01">
            <w:pPr>
              <w:spacing w:before="0" w:after="0"/>
              <w:jc w:val="center"/>
              <w:rPr>
                <w:sz w:val="16"/>
                <w:szCs w:val="16"/>
                <w:lang w:val="fr-BE"/>
              </w:rPr>
            </w:pPr>
            <w:r>
              <w:rPr>
                <w:sz w:val="16"/>
                <w:szCs w:val="16"/>
                <w:lang w:val="fr-BE"/>
              </w:rPr>
              <w:t xml:space="preserve">2018 </w:t>
            </w:r>
            <w:r>
              <w:rPr>
                <w:noProof/>
                <w:sz w:val="16"/>
                <w:szCs w:val="16"/>
                <w:lang w:val="fr-BE"/>
              </w:rPr>
              <w:t>Ogółem</w:t>
            </w:r>
          </w:p>
        </w:tc>
        <w:tc>
          <w:tcPr>
            <w:tcW w:w="0" w:type="auto"/>
          </w:tcPr>
          <w:p w14:paraId="519C66B9" w14:textId="77777777" w:rsidR="008C5CFA" w:rsidRPr="0024468B" w:rsidRDefault="00E82A60" w:rsidP="00300A01">
            <w:pPr>
              <w:spacing w:before="0" w:after="0"/>
              <w:jc w:val="center"/>
              <w:rPr>
                <w:sz w:val="16"/>
                <w:szCs w:val="16"/>
                <w:lang w:val="fr-BE"/>
              </w:rPr>
            </w:pPr>
            <w:r>
              <w:rPr>
                <w:sz w:val="16"/>
                <w:szCs w:val="16"/>
                <w:lang w:val="fr-BE"/>
              </w:rPr>
              <w:t xml:space="preserve">2018 </w:t>
            </w:r>
            <w:r w:rsidRPr="0024468B">
              <w:rPr>
                <w:noProof/>
                <w:sz w:val="16"/>
                <w:szCs w:val="16"/>
                <w:lang w:val="fr-BE"/>
              </w:rPr>
              <w:t>Jakościowe</w:t>
            </w:r>
          </w:p>
        </w:tc>
        <w:tc>
          <w:tcPr>
            <w:tcW w:w="0" w:type="auto"/>
          </w:tcPr>
          <w:p w14:paraId="781DA6D0" w14:textId="77777777" w:rsidR="008C5CFA" w:rsidRPr="0024468B" w:rsidRDefault="00E82A60" w:rsidP="00300A01">
            <w:pPr>
              <w:spacing w:before="0" w:after="0"/>
              <w:jc w:val="center"/>
              <w:rPr>
                <w:sz w:val="16"/>
                <w:szCs w:val="16"/>
                <w:lang w:val="fr-BE"/>
              </w:rPr>
            </w:pPr>
            <w:r>
              <w:rPr>
                <w:sz w:val="16"/>
                <w:szCs w:val="16"/>
                <w:lang w:val="fr-BE"/>
              </w:rPr>
              <w:t xml:space="preserve">2017 </w:t>
            </w:r>
            <w:r>
              <w:rPr>
                <w:noProof/>
                <w:sz w:val="16"/>
                <w:szCs w:val="16"/>
                <w:lang w:val="fr-BE"/>
              </w:rPr>
              <w:t>Ogółem</w:t>
            </w:r>
          </w:p>
        </w:tc>
        <w:tc>
          <w:tcPr>
            <w:tcW w:w="0" w:type="auto"/>
          </w:tcPr>
          <w:p w14:paraId="24957113" w14:textId="77777777" w:rsidR="008C5CFA" w:rsidRPr="0024468B" w:rsidRDefault="00E82A60" w:rsidP="00300A01">
            <w:pPr>
              <w:spacing w:before="0" w:after="0"/>
              <w:jc w:val="center"/>
              <w:rPr>
                <w:sz w:val="16"/>
                <w:szCs w:val="16"/>
                <w:lang w:val="fr-BE"/>
              </w:rPr>
            </w:pPr>
            <w:r>
              <w:rPr>
                <w:sz w:val="16"/>
                <w:szCs w:val="16"/>
                <w:lang w:val="fr-BE"/>
              </w:rPr>
              <w:t xml:space="preserve">2017 </w:t>
            </w:r>
            <w:r w:rsidRPr="0024468B">
              <w:rPr>
                <w:noProof/>
                <w:sz w:val="16"/>
                <w:szCs w:val="16"/>
                <w:lang w:val="fr-BE"/>
              </w:rPr>
              <w:t>Jakościowe</w:t>
            </w:r>
          </w:p>
        </w:tc>
        <w:tc>
          <w:tcPr>
            <w:tcW w:w="0" w:type="auto"/>
          </w:tcPr>
          <w:p w14:paraId="141FB4F4" w14:textId="77777777" w:rsidR="008C5CFA" w:rsidRPr="0024468B" w:rsidRDefault="00E82A60" w:rsidP="00300A01">
            <w:pPr>
              <w:spacing w:before="0" w:after="0"/>
              <w:jc w:val="center"/>
              <w:rPr>
                <w:sz w:val="16"/>
                <w:szCs w:val="16"/>
                <w:lang w:val="fr-BE"/>
              </w:rPr>
            </w:pPr>
            <w:r>
              <w:rPr>
                <w:sz w:val="16"/>
                <w:szCs w:val="16"/>
                <w:lang w:val="fr-BE"/>
              </w:rPr>
              <w:t xml:space="preserve">2016 </w:t>
            </w:r>
            <w:r>
              <w:rPr>
                <w:noProof/>
                <w:sz w:val="16"/>
                <w:szCs w:val="16"/>
                <w:lang w:val="fr-BE"/>
              </w:rPr>
              <w:t>Ogółem</w:t>
            </w:r>
          </w:p>
        </w:tc>
        <w:tc>
          <w:tcPr>
            <w:tcW w:w="0" w:type="auto"/>
          </w:tcPr>
          <w:p w14:paraId="1F6DC052" w14:textId="77777777" w:rsidR="008C5CFA" w:rsidRPr="0024468B" w:rsidRDefault="00E82A60" w:rsidP="00300A01">
            <w:pPr>
              <w:spacing w:before="0" w:after="0"/>
              <w:jc w:val="center"/>
              <w:rPr>
                <w:sz w:val="16"/>
                <w:szCs w:val="16"/>
                <w:lang w:val="fr-BE"/>
              </w:rPr>
            </w:pPr>
            <w:r>
              <w:rPr>
                <w:sz w:val="16"/>
                <w:szCs w:val="16"/>
                <w:lang w:val="fr-BE"/>
              </w:rPr>
              <w:t xml:space="preserve">2016 </w:t>
            </w:r>
            <w:r w:rsidRPr="0024468B">
              <w:rPr>
                <w:noProof/>
                <w:sz w:val="16"/>
                <w:szCs w:val="16"/>
                <w:lang w:val="fr-BE"/>
              </w:rPr>
              <w:t>Jakościowe</w:t>
            </w:r>
          </w:p>
        </w:tc>
        <w:tc>
          <w:tcPr>
            <w:tcW w:w="0" w:type="auto"/>
          </w:tcPr>
          <w:p w14:paraId="5077CECC" w14:textId="77777777" w:rsidR="008C5CFA" w:rsidRPr="0024468B" w:rsidRDefault="00E82A60" w:rsidP="00300A01">
            <w:pPr>
              <w:spacing w:before="0" w:after="0"/>
              <w:jc w:val="center"/>
              <w:rPr>
                <w:sz w:val="16"/>
                <w:szCs w:val="16"/>
                <w:lang w:val="fr-BE"/>
              </w:rPr>
            </w:pPr>
            <w:r>
              <w:rPr>
                <w:sz w:val="16"/>
                <w:szCs w:val="16"/>
                <w:lang w:val="fr-BE"/>
              </w:rPr>
              <w:t xml:space="preserve">2015 </w:t>
            </w:r>
            <w:r>
              <w:rPr>
                <w:noProof/>
                <w:sz w:val="16"/>
                <w:szCs w:val="16"/>
                <w:lang w:val="fr-BE"/>
              </w:rPr>
              <w:t>Ogółem</w:t>
            </w:r>
          </w:p>
        </w:tc>
        <w:tc>
          <w:tcPr>
            <w:tcW w:w="0" w:type="auto"/>
          </w:tcPr>
          <w:p w14:paraId="1F454D1D" w14:textId="77777777" w:rsidR="008C5CFA" w:rsidRPr="0024468B" w:rsidRDefault="00E82A60" w:rsidP="00300A01">
            <w:pPr>
              <w:spacing w:before="0" w:after="0"/>
              <w:jc w:val="center"/>
              <w:rPr>
                <w:sz w:val="16"/>
                <w:szCs w:val="16"/>
                <w:lang w:val="fr-BE"/>
              </w:rPr>
            </w:pPr>
            <w:r>
              <w:rPr>
                <w:sz w:val="16"/>
                <w:szCs w:val="16"/>
                <w:lang w:val="fr-BE"/>
              </w:rPr>
              <w:t xml:space="preserve">2015 </w:t>
            </w:r>
            <w:r w:rsidRPr="0024468B">
              <w:rPr>
                <w:noProof/>
                <w:sz w:val="16"/>
                <w:szCs w:val="16"/>
                <w:lang w:val="fr-BE"/>
              </w:rPr>
              <w:t>Jakościowe</w:t>
            </w:r>
          </w:p>
        </w:tc>
      </w:tr>
      <w:tr w:rsidR="006B2EC1" w14:paraId="33D8141D" w14:textId="77777777" w:rsidTr="0047688D">
        <w:tc>
          <w:tcPr>
            <w:tcW w:w="0" w:type="auto"/>
            <w:shd w:val="clear" w:color="auto" w:fill="auto"/>
          </w:tcPr>
          <w:p w14:paraId="272E5D61" w14:textId="77777777" w:rsidR="008C5CFA" w:rsidRPr="0024468B" w:rsidRDefault="00E82A60" w:rsidP="00300A01">
            <w:pPr>
              <w:spacing w:before="0" w:after="0"/>
              <w:rPr>
                <w:sz w:val="16"/>
                <w:szCs w:val="16"/>
                <w:lang w:val="fr-BE"/>
              </w:rPr>
            </w:pPr>
            <w:r w:rsidRPr="0024468B">
              <w:rPr>
                <w:noProof/>
                <w:sz w:val="16"/>
                <w:szCs w:val="16"/>
                <w:lang w:val="fr-BE"/>
              </w:rPr>
              <w:t>053</w:t>
            </w:r>
          </w:p>
        </w:tc>
        <w:tc>
          <w:tcPr>
            <w:tcW w:w="0" w:type="auto"/>
            <w:shd w:val="clear" w:color="auto" w:fill="auto"/>
          </w:tcPr>
          <w:p w14:paraId="38C10B8F" w14:textId="77777777" w:rsidR="008C5CFA" w:rsidRPr="0024468B" w:rsidRDefault="00E82A60" w:rsidP="00300A01">
            <w:pPr>
              <w:spacing w:before="0" w:after="0"/>
              <w:rPr>
                <w:sz w:val="16"/>
                <w:szCs w:val="16"/>
                <w:lang w:val="fr-BE"/>
              </w:rPr>
            </w:pPr>
            <w:r w:rsidRPr="0024468B">
              <w:rPr>
                <w:noProof/>
                <w:sz w:val="16"/>
                <w:szCs w:val="16"/>
                <w:lang w:val="fr-BE"/>
              </w:rPr>
              <w:t>Liczba ofiar śmiertelnych w wypadkach drogowych odnotowanych na obszarze KOF</w:t>
            </w:r>
          </w:p>
        </w:tc>
        <w:tc>
          <w:tcPr>
            <w:tcW w:w="0" w:type="auto"/>
          </w:tcPr>
          <w:p w14:paraId="60E54510" w14:textId="77777777" w:rsidR="008C5CFA" w:rsidRPr="0024468B" w:rsidRDefault="00E82A60" w:rsidP="00300A01">
            <w:pPr>
              <w:spacing w:before="0" w:after="0"/>
              <w:jc w:val="right"/>
              <w:rPr>
                <w:sz w:val="16"/>
                <w:szCs w:val="16"/>
                <w:lang w:val="fr-BE"/>
              </w:rPr>
            </w:pPr>
            <w:r w:rsidRPr="0024468B">
              <w:rPr>
                <w:noProof/>
                <w:sz w:val="16"/>
                <w:szCs w:val="16"/>
                <w:lang w:val="fr-BE"/>
              </w:rPr>
              <w:t>25,00</w:t>
            </w:r>
          </w:p>
        </w:tc>
        <w:tc>
          <w:tcPr>
            <w:tcW w:w="0" w:type="auto"/>
          </w:tcPr>
          <w:p w14:paraId="56976807" w14:textId="77777777" w:rsidR="008C5CFA" w:rsidRPr="0024468B" w:rsidRDefault="008C5CFA" w:rsidP="00300A01">
            <w:pPr>
              <w:spacing w:before="0" w:after="0"/>
              <w:jc w:val="right"/>
              <w:rPr>
                <w:sz w:val="16"/>
                <w:szCs w:val="16"/>
                <w:lang w:val="fr-BE"/>
              </w:rPr>
            </w:pPr>
          </w:p>
        </w:tc>
        <w:tc>
          <w:tcPr>
            <w:tcW w:w="0" w:type="auto"/>
          </w:tcPr>
          <w:p w14:paraId="097EBFFE" w14:textId="77777777" w:rsidR="008C5CFA" w:rsidRPr="0024468B" w:rsidRDefault="00E82A60" w:rsidP="00300A01">
            <w:pPr>
              <w:spacing w:before="0" w:after="0"/>
              <w:jc w:val="right"/>
              <w:rPr>
                <w:sz w:val="16"/>
                <w:szCs w:val="16"/>
                <w:lang w:val="fr-BE"/>
              </w:rPr>
            </w:pPr>
            <w:r w:rsidRPr="0024468B">
              <w:rPr>
                <w:noProof/>
                <w:sz w:val="16"/>
                <w:szCs w:val="16"/>
                <w:lang w:val="fr-BE"/>
              </w:rPr>
              <w:t>31,00</w:t>
            </w:r>
          </w:p>
        </w:tc>
        <w:tc>
          <w:tcPr>
            <w:tcW w:w="0" w:type="auto"/>
          </w:tcPr>
          <w:p w14:paraId="5E9838E1" w14:textId="77777777" w:rsidR="008C5CFA" w:rsidRPr="0024468B" w:rsidRDefault="008C5CFA" w:rsidP="00300A01">
            <w:pPr>
              <w:spacing w:before="0" w:after="0"/>
              <w:jc w:val="right"/>
              <w:rPr>
                <w:sz w:val="16"/>
                <w:szCs w:val="16"/>
                <w:lang w:val="fr-BE"/>
              </w:rPr>
            </w:pPr>
          </w:p>
        </w:tc>
        <w:tc>
          <w:tcPr>
            <w:tcW w:w="0" w:type="auto"/>
          </w:tcPr>
          <w:p w14:paraId="10CB0621" w14:textId="77777777" w:rsidR="008C5CFA" w:rsidRPr="0024468B" w:rsidRDefault="00E82A60" w:rsidP="00300A01">
            <w:pPr>
              <w:spacing w:before="0" w:after="0"/>
              <w:jc w:val="right"/>
              <w:rPr>
                <w:sz w:val="16"/>
                <w:szCs w:val="16"/>
                <w:lang w:val="fr-BE"/>
              </w:rPr>
            </w:pPr>
            <w:r w:rsidRPr="0024468B">
              <w:rPr>
                <w:noProof/>
                <w:sz w:val="16"/>
                <w:szCs w:val="16"/>
                <w:lang w:val="fr-BE"/>
              </w:rPr>
              <w:t>18,00</w:t>
            </w:r>
          </w:p>
        </w:tc>
        <w:tc>
          <w:tcPr>
            <w:tcW w:w="0" w:type="auto"/>
          </w:tcPr>
          <w:p w14:paraId="57B6D32A" w14:textId="77777777" w:rsidR="008C5CFA" w:rsidRPr="0024468B" w:rsidRDefault="008C5CFA" w:rsidP="00300A01">
            <w:pPr>
              <w:spacing w:before="0" w:after="0"/>
              <w:jc w:val="right"/>
              <w:rPr>
                <w:sz w:val="16"/>
                <w:szCs w:val="16"/>
                <w:lang w:val="fr-BE"/>
              </w:rPr>
            </w:pPr>
          </w:p>
        </w:tc>
        <w:tc>
          <w:tcPr>
            <w:tcW w:w="0" w:type="auto"/>
          </w:tcPr>
          <w:p w14:paraId="1BCFCE6C" w14:textId="77777777" w:rsidR="008C5CFA" w:rsidRPr="0024468B" w:rsidRDefault="00E82A60" w:rsidP="00300A01">
            <w:pPr>
              <w:spacing w:before="0" w:after="0"/>
              <w:jc w:val="right"/>
              <w:rPr>
                <w:sz w:val="16"/>
                <w:szCs w:val="16"/>
                <w:lang w:val="fr-BE"/>
              </w:rPr>
            </w:pPr>
            <w:r w:rsidRPr="0024468B">
              <w:rPr>
                <w:noProof/>
                <w:sz w:val="16"/>
                <w:szCs w:val="16"/>
                <w:lang w:val="fr-BE"/>
              </w:rPr>
              <w:t>41,00</w:t>
            </w:r>
          </w:p>
        </w:tc>
        <w:tc>
          <w:tcPr>
            <w:tcW w:w="0" w:type="auto"/>
          </w:tcPr>
          <w:p w14:paraId="0E2EC8C0" w14:textId="77777777" w:rsidR="008C5CFA" w:rsidRPr="0024468B" w:rsidRDefault="008C5CFA" w:rsidP="00300A01">
            <w:pPr>
              <w:spacing w:before="0" w:after="0"/>
              <w:jc w:val="right"/>
              <w:rPr>
                <w:sz w:val="16"/>
                <w:szCs w:val="16"/>
                <w:lang w:val="fr-BE"/>
              </w:rPr>
            </w:pPr>
          </w:p>
        </w:tc>
      </w:tr>
    </w:tbl>
    <w:p w14:paraId="03887661"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10095"/>
        <w:gridCol w:w="1942"/>
        <w:gridCol w:w="2337"/>
      </w:tblGrid>
      <w:tr w:rsidR="006B2EC1" w14:paraId="2EE00BE2" w14:textId="77777777" w:rsidTr="0047688D">
        <w:tc>
          <w:tcPr>
            <w:tcW w:w="0" w:type="auto"/>
            <w:shd w:val="clear" w:color="auto" w:fill="auto"/>
          </w:tcPr>
          <w:p w14:paraId="2532128C" w14:textId="77777777" w:rsidR="008C5CFA" w:rsidRPr="0024468B" w:rsidRDefault="00E82A60" w:rsidP="00300A01">
            <w:pPr>
              <w:spacing w:before="0" w:after="0"/>
              <w:rPr>
                <w:sz w:val="16"/>
                <w:szCs w:val="16"/>
                <w:lang w:val="fr-BE"/>
              </w:rPr>
            </w:pPr>
            <w:r w:rsidRPr="0024468B">
              <w:rPr>
                <w:noProof/>
                <w:sz w:val="16"/>
                <w:szCs w:val="16"/>
                <w:lang w:val="fr-BE"/>
              </w:rPr>
              <w:t>ID</w:t>
            </w:r>
          </w:p>
        </w:tc>
        <w:tc>
          <w:tcPr>
            <w:tcW w:w="0" w:type="auto"/>
            <w:shd w:val="clear" w:color="auto" w:fill="auto"/>
          </w:tcPr>
          <w:p w14:paraId="0CFE5E41" w14:textId="77777777" w:rsidR="008C5CFA" w:rsidRPr="0024468B" w:rsidRDefault="00E82A60" w:rsidP="00300A01">
            <w:pPr>
              <w:spacing w:before="0" w:after="0"/>
              <w:rPr>
                <w:sz w:val="16"/>
                <w:szCs w:val="16"/>
                <w:lang w:val="fr-BE"/>
              </w:rPr>
            </w:pPr>
            <w:r w:rsidRPr="0024468B">
              <w:rPr>
                <w:noProof/>
                <w:sz w:val="16"/>
                <w:szCs w:val="16"/>
                <w:lang w:val="fr-BE"/>
              </w:rPr>
              <w:t>Wskaźnik</w:t>
            </w:r>
          </w:p>
        </w:tc>
        <w:tc>
          <w:tcPr>
            <w:tcW w:w="0" w:type="auto"/>
            <w:shd w:val="clear" w:color="auto" w:fill="auto"/>
          </w:tcPr>
          <w:p w14:paraId="15728B7A" w14:textId="77777777" w:rsidR="008C5CFA" w:rsidRPr="0024468B" w:rsidRDefault="00E82A60" w:rsidP="00300A01">
            <w:pPr>
              <w:spacing w:before="0" w:after="0"/>
              <w:jc w:val="center"/>
              <w:rPr>
                <w:sz w:val="16"/>
                <w:szCs w:val="16"/>
                <w:lang w:val="fr-BE"/>
              </w:rPr>
            </w:pPr>
            <w:r>
              <w:rPr>
                <w:sz w:val="16"/>
                <w:szCs w:val="16"/>
                <w:lang w:val="fr-BE"/>
              </w:rPr>
              <w:t xml:space="preserve">2014 </w:t>
            </w:r>
            <w:r>
              <w:rPr>
                <w:noProof/>
                <w:sz w:val="16"/>
                <w:szCs w:val="16"/>
                <w:lang w:val="fr-BE"/>
              </w:rPr>
              <w:t>Ogółem</w:t>
            </w:r>
          </w:p>
        </w:tc>
        <w:tc>
          <w:tcPr>
            <w:tcW w:w="0" w:type="auto"/>
            <w:shd w:val="clear" w:color="auto" w:fill="auto"/>
          </w:tcPr>
          <w:p w14:paraId="665D9312" w14:textId="77777777" w:rsidR="008C5CFA" w:rsidRPr="0024468B" w:rsidRDefault="00E82A60" w:rsidP="00300A01">
            <w:pPr>
              <w:spacing w:before="0" w:after="0"/>
              <w:jc w:val="center"/>
              <w:rPr>
                <w:sz w:val="16"/>
                <w:szCs w:val="16"/>
                <w:lang w:val="fr-BE"/>
              </w:rPr>
            </w:pPr>
            <w:r>
              <w:rPr>
                <w:sz w:val="16"/>
                <w:szCs w:val="16"/>
                <w:lang w:val="fr-BE"/>
              </w:rPr>
              <w:t xml:space="preserve">2014 </w:t>
            </w:r>
            <w:r w:rsidRPr="0024468B">
              <w:rPr>
                <w:noProof/>
                <w:sz w:val="16"/>
                <w:szCs w:val="16"/>
                <w:lang w:val="fr-BE"/>
              </w:rPr>
              <w:t>Jakościowe</w:t>
            </w:r>
          </w:p>
        </w:tc>
      </w:tr>
      <w:tr w:rsidR="006B2EC1" w14:paraId="40F8F836" w14:textId="77777777" w:rsidTr="0047688D">
        <w:tc>
          <w:tcPr>
            <w:tcW w:w="0" w:type="auto"/>
            <w:shd w:val="clear" w:color="auto" w:fill="auto"/>
          </w:tcPr>
          <w:p w14:paraId="6434979E" w14:textId="77777777" w:rsidR="008C5CFA" w:rsidRPr="0024468B" w:rsidRDefault="00E82A60" w:rsidP="00300A01">
            <w:pPr>
              <w:spacing w:before="0" w:after="0"/>
              <w:rPr>
                <w:sz w:val="16"/>
                <w:szCs w:val="16"/>
                <w:lang w:val="fr-BE"/>
              </w:rPr>
            </w:pPr>
            <w:r w:rsidRPr="0024468B">
              <w:rPr>
                <w:noProof/>
                <w:sz w:val="16"/>
                <w:szCs w:val="16"/>
                <w:lang w:val="fr-BE"/>
              </w:rPr>
              <w:t>053</w:t>
            </w:r>
          </w:p>
        </w:tc>
        <w:tc>
          <w:tcPr>
            <w:tcW w:w="0" w:type="auto"/>
            <w:shd w:val="clear" w:color="auto" w:fill="auto"/>
          </w:tcPr>
          <w:p w14:paraId="50A98348" w14:textId="77777777" w:rsidR="008C5CFA" w:rsidRPr="0024468B" w:rsidRDefault="00E82A60" w:rsidP="00300A01">
            <w:pPr>
              <w:spacing w:before="0" w:after="0"/>
              <w:rPr>
                <w:sz w:val="16"/>
                <w:szCs w:val="16"/>
                <w:lang w:val="fr-BE"/>
              </w:rPr>
            </w:pPr>
            <w:r w:rsidRPr="0024468B">
              <w:rPr>
                <w:noProof/>
                <w:sz w:val="16"/>
                <w:szCs w:val="16"/>
                <w:lang w:val="fr-BE"/>
              </w:rPr>
              <w:t>Liczba ofiar śmiertelnych w wypadkach drogowych odnotowanych na obszarze KOF</w:t>
            </w:r>
          </w:p>
        </w:tc>
        <w:tc>
          <w:tcPr>
            <w:tcW w:w="0" w:type="auto"/>
            <w:shd w:val="clear" w:color="auto" w:fill="auto"/>
          </w:tcPr>
          <w:p w14:paraId="121E36CD" w14:textId="77777777" w:rsidR="008C5CFA" w:rsidRPr="0024468B" w:rsidRDefault="00E82A60" w:rsidP="00300A01">
            <w:pPr>
              <w:spacing w:before="0" w:after="0"/>
              <w:jc w:val="right"/>
              <w:rPr>
                <w:sz w:val="16"/>
                <w:szCs w:val="16"/>
                <w:lang w:val="fr-BE"/>
              </w:rPr>
            </w:pPr>
            <w:r w:rsidRPr="0024468B">
              <w:rPr>
                <w:noProof/>
                <w:sz w:val="16"/>
                <w:szCs w:val="16"/>
                <w:lang w:val="fr-BE"/>
              </w:rPr>
              <w:t>27,00</w:t>
            </w:r>
          </w:p>
        </w:tc>
        <w:tc>
          <w:tcPr>
            <w:tcW w:w="0" w:type="auto"/>
            <w:shd w:val="clear" w:color="auto" w:fill="auto"/>
          </w:tcPr>
          <w:p w14:paraId="2C29218D" w14:textId="77777777" w:rsidR="008C5CFA" w:rsidRPr="0024468B" w:rsidRDefault="008C5CFA" w:rsidP="00300A01">
            <w:pPr>
              <w:spacing w:before="0" w:after="0"/>
              <w:jc w:val="right"/>
              <w:rPr>
                <w:sz w:val="16"/>
                <w:szCs w:val="16"/>
                <w:lang w:val="fr-BE"/>
              </w:rPr>
            </w:pPr>
          </w:p>
        </w:tc>
      </w:tr>
    </w:tbl>
    <w:p w14:paraId="2A570F3A" w14:textId="77777777" w:rsidR="008C5CFA" w:rsidRDefault="008C5CFA" w:rsidP="00300A01">
      <w:pPr>
        <w:spacing w:before="0" w:after="0"/>
        <w:rPr>
          <w:lang w:val="fr-BE"/>
        </w:rPr>
      </w:pPr>
    </w:p>
    <w:p w14:paraId="68EFF537" w14:textId="77777777" w:rsidR="008C5CFA" w:rsidRDefault="00E82A60" w:rsidP="00300A01">
      <w:pPr>
        <w:spacing w:before="0" w:after="0"/>
        <w:rPr>
          <w:lang w:val="fr-BE"/>
        </w:rPr>
      </w:pPr>
      <w:r>
        <w:rPr>
          <w:lang w:val="fr-BE"/>
        </w:rPr>
        <w:br w:type="page"/>
      </w:r>
    </w:p>
    <w:p w14:paraId="589F3451" w14:textId="77777777" w:rsidR="008C5CFA" w:rsidRPr="00B27C43" w:rsidRDefault="008C5CFA" w:rsidP="00300A01">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3"/>
        <w:gridCol w:w="12601"/>
      </w:tblGrid>
      <w:tr w:rsidR="006B2EC1" w14:paraId="6429C21D" w14:textId="77777777" w:rsidTr="0047688D">
        <w:tc>
          <w:tcPr>
            <w:tcW w:w="0" w:type="auto"/>
            <w:shd w:val="clear" w:color="auto" w:fill="auto"/>
          </w:tcPr>
          <w:p w14:paraId="6EA6F27F" w14:textId="77777777" w:rsidR="008C5CFA" w:rsidRPr="002124FC" w:rsidRDefault="00E82A60" w:rsidP="00300A01">
            <w:pPr>
              <w:spacing w:before="0" w:after="0"/>
              <w:rPr>
                <w:sz w:val="20"/>
                <w:szCs w:val="20"/>
                <w:lang w:val="fr-BE"/>
              </w:rPr>
            </w:pPr>
            <w:r>
              <w:rPr>
                <w:lang w:val="fr-BE"/>
              </w:rPr>
              <w:br w:type="page"/>
            </w:r>
            <w:r>
              <w:rPr>
                <w:lang w:val="fr-BE"/>
              </w:rPr>
              <w:br w:type="page"/>
            </w:r>
            <w:r w:rsidRPr="002124FC">
              <w:rPr>
                <w:noProof/>
                <w:sz w:val="20"/>
                <w:szCs w:val="20"/>
                <w:lang w:val="fr-BE"/>
              </w:rPr>
              <w:t>Oś priorytetowa</w:t>
            </w:r>
          </w:p>
        </w:tc>
        <w:tc>
          <w:tcPr>
            <w:tcW w:w="0" w:type="auto"/>
            <w:shd w:val="clear" w:color="auto" w:fill="auto"/>
          </w:tcPr>
          <w:p w14:paraId="15B1E1A2" w14:textId="77777777" w:rsidR="008C5CFA" w:rsidRPr="002124FC" w:rsidRDefault="00E82A60" w:rsidP="00300A01">
            <w:pPr>
              <w:spacing w:before="0" w:after="0"/>
              <w:rPr>
                <w:sz w:val="20"/>
                <w:szCs w:val="20"/>
                <w:lang w:val="fr-BE"/>
              </w:rPr>
            </w:pPr>
            <w:r w:rsidRPr="002124FC">
              <w:rPr>
                <w:noProof/>
                <w:sz w:val="20"/>
                <w:szCs w:val="20"/>
                <w:lang w:val="fr-BE"/>
              </w:rPr>
              <w:t>6</w:t>
            </w:r>
            <w:r w:rsidRPr="002124FC">
              <w:rPr>
                <w:sz w:val="20"/>
                <w:szCs w:val="20"/>
                <w:lang w:val="fr-BE"/>
              </w:rPr>
              <w:t xml:space="preserve"> - </w:t>
            </w:r>
            <w:r w:rsidRPr="002124FC">
              <w:rPr>
                <w:noProof/>
                <w:sz w:val="20"/>
                <w:szCs w:val="20"/>
                <w:lang w:val="fr-BE"/>
              </w:rPr>
              <w:t>Rozwój miast</w:t>
            </w:r>
          </w:p>
        </w:tc>
      </w:tr>
      <w:tr w:rsidR="006B2EC1" w14:paraId="47608D70" w14:textId="77777777" w:rsidTr="0047688D">
        <w:tc>
          <w:tcPr>
            <w:tcW w:w="0" w:type="auto"/>
            <w:shd w:val="clear" w:color="auto" w:fill="auto"/>
          </w:tcPr>
          <w:p w14:paraId="3108D091" w14:textId="77777777" w:rsidR="008C5CFA" w:rsidRPr="002124FC" w:rsidRDefault="00E82A60"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14:paraId="3A361215" w14:textId="77777777" w:rsidR="008C5CFA" w:rsidRPr="002124FC" w:rsidRDefault="00E82A60" w:rsidP="00300A01">
            <w:pPr>
              <w:spacing w:before="0" w:after="0"/>
              <w:rPr>
                <w:sz w:val="20"/>
                <w:szCs w:val="20"/>
                <w:lang w:val="fr-BE"/>
              </w:rPr>
            </w:pPr>
            <w:r w:rsidRPr="002124FC">
              <w:rPr>
                <w:noProof/>
                <w:sz w:val="20"/>
                <w:szCs w:val="20"/>
                <w:lang w:val="fr-BE"/>
              </w:rPr>
              <w:t>9b</w:t>
            </w:r>
            <w:r w:rsidRPr="002124FC">
              <w:rPr>
                <w:sz w:val="20"/>
                <w:szCs w:val="20"/>
                <w:lang w:val="fr-BE"/>
              </w:rPr>
              <w:t xml:space="preserve"> - </w:t>
            </w:r>
            <w:r w:rsidRPr="002124FC">
              <w:rPr>
                <w:noProof/>
                <w:sz w:val="20"/>
                <w:szCs w:val="20"/>
                <w:lang w:val="fr-BE"/>
              </w:rPr>
              <w:t>Wsparcie rewitalizacji fizycznej, gospodarczej i społecznej ubogich społeczności na obszarach miejskich i wiejskich</w:t>
            </w:r>
          </w:p>
        </w:tc>
      </w:tr>
    </w:tbl>
    <w:p w14:paraId="5E1EEB69" w14:textId="77777777" w:rsidR="008C5CFA" w:rsidRDefault="008C5CFA" w:rsidP="00300A01">
      <w:pPr>
        <w:spacing w:before="0" w:after="0"/>
        <w:rPr>
          <w:lang w:val="fr-BE"/>
        </w:rPr>
      </w:pPr>
    </w:p>
    <w:p w14:paraId="633A004C" w14:textId="77777777" w:rsidR="008C5CFA" w:rsidRDefault="00E82A60" w:rsidP="00300A01">
      <w:pPr>
        <w:pStyle w:val="Nagwek2"/>
        <w:spacing w:before="0" w:after="0"/>
        <w:rPr>
          <w:lang w:val="fr-BE"/>
        </w:rPr>
      </w:pPr>
      <w:bookmarkStart w:id="41" w:name="_Toc46391725"/>
      <w:r>
        <w:rPr>
          <w:noProof/>
          <w:lang w:val="fr-BE"/>
        </w:rPr>
        <w:t>Tabela 3A</w:t>
      </w:r>
      <w:r>
        <w:rPr>
          <w:lang w:val="fr-BE"/>
        </w:rPr>
        <w:t xml:space="preserve">: </w:t>
      </w:r>
      <w:r>
        <w:rPr>
          <w:noProof/>
          <w:lang w:val="fr-BE"/>
        </w:rPr>
        <w:t>Wspólne i specyficzne dla danego programu wskaźniki produktu dla EFRR i Funduszu Spójności (wg osi priorytetowej, priorytetu inwestycyjnego, w podziale na kategorię regionu dla celów EFRR)</w:t>
      </w:r>
      <w:r w:rsidR="009C5874">
        <w:rPr>
          <w:lang w:val="fr-BE"/>
        </w:rPr>
        <w:t xml:space="preserve"> - </w:t>
      </w:r>
      <w:r w:rsidR="00F022AC" w:rsidRPr="002124FC">
        <w:rPr>
          <w:noProof/>
          <w:sz w:val="20"/>
          <w:szCs w:val="20"/>
          <w:lang w:val="fr-BE"/>
        </w:rPr>
        <w:t>6</w:t>
      </w:r>
      <w:r w:rsidR="00F022AC">
        <w:rPr>
          <w:sz w:val="20"/>
          <w:szCs w:val="20"/>
          <w:lang w:val="fr-BE"/>
        </w:rPr>
        <w:t xml:space="preserve"> / </w:t>
      </w:r>
      <w:r w:rsidR="00F022AC" w:rsidRPr="002124FC">
        <w:rPr>
          <w:noProof/>
          <w:sz w:val="20"/>
          <w:szCs w:val="20"/>
          <w:lang w:val="fr-BE"/>
        </w:rPr>
        <w:t>9b</w:t>
      </w:r>
      <w:bookmarkEnd w:id="41"/>
    </w:p>
    <w:p w14:paraId="432A45B1"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01"/>
        <w:gridCol w:w="497"/>
        <w:gridCol w:w="2936"/>
        <w:gridCol w:w="917"/>
        <w:gridCol w:w="936"/>
        <w:gridCol w:w="1143"/>
        <w:gridCol w:w="1242"/>
        <w:gridCol w:w="1141"/>
        <w:gridCol w:w="735"/>
        <w:gridCol w:w="921"/>
        <w:gridCol w:w="744"/>
        <w:gridCol w:w="3671"/>
      </w:tblGrid>
      <w:tr w:rsidR="006B2EC1" w14:paraId="7B2092F5" w14:textId="77777777" w:rsidTr="0047688D">
        <w:trPr>
          <w:tblHeader/>
        </w:trPr>
        <w:tc>
          <w:tcPr>
            <w:tcW w:w="0" w:type="auto"/>
          </w:tcPr>
          <w:p w14:paraId="47C06839" w14:textId="77777777" w:rsidR="008C5CFA" w:rsidRPr="009143B4" w:rsidRDefault="00E82A60" w:rsidP="00300A01">
            <w:pPr>
              <w:spacing w:before="0" w:after="0"/>
              <w:rPr>
                <w:b/>
                <w:sz w:val="16"/>
                <w:szCs w:val="16"/>
                <w:lang w:val="fr-BE"/>
              </w:rPr>
            </w:pPr>
            <w:r w:rsidRPr="009143B4">
              <w:rPr>
                <w:b/>
                <w:sz w:val="16"/>
                <w:szCs w:val="16"/>
                <w:lang w:val="fr-BE"/>
              </w:rPr>
              <w:t>(1)</w:t>
            </w:r>
          </w:p>
        </w:tc>
        <w:tc>
          <w:tcPr>
            <w:tcW w:w="0" w:type="auto"/>
            <w:shd w:val="clear" w:color="auto" w:fill="auto"/>
          </w:tcPr>
          <w:p w14:paraId="3B6B3324" w14:textId="77777777" w:rsidR="008C5CFA" w:rsidRPr="009143B4" w:rsidRDefault="00E82A60" w:rsidP="00300A01">
            <w:pPr>
              <w:spacing w:before="0" w:after="0"/>
              <w:rPr>
                <w:b/>
                <w:sz w:val="16"/>
                <w:szCs w:val="16"/>
                <w:lang w:val="fr-BE"/>
              </w:rPr>
            </w:pPr>
            <w:r w:rsidRPr="009143B4">
              <w:rPr>
                <w:b/>
                <w:noProof/>
                <w:sz w:val="16"/>
                <w:szCs w:val="16"/>
                <w:lang w:val="fr-BE"/>
              </w:rPr>
              <w:t>ID</w:t>
            </w:r>
          </w:p>
        </w:tc>
        <w:tc>
          <w:tcPr>
            <w:tcW w:w="0" w:type="auto"/>
            <w:shd w:val="clear" w:color="auto" w:fill="auto"/>
          </w:tcPr>
          <w:p w14:paraId="1A95BD27" w14:textId="77777777" w:rsidR="008C5CFA" w:rsidRPr="009143B4" w:rsidRDefault="00E82A60" w:rsidP="00300A01">
            <w:pPr>
              <w:spacing w:before="0" w:after="0"/>
              <w:rPr>
                <w:b/>
                <w:sz w:val="16"/>
                <w:szCs w:val="16"/>
                <w:lang w:val="fr-BE"/>
              </w:rPr>
            </w:pPr>
            <w:r w:rsidRPr="009143B4">
              <w:rPr>
                <w:b/>
                <w:noProof/>
                <w:sz w:val="16"/>
                <w:szCs w:val="16"/>
                <w:lang w:val="fr-BE"/>
              </w:rPr>
              <w:t>Wskaźnik</w:t>
            </w:r>
          </w:p>
        </w:tc>
        <w:tc>
          <w:tcPr>
            <w:tcW w:w="0" w:type="auto"/>
            <w:shd w:val="clear" w:color="auto" w:fill="auto"/>
          </w:tcPr>
          <w:p w14:paraId="7D86492C" w14:textId="77777777" w:rsidR="008C5CFA" w:rsidRPr="009143B4" w:rsidRDefault="00E82A60" w:rsidP="00300A01">
            <w:pPr>
              <w:spacing w:before="0" w:after="0"/>
              <w:rPr>
                <w:b/>
                <w:sz w:val="16"/>
                <w:szCs w:val="16"/>
                <w:lang w:val="fr-BE"/>
              </w:rPr>
            </w:pPr>
            <w:r w:rsidRPr="009143B4">
              <w:rPr>
                <w:b/>
                <w:noProof/>
                <w:sz w:val="16"/>
                <w:szCs w:val="16"/>
                <w:lang w:val="fr-BE"/>
              </w:rPr>
              <w:t>Jednostka miary</w:t>
            </w:r>
          </w:p>
        </w:tc>
        <w:tc>
          <w:tcPr>
            <w:tcW w:w="0" w:type="auto"/>
            <w:shd w:val="clear" w:color="auto" w:fill="auto"/>
          </w:tcPr>
          <w:p w14:paraId="23B20C2E" w14:textId="77777777" w:rsidR="008C5CFA" w:rsidRPr="009143B4" w:rsidRDefault="00E82A60" w:rsidP="00300A01">
            <w:pPr>
              <w:spacing w:before="0" w:after="0"/>
              <w:rPr>
                <w:b/>
                <w:sz w:val="16"/>
                <w:szCs w:val="16"/>
                <w:lang w:val="fr-BE"/>
              </w:rPr>
            </w:pPr>
            <w:r w:rsidRPr="009143B4">
              <w:rPr>
                <w:b/>
                <w:noProof/>
                <w:sz w:val="16"/>
                <w:szCs w:val="16"/>
                <w:lang w:val="fr-BE"/>
              </w:rPr>
              <w:t>Kategoria regionu</w:t>
            </w:r>
          </w:p>
        </w:tc>
        <w:tc>
          <w:tcPr>
            <w:tcW w:w="0" w:type="auto"/>
            <w:shd w:val="clear" w:color="auto" w:fill="auto"/>
          </w:tcPr>
          <w:p w14:paraId="008A0978" w14:textId="77777777" w:rsidR="008C5CFA" w:rsidRPr="009143B4" w:rsidRDefault="00E82A60" w:rsidP="00300A01">
            <w:pPr>
              <w:spacing w:before="0" w:after="0"/>
              <w:jc w:val="center"/>
              <w:rPr>
                <w:b/>
                <w:sz w:val="16"/>
                <w:szCs w:val="16"/>
                <w:lang w:val="fr-BE"/>
              </w:rPr>
            </w:pPr>
            <w:r w:rsidRPr="009143B4">
              <w:rPr>
                <w:b/>
                <w:noProof/>
                <w:sz w:val="16"/>
                <w:szCs w:val="16"/>
                <w:lang w:val="fr-BE"/>
              </w:rPr>
              <w:t>Wartość docelowa (2023) ogółem</w:t>
            </w:r>
          </w:p>
        </w:tc>
        <w:tc>
          <w:tcPr>
            <w:tcW w:w="0" w:type="auto"/>
            <w:shd w:val="clear" w:color="auto" w:fill="auto"/>
          </w:tcPr>
          <w:p w14:paraId="4A9A0261" w14:textId="77777777" w:rsidR="008C5CFA" w:rsidRPr="009143B4" w:rsidRDefault="00E82A60" w:rsidP="00300A01">
            <w:pPr>
              <w:spacing w:before="0" w:after="0"/>
              <w:jc w:val="center"/>
              <w:rPr>
                <w:b/>
                <w:sz w:val="16"/>
                <w:szCs w:val="16"/>
                <w:lang w:val="fr-BE"/>
              </w:rPr>
            </w:pPr>
            <w:r w:rsidRPr="009143B4">
              <w:rPr>
                <w:b/>
                <w:noProof/>
                <w:sz w:val="16"/>
                <w:szCs w:val="16"/>
                <w:lang w:val="fr-BE"/>
              </w:rPr>
              <w:t>Wartość docelowa (2023) mężczyźni</w:t>
            </w:r>
          </w:p>
        </w:tc>
        <w:tc>
          <w:tcPr>
            <w:tcW w:w="0" w:type="auto"/>
          </w:tcPr>
          <w:p w14:paraId="115A2F84" w14:textId="77777777" w:rsidR="008C5CFA" w:rsidRPr="009143B4" w:rsidRDefault="00E82A60" w:rsidP="00300A01">
            <w:pPr>
              <w:spacing w:before="0" w:after="0"/>
              <w:jc w:val="center"/>
              <w:rPr>
                <w:b/>
                <w:sz w:val="16"/>
                <w:szCs w:val="16"/>
                <w:lang w:val="fr-BE"/>
              </w:rPr>
            </w:pPr>
            <w:r w:rsidRPr="009143B4">
              <w:rPr>
                <w:b/>
                <w:noProof/>
                <w:sz w:val="16"/>
                <w:szCs w:val="16"/>
                <w:lang w:val="fr-BE"/>
              </w:rPr>
              <w:t>Wartość docelowa (2023) kobiety</w:t>
            </w:r>
          </w:p>
        </w:tc>
        <w:tc>
          <w:tcPr>
            <w:tcW w:w="0" w:type="auto"/>
            <w:shd w:val="clear" w:color="auto" w:fill="auto"/>
          </w:tcPr>
          <w:p w14:paraId="4BDD8596" w14:textId="77777777" w:rsidR="008C5CFA" w:rsidRPr="009143B4" w:rsidRDefault="00E82A60" w:rsidP="00300A01">
            <w:pPr>
              <w:spacing w:before="0" w:after="0"/>
              <w:jc w:val="center"/>
              <w:rPr>
                <w:b/>
                <w:sz w:val="16"/>
                <w:szCs w:val="16"/>
                <w:lang w:val="fr-BE"/>
              </w:rPr>
            </w:pPr>
            <w:r>
              <w:rPr>
                <w:b/>
                <w:sz w:val="16"/>
                <w:szCs w:val="16"/>
                <w:lang w:val="fr-BE"/>
              </w:rPr>
              <w:t xml:space="preserve">2019 </w:t>
            </w:r>
            <w:r w:rsidRPr="009143B4">
              <w:rPr>
                <w:b/>
                <w:noProof/>
                <w:sz w:val="16"/>
                <w:szCs w:val="16"/>
                <w:lang w:val="fr-BE"/>
              </w:rPr>
              <w:t>Ogółem</w:t>
            </w:r>
          </w:p>
        </w:tc>
        <w:tc>
          <w:tcPr>
            <w:tcW w:w="0" w:type="auto"/>
            <w:shd w:val="clear" w:color="auto" w:fill="auto"/>
          </w:tcPr>
          <w:p w14:paraId="0C5AB2E6" w14:textId="77777777" w:rsidR="008C5CFA" w:rsidRPr="009143B4" w:rsidRDefault="00E82A60" w:rsidP="00300A01">
            <w:pPr>
              <w:spacing w:before="0" w:after="0"/>
              <w:jc w:val="center"/>
              <w:rPr>
                <w:b/>
                <w:sz w:val="16"/>
                <w:szCs w:val="16"/>
                <w:lang w:val="fr-BE"/>
              </w:rPr>
            </w:pPr>
            <w:r>
              <w:rPr>
                <w:b/>
                <w:sz w:val="16"/>
                <w:szCs w:val="16"/>
                <w:lang w:val="fr-BE"/>
              </w:rPr>
              <w:t xml:space="preserve">2019 </w:t>
            </w:r>
            <w:r w:rsidRPr="009143B4">
              <w:rPr>
                <w:b/>
                <w:noProof/>
                <w:sz w:val="16"/>
                <w:szCs w:val="16"/>
                <w:lang w:val="fr-BE"/>
              </w:rPr>
              <w:t>Mężczyźni</w:t>
            </w:r>
          </w:p>
        </w:tc>
        <w:tc>
          <w:tcPr>
            <w:tcW w:w="0" w:type="auto"/>
            <w:shd w:val="clear" w:color="auto" w:fill="auto"/>
          </w:tcPr>
          <w:p w14:paraId="0E8DC825" w14:textId="77777777" w:rsidR="008C5CFA" w:rsidRPr="009143B4" w:rsidRDefault="00E82A60" w:rsidP="00300A01">
            <w:pPr>
              <w:spacing w:before="0" w:after="0"/>
              <w:jc w:val="center"/>
              <w:rPr>
                <w:b/>
                <w:sz w:val="16"/>
                <w:szCs w:val="16"/>
                <w:lang w:val="fr-BE"/>
              </w:rPr>
            </w:pPr>
            <w:r>
              <w:rPr>
                <w:b/>
                <w:sz w:val="16"/>
                <w:szCs w:val="16"/>
                <w:lang w:val="fr-BE"/>
              </w:rPr>
              <w:t xml:space="preserve">2019 </w:t>
            </w:r>
            <w:r w:rsidRPr="009143B4">
              <w:rPr>
                <w:b/>
                <w:noProof/>
                <w:sz w:val="16"/>
                <w:szCs w:val="16"/>
                <w:lang w:val="fr-BE"/>
              </w:rPr>
              <w:t>Kobiety</w:t>
            </w:r>
          </w:p>
        </w:tc>
        <w:tc>
          <w:tcPr>
            <w:tcW w:w="0" w:type="auto"/>
            <w:shd w:val="clear" w:color="auto" w:fill="auto"/>
          </w:tcPr>
          <w:p w14:paraId="7043FBD2" w14:textId="77777777" w:rsidR="008C5CFA" w:rsidRPr="009143B4" w:rsidRDefault="00E82A60" w:rsidP="00300A01">
            <w:pPr>
              <w:spacing w:before="0" w:after="0"/>
              <w:jc w:val="center"/>
              <w:rPr>
                <w:b/>
                <w:sz w:val="16"/>
                <w:szCs w:val="16"/>
                <w:lang w:val="fr-BE"/>
              </w:rPr>
            </w:pPr>
            <w:r w:rsidRPr="009143B4">
              <w:rPr>
                <w:b/>
                <w:noProof/>
                <w:sz w:val="16"/>
                <w:szCs w:val="16"/>
                <w:lang w:val="fr-BE"/>
              </w:rPr>
              <w:t>Uwagi</w:t>
            </w:r>
          </w:p>
        </w:tc>
      </w:tr>
      <w:tr w:rsidR="006B2EC1" w14:paraId="0BBBD17C" w14:textId="77777777" w:rsidTr="0047688D">
        <w:tc>
          <w:tcPr>
            <w:tcW w:w="0" w:type="auto"/>
          </w:tcPr>
          <w:p w14:paraId="2BB2C1F5" w14:textId="77777777" w:rsidR="008C5CFA" w:rsidRPr="0024468B" w:rsidRDefault="00E82A60" w:rsidP="00300A01">
            <w:pPr>
              <w:spacing w:before="0" w:after="0"/>
              <w:rPr>
                <w:sz w:val="16"/>
                <w:szCs w:val="16"/>
                <w:lang w:val="fr-BE"/>
              </w:rPr>
            </w:pPr>
            <w:r>
              <w:rPr>
                <w:noProof/>
                <w:sz w:val="16"/>
                <w:szCs w:val="16"/>
                <w:lang w:val="fr-BE"/>
              </w:rPr>
              <w:t>F</w:t>
            </w:r>
          </w:p>
        </w:tc>
        <w:tc>
          <w:tcPr>
            <w:tcW w:w="0" w:type="auto"/>
            <w:shd w:val="clear" w:color="auto" w:fill="auto"/>
          </w:tcPr>
          <w:p w14:paraId="03C79EB6" w14:textId="77777777" w:rsidR="008C5CFA" w:rsidRPr="0024468B" w:rsidRDefault="00E82A60" w:rsidP="00300A01">
            <w:pPr>
              <w:spacing w:before="0" w:after="0"/>
              <w:rPr>
                <w:sz w:val="16"/>
                <w:szCs w:val="16"/>
                <w:lang w:val="fr-BE"/>
              </w:rPr>
            </w:pPr>
            <w:r w:rsidRPr="0024468B">
              <w:rPr>
                <w:noProof/>
                <w:sz w:val="16"/>
                <w:szCs w:val="16"/>
                <w:lang w:val="fr-BE"/>
              </w:rPr>
              <w:t>CO37</w:t>
            </w:r>
          </w:p>
        </w:tc>
        <w:tc>
          <w:tcPr>
            <w:tcW w:w="0" w:type="auto"/>
            <w:shd w:val="clear" w:color="auto" w:fill="auto"/>
          </w:tcPr>
          <w:p w14:paraId="1C206344" w14:textId="77777777" w:rsidR="008C5CFA" w:rsidRPr="0024468B" w:rsidRDefault="00E82A60" w:rsidP="00300A01">
            <w:pPr>
              <w:spacing w:before="0" w:after="0"/>
              <w:rPr>
                <w:sz w:val="16"/>
                <w:szCs w:val="16"/>
                <w:lang w:val="fr-BE"/>
              </w:rPr>
            </w:pPr>
            <w:r w:rsidRPr="0024468B">
              <w:rPr>
                <w:noProof/>
                <w:sz w:val="16"/>
                <w:szCs w:val="16"/>
                <w:lang w:val="fr-BE"/>
              </w:rPr>
              <w:t>Rozwój obszarów miejskich: ludność mieszkająca na obszarach objętych zintegrowanymi strategiami rozwoju obszarów miejskich</w:t>
            </w:r>
          </w:p>
        </w:tc>
        <w:tc>
          <w:tcPr>
            <w:tcW w:w="0" w:type="auto"/>
            <w:shd w:val="clear" w:color="auto" w:fill="auto"/>
          </w:tcPr>
          <w:p w14:paraId="218CF58E" w14:textId="77777777" w:rsidR="008C5CFA" w:rsidRPr="0024468B" w:rsidRDefault="00E82A60" w:rsidP="00300A01">
            <w:pPr>
              <w:spacing w:before="0" w:after="0"/>
              <w:rPr>
                <w:sz w:val="16"/>
                <w:szCs w:val="16"/>
                <w:lang w:val="fr-BE"/>
              </w:rPr>
            </w:pPr>
            <w:r>
              <w:rPr>
                <w:noProof/>
                <w:sz w:val="16"/>
                <w:szCs w:val="16"/>
                <w:lang w:val="fr-BE"/>
              </w:rPr>
              <w:t>Osoby</w:t>
            </w:r>
          </w:p>
        </w:tc>
        <w:tc>
          <w:tcPr>
            <w:tcW w:w="0" w:type="auto"/>
            <w:shd w:val="clear" w:color="auto" w:fill="auto"/>
          </w:tcPr>
          <w:p w14:paraId="37B517DC" w14:textId="77777777" w:rsidR="008C5CFA" w:rsidRPr="0024468B" w:rsidRDefault="00E82A60"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14:paraId="39613381" w14:textId="77777777" w:rsidR="008C5CFA" w:rsidRPr="0024468B" w:rsidRDefault="00E82A60" w:rsidP="00300A01">
            <w:pPr>
              <w:spacing w:before="0" w:after="0"/>
              <w:jc w:val="right"/>
              <w:rPr>
                <w:sz w:val="16"/>
                <w:szCs w:val="16"/>
                <w:lang w:val="fr-BE"/>
              </w:rPr>
            </w:pPr>
            <w:r>
              <w:rPr>
                <w:noProof/>
                <w:sz w:val="16"/>
                <w:szCs w:val="16"/>
                <w:lang w:val="fr-BE"/>
              </w:rPr>
              <w:t>50 000,00</w:t>
            </w:r>
          </w:p>
        </w:tc>
        <w:tc>
          <w:tcPr>
            <w:tcW w:w="0" w:type="auto"/>
            <w:shd w:val="clear" w:color="auto" w:fill="auto"/>
          </w:tcPr>
          <w:p w14:paraId="6101BADF" w14:textId="77777777" w:rsidR="008C5CFA" w:rsidRPr="0024468B" w:rsidRDefault="008C5CFA" w:rsidP="00300A01">
            <w:pPr>
              <w:spacing w:before="0" w:after="0"/>
              <w:jc w:val="right"/>
              <w:rPr>
                <w:sz w:val="16"/>
                <w:szCs w:val="16"/>
                <w:lang w:val="fr-BE"/>
              </w:rPr>
            </w:pPr>
          </w:p>
        </w:tc>
        <w:tc>
          <w:tcPr>
            <w:tcW w:w="0" w:type="auto"/>
          </w:tcPr>
          <w:p w14:paraId="1A6AE324" w14:textId="77777777" w:rsidR="008C5CFA" w:rsidRPr="0024468B" w:rsidRDefault="008C5CFA" w:rsidP="00300A01">
            <w:pPr>
              <w:spacing w:before="0" w:after="0"/>
              <w:jc w:val="right"/>
              <w:rPr>
                <w:sz w:val="16"/>
                <w:szCs w:val="16"/>
                <w:lang w:val="fr-BE"/>
              </w:rPr>
            </w:pPr>
          </w:p>
        </w:tc>
        <w:tc>
          <w:tcPr>
            <w:tcW w:w="0" w:type="auto"/>
            <w:shd w:val="clear" w:color="auto" w:fill="auto"/>
          </w:tcPr>
          <w:p w14:paraId="1198A5A9"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2818061C"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3CAF1F1D"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25496531" w14:textId="77777777" w:rsidR="008C5CFA" w:rsidRPr="0024468B" w:rsidRDefault="008C5CFA" w:rsidP="00300A01">
            <w:pPr>
              <w:spacing w:before="0" w:after="0"/>
              <w:rPr>
                <w:sz w:val="16"/>
                <w:szCs w:val="16"/>
                <w:lang w:val="fr-BE"/>
              </w:rPr>
            </w:pPr>
          </w:p>
        </w:tc>
      </w:tr>
      <w:tr w:rsidR="006B2EC1" w14:paraId="453E6879" w14:textId="77777777" w:rsidTr="0047688D">
        <w:tc>
          <w:tcPr>
            <w:tcW w:w="0" w:type="auto"/>
          </w:tcPr>
          <w:p w14:paraId="3F603CDE" w14:textId="77777777" w:rsidR="008C5CFA" w:rsidRPr="0024468B" w:rsidRDefault="00E82A60" w:rsidP="00300A01">
            <w:pPr>
              <w:spacing w:before="0" w:after="0"/>
              <w:rPr>
                <w:sz w:val="16"/>
                <w:szCs w:val="16"/>
                <w:lang w:val="fr-BE"/>
              </w:rPr>
            </w:pPr>
            <w:r>
              <w:rPr>
                <w:noProof/>
                <w:sz w:val="16"/>
                <w:szCs w:val="16"/>
                <w:lang w:val="fr-BE"/>
              </w:rPr>
              <w:t>S</w:t>
            </w:r>
          </w:p>
        </w:tc>
        <w:tc>
          <w:tcPr>
            <w:tcW w:w="0" w:type="auto"/>
            <w:shd w:val="clear" w:color="auto" w:fill="auto"/>
          </w:tcPr>
          <w:p w14:paraId="6A0BDAAD" w14:textId="77777777" w:rsidR="008C5CFA" w:rsidRPr="0024468B" w:rsidRDefault="00E82A60" w:rsidP="00300A01">
            <w:pPr>
              <w:spacing w:before="0" w:after="0"/>
              <w:rPr>
                <w:sz w:val="16"/>
                <w:szCs w:val="16"/>
                <w:lang w:val="fr-BE"/>
              </w:rPr>
            </w:pPr>
            <w:r w:rsidRPr="0024468B">
              <w:rPr>
                <w:noProof/>
                <w:sz w:val="16"/>
                <w:szCs w:val="16"/>
                <w:lang w:val="fr-BE"/>
              </w:rPr>
              <w:t>CO37</w:t>
            </w:r>
          </w:p>
        </w:tc>
        <w:tc>
          <w:tcPr>
            <w:tcW w:w="0" w:type="auto"/>
            <w:shd w:val="clear" w:color="auto" w:fill="auto"/>
          </w:tcPr>
          <w:p w14:paraId="63D10A5E" w14:textId="77777777" w:rsidR="008C5CFA" w:rsidRPr="0024468B" w:rsidRDefault="00E82A60" w:rsidP="00300A01">
            <w:pPr>
              <w:spacing w:before="0" w:after="0"/>
              <w:rPr>
                <w:sz w:val="16"/>
                <w:szCs w:val="16"/>
                <w:lang w:val="fr-BE"/>
              </w:rPr>
            </w:pPr>
            <w:r w:rsidRPr="0024468B">
              <w:rPr>
                <w:noProof/>
                <w:sz w:val="16"/>
                <w:szCs w:val="16"/>
                <w:lang w:val="fr-BE"/>
              </w:rPr>
              <w:t>Rozwój obszarów miejskich: ludność mieszkająca na obszarach objętych zintegrowanymi strategiami rozwoju obszarów miejskich</w:t>
            </w:r>
          </w:p>
        </w:tc>
        <w:tc>
          <w:tcPr>
            <w:tcW w:w="0" w:type="auto"/>
            <w:shd w:val="clear" w:color="auto" w:fill="auto"/>
          </w:tcPr>
          <w:p w14:paraId="6587AB16" w14:textId="77777777" w:rsidR="008C5CFA" w:rsidRPr="0024468B" w:rsidRDefault="00E82A60" w:rsidP="00300A01">
            <w:pPr>
              <w:spacing w:before="0" w:after="0"/>
              <w:rPr>
                <w:sz w:val="16"/>
                <w:szCs w:val="16"/>
                <w:lang w:val="fr-BE"/>
              </w:rPr>
            </w:pPr>
            <w:r>
              <w:rPr>
                <w:noProof/>
                <w:sz w:val="16"/>
                <w:szCs w:val="16"/>
                <w:lang w:val="fr-BE"/>
              </w:rPr>
              <w:t>Osoby</w:t>
            </w:r>
          </w:p>
        </w:tc>
        <w:tc>
          <w:tcPr>
            <w:tcW w:w="0" w:type="auto"/>
            <w:shd w:val="clear" w:color="auto" w:fill="auto"/>
          </w:tcPr>
          <w:p w14:paraId="20BB5D43" w14:textId="77777777" w:rsidR="008C5CFA" w:rsidRPr="0024468B" w:rsidRDefault="00E82A60"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14:paraId="4EF586E4" w14:textId="77777777" w:rsidR="008C5CFA" w:rsidRPr="0024468B" w:rsidRDefault="00E82A60" w:rsidP="00300A01">
            <w:pPr>
              <w:spacing w:before="0" w:after="0"/>
              <w:jc w:val="right"/>
              <w:rPr>
                <w:sz w:val="16"/>
                <w:szCs w:val="16"/>
                <w:lang w:val="fr-BE"/>
              </w:rPr>
            </w:pPr>
            <w:r>
              <w:rPr>
                <w:noProof/>
                <w:sz w:val="16"/>
                <w:szCs w:val="16"/>
                <w:lang w:val="fr-BE"/>
              </w:rPr>
              <w:t>50 000,00</w:t>
            </w:r>
          </w:p>
        </w:tc>
        <w:tc>
          <w:tcPr>
            <w:tcW w:w="0" w:type="auto"/>
            <w:shd w:val="clear" w:color="auto" w:fill="auto"/>
          </w:tcPr>
          <w:p w14:paraId="3C44B178" w14:textId="77777777" w:rsidR="008C5CFA" w:rsidRPr="0024468B" w:rsidRDefault="008C5CFA" w:rsidP="00300A01">
            <w:pPr>
              <w:spacing w:before="0" w:after="0"/>
              <w:jc w:val="right"/>
              <w:rPr>
                <w:sz w:val="16"/>
                <w:szCs w:val="16"/>
                <w:lang w:val="fr-BE"/>
              </w:rPr>
            </w:pPr>
          </w:p>
        </w:tc>
        <w:tc>
          <w:tcPr>
            <w:tcW w:w="0" w:type="auto"/>
          </w:tcPr>
          <w:p w14:paraId="32591DDD" w14:textId="77777777" w:rsidR="008C5CFA" w:rsidRPr="0024468B" w:rsidRDefault="008C5CFA" w:rsidP="00300A01">
            <w:pPr>
              <w:spacing w:before="0" w:after="0"/>
              <w:jc w:val="right"/>
              <w:rPr>
                <w:sz w:val="16"/>
                <w:szCs w:val="16"/>
                <w:lang w:val="fr-BE"/>
              </w:rPr>
            </w:pPr>
          </w:p>
        </w:tc>
        <w:tc>
          <w:tcPr>
            <w:tcW w:w="0" w:type="auto"/>
            <w:shd w:val="clear" w:color="auto" w:fill="auto"/>
          </w:tcPr>
          <w:p w14:paraId="1FDB75E3"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41464DB2"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411F8366"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7100C2CF" w14:textId="77777777" w:rsidR="008C5CFA" w:rsidRPr="0024468B" w:rsidRDefault="008C5CFA" w:rsidP="00300A01">
            <w:pPr>
              <w:spacing w:before="0" w:after="0"/>
              <w:rPr>
                <w:sz w:val="16"/>
                <w:szCs w:val="16"/>
                <w:lang w:val="fr-BE"/>
              </w:rPr>
            </w:pPr>
          </w:p>
        </w:tc>
      </w:tr>
      <w:tr w:rsidR="006B2EC1" w14:paraId="618A4884" w14:textId="77777777" w:rsidTr="0047688D">
        <w:tc>
          <w:tcPr>
            <w:tcW w:w="0" w:type="auto"/>
          </w:tcPr>
          <w:p w14:paraId="063ACBBE" w14:textId="77777777" w:rsidR="008C5CFA" w:rsidRPr="0024468B" w:rsidRDefault="00E82A60" w:rsidP="00300A01">
            <w:pPr>
              <w:spacing w:before="0" w:after="0"/>
              <w:rPr>
                <w:sz w:val="16"/>
                <w:szCs w:val="16"/>
                <w:lang w:val="fr-BE"/>
              </w:rPr>
            </w:pPr>
            <w:r>
              <w:rPr>
                <w:noProof/>
                <w:sz w:val="16"/>
                <w:szCs w:val="16"/>
                <w:lang w:val="fr-BE"/>
              </w:rPr>
              <w:t>F</w:t>
            </w:r>
          </w:p>
        </w:tc>
        <w:tc>
          <w:tcPr>
            <w:tcW w:w="0" w:type="auto"/>
            <w:shd w:val="clear" w:color="auto" w:fill="auto"/>
          </w:tcPr>
          <w:p w14:paraId="18A6ED13" w14:textId="77777777" w:rsidR="008C5CFA" w:rsidRPr="0024468B" w:rsidRDefault="00E82A60" w:rsidP="00300A01">
            <w:pPr>
              <w:spacing w:before="0" w:after="0"/>
              <w:rPr>
                <w:sz w:val="16"/>
                <w:szCs w:val="16"/>
                <w:lang w:val="fr-BE"/>
              </w:rPr>
            </w:pPr>
            <w:r>
              <w:rPr>
                <w:noProof/>
                <w:sz w:val="16"/>
                <w:szCs w:val="16"/>
                <w:lang w:val="fr-BE"/>
              </w:rPr>
              <w:t>041</w:t>
            </w:r>
          </w:p>
        </w:tc>
        <w:tc>
          <w:tcPr>
            <w:tcW w:w="0" w:type="auto"/>
            <w:shd w:val="clear" w:color="auto" w:fill="auto"/>
          </w:tcPr>
          <w:p w14:paraId="56E1BC74" w14:textId="77777777" w:rsidR="008C5CFA" w:rsidRPr="0024468B" w:rsidRDefault="00E82A60" w:rsidP="00300A01">
            <w:pPr>
              <w:spacing w:before="0" w:after="0"/>
              <w:rPr>
                <w:sz w:val="16"/>
                <w:szCs w:val="16"/>
                <w:lang w:val="fr-BE"/>
              </w:rPr>
            </w:pPr>
            <w:r>
              <w:rPr>
                <w:noProof/>
                <w:sz w:val="16"/>
                <w:szCs w:val="16"/>
                <w:lang w:val="fr-BE"/>
              </w:rPr>
              <w:t>Powierzchnia obszarów objętych rewitalizacją</w:t>
            </w:r>
          </w:p>
        </w:tc>
        <w:tc>
          <w:tcPr>
            <w:tcW w:w="0" w:type="auto"/>
            <w:shd w:val="clear" w:color="auto" w:fill="auto"/>
          </w:tcPr>
          <w:p w14:paraId="2D07A414" w14:textId="77777777" w:rsidR="008C5CFA" w:rsidRPr="0024468B" w:rsidRDefault="00E82A60" w:rsidP="00300A01">
            <w:pPr>
              <w:spacing w:before="0" w:after="0"/>
              <w:rPr>
                <w:sz w:val="16"/>
                <w:szCs w:val="16"/>
                <w:lang w:val="fr-BE"/>
              </w:rPr>
            </w:pPr>
            <w:r w:rsidRPr="0024468B">
              <w:rPr>
                <w:noProof/>
                <w:sz w:val="16"/>
                <w:szCs w:val="16"/>
                <w:lang w:val="fr-BE"/>
              </w:rPr>
              <w:t>ha</w:t>
            </w:r>
          </w:p>
        </w:tc>
        <w:tc>
          <w:tcPr>
            <w:tcW w:w="0" w:type="auto"/>
            <w:shd w:val="clear" w:color="auto" w:fill="auto"/>
          </w:tcPr>
          <w:p w14:paraId="192E695C" w14:textId="77777777" w:rsidR="008C5CFA" w:rsidRPr="0024468B" w:rsidRDefault="00E82A60"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14:paraId="248CBCF3" w14:textId="77777777" w:rsidR="008C5CFA" w:rsidRPr="0024468B" w:rsidRDefault="00E82A60" w:rsidP="00300A01">
            <w:pPr>
              <w:spacing w:before="0" w:after="0"/>
              <w:jc w:val="right"/>
              <w:rPr>
                <w:sz w:val="16"/>
                <w:szCs w:val="16"/>
                <w:lang w:val="fr-BE"/>
              </w:rPr>
            </w:pPr>
            <w:r>
              <w:rPr>
                <w:noProof/>
                <w:sz w:val="16"/>
                <w:szCs w:val="16"/>
                <w:lang w:val="fr-BE"/>
              </w:rPr>
              <w:t>96,00</w:t>
            </w:r>
          </w:p>
        </w:tc>
        <w:tc>
          <w:tcPr>
            <w:tcW w:w="0" w:type="auto"/>
            <w:shd w:val="clear" w:color="auto" w:fill="auto"/>
          </w:tcPr>
          <w:p w14:paraId="4639778A" w14:textId="77777777" w:rsidR="008C5CFA" w:rsidRPr="0024468B" w:rsidRDefault="008C5CFA" w:rsidP="00300A01">
            <w:pPr>
              <w:spacing w:before="0" w:after="0"/>
              <w:jc w:val="right"/>
              <w:rPr>
                <w:sz w:val="16"/>
                <w:szCs w:val="16"/>
                <w:lang w:val="fr-BE"/>
              </w:rPr>
            </w:pPr>
          </w:p>
        </w:tc>
        <w:tc>
          <w:tcPr>
            <w:tcW w:w="0" w:type="auto"/>
          </w:tcPr>
          <w:p w14:paraId="25ABCAFE" w14:textId="77777777" w:rsidR="008C5CFA" w:rsidRPr="0024468B" w:rsidRDefault="008C5CFA" w:rsidP="00300A01">
            <w:pPr>
              <w:spacing w:before="0" w:after="0"/>
              <w:jc w:val="right"/>
              <w:rPr>
                <w:sz w:val="16"/>
                <w:szCs w:val="16"/>
                <w:lang w:val="fr-BE"/>
              </w:rPr>
            </w:pPr>
          </w:p>
        </w:tc>
        <w:tc>
          <w:tcPr>
            <w:tcW w:w="0" w:type="auto"/>
            <w:shd w:val="clear" w:color="auto" w:fill="auto"/>
          </w:tcPr>
          <w:p w14:paraId="4A972E4A" w14:textId="77777777" w:rsidR="008C5CFA" w:rsidRPr="0024468B" w:rsidRDefault="00E82A60" w:rsidP="00300A01">
            <w:pPr>
              <w:spacing w:before="0" w:after="0"/>
              <w:jc w:val="right"/>
              <w:rPr>
                <w:sz w:val="16"/>
                <w:szCs w:val="16"/>
                <w:lang w:val="fr-BE"/>
              </w:rPr>
            </w:pPr>
            <w:r w:rsidRPr="0024468B">
              <w:rPr>
                <w:noProof/>
                <w:sz w:val="16"/>
                <w:szCs w:val="16"/>
                <w:lang w:val="fr-BE"/>
              </w:rPr>
              <w:t>19,33</w:t>
            </w:r>
          </w:p>
        </w:tc>
        <w:tc>
          <w:tcPr>
            <w:tcW w:w="0" w:type="auto"/>
            <w:shd w:val="clear" w:color="auto" w:fill="auto"/>
          </w:tcPr>
          <w:p w14:paraId="24D7B9AE"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02FB182A"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75DAAF76" w14:textId="77777777" w:rsidR="008C5CFA" w:rsidRPr="0024468B" w:rsidRDefault="008C5CFA" w:rsidP="00300A01">
            <w:pPr>
              <w:spacing w:before="0" w:after="0"/>
              <w:rPr>
                <w:sz w:val="16"/>
                <w:szCs w:val="16"/>
                <w:lang w:val="fr-BE"/>
              </w:rPr>
            </w:pPr>
          </w:p>
        </w:tc>
      </w:tr>
      <w:tr w:rsidR="006B2EC1" w14:paraId="44D7B453" w14:textId="77777777" w:rsidTr="0047688D">
        <w:tc>
          <w:tcPr>
            <w:tcW w:w="0" w:type="auto"/>
          </w:tcPr>
          <w:p w14:paraId="110CCA18" w14:textId="77777777" w:rsidR="008C5CFA" w:rsidRPr="0024468B" w:rsidRDefault="00E82A60" w:rsidP="00300A01">
            <w:pPr>
              <w:spacing w:before="0" w:after="0"/>
              <w:rPr>
                <w:sz w:val="16"/>
                <w:szCs w:val="16"/>
                <w:lang w:val="fr-BE"/>
              </w:rPr>
            </w:pPr>
            <w:r>
              <w:rPr>
                <w:noProof/>
                <w:sz w:val="16"/>
                <w:szCs w:val="16"/>
                <w:lang w:val="fr-BE"/>
              </w:rPr>
              <w:t>S</w:t>
            </w:r>
          </w:p>
        </w:tc>
        <w:tc>
          <w:tcPr>
            <w:tcW w:w="0" w:type="auto"/>
            <w:shd w:val="clear" w:color="auto" w:fill="auto"/>
          </w:tcPr>
          <w:p w14:paraId="32B1C1E7" w14:textId="77777777" w:rsidR="008C5CFA" w:rsidRPr="0024468B" w:rsidRDefault="00E82A60" w:rsidP="00300A01">
            <w:pPr>
              <w:spacing w:before="0" w:after="0"/>
              <w:rPr>
                <w:sz w:val="16"/>
                <w:szCs w:val="16"/>
                <w:lang w:val="fr-BE"/>
              </w:rPr>
            </w:pPr>
            <w:r>
              <w:rPr>
                <w:noProof/>
                <w:sz w:val="16"/>
                <w:szCs w:val="16"/>
                <w:lang w:val="fr-BE"/>
              </w:rPr>
              <w:t>041</w:t>
            </w:r>
          </w:p>
        </w:tc>
        <w:tc>
          <w:tcPr>
            <w:tcW w:w="0" w:type="auto"/>
            <w:shd w:val="clear" w:color="auto" w:fill="auto"/>
          </w:tcPr>
          <w:p w14:paraId="686883D2" w14:textId="77777777" w:rsidR="008C5CFA" w:rsidRPr="0024468B" w:rsidRDefault="00E82A60" w:rsidP="00300A01">
            <w:pPr>
              <w:spacing w:before="0" w:after="0"/>
              <w:rPr>
                <w:sz w:val="16"/>
                <w:szCs w:val="16"/>
                <w:lang w:val="fr-BE"/>
              </w:rPr>
            </w:pPr>
            <w:r>
              <w:rPr>
                <w:noProof/>
                <w:sz w:val="16"/>
                <w:szCs w:val="16"/>
                <w:lang w:val="fr-BE"/>
              </w:rPr>
              <w:t>Powierzchnia obszarów objętych rewitalizacją</w:t>
            </w:r>
          </w:p>
        </w:tc>
        <w:tc>
          <w:tcPr>
            <w:tcW w:w="0" w:type="auto"/>
            <w:shd w:val="clear" w:color="auto" w:fill="auto"/>
          </w:tcPr>
          <w:p w14:paraId="0C960561" w14:textId="77777777" w:rsidR="008C5CFA" w:rsidRPr="0024468B" w:rsidRDefault="00E82A60" w:rsidP="00300A01">
            <w:pPr>
              <w:spacing w:before="0" w:after="0"/>
              <w:rPr>
                <w:sz w:val="16"/>
                <w:szCs w:val="16"/>
                <w:lang w:val="fr-BE"/>
              </w:rPr>
            </w:pPr>
            <w:r w:rsidRPr="0024468B">
              <w:rPr>
                <w:noProof/>
                <w:sz w:val="16"/>
                <w:szCs w:val="16"/>
                <w:lang w:val="fr-BE"/>
              </w:rPr>
              <w:t>ha</w:t>
            </w:r>
          </w:p>
        </w:tc>
        <w:tc>
          <w:tcPr>
            <w:tcW w:w="0" w:type="auto"/>
            <w:shd w:val="clear" w:color="auto" w:fill="auto"/>
          </w:tcPr>
          <w:p w14:paraId="725917E7" w14:textId="77777777" w:rsidR="008C5CFA" w:rsidRPr="0024468B" w:rsidRDefault="00E82A60"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14:paraId="5EF6E590" w14:textId="77777777" w:rsidR="008C5CFA" w:rsidRPr="0024468B" w:rsidRDefault="00E82A60" w:rsidP="00300A01">
            <w:pPr>
              <w:spacing w:before="0" w:after="0"/>
              <w:jc w:val="right"/>
              <w:rPr>
                <w:sz w:val="16"/>
                <w:szCs w:val="16"/>
                <w:lang w:val="fr-BE"/>
              </w:rPr>
            </w:pPr>
            <w:r>
              <w:rPr>
                <w:noProof/>
                <w:sz w:val="16"/>
                <w:szCs w:val="16"/>
                <w:lang w:val="fr-BE"/>
              </w:rPr>
              <w:t>96,00</w:t>
            </w:r>
          </w:p>
        </w:tc>
        <w:tc>
          <w:tcPr>
            <w:tcW w:w="0" w:type="auto"/>
            <w:shd w:val="clear" w:color="auto" w:fill="auto"/>
          </w:tcPr>
          <w:p w14:paraId="40D1ADD6" w14:textId="77777777" w:rsidR="008C5CFA" w:rsidRPr="0024468B" w:rsidRDefault="008C5CFA" w:rsidP="00300A01">
            <w:pPr>
              <w:spacing w:before="0" w:after="0"/>
              <w:jc w:val="right"/>
              <w:rPr>
                <w:sz w:val="16"/>
                <w:szCs w:val="16"/>
                <w:lang w:val="fr-BE"/>
              </w:rPr>
            </w:pPr>
          </w:p>
        </w:tc>
        <w:tc>
          <w:tcPr>
            <w:tcW w:w="0" w:type="auto"/>
          </w:tcPr>
          <w:p w14:paraId="4706D37E" w14:textId="77777777" w:rsidR="008C5CFA" w:rsidRPr="0024468B" w:rsidRDefault="008C5CFA" w:rsidP="00300A01">
            <w:pPr>
              <w:spacing w:before="0" w:after="0"/>
              <w:jc w:val="right"/>
              <w:rPr>
                <w:sz w:val="16"/>
                <w:szCs w:val="16"/>
                <w:lang w:val="fr-BE"/>
              </w:rPr>
            </w:pPr>
          </w:p>
        </w:tc>
        <w:tc>
          <w:tcPr>
            <w:tcW w:w="0" w:type="auto"/>
            <w:shd w:val="clear" w:color="auto" w:fill="auto"/>
          </w:tcPr>
          <w:p w14:paraId="6BEC6010" w14:textId="77777777" w:rsidR="008C5CFA" w:rsidRPr="0024468B" w:rsidRDefault="00E82A60" w:rsidP="00300A01">
            <w:pPr>
              <w:spacing w:before="0" w:after="0"/>
              <w:jc w:val="right"/>
              <w:rPr>
                <w:sz w:val="16"/>
                <w:szCs w:val="16"/>
                <w:lang w:val="fr-BE"/>
              </w:rPr>
            </w:pPr>
            <w:r w:rsidRPr="0024468B">
              <w:rPr>
                <w:noProof/>
                <w:sz w:val="16"/>
                <w:szCs w:val="16"/>
                <w:lang w:val="fr-BE"/>
              </w:rPr>
              <w:t>184,86</w:t>
            </w:r>
          </w:p>
        </w:tc>
        <w:tc>
          <w:tcPr>
            <w:tcW w:w="0" w:type="auto"/>
            <w:shd w:val="clear" w:color="auto" w:fill="auto"/>
          </w:tcPr>
          <w:p w14:paraId="662E371A"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1604D2DD"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521A29C6" w14:textId="77777777" w:rsidR="008C5CFA" w:rsidRPr="0024468B" w:rsidRDefault="00E82A60" w:rsidP="00300A01">
            <w:pPr>
              <w:spacing w:before="0" w:after="0"/>
              <w:rPr>
                <w:sz w:val="16"/>
                <w:szCs w:val="16"/>
                <w:lang w:val="fr-BE"/>
              </w:rPr>
            </w:pPr>
            <w:r w:rsidRPr="0024468B">
              <w:rPr>
                <w:noProof/>
                <w:sz w:val="16"/>
                <w:szCs w:val="16"/>
                <w:lang w:val="fr-BE"/>
              </w:rPr>
              <w:t>Zmiana wartości wskaźnika związana jest z propozycją zwiększenia  alokacji w PI 9b. Proponowany wzrost alokacji o  11 375 284,00 EUR pozwoli na rewitalizację dodatkowych 34 ha.</w:t>
            </w:r>
          </w:p>
          <w:p w14:paraId="50C16154" w14:textId="77777777" w:rsidR="008C5CFA" w:rsidRPr="0024468B" w:rsidRDefault="00E82A60" w:rsidP="00300A01">
            <w:pPr>
              <w:spacing w:before="0" w:after="0"/>
              <w:rPr>
                <w:sz w:val="16"/>
                <w:szCs w:val="16"/>
                <w:lang w:val="fr-BE"/>
              </w:rPr>
            </w:pPr>
            <w:r w:rsidRPr="0024468B">
              <w:rPr>
                <w:noProof/>
                <w:sz w:val="16"/>
                <w:szCs w:val="16"/>
                <w:lang w:val="fr-BE"/>
              </w:rPr>
              <w:t xml:space="preserve">W związku z powyższym wskaźnik  Powierzchnia obszarów jaka zostanie poddana rewitalizacji - docelowo wyniesie  118 ha. </w:t>
            </w:r>
          </w:p>
          <w:p w14:paraId="25BFA989" w14:textId="77777777" w:rsidR="008C5CFA" w:rsidRPr="0024468B" w:rsidRDefault="008C5CFA" w:rsidP="00300A01">
            <w:pPr>
              <w:spacing w:before="0" w:after="0"/>
              <w:rPr>
                <w:sz w:val="16"/>
                <w:szCs w:val="16"/>
                <w:lang w:val="fr-BE"/>
              </w:rPr>
            </w:pPr>
          </w:p>
        </w:tc>
      </w:tr>
    </w:tbl>
    <w:p w14:paraId="222DBFE7" w14:textId="77777777" w:rsidR="008C5CFA" w:rsidRDefault="00E82A60" w:rsidP="00300A01">
      <w:pPr>
        <w:spacing w:before="0" w:after="0"/>
        <w:rPr>
          <w:lang w:val="fr-BE"/>
        </w:rPr>
      </w:pPr>
      <w:r>
        <w:rPr>
          <w:noProof/>
          <w:lang w:val="fr-BE"/>
        </w:rPr>
        <w:t>1) S=wartość skumulowana – produkty, które mają być zrealizowane poprzez wybrane operacje [prognoza przedstawiona przez beneficjentów], F=wartość skumulowana – produkty zrealizowane poprzez operacje [rzeczywiste wykonanie]</w:t>
      </w:r>
    </w:p>
    <w:p w14:paraId="5027BC09"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01"/>
        <w:gridCol w:w="497"/>
        <w:gridCol w:w="5883"/>
        <w:gridCol w:w="879"/>
        <w:gridCol w:w="1065"/>
        <w:gridCol w:w="889"/>
        <w:gridCol w:w="880"/>
        <w:gridCol w:w="1066"/>
        <w:gridCol w:w="889"/>
        <w:gridCol w:w="880"/>
        <w:gridCol w:w="1066"/>
        <w:gridCol w:w="889"/>
      </w:tblGrid>
      <w:tr w:rsidR="006B2EC1" w14:paraId="42A5E665" w14:textId="77777777" w:rsidTr="0047688D">
        <w:trPr>
          <w:tblHeader/>
        </w:trPr>
        <w:tc>
          <w:tcPr>
            <w:tcW w:w="0" w:type="auto"/>
          </w:tcPr>
          <w:p w14:paraId="1F658B2D" w14:textId="77777777" w:rsidR="008C5CFA" w:rsidRPr="009143B4" w:rsidRDefault="00E82A60" w:rsidP="00300A01">
            <w:pPr>
              <w:spacing w:before="0" w:after="0"/>
              <w:rPr>
                <w:b/>
                <w:sz w:val="16"/>
                <w:szCs w:val="16"/>
                <w:lang w:val="fr-BE"/>
              </w:rPr>
            </w:pPr>
            <w:r w:rsidRPr="009143B4">
              <w:rPr>
                <w:b/>
                <w:sz w:val="16"/>
                <w:szCs w:val="16"/>
                <w:lang w:val="fr-BE"/>
              </w:rPr>
              <w:t>(1)</w:t>
            </w:r>
          </w:p>
        </w:tc>
        <w:tc>
          <w:tcPr>
            <w:tcW w:w="0" w:type="auto"/>
            <w:shd w:val="clear" w:color="auto" w:fill="auto"/>
          </w:tcPr>
          <w:p w14:paraId="1598F206" w14:textId="77777777" w:rsidR="008C5CFA" w:rsidRPr="009143B4" w:rsidRDefault="00E82A60" w:rsidP="00300A01">
            <w:pPr>
              <w:spacing w:before="0" w:after="0"/>
              <w:rPr>
                <w:b/>
                <w:sz w:val="16"/>
                <w:szCs w:val="16"/>
                <w:lang w:val="fr-BE"/>
              </w:rPr>
            </w:pPr>
            <w:r w:rsidRPr="009143B4">
              <w:rPr>
                <w:b/>
                <w:noProof/>
                <w:sz w:val="16"/>
                <w:szCs w:val="16"/>
                <w:lang w:val="fr-BE"/>
              </w:rPr>
              <w:t>ID</w:t>
            </w:r>
          </w:p>
        </w:tc>
        <w:tc>
          <w:tcPr>
            <w:tcW w:w="0" w:type="auto"/>
            <w:shd w:val="clear" w:color="auto" w:fill="auto"/>
          </w:tcPr>
          <w:p w14:paraId="27899E42" w14:textId="77777777" w:rsidR="008C5CFA" w:rsidRPr="009143B4" w:rsidRDefault="00E82A60" w:rsidP="00300A01">
            <w:pPr>
              <w:spacing w:before="0" w:after="0"/>
              <w:rPr>
                <w:b/>
                <w:sz w:val="16"/>
                <w:szCs w:val="16"/>
                <w:lang w:val="fr-BE"/>
              </w:rPr>
            </w:pPr>
            <w:r w:rsidRPr="009143B4">
              <w:rPr>
                <w:b/>
                <w:noProof/>
                <w:sz w:val="16"/>
                <w:szCs w:val="16"/>
                <w:lang w:val="fr-BE"/>
              </w:rPr>
              <w:t>Wskaźnik</w:t>
            </w:r>
          </w:p>
        </w:tc>
        <w:tc>
          <w:tcPr>
            <w:tcW w:w="0" w:type="auto"/>
          </w:tcPr>
          <w:p w14:paraId="658907CA" w14:textId="77777777" w:rsidR="008C5CFA" w:rsidRPr="009143B4" w:rsidRDefault="00E82A60" w:rsidP="00300A01">
            <w:pPr>
              <w:spacing w:before="0" w:after="0"/>
              <w:jc w:val="center"/>
              <w:rPr>
                <w:b/>
                <w:sz w:val="16"/>
                <w:szCs w:val="16"/>
                <w:lang w:val="fr-BE"/>
              </w:rPr>
            </w:pPr>
            <w:r>
              <w:rPr>
                <w:b/>
                <w:sz w:val="16"/>
                <w:szCs w:val="16"/>
                <w:lang w:val="fr-BE"/>
              </w:rPr>
              <w:t xml:space="preserve">2018 </w:t>
            </w:r>
            <w:r w:rsidRPr="009143B4">
              <w:rPr>
                <w:b/>
                <w:noProof/>
                <w:sz w:val="16"/>
                <w:szCs w:val="16"/>
                <w:lang w:val="fr-BE"/>
              </w:rPr>
              <w:t>Ogółem</w:t>
            </w:r>
          </w:p>
        </w:tc>
        <w:tc>
          <w:tcPr>
            <w:tcW w:w="0" w:type="auto"/>
          </w:tcPr>
          <w:p w14:paraId="54FCCAF7" w14:textId="77777777" w:rsidR="008C5CFA" w:rsidRPr="009143B4" w:rsidRDefault="00E82A60" w:rsidP="00300A01">
            <w:pPr>
              <w:spacing w:before="0" w:after="0"/>
              <w:jc w:val="center"/>
              <w:rPr>
                <w:b/>
                <w:sz w:val="16"/>
                <w:szCs w:val="16"/>
                <w:lang w:val="fr-BE"/>
              </w:rPr>
            </w:pPr>
            <w:r>
              <w:rPr>
                <w:b/>
                <w:sz w:val="16"/>
                <w:szCs w:val="16"/>
                <w:lang w:val="fr-BE"/>
              </w:rPr>
              <w:t xml:space="preserve">2018 </w:t>
            </w:r>
            <w:r w:rsidRPr="009143B4">
              <w:rPr>
                <w:b/>
                <w:noProof/>
                <w:sz w:val="16"/>
                <w:szCs w:val="16"/>
                <w:lang w:val="fr-BE"/>
              </w:rPr>
              <w:t>Mężczyźni</w:t>
            </w:r>
          </w:p>
        </w:tc>
        <w:tc>
          <w:tcPr>
            <w:tcW w:w="0" w:type="auto"/>
          </w:tcPr>
          <w:p w14:paraId="010345DE" w14:textId="77777777" w:rsidR="008C5CFA" w:rsidRPr="009143B4" w:rsidRDefault="00E82A60" w:rsidP="00300A01">
            <w:pPr>
              <w:spacing w:before="0" w:after="0"/>
              <w:jc w:val="center"/>
              <w:rPr>
                <w:b/>
                <w:sz w:val="16"/>
                <w:szCs w:val="16"/>
                <w:lang w:val="fr-BE"/>
              </w:rPr>
            </w:pPr>
            <w:r>
              <w:rPr>
                <w:b/>
                <w:sz w:val="16"/>
                <w:szCs w:val="16"/>
                <w:lang w:val="fr-BE"/>
              </w:rPr>
              <w:t xml:space="preserve">2018 </w:t>
            </w:r>
            <w:r w:rsidRPr="009143B4">
              <w:rPr>
                <w:b/>
                <w:noProof/>
                <w:sz w:val="16"/>
                <w:szCs w:val="16"/>
                <w:lang w:val="fr-BE"/>
              </w:rPr>
              <w:t>Kobiety</w:t>
            </w:r>
          </w:p>
        </w:tc>
        <w:tc>
          <w:tcPr>
            <w:tcW w:w="0" w:type="auto"/>
          </w:tcPr>
          <w:p w14:paraId="759C0AD8" w14:textId="77777777" w:rsidR="008C5CFA" w:rsidRPr="009143B4" w:rsidRDefault="00E82A60"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Ogółem</w:t>
            </w:r>
          </w:p>
        </w:tc>
        <w:tc>
          <w:tcPr>
            <w:tcW w:w="0" w:type="auto"/>
          </w:tcPr>
          <w:p w14:paraId="7E58FF52" w14:textId="77777777" w:rsidR="008C5CFA" w:rsidRPr="009143B4" w:rsidRDefault="00E82A60"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Mężczyźni</w:t>
            </w:r>
          </w:p>
        </w:tc>
        <w:tc>
          <w:tcPr>
            <w:tcW w:w="0" w:type="auto"/>
          </w:tcPr>
          <w:p w14:paraId="3747E619" w14:textId="77777777" w:rsidR="008C5CFA" w:rsidRPr="009143B4" w:rsidRDefault="00E82A60"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Kobiety</w:t>
            </w:r>
          </w:p>
        </w:tc>
        <w:tc>
          <w:tcPr>
            <w:tcW w:w="0" w:type="auto"/>
            <w:shd w:val="clear" w:color="auto" w:fill="auto"/>
          </w:tcPr>
          <w:p w14:paraId="5C5329EB" w14:textId="77777777" w:rsidR="008C5CFA" w:rsidRPr="009143B4" w:rsidRDefault="00E82A60"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Ogółem</w:t>
            </w:r>
          </w:p>
        </w:tc>
        <w:tc>
          <w:tcPr>
            <w:tcW w:w="0" w:type="auto"/>
            <w:shd w:val="clear" w:color="auto" w:fill="auto"/>
          </w:tcPr>
          <w:p w14:paraId="7D7BF83B" w14:textId="77777777" w:rsidR="008C5CFA" w:rsidRPr="009143B4" w:rsidRDefault="00E82A60"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Mężczyźni</w:t>
            </w:r>
          </w:p>
        </w:tc>
        <w:tc>
          <w:tcPr>
            <w:tcW w:w="0" w:type="auto"/>
            <w:shd w:val="clear" w:color="auto" w:fill="auto"/>
          </w:tcPr>
          <w:p w14:paraId="17EEE3CD" w14:textId="77777777" w:rsidR="008C5CFA" w:rsidRPr="009143B4" w:rsidRDefault="00E82A60"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Kobiety</w:t>
            </w:r>
          </w:p>
        </w:tc>
      </w:tr>
      <w:tr w:rsidR="006B2EC1" w14:paraId="2B013CFE" w14:textId="77777777" w:rsidTr="0047688D">
        <w:tc>
          <w:tcPr>
            <w:tcW w:w="0" w:type="auto"/>
          </w:tcPr>
          <w:p w14:paraId="71848FFF" w14:textId="77777777" w:rsidR="008C5CFA" w:rsidRPr="0024468B" w:rsidRDefault="00E82A60" w:rsidP="00300A01">
            <w:pPr>
              <w:spacing w:before="0" w:after="0"/>
              <w:rPr>
                <w:sz w:val="16"/>
                <w:szCs w:val="16"/>
                <w:lang w:val="fr-BE"/>
              </w:rPr>
            </w:pPr>
            <w:r>
              <w:rPr>
                <w:noProof/>
                <w:sz w:val="16"/>
                <w:szCs w:val="16"/>
                <w:lang w:val="fr-BE"/>
              </w:rPr>
              <w:t>F</w:t>
            </w:r>
          </w:p>
        </w:tc>
        <w:tc>
          <w:tcPr>
            <w:tcW w:w="0" w:type="auto"/>
            <w:shd w:val="clear" w:color="auto" w:fill="auto"/>
          </w:tcPr>
          <w:p w14:paraId="05952BA4" w14:textId="77777777" w:rsidR="008C5CFA" w:rsidRPr="0024468B" w:rsidRDefault="00E82A60" w:rsidP="00300A01">
            <w:pPr>
              <w:spacing w:before="0" w:after="0"/>
              <w:rPr>
                <w:sz w:val="16"/>
                <w:szCs w:val="16"/>
                <w:lang w:val="fr-BE"/>
              </w:rPr>
            </w:pPr>
            <w:r w:rsidRPr="0024468B">
              <w:rPr>
                <w:noProof/>
                <w:sz w:val="16"/>
                <w:szCs w:val="16"/>
                <w:lang w:val="fr-BE"/>
              </w:rPr>
              <w:t>CO37</w:t>
            </w:r>
          </w:p>
        </w:tc>
        <w:tc>
          <w:tcPr>
            <w:tcW w:w="0" w:type="auto"/>
            <w:shd w:val="clear" w:color="auto" w:fill="auto"/>
          </w:tcPr>
          <w:p w14:paraId="46B7EBC0" w14:textId="77777777" w:rsidR="008C5CFA" w:rsidRPr="0024468B" w:rsidRDefault="00E82A60" w:rsidP="00300A01">
            <w:pPr>
              <w:spacing w:before="0" w:after="0"/>
              <w:rPr>
                <w:sz w:val="16"/>
                <w:szCs w:val="16"/>
                <w:lang w:val="fr-BE"/>
              </w:rPr>
            </w:pPr>
            <w:r w:rsidRPr="0024468B">
              <w:rPr>
                <w:noProof/>
                <w:sz w:val="16"/>
                <w:szCs w:val="16"/>
                <w:lang w:val="fr-BE"/>
              </w:rPr>
              <w:t>Rozwój obszarów miejskich: ludność mieszkająca na obszarach objętych zintegrowanymi strategiami rozwoju obszarów miejskich</w:t>
            </w:r>
          </w:p>
        </w:tc>
        <w:tc>
          <w:tcPr>
            <w:tcW w:w="0" w:type="auto"/>
          </w:tcPr>
          <w:p w14:paraId="18DBEEEF"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4869F38E"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23B17949"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6A86B22B"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4C6E14DB"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3622EB5A"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74ABB4B5"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7A407BDC"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16DCADB9"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r w:rsidR="006B2EC1" w14:paraId="2755385B" w14:textId="77777777" w:rsidTr="0047688D">
        <w:tc>
          <w:tcPr>
            <w:tcW w:w="0" w:type="auto"/>
          </w:tcPr>
          <w:p w14:paraId="698DAB3F" w14:textId="77777777" w:rsidR="008C5CFA" w:rsidRPr="0024468B" w:rsidRDefault="00E82A60" w:rsidP="00300A01">
            <w:pPr>
              <w:spacing w:before="0" w:after="0"/>
              <w:rPr>
                <w:sz w:val="16"/>
                <w:szCs w:val="16"/>
                <w:lang w:val="fr-BE"/>
              </w:rPr>
            </w:pPr>
            <w:r>
              <w:rPr>
                <w:noProof/>
                <w:sz w:val="16"/>
                <w:szCs w:val="16"/>
                <w:lang w:val="fr-BE"/>
              </w:rPr>
              <w:t>S</w:t>
            </w:r>
          </w:p>
        </w:tc>
        <w:tc>
          <w:tcPr>
            <w:tcW w:w="0" w:type="auto"/>
            <w:shd w:val="clear" w:color="auto" w:fill="auto"/>
          </w:tcPr>
          <w:p w14:paraId="7AEF7AF5" w14:textId="77777777" w:rsidR="008C5CFA" w:rsidRPr="0024468B" w:rsidRDefault="00E82A60" w:rsidP="00300A01">
            <w:pPr>
              <w:spacing w:before="0" w:after="0"/>
              <w:rPr>
                <w:sz w:val="16"/>
                <w:szCs w:val="16"/>
                <w:lang w:val="fr-BE"/>
              </w:rPr>
            </w:pPr>
            <w:r w:rsidRPr="0024468B">
              <w:rPr>
                <w:noProof/>
                <w:sz w:val="16"/>
                <w:szCs w:val="16"/>
                <w:lang w:val="fr-BE"/>
              </w:rPr>
              <w:t>CO37</w:t>
            </w:r>
          </w:p>
        </w:tc>
        <w:tc>
          <w:tcPr>
            <w:tcW w:w="0" w:type="auto"/>
            <w:shd w:val="clear" w:color="auto" w:fill="auto"/>
          </w:tcPr>
          <w:p w14:paraId="504CF87F" w14:textId="77777777" w:rsidR="008C5CFA" w:rsidRPr="0024468B" w:rsidRDefault="00E82A60" w:rsidP="00300A01">
            <w:pPr>
              <w:spacing w:before="0" w:after="0"/>
              <w:rPr>
                <w:sz w:val="16"/>
                <w:szCs w:val="16"/>
                <w:lang w:val="fr-BE"/>
              </w:rPr>
            </w:pPr>
            <w:r w:rsidRPr="0024468B">
              <w:rPr>
                <w:noProof/>
                <w:sz w:val="16"/>
                <w:szCs w:val="16"/>
                <w:lang w:val="fr-BE"/>
              </w:rPr>
              <w:t>Rozwój obszarów miejskich: ludność mieszkająca na obszarach objętych zintegrowanymi strategiami rozwoju obszarów miejskich</w:t>
            </w:r>
          </w:p>
        </w:tc>
        <w:tc>
          <w:tcPr>
            <w:tcW w:w="0" w:type="auto"/>
          </w:tcPr>
          <w:p w14:paraId="33E604C4"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1A51AADF"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4A14F46B"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20F18AAF"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6D621EEF"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68499BFA"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6AF1A80D"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53C8D995"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5B500178"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r w:rsidR="006B2EC1" w14:paraId="4B2A365E" w14:textId="77777777" w:rsidTr="0047688D">
        <w:tc>
          <w:tcPr>
            <w:tcW w:w="0" w:type="auto"/>
          </w:tcPr>
          <w:p w14:paraId="0B5FB3C8" w14:textId="77777777" w:rsidR="008C5CFA" w:rsidRPr="0024468B" w:rsidRDefault="00E82A60" w:rsidP="00300A01">
            <w:pPr>
              <w:spacing w:before="0" w:after="0"/>
              <w:rPr>
                <w:sz w:val="16"/>
                <w:szCs w:val="16"/>
                <w:lang w:val="fr-BE"/>
              </w:rPr>
            </w:pPr>
            <w:r>
              <w:rPr>
                <w:noProof/>
                <w:sz w:val="16"/>
                <w:szCs w:val="16"/>
                <w:lang w:val="fr-BE"/>
              </w:rPr>
              <w:t>F</w:t>
            </w:r>
          </w:p>
        </w:tc>
        <w:tc>
          <w:tcPr>
            <w:tcW w:w="0" w:type="auto"/>
            <w:shd w:val="clear" w:color="auto" w:fill="auto"/>
          </w:tcPr>
          <w:p w14:paraId="7180C663" w14:textId="77777777" w:rsidR="008C5CFA" w:rsidRPr="0024468B" w:rsidRDefault="00E82A60" w:rsidP="00300A01">
            <w:pPr>
              <w:spacing w:before="0" w:after="0"/>
              <w:rPr>
                <w:sz w:val="16"/>
                <w:szCs w:val="16"/>
                <w:lang w:val="fr-BE"/>
              </w:rPr>
            </w:pPr>
            <w:r>
              <w:rPr>
                <w:noProof/>
                <w:sz w:val="16"/>
                <w:szCs w:val="16"/>
                <w:lang w:val="fr-BE"/>
              </w:rPr>
              <w:t>041</w:t>
            </w:r>
          </w:p>
        </w:tc>
        <w:tc>
          <w:tcPr>
            <w:tcW w:w="0" w:type="auto"/>
            <w:shd w:val="clear" w:color="auto" w:fill="auto"/>
          </w:tcPr>
          <w:p w14:paraId="7447AFC9" w14:textId="77777777" w:rsidR="008C5CFA" w:rsidRPr="0024468B" w:rsidRDefault="00E82A60" w:rsidP="00300A01">
            <w:pPr>
              <w:spacing w:before="0" w:after="0"/>
              <w:rPr>
                <w:sz w:val="16"/>
                <w:szCs w:val="16"/>
                <w:lang w:val="fr-BE"/>
              </w:rPr>
            </w:pPr>
            <w:r>
              <w:rPr>
                <w:noProof/>
                <w:sz w:val="16"/>
                <w:szCs w:val="16"/>
                <w:lang w:val="fr-BE"/>
              </w:rPr>
              <w:t>Powierzchnia obszarów objętych rewitalizacją</w:t>
            </w:r>
          </w:p>
        </w:tc>
        <w:tc>
          <w:tcPr>
            <w:tcW w:w="0" w:type="auto"/>
          </w:tcPr>
          <w:p w14:paraId="7D2F9A8B" w14:textId="77777777" w:rsidR="008C5CFA" w:rsidRPr="0024468B" w:rsidRDefault="00E82A60" w:rsidP="00300A01">
            <w:pPr>
              <w:spacing w:before="0" w:after="0"/>
              <w:jc w:val="right"/>
              <w:rPr>
                <w:sz w:val="16"/>
                <w:szCs w:val="16"/>
                <w:lang w:val="fr-BE"/>
              </w:rPr>
            </w:pPr>
            <w:r w:rsidRPr="0024468B">
              <w:rPr>
                <w:noProof/>
                <w:sz w:val="16"/>
                <w:szCs w:val="16"/>
                <w:lang w:val="fr-BE"/>
              </w:rPr>
              <w:t>10,53</w:t>
            </w:r>
          </w:p>
        </w:tc>
        <w:tc>
          <w:tcPr>
            <w:tcW w:w="0" w:type="auto"/>
          </w:tcPr>
          <w:p w14:paraId="2648AF53"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4D7ABB20"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78698866"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03A29FBA"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10D660FD"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0B538927"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1EC15C56"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7B00076F"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r w:rsidR="006B2EC1" w14:paraId="652C0DED" w14:textId="77777777" w:rsidTr="0047688D">
        <w:tc>
          <w:tcPr>
            <w:tcW w:w="0" w:type="auto"/>
          </w:tcPr>
          <w:p w14:paraId="2D749688" w14:textId="77777777" w:rsidR="008C5CFA" w:rsidRPr="0024468B" w:rsidRDefault="00E82A60" w:rsidP="00300A01">
            <w:pPr>
              <w:spacing w:before="0" w:after="0"/>
              <w:rPr>
                <w:sz w:val="16"/>
                <w:szCs w:val="16"/>
                <w:lang w:val="fr-BE"/>
              </w:rPr>
            </w:pPr>
            <w:r>
              <w:rPr>
                <w:noProof/>
                <w:sz w:val="16"/>
                <w:szCs w:val="16"/>
                <w:lang w:val="fr-BE"/>
              </w:rPr>
              <w:t>S</w:t>
            </w:r>
          </w:p>
        </w:tc>
        <w:tc>
          <w:tcPr>
            <w:tcW w:w="0" w:type="auto"/>
            <w:shd w:val="clear" w:color="auto" w:fill="auto"/>
          </w:tcPr>
          <w:p w14:paraId="6CBFA5D6" w14:textId="77777777" w:rsidR="008C5CFA" w:rsidRPr="0024468B" w:rsidRDefault="00E82A60" w:rsidP="00300A01">
            <w:pPr>
              <w:spacing w:before="0" w:after="0"/>
              <w:rPr>
                <w:sz w:val="16"/>
                <w:szCs w:val="16"/>
                <w:lang w:val="fr-BE"/>
              </w:rPr>
            </w:pPr>
            <w:r>
              <w:rPr>
                <w:noProof/>
                <w:sz w:val="16"/>
                <w:szCs w:val="16"/>
                <w:lang w:val="fr-BE"/>
              </w:rPr>
              <w:t>041</w:t>
            </w:r>
          </w:p>
        </w:tc>
        <w:tc>
          <w:tcPr>
            <w:tcW w:w="0" w:type="auto"/>
            <w:shd w:val="clear" w:color="auto" w:fill="auto"/>
          </w:tcPr>
          <w:p w14:paraId="0F49F90F" w14:textId="77777777" w:rsidR="008C5CFA" w:rsidRPr="0024468B" w:rsidRDefault="00E82A60" w:rsidP="00300A01">
            <w:pPr>
              <w:spacing w:before="0" w:after="0"/>
              <w:rPr>
                <w:sz w:val="16"/>
                <w:szCs w:val="16"/>
                <w:lang w:val="fr-BE"/>
              </w:rPr>
            </w:pPr>
            <w:r>
              <w:rPr>
                <w:noProof/>
                <w:sz w:val="16"/>
                <w:szCs w:val="16"/>
                <w:lang w:val="fr-BE"/>
              </w:rPr>
              <w:t>Powierzchnia obszarów objętych rewitalizacją</w:t>
            </w:r>
          </w:p>
        </w:tc>
        <w:tc>
          <w:tcPr>
            <w:tcW w:w="0" w:type="auto"/>
          </w:tcPr>
          <w:p w14:paraId="23E460BC" w14:textId="77777777" w:rsidR="008C5CFA" w:rsidRPr="0024468B" w:rsidRDefault="00E82A60" w:rsidP="00300A01">
            <w:pPr>
              <w:spacing w:before="0" w:after="0"/>
              <w:jc w:val="right"/>
              <w:rPr>
                <w:sz w:val="16"/>
                <w:szCs w:val="16"/>
                <w:lang w:val="fr-BE"/>
              </w:rPr>
            </w:pPr>
            <w:r w:rsidRPr="0024468B">
              <w:rPr>
                <w:noProof/>
                <w:sz w:val="16"/>
                <w:szCs w:val="16"/>
                <w:lang w:val="fr-BE"/>
              </w:rPr>
              <w:t>195,42</w:t>
            </w:r>
          </w:p>
        </w:tc>
        <w:tc>
          <w:tcPr>
            <w:tcW w:w="0" w:type="auto"/>
          </w:tcPr>
          <w:p w14:paraId="0B5FCD30"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754F6973"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028D57C4"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036CBEC4"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7DDF2065"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73EAC68E"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10D01AAB"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1A9BC6F3"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bl>
    <w:p w14:paraId="661F1908"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01"/>
        <w:gridCol w:w="497"/>
        <w:gridCol w:w="8074"/>
        <w:gridCol w:w="987"/>
        <w:gridCol w:w="1173"/>
        <w:gridCol w:w="996"/>
        <w:gridCol w:w="987"/>
        <w:gridCol w:w="1173"/>
        <w:gridCol w:w="996"/>
      </w:tblGrid>
      <w:tr w:rsidR="006B2EC1" w14:paraId="3A4A1F51" w14:textId="77777777" w:rsidTr="0047688D">
        <w:trPr>
          <w:tblHeader/>
        </w:trPr>
        <w:tc>
          <w:tcPr>
            <w:tcW w:w="0" w:type="auto"/>
          </w:tcPr>
          <w:p w14:paraId="5210433D" w14:textId="77777777" w:rsidR="008C5CFA" w:rsidRPr="009143B4" w:rsidRDefault="00E82A60" w:rsidP="00300A01">
            <w:pPr>
              <w:spacing w:before="0" w:after="0"/>
              <w:rPr>
                <w:b/>
                <w:sz w:val="16"/>
                <w:szCs w:val="16"/>
                <w:lang w:val="fr-BE"/>
              </w:rPr>
            </w:pPr>
            <w:r w:rsidRPr="009143B4">
              <w:rPr>
                <w:b/>
                <w:sz w:val="16"/>
                <w:szCs w:val="16"/>
                <w:lang w:val="fr-BE"/>
              </w:rPr>
              <w:t>(1)</w:t>
            </w:r>
          </w:p>
        </w:tc>
        <w:tc>
          <w:tcPr>
            <w:tcW w:w="0" w:type="auto"/>
            <w:shd w:val="clear" w:color="auto" w:fill="auto"/>
          </w:tcPr>
          <w:p w14:paraId="54F05440" w14:textId="77777777" w:rsidR="008C5CFA" w:rsidRPr="009143B4" w:rsidRDefault="00E82A60" w:rsidP="00300A01">
            <w:pPr>
              <w:spacing w:before="0" w:after="0"/>
              <w:rPr>
                <w:b/>
                <w:sz w:val="16"/>
                <w:szCs w:val="16"/>
                <w:lang w:val="fr-BE"/>
              </w:rPr>
            </w:pPr>
            <w:r w:rsidRPr="009143B4">
              <w:rPr>
                <w:b/>
                <w:noProof/>
                <w:sz w:val="16"/>
                <w:szCs w:val="16"/>
                <w:lang w:val="fr-BE"/>
              </w:rPr>
              <w:t>ID</w:t>
            </w:r>
          </w:p>
        </w:tc>
        <w:tc>
          <w:tcPr>
            <w:tcW w:w="0" w:type="auto"/>
            <w:shd w:val="clear" w:color="auto" w:fill="auto"/>
          </w:tcPr>
          <w:p w14:paraId="22DCF3F8" w14:textId="77777777" w:rsidR="008C5CFA" w:rsidRPr="009143B4" w:rsidRDefault="00E82A60" w:rsidP="00300A01">
            <w:pPr>
              <w:spacing w:before="0" w:after="0"/>
              <w:rPr>
                <w:b/>
                <w:sz w:val="16"/>
                <w:szCs w:val="16"/>
                <w:lang w:val="fr-BE"/>
              </w:rPr>
            </w:pPr>
            <w:r w:rsidRPr="009143B4">
              <w:rPr>
                <w:b/>
                <w:noProof/>
                <w:sz w:val="16"/>
                <w:szCs w:val="16"/>
                <w:lang w:val="fr-BE"/>
              </w:rPr>
              <w:t>Wskaźnik</w:t>
            </w:r>
          </w:p>
        </w:tc>
        <w:tc>
          <w:tcPr>
            <w:tcW w:w="0" w:type="auto"/>
          </w:tcPr>
          <w:p w14:paraId="118826F8" w14:textId="77777777" w:rsidR="008C5CFA" w:rsidRPr="009143B4" w:rsidRDefault="00E82A60"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Ogółem</w:t>
            </w:r>
          </w:p>
        </w:tc>
        <w:tc>
          <w:tcPr>
            <w:tcW w:w="0" w:type="auto"/>
          </w:tcPr>
          <w:p w14:paraId="2F4BC293" w14:textId="77777777" w:rsidR="008C5CFA" w:rsidRPr="009143B4" w:rsidRDefault="00E82A60"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Mężczyźni</w:t>
            </w:r>
          </w:p>
        </w:tc>
        <w:tc>
          <w:tcPr>
            <w:tcW w:w="0" w:type="auto"/>
          </w:tcPr>
          <w:p w14:paraId="08744A03" w14:textId="77777777" w:rsidR="008C5CFA" w:rsidRPr="009143B4" w:rsidRDefault="00E82A60"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Kobiety</w:t>
            </w:r>
          </w:p>
        </w:tc>
        <w:tc>
          <w:tcPr>
            <w:tcW w:w="0" w:type="auto"/>
            <w:shd w:val="clear" w:color="auto" w:fill="auto"/>
          </w:tcPr>
          <w:p w14:paraId="704808F0" w14:textId="77777777" w:rsidR="008C5CFA" w:rsidRPr="009143B4" w:rsidRDefault="00E82A60"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Ogółem</w:t>
            </w:r>
          </w:p>
        </w:tc>
        <w:tc>
          <w:tcPr>
            <w:tcW w:w="0" w:type="auto"/>
            <w:shd w:val="clear" w:color="auto" w:fill="auto"/>
          </w:tcPr>
          <w:p w14:paraId="168BD3B4" w14:textId="77777777" w:rsidR="008C5CFA" w:rsidRPr="009143B4" w:rsidRDefault="00E82A60"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Mężczyźni</w:t>
            </w:r>
          </w:p>
        </w:tc>
        <w:tc>
          <w:tcPr>
            <w:tcW w:w="0" w:type="auto"/>
            <w:shd w:val="clear" w:color="auto" w:fill="auto"/>
          </w:tcPr>
          <w:p w14:paraId="0D456541" w14:textId="77777777" w:rsidR="008C5CFA" w:rsidRPr="009143B4" w:rsidRDefault="00E82A60"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Kobiety</w:t>
            </w:r>
          </w:p>
        </w:tc>
      </w:tr>
      <w:tr w:rsidR="006B2EC1" w14:paraId="27A33E0B" w14:textId="77777777" w:rsidTr="0047688D">
        <w:tc>
          <w:tcPr>
            <w:tcW w:w="0" w:type="auto"/>
          </w:tcPr>
          <w:p w14:paraId="48A042D0" w14:textId="77777777" w:rsidR="008C5CFA" w:rsidRPr="0024468B" w:rsidRDefault="00E82A60" w:rsidP="00300A01">
            <w:pPr>
              <w:spacing w:before="0" w:after="0"/>
              <w:rPr>
                <w:sz w:val="16"/>
                <w:szCs w:val="16"/>
                <w:lang w:val="fr-BE"/>
              </w:rPr>
            </w:pPr>
            <w:r>
              <w:rPr>
                <w:noProof/>
                <w:sz w:val="16"/>
                <w:szCs w:val="16"/>
                <w:lang w:val="fr-BE"/>
              </w:rPr>
              <w:t>F</w:t>
            </w:r>
          </w:p>
        </w:tc>
        <w:tc>
          <w:tcPr>
            <w:tcW w:w="0" w:type="auto"/>
            <w:shd w:val="clear" w:color="auto" w:fill="auto"/>
          </w:tcPr>
          <w:p w14:paraId="472FFDFA" w14:textId="77777777" w:rsidR="008C5CFA" w:rsidRPr="0024468B" w:rsidRDefault="00E82A60" w:rsidP="00300A01">
            <w:pPr>
              <w:spacing w:before="0" w:after="0"/>
              <w:rPr>
                <w:sz w:val="16"/>
                <w:szCs w:val="16"/>
                <w:lang w:val="fr-BE"/>
              </w:rPr>
            </w:pPr>
            <w:r w:rsidRPr="0024468B">
              <w:rPr>
                <w:noProof/>
                <w:sz w:val="16"/>
                <w:szCs w:val="16"/>
                <w:lang w:val="fr-BE"/>
              </w:rPr>
              <w:t>CO37</w:t>
            </w:r>
          </w:p>
        </w:tc>
        <w:tc>
          <w:tcPr>
            <w:tcW w:w="0" w:type="auto"/>
            <w:shd w:val="clear" w:color="auto" w:fill="auto"/>
          </w:tcPr>
          <w:p w14:paraId="172F468D" w14:textId="77777777" w:rsidR="008C5CFA" w:rsidRPr="0024468B" w:rsidRDefault="00E82A60" w:rsidP="00300A01">
            <w:pPr>
              <w:spacing w:before="0" w:after="0"/>
              <w:rPr>
                <w:sz w:val="16"/>
                <w:szCs w:val="16"/>
                <w:lang w:val="fr-BE"/>
              </w:rPr>
            </w:pPr>
            <w:r w:rsidRPr="0024468B">
              <w:rPr>
                <w:noProof/>
                <w:sz w:val="16"/>
                <w:szCs w:val="16"/>
                <w:lang w:val="fr-BE"/>
              </w:rPr>
              <w:t>Rozwój obszarów miejskich: ludność mieszkająca na obszarach objętych zintegrowanymi strategiami rozwoju obszarów miejskich</w:t>
            </w:r>
          </w:p>
        </w:tc>
        <w:tc>
          <w:tcPr>
            <w:tcW w:w="0" w:type="auto"/>
          </w:tcPr>
          <w:p w14:paraId="0BB243D3"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50E0BCC2"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58B646C7"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63C61423"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40FF665F"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21071451"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r w:rsidR="006B2EC1" w14:paraId="5761689E" w14:textId="77777777" w:rsidTr="0047688D">
        <w:tc>
          <w:tcPr>
            <w:tcW w:w="0" w:type="auto"/>
          </w:tcPr>
          <w:p w14:paraId="3C9004F0" w14:textId="77777777" w:rsidR="008C5CFA" w:rsidRPr="0024468B" w:rsidRDefault="00E82A60" w:rsidP="00300A01">
            <w:pPr>
              <w:spacing w:before="0" w:after="0"/>
              <w:rPr>
                <w:sz w:val="16"/>
                <w:szCs w:val="16"/>
                <w:lang w:val="fr-BE"/>
              </w:rPr>
            </w:pPr>
            <w:r>
              <w:rPr>
                <w:noProof/>
                <w:sz w:val="16"/>
                <w:szCs w:val="16"/>
                <w:lang w:val="fr-BE"/>
              </w:rPr>
              <w:t>S</w:t>
            </w:r>
          </w:p>
        </w:tc>
        <w:tc>
          <w:tcPr>
            <w:tcW w:w="0" w:type="auto"/>
            <w:shd w:val="clear" w:color="auto" w:fill="auto"/>
          </w:tcPr>
          <w:p w14:paraId="7C1A35F6" w14:textId="77777777" w:rsidR="008C5CFA" w:rsidRPr="0024468B" w:rsidRDefault="00E82A60" w:rsidP="00300A01">
            <w:pPr>
              <w:spacing w:before="0" w:after="0"/>
              <w:rPr>
                <w:sz w:val="16"/>
                <w:szCs w:val="16"/>
                <w:lang w:val="fr-BE"/>
              </w:rPr>
            </w:pPr>
            <w:r w:rsidRPr="0024468B">
              <w:rPr>
                <w:noProof/>
                <w:sz w:val="16"/>
                <w:szCs w:val="16"/>
                <w:lang w:val="fr-BE"/>
              </w:rPr>
              <w:t>CO37</w:t>
            </w:r>
          </w:p>
        </w:tc>
        <w:tc>
          <w:tcPr>
            <w:tcW w:w="0" w:type="auto"/>
            <w:shd w:val="clear" w:color="auto" w:fill="auto"/>
          </w:tcPr>
          <w:p w14:paraId="14952936" w14:textId="77777777" w:rsidR="008C5CFA" w:rsidRPr="0024468B" w:rsidRDefault="00E82A60" w:rsidP="00300A01">
            <w:pPr>
              <w:spacing w:before="0" w:after="0"/>
              <w:rPr>
                <w:sz w:val="16"/>
                <w:szCs w:val="16"/>
                <w:lang w:val="fr-BE"/>
              </w:rPr>
            </w:pPr>
            <w:r w:rsidRPr="0024468B">
              <w:rPr>
                <w:noProof/>
                <w:sz w:val="16"/>
                <w:szCs w:val="16"/>
                <w:lang w:val="fr-BE"/>
              </w:rPr>
              <w:t>Rozwój obszarów miejskich: ludność mieszkająca na obszarach objętych zintegrowanymi strategiami rozwoju obszarów miejskich</w:t>
            </w:r>
          </w:p>
        </w:tc>
        <w:tc>
          <w:tcPr>
            <w:tcW w:w="0" w:type="auto"/>
          </w:tcPr>
          <w:p w14:paraId="395AC66C"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6A7AF3D9"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09E9CB24"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6922C87E"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76726E40"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1EFC7D58"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r w:rsidR="006B2EC1" w14:paraId="4FED32FE" w14:textId="77777777" w:rsidTr="0047688D">
        <w:tc>
          <w:tcPr>
            <w:tcW w:w="0" w:type="auto"/>
          </w:tcPr>
          <w:p w14:paraId="4EF75275" w14:textId="77777777" w:rsidR="008C5CFA" w:rsidRPr="0024468B" w:rsidRDefault="00E82A60" w:rsidP="00300A01">
            <w:pPr>
              <w:spacing w:before="0" w:after="0"/>
              <w:rPr>
                <w:sz w:val="16"/>
                <w:szCs w:val="16"/>
                <w:lang w:val="fr-BE"/>
              </w:rPr>
            </w:pPr>
            <w:r>
              <w:rPr>
                <w:noProof/>
                <w:sz w:val="16"/>
                <w:szCs w:val="16"/>
                <w:lang w:val="fr-BE"/>
              </w:rPr>
              <w:t>F</w:t>
            </w:r>
          </w:p>
        </w:tc>
        <w:tc>
          <w:tcPr>
            <w:tcW w:w="0" w:type="auto"/>
            <w:shd w:val="clear" w:color="auto" w:fill="auto"/>
          </w:tcPr>
          <w:p w14:paraId="01234346" w14:textId="77777777" w:rsidR="008C5CFA" w:rsidRPr="0024468B" w:rsidRDefault="00E82A60" w:rsidP="00300A01">
            <w:pPr>
              <w:spacing w:before="0" w:after="0"/>
              <w:rPr>
                <w:sz w:val="16"/>
                <w:szCs w:val="16"/>
                <w:lang w:val="fr-BE"/>
              </w:rPr>
            </w:pPr>
            <w:r>
              <w:rPr>
                <w:noProof/>
                <w:sz w:val="16"/>
                <w:szCs w:val="16"/>
                <w:lang w:val="fr-BE"/>
              </w:rPr>
              <w:t>041</w:t>
            </w:r>
          </w:p>
        </w:tc>
        <w:tc>
          <w:tcPr>
            <w:tcW w:w="0" w:type="auto"/>
            <w:shd w:val="clear" w:color="auto" w:fill="auto"/>
          </w:tcPr>
          <w:p w14:paraId="40D89611" w14:textId="77777777" w:rsidR="008C5CFA" w:rsidRPr="0024468B" w:rsidRDefault="00E82A60" w:rsidP="00300A01">
            <w:pPr>
              <w:spacing w:before="0" w:after="0"/>
              <w:rPr>
                <w:sz w:val="16"/>
                <w:szCs w:val="16"/>
                <w:lang w:val="fr-BE"/>
              </w:rPr>
            </w:pPr>
            <w:r>
              <w:rPr>
                <w:noProof/>
                <w:sz w:val="16"/>
                <w:szCs w:val="16"/>
                <w:lang w:val="fr-BE"/>
              </w:rPr>
              <w:t>Powierzchnia obszarów objętych rewitalizacją</w:t>
            </w:r>
          </w:p>
        </w:tc>
        <w:tc>
          <w:tcPr>
            <w:tcW w:w="0" w:type="auto"/>
          </w:tcPr>
          <w:p w14:paraId="5001E883"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7441C2D4"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19DC25AC"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2D9DE544"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1D713ADF"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1BEC3656"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r w:rsidR="006B2EC1" w14:paraId="243C6A89" w14:textId="77777777" w:rsidTr="0047688D">
        <w:tc>
          <w:tcPr>
            <w:tcW w:w="0" w:type="auto"/>
          </w:tcPr>
          <w:p w14:paraId="59CA2B7D" w14:textId="77777777" w:rsidR="008C5CFA" w:rsidRPr="0024468B" w:rsidRDefault="00E82A60" w:rsidP="00300A01">
            <w:pPr>
              <w:spacing w:before="0" w:after="0"/>
              <w:rPr>
                <w:sz w:val="16"/>
                <w:szCs w:val="16"/>
                <w:lang w:val="fr-BE"/>
              </w:rPr>
            </w:pPr>
            <w:r>
              <w:rPr>
                <w:noProof/>
                <w:sz w:val="16"/>
                <w:szCs w:val="16"/>
                <w:lang w:val="fr-BE"/>
              </w:rPr>
              <w:lastRenderedPageBreak/>
              <w:t>S</w:t>
            </w:r>
          </w:p>
        </w:tc>
        <w:tc>
          <w:tcPr>
            <w:tcW w:w="0" w:type="auto"/>
            <w:shd w:val="clear" w:color="auto" w:fill="auto"/>
          </w:tcPr>
          <w:p w14:paraId="3BF345DC" w14:textId="77777777" w:rsidR="008C5CFA" w:rsidRPr="0024468B" w:rsidRDefault="00E82A60" w:rsidP="00300A01">
            <w:pPr>
              <w:spacing w:before="0" w:after="0"/>
              <w:rPr>
                <w:sz w:val="16"/>
                <w:szCs w:val="16"/>
                <w:lang w:val="fr-BE"/>
              </w:rPr>
            </w:pPr>
            <w:r>
              <w:rPr>
                <w:noProof/>
                <w:sz w:val="16"/>
                <w:szCs w:val="16"/>
                <w:lang w:val="fr-BE"/>
              </w:rPr>
              <w:t>041</w:t>
            </w:r>
          </w:p>
        </w:tc>
        <w:tc>
          <w:tcPr>
            <w:tcW w:w="0" w:type="auto"/>
            <w:shd w:val="clear" w:color="auto" w:fill="auto"/>
          </w:tcPr>
          <w:p w14:paraId="7ECBCE87" w14:textId="77777777" w:rsidR="008C5CFA" w:rsidRPr="0024468B" w:rsidRDefault="00E82A60" w:rsidP="00300A01">
            <w:pPr>
              <w:spacing w:before="0" w:after="0"/>
              <w:rPr>
                <w:sz w:val="16"/>
                <w:szCs w:val="16"/>
                <w:lang w:val="fr-BE"/>
              </w:rPr>
            </w:pPr>
            <w:r>
              <w:rPr>
                <w:noProof/>
                <w:sz w:val="16"/>
                <w:szCs w:val="16"/>
                <w:lang w:val="fr-BE"/>
              </w:rPr>
              <w:t>Powierzchnia obszarów objętych rewitalizacją</w:t>
            </w:r>
          </w:p>
        </w:tc>
        <w:tc>
          <w:tcPr>
            <w:tcW w:w="0" w:type="auto"/>
          </w:tcPr>
          <w:p w14:paraId="6BBF076D"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1A8CE081"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298D6ABD"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31449F24"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3099F0AF"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1CB343CA"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bl>
    <w:p w14:paraId="3CCFCE8E" w14:textId="77777777" w:rsidR="008C5CFA" w:rsidRDefault="008C5CFA" w:rsidP="00300A01">
      <w:pPr>
        <w:spacing w:before="0" w:after="0"/>
        <w:rPr>
          <w:lang w:val="fr-BE"/>
        </w:rPr>
      </w:pPr>
    </w:p>
    <w:p w14:paraId="0B33EDB0" w14:textId="77777777" w:rsidR="008C5CFA" w:rsidRDefault="008C5CFA" w:rsidP="00300A01">
      <w:pPr>
        <w:spacing w:before="0" w:after="0"/>
        <w:rPr>
          <w:lang w:val="fr-BE"/>
        </w:rPr>
      </w:pPr>
    </w:p>
    <w:p w14:paraId="62323315" w14:textId="77777777" w:rsidR="008C5CFA" w:rsidRDefault="00E82A60" w:rsidP="00300A01">
      <w:pPr>
        <w:spacing w:before="0" w:after="0"/>
        <w:rPr>
          <w:lang w:val="fr-BE"/>
        </w:rPr>
      </w:pPr>
      <w:r>
        <w:rPr>
          <w:lang w:val="fr-BE"/>
        </w:rPr>
        <w:br w:type="page"/>
      </w:r>
    </w:p>
    <w:p w14:paraId="3ADE84AC"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1"/>
        <w:gridCol w:w="12603"/>
      </w:tblGrid>
      <w:tr w:rsidR="006B2EC1" w14:paraId="7B541713" w14:textId="77777777" w:rsidTr="0047688D">
        <w:tc>
          <w:tcPr>
            <w:tcW w:w="0" w:type="auto"/>
            <w:shd w:val="clear" w:color="auto" w:fill="auto"/>
          </w:tcPr>
          <w:p w14:paraId="05947E60" w14:textId="77777777" w:rsidR="008C5CFA" w:rsidRPr="002124FC" w:rsidRDefault="00E82A60" w:rsidP="00300A01">
            <w:pPr>
              <w:spacing w:before="0" w:after="0"/>
              <w:rPr>
                <w:sz w:val="20"/>
                <w:szCs w:val="20"/>
                <w:lang w:val="fr-BE"/>
              </w:rPr>
            </w:pPr>
            <w:r>
              <w:rPr>
                <w:lang w:val="fr-BE"/>
              </w:rPr>
              <w:br w:type="page"/>
            </w:r>
            <w:r>
              <w:rPr>
                <w:lang w:val="fr-BE"/>
              </w:rPr>
              <w:br w:type="page"/>
            </w:r>
            <w:r>
              <w:rPr>
                <w:lang w:val="fr-BE"/>
              </w:rPr>
              <w:br w:type="page"/>
            </w:r>
            <w:r w:rsidRPr="002124FC">
              <w:rPr>
                <w:noProof/>
                <w:sz w:val="20"/>
                <w:szCs w:val="20"/>
                <w:lang w:val="fr-BE"/>
              </w:rPr>
              <w:t>Oś priorytetowa</w:t>
            </w:r>
          </w:p>
        </w:tc>
        <w:tc>
          <w:tcPr>
            <w:tcW w:w="0" w:type="auto"/>
            <w:shd w:val="clear" w:color="auto" w:fill="auto"/>
          </w:tcPr>
          <w:p w14:paraId="2CC0CBB8" w14:textId="77777777" w:rsidR="008C5CFA" w:rsidRPr="002124FC" w:rsidRDefault="00E82A60" w:rsidP="00300A01">
            <w:pPr>
              <w:spacing w:before="0" w:after="0"/>
              <w:rPr>
                <w:sz w:val="20"/>
                <w:szCs w:val="20"/>
                <w:lang w:val="fr-BE"/>
              </w:rPr>
            </w:pPr>
            <w:r>
              <w:rPr>
                <w:noProof/>
                <w:sz w:val="20"/>
                <w:szCs w:val="20"/>
                <w:lang w:val="fr-BE"/>
              </w:rPr>
              <w:t>6</w:t>
            </w:r>
            <w:r w:rsidRPr="002124FC">
              <w:rPr>
                <w:sz w:val="20"/>
                <w:szCs w:val="20"/>
                <w:lang w:val="fr-BE"/>
              </w:rPr>
              <w:t xml:space="preserve"> - </w:t>
            </w:r>
            <w:r>
              <w:rPr>
                <w:noProof/>
                <w:sz w:val="20"/>
                <w:szCs w:val="20"/>
                <w:lang w:val="fr-BE"/>
              </w:rPr>
              <w:t>Rozwój miast</w:t>
            </w:r>
          </w:p>
        </w:tc>
      </w:tr>
      <w:tr w:rsidR="006B2EC1" w14:paraId="2B388621" w14:textId="77777777" w:rsidTr="0047688D">
        <w:tc>
          <w:tcPr>
            <w:tcW w:w="0" w:type="auto"/>
            <w:shd w:val="clear" w:color="auto" w:fill="auto"/>
          </w:tcPr>
          <w:p w14:paraId="64062DCF" w14:textId="77777777" w:rsidR="008C5CFA" w:rsidRPr="002124FC" w:rsidRDefault="00E82A60"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14:paraId="5C184C6B" w14:textId="77777777" w:rsidR="008C5CFA" w:rsidRPr="002124FC" w:rsidRDefault="00E82A60" w:rsidP="00300A01">
            <w:pPr>
              <w:spacing w:before="0" w:after="0"/>
              <w:rPr>
                <w:sz w:val="20"/>
                <w:szCs w:val="20"/>
                <w:lang w:val="fr-BE"/>
              </w:rPr>
            </w:pPr>
            <w:r w:rsidRPr="002124FC">
              <w:rPr>
                <w:noProof/>
                <w:sz w:val="20"/>
                <w:szCs w:val="20"/>
                <w:lang w:val="fr-BE"/>
              </w:rPr>
              <w:t>9b</w:t>
            </w:r>
            <w:r w:rsidRPr="002124FC">
              <w:rPr>
                <w:sz w:val="20"/>
                <w:szCs w:val="20"/>
                <w:lang w:val="fr-BE"/>
              </w:rPr>
              <w:t xml:space="preserve"> - </w:t>
            </w:r>
            <w:r>
              <w:rPr>
                <w:noProof/>
                <w:sz w:val="20"/>
                <w:szCs w:val="20"/>
                <w:lang w:val="fr-BE"/>
              </w:rPr>
              <w:t>Wsparcie rewitalizacji fizycznej, gospodarczej i społecznej ubogich społeczności na obszarach miejskich i wiejskich</w:t>
            </w:r>
          </w:p>
        </w:tc>
      </w:tr>
      <w:tr w:rsidR="006B2EC1" w14:paraId="0FCAE93B" w14:textId="77777777" w:rsidTr="0047688D">
        <w:tc>
          <w:tcPr>
            <w:tcW w:w="0" w:type="auto"/>
            <w:shd w:val="clear" w:color="auto" w:fill="auto"/>
          </w:tcPr>
          <w:p w14:paraId="327E70FD" w14:textId="77777777" w:rsidR="008C5CFA" w:rsidRPr="002124FC" w:rsidRDefault="00E82A60" w:rsidP="00300A01">
            <w:pPr>
              <w:spacing w:before="0" w:after="0"/>
              <w:ind w:left="113" w:hanging="113"/>
              <w:rPr>
                <w:sz w:val="20"/>
                <w:szCs w:val="20"/>
                <w:lang w:val="fr-BE"/>
              </w:rPr>
            </w:pPr>
            <w:r>
              <w:rPr>
                <w:noProof/>
                <w:sz w:val="20"/>
                <w:szCs w:val="20"/>
                <w:lang w:val="fr-BE"/>
              </w:rPr>
              <w:t>Cel szczegółowy</w:t>
            </w:r>
          </w:p>
        </w:tc>
        <w:tc>
          <w:tcPr>
            <w:tcW w:w="0" w:type="auto"/>
            <w:shd w:val="clear" w:color="auto" w:fill="auto"/>
          </w:tcPr>
          <w:p w14:paraId="37C15AF3" w14:textId="77777777" w:rsidR="008C5CFA" w:rsidRPr="002124FC" w:rsidRDefault="00E82A60" w:rsidP="00300A01">
            <w:pPr>
              <w:spacing w:before="0" w:after="0"/>
              <w:rPr>
                <w:sz w:val="20"/>
                <w:szCs w:val="20"/>
                <w:lang w:val="fr-BE"/>
              </w:rPr>
            </w:pPr>
            <w:r>
              <w:rPr>
                <w:noProof/>
                <w:sz w:val="20"/>
                <w:szCs w:val="20"/>
                <w:lang w:val="fr-BE"/>
              </w:rPr>
              <w:t>1</w:t>
            </w:r>
            <w:r>
              <w:rPr>
                <w:sz w:val="20"/>
                <w:szCs w:val="20"/>
                <w:lang w:val="fr-BE"/>
              </w:rPr>
              <w:t xml:space="preserve"> - </w:t>
            </w:r>
            <w:r>
              <w:rPr>
                <w:noProof/>
                <w:sz w:val="20"/>
                <w:szCs w:val="20"/>
                <w:lang w:val="fr-BE"/>
              </w:rPr>
              <w:t>Wzmocniony rozwój społeczno-gospodarczy, fizyczny  i przestrzenny obszarów miejskich, w tym poprzemysłowych.</w:t>
            </w:r>
          </w:p>
        </w:tc>
      </w:tr>
    </w:tbl>
    <w:p w14:paraId="766244D0" w14:textId="77777777" w:rsidR="008C5CFA" w:rsidRDefault="008C5CFA" w:rsidP="00300A01">
      <w:pPr>
        <w:spacing w:before="0" w:after="0"/>
        <w:rPr>
          <w:lang w:val="fr-BE"/>
        </w:rPr>
      </w:pPr>
    </w:p>
    <w:p w14:paraId="32F6CB3C" w14:textId="77777777" w:rsidR="008C5CFA" w:rsidRDefault="00E82A60" w:rsidP="00300A01">
      <w:pPr>
        <w:spacing w:before="0" w:after="0"/>
        <w:rPr>
          <w:lang w:val="fr-BE"/>
        </w:rPr>
      </w:pPr>
      <w:r>
        <w:rPr>
          <w:lang w:val="fr-BE"/>
        </w:rPr>
        <w:t xml:space="preserve">Tabela 1: Wskaźniki rezultatu dla EFRR i Funduszu Spójności (według osi priorytetowej i celu szczegółowego); ma zastosowanie także do osi priorytetowej </w:t>
      </w:r>
      <w:r>
        <w:t>"</w:t>
      </w:r>
      <w:r>
        <w:rPr>
          <w:lang w:val="fr-BE"/>
        </w:rPr>
        <w:t>Pomoc techniczna</w:t>
      </w:r>
      <w:r>
        <w:t>"</w:t>
      </w:r>
    </w:p>
    <w:p w14:paraId="40DF9763"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
        <w:gridCol w:w="4732"/>
        <w:gridCol w:w="1292"/>
        <w:gridCol w:w="1409"/>
        <w:gridCol w:w="1309"/>
        <w:gridCol w:w="1046"/>
        <w:gridCol w:w="1806"/>
        <w:gridCol w:w="1119"/>
        <w:gridCol w:w="1346"/>
        <w:gridCol w:w="659"/>
      </w:tblGrid>
      <w:tr w:rsidR="006B2EC1" w14:paraId="4E8D2F15" w14:textId="77777777" w:rsidTr="0047688D">
        <w:tc>
          <w:tcPr>
            <w:tcW w:w="0" w:type="auto"/>
            <w:shd w:val="clear" w:color="auto" w:fill="auto"/>
          </w:tcPr>
          <w:p w14:paraId="5CBF7B98" w14:textId="77777777" w:rsidR="008C5CFA" w:rsidRPr="0024468B" w:rsidRDefault="00E82A60" w:rsidP="00300A01">
            <w:pPr>
              <w:spacing w:before="0" w:after="0"/>
              <w:rPr>
                <w:sz w:val="16"/>
                <w:szCs w:val="16"/>
                <w:lang w:val="fr-BE"/>
              </w:rPr>
            </w:pPr>
            <w:r w:rsidRPr="0024468B">
              <w:rPr>
                <w:noProof/>
                <w:sz w:val="16"/>
                <w:szCs w:val="16"/>
                <w:lang w:val="fr-BE"/>
              </w:rPr>
              <w:t>ID</w:t>
            </w:r>
          </w:p>
        </w:tc>
        <w:tc>
          <w:tcPr>
            <w:tcW w:w="0" w:type="auto"/>
            <w:shd w:val="clear" w:color="auto" w:fill="auto"/>
          </w:tcPr>
          <w:p w14:paraId="38F54CC3" w14:textId="77777777" w:rsidR="008C5CFA" w:rsidRPr="0024468B" w:rsidRDefault="00E82A60" w:rsidP="00300A01">
            <w:pPr>
              <w:spacing w:before="0" w:after="0"/>
              <w:rPr>
                <w:sz w:val="16"/>
                <w:szCs w:val="16"/>
                <w:lang w:val="fr-BE"/>
              </w:rPr>
            </w:pPr>
            <w:r w:rsidRPr="0024468B">
              <w:rPr>
                <w:noProof/>
                <w:sz w:val="16"/>
                <w:szCs w:val="16"/>
                <w:lang w:val="fr-BE"/>
              </w:rPr>
              <w:t>Wskaźnik</w:t>
            </w:r>
          </w:p>
        </w:tc>
        <w:tc>
          <w:tcPr>
            <w:tcW w:w="0" w:type="auto"/>
            <w:shd w:val="clear" w:color="auto" w:fill="auto"/>
          </w:tcPr>
          <w:p w14:paraId="358EA6D0" w14:textId="77777777" w:rsidR="008C5CFA" w:rsidRPr="0024468B" w:rsidRDefault="00E82A60" w:rsidP="00300A01">
            <w:pPr>
              <w:spacing w:before="0" w:after="0"/>
              <w:rPr>
                <w:sz w:val="16"/>
                <w:szCs w:val="16"/>
                <w:lang w:val="fr-BE"/>
              </w:rPr>
            </w:pPr>
            <w:r w:rsidRPr="0024468B">
              <w:rPr>
                <w:noProof/>
                <w:sz w:val="16"/>
                <w:szCs w:val="16"/>
                <w:lang w:val="fr-BE"/>
              </w:rPr>
              <w:t>Jednostka miary</w:t>
            </w:r>
          </w:p>
        </w:tc>
        <w:tc>
          <w:tcPr>
            <w:tcW w:w="0" w:type="auto"/>
            <w:shd w:val="clear" w:color="auto" w:fill="auto"/>
          </w:tcPr>
          <w:p w14:paraId="3CA24876" w14:textId="77777777" w:rsidR="008C5CFA" w:rsidRPr="0024468B" w:rsidRDefault="00E82A60" w:rsidP="00300A01">
            <w:pPr>
              <w:spacing w:before="0" w:after="0"/>
              <w:rPr>
                <w:sz w:val="16"/>
                <w:szCs w:val="16"/>
                <w:lang w:val="fr-BE"/>
              </w:rPr>
            </w:pPr>
            <w:r w:rsidRPr="0024468B">
              <w:rPr>
                <w:noProof/>
                <w:sz w:val="16"/>
                <w:szCs w:val="16"/>
                <w:lang w:val="fr-BE"/>
              </w:rPr>
              <w:t>Kategoria regionu</w:t>
            </w:r>
          </w:p>
        </w:tc>
        <w:tc>
          <w:tcPr>
            <w:tcW w:w="0" w:type="auto"/>
            <w:shd w:val="clear" w:color="auto" w:fill="auto"/>
          </w:tcPr>
          <w:p w14:paraId="38C2BAF9" w14:textId="77777777" w:rsidR="008C5CFA" w:rsidRPr="0024468B" w:rsidRDefault="00E82A60" w:rsidP="00300A01">
            <w:pPr>
              <w:spacing w:before="0" w:after="0"/>
              <w:rPr>
                <w:sz w:val="16"/>
                <w:szCs w:val="16"/>
                <w:lang w:val="fr-BE"/>
              </w:rPr>
            </w:pPr>
            <w:r w:rsidRPr="0024468B">
              <w:rPr>
                <w:noProof/>
                <w:sz w:val="16"/>
                <w:szCs w:val="16"/>
                <w:lang w:val="fr-BE"/>
              </w:rPr>
              <w:t>Wartość bazowa</w:t>
            </w:r>
          </w:p>
        </w:tc>
        <w:tc>
          <w:tcPr>
            <w:tcW w:w="0" w:type="auto"/>
            <w:shd w:val="clear" w:color="auto" w:fill="auto"/>
          </w:tcPr>
          <w:p w14:paraId="218BAFB6" w14:textId="77777777" w:rsidR="008C5CFA" w:rsidRPr="0024468B" w:rsidRDefault="00E82A60" w:rsidP="00300A01">
            <w:pPr>
              <w:spacing w:before="0" w:after="0"/>
              <w:rPr>
                <w:sz w:val="16"/>
                <w:szCs w:val="16"/>
                <w:lang w:val="fr-BE"/>
              </w:rPr>
            </w:pPr>
            <w:r w:rsidRPr="0024468B">
              <w:rPr>
                <w:noProof/>
                <w:sz w:val="16"/>
                <w:szCs w:val="16"/>
                <w:lang w:val="fr-BE"/>
              </w:rPr>
              <w:t>Rok bazowy</w:t>
            </w:r>
          </w:p>
        </w:tc>
        <w:tc>
          <w:tcPr>
            <w:tcW w:w="0" w:type="auto"/>
            <w:shd w:val="clear" w:color="auto" w:fill="auto"/>
          </w:tcPr>
          <w:p w14:paraId="06E09703" w14:textId="77777777" w:rsidR="008C5CFA" w:rsidRPr="0024468B" w:rsidRDefault="00E82A60" w:rsidP="00300A01">
            <w:pPr>
              <w:spacing w:before="0" w:after="0"/>
              <w:rPr>
                <w:sz w:val="16"/>
                <w:szCs w:val="16"/>
                <w:lang w:val="fr-BE"/>
              </w:rPr>
            </w:pPr>
            <w:r w:rsidRPr="0024468B">
              <w:rPr>
                <w:noProof/>
                <w:sz w:val="16"/>
                <w:szCs w:val="16"/>
                <w:lang w:val="fr-BE"/>
              </w:rPr>
              <w:t>Wartość docelowa 2023</w:t>
            </w:r>
          </w:p>
        </w:tc>
        <w:tc>
          <w:tcPr>
            <w:tcW w:w="0" w:type="auto"/>
            <w:shd w:val="clear" w:color="auto" w:fill="auto"/>
          </w:tcPr>
          <w:p w14:paraId="710E02E9" w14:textId="77777777" w:rsidR="008C5CFA" w:rsidRPr="0024468B" w:rsidRDefault="00E82A60" w:rsidP="00300A01">
            <w:pPr>
              <w:spacing w:before="0" w:after="0"/>
              <w:jc w:val="center"/>
              <w:rPr>
                <w:sz w:val="16"/>
                <w:szCs w:val="16"/>
                <w:lang w:val="fr-BE"/>
              </w:rPr>
            </w:pPr>
            <w:r>
              <w:rPr>
                <w:sz w:val="16"/>
                <w:szCs w:val="16"/>
                <w:lang w:val="fr-BE"/>
              </w:rPr>
              <w:t xml:space="preserve">2019 </w:t>
            </w:r>
            <w:r>
              <w:rPr>
                <w:noProof/>
                <w:sz w:val="16"/>
                <w:szCs w:val="16"/>
                <w:lang w:val="fr-BE"/>
              </w:rPr>
              <w:t>Ogółem</w:t>
            </w:r>
          </w:p>
        </w:tc>
        <w:tc>
          <w:tcPr>
            <w:tcW w:w="0" w:type="auto"/>
            <w:shd w:val="clear" w:color="auto" w:fill="auto"/>
          </w:tcPr>
          <w:p w14:paraId="4192A705" w14:textId="77777777" w:rsidR="008C5CFA" w:rsidRPr="0024468B" w:rsidRDefault="00E82A60" w:rsidP="00300A01">
            <w:pPr>
              <w:spacing w:before="0" w:after="0"/>
              <w:jc w:val="center"/>
              <w:rPr>
                <w:sz w:val="16"/>
                <w:szCs w:val="16"/>
                <w:lang w:val="fr-BE"/>
              </w:rPr>
            </w:pPr>
            <w:r>
              <w:rPr>
                <w:sz w:val="16"/>
                <w:szCs w:val="16"/>
                <w:lang w:val="fr-BE"/>
              </w:rPr>
              <w:t xml:space="preserve">2019 </w:t>
            </w:r>
            <w:r w:rsidRPr="0024468B">
              <w:rPr>
                <w:noProof/>
                <w:sz w:val="16"/>
                <w:szCs w:val="16"/>
                <w:lang w:val="fr-BE"/>
              </w:rPr>
              <w:t>Jakościowe</w:t>
            </w:r>
          </w:p>
        </w:tc>
        <w:tc>
          <w:tcPr>
            <w:tcW w:w="0" w:type="auto"/>
            <w:shd w:val="clear" w:color="auto" w:fill="auto"/>
          </w:tcPr>
          <w:p w14:paraId="321E46C1" w14:textId="77777777" w:rsidR="008C5CFA" w:rsidRPr="0024468B" w:rsidRDefault="00E82A60" w:rsidP="00300A01">
            <w:pPr>
              <w:spacing w:before="0" w:after="0"/>
              <w:jc w:val="center"/>
              <w:rPr>
                <w:sz w:val="16"/>
                <w:szCs w:val="16"/>
                <w:lang w:val="fr-BE"/>
              </w:rPr>
            </w:pPr>
            <w:r w:rsidRPr="0024468B">
              <w:rPr>
                <w:noProof/>
                <w:sz w:val="16"/>
                <w:szCs w:val="16"/>
                <w:lang w:val="fr-BE"/>
              </w:rPr>
              <w:t>Uwagi</w:t>
            </w:r>
          </w:p>
        </w:tc>
      </w:tr>
      <w:tr w:rsidR="006B2EC1" w14:paraId="44E54BFE" w14:textId="77777777" w:rsidTr="0047688D">
        <w:tc>
          <w:tcPr>
            <w:tcW w:w="0" w:type="auto"/>
            <w:shd w:val="clear" w:color="auto" w:fill="auto"/>
          </w:tcPr>
          <w:p w14:paraId="195411B9" w14:textId="77777777" w:rsidR="008C5CFA" w:rsidRPr="0024468B" w:rsidRDefault="00E82A60" w:rsidP="00300A01">
            <w:pPr>
              <w:spacing w:before="0" w:after="0"/>
              <w:rPr>
                <w:sz w:val="16"/>
                <w:szCs w:val="16"/>
                <w:lang w:val="fr-BE"/>
              </w:rPr>
            </w:pPr>
            <w:r w:rsidRPr="0024468B">
              <w:rPr>
                <w:noProof/>
                <w:sz w:val="16"/>
                <w:szCs w:val="16"/>
                <w:lang w:val="fr-BE"/>
              </w:rPr>
              <w:t>054</w:t>
            </w:r>
          </w:p>
        </w:tc>
        <w:tc>
          <w:tcPr>
            <w:tcW w:w="0" w:type="auto"/>
            <w:shd w:val="clear" w:color="auto" w:fill="auto"/>
          </w:tcPr>
          <w:p w14:paraId="4938988F" w14:textId="77777777" w:rsidR="008C5CFA" w:rsidRPr="0024468B" w:rsidRDefault="00E82A60" w:rsidP="00300A01">
            <w:pPr>
              <w:spacing w:before="0" w:after="0"/>
              <w:rPr>
                <w:sz w:val="16"/>
                <w:szCs w:val="16"/>
                <w:lang w:val="fr-BE"/>
              </w:rPr>
            </w:pPr>
            <w:r w:rsidRPr="0024468B">
              <w:rPr>
                <w:noProof/>
                <w:sz w:val="16"/>
                <w:szCs w:val="16"/>
                <w:lang w:val="fr-BE"/>
              </w:rPr>
              <w:t>Zagrożenie ubóstwem relatywnym w województwie świętokrzyskim</w:t>
            </w:r>
          </w:p>
        </w:tc>
        <w:tc>
          <w:tcPr>
            <w:tcW w:w="0" w:type="auto"/>
            <w:shd w:val="clear" w:color="auto" w:fill="auto"/>
          </w:tcPr>
          <w:p w14:paraId="1B418230" w14:textId="77777777" w:rsidR="008C5CFA" w:rsidRPr="0024468B" w:rsidRDefault="00E82A60" w:rsidP="00300A01">
            <w:pPr>
              <w:spacing w:before="0" w:after="0"/>
              <w:rPr>
                <w:sz w:val="16"/>
                <w:szCs w:val="16"/>
                <w:lang w:val="fr-BE"/>
              </w:rPr>
            </w:pPr>
            <w:r w:rsidRPr="0024468B">
              <w:rPr>
                <w:noProof/>
                <w:sz w:val="16"/>
                <w:szCs w:val="16"/>
                <w:lang w:val="fr-BE"/>
              </w:rPr>
              <w:t>%</w:t>
            </w:r>
          </w:p>
        </w:tc>
        <w:tc>
          <w:tcPr>
            <w:tcW w:w="0" w:type="auto"/>
            <w:shd w:val="clear" w:color="auto" w:fill="auto"/>
          </w:tcPr>
          <w:p w14:paraId="3B2C35EB" w14:textId="77777777" w:rsidR="008C5CFA" w:rsidRPr="0024468B" w:rsidRDefault="00E82A60"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14:paraId="2A1D40FA" w14:textId="77777777" w:rsidR="008C5CFA" w:rsidRPr="00C3185A" w:rsidRDefault="00E82A60" w:rsidP="00300A01">
            <w:pPr>
              <w:spacing w:before="0" w:after="0"/>
              <w:jc w:val="right"/>
              <w:rPr>
                <w:sz w:val="16"/>
                <w:szCs w:val="16"/>
                <w:lang w:val="fr-BE"/>
              </w:rPr>
            </w:pPr>
            <w:r w:rsidRPr="00C3185A">
              <w:rPr>
                <w:noProof/>
                <w:sz w:val="16"/>
                <w:szCs w:val="16"/>
                <w:lang w:val="fr-BE"/>
              </w:rPr>
              <w:t>19,70</w:t>
            </w:r>
          </w:p>
        </w:tc>
        <w:tc>
          <w:tcPr>
            <w:tcW w:w="0" w:type="auto"/>
            <w:shd w:val="clear" w:color="auto" w:fill="auto"/>
          </w:tcPr>
          <w:p w14:paraId="3F529109" w14:textId="77777777" w:rsidR="008C5CFA" w:rsidRPr="0024468B" w:rsidRDefault="00E82A60" w:rsidP="00300A01">
            <w:pPr>
              <w:spacing w:before="0" w:after="0"/>
              <w:rPr>
                <w:sz w:val="16"/>
                <w:szCs w:val="16"/>
                <w:lang w:val="fr-BE"/>
              </w:rPr>
            </w:pPr>
            <w:r w:rsidRPr="0024468B">
              <w:rPr>
                <w:noProof/>
                <w:sz w:val="16"/>
                <w:szCs w:val="16"/>
                <w:lang w:val="fr-BE"/>
              </w:rPr>
              <w:t>2013</w:t>
            </w:r>
          </w:p>
        </w:tc>
        <w:tc>
          <w:tcPr>
            <w:tcW w:w="0" w:type="auto"/>
            <w:shd w:val="clear" w:color="auto" w:fill="auto"/>
          </w:tcPr>
          <w:p w14:paraId="5D92D46B" w14:textId="77777777" w:rsidR="008C5CFA" w:rsidRPr="0024468B" w:rsidRDefault="00E82A60" w:rsidP="00300A01">
            <w:pPr>
              <w:spacing w:before="0" w:after="0"/>
              <w:jc w:val="right"/>
              <w:rPr>
                <w:sz w:val="16"/>
                <w:szCs w:val="16"/>
                <w:lang w:val="fr-BE"/>
              </w:rPr>
            </w:pPr>
            <w:r w:rsidRPr="0024468B">
              <w:rPr>
                <w:noProof/>
                <w:sz w:val="16"/>
                <w:szCs w:val="16"/>
                <w:lang w:val="fr-BE"/>
              </w:rPr>
              <w:t>15,50</w:t>
            </w:r>
          </w:p>
        </w:tc>
        <w:tc>
          <w:tcPr>
            <w:tcW w:w="0" w:type="auto"/>
            <w:shd w:val="clear" w:color="auto" w:fill="auto"/>
          </w:tcPr>
          <w:p w14:paraId="64EBF804"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4B96A7EA" w14:textId="77777777" w:rsidR="008C5CFA" w:rsidRPr="0024468B" w:rsidRDefault="008C5CFA" w:rsidP="00300A01">
            <w:pPr>
              <w:spacing w:before="0" w:after="0"/>
              <w:jc w:val="right"/>
              <w:rPr>
                <w:sz w:val="16"/>
                <w:szCs w:val="16"/>
                <w:lang w:val="fr-BE"/>
              </w:rPr>
            </w:pPr>
          </w:p>
        </w:tc>
        <w:tc>
          <w:tcPr>
            <w:tcW w:w="0" w:type="auto"/>
            <w:shd w:val="clear" w:color="auto" w:fill="auto"/>
          </w:tcPr>
          <w:p w14:paraId="6DB49C83" w14:textId="77777777" w:rsidR="008C5CFA" w:rsidRPr="0024468B" w:rsidRDefault="008C5CFA" w:rsidP="00300A01">
            <w:pPr>
              <w:spacing w:before="0" w:after="0"/>
              <w:rPr>
                <w:sz w:val="16"/>
                <w:szCs w:val="16"/>
                <w:lang w:val="fr-BE"/>
              </w:rPr>
            </w:pPr>
          </w:p>
        </w:tc>
      </w:tr>
    </w:tbl>
    <w:p w14:paraId="2BA13999"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
        <w:gridCol w:w="4772"/>
        <w:gridCol w:w="1128"/>
        <w:gridCol w:w="1357"/>
        <w:gridCol w:w="1128"/>
        <w:gridCol w:w="1357"/>
        <w:gridCol w:w="1128"/>
        <w:gridCol w:w="1357"/>
        <w:gridCol w:w="1128"/>
        <w:gridCol w:w="1357"/>
      </w:tblGrid>
      <w:tr w:rsidR="006B2EC1" w14:paraId="23D3FD58" w14:textId="77777777" w:rsidTr="0047688D">
        <w:tc>
          <w:tcPr>
            <w:tcW w:w="0" w:type="auto"/>
            <w:shd w:val="clear" w:color="auto" w:fill="auto"/>
          </w:tcPr>
          <w:p w14:paraId="632B72C1" w14:textId="77777777" w:rsidR="008C5CFA" w:rsidRPr="0024468B" w:rsidRDefault="00E82A60" w:rsidP="00300A01">
            <w:pPr>
              <w:spacing w:before="0" w:after="0"/>
              <w:rPr>
                <w:sz w:val="16"/>
                <w:szCs w:val="16"/>
                <w:lang w:val="fr-BE"/>
              </w:rPr>
            </w:pPr>
            <w:r w:rsidRPr="0024468B">
              <w:rPr>
                <w:noProof/>
                <w:sz w:val="16"/>
                <w:szCs w:val="16"/>
                <w:lang w:val="fr-BE"/>
              </w:rPr>
              <w:t>ID</w:t>
            </w:r>
          </w:p>
        </w:tc>
        <w:tc>
          <w:tcPr>
            <w:tcW w:w="0" w:type="auto"/>
            <w:shd w:val="clear" w:color="auto" w:fill="auto"/>
          </w:tcPr>
          <w:p w14:paraId="14DE3D98" w14:textId="77777777" w:rsidR="008C5CFA" w:rsidRPr="0024468B" w:rsidRDefault="00E82A60" w:rsidP="00300A01">
            <w:pPr>
              <w:spacing w:before="0" w:after="0"/>
              <w:rPr>
                <w:sz w:val="16"/>
                <w:szCs w:val="16"/>
                <w:lang w:val="fr-BE"/>
              </w:rPr>
            </w:pPr>
            <w:r w:rsidRPr="0024468B">
              <w:rPr>
                <w:noProof/>
                <w:sz w:val="16"/>
                <w:szCs w:val="16"/>
                <w:lang w:val="fr-BE"/>
              </w:rPr>
              <w:t>Wskaźnik</w:t>
            </w:r>
          </w:p>
        </w:tc>
        <w:tc>
          <w:tcPr>
            <w:tcW w:w="0" w:type="auto"/>
          </w:tcPr>
          <w:p w14:paraId="2CED9DC7" w14:textId="77777777" w:rsidR="008C5CFA" w:rsidRPr="0024468B" w:rsidRDefault="00E82A60" w:rsidP="00300A01">
            <w:pPr>
              <w:spacing w:before="0" w:after="0"/>
              <w:jc w:val="center"/>
              <w:rPr>
                <w:sz w:val="16"/>
                <w:szCs w:val="16"/>
                <w:lang w:val="fr-BE"/>
              </w:rPr>
            </w:pPr>
            <w:r>
              <w:rPr>
                <w:sz w:val="16"/>
                <w:szCs w:val="16"/>
                <w:lang w:val="fr-BE"/>
              </w:rPr>
              <w:t xml:space="preserve">2018 </w:t>
            </w:r>
            <w:r>
              <w:rPr>
                <w:noProof/>
                <w:sz w:val="16"/>
                <w:szCs w:val="16"/>
                <w:lang w:val="fr-BE"/>
              </w:rPr>
              <w:t>Ogółem</w:t>
            </w:r>
          </w:p>
        </w:tc>
        <w:tc>
          <w:tcPr>
            <w:tcW w:w="0" w:type="auto"/>
          </w:tcPr>
          <w:p w14:paraId="32CA9F8E" w14:textId="77777777" w:rsidR="008C5CFA" w:rsidRPr="0024468B" w:rsidRDefault="00E82A60" w:rsidP="00300A01">
            <w:pPr>
              <w:spacing w:before="0" w:after="0"/>
              <w:jc w:val="center"/>
              <w:rPr>
                <w:sz w:val="16"/>
                <w:szCs w:val="16"/>
                <w:lang w:val="fr-BE"/>
              </w:rPr>
            </w:pPr>
            <w:r>
              <w:rPr>
                <w:sz w:val="16"/>
                <w:szCs w:val="16"/>
                <w:lang w:val="fr-BE"/>
              </w:rPr>
              <w:t xml:space="preserve">2018 </w:t>
            </w:r>
            <w:r w:rsidRPr="0024468B">
              <w:rPr>
                <w:noProof/>
                <w:sz w:val="16"/>
                <w:szCs w:val="16"/>
                <w:lang w:val="fr-BE"/>
              </w:rPr>
              <w:t>Jakościowe</w:t>
            </w:r>
          </w:p>
        </w:tc>
        <w:tc>
          <w:tcPr>
            <w:tcW w:w="0" w:type="auto"/>
          </w:tcPr>
          <w:p w14:paraId="2257D045" w14:textId="77777777" w:rsidR="008C5CFA" w:rsidRPr="0024468B" w:rsidRDefault="00E82A60" w:rsidP="00300A01">
            <w:pPr>
              <w:spacing w:before="0" w:after="0"/>
              <w:jc w:val="center"/>
              <w:rPr>
                <w:sz w:val="16"/>
                <w:szCs w:val="16"/>
                <w:lang w:val="fr-BE"/>
              </w:rPr>
            </w:pPr>
            <w:r>
              <w:rPr>
                <w:sz w:val="16"/>
                <w:szCs w:val="16"/>
                <w:lang w:val="fr-BE"/>
              </w:rPr>
              <w:t xml:space="preserve">2017 </w:t>
            </w:r>
            <w:r>
              <w:rPr>
                <w:noProof/>
                <w:sz w:val="16"/>
                <w:szCs w:val="16"/>
                <w:lang w:val="fr-BE"/>
              </w:rPr>
              <w:t>Ogółem</w:t>
            </w:r>
          </w:p>
        </w:tc>
        <w:tc>
          <w:tcPr>
            <w:tcW w:w="0" w:type="auto"/>
          </w:tcPr>
          <w:p w14:paraId="1DDDBE10" w14:textId="77777777" w:rsidR="008C5CFA" w:rsidRPr="0024468B" w:rsidRDefault="00E82A60" w:rsidP="00300A01">
            <w:pPr>
              <w:spacing w:before="0" w:after="0"/>
              <w:jc w:val="center"/>
              <w:rPr>
                <w:sz w:val="16"/>
                <w:szCs w:val="16"/>
                <w:lang w:val="fr-BE"/>
              </w:rPr>
            </w:pPr>
            <w:r>
              <w:rPr>
                <w:sz w:val="16"/>
                <w:szCs w:val="16"/>
                <w:lang w:val="fr-BE"/>
              </w:rPr>
              <w:t xml:space="preserve">2017 </w:t>
            </w:r>
            <w:r w:rsidRPr="0024468B">
              <w:rPr>
                <w:noProof/>
                <w:sz w:val="16"/>
                <w:szCs w:val="16"/>
                <w:lang w:val="fr-BE"/>
              </w:rPr>
              <w:t>Jakościowe</w:t>
            </w:r>
          </w:p>
        </w:tc>
        <w:tc>
          <w:tcPr>
            <w:tcW w:w="0" w:type="auto"/>
          </w:tcPr>
          <w:p w14:paraId="5ED11ADE" w14:textId="77777777" w:rsidR="008C5CFA" w:rsidRPr="0024468B" w:rsidRDefault="00E82A60" w:rsidP="00300A01">
            <w:pPr>
              <w:spacing w:before="0" w:after="0"/>
              <w:jc w:val="center"/>
              <w:rPr>
                <w:sz w:val="16"/>
                <w:szCs w:val="16"/>
                <w:lang w:val="fr-BE"/>
              </w:rPr>
            </w:pPr>
            <w:r>
              <w:rPr>
                <w:sz w:val="16"/>
                <w:szCs w:val="16"/>
                <w:lang w:val="fr-BE"/>
              </w:rPr>
              <w:t xml:space="preserve">2016 </w:t>
            </w:r>
            <w:r>
              <w:rPr>
                <w:noProof/>
                <w:sz w:val="16"/>
                <w:szCs w:val="16"/>
                <w:lang w:val="fr-BE"/>
              </w:rPr>
              <w:t>Ogółem</w:t>
            </w:r>
          </w:p>
        </w:tc>
        <w:tc>
          <w:tcPr>
            <w:tcW w:w="0" w:type="auto"/>
          </w:tcPr>
          <w:p w14:paraId="17009330" w14:textId="77777777" w:rsidR="008C5CFA" w:rsidRPr="0024468B" w:rsidRDefault="00E82A60" w:rsidP="00300A01">
            <w:pPr>
              <w:spacing w:before="0" w:after="0"/>
              <w:jc w:val="center"/>
              <w:rPr>
                <w:sz w:val="16"/>
                <w:szCs w:val="16"/>
                <w:lang w:val="fr-BE"/>
              </w:rPr>
            </w:pPr>
            <w:r>
              <w:rPr>
                <w:sz w:val="16"/>
                <w:szCs w:val="16"/>
                <w:lang w:val="fr-BE"/>
              </w:rPr>
              <w:t xml:space="preserve">2016 </w:t>
            </w:r>
            <w:r w:rsidRPr="0024468B">
              <w:rPr>
                <w:noProof/>
                <w:sz w:val="16"/>
                <w:szCs w:val="16"/>
                <w:lang w:val="fr-BE"/>
              </w:rPr>
              <w:t>Jakościowe</w:t>
            </w:r>
          </w:p>
        </w:tc>
        <w:tc>
          <w:tcPr>
            <w:tcW w:w="0" w:type="auto"/>
          </w:tcPr>
          <w:p w14:paraId="0C1B586E" w14:textId="77777777" w:rsidR="008C5CFA" w:rsidRPr="0024468B" w:rsidRDefault="00E82A60" w:rsidP="00300A01">
            <w:pPr>
              <w:spacing w:before="0" w:after="0"/>
              <w:jc w:val="center"/>
              <w:rPr>
                <w:sz w:val="16"/>
                <w:szCs w:val="16"/>
                <w:lang w:val="fr-BE"/>
              </w:rPr>
            </w:pPr>
            <w:r>
              <w:rPr>
                <w:sz w:val="16"/>
                <w:szCs w:val="16"/>
                <w:lang w:val="fr-BE"/>
              </w:rPr>
              <w:t xml:space="preserve">2015 </w:t>
            </w:r>
            <w:r>
              <w:rPr>
                <w:noProof/>
                <w:sz w:val="16"/>
                <w:szCs w:val="16"/>
                <w:lang w:val="fr-BE"/>
              </w:rPr>
              <w:t>Ogółem</w:t>
            </w:r>
          </w:p>
        </w:tc>
        <w:tc>
          <w:tcPr>
            <w:tcW w:w="0" w:type="auto"/>
          </w:tcPr>
          <w:p w14:paraId="101C2C16" w14:textId="77777777" w:rsidR="008C5CFA" w:rsidRPr="0024468B" w:rsidRDefault="00E82A60" w:rsidP="00300A01">
            <w:pPr>
              <w:spacing w:before="0" w:after="0"/>
              <w:jc w:val="center"/>
              <w:rPr>
                <w:sz w:val="16"/>
                <w:szCs w:val="16"/>
                <w:lang w:val="fr-BE"/>
              </w:rPr>
            </w:pPr>
            <w:r>
              <w:rPr>
                <w:sz w:val="16"/>
                <w:szCs w:val="16"/>
                <w:lang w:val="fr-BE"/>
              </w:rPr>
              <w:t xml:space="preserve">2015 </w:t>
            </w:r>
            <w:r w:rsidRPr="0024468B">
              <w:rPr>
                <w:noProof/>
                <w:sz w:val="16"/>
                <w:szCs w:val="16"/>
                <w:lang w:val="fr-BE"/>
              </w:rPr>
              <w:t>Jakościowe</w:t>
            </w:r>
          </w:p>
        </w:tc>
      </w:tr>
      <w:tr w:rsidR="006B2EC1" w14:paraId="6423C4A0" w14:textId="77777777" w:rsidTr="0047688D">
        <w:tc>
          <w:tcPr>
            <w:tcW w:w="0" w:type="auto"/>
            <w:shd w:val="clear" w:color="auto" w:fill="auto"/>
          </w:tcPr>
          <w:p w14:paraId="16AAD909" w14:textId="77777777" w:rsidR="008C5CFA" w:rsidRPr="0024468B" w:rsidRDefault="00E82A60" w:rsidP="00300A01">
            <w:pPr>
              <w:spacing w:before="0" w:after="0"/>
              <w:rPr>
                <w:sz w:val="16"/>
                <w:szCs w:val="16"/>
                <w:lang w:val="fr-BE"/>
              </w:rPr>
            </w:pPr>
            <w:r w:rsidRPr="0024468B">
              <w:rPr>
                <w:noProof/>
                <w:sz w:val="16"/>
                <w:szCs w:val="16"/>
                <w:lang w:val="fr-BE"/>
              </w:rPr>
              <w:t>054</w:t>
            </w:r>
          </w:p>
        </w:tc>
        <w:tc>
          <w:tcPr>
            <w:tcW w:w="0" w:type="auto"/>
            <w:shd w:val="clear" w:color="auto" w:fill="auto"/>
          </w:tcPr>
          <w:p w14:paraId="3354ED5C" w14:textId="77777777" w:rsidR="008C5CFA" w:rsidRPr="0024468B" w:rsidRDefault="00E82A60" w:rsidP="00300A01">
            <w:pPr>
              <w:spacing w:before="0" w:after="0"/>
              <w:rPr>
                <w:sz w:val="16"/>
                <w:szCs w:val="16"/>
                <w:lang w:val="fr-BE"/>
              </w:rPr>
            </w:pPr>
            <w:r w:rsidRPr="0024468B">
              <w:rPr>
                <w:noProof/>
                <w:sz w:val="16"/>
                <w:szCs w:val="16"/>
                <w:lang w:val="fr-BE"/>
              </w:rPr>
              <w:t>Zagrożenie ubóstwem relatywnym w województwie świętokrzyskim</w:t>
            </w:r>
          </w:p>
        </w:tc>
        <w:tc>
          <w:tcPr>
            <w:tcW w:w="0" w:type="auto"/>
          </w:tcPr>
          <w:p w14:paraId="5C22BA03" w14:textId="77777777" w:rsidR="008C5CFA" w:rsidRPr="0024468B" w:rsidRDefault="00E82A60" w:rsidP="00300A01">
            <w:pPr>
              <w:spacing w:before="0" w:after="0"/>
              <w:jc w:val="right"/>
              <w:rPr>
                <w:sz w:val="16"/>
                <w:szCs w:val="16"/>
                <w:lang w:val="fr-BE"/>
              </w:rPr>
            </w:pPr>
            <w:r w:rsidRPr="0024468B">
              <w:rPr>
                <w:noProof/>
                <w:sz w:val="16"/>
                <w:szCs w:val="16"/>
                <w:lang w:val="fr-BE"/>
              </w:rPr>
              <w:t>19,10</w:t>
            </w:r>
          </w:p>
        </w:tc>
        <w:tc>
          <w:tcPr>
            <w:tcW w:w="0" w:type="auto"/>
          </w:tcPr>
          <w:p w14:paraId="3B46EBE4" w14:textId="77777777" w:rsidR="008C5CFA" w:rsidRPr="0024468B" w:rsidRDefault="008C5CFA" w:rsidP="00300A01">
            <w:pPr>
              <w:spacing w:before="0" w:after="0"/>
              <w:jc w:val="right"/>
              <w:rPr>
                <w:sz w:val="16"/>
                <w:szCs w:val="16"/>
                <w:lang w:val="fr-BE"/>
              </w:rPr>
            </w:pPr>
          </w:p>
        </w:tc>
        <w:tc>
          <w:tcPr>
            <w:tcW w:w="0" w:type="auto"/>
          </w:tcPr>
          <w:p w14:paraId="2AD46BC3" w14:textId="77777777" w:rsidR="008C5CFA" w:rsidRPr="0024468B" w:rsidRDefault="00E82A60" w:rsidP="00300A01">
            <w:pPr>
              <w:spacing w:before="0" w:after="0"/>
              <w:jc w:val="right"/>
              <w:rPr>
                <w:sz w:val="16"/>
                <w:szCs w:val="16"/>
                <w:lang w:val="fr-BE"/>
              </w:rPr>
            </w:pPr>
            <w:r w:rsidRPr="0024468B">
              <w:rPr>
                <w:noProof/>
                <w:sz w:val="16"/>
                <w:szCs w:val="16"/>
                <w:lang w:val="fr-BE"/>
              </w:rPr>
              <w:t>16,40</w:t>
            </w:r>
          </w:p>
        </w:tc>
        <w:tc>
          <w:tcPr>
            <w:tcW w:w="0" w:type="auto"/>
          </w:tcPr>
          <w:p w14:paraId="3236DAD4" w14:textId="77777777" w:rsidR="008C5CFA" w:rsidRPr="0024468B" w:rsidRDefault="008C5CFA" w:rsidP="00300A01">
            <w:pPr>
              <w:spacing w:before="0" w:after="0"/>
              <w:jc w:val="right"/>
              <w:rPr>
                <w:sz w:val="16"/>
                <w:szCs w:val="16"/>
                <w:lang w:val="fr-BE"/>
              </w:rPr>
            </w:pPr>
          </w:p>
        </w:tc>
        <w:tc>
          <w:tcPr>
            <w:tcW w:w="0" w:type="auto"/>
          </w:tcPr>
          <w:p w14:paraId="7D75B953" w14:textId="77777777" w:rsidR="008C5CFA" w:rsidRPr="0024468B" w:rsidRDefault="00E82A60" w:rsidP="00300A01">
            <w:pPr>
              <w:spacing w:before="0" w:after="0"/>
              <w:jc w:val="right"/>
              <w:rPr>
                <w:sz w:val="16"/>
                <w:szCs w:val="16"/>
                <w:lang w:val="fr-BE"/>
              </w:rPr>
            </w:pPr>
            <w:r w:rsidRPr="0024468B">
              <w:rPr>
                <w:noProof/>
                <w:sz w:val="16"/>
                <w:szCs w:val="16"/>
                <w:lang w:val="fr-BE"/>
              </w:rPr>
              <w:t>19,60</w:t>
            </w:r>
          </w:p>
        </w:tc>
        <w:tc>
          <w:tcPr>
            <w:tcW w:w="0" w:type="auto"/>
          </w:tcPr>
          <w:p w14:paraId="28539BD7" w14:textId="77777777" w:rsidR="008C5CFA" w:rsidRPr="0024468B" w:rsidRDefault="008C5CFA" w:rsidP="00300A01">
            <w:pPr>
              <w:spacing w:before="0" w:after="0"/>
              <w:jc w:val="right"/>
              <w:rPr>
                <w:sz w:val="16"/>
                <w:szCs w:val="16"/>
                <w:lang w:val="fr-BE"/>
              </w:rPr>
            </w:pPr>
          </w:p>
        </w:tc>
        <w:tc>
          <w:tcPr>
            <w:tcW w:w="0" w:type="auto"/>
          </w:tcPr>
          <w:p w14:paraId="2A8E5628" w14:textId="77777777" w:rsidR="008C5CFA" w:rsidRPr="0024468B" w:rsidRDefault="00E82A60" w:rsidP="00300A01">
            <w:pPr>
              <w:spacing w:before="0" w:after="0"/>
              <w:jc w:val="right"/>
              <w:rPr>
                <w:sz w:val="16"/>
                <w:szCs w:val="16"/>
                <w:lang w:val="fr-BE"/>
              </w:rPr>
            </w:pPr>
            <w:r w:rsidRPr="0024468B">
              <w:rPr>
                <w:noProof/>
                <w:sz w:val="16"/>
                <w:szCs w:val="16"/>
                <w:lang w:val="fr-BE"/>
              </w:rPr>
              <w:t>24,40</w:t>
            </w:r>
          </w:p>
        </w:tc>
        <w:tc>
          <w:tcPr>
            <w:tcW w:w="0" w:type="auto"/>
          </w:tcPr>
          <w:p w14:paraId="318C0836" w14:textId="77777777" w:rsidR="008C5CFA" w:rsidRPr="0024468B" w:rsidRDefault="008C5CFA" w:rsidP="00300A01">
            <w:pPr>
              <w:spacing w:before="0" w:after="0"/>
              <w:jc w:val="right"/>
              <w:rPr>
                <w:sz w:val="16"/>
                <w:szCs w:val="16"/>
                <w:lang w:val="fr-BE"/>
              </w:rPr>
            </w:pPr>
          </w:p>
        </w:tc>
      </w:tr>
    </w:tbl>
    <w:p w14:paraId="4B3B1321"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5"/>
        <w:gridCol w:w="9376"/>
        <w:gridCol w:w="2216"/>
        <w:gridCol w:w="2667"/>
      </w:tblGrid>
      <w:tr w:rsidR="006B2EC1" w14:paraId="214589AE" w14:textId="77777777" w:rsidTr="0047688D">
        <w:tc>
          <w:tcPr>
            <w:tcW w:w="0" w:type="auto"/>
            <w:shd w:val="clear" w:color="auto" w:fill="auto"/>
          </w:tcPr>
          <w:p w14:paraId="3459AD22" w14:textId="77777777" w:rsidR="008C5CFA" w:rsidRPr="0024468B" w:rsidRDefault="00E82A60" w:rsidP="00300A01">
            <w:pPr>
              <w:spacing w:before="0" w:after="0"/>
              <w:rPr>
                <w:sz w:val="16"/>
                <w:szCs w:val="16"/>
                <w:lang w:val="fr-BE"/>
              </w:rPr>
            </w:pPr>
            <w:r w:rsidRPr="0024468B">
              <w:rPr>
                <w:noProof/>
                <w:sz w:val="16"/>
                <w:szCs w:val="16"/>
                <w:lang w:val="fr-BE"/>
              </w:rPr>
              <w:t>ID</w:t>
            </w:r>
          </w:p>
        </w:tc>
        <w:tc>
          <w:tcPr>
            <w:tcW w:w="0" w:type="auto"/>
            <w:shd w:val="clear" w:color="auto" w:fill="auto"/>
          </w:tcPr>
          <w:p w14:paraId="6F53CA83" w14:textId="77777777" w:rsidR="008C5CFA" w:rsidRPr="0024468B" w:rsidRDefault="00E82A60" w:rsidP="00300A01">
            <w:pPr>
              <w:spacing w:before="0" w:after="0"/>
              <w:rPr>
                <w:sz w:val="16"/>
                <w:szCs w:val="16"/>
                <w:lang w:val="fr-BE"/>
              </w:rPr>
            </w:pPr>
            <w:r w:rsidRPr="0024468B">
              <w:rPr>
                <w:noProof/>
                <w:sz w:val="16"/>
                <w:szCs w:val="16"/>
                <w:lang w:val="fr-BE"/>
              </w:rPr>
              <w:t>Wskaźnik</w:t>
            </w:r>
          </w:p>
        </w:tc>
        <w:tc>
          <w:tcPr>
            <w:tcW w:w="0" w:type="auto"/>
            <w:shd w:val="clear" w:color="auto" w:fill="auto"/>
          </w:tcPr>
          <w:p w14:paraId="7C8D09A2" w14:textId="77777777" w:rsidR="008C5CFA" w:rsidRPr="0024468B" w:rsidRDefault="00E82A60" w:rsidP="00300A01">
            <w:pPr>
              <w:spacing w:before="0" w:after="0"/>
              <w:jc w:val="center"/>
              <w:rPr>
                <w:sz w:val="16"/>
                <w:szCs w:val="16"/>
                <w:lang w:val="fr-BE"/>
              </w:rPr>
            </w:pPr>
            <w:r>
              <w:rPr>
                <w:sz w:val="16"/>
                <w:szCs w:val="16"/>
                <w:lang w:val="fr-BE"/>
              </w:rPr>
              <w:t xml:space="preserve">2014 </w:t>
            </w:r>
            <w:r>
              <w:rPr>
                <w:noProof/>
                <w:sz w:val="16"/>
                <w:szCs w:val="16"/>
                <w:lang w:val="fr-BE"/>
              </w:rPr>
              <w:t>Ogółem</w:t>
            </w:r>
          </w:p>
        </w:tc>
        <w:tc>
          <w:tcPr>
            <w:tcW w:w="0" w:type="auto"/>
            <w:shd w:val="clear" w:color="auto" w:fill="auto"/>
          </w:tcPr>
          <w:p w14:paraId="49B78A68" w14:textId="77777777" w:rsidR="008C5CFA" w:rsidRPr="0024468B" w:rsidRDefault="00E82A60" w:rsidP="00300A01">
            <w:pPr>
              <w:spacing w:before="0" w:after="0"/>
              <w:jc w:val="center"/>
              <w:rPr>
                <w:sz w:val="16"/>
                <w:szCs w:val="16"/>
                <w:lang w:val="fr-BE"/>
              </w:rPr>
            </w:pPr>
            <w:r>
              <w:rPr>
                <w:sz w:val="16"/>
                <w:szCs w:val="16"/>
                <w:lang w:val="fr-BE"/>
              </w:rPr>
              <w:t xml:space="preserve">2014 </w:t>
            </w:r>
            <w:r w:rsidRPr="0024468B">
              <w:rPr>
                <w:noProof/>
                <w:sz w:val="16"/>
                <w:szCs w:val="16"/>
                <w:lang w:val="fr-BE"/>
              </w:rPr>
              <w:t>Jakościowe</w:t>
            </w:r>
          </w:p>
        </w:tc>
      </w:tr>
      <w:tr w:rsidR="006B2EC1" w14:paraId="206ED533" w14:textId="77777777" w:rsidTr="0047688D">
        <w:tc>
          <w:tcPr>
            <w:tcW w:w="0" w:type="auto"/>
            <w:shd w:val="clear" w:color="auto" w:fill="auto"/>
          </w:tcPr>
          <w:p w14:paraId="03BFA025" w14:textId="77777777" w:rsidR="008C5CFA" w:rsidRPr="0024468B" w:rsidRDefault="00E82A60" w:rsidP="00300A01">
            <w:pPr>
              <w:spacing w:before="0" w:after="0"/>
              <w:rPr>
                <w:sz w:val="16"/>
                <w:szCs w:val="16"/>
                <w:lang w:val="fr-BE"/>
              </w:rPr>
            </w:pPr>
            <w:r w:rsidRPr="0024468B">
              <w:rPr>
                <w:noProof/>
                <w:sz w:val="16"/>
                <w:szCs w:val="16"/>
                <w:lang w:val="fr-BE"/>
              </w:rPr>
              <w:t>054</w:t>
            </w:r>
          </w:p>
        </w:tc>
        <w:tc>
          <w:tcPr>
            <w:tcW w:w="0" w:type="auto"/>
            <w:shd w:val="clear" w:color="auto" w:fill="auto"/>
          </w:tcPr>
          <w:p w14:paraId="696F6D4D" w14:textId="77777777" w:rsidR="008C5CFA" w:rsidRPr="0024468B" w:rsidRDefault="00E82A60" w:rsidP="00300A01">
            <w:pPr>
              <w:spacing w:before="0" w:after="0"/>
              <w:rPr>
                <w:sz w:val="16"/>
                <w:szCs w:val="16"/>
                <w:lang w:val="fr-BE"/>
              </w:rPr>
            </w:pPr>
            <w:r w:rsidRPr="0024468B">
              <w:rPr>
                <w:noProof/>
                <w:sz w:val="16"/>
                <w:szCs w:val="16"/>
                <w:lang w:val="fr-BE"/>
              </w:rPr>
              <w:t>Zagrożenie ubóstwem relatywnym w województwie świętokrzyskim</w:t>
            </w:r>
          </w:p>
        </w:tc>
        <w:tc>
          <w:tcPr>
            <w:tcW w:w="0" w:type="auto"/>
            <w:shd w:val="clear" w:color="auto" w:fill="auto"/>
          </w:tcPr>
          <w:p w14:paraId="72C11636" w14:textId="77777777" w:rsidR="008C5CFA" w:rsidRPr="0024468B" w:rsidRDefault="00E82A60" w:rsidP="00300A01">
            <w:pPr>
              <w:spacing w:before="0" w:after="0"/>
              <w:jc w:val="right"/>
              <w:rPr>
                <w:sz w:val="16"/>
                <w:szCs w:val="16"/>
                <w:lang w:val="fr-BE"/>
              </w:rPr>
            </w:pPr>
            <w:r w:rsidRPr="0024468B">
              <w:rPr>
                <w:noProof/>
                <w:sz w:val="16"/>
                <w:szCs w:val="16"/>
                <w:lang w:val="fr-BE"/>
              </w:rPr>
              <w:t>22,60</w:t>
            </w:r>
          </w:p>
        </w:tc>
        <w:tc>
          <w:tcPr>
            <w:tcW w:w="0" w:type="auto"/>
            <w:shd w:val="clear" w:color="auto" w:fill="auto"/>
          </w:tcPr>
          <w:p w14:paraId="747DFD64" w14:textId="77777777" w:rsidR="008C5CFA" w:rsidRPr="0024468B" w:rsidRDefault="008C5CFA" w:rsidP="00300A01">
            <w:pPr>
              <w:spacing w:before="0" w:after="0"/>
              <w:jc w:val="right"/>
              <w:rPr>
                <w:sz w:val="16"/>
                <w:szCs w:val="16"/>
                <w:lang w:val="fr-BE"/>
              </w:rPr>
            </w:pPr>
          </w:p>
        </w:tc>
      </w:tr>
    </w:tbl>
    <w:p w14:paraId="56F5C058" w14:textId="77777777" w:rsidR="008C5CFA" w:rsidRDefault="008C5CFA" w:rsidP="00300A01">
      <w:pPr>
        <w:spacing w:before="0" w:after="0"/>
        <w:rPr>
          <w:lang w:val="fr-BE"/>
        </w:rPr>
      </w:pPr>
    </w:p>
    <w:p w14:paraId="2CE0E05D" w14:textId="77777777" w:rsidR="008C5CFA" w:rsidRDefault="00E82A60" w:rsidP="00300A01">
      <w:pPr>
        <w:spacing w:before="0" w:after="0"/>
        <w:rPr>
          <w:lang w:val="fr-BE"/>
        </w:rPr>
      </w:pPr>
      <w:r>
        <w:rPr>
          <w:lang w:val="fr-BE"/>
        </w:rPr>
        <w:br w:type="page"/>
      </w:r>
    </w:p>
    <w:p w14:paraId="4A0C14F2" w14:textId="77777777" w:rsidR="008C5CFA" w:rsidRPr="00B27C43" w:rsidRDefault="008C5CFA" w:rsidP="00300A01">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3"/>
        <w:gridCol w:w="13251"/>
      </w:tblGrid>
      <w:tr w:rsidR="006B2EC1" w14:paraId="098893C4" w14:textId="77777777" w:rsidTr="0047688D">
        <w:tc>
          <w:tcPr>
            <w:tcW w:w="0" w:type="auto"/>
            <w:shd w:val="clear" w:color="auto" w:fill="auto"/>
          </w:tcPr>
          <w:p w14:paraId="4C8C547E" w14:textId="77777777" w:rsidR="008C5CFA" w:rsidRPr="002124FC" w:rsidRDefault="00E82A60" w:rsidP="00300A01">
            <w:pPr>
              <w:spacing w:before="0" w:after="0"/>
              <w:rPr>
                <w:sz w:val="20"/>
                <w:szCs w:val="20"/>
                <w:lang w:val="fr-BE"/>
              </w:rPr>
            </w:pPr>
            <w:r>
              <w:rPr>
                <w:lang w:val="fr-BE"/>
              </w:rPr>
              <w:br w:type="page"/>
            </w:r>
            <w:r>
              <w:rPr>
                <w:lang w:val="fr-BE"/>
              </w:rPr>
              <w:br w:type="page"/>
            </w:r>
            <w:r w:rsidRPr="002124FC">
              <w:rPr>
                <w:noProof/>
                <w:sz w:val="20"/>
                <w:szCs w:val="20"/>
                <w:lang w:val="fr-BE"/>
              </w:rPr>
              <w:t>Oś priorytetowa</w:t>
            </w:r>
          </w:p>
        </w:tc>
        <w:tc>
          <w:tcPr>
            <w:tcW w:w="0" w:type="auto"/>
            <w:shd w:val="clear" w:color="auto" w:fill="auto"/>
          </w:tcPr>
          <w:p w14:paraId="3E9231AD" w14:textId="77777777" w:rsidR="008C5CFA" w:rsidRPr="002124FC" w:rsidRDefault="00E82A60" w:rsidP="00300A01">
            <w:pPr>
              <w:spacing w:before="0" w:after="0"/>
              <w:rPr>
                <w:sz w:val="20"/>
                <w:szCs w:val="20"/>
                <w:lang w:val="fr-BE"/>
              </w:rPr>
            </w:pPr>
            <w:r w:rsidRPr="002124FC">
              <w:rPr>
                <w:noProof/>
                <w:sz w:val="20"/>
                <w:szCs w:val="20"/>
                <w:lang w:val="fr-BE"/>
              </w:rPr>
              <w:t>6</w:t>
            </w:r>
            <w:r w:rsidRPr="002124FC">
              <w:rPr>
                <w:sz w:val="20"/>
                <w:szCs w:val="20"/>
                <w:lang w:val="fr-BE"/>
              </w:rPr>
              <w:t xml:space="preserve"> - </w:t>
            </w:r>
            <w:r w:rsidRPr="002124FC">
              <w:rPr>
                <w:noProof/>
                <w:sz w:val="20"/>
                <w:szCs w:val="20"/>
                <w:lang w:val="fr-BE"/>
              </w:rPr>
              <w:t>Rozwój miast</w:t>
            </w:r>
          </w:p>
        </w:tc>
      </w:tr>
      <w:tr w:rsidR="006B2EC1" w14:paraId="3695EE3E" w14:textId="77777777" w:rsidTr="0047688D">
        <w:tc>
          <w:tcPr>
            <w:tcW w:w="0" w:type="auto"/>
            <w:shd w:val="clear" w:color="auto" w:fill="auto"/>
          </w:tcPr>
          <w:p w14:paraId="5799787B" w14:textId="77777777" w:rsidR="008C5CFA" w:rsidRPr="002124FC" w:rsidRDefault="00E82A60"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14:paraId="35AFDBF4" w14:textId="77777777" w:rsidR="008C5CFA" w:rsidRPr="002124FC" w:rsidRDefault="00E82A60" w:rsidP="00300A01">
            <w:pPr>
              <w:spacing w:before="0" w:after="0"/>
              <w:rPr>
                <w:sz w:val="20"/>
                <w:szCs w:val="20"/>
                <w:lang w:val="fr-BE"/>
              </w:rPr>
            </w:pPr>
            <w:r w:rsidRPr="002124FC">
              <w:rPr>
                <w:noProof/>
                <w:sz w:val="20"/>
                <w:szCs w:val="20"/>
                <w:lang w:val="fr-BE"/>
              </w:rPr>
              <w:t>10a</w:t>
            </w:r>
            <w:r w:rsidRPr="002124FC">
              <w:rPr>
                <w:sz w:val="20"/>
                <w:szCs w:val="20"/>
                <w:lang w:val="fr-BE"/>
              </w:rPr>
              <w:t xml:space="preserve"> - </w:t>
            </w:r>
            <w:r w:rsidRPr="002124FC">
              <w:rPr>
                <w:noProof/>
                <w:sz w:val="20"/>
                <w:szCs w:val="20"/>
                <w:lang w:val="fr-BE"/>
              </w:rPr>
              <w:t>Inwestycje w kształcenie, szkolenie oraz szkolenie zawodowe na rzecz zdobywania umiejętności i uczenia się przez całe życie poprzez rozwój infrastruktury szkoleniowej i edukacyjnej</w:t>
            </w:r>
          </w:p>
        </w:tc>
      </w:tr>
    </w:tbl>
    <w:p w14:paraId="30E188C1" w14:textId="77777777" w:rsidR="008C5CFA" w:rsidRDefault="008C5CFA" w:rsidP="00300A01">
      <w:pPr>
        <w:spacing w:before="0" w:after="0"/>
        <w:rPr>
          <w:lang w:val="fr-BE"/>
        </w:rPr>
      </w:pPr>
    </w:p>
    <w:p w14:paraId="574831D9" w14:textId="77777777" w:rsidR="008C5CFA" w:rsidRDefault="00E82A60" w:rsidP="00300A01">
      <w:pPr>
        <w:pStyle w:val="Nagwek2"/>
        <w:spacing w:before="0" w:after="0"/>
        <w:rPr>
          <w:lang w:val="fr-BE"/>
        </w:rPr>
      </w:pPr>
      <w:bookmarkStart w:id="42" w:name="_Toc46391726"/>
      <w:r>
        <w:rPr>
          <w:noProof/>
          <w:lang w:val="fr-BE"/>
        </w:rPr>
        <w:t>Tabela 3A</w:t>
      </w:r>
      <w:r>
        <w:rPr>
          <w:lang w:val="fr-BE"/>
        </w:rPr>
        <w:t xml:space="preserve">: </w:t>
      </w:r>
      <w:r>
        <w:rPr>
          <w:noProof/>
          <w:lang w:val="fr-BE"/>
        </w:rPr>
        <w:t>Wspólne i specyficzne dla danego programu wskaźniki produktu dla EFRR i Funduszu Spójności (wg osi priorytetowej, priorytetu inwestycyjnego, w podziale na kategorię regionu dla celów EFRR)</w:t>
      </w:r>
      <w:r w:rsidR="009C5874">
        <w:rPr>
          <w:lang w:val="fr-BE"/>
        </w:rPr>
        <w:t xml:space="preserve"> - </w:t>
      </w:r>
      <w:r w:rsidR="00F022AC" w:rsidRPr="002124FC">
        <w:rPr>
          <w:noProof/>
          <w:sz w:val="20"/>
          <w:szCs w:val="20"/>
          <w:lang w:val="fr-BE"/>
        </w:rPr>
        <w:t>6</w:t>
      </w:r>
      <w:r w:rsidR="00F022AC">
        <w:rPr>
          <w:sz w:val="20"/>
          <w:szCs w:val="20"/>
          <w:lang w:val="fr-BE"/>
        </w:rPr>
        <w:t xml:space="preserve"> / </w:t>
      </w:r>
      <w:r w:rsidR="00F022AC" w:rsidRPr="002124FC">
        <w:rPr>
          <w:noProof/>
          <w:sz w:val="20"/>
          <w:szCs w:val="20"/>
          <w:lang w:val="fr-BE"/>
        </w:rPr>
        <w:t>10a</w:t>
      </w:r>
      <w:bookmarkEnd w:id="42"/>
    </w:p>
    <w:p w14:paraId="07AD3497"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02"/>
        <w:gridCol w:w="497"/>
        <w:gridCol w:w="4780"/>
        <w:gridCol w:w="998"/>
        <w:gridCol w:w="1038"/>
        <w:gridCol w:w="1429"/>
        <w:gridCol w:w="1559"/>
        <w:gridCol w:w="1436"/>
        <w:gridCol w:w="800"/>
        <w:gridCol w:w="986"/>
        <w:gridCol w:w="809"/>
        <w:gridCol w:w="550"/>
      </w:tblGrid>
      <w:tr w:rsidR="006B2EC1" w14:paraId="68AE041F" w14:textId="77777777" w:rsidTr="0047688D">
        <w:trPr>
          <w:tblHeader/>
        </w:trPr>
        <w:tc>
          <w:tcPr>
            <w:tcW w:w="0" w:type="auto"/>
          </w:tcPr>
          <w:p w14:paraId="1AC747C5" w14:textId="77777777" w:rsidR="008C5CFA" w:rsidRPr="009143B4" w:rsidRDefault="00E82A60" w:rsidP="00300A01">
            <w:pPr>
              <w:spacing w:before="0" w:after="0"/>
              <w:rPr>
                <w:b/>
                <w:sz w:val="16"/>
                <w:szCs w:val="16"/>
                <w:lang w:val="fr-BE"/>
              </w:rPr>
            </w:pPr>
            <w:r w:rsidRPr="009143B4">
              <w:rPr>
                <w:b/>
                <w:sz w:val="16"/>
                <w:szCs w:val="16"/>
                <w:lang w:val="fr-BE"/>
              </w:rPr>
              <w:t>(1)</w:t>
            </w:r>
          </w:p>
        </w:tc>
        <w:tc>
          <w:tcPr>
            <w:tcW w:w="0" w:type="auto"/>
            <w:shd w:val="clear" w:color="auto" w:fill="auto"/>
          </w:tcPr>
          <w:p w14:paraId="6A190BE8" w14:textId="77777777" w:rsidR="008C5CFA" w:rsidRPr="009143B4" w:rsidRDefault="00E82A60" w:rsidP="00300A01">
            <w:pPr>
              <w:spacing w:before="0" w:after="0"/>
              <w:rPr>
                <w:b/>
                <w:sz w:val="16"/>
                <w:szCs w:val="16"/>
                <w:lang w:val="fr-BE"/>
              </w:rPr>
            </w:pPr>
            <w:r w:rsidRPr="009143B4">
              <w:rPr>
                <w:b/>
                <w:noProof/>
                <w:sz w:val="16"/>
                <w:szCs w:val="16"/>
                <w:lang w:val="fr-BE"/>
              </w:rPr>
              <w:t>ID</w:t>
            </w:r>
          </w:p>
        </w:tc>
        <w:tc>
          <w:tcPr>
            <w:tcW w:w="0" w:type="auto"/>
            <w:shd w:val="clear" w:color="auto" w:fill="auto"/>
          </w:tcPr>
          <w:p w14:paraId="5DEABE16" w14:textId="77777777" w:rsidR="008C5CFA" w:rsidRPr="009143B4" w:rsidRDefault="00E82A60" w:rsidP="00300A01">
            <w:pPr>
              <w:spacing w:before="0" w:after="0"/>
              <w:rPr>
                <w:b/>
                <w:sz w:val="16"/>
                <w:szCs w:val="16"/>
                <w:lang w:val="fr-BE"/>
              </w:rPr>
            </w:pPr>
            <w:r w:rsidRPr="009143B4">
              <w:rPr>
                <w:b/>
                <w:noProof/>
                <w:sz w:val="16"/>
                <w:szCs w:val="16"/>
                <w:lang w:val="fr-BE"/>
              </w:rPr>
              <w:t>Wskaźnik</w:t>
            </w:r>
          </w:p>
        </w:tc>
        <w:tc>
          <w:tcPr>
            <w:tcW w:w="0" w:type="auto"/>
            <w:shd w:val="clear" w:color="auto" w:fill="auto"/>
          </w:tcPr>
          <w:p w14:paraId="118B4709" w14:textId="77777777" w:rsidR="008C5CFA" w:rsidRPr="009143B4" w:rsidRDefault="00E82A60" w:rsidP="00300A01">
            <w:pPr>
              <w:spacing w:before="0" w:after="0"/>
              <w:rPr>
                <w:b/>
                <w:sz w:val="16"/>
                <w:szCs w:val="16"/>
                <w:lang w:val="fr-BE"/>
              </w:rPr>
            </w:pPr>
            <w:r w:rsidRPr="009143B4">
              <w:rPr>
                <w:b/>
                <w:noProof/>
                <w:sz w:val="16"/>
                <w:szCs w:val="16"/>
                <w:lang w:val="fr-BE"/>
              </w:rPr>
              <w:t>Jednostka miary</w:t>
            </w:r>
          </w:p>
        </w:tc>
        <w:tc>
          <w:tcPr>
            <w:tcW w:w="0" w:type="auto"/>
            <w:shd w:val="clear" w:color="auto" w:fill="auto"/>
          </w:tcPr>
          <w:p w14:paraId="2730CD1B" w14:textId="77777777" w:rsidR="008C5CFA" w:rsidRPr="009143B4" w:rsidRDefault="00E82A60" w:rsidP="00300A01">
            <w:pPr>
              <w:spacing w:before="0" w:after="0"/>
              <w:rPr>
                <w:b/>
                <w:sz w:val="16"/>
                <w:szCs w:val="16"/>
                <w:lang w:val="fr-BE"/>
              </w:rPr>
            </w:pPr>
            <w:r w:rsidRPr="009143B4">
              <w:rPr>
                <w:b/>
                <w:noProof/>
                <w:sz w:val="16"/>
                <w:szCs w:val="16"/>
                <w:lang w:val="fr-BE"/>
              </w:rPr>
              <w:t>Kategoria regionu</w:t>
            </w:r>
          </w:p>
        </w:tc>
        <w:tc>
          <w:tcPr>
            <w:tcW w:w="0" w:type="auto"/>
            <w:shd w:val="clear" w:color="auto" w:fill="auto"/>
          </w:tcPr>
          <w:p w14:paraId="16395E6D" w14:textId="77777777" w:rsidR="008C5CFA" w:rsidRPr="009143B4" w:rsidRDefault="00E82A60" w:rsidP="00300A01">
            <w:pPr>
              <w:spacing w:before="0" w:after="0"/>
              <w:jc w:val="center"/>
              <w:rPr>
                <w:b/>
                <w:sz w:val="16"/>
                <w:szCs w:val="16"/>
                <w:lang w:val="fr-BE"/>
              </w:rPr>
            </w:pPr>
            <w:r w:rsidRPr="009143B4">
              <w:rPr>
                <w:b/>
                <w:noProof/>
                <w:sz w:val="16"/>
                <w:szCs w:val="16"/>
                <w:lang w:val="fr-BE"/>
              </w:rPr>
              <w:t>Wartość docelowa (2023) ogółem</w:t>
            </w:r>
          </w:p>
        </w:tc>
        <w:tc>
          <w:tcPr>
            <w:tcW w:w="0" w:type="auto"/>
            <w:shd w:val="clear" w:color="auto" w:fill="auto"/>
          </w:tcPr>
          <w:p w14:paraId="31E8385E" w14:textId="77777777" w:rsidR="008C5CFA" w:rsidRPr="009143B4" w:rsidRDefault="00E82A60" w:rsidP="00300A01">
            <w:pPr>
              <w:spacing w:before="0" w:after="0"/>
              <w:jc w:val="center"/>
              <w:rPr>
                <w:b/>
                <w:sz w:val="16"/>
                <w:szCs w:val="16"/>
                <w:lang w:val="fr-BE"/>
              </w:rPr>
            </w:pPr>
            <w:r w:rsidRPr="009143B4">
              <w:rPr>
                <w:b/>
                <w:noProof/>
                <w:sz w:val="16"/>
                <w:szCs w:val="16"/>
                <w:lang w:val="fr-BE"/>
              </w:rPr>
              <w:t>Wartość docelowa (2023) mężczyźni</w:t>
            </w:r>
          </w:p>
        </w:tc>
        <w:tc>
          <w:tcPr>
            <w:tcW w:w="0" w:type="auto"/>
          </w:tcPr>
          <w:p w14:paraId="34C72D8A" w14:textId="77777777" w:rsidR="008C5CFA" w:rsidRPr="009143B4" w:rsidRDefault="00E82A60" w:rsidP="00300A01">
            <w:pPr>
              <w:spacing w:before="0" w:after="0"/>
              <w:jc w:val="center"/>
              <w:rPr>
                <w:b/>
                <w:sz w:val="16"/>
                <w:szCs w:val="16"/>
                <w:lang w:val="fr-BE"/>
              </w:rPr>
            </w:pPr>
            <w:r w:rsidRPr="009143B4">
              <w:rPr>
                <w:b/>
                <w:noProof/>
                <w:sz w:val="16"/>
                <w:szCs w:val="16"/>
                <w:lang w:val="fr-BE"/>
              </w:rPr>
              <w:t>Wartość docelowa (2023) kobiety</w:t>
            </w:r>
          </w:p>
        </w:tc>
        <w:tc>
          <w:tcPr>
            <w:tcW w:w="0" w:type="auto"/>
            <w:shd w:val="clear" w:color="auto" w:fill="auto"/>
          </w:tcPr>
          <w:p w14:paraId="582AD43C" w14:textId="77777777" w:rsidR="008C5CFA" w:rsidRPr="009143B4" w:rsidRDefault="00E82A60" w:rsidP="00300A01">
            <w:pPr>
              <w:spacing w:before="0" w:after="0"/>
              <w:jc w:val="center"/>
              <w:rPr>
                <w:b/>
                <w:sz w:val="16"/>
                <w:szCs w:val="16"/>
                <w:lang w:val="fr-BE"/>
              </w:rPr>
            </w:pPr>
            <w:r>
              <w:rPr>
                <w:b/>
                <w:sz w:val="16"/>
                <w:szCs w:val="16"/>
                <w:lang w:val="fr-BE"/>
              </w:rPr>
              <w:t xml:space="preserve">2019 </w:t>
            </w:r>
            <w:r w:rsidRPr="009143B4">
              <w:rPr>
                <w:b/>
                <w:noProof/>
                <w:sz w:val="16"/>
                <w:szCs w:val="16"/>
                <w:lang w:val="fr-BE"/>
              </w:rPr>
              <w:t>Ogółem</w:t>
            </w:r>
          </w:p>
        </w:tc>
        <w:tc>
          <w:tcPr>
            <w:tcW w:w="0" w:type="auto"/>
            <w:shd w:val="clear" w:color="auto" w:fill="auto"/>
          </w:tcPr>
          <w:p w14:paraId="7E1CD81C" w14:textId="77777777" w:rsidR="008C5CFA" w:rsidRPr="009143B4" w:rsidRDefault="00E82A60" w:rsidP="00300A01">
            <w:pPr>
              <w:spacing w:before="0" w:after="0"/>
              <w:jc w:val="center"/>
              <w:rPr>
                <w:b/>
                <w:sz w:val="16"/>
                <w:szCs w:val="16"/>
                <w:lang w:val="fr-BE"/>
              </w:rPr>
            </w:pPr>
            <w:r>
              <w:rPr>
                <w:b/>
                <w:sz w:val="16"/>
                <w:szCs w:val="16"/>
                <w:lang w:val="fr-BE"/>
              </w:rPr>
              <w:t xml:space="preserve">2019 </w:t>
            </w:r>
            <w:r w:rsidRPr="009143B4">
              <w:rPr>
                <w:b/>
                <w:noProof/>
                <w:sz w:val="16"/>
                <w:szCs w:val="16"/>
                <w:lang w:val="fr-BE"/>
              </w:rPr>
              <w:t>Mężczyźni</w:t>
            </w:r>
          </w:p>
        </w:tc>
        <w:tc>
          <w:tcPr>
            <w:tcW w:w="0" w:type="auto"/>
            <w:shd w:val="clear" w:color="auto" w:fill="auto"/>
          </w:tcPr>
          <w:p w14:paraId="339BB3F7" w14:textId="77777777" w:rsidR="008C5CFA" w:rsidRPr="009143B4" w:rsidRDefault="00E82A60" w:rsidP="00300A01">
            <w:pPr>
              <w:spacing w:before="0" w:after="0"/>
              <w:jc w:val="center"/>
              <w:rPr>
                <w:b/>
                <w:sz w:val="16"/>
                <w:szCs w:val="16"/>
                <w:lang w:val="fr-BE"/>
              </w:rPr>
            </w:pPr>
            <w:r>
              <w:rPr>
                <w:b/>
                <w:sz w:val="16"/>
                <w:szCs w:val="16"/>
                <w:lang w:val="fr-BE"/>
              </w:rPr>
              <w:t xml:space="preserve">2019 </w:t>
            </w:r>
            <w:r w:rsidRPr="009143B4">
              <w:rPr>
                <w:b/>
                <w:noProof/>
                <w:sz w:val="16"/>
                <w:szCs w:val="16"/>
                <w:lang w:val="fr-BE"/>
              </w:rPr>
              <w:t>Kobiety</w:t>
            </w:r>
          </w:p>
        </w:tc>
        <w:tc>
          <w:tcPr>
            <w:tcW w:w="0" w:type="auto"/>
            <w:shd w:val="clear" w:color="auto" w:fill="auto"/>
          </w:tcPr>
          <w:p w14:paraId="7753E611" w14:textId="77777777" w:rsidR="008C5CFA" w:rsidRPr="009143B4" w:rsidRDefault="00E82A60" w:rsidP="00300A01">
            <w:pPr>
              <w:spacing w:before="0" w:after="0"/>
              <w:jc w:val="center"/>
              <w:rPr>
                <w:b/>
                <w:sz w:val="16"/>
                <w:szCs w:val="16"/>
                <w:lang w:val="fr-BE"/>
              </w:rPr>
            </w:pPr>
            <w:r w:rsidRPr="009143B4">
              <w:rPr>
                <w:b/>
                <w:noProof/>
                <w:sz w:val="16"/>
                <w:szCs w:val="16"/>
                <w:lang w:val="fr-BE"/>
              </w:rPr>
              <w:t>Uwagi</w:t>
            </w:r>
          </w:p>
        </w:tc>
      </w:tr>
      <w:tr w:rsidR="006B2EC1" w14:paraId="2D11BB2C" w14:textId="77777777" w:rsidTr="0047688D">
        <w:tc>
          <w:tcPr>
            <w:tcW w:w="0" w:type="auto"/>
          </w:tcPr>
          <w:p w14:paraId="76E11377" w14:textId="77777777" w:rsidR="008C5CFA" w:rsidRPr="0024468B" w:rsidRDefault="00E82A60" w:rsidP="00300A01">
            <w:pPr>
              <w:spacing w:before="0" w:after="0"/>
              <w:rPr>
                <w:sz w:val="16"/>
                <w:szCs w:val="16"/>
                <w:lang w:val="fr-BE"/>
              </w:rPr>
            </w:pPr>
            <w:r>
              <w:rPr>
                <w:noProof/>
                <w:sz w:val="16"/>
                <w:szCs w:val="16"/>
                <w:lang w:val="fr-BE"/>
              </w:rPr>
              <w:t>F</w:t>
            </w:r>
          </w:p>
        </w:tc>
        <w:tc>
          <w:tcPr>
            <w:tcW w:w="0" w:type="auto"/>
            <w:shd w:val="clear" w:color="auto" w:fill="auto"/>
          </w:tcPr>
          <w:p w14:paraId="33B4C640" w14:textId="77777777" w:rsidR="008C5CFA" w:rsidRPr="0024468B" w:rsidRDefault="00E82A60" w:rsidP="00300A01">
            <w:pPr>
              <w:spacing w:before="0" w:after="0"/>
              <w:rPr>
                <w:sz w:val="16"/>
                <w:szCs w:val="16"/>
                <w:lang w:val="fr-BE"/>
              </w:rPr>
            </w:pPr>
            <w:r w:rsidRPr="0024468B">
              <w:rPr>
                <w:noProof/>
                <w:sz w:val="16"/>
                <w:szCs w:val="16"/>
                <w:lang w:val="fr-BE"/>
              </w:rPr>
              <w:t>CO35</w:t>
            </w:r>
          </w:p>
        </w:tc>
        <w:tc>
          <w:tcPr>
            <w:tcW w:w="0" w:type="auto"/>
            <w:shd w:val="clear" w:color="auto" w:fill="auto"/>
          </w:tcPr>
          <w:p w14:paraId="39264F34" w14:textId="77777777" w:rsidR="008C5CFA" w:rsidRPr="0024468B" w:rsidRDefault="00E82A60" w:rsidP="00300A01">
            <w:pPr>
              <w:spacing w:before="0" w:after="0"/>
              <w:rPr>
                <w:sz w:val="16"/>
                <w:szCs w:val="16"/>
                <w:lang w:val="fr-BE"/>
              </w:rPr>
            </w:pPr>
            <w:r w:rsidRPr="0024468B">
              <w:rPr>
                <w:noProof/>
                <w:sz w:val="16"/>
                <w:szCs w:val="16"/>
                <w:lang w:val="fr-BE"/>
              </w:rPr>
              <w:t>Opieka nad dziećmi i edukacja: Liczba miejsc w objętej wsparciem infrastrukturze w zakresie opieki nad dziećmi lub infrastrukturze edukacyjnej</w:t>
            </w:r>
          </w:p>
        </w:tc>
        <w:tc>
          <w:tcPr>
            <w:tcW w:w="0" w:type="auto"/>
            <w:shd w:val="clear" w:color="auto" w:fill="auto"/>
          </w:tcPr>
          <w:p w14:paraId="0DB96273" w14:textId="77777777" w:rsidR="008C5CFA" w:rsidRPr="0024468B" w:rsidRDefault="00E82A60" w:rsidP="00300A01">
            <w:pPr>
              <w:spacing w:before="0" w:after="0"/>
              <w:rPr>
                <w:sz w:val="16"/>
                <w:szCs w:val="16"/>
                <w:lang w:val="fr-BE"/>
              </w:rPr>
            </w:pPr>
            <w:r>
              <w:rPr>
                <w:noProof/>
                <w:sz w:val="16"/>
                <w:szCs w:val="16"/>
                <w:lang w:val="fr-BE"/>
              </w:rPr>
              <w:t>Osoby</w:t>
            </w:r>
          </w:p>
        </w:tc>
        <w:tc>
          <w:tcPr>
            <w:tcW w:w="0" w:type="auto"/>
            <w:shd w:val="clear" w:color="auto" w:fill="auto"/>
          </w:tcPr>
          <w:p w14:paraId="1C02801D" w14:textId="77777777" w:rsidR="008C5CFA" w:rsidRPr="0024468B" w:rsidRDefault="00E82A60"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14:paraId="26F9A411" w14:textId="77777777" w:rsidR="008C5CFA" w:rsidRPr="0024468B" w:rsidRDefault="00E82A60" w:rsidP="00300A01">
            <w:pPr>
              <w:spacing w:before="0" w:after="0"/>
              <w:jc w:val="right"/>
              <w:rPr>
                <w:sz w:val="16"/>
                <w:szCs w:val="16"/>
                <w:lang w:val="fr-BE"/>
              </w:rPr>
            </w:pPr>
            <w:r>
              <w:rPr>
                <w:noProof/>
                <w:sz w:val="16"/>
                <w:szCs w:val="16"/>
                <w:lang w:val="fr-BE"/>
              </w:rPr>
              <w:t>500,00</w:t>
            </w:r>
          </w:p>
        </w:tc>
        <w:tc>
          <w:tcPr>
            <w:tcW w:w="0" w:type="auto"/>
            <w:shd w:val="clear" w:color="auto" w:fill="auto"/>
          </w:tcPr>
          <w:p w14:paraId="5217D73F" w14:textId="77777777" w:rsidR="008C5CFA" w:rsidRPr="0024468B" w:rsidRDefault="008C5CFA" w:rsidP="00300A01">
            <w:pPr>
              <w:spacing w:before="0" w:after="0"/>
              <w:jc w:val="right"/>
              <w:rPr>
                <w:sz w:val="16"/>
                <w:szCs w:val="16"/>
                <w:lang w:val="fr-BE"/>
              </w:rPr>
            </w:pPr>
          </w:p>
        </w:tc>
        <w:tc>
          <w:tcPr>
            <w:tcW w:w="0" w:type="auto"/>
          </w:tcPr>
          <w:p w14:paraId="77A97921" w14:textId="77777777" w:rsidR="008C5CFA" w:rsidRPr="0024468B" w:rsidRDefault="008C5CFA" w:rsidP="00300A01">
            <w:pPr>
              <w:spacing w:before="0" w:after="0"/>
              <w:jc w:val="right"/>
              <w:rPr>
                <w:sz w:val="16"/>
                <w:szCs w:val="16"/>
                <w:lang w:val="fr-BE"/>
              </w:rPr>
            </w:pPr>
          </w:p>
        </w:tc>
        <w:tc>
          <w:tcPr>
            <w:tcW w:w="0" w:type="auto"/>
            <w:shd w:val="clear" w:color="auto" w:fill="auto"/>
          </w:tcPr>
          <w:p w14:paraId="3B98E0BF"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72F2DFAB"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6A7B8C9E"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20CE8003" w14:textId="77777777" w:rsidR="008C5CFA" w:rsidRPr="0024468B" w:rsidRDefault="008C5CFA" w:rsidP="00300A01">
            <w:pPr>
              <w:spacing w:before="0" w:after="0"/>
              <w:rPr>
                <w:sz w:val="16"/>
                <w:szCs w:val="16"/>
                <w:lang w:val="fr-BE"/>
              </w:rPr>
            </w:pPr>
          </w:p>
        </w:tc>
      </w:tr>
      <w:tr w:rsidR="006B2EC1" w14:paraId="5F1BB05C" w14:textId="77777777" w:rsidTr="0047688D">
        <w:tc>
          <w:tcPr>
            <w:tcW w:w="0" w:type="auto"/>
          </w:tcPr>
          <w:p w14:paraId="1C4656C9" w14:textId="77777777" w:rsidR="008C5CFA" w:rsidRPr="0024468B" w:rsidRDefault="00E82A60" w:rsidP="00300A01">
            <w:pPr>
              <w:spacing w:before="0" w:after="0"/>
              <w:rPr>
                <w:sz w:val="16"/>
                <w:szCs w:val="16"/>
                <w:lang w:val="fr-BE"/>
              </w:rPr>
            </w:pPr>
            <w:r>
              <w:rPr>
                <w:noProof/>
                <w:sz w:val="16"/>
                <w:szCs w:val="16"/>
                <w:lang w:val="fr-BE"/>
              </w:rPr>
              <w:t>S</w:t>
            </w:r>
          </w:p>
        </w:tc>
        <w:tc>
          <w:tcPr>
            <w:tcW w:w="0" w:type="auto"/>
            <w:shd w:val="clear" w:color="auto" w:fill="auto"/>
          </w:tcPr>
          <w:p w14:paraId="517C21A7" w14:textId="77777777" w:rsidR="008C5CFA" w:rsidRPr="0024468B" w:rsidRDefault="00E82A60" w:rsidP="00300A01">
            <w:pPr>
              <w:spacing w:before="0" w:after="0"/>
              <w:rPr>
                <w:sz w:val="16"/>
                <w:szCs w:val="16"/>
                <w:lang w:val="fr-BE"/>
              </w:rPr>
            </w:pPr>
            <w:r w:rsidRPr="0024468B">
              <w:rPr>
                <w:noProof/>
                <w:sz w:val="16"/>
                <w:szCs w:val="16"/>
                <w:lang w:val="fr-BE"/>
              </w:rPr>
              <w:t>CO35</w:t>
            </w:r>
          </w:p>
        </w:tc>
        <w:tc>
          <w:tcPr>
            <w:tcW w:w="0" w:type="auto"/>
            <w:shd w:val="clear" w:color="auto" w:fill="auto"/>
          </w:tcPr>
          <w:p w14:paraId="2223EC32" w14:textId="77777777" w:rsidR="008C5CFA" w:rsidRPr="0024468B" w:rsidRDefault="00E82A60" w:rsidP="00300A01">
            <w:pPr>
              <w:spacing w:before="0" w:after="0"/>
              <w:rPr>
                <w:sz w:val="16"/>
                <w:szCs w:val="16"/>
                <w:lang w:val="fr-BE"/>
              </w:rPr>
            </w:pPr>
            <w:r w:rsidRPr="0024468B">
              <w:rPr>
                <w:noProof/>
                <w:sz w:val="16"/>
                <w:szCs w:val="16"/>
                <w:lang w:val="fr-BE"/>
              </w:rPr>
              <w:t>Opieka nad dziećmi i edukacja: Liczba miejsc w objętej wsparciem infrastrukturze w zakresie opieki nad dziećmi lub infrastrukturze edukacyjnej</w:t>
            </w:r>
          </w:p>
        </w:tc>
        <w:tc>
          <w:tcPr>
            <w:tcW w:w="0" w:type="auto"/>
            <w:shd w:val="clear" w:color="auto" w:fill="auto"/>
          </w:tcPr>
          <w:p w14:paraId="5728FC8D" w14:textId="77777777" w:rsidR="008C5CFA" w:rsidRPr="0024468B" w:rsidRDefault="00E82A60" w:rsidP="00300A01">
            <w:pPr>
              <w:spacing w:before="0" w:after="0"/>
              <w:rPr>
                <w:sz w:val="16"/>
                <w:szCs w:val="16"/>
                <w:lang w:val="fr-BE"/>
              </w:rPr>
            </w:pPr>
            <w:r>
              <w:rPr>
                <w:noProof/>
                <w:sz w:val="16"/>
                <w:szCs w:val="16"/>
                <w:lang w:val="fr-BE"/>
              </w:rPr>
              <w:t>Osoby</w:t>
            </w:r>
          </w:p>
        </w:tc>
        <w:tc>
          <w:tcPr>
            <w:tcW w:w="0" w:type="auto"/>
            <w:shd w:val="clear" w:color="auto" w:fill="auto"/>
          </w:tcPr>
          <w:p w14:paraId="5A6D8483" w14:textId="77777777" w:rsidR="008C5CFA" w:rsidRPr="0024468B" w:rsidRDefault="00E82A60"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14:paraId="368186E2" w14:textId="77777777" w:rsidR="008C5CFA" w:rsidRPr="0024468B" w:rsidRDefault="00E82A60" w:rsidP="00300A01">
            <w:pPr>
              <w:spacing w:before="0" w:after="0"/>
              <w:jc w:val="right"/>
              <w:rPr>
                <w:sz w:val="16"/>
                <w:szCs w:val="16"/>
                <w:lang w:val="fr-BE"/>
              </w:rPr>
            </w:pPr>
            <w:r>
              <w:rPr>
                <w:noProof/>
                <w:sz w:val="16"/>
                <w:szCs w:val="16"/>
                <w:lang w:val="fr-BE"/>
              </w:rPr>
              <w:t>500,00</w:t>
            </w:r>
          </w:p>
        </w:tc>
        <w:tc>
          <w:tcPr>
            <w:tcW w:w="0" w:type="auto"/>
            <w:shd w:val="clear" w:color="auto" w:fill="auto"/>
          </w:tcPr>
          <w:p w14:paraId="22205828" w14:textId="77777777" w:rsidR="008C5CFA" w:rsidRPr="0024468B" w:rsidRDefault="008C5CFA" w:rsidP="00300A01">
            <w:pPr>
              <w:spacing w:before="0" w:after="0"/>
              <w:jc w:val="right"/>
              <w:rPr>
                <w:sz w:val="16"/>
                <w:szCs w:val="16"/>
                <w:lang w:val="fr-BE"/>
              </w:rPr>
            </w:pPr>
          </w:p>
        </w:tc>
        <w:tc>
          <w:tcPr>
            <w:tcW w:w="0" w:type="auto"/>
          </w:tcPr>
          <w:p w14:paraId="4DE2B805" w14:textId="77777777" w:rsidR="008C5CFA" w:rsidRPr="0024468B" w:rsidRDefault="008C5CFA" w:rsidP="00300A01">
            <w:pPr>
              <w:spacing w:before="0" w:after="0"/>
              <w:jc w:val="right"/>
              <w:rPr>
                <w:sz w:val="16"/>
                <w:szCs w:val="16"/>
                <w:lang w:val="fr-BE"/>
              </w:rPr>
            </w:pPr>
          </w:p>
        </w:tc>
        <w:tc>
          <w:tcPr>
            <w:tcW w:w="0" w:type="auto"/>
            <w:shd w:val="clear" w:color="auto" w:fill="auto"/>
          </w:tcPr>
          <w:p w14:paraId="0DBA6838" w14:textId="77777777" w:rsidR="008C5CFA" w:rsidRPr="0024468B" w:rsidRDefault="00E82A60" w:rsidP="00300A01">
            <w:pPr>
              <w:spacing w:before="0" w:after="0"/>
              <w:jc w:val="right"/>
              <w:rPr>
                <w:sz w:val="16"/>
                <w:szCs w:val="16"/>
                <w:lang w:val="fr-BE"/>
              </w:rPr>
            </w:pPr>
            <w:r w:rsidRPr="0024468B">
              <w:rPr>
                <w:noProof/>
                <w:sz w:val="16"/>
                <w:szCs w:val="16"/>
                <w:lang w:val="fr-BE"/>
              </w:rPr>
              <w:t>512,00</w:t>
            </w:r>
          </w:p>
        </w:tc>
        <w:tc>
          <w:tcPr>
            <w:tcW w:w="0" w:type="auto"/>
            <w:shd w:val="clear" w:color="auto" w:fill="auto"/>
          </w:tcPr>
          <w:p w14:paraId="433CDC00"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10D0B38F"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31853A56" w14:textId="77777777" w:rsidR="008C5CFA" w:rsidRPr="0024468B" w:rsidRDefault="008C5CFA" w:rsidP="00300A01">
            <w:pPr>
              <w:spacing w:before="0" w:after="0"/>
              <w:rPr>
                <w:sz w:val="16"/>
                <w:szCs w:val="16"/>
                <w:lang w:val="fr-BE"/>
              </w:rPr>
            </w:pPr>
          </w:p>
        </w:tc>
      </w:tr>
      <w:tr w:rsidR="006B2EC1" w14:paraId="0BEC11E8" w14:textId="77777777" w:rsidTr="0047688D">
        <w:tc>
          <w:tcPr>
            <w:tcW w:w="0" w:type="auto"/>
          </w:tcPr>
          <w:p w14:paraId="44499F53" w14:textId="77777777" w:rsidR="008C5CFA" w:rsidRPr="0024468B" w:rsidRDefault="00E82A60" w:rsidP="00300A01">
            <w:pPr>
              <w:spacing w:before="0" w:after="0"/>
              <w:rPr>
                <w:sz w:val="16"/>
                <w:szCs w:val="16"/>
                <w:lang w:val="fr-BE"/>
              </w:rPr>
            </w:pPr>
            <w:r>
              <w:rPr>
                <w:noProof/>
                <w:sz w:val="16"/>
                <w:szCs w:val="16"/>
                <w:lang w:val="fr-BE"/>
              </w:rPr>
              <w:t>F</w:t>
            </w:r>
          </w:p>
        </w:tc>
        <w:tc>
          <w:tcPr>
            <w:tcW w:w="0" w:type="auto"/>
            <w:shd w:val="clear" w:color="auto" w:fill="auto"/>
          </w:tcPr>
          <w:p w14:paraId="57720E30" w14:textId="77777777" w:rsidR="008C5CFA" w:rsidRPr="0024468B" w:rsidRDefault="00E82A60" w:rsidP="00300A01">
            <w:pPr>
              <w:spacing w:before="0" w:after="0"/>
              <w:rPr>
                <w:sz w:val="16"/>
                <w:szCs w:val="16"/>
                <w:lang w:val="fr-BE"/>
              </w:rPr>
            </w:pPr>
            <w:r>
              <w:rPr>
                <w:noProof/>
                <w:sz w:val="16"/>
                <w:szCs w:val="16"/>
                <w:lang w:val="fr-BE"/>
              </w:rPr>
              <w:t>80</w:t>
            </w:r>
          </w:p>
        </w:tc>
        <w:tc>
          <w:tcPr>
            <w:tcW w:w="0" w:type="auto"/>
            <w:shd w:val="clear" w:color="auto" w:fill="auto"/>
          </w:tcPr>
          <w:p w14:paraId="4D973BE0" w14:textId="77777777" w:rsidR="008C5CFA" w:rsidRPr="0024468B" w:rsidRDefault="00E82A60" w:rsidP="00300A01">
            <w:pPr>
              <w:spacing w:before="0" w:after="0"/>
              <w:rPr>
                <w:sz w:val="16"/>
                <w:szCs w:val="16"/>
                <w:lang w:val="fr-BE"/>
              </w:rPr>
            </w:pPr>
            <w:r>
              <w:rPr>
                <w:noProof/>
                <w:sz w:val="16"/>
                <w:szCs w:val="16"/>
                <w:lang w:val="fr-BE"/>
              </w:rPr>
              <w:t>Liczba wybudowanych lub zmodernizowanych obiektów infrastruktury edukacyjnej i szkoleniowej</w:t>
            </w:r>
          </w:p>
        </w:tc>
        <w:tc>
          <w:tcPr>
            <w:tcW w:w="0" w:type="auto"/>
            <w:shd w:val="clear" w:color="auto" w:fill="auto"/>
          </w:tcPr>
          <w:p w14:paraId="3DE0E48E" w14:textId="77777777" w:rsidR="008C5CFA" w:rsidRPr="0024468B" w:rsidRDefault="00E82A60" w:rsidP="00300A01">
            <w:pPr>
              <w:spacing w:before="0" w:after="0"/>
              <w:rPr>
                <w:sz w:val="16"/>
                <w:szCs w:val="16"/>
                <w:lang w:val="fr-BE"/>
              </w:rPr>
            </w:pPr>
            <w:r w:rsidRPr="0024468B">
              <w:rPr>
                <w:noProof/>
                <w:sz w:val="16"/>
                <w:szCs w:val="16"/>
                <w:lang w:val="fr-BE"/>
              </w:rPr>
              <w:t>szt.</w:t>
            </w:r>
          </w:p>
        </w:tc>
        <w:tc>
          <w:tcPr>
            <w:tcW w:w="0" w:type="auto"/>
            <w:shd w:val="clear" w:color="auto" w:fill="auto"/>
          </w:tcPr>
          <w:p w14:paraId="77ACEFCD" w14:textId="77777777" w:rsidR="008C5CFA" w:rsidRPr="0024468B" w:rsidRDefault="00E82A60"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14:paraId="407891F8" w14:textId="77777777" w:rsidR="008C5CFA" w:rsidRPr="0024468B" w:rsidRDefault="00E82A60" w:rsidP="00300A01">
            <w:pPr>
              <w:spacing w:before="0" w:after="0"/>
              <w:jc w:val="right"/>
              <w:rPr>
                <w:sz w:val="16"/>
                <w:szCs w:val="16"/>
                <w:lang w:val="fr-BE"/>
              </w:rPr>
            </w:pPr>
            <w:r>
              <w:rPr>
                <w:noProof/>
                <w:sz w:val="16"/>
                <w:szCs w:val="16"/>
                <w:lang w:val="fr-BE"/>
              </w:rPr>
              <w:t>1,00</w:t>
            </w:r>
          </w:p>
        </w:tc>
        <w:tc>
          <w:tcPr>
            <w:tcW w:w="0" w:type="auto"/>
            <w:shd w:val="clear" w:color="auto" w:fill="auto"/>
          </w:tcPr>
          <w:p w14:paraId="6C84B2BB" w14:textId="77777777" w:rsidR="008C5CFA" w:rsidRPr="0024468B" w:rsidRDefault="008C5CFA" w:rsidP="00300A01">
            <w:pPr>
              <w:spacing w:before="0" w:after="0"/>
              <w:jc w:val="right"/>
              <w:rPr>
                <w:sz w:val="16"/>
                <w:szCs w:val="16"/>
                <w:lang w:val="fr-BE"/>
              </w:rPr>
            </w:pPr>
          </w:p>
        </w:tc>
        <w:tc>
          <w:tcPr>
            <w:tcW w:w="0" w:type="auto"/>
          </w:tcPr>
          <w:p w14:paraId="39C98F65" w14:textId="77777777" w:rsidR="008C5CFA" w:rsidRPr="0024468B" w:rsidRDefault="008C5CFA" w:rsidP="00300A01">
            <w:pPr>
              <w:spacing w:before="0" w:after="0"/>
              <w:jc w:val="right"/>
              <w:rPr>
                <w:sz w:val="16"/>
                <w:szCs w:val="16"/>
                <w:lang w:val="fr-BE"/>
              </w:rPr>
            </w:pPr>
          </w:p>
        </w:tc>
        <w:tc>
          <w:tcPr>
            <w:tcW w:w="0" w:type="auto"/>
            <w:shd w:val="clear" w:color="auto" w:fill="auto"/>
          </w:tcPr>
          <w:p w14:paraId="048ED90E"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7729ACDF"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14D9EF76"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07C42C81" w14:textId="77777777" w:rsidR="008C5CFA" w:rsidRPr="0024468B" w:rsidRDefault="008C5CFA" w:rsidP="00300A01">
            <w:pPr>
              <w:spacing w:before="0" w:after="0"/>
              <w:rPr>
                <w:sz w:val="16"/>
                <w:szCs w:val="16"/>
                <w:lang w:val="fr-BE"/>
              </w:rPr>
            </w:pPr>
          </w:p>
        </w:tc>
      </w:tr>
      <w:tr w:rsidR="006B2EC1" w14:paraId="7AAE468F" w14:textId="77777777" w:rsidTr="0047688D">
        <w:tc>
          <w:tcPr>
            <w:tcW w:w="0" w:type="auto"/>
          </w:tcPr>
          <w:p w14:paraId="7A7797DE" w14:textId="77777777" w:rsidR="008C5CFA" w:rsidRPr="0024468B" w:rsidRDefault="00E82A60" w:rsidP="00300A01">
            <w:pPr>
              <w:spacing w:before="0" w:after="0"/>
              <w:rPr>
                <w:sz w:val="16"/>
                <w:szCs w:val="16"/>
                <w:lang w:val="fr-BE"/>
              </w:rPr>
            </w:pPr>
            <w:r>
              <w:rPr>
                <w:noProof/>
                <w:sz w:val="16"/>
                <w:szCs w:val="16"/>
                <w:lang w:val="fr-BE"/>
              </w:rPr>
              <w:t>S</w:t>
            </w:r>
          </w:p>
        </w:tc>
        <w:tc>
          <w:tcPr>
            <w:tcW w:w="0" w:type="auto"/>
            <w:shd w:val="clear" w:color="auto" w:fill="auto"/>
          </w:tcPr>
          <w:p w14:paraId="590A0E64" w14:textId="77777777" w:rsidR="008C5CFA" w:rsidRPr="0024468B" w:rsidRDefault="00E82A60" w:rsidP="00300A01">
            <w:pPr>
              <w:spacing w:before="0" w:after="0"/>
              <w:rPr>
                <w:sz w:val="16"/>
                <w:szCs w:val="16"/>
                <w:lang w:val="fr-BE"/>
              </w:rPr>
            </w:pPr>
            <w:r>
              <w:rPr>
                <w:noProof/>
                <w:sz w:val="16"/>
                <w:szCs w:val="16"/>
                <w:lang w:val="fr-BE"/>
              </w:rPr>
              <w:t>80</w:t>
            </w:r>
          </w:p>
        </w:tc>
        <w:tc>
          <w:tcPr>
            <w:tcW w:w="0" w:type="auto"/>
            <w:shd w:val="clear" w:color="auto" w:fill="auto"/>
          </w:tcPr>
          <w:p w14:paraId="71D6FE26" w14:textId="77777777" w:rsidR="008C5CFA" w:rsidRPr="0024468B" w:rsidRDefault="00E82A60" w:rsidP="00300A01">
            <w:pPr>
              <w:spacing w:before="0" w:after="0"/>
              <w:rPr>
                <w:sz w:val="16"/>
                <w:szCs w:val="16"/>
                <w:lang w:val="fr-BE"/>
              </w:rPr>
            </w:pPr>
            <w:r>
              <w:rPr>
                <w:noProof/>
                <w:sz w:val="16"/>
                <w:szCs w:val="16"/>
                <w:lang w:val="fr-BE"/>
              </w:rPr>
              <w:t>Liczba wybudowanych lub zmodernizowanych obiektów infrastruktury edukacyjnej i szkoleniowej</w:t>
            </w:r>
          </w:p>
        </w:tc>
        <w:tc>
          <w:tcPr>
            <w:tcW w:w="0" w:type="auto"/>
            <w:shd w:val="clear" w:color="auto" w:fill="auto"/>
          </w:tcPr>
          <w:p w14:paraId="5FE0E041" w14:textId="77777777" w:rsidR="008C5CFA" w:rsidRPr="0024468B" w:rsidRDefault="00E82A60" w:rsidP="00300A01">
            <w:pPr>
              <w:spacing w:before="0" w:after="0"/>
              <w:rPr>
                <w:sz w:val="16"/>
                <w:szCs w:val="16"/>
                <w:lang w:val="fr-BE"/>
              </w:rPr>
            </w:pPr>
            <w:r w:rsidRPr="0024468B">
              <w:rPr>
                <w:noProof/>
                <w:sz w:val="16"/>
                <w:szCs w:val="16"/>
                <w:lang w:val="fr-BE"/>
              </w:rPr>
              <w:t>szt.</w:t>
            </w:r>
          </w:p>
        </w:tc>
        <w:tc>
          <w:tcPr>
            <w:tcW w:w="0" w:type="auto"/>
            <w:shd w:val="clear" w:color="auto" w:fill="auto"/>
          </w:tcPr>
          <w:p w14:paraId="5107FF8B" w14:textId="77777777" w:rsidR="008C5CFA" w:rsidRPr="0024468B" w:rsidRDefault="00E82A60"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14:paraId="3AE360D9" w14:textId="77777777" w:rsidR="008C5CFA" w:rsidRPr="0024468B" w:rsidRDefault="00E82A60" w:rsidP="00300A01">
            <w:pPr>
              <w:spacing w:before="0" w:after="0"/>
              <w:jc w:val="right"/>
              <w:rPr>
                <w:sz w:val="16"/>
                <w:szCs w:val="16"/>
                <w:lang w:val="fr-BE"/>
              </w:rPr>
            </w:pPr>
            <w:r>
              <w:rPr>
                <w:noProof/>
                <w:sz w:val="16"/>
                <w:szCs w:val="16"/>
                <w:lang w:val="fr-BE"/>
              </w:rPr>
              <w:t>1,00</w:t>
            </w:r>
          </w:p>
        </w:tc>
        <w:tc>
          <w:tcPr>
            <w:tcW w:w="0" w:type="auto"/>
            <w:shd w:val="clear" w:color="auto" w:fill="auto"/>
          </w:tcPr>
          <w:p w14:paraId="40072725" w14:textId="77777777" w:rsidR="008C5CFA" w:rsidRPr="0024468B" w:rsidRDefault="008C5CFA" w:rsidP="00300A01">
            <w:pPr>
              <w:spacing w:before="0" w:after="0"/>
              <w:jc w:val="right"/>
              <w:rPr>
                <w:sz w:val="16"/>
                <w:szCs w:val="16"/>
                <w:lang w:val="fr-BE"/>
              </w:rPr>
            </w:pPr>
          </w:p>
        </w:tc>
        <w:tc>
          <w:tcPr>
            <w:tcW w:w="0" w:type="auto"/>
          </w:tcPr>
          <w:p w14:paraId="6D7586C3" w14:textId="77777777" w:rsidR="008C5CFA" w:rsidRPr="0024468B" w:rsidRDefault="008C5CFA" w:rsidP="00300A01">
            <w:pPr>
              <w:spacing w:before="0" w:after="0"/>
              <w:jc w:val="right"/>
              <w:rPr>
                <w:sz w:val="16"/>
                <w:szCs w:val="16"/>
                <w:lang w:val="fr-BE"/>
              </w:rPr>
            </w:pPr>
          </w:p>
        </w:tc>
        <w:tc>
          <w:tcPr>
            <w:tcW w:w="0" w:type="auto"/>
            <w:shd w:val="clear" w:color="auto" w:fill="auto"/>
          </w:tcPr>
          <w:p w14:paraId="50BFDC40"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6B71755D"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7AB0631F"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5BD7A3A8" w14:textId="77777777" w:rsidR="008C5CFA" w:rsidRPr="0024468B" w:rsidRDefault="008C5CFA" w:rsidP="00300A01">
            <w:pPr>
              <w:spacing w:before="0" w:after="0"/>
              <w:rPr>
                <w:sz w:val="16"/>
                <w:szCs w:val="16"/>
                <w:lang w:val="fr-BE"/>
              </w:rPr>
            </w:pPr>
          </w:p>
        </w:tc>
      </w:tr>
    </w:tbl>
    <w:p w14:paraId="0AD5D6AF" w14:textId="77777777" w:rsidR="008C5CFA" w:rsidRDefault="00E82A60" w:rsidP="00300A01">
      <w:pPr>
        <w:spacing w:before="0" w:after="0"/>
        <w:rPr>
          <w:lang w:val="fr-BE"/>
        </w:rPr>
      </w:pPr>
      <w:r>
        <w:rPr>
          <w:noProof/>
          <w:lang w:val="fr-BE"/>
        </w:rPr>
        <w:t>1) S=wartość skumulowana – produkty, które mają być zrealizowane poprzez wybrane operacje [prognoza przedstawiona przez beneficjentów], F=wartość skumulowana – produkty zrealizowane poprzez operacje [rzeczywiste wykonanie]</w:t>
      </w:r>
    </w:p>
    <w:p w14:paraId="4899BF6E"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02"/>
        <w:gridCol w:w="498"/>
        <w:gridCol w:w="6077"/>
        <w:gridCol w:w="858"/>
        <w:gridCol w:w="1044"/>
        <w:gridCol w:w="867"/>
        <w:gridCol w:w="858"/>
        <w:gridCol w:w="1044"/>
        <w:gridCol w:w="867"/>
        <w:gridCol w:w="858"/>
        <w:gridCol w:w="1044"/>
        <w:gridCol w:w="867"/>
      </w:tblGrid>
      <w:tr w:rsidR="006B2EC1" w14:paraId="302346DA" w14:textId="77777777" w:rsidTr="0047688D">
        <w:trPr>
          <w:tblHeader/>
        </w:trPr>
        <w:tc>
          <w:tcPr>
            <w:tcW w:w="0" w:type="auto"/>
          </w:tcPr>
          <w:p w14:paraId="4D51C038" w14:textId="77777777" w:rsidR="008C5CFA" w:rsidRPr="009143B4" w:rsidRDefault="00E82A60" w:rsidP="00300A01">
            <w:pPr>
              <w:spacing w:before="0" w:after="0"/>
              <w:rPr>
                <w:b/>
                <w:sz w:val="16"/>
                <w:szCs w:val="16"/>
                <w:lang w:val="fr-BE"/>
              </w:rPr>
            </w:pPr>
            <w:r w:rsidRPr="009143B4">
              <w:rPr>
                <w:b/>
                <w:sz w:val="16"/>
                <w:szCs w:val="16"/>
                <w:lang w:val="fr-BE"/>
              </w:rPr>
              <w:t>(1)</w:t>
            </w:r>
          </w:p>
        </w:tc>
        <w:tc>
          <w:tcPr>
            <w:tcW w:w="0" w:type="auto"/>
            <w:shd w:val="clear" w:color="auto" w:fill="auto"/>
          </w:tcPr>
          <w:p w14:paraId="5447F557" w14:textId="77777777" w:rsidR="008C5CFA" w:rsidRPr="009143B4" w:rsidRDefault="00E82A60" w:rsidP="00300A01">
            <w:pPr>
              <w:spacing w:before="0" w:after="0"/>
              <w:rPr>
                <w:b/>
                <w:sz w:val="16"/>
                <w:szCs w:val="16"/>
                <w:lang w:val="fr-BE"/>
              </w:rPr>
            </w:pPr>
            <w:r w:rsidRPr="009143B4">
              <w:rPr>
                <w:b/>
                <w:noProof/>
                <w:sz w:val="16"/>
                <w:szCs w:val="16"/>
                <w:lang w:val="fr-BE"/>
              </w:rPr>
              <w:t>ID</w:t>
            </w:r>
          </w:p>
        </w:tc>
        <w:tc>
          <w:tcPr>
            <w:tcW w:w="0" w:type="auto"/>
            <w:shd w:val="clear" w:color="auto" w:fill="auto"/>
          </w:tcPr>
          <w:p w14:paraId="679BF201" w14:textId="77777777" w:rsidR="008C5CFA" w:rsidRPr="009143B4" w:rsidRDefault="00E82A60" w:rsidP="00300A01">
            <w:pPr>
              <w:spacing w:before="0" w:after="0"/>
              <w:rPr>
                <w:b/>
                <w:sz w:val="16"/>
                <w:szCs w:val="16"/>
                <w:lang w:val="fr-BE"/>
              </w:rPr>
            </w:pPr>
            <w:r w:rsidRPr="009143B4">
              <w:rPr>
                <w:b/>
                <w:noProof/>
                <w:sz w:val="16"/>
                <w:szCs w:val="16"/>
                <w:lang w:val="fr-BE"/>
              </w:rPr>
              <w:t>Wskaźnik</w:t>
            </w:r>
          </w:p>
        </w:tc>
        <w:tc>
          <w:tcPr>
            <w:tcW w:w="0" w:type="auto"/>
          </w:tcPr>
          <w:p w14:paraId="64A003AD" w14:textId="77777777" w:rsidR="008C5CFA" w:rsidRPr="009143B4" w:rsidRDefault="00E82A60" w:rsidP="00300A01">
            <w:pPr>
              <w:spacing w:before="0" w:after="0"/>
              <w:jc w:val="center"/>
              <w:rPr>
                <w:b/>
                <w:sz w:val="16"/>
                <w:szCs w:val="16"/>
                <w:lang w:val="fr-BE"/>
              </w:rPr>
            </w:pPr>
            <w:r>
              <w:rPr>
                <w:b/>
                <w:sz w:val="16"/>
                <w:szCs w:val="16"/>
                <w:lang w:val="fr-BE"/>
              </w:rPr>
              <w:t xml:space="preserve">2018 </w:t>
            </w:r>
            <w:r w:rsidRPr="009143B4">
              <w:rPr>
                <w:b/>
                <w:noProof/>
                <w:sz w:val="16"/>
                <w:szCs w:val="16"/>
                <w:lang w:val="fr-BE"/>
              </w:rPr>
              <w:t>Ogółem</w:t>
            </w:r>
          </w:p>
        </w:tc>
        <w:tc>
          <w:tcPr>
            <w:tcW w:w="0" w:type="auto"/>
          </w:tcPr>
          <w:p w14:paraId="69B9F297" w14:textId="77777777" w:rsidR="008C5CFA" w:rsidRPr="009143B4" w:rsidRDefault="00E82A60" w:rsidP="00300A01">
            <w:pPr>
              <w:spacing w:before="0" w:after="0"/>
              <w:jc w:val="center"/>
              <w:rPr>
                <w:b/>
                <w:sz w:val="16"/>
                <w:szCs w:val="16"/>
                <w:lang w:val="fr-BE"/>
              </w:rPr>
            </w:pPr>
            <w:r>
              <w:rPr>
                <w:b/>
                <w:sz w:val="16"/>
                <w:szCs w:val="16"/>
                <w:lang w:val="fr-BE"/>
              </w:rPr>
              <w:t xml:space="preserve">2018 </w:t>
            </w:r>
            <w:r w:rsidRPr="009143B4">
              <w:rPr>
                <w:b/>
                <w:noProof/>
                <w:sz w:val="16"/>
                <w:szCs w:val="16"/>
                <w:lang w:val="fr-BE"/>
              </w:rPr>
              <w:t>Mężczyźni</w:t>
            </w:r>
          </w:p>
        </w:tc>
        <w:tc>
          <w:tcPr>
            <w:tcW w:w="0" w:type="auto"/>
          </w:tcPr>
          <w:p w14:paraId="1D9C7688" w14:textId="77777777" w:rsidR="008C5CFA" w:rsidRPr="009143B4" w:rsidRDefault="00E82A60" w:rsidP="00300A01">
            <w:pPr>
              <w:spacing w:before="0" w:after="0"/>
              <w:jc w:val="center"/>
              <w:rPr>
                <w:b/>
                <w:sz w:val="16"/>
                <w:szCs w:val="16"/>
                <w:lang w:val="fr-BE"/>
              </w:rPr>
            </w:pPr>
            <w:r>
              <w:rPr>
                <w:b/>
                <w:sz w:val="16"/>
                <w:szCs w:val="16"/>
                <w:lang w:val="fr-BE"/>
              </w:rPr>
              <w:t xml:space="preserve">2018 </w:t>
            </w:r>
            <w:r w:rsidRPr="009143B4">
              <w:rPr>
                <w:b/>
                <w:noProof/>
                <w:sz w:val="16"/>
                <w:szCs w:val="16"/>
                <w:lang w:val="fr-BE"/>
              </w:rPr>
              <w:t>Kobiety</w:t>
            </w:r>
          </w:p>
        </w:tc>
        <w:tc>
          <w:tcPr>
            <w:tcW w:w="0" w:type="auto"/>
          </w:tcPr>
          <w:p w14:paraId="167BF38F" w14:textId="77777777" w:rsidR="008C5CFA" w:rsidRPr="009143B4" w:rsidRDefault="00E82A60"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Ogółem</w:t>
            </w:r>
          </w:p>
        </w:tc>
        <w:tc>
          <w:tcPr>
            <w:tcW w:w="0" w:type="auto"/>
          </w:tcPr>
          <w:p w14:paraId="2C3B789C" w14:textId="77777777" w:rsidR="008C5CFA" w:rsidRPr="009143B4" w:rsidRDefault="00E82A60"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Mężczyźni</w:t>
            </w:r>
          </w:p>
        </w:tc>
        <w:tc>
          <w:tcPr>
            <w:tcW w:w="0" w:type="auto"/>
          </w:tcPr>
          <w:p w14:paraId="008ED357" w14:textId="77777777" w:rsidR="008C5CFA" w:rsidRPr="009143B4" w:rsidRDefault="00E82A60"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Kobiety</w:t>
            </w:r>
          </w:p>
        </w:tc>
        <w:tc>
          <w:tcPr>
            <w:tcW w:w="0" w:type="auto"/>
            <w:shd w:val="clear" w:color="auto" w:fill="auto"/>
          </w:tcPr>
          <w:p w14:paraId="024E5BD8" w14:textId="77777777" w:rsidR="008C5CFA" w:rsidRPr="009143B4" w:rsidRDefault="00E82A60"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Ogółem</w:t>
            </w:r>
          </w:p>
        </w:tc>
        <w:tc>
          <w:tcPr>
            <w:tcW w:w="0" w:type="auto"/>
            <w:shd w:val="clear" w:color="auto" w:fill="auto"/>
          </w:tcPr>
          <w:p w14:paraId="13261988" w14:textId="77777777" w:rsidR="008C5CFA" w:rsidRPr="009143B4" w:rsidRDefault="00E82A60"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Mężczyźni</w:t>
            </w:r>
          </w:p>
        </w:tc>
        <w:tc>
          <w:tcPr>
            <w:tcW w:w="0" w:type="auto"/>
            <w:shd w:val="clear" w:color="auto" w:fill="auto"/>
          </w:tcPr>
          <w:p w14:paraId="37AE2DE4" w14:textId="77777777" w:rsidR="008C5CFA" w:rsidRPr="009143B4" w:rsidRDefault="00E82A60"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Kobiety</w:t>
            </w:r>
          </w:p>
        </w:tc>
      </w:tr>
      <w:tr w:rsidR="006B2EC1" w14:paraId="5A969C12" w14:textId="77777777" w:rsidTr="0047688D">
        <w:tc>
          <w:tcPr>
            <w:tcW w:w="0" w:type="auto"/>
          </w:tcPr>
          <w:p w14:paraId="5461F236" w14:textId="77777777" w:rsidR="008C5CFA" w:rsidRPr="0024468B" w:rsidRDefault="00E82A60" w:rsidP="00300A01">
            <w:pPr>
              <w:spacing w:before="0" w:after="0"/>
              <w:rPr>
                <w:sz w:val="16"/>
                <w:szCs w:val="16"/>
                <w:lang w:val="fr-BE"/>
              </w:rPr>
            </w:pPr>
            <w:r>
              <w:rPr>
                <w:noProof/>
                <w:sz w:val="16"/>
                <w:szCs w:val="16"/>
                <w:lang w:val="fr-BE"/>
              </w:rPr>
              <w:t>F</w:t>
            </w:r>
          </w:p>
        </w:tc>
        <w:tc>
          <w:tcPr>
            <w:tcW w:w="0" w:type="auto"/>
            <w:shd w:val="clear" w:color="auto" w:fill="auto"/>
          </w:tcPr>
          <w:p w14:paraId="4C95D35D" w14:textId="77777777" w:rsidR="008C5CFA" w:rsidRPr="0024468B" w:rsidRDefault="00E82A60" w:rsidP="00300A01">
            <w:pPr>
              <w:spacing w:before="0" w:after="0"/>
              <w:rPr>
                <w:sz w:val="16"/>
                <w:szCs w:val="16"/>
                <w:lang w:val="fr-BE"/>
              </w:rPr>
            </w:pPr>
            <w:r w:rsidRPr="0024468B">
              <w:rPr>
                <w:noProof/>
                <w:sz w:val="16"/>
                <w:szCs w:val="16"/>
                <w:lang w:val="fr-BE"/>
              </w:rPr>
              <w:t>CO35</w:t>
            </w:r>
          </w:p>
        </w:tc>
        <w:tc>
          <w:tcPr>
            <w:tcW w:w="0" w:type="auto"/>
            <w:shd w:val="clear" w:color="auto" w:fill="auto"/>
          </w:tcPr>
          <w:p w14:paraId="2ADA7725" w14:textId="77777777" w:rsidR="008C5CFA" w:rsidRPr="0024468B" w:rsidRDefault="00E82A60" w:rsidP="00300A01">
            <w:pPr>
              <w:spacing w:before="0" w:after="0"/>
              <w:rPr>
                <w:sz w:val="16"/>
                <w:szCs w:val="16"/>
                <w:lang w:val="fr-BE"/>
              </w:rPr>
            </w:pPr>
            <w:r w:rsidRPr="0024468B">
              <w:rPr>
                <w:noProof/>
                <w:sz w:val="16"/>
                <w:szCs w:val="16"/>
                <w:lang w:val="fr-BE"/>
              </w:rPr>
              <w:t>Opieka nad dziećmi i edukacja: Liczba miejsc w objętej wsparciem infrastrukturze w zakresie opieki nad dziećmi lub infrastrukturze edukacyjnej</w:t>
            </w:r>
          </w:p>
        </w:tc>
        <w:tc>
          <w:tcPr>
            <w:tcW w:w="0" w:type="auto"/>
          </w:tcPr>
          <w:p w14:paraId="1A19908C"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61CB16FC"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473DB05E"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24A3D26D"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3BCC75FE"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2DD7554F"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38F08ED7"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7FA4B175"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6C38D029"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r w:rsidR="006B2EC1" w14:paraId="0C738D7C" w14:textId="77777777" w:rsidTr="0047688D">
        <w:tc>
          <w:tcPr>
            <w:tcW w:w="0" w:type="auto"/>
          </w:tcPr>
          <w:p w14:paraId="5EEE3D06" w14:textId="77777777" w:rsidR="008C5CFA" w:rsidRPr="0024468B" w:rsidRDefault="00E82A60" w:rsidP="00300A01">
            <w:pPr>
              <w:spacing w:before="0" w:after="0"/>
              <w:rPr>
                <w:sz w:val="16"/>
                <w:szCs w:val="16"/>
                <w:lang w:val="fr-BE"/>
              </w:rPr>
            </w:pPr>
            <w:r>
              <w:rPr>
                <w:noProof/>
                <w:sz w:val="16"/>
                <w:szCs w:val="16"/>
                <w:lang w:val="fr-BE"/>
              </w:rPr>
              <w:t>S</w:t>
            </w:r>
          </w:p>
        </w:tc>
        <w:tc>
          <w:tcPr>
            <w:tcW w:w="0" w:type="auto"/>
            <w:shd w:val="clear" w:color="auto" w:fill="auto"/>
          </w:tcPr>
          <w:p w14:paraId="74A7EAE4" w14:textId="77777777" w:rsidR="008C5CFA" w:rsidRPr="0024468B" w:rsidRDefault="00E82A60" w:rsidP="00300A01">
            <w:pPr>
              <w:spacing w:before="0" w:after="0"/>
              <w:rPr>
                <w:sz w:val="16"/>
                <w:szCs w:val="16"/>
                <w:lang w:val="fr-BE"/>
              </w:rPr>
            </w:pPr>
            <w:r w:rsidRPr="0024468B">
              <w:rPr>
                <w:noProof/>
                <w:sz w:val="16"/>
                <w:szCs w:val="16"/>
                <w:lang w:val="fr-BE"/>
              </w:rPr>
              <w:t>CO35</w:t>
            </w:r>
          </w:p>
        </w:tc>
        <w:tc>
          <w:tcPr>
            <w:tcW w:w="0" w:type="auto"/>
            <w:shd w:val="clear" w:color="auto" w:fill="auto"/>
          </w:tcPr>
          <w:p w14:paraId="68EB1341" w14:textId="77777777" w:rsidR="008C5CFA" w:rsidRPr="0024468B" w:rsidRDefault="00E82A60" w:rsidP="00300A01">
            <w:pPr>
              <w:spacing w:before="0" w:after="0"/>
              <w:rPr>
                <w:sz w:val="16"/>
                <w:szCs w:val="16"/>
                <w:lang w:val="fr-BE"/>
              </w:rPr>
            </w:pPr>
            <w:r w:rsidRPr="0024468B">
              <w:rPr>
                <w:noProof/>
                <w:sz w:val="16"/>
                <w:szCs w:val="16"/>
                <w:lang w:val="fr-BE"/>
              </w:rPr>
              <w:t>Opieka nad dziećmi i edukacja: Liczba miejsc w objętej wsparciem infrastrukturze w zakresie opieki nad dziećmi lub infrastrukturze edukacyjnej</w:t>
            </w:r>
          </w:p>
        </w:tc>
        <w:tc>
          <w:tcPr>
            <w:tcW w:w="0" w:type="auto"/>
          </w:tcPr>
          <w:p w14:paraId="1D4E8A25" w14:textId="77777777" w:rsidR="008C5CFA" w:rsidRPr="0024468B" w:rsidRDefault="00E82A60" w:rsidP="00300A01">
            <w:pPr>
              <w:spacing w:before="0" w:after="0"/>
              <w:jc w:val="right"/>
              <w:rPr>
                <w:sz w:val="16"/>
                <w:szCs w:val="16"/>
                <w:lang w:val="fr-BE"/>
              </w:rPr>
            </w:pPr>
            <w:r w:rsidRPr="0024468B">
              <w:rPr>
                <w:noProof/>
                <w:sz w:val="16"/>
                <w:szCs w:val="16"/>
                <w:lang w:val="fr-BE"/>
              </w:rPr>
              <w:t>512,00</w:t>
            </w:r>
          </w:p>
        </w:tc>
        <w:tc>
          <w:tcPr>
            <w:tcW w:w="0" w:type="auto"/>
          </w:tcPr>
          <w:p w14:paraId="691665A3"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1B4600E6"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679D337F"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14CD74F8"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290CFBCD"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7224B9AB"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05F3B8EE"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720A33D6"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r w:rsidR="006B2EC1" w14:paraId="3D476D4D" w14:textId="77777777" w:rsidTr="0047688D">
        <w:tc>
          <w:tcPr>
            <w:tcW w:w="0" w:type="auto"/>
          </w:tcPr>
          <w:p w14:paraId="48078186" w14:textId="77777777" w:rsidR="008C5CFA" w:rsidRPr="0024468B" w:rsidRDefault="00E82A60" w:rsidP="00300A01">
            <w:pPr>
              <w:spacing w:before="0" w:after="0"/>
              <w:rPr>
                <w:sz w:val="16"/>
                <w:szCs w:val="16"/>
                <w:lang w:val="fr-BE"/>
              </w:rPr>
            </w:pPr>
            <w:r>
              <w:rPr>
                <w:noProof/>
                <w:sz w:val="16"/>
                <w:szCs w:val="16"/>
                <w:lang w:val="fr-BE"/>
              </w:rPr>
              <w:t>F</w:t>
            </w:r>
          </w:p>
        </w:tc>
        <w:tc>
          <w:tcPr>
            <w:tcW w:w="0" w:type="auto"/>
            <w:shd w:val="clear" w:color="auto" w:fill="auto"/>
          </w:tcPr>
          <w:p w14:paraId="6300C35A" w14:textId="77777777" w:rsidR="008C5CFA" w:rsidRPr="0024468B" w:rsidRDefault="00E82A60" w:rsidP="00300A01">
            <w:pPr>
              <w:spacing w:before="0" w:after="0"/>
              <w:rPr>
                <w:sz w:val="16"/>
                <w:szCs w:val="16"/>
                <w:lang w:val="fr-BE"/>
              </w:rPr>
            </w:pPr>
            <w:r>
              <w:rPr>
                <w:noProof/>
                <w:sz w:val="16"/>
                <w:szCs w:val="16"/>
                <w:lang w:val="fr-BE"/>
              </w:rPr>
              <w:t>80</w:t>
            </w:r>
          </w:p>
        </w:tc>
        <w:tc>
          <w:tcPr>
            <w:tcW w:w="0" w:type="auto"/>
            <w:shd w:val="clear" w:color="auto" w:fill="auto"/>
          </w:tcPr>
          <w:p w14:paraId="2F532D16" w14:textId="77777777" w:rsidR="008C5CFA" w:rsidRPr="0024468B" w:rsidRDefault="00E82A60" w:rsidP="00300A01">
            <w:pPr>
              <w:spacing w:before="0" w:after="0"/>
              <w:rPr>
                <w:sz w:val="16"/>
                <w:szCs w:val="16"/>
                <w:lang w:val="fr-BE"/>
              </w:rPr>
            </w:pPr>
            <w:r>
              <w:rPr>
                <w:noProof/>
                <w:sz w:val="16"/>
                <w:szCs w:val="16"/>
                <w:lang w:val="fr-BE"/>
              </w:rPr>
              <w:t>Liczba wybudowanych lub zmodernizowanych obiektów infrastruktury edukacyjnej i szkoleniowej</w:t>
            </w:r>
          </w:p>
        </w:tc>
        <w:tc>
          <w:tcPr>
            <w:tcW w:w="0" w:type="auto"/>
          </w:tcPr>
          <w:p w14:paraId="24F57338"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7751F718"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1E814610"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60698E7B"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4C8BE724"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2E2F1D7B"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608AC382"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467B4B89"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030DA389"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r w:rsidR="006B2EC1" w14:paraId="4EED7A91" w14:textId="77777777" w:rsidTr="0047688D">
        <w:tc>
          <w:tcPr>
            <w:tcW w:w="0" w:type="auto"/>
          </w:tcPr>
          <w:p w14:paraId="7838F518" w14:textId="77777777" w:rsidR="008C5CFA" w:rsidRPr="0024468B" w:rsidRDefault="00E82A60" w:rsidP="00300A01">
            <w:pPr>
              <w:spacing w:before="0" w:after="0"/>
              <w:rPr>
                <w:sz w:val="16"/>
                <w:szCs w:val="16"/>
                <w:lang w:val="fr-BE"/>
              </w:rPr>
            </w:pPr>
            <w:r>
              <w:rPr>
                <w:noProof/>
                <w:sz w:val="16"/>
                <w:szCs w:val="16"/>
                <w:lang w:val="fr-BE"/>
              </w:rPr>
              <w:t>S</w:t>
            </w:r>
          </w:p>
        </w:tc>
        <w:tc>
          <w:tcPr>
            <w:tcW w:w="0" w:type="auto"/>
            <w:shd w:val="clear" w:color="auto" w:fill="auto"/>
          </w:tcPr>
          <w:p w14:paraId="3C1F8D8F" w14:textId="77777777" w:rsidR="008C5CFA" w:rsidRPr="0024468B" w:rsidRDefault="00E82A60" w:rsidP="00300A01">
            <w:pPr>
              <w:spacing w:before="0" w:after="0"/>
              <w:rPr>
                <w:sz w:val="16"/>
                <w:szCs w:val="16"/>
                <w:lang w:val="fr-BE"/>
              </w:rPr>
            </w:pPr>
            <w:r>
              <w:rPr>
                <w:noProof/>
                <w:sz w:val="16"/>
                <w:szCs w:val="16"/>
                <w:lang w:val="fr-BE"/>
              </w:rPr>
              <w:t>80</w:t>
            </w:r>
          </w:p>
        </w:tc>
        <w:tc>
          <w:tcPr>
            <w:tcW w:w="0" w:type="auto"/>
            <w:shd w:val="clear" w:color="auto" w:fill="auto"/>
          </w:tcPr>
          <w:p w14:paraId="218679E6" w14:textId="77777777" w:rsidR="008C5CFA" w:rsidRPr="0024468B" w:rsidRDefault="00E82A60" w:rsidP="00300A01">
            <w:pPr>
              <w:spacing w:before="0" w:after="0"/>
              <w:rPr>
                <w:sz w:val="16"/>
                <w:szCs w:val="16"/>
                <w:lang w:val="fr-BE"/>
              </w:rPr>
            </w:pPr>
            <w:r>
              <w:rPr>
                <w:noProof/>
                <w:sz w:val="16"/>
                <w:szCs w:val="16"/>
                <w:lang w:val="fr-BE"/>
              </w:rPr>
              <w:t>Liczba wybudowanych lub zmodernizowanych obiektów infrastruktury edukacyjnej i szkoleniowej</w:t>
            </w:r>
          </w:p>
        </w:tc>
        <w:tc>
          <w:tcPr>
            <w:tcW w:w="0" w:type="auto"/>
          </w:tcPr>
          <w:p w14:paraId="3EFF22F4"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5CECBF88"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017CBCE5"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296753AA"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7C017C9E"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6016B943"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62CE2B4F"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1A606C17"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001F6189"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bl>
    <w:p w14:paraId="0783F68E"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01"/>
        <w:gridCol w:w="497"/>
        <w:gridCol w:w="8260"/>
        <w:gridCol w:w="956"/>
        <w:gridCol w:w="1142"/>
        <w:gridCol w:w="965"/>
        <w:gridCol w:w="956"/>
        <w:gridCol w:w="1142"/>
        <w:gridCol w:w="965"/>
      </w:tblGrid>
      <w:tr w:rsidR="006B2EC1" w14:paraId="54C1927E" w14:textId="77777777" w:rsidTr="0047688D">
        <w:trPr>
          <w:tblHeader/>
        </w:trPr>
        <w:tc>
          <w:tcPr>
            <w:tcW w:w="0" w:type="auto"/>
          </w:tcPr>
          <w:p w14:paraId="6C965A55" w14:textId="77777777" w:rsidR="008C5CFA" w:rsidRPr="009143B4" w:rsidRDefault="00E82A60" w:rsidP="00300A01">
            <w:pPr>
              <w:spacing w:before="0" w:after="0"/>
              <w:rPr>
                <w:b/>
                <w:sz w:val="16"/>
                <w:szCs w:val="16"/>
                <w:lang w:val="fr-BE"/>
              </w:rPr>
            </w:pPr>
            <w:r w:rsidRPr="009143B4">
              <w:rPr>
                <w:b/>
                <w:sz w:val="16"/>
                <w:szCs w:val="16"/>
                <w:lang w:val="fr-BE"/>
              </w:rPr>
              <w:t>(1)</w:t>
            </w:r>
          </w:p>
        </w:tc>
        <w:tc>
          <w:tcPr>
            <w:tcW w:w="0" w:type="auto"/>
            <w:shd w:val="clear" w:color="auto" w:fill="auto"/>
          </w:tcPr>
          <w:p w14:paraId="5F146A49" w14:textId="77777777" w:rsidR="008C5CFA" w:rsidRPr="009143B4" w:rsidRDefault="00E82A60" w:rsidP="00300A01">
            <w:pPr>
              <w:spacing w:before="0" w:after="0"/>
              <w:rPr>
                <w:b/>
                <w:sz w:val="16"/>
                <w:szCs w:val="16"/>
                <w:lang w:val="fr-BE"/>
              </w:rPr>
            </w:pPr>
            <w:r w:rsidRPr="009143B4">
              <w:rPr>
                <w:b/>
                <w:noProof/>
                <w:sz w:val="16"/>
                <w:szCs w:val="16"/>
                <w:lang w:val="fr-BE"/>
              </w:rPr>
              <w:t>ID</w:t>
            </w:r>
          </w:p>
        </w:tc>
        <w:tc>
          <w:tcPr>
            <w:tcW w:w="0" w:type="auto"/>
            <w:shd w:val="clear" w:color="auto" w:fill="auto"/>
          </w:tcPr>
          <w:p w14:paraId="2D3E52A7" w14:textId="77777777" w:rsidR="008C5CFA" w:rsidRPr="009143B4" w:rsidRDefault="00E82A60" w:rsidP="00300A01">
            <w:pPr>
              <w:spacing w:before="0" w:after="0"/>
              <w:rPr>
                <w:b/>
                <w:sz w:val="16"/>
                <w:szCs w:val="16"/>
                <w:lang w:val="fr-BE"/>
              </w:rPr>
            </w:pPr>
            <w:r w:rsidRPr="009143B4">
              <w:rPr>
                <w:b/>
                <w:noProof/>
                <w:sz w:val="16"/>
                <w:szCs w:val="16"/>
                <w:lang w:val="fr-BE"/>
              </w:rPr>
              <w:t>Wskaźnik</w:t>
            </w:r>
          </w:p>
        </w:tc>
        <w:tc>
          <w:tcPr>
            <w:tcW w:w="0" w:type="auto"/>
          </w:tcPr>
          <w:p w14:paraId="4AF5AC3B" w14:textId="77777777" w:rsidR="008C5CFA" w:rsidRPr="009143B4" w:rsidRDefault="00E82A60"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Ogółem</w:t>
            </w:r>
          </w:p>
        </w:tc>
        <w:tc>
          <w:tcPr>
            <w:tcW w:w="0" w:type="auto"/>
          </w:tcPr>
          <w:p w14:paraId="4DDD2BEC" w14:textId="77777777" w:rsidR="008C5CFA" w:rsidRPr="009143B4" w:rsidRDefault="00E82A60"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Mężczyźni</w:t>
            </w:r>
          </w:p>
        </w:tc>
        <w:tc>
          <w:tcPr>
            <w:tcW w:w="0" w:type="auto"/>
          </w:tcPr>
          <w:p w14:paraId="38EAEA6E" w14:textId="77777777" w:rsidR="008C5CFA" w:rsidRPr="009143B4" w:rsidRDefault="00E82A60"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Kobiety</w:t>
            </w:r>
          </w:p>
        </w:tc>
        <w:tc>
          <w:tcPr>
            <w:tcW w:w="0" w:type="auto"/>
            <w:shd w:val="clear" w:color="auto" w:fill="auto"/>
          </w:tcPr>
          <w:p w14:paraId="273054CE" w14:textId="77777777" w:rsidR="008C5CFA" w:rsidRPr="009143B4" w:rsidRDefault="00E82A60"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Ogółem</w:t>
            </w:r>
          </w:p>
        </w:tc>
        <w:tc>
          <w:tcPr>
            <w:tcW w:w="0" w:type="auto"/>
            <w:shd w:val="clear" w:color="auto" w:fill="auto"/>
          </w:tcPr>
          <w:p w14:paraId="04322A52" w14:textId="77777777" w:rsidR="008C5CFA" w:rsidRPr="009143B4" w:rsidRDefault="00E82A60"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Mężczyźni</w:t>
            </w:r>
          </w:p>
        </w:tc>
        <w:tc>
          <w:tcPr>
            <w:tcW w:w="0" w:type="auto"/>
            <w:shd w:val="clear" w:color="auto" w:fill="auto"/>
          </w:tcPr>
          <w:p w14:paraId="138E4A35" w14:textId="77777777" w:rsidR="008C5CFA" w:rsidRPr="009143B4" w:rsidRDefault="00E82A60"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Kobiety</w:t>
            </w:r>
          </w:p>
        </w:tc>
      </w:tr>
      <w:tr w:rsidR="006B2EC1" w14:paraId="100D7BDF" w14:textId="77777777" w:rsidTr="0047688D">
        <w:tc>
          <w:tcPr>
            <w:tcW w:w="0" w:type="auto"/>
          </w:tcPr>
          <w:p w14:paraId="211DD14E" w14:textId="77777777" w:rsidR="008C5CFA" w:rsidRPr="0024468B" w:rsidRDefault="00E82A60" w:rsidP="00300A01">
            <w:pPr>
              <w:spacing w:before="0" w:after="0"/>
              <w:rPr>
                <w:sz w:val="16"/>
                <w:szCs w:val="16"/>
                <w:lang w:val="fr-BE"/>
              </w:rPr>
            </w:pPr>
            <w:r>
              <w:rPr>
                <w:noProof/>
                <w:sz w:val="16"/>
                <w:szCs w:val="16"/>
                <w:lang w:val="fr-BE"/>
              </w:rPr>
              <w:t>F</w:t>
            </w:r>
          </w:p>
        </w:tc>
        <w:tc>
          <w:tcPr>
            <w:tcW w:w="0" w:type="auto"/>
            <w:shd w:val="clear" w:color="auto" w:fill="auto"/>
          </w:tcPr>
          <w:p w14:paraId="0FF35589" w14:textId="77777777" w:rsidR="008C5CFA" w:rsidRPr="0024468B" w:rsidRDefault="00E82A60" w:rsidP="00300A01">
            <w:pPr>
              <w:spacing w:before="0" w:after="0"/>
              <w:rPr>
                <w:sz w:val="16"/>
                <w:szCs w:val="16"/>
                <w:lang w:val="fr-BE"/>
              </w:rPr>
            </w:pPr>
            <w:r w:rsidRPr="0024468B">
              <w:rPr>
                <w:noProof/>
                <w:sz w:val="16"/>
                <w:szCs w:val="16"/>
                <w:lang w:val="fr-BE"/>
              </w:rPr>
              <w:t>CO35</w:t>
            </w:r>
          </w:p>
        </w:tc>
        <w:tc>
          <w:tcPr>
            <w:tcW w:w="0" w:type="auto"/>
            <w:shd w:val="clear" w:color="auto" w:fill="auto"/>
          </w:tcPr>
          <w:p w14:paraId="05252517" w14:textId="77777777" w:rsidR="008C5CFA" w:rsidRPr="0024468B" w:rsidRDefault="00E82A60" w:rsidP="00300A01">
            <w:pPr>
              <w:spacing w:before="0" w:after="0"/>
              <w:rPr>
                <w:sz w:val="16"/>
                <w:szCs w:val="16"/>
                <w:lang w:val="fr-BE"/>
              </w:rPr>
            </w:pPr>
            <w:r w:rsidRPr="0024468B">
              <w:rPr>
                <w:noProof/>
                <w:sz w:val="16"/>
                <w:szCs w:val="16"/>
                <w:lang w:val="fr-BE"/>
              </w:rPr>
              <w:t>Opieka nad dziećmi i edukacja: Liczba miejsc w objętej wsparciem infrastrukturze w zakresie opieki nad dziećmi lub infrastrukturze edukacyjnej</w:t>
            </w:r>
          </w:p>
        </w:tc>
        <w:tc>
          <w:tcPr>
            <w:tcW w:w="0" w:type="auto"/>
          </w:tcPr>
          <w:p w14:paraId="7D0C9F4B"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68480C6F"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2F11F8D5"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5F83DC8B"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60B0A02E"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72FDDCD3"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r w:rsidR="006B2EC1" w14:paraId="65E4BCC1" w14:textId="77777777" w:rsidTr="0047688D">
        <w:tc>
          <w:tcPr>
            <w:tcW w:w="0" w:type="auto"/>
          </w:tcPr>
          <w:p w14:paraId="7055DF2B" w14:textId="77777777" w:rsidR="008C5CFA" w:rsidRPr="0024468B" w:rsidRDefault="00E82A60" w:rsidP="00300A01">
            <w:pPr>
              <w:spacing w:before="0" w:after="0"/>
              <w:rPr>
                <w:sz w:val="16"/>
                <w:szCs w:val="16"/>
                <w:lang w:val="fr-BE"/>
              </w:rPr>
            </w:pPr>
            <w:r>
              <w:rPr>
                <w:noProof/>
                <w:sz w:val="16"/>
                <w:szCs w:val="16"/>
                <w:lang w:val="fr-BE"/>
              </w:rPr>
              <w:t>S</w:t>
            </w:r>
          </w:p>
        </w:tc>
        <w:tc>
          <w:tcPr>
            <w:tcW w:w="0" w:type="auto"/>
            <w:shd w:val="clear" w:color="auto" w:fill="auto"/>
          </w:tcPr>
          <w:p w14:paraId="295F6790" w14:textId="77777777" w:rsidR="008C5CFA" w:rsidRPr="0024468B" w:rsidRDefault="00E82A60" w:rsidP="00300A01">
            <w:pPr>
              <w:spacing w:before="0" w:after="0"/>
              <w:rPr>
                <w:sz w:val="16"/>
                <w:szCs w:val="16"/>
                <w:lang w:val="fr-BE"/>
              </w:rPr>
            </w:pPr>
            <w:r w:rsidRPr="0024468B">
              <w:rPr>
                <w:noProof/>
                <w:sz w:val="16"/>
                <w:szCs w:val="16"/>
                <w:lang w:val="fr-BE"/>
              </w:rPr>
              <w:t>CO35</w:t>
            </w:r>
          </w:p>
        </w:tc>
        <w:tc>
          <w:tcPr>
            <w:tcW w:w="0" w:type="auto"/>
            <w:shd w:val="clear" w:color="auto" w:fill="auto"/>
          </w:tcPr>
          <w:p w14:paraId="4C14CB5D" w14:textId="77777777" w:rsidR="008C5CFA" w:rsidRPr="0024468B" w:rsidRDefault="00E82A60" w:rsidP="00300A01">
            <w:pPr>
              <w:spacing w:before="0" w:after="0"/>
              <w:rPr>
                <w:sz w:val="16"/>
                <w:szCs w:val="16"/>
                <w:lang w:val="fr-BE"/>
              </w:rPr>
            </w:pPr>
            <w:r w:rsidRPr="0024468B">
              <w:rPr>
                <w:noProof/>
                <w:sz w:val="16"/>
                <w:szCs w:val="16"/>
                <w:lang w:val="fr-BE"/>
              </w:rPr>
              <w:t>Opieka nad dziećmi i edukacja: Liczba miejsc w objętej wsparciem infrastrukturze w zakresie opieki nad dziećmi lub infrastrukturze edukacyjnej</w:t>
            </w:r>
          </w:p>
        </w:tc>
        <w:tc>
          <w:tcPr>
            <w:tcW w:w="0" w:type="auto"/>
          </w:tcPr>
          <w:p w14:paraId="54CA96A3"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7B01BB9C"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0C874C0E"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3D7D7CA5"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12238B54"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78A4D0A2"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r w:rsidR="006B2EC1" w14:paraId="528AC06C" w14:textId="77777777" w:rsidTr="0047688D">
        <w:tc>
          <w:tcPr>
            <w:tcW w:w="0" w:type="auto"/>
          </w:tcPr>
          <w:p w14:paraId="132A1327" w14:textId="77777777" w:rsidR="008C5CFA" w:rsidRPr="0024468B" w:rsidRDefault="00E82A60" w:rsidP="00300A01">
            <w:pPr>
              <w:spacing w:before="0" w:after="0"/>
              <w:rPr>
                <w:sz w:val="16"/>
                <w:szCs w:val="16"/>
                <w:lang w:val="fr-BE"/>
              </w:rPr>
            </w:pPr>
            <w:r>
              <w:rPr>
                <w:noProof/>
                <w:sz w:val="16"/>
                <w:szCs w:val="16"/>
                <w:lang w:val="fr-BE"/>
              </w:rPr>
              <w:t>F</w:t>
            </w:r>
          </w:p>
        </w:tc>
        <w:tc>
          <w:tcPr>
            <w:tcW w:w="0" w:type="auto"/>
            <w:shd w:val="clear" w:color="auto" w:fill="auto"/>
          </w:tcPr>
          <w:p w14:paraId="502D8D3E" w14:textId="77777777" w:rsidR="008C5CFA" w:rsidRPr="0024468B" w:rsidRDefault="00E82A60" w:rsidP="00300A01">
            <w:pPr>
              <w:spacing w:before="0" w:after="0"/>
              <w:rPr>
                <w:sz w:val="16"/>
                <w:szCs w:val="16"/>
                <w:lang w:val="fr-BE"/>
              </w:rPr>
            </w:pPr>
            <w:r>
              <w:rPr>
                <w:noProof/>
                <w:sz w:val="16"/>
                <w:szCs w:val="16"/>
                <w:lang w:val="fr-BE"/>
              </w:rPr>
              <w:t>80</w:t>
            </w:r>
          </w:p>
        </w:tc>
        <w:tc>
          <w:tcPr>
            <w:tcW w:w="0" w:type="auto"/>
            <w:shd w:val="clear" w:color="auto" w:fill="auto"/>
          </w:tcPr>
          <w:p w14:paraId="7E9067B3" w14:textId="77777777" w:rsidR="008C5CFA" w:rsidRPr="0024468B" w:rsidRDefault="00E82A60" w:rsidP="00300A01">
            <w:pPr>
              <w:spacing w:before="0" w:after="0"/>
              <w:rPr>
                <w:sz w:val="16"/>
                <w:szCs w:val="16"/>
                <w:lang w:val="fr-BE"/>
              </w:rPr>
            </w:pPr>
            <w:r>
              <w:rPr>
                <w:noProof/>
                <w:sz w:val="16"/>
                <w:szCs w:val="16"/>
                <w:lang w:val="fr-BE"/>
              </w:rPr>
              <w:t>Liczba wybudowanych lub zmodernizowanych obiektów infrastruktury edukacyjnej i szkoleniowej</w:t>
            </w:r>
          </w:p>
        </w:tc>
        <w:tc>
          <w:tcPr>
            <w:tcW w:w="0" w:type="auto"/>
          </w:tcPr>
          <w:p w14:paraId="04E7389D"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357398CE"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2EB9F266"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2E950B8C"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26E8C131"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4A484BA4"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r w:rsidR="006B2EC1" w14:paraId="1843685E" w14:textId="77777777" w:rsidTr="0047688D">
        <w:tc>
          <w:tcPr>
            <w:tcW w:w="0" w:type="auto"/>
          </w:tcPr>
          <w:p w14:paraId="3004D404" w14:textId="77777777" w:rsidR="008C5CFA" w:rsidRPr="0024468B" w:rsidRDefault="00E82A60" w:rsidP="00300A01">
            <w:pPr>
              <w:spacing w:before="0" w:after="0"/>
              <w:rPr>
                <w:sz w:val="16"/>
                <w:szCs w:val="16"/>
                <w:lang w:val="fr-BE"/>
              </w:rPr>
            </w:pPr>
            <w:r>
              <w:rPr>
                <w:noProof/>
                <w:sz w:val="16"/>
                <w:szCs w:val="16"/>
                <w:lang w:val="fr-BE"/>
              </w:rPr>
              <w:t>S</w:t>
            </w:r>
          </w:p>
        </w:tc>
        <w:tc>
          <w:tcPr>
            <w:tcW w:w="0" w:type="auto"/>
            <w:shd w:val="clear" w:color="auto" w:fill="auto"/>
          </w:tcPr>
          <w:p w14:paraId="44465CB1" w14:textId="77777777" w:rsidR="008C5CFA" w:rsidRPr="0024468B" w:rsidRDefault="00E82A60" w:rsidP="00300A01">
            <w:pPr>
              <w:spacing w:before="0" w:after="0"/>
              <w:rPr>
                <w:sz w:val="16"/>
                <w:szCs w:val="16"/>
                <w:lang w:val="fr-BE"/>
              </w:rPr>
            </w:pPr>
            <w:r>
              <w:rPr>
                <w:noProof/>
                <w:sz w:val="16"/>
                <w:szCs w:val="16"/>
                <w:lang w:val="fr-BE"/>
              </w:rPr>
              <w:t>80</w:t>
            </w:r>
          </w:p>
        </w:tc>
        <w:tc>
          <w:tcPr>
            <w:tcW w:w="0" w:type="auto"/>
            <w:shd w:val="clear" w:color="auto" w:fill="auto"/>
          </w:tcPr>
          <w:p w14:paraId="5A5ED7D4" w14:textId="77777777" w:rsidR="008C5CFA" w:rsidRPr="0024468B" w:rsidRDefault="00E82A60" w:rsidP="00300A01">
            <w:pPr>
              <w:spacing w:before="0" w:after="0"/>
              <w:rPr>
                <w:sz w:val="16"/>
                <w:szCs w:val="16"/>
                <w:lang w:val="fr-BE"/>
              </w:rPr>
            </w:pPr>
            <w:r>
              <w:rPr>
                <w:noProof/>
                <w:sz w:val="16"/>
                <w:szCs w:val="16"/>
                <w:lang w:val="fr-BE"/>
              </w:rPr>
              <w:t>Liczba wybudowanych lub zmodernizowanych obiektów infrastruktury edukacyjnej i szkoleniowej</w:t>
            </w:r>
          </w:p>
        </w:tc>
        <w:tc>
          <w:tcPr>
            <w:tcW w:w="0" w:type="auto"/>
          </w:tcPr>
          <w:p w14:paraId="038ABE94"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7CBDF014"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1DB037F0"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0C5EB1A8"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27D227BD"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444B4FDB"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bl>
    <w:p w14:paraId="6D078F86" w14:textId="77777777" w:rsidR="008C5CFA" w:rsidRDefault="008C5CFA" w:rsidP="00300A01">
      <w:pPr>
        <w:spacing w:before="0" w:after="0"/>
        <w:rPr>
          <w:lang w:val="fr-BE"/>
        </w:rPr>
      </w:pPr>
    </w:p>
    <w:p w14:paraId="5619FC6B" w14:textId="77777777" w:rsidR="008C5CFA" w:rsidRDefault="008C5CFA" w:rsidP="00300A01">
      <w:pPr>
        <w:spacing w:before="0" w:after="0"/>
        <w:rPr>
          <w:lang w:val="fr-BE"/>
        </w:rPr>
      </w:pPr>
    </w:p>
    <w:p w14:paraId="3DF56EB6" w14:textId="77777777" w:rsidR="008C5CFA" w:rsidRDefault="00E82A60" w:rsidP="00300A01">
      <w:pPr>
        <w:spacing w:before="0" w:after="0"/>
        <w:rPr>
          <w:lang w:val="fr-BE"/>
        </w:rPr>
      </w:pPr>
      <w:r>
        <w:rPr>
          <w:lang w:val="fr-BE"/>
        </w:rPr>
        <w:br w:type="page"/>
      </w:r>
    </w:p>
    <w:p w14:paraId="0BA50DCB"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3"/>
        <w:gridCol w:w="13251"/>
      </w:tblGrid>
      <w:tr w:rsidR="006B2EC1" w14:paraId="36FEEB49" w14:textId="77777777" w:rsidTr="0047688D">
        <w:tc>
          <w:tcPr>
            <w:tcW w:w="0" w:type="auto"/>
            <w:shd w:val="clear" w:color="auto" w:fill="auto"/>
          </w:tcPr>
          <w:p w14:paraId="560ED7C5" w14:textId="77777777" w:rsidR="008C5CFA" w:rsidRPr="002124FC" w:rsidRDefault="00E82A60" w:rsidP="00300A01">
            <w:pPr>
              <w:spacing w:before="0" w:after="0"/>
              <w:rPr>
                <w:sz w:val="20"/>
                <w:szCs w:val="20"/>
                <w:lang w:val="fr-BE"/>
              </w:rPr>
            </w:pPr>
            <w:r>
              <w:rPr>
                <w:lang w:val="fr-BE"/>
              </w:rPr>
              <w:br w:type="page"/>
            </w:r>
            <w:r>
              <w:rPr>
                <w:lang w:val="fr-BE"/>
              </w:rPr>
              <w:br w:type="page"/>
            </w:r>
            <w:r>
              <w:rPr>
                <w:lang w:val="fr-BE"/>
              </w:rPr>
              <w:br w:type="page"/>
            </w:r>
            <w:r w:rsidRPr="002124FC">
              <w:rPr>
                <w:noProof/>
                <w:sz w:val="20"/>
                <w:szCs w:val="20"/>
                <w:lang w:val="fr-BE"/>
              </w:rPr>
              <w:t>Oś priorytetowa</w:t>
            </w:r>
          </w:p>
        </w:tc>
        <w:tc>
          <w:tcPr>
            <w:tcW w:w="0" w:type="auto"/>
            <w:shd w:val="clear" w:color="auto" w:fill="auto"/>
          </w:tcPr>
          <w:p w14:paraId="12789528" w14:textId="77777777" w:rsidR="008C5CFA" w:rsidRPr="002124FC" w:rsidRDefault="00E82A60" w:rsidP="00300A01">
            <w:pPr>
              <w:spacing w:before="0" w:after="0"/>
              <w:rPr>
                <w:sz w:val="20"/>
                <w:szCs w:val="20"/>
                <w:lang w:val="fr-BE"/>
              </w:rPr>
            </w:pPr>
            <w:r>
              <w:rPr>
                <w:noProof/>
                <w:sz w:val="20"/>
                <w:szCs w:val="20"/>
                <w:lang w:val="fr-BE"/>
              </w:rPr>
              <w:t>6</w:t>
            </w:r>
            <w:r w:rsidRPr="002124FC">
              <w:rPr>
                <w:sz w:val="20"/>
                <w:szCs w:val="20"/>
                <w:lang w:val="fr-BE"/>
              </w:rPr>
              <w:t xml:space="preserve"> - </w:t>
            </w:r>
            <w:r>
              <w:rPr>
                <w:noProof/>
                <w:sz w:val="20"/>
                <w:szCs w:val="20"/>
                <w:lang w:val="fr-BE"/>
              </w:rPr>
              <w:t>Rozwój miast</w:t>
            </w:r>
          </w:p>
        </w:tc>
      </w:tr>
      <w:tr w:rsidR="006B2EC1" w14:paraId="2D3C6C69" w14:textId="77777777" w:rsidTr="0047688D">
        <w:tc>
          <w:tcPr>
            <w:tcW w:w="0" w:type="auto"/>
            <w:shd w:val="clear" w:color="auto" w:fill="auto"/>
          </w:tcPr>
          <w:p w14:paraId="6C951B7F" w14:textId="77777777" w:rsidR="008C5CFA" w:rsidRPr="002124FC" w:rsidRDefault="00E82A60"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14:paraId="2F4CB805" w14:textId="77777777" w:rsidR="008C5CFA" w:rsidRPr="002124FC" w:rsidRDefault="00E82A60" w:rsidP="00300A01">
            <w:pPr>
              <w:spacing w:before="0" w:after="0"/>
              <w:rPr>
                <w:sz w:val="20"/>
                <w:szCs w:val="20"/>
                <w:lang w:val="fr-BE"/>
              </w:rPr>
            </w:pPr>
            <w:r w:rsidRPr="002124FC">
              <w:rPr>
                <w:noProof/>
                <w:sz w:val="20"/>
                <w:szCs w:val="20"/>
                <w:lang w:val="fr-BE"/>
              </w:rPr>
              <w:t>10a</w:t>
            </w:r>
            <w:r w:rsidRPr="002124FC">
              <w:rPr>
                <w:sz w:val="20"/>
                <w:szCs w:val="20"/>
                <w:lang w:val="fr-BE"/>
              </w:rPr>
              <w:t xml:space="preserve"> - </w:t>
            </w:r>
            <w:r>
              <w:rPr>
                <w:noProof/>
                <w:sz w:val="20"/>
                <w:szCs w:val="20"/>
                <w:lang w:val="fr-BE"/>
              </w:rPr>
              <w:t>Inwestycje w kształcenie, szkolenie oraz szkolenie zawodowe na rzecz zdobywania umiejętności i uczenia się przez całe życie poprzez rozwój infrastruktury szkoleniowej i edukacyjnej</w:t>
            </w:r>
          </w:p>
        </w:tc>
      </w:tr>
      <w:tr w:rsidR="006B2EC1" w14:paraId="17C0C5B1" w14:textId="77777777" w:rsidTr="0047688D">
        <w:tc>
          <w:tcPr>
            <w:tcW w:w="0" w:type="auto"/>
            <w:shd w:val="clear" w:color="auto" w:fill="auto"/>
          </w:tcPr>
          <w:p w14:paraId="0217D4C3" w14:textId="77777777" w:rsidR="008C5CFA" w:rsidRPr="002124FC" w:rsidRDefault="00E82A60" w:rsidP="00300A01">
            <w:pPr>
              <w:spacing w:before="0" w:after="0"/>
              <w:ind w:left="113" w:hanging="113"/>
              <w:rPr>
                <w:sz w:val="20"/>
                <w:szCs w:val="20"/>
                <w:lang w:val="fr-BE"/>
              </w:rPr>
            </w:pPr>
            <w:r>
              <w:rPr>
                <w:noProof/>
                <w:sz w:val="20"/>
                <w:szCs w:val="20"/>
                <w:lang w:val="fr-BE"/>
              </w:rPr>
              <w:t>Cel szczegółowy</w:t>
            </w:r>
          </w:p>
        </w:tc>
        <w:tc>
          <w:tcPr>
            <w:tcW w:w="0" w:type="auto"/>
            <w:shd w:val="clear" w:color="auto" w:fill="auto"/>
          </w:tcPr>
          <w:p w14:paraId="6749DD6E" w14:textId="77777777" w:rsidR="008C5CFA" w:rsidRPr="002124FC" w:rsidRDefault="00E82A60" w:rsidP="00300A01">
            <w:pPr>
              <w:spacing w:before="0" w:after="0"/>
              <w:rPr>
                <w:sz w:val="20"/>
                <w:szCs w:val="20"/>
                <w:lang w:val="fr-BE"/>
              </w:rPr>
            </w:pPr>
            <w:r>
              <w:rPr>
                <w:noProof/>
                <w:sz w:val="20"/>
                <w:szCs w:val="20"/>
                <w:lang w:val="fr-BE"/>
              </w:rPr>
              <w:t>1</w:t>
            </w:r>
            <w:r>
              <w:rPr>
                <w:sz w:val="20"/>
                <w:szCs w:val="20"/>
                <w:lang w:val="fr-BE"/>
              </w:rPr>
              <w:t xml:space="preserve"> - </w:t>
            </w:r>
            <w:r>
              <w:rPr>
                <w:noProof/>
                <w:sz w:val="20"/>
                <w:szCs w:val="20"/>
                <w:lang w:val="fr-BE"/>
              </w:rPr>
              <w:t>Zwiększona dostępność infrastruktury edukacyjnej i szkoleniowej.</w:t>
            </w:r>
          </w:p>
        </w:tc>
      </w:tr>
    </w:tbl>
    <w:p w14:paraId="596CE407" w14:textId="77777777" w:rsidR="008C5CFA" w:rsidRDefault="008C5CFA" w:rsidP="00300A01">
      <w:pPr>
        <w:spacing w:before="0" w:after="0"/>
        <w:rPr>
          <w:lang w:val="fr-BE"/>
        </w:rPr>
      </w:pPr>
    </w:p>
    <w:p w14:paraId="4174BA62" w14:textId="77777777" w:rsidR="008C5CFA" w:rsidRDefault="00E82A60" w:rsidP="00300A01">
      <w:pPr>
        <w:spacing w:before="0" w:after="0"/>
        <w:rPr>
          <w:lang w:val="fr-BE"/>
        </w:rPr>
      </w:pPr>
      <w:r>
        <w:rPr>
          <w:lang w:val="fr-BE"/>
        </w:rPr>
        <w:t xml:space="preserve">Tabela 1: Wskaźniki rezultatu dla EFRR i Funduszu Spójności (według osi priorytetowej i celu szczegółowego); ma zastosowanie także do osi priorytetowej </w:t>
      </w:r>
      <w:r>
        <w:t>"</w:t>
      </w:r>
      <w:r>
        <w:rPr>
          <w:lang w:val="fr-BE"/>
        </w:rPr>
        <w:t>Pomoc techniczna</w:t>
      </w:r>
      <w:r>
        <w:t>"</w:t>
      </w:r>
    </w:p>
    <w:p w14:paraId="361F1346"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
        <w:gridCol w:w="5692"/>
        <w:gridCol w:w="1019"/>
        <w:gridCol w:w="1093"/>
        <w:gridCol w:w="969"/>
        <w:gridCol w:w="841"/>
        <w:gridCol w:w="1217"/>
        <w:gridCol w:w="881"/>
        <w:gridCol w:w="1103"/>
        <w:gridCol w:w="1912"/>
      </w:tblGrid>
      <w:tr w:rsidR="006B2EC1" w14:paraId="3F873E1A" w14:textId="77777777" w:rsidTr="0047688D">
        <w:tc>
          <w:tcPr>
            <w:tcW w:w="0" w:type="auto"/>
            <w:shd w:val="clear" w:color="auto" w:fill="auto"/>
          </w:tcPr>
          <w:p w14:paraId="61333DD1" w14:textId="77777777" w:rsidR="008C5CFA" w:rsidRPr="0024468B" w:rsidRDefault="00E82A60" w:rsidP="00300A01">
            <w:pPr>
              <w:spacing w:before="0" w:after="0"/>
              <w:rPr>
                <w:sz w:val="16"/>
                <w:szCs w:val="16"/>
                <w:lang w:val="fr-BE"/>
              </w:rPr>
            </w:pPr>
            <w:r w:rsidRPr="0024468B">
              <w:rPr>
                <w:noProof/>
                <w:sz w:val="16"/>
                <w:szCs w:val="16"/>
                <w:lang w:val="fr-BE"/>
              </w:rPr>
              <w:t>ID</w:t>
            </w:r>
          </w:p>
        </w:tc>
        <w:tc>
          <w:tcPr>
            <w:tcW w:w="0" w:type="auto"/>
            <w:shd w:val="clear" w:color="auto" w:fill="auto"/>
          </w:tcPr>
          <w:p w14:paraId="05D76F85" w14:textId="77777777" w:rsidR="008C5CFA" w:rsidRPr="0024468B" w:rsidRDefault="00E82A60" w:rsidP="00300A01">
            <w:pPr>
              <w:spacing w:before="0" w:after="0"/>
              <w:rPr>
                <w:sz w:val="16"/>
                <w:szCs w:val="16"/>
                <w:lang w:val="fr-BE"/>
              </w:rPr>
            </w:pPr>
            <w:r w:rsidRPr="0024468B">
              <w:rPr>
                <w:noProof/>
                <w:sz w:val="16"/>
                <w:szCs w:val="16"/>
                <w:lang w:val="fr-BE"/>
              </w:rPr>
              <w:t>Wskaźnik</w:t>
            </w:r>
          </w:p>
        </w:tc>
        <w:tc>
          <w:tcPr>
            <w:tcW w:w="0" w:type="auto"/>
            <w:shd w:val="clear" w:color="auto" w:fill="auto"/>
          </w:tcPr>
          <w:p w14:paraId="34DDE6B5" w14:textId="77777777" w:rsidR="008C5CFA" w:rsidRPr="0024468B" w:rsidRDefault="00E82A60" w:rsidP="00300A01">
            <w:pPr>
              <w:spacing w:before="0" w:after="0"/>
              <w:rPr>
                <w:sz w:val="16"/>
                <w:szCs w:val="16"/>
                <w:lang w:val="fr-BE"/>
              </w:rPr>
            </w:pPr>
            <w:r w:rsidRPr="0024468B">
              <w:rPr>
                <w:noProof/>
                <w:sz w:val="16"/>
                <w:szCs w:val="16"/>
                <w:lang w:val="fr-BE"/>
              </w:rPr>
              <w:t>Jednostka miary</w:t>
            </w:r>
          </w:p>
        </w:tc>
        <w:tc>
          <w:tcPr>
            <w:tcW w:w="0" w:type="auto"/>
            <w:shd w:val="clear" w:color="auto" w:fill="auto"/>
          </w:tcPr>
          <w:p w14:paraId="3FE879BB" w14:textId="77777777" w:rsidR="008C5CFA" w:rsidRPr="0024468B" w:rsidRDefault="00E82A60" w:rsidP="00300A01">
            <w:pPr>
              <w:spacing w:before="0" w:after="0"/>
              <w:rPr>
                <w:sz w:val="16"/>
                <w:szCs w:val="16"/>
                <w:lang w:val="fr-BE"/>
              </w:rPr>
            </w:pPr>
            <w:r w:rsidRPr="0024468B">
              <w:rPr>
                <w:noProof/>
                <w:sz w:val="16"/>
                <w:szCs w:val="16"/>
                <w:lang w:val="fr-BE"/>
              </w:rPr>
              <w:t>Kategoria regionu</w:t>
            </w:r>
          </w:p>
        </w:tc>
        <w:tc>
          <w:tcPr>
            <w:tcW w:w="0" w:type="auto"/>
            <w:shd w:val="clear" w:color="auto" w:fill="auto"/>
          </w:tcPr>
          <w:p w14:paraId="5492DBD1" w14:textId="77777777" w:rsidR="008C5CFA" w:rsidRPr="0024468B" w:rsidRDefault="00E82A60" w:rsidP="00300A01">
            <w:pPr>
              <w:spacing w:before="0" w:after="0"/>
              <w:rPr>
                <w:sz w:val="16"/>
                <w:szCs w:val="16"/>
                <w:lang w:val="fr-BE"/>
              </w:rPr>
            </w:pPr>
            <w:r w:rsidRPr="0024468B">
              <w:rPr>
                <w:noProof/>
                <w:sz w:val="16"/>
                <w:szCs w:val="16"/>
                <w:lang w:val="fr-BE"/>
              </w:rPr>
              <w:t>Wartość bazowa</w:t>
            </w:r>
          </w:p>
        </w:tc>
        <w:tc>
          <w:tcPr>
            <w:tcW w:w="0" w:type="auto"/>
            <w:shd w:val="clear" w:color="auto" w:fill="auto"/>
          </w:tcPr>
          <w:p w14:paraId="2107B572" w14:textId="77777777" w:rsidR="008C5CFA" w:rsidRPr="0024468B" w:rsidRDefault="00E82A60" w:rsidP="00300A01">
            <w:pPr>
              <w:spacing w:before="0" w:after="0"/>
              <w:rPr>
                <w:sz w:val="16"/>
                <w:szCs w:val="16"/>
                <w:lang w:val="fr-BE"/>
              </w:rPr>
            </w:pPr>
            <w:r w:rsidRPr="0024468B">
              <w:rPr>
                <w:noProof/>
                <w:sz w:val="16"/>
                <w:szCs w:val="16"/>
                <w:lang w:val="fr-BE"/>
              </w:rPr>
              <w:t>Rok bazowy</w:t>
            </w:r>
          </w:p>
        </w:tc>
        <w:tc>
          <w:tcPr>
            <w:tcW w:w="0" w:type="auto"/>
            <w:shd w:val="clear" w:color="auto" w:fill="auto"/>
          </w:tcPr>
          <w:p w14:paraId="3FC8AC0F" w14:textId="77777777" w:rsidR="008C5CFA" w:rsidRPr="0024468B" w:rsidRDefault="00E82A60" w:rsidP="00300A01">
            <w:pPr>
              <w:spacing w:before="0" w:after="0"/>
              <w:rPr>
                <w:sz w:val="16"/>
                <w:szCs w:val="16"/>
                <w:lang w:val="fr-BE"/>
              </w:rPr>
            </w:pPr>
            <w:r w:rsidRPr="0024468B">
              <w:rPr>
                <w:noProof/>
                <w:sz w:val="16"/>
                <w:szCs w:val="16"/>
                <w:lang w:val="fr-BE"/>
              </w:rPr>
              <w:t>Wartość docelowa 2023</w:t>
            </w:r>
          </w:p>
        </w:tc>
        <w:tc>
          <w:tcPr>
            <w:tcW w:w="0" w:type="auto"/>
            <w:shd w:val="clear" w:color="auto" w:fill="auto"/>
          </w:tcPr>
          <w:p w14:paraId="107D8688" w14:textId="77777777" w:rsidR="008C5CFA" w:rsidRPr="0024468B" w:rsidRDefault="00E82A60" w:rsidP="00300A01">
            <w:pPr>
              <w:spacing w:before="0" w:after="0"/>
              <w:jc w:val="center"/>
              <w:rPr>
                <w:sz w:val="16"/>
                <w:szCs w:val="16"/>
                <w:lang w:val="fr-BE"/>
              </w:rPr>
            </w:pPr>
            <w:r>
              <w:rPr>
                <w:sz w:val="16"/>
                <w:szCs w:val="16"/>
                <w:lang w:val="fr-BE"/>
              </w:rPr>
              <w:t xml:space="preserve">2019 </w:t>
            </w:r>
            <w:r>
              <w:rPr>
                <w:noProof/>
                <w:sz w:val="16"/>
                <w:szCs w:val="16"/>
                <w:lang w:val="fr-BE"/>
              </w:rPr>
              <w:t>Ogółem</w:t>
            </w:r>
          </w:p>
        </w:tc>
        <w:tc>
          <w:tcPr>
            <w:tcW w:w="0" w:type="auto"/>
            <w:shd w:val="clear" w:color="auto" w:fill="auto"/>
          </w:tcPr>
          <w:p w14:paraId="3A9EC308" w14:textId="77777777" w:rsidR="008C5CFA" w:rsidRPr="0024468B" w:rsidRDefault="00E82A60" w:rsidP="00300A01">
            <w:pPr>
              <w:spacing w:before="0" w:after="0"/>
              <w:jc w:val="center"/>
              <w:rPr>
                <w:sz w:val="16"/>
                <w:szCs w:val="16"/>
                <w:lang w:val="fr-BE"/>
              </w:rPr>
            </w:pPr>
            <w:r>
              <w:rPr>
                <w:sz w:val="16"/>
                <w:szCs w:val="16"/>
                <w:lang w:val="fr-BE"/>
              </w:rPr>
              <w:t xml:space="preserve">2019 </w:t>
            </w:r>
            <w:r w:rsidRPr="0024468B">
              <w:rPr>
                <w:noProof/>
                <w:sz w:val="16"/>
                <w:szCs w:val="16"/>
                <w:lang w:val="fr-BE"/>
              </w:rPr>
              <w:t>Jakościowe</w:t>
            </w:r>
          </w:p>
        </w:tc>
        <w:tc>
          <w:tcPr>
            <w:tcW w:w="0" w:type="auto"/>
            <w:shd w:val="clear" w:color="auto" w:fill="auto"/>
          </w:tcPr>
          <w:p w14:paraId="77ACE983" w14:textId="77777777" w:rsidR="008C5CFA" w:rsidRPr="0024468B" w:rsidRDefault="00E82A60" w:rsidP="00300A01">
            <w:pPr>
              <w:spacing w:before="0" w:after="0"/>
              <w:jc w:val="center"/>
              <w:rPr>
                <w:sz w:val="16"/>
                <w:szCs w:val="16"/>
                <w:lang w:val="fr-BE"/>
              </w:rPr>
            </w:pPr>
            <w:r w:rsidRPr="0024468B">
              <w:rPr>
                <w:noProof/>
                <w:sz w:val="16"/>
                <w:szCs w:val="16"/>
                <w:lang w:val="fr-BE"/>
              </w:rPr>
              <w:t>Uwagi</w:t>
            </w:r>
          </w:p>
        </w:tc>
      </w:tr>
      <w:tr w:rsidR="006B2EC1" w14:paraId="71D2CFC3" w14:textId="77777777" w:rsidTr="0047688D">
        <w:tc>
          <w:tcPr>
            <w:tcW w:w="0" w:type="auto"/>
            <w:shd w:val="clear" w:color="auto" w:fill="auto"/>
          </w:tcPr>
          <w:p w14:paraId="42663A7F" w14:textId="77777777" w:rsidR="008C5CFA" w:rsidRPr="0024468B" w:rsidRDefault="00E82A60" w:rsidP="00300A01">
            <w:pPr>
              <w:spacing w:before="0" w:after="0"/>
              <w:rPr>
                <w:sz w:val="16"/>
                <w:szCs w:val="16"/>
                <w:lang w:val="fr-BE"/>
              </w:rPr>
            </w:pPr>
            <w:r w:rsidRPr="0024468B">
              <w:rPr>
                <w:noProof/>
                <w:sz w:val="16"/>
                <w:szCs w:val="16"/>
                <w:lang w:val="fr-BE"/>
              </w:rPr>
              <w:t>062</w:t>
            </w:r>
          </w:p>
        </w:tc>
        <w:tc>
          <w:tcPr>
            <w:tcW w:w="0" w:type="auto"/>
            <w:shd w:val="clear" w:color="auto" w:fill="auto"/>
          </w:tcPr>
          <w:p w14:paraId="66DEE5D0" w14:textId="77777777" w:rsidR="008C5CFA" w:rsidRPr="0024468B" w:rsidRDefault="00E82A60" w:rsidP="00300A01">
            <w:pPr>
              <w:spacing w:before="0" w:after="0"/>
              <w:rPr>
                <w:sz w:val="16"/>
                <w:szCs w:val="16"/>
                <w:lang w:val="fr-BE"/>
              </w:rPr>
            </w:pPr>
            <w:r w:rsidRPr="0024468B">
              <w:rPr>
                <w:noProof/>
                <w:sz w:val="16"/>
                <w:szCs w:val="16"/>
                <w:lang w:val="fr-BE"/>
              </w:rPr>
              <w:t>Odsetek uczniów publicznych samorządowych szkół ponadgimnazjalnych w powiecie M. Kielce korzystających z nowo utworzonej infrastruktury do praktycznej nauki zawodu</w:t>
            </w:r>
          </w:p>
        </w:tc>
        <w:tc>
          <w:tcPr>
            <w:tcW w:w="0" w:type="auto"/>
            <w:shd w:val="clear" w:color="auto" w:fill="auto"/>
          </w:tcPr>
          <w:p w14:paraId="102347F0" w14:textId="77777777" w:rsidR="008C5CFA" w:rsidRPr="0024468B" w:rsidRDefault="00E82A60" w:rsidP="00300A01">
            <w:pPr>
              <w:spacing w:before="0" w:after="0"/>
              <w:rPr>
                <w:sz w:val="16"/>
                <w:szCs w:val="16"/>
                <w:lang w:val="fr-BE"/>
              </w:rPr>
            </w:pPr>
            <w:r w:rsidRPr="0024468B">
              <w:rPr>
                <w:noProof/>
                <w:sz w:val="16"/>
                <w:szCs w:val="16"/>
                <w:lang w:val="fr-BE"/>
              </w:rPr>
              <w:t>%</w:t>
            </w:r>
          </w:p>
        </w:tc>
        <w:tc>
          <w:tcPr>
            <w:tcW w:w="0" w:type="auto"/>
            <w:shd w:val="clear" w:color="auto" w:fill="auto"/>
          </w:tcPr>
          <w:p w14:paraId="348B80D4" w14:textId="77777777" w:rsidR="008C5CFA" w:rsidRPr="0024468B" w:rsidRDefault="00E82A60"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14:paraId="66DA1928" w14:textId="77777777" w:rsidR="008C5CFA" w:rsidRPr="00C3185A" w:rsidRDefault="00E82A60" w:rsidP="00300A01">
            <w:pPr>
              <w:spacing w:before="0" w:after="0"/>
              <w:jc w:val="right"/>
              <w:rPr>
                <w:sz w:val="16"/>
                <w:szCs w:val="16"/>
                <w:lang w:val="fr-BE"/>
              </w:rPr>
            </w:pPr>
            <w:r w:rsidRPr="00C3185A">
              <w:rPr>
                <w:noProof/>
                <w:sz w:val="16"/>
                <w:szCs w:val="16"/>
                <w:lang w:val="fr-BE"/>
              </w:rPr>
              <w:t>0,00</w:t>
            </w:r>
          </w:p>
        </w:tc>
        <w:tc>
          <w:tcPr>
            <w:tcW w:w="0" w:type="auto"/>
            <w:shd w:val="clear" w:color="auto" w:fill="auto"/>
          </w:tcPr>
          <w:p w14:paraId="5804130F" w14:textId="77777777" w:rsidR="008C5CFA" w:rsidRPr="0024468B" w:rsidRDefault="00E82A60" w:rsidP="00300A01">
            <w:pPr>
              <w:spacing w:before="0" w:after="0"/>
              <w:rPr>
                <w:sz w:val="16"/>
                <w:szCs w:val="16"/>
                <w:lang w:val="fr-BE"/>
              </w:rPr>
            </w:pPr>
            <w:r w:rsidRPr="0024468B">
              <w:rPr>
                <w:noProof/>
                <w:sz w:val="16"/>
                <w:szCs w:val="16"/>
                <w:lang w:val="fr-BE"/>
              </w:rPr>
              <w:t>2013</w:t>
            </w:r>
          </w:p>
        </w:tc>
        <w:tc>
          <w:tcPr>
            <w:tcW w:w="0" w:type="auto"/>
            <w:shd w:val="clear" w:color="auto" w:fill="auto"/>
          </w:tcPr>
          <w:p w14:paraId="2F5C0622" w14:textId="77777777" w:rsidR="008C5CFA" w:rsidRPr="0024468B" w:rsidRDefault="00E82A60" w:rsidP="00300A01">
            <w:pPr>
              <w:spacing w:before="0" w:after="0"/>
              <w:jc w:val="right"/>
              <w:rPr>
                <w:sz w:val="16"/>
                <w:szCs w:val="16"/>
                <w:lang w:val="fr-BE"/>
              </w:rPr>
            </w:pPr>
            <w:r w:rsidRPr="0024468B">
              <w:rPr>
                <w:noProof/>
                <w:sz w:val="16"/>
                <w:szCs w:val="16"/>
                <w:lang w:val="fr-BE"/>
              </w:rPr>
              <w:t>3,10</w:t>
            </w:r>
          </w:p>
        </w:tc>
        <w:tc>
          <w:tcPr>
            <w:tcW w:w="0" w:type="auto"/>
            <w:shd w:val="clear" w:color="auto" w:fill="auto"/>
          </w:tcPr>
          <w:p w14:paraId="78641E77"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33F1AC73" w14:textId="77777777" w:rsidR="008C5CFA" w:rsidRPr="0024468B" w:rsidRDefault="008C5CFA" w:rsidP="00300A01">
            <w:pPr>
              <w:spacing w:before="0" w:after="0"/>
              <w:jc w:val="right"/>
              <w:rPr>
                <w:sz w:val="16"/>
                <w:szCs w:val="16"/>
                <w:lang w:val="fr-BE"/>
              </w:rPr>
            </w:pPr>
          </w:p>
        </w:tc>
        <w:tc>
          <w:tcPr>
            <w:tcW w:w="0" w:type="auto"/>
            <w:shd w:val="clear" w:color="auto" w:fill="auto"/>
          </w:tcPr>
          <w:p w14:paraId="59717CEF" w14:textId="77777777" w:rsidR="008C5CFA" w:rsidRPr="0024468B" w:rsidRDefault="00E82A60" w:rsidP="00300A01">
            <w:pPr>
              <w:spacing w:before="0" w:after="0"/>
              <w:rPr>
                <w:sz w:val="16"/>
                <w:szCs w:val="16"/>
                <w:lang w:val="fr-BE"/>
              </w:rPr>
            </w:pPr>
            <w:r w:rsidRPr="0024468B">
              <w:rPr>
                <w:noProof/>
                <w:sz w:val="16"/>
                <w:szCs w:val="16"/>
                <w:lang w:val="fr-BE"/>
              </w:rPr>
              <w:t>Brak aktualnych danych w systemie STRATEG</w:t>
            </w:r>
          </w:p>
        </w:tc>
      </w:tr>
      <w:tr w:rsidR="006B2EC1" w14:paraId="53142DAE" w14:textId="77777777" w:rsidTr="0047688D">
        <w:tc>
          <w:tcPr>
            <w:tcW w:w="0" w:type="auto"/>
            <w:shd w:val="clear" w:color="auto" w:fill="auto"/>
          </w:tcPr>
          <w:p w14:paraId="3F795E1B" w14:textId="77777777" w:rsidR="008C5CFA" w:rsidRPr="0024468B" w:rsidRDefault="00E82A60" w:rsidP="00300A01">
            <w:pPr>
              <w:spacing w:before="0" w:after="0"/>
              <w:rPr>
                <w:sz w:val="16"/>
                <w:szCs w:val="16"/>
                <w:lang w:val="fr-BE"/>
              </w:rPr>
            </w:pPr>
            <w:r w:rsidRPr="0024468B">
              <w:rPr>
                <w:noProof/>
                <w:sz w:val="16"/>
                <w:szCs w:val="16"/>
                <w:lang w:val="fr-BE"/>
              </w:rPr>
              <w:t>78</w:t>
            </w:r>
          </w:p>
        </w:tc>
        <w:tc>
          <w:tcPr>
            <w:tcW w:w="0" w:type="auto"/>
            <w:shd w:val="clear" w:color="auto" w:fill="auto"/>
          </w:tcPr>
          <w:p w14:paraId="2E1C0BCD" w14:textId="77777777" w:rsidR="008C5CFA" w:rsidRPr="0024468B" w:rsidRDefault="00E82A60" w:rsidP="00300A01">
            <w:pPr>
              <w:spacing w:before="0" w:after="0"/>
              <w:rPr>
                <w:sz w:val="16"/>
                <w:szCs w:val="16"/>
                <w:lang w:val="fr-BE"/>
              </w:rPr>
            </w:pPr>
            <w:r w:rsidRPr="0024468B">
              <w:rPr>
                <w:noProof/>
                <w:sz w:val="16"/>
                <w:szCs w:val="16"/>
                <w:lang w:val="fr-BE"/>
              </w:rPr>
              <w:t>Osoby dorosłe uczestniczące w kształceniu i szkoleniu</w:t>
            </w:r>
          </w:p>
        </w:tc>
        <w:tc>
          <w:tcPr>
            <w:tcW w:w="0" w:type="auto"/>
            <w:shd w:val="clear" w:color="auto" w:fill="auto"/>
          </w:tcPr>
          <w:p w14:paraId="04FD70B9" w14:textId="77777777" w:rsidR="008C5CFA" w:rsidRPr="0024468B" w:rsidRDefault="00E82A60" w:rsidP="00300A01">
            <w:pPr>
              <w:spacing w:before="0" w:after="0"/>
              <w:rPr>
                <w:sz w:val="16"/>
                <w:szCs w:val="16"/>
                <w:lang w:val="fr-BE"/>
              </w:rPr>
            </w:pPr>
            <w:r w:rsidRPr="0024468B">
              <w:rPr>
                <w:noProof/>
                <w:sz w:val="16"/>
                <w:szCs w:val="16"/>
                <w:lang w:val="fr-BE"/>
              </w:rPr>
              <w:t>%</w:t>
            </w:r>
          </w:p>
        </w:tc>
        <w:tc>
          <w:tcPr>
            <w:tcW w:w="0" w:type="auto"/>
            <w:shd w:val="clear" w:color="auto" w:fill="auto"/>
          </w:tcPr>
          <w:p w14:paraId="09DA13FF" w14:textId="77777777" w:rsidR="008C5CFA" w:rsidRPr="0024468B" w:rsidRDefault="00E82A60"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14:paraId="0E3DC640" w14:textId="77777777" w:rsidR="008C5CFA" w:rsidRPr="00C3185A" w:rsidRDefault="00E82A60" w:rsidP="00300A01">
            <w:pPr>
              <w:spacing w:before="0" w:after="0"/>
              <w:jc w:val="right"/>
              <w:rPr>
                <w:sz w:val="16"/>
                <w:szCs w:val="16"/>
                <w:lang w:val="fr-BE"/>
              </w:rPr>
            </w:pPr>
            <w:r w:rsidRPr="00C3185A">
              <w:rPr>
                <w:noProof/>
                <w:sz w:val="16"/>
                <w:szCs w:val="16"/>
                <w:lang w:val="fr-BE"/>
              </w:rPr>
              <w:t>3,10</w:t>
            </w:r>
          </w:p>
        </w:tc>
        <w:tc>
          <w:tcPr>
            <w:tcW w:w="0" w:type="auto"/>
            <w:shd w:val="clear" w:color="auto" w:fill="auto"/>
          </w:tcPr>
          <w:p w14:paraId="72EB49F5" w14:textId="77777777" w:rsidR="008C5CFA" w:rsidRPr="0024468B" w:rsidRDefault="00E82A60" w:rsidP="00300A01">
            <w:pPr>
              <w:spacing w:before="0" w:after="0"/>
              <w:rPr>
                <w:sz w:val="16"/>
                <w:szCs w:val="16"/>
                <w:lang w:val="fr-BE"/>
              </w:rPr>
            </w:pPr>
            <w:r w:rsidRPr="0024468B">
              <w:rPr>
                <w:noProof/>
                <w:sz w:val="16"/>
                <w:szCs w:val="16"/>
                <w:lang w:val="fr-BE"/>
              </w:rPr>
              <w:t>2013</w:t>
            </w:r>
          </w:p>
        </w:tc>
        <w:tc>
          <w:tcPr>
            <w:tcW w:w="0" w:type="auto"/>
            <w:shd w:val="clear" w:color="auto" w:fill="auto"/>
          </w:tcPr>
          <w:p w14:paraId="47812B7F" w14:textId="77777777" w:rsidR="008C5CFA" w:rsidRPr="0024468B" w:rsidRDefault="00E82A60" w:rsidP="00300A01">
            <w:pPr>
              <w:spacing w:before="0" w:after="0"/>
              <w:jc w:val="right"/>
              <w:rPr>
                <w:sz w:val="16"/>
                <w:szCs w:val="16"/>
                <w:lang w:val="fr-BE"/>
              </w:rPr>
            </w:pPr>
            <w:r w:rsidRPr="0024468B">
              <w:rPr>
                <w:noProof/>
                <w:sz w:val="16"/>
                <w:szCs w:val="16"/>
                <w:lang w:val="fr-BE"/>
              </w:rPr>
              <w:t>3,20</w:t>
            </w:r>
          </w:p>
        </w:tc>
        <w:tc>
          <w:tcPr>
            <w:tcW w:w="0" w:type="auto"/>
            <w:shd w:val="clear" w:color="auto" w:fill="auto"/>
          </w:tcPr>
          <w:p w14:paraId="416E8BC4"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48F4B5DE" w14:textId="77777777" w:rsidR="008C5CFA" w:rsidRPr="0024468B" w:rsidRDefault="008C5CFA" w:rsidP="00300A01">
            <w:pPr>
              <w:spacing w:before="0" w:after="0"/>
              <w:jc w:val="right"/>
              <w:rPr>
                <w:sz w:val="16"/>
                <w:szCs w:val="16"/>
                <w:lang w:val="fr-BE"/>
              </w:rPr>
            </w:pPr>
          </w:p>
        </w:tc>
        <w:tc>
          <w:tcPr>
            <w:tcW w:w="0" w:type="auto"/>
            <w:shd w:val="clear" w:color="auto" w:fill="auto"/>
          </w:tcPr>
          <w:p w14:paraId="6EF1F36A" w14:textId="77777777" w:rsidR="008C5CFA" w:rsidRPr="0024468B" w:rsidRDefault="00E82A60" w:rsidP="00300A01">
            <w:pPr>
              <w:spacing w:before="0" w:after="0"/>
              <w:rPr>
                <w:sz w:val="16"/>
                <w:szCs w:val="16"/>
                <w:lang w:val="fr-BE"/>
              </w:rPr>
            </w:pPr>
            <w:r w:rsidRPr="0024468B">
              <w:rPr>
                <w:noProof/>
                <w:sz w:val="16"/>
                <w:szCs w:val="16"/>
                <w:lang w:val="fr-BE"/>
              </w:rPr>
              <w:t>Brak aktualnych danych w systemie STRATEG</w:t>
            </w:r>
          </w:p>
        </w:tc>
      </w:tr>
    </w:tbl>
    <w:p w14:paraId="482955EF"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
        <w:gridCol w:w="6543"/>
        <w:gridCol w:w="912"/>
        <w:gridCol w:w="1134"/>
        <w:gridCol w:w="912"/>
        <w:gridCol w:w="1134"/>
        <w:gridCol w:w="912"/>
        <w:gridCol w:w="1134"/>
        <w:gridCol w:w="912"/>
        <w:gridCol w:w="1134"/>
      </w:tblGrid>
      <w:tr w:rsidR="006B2EC1" w14:paraId="4F73A77E" w14:textId="77777777" w:rsidTr="0047688D">
        <w:tc>
          <w:tcPr>
            <w:tcW w:w="0" w:type="auto"/>
            <w:shd w:val="clear" w:color="auto" w:fill="auto"/>
          </w:tcPr>
          <w:p w14:paraId="74D296F9" w14:textId="77777777" w:rsidR="008C5CFA" w:rsidRPr="0024468B" w:rsidRDefault="00E82A60" w:rsidP="00300A01">
            <w:pPr>
              <w:spacing w:before="0" w:after="0"/>
              <w:rPr>
                <w:sz w:val="16"/>
                <w:szCs w:val="16"/>
                <w:lang w:val="fr-BE"/>
              </w:rPr>
            </w:pPr>
            <w:r w:rsidRPr="0024468B">
              <w:rPr>
                <w:noProof/>
                <w:sz w:val="16"/>
                <w:szCs w:val="16"/>
                <w:lang w:val="fr-BE"/>
              </w:rPr>
              <w:t>ID</w:t>
            </w:r>
          </w:p>
        </w:tc>
        <w:tc>
          <w:tcPr>
            <w:tcW w:w="0" w:type="auto"/>
            <w:shd w:val="clear" w:color="auto" w:fill="auto"/>
          </w:tcPr>
          <w:p w14:paraId="4DF6D6E7" w14:textId="77777777" w:rsidR="008C5CFA" w:rsidRPr="0024468B" w:rsidRDefault="00E82A60" w:rsidP="00300A01">
            <w:pPr>
              <w:spacing w:before="0" w:after="0"/>
              <w:rPr>
                <w:sz w:val="16"/>
                <w:szCs w:val="16"/>
                <w:lang w:val="fr-BE"/>
              </w:rPr>
            </w:pPr>
            <w:r w:rsidRPr="0024468B">
              <w:rPr>
                <w:noProof/>
                <w:sz w:val="16"/>
                <w:szCs w:val="16"/>
                <w:lang w:val="fr-BE"/>
              </w:rPr>
              <w:t>Wskaźnik</w:t>
            </w:r>
          </w:p>
        </w:tc>
        <w:tc>
          <w:tcPr>
            <w:tcW w:w="0" w:type="auto"/>
          </w:tcPr>
          <w:p w14:paraId="119F2CEB" w14:textId="77777777" w:rsidR="008C5CFA" w:rsidRPr="0024468B" w:rsidRDefault="00E82A60" w:rsidP="00300A01">
            <w:pPr>
              <w:spacing w:before="0" w:after="0"/>
              <w:jc w:val="center"/>
              <w:rPr>
                <w:sz w:val="16"/>
                <w:szCs w:val="16"/>
                <w:lang w:val="fr-BE"/>
              </w:rPr>
            </w:pPr>
            <w:r>
              <w:rPr>
                <w:sz w:val="16"/>
                <w:szCs w:val="16"/>
                <w:lang w:val="fr-BE"/>
              </w:rPr>
              <w:t xml:space="preserve">2018 </w:t>
            </w:r>
            <w:r>
              <w:rPr>
                <w:noProof/>
                <w:sz w:val="16"/>
                <w:szCs w:val="16"/>
                <w:lang w:val="fr-BE"/>
              </w:rPr>
              <w:t>Ogółem</w:t>
            </w:r>
          </w:p>
        </w:tc>
        <w:tc>
          <w:tcPr>
            <w:tcW w:w="0" w:type="auto"/>
          </w:tcPr>
          <w:p w14:paraId="228AF469" w14:textId="77777777" w:rsidR="008C5CFA" w:rsidRPr="0024468B" w:rsidRDefault="00E82A60" w:rsidP="00300A01">
            <w:pPr>
              <w:spacing w:before="0" w:after="0"/>
              <w:jc w:val="center"/>
              <w:rPr>
                <w:sz w:val="16"/>
                <w:szCs w:val="16"/>
                <w:lang w:val="fr-BE"/>
              </w:rPr>
            </w:pPr>
            <w:r>
              <w:rPr>
                <w:sz w:val="16"/>
                <w:szCs w:val="16"/>
                <w:lang w:val="fr-BE"/>
              </w:rPr>
              <w:t xml:space="preserve">2018 </w:t>
            </w:r>
            <w:r w:rsidRPr="0024468B">
              <w:rPr>
                <w:noProof/>
                <w:sz w:val="16"/>
                <w:szCs w:val="16"/>
                <w:lang w:val="fr-BE"/>
              </w:rPr>
              <w:t>Jakościowe</w:t>
            </w:r>
          </w:p>
        </w:tc>
        <w:tc>
          <w:tcPr>
            <w:tcW w:w="0" w:type="auto"/>
          </w:tcPr>
          <w:p w14:paraId="47CF2D19" w14:textId="77777777" w:rsidR="008C5CFA" w:rsidRPr="0024468B" w:rsidRDefault="00E82A60" w:rsidP="00300A01">
            <w:pPr>
              <w:spacing w:before="0" w:after="0"/>
              <w:jc w:val="center"/>
              <w:rPr>
                <w:sz w:val="16"/>
                <w:szCs w:val="16"/>
                <w:lang w:val="fr-BE"/>
              </w:rPr>
            </w:pPr>
            <w:r>
              <w:rPr>
                <w:sz w:val="16"/>
                <w:szCs w:val="16"/>
                <w:lang w:val="fr-BE"/>
              </w:rPr>
              <w:t xml:space="preserve">2017 </w:t>
            </w:r>
            <w:r>
              <w:rPr>
                <w:noProof/>
                <w:sz w:val="16"/>
                <w:szCs w:val="16"/>
                <w:lang w:val="fr-BE"/>
              </w:rPr>
              <w:t>Ogółem</w:t>
            </w:r>
          </w:p>
        </w:tc>
        <w:tc>
          <w:tcPr>
            <w:tcW w:w="0" w:type="auto"/>
          </w:tcPr>
          <w:p w14:paraId="7201E076" w14:textId="77777777" w:rsidR="008C5CFA" w:rsidRPr="0024468B" w:rsidRDefault="00E82A60" w:rsidP="00300A01">
            <w:pPr>
              <w:spacing w:before="0" w:after="0"/>
              <w:jc w:val="center"/>
              <w:rPr>
                <w:sz w:val="16"/>
                <w:szCs w:val="16"/>
                <w:lang w:val="fr-BE"/>
              </w:rPr>
            </w:pPr>
            <w:r>
              <w:rPr>
                <w:sz w:val="16"/>
                <w:szCs w:val="16"/>
                <w:lang w:val="fr-BE"/>
              </w:rPr>
              <w:t xml:space="preserve">2017 </w:t>
            </w:r>
            <w:r w:rsidRPr="0024468B">
              <w:rPr>
                <w:noProof/>
                <w:sz w:val="16"/>
                <w:szCs w:val="16"/>
                <w:lang w:val="fr-BE"/>
              </w:rPr>
              <w:t>Jakościowe</w:t>
            </w:r>
          </w:p>
        </w:tc>
        <w:tc>
          <w:tcPr>
            <w:tcW w:w="0" w:type="auto"/>
          </w:tcPr>
          <w:p w14:paraId="4D0CFA8A" w14:textId="77777777" w:rsidR="008C5CFA" w:rsidRPr="0024468B" w:rsidRDefault="00E82A60" w:rsidP="00300A01">
            <w:pPr>
              <w:spacing w:before="0" w:after="0"/>
              <w:jc w:val="center"/>
              <w:rPr>
                <w:sz w:val="16"/>
                <w:szCs w:val="16"/>
                <w:lang w:val="fr-BE"/>
              </w:rPr>
            </w:pPr>
            <w:r>
              <w:rPr>
                <w:sz w:val="16"/>
                <w:szCs w:val="16"/>
                <w:lang w:val="fr-BE"/>
              </w:rPr>
              <w:t xml:space="preserve">2016 </w:t>
            </w:r>
            <w:r>
              <w:rPr>
                <w:noProof/>
                <w:sz w:val="16"/>
                <w:szCs w:val="16"/>
                <w:lang w:val="fr-BE"/>
              </w:rPr>
              <w:t>Ogółem</w:t>
            </w:r>
          </w:p>
        </w:tc>
        <w:tc>
          <w:tcPr>
            <w:tcW w:w="0" w:type="auto"/>
          </w:tcPr>
          <w:p w14:paraId="05F45ABA" w14:textId="77777777" w:rsidR="008C5CFA" w:rsidRPr="0024468B" w:rsidRDefault="00E82A60" w:rsidP="00300A01">
            <w:pPr>
              <w:spacing w:before="0" w:after="0"/>
              <w:jc w:val="center"/>
              <w:rPr>
                <w:sz w:val="16"/>
                <w:szCs w:val="16"/>
                <w:lang w:val="fr-BE"/>
              </w:rPr>
            </w:pPr>
            <w:r>
              <w:rPr>
                <w:sz w:val="16"/>
                <w:szCs w:val="16"/>
                <w:lang w:val="fr-BE"/>
              </w:rPr>
              <w:t xml:space="preserve">2016 </w:t>
            </w:r>
            <w:r w:rsidRPr="0024468B">
              <w:rPr>
                <w:noProof/>
                <w:sz w:val="16"/>
                <w:szCs w:val="16"/>
                <w:lang w:val="fr-BE"/>
              </w:rPr>
              <w:t>Jakościowe</w:t>
            </w:r>
          </w:p>
        </w:tc>
        <w:tc>
          <w:tcPr>
            <w:tcW w:w="0" w:type="auto"/>
          </w:tcPr>
          <w:p w14:paraId="0A4935D7" w14:textId="77777777" w:rsidR="008C5CFA" w:rsidRPr="0024468B" w:rsidRDefault="00E82A60" w:rsidP="00300A01">
            <w:pPr>
              <w:spacing w:before="0" w:after="0"/>
              <w:jc w:val="center"/>
              <w:rPr>
                <w:sz w:val="16"/>
                <w:szCs w:val="16"/>
                <w:lang w:val="fr-BE"/>
              </w:rPr>
            </w:pPr>
            <w:r>
              <w:rPr>
                <w:sz w:val="16"/>
                <w:szCs w:val="16"/>
                <w:lang w:val="fr-BE"/>
              </w:rPr>
              <w:t xml:space="preserve">2015 </w:t>
            </w:r>
            <w:r>
              <w:rPr>
                <w:noProof/>
                <w:sz w:val="16"/>
                <w:szCs w:val="16"/>
                <w:lang w:val="fr-BE"/>
              </w:rPr>
              <w:t>Ogółem</w:t>
            </w:r>
          </w:p>
        </w:tc>
        <w:tc>
          <w:tcPr>
            <w:tcW w:w="0" w:type="auto"/>
          </w:tcPr>
          <w:p w14:paraId="35A32949" w14:textId="77777777" w:rsidR="008C5CFA" w:rsidRPr="0024468B" w:rsidRDefault="00E82A60" w:rsidP="00300A01">
            <w:pPr>
              <w:spacing w:before="0" w:after="0"/>
              <w:jc w:val="center"/>
              <w:rPr>
                <w:sz w:val="16"/>
                <w:szCs w:val="16"/>
                <w:lang w:val="fr-BE"/>
              </w:rPr>
            </w:pPr>
            <w:r>
              <w:rPr>
                <w:sz w:val="16"/>
                <w:szCs w:val="16"/>
                <w:lang w:val="fr-BE"/>
              </w:rPr>
              <w:t xml:space="preserve">2015 </w:t>
            </w:r>
            <w:r w:rsidRPr="0024468B">
              <w:rPr>
                <w:noProof/>
                <w:sz w:val="16"/>
                <w:szCs w:val="16"/>
                <w:lang w:val="fr-BE"/>
              </w:rPr>
              <w:t>Jakościowe</w:t>
            </w:r>
          </w:p>
        </w:tc>
      </w:tr>
      <w:tr w:rsidR="006B2EC1" w14:paraId="5558A555" w14:textId="77777777" w:rsidTr="0047688D">
        <w:tc>
          <w:tcPr>
            <w:tcW w:w="0" w:type="auto"/>
            <w:shd w:val="clear" w:color="auto" w:fill="auto"/>
          </w:tcPr>
          <w:p w14:paraId="22ED5BAD" w14:textId="77777777" w:rsidR="008C5CFA" w:rsidRPr="0024468B" w:rsidRDefault="00E82A60" w:rsidP="00300A01">
            <w:pPr>
              <w:spacing w:before="0" w:after="0"/>
              <w:rPr>
                <w:sz w:val="16"/>
                <w:szCs w:val="16"/>
                <w:lang w:val="fr-BE"/>
              </w:rPr>
            </w:pPr>
            <w:r w:rsidRPr="0024468B">
              <w:rPr>
                <w:noProof/>
                <w:sz w:val="16"/>
                <w:szCs w:val="16"/>
                <w:lang w:val="fr-BE"/>
              </w:rPr>
              <w:t>062</w:t>
            </w:r>
          </w:p>
        </w:tc>
        <w:tc>
          <w:tcPr>
            <w:tcW w:w="0" w:type="auto"/>
            <w:shd w:val="clear" w:color="auto" w:fill="auto"/>
          </w:tcPr>
          <w:p w14:paraId="06E2B998" w14:textId="77777777" w:rsidR="008C5CFA" w:rsidRPr="0024468B" w:rsidRDefault="00E82A60" w:rsidP="00300A01">
            <w:pPr>
              <w:spacing w:before="0" w:after="0"/>
              <w:rPr>
                <w:sz w:val="16"/>
                <w:szCs w:val="16"/>
                <w:lang w:val="fr-BE"/>
              </w:rPr>
            </w:pPr>
            <w:r w:rsidRPr="0024468B">
              <w:rPr>
                <w:noProof/>
                <w:sz w:val="16"/>
                <w:szCs w:val="16"/>
                <w:lang w:val="fr-BE"/>
              </w:rPr>
              <w:t>Odsetek uczniów publicznych samorządowych szkół ponadgimnazjalnych w powiecie M. Kielce korzystających z nowo utworzonej infrastruktury do praktycznej nauki zawodu</w:t>
            </w:r>
          </w:p>
        </w:tc>
        <w:tc>
          <w:tcPr>
            <w:tcW w:w="0" w:type="auto"/>
          </w:tcPr>
          <w:p w14:paraId="42F6A31B"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0ADC2711" w14:textId="77777777" w:rsidR="008C5CFA" w:rsidRPr="0024468B" w:rsidRDefault="008C5CFA" w:rsidP="00300A01">
            <w:pPr>
              <w:spacing w:before="0" w:after="0"/>
              <w:jc w:val="right"/>
              <w:rPr>
                <w:sz w:val="16"/>
                <w:szCs w:val="16"/>
                <w:lang w:val="fr-BE"/>
              </w:rPr>
            </w:pPr>
          </w:p>
        </w:tc>
        <w:tc>
          <w:tcPr>
            <w:tcW w:w="0" w:type="auto"/>
          </w:tcPr>
          <w:p w14:paraId="3AD36C00"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5BE31803" w14:textId="77777777" w:rsidR="008C5CFA" w:rsidRPr="0024468B" w:rsidRDefault="008C5CFA" w:rsidP="00300A01">
            <w:pPr>
              <w:spacing w:before="0" w:after="0"/>
              <w:jc w:val="right"/>
              <w:rPr>
                <w:sz w:val="16"/>
                <w:szCs w:val="16"/>
                <w:lang w:val="fr-BE"/>
              </w:rPr>
            </w:pPr>
          </w:p>
        </w:tc>
        <w:tc>
          <w:tcPr>
            <w:tcW w:w="0" w:type="auto"/>
          </w:tcPr>
          <w:p w14:paraId="321D0707"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1EA36C84" w14:textId="77777777" w:rsidR="008C5CFA" w:rsidRPr="0024468B" w:rsidRDefault="008C5CFA" w:rsidP="00300A01">
            <w:pPr>
              <w:spacing w:before="0" w:after="0"/>
              <w:jc w:val="right"/>
              <w:rPr>
                <w:sz w:val="16"/>
                <w:szCs w:val="16"/>
                <w:lang w:val="fr-BE"/>
              </w:rPr>
            </w:pPr>
          </w:p>
        </w:tc>
        <w:tc>
          <w:tcPr>
            <w:tcW w:w="0" w:type="auto"/>
          </w:tcPr>
          <w:p w14:paraId="7E86B6AD"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111B09EE" w14:textId="77777777" w:rsidR="008C5CFA" w:rsidRPr="0024468B" w:rsidRDefault="008C5CFA" w:rsidP="00300A01">
            <w:pPr>
              <w:spacing w:before="0" w:after="0"/>
              <w:jc w:val="right"/>
              <w:rPr>
                <w:sz w:val="16"/>
                <w:szCs w:val="16"/>
                <w:lang w:val="fr-BE"/>
              </w:rPr>
            </w:pPr>
          </w:p>
        </w:tc>
      </w:tr>
      <w:tr w:rsidR="006B2EC1" w14:paraId="540BC415" w14:textId="77777777" w:rsidTr="0047688D">
        <w:tc>
          <w:tcPr>
            <w:tcW w:w="0" w:type="auto"/>
            <w:shd w:val="clear" w:color="auto" w:fill="auto"/>
          </w:tcPr>
          <w:p w14:paraId="44CB9EB9" w14:textId="77777777" w:rsidR="008C5CFA" w:rsidRPr="0024468B" w:rsidRDefault="00E82A60" w:rsidP="00300A01">
            <w:pPr>
              <w:spacing w:before="0" w:after="0"/>
              <w:rPr>
                <w:sz w:val="16"/>
                <w:szCs w:val="16"/>
                <w:lang w:val="fr-BE"/>
              </w:rPr>
            </w:pPr>
            <w:r w:rsidRPr="0024468B">
              <w:rPr>
                <w:noProof/>
                <w:sz w:val="16"/>
                <w:szCs w:val="16"/>
                <w:lang w:val="fr-BE"/>
              </w:rPr>
              <w:t>78</w:t>
            </w:r>
          </w:p>
        </w:tc>
        <w:tc>
          <w:tcPr>
            <w:tcW w:w="0" w:type="auto"/>
            <w:shd w:val="clear" w:color="auto" w:fill="auto"/>
          </w:tcPr>
          <w:p w14:paraId="5294E7D0" w14:textId="77777777" w:rsidR="008C5CFA" w:rsidRPr="0024468B" w:rsidRDefault="00E82A60" w:rsidP="00300A01">
            <w:pPr>
              <w:spacing w:before="0" w:after="0"/>
              <w:rPr>
                <w:sz w:val="16"/>
                <w:szCs w:val="16"/>
                <w:lang w:val="fr-BE"/>
              </w:rPr>
            </w:pPr>
            <w:r w:rsidRPr="0024468B">
              <w:rPr>
                <w:noProof/>
                <w:sz w:val="16"/>
                <w:szCs w:val="16"/>
                <w:lang w:val="fr-BE"/>
              </w:rPr>
              <w:t>Osoby dorosłe uczestniczące w kształceniu i szkoleniu</w:t>
            </w:r>
          </w:p>
        </w:tc>
        <w:tc>
          <w:tcPr>
            <w:tcW w:w="0" w:type="auto"/>
          </w:tcPr>
          <w:p w14:paraId="358DF0C7" w14:textId="77777777" w:rsidR="008C5CFA" w:rsidRPr="0024468B" w:rsidRDefault="00E82A60" w:rsidP="00300A01">
            <w:pPr>
              <w:spacing w:before="0" w:after="0"/>
              <w:jc w:val="right"/>
              <w:rPr>
                <w:sz w:val="16"/>
                <w:szCs w:val="16"/>
                <w:lang w:val="fr-BE"/>
              </w:rPr>
            </w:pPr>
            <w:r w:rsidRPr="0024468B">
              <w:rPr>
                <w:noProof/>
                <w:sz w:val="16"/>
                <w:szCs w:val="16"/>
                <w:lang w:val="fr-BE"/>
              </w:rPr>
              <w:t>3,20</w:t>
            </w:r>
          </w:p>
        </w:tc>
        <w:tc>
          <w:tcPr>
            <w:tcW w:w="0" w:type="auto"/>
          </w:tcPr>
          <w:p w14:paraId="215AD072" w14:textId="77777777" w:rsidR="008C5CFA" w:rsidRPr="0024468B" w:rsidRDefault="008C5CFA" w:rsidP="00300A01">
            <w:pPr>
              <w:spacing w:before="0" w:after="0"/>
              <w:jc w:val="right"/>
              <w:rPr>
                <w:sz w:val="16"/>
                <w:szCs w:val="16"/>
                <w:lang w:val="fr-BE"/>
              </w:rPr>
            </w:pPr>
          </w:p>
        </w:tc>
        <w:tc>
          <w:tcPr>
            <w:tcW w:w="0" w:type="auto"/>
          </w:tcPr>
          <w:p w14:paraId="33FB6A33" w14:textId="77777777" w:rsidR="008C5CFA" w:rsidRPr="0024468B" w:rsidRDefault="00E82A60" w:rsidP="00300A01">
            <w:pPr>
              <w:spacing w:before="0" w:after="0"/>
              <w:jc w:val="right"/>
              <w:rPr>
                <w:sz w:val="16"/>
                <w:szCs w:val="16"/>
                <w:lang w:val="fr-BE"/>
              </w:rPr>
            </w:pPr>
            <w:r w:rsidRPr="0024468B">
              <w:rPr>
                <w:noProof/>
                <w:sz w:val="16"/>
                <w:szCs w:val="16"/>
                <w:lang w:val="fr-BE"/>
              </w:rPr>
              <w:t>2,90</w:t>
            </w:r>
          </w:p>
        </w:tc>
        <w:tc>
          <w:tcPr>
            <w:tcW w:w="0" w:type="auto"/>
          </w:tcPr>
          <w:p w14:paraId="4F25F6A0" w14:textId="77777777" w:rsidR="008C5CFA" w:rsidRPr="0024468B" w:rsidRDefault="008C5CFA" w:rsidP="00300A01">
            <w:pPr>
              <w:spacing w:before="0" w:after="0"/>
              <w:jc w:val="right"/>
              <w:rPr>
                <w:sz w:val="16"/>
                <w:szCs w:val="16"/>
                <w:lang w:val="fr-BE"/>
              </w:rPr>
            </w:pPr>
          </w:p>
        </w:tc>
        <w:tc>
          <w:tcPr>
            <w:tcW w:w="0" w:type="auto"/>
          </w:tcPr>
          <w:p w14:paraId="7E7338A1" w14:textId="77777777" w:rsidR="008C5CFA" w:rsidRPr="0024468B" w:rsidRDefault="00E82A60" w:rsidP="00300A01">
            <w:pPr>
              <w:spacing w:before="0" w:after="0"/>
              <w:jc w:val="right"/>
              <w:rPr>
                <w:sz w:val="16"/>
                <w:szCs w:val="16"/>
                <w:lang w:val="fr-BE"/>
              </w:rPr>
            </w:pPr>
            <w:r w:rsidRPr="0024468B">
              <w:rPr>
                <w:noProof/>
                <w:sz w:val="16"/>
                <w:szCs w:val="16"/>
                <w:lang w:val="fr-BE"/>
              </w:rPr>
              <w:t>2,80</w:t>
            </w:r>
          </w:p>
        </w:tc>
        <w:tc>
          <w:tcPr>
            <w:tcW w:w="0" w:type="auto"/>
          </w:tcPr>
          <w:p w14:paraId="255076E5" w14:textId="77777777" w:rsidR="008C5CFA" w:rsidRPr="0024468B" w:rsidRDefault="008C5CFA" w:rsidP="00300A01">
            <w:pPr>
              <w:spacing w:before="0" w:after="0"/>
              <w:jc w:val="right"/>
              <w:rPr>
                <w:sz w:val="16"/>
                <w:szCs w:val="16"/>
                <w:lang w:val="fr-BE"/>
              </w:rPr>
            </w:pPr>
          </w:p>
        </w:tc>
        <w:tc>
          <w:tcPr>
            <w:tcW w:w="0" w:type="auto"/>
          </w:tcPr>
          <w:p w14:paraId="1AEDF327" w14:textId="77777777" w:rsidR="008C5CFA" w:rsidRPr="0024468B" w:rsidRDefault="00E82A60" w:rsidP="00300A01">
            <w:pPr>
              <w:spacing w:before="0" w:after="0"/>
              <w:jc w:val="right"/>
              <w:rPr>
                <w:sz w:val="16"/>
                <w:szCs w:val="16"/>
                <w:lang w:val="fr-BE"/>
              </w:rPr>
            </w:pPr>
            <w:r w:rsidRPr="0024468B">
              <w:rPr>
                <w:noProof/>
                <w:sz w:val="16"/>
                <w:szCs w:val="16"/>
                <w:lang w:val="fr-BE"/>
              </w:rPr>
              <w:t>2,50</w:t>
            </w:r>
          </w:p>
        </w:tc>
        <w:tc>
          <w:tcPr>
            <w:tcW w:w="0" w:type="auto"/>
          </w:tcPr>
          <w:p w14:paraId="3595EF58" w14:textId="77777777" w:rsidR="008C5CFA" w:rsidRPr="0024468B" w:rsidRDefault="008C5CFA" w:rsidP="00300A01">
            <w:pPr>
              <w:spacing w:before="0" w:after="0"/>
              <w:jc w:val="right"/>
              <w:rPr>
                <w:sz w:val="16"/>
                <w:szCs w:val="16"/>
                <w:lang w:val="fr-BE"/>
              </w:rPr>
            </w:pPr>
          </w:p>
        </w:tc>
      </w:tr>
    </w:tbl>
    <w:p w14:paraId="626E2D8C"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
        <w:gridCol w:w="12165"/>
        <w:gridCol w:w="1152"/>
        <w:gridCol w:w="1386"/>
      </w:tblGrid>
      <w:tr w:rsidR="006B2EC1" w14:paraId="072F157E" w14:textId="77777777" w:rsidTr="0047688D">
        <w:tc>
          <w:tcPr>
            <w:tcW w:w="0" w:type="auto"/>
            <w:shd w:val="clear" w:color="auto" w:fill="auto"/>
          </w:tcPr>
          <w:p w14:paraId="37D63E7C" w14:textId="77777777" w:rsidR="008C5CFA" w:rsidRPr="0024468B" w:rsidRDefault="00E82A60" w:rsidP="00300A01">
            <w:pPr>
              <w:spacing w:before="0" w:after="0"/>
              <w:rPr>
                <w:sz w:val="16"/>
                <w:szCs w:val="16"/>
                <w:lang w:val="fr-BE"/>
              </w:rPr>
            </w:pPr>
            <w:r w:rsidRPr="0024468B">
              <w:rPr>
                <w:noProof/>
                <w:sz w:val="16"/>
                <w:szCs w:val="16"/>
                <w:lang w:val="fr-BE"/>
              </w:rPr>
              <w:t>ID</w:t>
            </w:r>
          </w:p>
        </w:tc>
        <w:tc>
          <w:tcPr>
            <w:tcW w:w="0" w:type="auto"/>
            <w:shd w:val="clear" w:color="auto" w:fill="auto"/>
          </w:tcPr>
          <w:p w14:paraId="3127E0BB" w14:textId="77777777" w:rsidR="008C5CFA" w:rsidRPr="0024468B" w:rsidRDefault="00E82A60" w:rsidP="00300A01">
            <w:pPr>
              <w:spacing w:before="0" w:after="0"/>
              <w:rPr>
                <w:sz w:val="16"/>
                <w:szCs w:val="16"/>
                <w:lang w:val="fr-BE"/>
              </w:rPr>
            </w:pPr>
            <w:r w:rsidRPr="0024468B">
              <w:rPr>
                <w:noProof/>
                <w:sz w:val="16"/>
                <w:szCs w:val="16"/>
                <w:lang w:val="fr-BE"/>
              </w:rPr>
              <w:t>Wskaźnik</w:t>
            </w:r>
          </w:p>
        </w:tc>
        <w:tc>
          <w:tcPr>
            <w:tcW w:w="0" w:type="auto"/>
            <w:shd w:val="clear" w:color="auto" w:fill="auto"/>
          </w:tcPr>
          <w:p w14:paraId="61E53CEC" w14:textId="77777777" w:rsidR="008C5CFA" w:rsidRPr="0024468B" w:rsidRDefault="00E82A60" w:rsidP="00300A01">
            <w:pPr>
              <w:spacing w:before="0" w:after="0"/>
              <w:jc w:val="center"/>
              <w:rPr>
                <w:sz w:val="16"/>
                <w:szCs w:val="16"/>
                <w:lang w:val="fr-BE"/>
              </w:rPr>
            </w:pPr>
            <w:r>
              <w:rPr>
                <w:sz w:val="16"/>
                <w:szCs w:val="16"/>
                <w:lang w:val="fr-BE"/>
              </w:rPr>
              <w:t xml:space="preserve">2014 </w:t>
            </w:r>
            <w:r>
              <w:rPr>
                <w:noProof/>
                <w:sz w:val="16"/>
                <w:szCs w:val="16"/>
                <w:lang w:val="fr-BE"/>
              </w:rPr>
              <w:t>Ogółem</w:t>
            </w:r>
          </w:p>
        </w:tc>
        <w:tc>
          <w:tcPr>
            <w:tcW w:w="0" w:type="auto"/>
            <w:shd w:val="clear" w:color="auto" w:fill="auto"/>
          </w:tcPr>
          <w:p w14:paraId="325F2584" w14:textId="77777777" w:rsidR="008C5CFA" w:rsidRPr="0024468B" w:rsidRDefault="00E82A60" w:rsidP="00300A01">
            <w:pPr>
              <w:spacing w:before="0" w:after="0"/>
              <w:jc w:val="center"/>
              <w:rPr>
                <w:sz w:val="16"/>
                <w:szCs w:val="16"/>
                <w:lang w:val="fr-BE"/>
              </w:rPr>
            </w:pPr>
            <w:r>
              <w:rPr>
                <w:sz w:val="16"/>
                <w:szCs w:val="16"/>
                <w:lang w:val="fr-BE"/>
              </w:rPr>
              <w:t xml:space="preserve">2014 </w:t>
            </w:r>
            <w:r w:rsidRPr="0024468B">
              <w:rPr>
                <w:noProof/>
                <w:sz w:val="16"/>
                <w:szCs w:val="16"/>
                <w:lang w:val="fr-BE"/>
              </w:rPr>
              <w:t>Jakościowe</w:t>
            </w:r>
          </w:p>
        </w:tc>
      </w:tr>
      <w:tr w:rsidR="006B2EC1" w14:paraId="1518D793" w14:textId="77777777" w:rsidTr="0047688D">
        <w:tc>
          <w:tcPr>
            <w:tcW w:w="0" w:type="auto"/>
            <w:shd w:val="clear" w:color="auto" w:fill="auto"/>
          </w:tcPr>
          <w:p w14:paraId="345842C3" w14:textId="77777777" w:rsidR="008C5CFA" w:rsidRPr="0024468B" w:rsidRDefault="00E82A60" w:rsidP="00300A01">
            <w:pPr>
              <w:spacing w:before="0" w:after="0"/>
              <w:rPr>
                <w:sz w:val="16"/>
                <w:szCs w:val="16"/>
                <w:lang w:val="fr-BE"/>
              </w:rPr>
            </w:pPr>
            <w:r w:rsidRPr="0024468B">
              <w:rPr>
                <w:noProof/>
                <w:sz w:val="16"/>
                <w:szCs w:val="16"/>
                <w:lang w:val="fr-BE"/>
              </w:rPr>
              <w:t>062</w:t>
            </w:r>
          </w:p>
        </w:tc>
        <w:tc>
          <w:tcPr>
            <w:tcW w:w="0" w:type="auto"/>
            <w:shd w:val="clear" w:color="auto" w:fill="auto"/>
          </w:tcPr>
          <w:p w14:paraId="39061153" w14:textId="77777777" w:rsidR="008C5CFA" w:rsidRPr="0024468B" w:rsidRDefault="00E82A60" w:rsidP="00300A01">
            <w:pPr>
              <w:spacing w:before="0" w:after="0"/>
              <w:rPr>
                <w:sz w:val="16"/>
                <w:szCs w:val="16"/>
                <w:lang w:val="fr-BE"/>
              </w:rPr>
            </w:pPr>
            <w:r w:rsidRPr="0024468B">
              <w:rPr>
                <w:noProof/>
                <w:sz w:val="16"/>
                <w:szCs w:val="16"/>
                <w:lang w:val="fr-BE"/>
              </w:rPr>
              <w:t>Odsetek uczniów publicznych samorządowych szkół ponadgimnazjalnych w powiecie M. Kielce korzystających z nowo utworzonej infrastruktury do praktycznej nauki zawodu</w:t>
            </w:r>
          </w:p>
        </w:tc>
        <w:tc>
          <w:tcPr>
            <w:tcW w:w="0" w:type="auto"/>
            <w:shd w:val="clear" w:color="auto" w:fill="auto"/>
          </w:tcPr>
          <w:p w14:paraId="38D378DE"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23D09CB7" w14:textId="77777777" w:rsidR="008C5CFA" w:rsidRPr="0024468B" w:rsidRDefault="008C5CFA" w:rsidP="00300A01">
            <w:pPr>
              <w:spacing w:before="0" w:after="0"/>
              <w:jc w:val="right"/>
              <w:rPr>
                <w:sz w:val="16"/>
                <w:szCs w:val="16"/>
                <w:lang w:val="fr-BE"/>
              </w:rPr>
            </w:pPr>
          </w:p>
        </w:tc>
      </w:tr>
      <w:tr w:rsidR="006B2EC1" w14:paraId="468C1531" w14:textId="77777777" w:rsidTr="0047688D">
        <w:tc>
          <w:tcPr>
            <w:tcW w:w="0" w:type="auto"/>
            <w:shd w:val="clear" w:color="auto" w:fill="auto"/>
          </w:tcPr>
          <w:p w14:paraId="7512D3A1" w14:textId="77777777" w:rsidR="008C5CFA" w:rsidRPr="0024468B" w:rsidRDefault="00E82A60" w:rsidP="00300A01">
            <w:pPr>
              <w:spacing w:before="0" w:after="0"/>
              <w:rPr>
                <w:sz w:val="16"/>
                <w:szCs w:val="16"/>
                <w:lang w:val="fr-BE"/>
              </w:rPr>
            </w:pPr>
            <w:r w:rsidRPr="0024468B">
              <w:rPr>
                <w:noProof/>
                <w:sz w:val="16"/>
                <w:szCs w:val="16"/>
                <w:lang w:val="fr-BE"/>
              </w:rPr>
              <w:t>78</w:t>
            </w:r>
          </w:p>
        </w:tc>
        <w:tc>
          <w:tcPr>
            <w:tcW w:w="0" w:type="auto"/>
            <w:shd w:val="clear" w:color="auto" w:fill="auto"/>
          </w:tcPr>
          <w:p w14:paraId="6E4DAE4A" w14:textId="77777777" w:rsidR="008C5CFA" w:rsidRPr="0024468B" w:rsidRDefault="00E82A60" w:rsidP="00300A01">
            <w:pPr>
              <w:spacing w:before="0" w:after="0"/>
              <w:rPr>
                <w:sz w:val="16"/>
                <w:szCs w:val="16"/>
                <w:lang w:val="fr-BE"/>
              </w:rPr>
            </w:pPr>
            <w:r w:rsidRPr="0024468B">
              <w:rPr>
                <w:noProof/>
                <w:sz w:val="16"/>
                <w:szCs w:val="16"/>
                <w:lang w:val="fr-BE"/>
              </w:rPr>
              <w:t>Osoby dorosłe uczestniczące w kształceniu i szkoleniu</w:t>
            </w:r>
          </w:p>
        </w:tc>
        <w:tc>
          <w:tcPr>
            <w:tcW w:w="0" w:type="auto"/>
            <w:shd w:val="clear" w:color="auto" w:fill="auto"/>
          </w:tcPr>
          <w:p w14:paraId="35242ED1" w14:textId="77777777" w:rsidR="008C5CFA" w:rsidRPr="0024468B" w:rsidRDefault="00E82A60" w:rsidP="00300A01">
            <w:pPr>
              <w:spacing w:before="0" w:after="0"/>
              <w:jc w:val="right"/>
              <w:rPr>
                <w:sz w:val="16"/>
                <w:szCs w:val="16"/>
                <w:lang w:val="fr-BE"/>
              </w:rPr>
            </w:pPr>
            <w:r w:rsidRPr="0024468B">
              <w:rPr>
                <w:noProof/>
                <w:sz w:val="16"/>
                <w:szCs w:val="16"/>
                <w:lang w:val="fr-BE"/>
              </w:rPr>
              <w:t>3,00</w:t>
            </w:r>
          </w:p>
        </w:tc>
        <w:tc>
          <w:tcPr>
            <w:tcW w:w="0" w:type="auto"/>
            <w:shd w:val="clear" w:color="auto" w:fill="auto"/>
          </w:tcPr>
          <w:p w14:paraId="4824CAFD" w14:textId="77777777" w:rsidR="008C5CFA" w:rsidRPr="0024468B" w:rsidRDefault="008C5CFA" w:rsidP="00300A01">
            <w:pPr>
              <w:spacing w:before="0" w:after="0"/>
              <w:jc w:val="right"/>
              <w:rPr>
                <w:sz w:val="16"/>
                <w:szCs w:val="16"/>
                <w:lang w:val="fr-BE"/>
              </w:rPr>
            </w:pPr>
          </w:p>
        </w:tc>
      </w:tr>
    </w:tbl>
    <w:p w14:paraId="0715C502" w14:textId="77777777" w:rsidR="008C5CFA" w:rsidRDefault="008C5CFA" w:rsidP="00300A01">
      <w:pPr>
        <w:spacing w:before="0" w:after="0"/>
        <w:rPr>
          <w:lang w:val="fr-BE"/>
        </w:rPr>
      </w:pPr>
    </w:p>
    <w:p w14:paraId="693386C9" w14:textId="77777777" w:rsidR="008C5CFA" w:rsidRDefault="00E82A60" w:rsidP="00300A01">
      <w:pPr>
        <w:spacing w:before="0" w:after="0"/>
        <w:rPr>
          <w:lang w:val="fr-BE"/>
        </w:rPr>
      </w:pPr>
      <w:r>
        <w:rPr>
          <w:lang w:val="fr-BE"/>
        </w:rPr>
        <w:br w:type="page"/>
      </w:r>
    </w:p>
    <w:p w14:paraId="78C6BB89" w14:textId="77777777" w:rsidR="008C5CFA" w:rsidRPr="00B27C43" w:rsidRDefault="008C5CFA" w:rsidP="00300A01">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4"/>
        <w:gridCol w:w="12390"/>
      </w:tblGrid>
      <w:tr w:rsidR="006B2EC1" w14:paraId="4A0A95AD" w14:textId="77777777" w:rsidTr="0047688D">
        <w:tc>
          <w:tcPr>
            <w:tcW w:w="0" w:type="auto"/>
            <w:shd w:val="clear" w:color="auto" w:fill="auto"/>
          </w:tcPr>
          <w:p w14:paraId="7B1573E6" w14:textId="77777777" w:rsidR="008C5CFA" w:rsidRPr="002124FC" w:rsidRDefault="00E82A60" w:rsidP="00300A01">
            <w:pPr>
              <w:spacing w:before="0" w:after="0"/>
              <w:rPr>
                <w:sz w:val="20"/>
                <w:szCs w:val="20"/>
                <w:lang w:val="fr-BE"/>
              </w:rPr>
            </w:pPr>
            <w:r>
              <w:rPr>
                <w:lang w:val="fr-BE"/>
              </w:rPr>
              <w:br w:type="page"/>
            </w:r>
            <w:r>
              <w:rPr>
                <w:lang w:val="fr-BE"/>
              </w:rPr>
              <w:br w:type="page"/>
            </w:r>
            <w:r w:rsidRPr="002124FC">
              <w:rPr>
                <w:noProof/>
                <w:sz w:val="20"/>
                <w:szCs w:val="20"/>
                <w:lang w:val="fr-BE"/>
              </w:rPr>
              <w:t>Oś priorytetowa</w:t>
            </w:r>
          </w:p>
        </w:tc>
        <w:tc>
          <w:tcPr>
            <w:tcW w:w="0" w:type="auto"/>
            <w:shd w:val="clear" w:color="auto" w:fill="auto"/>
          </w:tcPr>
          <w:p w14:paraId="010C2596" w14:textId="77777777" w:rsidR="008C5CFA" w:rsidRPr="002124FC" w:rsidRDefault="00E82A60" w:rsidP="00300A01">
            <w:pPr>
              <w:spacing w:before="0" w:after="0"/>
              <w:rPr>
                <w:sz w:val="20"/>
                <w:szCs w:val="20"/>
                <w:lang w:val="fr-BE"/>
              </w:rPr>
            </w:pPr>
            <w:r w:rsidRPr="002124FC">
              <w:rPr>
                <w:noProof/>
                <w:sz w:val="20"/>
                <w:szCs w:val="20"/>
                <w:lang w:val="fr-BE"/>
              </w:rPr>
              <w:t>7</w:t>
            </w:r>
            <w:r w:rsidRPr="002124FC">
              <w:rPr>
                <w:sz w:val="20"/>
                <w:szCs w:val="20"/>
                <w:lang w:val="fr-BE"/>
              </w:rPr>
              <w:t xml:space="preserve"> - </w:t>
            </w:r>
            <w:r w:rsidRPr="002124FC">
              <w:rPr>
                <w:noProof/>
                <w:sz w:val="20"/>
                <w:szCs w:val="20"/>
                <w:lang w:val="fr-BE"/>
              </w:rPr>
              <w:t>Sprawne usługi publiczne</w:t>
            </w:r>
          </w:p>
        </w:tc>
      </w:tr>
      <w:tr w:rsidR="006B2EC1" w14:paraId="23BD0984" w14:textId="77777777" w:rsidTr="0047688D">
        <w:tc>
          <w:tcPr>
            <w:tcW w:w="0" w:type="auto"/>
            <w:shd w:val="clear" w:color="auto" w:fill="auto"/>
          </w:tcPr>
          <w:p w14:paraId="131CF1CE" w14:textId="77777777" w:rsidR="008C5CFA" w:rsidRPr="002124FC" w:rsidRDefault="00E82A60"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14:paraId="5875369D" w14:textId="77777777" w:rsidR="008C5CFA" w:rsidRPr="002124FC" w:rsidRDefault="00E82A60" w:rsidP="00300A01">
            <w:pPr>
              <w:spacing w:before="0" w:after="0"/>
              <w:rPr>
                <w:sz w:val="20"/>
                <w:szCs w:val="20"/>
                <w:lang w:val="fr-BE"/>
              </w:rPr>
            </w:pPr>
            <w:r w:rsidRPr="002124FC">
              <w:rPr>
                <w:noProof/>
                <w:sz w:val="20"/>
                <w:szCs w:val="20"/>
                <w:lang w:val="fr-BE"/>
              </w:rPr>
              <w:t>2c</w:t>
            </w:r>
            <w:r w:rsidRPr="002124FC">
              <w:rPr>
                <w:sz w:val="20"/>
                <w:szCs w:val="20"/>
                <w:lang w:val="fr-BE"/>
              </w:rPr>
              <w:t xml:space="preserve"> - </w:t>
            </w:r>
            <w:r w:rsidRPr="002124FC">
              <w:rPr>
                <w:noProof/>
                <w:sz w:val="20"/>
                <w:szCs w:val="20"/>
                <w:lang w:val="fr-BE"/>
              </w:rPr>
              <w:t>Wzmocnienie zastosowań TIK dla e-rządu, e-uczenia, e-włączenia społecznego, e-kultury oraz e-zdrowia</w:t>
            </w:r>
          </w:p>
        </w:tc>
      </w:tr>
    </w:tbl>
    <w:p w14:paraId="2622D6AF" w14:textId="77777777" w:rsidR="008C5CFA" w:rsidRDefault="008C5CFA" w:rsidP="00300A01">
      <w:pPr>
        <w:spacing w:before="0" w:after="0"/>
        <w:rPr>
          <w:lang w:val="fr-BE"/>
        </w:rPr>
      </w:pPr>
    </w:p>
    <w:p w14:paraId="2192C73A" w14:textId="77777777" w:rsidR="008C5CFA" w:rsidRDefault="00E82A60" w:rsidP="00300A01">
      <w:pPr>
        <w:pStyle w:val="Nagwek2"/>
        <w:spacing w:before="0" w:after="0"/>
        <w:rPr>
          <w:lang w:val="fr-BE"/>
        </w:rPr>
      </w:pPr>
      <w:bookmarkStart w:id="43" w:name="_Toc46391727"/>
      <w:r>
        <w:rPr>
          <w:noProof/>
          <w:lang w:val="fr-BE"/>
        </w:rPr>
        <w:t>Tabela 3A</w:t>
      </w:r>
      <w:r>
        <w:rPr>
          <w:lang w:val="fr-BE"/>
        </w:rPr>
        <w:t xml:space="preserve">: </w:t>
      </w:r>
      <w:r>
        <w:rPr>
          <w:noProof/>
          <w:lang w:val="fr-BE"/>
        </w:rPr>
        <w:t>Wspólne i specyficzne dla danego programu wskaźniki produktu dla EFRR i Funduszu Spójności (wg osi priorytetowej, priorytetu inwestycyjnego, w podziale na kategorię regionu dla celów EFRR)</w:t>
      </w:r>
      <w:r w:rsidR="009C5874">
        <w:rPr>
          <w:lang w:val="fr-BE"/>
        </w:rPr>
        <w:t xml:space="preserve"> - </w:t>
      </w:r>
      <w:r w:rsidR="00F022AC" w:rsidRPr="002124FC">
        <w:rPr>
          <w:noProof/>
          <w:sz w:val="20"/>
          <w:szCs w:val="20"/>
          <w:lang w:val="fr-BE"/>
        </w:rPr>
        <w:t>7</w:t>
      </w:r>
      <w:r w:rsidR="00F022AC">
        <w:rPr>
          <w:sz w:val="20"/>
          <w:szCs w:val="20"/>
          <w:lang w:val="fr-BE"/>
        </w:rPr>
        <w:t xml:space="preserve"> / </w:t>
      </w:r>
      <w:r w:rsidR="00F022AC" w:rsidRPr="002124FC">
        <w:rPr>
          <w:noProof/>
          <w:sz w:val="20"/>
          <w:szCs w:val="20"/>
          <w:lang w:val="fr-BE"/>
        </w:rPr>
        <w:t>2c</w:t>
      </w:r>
      <w:bookmarkEnd w:id="43"/>
    </w:p>
    <w:p w14:paraId="16F1B2C5"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01"/>
        <w:gridCol w:w="354"/>
        <w:gridCol w:w="2094"/>
        <w:gridCol w:w="870"/>
        <w:gridCol w:w="877"/>
        <w:gridCol w:w="968"/>
        <w:gridCol w:w="1058"/>
        <w:gridCol w:w="971"/>
        <w:gridCol w:w="698"/>
        <w:gridCol w:w="884"/>
        <w:gridCol w:w="707"/>
        <w:gridCol w:w="5402"/>
      </w:tblGrid>
      <w:tr w:rsidR="006B2EC1" w14:paraId="4C3663DB" w14:textId="77777777" w:rsidTr="0047688D">
        <w:trPr>
          <w:tblHeader/>
        </w:trPr>
        <w:tc>
          <w:tcPr>
            <w:tcW w:w="0" w:type="auto"/>
          </w:tcPr>
          <w:p w14:paraId="5163F9F8" w14:textId="77777777" w:rsidR="008C5CFA" w:rsidRPr="009143B4" w:rsidRDefault="00E82A60" w:rsidP="00300A01">
            <w:pPr>
              <w:spacing w:before="0" w:after="0"/>
              <w:rPr>
                <w:b/>
                <w:sz w:val="16"/>
                <w:szCs w:val="16"/>
                <w:lang w:val="fr-BE"/>
              </w:rPr>
            </w:pPr>
            <w:r w:rsidRPr="009143B4">
              <w:rPr>
                <w:b/>
                <w:sz w:val="16"/>
                <w:szCs w:val="16"/>
                <w:lang w:val="fr-BE"/>
              </w:rPr>
              <w:t>(1)</w:t>
            </w:r>
          </w:p>
        </w:tc>
        <w:tc>
          <w:tcPr>
            <w:tcW w:w="0" w:type="auto"/>
            <w:shd w:val="clear" w:color="auto" w:fill="auto"/>
          </w:tcPr>
          <w:p w14:paraId="03798719" w14:textId="77777777" w:rsidR="008C5CFA" w:rsidRPr="009143B4" w:rsidRDefault="00E82A60" w:rsidP="00300A01">
            <w:pPr>
              <w:spacing w:before="0" w:after="0"/>
              <w:rPr>
                <w:b/>
                <w:sz w:val="16"/>
                <w:szCs w:val="16"/>
                <w:lang w:val="fr-BE"/>
              </w:rPr>
            </w:pPr>
            <w:r w:rsidRPr="009143B4">
              <w:rPr>
                <w:b/>
                <w:noProof/>
                <w:sz w:val="16"/>
                <w:szCs w:val="16"/>
                <w:lang w:val="fr-BE"/>
              </w:rPr>
              <w:t>ID</w:t>
            </w:r>
          </w:p>
        </w:tc>
        <w:tc>
          <w:tcPr>
            <w:tcW w:w="0" w:type="auto"/>
            <w:shd w:val="clear" w:color="auto" w:fill="auto"/>
          </w:tcPr>
          <w:p w14:paraId="6840820D" w14:textId="77777777" w:rsidR="008C5CFA" w:rsidRPr="009143B4" w:rsidRDefault="00E82A60" w:rsidP="00300A01">
            <w:pPr>
              <w:spacing w:before="0" w:after="0"/>
              <w:rPr>
                <w:b/>
                <w:sz w:val="16"/>
                <w:szCs w:val="16"/>
                <w:lang w:val="fr-BE"/>
              </w:rPr>
            </w:pPr>
            <w:r w:rsidRPr="009143B4">
              <w:rPr>
                <w:b/>
                <w:noProof/>
                <w:sz w:val="16"/>
                <w:szCs w:val="16"/>
                <w:lang w:val="fr-BE"/>
              </w:rPr>
              <w:t>Wskaźnik</w:t>
            </w:r>
          </w:p>
        </w:tc>
        <w:tc>
          <w:tcPr>
            <w:tcW w:w="0" w:type="auto"/>
            <w:shd w:val="clear" w:color="auto" w:fill="auto"/>
          </w:tcPr>
          <w:p w14:paraId="0DCA20DD" w14:textId="77777777" w:rsidR="008C5CFA" w:rsidRPr="009143B4" w:rsidRDefault="00E82A60" w:rsidP="00300A01">
            <w:pPr>
              <w:spacing w:before="0" w:after="0"/>
              <w:rPr>
                <w:b/>
                <w:sz w:val="16"/>
                <w:szCs w:val="16"/>
                <w:lang w:val="fr-BE"/>
              </w:rPr>
            </w:pPr>
            <w:r w:rsidRPr="009143B4">
              <w:rPr>
                <w:b/>
                <w:noProof/>
                <w:sz w:val="16"/>
                <w:szCs w:val="16"/>
                <w:lang w:val="fr-BE"/>
              </w:rPr>
              <w:t>Jednostka miary</w:t>
            </w:r>
          </w:p>
        </w:tc>
        <w:tc>
          <w:tcPr>
            <w:tcW w:w="0" w:type="auto"/>
            <w:shd w:val="clear" w:color="auto" w:fill="auto"/>
          </w:tcPr>
          <w:p w14:paraId="1E5B8698" w14:textId="77777777" w:rsidR="008C5CFA" w:rsidRPr="009143B4" w:rsidRDefault="00E82A60" w:rsidP="00300A01">
            <w:pPr>
              <w:spacing w:before="0" w:after="0"/>
              <w:rPr>
                <w:b/>
                <w:sz w:val="16"/>
                <w:szCs w:val="16"/>
                <w:lang w:val="fr-BE"/>
              </w:rPr>
            </w:pPr>
            <w:r w:rsidRPr="009143B4">
              <w:rPr>
                <w:b/>
                <w:noProof/>
                <w:sz w:val="16"/>
                <w:szCs w:val="16"/>
                <w:lang w:val="fr-BE"/>
              </w:rPr>
              <w:t>Kategoria regionu</w:t>
            </w:r>
          </w:p>
        </w:tc>
        <w:tc>
          <w:tcPr>
            <w:tcW w:w="0" w:type="auto"/>
            <w:shd w:val="clear" w:color="auto" w:fill="auto"/>
          </w:tcPr>
          <w:p w14:paraId="3847338F" w14:textId="77777777" w:rsidR="008C5CFA" w:rsidRPr="009143B4" w:rsidRDefault="00E82A60" w:rsidP="00300A01">
            <w:pPr>
              <w:spacing w:before="0" w:after="0"/>
              <w:jc w:val="center"/>
              <w:rPr>
                <w:b/>
                <w:sz w:val="16"/>
                <w:szCs w:val="16"/>
                <w:lang w:val="fr-BE"/>
              </w:rPr>
            </w:pPr>
            <w:r w:rsidRPr="009143B4">
              <w:rPr>
                <w:b/>
                <w:noProof/>
                <w:sz w:val="16"/>
                <w:szCs w:val="16"/>
                <w:lang w:val="fr-BE"/>
              </w:rPr>
              <w:t>Wartość docelowa (2023) ogółem</w:t>
            </w:r>
          </w:p>
        </w:tc>
        <w:tc>
          <w:tcPr>
            <w:tcW w:w="0" w:type="auto"/>
            <w:shd w:val="clear" w:color="auto" w:fill="auto"/>
          </w:tcPr>
          <w:p w14:paraId="1E91D396" w14:textId="77777777" w:rsidR="008C5CFA" w:rsidRPr="009143B4" w:rsidRDefault="00E82A60" w:rsidP="00300A01">
            <w:pPr>
              <w:spacing w:before="0" w:after="0"/>
              <w:jc w:val="center"/>
              <w:rPr>
                <w:b/>
                <w:sz w:val="16"/>
                <w:szCs w:val="16"/>
                <w:lang w:val="fr-BE"/>
              </w:rPr>
            </w:pPr>
            <w:r w:rsidRPr="009143B4">
              <w:rPr>
                <w:b/>
                <w:noProof/>
                <w:sz w:val="16"/>
                <w:szCs w:val="16"/>
                <w:lang w:val="fr-BE"/>
              </w:rPr>
              <w:t>Wartość docelowa (2023) mężczyźni</w:t>
            </w:r>
          </w:p>
        </w:tc>
        <w:tc>
          <w:tcPr>
            <w:tcW w:w="0" w:type="auto"/>
          </w:tcPr>
          <w:p w14:paraId="5B6EE4C7" w14:textId="77777777" w:rsidR="008C5CFA" w:rsidRPr="009143B4" w:rsidRDefault="00E82A60" w:rsidP="00300A01">
            <w:pPr>
              <w:spacing w:before="0" w:after="0"/>
              <w:jc w:val="center"/>
              <w:rPr>
                <w:b/>
                <w:sz w:val="16"/>
                <w:szCs w:val="16"/>
                <w:lang w:val="fr-BE"/>
              </w:rPr>
            </w:pPr>
            <w:r w:rsidRPr="009143B4">
              <w:rPr>
                <w:b/>
                <w:noProof/>
                <w:sz w:val="16"/>
                <w:szCs w:val="16"/>
                <w:lang w:val="fr-BE"/>
              </w:rPr>
              <w:t>Wartość docelowa (2023) kobiety</w:t>
            </w:r>
          </w:p>
        </w:tc>
        <w:tc>
          <w:tcPr>
            <w:tcW w:w="0" w:type="auto"/>
            <w:shd w:val="clear" w:color="auto" w:fill="auto"/>
          </w:tcPr>
          <w:p w14:paraId="484B847A" w14:textId="77777777" w:rsidR="008C5CFA" w:rsidRPr="009143B4" w:rsidRDefault="00E82A60" w:rsidP="00300A01">
            <w:pPr>
              <w:spacing w:before="0" w:after="0"/>
              <w:jc w:val="center"/>
              <w:rPr>
                <w:b/>
                <w:sz w:val="16"/>
                <w:szCs w:val="16"/>
                <w:lang w:val="fr-BE"/>
              </w:rPr>
            </w:pPr>
            <w:r>
              <w:rPr>
                <w:b/>
                <w:sz w:val="16"/>
                <w:szCs w:val="16"/>
                <w:lang w:val="fr-BE"/>
              </w:rPr>
              <w:t xml:space="preserve">2019 </w:t>
            </w:r>
            <w:r w:rsidRPr="009143B4">
              <w:rPr>
                <w:b/>
                <w:noProof/>
                <w:sz w:val="16"/>
                <w:szCs w:val="16"/>
                <w:lang w:val="fr-BE"/>
              </w:rPr>
              <w:t>Ogółem</w:t>
            </w:r>
          </w:p>
        </w:tc>
        <w:tc>
          <w:tcPr>
            <w:tcW w:w="0" w:type="auto"/>
            <w:shd w:val="clear" w:color="auto" w:fill="auto"/>
          </w:tcPr>
          <w:p w14:paraId="14262287" w14:textId="77777777" w:rsidR="008C5CFA" w:rsidRPr="009143B4" w:rsidRDefault="00E82A60" w:rsidP="00300A01">
            <w:pPr>
              <w:spacing w:before="0" w:after="0"/>
              <w:jc w:val="center"/>
              <w:rPr>
                <w:b/>
                <w:sz w:val="16"/>
                <w:szCs w:val="16"/>
                <w:lang w:val="fr-BE"/>
              </w:rPr>
            </w:pPr>
            <w:r>
              <w:rPr>
                <w:b/>
                <w:sz w:val="16"/>
                <w:szCs w:val="16"/>
                <w:lang w:val="fr-BE"/>
              </w:rPr>
              <w:t xml:space="preserve">2019 </w:t>
            </w:r>
            <w:r w:rsidRPr="009143B4">
              <w:rPr>
                <w:b/>
                <w:noProof/>
                <w:sz w:val="16"/>
                <w:szCs w:val="16"/>
                <w:lang w:val="fr-BE"/>
              </w:rPr>
              <w:t>Mężczyźni</w:t>
            </w:r>
          </w:p>
        </w:tc>
        <w:tc>
          <w:tcPr>
            <w:tcW w:w="0" w:type="auto"/>
            <w:shd w:val="clear" w:color="auto" w:fill="auto"/>
          </w:tcPr>
          <w:p w14:paraId="16073F3B" w14:textId="77777777" w:rsidR="008C5CFA" w:rsidRPr="009143B4" w:rsidRDefault="00E82A60" w:rsidP="00300A01">
            <w:pPr>
              <w:spacing w:before="0" w:after="0"/>
              <w:jc w:val="center"/>
              <w:rPr>
                <w:b/>
                <w:sz w:val="16"/>
                <w:szCs w:val="16"/>
                <w:lang w:val="fr-BE"/>
              </w:rPr>
            </w:pPr>
            <w:r>
              <w:rPr>
                <w:b/>
                <w:sz w:val="16"/>
                <w:szCs w:val="16"/>
                <w:lang w:val="fr-BE"/>
              </w:rPr>
              <w:t xml:space="preserve">2019 </w:t>
            </w:r>
            <w:r w:rsidRPr="009143B4">
              <w:rPr>
                <w:b/>
                <w:noProof/>
                <w:sz w:val="16"/>
                <w:szCs w:val="16"/>
                <w:lang w:val="fr-BE"/>
              </w:rPr>
              <w:t>Kobiety</w:t>
            </w:r>
          </w:p>
        </w:tc>
        <w:tc>
          <w:tcPr>
            <w:tcW w:w="0" w:type="auto"/>
            <w:shd w:val="clear" w:color="auto" w:fill="auto"/>
          </w:tcPr>
          <w:p w14:paraId="2F117807" w14:textId="77777777" w:rsidR="008C5CFA" w:rsidRPr="009143B4" w:rsidRDefault="00E82A60" w:rsidP="00300A01">
            <w:pPr>
              <w:spacing w:before="0" w:after="0"/>
              <w:jc w:val="center"/>
              <w:rPr>
                <w:b/>
                <w:sz w:val="16"/>
                <w:szCs w:val="16"/>
                <w:lang w:val="fr-BE"/>
              </w:rPr>
            </w:pPr>
            <w:r w:rsidRPr="009143B4">
              <w:rPr>
                <w:b/>
                <w:noProof/>
                <w:sz w:val="16"/>
                <w:szCs w:val="16"/>
                <w:lang w:val="fr-BE"/>
              </w:rPr>
              <w:t>Uwagi</w:t>
            </w:r>
          </w:p>
        </w:tc>
      </w:tr>
      <w:tr w:rsidR="006B2EC1" w14:paraId="0EBB2A69" w14:textId="77777777" w:rsidTr="0047688D">
        <w:tc>
          <w:tcPr>
            <w:tcW w:w="0" w:type="auto"/>
          </w:tcPr>
          <w:p w14:paraId="5DA1B50E" w14:textId="77777777" w:rsidR="008C5CFA" w:rsidRPr="0024468B" w:rsidRDefault="00E82A60" w:rsidP="00300A01">
            <w:pPr>
              <w:spacing w:before="0" w:after="0"/>
              <w:rPr>
                <w:sz w:val="16"/>
                <w:szCs w:val="16"/>
                <w:lang w:val="fr-BE"/>
              </w:rPr>
            </w:pPr>
            <w:r>
              <w:rPr>
                <w:noProof/>
                <w:sz w:val="16"/>
                <w:szCs w:val="16"/>
                <w:lang w:val="fr-BE"/>
              </w:rPr>
              <w:t>F</w:t>
            </w:r>
          </w:p>
        </w:tc>
        <w:tc>
          <w:tcPr>
            <w:tcW w:w="0" w:type="auto"/>
            <w:shd w:val="clear" w:color="auto" w:fill="auto"/>
          </w:tcPr>
          <w:p w14:paraId="1FABB487" w14:textId="77777777" w:rsidR="008C5CFA" w:rsidRPr="0024468B" w:rsidRDefault="00E82A60" w:rsidP="00300A01">
            <w:pPr>
              <w:spacing w:before="0" w:after="0"/>
              <w:rPr>
                <w:sz w:val="16"/>
                <w:szCs w:val="16"/>
                <w:lang w:val="fr-BE"/>
              </w:rPr>
            </w:pPr>
            <w:r>
              <w:rPr>
                <w:noProof/>
                <w:sz w:val="16"/>
                <w:szCs w:val="16"/>
                <w:lang w:val="fr-BE"/>
              </w:rPr>
              <w:t>042</w:t>
            </w:r>
          </w:p>
        </w:tc>
        <w:tc>
          <w:tcPr>
            <w:tcW w:w="0" w:type="auto"/>
            <w:shd w:val="clear" w:color="auto" w:fill="auto"/>
          </w:tcPr>
          <w:p w14:paraId="19395BBD" w14:textId="77777777" w:rsidR="008C5CFA" w:rsidRPr="0024468B" w:rsidRDefault="00E82A60" w:rsidP="00300A01">
            <w:pPr>
              <w:spacing w:before="0" w:after="0"/>
              <w:rPr>
                <w:sz w:val="16"/>
                <w:szCs w:val="16"/>
                <w:lang w:val="fr-BE"/>
              </w:rPr>
            </w:pPr>
            <w:r>
              <w:rPr>
                <w:noProof/>
                <w:sz w:val="16"/>
                <w:szCs w:val="16"/>
                <w:lang w:val="fr-BE"/>
              </w:rPr>
              <w:t>Liczba usług publicznych udostępnionych on-line o stopniu dojrzałości 3 dwustronna interakcja</w:t>
            </w:r>
          </w:p>
        </w:tc>
        <w:tc>
          <w:tcPr>
            <w:tcW w:w="0" w:type="auto"/>
            <w:shd w:val="clear" w:color="auto" w:fill="auto"/>
          </w:tcPr>
          <w:p w14:paraId="48811A15" w14:textId="77777777" w:rsidR="008C5CFA" w:rsidRPr="0024468B" w:rsidRDefault="00E82A60" w:rsidP="00300A01">
            <w:pPr>
              <w:spacing w:before="0" w:after="0"/>
              <w:rPr>
                <w:sz w:val="16"/>
                <w:szCs w:val="16"/>
                <w:lang w:val="fr-BE"/>
              </w:rPr>
            </w:pPr>
            <w:r w:rsidRPr="0024468B">
              <w:rPr>
                <w:noProof/>
                <w:sz w:val="16"/>
                <w:szCs w:val="16"/>
                <w:lang w:val="fr-BE"/>
              </w:rPr>
              <w:t>szt.</w:t>
            </w:r>
          </w:p>
        </w:tc>
        <w:tc>
          <w:tcPr>
            <w:tcW w:w="0" w:type="auto"/>
            <w:shd w:val="clear" w:color="auto" w:fill="auto"/>
          </w:tcPr>
          <w:p w14:paraId="1BD268DB" w14:textId="77777777" w:rsidR="008C5CFA" w:rsidRPr="0024468B" w:rsidRDefault="00E82A60"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14:paraId="720D4923" w14:textId="77777777" w:rsidR="008C5CFA" w:rsidRPr="0024468B" w:rsidRDefault="00E82A60" w:rsidP="00300A01">
            <w:pPr>
              <w:spacing w:before="0" w:after="0"/>
              <w:jc w:val="right"/>
              <w:rPr>
                <w:sz w:val="16"/>
                <w:szCs w:val="16"/>
                <w:lang w:val="fr-BE"/>
              </w:rPr>
            </w:pPr>
            <w:r>
              <w:rPr>
                <w:noProof/>
                <w:sz w:val="16"/>
                <w:szCs w:val="16"/>
                <w:lang w:val="fr-BE"/>
              </w:rPr>
              <w:t>100,00</w:t>
            </w:r>
          </w:p>
        </w:tc>
        <w:tc>
          <w:tcPr>
            <w:tcW w:w="0" w:type="auto"/>
            <w:shd w:val="clear" w:color="auto" w:fill="auto"/>
          </w:tcPr>
          <w:p w14:paraId="02BBAAAC" w14:textId="77777777" w:rsidR="008C5CFA" w:rsidRPr="0024468B" w:rsidRDefault="008C5CFA" w:rsidP="00300A01">
            <w:pPr>
              <w:spacing w:before="0" w:after="0"/>
              <w:jc w:val="right"/>
              <w:rPr>
                <w:sz w:val="16"/>
                <w:szCs w:val="16"/>
                <w:lang w:val="fr-BE"/>
              </w:rPr>
            </w:pPr>
          </w:p>
        </w:tc>
        <w:tc>
          <w:tcPr>
            <w:tcW w:w="0" w:type="auto"/>
          </w:tcPr>
          <w:p w14:paraId="748F2BC6" w14:textId="77777777" w:rsidR="008C5CFA" w:rsidRPr="0024468B" w:rsidRDefault="008C5CFA" w:rsidP="00300A01">
            <w:pPr>
              <w:spacing w:before="0" w:after="0"/>
              <w:jc w:val="right"/>
              <w:rPr>
                <w:sz w:val="16"/>
                <w:szCs w:val="16"/>
                <w:lang w:val="fr-BE"/>
              </w:rPr>
            </w:pPr>
          </w:p>
        </w:tc>
        <w:tc>
          <w:tcPr>
            <w:tcW w:w="0" w:type="auto"/>
            <w:shd w:val="clear" w:color="auto" w:fill="auto"/>
          </w:tcPr>
          <w:p w14:paraId="338F39FA" w14:textId="77777777" w:rsidR="008C5CFA" w:rsidRPr="0024468B" w:rsidRDefault="00E82A60" w:rsidP="00300A01">
            <w:pPr>
              <w:spacing w:before="0" w:after="0"/>
              <w:jc w:val="right"/>
              <w:rPr>
                <w:sz w:val="16"/>
                <w:szCs w:val="16"/>
                <w:lang w:val="fr-BE"/>
              </w:rPr>
            </w:pPr>
            <w:r w:rsidRPr="0024468B">
              <w:rPr>
                <w:noProof/>
                <w:sz w:val="16"/>
                <w:szCs w:val="16"/>
                <w:lang w:val="fr-BE"/>
              </w:rPr>
              <w:t>39,00</w:t>
            </w:r>
          </w:p>
        </w:tc>
        <w:tc>
          <w:tcPr>
            <w:tcW w:w="0" w:type="auto"/>
            <w:shd w:val="clear" w:color="auto" w:fill="auto"/>
          </w:tcPr>
          <w:p w14:paraId="18AFFDB8"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32A543C7"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0925EB29" w14:textId="77777777" w:rsidR="008C5CFA" w:rsidRPr="0024468B" w:rsidRDefault="008C5CFA" w:rsidP="00300A01">
            <w:pPr>
              <w:spacing w:before="0" w:after="0"/>
              <w:rPr>
                <w:sz w:val="16"/>
                <w:szCs w:val="16"/>
                <w:lang w:val="fr-BE"/>
              </w:rPr>
            </w:pPr>
          </w:p>
        </w:tc>
      </w:tr>
      <w:tr w:rsidR="006B2EC1" w14:paraId="2F0A7DF0" w14:textId="77777777" w:rsidTr="0047688D">
        <w:tc>
          <w:tcPr>
            <w:tcW w:w="0" w:type="auto"/>
          </w:tcPr>
          <w:p w14:paraId="3D56BF8F" w14:textId="77777777" w:rsidR="008C5CFA" w:rsidRPr="0024468B" w:rsidRDefault="00E82A60" w:rsidP="00300A01">
            <w:pPr>
              <w:spacing w:before="0" w:after="0"/>
              <w:rPr>
                <w:sz w:val="16"/>
                <w:szCs w:val="16"/>
                <w:lang w:val="fr-BE"/>
              </w:rPr>
            </w:pPr>
            <w:r>
              <w:rPr>
                <w:noProof/>
                <w:sz w:val="16"/>
                <w:szCs w:val="16"/>
                <w:lang w:val="fr-BE"/>
              </w:rPr>
              <w:t>S</w:t>
            </w:r>
          </w:p>
        </w:tc>
        <w:tc>
          <w:tcPr>
            <w:tcW w:w="0" w:type="auto"/>
            <w:shd w:val="clear" w:color="auto" w:fill="auto"/>
          </w:tcPr>
          <w:p w14:paraId="43FF9A61" w14:textId="77777777" w:rsidR="008C5CFA" w:rsidRPr="0024468B" w:rsidRDefault="00E82A60" w:rsidP="00300A01">
            <w:pPr>
              <w:spacing w:before="0" w:after="0"/>
              <w:rPr>
                <w:sz w:val="16"/>
                <w:szCs w:val="16"/>
                <w:lang w:val="fr-BE"/>
              </w:rPr>
            </w:pPr>
            <w:r>
              <w:rPr>
                <w:noProof/>
                <w:sz w:val="16"/>
                <w:szCs w:val="16"/>
                <w:lang w:val="fr-BE"/>
              </w:rPr>
              <w:t>042</w:t>
            </w:r>
          </w:p>
        </w:tc>
        <w:tc>
          <w:tcPr>
            <w:tcW w:w="0" w:type="auto"/>
            <w:shd w:val="clear" w:color="auto" w:fill="auto"/>
          </w:tcPr>
          <w:p w14:paraId="3FD25561" w14:textId="77777777" w:rsidR="008C5CFA" w:rsidRPr="0024468B" w:rsidRDefault="00E82A60" w:rsidP="00300A01">
            <w:pPr>
              <w:spacing w:before="0" w:after="0"/>
              <w:rPr>
                <w:sz w:val="16"/>
                <w:szCs w:val="16"/>
                <w:lang w:val="fr-BE"/>
              </w:rPr>
            </w:pPr>
            <w:r>
              <w:rPr>
                <w:noProof/>
                <w:sz w:val="16"/>
                <w:szCs w:val="16"/>
                <w:lang w:val="fr-BE"/>
              </w:rPr>
              <w:t>Liczba usług publicznych udostępnionych on-line o stopniu dojrzałości 3 dwustronna interakcja</w:t>
            </w:r>
          </w:p>
        </w:tc>
        <w:tc>
          <w:tcPr>
            <w:tcW w:w="0" w:type="auto"/>
            <w:shd w:val="clear" w:color="auto" w:fill="auto"/>
          </w:tcPr>
          <w:p w14:paraId="0322316D" w14:textId="77777777" w:rsidR="008C5CFA" w:rsidRPr="0024468B" w:rsidRDefault="00E82A60" w:rsidP="00300A01">
            <w:pPr>
              <w:spacing w:before="0" w:after="0"/>
              <w:rPr>
                <w:sz w:val="16"/>
                <w:szCs w:val="16"/>
                <w:lang w:val="fr-BE"/>
              </w:rPr>
            </w:pPr>
            <w:r w:rsidRPr="0024468B">
              <w:rPr>
                <w:noProof/>
                <w:sz w:val="16"/>
                <w:szCs w:val="16"/>
                <w:lang w:val="fr-BE"/>
              </w:rPr>
              <w:t>szt.</w:t>
            </w:r>
          </w:p>
        </w:tc>
        <w:tc>
          <w:tcPr>
            <w:tcW w:w="0" w:type="auto"/>
            <w:shd w:val="clear" w:color="auto" w:fill="auto"/>
          </w:tcPr>
          <w:p w14:paraId="51CEC524" w14:textId="77777777" w:rsidR="008C5CFA" w:rsidRPr="0024468B" w:rsidRDefault="00E82A60"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14:paraId="046DC5CF" w14:textId="77777777" w:rsidR="008C5CFA" w:rsidRPr="0024468B" w:rsidRDefault="00E82A60" w:rsidP="00300A01">
            <w:pPr>
              <w:spacing w:before="0" w:after="0"/>
              <w:jc w:val="right"/>
              <w:rPr>
                <w:sz w:val="16"/>
                <w:szCs w:val="16"/>
                <w:lang w:val="fr-BE"/>
              </w:rPr>
            </w:pPr>
            <w:r>
              <w:rPr>
                <w:noProof/>
                <w:sz w:val="16"/>
                <w:szCs w:val="16"/>
                <w:lang w:val="fr-BE"/>
              </w:rPr>
              <w:t>100,00</w:t>
            </w:r>
          </w:p>
        </w:tc>
        <w:tc>
          <w:tcPr>
            <w:tcW w:w="0" w:type="auto"/>
            <w:shd w:val="clear" w:color="auto" w:fill="auto"/>
          </w:tcPr>
          <w:p w14:paraId="024A4482" w14:textId="77777777" w:rsidR="008C5CFA" w:rsidRPr="0024468B" w:rsidRDefault="008C5CFA" w:rsidP="00300A01">
            <w:pPr>
              <w:spacing w:before="0" w:after="0"/>
              <w:jc w:val="right"/>
              <w:rPr>
                <w:sz w:val="16"/>
                <w:szCs w:val="16"/>
                <w:lang w:val="fr-BE"/>
              </w:rPr>
            </w:pPr>
          </w:p>
        </w:tc>
        <w:tc>
          <w:tcPr>
            <w:tcW w:w="0" w:type="auto"/>
          </w:tcPr>
          <w:p w14:paraId="7632EC71" w14:textId="77777777" w:rsidR="008C5CFA" w:rsidRPr="0024468B" w:rsidRDefault="008C5CFA" w:rsidP="00300A01">
            <w:pPr>
              <w:spacing w:before="0" w:after="0"/>
              <w:jc w:val="right"/>
              <w:rPr>
                <w:sz w:val="16"/>
                <w:szCs w:val="16"/>
                <w:lang w:val="fr-BE"/>
              </w:rPr>
            </w:pPr>
          </w:p>
        </w:tc>
        <w:tc>
          <w:tcPr>
            <w:tcW w:w="0" w:type="auto"/>
            <w:shd w:val="clear" w:color="auto" w:fill="auto"/>
          </w:tcPr>
          <w:p w14:paraId="1AA59441" w14:textId="77777777" w:rsidR="008C5CFA" w:rsidRPr="0024468B" w:rsidRDefault="00E82A60" w:rsidP="00300A01">
            <w:pPr>
              <w:spacing w:before="0" w:after="0"/>
              <w:jc w:val="right"/>
              <w:rPr>
                <w:sz w:val="16"/>
                <w:szCs w:val="16"/>
                <w:lang w:val="fr-BE"/>
              </w:rPr>
            </w:pPr>
            <w:r w:rsidRPr="0024468B">
              <w:rPr>
                <w:noProof/>
                <w:sz w:val="16"/>
                <w:szCs w:val="16"/>
                <w:lang w:val="fr-BE"/>
              </w:rPr>
              <w:t>261,00</w:t>
            </w:r>
          </w:p>
        </w:tc>
        <w:tc>
          <w:tcPr>
            <w:tcW w:w="0" w:type="auto"/>
            <w:shd w:val="clear" w:color="auto" w:fill="auto"/>
          </w:tcPr>
          <w:p w14:paraId="5D354D11"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60DA5BA4"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33FA93F2" w14:textId="77777777" w:rsidR="008C5CFA" w:rsidRPr="0024468B" w:rsidRDefault="00E82A60" w:rsidP="00300A01">
            <w:pPr>
              <w:spacing w:before="0" w:after="0"/>
              <w:rPr>
                <w:sz w:val="16"/>
                <w:szCs w:val="16"/>
                <w:lang w:val="fr-BE"/>
              </w:rPr>
            </w:pPr>
            <w:r w:rsidRPr="0024468B">
              <w:rPr>
                <w:sz w:val="16"/>
                <w:szCs w:val="16"/>
                <w:lang w:val="fr-BE"/>
              </w:rPr>
              <w:t xml:space="preserve">Pierwotną wartość wskaźnika oszacowano na podstawie danych z poprzedniego okresu programowania. Szeroka dostępność technologii informatycznych oraz efekty działań edukacyjnych w tym obszarze, spowodowały znaczny wzrost popytu na e-usługi. Podmioty publiczne chcąc sprostać oczekiwaniom obywateli, zmuszone zostały do istotnego rozszerzenia katalogu udostępnianych przez siebie e-usług, tak aby dzięki nim możliwe było nie tylko wysłanie informacji do </w:t>
            </w:r>
            <w:r>
              <w:t>"</w:t>
            </w:r>
            <w:r w:rsidRPr="0024468B">
              <w:rPr>
                <w:sz w:val="16"/>
                <w:szCs w:val="16"/>
                <w:lang w:val="fr-BE"/>
              </w:rPr>
              <w:t>urzędu</w:t>
            </w:r>
            <w:r>
              <w:t>"</w:t>
            </w:r>
            <w:r w:rsidRPr="0024468B">
              <w:rPr>
                <w:sz w:val="16"/>
                <w:szCs w:val="16"/>
                <w:lang w:val="fr-BE"/>
              </w:rPr>
              <w:t xml:space="preserve">, ale realizacja całego procesu </w:t>
            </w:r>
            <w:r>
              <w:t>"</w:t>
            </w:r>
            <w:r w:rsidRPr="0024468B">
              <w:rPr>
                <w:sz w:val="16"/>
                <w:szCs w:val="16"/>
                <w:lang w:val="fr-BE"/>
              </w:rPr>
              <w:t>od zainicjowania sprawy, aż do uzyskania rezultatu finalnego</w:t>
            </w:r>
            <w:r>
              <w:t>"</w:t>
            </w:r>
            <w:r w:rsidRPr="0024468B">
              <w:rPr>
                <w:sz w:val="16"/>
                <w:szCs w:val="16"/>
                <w:lang w:val="fr-BE"/>
              </w:rPr>
              <w:t>. Powyżej opisana sytuacja, spowodowała duże zwiększenie liczby usług o stopniu dojrzałości co najmniej 3 co przesądziło o urealnieniu wartości docelowej wskaźnika do poziomu 200 usług publicznych.</w:t>
            </w:r>
          </w:p>
        </w:tc>
      </w:tr>
      <w:tr w:rsidR="006B2EC1" w14:paraId="2B02B9A4" w14:textId="77777777" w:rsidTr="0047688D">
        <w:tc>
          <w:tcPr>
            <w:tcW w:w="0" w:type="auto"/>
          </w:tcPr>
          <w:p w14:paraId="408E1D8E" w14:textId="77777777" w:rsidR="008C5CFA" w:rsidRPr="0024468B" w:rsidRDefault="00E82A60" w:rsidP="00300A01">
            <w:pPr>
              <w:spacing w:before="0" w:after="0"/>
              <w:rPr>
                <w:sz w:val="16"/>
                <w:szCs w:val="16"/>
                <w:lang w:val="fr-BE"/>
              </w:rPr>
            </w:pPr>
            <w:r>
              <w:rPr>
                <w:noProof/>
                <w:sz w:val="16"/>
                <w:szCs w:val="16"/>
                <w:lang w:val="fr-BE"/>
              </w:rPr>
              <w:t>F</w:t>
            </w:r>
          </w:p>
        </w:tc>
        <w:tc>
          <w:tcPr>
            <w:tcW w:w="0" w:type="auto"/>
            <w:shd w:val="clear" w:color="auto" w:fill="auto"/>
          </w:tcPr>
          <w:p w14:paraId="2710A15C" w14:textId="77777777" w:rsidR="008C5CFA" w:rsidRPr="0024468B" w:rsidRDefault="00E82A60" w:rsidP="00300A01">
            <w:pPr>
              <w:spacing w:before="0" w:after="0"/>
              <w:rPr>
                <w:sz w:val="16"/>
                <w:szCs w:val="16"/>
                <w:lang w:val="fr-BE"/>
              </w:rPr>
            </w:pPr>
            <w:r>
              <w:rPr>
                <w:noProof/>
                <w:sz w:val="16"/>
                <w:szCs w:val="16"/>
                <w:lang w:val="fr-BE"/>
              </w:rPr>
              <w:t>043</w:t>
            </w:r>
          </w:p>
        </w:tc>
        <w:tc>
          <w:tcPr>
            <w:tcW w:w="0" w:type="auto"/>
            <w:shd w:val="clear" w:color="auto" w:fill="auto"/>
          </w:tcPr>
          <w:p w14:paraId="440B18EB" w14:textId="77777777" w:rsidR="008C5CFA" w:rsidRPr="0024468B" w:rsidRDefault="00E82A60" w:rsidP="00300A01">
            <w:pPr>
              <w:spacing w:before="0" w:after="0"/>
              <w:rPr>
                <w:sz w:val="16"/>
                <w:szCs w:val="16"/>
                <w:lang w:val="fr-BE"/>
              </w:rPr>
            </w:pPr>
            <w:r>
              <w:rPr>
                <w:noProof/>
                <w:sz w:val="16"/>
                <w:szCs w:val="16"/>
                <w:lang w:val="fr-BE"/>
              </w:rPr>
              <w:t>Liczba podmiotów, które udostępniły on-line informacje sektora publicznego</w:t>
            </w:r>
          </w:p>
        </w:tc>
        <w:tc>
          <w:tcPr>
            <w:tcW w:w="0" w:type="auto"/>
            <w:shd w:val="clear" w:color="auto" w:fill="auto"/>
          </w:tcPr>
          <w:p w14:paraId="78C7C8AF" w14:textId="77777777" w:rsidR="008C5CFA" w:rsidRPr="0024468B" w:rsidRDefault="00E82A60" w:rsidP="00300A01">
            <w:pPr>
              <w:spacing w:before="0" w:after="0"/>
              <w:rPr>
                <w:sz w:val="16"/>
                <w:szCs w:val="16"/>
                <w:lang w:val="fr-BE"/>
              </w:rPr>
            </w:pPr>
            <w:r w:rsidRPr="0024468B">
              <w:rPr>
                <w:noProof/>
                <w:sz w:val="16"/>
                <w:szCs w:val="16"/>
                <w:lang w:val="fr-BE"/>
              </w:rPr>
              <w:t>szt.</w:t>
            </w:r>
          </w:p>
        </w:tc>
        <w:tc>
          <w:tcPr>
            <w:tcW w:w="0" w:type="auto"/>
            <w:shd w:val="clear" w:color="auto" w:fill="auto"/>
          </w:tcPr>
          <w:p w14:paraId="236ACF32" w14:textId="77777777" w:rsidR="008C5CFA" w:rsidRPr="0024468B" w:rsidRDefault="00E82A60"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14:paraId="539B811D" w14:textId="77777777" w:rsidR="008C5CFA" w:rsidRPr="0024468B" w:rsidRDefault="00E82A60" w:rsidP="00300A01">
            <w:pPr>
              <w:spacing w:before="0" w:after="0"/>
              <w:jc w:val="right"/>
              <w:rPr>
                <w:sz w:val="16"/>
                <w:szCs w:val="16"/>
                <w:lang w:val="fr-BE"/>
              </w:rPr>
            </w:pPr>
            <w:r>
              <w:rPr>
                <w:noProof/>
                <w:sz w:val="16"/>
                <w:szCs w:val="16"/>
                <w:lang w:val="fr-BE"/>
              </w:rPr>
              <w:t>13,00</w:t>
            </w:r>
          </w:p>
        </w:tc>
        <w:tc>
          <w:tcPr>
            <w:tcW w:w="0" w:type="auto"/>
            <w:shd w:val="clear" w:color="auto" w:fill="auto"/>
          </w:tcPr>
          <w:p w14:paraId="0FB5081C" w14:textId="77777777" w:rsidR="008C5CFA" w:rsidRPr="0024468B" w:rsidRDefault="008C5CFA" w:rsidP="00300A01">
            <w:pPr>
              <w:spacing w:before="0" w:after="0"/>
              <w:jc w:val="right"/>
              <w:rPr>
                <w:sz w:val="16"/>
                <w:szCs w:val="16"/>
                <w:lang w:val="fr-BE"/>
              </w:rPr>
            </w:pPr>
          </w:p>
        </w:tc>
        <w:tc>
          <w:tcPr>
            <w:tcW w:w="0" w:type="auto"/>
          </w:tcPr>
          <w:p w14:paraId="2F04D418" w14:textId="77777777" w:rsidR="008C5CFA" w:rsidRPr="0024468B" w:rsidRDefault="008C5CFA" w:rsidP="00300A01">
            <w:pPr>
              <w:spacing w:before="0" w:after="0"/>
              <w:jc w:val="right"/>
              <w:rPr>
                <w:sz w:val="16"/>
                <w:szCs w:val="16"/>
                <w:lang w:val="fr-BE"/>
              </w:rPr>
            </w:pPr>
          </w:p>
        </w:tc>
        <w:tc>
          <w:tcPr>
            <w:tcW w:w="0" w:type="auto"/>
            <w:shd w:val="clear" w:color="auto" w:fill="auto"/>
          </w:tcPr>
          <w:p w14:paraId="67495FDA" w14:textId="77777777" w:rsidR="008C5CFA" w:rsidRPr="0024468B" w:rsidRDefault="00E82A60" w:rsidP="00300A01">
            <w:pPr>
              <w:spacing w:before="0" w:after="0"/>
              <w:jc w:val="right"/>
              <w:rPr>
                <w:sz w:val="16"/>
                <w:szCs w:val="16"/>
                <w:lang w:val="fr-BE"/>
              </w:rPr>
            </w:pPr>
            <w:r w:rsidRPr="0024468B">
              <w:rPr>
                <w:noProof/>
                <w:sz w:val="16"/>
                <w:szCs w:val="16"/>
                <w:lang w:val="fr-BE"/>
              </w:rPr>
              <w:t>30,00</w:t>
            </w:r>
          </w:p>
        </w:tc>
        <w:tc>
          <w:tcPr>
            <w:tcW w:w="0" w:type="auto"/>
            <w:shd w:val="clear" w:color="auto" w:fill="auto"/>
          </w:tcPr>
          <w:p w14:paraId="04EF24D0"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6563E147"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43C656F4" w14:textId="77777777" w:rsidR="008C5CFA" w:rsidRPr="0024468B" w:rsidRDefault="008C5CFA" w:rsidP="00300A01">
            <w:pPr>
              <w:spacing w:before="0" w:after="0"/>
              <w:rPr>
                <w:sz w:val="16"/>
                <w:szCs w:val="16"/>
                <w:lang w:val="fr-BE"/>
              </w:rPr>
            </w:pPr>
          </w:p>
        </w:tc>
      </w:tr>
      <w:tr w:rsidR="006B2EC1" w14:paraId="2D24F244" w14:textId="77777777" w:rsidTr="0047688D">
        <w:tc>
          <w:tcPr>
            <w:tcW w:w="0" w:type="auto"/>
          </w:tcPr>
          <w:p w14:paraId="22988ABE" w14:textId="77777777" w:rsidR="008C5CFA" w:rsidRPr="0024468B" w:rsidRDefault="00E82A60" w:rsidP="00300A01">
            <w:pPr>
              <w:spacing w:before="0" w:after="0"/>
              <w:rPr>
                <w:sz w:val="16"/>
                <w:szCs w:val="16"/>
                <w:lang w:val="fr-BE"/>
              </w:rPr>
            </w:pPr>
            <w:r>
              <w:rPr>
                <w:noProof/>
                <w:sz w:val="16"/>
                <w:szCs w:val="16"/>
                <w:lang w:val="fr-BE"/>
              </w:rPr>
              <w:t>S</w:t>
            </w:r>
          </w:p>
        </w:tc>
        <w:tc>
          <w:tcPr>
            <w:tcW w:w="0" w:type="auto"/>
            <w:shd w:val="clear" w:color="auto" w:fill="auto"/>
          </w:tcPr>
          <w:p w14:paraId="510F5D69" w14:textId="77777777" w:rsidR="008C5CFA" w:rsidRPr="0024468B" w:rsidRDefault="00E82A60" w:rsidP="00300A01">
            <w:pPr>
              <w:spacing w:before="0" w:after="0"/>
              <w:rPr>
                <w:sz w:val="16"/>
                <w:szCs w:val="16"/>
                <w:lang w:val="fr-BE"/>
              </w:rPr>
            </w:pPr>
            <w:r>
              <w:rPr>
                <w:noProof/>
                <w:sz w:val="16"/>
                <w:szCs w:val="16"/>
                <w:lang w:val="fr-BE"/>
              </w:rPr>
              <w:t>043</w:t>
            </w:r>
          </w:p>
        </w:tc>
        <w:tc>
          <w:tcPr>
            <w:tcW w:w="0" w:type="auto"/>
            <w:shd w:val="clear" w:color="auto" w:fill="auto"/>
          </w:tcPr>
          <w:p w14:paraId="557F5C6F" w14:textId="77777777" w:rsidR="008C5CFA" w:rsidRPr="0024468B" w:rsidRDefault="00E82A60" w:rsidP="00300A01">
            <w:pPr>
              <w:spacing w:before="0" w:after="0"/>
              <w:rPr>
                <w:sz w:val="16"/>
                <w:szCs w:val="16"/>
                <w:lang w:val="fr-BE"/>
              </w:rPr>
            </w:pPr>
            <w:r>
              <w:rPr>
                <w:noProof/>
                <w:sz w:val="16"/>
                <w:szCs w:val="16"/>
                <w:lang w:val="fr-BE"/>
              </w:rPr>
              <w:t>Liczba podmiotów, które udostępniły on-line informacje sektora publicznego</w:t>
            </w:r>
          </w:p>
        </w:tc>
        <w:tc>
          <w:tcPr>
            <w:tcW w:w="0" w:type="auto"/>
            <w:shd w:val="clear" w:color="auto" w:fill="auto"/>
          </w:tcPr>
          <w:p w14:paraId="1209FF9E" w14:textId="77777777" w:rsidR="008C5CFA" w:rsidRPr="0024468B" w:rsidRDefault="00E82A60" w:rsidP="00300A01">
            <w:pPr>
              <w:spacing w:before="0" w:after="0"/>
              <w:rPr>
                <w:sz w:val="16"/>
                <w:szCs w:val="16"/>
                <w:lang w:val="fr-BE"/>
              </w:rPr>
            </w:pPr>
            <w:r w:rsidRPr="0024468B">
              <w:rPr>
                <w:noProof/>
                <w:sz w:val="16"/>
                <w:szCs w:val="16"/>
                <w:lang w:val="fr-BE"/>
              </w:rPr>
              <w:t>szt.</w:t>
            </w:r>
          </w:p>
        </w:tc>
        <w:tc>
          <w:tcPr>
            <w:tcW w:w="0" w:type="auto"/>
            <w:shd w:val="clear" w:color="auto" w:fill="auto"/>
          </w:tcPr>
          <w:p w14:paraId="24A01C74" w14:textId="77777777" w:rsidR="008C5CFA" w:rsidRPr="0024468B" w:rsidRDefault="00E82A60"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14:paraId="2D704FA1" w14:textId="77777777" w:rsidR="008C5CFA" w:rsidRPr="0024468B" w:rsidRDefault="00E82A60" w:rsidP="00300A01">
            <w:pPr>
              <w:spacing w:before="0" w:after="0"/>
              <w:jc w:val="right"/>
              <w:rPr>
                <w:sz w:val="16"/>
                <w:szCs w:val="16"/>
                <w:lang w:val="fr-BE"/>
              </w:rPr>
            </w:pPr>
            <w:r>
              <w:rPr>
                <w:noProof/>
                <w:sz w:val="16"/>
                <w:szCs w:val="16"/>
                <w:lang w:val="fr-BE"/>
              </w:rPr>
              <w:t>13,00</w:t>
            </w:r>
          </w:p>
        </w:tc>
        <w:tc>
          <w:tcPr>
            <w:tcW w:w="0" w:type="auto"/>
            <w:shd w:val="clear" w:color="auto" w:fill="auto"/>
          </w:tcPr>
          <w:p w14:paraId="48ABA3E3" w14:textId="77777777" w:rsidR="008C5CFA" w:rsidRPr="0024468B" w:rsidRDefault="008C5CFA" w:rsidP="00300A01">
            <w:pPr>
              <w:spacing w:before="0" w:after="0"/>
              <w:jc w:val="right"/>
              <w:rPr>
                <w:sz w:val="16"/>
                <w:szCs w:val="16"/>
                <w:lang w:val="fr-BE"/>
              </w:rPr>
            </w:pPr>
          </w:p>
        </w:tc>
        <w:tc>
          <w:tcPr>
            <w:tcW w:w="0" w:type="auto"/>
          </w:tcPr>
          <w:p w14:paraId="7BBB117B" w14:textId="77777777" w:rsidR="008C5CFA" w:rsidRPr="0024468B" w:rsidRDefault="008C5CFA" w:rsidP="00300A01">
            <w:pPr>
              <w:spacing w:before="0" w:after="0"/>
              <w:jc w:val="right"/>
              <w:rPr>
                <w:sz w:val="16"/>
                <w:szCs w:val="16"/>
                <w:lang w:val="fr-BE"/>
              </w:rPr>
            </w:pPr>
          </w:p>
        </w:tc>
        <w:tc>
          <w:tcPr>
            <w:tcW w:w="0" w:type="auto"/>
            <w:shd w:val="clear" w:color="auto" w:fill="auto"/>
          </w:tcPr>
          <w:p w14:paraId="529A899A" w14:textId="77777777" w:rsidR="008C5CFA" w:rsidRPr="0024468B" w:rsidRDefault="00E82A60" w:rsidP="00300A01">
            <w:pPr>
              <w:spacing w:before="0" w:after="0"/>
              <w:jc w:val="right"/>
              <w:rPr>
                <w:sz w:val="16"/>
                <w:szCs w:val="16"/>
                <w:lang w:val="fr-BE"/>
              </w:rPr>
            </w:pPr>
            <w:r w:rsidRPr="0024468B">
              <w:rPr>
                <w:noProof/>
                <w:sz w:val="16"/>
                <w:szCs w:val="16"/>
                <w:lang w:val="fr-BE"/>
              </w:rPr>
              <w:t>138,00</w:t>
            </w:r>
          </w:p>
        </w:tc>
        <w:tc>
          <w:tcPr>
            <w:tcW w:w="0" w:type="auto"/>
            <w:shd w:val="clear" w:color="auto" w:fill="auto"/>
          </w:tcPr>
          <w:p w14:paraId="0D9DC4C5"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78927BA6"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269E9774" w14:textId="77777777" w:rsidR="008C5CFA" w:rsidRPr="0024468B" w:rsidRDefault="00E82A60" w:rsidP="00300A01">
            <w:pPr>
              <w:spacing w:before="0" w:after="0"/>
              <w:rPr>
                <w:sz w:val="16"/>
                <w:szCs w:val="16"/>
                <w:lang w:val="fr-BE"/>
              </w:rPr>
            </w:pPr>
            <w:r w:rsidRPr="0024468B">
              <w:rPr>
                <w:noProof/>
                <w:sz w:val="16"/>
                <w:szCs w:val="16"/>
                <w:lang w:val="fr-BE"/>
              </w:rPr>
              <w:t>Oszacowanie wartości wskaźnika odbyło się w oparciu o dane ze zgłoszonych kart informacyjnych potencjalnych beneficjentów  na etapie programowania. Dla sektora publicznego było to 13 projektów. IZ ustanawiając kryteria wyboru projektów, postanowiła premiować te projekty, w których wnioskodawcy angażowali partnerów, co przełożyło się na wzrost wartości docelowej wskaźnika. Zostanie on urealniony do poziomu 100 podmiotów.</w:t>
            </w:r>
          </w:p>
        </w:tc>
      </w:tr>
      <w:tr w:rsidR="006B2EC1" w14:paraId="7E8F2A1D" w14:textId="77777777" w:rsidTr="0047688D">
        <w:tc>
          <w:tcPr>
            <w:tcW w:w="0" w:type="auto"/>
          </w:tcPr>
          <w:p w14:paraId="7D6EEC39" w14:textId="77777777" w:rsidR="008C5CFA" w:rsidRPr="0024468B" w:rsidRDefault="00E82A60" w:rsidP="00300A01">
            <w:pPr>
              <w:spacing w:before="0" w:after="0"/>
              <w:rPr>
                <w:sz w:val="16"/>
                <w:szCs w:val="16"/>
                <w:lang w:val="fr-BE"/>
              </w:rPr>
            </w:pPr>
            <w:r>
              <w:rPr>
                <w:noProof/>
                <w:sz w:val="16"/>
                <w:szCs w:val="16"/>
                <w:lang w:val="fr-BE"/>
              </w:rPr>
              <w:t>F</w:t>
            </w:r>
          </w:p>
        </w:tc>
        <w:tc>
          <w:tcPr>
            <w:tcW w:w="0" w:type="auto"/>
            <w:shd w:val="clear" w:color="auto" w:fill="auto"/>
          </w:tcPr>
          <w:p w14:paraId="23693886" w14:textId="77777777" w:rsidR="008C5CFA" w:rsidRPr="0024468B" w:rsidRDefault="00E82A60" w:rsidP="00300A01">
            <w:pPr>
              <w:spacing w:before="0" w:after="0"/>
              <w:rPr>
                <w:sz w:val="16"/>
                <w:szCs w:val="16"/>
                <w:lang w:val="fr-BE"/>
              </w:rPr>
            </w:pPr>
            <w:r>
              <w:rPr>
                <w:noProof/>
                <w:sz w:val="16"/>
                <w:szCs w:val="16"/>
                <w:lang w:val="fr-BE"/>
              </w:rPr>
              <w:t>83</w:t>
            </w:r>
          </w:p>
        </w:tc>
        <w:tc>
          <w:tcPr>
            <w:tcW w:w="0" w:type="auto"/>
            <w:shd w:val="clear" w:color="auto" w:fill="auto"/>
          </w:tcPr>
          <w:p w14:paraId="16AA433A" w14:textId="77777777" w:rsidR="008C5CFA" w:rsidRPr="0024468B" w:rsidRDefault="00E82A60" w:rsidP="00300A01">
            <w:pPr>
              <w:spacing w:before="0" w:after="0"/>
              <w:rPr>
                <w:sz w:val="16"/>
                <w:szCs w:val="16"/>
                <w:lang w:val="fr-BE"/>
              </w:rPr>
            </w:pPr>
            <w:r>
              <w:rPr>
                <w:noProof/>
                <w:sz w:val="16"/>
                <w:szCs w:val="16"/>
                <w:lang w:val="fr-BE"/>
              </w:rPr>
              <w:t>Liczba uruchomionych systemów teleinformatycznych w instytucjach publicznych</w:t>
            </w:r>
          </w:p>
        </w:tc>
        <w:tc>
          <w:tcPr>
            <w:tcW w:w="0" w:type="auto"/>
            <w:shd w:val="clear" w:color="auto" w:fill="auto"/>
          </w:tcPr>
          <w:p w14:paraId="1CE1B3AE" w14:textId="77777777" w:rsidR="008C5CFA" w:rsidRPr="0024468B" w:rsidRDefault="00E82A60" w:rsidP="00300A01">
            <w:pPr>
              <w:spacing w:before="0" w:after="0"/>
              <w:rPr>
                <w:sz w:val="16"/>
                <w:szCs w:val="16"/>
                <w:lang w:val="fr-BE"/>
              </w:rPr>
            </w:pPr>
            <w:r w:rsidRPr="0024468B">
              <w:rPr>
                <w:noProof/>
                <w:sz w:val="16"/>
                <w:szCs w:val="16"/>
                <w:lang w:val="fr-BE"/>
              </w:rPr>
              <w:t>szt.</w:t>
            </w:r>
          </w:p>
        </w:tc>
        <w:tc>
          <w:tcPr>
            <w:tcW w:w="0" w:type="auto"/>
            <w:shd w:val="clear" w:color="auto" w:fill="auto"/>
          </w:tcPr>
          <w:p w14:paraId="19B6E91D" w14:textId="77777777" w:rsidR="008C5CFA" w:rsidRPr="0024468B" w:rsidRDefault="00E82A60"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14:paraId="1919BB47" w14:textId="77777777" w:rsidR="008C5CFA" w:rsidRPr="0024468B" w:rsidRDefault="00E82A60" w:rsidP="00300A01">
            <w:pPr>
              <w:spacing w:before="0" w:after="0"/>
              <w:jc w:val="right"/>
              <w:rPr>
                <w:sz w:val="16"/>
                <w:szCs w:val="16"/>
                <w:lang w:val="fr-BE"/>
              </w:rPr>
            </w:pPr>
            <w:r>
              <w:rPr>
                <w:noProof/>
                <w:sz w:val="16"/>
                <w:szCs w:val="16"/>
                <w:lang w:val="fr-BE"/>
              </w:rPr>
              <w:t>107,00</w:t>
            </w:r>
          </w:p>
        </w:tc>
        <w:tc>
          <w:tcPr>
            <w:tcW w:w="0" w:type="auto"/>
            <w:shd w:val="clear" w:color="auto" w:fill="auto"/>
          </w:tcPr>
          <w:p w14:paraId="0B32600C" w14:textId="77777777" w:rsidR="008C5CFA" w:rsidRPr="0024468B" w:rsidRDefault="008C5CFA" w:rsidP="00300A01">
            <w:pPr>
              <w:spacing w:before="0" w:after="0"/>
              <w:jc w:val="right"/>
              <w:rPr>
                <w:sz w:val="16"/>
                <w:szCs w:val="16"/>
                <w:lang w:val="fr-BE"/>
              </w:rPr>
            </w:pPr>
          </w:p>
        </w:tc>
        <w:tc>
          <w:tcPr>
            <w:tcW w:w="0" w:type="auto"/>
          </w:tcPr>
          <w:p w14:paraId="269B6A41" w14:textId="77777777" w:rsidR="008C5CFA" w:rsidRPr="0024468B" w:rsidRDefault="008C5CFA" w:rsidP="00300A01">
            <w:pPr>
              <w:spacing w:before="0" w:after="0"/>
              <w:jc w:val="right"/>
              <w:rPr>
                <w:sz w:val="16"/>
                <w:szCs w:val="16"/>
                <w:lang w:val="fr-BE"/>
              </w:rPr>
            </w:pPr>
          </w:p>
        </w:tc>
        <w:tc>
          <w:tcPr>
            <w:tcW w:w="0" w:type="auto"/>
            <w:shd w:val="clear" w:color="auto" w:fill="auto"/>
          </w:tcPr>
          <w:p w14:paraId="3347F470" w14:textId="77777777" w:rsidR="008C5CFA" w:rsidRPr="0024468B" w:rsidRDefault="00E82A60" w:rsidP="00300A01">
            <w:pPr>
              <w:spacing w:before="0" w:after="0"/>
              <w:jc w:val="right"/>
              <w:rPr>
                <w:sz w:val="16"/>
                <w:szCs w:val="16"/>
                <w:lang w:val="fr-BE"/>
              </w:rPr>
            </w:pPr>
            <w:r w:rsidRPr="0024468B">
              <w:rPr>
                <w:noProof/>
                <w:sz w:val="16"/>
                <w:szCs w:val="16"/>
                <w:lang w:val="fr-BE"/>
              </w:rPr>
              <w:t>5,00</w:t>
            </w:r>
          </w:p>
        </w:tc>
        <w:tc>
          <w:tcPr>
            <w:tcW w:w="0" w:type="auto"/>
            <w:shd w:val="clear" w:color="auto" w:fill="auto"/>
          </w:tcPr>
          <w:p w14:paraId="6A7948B2"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49E6D6F7"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37D196B3" w14:textId="77777777" w:rsidR="008C5CFA" w:rsidRPr="0024468B" w:rsidRDefault="008C5CFA" w:rsidP="00300A01">
            <w:pPr>
              <w:spacing w:before="0" w:after="0"/>
              <w:rPr>
                <w:sz w:val="16"/>
                <w:szCs w:val="16"/>
                <w:lang w:val="fr-BE"/>
              </w:rPr>
            </w:pPr>
          </w:p>
        </w:tc>
      </w:tr>
      <w:tr w:rsidR="006B2EC1" w14:paraId="719ECA75" w14:textId="77777777" w:rsidTr="0047688D">
        <w:tc>
          <w:tcPr>
            <w:tcW w:w="0" w:type="auto"/>
          </w:tcPr>
          <w:p w14:paraId="554F999D" w14:textId="77777777" w:rsidR="008C5CFA" w:rsidRPr="0024468B" w:rsidRDefault="00E82A60" w:rsidP="00300A01">
            <w:pPr>
              <w:spacing w:before="0" w:after="0"/>
              <w:rPr>
                <w:sz w:val="16"/>
                <w:szCs w:val="16"/>
                <w:lang w:val="fr-BE"/>
              </w:rPr>
            </w:pPr>
            <w:r>
              <w:rPr>
                <w:noProof/>
                <w:sz w:val="16"/>
                <w:szCs w:val="16"/>
                <w:lang w:val="fr-BE"/>
              </w:rPr>
              <w:t>S</w:t>
            </w:r>
          </w:p>
        </w:tc>
        <w:tc>
          <w:tcPr>
            <w:tcW w:w="0" w:type="auto"/>
            <w:shd w:val="clear" w:color="auto" w:fill="auto"/>
          </w:tcPr>
          <w:p w14:paraId="69C4F845" w14:textId="77777777" w:rsidR="008C5CFA" w:rsidRPr="0024468B" w:rsidRDefault="00E82A60" w:rsidP="00300A01">
            <w:pPr>
              <w:spacing w:before="0" w:after="0"/>
              <w:rPr>
                <w:sz w:val="16"/>
                <w:szCs w:val="16"/>
                <w:lang w:val="fr-BE"/>
              </w:rPr>
            </w:pPr>
            <w:r>
              <w:rPr>
                <w:noProof/>
                <w:sz w:val="16"/>
                <w:szCs w:val="16"/>
                <w:lang w:val="fr-BE"/>
              </w:rPr>
              <w:t>83</w:t>
            </w:r>
          </w:p>
        </w:tc>
        <w:tc>
          <w:tcPr>
            <w:tcW w:w="0" w:type="auto"/>
            <w:shd w:val="clear" w:color="auto" w:fill="auto"/>
          </w:tcPr>
          <w:p w14:paraId="44755FE9" w14:textId="77777777" w:rsidR="008C5CFA" w:rsidRPr="0024468B" w:rsidRDefault="00E82A60" w:rsidP="00300A01">
            <w:pPr>
              <w:spacing w:before="0" w:after="0"/>
              <w:rPr>
                <w:sz w:val="16"/>
                <w:szCs w:val="16"/>
                <w:lang w:val="fr-BE"/>
              </w:rPr>
            </w:pPr>
            <w:r>
              <w:rPr>
                <w:noProof/>
                <w:sz w:val="16"/>
                <w:szCs w:val="16"/>
                <w:lang w:val="fr-BE"/>
              </w:rPr>
              <w:t>Liczba uruchomionych systemów teleinformatycznych w instytucjach publicznych</w:t>
            </w:r>
          </w:p>
        </w:tc>
        <w:tc>
          <w:tcPr>
            <w:tcW w:w="0" w:type="auto"/>
            <w:shd w:val="clear" w:color="auto" w:fill="auto"/>
          </w:tcPr>
          <w:p w14:paraId="65ED3640" w14:textId="77777777" w:rsidR="008C5CFA" w:rsidRPr="0024468B" w:rsidRDefault="00E82A60" w:rsidP="00300A01">
            <w:pPr>
              <w:spacing w:before="0" w:after="0"/>
              <w:rPr>
                <w:sz w:val="16"/>
                <w:szCs w:val="16"/>
                <w:lang w:val="fr-BE"/>
              </w:rPr>
            </w:pPr>
            <w:r w:rsidRPr="0024468B">
              <w:rPr>
                <w:noProof/>
                <w:sz w:val="16"/>
                <w:szCs w:val="16"/>
                <w:lang w:val="fr-BE"/>
              </w:rPr>
              <w:t>szt.</w:t>
            </w:r>
          </w:p>
        </w:tc>
        <w:tc>
          <w:tcPr>
            <w:tcW w:w="0" w:type="auto"/>
            <w:shd w:val="clear" w:color="auto" w:fill="auto"/>
          </w:tcPr>
          <w:p w14:paraId="58470F76" w14:textId="77777777" w:rsidR="008C5CFA" w:rsidRPr="0024468B" w:rsidRDefault="00E82A60"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14:paraId="39291662" w14:textId="77777777" w:rsidR="008C5CFA" w:rsidRPr="0024468B" w:rsidRDefault="00E82A60" w:rsidP="00300A01">
            <w:pPr>
              <w:spacing w:before="0" w:after="0"/>
              <w:jc w:val="right"/>
              <w:rPr>
                <w:sz w:val="16"/>
                <w:szCs w:val="16"/>
                <w:lang w:val="fr-BE"/>
              </w:rPr>
            </w:pPr>
            <w:r>
              <w:rPr>
                <w:noProof/>
                <w:sz w:val="16"/>
                <w:szCs w:val="16"/>
                <w:lang w:val="fr-BE"/>
              </w:rPr>
              <w:t>107,00</w:t>
            </w:r>
          </w:p>
        </w:tc>
        <w:tc>
          <w:tcPr>
            <w:tcW w:w="0" w:type="auto"/>
            <w:shd w:val="clear" w:color="auto" w:fill="auto"/>
          </w:tcPr>
          <w:p w14:paraId="784C7262" w14:textId="77777777" w:rsidR="008C5CFA" w:rsidRPr="0024468B" w:rsidRDefault="008C5CFA" w:rsidP="00300A01">
            <w:pPr>
              <w:spacing w:before="0" w:after="0"/>
              <w:jc w:val="right"/>
              <w:rPr>
                <w:sz w:val="16"/>
                <w:szCs w:val="16"/>
                <w:lang w:val="fr-BE"/>
              </w:rPr>
            </w:pPr>
          </w:p>
        </w:tc>
        <w:tc>
          <w:tcPr>
            <w:tcW w:w="0" w:type="auto"/>
          </w:tcPr>
          <w:p w14:paraId="27CD1011" w14:textId="77777777" w:rsidR="008C5CFA" w:rsidRPr="0024468B" w:rsidRDefault="008C5CFA" w:rsidP="00300A01">
            <w:pPr>
              <w:spacing w:before="0" w:after="0"/>
              <w:jc w:val="right"/>
              <w:rPr>
                <w:sz w:val="16"/>
                <w:szCs w:val="16"/>
                <w:lang w:val="fr-BE"/>
              </w:rPr>
            </w:pPr>
          </w:p>
        </w:tc>
        <w:tc>
          <w:tcPr>
            <w:tcW w:w="0" w:type="auto"/>
            <w:shd w:val="clear" w:color="auto" w:fill="auto"/>
          </w:tcPr>
          <w:p w14:paraId="00EE1666" w14:textId="77777777" w:rsidR="008C5CFA" w:rsidRPr="0024468B" w:rsidRDefault="00E82A60" w:rsidP="00300A01">
            <w:pPr>
              <w:spacing w:before="0" w:after="0"/>
              <w:jc w:val="right"/>
              <w:rPr>
                <w:sz w:val="16"/>
                <w:szCs w:val="16"/>
                <w:lang w:val="fr-BE"/>
              </w:rPr>
            </w:pPr>
            <w:r w:rsidRPr="0024468B">
              <w:rPr>
                <w:noProof/>
                <w:sz w:val="16"/>
                <w:szCs w:val="16"/>
                <w:lang w:val="fr-BE"/>
              </w:rPr>
              <w:t>100,00</w:t>
            </w:r>
          </w:p>
        </w:tc>
        <w:tc>
          <w:tcPr>
            <w:tcW w:w="0" w:type="auto"/>
            <w:shd w:val="clear" w:color="auto" w:fill="auto"/>
          </w:tcPr>
          <w:p w14:paraId="48DDFFB3"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07A75C29"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3A873F93" w14:textId="77777777" w:rsidR="008C5CFA" w:rsidRPr="0024468B" w:rsidRDefault="008C5CFA" w:rsidP="00300A01">
            <w:pPr>
              <w:spacing w:before="0" w:after="0"/>
              <w:rPr>
                <w:sz w:val="16"/>
                <w:szCs w:val="16"/>
                <w:lang w:val="fr-BE"/>
              </w:rPr>
            </w:pPr>
          </w:p>
        </w:tc>
      </w:tr>
    </w:tbl>
    <w:p w14:paraId="73C9E575" w14:textId="77777777" w:rsidR="008C5CFA" w:rsidRDefault="00E82A60" w:rsidP="00300A01">
      <w:pPr>
        <w:spacing w:before="0" w:after="0"/>
        <w:rPr>
          <w:lang w:val="fr-BE"/>
        </w:rPr>
      </w:pPr>
      <w:r>
        <w:rPr>
          <w:noProof/>
          <w:lang w:val="fr-BE"/>
        </w:rPr>
        <w:t>1) S=wartość skumulowana – produkty, które mają być zrealizowane poprzez wybrane operacje [prognoza przedstawiona przez beneficjentów], F=wartość skumulowana – produkty zrealizowane poprzez operacje [rzeczywiste wykonanie]</w:t>
      </w:r>
    </w:p>
    <w:p w14:paraId="2374BC8E"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02"/>
        <w:gridCol w:w="355"/>
        <w:gridCol w:w="5428"/>
        <w:gridCol w:w="946"/>
        <w:gridCol w:w="1132"/>
        <w:gridCol w:w="955"/>
        <w:gridCol w:w="946"/>
        <w:gridCol w:w="1132"/>
        <w:gridCol w:w="955"/>
        <w:gridCol w:w="946"/>
        <w:gridCol w:w="1132"/>
        <w:gridCol w:w="955"/>
      </w:tblGrid>
      <w:tr w:rsidR="006B2EC1" w14:paraId="6F7E5EE9" w14:textId="77777777" w:rsidTr="0047688D">
        <w:trPr>
          <w:tblHeader/>
        </w:trPr>
        <w:tc>
          <w:tcPr>
            <w:tcW w:w="0" w:type="auto"/>
          </w:tcPr>
          <w:p w14:paraId="50726196" w14:textId="77777777" w:rsidR="008C5CFA" w:rsidRPr="009143B4" w:rsidRDefault="00E82A60" w:rsidP="00300A01">
            <w:pPr>
              <w:spacing w:before="0" w:after="0"/>
              <w:rPr>
                <w:b/>
                <w:sz w:val="16"/>
                <w:szCs w:val="16"/>
                <w:lang w:val="fr-BE"/>
              </w:rPr>
            </w:pPr>
            <w:r w:rsidRPr="009143B4">
              <w:rPr>
                <w:b/>
                <w:sz w:val="16"/>
                <w:szCs w:val="16"/>
                <w:lang w:val="fr-BE"/>
              </w:rPr>
              <w:lastRenderedPageBreak/>
              <w:t>(1)</w:t>
            </w:r>
          </w:p>
        </w:tc>
        <w:tc>
          <w:tcPr>
            <w:tcW w:w="0" w:type="auto"/>
            <w:shd w:val="clear" w:color="auto" w:fill="auto"/>
          </w:tcPr>
          <w:p w14:paraId="4F1694B4" w14:textId="77777777" w:rsidR="008C5CFA" w:rsidRPr="009143B4" w:rsidRDefault="00E82A60" w:rsidP="00300A01">
            <w:pPr>
              <w:spacing w:before="0" w:after="0"/>
              <w:rPr>
                <w:b/>
                <w:sz w:val="16"/>
                <w:szCs w:val="16"/>
                <w:lang w:val="fr-BE"/>
              </w:rPr>
            </w:pPr>
            <w:r w:rsidRPr="009143B4">
              <w:rPr>
                <w:b/>
                <w:noProof/>
                <w:sz w:val="16"/>
                <w:szCs w:val="16"/>
                <w:lang w:val="fr-BE"/>
              </w:rPr>
              <w:t>ID</w:t>
            </w:r>
          </w:p>
        </w:tc>
        <w:tc>
          <w:tcPr>
            <w:tcW w:w="0" w:type="auto"/>
            <w:shd w:val="clear" w:color="auto" w:fill="auto"/>
          </w:tcPr>
          <w:p w14:paraId="305395BB" w14:textId="77777777" w:rsidR="008C5CFA" w:rsidRPr="009143B4" w:rsidRDefault="00E82A60" w:rsidP="00300A01">
            <w:pPr>
              <w:spacing w:before="0" w:after="0"/>
              <w:rPr>
                <w:b/>
                <w:sz w:val="16"/>
                <w:szCs w:val="16"/>
                <w:lang w:val="fr-BE"/>
              </w:rPr>
            </w:pPr>
            <w:r w:rsidRPr="009143B4">
              <w:rPr>
                <w:b/>
                <w:noProof/>
                <w:sz w:val="16"/>
                <w:szCs w:val="16"/>
                <w:lang w:val="fr-BE"/>
              </w:rPr>
              <w:t>Wskaźnik</w:t>
            </w:r>
          </w:p>
        </w:tc>
        <w:tc>
          <w:tcPr>
            <w:tcW w:w="0" w:type="auto"/>
          </w:tcPr>
          <w:p w14:paraId="11A406B2" w14:textId="77777777" w:rsidR="008C5CFA" w:rsidRPr="009143B4" w:rsidRDefault="00E82A60" w:rsidP="00300A01">
            <w:pPr>
              <w:spacing w:before="0" w:after="0"/>
              <w:jc w:val="center"/>
              <w:rPr>
                <w:b/>
                <w:sz w:val="16"/>
                <w:szCs w:val="16"/>
                <w:lang w:val="fr-BE"/>
              </w:rPr>
            </w:pPr>
            <w:r>
              <w:rPr>
                <w:b/>
                <w:sz w:val="16"/>
                <w:szCs w:val="16"/>
                <w:lang w:val="fr-BE"/>
              </w:rPr>
              <w:t xml:space="preserve">2018 </w:t>
            </w:r>
            <w:r w:rsidRPr="009143B4">
              <w:rPr>
                <w:b/>
                <w:noProof/>
                <w:sz w:val="16"/>
                <w:szCs w:val="16"/>
                <w:lang w:val="fr-BE"/>
              </w:rPr>
              <w:t>Ogółem</w:t>
            </w:r>
          </w:p>
        </w:tc>
        <w:tc>
          <w:tcPr>
            <w:tcW w:w="0" w:type="auto"/>
          </w:tcPr>
          <w:p w14:paraId="5CA19362" w14:textId="77777777" w:rsidR="008C5CFA" w:rsidRPr="009143B4" w:rsidRDefault="00E82A60" w:rsidP="00300A01">
            <w:pPr>
              <w:spacing w:before="0" w:after="0"/>
              <w:jc w:val="center"/>
              <w:rPr>
                <w:b/>
                <w:sz w:val="16"/>
                <w:szCs w:val="16"/>
                <w:lang w:val="fr-BE"/>
              </w:rPr>
            </w:pPr>
            <w:r>
              <w:rPr>
                <w:b/>
                <w:sz w:val="16"/>
                <w:szCs w:val="16"/>
                <w:lang w:val="fr-BE"/>
              </w:rPr>
              <w:t xml:space="preserve">2018 </w:t>
            </w:r>
            <w:r w:rsidRPr="009143B4">
              <w:rPr>
                <w:b/>
                <w:noProof/>
                <w:sz w:val="16"/>
                <w:szCs w:val="16"/>
                <w:lang w:val="fr-BE"/>
              </w:rPr>
              <w:t>Mężczyźni</w:t>
            </w:r>
          </w:p>
        </w:tc>
        <w:tc>
          <w:tcPr>
            <w:tcW w:w="0" w:type="auto"/>
          </w:tcPr>
          <w:p w14:paraId="3DA003B3" w14:textId="77777777" w:rsidR="008C5CFA" w:rsidRPr="009143B4" w:rsidRDefault="00E82A60" w:rsidP="00300A01">
            <w:pPr>
              <w:spacing w:before="0" w:after="0"/>
              <w:jc w:val="center"/>
              <w:rPr>
                <w:b/>
                <w:sz w:val="16"/>
                <w:szCs w:val="16"/>
                <w:lang w:val="fr-BE"/>
              </w:rPr>
            </w:pPr>
            <w:r>
              <w:rPr>
                <w:b/>
                <w:sz w:val="16"/>
                <w:szCs w:val="16"/>
                <w:lang w:val="fr-BE"/>
              </w:rPr>
              <w:t xml:space="preserve">2018 </w:t>
            </w:r>
            <w:r w:rsidRPr="009143B4">
              <w:rPr>
                <w:b/>
                <w:noProof/>
                <w:sz w:val="16"/>
                <w:szCs w:val="16"/>
                <w:lang w:val="fr-BE"/>
              </w:rPr>
              <w:t>Kobiety</w:t>
            </w:r>
          </w:p>
        </w:tc>
        <w:tc>
          <w:tcPr>
            <w:tcW w:w="0" w:type="auto"/>
          </w:tcPr>
          <w:p w14:paraId="3EBAAF7C" w14:textId="77777777" w:rsidR="008C5CFA" w:rsidRPr="009143B4" w:rsidRDefault="00E82A60"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Ogółem</w:t>
            </w:r>
          </w:p>
        </w:tc>
        <w:tc>
          <w:tcPr>
            <w:tcW w:w="0" w:type="auto"/>
          </w:tcPr>
          <w:p w14:paraId="1AEB1080" w14:textId="77777777" w:rsidR="008C5CFA" w:rsidRPr="009143B4" w:rsidRDefault="00E82A60"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Mężczyźni</w:t>
            </w:r>
          </w:p>
        </w:tc>
        <w:tc>
          <w:tcPr>
            <w:tcW w:w="0" w:type="auto"/>
          </w:tcPr>
          <w:p w14:paraId="46E4B9EB" w14:textId="77777777" w:rsidR="008C5CFA" w:rsidRPr="009143B4" w:rsidRDefault="00E82A60"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Kobiety</w:t>
            </w:r>
          </w:p>
        </w:tc>
        <w:tc>
          <w:tcPr>
            <w:tcW w:w="0" w:type="auto"/>
            <w:shd w:val="clear" w:color="auto" w:fill="auto"/>
          </w:tcPr>
          <w:p w14:paraId="4FBD47C8" w14:textId="77777777" w:rsidR="008C5CFA" w:rsidRPr="009143B4" w:rsidRDefault="00E82A60"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Ogółem</w:t>
            </w:r>
          </w:p>
        </w:tc>
        <w:tc>
          <w:tcPr>
            <w:tcW w:w="0" w:type="auto"/>
            <w:shd w:val="clear" w:color="auto" w:fill="auto"/>
          </w:tcPr>
          <w:p w14:paraId="2B77B493" w14:textId="77777777" w:rsidR="008C5CFA" w:rsidRPr="009143B4" w:rsidRDefault="00E82A60"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Mężczyźni</w:t>
            </w:r>
          </w:p>
        </w:tc>
        <w:tc>
          <w:tcPr>
            <w:tcW w:w="0" w:type="auto"/>
            <w:shd w:val="clear" w:color="auto" w:fill="auto"/>
          </w:tcPr>
          <w:p w14:paraId="2A573AFA" w14:textId="77777777" w:rsidR="008C5CFA" w:rsidRPr="009143B4" w:rsidRDefault="00E82A60"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Kobiety</w:t>
            </w:r>
          </w:p>
        </w:tc>
      </w:tr>
      <w:tr w:rsidR="006B2EC1" w14:paraId="2280C7D6" w14:textId="77777777" w:rsidTr="0047688D">
        <w:tc>
          <w:tcPr>
            <w:tcW w:w="0" w:type="auto"/>
          </w:tcPr>
          <w:p w14:paraId="5E0C0588" w14:textId="77777777" w:rsidR="008C5CFA" w:rsidRPr="0024468B" w:rsidRDefault="00E82A60" w:rsidP="00300A01">
            <w:pPr>
              <w:spacing w:before="0" w:after="0"/>
              <w:rPr>
                <w:sz w:val="16"/>
                <w:szCs w:val="16"/>
                <w:lang w:val="fr-BE"/>
              </w:rPr>
            </w:pPr>
            <w:r>
              <w:rPr>
                <w:noProof/>
                <w:sz w:val="16"/>
                <w:szCs w:val="16"/>
                <w:lang w:val="fr-BE"/>
              </w:rPr>
              <w:t>F</w:t>
            </w:r>
          </w:p>
        </w:tc>
        <w:tc>
          <w:tcPr>
            <w:tcW w:w="0" w:type="auto"/>
            <w:shd w:val="clear" w:color="auto" w:fill="auto"/>
          </w:tcPr>
          <w:p w14:paraId="0E3D1A09" w14:textId="77777777" w:rsidR="008C5CFA" w:rsidRPr="0024468B" w:rsidRDefault="00E82A60" w:rsidP="00300A01">
            <w:pPr>
              <w:spacing w:before="0" w:after="0"/>
              <w:rPr>
                <w:sz w:val="16"/>
                <w:szCs w:val="16"/>
                <w:lang w:val="fr-BE"/>
              </w:rPr>
            </w:pPr>
            <w:r>
              <w:rPr>
                <w:noProof/>
                <w:sz w:val="16"/>
                <w:szCs w:val="16"/>
                <w:lang w:val="fr-BE"/>
              </w:rPr>
              <w:t>042</w:t>
            </w:r>
          </w:p>
        </w:tc>
        <w:tc>
          <w:tcPr>
            <w:tcW w:w="0" w:type="auto"/>
            <w:shd w:val="clear" w:color="auto" w:fill="auto"/>
          </w:tcPr>
          <w:p w14:paraId="591C86C3" w14:textId="77777777" w:rsidR="008C5CFA" w:rsidRPr="0024468B" w:rsidRDefault="00E82A60" w:rsidP="00300A01">
            <w:pPr>
              <w:spacing w:before="0" w:after="0"/>
              <w:rPr>
                <w:sz w:val="16"/>
                <w:szCs w:val="16"/>
                <w:lang w:val="fr-BE"/>
              </w:rPr>
            </w:pPr>
            <w:r>
              <w:rPr>
                <w:noProof/>
                <w:sz w:val="16"/>
                <w:szCs w:val="16"/>
                <w:lang w:val="fr-BE"/>
              </w:rPr>
              <w:t>Liczba usług publicznych udostępnionych on-line o stopniu dojrzałości 3 dwustronna interakcja</w:t>
            </w:r>
          </w:p>
        </w:tc>
        <w:tc>
          <w:tcPr>
            <w:tcW w:w="0" w:type="auto"/>
          </w:tcPr>
          <w:p w14:paraId="366AC939"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39B65624"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23137307"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3C30A61D"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316186D2"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057DE96E"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4A70CAD8"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6422AEE9"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219D16CF"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r w:rsidR="006B2EC1" w14:paraId="5B5CDF6E" w14:textId="77777777" w:rsidTr="0047688D">
        <w:tc>
          <w:tcPr>
            <w:tcW w:w="0" w:type="auto"/>
          </w:tcPr>
          <w:p w14:paraId="417F1EE7" w14:textId="77777777" w:rsidR="008C5CFA" w:rsidRPr="0024468B" w:rsidRDefault="00E82A60" w:rsidP="00300A01">
            <w:pPr>
              <w:spacing w:before="0" w:after="0"/>
              <w:rPr>
                <w:sz w:val="16"/>
                <w:szCs w:val="16"/>
                <w:lang w:val="fr-BE"/>
              </w:rPr>
            </w:pPr>
            <w:r>
              <w:rPr>
                <w:noProof/>
                <w:sz w:val="16"/>
                <w:szCs w:val="16"/>
                <w:lang w:val="fr-BE"/>
              </w:rPr>
              <w:t>S</w:t>
            </w:r>
          </w:p>
        </w:tc>
        <w:tc>
          <w:tcPr>
            <w:tcW w:w="0" w:type="auto"/>
            <w:shd w:val="clear" w:color="auto" w:fill="auto"/>
          </w:tcPr>
          <w:p w14:paraId="44D16CAB" w14:textId="77777777" w:rsidR="008C5CFA" w:rsidRPr="0024468B" w:rsidRDefault="00E82A60" w:rsidP="00300A01">
            <w:pPr>
              <w:spacing w:before="0" w:after="0"/>
              <w:rPr>
                <w:sz w:val="16"/>
                <w:szCs w:val="16"/>
                <w:lang w:val="fr-BE"/>
              </w:rPr>
            </w:pPr>
            <w:r>
              <w:rPr>
                <w:noProof/>
                <w:sz w:val="16"/>
                <w:szCs w:val="16"/>
                <w:lang w:val="fr-BE"/>
              </w:rPr>
              <w:t>042</w:t>
            </w:r>
          </w:p>
        </w:tc>
        <w:tc>
          <w:tcPr>
            <w:tcW w:w="0" w:type="auto"/>
            <w:shd w:val="clear" w:color="auto" w:fill="auto"/>
          </w:tcPr>
          <w:p w14:paraId="3142B36A" w14:textId="77777777" w:rsidR="008C5CFA" w:rsidRPr="0024468B" w:rsidRDefault="00E82A60" w:rsidP="00300A01">
            <w:pPr>
              <w:spacing w:before="0" w:after="0"/>
              <w:rPr>
                <w:sz w:val="16"/>
                <w:szCs w:val="16"/>
                <w:lang w:val="fr-BE"/>
              </w:rPr>
            </w:pPr>
            <w:r>
              <w:rPr>
                <w:noProof/>
                <w:sz w:val="16"/>
                <w:szCs w:val="16"/>
                <w:lang w:val="fr-BE"/>
              </w:rPr>
              <w:t>Liczba usług publicznych udostępnionych on-line o stopniu dojrzałości 3 dwustronna interakcja</w:t>
            </w:r>
          </w:p>
        </w:tc>
        <w:tc>
          <w:tcPr>
            <w:tcW w:w="0" w:type="auto"/>
          </w:tcPr>
          <w:p w14:paraId="66E9B46F" w14:textId="77777777" w:rsidR="008C5CFA" w:rsidRPr="0024468B" w:rsidRDefault="00E82A60" w:rsidP="00300A01">
            <w:pPr>
              <w:spacing w:before="0" w:after="0"/>
              <w:jc w:val="right"/>
              <w:rPr>
                <w:sz w:val="16"/>
                <w:szCs w:val="16"/>
                <w:lang w:val="fr-BE"/>
              </w:rPr>
            </w:pPr>
            <w:r w:rsidRPr="0024468B">
              <w:rPr>
                <w:noProof/>
                <w:sz w:val="16"/>
                <w:szCs w:val="16"/>
                <w:lang w:val="fr-BE"/>
              </w:rPr>
              <w:t>249,00</w:t>
            </w:r>
          </w:p>
        </w:tc>
        <w:tc>
          <w:tcPr>
            <w:tcW w:w="0" w:type="auto"/>
          </w:tcPr>
          <w:p w14:paraId="2EBBF8BE"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7C425282"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17643BFE"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7B5E2F00"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673E07E3"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51C17717"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06028F37"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2B3CED00"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r w:rsidR="006B2EC1" w14:paraId="291374FA" w14:textId="77777777" w:rsidTr="0047688D">
        <w:tc>
          <w:tcPr>
            <w:tcW w:w="0" w:type="auto"/>
          </w:tcPr>
          <w:p w14:paraId="14F47547" w14:textId="77777777" w:rsidR="008C5CFA" w:rsidRPr="0024468B" w:rsidRDefault="00E82A60" w:rsidP="00300A01">
            <w:pPr>
              <w:spacing w:before="0" w:after="0"/>
              <w:rPr>
                <w:sz w:val="16"/>
                <w:szCs w:val="16"/>
                <w:lang w:val="fr-BE"/>
              </w:rPr>
            </w:pPr>
            <w:r>
              <w:rPr>
                <w:noProof/>
                <w:sz w:val="16"/>
                <w:szCs w:val="16"/>
                <w:lang w:val="fr-BE"/>
              </w:rPr>
              <w:t>F</w:t>
            </w:r>
          </w:p>
        </w:tc>
        <w:tc>
          <w:tcPr>
            <w:tcW w:w="0" w:type="auto"/>
            <w:shd w:val="clear" w:color="auto" w:fill="auto"/>
          </w:tcPr>
          <w:p w14:paraId="0143D101" w14:textId="77777777" w:rsidR="008C5CFA" w:rsidRPr="0024468B" w:rsidRDefault="00E82A60" w:rsidP="00300A01">
            <w:pPr>
              <w:spacing w:before="0" w:after="0"/>
              <w:rPr>
                <w:sz w:val="16"/>
                <w:szCs w:val="16"/>
                <w:lang w:val="fr-BE"/>
              </w:rPr>
            </w:pPr>
            <w:r>
              <w:rPr>
                <w:noProof/>
                <w:sz w:val="16"/>
                <w:szCs w:val="16"/>
                <w:lang w:val="fr-BE"/>
              </w:rPr>
              <w:t>043</w:t>
            </w:r>
          </w:p>
        </w:tc>
        <w:tc>
          <w:tcPr>
            <w:tcW w:w="0" w:type="auto"/>
            <w:shd w:val="clear" w:color="auto" w:fill="auto"/>
          </w:tcPr>
          <w:p w14:paraId="21B5CD49" w14:textId="77777777" w:rsidR="008C5CFA" w:rsidRPr="0024468B" w:rsidRDefault="00E82A60" w:rsidP="00300A01">
            <w:pPr>
              <w:spacing w:before="0" w:after="0"/>
              <w:rPr>
                <w:sz w:val="16"/>
                <w:szCs w:val="16"/>
                <w:lang w:val="fr-BE"/>
              </w:rPr>
            </w:pPr>
            <w:r>
              <w:rPr>
                <w:noProof/>
                <w:sz w:val="16"/>
                <w:szCs w:val="16"/>
                <w:lang w:val="fr-BE"/>
              </w:rPr>
              <w:t>Liczba podmiotów, które udostępniły on-line informacje sektora publicznego</w:t>
            </w:r>
          </w:p>
        </w:tc>
        <w:tc>
          <w:tcPr>
            <w:tcW w:w="0" w:type="auto"/>
          </w:tcPr>
          <w:p w14:paraId="56912CA8" w14:textId="77777777" w:rsidR="008C5CFA" w:rsidRPr="0024468B" w:rsidRDefault="00E82A60" w:rsidP="00300A01">
            <w:pPr>
              <w:spacing w:before="0" w:after="0"/>
              <w:jc w:val="right"/>
              <w:rPr>
                <w:sz w:val="16"/>
                <w:szCs w:val="16"/>
                <w:lang w:val="fr-BE"/>
              </w:rPr>
            </w:pPr>
            <w:r w:rsidRPr="0024468B">
              <w:rPr>
                <w:noProof/>
                <w:sz w:val="16"/>
                <w:szCs w:val="16"/>
                <w:lang w:val="fr-BE"/>
              </w:rPr>
              <w:t>1,00</w:t>
            </w:r>
          </w:p>
        </w:tc>
        <w:tc>
          <w:tcPr>
            <w:tcW w:w="0" w:type="auto"/>
          </w:tcPr>
          <w:p w14:paraId="1A6B04C9"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16A3436D"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105E6D1D"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118CB413"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5DE4FBC4"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349B7741"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4B3AC56A"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28B45451"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r w:rsidR="006B2EC1" w14:paraId="763FDF92" w14:textId="77777777" w:rsidTr="0047688D">
        <w:tc>
          <w:tcPr>
            <w:tcW w:w="0" w:type="auto"/>
          </w:tcPr>
          <w:p w14:paraId="6A7B7495" w14:textId="77777777" w:rsidR="008C5CFA" w:rsidRPr="0024468B" w:rsidRDefault="00E82A60" w:rsidP="00300A01">
            <w:pPr>
              <w:spacing w:before="0" w:after="0"/>
              <w:rPr>
                <w:sz w:val="16"/>
                <w:szCs w:val="16"/>
                <w:lang w:val="fr-BE"/>
              </w:rPr>
            </w:pPr>
            <w:r>
              <w:rPr>
                <w:noProof/>
                <w:sz w:val="16"/>
                <w:szCs w:val="16"/>
                <w:lang w:val="fr-BE"/>
              </w:rPr>
              <w:t>S</w:t>
            </w:r>
          </w:p>
        </w:tc>
        <w:tc>
          <w:tcPr>
            <w:tcW w:w="0" w:type="auto"/>
            <w:shd w:val="clear" w:color="auto" w:fill="auto"/>
          </w:tcPr>
          <w:p w14:paraId="1D346933" w14:textId="77777777" w:rsidR="008C5CFA" w:rsidRPr="0024468B" w:rsidRDefault="00E82A60" w:rsidP="00300A01">
            <w:pPr>
              <w:spacing w:before="0" w:after="0"/>
              <w:rPr>
                <w:sz w:val="16"/>
                <w:szCs w:val="16"/>
                <w:lang w:val="fr-BE"/>
              </w:rPr>
            </w:pPr>
            <w:r>
              <w:rPr>
                <w:noProof/>
                <w:sz w:val="16"/>
                <w:szCs w:val="16"/>
                <w:lang w:val="fr-BE"/>
              </w:rPr>
              <w:t>043</w:t>
            </w:r>
          </w:p>
        </w:tc>
        <w:tc>
          <w:tcPr>
            <w:tcW w:w="0" w:type="auto"/>
            <w:shd w:val="clear" w:color="auto" w:fill="auto"/>
          </w:tcPr>
          <w:p w14:paraId="7EB480AC" w14:textId="77777777" w:rsidR="008C5CFA" w:rsidRPr="0024468B" w:rsidRDefault="00E82A60" w:rsidP="00300A01">
            <w:pPr>
              <w:spacing w:before="0" w:after="0"/>
              <w:rPr>
                <w:sz w:val="16"/>
                <w:szCs w:val="16"/>
                <w:lang w:val="fr-BE"/>
              </w:rPr>
            </w:pPr>
            <w:r>
              <w:rPr>
                <w:noProof/>
                <w:sz w:val="16"/>
                <w:szCs w:val="16"/>
                <w:lang w:val="fr-BE"/>
              </w:rPr>
              <w:t>Liczba podmiotów, które udostępniły on-line informacje sektora publicznego</w:t>
            </w:r>
          </w:p>
        </w:tc>
        <w:tc>
          <w:tcPr>
            <w:tcW w:w="0" w:type="auto"/>
          </w:tcPr>
          <w:p w14:paraId="6DB93AB2" w14:textId="77777777" w:rsidR="008C5CFA" w:rsidRPr="0024468B" w:rsidRDefault="00E82A60" w:rsidP="00300A01">
            <w:pPr>
              <w:spacing w:before="0" w:after="0"/>
              <w:jc w:val="right"/>
              <w:rPr>
                <w:sz w:val="16"/>
                <w:szCs w:val="16"/>
                <w:lang w:val="fr-BE"/>
              </w:rPr>
            </w:pPr>
            <w:r w:rsidRPr="0024468B">
              <w:rPr>
                <w:noProof/>
                <w:sz w:val="16"/>
                <w:szCs w:val="16"/>
                <w:lang w:val="fr-BE"/>
              </w:rPr>
              <w:t>132,00</w:t>
            </w:r>
          </w:p>
        </w:tc>
        <w:tc>
          <w:tcPr>
            <w:tcW w:w="0" w:type="auto"/>
          </w:tcPr>
          <w:p w14:paraId="760DB460"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06CDAE81"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1BAC466F"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3B16D350"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75B5665F"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4B254133"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6F431093"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7ADFC971"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r w:rsidR="006B2EC1" w14:paraId="0A9C2C20" w14:textId="77777777" w:rsidTr="0047688D">
        <w:tc>
          <w:tcPr>
            <w:tcW w:w="0" w:type="auto"/>
          </w:tcPr>
          <w:p w14:paraId="0B70D70F" w14:textId="77777777" w:rsidR="008C5CFA" w:rsidRPr="0024468B" w:rsidRDefault="00E82A60" w:rsidP="00300A01">
            <w:pPr>
              <w:spacing w:before="0" w:after="0"/>
              <w:rPr>
                <w:sz w:val="16"/>
                <w:szCs w:val="16"/>
                <w:lang w:val="fr-BE"/>
              </w:rPr>
            </w:pPr>
            <w:r>
              <w:rPr>
                <w:noProof/>
                <w:sz w:val="16"/>
                <w:szCs w:val="16"/>
                <w:lang w:val="fr-BE"/>
              </w:rPr>
              <w:t>F</w:t>
            </w:r>
          </w:p>
        </w:tc>
        <w:tc>
          <w:tcPr>
            <w:tcW w:w="0" w:type="auto"/>
            <w:shd w:val="clear" w:color="auto" w:fill="auto"/>
          </w:tcPr>
          <w:p w14:paraId="02F70709" w14:textId="77777777" w:rsidR="008C5CFA" w:rsidRPr="0024468B" w:rsidRDefault="00E82A60" w:rsidP="00300A01">
            <w:pPr>
              <w:spacing w:before="0" w:after="0"/>
              <w:rPr>
                <w:sz w:val="16"/>
                <w:szCs w:val="16"/>
                <w:lang w:val="fr-BE"/>
              </w:rPr>
            </w:pPr>
            <w:r>
              <w:rPr>
                <w:noProof/>
                <w:sz w:val="16"/>
                <w:szCs w:val="16"/>
                <w:lang w:val="fr-BE"/>
              </w:rPr>
              <w:t>83</w:t>
            </w:r>
          </w:p>
        </w:tc>
        <w:tc>
          <w:tcPr>
            <w:tcW w:w="0" w:type="auto"/>
            <w:shd w:val="clear" w:color="auto" w:fill="auto"/>
          </w:tcPr>
          <w:p w14:paraId="59D59AAB" w14:textId="77777777" w:rsidR="008C5CFA" w:rsidRPr="0024468B" w:rsidRDefault="00E82A60" w:rsidP="00300A01">
            <w:pPr>
              <w:spacing w:before="0" w:after="0"/>
              <w:rPr>
                <w:sz w:val="16"/>
                <w:szCs w:val="16"/>
                <w:lang w:val="fr-BE"/>
              </w:rPr>
            </w:pPr>
            <w:r>
              <w:rPr>
                <w:noProof/>
                <w:sz w:val="16"/>
                <w:szCs w:val="16"/>
                <w:lang w:val="fr-BE"/>
              </w:rPr>
              <w:t>Liczba uruchomionych systemów teleinformatycznych w instytucjach publicznych</w:t>
            </w:r>
          </w:p>
        </w:tc>
        <w:tc>
          <w:tcPr>
            <w:tcW w:w="0" w:type="auto"/>
          </w:tcPr>
          <w:p w14:paraId="729B6704"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4ECBED94"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00661A9D"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6817B653"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70BA7E52"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3D8CF4CB"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6397E3E4"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550E7AFE"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279141F5"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r w:rsidR="006B2EC1" w14:paraId="47679F12" w14:textId="77777777" w:rsidTr="0047688D">
        <w:tc>
          <w:tcPr>
            <w:tcW w:w="0" w:type="auto"/>
          </w:tcPr>
          <w:p w14:paraId="24556C1E" w14:textId="77777777" w:rsidR="008C5CFA" w:rsidRPr="0024468B" w:rsidRDefault="00E82A60" w:rsidP="00300A01">
            <w:pPr>
              <w:spacing w:before="0" w:after="0"/>
              <w:rPr>
                <w:sz w:val="16"/>
                <w:szCs w:val="16"/>
                <w:lang w:val="fr-BE"/>
              </w:rPr>
            </w:pPr>
            <w:r>
              <w:rPr>
                <w:noProof/>
                <w:sz w:val="16"/>
                <w:szCs w:val="16"/>
                <w:lang w:val="fr-BE"/>
              </w:rPr>
              <w:t>S</w:t>
            </w:r>
          </w:p>
        </w:tc>
        <w:tc>
          <w:tcPr>
            <w:tcW w:w="0" w:type="auto"/>
            <w:shd w:val="clear" w:color="auto" w:fill="auto"/>
          </w:tcPr>
          <w:p w14:paraId="7C217FFB" w14:textId="77777777" w:rsidR="008C5CFA" w:rsidRPr="0024468B" w:rsidRDefault="00E82A60" w:rsidP="00300A01">
            <w:pPr>
              <w:spacing w:before="0" w:after="0"/>
              <w:rPr>
                <w:sz w:val="16"/>
                <w:szCs w:val="16"/>
                <w:lang w:val="fr-BE"/>
              </w:rPr>
            </w:pPr>
            <w:r>
              <w:rPr>
                <w:noProof/>
                <w:sz w:val="16"/>
                <w:szCs w:val="16"/>
                <w:lang w:val="fr-BE"/>
              </w:rPr>
              <w:t>83</w:t>
            </w:r>
          </w:p>
        </w:tc>
        <w:tc>
          <w:tcPr>
            <w:tcW w:w="0" w:type="auto"/>
            <w:shd w:val="clear" w:color="auto" w:fill="auto"/>
          </w:tcPr>
          <w:p w14:paraId="2C37AC28" w14:textId="77777777" w:rsidR="008C5CFA" w:rsidRPr="0024468B" w:rsidRDefault="00E82A60" w:rsidP="00300A01">
            <w:pPr>
              <w:spacing w:before="0" w:after="0"/>
              <w:rPr>
                <w:sz w:val="16"/>
                <w:szCs w:val="16"/>
                <w:lang w:val="fr-BE"/>
              </w:rPr>
            </w:pPr>
            <w:r>
              <w:rPr>
                <w:noProof/>
                <w:sz w:val="16"/>
                <w:szCs w:val="16"/>
                <w:lang w:val="fr-BE"/>
              </w:rPr>
              <w:t>Liczba uruchomionych systemów teleinformatycznych w instytucjach publicznych</w:t>
            </w:r>
          </w:p>
        </w:tc>
        <w:tc>
          <w:tcPr>
            <w:tcW w:w="0" w:type="auto"/>
          </w:tcPr>
          <w:p w14:paraId="6ED44AA1" w14:textId="77777777" w:rsidR="008C5CFA" w:rsidRPr="0024468B" w:rsidRDefault="00E82A60" w:rsidP="00300A01">
            <w:pPr>
              <w:spacing w:before="0" w:after="0"/>
              <w:jc w:val="right"/>
              <w:rPr>
                <w:sz w:val="16"/>
                <w:szCs w:val="16"/>
                <w:lang w:val="fr-BE"/>
              </w:rPr>
            </w:pPr>
            <w:r w:rsidRPr="0024468B">
              <w:rPr>
                <w:noProof/>
                <w:sz w:val="16"/>
                <w:szCs w:val="16"/>
                <w:lang w:val="fr-BE"/>
              </w:rPr>
              <w:t>97,00</w:t>
            </w:r>
          </w:p>
        </w:tc>
        <w:tc>
          <w:tcPr>
            <w:tcW w:w="0" w:type="auto"/>
          </w:tcPr>
          <w:p w14:paraId="613FE2FF"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6AF428AD"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33C95F19"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4F520B70"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198D9ADC"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687AB539"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46873A9A"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4CDFF931"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bl>
    <w:p w14:paraId="6D4E604F"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42"/>
        <w:gridCol w:w="403"/>
        <w:gridCol w:w="7115"/>
        <w:gridCol w:w="1147"/>
        <w:gridCol w:w="1358"/>
        <w:gridCol w:w="1157"/>
        <w:gridCol w:w="1147"/>
        <w:gridCol w:w="1358"/>
        <w:gridCol w:w="1157"/>
      </w:tblGrid>
      <w:tr w:rsidR="006B2EC1" w14:paraId="71BA0307" w14:textId="77777777" w:rsidTr="0047688D">
        <w:trPr>
          <w:tblHeader/>
        </w:trPr>
        <w:tc>
          <w:tcPr>
            <w:tcW w:w="0" w:type="auto"/>
          </w:tcPr>
          <w:p w14:paraId="72D1B0AE" w14:textId="77777777" w:rsidR="008C5CFA" w:rsidRPr="009143B4" w:rsidRDefault="00E82A60" w:rsidP="00300A01">
            <w:pPr>
              <w:spacing w:before="0" w:after="0"/>
              <w:rPr>
                <w:b/>
                <w:sz w:val="16"/>
                <w:szCs w:val="16"/>
                <w:lang w:val="fr-BE"/>
              </w:rPr>
            </w:pPr>
            <w:r w:rsidRPr="009143B4">
              <w:rPr>
                <w:b/>
                <w:sz w:val="16"/>
                <w:szCs w:val="16"/>
                <w:lang w:val="fr-BE"/>
              </w:rPr>
              <w:t>(1)</w:t>
            </w:r>
          </w:p>
        </w:tc>
        <w:tc>
          <w:tcPr>
            <w:tcW w:w="0" w:type="auto"/>
            <w:shd w:val="clear" w:color="auto" w:fill="auto"/>
          </w:tcPr>
          <w:p w14:paraId="7173F852" w14:textId="77777777" w:rsidR="008C5CFA" w:rsidRPr="009143B4" w:rsidRDefault="00E82A60" w:rsidP="00300A01">
            <w:pPr>
              <w:spacing w:before="0" w:after="0"/>
              <w:rPr>
                <w:b/>
                <w:sz w:val="16"/>
                <w:szCs w:val="16"/>
                <w:lang w:val="fr-BE"/>
              </w:rPr>
            </w:pPr>
            <w:r w:rsidRPr="009143B4">
              <w:rPr>
                <w:b/>
                <w:noProof/>
                <w:sz w:val="16"/>
                <w:szCs w:val="16"/>
                <w:lang w:val="fr-BE"/>
              </w:rPr>
              <w:t>ID</w:t>
            </w:r>
          </w:p>
        </w:tc>
        <w:tc>
          <w:tcPr>
            <w:tcW w:w="0" w:type="auto"/>
            <w:shd w:val="clear" w:color="auto" w:fill="auto"/>
          </w:tcPr>
          <w:p w14:paraId="090A5E66" w14:textId="77777777" w:rsidR="008C5CFA" w:rsidRPr="009143B4" w:rsidRDefault="00E82A60" w:rsidP="00300A01">
            <w:pPr>
              <w:spacing w:before="0" w:after="0"/>
              <w:rPr>
                <w:b/>
                <w:sz w:val="16"/>
                <w:szCs w:val="16"/>
                <w:lang w:val="fr-BE"/>
              </w:rPr>
            </w:pPr>
            <w:r w:rsidRPr="009143B4">
              <w:rPr>
                <w:b/>
                <w:noProof/>
                <w:sz w:val="16"/>
                <w:szCs w:val="16"/>
                <w:lang w:val="fr-BE"/>
              </w:rPr>
              <w:t>Wskaźnik</w:t>
            </w:r>
          </w:p>
        </w:tc>
        <w:tc>
          <w:tcPr>
            <w:tcW w:w="0" w:type="auto"/>
          </w:tcPr>
          <w:p w14:paraId="6DD4253A" w14:textId="77777777" w:rsidR="008C5CFA" w:rsidRPr="009143B4" w:rsidRDefault="00E82A60"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Ogółem</w:t>
            </w:r>
          </w:p>
        </w:tc>
        <w:tc>
          <w:tcPr>
            <w:tcW w:w="0" w:type="auto"/>
          </w:tcPr>
          <w:p w14:paraId="7EA5086B" w14:textId="77777777" w:rsidR="008C5CFA" w:rsidRPr="009143B4" w:rsidRDefault="00E82A60"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Mężczyźni</w:t>
            </w:r>
          </w:p>
        </w:tc>
        <w:tc>
          <w:tcPr>
            <w:tcW w:w="0" w:type="auto"/>
          </w:tcPr>
          <w:p w14:paraId="1C40F5DF" w14:textId="77777777" w:rsidR="008C5CFA" w:rsidRPr="009143B4" w:rsidRDefault="00E82A60"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Kobiety</w:t>
            </w:r>
          </w:p>
        </w:tc>
        <w:tc>
          <w:tcPr>
            <w:tcW w:w="0" w:type="auto"/>
            <w:shd w:val="clear" w:color="auto" w:fill="auto"/>
          </w:tcPr>
          <w:p w14:paraId="03252F60" w14:textId="77777777" w:rsidR="008C5CFA" w:rsidRPr="009143B4" w:rsidRDefault="00E82A60"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Ogółem</w:t>
            </w:r>
          </w:p>
        </w:tc>
        <w:tc>
          <w:tcPr>
            <w:tcW w:w="0" w:type="auto"/>
            <w:shd w:val="clear" w:color="auto" w:fill="auto"/>
          </w:tcPr>
          <w:p w14:paraId="449734AA" w14:textId="77777777" w:rsidR="008C5CFA" w:rsidRPr="009143B4" w:rsidRDefault="00E82A60"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Mężczyźni</w:t>
            </w:r>
          </w:p>
        </w:tc>
        <w:tc>
          <w:tcPr>
            <w:tcW w:w="0" w:type="auto"/>
            <w:shd w:val="clear" w:color="auto" w:fill="auto"/>
          </w:tcPr>
          <w:p w14:paraId="77CC3FD7" w14:textId="77777777" w:rsidR="008C5CFA" w:rsidRPr="009143B4" w:rsidRDefault="00E82A60"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Kobiety</w:t>
            </w:r>
          </w:p>
        </w:tc>
      </w:tr>
      <w:tr w:rsidR="006B2EC1" w14:paraId="416ECA81" w14:textId="77777777" w:rsidTr="0047688D">
        <w:tc>
          <w:tcPr>
            <w:tcW w:w="0" w:type="auto"/>
          </w:tcPr>
          <w:p w14:paraId="0813215A" w14:textId="77777777" w:rsidR="008C5CFA" w:rsidRPr="0024468B" w:rsidRDefault="00E82A60" w:rsidP="00300A01">
            <w:pPr>
              <w:spacing w:before="0" w:after="0"/>
              <w:rPr>
                <w:sz w:val="16"/>
                <w:szCs w:val="16"/>
                <w:lang w:val="fr-BE"/>
              </w:rPr>
            </w:pPr>
            <w:r>
              <w:rPr>
                <w:noProof/>
                <w:sz w:val="16"/>
                <w:szCs w:val="16"/>
                <w:lang w:val="fr-BE"/>
              </w:rPr>
              <w:t>F</w:t>
            </w:r>
          </w:p>
        </w:tc>
        <w:tc>
          <w:tcPr>
            <w:tcW w:w="0" w:type="auto"/>
            <w:shd w:val="clear" w:color="auto" w:fill="auto"/>
          </w:tcPr>
          <w:p w14:paraId="60F32C45" w14:textId="77777777" w:rsidR="008C5CFA" w:rsidRPr="0024468B" w:rsidRDefault="00E82A60" w:rsidP="00300A01">
            <w:pPr>
              <w:spacing w:before="0" w:after="0"/>
              <w:rPr>
                <w:sz w:val="16"/>
                <w:szCs w:val="16"/>
                <w:lang w:val="fr-BE"/>
              </w:rPr>
            </w:pPr>
            <w:r>
              <w:rPr>
                <w:noProof/>
                <w:sz w:val="16"/>
                <w:szCs w:val="16"/>
                <w:lang w:val="fr-BE"/>
              </w:rPr>
              <w:t>042</w:t>
            </w:r>
          </w:p>
        </w:tc>
        <w:tc>
          <w:tcPr>
            <w:tcW w:w="0" w:type="auto"/>
            <w:shd w:val="clear" w:color="auto" w:fill="auto"/>
          </w:tcPr>
          <w:p w14:paraId="6BF64435" w14:textId="77777777" w:rsidR="008C5CFA" w:rsidRPr="0024468B" w:rsidRDefault="00E82A60" w:rsidP="00300A01">
            <w:pPr>
              <w:spacing w:before="0" w:after="0"/>
              <w:rPr>
                <w:sz w:val="16"/>
                <w:szCs w:val="16"/>
                <w:lang w:val="fr-BE"/>
              </w:rPr>
            </w:pPr>
            <w:r>
              <w:rPr>
                <w:noProof/>
                <w:sz w:val="16"/>
                <w:szCs w:val="16"/>
                <w:lang w:val="fr-BE"/>
              </w:rPr>
              <w:t>Liczba usług publicznych udostępnionych on-line o stopniu dojrzałości 3 dwustronna interakcja</w:t>
            </w:r>
          </w:p>
        </w:tc>
        <w:tc>
          <w:tcPr>
            <w:tcW w:w="0" w:type="auto"/>
          </w:tcPr>
          <w:p w14:paraId="61A389BB"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59E7BB1A"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2A01AB10"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1D0C5DC1"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7E757FE3"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7CB8324E"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r w:rsidR="006B2EC1" w14:paraId="4AD076D1" w14:textId="77777777" w:rsidTr="0047688D">
        <w:tc>
          <w:tcPr>
            <w:tcW w:w="0" w:type="auto"/>
          </w:tcPr>
          <w:p w14:paraId="525B8D8E" w14:textId="77777777" w:rsidR="008C5CFA" w:rsidRPr="0024468B" w:rsidRDefault="00E82A60" w:rsidP="00300A01">
            <w:pPr>
              <w:spacing w:before="0" w:after="0"/>
              <w:rPr>
                <w:sz w:val="16"/>
                <w:szCs w:val="16"/>
                <w:lang w:val="fr-BE"/>
              </w:rPr>
            </w:pPr>
            <w:r>
              <w:rPr>
                <w:noProof/>
                <w:sz w:val="16"/>
                <w:szCs w:val="16"/>
                <w:lang w:val="fr-BE"/>
              </w:rPr>
              <w:t>S</w:t>
            </w:r>
          </w:p>
        </w:tc>
        <w:tc>
          <w:tcPr>
            <w:tcW w:w="0" w:type="auto"/>
            <w:shd w:val="clear" w:color="auto" w:fill="auto"/>
          </w:tcPr>
          <w:p w14:paraId="1D52607F" w14:textId="77777777" w:rsidR="008C5CFA" w:rsidRPr="0024468B" w:rsidRDefault="00E82A60" w:rsidP="00300A01">
            <w:pPr>
              <w:spacing w:before="0" w:after="0"/>
              <w:rPr>
                <w:sz w:val="16"/>
                <w:szCs w:val="16"/>
                <w:lang w:val="fr-BE"/>
              </w:rPr>
            </w:pPr>
            <w:r>
              <w:rPr>
                <w:noProof/>
                <w:sz w:val="16"/>
                <w:szCs w:val="16"/>
                <w:lang w:val="fr-BE"/>
              </w:rPr>
              <w:t>042</w:t>
            </w:r>
          </w:p>
        </w:tc>
        <w:tc>
          <w:tcPr>
            <w:tcW w:w="0" w:type="auto"/>
            <w:shd w:val="clear" w:color="auto" w:fill="auto"/>
          </w:tcPr>
          <w:p w14:paraId="7C4CAECA" w14:textId="77777777" w:rsidR="008C5CFA" w:rsidRPr="0024468B" w:rsidRDefault="00E82A60" w:rsidP="00300A01">
            <w:pPr>
              <w:spacing w:before="0" w:after="0"/>
              <w:rPr>
                <w:sz w:val="16"/>
                <w:szCs w:val="16"/>
                <w:lang w:val="fr-BE"/>
              </w:rPr>
            </w:pPr>
            <w:r>
              <w:rPr>
                <w:noProof/>
                <w:sz w:val="16"/>
                <w:szCs w:val="16"/>
                <w:lang w:val="fr-BE"/>
              </w:rPr>
              <w:t>Liczba usług publicznych udostępnionych on-line o stopniu dojrzałości 3 dwustronna interakcja</w:t>
            </w:r>
          </w:p>
        </w:tc>
        <w:tc>
          <w:tcPr>
            <w:tcW w:w="0" w:type="auto"/>
          </w:tcPr>
          <w:p w14:paraId="24DA869A"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6E6A884D"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07FBE152"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64FFB744"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4126998C"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00DD74A4"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r w:rsidR="006B2EC1" w14:paraId="0E106A9D" w14:textId="77777777" w:rsidTr="0047688D">
        <w:tc>
          <w:tcPr>
            <w:tcW w:w="0" w:type="auto"/>
          </w:tcPr>
          <w:p w14:paraId="3A6B1575" w14:textId="77777777" w:rsidR="008C5CFA" w:rsidRPr="0024468B" w:rsidRDefault="00E82A60" w:rsidP="00300A01">
            <w:pPr>
              <w:spacing w:before="0" w:after="0"/>
              <w:rPr>
                <w:sz w:val="16"/>
                <w:szCs w:val="16"/>
                <w:lang w:val="fr-BE"/>
              </w:rPr>
            </w:pPr>
            <w:r>
              <w:rPr>
                <w:noProof/>
                <w:sz w:val="16"/>
                <w:szCs w:val="16"/>
                <w:lang w:val="fr-BE"/>
              </w:rPr>
              <w:t>F</w:t>
            </w:r>
          </w:p>
        </w:tc>
        <w:tc>
          <w:tcPr>
            <w:tcW w:w="0" w:type="auto"/>
            <w:shd w:val="clear" w:color="auto" w:fill="auto"/>
          </w:tcPr>
          <w:p w14:paraId="3922ED2A" w14:textId="77777777" w:rsidR="008C5CFA" w:rsidRPr="0024468B" w:rsidRDefault="00E82A60" w:rsidP="00300A01">
            <w:pPr>
              <w:spacing w:before="0" w:after="0"/>
              <w:rPr>
                <w:sz w:val="16"/>
                <w:szCs w:val="16"/>
                <w:lang w:val="fr-BE"/>
              </w:rPr>
            </w:pPr>
            <w:r>
              <w:rPr>
                <w:noProof/>
                <w:sz w:val="16"/>
                <w:szCs w:val="16"/>
                <w:lang w:val="fr-BE"/>
              </w:rPr>
              <w:t>043</w:t>
            </w:r>
          </w:p>
        </w:tc>
        <w:tc>
          <w:tcPr>
            <w:tcW w:w="0" w:type="auto"/>
            <w:shd w:val="clear" w:color="auto" w:fill="auto"/>
          </w:tcPr>
          <w:p w14:paraId="0BF13EED" w14:textId="77777777" w:rsidR="008C5CFA" w:rsidRPr="0024468B" w:rsidRDefault="00E82A60" w:rsidP="00300A01">
            <w:pPr>
              <w:spacing w:before="0" w:after="0"/>
              <w:rPr>
                <w:sz w:val="16"/>
                <w:szCs w:val="16"/>
                <w:lang w:val="fr-BE"/>
              </w:rPr>
            </w:pPr>
            <w:r>
              <w:rPr>
                <w:noProof/>
                <w:sz w:val="16"/>
                <w:szCs w:val="16"/>
                <w:lang w:val="fr-BE"/>
              </w:rPr>
              <w:t>Liczba podmiotów, które udostępniły on-line informacje sektora publicznego</w:t>
            </w:r>
          </w:p>
        </w:tc>
        <w:tc>
          <w:tcPr>
            <w:tcW w:w="0" w:type="auto"/>
          </w:tcPr>
          <w:p w14:paraId="4107B555"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5FC4504C"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09496C53"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60CD512A"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3FAFAE1F"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51B7AA63"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r w:rsidR="006B2EC1" w14:paraId="61C371F1" w14:textId="77777777" w:rsidTr="0047688D">
        <w:tc>
          <w:tcPr>
            <w:tcW w:w="0" w:type="auto"/>
          </w:tcPr>
          <w:p w14:paraId="26D6C9ED" w14:textId="77777777" w:rsidR="008C5CFA" w:rsidRPr="0024468B" w:rsidRDefault="00E82A60" w:rsidP="00300A01">
            <w:pPr>
              <w:spacing w:before="0" w:after="0"/>
              <w:rPr>
                <w:sz w:val="16"/>
                <w:szCs w:val="16"/>
                <w:lang w:val="fr-BE"/>
              </w:rPr>
            </w:pPr>
            <w:r>
              <w:rPr>
                <w:noProof/>
                <w:sz w:val="16"/>
                <w:szCs w:val="16"/>
                <w:lang w:val="fr-BE"/>
              </w:rPr>
              <w:t>S</w:t>
            </w:r>
          </w:p>
        </w:tc>
        <w:tc>
          <w:tcPr>
            <w:tcW w:w="0" w:type="auto"/>
            <w:shd w:val="clear" w:color="auto" w:fill="auto"/>
          </w:tcPr>
          <w:p w14:paraId="190D481D" w14:textId="77777777" w:rsidR="008C5CFA" w:rsidRPr="0024468B" w:rsidRDefault="00E82A60" w:rsidP="00300A01">
            <w:pPr>
              <w:spacing w:before="0" w:after="0"/>
              <w:rPr>
                <w:sz w:val="16"/>
                <w:szCs w:val="16"/>
                <w:lang w:val="fr-BE"/>
              </w:rPr>
            </w:pPr>
            <w:r>
              <w:rPr>
                <w:noProof/>
                <w:sz w:val="16"/>
                <w:szCs w:val="16"/>
                <w:lang w:val="fr-BE"/>
              </w:rPr>
              <w:t>043</w:t>
            </w:r>
          </w:p>
        </w:tc>
        <w:tc>
          <w:tcPr>
            <w:tcW w:w="0" w:type="auto"/>
            <w:shd w:val="clear" w:color="auto" w:fill="auto"/>
          </w:tcPr>
          <w:p w14:paraId="2D945129" w14:textId="77777777" w:rsidR="008C5CFA" w:rsidRPr="0024468B" w:rsidRDefault="00E82A60" w:rsidP="00300A01">
            <w:pPr>
              <w:spacing w:before="0" w:after="0"/>
              <w:rPr>
                <w:sz w:val="16"/>
                <w:szCs w:val="16"/>
                <w:lang w:val="fr-BE"/>
              </w:rPr>
            </w:pPr>
            <w:r>
              <w:rPr>
                <w:noProof/>
                <w:sz w:val="16"/>
                <w:szCs w:val="16"/>
                <w:lang w:val="fr-BE"/>
              </w:rPr>
              <w:t>Liczba podmiotów, które udostępniły on-line informacje sektora publicznego</w:t>
            </w:r>
          </w:p>
        </w:tc>
        <w:tc>
          <w:tcPr>
            <w:tcW w:w="0" w:type="auto"/>
          </w:tcPr>
          <w:p w14:paraId="2DFA5675"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77D381B2"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0823768A"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53873CC3"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0632DA43"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67EBF283"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r w:rsidR="006B2EC1" w14:paraId="5CE41EB8" w14:textId="77777777" w:rsidTr="0047688D">
        <w:tc>
          <w:tcPr>
            <w:tcW w:w="0" w:type="auto"/>
          </w:tcPr>
          <w:p w14:paraId="21F7090A" w14:textId="77777777" w:rsidR="008C5CFA" w:rsidRPr="0024468B" w:rsidRDefault="00E82A60" w:rsidP="00300A01">
            <w:pPr>
              <w:spacing w:before="0" w:after="0"/>
              <w:rPr>
                <w:sz w:val="16"/>
                <w:szCs w:val="16"/>
                <w:lang w:val="fr-BE"/>
              </w:rPr>
            </w:pPr>
            <w:r>
              <w:rPr>
                <w:noProof/>
                <w:sz w:val="16"/>
                <w:szCs w:val="16"/>
                <w:lang w:val="fr-BE"/>
              </w:rPr>
              <w:t>F</w:t>
            </w:r>
          </w:p>
        </w:tc>
        <w:tc>
          <w:tcPr>
            <w:tcW w:w="0" w:type="auto"/>
            <w:shd w:val="clear" w:color="auto" w:fill="auto"/>
          </w:tcPr>
          <w:p w14:paraId="1D2279FC" w14:textId="77777777" w:rsidR="008C5CFA" w:rsidRPr="0024468B" w:rsidRDefault="00E82A60" w:rsidP="00300A01">
            <w:pPr>
              <w:spacing w:before="0" w:after="0"/>
              <w:rPr>
                <w:sz w:val="16"/>
                <w:szCs w:val="16"/>
                <w:lang w:val="fr-BE"/>
              </w:rPr>
            </w:pPr>
            <w:r>
              <w:rPr>
                <w:noProof/>
                <w:sz w:val="16"/>
                <w:szCs w:val="16"/>
                <w:lang w:val="fr-BE"/>
              </w:rPr>
              <w:t>83</w:t>
            </w:r>
          </w:p>
        </w:tc>
        <w:tc>
          <w:tcPr>
            <w:tcW w:w="0" w:type="auto"/>
            <w:shd w:val="clear" w:color="auto" w:fill="auto"/>
          </w:tcPr>
          <w:p w14:paraId="4EAE789C" w14:textId="77777777" w:rsidR="008C5CFA" w:rsidRPr="0024468B" w:rsidRDefault="00E82A60" w:rsidP="00300A01">
            <w:pPr>
              <w:spacing w:before="0" w:after="0"/>
              <w:rPr>
                <w:sz w:val="16"/>
                <w:szCs w:val="16"/>
                <w:lang w:val="fr-BE"/>
              </w:rPr>
            </w:pPr>
            <w:r>
              <w:rPr>
                <w:noProof/>
                <w:sz w:val="16"/>
                <w:szCs w:val="16"/>
                <w:lang w:val="fr-BE"/>
              </w:rPr>
              <w:t>Liczba uruchomionych systemów teleinformatycznych w instytucjach publicznych</w:t>
            </w:r>
          </w:p>
        </w:tc>
        <w:tc>
          <w:tcPr>
            <w:tcW w:w="0" w:type="auto"/>
          </w:tcPr>
          <w:p w14:paraId="1655DE21"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77374937"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1F00A9C9"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777E3F96"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415A46D7"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3F5C8EEE"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r w:rsidR="006B2EC1" w14:paraId="24EA403F" w14:textId="77777777" w:rsidTr="0047688D">
        <w:tc>
          <w:tcPr>
            <w:tcW w:w="0" w:type="auto"/>
          </w:tcPr>
          <w:p w14:paraId="367B6604" w14:textId="77777777" w:rsidR="008C5CFA" w:rsidRPr="0024468B" w:rsidRDefault="00E82A60" w:rsidP="00300A01">
            <w:pPr>
              <w:spacing w:before="0" w:after="0"/>
              <w:rPr>
                <w:sz w:val="16"/>
                <w:szCs w:val="16"/>
                <w:lang w:val="fr-BE"/>
              </w:rPr>
            </w:pPr>
            <w:r>
              <w:rPr>
                <w:noProof/>
                <w:sz w:val="16"/>
                <w:szCs w:val="16"/>
                <w:lang w:val="fr-BE"/>
              </w:rPr>
              <w:t>S</w:t>
            </w:r>
          </w:p>
        </w:tc>
        <w:tc>
          <w:tcPr>
            <w:tcW w:w="0" w:type="auto"/>
            <w:shd w:val="clear" w:color="auto" w:fill="auto"/>
          </w:tcPr>
          <w:p w14:paraId="370573E1" w14:textId="77777777" w:rsidR="008C5CFA" w:rsidRPr="0024468B" w:rsidRDefault="00E82A60" w:rsidP="00300A01">
            <w:pPr>
              <w:spacing w:before="0" w:after="0"/>
              <w:rPr>
                <w:sz w:val="16"/>
                <w:szCs w:val="16"/>
                <w:lang w:val="fr-BE"/>
              </w:rPr>
            </w:pPr>
            <w:r>
              <w:rPr>
                <w:noProof/>
                <w:sz w:val="16"/>
                <w:szCs w:val="16"/>
                <w:lang w:val="fr-BE"/>
              </w:rPr>
              <w:t>83</w:t>
            </w:r>
          </w:p>
        </w:tc>
        <w:tc>
          <w:tcPr>
            <w:tcW w:w="0" w:type="auto"/>
            <w:shd w:val="clear" w:color="auto" w:fill="auto"/>
          </w:tcPr>
          <w:p w14:paraId="673B6311" w14:textId="77777777" w:rsidR="008C5CFA" w:rsidRPr="0024468B" w:rsidRDefault="00E82A60" w:rsidP="00300A01">
            <w:pPr>
              <w:spacing w:before="0" w:after="0"/>
              <w:rPr>
                <w:sz w:val="16"/>
                <w:szCs w:val="16"/>
                <w:lang w:val="fr-BE"/>
              </w:rPr>
            </w:pPr>
            <w:r>
              <w:rPr>
                <w:noProof/>
                <w:sz w:val="16"/>
                <w:szCs w:val="16"/>
                <w:lang w:val="fr-BE"/>
              </w:rPr>
              <w:t>Liczba uruchomionych systemów teleinformatycznych w instytucjach publicznych</w:t>
            </w:r>
          </w:p>
        </w:tc>
        <w:tc>
          <w:tcPr>
            <w:tcW w:w="0" w:type="auto"/>
          </w:tcPr>
          <w:p w14:paraId="6C546554"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7CC045C4"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774172F3"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24E3D322"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532786C2"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2E699E4A"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bl>
    <w:p w14:paraId="49AF6FAD" w14:textId="77777777" w:rsidR="008C5CFA" w:rsidRDefault="008C5CFA" w:rsidP="00300A01">
      <w:pPr>
        <w:spacing w:before="0" w:after="0"/>
        <w:rPr>
          <w:lang w:val="fr-BE"/>
        </w:rPr>
      </w:pPr>
    </w:p>
    <w:p w14:paraId="6A5C21ED" w14:textId="77777777" w:rsidR="008C5CFA" w:rsidRDefault="008C5CFA" w:rsidP="00300A01">
      <w:pPr>
        <w:spacing w:before="0" w:after="0"/>
        <w:rPr>
          <w:lang w:val="fr-BE"/>
        </w:rPr>
      </w:pPr>
    </w:p>
    <w:p w14:paraId="6B8E7862" w14:textId="77777777" w:rsidR="008C5CFA" w:rsidRDefault="00E82A60" w:rsidP="00300A01">
      <w:pPr>
        <w:spacing w:before="0" w:after="0"/>
        <w:rPr>
          <w:lang w:val="fr-BE"/>
        </w:rPr>
      </w:pPr>
      <w:r>
        <w:rPr>
          <w:lang w:val="fr-BE"/>
        </w:rPr>
        <w:br w:type="page"/>
      </w:r>
    </w:p>
    <w:p w14:paraId="53AD2809"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5"/>
        <w:gridCol w:w="13229"/>
      </w:tblGrid>
      <w:tr w:rsidR="006B2EC1" w14:paraId="2754268B" w14:textId="77777777" w:rsidTr="0047688D">
        <w:tc>
          <w:tcPr>
            <w:tcW w:w="0" w:type="auto"/>
            <w:shd w:val="clear" w:color="auto" w:fill="auto"/>
          </w:tcPr>
          <w:p w14:paraId="34E5B26B" w14:textId="77777777" w:rsidR="008C5CFA" w:rsidRPr="002124FC" w:rsidRDefault="00E82A60" w:rsidP="00300A01">
            <w:pPr>
              <w:spacing w:before="0" w:after="0"/>
              <w:rPr>
                <w:sz w:val="20"/>
                <w:szCs w:val="20"/>
                <w:lang w:val="fr-BE"/>
              </w:rPr>
            </w:pPr>
            <w:r>
              <w:rPr>
                <w:lang w:val="fr-BE"/>
              </w:rPr>
              <w:br w:type="page"/>
            </w:r>
            <w:r>
              <w:rPr>
                <w:lang w:val="fr-BE"/>
              </w:rPr>
              <w:br w:type="page"/>
            </w:r>
            <w:r>
              <w:rPr>
                <w:lang w:val="fr-BE"/>
              </w:rPr>
              <w:br w:type="page"/>
            </w:r>
            <w:r w:rsidRPr="002124FC">
              <w:rPr>
                <w:noProof/>
                <w:sz w:val="20"/>
                <w:szCs w:val="20"/>
                <w:lang w:val="fr-BE"/>
              </w:rPr>
              <w:t>Oś priorytetowa</w:t>
            </w:r>
          </w:p>
        </w:tc>
        <w:tc>
          <w:tcPr>
            <w:tcW w:w="0" w:type="auto"/>
            <w:shd w:val="clear" w:color="auto" w:fill="auto"/>
          </w:tcPr>
          <w:p w14:paraId="6AFA81D8" w14:textId="77777777" w:rsidR="008C5CFA" w:rsidRPr="002124FC" w:rsidRDefault="00E82A60" w:rsidP="00300A01">
            <w:pPr>
              <w:spacing w:before="0" w:after="0"/>
              <w:rPr>
                <w:sz w:val="20"/>
                <w:szCs w:val="20"/>
                <w:lang w:val="fr-BE"/>
              </w:rPr>
            </w:pPr>
            <w:r>
              <w:rPr>
                <w:noProof/>
                <w:sz w:val="20"/>
                <w:szCs w:val="20"/>
                <w:lang w:val="fr-BE"/>
              </w:rPr>
              <w:t>7</w:t>
            </w:r>
            <w:r w:rsidRPr="002124FC">
              <w:rPr>
                <w:sz w:val="20"/>
                <w:szCs w:val="20"/>
                <w:lang w:val="fr-BE"/>
              </w:rPr>
              <w:t xml:space="preserve"> - </w:t>
            </w:r>
            <w:r>
              <w:rPr>
                <w:noProof/>
                <w:sz w:val="20"/>
                <w:szCs w:val="20"/>
                <w:lang w:val="fr-BE"/>
              </w:rPr>
              <w:t>Sprawne usługi publiczne</w:t>
            </w:r>
          </w:p>
        </w:tc>
      </w:tr>
      <w:tr w:rsidR="006B2EC1" w14:paraId="746AD6AB" w14:textId="77777777" w:rsidTr="0047688D">
        <w:tc>
          <w:tcPr>
            <w:tcW w:w="0" w:type="auto"/>
            <w:shd w:val="clear" w:color="auto" w:fill="auto"/>
          </w:tcPr>
          <w:p w14:paraId="62576BB3" w14:textId="77777777" w:rsidR="008C5CFA" w:rsidRPr="002124FC" w:rsidRDefault="00E82A60"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14:paraId="4ECB9DA0" w14:textId="77777777" w:rsidR="008C5CFA" w:rsidRPr="002124FC" w:rsidRDefault="00E82A60" w:rsidP="00300A01">
            <w:pPr>
              <w:spacing w:before="0" w:after="0"/>
              <w:rPr>
                <w:sz w:val="20"/>
                <w:szCs w:val="20"/>
                <w:lang w:val="fr-BE"/>
              </w:rPr>
            </w:pPr>
            <w:r w:rsidRPr="002124FC">
              <w:rPr>
                <w:noProof/>
                <w:sz w:val="20"/>
                <w:szCs w:val="20"/>
                <w:lang w:val="fr-BE"/>
              </w:rPr>
              <w:t>2c</w:t>
            </w:r>
            <w:r w:rsidRPr="002124FC">
              <w:rPr>
                <w:sz w:val="20"/>
                <w:szCs w:val="20"/>
                <w:lang w:val="fr-BE"/>
              </w:rPr>
              <w:t xml:space="preserve"> - </w:t>
            </w:r>
            <w:r>
              <w:rPr>
                <w:noProof/>
                <w:sz w:val="20"/>
                <w:szCs w:val="20"/>
                <w:lang w:val="fr-BE"/>
              </w:rPr>
              <w:t>Wzmocnienie zastosowań TIK dla e-rządu, e-uczenia, e-włączenia społecznego, e-kultury oraz e-zdrowia</w:t>
            </w:r>
          </w:p>
        </w:tc>
      </w:tr>
      <w:tr w:rsidR="006B2EC1" w14:paraId="3774F322" w14:textId="77777777" w:rsidTr="0047688D">
        <w:tc>
          <w:tcPr>
            <w:tcW w:w="0" w:type="auto"/>
            <w:shd w:val="clear" w:color="auto" w:fill="auto"/>
          </w:tcPr>
          <w:p w14:paraId="41BA4C44" w14:textId="77777777" w:rsidR="008C5CFA" w:rsidRPr="002124FC" w:rsidRDefault="00E82A60" w:rsidP="00300A01">
            <w:pPr>
              <w:spacing w:before="0" w:after="0"/>
              <w:ind w:left="113" w:hanging="113"/>
              <w:rPr>
                <w:sz w:val="20"/>
                <w:szCs w:val="20"/>
                <w:lang w:val="fr-BE"/>
              </w:rPr>
            </w:pPr>
            <w:r>
              <w:rPr>
                <w:noProof/>
                <w:sz w:val="20"/>
                <w:szCs w:val="20"/>
                <w:lang w:val="fr-BE"/>
              </w:rPr>
              <w:t>Cel szczegółowy</w:t>
            </w:r>
          </w:p>
        </w:tc>
        <w:tc>
          <w:tcPr>
            <w:tcW w:w="0" w:type="auto"/>
            <w:shd w:val="clear" w:color="auto" w:fill="auto"/>
          </w:tcPr>
          <w:p w14:paraId="230CA725" w14:textId="77777777" w:rsidR="008C5CFA" w:rsidRPr="002124FC" w:rsidRDefault="00E82A60" w:rsidP="00300A01">
            <w:pPr>
              <w:spacing w:before="0" w:after="0"/>
              <w:rPr>
                <w:sz w:val="20"/>
                <w:szCs w:val="20"/>
                <w:lang w:val="fr-BE"/>
              </w:rPr>
            </w:pPr>
            <w:r>
              <w:rPr>
                <w:noProof/>
                <w:sz w:val="20"/>
                <w:szCs w:val="20"/>
                <w:lang w:val="fr-BE"/>
              </w:rPr>
              <w:t>1</w:t>
            </w:r>
            <w:r>
              <w:rPr>
                <w:sz w:val="20"/>
                <w:szCs w:val="20"/>
                <w:lang w:val="fr-BE"/>
              </w:rPr>
              <w:t xml:space="preserve"> - </w:t>
            </w:r>
            <w:r>
              <w:rPr>
                <w:noProof/>
                <w:sz w:val="20"/>
                <w:szCs w:val="20"/>
                <w:lang w:val="fr-BE"/>
              </w:rPr>
              <w:t>Upowszechnienie wykorzystania technik informacyjnych  i komunikacyjnych w usługach publicznych dotyczących w szczególności sektora zdrowia oraz administracji publicznej.</w:t>
            </w:r>
          </w:p>
        </w:tc>
      </w:tr>
    </w:tbl>
    <w:p w14:paraId="1CA03E23" w14:textId="77777777" w:rsidR="008C5CFA" w:rsidRDefault="008C5CFA" w:rsidP="00300A01">
      <w:pPr>
        <w:spacing w:before="0" w:after="0"/>
        <w:rPr>
          <w:lang w:val="fr-BE"/>
        </w:rPr>
      </w:pPr>
    </w:p>
    <w:p w14:paraId="4A7C95F0" w14:textId="77777777" w:rsidR="008C5CFA" w:rsidRDefault="00E82A60" w:rsidP="00300A01">
      <w:pPr>
        <w:spacing w:before="0" w:after="0"/>
        <w:rPr>
          <w:lang w:val="fr-BE"/>
        </w:rPr>
      </w:pPr>
      <w:r>
        <w:rPr>
          <w:lang w:val="fr-BE"/>
        </w:rPr>
        <w:t xml:space="preserve">Tabela 1: Wskaźniki rezultatu dla EFRR i Funduszu Spójności (według osi priorytetowej i celu szczegółowego); ma zastosowanie także do osi priorytetowej </w:t>
      </w:r>
      <w:r>
        <w:t>"</w:t>
      </w:r>
      <w:r>
        <w:rPr>
          <w:lang w:val="fr-BE"/>
        </w:rPr>
        <w:t>Pomoc techniczna</w:t>
      </w:r>
      <w:r>
        <w:t>"</w:t>
      </w:r>
    </w:p>
    <w:p w14:paraId="2890EE22"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
        <w:gridCol w:w="3896"/>
        <w:gridCol w:w="1395"/>
        <w:gridCol w:w="1522"/>
        <w:gridCol w:w="1414"/>
        <w:gridCol w:w="1129"/>
        <w:gridCol w:w="1950"/>
        <w:gridCol w:w="1208"/>
        <w:gridCol w:w="1454"/>
        <w:gridCol w:w="711"/>
      </w:tblGrid>
      <w:tr w:rsidR="006B2EC1" w14:paraId="47000477" w14:textId="77777777" w:rsidTr="0047688D">
        <w:tc>
          <w:tcPr>
            <w:tcW w:w="0" w:type="auto"/>
            <w:shd w:val="clear" w:color="auto" w:fill="auto"/>
          </w:tcPr>
          <w:p w14:paraId="5B0C4EF0" w14:textId="77777777" w:rsidR="008C5CFA" w:rsidRPr="0024468B" w:rsidRDefault="00E82A60" w:rsidP="00300A01">
            <w:pPr>
              <w:spacing w:before="0" w:after="0"/>
              <w:rPr>
                <w:sz w:val="16"/>
                <w:szCs w:val="16"/>
                <w:lang w:val="fr-BE"/>
              </w:rPr>
            </w:pPr>
            <w:r w:rsidRPr="0024468B">
              <w:rPr>
                <w:noProof/>
                <w:sz w:val="16"/>
                <w:szCs w:val="16"/>
                <w:lang w:val="fr-BE"/>
              </w:rPr>
              <w:t>ID</w:t>
            </w:r>
          </w:p>
        </w:tc>
        <w:tc>
          <w:tcPr>
            <w:tcW w:w="0" w:type="auto"/>
            <w:shd w:val="clear" w:color="auto" w:fill="auto"/>
          </w:tcPr>
          <w:p w14:paraId="023D3D0F" w14:textId="77777777" w:rsidR="008C5CFA" w:rsidRPr="0024468B" w:rsidRDefault="00E82A60" w:rsidP="00300A01">
            <w:pPr>
              <w:spacing w:before="0" w:after="0"/>
              <w:rPr>
                <w:sz w:val="16"/>
                <w:szCs w:val="16"/>
                <w:lang w:val="fr-BE"/>
              </w:rPr>
            </w:pPr>
            <w:r w:rsidRPr="0024468B">
              <w:rPr>
                <w:noProof/>
                <w:sz w:val="16"/>
                <w:szCs w:val="16"/>
                <w:lang w:val="fr-BE"/>
              </w:rPr>
              <w:t>Wskaźnik</w:t>
            </w:r>
          </w:p>
        </w:tc>
        <w:tc>
          <w:tcPr>
            <w:tcW w:w="0" w:type="auto"/>
            <w:shd w:val="clear" w:color="auto" w:fill="auto"/>
          </w:tcPr>
          <w:p w14:paraId="025C2332" w14:textId="77777777" w:rsidR="008C5CFA" w:rsidRPr="0024468B" w:rsidRDefault="00E82A60" w:rsidP="00300A01">
            <w:pPr>
              <w:spacing w:before="0" w:after="0"/>
              <w:rPr>
                <w:sz w:val="16"/>
                <w:szCs w:val="16"/>
                <w:lang w:val="fr-BE"/>
              </w:rPr>
            </w:pPr>
            <w:r w:rsidRPr="0024468B">
              <w:rPr>
                <w:noProof/>
                <w:sz w:val="16"/>
                <w:szCs w:val="16"/>
                <w:lang w:val="fr-BE"/>
              </w:rPr>
              <w:t>Jednostka miary</w:t>
            </w:r>
          </w:p>
        </w:tc>
        <w:tc>
          <w:tcPr>
            <w:tcW w:w="0" w:type="auto"/>
            <w:shd w:val="clear" w:color="auto" w:fill="auto"/>
          </w:tcPr>
          <w:p w14:paraId="23BEF83B" w14:textId="77777777" w:rsidR="008C5CFA" w:rsidRPr="0024468B" w:rsidRDefault="00E82A60" w:rsidP="00300A01">
            <w:pPr>
              <w:spacing w:before="0" w:after="0"/>
              <w:rPr>
                <w:sz w:val="16"/>
                <w:szCs w:val="16"/>
                <w:lang w:val="fr-BE"/>
              </w:rPr>
            </w:pPr>
            <w:r w:rsidRPr="0024468B">
              <w:rPr>
                <w:noProof/>
                <w:sz w:val="16"/>
                <w:szCs w:val="16"/>
                <w:lang w:val="fr-BE"/>
              </w:rPr>
              <w:t>Kategoria regionu</w:t>
            </w:r>
          </w:p>
        </w:tc>
        <w:tc>
          <w:tcPr>
            <w:tcW w:w="0" w:type="auto"/>
            <w:shd w:val="clear" w:color="auto" w:fill="auto"/>
          </w:tcPr>
          <w:p w14:paraId="7045A959" w14:textId="77777777" w:rsidR="008C5CFA" w:rsidRPr="0024468B" w:rsidRDefault="00E82A60" w:rsidP="00300A01">
            <w:pPr>
              <w:spacing w:before="0" w:after="0"/>
              <w:rPr>
                <w:sz w:val="16"/>
                <w:szCs w:val="16"/>
                <w:lang w:val="fr-BE"/>
              </w:rPr>
            </w:pPr>
            <w:r w:rsidRPr="0024468B">
              <w:rPr>
                <w:noProof/>
                <w:sz w:val="16"/>
                <w:szCs w:val="16"/>
                <w:lang w:val="fr-BE"/>
              </w:rPr>
              <w:t>Wartość bazowa</w:t>
            </w:r>
          </w:p>
        </w:tc>
        <w:tc>
          <w:tcPr>
            <w:tcW w:w="0" w:type="auto"/>
            <w:shd w:val="clear" w:color="auto" w:fill="auto"/>
          </w:tcPr>
          <w:p w14:paraId="3B7E9D30" w14:textId="77777777" w:rsidR="008C5CFA" w:rsidRPr="0024468B" w:rsidRDefault="00E82A60" w:rsidP="00300A01">
            <w:pPr>
              <w:spacing w:before="0" w:after="0"/>
              <w:rPr>
                <w:sz w:val="16"/>
                <w:szCs w:val="16"/>
                <w:lang w:val="fr-BE"/>
              </w:rPr>
            </w:pPr>
            <w:r w:rsidRPr="0024468B">
              <w:rPr>
                <w:noProof/>
                <w:sz w:val="16"/>
                <w:szCs w:val="16"/>
                <w:lang w:val="fr-BE"/>
              </w:rPr>
              <w:t>Rok bazowy</w:t>
            </w:r>
          </w:p>
        </w:tc>
        <w:tc>
          <w:tcPr>
            <w:tcW w:w="0" w:type="auto"/>
            <w:shd w:val="clear" w:color="auto" w:fill="auto"/>
          </w:tcPr>
          <w:p w14:paraId="03611CF9" w14:textId="77777777" w:rsidR="008C5CFA" w:rsidRPr="0024468B" w:rsidRDefault="00E82A60" w:rsidP="00300A01">
            <w:pPr>
              <w:spacing w:before="0" w:after="0"/>
              <w:rPr>
                <w:sz w:val="16"/>
                <w:szCs w:val="16"/>
                <w:lang w:val="fr-BE"/>
              </w:rPr>
            </w:pPr>
            <w:r w:rsidRPr="0024468B">
              <w:rPr>
                <w:noProof/>
                <w:sz w:val="16"/>
                <w:szCs w:val="16"/>
                <w:lang w:val="fr-BE"/>
              </w:rPr>
              <w:t>Wartość docelowa 2023</w:t>
            </w:r>
          </w:p>
        </w:tc>
        <w:tc>
          <w:tcPr>
            <w:tcW w:w="0" w:type="auto"/>
            <w:shd w:val="clear" w:color="auto" w:fill="auto"/>
          </w:tcPr>
          <w:p w14:paraId="3FA12A77" w14:textId="77777777" w:rsidR="008C5CFA" w:rsidRPr="0024468B" w:rsidRDefault="00E82A60" w:rsidP="00300A01">
            <w:pPr>
              <w:spacing w:before="0" w:after="0"/>
              <w:jc w:val="center"/>
              <w:rPr>
                <w:sz w:val="16"/>
                <w:szCs w:val="16"/>
                <w:lang w:val="fr-BE"/>
              </w:rPr>
            </w:pPr>
            <w:r>
              <w:rPr>
                <w:sz w:val="16"/>
                <w:szCs w:val="16"/>
                <w:lang w:val="fr-BE"/>
              </w:rPr>
              <w:t xml:space="preserve">2019 </w:t>
            </w:r>
            <w:r>
              <w:rPr>
                <w:noProof/>
                <w:sz w:val="16"/>
                <w:szCs w:val="16"/>
                <w:lang w:val="fr-BE"/>
              </w:rPr>
              <w:t>Ogółem</w:t>
            </w:r>
          </w:p>
        </w:tc>
        <w:tc>
          <w:tcPr>
            <w:tcW w:w="0" w:type="auto"/>
            <w:shd w:val="clear" w:color="auto" w:fill="auto"/>
          </w:tcPr>
          <w:p w14:paraId="24E6DEF0" w14:textId="77777777" w:rsidR="008C5CFA" w:rsidRPr="0024468B" w:rsidRDefault="00E82A60" w:rsidP="00300A01">
            <w:pPr>
              <w:spacing w:before="0" w:after="0"/>
              <w:jc w:val="center"/>
              <w:rPr>
                <w:sz w:val="16"/>
                <w:szCs w:val="16"/>
                <w:lang w:val="fr-BE"/>
              </w:rPr>
            </w:pPr>
            <w:r>
              <w:rPr>
                <w:sz w:val="16"/>
                <w:szCs w:val="16"/>
                <w:lang w:val="fr-BE"/>
              </w:rPr>
              <w:t xml:space="preserve">2019 </w:t>
            </w:r>
            <w:r w:rsidRPr="0024468B">
              <w:rPr>
                <w:noProof/>
                <w:sz w:val="16"/>
                <w:szCs w:val="16"/>
                <w:lang w:val="fr-BE"/>
              </w:rPr>
              <w:t>Jakościowe</w:t>
            </w:r>
          </w:p>
        </w:tc>
        <w:tc>
          <w:tcPr>
            <w:tcW w:w="0" w:type="auto"/>
            <w:shd w:val="clear" w:color="auto" w:fill="auto"/>
          </w:tcPr>
          <w:p w14:paraId="48037082" w14:textId="77777777" w:rsidR="008C5CFA" w:rsidRPr="0024468B" w:rsidRDefault="00E82A60" w:rsidP="00300A01">
            <w:pPr>
              <w:spacing w:before="0" w:after="0"/>
              <w:jc w:val="center"/>
              <w:rPr>
                <w:sz w:val="16"/>
                <w:szCs w:val="16"/>
                <w:lang w:val="fr-BE"/>
              </w:rPr>
            </w:pPr>
            <w:r w:rsidRPr="0024468B">
              <w:rPr>
                <w:noProof/>
                <w:sz w:val="16"/>
                <w:szCs w:val="16"/>
                <w:lang w:val="fr-BE"/>
              </w:rPr>
              <w:t>Uwagi</w:t>
            </w:r>
          </w:p>
        </w:tc>
      </w:tr>
      <w:tr w:rsidR="006B2EC1" w14:paraId="27703745" w14:textId="77777777" w:rsidTr="0047688D">
        <w:tc>
          <w:tcPr>
            <w:tcW w:w="0" w:type="auto"/>
            <w:shd w:val="clear" w:color="auto" w:fill="auto"/>
          </w:tcPr>
          <w:p w14:paraId="66B82FE1" w14:textId="77777777" w:rsidR="008C5CFA" w:rsidRPr="0024468B" w:rsidRDefault="00E82A60" w:rsidP="00300A01">
            <w:pPr>
              <w:spacing w:before="0" w:after="0"/>
              <w:rPr>
                <w:sz w:val="16"/>
                <w:szCs w:val="16"/>
                <w:lang w:val="fr-BE"/>
              </w:rPr>
            </w:pPr>
            <w:r w:rsidRPr="0024468B">
              <w:rPr>
                <w:noProof/>
                <w:sz w:val="16"/>
                <w:szCs w:val="16"/>
                <w:lang w:val="fr-BE"/>
              </w:rPr>
              <w:t>055</w:t>
            </w:r>
          </w:p>
        </w:tc>
        <w:tc>
          <w:tcPr>
            <w:tcW w:w="0" w:type="auto"/>
            <w:shd w:val="clear" w:color="auto" w:fill="auto"/>
          </w:tcPr>
          <w:p w14:paraId="4311C519" w14:textId="77777777" w:rsidR="008C5CFA" w:rsidRPr="0024468B" w:rsidRDefault="00E82A60" w:rsidP="00300A01">
            <w:pPr>
              <w:spacing w:before="0" w:after="0"/>
              <w:rPr>
                <w:sz w:val="16"/>
                <w:szCs w:val="16"/>
                <w:lang w:val="fr-BE"/>
              </w:rPr>
            </w:pPr>
            <w:r w:rsidRPr="0024468B">
              <w:rPr>
                <w:noProof/>
                <w:sz w:val="16"/>
                <w:szCs w:val="16"/>
                <w:lang w:val="fr-BE"/>
              </w:rPr>
              <w:t>Odsetek obywateli korzystających z e-administracji</w:t>
            </w:r>
          </w:p>
        </w:tc>
        <w:tc>
          <w:tcPr>
            <w:tcW w:w="0" w:type="auto"/>
            <w:shd w:val="clear" w:color="auto" w:fill="auto"/>
          </w:tcPr>
          <w:p w14:paraId="1BC31B50" w14:textId="77777777" w:rsidR="008C5CFA" w:rsidRPr="0024468B" w:rsidRDefault="00E82A60" w:rsidP="00300A01">
            <w:pPr>
              <w:spacing w:before="0" w:after="0"/>
              <w:rPr>
                <w:sz w:val="16"/>
                <w:szCs w:val="16"/>
                <w:lang w:val="fr-BE"/>
              </w:rPr>
            </w:pPr>
            <w:r w:rsidRPr="0024468B">
              <w:rPr>
                <w:noProof/>
                <w:sz w:val="16"/>
                <w:szCs w:val="16"/>
                <w:lang w:val="fr-BE"/>
              </w:rPr>
              <w:t>%</w:t>
            </w:r>
          </w:p>
        </w:tc>
        <w:tc>
          <w:tcPr>
            <w:tcW w:w="0" w:type="auto"/>
            <w:shd w:val="clear" w:color="auto" w:fill="auto"/>
          </w:tcPr>
          <w:p w14:paraId="26FB8DA0" w14:textId="77777777" w:rsidR="008C5CFA" w:rsidRPr="0024468B" w:rsidRDefault="00E82A60"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14:paraId="1B750A7E" w14:textId="77777777" w:rsidR="008C5CFA" w:rsidRPr="00C3185A" w:rsidRDefault="00E82A60" w:rsidP="00300A01">
            <w:pPr>
              <w:spacing w:before="0" w:after="0"/>
              <w:jc w:val="right"/>
              <w:rPr>
                <w:sz w:val="16"/>
                <w:szCs w:val="16"/>
                <w:lang w:val="fr-BE"/>
              </w:rPr>
            </w:pPr>
            <w:r w:rsidRPr="00C3185A">
              <w:rPr>
                <w:noProof/>
                <w:sz w:val="16"/>
                <w:szCs w:val="16"/>
                <w:lang w:val="fr-BE"/>
              </w:rPr>
              <w:t>20,80</w:t>
            </w:r>
          </w:p>
        </w:tc>
        <w:tc>
          <w:tcPr>
            <w:tcW w:w="0" w:type="auto"/>
            <w:shd w:val="clear" w:color="auto" w:fill="auto"/>
          </w:tcPr>
          <w:p w14:paraId="742055AB" w14:textId="77777777" w:rsidR="008C5CFA" w:rsidRPr="0024468B" w:rsidRDefault="00E82A60" w:rsidP="00300A01">
            <w:pPr>
              <w:spacing w:before="0" w:after="0"/>
              <w:rPr>
                <w:sz w:val="16"/>
                <w:szCs w:val="16"/>
                <w:lang w:val="fr-BE"/>
              </w:rPr>
            </w:pPr>
            <w:r w:rsidRPr="0024468B">
              <w:rPr>
                <w:noProof/>
                <w:sz w:val="16"/>
                <w:szCs w:val="16"/>
                <w:lang w:val="fr-BE"/>
              </w:rPr>
              <w:t>2014</w:t>
            </w:r>
          </w:p>
        </w:tc>
        <w:tc>
          <w:tcPr>
            <w:tcW w:w="0" w:type="auto"/>
            <w:shd w:val="clear" w:color="auto" w:fill="auto"/>
          </w:tcPr>
          <w:p w14:paraId="17836F6B" w14:textId="77777777" w:rsidR="008C5CFA" w:rsidRPr="0024468B" w:rsidRDefault="00E82A60" w:rsidP="00300A01">
            <w:pPr>
              <w:spacing w:before="0" w:after="0"/>
              <w:jc w:val="right"/>
              <w:rPr>
                <w:sz w:val="16"/>
                <w:szCs w:val="16"/>
                <w:lang w:val="fr-BE"/>
              </w:rPr>
            </w:pPr>
            <w:r w:rsidRPr="0024468B">
              <w:rPr>
                <w:noProof/>
                <w:sz w:val="16"/>
                <w:szCs w:val="16"/>
                <w:lang w:val="fr-BE"/>
              </w:rPr>
              <w:t>23,00</w:t>
            </w:r>
          </w:p>
        </w:tc>
        <w:tc>
          <w:tcPr>
            <w:tcW w:w="0" w:type="auto"/>
            <w:shd w:val="clear" w:color="auto" w:fill="auto"/>
          </w:tcPr>
          <w:p w14:paraId="28561DBC"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0ABF822D" w14:textId="77777777" w:rsidR="008C5CFA" w:rsidRPr="0024468B" w:rsidRDefault="008C5CFA" w:rsidP="00300A01">
            <w:pPr>
              <w:spacing w:before="0" w:after="0"/>
              <w:jc w:val="right"/>
              <w:rPr>
                <w:sz w:val="16"/>
                <w:szCs w:val="16"/>
                <w:lang w:val="fr-BE"/>
              </w:rPr>
            </w:pPr>
          </w:p>
        </w:tc>
        <w:tc>
          <w:tcPr>
            <w:tcW w:w="0" w:type="auto"/>
            <w:shd w:val="clear" w:color="auto" w:fill="auto"/>
          </w:tcPr>
          <w:p w14:paraId="6FF1B9C2" w14:textId="77777777" w:rsidR="008C5CFA" w:rsidRPr="0024468B" w:rsidRDefault="008C5CFA" w:rsidP="00300A01">
            <w:pPr>
              <w:spacing w:before="0" w:after="0"/>
              <w:rPr>
                <w:sz w:val="16"/>
                <w:szCs w:val="16"/>
                <w:lang w:val="fr-BE"/>
              </w:rPr>
            </w:pPr>
          </w:p>
        </w:tc>
      </w:tr>
    </w:tbl>
    <w:p w14:paraId="17052C35"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
        <w:gridCol w:w="3932"/>
        <w:gridCol w:w="1219"/>
        <w:gridCol w:w="1467"/>
        <w:gridCol w:w="1219"/>
        <w:gridCol w:w="1467"/>
        <w:gridCol w:w="1219"/>
        <w:gridCol w:w="1467"/>
        <w:gridCol w:w="1219"/>
        <w:gridCol w:w="1467"/>
      </w:tblGrid>
      <w:tr w:rsidR="006B2EC1" w14:paraId="4898E94E" w14:textId="77777777" w:rsidTr="0047688D">
        <w:tc>
          <w:tcPr>
            <w:tcW w:w="0" w:type="auto"/>
            <w:shd w:val="clear" w:color="auto" w:fill="auto"/>
          </w:tcPr>
          <w:p w14:paraId="3C7DB470" w14:textId="77777777" w:rsidR="008C5CFA" w:rsidRPr="0024468B" w:rsidRDefault="00E82A60" w:rsidP="00300A01">
            <w:pPr>
              <w:spacing w:before="0" w:after="0"/>
              <w:rPr>
                <w:sz w:val="16"/>
                <w:szCs w:val="16"/>
                <w:lang w:val="fr-BE"/>
              </w:rPr>
            </w:pPr>
            <w:r w:rsidRPr="0024468B">
              <w:rPr>
                <w:noProof/>
                <w:sz w:val="16"/>
                <w:szCs w:val="16"/>
                <w:lang w:val="fr-BE"/>
              </w:rPr>
              <w:t>ID</w:t>
            </w:r>
          </w:p>
        </w:tc>
        <w:tc>
          <w:tcPr>
            <w:tcW w:w="0" w:type="auto"/>
            <w:shd w:val="clear" w:color="auto" w:fill="auto"/>
          </w:tcPr>
          <w:p w14:paraId="3D7FF598" w14:textId="77777777" w:rsidR="008C5CFA" w:rsidRPr="0024468B" w:rsidRDefault="00E82A60" w:rsidP="00300A01">
            <w:pPr>
              <w:spacing w:before="0" w:after="0"/>
              <w:rPr>
                <w:sz w:val="16"/>
                <w:szCs w:val="16"/>
                <w:lang w:val="fr-BE"/>
              </w:rPr>
            </w:pPr>
            <w:r w:rsidRPr="0024468B">
              <w:rPr>
                <w:noProof/>
                <w:sz w:val="16"/>
                <w:szCs w:val="16"/>
                <w:lang w:val="fr-BE"/>
              </w:rPr>
              <w:t>Wskaźnik</w:t>
            </w:r>
          </w:p>
        </w:tc>
        <w:tc>
          <w:tcPr>
            <w:tcW w:w="0" w:type="auto"/>
          </w:tcPr>
          <w:p w14:paraId="70FD97F1" w14:textId="77777777" w:rsidR="008C5CFA" w:rsidRPr="0024468B" w:rsidRDefault="00E82A60" w:rsidP="00300A01">
            <w:pPr>
              <w:spacing w:before="0" w:after="0"/>
              <w:jc w:val="center"/>
              <w:rPr>
                <w:sz w:val="16"/>
                <w:szCs w:val="16"/>
                <w:lang w:val="fr-BE"/>
              </w:rPr>
            </w:pPr>
            <w:r>
              <w:rPr>
                <w:sz w:val="16"/>
                <w:szCs w:val="16"/>
                <w:lang w:val="fr-BE"/>
              </w:rPr>
              <w:t xml:space="preserve">2018 </w:t>
            </w:r>
            <w:r>
              <w:rPr>
                <w:noProof/>
                <w:sz w:val="16"/>
                <w:szCs w:val="16"/>
                <w:lang w:val="fr-BE"/>
              </w:rPr>
              <w:t>Ogółem</w:t>
            </w:r>
          </w:p>
        </w:tc>
        <w:tc>
          <w:tcPr>
            <w:tcW w:w="0" w:type="auto"/>
          </w:tcPr>
          <w:p w14:paraId="4BBADC94" w14:textId="77777777" w:rsidR="008C5CFA" w:rsidRPr="0024468B" w:rsidRDefault="00E82A60" w:rsidP="00300A01">
            <w:pPr>
              <w:spacing w:before="0" w:after="0"/>
              <w:jc w:val="center"/>
              <w:rPr>
                <w:sz w:val="16"/>
                <w:szCs w:val="16"/>
                <w:lang w:val="fr-BE"/>
              </w:rPr>
            </w:pPr>
            <w:r>
              <w:rPr>
                <w:sz w:val="16"/>
                <w:szCs w:val="16"/>
                <w:lang w:val="fr-BE"/>
              </w:rPr>
              <w:t xml:space="preserve">2018 </w:t>
            </w:r>
            <w:r w:rsidRPr="0024468B">
              <w:rPr>
                <w:noProof/>
                <w:sz w:val="16"/>
                <w:szCs w:val="16"/>
                <w:lang w:val="fr-BE"/>
              </w:rPr>
              <w:t>Jakościowe</w:t>
            </w:r>
          </w:p>
        </w:tc>
        <w:tc>
          <w:tcPr>
            <w:tcW w:w="0" w:type="auto"/>
          </w:tcPr>
          <w:p w14:paraId="5AAD067C" w14:textId="77777777" w:rsidR="008C5CFA" w:rsidRPr="0024468B" w:rsidRDefault="00E82A60" w:rsidP="00300A01">
            <w:pPr>
              <w:spacing w:before="0" w:after="0"/>
              <w:jc w:val="center"/>
              <w:rPr>
                <w:sz w:val="16"/>
                <w:szCs w:val="16"/>
                <w:lang w:val="fr-BE"/>
              </w:rPr>
            </w:pPr>
            <w:r>
              <w:rPr>
                <w:sz w:val="16"/>
                <w:szCs w:val="16"/>
                <w:lang w:val="fr-BE"/>
              </w:rPr>
              <w:t xml:space="preserve">2017 </w:t>
            </w:r>
            <w:r>
              <w:rPr>
                <w:noProof/>
                <w:sz w:val="16"/>
                <w:szCs w:val="16"/>
                <w:lang w:val="fr-BE"/>
              </w:rPr>
              <w:t>Ogółem</w:t>
            </w:r>
          </w:p>
        </w:tc>
        <w:tc>
          <w:tcPr>
            <w:tcW w:w="0" w:type="auto"/>
          </w:tcPr>
          <w:p w14:paraId="3ADEB264" w14:textId="77777777" w:rsidR="008C5CFA" w:rsidRPr="0024468B" w:rsidRDefault="00E82A60" w:rsidP="00300A01">
            <w:pPr>
              <w:spacing w:before="0" w:after="0"/>
              <w:jc w:val="center"/>
              <w:rPr>
                <w:sz w:val="16"/>
                <w:szCs w:val="16"/>
                <w:lang w:val="fr-BE"/>
              </w:rPr>
            </w:pPr>
            <w:r>
              <w:rPr>
                <w:sz w:val="16"/>
                <w:szCs w:val="16"/>
                <w:lang w:val="fr-BE"/>
              </w:rPr>
              <w:t xml:space="preserve">2017 </w:t>
            </w:r>
            <w:r w:rsidRPr="0024468B">
              <w:rPr>
                <w:noProof/>
                <w:sz w:val="16"/>
                <w:szCs w:val="16"/>
                <w:lang w:val="fr-BE"/>
              </w:rPr>
              <w:t>Jakościowe</w:t>
            </w:r>
          </w:p>
        </w:tc>
        <w:tc>
          <w:tcPr>
            <w:tcW w:w="0" w:type="auto"/>
          </w:tcPr>
          <w:p w14:paraId="0C6E7D06" w14:textId="77777777" w:rsidR="008C5CFA" w:rsidRPr="0024468B" w:rsidRDefault="00E82A60" w:rsidP="00300A01">
            <w:pPr>
              <w:spacing w:before="0" w:after="0"/>
              <w:jc w:val="center"/>
              <w:rPr>
                <w:sz w:val="16"/>
                <w:szCs w:val="16"/>
                <w:lang w:val="fr-BE"/>
              </w:rPr>
            </w:pPr>
            <w:r>
              <w:rPr>
                <w:sz w:val="16"/>
                <w:szCs w:val="16"/>
                <w:lang w:val="fr-BE"/>
              </w:rPr>
              <w:t xml:space="preserve">2016 </w:t>
            </w:r>
            <w:r>
              <w:rPr>
                <w:noProof/>
                <w:sz w:val="16"/>
                <w:szCs w:val="16"/>
                <w:lang w:val="fr-BE"/>
              </w:rPr>
              <w:t>Ogółem</w:t>
            </w:r>
          </w:p>
        </w:tc>
        <w:tc>
          <w:tcPr>
            <w:tcW w:w="0" w:type="auto"/>
          </w:tcPr>
          <w:p w14:paraId="05BF08BA" w14:textId="77777777" w:rsidR="008C5CFA" w:rsidRPr="0024468B" w:rsidRDefault="00E82A60" w:rsidP="00300A01">
            <w:pPr>
              <w:spacing w:before="0" w:after="0"/>
              <w:jc w:val="center"/>
              <w:rPr>
                <w:sz w:val="16"/>
                <w:szCs w:val="16"/>
                <w:lang w:val="fr-BE"/>
              </w:rPr>
            </w:pPr>
            <w:r>
              <w:rPr>
                <w:sz w:val="16"/>
                <w:szCs w:val="16"/>
                <w:lang w:val="fr-BE"/>
              </w:rPr>
              <w:t xml:space="preserve">2016 </w:t>
            </w:r>
            <w:r w:rsidRPr="0024468B">
              <w:rPr>
                <w:noProof/>
                <w:sz w:val="16"/>
                <w:szCs w:val="16"/>
                <w:lang w:val="fr-BE"/>
              </w:rPr>
              <w:t>Jakościowe</w:t>
            </w:r>
          </w:p>
        </w:tc>
        <w:tc>
          <w:tcPr>
            <w:tcW w:w="0" w:type="auto"/>
          </w:tcPr>
          <w:p w14:paraId="0CBE8E3B" w14:textId="77777777" w:rsidR="008C5CFA" w:rsidRPr="0024468B" w:rsidRDefault="00E82A60" w:rsidP="00300A01">
            <w:pPr>
              <w:spacing w:before="0" w:after="0"/>
              <w:jc w:val="center"/>
              <w:rPr>
                <w:sz w:val="16"/>
                <w:szCs w:val="16"/>
                <w:lang w:val="fr-BE"/>
              </w:rPr>
            </w:pPr>
            <w:r>
              <w:rPr>
                <w:sz w:val="16"/>
                <w:szCs w:val="16"/>
                <w:lang w:val="fr-BE"/>
              </w:rPr>
              <w:t xml:space="preserve">2015 </w:t>
            </w:r>
            <w:r>
              <w:rPr>
                <w:noProof/>
                <w:sz w:val="16"/>
                <w:szCs w:val="16"/>
                <w:lang w:val="fr-BE"/>
              </w:rPr>
              <w:t>Ogółem</w:t>
            </w:r>
          </w:p>
        </w:tc>
        <w:tc>
          <w:tcPr>
            <w:tcW w:w="0" w:type="auto"/>
          </w:tcPr>
          <w:p w14:paraId="05632BED" w14:textId="77777777" w:rsidR="008C5CFA" w:rsidRPr="0024468B" w:rsidRDefault="00E82A60" w:rsidP="00300A01">
            <w:pPr>
              <w:spacing w:before="0" w:after="0"/>
              <w:jc w:val="center"/>
              <w:rPr>
                <w:sz w:val="16"/>
                <w:szCs w:val="16"/>
                <w:lang w:val="fr-BE"/>
              </w:rPr>
            </w:pPr>
            <w:r>
              <w:rPr>
                <w:sz w:val="16"/>
                <w:szCs w:val="16"/>
                <w:lang w:val="fr-BE"/>
              </w:rPr>
              <w:t xml:space="preserve">2015 </w:t>
            </w:r>
            <w:r w:rsidRPr="0024468B">
              <w:rPr>
                <w:noProof/>
                <w:sz w:val="16"/>
                <w:szCs w:val="16"/>
                <w:lang w:val="fr-BE"/>
              </w:rPr>
              <w:t>Jakościowe</w:t>
            </w:r>
          </w:p>
        </w:tc>
      </w:tr>
      <w:tr w:rsidR="006B2EC1" w14:paraId="3CAB78EA" w14:textId="77777777" w:rsidTr="0047688D">
        <w:tc>
          <w:tcPr>
            <w:tcW w:w="0" w:type="auto"/>
            <w:shd w:val="clear" w:color="auto" w:fill="auto"/>
          </w:tcPr>
          <w:p w14:paraId="2D3B36BF" w14:textId="77777777" w:rsidR="008C5CFA" w:rsidRPr="0024468B" w:rsidRDefault="00E82A60" w:rsidP="00300A01">
            <w:pPr>
              <w:spacing w:before="0" w:after="0"/>
              <w:rPr>
                <w:sz w:val="16"/>
                <w:szCs w:val="16"/>
                <w:lang w:val="fr-BE"/>
              </w:rPr>
            </w:pPr>
            <w:r w:rsidRPr="0024468B">
              <w:rPr>
                <w:noProof/>
                <w:sz w:val="16"/>
                <w:szCs w:val="16"/>
                <w:lang w:val="fr-BE"/>
              </w:rPr>
              <w:t>055</w:t>
            </w:r>
          </w:p>
        </w:tc>
        <w:tc>
          <w:tcPr>
            <w:tcW w:w="0" w:type="auto"/>
            <w:shd w:val="clear" w:color="auto" w:fill="auto"/>
          </w:tcPr>
          <w:p w14:paraId="53AFF5F5" w14:textId="77777777" w:rsidR="008C5CFA" w:rsidRPr="0024468B" w:rsidRDefault="00E82A60" w:rsidP="00300A01">
            <w:pPr>
              <w:spacing w:before="0" w:after="0"/>
              <w:rPr>
                <w:sz w:val="16"/>
                <w:szCs w:val="16"/>
                <w:lang w:val="fr-BE"/>
              </w:rPr>
            </w:pPr>
            <w:r w:rsidRPr="0024468B">
              <w:rPr>
                <w:noProof/>
                <w:sz w:val="16"/>
                <w:szCs w:val="16"/>
                <w:lang w:val="fr-BE"/>
              </w:rPr>
              <w:t>Odsetek obywateli korzystających z e-administracji</w:t>
            </w:r>
          </w:p>
        </w:tc>
        <w:tc>
          <w:tcPr>
            <w:tcW w:w="0" w:type="auto"/>
          </w:tcPr>
          <w:p w14:paraId="207B972A" w14:textId="77777777" w:rsidR="008C5CFA" w:rsidRPr="0024468B" w:rsidRDefault="00E82A60" w:rsidP="00300A01">
            <w:pPr>
              <w:spacing w:before="0" w:after="0"/>
              <w:jc w:val="right"/>
              <w:rPr>
                <w:sz w:val="16"/>
                <w:szCs w:val="16"/>
                <w:lang w:val="fr-BE"/>
              </w:rPr>
            </w:pPr>
            <w:r w:rsidRPr="0024468B">
              <w:rPr>
                <w:noProof/>
                <w:sz w:val="16"/>
                <w:szCs w:val="16"/>
                <w:lang w:val="fr-BE"/>
              </w:rPr>
              <w:t>32,90</w:t>
            </w:r>
          </w:p>
        </w:tc>
        <w:tc>
          <w:tcPr>
            <w:tcW w:w="0" w:type="auto"/>
          </w:tcPr>
          <w:p w14:paraId="4062F3F5" w14:textId="77777777" w:rsidR="008C5CFA" w:rsidRPr="0024468B" w:rsidRDefault="008C5CFA" w:rsidP="00300A01">
            <w:pPr>
              <w:spacing w:before="0" w:after="0"/>
              <w:jc w:val="right"/>
              <w:rPr>
                <w:sz w:val="16"/>
                <w:szCs w:val="16"/>
                <w:lang w:val="fr-BE"/>
              </w:rPr>
            </w:pPr>
          </w:p>
        </w:tc>
        <w:tc>
          <w:tcPr>
            <w:tcW w:w="0" w:type="auto"/>
          </w:tcPr>
          <w:p w14:paraId="2F35E5B5" w14:textId="77777777" w:rsidR="008C5CFA" w:rsidRPr="0024468B" w:rsidRDefault="00E82A60" w:rsidP="00300A01">
            <w:pPr>
              <w:spacing w:before="0" w:after="0"/>
              <w:jc w:val="right"/>
              <w:rPr>
                <w:sz w:val="16"/>
                <w:szCs w:val="16"/>
                <w:lang w:val="fr-BE"/>
              </w:rPr>
            </w:pPr>
            <w:r w:rsidRPr="0024468B">
              <w:rPr>
                <w:noProof/>
                <w:sz w:val="16"/>
                <w:szCs w:val="16"/>
                <w:lang w:val="fr-BE"/>
              </w:rPr>
              <w:t>26,50</w:t>
            </w:r>
          </w:p>
        </w:tc>
        <w:tc>
          <w:tcPr>
            <w:tcW w:w="0" w:type="auto"/>
          </w:tcPr>
          <w:p w14:paraId="41BA1337" w14:textId="77777777" w:rsidR="008C5CFA" w:rsidRPr="0024468B" w:rsidRDefault="008C5CFA" w:rsidP="00300A01">
            <w:pPr>
              <w:spacing w:before="0" w:after="0"/>
              <w:jc w:val="right"/>
              <w:rPr>
                <w:sz w:val="16"/>
                <w:szCs w:val="16"/>
                <w:lang w:val="fr-BE"/>
              </w:rPr>
            </w:pPr>
          </w:p>
        </w:tc>
        <w:tc>
          <w:tcPr>
            <w:tcW w:w="0" w:type="auto"/>
          </w:tcPr>
          <w:p w14:paraId="1A80033E" w14:textId="77777777" w:rsidR="008C5CFA" w:rsidRPr="0024468B" w:rsidRDefault="00E82A60" w:rsidP="00300A01">
            <w:pPr>
              <w:spacing w:before="0" w:after="0"/>
              <w:jc w:val="right"/>
              <w:rPr>
                <w:sz w:val="16"/>
                <w:szCs w:val="16"/>
                <w:lang w:val="fr-BE"/>
              </w:rPr>
            </w:pPr>
            <w:r w:rsidRPr="0024468B">
              <w:rPr>
                <w:noProof/>
                <w:sz w:val="16"/>
                <w:szCs w:val="16"/>
                <w:lang w:val="fr-BE"/>
              </w:rPr>
              <w:t>22,60</w:t>
            </w:r>
          </w:p>
        </w:tc>
        <w:tc>
          <w:tcPr>
            <w:tcW w:w="0" w:type="auto"/>
          </w:tcPr>
          <w:p w14:paraId="3C092855" w14:textId="77777777" w:rsidR="008C5CFA" w:rsidRPr="0024468B" w:rsidRDefault="008C5CFA" w:rsidP="00300A01">
            <w:pPr>
              <w:spacing w:before="0" w:after="0"/>
              <w:jc w:val="right"/>
              <w:rPr>
                <w:sz w:val="16"/>
                <w:szCs w:val="16"/>
                <w:lang w:val="fr-BE"/>
              </w:rPr>
            </w:pPr>
          </w:p>
        </w:tc>
        <w:tc>
          <w:tcPr>
            <w:tcW w:w="0" w:type="auto"/>
          </w:tcPr>
          <w:p w14:paraId="465D114E" w14:textId="77777777" w:rsidR="008C5CFA" w:rsidRPr="0024468B" w:rsidRDefault="00E82A60" w:rsidP="00300A01">
            <w:pPr>
              <w:spacing w:before="0" w:after="0"/>
              <w:jc w:val="right"/>
              <w:rPr>
                <w:sz w:val="16"/>
                <w:szCs w:val="16"/>
                <w:lang w:val="fr-BE"/>
              </w:rPr>
            </w:pPr>
            <w:r w:rsidRPr="0024468B">
              <w:rPr>
                <w:noProof/>
                <w:sz w:val="16"/>
                <w:szCs w:val="16"/>
                <w:lang w:val="fr-BE"/>
              </w:rPr>
              <w:t>15,60</w:t>
            </w:r>
          </w:p>
        </w:tc>
        <w:tc>
          <w:tcPr>
            <w:tcW w:w="0" w:type="auto"/>
          </w:tcPr>
          <w:p w14:paraId="7B6DC1A9" w14:textId="77777777" w:rsidR="008C5CFA" w:rsidRPr="0024468B" w:rsidRDefault="008C5CFA" w:rsidP="00300A01">
            <w:pPr>
              <w:spacing w:before="0" w:after="0"/>
              <w:jc w:val="right"/>
              <w:rPr>
                <w:sz w:val="16"/>
                <w:szCs w:val="16"/>
                <w:lang w:val="fr-BE"/>
              </w:rPr>
            </w:pPr>
          </w:p>
        </w:tc>
      </w:tr>
    </w:tbl>
    <w:p w14:paraId="194A810D"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5"/>
        <w:gridCol w:w="8377"/>
        <w:gridCol w:w="2597"/>
        <w:gridCol w:w="3125"/>
      </w:tblGrid>
      <w:tr w:rsidR="006B2EC1" w14:paraId="3E562E25" w14:textId="77777777" w:rsidTr="0047688D">
        <w:tc>
          <w:tcPr>
            <w:tcW w:w="0" w:type="auto"/>
            <w:shd w:val="clear" w:color="auto" w:fill="auto"/>
          </w:tcPr>
          <w:p w14:paraId="5A45939B" w14:textId="77777777" w:rsidR="008C5CFA" w:rsidRPr="0024468B" w:rsidRDefault="00E82A60" w:rsidP="00300A01">
            <w:pPr>
              <w:spacing w:before="0" w:after="0"/>
              <w:rPr>
                <w:sz w:val="16"/>
                <w:szCs w:val="16"/>
                <w:lang w:val="fr-BE"/>
              </w:rPr>
            </w:pPr>
            <w:r w:rsidRPr="0024468B">
              <w:rPr>
                <w:noProof/>
                <w:sz w:val="16"/>
                <w:szCs w:val="16"/>
                <w:lang w:val="fr-BE"/>
              </w:rPr>
              <w:t>ID</w:t>
            </w:r>
          </w:p>
        </w:tc>
        <w:tc>
          <w:tcPr>
            <w:tcW w:w="0" w:type="auto"/>
            <w:shd w:val="clear" w:color="auto" w:fill="auto"/>
          </w:tcPr>
          <w:p w14:paraId="3A3C90E1" w14:textId="77777777" w:rsidR="008C5CFA" w:rsidRPr="0024468B" w:rsidRDefault="00E82A60" w:rsidP="00300A01">
            <w:pPr>
              <w:spacing w:before="0" w:after="0"/>
              <w:rPr>
                <w:sz w:val="16"/>
                <w:szCs w:val="16"/>
                <w:lang w:val="fr-BE"/>
              </w:rPr>
            </w:pPr>
            <w:r w:rsidRPr="0024468B">
              <w:rPr>
                <w:noProof/>
                <w:sz w:val="16"/>
                <w:szCs w:val="16"/>
                <w:lang w:val="fr-BE"/>
              </w:rPr>
              <w:t>Wskaźnik</w:t>
            </w:r>
          </w:p>
        </w:tc>
        <w:tc>
          <w:tcPr>
            <w:tcW w:w="0" w:type="auto"/>
            <w:shd w:val="clear" w:color="auto" w:fill="auto"/>
          </w:tcPr>
          <w:p w14:paraId="408ECCF9" w14:textId="77777777" w:rsidR="008C5CFA" w:rsidRPr="0024468B" w:rsidRDefault="00E82A60" w:rsidP="00300A01">
            <w:pPr>
              <w:spacing w:before="0" w:after="0"/>
              <w:jc w:val="center"/>
              <w:rPr>
                <w:sz w:val="16"/>
                <w:szCs w:val="16"/>
                <w:lang w:val="fr-BE"/>
              </w:rPr>
            </w:pPr>
            <w:r>
              <w:rPr>
                <w:sz w:val="16"/>
                <w:szCs w:val="16"/>
                <w:lang w:val="fr-BE"/>
              </w:rPr>
              <w:t xml:space="preserve">2014 </w:t>
            </w:r>
            <w:r>
              <w:rPr>
                <w:noProof/>
                <w:sz w:val="16"/>
                <w:szCs w:val="16"/>
                <w:lang w:val="fr-BE"/>
              </w:rPr>
              <w:t>Ogółem</w:t>
            </w:r>
          </w:p>
        </w:tc>
        <w:tc>
          <w:tcPr>
            <w:tcW w:w="0" w:type="auto"/>
            <w:shd w:val="clear" w:color="auto" w:fill="auto"/>
          </w:tcPr>
          <w:p w14:paraId="415A4001" w14:textId="77777777" w:rsidR="008C5CFA" w:rsidRPr="0024468B" w:rsidRDefault="00E82A60" w:rsidP="00300A01">
            <w:pPr>
              <w:spacing w:before="0" w:after="0"/>
              <w:jc w:val="center"/>
              <w:rPr>
                <w:sz w:val="16"/>
                <w:szCs w:val="16"/>
                <w:lang w:val="fr-BE"/>
              </w:rPr>
            </w:pPr>
            <w:r>
              <w:rPr>
                <w:sz w:val="16"/>
                <w:szCs w:val="16"/>
                <w:lang w:val="fr-BE"/>
              </w:rPr>
              <w:t xml:space="preserve">2014 </w:t>
            </w:r>
            <w:r w:rsidRPr="0024468B">
              <w:rPr>
                <w:noProof/>
                <w:sz w:val="16"/>
                <w:szCs w:val="16"/>
                <w:lang w:val="fr-BE"/>
              </w:rPr>
              <w:t>Jakościowe</w:t>
            </w:r>
          </w:p>
        </w:tc>
      </w:tr>
      <w:tr w:rsidR="006B2EC1" w14:paraId="196E98B2" w14:textId="77777777" w:rsidTr="0047688D">
        <w:tc>
          <w:tcPr>
            <w:tcW w:w="0" w:type="auto"/>
            <w:shd w:val="clear" w:color="auto" w:fill="auto"/>
          </w:tcPr>
          <w:p w14:paraId="0B351BBC" w14:textId="77777777" w:rsidR="008C5CFA" w:rsidRPr="0024468B" w:rsidRDefault="00E82A60" w:rsidP="00300A01">
            <w:pPr>
              <w:spacing w:before="0" w:after="0"/>
              <w:rPr>
                <w:sz w:val="16"/>
                <w:szCs w:val="16"/>
                <w:lang w:val="fr-BE"/>
              </w:rPr>
            </w:pPr>
            <w:r w:rsidRPr="0024468B">
              <w:rPr>
                <w:noProof/>
                <w:sz w:val="16"/>
                <w:szCs w:val="16"/>
                <w:lang w:val="fr-BE"/>
              </w:rPr>
              <w:t>055</w:t>
            </w:r>
          </w:p>
        </w:tc>
        <w:tc>
          <w:tcPr>
            <w:tcW w:w="0" w:type="auto"/>
            <w:shd w:val="clear" w:color="auto" w:fill="auto"/>
          </w:tcPr>
          <w:p w14:paraId="0F75AA0E" w14:textId="77777777" w:rsidR="008C5CFA" w:rsidRPr="0024468B" w:rsidRDefault="00E82A60" w:rsidP="00300A01">
            <w:pPr>
              <w:spacing w:before="0" w:after="0"/>
              <w:rPr>
                <w:sz w:val="16"/>
                <w:szCs w:val="16"/>
                <w:lang w:val="fr-BE"/>
              </w:rPr>
            </w:pPr>
            <w:r w:rsidRPr="0024468B">
              <w:rPr>
                <w:noProof/>
                <w:sz w:val="16"/>
                <w:szCs w:val="16"/>
                <w:lang w:val="fr-BE"/>
              </w:rPr>
              <w:t>Odsetek obywateli korzystających z e-administracji</w:t>
            </w:r>
          </w:p>
        </w:tc>
        <w:tc>
          <w:tcPr>
            <w:tcW w:w="0" w:type="auto"/>
            <w:shd w:val="clear" w:color="auto" w:fill="auto"/>
          </w:tcPr>
          <w:p w14:paraId="30099BC0" w14:textId="77777777" w:rsidR="008C5CFA" w:rsidRPr="0024468B" w:rsidRDefault="00E82A60" w:rsidP="00300A01">
            <w:pPr>
              <w:spacing w:before="0" w:after="0"/>
              <w:jc w:val="right"/>
              <w:rPr>
                <w:sz w:val="16"/>
                <w:szCs w:val="16"/>
                <w:lang w:val="fr-BE"/>
              </w:rPr>
            </w:pPr>
            <w:r w:rsidRPr="0024468B">
              <w:rPr>
                <w:noProof/>
                <w:sz w:val="16"/>
                <w:szCs w:val="16"/>
                <w:lang w:val="fr-BE"/>
              </w:rPr>
              <w:t>20,80</w:t>
            </w:r>
          </w:p>
        </w:tc>
        <w:tc>
          <w:tcPr>
            <w:tcW w:w="0" w:type="auto"/>
            <w:shd w:val="clear" w:color="auto" w:fill="auto"/>
          </w:tcPr>
          <w:p w14:paraId="7BA8E538" w14:textId="77777777" w:rsidR="008C5CFA" w:rsidRPr="0024468B" w:rsidRDefault="008C5CFA" w:rsidP="00300A01">
            <w:pPr>
              <w:spacing w:before="0" w:after="0"/>
              <w:jc w:val="right"/>
              <w:rPr>
                <w:sz w:val="16"/>
                <w:szCs w:val="16"/>
                <w:lang w:val="fr-BE"/>
              </w:rPr>
            </w:pPr>
          </w:p>
        </w:tc>
      </w:tr>
    </w:tbl>
    <w:p w14:paraId="42E4A82D" w14:textId="77777777" w:rsidR="008C5CFA" w:rsidRDefault="008C5CFA" w:rsidP="00300A01">
      <w:pPr>
        <w:spacing w:before="0" w:after="0"/>
        <w:rPr>
          <w:lang w:val="fr-BE"/>
        </w:rPr>
      </w:pPr>
    </w:p>
    <w:p w14:paraId="59149313" w14:textId="77777777" w:rsidR="008C5CFA" w:rsidRDefault="00E82A60" w:rsidP="00300A01">
      <w:pPr>
        <w:spacing w:before="0" w:after="0"/>
        <w:rPr>
          <w:lang w:val="fr-BE"/>
        </w:rPr>
      </w:pPr>
      <w:r>
        <w:rPr>
          <w:lang w:val="fr-BE"/>
        </w:rPr>
        <w:br w:type="page"/>
      </w:r>
    </w:p>
    <w:p w14:paraId="055B19BF" w14:textId="77777777" w:rsidR="008C5CFA" w:rsidRPr="00B27C43" w:rsidRDefault="008C5CFA" w:rsidP="00300A01">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3"/>
        <w:gridCol w:w="13491"/>
      </w:tblGrid>
      <w:tr w:rsidR="006B2EC1" w14:paraId="3CAB2C50" w14:textId="77777777" w:rsidTr="0047688D">
        <w:tc>
          <w:tcPr>
            <w:tcW w:w="0" w:type="auto"/>
            <w:shd w:val="clear" w:color="auto" w:fill="auto"/>
          </w:tcPr>
          <w:p w14:paraId="12F75FB3" w14:textId="77777777" w:rsidR="008C5CFA" w:rsidRPr="002124FC" w:rsidRDefault="00E82A60" w:rsidP="00300A01">
            <w:pPr>
              <w:spacing w:before="0" w:after="0"/>
              <w:rPr>
                <w:sz w:val="20"/>
                <w:szCs w:val="20"/>
                <w:lang w:val="fr-BE"/>
              </w:rPr>
            </w:pPr>
            <w:r>
              <w:rPr>
                <w:lang w:val="fr-BE"/>
              </w:rPr>
              <w:br w:type="page"/>
            </w:r>
            <w:r>
              <w:rPr>
                <w:lang w:val="fr-BE"/>
              </w:rPr>
              <w:br w:type="page"/>
            </w:r>
            <w:r w:rsidRPr="002124FC">
              <w:rPr>
                <w:noProof/>
                <w:sz w:val="20"/>
                <w:szCs w:val="20"/>
                <w:lang w:val="fr-BE"/>
              </w:rPr>
              <w:t>Oś priorytetowa</w:t>
            </w:r>
          </w:p>
        </w:tc>
        <w:tc>
          <w:tcPr>
            <w:tcW w:w="0" w:type="auto"/>
            <w:shd w:val="clear" w:color="auto" w:fill="auto"/>
          </w:tcPr>
          <w:p w14:paraId="371F090E" w14:textId="77777777" w:rsidR="008C5CFA" w:rsidRPr="002124FC" w:rsidRDefault="00E82A60" w:rsidP="00300A01">
            <w:pPr>
              <w:spacing w:before="0" w:after="0"/>
              <w:rPr>
                <w:sz w:val="20"/>
                <w:szCs w:val="20"/>
                <w:lang w:val="fr-BE"/>
              </w:rPr>
            </w:pPr>
            <w:r w:rsidRPr="002124FC">
              <w:rPr>
                <w:noProof/>
                <w:sz w:val="20"/>
                <w:szCs w:val="20"/>
                <w:lang w:val="fr-BE"/>
              </w:rPr>
              <w:t>7</w:t>
            </w:r>
            <w:r w:rsidRPr="002124FC">
              <w:rPr>
                <w:sz w:val="20"/>
                <w:szCs w:val="20"/>
                <w:lang w:val="fr-BE"/>
              </w:rPr>
              <w:t xml:space="preserve"> - </w:t>
            </w:r>
            <w:r w:rsidRPr="002124FC">
              <w:rPr>
                <w:noProof/>
                <w:sz w:val="20"/>
                <w:szCs w:val="20"/>
                <w:lang w:val="fr-BE"/>
              </w:rPr>
              <w:t>Sprawne usługi publiczne</w:t>
            </w:r>
          </w:p>
        </w:tc>
      </w:tr>
      <w:tr w:rsidR="006B2EC1" w14:paraId="7E58EBCC" w14:textId="77777777" w:rsidTr="0047688D">
        <w:tc>
          <w:tcPr>
            <w:tcW w:w="0" w:type="auto"/>
            <w:shd w:val="clear" w:color="auto" w:fill="auto"/>
          </w:tcPr>
          <w:p w14:paraId="0DCFC4D2" w14:textId="77777777" w:rsidR="008C5CFA" w:rsidRPr="002124FC" w:rsidRDefault="00E82A60"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14:paraId="76BE51E6" w14:textId="77777777" w:rsidR="008C5CFA" w:rsidRPr="002124FC" w:rsidRDefault="00E82A60" w:rsidP="00300A01">
            <w:pPr>
              <w:spacing w:before="0" w:after="0"/>
              <w:rPr>
                <w:sz w:val="20"/>
                <w:szCs w:val="20"/>
                <w:lang w:val="fr-BE"/>
              </w:rPr>
            </w:pPr>
            <w:r w:rsidRPr="002124FC">
              <w:rPr>
                <w:noProof/>
                <w:sz w:val="20"/>
                <w:szCs w:val="20"/>
                <w:lang w:val="fr-BE"/>
              </w:rPr>
              <w:t>8b</w:t>
            </w:r>
            <w:r w:rsidRPr="002124FC">
              <w:rPr>
                <w:sz w:val="20"/>
                <w:szCs w:val="20"/>
                <w:lang w:val="fr-BE"/>
              </w:rPr>
              <w:t xml:space="preserve"> - </w:t>
            </w:r>
            <w:r w:rsidRPr="002124FC">
              <w:rPr>
                <w:noProof/>
                <w:sz w:val="20"/>
                <w:szCs w:val="20"/>
                <w:lang w:val="fr-BE"/>
              </w:rPr>
              <w:t>Wspieranie wzrostu gospodarczego sprzyjającego zatrudnieniu poprzez rozwój potencjału endogenicznego jako elementu strategii terytorialnej dla określonych obszarów, w tym poprzez przekształcanie upadających regionów przemysłowych i zwiększenie dostępu do określonych zasobów naturalnych i kulturalnych oraz ich rozwój</w:t>
            </w:r>
          </w:p>
        </w:tc>
      </w:tr>
    </w:tbl>
    <w:p w14:paraId="345AEC11" w14:textId="77777777" w:rsidR="008C5CFA" w:rsidRDefault="008C5CFA" w:rsidP="00300A01">
      <w:pPr>
        <w:spacing w:before="0" w:after="0"/>
        <w:rPr>
          <w:lang w:val="fr-BE"/>
        </w:rPr>
      </w:pPr>
    </w:p>
    <w:p w14:paraId="1F1F24DD" w14:textId="77777777" w:rsidR="008C5CFA" w:rsidRDefault="00E82A60" w:rsidP="00300A01">
      <w:pPr>
        <w:pStyle w:val="Nagwek2"/>
        <w:spacing w:before="0" w:after="0"/>
        <w:rPr>
          <w:lang w:val="fr-BE"/>
        </w:rPr>
      </w:pPr>
      <w:bookmarkStart w:id="44" w:name="_Toc46391728"/>
      <w:r>
        <w:rPr>
          <w:noProof/>
          <w:lang w:val="fr-BE"/>
        </w:rPr>
        <w:t>Tabela 3A</w:t>
      </w:r>
      <w:r>
        <w:rPr>
          <w:lang w:val="fr-BE"/>
        </w:rPr>
        <w:t xml:space="preserve">: </w:t>
      </w:r>
      <w:r>
        <w:rPr>
          <w:noProof/>
          <w:lang w:val="fr-BE"/>
        </w:rPr>
        <w:t>Wspólne i specyficzne dla danego programu wskaźniki produktu dla EFRR i Funduszu Spójności (wg osi priorytetowej, priorytetu inwestycyjnego, w podziale na kategorię regionu dla celów EFRR)</w:t>
      </w:r>
      <w:r w:rsidR="009C5874">
        <w:rPr>
          <w:lang w:val="fr-BE"/>
        </w:rPr>
        <w:t xml:space="preserve"> - </w:t>
      </w:r>
      <w:r w:rsidR="00F022AC" w:rsidRPr="002124FC">
        <w:rPr>
          <w:noProof/>
          <w:sz w:val="20"/>
          <w:szCs w:val="20"/>
          <w:lang w:val="fr-BE"/>
        </w:rPr>
        <w:t>7</w:t>
      </w:r>
      <w:r w:rsidR="00F022AC">
        <w:rPr>
          <w:sz w:val="20"/>
          <w:szCs w:val="20"/>
          <w:lang w:val="fr-BE"/>
        </w:rPr>
        <w:t xml:space="preserve"> / </w:t>
      </w:r>
      <w:r w:rsidR="00F022AC" w:rsidRPr="002124FC">
        <w:rPr>
          <w:noProof/>
          <w:sz w:val="20"/>
          <w:szCs w:val="20"/>
          <w:lang w:val="fr-BE"/>
        </w:rPr>
        <w:t>8b</w:t>
      </w:r>
      <w:bookmarkEnd w:id="44"/>
    </w:p>
    <w:p w14:paraId="08D60037"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02"/>
        <w:gridCol w:w="497"/>
        <w:gridCol w:w="1906"/>
        <w:gridCol w:w="1360"/>
        <w:gridCol w:w="878"/>
        <w:gridCol w:w="971"/>
        <w:gridCol w:w="1061"/>
        <w:gridCol w:w="973"/>
        <w:gridCol w:w="698"/>
        <w:gridCol w:w="884"/>
        <w:gridCol w:w="707"/>
        <w:gridCol w:w="4947"/>
      </w:tblGrid>
      <w:tr w:rsidR="006B2EC1" w14:paraId="7D60B51C" w14:textId="77777777" w:rsidTr="0047688D">
        <w:trPr>
          <w:tblHeader/>
        </w:trPr>
        <w:tc>
          <w:tcPr>
            <w:tcW w:w="0" w:type="auto"/>
          </w:tcPr>
          <w:p w14:paraId="14D2EDDD" w14:textId="77777777" w:rsidR="008C5CFA" w:rsidRPr="009143B4" w:rsidRDefault="00E82A60" w:rsidP="00300A01">
            <w:pPr>
              <w:spacing w:before="0" w:after="0"/>
              <w:rPr>
                <w:b/>
                <w:sz w:val="16"/>
                <w:szCs w:val="16"/>
                <w:lang w:val="fr-BE"/>
              </w:rPr>
            </w:pPr>
            <w:r w:rsidRPr="009143B4">
              <w:rPr>
                <w:b/>
                <w:sz w:val="16"/>
                <w:szCs w:val="16"/>
                <w:lang w:val="fr-BE"/>
              </w:rPr>
              <w:t>(1)</w:t>
            </w:r>
          </w:p>
        </w:tc>
        <w:tc>
          <w:tcPr>
            <w:tcW w:w="0" w:type="auto"/>
            <w:shd w:val="clear" w:color="auto" w:fill="auto"/>
          </w:tcPr>
          <w:p w14:paraId="7AFBED61" w14:textId="77777777" w:rsidR="008C5CFA" w:rsidRPr="009143B4" w:rsidRDefault="00E82A60" w:rsidP="00300A01">
            <w:pPr>
              <w:spacing w:before="0" w:after="0"/>
              <w:rPr>
                <w:b/>
                <w:sz w:val="16"/>
                <w:szCs w:val="16"/>
                <w:lang w:val="fr-BE"/>
              </w:rPr>
            </w:pPr>
            <w:r w:rsidRPr="009143B4">
              <w:rPr>
                <w:b/>
                <w:noProof/>
                <w:sz w:val="16"/>
                <w:szCs w:val="16"/>
                <w:lang w:val="fr-BE"/>
              </w:rPr>
              <w:t>ID</w:t>
            </w:r>
          </w:p>
        </w:tc>
        <w:tc>
          <w:tcPr>
            <w:tcW w:w="0" w:type="auto"/>
            <w:shd w:val="clear" w:color="auto" w:fill="auto"/>
          </w:tcPr>
          <w:p w14:paraId="2DCEA7FD" w14:textId="77777777" w:rsidR="008C5CFA" w:rsidRPr="009143B4" w:rsidRDefault="00E82A60" w:rsidP="00300A01">
            <w:pPr>
              <w:spacing w:before="0" w:after="0"/>
              <w:rPr>
                <w:b/>
                <w:sz w:val="16"/>
                <w:szCs w:val="16"/>
                <w:lang w:val="fr-BE"/>
              </w:rPr>
            </w:pPr>
            <w:r w:rsidRPr="009143B4">
              <w:rPr>
                <w:b/>
                <w:noProof/>
                <w:sz w:val="16"/>
                <w:szCs w:val="16"/>
                <w:lang w:val="fr-BE"/>
              </w:rPr>
              <w:t>Wskaźnik</w:t>
            </w:r>
          </w:p>
        </w:tc>
        <w:tc>
          <w:tcPr>
            <w:tcW w:w="0" w:type="auto"/>
            <w:shd w:val="clear" w:color="auto" w:fill="auto"/>
          </w:tcPr>
          <w:p w14:paraId="6C0F513A" w14:textId="77777777" w:rsidR="008C5CFA" w:rsidRPr="009143B4" w:rsidRDefault="00E82A60" w:rsidP="00300A01">
            <w:pPr>
              <w:spacing w:before="0" w:after="0"/>
              <w:rPr>
                <w:b/>
                <w:sz w:val="16"/>
                <w:szCs w:val="16"/>
                <w:lang w:val="fr-BE"/>
              </w:rPr>
            </w:pPr>
            <w:r w:rsidRPr="009143B4">
              <w:rPr>
                <w:b/>
                <w:noProof/>
                <w:sz w:val="16"/>
                <w:szCs w:val="16"/>
                <w:lang w:val="fr-BE"/>
              </w:rPr>
              <w:t>Jednostka miary</w:t>
            </w:r>
          </w:p>
        </w:tc>
        <w:tc>
          <w:tcPr>
            <w:tcW w:w="0" w:type="auto"/>
            <w:shd w:val="clear" w:color="auto" w:fill="auto"/>
          </w:tcPr>
          <w:p w14:paraId="22AC0061" w14:textId="77777777" w:rsidR="008C5CFA" w:rsidRPr="009143B4" w:rsidRDefault="00E82A60" w:rsidP="00300A01">
            <w:pPr>
              <w:spacing w:before="0" w:after="0"/>
              <w:rPr>
                <w:b/>
                <w:sz w:val="16"/>
                <w:szCs w:val="16"/>
                <w:lang w:val="fr-BE"/>
              </w:rPr>
            </w:pPr>
            <w:r w:rsidRPr="009143B4">
              <w:rPr>
                <w:b/>
                <w:noProof/>
                <w:sz w:val="16"/>
                <w:szCs w:val="16"/>
                <w:lang w:val="fr-BE"/>
              </w:rPr>
              <w:t>Kategoria regionu</w:t>
            </w:r>
          </w:p>
        </w:tc>
        <w:tc>
          <w:tcPr>
            <w:tcW w:w="0" w:type="auto"/>
            <w:shd w:val="clear" w:color="auto" w:fill="auto"/>
          </w:tcPr>
          <w:p w14:paraId="3B9748B4" w14:textId="77777777" w:rsidR="008C5CFA" w:rsidRPr="009143B4" w:rsidRDefault="00E82A60" w:rsidP="00300A01">
            <w:pPr>
              <w:spacing w:before="0" w:after="0"/>
              <w:jc w:val="center"/>
              <w:rPr>
                <w:b/>
                <w:sz w:val="16"/>
                <w:szCs w:val="16"/>
                <w:lang w:val="fr-BE"/>
              </w:rPr>
            </w:pPr>
            <w:r w:rsidRPr="009143B4">
              <w:rPr>
                <w:b/>
                <w:noProof/>
                <w:sz w:val="16"/>
                <w:szCs w:val="16"/>
                <w:lang w:val="fr-BE"/>
              </w:rPr>
              <w:t>Wartość docelowa (2023) ogółem</w:t>
            </w:r>
          </w:p>
        </w:tc>
        <w:tc>
          <w:tcPr>
            <w:tcW w:w="0" w:type="auto"/>
            <w:shd w:val="clear" w:color="auto" w:fill="auto"/>
          </w:tcPr>
          <w:p w14:paraId="35CCF576" w14:textId="77777777" w:rsidR="008C5CFA" w:rsidRPr="009143B4" w:rsidRDefault="00E82A60" w:rsidP="00300A01">
            <w:pPr>
              <w:spacing w:before="0" w:after="0"/>
              <w:jc w:val="center"/>
              <w:rPr>
                <w:b/>
                <w:sz w:val="16"/>
                <w:szCs w:val="16"/>
                <w:lang w:val="fr-BE"/>
              </w:rPr>
            </w:pPr>
            <w:r w:rsidRPr="009143B4">
              <w:rPr>
                <w:b/>
                <w:noProof/>
                <w:sz w:val="16"/>
                <w:szCs w:val="16"/>
                <w:lang w:val="fr-BE"/>
              </w:rPr>
              <w:t>Wartość docelowa (2023) mężczyźni</w:t>
            </w:r>
          </w:p>
        </w:tc>
        <w:tc>
          <w:tcPr>
            <w:tcW w:w="0" w:type="auto"/>
          </w:tcPr>
          <w:p w14:paraId="12F18211" w14:textId="77777777" w:rsidR="008C5CFA" w:rsidRPr="009143B4" w:rsidRDefault="00E82A60" w:rsidP="00300A01">
            <w:pPr>
              <w:spacing w:before="0" w:after="0"/>
              <w:jc w:val="center"/>
              <w:rPr>
                <w:b/>
                <w:sz w:val="16"/>
                <w:szCs w:val="16"/>
                <w:lang w:val="fr-BE"/>
              </w:rPr>
            </w:pPr>
            <w:r w:rsidRPr="009143B4">
              <w:rPr>
                <w:b/>
                <w:noProof/>
                <w:sz w:val="16"/>
                <w:szCs w:val="16"/>
                <w:lang w:val="fr-BE"/>
              </w:rPr>
              <w:t>Wartość docelowa (2023) kobiety</w:t>
            </w:r>
          </w:p>
        </w:tc>
        <w:tc>
          <w:tcPr>
            <w:tcW w:w="0" w:type="auto"/>
            <w:shd w:val="clear" w:color="auto" w:fill="auto"/>
          </w:tcPr>
          <w:p w14:paraId="5617839E" w14:textId="77777777" w:rsidR="008C5CFA" w:rsidRPr="009143B4" w:rsidRDefault="00E82A60" w:rsidP="00300A01">
            <w:pPr>
              <w:spacing w:before="0" w:after="0"/>
              <w:jc w:val="center"/>
              <w:rPr>
                <w:b/>
                <w:sz w:val="16"/>
                <w:szCs w:val="16"/>
                <w:lang w:val="fr-BE"/>
              </w:rPr>
            </w:pPr>
            <w:r>
              <w:rPr>
                <w:b/>
                <w:sz w:val="16"/>
                <w:szCs w:val="16"/>
                <w:lang w:val="fr-BE"/>
              </w:rPr>
              <w:t xml:space="preserve">2019 </w:t>
            </w:r>
            <w:r w:rsidRPr="009143B4">
              <w:rPr>
                <w:b/>
                <w:noProof/>
                <w:sz w:val="16"/>
                <w:szCs w:val="16"/>
                <w:lang w:val="fr-BE"/>
              </w:rPr>
              <w:t>Ogółem</w:t>
            </w:r>
          </w:p>
        </w:tc>
        <w:tc>
          <w:tcPr>
            <w:tcW w:w="0" w:type="auto"/>
            <w:shd w:val="clear" w:color="auto" w:fill="auto"/>
          </w:tcPr>
          <w:p w14:paraId="5F211C23" w14:textId="77777777" w:rsidR="008C5CFA" w:rsidRPr="009143B4" w:rsidRDefault="00E82A60" w:rsidP="00300A01">
            <w:pPr>
              <w:spacing w:before="0" w:after="0"/>
              <w:jc w:val="center"/>
              <w:rPr>
                <w:b/>
                <w:sz w:val="16"/>
                <w:szCs w:val="16"/>
                <w:lang w:val="fr-BE"/>
              </w:rPr>
            </w:pPr>
            <w:r>
              <w:rPr>
                <w:b/>
                <w:sz w:val="16"/>
                <w:szCs w:val="16"/>
                <w:lang w:val="fr-BE"/>
              </w:rPr>
              <w:t xml:space="preserve">2019 </w:t>
            </w:r>
            <w:r w:rsidRPr="009143B4">
              <w:rPr>
                <w:b/>
                <w:noProof/>
                <w:sz w:val="16"/>
                <w:szCs w:val="16"/>
                <w:lang w:val="fr-BE"/>
              </w:rPr>
              <w:t>Mężczyźni</w:t>
            </w:r>
          </w:p>
        </w:tc>
        <w:tc>
          <w:tcPr>
            <w:tcW w:w="0" w:type="auto"/>
            <w:shd w:val="clear" w:color="auto" w:fill="auto"/>
          </w:tcPr>
          <w:p w14:paraId="14415F75" w14:textId="77777777" w:rsidR="008C5CFA" w:rsidRPr="009143B4" w:rsidRDefault="00E82A60" w:rsidP="00300A01">
            <w:pPr>
              <w:spacing w:before="0" w:after="0"/>
              <w:jc w:val="center"/>
              <w:rPr>
                <w:b/>
                <w:sz w:val="16"/>
                <w:szCs w:val="16"/>
                <w:lang w:val="fr-BE"/>
              </w:rPr>
            </w:pPr>
            <w:r>
              <w:rPr>
                <w:b/>
                <w:sz w:val="16"/>
                <w:szCs w:val="16"/>
                <w:lang w:val="fr-BE"/>
              </w:rPr>
              <w:t xml:space="preserve">2019 </w:t>
            </w:r>
            <w:r w:rsidRPr="009143B4">
              <w:rPr>
                <w:b/>
                <w:noProof/>
                <w:sz w:val="16"/>
                <w:szCs w:val="16"/>
                <w:lang w:val="fr-BE"/>
              </w:rPr>
              <w:t>Kobiety</w:t>
            </w:r>
          </w:p>
        </w:tc>
        <w:tc>
          <w:tcPr>
            <w:tcW w:w="0" w:type="auto"/>
            <w:shd w:val="clear" w:color="auto" w:fill="auto"/>
          </w:tcPr>
          <w:p w14:paraId="2AF7BED5" w14:textId="77777777" w:rsidR="008C5CFA" w:rsidRPr="009143B4" w:rsidRDefault="00E82A60" w:rsidP="00300A01">
            <w:pPr>
              <w:spacing w:before="0" w:after="0"/>
              <w:jc w:val="center"/>
              <w:rPr>
                <w:b/>
                <w:sz w:val="16"/>
                <w:szCs w:val="16"/>
                <w:lang w:val="fr-BE"/>
              </w:rPr>
            </w:pPr>
            <w:r w:rsidRPr="009143B4">
              <w:rPr>
                <w:b/>
                <w:noProof/>
                <w:sz w:val="16"/>
                <w:szCs w:val="16"/>
                <w:lang w:val="fr-BE"/>
              </w:rPr>
              <w:t>Uwagi</w:t>
            </w:r>
          </w:p>
        </w:tc>
      </w:tr>
      <w:tr w:rsidR="006B2EC1" w14:paraId="66545345" w14:textId="77777777" w:rsidTr="0047688D">
        <w:tc>
          <w:tcPr>
            <w:tcW w:w="0" w:type="auto"/>
          </w:tcPr>
          <w:p w14:paraId="0210FB2C" w14:textId="77777777" w:rsidR="008C5CFA" w:rsidRPr="0024468B" w:rsidRDefault="00E82A60" w:rsidP="00300A01">
            <w:pPr>
              <w:spacing w:before="0" w:after="0"/>
              <w:rPr>
                <w:sz w:val="16"/>
                <w:szCs w:val="16"/>
                <w:lang w:val="fr-BE"/>
              </w:rPr>
            </w:pPr>
            <w:r>
              <w:rPr>
                <w:noProof/>
                <w:sz w:val="16"/>
                <w:szCs w:val="16"/>
                <w:lang w:val="fr-BE"/>
              </w:rPr>
              <w:t>F</w:t>
            </w:r>
          </w:p>
        </w:tc>
        <w:tc>
          <w:tcPr>
            <w:tcW w:w="0" w:type="auto"/>
            <w:shd w:val="clear" w:color="auto" w:fill="auto"/>
          </w:tcPr>
          <w:p w14:paraId="60806E2C" w14:textId="77777777" w:rsidR="008C5CFA" w:rsidRPr="0024468B" w:rsidRDefault="00E82A60" w:rsidP="00300A01">
            <w:pPr>
              <w:spacing w:before="0" w:after="0"/>
              <w:rPr>
                <w:sz w:val="16"/>
                <w:szCs w:val="16"/>
                <w:lang w:val="fr-BE"/>
              </w:rPr>
            </w:pPr>
            <w:r w:rsidRPr="0024468B">
              <w:rPr>
                <w:noProof/>
                <w:sz w:val="16"/>
                <w:szCs w:val="16"/>
                <w:lang w:val="fr-BE"/>
              </w:rPr>
              <w:t>CO01</w:t>
            </w:r>
          </w:p>
        </w:tc>
        <w:tc>
          <w:tcPr>
            <w:tcW w:w="0" w:type="auto"/>
            <w:shd w:val="clear" w:color="auto" w:fill="auto"/>
          </w:tcPr>
          <w:p w14:paraId="3A0F67C0" w14:textId="77777777" w:rsidR="008C5CFA" w:rsidRPr="0024468B" w:rsidRDefault="00E82A60" w:rsidP="00300A01">
            <w:pPr>
              <w:spacing w:before="0" w:after="0"/>
              <w:rPr>
                <w:sz w:val="16"/>
                <w:szCs w:val="16"/>
                <w:lang w:val="fr-BE"/>
              </w:rPr>
            </w:pPr>
            <w:r w:rsidRPr="0024468B">
              <w:rPr>
                <w:noProof/>
                <w:sz w:val="16"/>
                <w:szCs w:val="16"/>
                <w:lang w:val="fr-BE"/>
              </w:rPr>
              <w:t>Inwestycje produkcyjne: liczba przedsiębiorstw otrzymujących wsparcie</w:t>
            </w:r>
          </w:p>
        </w:tc>
        <w:tc>
          <w:tcPr>
            <w:tcW w:w="0" w:type="auto"/>
            <w:shd w:val="clear" w:color="auto" w:fill="auto"/>
          </w:tcPr>
          <w:p w14:paraId="7C0C1274" w14:textId="77777777" w:rsidR="008C5CFA" w:rsidRPr="0024468B" w:rsidRDefault="00E82A60" w:rsidP="00300A01">
            <w:pPr>
              <w:spacing w:before="0" w:after="0"/>
              <w:rPr>
                <w:sz w:val="16"/>
                <w:szCs w:val="16"/>
                <w:lang w:val="fr-BE"/>
              </w:rPr>
            </w:pPr>
            <w:r>
              <w:rPr>
                <w:noProof/>
                <w:sz w:val="16"/>
                <w:szCs w:val="16"/>
                <w:lang w:val="fr-BE"/>
              </w:rPr>
              <w:t>Przedsiębiorstwa</w:t>
            </w:r>
          </w:p>
        </w:tc>
        <w:tc>
          <w:tcPr>
            <w:tcW w:w="0" w:type="auto"/>
            <w:shd w:val="clear" w:color="auto" w:fill="auto"/>
          </w:tcPr>
          <w:p w14:paraId="762CE6F2" w14:textId="77777777" w:rsidR="008C5CFA" w:rsidRPr="0024468B" w:rsidRDefault="00E82A60"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14:paraId="33A4C707" w14:textId="77777777" w:rsidR="008C5CFA" w:rsidRPr="0024468B" w:rsidRDefault="00E82A60" w:rsidP="00300A01">
            <w:pPr>
              <w:spacing w:before="0" w:after="0"/>
              <w:jc w:val="right"/>
              <w:rPr>
                <w:sz w:val="16"/>
                <w:szCs w:val="16"/>
                <w:lang w:val="fr-BE"/>
              </w:rPr>
            </w:pPr>
            <w:r>
              <w:rPr>
                <w:noProof/>
                <w:sz w:val="16"/>
                <w:szCs w:val="16"/>
                <w:lang w:val="fr-BE"/>
              </w:rPr>
              <w:t>3,00</w:t>
            </w:r>
          </w:p>
        </w:tc>
        <w:tc>
          <w:tcPr>
            <w:tcW w:w="0" w:type="auto"/>
            <w:shd w:val="clear" w:color="auto" w:fill="auto"/>
          </w:tcPr>
          <w:p w14:paraId="53742DC9" w14:textId="77777777" w:rsidR="008C5CFA" w:rsidRPr="0024468B" w:rsidRDefault="008C5CFA" w:rsidP="00300A01">
            <w:pPr>
              <w:spacing w:before="0" w:after="0"/>
              <w:jc w:val="right"/>
              <w:rPr>
                <w:sz w:val="16"/>
                <w:szCs w:val="16"/>
                <w:lang w:val="fr-BE"/>
              </w:rPr>
            </w:pPr>
          </w:p>
        </w:tc>
        <w:tc>
          <w:tcPr>
            <w:tcW w:w="0" w:type="auto"/>
          </w:tcPr>
          <w:p w14:paraId="2B0D547C" w14:textId="77777777" w:rsidR="008C5CFA" w:rsidRPr="0024468B" w:rsidRDefault="008C5CFA" w:rsidP="00300A01">
            <w:pPr>
              <w:spacing w:before="0" w:after="0"/>
              <w:jc w:val="right"/>
              <w:rPr>
                <w:sz w:val="16"/>
                <w:szCs w:val="16"/>
                <w:lang w:val="fr-BE"/>
              </w:rPr>
            </w:pPr>
          </w:p>
        </w:tc>
        <w:tc>
          <w:tcPr>
            <w:tcW w:w="0" w:type="auto"/>
            <w:shd w:val="clear" w:color="auto" w:fill="auto"/>
          </w:tcPr>
          <w:p w14:paraId="396ED211" w14:textId="77777777" w:rsidR="008C5CFA" w:rsidRPr="0024468B" w:rsidRDefault="00E82A60" w:rsidP="00300A01">
            <w:pPr>
              <w:spacing w:before="0" w:after="0"/>
              <w:jc w:val="right"/>
              <w:rPr>
                <w:sz w:val="16"/>
                <w:szCs w:val="16"/>
                <w:lang w:val="fr-BE"/>
              </w:rPr>
            </w:pPr>
            <w:r w:rsidRPr="0024468B">
              <w:rPr>
                <w:noProof/>
                <w:sz w:val="16"/>
                <w:szCs w:val="16"/>
                <w:lang w:val="fr-BE"/>
              </w:rPr>
              <w:t>3,00</w:t>
            </w:r>
          </w:p>
        </w:tc>
        <w:tc>
          <w:tcPr>
            <w:tcW w:w="0" w:type="auto"/>
            <w:shd w:val="clear" w:color="auto" w:fill="auto"/>
          </w:tcPr>
          <w:p w14:paraId="6B7DB8C7"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5126ABFE"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53A1194C" w14:textId="77777777" w:rsidR="008C5CFA" w:rsidRPr="0024468B" w:rsidRDefault="008C5CFA" w:rsidP="00300A01">
            <w:pPr>
              <w:spacing w:before="0" w:after="0"/>
              <w:rPr>
                <w:sz w:val="16"/>
                <w:szCs w:val="16"/>
                <w:lang w:val="fr-BE"/>
              </w:rPr>
            </w:pPr>
          </w:p>
        </w:tc>
      </w:tr>
      <w:tr w:rsidR="006B2EC1" w14:paraId="063BF596" w14:textId="77777777" w:rsidTr="0047688D">
        <w:tc>
          <w:tcPr>
            <w:tcW w:w="0" w:type="auto"/>
          </w:tcPr>
          <w:p w14:paraId="4C0B7607" w14:textId="77777777" w:rsidR="008C5CFA" w:rsidRPr="0024468B" w:rsidRDefault="00E82A60" w:rsidP="00300A01">
            <w:pPr>
              <w:spacing w:before="0" w:after="0"/>
              <w:rPr>
                <w:sz w:val="16"/>
                <w:szCs w:val="16"/>
                <w:lang w:val="fr-BE"/>
              </w:rPr>
            </w:pPr>
            <w:r>
              <w:rPr>
                <w:noProof/>
                <w:sz w:val="16"/>
                <w:szCs w:val="16"/>
                <w:lang w:val="fr-BE"/>
              </w:rPr>
              <w:t>S</w:t>
            </w:r>
          </w:p>
        </w:tc>
        <w:tc>
          <w:tcPr>
            <w:tcW w:w="0" w:type="auto"/>
            <w:shd w:val="clear" w:color="auto" w:fill="auto"/>
          </w:tcPr>
          <w:p w14:paraId="6EBBBCF6" w14:textId="77777777" w:rsidR="008C5CFA" w:rsidRPr="0024468B" w:rsidRDefault="00E82A60" w:rsidP="00300A01">
            <w:pPr>
              <w:spacing w:before="0" w:after="0"/>
              <w:rPr>
                <w:sz w:val="16"/>
                <w:szCs w:val="16"/>
                <w:lang w:val="fr-BE"/>
              </w:rPr>
            </w:pPr>
            <w:r w:rsidRPr="0024468B">
              <w:rPr>
                <w:noProof/>
                <w:sz w:val="16"/>
                <w:szCs w:val="16"/>
                <w:lang w:val="fr-BE"/>
              </w:rPr>
              <w:t>CO01</w:t>
            </w:r>
          </w:p>
        </w:tc>
        <w:tc>
          <w:tcPr>
            <w:tcW w:w="0" w:type="auto"/>
            <w:shd w:val="clear" w:color="auto" w:fill="auto"/>
          </w:tcPr>
          <w:p w14:paraId="334D2214" w14:textId="77777777" w:rsidR="008C5CFA" w:rsidRPr="0024468B" w:rsidRDefault="00E82A60" w:rsidP="00300A01">
            <w:pPr>
              <w:spacing w:before="0" w:after="0"/>
              <w:rPr>
                <w:sz w:val="16"/>
                <w:szCs w:val="16"/>
                <w:lang w:val="fr-BE"/>
              </w:rPr>
            </w:pPr>
            <w:r w:rsidRPr="0024468B">
              <w:rPr>
                <w:noProof/>
                <w:sz w:val="16"/>
                <w:szCs w:val="16"/>
                <w:lang w:val="fr-BE"/>
              </w:rPr>
              <w:t>Inwestycje produkcyjne: liczba przedsiębiorstw otrzymujących wsparcie</w:t>
            </w:r>
          </w:p>
        </w:tc>
        <w:tc>
          <w:tcPr>
            <w:tcW w:w="0" w:type="auto"/>
            <w:shd w:val="clear" w:color="auto" w:fill="auto"/>
          </w:tcPr>
          <w:p w14:paraId="312124B8" w14:textId="77777777" w:rsidR="008C5CFA" w:rsidRPr="0024468B" w:rsidRDefault="00E82A60" w:rsidP="00300A01">
            <w:pPr>
              <w:spacing w:before="0" w:after="0"/>
              <w:rPr>
                <w:sz w:val="16"/>
                <w:szCs w:val="16"/>
                <w:lang w:val="fr-BE"/>
              </w:rPr>
            </w:pPr>
            <w:r>
              <w:rPr>
                <w:noProof/>
                <w:sz w:val="16"/>
                <w:szCs w:val="16"/>
                <w:lang w:val="fr-BE"/>
              </w:rPr>
              <w:t>Przedsiębiorstwa</w:t>
            </w:r>
          </w:p>
        </w:tc>
        <w:tc>
          <w:tcPr>
            <w:tcW w:w="0" w:type="auto"/>
            <w:shd w:val="clear" w:color="auto" w:fill="auto"/>
          </w:tcPr>
          <w:p w14:paraId="5F8A7D4F" w14:textId="77777777" w:rsidR="008C5CFA" w:rsidRPr="0024468B" w:rsidRDefault="00E82A60"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14:paraId="5EF63110" w14:textId="77777777" w:rsidR="008C5CFA" w:rsidRPr="0024468B" w:rsidRDefault="00E82A60" w:rsidP="00300A01">
            <w:pPr>
              <w:spacing w:before="0" w:after="0"/>
              <w:jc w:val="right"/>
              <w:rPr>
                <w:sz w:val="16"/>
                <w:szCs w:val="16"/>
                <w:lang w:val="fr-BE"/>
              </w:rPr>
            </w:pPr>
            <w:r>
              <w:rPr>
                <w:noProof/>
                <w:sz w:val="16"/>
                <w:szCs w:val="16"/>
                <w:lang w:val="fr-BE"/>
              </w:rPr>
              <w:t>3,00</w:t>
            </w:r>
          </w:p>
        </w:tc>
        <w:tc>
          <w:tcPr>
            <w:tcW w:w="0" w:type="auto"/>
            <w:shd w:val="clear" w:color="auto" w:fill="auto"/>
          </w:tcPr>
          <w:p w14:paraId="25C52C33" w14:textId="77777777" w:rsidR="008C5CFA" w:rsidRPr="0024468B" w:rsidRDefault="008C5CFA" w:rsidP="00300A01">
            <w:pPr>
              <w:spacing w:before="0" w:after="0"/>
              <w:jc w:val="right"/>
              <w:rPr>
                <w:sz w:val="16"/>
                <w:szCs w:val="16"/>
                <w:lang w:val="fr-BE"/>
              </w:rPr>
            </w:pPr>
          </w:p>
        </w:tc>
        <w:tc>
          <w:tcPr>
            <w:tcW w:w="0" w:type="auto"/>
          </w:tcPr>
          <w:p w14:paraId="183D5DE5" w14:textId="77777777" w:rsidR="008C5CFA" w:rsidRPr="0024468B" w:rsidRDefault="008C5CFA" w:rsidP="00300A01">
            <w:pPr>
              <w:spacing w:before="0" w:after="0"/>
              <w:jc w:val="right"/>
              <w:rPr>
                <w:sz w:val="16"/>
                <w:szCs w:val="16"/>
                <w:lang w:val="fr-BE"/>
              </w:rPr>
            </w:pPr>
          </w:p>
        </w:tc>
        <w:tc>
          <w:tcPr>
            <w:tcW w:w="0" w:type="auto"/>
            <w:shd w:val="clear" w:color="auto" w:fill="auto"/>
          </w:tcPr>
          <w:p w14:paraId="0547EAF8" w14:textId="77777777" w:rsidR="008C5CFA" w:rsidRPr="0024468B" w:rsidRDefault="00E82A60" w:rsidP="00300A01">
            <w:pPr>
              <w:spacing w:before="0" w:after="0"/>
              <w:jc w:val="right"/>
              <w:rPr>
                <w:sz w:val="16"/>
                <w:szCs w:val="16"/>
                <w:lang w:val="fr-BE"/>
              </w:rPr>
            </w:pPr>
            <w:r w:rsidRPr="0024468B">
              <w:rPr>
                <w:noProof/>
                <w:sz w:val="16"/>
                <w:szCs w:val="16"/>
                <w:lang w:val="fr-BE"/>
              </w:rPr>
              <w:t>2,00</w:t>
            </w:r>
          </w:p>
        </w:tc>
        <w:tc>
          <w:tcPr>
            <w:tcW w:w="0" w:type="auto"/>
            <w:shd w:val="clear" w:color="auto" w:fill="auto"/>
          </w:tcPr>
          <w:p w14:paraId="330DD83A"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352D0263"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1AC15739" w14:textId="77777777" w:rsidR="008C5CFA" w:rsidRPr="0024468B" w:rsidRDefault="008C5CFA" w:rsidP="00300A01">
            <w:pPr>
              <w:spacing w:before="0" w:after="0"/>
              <w:rPr>
                <w:sz w:val="16"/>
                <w:szCs w:val="16"/>
                <w:lang w:val="fr-BE"/>
              </w:rPr>
            </w:pPr>
          </w:p>
        </w:tc>
      </w:tr>
      <w:tr w:rsidR="006B2EC1" w14:paraId="243EA6B4" w14:textId="77777777" w:rsidTr="0047688D">
        <w:tc>
          <w:tcPr>
            <w:tcW w:w="0" w:type="auto"/>
          </w:tcPr>
          <w:p w14:paraId="454920BB" w14:textId="77777777" w:rsidR="008C5CFA" w:rsidRPr="0024468B" w:rsidRDefault="00E82A60" w:rsidP="00300A01">
            <w:pPr>
              <w:spacing w:before="0" w:after="0"/>
              <w:rPr>
                <w:sz w:val="16"/>
                <w:szCs w:val="16"/>
                <w:lang w:val="fr-BE"/>
              </w:rPr>
            </w:pPr>
            <w:r>
              <w:rPr>
                <w:noProof/>
                <w:sz w:val="16"/>
                <w:szCs w:val="16"/>
                <w:lang w:val="fr-BE"/>
              </w:rPr>
              <w:t>F</w:t>
            </w:r>
          </w:p>
        </w:tc>
        <w:tc>
          <w:tcPr>
            <w:tcW w:w="0" w:type="auto"/>
            <w:shd w:val="clear" w:color="auto" w:fill="auto"/>
          </w:tcPr>
          <w:p w14:paraId="21798A57" w14:textId="77777777" w:rsidR="008C5CFA" w:rsidRPr="0024468B" w:rsidRDefault="00E82A60" w:rsidP="00300A01">
            <w:pPr>
              <w:spacing w:before="0" w:after="0"/>
              <w:rPr>
                <w:sz w:val="16"/>
                <w:szCs w:val="16"/>
                <w:lang w:val="fr-BE"/>
              </w:rPr>
            </w:pPr>
            <w:r w:rsidRPr="0024468B">
              <w:rPr>
                <w:noProof/>
                <w:sz w:val="16"/>
                <w:szCs w:val="16"/>
                <w:lang w:val="fr-BE"/>
              </w:rPr>
              <w:t>CO08</w:t>
            </w:r>
          </w:p>
        </w:tc>
        <w:tc>
          <w:tcPr>
            <w:tcW w:w="0" w:type="auto"/>
            <w:shd w:val="clear" w:color="auto" w:fill="auto"/>
          </w:tcPr>
          <w:p w14:paraId="4EBCEE5E" w14:textId="77777777" w:rsidR="008C5CFA" w:rsidRPr="0024468B" w:rsidRDefault="00E82A60" w:rsidP="00300A01">
            <w:pPr>
              <w:spacing w:before="0" w:after="0"/>
              <w:rPr>
                <w:sz w:val="16"/>
                <w:szCs w:val="16"/>
                <w:lang w:val="fr-BE"/>
              </w:rPr>
            </w:pPr>
            <w:r w:rsidRPr="0024468B">
              <w:rPr>
                <w:noProof/>
                <w:sz w:val="16"/>
                <w:szCs w:val="16"/>
                <w:lang w:val="fr-BE"/>
              </w:rPr>
              <w:t>Inwestycje produkcyjne: wzrost zatrudnienia we wspieranych przedsiębiorstwach</w:t>
            </w:r>
          </w:p>
        </w:tc>
        <w:tc>
          <w:tcPr>
            <w:tcW w:w="0" w:type="auto"/>
            <w:shd w:val="clear" w:color="auto" w:fill="auto"/>
          </w:tcPr>
          <w:p w14:paraId="41115FEB" w14:textId="77777777" w:rsidR="008C5CFA" w:rsidRPr="0024468B" w:rsidRDefault="00E82A60" w:rsidP="00300A01">
            <w:pPr>
              <w:spacing w:before="0" w:after="0"/>
              <w:rPr>
                <w:sz w:val="16"/>
                <w:szCs w:val="16"/>
                <w:lang w:val="fr-BE"/>
              </w:rPr>
            </w:pPr>
            <w:r>
              <w:rPr>
                <w:noProof/>
                <w:sz w:val="16"/>
                <w:szCs w:val="16"/>
                <w:lang w:val="fr-BE"/>
              </w:rPr>
              <w:t>Ekwiwalenty pełnego czasu pracy</w:t>
            </w:r>
          </w:p>
        </w:tc>
        <w:tc>
          <w:tcPr>
            <w:tcW w:w="0" w:type="auto"/>
            <w:shd w:val="clear" w:color="auto" w:fill="auto"/>
          </w:tcPr>
          <w:p w14:paraId="5299970E" w14:textId="77777777" w:rsidR="008C5CFA" w:rsidRPr="0024468B" w:rsidRDefault="00E82A60"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14:paraId="6944E85F" w14:textId="77777777" w:rsidR="008C5CFA" w:rsidRPr="0024468B" w:rsidRDefault="00E82A60" w:rsidP="00300A01">
            <w:pPr>
              <w:spacing w:before="0" w:after="0"/>
              <w:jc w:val="right"/>
              <w:rPr>
                <w:sz w:val="16"/>
                <w:szCs w:val="16"/>
                <w:lang w:val="fr-BE"/>
              </w:rPr>
            </w:pPr>
            <w:r>
              <w:rPr>
                <w:noProof/>
                <w:sz w:val="16"/>
                <w:szCs w:val="16"/>
                <w:lang w:val="fr-BE"/>
              </w:rPr>
              <w:t>20,00</w:t>
            </w:r>
          </w:p>
        </w:tc>
        <w:tc>
          <w:tcPr>
            <w:tcW w:w="0" w:type="auto"/>
            <w:shd w:val="clear" w:color="auto" w:fill="auto"/>
          </w:tcPr>
          <w:p w14:paraId="1393811F" w14:textId="77777777" w:rsidR="008C5CFA" w:rsidRPr="0024468B" w:rsidRDefault="008C5CFA" w:rsidP="00300A01">
            <w:pPr>
              <w:spacing w:before="0" w:after="0"/>
              <w:jc w:val="right"/>
              <w:rPr>
                <w:sz w:val="16"/>
                <w:szCs w:val="16"/>
                <w:lang w:val="fr-BE"/>
              </w:rPr>
            </w:pPr>
          </w:p>
        </w:tc>
        <w:tc>
          <w:tcPr>
            <w:tcW w:w="0" w:type="auto"/>
          </w:tcPr>
          <w:p w14:paraId="1CCD385D" w14:textId="77777777" w:rsidR="008C5CFA" w:rsidRPr="0024468B" w:rsidRDefault="008C5CFA" w:rsidP="00300A01">
            <w:pPr>
              <w:spacing w:before="0" w:after="0"/>
              <w:jc w:val="right"/>
              <w:rPr>
                <w:sz w:val="16"/>
                <w:szCs w:val="16"/>
                <w:lang w:val="fr-BE"/>
              </w:rPr>
            </w:pPr>
          </w:p>
        </w:tc>
        <w:tc>
          <w:tcPr>
            <w:tcW w:w="0" w:type="auto"/>
            <w:shd w:val="clear" w:color="auto" w:fill="auto"/>
          </w:tcPr>
          <w:p w14:paraId="07F800CF"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5043C171"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5260E763"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6A99AAE9" w14:textId="77777777" w:rsidR="008C5CFA" w:rsidRPr="0024468B" w:rsidRDefault="008C5CFA" w:rsidP="00300A01">
            <w:pPr>
              <w:spacing w:before="0" w:after="0"/>
              <w:rPr>
                <w:sz w:val="16"/>
                <w:szCs w:val="16"/>
                <w:lang w:val="fr-BE"/>
              </w:rPr>
            </w:pPr>
          </w:p>
        </w:tc>
      </w:tr>
      <w:tr w:rsidR="006B2EC1" w14:paraId="2EF4F5D1" w14:textId="77777777" w:rsidTr="0047688D">
        <w:tc>
          <w:tcPr>
            <w:tcW w:w="0" w:type="auto"/>
          </w:tcPr>
          <w:p w14:paraId="128E1D1D" w14:textId="77777777" w:rsidR="008C5CFA" w:rsidRPr="0024468B" w:rsidRDefault="00E82A60" w:rsidP="00300A01">
            <w:pPr>
              <w:spacing w:before="0" w:after="0"/>
              <w:rPr>
                <w:sz w:val="16"/>
                <w:szCs w:val="16"/>
                <w:lang w:val="fr-BE"/>
              </w:rPr>
            </w:pPr>
            <w:r>
              <w:rPr>
                <w:noProof/>
                <w:sz w:val="16"/>
                <w:szCs w:val="16"/>
                <w:lang w:val="fr-BE"/>
              </w:rPr>
              <w:t>S</w:t>
            </w:r>
          </w:p>
        </w:tc>
        <w:tc>
          <w:tcPr>
            <w:tcW w:w="0" w:type="auto"/>
            <w:shd w:val="clear" w:color="auto" w:fill="auto"/>
          </w:tcPr>
          <w:p w14:paraId="70FF8D37" w14:textId="77777777" w:rsidR="008C5CFA" w:rsidRPr="0024468B" w:rsidRDefault="00E82A60" w:rsidP="00300A01">
            <w:pPr>
              <w:spacing w:before="0" w:after="0"/>
              <w:rPr>
                <w:sz w:val="16"/>
                <w:szCs w:val="16"/>
                <w:lang w:val="fr-BE"/>
              </w:rPr>
            </w:pPr>
            <w:r w:rsidRPr="0024468B">
              <w:rPr>
                <w:noProof/>
                <w:sz w:val="16"/>
                <w:szCs w:val="16"/>
                <w:lang w:val="fr-BE"/>
              </w:rPr>
              <w:t>CO08</w:t>
            </w:r>
          </w:p>
        </w:tc>
        <w:tc>
          <w:tcPr>
            <w:tcW w:w="0" w:type="auto"/>
            <w:shd w:val="clear" w:color="auto" w:fill="auto"/>
          </w:tcPr>
          <w:p w14:paraId="16D97337" w14:textId="77777777" w:rsidR="008C5CFA" w:rsidRPr="0024468B" w:rsidRDefault="00E82A60" w:rsidP="00300A01">
            <w:pPr>
              <w:spacing w:before="0" w:after="0"/>
              <w:rPr>
                <w:sz w:val="16"/>
                <w:szCs w:val="16"/>
                <w:lang w:val="fr-BE"/>
              </w:rPr>
            </w:pPr>
            <w:r w:rsidRPr="0024468B">
              <w:rPr>
                <w:noProof/>
                <w:sz w:val="16"/>
                <w:szCs w:val="16"/>
                <w:lang w:val="fr-BE"/>
              </w:rPr>
              <w:t>Inwestycje produkcyjne: wzrost zatrudnienia we wspieranych przedsiębiorstwach</w:t>
            </w:r>
          </w:p>
        </w:tc>
        <w:tc>
          <w:tcPr>
            <w:tcW w:w="0" w:type="auto"/>
            <w:shd w:val="clear" w:color="auto" w:fill="auto"/>
          </w:tcPr>
          <w:p w14:paraId="2F25BEC0" w14:textId="77777777" w:rsidR="008C5CFA" w:rsidRPr="0024468B" w:rsidRDefault="00E82A60" w:rsidP="00300A01">
            <w:pPr>
              <w:spacing w:before="0" w:after="0"/>
              <w:rPr>
                <w:sz w:val="16"/>
                <w:szCs w:val="16"/>
                <w:lang w:val="fr-BE"/>
              </w:rPr>
            </w:pPr>
            <w:r>
              <w:rPr>
                <w:noProof/>
                <w:sz w:val="16"/>
                <w:szCs w:val="16"/>
                <w:lang w:val="fr-BE"/>
              </w:rPr>
              <w:t>Ekwiwalenty pełnego czasu pracy</w:t>
            </w:r>
          </w:p>
        </w:tc>
        <w:tc>
          <w:tcPr>
            <w:tcW w:w="0" w:type="auto"/>
            <w:shd w:val="clear" w:color="auto" w:fill="auto"/>
          </w:tcPr>
          <w:p w14:paraId="5613A750" w14:textId="77777777" w:rsidR="008C5CFA" w:rsidRPr="0024468B" w:rsidRDefault="00E82A60"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14:paraId="4B06808D" w14:textId="77777777" w:rsidR="008C5CFA" w:rsidRPr="0024468B" w:rsidRDefault="00E82A60" w:rsidP="00300A01">
            <w:pPr>
              <w:spacing w:before="0" w:after="0"/>
              <w:jc w:val="right"/>
              <w:rPr>
                <w:sz w:val="16"/>
                <w:szCs w:val="16"/>
                <w:lang w:val="fr-BE"/>
              </w:rPr>
            </w:pPr>
            <w:r>
              <w:rPr>
                <w:noProof/>
                <w:sz w:val="16"/>
                <w:szCs w:val="16"/>
                <w:lang w:val="fr-BE"/>
              </w:rPr>
              <w:t>20,00</w:t>
            </w:r>
          </w:p>
        </w:tc>
        <w:tc>
          <w:tcPr>
            <w:tcW w:w="0" w:type="auto"/>
            <w:shd w:val="clear" w:color="auto" w:fill="auto"/>
          </w:tcPr>
          <w:p w14:paraId="537E8EEB" w14:textId="77777777" w:rsidR="008C5CFA" w:rsidRPr="0024468B" w:rsidRDefault="008C5CFA" w:rsidP="00300A01">
            <w:pPr>
              <w:spacing w:before="0" w:after="0"/>
              <w:jc w:val="right"/>
              <w:rPr>
                <w:sz w:val="16"/>
                <w:szCs w:val="16"/>
                <w:lang w:val="fr-BE"/>
              </w:rPr>
            </w:pPr>
          </w:p>
        </w:tc>
        <w:tc>
          <w:tcPr>
            <w:tcW w:w="0" w:type="auto"/>
          </w:tcPr>
          <w:p w14:paraId="393DA437" w14:textId="77777777" w:rsidR="008C5CFA" w:rsidRPr="0024468B" w:rsidRDefault="008C5CFA" w:rsidP="00300A01">
            <w:pPr>
              <w:spacing w:before="0" w:after="0"/>
              <w:jc w:val="right"/>
              <w:rPr>
                <w:sz w:val="16"/>
                <w:szCs w:val="16"/>
                <w:lang w:val="fr-BE"/>
              </w:rPr>
            </w:pPr>
          </w:p>
        </w:tc>
        <w:tc>
          <w:tcPr>
            <w:tcW w:w="0" w:type="auto"/>
            <w:shd w:val="clear" w:color="auto" w:fill="auto"/>
          </w:tcPr>
          <w:p w14:paraId="0CD19977" w14:textId="77777777" w:rsidR="008C5CFA" w:rsidRPr="0024468B" w:rsidRDefault="00E82A60" w:rsidP="00300A01">
            <w:pPr>
              <w:spacing w:before="0" w:after="0"/>
              <w:jc w:val="right"/>
              <w:rPr>
                <w:sz w:val="16"/>
                <w:szCs w:val="16"/>
                <w:lang w:val="fr-BE"/>
              </w:rPr>
            </w:pPr>
            <w:r w:rsidRPr="0024468B">
              <w:rPr>
                <w:noProof/>
                <w:sz w:val="16"/>
                <w:szCs w:val="16"/>
                <w:lang w:val="fr-BE"/>
              </w:rPr>
              <w:t>36,00</w:t>
            </w:r>
          </w:p>
        </w:tc>
        <w:tc>
          <w:tcPr>
            <w:tcW w:w="0" w:type="auto"/>
            <w:shd w:val="clear" w:color="auto" w:fill="auto"/>
          </w:tcPr>
          <w:p w14:paraId="5FF928A5"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7499278B"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328EE506" w14:textId="77777777" w:rsidR="008C5CFA" w:rsidRPr="0024468B" w:rsidRDefault="008C5CFA" w:rsidP="00300A01">
            <w:pPr>
              <w:spacing w:before="0" w:after="0"/>
              <w:rPr>
                <w:sz w:val="16"/>
                <w:szCs w:val="16"/>
                <w:lang w:val="fr-BE"/>
              </w:rPr>
            </w:pPr>
          </w:p>
        </w:tc>
      </w:tr>
      <w:tr w:rsidR="006B2EC1" w14:paraId="7D6FBABC" w14:textId="77777777" w:rsidTr="0047688D">
        <w:tc>
          <w:tcPr>
            <w:tcW w:w="0" w:type="auto"/>
          </w:tcPr>
          <w:p w14:paraId="06871637" w14:textId="77777777" w:rsidR="008C5CFA" w:rsidRPr="0024468B" w:rsidRDefault="00E82A60" w:rsidP="00300A01">
            <w:pPr>
              <w:spacing w:before="0" w:after="0"/>
              <w:rPr>
                <w:sz w:val="16"/>
                <w:szCs w:val="16"/>
                <w:lang w:val="fr-BE"/>
              </w:rPr>
            </w:pPr>
            <w:r>
              <w:rPr>
                <w:noProof/>
                <w:sz w:val="16"/>
                <w:szCs w:val="16"/>
                <w:lang w:val="fr-BE"/>
              </w:rPr>
              <w:t>F</w:t>
            </w:r>
          </w:p>
        </w:tc>
        <w:tc>
          <w:tcPr>
            <w:tcW w:w="0" w:type="auto"/>
            <w:shd w:val="clear" w:color="auto" w:fill="auto"/>
          </w:tcPr>
          <w:p w14:paraId="076BF3CE" w14:textId="77777777" w:rsidR="008C5CFA" w:rsidRPr="0024468B" w:rsidRDefault="00E82A60" w:rsidP="00300A01">
            <w:pPr>
              <w:spacing w:before="0" w:after="0"/>
              <w:rPr>
                <w:sz w:val="16"/>
                <w:szCs w:val="16"/>
                <w:lang w:val="fr-BE"/>
              </w:rPr>
            </w:pPr>
            <w:r>
              <w:rPr>
                <w:noProof/>
                <w:sz w:val="16"/>
                <w:szCs w:val="16"/>
                <w:lang w:val="fr-BE"/>
              </w:rPr>
              <w:t>044</w:t>
            </w:r>
          </w:p>
        </w:tc>
        <w:tc>
          <w:tcPr>
            <w:tcW w:w="0" w:type="auto"/>
            <w:shd w:val="clear" w:color="auto" w:fill="auto"/>
          </w:tcPr>
          <w:p w14:paraId="5374E5AD" w14:textId="77777777" w:rsidR="008C5CFA" w:rsidRPr="0024468B" w:rsidRDefault="00E82A60" w:rsidP="00300A01">
            <w:pPr>
              <w:spacing w:before="0" w:after="0"/>
              <w:rPr>
                <w:sz w:val="16"/>
                <w:szCs w:val="16"/>
                <w:lang w:val="fr-BE"/>
              </w:rPr>
            </w:pPr>
            <w:r>
              <w:rPr>
                <w:noProof/>
                <w:sz w:val="16"/>
                <w:szCs w:val="16"/>
                <w:lang w:val="fr-BE"/>
              </w:rPr>
              <w:t>Liczba wspartych obiektów turystycznych i rekreacyjnych</w:t>
            </w:r>
          </w:p>
        </w:tc>
        <w:tc>
          <w:tcPr>
            <w:tcW w:w="0" w:type="auto"/>
            <w:shd w:val="clear" w:color="auto" w:fill="auto"/>
          </w:tcPr>
          <w:p w14:paraId="469BEE65" w14:textId="77777777" w:rsidR="008C5CFA" w:rsidRPr="0024468B" w:rsidRDefault="00E82A60" w:rsidP="00300A01">
            <w:pPr>
              <w:spacing w:before="0" w:after="0"/>
              <w:rPr>
                <w:sz w:val="16"/>
                <w:szCs w:val="16"/>
                <w:lang w:val="fr-BE"/>
              </w:rPr>
            </w:pPr>
            <w:r w:rsidRPr="0024468B">
              <w:rPr>
                <w:noProof/>
                <w:sz w:val="16"/>
                <w:szCs w:val="16"/>
                <w:lang w:val="fr-BE"/>
              </w:rPr>
              <w:t>szt.</w:t>
            </w:r>
          </w:p>
        </w:tc>
        <w:tc>
          <w:tcPr>
            <w:tcW w:w="0" w:type="auto"/>
            <w:shd w:val="clear" w:color="auto" w:fill="auto"/>
          </w:tcPr>
          <w:p w14:paraId="67157CA5" w14:textId="77777777" w:rsidR="008C5CFA" w:rsidRPr="0024468B" w:rsidRDefault="00E82A60"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14:paraId="3E5BAB9F" w14:textId="77777777" w:rsidR="008C5CFA" w:rsidRPr="0024468B" w:rsidRDefault="00E82A60" w:rsidP="00300A01">
            <w:pPr>
              <w:spacing w:before="0" w:after="0"/>
              <w:jc w:val="right"/>
              <w:rPr>
                <w:sz w:val="16"/>
                <w:szCs w:val="16"/>
                <w:lang w:val="fr-BE"/>
              </w:rPr>
            </w:pPr>
            <w:r>
              <w:rPr>
                <w:noProof/>
                <w:sz w:val="16"/>
                <w:szCs w:val="16"/>
                <w:lang w:val="fr-BE"/>
              </w:rPr>
              <w:t>6,00</w:t>
            </w:r>
          </w:p>
        </w:tc>
        <w:tc>
          <w:tcPr>
            <w:tcW w:w="0" w:type="auto"/>
            <w:shd w:val="clear" w:color="auto" w:fill="auto"/>
          </w:tcPr>
          <w:p w14:paraId="5DD3B8E5" w14:textId="77777777" w:rsidR="008C5CFA" w:rsidRPr="0024468B" w:rsidRDefault="008C5CFA" w:rsidP="00300A01">
            <w:pPr>
              <w:spacing w:before="0" w:after="0"/>
              <w:jc w:val="right"/>
              <w:rPr>
                <w:sz w:val="16"/>
                <w:szCs w:val="16"/>
                <w:lang w:val="fr-BE"/>
              </w:rPr>
            </w:pPr>
          </w:p>
        </w:tc>
        <w:tc>
          <w:tcPr>
            <w:tcW w:w="0" w:type="auto"/>
          </w:tcPr>
          <w:p w14:paraId="1E6903A2" w14:textId="77777777" w:rsidR="008C5CFA" w:rsidRPr="0024468B" w:rsidRDefault="008C5CFA" w:rsidP="00300A01">
            <w:pPr>
              <w:spacing w:before="0" w:after="0"/>
              <w:jc w:val="right"/>
              <w:rPr>
                <w:sz w:val="16"/>
                <w:szCs w:val="16"/>
                <w:lang w:val="fr-BE"/>
              </w:rPr>
            </w:pPr>
          </w:p>
        </w:tc>
        <w:tc>
          <w:tcPr>
            <w:tcW w:w="0" w:type="auto"/>
            <w:shd w:val="clear" w:color="auto" w:fill="auto"/>
          </w:tcPr>
          <w:p w14:paraId="3DBD1A8B" w14:textId="77777777" w:rsidR="008C5CFA" w:rsidRPr="0024468B" w:rsidRDefault="00E82A60" w:rsidP="00300A01">
            <w:pPr>
              <w:spacing w:before="0" w:after="0"/>
              <w:jc w:val="right"/>
              <w:rPr>
                <w:sz w:val="16"/>
                <w:szCs w:val="16"/>
                <w:lang w:val="fr-BE"/>
              </w:rPr>
            </w:pPr>
            <w:r w:rsidRPr="0024468B">
              <w:rPr>
                <w:noProof/>
                <w:sz w:val="16"/>
                <w:szCs w:val="16"/>
                <w:lang w:val="fr-BE"/>
              </w:rPr>
              <w:t>13,00</w:t>
            </w:r>
          </w:p>
        </w:tc>
        <w:tc>
          <w:tcPr>
            <w:tcW w:w="0" w:type="auto"/>
            <w:shd w:val="clear" w:color="auto" w:fill="auto"/>
          </w:tcPr>
          <w:p w14:paraId="1AB02548"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72930C60"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0E4EBB2F" w14:textId="77777777" w:rsidR="008C5CFA" w:rsidRPr="0024468B" w:rsidRDefault="008C5CFA" w:rsidP="00300A01">
            <w:pPr>
              <w:spacing w:before="0" w:after="0"/>
              <w:rPr>
                <w:sz w:val="16"/>
                <w:szCs w:val="16"/>
                <w:lang w:val="fr-BE"/>
              </w:rPr>
            </w:pPr>
          </w:p>
        </w:tc>
      </w:tr>
      <w:tr w:rsidR="006B2EC1" w14:paraId="76722C30" w14:textId="77777777" w:rsidTr="0047688D">
        <w:tc>
          <w:tcPr>
            <w:tcW w:w="0" w:type="auto"/>
          </w:tcPr>
          <w:p w14:paraId="425BB522" w14:textId="77777777" w:rsidR="008C5CFA" w:rsidRPr="0024468B" w:rsidRDefault="00E82A60" w:rsidP="00300A01">
            <w:pPr>
              <w:spacing w:before="0" w:after="0"/>
              <w:rPr>
                <w:sz w:val="16"/>
                <w:szCs w:val="16"/>
                <w:lang w:val="fr-BE"/>
              </w:rPr>
            </w:pPr>
            <w:r>
              <w:rPr>
                <w:noProof/>
                <w:sz w:val="16"/>
                <w:szCs w:val="16"/>
                <w:lang w:val="fr-BE"/>
              </w:rPr>
              <w:t>S</w:t>
            </w:r>
          </w:p>
        </w:tc>
        <w:tc>
          <w:tcPr>
            <w:tcW w:w="0" w:type="auto"/>
            <w:shd w:val="clear" w:color="auto" w:fill="auto"/>
          </w:tcPr>
          <w:p w14:paraId="5340B67D" w14:textId="77777777" w:rsidR="008C5CFA" w:rsidRPr="0024468B" w:rsidRDefault="00E82A60" w:rsidP="00300A01">
            <w:pPr>
              <w:spacing w:before="0" w:after="0"/>
              <w:rPr>
                <w:sz w:val="16"/>
                <w:szCs w:val="16"/>
                <w:lang w:val="fr-BE"/>
              </w:rPr>
            </w:pPr>
            <w:r>
              <w:rPr>
                <w:noProof/>
                <w:sz w:val="16"/>
                <w:szCs w:val="16"/>
                <w:lang w:val="fr-BE"/>
              </w:rPr>
              <w:t>044</w:t>
            </w:r>
          </w:p>
        </w:tc>
        <w:tc>
          <w:tcPr>
            <w:tcW w:w="0" w:type="auto"/>
            <w:shd w:val="clear" w:color="auto" w:fill="auto"/>
          </w:tcPr>
          <w:p w14:paraId="74A5AAC8" w14:textId="77777777" w:rsidR="008C5CFA" w:rsidRPr="0024468B" w:rsidRDefault="00E82A60" w:rsidP="00300A01">
            <w:pPr>
              <w:spacing w:before="0" w:after="0"/>
              <w:rPr>
                <w:sz w:val="16"/>
                <w:szCs w:val="16"/>
                <w:lang w:val="fr-BE"/>
              </w:rPr>
            </w:pPr>
            <w:r>
              <w:rPr>
                <w:noProof/>
                <w:sz w:val="16"/>
                <w:szCs w:val="16"/>
                <w:lang w:val="fr-BE"/>
              </w:rPr>
              <w:t>Liczba wspartych obiektów turystycznych i rekreacyjnych</w:t>
            </w:r>
          </w:p>
        </w:tc>
        <w:tc>
          <w:tcPr>
            <w:tcW w:w="0" w:type="auto"/>
            <w:shd w:val="clear" w:color="auto" w:fill="auto"/>
          </w:tcPr>
          <w:p w14:paraId="12959E8A" w14:textId="77777777" w:rsidR="008C5CFA" w:rsidRPr="0024468B" w:rsidRDefault="00E82A60" w:rsidP="00300A01">
            <w:pPr>
              <w:spacing w:before="0" w:after="0"/>
              <w:rPr>
                <w:sz w:val="16"/>
                <w:szCs w:val="16"/>
                <w:lang w:val="fr-BE"/>
              </w:rPr>
            </w:pPr>
            <w:r w:rsidRPr="0024468B">
              <w:rPr>
                <w:noProof/>
                <w:sz w:val="16"/>
                <w:szCs w:val="16"/>
                <w:lang w:val="fr-BE"/>
              </w:rPr>
              <w:t>szt.</w:t>
            </w:r>
          </w:p>
        </w:tc>
        <w:tc>
          <w:tcPr>
            <w:tcW w:w="0" w:type="auto"/>
            <w:shd w:val="clear" w:color="auto" w:fill="auto"/>
          </w:tcPr>
          <w:p w14:paraId="10EFCC8F" w14:textId="77777777" w:rsidR="008C5CFA" w:rsidRPr="0024468B" w:rsidRDefault="00E82A60"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14:paraId="5A8734CF" w14:textId="77777777" w:rsidR="008C5CFA" w:rsidRPr="0024468B" w:rsidRDefault="00E82A60" w:rsidP="00300A01">
            <w:pPr>
              <w:spacing w:before="0" w:after="0"/>
              <w:jc w:val="right"/>
              <w:rPr>
                <w:sz w:val="16"/>
                <w:szCs w:val="16"/>
                <w:lang w:val="fr-BE"/>
              </w:rPr>
            </w:pPr>
            <w:r>
              <w:rPr>
                <w:noProof/>
                <w:sz w:val="16"/>
                <w:szCs w:val="16"/>
                <w:lang w:val="fr-BE"/>
              </w:rPr>
              <w:t>6,00</w:t>
            </w:r>
          </w:p>
        </w:tc>
        <w:tc>
          <w:tcPr>
            <w:tcW w:w="0" w:type="auto"/>
            <w:shd w:val="clear" w:color="auto" w:fill="auto"/>
          </w:tcPr>
          <w:p w14:paraId="1001BF25" w14:textId="77777777" w:rsidR="008C5CFA" w:rsidRPr="0024468B" w:rsidRDefault="008C5CFA" w:rsidP="00300A01">
            <w:pPr>
              <w:spacing w:before="0" w:after="0"/>
              <w:jc w:val="right"/>
              <w:rPr>
                <w:sz w:val="16"/>
                <w:szCs w:val="16"/>
                <w:lang w:val="fr-BE"/>
              </w:rPr>
            </w:pPr>
          </w:p>
        </w:tc>
        <w:tc>
          <w:tcPr>
            <w:tcW w:w="0" w:type="auto"/>
          </w:tcPr>
          <w:p w14:paraId="2E0EAF08" w14:textId="77777777" w:rsidR="008C5CFA" w:rsidRPr="0024468B" w:rsidRDefault="008C5CFA" w:rsidP="00300A01">
            <w:pPr>
              <w:spacing w:before="0" w:after="0"/>
              <w:jc w:val="right"/>
              <w:rPr>
                <w:sz w:val="16"/>
                <w:szCs w:val="16"/>
                <w:lang w:val="fr-BE"/>
              </w:rPr>
            </w:pPr>
          </w:p>
        </w:tc>
        <w:tc>
          <w:tcPr>
            <w:tcW w:w="0" w:type="auto"/>
            <w:shd w:val="clear" w:color="auto" w:fill="auto"/>
          </w:tcPr>
          <w:p w14:paraId="045D8F6A" w14:textId="77777777" w:rsidR="008C5CFA" w:rsidRPr="0024468B" w:rsidRDefault="00E82A60" w:rsidP="00300A01">
            <w:pPr>
              <w:spacing w:before="0" w:after="0"/>
              <w:jc w:val="right"/>
              <w:rPr>
                <w:sz w:val="16"/>
                <w:szCs w:val="16"/>
                <w:lang w:val="fr-BE"/>
              </w:rPr>
            </w:pPr>
            <w:r w:rsidRPr="0024468B">
              <w:rPr>
                <w:noProof/>
                <w:sz w:val="16"/>
                <w:szCs w:val="16"/>
                <w:lang w:val="fr-BE"/>
              </w:rPr>
              <w:t>21,00</w:t>
            </w:r>
          </w:p>
        </w:tc>
        <w:tc>
          <w:tcPr>
            <w:tcW w:w="0" w:type="auto"/>
            <w:shd w:val="clear" w:color="auto" w:fill="auto"/>
          </w:tcPr>
          <w:p w14:paraId="14539041"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64D1D0AC"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603F4620" w14:textId="77777777" w:rsidR="008C5CFA" w:rsidRPr="0024468B" w:rsidRDefault="00E82A60" w:rsidP="00300A01">
            <w:pPr>
              <w:spacing w:before="0" w:after="0"/>
              <w:rPr>
                <w:sz w:val="16"/>
                <w:szCs w:val="16"/>
                <w:lang w:val="fr-BE"/>
              </w:rPr>
            </w:pPr>
            <w:r w:rsidRPr="0024468B">
              <w:rPr>
                <w:noProof/>
                <w:sz w:val="16"/>
                <w:szCs w:val="16"/>
                <w:lang w:val="fr-BE"/>
              </w:rPr>
              <w:t>Oszacowanie wartości wskaźnika odbyło się w oparciu o dane ze zgłoszonych kart informacyjnych potencjalnych beneficjentów na etapie programowania. Wzięto pod uwagę projekty z kategorii dotyczącej zagospodarowania lokalnych zasobów przyrodniczych. Zawarte umowy pokazują, że udało się wesprzeć więcej obiektów, stąd propozycja zwiększenia wskaźnika do poziomu 18 obiektów turystycznych i rekreacyjnych.</w:t>
            </w:r>
          </w:p>
        </w:tc>
      </w:tr>
    </w:tbl>
    <w:p w14:paraId="1516233A" w14:textId="77777777" w:rsidR="008C5CFA" w:rsidRDefault="00E82A60" w:rsidP="00300A01">
      <w:pPr>
        <w:spacing w:before="0" w:after="0"/>
        <w:rPr>
          <w:lang w:val="fr-BE"/>
        </w:rPr>
      </w:pPr>
      <w:r>
        <w:rPr>
          <w:noProof/>
          <w:lang w:val="fr-BE"/>
        </w:rPr>
        <w:t>1) S=wartość skumulowana – produkty, które mają być zrealizowane poprzez wybrane operacje [prognoza przedstawiona przez beneficjentów], F=wartość skumulowana – produkty zrealizowane poprzez operacje [rzeczywiste wykonanie]</w:t>
      </w:r>
    </w:p>
    <w:p w14:paraId="0D52303B"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01"/>
        <w:gridCol w:w="497"/>
        <w:gridCol w:w="5001"/>
        <w:gridCol w:w="977"/>
        <w:gridCol w:w="1163"/>
        <w:gridCol w:w="987"/>
        <w:gridCol w:w="978"/>
        <w:gridCol w:w="1164"/>
        <w:gridCol w:w="987"/>
        <w:gridCol w:w="978"/>
        <w:gridCol w:w="1164"/>
        <w:gridCol w:w="987"/>
      </w:tblGrid>
      <w:tr w:rsidR="006B2EC1" w14:paraId="24B96B2B" w14:textId="77777777" w:rsidTr="0047688D">
        <w:trPr>
          <w:tblHeader/>
        </w:trPr>
        <w:tc>
          <w:tcPr>
            <w:tcW w:w="0" w:type="auto"/>
          </w:tcPr>
          <w:p w14:paraId="2510F7D7" w14:textId="77777777" w:rsidR="008C5CFA" w:rsidRPr="009143B4" w:rsidRDefault="00E82A60" w:rsidP="00300A01">
            <w:pPr>
              <w:spacing w:before="0" w:after="0"/>
              <w:rPr>
                <w:b/>
                <w:sz w:val="16"/>
                <w:szCs w:val="16"/>
                <w:lang w:val="fr-BE"/>
              </w:rPr>
            </w:pPr>
            <w:r w:rsidRPr="009143B4">
              <w:rPr>
                <w:b/>
                <w:sz w:val="16"/>
                <w:szCs w:val="16"/>
                <w:lang w:val="fr-BE"/>
              </w:rPr>
              <w:t>(1)</w:t>
            </w:r>
          </w:p>
        </w:tc>
        <w:tc>
          <w:tcPr>
            <w:tcW w:w="0" w:type="auto"/>
            <w:shd w:val="clear" w:color="auto" w:fill="auto"/>
          </w:tcPr>
          <w:p w14:paraId="1700B39F" w14:textId="77777777" w:rsidR="008C5CFA" w:rsidRPr="009143B4" w:rsidRDefault="00E82A60" w:rsidP="00300A01">
            <w:pPr>
              <w:spacing w:before="0" w:after="0"/>
              <w:rPr>
                <w:b/>
                <w:sz w:val="16"/>
                <w:szCs w:val="16"/>
                <w:lang w:val="fr-BE"/>
              </w:rPr>
            </w:pPr>
            <w:r w:rsidRPr="009143B4">
              <w:rPr>
                <w:b/>
                <w:noProof/>
                <w:sz w:val="16"/>
                <w:szCs w:val="16"/>
                <w:lang w:val="fr-BE"/>
              </w:rPr>
              <w:t>ID</w:t>
            </w:r>
          </w:p>
        </w:tc>
        <w:tc>
          <w:tcPr>
            <w:tcW w:w="0" w:type="auto"/>
            <w:shd w:val="clear" w:color="auto" w:fill="auto"/>
          </w:tcPr>
          <w:p w14:paraId="10F79D4D" w14:textId="77777777" w:rsidR="008C5CFA" w:rsidRPr="009143B4" w:rsidRDefault="00E82A60" w:rsidP="00300A01">
            <w:pPr>
              <w:spacing w:before="0" w:after="0"/>
              <w:rPr>
                <w:b/>
                <w:sz w:val="16"/>
                <w:szCs w:val="16"/>
                <w:lang w:val="fr-BE"/>
              </w:rPr>
            </w:pPr>
            <w:r w:rsidRPr="009143B4">
              <w:rPr>
                <w:b/>
                <w:noProof/>
                <w:sz w:val="16"/>
                <w:szCs w:val="16"/>
                <w:lang w:val="fr-BE"/>
              </w:rPr>
              <w:t>Wskaźnik</w:t>
            </w:r>
          </w:p>
        </w:tc>
        <w:tc>
          <w:tcPr>
            <w:tcW w:w="0" w:type="auto"/>
          </w:tcPr>
          <w:p w14:paraId="065A51D7" w14:textId="77777777" w:rsidR="008C5CFA" w:rsidRPr="009143B4" w:rsidRDefault="00E82A60" w:rsidP="00300A01">
            <w:pPr>
              <w:spacing w:before="0" w:after="0"/>
              <w:jc w:val="center"/>
              <w:rPr>
                <w:b/>
                <w:sz w:val="16"/>
                <w:szCs w:val="16"/>
                <w:lang w:val="fr-BE"/>
              </w:rPr>
            </w:pPr>
            <w:r>
              <w:rPr>
                <w:b/>
                <w:sz w:val="16"/>
                <w:szCs w:val="16"/>
                <w:lang w:val="fr-BE"/>
              </w:rPr>
              <w:t xml:space="preserve">2018 </w:t>
            </w:r>
            <w:r w:rsidRPr="009143B4">
              <w:rPr>
                <w:b/>
                <w:noProof/>
                <w:sz w:val="16"/>
                <w:szCs w:val="16"/>
                <w:lang w:val="fr-BE"/>
              </w:rPr>
              <w:t>Ogółem</w:t>
            </w:r>
          </w:p>
        </w:tc>
        <w:tc>
          <w:tcPr>
            <w:tcW w:w="0" w:type="auto"/>
          </w:tcPr>
          <w:p w14:paraId="520267CA" w14:textId="77777777" w:rsidR="008C5CFA" w:rsidRPr="009143B4" w:rsidRDefault="00E82A60" w:rsidP="00300A01">
            <w:pPr>
              <w:spacing w:before="0" w:after="0"/>
              <w:jc w:val="center"/>
              <w:rPr>
                <w:b/>
                <w:sz w:val="16"/>
                <w:szCs w:val="16"/>
                <w:lang w:val="fr-BE"/>
              </w:rPr>
            </w:pPr>
            <w:r>
              <w:rPr>
                <w:b/>
                <w:sz w:val="16"/>
                <w:szCs w:val="16"/>
                <w:lang w:val="fr-BE"/>
              </w:rPr>
              <w:t xml:space="preserve">2018 </w:t>
            </w:r>
            <w:r w:rsidRPr="009143B4">
              <w:rPr>
                <w:b/>
                <w:noProof/>
                <w:sz w:val="16"/>
                <w:szCs w:val="16"/>
                <w:lang w:val="fr-BE"/>
              </w:rPr>
              <w:t>Mężczyźni</w:t>
            </w:r>
          </w:p>
        </w:tc>
        <w:tc>
          <w:tcPr>
            <w:tcW w:w="0" w:type="auto"/>
          </w:tcPr>
          <w:p w14:paraId="4154A38C" w14:textId="77777777" w:rsidR="008C5CFA" w:rsidRPr="009143B4" w:rsidRDefault="00E82A60" w:rsidP="00300A01">
            <w:pPr>
              <w:spacing w:before="0" w:after="0"/>
              <w:jc w:val="center"/>
              <w:rPr>
                <w:b/>
                <w:sz w:val="16"/>
                <w:szCs w:val="16"/>
                <w:lang w:val="fr-BE"/>
              </w:rPr>
            </w:pPr>
            <w:r>
              <w:rPr>
                <w:b/>
                <w:sz w:val="16"/>
                <w:szCs w:val="16"/>
                <w:lang w:val="fr-BE"/>
              </w:rPr>
              <w:t xml:space="preserve">2018 </w:t>
            </w:r>
            <w:r w:rsidRPr="009143B4">
              <w:rPr>
                <w:b/>
                <w:noProof/>
                <w:sz w:val="16"/>
                <w:szCs w:val="16"/>
                <w:lang w:val="fr-BE"/>
              </w:rPr>
              <w:t>Kobiety</w:t>
            </w:r>
          </w:p>
        </w:tc>
        <w:tc>
          <w:tcPr>
            <w:tcW w:w="0" w:type="auto"/>
          </w:tcPr>
          <w:p w14:paraId="671312AA" w14:textId="77777777" w:rsidR="008C5CFA" w:rsidRPr="009143B4" w:rsidRDefault="00E82A60"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Ogółem</w:t>
            </w:r>
          </w:p>
        </w:tc>
        <w:tc>
          <w:tcPr>
            <w:tcW w:w="0" w:type="auto"/>
          </w:tcPr>
          <w:p w14:paraId="61BFF7AC" w14:textId="77777777" w:rsidR="008C5CFA" w:rsidRPr="009143B4" w:rsidRDefault="00E82A60"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Mężczyźni</w:t>
            </w:r>
          </w:p>
        </w:tc>
        <w:tc>
          <w:tcPr>
            <w:tcW w:w="0" w:type="auto"/>
          </w:tcPr>
          <w:p w14:paraId="1C8D5B40" w14:textId="77777777" w:rsidR="008C5CFA" w:rsidRPr="009143B4" w:rsidRDefault="00E82A60"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Kobiety</w:t>
            </w:r>
          </w:p>
        </w:tc>
        <w:tc>
          <w:tcPr>
            <w:tcW w:w="0" w:type="auto"/>
            <w:shd w:val="clear" w:color="auto" w:fill="auto"/>
          </w:tcPr>
          <w:p w14:paraId="75F270F3" w14:textId="77777777" w:rsidR="008C5CFA" w:rsidRPr="009143B4" w:rsidRDefault="00E82A60"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Ogółem</w:t>
            </w:r>
          </w:p>
        </w:tc>
        <w:tc>
          <w:tcPr>
            <w:tcW w:w="0" w:type="auto"/>
            <w:shd w:val="clear" w:color="auto" w:fill="auto"/>
          </w:tcPr>
          <w:p w14:paraId="70E41E26" w14:textId="77777777" w:rsidR="008C5CFA" w:rsidRPr="009143B4" w:rsidRDefault="00E82A60"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Mężczyźni</w:t>
            </w:r>
          </w:p>
        </w:tc>
        <w:tc>
          <w:tcPr>
            <w:tcW w:w="0" w:type="auto"/>
            <w:shd w:val="clear" w:color="auto" w:fill="auto"/>
          </w:tcPr>
          <w:p w14:paraId="7A658C04" w14:textId="77777777" w:rsidR="008C5CFA" w:rsidRPr="009143B4" w:rsidRDefault="00E82A60"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Kobiety</w:t>
            </w:r>
          </w:p>
        </w:tc>
      </w:tr>
      <w:tr w:rsidR="006B2EC1" w14:paraId="1DCBBAF5" w14:textId="77777777" w:rsidTr="0047688D">
        <w:tc>
          <w:tcPr>
            <w:tcW w:w="0" w:type="auto"/>
          </w:tcPr>
          <w:p w14:paraId="785111E1" w14:textId="77777777" w:rsidR="008C5CFA" w:rsidRPr="0024468B" w:rsidRDefault="00E82A60" w:rsidP="00300A01">
            <w:pPr>
              <w:spacing w:before="0" w:after="0"/>
              <w:rPr>
                <w:sz w:val="16"/>
                <w:szCs w:val="16"/>
                <w:lang w:val="fr-BE"/>
              </w:rPr>
            </w:pPr>
            <w:r>
              <w:rPr>
                <w:noProof/>
                <w:sz w:val="16"/>
                <w:szCs w:val="16"/>
                <w:lang w:val="fr-BE"/>
              </w:rPr>
              <w:t>F</w:t>
            </w:r>
          </w:p>
        </w:tc>
        <w:tc>
          <w:tcPr>
            <w:tcW w:w="0" w:type="auto"/>
            <w:shd w:val="clear" w:color="auto" w:fill="auto"/>
          </w:tcPr>
          <w:p w14:paraId="5927ECF5" w14:textId="77777777" w:rsidR="008C5CFA" w:rsidRPr="0024468B" w:rsidRDefault="00E82A60" w:rsidP="00300A01">
            <w:pPr>
              <w:spacing w:before="0" w:after="0"/>
              <w:rPr>
                <w:sz w:val="16"/>
                <w:szCs w:val="16"/>
                <w:lang w:val="fr-BE"/>
              </w:rPr>
            </w:pPr>
            <w:r w:rsidRPr="0024468B">
              <w:rPr>
                <w:noProof/>
                <w:sz w:val="16"/>
                <w:szCs w:val="16"/>
                <w:lang w:val="fr-BE"/>
              </w:rPr>
              <w:t>CO01</w:t>
            </w:r>
          </w:p>
        </w:tc>
        <w:tc>
          <w:tcPr>
            <w:tcW w:w="0" w:type="auto"/>
            <w:shd w:val="clear" w:color="auto" w:fill="auto"/>
          </w:tcPr>
          <w:p w14:paraId="6BBA5588" w14:textId="77777777" w:rsidR="008C5CFA" w:rsidRPr="0024468B" w:rsidRDefault="00E82A60" w:rsidP="00300A01">
            <w:pPr>
              <w:spacing w:before="0" w:after="0"/>
              <w:rPr>
                <w:sz w:val="16"/>
                <w:szCs w:val="16"/>
                <w:lang w:val="fr-BE"/>
              </w:rPr>
            </w:pPr>
            <w:r w:rsidRPr="0024468B">
              <w:rPr>
                <w:noProof/>
                <w:sz w:val="16"/>
                <w:szCs w:val="16"/>
                <w:lang w:val="fr-BE"/>
              </w:rPr>
              <w:t>Inwestycje produkcyjne: liczba przedsiębiorstw otrzymujących wsparcie</w:t>
            </w:r>
          </w:p>
        </w:tc>
        <w:tc>
          <w:tcPr>
            <w:tcW w:w="0" w:type="auto"/>
          </w:tcPr>
          <w:p w14:paraId="66703D23" w14:textId="77777777" w:rsidR="008C5CFA" w:rsidRPr="0024468B" w:rsidRDefault="00E82A60" w:rsidP="00300A01">
            <w:pPr>
              <w:spacing w:before="0" w:after="0"/>
              <w:jc w:val="right"/>
              <w:rPr>
                <w:sz w:val="16"/>
                <w:szCs w:val="16"/>
                <w:lang w:val="fr-BE"/>
              </w:rPr>
            </w:pPr>
            <w:r w:rsidRPr="0024468B">
              <w:rPr>
                <w:noProof/>
                <w:sz w:val="16"/>
                <w:szCs w:val="16"/>
                <w:lang w:val="fr-BE"/>
              </w:rPr>
              <w:t>3,00</w:t>
            </w:r>
          </w:p>
        </w:tc>
        <w:tc>
          <w:tcPr>
            <w:tcW w:w="0" w:type="auto"/>
          </w:tcPr>
          <w:p w14:paraId="7AE655EE"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717B9314"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2CC65DC7"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51086A57"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4AE47DA5"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3AB50E50"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4EF2F811"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5A237852"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r w:rsidR="006B2EC1" w14:paraId="4415A2F8" w14:textId="77777777" w:rsidTr="0047688D">
        <w:tc>
          <w:tcPr>
            <w:tcW w:w="0" w:type="auto"/>
          </w:tcPr>
          <w:p w14:paraId="2BD00253" w14:textId="77777777" w:rsidR="008C5CFA" w:rsidRPr="0024468B" w:rsidRDefault="00E82A60" w:rsidP="00300A01">
            <w:pPr>
              <w:spacing w:before="0" w:after="0"/>
              <w:rPr>
                <w:sz w:val="16"/>
                <w:szCs w:val="16"/>
                <w:lang w:val="fr-BE"/>
              </w:rPr>
            </w:pPr>
            <w:r>
              <w:rPr>
                <w:noProof/>
                <w:sz w:val="16"/>
                <w:szCs w:val="16"/>
                <w:lang w:val="fr-BE"/>
              </w:rPr>
              <w:t>S</w:t>
            </w:r>
          </w:p>
        </w:tc>
        <w:tc>
          <w:tcPr>
            <w:tcW w:w="0" w:type="auto"/>
            <w:shd w:val="clear" w:color="auto" w:fill="auto"/>
          </w:tcPr>
          <w:p w14:paraId="65F60244" w14:textId="77777777" w:rsidR="008C5CFA" w:rsidRPr="0024468B" w:rsidRDefault="00E82A60" w:rsidP="00300A01">
            <w:pPr>
              <w:spacing w:before="0" w:after="0"/>
              <w:rPr>
                <w:sz w:val="16"/>
                <w:szCs w:val="16"/>
                <w:lang w:val="fr-BE"/>
              </w:rPr>
            </w:pPr>
            <w:r w:rsidRPr="0024468B">
              <w:rPr>
                <w:noProof/>
                <w:sz w:val="16"/>
                <w:szCs w:val="16"/>
                <w:lang w:val="fr-BE"/>
              </w:rPr>
              <w:t>CO01</w:t>
            </w:r>
          </w:p>
        </w:tc>
        <w:tc>
          <w:tcPr>
            <w:tcW w:w="0" w:type="auto"/>
            <w:shd w:val="clear" w:color="auto" w:fill="auto"/>
          </w:tcPr>
          <w:p w14:paraId="29C1DBEC" w14:textId="77777777" w:rsidR="008C5CFA" w:rsidRPr="0024468B" w:rsidRDefault="00E82A60" w:rsidP="00300A01">
            <w:pPr>
              <w:spacing w:before="0" w:after="0"/>
              <w:rPr>
                <w:sz w:val="16"/>
                <w:szCs w:val="16"/>
                <w:lang w:val="fr-BE"/>
              </w:rPr>
            </w:pPr>
            <w:r w:rsidRPr="0024468B">
              <w:rPr>
                <w:noProof/>
                <w:sz w:val="16"/>
                <w:szCs w:val="16"/>
                <w:lang w:val="fr-BE"/>
              </w:rPr>
              <w:t>Inwestycje produkcyjne: liczba przedsiębiorstw otrzymujących wsparcie</w:t>
            </w:r>
          </w:p>
        </w:tc>
        <w:tc>
          <w:tcPr>
            <w:tcW w:w="0" w:type="auto"/>
          </w:tcPr>
          <w:p w14:paraId="0D1EB1D2" w14:textId="77777777" w:rsidR="008C5CFA" w:rsidRPr="0024468B" w:rsidRDefault="00E82A60" w:rsidP="00300A01">
            <w:pPr>
              <w:spacing w:before="0" w:after="0"/>
              <w:jc w:val="right"/>
              <w:rPr>
                <w:sz w:val="16"/>
                <w:szCs w:val="16"/>
                <w:lang w:val="fr-BE"/>
              </w:rPr>
            </w:pPr>
            <w:r w:rsidRPr="0024468B">
              <w:rPr>
                <w:noProof/>
                <w:sz w:val="16"/>
                <w:szCs w:val="16"/>
                <w:lang w:val="fr-BE"/>
              </w:rPr>
              <w:t>3,00</w:t>
            </w:r>
          </w:p>
        </w:tc>
        <w:tc>
          <w:tcPr>
            <w:tcW w:w="0" w:type="auto"/>
          </w:tcPr>
          <w:p w14:paraId="6D988AE5"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10156995"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20802C4F"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7030887F"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10F15A03"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1616F1E5"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094A98A4"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0DCE72C5"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r w:rsidR="006B2EC1" w14:paraId="31708ADC" w14:textId="77777777" w:rsidTr="0047688D">
        <w:tc>
          <w:tcPr>
            <w:tcW w:w="0" w:type="auto"/>
          </w:tcPr>
          <w:p w14:paraId="0D19CECD" w14:textId="77777777" w:rsidR="008C5CFA" w:rsidRPr="0024468B" w:rsidRDefault="00E82A60" w:rsidP="00300A01">
            <w:pPr>
              <w:spacing w:before="0" w:after="0"/>
              <w:rPr>
                <w:sz w:val="16"/>
                <w:szCs w:val="16"/>
                <w:lang w:val="fr-BE"/>
              </w:rPr>
            </w:pPr>
            <w:r>
              <w:rPr>
                <w:noProof/>
                <w:sz w:val="16"/>
                <w:szCs w:val="16"/>
                <w:lang w:val="fr-BE"/>
              </w:rPr>
              <w:t>F</w:t>
            </w:r>
          </w:p>
        </w:tc>
        <w:tc>
          <w:tcPr>
            <w:tcW w:w="0" w:type="auto"/>
            <w:shd w:val="clear" w:color="auto" w:fill="auto"/>
          </w:tcPr>
          <w:p w14:paraId="321F459F" w14:textId="77777777" w:rsidR="008C5CFA" w:rsidRPr="0024468B" w:rsidRDefault="00E82A60" w:rsidP="00300A01">
            <w:pPr>
              <w:spacing w:before="0" w:after="0"/>
              <w:rPr>
                <w:sz w:val="16"/>
                <w:szCs w:val="16"/>
                <w:lang w:val="fr-BE"/>
              </w:rPr>
            </w:pPr>
            <w:r w:rsidRPr="0024468B">
              <w:rPr>
                <w:noProof/>
                <w:sz w:val="16"/>
                <w:szCs w:val="16"/>
                <w:lang w:val="fr-BE"/>
              </w:rPr>
              <w:t>CO08</w:t>
            </w:r>
          </w:p>
        </w:tc>
        <w:tc>
          <w:tcPr>
            <w:tcW w:w="0" w:type="auto"/>
            <w:shd w:val="clear" w:color="auto" w:fill="auto"/>
          </w:tcPr>
          <w:p w14:paraId="74BEB29C" w14:textId="77777777" w:rsidR="008C5CFA" w:rsidRPr="0024468B" w:rsidRDefault="00E82A60" w:rsidP="00300A01">
            <w:pPr>
              <w:spacing w:before="0" w:after="0"/>
              <w:rPr>
                <w:sz w:val="16"/>
                <w:szCs w:val="16"/>
                <w:lang w:val="fr-BE"/>
              </w:rPr>
            </w:pPr>
            <w:r w:rsidRPr="0024468B">
              <w:rPr>
                <w:noProof/>
                <w:sz w:val="16"/>
                <w:szCs w:val="16"/>
                <w:lang w:val="fr-BE"/>
              </w:rPr>
              <w:t>Inwestycje produkcyjne: wzrost zatrudnienia we wspieranych przedsiębiorstwach</w:t>
            </w:r>
          </w:p>
        </w:tc>
        <w:tc>
          <w:tcPr>
            <w:tcW w:w="0" w:type="auto"/>
          </w:tcPr>
          <w:p w14:paraId="52D7004F"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1D33B76F"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6410E3E8"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7704192A"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734650F2"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6B9C5B4F"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6867C83A"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707953E0"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7993AD69"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r w:rsidR="006B2EC1" w14:paraId="62986025" w14:textId="77777777" w:rsidTr="0047688D">
        <w:tc>
          <w:tcPr>
            <w:tcW w:w="0" w:type="auto"/>
          </w:tcPr>
          <w:p w14:paraId="458BDB2F" w14:textId="77777777" w:rsidR="008C5CFA" w:rsidRPr="0024468B" w:rsidRDefault="00E82A60" w:rsidP="00300A01">
            <w:pPr>
              <w:spacing w:before="0" w:after="0"/>
              <w:rPr>
                <w:sz w:val="16"/>
                <w:szCs w:val="16"/>
                <w:lang w:val="fr-BE"/>
              </w:rPr>
            </w:pPr>
            <w:r>
              <w:rPr>
                <w:noProof/>
                <w:sz w:val="16"/>
                <w:szCs w:val="16"/>
                <w:lang w:val="fr-BE"/>
              </w:rPr>
              <w:lastRenderedPageBreak/>
              <w:t>S</w:t>
            </w:r>
          </w:p>
        </w:tc>
        <w:tc>
          <w:tcPr>
            <w:tcW w:w="0" w:type="auto"/>
            <w:shd w:val="clear" w:color="auto" w:fill="auto"/>
          </w:tcPr>
          <w:p w14:paraId="21647BEF" w14:textId="77777777" w:rsidR="008C5CFA" w:rsidRPr="0024468B" w:rsidRDefault="00E82A60" w:rsidP="00300A01">
            <w:pPr>
              <w:spacing w:before="0" w:after="0"/>
              <w:rPr>
                <w:sz w:val="16"/>
                <w:szCs w:val="16"/>
                <w:lang w:val="fr-BE"/>
              </w:rPr>
            </w:pPr>
            <w:r w:rsidRPr="0024468B">
              <w:rPr>
                <w:noProof/>
                <w:sz w:val="16"/>
                <w:szCs w:val="16"/>
                <w:lang w:val="fr-BE"/>
              </w:rPr>
              <w:t>CO08</w:t>
            </w:r>
          </w:p>
        </w:tc>
        <w:tc>
          <w:tcPr>
            <w:tcW w:w="0" w:type="auto"/>
            <w:shd w:val="clear" w:color="auto" w:fill="auto"/>
          </w:tcPr>
          <w:p w14:paraId="26F33BD8" w14:textId="77777777" w:rsidR="008C5CFA" w:rsidRPr="0024468B" w:rsidRDefault="00E82A60" w:rsidP="00300A01">
            <w:pPr>
              <w:spacing w:before="0" w:after="0"/>
              <w:rPr>
                <w:sz w:val="16"/>
                <w:szCs w:val="16"/>
                <w:lang w:val="fr-BE"/>
              </w:rPr>
            </w:pPr>
            <w:r w:rsidRPr="0024468B">
              <w:rPr>
                <w:noProof/>
                <w:sz w:val="16"/>
                <w:szCs w:val="16"/>
                <w:lang w:val="fr-BE"/>
              </w:rPr>
              <w:t>Inwestycje produkcyjne: wzrost zatrudnienia we wspieranych przedsiębiorstwach</w:t>
            </w:r>
          </w:p>
        </w:tc>
        <w:tc>
          <w:tcPr>
            <w:tcW w:w="0" w:type="auto"/>
          </w:tcPr>
          <w:p w14:paraId="5C4B93E6" w14:textId="77777777" w:rsidR="008C5CFA" w:rsidRPr="0024468B" w:rsidRDefault="00E82A60" w:rsidP="00300A01">
            <w:pPr>
              <w:spacing w:before="0" w:after="0"/>
              <w:jc w:val="right"/>
              <w:rPr>
                <w:sz w:val="16"/>
                <w:szCs w:val="16"/>
                <w:lang w:val="fr-BE"/>
              </w:rPr>
            </w:pPr>
            <w:r w:rsidRPr="0024468B">
              <w:rPr>
                <w:noProof/>
                <w:sz w:val="16"/>
                <w:szCs w:val="16"/>
                <w:lang w:val="fr-BE"/>
              </w:rPr>
              <w:t>46,00</w:t>
            </w:r>
          </w:p>
        </w:tc>
        <w:tc>
          <w:tcPr>
            <w:tcW w:w="0" w:type="auto"/>
          </w:tcPr>
          <w:p w14:paraId="5A75D4DD"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75741B37"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024513A1"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2F0ECAB3"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65830C3F"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6F79A7D9"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29291D4E"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2955FB59"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r w:rsidR="006B2EC1" w14:paraId="52A27D77" w14:textId="77777777" w:rsidTr="0047688D">
        <w:tc>
          <w:tcPr>
            <w:tcW w:w="0" w:type="auto"/>
          </w:tcPr>
          <w:p w14:paraId="0AAD4AFB" w14:textId="77777777" w:rsidR="008C5CFA" w:rsidRPr="0024468B" w:rsidRDefault="00E82A60" w:rsidP="00300A01">
            <w:pPr>
              <w:spacing w:before="0" w:after="0"/>
              <w:rPr>
                <w:sz w:val="16"/>
                <w:szCs w:val="16"/>
                <w:lang w:val="fr-BE"/>
              </w:rPr>
            </w:pPr>
            <w:r>
              <w:rPr>
                <w:noProof/>
                <w:sz w:val="16"/>
                <w:szCs w:val="16"/>
                <w:lang w:val="fr-BE"/>
              </w:rPr>
              <w:t>F</w:t>
            </w:r>
          </w:p>
        </w:tc>
        <w:tc>
          <w:tcPr>
            <w:tcW w:w="0" w:type="auto"/>
            <w:shd w:val="clear" w:color="auto" w:fill="auto"/>
          </w:tcPr>
          <w:p w14:paraId="35222300" w14:textId="77777777" w:rsidR="008C5CFA" w:rsidRPr="0024468B" w:rsidRDefault="00E82A60" w:rsidP="00300A01">
            <w:pPr>
              <w:spacing w:before="0" w:after="0"/>
              <w:rPr>
                <w:sz w:val="16"/>
                <w:szCs w:val="16"/>
                <w:lang w:val="fr-BE"/>
              </w:rPr>
            </w:pPr>
            <w:r>
              <w:rPr>
                <w:noProof/>
                <w:sz w:val="16"/>
                <w:szCs w:val="16"/>
                <w:lang w:val="fr-BE"/>
              </w:rPr>
              <w:t>044</w:t>
            </w:r>
          </w:p>
        </w:tc>
        <w:tc>
          <w:tcPr>
            <w:tcW w:w="0" w:type="auto"/>
            <w:shd w:val="clear" w:color="auto" w:fill="auto"/>
          </w:tcPr>
          <w:p w14:paraId="79A58A18" w14:textId="77777777" w:rsidR="008C5CFA" w:rsidRPr="0024468B" w:rsidRDefault="00E82A60" w:rsidP="00300A01">
            <w:pPr>
              <w:spacing w:before="0" w:after="0"/>
              <w:rPr>
                <w:sz w:val="16"/>
                <w:szCs w:val="16"/>
                <w:lang w:val="fr-BE"/>
              </w:rPr>
            </w:pPr>
            <w:r>
              <w:rPr>
                <w:noProof/>
                <w:sz w:val="16"/>
                <w:szCs w:val="16"/>
                <w:lang w:val="fr-BE"/>
              </w:rPr>
              <w:t>Liczba wspartych obiektów turystycznych i rekreacyjnych</w:t>
            </w:r>
          </w:p>
        </w:tc>
        <w:tc>
          <w:tcPr>
            <w:tcW w:w="0" w:type="auto"/>
          </w:tcPr>
          <w:p w14:paraId="5EAFA56A" w14:textId="77777777" w:rsidR="008C5CFA" w:rsidRPr="0024468B" w:rsidRDefault="00E82A60" w:rsidP="00300A01">
            <w:pPr>
              <w:spacing w:before="0" w:after="0"/>
              <w:jc w:val="right"/>
              <w:rPr>
                <w:sz w:val="16"/>
                <w:szCs w:val="16"/>
                <w:lang w:val="fr-BE"/>
              </w:rPr>
            </w:pPr>
            <w:r w:rsidRPr="0024468B">
              <w:rPr>
                <w:noProof/>
                <w:sz w:val="16"/>
                <w:szCs w:val="16"/>
                <w:lang w:val="fr-BE"/>
              </w:rPr>
              <w:t>7,00</w:t>
            </w:r>
          </w:p>
        </w:tc>
        <w:tc>
          <w:tcPr>
            <w:tcW w:w="0" w:type="auto"/>
          </w:tcPr>
          <w:p w14:paraId="1369C687"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5BF1D58D"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679A5803"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272F6A78"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61144F57"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63349CF6"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747679D5"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002CD2E0"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r w:rsidR="006B2EC1" w14:paraId="56304AFA" w14:textId="77777777" w:rsidTr="0047688D">
        <w:tc>
          <w:tcPr>
            <w:tcW w:w="0" w:type="auto"/>
          </w:tcPr>
          <w:p w14:paraId="3EB430DF" w14:textId="77777777" w:rsidR="008C5CFA" w:rsidRPr="0024468B" w:rsidRDefault="00E82A60" w:rsidP="00300A01">
            <w:pPr>
              <w:spacing w:before="0" w:after="0"/>
              <w:rPr>
                <w:sz w:val="16"/>
                <w:szCs w:val="16"/>
                <w:lang w:val="fr-BE"/>
              </w:rPr>
            </w:pPr>
            <w:r>
              <w:rPr>
                <w:noProof/>
                <w:sz w:val="16"/>
                <w:szCs w:val="16"/>
                <w:lang w:val="fr-BE"/>
              </w:rPr>
              <w:t>S</w:t>
            </w:r>
          </w:p>
        </w:tc>
        <w:tc>
          <w:tcPr>
            <w:tcW w:w="0" w:type="auto"/>
            <w:shd w:val="clear" w:color="auto" w:fill="auto"/>
          </w:tcPr>
          <w:p w14:paraId="21C3BFCB" w14:textId="77777777" w:rsidR="008C5CFA" w:rsidRPr="0024468B" w:rsidRDefault="00E82A60" w:rsidP="00300A01">
            <w:pPr>
              <w:spacing w:before="0" w:after="0"/>
              <w:rPr>
                <w:sz w:val="16"/>
                <w:szCs w:val="16"/>
                <w:lang w:val="fr-BE"/>
              </w:rPr>
            </w:pPr>
            <w:r>
              <w:rPr>
                <w:noProof/>
                <w:sz w:val="16"/>
                <w:szCs w:val="16"/>
                <w:lang w:val="fr-BE"/>
              </w:rPr>
              <w:t>044</w:t>
            </w:r>
          </w:p>
        </w:tc>
        <w:tc>
          <w:tcPr>
            <w:tcW w:w="0" w:type="auto"/>
            <w:shd w:val="clear" w:color="auto" w:fill="auto"/>
          </w:tcPr>
          <w:p w14:paraId="6DA18DFC" w14:textId="77777777" w:rsidR="008C5CFA" w:rsidRPr="0024468B" w:rsidRDefault="00E82A60" w:rsidP="00300A01">
            <w:pPr>
              <w:spacing w:before="0" w:after="0"/>
              <w:rPr>
                <w:sz w:val="16"/>
                <w:szCs w:val="16"/>
                <w:lang w:val="fr-BE"/>
              </w:rPr>
            </w:pPr>
            <w:r>
              <w:rPr>
                <w:noProof/>
                <w:sz w:val="16"/>
                <w:szCs w:val="16"/>
                <w:lang w:val="fr-BE"/>
              </w:rPr>
              <w:t>Liczba wspartych obiektów turystycznych i rekreacyjnych</w:t>
            </w:r>
          </w:p>
        </w:tc>
        <w:tc>
          <w:tcPr>
            <w:tcW w:w="0" w:type="auto"/>
          </w:tcPr>
          <w:p w14:paraId="69D0E213" w14:textId="77777777" w:rsidR="008C5CFA" w:rsidRPr="0024468B" w:rsidRDefault="00E82A60" w:rsidP="00300A01">
            <w:pPr>
              <w:spacing w:before="0" w:after="0"/>
              <w:jc w:val="right"/>
              <w:rPr>
                <w:sz w:val="16"/>
                <w:szCs w:val="16"/>
                <w:lang w:val="fr-BE"/>
              </w:rPr>
            </w:pPr>
            <w:r w:rsidRPr="0024468B">
              <w:rPr>
                <w:noProof/>
                <w:sz w:val="16"/>
                <w:szCs w:val="16"/>
                <w:lang w:val="fr-BE"/>
              </w:rPr>
              <w:t>23,00</w:t>
            </w:r>
          </w:p>
        </w:tc>
        <w:tc>
          <w:tcPr>
            <w:tcW w:w="0" w:type="auto"/>
          </w:tcPr>
          <w:p w14:paraId="0D7DD18A"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2EDC5E6B"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571F0D0E"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5D44B849"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305EBF6F"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3DE2C2EA"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3F5C70B0"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585BD612"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bl>
    <w:p w14:paraId="15B93BE1"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63"/>
        <w:gridCol w:w="600"/>
        <w:gridCol w:w="6447"/>
        <w:gridCol w:w="1217"/>
        <w:gridCol w:w="1442"/>
        <w:gridCol w:w="1228"/>
        <w:gridCol w:w="1217"/>
        <w:gridCol w:w="1442"/>
        <w:gridCol w:w="1228"/>
      </w:tblGrid>
      <w:tr w:rsidR="006B2EC1" w14:paraId="49B340E8" w14:textId="77777777" w:rsidTr="0047688D">
        <w:trPr>
          <w:tblHeader/>
        </w:trPr>
        <w:tc>
          <w:tcPr>
            <w:tcW w:w="0" w:type="auto"/>
          </w:tcPr>
          <w:p w14:paraId="7E3ADF28" w14:textId="77777777" w:rsidR="008C5CFA" w:rsidRPr="009143B4" w:rsidRDefault="00E82A60" w:rsidP="00300A01">
            <w:pPr>
              <w:spacing w:before="0" w:after="0"/>
              <w:rPr>
                <w:b/>
                <w:sz w:val="16"/>
                <w:szCs w:val="16"/>
                <w:lang w:val="fr-BE"/>
              </w:rPr>
            </w:pPr>
            <w:r w:rsidRPr="009143B4">
              <w:rPr>
                <w:b/>
                <w:sz w:val="16"/>
                <w:szCs w:val="16"/>
                <w:lang w:val="fr-BE"/>
              </w:rPr>
              <w:t>(1)</w:t>
            </w:r>
          </w:p>
        </w:tc>
        <w:tc>
          <w:tcPr>
            <w:tcW w:w="0" w:type="auto"/>
            <w:shd w:val="clear" w:color="auto" w:fill="auto"/>
          </w:tcPr>
          <w:p w14:paraId="338FF91E" w14:textId="77777777" w:rsidR="008C5CFA" w:rsidRPr="009143B4" w:rsidRDefault="00E82A60" w:rsidP="00300A01">
            <w:pPr>
              <w:spacing w:before="0" w:after="0"/>
              <w:rPr>
                <w:b/>
                <w:sz w:val="16"/>
                <w:szCs w:val="16"/>
                <w:lang w:val="fr-BE"/>
              </w:rPr>
            </w:pPr>
            <w:r w:rsidRPr="009143B4">
              <w:rPr>
                <w:b/>
                <w:noProof/>
                <w:sz w:val="16"/>
                <w:szCs w:val="16"/>
                <w:lang w:val="fr-BE"/>
              </w:rPr>
              <w:t>ID</w:t>
            </w:r>
          </w:p>
        </w:tc>
        <w:tc>
          <w:tcPr>
            <w:tcW w:w="0" w:type="auto"/>
            <w:shd w:val="clear" w:color="auto" w:fill="auto"/>
          </w:tcPr>
          <w:p w14:paraId="3554C9D8" w14:textId="77777777" w:rsidR="008C5CFA" w:rsidRPr="009143B4" w:rsidRDefault="00E82A60" w:rsidP="00300A01">
            <w:pPr>
              <w:spacing w:before="0" w:after="0"/>
              <w:rPr>
                <w:b/>
                <w:sz w:val="16"/>
                <w:szCs w:val="16"/>
                <w:lang w:val="fr-BE"/>
              </w:rPr>
            </w:pPr>
            <w:r w:rsidRPr="009143B4">
              <w:rPr>
                <w:b/>
                <w:noProof/>
                <w:sz w:val="16"/>
                <w:szCs w:val="16"/>
                <w:lang w:val="fr-BE"/>
              </w:rPr>
              <w:t>Wskaźnik</w:t>
            </w:r>
          </w:p>
        </w:tc>
        <w:tc>
          <w:tcPr>
            <w:tcW w:w="0" w:type="auto"/>
          </w:tcPr>
          <w:p w14:paraId="10D0240F" w14:textId="77777777" w:rsidR="008C5CFA" w:rsidRPr="009143B4" w:rsidRDefault="00E82A60"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Ogółem</w:t>
            </w:r>
          </w:p>
        </w:tc>
        <w:tc>
          <w:tcPr>
            <w:tcW w:w="0" w:type="auto"/>
          </w:tcPr>
          <w:p w14:paraId="1C041CF5" w14:textId="77777777" w:rsidR="008C5CFA" w:rsidRPr="009143B4" w:rsidRDefault="00E82A60"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Mężczyźni</w:t>
            </w:r>
          </w:p>
        </w:tc>
        <w:tc>
          <w:tcPr>
            <w:tcW w:w="0" w:type="auto"/>
          </w:tcPr>
          <w:p w14:paraId="64D79DBF" w14:textId="77777777" w:rsidR="008C5CFA" w:rsidRPr="009143B4" w:rsidRDefault="00E82A60"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Kobiety</w:t>
            </w:r>
          </w:p>
        </w:tc>
        <w:tc>
          <w:tcPr>
            <w:tcW w:w="0" w:type="auto"/>
            <w:shd w:val="clear" w:color="auto" w:fill="auto"/>
          </w:tcPr>
          <w:p w14:paraId="3ECB91D0" w14:textId="77777777" w:rsidR="008C5CFA" w:rsidRPr="009143B4" w:rsidRDefault="00E82A60"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Ogółem</w:t>
            </w:r>
          </w:p>
        </w:tc>
        <w:tc>
          <w:tcPr>
            <w:tcW w:w="0" w:type="auto"/>
            <w:shd w:val="clear" w:color="auto" w:fill="auto"/>
          </w:tcPr>
          <w:p w14:paraId="22A5A1D8" w14:textId="77777777" w:rsidR="008C5CFA" w:rsidRPr="009143B4" w:rsidRDefault="00E82A60"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Mężczyźni</w:t>
            </w:r>
          </w:p>
        </w:tc>
        <w:tc>
          <w:tcPr>
            <w:tcW w:w="0" w:type="auto"/>
            <w:shd w:val="clear" w:color="auto" w:fill="auto"/>
          </w:tcPr>
          <w:p w14:paraId="473EA7AC" w14:textId="77777777" w:rsidR="008C5CFA" w:rsidRPr="009143B4" w:rsidRDefault="00E82A60"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Kobiety</w:t>
            </w:r>
          </w:p>
        </w:tc>
      </w:tr>
      <w:tr w:rsidR="006B2EC1" w14:paraId="2338BE9E" w14:textId="77777777" w:rsidTr="0047688D">
        <w:tc>
          <w:tcPr>
            <w:tcW w:w="0" w:type="auto"/>
          </w:tcPr>
          <w:p w14:paraId="7CCDF2CC" w14:textId="77777777" w:rsidR="008C5CFA" w:rsidRPr="0024468B" w:rsidRDefault="00E82A60" w:rsidP="00300A01">
            <w:pPr>
              <w:spacing w:before="0" w:after="0"/>
              <w:rPr>
                <w:sz w:val="16"/>
                <w:szCs w:val="16"/>
                <w:lang w:val="fr-BE"/>
              </w:rPr>
            </w:pPr>
            <w:r>
              <w:rPr>
                <w:noProof/>
                <w:sz w:val="16"/>
                <w:szCs w:val="16"/>
                <w:lang w:val="fr-BE"/>
              </w:rPr>
              <w:t>F</w:t>
            </w:r>
          </w:p>
        </w:tc>
        <w:tc>
          <w:tcPr>
            <w:tcW w:w="0" w:type="auto"/>
            <w:shd w:val="clear" w:color="auto" w:fill="auto"/>
          </w:tcPr>
          <w:p w14:paraId="03E8793E" w14:textId="77777777" w:rsidR="008C5CFA" w:rsidRPr="0024468B" w:rsidRDefault="00E82A60" w:rsidP="00300A01">
            <w:pPr>
              <w:spacing w:before="0" w:after="0"/>
              <w:rPr>
                <w:sz w:val="16"/>
                <w:szCs w:val="16"/>
                <w:lang w:val="fr-BE"/>
              </w:rPr>
            </w:pPr>
            <w:r w:rsidRPr="0024468B">
              <w:rPr>
                <w:noProof/>
                <w:sz w:val="16"/>
                <w:szCs w:val="16"/>
                <w:lang w:val="fr-BE"/>
              </w:rPr>
              <w:t>CO01</w:t>
            </w:r>
          </w:p>
        </w:tc>
        <w:tc>
          <w:tcPr>
            <w:tcW w:w="0" w:type="auto"/>
            <w:shd w:val="clear" w:color="auto" w:fill="auto"/>
          </w:tcPr>
          <w:p w14:paraId="08800031" w14:textId="77777777" w:rsidR="008C5CFA" w:rsidRPr="0024468B" w:rsidRDefault="00E82A60" w:rsidP="00300A01">
            <w:pPr>
              <w:spacing w:before="0" w:after="0"/>
              <w:rPr>
                <w:sz w:val="16"/>
                <w:szCs w:val="16"/>
                <w:lang w:val="fr-BE"/>
              </w:rPr>
            </w:pPr>
            <w:r w:rsidRPr="0024468B">
              <w:rPr>
                <w:noProof/>
                <w:sz w:val="16"/>
                <w:szCs w:val="16"/>
                <w:lang w:val="fr-BE"/>
              </w:rPr>
              <w:t>Inwestycje produkcyjne: liczba przedsiębiorstw otrzymujących wsparcie</w:t>
            </w:r>
          </w:p>
        </w:tc>
        <w:tc>
          <w:tcPr>
            <w:tcW w:w="0" w:type="auto"/>
          </w:tcPr>
          <w:p w14:paraId="319401E9"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161A24A2"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03FC1E4B"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7A22C2A3"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2291EB8A"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5305DE94"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r w:rsidR="006B2EC1" w14:paraId="42AF051A" w14:textId="77777777" w:rsidTr="0047688D">
        <w:tc>
          <w:tcPr>
            <w:tcW w:w="0" w:type="auto"/>
          </w:tcPr>
          <w:p w14:paraId="52F5679F" w14:textId="77777777" w:rsidR="008C5CFA" w:rsidRPr="0024468B" w:rsidRDefault="00E82A60" w:rsidP="00300A01">
            <w:pPr>
              <w:spacing w:before="0" w:after="0"/>
              <w:rPr>
                <w:sz w:val="16"/>
                <w:szCs w:val="16"/>
                <w:lang w:val="fr-BE"/>
              </w:rPr>
            </w:pPr>
            <w:r>
              <w:rPr>
                <w:noProof/>
                <w:sz w:val="16"/>
                <w:szCs w:val="16"/>
                <w:lang w:val="fr-BE"/>
              </w:rPr>
              <w:t>S</w:t>
            </w:r>
          </w:p>
        </w:tc>
        <w:tc>
          <w:tcPr>
            <w:tcW w:w="0" w:type="auto"/>
            <w:shd w:val="clear" w:color="auto" w:fill="auto"/>
          </w:tcPr>
          <w:p w14:paraId="2B952FC1" w14:textId="77777777" w:rsidR="008C5CFA" w:rsidRPr="0024468B" w:rsidRDefault="00E82A60" w:rsidP="00300A01">
            <w:pPr>
              <w:spacing w:before="0" w:after="0"/>
              <w:rPr>
                <w:sz w:val="16"/>
                <w:szCs w:val="16"/>
                <w:lang w:val="fr-BE"/>
              </w:rPr>
            </w:pPr>
            <w:r w:rsidRPr="0024468B">
              <w:rPr>
                <w:noProof/>
                <w:sz w:val="16"/>
                <w:szCs w:val="16"/>
                <w:lang w:val="fr-BE"/>
              </w:rPr>
              <w:t>CO01</w:t>
            </w:r>
          </w:p>
        </w:tc>
        <w:tc>
          <w:tcPr>
            <w:tcW w:w="0" w:type="auto"/>
            <w:shd w:val="clear" w:color="auto" w:fill="auto"/>
          </w:tcPr>
          <w:p w14:paraId="1555D5A9" w14:textId="77777777" w:rsidR="008C5CFA" w:rsidRPr="0024468B" w:rsidRDefault="00E82A60" w:rsidP="00300A01">
            <w:pPr>
              <w:spacing w:before="0" w:after="0"/>
              <w:rPr>
                <w:sz w:val="16"/>
                <w:szCs w:val="16"/>
                <w:lang w:val="fr-BE"/>
              </w:rPr>
            </w:pPr>
            <w:r w:rsidRPr="0024468B">
              <w:rPr>
                <w:noProof/>
                <w:sz w:val="16"/>
                <w:szCs w:val="16"/>
                <w:lang w:val="fr-BE"/>
              </w:rPr>
              <w:t>Inwestycje produkcyjne: liczba przedsiębiorstw otrzymujących wsparcie</w:t>
            </w:r>
          </w:p>
        </w:tc>
        <w:tc>
          <w:tcPr>
            <w:tcW w:w="0" w:type="auto"/>
          </w:tcPr>
          <w:p w14:paraId="18F26001"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2559D544"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02574F73"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6A8F95AA"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216D7F04"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00AE8849"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r w:rsidR="006B2EC1" w14:paraId="602AFDCC" w14:textId="77777777" w:rsidTr="0047688D">
        <w:tc>
          <w:tcPr>
            <w:tcW w:w="0" w:type="auto"/>
          </w:tcPr>
          <w:p w14:paraId="4F639335" w14:textId="77777777" w:rsidR="008C5CFA" w:rsidRPr="0024468B" w:rsidRDefault="00E82A60" w:rsidP="00300A01">
            <w:pPr>
              <w:spacing w:before="0" w:after="0"/>
              <w:rPr>
                <w:sz w:val="16"/>
                <w:szCs w:val="16"/>
                <w:lang w:val="fr-BE"/>
              </w:rPr>
            </w:pPr>
            <w:r>
              <w:rPr>
                <w:noProof/>
                <w:sz w:val="16"/>
                <w:szCs w:val="16"/>
                <w:lang w:val="fr-BE"/>
              </w:rPr>
              <w:t>F</w:t>
            </w:r>
          </w:p>
        </w:tc>
        <w:tc>
          <w:tcPr>
            <w:tcW w:w="0" w:type="auto"/>
            <w:shd w:val="clear" w:color="auto" w:fill="auto"/>
          </w:tcPr>
          <w:p w14:paraId="3A13389D" w14:textId="77777777" w:rsidR="008C5CFA" w:rsidRPr="0024468B" w:rsidRDefault="00E82A60" w:rsidP="00300A01">
            <w:pPr>
              <w:spacing w:before="0" w:after="0"/>
              <w:rPr>
                <w:sz w:val="16"/>
                <w:szCs w:val="16"/>
                <w:lang w:val="fr-BE"/>
              </w:rPr>
            </w:pPr>
            <w:r w:rsidRPr="0024468B">
              <w:rPr>
                <w:noProof/>
                <w:sz w:val="16"/>
                <w:szCs w:val="16"/>
                <w:lang w:val="fr-BE"/>
              </w:rPr>
              <w:t>CO08</w:t>
            </w:r>
          </w:p>
        </w:tc>
        <w:tc>
          <w:tcPr>
            <w:tcW w:w="0" w:type="auto"/>
            <w:shd w:val="clear" w:color="auto" w:fill="auto"/>
          </w:tcPr>
          <w:p w14:paraId="0E6FA925" w14:textId="77777777" w:rsidR="008C5CFA" w:rsidRPr="0024468B" w:rsidRDefault="00E82A60" w:rsidP="00300A01">
            <w:pPr>
              <w:spacing w:before="0" w:after="0"/>
              <w:rPr>
                <w:sz w:val="16"/>
                <w:szCs w:val="16"/>
                <w:lang w:val="fr-BE"/>
              </w:rPr>
            </w:pPr>
            <w:r w:rsidRPr="0024468B">
              <w:rPr>
                <w:noProof/>
                <w:sz w:val="16"/>
                <w:szCs w:val="16"/>
                <w:lang w:val="fr-BE"/>
              </w:rPr>
              <w:t>Inwestycje produkcyjne: wzrost zatrudnienia we wspieranych przedsiębiorstwach</w:t>
            </w:r>
          </w:p>
        </w:tc>
        <w:tc>
          <w:tcPr>
            <w:tcW w:w="0" w:type="auto"/>
          </w:tcPr>
          <w:p w14:paraId="6CB89634"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006737B7"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12D10D79"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78FE91F4"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59323249"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75BFF51B"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r w:rsidR="006B2EC1" w14:paraId="05E9FFD3" w14:textId="77777777" w:rsidTr="0047688D">
        <w:tc>
          <w:tcPr>
            <w:tcW w:w="0" w:type="auto"/>
          </w:tcPr>
          <w:p w14:paraId="6C577803" w14:textId="77777777" w:rsidR="008C5CFA" w:rsidRPr="0024468B" w:rsidRDefault="00E82A60" w:rsidP="00300A01">
            <w:pPr>
              <w:spacing w:before="0" w:after="0"/>
              <w:rPr>
                <w:sz w:val="16"/>
                <w:szCs w:val="16"/>
                <w:lang w:val="fr-BE"/>
              </w:rPr>
            </w:pPr>
            <w:r>
              <w:rPr>
                <w:noProof/>
                <w:sz w:val="16"/>
                <w:szCs w:val="16"/>
                <w:lang w:val="fr-BE"/>
              </w:rPr>
              <w:t>S</w:t>
            </w:r>
          </w:p>
        </w:tc>
        <w:tc>
          <w:tcPr>
            <w:tcW w:w="0" w:type="auto"/>
            <w:shd w:val="clear" w:color="auto" w:fill="auto"/>
          </w:tcPr>
          <w:p w14:paraId="72A4036C" w14:textId="77777777" w:rsidR="008C5CFA" w:rsidRPr="0024468B" w:rsidRDefault="00E82A60" w:rsidP="00300A01">
            <w:pPr>
              <w:spacing w:before="0" w:after="0"/>
              <w:rPr>
                <w:sz w:val="16"/>
                <w:szCs w:val="16"/>
                <w:lang w:val="fr-BE"/>
              </w:rPr>
            </w:pPr>
            <w:r w:rsidRPr="0024468B">
              <w:rPr>
                <w:noProof/>
                <w:sz w:val="16"/>
                <w:szCs w:val="16"/>
                <w:lang w:val="fr-BE"/>
              </w:rPr>
              <w:t>CO08</w:t>
            </w:r>
          </w:p>
        </w:tc>
        <w:tc>
          <w:tcPr>
            <w:tcW w:w="0" w:type="auto"/>
            <w:shd w:val="clear" w:color="auto" w:fill="auto"/>
          </w:tcPr>
          <w:p w14:paraId="19243BA6" w14:textId="77777777" w:rsidR="008C5CFA" w:rsidRPr="0024468B" w:rsidRDefault="00E82A60" w:rsidP="00300A01">
            <w:pPr>
              <w:spacing w:before="0" w:after="0"/>
              <w:rPr>
                <w:sz w:val="16"/>
                <w:szCs w:val="16"/>
                <w:lang w:val="fr-BE"/>
              </w:rPr>
            </w:pPr>
            <w:r w:rsidRPr="0024468B">
              <w:rPr>
                <w:noProof/>
                <w:sz w:val="16"/>
                <w:szCs w:val="16"/>
                <w:lang w:val="fr-BE"/>
              </w:rPr>
              <w:t>Inwestycje produkcyjne: wzrost zatrudnienia we wspieranych przedsiębiorstwach</w:t>
            </w:r>
          </w:p>
        </w:tc>
        <w:tc>
          <w:tcPr>
            <w:tcW w:w="0" w:type="auto"/>
          </w:tcPr>
          <w:p w14:paraId="1E111B0F"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1147DA6E"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0C93687C"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0E1C0B35"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64E69F88"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7E8315D8"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r w:rsidR="006B2EC1" w14:paraId="12047B77" w14:textId="77777777" w:rsidTr="0047688D">
        <w:tc>
          <w:tcPr>
            <w:tcW w:w="0" w:type="auto"/>
          </w:tcPr>
          <w:p w14:paraId="7D07FAF8" w14:textId="77777777" w:rsidR="008C5CFA" w:rsidRPr="0024468B" w:rsidRDefault="00E82A60" w:rsidP="00300A01">
            <w:pPr>
              <w:spacing w:before="0" w:after="0"/>
              <w:rPr>
                <w:sz w:val="16"/>
                <w:szCs w:val="16"/>
                <w:lang w:val="fr-BE"/>
              </w:rPr>
            </w:pPr>
            <w:r>
              <w:rPr>
                <w:noProof/>
                <w:sz w:val="16"/>
                <w:szCs w:val="16"/>
                <w:lang w:val="fr-BE"/>
              </w:rPr>
              <w:t>F</w:t>
            </w:r>
          </w:p>
        </w:tc>
        <w:tc>
          <w:tcPr>
            <w:tcW w:w="0" w:type="auto"/>
            <w:shd w:val="clear" w:color="auto" w:fill="auto"/>
          </w:tcPr>
          <w:p w14:paraId="3633FA93" w14:textId="77777777" w:rsidR="008C5CFA" w:rsidRPr="0024468B" w:rsidRDefault="00E82A60" w:rsidP="00300A01">
            <w:pPr>
              <w:spacing w:before="0" w:after="0"/>
              <w:rPr>
                <w:sz w:val="16"/>
                <w:szCs w:val="16"/>
                <w:lang w:val="fr-BE"/>
              </w:rPr>
            </w:pPr>
            <w:r>
              <w:rPr>
                <w:noProof/>
                <w:sz w:val="16"/>
                <w:szCs w:val="16"/>
                <w:lang w:val="fr-BE"/>
              </w:rPr>
              <w:t>044</w:t>
            </w:r>
          </w:p>
        </w:tc>
        <w:tc>
          <w:tcPr>
            <w:tcW w:w="0" w:type="auto"/>
            <w:shd w:val="clear" w:color="auto" w:fill="auto"/>
          </w:tcPr>
          <w:p w14:paraId="0320A442" w14:textId="77777777" w:rsidR="008C5CFA" w:rsidRPr="0024468B" w:rsidRDefault="00E82A60" w:rsidP="00300A01">
            <w:pPr>
              <w:spacing w:before="0" w:after="0"/>
              <w:rPr>
                <w:sz w:val="16"/>
                <w:szCs w:val="16"/>
                <w:lang w:val="fr-BE"/>
              </w:rPr>
            </w:pPr>
            <w:r>
              <w:rPr>
                <w:noProof/>
                <w:sz w:val="16"/>
                <w:szCs w:val="16"/>
                <w:lang w:val="fr-BE"/>
              </w:rPr>
              <w:t>Liczba wspartych obiektów turystycznych i rekreacyjnych</w:t>
            </w:r>
          </w:p>
        </w:tc>
        <w:tc>
          <w:tcPr>
            <w:tcW w:w="0" w:type="auto"/>
          </w:tcPr>
          <w:p w14:paraId="164A3D10"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3915546D"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02549A44"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02AECCD1"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06F4248E"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5F2B0FA8"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r w:rsidR="006B2EC1" w14:paraId="5D9C2490" w14:textId="77777777" w:rsidTr="0047688D">
        <w:tc>
          <w:tcPr>
            <w:tcW w:w="0" w:type="auto"/>
          </w:tcPr>
          <w:p w14:paraId="510146EA" w14:textId="77777777" w:rsidR="008C5CFA" w:rsidRPr="0024468B" w:rsidRDefault="00E82A60" w:rsidP="00300A01">
            <w:pPr>
              <w:spacing w:before="0" w:after="0"/>
              <w:rPr>
                <w:sz w:val="16"/>
                <w:szCs w:val="16"/>
                <w:lang w:val="fr-BE"/>
              </w:rPr>
            </w:pPr>
            <w:r>
              <w:rPr>
                <w:noProof/>
                <w:sz w:val="16"/>
                <w:szCs w:val="16"/>
                <w:lang w:val="fr-BE"/>
              </w:rPr>
              <w:t>S</w:t>
            </w:r>
          </w:p>
        </w:tc>
        <w:tc>
          <w:tcPr>
            <w:tcW w:w="0" w:type="auto"/>
            <w:shd w:val="clear" w:color="auto" w:fill="auto"/>
          </w:tcPr>
          <w:p w14:paraId="390A722C" w14:textId="77777777" w:rsidR="008C5CFA" w:rsidRPr="0024468B" w:rsidRDefault="00E82A60" w:rsidP="00300A01">
            <w:pPr>
              <w:spacing w:before="0" w:after="0"/>
              <w:rPr>
                <w:sz w:val="16"/>
                <w:szCs w:val="16"/>
                <w:lang w:val="fr-BE"/>
              </w:rPr>
            </w:pPr>
            <w:r>
              <w:rPr>
                <w:noProof/>
                <w:sz w:val="16"/>
                <w:szCs w:val="16"/>
                <w:lang w:val="fr-BE"/>
              </w:rPr>
              <w:t>044</w:t>
            </w:r>
          </w:p>
        </w:tc>
        <w:tc>
          <w:tcPr>
            <w:tcW w:w="0" w:type="auto"/>
            <w:shd w:val="clear" w:color="auto" w:fill="auto"/>
          </w:tcPr>
          <w:p w14:paraId="60CAE2CA" w14:textId="77777777" w:rsidR="008C5CFA" w:rsidRPr="0024468B" w:rsidRDefault="00E82A60" w:rsidP="00300A01">
            <w:pPr>
              <w:spacing w:before="0" w:after="0"/>
              <w:rPr>
                <w:sz w:val="16"/>
                <w:szCs w:val="16"/>
                <w:lang w:val="fr-BE"/>
              </w:rPr>
            </w:pPr>
            <w:r>
              <w:rPr>
                <w:noProof/>
                <w:sz w:val="16"/>
                <w:szCs w:val="16"/>
                <w:lang w:val="fr-BE"/>
              </w:rPr>
              <w:t>Liczba wspartych obiektów turystycznych i rekreacyjnych</w:t>
            </w:r>
          </w:p>
        </w:tc>
        <w:tc>
          <w:tcPr>
            <w:tcW w:w="0" w:type="auto"/>
          </w:tcPr>
          <w:p w14:paraId="626B534C"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4A676460"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7B828193"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58B1E846"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3C28B9A5"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0166BE38"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bl>
    <w:p w14:paraId="4A338753" w14:textId="77777777" w:rsidR="008C5CFA" w:rsidRDefault="008C5CFA" w:rsidP="00300A01">
      <w:pPr>
        <w:spacing w:before="0" w:after="0"/>
        <w:rPr>
          <w:lang w:val="fr-BE"/>
        </w:rPr>
      </w:pPr>
    </w:p>
    <w:p w14:paraId="35DB4662" w14:textId="77777777" w:rsidR="008C5CFA" w:rsidRDefault="008C5CFA" w:rsidP="00300A01">
      <w:pPr>
        <w:spacing w:before="0" w:after="0"/>
        <w:rPr>
          <w:lang w:val="fr-BE"/>
        </w:rPr>
      </w:pPr>
    </w:p>
    <w:p w14:paraId="3827DF2A" w14:textId="77777777" w:rsidR="008C5CFA" w:rsidRDefault="00E82A60" w:rsidP="00300A01">
      <w:pPr>
        <w:spacing w:before="0" w:after="0"/>
        <w:rPr>
          <w:lang w:val="fr-BE"/>
        </w:rPr>
      </w:pPr>
      <w:r>
        <w:rPr>
          <w:lang w:val="fr-BE"/>
        </w:rPr>
        <w:br w:type="page"/>
      </w:r>
    </w:p>
    <w:p w14:paraId="6CA9259F"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1"/>
        <w:gridCol w:w="13493"/>
      </w:tblGrid>
      <w:tr w:rsidR="006B2EC1" w14:paraId="68961544" w14:textId="77777777" w:rsidTr="0047688D">
        <w:tc>
          <w:tcPr>
            <w:tcW w:w="0" w:type="auto"/>
            <w:shd w:val="clear" w:color="auto" w:fill="auto"/>
          </w:tcPr>
          <w:p w14:paraId="30153D06" w14:textId="77777777" w:rsidR="008C5CFA" w:rsidRPr="002124FC" w:rsidRDefault="00E82A60" w:rsidP="00300A01">
            <w:pPr>
              <w:spacing w:before="0" w:after="0"/>
              <w:rPr>
                <w:sz w:val="20"/>
                <w:szCs w:val="20"/>
                <w:lang w:val="fr-BE"/>
              </w:rPr>
            </w:pPr>
            <w:r>
              <w:rPr>
                <w:lang w:val="fr-BE"/>
              </w:rPr>
              <w:br w:type="page"/>
            </w:r>
            <w:r>
              <w:rPr>
                <w:lang w:val="fr-BE"/>
              </w:rPr>
              <w:br w:type="page"/>
            </w:r>
            <w:r>
              <w:rPr>
                <w:lang w:val="fr-BE"/>
              </w:rPr>
              <w:br w:type="page"/>
            </w:r>
            <w:r w:rsidRPr="002124FC">
              <w:rPr>
                <w:noProof/>
                <w:sz w:val="20"/>
                <w:szCs w:val="20"/>
                <w:lang w:val="fr-BE"/>
              </w:rPr>
              <w:t>Oś priorytetowa</w:t>
            </w:r>
          </w:p>
        </w:tc>
        <w:tc>
          <w:tcPr>
            <w:tcW w:w="0" w:type="auto"/>
            <w:shd w:val="clear" w:color="auto" w:fill="auto"/>
          </w:tcPr>
          <w:p w14:paraId="39D2D730" w14:textId="77777777" w:rsidR="008C5CFA" w:rsidRPr="002124FC" w:rsidRDefault="00E82A60" w:rsidP="00300A01">
            <w:pPr>
              <w:spacing w:before="0" w:after="0"/>
              <w:rPr>
                <w:sz w:val="20"/>
                <w:szCs w:val="20"/>
                <w:lang w:val="fr-BE"/>
              </w:rPr>
            </w:pPr>
            <w:r>
              <w:rPr>
                <w:noProof/>
                <w:sz w:val="20"/>
                <w:szCs w:val="20"/>
                <w:lang w:val="fr-BE"/>
              </w:rPr>
              <w:t>7</w:t>
            </w:r>
            <w:r w:rsidRPr="002124FC">
              <w:rPr>
                <w:sz w:val="20"/>
                <w:szCs w:val="20"/>
                <w:lang w:val="fr-BE"/>
              </w:rPr>
              <w:t xml:space="preserve"> - </w:t>
            </w:r>
            <w:r>
              <w:rPr>
                <w:noProof/>
                <w:sz w:val="20"/>
                <w:szCs w:val="20"/>
                <w:lang w:val="fr-BE"/>
              </w:rPr>
              <w:t>Sprawne usługi publiczne</w:t>
            </w:r>
          </w:p>
        </w:tc>
      </w:tr>
      <w:tr w:rsidR="006B2EC1" w14:paraId="22DD54F6" w14:textId="77777777" w:rsidTr="0047688D">
        <w:tc>
          <w:tcPr>
            <w:tcW w:w="0" w:type="auto"/>
            <w:shd w:val="clear" w:color="auto" w:fill="auto"/>
          </w:tcPr>
          <w:p w14:paraId="60BAC0D2" w14:textId="77777777" w:rsidR="008C5CFA" w:rsidRPr="002124FC" w:rsidRDefault="00E82A60"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14:paraId="77842070" w14:textId="77777777" w:rsidR="008C5CFA" w:rsidRPr="002124FC" w:rsidRDefault="00E82A60" w:rsidP="00300A01">
            <w:pPr>
              <w:spacing w:before="0" w:after="0"/>
              <w:rPr>
                <w:sz w:val="20"/>
                <w:szCs w:val="20"/>
                <w:lang w:val="fr-BE"/>
              </w:rPr>
            </w:pPr>
            <w:r w:rsidRPr="002124FC">
              <w:rPr>
                <w:noProof/>
                <w:sz w:val="20"/>
                <w:szCs w:val="20"/>
                <w:lang w:val="fr-BE"/>
              </w:rPr>
              <w:t>8b</w:t>
            </w:r>
            <w:r w:rsidRPr="002124FC">
              <w:rPr>
                <w:sz w:val="20"/>
                <w:szCs w:val="20"/>
                <w:lang w:val="fr-BE"/>
              </w:rPr>
              <w:t xml:space="preserve"> - </w:t>
            </w:r>
            <w:r>
              <w:rPr>
                <w:noProof/>
                <w:sz w:val="20"/>
                <w:szCs w:val="20"/>
                <w:lang w:val="fr-BE"/>
              </w:rPr>
              <w:t>Wspieranie wzrostu gospodarczego sprzyjającego zatrudnieniu poprzez rozwój potencjału endogenicznego jako elementu strategii terytorialnej dla określonych obszarów, w tym poprzez przekształcanie upadających regionów przemysłowych i zwiększenie dostępu do określonych zasobów naturalnych i kulturalnych oraz ich rozwój</w:t>
            </w:r>
          </w:p>
        </w:tc>
      </w:tr>
      <w:tr w:rsidR="006B2EC1" w14:paraId="23597C03" w14:textId="77777777" w:rsidTr="0047688D">
        <w:tc>
          <w:tcPr>
            <w:tcW w:w="0" w:type="auto"/>
            <w:shd w:val="clear" w:color="auto" w:fill="auto"/>
          </w:tcPr>
          <w:p w14:paraId="201126FA" w14:textId="77777777" w:rsidR="008C5CFA" w:rsidRPr="002124FC" w:rsidRDefault="00E82A60" w:rsidP="00300A01">
            <w:pPr>
              <w:spacing w:before="0" w:after="0"/>
              <w:ind w:left="113" w:hanging="113"/>
              <w:rPr>
                <w:sz w:val="20"/>
                <w:szCs w:val="20"/>
                <w:lang w:val="fr-BE"/>
              </w:rPr>
            </w:pPr>
            <w:r>
              <w:rPr>
                <w:noProof/>
                <w:sz w:val="20"/>
                <w:szCs w:val="20"/>
                <w:lang w:val="fr-BE"/>
              </w:rPr>
              <w:t>Cel szczegółowy</w:t>
            </w:r>
          </w:p>
        </w:tc>
        <w:tc>
          <w:tcPr>
            <w:tcW w:w="0" w:type="auto"/>
            <w:shd w:val="clear" w:color="auto" w:fill="auto"/>
          </w:tcPr>
          <w:p w14:paraId="4D1114D8" w14:textId="77777777" w:rsidR="008C5CFA" w:rsidRPr="002124FC" w:rsidRDefault="00E82A60" w:rsidP="00300A01">
            <w:pPr>
              <w:spacing w:before="0" w:after="0"/>
              <w:rPr>
                <w:sz w:val="20"/>
                <w:szCs w:val="20"/>
                <w:lang w:val="fr-BE"/>
              </w:rPr>
            </w:pPr>
            <w:r>
              <w:rPr>
                <w:noProof/>
                <w:sz w:val="20"/>
                <w:szCs w:val="20"/>
                <w:lang w:val="fr-BE"/>
              </w:rPr>
              <w:t>1</w:t>
            </w:r>
            <w:r>
              <w:rPr>
                <w:sz w:val="20"/>
                <w:szCs w:val="20"/>
                <w:lang w:val="fr-BE"/>
              </w:rPr>
              <w:t xml:space="preserve"> - </w:t>
            </w:r>
            <w:r>
              <w:rPr>
                <w:noProof/>
                <w:sz w:val="20"/>
                <w:szCs w:val="20"/>
                <w:lang w:val="fr-BE"/>
              </w:rPr>
              <w:t>Poprawione warunki sprzyjające wzrostowi gospodarczemu poprzez wspieranie nowych i wzmocnienie dotychczasowych funkcji społeczno-gospodarczych terenów ze specyficznymi potrzebami.</w:t>
            </w:r>
          </w:p>
        </w:tc>
      </w:tr>
    </w:tbl>
    <w:p w14:paraId="3AF734E4" w14:textId="77777777" w:rsidR="008C5CFA" w:rsidRDefault="008C5CFA" w:rsidP="00300A01">
      <w:pPr>
        <w:spacing w:before="0" w:after="0"/>
        <w:rPr>
          <w:lang w:val="fr-BE"/>
        </w:rPr>
      </w:pPr>
    </w:p>
    <w:p w14:paraId="38B4D257" w14:textId="77777777" w:rsidR="008C5CFA" w:rsidRDefault="00E82A60" w:rsidP="00300A01">
      <w:pPr>
        <w:spacing w:before="0" w:after="0"/>
        <w:rPr>
          <w:lang w:val="fr-BE"/>
        </w:rPr>
      </w:pPr>
      <w:r>
        <w:rPr>
          <w:lang w:val="fr-BE"/>
        </w:rPr>
        <w:t xml:space="preserve">Tabela 1: Wskaźniki rezultatu dla EFRR i Funduszu Spójności (według osi priorytetowej i celu szczegółowego); ma zastosowanie także do osi priorytetowej </w:t>
      </w:r>
      <w:r>
        <w:t>"</w:t>
      </w:r>
      <w:r>
        <w:rPr>
          <w:lang w:val="fr-BE"/>
        </w:rPr>
        <w:t>Pomoc techniczna</w:t>
      </w:r>
      <w:r>
        <w:t>"</w:t>
      </w:r>
    </w:p>
    <w:p w14:paraId="0BF62056"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2557"/>
        <w:gridCol w:w="1122"/>
        <w:gridCol w:w="1214"/>
        <w:gridCol w:w="1101"/>
        <w:gridCol w:w="918"/>
        <w:gridCol w:w="1450"/>
        <w:gridCol w:w="971"/>
        <w:gridCol w:w="1193"/>
        <w:gridCol w:w="4202"/>
      </w:tblGrid>
      <w:tr w:rsidR="006B2EC1" w14:paraId="1C4FCA7D" w14:textId="77777777" w:rsidTr="0047688D">
        <w:tc>
          <w:tcPr>
            <w:tcW w:w="0" w:type="auto"/>
            <w:shd w:val="clear" w:color="auto" w:fill="auto"/>
          </w:tcPr>
          <w:p w14:paraId="7C4336B7" w14:textId="77777777" w:rsidR="008C5CFA" w:rsidRPr="0024468B" w:rsidRDefault="00E82A60" w:rsidP="00300A01">
            <w:pPr>
              <w:spacing w:before="0" w:after="0"/>
              <w:rPr>
                <w:sz w:val="16"/>
                <w:szCs w:val="16"/>
                <w:lang w:val="fr-BE"/>
              </w:rPr>
            </w:pPr>
            <w:r w:rsidRPr="0024468B">
              <w:rPr>
                <w:noProof/>
                <w:sz w:val="16"/>
                <w:szCs w:val="16"/>
                <w:lang w:val="fr-BE"/>
              </w:rPr>
              <w:t>ID</w:t>
            </w:r>
          </w:p>
        </w:tc>
        <w:tc>
          <w:tcPr>
            <w:tcW w:w="0" w:type="auto"/>
            <w:shd w:val="clear" w:color="auto" w:fill="auto"/>
          </w:tcPr>
          <w:p w14:paraId="39970284" w14:textId="77777777" w:rsidR="008C5CFA" w:rsidRPr="0024468B" w:rsidRDefault="00E82A60" w:rsidP="00300A01">
            <w:pPr>
              <w:spacing w:before="0" w:after="0"/>
              <w:rPr>
                <w:sz w:val="16"/>
                <w:szCs w:val="16"/>
                <w:lang w:val="fr-BE"/>
              </w:rPr>
            </w:pPr>
            <w:r w:rsidRPr="0024468B">
              <w:rPr>
                <w:noProof/>
                <w:sz w:val="16"/>
                <w:szCs w:val="16"/>
                <w:lang w:val="fr-BE"/>
              </w:rPr>
              <w:t>Wskaźnik</w:t>
            </w:r>
          </w:p>
        </w:tc>
        <w:tc>
          <w:tcPr>
            <w:tcW w:w="0" w:type="auto"/>
            <w:shd w:val="clear" w:color="auto" w:fill="auto"/>
          </w:tcPr>
          <w:p w14:paraId="71485B7D" w14:textId="77777777" w:rsidR="008C5CFA" w:rsidRPr="0024468B" w:rsidRDefault="00E82A60" w:rsidP="00300A01">
            <w:pPr>
              <w:spacing w:before="0" w:after="0"/>
              <w:rPr>
                <w:sz w:val="16"/>
                <w:szCs w:val="16"/>
                <w:lang w:val="fr-BE"/>
              </w:rPr>
            </w:pPr>
            <w:r w:rsidRPr="0024468B">
              <w:rPr>
                <w:noProof/>
                <w:sz w:val="16"/>
                <w:szCs w:val="16"/>
                <w:lang w:val="fr-BE"/>
              </w:rPr>
              <w:t>Jednostka miary</w:t>
            </w:r>
          </w:p>
        </w:tc>
        <w:tc>
          <w:tcPr>
            <w:tcW w:w="0" w:type="auto"/>
            <w:shd w:val="clear" w:color="auto" w:fill="auto"/>
          </w:tcPr>
          <w:p w14:paraId="7FEACCEF" w14:textId="77777777" w:rsidR="008C5CFA" w:rsidRPr="0024468B" w:rsidRDefault="00E82A60" w:rsidP="00300A01">
            <w:pPr>
              <w:spacing w:before="0" w:after="0"/>
              <w:rPr>
                <w:sz w:val="16"/>
                <w:szCs w:val="16"/>
                <w:lang w:val="fr-BE"/>
              </w:rPr>
            </w:pPr>
            <w:r w:rsidRPr="0024468B">
              <w:rPr>
                <w:noProof/>
                <w:sz w:val="16"/>
                <w:szCs w:val="16"/>
                <w:lang w:val="fr-BE"/>
              </w:rPr>
              <w:t>Kategoria regionu</w:t>
            </w:r>
          </w:p>
        </w:tc>
        <w:tc>
          <w:tcPr>
            <w:tcW w:w="0" w:type="auto"/>
            <w:shd w:val="clear" w:color="auto" w:fill="auto"/>
          </w:tcPr>
          <w:p w14:paraId="6DC4D6D8" w14:textId="77777777" w:rsidR="008C5CFA" w:rsidRPr="0024468B" w:rsidRDefault="00E82A60" w:rsidP="00300A01">
            <w:pPr>
              <w:spacing w:before="0" w:after="0"/>
              <w:rPr>
                <w:sz w:val="16"/>
                <w:szCs w:val="16"/>
                <w:lang w:val="fr-BE"/>
              </w:rPr>
            </w:pPr>
            <w:r w:rsidRPr="0024468B">
              <w:rPr>
                <w:noProof/>
                <w:sz w:val="16"/>
                <w:szCs w:val="16"/>
                <w:lang w:val="fr-BE"/>
              </w:rPr>
              <w:t>Wartość bazowa</w:t>
            </w:r>
          </w:p>
        </w:tc>
        <w:tc>
          <w:tcPr>
            <w:tcW w:w="0" w:type="auto"/>
            <w:shd w:val="clear" w:color="auto" w:fill="auto"/>
          </w:tcPr>
          <w:p w14:paraId="33731D92" w14:textId="77777777" w:rsidR="008C5CFA" w:rsidRPr="0024468B" w:rsidRDefault="00E82A60" w:rsidP="00300A01">
            <w:pPr>
              <w:spacing w:before="0" w:after="0"/>
              <w:rPr>
                <w:sz w:val="16"/>
                <w:szCs w:val="16"/>
                <w:lang w:val="fr-BE"/>
              </w:rPr>
            </w:pPr>
            <w:r w:rsidRPr="0024468B">
              <w:rPr>
                <w:noProof/>
                <w:sz w:val="16"/>
                <w:szCs w:val="16"/>
                <w:lang w:val="fr-BE"/>
              </w:rPr>
              <w:t>Rok bazowy</w:t>
            </w:r>
          </w:p>
        </w:tc>
        <w:tc>
          <w:tcPr>
            <w:tcW w:w="0" w:type="auto"/>
            <w:shd w:val="clear" w:color="auto" w:fill="auto"/>
          </w:tcPr>
          <w:p w14:paraId="624242AD" w14:textId="77777777" w:rsidR="008C5CFA" w:rsidRPr="0024468B" w:rsidRDefault="00E82A60" w:rsidP="00300A01">
            <w:pPr>
              <w:spacing w:before="0" w:after="0"/>
              <w:rPr>
                <w:sz w:val="16"/>
                <w:szCs w:val="16"/>
                <w:lang w:val="fr-BE"/>
              </w:rPr>
            </w:pPr>
            <w:r w:rsidRPr="0024468B">
              <w:rPr>
                <w:noProof/>
                <w:sz w:val="16"/>
                <w:szCs w:val="16"/>
                <w:lang w:val="fr-BE"/>
              </w:rPr>
              <w:t>Wartość docelowa 2023</w:t>
            </w:r>
          </w:p>
        </w:tc>
        <w:tc>
          <w:tcPr>
            <w:tcW w:w="0" w:type="auto"/>
            <w:shd w:val="clear" w:color="auto" w:fill="auto"/>
          </w:tcPr>
          <w:p w14:paraId="2304E27B" w14:textId="77777777" w:rsidR="008C5CFA" w:rsidRPr="0024468B" w:rsidRDefault="00E82A60" w:rsidP="00300A01">
            <w:pPr>
              <w:spacing w:before="0" w:after="0"/>
              <w:jc w:val="center"/>
              <w:rPr>
                <w:sz w:val="16"/>
                <w:szCs w:val="16"/>
                <w:lang w:val="fr-BE"/>
              </w:rPr>
            </w:pPr>
            <w:r>
              <w:rPr>
                <w:sz w:val="16"/>
                <w:szCs w:val="16"/>
                <w:lang w:val="fr-BE"/>
              </w:rPr>
              <w:t xml:space="preserve">2019 </w:t>
            </w:r>
            <w:r>
              <w:rPr>
                <w:noProof/>
                <w:sz w:val="16"/>
                <w:szCs w:val="16"/>
                <w:lang w:val="fr-BE"/>
              </w:rPr>
              <w:t>Ogółem</w:t>
            </w:r>
          </w:p>
        </w:tc>
        <w:tc>
          <w:tcPr>
            <w:tcW w:w="0" w:type="auto"/>
            <w:shd w:val="clear" w:color="auto" w:fill="auto"/>
          </w:tcPr>
          <w:p w14:paraId="0D715749" w14:textId="77777777" w:rsidR="008C5CFA" w:rsidRPr="0024468B" w:rsidRDefault="00E82A60" w:rsidP="00300A01">
            <w:pPr>
              <w:spacing w:before="0" w:after="0"/>
              <w:jc w:val="center"/>
              <w:rPr>
                <w:sz w:val="16"/>
                <w:szCs w:val="16"/>
                <w:lang w:val="fr-BE"/>
              </w:rPr>
            </w:pPr>
            <w:r>
              <w:rPr>
                <w:sz w:val="16"/>
                <w:szCs w:val="16"/>
                <w:lang w:val="fr-BE"/>
              </w:rPr>
              <w:t xml:space="preserve">2019 </w:t>
            </w:r>
            <w:r w:rsidRPr="0024468B">
              <w:rPr>
                <w:noProof/>
                <w:sz w:val="16"/>
                <w:szCs w:val="16"/>
                <w:lang w:val="fr-BE"/>
              </w:rPr>
              <w:t>Jakościowe</w:t>
            </w:r>
          </w:p>
        </w:tc>
        <w:tc>
          <w:tcPr>
            <w:tcW w:w="0" w:type="auto"/>
            <w:shd w:val="clear" w:color="auto" w:fill="auto"/>
          </w:tcPr>
          <w:p w14:paraId="502E53C0" w14:textId="77777777" w:rsidR="008C5CFA" w:rsidRPr="0024468B" w:rsidRDefault="00E82A60" w:rsidP="00300A01">
            <w:pPr>
              <w:spacing w:before="0" w:after="0"/>
              <w:jc w:val="center"/>
              <w:rPr>
                <w:sz w:val="16"/>
                <w:szCs w:val="16"/>
                <w:lang w:val="fr-BE"/>
              </w:rPr>
            </w:pPr>
            <w:r w:rsidRPr="0024468B">
              <w:rPr>
                <w:noProof/>
                <w:sz w:val="16"/>
                <w:szCs w:val="16"/>
                <w:lang w:val="fr-BE"/>
              </w:rPr>
              <w:t>Uwagi</w:t>
            </w:r>
          </w:p>
        </w:tc>
      </w:tr>
      <w:tr w:rsidR="006B2EC1" w14:paraId="3322567D" w14:textId="77777777" w:rsidTr="0047688D">
        <w:tc>
          <w:tcPr>
            <w:tcW w:w="0" w:type="auto"/>
            <w:shd w:val="clear" w:color="auto" w:fill="auto"/>
          </w:tcPr>
          <w:p w14:paraId="3C17D9CE" w14:textId="77777777" w:rsidR="008C5CFA" w:rsidRPr="0024468B" w:rsidRDefault="00E82A60" w:rsidP="00300A01">
            <w:pPr>
              <w:spacing w:before="0" w:after="0"/>
              <w:rPr>
                <w:sz w:val="16"/>
                <w:szCs w:val="16"/>
                <w:lang w:val="fr-BE"/>
              </w:rPr>
            </w:pPr>
            <w:r w:rsidRPr="0024468B">
              <w:rPr>
                <w:noProof/>
                <w:sz w:val="16"/>
                <w:szCs w:val="16"/>
                <w:lang w:val="fr-BE"/>
              </w:rPr>
              <w:t>063</w:t>
            </w:r>
          </w:p>
        </w:tc>
        <w:tc>
          <w:tcPr>
            <w:tcW w:w="0" w:type="auto"/>
            <w:shd w:val="clear" w:color="auto" w:fill="auto"/>
          </w:tcPr>
          <w:p w14:paraId="7A0B76BE" w14:textId="77777777" w:rsidR="008C5CFA" w:rsidRPr="0024468B" w:rsidRDefault="00E82A60" w:rsidP="00300A01">
            <w:pPr>
              <w:spacing w:before="0" w:after="0"/>
              <w:rPr>
                <w:sz w:val="16"/>
                <w:szCs w:val="16"/>
                <w:lang w:val="fr-BE"/>
              </w:rPr>
            </w:pPr>
            <w:r w:rsidRPr="0024468B">
              <w:rPr>
                <w:noProof/>
                <w:sz w:val="16"/>
                <w:szCs w:val="16"/>
                <w:lang w:val="fr-BE"/>
              </w:rPr>
              <w:t>Wskaźnik zatrudnienia osób w  wieku 20-64 lata</w:t>
            </w:r>
          </w:p>
        </w:tc>
        <w:tc>
          <w:tcPr>
            <w:tcW w:w="0" w:type="auto"/>
            <w:shd w:val="clear" w:color="auto" w:fill="auto"/>
          </w:tcPr>
          <w:p w14:paraId="24D75F18" w14:textId="77777777" w:rsidR="008C5CFA" w:rsidRPr="0024468B" w:rsidRDefault="00E82A60" w:rsidP="00300A01">
            <w:pPr>
              <w:spacing w:before="0" w:after="0"/>
              <w:rPr>
                <w:sz w:val="16"/>
                <w:szCs w:val="16"/>
                <w:lang w:val="fr-BE"/>
              </w:rPr>
            </w:pPr>
            <w:r w:rsidRPr="0024468B">
              <w:rPr>
                <w:noProof/>
                <w:sz w:val="16"/>
                <w:szCs w:val="16"/>
                <w:lang w:val="fr-BE"/>
              </w:rPr>
              <w:t>%</w:t>
            </w:r>
          </w:p>
        </w:tc>
        <w:tc>
          <w:tcPr>
            <w:tcW w:w="0" w:type="auto"/>
            <w:shd w:val="clear" w:color="auto" w:fill="auto"/>
          </w:tcPr>
          <w:p w14:paraId="7567F029" w14:textId="77777777" w:rsidR="008C5CFA" w:rsidRPr="0024468B" w:rsidRDefault="00E82A60"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14:paraId="2F7549EF" w14:textId="77777777" w:rsidR="008C5CFA" w:rsidRPr="00C3185A" w:rsidRDefault="00E82A60" w:rsidP="00300A01">
            <w:pPr>
              <w:spacing w:before="0" w:after="0"/>
              <w:jc w:val="right"/>
              <w:rPr>
                <w:sz w:val="16"/>
                <w:szCs w:val="16"/>
                <w:lang w:val="fr-BE"/>
              </w:rPr>
            </w:pPr>
            <w:r w:rsidRPr="00C3185A">
              <w:rPr>
                <w:noProof/>
                <w:sz w:val="16"/>
                <w:szCs w:val="16"/>
                <w:lang w:val="fr-BE"/>
              </w:rPr>
              <w:t>62,70</w:t>
            </w:r>
          </w:p>
        </w:tc>
        <w:tc>
          <w:tcPr>
            <w:tcW w:w="0" w:type="auto"/>
            <w:shd w:val="clear" w:color="auto" w:fill="auto"/>
          </w:tcPr>
          <w:p w14:paraId="41A2252C" w14:textId="77777777" w:rsidR="008C5CFA" w:rsidRPr="0024468B" w:rsidRDefault="00E82A60" w:rsidP="00300A01">
            <w:pPr>
              <w:spacing w:before="0" w:after="0"/>
              <w:rPr>
                <w:sz w:val="16"/>
                <w:szCs w:val="16"/>
                <w:lang w:val="fr-BE"/>
              </w:rPr>
            </w:pPr>
            <w:r w:rsidRPr="0024468B">
              <w:rPr>
                <w:noProof/>
                <w:sz w:val="16"/>
                <w:szCs w:val="16"/>
                <w:lang w:val="fr-BE"/>
              </w:rPr>
              <w:t>2013</w:t>
            </w:r>
          </w:p>
        </w:tc>
        <w:tc>
          <w:tcPr>
            <w:tcW w:w="0" w:type="auto"/>
            <w:shd w:val="clear" w:color="auto" w:fill="auto"/>
          </w:tcPr>
          <w:p w14:paraId="0478F08A" w14:textId="77777777" w:rsidR="008C5CFA" w:rsidRPr="0024468B" w:rsidRDefault="00E82A60" w:rsidP="00300A01">
            <w:pPr>
              <w:spacing w:before="0" w:after="0"/>
              <w:jc w:val="right"/>
              <w:rPr>
                <w:sz w:val="16"/>
                <w:szCs w:val="16"/>
                <w:lang w:val="fr-BE"/>
              </w:rPr>
            </w:pPr>
            <w:r w:rsidRPr="0024468B">
              <w:rPr>
                <w:noProof/>
                <w:sz w:val="16"/>
                <w:szCs w:val="16"/>
                <w:lang w:val="fr-BE"/>
              </w:rPr>
              <w:t>64,70</w:t>
            </w:r>
          </w:p>
        </w:tc>
        <w:tc>
          <w:tcPr>
            <w:tcW w:w="0" w:type="auto"/>
            <w:shd w:val="clear" w:color="auto" w:fill="auto"/>
          </w:tcPr>
          <w:p w14:paraId="2EB092A9"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46F71D88" w14:textId="77777777" w:rsidR="008C5CFA" w:rsidRPr="0024468B" w:rsidRDefault="008C5CFA" w:rsidP="00300A01">
            <w:pPr>
              <w:spacing w:before="0" w:after="0"/>
              <w:jc w:val="right"/>
              <w:rPr>
                <w:sz w:val="16"/>
                <w:szCs w:val="16"/>
                <w:lang w:val="fr-BE"/>
              </w:rPr>
            </w:pPr>
          </w:p>
        </w:tc>
        <w:tc>
          <w:tcPr>
            <w:tcW w:w="0" w:type="auto"/>
            <w:shd w:val="clear" w:color="auto" w:fill="auto"/>
          </w:tcPr>
          <w:p w14:paraId="1134D6D5" w14:textId="77777777" w:rsidR="008C5CFA" w:rsidRPr="0024468B" w:rsidRDefault="00E82A60" w:rsidP="00300A01">
            <w:pPr>
              <w:spacing w:before="0" w:after="0"/>
              <w:rPr>
                <w:sz w:val="16"/>
                <w:szCs w:val="16"/>
                <w:lang w:val="fr-BE"/>
              </w:rPr>
            </w:pPr>
            <w:r w:rsidRPr="0024468B">
              <w:rPr>
                <w:noProof/>
                <w:sz w:val="16"/>
                <w:szCs w:val="16"/>
                <w:lang w:val="fr-BE"/>
              </w:rPr>
              <w:t>Brak aktualnych danych dostępnych w statystykach publicznych (systemie STRATEG)</w:t>
            </w:r>
          </w:p>
        </w:tc>
      </w:tr>
    </w:tbl>
    <w:p w14:paraId="475CBA39"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
        <w:gridCol w:w="3778"/>
        <w:gridCol w:w="1235"/>
        <w:gridCol w:w="1487"/>
        <w:gridCol w:w="1236"/>
        <w:gridCol w:w="1487"/>
        <w:gridCol w:w="1236"/>
        <w:gridCol w:w="1487"/>
        <w:gridCol w:w="1236"/>
        <w:gridCol w:w="1487"/>
      </w:tblGrid>
      <w:tr w:rsidR="006B2EC1" w14:paraId="266C5B01" w14:textId="77777777" w:rsidTr="0047688D">
        <w:tc>
          <w:tcPr>
            <w:tcW w:w="0" w:type="auto"/>
            <w:shd w:val="clear" w:color="auto" w:fill="auto"/>
          </w:tcPr>
          <w:p w14:paraId="4B60FB1E" w14:textId="77777777" w:rsidR="008C5CFA" w:rsidRPr="0024468B" w:rsidRDefault="00E82A60" w:rsidP="00300A01">
            <w:pPr>
              <w:spacing w:before="0" w:after="0"/>
              <w:rPr>
                <w:sz w:val="16"/>
                <w:szCs w:val="16"/>
                <w:lang w:val="fr-BE"/>
              </w:rPr>
            </w:pPr>
            <w:r w:rsidRPr="0024468B">
              <w:rPr>
                <w:noProof/>
                <w:sz w:val="16"/>
                <w:szCs w:val="16"/>
                <w:lang w:val="fr-BE"/>
              </w:rPr>
              <w:t>ID</w:t>
            </w:r>
          </w:p>
        </w:tc>
        <w:tc>
          <w:tcPr>
            <w:tcW w:w="0" w:type="auto"/>
            <w:shd w:val="clear" w:color="auto" w:fill="auto"/>
          </w:tcPr>
          <w:p w14:paraId="628E82A4" w14:textId="77777777" w:rsidR="008C5CFA" w:rsidRPr="0024468B" w:rsidRDefault="00E82A60" w:rsidP="00300A01">
            <w:pPr>
              <w:spacing w:before="0" w:after="0"/>
              <w:rPr>
                <w:sz w:val="16"/>
                <w:szCs w:val="16"/>
                <w:lang w:val="fr-BE"/>
              </w:rPr>
            </w:pPr>
            <w:r w:rsidRPr="0024468B">
              <w:rPr>
                <w:noProof/>
                <w:sz w:val="16"/>
                <w:szCs w:val="16"/>
                <w:lang w:val="fr-BE"/>
              </w:rPr>
              <w:t>Wskaźnik</w:t>
            </w:r>
          </w:p>
        </w:tc>
        <w:tc>
          <w:tcPr>
            <w:tcW w:w="0" w:type="auto"/>
          </w:tcPr>
          <w:p w14:paraId="1036B821" w14:textId="77777777" w:rsidR="008C5CFA" w:rsidRPr="0024468B" w:rsidRDefault="00E82A60" w:rsidP="00300A01">
            <w:pPr>
              <w:spacing w:before="0" w:after="0"/>
              <w:jc w:val="center"/>
              <w:rPr>
                <w:sz w:val="16"/>
                <w:szCs w:val="16"/>
                <w:lang w:val="fr-BE"/>
              </w:rPr>
            </w:pPr>
            <w:r>
              <w:rPr>
                <w:sz w:val="16"/>
                <w:szCs w:val="16"/>
                <w:lang w:val="fr-BE"/>
              </w:rPr>
              <w:t xml:space="preserve">2018 </w:t>
            </w:r>
            <w:r>
              <w:rPr>
                <w:noProof/>
                <w:sz w:val="16"/>
                <w:szCs w:val="16"/>
                <w:lang w:val="fr-BE"/>
              </w:rPr>
              <w:t>Ogółem</w:t>
            </w:r>
          </w:p>
        </w:tc>
        <w:tc>
          <w:tcPr>
            <w:tcW w:w="0" w:type="auto"/>
          </w:tcPr>
          <w:p w14:paraId="1E4288B5" w14:textId="77777777" w:rsidR="008C5CFA" w:rsidRPr="0024468B" w:rsidRDefault="00E82A60" w:rsidP="00300A01">
            <w:pPr>
              <w:spacing w:before="0" w:after="0"/>
              <w:jc w:val="center"/>
              <w:rPr>
                <w:sz w:val="16"/>
                <w:szCs w:val="16"/>
                <w:lang w:val="fr-BE"/>
              </w:rPr>
            </w:pPr>
            <w:r>
              <w:rPr>
                <w:sz w:val="16"/>
                <w:szCs w:val="16"/>
                <w:lang w:val="fr-BE"/>
              </w:rPr>
              <w:t xml:space="preserve">2018 </w:t>
            </w:r>
            <w:r w:rsidRPr="0024468B">
              <w:rPr>
                <w:noProof/>
                <w:sz w:val="16"/>
                <w:szCs w:val="16"/>
                <w:lang w:val="fr-BE"/>
              </w:rPr>
              <w:t>Jakościowe</w:t>
            </w:r>
          </w:p>
        </w:tc>
        <w:tc>
          <w:tcPr>
            <w:tcW w:w="0" w:type="auto"/>
          </w:tcPr>
          <w:p w14:paraId="79833C80" w14:textId="77777777" w:rsidR="008C5CFA" w:rsidRPr="0024468B" w:rsidRDefault="00E82A60" w:rsidP="00300A01">
            <w:pPr>
              <w:spacing w:before="0" w:after="0"/>
              <w:jc w:val="center"/>
              <w:rPr>
                <w:sz w:val="16"/>
                <w:szCs w:val="16"/>
                <w:lang w:val="fr-BE"/>
              </w:rPr>
            </w:pPr>
            <w:r>
              <w:rPr>
                <w:sz w:val="16"/>
                <w:szCs w:val="16"/>
                <w:lang w:val="fr-BE"/>
              </w:rPr>
              <w:t xml:space="preserve">2017 </w:t>
            </w:r>
            <w:r>
              <w:rPr>
                <w:noProof/>
                <w:sz w:val="16"/>
                <w:szCs w:val="16"/>
                <w:lang w:val="fr-BE"/>
              </w:rPr>
              <w:t>Ogółem</w:t>
            </w:r>
          </w:p>
        </w:tc>
        <w:tc>
          <w:tcPr>
            <w:tcW w:w="0" w:type="auto"/>
          </w:tcPr>
          <w:p w14:paraId="3AB4F5E8" w14:textId="77777777" w:rsidR="008C5CFA" w:rsidRPr="0024468B" w:rsidRDefault="00E82A60" w:rsidP="00300A01">
            <w:pPr>
              <w:spacing w:before="0" w:after="0"/>
              <w:jc w:val="center"/>
              <w:rPr>
                <w:sz w:val="16"/>
                <w:szCs w:val="16"/>
                <w:lang w:val="fr-BE"/>
              </w:rPr>
            </w:pPr>
            <w:r>
              <w:rPr>
                <w:sz w:val="16"/>
                <w:szCs w:val="16"/>
                <w:lang w:val="fr-BE"/>
              </w:rPr>
              <w:t xml:space="preserve">2017 </w:t>
            </w:r>
            <w:r w:rsidRPr="0024468B">
              <w:rPr>
                <w:noProof/>
                <w:sz w:val="16"/>
                <w:szCs w:val="16"/>
                <w:lang w:val="fr-BE"/>
              </w:rPr>
              <w:t>Jakościowe</w:t>
            </w:r>
          </w:p>
        </w:tc>
        <w:tc>
          <w:tcPr>
            <w:tcW w:w="0" w:type="auto"/>
          </w:tcPr>
          <w:p w14:paraId="4B4AA56A" w14:textId="77777777" w:rsidR="008C5CFA" w:rsidRPr="0024468B" w:rsidRDefault="00E82A60" w:rsidP="00300A01">
            <w:pPr>
              <w:spacing w:before="0" w:after="0"/>
              <w:jc w:val="center"/>
              <w:rPr>
                <w:sz w:val="16"/>
                <w:szCs w:val="16"/>
                <w:lang w:val="fr-BE"/>
              </w:rPr>
            </w:pPr>
            <w:r>
              <w:rPr>
                <w:sz w:val="16"/>
                <w:szCs w:val="16"/>
                <w:lang w:val="fr-BE"/>
              </w:rPr>
              <w:t xml:space="preserve">2016 </w:t>
            </w:r>
            <w:r>
              <w:rPr>
                <w:noProof/>
                <w:sz w:val="16"/>
                <w:szCs w:val="16"/>
                <w:lang w:val="fr-BE"/>
              </w:rPr>
              <w:t>Ogółem</w:t>
            </w:r>
          </w:p>
        </w:tc>
        <w:tc>
          <w:tcPr>
            <w:tcW w:w="0" w:type="auto"/>
          </w:tcPr>
          <w:p w14:paraId="09B8AF13" w14:textId="77777777" w:rsidR="008C5CFA" w:rsidRPr="0024468B" w:rsidRDefault="00E82A60" w:rsidP="00300A01">
            <w:pPr>
              <w:spacing w:before="0" w:after="0"/>
              <w:jc w:val="center"/>
              <w:rPr>
                <w:sz w:val="16"/>
                <w:szCs w:val="16"/>
                <w:lang w:val="fr-BE"/>
              </w:rPr>
            </w:pPr>
            <w:r>
              <w:rPr>
                <w:sz w:val="16"/>
                <w:szCs w:val="16"/>
                <w:lang w:val="fr-BE"/>
              </w:rPr>
              <w:t xml:space="preserve">2016 </w:t>
            </w:r>
            <w:r w:rsidRPr="0024468B">
              <w:rPr>
                <w:noProof/>
                <w:sz w:val="16"/>
                <w:szCs w:val="16"/>
                <w:lang w:val="fr-BE"/>
              </w:rPr>
              <w:t>Jakościowe</w:t>
            </w:r>
          </w:p>
        </w:tc>
        <w:tc>
          <w:tcPr>
            <w:tcW w:w="0" w:type="auto"/>
          </w:tcPr>
          <w:p w14:paraId="0D211E08" w14:textId="77777777" w:rsidR="008C5CFA" w:rsidRPr="0024468B" w:rsidRDefault="00E82A60" w:rsidP="00300A01">
            <w:pPr>
              <w:spacing w:before="0" w:after="0"/>
              <w:jc w:val="center"/>
              <w:rPr>
                <w:sz w:val="16"/>
                <w:szCs w:val="16"/>
                <w:lang w:val="fr-BE"/>
              </w:rPr>
            </w:pPr>
            <w:r>
              <w:rPr>
                <w:sz w:val="16"/>
                <w:szCs w:val="16"/>
                <w:lang w:val="fr-BE"/>
              </w:rPr>
              <w:t xml:space="preserve">2015 </w:t>
            </w:r>
            <w:r>
              <w:rPr>
                <w:noProof/>
                <w:sz w:val="16"/>
                <w:szCs w:val="16"/>
                <w:lang w:val="fr-BE"/>
              </w:rPr>
              <w:t>Ogółem</w:t>
            </w:r>
          </w:p>
        </w:tc>
        <w:tc>
          <w:tcPr>
            <w:tcW w:w="0" w:type="auto"/>
          </w:tcPr>
          <w:p w14:paraId="4A89E03D" w14:textId="77777777" w:rsidR="008C5CFA" w:rsidRPr="0024468B" w:rsidRDefault="00E82A60" w:rsidP="00300A01">
            <w:pPr>
              <w:spacing w:before="0" w:after="0"/>
              <w:jc w:val="center"/>
              <w:rPr>
                <w:sz w:val="16"/>
                <w:szCs w:val="16"/>
                <w:lang w:val="fr-BE"/>
              </w:rPr>
            </w:pPr>
            <w:r>
              <w:rPr>
                <w:sz w:val="16"/>
                <w:szCs w:val="16"/>
                <w:lang w:val="fr-BE"/>
              </w:rPr>
              <w:t xml:space="preserve">2015 </w:t>
            </w:r>
            <w:r w:rsidRPr="0024468B">
              <w:rPr>
                <w:noProof/>
                <w:sz w:val="16"/>
                <w:szCs w:val="16"/>
                <w:lang w:val="fr-BE"/>
              </w:rPr>
              <w:t>Jakościowe</w:t>
            </w:r>
          </w:p>
        </w:tc>
      </w:tr>
      <w:tr w:rsidR="006B2EC1" w14:paraId="2B9FB4A9" w14:textId="77777777" w:rsidTr="0047688D">
        <w:tc>
          <w:tcPr>
            <w:tcW w:w="0" w:type="auto"/>
            <w:shd w:val="clear" w:color="auto" w:fill="auto"/>
          </w:tcPr>
          <w:p w14:paraId="25EBFCD9" w14:textId="77777777" w:rsidR="008C5CFA" w:rsidRPr="0024468B" w:rsidRDefault="00E82A60" w:rsidP="00300A01">
            <w:pPr>
              <w:spacing w:before="0" w:after="0"/>
              <w:rPr>
                <w:sz w:val="16"/>
                <w:szCs w:val="16"/>
                <w:lang w:val="fr-BE"/>
              </w:rPr>
            </w:pPr>
            <w:r w:rsidRPr="0024468B">
              <w:rPr>
                <w:noProof/>
                <w:sz w:val="16"/>
                <w:szCs w:val="16"/>
                <w:lang w:val="fr-BE"/>
              </w:rPr>
              <w:t>063</w:t>
            </w:r>
          </w:p>
        </w:tc>
        <w:tc>
          <w:tcPr>
            <w:tcW w:w="0" w:type="auto"/>
            <w:shd w:val="clear" w:color="auto" w:fill="auto"/>
          </w:tcPr>
          <w:p w14:paraId="694FCF3F" w14:textId="77777777" w:rsidR="008C5CFA" w:rsidRPr="0024468B" w:rsidRDefault="00E82A60" w:rsidP="00300A01">
            <w:pPr>
              <w:spacing w:before="0" w:after="0"/>
              <w:rPr>
                <w:sz w:val="16"/>
                <w:szCs w:val="16"/>
                <w:lang w:val="fr-BE"/>
              </w:rPr>
            </w:pPr>
            <w:r w:rsidRPr="0024468B">
              <w:rPr>
                <w:noProof/>
                <w:sz w:val="16"/>
                <w:szCs w:val="16"/>
                <w:lang w:val="fr-BE"/>
              </w:rPr>
              <w:t>Wskaźnik zatrudnienia osób w  wieku 20-64 lata</w:t>
            </w:r>
          </w:p>
        </w:tc>
        <w:tc>
          <w:tcPr>
            <w:tcW w:w="0" w:type="auto"/>
          </w:tcPr>
          <w:p w14:paraId="35CE897E" w14:textId="77777777" w:rsidR="008C5CFA" w:rsidRPr="0024468B" w:rsidRDefault="00E82A60" w:rsidP="00300A01">
            <w:pPr>
              <w:spacing w:before="0" w:after="0"/>
              <w:jc w:val="right"/>
              <w:rPr>
                <w:sz w:val="16"/>
                <w:szCs w:val="16"/>
                <w:lang w:val="fr-BE"/>
              </w:rPr>
            </w:pPr>
            <w:r w:rsidRPr="0024468B">
              <w:rPr>
                <w:noProof/>
                <w:sz w:val="16"/>
                <w:szCs w:val="16"/>
                <w:lang w:val="fr-BE"/>
              </w:rPr>
              <w:t>68,00</w:t>
            </w:r>
          </w:p>
        </w:tc>
        <w:tc>
          <w:tcPr>
            <w:tcW w:w="0" w:type="auto"/>
          </w:tcPr>
          <w:p w14:paraId="4F7D65F0" w14:textId="77777777" w:rsidR="008C5CFA" w:rsidRPr="0024468B" w:rsidRDefault="008C5CFA" w:rsidP="00300A01">
            <w:pPr>
              <w:spacing w:before="0" w:after="0"/>
              <w:jc w:val="right"/>
              <w:rPr>
                <w:sz w:val="16"/>
                <w:szCs w:val="16"/>
                <w:lang w:val="fr-BE"/>
              </w:rPr>
            </w:pPr>
          </w:p>
        </w:tc>
        <w:tc>
          <w:tcPr>
            <w:tcW w:w="0" w:type="auto"/>
          </w:tcPr>
          <w:p w14:paraId="18BC86C0" w14:textId="77777777" w:rsidR="008C5CFA" w:rsidRPr="0024468B" w:rsidRDefault="00E82A60" w:rsidP="00300A01">
            <w:pPr>
              <w:spacing w:before="0" w:after="0"/>
              <w:jc w:val="right"/>
              <w:rPr>
                <w:sz w:val="16"/>
                <w:szCs w:val="16"/>
                <w:lang w:val="fr-BE"/>
              </w:rPr>
            </w:pPr>
            <w:r w:rsidRPr="0024468B">
              <w:rPr>
                <w:noProof/>
                <w:sz w:val="16"/>
                <w:szCs w:val="16"/>
                <w:lang w:val="fr-BE"/>
              </w:rPr>
              <w:t>68,00</w:t>
            </w:r>
          </w:p>
        </w:tc>
        <w:tc>
          <w:tcPr>
            <w:tcW w:w="0" w:type="auto"/>
          </w:tcPr>
          <w:p w14:paraId="138A3012" w14:textId="77777777" w:rsidR="008C5CFA" w:rsidRPr="0024468B" w:rsidRDefault="008C5CFA" w:rsidP="00300A01">
            <w:pPr>
              <w:spacing w:before="0" w:after="0"/>
              <w:jc w:val="right"/>
              <w:rPr>
                <w:sz w:val="16"/>
                <w:szCs w:val="16"/>
                <w:lang w:val="fr-BE"/>
              </w:rPr>
            </w:pPr>
          </w:p>
        </w:tc>
        <w:tc>
          <w:tcPr>
            <w:tcW w:w="0" w:type="auto"/>
          </w:tcPr>
          <w:p w14:paraId="3762DE7C" w14:textId="77777777" w:rsidR="008C5CFA" w:rsidRPr="0024468B" w:rsidRDefault="00E82A60" w:rsidP="00300A01">
            <w:pPr>
              <w:spacing w:before="0" w:after="0"/>
              <w:jc w:val="right"/>
              <w:rPr>
                <w:sz w:val="16"/>
                <w:szCs w:val="16"/>
                <w:lang w:val="fr-BE"/>
              </w:rPr>
            </w:pPr>
            <w:r w:rsidRPr="0024468B">
              <w:rPr>
                <w:noProof/>
                <w:sz w:val="16"/>
                <w:szCs w:val="16"/>
                <w:lang w:val="fr-BE"/>
              </w:rPr>
              <w:t>66,80</w:t>
            </w:r>
          </w:p>
        </w:tc>
        <w:tc>
          <w:tcPr>
            <w:tcW w:w="0" w:type="auto"/>
          </w:tcPr>
          <w:p w14:paraId="66FDFA82" w14:textId="77777777" w:rsidR="008C5CFA" w:rsidRPr="0024468B" w:rsidRDefault="008C5CFA" w:rsidP="00300A01">
            <w:pPr>
              <w:spacing w:before="0" w:after="0"/>
              <w:jc w:val="right"/>
              <w:rPr>
                <w:sz w:val="16"/>
                <w:szCs w:val="16"/>
                <w:lang w:val="fr-BE"/>
              </w:rPr>
            </w:pPr>
          </w:p>
        </w:tc>
        <w:tc>
          <w:tcPr>
            <w:tcW w:w="0" w:type="auto"/>
          </w:tcPr>
          <w:p w14:paraId="388047A9" w14:textId="77777777" w:rsidR="008C5CFA" w:rsidRPr="0024468B" w:rsidRDefault="00E82A60" w:rsidP="00300A01">
            <w:pPr>
              <w:spacing w:before="0" w:after="0"/>
              <w:jc w:val="right"/>
              <w:rPr>
                <w:sz w:val="16"/>
                <w:szCs w:val="16"/>
                <w:lang w:val="fr-BE"/>
              </w:rPr>
            </w:pPr>
            <w:r w:rsidRPr="0024468B">
              <w:rPr>
                <w:noProof/>
                <w:sz w:val="16"/>
                <w:szCs w:val="16"/>
                <w:lang w:val="fr-BE"/>
              </w:rPr>
              <w:t>65,90</w:t>
            </w:r>
          </w:p>
        </w:tc>
        <w:tc>
          <w:tcPr>
            <w:tcW w:w="0" w:type="auto"/>
          </w:tcPr>
          <w:p w14:paraId="2C49F098" w14:textId="77777777" w:rsidR="008C5CFA" w:rsidRPr="0024468B" w:rsidRDefault="008C5CFA" w:rsidP="00300A01">
            <w:pPr>
              <w:spacing w:before="0" w:after="0"/>
              <w:jc w:val="right"/>
              <w:rPr>
                <w:sz w:val="16"/>
                <w:szCs w:val="16"/>
                <w:lang w:val="fr-BE"/>
              </w:rPr>
            </w:pPr>
          </w:p>
        </w:tc>
      </w:tr>
    </w:tbl>
    <w:p w14:paraId="28E28F23"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7"/>
        <w:gridCol w:w="8177"/>
        <w:gridCol w:w="2673"/>
        <w:gridCol w:w="3217"/>
      </w:tblGrid>
      <w:tr w:rsidR="006B2EC1" w14:paraId="215D282C" w14:textId="77777777" w:rsidTr="0047688D">
        <w:tc>
          <w:tcPr>
            <w:tcW w:w="0" w:type="auto"/>
            <w:shd w:val="clear" w:color="auto" w:fill="auto"/>
          </w:tcPr>
          <w:p w14:paraId="169A0018" w14:textId="77777777" w:rsidR="008C5CFA" w:rsidRPr="0024468B" w:rsidRDefault="00E82A60" w:rsidP="00300A01">
            <w:pPr>
              <w:spacing w:before="0" w:after="0"/>
              <w:rPr>
                <w:sz w:val="16"/>
                <w:szCs w:val="16"/>
                <w:lang w:val="fr-BE"/>
              </w:rPr>
            </w:pPr>
            <w:r w:rsidRPr="0024468B">
              <w:rPr>
                <w:noProof/>
                <w:sz w:val="16"/>
                <w:szCs w:val="16"/>
                <w:lang w:val="fr-BE"/>
              </w:rPr>
              <w:t>ID</w:t>
            </w:r>
          </w:p>
        </w:tc>
        <w:tc>
          <w:tcPr>
            <w:tcW w:w="0" w:type="auto"/>
            <w:shd w:val="clear" w:color="auto" w:fill="auto"/>
          </w:tcPr>
          <w:p w14:paraId="2D024C0C" w14:textId="77777777" w:rsidR="008C5CFA" w:rsidRPr="0024468B" w:rsidRDefault="00E82A60" w:rsidP="00300A01">
            <w:pPr>
              <w:spacing w:before="0" w:after="0"/>
              <w:rPr>
                <w:sz w:val="16"/>
                <w:szCs w:val="16"/>
                <w:lang w:val="fr-BE"/>
              </w:rPr>
            </w:pPr>
            <w:r w:rsidRPr="0024468B">
              <w:rPr>
                <w:noProof/>
                <w:sz w:val="16"/>
                <w:szCs w:val="16"/>
                <w:lang w:val="fr-BE"/>
              </w:rPr>
              <w:t>Wskaźnik</w:t>
            </w:r>
          </w:p>
        </w:tc>
        <w:tc>
          <w:tcPr>
            <w:tcW w:w="0" w:type="auto"/>
            <w:shd w:val="clear" w:color="auto" w:fill="auto"/>
          </w:tcPr>
          <w:p w14:paraId="4C2C2C18" w14:textId="77777777" w:rsidR="008C5CFA" w:rsidRPr="0024468B" w:rsidRDefault="00E82A60" w:rsidP="00300A01">
            <w:pPr>
              <w:spacing w:before="0" w:after="0"/>
              <w:jc w:val="center"/>
              <w:rPr>
                <w:sz w:val="16"/>
                <w:szCs w:val="16"/>
                <w:lang w:val="fr-BE"/>
              </w:rPr>
            </w:pPr>
            <w:r>
              <w:rPr>
                <w:sz w:val="16"/>
                <w:szCs w:val="16"/>
                <w:lang w:val="fr-BE"/>
              </w:rPr>
              <w:t xml:space="preserve">2014 </w:t>
            </w:r>
            <w:r>
              <w:rPr>
                <w:noProof/>
                <w:sz w:val="16"/>
                <w:szCs w:val="16"/>
                <w:lang w:val="fr-BE"/>
              </w:rPr>
              <w:t>Ogółem</w:t>
            </w:r>
          </w:p>
        </w:tc>
        <w:tc>
          <w:tcPr>
            <w:tcW w:w="0" w:type="auto"/>
            <w:shd w:val="clear" w:color="auto" w:fill="auto"/>
          </w:tcPr>
          <w:p w14:paraId="55A47659" w14:textId="77777777" w:rsidR="008C5CFA" w:rsidRPr="0024468B" w:rsidRDefault="00E82A60" w:rsidP="00300A01">
            <w:pPr>
              <w:spacing w:before="0" w:after="0"/>
              <w:jc w:val="center"/>
              <w:rPr>
                <w:sz w:val="16"/>
                <w:szCs w:val="16"/>
                <w:lang w:val="fr-BE"/>
              </w:rPr>
            </w:pPr>
            <w:r>
              <w:rPr>
                <w:sz w:val="16"/>
                <w:szCs w:val="16"/>
                <w:lang w:val="fr-BE"/>
              </w:rPr>
              <w:t xml:space="preserve">2014 </w:t>
            </w:r>
            <w:r w:rsidRPr="0024468B">
              <w:rPr>
                <w:noProof/>
                <w:sz w:val="16"/>
                <w:szCs w:val="16"/>
                <w:lang w:val="fr-BE"/>
              </w:rPr>
              <w:t>Jakościowe</w:t>
            </w:r>
          </w:p>
        </w:tc>
      </w:tr>
      <w:tr w:rsidR="006B2EC1" w14:paraId="076F1447" w14:textId="77777777" w:rsidTr="0047688D">
        <w:tc>
          <w:tcPr>
            <w:tcW w:w="0" w:type="auto"/>
            <w:shd w:val="clear" w:color="auto" w:fill="auto"/>
          </w:tcPr>
          <w:p w14:paraId="0DDAF2C9" w14:textId="77777777" w:rsidR="008C5CFA" w:rsidRPr="0024468B" w:rsidRDefault="00E82A60" w:rsidP="00300A01">
            <w:pPr>
              <w:spacing w:before="0" w:after="0"/>
              <w:rPr>
                <w:sz w:val="16"/>
                <w:szCs w:val="16"/>
                <w:lang w:val="fr-BE"/>
              </w:rPr>
            </w:pPr>
            <w:r w:rsidRPr="0024468B">
              <w:rPr>
                <w:noProof/>
                <w:sz w:val="16"/>
                <w:szCs w:val="16"/>
                <w:lang w:val="fr-BE"/>
              </w:rPr>
              <w:t>063</w:t>
            </w:r>
          </w:p>
        </w:tc>
        <w:tc>
          <w:tcPr>
            <w:tcW w:w="0" w:type="auto"/>
            <w:shd w:val="clear" w:color="auto" w:fill="auto"/>
          </w:tcPr>
          <w:p w14:paraId="23A0B17C" w14:textId="77777777" w:rsidR="008C5CFA" w:rsidRPr="0024468B" w:rsidRDefault="00E82A60" w:rsidP="00300A01">
            <w:pPr>
              <w:spacing w:before="0" w:after="0"/>
              <w:rPr>
                <w:sz w:val="16"/>
                <w:szCs w:val="16"/>
                <w:lang w:val="fr-BE"/>
              </w:rPr>
            </w:pPr>
            <w:r w:rsidRPr="0024468B">
              <w:rPr>
                <w:noProof/>
                <w:sz w:val="16"/>
                <w:szCs w:val="16"/>
                <w:lang w:val="fr-BE"/>
              </w:rPr>
              <w:t>Wskaźnik zatrudnienia osób w  wieku 20-64 lata</w:t>
            </w:r>
          </w:p>
        </w:tc>
        <w:tc>
          <w:tcPr>
            <w:tcW w:w="0" w:type="auto"/>
            <w:shd w:val="clear" w:color="auto" w:fill="auto"/>
          </w:tcPr>
          <w:p w14:paraId="66C598D1" w14:textId="77777777" w:rsidR="008C5CFA" w:rsidRPr="0024468B" w:rsidRDefault="00E82A60" w:rsidP="00300A01">
            <w:pPr>
              <w:spacing w:before="0" w:after="0"/>
              <w:jc w:val="right"/>
              <w:rPr>
                <w:sz w:val="16"/>
                <w:szCs w:val="16"/>
                <w:lang w:val="fr-BE"/>
              </w:rPr>
            </w:pPr>
            <w:r w:rsidRPr="0024468B">
              <w:rPr>
                <w:noProof/>
                <w:sz w:val="16"/>
                <w:szCs w:val="16"/>
                <w:lang w:val="fr-BE"/>
              </w:rPr>
              <w:t>63,80</w:t>
            </w:r>
          </w:p>
        </w:tc>
        <w:tc>
          <w:tcPr>
            <w:tcW w:w="0" w:type="auto"/>
            <w:shd w:val="clear" w:color="auto" w:fill="auto"/>
          </w:tcPr>
          <w:p w14:paraId="458481A9" w14:textId="77777777" w:rsidR="008C5CFA" w:rsidRPr="0024468B" w:rsidRDefault="008C5CFA" w:rsidP="00300A01">
            <w:pPr>
              <w:spacing w:before="0" w:after="0"/>
              <w:jc w:val="right"/>
              <w:rPr>
                <w:sz w:val="16"/>
                <w:szCs w:val="16"/>
                <w:lang w:val="fr-BE"/>
              </w:rPr>
            </w:pPr>
          </w:p>
        </w:tc>
      </w:tr>
    </w:tbl>
    <w:p w14:paraId="4B69A024" w14:textId="77777777" w:rsidR="008C5CFA" w:rsidRDefault="008C5CFA" w:rsidP="00300A01">
      <w:pPr>
        <w:spacing w:before="0" w:after="0"/>
        <w:rPr>
          <w:lang w:val="fr-BE"/>
        </w:rPr>
      </w:pPr>
    </w:p>
    <w:p w14:paraId="2E314F55" w14:textId="77777777" w:rsidR="008C5CFA" w:rsidRDefault="00E82A60" w:rsidP="00300A01">
      <w:pPr>
        <w:spacing w:before="0" w:after="0"/>
        <w:rPr>
          <w:lang w:val="fr-BE"/>
        </w:rPr>
      </w:pPr>
      <w:r>
        <w:rPr>
          <w:lang w:val="fr-BE"/>
        </w:rPr>
        <w:br w:type="page"/>
      </w:r>
    </w:p>
    <w:p w14:paraId="34BD49F2" w14:textId="77777777" w:rsidR="008C5CFA" w:rsidRPr="00B27C43" w:rsidRDefault="008C5CFA" w:rsidP="00300A01">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8"/>
        <w:gridCol w:w="13526"/>
      </w:tblGrid>
      <w:tr w:rsidR="006B2EC1" w14:paraId="2C045CCE" w14:textId="77777777" w:rsidTr="0047688D">
        <w:tc>
          <w:tcPr>
            <w:tcW w:w="0" w:type="auto"/>
            <w:shd w:val="clear" w:color="auto" w:fill="auto"/>
          </w:tcPr>
          <w:p w14:paraId="5CCA8920" w14:textId="77777777" w:rsidR="008C5CFA" w:rsidRPr="002124FC" w:rsidRDefault="00E82A60" w:rsidP="00300A01">
            <w:pPr>
              <w:spacing w:before="0" w:after="0"/>
              <w:rPr>
                <w:sz w:val="20"/>
                <w:szCs w:val="20"/>
                <w:lang w:val="fr-BE"/>
              </w:rPr>
            </w:pPr>
            <w:r>
              <w:rPr>
                <w:lang w:val="fr-BE"/>
              </w:rPr>
              <w:br w:type="page"/>
            </w:r>
            <w:r>
              <w:rPr>
                <w:lang w:val="fr-BE"/>
              </w:rPr>
              <w:br w:type="page"/>
            </w:r>
            <w:r w:rsidRPr="002124FC">
              <w:rPr>
                <w:noProof/>
                <w:sz w:val="20"/>
                <w:szCs w:val="20"/>
                <w:lang w:val="fr-BE"/>
              </w:rPr>
              <w:t>Oś priorytetowa</w:t>
            </w:r>
          </w:p>
        </w:tc>
        <w:tc>
          <w:tcPr>
            <w:tcW w:w="0" w:type="auto"/>
            <w:shd w:val="clear" w:color="auto" w:fill="auto"/>
          </w:tcPr>
          <w:p w14:paraId="60FB8403" w14:textId="77777777" w:rsidR="008C5CFA" w:rsidRPr="002124FC" w:rsidRDefault="00E82A60" w:rsidP="00300A01">
            <w:pPr>
              <w:spacing w:before="0" w:after="0"/>
              <w:rPr>
                <w:sz w:val="20"/>
                <w:szCs w:val="20"/>
                <w:lang w:val="fr-BE"/>
              </w:rPr>
            </w:pPr>
            <w:r w:rsidRPr="002124FC">
              <w:rPr>
                <w:noProof/>
                <w:sz w:val="20"/>
                <w:szCs w:val="20"/>
                <w:lang w:val="fr-BE"/>
              </w:rPr>
              <w:t>7</w:t>
            </w:r>
            <w:r w:rsidRPr="002124FC">
              <w:rPr>
                <w:sz w:val="20"/>
                <w:szCs w:val="20"/>
                <w:lang w:val="fr-BE"/>
              </w:rPr>
              <w:t xml:space="preserve"> - </w:t>
            </w:r>
            <w:r w:rsidRPr="002124FC">
              <w:rPr>
                <w:noProof/>
                <w:sz w:val="20"/>
                <w:szCs w:val="20"/>
                <w:lang w:val="fr-BE"/>
              </w:rPr>
              <w:t>Sprawne usługi publiczne</w:t>
            </w:r>
          </w:p>
        </w:tc>
      </w:tr>
      <w:tr w:rsidR="006B2EC1" w14:paraId="7C0AFBAD" w14:textId="77777777" w:rsidTr="0047688D">
        <w:tc>
          <w:tcPr>
            <w:tcW w:w="0" w:type="auto"/>
            <w:shd w:val="clear" w:color="auto" w:fill="auto"/>
          </w:tcPr>
          <w:p w14:paraId="3E690C06" w14:textId="77777777" w:rsidR="008C5CFA" w:rsidRPr="002124FC" w:rsidRDefault="00E82A60"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14:paraId="5EFF1D11" w14:textId="77777777" w:rsidR="008C5CFA" w:rsidRPr="002124FC" w:rsidRDefault="00E82A60" w:rsidP="00300A01">
            <w:pPr>
              <w:spacing w:before="0" w:after="0"/>
              <w:rPr>
                <w:sz w:val="20"/>
                <w:szCs w:val="20"/>
                <w:lang w:val="fr-BE"/>
              </w:rPr>
            </w:pPr>
            <w:r w:rsidRPr="002124FC">
              <w:rPr>
                <w:noProof/>
                <w:sz w:val="20"/>
                <w:szCs w:val="20"/>
                <w:lang w:val="fr-BE"/>
              </w:rPr>
              <w:t>9a</w:t>
            </w:r>
            <w:r w:rsidRPr="002124FC">
              <w:rPr>
                <w:sz w:val="20"/>
                <w:szCs w:val="20"/>
                <w:lang w:val="fr-BE"/>
              </w:rPr>
              <w:t xml:space="preserve"> - </w:t>
            </w:r>
            <w:r w:rsidRPr="002124FC">
              <w:rPr>
                <w:noProof/>
                <w:sz w:val="20"/>
                <w:szCs w:val="20"/>
                <w:lang w:val="fr-BE"/>
              </w:rPr>
              <w:t>Inwestycje w infrastrukturę zdrowotną i społeczną, które przyczyniają się do rozwoju krajowego, regionalnego i lokalnego, zmniejszania nierówności w zakresie stanu zdrowia, promowanie włączenia społecznego poprzez lepszy dostęp do usług społecznych, kulturalnych i rekreacyjnych oraz przejścia z usług instytucjonalnych na usługi na poziomie społeczności lokalnych</w:t>
            </w:r>
          </w:p>
        </w:tc>
      </w:tr>
    </w:tbl>
    <w:p w14:paraId="4C660845" w14:textId="77777777" w:rsidR="008C5CFA" w:rsidRDefault="008C5CFA" w:rsidP="00300A01">
      <w:pPr>
        <w:spacing w:before="0" w:after="0"/>
        <w:rPr>
          <w:lang w:val="fr-BE"/>
        </w:rPr>
      </w:pPr>
    </w:p>
    <w:p w14:paraId="0158129E" w14:textId="77777777" w:rsidR="008C5CFA" w:rsidRDefault="00E82A60" w:rsidP="00300A01">
      <w:pPr>
        <w:pStyle w:val="Nagwek2"/>
        <w:spacing w:before="0" w:after="0"/>
        <w:rPr>
          <w:lang w:val="fr-BE"/>
        </w:rPr>
      </w:pPr>
      <w:bookmarkStart w:id="45" w:name="_Toc46391729"/>
      <w:r>
        <w:rPr>
          <w:noProof/>
          <w:lang w:val="fr-BE"/>
        </w:rPr>
        <w:t>Tabela 3A</w:t>
      </w:r>
      <w:r>
        <w:rPr>
          <w:lang w:val="fr-BE"/>
        </w:rPr>
        <w:t xml:space="preserve">: </w:t>
      </w:r>
      <w:r>
        <w:rPr>
          <w:noProof/>
          <w:lang w:val="fr-BE"/>
        </w:rPr>
        <w:t>Wspólne i specyficzne dla danego programu wskaźniki produktu dla EFRR i Funduszu Spójności (wg osi priorytetowej, priorytetu inwestycyjnego, w podziale na kategorię regionu dla celów EFRR)</w:t>
      </w:r>
      <w:r w:rsidR="009C5874">
        <w:rPr>
          <w:lang w:val="fr-BE"/>
        </w:rPr>
        <w:t xml:space="preserve"> - </w:t>
      </w:r>
      <w:r w:rsidR="00F022AC" w:rsidRPr="002124FC">
        <w:rPr>
          <w:noProof/>
          <w:sz w:val="20"/>
          <w:szCs w:val="20"/>
          <w:lang w:val="fr-BE"/>
        </w:rPr>
        <w:t>7</w:t>
      </w:r>
      <w:r w:rsidR="00F022AC">
        <w:rPr>
          <w:sz w:val="20"/>
          <w:szCs w:val="20"/>
          <w:lang w:val="fr-BE"/>
        </w:rPr>
        <w:t xml:space="preserve"> / </w:t>
      </w:r>
      <w:r w:rsidR="00F022AC" w:rsidRPr="002124FC">
        <w:rPr>
          <w:noProof/>
          <w:sz w:val="20"/>
          <w:szCs w:val="20"/>
          <w:lang w:val="fr-BE"/>
        </w:rPr>
        <w:t>9a</w:t>
      </w:r>
      <w:bookmarkEnd w:id="45"/>
    </w:p>
    <w:p w14:paraId="2ACED8D1"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02"/>
        <w:gridCol w:w="497"/>
        <w:gridCol w:w="2606"/>
        <w:gridCol w:w="884"/>
        <w:gridCol w:w="895"/>
        <w:gridCol w:w="1020"/>
        <w:gridCol w:w="1115"/>
        <w:gridCol w:w="1024"/>
        <w:gridCol w:w="864"/>
        <w:gridCol w:w="895"/>
        <w:gridCol w:w="718"/>
        <w:gridCol w:w="4364"/>
      </w:tblGrid>
      <w:tr w:rsidR="006B2EC1" w14:paraId="574FEB3A" w14:textId="77777777" w:rsidTr="0047688D">
        <w:trPr>
          <w:tblHeader/>
        </w:trPr>
        <w:tc>
          <w:tcPr>
            <w:tcW w:w="0" w:type="auto"/>
          </w:tcPr>
          <w:p w14:paraId="5C60A437" w14:textId="77777777" w:rsidR="008C5CFA" w:rsidRPr="009143B4" w:rsidRDefault="00E82A60" w:rsidP="00300A01">
            <w:pPr>
              <w:spacing w:before="0" w:after="0"/>
              <w:rPr>
                <w:b/>
                <w:sz w:val="16"/>
                <w:szCs w:val="16"/>
                <w:lang w:val="fr-BE"/>
              </w:rPr>
            </w:pPr>
            <w:r w:rsidRPr="009143B4">
              <w:rPr>
                <w:b/>
                <w:sz w:val="16"/>
                <w:szCs w:val="16"/>
                <w:lang w:val="fr-BE"/>
              </w:rPr>
              <w:t>(1)</w:t>
            </w:r>
          </w:p>
        </w:tc>
        <w:tc>
          <w:tcPr>
            <w:tcW w:w="0" w:type="auto"/>
            <w:shd w:val="clear" w:color="auto" w:fill="auto"/>
          </w:tcPr>
          <w:p w14:paraId="0288B29B" w14:textId="77777777" w:rsidR="008C5CFA" w:rsidRPr="009143B4" w:rsidRDefault="00E82A60" w:rsidP="00300A01">
            <w:pPr>
              <w:spacing w:before="0" w:after="0"/>
              <w:rPr>
                <w:b/>
                <w:sz w:val="16"/>
                <w:szCs w:val="16"/>
                <w:lang w:val="fr-BE"/>
              </w:rPr>
            </w:pPr>
            <w:r w:rsidRPr="009143B4">
              <w:rPr>
                <w:b/>
                <w:noProof/>
                <w:sz w:val="16"/>
                <w:szCs w:val="16"/>
                <w:lang w:val="fr-BE"/>
              </w:rPr>
              <w:t>ID</w:t>
            </w:r>
          </w:p>
        </w:tc>
        <w:tc>
          <w:tcPr>
            <w:tcW w:w="0" w:type="auto"/>
            <w:shd w:val="clear" w:color="auto" w:fill="auto"/>
          </w:tcPr>
          <w:p w14:paraId="51388D38" w14:textId="77777777" w:rsidR="008C5CFA" w:rsidRPr="009143B4" w:rsidRDefault="00E82A60" w:rsidP="00300A01">
            <w:pPr>
              <w:spacing w:before="0" w:after="0"/>
              <w:rPr>
                <w:b/>
                <w:sz w:val="16"/>
                <w:szCs w:val="16"/>
                <w:lang w:val="fr-BE"/>
              </w:rPr>
            </w:pPr>
            <w:r w:rsidRPr="009143B4">
              <w:rPr>
                <w:b/>
                <w:noProof/>
                <w:sz w:val="16"/>
                <w:szCs w:val="16"/>
                <w:lang w:val="fr-BE"/>
              </w:rPr>
              <w:t>Wskaźnik</w:t>
            </w:r>
          </w:p>
        </w:tc>
        <w:tc>
          <w:tcPr>
            <w:tcW w:w="0" w:type="auto"/>
            <w:shd w:val="clear" w:color="auto" w:fill="auto"/>
          </w:tcPr>
          <w:p w14:paraId="018E7DEF" w14:textId="77777777" w:rsidR="008C5CFA" w:rsidRPr="009143B4" w:rsidRDefault="00E82A60" w:rsidP="00300A01">
            <w:pPr>
              <w:spacing w:before="0" w:after="0"/>
              <w:rPr>
                <w:b/>
                <w:sz w:val="16"/>
                <w:szCs w:val="16"/>
                <w:lang w:val="fr-BE"/>
              </w:rPr>
            </w:pPr>
            <w:r w:rsidRPr="009143B4">
              <w:rPr>
                <w:b/>
                <w:noProof/>
                <w:sz w:val="16"/>
                <w:szCs w:val="16"/>
                <w:lang w:val="fr-BE"/>
              </w:rPr>
              <w:t>Jednostka miary</w:t>
            </w:r>
          </w:p>
        </w:tc>
        <w:tc>
          <w:tcPr>
            <w:tcW w:w="0" w:type="auto"/>
            <w:shd w:val="clear" w:color="auto" w:fill="auto"/>
          </w:tcPr>
          <w:p w14:paraId="5281E31C" w14:textId="77777777" w:rsidR="008C5CFA" w:rsidRPr="009143B4" w:rsidRDefault="00E82A60" w:rsidP="00300A01">
            <w:pPr>
              <w:spacing w:before="0" w:after="0"/>
              <w:rPr>
                <w:b/>
                <w:sz w:val="16"/>
                <w:szCs w:val="16"/>
                <w:lang w:val="fr-BE"/>
              </w:rPr>
            </w:pPr>
            <w:r w:rsidRPr="009143B4">
              <w:rPr>
                <w:b/>
                <w:noProof/>
                <w:sz w:val="16"/>
                <w:szCs w:val="16"/>
                <w:lang w:val="fr-BE"/>
              </w:rPr>
              <w:t>Kategoria regionu</w:t>
            </w:r>
          </w:p>
        </w:tc>
        <w:tc>
          <w:tcPr>
            <w:tcW w:w="0" w:type="auto"/>
            <w:shd w:val="clear" w:color="auto" w:fill="auto"/>
          </w:tcPr>
          <w:p w14:paraId="5BF2863C" w14:textId="77777777" w:rsidR="008C5CFA" w:rsidRPr="009143B4" w:rsidRDefault="00E82A60" w:rsidP="00300A01">
            <w:pPr>
              <w:spacing w:before="0" w:after="0"/>
              <w:jc w:val="center"/>
              <w:rPr>
                <w:b/>
                <w:sz w:val="16"/>
                <w:szCs w:val="16"/>
                <w:lang w:val="fr-BE"/>
              </w:rPr>
            </w:pPr>
            <w:r w:rsidRPr="009143B4">
              <w:rPr>
                <w:b/>
                <w:noProof/>
                <w:sz w:val="16"/>
                <w:szCs w:val="16"/>
                <w:lang w:val="fr-BE"/>
              </w:rPr>
              <w:t>Wartość docelowa (2023) ogółem</w:t>
            </w:r>
          </w:p>
        </w:tc>
        <w:tc>
          <w:tcPr>
            <w:tcW w:w="0" w:type="auto"/>
            <w:shd w:val="clear" w:color="auto" w:fill="auto"/>
          </w:tcPr>
          <w:p w14:paraId="021481AB" w14:textId="77777777" w:rsidR="008C5CFA" w:rsidRPr="009143B4" w:rsidRDefault="00E82A60" w:rsidP="00300A01">
            <w:pPr>
              <w:spacing w:before="0" w:after="0"/>
              <w:jc w:val="center"/>
              <w:rPr>
                <w:b/>
                <w:sz w:val="16"/>
                <w:szCs w:val="16"/>
                <w:lang w:val="fr-BE"/>
              </w:rPr>
            </w:pPr>
            <w:r w:rsidRPr="009143B4">
              <w:rPr>
                <w:b/>
                <w:noProof/>
                <w:sz w:val="16"/>
                <w:szCs w:val="16"/>
                <w:lang w:val="fr-BE"/>
              </w:rPr>
              <w:t>Wartość docelowa (2023) mężczyźni</w:t>
            </w:r>
          </w:p>
        </w:tc>
        <w:tc>
          <w:tcPr>
            <w:tcW w:w="0" w:type="auto"/>
          </w:tcPr>
          <w:p w14:paraId="67BF36BD" w14:textId="77777777" w:rsidR="008C5CFA" w:rsidRPr="009143B4" w:rsidRDefault="00E82A60" w:rsidP="00300A01">
            <w:pPr>
              <w:spacing w:before="0" w:after="0"/>
              <w:jc w:val="center"/>
              <w:rPr>
                <w:b/>
                <w:sz w:val="16"/>
                <w:szCs w:val="16"/>
                <w:lang w:val="fr-BE"/>
              </w:rPr>
            </w:pPr>
            <w:r w:rsidRPr="009143B4">
              <w:rPr>
                <w:b/>
                <w:noProof/>
                <w:sz w:val="16"/>
                <w:szCs w:val="16"/>
                <w:lang w:val="fr-BE"/>
              </w:rPr>
              <w:t>Wartość docelowa (2023) kobiety</w:t>
            </w:r>
          </w:p>
        </w:tc>
        <w:tc>
          <w:tcPr>
            <w:tcW w:w="0" w:type="auto"/>
            <w:shd w:val="clear" w:color="auto" w:fill="auto"/>
          </w:tcPr>
          <w:p w14:paraId="2DA3E4A7" w14:textId="77777777" w:rsidR="008C5CFA" w:rsidRPr="009143B4" w:rsidRDefault="00E82A60" w:rsidP="00300A01">
            <w:pPr>
              <w:spacing w:before="0" w:after="0"/>
              <w:jc w:val="center"/>
              <w:rPr>
                <w:b/>
                <w:sz w:val="16"/>
                <w:szCs w:val="16"/>
                <w:lang w:val="fr-BE"/>
              </w:rPr>
            </w:pPr>
            <w:r>
              <w:rPr>
                <w:b/>
                <w:sz w:val="16"/>
                <w:szCs w:val="16"/>
                <w:lang w:val="fr-BE"/>
              </w:rPr>
              <w:t xml:space="preserve">2019 </w:t>
            </w:r>
            <w:r w:rsidRPr="009143B4">
              <w:rPr>
                <w:b/>
                <w:noProof/>
                <w:sz w:val="16"/>
                <w:szCs w:val="16"/>
                <w:lang w:val="fr-BE"/>
              </w:rPr>
              <w:t>Ogółem</w:t>
            </w:r>
          </w:p>
        </w:tc>
        <w:tc>
          <w:tcPr>
            <w:tcW w:w="0" w:type="auto"/>
            <w:shd w:val="clear" w:color="auto" w:fill="auto"/>
          </w:tcPr>
          <w:p w14:paraId="0387AC0B" w14:textId="77777777" w:rsidR="008C5CFA" w:rsidRPr="009143B4" w:rsidRDefault="00E82A60" w:rsidP="00300A01">
            <w:pPr>
              <w:spacing w:before="0" w:after="0"/>
              <w:jc w:val="center"/>
              <w:rPr>
                <w:b/>
                <w:sz w:val="16"/>
                <w:szCs w:val="16"/>
                <w:lang w:val="fr-BE"/>
              </w:rPr>
            </w:pPr>
            <w:r>
              <w:rPr>
                <w:b/>
                <w:sz w:val="16"/>
                <w:szCs w:val="16"/>
                <w:lang w:val="fr-BE"/>
              </w:rPr>
              <w:t xml:space="preserve">2019 </w:t>
            </w:r>
            <w:r w:rsidRPr="009143B4">
              <w:rPr>
                <w:b/>
                <w:noProof/>
                <w:sz w:val="16"/>
                <w:szCs w:val="16"/>
                <w:lang w:val="fr-BE"/>
              </w:rPr>
              <w:t>Mężczyźni</w:t>
            </w:r>
          </w:p>
        </w:tc>
        <w:tc>
          <w:tcPr>
            <w:tcW w:w="0" w:type="auto"/>
            <w:shd w:val="clear" w:color="auto" w:fill="auto"/>
          </w:tcPr>
          <w:p w14:paraId="06DFDF84" w14:textId="77777777" w:rsidR="008C5CFA" w:rsidRPr="009143B4" w:rsidRDefault="00E82A60" w:rsidP="00300A01">
            <w:pPr>
              <w:spacing w:before="0" w:after="0"/>
              <w:jc w:val="center"/>
              <w:rPr>
                <w:b/>
                <w:sz w:val="16"/>
                <w:szCs w:val="16"/>
                <w:lang w:val="fr-BE"/>
              </w:rPr>
            </w:pPr>
            <w:r>
              <w:rPr>
                <w:b/>
                <w:sz w:val="16"/>
                <w:szCs w:val="16"/>
                <w:lang w:val="fr-BE"/>
              </w:rPr>
              <w:t xml:space="preserve">2019 </w:t>
            </w:r>
            <w:r w:rsidRPr="009143B4">
              <w:rPr>
                <w:b/>
                <w:noProof/>
                <w:sz w:val="16"/>
                <w:szCs w:val="16"/>
                <w:lang w:val="fr-BE"/>
              </w:rPr>
              <w:t>Kobiety</w:t>
            </w:r>
          </w:p>
        </w:tc>
        <w:tc>
          <w:tcPr>
            <w:tcW w:w="0" w:type="auto"/>
            <w:shd w:val="clear" w:color="auto" w:fill="auto"/>
          </w:tcPr>
          <w:p w14:paraId="558E834C" w14:textId="77777777" w:rsidR="008C5CFA" w:rsidRPr="009143B4" w:rsidRDefault="00E82A60" w:rsidP="00300A01">
            <w:pPr>
              <w:spacing w:before="0" w:after="0"/>
              <w:jc w:val="center"/>
              <w:rPr>
                <w:b/>
                <w:sz w:val="16"/>
                <w:szCs w:val="16"/>
                <w:lang w:val="fr-BE"/>
              </w:rPr>
            </w:pPr>
            <w:r w:rsidRPr="009143B4">
              <w:rPr>
                <w:b/>
                <w:noProof/>
                <w:sz w:val="16"/>
                <w:szCs w:val="16"/>
                <w:lang w:val="fr-BE"/>
              </w:rPr>
              <w:t>Uwagi</w:t>
            </w:r>
          </w:p>
        </w:tc>
      </w:tr>
      <w:tr w:rsidR="006B2EC1" w14:paraId="08E86296" w14:textId="77777777" w:rsidTr="0047688D">
        <w:tc>
          <w:tcPr>
            <w:tcW w:w="0" w:type="auto"/>
          </w:tcPr>
          <w:p w14:paraId="2FFFEA23" w14:textId="77777777" w:rsidR="008C5CFA" w:rsidRPr="0024468B" w:rsidRDefault="00E82A60" w:rsidP="00300A01">
            <w:pPr>
              <w:spacing w:before="0" w:after="0"/>
              <w:rPr>
                <w:sz w:val="16"/>
                <w:szCs w:val="16"/>
                <w:lang w:val="fr-BE"/>
              </w:rPr>
            </w:pPr>
            <w:r>
              <w:rPr>
                <w:noProof/>
                <w:sz w:val="16"/>
                <w:szCs w:val="16"/>
                <w:lang w:val="fr-BE"/>
              </w:rPr>
              <w:t>F</w:t>
            </w:r>
          </w:p>
        </w:tc>
        <w:tc>
          <w:tcPr>
            <w:tcW w:w="0" w:type="auto"/>
            <w:shd w:val="clear" w:color="auto" w:fill="auto"/>
          </w:tcPr>
          <w:p w14:paraId="07C600EF" w14:textId="77777777" w:rsidR="008C5CFA" w:rsidRPr="0024468B" w:rsidRDefault="00E82A60" w:rsidP="00300A01">
            <w:pPr>
              <w:spacing w:before="0" w:after="0"/>
              <w:rPr>
                <w:sz w:val="16"/>
                <w:szCs w:val="16"/>
                <w:lang w:val="fr-BE"/>
              </w:rPr>
            </w:pPr>
            <w:r w:rsidRPr="0024468B">
              <w:rPr>
                <w:noProof/>
                <w:sz w:val="16"/>
                <w:szCs w:val="16"/>
                <w:lang w:val="fr-BE"/>
              </w:rPr>
              <w:t>CO35</w:t>
            </w:r>
          </w:p>
        </w:tc>
        <w:tc>
          <w:tcPr>
            <w:tcW w:w="0" w:type="auto"/>
            <w:shd w:val="clear" w:color="auto" w:fill="auto"/>
          </w:tcPr>
          <w:p w14:paraId="521E777D" w14:textId="77777777" w:rsidR="008C5CFA" w:rsidRPr="0024468B" w:rsidRDefault="00E82A60" w:rsidP="00300A01">
            <w:pPr>
              <w:spacing w:before="0" w:after="0"/>
              <w:rPr>
                <w:sz w:val="16"/>
                <w:szCs w:val="16"/>
                <w:lang w:val="fr-BE"/>
              </w:rPr>
            </w:pPr>
            <w:r w:rsidRPr="0024468B">
              <w:rPr>
                <w:noProof/>
                <w:sz w:val="16"/>
                <w:szCs w:val="16"/>
                <w:lang w:val="fr-BE"/>
              </w:rPr>
              <w:t>Opieka nad dziećmi i edukacja: Liczba miejsc w objętej wsparciem infrastrukturze w zakresie opieki nad dziećmi lub infrastrukturze edukacyjnej</w:t>
            </w:r>
          </w:p>
        </w:tc>
        <w:tc>
          <w:tcPr>
            <w:tcW w:w="0" w:type="auto"/>
            <w:shd w:val="clear" w:color="auto" w:fill="auto"/>
          </w:tcPr>
          <w:p w14:paraId="75DAC5C2" w14:textId="77777777" w:rsidR="008C5CFA" w:rsidRPr="0024468B" w:rsidRDefault="00E82A60" w:rsidP="00300A01">
            <w:pPr>
              <w:spacing w:before="0" w:after="0"/>
              <w:rPr>
                <w:sz w:val="16"/>
                <w:szCs w:val="16"/>
                <w:lang w:val="fr-BE"/>
              </w:rPr>
            </w:pPr>
            <w:r>
              <w:rPr>
                <w:noProof/>
                <w:sz w:val="16"/>
                <w:szCs w:val="16"/>
                <w:lang w:val="fr-BE"/>
              </w:rPr>
              <w:t>Osoby</w:t>
            </w:r>
          </w:p>
        </w:tc>
        <w:tc>
          <w:tcPr>
            <w:tcW w:w="0" w:type="auto"/>
            <w:shd w:val="clear" w:color="auto" w:fill="auto"/>
          </w:tcPr>
          <w:p w14:paraId="64E18B07" w14:textId="77777777" w:rsidR="008C5CFA" w:rsidRPr="0024468B" w:rsidRDefault="00E82A60"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14:paraId="3B9F6695" w14:textId="77777777" w:rsidR="008C5CFA" w:rsidRPr="0024468B" w:rsidRDefault="00E82A60" w:rsidP="00300A01">
            <w:pPr>
              <w:spacing w:before="0" w:after="0"/>
              <w:jc w:val="right"/>
              <w:rPr>
                <w:sz w:val="16"/>
                <w:szCs w:val="16"/>
                <w:lang w:val="fr-BE"/>
              </w:rPr>
            </w:pPr>
            <w:r>
              <w:rPr>
                <w:noProof/>
                <w:sz w:val="16"/>
                <w:szCs w:val="16"/>
                <w:lang w:val="fr-BE"/>
              </w:rPr>
              <w:t>121,00</w:t>
            </w:r>
          </w:p>
        </w:tc>
        <w:tc>
          <w:tcPr>
            <w:tcW w:w="0" w:type="auto"/>
            <w:shd w:val="clear" w:color="auto" w:fill="auto"/>
          </w:tcPr>
          <w:p w14:paraId="6D2F3034" w14:textId="77777777" w:rsidR="008C5CFA" w:rsidRPr="0024468B" w:rsidRDefault="008C5CFA" w:rsidP="00300A01">
            <w:pPr>
              <w:spacing w:before="0" w:after="0"/>
              <w:jc w:val="right"/>
              <w:rPr>
                <w:sz w:val="16"/>
                <w:szCs w:val="16"/>
                <w:lang w:val="fr-BE"/>
              </w:rPr>
            </w:pPr>
          </w:p>
        </w:tc>
        <w:tc>
          <w:tcPr>
            <w:tcW w:w="0" w:type="auto"/>
          </w:tcPr>
          <w:p w14:paraId="46591F12" w14:textId="77777777" w:rsidR="008C5CFA" w:rsidRPr="0024468B" w:rsidRDefault="008C5CFA" w:rsidP="00300A01">
            <w:pPr>
              <w:spacing w:before="0" w:after="0"/>
              <w:jc w:val="right"/>
              <w:rPr>
                <w:sz w:val="16"/>
                <w:szCs w:val="16"/>
                <w:lang w:val="fr-BE"/>
              </w:rPr>
            </w:pPr>
          </w:p>
        </w:tc>
        <w:tc>
          <w:tcPr>
            <w:tcW w:w="0" w:type="auto"/>
            <w:shd w:val="clear" w:color="auto" w:fill="auto"/>
          </w:tcPr>
          <w:p w14:paraId="6409C9D5" w14:textId="77777777" w:rsidR="008C5CFA" w:rsidRPr="0024468B" w:rsidRDefault="00E82A60" w:rsidP="00300A01">
            <w:pPr>
              <w:spacing w:before="0" w:after="0"/>
              <w:jc w:val="right"/>
              <w:rPr>
                <w:sz w:val="16"/>
                <w:szCs w:val="16"/>
                <w:lang w:val="fr-BE"/>
              </w:rPr>
            </w:pPr>
            <w:r w:rsidRPr="0024468B">
              <w:rPr>
                <w:noProof/>
                <w:sz w:val="16"/>
                <w:szCs w:val="16"/>
                <w:lang w:val="fr-BE"/>
              </w:rPr>
              <w:t>148,00</w:t>
            </w:r>
          </w:p>
        </w:tc>
        <w:tc>
          <w:tcPr>
            <w:tcW w:w="0" w:type="auto"/>
            <w:shd w:val="clear" w:color="auto" w:fill="auto"/>
          </w:tcPr>
          <w:p w14:paraId="6690D77A"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5DA76120"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7945E17D" w14:textId="77777777" w:rsidR="008C5CFA" w:rsidRPr="0024468B" w:rsidRDefault="008C5CFA" w:rsidP="00300A01">
            <w:pPr>
              <w:spacing w:before="0" w:after="0"/>
              <w:rPr>
                <w:sz w:val="16"/>
                <w:szCs w:val="16"/>
                <w:lang w:val="fr-BE"/>
              </w:rPr>
            </w:pPr>
          </w:p>
        </w:tc>
      </w:tr>
      <w:tr w:rsidR="006B2EC1" w14:paraId="68A996FC" w14:textId="77777777" w:rsidTr="0047688D">
        <w:tc>
          <w:tcPr>
            <w:tcW w:w="0" w:type="auto"/>
          </w:tcPr>
          <w:p w14:paraId="561AD6CD" w14:textId="77777777" w:rsidR="008C5CFA" w:rsidRPr="0024468B" w:rsidRDefault="00E82A60" w:rsidP="00300A01">
            <w:pPr>
              <w:spacing w:before="0" w:after="0"/>
              <w:rPr>
                <w:sz w:val="16"/>
                <w:szCs w:val="16"/>
                <w:lang w:val="fr-BE"/>
              </w:rPr>
            </w:pPr>
            <w:r>
              <w:rPr>
                <w:noProof/>
                <w:sz w:val="16"/>
                <w:szCs w:val="16"/>
                <w:lang w:val="fr-BE"/>
              </w:rPr>
              <w:t>S</w:t>
            </w:r>
          </w:p>
        </w:tc>
        <w:tc>
          <w:tcPr>
            <w:tcW w:w="0" w:type="auto"/>
            <w:shd w:val="clear" w:color="auto" w:fill="auto"/>
          </w:tcPr>
          <w:p w14:paraId="5EAF6D28" w14:textId="77777777" w:rsidR="008C5CFA" w:rsidRPr="0024468B" w:rsidRDefault="00E82A60" w:rsidP="00300A01">
            <w:pPr>
              <w:spacing w:before="0" w:after="0"/>
              <w:rPr>
                <w:sz w:val="16"/>
                <w:szCs w:val="16"/>
                <w:lang w:val="fr-BE"/>
              </w:rPr>
            </w:pPr>
            <w:r w:rsidRPr="0024468B">
              <w:rPr>
                <w:noProof/>
                <w:sz w:val="16"/>
                <w:szCs w:val="16"/>
                <w:lang w:val="fr-BE"/>
              </w:rPr>
              <w:t>CO35</w:t>
            </w:r>
          </w:p>
        </w:tc>
        <w:tc>
          <w:tcPr>
            <w:tcW w:w="0" w:type="auto"/>
            <w:shd w:val="clear" w:color="auto" w:fill="auto"/>
          </w:tcPr>
          <w:p w14:paraId="0AFB8CF3" w14:textId="77777777" w:rsidR="008C5CFA" w:rsidRPr="0024468B" w:rsidRDefault="00E82A60" w:rsidP="00300A01">
            <w:pPr>
              <w:spacing w:before="0" w:after="0"/>
              <w:rPr>
                <w:sz w:val="16"/>
                <w:szCs w:val="16"/>
                <w:lang w:val="fr-BE"/>
              </w:rPr>
            </w:pPr>
            <w:r w:rsidRPr="0024468B">
              <w:rPr>
                <w:noProof/>
                <w:sz w:val="16"/>
                <w:szCs w:val="16"/>
                <w:lang w:val="fr-BE"/>
              </w:rPr>
              <w:t>Opieka nad dziećmi i edukacja: Liczba miejsc w objętej wsparciem infrastrukturze w zakresie opieki nad dziećmi lub infrastrukturze edukacyjnej</w:t>
            </w:r>
          </w:p>
        </w:tc>
        <w:tc>
          <w:tcPr>
            <w:tcW w:w="0" w:type="auto"/>
            <w:shd w:val="clear" w:color="auto" w:fill="auto"/>
          </w:tcPr>
          <w:p w14:paraId="6F5AEB97" w14:textId="77777777" w:rsidR="008C5CFA" w:rsidRPr="0024468B" w:rsidRDefault="00E82A60" w:rsidP="00300A01">
            <w:pPr>
              <w:spacing w:before="0" w:after="0"/>
              <w:rPr>
                <w:sz w:val="16"/>
                <w:szCs w:val="16"/>
                <w:lang w:val="fr-BE"/>
              </w:rPr>
            </w:pPr>
            <w:r>
              <w:rPr>
                <w:noProof/>
                <w:sz w:val="16"/>
                <w:szCs w:val="16"/>
                <w:lang w:val="fr-BE"/>
              </w:rPr>
              <w:t>Osoby</w:t>
            </w:r>
          </w:p>
        </w:tc>
        <w:tc>
          <w:tcPr>
            <w:tcW w:w="0" w:type="auto"/>
            <w:shd w:val="clear" w:color="auto" w:fill="auto"/>
          </w:tcPr>
          <w:p w14:paraId="0E0CEB3B" w14:textId="77777777" w:rsidR="008C5CFA" w:rsidRPr="0024468B" w:rsidRDefault="00E82A60"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14:paraId="20A8F527" w14:textId="77777777" w:rsidR="008C5CFA" w:rsidRPr="0024468B" w:rsidRDefault="00E82A60" w:rsidP="00300A01">
            <w:pPr>
              <w:spacing w:before="0" w:after="0"/>
              <w:jc w:val="right"/>
              <w:rPr>
                <w:sz w:val="16"/>
                <w:szCs w:val="16"/>
                <w:lang w:val="fr-BE"/>
              </w:rPr>
            </w:pPr>
            <w:r>
              <w:rPr>
                <w:noProof/>
                <w:sz w:val="16"/>
                <w:szCs w:val="16"/>
                <w:lang w:val="fr-BE"/>
              </w:rPr>
              <w:t>121,00</w:t>
            </w:r>
          </w:p>
        </w:tc>
        <w:tc>
          <w:tcPr>
            <w:tcW w:w="0" w:type="auto"/>
            <w:shd w:val="clear" w:color="auto" w:fill="auto"/>
          </w:tcPr>
          <w:p w14:paraId="0CD18DEC" w14:textId="77777777" w:rsidR="008C5CFA" w:rsidRPr="0024468B" w:rsidRDefault="008C5CFA" w:rsidP="00300A01">
            <w:pPr>
              <w:spacing w:before="0" w:after="0"/>
              <w:jc w:val="right"/>
              <w:rPr>
                <w:sz w:val="16"/>
                <w:szCs w:val="16"/>
                <w:lang w:val="fr-BE"/>
              </w:rPr>
            </w:pPr>
          </w:p>
        </w:tc>
        <w:tc>
          <w:tcPr>
            <w:tcW w:w="0" w:type="auto"/>
          </w:tcPr>
          <w:p w14:paraId="5E3E456A" w14:textId="77777777" w:rsidR="008C5CFA" w:rsidRPr="0024468B" w:rsidRDefault="008C5CFA" w:rsidP="00300A01">
            <w:pPr>
              <w:spacing w:before="0" w:after="0"/>
              <w:jc w:val="right"/>
              <w:rPr>
                <w:sz w:val="16"/>
                <w:szCs w:val="16"/>
                <w:lang w:val="fr-BE"/>
              </w:rPr>
            </w:pPr>
          </w:p>
        </w:tc>
        <w:tc>
          <w:tcPr>
            <w:tcW w:w="0" w:type="auto"/>
            <w:shd w:val="clear" w:color="auto" w:fill="auto"/>
          </w:tcPr>
          <w:p w14:paraId="15F9D392" w14:textId="77777777" w:rsidR="008C5CFA" w:rsidRPr="0024468B" w:rsidRDefault="00E82A60" w:rsidP="00300A01">
            <w:pPr>
              <w:spacing w:before="0" w:after="0"/>
              <w:jc w:val="right"/>
              <w:rPr>
                <w:sz w:val="16"/>
                <w:szCs w:val="16"/>
                <w:lang w:val="fr-BE"/>
              </w:rPr>
            </w:pPr>
            <w:r w:rsidRPr="0024468B">
              <w:rPr>
                <w:noProof/>
                <w:sz w:val="16"/>
                <w:szCs w:val="16"/>
                <w:lang w:val="fr-BE"/>
              </w:rPr>
              <w:t>148,00</w:t>
            </w:r>
          </w:p>
        </w:tc>
        <w:tc>
          <w:tcPr>
            <w:tcW w:w="0" w:type="auto"/>
            <w:shd w:val="clear" w:color="auto" w:fill="auto"/>
          </w:tcPr>
          <w:p w14:paraId="2C363645"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36CCD1AE"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6A94C72A" w14:textId="77777777" w:rsidR="008C5CFA" w:rsidRPr="0024468B" w:rsidRDefault="008C5CFA" w:rsidP="00300A01">
            <w:pPr>
              <w:spacing w:before="0" w:after="0"/>
              <w:rPr>
                <w:sz w:val="16"/>
                <w:szCs w:val="16"/>
                <w:lang w:val="fr-BE"/>
              </w:rPr>
            </w:pPr>
          </w:p>
        </w:tc>
      </w:tr>
      <w:tr w:rsidR="006B2EC1" w14:paraId="53F61594" w14:textId="77777777" w:rsidTr="0047688D">
        <w:tc>
          <w:tcPr>
            <w:tcW w:w="0" w:type="auto"/>
          </w:tcPr>
          <w:p w14:paraId="4D121DA2" w14:textId="77777777" w:rsidR="008C5CFA" w:rsidRPr="0024468B" w:rsidRDefault="00E82A60" w:rsidP="00300A01">
            <w:pPr>
              <w:spacing w:before="0" w:after="0"/>
              <w:rPr>
                <w:sz w:val="16"/>
                <w:szCs w:val="16"/>
                <w:lang w:val="fr-BE"/>
              </w:rPr>
            </w:pPr>
            <w:r>
              <w:rPr>
                <w:noProof/>
                <w:sz w:val="16"/>
                <w:szCs w:val="16"/>
                <w:lang w:val="fr-BE"/>
              </w:rPr>
              <w:t>F</w:t>
            </w:r>
          </w:p>
        </w:tc>
        <w:tc>
          <w:tcPr>
            <w:tcW w:w="0" w:type="auto"/>
            <w:shd w:val="clear" w:color="auto" w:fill="auto"/>
          </w:tcPr>
          <w:p w14:paraId="4B07B2C2" w14:textId="77777777" w:rsidR="008C5CFA" w:rsidRPr="0024468B" w:rsidRDefault="00E82A60" w:rsidP="00300A01">
            <w:pPr>
              <w:spacing w:before="0" w:after="0"/>
              <w:rPr>
                <w:sz w:val="16"/>
                <w:szCs w:val="16"/>
                <w:lang w:val="fr-BE"/>
              </w:rPr>
            </w:pPr>
            <w:r w:rsidRPr="0024468B">
              <w:rPr>
                <w:noProof/>
                <w:sz w:val="16"/>
                <w:szCs w:val="16"/>
                <w:lang w:val="fr-BE"/>
              </w:rPr>
              <w:t>CO36</w:t>
            </w:r>
          </w:p>
        </w:tc>
        <w:tc>
          <w:tcPr>
            <w:tcW w:w="0" w:type="auto"/>
            <w:shd w:val="clear" w:color="auto" w:fill="auto"/>
          </w:tcPr>
          <w:p w14:paraId="01618D54" w14:textId="77777777" w:rsidR="008C5CFA" w:rsidRPr="0024468B" w:rsidRDefault="00E82A60" w:rsidP="00300A01">
            <w:pPr>
              <w:spacing w:before="0" w:after="0"/>
              <w:rPr>
                <w:sz w:val="16"/>
                <w:szCs w:val="16"/>
                <w:lang w:val="fr-BE"/>
              </w:rPr>
            </w:pPr>
            <w:r w:rsidRPr="0024468B">
              <w:rPr>
                <w:noProof/>
                <w:sz w:val="16"/>
                <w:szCs w:val="16"/>
                <w:lang w:val="fr-BE"/>
              </w:rPr>
              <w:t>Zdrowie: ludność objęta ulepszonymi usługami zdrowotnymi</w:t>
            </w:r>
          </w:p>
        </w:tc>
        <w:tc>
          <w:tcPr>
            <w:tcW w:w="0" w:type="auto"/>
            <w:shd w:val="clear" w:color="auto" w:fill="auto"/>
          </w:tcPr>
          <w:p w14:paraId="1677829F" w14:textId="77777777" w:rsidR="008C5CFA" w:rsidRPr="0024468B" w:rsidRDefault="00E82A60" w:rsidP="00300A01">
            <w:pPr>
              <w:spacing w:before="0" w:after="0"/>
              <w:rPr>
                <w:sz w:val="16"/>
                <w:szCs w:val="16"/>
                <w:lang w:val="fr-BE"/>
              </w:rPr>
            </w:pPr>
            <w:r>
              <w:rPr>
                <w:noProof/>
                <w:sz w:val="16"/>
                <w:szCs w:val="16"/>
                <w:lang w:val="fr-BE"/>
              </w:rPr>
              <w:t>Osoby</w:t>
            </w:r>
          </w:p>
        </w:tc>
        <w:tc>
          <w:tcPr>
            <w:tcW w:w="0" w:type="auto"/>
            <w:shd w:val="clear" w:color="auto" w:fill="auto"/>
          </w:tcPr>
          <w:p w14:paraId="01DABC99" w14:textId="77777777" w:rsidR="008C5CFA" w:rsidRPr="0024468B" w:rsidRDefault="00E82A60"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14:paraId="3F81E65A" w14:textId="77777777" w:rsidR="008C5CFA" w:rsidRPr="0024468B" w:rsidRDefault="00E82A60" w:rsidP="00300A01">
            <w:pPr>
              <w:spacing w:before="0" w:after="0"/>
              <w:jc w:val="right"/>
              <w:rPr>
                <w:sz w:val="16"/>
                <w:szCs w:val="16"/>
                <w:lang w:val="fr-BE"/>
              </w:rPr>
            </w:pPr>
            <w:r>
              <w:rPr>
                <w:noProof/>
                <w:sz w:val="16"/>
                <w:szCs w:val="16"/>
                <w:lang w:val="fr-BE"/>
              </w:rPr>
              <w:t>3 948,00</w:t>
            </w:r>
          </w:p>
        </w:tc>
        <w:tc>
          <w:tcPr>
            <w:tcW w:w="0" w:type="auto"/>
            <w:shd w:val="clear" w:color="auto" w:fill="auto"/>
          </w:tcPr>
          <w:p w14:paraId="756EE5B2" w14:textId="77777777" w:rsidR="008C5CFA" w:rsidRPr="0024468B" w:rsidRDefault="008C5CFA" w:rsidP="00300A01">
            <w:pPr>
              <w:spacing w:before="0" w:after="0"/>
              <w:jc w:val="right"/>
              <w:rPr>
                <w:sz w:val="16"/>
                <w:szCs w:val="16"/>
                <w:lang w:val="fr-BE"/>
              </w:rPr>
            </w:pPr>
          </w:p>
        </w:tc>
        <w:tc>
          <w:tcPr>
            <w:tcW w:w="0" w:type="auto"/>
          </w:tcPr>
          <w:p w14:paraId="3A6ED267" w14:textId="77777777" w:rsidR="008C5CFA" w:rsidRPr="0024468B" w:rsidRDefault="008C5CFA" w:rsidP="00300A01">
            <w:pPr>
              <w:spacing w:before="0" w:after="0"/>
              <w:jc w:val="right"/>
              <w:rPr>
                <w:sz w:val="16"/>
                <w:szCs w:val="16"/>
                <w:lang w:val="fr-BE"/>
              </w:rPr>
            </w:pPr>
          </w:p>
        </w:tc>
        <w:tc>
          <w:tcPr>
            <w:tcW w:w="0" w:type="auto"/>
            <w:shd w:val="clear" w:color="auto" w:fill="auto"/>
          </w:tcPr>
          <w:p w14:paraId="488A9342" w14:textId="77777777" w:rsidR="008C5CFA" w:rsidRPr="0024468B" w:rsidRDefault="00E82A60" w:rsidP="00300A01">
            <w:pPr>
              <w:spacing w:before="0" w:after="0"/>
              <w:jc w:val="right"/>
              <w:rPr>
                <w:sz w:val="16"/>
                <w:szCs w:val="16"/>
                <w:lang w:val="fr-BE"/>
              </w:rPr>
            </w:pPr>
            <w:r w:rsidRPr="0024468B">
              <w:rPr>
                <w:noProof/>
                <w:sz w:val="16"/>
                <w:szCs w:val="16"/>
                <w:lang w:val="fr-BE"/>
              </w:rPr>
              <w:t>134 374,00</w:t>
            </w:r>
          </w:p>
        </w:tc>
        <w:tc>
          <w:tcPr>
            <w:tcW w:w="0" w:type="auto"/>
            <w:shd w:val="clear" w:color="auto" w:fill="auto"/>
          </w:tcPr>
          <w:p w14:paraId="07401CA7"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4197E5B2"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7B53ABE3" w14:textId="77777777" w:rsidR="008C5CFA" w:rsidRPr="0024468B" w:rsidRDefault="008C5CFA" w:rsidP="00300A01">
            <w:pPr>
              <w:spacing w:before="0" w:after="0"/>
              <w:rPr>
                <w:sz w:val="16"/>
                <w:szCs w:val="16"/>
                <w:lang w:val="fr-BE"/>
              </w:rPr>
            </w:pPr>
          </w:p>
        </w:tc>
      </w:tr>
      <w:tr w:rsidR="006B2EC1" w14:paraId="55724EC0" w14:textId="77777777" w:rsidTr="0047688D">
        <w:tc>
          <w:tcPr>
            <w:tcW w:w="0" w:type="auto"/>
          </w:tcPr>
          <w:p w14:paraId="22A6C12F" w14:textId="77777777" w:rsidR="008C5CFA" w:rsidRPr="0024468B" w:rsidRDefault="00E82A60" w:rsidP="00300A01">
            <w:pPr>
              <w:spacing w:before="0" w:after="0"/>
              <w:rPr>
                <w:sz w:val="16"/>
                <w:szCs w:val="16"/>
                <w:lang w:val="fr-BE"/>
              </w:rPr>
            </w:pPr>
            <w:r>
              <w:rPr>
                <w:noProof/>
                <w:sz w:val="16"/>
                <w:szCs w:val="16"/>
                <w:lang w:val="fr-BE"/>
              </w:rPr>
              <w:t>S</w:t>
            </w:r>
          </w:p>
        </w:tc>
        <w:tc>
          <w:tcPr>
            <w:tcW w:w="0" w:type="auto"/>
            <w:shd w:val="clear" w:color="auto" w:fill="auto"/>
          </w:tcPr>
          <w:p w14:paraId="724DE98F" w14:textId="77777777" w:rsidR="008C5CFA" w:rsidRPr="0024468B" w:rsidRDefault="00E82A60" w:rsidP="00300A01">
            <w:pPr>
              <w:spacing w:before="0" w:after="0"/>
              <w:rPr>
                <w:sz w:val="16"/>
                <w:szCs w:val="16"/>
                <w:lang w:val="fr-BE"/>
              </w:rPr>
            </w:pPr>
            <w:r w:rsidRPr="0024468B">
              <w:rPr>
                <w:noProof/>
                <w:sz w:val="16"/>
                <w:szCs w:val="16"/>
                <w:lang w:val="fr-BE"/>
              </w:rPr>
              <w:t>CO36</w:t>
            </w:r>
          </w:p>
        </w:tc>
        <w:tc>
          <w:tcPr>
            <w:tcW w:w="0" w:type="auto"/>
            <w:shd w:val="clear" w:color="auto" w:fill="auto"/>
          </w:tcPr>
          <w:p w14:paraId="320609B6" w14:textId="77777777" w:rsidR="008C5CFA" w:rsidRPr="0024468B" w:rsidRDefault="00E82A60" w:rsidP="00300A01">
            <w:pPr>
              <w:spacing w:before="0" w:after="0"/>
              <w:rPr>
                <w:sz w:val="16"/>
                <w:szCs w:val="16"/>
                <w:lang w:val="fr-BE"/>
              </w:rPr>
            </w:pPr>
            <w:r w:rsidRPr="0024468B">
              <w:rPr>
                <w:noProof/>
                <w:sz w:val="16"/>
                <w:szCs w:val="16"/>
                <w:lang w:val="fr-BE"/>
              </w:rPr>
              <w:t>Zdrowie: ludność objęta ulepszonymi usługami zdrowotnymi</w:t>
            </w:r>
          </w:p>
        </w:tc>
        <w:tc>
          <w:tcPr>
            <w:tcW w:w="0" w:type="auto"/>
            <w:shd w:val="clear" w:color="auto" w:fill="auto"/>
          </w:tcPr>
          <w:p w14:paraId="2CAF6136" w14:textId="77777777" w:rsidR="008C5CFA" w:rsidRPr="0024468B" w:rsidRDefault="00E82A60" w:rsidP="00300A01">
            <w:pPr>
              <w:spacing w:before="0" w:after="0"/>
              <w:rPr>
                <w:sz w:val="16"/>
                <w:szCs w:val="16"/>
                <w:lang w:val="fr-BE"/>
              </w:rPr>
            </w:pPr>
            <w:r>
              <w:rPr>
                <w:noProof/>
                <w:sz w:val="16"/>
                <w:szCs w:val="16"/>
                <w:lang w:val="fr-BE"/>
              </w:rPr>
              <w:t>Osoby</w:t>
            </w:r>
          </w:p>
        </w:tc>
        <w:tc>
          <w:tcPr>
            <w:tcW w:w="0" w:type="auto"/>
            <w:shd w:val="clear" w:color="auto" w:fill="auto"/>
          </w:tcPr>
          <w:p w14:paraId="5F312324" w14:textId="77777777" w:rsidR="008C5CFA" w:rsidRPr="0024468B" w:rsidRDefault="00E82A60"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14:paraId="7B1E03B3" w14:textId="77777777" w:rsidR="008C5CFA" w:rsidRPr="0024468B" w:rsidRDefault="00E82A60" w:rsidP="00300A01">
            <w:pPr>
              <w:spacing w:before="0" w:after="0"/>
              <w:jc w:val="right"/>
              <w:rPr>
                <w:sz w:val="16"/>
                <w:szCs w:val="16"/>
                <w:lang w:val="fr-BE"/>
              </w:rPr>
            </w:pPr>
            <w:r>
              <w:rPr>
                <w:noProof/>
                <w:sz w:val="16"/>
                <w:szCs w:val="16"/>
                <w:lang w:val="fr-BE"/>
              </w:rPr>
              <w:t>3 948,00</w:t>
            </w:r>
          </w:p>
        </w:tc>
        <w:tc>
          <w:tcPr>
            <w:tcW w:w="0" w:type="auto"/>
            <w:shd w:val="clear" w:color="auto" w:fill="auto"/>
          </w:tcPr>
          <w:p w14:paraId="4980F23F" w14:textId="77777777" w:rsidR="008C5CFA" w:rsidRPr="0024468B" w:rsidRDefault="008C5CFA" w:rsidP="00300A01">
            <w:pPr>
              <w:spacing w:before="0" w:after="0"/>
              <w:jc w:val="right"/>
              <w:rPr>
                <w:sz w:val="16"/>
                <w:szCs w:val="16"/>
                <w:lang w:val="fr-BE"/>
              </w:rPr>
            </w:pPr>
          </w:p>
        </w:tc>
        <w:tc>
          <w:tcPr>
            <w:tcW w:w="0" w:type="auto"/>
          </w:tcPr>
          <w:p w14:paraId="72DA3D6A" w14:textId="77777777" w:rsidR="008C5CFA" w:rsidRPr="0024468B" w:rsidRDefault="008C5CFA" w:rsidP="00300A01">
            <w:pPr>
              <w:spacing w:before="0" w:after="0"/>
              <w:jc w:val="right"/>
              <w:rPr>
                <w:sz w:val="16"/>
                <w:szCs w:val="16"/>
                <w:lang w:val="fr-BE"/>
              </w:rPr>
            </w:pPr>
          </w:p>
        </w:tc>
        <w:tc>
          <w:tcPr>
            <w:tcW w:w="0" w:type="auto"/>
            <w:shd w:val="clear" w:color="auto" w:fill="auto"/>
          </w:tcPr>
          <w:p w14:paraId="3973063E" w14:textId="77777777" w:rsidR="008C5CFA" w:rsidRPr="0024468B" w:rsidRDefault="00E82A60" w:rsidP="00300A01">
            <w:pPr>
              <w:spacing w:before="0" w:after="0"/>
              <w:jc w:val="right"/>
              <w:rPr>
                <w:sz w:val="16"/>
                <w:szCs w:val="16"/>
                <w:lang w:val="fr-BE"/>
              </w:rPr>
            </w:pPr>
            <w:r w:rsidRPr="0024468B">
              <w:rPr>
                <w:noProof/>
                <w:sz w:val="16"/>
                <w:szCs w:val="16"/>
                <w:lang w:val="fr-BE"/>
              </w:rPr>
              <w:t>755 062,00</w:t>
            </w:r>
          </w:p>
        </w:tc>
        <w:tc>
          <w:tcPr>
            <w:tcW w:w="0" w:type="auto"/>
            <w:shd w:val="clear" w:color="auto" w:fill="auto"/>
          </w:tcPr>
          <w:p w14:paraId="0CC34062"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3989AA7F"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715E9B22" w14:textId="77777777" w:rsidR="008C5CFA" w:rsidRPr="0024468B" w:rsidRDefault="00E82A60" w:rsidP="00300A01">
            <w:pPr>
              <w:spacing w:before="0" w:after="0"/>
              <w:rPr>
                <w:sz w:val="16"/>
                <w:szCs w:val="16"/>
                <w:lang w:val="fr-BE"/>
              </w:rPr>
            </w:pPr>
            <w:r w:rsidRPr="0024468B">
              <w:rPr>
                <w:noProof/>
                <w:sz w:val="16"/>
                <w:szCs w:val="16"/>
                <w:lang w:val="fr-BE"/>
              </w:rPr>
              <w:t>IZ podjęła decyzję o urealnieniu wartości wskaźnika na podstawie danych z podpisanych umów do wartości 135 000 osób objętych ulepszonymi usługami zdrowotnymi.</w:t>
            </w:r>
          </w:p>
        </w:tc>
      </w:tr>
      <w:tr w:rsidR="006B2EC1" w14:paraId="128DFA02" w14:textId="77777777" w:rsidTr="0047688D">
        <w:tc>
          <w:tcPr>
            <w:tcW w:w="0" w:type="auto"/>
          </w:tcPr>
          <w:p w14:paraId="1D440F11" w14:textId="77777777" w:rsidR="008C5CFA" w:rsidRPr="0024468B" w:rsidRDefault="00E82A60" w:rsidP="00300A01">
            <w:pPr>
              <w:spacing w:before="0" w:after="0"/>
              <w:rPr>
                <w:sz w:val="16"/>
                <w:szCs w:val="16"/>
                <w:lang w:val="fr-BE"/>
              </w:rPr>
            </w:pPr>
            <w:r>
              <w:rPr>
                <w:noProof/>
                <w:sz w:val="16"/>
                <w:szCs w:val="16"/>
                <w:lang w:val="fr-BE"/>
              </w:rPr>
              <w:t>F</w:t>
            </w:r>
          </w:p>
        </w:tc>
        <w:tc>
          <w:tcPr>
            <w:tcW w:w="0" w:type="auto"/>
            <w:shd w:val="clear" w:color="auto" w:fill="auto"/>
          </w:tcPr>
          <w:p w14:paraId="5702C78E" w14:textId="77777777" w:rsidR="008C5CFA" w:rsidRPr="0024468B" w:rsidRDefault="00E82A60" w:rsidP="00300A01">
            <w:pPr>
              <w:spacing w:before="0" w:after="0"/>
              <w:rPr>
                <w:sz w:val="16"/>
                <w:szCs w:val="16"/>
                <w:lang w:val="fr-BE"/>
              </w:rPr>
            </w:pPr>
            <w:r>
              <w:rPr>
                <w:noProof/>
                <w:sz w:val="16"/>
                <w:szCs w:val="16"/>
                <w:lang w:val="fr-BE"/>
              </w:rPr>
              <w:t>045</w:t>
            </w:r>
          </w:p>
        </w:tc>
        <w:tc>
          <w:tcPr>
            <w:tcW w:w="0" w:type="auto"/>
            <w:shd w:val="clear" w:color="auto" w:fill="auto"/>
          </w:tcPr>
          <w:p w14:paraId="20AE7E43" w14:textId="77777777" w:rsidR="008C5CFA" w:rsidRPr="0024468B" w:rsidRDefault="00E82A60" w:rsidP="00300A01">
            <w:pPr>
              <w:spacing w:before="0" w:after="0"/>
              <w:rPr>
                <w:sz w:val="16"/>
                <w:szCs w:val="16"/>
                <w:lang w:val="fr-BE"/>
              </w:rPr>
            </w:pPr>
            <w:r>
              <w:rPr>
                <w:noProof/>
                <w:sz w:val="16"/>
                <w:szCs w:val="16"/>
                <w:lang w:val="fr-BE"/>
              </w:rPr>
              <w:t>Liczba wybudowanych obiektów, w których realizowane są usługi aktywizacji społeczno-zawodowej</w:t>
            </w:r>
          </w:p>
        </w:tc>
        <w:tc>
          <w:tcPr>
            <w:tcW w:w="0" w:type="auto"/>
            <w:shd w:val="clear" w:color="auto" w:fill="auto"/>
          </w:tcPr>
          <w:p w14:paraId="612E847D" w14:textId="77777777" w:rsidR="008C5CFA" w:rsidRPr="0024468B" w:rsidRDefault="00E82A60" w:rsidP="00300A01">
            <w:pPr>
              <w:spacing w:before="0" w:after="0"/>
              <w:rPr>
                <w:sz w:val="16"/>
                <w:szCs w:val="16"/>
                <w:lang w:val="fr-BE"/>
              </w:rPr>
            </w:pPr>
            <w:r w:rsidRPr="0024468B">
              <w:rPr>
                <w:noProof/>
                <w:sz w:val="16"/>
                <w:szCs w:val="16"/>
                <w:lang w:val="fr-BE"/>
              </w:rPr>
              <w:t>szt.</w:t>
            </w:r>
          </w:p>
        </w:tc>
        <w:tc>
          <w:tcPr>
            <w:tcW w:w="0" w:type="auto"/>
            <w:shd w:val="clear" w:color="auto" w:fill="auto"/>
          </w:tcPr>
          <w:p w14:paraId="509D996F" w14:textId="77777777" w:rsidR="008C5CFA" w:rsidRPr="0024468B" w:rsidRDefault="00E82A60"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14:paraId="491411FD" w14:textId="77777777" w:rsidR="008C5CFA" w:rsidRPr="0024468B" w:rsidRDefault="00E82A60" w:rsidP="00300A01">
            <w:pPr>
              <w:spacing w:before="0" w:after="0"/>
              <w:jc w:val="right"/>
              <w:rPr>
                <w:sz w:val="16"/>
                <w:szCs w:val="16"/>
                <w:lang w:val="fr-BE"/>
              </w:rPr>
            </w:pPr>
            <w:r>
              <w:rPr>
                <w:noProof/>
                <w:sz w:val="16"/>
                <w:szCs w:val="16"/>
                <w:lang w:val="fr-BE"/>
              </w:rPr>
              <w:t>2,00</w:t>
            </w:r>
          </w:p>
        </w:tc>
        <w:tc>
          <w:tcPr>
            <w:tcW w:w="0" w:type="auto"/>
            <w:shd w:val="clear" w:color="auto" w:fill="auto"/>
          </w:tcPr>
          <w:p w14:paraId="2202E882" w14:textId="77777777" w:rsidR="008C5CFA" w:rsidRPr="0024468B" w:rsidRDefault="008C5CFA" w:rsidP="00300A01">
            <w:pPr>
              <w:spacing w:before="0" w:after="0"/>
              <w:jc w:val="right"/>
              <w:rPr>
                <w:sz w:val="16"/>
                <w:szCs w:val="16"/>
                <w:lang w:val="fr-BE"/>
              </w:rPr>
            </w:pPr>
          </w:p>
        </w:tc>
        <w:tc>
          <w:tcPr>
            <w:tcW w:w="0" w:type="auto"/>
          </w:tcPr>
          <w:p w14:paraId="649E95A5" w14:textId="77777777" w:rsidR="008C5CFA" w:rsidRPr="0024468B" w:rsidRDefault="008C5CFA" w:rsidP="00300A01">
            <w:pPr>
              <w:spacing w:before="0" w:after="0"/>
              <w:jc w:val="right"/>
              <w:rPr>
                <w:sz w:val="16"/>
                <w:szCs w:val="16"/>
                <w:lang w:val="fr-BE"/>
              </w:rPr>
            </w:pPr>
          </w:p>
        </w:tc>
        <w:tc>
          <w:tcPr>
            <w:tcW w:w="0" w:type="auto"/>
            <w:shd w:val="clear" w:color="auto" w:fill="auto"/>
          </w:tcPr>
          <w:p w14:paraId="32DFD3A7" w14:textId="77777777" w:rsidR="008C5CFA" w:rsidRPr="0024468B" w:rsidRDefault="00E82A60" w:rsidP="00300A01">
            <w:pPr>
              <w:spacing w:before="0" w:after="0"/>
              <w:jc w:val="right"/>
              <w:rPr>
                <w:sz w:val="16"/>
                <w:szCs w:val="16"/>
                <w:lang w:val="fr-BE"/>
              </w:rPr>
            </w:pPr>
            <w:r w:rsidRPr="0024468B">
              <w:rPr>
                <w:noProof/>
                <w:sz w:val="16"/>
                <w:szCs w:val="16"/>
                <w:lang w:val="fr-BE"/>
              </w:rPr>
              <w:t>2,00</w:t>
            </w:r>
          </w:p>
        </w:tc>
        <w:tc>
          <w:tcPr>
            <w:tcW w:w="0" w:type="auto"/>
            <w:shd w:val="clear" w:color="auto" w:fill="auto"/>
          </w:tcPr>
          <w:p w14:paraId="4FC7790C"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327B90DC"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4971170C" w14:textId="77777777" w:rsidR="008C5CFA" w:rsidRPr="0024468B" w:rsidRDefault="008C5CFA" w:rsidP="00300A01">
            <w:pPr>
              <w:spacing w:before="0" w:after="0"/>
              <w:rPr>
                <w:sz w:val="16"/>
                <w:szCs w:val="16"/>
                <w:lang w:val="fr-BE"/>
              </w:rPr>
            </w:pPr>
          </w:p>
        </w:tc>
      </w:tr>
      <w:tr w:rsidR="006B2EC1" w14:paraId="0674D955" w14:textId="77777777" w:rsidTr="0047688D">
        <w:tc>
          <w:tcPr>
            <w:tcW w:w="0" w:type="auto"/>
          </w:tcPr>
          <w:p w14:paraId="6BBCDF9D" w14:textId="77777777" w:rsidR="008C5CFA" w:rsidRPr="0024468B" w:rsidRDefault="00E82A60" w:rsidP="00300A01">
            <w:pPr>
              <w:spacing w:before="0" w:after="0"/>
              <w:rPr>
                <w:sz w:val="16"/>
                <w:szCs w:val="16"/>
                <w:lang w:val="fr-BE"/>
              </w:rPr>
            </w:pPr>
            <w:r>
              <w:rPr>
                <w:noProof/>
                <w:sz w:val="16"/>
                <w:szCs w:val="16"/>
                <w:lang w:val="fr-BE"/>
              </w:rPr>
              <w:t>S</w:t>
            </w:r>
          </w:p>
        </w:tc>
        <w:tc>
          <w:tcPr>
            <w:tcW w:w="0" w:type="auto"/>
            <w:shd w:val="clear" w:color="auto" w:fill="auto"/>
          </w:tcPr>
          <w:p w14:paraId="47DB6F6A" w14:textId="77777777" w:rsidR="008C5CFA" w:rsidRPr="0024468B" w:rsidRDefault="00E82A60" w:rsidP="00300A01">
            <w:pPr>
              <w:spacing w:before="0" w:after="0"/>
              <w:rPr>
                <w:sz w:val="16"/>
                <w:szCs w:val="16"/>
                <w:lang w:val="fr-BE"/>
              </w:rPr>
            </w:pPr>
            <w:r>
              <w:rPr>
                <w:noProof/>
                <w:sz w:val="16"/>
                <w:szCs w:val="16"/>
                <w:lang w:val="fr-BE"/>
              </w:rPr>
              <w:t>045</w:t>
            </w:r>
          </w:p>
        </w:tc>
        <w:tc>
          <w:tcPr>
            <w:tcW w:w="0" w:type="auto"/>
            <w:shd w:val="clear" w:color="auto" w:fill="auto"/>
          </w:tcPr>
          <w:p w14:paraId="484E0635" w14:textId="77777777" w:rsidR="008C5CFA" w:rsidRPr="0024468B" w:rsidRDefault="00E82A60" w:rsidP="00300A01">
            <w:pPr>
              <w:spacing w:before="0" w:after="0"/>
              <w:rPr>
                <w:sz w:val="16"/>
                <w:szCs w:val="16"/>
                <w:lang w:val="fr-BE"/>
              </w:rPr>
            </w:pPr>
            <w:r>
              <w:rPr>
                <w:noProof/>
                <w:sz w:val="16"/>
                <w:szCs w:val="16"/>
                <w:lang w:val="fr-BE"/>
              </w:rPr>
              <w:t>Liczba wybudowanych obiektów, w których realizowane są usługi aktywizacji społeczno-zawodowej</w:t>
            </w:r>
          </w:p>
        </w:tc>
        <w:tc>
          <w:tcPr>
            <w:tcW w:w="0" w:type="auto"/>
            <w:shd w:val="clear" w:color="auto" w:fill="auto"/>
          </w:tcPr>
          <w:p w14:paraId="7450EAC7" w14:textId="77777777" w:rsidR="008C5CFA" w:rsidRPr="0024468B" w:rsidRDefault="00E82A60" w:rsidP="00300A01">
            <w:pPr>
              <w:spacing w:before="0" w:after="0"/>
              <w:rPr>
                <w:sz w:val="16"/>
                <w:szCs w:val="16"/>
                <w:lang w:val="fr-BE"/>
              </w:rPr>
            </w:pPr>
            <w:r w:rsidRPr="0024468B">
              <w:rPr>
                <w:noProof/>
                <w:sz w:val="16"/>
                <w:szCs w:val="16"/>
                <w:lang w:val="fr-BE"/>
              </w:rPr>
              <w:t>szt.</w:t>
            </w:r>
          </w:p>
        </w:tc>
        <w:tc>
          <w:tcPr>
            <w:tcW w:w="0" w:type="auto"/>
            <w:shd w:val="clear" w:color="auto" w:fill="auto"/>
          </w:tcPr>
          <w:p w14:paraId="5F4BD817" w14:textId="77777777" w:rsidR="008C5CFA" w:rsidRPr="0024468B" w:rsidRDefault="00E82A60"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14:paraId="7BADD7AC" w14:textId="77777777" w:rsidR="008C5CFA" w:rsidRPr="0024468B" w:rsidRDefault="00E82A60" w:rsidP="00300A01">
            <w:pPr>
              <w:spacing w:before="0" w:after="0"/>
              <w:jc w:val="right"/>
              <w:rPr>
                <w:sz w:val="16"/>
                <w:szCs w:val="16"/>
                <w:lang w:val="fr-BE"/>
              </w:rPr>
            </w:pPr>
            <w:r>
              <w:rPr>
                <w:noProof/>
                <w:sz w:val="16"/>
                <w:szCs w:val="16"/>
                <w:lang w:val="fr-BE"/>
              </w:rPr>
              <w:t>2,00</w:t>
            </w:r>
          </w:p>
        </w:tc>
        <w:tc>
          <w:tcPr>
            <w:tcW w:w="0" w:type="auto"/>
            <w:shd w:val="clear" w:color="auto" w:fill="auto"/>
          </w:tcPr>
          <w:p w14:paraId="5737E236" w14:textId="77777777" w:rsidR="008C5CFA" w:rsidRPr="0024468B" w:rsidRDefault="008C5CFA" w:rsidP="00300A01">
            <w:pPr>
              <w:spacing w:before="0" w:after="0"/>
              <w:jc w:val="right"/>
              <w:rPr>
                <w:sz w:val="16"/>
                <w:szCs w:val="16"/>
                <w:lang w:val="fr-BE"/>
              </w:rPr>
            </w:pPr>
          </w:p>
        </w:tc>
        <w:tc>
          <w:tcPr>
            <w:tcW w:w="0" w:type="auto"/>
          </w:tcPr>
          <w:p w14:paraId="15EE0DDB" w14:textId="77777777" w:rsidR="008C5CFA" w:rsidRPr="0024468B" w:rsidRDefault="008C5CFA" w:rsidP="00300A01">
            <w:pPr>
              <w:spacing w:before="0" w:after="0"/>
              <w:jc w:val="right"/>
              <w:rPr>
                <w:sz w:val="16"/>
                <w:szCs w:val="16"/>
                <w:lang w:val="fr-BE"/>
              </w:rPr>
            </w:pPr>
          </w:p>
        </w:tc>
        <w:tc>
          <w:tcPr>
            <w:tcW w:w="0" w:type="auto"/>
            <w:shd w:val="clear" w:color="auto" w:fill="auto"/>
          </w:tcPr>
          <w:p w14:paraId="68965509" w14:textId="77777777" w:rsidR="008C5CFA" w:rsidRPr="0024468B" w:rsidRDefault="00E82A60" w:rsidP="00300A01">
            <w:pPr>
              <w:spacing w:before="0" w:after="0"/>
              <w:jc w:val="right"/>
              <w:rPr>
                <w:sz w:val="16"/>
                <w:szCs w:val="16"/>
                <w:lang w:val="fr-BE"/>
              </w:rPr>
            </w:pPr>
            <w:r w:rsidRPr="0024468B">
              <w:rPr>
                <w:noProof/>
                <w:sz w:val="16"/>
                <w:szCs w:val="16"/>
                <w:lang w:val="fr-BE"/>
              </w:rPr>
              <w:t>3,00</w:t>
            </w:r>
          </w:p>
        </w:tc>
        <w:tc>
          <w:tcPr>
            <w:tcW w:w="0" w:type="auto"/>
            <w:shd w:val="clear" w:color="auto" w:fill="auto"/>
          </w:tcPr>
          <w:p w14:paraId="6A49293C"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13BFE360"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4382A806" w14:textId="77777777" w:rsidR="008C5CFA" w:rsidRPr="0024468B" w:rsidRDefault="008C5CFA" w:rsidP="00300A01">
            <w:pPr>
              <w:spacing w:before="0" w:after="0"/>
              <w:rPr>
                <w:sz w:val="16"/>
                <w:szCs w:val="16"/>
                <w:lang w:val="fr-BE"/>
              </w:rPr>
            </w:pPr>
          </w:p>
        </w:tc>
      </w:tr>
      <w:tr w:rsidR="006B2EC1" w14:paraId="1835A7CF" w14:textId="77777777" w:rsidTr="0047688D">
        <w:tc>
          <w:tcPr>
            <w:tcW w:w="0" w:type="auto"/>
          </w:tcPr>
          <w:p w14:paraId="4BC23B9D" w14:textId="77777777" w:rsidR="008C5CFA" w:rsidRPr="0024468B" w:rsidRDefault="00E82A60" w:rsidP="00300A01">
            <w:pPr>
              <w:spacing w:before="0" w:after="0"/>
              <w:rPr>
                <w:sz w:val="16"/>
                <w:szCs w:val="16"/>
                <w:lang w:val="fr-BE"/>
              </w:rPr>
            </w:pPr>
            <w:r>
              <w:rPr>
                <w:noProof/>
                <w:sz w:val="16"/>
                <w:szCs w:val="16"/>
                <w:lang w:val="fr-BE"/>
              </w:rPr>
              <w:t>F</w:t>
            </w:r>
          </w:p>
        </w:tc>
        <w:tc>
          <w:tcPr>
            <w:tcW w:w="0" w:type="auto"/>
            <w:shd w:val="clear" w:color="auto" w:fill="auto"/>
          </w:tcPr>
          <w:p w14:paraId="7575D68A" w14:textId="77777777" w:rsidR="008C5CFA" w:rsidRPr="0024468B" w:rsidRDefault="00E82A60" w:rsidP="00300A01">
            <w:pPr>
              <w:spacing w:before="0" w:after="0"/>
              <w:rPr>
                <w:sz w:val="16"/>
                <w:szCs w:val="16"/>
                <w:lang w:val="fr-BE"/>
              </w:rPr>
            </w:pPr>
            <w:r>
              <w:rPr>
                <w:noProof/>
                <w:sz w:val="16"/>
                <w:szCs w:val="16"/>
                <w:lang w:val="fr-BE"/>
              </w:rPr>
              <w:t>046</w:t>
            </w:r>
          </w:p>
        </w:tc>
        <w:tc>
          <w:tcPr>
            <w:tcW w:w="0" w:type="auto"/>
            <w:shd w:val="clear" w:color="auto" w:fill="auto"/>
          </w:tcPr>
          <w:p w14:paraId="44B46A89" w14:textId="77777777" w:rsidR="008C5CFA" w:rsidRPr="0024468B" w:rsidRDefault="00E82A60" w:rsidP="00300A01">
            <w:pPr>
              <w:spacing w:before="0" w:after="0"/>
              <w:rPr>
                <w:sz w:val="16"/>
                <w:szCs w:val="16"/>
                <w:lang w:val="fr-BE"/>
              </w:rPr>
            </w:pPr>
            <w:r>
              <w:rPr>
                <w:noProof/>
                <w:sz w:val="16"/>
                <w:szCs w:val="16"/>
                <w:lang w:val="fr-BE"/>
              </w:rPr>
              <w:t>Liczba przebudowanych obiektów, w których realizowane są usługi aktywizacji społeczno-zawodowej</w:t>
            </w:r>
          </w:p>
        </w:tc>
        <w:tc>
          <w:tcPr>
            <w:tcW w:w="0" w:type="auto"/>
            <w:shd w:val="clear" w:color="auto" w:fill="auto"/>
          </w:tcPr>
          <w:p w14:paraId="5867F417" w14:textId="77777777" w:rsidR="008C5CFA" w:rsidRPr="0024468B" w:rsidRDefault="00E82A60" w:rsidP="00300A01">
            <w:pPr>
              <w:spacing w:before="0" w:after="0"/>
              <w:rPr>
                <w:sz w:val="16"/>
                <w:szCs w:val="16"/>
                <w:lang w:val="fr-BE"/>
              </w:rPr>
            </w:pPr>
            <w:r w:rsidRPr="0024468B">
              <w:rPr>
                <w:noProof/>
                <w:sz w:val="16"/>
                <w:szCs w:val="16"/>
                <w:lang w:val="fr-BE"/>
              </w:rPr>
              <w:t>szt.</w:t>
            </w:r>
          </w:p>
        </w:tc>
        <w:tc>
          <w:tcPr>
            <w:tcW w:w="0" w:type="auto"/>
            <w:shd w:val="clear" w:color="auto" w:fill="auto"/>
          </w:tcPr>
          <w:p w14:paraId="270C0CE5" w14:textId="77777777" w:rsidR="008C5CFA" w:rsidRPr="0024468B" w:rsidRDefault="00E82A60"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14:paraId="14576E4F" w14:textId="77777777" w:rsidR="008C5CFA" w:rsidRPr="0024468B" w:rsidRDefault="00E82A60" w:rsidP="00300A01">
            <w:pPr>
              <w:spacing w:before="0" w:after="0"/>
              <w:jc w:val="right"/>
              <w:rPr>
                <w:sz w:val="16"/>
                <w:szCs w:val="16"/>
                <w:lang w:val="fr-BE"/>
              </w:rPr>
            </w:pPr>
            <w:r>
              <w:rPr>
                <w:noProof/>
                <w:sz w:val="16"/>
                <w:szCs w:val="16"/>
                <w:lang w:val="fr-BE"/>
              </w:rPr>
              <w:t>11,00</w:t>
            </w:r>
          </w:p>
        </w:tc>
        <w:tc>
          <w:tcPr>
            <w:tcW w:w="0" w:type="auto"/>
            <w:shd w:val="clear" w:color="auto" w:fill="auto"/>
          </w:tcPr>
          <w:p w14:paraId="792F7A41" w14:textId="77777777" w:rsidR="008C5CFA" w:rsidRPr="0024468B" w:rsidRDefault="008C5CFA" w:rsidP="00300A01">
            <w:pPr>
              <w:spacing w:before="0" w:after="0"/>
              <w:jc w:val="right"/>
              <w:rPr>
                <w:sz w:val="16"/>
                <w:szCs w:val="16"/>
                <w:lang w:val="fr-BE"/>
              </w:rPr>
            </w:pPr>
          </w:p>
        </w:tc>
        <w:tc>
          <w:tcPr>
            <w:tcW w:w="0" w:type="auto"/>
          </w:tcPr>
          <w:p w14:paraId="2D71FA3D" w14:textId="77777777" w:rsidR="008C5CFA" w:rsidRPr="0024468B" w:rsidRDefault="008C5CFA" w:rsidP="00300A01">
            <w:pPr>
              <w:spacing w:before="0" w:after="0"/>
              <w:jc w:val="right"/>
              <w:rPr>
                <w:sz w:val="16"/>
                <w:szCs w:val="16"/>
                <w:lang w:val="fr-BE"/>
              </w:rPr>
            </w:pPr>
          </w:p>
        </w:tc>
        <w:tc>
          <w:tcPr>
            <w:tcW w:w="0" w:type="auto"/>
            <w:shd w:val="clear" w:color="auto" w:fill="auto"/>
          </w:tcPr>
          <w:p w14:paraId="0899BBEC" w14:textId="77777777" w:rsidR="008C5CFA" w:rsidRPr="0024468B" w:rsidRDefault="00E82A60" w:rsidP="00300A01">
            <w:pPr>
              <w:spacing w:before="0" w:after="0"/>
              <w:jc w:val="right"/>
              <w:rPr>
                <w:sz w:val="16"/>
                <w:szCs w:val="16"/>
                <w:lang w:val="fr-BE"/>
              </w:rPr>
            </w:pPr>
            <w:r w:rsidRPr="0024468B">
              <w:rPr>
                <w:noProof/>
                <w:sz w:val="16"/>
                <w:szCs w:val="16"/>
                <w:lang w:val="fr-BE"/>
              </w:rPr>
              <w:t>15,00</w:t>
            </w:r>
          </w:p>
        </w:tc>
        <w:tc>
          <w:tcPr>
            <w:tcW w:w="0" w:type="auto"/>
            <w:shd w:val="clear" w:color="auto" w:fill="auto"/>
          </w:tcPr>
          <w:p w14:paraId="0CCB0456"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6372022D"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27CA5543" w14:textId="77777777" w:rsidR="008C5CFA" w:rsidRPr="0024468B" w:rsidRDefault="00E82A60" w:rsidP="00300A01">
            <w:pPr>
              <w:spacing w:before="0" w:after="0"/>
              <w:rPr>
                <w:sz w:val="16"/>
                <w:szCs w:val="16"/>
                <w:lang w:val="fr-BE"/>
              </w:rPr>
            </w:pPr>
            <w:r w:rsidRPr="0024468B">
              <w:rPr>
                <w:noProof/>
                <w:sz w:val="16"/>
                <w:szCs w:val="16"/>
                <w:lang w:val="fr-BE"/>
              </w:rPr>
              <w:t>Projekty są we wczesnej fazie realizacji. Zakładane wartości docelowe zostaną osiągnięte w kolejnym okresie sprawozdawczym.</w:t>
            </w:r>
          </w:p>
        </w:tc>
      </w:tr>
      <w:tr w:rsidR="006B2EC1" w14:paraId="5CF653D6" w14:textId="77777777" w:rsidTr="0047688D">
        <w:tc>
          <w:tcPr>
            <w:tcW w:w="0" w:type="auto"/>
          </w:tcPr>
          <w:p w14:paraId="5D737A14" w14:textId="77777777" w:rsidR="008C5CFA" w:rsidRPr="0024468B" w:rsidRDefault="00E82A60" w:rsidP="00300A01">
            <w:pPr>
              <w:spacing w:before="0" w:after="0"/>
              <w:rPr>
                <w:sz w:val="16"/>
                <w:szCs w:val="16"/>
                <w:lang w:val="fr-BE"/>
              </w:rPr>
            </w:pPr>
            <w:r>
              <w:rPr>
                <w:noProof/>
                <w:sz w:val="16"/>
                <w:szCs w:val="16"/>
                <w:lang w:val="fr-BE"/>
              </w:rPr>
              <w:t>S</w:t>
            </w:r>
          </w:p>
        </w:tc>
        <w:tc>
          <w:tcPr>
            <w:tcW w:w="0" w:type="auto"/>
            <w:shd w:val="clear" w:color="auto" w:fill="auto"/>
          </w:tcPr>
          <w:p w14:paraId="321F2EDA" w14:textId="77777777" w:rsidR="008C5CFA" w:rsidRPr="0024468B" w:rsidRDefault="00E82A60" w:rsidP="00300A01">
            <w:pPr>
              <w:spacing w:before="0" w:after="0"/>
              <w:rPr>
                <w:sz w:val="16"/>
                <w:szCs w:val="16"/>
                <w:lang w:val="fr-BE"/>
              </w:rPr>
            </w:pPr>
            <w:r>
              <w:rPr>
                <w:noProof/>
                <w:sz w:val="16"/>
                <w:szCs w:val="16"/>
                <w:lang w:val="fr-BE"/>
              </w:rPr>
              <w:t>046</w:t>
            </w:r>
          </w:p>
        </w:tc>
        <w:tc>
          <w:tcPr>
            <w:tcW w:w="0" w:type="auto"/>
            <w:shd w:val="clear" w:color="auto" w:fill="auto"/>
          </w:tcPr>
          <w:p w14:paraId="71553603" w14:textId="77777777" w:rsidR="008C5CFA" w:rsidRPr="0024468B" w:rsidRDefault="00E82A60" w:rsidP="00300A01">
            <w:pPr>
              <w:spacing w:before="0" w:after="0"/>
              <w:rPr>
                <w:sz w:val="16"/>
                <w:szCs w:val="16"/>
                <w:lang w:val="fr-BE"/>
              </w:rPr>
            </w:pPr>
            <w:r>
              <w:rPr>
                <w:noProof/>
                <w:sz w:val="16"/>
                <w:szCs w:val="16"/>
                <w:lang w:val="fr-BE"/>
              </w:rPr>
              <w:t>Liczba przebudowanych obiektów, w których realizowane są usługi aktywizacji społeczno-zawodowej</w:t>
            </w:r>
          </w:p>
        </w:tc>
        <w:tc>
          <w:tcPr>
            <w:tcW w:w="0" w:type="auto"/>
            <w:shd w:val="clear" w:color="auto" w:fill="auto"/>
          </w:tcPr>
          <w:p w14:paraId="6D06029B" w14:textId="77777777" w:rsidR="008C5CFA" w:rsidRPr="0024468B" w:rsidRDefault="00E82A60" w:rsidP="00300A01">
            <w:pPr>
              <w:spacing w:before="0" w:after="0"/>
              <w:rPr>
                <w:sz w:val="16"/>
                <w:szCs w:val="16"/>
                <w:lang w:val="fr-BE"/>
              </w:rPr>
            </w:pPr>
            <w:r w:rsidRPr="0024468B">
              <w:rPr>
                <w:noProof/>
                <w:sz w:val="16"/>
                <w:szCs w:val="16"/>
                <w:lang w:val="fr-BE"/>
              </w:rPr>
              <w:t>szt.</w:t>
            </w:r>
          </w:p>
        </w:tc>
        <w:tc>
          <w:tcPr>
            <w:tcW w:w="0" w:type="auto"/>
            <w:shd w:val="clear" w:color="auto" w:fill="auto"/>
          </w:tcPr>
          <w:p w14:paraId="1A9ED558" w14:textId="77777777" w:rsidR="008C5CFA" w:rsidRPr="0024468B" w:rsidRDefault="00E82A60"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14:paraId="5A6B4D23" w14:textId="77777777" w:rsidR="008C5CFA" w:rsidRPr="0024468B" w:rsidRDefault="00E82A60" w:rsidP="00300A01">
            <w:pPr>
              <w:spacing w:before="0" w:after="0"/>
              <w:jc w:val="right"/>
              <w:rPr>
                <w:sz w:val="16"/>
                <w:szCs w:val="16"/>
                <w:lang w:val="fr-BE"/>
              </w:rPr>
            </w:pPr>
            <w:r>
              <w:rPr>
                <w:noProof/>
                <w:sz w:val="16"/>
                <w:szCs w:val="16"/>
                <w:lang w:val="fr-BE"/>
              </w:rPr>
              <w:t>11,00</w:t>
            </w:r>
          </w:p>
        </w:tc>
        <w:tc>
          <w:tcPr>
            <w:tcW w:w="0" w:type="auto"/>
            <w:shd w:val="clear" w:color="auto" w:fill="auto"/>
          </w:tcPr>
          <w:p w14:paraId="617B0C15" w14:textId="77777777" w:rsidR="008C5CFA" w:rsidRPr="0024468B" w:rsidRDefault="008C5CFA" w:rsidP="00300A01">
            <w:pPr>
              <w:spacing w:before="0" w:after="0"/>
              <w:jc w:val="right"/>
              <w:rPr>
                <w:sz w:val="16"/>
                <w:szCs w:val="16"/>
                <w:lang w:val="fr-BE"/>
              </w:rPr>
            </w:pPr>
          </w:p>
        </w:tc>
        <w:tc>
          <w:tcPr>
            <w:tcW w:w="0" w:type="auto"/>
          </w:tcPr>
          <w:p w14:paraId="488B6FB3" w14:textId="77777777" w:rsidR="008C5CFA" w:rsidRPr="0024468B" w:rsidRDefault="008C5CFA" w:rsidP="00300A01">
            <w:pPr>
              <w:spacing w:before="0" w:after="0"/>
              <w:jc w:val="right"/>
              <w:rPr>
                <w:sz w:val="16"/>
                <w:szCs w:val="16"/>
                <w:lang w:val="fr-BE"/>
              </w:rPr>
            </w:pPr>
          </w:p>
        </w:tc>
        <w:tc>
          <w:tcPr>
            <w:tcW w:w="0" w:type="auto"/>
            <w:shd w:val="clear" w:color="auto" w:fill="auto"/>
          </w:tcPr>
          <w:p w14:paraId="2848F959" w14:textId="77777777" w:rsidR="008C5CFA" w:rsidRPr="0024468B" w:rsidRDefault="00E82A60" w:rsidP="00300A01">
            <w:pPr>
              <w:spacing w:before="0" w:after="0"/>
              <w:jc w:val="right"/>
              <w:rPr>
                <w:sz w:val="16"/>
                <w:szCs w:val="16"/>
                <w:lang w:val="fr-BE"/>
              </w:rPr>
            </w:pPr>
            <w:r w:rsidRPr="0024468B">
              <w:rPr>
                <w:noProof/>
                <w:sz w:val="16"/>
                <w:szCs w:val="16"/>
                <w:lang w:val="fr-BE"/>
              </w:rPr>
              <w:t>21,00</w:t>
            </w:r>
          </w:p>
        </w:tc>
        <w:tc>
          <w:tcPr>
            <w:tcW w:w="0" w:type="auto"/>
            <w:shd w:val="clear" w:color="auto" w:fill="auto"/>
          </w:tcPr>
          <w:p w14:paraId="1292A493"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1EC05BB1"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548A694B" w14:textId="77777777" w:rsidR="008C5CFA" w:rsidRPr="0024468B" w:rsidRDefault="00E82A60" w:rsidP="00300A01">
            <w:pPr>
              <w:spacing w:before="0" w:after="0"/>
              <w:rPr>
                <w:sz w:val="16"/>
                <w:szCs w:val="16"/>
                <w:lang w:val="fr-BE"/>
              </w:rPr>
            </w:pPr>
            <w:r w:rsidRPr="0024468B">
              <w:rPr>
                <w:noProof/>
                <w:sz w:val="16"/>
                <w:szCs w:val="16"/>
                <w:lang w:val="fr-BE"/>
              </w:rPr>
              <w:t>Na etapie szacowania wskaźnika do  założono małe zainteresowanie beneficjentów wsparciem, ze względu na fakt, że część z nich otrzymała już wsparcie w poprzedniej perspektywie. Przekroczenie szacowanej wartości wskaźnika wynika przede wszystkim z dużego zainteresowania beneficjentów.</w:t>
            </w:r>
          </w:p>
        </w:tc>
      </w:tr>
      <w:tr w:rsidR="006B2EC1" w14:paraId="282F4339" w14:textId="77777777" w:rsidTr="0047688D">
        <w:tc>
          <w:tcPr>
            <w:tcW w:w="0" w:type="auto"/>
          </w:tcPr>
          <w:p w14:paraId="70FB20AA" w14:textId="77777777" w:rsidR="008C5CFA" w:rsidRPr="0024468B" w:rsidRDefault="00E82A60" w:rsidP="00300A01">
            <w:pPr>
              <w:spacing w:before="0" w:after="0"/>
              <w:rPr>
                <w:sz w:val="16"/>
                <w:szCs w:val="16"/>
                <w:lang w:val="fr-BE"/>
              </w:rPr>
            </w:pPr>
            <w:r>
              <w:rPr>
                <w:noProof/>
                <w:sz w:val="16"/>
                <w:szCs w:val="16"/>
                <w:lang w:val="fr-BE"/>
              </w:rPr>
              <w:t>F</w:t>
            </w:r>
          </w:p>
        </w:tc>
        <w:tc>
          <w:tcPr>
            <w:tcW w:w="0" w:type="auto"/>
            <w:shd w:val="clear" w:color="auto" w:fill="auto"/>
          </w:tcPr>
          <w:p w14:paraId="6D21177C" w14:textId="77777777" w:rsidR="008C5CFA" w:rsidRPr="0024468B" w:rsidRDefault="00E82A60" w:rsidP="00300A01">
            <w:pPr>
              <w:spacing w:before="0" w:after="0"/>
              <w:rPr>
                <w:sz w:val="16"/>
                <w:szCs w:val="16"/>
                <w:lang w:val="fr-BE"/>
              </w:rPr>
            </w:pPr>
            <w:r>
              <w:rPr>
                <w:noProof/>
                <w:sz w:val="16"/>
                <w:szCs w:val="16"/>
                <w:lang w:val="fr-BE"/>
              </w:rPr>
              <w:t>88</w:t>
            </w:r>
          </w:p>
        </w:tc>
        <w:tc>
          <w:tcPr>
            <w:tcW w:w="0" w:type="auto"/>
            <w:shd w:val="clear" w:color="auto" w:fill="auto"/>
          </w:tcPr>
          <w:p w14:paraId="298EE875" w14:textId="77777777" w:rsidR="008C5CFA" w:rsidRPr="0024468B" w:rsidRDefault="00E82A60" w:rsidP="00300A01">
            <w:pPr>
              <w:spacing w:before="0" w:after="0"/>
              <w:rPr>
                <w:sz w:val="16"/>
                <w:szCs w:val="16"/>
                <w:lang w:val="fr-BE"/>
              </w:rPr>
            </w:pPr>
            <w:r>
              <w:rPr>
                <w:noProof/>
                <w:sz w:val="16"/>
                <w:szCs w:val="16"/>
                <w:lang w:val="fr-BE"/>
              </w:rPr>
              <w:t>Liczba wspartych podmiotów leczniczych</w:t>
            </w:r>
          </w:p>
        </w:tc>
        <w:tc>
          <w:tcPr>
            <w:tcW w:w="0" w:type="auto"/>
            <w:shd w:val="clear" w:color="auto" w:fill="auto"/>
          </w:tcPr>
          <w:p w14:paraId="6A78A672" w14:textId="77777777" w:rsidR="008C5CFA" w:rsidRPr="0024468B" w:rsidRDefault="00E82A60" w:rsidP="00300A01">
            <w:pPr>
              <w:spacing w:before="0" w:after="0"/>
              <w:rPr>
                <w:sz w:val="16"/>
                <w:szCs w:val="16"/>
                <w:lang w:val="fr-BE"/>
              </w:rPr>
            </w:pPr>
            <w:r w:rsidRPr="0024468B">
              <w:rPr>
                <w:noProof/>
                <w:sz w:val="16"/>
                <w:szCs w:val="16"/>
                <w:lang w:val="fr-BE"/>
              </w:rPr>
              <w:t>szt.</w:t>
            </w:r>
          </w:p>
        </w:tc>
        <w:tc>
          <w:tcPr>
            <w:tcW w:w="0" w:type="auto"/>
            <w:shd w:val="clear" w:color="auto" w:fill="auto"/>
          </w:tcPr>
          <w:p w14:paraId="31964A5E" w14:textId="77777777" w:rsidR="008C5CFA" w:rsidRPr="0024468B" w:rsidRDefault="00E82A60"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14:paraId="6DAFC1A7" w14:textId="77777777" w:rsidR="008C5CFA" w:rsidRPr="0024468B" w:rsidRDefault="00E82A60" w:rsidP="00300A01">
            <w:pPr>
              <w:spacing w:before="0" w:after="0"/>
              <w:jc w:val="right"/>
              <w:rPr>
                <w:sz w:val="16"/>
                <w:szCs w:val="16"/>
                <w:lang w:val="fr-BE"/>
              </w:rPr>
            </w:pPr>
            <w:r>
              <w:rPr>
                <w:noProof/>
                <w:sz w:val="16"/>
                <w:szCs w:val="16"/>
                <w:lang w:val="fr-BE"/>
              </w:rPr>
              <w:t>21,00</w:t>
            </w:r>
          </w:p>
        </w:tc>
        <w:tc>
          <w:tcPr>
            <w:tcW w:w="0" w:type="auto"/>
            <w:shd w:val="clear" w:color="auto" w:fill="auto"/>
          </w:tcPr>
          <w:p w14:paraId="0AA504C7" w14:textId="77777777" w:rsidR="008C5CFA" w:rsidRPr="0024468B" w:rsidRDefault="008C5CFA" w:rsidP="00300A01">
            <w:pPr>
              <w:spacing w:before="0" w:after="0"/>
              <w:jc w:val="right"/>
              <w:rPr>
                <w:sz w:val="16"/>
                <w:szCs w:val="16"/>
                <w:lang w:val="fr-BE"/>
              </w:rPr>
            </w:pPr>
          </w:p>
        </w:tc>
        <w:tc>
          <w:tcPr>
            <w:tcW w:w="0" w:type="auto"/>
          </w:tcPr>
          <w:p w14:paraId="77B5095A" w14:textId="77777777" w:rsidR="008C5CFA" w:rsidRPr="0024468B" w:rsidRDefault="008C5CFA" w:rsidP="00300A01">
            <w:pPr>
              <w:spacing w:before="0" w:after="0"/>
              <w:jc w:val="right"/>
              <w:rPr>
                <w:sz w:val="16"/>
                <w:szCs w:val="16"/>
                <w:lang w:val="fr-BE"/>
              </w:rPr>
            </w:pPr>
          </w:p>
        </w:tc>
        <w:tc>
          <w:tcPr>
            <w:tcW w:w="0" w:type="auto"/>
            <w:shd w:val="clear" w:color="auto" w:fill="auto"/>
          </w:tcPr>
          <w:p w14:paraId="7734B156" w14:textId="77777777" w:rsidR="008C5CFA" w:rsidRPr="0024468B" w:rsidRDefault="00E82A60" w:rsidP="00300A01">
            <w:pPr>
              <w:spacing w:before="0" w:after="0"/>
              <w:jc w:val="right"/>
              <w:rPr>
                <w:sz w:val="16"/>
                <w:szCs w:val="16"/>
                <w:lang w:val="fr-BE"/>
              </w:rPr>
            </w:pPr>
            <w:r w:rsidRPr="0024468B">
              <w:rPr>
                <w:noProof/>
                <w:sz w:val="16"/>
                <w:szCs w:val="16"/>
                <w:lang w:val="fr-BE"/>
              </w:rPr>
              <w:t>19,00</w:t>
            </w:r>
          </w:p>
        </w:tc>
        <w:tc>
          <w:tcPr>
            <w:tcW w:w="0" w:type="auto"/>
            <w:shd w:val="clear" w:color="auto" w:fill="auto"/>
          </w:tcPr>
          <w:p w14:paraId="3B8422F5"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573DEE70"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7DF12BEE" w14:textId="77777777" w:rsidR="008C5CFA" w:rsidRPr="0024468B" w:rsidRDefault="008C5CFA" w:rsidP="00300A01">
            <w:pPr>
              <w:spacing w:before="0" w:after="0"/>
              <w:rPr>
                <w:sz w:val="16"/>
                <w:szCs w:val="16"/>
                <w:lang w:val="fr-BE"/>
              </w:rPr>
            </w:pPr>
          </w:p>
        </w:tc>
      </w:tr>
      <w:tr w:rsidR="006B2EC1" w14:paraId="615A493A" w14:textId="77777777" w:rsidTr="0047688D">
        <w:tc>
          <w:tcPr>
            <w:tcW w:w="0" w:type="auto"/>
          </w:tcPr>
          <w:p w14:paraId="38329BA1" w14:textId="77777777" w:rsidR="008C5CFA" w:rsidRPr="0024468B" w:rsidRDefault="00E82A60" w:rsidP="00300A01">
            <w:pPr>
              <w:spacing w:before="0" w:after="0"/>
              <w:rPr>
                <w:sz w:val="16"/>
                <w:szCs w:val="16"/>
                <w:lang w:val="fr-BE"/>
              </w:rPr>
            </w:pPr>
            <w:r>
              <w:rPr>
                <w:noProof/>
                <w:sz w:val="16"/>
                <w:szCs w:val="16"/>
                <w:lang w:val="fr-BE"/>
              </w:rPr>
              <w:t>S</w:t>
            </w:r>
          </w:p>
        </w:tc>
        <w:tc>
          <w:tcPr>
            <w:tcW w:w="0" w:type="auto"/>
            <w:shd w:val="clear" w:color="auto" w:fill="auto"/>
          </w:tcPr>
          <w:p w14:paraId="088932A1" w14:textId="77777777" w:rsidR="008C5CFA" w:rsidRPr="0024468B" w:rsidRDefault="00E82A60" w:rsidP="00300A01">
            <w:pPr>
              <w:spacing w:before="0" w:after="0"/>
              <w:rPr>
                <w:sz w:val="16"/>
                <w:szCs w:val="16"/>
                <w:lang w:val="fr-BE"/>
              </w:rPr>
            </w:pPr>
            <w:r>
              <w:rPr>
                <w:noProof/>
                <w:sz w:val="16"/>
                <w:szCs w:val="16"/>
                <w:lang w:val="fr-BE"/>
              </w:rPr>
              <w:t>88</w:t>
            </w:r>
          </w:p>
        </w:tc>
        <w:tc>
          <w:tcPr>
            <w:tcW w:w="0" w:type="auto"/>
            <w:shd w:val="clear" w:color="auto" w:fill="auto"/>
          </w:tcPr>
          <w:p w14:paraId="1267F460" w14:textId="77777777" w:rsidR="008C5CFA" w:rsidRPr="0024468B" w:rsidRDefault="00E82A60" w:rsidP="00300A01">
            <w:pPr>
              <w:spacing w:before="0" w:after="0"/>
              <w:rPr>
                <w:sz w:val="16"/>
                <w:szCs w:val="16"/>
                <w:lang w:val="fr-BE"/>
              </w:rPr>
            </w:pPr>
            <w:r>
              <w:rPr>
                <w:noProof/>
                <w:sz w:val="16"/>
                <w:szCs w:val="16"/>
                <w:lang w:val="fr-BE"/>
              </w:rPr>
              <w:t>Liczba wspartych podmiotów leczniczych</w:t>
            </w:r>
          </w:p>
        </w:tc>
        <w:tc>
          <w:tcPr>
            <w:tcW w:w="0" w:type="auto"/>
            <w:shd w:val="clear" w:color="auto" w:fill="auto"/>
          </w:tcPr>
          <w:p w14:paraId="3916CEF5" w14:textId="77777777" w:rsidR="008C5CFA" w:rsidRPr="0024468B" w:rsidRDefault="00E82A60" w:rsidP="00300A01">
            <w:pPr>
              <w:spacing w:before="0" w:after="0"/>
              <w:rPr>
                <w:sz w:val="16"/>
                <w:szCs w:val="16"/>
                <w:lang w:val="fr-BE"/>
              </w:rPr>
            </w:pPr>
            <w:r w:rsidRPr="0024468B">
              <w:rPr>
                <w:noProof/>
                <w:sz w:val="16"/>
                <w:szCs w:val="16"/>
                <w:lang w:val="fr-BE"/>
              </w:rPr>
              <w:t>szt.</w:t>
            </w:r>
          </w:p>
        </w:tc>
        <w:tc>
          <w:tcPr>
            <w:tcW w:w="0" w:type="auto"/>
            <w:shd w:val="clear" w:color="auto" w:fill="auto"/>
          </w:tcPr>
          <w:p w14:paraId="3B0E5CCE" w14:textId="77777777" w:rsidR="008C5CFA" w:rsidRPr="0024468B" w:rsidRDefault="00E82A60"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14:paraId="310B0F79" w14:textId="77777777" w:rsidR="008C5CFA" w:rsidRPr="0024468B" w:rsidRDefault="00E82A60" w:rsidP="00300A01">
            <w:pPr>
              <w:spacing w:before="0" w:after="0"/>
              <w:jc w:val="right"/>
              <w:rPr>
                <w:sz w:val="16"/>
                <w:szCs w:val="16"/>
                <w:lang w:val="fr-BE"/>
              </w:rPr>
            </w:pPr>
            <w:r>
              <w:rPr>
                <w:noProof/>
                <w:sz w:val="16"/>
                <w:szCs w:val="16"/>
                <w:lang w:val="fr-BE"/>
              </w:rPr>
              <w:t>21,00</w:t>
            </w:r>
          </w:p>
        </w:tc>
        <w:tc>
          <w:tcPr>
            <w:tcW w:w="0" w:type="auto"/>
            <w:shd w:val="clear" w:color="auto" w:fill="auto"/>
          </w:tcPr>
          <w:p w14:paraId="105D571F" w14:textId="77777777" w:rsidR="008C5CFA" w:rsidRPr="0024468B" w:rsidRDefault="008C5CFA" w:rsidP="00300A01">
            <w:pPr>
              <w:spacing w:before="0" w:after="0"/>
              <w:jc w:val="right"/>
              <w:rPr>
                <w:sz w:val="16"/>
                <w:szCs w:val="16"/>
                <w:lang w:val="fr-BE"/>
              </w:rPr>
            </w:pPr>
          </w:p>
        </w:tc>
        <w:tc>
          <w:tcPr>
            <w:tcW w:w="0" w:type="auto"/>
          </w:tcPr>
          <w:p w14:paraId="67E402A5" w14:textId="77777777" w:rsidR="008C5CFA" w:rsidRPr="0024468B" w:rsidRDefault="008C5CFA" w:rsidP="00300A01">
            <w:pPr>
              <w:spacing w:before="0" w:after="0"/>
              <w:jc w:val="right"/>
              <w:rPr>
                <w:sz w:val="16"/>
                <w:szCs w:val="16"/>
                <w:lang w:val="fr-BE"/>
              </w:rPr>
            </w:pPr>
          </w:p>
        </w:tc>
        <w:tc>
          <w:tcPr>
            <w:tcW w:w="0" w:type="auto"/>
            <w:shd w:val="clear" w:color="auto" w:fill="auto"/>
          </w:tcPr>
          <w:p w14:paraId="31467199" w14:textId="77777777" w:rsidR="008C5CFA" w:rsidRPr="0024468B" w:rsidRDefault="00E82A60" w:rsidP="00300A01">
            <w:pPr>
              <w:spacing w:before="0" w:after="0"/>
              <w:jc w:val="right"/>
              <w:rPr>
                <w:sz w:val="16"/>
                <w:szCs w:val="16"/>
                <w:lang w:val="fr-BE"/>
              </w:rPr>
            </w:pPr>
            <w:r w:rsidRPr="0024468B">
              <w:rPr>
                <w:noProof/>
                <w:sz w:val="16"/>
                <w:szCs w:val="16"/>
                <w:lang w:val="fr-BE"/>
              </w:rPr>
              <w:t>29,00</w:t>
            </w:r>
          </w:p>
        </w:tc>
        <w:tc>
          <w:tcPr>
            <w:tcW w:w="0" w:type="auto"/>
            <w:shd w:val="clear" w:color="auto" w:fill="auto"/>
          </w:tcPr>
          <w:p w14:paraId="7680C582"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4525FEA4"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5DA6C181" w14:textId="77777777" w:rsidR="008C5CFA" w:rsidRPr="0024468B" w:rsidRDefault="008C5CFA" w:rsidP="00300A01">
            <w:pPr>
              <w:spacing w:before="0" w:after="0"/>
              <w:rPr>
                <w:sz w:val="16"/>
                <w:szCs w:val="16"/>
                <w:lang w:val="fr-BE"/>
              </w:rPr>
            </w:pPr>
          </w:p>
        </w:tc>
      </w:tr>
    </w:tbl>
    <w:p w14:paraId="5FB82E54" w14:textId="77777777" w:rsidR="008C5CFA" w:rsidRDefault="00E82A60" w:rsidP="00300A01">
      <w:pPr>
        <w:spacing w:before="0" w:after="0"/>
        <w:rPr>
          <w:lang w:val="fr-BE"/>
        </w:rPr>
      </w:pPr>
      <w:r>
        <w:rPr>
          <w:noProof/>
          <w:lang w:val="fr-BE"/>
        </w:rPr>
        <w:t>1) S=wartość skumulowana – produkty, które mają być zrealizowane poprzez wybrane operacje [prognoza przedstawiona przez beneficjentów], F=wartość skumulowana – produkty zrealizowane poprzez operacje [rzeczywiste wykonanie]</w:t>
      </w:r>
    </w:p>
    <w:p w14:paraId="37D63AD0"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01"/>
        <w:gridCol w:w="497"/>
        <w:gridCol w:w="5968"/>
        <w:gridCol w:w="934"/>
        <w:gridCol w:w="1042"/>
        <w:gridCol w:w="866"/>
        <w:gridCol w:w="901"/>
        <w:gridCol w:w="1043"/>
        <w:gridCol w:w="866"/>
        <w:gridCol w:w="857"/>
        <w:gridCol w:w="1043"/>
        <w:gridCol w:w="866"/>
      </w:tblGrid>
      <w:tr w:rsidR="006B2EC1" w14:paraId="50DE312E" w14:textId="77777777" w:rsidTr="0047688D">
        <w:trPr>
          <w:tblHeader/>
        </w:trPr>
        <w:tc>
          <w:tcPr>
            <w:tcW w:w="0" w:type="auto"/>
          </w:tcPr>
          <w:p w14:paraId="309AFF6D" w14:textId="77777777" w:rsidR="008C5CFA" w:rsidRPr="009143B4" w:rsidRDefault="00E82A60" w:rsidP="00300A01">
            <w:pPr>
              <w:spacing w:before="0" w:after="0"/>
              <w:rPr>
                <w:b/>
                <w:sz w:val="16"/>
                <w:szCs w:val="16"/>
                <w:lang w:val="fr-BE"/>
              </w:rPr>
            </w:pPr>
            <w:r w:rsidRPr="009143B4">
              <w:rPr>
                <w:b/>
                <w:sz w:val="16"/>
                <w:szCs w:val="16"/>
                <w:lang w:val="fr-BE"/>
              </w:rPr>
              <w:t>(1)</w:t>
            </w:r>
          </w:p>
        </w:tc>
        <w:tc>
          <w:tcPr>
            <w:tcW w:w="0" w:type="auto"/>
            <w:shd w:val="clear" w:color="auto" w:fill="auto"/>
          </w:tcPr>
          <w:p w14:paraId="4545C579" w14:textId="77777777" w:rsidR="008C5CFA" w:rsidRPr="009143B4" w:rsidRDefault="00E82A60" w:rsidP="00300A01">
            <w:pPr>
              <w:spacing w:before="0" w:after="0"/>
              <w:rPr>
                <w:b/>
                <w:sz w:val="16"/>
                <w:szCs w:val="16"/>
                <w:lang w:val="fr-BE"/>
              </w:rPr>
            </w:pPr>
            <w:r w:rsidRPr="009143B4">
              <w:rPr>
                <w:b/>
                <w:noProof/>
                <w:sz w:val="16"/>
                <w:szCs w:val="16"/>
                <w:lang w:val="fr-BE"/>
              </w:rPr>
              <w:t>ID</w:t>
            </w:r>
          </w:p>
        </w:tc>
        <w:tc>
          <w:tcPr>
            <w:tcW w:w="0" w:type="auto"/>
            <w:shd w:val="clear" w:color="auto" w:fill="auto"/>
          </w:tcPr>
          <w:p w14:paraId="20B59ABC" w14:textId="77777777" w:rsidR="008C5CFA" w:rsidRPr="009143B4" w:rsidRDefault="00E82A60" w:rsidP="00300A01">
            <w:pPr>
              <w:spacing w:before="0" w:after="0"/>
              <w:rPr>
                <w:b/>
                <w:sz w:val="16"/>
                <w:szCs w:val="16"/>
                <w:lang w:val="fr-BE"/>
              </w:rPr>
            </w:pPr>
            <w:r w:rsidRPr="009143B4">
              <w:rPr>
                <w:b/>
                <w:noProof/>
                <w:sz w:val="16"/>
                <w:szCs w:val="16"/>
                <w:lang w:val="fr-BE"/>
              </w:rPr>
              <w:t>Wskaźnik</w:t>
            </w:r>
          </w:p>
        </w:tc>
        <w:tc>
          <w:tcPr>
            <w:tcW w:w="0" w:type="auto"/>
          </w:tcPr>
          <w:p w14:paraId="71FDE7B9" w14:textId="77777777" w:rsidR="008C5CFA" w:rsidRPr="009143B4" w:rsidRDefault="00E82A60" w:rsidP="00300A01">
            <w:pPr>
              <w:spacing w:before="0" w:after="0"/>
              <w:jc w:val="center"/>
              <w:rPr>
                <w:b/>
                <w:sz w:val="16"/>
                <w:szCs w:val="16"/>
                <w:lang w:val="fr-BE"/>
              </w:rPr>
            </w:pPr>
            <w:r>
              <w:rPr>
                <w:b/>
                <w:sz w:val="16"/>
                <w:szCs w:val="16"/>
                <w:lang w:val="fr-BE"/>
              </w:rPr>
              <w:t xml:space="preserve">2018 </w:t>
            </w:r>
            <w:r w:rsidRPr="009143B4">
              <w:rPr>
                <w:b/>
                <w:noProof/>
                <w:sz w:val="16"/>
                <w:szCs w:val="16"/>
                <w:lang w:val="fr-BE"/>
              </w:rPr>
              <w:t>Ogółem</w:t>
            </w:r>
          </w:p>
        </w:tc>
        <w:tc>
          <w:tcPr>
            <w:tcW w:w="0" w:type="auto"/>
          </w:tcPr>
          <w:p w14:paraId="34AFA4B6" w14:textId="77777777" w:rsidR="008C5CFA" w:rsidRPr="009143B4" w:rsidRDefault="00E82A60" w:rsidP="00300A01">
            <w:pPr>
              <w:spacing w:before="0" w:after="0"/>
              <w:jc w:val="center"/>
              <w:rPr>
                <w:b/>
                <w:sz w:val="16"/>
                <w:szCs w:val="16"/>
                <w:lang w:val="fr-BE"/>
              </w:rPr>
            </w:pPr>
            <w:r>
              <w:rPr>
                <w:b/>
                <w:sz w:val="16"/>
                <w:szCs w:val="16"/>
                <w:lang w:val="fr-BE"/>
              </w:rPr>
              <w:t xml:space="preserve">2018 </w:t>
            </w:r>
            <w:r w:rsidRPr="009143B4">
              <w:rPr>
                <w:b/>
                <w:noProof/>
                <w:sz w:val="16"/>
                <w:szCs w:val="16"/>
                <w:lang w:val="fr-BE"/>
              </w:rPr>
              <w:t>Mężczyźni</w:t>
            </w:r>
          </w:p>
        </w:tc>
        <w:tc>
          <w:tcPr>
            <w:tcW w:w="0" w:type="auto"/>
          </w:tcPr>
          <w:p w14:paraId="514EA160" w14:textId="77777777" w:rsidR="008C5CFA" w:rsidRPr="009143B4" w:rsidRDefault="00E82A60" w:rsidP="00300A01">
            <w:pPr>
              <w:spacing w:before="0" w:after="0"/>
              <w:jc w:val="center"/>
              <w:rPr>
                <w:b/>
                <w:sz w:val="16"/>
                <w:szCs w:val="16"/>
                <w:lang w:val="fr-BE"/>
              </w:rPr>
            </w:pPr>
            <w:r>
              <w:rPr>
                <w:b/>
                <w:sz w:val="16"/>
                <w:szCs w:val="16"/>
                <w:lang w:val="fr-BE"/>
              </w:rPr>
              <w:t xml:space="preserve">2018 </w:t>
            </w:r>
            <w:r w:rsidRPr="009143B4">
              <w:rPr>
                <w:b/>
                <w:noProof/>
                <w:sz w:val="16"/>
                <w:szCs w:val="16"/>
                <w:lang w:val="fr-BE"/>
              </w:rPr>
              <w:t>Kobiety</w:t>
            </w:r>
          </w:p>
        </w:tc>
        <w:tc>
          <w:tcPr>
            <w:tcW w:w="0" w:type="auto"/>
          </w:tcPr>
          <w:p w14:paraId="5091AFBF" w14:textId="77777777" w:rsidR="008C5CFA" w:rsidRPr="009143B4" w:rsidRDefault="00E82A60"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Ogółem</w:t>
            </w:r>
          </w:p>
        </w:tc>
        <w:tc>
          <w:tcPr>
            <w:tcW w:w="0" w:type="auto"/>
          </w:tcPr>
          <w:p w14:paraId="0010245B" w14:textId="77777777" w:rsidR="008C5CFA" w:rsidRPr="009143B4" w:rsidRDefault="00E82A60"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Mężczyźni</w:t>
            </w:r>
          </w:p>
        </w:tc>
        <w:tc>
          <w:tcPr>
            <w:tcW w:w="0" w:type="auto"/>
          </w:tcPr>
          <w:p w14:paraId="064F751A" w14:textId="77777777" w:rsidR="008C5CFA" w:rsidRPr="009143B4" w:rsidRDefault="00E82A60"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Kobiety</w:t>
            </w:r>
          </w:p>
        </w:tc>
        <w:tc>
          <w:tcPr>
            <w:tcW w:w="0" w:type="auto"/>
            <w:shd w:val="clear" w:color="auto" w:fill="auto"/>
          </w:tcPr>
          <w:p w14:paraId="314C2936" w14:textId="77777777" w:rsidR="008C5CFA" w:rsidRPr="009143B4" w:rsidRDefault="00E82A60"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Ogółem</w:t>
            </w:r>
          </w:p>
        </w:tc>
        <w:tc>
          <w:tcPr>
            <w:tcW w:w="0" w:type="auto"/>
            <w:shd w:val="clear" w:color="auto" w:fill="auto"/>
          </w:tcPr>
          <w:p w14:paraId="51D5B7AE" w14:textId="77777777" w:rsidR="008C5CFA" w:rsidRPr="009143B4" w:rsidRDefault="00E82A60"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Mężczyźni</w:t>
            </w:r>
          </w:p>
        </w:tc>
        <w:tc>
          <w:tcPr>
            <w:tcW w:w="0" w:type="auto"/>
            <w:shd w:val="clear" w:color="auto" w:fill="auto"/>
          </w:tcPr>
          <w:p w14:paraId="0EF46548" w14:textId="77777777" w:rsidR="008C5CFA" w:rsidRPr="009143B4" w:rsidRDefault="00E82A60"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Kobiety</w:t>
            </w:r>
          </w:p>
        </w:tc>
      </w:tr>
      <w:tr w:rsidR="006B2EC1" w14:paraId="5911BA66" w14:textId="77777777" w:rsidTr="0047688D">
        <w:tc>
          <w:tcPr>
            <w:tcW w:w="0" w:type="auto"/>
          </w:tcPr>
          <w:p w14:paraId="77118A20" w14:textId="77777777" w:rsidR="008C5CFA" w:rsidRPr="0024468B" w:rsidRDefault="00E82A60" w:rsidP="00300A01">
            <w:pPr>
              <w:spacing w:before="0" w:after="0"/>
              <w:rPr>
                <w:sz w:val="16"/>
                <w:szCs w:val="16"/>
                <w:lang w:val="fr-BE"/>
              </w:rPr>
            </w:pPr>
            <w:r>
              <w:rPr>
                <w:noProof/>
                <w:sz w:val="16"/>
                <w:szCs w:val="16"/>
                <w:lang w:val="fr-BE"/>
              </w:rPr>
              <w:t>F</w:t>
            </w:r>
          </w:p>
        </w:tc>
        <w:tc>
          <w:tcPr>
            <w:tcW w:w="0" w:type="auto"/>
            <w:shd w:val="clear" w:color="auto" w:fill="auto"/>
          </w:tcPr>
          <w:p w14:paraId="76ECD459" w14:textId="77777777" w:rsidR="008C5CFA" w:rsidRPr="0024468B" w:rsidRDefault="00E82A60" w:rsidP="00300A01">
            <w:pPr>
              <w:spacing w:before="0" w:after="0"/>
              <w:rPr>
                <w:sz w:val="16"/>
                <w:szCs w:val="16"/>
                <w:lang w:val="fr-BE"/>
              </w:rPr>
            </w:pPr>
            <w:r w:rsidRPr="0024468B">
              <w:rPr>
                <w:noProof/>
                <w:sz w:val="16"/>
                <w:szCs w:val="16"/>
                <w:lang w:val="fr-BE"/>
              </w:rPr>
              <w:t>CO35</w:t>
            </w:r>
          </w:p>
        </w:tc>
        <w:tc>
          <w:tcPr>
            <w:tcW w:w="0" w:type="auto"/>
            <w:shd w:val="clear" w:color="auto" w:fill="auto"/>
          </w:tcPr>
          <w:p w14:paraId="769B5BBB" w14:textId="77777777" w:rsidR="008C5CFA" w:rsidRPr="0024468B" w:rsidRDefault="00E82A60" w:rsidP="00300A01">
            <w:pPr>
              <w:spacing w:before="0" w:after="0"/>
              <w:rPr>
                <w:sz w:val="16"/>
                <w:szCs w:val="16"/>
                <w:lang w:val="fr-BE"/>
              </w:rPr>
            </w:pPr>
            <w:r w:rsidRPr="0024468B">
              <w:rPr>
                <w:noProof/>
                <w:sz w:val="16"/>
                <w:szCs w:val="16"/>
                <w:lang w:val="fr-BE"/>
              </w:rPr>
              <w:t>Opieka nad dziećmi i edukacja: Liczba miejsc w objętej wsparciem infrastrukturze w zakresie opieki nad dziećmi lub infrastrukturze edukacyjnej</w:t>
            </w:r>
          </w:p>
        </w:tc>
        <w:tc>
          <w:tcPr>
            <w:tcW w:w="0" w:type="auto"/>
          </w:tcPr>
          <w:p w14:paraId="411B0973" w14:textId="77777777" w:rsidR="008C5CFA" w:rsidRPr="0024468B" w:rsidRDefault="00E82A60" w:rsidP="00300A01">
            <w:pPr>
              <w:spacing w:before="0" w:after="0"/>
              <w:jc w:val="right"/>
              <w:rPr>
                <w:sz w:val="16"/>
                <w:szCs w:val="16"/>
                <w:lang w:val="fr-BE"/>
              </w:rPr>
            </w:pPr>
            <w:r w:rsidRPr="0024468B">
              <w:rPr>
                <w:noProof/>
                <w:sz w:val="16"/>
                <w:szCs w:val="16"/>
                <w:lang w:val="fr-BE"/>
              </w:rPr>
              <w:t>73,00</w:t>
            </w:r>
          </w:p>
        </w:tc>
        <w:tc>
          <w:tcPr>
            <w:tcW w:w="0" w:type="auto"/>
          </w:tcPr>
          <w:p w14:paraId="454645A3"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33EA5548"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3FD6878B"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241AB7EA"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300E4C5F"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2F94B37A"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76B6166D"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42873BE6"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r w:rsidR="006B2EC1" w14:paraId="4EA01503" w14:textId="77777777" w:rsidTr="0047688D">
        <w:tc>
          <w:tcPr>
            <w:tcW w:w="0" w:type="auto"/>
          </w:tcPr>
          <w:p w14:paraId="1828BEB6" w14:textId="77777777" w:rsidR="008C5CFA" w:rsidRPr="0024468B" w:rsidRDefault="00E82A60" w:rsidP="00300A01">
            <w:pPr>
              <w:spacing w:before="0" w:after="0"/>
              <w:rPr>
                <w:sz w:val="16"/>
                <w:szCs w:val="16"/>
                <w:lang w:val="fr-BE"/>
              </w:rPr>
            </w:pPr>
            <w:r>
              <w:rPr>
                <w:noProof/>
                <w:sz w:val="16"/>
                <w:szCs w:val="16"/>
                <w:lang w:val="fr-BE"/>
              </w:rPr>
              <w:t>S</w:t>
            </w:r>
          </w:p>
        </w:tc>
        <w:tc>
          <w:tcPr>
            <w:tcW w:w="0" w:type="auto"/>
            <w:shd w:val="clear" w:color="auto" w:fill="auto"/>
          </w:tcPr>
          <w:p w14:paraId="6E2915EB" w14:textId="77777777" w:rsidR="008C5CFA" w:rsidRPr="0024468B" w:rsidRDefault="00E82A60" w:rsidP="00300A01">
            <w:pPr>
              <w:spacing w:before="0" w:after="0"/>
              <w:rPr>
                <w:sz w:val="16"/>
                <w:szCs w:val="16"/>
                <w:lang w:val="fr-BE"/>
              </w:rPr>
            </w:pPr>
            <w:r w:rsidRPr="0024468B">
              <w:rPr>
                <w:noProof/>
                <w:sz w:val="16"/>
                <w:szCs w:val="16"/>
                <w:lang w:val="fr-BE"/>
              </w:rPr>
              <w:t>CO35</w:t>
            </w:r>
          </w:p>
        </w:tc>
        <w:tc>
          <w:tcPr>
            <w:tcW w:w="0" w:type="auto"/>
            <w:shd w:val="clear" w:color="auto" w:fill="auto"/>
          </w:tcPr>
          <w:p w14:paraId="393AD55A" w14:textId="77777777" w:rsidR="008C5CFA" w:rsidRPr="0024468B" w:rsidRDefault="00E82A60" w:rsidP="00300A01">
            <w:pPr>
              <w:spacing w:before="0" w:after="0"/>
              <w:rPr>
                <w:sz w:val="16"/>
                <w:szCs w:val="16"/>
                <w:lang w:val="fr-BE"/>
              </w:rPr>
            </w:pPr>
            <w:r w:rsidRPr="0024468B">
              <w:rPr>
                <w:noProof/>
                <w:sz w:val="16"/>
                <w:szCs w:val="16"/>
                <w:lang w:val="fr-BE"/>
              </w:rPr>
              <w:t>Opieka nad dziećmi i edukacja: Liczba miejsc w objętej wsparciem infrastrukturze w zakresie opieki nad dziećmi lub infrastrukturze edukacyjnej</w:t>
            </w:r>
          </w:p>
        </w:tc>
        <w:tc>
          <w:tcPr>
            <w:tcW w:w="0" w:type="auto"/>
          </w:tcPr>
          <w:p w14:paraId="2117B6A3" w14:textId="77777777" w:rsidR="008C5CFA" w:rsidRPr="0024468B" w:rsidRDefault="00E82A60" w:rsidP="00300A01">
            <w:pPr>
              <w:spacing w:before="0" w:after="0"/>
              <w:jc w:val="right"/>
              <w:rPr>
                <w:sz w:val="16"/>
                <w:szCs w:val="16"/>
                <w:lang w:val="fr-BE"/>
              </w:rPr>
            </w:pPr>
            <w:r w:rsidRPr="0024468B">
              <w:rPr>
                <w:noProof/>
                <w:sz w:val="16"/>
                <w:szCs w:val="16"/>
                <w:lang w:val="fr-BE"/>
              </w:rPr>
              <w:t>148,00</w:t>
            </w:r>
          </w:p>
        </w:tc>
        <w:tc>
          <w:tcPr>
            <w:tcW w:w="0" w:type="auto"/>
          </w:tcPr>
          <w:p w14:paraId="25C655FF"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44DDD5C1"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0D5E16D9" w14:textId="77777777" w:rsidR="008C5CFA" w:rsidRPr="0024468B" w:rsidRDefault="00E82A60" w:rsidP="00300A01">
            <w:pPr>
              <w:spacing w:before="0" w:after="0"/>
              <w:jc w:val="right"/>
              <w:rPr>
                <w:sz w:val="16"/>
                <w:szCs w:val="16"/>
                <w:lang w:val="fr-BE"/>
              </w:rPr>
            </w:pPr>
            <w:r w:rsidRPr="0024468B">
              <w:rPr>
                <w:noProof/>
                <w:sz w:val="16"/>
                <w:szCs w:val="16"/>
                <w:lang w:val="fr-BE"/>
              </w:rPr>
              <w:t>73,00</w:t>
            </w:r>
          </w:p>
        </w:tc>
        <w:tc>
          <w:tcPr>
            <w:tcW w:w="0" w:type="auto"/>
          </w:tcPr>
          <w:p w14:paraId="6D9F2C1D"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0E6C57F6"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6D7742EB"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134F2750"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5EA3D7F1"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r w:rsidR="006B2EC1" w14:paraId="40772F95" w14:textId="77777777" w:rsidTr="0047688D">
        <w:tc>
          <w:tcPr>
            <w:tcW w:w="0" w:type="auto"/>
          </w:tcPr>
          <w:p w14:paraId="6E52F379" w14:textId="77777777" w:rsidR="008C5CFA" w:rsidRPr="0024468B" w:rsidRDefault="00E82A60" w:rsidP="00300A01">
            <w:pPr>
              <w:spacing w:before="0" w:after="0"/>
              <w:rPr>
                <w:sz w:val="16"/>
                <w:szCs w:val="16"/>
                <w:lang w:val="fr-BE"/>
              </w:rPr>
            </w:pPr>
            <w:r>
              <w:rPr>
                <w:noProof/>
                <w:sz w:val="16"/>
                <w:szCs w:val="16"/>
                <w:lang w:val="fr-BE"/>
              </w:rPr>
              <w:t>F</w:t>
            </w:r>
          </w:p>
        </w:tc>
        <w:tc>
          <w:tcPr>
            <w:tcW w:w="0" w:type="auto"/>
            <w:shd w:val="clear" w:color="auto" w:fill="auto"/>
          </w:tcPr>
          <w:p w14:paraId="7F534B8F" w14:textId="77777777" w:rsidR="008C5CFA" w:rsidRPr="0024468B" w:rsidRDefault="00E82A60" w:rsidP="00300A01">
            <w:pPr>
              <w:spacing w:before="0" w:after="0"/>
              <w:rPr>
                <w:sz w:val="16"/>
                <w:szCs w:val="16"/>
                <w:lang w:val="fr-BE"/>
              </w:rPr>
            </w:pPr>
            <w:r w:rsidRPr="0024468B">
              <w:rPr>
                <w:noProof/>
                <w:sz w:val="16"/>
                <w:szCs w:val="16"/>
                <w:lang w:val="fr-BE"/>
              </w:rPr>
              <w:t>CO36</w:t>
            </w:r>
          </w:p>
        </w:tc>
        <w:tc>
          <w:tcPr>
            <w:tcW w:w="0" w:type="auto"/>
            <w:shd w:val="clear" w:color="auto" w:fill="auto"/>
          </w:tcPr>
          <w:p w14:paraId="3986AEA7" w14:textId="77777777" w:rsidR="008C5CFA" w:rsidRPr="0024468B" w:rsidRDefault="00E82A60" w:rsidP="00300A01">
            <w:pPr>
              <w:spacing w:before="0" w:after="0"/>
              <w:rPr>
                <w:sz w:val="16"/>
                <w:szCs w:val="16"/>
                <w:lang w:val="fr-BE"/>
              </w:rPr>
            </w:pPr>
            <w:r w:rsidRPr="0024468B">
              <w:rPr>
                <w:noProof/>
                <w:sz w:val="16"/>
                <w:szCs w:val="16"/>
                <w:lang w:val="fr-BE"/>
              </w:rPr>
              <w:t>Zdrowie: ludność objęta ulepszonymi usługami zdrowotnymi</w:t>
            </w:r>
          </w:p>
        </w:tc>
        <w:tc>
          <w:tcPr>
            <w:tcW w:w="0" w:type="auto"/>
          </w:tcPr>
          <w:p w14:paraId="7EE70053" w14:textId="77777777" w:rsidR="008C5CFA" w:rsidRPr="0024468B" w:rsidRDefault="00E82A60" w:rsidP="00300A01">
            <w:pPr>
              <w:spacing w:before="0" w:after="0"/>
              <w:jc w:val="right"/>
              <w:rPr>
                <w:sz w:val="16"/>
                <w:szCs w:val="16"/>
                <w:lang w:val="fr-BE"/>
              </w:rPr>
            </w:pPr>
            <w:r w:rsidRPr="0024468B">
              <w:rPr>
                <w:noProof/>
                <w:sz w:val="16"/>
                <w:szCs w:val="16"/>
                <w:lang w:val="fr-BE"/>
              </w:rPr>
              <w:t>41 590,00</w:t>
            </w:r>
          </w:p>
        </w:tc>
        <w:tc>
          <w:tcPr>
            <w:tcW w:w="0" w:type="auto"/>
          </w:tcPr>
          <w:p w14:paraId="7F04712D"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6876C375"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2F353FF0"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28E2AB43"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1AD0F159"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5CC7AC29"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73249003"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5CB5AB3D"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r w:rsidR="006B2EC1" w14:paraId="5A4A8E6F" w14:textId="77777777" w:rsidTr="0047688D">
        <w:tc>
          <w:tcPr>
            <w:tcW w:w="0" w:type="auto"/>
          </w:tcPr>
          <w:p w14:paraId="37693A9A" w14:textId="77777777" w:rsidR="008C5CFA" w:rsidRPr="0024468B" w:rsidRDefault="00E82A60" w:rsidP="00300A01">
            <w:pPr>
              <w:spacing w:before="0" w:after="0"/>
              <w:rPr>
                <w:sz w:val="16"/>
                <w:szCs w:val="16"/>
                <w:lang w:val="fr-BE"/>
              </w:rPr>
            </w:pPr>
            <w:r>
              <w:rPr>
                <w:noProof/>
                <w:sz w:val="16"/>
                <w:szCs w:val="16"/>
                <w:lang w:val="fr-BE"/>
              </w:rPr>
              <w:t>S</w:t>
            </w:r>
          </w:p>
        </w:tc>
        <w:tc>
          <w:tcPr>
            <w:tcW w:w="0" w:type="auto"/>
            <w:shd w:val="clear" w:color="auto" w:fill="auto"/>
          </w:tcPr>
          <w:p w14:paraId="5AF9E6C2" w14:textId="77777777" w:rsidR="008C5CFA" w:rsidRPr="0024468B" w:rsidRDefault="00E82A60" w:rsidP="00300A01">
            <w:pPr>
              <w:spacing w:before="0" w:after="0"/>
              <w:rPr>
                <w:sz w:val="16"/>
                <w:szCs w:val="16"/>
                <w:lang w:val="fr-BE"/>
              </w:rPr>
            </w:pPr>
            <w:r w:rsidRPr="0024468B">
              <w:rPr>
                <w:noProof/>
                <w:sz w:val="16"/>
                <w:szCs w:val="16"/>
                <w:lang w:val="fr-BE"/>
              </w:rPr>
              <w:t>CO36</w:t>
            </w:r>
          </w:p>
        </w:tc>
        <w:tc>
          <w:tcPr>
            <w:tcW w:w="0" w:type="auto"/>
            <w:shd w:val="clear" w:color="auto" w:fill="auto"/>
          </w:tcPr>
          <w:p w14:paraId="40167EE3" w14:textId="77777777" w:rsidR="008C5CFA" w:rsidRPr="0024468B" w:rsidRDefault="00E82A60" w:rsidP="00300A01">
            <w:pPr>
              <w:spacing w:before="0" w:after="0"/>
              <w:rPr>
                <w:sz w:val="16"/>
                <w:szCs w:val="16"/>
                <w:lang w:val="fr-BE"/>
              </w:rPr>
            </w:pPr>
            <w:r w:rsidRPr="0024468B">
              <w:rPr>
                <w:noProof/>
                <w:sz w:val="16"/>
                <w:szCs w:val="16"/>
                <w:lang w:val="fr-BE"/>
              </w:rPr>
              <w:t>Zdrowie: ludność objęta ulepszonymi usługami zdrowotnymi</w:t>
            </w:r>
          </w:p>
        </w:tc>
        <w:tc>
          <w:tcPr>
            <w:tcW w:w="0" w:type="auto"/>
          </w:tcPr>
          <w:p w14:paraId="3A0E9F36" w14:textId="77777777" w:rsidR="008C5CFA" w:rsidRPr="0024468B" w:rsidRDefault="00E82A60" w:rsidP="00300A01">
            <w:pPr>
              <w:spacing w:before="0" w:after="0"/>
              <w:jc w:val="right"/>
              <w:rPr>
                <w:sz w:val="16"/>
                <w:szCs w:val="16"/>
                <w:lang w:val="fr-BE"/>
              </w:rPr>
            </w:pPr>
            <w:r w:rsidRPr="0024468B">
              <w:rPr>
                <w:noProof/>
                <w:sz w:val="16"/>
                <w:szCs w:val="16"/>
                <w:lang w:val="fr-BE"/>
              </w:rPr>
              <w:t>151 772,00</w:t>
            </w:r>
          </w:p>
        </w:tc>
        <w:tc>
          <w:tcPr>
            <w:tcW w:w="0" w:type="auto"/>
          </w:tcPr>
          <w:p w14:paraId="5DFE9ECD"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0C1F038E"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1CD81357" w14:textId="77777777" w:rsidR="008C5CFA" w:rsidRPr="0024468B" w:rsidRDefault="00E82A60" w:rsidP="00300A01">
            <w:pPr>
              <w:spacing w:before="0" w:after="0"/>
              <w:jc w:val="right"/>
              <w:rPr>
                <w:sz w:val="16"/>
                <w:szCs w:val="16"/>
                <w:lang w:val="fr-BE"/>
              </w:rPr>
            </w:pPr>
            <w:r w:rsidRPr="0024468B">
              <w:rPr>
                <w:noProof/>
                <w:sz w:val="16"/>
                <w:szCs w:val="16"/>
                <w:lang w:val="fr-BE"/>
              </w:rPr>
              <w:t>21 842,00</w:t>
            </w:r>
          </w:p>
        </w:tc>
        <w:tc>
          <w:tcPr>
            <w:tcW w:w="0" w:type="auto"/>
          </w:tcPr>
          <w:p w14:paraId="286A9F4A"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1D6D9394"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0FC3695D"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56ADCB08"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6452DF3A"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r w:rsidR="006B2EC1" w14:paraId="0157F851" w14:textId="77777777" w:rsidTr="0047688D">
        <w:tc>
          <w:tcPr>
            <w:tcW w:w="0" w:type="auto"/>
          </w:tcPr>
          <w:p w14:paraId="79471468" w14:textId="77777777" w:rsidR="008C5CFA" w:rsidRPr="0024468B" w:rsidRDefault="00E82A60" w:rsidP="00300A01">
            <w:pPr>
              <w:spacing w:before="0" w:after="0"/>
              <w:rPr>
                <w:sz w:val="16"/>
                <w:szCs w:val="16"/>
                <w:lang w:val="fr-BE"/>
              </w:rPr>
            </w:pPr>
            <w:r>
              <w:rPr>
                <w:noProof/>
                <w:sz w:val="16"/>
                <w:szCs w:val="16"/>
                <w:lang w:val="fr-BE"/>
              </w:rPr>
              <w:t>F</w:t>
            </w:r>
          </w:p>
        </w:tc>
        <w:tc>
          <w:tcPr>
            <w:tcW w:w="0" w:type="auto"/>
            <w:shd w:val="clear" w:color="auto" w:fill="auto"/>
          </w:tcPr>
          <w:p w14:paraId="36E6E30D" w14:textId="77777777" w:rsidR="008C5CFA" w:rsidRPr="0024468B" w:rsidRDefault="00E82A60" w:rsidP="00300A01">
            <w:pPr>
              <w:spacing w:before="0" w:after="0"/>
              <w:rPr>
                <w:sz w:val="16"/>
                <w:szCs w:val="16"/>
                <w:lang w:val="fr-BE"/>
              </w:rPr>
            </w:pPr>
            <w:r>
              <w:rPr>
                <w:noProof/>
                <w:sz w:val="16"/>
                <w:szCs w:val="16"/>
                <w:lang w:val="fr-BE"/>
              </w:rPr>
              <w:t>045</w:t>
            </w:r>
          </w:p>
        </w:tc>
        <w:tc>
          <w:tcPr>
            <w:tcW w:w="0" w:type="auto"/>
            <w:shd w:val="clear" w:color="auto" w:fill="auto"/>
          </w:tcPr>
          <w:p w14:paraId="52A13A92" w14:textId="77777777" w:rsidR="008C5CFA" w:rsidRPr="0024468B" w:rsidRDefault="00E82A60" w:rsidP="00300A01">
            <w:pPr>
              <w:spacing w:before="0" w:after="0"/>
              <w:rPr>
                <w:sz w:val="16"/>
                <w:szCs w:val="16"/>
                <w:lang w:val="fr-BE"/>
              </w:rPr>
            </w:pPr>
            <w:r>
              <w:rPr>
                <w:noProof/>
                <w:sz w:val="16"/>
                <w:szCs w:val="16"/>
                <w:lang w:val="fr-BE"/>
              </w:rPr>
              <w:t>Liczba wybudowanych obiektów, w których realizowane są usługi aktywizacji społeczno-zawodowej</w:t>
            </w:r>
          </w:p>
        </w:tc>
        <w:tc>
          <w:tcPr>
            <w:tcW w:w="0" w:type="auto"/>
          </w:tcPr>
          <w:p w14:paraId="0E50CC82" w14:textId="77777777" w:rsidR="008C5CFA" w:rsidRPr="0024468B" w:rsidRDefault="00E82A60" w:rsidP="00300A01">
            <w:pPr>
              <w:spacing w:before="0" w:after="0"/>
              <w:jc w:val="right"/>
              <w:rPr>
                <w:sz w:val="16"/>
                <w:szCs w:val="16"/>
                <w:lang w:val="fr-BE"/>
              </w:rPr>
            </w:pPr>
            <w:r w:rsidRPr="0024468B">
              <w:rPr>
                <w:noProof/>
                <w:sz w:val="16"/>
                <w:szCs w:val="16"/>
                <w:lang w:val="fr-BE"/>
              </w:rPr>
              <w:t>0,15</w:t>
            </w:r>
          </w:p>
        </w:tc>
        <w:tc>
          <w:tcPr>
            <w:tcW w:w="0" w:type="auto"/>
          </w:tcPr>
          <w:p w14:paraId="4CC2460E"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54067514"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16C672FC"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5635E48B"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6C8D8EC5"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0DAB1973"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77FC0A3F"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1B21F8F1"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r w:rsidR="006B2EC1" w14:paraId="4A4709E3" w14:textId="77777777" w:rsidTr="0047688D">
        <w:tc>
          <w:tcPr>
            <w:tcW w:w="0" w:type="auto"/>
          </w:tcPr>
          <w:p w14:paraId="26DDE8D6" w14:textId="77777777" w:rsidR="008C5CFA" w:rsidRPr="0024468B" w:rsidRDefault="00E82A60" w:rsidP="00300A01">
            <w:pPr>
              <w:spacing w:before="0" w:after="0"/>
              <w:rPr>
                <w:sz w:val="16"/>
                <w:szCs w:val="16"/>
                <w:lang w:val="fr-BE"/>
              </w:rPr>
            </w:pPr>
            <w:r>
              <w:rPr>
                <w:noProof/>
                <w:sz w:val="16"/>
                <w:szCs w:val="16"/>
                <w:lang w:val="fr-BE"/>
              </w:rPr>
              <w:t>S</w:t>
            </w:r>
          </w:p>
        </w:tc>
        <w:tc>
          <w:tcPr>
            <w:tcW w:w="0" w:type="auto"/>
            <w:shd w:val="clear" w:color="auto" w:fill="auto"/>
          </w:tcPr>
          <w:p w14:paraId="2A3A1011" w14:textId="77777777" w:rsidR="008C5CFA" w:rsidRPr="0024468B" w:rsidRDefault="00E82A60" w:rsidP="00300A01">
            <w:pPr>
              <w:spacing w:before="0" w:after="0"/>
              <w:rPr>
                <w:sz w:val="16"/>
                <w:szCs w:val="16"/>
                <w:lang w:val="fr-BE"/>
              </w:rPr>
            </w:pPr>
            <w:r>
              <w:rPr>
                <w:noProof/>
                <w:sz w:val="16"/>
                <w:szCs w:val="16"/>
                <w:lang w:val="fr-BE"/>
              </w:rPr>
              <w:t>045</w:t>
            </w:r>
          </w:p>
        </w:tc>
        <w:tc>
          <w:tcPr>
            <w:tcW w:w="0" w:type="auto"/>
            <w:shd w:val="clear" w:color="auto" w:fill="auto"/>
          </w:tcPr>
          <w:p w14:paraId="1087359B" w14:textId="77777777" w:rsidR="008C5CFA" w:rsidRPr="0024468B" w:rsidRDefault="00E82A60" w:rsidP="00300A01">
            <w:pPr>
              <w:spacing w:before="0" w:after="0"/>
              <w:rPr>
                <w:sz w:val="16"/>
                <w:szCs w:val="16"/>
                <w:lang w:val="fr-BE"/>
              </w:rPr>
            </w:pPr>
            <w:r>
              <w:rPr>
                <w:noProof/>
                <w:sz w:val="16"/>
                <w:szCs w:val="16"/>
                <w:lang w:val="fr-BE"/>
              </w:rPr>
              <w:t>Liczba wybudowanych obiektów, w których realizowane są usługi aktywizacji społeczno-zawodowej</w:t>
            </w:r>
          </w:p>
        </w:tc>
        <w:tc>
          <w:tcPr>
            <w:tcW w:w="0" w:type="auto"/>
          </w:tcPr>
          <w:p w14:paraId="2E2039D6" w14:textId="77777777" w:rsidR="008C5CFA" w:rsidRPr="0024468B" w:rsidRDefault="00E82A60" w:rsidP="00300A01">
            <w:pPr>
              <w:spacing w:before="0" w:after="0"/>
              <w:jc w:val="right"/>
              <w:rPr>
                <w:sz w:val="16"/>
                <w:szCs w:val="16"/>
                <w:lang w:val="fr-BE"/>
              </w:rPr>
            </w:pPr>
            <w:r w:rsidRPr="0024468B">
              <w:rPr>
                <w:noProof/>
                <w:sz w:val="16"/>
                <w:szCs w:val="16"/>
                <w:lang w:val="fr-BE"/>
              </w:rPr>
              <w:t>3,00</w:t>
            </w:r>
          </w:p>
        </w:tc>
        <w:tc>
          <w:tcPr>
            <w:tcW w:w="0" w:type="auto"/>
          </w:tcPr>
          <w:p w14:paraId="2557A39E"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2E2CB091"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037E6370" w14:textId="77777777" w:rsidR="008C5CFA" w:rsidRPr="0024468B" w:rsidRDefault="00E82A60" w:rsidP="00300A01">
            <w:pPr>
              <w:spacing w:before="0" w:after="0"/>
              <w:jc w:val="right"/>
              <w:rPr>
                <w:sz w:val="16"/>
                <w:szCs w:val="16"/>
                <w:lang w:val="fr-BE"/>
              </w:rPr>
            </w:pPr>
            <w:r w:rsidRPr="0024468B">
              <w:rPr>
                <w:noProof/>
                <w:sz w:val="16"/>
                <w:szCs w:val="16"/>
                <w:lang w:val="fr-BE"/>
              </w:rPr>
              <w:t>2,00</w:t>
            </w:r>
          </w:p>
        </w:tc>
        <w:tc>
          <w:tcPr>
            <w:tcW w:w="0" w:type="auto"/>
          </w:tcPr>
          <w:p w14:paraId="22B976B9"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400C6DC9"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37DCA0A8"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260C2D17"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3C2A9FF3"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r w:rsidR="006B2EC1" w14:paraId="583180A8" w14:textId="77777777" w:rsidTr="0047688D">
        <w:tc>
          <w:tcPr>
            <w:tcW w:w="0" w:type="auto"/>
          </w:tcPr>
          <w:p w14:paraId="225336CA" w14:textId="77777777" w:rsidR="008C5CFA" w:rsidRPr="0024468B" w:rsidRDefault="00E82A60" w:rsidP="00300A01">
            <w:pPr>
              <w:spacing w:before="0" w:after="0"/>
              <w:rPr>
                <w:sz w:val="16"/>
                <w:szCs w:val="16"/>
                <w:lang w:val="fr-BE"/>
              </w:rPr>
            </w:pPr>
            <w:r>
              <w:rPr>
                <w:noProof/>
                <w:sz w:val="16"/>
                <w:szCs w:val="16"/>
                <w:lang w:val="fr-BE"/>
              </w:rPr>
              <w:t>F</w:t>
            </w:r>
          </w:p>
        </w:tc>
        <w:tc>
          <w:tcPr>
            <w:tcW w:w="0" w:type="auto"/>
            <w:shd w:val="clear" w:color="auto" w:fill="auto"/>
          </w:tcPr>
          <w:p w14:paraId="6D699761" w14:textId="77777777" w:rsidR="008C5CFA" w:rsidRPr="0024468B" w:rsidRDefault="00E82A60" w:rsidP="00300A01">
            <w:pPr>
              <w:spacing w:before="0" w:after="0"/>
              <w:rPr>
                <w:sz w:val="16"/>
                <w:szCs w:val="16"/>
                <w:lang w:val="fr-BE"/>
              </w:rPr>
            </w:pPr>
            <w:r>
              <w:rPr>
                <w:noProof/>
                <w:sz w:val="16"/>
                <w:szCs w:val="16"/>
                <w:lang w:val="fr-BE"/>
              </w:rPr>
              <w:t>046</w:t>
            </w:r>
          </w:p>
        </w:tc>
        <w:tc>
          <w:tcPr>
            <w:tcW w:w="0" w:type="auto"/>
            <w:shd w:val="clear" w:color="auto" w:fill="auto"/>
          </w:tcPr>
          <w:p w14:paraId="06E166B1" w14:textId="77777777" w:rsidR="008C5CFA" w:rsidRPr="0024468B" w:rsidRDefault="00E82A60" w:rsidP="00300A01">
            <w:pPr>
              <w:spacing w:before="0" w:after="0"/>
              <w:rPr>
                <w:sz w:val="16"/>
                <w:szCs w:val="16"/>
                <w:lang w:val="fr-BE"/>
              </w:rPr>
            </w:pPr>
            <w:r>
              <w:rPr>
                <w:noProof/>
                <w:sz w:val="16"/>
                <w:szCs w:val="16"/>
                <w:lang w:val="fr-BE"/>
              </w:rPr>
              <w:t>Liczba przebudowanych obiektów, w których realizowane są usługi aktywizacji społeczno-zawodowej</w:t>
            </w:r>
          </w:p>
        </w:tc>
        <w:tc>
          <w:tcPr>
            <w:tcW w:w="0" w:type="auto"/>
          </w:tcPr>
          <w:p w14:paraId="102D50EC" w14:textId="77777777" w:rsidR="008C5CFA" w:rsidRPr="0024468B" w:rsidRDefault="00E82A60" w:rsidP="00300A01">
            <w:pPr>
              <w:spacing w:before="0" w:after="0"/>
              <w:jc w:val="right"/>
              <w:rPr>
                <w:sz w:val="16"/>
                <w:szCs w:val="16"/>
                <w:lang w:val="fr-BE"/>
              </w:rPr>
            </w:pPr>
            <w:r w:rsidRPr="0024468B">
              <w:rPr>
                <w:noProof/>
                <w:sz w:val="16"/>
                <w:szCs w:val="16"/>
                <w:lang w:val="fr-BE"/>
              </w:rPr>
              <w:t>6,00</w:t>
            </w:r>
          </w:p>
        </w:tc>
        <w:tc>
          <w:tcPr>
            <w:tcW w:w="0" w:type="auto"/>
          </w:tcPr>
          <w:p w14:paraId="35861F30"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756749C7"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1686533A"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3A339C55"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69012E8F"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6D64214D"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355E82C1"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05CB02A7"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r w:rsidR="006B2EC1" w14:paraId="1CA8027F" w14:textId="77777777" w:rsidTr="0047688D">
        <w:tc>
          <w:tcPr>
            <w:tcW w:w="0" w:type="auto"/>
          </w:tcPr>
          <w:p w14:paraId="7E218B83" w14:textId="77777777" w:rsidR="008C5CFA" w:rsidRPr="0024468B" w:rsidRDefault="00E82A60" w:rsidP="00300A01">
            <w:pPr>
              <w:spacing w:before="0" w:after="0"/>
              <w:rPr>
                <w:sz w:val="16"/>
                <w:szCs w:val="16"/>
                <w:lang w:val="fr-BE"/>
              </w:rPr>
            </w:pPr>
            <w:r>
              <w:rPr>
                <w:noProof/>
                <w:sz w:val="16"/>
                <w:szCs w:val="16"/>
                <w:lang w:val="fr-BE"/>
              </w:rPr>
              <w:t>S</w:t>
            </w:r>
          </w:p>
        </w:tc>
        <w:tc>
          <w:tcPr>
            <w:tcW w:w="0" w:type="auto"/>
            <w:shd w:val="clear" w:color="auto" w:fill="auto"/>
          </w:tcPr>
          <w:p w14:paraId="67F222AA" w14:textId="77777777" w:rsidR="008C5CFA" w:rsidRPr="0024468B" w:rsidRDefault="00E82A60" w:rsidP="00300A01">
            <w:pPr>
              <w:spacing w:before="0" w:after="0"/>
              <w:rPr>
                <w:sz w:val="16"/>
                <w:szCs w:val="16"/>
                <w:lang w:val="fr-BE"/>
              </w:rPr>
            </w:pPr>
            <w:r>
              <w:rPr>
                <w:noProof/>
                <w:sz w:val="16"/>
                <w:szCs w:val="16"/>
                <w:lang w:val="fr-BE"/>
              </w:rPr>
              <w:t>046</w:t>
            </w:r>
          </w:p>
        </w:tc>
        <w:tc>
          <w:tcPr>
            <w:tcW w:w="0" w:type="auto"/>
            <w:shd w:val="clear" w:color="auto" w:fill="auto"/>
          </w:tcPr>
          <w:p w14:paraId="4F28BA2F" w14:textId="77777777" w:rsidR="008C5CFA" w:rsidRPr="0024468B" w:rsidRDefault="00E82A60" w:rsidP="00300A01">
            <w:pPr>
              <w:spacing w:before="0" w:after="0"/>
              <w:rPr>
                <w:sz w:val="16"/>
                <w:szCs w:val="16"/>
                <w:lang w:val="fr-BE"/>
              </w:rPr>
            </w:pPr>
            <w:r>
              <w:rPr>
                <w:noProof/>
                <w:sz w:val="16"/>
                <w:szCs w:val="16"/>
                <w:lang w:val="fr-BE"/>
              </w:rPr>
              <w:t>Liczba przebudowanych obiektów, w których realizowane są usługi aktywizacji społeczno-zawodowej</w:t>
            </w:r>
          </w:p>
        </w:tc>
        <w:tc>
          <w:tcPr>
            <w:tcW w:w="0" w:type="auto"/>
          </w:tcPr>
          <w:p w14:paraId="687B8286" w14:textId="77777777" w:rsidR="008C5CFA" w:rsidRPr="0024468B" w:rsidRDefault="00E82A60" w:rsidP="00300A01">
            <w:pPr>
              <w:spacing w:before="0" w:after="0"/>
              <w:jc w:val="right"/>
              <w:rPr>
                <w:sz w:val="16"/>
                <w:szCs w:val="16"/>
                <w:lang w:val="fr-BE"/>
              </w:rPr>
            </w:pPr>
            <w:r w:rsidRPr="0024468B">
              <w:rPr>
                <w:noProof/>
                <w:sz w:val="16"/>
                <w:szCs w:val="16"/>
                <w:lang w:val="fr-BE"/>
              </w:rPr>
              <w:t>21,00</w:t>
            </w:r>
          </w:p>
        </w:tc>
        <w:tc>
          <w:tcPr>
            <w:tcW w:w="0" w:type="auto"/>
          </w:tcPr>
          <w:p w14:paraId="654B4CA2"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14C7C9A8"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4F8FED99" w14:textId="77777777" w:rsidR="008C5CFA" w:rsidRPr="0024468B" w:rsidRDefault="00E82A60" w:rsidP="00300A01">
            <w:pPr>
              <w:spacing w:before="0" w:after="0"/>
              <w:jc w:val="right"/>
              <w:rPr>
                <w:sz w:val="16"/>
                <w:szCs w:val="16"/>
                <w:lang w:val="fr-BE"/>
              </w:rPr>
            </w:pPr>
            <w:r w:rsidRPr="0024468B">
              <w:rPr>
                <w:noProof/>
                <w:sz w:val="16"/>
                <w:szCs w:val="16"/>
                <w:lang w:val="fr-BE"/>
              </w:rPr>
              <w:t>7,00</w:t>
            </w:r>
          </w:p>
        </w:tc>
        <w:tc>
          <w:tcPr>
            <w:tcW w:w="0" w:type="auto"/>
          </w:tcPr>
          <w:p w14:paraId="5F9AEFEE"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55F36622"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75A21D09"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6740D7AE"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3D9F2054"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r w:rsidR="006B2EC1" w14:paraId="538BDD0E" w14:textId="77777777" w:rsidTr="0047688D">
        <w:tc>
          <w:tcPr>
            <w:tcW w:w="0" w:type="auto"/>
          </w:tcPr>
          <w:p w14:paraId="74747CA7" w14:textId="77777777" w:rsidR="008C5CFA" w:rsidRPr="0024468B" w:rsidRDefault="00E82A60" w:rsidP="00300A01">
            <w:pPr>
              <w:spacing w:before="0" w:after="0"/>
              <w:rPr>
                <w:sz w:val="16"/>
                <w:szCs w:val="16"/>
                <w:lang w:val="fr-BE"/>
              </w:rPr>
            </w:pPr>
            <w:r>
              <w:rPr>
                <w:noProof/>
                <w:sz w:val="16"/>
                <w:szCs w:val="16"/>
                <w:lang w:val="fr-BE"/>
              </w:rPr>
              <w:t>F</w:t>
            </w:r>
          </w:p>
        </w:tc>
        <w:tc>
          <w:tcPr>
            <w:tcW w:w="0" w:type="auto"/>
            <w:shd w:val="clear" w:color="auto" w:fill="auto"/>
          </w:tcPr>
          <w:p w14:paraId="33DF0D8D" w14:textId="77777777" w:rsidR="008C5CFA" w:rsidRPr="0024468B" w:rsidRDefault="00E82A60" w:rsidP="00300A01">
            <w:pPr>
              <w:spacing w:before="0" w:after="0"/>
              <w:rPr>
                <w:sz w:val="16"/>
                <w:szCs w:val="16"/>
                <w:lang w:val="fr-BE"/>
              </w:rPr>
            </w:pPr>
            <w:r>
              <w:rPr>
                <w:noProof/>
                <w:sz w:val="16"/>
                <w:szCs w:val="16"/>
                <w:lang w:val="fr-BE"/>
              </w:rPr>
              <w:t>88</w:t>
            </w:r>
          </w:p>
        </w:tc>
        <w:tc>
          <w:tcPr>
            <w:tcW w:w="0" w:type="auto"/>
            <w:shd w:val="clear" w:color="auto" w:fill="auto"/>
          </w:tcPr>
          <w:p w14:paraId="0F17AFDE" w14:textId="77777777" w:rsidR="008C5CFA" w:rsidRPr="0024468B" w:rsidRDefault="00E82A60" w:rsidP="00300A01">
            <w:pPr>
              <w:spacing w:before="0" w:after="0"/>
              <w:rPr>
                <w:sz w:val="16"/>
                <w:szCs w:val="16"/>
                <w:lang w:val="fr-BE"/>
              </w:rPr>
            </w:pPr>
            <w:r>
              <w:rPr>
                <w:noProof/>
                <w:sz w:val="16"/>
                <w:szCs w:val="16"/>
                <w:lang w:val="fr-BE"/>
              </w:rPr>
              <w:t>Liczba wspartych podmiotów leczniczych</w:t>
            </w:r>
          </w:p>
        </w:tc>
        <w:tc>
          <w:tcPr>
            <w:tcW w:w="0" w:type="auto"/>
          </w:tcPr>
          <w:p w14:paraId="1AC2A2BB" w14:textId="77777777" w:rsidR="008C5CFA" w:rsidRPr="0024468B" w:rsidRDefault="00E82A60" w:rsidP="00300A01">
            <w:pPr>
              <w:spacing w:before="0" w:after="0"/>
              <w:jc w:val="right"/>
              <w:rPr>
                <w:sz w:val="16"/>
                <w:szCs w:val="16"/>
                <w:lang w:val="fr-BE"/>
              </w:rPr>
            </w:pPr>
            <w:r w:rsidRPr="0024468B">
              <w:rPr>
                <w:noProof/>
                <w:sz w:val="16"/>
                <w:szCs w:val="16"/>
                <w:lang w:val="fr-BE"/>
              </w:rPr>
              <w:t>13,00</w:t>
            </w:r>
          </w:p>
        </w:tc>
        <w:tc>
          <w:tcPr>
            <w:tcW w:w="0" w:type="auto"/>
          </w:tcPr>
          <w:p w14:paraId="37E9938F"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16CEB490"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12F1A31A"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5B0AC50E"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47369529"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14050F07"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211E3DD0"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203605DE"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r w:rsidR="006B2EC1" w14:paraId="69D409EC" w14:textId="77777777" w:rsidTr="0047688D">
        <w:tc>
          <w:tcPr>
            <w:tcW w:w="0" w:type="auto"/>
          </w:tcPr>
          <w:p w14:paraId="37AC3FE6" w14:textId="77777777" w:rsidR="008C5CFA" w:rsidRPr="0024468B" w:rsidRDefault="00E82A60" w:rsidP="00300A01">
            <w:pPr>
              <w:spacing w:before="0" w:after="0"/>
              <w:rPr>
                <w:sz w:val="16"/>
                <w:szCs w:val="16"/>
                <w:lang w:val="fr-BE"/>
              </w:rPr>
            </w:pPr>
            <w:r>
              <w:rPr>
                <w:noProof/>
                <w:sz w:val="16"/>
                <w:szCs w:val="16"/>
                <w:lang w:val="fr-BE"/>
              </w:rPr>
              <w:t>S</w:t>
            </w:r>
          </w:p>
        </w:tc>
        <w:tc>
          <w:tcPr>
            <w:tcW w:w="0" w:type="auto"/>
            <w:shd w:val="clear" w:color="auto" w:fill="auto"/>
          </w:tcPr>
          <w:p w14:paraId="661C1DEA" w14:textId="77777777" w:rsidR="008C5CFA" w:rsidRPr="0024468B" w:rsidRDefault="00E82A60" w:rsidP="00300A01">
            <w:pPr>
              <w:spacing w:before="0" w:after="0"/>
              <w:rPr>
                <w:sz w:val="16"/>
                <w:szCs w:val="16"/>
                <w:lang w:val="fr-BE"/>
              </w:rPr>
            </w:pPr>
            <w:r>
              <w:rPr>
                <w:noProof/>
                <w:sz w:val="16"/>
                <w:szCs w:val="16"/>
                <w:lang w:val="fr-BE"/>
              </w:rPr>
              <w:t>88</w:t>
            </w:r>
          </w:p>
        </w:tc>
        <w:tc>
          <w:tcPr>
            <w:tcW w:w="0" w:type="auto"/>
            <w:shd w:val="clear" w:color="auto" w:fill="auto"/>
          </w:tcPr>
          <w:p w14:paraId="5FB47F29" w14:textId="77777777" w:rsidR="008C5CFA" w:rsidRPr="0024468B" w:rsidRDefault="00E82A60" w:rsidP="00300A01">
            <w:pPr>
              <w:spacing w:before="0" w:after="0"/>
              <w:rPr>
                <w:sz w:val="16"/>
                <w:szCs w:val="16"/>
                <w:lang w:val="fr-BE"/>
              </w:rPr>
            </w:pPr>
            <w:r>
              <w:rPr>
                <w:noProof/>
                <w:sz w:val="16"/>
                <w:szCs w:val="16"/>
                <w:lang w:val="fr-BE"/>
              </w:rPr>
              <w:t>Liczba wspartych podmiotów leczniczych</w:t>
            </w:r>
          </w:p>
        </w:tc>
        <w:tc>
          <w:tcPr>
            <w:tcW w:w="0" w:type="auto"/>
          </w:tcPr>
          <w:p w14:paraId="2A7F29FA" w14:textId="77777777" w:rsidR="008C5CFA" w:rsidRPr="0024468B" w:rsidRDefault="00E82A60" w:rsidP="00300A01">
            <w:pPr>
              <w:spacing w:before="0" w:after="0"/>
              <w:jc w:val="right"/>
              <w:rPr>
                <w:sz w:val="16"/>
                <w:szCs w:val="16"/>
                <w:lang w:val="fr-BE"/>
              </w:rPr>
            </w:pPr>
            <w:r w:rsidRPr="0024468B">
              <w:rPr>
                <w:noProof/>
                <w:sz w:val="16"/>
                <w:szCs w:val="16"/>
                <w:lang w:val="fr-BE"/>
              </w:rPr>
              <w:t>21,00</w:t>
            </w:r>
          </w:p>
        </w:tc>
        <w:tc>
          <w:tcPr>
            <w:tcW w:w="0" w:type="auto"/>
          </w:tcPr>
          <w:p w14:paraId="6B7A2CBE"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49135575"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05C23AA8" w14:textId="77777777" w:rsidR="008C5CFA" w:rsidRPr="0024468B" w:rsidRDefault="00E82A60" w:rsidP="00300A01">
            <w:pPr>
              <w:spacing w:before="0" w:after="0"/>
              <w:jc w:val="right"/>
              <w:rPr>
                <w:sz w:val="16"/>
                <w:szCs w:val="16"/>
                <w:lang w:val="fr-BE"/>
              </w:rPr>
            </w:pPr>
            <w:r w:rsidRPr="0024468B">
              <w:rPr>
                <w:noProof/>
                <w:sz w:val="16"/>
                <w:szCs w:val="16"/>
                <w:lang w:val="fr-BE"/>
              </w:rPr>
              <w:t>5,00</w:t>
            </w:r>
          </w:p>
        </w:tc>
        <w:tc>
          <w:tcPr>
            <w:tcW w:w="0" w:type="auto"/>
          </w:tcPr>
          <w:p w14:paraId="0750E7A5"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45D369A7"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5A88F4CC"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53241ABD"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2B229C54"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bl>
    <w:p w14:paraId="068D808C"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01"/>
        <w:gridCol w:w="497"/>
        <w:gridCol w:w="8255"/>
        <w:gridCol w:w="956"/>
        <w:gridCol w:w="1143"/>
        <w:gridCol w:w="966"/>
        <w:gridCol w:w="957"/>
        <w:gridCol w:w="1143"/>
        <w:gridCol w:w="966"/>
      </w:tblGrid>
      <w:tr w:rsidR="006B2EC1" w14:paraId="19F9730C" w14:textId="77777777" w:rsidTr="0047688D">
        <w:trPr>
          <w:tblHeader/>
        </w:trPr>
        <w:tc>
          <w:tcPr>
            <w:tcW w:w="0" w:type="auto"/>
          </w:tcPr>
          <w:p w14:paraId="7D893E37" w14:textId="77777777" w:rsidR="008C5CFA" w:rsidRPr="009143B4" w:rsidRDefault="00E82A60" w:rsidP="00300A01">
            <w:pPr>
              <w:spacing w:before="0" w:after="0"/>
              <w:rPr>
                <w:b/>
                <w:sz w:val="16"/>
                <w:szCs w:val="16"/>
                <w:lang w:val="fr-BE"/>
              </w:rPr>
            </w:pPr>
            <w:r w:rsidRPr="009143B4">
              <w:rPr>
                <w:b/>
                <w:sz w:val="16"/>
                <w:szCs w:val="16"/>
                <w:lang w:val="fr-BE"/>
              </w:rPr>
              <w:t>(1)</w:t>
            </w:r>
          </w:p>
        </w:tc>
        <w:tc>
          <w:tcPr>
            <w:tcW w:w="0" w:type="auto"/>
            <w:shd w:val="clear" w:color="auto" w:fill="auto"/>
          </w:tcPr>
          <w:p w14:paraId="1524CF80" w14:textId="77777777" w:rsidR="008C5CFA" w:rsidRPr="009143B4" w:rsidRDefault="00E82A60" w:rsidP="00300A01">
            <w:pPr>
              <w:spacing w:before="0" w:after="0"/>
              <w:rPr>
                <w:b/>
                <w:sz w:val="16"/>
                <w:szCs w:val="16"/>
                <w:lang w:val="fr-BE"/>
              </w:rPr>
            </w:pPr>
            <w:r w:rsidRPr="009143B4">
              <w:rPr>
                <w:b/>
                <w:noProof/>
                <w:sz w:val="16"/>
                <w:szCs w:val="16"/>
                <w:lang w:val="fr-BE"/>
              </w:rPr>
              <w:t>ID</w:t>
            </w:r>
          </w:p>
        </w:tc>
        <w:tc>
          <w:tcPr>
            <w:tcW w:w="0" w:type="auto"/>
            <w:shd w:val="clear" w:color="auto" w:fill="auto"/>
          </w:tcPr>
          <w:p w14:paraId="40391D5E" w14:textId="77777777" w:rsidR="008C5CFA" w:rsidRPr="009143B4" w:rsidRDefault="00E82A60" w:rsidP="00300A01">
            <w:pPr>
              <w:spacing w:before="0" w:after="0"/>
              <w:rPr>
                <w:b/>
                <w:sz w:val="16"/>
                <w:szCs w:val="16"/>
                <w:lang w:val="fr-BE"/>
              </w:rPr>
            </w:pPr>
            <w:r w:rsidRPr="009143B4">
              <w:rPr>
                <w:b/>
                <w:noProof/>
                <w:sz w:val="16"/>
                <w:szCs w:val="16"/>
                <w:lang w:val="fr-BE"/>
              </w:rPr>
              <w:t>Wskaźnik</w:t>
            </w:r>
          </w:p>
        </w:tc>
        <w:tc>
          <w:tcPr>
            <w:tcW w:w="0" w:type="auto"/>
          </w:tcPr>
          <w:p w14:paraId="6A287E01" w14:textId="77777777" w:rsidR="008C5CFA" w:rsidRPr="009143B4" w:rsidRDefault="00E82A60"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Ogółem</w:t>
            </w:r>
          </w:p>
        </w:tc>
        <w:tc>
          <w:tcPr>
            <w:tcW w:w="0" w:type="auto"/>
          </w:tcPr>
          <w:p w14:paraId="2E76EAEB" w14:textId="77777777" w:rsidR="008C5CFA" w:rsidRPr="009143B4" w:rsidRDefault="00E82A60"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Mężczyźni</w:t>
            </w:r>
          </w:p>
        </w:tc>
        <w:tc>
          <w:tcPr>
            <w:tcW w:w="0" w:type="auto"/>
          </w:tcPr>
          <w:p w14:paraId="231F0B32" w14:textId="77777777" w:rsidR="008C5CFA" w:rsidRPr="009143B4" w:rsidRDefault="00E82A60"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Kobiety</w:t>
            </w:r>
          </w:p>
        </w:tc>
        <w:tc>
          <w:tcPr>
            <w:tcW w:w="0" w:type="auto"/>
            <w:shd w:val="clear" w:color="auto" w:fill="auto"/>
          </w:tcPr>
          <w:p w14:paraId="78FD3E20" w14:textId="77777777" w:rsidR="008C5CFA" w:rsidRPr="009143B4" w:rsidRDefault="00E82A60"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Ogółem</w:t>
            </w:r>
          </w:p>
        </w:tc>
        <w:tc>
          <w:tcPr>
            <w:tcW w:w="0" w:type="auto"/>
            <w:shd w:val="clear" w:color="auto" w:fill="auto"/>
          </w:tcPr>
          <w:p w14:paraId="26453DF9" w14:textId="77777777" w:rsidR="008C5CFA" w:rsidRPr="009143B4" w:rsidRDefault="00E82A60"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Mężczyźni</w:t>
            </w:r>
          </w:p>
        </w:tc>
        <w:tc>
          <w:tcPr>
            <w:tcW w:w="0" w:type="auto"/>
            <w:shd w:val="clear" w:color="auto" w:fill="auto"/>
          </w:tcPr>
          <w:p w14:paraId="4967461C" w14:textId="77777777" w:rsidR="008C5CFA" w:rsidRPr="009143B4" w:rsidRDefault="00E82A60"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Kobiety</w:t>
            </w:r>
          </w:p>
        </w:tc>
      </w:tr>
      <w:tr w:rsidR="006B2EC1" w14:paraId="656D9615" w14:textId="77777777" w:rsidTr="0047688D">
        <w:tc>
          <w:tcPr>
            <w:tcW w:w="0" w:type="auto"/>
          </w:tcPr>
          <w:p w14:paraId="11BF42CB" w14:textId="77777777" w:rsidR="008C5CFA" w:rsidRPr="0024468B" w:rsidRDefault="00E82A60" w:rsidP="00300A01">
            <w:pPr>
              <w:spacing w:before="0" w:after="0"/>
              <w:rPr>
                <w:sz w:val="16"/>
                <w:szCs w:val="16"/>
                <w:lang w:val="fr-BE"/>
              </w:rPr>
            </w:pPr>
            <w:r>
              <w:rPr>
                <w:noProof/>
                <w:sz w:val="16"/>
                <w:szCs w:val="16"/>
                <w:lang w:val="fr-BE"/>
              </w:rPr>
              <w:t>F</w:t>
            </w:r>
          </w:p>
        </w:tc>
        <w:tc>
          <w:tcPr>
            <w:tcW w:w="0" w:type="auto"/>
            <w:shd w:val="clear" w:color="auto" w:fill="auto"/>
          </w:tcPr>
          <w:p w14:paraId="71721865" w14:textId="77777777" w:rsidR="008C5CFA" w:rsidRPr="0024468B" w:rsidRDefault="00E82A60" w:rsidP="00300A01">
            <w:pPr>
              <w:spacing w:before="0" w:after="0"/>
              <w:rPr>
                <w:sz w:val="16"/>
                <w:szCs w:val="16"/>
                <w:lang w:val="fr-BE"/>
              </w:rPr>
            </w:pPr>
            <w:r w:rsidRPr="0024468B">
              <w:rPr>
                <w:noProof/>
                <w:sz w:val="16"/>
                <w:szCs w:val="16"/>
                <w:lang w:val="fr-BE"/>
              </w:rPr>
              <w:t>CO35</w:t>
            </w:r>
          </w:p>
        </w:tc>
        <w:tc>
          <w:tcPr>
            <w:tcW w:w="0" w:type="auto"/>
            <w:shd w:val="clear" w:color="auto" w:fill="auto"/>
          </w:tcPr>
          <w:p w14:paraId="411ED2CD" w14:textId="77777777" w:rsidR="008C5CFA" w:rsidRPr="0024468B" w:rsidRDefault="00E82A60" w:rsidP="00300A01">
            <w:pPr>
              <w:spacing w:before="0" w:after="0"/>
              <w:rPr>
                <w:sz w:val="16"/>
                <w:szCs w:val="16"/>
                <w:lang w:val="fr-BE"/>
              </w:rPr>
            </w:pPr>
            <w:r w:rsidRPr="0024468B">
              <w:rPr>
                <w:noProof/>
                <w:sz w:val="16"/>
                <w:szCs w:val="16"/>
                <w:lang w:val="fr-BE"/>
              </w:rPr>
              <w:t>Opieka nad dziećmi i edukacja: Liczba miejsc w objętej wsparciem infrastrukturze w zakresie opieki nad dziećmi lub infrastrukturze edukacyjnej</w:t>
            </w:r>
          </w:p>
        </w:tc>
        <w:tc>
          <w:tcPr>
            <w:tcW w:w="0" w:type="auto"/>
          </w:tcPr>
          <w:p w14:paraId="5689E2E8"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02D2AF5C"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679DFE10"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33289B02"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37CF7B7C"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2DC12322"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r w:rsidR="006B2EC1" w14:paraId="7E298A5D" w14:textId="77777777" w:rsidTr="0047688D">
        <w:tc>
          <w:tcPr>
            <w:tcW w:w="0" w:type="auto"/>
          </w:tcPr>
          <w:p w14:paraId="38238F74" w14:textId="77777777" w:rsidR="008C5CFA" w:rsidRPr="0024468B" w:rsidRDefault="00E82A60" w:rsidP="00300A01">
            <w:pPr>
              <w:spacing w:before="0" w:after="0"/>
              <w:rPr>
                <w:sz w:val="16"/>
                <w:szCs w:val="16"/>
                <w:lang w:val="fr-BE"/>
              </w:rPr>
            </w:pPr>
            <w:r>
              <w:rPr>
                <w:noProof/>
                <w:sz w:val="16"/>
                <w:szCs w:val="16"/>
                <w:lang w:val="fr-BE"/>
              </w:rPr>
              <w:t>S</w:t>
            </w:r>
          </w:p>
        </w:tc>
        <w:tc>
          <w:tcPr>
            <w:tcW w:w="0" w:type="auto"/>
            <w:shd w:val="clear" w:color="auto" w:fill="auto"/>
          </w:tcPr>
          <w:p w14:paraId="4743173A" w14:textId="77777777" w:rsidR="008C5CFA" w:rsidRPr="0024468B" w:rsidRDefault="00E82A60" w:rsidP="00300A01">
            <w:pPr>
              <w:spacing w:before="0" w:after="0"/>
              <w:rPr>
                <w:sz w:val="16"/>
                <w:szCs w:val="16"/>
                <w:lang w:val="fr-BE"/>
              </w:rPr>
            </w:pPr>
            <w:r w:rsidRPr="0024468B">
              <w:rPr>
                <w:noProof/>
                <w:sz w:val="16"/>
                <w:szCs w:val="16"/>
                <w:lang w:val="fr-BE"/>
              </w:rPr>
              <w:t>CO35</w:t>
            </w:r>
          </w:p>
        </w:tc>
        <w:tc>
          <w:tcPr>
            <w:tcW w:w="0" w:type="auto"/>
            <w:shd w:val="clear" w:color="auto" w:fill="auto"/>
          </w:tcPr>
          <w:p w14:paraId="73DEEDD9" w14:textId="77777777" w:rsidR="008C5CFA" w:rsidRPr="0024468B" w:rsidRDefault="00E82A60" w:rsidP="00300A01">
            <w:pPr>
              <w:spacing w:before="0" w:after="0"/>
              <w:rPr>
                <w:sz w:val="16"/>
                <w:szCs w:val="16"/>
                <w:lang w:val="fr-BE"/>
              </w:rPr>
            </w:pPr>
            <w:r w:rsidRPr="0024468B">
              <w:rPr>
                <w:noProof/>
                <w:sz w:val="16"/>
                <w:szCs w:val="16"/>
                <w:lang w:val="fr-BE"/>
              </w:rPr>
              <w:t>Opieka nad dziećmi i edukacja: Liczba miejsc w objętej wsparciem infrastrukturze w zakresie opieki nad dziećmi lub infrastrukturze edukacyjnej</w:t>
            </w:r>
          </w:p>
        </w:tc>
        <w:tc>
          <w:tcPr>
            <w:tcW w:w="0" w:type="auto"/>
          </w:tcPr>
          <w:p w14:paraId="4A579F9C"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1E92EE3A"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05C9F6A6"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3007EE09"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3B439DCC"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2C095C60"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r w:rsidR="006B2EC1" w14:paraId="45E9F7F2" w14:textId="77777777" w:rsidTr="0047688D">
        <w:tc>
          <w:tcPr>
            <w:tcW w:w="0" w:type="auto"/>
          </w:tcPr>
          <w:p w14:paraId="1AAE1A88" w14:textId="77777777" w:rsidR="008C5CFA" w:rsidRPr="0024468B" w:rsidRDefault="00E82A60" w:rsidP="00300A01">
            <w:pPr>
              <w:spacing w:before="0" w:after="0"/>
              <w:rPr>
                <w:sz w:val="16"/>
                <w:szCs w:val="16"/>
                <w:lang w:val="fr-BE"/>
              </w:rPr>
            </w:pPr>
            <w:r>
              <w:rPr>
                <w:noProof/>
                <w:sz w:val="16"/>
                <w:szCs w:val="16"/>
                <w:lang w:val="fr-BE"/>
              </w:rPr>
              <w:t>F</w:t>
            </w:r>
          </w:p>
        </w:tc>
        <w:tc>
          <w:tcPr>
            <w:tcW w:w="0" w:type="auto"/>
            <w:shd w:val="clear" w:color="auto" w:fill="auto"/>
          </w:tcPr>
          <w:p w14:paraId="243C99EA" w14:textId="77777777" w:rsidR="008C5CFA" w:rsidRPr="0024468B" w:rsidRDefault="00E82A60" w:rsidP="00300A01">
            <w:pPr>
              <w:spacing w:before="0" w:after="0"/>
              <w:rPr>
                <w:sz w:val="16"/>
                <w:szCs w:val="16"/>
                <w:lang w:val="fr-BE"/>
              </w:rPr>
            </w:pPr>
            <w:r w:rsidRPr="0024468B">
              <w:rPr>
                <w:noProof/>
                <w:sz w:val="16"/>
                <w:szCs w:val="16"/>
                <w:lang w:val="fr-BE"/>
              </w:rPr>
              <w:t>CO36</w:t>
            </w:r>
          </w:p>
        </w:tc>
        <w:tc>
          <w:tcPr>
            <w:tcW w:w="0" w:type="auto"/>
            <w:shd w:val="clear" w:color="auto" w:fill="auto"/>
          </w:tcPr>
          <w:p w14:paraId="43E97CED" w14:textId="77777777" w:rsidR="008C5CFA" w:rsidRPr="0024468B" w:rsidRDefault="00E82A60" w:rsidP="00300A01">
            <w:pPr>
              <w:spacing w:before="0" w:after="0"/>
              <w:rPr>
                <w:sz w:val="16"/>
                <w:szCs w:val="16"/>
                <w:lang w:val="fr-BE"/>
              </w:rPr>
            </w:pPr>
            <w:r w:rsidRPr="0024468B">
              <w:rPr>
                <w:noProof/>
                <w:sz w:val="16"/>
                <w:szCs w:val="16"/>
                <w:lang w:val="fr-BE"/>
              </w:rPr>
              <w:t>Zdrowie: ludność objęta ulepszonymi usługami zdrowotnymi</w:t>
            </w:r>
          </w:p>
        </w:tc>
        <w:tc>
          <w:tcPr>
            <w:tcW w:w="0" w:type="auto"/>
          </w:tcPr>
          <w:p w14:paraId="6F6A5E8C"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5EBA0184"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20D90B15"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418AEE35"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09E14F55"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23AD2ED2"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r w:rsidR="006B2EC1" w14:paraId="035E68E0" w14:textId="77777777" w:rsidTr="0047688D">
        <w:tc>
          <w:tcPr>
            <w:tcW w:w="0" w:type="auto"/>
          </w:tcPr>
          <w:p w14:paraId="3BD9C798" w14:textId="77777777" w:rsidR="008C5CFA" w:rsidRPr="0024468B" w:rsidRDefault="00E82A60" w:rsidP="00300A01">
            <w:pPr>
              <w:spacing w:before="0" w:after="0"/>
              <w:rPr>
                <w:sz w:val="16"/>
                <w:szCs w:val="16"/>
                <w:lang w:val="fr-BE"/>
              </w:rPr>
            </w:pPr>
            <w:r>
              <w:rPr>
                <w:noProof/>
                <w:sz w:val="16"/>
                <w:szCs w:val="16"/>
                <w:lang w:val="fr-BE"/>
              </w:rPr>
              <w:t>S</w:t>
            </w:r>
          </w:p>
        </w:tc>
        <w:tc>
          <w:tcPr>
            <w:tcW w:w="0" w:type="auto"/>
            <w:shd w:val="clear" w:color="auto" w:fill="auto"/>
          </w:tcPr>
          <w:p w14:paraId="2CCAF367" w14:textId="77777777" w:rsidR="008C5CFA" w:rsidRPr="0024468B" w:rsidRDefault="00E82A60" w:rsidP="00300A01">
            <w:pPr>
              <w:spacing w:before="0" w:after="0"/>
              <w:rPr>
                <w:sz w:val="16"/>
                <w:szCs w:val="16"/>
                <w:lang w:val="fr-BE"/>
              </w:rPr>
            </w:pPr>
            <w:r w:rsidRPr="0024468B">
              <w:rPr>
                <w:noProof/>
                <w:sz w:val="16"/>
                <w:szCs w:val="16"/>
                <w:lang w:val="fr-BE"/>
              </w:rPr>
              <w:t>CO36</w:t>
            </w:r>
          </w:p>
        </w:tc>
        <w:tc>
          <w:tcPr>
            <w:tcW w:w="0" w:type="auto"/>
            <w:shd w:val="clear" w:color="auto" w:fill="auto"/>
          </w:tcPr>
          <w:p w14:paraId="00E88074" w14:textId="77777777" w:rsidR="008C5CFA" w:rsidRPr="0024468B" w:rsidRDefault="00E82A60" w:rsidP="00300A01">
            <w:pPr>
              <w:spacing w:before="0" w:after="0"/>
              <w:rPr>
                <w:sz w:val="16"/>
                <w:szCs w:val="16"/>
                <w:lang w:val="fr-BE"/>
              </w:rPr>
            </w:pPr>
            <w:r w:rsidRPr="0024468B">
              <w:rPr>
                <w:noProof/>
                <w:sz w:val="16"/>
                <w:szCs w:val="16"/>
                <w:lang w:val="fr-BE"/>
              </w:rPr>
              <w:t>Zdrowie: ludność objęta ulepszonymi usługami zdrowotnymi</w:t>
            </w:r>
          </w:p>
        </w:tc>
        <w:tc>
          <w:tcPr>
            <w:tcW w:w="0" w:type="auto"/>
          </w:tcPr>
          <w:p w14:paraId="729480EF"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462343C4"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51EB8DA5"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54A5CBCE"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77888802"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4BD69D53"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r w:rsidR="006B2EC1" w14:paraId="567BF4CF" w14:textId="77777777" w:rsidTr="0047688D">
        <w:tc>
          <w:tcPr>
            <w:tcW w:w="0" w:type="auto"/>
          </w:tcPr>
          <w:p w14:paraId="57EA062E" w14:textId="77777777" w:rsidR="008C5CFA" w:rsidRPr="0024468B" w:rsidRDefault="00E82A60" w:rsidP="00300A01">
            <w:pPr>
              <w:spacing w:before="0" w:after="0"/>
              <w:rPr>
                <w:sz w:val="16"/>
                <w:szCs w:val="16"/>
                <w:lang w:val="fr-BE"/>
              </w:rPr>
            </w:pPr>
            <w:r>
              <w:rPr>
                <w:noProof/>
                <w:sz w:val="16"/>
                <w:szCs w:val="16"/>
                <w:lang w:val="fr-BE"/>
              </w:rPr>
              <w:t>F</w:t>
            </w:r>
          </w:p>
        </w:tc>
        <w:tc>
          <w:tcPr>
            <w:tcW w:w="0" w:type="auto"/>
            <w:shd w:val="clear" w:color="auto" w:fill="auto"/>
          </w:tcPr>
          <w:p w14:paraId="47FC0461" w14:textId="77777777" w:rsidR="008C5CFA" w:rsidRPr="0024468B" w:rsidRDefault="00E82A60" w:rsidP="00300A01">
            <w:pPr>
              <w:spacing w:before="0" w:after="0"/>
              <w:rPr>
                <w:sz w:val="16"/>
                <w:szCs w:val="16"/>
                <w:lang w:val="fr-BE"/>
              </w:rPr>
            </w:pPr>
            <w:r>
              <w:rPr>
                <w:noProof/>
                <w:sz w:val="16"/>
                <w:szCs w:val="16"/>
                <w:lang w:val="fr-BE"/>
              </w:rPr>
              <w:t>045</w:t>
            </w:r>
          </w:p>
        </w:tc>
        <w:tc>
          <w:tcPr>
            <w:tcW w:w="0" w:type="auto"/>
            <w:shd w:val="clear" w:color="auto" w:fill="auto"/>
          </w:tcPr>
          <w:p w14:paraId="2A40C5C5" w14:textId="77777777" w:rsidR="008C5CFA" w:rsidRPr="0024468B" w:rsidRDefault="00E82A60" w:rsidP="00300A01">
            <w:pPr>
              <w:spacing w:before="0" w:after="0"/>
              <w:rPr>
                <w:sz w:val="16"/>
                <w:szCs w:val="16"/>
                <w:lang w:val="fr-BE"/>
              </w:rPr>
            </w:pPr>
            <w:r>
              <w:rPr>
                <w:noProof/>
                <w:sz w:val="16"/>
                <w:szCs w:val="16"/>
                <w:lang w:val="fr-BE"/>
              </w:rPr>
              <w:t>Liczba wybudowanych obiektów, w których realizowane są usługi aktywizacji społeczno-zawodowej</w:t>
            </w:r>
          </w:p>
        </w:tc>
        <w:tc>
          <w:tcPr>
            <w:tcW w:w="0" w:type="auto"/>
          </w:tcPr>
          <w:p w14:paraId="11EFE9D1"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3BE9A2D6"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0D18B028"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072A9BCB"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08A76323"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1892E586"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r w:rsidR="006B2EC1" w14:paraId="5755003C" w14:textId="77777777" w:rsidTr="0047688D">
        <w:tc>
          <w:tcPr>
            <w:tcW w:w="0" w:type="auto"/>
          </w:tcPr>
          <w:p w14:paraId="6C6B8CB4" w14:textId="77777777" w:rsidR="008C5CFA" w:rsidRPr="0024468B" w:rsidRDefault="00E82A60" w:rsidP="00300A01">
            <w:pPr>
              <w:spacing w:before="0" w:after="0"/>
              <w:rPr>
                <w:sz w:val="16"/>
                <w:szCs w:val="16"/>
                <w:lang w:val="fr-BE"/>
              </w:rPr>
            </w:pPr>
            <w:r>
              <w:rPr>
                <w:noProof/>
                <w:sz w:val="16"/>
                <w:szCs w:val="16"/>
                <w:lang w:val="fr-BE"/>
              </w:rPr>
              <w:t>S</w:t>
            </w:r>
          </w:p>
        </w:tc>
        <w:tc>
          <w:tcPr>
            <w:tcW w:w="0" w:type="auto"/>
            <w:shd w:val="clear" w:color="auto" w:fill="auto"/>
          </w:tcPr>
          <w:p w14:paraId="7501B79E" w14:textId="77777777" w:rsidR="008C5CFA" w:rsidRPr="0024468B" w:rsidRDefault="00E82A60" w:rsidP="00300A01">
            <w:pPr>
              <w:spacing w:before="0" w:after="0"/>
              <w:rPr>
                <w:sz w:val="16"/>
                <w:szCs w:val="16"/>
                <w:lang w:val="fr-BE"/>
              </w:rPr>
            </w:pPr>
            <w:r>
              <w:rPr>
                <w:noProof/>
                <w:sz w:val="16"/>
                <w:szCs w:val="16"/>
                <w:lang w:val="fr-BE"/>
              </w:rPr>
              <w:t>045</w:t>
            </w:r>
          </w:p>
        </w:tc>
        <w:tc>
          <w:tcPr>
            <w:tcW w:w="0" w:type="auto"/>
            <w:shd w:val="clear" w:color="auto" w:fill="auto"/>
          </w:tcPr>
          <w:p w14:paraId="5DEE2DB2" w14:textId="77777777" w:rsidR="008C5CFA" w:rsidRPr="0024468B" w:rsidRDefault="00E82A60" w:rsidP="00300A01">
            <w:pPr>
              <w:spacing w:before="0" w:after="0"/>
              <w:rPr>
                <w:sz w:val="16"/>
                <w:szCs w:val="16"/>
                <w:lang w:val="fr-BE"/>
              </w:rPr>
            </w:pPr>
            <w:r>
              <w:rPr>
                <w:noProof/>
                <w:sz w:val="16"/>
                <w:szCs w:val="16"/>
                <w:lang w:val="fr-BE"/>
              </w:rPr>
              <w:t>Liczba wybudowanych obiektów, w których realizowane są usługi aktywizacji społeczno-zawodowej</w:t>
            </w:r>
          </w:p>
        </w:tc>
        <w:tc>
          <w:tcPr>
            <w:tcW w:w="0" w:type="auto"/>
          </w:tcPr>
          <w:p w14:paraId="155BE4E7"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0169203A"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39060E4A"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385EEFB9"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2D1F4C0C"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24B538E9"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r w:rsidR="006B2EC1" w14:paraId="62FCC099" w14:textId="77777777" w:rsidTr="0047688D">
        <w:tc>
          <w:tcPr>
            <w:tcW w:w="0" w:type="auto"/>
          </w:tcPr>
          <w:p w14:paraId="72F6E379" w14:textId="77777777" w:rsidR="008C5CFA" w:rsidRPr="0024468B" w:rsidRDefault="00E82A60" w:rsidP="00300A01">
            <w:pPr>
              <w:spacing w:before="0" w:after="0"/>
              <w:rPr>
                <w:sz w:val="16"/>
                <w:szCs w:val="16"/>
                <w:lang w:val="fr-BE"/>
              </w:rPr>
            </w:pPr>
            <w:r>
              <w:rPr>
                <w:noProof/>
                <w:sz w:val="16"/>
                <w:szCs w:val="16"/>
                <w:lang w:val="fr-BE"/>
              </w:rPr>
              <w:t>F</w:t>
            </w:r>
          </w:p>
        </w:tc>
        <w:tc>
          <w:tcPr>
            <w:tcW w:w="0" w:type="auto"/>
            <w:shd w:val="clear" w:color="auto" w:fill="auto"/>
          </w:tcPr>
          <w:p w14:paraId="04818575" w14:textId="77777777" w:rsidR="008C5CFA" w:rsidRPr="0024468B" w:rsidRDefault="00E82A60" w:rsidP="00300A01">
            <w:pPr>
              <w:spacing w:before="0" w:after="0"/>
              <w:rPr>
                <w:sz w:val="16"/>
                <w:szCs w:val="16"/>
                <w:lang w:val="fr-BE"/>
              </w:rPr>
            </w:pPr>
            <w:r>
              <w:rPr>
                <w:noProof/>
                <w:sz w:val="16"/>
                <w:szCs w:val="16"/>
                <w:lang w:val="fr-BE"/>
              </w:rPr>
              <w:t>046</w:t>
            </w:r>
          </w:p>
        </w:tc>
        <w:tc>
          <w:tcPr>
            <w:tcW w:w="0" w:type="auto"/>
            <w:shd w:val="clear" w:color="auto" w:fill="auto"/>
          </w:tcPr>
          <w:p w14:paraId="77E98D93" w14:textId="77777777" w:rsidR="008C5CFA" w:rsidRPr="0024468B" w:rsidRDefault="00E82A60" w:rsidP="00300A01">
            <w:pPr>
              <w:spacing w:before="0" w:after="0"/>
              <w:rPr>
                <w:sz w:val="16"/>
                <w:szCs w:val="16"/>
                <w:lang w:val="fr-BE"/>
              </w:rPr>
            </w:pPr>
            <w:r>
              <w:rPr>
                <w:noProof/>
                <w:sz w:val="16"/>
                <w:szCs w:val="16"/>
                <w:lang w:val="fr-BE"/>
              </w:rPr>
              <w:t>Liczba przebudowanych obiektów, w których realizowane są usługi aktywizacji społeczno-zawodowej</w:t>
            </w:r>
          </w:p>
        </w:tc>
        <w:tc>
          <w:tcPr>
            <w:tcW w:w="0" w:type="auto"/>
          </w:tcPr>
          <w:p w14:paraId="55E949D2"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71C1DC38"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352A55DE"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342CF380"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3B8644C6"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29094084"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r w:rsidR="006B2EC1" w14:paraId="5EF532DB" w14:textId="77777777" w:rsidTr="0047688D">
        <w:tc>
          <w:tcPr>
            <w:tcW w:w="0" w:type="auto"/>
          </w:tcPr>
          <w:p w14:paraId="157593B6" w14:textId="77777777" w:rsidR="008C5CFA" w:rsidRPr="0024468B" w:rsidRDefault="00E82A60" w:rsidP="00300A01">
            <w:pPr>
              <w:spacing w:before="0" w:after="0"/>
              <w:rPr>
                <w:sz w:val="16"/>
                <w:szCs w:val="16"/>
                <w:lang w:val="fr-BE"/>
              </w:rPr>
            </w:pPr>
            <w:r>
              <w:rPr>
                <w:noProof/>
                <w:sz w:val="16"/>
                <w:szCs w:val="16"/>
                <w:lang w:val="fr-BE"/>
              </w:rPr>
              <w:t>S</w:t>
            </w:r>
          </w:p>
        </w:tc>
        <w:tc>
          <w:tcPr>
            <w:tcW w:w="0" w:type="auto"/>
            <w:shd w:val="clear" w:color="auto" w:fill="auto"/>
          </w:tcPr>
          <w:p w14:paraId="5AB076B2" w14:textId="77777777" w:rsidR="008C5CFA" w:rsidRPr="0024468B" w:rsidRDefault="00E82A60" w:rsidP="00300A01">
            <w:pPr>
              <w:spacing w:before="0" w:after="0"/>
              <w:rPr>
                <w:sz w:val="16"/>
                <w:szCs w:val="16"/>
                <w:lang w:val="fr-BE"/>
              </w:rPr>
            </w:pPr>
            <w:r>
              <w:rPr>
                <w:noProof/>
                <w:sz w:val="16"/>
                <w:szCs w:val="16"/>
                <w:lang w:val="fr-BE"/>
              </w:rPr>
              <w:t>046</w:t>
            </w:r>
          </w:p>
        </w:tc>
        <w:tc>
          <w:tcPr>
            <w:tcW w:w="0" w:type="auto"/>
            <w:shd w:val="clear" w:color="auto" w:fill="auto"/>
          </w:tcPr>
          <w:p w14:paraId="3EC672BD" w14:textId="77777777" w:rsidR="008C5CFA" w:rsidRPr="0024468B" w:rsidRDefault="00E82A60" w:rsidP="00300A01">
            <w:pPr>
              <w:spacing w:before="0" w:after="0"/>
              <w:rPr>
                <w:sz w:val="16"/>
                <w:szCs w:val="16"/>
                <w:lang w:val="fr-BE"/>
              </w:rPr>
            </w:pPr>
            <w:r>
              <w:rPr>
                <w:noProof/>
                <w:sz w:val="16"/>
                <w:szCs w:val="16"/>
                <w:lang w:val="fr-BE"/>
              </w:rPr>
              <w:t>Liczba przebudowanych obiektów, w których realizowane są usługi aktywizacji społeczno-zawodowej</w:t>
            </w:r>
          </w:p>
        </w:tc>
        <w:tc>
          <w:tcPr>
            <w:tcW w:w="0" w:type="auto"/>
          </w:tcPr>
          <w:p w14:paraId="5E2CA1F6"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714E4A62"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638880A5"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06BC1B47"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796F2464"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37D419F9"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r w:rsidR="006B2EC1" w14:paraId="63391AA7" w14:textId="77777777" w:rsidTr="0047688D">
        <w:tc>
          <w:tcPr>
            <w:tcW w:w="0" w:type="auto"/>
          </w:tcPr>
          <w:p w14:paraId="7FACEDBF" w14:textId="77777777" w:rsidR="008C5CFA" w:rsidRPr="0024468B" w:rsidRDefault="00E82A60" w:rsidP="00300A01">
            <w:pPr>
              <w:spacing w:before="0" w:after="0"/>
              <w:rPr>
                <w:sz w:val="16"/>
                <w:szCs w:val="16"/>
                <w:lang w:val="fr-BE"/>
              </w:rPr>
            </w:pPr>
            <w:r>
              <w:rPr>
                <w:noProof/>
                <w:sz w:val="16"/>
                <w:szCs w:val="16"/>
                <w:lang w:val="fr-BE"/>
              </w:rPr>
              <w:t>F</w:t>
            </w:r>
          </w:p>
        </w:tc>
        <w:tc>
          <w:tcPr>
            <w:tcW w:w="0" w:type="auto"/>
            <w:shd w:val="clear" w:color="auto" w:fill="auto"/>
          </w:tcPr>
          <w:p w14:paraId="2829B1B3" w14:textId="77777777" w:rsidR="008C5CFA" w:rsidRPr="0024468B" w:rsidRDefault="00E82A60" w:rsidP="00300A01">
            <w:pPr>
              <w:spacing w:before="0" w:after="0"/>
              <w:rPr>
                <w:sz w:val="16"/>
                <w:szCs w:val="16"/>
                <w:lang w:val="fr-BE"/>
              </w:rPr>
            </w:pPr>
            <w:r>
              <w:rPr>
                <w:noProof/>
                <w:sz w:val="16"/>
                <w:szCs w:val="16"/>
                <w:lang w:val="fr-BE"/>
              </w:rPr>
              <w:t>88</w:t>
            </w:r>
          </w:p>
        </w:tc>
        <w:tc>
          <w:tcPr>
            <w:tcW w:w="0" w:type="auto"/>
            <w:shd w:val="clear" w:color="auto" w:fill="auto"/>
          </w:tcPr>
          <w:p w14:paraId="6292D680" w14:textId="77777777" w:rsidR="008C5CFA" w:rsidRPr="0024468B" w:rsidRDefault="00E82A60" w:rsidP="00300A01">
            <w:pPr>
              <w:spacing w:before="0" w:after="0"/>
              <w:rPr>
                <w:sz w:val="16"/>
                <w:szCs w:val="16"/>
                <w:lang w:val="fr-BE"/>
              </w:rPr>
            </w:pPr>
            <w:r>
              <w:rPr>
                <w:noProof/>
                <w:sz w:val="16"/>
                <w:szCs w:val="16"/>
                <w:lang w:val="fr-BE"/>
              </w:rPr>
              <w:t>Liczba wspartych podmiotów leczniczych</w:t>
            </w:r>
          </w:p>
        </w:tc>
        <w:tc>
          <w:tcPr>
            <w:tcW w:w="0" w:type="auto"/>
          </w:tcPr>
          <w:p w14:paraId="363BC85D"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2E8265C9"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5B87AD3B"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7F0D88C5"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4544F3B0"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0145862D"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r w:rsidR="006B2EC1" w14:paraId="013CFB07" w14:textId="77777777" w:rsidTr="0047688D">
        <w:tc>
          <w:tcPr>
            <w:tcW w:w="0" w:type="auto"/>
          </w:tcPr>
          <w:p w14:paraId="20C05C40" w14:textId="77777777" w:rsidR="008C5CFA" w:rsidRPr="0024468B" w:rsidRDefault="00E82A60" w:rsidP="00300A01">
            <w:pPr>
              <w:spacing w:before="0" w:after="0"/>
              <w:rPr>
                <w:sz w:val="16"/>
                <w:szCs w:val="16"/>
                <w:lang w:val="fr-BE"/>
              </w:rPr>
            </w:pPr>
            <w:r>
              <w:rPr>
                <w:noProof/>
                <w:sz w:val="16"/>
                <w:szCs w:val="16"/>
                <w:lang w:val="fr-BE"/>
              </w:rPr>
              <w:t>S</w:t>
            </w:r>
          </w:p>
        </w:tc>
        <w:tc>
          <w:tcPr>
            <w:tcW w:w="0" w:type="auto"/>
            <w:shd w:val="clear" w:color="auto" w:fill="auto"/>
          </w:tcPr>
          <w:p w14:paraId="0E9FD18E" w14:textId="77777777" w:rsidR="008C5CFA" w:rsidRPr="0024468B" w:rsidRDefault="00E82A60" w:rsidP="00300A01">
            <w:pPr>
              <w:spacing w:before="0" w:after="0"/>
              <w:rPr>
                <w:sz w:val="16"/>
                <w:szCs w:val="16"/>
                <w:lang w:val="fr-BE"/>
              </w:rPr>
            </w:pPr>
            <w:r>
              <w:rPr>
                <w:noProof/>
                <w:sz w:val="16"/>
                <w:szCs w:val="16"/>
                <w:lang w:val="fr-BE"/>
              </w:rPr>
              <w:t>88</w:t>
            </w:r>
          </w:p>
        </w:tc>
        <w:tc>
          <w:tcPr>
            <w:tcW w:w="0" w:type="auto"/>
            <w:shd w:val="clear" w:color="auto" w:fill="auto"/>
          </w:tcPr>
          <w:p w14:paraId="2436E0F2" w14:textId="77777777" w:rsidR="008C5CFA" w:rsidRPr="0024468B" w:rsidRDefault="00E82A60" w:rsidP="00300A01">
            <w:pPr>
              <w:spacing w:before="0" w:after="0"/>
              <w:rPr>
                <w:sz w:val="16"/>
                <w:szCs w:val="16"/>
                <w:lang w:val="fr-BE"/>
              </w:rPr>
            </w:pPr>
            <w:r>
              <w:rPr>
                <w:noProof/>
                <w:sz w:val="16"/>
                <w:szCs w:val="16"/>
                <w:lang w:val="fr-BE"/>
              </w:rPr>
              <w:t>Liczba wspartych podmiotów leczniczych</w:t>
            </w:r>
          </w:p>
        </w:tc>
        <w:tc>
          <w:tcPr>
            <w:tcW w:w="0" w:type="auto"/>
          </w:tcPr>
          <w:p w14:paraId="68606BC5"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561345D3"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3C6A80A6"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5CD647B4"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2389B7B5"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75596322"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bl>
    <w:p w14:paraId="1B76EFC5" w14:textId="77777777" w:rsidR="008C5CFA" w:rsidRDefault="008C5CFA" w:rsidP="00300A01">
      <w:pPr>
        <w:spacing w:before="0" w:after="0"/>
        <w:rPr>
          <w:lang w:val="fr-BE"/>
        </w:rPr>
      </w:pPr>
    </w:p>
    <w:p w14:paraId="3CD92332" w14:textId="77777777" w:rsidR="008C5CFA" w:rsidRDefault="008C5CFA" w:rsidP="00300A01">
      <w:pPr>
        <w:spacing w:before="0" w:after="0"/>
        <w:rPr>
          <w:lang w:val="fr-BE"/>
        </w:rPr>
      </w:pPr>
    </w:p>
    <w:p w14:paraId="71281734" w14:textId="77777777" w:rsidR="008C5CFA" w:rsidRDefault="00E82A60" w:rsidP="00300A01">
      <w:pPr>
        <w:spacing w:before="0" w:after="0"/>
        <w:rPr>
          <w:lang w:val="fr-BE"/>
        </w:rPr>
      </w:pPr>
      <w:r>
        <w:rPr>
          <w:lang w:val="fr-BE"/>
        </w:rPr>
        <w:br w:type="page"/>
      </w:r>
    </w:p>
    <w:p w14:paraId="2A0F2CEA"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8"/>
        <w:gridCol w:w="13526"/>
      </w:tblGrid>
      <w:tr w:rsidR="006B2EC1" w14:paraId="0CB1104E" w14:textId="77777777" w:rsidTr="0047688D">
        <w:tc>
          <w:tcPr>
            <w:tcW w:w="0" w:type="auto"/>
            <w:shd w:val="clear" w:color="auto" w:fill="auto"/>
          </w:tcPr>
          <w:p w14:paraId="233ACCC6" w14:textId="77777777" w:rsidR="008C5CFA" w:rsidRPr="002124FC" w:rsidRDefault="00E82A60" w:rsidP="00300A01">
            <w:pPr>
              <w:spacing w:before="0" w:after="0"/>
              <w:rPr>
                <w:sz w:val="20"/>
                <w:szCs w:val="20"/>
                <w:lang w:val="fr-BE"/>
              </w:rPr>
            </w:pPr>
            <w:r>
              <w:rPr>
                <w:lang w:val="fr-BE"/>
              </w:rPr>
              <w:br w:type="page"/>
            </w:r>
            <w:r>
              <w:rPr>
                <w:lang w:val="fr-BE"/>
              </w:rPr>
              <w:br w:type="page"/>
            </w:r>
            <w:r>
              <w:rPr>
                <w:lang w:val="fr-BE"/>
              </w:rPr>
              <w:br w:type="page"/>
            </w:r>
            <w:r w:rsidRPr="002124FC">
              <w:rPr>
                <w:noProof/>
                <w:sz w:val="20"/>
                <w:szCs w:val="20"/>
                <w:lang w:val="fr-BE"/>
              </w:rPr>
              <w:t>Oś priorytetowa</w:t>
            </w:r>
          </w:p>
        </w:tc>
        <w:tc>
          <w:tcPr>
            <w:tcW w:w="0" w:type="auto"/>
            <w:shd w:val="clear" w:color="auto" w:fill="auto"/>
          </w:tcPr>
          <w:p w14:paraId="21CE9183" w14:textId="77777777" w:rsidR="008C5CFA" w:rsidRPr="002124FC" w:rsidRDefault="00E82A60" w:rsidP="00300A01">
            <w:pPr>
              <w:spacing w:before="0" w:after="0"/>
              <w:rPr>
                <w:sz w:val="20"/>
                <w:szCs w:val="20"/>
                <w:lang w:val="fr-BE"/>
              </w:rPr>
            </w:pPr>
            <w:r>
              <w:rPr>
                <w:noProof/>
                <w:sz w:val="20"/>
                <w:szCs w:val="20"/>
                <w:lang w:val="fr-BE"/>
              </w:rPr>
              <w:t>7</w:t>
            </w:r>
            <w:r w:rsidRPr="002124FC">
              <w:rPr>
                <w:sz w:val="20"/>
                <w:szCs w:val="20"/>
                <w:lang w:val="fr-BE"/>
              </w:rPr>
              <w:t xml:space="preserve"> - </w:t>
            </w:r>
            <w:r>
              <w:rPr>
                <w:noProof/>
                <w:sz w:val="20"/>
                <w:szCs w:val="20"/>
                <w:lang w:val="fr-BE"/>
              </w:rPr>
              <w:t>Sprawne usługi publiczne</w:t>
            </w:r>
          </w:p>
        </w:tc>
      </w:tr>
      <w:tr w:rsidR="006B2EC1" w14:paraId="51E61488" w14:textId="77777777" w:rsidTr="0047688D">
        <w:tc>
          <w:tcPr>
            <w:tcW w:w="0" w:type="auto"/>
            <w:shd w:val="clear" w:color="auto" w:fill="auto"/>
          </w:tcPr>
          <w:p w14:paraId="7FCB3F46" w14:textId="77777777" w:rsidR="008C5CFA" w:rsidRPr="002124FC" w:rsidRDefault="00E82A60"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14:paraId="33475073" w14:textId="77777777" w:rsidR="008C5CFA" w:rsidRPr="002124FC" w:rsidRDefault="00E82A60" w:rsidP="00300A01">
            <w:pPr>
              <w:spacing w:before="0" w:after="0"/>
              <w:rPr>
                <w:sz w:val="20"/>
                <w:szCs w:val="20"/>
                <w:lang w:val="fr-BE"/>
              </w:rPr>
            </w:pPr>
            <w:r w:rsidRPr="002124FC">
              <w:rPr>
                <w:noProof/>
                <w:sz w:val="20"/>
                <w:szCs w:val="20"/>
                <w:lang w:val="fr-BE"/>
              </w:rPr>
              <w:t>9a</w:t>
            </w:r>
            <w:r w:rsidRPr="002124FC">
              <w:rPr>
                <w:sz w:val="20"/>
                <w:szCs w:val="20"/>
                <w:lang w:val="fr-BE"/>
              </w:rPr>
              <w:t xml:space="preserve"> - </w:t>
            </w:r>
            <w:r>
              <w:rPr>
                <w:noProof/>
                <w:sz w:val="20"/>
                <w:szCs w:val="20"/>
                <w:lang w:val="fr-BE"/>
              </w:rPr>
              <w:t>Inwestycje w infrastrukturę zdrowotną i społeczną, które przyczyniają się do rozwoju krajowego, regionalnego i lokalnego, zmniejszania nierówności w zakresie stanu zdrowia, promowanie włączenia społecznego poprzez lepszy dostęp do usług społecznych, kulturalnych i rekreacyjnych oraz przejścia z usług instytucjonalnych na usługi na poziomie społeczności lokalnych</w:t>
            </w:r>
          </w:p>
        </w:tc>
      </w:tr>
      <w:tr w:rsidR="006B2EC1" w14:paraId="3651F975" w14:textId="77777777" w:rsidTr="0047688D">
        <w:tc>
          <w:tcPr>
            <w:tcW w:w="0" w:type="auto"/>
            <w:shd w:val="clear" w:color="auto" w:fill="auto"/>
          </w:tcPr>
          <w:p w14:paraId="02AE8D90" w14:textId="77777777" w:rsidR="008C5CFA" w:rsidRPr="002124FC" w:rsidRDefault="00E82A60" w:rsidP="00300A01">
            <w:pPr>
              <w:spacing w:before="0" w:after="0"/>
              <w:ind w:left="113" w:hanging="113"/>
              <w:rPr>
                <w:sz w:val="20"/>
                <w:szCs w:val="20"/>
                <w:lang w:val="fr-BE"/>
              </w:rPr>
            </w:pPr>
            <w:r>
              <w:rPr>
                <w:noProof/>
                <w:sz w:val="20"/>
                <w:szCs w:val="20"/>
                <w:lang w:val="fr-BE"/>
              </w:rPr>
              <w:t>Cel szczegółowy</w:t>
            </w:r>
          </w:p>
        </w:tc>
        <w:tc>
          <w:tcPr>
            <w:tcW w:w="0" w:type="auto"/>
            <w:shd w:val="clear" w:color="auto" w:fill="auto"/>
          </w:tcPr>
          <w:p w14:paraId="7D796CDB" w14:textId="77777777" w:rsidR="008C5CFA" w:rsidRPr="002124FC" w:rsidRDefault="00E82A60" w:rsidP="00300A01">
            <w:pPr>
              <w:spacing w:before="0" w:after="0"/>
              <w:rPr>
                <w:sz w:val="20"/>
                <w:szCs w:val="20"/>
                <w:lang w:val="fr-BE"/>
              </w:rPr>
            </w:pPr>
            <w:r>
              <w:rPr>
                <w:noProof/>
                <w:sz w:val="20"/>
                <w:szCs w:val="20"/>
                <w:lang w:val="fr-BE"/>
              </w:rPr>
              <w:t>1</w:t>
            </w:r>
            <w:r>
              <w:rPr>
                <w:sz w:val="20"/>
                <w:szCs w:val="20"/>
                <w:lang w:val="fr-BE"/>
              </w:rPr>
              <w:t xml:space="preserve"> - </w:t>
            </w:r>
            <w:r>
              <w:rPr>
                <w:noProof/>
                <w:sz w:val="20"/>
                <w:szCs w:val="20"/>
                <w:lang w:val="fr-BE"/>
              </w:rPr>
              <w:t>Poprawiona jakość oraz szersze udostępnienie podmiotów ochrony zdrowia.</w:t>
            </w:r>
          </w:p>
        </w:tc>
      </w:tr>
    </w:tbl>
    <w:p w14:paraId="01DBDDA4" w14:textId="77777777" w:rsidR="008C5CFA" w:rsidRDefault="008C5CFA" w:rsidP="00300A01">
      <w:pPr>
        <w:spacing w:before="0" w:after="0"/>
        <w:rPr>
          <w:lang w:val="fr-BE"/>
        </w:rPr>
      </w:pPr>
    </w:p>
    <w:p w14:paraId="6AD291C6" w14:textId="77777777" w:rsidR="008C5CFA" w:rsidRDefault="00E82A60" w:rsidP="00300A01">
      <w:pPr>
        <w:spacing w:before="0" w:after="0"/>
        <w:rPr>
          <w:lang w:val="fr-BE"/>
        </w:rPr>
      </w:pPr>
      <w:r>
        <w:rPr>
          <w:lang w:val="fr-BE"/>
        </w:rPr>
        <w:t xml:space="preserve">Tabela 1: Wskaźniki rezultatu dla EFRR i Funduszu Spójności (według osi priorytetowej i celu szczegółowego); ma zastosowanie także do osi priorytetowej </w:t>
      </w:r>
      <w:r>
        <w:t>"</w:t>
      </w:r>
      <w:r>
        <w:rPr>
          <w:lang w:val="fr-BE"/>
        </w:rPr>
        <w:t>Pomoc techniczna</w:t>
      </w:r>
      <w:r>
        <w:t>"</w:t>
      </w:r>
    </w:p>
    <w:p w14:paraId="2B2F57CA"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2685"/>
        <w:gridCol w:w="1190"/>
        <w:gridCol w:w="1293"/>
        <w:gridCol w:w="1187"/>
        <w:gridCol w:w="968"/>
        <w:gridCol w:w="1602"/>
        <w:gridCol w:w="1030"/>
        <w:gridCol w:w="1252"/>
        <w:gridCol w:w="3521"/>
      </w:tblGrid>
      <w:tr w:rsidR="006B2EC1" w14:paraId="4F4DF0A4" w14:textId="77777777" w:rsidTr="0047688D">
        <w:tc>
          <w:tcPr>
            <w:tcW w:w="0" w:type="auto"/>
            <w:shd w:val="clear" w:color="auto" w:fill="auto"/>
          </w:tcPr>
          <w:p w14:paraId="5247985A" w14:textId="77777777" w:rsidR="008C5CFA" w:rsidRPr="0024468B" w:rsidRDefault="00E82A60" w:rsidP="00300A01">
            <w:pPr>
              <w:spacing w:before="0" w:after="0"/>
              <w:rPr>
                <w:sz w:val="16"/>
                <w:szCs w:val="16"/>
                <w:lang w:val="fr-BE"/>
              </w:rPr>
            </w:pPr>
            <w:r w:rsidRPr="0024468B">
              <w:rPr>
                <w:noProof/>
                <w:sz w:val="16"/>
                <w:szCs w:val="16"/>
                <w:lang w:val="fr-BE"/>
              </w:rPr>
              <w:t>ID</w:t>
            </w:r>
          </w:p>
        </w:tc>
        <w:tc>
          <w:tcPr>
            <w:tcW w:w="0" w:type="auto"/>
            <w:shd w:val="clear" w:color="auto" w:fill="auto"/>
          </w:tcPr>
          <w:p w14:paraId="1FACA8D6" w14:textId="77777777" w:rsidR="008C5CFA" w:rsidRPr="0024468B" w:rsidRDefault="00E82A60" w:rsidP="00300A01">
            <w:pPr>
              <w:spacing w:before="0" w:after="0"/>
              <w:rPr>
                <w:sz w:val="16"/>
                <w:szCs w:val="16"/>
                <w:lang w:val="fr-BE"/>
              </w:rPr>
            </w:pPr>
            <w:r w:rsidRPr="0024468B">
              <w:rPr>
                <w:noProof/>
                <w:sz w:val="16"/>
                <w:szCs w:val="16"/>
                <w:lang w:val="fr-BE"/>
              </w:rPr>
              <w:t>Wskaźnik</w:t>
            </w:r>
          </w:p>
        </w:tc>
        <w:tc>
          <w:tcPr>
            <w:tcW w:w="0" w:type="auto"/>
            <w:shd w:val="clear" w:color="auto" w:fill="auto"/>
          </w:tcPr>
          <w:p w14:paraId="3DD5E20C" w14:textId="77777777" w:rsidR="008C5CFA" w:rsidRPr="0024468B" w:rsidRDefault="00E82A60" w:rsidP="00300A01">
            <w:pPr>
              <w:spacing w:before="0" w:after="0"/>
              <w:rPr>
                <w:sz w:val="16"/>
                <w:szCs w:val="16"/>
                <w:lang w:val="fr-BE"/>
              </w:rPr>
            </w:pPr>
            <w:r w:rsidRPr="0024468B">
              <w:rPr>
                <w:noProof/>
                <w:sz w:val="16"/>
                <w:szCs w:val="16"/>
                <w:lang w:val="fr-BE"/>
              </w:rPr>
              <w:t>Jednostka miary</w:t>
            </w:r>
          </w:p>
        </w:tc>
        <w:tc>
          <w:tcPr>
            <w:tcW w:w="0" w:type="auto"/>
            <w:shd w:val="clear" w:color="auto" w:fill="auto"/>
          </w:tcPr>
          <w:p w14:paraId="514DCB10" w14:textId="77777777" w:rsidR="008C5CFA" w:rsidRPr="0024468B" w:rsidRDefault="00E82A60" w:rsidP="00300A01">
            <w:pPr>
              <w:spacing w:before="0" w:after="0"/>
              <w:rPr>
                <w:sz w:val="16"/>
                <w:szCs w:val="16"/>
                <w:lang w:val="fr-BE"/>
              </w:rPr>
            </w:pPr>
            <w:r w:rsidRPr="0024468B">
              <w:rPr>
                <w:noProof/>
                <w:sz w:val="16"/>
                <w:szCs w:val="16"/>
                <w:lang w:val="fr-BE"/>
              </w:rPr>
              <w:t>Kategoria regionu</w:t>
            </w:r>
          </w:p>
        </w:tc>
        <w:tc>
          <w:tcPr>
            <w:tcW w:w="0" w:type="auto"/>
            <w:shd w:val="clear" w:color="auto" w:fill="auto"/>
          </w:tcPr>
          <w:p w14:paraId="30740373" w14:textId="77777777" w:rsidR="008C5CFA" w:rsidRPr="0024468B" w:rsidRDefault="00E82A60" w:rsidP="00300A01">
            <w:pPr>
              <w:spacing w:before="0" w:after="0"/>
              <w:rPr>
                <w:sz w:val="16"/>
                <w:szCs w:val="16"/>
                <w:lang w:val="fr-BE"/>
              </w:rPr>
            </w:pPr>
            <w:r w:rsidRPr="0024468B">
              <w:rPr>
                <w:noProof/>
                <w:sz w:val="16"/>
                <w:szCs w:val="16"/>
                <w:lang w:val="fr-BE"/>
              </w:rPr>
              <w:t>Wartość bazowa</w:t>
            </w:r>
          </w:p>
        </w:tc>
        <w:tc>
          <w:tcPr>
            <w:tcW w:w="0" w:type="auto"/>
            <w:shd w:val="clear" w:color="auto" w:fill="auto"/>
          </w:tcPr>
          <w:p w14:paraId="6DB5160F" w14:textId="77777777" w:rsidR="008C5CFA" w:rsidRPr="0024468B" w:rsidRDefault="00E82A60" w:rsidP="00300A01">
            <w:pPr>
              <w:spacing w:before="0" w:after="0"/>
              <w:rPr>
                <w:sz w:val="16"/>
                <w:szCs w:val="16"/>
                <w:lang w:val="fr-BE"/>
              </w:rPr>
            </w:pPr>
            <w:r w:rsidRPr="0024468B">
              <w:rPr>
                <w:noProof/>
                <w:sz w:val="16"/>
                <w:szCs w:val="16"/>
                <w:lang w:val="fr-BE"/>
              </w:rPr>
              <w:t>Rok bazowy</w:t>
            </w:r>
          </w:p>
        </w:tc>
        <w:tc>
          <w:tcPr>
            <w:tcW w:w="0" w:type="auto"/>
            <w:shd w:val="clear" w:color="auto" w:fill="auto"/>
          </w:tcPr>
          <w:p w14:paraId="571C41FF" w14:textId="77777777" w:rsidR="008C5CFA" w:rsidRPr="0024468B" w:rsidRDefault="00E82A60" w:rsidP="00300A01">
            <w:pPr>
              <w:spacing w:before="0" w:after="0"/>
              <w:rPr>
                <w:sz w:val="16"/>
                <w:szCs w:val="16"/>
                <w:lang w:val="fr-BE"/>
              </w:rPr>
            </w:pPr>
            <w:r w:rsidRPr="0024468B">
              <w:rPr>
                <w:noProof/>
                <w:sz w:val="16"/>
                <w:szCs w:val="16"/>
                <w:lang w:val="fr-BE"/>
              </w:rPr>
              <w:t>Wartość docelowa 2023</w:t>
            </w:r>
          </w:p>
        </w:tc>
        <w:tc>
          <w:tcPr>
            <w:tcW w:w="0" w:type="auto"/>
            <w:shd w:val="clear" w:color="auto" w:fill="auto"/>
          </w:tcPr>
          <w:p w14:paraId="721CB9E9" w14:textId="77777777" w:rsidR="008C5CFA" w:rsidRPr="0024468B" w:rsidRDefault="00E82A60" w:rsidP="00300A01">
            <w:pPr>
              <w:spacing w:before="0" w:after="0"/>
              <w:jc w:val="center"/>
              <w:rPr>
                <w:sz w:val="16"/>
                <w:szCs w:val="16"/>
                <w:lang w:val="fr-BE"/>
              </w:rPr>
            </w:pPr>
            <w:r>
              <w:rPr>
                <w:sz w:val="16"/>
                <w:szCs w:val="16"/>
                <w:lang w:val="fr-BE"/>
              </w:rPr>
              <w:t xml:space="preserve">2019 </w:t>
            </w:r>
            <w:r>
              <w:rPr>
                <w:noProof/>
                <w:sz w:val="16"/>
                <w:szCs w:val="16"/>
                <w:lang w:val="fr-BE"/>
              </w:rPr>
              <w:t>Ogółem</w:t>
            </w:r>
          </w:p>
        </w:tc>
        <w:tc>
          <w:tcPr>
            <w:tcW w:w="0" w:type="auto"/>
            <w:shd w:val="clear" w:color="auto" w:fill="auto"/>
          </w:tcPr>
          <w:p w14:paraId="53151D86" w14:textId="77777777" w:rsidR="008C5CFA" w:rsidRPr="0024468B" w:rsidRDefault="00E82A60" w:rsidP="00300A01">
            <w:pPr>
              <w:spacing w:before="0" w:after="0"/>
              <w:jc w:val="center"/>
              <w:rPr>
                <w:sz w:val="16"/>
                <w:szCs w:val="16"/>
                <w:lang w:val="fr-BE"/>
              </w:rPr>
            </w:pPr>
            <w:r>
              <w:rPr>
                <w:sz w:val="16"/>
                <w:szCs w:val="16"/>
                <w:lang w:val="fr-BE"/>
              </w:rPr>
              <w:t xml:space="preserve">2019 </w:t>
            </w:r>
            <w:r w:rsidRPr="0024468B">
              <w:rPr>
                <w:noProof/>
                <w:sz w:val="16"/>
                <w:szCs w:val="16"/>
                <w:lang w:val="fr-BE"/>
              </w:rPr>
              <w:t>Jakościowe</w:t>
            </w:r>
          </w:p>
        </w:tc>
        <w:tc>
          <w:tcPr>
            <w:tcW w:w="0" w:type="auto"/>
            <w:shd w:val="clear" w:color="auto" w:fill="auto"/>
          </w:tcPr>
          <w:p w14:paraId="6C1A7D83" w14:textId="77777777" w:rsidR="008C5CFA" w:rsidRPr="0024468B" w:rsidRDefault="00E82A60" w:rsidP="00300A01">
            <w:pPr>
              <w:spacing w:before="0" w:after="0"/>
              <w:jc w:val="center"/>
              <w:rPr>
                <w:sz w:val="16"/>
                <w:szCs w:val="16"/>
                <w:lang w:val="fr-BE"/>
              </w:rPr>
            </w:pPr>
            <w:r w:rsidRPr="0024468B">
              <w:rPr>
                <w:noProof/>
                <w:sz w:val="16"/>
                <w:szCs w:val="16"/>
                <w:lang w:val="fr-BE"/>
              </w:rPr>
              <w:t>Uwagi</w:t>
            </w:r>
          </w:p>
        </w:tc>
      </w:tr>
      <w:tr w:rsidR="006B2EC1" w14:paraId="714DE5A3" w14:textId="77777777" w:rsidTr="0047688D">
        <w:tc>
          <w:tcPr>
            <w:tcW w:w="0" w:type="auto"/>
            <w:shd w:val="clear" w:color="auto" w:fill="auto"/>
          </w:tcPr>
          <w:p w14:paraId="7C15ACB3" w14:textId="77777777" w:rsidR="008C5CFA" w:rsidRPr="0024468B" w:rsidRDefault="00E82A60" w:rsidP="00300A01">
            <w:pPr>
              <w:spacing w:before="0" w:after="0"/>
              <w:rPr>
                <w:sz w:val="16"/>
                <w:szCs w:val="16"/>
                <w:lang w:val="fr-BE"/>
              </w:rPr>
            </w:pPr>
            <w:r w:rsidRPr="0024468B">
              <w:rPr>
                <w:noProof/>
                <w:sz w:val="16"/>
                <w:szCs w:val="16"/>
                <w:lang w:val="fr-BE"/>
              </w:rPr>
              <w:t>056</w:t>
            </w:r>
          </w:p>
        </w:tc>
        <w:tc>
          <w:tcPr>
            <w:tcW w:w="0" w:type="auto"/>
            <w:shd w:val="clear" w:color="auto" w:fill="auto"/>
          </w:tcPr>
          <w:p w14:paraId="668F4929" w14:textId="77777777" w:rsidR="008C5CFA" w:rsidRPr="0024468B" w:rsidRDefault="00E82A60" w:rsidP="00300A01">
            <w:pPr>
              <w:spacing w:before="0" w:after="0"/>
              <w:rPr>
                <w:sz w:val="16"/>
                <w:szCs w:val="16"/>
                <w:lang w:val="fr-BE"/>
              </w:rPr>
            </w:pPr>
            <w:r w:rsidRPr="0024468B">
              <w:rPr>
                <w:noProof/>
                <w:sz w:val="16"/>
                <w:szCs w:val="16"/>
                <w:lang w:val="fr-BE"/>
              </w:rPr>
              <w:t>Średni pobyt chorego w szpitalach ogólnych</w:t>
            </w:r>
          </w:p>
        </w:tc>
        <w:tc>
          <w:tcPr>
            <w:tcW w:w="0" w:type="auto"/>
            <w:shd w:val="clear" w:color="auto" w:fill="auto"/>
          </w:tcPr>
          <w:p w14:paraId="21F686BC" w14:textId="77777777" w:rsidR="008C5CFA" w:rsidRPr="0024468B" w:rsidRDefault="00E82A60" w:rsidP="00300A01">
            <w:pPr>
              <w:spacing w:before="0" w:after="0"/>
              <w:rPr>
                <w:sz w:val="16"/>
                <w:szCs w:val="16"/>
                <w:lang w:val="fr-BE"/>
              </w:rPr>
            </w:pPr>
            <w:r w:rsidRPr="0024468B">
              <w:rPr>
                <w:noProof/>
                <w:sz w:val="16"/>
                <w:szCs w:val="16"/>
                <w:lang w:val="fr-BE"/>
              </w:rPr>
              <w:t>dni</w:t>
            </w:r>
          </w:p>
        </w:tc>
        <w:tc>
          <w:tcPr>
            <w:tcW w:w="0" w:type="auto"/>
            <w:shd w:val="clear" w:color="auto" w:fill="auto"/>
          </w:tcPr>
          <w:p w14:paraId="099B8FCD" w14:textId="77777777" w:rsidR="008C5CFA" w:rsidRPr="0024468B" w:rsidRDefault="00E82A60"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14:paraId="2FE8531C" w14:textId="77777777" w:rsidR="008C5CFA" w:rsidRPr="00C3185A" w:rsidRDefault="00E82A60" w:rsidP="00300A01">
            <w:pPr>
              <w:spacing w:before="0" w:after="0"/>
              <w:jc w:val="right"/>
              <w:rPr>
                <w:sz w:val="16"/>
                <w:szCs w:val="16"/>
                <w:lang w:val="fr-BE"/>
              </w:rPr>
            </w:pPr>
            <w:r w:rsidRPr="00C3185A">
              <w:rPr>
                <w:noProof/>
                <w:sz w:val="16"/>
                <w:szCs w:val="16"/>
                <w:lang w:val="fr-BE"/>
              </w:rPr>
              <w:t>5,40</w:t>
            </w:r>
          </w:p>
        </w:tc>
        <w:tc>
          <w:tcPr>
            <w:tcW w:w="0" w:type="auto"/>
            <w:shd w:val="clear" w:color="auto" w:fill="auto"/>
          </w:tcPr>
          <w:p w14:paraId="7EC93661" w14:textId="77777777" w:rsidR="008C5CFA" w:rsidRPr="0024468B" w:rsidRDefault="00E82A60" w:rsidP="00300A01">
            <w:pPr>
              <w:spacing w:before="0" w:after="0"/>
              <w:rPr>
                <w:sz w:val="16"/>
                <w:szCs w:val="16"/>
                <w:lang w:val="fr-BE"/>
              </w:rPr>
            </w:pPr>
            <w:r w:rsidRPr="0024468B">
              <w:rPr>
                <w:noProof/>
                <w:sz w:val="16"/>
                <w:szCs w:val="16"/>
                <w:lang w:val="fr-BE"/>
              </w:rPr>
              <w:t>2012</w:t>
            </w:r>
          </w:p>
        </w:tc>
        <w:tc>
          <w:tcPr>
            <w:tcW w:w="0" w:type="auto"/>
            <w:shd w:val="clear" w:color="auto" w:fill="auto"/>
          </w:tcPr>
          <w:p w14:paraId="083825F2" w14:textId="77777777" w:rsidR="008C5CFA" w:rsidRPr="0024468B" w:rsidRDefault="00E82A60" w:rsidP="00300A01">
            <w:pPr>
              <w:spacing w:before="0" w:after="0"/>
              <w:jc w:val="right"/>
              <w:rPr>
                <w:sz w:val="16"/>
                <w:szCs w:val="16"/>
                <w:lang w:val="fr-BE"/>
              </w:rPr>
            </w:pPr>
            <w:r w:rsidRPr="0024468B">
              <w:rPr>
                <w:noProof/>
                <w:sz w:val="16"/>
                <w:szCs w:val="16"/>
                <w:lang w:val="fr-BE"/>
              </w:rPr>
              <w:t>5,30</w:t>
            </w:r>
          </w:p>
        </w:tc>
        <w:tc>
          <w:tcPr>
            <w:tcW w:w="0" w:type="auto"/>
            <w:shd w:val="clear" w:color="auto" w:fill="auto"/>
          </w:tcPr>
          <w:p w14:paraId="6D146E62"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43DB8BA7" w14:textId="77777777" w:rsidR="008C5CFA" w:rsidRPr="0024468B" w:rsidRDefault="008C5CFA" w:rsidP="00300A01">
            <w:pPr>
              <w:spacing w:before="0" w:after="0"/>
              <w:jc w:val="right"/>
              <w:rPr>
                <w:sz w:val="16"/>
                <w:szCs w:val="16"/>
                <w:lang w:val="fr-BE"/>
              </w:rPr>
            </w:pPr>
          </w:p>
        </w:tc>
        <w:tc>
          <w:tcPr>
            <w:tcW w:w="0" w:type="auto"/>
            <w:shd w:val="clear" w:color="auto" w:fill="auto"/>
          </w:tcPr>
          <w:p w14:paraId="58896ECB" w14:textId="77777777" w:rsidR="008C5CFA" w:rsidRPr="0024468B" w:rsidRDefault="00E82A60" w:rsidP="00300A01">
            <w:pPr>
              <w:spacing w:before="0" w:after="0"/>
              <w:rPr>
                <w:sz w:val="16"/>
                <w:szCs w:val="16"/>
                <w:lang w:val="fr-BE"/>
              </w:rPr>
            </w:pPr>
            <w:r w:rsidRPr="0024468B">
              <w:rPr>
                <w:noProof/>
                <w:sz w:val="16"/>
                <w:szCs w:val="16"/>
                <w:lang w:val="fr-BE"/>
              </w:rPr>
              <w:t>Brak aktualnych danych dostępnych w systemie STRATEG</w:t>
            </w:r>
          </w:p>
          <w:p w14:paraId="2B6C3584" w14:textId="77777777" w:rsidR="008C5CFA" w:rsidRPr="0024468B" w:rsidRDefault="008C5CFA" w:rsidP="00300A01">
            <w:pPr>
              <w:spacing w:before="0" w:after="0"/>
              <w:rPr>
                <w:sz w:val="16"/>
                <w:szCs w:val="16"/>
                <w:lang w:val="fr-BE"/>
              </w:rPr>
            </w:pPr>
          </w:p>
        </w:tc>
      </w:tr>
    </w:tbl>
    <w:p w14:paraId="546F9281"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3540"/>
        <w:gridCol w:w="1261"/>
        <w:gridCol w:w="1518"/>
        <w:gridCol w:w="1261"/>
        <w:gridCol w:w="1518"/>
        <w:gridCol w:w="1261"/>
        <w:gridCol w:w="1518"/>
        <w:gridCol w:w="1261"/>
        <w:gridCol w:w="1518"/>
      </w:tblGrid>
      <w:tr w:rsidR="006B2EC1" w14:paraId="1D40B85F" w14:textId="77777777" w:rsidTr="0047688D">
        <w:tc>
          <w:tcPr>
            <w:tcW w:w="0" w:type="auto"/>
            <w:shd w:val="clear" w:color="auto" w:fill="auto"/>
          </w:tcPr>
          <w:p w14:paraId="5754351B" w14:textId="77777777" w:rsidR="008C5CFA" w:rsidRPr="0024468B" w:rsidRDefault="00E82A60" w:rsidP="00300A01">
            <w:pPr>
              <w:spacing w:before="0" w:after="0"/>
              <w:rPr>
                <w:sz w:val="16"/>
                <w:szCs w:val="16"/>
                <w:lang w:val="fr-BE"/>
              </w:rPr>
            </w:pPr>
            <w:r w:rsidRPr="0024468B">
              <w:rPr>
                <w:noProof/>
                <w:sz w:val="16"/>
                <w:szCs w:val="16"/>
                <w:lang w:val="fr-BE"/>
              </w:rPr>
              <w:t>ID</w:t>
            </w:r>
          </w:p>
        </w:tc>
        <w:tc>
          <w:tcPr>
            <w:tcW w:w="0" w:type="auto"/>
            <w:shd w:val="clear" w:color="auto" w:fill="auto"/>
          </w:tcPr>
          <w:p w14:paraId="54862945" w14:textId="77777777" w:rsidR="008C5CFA" w:rsidRPr="0024468B" w:rsidRDefault="00E82A60" w:rsidP="00300A01">
            <w:pPr>
              <w:spacing w:before="0" w:after="0"/>
              <w:rPr>
                <w:sz w:val="16"/>
                <w:szCs w:val="16"/>
                <w:lang w:val="fr-BE"/>
              </w:rPr>
            </w:pPr>
            <w:r w:rsidRPr="0024468B">
              <w:rPr>
                <w:noProof/>
                <w:sz w:val="16"/>
                <w:szCs w:val="16"/>
                <w:lang w:val="fr-BE"/>
              </w:rPr>
              <w:t>Wskaźnik</w:t>
            </w:r>
          </w:p>
        </w:tc>
        <w:tc>
          <w:tcPr>
            <w:tcW w:w="0" w:type="auto"/>
          </w:tcPr>
          <w:p w14:paraId="39EA1B73" w14:textId="77777777" w:rsidR="008C5CFA" w:rsidRPr="0024468B" w:rsidRDefault="00E82A60" w:rsidP="00300A01">
            <w:pPr>
              <w:spacing w:before="0" w:after="0"/>
              <w:jc w:val="center"/>
              <w:rPr>
                <w:sz w:val="16"/>
                <w:szCs w:val="16"/>
                <w:lang w:val="fr-BE"/>
              </w:rPr>
            </w:pPr>
            <w:r>
              <w:rPr>
                <w:sz w:val="16"/>
                <w:szCs w:val="16"/>
                <w:lang w:val="fr-BE"/>
              </w:rPr>
              <w:t xml:space="preserve">2018 </w:t>
            </w:r>
            <w:r>
              <w:rPr>
                <w:noProof/>
                <w:sz w:val="16"/>
                <w:szCs w:val="16"/>
                <w:lang w:val="fr-BE"/>
              </w:rPr>
              <w:t>Ogółem</w:t>
            </w:r>
          </w:p>
        </w:tc>
        <w:tc>
          <w:tcPr>
            <w:tcW w:w="0" w:type="auto"/>
          </w:tcPr>
          <w:p w14:paraId="652BED62" w14:textId="77777777" w:rsidR="008C5CFA" w:rsidRPr="0024468B" w:rsidRDefault="00E82A60" w:rsidP="00300A01">
            <w:pPr>
              <w:spacing w:before="0" w:after="0"/>
              <w:jc w:val="center"/>
              <w:rPr>
                <w:sz w:val="16"/>
                <w:szCs w:val="16"/>
                <w:lang w:val="fr-BE"/>
              </w:rPr>
            </w:pPr>
            <w:r>
              <w:rPr>
                <w:sz w:val="16"/>
                <w:szCs w:val="16"/>
                <w:lang w:val="fr-BE"/>
              </w:rPr>
              <w:t xml:space="preserve">2018 </w:t>
            </w:r>
            <w:r w:rsidRPr="0024468B">
              <w:rPr>
                <w:noProof/>
                <w:sz w:val="16"/>
                <w:szCs w:val="16"/>
                <w:lang w:val="fr-BE"/>
              </w:rPr>
              <w:t>Jakościowe</w:t>
            </w:r>
          </w:p>
        </w:tc>
        <w:tc>
          <w:tcPr>
            <w:tcW w:w="0" w:type="auto"/>
          </w:tcPr>
          <w:p w14:paraId="613EA3F0" w14:textId="77777777" w:rsidR="008C5CFA" w:rsidRPr="0024468B" w:rsidRDefault="00E82A60" w:rsidP="00300A01">
            <w:pPr>
              <w:spacing w:before="0" w:after="0"/>
              <w:jc w:val="center"/>
              <w:rPr>
                <w:sz w:val="16"/>
                <w:szCs w:val="16"/>
                <w:lang w:val="fr-BE"/>
              </w:rPr>
            </w:pPr>
            <w:r>
              <w:rPr>
                <w:sz w:val="16"/>
                <w:szCs w:val="16"/>
                <w:lang w:val="fr-BE"/>
              </w:rPr>
              <w:t xml:space="preserve">2017 </w:t>
            </w:r>
            <w:r>
              <w:rPr>
                <w:noProof/>
                <w:sz w:val="16"/>
                <w:szCs w:val="16"/>
                <w:lang w:val="fr-BE"/>
              </w:rPr>
              <w:t>Ogółem</w:t>
            </w:r>
          </w:p>
        </w:tc>
        <w:tc>
          <w:tcPr>
            <w:tcW w:w="0" w:type="auto"/>
          </w:tcPr>
          <w:p w14:paraId="3B241823" w14:textId="77777777" w:rsidR="008C5CFA" w:rsidRPr="0024468B" w:rsidRDefault="00E82A60" w:rsidP="00300A01">
            <w:pPr>
              <w:spacing w:before="0" w:after="0"/>
              <w:jc w:val="center"/>
              <w:rPr>
                <w:sz w:val="16"/>
                <w:szCs w:val="16"/>
                <w:lang w:val="fr-BE"/>
              </w:rPr>
            </w:pPr>
            <w:r>
              <w:rPr>
                <w:sz w:val="16"/>
                <w:szCs w:val="16"/>
                <w:lang w:val="fr-BE"/>
              </w:rPr>
              <w:t xml:space="preserve">2017 </w:t>
            </w:r>
            <w:r w:rsidRPr="0024468B">
              <w:rPr>
                <w:noProof/>
                <w:sz w:val="16"/>
                <w:szCs w:val="16"/>
                <w:lang w:val="fr-BE"/>
              </w:rPr>
              <w:t>Jakościowe</w:t>
            </w:r>
          </w:p>
        </w:tc>
        <w:tc>
          <w:tcPr>
            <w:tcW w:w="0" w:type="auto"/>
          </w:tcPr>
          <w:p w14:paraId="72BECA68" w14:textId="77777777" w:rsidR="008C5CFA" w:rsidRPr="0024468B" w:rsidRDefault="00E82A60" w:rsidP="00300A01">
            <w:pPr>
              <w:spacing w:before="0" w:after="0"/>
              <w:jc w:val="center"/>
              <w:rPr>
                <w:sz w:val="16"/>
                <w:szCs w:val="16"/>
                <w:lang w:val="fr-BE"/>
              </w:rPr>
            </w:pPr>
            <w:r>
              <w:rPr>
                <w:sz w:val="16"/>
                <w:szCs w:val="16"/>
                <w:lang w:val="fr-BE"/>
              </w:rPr>
              <w:t xml:space="preserve">2016 </w:t>
            </w:r>
            <w:r>
              <w:rPr>
                <w:noProof/>
                <w:sz w:val="16"/>
                <w:szCs w:val="16"/>
                <w:lang w:val="fr-BE"/>
              </w:rPr>
              <w:t>Ogółem</w:t>
            </w:r>
          </w:p>
        </w:tc>
        <w:tc>
          <w:tcPr>
            <w:tcW w:w="0" w:type="auto"/>
          </w:tcPr>
          <w:p w14:paraId="1C67F3DD" w14:textId="77777777" w:rsidR="008C5CFA" w:rsidRPr="0024468B" w:rsidRDefault="00E82A60" w:rsidP="00300A01">
            <w:pPr>
              <w:spacing w:before="0" w:after="0"/>
              <w:jc w:val="center"/>
              <w:rPr>
                <w:sz w:val="16"/>
                <w:szCs w:val="16"/>
                <w:lang w:val="fr-BE"/>
              </w:rPr>
            </w:pPr>
            <w:r>
              <w:rPr>
                <w:sz w:val="16"/>
                <w:szCs w:val="16"/>
                <w:lang w:val="fr-BE"/>
              </w:rPr>
              <w:t xml:space="preserve">2016 </w:t>
            </w:r>
            <w:r w:rsidRPr="0024468B">
              <w:rPr>
                <w:noProof/>
                <w:sz w:val="16"/>
                <w:szCs w:val="16"/>
                <w:lang w:val="fr-BE"/>
              </w:rPr>
              <w:t>Jakościowe</w:t>
            </w:r>
          </w:p>
        </w:tc>
        <w:tc>
          <w:tcPr>
            <w:tcW w:w="0" w:type="auto"/>
          </w:tcPr>
          <w:p w14:paraId="5B033755" w14:textId="77777777" w:rsidR="008C5CFA" w:rsidRPr="0024468B" w:rsidRDefault="00E82A60" w:rsidP="00300A01">
            <w:pPr>
              <w:spacing w:before="0" w:after="0"/>
              <w:jc w:val="center"/>
              <w:rPr>
                <w:sz w:val="16"/>
                <w:szCs w:val="16"/>
                <w:lang w:val="fr-BE"/>
              </w:rPr>
            </w:pPr>
            <w:r>
              <w:rPr>
                <w:sz w:val="16"/>
                <w:szCs w:val="16"/>
                <w:lang w:val="fr-BE"/>
              </w:rPr>
              <w:t xml:space="preserve">2015 </w:t>
            </w:r>
            <w:r>
              <w:rPr>
                <w:noProof/>
                <w:sz w:val="16"/>
                <w:szCs w:val="16"/>
                <w:lang w:val="fr-BE"/>
              </w:rPr>
              <w:t>Ogółem</w:t>
            </w:r>
          </w:p>
        </w:tc>
        <w:tc>
          <w:tcPr>
            <w:tcW w:w="0" w:type="auto"/>
          </w:tcPr>
          <w:p w14:paraId="256E8DC0" w14:textId="77777777" w:rsidR="008C5CFA" w:rsidRPr="0024468B" w:rsidRDefault="00E82A60" w:rsidP="00300A01">
            <w:pPr>
              <w:spacing w:before="0" w:after="0"/>
              <w:jc w:val="center"/>
              <w:rPr>
                <w:sz w:val="16"/>
                <w:szCs w:val="16"/>
                <w:lang w:val="fr-BE"/>
              </w:rPr>
            </w:pPr>
            <w:r>
              <w:rPr>
                <w:sz w:val="16"/>
                <w:szCs w:val="16"/>
                <w:lang w:val="fr-BE"/>
              </w:rPr>
              <w:t xml:space="preserve">2015 </w:t>
            </w:r>
            <w:r w:rsidRPr="0024468B">
              <w:rPr>
                <w:noProof/>
                <w:sz w:val="16"/>
                <w:szCs w:val="16"/>
                <w:lang w:val="fr-BE"/>
              </w:rPr>
              <w:t>Jakościowe</w:t>
            </w:r>
          </w:p>
        </w:tc>
      </w:tr>
      <w:tr w:rsidR="006B2EC1" w14:paraId="6A23AF68" w14:textId="77777777" w:rsidTr="0047688D">
        <w:tc>
          <w:tcPr>
            <w:tcW w:w="0" w:type="auto"/>
            <w:shd w:val="clear" w:color="auto" w:fill="auto"/>
          </w:tcPr>
          <w:p w14:paraId="56EDE223" w14:textId="77777777" w:rsidR="008C5CFA" w:rsidRPr="0024468B" w:rsidRDefault="00E82A60" w:rsidP="00300A01">
            <w:pPr>
              <w:spacing w:before="0" w:after="0"/>
              <w:rPr>
                <w:sz w:val="16"/>
                <w:szCs w:val="16"/>
                <w:lang w:val="fr-BE"/>
              </w:rPr>
            </w:pPr>
            <w:r w:rsidRPr="0024468B">
              <w:rPr>
                <w:noProof/>
                <w:sz w:val="16"/>
                <w:szCs w:val="16"/>
                <w:lang w:val="fr-BE"/>
              </w:rPr>
              <w:t>056</w:t>
            </w:r>
          </w:p>
        </w:tc>
        <w:tc>
          <w:tcPr>
            <w:tcW w:w="0" w:type="auto"/>
            <w:shd w:val="clear" w:color="auto" w:fill="auto"/>
          </w:tcPr>
          <w:p w14:paraId="7F093972" w14:textId="77777777" w:rsidR="008C5CFA" w:rsidRPr="0024468B" w:rsidRDefault="00E82A60" w:rsidP="00300A01">
            <w:pPr>
              <w:spacing w:before="0" w:after="0"/>
              <w:rPr>
                <w:sz w:val="16"/>
                <w:szCs w:val="16"/>
                <w:lang w:val="fr-BE"/>
              </w:rPr>
            </w:pPr>
            <w:r w:rsidRPr="0024468B">
              <w:rPr>
                <w:noProof/>
                <w:sz w:val="16"/>
                <w:szCs w:val="16"/>
                <w:lang w:val="fr-BE"/>
              </w:rPr>
              <w:t>Średni pobyt chorego w szpitalach ogólnych</w:t>
            </w:r>
          </w:p>
        </w:tc>
        <w:tc>
          <w:tcPr>
            <w:tcW w:w="0" w:type="auto"/>
          </w:tcPr>
          <w:p w14:paraId="1FEDB75D"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7DA02274" w14:textId="77777777" w:rsidR="008C5CFA" w:rsidRPr="0024468B" w:rsidRDefault="008C5CFA" w:rsidP="00300A01">
            <w:pPr>
              <w:spacing w:before="0" w:after="0"/>
              <w:jc w:val="right"/>
              <w:rPr>
                <w:sz w:val="16"/>
                <w:szCs w:val="16"/>
                <w:lang w:val="fr-BE"/>
              </w:rPr>
            </w:pPr>
          </w:p>
        </w:tc>
        <w:tc>
          <w:tcPr>
            <w:tcW w:w="0" w:type="auto"/>
          </w:tcPr>
          <w:p w14:paraId="0356BAC6" w14:textId="77777777" w:rsidR="008C5CFA" w:rsidRPr="0024468B" w:rsidRDefault="00E82A60" w:rsidP="00300A01">
            <w:pPr>
              <w:spacing w:before="0" w:after="0"/>
              <w:jc w:val="right"/>
              <w:rPr>
                <w:sz w:val="16"/>
                <w:szCs w:val="16"/>
                <w:lang w:val="fr-BE"/>
              </w:rPr>
            </w:pPr>
            <w:r w:rsidRPr="0024468B">
              <w:rPr>
                <w:noProof/>
                <w:sz w:val="16"/>
                <w:szCs w:val="16"/>
                <w:lang w:val="fr-BE"/>
              </w:rPr>
              <w:t>5,26</w:t>
            </w:r>
          </w:p>
        </w:tc>
        <w:tc>
          <w:tcPr>
            <w:tcW w:w="0" w:type="auto"/>
          </w:tcPr>
          <w:p w14:paraId="3147F082" w14:textId="77777777" w:rsidR="008C5CFA" w:rsidRPr="0024468B" w:rsidRDefault="008C5CFA" w:rsidP="00300A01">
            <w:pPr>
              <w:spacing w:before="0" w:after="0"/>
              <w:jc w:val="right"/>
              <w:rPr>
                <w:sz w:val="16"/>
                <w:szCs w:val="16"/>
                <w:lang w:val="fr-BE"/>
              </w:rPr>
            </w:pPr>
          </w:p>
        </w:tc>
        <w:tc>
          <w:tcPr>
            <w:tcW w:w="0" w:type="auto"/>
          </w:tcPr>
          <w:p w14:paraId="2FE27602" w14:textId="77777777" w:rsidR="008C5CFA" w:rsidRPr="0024468B" w:rsidRDefault="00E82A60" w:rsidP="00300A01">
            <w:pPr>
              <w:spacing w:before="0" w:after="0"/>
              <w:jc w:val="right"/>
              <w:rPr>
                <w:sz w:val="16"/>
                <w:szCs w:val="16"/>
                <w:lang w:val="fr-BE"/>
              </w:rPr>
            </w:pPr>
            <w:r w:rsidRPr="0024468B">
              <w:rPr>
                <w:noProof/>
                <w:sz w:val="16"/>
                <w:szCs w:val="16"/>
                <w:lang w:val="fr-BE"/>
              </w:rPr>
              <w:t>5,23</w:t>
            </w:r>
          </w:p>
        </w:tc>
        <w:tc>
          <w:tcPr>
            <w:tcW w:w="0" w:type="auto"/>
          </w:tcPr>
          <w:p w14:paraId="1DD5E8D8" w14:textId="77777777" w:rsidR="008C5CFA" w:rsidRPr="0024468B" w:rsidRDefault="008C5CFA" w:rsidP="00300A01">
            <w:pPr>
              <w:spacing w:before="0" w:after="0"/>
              <w:jc w:val="right"/>
              <w:rPr>
                <w:sz w:val="16"/>
                <w:szCs w:val="16"/>
                <w:lang w:val="fr-BE"/>
              </w:rPr>
            </w:pPr>
          </w:p>
        </w:tc>
        <w:tc>
          <w:tcPr>
            <w:tcW w:w="0" w:type="auto"/>
          </w:tcPr>
          <w:p w14:paraId="32527033" w14:textId="77777777" w:rsidR="008C5CFA" w:rsidRPr="0024468B" w:rsidRDefault="00E82A60" w:rsidP="00300A01">
            <w:pPr>
              <w:spacing w:before="0" w:after="0"/>
              <w:jc w:val="right"/>
              <w:rPr>
                <w:sz w:val="16"/>
                <w:szCs w:val="16"/>
                <w:lang w:val="fr-BE"/>
              </w:rPr>
            </w:pPr>
            <w:r w:rsidRPr="0024468B">
              <w:rPr>
                <w:noProof/>
                <w:sz w:val="16"/>
                <w:szCs w:val="16"/>
                <w:lang w:val="fr-BE"/>
              </w:rPr>
              <w:t>5,32</w:t>
            </w:r>
          </w:p>
        </w:tc>
        <w:tc>
          <w:tcPr>
            <w:tcW w:w="0" w:type="auto"/>
          </w:tcPr>
          <w:p w14:paraId="1FA7242E" w14:textId="77777777" w:rsidR="008C5CFA" w:rsidRPr="0024468B" w:rsidRDefault="008C5CFA" w:rsidP="00300A01">
            <w:pPr>
              <w:spacing w:before="0" w:after="0"/>
              <w:jc w:val="right"/>
              <w:rPr>
                <w:sz w:val="16"/>
                <w:szCs w:val="16"/>
                <w:lang w:val="fr-BE"/>
              </w:rPr>
            </w:pPr>
          </w:p>
        </w:tc>
      </w:tr>
    </w:tbl>
    <w:p w14:paraId="760D198C"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8"/>
        <w:gridCol w:w="7852"/>
        <w:gridCol w:w="2798"/>
        <w:gridCol w:w="3366"/>
      </w:tblGrid>
      <w:tr w:rsidR="006B2EC1" w14:paraId="54E894EE" w14:textId="77777777" w:rsidTr="0047688D">
        <w:tc>
          <w:tcPr>
            <w:tcW w:w="0" w:type="auto"/>
            <w:shd w:val="clear" w:color="auto" w:fill="auto"/>
          </w:tcPr>
          <w:p w14:paraId="6F99F7DB" w14:textId="77777777" w:rsidR="008C5CFA" w:rsidRPr="0024468B" w:rsidRDefault="00E82A60" w:rsidP="00300A01">
            <w:pPr>
              <w:spacing w:before="0" w:after="0"/>
              <w:rPr>
                <w:sz w:val="16"/>
                <w:szCs w:val="16"/>
                <w:lang w:val="fr-BE"/>
              </w:rPr>
            </w:pPr>
            <w:r w:rsidRPr="0024468B">
              <w:rPr>
                <w:noProof/>
                <w:sz w:val="16"/>
                <w:szCs w:val="16"/>
                <w:lang w:val="fr-BE"/>
              </w:rPr>
              <w:t>ID</w:t>
            </w:r>
          </w:p>
        </w:tc>
        <w:tc>
          <w:tcPr>
            <w:tcW w:w="0" w:type="auto"/>
            <w:shd w:val="clear" w:color="auto" w:fill="auto"/>
          </w:tcPr>
          <w:p w14:paraId="00C69143" w14:textId="77777777" w:rsidR="008C5CFA" w:rsidRPr="0024468B" w:rsidRDefault="00E82A60" w:rsidP="00300A01">
            <w:pPr>
              <w:spacing w:before="0" w:after="0"/>
              <w:rPr>
                <w:sz w:val="16"/>
                <w:szCs w:val="16"/>
                <w:lang w:val="fr-BE"/>
              </w:rPr>
            </w:pPr>
            <w:r w:rsidRPr="0024468B">
              <w:rPr>
                <w:noProof/>
                <w:sz w:val="16"/>
                <w:szCs w:val="16"/>
                <w:lang w:val="fr-BE"/>
              </w:rPr>
              <w:t>Wskaźnik</w:t>
            </w:r>
          </w:p>
        </w:tc>
        <w:tc>
          <w:tcPr>
            <w:tcW w:w="0" w:type="auto"/>
            <w:shd w:val="clear" w:color="auto" w:fill="auto"/>
          </w:tcPr>
          <w:p w14:paraId="5CBF5ED3" w14:textId="77777777" w:rsidR="008C5CFA" w:rsidRPr="0024468B" w:rsidRDefault="00E82A60" w:rsidP="00300A01">
            <w:pPr>
              <w:spacing w:before="0" w:after="0"/>
              <w:jc w:val="center"/>
              <w:rPr>
                <w:sz w:val="16"/>
                <w:szCs w:val="16"/>
                <w:lang w:val="fr-BE"/>
              </w:rPr>
            </w:pPr>
            <w:r>
              <w:rPr>
                <w:sz w:val="16"/>
                <w:szCs w:val="16"/>
                <w:lang w:val="fr-BE"/>
              </w:rPr>
              <w:t xml:space="preserve">2014 </w:t>
            </w:r>
            <w:r>
              <w:rPr>
                <w:noProof/>
                <w:sz w:val="16"/>
                <w:szCs w:val="16"/>
                <w:lang w:val="fr-BE"/>
              </w:rPr>
              <w:t>Ogółem</w:t>
            </w:r>
          </w:p>
        </w:tc>
        <w:tc>
          <w:tcPr>
            <w:tcW w:w="0" w:type="auto"/>
            <w:shd w:val="clear" w:color="auto" w:fill="auto"/>
          </w:tcPr>
          <w:p w14:paraId="34A5BA4B" w14:textId="77777777" w:rsidR="008C5CFA" w:rsidRPr="0024468B" w:rsidRDefault="00E82A60" w:rsidP="00300A01">
            <w:pPr>
              <w:spacing w:before="0" w:after="0"/>
              <w:jc w:val="center"/>
              <w:rPr>
                <w:sz w:val="16"/>
                <w:szCs w:val="16"/>
                <w:lang w:val="fr-BE"/>
              </w:rPr>
            </w:pPr>
            <w:r>
              <w:rPr>
                <w:sz w:val="16"/>
                <w:szCs w:val="16"/>
                <w:lang w:val="fr-BE"/>
              </w:rPr>
              <w:t xml:space="preserve">2014 </w:t>
            </w:r>
            <w:r w:rsidRPr="0024468B">
              <w:rPr>
                <w:noProof/>
                <w:sz w:val="16"/>
                <w:szCs w:val="16"/>
                <w:lang w:val="fr-BE"/>
              </w:rPr>
              <w:t>Jakościowe</w:t>
            </w:r>
          </w:p>
        </w:tc>
      </w:tr>
      <w:tr w:rsidR="006B2EC1" w14:paraId="446F3869" w14:textId="77777777" w:rsidTr="0047688D">
        <w:tc>
          <w:tcPr>
            <w:tcW w:w="0" w:type="auto"/>
            <w:shd w:val="clear" w:color="auto" w:fill="auto"/>
          </w:tcPr>
          <w:p w14:paraId="79A64573" w14:textId="77777777" w:rsidR="008C5CFA" w:rsidRPr="0024468B" w:rsidRDefault="00E82A60" w:rsidP="00300A01">
            <w:pPr>
              <w:spacing w:before="0" w:after="0"/>
              <w:rPr>
                <w:sz w:val="16"/>
                <w:szCs w:val="16"/>
                <w:lang w:val="fr-BE"/>
              </w:rPr>
            </w:pPr>
            <w:r w:rsidRPr="0024468B">
              <w:rPr>
                <w:noProof/>
                <w:sz w:val="16"/>
                <w:szCs w:val="16"/>
                <w:lang w:val="fr-BE"/>
              </w:rPr>
              <w:t>056</w:t>
            </w:r>
          </w:p>
        </w:tc>
        <w:tc>
          <w:tcPr>
            <w:tcW w:w="0" w:type="auto"/>
            <w:shd w:val="clear" w:color="auto" w:fill="auto"/>
          </w:tcPr>
          <w:p w14:paraId="7AC3488E" w14:textId="77777777" w:rsidR="008C5CFA" w:rsidRPr="0024468B" w:rsidRDefault="00E82A60" w:rsidP="00300A01">
            <w:pPr>
              <w:spacing w:before="0" w:after="0"/>
              <w:rPr>
                <w:sz w:val="16"/>
                <w:szCs w:val="16"/>
                <w:lang w:val="fr-BE"/>
              </w:rPr>
            </w:pPr>
            <w:r w:rsidRPr="0024468B">
              <w:rPr>
                <w:noProof/>
                <w:sz w:val="16"/>
                <w:szCs w:val="16"/>
                <w:lang w:val="fr-BE"/>
              </w:rPr>
              <w:t>Średni pobyt chorego w szpitalach ogólnych</w:t>
            </w:r>
          </w:p>
        </w:tc>
        <w:tc>
          <w:tcPr>
            <w:tcW w:w="0" w:type="auto"/>
            <w:shd w:val="clear" w:color="auto" w:fill="auto"/>
          </w:tcPr>
          <w:p w14:paraId="30C3727D" w14:textId="77777777" w:rsidR="008C5CFA" w:rsidRPr="0024468B" w:rsidRDefault="00E82A60" w:rsidP="00300A01">
            <w:pPr>
              <w:spacing w:before="0" w:after="0"/>
              <w:jc w:val="right"/>
              <w:rPr>
                <w:sz w:val="16"/>
                <w:szCs w:val="16"/>
                <w:lang w:val="fr-BE"/>
              </w:rPr>
            </w:pPr>
            <w:r w:rsidRPr="0024468B">
              <w:rPr>
                <w:noProof/>
                <w:sz w:val="16"/>
                <w:szCs w:val="16"/>
                <w:lang w:val="fr-BE"/>
              </w:rPr>
              <w:t>5,41</w:t>
            </w:r>
          </w:p>
        </w:tc>
        <w:tc>
          <w:tcPr>
            <w:tcW w:w="0" w:type="auto"/>
            <w:shd w:val="clear" w:color="auto" w:fill="auto"/>
          </w:tcPr>
          <w:p w14:paraId="550BE579" w14:textId="77777777" w:rsidR="008C5CFA" w:rsidRPr="0024468B" w:rsidRDefault="008C5CFA" w:rsidP="00300A01">
            <w:pPr>
              <w:spacing w:before="0" w:after="0"/>
              <w:jc w:val="right"/>
              <w:rPr>
                <w:sz w:val="16"/>
                <w:szCs w:val="16"/>
                <w:lang w:val="fr-BE"/>
              </w:rPr>
            </w:pPr>
          </w:p>
        </w:tc>
      </w:tr>
    </w:tbl>
    <w:p w14:paraId="79D3EBBC" w14:textId="77777777" w:rsidR="008C5CFA" w:rsidRDefault="008C5CFA" w:rsidP="00300A01">
      <w:pPr>
        <w:spacing w:before="0" w:after="0"/>
        <w:rPr>
          <w:lang w:val="fr-BE"/>
        </w:rPr>
      </w:pPr>
    </w:p>
    <w:p w14:paraId="52077219" w14:textId="77777777" w:rsidR="008C5CFA" w:rsidRDefault="00E82A60" w:rsidP="00300A01">
      <w:pPr>
        <w:spacing w:before="0" w:after="0"/>
        <w:rPr>
          <w:lang w:val="fr-BE"/>
        </w:rPr>
      </w:pPr>
      <w:r>
        <w:rPr>
          <w:lang w:val="fr-BE"/>
        </w:rPr>
        <w:br w:type="page"/>
      </w:r>
    </w:p>
    <w:p w14:paraId="02B10B04"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8"/>
        <w:gridCol w:w="13526"/>
      </w:tblGrid>
      <w:tr w:rsidR="006B2EC1" w14:paraId="0AA0971D" w14:textId="77777777" w:rsidTr="0047688D">
        <w:tc>
          <w:tcPr>
            <w:tcW w:w="0" w:type="auto"/>
            <w:shd w:val="clear" w:color="auto" w:fill="auto"/>
          </w:tcPr>
          <w:p w14:paraId="5D005B70" w14:textId="77777777" w:rsidR="008C5CFA" w:rsidRPr="002124FC" w:rsidRDefault="00E82A60" w:rsidP="00300A01">
            <w:pPr>
              <w:spacing w:before="0" w:after="0"/>
              <w:rPr>
                <w:sz w:val="20"/>
                <w:szCs w:val="20"/>
                <w:lang w:val="fr-BE"/>
              </w:rPr>
            </w:pPr>
            <w:r>
              <w:rPr>
                <w:lang w:val="fr-BE"/>
              </w:rPr>
              <w:br w:type="page"/>
            </w:r>
            <w:r>
              <w:rPr>
                <w:lang w:val="fr-BE"/>
              </w:rPr>
              <w:br w:type="page"/>
            </w:r>
            <w:r>
              <w:rPr>
                <w:lang w:val="fr-BE"/>
              </w:rPr>
              <w:br w:type="page"/>
            </w:r>
            <w:r w:rsidRPr="002124FC">
              <w:rPr>
                <w:noProof/>
                <w:sz w:val="20"/>
                <w:szCs w:val="20"/>
                <w:lang w:val="fr-BE"/>
              </w:rPr>
              <w:t>Oś priorytetowa</w:t>
            </w:r>
          </w:p>
        </w:tc>
        <w:tc>
          <w:tcPr>
            <w:tcW w:w="0" w:type="auto"/>
            <w:shd w:val="clear" w:color="auto" w:fill="auto"/>
          </w:tcPr>
          <w:p w14:paraId="71C0C05D" w14:textId="77777777" w:rsidR="008C5CFA" w:rsidRPr="002124FC" w:rsidRDefault="00E82A60" w:rsidP="00300A01">
            <w:pPr>
              <w:spacing w:before="0" w:after="0"/>
              <w:rPr>
                <w:sz w:val="20"/>
                <w:szCs w:val="20"/>
                <w:lang w:val="fr-BE"/>
              </w:rPr>
            </w:pPr>
            <w:r>
              <w:rPr>
                <w:noProof/>
                <w:sz w:val="20"/>
                <w:szCs w:val="20"/>
                <w:lang w:val="fr-BE"/>
              </w:rPr>
              <w:t>7</w:t>
            </w:r>
            <w:r w:rsidRPr="002124FC">
              <w:rPr>
                <w:sz w:val="20"/>
                <w:szCs w:val="20"/>
                <w:lang w:val="fr-BE"/>
              </w:rPr>
              <w:t xml:space="preserve"> - </w:t>
            </w:r>
            <w:r>
              <w:rPr>
                <w:noProof/>
                <w:sz w:val="20"/>
                <w:szCs w:val="20"/>
                <w:lang w:val="fr-BE"/>
              </w:rPr>
              <w:t>Sprawne usługi publiczne</w:t>
            </w:r>
          </w:p>
        </w:tc>
      </w:tr>
      <w:tr w:rsidR="006B2EC1" w14:paraId="25A3BA1E" w14:textId="77777777" w:rsidTr="0047688D">
        <w:tc>
          <w:tcPr>
            <w:tcW w:w="0" w:type="auto"/>
            <w:shd w:val="clear" w:color="auto" w:fill="auto"/>
          </w:tcPr>
          <w:p w14:paraId="4DD1F998" w14:textId="77777777" w:rsidR="008C5CFA" w:rsidRPr="002124FC" w:rsidRDefault="00E82A60"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14:paraId="0B610FB1" w14:textId="77777777" w:rsidR="008C5CFA" w:rsidRPr="002124FC" w:rsidRDefault="00E82A60" w:rsidP="00300A01">
            <w:pPr>
              <w:spacing w:before="0" w:after="0"/>
              <w:rPr>
                <w:sz w:val="20"/>
                <w:szCs w:val="20"/>
                <w:lang w:val="fr-BE"/>
              </w:rPr>
            </w:pPr>
            <w:r w:rsidRPr="002124FC">
              <w:rPr>
                <w:noProof/>
                <w:sz w:val="20"/>
                <w:szCs w:val="20"/>
                <w:lang w:val="fr-BE"/>
              </w:rPr>
              <w:t>9a</w:t>
            </w:r>
            <w:r w:rsidRPr="002124FC">
              <w:rPr>
                <w:sz w:val="20"/>
                <w:szCs w:val="20"/>
                <w:lang w:val="fr-BE"/>
              </w:rPr>
              <w:t xml:space="preserve"> - </w:t>
            </w:r>
            <w:r>
              <w:rPr>
                <w:noProof/>
                <w:sz w:val="20"/>
                <w:szCs w:val="20"/>
                <w:lang w:val="fr-BE"/>
              </w:rPr>
              <w:t>Inwestycje w infrastrukturę zdrowotną i społeczną, które przyczyniają się do rozwoju krajowego, regionalnego i lokalnego, zmniejszania nierówności w zakresie stanu zdrowia, promowanie włączenia społecznego poprzez lepszy dostęp do usług społecznych, kulturalnych i rekreacyjnych oraz przejścia z usług instytucjonalnych na usługi na poziomie społeczności lokalnych</w:t>
            </w:r>
          </w:p>
        </w:tc>
      </w:tr>
      <w:tr w:rsidR="006B2EC1" w14:paraId="786FD793" w14:textId="77777777" w:rsidTr="0047688D">
        <w:tc>
          <w:tcPr>
            <w:tcW w:w="0" w:type="auto"/>
            <w:shd w:val="clear" w:color="auto" w:fill="auto"/>
          </w:tcPr>
          <w:p w14:paraId="1527C8F3" w14:textId="77777777" w:rsidR="008C5CFA" w:rsidRPr="002124FC" w:rsidRDefault="00E82A60" w:rsidP="00300A01">
            <w:pPr>
              <w:spacing w:before="0" w:after="0"/>
              <w:ind w:left="113" w:hanging="113"/>
              <w:rPr>
                <w:sz w:val="20"/>
                <w:szCs w:val="20"/>
                <w:lang w:val="fr-BE"/>
              </w:rPr>
            </w:pPr>
            <w:r>
              <w:rPr>
                <w:noProof/>
                <w:sz w:val="20"/>
                <w:szCs w:val="20"/>
                <w:lang w:val="fr-BE"/>
              </w:rPr>
              <w:t>Cel szczegółowy</w:t>
            </w:r>
          </w:p>
        </w:tc>
        <w:tc>
          <w:tcPr>
            <w:tcW w:w="0" w:type="auto"/>
            <w:shd w:val="clear" w:color="auto" w:fill="auto"/>
          </w:tcPr>
          <w:p w14:paraId="3254C0A9" w14:textId="77777777" w:rsidR="008C5CFA" w:rsidRPr="002124FC" w:rsidRDefault="00E82A60" w:rsidP="00300A01">
            <w:pPr>
              <w:spacing w:before="0" w:after="0"/>
              <w:rPr>
                <w:sz w:val="20"/>
                <w:szCs w:val="20"/>
                <w:lang w:val="fr-BE"/>
              </w:rPr>
            </w:pPr>
            <w:r>
              <w:rPr>
                <w:noProof/>
                <w:sz w:val="20"/>
                <w:szCs w:val="20"/>
                <w:lang w:val="fr-BE"/>
              </w:rPr>
              <w:t>2</w:t>
            </w:r>
            <w:r>
              <w:rPr>
                <w:sz w:val="20"/>
                <w:szCs w:val="20"/>
                <w:lang w:val="fr-BE"/>
              </w:rPr>
              <w:t xml:space="preserve"> - </w:t>
            </w:r>
            <w:r>
              <w:rPr>
                <w:noProof/>
                <w:sz w:val="20"/>
                <w:szCs w:val="20"/>
                <w:lang w:val="fr-BE"/>
              </w:rPr>
              <w:t>Poprawiona jakość oraz szersze udostępnienie obiektów pomocy i integracji społecznej.</w:t>
            </w:r>
          </w:p>
        </w:tc>
      </w:tr>
    </w:tbl>
    <w:p w14:paraId="75AE2DD7" w14:textId="77777777" w:rsidR="008C5CFA" w:rsidRDefault="008C5CFA" w:rsidP="00300A01">
      <w:pPr>
        <w:spacing w:before="0" w:after="0"/>
        <w:rPr>
          <w:lang w:val="fr-BE"/>
        </w:rPr>
      </w:pPr>
    </w:p>
    <w:p w14:paraId="362192A8" w14:textId="77777777" w:rsidR="008C5CFA" w:rsidRDefault="00E82A60" w:rsidP="00300A01">
      <w:pPr>
        <w:spacing w:before="0" w:after="0"/>
        <w:rPr>
          <w:lang w:val="fr-BE"/>
        </w:rPr>
      </w:pPr>
      <w:r>
        <w:rPr>
          <w:lang w:val="fr-BE"/>
        </w:rPr>
        <w:t xml:space="preserve">Tabela 1: Wskaźniki rezultatu dla EFRR i Funduszu Spójności (według osi priorytetowej i celu szczegółowego); ma zastosowanie także do osi priorytetowej </w:t>
      </w:r>
      <w:r>
        <w:t>"</w:t>
      </w:r>
      <w:r>
        <w:rPr>
          <w:lang w:val="fr-BE"/>
        </w:rPr>
        <w:t>Pomoc techniczna</w:t>
      </w:r>
      <w:r>
        <w:t>"</w:t>
      </w:r>
    </w:p>
    <w:p w14:paraId="4104131E"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
        <w:gridCol w:w="5286"/>
        <w:gridCol w:w="1222"/>
        <w:gridCol w:w="1330"/>
        <w:gridCol w:w="1238"/>
        <w:gridCol w:w="992"/>
        <w:gridCol w:w="1678"/>
        <w:gridCol w:w="1058"/>
        <w:gridCol w:w="1280"/>
        <w:gridCol w:w="643"/>
      </w:tblGrid>
      <w:tr w:rsidR="006B2EC1" w14:paraId="6848E819" w14:textId="77777777" w:rsidTr="0047688D">
        <w:tc>
          <w:tcPr>
            <w:tcW w:w="0" w:type="auto"/>
            <w:shd w:val="clear" w:color="auto" w:fill="auto"/>
          </w:tcPr>
          <w:p w14:paraId="545E48CE" w14:textId="77777777" w:rsidR="008C5CFA" w:rsidRPr="0024468B" w:rsidRDefault="00E82A60" w:rsidP="00300A01">
            <w:pPr>
              <w:spacing w:before="0" w:after="0"/>
              <w:rPr>
                <w:sz w:val="16"/>
                <w:szCs w:val="16"/>
                <w:lang w:val="fr-BE"/>
              </w:rPr>
            </w:pPr>
            <w:r w:rsidRPr="0024468B">
              <w:rPr>
                <w:noProof/>
                <w:sz w:val="16"/>
                <w:szCs w:val="16"/>
                <w:lang w:val="fr-BE"/>
              </w:rPr>
              <w:t>ID</w:t>
            </w:r>
          </w:p>
        </w:tc>
        <w:tc>
          <w:tcPr>
            <w:tcW w:w="0" w:type="auto"/>
            <w:shd w:val="clear" w:color="auto" w:fill="auto"/>
          </w:tcPr>
          <w:p w14:paraId="401BD7AF" w14:textId="77777777" w:rsidR="008C5CFA" w:rsidRPr="0024468B" w:rsidRDefault="00E82A60" w:rsidP="00300A01">
            <w:pPr>
              <w:spacing w:before="0" w:after="0"/>
              <w:rPr>
                <w:sz w:val="16"/>
                <w:szCs w:val="16"/>
                <w:lang w:val="fr-BE"/>
              </w:rPr>
            </w:pPr>
            <w:r w:rsidRPr="0024468B">
              <w:rPr>
                <w:noProof/>
                <w:sz w:val="16"/>
                <w:szCs w:val="16"/>
                <w:lang w:val="fr-BE"/>
              </w:rPr>
              <w:t>Wskaźnik</w:t>
            </w:r>
          </w:p>
        </w:tc>
        <w:tc>
          <w:tcPr>
            <w:tcW w:w="0" w:type="auto"/>
            <w:shd w:val="clear" w:color="auto" w:fill="auto"/>
          </w:tcPr>
          <w:p w14:paraId="072E2E0B" w14:textId="77777777" w:rsidR="008C5CFA" w:rsidRPr="0024468B" w:rsidRDefault="00E82A60" w:rsidP="00300A01">
            <w:pPr>
              <w:spacing w:before="0" w:after="0"/>
              <w:rPr>
                <w:sz w:val="16"/>
                <w:szCs w:val="16"/>
                <w:lang w:val="fr-BE"/>
              </w:rPr>
            </w:pPr>
            <w:r w:rsidRPr="0024468B">
              <w:rPr>
                <w:noProof/>
                <w:sz w:val="16"/>
                <w:szCs w:val="16"/>
                <w:lang w:val="fr-BE"/>
              </w:rPr>
              <w:t>Jednostka miary</w:t>
            </w:r>
          </w:p>
        </w:tc>
        <w:tc>
          <w:tcPr>
            <w:tcW w:w="0" w:type="auto"/>
            <w:shd w:val="clear" w:color="auto" w:fill="auto"/>
          </w:tcPr>
          <w:p w14:paraId="11A90AD4" w14:textId="77777777" w:rsidR="008C5CFA" w:rsidRPr="0024468B" w:rsidRDefault="00E82A60" w:rsidP="00300A01">
            <w:pPr>
              <w:spacing w:before="0" w:after="0"/>
              <w:rPr>
                <w:sz w:val="16"/>
                <w:szCs w:val="16"/>
                <w:lang w:val="fr-BE"/>
              </w:rPr>
            </w:pPr>
            <w:r w:rsidRPr="0024468B">
              <w:rPr>
                <w:noProof/>
                <w:sz w:val="16"/>
                <w:szCs w:val="16"/>
                <w:lang w:val="fr-BE"/>
              </w:rPr>
              <w:t>Kategoria regionu</w:t>
            </w:r>
          </w:p>
        </w:tc>
        <w:tc>
          <w:tcPr>
            <w:tcW w:w="0" w:type="auto"/>
            <w:shd w:val="clear" w:color="auto" w:fill="auto"/>
          </w:tcPr>
          <w:p w14:paraId="1D112EA6" w14:textId="77777777" w:rsidR="008C5CFA" w:rsidRPr="0024468B" w:rsidRDefault="00E82A60" w:rsidP="00300A01">
            <w:pPr>
              <w:spacing w:before="0" w:after="0"/>
              <w:rPr>
                <w:sz w:val="16"/>
                <w:szCs w:val="16"/>
                <w:lang w:val="fr-BE"/>
              </w:rPr>
            </w:pPr>
            <w:r w:rsidRPr="0024468B">
              <w:rPr>
                <w:noProof/>
                <w:sz w:val="16"/>
                <w:szCs w:val="16"/>
                <w:lang w:val="fr-BE"/>
              </w:rPr>
              <w:t>Wartość bazowa</w:t>
            </w:r>
          </w:p>
        </w:tc>
        <w:tc>
          <w:tcPr>
            <w:tcW w:w="0" w:type="auto"/>
            <w:shd w:val="clear" w:color="auto" w:fill="auto"/>
          </w:tcPr>
          <w:p w14:paraId="373762A8" w14:textId="77777777" w:rsidR="008C5CFA" w:rsidRPr="0024468B" w:rsidRDefault="00E82A60" w:rsidP="00300A01">
            <w:pPr>
              <w:spacing w:before="0" w:after="0"/>
              <w:rPr>
                <w:sz w:val="16"/>
                <w:szCs w:val="16"/>
                <w:lang w:val="fr-BE"/>
              </w:rPr>
            </w:pPr>
            <w:r w:rsidRPr="0024468B">
              <w:rPr>
                <w:noProof/>
                <w:sz w:val="16"/>
                <w:szCs w:val="16"/>
                <w:lang w:val="fr-BE"/>
              </w:rPr>
              <w:t>Rok bazowy</w:t>
            </w:r>
          </w:p>
        </w:tc>
        <w:tc>
          <w:tcPr>
            <w:tcW w:w="0" w:type="auto"/>
            <w:shd w:val="clear" w:color="auto" w:fill="auto"/>
          </w:tcPr>
          <w:p w14:paraId="62D0A464" w14:textId="77777777" w:rsidR="008C5CFA" w:rsidRPr="0024468B" w:rsidRDefault="00E82A60" w:rsidP="00300A01">
            <w:pPr>
              <w:spacing w:before="0" w:after="0"/>
              <w:rPr>
                <w:sz w:val="16"/>
                <w:szCs w:val="16"/>
                <w:lang w:val="fr-BE"/>
              </w:rPr>
            </w:pPr>
            <w:r w:rsidRPr="0024468B">
              <w:rPr>
                <w:noProof/>
                <w:sz w:val="16"/>
                <w:szCs w:val="16"/>
                <w:lang w:val="fr-BE"/>
              </w:rPr>
              <w:t>Wartość docelowa 2023</w:t>
            </w:r>
          </w:p>
        </w:tc>
        <w:tc>
          <w:tcPr>
            <w:tcW w:w="0" w:type="auto"/>
            <w:shd w:val="clear" w:color="auto" w:fill="auto"/>
          </w:tcPr>
          <w:p w14:paraId="793F769A" w14:textId="77777777" w:rsidR="008C5CFA" w:rsidRPr="0024468B" w:rsidRDefault="00E82A60" w:rsidP="00300A01">
            <w:pPr>
              <w:spacing w:before="0" w:after="0"/>
              <w:jc w:val="center"/>
              <w:rPr>
                <w:sz w:val="16"/>
                <w:szCs w:val="16"/>
                <w:lang w:val="fr-BE"/>
              </w:rPr>
            </w:pPr>
            <w:r>
              <w:rPr>
                <w:sz w:val="16"/>
                <w:szCs w:val="16"/>
                <w:lang w:val="fr-BE"/>
              </w:rPr>
              <w:t xml:space="preserve">2019 </w:t>
            </w:r>
            <w:r>
              <w:rPr>
                <w:noProof/>
                <w:sz w:val="16"/>
                <w:szCs w:val="16"/>
                <w:lang w:val="fr-BE"/>
              </w:rPr>
              <w:t>Ogółem</w:t>
            </w:r>
          </w:p>
        </w:tc>
        <w:tc>
          <w:tcPr>
            <w:tcW w:w="0" w:type="auto"/>
            <w:shd w:val="clear" w:color="auto" w:fill="auto"/>
          </w:tcPr>
          <w:p w14:paraId="12B5EFD4" w14:textId="77777777" w:rsidR="008C5CFA" w:rsidRPr="0024468B" w:rsidRDefault="00E82A60" w:rsidP="00300A01">
            <w:pPr>
              <w:spacing w:before="0" w:after="0"/>
              <w:jc w:val="center"/>
              <w:rPr>
                <w:sz w:val="16"/>
                <w:szCs w:val="16"/>
                <w:lang w:val="fr-BE"/>
              </w:rPr>
            </w:pPr>
            <w:r>
              <w:rPr>
                <w:sz w:val="16"/>
                <w:szCs w:val="16"/>
                <w:lang w:val="fr-BE"/>
              </w:rPr>
              <w:t xml:space="preserve">2019 </w:t>
            </w:r>
            <w:r w:rsidRPr="0024468B">
              <w:rPr>
                <w:noProof/>
                <w:sz w:val="16"/>
                <w:szCs w:val="16"/>
                <w:lang w:val="fr-BE"/>
              </w:rPr>
              <w:t>Jakościowe</w:t>
            </w:r>
          </w:p>
        </w:tc>
        <w:tc>
          <w:tcPr>
            <w:tcW w:w="0" w:type="auto"/>
            <w:shd w:val="clear" w:color="auto" w:fill="auto"/>
          </w:tcPr>
          <w:p w14:paraId="68BE517C" w14:textId="77777777" w:rsidR="008C5CFA" w:rsidRPr="0024468B" w:rsidRDefault="00E82A60" w:rsidP="00300A01">
            <w:pPr>
              <w:spacing w:before="0" w:after="0"/>
              <w:jc w:val="center"/>
              <w:rPr>
                <w:sz w:val="16"/>
                <w:szCs w:val="16"/>
                <w:lang w:val="fr-BE"/>
              </w:rPr>
            </w:pPr>
            <w:r w:rsidRPr="0024468B">
              <w:rPr>
                <w:noProof/>
                <w:sz w:val="16"/>
                <w:szCs w:val="16"/>
                <w:lang w:val="fr-BE"/>
              </w:rPr>
              <w:t>Uwagi</w:t>
            </w:r>
          </w:p>
        </w:tc>
      </w:tr>
      <w:tr w:rsidR="006B2EC1" w14:paraId="44AB5AEB" w14:textId="77777777" w:rsidTr="0047688D">
        <w:tc>
          <w:tcPr>
            <w:tcW w:w="0" w:type="auto"/>
            <w:shd w:val="clear" w:color="auto" w:fill="auto"/>
          </w:tcPr>
          <w:p w14:paraId="4FFCF00E" w14:textId="77777777" w:rsidR="008C5CFA" w:rsidRPr="0024468B" w:rsidRDefault="00E82A60" w:rsidP="00300A01">
            <w:pPr>
              <w:spacing w:before="0" w:after="0"/>
              <w:rPr>
                <w:sz w:val="16"/>
                <w:szCs w:val="16"/>
                <w:lang w:val="fr-BE"/>
              </w:rPr>
            </w:pPr>
            <w:r w:rsidRPr="0024468B">
              <w:rPr>
                <w:noProof/>
                <w:sz w:val="16"/>
                <w:szCs w:val="16"/>
                <w:lang w:val="fr-BE"/>
              </w:rPr>
              <w:t>057</w:t>
            </w:r>
          </w:p>
        </w:tc>
        <w:tc>
          <w:tcPr>
            <w:tcW w:w="0" w:type="auto"/>
            <w:shd w:val="clear" w:color="auto" w:fill="auto"/>
          </w:tcPr>
          <w:p w14:paraId="35923549" w14:textId="77777777" w:rsidR="008C5CFA" w:rsidRPr="0024468B" w:rsidRDefault="00E82A60" w:rsidP="00300A01">
            <w:pPr>
              <w:spacing w:before="0" w:after="0"/>
              <w:rPr>
                <w:sz w:val="16"/>
                <w:szCs w:val="16"/>
                <w:lang w:val="fr-BE"/>
              </w:rPr>
            </w:pPr>
            <w:r w:rsidRPr="0024468B">
              <w:rPr>
                <w:noProof/>
                <w:sz w:val="16"/>
                <w:szCs w:val="16"/>
                <w:lang w:val="fr-BE"/>
              </w:rPr>
              <w:t>Liczba gospodarstw domowych korzystających ze środowiskowej pomocy społecznej</w:t>
            </w:r>
          </w:p>
        </w:tc>
        <w:tc>
          <w:tcPr>
            <w:tcW w:w="0" w:type="auto"/>
            <w:shd w:val="clear" w:color="auto" w:fill="auto"/>
          </w:tcPr>
          <w:p w14:paraId="4512F016" w14:textId="77777777" w:rsidR="008C5CFA" w:rsidRPr="0024468B" w:rsidRDefault="00E82A60" w:rsidP="00300A01">
            <w:pPr>
              <w:spacing w:before="0" w:after="0"/>
              <w:rPr>
                <w:sz w:val="16"/>
                <w:szCs w:val="16"/>
                <w:lang w:val="fr-BE"/>
              </w:rPr>
            </w:pPr>
            <w:r w:rsidRPr="0024468B">
              <w:rPr>
                <w:noProof/>
                <w:sz w:val="16"/>
                <w:szCs w:val="16"/>
                <w:lang w:val="fr-BE"/>
              </w:rPr>
              <w:t>szt.</w:t>
            </w:r>
          </w:p>
        </w:tc>
        <w:tc>
          <w:tcPr>
            <w:tcW w:w="0" w:type="auto"/>
            <w:shd w:val="clear" w:color="auto" w:fill="auto"/>
          </w:tcPr>
          <w:p w14:paraId="0291492C" w14:textId="77777777" w:rsidR="008C5CFA" w:rsidRPr="0024468B" w:rsidRDefault="00E82A60"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14:paraId="1AB0D3E9" w14:textId="77777777" w:rsidR="008C5CFA" w:rsidRPr="00C3185A" w:rsidRDefault="00E82A60" w:rsidP="00300A01">
            <w:pPr>
              <w:spacing w:before="0" w:after="0"/>
              <w:jc w:val="right"/>
              <w:rPr>
                <w:sz w:val="16"/>
                <w:szCs w:val="16"/>
                <w:lang w:val="fr-BE"/>
              </w:rPr>
            </w:pPr>
            <w:r w:rsidRPr="00C3185A">
              <w:rPr>
                <w:noProof/>
                <w:sz w:val="16"/>
                <w:szCs w:val="16"/>
                <w:lang w:val="fr-BE"/>
              </w:rPr>
              <w:t>52 380,00</w:t>
            </w:r>
          </w:p>
        </w:tc>
        <w:tc>
          <w:tcPr>
            <w:tcW w:w="0" w:type="auto"/>
            <w:shd w:val="clear" w:color="auto" w:fill="auto"/>
          </w:tcPr>
          <w:p w14:paraId="0CBE4A99" w14:textId="77777777" w:rsidR="008C5CFA" w:rsidRPr="0024468B" w:rsidRDefault="00E82A60" w:rsidP="00300A01">
            <w:pPr>
              <w:spacing w:before="0" w:after="0"/>
              <w:rPr>
                <w:sz w:val="16"/>
                <w:szCs w:val="16"/>
                <w:lang w:val="fr-BE"/>
              </w:rPr>
            </w:pPr>
            <w:r w:rsidRPr="0024468B">
              <w:rPr>
                <w:noProof/>
                <w:sz w:val="16"/>
                <w:szCs w:val="16"/>
                <w:lang w:val="fr-BE"/>
              </w:rPr>
              <w:t>2013</w:t>
            </w:r>
          </w:p>
        </w:tc>
        <w:tc>
          <w:tcPr>
            <w:tcW w:w="0" w:type="auto"/>
            <w:shd w:val="clear" w:color="auto" w:fill="auto"/>
          </w:tcPr>
          <w:p w14:paraId="7B40757E" w14:textId="77777777" w:rsidR="008C5CFA" w:rsidRPr="0024468B" w:rsidRDefault="00E82A60" w:rsidP="00300A01">
            <w:pPr>
              <w:spacing w:before="0" w:after="0"/>
              <w:jc w:val="right"/>
              <w:rPr>
                <w:sz w:val="16"/>
                <w:szCs w:val="16"/>
                <w:lang w:val="fr-BE"/>
              </w:rPr>
            </w:pPr>
            <w:r w:rsidRPr="0024468B">
              <w:rPr>
                <w:noProof/>
                <w:sz w:val="16"/>
                <w:szCs w:val="16"/>
                <w:lang w:val="fr-BE"/>
              </w:rPr>
              <w:t>54 069,00</w:t>
            </w:r>
          </w:p>
        </w:tc>
        <w:tc>
          <w:tcPr>
            <w:tcW w:w="0" w:type="auto"/>
            <w:shd w:val="clear" w:color="auto" w:fill="auto"/>
          </w:tcPr>
          <w:p w14:paraId="72E85F87"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57A5A884" w14:textId="77777777" w:rsidR="008C5CFA" w:rsidRPr="0024468B" w:rsidRDefault="008C5CFA" w:rsidP="00300A01">
            <w:pPr>
              <w:spacing w:before="0" w:after="0"/>
              <w:jc w:val="right"/>
              <w:rPr>
                <w:sz w:val="16"/>
                <w:szCs w:val="16"/>
                <w:lang w:val="fr-BE"/>
              </w:rPr>
            </w:pPr>
          </w:p>
        </w:tc>
        <w:tc>
          <w:tcPr>
            <w:tcW w:w="0" w:type="auto"/>
            <w:shd w:val="clear" w:color="auto" w:fill="auto"/>
          </w:tcPr>
          <w:p w14:paraId="093EAE24" w14:textId="77777777" w:rsidR="008C5CFA" w:rsidRPr="0024468B" w:rsidRDefault="008C5CFA" w:rsidP="00300A01">
            <w:pPr>
              <w:spacing w:before="0" w:after="0"/>
              <w:rPr>
                <w:sz w:val="16"/>
                <w:szCs w:val="16"/>
                <w:lang w:val="fr-BE"/>
              </w:rPr>
            </w:pPr>
          </w:p>
        </w:tc>
      </w:tr>
    </w:tbl>
    <w:p w14:paraId="7CCBB9EA"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
        <w:gridCol w:w="5315"/>
        <w:gridCol w:w="1071"/>
        <w:gridCol w:w="1282"/>
        <w:gridCol w:w="1071"/>
        <w:gridCol w:w="1282"/>
        <w:gridCol w:w="1071"/>
        <w:gridCol w:w="1282"/>
        <w:gridCol w:w="1071"/>
        <w:gridCol w:w="1282"/>
      </w:tblGrid>
      <w:tr w:rsidR="006B2EC1" w14:paraId="666F4BA7" w14:textId="77777777" w:rsidTr="0047688D">
        <w:tc>
          <w:tcPr>
            <w:tcW w:w="0" w:type="auto"/>
            <w:shd w:val="clear" w:color="auto" w:fill="auto"/>
          </w:tcPr>
          <w:p w14:paraId="2EA85054" w14:textId="77777777" w:rsidR="008C5CFA" w:rsidRPr="0024468B" w:rsidRDefault="00E82A60" w:rsidP="00300A01">
            <w:pPr>
              <w:spacing w:before="0" w:after="0"/>
              <w:rPr>
                <w:sz w:val="16"/>
                <w:szCs w:val="16"/>
                <w:lang w:val="fr-BE"/>
              </w:rPr>
            </w:pPr>
            <w:r w:rsidRPr="0024468B">
              <w:rPr>
                <w:noProof/>
                <w:sz w:val="16"/>
                <w:szCs w:val="16"/>
                <w:lang w:val="fr-BE"/>
              </w:rPr>
              <w:t>ID</w:t>
            </w:r>
          </w:p>
        </w:tc>
        <w:tc>
          <w:tcPr>
            <w:tcW w:w="0" w:type="auto"/>
            <w:shd w:val="clear" w:color="auto" w:fill="auto"/>
          </w:tcPr>
          <w:p w14:paraId="0A1E65FC" w14:textId="77777777" w:rsidR="008C5CFA" w:rsidRPr="0024468B" w:rsidRDefault="00E82A60" w:rsidP="00300A01">
            <w:pPr>
              <w:spacing w:before="0" w:after="0"/>
              <w:rPr>
                <w:sz w:val="16"/>
                <w:szCs w:val="16"/>
                <w:lang w:val="fr-BE"/>
              </w:rPr>
            </w:pPr>
            <w:r w:rsidRPr="0024468B">
              <w:rPr>
                <w:noProof/>
                <w:sz w:val="16"/>
                <w:szCs w:val="16"/>
                <w:lang w:val="fr-BE"/>
              </w:rPr>
              <w:t>Wskaźnik</w:t>
            </w:r>
          </w:p>
        </w:tc>
        <w:tc>
          <w:tcPr>
            <w:tcW w:w="0" w:type="auto"/>
          </w:tcPr>
          <w:p w14:paraId="4B3B2241" w14:textId="77777777" w:rsidR="008C5CFA" w:rsidRPr="0024468B" w:rsidRDefault="00E82A60" w:rsidP="00300A01">
            <w:pPr>
              <w:spacing w:before="0" w:after="0"/>
              <w:jc w:val="center"/>
              <w:rPr>
                <w:sz w:val="16"/>
                <w:szCs w:val="16"/>
                <w:lang w:val="fr-BE"/>
              </w:rPr>
            </w:pPr>
            <w:r>
              <w:rPr>
                <w:sz w:val="16"/>
                <w:szCs w:val="16"/>
                <w:lang w:val="fr-BE"/>
              </w:rPr>
              <w:t xml:space="preserve">2018 </w:t>
            </w:r>
            <w:r>
              <w:rPr>
                <w:noProof/>
                <w:sz w:val="16"/>
                <w:szCs w:val="16"/>
                <w:lang w:val="fr-BE"/>
              </w:rPr>
              <w:t>Ogółem</w:t>
            </w:r>
          </w:p>
        </w:tc>
        <w:tc>
          <w:tcPr>
            <w:tcW w:w="0" w:type="auto"/>
          </w:tcPr>
          <w:p w14:paraId="369DE9CF" w14:textId="77777777" w:rsidR="008C5CFA" w:rsidRPr="0024468B" w:rsidRDefault="00E82A60" w:rsidP="00300A01">
            <w:pPr>
              <w:spacing w:before="0" w:after="0"/>
              <w:jc w:val="center"/>
              <w:rPr>
                <w:sz w:val="16"/>
                <w:szCs w:val="16"/>
                <w:lang w:val="fr-BE"/>
              </w:rPr>
            </w:pPr>
            <w:r>
              <w:rPr>
                <w:sz w:val="16"/>
                <w:szCs w:val="16"/>
                <w:lang w:val="fr-BE"/>
              </w:rPr>
              <w:t xml:space="preserve">2018 </w:t>
            </w:r>
            <w:r w:rsidRPr="0024468B">
              <w:rPr>
                <w:noProof/>
                <w:sz w:val="16"/>
                <w:szCs w:val="16"/>
                <w:lang w:val="fr-BE"/>
              </w:rPr>
              <w:t>Jakościowe</w:t>
            </w:r>
          </w:p>
        </w:tc>
        <w:tc>
          <w:tcPr>
            <w:tcW w:w="0" w:type="auto"/>
          </w:tcPr>
          <w:p w14:paraId="631F8E00" w14:textId="77777777" w:rsidR="008C5CFA" w:rsidRPr="0024468B" w:rsidRDefault="00E82A60" w:rsidP="00300A01">
            <w:pPr>
              <w:spacing w:before="0" w:after="0"/>
              <w:jc w:val="center"/>
              <w:rPr>
                <w:sz w:val="16"/>
                <w:szCs w:val="16"/>
                <w:lang w:val="fr-BE"/>
              </w:rPr>
            </w:pPr>
            <w:r>
              <w:rPr>
                <w:sz w:val="16"/>
                <w:szCs w:val="16"/>
                <w:lang w:val="fr-BE"/>
              </w:rPr>
              <w:t xml:space="preserve">2017 </w:t>
            </w:r>
            <w:r>
              <w:rPr>
                <w:noProof/>
                <w:sz w:val="16"/>
                <w:szCs w:val="16"/>
                <w:lang w:val="fr-BE"/>
              </w:rPr>
              <w:t>Ogółem</w:t>
            </w:r>
          </w:p>
        </w:tc>
        <w:tc>
          <w:tcPr>
            <w:tcW w:w="0" w:type="auto"/>
          </w:tcPr>
          <w:p w14:paraId="4C97941B" w14:textId="77777777" w:rsidR="008C5CFA" w:rsidRPr="0024468B" w:rsidRDefault="00E82A60" w:rsidP="00300A01">
            <w:pPr>
              <w:spacing w:before="0" w:after="0"/>
              <w:jc w:val="center"/>
              <w:rPr>
                <w:sz w:val="16"/>
                <w:szCs w:val="16"/>
                <w:lang w:val="fr-BE"/>
              </w:rPr>
            </w:pPr>
            <w:r>
              <w:rPr>
                <w:sz w:val="16"/>
                <w:szCs w:val="16"/>
                <w:lang w:val="fr-BE"/>
              </w:rPr>
              <w:t xml:space="preserve">2017 </w:t>
            </w:r>
            <w:r w:rsidRPr="0024468B">
              <w:rPr>
                <w:noProof/>
                <w:sz w:val="16"/>
                <w:szCs w:val="16"/>
                <w:lang w:val="fr-BE"/>
              </w:rPr>
              <w:t>Jakościowe</w:t>
            </w:r>
          </w:p>
        </w:tc>
        <w:tc>
          <w:tcPr>
            <w:tcW w:w="0" w:type="auto"/>
          </w:tcPr>
          <w:p w14:paraId="6E199E2E" w14:textId="77777777" w:rsidR="008C5CFA" w:rsidRPr="0024468B" w:rsidRDefault="00E82A60" w:rsidP="00300A01">
            <w:pPr>
              <w:spacing w:before="0" w:after="0"/>
              <w:jc w:val="center"/>
              <w:rPr>
                <w:sz w:val="16"/>
                <w:szCs w:val="16"/>
                <w:lang w:val="fr-BE"/>
              </w:rPr>
            </w:pPr>
            <w:r>
              <w:rPr>
                <w:sz w:val="16"/>
                <w:szCs w:val="16"/>
                <w:lang w:val="fr-BE"/>
              </w:rPr>
              <w:t xml:space="preserve">2016 </w:t>
            </w:r>
            <w:r>
              <w:rPr>
                <w:noProof/>
                <w:sz w:val="16"/>
                <w:szCs w:val="16"/>
                <w:lang w:val="fr-BE"/>
              </w:rPr>
              <w:t>Ogółem</w:t>
            </w:r>
          </w:p>
        </w:tc>
        <w:tc>
          <w:tcPr>
            <w:tcW w:w="0" w:type="auto"/>
          </w:tcPr>
          <w:p w14:paraId="67D64AC3" w14:textId="77777777" w:rsidR="008C5CFA" w:rsidRPr="0024468B" w:rsidRDefault="00E82A60" w:rsidP="00300A01">
            <w:pPr>
              <w:spacing w:before="0" w:after="0"/>
              <w:jc w:val="center"/>
              <w:rPr>
                <w:sz w:val="16"/>
                <w:szCs w:val="16"/>
                <w:lang w:val="fr-BE"/>
              </w:rPr>
            </w:pPr>
            <w:r>
              <w:rPr>
                <w:sz w:val="16"/>
                <w:szCs w:val="16"/>
                <w:lang w:val="fr-BE"/>
              </w:rPr>
              <w:t xml:space="preserve">2016 </w:t>
            </w:r>
            <w:r w:rsidRPr="0024468B">
              <w:rPr>
                <w:noProof/>
                <w:sz w:val="16"/>
                <w:szCs w:val="16"/>
                <w:lang w:val="fr-BE"/>
              </w:rPr>
              <w:t>Jakościowe</w:t>
            </w:r>
          </w:p>
        </w:tc>
        <w:tc>
          <w:tcPr>
            <w:tcW w:w="0" w:type="auto"/>
          </w:tcPr>
          <w:p w14:paraId="22FF0504" w14:textId="77777777" w:rsidR="008C5CFA" w:rsidRPr="0024468B" w:rsidRDefault="00E82A60" w:rsidP="00300A01">
            <w:pPr>
              <w:spacing w:before="0" w:after="0"/>
              <w:jc w:val="center"/>
              <w:rPr>
                <w:sz w:val="16"/>
                <w:szCs w:val="16"/>
                <w:lang w:val="fr-BE"/>
              </w:rPr>
            </w:pPr>
            <w:r>
              <w:rPr>
                <w:sz w:val="16"/>
                <w:szCs w:val="16"/>
                <w:lang w:val="fr-BE"/>
              </w:rPr>
              <w:t xml:space="preserve">2015 </w:t>
            </w:r>
            <w:r>
              <w:rPr>
                <w:noProof/>
                <w:sz w:val="16"/>
                <w:szCs w:val="16"/>
                <w:lang w:val="fr-BE"/>
              </w:rPr>
              <w:t>Ogółem</w:t>
            </w:r>
          </w:p>
        </w:tc>
        <w:tc>
          <w:tcPr>
            <w:tcW w:w="0" w:type="auto"/>
          </w:tcPr>
          <w:p w14:paraId="2C702CB1" w14:textId="77777777" w:rsidR="008C5CFA" w:rsidRPr="0024468B" w:rsidRDefault="00E82A60" w:rsidP="00300A01">
            <w:pPr>
              <w:spacing w:before="0" w:after="0"/>
              <w:jc w:val="center"/>
              <w:rPr>
                <w:sz w:val="16"/>
                <w:szCs w:val="16"/>
                <w:lang w:val="fr-BE"/>
              </w:rPr>
            </w:pPr>
            <w:r>
              <w:rPr>
                <w:sz w:val="16"/>
                <w:szCs w:val="16"/>
                <w:lang w:val="fr-BE"/>
              </w:rPr>
              <w:t xml:space="preserve">2015 </w:t>
            </w:r>
            <w:r w:rsidRPr="0024468B">
              <w:rPr>
                <w:noProof/>
                <w:sz w:val="16"/>
                <w:szCs w:val="16"/>
                <w:lang w:val="fr-BE"/>
              </w:rPr>
              <w:t>Jakościowe</w:t>
            </w:r>
          </w:p>
        </w:tc>
      </w:tr>
      <w:tr w:rsidR="006B2EC1" w14:paraId="248D18A6" w14:textId="77777777" w:rsidTr="0047688D">
        <w:tc>
          <w:tcPr>
            <w:tcW w:w="0" w:type="auto"/>
            <w:shd w:val="clear" w:color="auto" w:fill="auto"/>
          </w:tcPr>
          <w:p w14:paraId="56B63F33" w14:textId="77777777" w:rsidR="008C5CFA" w:rsidRPr="0024468B" w:rsidRDefault="00E82A60" w:rsidP="00300A01">
            <w:pPr>
              <w:spacing w:before="0" w:after="0"/>
              <w:rPr>
                <w:sz w:val="16"/>
                <w:szCs w:val="16"/>
                <w:lang w:val="fr-BE"/>
              </w:rPr>
            </w:pPr>
            <w:r w:rsidRPr="0024468B">
              <w:rPr>
                <w:noProof/>
                <w:sz w:val="16"/>
                <w:szCs w:val="16"/>
                <w:lang w:val="fr-BE"/>
              </w:rPr>
              <w:t>057</w:t>
            </w:r>
          </w:p>
        </w:tc>
        <w:tc>
          <w:tcPr>
            <w:tcW w:w="0" w:type="auto"/>
            <w:shd w:val="clear" w:color="auto" w:fill="auto"/>
          </w:tcPr>
          <w:p w14:paraId="28A37932" w14:textId="77777777" w:rsidR="008C5CFA" w:rsidRPr="0024468B" w:rsidRDefault="00E82A60" w:rsidP="00300A01">
            <w:pPr>
              <w:spacing w:before="0" w:after="0"/>
              <w:rPr>
                <w:sz w:val="16"/>
                <w:szCs w:val="16"/>
                <w:lang w:val="fr-BE"/>
              </w:rPr>
            </w:pPr>
            <w:r w:rsidRPr="0024468B">
              <w:rPr>
                <w:noProof/>
                <w:sz w:val="16"/>
                <w:szCs w:val="16"/>
                <w:lang w:val="fr-BE"/>
              </w:rPr>
              <w:t>Liczba gospodarstw domowych korzystających ze środowiskowej pomocy społecznej</w:t>
            </w:r>
          </w:p>
        </w:tc>
        <w:tc>
          <w:tcPr>
            <w:tcW w:w="0" w:type="auto"/>
          </w:tcPr>
          <w:p w14:paraId="226D3BB2" w14:textId="77777777" w:rsidR="008C5CFA" w:rsidRPr="0024468B" w:rsidRDefault="00E82A60" w:rsidP="00300A01">
            <w:pPr>
              <w:spacing w:before="0" w:after="0"/>
              <w:jc w:val="right"/>
              <w:rPr>
                <w:sz w:val="16"/>
                <w:szCs w:val="16"/>
                <w:lang w:val="fr-BE"/>
              </w:rPr>
            </w:pPr>
            <w:r w:rsidRPr="0024468B">
              <w:rPr>
                <w:noProof/>
                <w:sz w:val="16"/>
                <w:szCs w:val="16"/>
                <w:lang w:val="fr-BE"/>
              </w:rPr>
              <w:t>39 048,00</w:t>
            </w:r>
          </w:p>
        </w:tc>
        <w:tc>
          <w:tcPr>
            <w:tcW w:w="0" w:type="auto"/>
          </w:tcPr>
          <w:p w14:paraId="5397EEE9" w14:textId="77777777" w:rsidR="008C5CFA" w:rsidRPr="0024468B" w:rsidRDefault="008C5CFA" w:rsidP="00300A01">
            <w:pPr>
              <w:spacing w:before="0" w:after="0"/>
              <w:jc w:val="right"/>
              <w:rPr>
                <w:sz w:val="16"/>
                <w:szCs w:val="16"/>
                <w:lang w:val="fr-BE"/>
              </w:rPr>
            </w:pPr>
          </w:p>
        </w:tc>
        <w:tc>
          <w:tcPr>
            <w:tcW w:w="0" w:type="auto"/>
          </w:tcPr>
          <w:p w14:paraId="06B532EB" w14:textId="77777777" w:rsidR="008C5CFA" w:rsidRPr="0024468B" w:rsidRDefault="00E82A60" w:rsidP="00300A01">
            <w:pPr>
              <w:spacing w:before="0" w:after="0"/>
              <w:jc w:val="right"/>
              <w:rPr>
                <w:sz w:val="16"/>
                <w:szCs w:val="16"/>
                <w:lang w:val="fr-BE"/>
              </w:rPr>
            </w:pPr>
            <w:r w:rsidRPr="0024468B">
              <w:rPr>
                <w:noProof/>
                <w:sz w:val="16"/>
                <w:szCs w:val="16"/>
                <w:lang w:val="fr-BE"/>
              </w:rPr>
              <w:t>41 812,00</w:t>
            </w:r>
          </w:p>
        </w:tc>
        <w:tc>
          <w:tcPr>
            <w:tcW w:w="0" w:type="auto"/>
          </w:tcPr>
          <w:p w14:paraId="706F25C7" w14:textId="77777777" w:rsidR="008C5CFA" w:rsidRPr="0024468B" w:rsidRDefault="008C5CFA" w:rsidP="00300A01">
            <w:pPr>
              <w:spacing w:before="0" w:after="0"/>
              <w:jc w:val="right"/>
              <w:rPr>
                <w:sz w:val="16"/>
                <w:szCs w:val="16"/>
                <w:lang w:val="fr-BE"/>
              </w:rPr>
            </w:pPr>
          </w:p>
        </w:tc>
        <w:tc>
          <w:tcPr>
            <w:tcW w:w="0" w:type="auto"/>
          </w:tcPr>
          <w:p w14:paraId="73093D46" w14:textId="77777777" w:rsidR="008C5CFA" w:rsidRPr="0024468B" w:rsidRDefault="00E82A60" w:rsidP="00300A01">
            <w:pPr>
              <w:spacing w:before="0" w:after="0"/>
              <w:jc w:val="right"/>
              <w:rPr>
                <w:sz w:val="16"/>
                <w:szCs w:val="16"/>
                <w:lang w:val="fr-BE"/>
              </w:rPr>
            </w:pPr>
            <w:r w:rsidRPr="0024468B">
              <w:rPr>
                <w:noProof/>
                <w:sz w:val="16"/>
                <w:szCs w:val="16"/>
                <w:lang w:val="fr-BE"/>
              </w:rPr>
              <w:t>44 911,00</w:t>
            </w:r>
          </w:p>
        </w:tc>
        <w:tc>
          <w:tcPr>
            <w:tcW w:w="0" w:type="auto"/>
          </w:tcPr>
          <w:p w14:paraId="44809B8B" w14:textId="77777777" w:rsidR="008C5CFA" w:rsidRPr="0024468B" w:rsidRDefault="008C5CFA" w:rsidP="00300A01">
            <w:pPr>
              <w:spacing w:before="0" w:after="0"/>
              <w:jc w:val="right"/>
              <w:rPr>
                <w:sz w:val="16"/>
                <w:szCs w:val="16"/>
                <w:lang w:val="fr-BE"/>
              </w:rPr>
            </w:pPr>
          </w:p>
        </w:tc>
        <w:tc>
          <w:tcPr>
            <w:tcW w:w="0" w:type="auto"/>
          </w:tcPr>
          <w:p w14:paraId="14DBF9BE" w14:textId="77777777" w:rsidR="008C5CFA" w:rsidRPr="0024468B" w:rsidRDefault="00E82A60" w:rsidP="00300A01">
            <w:pPr>
              <w:spacing w:before="0" w:after="0"/>
              <w:jc w:val="right"/>
              <w:rPr>
                <w:sz w:val="16"/>
                <w:szCs w:val="16"/>
                <w:lang w:val="fr-BE"/>
              </w:rPr>
            </w:pPr>
            <w:r w:rsidRPr="0024468B">
              <w:rPr>
                <w:noProof/>
                <w:sz w:val="16"/>
                <w:szCs w:val="16"/>
                <w:lang w:val="fr-BE"/>
              </w:rPr>
              <w:t>47 069,00</w:t>
            </w:r>
          </w:p>
        </w:tc>
        <w:tc>
          <w:tcPr>
            <w:tcW w:w="0" w:type="auto"/>
          </w:tcPr>
          <w:p w14:paraId="5608A41F" w14:textId="77777777" w:rsidR="008C5CFA" w:rsidRPr="0024468B" w:rsidRDefault="008C5CFA" w:rsidP="00300A01">
            <w:pPr>
              <w:spacing w:before="0" w:after="0"/>
              <w:jc w:val="right"/>
              <w:rPr>
                <w:sz w:val="16"/>
                <w:szCs w:val="16"/>
                <w:lang w:val="fr-BE"/>
              </w:rPr>
            </w:pPr>
          </w:p>
        </w:tc>
      </w:tr>
    </w:tbl>
    <w:p w14:paraId="53F7548C"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
        <w:gridCol w:w="10116"/>
        <w:gridCol w:w="1934"/>
        <w:gridCol w:w="2327"/>
      </w:tblGrid>
      <w:tr w:rsidR="006B2EC1" w14:paraId="15A09138" w14:textId="77777777" w:rsidTr="0047688D">
        <w:tc>
          <w:tcPr>
            <w:tcW w:w="0" w:type="auto"/>
            <w:shd w:val="clear" w:color="auto" w:fill="auto"/>
          </w:tcPr>
          <w:p w14:paraId="52735A32" w14:textId="77777777" w:rsidR="008C5CFA" w:rsidRPr="0024468B" w:rsidRDefault="00E82A60" w:rsidP="00300A01">
            <w:pPr>
              <w:spacing w:before="0" w:after="0"/>
              <w:rPr>
                <w:sz w:val="16"/>
                <w:szCs w:val="16"/>
                <w:lang w:val="fr-BE"/>
              </w:rPr>
            </w:pPr>
            <w:r w:rsidRPr="0024468B">
              <w:rPr>
                <w:noProof/>
                <w:sz w:val="16"/>
                <w:szCs w:val="16"/>
                <w:lang w:val="fr-BE"/>
              </w:rPr>
              <w:t>ID</w:t>
            </w:r>
          </w:p>
        </w:tc>
        <w:tc>
          <w:tcPr>
            <w:tcW w:w="0" w:type="auto"/>
            <w:shd w:val="clear" w:color="auto" w:fill="auto"/>
          </w:tcPr>
          <w:p w14:paraId="2E581A1D" w14:textId="77777777" w:rsidR="008C5CFA" w:rsidRPr="0024468B" w:rsidRDefault="00E82A60" w:rsidP="00300A01">
            <w:pPr>
              <w:spacing w:before="0" w:after="0"/>
              <w:rPr>
                <w:sz w:val="16"/>
                <w:szCs w:val="16"/>
                <w:lang w:val="fr-BE"/>
              </w:rPr>
            </w:pPr>
            <w:r w:rsidRPr="0024468B">
              <w:rPr>
                <w:noProof/>
                <w:sz w:val="16"/>
                <w:szCs w:val="16"/>
                <w:lang w:val="fr-BE"/>
              </w:rPr>
              <w:t>Wskaźnik</w:t>
            </w:r>
          </w:p>
        </w:tc>
        <w:tc>
          <w:tcPr>
            <w:tcW w:w="0" w:type="auto"/>
            <w:shd w:val="clear" w:color="auto" w:fill="auto"/>
          </w:tcPr>
          <w:p w14:paraId="04EE9E3C" w14:textId="77777777" w:rsidR="008C5CFA" w:rsidRPr="0024468B" w:rsidRDefault="00E82A60" w:rsidP="00300A01">
            <w:pPr>
              <w:spacing w:before="0" w:after="0"/>
              <w:jc w:val="center"/>
              <w:rPr>
                <w:sz w:val="16"/>
                <w:szCs w:val="16"/>
                <w:lang w:val="fr-BE"/>
              </w:rPr>
            </w:pPr>
            <w:r>
              <w:rPr>
                <w:sz w:val="16"/>
                <w:szCs w:val="16"/>
                <w:lang w:val="fr-BE"/>
              </w:rPr>
              <w:t xml:space="preserve">2014 </w:t>
            </w:r>
            <w:r>
              <w:rPr>
                <w:noProof/>
                <w:sz w:val="16"/>
                <w:szCs w:val="16"/>
                <w:lang w:val="fr-BE"/>
              </w:rPr>
              <w:t>Ogółem</w:t>
            </w:r>
          </w:p>
        </w:tc>
        <w:tc>
          <w:tcPr>
            <w:tcW w:w="0" w:type="auto"/>
            <w:shd w:val="clear" w:color="auto" w:fill="auto"/>
          </w:tcPr>
          <w:p w14:paraId="51391327" w14:textId="77777777" w:rsidR="008C5CFA" w:rsidRPr="0024468B" w:rsidRDefault="00E82A60" w:rsidP="00300A01">
            <w:pPr>
              <w:spacing w:before="0" w:after="0"/>
              <w:jc w:val="center"/>
              <w:rPr>
                <w:sz w:val="16"/>
                <w:szCs w:val="16"/>
                <w:lang w:val="fr-BE"/>
              </w:rPr>
            </w:pPr>
            <w:r>
              <w:rPr>
                <w:sz w:val="16"/>
                <w:szCs w:val="16"/>
                <w:lang w:val="fr-BE"/>
              </w:rPr>
              <w:t xml:space="preserve">2014 </w:t>
            </w:r>
            <w:r w:rsidRPr="0024468B">
              <w:rPr>
                <w:noProof/>
                <w:sz w:val="16"/>
                <w:szCs w:val="16"/>
                <w:lang w:val="fr-BE"/>
              </w:rPr>
              <w:t>Jakościowe</w:t>
            </w:r>
          </w:p>
        </w:tc>
      </w:tr>
      <w:tr w:rsidR="006B2EC1" w14:paraId="6B37E596" w14:textId="77777777" w:rsidTr="0047688D">
        <w:tc>
          <w:tcPr>
            <w:tcW w:w="0" w:type="auto"/>
            <w:shd w:val="clear" w:color="auto" w:fill="auto"/>
          </w:tcPr>
          <w:p w14:paraId="4BEFC0D9" w14:textId="77777777" w:rsidR="008C5CFA" w:rsidRPr="0024468B" w:rsidRDefault="00E82A60" w:rsidP="00300A01">
            <w:pPr>
              <w:spacing w:before="0" w:after="0"/>
              <w:rPr>
                <w:sz w:val="16"/>
                <w:szCs w:val="16"/>
                <w:lang w:val="fr-BE"/>
              </w:rPr>
            </w:pPr>
            <w:r w:rsidRPr="0024468B">
              <w:rPr>
                <w:noProof/>
                <w:sz w:val="16"/>
                <w:szCs w:val="16"/>
                <w:lang w:val="fr-BE"/>
              </w:rPr>
              <w:t>057</w:t>
            </w:r>
          </w:p>
        </w:tc>
        <w:tc>
          <w:tcPr>
            <w:tcW w:w="0" w:type="auto"/>
            <w:shd w:val="clear" w:color="auto" w:fill="auto"/>
          </w:tcPr>
          <w:p w14:paraId="47C624D1" w14:textId="77777777" w:rsidR="008C5CFA" w:rsidRPr="0024468B" w:rsidRDefault="00E82A60" w:rsidP="00300A01">
            <w:pPr>
              <w:spacing w:before="0" w:after="0"/>
              <w:rPr>
                <w:sz w:val="16"/>
                <w:szCs w:val="16"/>
                <w:lang w:val="fr-BE"/>
              </w:rPr>
            </w:pPr>
            <w:r w:rsidRPr="0024468B">
              <w:rPr>
                <w:noProof/>
                <w:sz w:val="16"/>
                <w:szCs w:val="16"/>
                <w:lang w:val="fr-BE"/>
              </w:rPr>
              <w:t>Liczba gospodarstw domowych korzystających ze środowiskowej pomocy społecznej</w:t>
            </w:r>
          </w:p>
        </w:tc>
        <w:tc>
          <w:tcPr>
            <w:tcW w:w="0" w:type="auto"/>
            <w:shd w:val="clear" w:color="auto" w:fill="auto"/>
          </w:tcPr>
          <w:p w14:paraId="177F338E" w14:textId="77777777" w:rsidR="008C5CFA" w:rsidRPr="0024468B" w:rsidRDefault="00E82A60" w:rsidP="00300A01">
            <w:pPr>
              <w:spacing w:before="0" w:after="0"/>
              <w:jc w:val="right"/>
              <w:rPr>
                <w:sz w:val="16"/>
                <w:szCs w:val="16"/>
                <w:lang w:val="fr-BE"/>
              </w:rPr>
            </w:pPr>
            <w:r w:rsidRPr="0024468B">
              <w:rPr>
                <w:noProof/>
                <w:sz w:val="16"/>
                <w:szCs w:val="16"/>
                <w:lang w:val="fr-BE"/>
              </w:rPr>
              <w:t>49 807,00</w:t>
            </w:r>
          </w:p>
        </w:tc>
        <w:tc>
          <w:tcPr>
            <w:tcW w:w="0" w:type="auto"/>
            <w:shd w:val="clear" w:color="auto" w:fill="auto"/>
          </w:tcPr>
          <w:p w14:paraId="05E988F5" w14:textId="77777777" w:rsidR="008C5CFA" w:rsidRPr="0024468B" w:rsidRDefault="008C5CFA" w:rsidP="00300A01">
            <w:pPr>
              <w:spacing w:before="0" w:after="0"/>
              <w:jc w:val="right"/>
              <w:rPr>
                <w:sz w:val="16"/>
                <w:szCs w:val="16"/>
                <w:lang w:val="fr-BE"/>
              </w:rPr>
            </w:pPr>
          </w:p>
        </w:tc>
      </w:tr>
    </w:tbl>
    <w:p w14:paraId="5A6F8960" w14:textId="77777777" w:rsidR="008C5CFA" w:rsidRDefault="008C5CFA" w:rsidP="00300A01">
      <w:pPr>
        <w:spacing w:before="0" w:after="0"/>
        <w:rPr>
          <w:lang w:val="fr-BE"/>
        </w:rPr>
      </w:pPr>
    </w:p>
    <w:p w14:paraId="03F618A5" w14:textId="77777777" w:rsidR="008C5CFA" w:rsidRDefault="00E82A60" w:rsidP="00300A01">
      <w:pPr>
        <w:spacing w:before="0" w:after="0"/>
        <w:rPr>
          <w:lang w:val="fr-BE"/>
        </w:rPr>
      </w:pPr>
      <w:r>
        <w:rPr>
          <w:lang w:val="fr-BE"/>
        </w:rPr>
        <w:br w:type="page"/>
      </w:r>
    </w:p>
    <w:p w14:paraId="131C3395" w14:textId="77777777" w:rsidR="008C5CFA" w:rsidRPr="00B27C43" w:rsidRDefault="008C5CFA" w:rsidP="00300A01">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3"/>
        <w:gridCol w:w="13251"/>
      </w:tblGrid>
      <w:tr w:rsidR="006B2EC1" w14:paraId="7D7DC502" w14:textId="77777777" w:rsidTr="0047688D">
        <w:tc>
          <w:tcPr>
            <w:tcW w:w="0" w:type="auto"/>
            <w:shd w:val="clear" w:color="auto" w:fill="auto"/>
          </w:tcPr>
          <w:p w14:paraId="3BF3931A" w14:textId="77777777" w:rsidR="008C5CFA" w:rsidRPr="002124FC" w:rsidRDefault="00E82A60" w:rsidP="00300A01">
            <w:pPr>
              <w:spacing w:before="0" w:after="0"/>
              <w:rPr>
                <w:sz w:val="20"/>
                <w:szCs w:val="20"/>
                <w:lang w:val="fr-BE"/>
              </w:rPr>
            </w:pPr>
            <w:r>
              <w:rPr>
                <w:lang w:val="fr-BE"/>
              </w:rPr>
              <w:br w:type="page"/>
            </w:r>
            <w:r>
              <w:rPr>
                <w:lang w:val="fr-BE"/>
              </w:rPr>
              <w:br w:type="page"/>
            </w:r>
            <w:r w:rsidRPr="002124FC">
              <w:rPr>
                <w:noProof/>
                <w:sz w:val="20"/>
                <w:szCs w:val="20"/>
                <w:lang w:val="fr-BE"/>
              </w:rPr>
              <w:t>Oś priorytetowa</w:t>
            </w:r>
          </w:p>
        </w:tc>
        <w:tc>
          <w:tcPr>
            <w:tcW w:w="0" w:type="auto"/>
            <w:shd w:val="clear" w:color="auto" w:fill="auto"/>
          </w:tcPr>
          <w:p w14:paraId="0A5F1A39" w14:textId="77777777" w:rsidR="008C5CFA" w:rsidRPr="002124FC" w:rsidRDefault="00E82A60" w:rsidP="00300A01">
            <w:pPr>
              <w:spacing w:before="0" w:after="0"/>
              <w:rPr>
                <w:sz w:val="20"/>
                <w:szCs w:val="20"/>
                <w:lang w:val="fr-BE"/>
              </w:rPr>
            </w:pPr>
            <w:r w:rsidRPr="002124FC">
              <w:rPr>
                <w:noProof/>
                <w:sz w:val="20"/>
                <w:szCs w:val="20"/>
                <w:lang w:val="fr-BE"/>
              </w:rPr>
              <w:t>7</w:t>
            </w:r>
            <w:r w:rsidRPr="002124FC">
              <w:rPr>
                <w:sz w:val="20"/>
                <w:szCs w:val="20"/>
                <w:lang w:val="fr-BE"/>
              </w:rPr>
              <w:t xml:space="preserve"> - </w:t>
            </w:r>
            <w:r w:rsidRPr="002124FC">
              <w:rPr>
                <w:noProof/>
                <w:sz w:val="20"/>
                <w:szCs w:val="20"/>
                <w:lang w:val="fr-BE"/>
              </w:rPr>
              <w:t>Sprawne usługi publiczne</w:t>
            </w:r>
          </w:p>
        </w:tc>
      </w:tr>
      <w:tr w:rsidR="006B2EC1" w14:paraId="7AE27CE2" w14:textId="77777777" w:rsidTr="0047688D">
        <w:tc>
          <w:tcPr>
            <w:tcW w:w="0" w:type="auto"/>
            <w:shd w:val="clear" w:color="auto" w:fill="auto"/>
          </w:tcPr>
          <w:p w14:paraId="5CFBE8CB" w14:textId="77777777" w:rsidR="008C5CFA" w:rsidRPr="002124FC" w:rsidRDefault="00E82A60"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14:paraId="471E9261" w14:textId="77777777" w:rsidR="008C5CFA" w:rsidRPr="002124FC" w:rsidRDefault="00E82A60" w:rsidP="00300A01">
            <w:pPr>
              <w:spacing w:before="0" w:after="0"/>
              <w:rPr>
                <w:sz w:val="20"/>
                <w:szCs w:val="20"/>
                <w:lang w:val="fr-BE"/>
              </w:rPr>
            </w:pPr>
            <w:r w:rsidRPr="002124FC">
              <w:rPr>
                <w:noProof/>
                <w:sz w:val="20"/>
                <w:szCs w:val="20"/>
                <w:lang w:val="fr-BE"/>
              </w:rPr>
              <w:t>10a</w:t>
            </w:r>
            <w:r w:rsidRPr="002124FC">
              <w:rPr>
                <w:sz w:val="20"/>
                <w:szCs w:val="20"/>
                <w:lang w:val="fr-BE"/>
              </w:rPr>
              <w:t xml:space="preserve"> - </w:t>
            </w:r>
            <w:r w:rsidRPr="002124FC">
              <w:rPr>
                <w:noProof/>
                <w:sz w:val="20"/>
                <w:szCs w:val="20"/>
                <w:lang w:val="fr-BE"/>
              </w:rPr>
              <w:t>Inwestycje w kształcenie, szkolenie oraz szkolenie zawodowe na rzecz zdobywania umiejętności i uczenia się przez całe życie poprzez rozwój infrastruktury szkoleniowej i edukacyjnej</w:t>
            </w:r>
          </w:p>
        </w:tc>
      </w:tr>
    </w:tbl>
    <w:p w14:paraId="5DDDEEA6" w14:textId="77777777" w:rsidR="008C5CFA" w:rsidRDefault="008C5CFA" w:rsidP="00300A01">
      <w:pPr>
        <w:spacing w:before="0" w:after="0"/>
        <w:rPr>
          <w:lang w:val="fr-BE"/>
        </w:rPr>
      </w:pPr>
    </w:p>
    <w:p w14:paraId="26193C95" w14:textId="77777777" w:rsidR="008C5CFA" w:rsidRDefault="00E82A60" w:rsidP="00300A01">
      <w:pPr>
        <w:pStyle w:val="Nagwek2"/>
        <w:spacing w:before="0" w:after="0"/>
        <w:rPr>
          <w:lang w:val="fr-BE"/>
        </w:rPr>
      </w:pPr>
      <w:bookmarkStart w:id="46" w:name="_Toc46391730"/>
      <w:r>
        <w:rPr>
          <w:noProof/>
          <w:lang w:val="fr-BE"/>
        </w:rPr>
        <w:t>Tabela 3A</w:t>
      </w:r>
      <w:r>
        <w:rPr>
          <w:lang w:val="fr-BE"/>
        </w:rPr>
        <w:t xml:space="preserve">: </w:t>
      </w:r>
      <w:r>
        <w:rPr>
          <w:noProof/>
          <w:lang w:val="fr-BE"/>
        </w:rPr>
        <w:t>Wspólne i specyficzne dla danego programu wskaźniki produktu dla EFRR i Funduszu Spójności (wg osi priorytetowej, priorytetu inwestycyjnego, w podziale na kategorię regionu dla celów EFRR)</w:t>
      </w:r>
      <w:r w:rsidR="009C5874">
        <w:rPr>
          <w:lang w:val="fr-BE"/>
        </w:rPr>
        <w:t xml:space="preserve"> - </w:t>
      </w:r>
      <w:r w:rsidR="00F022AC" w:rsidRPr="002124FC">
        <w:rPr>
          <w:noProof/>
          <w:sz w:val="20"/>
          <w:szCs w:val="20"/>
          <w:lang w:val="fr-BE"/>
        </w:rPr>
        <w:t>7</w:t>
      </w:r>
      <w:r w:rsidR="00F022AC">
        <w:rPr>
          <w:sz w:val="20"/>
          <w:szCs w:val="20"/>
          <w:lang w:val="fr-BE"/>
        </w:rPr>
        <w:t xml:space="preserve"> / </w:t>
      </w:r>
      <w:r w:rsidR="00F022AC" w:rsidRPr="002124FC">
        <w:rPr>
          <w:noProof/>
          <w:sz w:val="20"/>
          <w:szCs w:val="20"/>
          <w:lang w:val="fr-BE"/>
        </w:rPr>
        <w:t>10a</w:t>
      </w:r>
      <w:bookmarkEnd w:id="46"/>
    </w:p>
    <w:p w14:paraId="3135F7A5"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01"/>
        <w:gridCol w:w="497"/>
        <w:gridCol w:w="2220"/>
        <w:gridCol w:w="865"/>
        <w:gridCol w:w="871"/>
        <w:gridCol w:w="951"/>
        <w:gridCol w:w="1039"/>
        <w:gridCol w:w="953"/>
        <w:gridCol w:w="786"/>
        <w:gridCol w:w="880"/>
        <w:gridCol w:w="703"/>
        <w:gridCol w:w="5118"/>
      </w:tblGrid>
      <w:tr w:rsidR="006B2EC1" w14:paraId="69BBA7DC" w14:textId="77777777" w:rsidTr="0047688D">
        <w:trPr>
          <w:tblHeader/>
        </w:trPr>
        <w:tc>
          <w:tcPr>
            <w:tcW w:w="0" w:type="auto"/>
          </w:tcPr>
          <w:p w14:paraId="7E6A54C5" w14:textId="77777777" w:rsidR="008C5CFA" w:rsidRPr="009143B4" w:rsidRDefault="00E82A60" w:rsidP="00300A01">
            <w:pPr>
              <w:spacing w:before="0" w:after="0"/>
              <w:rPr>
                <w:b/>
                <w:sz w:val="16"/>
                <w:szCs w:val="16"/>
                <w:lang w:val="fr-BE"/>
              </w:rPr>
            </w:pPr>
            <w:r w:rsidRPr="009143B4">
              <w:rPr>
                <w:b/>
                <w:sz w:val="16"/>
                <w:szCs w:val="16"/>
                <w:lang w:val="fr-BE"/>
              </w:rPr>
              <w:t>(1)</w:t>
            </w:r>
          </w:p>
        </w:tc>
        <w:tc>
          <w:tcPr>
            <w:tcW w:w="0" w:type="auto"/>
            <w:shd w:val="clear" w:color="auto" w:fill="auto"/>
          </w:tcPr>
          <w:p w14:paraId="504315FB" w14:textId="77777777" w:rsidR="008C5CFA" w:rsidRPr="009143B4" w:rsidRDefault="00E82A60" w:rsidP="00300A01">
            <w:pPr>
              <w:spacing w:before="0" w:after="0"/>
              <w:rPr>
                <w:b/>
                <w:sz w:val="16"/>
                <w:szCs w:val="16"/>
                <w:lang w:val="fr-BE"/>
              </w:rPr>
            </w:pPr>
            <w:r w:rsidRPr="009143B4">
              <w:rPr>
                <w:b/>
                <w:noProof/>
                <w:sz w:val="16"/>
                <w:szCs w:val="16"/>
                <w:lang w:val="fr-BE"/>
              </w:rPr>
              <w:t>ID</w:t>
            </w:r>
          </w:p>
        </w:tc>
        <w:tc>
          <w:tcPr>
            <w:tcW w:w="0" w:type="auto"/>
            <w:shd w:val="clear" w:color="auto" w:fill="auto"/>
          </w:tcPr>
          <w:p w14:paraId="38AF274F" w14:textId="77777777" w:rsidR="008C5CFA" w:rsidRPr="009143B4" w:rsidRDefault="00E82A60" w:rsidP="00300A01">
            <w:pPr>
              <w:spacing w:before="0" w:after="0"/>
              <w:rPr>
                <w:b/>
                <w:sz w:val="16"/>
                <w:szCs w:val="16"/>
                <w:lang w:val="fr-BE"/>
              </w:rPr>
            </w:pPr>
            <w:r w:rsidRPr="009143B4">
              <w:rPr>
                <w:b/>
                <w:noProof/>
                <w:sz w:val="16"/>
                <w:szCs w:val="16"/>
                <w:lang w:val="fr-BE"/>
              </w:rPr>
              <w:t>Wskaźnik</w:t>
            </w:r>
          </w:p>
        </w:tc>
        <w:tc>
          <w:tcPr>
            <w:tcW w:w="0" w:type="auto"/>
            <w:shd w:val="clear" w:color="auto" w:fill="auto"/>
          </w:tcPr>
          <w:p w14:paraId="3283D578" w14:textId="77777777" w:rsidR="008C5CFA" w:rsidRPr="009143B4" w:rsidRDefault="00E82A60" w:rsidP="00300A01">
            <w:pPr>
              <w:spacing w:before="0" w:after="0"/>
              <w:rPr>
                <w:b/>
                <w:sz w:val="16"/>
                <w:szCs w:val="16"/>
                <w:lang w:val="fr-BE"/>
              </w:rPr>
            </w:pPr>
            <w:r w:rsidRPr="009143B4">
              <w:rPr>
                <w:b/>
                <w:noProof/>
                <w:sz w:val="16"/>
                <w:szCs w:val="16"/>
                <w:lang w:val="fr-BE"/>
              </w:rPr>
              <w:t>Jednostka miary</w:t>
            </w:r>
          </w:p>
        </w:tc>
        <w:tc>
          <w:tcPr>
            <w:tcW w:w="0" w:type="auto"/>
            <w:shd w:val="clear" w:color="auto" w:fill="auto"/>
          </w:tcPr>
          <w:p w14:paraId="06A13949" w14:textId="77777777" w:rsidR="008C5CFA" w:rsidRPr="009143B4" w:rsidRDefault="00E82A60" w:rsidP="00300A01">
            <w:pPr>
              <w:spacing w:before="0" w:after="0"/>
              <w:rPr>
                <w:b/>
                <w:sz w:val="16"/>
                <w:szCs w:val="16"/>
                <w:lang w:val="fr-BE"/>
              </w:rPr>
            </w:pPr>
            <w:r w:rsidRPr="009143B4">
              <w:rPr>
                <w:b/>
                <w:noProof/>
                <w:sz w:val="16"/>
                <w:szCs w:val="16"/>
                <w:lang w:val="fr-BE"/>
              </w:rPr>
              <w:t>Kategoria regionu</w:t>
            </w:r>
          </w:p>
        </w:tc>
        <w:tc>
          <w:tcPr>
            <w:tcW w:w="0" w:type="auto"/>
            <w:shd w:val="clear" w:color="auto" w:fill="auto"/>
          </w:tcPr>
          <w:p w14:paraId="721F4D14" w14:textId="77777777" w:rsidR="008C5CFA" w:rsidRPr="009143B4" w:rsidRDefault="00E82A60" w:rsidP="00300A01">
            <w:pPr>
              <w:spacing w:before="0" w:after="0"/>
              <w:jc w:val="center"/>
              <w:rPr>
                <w:b/>
                <w:sz w:val="16"/>
                <w:szCs w:val="16"/>
                <w:lang w:val="fr-BE"/>
              </w:rPr>
            </w:pPr>
            <w:r w:rsidRPr="009143B4">
              <w:rPr>
                <w:b/>
                <w:noProof/>
                <w:sz w:val="16"/>
                <w:szCs w:val="16"/>
                <w:lang w:val="fr-BE"/>
              </w:rPr>
              <w:t>Wartość docelowa (2023) ogółem</w:t>
            </w:r>
          </w:p>
        </w:tc>
        <w:tc>
          <w:tcPr>
            <w:tcW w:w="0" w:type="auto"/>
            <w:shd w:val="clear" w:color="auto" w:fill="auto"/>
          </w:tcPr>
          <w:p w14:paraId="35DCF4DF" w14:textId="77777777" w:rsidR="008C5CFA" w:rsidRPr="009143B4" w:rsidRDefault="00E82A60" w:rsidP="00300A01">
            <w:pPr>
              <w:spacing w:before="0" w:after="0"/>
              <w:jc w:val="center"/>
              <w:rPr>
                <w:b/>
                <w:sz w:val="16"/>
                <w:szCs w:val="16"/>
                <w:lang w:val="fr-BE"/>
              </w:rPr>
            </w:pPr>
            <w:r w:rsidRPr="009143B4">
              <w:rPr>
                <w:b/>
                <w:noProof/>
                <w:sz w:val="16"/>
                <w:szCs w:val="16"/>
                <w:lang w:val="fr-BE"/>
              </w:rPr>
              <w:t>Wartość docelowa (2023) mężczyźni</w:t>
            </w:r>
          </w:p>
        </w:tc>
        <w:tc>
          <w:tcPr>
            <w:tcW w:w="0" w:type="auto"/>
          </w:tcPr>
          <w:p w14:paraId="78AAEB8C" w14:textId="77777777" w:rsidR="008C5CFA" w:rsidRPr="009143B4" w:rsidRDefault="00E82A60" w:rsidP="00300A01">
            <w:pPr>
              <w:spacing w:before="0" w:after="0"/>
              <w:jc w:val="center"/>
              <w:rPr>
                <w:b/>
                <w:sz w:val="16"/>
                <w:szCs w:val="16"/>
                <w:lang w:val="fr-BE"/>
              </w:rPr>
            </w:pPr>
            <w:r w:rsidRPr="009143B4">
              <w:rPr>
                <w:b/>
                <w:noProof/>
                <w:sz w:val="16"/>
                <w:szCs w:val="16"/>
                <w:lang w:val="fr-BE"/>
              </w:rPr>
              <w:t>Wartość docelowa (2023) kobiety</w:t>
            </w:r>
          </w:p>
        </w:tc>
        <w:tc>
          <w:tcPr>
            <w:tcW w:w="0" w:type="auto"/>
            <w:shd w:val="clear" w:color="auto" w:fill="auto"/>
          </w:tcPr>
          <w:p w14:paraId="501B4036" w14:textId="77777777" w:rsidR="008C5CFA" w:rsidRPr="009143B4" w:rsidRDefault="00E82A60" w:rsidP="00300A01">
            <w:pPr>
              <w:spacing w:before="0" w:after="0"/>
              <w:jc w:val="center"/>
              <w:rPr>
                <w:b/>
                <w:sz w:val="16"/>
                <w:szCs w:val="16"/>
                <w:lang w:val="fr-BE"/>
              </w:rPr>
            </w:pPr>
            <w:r>
              <w:rPr>
                <w:b/>
                <w:sz w:val="16"/>
                <w:szCs w:val="16"/>
                <w:lang w:val="fr-BE"/>
              </w:rPr>
              <w:t xml:space="preserve">2019 </w:t>
            </w:r>
            <w:r w:rsidRPr="009143B4">
              <w:rPr>
                <w:b/>
                <w:noProof/>
                <w:sz w:val="16"/>
                <w:szCs w:val="16"/>
                <w:lang w:val="fr-BE"/>
              </w:rPr>
              <w:t>Ogółem</w:t>
            </w:r>
          </w:p>
        </w:tc>
        <w:tc>
          <w:tcPr>
            <w:tcW w:w="0" w:type="auto"/>
            <w:shd w:val="clear" w:color="auto" w:fill="auto"/>
          </w:tcPr>
          <w:p w14:paraId="407B3640" w14:textId="77777777" w:rsidR="008C5CFA" w:rsidRPr="009143B4" w:rsidRDefault="00E82A60" w:rsidP="00300A01">
            <w:pPr>
              <w:spacing w:before="0" w:after="0"/>
              <w:jc w:val="center"/>
              <w:rPr>
                <w:b/>
                <w:sz w:val="16"/>
                <w:szCs w:val="16"/>
                <w:lang w:val="fr-BE"/>
              </w:rPr>
            </w:pPr>
            <w:r>
              <w:rPr>
                <w:b/>
                <w:sz w:val="16"/>
                <w:szCs w:val="16"/>
                <w:lang w:val="fr-BE"/>
              </w:rPr>
              <w:t xml:space="preserve">2019 </w:t>
            </w:r>
            <w:r w:rsidRPr="009143B4">
              <w:rPr>
                <w:b/>
                <w:noProof/>
                <w:sz w:val="16"/>
                <w:szCs w:val="16"/>
                <w:lang w:val="fr-BE"/>
              </w:rPr>
              <w:t>Mężczyźni</w:t>
            </w:r>
          </w:p>
        </w:tc>
        <w:tc>
          <w:tcPr>
            <w:tcW w:w="0" w:type="auto"/>
            <w:shd w:val="clear" w:color="auto" w:fill="auto"/>
          </w:tcPr>
          <w:p w14:paraId="51DD1EE6" w14:textId="77777777" w:rsidR="008C5CFA" w:rsidRPr="009143B4" w:rsidRDefault="00E82A60" w:rsidP="00300A01">
            <w:pPr>
              <w:spacing w:before="0" w:after="0"/>
              <w:jc w:val="center"/>
              <w:rPr>
                <w:b/>
                <w:sz w:val="16"/>
                <w:szCs w:val="16"/>
                <w:lang w:val="fr-BE"/>
              </w:rPr>
            </w:pPr>
            <w:r>
              <w:rPr>
                <w:b/>
                <w:sz w:val="16"/>
                <w:szCs w:val="16"/>
                <w:lang w:val="fr-BE"/>
              </w:rPr>
              <w:t xml:space="preserve">2019 </w:t>
            </w:r>
            <w:r w:rsidRPr="009143B4">
              <w:rPr>
                <w:b/>
                <w:noProof/>
                <w:sz w:val="16"/>
                <w:szCs w:val="16"/>
                <w:lang w:val="fr-BE"/>
              </w:rPr>
              <w:t>Kobiety</w:t>
            </w:r>
          </w:p>
        </w:tc>
        <w:tc>
          <w:tcPr>
            <w:tcW w:w="0" w:type="auto"/>
            <w:shd w:val="clear" w:color="auto" w:fill="auto"/>
          </w:tcPr>
          <w:p w14:paraId="2AF73BBE" w14:textId="77777777" w:rsidR="008C5CFA" w:rsidRPr="009143B4" w:rsidRDefault="00E82A60" w:rsidP="00300A01">
            <w:pPr>
              <w:spacing w:before="0" w:after="0"/>
              <w:jc w:val="center"/>
              <w:rPr>
                <w:b/>
                <w:sz w:val="16"/>
                <w:szCs w:val="16"/>
                <w:lang w:val="fr-BE"/>
              </w:rPr>
            </w:pPr>
            <w:r w:rsidRPr="009143B4">
              <w:rPr>
                <w:b/>
                <w:noProof/>
                <w:sz w:val="16"/>
                <w:szCs w:val="16"/>
                <w:lang w:val="fr-BE"/>
              </w:rPr>
              <w:t>Uwagi</w:t>
            </w:r>
          </w:p>
        </w:tc>
      </w:tr>
      <w:tr w:rsidR="006B2EC1" w14:paraId="27AC7600" w14:textId="77777777" w:rsidTr="0047688D">
        <w:tc>
          <w:tcPr>
            <w:tcW w:w="0" w:type="auto"/>
          </w:tcPr>
          <w:p w14:paraId="5F2399D5" w14:textId="77777777" w:rsidR="008C5CFA" w:rsidRPr="0024468B" w:rsidRDefault="00E82A60" w:rsidP="00300A01">
            <w:pPr>
              <w:spacing w:before="0" w:after="0"/>
              <w:rPr>
                <w:sz w:val="16"/>
                <w:szCs w:val="16"/>
                <w:lang w:val="fr-BE"/>
              </w:rPr>
            </w:pPr>
            <w:r>
              <w:rPr>
                <w:noProof/>
                <w:sz w:val="16"/>
                <w:szCs w:val="16"/>
                <w:lang w:val="fr-BE"/>
              </w:rPr>
              <w:t>F</w:t>
            </w:r>
          </w:p>
        </w:tc>
        <w:tc>
          <w:tcPr>
            <w:tcW w:w="0" w:type="auto"/>
            <w:shd w:val="clear" w:color="auto" w:fill="auto"/>
          </w:tcPr>
          <w:p w14:paraId="73D16455" w14:textId="77777777" w:rsidR="008C5CFA" w:rsidRPr="0024468B" w:rsidRDefault="00E82A60" w:rsidP="00300A01">
            <w:pPr>
              <w:spacing w:before="0" w:after="0"/>
              <w:rPr>
                <w:sz w:val="16"/>
                <w:szCs w:val="16"/>
                <w:lang w:val="fr-BE"/>
              </w:rPr>
            </w:pPr>
            <w:r w:rsidRPr="0024468B">
              <w:rPr>
                <w:noProof/>
                <w:sz w:val="16"/>
                <w:szCs w:val="16"/>
                <w:lang w:val="fr-BE"/>
              </w:rPr>
              <w:t>CO35</w:t>
            </w:r>
          </w:p>
        </w:tc>
        <w:tc>
          <w:tcPr>
            <w:tcW w:w="0" w:type="auto"/>
            <w:shd w:val="clear" w:color="auto" w:fill="auto"/>
          </w:tcPr>
          <w:p w14:paraId="4302F68F" w14:textId="77777777" w:rsidR="008C5CFA" w:rsidRPr="0024468B" w:rsidRDefault="00E82A60" w:rsidP="00300A01">
            <w:pPr>
              <w:spacing w:before="0" w:after="0"/>
              <w:rPr>
                <w:sz w:val="16"/>
                <w:szCs w:val="16"/>
                <w:lang w:val="fr-BE"/>
              </w:rPr>
            </w:pPr>
            <w:r w:rsidRPr="0024468B">
              <w:rPr>
                <w:noProof/>
                <w:sz w:val="16"/>
                <w:szCs w:val="16"/>
                <w:lang w:val="fr-BE"/>
              </w:rPr>
              <w:t>Opieka nad dziećmi i edukacja: Liczba miejsc w objętej wsparciem infrastrukturze w zakresie opieki nad dziećmi lub infrastrukturze edukacyjnej</w:t>
            </w:r>
          </w:p>
        </w:tc>
        <w:tc>
          <w:tcPr>
            <w:tcW w:w="0" w:type="auto"/>
            <w:shd w:val="clear" w:color="auto" w:fill="auto"/>
          </w:tcPr>
          <w:p w14:paraId="63B99228" w14:textId="77777777" w:rsidR="008C5CFA" w:rsidRPr="0024468B" w:rsidRDefault="00E82A60" w:rsidP="00300A01">
            <w:pPr>
              <w:spacing w:before="0" w:after="0"/>
              <w:rPr>
                <w:sz w:val="16"/>
                <w:szCs w:val="16"/>
                <w:lang w:val="fr-BE"/>
              </w:rPr>
            </w:pPr>
            <w:r>
              <w:rPr>
                <w:noProof/>
                <w:sz w:val="16"/>
                <w:szCs w:val="16"/>
                <w:lang w:val="fr-BE"/>
              </w:rPr>
              <w:t>Osoby</w:t>
            </w:r>
          </w:p>
        </w:tc>
        <w:tc>
          <w:tcPr>
            <w:tcW w:w="0" w:type="auto"/>
            <w:shd w:val="clear" w:color="auto" w:fill="auto"/>
          </w:tcPr>
          <w:p w14:paraId="6128E9F0" w14:textId="77777777" w:rsidR="008C5CFA" w:rsidRPr="0024468B" w:rsidRDefault="00E82A60"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14:paraId="79A37B1E" w14:textId="77777777" w:rsidR="008C5CFA" w:rsidRPr="0024468B" w:rsidRDefault="00E82A60" w:rsidP="00300A01">
            <w:pPr>
              <w:spacing w:before="0" w:after="0"/>
              <w:jc w:val="right"/>
              <w:rPr>
                <w:sz w:val="16"/>
                <w:szCs w:val="16"/>
                <w:lang w:val="fr-BE"/>
              </w:rPr>
            </w:pPr>
            <w:r>
              <w:rPr>
                <w:noProof/>
                <w:sz w:val="16"/>
                <w:szCs w:val="16"/>
                <w:lang w:val="fr-BE"/>
              </w:rPr>
              <w:t>1 363,00</w:t>
            </w:r>
          </w:p>
        </w:tc>
        <w:tc>
          <w:tcPr>
            <w:tcW w:w="0" w:type="auto"/>
            <w:shd w:val="clear" w:color="auto" w:fill="auto"/>
          </w:tcPr>
          <w:p w14:paraId="0FB7336D" w14:textId="77777777" w:rsidR="008C5CFA" w:rsidRPr="0024468B" w:rsidRDefault="008C5CFA" w:rsidP="00300A01">
            <w:pPr>
              <w:spacing w:before="0" w:after="0"/>
              <w:jc w:val="right"/>
              <w:rPr>
                <w:sz w:val="16"/>
                <w:szCs w:val="16"/>
                <w:lang w:val="fr-BE"/>
              </w:rPr>
            </w:pPr>
          </w:p>
        </w:tc>
        <w:tc>
          <w:tcPr>
            <w:tcW w:w="0" w:type="auto"/>
          </w:tcPr>
          <w:p w14:paraId="023C8417" w14:textId="77777777" w:rsidR="008C5CFA" w:rsidRPr="0024468B" w:rsidRDefault="008C5CFA" w:rsidP="00300A01">
            <w:pPr>
              <w:spacing w:before="0" w:after="0"/>
              <w:jc w:val="right"/>
              <w:rPr>
                <w:sz w:val="16"/>
                <w:szCs w:val="16"/>
                <w:lang w:val="fr-BE"/>
              </w:rPr>
            </w:pPr>
          </w:p>
        </w:tc>
        <w:tc>
          <w:tcPr>
            <w:tcW w:w="0" w:type="auto"/>
            <w:shd w:val="clear" w:color="auto" w:fill="auto"/>
          </w:tcPr>
          <w:p w14:paraId="66A40F44" w14:textId="77777777" w:rsidR="008C5CFA" w:rsidRPr="0024468B" w:rsidRDefault="00E82A60" w:rsidP="00300A01">
            <w:pPr>
              <w:spacing w:before="0" w:after="0"/>
              <w:jc w:val="right"/>
              <w:rPr>
                <w:sz w:val="16"/>
                <w:szCs w:val="16"/>
                <w:lang w:val="fr-BE"/>
              </w:rPr>
            </w:pPr>
            <w:r w:rsidRPr="0024468B">
              <w:rPr>
                <w:noProof/>
                <w:sz w:val="16"/>
                <w:szCs w:val="16"/>
                <w:lang w:val="fr-BE"/>
              </w:rPr>
              <w:t>36 652,00</w:t>
            </w:r>
          </w:p>
        </w:tc>
        <w:tc>
          <w:tcPr>
            <w:tcW w:w="0" w:type="auto"/>
            <w:shd w:val="clear" w:color="auto" w:fill="auto"/>
          </w:tcPr>
          <w:p w14:paraId="3EEA844A"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45E1DA88"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04897079" w14:textId="77777777" w:rsidR="008C5CFA" w:rsidRPr="0024468B" w:rsidRDefault="008C5CFA" w:rsidP="00300A01">
            <w:pPr>
              <w:spacing w:before="0" w:after="0"/>
              <w:rPr>
                <w:sz w:val="16"/>
                <w:szCs w:val="16"/>
                <w:lang w:val="fr-BE"/>
              </w:rPr>
            </w:pPr>
          </w:p>
        </w:tc>
      </w:tr>
      <w:tr w:rsidR="006B2EC1" w14:paraId="234BA91E" w14:textId="77777777" w:rsidTr="0047688D">
        <w:tc>
          <w:tcPr>
            <w:tcW w:w="0" w:type="auto"/>
          </w:tcPr>
          <w:p w14:paraId="1E379FA4" w14:textId="77777777" w:rsidR="008C5CFA" w:rsidRPr="0024468B" w:rsidRDefault="00E82A60" w:rsidP="00300A01">
            <w:pPr>
              <w:spacing w:before="0" w:after="0"/>
              <w:rPr>
                <w:sz w:val="16"/>
                <w:szCs w:val="16"/>
                <w:lang w:val="fr-BE"/>
              </w:rPr>
            </w:pPr>
            <w:r>
              <w:rPr>
                <w:noProof/>
                <w:sz w:val="16"/>
                <w:szCs w:val="16"/>
                <w:lang w:val="fr-BE"/>
              </w:rPr>
              <w:t>S</w:t>
            </w:r>
          </w:p>
        </w:tc>
        <w:tc>
          <w:tcPr>
            <w:tcW w:w="0" w:type="auto"/>
            <w:shd w:val="clear" w:color="auto" w:fill="auto"/>
          </w:tcPr>
          <w:p w14:paraId="56F40E8C" w14:textId="77777777" w:rsidR="008C5CFA" w:rsidRPr="0024468B" w:rsidRDefault="00E82A60" w:rsidP="00300A01">
            <w:pPr>
              <w:spacing w:before="0" w:after="0"/>
              <w:rPr>
                <w:sz w:val="16"/>
                <w:szCs w:val="16"/>
                <w:lang w:val="fr-BE"/>
              </w:rPr>
            </w:pPr>
            <w:r w:rsidRPr="0024468B">
              <w:rPr>
                <w:noProof/>
                <w:sz w:val="16"/>
                <w:szCs w:val="16"/>
                <w:lang w:val="fr-BE"/>
              </w:rPr>
              <w:t>CO35</w:t>
            </w:r>
          </w:p>
        </w:tc>
        <w:tc>
          <w:tcPr>
            <w:tcW w:w="0" w:type="auto"/>
            <w:shd w:val="clear" w:color="auto" w:fill="auto"/>
          </w:tcPr>
          <w:p w14:paraId="6BDF04FF" w14:textId="77777777" w:rsidR="008C5CFA" w:rsidRPr="0024468B" w:rsidRDefault="00E82A60" w:rsidP="00300A01">
            <w:pPr>
              <w:spacing w:before="0" w:after="0"/>
              <w:rPr>
                <w:sz w:val="16"/>
                <w:szCs w:val="16"/>
                <w:lang w:val="fr-BE"/>
              </w:rPr>
            </w:pPr>
            <w:r w:rsidRPr="0024468B">
              <w:rPr>
                <w:noProof/>
                <w:sz w:val="16"/>
                <w:szCs w:val="16"/>
                <w:lang w:val="fr-BE"/>
              </w:rPr>
              <w:t>Opieka nad dziećmi i edukacja: Liczba miejsc w objętej wsparciem infrastrukturze w zakresie opieki nad dziećmi lub infrastrukturze edukacyjnej</w:t>
            </w:r>
          </w:p>
        </w:tc>
        <w:tc>
          <w:tcPr>
            <w:tcW w:w="0" w:type="auto"/>
            <w:shd w:val="clear" w:color="auto" w:fill="auto"/>
          </w:tcPr>
          <w:p w14:paraId="65CF994E" w14:textId="77777777" w:rsidR="008C5CFA" w:rsidRPr="0024468B" w:rsidRDefault="00E82A60" w:rsidP="00300A01">
            <w:pPr>
              <w:spacing w:before="0" w:after="0"/>
              <w:rPr>
                <w:sz w:val="16"/>
                <w:szCs w:val="16"/>
                <w:lang w:val="fr-BE"/>
              </w:rPr>
            </w:pPr>
            <w:r>
              <w:rPr>
                <w:noProof/>
                <w:sz w:val="16"/>
                <w:szCs w:val="16"/>
                <w:lang w:val="fr-BE"/>
              </w:rPr>
              <w:t>Osoby</w:t>
            </w:r>
          </w:p>
        </w:tc>
        <w:tc>
          <w:tcPr>
            <w:tcW w:w="0" w:type="auto"/>
            <w:shd w:val="clear" w:color="auto" w:fill="auto"/>
          </w:tcPr>
          <w:p w14:paraId="68392A1D" w14:textId="77777777" w:rsidR="008C5CFA" w:rsidRPr="0024468B" w:rsidRDefault="00E82A60"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14:paraId="74118023" w14:textId="77777777" w:rsidR="008C5CFA" w:rsidRPr="0024468B" w:rsidRDefault="00E82A60" w:rsidP="00300A01">
            <w:pPr>
              <w:spacing w:before="0" w:after="0"/>
              <w:jc w:val="right"/>
              <w:rPr>
                <w:sz w:val="16"/>
                <w:szCs w:val="16"/>
                <w:lang w:val="fr-BE"/>
              </w:rPr>
            </w:pPr>
            <w:r>
              <w:rPr>
                <w:noProof/>
                <w:sz w:val="16"/>
                <w:szCs w:val="16"/>
                <w:lang w:val="fr-BE"/>
              </w:rPr>
              <w:t>1 363,00</w:t>
            </w:r>
          </w:p>
        </w:tc>
        <w:tc>
          <w:tcPr>
            <w:tcW w:w="0" w:type="auto"/>
            <w:shd w:val="clear" w:color="auto" w:fill="auto"/>
          </w:tcPr>
          <w:p w14:paraId="5E6DA43E" w14:textId="77777777" w:rsidR="008C5CFA" w:rsidRPr="0024468B" w:rsidRDefault="008C5CFA" w:rsidP="00300A01">
            <w:pPr>
              <w:spacing w:before="0" w:after="0"/>
              <w:jc w:val="right"/>
              <w:rPr>
                <w:sz w:val="16"/>
                <w:szCs w:val="16"/>
                <w:lang w:val="fr-BE"/>
              </w:rPr>
            </w:pPr>
          </w:p>
        </w:tc>
        <w:tc>
          <w:tcPr>
            <w:tcW w:w="0" w:type="auto"/>
          </w:tcPr>
          <w:p w14:paraId="2F42BD29" w14:textId="77777777" w:rsidR="008C5CFA" w:rsidRPr="0024468B" w:rsidRDefault="008C5CFA" w:rsidP="00300A01">
            <w:pPr>
              <w:spacing w:before="0" w:after="0"/>
              <w:jc w:val="right"/>
              <w:rPr>
                <w:sz w:val="16"/>
                <w:szCs w:val="16"/>
                <w:lang w:val="fr-BE"/>
              </w:rPr>
            </w:pPr>
          </w:p>
        </w:tc>
        <w:tc>
          <w:tcPr>
            <w:tcW w:w="0" w:type="auto"/>
            <w:shd w:val="clear" w:color="auto" w:fill="auto"/>
          </w:tcPr>
          <w:p w14:paraId="2E5F912E" w14:textId="77777777" w:rsidR="008C5CFA" w:rsidRPr="0024468B" w:rsidRDefault="00E82A60" w:rsidP="00300A01">
            <w:pPr>
              <w:spacing w:before="0" w:after="0"/>
              <w:jc w:val="right"/>
              <w:rPr>
                <w:sz w:val="16"/>
                <w:szCs w:val="16"/>
                <w:lang w:val="fr-BE"/>
              </w:rPr>
            </w:pPr>
            <w:r w:rsidRPr="0024468B">
              <w:rPr>
                <w:noProof/>
                <w:sz w:val="16"/>
                <w:szCs w:val="16"/>
                <w:lang w:val="fr-BE"/>
              </w:rPr>
              <w:t>66 127,00</w:t>
            </w:r>
          </w:p>
        </w:tc>
        <w:tc>
          <w:tcPr>
            <w:tcW w:w="0" w:type="auto"/>
            <w:shd w:val="clear" w:color="auto" w:fill="auto"/>
          </w:tcPr>
          <w:p w14:paraId="23516FE6"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063E8A66"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2850153E" w14:textId="77777777" w:rsidR="008C5CFA" w:rsidRPr="0024468B" w:rsidRDefault="00E82A60" w:rsidP="00300A01">
            <w:pPr>
              <w:spacing w:before="0" w:after="0"/>
              <w:rPr>
                <w:sz w:val="16"/>
                <w:szCs w:val="16"/>
                <w:lang w:val="fr-BE"/>
              </w:rPr>
            </w:pPr>
            <w:r w:rsidRPr="0024468B">
              <w:rPr>
                <w:noProof/>
                <w:sz w:val="16"/>
                <w:szCs w:val="16"/>
                <w:lang w:val="fr-BE"/>
              </w:rPr>
              <w:t>W związku ze zwiększeniem liczby obiektów infrastruktury jednostek organizacyjnych systemu oświaty IZ podjęła decyzję o zwiększeniu wartości docelowej wskaźnika do poziomu 43 000 osób.</w:t>
            </w:r>
          </w:p>
        </w:tc>
      </w:tr>
      <w:tr w:rsidR="006B2EC1" w14:paraId="20936344" w14:textId="77777777" w:rsidTr="0047688D">
        <w:tc>
          <w:tcPr>
            <w:tcW w:w="0" w:type="auto"/>
          </w:tcPr>
          <w:p w14:paraId="28A3A337" w14:textId="77777777" w:rsidR="008C5CFA" w:rsidRPr="0024468B" w:rsidRDefault="00E82A60" w:rsidP="00300A01">
            <w:pPr>
              <w:spacing w:before="0" w:after="0"/>
              <w:rPr>
                <w:sz w:val="16"/>
                <w:szCs w:val="16"/>
                <w:lang w:val="fr-BE"/>
              </w:rPr>
            </w:pPr>
            <w:r>
              <w:rPr>
                <w:noProof/>
                <w:sz w:val="16"/>
                <w:szCs w:val="16"/>
                <w:lang w:val="fr-BE"/>
              </w:rPr>
              <w:t>F</w:t>
            </w:r>
          </w:p>
        </w:tc>
        <w:tc>
          <w:tcPr>
            <w:tcW w:w="0" w:type="auto"/>
            <w:shd w:val="clear" w:color="auto" w:fill="auto"/>
          </w:tcPr>
          <w:p w14:paraId="28B93B1D" w14:textId="77777777" w:rsidR="008C5CFA" w:rsidRPr="0024468B" w:rsidRDefault="00E82A60" w:rsidP="00300A01">
            <w:pPr>
              <w:spacing w:before="0" w:after="0"/>
              <w:rPr>
                <w:sz w:val="16"/>
                <w:szCs w:val="16"/>
                <w:lang w:val="fr-BE"/>
              </w:rPr>
            </w:pPr>
            <w:r>
              <w:rPr>
                <w:noProof/>
                <w:sz w:val="16"/>
                <w:szCs w:val="16"/>
                <w:lang w:val="fr-BE"/>
              </w:rPr>
              <w:t>047</w:t>
            </w:r>
          </w:p>
        </w:tc>
        <w:tc>
          <w:tcPr>
            <w:tcW w:w="0" w:type="auto"/>
            <w:shd w:val="clear" w:color="auto" w:fill="auto"/>
          </w:tcPr>
          <w:p w14:paraId="651DA1F9" w14:textId="77777777" w:rsidR="008C5CFA" w:rsidRPr="0024468B" w:rsidRDefault="00E82A60" w:rsidP="00300A01">
            <w:pPr>
              <w:spacing w:before="0" w:after="0"/>
              <w:rPr>
                <w:sz w:val="16"/>
                <w:szCs w:val="16"/>
                <w:lang w:val="fr-BE"/>
              </w:rPr>
            </w:pPr>
            <w:r>
              <w:rPr>
                <w:noProof/>
                <w:sz w:val="16"/>
                <w:szCs w:val="16"/>
                <w:lang w:val="fr-BE"/>
              </w:rPr>
              <w:t>Liczba obiektów infrastruktury jednostek organizacyjnych systemu oświaty</w:t>
            </w:r>
          </w:p>
        </w:tc>
        <w:tc>
          <w:tcPr>
            <w:tcW w:w="0" w:type="auto"/>
            <w:shd w:val="clear" w:color="auto" w:fill="auto"/>
          </w:tcPr>
          <w:p w14:paraId="3CDBB083" w14:textId="77777777" w:rsidR="008C5CFA" w:rsidRPr="0024468B" w:rsidRDefault="00E82A60" w:rsidP="00300A01">
            <w:pPr>
              <w:spacing w:before="0" w:after="0"/>
              <w:rPr>
                <w:sz w:val="16"/>
                <w:szCs w:val="16"/>
                <w:lang w:val="fr-BE"/>
              </w:rPr>
            </w:pPr>
            <w:r w:rsidRPr="0024468B">
              <w:rPr>
                <w:noProof/>
                <w:sz w:val="16"/>
                <w:szCs w:val="16"/>
                <w:lang w:val="fr-BE"/>
              </w:rPr>
              <w:t>szt.</w:t>
            </w:r>
          </w:p>
        </w:tc>
        <w:tc>
          <w:tcPr>
            <w:tcW w:w="0" w:type="auto"/>
            <w:shd w:val="clear" w:color="auto" w:fill="auto"/>
          </w:tcPr>
          <w:p w14:paraId="530F7060" w14:textId="77777777" w:rsidR="008C5CFA" w:rsidRPr="0024468B" w:rsidRDefault="00E82A60"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14:paraId="1256E41A" w14:textId="77777777" w:rsidR="008C5CFA" w:rsidRPr="0024468B" w:rsidRDefault="00E82A60" w:rsidP="00300A01">
            <w:pPr>
              <w:spacing w:before="0" w:after="0"/>
              <w:jc w:val="right"/>
              <w:rPr>
                <w:sz w:val="16"/>
                <w:szCs w:val="16"/>
                <w:lang w:val="fr-BE"/>
              </w:rPr>
            </w:pPr>
            <w:r>
              <w:rPr>
                <w:noProof/>
                <w:sz w:val="16"/>
                <w:szCs w:val="16"/>
                <w:lang w:val="fr-BE"/>
              </w:rPr>
              <w:t>17,00</w:t>
            </w:r>
          </w:p>
        </w:tc>
        <w:tc>
          <w:tcPr>
            <w:tcW w:w="0" w:type="auto"/>
            <w:shd w:val="clear" w:color="auto" w:fill="auto"/>
          </w:tcPr>
          <w:p w14:paraId="2A796907" w14:textId="77777777" w:rsidR="008C5CFA" w:rsidRPr="0024468B" w:rsidRDefault="008C5CFA" w:rsidP="00300A01">
            <w:pPr>
              <w:spacing w:before="0" w:after="0"/>
              <w:jc w:val="right"/>
              <w:rPr>
                <w:sz w:val="16"/>
                <w:szCs w:val="16"/>
                <w:lang w:val="fr-BE"/>
              </w:rPr>
            </w:pPr>
          </w:p>
        </w:tc>
        <w:tc>
          <w:tcPr>
            <w:tcW w:w="0" w:type="auto"/>
          </w:tcPr>
          <w:p w14:paraId="0EBEF222" w14:textId="77777777" w:rsidR="008C5CFA" w:rsidRPr="0024468B" w:rsidRDefault="008C5CFA" w:rsidP="00300A01">
            <w:pPr>
              <w:spacing w:before="0" w:after="0"/>
              <w:jc w:val="right"/>
              <w:rPr>
                <w:sz w:val="16"/>
                <w:szCs w:val="16"/>
                <w:lang w:val="fr-BE"/>
              </w:rPr>
            </w:pPr>
          </w:p>
        </w:tc>
        <w:tc>
          <w:tcPr>
            <w:tcW w:w="0" w:type="auto"/>
            <w:shd w:val="clear" w:color="auto" w:fill="auto"/>
          </w:tcPr>
          <w:p w14:paraId="4E5BCBDB" w14:textId="77777777" w:rsidR="008C5CFA" w:rsidRPr="0024468B" w:rsidRDefault="00E82A60" w:rsidP="00300A01">
            <w:pPr>
              <w:spacing w:before="0" w:after="0"/>
              <w:jc w:val="right"/>
              <w:rPr>
                <w:sz w:val="16"/>
                <w:szCs w:val="16"/>
                <w:lang w:val="fr-BE"/>
              </w:rPr>
            </w:pPr>
            <w:r w:rsidRPr="0024468B">
              <w:rPr>
                <w:noProof/>
                <w:sz w:val="16"/>
                <w:szCs w:val="16"/>
                <w:lang w:val="fr-BE"/>
              </w:rPr>
              <w:t>271,00</w:t>
            </w:r>
          </w:p>
        </w:tc>
        <w:tc>
          <w:tcPr>
            <w:tcW w:w="0" w:type="auto"/>
            <w:shd w:val="clear" w:color="auto" w:fill="auto"/>
          </w:tcPr>
          <w:p w14:paraId="32A871AB"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031D7030"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1B65845B" w14:textId="77777777" w:rsidR="008C5CFA" w:rsidRPr="0024468B" w:rsidRDefault="008C5CFA" w:rsidP="00300A01">
            <w:pPr>
              <w:spacing w:before="0" w:after="0"/>
              <w:rPr>
                <w:sz w:val="16"/>
                <w:szCs w:val="16"/>
                <w:lang w:val="fr-BE"/>
              </w:rPr>
            </w:pPr>
          </w:p>
        </w:tc>
      </w:tr>
      <w:tr w:rsidR="006B2EC1" w14:paraId="1A772611" w14:textId="77777777" w:rsidTr="0047688D">
        <w:tc>
          <w:tcPr>
            <w:tcW w:w="0" w:type="auto"/>
          </w:tcPr>
          <w:p w14:paraId="5153E7C4" w14:textId="77777777" w:rsidR="008C5CFA" w:rsidRPr="0024468B" w:rsidRDefault="00E82A60" w:rsidP="00300A01">
            <w:pPr>
              <w:spacing w:before="0" w:after="0"/>
              <w:rPr>
                <w:sz w:val="16"/>
                <w:szCs w:val="16"/>
                <w:lang w:val="fr-BE"/>
              </w:rPr>
            </w:pPr>
            <w:r>
              <w:rPr>
                <w:noProof/>
                <w:sz w:val="16"/>
                <w:szCs w:val="16"/>
                <w:lang w:val="fr-BE"/>
              </w:rPr>
              <w:t>S</w:t>
            </w:r>
          </w:p>
        </w:tc>
        <w:tc>
          <w:tcPr>
            <w:tcW w:w="0" w:type="auto"/>
            <w:shd w:val="clear" w:color="auto" w:fill="auto"/>
          </w:tcPr>
          <w:p w14:paraId="1AEF2FA9" w14:textId="77777777" w:rsidR="008C5CFA" w:rsidRPr="0024468B" w:rsidRDefault="00E82A60" w:rsidP="00300A01">
            <w:pPr>
              <w:spacing w:before="0" w:after="0"/>
              <w:rPr>
                <w:sz w:val="16"/>
                <w:szCs w:val="16"/>
                <w:lang w:val="fr-BE"/>
              </w:rPr>
            </w:pPr>
            <w:r>
              <w:rPr>
                <w:noProof/>
                <w:sz w:val="16"/>
                <w:szCs w:val="16"/>
                <w:lang w:val="fr-BE"/>
              </w:rPr>
              <w:t>047</w:t>
            </w:r>
          </w:p>
        </w:tc>
        <w:tc>
          <w:tcPr>
            <w:tcW w:w="0" w:type="auto"/>
            <w:shd w:val="clear" w:color="auto" w:fill="auto"/>
          </w:tcPr>
          <w:p w14:paraId="6504179F" w14:textId="77777777" w:rsidR="008C5CFA" w:rsidRPr="0024468B" w:rsidRDefault="00E82A60" w:rsidP="00300A01">
            <w:pPr>
              <w:spacing w:before="0" w:after="0"/>
              <w:rPr>
                <w:sz w:val="16"/>
                <w:szCs w:val="16"/>
                <w:lang w:val="fr-BE"/>
              </w:rPr>
            </w:pPr>
            <w:r>
              <w:rPr>
                <w:noProof/>
                <w:sz w:val="16"/>
                <w:szCs w:val="16"/>
                <w:lang w:val="fr-BE"/>
              </w:rPr>
              <w:t>Liczba obiektów infrastruktury jednostek organizacyjnych systemu oświaty</w:t>
            </w:r>
          </w:p>
        </w:tc>
        <w:tc>
          <w:tcPr>
            <w:tcW w:w="0" w:type="auto"/>
            <w:shd w:val="clear" w:color="auto" w:fill="auto"/>
          </w:tcPr>
          <w:p w14:paraId="690B1590" w14:textId="77777777" w:rsidR="008C5CFA" w:rsidRPr="0024468B" w:rsidRDefault="00E82A60" w:rsidP="00300A01">
            <w:pPr>
              <w:spacing w:before="0" w:after="0"/>
              <w:rPr>
                <w:sz w:val="16"/>
                <w:szCs w:val="16"/>
                <w:lang w:val="fr-BE"/>
              </w:rPr>
            </w:pPr>
            <w:r w:rsidRPr="0024468B">
              <w:rPr>
                <w:noProof/>
                <w:sz w:val="16"/>
                <w:szCs w:val="16"/>
                <w:lang w:val="fr-BE"/>
              </w:rPr>
              <w:t>szt.</w:t>
            </w:r>
          </w:p>
        </w:tc>
        <w:tc>
          <w:tcPr>
            <w:tcW w:w="0" w:type="auto"/>
            <w:shd w:val="clear" w:color="auto" w:fill="auto"/>
          </w:tcPr>
          <w:p w14:paraId="6947173E" w14:textId="77777777" w:rsidR="008C5CFA" w:rsidRPr="0024468B" w:rsidRDefault="00E82A60"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14:paraId="67538EDF" w14:textId="77777777" w:rsidR="008C5CFA" w:rsidRPr="0024468B" w:rsidRDefault="00E82A60" w:rsidP="00300A01">
            <w:pPr>
              <w:spacing w:before="0" w:after="0"/>
              <w:jc w:val="right"/>
              <w:rPr>
                <w:sz w:val="16"/>
                <w:szCs w:val="16"/>
                <w:lang w:val="fr-BE"/>
              </w:rPr>
            </w:pPr>
            <w:r>
              <w:rPr>
                <w:noProof/>
                <w:sz w:val="16"/>
                <w:szCs w:val="16"/>
                <w:lang w:val="fr-BE"/>
              </w:rPr>
              <w:t>17,00</w:t>
            </w:r>
          </w:p>
        </w:tc>
        <w:tc>
          <w:tcPr>
            <w:tcW w:w="0" w:type="auto"/>
            <w:shd w:val="clear" w:color="auto" w:fill="auto"/>
          </w:tcPr>
          <w:p w14:paraId="0B9CE9B1" w14:textId="77777777" w:rsidR="008C5CFA" w:rsidRPr="0024468B" w:rsidRDefault="008C5CFA" w:rsidP="00300A01">
            <w:pPr>
              <w:spacing w:before="0" w:after="0"/>
              <w:jc w:val="right"/>
              <w:rPr>
                <w:sz w:val="16"/>
                <w:szCs w:val="16"/>
                <w:lang w:val="fr-BE"/>
              </w:rPr>
            </w:pPr>
          </w:p>
        </w:tc>
        <w:tc>
          <w:tcPr>
            <w:tcW w:w="0" w:type="auto"/>
          </w:tcPr>
          <w:p w14:paraId="1DBDD543" w14:textId="77777777" w:rsidR="008C5CFA" w:rsidRPr="0024468B" w:rsidRDefault="008C5CFA" w:rsidP="00300A01">
            <w:pPr>
              <w:spacing w:before="0" w:after="0"/>
              <w:jc w:val="right"/>
              <w:rPr>
                <w:sz w:val="16"/>
                <w:szCs w:val="16"/>
                <w:lang w:val="fr-BE"/>
              </w:rPr>
            </w:pPr>
          </w:p>
        </w:tc>
        <w:tc>
          <w:tcPr>
            <w:tcW w:w="0" w:type="auto"/>
            <w:shd w:val="clear" w:color="auto" w:fill="auto"/>
          </w:tcPr>
          <w:p w14:paraId="16AB3A64" w14:textId="77777777" w:rsidR="008C5CFA" w:rsidRPr="0024468B" w:rsidRDefault="00E82A60" w:rsidP="00300A01">
            <w:pPr>
              <w:spacing w:before="0" w:after="0"/>
              <w:jc w:val="right"/>
              <w:rPr>
                <w:sz w:val="16"/>
                <w:szCs w:val="16"/>
                <w:lang w:val="fr-BE"/>
              </w:rPr>
            </w:pPr>
            <w:r w:rsidRPr="0024468B">
              <w:rPr>
                <w:noProof/>
                <w:sz w:val="16"/>
                <w:szCs w:val="16"/>
                <w:lang w:val="fr-BE"/>
              </w:rPr>
              <w:t>383,00</w:t>
            </w:r>
          </w:p>
        </w:tc>
        <w:tc>
          <w:tcPr>
            <w:tcW w:w="0" w:type="auto"/>
            <w:shd w:val="clear" w:color="auto" w:fill="auto"/>
          </w:tcPr>
          <w:p w14:paraId="41EBDA02"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101743BD"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678E684C" w14:textId="77777777" w:rsidR="008C5CFA" w:rsidRPr="0024468B" w:rsidRDefault="00E82A60" w:rsidP="00300A01">
            <w:pPr>
              <w:spacing w:before="0" w:after="0"/>
              <w:rPr>
                <w:sz w:val="16"/>
                <w:szCs w:val="16"/>
                <w:lang w:val="fr-BE"/>
              </w:rPr>
            </w:pPr>
            <w:r w:rsidRPr="0024468B">
              <w:rPr>
                <w:noProof/>
                <w:sz w:val="16"/>
                <w:szCs w:val="16"/>
                <w:lang w:val="fr-BE"/>
              </w:rPr>
              <w:t>W PI 10a  podpisanych jest 128 umów o wartości dofinansowania 164 mln PLN (średnia wartość wkładu UE to 1,3 mln PLN przy szacowanych 4 mln). W konkursie z maksymalną wartością dofinansowania projektu 500 tys PLN, wsparto  63 projekty. W  konkursie na doposażenie pracowni komputerowych w szkołach, w jednym projekcie uczestniczy aż 79 placówek oświatowych. Ze względu na duże zainteresowanie dofinansowaniem projektów infrastruktury edukacyjnej, wymagających większych nakładów w porównaniu z innymi regionami, IZ ograniczyła wartość maksymalnego wsparcia (do 500 tys. oraz do 3 mln PLN ). Zrezygnowano też ze wsparcia uczelni na rzecz jednostek systemu oświaty na szczeblu podstawowym i średnim  alokacja przeznaczona na wsparcie szkolnictwa wyższego została przeniesiona na rzecz szkół podstawowych. IZ urealni wskaźnik do poziomu 200 szkół.</w:t>
            </w:r>
          </w:p>
          <w:p w14:paraId="5D44261E" w14:textId="77777777" w:rsidR="008C5CFA" w:rsidRPr="0024468B" w:rsidRDefault="008C5CFA" w:rsidP="00300A01">
            <w:pPr>
              <w:spacing w:before="0" w:after="0"/>
              <w:rPr>
                <w:sz w:val="16"/>
                <w:szCs w:val="16"/>
                <w:lang w:val="fr-BE"/>
              </w:rPr>
            </w:pPr>
          </w:p>
        </w:tc>
      </w:tr>
      <w:tr w:rsidR="006B2EC1" w14:paraId="67590217" w14:textId="77777777" w:rsidTr="0047688D">
        <w:tc>
          <w:tcPr>
            <w:tcW w:w="0" w:type="auto"/>
          </w:tcPr>
          <w:p w14:paraId="67FC137E" w14:textId="77777777" w:rsidR="008C5CFA" w:rsidRPr="0024468B" w:rsidRDefault="00E82A60" w:rsidP="00300A01">
            <w:pPr>
              <w:spacing w:before="0" w:after="0"/>
              <w:rPr>
                <w:sz w:val="16"/>
                <w:szCs w:val="16"/>
                <w:lang w:val="fr-BE"/>
              </w:rPr>
            </w:pPr>
            <w:r>
              <w:rPr>
                <w:noProof/>
                <w:sz w:val="16"/>
                <w:szCs w:val="16"/>
                <w:lang w:val="fr-BE"/>
              </w:rPr>
              <w:t>F</w:t>
            </w:r>
          </w:p>
        </w:tc>
        <w:tc>
          <w:tcPr>
            <w:tcW w:w="0" w:type="auto"/>
            <w:shd w:val="clear" w:color="auto" w:fill="auto"/>
          </w:tcPr>
          <w:p w14:paraId="4C84C740" w14:textId="77777777" w:rsidR="008C5CFA" w:rsidRPr="0024468B" w:rsidRDefault="00E82A60" w:rsidP="00300A01">
            <w:pPr>
              <w:spacing w:before="0" w:after="0"/>
              <w:rPr>
                <w:sz w:val="16"/>
                <w:szCs w:val="16"/>
                <w:lang w:val="fr-BE"/>
              </w:rPr>
            </w:pPr>
            <w:r>
              <w:rPr>
                <w:noProof/>
                <w:sz w:val="16"/>
                <w:szCs w:val="16"/>
                <w:lang w:val="fr-BE"/>
              </w:rPr>
              <w:t>048</w:t>
            </w:r>
          </w:p>
        </w:tc>
        <w:tc>
          <w:tcPr>
            <w:tcW w:w="0" w:type="auto"/>
            <w:shd w:val="clear" w:color="auto" w:fill="auto"/>
          </w:tcPr>
          <w:p w14:paraId="1CDCD378" w14:textId="77777777" w:rsidR="008C5CFA" w:rsidRPr="0024468B" w:rsidRDefault="00E82A60" w:rsidP="00300A01">
            <w:pPr>
              <w:spacing w:before="0" w:after="0"/>
              <w:rPr>
                <w:sz w:val="16"/>
                <w:szCs w:val="16"/>
                <w:lang w:val="fr-BE"/>
              </w:rPr>
            </w:pPr>
            <w:r>
              <w:rPr>
                <w:noProof/>
                <w:sz w:val="16"/>
                <w:szCs w:val="16"/>
                <w:lang w:val="fr-BE"/>
              </w:rPr>
              <w:t>Liczba wspartych przedszkoli i innych placówek wychowania przedszkolnego</w:t>
            </w:r>
          </w:p>
        </w:tc>
        <w:tc>
          <w:tcPr>
            <w:tcW w:w="0" w:type="auto"/>
            <w:shd w:val="clear" w:color="auto" w:fill="auto"/>
          </w:tcPr>
          <w:p w14:paraId="5EA967AD" w14:textId="77777777" w:rsidR="008C5CFA" w:rsidRPr="0024468B" w:rsidRDefault="00E82A60" w:rsidP="00300A01">
            <w:pPr>
              <w:spacing w:before="0" w:after="0"/>
              <w:rPr>
                <w:sz w:val="16"/>
                <w:szCs w:val="16"/>
                <w:lang w:val="fr-BE"/>
              </w:rPr>
            </w:pPr>
            <w:r w:rsidRPr="0024468B">
              <w:rPr>
                <w:noProof/>
                <w:sz w:val="16"/>
                <w:szCs w:val="16"/>
                <w:lang w:val="fr-BE"/>
              </w:rPr>
              <w:t>szt.</w:t>
            </w:r>
          </w:p>
        </w:tc>
        <w:tc>
          <w:tcPr>
            <w:tcW w:w="0" w:type="auto"/>
            <w:shd w:val="clear" w:color="auto" w:fill="auto"/>
          </w:tcPr>
          <w:p w14:paraId="23FB43D2" w14:textId="77777777" w:rsidR="008C5CFA" w:rsidRPr="0024468B" w:rsidRDefault="00E82A60"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14:paraId="79659F4F" w14:textId="77777777" w:rsidR="008C5CFA" w:rsidRPr="0024468B" w:rsidRDefault="00E82A60" w:rsidP="00300A01">
            <w:pPr>
              <w:spacing w:before="0" w:after="0"/>
              <w:jc w:val="right"/>
              <w:rPr>
                <w:sz w:val="16"/>
                <w:szCs w:val="16"/>
                <w:lang w:val="fr-BE"/>
              </w:rPr>
            </w:pPr>
            <w:r>
              <w:rPr>
                <w:noProof/>
                <w:sz w:val="16"/>
                <w:szCs w:val="16"/>
                <w:lang w:val="fr-BE"/>
              </w:rPr>
              <w:t>21,00</w:t>
            </w:r>
          </w:p>
        </w:tc>
        <w:tc>
          <w:tcPr>
            <w:tcW w:w="0" w:type="auto"/>
            <w:shd w:val="clear" w:color="auto" w:fill="auto"/>
          </w:tcPr>
          <w:p w14:paraId="4A9D999A" w14:textId="77777777" w:rsidR="008C5CFA" w:rsidRPr="0024468B" w:rsidRDefault="008C5CFA" w:rsidP="00300A01">
            <w:pPr>
              <w:spacing w:before="0" w:after="0"/>
              <w:jc w:val="right"/>
              <w:rPr>
                <w:sz w:val="16"/>
                <w:szCs w:val="16"/>
                <w:lang w:val="fr-BE"/>
              </w:rPr>
            </w:pPr>
          </w:p>
        </w:tc>
        <w:tc>
          <w:tcPr>
            <w:tcW w:w="0" w:type="auto"/>
          </w:tcPr>
          <w:p w14:paraId="1B1A852F" w14:textId="77777777" w:rsidR="008C5CFA" w:rsidRPr="0024468B" w:rsidRDefault="008C5CFA" w:rsidP="00300A01">
            <w:pPr>
              <w:spacing w:before="0" w:after="0"/>
              <w:jc w:val="right"/>
              <w:rPr>
                <w:sz w:val="16"/>
                <w:szCs w:val="16"/>
                <w:lang w:val="fr-BE"/>
              </w:rPr>
            </w:pPr>
          </w:p>
        </w:tc>
        <w:tc>
          <w:tcPr>
            <w:tcW w:w="0" w:type="auto"/>
            <w:shd w:val="clear" w:color="auto" w:fill="auto"/>
          </w:tcPr>
          <w:p w14:paraId="6374268D" w14:textId="77777777" w:rsidR="008C5CFA" w:rsidRPr="0024468B" w:rsidRDefault="00E82A60" w:rsidP="00300A01">
            <w:pPr>
              <w:spacing w:before="0" w:after="0"/>
              <w:jc w:val="right"/>
              <w:rPr>
                <w:sz w:val="16"/>
                <w:szCs w:val="16"/>
                <w:lang w:val="fr-BE"/>
              </w:rPr>
            </w:pPr>
            <w:r w:rsidRPr="0024468B">
              <w:rPr>
                <w:noProof/>
                <w:sz w:val="16"/>
                <w:szCs w:val="16"/>
                <w:lang w:val="fr-BE"/>
              </w:rPr>
              <w:t>33,00</w:t>
            </w:r>
          </w:p>
        </w:tc>
        <w:tc>
          <w:tcPr>
            <w:tcW w:w="0" w:type="auto"/>
            <w:shd w:val="clear" w:color="auto" w:fill="auto"/>
          </w:tcPr>
          <w:p w14:paraId="79F7DE30"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3513D804"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5552DF9A" w14:textId="77777777" w:rsidR="008C5CFA" w:rsidRPr="0024468B" w:rsidRDefault="008C5CFA" w:rsidP="00300A01">
            <w:pPr>
              <w:spacing w:before="0" w:after="0"/>
              <w:rPr>
                <w:sz w:val="16"/>
                <w:szCs w:val="16"/>
                <w:lang w:val="fr-BE"/>
              </w:rPr>
            </w:pPr>
          </w:p>
        </w:tc>
      </w:tr>
      <w:tr w:rsidR="006B2EC1" w14:paraId="3F30AD14" w14:textId="77777777" w:rsidTr="0047688D">
        <w:tc>
          <w:tcPr>
            <w:tcW w:w="0" w:type="auto"/>
          </w:tcPr>
          <w:p w14:paraId="5CB222D1" w14:textId="77777777" w:rsidR="008C5CFA" w:rsidRPr="0024468B" w:rsidRDefault="00E82A60" w:rsidP="00300A01">
            <w:pPr>
              <w:spacing w:before="0" w:after="0"/>
              <w:rPr>
                <w:sz w:val="16"/>
                <w:szCs w:val="16"/>
                <w:lang w:val="fr-BE"/>
              </w:rPr>
            </w:pPr>
            <w:r>
              <w:rPr>
                <w:noProof/>
                <w:sz w:val="16"/>
                <w:szCs w:val="16"/>
                <w:lang w:val="fr-BE"/>
              </w:rPr>
              <w:t>S</w:t>
            </w:r>
          </w:p>
        </w:tc>
        <w:tc>
          <w:tcPr>
            <w:tcW w:w="0" w:type="auto"/>
            <w:shd w:val="clear" w:color="auto" w:fill="auto"/>
          </w:tcPr>
          <w:p w14:paraId="38EE8C6F" w14:textId="77777777" w:rsidR="008C5CFA" w:rsidRPr="0024468B" w:rsidRDefault="00E82A60" w:rsidP="00300A01">
            <w:pPr>
              <w:spacing w:before="0" w:after="0"/>
              <w:rPr>
                <w:sz w:val="16"/>
                <w:szCs w:val="16"/>
                <w:lang w:val="fr-BE"/>
              </w:rPr>
            </w:pPr>
            <w:r>
              <w:rPr>
                <w:noProof/>
                <w:sz w:val="16"/>
                <w:szCs w:val="16"/>
                <w:lang w:val="fr-BE"/>
              </w:rPr>
              <w:t>048</w:t>
            </w:r>
          </w:p>
        </w:tc>
        <w:tc>
          <w:tcPr>
            <w:tcW w:w="0" w:type="auto"/>
            <w:shd w:val="clear" w:color="auto" w:fill="auto"/>
          </w:tcPr>
          <w:p w14:paraId="328E565E" w14:textId="77777777" w:rsidR="008C5CFA" w:rsidRPr="0024468B" w:rsidRDefault="00E82A60" w:rsidP="00300A01">
            <w:pPr>
              <w:spacing w:before="0" w:after="0"/>
              <w:rPr>
                <w:sz w:val="16"/>
                <w:szCs w:val="16"/>
                <w:lang w:val="fr-BE"/>
              </w:rPr>
            </w:pPr>
            <w:r>
              <w:rPr>
                <w:noProof/>
                <w:sz w:val="16"/>
                <w:szCs w:val="16"/>
                <w:lang w:val="fr-BE"/>
              </w:rPr>
              <w:t>Liczba wspartych przedszkoli i innych placówek wychowania przedszkolnego</w:t>
            </w:r>
          </w:p>
        </w:tc>
        <w:tc>
          <w:tcPr>
            <w:tcW w:w="0" w:type="auto"/>
            <w:shd w:val="clear" w:color="auto" w:fill="auto"/>
          </w:tcPr>
          <w:p w14:paraId="19941809" w14:textId="77777777" w:rsidR="008C5CFA" w:rsidRPr="0024468B" w:rsidRDefault="00E82A60" w:rsidP="00300A01">
            <w:pPr>
              <w:spacing w:before="0" w:after="0"/>
              <w:rPr>
                <w:sz w:val="16"/>
                <w:szCs w:val="16"/>
                <w:lang w:val="fr-BE"/>
              </w:rPr>
            </w:pPr>
            <w:r w:rsidRPr="0024468B">
              <w:rPr>
                <w:noProof/>
                <w:sz w:val="16"/>
                <w:szCs w:val="16"/>
                <w:lang w:val="fr-BE"/>
              </w:rPr>
              <w:t>szt.</w:t>
            </w:r>
          </w:p>
        </w:tc>
        <w:tc>
          <w:tcPr>
            <w:tcW w:w="0" w:type="auto"/>
            <w:shd w:val="clear" w:color="auto" w:fill="auto"/>
          </w:tcPr>
          <w:p w14:paraId="616ADA79" w14:textId="77777777" w:rsidR="008C5CFA" w:rsidRPr="0024468B" w:rsidRDefault="00E82A60"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14:paraId="5B4C3F8D" w14:textId="77777777" w:rsidR="008C5CFA" w:rsidRPr="0024468B" w:rsidRDefault="00E82A60" w:rsidP="00300A01">
            <w:pPr>
              <w:spacing w:before="0" w:after="0"/>
              <w:jc w:val="right"/>
              <w:rPr>
                <w:sz w:val="16"/>
                <w:szCs w:val="16"/>
                <w:lang w:val="fr-BE"/>
              </w:rPr>
            </w:pPr>
            <w:r>
              <w:rPr>
                <w:noProof/>
                <w:sz w:val="16"/>
                <w:szCs w:val="16"/>
                <w:lang w:val="fr-BE"/>
              </w:rPr>
              <w:t>21,00</w:t>
            </w:r>
          </w:p>
        </w:tc>
        <w:tc>
          <w:tcPr>
            <w:tcW w:w="0" w:type="auto"/>
            <w:shd w:val="clear" w:color="auto" w:fill="auto"/>
          </w:tcPr>
          <w:p w14:paraId="172EFE22" w14:textId="77777777" w:rsidR="008C5CFA" w:rsidRPr="0024468B" w:rsidRDefault="008C5CFA" w:rsidP="00300A01">
            <w:pPr>
              <w:spacing w:before="0" w:after="0"/>
              <w:jc w:val="right"/>
              <w:rPr>
                <w:sz w:val="16"/>
                <w:szCs w:val="16"/>
                <w:lang w:val="fr-BE"/>
              </w:rPr>
            </w:pPr>
          </w:p>
        </w:tc>
        <w:tc>
          <w:tcPr>
            <w:tcW w:w="0" w:type="auto"/>
          </w:tcPr>
          <w:p w14:paraId="00D82623" w14:textId="77777777" w:rsidR="008C5CFA" w:rsidRPr="0024468B" w:rsidRDefault="008C5CFA" w:rsidP="00300A01">
            <w:pPr>
              <w:spacing w:before="0" w:after="0"/>
              <w:jc w:val="right"/>
              <w:rPr>
                <w:sz w:val="16"/>
                <w:szCs w:val="16"/>
                <w:lang w:val="fr-BE"/>
              </w:rPr>
            </w:pPr>
          </w:p>
        </w:tc>
        <w:tc>
          <w:tcPr>
            <w:tcW w:w="0" w:type="auto"/>
            <w:shd w:val="clear" w:color="auto" w:fill="auto"/>
          </w:tcPr>
          <w:p w14:paraId="7F3BC0A3" w14:textId="77777777" w:rsidR="008C5CFA" w:rsidRPr="0024468B" w:rsidRDefault="00E82A60" w:rsidP="00300A01">
            <w:pPr>
              <w:spacing w:before="0" w:after="0"/>
              <w:jc w:val="right"/>
              <w:rPr>
                <w:sz w:val="16"/>
                <w:szCs w:val="16"/>
                <w:lang w:val="fr-BE"/>
              </w:rPr>
            </w:pPr>
            <w:r w:rsidRPr="0024468B">
              <w:rPr>
                <w:noProof/>
                <w:sz w:val="16"/>
                <w:szCs w:val="16"/>
                <w:lang w:val="fr-BE"/>
              </w:rPr>
              <w:t>40,00</w:t>
            </w:r>
          </w:p>
        </w:tc>
        <w:tc>
          <w:tcPr>
            <w:tcW w:w="0" w:type="auto"/>
            <w:shd w:val="clear" w:color="auto" w:fill="auto"/>
          </w:tcPr>
          <w:p w14:paraId="325A28B3"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47D8273B"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4A65D1DB" w14:textId="77777777" w:rsidR="008C5CFA" w:rsidRPr="0024468B" w:rsidRDefault="008C5CFA" w:rsidP="00300A01">
            <w:pPr>
              <w:spacing w:before="0" w:after="0"/>
              <w:rPr>
                <w:sz w:val="16"/>
                <w:szCs w:val="16"/>
                <w:lang w:val="fr-BE"/>
              </w:rPr>
            </w:pPr>
          </w:p>
        </w:tc>
      </w:tr>
    </w:tbl>
    <w:p w14:paraId="496CAF08" w14:textId="77777777" w:rsidR="008C5CFA" w:rsidRDefault="00E82A60" w:rsidP="00300A01">
      <w:pPr>
        <w:spacing w:before="0" w:after="0"/>
        <w:rPr>
          <w:lang w:val="fr-BE"/>
        </w:rPr>
      </w:pPr>
      <w:r>
        <w:rPr>
          <w:noProof/>
          <w:lang w:val="fr-BE"/>
        </w:rPr>
        <w:t>1) S=wartość skumulowana – produkty, które mają być zrealizowane poprzez wybrane operacje [prognoza przedstawiona przez beneficjentów], F=wartość skumulowana – produkty zrealizowane poprzez operacje [rzeczywiste wykonanie]</w:t>
      </w:r>
    </w:p>
    <w:p w14:paraId="6983ACC8"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02"/>
        <w:gridCol w:w="497"/>
        <w:gridCol w:w="6014"/>
        <w:gridCol w:w="903"/>
        <w:gridCol w:w="1045"/>
        <w:gridCol w:w="868"/>
        <w:gridCol w:w="870"/>
        <w:gridCol w:w="1045"/>
        <w:gridCol w:w="868"/>
        <w:gridCol w:w="859"/>
        <w:gridCol w:w="1045"/>
        <w:gridCol w:w="868"/>
      </w:tblGrid>
      <w:tr w:rsidR="006B2EC1" w14:paraId="3A8BEA5C" w14:textId="77777777" w:rsidTr="0047688D">
        <w:trPr>
          <w:tblHeader/>
        </w:trPr>
        <w:tc>
          <w:tcPr>
            <w:tcW w:w="0" w:type="auto"/>
          </w:tcPr>
          <w:p w14:paraId="7B885D8D" w14:textId="77777777" w:rsidR="008C5CFA" w:rsidRPr="009143B4" w:rsidRDefault="00E82A60" w:rsidP="00300A01">
            <w:pPr>
              <w:spacing w:before="0" w:after="0"/>
              <w:rPr>
                <w:b/>
                <w:sz w:val="16"/>
                <w:szCs w:val="16"/>
                <w:lang w:val="fr-BE"/>
              </w:rPr>
            </w:pPr>
            <w:r w:rsidRPr="009143B4">
              <w:rPr>
                <w:b/>
                <w:sz w:val="16"/>
                <w:szCs w:val="16"/>
                <w:lang w:val="fr-BE"/>
              </w:rPr>
              <w:lastRenderedPageBreak/>
              <w:t>(1)</w:t>
            </w:r>
          </w:p>
        </w:tc>
        <w:tc>
          <w:tcPr>
            <w:tcW w:w="0" w:type="auto"/>
            <w:shd w:val="clear" w:color="auto" w:fill="auto"/>
          </w:tcPr>
          <w:p w14:paraId="3979F5D1" w14:textId="77777777" w:rsidR="008C5CFA" w:rsidRPr="009143B4" w:rsidRDefault="00E82A60" w:rsidP="00300A01">
            <w:pPr>
              <w:spacing w:before="0" w:after="0"/>
              <w:rPr>
                <w:b/>
                <w:sz w:val="16"/>
                <w:szCs w:val="16"/>
                <w:lang w:val="fr-BE"/>
              </w:rPr>
            </w:pPr>
            <w:r w:rsidRPr="009143B4">
              <w:rPr>
                <w:b/>
                <w:noProof/>
                <w:sz w:val="16"/>
                <w:szCs w:val="16"/>
                <w:lang w:val="fr-BE"/>
              </w:rPr>
              <w:t>ID</w:t>
            </w:r>
          </w:p>
        </w:tc>
        <w:tc>
          <w:tcPr>
            <w:tcW w:w="0" w:type="auto"/>
            <w:shd w:val="clear" w:color="auto" w:fill="auto"/>
          </w:tcPr>
          <w:p w14:paraId="16D815B1" w14:textId="77777777" w:rsidR="008C5CFA" w:rsidRPr="009143B4" w:rsidRDefault="00E82A60" w:rsidP="00300A01">
            <w:pPr>
              <w:spacing w:before="0" w:after="0"/>
              <w:rPr>
                <w:b/>
                <w:sz w:val="16"/>
                <w:szCs w:val="16"/>
                <w:lang w:val="fr-BE"/>
              </w:rPr>
            </w:pPr>
            <w:r w:rsidRPr="009143B4">
              <w:rPr>
                <w:b/>
                <w:noProof/>
                <w:sz w:val="16"/>
                <w:szCs w:val="16"/>
                <w:lang w:val="fr-BE"/>
              </w:rPr>
              <w:t>Wskaźnik</w:t>
            </w:r>
          </w:p>
        </w:tc>
        <w:tc>
          <w:tcPr>
            <w:tcW w:w="0" w:type="auto"/>
          </w:tcPr>
          <w:p w14:paraId="7AC4D4B4" w14:textId="77777777" w:rsidR="008C5CFA" w:rsidRPr="009143B4" w:rsidRDefault="00E82A60" w:rsidP="00300A01">
            <w:pPr>
              <w:spacing w:before="0" w:after="0"/>
              <w:jc w:val="center"/>
              <w:rPr>
                <w:b/>
                <w:sz w:val="16"/>
                <w:szCs w:val="16"/>
                <w:lang w:val="fr-BE"/>
              </w:rPr>
            </w:pPr>
            <w:r>
              <w:rPr>
                <w:b/>
                <w:sz w:val="16"/>
                <w:szCs w:val="16"/>
                <w:lang w:val="fr-BE"/>
              </w:rPr>
              <w:t xml:space="preserve">2018 </w:t>
            </w:r>
            <w:r w:rsidRPr="009143B4">
              <w:rPr>
                <w:b/>
                <w:noProof/>
                <w:sz w:val="16"/>
                <w:szCs w:val="16"/>
                <w:lang w:val="fr-BE"/>
              </w:rPr>
              <w:t>Ogółem</w:t>
            </w:r>
          </w:p>
        </w:tc>
        <w:tc>
          <w:tcPr>
            <w:tcW w:w="0" w:type="auto"/>
          </w:tcPr>
          <w:p w14:paraId="6C210070" w14:textId="77777777" w:rsidR="008C5CFA" w:rsidRPr="009143B4" w:rsidRDefault="00E82A60" w:rsidP="00300A01">
            <w:pPr>
              <w:spacing w:before="0" w:after="0"/>
              <w:jc w:val="center"/>
              <w:rPr>
                <w:b/>
                <w:sz w:val="16"/>
                <w:szCs w:val="16"/>
                <w:lang w:val="fr-BE"/>
              </w:rPr>
            </w:pPr>
            <w:r>
              <w:rPr>
                <w:b/>
                <w:sz w:val="16"/>
                <w:szCs w:val="16"/>
                <w:lang w:val="fr-BE"/>
              </w:rPr>
              <w:t xml:space="preserve">2018 </w:t>
            </w:r>
            <w:r w:rsidRPr="009143B4">
              <w:rPr>
                <w:b/>
                <w:noProof/>
                <w:sz w:val="16"/>
                <w:szCs w:val="16"/>
                <w:lang w:val="fr-BE"/>
              </w:rPr>
              <w:t>Mężczyźni</w:t>
            </w:r>
          </w:p>
        </w:tc>
        <w:tc>
          <w:tcPr>
            <w:tcW w:w="0" w:type="auto"/>
          </w:tcPr>
          <w:p w14:paraId="491ABD0D" w14:textId="77777777" w:rsidR="008C5CFA" w:rsidRPr="009143B4" w:rsidRDefault="00E82A60" w:rsidP="00300A01">
            <w:pPr>
              <w:spacing w:before="0" w:after="0"/>
              <w:jc w:val="center"/>
              <w:rPr>
                <w:b/>
                <w:sz w:val="16"/>
                <w:szCs w:val="16"/>
                <w:lang w:val="fr-BE"/>
              </w:rPr>
            </w:pPr>
            <w:r>
              <w:rPr>
                <w:b/>
                <w:sz w:val="16"/>
                <w:szCs w:val="16"/>
                <w:lang w:val="fr-BE"/>
              </w:rPr>
              <w:t xml:space="preserve">2018 </w:t>
            </w:r>
            <w:r w:rsidRPr="009143B4">
              <w:rPr>
                <w:b/>
                <w:noProof/>
                <w:sz w:val="16"/>
                <w:szCs w:val="16"/>
                <w:lang w:val="fr-BE"/>
              </w:rPr>
              <w:t>Kobiety</w:t>
            </w:r>
          </w:p>
        </w:tc>
        <w:tc>
          <w:tcPr>
            <w:tcW w:w="0" w:type="auto"/>
          </w:tcPr>
          <w:p w14:paraId="21D37903" w14:textId="77777777" w:rsidR="008C5CFA" w:rsidRPr="009143B4" w:rsidRDefault="00E82A60"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Ogółem</w:t>
            </w:r>
          </w:p>
        </w:tc>
        <w:tc>
          <w:tcPr>
            <w:tcW w:w="0" w:type="auto"/>
          </w:tcPr>
          <w:p w14:paraId="48D62109" w14:textId="77777777" w:rsidR="008C5CFA" w:rsidRPr="009143B4" w:rsidRDefault="00E82A60"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Mężczyźni</w:t>
            </w:r>
          </w:p>
        </w:tc>
        <w:tc>
          <w:tcPr>
            <w:tcW w:w="0" w:type="auto"/>
          </w:tcPr>
          <w:p w14:paraId="59BE31E8" w14:textId="77777777" w:rsidR="008C5CFA" w:rsidRPr="009143B4" w:rsidRDefault="00E82A60"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Kobiety</w:t>
            </w:r>
          </w:p>
        </w:tc>
        <w:tc>
          <w:tcPr>
            <w:tcW w:w="0" w:type="auto"/>
            <w:shd w:val="clear" w:color="auto" w:fill="auto"/>
          </w:tcPr>
          <w:p w14:paraId="708D70BD" w14:textId="77777777" w:rsidR="008C5CFA" w:rsidRPr="009143B4" w:rsidRDefault="00E82A60"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Ogółem</w:t>
            </w:r>
          </w:p>
        </w:tc>
        <w:tc>
          <w:tcPr>
            <w:tcW w:w="0" w:type="auto"/>
            <w:shd w:val="clear" w:color="auto" w:fill="auto"/>
          </w:tcPr>
          <w:p w14:paraId="7D2AEC3B" w14:textId="77777777" w:rsidR="008C5CFA" w:rsidRPr="009143B4" w:rsidRDefault="00E82A60"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Mężczyźni</w:t>
            </w:r>
          </w:p>
        </w:tc>
        <w:tc>
          <w:tcPr>
            <w:tcW w:w="0" w:type="auto"/>
            <w:shd w:val="clear" w:color="auto" w:fill="auto"/>
          </w:tcPr>
          <w:p w14:paraId="72B59116" w14:textId="77777777" w:rsidR="008C5CFA" w:rsidRPr="009143B4" w:rsidRDefault="00E82A60"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Kobiety</w:t>
            </w:r>
          </w:p>
        </w:tc>
      </w:tr>
      <w:tr w:rsidR="006B2EC1" w14:paraId="0A0B9F44" w14:textId="77777777" w:rsidTr="0047688D">
        <w:tc>
          <w:tcPr>
            <w:tcW w:w="0" w:type="auto"/>
          </w:tcPr>
          <w:p w14:paraId="24AA9E85" w14:textId="77777777" w:rsidR="008C5CFA" w:rsidRPr="0024468B" w:rsidRDefault="00E82A60" w:rsidP="00300A01">
            <w:pPr>
              <w:spacing w:before="0" w:after="0"/>
              <w:rPr>
                <w:sz w:val="16"/>
                <w:szCs w:val="16"/>
                <w:lang w:val="fr-BE"/>
              </w:rPr>
            </w:pPr>
            <w:r>
              <w:rPr>
                <w:noProof/>
                <w:sz w:val="16"/>
                <w:szCs w:val="16"/>
                <w:lang w:val="fr-BE"/>
              </w:rPr>
              <w:t>F</w:t>
            </w:r>
          </w:p>
        </w:tc>
        <w:tc>
          <w:tcPr>
            <w:tcW w:w="0" w:type="auto"/>
            <w:shd w:val="clear" w:color="auto" w:fill="auto"/>
          </w:tcPr>
          <w:p w14:paraId="409018A7" w14:textId="77777777" w:rsidR="008C5CFA" w:rsidRPr="0024468B" w:rsidRDefault="00E82A60" w:rsidP="00300A01">
            <w:pPr>
              <w:spacing w:before="0" w:after="0"/>
              <w:rPr>
                <w:sz w:val="16"/>
                <w:szCs w:val="16"/>
                <w:lang w:val="fr-BE"/>
              </w:rPr>
            </w:pPr>
            <w:r w:rsidRPr="0024468B">
              <w:rPr>
                <w:noProof/>
                <w:sz w:val="16"/>
                <w:szCs w:val="16"/>
                <w:lang w:val="fr-BE"/>
              </w:rPr>
              <w:t>CO35</w:t>
            </w:r>
          </w:p>
        </w:tc>
        <w:tc>
          <w:tcPr>
            <w:tcW w:w="0" w:type="auto"/>
            <w:shd w:val="clear" w:color="auto" w:fill="auto"/>
          </w:tcPr>
          <w:p w14:paraId="730E8B51" w14:textId="77777777" w:rsidR="008C5CFA" w:rsidRPr="0024468B" w:rsidRDefault="00E82A60" w:rsidP="00300A01">
            <w:pPr>
              <w:spacing w:before="0" w:after="0"/>
              <w:rPr>
                <w:sz w:val="16"/>
                <w:szCs w:val="16"/>
                <w:lang w:val="fr-BE"/>
              </w:rPr>
            </w:pPr>
            <w:r w:rsidRPr="0024468B">
              <w:rPr>
                <w:noProof/>
                <w:sz w:val="16"/>
                <w:szCs w:val="16"/>
                <w:lang w:val="fr-BE"/>
              </w:rPr>
              <w:t>Opieka nad dziećmi i edukacja: Liczba miejsc w objętej wsparciem infrastrukturze w zakresie opieki nad dziećmi lub infrastrukturze edukacyjnej</w:t>
            </w:r>
          </w:p>
        </w:tc>
        <w:tc>
          <w:tcPr>
            <w:tcW w:w="0" w:type="auto"/>
          </w:tcPr>
          <w:p w14:paraId="10039BAA" w14:textId="77777777" w:rsidR="008C5CFA" w:rsidRPr="0024468B" w:rsidRDefault="00E82A60" w:rsidP="00300A01">
            <w:pPr>
              <w:spacing w:before="0" w:after="0"/>
              <w:jc w:val="right"/>
              <w:rPr>
                <w:sz w:val="16"/>
                <w:szCs w:val="16"/>
                <w:lang w:val="fr-BE"/>
              </w:rPr>
            </w:pPr>
            <w:r w:rsidRPr="0024468B">
              <w:rPr>
                <w:noProof/>
                <w:sz w:val="16"/>
                <w:szCs w:val="16"/>
                <w:lang w:val="fr-BE"/>
              </w:rPr>
              <w:t>16 779,00</w:t>
            </w:r>
          </w:p>
        </w:tc>
        <w:tc>
          <w:tcPr>
            <w:tcW w:w="0" w:type="auto"/>
          </w:tcPr>
          <w:p w14:paraId="75777856"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03506233"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3DD3E1D2"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048AFDFA"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633E0B47"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5E438A1E"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60168D3E"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5C357663"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r w:rsidR="006B2EC1" w14:paraId="1CEE2679" w14:textId="77777777" w:rsidTr="0047688D">
        <w:tc>
          <w:tcPr>
            <w:tcW w:w="0" w:type="auto"/>
          </w:tcPr>
          <w:p w14:paraId="7AE9AB5F" w14:textId="77777777" w:rsidR="008C5CFA" w:rsidRPr="0024468B" w:rsidRDefault="00E82A60" w:rsidP="00300A01">
            <w:pPr>
              <w:spacing w:before="0" w:after="0"/>
              <w:rPr>
                <w:sz w:val="16"/>
                <w:szCs w:val="16"/>
                <w:lang w:val="fr-BE"/>
              </w:rPr>
            </w:pPr>
            <w:r>
              <w:rPr>
                <w:noProof/>
                <w:sz w:val="16"/>
                <w:szCs w:val="16"/>
                <w:lang w:val="fr-BE"/>
              </w:rPr>
              <w:t>S</w:t>
            </w:r>
          </w:p>
        </w:tc>
        <w:tc>
          <w:tcPr>
            <w:tcW w:w="0" w:type="auto"/>
            <w:shd w:val="clear" w:color="auto" w:fill="auto"/>
          </w:tcPr>
          <w:p w14:paraId="71605A23" w14:textId="77777777" w:rsidR="008C5CFA" w:rsidRPr="0024468B" w:rsidRDefault="00E82A60" w:rsidP="00300A01">
            <w:pPr>
              <w:spacing w:before="0" w:after="0"/>
              <w:rPr>
                <w:sz w:val="16"/>
                <w:szCs w:val="16"/>
                <w:lang w:val="fr-BE"/>
              </w:rPr>
            </w:pPr>
            <w:r w:rsidRPr="0024468B">
              <w:rPr>
                <w:noProof/>
                <w:sz w:val="16"/>
                <w:szCs w:val="16"/>
                <w:lang w:val="fr-BE"/>
              </w:rPr>
              <w:t>CO35</w:t>
            </w:r>
          </w:p>
        </w:tc>
        <w:tc>
          <w:tcPr>
            <w:tcW w:w="0" w:type="auto"/>
            <w:shd w:val="clear" w:color="auto" w:fill="auto"/>
          </w:tcPr>
          <w:p w14:paraId="186EF005" w14:textId="77777777" w:rsidR="008C5CFA" w:rsidRPr="0024468B" w:rsidRDefault="00E82A60" w:rsidP="00300A01">
            <w:pPr>
              <w:spacing w:before="0" w:after="0"/>
              <w:rPr>
                <w:sz w:val="16"/>
                <w:szCs w:val="16"/>
                <w:lang w:val="fr-BE"/>
              </w:rPr>
            </w:pPr>
            <w:r w:rsidRPr="0024468B">
              <w:rPr>
                <w:noProof/>
                <w:sz w:val="16"/>
                <w:szCs w:val="16"/>
                <w:lang w:val="fr-BE"/>
              </w:rPr>
              <w:t>Opieka nad dziećmi i edukacja: Liczba miejsc w objętej wsparciem infrastrukturze w zakresie opieki nad dziećmi lub infrastrukturze edukacyjnej</w:t>
            </w:r>
          </w:p>
        </w:tc>
        <w:tc>
          <w:tcPr>
            <w:tcW w:w="0" w:type="auto"/>
          </w:tcPr>
          <w:p w14:paraId="72FABAAB" w14:textId="77777777" w:rsidR="008C5CFA" w:rsidRPr="0024468B" w:rsidRDefault="00E82A60" w:rsidP="00300A01">
            <w:pPr>
              <w:spacing w:before="0" w:after="0"/>
              <w:jc w:val="right"/>
              <w:rPr>
                <w:sz w:val="16"/>
                <w:szCs w:val="16"/>
                <w:lang w:val="fr-BE"/>
              </w:rPr>
            </w:pPr>
            <w:r w:rsidRPr="0024468B">
              <w:rPr>
                <w:noProof/>
                <w:sz w:val="16"/>
                <w:szCs w:val="16"/>
                <w:lang w:val="fr-BE"/>
              </w:rPr>
              <w:t>42 846,00</w:t>
            </w:r>
          </w:p>
        </w:tc>
        <w:tc>
          <w:tcPr>
            <w:tcW w:w="0" w:type="auto"/>
          </w:tcPr>
          <w:p w14:paraId="17D81D92"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58F32FCC"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047D8313" w14:textId="77777777" w:rsidR="008C5CFA" w:rsidRPr="0024468B" w:rsidRDefault="00E82A60" w:rsidP="00300A01">
            <w:pPr>
              <w:spacing w:before="0" w:after="0"/>
              <w:jc w:val="right"/>
              <w:rPr>
                <w:sz w:val="16"/>
                <w:szCs w:val="16"/>
                <w:lang w:val="fr-BE"/>
              </w:rPr>
            </w:pPr>
            <w:r w:rsidRPr="0024468B">
              <w:rPr>
                <w:noProof/>
                <w:sz w:val="16"/>
                <w:szCs w:val="16"/>
                <w:lang w:val="fr-BE"/>
              </w:rPr>
              <w:t>6 827,00</w:t>
            </w:r>
          </w:p>
        </w:tc>
        <w:tc>
          <w:tcPr>
            <w:tcW w:w="0" w:type="auto"/>
          </w:tcPr>
          <w:p w14:paraId="5E1A1AD6"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2A8460A8"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337CC980"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554AFD61"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38E74FD3"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r w:rsidR="006B2EC1" w14:paraId="4F359AEA" w14:textId="77777777" w:rsidTr="0047688D">
        <w:tc>
          <w:tcPr>
            <w:tcW w:w="0" w:type="auto"/>
          </w:tcPr>
          <w:p w14:paraId="7746BB1B" w14:textId="77777777" w:rsidR="008C5CFA" w:rsidRPr="0024468B" w:rsidRDefault="00E82A60" w:rsidP="00300A01">
            <w:pPr>
              <w:spacing w:before="0" w:after="0"/>
              <w:rPr>
                <w:sz w:val="16"/>
                <w:szCs w:val="16"/>
                <w:lang w:val="fr-BE"/>
              </w:rPr>
            </w:pPr>
            <w:r>
              <w:rPr>
                <w:noProof/>
                <w:sz w:val="16"/>
                <w:szCs w:val="16"/>
                <w:lang w:val="fr-BE"/>
              </w:rPr>
              <w:t>F</w:t>
            </w:r>
          </w:p>
        </w:tc>
        <w:tc>
          <w:tcPr>
            <w:tcW w:w="0" w:type="auto"/>
            <w:shd w:val="clear" w:color="auto" w:fill="auto"/>
          </w:tcPr>
          <w:p w14:paraId="6F850220" w14:textId="77777777" w:rsidR="008C5CFA" w:rsidRPr="0024468B" w:rsidRDefault="00E82A60" w:rsidP="00300A01">
            <w:pPr>
              <w:spacing w:before="0" w:after="0"/>
              <w:rPr>
                <w:sz w:val="16"/>
                <w:szCs w:val="16"/>
                <w:lang w:val="fr-BE"/>
              </w:rPr>
            </w:pPr>
            <w:r>
              <w:rPr>
                <w:noProof/>
                <w:sz w:val="16"/>
                <w:szCs w:val="16"/>
                <w:lang w:val="fr-BE"/>
              </w:rPr>
              <w:t>047</w:t>
            </w:r>
          </w:p>
        </w:tc>
        <w:tc>
          <w:tcPr>
            <w:tcW w:w="0" w:type="auto"/>
            <w:shd w:val="clear" w:color="auto" w:fill="auto"/>
          </w:tcPr>
          <w:p w14:paraId="5CAF87A0" w14:textId="77777777" w:rsidR="008C5CFA" w:rsidRPr="0024468B" w:rsidRDefault="00E82A60" w:rsidP="00300A01">
            <w:pPr>
              <w:spacing w:before="0" w:after="0"/>
              <w:rPr>
                <w:sz w:val="16"/>
                <w:szCs w:val="16"/>
                <w:lang w:val="fr-BE"/>
              </w:rPr>
            </w:pPr>
            <w:r>
              <w:rPr>
                <w:noProof/>
                <w:sz w:val="16"/>
                <w:szCs w:val="16"/>
                <w:lang w:val="fr-BE"/>
              </w:rPr>
              <w:t>Liczba obiektów infrastruktury jednostek organizacyjnych systemu oświaty</w:t>
            </w:r>
          </w:p>
        </w:tc>
        <w:tc>
          <w:tcPr>
            <w:tcW w:w="0" w:type="auto"/>
          </w:tcPr>
          <w:p w14:paraId="54F2E4A8" w14:textId="77777777" w:rsidR="008C5CFA" w:rsidRPr="0024468B" w:rsidRDefault="00E82A60" w:rsidP="00300A01">
            <w:pPr>
              <w:spacing w:before="0" w:after="0"/>
              <w:jc w:val="right"/>
              <w:rPr>
                <w:sz w:val="16"/>
                <w:szCs w:val="16"/>
                <w:lang w:val="fr-BE"/>
              </w:rPr>
            </w:pPr>
            <w:r w:rsidRPr="0024468B">
              <w:rPr>
                <w:noProof/>
                <w:sz w:val="16"/>
                <w:szCs w:val="16"/>
                <w:lang w:val="fr-BE"/>
              </w:rPr>
              <w:t>100,00</w:t>
            </w:r>
          </w:p>
        </w:tc>
        <w:tc>
          <w:tcPr>
            <w:tcW w:w="0" w:type="auto"/>
          </w:tcPr>
          <w:p w14:paraId="053AF194"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41526780"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11595DD6"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2C71A765"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1F2FA090"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012F8A1C"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17D206D4"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6F5C9E66"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r w:rsidR="006B2EC1" w14:paraId="0EA794DF" w14:textId="77777777" w:rsidTr="0047688D">
        <w:tc>
          <w:tcPr>
            <w:tcW w:w="0" w:type="auto"/>
          </w:tcPr>
          <w:p w14:paraId="5684DBCC" w14:textId="77777777" w:rsidR="008C5CFA" w:rsidRPr="0024468B" w:rsidRDefault="00E82A60" w:rsidP="00300A01">
            <w:pPr>
              <w:spacing w:before="0" w:after="0"/>
              <w:rPr>
                <w:sz w:val="16"/>
                <w:szCs w:val="16"/>
                <w:lang w:val="fr-BE"/>
              </w:rPr>
            </w:pPr>
            <w:r>
              <w:rPr>
                <w:noProof/>
                <w:sz w:val="16"/>
                <w:szCs w:val="16"/>
                <w:lang w:val="fr-BE"/>
              </w:rPr>
              <w:t>S</w:t>
            </w:r>
          </w:p>
        </w:tc>
        <w:tc>
          <w:tcPr>
            <w:tcW w:w="0" w:type="auto"/>
            <w:shd w:val="clear" w:color="auto" w:fill="auto"/>
          </w:tcPr>
          <w:p w14:paraId="41F10451" w14:textId="77777777" w:rsidR="008C5CFA" w:rsidRPr="0024468B" w:rsidRDefault="00E82A60" w:rsidP="00300A01">
            <w:pPr>
              <w:spacing w:before="0" w:after="0"/>
              <w:rPr>
                <w:sz w:val="16"/>
                <w:szCs w:val="16"/>
                <w:lang w:val="fr-BE"/>
              </w:rPr>
            </w:pPr>
            <w:r>
              <w:rPr>
                <w:noProof/>
                <w:sz w:val="16"/>
                <w:szCs w:val="16"/>
                <w:lang w:val="fr-BE"/>
              </w:rPr>
              <w:t>047</w:t>
            </w:r>
          </w:p>
        </w:tc>
        <w:tc>
          <w:tcPr>
            <w:tcW w:w="0" w:type="auto"/>
            <w:shd w:val="clear" w:color="auto" w:fill="auto"/>
          </w:tcPr>
          <w:p w14:paraId="563F5DC8" w14:textId="77777777" w:rsidR="008C5CFA" w:rsidRPr="0024468B" w:rsidRDefault="00E82A60" w:rsidP="00300A01">
            <w:pPr>
              <w:spacing w:before="0" w:after="0"/>
              <w:rPr>
                <w:sz w:val="16"/>
                <w:szCs w:val="16"/>
                <w:lang w:val="fr-BE"/>
              </w:rPr>
            </w:pPr>
            <w:r>
              <w:rPr>
                <w:noProof/>
                <w:sz w:val="16"/>
                <w:szCs w:val="16"/>
                <w:lang w:val="fr-BE"/>
              </w:rPr>
              <w:t>Liczba obiektów infrastruktury jednostek organizacyjnych systemu oświaty</w:t>
            </w:r>
          </w:p>
        </w:tc>
        <w:tc>
          <w:tcPr>
            <w:tcW w:w="0" w:type="auto"/>
          </w:tcPr>
          <w:p w14:paraId="57FDB100" w14:textId="77777777" w:rsidR="008C5CFA" w:rsidRPr="0024468B" w:rsidRDefault="00E82A60" w:rsidP="00300A01">
            <w:pPr>
              <w:spacing w:before="0" w:after="0"/>
              <w:jc w:val="right"/>
              <w:rPr>
                <w:sz w:val="16"/>
                <w:szCs w:val="16"/>
                <w:lang w:val="fr-BE"/>
              </w:rPr>
            </w:pPr>
            <w:r w:rsidRPr="0024468B">
              <w:rPr>
                <w:noProof/>
                <w:sz w:val="16"/>
                <w:szCs w:val="16"/>
                <w:lang w:val="fr-BE"/>
              </w:rPr>
              <w:t>226,00</w:t>
            </w:r>
          </w:p>
        </w:tc>
        <w:tc>
          <w:tcPr>
            <w:tcW w:w="0" w:type="auto"/>
          </w:tcPr>
          <w:p w14:paraId="3A7C23B1"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47721D35"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7FD76745" w14:textId="77777777" w:rsidR="008C5CFA" w:rsidRPr="0024468B" w:rsidRDefault="00E82A60" w:rsidP="00300A01">
            <w:pPr>
              <w:spacing w:before="0" w:after="0"/>
              <w:jc w:val="right"/>
              <w:rPr>
                <w:sz w:val="16"/>
                <w:szCs w:val="16"/>
                <w:lang w:val="fr-BE"/>
              </w:rPr>
            </w:pPr>
            <w:r w:rsidRPr="0024468B">
              <w:rPr>
                <w:noProof/>
                <w:sz w:val="16"/>
                <w:szCs w:val="16"/>
                <w:lang w:val="fr-BE"/>
              </w:rPr>
              <w:t>19,00</w:t>
            </w:r>
          </w:p>
        </w:tc>
        <w:tc>
          <w:tcPr>
            <w:tcW w:w="0" w:type="auto"/>
          </w:tcPr>
          <w:p w14:paraId="05A1CD49"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2B4D2FE1"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4B3293B8"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6E59D089"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06A1F7AE"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r w:rsidR="006B2EC1" w14:paraId="5778790A" w14:textId="77777777" w:rsidTr="0047688D">
        <w:tc>
          <w:tcPr>
            <w:tcW w:w="0" w:type="auto"/>
          </w:tcPr>
          <w:p w14:paraId="4E06ED80" w14:textId="77777777" w:rsidR="008C5CFA" w:rsidRPr="0024468B" w:rsidRDefault="00E82A60" w:rsidP="00300A01">
            <w:pPr>
              <w:spacing w:before="0" w:after="0"/>
              <w:rPr>
                <w:sz w:val="16"/>
                <w:szCs w:val="16"/>
                <w:lang w:val="fr-BE"/>
              </w:rPr>
            </w:pPr>
            <w:r>
              <w:rPr>
                <w:noProof/>
                <w:sz w:val="16"/>
                <w:szCs w:val="16"/>
                <w:lang w:val="fr-BE"/>
              </w:rPr>
              <w:t>F</w:t>
            </w:r>
          </w:p>
        </w:tc>
        <w:tc>
          <w:tcPr>
            <w:tcW w:w="0" w:type="auto"/>
            <w:shd w:val="clear" w:color="auto" w:fill="auto"/>
          </w:tcPr>
          <w:p w14:paraId="7AD23411" w14:textId="77777777" w:rsidR="008C5CFA" w:rsidRPr="0024468B" w:rsidRDefault="00E82A60" w:rsidP="00300A01">
            <w:pPr>
              <w:spacing w:before="0" w:after="0"/>
              <w:rPr>
                <w:sz w:val="16"/>
                <w:szCs w:val="16"/>
                <w:lang w:val="fr-BE"/>
              </w:rPr>
            </w:pPr>
            <w:r>
              <w:rPr>
                <w:noProof/>
                <w:sz w:val="16"/>
                <w:szCs w:val="16"/>
                <w:lang w:val="fr-BE"/>
              </w:rPr>
              <w:t>048</w:t>
            </w:r>
          </w:p>
        </w:tc>
        <w:tc>
          <w:tcPr>
            <w:tcW w:w="0" w:type="auto"/>
            <w:shd w:val="clear" w:color="auto" w:fill="auto"/>
          </w:tcPr>
          <w:p w14:paraId="6D2477F2" w14:textId="77777777" w:rsidR="008C5CFA" w:rsidRPr="0024468B" w:rsidRDefault="00E82A60" w:rsidP="00300A01">
            <w:pPr>
              <w:spacing w:before="0" w:after="0"/>
              <w:rPr>
                <w:sz w:val="16"/>
                <w:szCs w:val="16"/>
                <w:lang w:val="fr-BE"/>
              </w:rPr>
            </w:pPr>
            <w:r>
              <w:rPr>
                <w:noProof/>
                <w:sz w:val="16"/>
                <w:szCs w:val="16"/>
                <w:lang w:val="fr-BE"/>
              </w:rPr>
              <w:t>Liczba wspartych przedszkoli i innych placówek wychowania przedszkolnego</w:t>
            </w:r>
          </w:p>
        </w:tc>
        <w:tc>
          <w:tcPr>
            <w:tcW w:w="0" w:type="auto"/>
          </w:tcPr>
          <w:p w14:paraId="2B1A5DDA" w14:textId="77777777" w:rsidR="008C5CFA" w:rsidRPr="0024468B" w:rsidRDefault="00E82A60" w:rsidP="00300A01">
            <w:pPr>
              <w:spacing w:before="0" w:after="0"/>
              <w:jc w:val="right"/>
              <w:rPr>
                <w:sz w:val="16"/>
                <w:szCs w:val="16"/>
                <w:lang w:val="fr-BE"/>
              </w:rPr>
            </w:pPr>
            <w:r w:rsidRPr="0024468B">
              <w:rPr>
                <w:noProof/>
                <w:sz w:val="16"/>
                <w:szCs w:val="16"/>
                <w:lang w:val="fr-BE"/>
              </w:rPr>
              <w:t>23,00</w:t>
            </w:r>
          </w:p>
        </w:tc>
        <w:tc>
          <w:tcPr>
            <w:tcW w:w="0" w:type="auto"/>
          </w:tcPr>
          <w:p w14:paraId="2D8F2D11"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68C0B9D8"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44A6770C"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4131F08F"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33E678B0"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2BB0D081"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393BB32A"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425524FB"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r w:rsidR="006B2EC1" w14:paraId="61969698" w14:textId="77777777" w:rsidTr="0047688D">
        <w:tc>
          <w:tcPr>
            <w:tcW w:w="0" w:type="auto"/>
          </w:tcPr>
          <w:p w14:paraId="43C855E4" w14:textId="77777777" w:rsidR="008C5CFA" w:rsidRPr="0024468B" w:rsidRDefault="00E82A60" w:rsidP="00300A01">
            <w:pPr>
              <w:spacing w:before="0" w:after="0"/>
              <w:rPr>
                <w:sz w:val="16"/>
                <w:szCs w:val="16"/>
                <w:lang w:val="fr-BE"/>
              </w:rPr>
            </w:pPr>
            <w:r>
              <w:rPr>
                <w:noProof/>
                <w:sz w:val="16"/>
                <w:szCs w:val="16"/>
                <w:lang w:val="fr-BE"/>
              </w:rPr>
              <w:t>S</w:t>
            </w:r>
          </w:p>
        </w:tc>
        <w:tc>
          <w:tcPr>
            <w:tcW w:w="0" w:type="auto"/>
            <w:shd w:val="clear" w:color="auto" w:fill="auto"/>
          </w:tcPr>
          <w:p w14:paraId="7793DCD3" w14:textId="77777777" w:rsidR="008C5CFA" w:rsidRPr="0024468B" w:rsidRDefault="00E82A60" w:rsidP="00300A01">
            <w:pPr>
              <w:spacing w:before="0" w:after="0"/>
              <w:rPr>
                <w:sz w:val="16"/>
                <w:szCs w:val="16"/>
                <w:lang w:val="fr-BE"/>
              </w:rPr>
            </w:pPr>
            <w:r>
              <w:rPr>
                <w:noProof/>
                <w:sz w:val="16"/>
                <w:szCs w:val="16"/>
                <w:lang w:val="fr-BE"/>
              </w:rPr>
              <w:t>048</w:t>
            </w:r>
          </w:p>
        </w:tc>
        <w:tc>
          <w:tcPr>
            <w:tcW w:w="0" w:type="auto"/>
            <w:shd w:val="clear" w:color="auto" w:fill="auto"/>
          </w:tcPr>
          <w:p w14:paraId="7E8B720D" w14:textId="77777777" w:rsidR="008C5CFA" w:rsidRPr="0024468B" w:rsidRDefault="00E82A60" w:rsidP="00300A01">
            <w:pPr>
              <w:spacing w:before="0" w:after="0"/>
              <w:rPr>
                <w:sz w:val="16"/>
                <w:szCs w:val="16"/>
                <w:lang w:val="fr-BE"/>
              </w:rPr>
            </w:pPr>
            <w:r>
              <w:rPr>
                <w:noProof/>
                <w:sz w:val="16"/>
                <w:szCs w:val="16"/>
                <w:lang w:val="fr-BE"/>
              </w:rPr>
              <w:t>Liczba wspartych przedszkoli i innych placówek wychowania przedszkolnego</w:t>
            </w:r>
          </w:p>
        </w:tc>
        <w:tc>
          <w:tcPr>
            <w:tcW w:w="0" w:type="auto"/>
          </w:tcPr>
          <w:p w14:paraId="46A3500A" w14:textId="77777777" w:rsidR="008C5CFA" w:rsidRPr="0024468B" w:rsidRDefault="00E82A60" w:rsidP="00300A01">
            <w:pPr>
              <w:spacing w:before="0" w:after="0"/>
              <w:jc w:val="right"/>
              <w:rPr>
                <w:sz w:val="16"/>
                <w:szCs w:val="16"/>
                <w:lang w:val="fr-BE"/>
              </w:rPr>
            </w:pPr>
            <w:r w:rsidRPr="0024468B">
              <w:rPr>
                <w:noProof/>
                <w:sz w:val="16"/>
                <w:szCs w:val="16"/>
                <w:lang w:val="fr-BE"/>
              </w:rPr>
              <w:t>40,00</w:t>
            </w:r>
          </w:p>
        </w:tc>
        <w:tc>
          <w:tcPr>
            <w:tcW w:w="0" w:type="auto"/>
          </w:tcPr>
          <w:p w14:paraId="02425818"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463A36A2"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424EBB3F" w14:textId="77777777" w:rsidR="008C5CFA" w:rsidRPr="0024468B" w:rsidRDefault="00E82A60" w:rsidP="00300A01">
            <w:pPr>
              <w:spacing w:before="0" w:after="0"/>
              <w:jc w:val="right"/>
              <w:rPr>
                <w:sz w:val="16"/>
                <w:szCs w:val="16"/>
                <w:lang w:val="fr-BE"/>
              </w:rPr>
            </w:pPr>
            <w:r w:rsidRPr="0024468B">
              <w:rPr>
                <w:noProof/>
                <w:sz w:val="16"/>
                <w:szCs w:val="16"/>
                <w:lang w:val="fr-BE"/>
              </w:rPr>
              <w:t>22,00</w:t>
            </w:r>
          </w:p>
        </w:tc>
        <w:tc>
          <w:tcPr>
            <w:tcW w:w="0" w:type="auto"/>
          </w:tcPr>
          <w:p w14:paraId="61723AEC"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764B642C"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454ED02A"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7B94AF8D"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121F9B54"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bl>
    <w:p w14:paraId="691C1E15"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01"/>
        <w:gridCol w:w="497"/>
        <w:gridCol w:w="8254"/>
        <w:gridCol w:w="957"/>
        <w:gridCol w:w="1143"/>
        <w:gridCol w:w="966"/>
        <w:gridCol w:w="957"/>
        <w:gridCol w:w="1143"/>
        <w:gridCol w:w="966"/>
      </w:tblGrid>
      <w:tr w:rsidR="006B2EC1" w14:paraId="1A6EC2F9" w14:textId="77777777" w:rsidTr="0047688D">
        <w:trPr>
          <w:tblHeader/>
        </w:trPr>
        <w:tc>
          <w:tcPr>
            <w:tcW w:w="0" w:type="auto"/>
          </w:tcPr>
          <w:p w14:paraId="76BAF5CD" w14:textId="77777777" w:rsidR="008C5CFA" w:rsidRPr="009143B4" w:rsidRDefault="00E82A60" w:rsidP="00300A01">
            <w:pPr>
              <w:spacing w:before="0" w:after="0"/>
              <w:rPr>
                <w:b/>
                <w:sz w:val="16"/>
                <w:szCs w:val="16"/>
                <w:lang w:val="fr-BE"/>
              </w:rPr>
            </w:pPr>
            <w:r w:rsidRPr="009143B4">
              <w:rPr>
                <w:b/>
                <w:sz w:val="16"/>
                <w:szCs w:val="16"/>
                <w:lang w:val="fr-BE"/>
              </w:rPr>
              <w:t>(1)</w:t>
            </w:r>
          </w:p>
        </w:tc>
        <w:tc>
          <w:tcPr>
            <w:tcW w:w="0" w:type="auto"/>
            <w:shd w:val="clear" w:color="auto" w:fill="auto"/>
          </w:tcPr>
          <w:p w14:paraId="7D74A212" w14:textId="77777777" w:rsidR="008C5CFA" w:rsidRPr="009143B4" w:rsidRDefault="00E82A60" w:rsidP="00300A01">
            <w:pPr>
              <w:spacing w:before="0" w:after="0"/>
              <w:rPr>
                <w:b/>
                <w:sz w:val="16"/>
                <w:szCs w:val="16"/>
                <w:lang w:val="fr-BE"/>
              </w:rPr>
            </w:pPr>
            <w:r w:rsidRPr="009143B4">
              <w:rPr>
                <w:b/>
                <w:noProof/>
                <w:sz w:val="16"/>
                <w:szCs w:val="16"/>
                <w:lang w:val="fr-BE"/>
              </w:rPr>
              <w:t>ID</w:t>
            </w:r>
          </w:p>
        </w:tc>
        <w:tc>
          <w:tcPr>
            <w:tcW w:w="0" w:type="auto"/>
            <w:shd w:val="clear" w:color="auto" w:fill="auto"/>
          </w:tcPr>
          <w:p w14:paraId="7E7A7C41" w14:textId="77777777" w:rsidR="008C5CFA" w:rsidRPr="009143B4" w:rsidRDefault="00E82A60" w:rsidP="00300A01">
            <w:pPr>
              <w:spacing w:before="0" w:after="0"/>
              <w:rPr>
                <w:b/>
                <w:sz w:val="16"/>
                <w:szCs w:val="16"/>
                <w:lang w:val="fr-BE"/>
              </w:rPr>
            </w:pPr>
            <w:r w:rsidRPr="009143B4">
              <w:rPr>
                <w:b/>
                <w:noProof/>
                <w:sz w:val="16"/>
                <w:szCs w:val="16"/>
                <w:lang w:val="fr-BE"/>
              </w:rPr>
              <w:t>Wskaźnik</w:t>
            </w:r>
          </w:p>
        </w:tc>
        <w:tc>
          <w:tcPr>
            <w:tcW w:w="0" w:type="auto"/>
          </w:tcPr>
          <w:p w14:paraId="3BFDC339" w14:textId="77777777" w:rsidR="008C5CFA" w:rsidRPr="009143B4" w:rsidRDefault="00E82A60"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Ogółem</w:t>
            </w:r>
          </w:p>
        </w:tc>
        <w:tc>
          <w:tcPr>
            <w:tcW w:w="0" w:type="auto"/>
          </w:tcPr>
          <w:p w14:paraId="1137340E" w14:textId="77777777" w:rsidR="008C5CFA" w:rsidRPr="009143B4" w:rsidRDefault="00E82A60"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Mężczyźni</w:t>
            </w:r>
          </w:p>
        </w:tc>
        <w:tc>
          <w:tcPr>
            <w:tcW w:w="0" w:type="auto"/>
          </w:tcPr>
          <w:p w14:paraId="0DD4C878" w14:textId="77777777" w:rsidR="008C5CFA" w:rsidRPr="009143B4" w:rsidRDefault="00E82A60"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Kobiety</w:t>
            </w:r>
          </w:p>
        </w:tc>
        <w:tc>
          <w:tcPr>
            <w:tcW w:w="0" w:type="auto"/>
            <w:shd w:val="clear" w:color="auto" w:fill="auto"/>
          </w:tcPr>
          <w:p w14:paraId="371B4CBB" w14:textId="77777777" w:rsidR="008C5CFA" w:rsidRPr="009143B4" w:rsidRDefault="00E82A60"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Ogółem</w:t>
            </w:r>
          </w:p>
        </w:tc>
        <w:tc>
          <w:tcPr>
            <w:tcW w:w="0" w:type="auto"/>
            <w:shd w:val="clear" w:color="auto" w:fill="auto"/>
          </w:tcPr>
          <w:p w14:paraId="2D5B710F" w14:textId="77777777" w:rsidR="008C5CFA" w:rsidRPr="009143B4" w:rsidRDefault="00E82A60"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Mężczyźni</w:t>
            </w:r>
          </w:p>
        </w:tc>
        <w:tc>
          <w:tcPr>
            <w:tcW w:w="0" w:type="auto"/>
            <w:shd w:val="clear" w:color="auto" w:fill="auto"/>
          </w:tcPr>
          <w:p w14:paraId="280D1F19" w14:textId="77777777" w:rsidR="008C5CFA" w:rsidRPr="009143B4" w:rsidRDefault="00E82A60"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Kobiety</w:t>
            </w:r>
          </w:p>
        </w:tc>
      </w:tr>
      <w:tr w:rsidR="006B2EC1" w14:paraId="5096E1E2" w14:textId="77777777" w:rsidTr="0047688D">
        <w:tc>
          <w:tcPr>
            <w:tcW w:w="0" w:type="auto"/>
          </w:tcPr>
          <w:p w14:paraId="263A8979" w14:textId="77777777" w:rsidR="008C5CFA" w:rsidRPr="0024468B" w:rsidRDefault="00E82A60" w:rsidP="00300A01">
            <w:pPr>
              <w:spacing w:before="0" w:after="0"/>
              <w:rPr>
                <w:sz w:val="16"/>
                <w:szCs w:val="16"/>
                <w:lang w:val="fr-BE"/>
              </w:rPr>
            </w:pPr>
            <w:r>
              <w:rPr>
                <w:noProof/>
                <w:sz w:val="16"/>
                <w:szCs w:val="16"/>
                <w:lang w:val="fr-BE"/>
              </w:rPr>
              <w:t>F</w:t>
            </w:r>
          </w:p>
        </w:tc>
        <w:tc>
          <w:tcPr>
            <w:tcW w:w="0" w:type="auto"/>
            <w:shd w:val="clear" w:color="auto" w:fill="auto"/>
          </w:tcPr>
          <w:p w14:paraId="2EB8B795" w14:textId="77777777" w:rsidR="008C5CFA" w:rsidRPr="0024468B" w:rsidRDefault="00E82A60" w:rsidP="00300A01">
            <w:pPr>
              <w:spacing w:before="0" w:after="0"/>
              <w:rPr>
                <w:sz w:val="16"/>
                <w:szCs w:val="16"/>
                <w:lang w:val="fr-BE"/>
              </w:rPr>
            </w:pPr>
            <w:r w:rsidRPr="0024468B">
              <w:rPr>
                <w:noProof/>
                <w:sz w:val="16"/>
                <w:szCs w:val="16"/>
                <w:lang w:val="fr-BE"/>
              </w:rPr>
              <w:t>CO35</w:t>
            </w:r>
          </w:p>
        </w:tc>
        <w:tc>
          <w:tcPr>
            <w:tcW w:w="0" w:type="auto"/>
            <w:shd w:val="clear" w:color="auto" w:fill="auto"/>
          </w:tcPr>
          <w:p w14:paraId="7F6793AF" w14:textId="77777777" w:rsidR="008C5CFA" w:rsidRPr="0024468B" w:rsidRDefault="00E82A60" w:rsidP="00300A01">
            <w:pPr>
              <w:spacing w:before="0" w:after="0"/>
              <w:rPr>
                <w:sz w:val="16"/>
                <w:szCs w:val="16"/>
                <w:lang w:val="fr-BE"/>
              </w:rPr>
            </w:pPr>
            <w:r w:rsidRPr="0024468B">
              <w:rPr>
                <w:noProof/>
                <w:sz w:val="16"/>
                <w:szCs w:val="16"/>
                <w:lang w:val="fr-BE"/>
              </w:rPr>
              <w:t>Opieka nad dziećmi i edukacja: Liczba miejsc w objętej wsparciem infrastrukturze w zakresie opieki nad dziećmi lub infrastrukturze edukacyjnej</w:t>
            </w:r>
          </w:p>
        </w:tc>
        <w:tc>
          <w:tcPr>
            <w:tcW w:w="0" w:type="auto"/>
          </w:tcPr>
          <w:p w14:paraId="4399A87F"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78E1D6CA"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0AFA0E9A"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360EF04E"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7625A950"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1DDD5F1F"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r w:rsidR="006B2EC1" w14:paraId="34EBD52B" w14:textId="77777777" w:rsidTr="0047688D">
        <w:tc>
          <w:tcPr>
            <w:tcW w:w="0" w:type="auto"/>
          </w:tcPr>
          <w:p w14:paraId="476468BA" w14:textId="77777777" w:rsidR="008C5CFA" w:rsidRPr="0024468B" w:rsidRDefault="00E82A60" w:rsidP="00300A01">
            <w:pPr>
              <w:spacing w:before="0" w:after="0"/>
              <w:rPr>
                <w:sz w:val="16"/>
                <w:szCs w:val="16"/>
                <w:lang w:val="fr-BE"/>
              </w:rPr>
            </w:pPr>
            <w:r>
              <w:rPr>
                <w:noProof/>
                <w:sz w:val="16"/>
                <w:szCs w:val="16"/>
                <w:lang w:val="fr-BE"/>
              </w:rPr>
              <w:t>S</w:t>
            </w:r>
          </w:p>
        </w:tc>
        <w:tc>
          <w:tcPr>
            <w:tcW w:w="0" w:type="auto"/>
            <w:shd w:val="clear" w:color="auto" w:fill="auto"/>
          </w:tcPr>
          <w:p w14:paraId="7212884D" w14:textId="77777777" w:rsidR="008C5CFA" w:rsidRPr="0024468B" w:rsidRDefault="00E82A60" w:rsidP="00300A01">
            <w:pPr>
              <w:spacing w:before="0" w:after="0"/>
              <w:rPr>
                <w:sz w:val="16"/>
                <w:szCs w:val="16"/>
                <w:lang w:val="fr-BE"/>
              </w:rPr>
            </w:pPr>
            <w:r w:rsidRPr="0024468B">
              <w:rPr>
                <w:noProof/>
                <w:sz w:val="16"/>
                <w:szCs w:val="16"/>
                <w:lang w:val="fr-BE"/>
              </w:rPr>
              <w:t>CO35</w:t>
            </w:r>
          </w:p>
        </w:tc>
        <w:tc>
          <w:tcPr>
            <w:tcW w:w="0" w:type="auto"/>
            <w:shd w:val="clear" w:color="auto" w:fill="auto"/>
          </w:tcPr>
          <w:p w14:paraId="4C03DEEB" w14:textId="77777777" w:rsidR="008C5CFA" w:rsidRPr="0024468B" w:rsidRDefault="00E82A60" w:rsidP="00300A01">
            <w:pPr>
              <w:spacing w:before="0" w:after="0"/>
              <w:rPr>
                <w:sz w:val="16"/>
                <w:szCs w:val="16"/>
                <w:lang w:val="fr-BE"/>
              </w:rPr>
            </w:pPr>
            <w:r w:rsidRPr="0024468B">
              <w:rPr>
                <w:noProof/>
                <w:sz w:val="16"/>
                <w:szCs w:val="16"/>
                <w:lang w:val="fr-BE"/>
              </w:rPr>
              <w:t>Opieka nad dziećmi i edukacja: Liczba miejsc w objętej wsparciem infrastrukturze w zakresie opieki nad dziećmi lub infrastrukturze edukacyjnej</w:t>
            </w:r>
          </w:p>
        </w:tc>
        <w:tc>
          <w:tcPr>
            <w:tcW w:w="0" w:type="auto"/>
          </w:tcPr>
          <w:p w14:paraId="4B8BBB68"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4AA15D0C"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2B7B6E27"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393D8B03"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090AB874"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7B52DCC1"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r w:rsidR="006B2EC1" w14:paraId="02DBF0CD" w14:textId="77777777" w:rsidTr="0047688D">
        <w:tc>
          <w:tcPr>
            <w:tcW w:w="0" w:type="auto"/>
          </w:tcPr>
          <w:p w14:paraId="565DB29A" w14:textId="77777777" w:rsidR="008C5CFA" w:rsidRPr="0024468B" w:rsidRDefault="00E82A60" w:rsidP="00300A01">
            <w:pPr>
              <w:spacing w:before="0" w:after="0"/>
              <w:rPr>
                <w:sz w:val="16"/>
                <w:szCs w:val="16"/>
                <w:lang w:val="fr-BE"/>
              </w:rPr>
            </w:pPr>
            <w:r>
              <w:rPr>
                <w:noProof/>
                <w:sz w:val="16"/>
                <w:szCs w:val="16"/>
                <w:lang w:val="fr-BE"/>
              </w:rPr>
              <w:t>F</w:t>
            </w:r>
          </w:p>
        </w:tc>
        <w:tc>
          <w:tcPr>
            <w:tcW w:w="0" w:type="auto"/>
            <w:shd w:val="clear" w:color="auto" w:fill="auto"/>
          </w:tcPr>
          <w:p w14:paraId="6399B1EF" w14:textId="77777777" w:rsidR="008C5CFA" w:rsidRPr="0024468B" w:rsidRDefault="00E82A60" w:rsidP="00300A01">
            <w:pPr>
              <w:spacing w:before="0" w:after="0"/>
              <w:rPr>
                <w:sz w:val="16"/>
                <w:szCs w:val="16"/>
                <w:lang w:val="fr-BE"/>
              </w:rPr>
            </w:pPr>
            <w:r>
              <w:rPr>
                <w:noProof/>
                <w:sz w:val="16"/>
                <w:szCs w:val="16"/>
                <w:lang w:val="fr-BE"/>
              </w:rPr>
              <w:t>047</w:t>
            </w:r>
          </w:p>
        </w:tc>
        <w:tc>
          <w:tcPr>
            <w:tcW w:w="0" w:type="auto"/>
            <w:shd w:val="clear" w:color="auto" w:fill="auto"/>
          </w:tcPr>
          <w:p w14:paraId="1A4BFE8F" w14:textId="77777777" w:rsidR="008C5CFA" w:rsidRPr="0024468B" w:rsidRDefault="00E82A60" w:rsidP="00300A01">
            <w:pPr>
              <w:spacing w:before="0" w:after="0"/>
              <w:rPr>
                <w:sz w:val="16"/>
                <w:szCs w:val="16"/>
                <w:lang w:val="fr-BE"/>
              </w:rPr>
            </w:pPr>
            <w:r>
              <w:rPr>
                <w:noProof/>
                <w:sz w:val="16"/>
                <w:szCs w:val="16"/>
                <w:lang w:val="fr-BE"/>
              </w:rPr>
              <w:t>Liczba obiektów infrastruktury jednostek organizacyjnych systemu oświaty</w:t>
            </w:r>
          </w:p>
        </w:tc>
        <w:tc>
          <w:tcPr>
            <w:tcW w:w="0" w:type="auto"/>
          </w:tcPr>
          <w:p w14:paraId="70717A87"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4C76914A"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7BB0B4A6"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450F2C4E"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72238AAB"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588BB642"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r w:rsidR="006B2EC1" w14:paraId="09858FC0" w14:textId="77777777" w:rsidTr="0047688D">
        <w:tc>
          <w:tcPr>
            <w:tcW w:w="0" w:type="auto"/>
          </w:tcPr>
          <w:p w14:paraId="4AB18E63" w14:textId="77777777" w:rsidR="008C5CFA" w:rsidRPr="0024468B" w:rsidRDefault="00E82A60" w:rsidP="00300A01">
            <w:pPr>
              <w:spacing w:before="0" w:after="0"/>
              <w:rPr>
                <w:sz w:val="16"/>
                <w:szCs w:val="16"/>
                <w:lang w:val="fr-BE"/>
              </w:rPr>
            </w:pPr>
            <w:r>
              <w:rPr>
                <w:noProof/>
                <w:sz w:val="16"/>
                <w:szCs w:val="16"/>
                <w:lang w:val="fr-BE"/>
              </w:rPr>
              <w:t>S</w:t>
            </w:r>
          </w:p>
        </w:tc>
        <w:tc>
          <w:tcPr>
            <w:tcW w:w="0" w:type="auto"/>
            <w:shd w:val="clear" w:color="auto" w:fill="auto"/>
          </w:tcPr>
          <w:p w14:paraId="18B0425D" w14:textId="77777777" w:rsidR="008C5CFA" w:rsidRPr="0024468B" w:rsidRDefault="00E82A60" w:rsidP="00300A01">
            <w:pPr>
              <w:spacing w:before="0" w:after="0"/>
              <w:rPr>
                <w:sz w:val="16"/>
                <w:szCs w:val="16"/>
                <w:lang w:val="fr-BE"/>
              </w:rPr>
            </w:pPr>
            <w:r>
              <w:rPr>
                <w:noProof/>
                <w:sz w:val="16"/>
                <w:szCs w:val="16"/>
                <w:lang w:val="fr-BE"/>
              </w:rPr>
              <w:t>047</w:t>
            </w:r>
          </w:p>
        </w:tc>
        <w:tc>
          <w:tcPr>
            <w:tcW w:w="0" w:type="auto"/>
            <w:shd w:val="clear" w:color="auto" w:fill="auto"/>
          </w:tcPr>
          <w:p w14:paraId="3CEE9E76" w14:textId="77777777" w:rsidR="008C5CFA" w:rsidRPr="0024468B" w:rsidRDefault="00E82A60" w:rsidP="00300A01">
            <w:pPr>
              <w:spacing w:before="0" w:after="0"/>
              <w:rPr>
                <w:sz w:val="16"/>
                <w:szCs w:val="16"/>
                <w:lang w:val="fr-BE"/>
              </w:rPr>
            </w:pPr>
            <w:r>
              <w:rPr>
                <w:noProof/>
                <w:sz w:val="16"/>
                <w:szCs w:val="16"/>
                <w:lang w:val="fr-BE"/>
              </w:rPr>
              <w:t>Liczba obiektów infrastruktury jednostek organizacyjnych systemu oświaty</w:t>
            </w:r>
          </w:p>
        </w:tc>
        <w:tc>
          <w:tcPr>
            <w:tcW w:w="0" w:type="auto"/>
          </w:tcPr>
          <w:p w14:paraId="2941E2F2"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5FAC1BBA"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68B0A927"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5C561D4D"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6EAEEE88"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4801D642"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r w:rsidR="006B2EC1" w14:paraId="1F5CF232" w14:textId="77777777" w:rsidTr="0047688D">
        <w:tc>
          <w:tcPr>
            <w:tcW w:w="0" w:type="auto"/>
          </w:tcPr>
          <w:p w14:paraId="63E87032" w14:textId="77777777" w:rsidR="008C5CFA" w:rsidRPr="0024468B" w:rsidRDefault="00E82A60" w:rsidP="00300A01">
            <w:pPr>
              <w:spacing w:before="0" w:after="0"/>
              <w:rPr>
                <w:sz w:val="16"/>
                <w:szCs w:val="16"/>
                <w:lang w:val="fr-BE"/>
              </w:rPr>
            </w:pPr>
            <w:r>
              <w:rPr>
                <w:noProof/>
                <w:sz w:val="16"/>
                <w:szCs w:val="16"/>
                <w:lang w:val="fr-BE"/>
              </w:rPr>
              <w:t>F</w:t>
            </w:r>
          </w:p>
        </w:tc>
        <w:tc>
          <w:tcPr>
            <w:tcW w:w="0" w:type="auto"/>
            <w:shd w:val="clear" w:color="auto" w:fill="auto"/>
          </w:tcPr>
          <w:p w14:paraId="672517E3" w14:textId="77777777" w:rsidR="008C5CFA" w:rsidRPr="0024468B" w:rsidRDefault="00E82A60" w:rsidP="00300A01">
            <w:pPr>
              <w:spacing w:before="0" w:after="0"/>
              <w:rPr>
                <w:sz w:val="16"/>
                <w:szCs w:val="16"/>
                <w:lang w:val="fr-BE"/>
              </w:rPr>
            </w:pPr>
            <w:r>
              <w:rPr>
                <w:noProof/>
                <w:sz w:val="16"/>
                <w:szCs w:val="16"/>
                <w:lang w:val="fr-BE"/>
              </w:rPr>
              <w:t>048</w:t>
            </w:r>
          </w:p>
        </w:tc>
        <w:tc>
          <w:tcPr>
            <w:tcW w:w="0" w:type="auto"/>
            <w:shd w:val="clear" w:color="auto" w:fill="auto"/>
          </w:tcPr>
          <w:p w14:paraId="1512449F" w14:textId="77777777" w:rsidR="008C5CFA" w:rsidRPr="0024468B" w:rsidRDefault="00E82A60" w:rsidP="00300A01">
            <w:pPr>
              <w:spacing w:before="0" w:after="0"/>
              <w:rPr>
                <w:sz w:val="16"/>
                <w:szCs w:val="16"/>
                <w:lang w:val="fr-BE"/>
              </w:rPr>
            </w:pPr>
            <w:r>
              <w:rPr>
                <w:noProof/>
                <w:sz w:val="16"/>
                <w:szCs w:val="16"/>
                <w:lang w:val="fr-BE"/>
              </w:rPr>
              <w:t>Liczba wspartych przedszkoli i innych placówek wychowania przedszkolnego</w:t>
            </w:r>
          </w:p>
        </w:tc>
        <w:tc>
          <w:tcPr>
            <w:tcW w:w="0" w:type="auto"/>
          </w:tcPr>
          <w:p w14:paraId="78DF437A"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282C969C"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519A98BE"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32E28219"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36A5C117"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0FED5830"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r w:rsidR="006B2EC1" w14:paraId="4C272B63" w14:textId="77777777" w:rsidTr="0047688D">
        <w:tc>
          <w:tcPr>
            <w:tcW w:w="0" w:type="auto"/>
          </w:tcPr>
          <w:p w14:paraId="4BC429F3" w14:textId="77777777" w:rsidR="008C5CFA" w:rsidRPr="0024468B" w:rsidRDefault="00E82A60" w:rsidP="00300A01">
            <w:pPr>
              <w:spacing w:before="0" w:after="0"/>
              <w:rPr>
                <w:sz w:val="16"/>
                <w:szCs w:val="16"/>
                <w:lang w:val="fr-BE"/>
              </w:rPr>
            </w:pPr>
            <w:r>
              <w:rPr>
                <w:noProof/>
                <w:sz w:val="16"/>
                <w:szCs w:val="16"/>
                <w:lang w:val="fr-BE"/>
              </w:rPr>
              <w:t>S</w:t>
            </w:r>
          </w:p>
        </w:tc>
        <w:tc>
          <w:tcPr>
            <w:tcW w:w="0" w:type="auto"/>
            <w:shd w:val="clear" w:color="auto" w:fill="auto"/>
          </w:tcPr>
          <w:p w14:paraId="3F8A3B8D" w14:textId="77777777" w:rsidR="008C5CFA" w:rsidRPr="0024468B" w:rsidRDefault="00E82A60" w:rsidP="00300A01">
            <w:pPr>
              <w:spacing w:before="0" w:after="0"/>
              <w:rPr>
                <w:sz w:val="16"/>
                <w:szCs w:val="16"/>
                <w:lang w:val="fr-BE"/>
              </w:rPr>
            </w:pPr>
            <w:r>
              <w:rPr>
                <w:noProof/>
                <w:sz w:val="16"/>
                <w:szCs w:val="16"/>
                <w:lang w:val="fr-BE"/>
              </w:rPr>
              <w:t>048</w:t>
            </w:r>
          </w:p>
        </w:tc>
        <w:tc>
          <w:tcPr>
            <w:tcW w:w="0" w:type="auto"/>
            <w:shd w:val="clear" w:color="auto" w:fill="auto"/>
          </w:tcPr>
          <w:p w14:paraId="351B55C2" w14:textId="77777777" w:rsidR="008C5CFA" w:rsidRPr="0024468B" w:rsidRDefault="00E82A60" w:rsidP="00300A01">
            <w:pPr>
              <w:spacing w:before="0" w:after="0"/>
              <w:rPr>
                <w:sz w:val="16"/>
                <w:szCs w:val="16"/>
                <w:lang w:val="fr-BE"/>
              </w:rPr>
            </w:pPr>
            <w:r>
              <w:rPr>
                <w:noProof/>
                <w:sz w:val="16"/>
                <w:szCs w:val="16"/>
                <w:lang w:val="fr-BE"/>
              </w:rPr>
              <w:t>Liczba wspartych przedszkoli i innych placówek wychowania przedszkolnego</w:t>
            </w:r>
          </w:p>
        </w:tc>
        <w:tc>
          <w:tcPr>
            <w:tcW w:w="0" w:type="auto"/>
          </w:tcPr>
          <w:p w14:paraId="74B5BC87"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7B0E8B10"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tcPr>
          <w:p w14:paraId="77F9E71C"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49241894"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08CFC5E7"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25E7E41E"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r>
    </w:tbl>
    <w:p w14:paraId="15B862AA" w14:textId="77777777" w:rsidR="008C5CFA" w:rsidRDefault="008C5CFA" w:rsidP="00300A01">
      <w:pPr>
        <w:spacing w:before="0" w:after="0"/>
        <w:rPr>
          <w:lang w:val="fr-BE"/>
        </w:rPr>
      </w:pPr>
    </w:p>
    <w:p w14:paraId="5DADC43C" w14:textId="77777777" w:rsidR="008C5CFA" w:rsidRDefault="008C5CFA" w:rsidP="00300A01">
      <w:pPr>
        <w:spacing w:before="0" w:after="0"/>
        <w:rPr>
          <w:lang w:val="fr-BE"/>
        </w:rPr>
      </w:pPr>
    </w:p>
    <w:p w14:paraId="6E4E1FA4" w14:textId="77777777" w:rsidR="008C5CFA" w:rsidRDefault="00E82A60" w:rsidP="00300A01">
      <w:pPr>
        <w:spacing w:before="0" w:after="0"/>
        <w:rPr>
          <w:lang w:val="fr-BE"/>
        </w:rPr>
      </w:pPr>
      <w:r>
        <w:rPr>
          <w:lang w:val="fr-BE"/>
        </w:rPr>
        <w:br w:type="page"/>
      </w:r>
    </w:p>
    <w:p w14:paraId="4620BB5B"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3"/>
        <w:gridCol w:w="13251"/>
      </w:tblGrid>
      <w:tr w:rsidR="006B2EC1" w14:paraId="7AA16D2E" w14:textId="77777777" w:rsidTr="0047688D">
        <w:tc>
          <w:tcPr>
            <w:tcW w:w="0" w:type="auto"/>
            <w:shd w:val="clear" w:color="auto" w:fill="auto"/>
          </w:tcPr>
          <w:p w14:paraId="70C077BC" w14:textId="77777777" w:rsidR="008C5CFA" w:rsidRPr="002124FC" w:rsidRDefault="00E82A60" w:rsidP="00300A01">
            <w:pPr>
              <w:spacing w:before="0" w:after="0"/>
              <w:rPr>
                <w:sz w:val="20"/>
                <w:szCs w:val="20"/>
                <w:lang w:val="fr-BE"/>
              </w:rPr>
            </w:pPr>
            <w:r>
              <w:rPr>
                <w:lang w:val="fr-BE"/>
              </w:rPr>
              <w:br w:type="page"/>
            </w:r>
            <w:r>
              <w:rPr>
                <w:lang w:val="fr-BE"/>
              </w:rPr>
              <w:br w:type="page"/>
            </w:r>
            <w:r>
              <w:rPr>
                <w:lang w:val="fr-BE"/>
              </w:rPr>
              <w:br w:type="page"/>
            </w:r>
            <w:r w:rsidRPr="002124FC">
              <w:rPr>
                <w:noProof/>
                <w:sz w:val="20"/>
                <w:szCs w:val="20"/>
                <w:lang w:val="fr-BE"/>
              </w:rPr>
              <w:t>Oś priorytetowa</w:t>
            </w:r>
          </w:p>
        </w:tc>
        <w:tc>
          <w:tcPr>
            <w:tcW w:w="0" w:type="auto"/>
            <w:shd w:val="clear" w:color="auto" w:fill="auto"/>
          </w:tcPr>
          <w:p w14:paraId="22BE53CC" w14:textId="77777777" w:rsidR="008C5CFA" w:rsidRPr="002124FC" w:rsidRDefault="00E82A60" w:rsidP="00300A01">
            <w:pPr>
              <w:spacing w:before="0" w:after="0"/>
              <w:rPr>
                <w:sz w:val="20"/>
                <w:szCs w:val="20"/>
                <w:lang w:val="fr-BE"/>
              </w:rPr>
            </w:pPr>
            <w:r>
              <w:rPr>
                <w:noProof/>
                <w:sz w:val="20"/>
                <w:szCs w:val="20"/>
                <w:lang w:val="fr-BE"/>
              </w:rPr>
              <w:t>7</w:t>
            </w:r>
            <w:r w:rsidRPr="002124FC">
              <w:rPr>
                <w:sz w:val="20"/>
                <w:szCs w:val="20"/>
                <w:lang w:val="fr-BE"/>
              </w:rPr>
              <w:t xml:space="preserve"> - </w:t>
            </w:r>
            <w:r>
              <w:rPr>
                <w:noProof/>
                <w:sz w:val="20"/>
                <w:szCs w:val="20"/>
                <w:lang w:val="fr-BE"/>
              </w:rPr>
              <w:t>Sprawne usługi publiczne</w:t>
            </w:r>
          </w:p>
        </w:tc>
      </w:tr>
      <w:tr w:rsidR="006B2EC1" w14:paraId="7A33CBE4" w14:textId="77777777" w:rsidTr="0047688D">
        <w:tc>
          <w:tcPr>
            <w:tcW w:w="0" w:type="auto"/>
            <w:shd w:val="clear" w:color="auto" w:fill="auto"/>
          </w:tcPr>
          <w:p w14:paraId="1DE68722" w14:textId="77777777" w:rsidR="008C5CFA" w:rsidRPr="002124FC" w:rsidRDefault="00E82A60"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14:paraId="2FDADBEC" w14:textId="77777777" w:rsidR="008C5CFA" w:rsidRPr="002124FC" w:rsidRDefault="00E82A60" w:rsidP="00300A01">
            <w:pPr>
              <w:spacing w:before="0" w:after="0"/>
              <w:rPr>
                <w:sz w:val="20"/>
                <w:szCs w:val="20"/>
                <w:lang w:val="fr-BE"/>
              </w:rPr>
            </w:pPr>
            <w:r w:rsidRPr="002124FC">
              <w:rPr>
                <w:noProof/>
                <w:sz w:val="20"/>
                <w:szCs w:val="20"/>
                <w:lang w:val="fr-BE"/>
              </w:rPr>
              <w:t>10a</w:t>
            </w:r>
            <w:r w:rsidRPr="002124FC">
              <w:rPr>
                <w:sz w:val="20"/>
                <w:szCs w:val="20"/>
                <w:lang w:val="fr-BE"/>
              </w:rPr>
              <w:t xml:space="preserve"> - </w:t>
            </w:r>
            <w:r>
              <w:rPr>
                <w:noProof/>
                <w:sz w:val="20"/>
                <w:szCs w:val="20"/>
                <w:lang w:val="fr-BE"/>
              </w:rPr>
              <w:t>Inwestycje w kształcenie, szkolenie oraz szkolenie zawodowe na rzecz zdobywania umiejętności i uczenia się przez całe życie poprzez rozwój infrastruktury szkoleniowej i edukacyjnej</w:t>
            </w:r>
          </w:p>
        </w:tc>
      </w:tr>
      <w:tr w:rsidR="006B2EC1" w14:paraId="25A912BE" w14:textId="77777777" w:rsidTr="0047688D">
        <w:tc>
          <w:tcPr>
            <w:tcW w:w="0" w:type="auto"/>
            <w:shd w:val="clear" w:color="auto" w:fill="auto"/>
          </w:tcPr>
          <w:p w14:paraId="3021DDE5" w14:textId="77777777" w:rsidR="008C5CFA" w:rsidRPr="002124FC" w:rsidRDefault="00E82A60" w:rsidP="00300A01">
            <w:pPr>
              <w:spacing w:before="0" w:after="0"/>
              <w:ind w:left="113" w:hanging="113"/>
              <w:rPr>
                <w:sz w:val="20"/>
                <w:szCs w:val="20"/>
                <w:lang w:val="fr-BE"/>
              </w:rPr>
            </w:pPr>
            <w:r>
              <w:rPr>
                <w:noProof/>
                <w:sz w:val="20"/>
                <w:szCs w:val="20"/>
                <w:lang w:val="fr-BE"/>
              </w:rPr>
              <w:t>Cel szczegółowy</w:t>
            </w:r>
          </w:p>
        </w:tc>
        <w:tc>
          <w:tcPr>
            <w:tcW w:w="0" w:type="auto"/>
            <w:shd w:val="clear" w:color="auto" w:fill="auto"/>
          </w:tcPr>
          <w:p w14:paraId="1E4A5B9B" w14:textId="77777777" w:rsidR="008C5CFA" w:rsidRPr="002124FC" w:rsidRDefault="00E82A60" w:rsidP="00300A01">
            <w:pPr>
              <w:spacing w:before="0" w:after="0"/>
              <w:rPr>
                <w:sz w:val="20"/>
                <w:szCs w:val="20"/>
                <w:lang w:val="fr-BE"/>
              </w:rPr>
            </w:pPr>
            <w:r>
              <w:rPr>
                <w:noProof/>
                <w:sz w:val="20"/>
                <w:szCs w:val="20"/>
                <w:lang w:val="fr-BE"/>
              </w:rPr>
              <w:t>1</w:t>
            </w:r>
            <w:r>
              <w:rPr>
                <w:sz w:val="20"/>
                <w:szCs w:val="20"/>
                <w:lang w:val="fr-BE"/>
              </w:rPr>
              <w:t xml:space="preserve"> - </w:t>
            </w:r>
            <w:r>
              <w:rPr>
                <w:noProof/>
                <w:sz w:val="20"/>
                <w:szCs w:val="20"/>
                <w:lang w:val="fr-BE"/>
              </w:rPr>
              <w:t>Poprawiona dostępność infrastruktury szkolnictwa zawodowego oraz szkół</w:t>
            </w:r>
          </w:p>
        </w:tc>
      </w:tr>
    </w:tbl>
    <w:p w14:paraId="6240B6CC" w14:textId="77777777" w:rsidR="008C5CFA" w:rsidRDefault="008C5CFA" w:rsidP="00300A01">
      <w:pPr>
        <w:spacing w:before="0" w:after="0"/>
        <w:rPr>
          <w:lang w:val="fr-BE"/>
        </w:rPr>
      </w:pPr>
    </w:p>
    <w:p w14:paraId="67B19DA7" w14:textId="77777777" w:rsidR="008C5CFA" w:rsidRDefault="00E82A60" w:rsidP="00300A01">
      <w:pPr>
        <w:spacing w:before="0" w:after="0"/>
        <w:rPr>
          <w:lang w:val="fr-BE"/>
        </w:rPr>
      </w:pPr>
      <w:r>
        <w:rPr>
          <w:lang w:val="fr-BE"/>
        </w:rPr>
        <w:t xml:space="preserve">Tabela 1: Wskaźniki rezultatu dla EFRR i Funduszu Spójności (według osi priorytetowej i celu szczegółowego); ma zastosowanie także do osi priorytetowej </w:t>
      </w:r>
      <w:r>
        <w:t>"</w:t>
      </w:r>
      <w:r>
        <w:rPr>
          <w:lang w:val="fr-BE"/>
        </w:rPr>
        <w:t>Pomoc techniczna</w:t>
      </w:r>
      <w:r>
        <w:t>"</w:t>
      </w:r>
    </w:p>
    <w:p w14:paraId="23F9FEF0"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
        <w:gridCol w:w="5444"/>
        <w:gridCol w:w="977"/>
        <w:gridCol w:w="1043"/>
        <w:gridCol w:w="915"/>
        <w:gridCol w:w="810"/>
        <w:gridCol w:w="1121"/>
        <w:gridCol w:w="844"/>
        <w:gridCol w:w="1066"/>
        <w:gridCol w:w="2507"/>
      </w:tblGrid>
      <w:tr w:rsidR="006B2EC1" w14:paraId="084271E2" w14:textId="77777777" w:rsidTr="0047688D">
        <w:tc>
          <w:tcPr>
            <w:tcW w:w="0" w:type="auto"/>
            <w:shd w:val="clear" w:color="auto" w:fill="auto"/>
          </w:tcPr>
          <w:p w14:paraId="48B60CE9" w14:textId="77777777" w:rsidR="008C5CFA" w:rsidRPr="0024468B" w:rsidRDefault="00E82A60" w:rsidP="00300A01">
            <w:pPr>
              <w:spacing w:before="0" w:after="0"/>
              <w:rPr>
                <w:sz w:val="16"/>
                <w:szCs w:val="16"/>
                <w:lang w:val="fr-BE"/>
              </w:rPr>
            </w:pPr>
            <w:r w:rsidRPr="0024468B">
              <w:rPr>
                <w:noProof/>
                <w:sz w:val="16"/>
                <w:szCs w:val="16"/>
                <w:lang w:val="fr-BE"/>
              </w:rPr>
              <w:t>ID</w:t>
            </w:r>
          </w:p>
        </w:tc>
        <w:tc>
          <w:tcPr>
            <w:tcW w:w="0" w:type="auto"/>
            <w:shd w:val="clear" w:color="auto" w:fill="auto"/>
          </w:tcPr>
          <w:p w14:paraId="0B1A2AAD" w14:textId="77777777" w:rsidR="008C5CFA" w:rsidRPr="0024468B" w:rsidRDefault="00E82A60" w:rsidP="00300A01">
            <w:pPr>
              <w:spacing w:before="0" w:after="0"/>
              <w:rPr>
                <w:sz w:val="16"/>
                <w:szCs w:val="16"/>
                <w:lang w:val="fr-BE"/>
              </w:rPr>
            </w:pPr>
            <w:r w:rsidRPr="0024468B">
              <w:rPr>
                <w:noProof/>
                <w:sz w:val="16"/>
                <w:szCs w:val="16"/>
                <w:lang w:val="fr-BE"/>
              </w:rPr>
              <w:t>Wskaźnik</w:t>
            </w:r>
          </w:p>
        </w:tc>
        <w:tc>
          <w:tcPr>
            <w:tcW w:w="0" w:type="auto"/>
            <w:shd w:val="clear" w:color="auto" w:fill="auto"/>
          </w:tcPr>
          <w:p w14:paraId="05E3F522" w14:textId="77777777" w:rsidR="008C5CFA" w:rsidRPr="0024468B" w:rsidRDefault="00E82A60" w:rsidP="00300A01">
            <w:pPr>
              <w:spacing w:before="0" w:after="0"/>
              <w:rPr>
                <w:sz w:val="16"/>
                <w:szCs w:val="16"/>
                <w:lang w:val="fr-BE"/>
              </w:rPr>
            </w:pPr>
            <w:r w:rsidRPr="0024468B">
              <w:rPr>
                <w:noProof/>
                <w:sz w:val="16"/>
                <w:szCs w:val="16"/>
                <w:lang w:val="fr-BE"/>
              </w:rPr>
              <w:t>Jednostka miary</w:t>
            </w:r>
          </w:p>
        </w:tc>
        <w:tc>
          <w:tcPr>
            <w:tcW w:w="0" w:type="auto"/>
            <w:shd w:val="clear" w:color="auto" w:fill="auto"/>
          </w:tcPr>
          <w:p w14:paraId="153FDB5E" w14:textId="77777777" w:rsidR="008C5CFA" w:rsidRPr="0024468B" w:rsidRDefault="00E82A60" w:rsidP="00300A01">
            <w:pPr>
              <w:spacing w:before="0" w:after="0"/>
              <w:rPr>
                <w:sz w:val="16"/>
                <w:szCs w:val="16"/>
                <w:lang w:val="fr-BE"/>
              </w:rPr>
            </w:pPr>
            <w:r w:rsidRPr="0024468B">
              <w:rPr>
                <w:noProof/>
                <w:sz w:val="16"/>
                <w:szCs w:val="16"/>
                <w:lang w:val="fr-BE"/>
              </w:rPr>
              <w:t>Kategoria regionu</w:t>
            </w:r>
          </w:p>
        </w:tc>
        <w:tc>
          <w:tcPr>
            <w:tcW w:w="0" w:type="auto"/>
            <w:shd w:val="clear" w:color="auto" w:fill="auto"/>
          </w:tcPr>
          <w:p w14:paraId="4DCF5999" w14:textId="77777777" w:rsidR="008C5CFA" w:rsidRPr="0024468B" w:rsidRDefault="00E82A60" w:rsidP="00300A01">
            <w:pPr>
              <w:spacing w:before="0" w:after="0"/>
              <w:rPr>
                <w:sz w:val="16"/>
                <w:szCs w:val="16"/>
                <w:lang w:val="fr-BE"/>
              </w:rPr>
            </w:pPr>
            <w:r w:rsidRPr="0024468B">
              <w:rPr>
                <w:noProof/>
                <w:sz w:val="16"/>
                <w:szCs w:val="16"/>
                <w:lang w:val="fr-BE"/>
              </w:rPr>
              <w:t>Wartość bazowa</w:t>
            </w:r>
          </w:p>
        </w:tc>
        <w:tc>
          <w:tcPr>
            <w:tcW w:w="0" w:type="auto"/>
            <w:shd w:val="clear" w:color="auto" w:fill="auto"/>
          </w:tcPr>
          <w:p w14:paraId="26AD221E" w14:textId="77777777" w:rsidR="008C5CFA" w:rsidRPr="0024468B" w:rsidRDefault="00E82A60" w:rsidP="00300A01">
            <w:pPr>
              <w:spacing w:before="0" w:after="0"/>
              <w:rPr>
                <w:sz w:val="16"/>
                <w:szCs w:val="16"/>
                <w:lang w:val="fr-BE"/>
              </w:rPr>
            </w:pPr>
            <w:r w:rsidRPr="0024468B">
              <w:rPr>
                <w:noProof/>
                <w:sz w:val="16"/>
                <w:szCs w:val="16"/>
                <w:lang w:val="fr-BE"/>
              </w:rPr>
              <w:t>Rok bazowy</w:t>
            </w:r>
          </w:p>
        </w:tc>
        <w:tc>
          <w:tcPr>
            <w:tcW w:w="0" w:type="auto"/>
            <w:shd w:val="clear" w:color="auto" w:fill="auto"/>
          </w:tcPr>
          <w:p w14:paraId="5B02A313" w14:textId="77777777" w:rsidR="008C5CFA" w:rsidRPr="0024468B" w:rsidRDefault="00E82A60" w:rsidP="00300A01">
            <w:pPr>
              <w:spacing w:before="0" w:after="0"/>
              <w:rPr>
                <w:sz w:val="16"/>
                <w:szCs w:val="16"/>
                <w:lang w:val="fr-BE"/>
              </w:rPr>
            </w:pPr>
            <w:r w:rsidRPr="0024468B">
              <w:rPr>
                <w:noProof/>
                <w:sz w:val="16"/>
                <w:szCs w:val="16"/>
                <w:lang w:val="fr-BE"/>
              </w:rPr>
              <w:t>Wartość docelowa 2023</w:t>
            </w:r>
          </w:p>
        </w:tc>
        <w:tc>
          <w:tcPr>
            <w:tcW w:w="0" w:type="auto"/>
            <w:shd w:val="clear" w:color="auto" w:fill="auto"/>
          </w:tcPr>
          <w:p w14:paraId="0F37095D" w14:textId="77777777" w:rsidR="008C5CFA" w:rsidRPr="0024468B" w:rsidRDefault="00E82A60" w:rsidP="00300A01">
            <w:pPr>
              <w:spacing w:before="0" w:after="0"/>
              <w:jc w:val="center"/>
              <w:rPr>
                <w:sz w:val="16"/>
                <w:szCs w:val="16"/>
                <w:lang w:val="fr-BE"/>
              </w:rPr>
            </w:pPr>
            <w:r>
              <w:rPr>
                <w:sz w:val="16"/>
                <w:szCs w:val="16"/>
                <w:lang w:val="fr-BE"/>
              </w:rPr>
              <w:t xml:space="preserve">2019 </w:t>
            </w:r>
            <w:r>
              <w:rPr>
                <w:noProof/>
                <w:sz w:val="16"/>
                <w:szCs w:val="16"/>
                <w:lang w:val="fr-BE"/>
              </w:rPr>
              <w:t>Ogółem</w:t>
            </w:r>
          </w:p>
        </w:tc>
        <w:tc>
          <w:tcPr>
            <w:tcW w:w="0" w:type="auto"/>
            <w:shd w:val="clear" w:color="auto" w:fill="auto"/>
          </w:tcPr>
          <w:p w14:paraId="4D6EF91F" w14:textId="77777777" w:rsidR="008C5CFA" w:rsidRPr="0024468B" w:rsidRDefault="00E82A60" w:rsidP="00300A01">
            <w:pPr>
              <w:spacing w:before="0" w:after="0"/>
              <w:jc w:val="center"/>
              <w:rPr>
                <w:sz w:val="16"/>
                <w:szCs w:val="16"/>
                <w:lang w:val="fr-BE"/>
              </w:rPr>
            </w:pPr>
            <w:r>
              <w:rPr>
                <w:sz w:val="16"/>
                <w:szCs w:val="16"/>
                <w:lang w:val="fr-BE"/>
              </w:rPr>
              <w:t xml:space="preserve">2019 </w:t>
            </w:r>
            <w:r w:rsidRPr="0024468B">
              <w:rPr>
                <w:noProof/>
                <w:sz w:val="16"/>
                <w:szCs w:val="16"/>
                <w:lang w:val="fr-BE"/>
              </w:rPr>
              <w:t>Jakościowe</w:t>
            </w:r>
          </w:p>
        </w:tc>
        <w:tc>
          <w:tcPr>
            <w:tcW w:w="0" w:type="auto"/>
            <w:shd w:val="clear" w:color="auto" w:fill="auto"/>
          </w:tcPr>
          <w:p w14:paraId="3557E6EA" w14:textId="77777777" w:rsidR="008C5CFA" w:rsidRPr="0024468B" w:rsidRDefault="00E82A60" w:rsidP="00300A01">
            <w:pPr>
              <w:spacing w:before="0" w:after="0"/>
              <w:jc w:val="center"/>
              <w:rPr>
                <w:sz w:val="16"/>
                <w:szCs w:val="16"/>
                <w:lang w:val="fr-BE"/>
              </w:rPr>
            </w:pPr>
            <w:r w:rsidRPr="0024468B">
              <w:rPr>
                <w:noProof/>
                <w:sz w:val="16"/>
                <w:szCs w:val="16"/>
                <w:lang w:val="fr-BE"/>
              </w:rPr>
              <w:t>Uwagi</w:t>
            </w:r>
          </w:p>
        </w:tc>
      </w:tr>
      <w:tr w:rsidR="006B2EC1" w14:paraId="006651C9" w14:textId="77777777" w:rsidTr="0047688D">
        <w:tc>
          <w:tcPr>
            <w:tcW w:w="0" w:type="auto"/>
            <w:shd w:val="clear" w:color="auto" w:fill="auto"/>
          </w:tcPr>
          <w:p w14:paraId="78179A87" w14:textId="77777777" w:rsidR="008C5CFA" w:rsidRPr="0024468B" w:rsidRDefault="00E82A60" w:rsidP="00300A01">
            <w:pPr>
              <w:spacing w:before="0" w:after="0"/>
              <w:rPr>
                <w:sz w:val="16"/>
                <w:szCs w:val="16"/>
                <w:lang w:val="fr-BE"/>
              </w:rPr>
            </w:pPr>
            <w:r w:rsidRPr="0024468B">
              <w:rPr>
                <w:noProof/>
                <w:sz w:val="16"/>
                <w:szCs w:val="16"/>
                <w:lang w:val="fr-BE"/>
              </w:rPr>
              <w:t>058</w:t>
            </w:r>
          </w:p>
        </w:tc>
        <w:tc>
          <w:tcPr>
            <w:tcW w:w="0" w:type="auto"/>
            <w:shd w:val="clear" w:color="auto" w:fill="auto"/>
          </w:tcPr>
          <w:p w14:paraId="3C902C6C" w14:textId="77777777" w:rsidR="008C5CFA" w:rsidRPr="0024468B" w:rsidRDefault="00E82A60" w:rsidP="00300A01">
            <w:pPr>
              <w:spacing w:before="0" w:after="0"/>
              <w:rPr>
                <w:sz w:val="16"/>
                <w:szCs w:val="16"/>
                <w:lang w:val="fr-BE"/>
              </w:rPr>
            </w:pPr>
            <w:r w:rsidRPr="0024468B">
              <w:rPr>
                <w:noProof/>
                <w:sz w:val="16"/>
                <w:szCs w:val="16"/>
                <w:lang w:val="fr-BE"/>
              </w:rPr>
              <w:t xml:space="preserve">Udział absolwentów zasadniczych szkół zawodowych oraz techników w ogólnej liczbie absolwentów szkół ponadgimnazjalnych (zasadniczych szkół zawodowych, techników i liceów ogólnokształcących) </w:t>
            </w:r>
            <w:r w:rsidRPr="0024468B">
              <w:rPr>
                <w:noProof/>
                <w:sz w:val="16"/>
                <w:szCs w:val="16"/>
                <w:lang w:val="fr-BE"/>
              </w:rPr>
              <w:tab/>
              <w:t>%</w:t>
            </w:r>
          </w:p>
        </w:tc>
        <w:tc>
          <w:tcPr>
            <w:tcW w:w="0" w:type="auto"/>
            <w:shd w:val="clear" w:color="auto" w:fill="auto"/>
          </w:tcPr>
          <w:p w14:paraId="0204FCFC" w14:textId="77777777" w:rsidR="008C5CFA" w:rsidRPr="0024468B" w:rsidRDefault="00E82A60" w:rsidP="00300A01">
            <w:pPr>
              <w:spacing w:before="0" w:after="0"/>
              <w:rPr>
                <w:sz w:val="16"/>
                <w:szCs w:val="16"/>
                <w:lang w:val="fr-BE"/>
              </w:rPr>
            </w:pPr>
            <w:r w:rsidRPr="0024468B">
              <w:rPr>
                <w:noProof/>
                <w:sz w:val="16"/>
                <w:szCs w:val="16"/>
                <w:lang w:val="fr-BE"/>
              </w:rPr>
              <w:t>%</w:t>
            </w:r>
          </w:p>
        </w:tc>
        <w:tc>
          <w:tcPr>
            <w:tcW w:w="0" w:type="auto"/>
            <w:shd w:val="clear" w:color="auto" w:fill="auto"/>
          </w:tcPr>
          <w:p w14:paraId="146A098B" w14:textId="77777777" w:rsidR="008C5CFA" w:rsidRPr="0024468B" w:rsidRDefault="00E82A60"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14:paraId="42FCE39A" w14:textId="77777777" w:rsidR="008C5CFA" w:rsidRPr="00C3185A" w:rsidRDefault="00E82A60" w:rsidP="00300A01">
            <w:pPr>
              <w:spacing w:before="0" w:after="0"/>
              <w:jc w:val="right"/>
              <w:rPr>
                <w:sz w:val="16"/>
                <w:szCs w:val="16"/>
                <w:lang w:val="fr-BE"/>
              </w:rPr>
            </w:pPr>
            <w:r w:rsidRPr="00C3185A">
              <w:rPr>
                <w:noProof/>
                <w:sz w:val="16"/>
                <w:szCs w:val="16"/>
                <w:lang w:val="fr-BE"/>
              </w:rPr>
              <w:t>50,20</w:t>
            </w:r>
          </w:p>
        </w:tc>
        <w:tc>
          <w:tcPr>
            <w:tcW w:w="0" w:type="auto"/>
            <w:shd w:val="clear" w:color="auto" w:fill="auto"/>
          </w:tcPr>
          <w:p w14:paraId="7AB46E12" w14:textId="77777777" w:rsidR="008C5CFA" w:rsidRPr="0024468B" w:rsidRDefault="00E82A60" w:rsidP="00300A01">
            <w:pPr>
              <w:spacing w:before="0" w:after="0"/>
              <w:rPr>
                <w:sz w:val="16"/>
                <w:szCs w:val="16"/>
                <w:lang w:val="fr-BE"/>
              </w:rPr>
            </w:pPr>
            <w:r w:rsidRPr="0024468B">
              <w:rPr>
                <w:noProof/>
                <w:sz w:val="16"/>
                <w:szCs w:val="16"/>
                <w:lang w:val="fr-BE"/>
              </w:rPr>
              <w:t>2012</w:t>
            </w:r>
          </w:p>
        </w:tc>
        <w:tc>
          <w:tcPr>
            <w:tcW w:w="0" w:type="auto"/>
            <w:shd w:val="clear" w:color="auto" w:fill="auto"/>
          </w:tcPr>
          <w:p w14:paraId="76EFB4A7" w14:textId="77777777" w:rsidR="008C5CFA" w:rsidRPr="0024468B" w:rsidRDefault="00E82A60" w:rsidP="00300A01">
            <w:pPr>
              <w:spacing w:before="0" w:after="0"/>
              <w:jc w:val="right"/>
              <w:rPr>
                <w:sz w:val="16"/>
                <w:szCs w:val="16"/>
                <w:lang w:val="fr-BE"/>
              </w:rPr>
            </w:pPr>
            <w:r w:rsidRPr="0024468B">
              <w:rPr>
                <w:noProof/>
                <w:sz w:val="16"/>
                <w:szCs w:val="16"/>
                <w:lang w:val="fr-BE"/>
              </w:rPr>
              <w:t>51,90</w:t>
            </w:r>
          </w:p>
        </w:tc>
        <w:tc>
          <w:tcPr>
            <w:tcW w:w="0" w:type="auto"/>
            <w:shd w:val="clear" w:color="auto" w:fill="auto"/>
          </w:tcPr>
          <w:p w14:paraId="64F25E48"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4117D47C" w14:textId="77777777" w:rsidR="008C5CFA" w:rsidRPr="0024468B" w:rsidRDefault="008C5CFA" w:rsidP="00300A01">
            <w:pPr>
              <w:spacing w:before="0" w:after="0"/>
              <w:jc w:val="right"/>
              <w:rPr>
                <w:sz w:val="16"/>
                <w:szCs w:val="16"/>
                <w:lang w:val="fr-BE"/>
              </w:rPr>
            </w:pPr>
          </w:p>
        </w:tc>
        <w:tc>
          <w:tcPr>
            <w:tcW w:w="0" w:type="auto"/>
            <w:shd w:val="clear" w:color="auto" w:fill="auto"/>
          </w:tcPr>
          <w:p w14:paraId="4A3F7B34" w14:textId="77777777" w:rsidR="008C5CFA" w:rsidRPr="0024468B" w:rsidRDefault="00E82A60" w:rsidP="00300A01">
            <w:pPr>
              <w:spacing w:before="0" w:after="0"/>
              <w:rPr>
                <w:sz w:val="16"/>
                <w:szCs w:val="16"/>
                <w:lang w:val="fr-BE"/>
              </w:rPr>
            </w:pPr>
            <w:r w:rsidRPr="0024468B">
              <w:rPr>
                <w:noProof/>
                <w:sz w:val="16"/>
                <w:szCs w:val="16"/>
                <w:lang w:val="fr-BE"/>
              </w:rPr>
              <w:t>Brak aktualnych danych dostępnych w statystykach publicznych (systemie STRATEG)</w:t>
            </w:r>
          </w:p>
        </w:tc>
      </w:tr>
    </w:tbl>
    <w:p w14:paraId="705C41F7"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6777"/>
        <w:gridCol w:w="882"/>
        <w:gridCol w:w="1105"/>
        <w:gridCol w:w="883"/>
        <w:gridCol w:w="1105"/>
        <w:gridCol w:w="883"/>
        <w:gridCol w:w="1105"/>
        <w:gridCol w:w="883"/>
        <w:gridCol w:w="1105"/>
      </w:tblGrid>
      <w:tr w:rsidR="006B2EC1" w14:paraId="132160EF" w14:textId="77777777" w:rsidTr="0047688D">
        <w:tc>
          <w:tcPr>
            <w:tcW w:w="0" w:type="auto"/>
            <w:shd w:val="clear" w:color="auto" w:fill="auto"/>
          </w:tcPr>
          <w:p w14:paraId="1E5B988B" w14:textId="77777777" w:rsidR="008C5CFA" w:rsidRPr="0024468B" w:rsidRDefault="00E82A60" w:rsidP="00300A01">
            <w:pPr>
              <w:spacing w:before="0" w:after="0"/>
              <w:rPr>
                <w:sz w:val="16"/>
                <w:szCs w:val="16"/>
                <w:lang w:val="fr-BE"/>
              </w:rPr>
            </w:pPr>
            <w:r w:rsidRPr="0024468B">
              <w:rPr>
                <w:noProof/>
                <w:sz w:val="16"/>
                <w:szCs w:val="16"/>
                <w:lang w:val="fr-BE"/>
              </w:rPr>
              <w:t>ID</w:t>
            </w:r>
          </w:p>
        </w:tc>
        <w:tc>
          <w:tcPr>
            <w:tcW w:w="0" w:type="auto"/>
            <w:shd w:val="clear" w:color="auto" w:fill="auto"/>
          </w:tcPr>
          <w:p w14:paraId="3AF7DF71" w14:textId="77777777" w:rsidR="008C5CFA" w:rsidRPr="0024468B" w:rsidRDefault="00E82A60" w:rsidP="00300A01">
            <w:pPr>
              <w:spacing w:before="0" w:after="0"/>
              <w:rPr>
                <w:sz w:val="16"/>
                <w:szCs w:val="16"/>
                <w:lang w:val="fr-BE"/>
              </w:rPr>
            </w:pPr>
            <w:r w:rsidRPr="0024468B">
              <w:rPr>
                <w:noProof/>
                <w:sz w:val="16"/>
                <w:szCs w:val="16"/>
                <w:lang w:val="fr-BE"/>
              </w:rPr>
              <w:t>Wskaźnik</w:t>
            </w:r>
          </w:p>
        </w:tc>
        <w:tc>
          <w:tcPr>
            <w:tcW w:w="0" w:type="auto"/>
          </w:tcPr>
          <w:p w14:paraId="5243CED0" w14:textId="77777777" w:rsidR="008C5CFA" w:rsidRPr="0024468B" w:rsidRDefault="00E82A60" w:rsidP="00300A01">
            <w:pPr>
              <w:spacing w:before="0" w:after="0"/>
              <w:jc w:val="center"/>
              <w:rPr>
                <w:sz w:val="16"/>
                <w:szCs w:val="16"/>
                <w:lang w:val="fr-BE"/>
              </w:rPr>
            </w:pPr>
            <w:r>
              <w:rPr>
                <w:sz w:val="16"/>
                <w:szCs w:val="16"/>
                <w:lang w:val="fr-BE"/>
              </w:rPr>
              <w:t xml:space="preserve">2018 </w:t>
            </w:r>
            <w:r>
              <w:rPr>
                <w:noProof/>
                <w:sz w:val="16"/>
                <w:szCs w:val="16"/>
                <w:lang w:val="fr-BE"/>
              </w:rPr>
              <w:t>Ogółem</w:t>
            </w:r>
          </w:p>
        </w:tc>
        <w:tc>
          <w:tcPr>
            <w:tcW w:w="0" w:type="auto"/>
          </w:tcPr>
          <w:p w14:paraId="0E61D676" w14:textId="77777777" w:rsidR="008C5CFA" w:rsidRPr="0024468B" w:rsidRDefault="00E82A60" w:rsidP="00300A01">
            <w:pPr>
              <w:spacing w:before="0" w:after="0"/>
              <w:jc w:val="center"/>
              <w:rPr>
                <w:sz w:val="16"/>
                <w:szCs w:val="16"/>
                <w:lang w:val="fr-BE"/>
              </w:rPr>
            </w:pPr>
            <w:r>
              <w:rPr>
                <w:sz w:val="16"/>
                <w:szCs w:val="16"/>
                <w:lang w:val="fr-BE"/>
              </w:rPr>
              <w:t xml:space="preserve">2018 </w:t>
            </w:r>
            <w:r w:rsidRPr="0024468B">
              <w:rPr>
                <w:noProof/>
                <w:sz w:val="16"/>
                <w:szCs w:val="16"/>
                <w:lang w:val="fr-BE"/>
              </w:rPr>
              <w:t>Jakościowe</w:t>
            </w:r>
          </w:p>
        </w:tc>
        <w:tc>
          <w:tcPr>
            <w:tcW w:w="0" w:type="auto"/>
          </w:tcPr>
          <w:p w14:paraId="5A6D18A0" w14:textId="77777777" w:rsidR="008C5CFA" w:rsidRPr="0024468B" w:rsidRDefault="00E82A60" w:rsidP="00300A01">
            <w:pPr>
              <w:spacing w:before="0" w:after="0"/>
              <w:jc w:val="center"/>
              <w:rPr>
                <w:sz w:val="16"/>
                <w:szCs w:val="16"/>
                <w:lang w:val="fr-BE"/>
              </w:rPr>
            </w:pPr>
            <w:r>
              <w:rPr>
                <w:sz w:val="16"/>
                <w:szCs w:val="16"/>
                <w:lang w:val="fr-BE"/>
              </w:rPr>
              <w:t xml:space="preserve">2017 </w:t>
            </w:r>
            <w:r>
              <w:rPr>
                <w:noProof/>
                <w:sz w:val="16"/>
                <w:szCs w:val="16"/>
                <w:lang w:val="fr-BE"/>
              </w:rPr>
              <w:t>Ogółem</w:t>
            </w:r>
          </w:p>
        </w:tc>
        <w:tc>
          <w:tcPr>
            <w:tcW w:w="0" w:type="auto"/>
          </w:tcPr>
          <w:p w14:paraId="26568EF7" w14:textId="77777777" w:rsidR="008C5CFA" w:rsidRPr="0024468B" w:rsidRDefault="00E82A60" w:rsidP="00300A01">
            <w:pPr>
              <w:spacing w:before="0" w:after="0"/>
              <w:jc w:val="center"/>
              <w:rPr>
                <w:sz w:val="16"/>
                <w:szCs w:val="16"/>
                <w:lang w:val="fr-BE"/>
              </w:rPr>
            </w:pPr>
            <w:r>
              <w:rPr>
                <w:sz w:val="16"/>
                <w:szCs w:val="16"/>
                <w:lang w:val="fr-BE"/>
              </w:rPr>
              <w:t xml:space="preserve">2017 </w:t>
            </w:r>
            <w:r w:rsidRPr="0024468B">
              <w:rPr>
                <w:noProof/>
                <w:sz w:val="16"/>
                <w:szCs w:val="16"/>
                <w:lang w:val="fr-BE"/>
              </w:rPr>
              <w:t>Jakościowe</w:t>
            </w:r>
          </w:p>
        </w:tc>
        <w:tc>
          <w:tcPr>
            <w:tcW w:w="0" w:type="auto"/>
          </w:tcPr>
          <w:p w14:paraId="61B74F3A" w14:textId="77777777" w:rsidR="008C5CFA" w:rsidRPr="0024468B" w:rsidRDefault="00E82A60" w:rsidP="00300A01">
            <w:pPr>
              <w:spacing w:before="0" w:after="0"/>
              <w:jc w:val="center"/>
              <w:rPr>
                <w:sz w:val="16"/>
                <w:szCs w:val="16"/>
                <w:lang w:val="fr-BE"/>
              </w:rPr>
            </w:pPr>
            <w:r>
              <w:rPr>
                <w:sz w:val="16"/>
                <w:szCs w:val="16"/>
                <w:lang w:val="fr-BE"/>
              </w:rPr>
              <w:t xml:space="preserve">2016 </w:t>
            </w:r>
            <w:r>
              <w:rPr>
                <w:noProof/>
                <w:sz w:val="16"/>
                <w:szCs w:val="16"/>
                <w:lang w:val="fr-BE"/>
              </w:rPr>
              <w:t>Ogółem</w:t>
            </w:r>
          </w:p>
        </w:tc>
        <w:tc>
          <w:tcPr>
            <w:tcW w:w="0" w:type="auto"/>
          </w:tcPr>
          <w:p w14:paraId="5067586F" w14:textId="77777777" w:rsidR="008C5CFA" w:rsidRPr="0024468B" w:rsidRDefault="00E82A60" w:rsidP="00300A01">
            <w:pPr>
              <w:spacing w:before="0" w:after="0"/>
              <w:jc w:val="center"/>
              <w:rPr>
                <w:sz w:val="16"/>
                <w:szCs w:val="16"/>
                <w:lang w:val="fr-BE"/>
              </w:rPr>
            </w:pPr>
            <w:r>
              <w:rPr>
                <w:sz w:val="16"/>
                <w:szCs w:val="16"/>
                <w:lang w:val="fr-BE"/>
              </w:rPr>
              <w:t xml:space="preserve">2016 </w:t>
            </w:r>
            <w:r w:rsidRPr="0024468B">
              <w:rPr>
                <w:noProof/>
                <w:sz w:val="16"/>
                <w:szCs w:val="16"/>
                <w:lang w:val="fr-BE"/>
              </w:rPr>
              <w:t>Jakościowe</w:t>
            </w:r>
          </w:p>
        </w:tc>
        <w:tc>
          <w:tcPr>
            <w:tcW w:w="0" w:type="auto"/>
          </w:tcPr>
          <w:p w14:paraId="27B87789" w14:textId="77777777" w:rsidR="008C5CFA" w:rsidRPr="0024468B" w:rsidRDefault="00E82A60" w:rsidP="00300A01">
            <w:pPr>
              <w:spacing w:before="0" w:after="0"/>
              <w:jc w:val="center"/>
              <w:rPr>
                <w:sz w:val="16"/>
                <w:szCs w:val="16"/>
                <w:lang w:val="fr-BE"/>
              </w:rPr>
            </w:pPr>
            <w:r>
              <w:rPr>
                <w:sz w:val="16"/>
                <w:szCs w:val="16"/>
                <w:lang w:val="fr-BE"/>
              </w:rPr>
              <w:t xml:space="preserve">2015 </w:t>
            </w:r>
            <w:r>
              <w:rPr>
                <w:noProof/>
                <w:sz w:val="16"/>
                <w:szCs w:val="16"/>
                <w:lang w:val="fr-BE"/>
              </w:rPr>
              <w:t>Ogółem</w:t>
            </w:r>
          </w:p>
        </w:tc>
        <w:tc>
          <w:tcPr>
            <w:tcW w:w="0" w:type="auto"/>
          </w:tcPr>
          <w:p w14:paraId="6ACE9B1C" w14:textId="77777777" w:rsidR="008C5CFA" w:rsidRPr="0024468B" w:rsidRDefault="00E82A60" w:rsidP="00300A01">
            <w:pPr>
              <w:spacing w:before="0" w:after="0"/>
              <w:jc w:val="center"/>
              <w:rPr>
                <w:sz w:val="16"/>
                <w:szCs w:val="16"/>
                <w:lang w:val="fr-BE"/>
              </w:rPr>
            </w:pPr>
            <w:r>
              <w:rPr>
                <w:sz w:val="16"/>
                <w:szCs w:val="16"/>
                <w:lang w:val="fr-BE"/>
              </w:rPr>
              <w:t xml:space="preserve">2015 </w:t>
            </w:r>
            <w:r w:rsidRPr="0024468B">
              <w:rPr>
                <w:noProof/>
                <w:sz w:val="16"/>
                <w:szCs w:val="16"/>
                <w:lang w:val="fr-BE"/>
              </w:rPr>
              <w:t>Jakościowe</w:t>
            </w:r>
          </w:p>
        </w:tc>
      </w:tr>
      <w:tr w:rsidR="006B2EC1" w14:paraId="1C06ED42" w14:textId="77777777" w:rsidTr="0047688D">
        <w:tc>
          <w:tcPr>
            <w:tcW w:w="0" w:type="auto"/>
            <w:shd w:val="clear" w:color="auto" w:fill="auto"/>
          </w:tcPr>
          <w:p w14:paraId="029069B3" w14:textId="77777777" w:rsidR="008C5CFA" w:rsidRPr="0024468B" w:rsidRDefault="00E82A60" w:rsidP="00300A01">
            <w:pPr>
              <w:spacing w:before="0" w:after="0"/>
              <w:rPr>
                <w:sz w:val="16"/>
                <w:szCs w:val="16"/>
                <w:lang w:val="fr-BE"/>
              </w:rPr>
            </w:pPr>
            <w:r w:rsidRPr="0024468B">
              <w:rPr>
                <w:noProof/>
                <w:sz w:val="16"/>
                <w:szCs w:val="16"/>
                <w:lang w:val="fr-BE"/>
              </w:rPr>
              <w:t>058</w:t>
            </w:r>
          </w:p>
        </w:tc>
        <w:tc>
          <w:tcPr>
            <w:tcW w:w="0" w:type="auto"/>
            <w:shd w:val="clear" w:color="auto" w:fill="auto"/>
          </w:tcPr>
          <w:p w14:paraId="7933A654" w14:textId="77777777" w:rsidR="008C5CFA" w:rsidRPr="0024468B" w:rsidRDefault="00E82A60" w:rsidP="00300A01">
            <w:pPr>
              <w:spacing w:before="0" w:after="0"/>
              <w:rPr>
                <w:sz w:val="16"/>
                <w:szCs w:val="16"/>
                <w:lang w:val="fr-BE"/>
              </w:rPr>
            </w:pPr>
            <w:r w:rsidRPr="0024468B">
              <w:rPr>
                <w:noProof/>
                <w:sz w:val="16"/>
                <w:szCs w:val="16"/>
                <w:lang w:val="fr-BE"/>
              </w:rPr>
              <w:t xml:space="preserve">Udział absolwentów zasadniczych szkół zawodowych oraz techników w ogólnej liczbie absolwentów szkół ponadgimnazjalnych (zasadniczych szkół zawodowych, techników i liceów ogólnokształcących) </w:t>
            </w:r>
            <w:r w:rsidRPr="0024468B">
              <w:rPr>
                <w:noProof/>
                <w:sz w:val="16"/>
                <w:szCs w:val="16"/>
                <w:lang w:val="fr-BE"/>
              </w:rPr>
              <w:tab/>
              <w:t>%</w:t>
            </w:r>
          </w:p>
        </w:tc>
        <w:tc>
          <w:tcPr>
            <w:tcW w:w="0" w:type="auto"/>
          </w:tcPr>
          <w:p w14:paraId="4D80EE76" w14:textId="77777777" w:rsidR="008C5CFA" w:rsidRPr="0024468B" w:rsidRDefault="00E82A60" w:rsidP="00300A01">
            <w:pPr>
              <w:spacing w:before="0" w:after="0"/>
              <w:jc w:val="right"/>
              <w:rPr>
                <w:sz w:val="16"/>
                <w:szCs w:val="16"/>
                <w:lang w:val="fr-BE"/>
              </w:rPr>
            </w:pPr>
            <w:r w:rsidRPr="0024468B">
              <w:rPr>
                <w:noProof/>
                <w:sz w:val="16"/>
                <w:szCs w:val="16"/>
                <w:lang w:val="fr-BE"/>
              </w:rPr>
              <w:t>51,90</w:t>
            </w:r>
          </w:p>
        </w:tc>
        <w:tc>
          <w:tcPr>
            <w:tcW w:w="0" w:type="auto"/>
          </w:tcPr>
          <w:p w14:paraId="6648FEB4" w14:textId="77777777" w:rsidR="008C5CFA" w:rsidRPr="0024468B" w:rsidRDefault="008C5CFA" w:rsidP="00300A01">
            <w:pPr>
              <w:spacing w:before="0" w:after="0"/>
              <w:jc w:val="right"/>
              <w:rPr>
                <w:sz w:val="16"/>
                <w:szCs w:val="16"/>
                <w:lang w:val="fr-BE"/>
              </w:rPr>
            </w:pPr>
          </w:p>
        </w:tc>
        <w:tc>
          <w:tcPr>
            <w:tcW w:w="0" w:type="auto"/>
          </w:tcPr>
          <w:p w14:paraId="1960376E" w14:textId="77777777" w:rsidR="008C5CFA" w:rsidRPr="0024468B" w:rsidRDefault="00E82A60" w:rsidP="00300A01">
            <w:pPr>
              <w:spacing w:before="0" w:after="0"/>
              <w:jc w:val="right"/>
              <w:rPr>
                <w:sz w:val="16"/>
                <w:szCs w:val="16"/>
                <w:lang w:val="fr-BE"/>
              </w:rPr>
            </w:pPr>
            <w:r w:rsidRPr="0024468B">
              <w:rPr>
                <w:noProof/>
                <w:sz w:val="16"/>
                <w:szCs w:val="16"/>
                <w:lang w:val="fr-BE"/>
              </w:rPr>
              <w:t>51,10</w:t>
            </w:r>
          </w:p>
        </w:tc>
        <w:tc>
          <w:tcPr>
            <w:tcW w:w="0" w:type="auto"/>
          </w:tcPr>
          <w:p w14:paraId="1B3B29FD" w14:textId="77777777" w:rsidR="008C5CFA" w:rsidRPr="0024468B" w:rsidRDefault="008C5CFA" w:rsidP="00300A01">
            <w:pPr>
              <w:spacing w:before="0" w:after="0"/>
              <w:jc w:val="right"/>
              <w:rPr>
                <w:sz w:val="16"/>
                <w:szCs w:val="16"/>
                <w:lang w:val="fr-BE"/>
              </w:rPr>
            </w:pPr>
          </w:p>
        </w:tc>
        <w:tc>
          <w:tcPr>
            <w:tcW w:w="0" w:type="auto"/>
          </w:tcPr>
          <w:p w14:paraId="47C69D23" w14:textId="77777777" w:rsidR="008C5CFA" w:rsidRPr="0024468B" w:rsidRDefault="00E82A60" w:rsidP="00300A01">
            <w:pPr>
              <w:spacing w:before="0" w:after="0"/>
              <w:jc w:val="right"/>
              <w:rPr>
                <w:sz w:val="16"/>
                <w:szCs w:val="16"/>
                <w:lang w:val="fr-BE"/>
              </w:rPr>
            </w:pPr>
            <w:r w:rsidRPr="0024468B">
              <w:rPr>
                <w:noProof/>
                <w:sz w:val="16"/>
                <w:szCs w:val="16"/>
                <w:lang w:val="fr-BE"/>
              </w:rPr>
              <w:t>50,10</w:t>
            </w:r>
          </w:p>
        </w:tc>
        <w:tc>
          <w:tcPr>
            <w:tcW w:w="0" w:type="auto"/>
          </w:tcPr>
          <w:p w14:paraId="29871378" w14:textId="77777777" w:rsidR="008C5CFA" w:rsidRPr="0024468B" w:rsidRDefault="008C5CFA" w:rsidP="00300A01">
            <w:pPr>
              <w:spacing w:before="0" w:after="0"/>
              <w:jc w:val="right"/>
              <w:rPr>
                <w:sz w:val="16"/>
                <w:szCs w:val="16"/>
                <w:lang w:val="fr-BE"/>
              </w:rPr>
            </w:pPr>
          </w:p>
        </w:tc>
        <w:tc>
          <w:tcPr>
            <w:tcW w:w="0" w:type="auto"/>
          </w:tcPr>
          <w:p w14:paraId="3E02AE92" w14:textId="77777777" w:rsidR="008C5CFA" w:rsidRPr="0024468B" w:rsidRDefault="00E82A60" w:rsidP="00300A01">
            <w:pPr>
              <w:spacing w:before="0" w:after="0"/>
              <w:jc w:val="right"/>
              <w:rPr>
                <w:sz w:val="16"/>
                <w:szCs w:val="16"/>
                <w:lang w:val="fr-BE"/>
              </w:rPr>
            </w:pPr>
            <w:r w:rsidRPr="0024468B">
              <w:rPr>
                <w:noProof/>
                <w:sz w:val="16"/>
                <w:szCs w:val="16"/>
                <w:lang w:val="fr-BE"/>
              </w:rPr>
              <w:t>49,10</w:t>
            </w:r>
          </w:p>
        </w:tc>
        <w:tc>
          <w:tcPr>
            <w:tcW w:w="0" w:type="auto"/>
          </w:tcPr>
          <w:p w14:paraId="07EFF7ED" w14:textId="77777777" w:rsidR="008C5CFA" w:rsidRPr="0024468B" w:rsidRDefault="008C5CFA" w:rsidP="00300A01">
            <w:pPr>
              <w:spacing w:before="0" w:after="0"/>
              <w:jc w:val="right"/>
              <w:rPr>
                <w:sz w:val="16"/>
                <w:szCs w:val="16"/>
                <w:lang w:val="fr-BE"/>
              </w:rPr>
            </w:pPr>
          </w:p>
        </w:tc>
      </w:tr>
    </w:tbl>
    <w:p w14:paraId="50C8AC41"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
        <w:gridCol w:w="12415"/>
        <w:gridCol w:w="1045"/>
        <w:gridCol w:w="1267"/>
      </w:tblGrid>
      <w:tr w:rsidR="006B2EC1" w14:paraId="1535DDA3" w14:textId="77777777" w:rsidTr="0047688D">
        <w:tc>
          <w:tcPr>
            <w:tcW w:w="0" w:type="auto"/>
            <w:shd w:val="clear" w:color="auto" w:fill="auto"/>
          </w:tcPr>
          <w:p w14:paraId="3D852B0E" w14:textId="77777777" w:rsidR="008C5CFA" w:rsidRPr="0024468B" w:rsidRDefault="00E82A60" w:rsidP="00300A01">
            <w:pPr>
              <w:spacing w:before="0" w:after="0"/>
              <w:rPr>
                <w:sz w:val="16"/>
                <w:szCs w:val="16"/>
                <w:lang w:val="fr-BE"/>
              </w:rPr>
            </w:pPr>
            <w:r w:rsidRPr="0024468B">
              <w:rPr>
                <w:noProof/>
                <w:sz w:val="16"/>
                <w:szCs w:val="16"/>
                <w:lang w:val="fr-BE"/>
              </w:rPr>
              <w:t>ID</w:t>
            </w:r>
          </w:p>
        </w:tc>
        <w:tc>
          <w:tcPr>
            <w:tcW w:w="0" w:type="auto"/>
            <w:shd w:val="clear" w:color="auto" w:fill="auto"/>
          </w:tcPr>
          <w:p w14:paraId="38D19213" w14:textId="77777777" w:rsidR="008C5CFA" w:rsidRPr="0024468B" w:rsidRDefault="00E82A60" w:rsidP="00300A01">
            <w:pPr>
              <w:spacing w:before="0" w:after="0"/>
              <w:rPr>
                <w:sz w:val="16"/>
                <w:szCs w:val="16"/>
                <w:lang w:val="fr-BE"/>
              </w:rPr>
            </w:pPr>
            <w:r w:rsidRPr="0024468B">
              <w:rPr>
                <w:noProof/>
                <w:sz w:val="16"/>
                <w:szCs w:val="16"/>
                <w:lang w:val="fr-BE"/>
              </w:rPr>
              <w:t>Wskaźnik</w:t>
            </w:r>
          </w:p>
        </w:tc>
        <w:tc>
          <w:tcPr>
            <w:tcW w:w="0" w:type="auto"/>
            <w:shd w:val="clear" w:color="auto" w:fill="auto"/>
          </w:tcPr>
          <w:p w14:paraId="5ADDC282" w14:textId="77777777" w:rsidR="008C5CFA" w:rsidRPr="0024468B" w:rsidRDefault="00E82A60" w:rsidP="00300A01">
            <w:pPr>
              <w:spacing w:before="0" w:after="0"/>
              <w:jc w:val="center"/>
              <w:rPr>
                <w:sz w:val="16"/>
                <w:szCs w:val="16"/>
                <w:lang w:val="fr-BE"/>
              </w:rPr>
            </w:pPr>
            <w:r>
              <w:rPr>
                <w:sz w:val="16"/>
                <w:szCs w:val="16"/>
                <w:lang w:val="fr-BE"/>
              </w:rPr>
              <w:t xml:space="preserve">2014 </w:t>
            </w:r>
            <w:r>
              <w:rPr>
                <w:noProof/>
                <w:sz w:val="16"/>
                <w:szCs w:val="16"/>
                <w:lang w:val="fr-BE"/>
              </w:rPr>
              <w:t>Ogółem</w:t>
            </w:r>
          </w:p>
        </w:tc>
        <w:tc>
          <w:tcPr>
            <w:tcW w:w="0" w:type="auto"/>
            <w:shd w:val="clear" w:color="auto" w:fill="auto"/>
          </w:tcPr>
          <w:p w14:paraId="087BECBE" w14:textId="77777777" w:rsidR="008C5CFA" w:rsidRPr="0024468B" w:rsidRDefault="00E82A60" w:rsidP="00300A01">
            <w:pPr>
              <w:spacing w:before="0" w:after="0"/>
              <w:jc w:val="center"/>
              <w:rPr>
                <w:sz w:val="16"/>
                <w:szCs w:val="16"/>
                <w:lang w:val="fr-BE"/>
              </w:rPr>
            </w:pPr>
            <w:r>
              <w:rPr>
                <w:sz w:val="16"/>
                <w:szCs w:val="16"/>
                <w:lang w:val="fr-BE"/>
              </w:rPr>
              <w:t xml:space="preserve">2014 </w:t>
            </w:r>
            <w:r w:rsidRPr="0024468B">
              <w:rPr>
                <w:noProof/>
                <w:sz w:val="16"/>
                <w:szCs w:val="16"/>
                <w:lang w:val="fr-BE"/>
              </w:rPr>
              <w:t>Jakościowe</w:t>
            </w:r>
          </w:p>
        </w:tc>
      </w:tr>
      <w:tr w:rsidR="006B2EC1" w14:paraId="1C164E13" w14:textId="77777777" w:rsidTr="0047688D">
        <w:tc>
          <w:tcPr>
            <w:tcW w:w="0" w:type="auto"/>
            <w:shd w:val="clear" w:color="auto" w:fill="auto"/>
          </w:tcPr>
          <w:p w14:paraId="4E847AEC" w14:textId="77777777" w:rsidR="008C5CFA" w:rsidRPr="0024468B" w:rsidRDefault="00E82A60" w:rsidP="00300A01">
            <w:pPr>
              <w:spacing w:before="0" w:after="0"/>
              <w:rPr>
                <w:sz w:val="16"/>
                <w:szCs w:val="16"/>
                <w:lang w:val="fr-BE"/>
              </w:rPr>
            </w:pPr>
            <w:r w:rsidRPr="0024468B">
              <w:rPr>
                <w:noProof/>
                <w:sz w:val="16"/>
                <w:szCs w:val="16"/>
                <w:lang w:val="fr-BE"/>
              </w:rPr>
              <w:t>058</w:t>
            </w:r>
          </w:p>
        </w:tc>
        <w:tc>
          <w:tcPr>
            <w:tcW w:w="0" w:type="auto"/>
            <w:shd w:val="clear" w:color="auto" w:fill="auto"/>
          </w:tcPr>
          <w:p w14:paraId="4B6C9F3A" w14:textId="77777777" w:rsidR="008C5CFA" w:rsidRPr="0024468B" w:rsidRDefault="00E82A60" w:rsidP="00300A01">
            <w:pPr>
              <w:spacing w:before="0" w:after="0"/>
              <w:rPr>
                <w:sz w:val="16"/>
                <w:szCs w:val="16"/>
                <w:lang w:val="fr-BE"/>
              </w:rPr>
            </w:pPr>
            <w:r w:rsidRPr="0024468B">
              <w:rPr>
                <w:noProof/>
                <w:sz w:val="16"/>
                <w:szCs w:val="16"/>
                <w:lang w:val="fr-BE"/>
              </w:rPr>
              <w:t xml:space="preserve">Udział absolwentów zasadniczych szkół zawodowych oraz techników w ogólnej liczbie absolwentów szkół ponadgimnazjalnych (zasadniczych szkół zawodowych, techników i liceów ogólnokształcących) </w:t>
            </w:r>
            <w:r w:rsidRPr="0024468B">
              <w:rPr>
                <w:noProof/>
                <w:sz w:val="16"/>
                <w:szCs w:val="16"/>
                <w:lang w:val="fr-BE"/>
              </w:rPr>
              <w:tab/>
              <w:t>%</w:t>
            </w:r>
          </w:p>
        </w:tc>
        <w:tc>
          <w:tcPr>
            <w:tcW w:w="0" w:type="auto"/>
            <w:shd w:val="clear" w:color="auto" w:fill="auto"/>
          </w:tcPr>
          <w:p w14:paraId="212558B4" w14:textId="77777777" w:rsidR="008C5CFA" w:rsidRPr="0024468B" w:rsidRDefault="00E82A60" w:rsidP="00300A01">
            <w:pPr>
              <w:spacing w:before="0" w:after="0"/>
              <w:jc w:val="right"/>
              <w:rPr>
                <w:sz w:val="16"/>
                <w:szCs w:val="16"/>
                <w:lang w:val="fr-BE"/>
              </w:rPr>
            </w:pPr>
            <w:r w:rsidRPr="0024468B">
              <w:rPr>
                <w:noProof/>
                <w:sz w:val="16"/>
                <w:szCs w:val="16"/>
                <w:lang w:val="fr-BE"/>
              </w:rPr>
              <w:t>46,40</w:t>
            </w:r>
          </w:p>
        </w:tc>
        <w:tc>
          <w:tcPr>
            <w:tcW w:w="0" w:type="auto"/>
            <w:shd w:val="clear" w:color="auto" w:fill="auto"/>
          </w:tcPr>
          <w:p w14:paraId="30C8A2B2" w14:textId="77777777" w:rsidR="008C5CFA" w:rsidRPr="0024468B" w:rsidRDefault="008C5CFA" w:rsidP="00300A01">
            <w:pPr>
              <w:spacing w:before="0" w:after="0"/>
              <w:jc w:val="right"/>
              <w:rPr>
                <w:sz w:val="16"/>
                <w:szCs w:val="16"/>
                <w:lang w:val="fr-BE"/>
              </w:rPr>
            </w:pPr>
          </w:p>
        </w:tc>
      </w:tr>
    </w:tbl>
    <w:p w14:paraId="1EBDE65A" w14:textId="77777777" w:rsidR="008C5CFA" w:rsidRDefault="008C5CFA" w:rsidP="00300A01">
      <w:pPr>
        <w:spacing w:before="0" w:after="0"/>
        <w:rPr>
          <w:lang w:val="fr-BE"/>
        </w:rPr>
      </w:pPr>
    </w:p>
    <w:p w14:paraId="763ACE0E" w14:textId="77777777" w:rsidR="008C5CFA" w:rsidRDefault="00E82A60" w:rsidP="00300A01">
      <w:pPr>
        <w:spacing w:before="0" w:after="0"/>
        <w:rPr>
          <w:lang w:val="fr-BE"/>
        </w:rPr>
      </w:pPr>
      <w:r>
        <w:rPr>
          <w:lang w:val="fr-BE"/>
        </w:rPr>
        <w:br w:type="page"/>
      </w:r>
    </w:p>
    <w:p w14:paraId="48FFD43D"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3"/>
        <w:gridCol w:w="13251"/>
      </w:tblGrid>
      <w:tr w:rsidR="006B2EC1" w14:paraId="1E0C72A1" w14:textId="77777777" w:rsidTr="0047688D">
        <w:tc>
          <w:tcPr>
            <w:tcW w:w="0" w:type="auto"/>
            <w:shd w:val="clear" w:color="auto" w:fill="auto"/>
          </w:tcPr>
          <w:p w14:paraId="197E0A65" w14:textId="77777777" w:rsidR="008C5CFA" w:rsidRPr="002124FC" w:rsidRDefault="00E82A60" w:rsidP="00300A01">
            <w:pPr>
              <w:spacing w:before="0" w:after="0"/>
              <w:rPr>
                <w:sz w:val="20"/>
                <w:szCs w:val="20"/>
                <w:lang w:val="fr-BE"/>
              </w:rPr>
            </w:pPr>
            <w:r>
              <w:rPr>
                <w:lang w:val="fr-BE"/>
              </w:rPr>
              <w:br w:type="page"/>
            </w:r>
            <w:r>
              <w:rPr>
                <w:lang w:val="fr-BE"/>
              </w:rPr>
              <w:br w:type="page"/>
            </w:r>
            <w:r>
              <w:rPr>
                <w:lang w:val="fr-BE"/>
              </w:rPr>
              <w:br w:type="page"/>
            </w:r>
            <w:r w:rsidRPr="002124FC">
              <w:rPr>
                <w:noProof/>
                <w:sz w:val="20"/>
                <w:szCs w:val="20"/>
                <w:lang w:val="fr-BE"/>
              </w:rPr>
              <w:t>Oś priorytetowa</w:t>
            </w:r>
          </w:p>
        </w:tc>
        <w:tc>
          <w:tcPr>
            <w:tcW w:w="0" w:type="auto"/>
            <w:shd w:val="clear" w:color="auto" w:fill="auto"/>
          </w:tcPr>
          <w:p w14:paraId="13617D31" w14:textId="77777777" w:rsidR="008C5CFA" w:rsidRPr="002124FC" w:rsidRDefault="00E82A60" w:rsidP="00300A01">
            <w:pPr>
              <w:spacing w:before="0" w:after="0"/>
              <w:rPr>
                <w:sz w:val="20"/>
                <w:szCs w:val="20"/>
                <w:lang w:val="fr-BE"/>
              </w:rPr>
            </w:pPr>
            <w:r>
              <w:rPr>
                <w:noProof/>
                <w:sz w:val="20"/>
                <w:szCs w:val="20"/>
                <w:lang w:val="fr-BE"/>
              </w:rPr>
              <w:t>7</w:t>
            </w:r>
            <w:r w:rsidRPr="002124FC">
              <w:rPr>
                <w:sz w:val="20"/>
                <w:szCs w:val="20"/>
                <w:lang w:val="fr-BE"/>
              </w:rPr>
              <w:t xml:space="preserve"> - </w:t>
            </w:r>
            <w:r>
              <w:rPr>
                <w:noProof/>
                <w:sz w:val="20"/>
                <w:szCs w:val="20"/>
                <w:lang w:val="fr-BE"/>
              </w:rPr>
              <w:t>Sprawne usługi publiczne</w:t>
            </w:r>
          </w:p>
        </w:tc>
      </w:tr>
      <w:tr w:rsidR="006B2EC1" w14:paraId="09391488" w14:textId="77777777" w:rsidTr="0047688D">
        <w:tc>
          <w:tcPr>
            <w:tcW w:w="0" w:type="auto"/>
            <w:shd w:val="clear" w:color="auto" w:fill="auto"/>
          </w:tcPr>
          <w:p w14:paraId="5E965C4F" w14:textId="77777777" w:rsidR="008C5CFA" w:rsidRPr="002124FC" w:rsidRDefault="00E82A60"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14:paraId="49602A06" w14:textId="77777777" w:rsidR="008C5CFA" w:rsidRPr="002124FC" w:rsidRDefault="00E82A60" w:rsidP="00300A01">
            <w:pPr>
              <w:spacing w:before="0" w:after="0"/>
              <w:rPr>
                <w:sz w:val="20"/>
                <w:szCs w:val="20"/>
                <w:lang w:val="fr-BE"/>
              </w:rPr>
            </w:pPr>
            <w:r w:rsidRPr="002124FC">
              <w:rPr>
                <w:noProof/>
                <w:sz w:val="20"/>
                <w:szCs w:val="20"/>
                <w:lang w:val="fr-BE"/>
              </w:rPr>
              <w:t>10a</w:t>
            </w:r>
            <w:r w:rsidRPr="002124FC">
              <w:rPr>
                <w:sz w:val="20"/>
                <w:szCs w:val="20"/>
                <w:lang w:val="fr-BE"/>
              </w:rPr>
              <w:t xml:space="preserve"> - </w:t>
            </w:r>
            <w:r>
              <w:rPr>
                <w:noProof/>
                <w:sz w:val="20"/>
                <w:szCs w:val="20"/>
                <w:lang w:val="fr-BE"/>
              </w:rPr>
              <w:t>Inwestycje w kształcenie, szkolenie oraz szkolenie zawodowe na rzecz zdobywania umiejętności i uczenia się przez całe życie poprzez rozwój infrastruktury szkoleniowej i edukacyjnej</w:t>
            </w:r>
          </w:p>
        </w:tc>
      </w:tr>
      <w:tr w:rsidR="006B2EC1" w14:paraId="229E8FC9" w14:textId="77777777" w:rsidTr="0047688D">
        <w:tc>
          <w:tcPr>
            <w:tcW w:w="0" w:type="auto"/>
            <w:shd w:val="clear" w:color="auto" w:fill="auto"/>
          </w:tcPr>
          <w:p w14:paraId="6DD54B8B" w14:textId="77777777" w:rsidR="008C5CFA" w:rsidRPr="002124FC" w:rsidRDefault="00E82A60" w:rsidP="00300A01">
            <w:pPr>
              <w:spacing w:before="0" w:after="0"/>
              <w:ind w:left="113" w:hanging="113"/>
              <w:rPr>
                <w:sz w:val="20"/>
                <w:szCs w:val="20"/>
                <w:lang w:val="fr-BE"/>
              </w:rPr>
            </w:pPr>
            <w:r>
              <w:rPr>
                <w:noProof/>
                <w:sz w:val="20"/>
                <w:szCs w:val="20"/>
                <w:lang w:val="fr-BE"/>
              </w:rPr>
              <w:t>Cel szczegółowy</w:t>
            </w:r>
          </w:p>
        </w:tc>
        <w:tc>
          <w:tcPr>
            <w:tcW w:w="0" w:type="auto"/>
            <w:shd w:val="clear" w:color="auto" w:fill="auto"/>
          </w:tcPr>
          <w:p w14:paraId="2ABFFECC" w14:textId="77777777" w:rsidR="008C5CFA" w:rsidRPr="002124FC" w:rsidRDefault="00E82A60" w:rsidP="00300A01">
            <w:pPr>
              <w:spacing w:before="0" w:after="0"/>
              <w:rPr>
                <w:sz w:val="20"/>
                <w:szCs w:val="20"/>
                <w:lang w:val="fr-BE"/>
              </w:rPr>
            </w:pPr>
            <w:r>
              <w:rPr>
                <w:noProof/>
                <w:sz w:val="20"/>
                <w:szCs w:val="20"/>
                <w:lang w:val="fr-BE"/>
              </w:rPr>
              <w:t>2</w:t>
            </w:r>
            <w:r>
              <w:rPr>
                <w:sz w:val="20"/>
                <w:szCs w:val="20"/>
                <w:lang w:val="fr-BE"/>
              </w:rPr>
              <w:t xml:space="preserve"> - </w:t>
            </w:r>
            <w:r>
              <w:rPr>
                <w:noProof/>
                <w:sz w:val="20"/>
                <w:szCs w:val="20"/>
                <w:lang w:val="fr-BE"/>
              </w:rPr>
              <w:t>Poprawiona dostępność infrastruktury przedszkolnej.</w:t>
            </w:r>
          </w:p>
        </w:tc>
      </w:tr>
    </w:tbl>
    <w:p w14:paraId="37FEC3EC" w14:textId="77777777" w:rsidR="008C5CFA" w:rsidRDefault="008C5CFA" w:rsidP="00300A01">
      <w:pPr>
        <w:spacing w:before="0" w:after="0"/>
        <w:rPr>
          <w:lang w:val="fr-BE"/>
        </w:rPr>
      </w:pPr>
    </w:p>
    <w:p w14:paraId="43AF0D86" w14:textId="77777777" w:rsidR="008C5CFA" w:rsidRDefault="00E82A60" w:rsidP="00300A01">
      <w:pPr>
        <w:spacing w:before="0" w:after="0"/>
        <w:rPr>
          <w:lang w:val="fr-BE"/>
        </w:rPr>
      </w:pPr>
      <w:r>
        <w:rPr>
          <w:lang w:val="fr-BE"/>
        </w:rPr>
        <w:t xml:space="preserve">Tabela 1: Wskaźniki rezultatu dla EFRR i Funduszu Spójności (według osi priorytetowej i celu szczegółowego); ma zastosowanie także do osi priorytetowej </w:t>
      </w:r>
      <w:r>
        <w:t>"</w:t>
      </w:r>
      <w:r>
        <w:rPr>
          <w:lang w:val="fr-BE"/>
        </w:rPr>
        <w:t>Pomoc techniczna</w:t>
      </w:r>
      <w:r>
        <w:t>"</w:t>
      </w:r>
    </w:p>
    <w:p w14:paraId="2DA6B0E3"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3021"/>
        <w:gridCol w:w="1099"/>
        <w:gridCol w:w="1186"/>
        <w:gridCol w:w="1071"/>
        <w:gridCol w:w="901"/>
        <w:gridCol w:w="1397"/>
        <w:gridCol w:w="951"/>
        <w:gridCol w:w="1173"/>
        <w:gridCol w:w="3929"/>
      </w:tblGrid>
      <w:tr w:rsidR="006B2EC1" w14:paraId="0DEB58D5" w14:textId="77777777" w:rsidTr="0047688D">
        <w:tc>
          <w:tcPr>
            <w:tcW w:w="0" w:type="auto"/>
            <w:shd w:val="clear" w:color="auto" w:fill="auto"/>
          </w:tcPr>
          <w:p w14:paraId="6EDCBAD2" w14:textId="77777777" w:rsidR="008C5CFA" w:rsidRPr="0024468B" w:rsidRDefault="00E82A60" w:rsidP="00300A01">
            <w:pPr>
              <w:spacing w:before="0" w:after="0"/>
              <w:rPr>
                <w:sz w:val="16"/>
                <w:szCs w:val="16"/>
                <w:lang w:val="fr-BE"/>
              </w:rPr>
            </w:pPr>
            <w:r w:rsidRPr="0024468B">
              <w:rPr>
                <w:noProof/>
                <w:sz w:val="16"/>
                <w:szCs w:val="16"/>
                <w:lang w:val="fr-BE"/>
              </w:rPr>
              <w:t>ID</w:t>
            </w:r>
          </w:p>
        </w:tc>
        <w:tc>
          <w:tcPr>
            <w:tcW w:w="0" w:type="auto"/>
            <w:shd w:val="clear" w:color="auto" w:fill="auto"/>
          </w:tcPr>
          <w:p w14:paraId="24F7F9A2" w14:textId="77777777" w:rsidR="008C5CFA" w:rsidRPr="0024468B" w:rsidRDefault="00E82A60" w:rsidP="00300A01">
            <w:pPr>
              <w:spacing w:before="0" w:after="0"/>
              <w:rPr>
                <w:sz w:val="16"/>
                <w:szCs w:val="16"/>
                <w:lang w:val="fr-BE"/>
              </w:rPr>
            </w:pPr>
            <w:r w:rsidRPr="0024468B">
              <w:rPr>
                <w:noProof/>
                <w:sz w:val="16"/>
                <w:szCs w:val="16"/>
                <w:lang w:val="fr-BE"/>
              </w:rPr>
              <w:t>Wskaźnik</w:t>
            </w:r>
          </w:p>
        </w:tc>
        <w:tc>
          <w:tcPr>
            <w:tcW w:w="0" w:type="auto"/>
            <w:shd w:val="clear" w:color="auto" w:fill="auto"/>
          </w:tcPr>
          <w:p w14:paraId="583092B1" w14:textId="77777777" w:rsidR="008C5CFA" w:rsidRPr="0024468B" w:rsidRDefault="00E82A60" w:rsidP="00300A01">
            <w:pPr>
              <w:spacing w:before="0" w:after="0"/>
              <w:rPr>
                <w:sz w:val="16"/>
                <w:szCs w:val="16"/>
                <w:lang w:val="fr-BE"/>
              </w:rPr>
            </w:pPr>
            <w:r w:rsidRPr="0024468B">
              <w:rPr>
                <w:noProof/>
                <w:sz w:val="16"/>
                <w:szCs w:val="16"/>
                <w:lang w:val="fr-BE"/>
              </w:rPr>
              <w:t>Jednostka miary</w:t>
            </w:r>
          </w:p>
        </w:tc>
        <w:tc>
          <w:tcPr>
            <w:tcW w:w="0" w:type="auto"/>
            <w:shd w:val="clear" w:color="auto" w:fill="auto"/>
          </w:tcPr>
          <w:p w14:paraId="5A787E25" w14:textId="77777777" w:rsidR="008C5CFA" w:rsidRPr="0024468B" w:rsidRDefault="00E82A60" w:rsidP="00300A01">
            <w:pPr>
              <w:spacing w:before="0" w:after="0"/>
              <w:rPr>
                <w:sz w:val="16"/>
                <w:szCs w:val="16"/>
                <w:lang w:val="fr-BE"/>
              </w:rPr>
            </w:pPr>
            <w:r w:rsidRPr="0024468B">
              <w:rPr>
                <w:noProof/>
                <w:sz w:val="16"/>
                <w:szCs w:val="16"/>
                <w:lang w:val="fr-BE"/>
              </w:rPr>
              <w:t>Kategoria regionu</w:t>
            </w:r>
          </w:p>
        </w:tc>
        <w:tc>
          <w:tcPr>
            <w:tcW w:w="0" w:type="auto"/>
            <w:shd w:val="clear" w:color="auto" w:fill="auto"/>
          </w:tcPr>
          <w:p w14:paraId="5B8C3638" w14:textId="77777777" w:rsidR="008C5CFA" w:rsidRPr="0024468B" w:rsidRDefault="00E82A60" w:rsidP="00300A01">
            <w:pPr>
              <w:spacing w:before="0" w:after="0"/>
              <w:rPr>
                <w:sz w:val="16"/>
                <w:szCs w:val="16"/>
                <w:lang w:val="fr-BE"/>
              </w:rPr>
            </w:pPr>
            <w:r w:rsidRPr="0024468B">
              <w:rPr>
                <w:noProof/>
                <w:sz w:val="16"/>
                <w:szCs w:val="16"/>
                <w:lang w:val="fr-BE"/>
              </w:rPr>
              <w:t>Wartość bazowa</w:t>
            </w:r>
          </w:p>
        </w:tc>
        <w:tc>
          <w:tcPr>
            <w:tcW w:w="0" w:type="auto"/>
            <w:shd w:val="clear" w:color="auto" w:fill="auto"/>
          </w:tcPr>
          <w:p w14:paraId="2D08E7F3" w14:textId="77777777" w:rsidR="008C5CFA" w:rsidRPr="0024468B" w:rsidRDefault="00E82A60" w:rsidP="00300A01">
            <w:pPr>
              <w:spacing w:before="0" w:after="0"/>
              <w:rPr>
                <w:sz w:val="16"/>
                <w:szCs w:val="16"/>
                <w:lang w:val="fr-BE"/>
              </w:rPr>
            </w:pPr>
            <w:r w:rsidRPr="0024468B">
              <w:rPr>
                <w:noProof/>
                <w:sz w:val="16"/>
                <w:szCs w:val="16"/>
                <w:lang w:val="fr-BE"/>
              </w:rPr>
              <w:t>Rok bazowy</w:t>
            </w:r>
          </w:p>
        </w:tc>
        <w:tc>
          <w:tcPr>
            <w:tcW w:w="0" w:type="auto"/>
            <w:shd w:val="clear" w:color="auto" w:fill="auto"/>
          </w:tcPr>
          <w:p w14:paraId="49B71471" w14:textId="77777777" w:rsidR="008C5CFA" w:rsidRPr="0024468B" w:rsidRDefault="00E82A60" w:rsidP="00300A01">
            <w:pPr>
              <w:spacing w:before="0" w:after="0"/>
              <w:rPr>
                <w:sz w:val="16"/>
                <w:szCs w:val="16"/>
                <w:lang w:val="fr-BE"/>
              </w:rPr>
            </w:pPr>
            <w:r w:rsidRPr="0024468B">
              <w:rPr>
                <w:noProof/>
                <w:sz w:val="16"/>
                <w:szCs w:val="16"/>
                <w:lang w:val="fr-BE"/>
              </w:rPr>
              <w:t>Wartość docelowa 2023</w:t>
            </w:r>
          </w:p>
        </w:tc>
        <w:tc>
          <w:tcPr>
            <w:tcW w:w="0" w:type="auto"/>
            <w:shd w:val="clear" w:color="auto" w:fill="auto"/>
          </w:tcPr>
          <w:p w14:paraId="0F98119D" w14:textId="77777777" w:rsidR="008C5CFA" w:rsidRPr="0024468B" w:rsidRDefault="00E82A60" w:rsidP="00300A01">
            <w:pPr>
              <w:spacing w:before="0" w:after="0"/>
              <w:jc w:val="center"/>
              <w:rPr>
                <w:sz w:val="16"/>
                <w:szCs w:val="16"/>
                <w:lang w:val="fr-BE"/>
              </w:rPr>
            </w:pPr>
            <w:r>
              <w:rPr>
                <w:sz w:val="16"/>
                <w:szCs w:val="16"/>
                <w:lang w:val="fr-BE"/>
              </w:rPr>
              <w:t xml:space="preserve">2019 </w:t>
            </w:r>
            <w:r>
              <w:rPr>
                <w:noProof/>
                <w:sz w:val="16"/>
                <w:szCs w:val="16"/>
                <w:lang w:val="fr-BE"/>
              </w:rPr>
              <w:t>Ogółem</w:t>
            </w:r>
          </w:p>
        </w:tc>
        <w:tc>
          <w:tcPr>
            <w:tcW w:w="0" w:type="auto"/>
            <w:shd w:val="clear" w:color="auto" w:fill="auto"/>
          </w:tcPr>
          <w:p w14:paraId="57E8705A" w14:textId="77777777" w:rsidR="008C5CFA" w:rsidRPr="0024468B" w:rsidRDefault="00E82A60" w:rsidP="00300A01">
            <w:pPr>
              <w:spacing w:before="0" w:after="0"/>
              <w:jc w:val="center"/>
              <w:rPr>
                <w:sz w:val="16"/>
                <w:szCs w:val="16"/>
                <w:lang w:val="fr-BE"/>
              </w:rPr>
            </w:pPr>
            <w:r>
              <w:rPr>
                <w:sz w:val="16"/>
                <w:szCs w:val="16"/>
                <w:lang w:val="fr-BE"/>
              </w:rPr>
              <w:t xml:space="preserve">2019 </w:t>
            </w:r>
            <w:r w:rsidRPr="0024468B">
              <w:rPr>
                <w:noProof/>
                <w:sz w:val="16"/>
                <w:szCs w:val="16"/>
                <w:lang w:val="fr-BE"/>
              </w:rPr>
              <w:t>Jakościowe</w:t>
            </w:r>
          </w:p>
        </w:tc>
        <w:tc>
          <w:tcPr>
            <w:tcW w:w="0" w:type="auto"/>
            <w:shd w:val="clear" w:color="auto" w:fill="auto"/>
          </w:tcPr>
          <w:p w14:paraId="0B2B0F01" w14:textId="77777777" w:rsidR="008C5CFA" w:rsidRPr="0024468B" w:rsidRDefault="00E82A60" w:rsidP="00300A01">
            <w:pPr>
              <w:spacing w:before="0" w:after="0"/>
              <w:jc w:val="center"/>
              <w:rPr>
                <w:sz w:val="16"/>
                <w:szCs w:val="16"/>
                <w:lang w:val="fr-BE"/>
              </w:rPr>
            </w:pPr>
            <w:r w:rsidRPr="0024468B">
              <w:rPr>
                <w:noProof/>
                <w:sz w:val="16"/>
                <w:szCs w:val="16"/>
                <w:lang w:val="fr-BE"/>
              </w:rPr>
              <w:t>Uwagi</w:t>
            </w:r>
          </w:p>
        </w:tc>
      </w:tr>
      <w:tr w:rsidR="006B2EC1" w14:paraId="7728CC13" w14:textId="77777777" w:rsidTr="0047688D">
        <w:tc>
          <w:tcPr>
            <w:tcW w:w="0" w:type="auto"/>
            <w:shd w:val="clear" w:color="auto" w:fill="auto"/>
          </w:tcPr>
          <w:p w14:paraId="18BB9117" w14:textId="77777777" w:rsidR="008C5CFA" w:rsidRPr="0024468B" w:rsidRDefault="00E82A60" w:rsidP="00300A01">
            <w:pPr>
              <w:spacing w:before="0" w:after="0"/>
              <w:rPr>
                <w:sz w:val="16"/>
                <w:szCs w:val="16"/>
                <w:lang w:val="fr-BE"/>
              </w:rPr>
            </w:pPr>
            <w:r w:rsidRPr="0024468B">
              <w:rPr>
                <w:noProof/>
                <w:sz w:val="16"/>
                <w:szCs w:val="16"/>
                <w:lang w:val="fr-BE"/>
              </w:rPr>
              <w:t>151</w:t>
            </w:r>
          </w:p>
        </w:tc>
        <w:tc>
          <w:tcPr>
            <w:tcW w:w="0" w:type="auto"/>
            <w:shd w:val="clear" w:color="auto" w:fill="auto"/>
          </w:tcPr>
          <w:p w14:paraId="6EB9CB30" w14:textId="77777777" w:rsidR="008C5CFA" w:rsidRPr="0024468B" w:rsidRDefault="00E82A60" w:rsidP="00300A01">
            <w:pPr>
              <w:spacing w:before="0" w:after="0"/>
              <w:rPr>
                <w:sz w:val="16"/>
                <w:szCs w:val="16"/>
                <w:lang w:val="fr-BE"/>
              </w:rPr>
            </w:pPr>
            <w:r w:rsidRPr="0024468B">
              <w:rPr>
                <w:noProof/>
                <w:sz w:val="16"/>
                <w:szCs w:val="16"/>
                <w:lang w:val="fr-BE"/>
              </w:rPr>
              <w:t>Odsetek dzieci w wieku 3-5 lat objętych edukacją przedszkolną</w:t>
            </w:r>
          </w:p>
        </w:tc>
        <w:tc>
          <w:tcPr>
            <w:tcW w:w="0" w:type="auto"/>
            <w:shd w:val="clear" w:color="auto" w:fill="auto"/>
          </w:tcPr>
          <w:p w14:paraId="68B4D43D" w14:textId="77777777" w:rsidR="008C5CFA" w:rsidRPr="0024468B" w:rsidRDefault="00E82A60" w:rsidP="00300A01">
            <w:pPr>
              <w:spacing w:before="0" w:after="0"/>
              <w:rPr>
                <w:sz w:val="16"/>
                <w:szCs w:val="16"/>
                <w:lang w:val="fr-BE"/>
              </w:rPr>
            </w:pPr>
            <w:r w:rsidRPr="0024468B">
              <w:rPr>
                <w:noProof/>
                <w:sz w:val="16"/>
                <w:szCs w:val="16"/>
                <w:lang w:val="fr-BE"/>
              </w:rPr>
              <w:t>%</w:t>
            </w:r>
          </w:p>
        </w:tc>
        <w:tc>
          <w:tcPr>
            <w:tcW w:w="0" w:type="auto"/>
            <w:shd w:val="clear" w:color="auto" w:fill="auto"/>
          </w:tcPr>
          <w:p w14:paraId="7C3F2643" w14:textId="77777777" w:rsidR="008C5CFA" w:rsidRPr="0024468B" w:rsidRDefault="00E82A60"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14:paraId="1DABCD15" w14:textId="77777777" w:rsidR="008C5CFA" w:rsidRPr="00C3185A" w:rsidRDefault="00E82A60" w:rsidP="00300A01">
            <w:pPr>
              <w:spacing w:before="0" w:after="0"/>
              <w:jc w:val="right"/>
              <w:rPr>
                <w:sz w:val="16"/>
                <w:szCs w:val="16"/>
                <w:lang w:val="fr-BE"/>
              </w:rPr>
            </w:pPr>
            <w:r w:rsidRPr="00C3185A">
              <w:rPr>
                <w:noProof/>
                <w:sz w:val="16"/>
                <w:szCs w:val="16"/>
                <w:lang w:val="fr-BE"/>
              </w:rPr>
              <w:t>71,10</w:t>
            </w:r>
          </w:p>
        </w:tc>
        <w:tc>
          <w:tcPr>
            <w:tcW w:w="0" w:type="auto"/>
            <w:shd w:val="clear" w:color="auto" w:fill="auto"/>
          </w:tcPr>
          <w:p w14:paraId="62E7521A" w14:textId="77777777" w:rsidR="008C5CFA" w:rsidRPr="0024468B" w:rsidRDefault="00E82A60" w:rsidP="00300A01">
            <w:pPr>
              <w:spacing w:before="0" w:after="0"/>
              <w:rPr>
                <w:sz w:val="16"/>
                <w:szCs w:val="16"/>
                <w:lang w:val="fr-BE"/>
              </w:rPr>
            </w:pPr>
            <w:r w:rsidRPr="0024468B">
              <w:rPr>
                <w:noProof/>
                <w:sz w:val="16"/>
                <w:szCs w:val="16"/>
                <w:lang w:val="fr-BE"/>
              </w:rPr>
              <w:t>2013</w:t>
            </w:r>
          </w:p>
        </w:tc>
        <w:tc>
          <w:tcPr>
            <w:tcW w:w="0" w:type="auto"/>
            <w:shd w:val="clear" w:color="auto" w:fill="auto"/>
          </w:tcPr>
          <w:p w14:paraId="5F45A77B" w14:textId="77777777" w:rsidR="008C5CFA" w:rsidRPr="0024468B" w:rsidRDefault="00E82A60" w:rsidP="00300A01">
            <w:pPr>
              <w:spacing w:before="0" w:after="0"/>
              <w:jc w:val="right"/>
              <w:rPr>
                <w:sz w:val="16"/>
                <w:szCs w:val="16"/>
                <w:lang w:val="fr-BE"/>
              </w:rPr>
            </w:pPr>
            <w:r w:rsidRPr="0024468B">
              <w:rPr>
                <w:noProof/>
                <w:sz w:val="16"/>
                <w:szCs w:val="16"/>
                <w:lang w:val="fr-BE"/>
              </w:rPr>
              <w:t>80,10</w:t>
            </w:r>
          </w:p>
        </w:tc>
        <w:tc>
          <w:tcPr>
            <w:tcW w:w="0" w:type="auto"/>
            <w:shd w:val="clear" w:color="auto" w:fill="auto"/>
          </w:tcPr>
          <w:p w14:paraId="0E36F314"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6D17EE20" w14:textId="77777777" w:rsidR="008C5CFA" w:rsidRPr="0024468B" w:rsidRDefault="008C5CFA" w:rsidP="00300A01">
            <w:pPr>
              <w:spacing w:before="0" w:after="0"/>
              <w:jc w:val="right"/>
              <w:rPr>
                <w:sz w:val="16"/>
                <w:szCs w:val="16"/>
                <w:lang w:val="fr-BE"/>
              </w:rPr>
            </w:pPr>
          </w:p>
        </w:tc>
        <w:tc>
          <w:tcPr>
            <w:tcW w:w="0" w:type="auto"/>
            <w:shd w:val="clear" w:color="auto" w:fill="auto"/>
          </w:tcPr>
          <w:p w14:paraId="4A1733BE" w14:textId="77777777" w:rsidR="008C5CFA" w:rsidRPr="0024468B" w:rsidRDefault="00E82A60" w:rsidP="00300A01">
            <w:pPr>
              <w:spacing w:before="0" w:after="0"/>
              <w:rPr>
                <w:sz w:val="16"/>
                <w:szCs w:val="16"/>
                <w:lang w:val="fr-BE"/>
              </w:rPr>
            </w:pPr>
            <w:r w:rsidRPr="0024468B">
              <w:rPr>
                <w:noProof/>
                <w:sz w:val="16"/>
                <w:szCs w:val="16"/>
                <w:lang w:val="fr-BE"/>
              </w:rPr>
              <w:t>Brak aktualnych danych dostępnych w statystykach publicznych (systemie STRATEG)</w:t>
            </w:r>
          </w:p>
        </w:tc>
      </w:tr>
    </w:tbl>
    <w:p w14:paraId="7329DCC0"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
        <w:gridCol w:w="4530"/>
        <w:gridCol w:w="1154"/>
        <w:gridCol w:w="1389"/>
        <w:gridCol w:w="1154"/>
        <w:gridCol w:w="1389"/>
        <w:gridCol w:w="1154"/>
        <w:gridCol w:w="1389"/>
        <w:gridCol w:w="1154"/>
        <w:gridCol w:w="1389"/>
      </w:tblGrid>
      <w:tr w:rsidR="006B2EC1" w14:paraId="5E2993A1" w14:textId="77777777" w:rsidTr="0047688D">
        <w:tc>
          <w:tcPr>
            <w:tcW w:w="0" w:type="auto"/>
            <w:shd w:val="clear" w:color="auto" w:fill="auto"/>
          </w:tcPr>
          <w:p w14:paraId="2806A8AA" w14:textId="77777777" w:rsidR="008C5CFA" w:rsidRPr="0024468B" w:rsidRDefault="00E82A60" w:rsidP="00300A01">
            <w:pPr>
              <w:spacing w:before="0" w:after="0"/>
              <w:rPr>
                <w:sz w:val="16"/>
                <w:szCs w:val="16"/>
                <w:lang w:val="fr-BE"/>
              </w:rPr>
            </w:pPr>
            <w:r w:rsidRPr="0024468B">
              <w:rPr>
                <w:noProof/>
                <w:sz w:val="16"/>
                <w:szCs w:val="16"/>
                <w:lang w:val="fr-BE"/>
              </w:rPr>
              <w:t>ID</w:t>
            </w:r>
          </w:p>
        </w:tc>
        <w:tc>
          <w:tcPr>
            <w:tcW w:w="0" w:type="auto"/>
            <w:shd w:val="clear" w:color="auto" w:fill="auto"/>
          </w:tcPr>
          <w:p w14:paraId="22813F6D" w14:textId="77777777" w:rsidR="008C5CFA" w:rsidRPr="0024468B" w:rsidRDefault="00E82A60" w:rsidP="00300A01">
            <w:pPr>
              <w:spacing w:before="0" w:after="0"/>
              <w:rPr>
                <w:sz w:val="16"/>
                <w:szCs w:val="16"/>
                <w:lang w:val="fr-BE"/>
              </w:rPr>
            </w:pPr>
            <w:r w:rsidRPr="0024468B">
              <w:rPr>
                <w:noProof/>
                <w:sz w:val="16"/>
                <w:szCs w:val="16"/>
                <w:lang w:val="fr-BE"/>
              </w:rPr>
              <w:t>Wskaźnik</w:t>
            </w:r>
          </w:p>
        </w:tc>
        <w:tc>
          <w:tcPr>
            <w:tcW w:w="0" w:type="auto"/>
          </w:tcPr>
          <w:p w14:paraId="536AFEE1" w14:textId="77777777" w:rsidR="008C5CFA" w:rsidRPr="0024468B" w:rsidRDefault="00E82A60" w:rsidP="00300A01">
            <w:pPr>
              <w:spacing w:before="0" w:after="0"/>
              <w:jc w:val="center"/>
              <w:rPr>
                <w:sz w:val="16"/>
                <w:szCs w:val="16"/>
                <w:lang w:val="fr-BE"/>
              </w:rPr>
            </w:pPr>
            <w:r>
              <w:rPr>
                <w:sz w:val="16"/>
                <w:szCs w:val="16"/>
                <w:lang w:val="fr-BE"/>
              </w:rPr>
              <w:t xml:space="preserve">2018 </w:t>
            </w:r>
            <w:r>
              <w:rPr>
                <w:noProof/>
                <w:sz w:val="16"/>
                <w:szCs w:val="16"/>
                <w:lang w:val="fr-BE"/>
              </w:rPr>
              <w:t>Ogółem</w:t>
            </w:r>
          </w:p>
        </w:tc>
        <w:tc>
          <w:tcPr>
            <w:tcW w:w="0" w:type="auto"/>
          </w:tcPr>
          <w:p w14:paraId="4AC0E61D" w14:textId="77777777" w:rsidR="008C5CFA" w:rsidRPr="0024468B" w:rsidRDefault="00E82A60" w:rsidP="00300A01">
            <w:pPr>
              <w:spacing w:before="0" w:after="0"/>
              <w:jc w:val="center"/>
              <w:rPr>
                <w:sz w:val="16"/>
                <w:szCs w:val="16"/>
                <w:lang w:val="fr-BE"/>
              </w:rPr>
            </w:pPr>
            <w:r>
              <w:rPr>
                <w:sz w:val="16"/>
                <w:szCs w:val="16"/>
                <w:lang w:val="fr-BE"/>
              </w:rPr>
              <w:t xml:space="preserve">2018 </w:t>
            </w:r>
            <w:r w:rsidRPr="0024468B">
              <w:rPr>
                <w:noProof/>
                <w:sz w:val="16"/>
                <w:szCs w:val="16"/>
                <w:lang w:val="fr-BE"/>
              </w:rPr>
              <w:t>Jakościowe</w:t>
            </w:r>
          </w:p>
        </w:tc>
        <w:tc>
          <w:tcPr>
            <w:tcW w:w="0" w:type="auto"/>
          </w:tcPr>
          <w:p w14:paraId="6548C159" w14:textId="77777777" w:rsidR="008C5CFA" w:rsidRPr="0024468B" w:rsidRDefault="00E82A60" w:rsidP="00300A01">
            <w:pPr>
              <w:spacing w:before="0" w:after="0"/>
              <w:jc w:val="center"/>
              <w:rPr>
                <w:sz w:val="16"/>
                <w:szCs w:val="16"/>
                <w:lang w:val="fr-BE"/>
              </w:rPr>
            </w:pPr>
            <w:r>
              <w:rPr>
                <w:sz w:val="16"/>
                <w:szCs w:val="16"/>
                <w:lang w:val="fr-BE"/>
              </w:rPr>
              <w:t xml:space="preserve">2017 </w:t>
            </w:r>
            <w:r>
              <w:rPr>
                <w:noProof/>
                <w:sz w:val="16"/>
                <w:szCs w:val="16"/>
                <w:lang w:val="fr-BE"/>
              </w:rPr>
              <w:t>Ogółem</w:t>
            </w:r>
          </w:p>
        </w:tc>
        <w:tc>
          <w:tcPr>
            <w:tcW w:w="0" w:type="auto"/>
          </w:tcPr>
          <w:p w14:paraId="332E52DE" w14:textId="77777777" w:rsidR="008C5CFA" w:rsidRPr="0024468B" w:rsidRDefault="00E82A60" w:rsidP="00300A01">
            <w:pPr>
              <w:spacing w:before="0" w:after="0"/>
              <w:jc w:val="center"/>
              <w:rPr>
                <w:sz w:val="16"/>
                <w:szCs w:val="16"/>
                <w:lang w:val="fr-BE"/>
              </w:rPr>
            </w:pPr>
            <w:r>
              <w:rPr>
                <w:sz w:val="16"/>
                <w:szCs w:val="16"/>
                <w:lang w:val="fr-BE"/>
              </w:rPr>
              <w:t xml:space="preserve">2017 </w:t>
            </w:r>
            <w:r w:rsidRPr="0024468B">
              <w:rPr>
                <w:noProof/>
                <w:sz w:val="16"/>
                <w:szCs w:val="16"/>
                <w:lang w:val="fr-BE"/>
              </w:rPr>
              <w:t>Jakościowe</w:t>
            </w:r>
          </w:p>
        </w:tc>
        <w:tc>
          <w:tcPr>
            <w:tcW w:w="0" w:type="auto"/>
          </w:tcPr>
          <w:p w14:paraId="132DD8D5" w14:textId="77777777" w:rsidR="008C5CFA" w:rsidRPr="0024468B" w:rsidRDefault="00E82A60" w:rsidP="00300A01">
            <w:pPr>
              <w:spacing w:before="0" w:after="0"/>
              <w:jc w:val="center"/>
              <w:rPr>
                <w:sz w:val="16"/>
                <w:szCs w:val="16"/>
                <w:lang w:val="fr-BE"/>
              </w:rPr>
            </w:pPr>
            <w:r>
              <w:rPr>
                <w:sz w:val="16"/>
                <w:szCs w:val="16"/>
                <w:lang w:val="fr-BE"/>
              </w:rPr>
              <w:t xml:space="preserve">2016 </w:t>
            </w:r>
            <w:r>
              <w:rPr>
                <w:noProof/>
                <w:sz w:val="16"/>
                <w:szCs w:val="16"/>
                <w:lang w:val="fr-BE"/>
              </w:rPr>
              <w:t>Ogółem</w:t>
            </w:r>
          </w:p>
        </w:tc>
        <w:tc>
          <w:tcPr>
            <w:tcW w:w="0" w:type="auto"/>
          </w:tcPr>
          <w:p w14:paraId="60E4101C" w14:textId="77777777" w:rsidR="008C5CFA" w:rsidRPr="0024468B" w:rsidRDefault="00E82A60" w:rsidP="00300A01">
            <w:pPr>
              <w:spacing w:before="0" w:after="0"/>
              <w:jc w:val="center"/>
              <w:rPr>
                <w:sz w:val="16"/>
                <w:szCs w:val="16"/>
                <w:lang w:val="fr-BE"/>
              </w:rPr>
            </w:pPr>
            <w:r>
              <w:rPr>
                <w:sz w:val="16"/>
                <w:szCs w:val="16"/>
                <w:lang w:val="fr-BE"/>
              </w:rPr>
              <w:t xml:space="preserve">2016 </w:t>
            </w:r>
            <w:r w:rsidRPr="0024468B">
              <w:rPr>
                <w:noProof/>
                <w:sz w:val="16"/>
                <w:szCs w:val="16"/>
                <w:lang w:val="fr-BE"/>
              </w:rPr>
              <w:t>Jakościowe</w:t>
            </w:r>
          </w:p>
        </w:tc>
        <w:tc>
          <w:tcPr>
            <w:tcW w:w="0" w:type="auto"/>
          </w:tcPr>
          <w:p w14:paraId="284AECDF" w14:textId="77777777" w:rsidR="008C5CFA" w:rsidRPr="0024468B" w:rsidRDefault="00E82A60" w:rsidP="00300A01">
            <w:pPr>
              <w:spacing w:before="0" w:after="0"/>
              <w:jc w:val="center"/>
              <w:rPr>
                <w:sz w:val="16"/>
                <w:szCs w:val="16"/>
                <w:lang w:val="fr-BE"/>
              </w:rPr>
            </w:pPr>
            <w:r>
              <w:rPr>
                <w:sz w:val="16"/>
                <w:szCs w:val="16"/>
                <w:lang w:val="fr-BE"/>
              </w:rPr>
              <w:t xml:space="preserve">2015 </w:t>
            </w:r>
            <w:r>
              <w:rPr>
                <w:noProof/>
                <w:sz w:val="16"/>
                <w:szCs w:val="16"/>
                <w:lang w:val="fr-BE"/>
              </w:rPr>
              <w:t>Ogółem</w:t>
            </w:r>
          </w:p>
        </w:tc>
        <w:tc>
          <w:tcPr>
            <w:tcW w:w="0" w:type="auto"/>
          </w:tcPr>
          <w:p w14:paraId="5D6DF3A9" w14:textId="77777777" w:rsidR="008C5CFA" w:rsidRPr="0024468B" w:rsidRDefault="00E82A60" w:rsidP="00300A01">
            <w:pPr>
              <w:spacing w:before="0" w:after="0"/>
              <w:jc w:val="center"/>
              <w:rPr>
                <w:sz w:val="16"/>
                <w:szCs w:val="16"/>
                <w:lang w:val="fr-BE"/>
              </w:rPr>
            </w:pPr>
            <w:r>
              <w:rPr>
                <w:sz w:val="16"/>
                <w:szCs w:val="16"/>
                <w:lang w:val="fr-BE"/>
              </w:rPr>
              <w:t xml:space="preserve">2015 </w:t>
            </w:r>
            <w:r w:rsidRPr="0024468B">
              <w:rPr>
                <w:noProof/>
                <w:sz w:val="16"/>
                <w:szCs w:val="16"/>
                <w:lang w:val="fr-BE"/>
              </w:rPr>
              <w:t>Jakościowe</w:t>
            </w:r>
          </w:p>
        </w:tc>
      </w:tr>
      <w:tr w:rsidR="006B2EC1" w14:paraId="2CBEFFE4" w14:textId="77777777" w:rsidTr="0047688D">
        <w:tc>
          <w:tcPr>
            <w:tcW w:w="0" w:type="auto"/>
            <w:shd w:val="clear" w:color="auto" w:fill="auto"/>
          </w:tcPr>
          <w:p w14:paraId="7C115D47" w14:textId="77777777" w:rsidR="008C5CFA" w:rsidRPr="0024468B" w:rsidRDefault="00E82A60" w:rsidP="00300A01">
            <w:pPr>
              <w:spacing w:before="0" w:after="0"/>
              <w:rPr>
                <w:sz w:val="16"/>
                <w:szCs w:val="16"/>
                <w:lang w:val="fr-BE"/>
              </w:rPr>
            </w:pPr>
            <w:r w:rsidRPr="0024468B">
              <w:rPr>
                <w:noProof/>
                <w:sz w:val="16"/>
                <w:szCs w:val="16"/>
                <w:lang w:val="fr-BE"/>
              </w:rPr>
              <w:t>151</w:t>
            </w:r>
          </w:p>
        </w:tc>
        <w:tc>
          <w:tcPr>
            <w:tcW w:w="0" w:type="auto"/>
            <w:shd w:val="clear" w:color="auto" w:fill="auto"/>
          </w:tcPr>
          <w:p w14:paraId="41346C2C" w14:textId="77777777" w:rsidR="008C5CFA" w:rsidRPr="0024468B" w:rsidRDefault="00E82A60" w:rsidP="00300A01">
            <w:pPr>
              <w:spacing w:before="0" w:after="0"/>
              <w:rPr>
                <w:sz w:val="16"/>
                <w:szCs w:val="16"/>
                <w:lang w:val="fr-BE"/>
              </w:rPr>
            </w:pPr>
            <w:r w:rsidRPr="0024468B">
              <w:rPr>
                <w:noProof/>
                <w:sz w:val="16"/>
                <w:szCs w:val="16"/>
                <w:lang w:val="fr-BE"/>
              </w:rPr>
              <w:t>Odsetek dzieci w wieku 3-5 lat objętych edukacją przedszkolną</w:t>
            </w:r>
          </w:p>
        </w:tc>
        <w:tc>
          <w:tcPr>
            <w:tcW w:w="0" w:type="auto"/>
          </w:tcPr>
          <w:p w14:paraId="1326A5BC" w14:textId="77777777" w:rsidR="008C5CFA" w:rsidRPr="0024468B" w:rsidRDefault="00E82A60" w:rsidP="00300A01">
            <w:pPr>
              <w:spacing w:before="0" w:after="0"/>
              <w:jc w:val="right"/>
              <w:rPr>
                <w:sz w:val="16"/>
                <w:szCs w:val="16"/>
                <w:lang w:val="fr-BE"/>
              </w:rPr>
            </w:pPr>
            <w:r w:rsidRPr="0024468B">
              <w:rPr>
                <w:noProof/>
                <w:sz w:val="16"/>
                <w:szCs w:val="16"/>
                <w:lang w:val="fr-BE"/>
              </w:rPr>
              <w:t>78,90</w:t>
            </w:r>
          </w:p>
        </w:tc>
        <w:tc>
          <w:tcPr>
            <w:tcW w:w="0" w:type="auto"/>
          </w:tcPr>
          <w:p w14:paraId="4CB0D74A" w14:textId="77777777" w:rsidR="008C5CFA" w:rsidRPr="0024468B" w:rsidRDefault="008C5CFA" w:rsidP="00300A01">
            <w:pPr>
              <w:spacing w:before="0" w:after="0"/>
              <w:jc w:val="right"/>
              <w:rPr>
                <w:sz w:val="16"/>
                <w:szCs w:val="16"/>
                <w:lang w:val="fr-BE"/>
              </w:rPr>
            </w:pPr>
          </w:p>
        </w:tc>
        <w:tc>
          <w:tcPr>
            <w:tcW w:w="0" w:type="auto"/>
          </w:tcPr>
          <w:p w14:paraId="3740225A" w14:textId="77777777" w:rsidR="008C5CFA" w:rsidRPr="0024468B" w:rsidRDefault="00E82A60" w:rsidP="00300A01">
            <w:pPr>
              <w:spacing w:before="0" w:after="0"/>
              <w:jc w:val="right"/>
              <w:rPr>
                <w:sz w:val="16"/>
                <w:szCs w:val="16"/>
                <w:lang w:val="fr-BE"/>
              </w:rPr>
            </w:pPr>
            <w:r w:rsidRPr="0024468B">
              <w:rPr>
                <w:noProof/>
                <w:sz w:val="16"/>
                <w:szCs w:val="16"/>
                <w:lang w:val="fr-BE"/>
              </w:rPr>
              <w:t>74,30</w:t>
            </w:r>
          </w:p>
        </w:tc>
        <w:tc>
          <w:tcPr>
            <w:tcW w:w="0" w:type="auto"/>
          </w:tcPr>
          <w:p w14:paraId="3272A2D3" w14:textId="77777777" w:rsidR="008C5CFA" w:rsidRPr="0024468B" w:rsidRDefault="008C5CFA" w:rsidP="00300A01">
            <w:pPr>
              <w:spacing w:before="0" w:after="0"/>
              <w:jc w:val="right"/>
              <w:rPr>
                <w:sz w:val="16"/>
                <w:szCs w:val="16"/>
                <w:lang w:val="fr-BE"/>
              </w:rPr>
            </w:pPr>
          </w:p>
        </w:tc>
        <w:tc>
          <w:tcPr>
            <w:tcW w:w="0" w:type="auto"/>
          </w:tcPr>
          <w:p w14:paraId="72DD411B" w14:textId="77777777" w:rsidR="008C5CFA" w:rsidRPr="0024468B" w:rsidRDefault="00E82A60" w:rsidP="00300A01">
            <w:pPr>
              <w:spacing w:before="0" w:after="0"/>
              <w:jc w:val="right"/>
              <w:rPr>
                <w:sz w:val="16"/>
                <w:szCs w:val="16"/>
                <w:lang w:val="fr-BE"/>
              </w:rPr>
            </w:pPr>
            <w:r w:rsidRPr="0024468B">
              <w:rPr>
                <w:noProof/>
                <w:sz w:val="16"/>
                <w:szCs w:val="16"/>
                <w:lang w:val="fr-BE"/>
              </w:rPr>
              <w:t>70,80</w:t>
            </w:r>
          </w:p>
        </w:tc>
        <w:tc>
          <w:tcPr>
            <w:tcW w:w="0" w:type="auto"/>
          </w:tcPr>
          <w:p w14:paraId="2D179B73" w14:textId="77777777" w:rsidR="008C5CFA" w:rsidRPr="0024468B" w:rsidRDefault="008C5CFA" w:rsidP="00300A01">
            <w:pPr>
              <w:spacing w:before="0" w:after="0"/>
              <w:jc w:val="right"/>
              <w:rPr>
                <w:sz w:val="16"/>
                <w:szCs w:val="16"/>
                <w:lang w:val="fr-BE"/>
              </w:rPr>
            </w:pPr>
          </w:p>
        </w:tc>
        <w:tc>
          <w:tcPr>
            <w:tcW w:w="0" w:type="auto"/>
          </w:tcPr>
          <w:p w14:paraId="7DB36151" w14:textId="77777777" w:rsidR="008C5CFA" w:rsidRPr="0024468B" w:rsidRDefault="00E82A60" w:rsidP="00300A01">
            <w:pPr>
              <w:spacing w:before="0" w:after="0"/>
              <w:jc w:val="right"/>
              <w:rPr>
                <w:sz w:val="16"/>
                <w:szCs w:val="16"/>
                <w:lang w:val="fr-BE"/>
              </w:rPr>
            </w:pPr>
            <w:r w:rsidRPr="0024468B">
              <w:rPr>
                <w:noProof/>
                <w:sz w:val="16"/>
                <w:szCs w:val="16"/>
                <w:lang w:val="fr-BE"/>
              </w:rPr>
              <w:t>72,30</w:t>
            </w:r>
          </w:p>
        </w:tc>
        <w:tc>
          <w:tcPr>
            <w:tcW w:w="0" w:type="auto"/>
          </w:tcPr>
          <w:p w14:paraId="65A958C2" w14:textId="77777777" w:rsidR="008C5CFA" w:rsidRPr="0024468B" w:rsidRDefault="008C5CFA" w:rsidP="00300A01">
            <w:pPr>
              <w:spacing w:before="0" w:after="0"/>
              <w:jc w:val="right"/>
              <w:rPr>
                <w:sz w:val="16"/>
                <w:szCs w:val="16"/>
                <w:lang w:val="fr-BE"/>
              </w:rPr>
            </w:pPr>
          </w:p>
        </w:tc>
      </w:tr>
    </w:tbl>
    <w:p w14:paraId="366B9982"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9"/>
        <w:gridCol w:w="9104"/>
        <w:gridCol w:w="2320"/>
        <w:gridCol w:w="2791"/>
      </w:tblGrid>
      <w:tr w:rsidR="006B2EC1" w14:paraId="3BE25CFF" w14:textId="77777777" w:rsidTr="0047688D">
        <w:tc>
          <w:tcPr>
            <w:tcW w:w="0" w:type="auto"/>
            <w:shd w:val="clear" w:color="auto" w:fill="auto"/>
          </w:tcPr>
          <w:p w14:paraId="58ECD53C" w14:textId="77777777" w:rsidR="008C5CFA" w:rsidRPr="0024468B" w:rsidRDefault="00E82A60" w:rsidP="00300A01">
            <w:pPr>
              <w:spacing w:before="0" w:after="0"/>
              <w:rPr>
                <w:sz w:val="16"/>
                <w:szCs w:val="16"/>
                <w:lang w:val="fr-BE"/>
              </w:rPr>
            </w:pPr>
            <w:r w:rsidRPr="0024468B">
              <w:rPr>
                <w:noProof/>
                <w:sz w:val="16"/>
                <w:szCs w:val="16"/>
                <w:lang w:val="fr-BE"/>
              </w:rPr>
              <w:t>ID</w:t>
            </w:r>
          </w:p>
        </w:tc>
        <w:tc>
          <w:tcPr>
            <w:tcW w:w="0" w:type="auto"/>
            <w:shd w:val="clear" w:color="auto" w:fill="auto"/>
          </w:tcPr>
          <w:p w14:paraId="10BD43CE" w14:textId="77777777" w:rsidR="008C5CFA" w:rsidRPr="0024468B" w:rsidRDefault="00E82A60" w:rsidP="00300A01">
            <w:pPr>
              <w:spacing w:before="0" w:after="0"/>
              <w:rPr>
                <w:sz w:val="16"/>
                <w:szCs w:val="16"/>
                <w:lang w:val="fr-BE"/>
              </w:rPr>
            </w:pPr>
            <w:r w:rsidRPr="0024468B">
              <w:rPr>
                <w:noProof/>
                <w:sz w:val="16"/>
                <w:szCs w:val="16"/>
                <w:lang w:val="fr-BE"/>
              </w:rPr>
              <w:t>Wskaźnik</w:t>
            </w:r>
          </w:p>
        </w:tc>
        <w:tc>
          <w:tcPr>
            <w:tcW w:w="0" w:type="auto"/>
            <w:shd w:val="clear" w:color="auto" w:fill="auto"/>
          </w:tcPr>
          <w:p w14:paraId="47DEE39E" w14:textId="77777777" w:rsidR="008C5CFA" w:rsidRPr="0024468B" w:rsidRDefault="00E82A60" w:rsidP="00300A01">
            <w:pPr>
              <w:spacing w:before="0" w:after="0"/>
              <w:jc w:val="center"/>
              <w:rPr>
                <w:sz w:val="16"/>
                <w:szCs w:val="16"/>
                <w:lang w:val="fr-BE"/>
              </w:rPr>
            </w:pPr>
            <w:r>
              <w:rPr>
                <w:sz w:val="16"/>
                <w:szCs w:val="16"/>
                <w:lang w:val="fr-BE"/>
              </w:rPr>
              <w:t xml:space="preserve">2014 </w:t>
            </w:r>
            <w:r>
              <w:rPr>
                <w:noProof/>
                <w:sz w:val="16"/>
                <w:szCs w:val="16"/>
                <w:lang w:val="fr-BE"/>
              </w:rPr>
              <w:t>Ogółem</w:t>
            </w:r>
          </w:p>
        </w:tc>
        <w:tc>
          <w:tcPr>
            <w:tcW w:w="0" w:type="auto"/>
            <w:shd w:val="clear" w:color="auto" w:fill="auto"/>
          </w:tcPr>
          <w:p w14:paraId="4CCEFD90" w14:textId="77777777" w:rsidR="008C5CFA" w:rsidRPr="0024468B" w:rsidRDefault="00E82A60" w:rsidP="00300A01">
            <w:pPr>
              <w:spacing w:before="0" w:after="0"/>
              <w:jc w:val="center"/>
              <w:rPr>
                <w:sz w:val="16"/>
                <w:szCs w:val="16"/>
                <w:lang w:val="fr-BE"/>
              </w:rPr>
            </w:pPr>
            <w:r>
              <w:rPr>
                <w:sz w:val="16"/>
                <w:szCs w:val="16"/>
                <w:lang w:val="fr-BE"/>
              </w:rPr>
              <w:t xml:space="preserve">2014 </w:t>
            </w:r>
            <w:r w:rsidRPr="0024468B">
              <w:rPr>
                <w:noProof/>
                <w:sz w:val="16"/>
                <w:szCs w:val="16"/>
                <w:lang w:val="fr-BE"/>
              </w:rPr>
              <w:t>Jakościowe</w:t>
            </w:r>
          </w:p>
        </w:tc>
      </w:tr>
      <w:tr w:rsidR="006B2EC1" w14:paraId="26D814B5" w14:textId="77777777" w:rsidTr="0047688D">
        <w:tc>
          <w:tcPr>
            <w:tcW w:w="0" w:type="auto"/>
            <w:shd w:val="clear" w:color="auto" w:fill="auto"/>
          </w:tcPr>
          <w:p w14:paraId="76167AC0" w14:textId="77777777" w:rsidR="008C5CFA" w:rsidRPr="0024468B" w:rsidRDefault="00E82A60" w:rsidP="00300A01">
            <w:pPr>
              <w:spacing w:before="0" w:after="0"/>
              <w:rPr>
                <w:sz w:val="16"/>
                <w:szCs w:val="16"/>
                <w:lang w:val="fr-BE"/>
              </w:rPr>
            </w:pPr>
            <w:r w:rsidRPr="0024468B">
              <w:rPr>
                <w:noProof/>
                <w:sz w:val="16"/>
                <w:szCs w:val="16"/>
                <w:lang w:val="fr-BE"/>
              </w:rPr>
              <w:t>151</w:t>
            </w:r>
          </w:p>
        </w:tc>
        <w:tc>
          <w:tcPr>
            <w:tcW w:w="0" w:type="auto"/>
            <w:shd w:val="clear" w:color="auto" w:fill="auto"/>
          </w:tcPr>
          <w:p w14:paraId="577008F7" w14:textId="77777777" w:rsidR="008C5CFA" w:rsidRPr="0024468B" w:rsidRDefault="00E82A60" w:rsidP="00300A01">
            <w:pPr>
              <w:spacing w:before="0" w:after="0"/>
              <w:rPr>
                <w:sz w:val="16"/>
                <w:szCs w:val="16"/>
                <w:lang w:val="fr-BE"/>
              </w:rPr>
            </w:pPr>
            <w:r w:rsidRPr="0024468B">
              <w:rPr>
                <w:noProof/>
                <w:sz w:val="16"/>
                <w:szCs w:val="16"/>
                <w:lang w:val="fr-BE"/>
              </w:rPr>
              <w:t>Odsetek dzieci w wieku 3-5 lat objętych edukacją przedszkolną</w:t>
            </w:r>
          </w:p>
        </w:tc>
        <w:tc>
          <w:tcPr>
            <w:tcW w:w="0" w:type="auto"/>
            <w:shd w:val="clear" w:color="auto" w:fill="auto"/>
          </w:tcPr>
          <w:p w14:paraId="0014D742" w14:textId="77777777" w:rsidR="008C5CFA" w:rsidRPr="0024468B" w:rsidRDefault="00E82A60" w:rsidP="00300A01">
            <w:pPr>
              <w:spacing w:before="0" w:after="0"/>
              <w:jc w:val="right"/>
              <w:rPr>
                <w:sz w:val="16"/>
                <w:szCs w:val="16"/>
                <w:lang w:val="fr-BE"/>
              </w:rPr>
            </w:pPr>
            <w:r w:rsidRPr="0024468B">
              <w:rPr>
                <w:noProof/>
                <w:sz w:val="16"/>
                <w:szCs w:val="16"/>
                <w:lang w:val="fr-BE"/>
              </w:rPr>
              <w:t>67,60</w:t>
            </w:r>
          </w:p>
        </w:tc>
        <w:tc>
          <w:tcPr>
            <w:tcW w:w="0" w:type="auto"/>
            <w:shd w:val="clear" w:color="auto" w:fill="auto"/>
          </w:tcPr>
          <w:p w14:paraId="3A92A531" w14:textId="77777777" w:rsidR="008C5CFA" w:rsidRPr="0024468B" w:rsidRDefault="008C5CFA" w:rsidP="00300A01">
            <w:pPr>
              <w:spacing w:before="0" w:after="0"/>
              <w:jc w:val="right"/>
              <w:rPr>
                <w:sz w:val="16"/>
                <w:szCs w:val="16"/>
                <w:lang w:val="fr-BE"/>
              </w:rPr>
            </w:pPr>
          </w:p>
        </w:tc>
      </w:tr>
    </w:tbl>
    <w:p w14:paraId="4A9F24F1" w14:textId="77777777" w:rsidR="008C5CFA" w:rsidRDefault="008C5CFA" w:rsidP="00300A01">
      <w:pPr>
        <w:spacing w:before="0" w:after="0"/>
        <w:rPr>
          <w:lang w:val="fr-BE"/>
        </w:rPr>
      </w:pPr>
    </w:p>
    <w:p w14:paraId="56590C70" w14:textId="77777777" w:rsidR="008C5CFA" w:rsidRDefault="00E82A60" w:rsidP="00300A01">
      <w:pPr>
        <w:spacing w:before="0" w:after="0"/>
        <w:rPr>
          <w:lang w:val="fr-BE"/>
        </w:rPr>
      </w:pPr>
      <w:r>
        <w:rPr>
          <w:lang w:val="fr-BE"/>
        </w:rPr>
        <w:br w:type="page"/>
      </w:r>
    </w:p>
    <w:p w14:paraId="313F0B31"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3"/>
        <w:gridCol w:w="13251"/>
      </w:tblGrid>
      <w:tr w:rsidR="006B2EC1" w14:paraId="4DE79E81" w14:textId="77777777" w:rsidTr="0047688D">
        <w:tc>
          <w:tcPr>
            <w:tcW w:w="0" w:type="auto"/>
            <w:shd w:val="clear" w:color="auto" w:fill="auto"/>
          </w:tcPr>
          <w:p w14:paraId="5A9D1CDC" w14:textId="77777777" w:rsidR="008C5CFA" w:rsidRPr="002124FC" w:rsidRDefault="00E82A60" w:rsidP="00300A01">
            <w:pPr>
              <w:spacing w:before="0" w:after="0"/>
              <w:rPr>
                <w:sz w:val="20"/>
                <w:szCs w:val="20"/>
                <w:lang w:val="fr-BE"/>
              </w:rPr>
            </w:pPr>
            <w:r>
              <w:rPr>
                <w:lang w:val="fr-BE"/>
              </w:rPr>
              <w:br w:type="page"/>
            </w:r>
            <w:r>
              <w:rPr>
                <w:lang w:val="fr-BE"/>
              </w:rPr>
              <w:br w:type="page"/>
            </w:r>
            <w:r>
              <w:rPr>
                <w:lang w:val="fr-BE"/>
              </w:rPr>
              <w:br w:type="page"/>
            </w:r>
            <w:r w:rsidRPr="002124FC">
              <w:rPr>
                <w:noProof/>
                <w:sz w:val="20"/>
                <w:szCs w:val="20"/>
                <w:lang w:val="fr-BE"/>
              </w:rPr>
              <w:t>Oś priorytetowa</w:t>
            </w:r>
          </w:p>
        </w:tc>
        <w:tc>
          <w:tcPr>
            <w:tcW w:w="0" w:type="auto"/>
            <w:shd w:val="clear" w:color="auto" w:fill="auto"/>
          </w:tcPr>
          <w:p w14:paraId="5868F764" w14:textId="77777777" w:rsidR="008C5CFA" w:rsidRPr="002124FC" w:rsidRDefault="00E82A60" w:rsidP="00300A01">
            <w:pPr>
              <w:spacing w:before="0" w:after="0"/>
              <w:rPr>
                <w:sz w:val="20"/>
                <w:szCs w:val="20"/>
                <w:lang w:val="fr-BE"/>
              </w:rPr>
            </w:pPr>
            <w:r>
              <w:rPr>
                <w:noProof/>
                <w:sz w:val="20"/>
                <w:szCs w:val="20"/>
                <w:lang w:val="fr-BE"/>
              </w:rPr>
              <w:t>7</w:t>
            </w:r>
            <w:r w:rsidRPr="002124FC">
              <w:rPr>
                <w:sz w:val="20"/>
                <w:szCs w:val="20"/>
                <w:lang w:val="fr-BE"/>
              </w:rPr>
              <w:t xml:space="preserve"> - </w:t>
            </w:r>
            <w:r>
              <w:rPr>
                <w:noProof/>
                <w:sz w:val="20"/>
                <w:szCs w:val="20"/>
                <w:lang w:val="fr-BE"/>
              </w:rPr>
              <w:t>Sprawne usługi publiczne</w:t>
            </w:r>
          </w:p>
        </w:tc>
      </w:tr>
      <w:tr w:rsidR="006B2EC1" w14:paraId="3A9D6D88" w14:textId="77777777" w:rsidTr="0047688D">
        <w:tc>
          <w:tcPr>
            <w:tcW w:w="0" w:type="auto"/>
            <w:shd w:val="clear" w:color="auto" w:fill="auto"/>
          </w:tcPr>
          <w:p w14:paraId="49B89946" w14:textId="77777777" w:rsidR="008C5CFA" w:rsidRPr="002124FC" w:rsidRDefault="00E82A60"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14:paraId="49DCE72C" w14:textId="77777777" w:rsidR="008C5CFA" w:rsidRPr="002124FC" w:rsidRDefault="00E82A60" w:rsidP="00300A01">
            <w:pPr>
              <w:spacing w:before="0" w:after="0"/>
              <w:rPr>
                <w:sz w:val="20"/>
                <w:szCs w:val="20"/>
                <w:lang w:val="fr-BE"/>
              </w:rPr>
            </w:pPr>
            <w:r w:rsidRPr="002124FC">
              <w:rPr>
                <w:noProof/>
                <w:sz w:val="20"/>
                <w:szCs w:val="20"/>
                <w:lang w:val="fr-BE"/>
              </w:rPr>
              <w:t>10a</w:t>
            </w:r>
            <w:r w:rsidRPr="002124FC">
              <w:rPr>
                <w:sz w:val="20"/>
                <w:szCs w:val="20"/>
                <w:lang w:val="fr-BE"/>
              </w:rPr>
              <w:t xml:space="preserve"> - </w:t>
            </w:r>
            <w:r>
              <w:rPr>
                <w:noProof/>
                <w:sz w:val="20"/>
                <w:szCs w:val="20"/>
                <w:lang w:val="fr-BE"/>
              </w:rPr>
              <w:t>Inwestycje w kształcenie, szkolenie oraz szkolenie zawodowe na rzecz zdobywania umiejętności i uczenia się przez całe życie poprzez rozwój infrastruktury szkoleniowej i edukacyjnej</w:t>
            </w:r>
          </w:p>
        </w:tc>
      </w:tr>
      <w:tr w:rsidR="006B2EC1" w14:paraId="3127C0F0" w14:textId="77777777" w:rsidTr="0047688D">
        <w:tc>
          <w:tcPr>
            <w:tcW w:w="0" w:type="auto"/>
            <w:shd w:val="clear" w:color="auto" w:fill="auto"/>
          </w:tcPr>
          <w:p w14:paraId="447FDF7C" w14:textId="77777777" w:rsidR="008C5CFA" w:rsidRPr="002124FC" w:rsidRDefault="00E82A60" w:rsidP="00300A01">
            <w:pPr>
              <w:spacing w:before="0" w:after="0"/>
              <w:ind w:left="113" w:hanging="113"/>
              <w:rPr>
                <w:sz w:val="20"/>
                <w:szCs w:val="20"/>
                <w:lang w:val="fr-BE"/>
              </w:rPr>
            </w:pPr>
            <w:r>
              <w:rPr>
                <w:noProof/>
                <w:sz w:val="20"/>
                <w:szCs w:val="20"/>
                <w:lang w:val="fr-BE"/>
              </w:rPr>
              <w:t>Cel szczegółowy</w:t>
            </w:r>
          </w:p>
        </w:tc>
        <w:tc>
          <w:tcPr>
            <w:tcW w:w="0" w:type="auto"/>
            <w:shd w:val="clear" w:color="auto" w:fill="auto"/>
          </w:tcPr>
          <w:p w14:paraId="78AD7328" w14:textId="77777777" w:rsidR="008C5CFA" w:rsidRPr="002124FC" w:rsidRDefault="00E82A60" w:rsidP="00300A01">
            <w:pPr>
              <w:spacing w:before="0" w:after="0"/>
              <w:rPr>
                <w:sz w:val="20"/>
                <w:szCs w:val="20"/>
                <w:lang w:val="fr-BE"/>
              </w:rPr>
            </w:pPr>
            <w:r>
              <w:rPr>
                <w:noProof/>
                <w:sz w:val="20"/>
                <w:szCs w:val="20"/>
                <w:lang w:val="fr-BE"/>
              </w:rPr>
              <w:t>3</w:t>
            </w:r>
            <w:r>
              <w:rPr>
                <w:sz w:val="20"/>
                <w:szCs w:val="20"/>
                <w:lang w:val="fr-BE"/>
              </w:rPr>
              <w:t xml:space="preserve"> - </w:t>
            </w:r>
            <w:r>
              <w:rPr>
                <w:noProof/>
                <w:sz w:val="20"/>
                <w:szCs w:val="20"/>
                <w:lang w:val="fr-BE"/>
              </w:rPr>
              <w:t>Poprawiona dostępność infrastruktury szkolnictwa wyższego i wyższego zawodowego.</w:t>
            </w:r>
          </w:p>
        </w:tc>
      </w:tr>
    </w:tbl>
    <w:p w14:paraId="5D219752" w14:textId="77777777" w:rsidR="008C5CFA" w:rsidRDefault="008C5CFA" w:rsidP="00300A01">
      <w:pPr>
        <w:spacing w:before="0" w:after="0"/>
        <w:rPr>
          <w:lang w:val="fr-BE"/>
        </w:rPr>
      </w:pPr>
    </w:p>
    <w:p w14:paraId="6CB70059" w14:textId="77777777" w:rsidR="008C5CFA" w:rsidRDefault="00E82A60" w:rsidP="00300A01">
      <w:pPr>
        <w:spacing w:before="0" w:after="0"/>
        <w:rPr>
          <w:lang w:val="fr-BE"/>
        </w:rPr>
      </w:pPr>
      <w:r>
        <w:rPr>
          <w:lang w:val="fr-BE"/>
        </w:rPr>
        <w:t xml:space="preserve">Tabela 1: Wskaźniki rezultatu dla EFRR i Funduszu Spójności (według osi priorytetowej i celu szczegółowego); ma zastosowanie także do osi priorytetowej </w:t>
      </w:r>
      <w:r>
        <w:t>"</w:t>
      </w:r>
      <w:r>
        <w:rPr>
          <w:lang w:val="fr-BE"/>
        </w:rPr>
        <w:t>Pomoc techniczna</w:t>
      </w:r>
      <w:r>
        <w:t>"</w:t>
      </w:r>
    </w:p>
    <w:p w14:paraId="43955530"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
        <w:gridCol w:w="4680"/>
        <w:gridCol w:w="1015"/>
        <w:gridCol w:w="1088"/>
        <w:gridCol w:w="964"/>
        <w:gridCol w:w="838"/>
        <w:gridCol w:w="1208"/>
        <w:gridCol w:w="878"/>
        <w:gridCol w:w="1100"/>
        <w:gridCol w:w="2956"/>
      </w:tblGrid>
      <w:tr w:rsidR="006B2EC1" w14:paraId="64F51172" w14:textId="77777777" w:rsidTr="0047688D">
        <w:tc>
          <w:tcPr>
            <w:tcW w:w="0" w:type="auto"/>
            <w:shd w:val="clear" w:color="auto" w:fill="auto"/>
          </w:tcPr>
          <w:p w14:paraId="52F1D9D8" w14:textId="77777777" w:rsidR="008C5CFA" w:rsidRPr="0024468B" w:rsidRDefault="00E82A60" w:rsidP="00300A01">
            <w:pPr>
              <w:spacing w:before="0" w:after="0"/>
              <w:rPr>
                <w:sz w:val="16"/>
                <w:szCs w:val="16"/>
                <w:lang w:val="fr-BE"/>
              </w:rPr>
            </w:pPr>
            <w:r w:rsidRPr="0024468B">
              <w:rPr>
                <w:noProof/>
                <w:sz w:val="16"/>
                <w:szCs w:val="16"/>
                <w:lang w:val="fr-BE"/>
              </w:rPr>
              <w:t>ID</w:t>
            </w:r>
          </w:p>
        </w:tc>
        <w:tc>
          <w:tcPr>
            <w:tcW w:w="0" w:type="auto"/>
            <w:shd w:val="clear" w:color="auto" w:fill="auto"/>
          </w:tcPr>
          <w:p w14:paraId="233F1148" w14:textId="77777777" w:rsidR="008C5CFA" w:rsidRPr="0024468B" w:rsidRDefault="00E82A60" w:rsidP="00300A01">
            <w:pPr>
              <w:spacing w:before="0" w:after="0"/>
              <w:rPr>
                <w:sz w:val="16"/>
                <w:szCs w:val="16"/>
                <w:lang w:val="fr-BE"/>
              </w:rPr>
            </w:pPr>
            <w:r w:rsidRPr="0024468B">
              <w:rPr>
                <w:noProof/>
                <w:sz w:val="16"/>
                <w:szCs w:val="16"/>
                <w:lang w:val="fr-BE"/>
              </w:rPr>
              <w:t>Wskaźnik</w:t>
            </w:r>
          </w:p>
        </w:tc>
        <w:tc>
          <w:tcPr>
            <w:tcW w:w="0" w:type="auto"/>
            <w:shd w:val="clear" w:color="auto" w:fill="auto"/>
          </w:tcPr>
          <w:p w14:paraId="4586BA84" w14:textId="77777777" w:rsidR="008C5CFA" w:rsidRPr="0024468B" w:rsidRDefault="00E82A60" w:rsidP="00300A01">
            <w:pPr>
              <w:spacing w:before="0" w:after="0"/>
              <w:rPr>
                <w:sz w:val="16"/>
                <w:szCs w:val="16"/>
                <w:lang w:val="fr-BE"/>
              </w:rPr>
            </w:pPr>
            <w:r w:rsidRPr="0024468B">
              <w:rPr>
                <w:noProof/>
                <w:sz w:val="16"/>
                <w:szCs w:val="16"/>
                <w:lang w:val="fr-BE"/>
              </w:rPr>
              <w:t>Jednostka miary</w:t>
            </w:r>
          </w:p>
        </w:tc>
        <w:tc>
          <w:tcPr>
            <w:tcW w:w="0" w:type="auto"/>
            <w:shd w:val="clear" w:color="auto" w:fill="auto"/>
          </w:tcPr>
          <w:p w14:paraId="5CAE3F1B" w14:textId="77777777" w:rsidR="008C5CFA" w:rsidRPr="0024468B" w:rsidRDefault="00E82A60" w:rsidP="00300A01">
            <w:pPr>
              <w:spacing w:before="0" w:after="0"/>
              <w:rPr>
                <w:sz w:val="16"/>
                <w:szCs w:val="16"/>
                <w:lang w:val="fr-BE"/>
              </w:rPr>
            </w:pPr>
            <w:r w:rsidRPr="0024468B">
              <w:rPr>
                <w:noProof/>
                <w:sz w:val="16"/>
                <w:szCs w:val="16"/>
                <w:lang w:val="fr-BE"/>
              </w:rPr>
              <w:t>Kategoria regionu</w:t>
            </w:r>
          </w:p>
        </w:tc>
        <w:tc>
          <w:tcPr>
            <w:tcW w:w="0" w:type="auto"/>
            <w:shd w:val="clear" w:color="auto" w:fill="auto"/>
          </w:tcPr>
          <w:p w14:paraId="23B7D0E4" w14:textId="77777777" w:rsidR="008C5CFA" w:rsidRPr="0024468B" w:rsidRDefault="00E82A60" w:rsidP="00300A01">
            <w:pPr>
              <w:spacing w:before="0" w:after="0"/>
              <w:rPr>
                <w:sz w:val="16"/>
                <w:szCs w:val="16"/>
                <w:lang w:val="fr-BE"/>
              </w:rPr>
            </w:pPr>
            <w:r w:rsidRPr="0024468B">
              <w:rPr>
                <w:noProof/>
                <w:sz w:val="16"/>
                <w:szCs w:val="16"/>
                <w:lang w:val="fr-BE"/>
              </w:rPr>
              <w:t>Wartość bazowa</w:t>
            </w:r>
          </w:p>
        </w:tc>
        <w:tc>
          <w:tcPr>
            <w:tcW w:w="0" w:type="auto"/>
            <w:shd w:val="clear" w:color="auto" w:fill="auto"/>
          </w:tcPr>
          <w:p w14:paraId="5DD58BC0" w14:textId="77777777" w:rsidR="008C5CFA" w:rsidRPr="0024468B" w:rsidRDefault="00E82A60" w:rsidP="00300A01">
            <w:pPr>
              <w:spacing w:before="0" w:after="0"/>
              <w:rPr>
                <w:sz w:val="16"/>
                <w:szCs w:val="16"/>
                <w:lang w:val="fr-BE"/>
              </w:rPr>
            </w:pPr>
            <w:r w:rsidRPr="0024468B">
              <w:rPr>
                <w:noProof/>
                <w:sz w:val="16"/>
                <w:szCs w:val="16"/>
                <w:lang w:val="fr-BE"/>
              </w:rPr>
              <w:t>Rok bazowy</w:t>
            </w:r>
          </w:p>
        </w:tc>
        <w:tc>
          <w:tcPr>
            <w:tcW w:w="0" w:type="auto"/>
            <w:shd w:val="clear" w:color="auto" w:fill="auto"/>
          </w:tcPr>
          <w:p w14:paraId="645F252E" w14:textId="77777777" w:rsidR="008C5CFA" w:rsidRPr="0024468B" w:rsidRDefault="00E82A60" w:rsidP="00300A01">
            <w:pPr>
              <w:spacing w:before="0" w:after="0"/>
              <w:rPr>
                <w:sz w:val="16"/>
                <w:szCs w:val="16"/>
                <w:lang w:val="fr-BE"/>
              </w:rPr>
            </w:pPr>
            <w:r w:rsidRPr="0024468B">
              <w:rPr>
                <w:noProof/>
                <w:sz w:val="16"/>
                <w:szCs w:val="16"/>
                <w:lang w:val="fr-BE"/>
              </w:rPr>
              <w:t>Wartość docelowa 2023</w:t>
            </w:r>
          </w:p>
        </w:tc>
        <w:tc>
          <w:tcPr>
            <w:tcW w:w="0" w:type="auto"/>
            <w:shd w:val="clear" w:color="auto" w:fill="auto"/>
          </w:tcPr>
          <w:p w14:paraId="31224D26" w14:textId="77777777" w:rsidR="008C5CFA" w:rsidRPr="0024468B" w:rsidRDefault="00E82A60" w:rsidP="00300A01">
            <w:pPr>
              <w:spacing w:before="0" w:after="0"/>
              <w:jc w:val="center"/>
              <w:rPr>
                <w:sz w:val="16"/>
                <w:szCs w:val="16"/>
                <w:lang w:val="fr-BE"/>
              </w:rPr>
            </w:pPr>
            <w:r>
              <w:rPr>
                <w:sz w:val="16"/>
                <w:szCs w:val="16"/>
                <w:lang w:val="fr-BE"/>
              </w:rPr>
              <w:t xml:space="preserve">2019 </w:t>
            </w:r>
            <w:r>
              <w:rPr>
                <w:noProof/>
                <w:sz w:val="16"/>
                <w:szCs w:val="16"/>
                <w:lang w:val="fr-BE"/>
              </w:rPr>
              <w:t>Ogółem</w:t>
            </w:r>
          </w:p>
        </w:tc>
        <w:tc>
          <w:tcPr>
            <w:tcW w:w="0" w:type="auto"/>
            <w:shd w:val="clear" w:color="auto" w:fill="auto"/>
          </w:tcPr>
          <w:p w14:paraId="0BF672D0" w14:textId="77777777" w:rsidR="008C5CFA" w:rsidRPr="0024468B" w:rsidRDefault="00E82A60" w:rsidP="00300A01">
            <w:pPr>
              <w:spacing w:before="0" w:after="0"/>
              <w:jc w:val="center"/>
              <w:rPr>
                <w:sz w:val="16"/>
                <w:szCs w:val="16"/>
                <w:lang w:val="fr-BE"/>
              </w:rPr>
            </w:pPr>
            <w:r>
              <w:rPr>
                <w:sz w:val="16"/>
                <w:szCs w:val="16"/>
                <w:lang w:val="fr-BE"/>
              </w:rPr>
              <w:t xml:space="preserve">2019 </w:t>
            </w:r>
            <w:r w:rsidRPr="0024468B">
              <w:rPr>
                <w:noProof/>
                <w:sz w:val="16"/>
                <w:szCs w:val="16"/>
                <w:lang w:val="fr-BE"/>
              </w:rPr>
              <w:t>Jakościowe</w:t>
            </w:r>
          </w:p>
        </w:tc>
        <w:tc>
          <w:tcPr>
            <w:tcW w:w="0" w:type="auto"/>
            <w:shd w:val="clear" w:color="auto" w:fill="auto"/>
          </w:tcPr>
          <w:p w14:paraId="089F5E66" w14:textId="77777777" w:rsidR="008C5CFA" w:rsidRPr="0024468B" w:rsidRDefault="00E82A60" w:rsidP="00300A01">
            <w:pPr>
              <w:spacing w:before="0" w:after="0"/>
              <w:jc w:val="center"/>
              <w:rPr>
                <w:sz w:val="16"/>
                <w:szCs w:val="16"/>
                <w:lang w:val="fr-BE"/>
              </w:rPr>
            </w:pPr>
            <w:r w:rsidRPr="0024468B">
              <w:rPr>
                <w:noProof/>
                <w:sz w:val="16"/>
                <w:szCs w:val="16"/>
                <w:lang w:val="fr-BE"/>
              </w:rPr>
              <w:t>Uwagi</w:t>
            </w:r>
          </w:p>
        </w:tc>
      </w:tr>
      <w:tr w:rsidR="006B2EC1" w14:paraId="61D1668F" w14:textId="77777777" w:rsidTr="0047688D">
        <w:tc>
          <w:tcPr>
            <w:tcW w:w="0" w:type="auto"/>
            <w:shd w:val="clear" w:color="auto" w:fill="auto"/>
          </w:tcPr>
          <w:p w14:paraId="28AB2A91" w14:textId="77777777" w:rsidR="008C5CFA" w:rsidRPr="0024468B" w:rsidRDefault="00E82A60" w:rsidP="00300A01">
            <w:pPr>
              <w:spacing w:before="0" w:after="0"/>
              <w:rPr>
                <w:sz w:val="16"/>
                <w:szCs w:val="16"/>
                <w:lang w:val="fr-BE"/>
              </w:rPr>
            </w:pPr>
            <w:r w:rsidRPr="0024468B">
              <w:rPr>
                <w:noProof/>
                <w:sz w:val="16"/>
                <w:szCs w:val="16"/>
                <w:lang w:val="fr-BE"/>
              </w:rPr>
              <w:t>060</w:t>
            </w:r>
          </w:p>
        </w:tc>
        <w:tc>
          <w:tcPr>
            <w:tcW w:w="0" w:type="auto"/>
            <w:shd w:val="clear" w:color="auto" w:fill="auto"/>
          </w:tcPr>
          <w:p w14:paraId="498CC295" w14:textId="77777777" w:rsidR="008C5CFA" w:rsidRPr="0024468B" w:rsidRDefault="00E82A60" w:rsidP="00300A01">
            <w:pPr>
              <w:spacing w:before="0" w:after="0"/>
              <w:rPr>
                <w:sz w:val="16"/>
                <w:szCs w:val="16"/>
                <w:lang w:val="fr-BE"/>
              </w:rPr>
            </w:pPr>
            <w:r w:rsidRPr="0024468B">
              <w:rPr>
                <w:noProof/>
                <w:sz w:val="16"/>
                <w:szCs w:val="16"/>
                <w:lang w:val="fr-BE"/>
              </w:rPr>
              <w:t>Udział absolwentów grup kierunków związanych z inteligentnymi specjalizacjami w ogóle absolwentów szkół wyższych (publicznych i prywatnych)</w:t>
            </w:r>
          </w:p>
        </w:tc>
        <w:tc>
          <w:tcPr>
            <w:tcW w:w="0" w:type="auto"/>
            <w:shd w:val="clear" w:color="auto" w:fill="auto"/>
          </w:tcPr>
          <w:p w14:paraId="3811BA07" w14:textId="77777777" w:rsidR="008C5CFA" w:rsidRPr="0024468B" w:rsidRDefault="00E82A60" w:rsidP="00300A01">
            <w:pPr>
              <w:spacing w:before="0" w:after="0"/>
              <w:rPr>
                <w:sz w:val="16"/>
                <w:szCs w:val="16"/>
                <w:lang w:val="fr-BE"/>
              </w:rPr>
            </w:pPr>
            <w:r w:rsidRPr="0024468B">
              <w:rPr>
                <w:noProof/>
                <w:sz w:val="16"/>
                <w:szCs w:val="16"/>
                <w:lang w:val="fr-BE"/>
              </w:rPr>
              <w:t>%</w:t>
            </w:r>
          </w:p>
        </w:tc>
        <w:tc>
          <w:tcPr>
            <w:tcW w:w="0" w:type="auto"/>
            <w:shd w:val="clear" w:color="auto" w:fill="auto"/>
          </w:tcPr>
          <w:p w14:paraId="1B1A679A" w14:textId="77777777" w:rsidR="008C5CFA" w:rsidRPr="0024468B" w:rsidRDefault="00E82A60" w:rsidP="00300A01">
            <w:pPr>
              <w:spacing w:before="0" w:after="0"/>
              <w:rPr>
                <w:sz w:val="16"/>
                <w:szCs w:val="16"/>
                <w:lang w:val="fr-BE"/>
              </w:rPr>
            </w:pPr>
            <w:r w:rsidRPr="0024468B">
              <w:rPr>
                <w:noProof/>
                <w:sz w:val="16"/>
                <w:szCs w:val="16"/>
                <w:lang w:val="fr-BE"/>
              </w:rPr>
              <w:t>Słabiej rozwinięte</w:t>
            </w:r>
          </w:p>
        </w:tc>
        <w:tc>
          <w:tcPr>
            <w:tcW w:w="0" w:type="auto"/>
            <w:shd w:val="clear" w:color="auto" w:fill="auto"/>
          </w:tcPr>
          <w:p w14:paraId="5F05363E" w14:textId="77777777" w:rsidR="008C5CFA" w:rsidRPr="00C3185A" w:rsidRDefault="00E82A60" w:rsidP="00300A01">
            <w:pPr>
              <w:spacing w:before="0" w:after="0"/>
              <w:jc w:val="right"/>
              <w:rPr>
                <w:sz w:val="16"/>
                <w:szCs w:val="16"/>
                <w:lang w:val="fr-BE"/>
              </w:rPr>
            </w:pPr>
            <w:r w:rsidRPr="00C3185A">
              <w:rPr>
                <w:noProof/>
                <w:sz w:val="16"/>
                <w:szCs w:val="16"/>
                <w:lang w:val="fr-BE"/>
              </w:rPr>
              <w:t>11,20</w:t>
            </w:r>
          </w:p>
        </w:tc>
        <w:tc>
          <w:tcPr>
            <w:tcW w:w="0" w:type="auto"/>
            <w:shd w:val="clear" w:color="auto" w:fill="auto"/>
          </w:tcPr>
          <w:p w14:paraId="65FEC44F" w14:textId="77777777" w:rsidR="008C5CFA" w:rsidRPr="0024468B" w:rsidRDefault="00E82A60" w:rsidP="00300A01">
            <w:pPr>
              <w:spacing w:before="0" w:after="0"/>
              <w:rPr>
                <w:sz w:val="16"/>
                <w:szCs w:val="16"/>
                <w:lang w:val="fr-BE"/>
              </w:rPr>
            </w:pPr>
            <w:r w:rsidRPr="0024468B">
              <w:rPr>
                <w:noProof/>
                <w:sz w:val="16"/>
                <w:szCs w:val="16"/>
                <w:lang w:val="fr-BE"/>
              </w:rPr>
              <w:t>2013</w:t>
            </w:r>
          </w:p>
        </w:tc>
        <w:tc>
          <w:tcPr>
            <w:tcW w:w="0" w:type="auto"/>
            <w:shd w:val="clear" w:color="auto" w:fill="auto"/>
          </w:tcPr>
          <w:p w14:paraId="79BDF817" w14:textId="77777777" w:rsidR="008C5CFA" w:rsidRPr="0024468B" w:rsidRDefault="00E82A60" w:rsidP="00300A01">
            <w:pPr>
              <w:spacing w:before="0" w:after="0"/>
              <w:jc w:val="right"/>
              <w:rPr>
                <w:sz w:val="16"/>
                <w:szCs w:val="16"/>
                <w:lang w:val="fr-BE"/>
              </w:rPr>
            </w:pPr>
            <w:r w:rsidRPr="0024468B">
              <w:rPr>
                <w:noProof/>
                <w:sz w:val="16"/>
                <w:szCs w:val="16"/>
                <w:lang w:val="fr-BE"/>
              </w:rPr>
              <w:t>12,30</w:t>
            </w:r>
          </w:p>
        </w:tc>
        <w:tc>
          <w:tcPr>
            <w:tcW w:w="0" w:type="auto"/>
            <w:shd w:val="clear" w:color="auto" w:fill="auto"/>
          </w:tcPr>
          <w:p w14:paraId="07E3920E" w14:textId="77777777" w:rsidR="008C5CFA" w:rsidRPr="0024468B" w:rsidRDefault="00E82A60"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14:paraId="4066D4C4" w14:textId="77777777" w:rsidR="008C5CFA" w:rsidRPr="0024468B" w:rsidRDefault="008C5CFA" w:rsidP="00300A01">
            <w:pPr>
              <w:spacing w:before="0" w:after="0"/>
              <w:jc w:val="right"/>
              <w:rPr>
                <w:sz w:val="16"/>
                <w:szCs w:val="16"/>
                <w:lang w:val="fr-BE"/>
              </w:rPr>
            </w:pPr>
          </w:p>
        </w:tc>
        <w:tc>
          <w:tcPr>
            <w:tcW w:w="0" w:type="auto"/>
            <w:shd w:val="clear" w:color="auto" w:fill="auto"/>
          </w:tcPr>
          <w:p w14:paraId="43FD2717" w14:textId="77777777" w:rsidR="008C5CFA" w:rsidRPr="0024468B" w:rsidRDefault="00E82A60" w:rsidP="00300A01">
            <w:pPr>
              <w:spacing w:before="0" w:after="0"/>
              <w:rPr>
                <w:sz w:val="16"/>
                <w:szCs w:val="16"/>
                <w:lang w:val="fr-BE"/>
              </w:rPr>
            </w:pPr>
            <w:r w:rsidRPr="0024468B">
              <w:rPr>
                <w:noProof/>
                <w:sz w:val="16"/>
                <w:szCs w:val="16"/>
                <w:lang w:val="fr-BE"/>
              </w:rPr>
              <w:t>Brak aktualnych danych dostępnych w statystykach publicznych (systemie STRATEG)</w:t>
            </w:r>
          </w:p>
        </w:tc>
      </w:tr>
    </w:tbl>
    <w:p w14:paraId="3958678C"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6280"/>
        <w:gridCol w:w="945"/>
        <w:gridCol w:w="1167"/>
        <w:gridCol w:w="945"/>
        <w:gridCol w:w="1167"/>
        <w:gridCol w:w="945"/>
        <w:gridCol w:w="1167"/>
        <w:gridCol w:w="945"/>
        <w:gridCol w:w="1167"/>
      </w:tblGrid>
      <w:tr w:rsidR="006B2EC1" w14:paraId="7B15CE79" w14:textId="77777777" w:rsidTr="0047688D">
        <w:tc>
          <w:tcPr>
            <w:tcW w:w="0" w:type="auto"/>
            <w:shd w:val="clear" w:color="auto" w:fill="auto"/>
          </w:tcPr>
          <w:p w14:paraId="0F893968" w14:textId="77777777" w:rsidR="008C5CFA" w:rsidRPr="0024468B" w:rsidRDefault="00E82A60" w:rsidP="00300A01">
            <w:pPr>
              <w:spacing w:before="0" w:after="0"/>
              <w:rPr>
                <w:sz w:val="16"/>
                <w:szCs w:val="16"/>
                <w:lang w:val="fr-BE"/>
              </w:rPr>
            </w:pPr>
            <w:r w:rsidRPr="0024468B">
              <w:rPr>
                <w:noProof/>
                <w:sz w:val="16"/>
                <w:szCs w:val="16"/>
                <w:lang w:val="fr-BE"/>
              </w:rPr>
              <w:t>ID</w:t>
            </w:r>
          </w:p>
        </w:tc>
        <w:tc>
          <w:tcPr>
            <w:tcW w:w="0" w:type="auto"/>
            <w:shd w:val="clear" w:color="auto" w:fill="auto"/>
          </w:tcPr>
          <w:p w14:paraId="1E6C1291" w14:textId="77777777" w:rsidR="008C5CFA" w:rsidRPr="0024468B" w:rsidRDefault="00E82A60" w:rsidP="00300A01">
            <w:pPr>
              <w:spacing w:before="0" w:after="0"/>
              <w:rPr>
                <w:sz w:val="16"/>
                <w:szCs w:val="16"/>
                <w:lang w:val="fr-BE"/>
              </w:rPr>
            </w:pPr>
            <w:r w:rsidRPr="0024468B">
              <w:rPr>
                <w:noProof/>
                <w:sz w:val="16"/>
                <w:szCs w:val="16"/>
                <w:lang w:val="fr-BE"/>
              </w:rPr>
              <w:t>Wskaźnik</w:t>
            </w:r>
          </w:p>
        </w:tc>
        <w:tc>
          <w:tcPr>
            <w:tcW w:w="0" w:type="auto"/>
          </w:tcPr>
          <w:p w14:paraId="3310F89A" w14:textId="77777777" w:rsidR="008C5CFA" w:rsidRPr="0024468B" w:rsidRDefault="00E82A60" w:rsidP="00300A01">
            <w:pPr>
              <w:spacing w:before="0" w:after="0"/>
              <w:jc w:val="center"/>
              <w:rPr>
                <w:sz w:val="16"/>
                <w:szCs w:val="16"/>
                <w:lang w:val="fr-BE"/>
              </w:rPr>
            </w:pPr>
            <w:r>
              <w:rPr>
                <w:sz w:val="16"/>
                <w:szCs w:val="16"/>
                <w:lang w:val="fr-BE"/>
              </w:rPr>
              <w:t xml:space="preserve">2018 </w:t>
            </w:r>
            <w:r>
              <w:rPr>
                <w:noProof/>
                <w:sz w:val="16"/>
                <w:szCs w:val="16"/>
                <w:lang w:val="fr-BE"/>
              </w:rPr>
              <w:t>Ogółem</w:t>
            </w:r>
          </w:p>
        </w:tc>
        <w:tc>
          <w:tcPr>
            <w:tcW w:w="0" w:type="auto"/>
          </w:tcPr>
          <w:p w14:paraId="2D1E0111" w14:textId="77777777" w:rsidR="008C5CFA" w:rsidRPr="0024468B" w:rsidRDefault="00E82A60" w:rsidP="00300A01">
            <w:pPr>
              <w:spacing w:before="0" w:after="0"/>
              <w:jc w:val="center"/>
              <w:rPr>
                <w:sz w:val="16"/>
                <w:szCs w:val="16"/>
                <w:lang w:val="fr-BE"/>
              </w:rPr>
            </w:pPr>
            <w:r>
              <w:rPr>
                <w:sz w:val="16"/>
                <w:szCs w:val="16"/>
                <w:lang w:val="fr-BE"/>
              </w:rPr>
              <w:t xml:space="preserve">2018 </w:t>
            </w:r>
            <w:r w:rsidRPr="0024468B">
              <w:rPr>
                <w:noProof/>
                <w:sz w:val="16"/>
                <w:szCs w:val="16"/>
                <w:lang w:val="fr-BE"/>
              </w:rPr>
              <w:t>Jakościowe</w:t>
            </w:r>
          </w:p>
        </w:tc>
        <w:tc>
          <w:tcPr>
            <w:tcW w:w="0" w:type="auto"/>
          </w:tcPr>
          <w:p w14:paraId="731BA9D6" w14:textId="77777777" w:rsidR="008C5CFA" w:rsidRPr="0024468B" w:rsidRDefault="00E82A60" w:rsidP="00300A01">
            <w:pPr>
              <w:spacing w:before="0" w:after="0"/>
              <w:jc w:val="center"/>
              <w:rPr>
                <w:sz w:val="16"/>
                <w:szCs w:val="16"/>
                <w:lang w:val="fr-BE"/>
              </w:rPr>
            </w:pPr>
            <w:r>
              <w:rPr>
                <w:sz w:val="16"/>
                <w:szCs w:val="16"/>
                <w:lang w:val="fr-BE"/>
              </w:rPr>
              <w:t xml:space="preserve">2017 </w:t>
            </w:r>
            <w:r>
              <w:rPr>
                <w:noProof/>
                <w:sz w:val="16"/>
                <w:szCs w:val="16"/>
                <w:lang w:val="fr-BE"/>
              </w:rPr>
              <w:t>Ogółem</w:t>
            </w:r>
          </w:p>
        </w:tc>
        <w:tc>
          <w:tcPr>
            <w:tcW w:w="0" w:type="auto"/>
          </w:tcPr>
          <w:p w14:paraId="074F6D95" w14:textId="77777777" w:rsidR="008C5CFA" w:rsidRPr="0024468B" w:rsidRDefault="00E82A60" w:rsidP="00300A01">
            <w:pPr>
              <w:spacing w:before="0" w:after="0"/>
              <w:jc w:val="center"/>
              <w:rPr>
                <w:sz w:val="16"/>
                <w:szCs w:val="16"/>
                <w:lang w:val="fr-BE"/>
              </w:rPr>
            </w:pPr>
            <w:r>
              <w:rPr>
                <w:sz w:val="16"/>
                <w:szCs w:val="16"/>
                <w:lang w:val="fr-BE"/>
              </w:rPr>
              <w:t xml:space="preserve">2017 </w:t>
            </w:r>
            <w:r w:rsidRPr="0024468B">
              <w:rPr>
                <w:noProof/>
                <w:sz w:val="16"/>
                <w:szCs w:val="16"/>
                <w:lang w:val="fr-BE"/>
              </w:rPr>
              <w:t>Jakościowe</w:t>
            </w:r>
          </w:p>
        </w:tc>
        <w:tc>
          <w:tcPr>
            <w:tcW w:w="0" w:type="auto"/>
          </w:tcPr>
          <w:p w14:paraId="0D2BA3E8" w14:textId="77777777" w:rsidR="008C5CFA" w:rsidRPr="0024468B" w:rsidRDefault="00E82A60" w:rsidP="00300A01">
            <w:pPr>
              <w:spacing w:before="0" w:after="0"/>
              <w:jc w:val="center"/>
              <w:rPr>
                <w:sz w:val="16"/>
                <w:szCs w:val="16"/>
                <w:lang w:val="fr-BE"/>
              </w:rPr>
            </w:pPr>
            <w:r>
              <w:rPr>
                <w:sz w:val="16"/>
                <w:szCs w:val="16"/>
                <w:lang w:val="fr-BE"/>
              </w:rPr>
              <w:t xml:space="preserve">2016 </w:t>
            </w:r>
            <w:r>
              <w:rPr>
                <w:noProof/>
                <w:sz w:val="16"/>
                <w:szCs w:val="16"/>
                <w:lang w:val="fr-BE"/>
              </w:rPr>
              <w:t>Ogółem</w:t>
            </w:r>
          </w:p>
        </w:tc>
        <w:tc>
          <w:tcPr>
            <w:tcW w:w="0" w:type="auto"/>
          </w:tcPr>
          <w:p w14:paraId="5E3BA64A" w14:textId="77777777" w:rsidR="008C5CFA" w:rsidRPr="0024468B" w:rsidRDefault="00E82A60" w:rsidP="00300A01">
            <w:pPr>
              <w:spacing w:before="0" w:after="0"/>
              <w:jc w:val="center"/>
              <w:rPr>
                <w:sz w:val="16"/>
                <w:szCs w:val="16"/>
                <w:lang w:val="fr-BE"/>
              </w:rPr>
            </w:pPr>
            <w:r>
              <w:rPr>
                <w:sz w:val="16"/>
                <w:szCs w:val="16"/>
                <w:lang w:val="fr-BE"/>
              </w:rPr>
              <w:t xml:space="preserve">2016 </w:t>
            </w:r>
            <w:r w:rsidRPr="0024468B">
              <w:rPr>
                <w:noProof/>
                <w:sz w:val="16"/>
                <w:szCs w:val="16"/>
                <w:lang w:val="fr-BE"/>
              </w:rPr>
              <w:t>Jakościowe</w:t>
            </w:r>
          </w:p>
        </w:tc>
        <w:tc>
          <w:tcPr>
            <w:tcW w:w="0" w:type="auto"/>
          </w:tcPr>
          <w:p w14:paraId="316748C3" w14:textId="77777777" w:rsidR="008C5CFA" w:rsidRPr="0024468B" w:rsidRDefault="00E82A60" w:rsidP="00300A01">
            <w:pPr>
              <w:spacing w:before="0" w:after="0"/>
              <w:jc w:val="center"/>
              <w:rPr>
                <w:sz w:val="16"/>
                <w:szCs w:val="16"/>
                <w:lang w:val="fr-BE"/>
              </w:rPr>
            </w:pPr>
            <w:r>
              <w:rPr>
                <w:sz w:val="16"/>
                <w:szCs w:val="16"/>
                <w:lang w:val="fr-BE"/>
              </w:rPr>
              <w:t xml:space="preserve">2015 </w:t>
            </w:r>
            <w:r>
              <w:rPr>
                <w:noProof/>
                <w:sz w:val="16"/>
                <w:szCs w:val="16"/>
                <w:lang w:val="fr-BE"/>
              </w:rPr>
              <w:t>Ogółem</w:t>
            </w:r>
          </w:p>
        </w:tc>
        <w:tc>
          <w:tcPr>
            <w:tcW w:w="0" w:type="auto"/>
          </w:tcPr>
          <w:p w14:paraId="625F3F8C" w14:textId="77777777" w:rsidR="008C5CFA" w:rsidRPr="0024468B" w:rsidRDefault="00E82A60" w:rsidP="00300A01">
            <w:pPr>
              <w:spacing w:before="0" w:after="0"/>
              <w:jc w:val="center"/>
              <w:rPr>
                <w:sz w:val="16"/>
                <w:szCs w:val="16"/>
                <w:lang w:val="fr-BE"/>
              </w:rPr>
            </w:pPr>
            <w:r>
              <w:rPr>
                <w:sz w:val="16"/>
                <w:szCs w:val="16"/>
                <w:lang w:val="fr-BE"/>
              </w:rPr>
              <w:t xml:space="preserve">2015 </w:t>
            </w:r>
            <w:r w:rsidRPr="0024468B">
              <w:rPr>
                <w:noProof/>
                <w:sz w:val="16"/>
                <w:szCs w:val="16"/>
                <w:lang w:val="fr-BE"/>
              </w:rPr>
              <w:t>Jakościowe</w:t>
            </w:r>
          </w:p>
        </w:tc>
      </w:tr>
      <w:tr w:rsidR="006B2EC1" w14:paraId="212462C7" w14:textId="77777777" w:rsidTr="0047688D">
        <w:tc>
          <w:tcPr>
            <w:tcW w:w="0" w:type="auto"/>
            <w:shd w:val="clear" w:color="auto" w:fill="auto"/>
          </w:tcPr>
          <w:p w14:paraId="0E9EF863" w14:textId="77777777" w:rsidR="008C5CFA" w:rsidRPr="0024468B" w:rsidRDefault="00E82A60" w:rsidP="00300A01">
            <w:pPr>
              <w:spacing w:before="0" w:after="0"/>
              <w:rPr>
                <w:sz w:val="16"/>
                <w:szCs w:val="16"/>
                <w:lang w:val="fr-BE"/>
              </w:rPr>
            </w:pPr>
            <w:r w:rsidRPr="0024468B">
              <w:rPr>
                <w:noProof/>
                <w:sz w:val="16"/>
                <w:szCs w:val="16"/>
                <w:lang w:val="fr-BE"/>
              </w:rPr>
              <w:t>060</w:t>
            </w:r>
          </w:p>
        </w:tc>
        <w:tc>
          <w:tcPr>
            <w:tcW w:w="0" w:type="auto"/>
            <w:shd w:val="clear" w:color="auto" w:fill="auto"/>
          </w:tcPr>
          <w:p w14:paraId="03ABAE55" w14:textId="77777777" w:rsidR="008C5CFA" w:rsidRPr="0024468B" w:rsidRDefault="00E82A60" w:rsidP="00300A01">
            <w:pPr>
              <w:spacing w:before="0" w:after="0"/>
              <w:rPr>
                <w:sz w:val="16"/>
                <w:szCs w:val="16"/>
                <w:lang w:val="fr-BE"/>
              </w:rPr>
            </w:pPr>
            <w:r w:rsidRPr="0024468B">
              <w:rPr>
                <w:noProof/>
                <w:sz w:val="16"/>
                <w:szCs w:val="16"/>
                <w:lang w:val="fr-BE"/>
              </w:rPr>
              <w:t>Udział absolwentów grup kierunków związanych z inteligentnymi specjalizacjami w ogóle absolwentów szkół wyższych (publicznych i prywatnych)</w:t>
            </w:r>
          </w:p>
        </w:tc>
        <w:tc>
          <w:tcPr>
            <w:tcW w:w="0" w:type="auto"/>
          </w:tcPr>
          <w:p w14:paraId="6C4BA77A" w14:textId="77777777" w:rsidR="008C5CFA" w:rsidRPr="0024468B" w:rsidRDefault="00E82A60" w:rsidP="00300A01">
            <w:pPr>
              <w:spacing w:before="0" w:after="0"/>
              <w:jc w:val="right"/>
              <w:rPr>
                <w:sz w:val="16"/>
                <w:szCs w:val="16"/>
                <w:lang w:val="fr-BE"/>
              </w:rPr>
            </w:pPr>
            <w:r w:rsidRPr="0024468B">
              <w:rPr>
                <w:noProof/>
                <w:sz w:val="16"/>
                <w:szCs w:val="16"/>
                <w:lang w:val="fr-BE"/>
              </w:rPr>
              <w:t>45,20</w:t>
            </w:r>
          </w:p>
        </w:tc>
        <w:tc>
          <w:tcPr>
            <w:tcW w:w="0" w:type="auto"/>
          </w:tcPr>
          <w:p w14:paraId="2D64E0CB" w14:textId="77777777" w:rsidR="008C5CFA" w:rsidRPr="0024468B" w:rsidRDefault="008C5CFA" w:rsidP="00300A01">
            <w:pPr>
              <w:spacing w:before="0" w:after="0"/>
              <w:jc w:val="right"/>
              <w:rPr>
                <w:sz w:val="16"/>
                <w:szCs w:val="16"/>
                <w:lang w:val="fr-BE"/>
              </w:rPr>
            </w:pPr>
          </w:p>
        </w:tc>
        <w:tc>
          <w:tcPr>
            <w:tcW w:w="0" w:type="auto"/>
          </w:tcPr>
          <w:p w14:paraId="12108DC3" w14:textId="77777777" w:rsidR="008C5CFA" w:rsidRPr="0024468B" w:rsidRDefault="00E82A60" w:rsidP="00300A01">
            <w:pPr>
              <w:spacing w:before="0" w:after="0"/>
              <w:jc w:val="right"/>
              <w:rPr>
                <w:sz w:val="16"/>
                <w:szCs w:val="16"/>
                <w:lang w:val="fr-BE"/>
              </w:rPr>
            </w:pPr>
            <w:r w:rsidRPr="0024468B">
              <w:rPr>
                <w:noProof/>
                <w:sz w:val="16"/>
                <w:szCs w:val="16"/>
                <w:lang w:val="fr-BE"/>
              </w:rPr>
              <w:t>43,60</w:t>
            </w:r>
          </w:p>
        </w:tc>
        <w:tc>
          <w:tcPr>
            <w:tcW w:w="0" w:type="auto"/>
          </w:tcPr>
          <w:p w14:paraId="201B264B" w14:textId="77777777" w:rsidR="008C5CFA" w:rsidRPr="0024468B" w:rsidRDefault="008C5CFA" w:rsidP="00300A01">
            <w:pPr>
              <w:spacing w:before="0" w:after="0"/>
              <w:jc w:val="right"/>
              <w:rPr>
                <w:sz w:val="16"/>
                <w:szCs w:val="16"/>
                <w:lang w:val="fr-BE"/>
              </w:rPr>
            </w:pPr>
          </w:p>
        </w:tc>
        <w:tc>
          <w:tcPr>
            <w:tcW w:w="0" w:type="auto"/>
          </w:tcPr>
          <w:p w14:paraId="4C98C46A" w14:textId="77777777" w:rsidR="008C5CFA" w:rsidRPr="0024468B" w:rsidRDefault="00E82A60" w:rsidP="00300A01">
            <w:pPr>
              <w:spacing w:before="0" w:after="0"/>
              <w:jc w:val="right"/>
              <w:rPr>
                <w:sz w:val="16"/>
                <w:szCs w:val="16"/>
                <w:lang w:val="fr-BE"/>
              </w:rPr>
            </w:pPr>
            <w:r w:rsidRPr="0024468B">
              <w:rPr>
                <w:noProof/>
                <w:sz w:val="16"/>
                <w:szCs w:val="16"/>
                <w:lang w:val="fr-BE"/>
              </w:rPr>
              <w:t>39,50</w:t>
            </w:r>
          </w:p>
        </w:tc>
        <w:tc>
          <w:tcPr>
            <w:tcW w:w="0" w:type="auto"/>
          </w:tcPr>
          <w:p w14:paraId="1BB4070D" w14:textId="77777777" w:rsidR="008C5CFA" w:rsidRPr="0024468B" w:rsidRDefault="008C5CFA" w:rsidP="00300A01">
            <w:pPr>
              <w:spacing w:before="0" w:after="0"/>
              <w:jc w:val="right"/>
              <w:rPr>
                <w:sz w:val="16"/>
                <w:szCs w:val="16"/>
                <w:lang w:val="fr-BE"/>
              </w:rPr>
            </w:pPr>
          </w:p>
        </w:tc>
        <w:tc>
          <w:tcPr>
            <w:tcW w:w="0" w:type="auto"/>
          </w:tcPr>
          <w:p w14:paraId="647F50D1" w14:textId="77777777" w:rsidR="008C5CFA" w:rsidRPr="0024468B" w:rsidRDefault="00E82A60" w:rsidP="00300A01">
            <w:pPr>
              <w:spacing w:before="0" w:after="0"/>
              <w:jc w:val="right"/>
              <w:rPr>
                <w:sz w:val="16"/>
                <w:szCs w:val="16"/>
                <w:lang w:val="fr-BE"/>
              </w:rPr>
            </w:pPr>
            <w:r w:rsidRPr="0024468B">
              <w:rPr>
                <w:noProof/>
                <w:sz w:val="16"/>
                <w:szCs w:val="16"/>
                <w:lang w:val="fr-BE"/>
              </w:rPr>
              <w:t>43,40</w:t>
            </w:r>
          </w:p>
        </w:tc>
        <w:tc>
          <w:tcPr>
            <w:tcW w:w="0" w:type="auto"/>
          </w:tcPr>
          <w:p w14:paraId="034C4CA1" w14:textId="77777777" w:rsidR="008C5CFA" w:rsidRPr="0024468B" w:rsidRDefault="008C5CFA" w:rsidP="00300A01">
            <w:pPr>
              <w:spacing w:before="0" w:after="0"/>
              <w:jc w:val="right"/>
              <w:rPr>
                <w:sz w:val="16"/>
                <w:szCs w:val="16"/>
                <w:lang w:val="fr-BE"/>
              </w:rPr>
            </w:pPr>
          </w:p>
        </w:tc>
      </w:tr>
    </w:tbl>
    <w:p w14:paraId="0BEE3F2B"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8"/>
        <w:gridCol w:w="11747"/>
        <w:gridCol w:w="1311"/>
        <w:gridCol w:w="1578"/>
      </w:tblGrid>
      <w:tr w:rsidR="006B2EC1" w14:paraId="574BD276" w14:textId="77777777" w:rsidTr="0047688D">
        <w:tc>
          <w:tcPr>
            <w:tcW w:w="0" w:type="auto"/>
            <w:shd w:val="clear" w:color="auto" w:fill="auto"/>
          </w:tcPr>
          <w:p w14:paraId="4DFA1B0E" w14:textId="77777777" w:rsidR="008C5CFA" w:rsidRPr="0024468B" w:rsidRDefault="00E82A60" w:rsidP="00300A01">
            <w:pPr>
              <w:spacing w:before="0" w:after="0"/>
              <w:rPr>
                <w:sz w:val="16"/>
                <w:szCs w:val="16"/>
                <w:lang w:val="fr-BE"/>
              </w:rPr>
            </w:pPr>
            <w:r w:rsidRPr="0024468B">
              <w:rPr>
                <w:noProof/>
                <w:sz w:val="16"/>
                <w:szCs w:val="16"/>
                <w:lang w:val="fr-BE"/>
              </w:rPr>
              <w:t>ID</w:t>
            </w:r>
          </w:p>
        </w:tc>
        <w:tc>
          <w:tcPr>
            <w:tcW w:w="0" w:type="auto"/>
            <w:shd w:val="clear" w:color="auto" w:fill="auto"/>
          </w:tcPr>
          <w:p w14:paraId="0EECB80A" w14:textId="77777777" w:rsidR="008C5CFA" w:rsidRPr="0024468B" w:rsidRDefault="00E82A60" w:rsidP="00300A01">
            <w:pPr>
              <w:spacing w:before="0" w:after="0"/>
              <w:rPr>
                <w:sz w:val="16"/>
                <w:szCs w:val="16"/>
                <w:lang w:val="fr-BE"/>
              </w:rPr>
            </w:pPr>
            <w:r w:rsidRPr="0024468B">
              <w:rPr>
                <w:noProof/>
                <w:sz w:val="16"/>
                <w:szCs w:val="16"/>
                <w:lang w:val="fr-BE"/>
              </w:rPr>
              <w:t>Wskaźnik</w:t>
            </w:r>
          </w:p>
        </w:tc>
        <w:tc>
          <w:tcPr>
            <w:tcW w:w="0" w:type="auto"/>
            <w:shd w:val="clear" w:color="auto" w:fill="auto"/>
          </w:tcPr>
          <w:p w14:paraId="2A5D03D8" w14:textId="77777777" w:rsidR="008C5CFA" w:rsidRPr="0024468B" w:rsidRDefault="00E82A60" w:rsidP="00300A01">
            <w:pPr>
              <w:spacing w:before="0" w:after="0"/>
              <w:jc w:val="center"/>
              <w:rPr>
                <w:sz w:val="16"/>
                <w:szCs w:val="16"/>
                <w:lang w:val="fr-BE"/>
              </w:rPr>
            </w:pPr>
            <w:r>
              <w:rPr>
                <w:sz w:val="16"/>
                <w:szCs w:val="16"/>
                <w:lang w:val="fr-BE"/>
              </w:rPr>
              <w:t xml:space="preserve">2014 </w:t>
            </w:r>
            <w:r>
              <w:rPr>
                <w:noProof/>
                <w:sz w:val="16"/>
                <w:szCs w:val="16"/>
                <w:lang w:val="fr-BE"/>
              </w:rPr>
              <w:t>Ogółem</w:t>
            </w:r>
          </w:p>
        </w:tc>
        <w:tc>
          <w:tcPr>
            <w:tcW w:w="0" w:type="auto"/>
            <w:shd w:val="clear" w:color="auto" w:fill="auto"/>
          </w:tcPr>
          <w:p w14:paraId="4D692F63" w14:textId="77777777" w:rsidR="008C5CFA" w:rsidRPr="0024468B" w:rsidRDefault="00E82A60" w:rsidP="00300A01">
            <w:pPr>
              <w:spacing w:before="0" w:after="0"/>
              <w:jc w:val="center"/>
              <w:rPr>
                <w:sz w:val="16"/>
                <w:szCs w:val="16"/>
                <w:lang w:val="fr-BE"/>
              </w:rPr>
            </w:pPr>
            <w:r>
              <w:rPr>
                <w:sz w:val="16"/>
                <w:szCs w:val="16"/>
                <w:lang w:val="fr-BE"/>
              </w:rPr>
              <w:t xml:space="preserve">2014 </w:t>
            </w:r>
            <w:r w:rsidRPr="0024468B">
              <w:rPr>
                <w:noProof/>
                <w:sz w:val="16"/>
                <w:szCs w:val="16"/>
                <w:lang w:val="fr-BE"/>
              </w:rPr>
              <w:t>Jakościowe</w:t>
            </w:r>
          </w:p>
        </w:tc>
      </w:tr>
      <w:tr w:rsidR="006B2EC1" w14:paraId="230F352A" w14:textId="77777777" w:rsidTr="0047688D">
        <w:tc>
          <w:tcPr>
            <w:tcW w:w="0" w:type="auto"/>
            <w:shd w:val="clear" w:color="auto" w:fill="auto"/>
          </w:tcPr>
          <w:p w14:paraId="12D5EF7B" w14:textId="77777777" w:rsidR="008C5CFA" w:rsidRPr="0024468B" w:rsidRDefault="00E82A60" w:rsidP="00300A01">
            <w:pPr>
              <w:spacing w:before="0" w:after="0"/>
              <w:rPr>
                <w:sz w:val="16"/>
                <w:szCs w:val="16"/>
                <w:lang w:val="fr-BE"/>
              </w:rPr>
            </w:pPr>
            <w:r w:rsidRPr="0024468B">
              <w:rPr>
                <w:noProof/>
                <w:sz w:val="16"/>
                <w:szCs w:val="16"/>
                <w:lang w:val="fr-BE"/>
              </w:rPr>
              <w:t>060</w:t>
            </w:r>
          </w:p>
        </w:tc>
        <w:tc>
          <w:tcPr>
            <w:tcW w:w="0" w:type="auto"/>
            <w:shd w:val="clear" w:color="auto" w:fill="auto"/>
          </w:tcPr>
          <w:p w14:paraId="345109C4" w14:textId="77777777" w:rsidR="008C5CFA" w:rsidRPr="0024468B" w:rsidRDefault="00E82A60" w:rsidP="00300A01">
            <w:pPr>
              <w:spacing w:before="0" w:after="0"/>
              <w:rPr>
                <w:sz w:val="16"/>
                <w:szCs w:val="16"/>
                <w:lang w:val="fr-BE"/>
              </w:rPr>
            </w:pPr>
            <w:r w:rsidRPr="0024468B">
              <w:rPr>
                <w:noProof/>
                <w:sz w:val="16"/>
                <w:szCs w:val="16"/>
                <w:lang w:val="fr-BE"/>
              </w:rPr>
              <w:t>Udział absolwentów grup kierunków związanych z inteligentnymi specjalizacjami w ogóle absolwentów szkół wyższych (publicznych i prywatnych)</w:t>
            </w:r>
          </w:p>
        </w:tc>
        <w:tc>
          <w:tcPr>
            <w:tcW w:w="0" w:type="auto"/>
            <w:shd w:val="clear" w:color="auto" w:fill="auto"/>
          </w:tcPr>
          <w:p w14:paraId="23F07401" w14:textId="77777777" w:rsidR="008C5CFA" w:rsidRPr="0024468B" w:rsidRDefault="00E82A60" w:rsidP="00300A01">
            <w:pPr>
              <w:spacing w:before="0" w:after="0"/>
              <w:jc w:val="right"/>
              <w:rPr>
                <w:sz w:val="16"/>
                <w:szCs w:val="16"/>
                <w:lang w:val="fr-BE"/>
              </w:rPr>
            </w:pPr>
            <w:r w:rsidRPr="0024468B">
              <w:rPr>
                <w:noProof/>
                <w:sz w:val="16"/>
                <w:szCs w:val="16"/>
                <w:lang w:val="fr-BE"/>
              </w:rPr>
              <w:t>11,90</w:t>
            </w:r>
          </w:p>
        </w:tc>
        <w:tc>
          <w:tcPr>
            <w:tcW w:w="0" w:type="auto"/>
            <w:shd w:val="clear" w:color="auto" w:fill="auto"/>
          </w:tcPr>
          <w:p w14:paraId="5A9F0EFF" w14:textId="77777777" w:rsidR="008C5CFA" w:rsidRPr="0024468B" w:rsidRDefault="008C5CFA" w:rsidP="00300A01">
            <w:pPr>
              <w:spacing w:before="0" w:after="0"/>
              <w:jc w:val="right"/>
              <w:rPr>
                <w:sz w:val="16"/>
                <w:szCs w:val="16"/>
                <w:lang w:val="fr-BE"/>
              </w:rPr>
            </w:pPr>
          </w:p>
        </w:tc>
      </w:tr>
    </w:tbl>
    <w:p w14:paraId="19774EA6" w14:textId="77777777" w:rsidR="008C5CFA" w:rsidRDefault="008C5CFA" w:rsidP="00300A01">
      <w:pPr>
        <w:spacing w:before="0" w:after="0"/>
        <w:rPr>
          <w:lang w:val="fr-BE"/>
        </w:rPr>
      </w:pPr>
    </w:p>
    <w:p w14:paraId="1110E73C" w14:textId="77777777" w:rsidR="008C5CFA" w:rsidRDefault="00E82A60" w:rsidP="00300A01">
      <w:pPr>
        <w:spacing w:before="0" w:after="0"/>
        <w:rPr>
          <w:lang w:val="fr-BE"/>
        </w:rPr>
      </w:pPr>
      <w:r>
        <w:rPr>
          <w:lang w:val="fr-BE"/>
        </w:rPr>
        <w:br w:type="page"/>
      </w:r>
    </w:p>
    <w:p w14:paraId="5083B3B9" w14:textId="77777777" w:rsidR="008C5CFA" w:rsidRPr="00B27C43" w:rsidRDefault="008C5CFA" w:rsidP="00300A01">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5"/>
        <w:gridCol w:w="13309"/>
      </w:tblGrid>
      <w:tr w:rsidR="006B2EC1" w14:paraId="58D6086F" w14:textId="77777777" w:rsidTr="0047688D">
        <w:tc>
          <w:tcPr>
            <w:tcW w:w="0" w:type="auto"/>
            <w:shd w:val="clear" w:color="auto" w:fill="auto"/>
          </w:tcPr>
          <w:p w14:paraId="6792B29F" w14:textId="77777777" w:rsidR="008C5CFA" w:rsidRPr="002124FC" w:rsidRDefault="00E82A60" w:rsidP="00300A01">
            <w:pPr>
              <w:spacing w:before="0" w:after="0"/>
              <w:rPr>
                <w:sz w:val="20"/>
                <w:szCs w:val="20"/>
                <w:lang w:val="fr-BE"/>
              </w:rPr>
            </w:pPr>
            <w:r w:rsidRPr="002124FC">
              <w:rPr>
                <w:noProof/>
                <w:sz w:val="20"/>
                <w:szCs w:val="20"/>
                <w:lang w:val="fr-BE"/>
              </w:rPr>
              <w:t>Oś priorytetowa</w:t>
            </w:r>
          </w:p>
        </w:tc>
        <w:tc>
          <w:tcPr>
            <w:tcW w:w="0" w:type="auto"/>
            <w:shd w:val="clear" w:color="auto" w:fill="auto"/>
          </w:tcPr>
          <w:p w14:paraId="01DB659E" w14:textId="77777777" w:rsidR="008C5CFA" w:rsidRPr="002124FC" w:rsidRDefault="00E82A60" w:rsidP="00300A01">
            <w:pPr>
              <w:spacing w:before="0" w:after="0"/>
              <w:rPr>
                <w:sz w:val="20"/>
                <w:szCs w:val="20"/>
                <w:lang w:val="fr-BE"/>
              </w:rPr>
            </w:pPr>
            <w:r w:rsidRPr="002124FC">
              <w:rPr>
                <w:noProof/>
                <w:sz w:val="20"/>
                <w:szCs w:val="20"/>
                <w:lang w:val="fr-BE"/>
              </w:rPr>
              <w:t>8</w:t>
            </w:r>
            <w:r w:rsidRPr="002124FC">
              <w:rPr>
                <w:sz w:val="20"/>
                <w:szCs w:val="20"/>
                <w:lang w:val="fr-BE"/>
              </w:rPr>
              <w:t xml:space="preserve"> - </w:t>
            </w:r>
            <w:r w:rsidRPr="002124FC">
              <w:rPr>
                <w:noProof/>
                <w:sz w:val="20"/>
                <w:szCs w:val="20"/>
                <w:lang w:val="fr-BE"/>
              </w:rPr>
              <w:t>Rozwój edukacji i aktywne społeczeństwo</w:t>
            </w:r>
          </w:p>
        </w:tc>
      </w:tr>
      <w:tr w:rsidR="006B2EC1" w14:paraId="6FD593B9" w14:textId="77777777" w:rsidTr="0047688D">
        <w:tc>
          <w:tcPr>
            <w:tcW w:w="0" w:type="auto"/>
            <w:shd w:val="clear" w:color="auto" w:fill="auto"/>
          </w:tcPr>
          <w:p w14:paraId="260E6059" w14:textId="77777777" w:rsidR="008C5CFA" w:rsidRPr="002124FC" w:rsidRDefault="00E82A60"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14:paraId="1092EE88" w14:textId="77777777" w:rsidR="008C5CFA" w:rsidRPr="002124FC" w:rsidRDefault="00E82A60" w:rsidP="00300A01">
            <w:pPr>
              <w:spacing w:before="0" w:after="0"/>
              <w:rPr>
                <w:sz w:val="20"/>
                <w:szCs w:val="20"/>
                <w:lang w:val="fr-BE"/>
              </w:rPr>
            </w:pPr>
            <w:r w:rsidRPr="002124FC">
              <w:rPr>
                <w:noProof/>
                <w:sz w:val="20"/>
                <w:szCs w:val="20"/>
                <w:lang w:val="fr-BE"/>
              </w:rPr>
              <w:t>8iv</w:t>
            </w:r>
            <w:r w:rsidRPr="002124FC">
              <w:rPr>
                <w:sz w:val="20"/>
                <w:szCs w:val="20"/>
                <w:lang w:val="fr-BE"/>
              </w:rPr>
              <w:t xml:space="preserve"> - </w:t>
            </w:r>
            <w:r w:rsidRPr="002124FC">
              <w:rPr>
                <w:noProof/>
                <w:sz w:val="20"/>
                <w:szCs w:val="20"/>
                <w:lang w:val="fr-BE"/>
              </w:rPr>
              <w:t>Równość mężczyzn i kobiet we wszystkich dziedzinach, w tym dostęp do zatrudnienia, rozwój kariery, godzenie życia zawodowego i prywatnego oraz promowanie równości wynagrodzeń za taką samą pracę</w:t>
            </w:r>
          </w:p>
        </w:tc>
      </w:tr>
    </w:tbl>
    <w:p w14:paraId="6F910283" w14:textId="77777777" w:rsidR="008C5CFA" w:rsidRDefault="008C5CFA" w:rsidP="00300A01">
      <w:pPr>
        <w:spacing w:before="0" w:after="0"/>
        <w:ind w:left="113" w:hanging="113"/>
        <w:rPr>
          <w:sz w:val="20"/>
          <w:szCs w:val="20"/>
          <w:lang w:val="fr-BE"/>
        </w:rPr>
      </w:pPr>
    </w:p>
    <w:p w14:paraId="291A416B" w14:textId="77777777" w:rsidR="008C5CFA" w:rsidRPr="008E457C" w:rsidRDefault="00E82A60" w:rsidP="00300A01">
      <w:pPr>
        <w:pStyle w:val="Nagwek2"/>
        <w:spacing w:before="0" w:after="0"/>
      </w:pPr>
      <w:bookmarkStart w:id="47" w:name="_Toc46391731"/>
      <w:r w:rsidRPr="008E457C">
        <w:rPr>
          <w:noProof/>
        </w:rPr>
        <w:t>Tabela 2A</w:t>
      </w:r>
      <w:r w:rsidRPr="008E457C">
        <w:t xml:space="preserve"> : </w:t>
      </w:r>
      <w:proofErr w:type="spellStart"/>
      <w:r w:rsidRPr="008E457C">
        <w:t>Wspólne</w:t>
      </w:r>
      <w:proofErr w:type="spellEnd"/>
      <w:r w:rsidRPr="008E457C">
        <w:t xml:space="preserve"> </w:t>
      </w:r>
      <w:proofErr w:type="spellStart"/>
      <w:r w:rsidRPr="008E457C">
        <w:t>wskaźniki</w:t>
      </w:r>
      <w:proofErr w:type="spellEnd"/>
      <w:r w:rsidRPr="008E457C">
        <w:t xml:space="preserve"> </w:t>
      </w:r>
      <w:proofErr w:type="spellStart"/>
      <w:r w:rsidRPr="008E457C">
        <w:t>rezultatu</w:t>
      </w:r>
      <w:proofErr w:type="spellEnd"/>
      <w:r w:rsidRPr="008E457C">
        <w:t xml:space="preserve"> </w:t>
      </w:r>
      <w:proofErr w:type="spellStart"/>
      <w:r w:rsidRPr="008E457C">
        <w:t>dla</w:t>
      </w:r>
      <w:proofErr w:type="spellEnd"/>
      <w:r w:rsidRPr="008E457C">
        <w:t xml:space="preserve"> EFS (z </w:t>
      </w:r>
      <w:proofErr w:type="spellStart"/>
      <w:r w:rsidRPr="008E457C">
        <w:t>podziałem</w:t>
      </w:r>
      <w:proofErr w:type="spellEnd"/>
      <w:r w:rsidRPr="008E457C">
        <w:t xml:space="preserve"> </w:t>
      </w:r>
      <w:proofErr w:type="spellStart"/>
      <w:r w:rsidRPr="008E457C">
        <w:t>na</w:t>
      </w:r>
      <w:proofErr w:type="spellEnd"/>
      <w:r w:rsidRPr="008E457C">
        <w:t xml:space="preserve"> </w:t>
      </w:r>
      <w:proofErr w:type="spellStart"/>
      <w:r w:rsidRPr="008E457C">
        <w:t>oś</w:t>
      </w:r>
      <w:proofErr w:type="spellEnd"/>
      <w:r w:rsidRPr="008E457C">
        <w:t xml:space="preserve"> </w:t>
      </w:r>
      <w:proofErr w:type="spellStart"/>
      <w:r w:rsidRPr="008E457C">
        <w:t>priorytetową</w:t>
      </w:r>
      <w:proofErr w:type="spellEnd"/>
      <w:r w:rsidRPr="008E457C">
        <w:t xml:space="preserve">, </w:t>
      </w:r>
      <w:proofErr w:type="spellStart"/>
      <w:r w:rsidRPr="008E457C">
        <w:t>priorytet</w:t>
      </w:r>
      <w:proofErr w:type="spellEnd"/>
      <w:r w:rsidRPr="008E457C">
        <w:t xml:space="preserve"> </w:t>
      </w:r>
      <w:proofErr w:type="spellStart"/>
      <w:r w:rsidRPr="008E457C">
        <w:t>inwestycyjny</w:t>
      </w:r>
      <w:proofErr w:type="spellEnd"/>
      <w:r w:rsidRPr="008E457C">
        <w:t xml:space="preserve"> i </w:t>
      </w:r>
      <w:proofErr w:type="spellStart"/>
      <w:r w:rsidRPr="008E457C">
        <w:t>kategorię</w:t>
      </w:r>
      <w:proofErr w:type="spellEnd"/>
      <w:r w:rsidRPr="008E457C">
        <w:t xml:space="preserve"> </w:t>
      </w:r>
      <w:proofErr w:type="spellStart"/>
      <w:r w:rsidRPr="008E457C">
        <w:t>regionu</w:t>
      </w:r>
      <w:proofErr w:type="spellEnd"/>
      <w:r w:rsidRPr="008E457C">
        <w:t xml:space="preserve">) Dane </w:t>
      </w:r>
      <w:proofErr w:type="spellStart"/>
      <w:r w:rsidRPr="008E457C">
        <w:t>na</w:t>
      </w:r>
      <w:proofErr w:type="spellEnd"/>
      <w:r w:rsidRPr="008E457C">
        <w:t xml:space="preserve"> </w:t>
      </w:r>
      <w:proofErr w:type="spellStart"/>
      <w:r w:rsidRPr="008E457C">
        <w:t>temat</w:t>
      </w:r>
      <w:proofErr w:type="spellEnd"/>
      <w:r w:rsidRPr="008E457C">
        <w:t xml:space="preserve"> </w:t>
      </w:r>
      <w:proofErr w:type="spellStart"/>
      <w:r w:rsidRPr="008E457C">
        <w:t>wszystkich</w:t>
      </w:r>
      <w:proofErr w:type="spellEnd"/>
      <w:r w:rsidRPr="008E457C">
        <w:t xml:space="preserve"> </w:t>
      </w:r>
      <w:proofErr w:type="spellStart"/>
      <w:r w:rsidRPr="008E457C">
        <w:t>wspólnych</w:t>
      </w:r>
      <w:proofErr w:type="spellEnd"/>
      <w:r w:rsidRPr="008E457C">
        <w:t xml:space="preserve"> </w:t>
      </w:r>
      <w:proofErr w:type="spellStart"/>
      <w:r w:rsidRPr="008E457C">
        <w:t>wskaźników</w:t>
      </w:r>
      <w:proofErr w:type="spellEnd"/>
      <w:r w:rsidRPr="008E457C">
        <w:t xml:space="preserve"> </w:t>
      </w:r>
      <w:proofErr w:type="spellStart"/>
      <w:r w:rsidRPr="008E457C">
        <w:t>rezultatu</w:t>
      </w:r>
      <w:proofErr w:type="spellEnd"/>
      <w:r w:rsidRPr="008E457C">
        <w:t xml:space="preserve"> </w:t>
      </w:r>
      <w:proofErr w:type="spellStart"/>
      <w:r w:rsidRPr="008E457C">
        <w:t>dla</w:t>
      </w:r>
      <w:proofErr w:type="spellEnd"/>
      <w:r w:rsidRPr="008E457C">
        <w:t xml:space="preserve"> EFS (z </w:t>
      </w:r>
      <w:proofErr w:type="spellStart"/>
      <w:r w:rsidRPr="008E457C">
        <w:t>wartością</w:t>
      </w:r>
      <w:proofErr w:type="spellEnd"/>
      <w:r w:rsidRPr="008E457C">
        <w:t xml:space="preserve"> </w:t>
      </w:r>
      <w:proofErr w:type="spellStart"/>
      <w:r w:rsidRPr="008E457C">
        <w:t>docelową</w:t>
      </w:r>
      <w:proofErr w:type="spellEnd"/>
      <w:r w:rsidRPr="008E457C">
        <w:t xml:space="preserve"> i bez) </w:t>
      </w:r>
      <w:proofErr w:type="spellStart"/>
      <w:r w:rsidRPr="008E457C">
        <w:t>przedstawia</w:t>
      </w:r>
      <w:proofErr w:type="spellEnd"/>
      <w:r w:rsidRPr="008E457C">
        <w:t xml:space="preserve"> </w:t>
      </w:r>
      <w:proofErr w:type="spellStart"/>
      <w:r w:rsidRPr="008E457C">
        <w:t>się</w:t>
      </w:r>
      <w:proofErr w:type="spellEnd"/>
      <w:r w:rsidRPr="008E457C">
        <w:t xml:space="preserve"> w </w:t>
      </w:r>
      <w:proofErr w:type="spellStart"/>
      <w:r w:rsidRPr="008E457C">
        <w:t>sprawozdaniu</w:t>
      </w:r>
      <w:proofErr w:type="spellEnd"/>
      <w:r w:rsidRPr="008E457C">
        <w:t xml:space="preserve"> w </w:t>
      </w:r>
      <w:proofErr w:type="spellStart"/>
      <w:r w:rsidRPr="008E457C">
        <w:t>podziale</w:t>
      </w:r>
      <w:proofErr w:type="spellEnd"/>
      <w:r w:rsidRPr="008E457C">
        <w:t xml:space="preserve"> </w:t>
      </w:r>
      <w:proofErr w:type="spellStart"/>
      <w:r w:rsidRPr="008E457C">
        <w:t>na</w:t>
      </w:r>
      <w:proofErr w:type="spellEnd"/>
      <w:r w:rsidRPr="008E457C">
        <w:t xml:space="preserve"> </w:t>
      </w:r>
      <w:proofErr w:type="spellStart"/>
      <w:r w:rsidRPr="008E457C">
        <w:t>płeć</w:t>
      </w:r>
      <w:proofErr w:type="spellEnd"/>
      <w:r w:rsidRPr="008E457C">
        <w:t xml:space="preserve">. W </w:t>
      </w:r>
      <w:proofErr w:type="spellStart"/>
      <w:r w:rsidRPr="008E457C">
        <w:t>przypadku</w:t>
      </w:r>
      <w:proofErr w:type="spellEnd"/>
      <w:r w:rsidRPr="008E457C">
        <w:t xml:space="preserve"> </w:t>
      </w:r>
      <w:proofErr w:type="spellStart"/>
      <w:r w:rsidRPr="008E457C">
        <w:t>osi</w:t>
      </w:r>
      <w:proofErr w:type="spellEnd"/>
      <w:r w:rsidRPr="008E457C">
        <w:t xml:space="preserve"> </w:t>
      </w:r>
      <w:proofErr w:type="spellStart"/>
      <w:r w:rsidRPr="008E457C">
        <w:t>priorytetowej</w:t>
      </w:r>
      <w:proofErr w:type="spellEnd"/>
      <w:r w:rsidRPr="008E457C">
        <w:t xml:space="preserve"> </w:t>
      </w:r>
      <w:r>
        <w:t>"</w:t>
      </w:r>
      <w:proofErr w:type="spellStart"/>
      <w:r w:rsidRPr="008E457C">
        <w:t>Pomoc</w:t>
      </w:r>
      <w:proofErr w:type="spellEnd"/>
      <w:r w:rsidRPr="008E457C">
        <w:t xml:space="preserve"> </w:t>
      </w:r>
      <w:proofErr w:type="spellStart"/>
      <w:r w:rsidRPr="008E457C">
        <w:t>techniczna</w:t>
      </w:r>
      <w:proofErr w:type="spellEnd"/>
      <w:r w:rsidRPr="008E457C">
        <w:t xml:space="preserve"> w </w:t>
      </w:r>
      <w:proofErr w:type="spellStart"/>
      <w:r w:rsidRPr="008E457C">
        <w:t>sprawozdaniu</w:t>
      </w:r>
      <w:proofErr w:type="spellEnd"/>
      <w:r w:rsidRPr="008E457C">
        <w:t xml:space="preserve"> </w:t>
      </w:r>
      <w:proofErr w:type="spellStart"/>
      <w:r w:rsidRPr="008E457C">
        <w:t>przedstawia</w:t>
      </w:r>
      <w:proofErr w:type="spellEnd"/>
      <w:r w:rsidRPr="008E457C">
        <w:t xml:space="preserve"> </w:t>
      </w:r>
      <w:proofErr w:type="spellStart"/>
      <w:r w:rsidRPr="008E457C">
        <w:t>się</w:t>
      </w:r>
      <w:proofErr w:type="spellEnd"/>
      <w:r w:rsidRPr="008E457C">
        <w:t xml:space="preserve"> </w:t>
      </w:r>
      <w:proofErr w:type="spellStart"/>
      <w:r w:rsidRPr="008E457C">
        <w:t>jedynie</w:t>
      </w:r>
      <w:proofErr w:type="spellEnd"/>
      <w:r w:rsidRPr="008E457C">
        <w:t xml:space="preserve"> </w:t>
      </w:r>
      <w:proofErr w:type="spellStart"/>
      <w:r w:rsidRPr="008E457C">
        <w:t>te</w:t>
      </w:r>
      <w:proofErr w:type="spellEnd"/>
      <w:r w:rsidRPr="008E457C">
        <w:t xml:space="preserve"> </w:t>
      </w:r>
      <w:proofErr w:type="spellStart"/>
      <w:r w:rsidRPr="008E457C">
        <w:t>wskaźniki</w:t>
      </w:r>
      <w:proofErr w:type="spellEnd"/>
      <w:r w:rsidRPr="008E457C">
        <w:t xml:space="preserve"> </w:t>
      </w:r>
      <w:proofErr w:type="spellStart"/>
      <w:r w:rsidRPr="008E457C">
        <w:t>wspólne</w:t>
      </w:r>
      <w:proofErr w:type="spellEnd"/>
      <w:r w:rsidRPr="008E457C">
        <w:t xml:space="preserve">, w </w:t>
      </w:r>
      <w:proofErr w:type="spellStart"/>
      <w:r w:rsidRPr="008E457C">
        <w:t>odniesieniu</w:t>
      </w:r>
      <w:proofErr w:type="spellEnd"/>
      <w:r w:rsidRPr="008E457C">
        <w:t xml:space="preserve"> do </w:t>
      </w:r>
      <w:proofErr w:type="spellStart"/>
      <w:r w:rsidRPr="008E457C">
        <w:t>których</w:t>
      </w:r>
      <w:proofErr w:type="spellEnd"/>
      <w:r w:rsidRPr="008E457C">
        <w:t xml:space="preserve"> </w:t>
      </w:r>
      <w:proofErr w:type="spellStart"/>
      <w:r w:rsidRPr="008E457C">
        <w:t>ustanowiono</w:t>
      </w:r>
      <w:proofErr w:type="spellEnd"/>
      <w:r w:rsidRPr="008E457C">
        <w:t xml:space="preserve"> </w:t>
      </w:r>
      <w:proofErr w:type="spellStart"/>
      <w:r w:rsidRPr="008E457C">
        <w:t>wartość</w:t>
      </w:r>
      <w:proofErr w:type="spellEnd"/>
      <w:r w:rsidRPr="008E457C">
        <w:t xml:space="preserve"> </w:t>
      </w:r>
      <w:proofErr w:type="spellStart"/>
      <w:r w:rsidRPr="008E457C">
        <w:t>docelową</w:t>
      </w:r>
      <w:proofErr w:type="spellEnd"/>
      <w:r w:rsidRPr="008E457C">
        <w:t>.</w:t>
      </w:r>
      <w:r w:rsidR="00501DA0">
        <w:t xml:space="preserve"> - </w:t>
      </w:r>
      <w:r w:rsidR="00501DA0" w:rsidRPr="002124FC">
        <w:rPr>
          <w:noProof/>
          <w:sz w:val="20"/>
          <w:szCs w:val="20"/>
          <w:lang w:val="fr-BE"/>
        </w:rPr>
        <w:t>8</w:t>
      </w:r>
      <w:r w:rsidR="00501DA0">
        <w:rPr>
          <w:sz w:val="20"/>
          <w:szCs w:val="20"/>
          <w:lang w:val="fr-BE"/>
        </w:rPr>
        <w:t xml:space="preserve"> / </w:t>
      </w:r>
      <w:r w:rsidR="00501DA0" w:rsidRPr="002124FC">
        <w:rPr>
          <w:noProof/>
          <w:sz w:val="20"/>
          <w:szCs w:val="20"/>
          <w:lang w:val="fr-BE"/>
        </w:rPr>
        <w:t>8iv</w:t>
      </w:r>
      <w:bookmarkEnd w:id="47"/>
    </w:p>
    <w:p w14:paraId="6F4C7A03" w14:textId="77777777" w:rsidR="008C5CFA" w:rsidRDefault="008C5CFA" w:rsidP="00300A01">
      <w:pPr>
        <w:keepNext/>
        <w:spacing w:before="0" w:after="0"/>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37"/>
        <w:gridCol w:w="5159"/>
        <w:gridCol w:w="745"/>
        <w:gridCol w:w="1864"/>
        <w:gridCol w:w="1475"/>
        <w:gridCol w:w="456"/>
        <w:gridCol w:w="596"/>
        <w:gridCol w:w="463"/>
        <w:gridCol w:w="456"/>
        <w:gridCol w:w="596"/>
        <w:gridCol w:w="463"/>
        <w:gridCol w:w="456"/>
        <w:gridCol w:w="596"/>
        <w:gridCol w:w="463"/>
        <w:gridCol w:w="596"/>
        <w:gridCol w:w="463"/>
      </w:tblGrid>
      <w:tr w:rsidR="006B2EC1" w14:paraId="1BC8CD9E" w14:textId="77777777" w:rsidTr="0047688D">
        <w:trPr>
          <w:tblHeader/>
        </w:trPr>
        <w:tc>
          <w:tcPr>
            <w:tcW w:w="0" w:type="auto"/>
            <w:shd w:val="clear" w:color="auto" w:fill="auto"/>
          </w:tcPr>
          <w:p w14:paraId="63F1C49E" w14:textId="77777777" w:rsidR="008C5CFA" w:rsidRPr="00F53019" w:rsidRDefault="00E82A60" w:rsidP="00300A01">
            <w:pPr>
              <w:spacing w:before="0" w:after="0"/>
              <w:rPr>
                <w:b/>
                <w:sz w:val="12"/>
                <w:szCs w:val="12"/>
                <w:lang w:val="fr-BE"/>
              </w:rPr>
            </w:pPr>
            <w:r w:rsidRPr="00F53019">
              <w:rPr>
                <w:b/>
                <w:noProof/>
                <w:sz w:val="12"/>
                <w:szCs w:val="12"/>
                <w:lang w:val="fr-BE"/>
              </w:rPr>
              <w:t>ID</w:t>
            </w:r>
          </w:p>
        </w:tc>
        <w:tc>
          <w:tcPr>
            <w:tcW w:w="0" w:type="auto"/>
            <w:shd w:val="clear" w:color="auto" w:fill="auto"/>
          </w:tcPr>
          <w:p w14:paraId="4D10C13B" w14:textId="77777777" w:rsidR="008C5CFA" w:rsidRPr="00F53019" w:rsidRDefault="00E82A60" w:rsidP="00300A01">
            <w:pPr>
              <w:spacing w:before="0" w:after="0"/>
              <w:rPr>
                <w:b/>
                <w:sz w:val="12"/>
                <w:szCs w:val="12"/>
                <w:lang w:val="fr-BE"/>
              </w:rPr>
            </w:pPr>
            <w:r w:rsidRPr="00F53019">
              <w:rPr>
                <w:b/>
                <w:noProof/>
                <w:sz w:val="12"/>
                <w:szCs w:val="12"/>
                <w:lang w:val="fr-BE"/>
              </w:rPr>
              <w:t>Wskaźnik</w:t>
            </w:r>
          </w:p>
        </w:tc>
        <w:tc>
          <w:tcPr>
            <w:tcW w:w="0" w:type="auto"/>
            <w:shd w:val="clear" w:color="auto" w:fill="auto"/>
          </w:tcPr>
          <w:p w14:paraId="16D1DA7D" w14:textId="77777777" w:rsidR="008C5CFA" w:rsidRPr="00F53019" w:rsidRDefault="00E82A60" w:rsidP="00300A01">
            <w:pPr>
              <w:spacing w:before="0" w:after="0"/>
              <w:rPr>
                <w:b/>
                <w:sz w:val="12"/>
                <w:szCs w:val="12"/>
                <w:lang w:val="fr-BE"/>
              </w:rPr>
            </w:pPr>
            <w:r w:rsidRPr="00F53019">
              <w:rPr>
                <w:b/>
                <w:noProof/>
                <w:sz w:val="12"/>
                <w:szCs w:val="12"/>
                <w:lang w:val="fr-BE"/>
              </w:rPr>
              <w:t>Kategoria regionu</w:t>
            </w:r>
          </w:p>
        </w:tc>
        <w:tc>
          <w:tcPr>
            <w:tcW w:w="0" w:type="auto"/>
            <w:shd w:val="clear" w:color="auto" w:fill="auto"/>
          </w:tcPr>
          <w:p w14:paraId="0BB7B006" w14:textId="77777777" w:rsidR="008C5CFA" w:rsidRPr="00F53019" w:rsidRDefault="00E82A60" w:rsidP="00300A01">
            <w:pPr>
              <w:spacing w:before="0" w:after="0"/>
              <w:rPr>
                <w:b/>
                <w:sz w:val="12"/>
                <w:szCs w:val="12"/>
                <w:lang w:val="fr-BE"/>
              </w:rPr>
            </w:pPr>
            <w:r w:rsidRPr="00F53019">
              <w:rPr>
                <w:b/>
                <w:noProof/>
                <w:sz w:val="12"/>
                <w:szCs w:val="12"/>
                <w:lang w:val="fr-BE"/>
              </w:rPr>
              <w:t>Wspólny wskaźnik produktu stosowany jako podstawa ustalania celów</w:t>
            </w:r>
          </w:p>
        </w:tc>
        <w:tc>
          <w:tcPr>
            <w:tcW w:w="0" w:type="auto"/>
            <w:shd w:val="clear" w:color="auto" w:fill="auto"/>
          </w:tcPr>
          <w:p w14:paraId="20E89C04" w14:textId="77777777" w:rsidR="008C5CFA" w:rsidRPr="00F53019" w:rsidRDefault="00E82A60" w:rsidP="00300A01">
            <w:pPr>
              <w:spacing w:before="0" w:after="0"/>
              <w:rPr>
                <w:b/>
                <w:sz w:val="12"/>
                <w:szCs w:val="12"/>
                <w:lang w:val="fr-BE"/>
              </w:rPr>
            </w:pPr>
            <w:r w:rsidRPr="00F53019">
              <w:rPr>
                <w:b/>
                <w:noProof/>
                <w:sz w:val="12"/>
                <w:szCs w:val="12"/>
                <w:lang w:val="fr-BE"/>
              </w:rPr>
              <w:t>Jednostka pomiaru dla wartości bazowej i docelowej</w:t>
            </w:r>
          </w:p>
        </w:tc>
        <w:tc>
          <w:tcPr>
            <w:tcW w:w="0" w:type="auto"/>
            <w:gridSpan w:val="3"/>
            <w:shd w:val="clear" w:color="auto" w:fill="auto"/>
          </w:tcPr>
          <w:p w14:paraId="16B60405" w14:textId="77777777" w:rsidR="008C5CFA" w:rsidRPr="00F53019" w:rsidRDefault="00E82A60" w:rsidP="00300A01">
            <w:pPr>
              <w:spacing w:before="0" w:after="0"/>
              <w:jc w:val="center"/>
              <w:rPr>
                <w:b/>
                <w:sz w:val="12"/>
                <w:szCs w:val="12"/>
                <w:lang w:val="fr-BE"/>
              </w:rPr>
            </w:pPr>
            <w:r w:rsidRPr="00F53019">
              <w:rPr>
                <w:b/>
                <w:noProof/>
                <w:sz w:val="12"/>
                <w:szCs w:val="12"/>
                <w:lang w:val="fr-BE"/>
              </w:rPr>
              <w:t>Wartość docelowa (2023)</w:t>
            </w:r>
          </w:p>
        </w:tc>
        <w:tc>
          <w:tcPr>
            <w:tcW w:w="0" w:type="auto"/>
            <w:gridSpan w:val="3"/>
            <w:shd w:val="clear" w:color="auto" w:fill="auto"/>
          </w:tcPr>
          <w:p w14:paraId="5FC500FE" w14:textId="77777777" w:rsidR="008C5CFA" w:rsidRPr="00F53019" w:rsidRDefault="00E82A60" w:rsidP="00300A01">
            <w:pPr>
              <w:spacing w:before="0" w:after="0"/>
              <w:jc w:val="center"/>
              <w:rPr>
                <w:b/>
                <w:sz w:val="12"/>
                <w:szCs w:val="12"/>
                <w:lang w:val="fr-BE"/>
              </w:rPr>
            </w:pPr>
            <w:r w:rsidRPr="00F53019">
              <w:rPr>
                <w:b/>
                <w:noProof/>
                <w:sz w:val="12"/>
                <w:szCs w:val="12"/>
                <w:lang w:val="fr-BE"/>
              </w:rPr>
              <w:t>Wartość skumulowana</w:t>
            </w:r>
          </w:p>
        </w:tc>
        <w:tc>
          <w:tcPr>
            <w:tcW w:w="0" w:type="auto"/>
            <w:gridSpan w:val="3"/>
            <w:shd w:val="clear" w:color="auto" w:fill="auto"/>
          </w:tcPr>
          <w:p w14:paraId="23C3ED90" w14:textId="77777777" w:rsidR="008C5CFA" w:rsidRPr="00F53019" w:rsidRDefault="00E82A60" w:rsidP="00300A01">
            <w:pPr>
              <w:spacing w:before="0" w:after="0"/>
              <w:jc w:val="center"/>
              <w:rPr>
                <w:b/>
                <w:sz w:val="12"/>
                <w:szCs w:val="12"/>
                <w:lang w:val="fr-BE"/>
              </w:rPr>
            </w:pPr>
            <w:r w:rsidRPr="00F53019">
              <w:rPr>
                <w:b/>
                <w:noProof/>
                <w:sz w:val="12"/>
                <w:szCs w:val="12"/>
                <w:lang w:val="fr-BE"/>
              </w:rPr>
              <w:t>Wskaźnik osiągnięć</w:t>
            </w:r>
          </w:p>
        </w:tc>
        <w:tc>
          <w:tcPr>
            <w:tcW w:w="0" w:type="auto"/>
            <w:gridSpan w:val="2"/>
            <w:shd w:val="clear" w:color="auto" w:fill="auto"/>
          </w:tcPr>
          <w:p w14:paraId="2E7D6642" w14:textId="77777777" w:rsidR="008C5CFA" w:rsidRPr="00F53019" w:rsidRDefault="00E82A60" w:rsidP="00300A01">
            <w:pPr>
              <w:spacing w:before="0" w:after="0"/>
              <w:jc w:val="center"/>
              <w:rPr>
                <w:b/>
                <w:sz w:val="12"/>
                <w:szCs w:val="12"/>
                <w:lang w:val="fr-BE"/>
              </w:rPr>
            </w:pPr>
            <w:r>
              <w:rPr>
                <w:b/>
                <w:sz w:val="12"/>
                <w:szCs w:val="12"/>
                <w:lang w:val="fr-BE"/>
              </w:rPr>
              <w:t>2019</w:t>
            </w:r>
          </w:p>
        </w:tc>
      </w:tr>
      <w:tr w:rsidR="006B2EC1" w14:paraId="5D036F1C" w14:textId="77777777" w:rsidTr="0047688D">
        <w:trPr>
          <w:tblHeader/>
        </w:trPr>
        <w:tc>
          <w:tcPr>
            <w:tcW w:w="0" w:type="auto"/>
            <w:shd w:val="clear" w:color="auto" w:fill="auto"/>
          </w:tcPr>
          <w:p w14:paraId="0184DF7F" w14:textId="77777777" w:rsidR="008C5CFA" w:rsidRPr="00F53019" w:rsidRDefault="008C5CFA" w:rsidP="00300A01">
            <w:pPr>
              <w:spacing w:before="0" w:after="0"/>
              <w:rPr>
                <w:b/>
                <w:sz w:val="12"/>
                <w:szCs w:val="12"/>
                <w:lang w:val="fr-BE"/>
              </w:rPr>
            </w:pPr>
          </w:p>
        </w:tc>
        <w:tc>
          <w:tcPr>
            <w:tcW w:w="0" w:type="auto"/>
            <w:shd w:val="clear" w:color="auto" w:fill="auto"/>
          </w:tcPr>
          <w:p w14:paraId="617ECE58" w14:textId="77777777" w:rsidR="008C5CFA" w:rsidRPr="00F53019" w:rsidRDefault="008C5CFA" w:rsidP="00300A01">
            <w:pPr>
              <w:spacing w:before="0" w:after="0"/>
              <w:rPr>
                <w:b/>
                <w:sz w:val="12"/>
                <w:szCs w:val="12"/>
                <w:lang w:val="fr-BE"/>
              </w:rPr>
            </w:pPr>
          </w:p>
        </w:tc>
        <w:tc>
          <w:tcPr>
            <w:tcW w:w="0" w:type="auto"/>
            <w:shd w:val="clear" w:color="auto" w:fill="auto"/>
          </w:tcPr>
          <w:p w14:paraId="58BF038C" w14:textId="77777777" w:rsidR="008C5CFA" w:rsidRPr="00F53019" w:rsidRDefault="008C5CFA" w:rsidP="00300A01">
            <w:pPr>
              <w:spacing w:before="0" w:after="0"/>
              <w:rPr>
                <w:b/>
                <w:sz w:val="12"/>
                <w:szCs w:val="12"/>
                <w:lang w:val="fr-BE"/>
              </w:rPr>
            </w:pPr>
          </w:p>
        </w:tc>
        <w:tc>
          <w:tcPr>
            <w:tcW w:w="0" w:type="auto"/>
            <w:shd w:val="clear" w:color="auto" w:fill="auto"/>
          </w:tcPr>
          <w:p w14:paraId="32F807A6" w14:textId="77777777" w:rsidR="008C5CFA" w:rsidRPr="00F53019" w:rsidRDefault="008C5CFA" w:rsidP="00300A01">
            <w:pPr>
              <w:spacing w:before="0" w:after="0"/>
              <w:rPr>
                <w:b/>
                <w:sz w:val="12"/>
                <w:szCs w:val="12"/>
                <w:lang w:val="fr-BE"/>
              </w:rPr>
            </w:pPr>
          </w:p>
        </w:tc>
        <w:tc>
          <w:tcPr>
            <w:tcW w:w="0" w:type="auto"/>
            <w:shd w:val="clear" w:color="auto" w:fill="auto"/>
          </w:tcPr>
          <w:p w14:paraId="704A3375" w14:textId="77777777" w:rsidR="008C5CFA" w:rsidRPr="00F53019" w:rsidRDefault="008C5CFA" w:rsidP="00300A01">
            <w:pPr>
              <w:spacing w:before="0" w:after="0"/>
              <w:rPr>
                <w:b/>
                <w:sz w:val="12"/>
                <w:szCs w:val="12"/>
                <w:lang w:val="fr-BE"/>
              </w:rPr>
            </w:pPr>
          </w:p>
        </w:tc>
        <w:tc>
          <w:tcPr>
            <w:tcW w:w="0" w:type="auto"/>
            <w:shd w:val="clear" w:color="auto" w:fill="auto"/>
          </w:tcPr>
          <w:p w14:paraId="69A50CA2" w14:textId="77777777" w:rsidR="008C5CFA" w:rsidRPr="00F53019" w:rsidRDefault="00E82A60" w:rsidP="00300A01">
            <w:pPr>
              <w:spacing w:before="0" w:after="0"/>
              <w:jc w:val="center"/>
              <w:rPr>
                <w:b/>
                <w:sz w:val="12"/>
                <w:szCs w:val="12"/>
                <w:lang w:val="fr-BE"/>
              </w:rPr>
            </w:pPr>
            <w:r w:rsidRPr="00F53019">
              <w:rPr>
                <w:b/>
                <w:noProof/>
                <w:sz w:val="12"/>
                <w:szCs w:val="12"/>
                <w:lang w:val="fr-BE"/>
              </w:rPr>
              <w:t>Ogółem</w:t>
            </w:r>
          </w:p>
        </w:tc>
        <w:tc>
          <w:tcPr>
            <w:tcW w:w="0" w:type="auto"/>
            <w:shd w:val="clear" w:color="auto" w:fill="auto"/>
          </w:tcPr>
          <w:p w14:paraId="7BE289E0" w14:textId="77777777" w:rsidR="008C5CFA" w:rsidRPr="00F53019" w:rsidRDefault="00E82A60"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14:paraId="3CD04D36" w14:textId="77777777" w:rsidR="008C5CFA" w:rsidRPr="00F53019" w:rsidRDefault="00E82A60" w:rsidP="00300A01">
            <w:pPr>
              <w:spacing w:before="0" w:after="0"/>
              <w:jc w:val="center"/>
              <w:rPr>
                <w:b/>
                <w:sz w:val="12"/>
                <w:szCs w:val="12"/>
                <w:lang w:val="fr-BE"/>
              </w:rPr>
            </w:pPr>
            <w:r w:rsidRPr="00F53019">
              <w:rPr>
                <w:b/>
                <w:noProof/>
                <w:sz w:val="12"/>
                <w:szCs w:val="12"/>
                <w:lang w:val="fr-BE"/>
              </w:rPr>
              <w:t>Kobiety</w:t>
            </w:r>
          </w:p>
        </w:tc>
        <w:tc>
          <w:tcPr>
            <w:tcW w:w="0" w:type="auto"/>
            <w:shd w:val="clear" w:color="auto" w:fill="auto"/>
          </w:tcPr>
          <w:p w14:paraId="1E2EEDC1" w14:textId="77777777" w:rsidR="008C5CFA" w:rsidRPr="00F53019" w:rsidRDefault="00E82A60" w:rsidP="00300A01">
            <w:pPr>
              <w:spacing w:before="0" w:after="0"/>
              <w:jc w:val="center"/>
              <w:rPr>
                <w:b/>
                <w:sz w:val="12"/>
                <w:szCs w:val="12"/>
                <w:lang w:val="fr-BE"/>
              </w:rPr>
            </w:pPr>
            <w:r w:rsidRPr="00F53019">
              <w:rPr>
                <w:b/>
                <w:noProof/>
                <w:sz w:val="12"/>
                <w:szCs w:val="12"/>
                <w:lang w:val="fr-BE"/>
              </w:rPr>
              <w:t>Ogółem</w:t>
            </w:r>
          </w:p>
        </w:tc>
        <w:tc>
          <w:tcPr>
            <w:tcW w:w="0" w:type="auto"/>
            <w:shd w:val="clear" w:color="auto" w:fill="auto"/>
          </w:tcPr>
          <w:p w14:paraId="0963D67D" w14:textId="77777777" w:rsidR="008C5CFA" w:rsidRPr="00F53019" w:rsidRDefault="00E82A60"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14:paraId="562836ED" w14:textId="77777777" w:rsidR="008C5CFA" w:rsidRPr="00F53019" w:rsidRDefault="00E82A60" w:rsidP="00300A01">
            <w:pPr>
              <w:spacing w:before="0" w:after="0"/>
              <w:jc w:val="center"/>
              <w:rPr>
                <w:b/>
                <w:sz w:val="12"/>
                <w:szCs w:val="12"/>
                <w:lang w:val="fr-BE"/>
              </w:rPr>
            </w:pPr>
            <w:r w:rsidRPr="00F53019">
              <w:rPr>
                <w:b/>
                <w:noProof/>
                <w:sz w:val="12"/>
                <w:szCs w:val="12"/>
                <w:lang w:val="fr-BE"/>
              </w:rPr>
              <w:t>Kobiety</w:t>
            </w:r>
          </w:p>
        </w:tc>
        <w:tc>
          <w:tcPr>
            <w:tcW w:w="0" w:type="auto"/>
            <w:shd w:val="clear" w:color="auto" w:fill="auto"/>
          </w:tcPr>
          <w:p w14:paraId="5FD000CE" w14:textId="77777777" w:rsidR="008C5CFA" w:rsidRPr="00F53019" w:rsidRDefault="00E82A60" w:rsidP="00300A01">
            <w:pPr>
              <w:spacing w:before="0" w:after="0"/>
              <w:jc w:val="center"/>
              <w:rPr>
                <w:b/>
                <w:sz w:val="12"/>
                <w:szCs w:val="12"/>
                <w:lang w:val="fr-BE"/>
              </w:rPr>
            </w:pPr>
            <w:r w:rsidRPr="00F53019">
              <w:rPr>
                <w:b/>
                <w:noProof/>
                <w:sz w:val="12"/>
                <w:szCs w:val="12"/>
                <w:lang w:val="fr-BE"/>
              </w:rPr>
              <w:t>Ogółem</w:t>
            </w:r>
          </w:p>
        </w:tc>
        <w:tc>
          <w:tcPr>
            <w:tcW w:w="0" w:type="auto"/>
            <w:shd w:val="clear" w:color="auto" w:fill="auto"/>
          </w:tcPr>
          <w:p w14:paraId="49BBCF74" w14:textId="77777777" w:rsidR="008C5CFA" w:rsidRPr="00F53019" w:rsidRDefault="00E82A60"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14:paraId="45126F34" w14:textId="77777777" w:rsidR="008C5CFA" w:rsidRPr="00F53019" w:rsidRDefault="00E82A60" w:rsidP="00300A01">
            <w:pPr>
              <w:spacing w:before="0" w:after="0"/>
              <w:jc w:val="center"/>
              <w:rPr>
                <w:b/>
                <w:sz w:val="12"/>
                <w:szCs w:val="12"/>
                <w:lang w:val="fr-BE"/>
              </w:rPr>
            </w:pPr>
            <w:r w:rsidRPr="00F53019">
              <w:rPr>
                <w:b/>
                <w:noProof/>
                <w:sz w:val="12"/>
                <w:szCs w:val="12"/>
                <w:lang w:val="fr-BE"/>
              </w:rPr>
              <w:t>Kobiety</w:t>
            </w:r>
          </w:p>
        </w:tc>
        <w:tc>
          <w:tcPr>
            <w:tcW w:w="0" w:type="auto"/>
            <w:shd w:val="clear" w:color="auto" w:fill="auto"/>
          </w:tcPr>
          <w:p w14:paraId="6F410477" w14:textId="77777777" w:rsidR="008C5CFA" w:rsidRPr="00F53019" w:rsidRDefault="00E82A60"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14:paraId="2C553C9F" w14:textId="77777777" w:rsidR="008C5CFA" w:rsidRPr="00F53019" w:rsidRDefault="00E82A60" w:rsidP="00300A01">
            <w:pPr>
              <w:spacing w:before="0" w:after="0"/>
              <w:jc w:val="center"/>
              <w:rPr>
                <w:b/>
                <w:sz w:val="12"/>
                <w:szCs w:val="12"/>
                <w:lang w:val="fr-BE"/>
              </w:rPr>
            </w:pPr>
            <w:r w:rsidRPr="00F53019">
              <w:rPr>
                <w:b/>
                <w:noProof/>
                <w:sz w:val="12"/>
                <w:szCs w:val="12"/>
                <w:lang w:val="fr-BE"/>
              </w:rPr>
              <w:t>Kobiety</w:t>
            </w:r>
          </w:p>
        </w:tc>
      </w:tr>
      <w:tr w:rsidR="006B2EC1" w14:paraId="097B0BD2" w14:textId="77777777" w:rsidTr="0047688D">
        <w:tc>
          <w:tcPr>
            <w:tcW w:w="0" w:type="auto"/>
            <w:shd w:val="clear" w:color="auto" w:fill="auto"/>
          </w:tcPr>
          <w:p w14:paraId="67CA6CB8" w14:textId="77777777" w:rsidR="008C5CFA" w:rsidRPr="00BA47B4" w:rsidRDefault="00E82A60" w:rsidP="00300A01">
            <w:pPr>
              <w:spacing w:before="0" w:after="0"/>
              <w:rPr>
                <w:sz w:val="12"/>
                <w:szCs w:val="12"/>
                <w:lang w:val="fr-BE"/>
              </w:rPr>
            </w:pPr>
            <w:r w:rsidRPr="00BA47B4">
              <w:rPr>
                <w:noProof/>
                <w:sz w:val="12"/>
                <w:szCs w:val="12"/>
                <w:lang w:val="fr-BE"/>
              </w:rPr>
              <w:t>CR01</w:t>
            </w:r>
          </w:p>
        </w:tc>
        <w:tc>
          <w:tcPr>
            <w:tcW w:w="0" w:type="auto"/>
            <w:shd w:val="clear" w:color="auto" w:fill="auto"/>
          </w:tcPr>
          <w:p w14:paraId="5BB9D018" w14:textId="77777777" w:rsidR="008C5CFA" w:rsidRPr="00BA47B4" w:rsidRDefault="00E82A60" w:rsidP="00300A01">
            <w:pPr>
              <w:spacing w:before="0" w:after="0"/>
              <w:rPr>
                <w:sz w:val="12"/>
                <w:szCs w:val="12"/>
                <w:lang w:val="fr-BE"/>
              </w:rPr>
            </w:pPr>
            <w:r w:rsidRPr="00BA47B4">
              <w:rPr>
                <w:noProof/>
                <w:sz w:val="12"/>
                <w:szCs w:val="12"/>
                <w:lang w:val="fr-BE"/>
              </w:rPr>
              <w:t>bierni zawodowo uczestnicy poszukujący pracy po opuszczeniu programu</w:t>
            </w:r>
          </w:p>
        </w:tc>
        <w:tc>
          <w:tcPr>
            <w:tcW w:w="0" w:type="auto"/>
            <w:shd w:val="clear" w:color="auto" w:fill="auto"/>
          </w:tcPr>
          <w:p w14:paraId="02710F3A" w14:textId="77777777" w:rsidR="008C5CFA" w:rsidRPr="00BA47B4" w:rsidRDefault="00E82A60" w:rsidP="00300A01">
            <w:pPr>
              <w:spacing w:before="0" w:after="0"/>
              <w:rPr>
                <w:sz w:val="12"/>
                <w:szCs w:val="12"/>
                <w:lang w:val="fr-BE"/>
              </w:rPr>
            </w:pPr>
            <w:r w:rsidRPr="00BA47B4">
              <w:rPr>
                <w:noProof/>
                <w:sz w:val="12"/>
                <w:szCs w:val="12"/>
                <w:lang w:val="fr-BE"/>
              </w:rPr>
              <w:t>Słabiej rozwinięte</w:t>
            </w:r>
          </w:p>
        </w:tc>
        <w:tc>
          <w:tcPr>
            <w:tcW w:w="0" w:type="auto"/>
            <w:shd w:val="clear" w:color="auto" w:fill="auto"/>
          </w:tcPr>
          <w:p w14:paraId="4661C3C4" w14:textId="77777777" w:rsidR="008C5CFA" w:rsidRPr="00BA47B4" w:rsidRDefault="00E82A60" w:rsidP="00300A01">
            <w:pPr>
              <w:spacing w:before="0" w:after="0"/>
              <w:rPr>
                <w:sz w:val="12"/>
                <w:szCs w:val="12"/>
                <w:lang w:val="fr-BE"/>
              </w:rPr>
            </w:pPr>
            <w:r w:rsidRPr="00BA47B4">
              <w:rPr>
                <w:sz w:val="12"/>
                <w:szCs w:val="12"/>
                <w:lang w:val="fr-BE"/>
              </w:rPr>
              <w:t xml:space="preserve"> </w:t>
            </w:r>
          </w:p>
        </w:tc>
        <w:tc>
          <w:tcPr>
            <w:tcW w:w="0" w:type="auto"/>
            <w:shd w:val="clear" w:color="auto" w:fill="auto"/>
          </w:tcPr>
          <w:p w14:paraId="2FA009AD" w14:textId="77777777" w:rsidR="008C5CFA" w:rsidRPr="00BA47B4" w:rsidRDefault="008C5CFA" w:rsidP="00300A01">
            <w:pPr>
              <w:spacing w:before="0" w:after="0"/>
              <w:jc w:val="center"/>
              <w:rPr>
                <w:sz w:val="12"/>
                <w:szCs w:val="12"/>
                <w:lang w:val="fr-BE"/>
              </w:rPr>
            </w:pPr>
          </w:p>
        </w:tc>
        <w:tc>
          <w:tcPr>
            <w:tcW w:w="0" w:type="auto"/>
            <w:shd w:val="clear" w:color="auto" w:fill="auto"/>
          </w:tcPr>
          <w:p w14:paraId="29A009AA" w14:textId="77777777" w:rsidR="008C5CFA" w:rsidRPr="00BA47B4" w:rsidRDefault="008C5CFA" w:rsidP="00300A01">
            <w:pPr>
              <w:spacing w:before="0" w:after="0"/>
              <w:jc w:val="right"/>
              <w:rPr>
                <w:sz w:val="12"/>
                <w:szCs w:val="12"/>
                <w:lang w:val="fr-BE"/>
              </w:rPr>
            </w:pPr>
          </w:p>
        </w:tc>
        <w:tc>
          <w:tcPr>
            <w:tcW w:w="0" w:type="auto"/>
            <w:shd w:val="clear" w:color="auto" w:fill="auto"/>
          </w:tcPr>
          <w:p w14:paraId="7B9F9419" w14:textId="77777777" w:rsidR="008C5CFA" w:rsidRPr="00BA47B4" w:rsidRDefault="008C5CFA" w:rsidP="00300A01">
            <w:pPr>
              <w:spacing w:before="0" w:after="0"/>
              <w:jc w:val="right"/>
              <w:rPr>
                <w:sz w:val="12"/>
                <w:szCs w:val="12"/>
                <w:lang w:val="fr-BE"/>
              </w:rPr>
            </w:pPr>
          </w:p>
        </w:tc>
        <w:tc>
          <w:tcPr>
            <w:tcW w:w="0" w:type="auto"/>
            <w:shd w:val="clear" w:color="auto" w:fill="auto"/>
          </w:tcPr>
          <w:p w14:paraId="34017F04" w14:textId="77777777" w:rsidR="008C5CFA" w:rsidRPr="00BA47B4" w:rsidRDefault="008C5CFA" w:rsidP="00300A01">
            <w:pPr>
              <w:spacing w:before="0" w:after="0"/>
              <w:jc w:val="right"/>
              <w:rPr>
                <w:sz w:val="12"/>
                <w:szCs w:val="12"/>
                <w:lang w:val="fr-BE"/>
              </w:rPr>
            </w:pPr>
          </w:p>
        </w:tc>
        <w:tc>
          <w:tcPr>
            <w:tcW w:w="0" w:type="auto"/>
            <w:shd w:val="clear" w:color="auto" w:fill="auto"/>
          </w:tcPr>
          <w:p w14:paraId="387280B7" w14:textId="77777777" w:rsidR="008C5CFA" w:rsidRPr="00BA47B4" w:rsidRDefault="00E82A60" w:rsidP="00300A01">
            <w:pPr>
              <w:spacing w:before="0" w:after="0"/>
              <w:jc w:val="right"/>
              <w:rPr>
                <w:sz w:val="12"/>
                <w:szCs w:val="12"/>
                <w:lang w:val="fr-BE"/>
              </w:rPr>
            </w:pPr>
            <w:r w:rsidRPr="00BA47B4">
              <w:rPr>
                <w:noProof/>
                <w:sz w:val="12"/>
                <w:szCs w:val="12"/>
                <w:lang w:val="fr-BE"/>
              </w:rPr>
              <w:t>18,00</w:t>
            </w:r>
          </w:p>
        </w:tc>
        <w:tc>
          <w:tcPr>
            <w:tcW w:w="0" w:type="auto"/>
            <w:shd w:val="clear" w:color="auto" w:fill="auto"/>
          </w:tcPr>
          <w:p w14:paraId="1BC0B22B"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4A7FCC40" w14:textId="77777777" w:rsidR="008C5CFA" w:rsidRPr="00BA47B4" w:rsidRDefault="00E82A60" w:rsidP="00300A01">
            <w:pPr>
              <w:spacing w:before="0" w:after="0"/>
              <w:jc w:val="right"/>
              <w:rPr>
                <w:sz w:val="12"/>
                <w:szCs w:val="12"/>
                <w:lang w:val="fr-BE"/>
              </w:rPr>
            </w:pPr>
            <w:r w:rsidRPr="00BA47B4">
              <w:rPr>
                <w:noProof/>
                <w:sz w:val="12"/>
                <w:szCs w:val="12"/>
                <w:lang w:val="fr-BE"/>
              </w:rPr>
              <w:t>18,00</w:t>
            </w:r>
          </w:p>
        </w:tc>
        <w:tc>
          <w:tcPr>
            <w:tcW w:w="0" w:type="auto"/>
            <w:shd w:val="clear" w:color="auto" w:fill="auto"/>
          </w:tcPr>
          <w:p w14:paraId="23CB88AC" w14:textId="77777777" w:rsidR="008C5CFA" w:rsidRPr="00BA47B4" w:rsidRDefault="008C5CFA" w:rsidP="00300A01">
            <w:pPr>
              <w:spacing w:before="0" w:after="0"/>
              <w:jc w:val="right"/>
              <w:rPr>
                <w:sz w:val="12"/>
                <w:szCs w:val="12"/>
                <w:lang w:val="fr-BE"/>
              </w:rPr>
            </w:pPr>
          </w:p>
        </w:tc>
        <w:tc>
          <w:tcPr>
            <w:tcW w:w="0" w:type="auto"/>
            <w:shd w:val="clear" w:color="auto" w:fill="auto"/>
          </w:tcPr>
          <w:p w14:paraId="5246E4A8" w14:textId="77777777" w:rsidR="008C5CFA" w:rsidRPr="00BA47B4" w:rsidRDefault="008C5CFA" w:rsidP="00300A01">
            <w:pPr>
              <w:spacing w:before="0" w:after="0"/>
              <w:jc w:val="right"/>
              <w:rPr>
                <w:sz w:val="12"/>
                <w:szCs w:val="12"/>
                <w:lang w:val="fr-BE"/>
              </w:rPr>
            </w:pPr>
          </w:p>
        </w:tc>
        <w:tc>
          <w:tcPr>
            <w:tcW w:w="0" w:type="auto"/>
            <w:shd w:val="clear" w:color="auto" w:fill="auto"/>
          </w:tcPr>
          <w:p w14:paraId="04BEE763" w14:textId="77777777" w:rsidR="008C5CFA" w:rsidRPr="00BA47B4" w:rsidRDefault="008C5CFA" w:rsidP="00300A01">
            <w:pPr>
              <w:spacing w:before="0" w:after="0"/>
              <w:jc w:val="right"/>
              <w:rPr>
                <w:sz w:val="12"/>
                <w:szCs w:val="12"/>
                <w:lang w:val="fr-BE"/>
              </w:rPr>
            </w:pPr>
          </w:p>
        </w:tc>
        <w:tc>
          <w:tcPr>
            <w:tcW w:w="0" w:type="auto"/>
            <w:shd w:val="clear" w:color="auto" w:fill="auto"/>
          </w:tcPr>
          <w:p w14:paraId="2ABF7916"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0E951CB5" w14:textId="77777777" w:rsidR="008C5CFA" w:rsidRPr="00BA47B4" w:rsidRDefault="00E82A60" w:rsidP="00300A01">
            <w:pPr>
              <w:spacing w:before="0" w:after="0"/>
              <w:jc w:val="right"/>
              <w:rPr>
                <w:sz w:val="12"/>
                <w:szCs w:val="12"/>
                <w:lang w:val="fr-BE"/>
              </w:rPr>
            </w:pPr>
            <w:r w:rsidRPr="00BA47B4">
              <w:rPr>
                <w:noProof/>
                <w:sz w:val="12"/>
                <w:szCs w:val="12"/>
                <w:lang w:val="fr-BE"/>
              </w:rPr>
              <w:t>4,00</w:t>
            </w:r>
          </w:p>
        </w:tc>
      </w:tr>
      <w:tr w:rsidR="006B2EC1" w14:paraId="257C6B91" w14:textId="77777777" w:rsidTr="0047688D">
        <w:tc>
          <w:tcPr>
            <w:tcW w:w="0" w:type="auto"/>
            <w:shd w:val="clear" w:color="auto" w:fill="auto"/>
          </w:tcPr>
          <w:p w14:paraId="50813661" w14:textId="77777777" w:rsidR="008C5CFA" w:rsidRPr="00BA47B4" w:rsidRDefault="00E82A60" w:rsidP="00300A01">
            <w:pPr>
              <w:spacing w:before="0" w:after="0"/>
              <w:rPr>
                <w:sz w:val="12"/>
                <w:szCs w:val="12"/>
                <w:lang w:val="fr-BE"/>
              </w:rPr>
            </w:pPr>
            <w:r w:rsidRPr="00BA47B4">
              <w:rPr>
                <w:noProof/>
                <w:sz w:val="12"/>
                <w:szCs w:val="12"/>
                <w:lang w:val="fr-BE"/>
              </w:rPr>
              <w:t>CR02</w:t>
            </w:r>
          </w:p>
        </w:tc>
        <w:tc>
          <w:tcPr>
            <w:tcW w:w="0" w:type="auto"/>
            <w:shd w:val="clear" w:color="auto" w:fill="auto"/>
          </w:tcPr>
          <w:p w14:paraId="080FFED5" w14:textId="77777777" w:rsidR="008C5CFA" w:rsidRPr="00BA47B4" w:rsidRDefault="00E82A60" w:rsidP="00300A01">
            <w:pPr>
              <w:spacing w:before="0" w:after="0"/>
              <w:rPr>
                <w:sz w:val="12"/>
                <w:szCs w:val="12"/>
                <w:lang w:val="fr-BE"/>
              </w:rPr>
            </w:pPr>
            <w:r w:rsidRPr="00BA47B4">
              <w:rPr>
                <w:noProof/>
                <w:sz w:val="12"/>
                <w:szCs w:val="12"/>
                <w:lang w:val="fr-BE"/>
              </w:rPr>
              <w:t>uczestnicy kształcący lub szkolący się po opuszczeniu programu</w:t>
            </w:r>
          </w:p>
        </w:tc>
        <w:tc>
          <w:tcPr>
            <w:tcW w:w="0" w:type="auto"/>
            <w:shd w:val="clear" w:color="auto" w:fill="auto"/>
          </w:tcPr>
          <w:p w14:paraId="68AFF1D1" w14:textId="77777777" w:rsidR="008C5CFA" w:rsidRPr="00BA47B4" w:rsidRDefault="00E82A60" w:rsidP="00300A01">
            <w:pPr>
              <w:spacing w:before="0" w:after="0"/>
              <w:rPr>
                <w:sz w:val="12"/>
                <w:szCs w:val="12"/>
                <w:lang w:val="fr-BE"/>
              </w:rPr>
            </w:pPr>
            <w:r w:rsidRPr="00BA47B4">
              <w:rPr>
                <w:noProof/>
                <w:sz w:val="12"/>
                <w:szCs w:val="12"/>
                <w:lang w:val="fr-BE"/>
              </w:rPr>
              <w:t>Słabiej rozwinięte</w:t>
            </w:r>
          </w:p>
        </w:tc>
        <w:tc>
          <w:tcPr>
            <w:tcW w:w="0" w:type="auto"/>
            <w:shd w:val="clear" w:color="auto" w:fill="auto"/>
          </w:tcPr>
          <w:p w14:paraId="40DCC0DB" w14:textId="77777777" w:rsidR="008C5CFA" w:rsidRPr="00BA47B4" w:rsidRDefault="00E82A60" w:rsidP="00300A01">
            <w:pPr>
              <w:spacing w:before="0" w:after="0"/>
              <w:rPr>
                <w:sz w:val="12"/>
                <w:szCs w:val="12"/>
                <w:lang w:val="fr-BE"/>
              </w:rPr>
            </w:pPr>
            <w:r w:rsidRPr="00BA47B4">
              <w:rPr>
                <w:sz w:val="12"/>
                <w:szCs w:val="12"/>
                <w:lang w:val="fr-BE"/>
              </w:rPr>
              <w:t xml:space="preserve"> </w:t>
            </w:r>
          </w:p>
        </w:tc>
        <w:tc>
          <w:tcPr>
            <w:tcW w:w="0" w:type="auto"/>
            <w:shd w:val="clear" w:color="auto" w:fill="auto"/>
          </w:tcPr>
          <w:p w14:paraId="6FDF7AE8" w14:textId="77777777" w:rsidR="008C5CFA" w:rsidRPr="00BA47B4" w:rsidRDefault="008C5CFA" w:rsidP="00300A01">
            <w:pPr>
              <w:spacing w:before="0" w:after="0"/>
              <w:jc w:val="center"/>
              <w:rPr>
                <w:sz w:val="12"/>
                <w:szCs w:val="12"/>
                <w:lang w:val="fr-BE"/>
              </w:rPr>
            </w:pPr>
          </w:p>
        </w:tc>
        <w:tc>
          <w:tcPr>
            <w:tcW w:w="0" w:type="auto"/>
            <w:shd w:val="clear" w:color="auto" w:fill="auto"/>
          </w:tcPr>
          <w:p w14:paraId="6B7AFEF4" w14:textId="77777777" w:rsidR="008C5CFA" w:rsidRPr="00BA47B4" w:rsidRDefault="008C5CFA" w:rsidP="00300A01">
            <w:pPr>
              <w:spacing w:before="0" w:after="0"/>
              <w:jc w:val="right"/>
              <w:rPr>
                <w:sz w:val="12"/>
                <w:szCs w:val="12"/>
                <w:lang w:val="fr-BE"/>
              </w:rPr>
            </w:pPr>
          </w:p>
        </w:tc>
        <w:tc>
          <w:tcPr>
            <w:tcW w:w="0" w:type="auto"/>
            <w:shd w:val="clear" w:color="auto" w:fill="auto"/>
          </w:tcPr>
          <w:p w14:paraId="6893CD66" w14:textId="77777777" w:rsidR="008C5CFA" w:rsidRPr="00BA47B4" w:rsidRDefault="008C5CFA" w:rsidP="00300A01">
            <w:pPr>
              <w:spacing w:before="0" w:after="0"/>
              <w:jc w:val="right"/>
              <w:rPr>
                <w:sz w:val="12"/>
                <w:szCs w:val="12"/>
                <w:lang w:val="fr-BE"/>
              </w:rPr>
            </w:pPr>
          </w:p>
        </w:tc>
        <w:tc>
          <w:tcPr>
            <w:tcW w:w="0" w:type="auto"/>
            <w:shd w:val="clear" w:color="auto" w:fill="auto"/>
          </w:tcPr>
          <w:p w14:paraId="093BBE84" w14:textId="77777777" w:rsidR="008C5CFA" w:rsidRPr="00BA47B4" w:rsidRDefault="008C5CFA" w:rsidP="00300A01">
            <w:pPr>
              <w:spacing w:before="0" w:after="0"/>
              <w:jc w:val="right"/>
              <w:rPr>
                <w:sz w:val="12"/>
                <w:szCs w:val="12"/>
                <w:lang w:val="fr-BE"/>
              </w:rPr>
            </w:pPr>
          </w:p>
        </w:tc>
        <w:tc>
          <w:tcPr>
            <w:tcW w:w="0" w:type="auto"/>
            <w:shd w:val="clear" w:color="auto" w:fill="auto"/>
          </w:tcPr>
          <w:p w14:paraId="5408761D" w14:textId="77777777" w:rsidR="008C5CFA" w:rsidRPr="00BA47B4" w:rsidRDefault="00E82A60" w:rsidP="00300A01">
            <w:pPr>
              <w:spacing w:before="0" w:after="0"/>
              <w:jc w:val="right"/>
              <w:rPr>
                <w:sz w:val="12"/>
                <w:szCs w:val="12"/>
                <w:lang w:val="fr-BE"/>
              </w:rPr>
            </w:pPr>
            <w:r w:rsidRPr="00BA47B4">
              <w:rPr>
                <w:noProof/>
                <w:sz w:val="12"/>
                <w:szCs w:val="12"/>
                <w:lang w:val="fr-BE"/>
              </w:rPr>
              <w:t>1,00</w:t>
            </w:r>
          </w:p>
        </w:tc>
        <w:tc>
          <w:tcPr>
            <w:tcW w:w="0" w:type="auto"/>
            <w:shd w:val="clear" w:color="auto" w:fill="auto"/>
          </w:tcPr>
          <w:p w14:paraId="63A81E29"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4399ECC0" w14:textId="77777777" w:rsidR="008C5CFA" w:rsidRPr="00BA47B4" w:rsidRDefault="00E82A60" w:rsidP="00300A01">
            <w:pPr>
              <w:spacing w:before="0" w:after="0"/>
              <w:jc w:val="right"/>
              <w:rPr>
                <w:sz w:val="12"/>
                <w:szCs w:val="12"/>
                <w:lang w:val="fr-BE"/>
              </w:rPr>
            </w:pPr>
            <w:r w:rsidRPr="00BA47B4">
              <w:rPr>
                <w:noProof/>
                <w:sz w:val="12"/>
                <w:szCs w:val="12"/>
                <w:lang w:val="fr-BE"/>
              </w:rPr>
              <w:t>1,00</w:t>
            </w:r>
          </w:p>
        </w:tc>
        <w:tc>
          <w:tcPr>
            <w:tcW w:w="0" w:type="auto"/>
            <w:shd w:val="clear" w:color="auto" w:fill="auto"/>
          </w:tcPr>
          <w:p w14:paraId="031C6423" w14:textId="77777777" w:rsidR="008C5CFA" w:rsidRPr="00BA47B4" w:rsidRDefault="008C5CFA" w:rsidP="00300A01">
            <w:pPr>
              <w:spacing w:before="0" w:after="0"/>
              <w:jc w:val="right"/>
              <w:rPr>
                <w:sz w:val="12"/>
                <w:szCs w:val="12"/>
                <w:lang w:val="fr-BE"/>
              </w:rPr>
            </w:pPr>
          </w:p>
        </w:tc>
        <w:tc>
          <w:tcPr>
            <w:tcW w:w="0" w:type="auto"/>
            <w:shd w:val="clear" w:color="auto" w:fill="auto"/>
          </w:tcPr>
          <w:p w14:paraId="733A32C8" w14:textId="77777777" w:rsidR="008C5CFA" w:rsidRPr="00BA47B4" w:rsidRDefault="008C5CFA" w:rsidP="00300A01">
            <w:pPr>
              <w:spacing w:before="0" w:after="0"/>
              <w:jc w:val="right"/>
              <w:rPr>
                <w:sz w:val="12"/>
                <w:szCs w:val="12"/>
                <w:lang w:val="fr-BE"/>
              </w:rPr>
            </w:pPr>
          </w:p>
        </w:tc>
        <w:tc>
          <w:tcPr>
            <w:tcW w:w="0" w:type="auto"/>
            <w:shd w:val="clear" w:color="auto" w:fill="auto"/>
          </w:tcPr>
          <w:p w14:paraId="1ABB18F9" w14:textId="77777777" w:rsidR="008C5CFA" w:rsidRPr="00BA47B4" w:rsidRDefault="008C5CFA" w:rsidP="00300A01">
            <w:pPr>
              <w:spacing w:before="0" w:after="0"/>
              <w:jc w:val="right"/>
              <w:rPr>
                <w:sz w:val="12"/>
                <w:szCs w:val="12"/>
                <w:lang w:val="fr-BE"/>
              </w:rPr>
            </w:pPr>
          </w:p>
        </w:tc>
        <w:tc>
          <w:tcPr>
            <w:tcW w:w="0" w:type="auto"/>
            <w:shd w:val="clear" w:color="auto" w:fill="auto"/>
          </w:tcPr>
          <w:p w14:paraId="16B9CBAC"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70C73656"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r>
      <w:tr w:rsidR="006B2EC1" w14:paraId="2FBEBAEB" w14:textId="77777777" w:rsidTr="0047688D">
        <w:tc>
          <w:tcPr>
            <w:tcW w:w="0" w:type="auto"/>
            <w:shd w:val="clear" w:color="auto" w:fill="auto"/>
          </w:tcPr>
          <w:p w14:paraId="313769ED" w14:textId="77777777" w:rsidR="008C5CFA" w:rsidRPr="00BA47B4" w:rsidRDefault="00E82A60" w:rsidP="00300A01">
            <w:pPr>
              <w:spacing w:before="0" w:after="0"/>
              <w:rPr>
                <w:sz w:val="12"/>
                <w:szCs w:val="12"/>
                <w:lang w:val="fr-BE"/>
              </w:rPr>
            </w:pPr>
            <w:r w:rsidRPr="00BA47B4">
              <w:rPr>
                <w:noProof/>
                <w:sz w:val="12"/>
                <w:szCs w:val="12"/>
                <w:lang w:val="fr-BE"/>
              </w:rPr>
              <w:t>CR03</w:t>
            </w:r>
          </w:p>
        </w:tc>
        <w:tc>
          <w:tcPr>
            <w:tcW w:w="0" w:type="auto"/>
            <w:shd w:val="clear" w:color="auto" w:fill="auto"/>
          </w:tcPr>
          <w:p w14:paraId="35E7712E" w14:textId="77777777" w:rsidR="008C5CFA" w:rsidRPr="00BA47B4" w:rsidRDefault="00E82A60" w:rsidP="00300A01">
            <w:pPr>
              <w:spacing w:before="0" w:after="0"/>
              <w:rPr>
                <w:sz w:val="12"/>
                <w:szCs w:val="12"/>
                <w:lang w:val="fr-BE"/>
              </w:rPr>
            </w:pPr>
            <w:r w:rsidRPr="00BA47B4">
              <w:rPr>
                <w:noProof/>
                <w:sz w:val="12"/>
                <w:szCs w:val="12"/>
                <w:lang w:val="fr-BE"/>
              </w:rPr>
              <w:t>uczestnicy uzyskujący kwalifikacje po opuszczeniu programu</w:t>
            </w:r>
          </w:p>
        </w:tc>
        <w:tc>
          <w:tcPr>
            <w:tcW w:w="0" w:type="auto"/>
            <w:shd w:val="clear" w:color="auto" w:fill="auto"/>
          </w:tcPr>
          <w:p w14:paraId="0AEDC183" w14:textId="77777777" w:rsidR="008C5CFA" w:rsidRPr="00BA47B4" w:rsidRDefault="00E82A60" w:rsidP="00300A01">
            <w:pPr>
              <w:spacing w:before="0" w:after="0"/>
              <w:rPr>
                <w:sz w:val="12"/>
                <w:szCs w:val="12"/>
                <w:lang w:val="fr-BE"/>
              </w:rPr>
            </w:pPr>
            <w:r w:rsidRPr="00BA47B4">
              <w:rPr>
                <w:noProof/>
                <w:sz w:val="12"/>
                <w:szCs w:val="12"/>
                <w:lang w:val="fr-BE"/>
              </w:rPr>
              <w:t>Słabiej rozwinięte</w:t>
            </w:r>
          </w:p>
        </w:tc>
        <w:tc>
          <w:tcPr>
            <w:tcW w:w="0" w:type="auto"/>
            <w:shd w:val="clear" w:color="auto" w:fill="auto"/>
          </w:tcPr>
          <w:p w14:paraId="5E258339" w14:textId="77777777" w:rsidR="008C5CFA" w:rsidRPr="00BA47B4" w:rsidRDefault="00E82A60" w:rsidP="00300A01">
            <w:pPr>
              <w:spacing w:before="0" w:after="0"/>
              <w:rPr>
                <w:sz w:val="12"/>
                <w:szCs w:val="12"/>
                <w:lang w:val="fr-BE"/>
              </w:rPr>
            </w:pPr>
            <w:r w:rsidRPr="00BA47B4">
              <w:rPr>
                <w:sz w:val="12"/>
                <w:szCs w:val="12"/>
                <w:lang w:val="fr-BE"/>
              </w:rPr>
              <w:t xml:space="preserve"> </w:t>
            </w:r>
          </w:p>
        </w:tc>
        <w:tc>
          <w:tcPr>
            <w:tcW w:w="0" w:type="auto"/>
            <w:shd w:val="clear" w:color="auto" w:fill="auto"/>
          </w:tcPr>
          <w:p w14:paraId="60280A3B" w14:textId="77777777" w:rsidR="008C5CFA" w:rsidRPr="00BA47B4" w:rsidRDefault="008C5CFA" w:rsidP="00300A01">
            <w:pPr>
              <w:spacing w:before="0" w:after="0"/>
              <w:jc w:val="center"/>
              <w:rPr>
                <w:sz w:val="12"/>
                <w:szCs w:val="12"/>
                <w:lang w:val="fr-BE"/>
              </w:rPr>
            </w:pPr>
          </w:p>
        </w:tc>
        <w:tc>
          <w:tcPr>
            <w:tcW w:w="0" w:type="auto"/>
            <w:shd w:val="clear" w:color="auto" w:fill="auto"/>
          </w:tcPr>
          <w:p w14:paraId="7B1D622E" w14:textId="77777777" w:rsidR="008C5CFA" w:rsidRPr="00BA47B4" w:rsidRDefault="008C5CFA" w:rsidP="00300A01">
            <w:pPr>
              <w:spacing w:before="0" w:after="0"/>
              <w:jc w:val="right"/>
              <w:rPr>
                <w:sz w:val="12"/>
                <w:szCs w:val="12"/>
                <w:lang w:val="fr-BE"/>
              </w:rPr>
            </w:pPr>
          </w:p>
        </w:tc>
        <w:tc>
          <w:tcPr>
            <w:tcW w:w="0" w:type="auto"/>
            <w:shd w:val="clear" w:color="auto" w:fill="auto"/>
          </w:tcPr>
          <w:p w14:paraId="314C7C5E" w14:textId="77777777" w:rsidR="008C5CFA" w:rsidRPr="00BA47B4" w:rsidRDefault="008C5CFA" w:rsidP="00300A01">
            <w:pPr>
              <w:spacing w:before="0" w:after="0"/>
              <w:jc w:val="right"/>
              <w:rPr>
                <w:sz w:val="12"/>
                <w:szCs w:val="12"/>
                <w:lang w:val="fr-BE"/>
              </w:rPr>
            </w:pPr>
          </w:p>
        </w:tc>
        <w:tc>
          <w:tcPr>
            <w:tcW w:w="0" w:type="auto"/>
            <w:shd w:val="clear" w:color="auto" w:fill="auto"/>
          </w:tcPr>
          <w:p w14:paraId="5E4BED26" w14:textId="77777777" w:rsidR="008C5CFA" w:rsidRPr="00BA47B4" w:rsidRDefault="008C5CFA" w:rsidP="00300A01">
            <w:pPr>
              <w:spacing w:before="0" w:after="0"/>
              <w:jc w:val="right"/>
              <w:rPr>
                <w:sz w:val="12"/>
                <w:szCs w:val="12"/>
                <w:lang w:val="fr-BE"/>
              </w:rPr>
            </w:pPr>
          </w:p>
        </w:tc>
        <w:tc>
          <w:tcPr>
            <w:tcW w:w="0" w:type="auto"/>
            <w:shd w:val="clear" w:color="auto" w:fill="auto"/>
          </w:tcPr>
          <w:p w14:paraId="21D5C431" w14:textId="77777777" w:rsidR="008C5CFA" w:rsidRPr="00BA47B4" w:rsidRDefault="00E82A60" w:rsidP="00300A01">
            <w:pPr>
              <w:spacing w:before="0" w:after="0"/>
              <w:jc w:val="right"/>
              <w:rPr>
                <w:sz w:val="12"/>
                <w:szCs w:val="12"/>
                <w:lang w:val="fr-BE"/>
              </w:rPr>
            </w:pPr>
            <w:r w:rsidRPr="00BA47B4">
              <w:rPr>
                <w:noProof/>
                <w:sz w:val="12"/>
                <w:szCs w:val="12"/>
                <w:lang w:val="fr-BE"/>
              </w:rPr>
              <w:t>1,00</w:t>
            </w:r>
          </w:p>
        </w:tc>
        <w:tc>
          <w:tcPr>
            <w:tcW w:w="0" w:type="auto"/>
            <w:shd w:val="clear" w:color="auto" w:fill="auto"/>
          </w:tcPr>
          <w:p w14:paraId="20D4492B"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0B07C766" w14:textId="77777777" w:rsidR="008C5CFA" w:rsidRPr="00BA47B4" w:rsidRDefault="00E82A60" w:rsidP="00300A01">
            <w:pPr>
              <w:spacing w:before="0" w:after="0"/>
              <w:jc w:val="right"/>
              <w:rPr>
                <w:sz w:val="12"/>
                <w:szCs w:val="12"/>
                <w:lang w:val="fr-BE"/>
              </w:rPr>
            </w:pPr>
            <w:r w:rsidRPr="00BA47B4">
              <w:rPr>
                <w:noProof/>
                <w:sz w:val="12"/>
                <w:szCs w:val="12"/>
                <w:lang w:val="fr-BE"/>
              </w:rPr>
              <w:t>1,00</w:t>
            </w:r>
          </w:p>
        </w:tc>
        <w:tc>
          <w:tcPr>
            <w:tcW w:w="0" w:type="auto"/>
            <w:shd w:val="clear" w:color="auto" w:fill="auto"/>
          </w:tcPr>
          <w:p w14:paraId="44794030" w14:textId="77777777" w:rsidR="008C5CFA" w:rsidRPr="00BA47B4" w:rsidRDefault="008C5CFA" w:rsidP="00300A01">
            <w:pPr>
              <w:spacing w:before="0" w:after="0"/>
              <w:jc w:val="right"/>
              <w:rPr>
                <w:sz w:val="12"/>
                <w:szCs w:val="12"/>
                <w:lang w:val="fr-BE"/>
              </w:rPr>
            </w:pPr>
          </w:p>
        </w:tc>
        <w:tc>
          <w:tcPr>
            <w:tcW w:w="0" w:type="auto"/>
            <w:shd w:val="clear" w:color="auto" w:fill="auto"/>
          </w:tcPr>
          <w:p w14:paraId="7AA04AC0" w14:textId="77777777" w:rsidR="008C5CFA" w:rsidRPr="00BA47B4" w:rsidRDefault="008C5CFA" w:rsidP="00300A01">
            <w:pPr>
              <w:spacing w:before="0" w:after="0"/>
              <w:jc w:val="right"/>
              <w:rPr>
                <w:sz w:val="12"/>
                <w:szCs w:val="12"/>
                <w:lang w:val="fr-BE"/>
              </w:rPr>
            </w:pPr>
          </w:p>
        </w:tc>
        <w:tc>
          <w:tcPr>
            <w:tcW w:w="0" w:type="auto"/>
            <w:shd w:val="clear" w:color="auto" w:fill="auto"/>
          </w:tcPr>
          <w:p w14:paraId="7260955E" w14:textId="77777777" w:rsidR="008C5CFA" w:rsidRPr="00BA47B4" w:rsidRDefault="008C5CFA" w:rsidP="00300A01">
            <w:pPr>
              <w:spacing w:before="0" w:after="0"/>
              <w:jc w:val="right"/>
              <w:rPr>
                <w:sz w:val="12"/>
                <w:szCs w:val="12"/>
                <w:lang w:val="fr-BE"/>
              </w:rPr>
            </w:pPr>
          </w:p>
        </w:tc>
        <w:tc>
          <w:tcPr>
            <w:tcW w:w="0" w:type="auto"/>
            <w:shd w:val="clear" w:color="auto" w:fill="auto"/>
          </w:tcPr>
          <w:p w14:paraId="7E4F2D75"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3E8FDA83" w14:textId="77777777" w:rsidR="008C5CFA" w:rsidRPr="00BA47B4" w:rsidRDefault="00E82A60" w:rsidP="00300A01">
            <w:pPr>
              <w:spacing w:before="0" w:after="0"/>
              <w:jc w:val="right"/>
              <w:rPr>
                <w:sz w:val="12"/>
                <w:szCs w:val="12"/>
                <w:lang w:val="fr-BE"/>
              </w:rPr>
            </w:pPr>
            <w:r w:rsidRPr="00BA47B4">
              <w:rPr>
                <w:noProof/>
                <w:sz w:val="12"/>
                <w:szCs w:val="12"/>
                <w:lang w:val="fr-BE"/>
              </w:rPr>
              <w:t>1,00</w:t>
            </w:r>
          </w:p>
        </w:tc>
      </w:tr>
      <w:tr w:rsidR="006B2EC1" w14:paraId="45D70923" w14:textId="77777777" w:rsidTr="0047688D">
        <w:tc>
          <w:tcPr>
            <w:tcW w:w="0" w:type="auto"/>
            <w:shd w:val="clear" w:color="auto" w:fill="auto"/>
          </w:tcPr>
          <w:p w14:paraId="43158F5B" w14:textId="77777777" w:rsidR="008C5CFA" w:rsidRPr="00BA47B4" w:rsidRDefault="00E82A60" w:rsidP="00300A01">
            <w:pPr>
              <w:spacing w:before="0" w:after="0"/>
              <w:rPr>
                <w:sz w:val="12"/>
                <w:szCs w:val="12"/>
                <w:lang w:val="fr-BE"/>
              </w:rPr>
            </w:pPr>
            <w:r w:rsidRPr="00BA47B4">
              <w:rPr>
                <w:noProof/>
                <w:sz w:val="12"/>
                <w:szCs w:val="12"/>
                <w:lang w:val="fr-BE"/>
              </w:rPr>
              <w:t>CR04</w:t>
            </w:r>
          </w:p>
        </w:tc>
        <w:tc>
          <w:tcPr>
            <w:tcW w:w="0" w:type="auto"/>
            <w:shd w:val="clear" w:color="auto" w:fill="auto"/>
          </w:tcPr>
          <w:p w14:paraId="2D296290" w14:textId="77777777" w:rsidR="008C5CFA" w:rsidRPr="00BA47B4" w:rsidRDefault="00E82A60" w:rsidP="00300A01">
            <w:pPr>
              <w:spacing w:before="0" w:after="0"/>
              <w:rPr>
                <w:sz w:val="12"/>
                <w:szCs w:val="12"/>
                <w:lang w:val="fr-BE"/>
              </w:rPr>
            </w:pPr>
            <w:r w:rsidRPr="00BA47B4">
              <w:rPr>
                <w:noProof/>
                <w:sz w:val="12"/>
                <w:szCs w:val="12"/>
                <w:lang w:val="fr-BE"/>
              </w:rPr>
              <w:t>uczestnicy pracujący, łącznie z prowadzącymi działalność na własny rachunek, po opuszczeniu programu</w:t>
            </w:r>
          </w:p>
        </w:tc>
        <w:tc>
          <w:tcPr>
            <w:tcW w:w="0" w:type="auto"/>
            <w:shd w:val="clear" w:color="auto" w:fill="auto"/>
          </w:tcPr>
          <w:p w14:paraId="27B6F340" w14:textId="77777777" w:rsidR="008C5CFA" w:rsidRPr="00BA47B4" w:rsidRDefault="00E82A60" w:rsidP="00300A01">
            <w:pPr>
              <w:spacing w:before="0" w:after="0"/>
              <w:rPr>
                <w:sz w:val="12"/>
                <w:szCs w:val="12"/>
                <w:lang w:val="fr-BE"/>
              </w:rPr>
            </w:pPr>
            <w:r w:rsidRPr="00BA47B4">
              <w:rPr>
                <w:noProof/>
                <w:sz w:val="12"/>
                <w:szCs w:val="12"/>
                <w:lang w:val="fr-BE"/>
              </w:rPr>
              <w:t>Słabiej rozwinięte</w:t>
            </w:r>
          </w:p>
        </w:tc>
        <w:tc>
          <w:tcPr>
            <w:tcW w:w="0" w:type="auto"/>
            <w:shd w:val="clear" w:color="auto" w:fill="auto"/>
          </w:tcPr>
          <w:p w14:paraId="309E95EC" w14:textId="77777777" w:rsidR="008C5CFA" w:rsidRPr="00BA47B4" w:rsidRDefault="00E82A60" w:rsidP="00300A01">
            <w:pPr>
              <w:spacing w:before="0" w:after="0"/>
              <w:rPr>
                <w:sz w:val="12"/>
                <w:szCs w:val="12"/>
                <w:lang w:val="fr-BE"/>
              </w:rPr>
            </w:pPr>
            <w:r w:rsidRPr="00BA47B4">
              <w:rPr>
                <w:sz w:val="12"/>
                <w:szCs w:val="12"/>
                <w:lang w:val="fr-BE"/>
              </w:rPr>
              <w:t xml:space="preserve"> </w:t>
            </w:r>
          </w:p>
        </w:tc>
        <w:tc>
          <w:tcPr>
            <w:tcW w:w="0" w:type="auto"/>
            <w:shd w:val="clear" w:color="auto" w:fill="auto"/>
          </w:tcPr>
          <w:p w14:paraId="4EEA5700" w14:textId="77777777" w:rsidR="008C5CFA" w:rsidRPr="00BA47B4" w:rsidRDefault="008C5CFA" w:rsidP="00300A01">
            <w:pPr>
              <w:spacing w:before="0" w:after="0"/>
              <w:jc w:val="center"/>
              <w:rPr>
                <w:sz w:val="12"/>
                <w:szCs w:val="12"/>
                <w:lang w:val="fr-BE"/>
              </w:rPr>
            </w:pPr>
          </w:p>
        </w:tc>
        <w:tc>
          <w:tcPr>
            <w:tcW w:w="0" w:type="auto"/>
            <w:shd w:val="clear" w:color="auto" w:fill="auto"/>
          </w:tcPr>
          <w:p w14:paraId="0F1873CB" w14:textId="77777777" w:rsidR="008C5CFA" w:rsidRPr="00BA47B4" w:rsidRDefault="008C5CFA" w:rsidP="00300A01">
            <w:pPr>
              <w:spacing w:before="0" w:after="0"/>
              <w:jc w:val="right"/>
              <w:rPr>
                <w:sz w:val="12"/>
                <w:szCs w:val="12"/>
                <w:lang w:val="fr-BE"/>
              </w:rPr>
            </w:pPr>
          </w:p>
        </w:tc>
        <w:tc>
          <w:tcPr>
            <w:tcW w:w="0" w:type="auto"/>
            <w:shd w:val="clear" w:color="auto" w:fill="auto"/>
          </w:tcPr>
          <w:p w14:paraId="381EEF97" w14:textId="77777777" w:rsidR="008C5CFA" w:rsidRPr="00BA47B4" w:rsidRDefault="008C5CFA" w:rsidP="00300A01">
            <w:pPr>
              <w:spacing w:before="0" w:after="0"/>
              <w:jc w:val="right"/>
              <w:rPr>
                <w:sz w:val="12"/>
                <w:szCs w:val="12"/>
                <w:lang w:val="fr-BE"/>
              </w:rPr>
            </w:pPr>
          </w:p>
        </w:tc>
        <w:tc>
          <w:tcPr>
            <w:tcW w:w="0" w:type="auto"/>
            <w:shd w:val="clear" w:color="auto" w:fill="auto"/>
          </w:tcPr>
          <w:p w14:paraId="15DA3A37" w14:textId="77777777" w:rsidR="008C5CFA" w:rsidRPr="00BA47B4" w:rsidRDefault="008C5CFA" w:rsidP="00300A01">
            <w:pPr>
              <w:spacing w:before="0" w:after="0"/>
              <w:jc w:val="right"/>
              <w:rPr>
                <w:sz w:val="12"/>
                <w:szCs w:val="12"/>
                <w:lang w:val="fr-BE"/>
              </w:rPr>
            </w:pPr>
          </w:p>
        </w:tc>
        <w:tc>
          <w:tcPr>
            <w:tcW w:w="0" w:type="auto"/>
            <w:shd w:val="clear" w:color="auto" w:fill="auto"/>
          </w:tcPr>
          <w:p w14:paraId="6FF818F5" w14:textId="77777777" w:rsidR="008C5CFA" w:rsidRPr="00BA47B4" w:rsidRDefault="00E82A60" w:rsidP="00300A01">
            <w:pPr>
              <w:spacing w:before="0" w:after="0"/>
              <w:jc w:val="right"/>
              <w:rPr>
                <w:sz w:val="12"/>
                <w:szCs w:val="12"/>
                <w:lang w:val="fr-BE"/>
              </w:rPr>
            </w:pPr>
            <w:r w:rsidRPr="00BA47B4">
              <w:rPr>
                <w:noProof/>
                <w:sz w:val="12"/>
                <w:szCs w:val="12"/>
                <w:lang w:val="fr-BE"/>
              </w:rPr>
              <w:t>183,00</w:t>
            </w:r>
          </w:p>
        </w:tc>
        <w:tc>
          <w:tcPr>
            <w:tcW w:w="0" w:type="auto"/>
            <w:shd w:val="clear" w:color="auto" w:fill="auto"/>
          </w:tcPr>
          <w:p w14:paraId="1BE26C10" w14:textId="77777777" w:rsidR="008C5CFA" w:rsidRPr="00BA47B4" w:rsidRDefault="00E82A60" w:rsidP="00300A01">
            <w:pPr>
              <w:spacing w:before="0" w:after="0"/>
              <w:jc w:val="right"/>
              <w:rPr>
                <w:sz w:val="12"/>
                <w:szCs w:val="12"/>
                <w:lang w:val="fr-BE"/>
              </w:rPr>
            </w:pPr>
            <w:r w:rsidRPr="00BA47B4">
              <w:rPr>
                <w:noProof/>
                <w:sz w:val="12"/>
                <w:szCs w:val="12"/>
                <w:lang w:val="fr-BE"/>
              </w:rPr>
              <w:t>17,00</w:t>
            </w:r>
          </w:p>
        </w:tc>
        <w:tc>
          <w:tcPr>
            <w:tcW w:w="0" w:type="auto"/>
            <w:shd w:val="clear" w:color="auto" w:fill="auto"/>
          </w:tcPr>
          <w:p w14:paraId="58585B6E" w14:textId="77777777" w:rsidR="008C5CFA" w:rsidRPr="00BA47B4" w:rsidRDefault="00E82A60" w:rsidP="00300A01">
            <w:pPr>
              <w:spacing w:before="0" w:after="0"/>
              <w:jc w:val="right"/>
              <w:rPr>
                <w:sz w:val="12"/>
                <w:szCs w:val="12"/>
                <w:lang w:val="fr-BE"/>
              </w:rPr>
            </w:pPr>
            <w:r w:rsidRPr="00BA47B4">
              <w:rPr>
                <w:noProof/>
                <w:sz w:val="12"/>
                <w:szCs w:val="12"/>
                <w:lang w:val="fr-BE"/>
              </w:rPr>
              <w:t>166,00</w:t>
            </w:r>
          </w:p>
        </w:tc>
        <w:tc>
          <w:tcPr>
            <w:tcW w:w="0" w:type="auto"/>
            <w:shd w:val="clear" w:color="auto" w:fill="auto"/>
          </w:tcPr>
          <w:p w14:paraId="50B87EF3" w14:textId="77777777" w:rsidR="008C5CFA" w:rsidRPr="00BA47B4" w:rsidRDefault="008C5CFA" w:rsidP="00300A01">
            <w:pPr>
              <w:spacing w:before="0" w:after="0"/>
              <w:jc w:val="right"/>
              <w:rPr>
                <w:sz w:val="12"/>
                <w:szCs w:val="12"/>
                <w:lang w:val="fr-BE"/>
              </w:rPr>
            </w:pPr>
          </w:p>
        </w:tc>
        <w:tc>
          <w:tcPr>
            <w:tcW w:w="0" w:type="auto"/>
            <w:shd w:val="clear" w:color="auto" w:fill="auto"/>
          </w:tcPr>
          <w:p w14:paraId="50EB1102" w14:textId="77777777" w:rsidR="008C5CFA" w:rsidRPr="00BA47B4" w:rsidRDefault="008C5CFA" w:rsidP="00300A01">
            <w:pPr>
              <w:spacing w:before="0" w:after="0"/>
              <w:jc w:val="right"/>
              <w:rPr>
                <w:sz w:val="12"/>
                <w:szCs w:val="12"/>
                <w:lang w:val="fr-BE"/>
              </w:rPr>
            </w:pPr>
          </w:p>
        </w:tc>
        <w:tc>
          <w:tcPr>
            <w:tcW w:w="0" w:type="auto"/>
            <w:shd w:val="clear" w:color="auto" w:fill="auto"/>
          </w:tcPr>
          <w:p w14:paraId="64F866AC" w14:textId="77777777" w:rsidR="008C5CFA" w:rsidRPr="00BA47B4" w:rsidRDefault="008C5CFA" w:rsidP="00300A01">
            <w:pPr>
              <w:spacing w:before="0" w:after="0"/>
              <w:jc w:val="right"/>
              <w:rPr>
                <w:sz w:val="12"/>
                <w:szCs w:val="12"/>
                <w:lang w:val="fr-BE"/>
              </w:rPr>
            </w:pPr>
          </w:p>
        </w:tc>
        <w:tc>
          <w:tcPr>
            <w:tcW w:w="0" w:type="auto"/>
            <w:shd w:val="clear" w:color="auto" w:fill="auto"/>
          </w:tcPr>
          <w:p w14:paraId="2887B25F" w14:textId="77777777" w:rsidR="008C5CFA" w:rsidRPr="00BA47B4" w:rsidRDefault="00E82A60" w:rsidP="00300A01">
            <w:pPr>
              <w:spacing w:before="0" w:after="0"/>
              <w:jc w:val="right"/>
              <w:rPr>
                <w:sz w:val="12"/>
                <w:szCs w:val="12"/>
                <w:lang w:val="fr-BE"/>
              </w:rPr>
            </w:pPr>
            <w:r w:rsidRPr="00BA47B4">
              <w:rPr>
                <w:noProof/>
                <w:sz w:val="12"/>
                <w:szCs w:val="12"/>
                <w:lang w:val="fr-BE"/>
              </w:rPr>
              <w:t>11,00</w:t>
            </w:r>
          </w:p>
        </w:tc>
        <w:tc>
          <w:tcPr>
            <w:tcW w:w="0" w:type="auto"/>
            <w:shd w:val="clear" w:color="auto" w:fill="auto"/>
          </w:tcPr>
          <w:p w14:paraId="78D2B0D6" w14:textId="77777777" w:rsidR="008C5CFA" w:rsidRPr="00BA47B4" w:rsidRDefault="00E82A60" w:rsidP="00300A01">
            <w:pPr>
              <w:spacing w:before="0" w:after="0"/>
              <w:jc w:val="right"/>
              <w:rPr>
                <w:sz w:val="12"/>
                <w:szCs w:val="12"/>
                <w:lang w:val="fr-BE"/>
              </w:rPr>
            </w:pPr>
            <w:r w:rsidRPr="00BA47B4">
              <w:rPr>
                <w:noProof/>
                <w:sz w:val="12"/>
                <w:szCs w:val="12"/>
                <w:lang w:val="fr-BE"/>
              </w:rPr>
              <w:t>54,00</w:t>
            </w:r>
          </w:p>
        </w:tc>
      </w:tr>
      <w:tr w:rsidR="006B2EC1" w14:paraId="08C1514C" w14:textId="77777777" w:rsidTr="0047688D">
        <w:tc>
          <w:tcPr>
            <w:tcW w:w="0" w:type="auto"/>
            <w:shd w:val="clear" w:color="auto" w:fill="auto"/>
          </w:tcPr>
          <w:p w14:paraId="6586663E" w14:textId="77777777" w:rsidR="008C5CFA" w:rsidRPr="00BA47B4" w:rsidRDefault="00E82A60" w:rsidP="00300A01">
            <w:pPr>
              <w:spacing w:before="0" w:after="0"/>
              <w:rPr>
                <w:sz w:val="12"/>
                <w:szCs w:val="12"/>
                <w:lang w:val="fr-BE"/>
              </w:rPr>
            </w:pPr>
            <w:r w:rsidRPr="00BA47B4">
              <w:rPr>
                <w:noProof/>
                <w:sz w:val="12"/>
                <w:szCs w:val="12"/>
                <w:lang w:val="fr-BE"/>
              </w:rPr>
              <w:t>CR05</w:t>
            </w:r>
          </w:p>
        </w:tc>
        <w:tc>
          <w:tcPr>
            <w:tcW w:w="0" w:type="auto"/>
            <w:shd w:val="clear" w:color="auto" w:fill="auto"/>
          </w:tcPr>
          <w:p w14:paraId="700D5341" w14:textId="77777777" w:rsidR="008C5CFA" w:rsidRPr="00BA47B4" w:rsidRDefault="00E82A60" w:rsidP="00300A01">
            <w:pPr>
              <w:spacing w:before="0" w:after="0"/>
              <w:rPr>
                <w:sz w:val="12"/>
                <w:szCs w:val="12"/>
                <w:lang w:val="fr-BE"/>
              </w:rPr>
            </w:pPr>
            <w:r w:rsidRPr="00BA47B4">
              <w:rPr>
                <w:noProof/>
                <w:sz w:val="12"/>
                <w:szCs w:val="12"/>
                <w:lang w:val="fr-BE"/>
              </w:rPr>
              <w:t>uczestnicy w niekorzystnej sytuacji społecznej poszukujący pracy, uczestniczący w kształceniu lub szkoleniu, zdobywający kwalifikacje lub pracujący (łącznie z prowadzącymi działalność na własny rachunek) po opuszczeniu programu</w:t>
            </w:r>
          </w:p>
        </w:tc>
        <w:tc>
          <w:tcPr>
            <w:tcW w:w="0" w:type="auto"/>
            <w:shd w:val="clear" w:color="auto" w:fill="auto"/>
          </w:tcPr>
          <w:p w14:paraId="4A3FD2AF" w14:textId="77777777" w:rsidR="008C5CFA" w:rsidRPr="00BA47B4" w:rsidRDefault="00E82A60" w:rsidP="00300A01">
            <w:pPr>
              <w:spacing w:before="0" w:after="0"/>
              <w:rPr>
                <w:sz w:val="12"/>
                <w:szCs w:val="12"/>
                <w:lang w:val="fr-BE"/>
              </w:rPr>
            </w:pPr>
            <w:r w:rsidRPr="00BA47B4">
              <w:rPr>
                <w:noProof/>
                <w:sz w:val="12"/>
                <w:szCs w:val="12"/>
                <w:lang w:val="fr-BE"/>
              </w:rPr>
              <w:t>Słabiej rozwinięte</w:t>
            </w:r>
          </w:p>
        </w:tc>
        <w:tc>
          <w:tcPr>
            <w:tcW w:w="0" w:type="auto"/>
            <w:shd w:val="clear" w:color="auto" w:fill="auto"/>
          </w:tcPr>
          <w:p w14:paraId="0D8256F9" w14:textId="77777777" w:rsidR="008C5CFA" w:rsidRPr="00BA47B4" w:rsidRDefault="00E82A60" w:rsidP="00300A01">
            <w:pPr>
              <w:spacing w:before="0" w:after="0"/>
              <w:rPr>
                <w:sz w:val="12"/>
                <w:szCs w:val="12"/>
                <w:lang w:val="fr-BE"/>
              </w:rPr>
            </w:pPr>
            <w:r w:rsidRPr="00BA47B4">
              <w:rPr>
                <w:sz w:val="12"/>
                <w:szCs w:val="12"/>
                <w:lang w:val="fr-BE"/>
              </w:rPr>
              <w:t xml:space="preserve"> </w:t>
            </w:r>
          </w:p>
        </w:tc>
        <w:tc>
          <w:tcPr>
            <w:tcW w:w="0" w:type="auto"/>
            <w:shd w:val="clear" w:color="auto" w:fill="auto"/>
          </w:tcPr>
          <w:p w14:paraId="5C4F484D" w14:textId="77777777" w:rsidR="008C5CFA" w:rsidRPr="00BA47B4" w:rsidRDefault="008C5CFA" w:rsidP="00300A01">
            <w:pPr>
              <w:spacing w:before="0" w:after="0"/>
              <w:jc w:val="center"/>
              <w:rPr>
                <w:sz w:val="12"/>
                <w:szCs w:val="12"/>
                <w:lang w:val="fr-BE"/>
              </w:rPr>
            </w:pPr>
          </w:p>
        </w:tc>
        <w:tc>
          <w:tcPr>
            <w:tcW w:w="0" w:type="auto"/>
            <w:shd w:val="clear" w:color="auto" w:fill="auto"/>
          </w:tcPr>
          <w:p w14:paraId="68959480" w14:textId="77777777" w:rsidR="008C5CFA" w:rsidRPr="00BA47B4" w:rsidRDefault="008C5CFA" w:rsidP="00300A01">
            <w:pPr>
              <w:spacing w:before="0" w:after="0"/>
              <w:jc w:val="right"/>
              <w:rPr>
                <w:sz w:val="12"/>
                <w:szCs w:val="12"/>
                <w:lang w:val="fr-BE"/>
              </w:rPr>
            </w:pPr>
          </w:p>
        </w:tc>
        <w:tc>
          <w:tcPr>
            <w:tcW w:w="0" w:type="auto"/>
            <w:shd w:val="clear" w:color="auto" w:fill="auto"/>
          </w:tcPr>
          <w:p w14:paraId="4D6EED3B" w14:textId="77777777" w:rsidR="008C5CFA" w:rsidRPr="00BA47B4" w:rsidRDefault="008C5CFA" w:rsidP="00300A01">
            <w:pPr>
              <w:spacing w:before="0" w:after="0"/>
              <w:jc w:val="right"/>
              <w:rPr>
                <w:sz w:val="12"/>
                <w:szCs w:val="12"/>
                <w:lang w:val="fr-BE"/>
              </w:rPr>
            </w:pPr>
          </w:p>
        </w:tc>
        <w:tc>
          <w:tcPr>
            <w:tcW w:w="0" w:type="auto"/>
            <w:shd w:val="clear" w:color="auto" w:fill="auto"/>
          </w:tcPr>
          <w:p w14:paraId="338FDE81" w14:textId="77777777" w:rsidR="008C5CFA" w:rsidRPr="00BA47B4" w:rsidRDefault="008C5CFA" w:rsidP="00300A01">
            <w:pPr>
              <w:spacing w:before="0" w:after="0"/>
              <w:jc w:val="right"/>
              <w:rPr>
                <w:sz w:val="12"/>
                <w:szCs w:val="12"/>
                <w:lang w:val="fr-BE"/>
              </w:rPr>
            </w:pPr>
          </w:p>
        </w:tc>
        <w:tc>
          <w:tcPr>
            <w:tcW w:w="0" w:type="auto"/>
            <w:shd w:val="clear" w:color="auto" w:fill="auto"/>
          </w:tcPr>
          <w:p w14:paraId="3157CE2F" w14:textId="77777777" w:rsidR="008C5CFA" w:rsidRPr="00BA47B4" w:rsidRDefault="00E82A60" w:rsidP="00300A01">
            <w:pPr>
              <w:spacing w:before="0" w:after="0"/>
              <w:jc w:val="right"/>
              <w:rPr>
                <w:sz w:val="12"/>
                <w:szCs w:val="12"/>
                <w:lang w:val="fr-BE"/>
              </w:rPr>
            </w:pPr>
            <w:r w:rsidRPr="00BA47B4">
              <w:rPr>
                <w:noProof/>
                <w:sz w:val="12"/>
                <w:szCs w:val="12"/>
                <w:lang w:val="fr-BE"/>
              </w:rPr>
              <w:t>15,00</w:t>
            </w:r>
          </w:p>
        </w:tc>
        <w:tc>
          <w:tcPr>
            <w:tcW w:w="0" w:type="auto"/>
            <w:shd w:val="clear" w:color="auto" w:fill="auto"/>
          </w:tcPr>
          <w:p w14:paraId="108DBA51" w14:textId="77777777" w:rsidR="008C5CFA" w:rsidRPr="00BA47B4" w:rsidRDefault="00E82A60" w:rsidP="00300A01">
            <w:pPr>
              <w:spacing w:before="0" w:after="0"/>
              <w:jc w:val="right"/>
              <w:rPr>
                <w:sz w:val="12"/>
                <w:szCs w:val="12"/>
                <w:lang w:val="fr-BE"/>
              </w:rPr>
            </w:pPr>
            <w:r w:rsidRPr="00BA47B4">
              <w:rPr>
                <w:noProof/>
                <w:sz w:val="12"/>
                <w:szCs w:val="12"/>
                <w:lang w:val="fr-BE"/>
              </w:rPr>
              <w:t>2,00</w:t>
            </w:r>
          </w:p>
        </w:tc>
        <w:tc>
          <w:tcPr>
            <w:tcW w:w="0" w:type="auto"/>
            <w:shd w:val="clear" w:color="auto" w:fill="auto"/>
          </w:tcPr>
          <w:p w14:paraId="283175B7" w14:textId="77777777" w:rsidR="008C5CFA" w:rsidRPr="00BA47B4" w:rsidRDefault="00E82A60" w:rsidP="00300A01">
            <w:pPr>
              <w:spacing w:before="0" w:after="0"/>
              <w:jc w:val="right"/>
              <w:rPr>
                <w:sz w:val="12"/>
                <w:szCs w:val="12"/>
                <w:lang w:val="fr-BE"/>
              </w:rPr>
            </w:pPr>
            <w:r w:rsidRPr="00BA47B4">
              <w:rPr>
                <w:noProof/>
                <w:sz w:val="12"/>
                <w:szCs w:val="12"/>
                <w:lang w:val="fr-BE"/>
              </w:rPr>
              <w:t>13,00</w:t>
            </w:r>
          </w:p>
        </w:tc>
        <w:tc>
          <w:tcPr>
            <w:tcW w:w="0" w:type="auto"/>
            <w:shd w:val="clear" w:color="auto" w:fill="auto"/>
          </w:tcPr>
          <w:p w14:paraId="0C7DC17B" w14:textId="77777777" w:rsidR="008C5CFA" w:rsidRPr="00BA47B4" w:rsidRDefault="008C5CFA" w:rsidP="00300A01">
            <w:pPr>
              <w:spacing w:before="0" w:after="0"/>
              <w:jc w:val="right"/>
              <w:rPr>
                <w:sz w:val="12"/>
                <w:szCs w:val="12"/>
                <w:lang w:val="fr-BE"/>
              </w:rPr>
            </w:pPr>
          </w:p>
        </w:tc>
        <w:tc>
          <w:tcPr>
            <w:tcW w:w="0" w:type="auto"/>
            <w:shd w:val="clear" w:color="auto" w:fill="auto"/>
          </w:tcPr>
          <w:p w14:paraId="4F74308C" w14:textId="77777777" w:rsidR="008C5CFA" w:rsidRPr="00BA47B4" w:rsidRDefault="008C5CFA" w:rsidP="00300A01">
            <w:pPr>
              <w:spacing w:before="0" w:after="0"/>
              <w:jc w:val="right"/>
              <w:rPr>
                <w:sz w:val="12"/>
                <w:szCs w:val="12"/>
                <w:lang w:val="fr-BE"/>
              </w:rPr>
            </w:pPr>
          </w:p>
        </w:tc>
        <w:tc>
          <w:tcPr>
            <w:tcW w:w="0" w:type="auto"/>
            <w:shd w:val="clear" w:color="auto" w:fill="auto"/>
          </w:tcPr>
          <w:p w14:paraId="377752C9" w14:textId="77777777" w:rsidR="008C5CFA" w:rsidRPr="00BA47B4" w:rsidRDefault="008C5CFA" w:rsidP="00300A01">
            <w:pPr>
              <w:spacing w:before="0" w:after="0"/>
              <w:jc w:val="right"/>
              <w:rPr>
                <w:sz w:val="12"/>
                <w:szCs w:val="12"/>
                <w:lang w:val="fr-BE"/>
              </w:rPr>
            </w:pPr>
          </w:p>
        </w:tc>
        <w:tc>
          <w:tcPr>
            <w:tcW w:w="0" w:type="auto"/>
            <w:shd w:val="clear" w:color="auto" w:fill="auto"/>
          </w:tcPr>
          <w:p w14:paraId="77AFC062" w14:textId="77777777" w:rsidR="008C5CFA" w:rsidRPr="00BA47B4" w:rsidRDefault="00E82A60" w:rsidP="00300A01">
            <w:pPr>
              <w:spacing w:before="0" w:after="0"/>
              <w:jc w:val="right"/>
              <w:rPr>
                <w:sz w:val="12"/>
                <w:szCs w:val="12"/>
                <w:lang w:val="fr-BE"/>
              </w:rPr>
            </w:pPr>
            <w:r w:rsidRPr="00BA47B4">
              <w:rPr>
                <w:noProof/>
                <w:sz w:val="12"/>
                <w:szCs w:val="12"/>
                <w:lang w:val="fr-BE"/>
              </w:rPr>
              <w:t>2,00</w:t>
            </w:r>
          </w:p>
        </w:tc>
        <w:tc>
          <w:tcPr>
            <w:tcW w:w="0" w:type="auto"/>
            <w:shd w:val="clear" w:color="auto" w:fill="auto"/>
          </w:tcPr>
          <w:p w14:paraId="2C7467DD" w14:textId="77777777" w:rsidR="008C5CFA" w:rsidRPr="00BA47B4" w:rsidRDefault="00E82A60" w:rsidP="00300A01">
            <w:pPr>
              <w:spacing w:before="0" w:after="0"/>
              <w:jc w:val="right"/>
              <w:rPr>
                <w:sz w:val="12"/>
                <w:szCs w:val="12"/>
                <w:lang w:val="fr-BE"/>
              </w:rPr>
            </w:pPr>
            <w:r w:rsidRPr="00BA47B4">
              <w:rPr>
                <w:noProof/>
                <w:sz w:val="12"/>
                <w:szCs w:val="12"/>
                <w:lang w:val="fr-BE"/>
              </w:rPr>
              <w:t>8,00</w:t>
            </w:r>
          </w:p>
        </w:tc>
      </w:tr>
      <w:tr w:rsidR="006B2EC1" w14:paraId="0A4C32A1" w14:textId="77777777" w:rsidTr="0047688D">
        <w:tc>
          <w:tcPr>
            <w:tcW w:w="0" w:type="auto"/>
            <w:shd w:val="clear" w:color="auto" w:fill="auto"/>
          </w:tcPr>
          <w:p w14:paraId="7B587313" w14:textId="77777777" w:rsidR="008C5CFA" w:rsidRPr="00BA47B4" w:rsidRDefault="00E82A60" w:rsidP="00300A01">
            <w:pPr>
              <w:spacing w:before="0" w:after="0"/>
              <w:rPr>
                <w:sz w:val="12"/>
                <w:szCs w:val="12"/>
                <w:lang w:val="fr-BE"/>
              </w:rPr>
            </w:pPr>
            <w:r w:rsidRPr="00BA47B4">
              <w:rPr>
                <w:noProof/>
                <w:sz w:val="12"/>
                <w:szCs w:val="12"/>
                <w:lang w:val="fr-BE"/>
              </w:rPr>
              <w:t>CR06</w:t>
            </w:r>
          </w:p>
        </w:tc>
        <w:tc>
          <w:tcPr>
            <w:tcW w:w="0" w:type="auto"/>
            <w:shd w:val="clear" w:color="auto" w:fill="auto"/>
          </w:tcPr>
          <w:p w14:paraId="0B438F06" w14:textId="77777777" w:rsidR="008C5CFA" w:rsidRPr="00BA47B4" w:rsidRDefault="00E82A60" w:rsidP="00300A01">
            <w:pPr>
              <w:spacing w:before="0" w:after="0"/>
              <w:rPr>
                <w:sz w:val="12"/>
                <w:szCs w:val="12"/>
                <w:lang w:val="fr-BE"/>
              </w:rPr>
            </w:pPr>
            <w:r w:rsidRPr="00BA47B4">
              <w:rPr>
                <w:noProof/>
                <w:sz w:val="12"/>
                <w:szCs w:val="12"/>
                <w:lang w:val="fr-BE"/>
              </w:rPr>
              <w:t>uczestnicy pracujący, łącznie z prowadzącymi działalność na własny rachunek, sześć miesięcy po opuszczeniu programu</w:t>
            </w:r>
          </w:p>
        </w:tc>
        <w:tc>
          <w:tcPr>
            <w:tcW w:w="0" w:type="auto"/>
            <w:shd w:val="clear" w:color="auto" w:fill="auto"/>
          </w:tcPr>
          <w:p w14:paraId="39D29B0B" w14:textId="77777777" w:rsidR="008C5CFA" w:rsidRPr="00BA47B4" w:rsidRDefault="00E82A60" w:rsidP="00300A01">
            <w:pPr>
              <w:spacing w:before="0" w:after="0"/>
              <w:rPr>
                <w:sz w:val="12"/>
                <w:szCs w:val="12"/>
                <w:lang w:val="fr-BE"/>
              </w:rPr>
            </w:pPr>
            <w:r w:rsidRPr="00BA47B4">
              <w:rPr>
                <w:noProof/>
                <w:sz w:val="12"/>
                <w:szCs w:val="12"/>
                <w:lang w:val="fr-BE"/>
              </w:rPr>
              <w:t>Słabiej rozwinięte</w:t>
            </w:r>
          </w:p>
        </w:tc>
        <w:tc>
          <w:tcPr>
            <w:tcW w:w="0" w:type="auto"/>
            <w:shd w:val="clear" w:color="auto" w:fill="auto"/>
          </w:tcPr>
          <w:p w14:paraId="5F92C1DF" w14:textId="77777777" w:rsidR="008C5CFA" w:rsidRPr="00BA47B4" w:rsidRDefault="00E82A60" w:rsidP="00300A01">
            <w:pPr>
              <w:spacing w:before="0" w:after="0"/>
              <w:rPr>
                <w:sz w:val="12"/>
                <w:szCs w:val="12"/>
                <w:lang w:val="fr-BE"/>
              </w:rPr>
            </w:pPr>
            <w:r w:rsidRPr="00BA47B4">
              <w:rPr>
                <w:sz w:val="12"/>
                <w:szCs w:val="12"/>
                <w:lang w:val="fr-BE"/>
              </w:rPr>
              <w:t xml:space="preserve"> </w:t>
            </w:r>
          </w:p>
        </w:tc>
        <w:tc>
          <w:tcPr>
            <w:tcW w:w="0" w:type="auto"/>
            <w:shd w:val="clear" w:color="auto" w:fill="auto"/>
          </w:tcPr>
          <w:p w14:paraId="1C246FCA" w14:textId="77777777" w:rsidR="008C5CFA" w:rsidRPr="00BA47B4" w:rsidRDefault="008C5CFA" w:rsidP="00300A01">
            <w:pPr>
              <w:spacing w:before="0" w:after="0"/>
              <w:jc w:val="center"/>
              <w:rPr>
                <w:sz w:val="12"/>
                <w:szCs w:val="12"/>
                <w:lang w:val="fr-BE"/>
              </w:rPr>
            </w:pPr>
          </w:p>
        </w:tc>
        <w:tc>
          <w:tcPr>
            <w:tcW w:w="0" w:type="auto"/>
            <w:shd w:val="clear" w:color="auto" w:fill="auto"/>
          </w:tcPr>
          <w:p w14:paraId="3CE161D0" w14:textId="77777777" w:rsidR="008C5CFA" w:rsidRPr="00BA47B4" w:rsidRDefault="008C5CFA" w:rsidP="00300A01">
            <w:pPr>
              <w:spacing w:before="0" w:after="0"/>
              <w:jc w:val="right"/>
              <w:rPr>
                <w:sz w:val="12"/>
                <w:szCs w:val="12"/>
                <w:lang w:val="fr-BE"/>
              </w:rPr>
            </w:pPr>
          </w:p>
        </w:tc>
        <w:tc>
          <w:tcPr>
            <w:tcW w:w="0" w:type="auto"/>
            <w:shd w:val="clear" w:color="auto" w:fill="auto"/>
          </w:tcPr>
          <w:p w14:paraId="2D7242B4" w14:textId="77777777" w:rsidR="008C5CFA" w:rsidRPr="00BA47B4" w:rsidRDefault="008C5CFA" w:rsidP="00300A01">
            <w:pPr>
              <w:spacing w:before="0" w:after="0"/>
              <w:jc w:val="right"/>
              <w:rPr>
                <w:sz w:val="12"/>
                <w:szCs w:val="12"/>
                <w:lang w:val="fr-BE"/>
              </w:rPr>
            </w:pPr>
          </w:p>
        </w:tc>
        <w:tc>
          <w:tcPr>
            <w:tcW w:w="0" w:type="auto"/>
            <w:shd w:val="clear" w:color="auto" w:fill="auto"/>
          </w:tcPr>
          <w:p w14:paraId="1375BA93" w14:textId="77777777" w:rsidR="008C5CFA" w:rsidRPr="00BA47B4" w:rsidRDefault="008C5CFA" w:rsidP="00300A01">
            <w:pPr>
              <w:spacing w:before="0" w:after="0"/>
              <w:jc w:val="right"/>
              <w:rPr>
                <w:sz w:val="12"/>
                <w:szCs w:val="12"/>
                <w:lang w:val="fr-BE"/>
              </w:rPr>
            </w:pPr>
          </w:p>
        </w:tc>
        <w:tc>
          <w:tcPr>
            <w:tcW w:w="0" w:type="auto"/>
            <w:shd w:val="clear" w:color="auto" w:fill="auto"/>
          </w:tcPr>
          <w:p w14:paraId="2683624F" w14:textId="77777777" w:rsidR="008C5CFA" w:rsidRPr="00BA47B4" w:rsidRDefault="00E82A60" w:rsidP="00300A01">
            <w:pPr>
              <w:spacing w:before="0" w:after="0"/>
              <w:jc w:val="right"/>
              <w:rPr>
                <w:sz w:val="12"/>
                <w:szCs w:val="12"/>
                <w:lang w:val="fr-BE"/>
              </w:rPr>
            </w:pPr>
            <w:r w:rsidRPr="00BA47B4">
              <w:rPr>
                <w:noProof/>
                <w:sz w:val="12"/>
                <w:szCs w:val="12"/>
                <w:lang w:val="fr-BE"/>
              </w:rPr>
              <w:t>70,00</w:t>
            </w:r>
          </w:p>
        </w:tc>
        <w:tc>
          <w:tcPr>
            <w:tcW w:w="0" w:type="auto"/>
            <w:shd w:val="clear" w:color="auto" w:fill="auto"/>
          </w:tcPr>
          <w:p w14:paraId="195F406D" w14:textId="77777777" w:rsidR="008C5CFA" w:rsidRPr="00BA47B4" w:rsidRDefault="00E82A60" w:rsidP="00300A01">
            <w:pPr>
              <w:spacing w:before="0" w:after="0"/>
              <w:jc w:val="right"/>
              <w:rPr>
                <w:sz w:val="12"/>
                <w:szCs w:val="12"/>
                <w:lang w:val="fr-BE"/>
              </w:rPr>
            </w:pPr>
            <w:r w:rsidRPr="00BA47B4">
              <w:rPr>
                <w:noProof/>
                <w:sz w:val="12"/>
                <w:szCs w:val="12"/>
                <w:lang w:val="fr-BE"/>
              </w:rPr>
              <w:t>10,00</w:t>
            </w:r>
          </w:p>
        </w:tc>
        <w:tc>
          <w:tcPr>
            <w:tcW w:w="0" w:type="auto"/>
            <w:shd w:val="clear" w:color="auto" w:fill="auto"/>
          </w:tcPr>
          <w:p w14:paraId="76375343" w14:textId="77777777" w:rsidR="008C5CFA" w:rsidRPr="00BA47B4" w:rsidRDefault="00E82A60" w:rsidP="00300A01">
            <w:pPr>
              <w:spacing w:before="0" w:after="0"/>
              <w:jc w:val="right"/>
              <w:rPr>
                <w:sz w:val="12"/>
                <w:szCs w:val="12"/>
                <w:lang w:val="fr-BE"/>
              </w:rPr>
            </w:pPr>
            <w:r w:rsidRPr="00BA47B4">
              <w:rPr>
                <w:noProof/>
                <w:sz w:val="12"/>
                <w:szCs w:val="12"/>
                <w:lang w:val="fr-BE"/>
              </w:rPr>
              <w:t>60,00</w:t>
            </w:r>
          </w:p>
        </w:tc>
        <w:tc>
          <w:tcPr>
            <w:tcW w:w="0" w:type="auto"/>
            <w:shd w:val="clear" w:color="auto" w:fill="auto"/>
          </w:tcPr>
          <w:p w14:paraId="43821DFC" w14:textId="77777777" w:rsidR="008C5CFA" w:rsidRPr="00BA47B4" w:rsidRDefault="008C5CFA" w:rsidP="00300A01">
            <w:pPr>
              <w:spacing w:before="0" w:after="0"/>
              <w:jc w:val="right"/>
              <w:rPr>
                <w:sz w:val="12"/>
                <w:szCs w:val="12"/>
                <w:lang w:val="fr-BE"/>
              </w:rPr>
            </w:pPr>
          </w:p>
        </w:tc>
        <w:tc>
          <w:tcPr>
            <w:tcW w:w="0" w:type="auto"/>
            <w:shd w:val="clear" w:color="auto" w:fill="auto"/>
          </w:tcPr>
          <w:p w14:paraId="71C53512" w14:textId="77777777" w:rsidR="008C5CFA" w:rsidRPr="00BA47B4" w:rsidRDefault="008C5CFA" w:rsidP="00300A01">
            <w:pPr>
              <w:spacing w:before="0" w:after="0"/>
              <w:jc w:val="right"/>
              <w:rPr>
                <w:sz w:val="12"/>
                <w:szCs w:val="12"/>
                <w:lang w:val="fr-BE"/>
              </w:rPr>
            </w:pPr>
          </w:p>
        </w:tc>
        <w:tc>
          <w:tcPr>
            <w:tcW w:w="0" w:type="auto"/>
            <w:shd w:val="clear" w:color="auto" w:fill="auto"/>
          </w:tcPr>
          <w:p w14:paraId="3591DC4A" w14:textId="77777777" w:rsidR="008C5CFA" w:rsidRPr="00BA47B4" w:rsidRDefault="008C5CFA" w:rsidP="00300A01">
            <w:pPr>
              <w:spacing w:before="0" w:after="0"/>
              <w:jc w:val="right"/>
              <w:rPr>
                <w:sz w:val="12"/>
                <w:szCs w:val="12"/>
                <w:lang w:val="fr-BE"/>
              </w:rPr>
            </w:pPr>
          </w:p>
        </w:tc>
        <w:tc>
          <w:tcPr>
            <w:tcW w:w="0" w:type="auto"/>
            <w:shd w:val="clear" w:color="auto" w:fill="auto"/>
          </w:tcPr>
          <w:p w14:paraId="37BCDA53"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63107B04"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r>
      <w:tr w:rsidR="006B2EC1" w14:paraId="78CB1662" w14:textId="77777777" w:rsidTr="0047688D">
        <w:tc>
          <w:tcPr>
            <w:tcW w:w="0" w:type="auto"/>
            <w:shd w:val="clear" w:color="auto" w:fill="auto"/>
          </w:tcPr>
          <w:p w14:paraId="283F0CBA" w14:textId="77777777" w:rsidR="008C5CFA" w:rsidRPr="00BA47B4" w:rsidRDefault="00E82A60" w:rsidP="00300A01">
            <w:pPr>
              <w:spacing w:before="0" w:after="0"/>
              <w:rPr>
                <w:sz w:val="12"/>
                <w:szCs w:val="12"/>
                <w:lang w:val="fr-BE"/>
              </w:rPr>
            </w:pPr>
            <w:r w:rsidRPr="00BA47B4">
              <w:rPr>
                <w:noProof/>
                <w:sz w:val="12"/>
                <w:szCs w:val="12"/>
                <w:lang w:val="fr-BE"/>
              </w:rPr>
              <w:t>CR07</w:t>
            </w:r>
          </w:p>
        </w:tc>
        <w:tc>
          <w:tcPr>
            <w:tcW w:w="0" w:type="auto"/>
            <w:shd w:val="clear" w:color="auto" w:fill="auto"/>
          </w:tcPr>
          <w:p w14:paraId="15D804EE" w14:textId="77777777" w:rsidR="008C5CFA" w:rsidRPr="00BA47B4" w:rsidRDefault="00E82A60" w:rsidP="00300A01">
            <w:pPr>
              <w:spacing w:before="0" w:after="0"/>
              <w:rPr>
                <w:sz w:val="12"/>
                <w:szCs w:val="12"/>
                <w:lang w:val="fr-BE"/>
              </w:rPr>
            </w:pPr>
            <w:r w:rsidRPr="00BA47B4">
              <w:rPr>
                <w:noProof/>
                <w:sz w:val="12"/>
                <w:szCs w:val="12"/>
                <w:lang w:val="fr-BE"/>
              </w:rPr>
              <w:t>uczestnicy znajdujący się w lepszej sytuacji na rynku pracy sześć miesięcy po opuszczeniu programu</w:t>
            </w:r>
          </w:p>
        </w:tc>
        <w:tc>
          <w:tcPr>
            <w:tcW w:w="0" w:type="auto"/>
            <w:shd w:val="clear" w:color="auto" w:fill="auto"/>
          </w:tcPr>
          <w:p w14:paraId="1B41CB45" w14:textId="77777777" w:rsidR="008C5CFA" w:rsidRPr="00BA47B4" w:rsidRDefault="00E82A60" w:rsidP="00300A01">
            <w:pPr>
              <w:spacing w:before="0" w:after="0"/>
              <w:rPr>
                <w:sz w:val="12"/>
                <w:szCs w:val="12"/>
                <w:lang w:val="fr-BE"/>
              </w:rPr>
            </w:pPr>
            <w:r w:rsidRPr="00BA47B4">
              <w:rPr>
                <w:noProof/>
                <w:sz w:val="12"/>
                <w:szCs w:val="12"/>
                <w:lang w:val="fr-BE"/>
              </w:rPr>
              <w:t>Słabiej rozwinięte</w:t>
            </w:r>
          </w:p>
        </w:tc>
        <w:tc>
          <w:tcPr>
            <w:tcW w:w="0" w:type="auto"/>
            <w:shd w:val="clear" w:color="auto" w:fill="auto"/>
          </w:tcPr>
          <w:p w14:paraId="461FE15F" w14:textId="77777777" w:rsidR="008C5CFA" w:rsidRPr="00BA47B4" w:rsidRDefault="00E82A60" w:rsidP="00300A01">
            <w:pPr>
              <w:spacing w:before="0" w:after="0"/>
              <w:rPr>
                <w:sz w:val="12"/>
                <w:szCs w:val="12"/>
                <w:lang w:val="fr-BE"/>
              </w:rPr>
            </w:pPr>
            <w:r w:rsidRPr="00BA47B4">
              <w:rPr>
                <w:sz w:val="12"/>
                <w:szCs w:val="12"/>
                <w:lang w:val="fr-BE"/>
              </w:rPr>
              <w:t xml:space="preserve"> </w:t>
            </w:r>
          </w:p>
        </w:tc>
        <w:tc>
          <w:tcPr>
            <w:tcW w:w="0" w:type="auto"/>
            <w:shd w:val="clear" w:color="auto" w:fill="auto"/>
          </w:tcPr>
          <w:p w14:paraId="5015C20B" w14:textId="77777777" w:rsidR="008C5CFA" w:rsidRPr="00BA47B4" w:rsidRDefault="008C5CFA" w:rsidP="00300A01">
            <w:pPr>
              <w:spacing w:before="0" w:after="0"/>
              <w:jc w:val="center"/>
              <w:rPr>
                <w:sz w:val="12"/>
                <w:szCs w:val="12"/>
                <w:lang w:val="fr-BE"/>
              </w:rPr>
            </w:pPr>
          </w:p>
        </w:tc>
        <w:tc>
          <w:tcPr>
            <w:tcW w:w="0" w:type="auto"/>
            <w:shd w:val="clear" w:color="auto" w:fill="auto"/>
          </w:tcPr>
          <w:p w14:paraId="6DC1F33D" w14:textId="77777777" w:rsidR="008C5CFA" w:rsidRPr="00BA47B4" w:rsidRDefault="008C5CFA" w:rsidP="00300A01">
            <w:pPr>
              <w:spacing w:before="0" w:after="0"/>
              <w:jc w:val="right"/>
              <w:rPr>
                <w:sz w:val="12"/>
                <w:szCs w:val="12"/>
                <w:lang w:val="fr-BE"/>
              </w:rPr>
            </w:pPr>
          </w:p>
        </w:tc>
        <w:tc>
          <w:tcPr>
            <w:tcW w:w="0" w:type="auto"/>
            <w:shd w:val="clear" w:color="auto" w:fill="auto"/>
          </w:tcPr>
          <w:p w14:paraId="449D63CB" w14:textId="77777777" w:rsidR="008C5CFA" w:rsidRPr="00BA47B4" w:rsidRDefault="008C5CFA" w:rsidP="00300A01">
            <w:pPr>
              <w:spacing w:before="0" w:after="0"/>
              <w:jc w:val="right"/>
              <w:rPr>
                <w:sz w:val="12"/>
                <w:szCs w:val="12"/>
                <w:lang w:val="fr-BE"/>
              </w:rPr>
            </w:pPr>
          </w:p>
        </w:tc>
        <w:tc>
          <w:tcPr>
            <w:tcW w:w="0" w:type="auto"/>
            <w:shd w:val="clear" w:color="auto" w:fill="auto"/>
          </w:tcPr>
          <w:p w14:paraId="650A4DAB" w14:textId="77777777" w:rsidR="008C5CFA" w:rsidRPr="00BA47B4" w:rsidRDefault="008C5CFA" w:rsidP="00300A01">
            <w:pPr>
              <w:spacing w:before="0" w:after="0"/>
              <w:jc w:val="right"/>
              <w:rPr>
                <w:sz w:val="12"/>
                <w:szCs w:val="12"/>
                <w:lang w:val="fr-BE"/>
              </w:rPr>
            </w:pPr>
          </w:p>
        </w:tc>
        <w:tc>
          <w:tcPr>
            <w:tcW w:w="0" w:type="auto"/>
            <w:shd w:val="clear" w:color="auto" w:fill="auto"/>
          </w:tcPr>
          <w:p w14:paraId="57527AAD" w14:textId="77777777" w:rsidR="008C5CFA" w:rsidRPr="00BA47B4" w:rsidRDefault="00E82A60" w:rsidP="00300A01">
            <w:pPr>
              <w:spacing w:before="0" w:after="0"/>
              <w:jc w:val="right"/>
              <w:rPr>
                <w:sz w:val="12"/>
                <w:szCs w:val="12"/>
                <w:lang w:val="fr-BE"/>
              </w:rPr>
            </w:pPr>
            <w:r w:rsidRPr="00BA47B4">
              <w:rPr>
                <w:noProof/>
                <w:sz w:val="12"/>
                <w:szCs w:val="12"/>
                <w:lang w:val="fr-BE"/>
              </w:rPr>
              <w:t>9,00</w:t>
            </w:r>
          </w:p>
        </w:tc>
        <w:tc>
          <w:tcPr>
            <w:tcW w:w="0" w:type="auto"/>
            <w:shd w:val="clear" w:color="auto" w:fill="auto"/>
          </w:tcPr>
          <w:p w14:paraId="12392BB9"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364F08C3" w14:textId="77777777" w:rsidR="008C5CFA" w:rsidRPr="00BA47B4" w:rsidRDefault="00E82A60" w:rsidP="00300A01">
            <w:pPr>
              <w:spacing w:before="0" w:after="0"/>
              <w:jc w:val="right"/>
              <w:rPr>
                <w:sz w:val="12"/>
                <w:szCs w:val="12"/>
                <w:lang w:val="fr-BE"/>
              </w:rPr>
            </w:pPr>
            <w:r w:rsidRPr="00BA47B4">
              <w:rPr>
                <w:noProof/>
                <w:sz w:val="12"/>
                <w:szCs w:val="12"/>
                <w:lang w:val="fr-BE"/>
              </w:rPr>
              <w:t>9,00</w:t>
            </w:r>
          </w:p>
        </w:tc>
        <w:tc>
          <w:tcPr>
            <w:tcW w:w="0" w:type="auto"/>
            <w:shd w:val="clear" w:color="auto" w:fill="auto"/>
          </w:tcPr>
          <w:p w14:paraId="110FEF4B" w14:textId="77777777" w:rsidR="008C5CFA" w:rsidRPr="00BA47B4" w:rsidRDefault="008C5CFA" w:rsidP="00300A01">
            <w:pPr>
              <w:spacing w:before="0" w:after="0"/>
              <w:jc w:val="right"/>
              <w:rPr>
                <w:sz w:val="12"/>
                <w:szCs w:val="12"/>
                <w:lang w:val="fr-BE"/>
              </w:rPr>
            </w:pPr>
          </w:p>
        </w:tc>
        <w:tc>
          <w:tcPr>
            <w:tcW w:w="0" w:type="auto"/>
            <w:shd w:val="clear" w:color="auto" w:fill="auto"/>
          </w:tcPr>
          <w:p w14:paraId="2B5BCA8B" w14:textId="77777777" w:rsidR="008C5CFA" w:rsidRPr="00BA47B4" w:rsidRDefault="008C5CFA" w:rsidP="00300A01">
            <w:pPr>
              <w:spacing w:before="0" w:after="0"/>
              <w:jc w:val="right"/>
              <w:rPr>
                <w:sz w:val="12"/>
                <w:szCs w:val="12"/>
                <w:lang w:val="fr-BE"/>
              </w:rPr>
            </w:pPr>
          </w:p>
        </w:tc>
        <w:tc>
          <w:tcPr>
            <w:tcW w:w="0" w:type="auto"/>
            <w:shd w:val="clear" w:color="auto" w:fill="auto"/>
          </w:tcPr>
          <w:p w14:paraId="7B75F61B" w14:textId="77777777" w:rsidR="008C5CFA" w:rsidRPr="00BA47B4" w:rsidRDefault="008C5CFA" w:rsidP="00300A01">
            <w:pPr>
              <w:spacing w:before="0" w:after="0"/>
              <w:jc w:val="right"/>
              <w:rPr>
                <w:sz w:val="12"/>
                <w:szCs w:val="12"/>
                <w:lang w:val="fr-BE"/>
              </w:rPr>
            </w:pPr>
          </w:p>
        </w:tc>
        <w:tc>
          <w:tcPr>
            <w:tcW w:w="0" w:type="auto"/>
            <w:shd w:val="clear" w:color="auto" w:fill="auto"/>
          </w:tcPr>
          <w:p w14:paraId="776F722D"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097C18AB"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r>
      <w:tr w:rsidR="006B2EC1" w14:paraId="6B98DFF4" w14:textId="77777777" w:rsidTr="0047688D">
        <w:tc>
          <w:tcPr>
            <w:tcW w:w="0" w:type="auto"/>
            <w:shd w:val="clear" w:color="auto" w:fill="auto"/>
          </w:tcPr>
          <w:p w14:paraId="2226ABA2" w14:textId="77777777" w:rsidR="008C5CFA" w:rsidRPr="00BA47B4" w:rsidRDefault="00E82A60" w:rsidP="00300A01">
            <w:pPr>
              <w:spacing w:before="0" w:after="0"/>
              <w:rPr>
                <w:sz w:val="12"/>
                <w:szCs w:val="12"/>
                <w:lang w:val="fr-BE"/>
              </w:rPr>
            </w:pPr>
            <w:r w:rsidRPr="00BA47B4">
              <w:rPr>
                <w:noProof/>
                <w:sz w:val="12"/>
                <w:szCs w:val="12"/>
                <w:lang w:val="fr-BE"/>
              </w:rPr>
              <w:t>CR08</w:t>
            </w:r>
          </w:p>
        </w:tc>
        <w:tc>
          <w:tcPr>
            <w:tcW w:w="0" w:type="auto"/>
            <w:shd w:val="clear" w:color="auto" w:fill="auto"/>
          </w:tcPr>
          <w:p w14:paraId="40932D69" w14:textId="77777777" w:rsidR="008C5CFA" w:rsidRPr="00BA47B4" w:rsidRDefault="00E82A60" w:rsidP="00300A01">
            <w:pPr>
              <w:spacing w:before="0" w:after="0"/>
              <w:rPr>
                <w:sz w:val="12"/>
                <w:szCs w:val="12"/>
                <w:lang w:val="fr-BE"/>
              </w:rPr>
            </w:pPr>
            <w:r w:rsidRPr="00BA47B4">
              <w:rPr>
                <w:noProof/>
                <w:sz w:val="12"/>
                <w:szCs w:val="12"/>
                <w:lang w:val="fr-BE"/>
              </w:rPr>
              <w:t>uczestnicy powyżej 54 roku życia, pracujący, łącznie z prowadzącymi działalność na własny rachunek, sześć miesięcy po opuszczeniu programu</w:t>
            </w:r>
          </w:p>
        </w:tc>
        <w:tc>
          <w:tcPr>
            <w:tcW w:w="0" w:type="auto"/>
            <w:shd w:val="clear" w:color="auto" w:fill="auto"/>
          </w:tcPr>
          <w:p w14:paraId="6941DA87" w14:textId="77777777" w:rsidR="008C5CFA" w:rsidRPr="00BA47B4" w:rsidRDefault="00E82A60" w:rsidP="00300A01">
            <w:pPr>
              <w:spacing w:before="0" w:after="0"/>
              <w:rPr>
                <w:sz w:val="12"/>
                <w:szCs w:val="12"/>
                <w:lang w:val="fr-BE"/>
              </w:rPr>
            </w:pPr>
            <w:r w:rsidRPr="00BA47B4">
              <w:rPr>
                <w:noProof/>
                <w:sz w:val="12"/>
                <w:szCs w:val="12"/>
                <w:lang w:val="fr-BE"/>
              </w:rPr>
              <w:t>Słabiej rozwinięte</w:t>
            </w:r>
          </w:p>
        </w:tc>
        <w:tc>
          <w:tcPr>
            <w:tcW w:w="0" w:type="auto"/>
            <w:shd w:val="clear" w:color="auto" w:fill="auto"/>
          </w:tcPr>
          <w:p w14:paraId="1E694E87" w14:textId="77777777" w:rsidR="008C5CFA" w:rsidRPr="00BA47B4" w:rsidRDefault="00E82A60" w:rsidP="00300A01">
            <w:pPr>
              <w:spacing w:before="0" w:after="0"/>
              <w:rPr>
                <w:sz w:val="12"/>
                <w:szCs w:val="12"/>
                <w:lang w:val="fr-BE"/>
              </w:rPr>
            </w:pPr>
            <w:r w:rsidRPr="00BA47B4">
              <w:rPr>
                <w:sz w:val="12"/>
                <w:szCs w:val="12"/>
                <w:lang w:val="fr-BE"/>
              </w:rPr>
              <w:t xml:space="preserve"> </w:t>
            </w:r>
          </w:p>
        </w:tc>
        <w:tc>
          <w:tcPr>
            <w:tcW w:w="0" w:type="auto"/>
            <w:shd w:val="clear" w:color="auto" w:fill="auto"/>
          </w:tcPr>
          <w:p w14:paraId="48F65095" w14:textId="77777777" w:rsidR="008C5CFA" w:rsidRPr="00BA47B4" w:rsidRDefault="008C5CFA" w:rsidP="00300A01">
            <w:pPr>
              <w:spacing w:before="0" w:after="0"/>
              <w:jc w:val="center"/>
              <w:rPr>
                <w:sz w:val="12"/>
                <w:szCs w:val="12"/>
                <w:lang w:val="fr-BE"/>
              </w:rPr>
            </w:pPr>
          </w:p>
        </w:tc>
        <w:tc>
          <w:tcPr>
            <w:tcW w:w="0" w:type="auto"/>
            <w:shd w:val="clear" w:color="auto" w:fill="auto"/>
          </w:tcPr>
          <w:p w14:paraId="2C7E3F2B" w14:textId="77777777" w:rsidR="008C5CFA" w:rsidRPr="00BA47B4" w:rsidRDefault="008C5CFA" w:rsidP="00300A01">
            <w:pPr>
              <w:spacing w:before="0" w:after="0"/>
              <w:jc w:val="right"/>
              <w:rPr>
                <w:sz w:val="12"/>
                <w:szCs w:val="12"/>
                <w:lang w:val="fr-BE"/>
              </w:rPr>
            </w:pPr>
          </w:p>
        </w:tc>
        <w:tc>
          <w:tcPr>
            <w:tcW w:w="0" w:type="auto"/>
            <w:shd w:val="clear" w:color="auto" w:fill="auto"/>
          </w:tcPr>
          <w:p w14:paraId="024A22B3" w14:textId="77777777" w:rsidR="008C5CFA" w:rsidRPr="00BA47B4" w:rsidRDefault="008C5CFA" w:rsidP="00300A01">
            <w:pPr>
              <w:spacing w:before="0" w:after="0"/>
              <w:jc w:val="right"/>
              <w:rPr>
                <w:sz w:val="12"/>
                <w:szCs w:val="12"/>
                <w:lang w:val="fr-BE"/>
              </w:rPr>
            </w:pPr>
          </w:p>
        </w:tc>
        <w:tc>
          <w:tcPr>
            <w:tcW w:w="0" w:type="auto"/>
            <w:shd w:val="clear" w:color="auto" w:fill="auto"/>
          </w:tcPr>
          <w:p w14:paraId="7121EAD7" w14:textId="77777777" w:rsidR="008C5CFA" w:rsidRPr="00BA47B4" w:rsidRDefault="008C5CFA" w:rsidP="00300A01">
            <w:pPr>
              <w:spacing w:before="0" w:after="0"/>
              <w:jc w:val="right"/>
              <w:rPr>
                <w:sz w:val="12"/>
                <w:szCs w:val="12"/>
                <w:lang w:val="fr-BE"/>
              </w:rPr>
            </w:pPr>
          </w:p>
        </w:tc>
        <w:tc>
          <w:tcPr>
            <w:tcW w:w="0" w:type="auto"/>
            <w:shd w:val="clear" w:color="auto" w:fill="auto"/>
          </w:tcPr>
          <w:p w14:paraId="3D3B34B1"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23613B27"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6426FA44"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465BFE43" w14:textId="77777777" w:rsidR="008C5CFA" w:rsidRPr="00BA47B4" w:rsidRDefault="008C5CFA" w:rsidP="00300A01">
            <w:pPr>
              <w:spacing w:before="0" w:after="0"/>
              <w:jc w:val="right"/>
              <w:rPr>
                <w:sz w:val="12"/>
                <w:szCs w:val="12"/>
                <w:lang w:val="fr-BE"/>
              </w:rPr>
            </w:pPr>
          </w:p>
        </w:tc>
        <w:tc>
          <w:tcPr>
            <w:tcW w:w="0" w:type="auto"/>
            <w:shd w:val="clear" w:color="auto" w:fill="auto"/>
          </w:tcPr>
          <w:p w14:paraId="523617F8" w14:textId="77777777" w:rsidR="008C5CFA" w:rsidRPr="00BA47B4" w:rsidRDefault="008C5CFA" w:rsidP="00300A01">
            <w:pPr>
              <w:spacing w:before="0" w:after="0"/>
              <w:jc w:val="right"/>
              <w:rPr>
                <w:sz w:val="12"/>
                <w:szCs w:val="12"/>
                <w:lang w:val="fr-BE"/>
              </w:rPr>
            </w:pPr>
          </w:p>
        </w:tc>
        <w:tc>
          <w:tcPr>
            <w:tcW w:w="0" w:type="auto"/>
            <w:shd w:val="clear" w:color="auto" w:fill="auto"/>
          </w:tcPr>
          <w:p w14:paraId="004277D0" w14:textId="77777777" w:rsidR="008C5CFA" w:rsidRPr="00BA47B4" w:rsidRDefault="008C5CFA" w:rsidP="00300A01">
            <w:pPr>
              <w:spacing w:before="0" w:after="0"/>
              <w:jc w:val="right"/>
              <w:rPr>
                <w:sz w:val="12"/>
                <w:szCs w:val="12"/>
                <w:lang w:val="fr-BE"/>
              </w:rPr>
            </w:pPr>
          </w:p>
        </w:tc>
        <w:tc>
          <w:tcPr>
            <w:tcW w:w="0" w:type="auto"/>
            <w:shd w:val="clear" w:color="auto" w:fill="auto"/>
          </w:tcPr>
          <w:p w14:paraId="10FB1D90"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0CA9DD3B"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r>
      <w:tr w:rsidR="006B2EC1" w14:paraId="3235A7C3" w14:textId="77777777" w:rsidTr="0047688D">
        <w:tc>
          <w:tcPr>
            <w:tcW w:w="0" w:type="auto"/>
            <w:shd w:val="clear" w:color="auto" w:fill="auto"/>
          </w:tcPr>
          <w:p w14:paraId="62D47687" w14:textId="77777777" w:rsidR="008C5CFA" w:rsidRPr="00BA47B4" w:rsidRDefault="00E82A60" w:rsidP="00300A01">
            <w:pPr>
              <w:spacing w:before="0" w:after="0"/>
              <w:rPr>
                <w:sz w:val="12"/>
                <w:szCs w:val="12"/>
                <w:lang w:val="fr-BE"/>
              </w:rPr>
            </w:pPr>
            <w:r w:rsidRPr="00BA47B4">
              <w:rPr>
                <w:noProof/>
                <w:sz w:val="12"/>
                <w:szCs w:val="12"/>
                <w:lang w:val="fr-BE"/>
              </w:rPr>
              <w:t>CR09</w:t>
            </w:r>
          </w:p>
        </w:tc>
        <w:tc>
          <w:tcPr>
            <w:tcW w:w="0" w:type="auto"/>
            <w:shd w:val="clear" w:color="auto" w:fill="auto"/>
          </w:tcPr>
          <w:p w14:paraId="0BD3F1D6" w14:textId="77777777" w:rsidR="008C5CFA" w:rsidRPr="00BA47B4" w:rsidRDefault="00E82A60" w:rsidP="00300A01">
            <w:pPr>
              <w:spacing w:before="0" w:after="0"/>
              <w:rPr>
                <w:sz w:val="12"/>
                <w:szCs w:val="12"/>
                <w:lang w:val="fr-BE"/>
              </w:rPr>
            </w:pPr>
            <w:r w:rsidRPr="00BA47B4">
              <w:rPr>
                <w:noProof/>
                <w:sz w:val="12"/>
                <w:szCs w:val="12"/>
                <w:lang w:val="fr-BE"/>
              </w:rPr>
              <w:t>uczestnicy w niekorzystnej sytuacji społecznej, pracujący, łącznie z prowadzącymi działalność na własny rachunek, sześć miesięcy po opuszczeniu programu</w:t>
            </w:r>
          </w:p>
        </w:tc>
        <w:tc>
          <w:tcPr>
            <w:tcW w:w="0" w:type="auto"/>
            <w:shd w:val="clear" w:color="auto" w:fill="auto"/>
          </w:tcPr>
          <w:p w14:paraId="5CF15B95" w14:textId="77777777" w:rsidR="008C5CFA" w:rsidRPr="00BA47B4" w:rsidRDefault="00E82A60" w:rsidP="00300A01">
            <w:pPr>
              <w:spacing w:before="0" w:after="0"/>
              <w:rPr>
                <w:sz w:val="12"/>
                <w:szCs w:val="12"/>
                <w:lang w:val="fr-BE"/>
              </w:rPr>
            </w:pPr>
            <w:r w:rsidRPr="00BA47B4">
              <w:rPr>
                <w:noProof/>
                <w:sz w:val="12"/>
                <w:szCs w:val="12"/>
                <w:lang w:val="fr-BE"/>
              </w:rPr>
              <w:t>Słabiej rozwinięte</w:t>
            </w:r>
          </w:p>
        </w:tc>
        <w:tc>
          <w:tcPr>
            <w:tcW w:w="0" w:type="auto"/>
            <w:shd w:val="clear" w:color="auto" w:fill="auto"/>
          </w:tcPr>
          <w:p w14:paraId="32534FDA" w14:textId="77777777" w:rsidR="008C5CFA" w:rsidRPr="00BA47B4" w:rsidRDefault="00E82A60" w:rsidP="00300A01">
            <w:pPr>
              <w:spacing w:before="0" w:after="0"/>
              <w:rPr>
                <w:sz w:val="12"/>
                <w:szCs w:val="12"/>
                <w:lang w:val="fr-BE"/>
              </w:rPr>
            </w:pPr>
            <w:r w:rsidRPr="00BA47B4">
              <w:rPr>
                <w:sz w:val="12"/>
                <w:szCs w:val="12"/>
                <w:lang w:val="fr-BE"/>
              </w:rPr>
              <w:t xml:space="preserve"> </w:t>
            </w:r>
          </w:p>
        </w:tc>
        <w:tc>
          <w:tcPr>
            <w:tcW w:w="0" w:type="auto"/>
            <w:shd w:val="clear" w:color="auto" w:fill="auto"/>
          </w:tcPr>
          <w:p w14:paraId="412B272D" w14:textId="77777777" w:rsidR="008C5CFA" w:rsidRPr="00BA47B4" w:rsidRDefault="008C5CFA" w:rsidP="00300A01">
            <w:pPr>
              <w:spacing w:before="0" w:after="0"/>
              <w:jc w:val="center"/>
              <w:rPr>
                <w:sz w:val="12"/>
                <w:szCs w:val="12"/>
                <w:lang w:val="fr-BE"/>
              </w:rPr>
            </w:pPr>
          </w:p>
        </w:tc>
        <w:tc>
          <w:tcPr>
            <w:tcW w:w="0" w:type="auto"/>
            <w:shd w:val="clear" w:color="auto" w:fill="auto"/>
          </w:tcPr>
          <w:p w14:paraId="2F8AC00B" w14:textId="77777777" w:rsidR="008C5CFA" w:rsidRPr="00BA47B4" w:rsidRDefault="008C5CFA" w:rsidP="00300A01">
            <w:pPr>
              <w:spacing w:before="0" w:after="0"/>
              <w:jc w:val="right"/>
              <w:rPr>
                <w:sz w:val="12"/>
                <w:szCs w:val="12"/>
                <w:lang w:val="fr-BE"/>
              </w:rPr>
            </w:pPr>
          </w:p>
        </w:tc>
        <w:tc>
          <w:tcPr>
            <w:tcW w:w="0" w:type="auto"/>
            <w:shd w:val="clear" w:color="auto" w:fill="auto"/>
          </w:tcPr>
          <w:p w14:paraId="78F61F8A" w14:textId="77777777" w:rsidR="008C5CFA" w:rsidRPr="00BA47B4" w:rsidRDefault="008C5CFA" w:rsidP="00300A01">
            <w:pPr>
              <w:spacing w:before="0" w:after="0"/>
              <w:jc w:val="right"/>
              <w:rPr>
                <w:sz w:val="12"/>
                <w:szCs w:val="12"/>
                <w:lang w:val="fr-BE"/>
              </w:rPr>
            </w:pPr>
          </w:p>
        </w:tc>
        <w:tc>
          <w:tcPr>
            <w:tcW w:w="0" w:type="auto"/>
            <w:shd w:val="clear" w:color="auto" w:fill="auto"/>
          </w:tcPr>
          <w:p w14:paraId="1524DE28" w14:textId="77777777" w:rsidR="008C5CFA" w:rsidRPr="00BA47B4" w:rsidRDefault="008C5CFA" w:rsidP="00300A01">
            <w:pPr>
              <w:spacing w:before="0" w:after="0"/>
              <w:jc w:val="right"/>
              <w:rPr>
                <w:sz w:val="12"/>
                <w:szCs w:val="12"/>
                <w:lang w:val="fr-BE"/>
              </w:rPr>
            </w:pPr>
          </w:p>
        </w:tc>
        <w:tc>
          <w:tcPr>
            <w:tcW w:w="0" w:type="auto"/>
            <w:shd w:val="clear" w:color="auto" w:fill="auto"/>
          </w:tcPr>
          <w:p w14:paraId="426B6319" w14:textId="77777777" w:rsidR="008C5CFA" w:rsidRPr="00BA47B4" w:rsidRDefault="00E82A60" w:rsidP="00300A01">
            <w:pPr>
              <w:spacing w:before="0" w:after="0"/>
              <w:jc w:val="right"/>
              <w:rPr>
                <w:sz w:val="12"/>
                <w:szCs w:val="12"/>
                <w:lang w:val="fr-BE"/>
              </w:rPr>
            </w:pPr>
            <w:r w:rsidRPr="00BA47B4">
              <w:rPr>
                <w:noProof/>
                <w:sz w:val="12"/>
                <w:szCs w:val="12"/>
                <w:lang w:val="fr-BE"/>
              </w:rPr>
              <w:t>3,00</w:t>
            </w:r>
          </w:p>
        </w:tc>
        <w:tc>
          <w:tcPr>
            <w:tcW w:w="0" w:type="auto"/>
            <w:shd w:val="clear" w:color="auto" w:fill="auto"/>
          </w:tcPr>
          <w:p w14:paraId="2CC58342"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30495843" w14:textId="77777777" w:rsidR="008C5CFA" w:rsidRPr="00BA47B4" w:rsidRDefault="00E82A60" w:rsidP="00300A01">
            <w:pPr>
              <w:spacing w:before="0" w:after="0"/>
              <w:jc w:val="right"/>
              <w:rPr>
                <w:sz w:val="12"/>
                <w:szCs w:val="12"/>
                <w:lang w:val="fr-BE"/>
              </w:rPr>
            </w:pPr>
            <w:r w:rsidRPr="00BA47B4">
              <w:rPr>
                <w:noProof/>
                <w:sz w:val="12"/>
                <w:szCs w:val="12"/>
                <w:lang w:val="fr-BE"/>
              </w:rPr>
              <w:t>3,00</w:t>
            </w:r>
          </w:p>
        </w:tc>
        <w:tc>
          <w:tcPr>
            <w:tcW w:w="0" w:type="auto"/>
            <w:shd w:val="clear" w:color="auto" w:fill="auto"/>
          </w:tcPr>
          <w:p w14:paraId="08CBE1A7" w14:textId="77777777" w:rsidR="008C5CFA" w:rsidRPr="00BA47B4" w:rsidRDefault="008C5CFA" w:rsidP="00300A01">
            <w:pPr>
              <w:spacing w:before="0" w:after="0"/>
              <w:jc w:val="right"/>
              <w:rPr>
                <w:sz w:val="12"/>
                <w:szCs w:val="12"/>
                <w:lang w:val="fr-BE"/>
              </w:rPr>
            </w:pPr>
          </w:p>
        </w:tc>
        <w:tc>
          <w:tcPr>
            <w:tcW w:w="0" w:type="auto"/>
            <w:shd w:val="clear" w:color="auto" w:fill="auto"/>
          </w:tcPr>
          <w:p w14:paraId="109C78F2" w14:textId="77777777" w:rsidR="008C5CFA" w:rsidRPr="00BA47B4" w:rsidRDefault="008C5CFA" w:rsidP="00300A01">
            <w:pPr>
              <w:spacing w:before="0" w:after="0"/>
              <w:jc w:val="right"/>
              <w:rPr>
                <w:sz w:val="12"/>
                <w:szCs w:val="12"/>
                <w:lang w:val="fr-BE"/>
              </w:rPr>
            </w:pPr>
          </w:p>
        </w:tc>
        <w:tc>
          <w:tcPr>
            <w:tcW w:w="0" w:type="auto"/>
            <w:shd w:val="clear" w:color="auto" w:fill="auto"/>
          </w:tcPr>
          <w:p w14:paraId="5DD89502" w14:textId="77777777" w:rsidR="008C5CFA" w:rsidRPr="00BA47B4" w:rsidRDefault="008C5CFA" w:rsidP="00300A01">
            <w:pPr>
              <w:spacing w:before="0" w:after="0"/>
              <w:jc w:val="right"/>
              <w:rPr>
                <w:sz w:val="12"/>
                <w:szCs w:val="12"/>
                <w:lang w:val="fr-BE"/>
              </w:rPr>
            </w:pPr>
          </w:p>
        </w:tc>
        <w:tc>
          <w:tcPr>
            <w:tcW w:w="0" w:type="auto"/>
            <w:shd w:val="clear" w:color="auto" w:fill="auto"/>
          </w:tcPr>
          <w:p w14:paraId="58D9574D"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24F6FC31"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r>
    </w:tbl>
    <w:p w14:paraId="4F71B403" w14:textId="77777777" w:rsidR="008C5CFA" w:rsidRDefault="008C5CFA" w:rsidP="00300A01">
      <w:pPr>
        <w:keepNext/>
        <w:spacing w:before="0" w:after="0"/>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37"/>
        <w:gridCol w:w="8668"/>
        <w:gridCol w:w="884"/>
        <w:gridCol w:w="596"/>
        <w:gridCol w:w="463"/>
        <w:gridCol w:w="596"/>
        <w:gridCol w:w="463"/>
        <w:gridCol w:w="596"/>
        <w:gridCol w:w="463"/>
        <w:gridCol w:w="596"/>
        <w:gridCol w:w="463"/>
        <w:gridCol w:w="596"/>
        <w:gridCol w:w="463"/>
      </w:tblGrid>
      <w:tr w:rsidR="006B2EC1" w14:paraId="167F3950" w14:textId="77777777" w:rsidTr="0047688D">
        <w:trPr>
          <w:tblHeader/>
        </w:trPr>
        <w:tc>
          <w:tcPr>
            <w:tcW w:w="0" w:type="auto"/>
            <w:shd w:val="clear" w:color="auto" w:fill="auto"/>
          </w:tcPr>
          <w:p w14:paraId="5813BE91" w14:textId="77777777" w:rsidR="008C5CFA" w:rsidRPr="00F53019" w:rsidRDefault="00E82A60" w:rsidP="00300A01">
            <w:pPr>
              <w:spacing w:before="0" w:after="0"/>
              <w:rPr>
                <w:b/>
                <w:sz w:val="12"/>
                <w:szCs w:val="12"/>
                <w:lang w:val="fr-BE"/>
              </w:rPr>
            </w:pPr>
            <w:r w:rsidRPr="00F53019">
              <w:rPr>
                <w:b/>
                <w:noProof/>
                <w:sz w:val="12"/>
                <w:szCs w:val="12"/>
                <w:lang w:val="fr-BE"/>
              </w:rPr>
              <w:t>ID</w:t>
            </w:r>
          </w:p>
        </w:tc>
        <w:tc>
          <w:tcPr>
            <w:tcW w:w="0" w:type="auto"/>
            <w:shd w:val="clear" w:color="auto" w:fill="auto"/>
          </w:tcPr>
          <w:p w14:paraId="08829499" w14:textId="77777777" w:rsidR="008C5CFA" w:rsidRPr="00F53019" w:rsidRDefault="00E82A60" w:rsidP="00300A01">
            <w:pPr>
              <w:spacing w:before="0" w:after="0"/>
              <w:rPr>
                <w:b/>
                <w:sz w:val="12"/>
                <w:szCs w:val="12"/>
                <w:lang w:val="fr-BE"/>
              </w:rPr>
            </w:pPr>
            <w:r w:rsidRPr="00F53019">
              <w:rPr>
                <w:b/>
                <w:noProof/>
                <w:sz w:val="12"/>
                <w:szCs w:val="12"/>
                <w:lang w:val="fr-BE"/>
              </w:rPr>
              <w:t>Wskaźnik</w:t>
            </w:r>
          </w:p>
        </w:tc>
        <w:tc>
          <w:tcPr>
            <w:tcW w:w="0" w:type="auto"/>
            <w:shd w:val="clear" w:color="auto" w:fill="auto"/>
          </w:tcPr>
          <w:p w14:paraId="148B75D8" w14:textId="77777777" w:rsidR="008C5CFA" w:rsidRPr="00F53019" w:rsidRDefault="00E82A60" w:rsidP="00300A01">
            <w:pPr>
              <w:spacing w:before="0" w:after="0"/>
              <w:rPr>
                <w:b/>
                <w:sz w:val="12"/>
                <w:szCs w:val="12"/>
                <w:lang w:val="fr-BE"/>
              </w:rPr>
            </w:pPr>
            <w:r w:rsidRPr="00F53019">
              <w:rPr>
                <w:b/>
                <w:noProof/>
                <w:sz w:val="12"/>
                <w:szCs w:val="12"/>
                <w:lang w:val="fr-BE"/>
              </w:rPr>
              <w:t>Kategoria regionu</w:t>
            </w:r>
          </w:p>
        </w:tc>
        <w:tc>
          <w:tcPr>
            <w:tcW w:w="0" w:type="auto"/>
            <w:gridSpan w:val="2"/>
          </w:tcPr>
          <w:p w14:paraId="4534A527" w14:textId="77777777" w:rsidR="008C5CFA" w:rsidRPr="00F53019" w:rsidRDefault="00E82A60" w:rsidP="00300A01">
            <w:pPr>
              <w:spacing w:before="0" w:after="0"/>
              <w:jc w:val="center"/>
              <w:rPr>
                <w:b/>
                <w:sz w:val="12"/>
                <w:szCs w:val="12"/>
                <w:lang w:val="fr-BE"/>
              </w:rPr>
            </w:pPr>
            <w:r>
              <w:rPr>
                <w:b/>
                <w:sz w:val="12"/>
                <w:szCs w:val="12"/>
                <w:lang w:val="fr-BE"/>
              </w:rPr>
              <w:t>2018</w:t>
            </w:r>
          </w:p>
        </w:tc>
        <w:tc>
          <w:tcPr>
            <w:tcW w:w="0" w:type="auto"/>
            <w:gridSpan w:val="2"/>
          </w:tcPr>
          <w:p w14:paraId="0FB0A02A" w14:textId="77777777" w:rsidR="008C5CFA" w:rsidRPr="00F53019" w:rsidRDefault="00E82A60" w:rsidP="00300A01">
            <w:pPr>
              <w:spacing w:before="0" w:after="0"/>
              <w:jc w:val="center"/>
              <w:rPr>
                <w:b/>
                <w:sz w:val="12"/>
                <w:szCs w:val="12"/>
                <w:lang w:val="fr-BE"/>
              </w:rPr>
            </w:pPr>
            <w:r>
              <w:rPr>
                <w:b/>
                <w:sz w:val="12"/>
                <w:szCs w:val="12"/>
                <w:lang w:val="fr-BE"/>
              </w:rPr>
              <w:t>2017</w:t>
            </w:r>
          </w:p>
        </w:tc>
        <w:tc>
          <w:tcPr>
            <w:tcW w:w="0" w:type="auto"/>
            <w:gridSpan w:val="2"/>
          </w:tcPr>
          <w:p w14:paraId="05FD1A51" w14:textId="77777777" w:rsidR="008C5CFA" w:rsidRPr="00F53019" w:rsidRDefault="00E82A60" w:rsidP="00300A01">
            <w:pPr>
              <w:spacing w:before="0" w:after="0"/>
              <w:jc w:val="center"/>
              <w:rPr>
                <w:b/>
                <w:sz w:val="12"/>
                <w:szCs w:val="12"/>
                <w:lang w:val="fr-BE"/>
              </w:rPr>
            </w:pPr>
            <w:r>
              <w:rPr>
                <w:b/>
                <w:sz w:val="12"/>
                <w:szCs w:val="12"/>
                <w:lang w:val="fr-BE"/>
              </w:rPr>
              <w:t>2016</w:t>
            </w:r>
          </w:p>
        </w:tc>
        <w:tc>
          <w:tcPr>
            <w:tcW w:w="0" w:type="auto"/>
            <w:gridSpan w:val="2"/>
          </w:tcPr>
          <w:p w14:paraId="59E74B99" w14:textId="77777777" w:rsidR="008C5CFA" w:rsidRPr="00F53019" w:rsidRDefault="00E82A60" w:rsidP="00300A01">
            <w:pPr>
              <w:spacing w:before="0" w:after="0"/>
              <w:jc w:val="center"/>
              <w:rPr>
                <w:b/>
                <w:sz w:val="12"/>
                <w:szCs w:val="12"/>
                <w:lang w:val="fr-BE"/>
              </w:rPr>
            </w:pPr>
            <w:r>
              <w:rPr>
                <w:b/>
                <w:sz w:val="12"/>
                <w:szCs w:val="12"/>
                <w:lang w:val="fr-BE"/>
              </w:rPr>
              <w:t>2015</w:t>
            </w:r>
          </w:p>
        </w:tc>
        <w:tc>
          <w:tcPr>
            <w:tcW w:w="0" w:type="auto"/>
            <w:gridSpan w:val="2"/>
            <w:shd w:val="clear" w:color="auto" w:fill="auto"/>
          </w:tcPr>
          <w:p w14:paraId="194C12F0" w14:textId="77777777" w:rsidR="008C5CFA" w:rsidRPr="00F53019" w:rsidRDefault="00E82A60" w:rsidP="00300A01">
            <w:pPr>
              <w:spacing w:before="0" w:after="0"/>
              <w:jc w:val="center"/>
              <w:rPr>
                <w:b/>
                <w:sz w:val="12"/>
                <w:szCs w:val="12"/>
                <w:lang w:val="fr-BE"/>
              </w:rPr>
            </w:pPr>
            <w:r>
              <w:rPr>
                <w:b/>
                <w:sz w:val="12"/>
                <w:szCs w:val="12"/>
                <w:lang w:val="fr-BE"/>
              </w:rPr>
              <w:t>2014</w:t>
            </w:r>
          </w:p>
        </w:tc>
      </w:tr>
      <w:tr w:rsidR="006B2EC1" w14:paraId="5EAF823F" w14:textId="77777777" w:rsidTr="0047688D">
        <w:trPr>
          <w:tblHeader/>
        </w:trPr>
        <w:tc>
          <w:tcPr>
            <w:tcW w:w="0" w:type="auto"/>
            <w:shd w:val="clear" w:color="auto" w:fill="auto"/>
          </w:tcPr>
          <w:p w14:paraId="29C6676A" w14:textId="77777777" w:rsidR="008C5CFA" w:rsidRPr="00F53019" w:rsidRDefault="008C5CFA" w:rsidP="00300A01">
            <w:pPr>
              <w:spacing w:before="0" w:after="0"/>
              <w:rPr>
                <w:b/>
                <w:sz w:val="12"/>
                <w:szCs w:val="12"/>
                <w:lang w:val="fr-BE"/>
              </w:rPr>
            </w:pPr>
          </w:p>
        </w:tc>
        <w:tc>
          <w:tcPr>
            <w:tcW w:w="0" w:type="auto"/>
            <w:shd w:val="clear" w:color="auto" w:fill="auto"/>
          </w:tcPr>
          <w:p w14:paraId="3B7A0D92" w14:textId="77777777" w:rsidR="008C5CFA" w:rsidRPr="00F53019" w:rsidRDefault="008C5CFA" w:rsidP="00300A01">
            <w:pPr>
              <w:spacing w:before="0" w:after="0"/>
              <w:rPr>
                <w:b/>
                <w:sz w:val="12"/>
                <w:szCs w:val="12"/>
                <w:lang w:val="fr-BE"/>
              </w:rPr>
            </w:pPr>
          </w:p>
        </w:tc>
        <w:tc>
          <w:tcPr>
            <w:tcW w:w="0" w:type="auto"/>
            <w:shd w:val="clear" w:color="auto" w:fill="auto"/>
          </w:tcPr>
          <w:p w14:paraId="54677F7E" w14:textId="77777777" w:rsidR="008C5CFA" w:rsidRPr="00F53019" w:rsidRDefault="008C5CFA" w:rsidP="00300A01">
            <w:pPr>
              <w:spacing w:before="0" w:after="0"/>
              <w:rPr>
                <w:b/>
                <w:sz w:val="12"/>
                <w:szCs w:val="12"/>
                <w:lang w:val="fr-BE"/>
              </w:rPr>
            </w:pPr>
          </w:p>
        </w:tc>
        <w:tc>
          <w:tcPr>
            <w:tcW w:w="0" w:type="auto"/>
          </w:tcPr>
          <w:p w14:paraId="2192DC5E" w14:textId="77777777" w:rsidR="008C5CFA" w:rsidRPr="00F53019" w:rsidRDefault="00E82A60" w:rsidP="00300A01">
            <w:pPr>
              <w:spacing w:before="0" w:after="0"/>
              <w:jc w:val="center"/>
              <w:rPr>
                <w:b/>
                <w:sz w:val="12"/>
                <w:szCs w:val="12"/>
                <w:lang w:val="fr-BE"/>
              </w:rPr>
            </w:pPr>
            <w:r w:rsidRPr="00F53019">
              <w:rPr>
                <w:b/>
                <w:noProof/>
                <w:sz w:val="12"/>
                <w:szCs w:val="12"/>
                <w:lang w:val="fr-BE"/>
              </w:rPr>
              <w:t>Mężczyźni</w:t>
            </w:r>
          </w:p>
        </w:tc>
        <w:tc>
          <w:tcPr>
            <w:tcW w:w="0" w:type="auto"/>
          </w:tcPr>
          <w:p w14:paraId="1A1CC297" w14:textId="77777777" w:rsidR="008C5CFA" w:rsidRPr="00F53019" w:rsidRDefault="00E82A60" w:rsidP="00300A01">
            <w:pPr>
              <w:spacing w:before="0" w:after="0"/>
              <w:jc w:val="center"/>
              <w:rPr>
                <w:b/>
                <w:sz w:val="12"/>
                <w:szCs w:val="12"/>
                <w:lang w:val="fr-BE"/>
              </w:rPr>
            </w:pPr>
            <w:r w:rsidRPr="00F53019">
              <w:rPr>
                <w:b/>
                <w:noProof/>
                <w:sz w:val="12"/>
                <w:szCs w:val="12"/>
                <w:lang w:val="fr-BE"/>
              </w:rPr>
              <w:t>Kobiety</w:t>
            </w:r>
          </w:p>
        </w:tc>
        <w:tc>
          <w:tcPr>
            <w:tcW w:w="0" w:type="auto"/>
          </w:tcPr>
          <w:p w14:paraId="5C61D66C" w14:textId="77777777" w:rsidR="008C5CFA" w:rsidRPr="00F53019" w:rsidRDefault="00E82A60" w:rsidP="00300A01">
            <w:pPr>
              <w:spacing w:before="0" w:after="0"/>
              <w:jc w:val="center"/>
              <w:rPr>
                <w:b/>
                <w:sz w:val="12"/>
                <w:szCs w:val="12"/>
                <w:lang w:val="fr-BE"/>
              </w:rPr>
            </w:pPr>
            <w:r w:rsidRPr="00F53019">
              <w:rPr>
                <w:b/>
                <w:noProof/>
                <w:sz w:val="12"/>
                <w:szCs w:val="12"/>
                <w:lang w:val="fr-BE"/>
              </w:rPr>
              <w:t>Mężczyźni</w:t>
            </w:r>
          </w:p>
        </w:tc>
        <w:tc>
          <w:tcPr>
            <w:tcW w:w="0" w:type="auto"/>
          </w:tcPr>
          <w:p w14:paraId="306BD696" w14:textId="77777777" w:rsidR="008C5CFA" w:rsidRPr="00F53019" w:rsidRDefault="00E82A60" w:rsidP="00300A01">
            <w:pPr>
              <w:spacing w:before="0" w:after="0"/>
              <w:jc w:val="center"/>
              <w:rPr>
                <w:b/>
                <w:sz w:val="12"/>
                <w:szCs w:val="12"/>
                <w:lang w:val="fr-BE"/>
              </w:rPr>
            </w:pPr>
            <w:r w:rsidRPr="00F53019">
              <w:rPr>
                <w:b/>
                <w:noProof/>
                <w:sz w:val="12"/>
                <w:szCs w:val="12"/>
                <w:lang w:val="fr-BE"/>
              </w:rPr>
              <w:t>Kobiety</w:t>
            </w:r>
          </w:p>
        </w:tc>
        <w:tc>
          <w:tcPr>
            <w:tcW w:w="0" w:type="auto"/>
          </w:tcPr>
          <w:p w14:paraId="3413FACE" w14:textId="77777777" w:rsidR="008C5CFA" w:rsidRPr="00F53019" w:rsidRDefault="00E82A60" w:rsidP="00300A01">
            <w:pPr>
              <w:spacing w:before="0" w:after="0"/>
              <w:jc w:val="center"/>
              <w:rPr>
                <w:b/>
                <w:sz w:val="12"/>
                <w:szCs w:val="12"/>
                <w:lang w:val="fr-BE"/>
              </w:rPr>
            </w:pPr>
            <w:r w:rsidRPr="00F53019">
              <w:rPr>
                <w:b/>
                <w:noProof/>
                <w:sz w:val="12"/>
                <w:szCs w:val="12"/>
                <w:lang w:val="fr-BE"/>
              </w:rPr>
              <w:t>Mężczyźni</w:t>
            </w:r>
          </w:p>
        </w:tc>
        <w:tc>
          <w:tcPr>
            <w:tcW w:w="0" w:type="auto"/>
          </w:tcPr>
          <w:p w14:paraId="7D898128" w14:textId="77777777" w:rsidR="008C5CFA" w:rsidRPr="00F53019" w:rsidRDefault="00E82A60" w:rsidP="00300A01">
            <w:pPr>
              <w:spacing w:before="0" w:after="0"/>
              <w:jc w:val="center"/>
              <w:rPr>
                <w:b/>
                <w:sz w:val="12"/>
                <w:szCs w:val="12"/>
                <w:lang w:val="fr-BE"/>
              </w:rPr>
            </w:pPr>
            <w:r w:rsidRPr="00F53019">
              <w:rPr>
                <w:b/>
                <w:noProof/>
                <w:sz w:val="12"/>
                <w:szCs w:val="12"/>
                <w:lang w:val="fr-BE"/>
              </w:rPr>
              <w:t>Kobiety</w:t>
            </w:r>
          </w:p>
        </w:tc>
        <w:tc>
          <w:tcPr>
            <w:tcW w:w="0" w:type="auto"/>
          </w:tcPr>
          <w:p w14:paraId="1F2CD0F2" w14:textId="77777777" w:rsidR="008C5CFA" w:rsidRPr="00F53019" w:rsidRDefault="00E82A60" w:rsidP="00300A01">
            <w:pPr>
              <w:spacing w:before="0" w:after="0"/>
              <w:jc w:val="center"/>
              <w:rPr>
                <w:b/>
                <w:sz w:val="12"/>
                <w:szCs w:val="12"/>
                <w:lang w:val="fr-BE"/>
              </w:rPr>
            </w:pPr>
            <w:r w:rsidRPr="00F53019">
              <w:rPr>
                <w:b/>
                <w:noProof/>
                <w:sz w:val="12"/>
                <w:szCs w:val="12"/>
                <w:lang w:val="fr-BE"/>
              </w:rPr>
              <w:t>Mężczyźni</w:t>
            </w:r>
          </w:p>
        </w:tc>
        <w:tc>
          <w:tcPr>
            <w:tcW w:w="0" w:type="auto"/>
          </w:tcPr>
          <w:p w14:paraId="15589FAB" w14:textId="77777777" w:rsidR="008C5CFA" w:rsidRPr="00F53019" w:rsidRDefault="00E82A60" w:rsidP="00300A01">
            <w:pPr>
              <w:spacing w:before="0" w:after="0"/>
              <w:jc w:val="center"/>
              <w:rPr>
                <w:b/>
                <w:sz w:val="12"/>
                <w:szCs w:val="12"/>
                <w:lang w:val="fr-BE"/>
              </w:rPr>
            </w:pPr>
            <w:r w:rsidRPr="00F53019">
              <w:rPr>
                <w:b/>
                <w:noProof/>
                <w:sz w:val="12"/>
                <w:szCs w:val="12"/>
                <w:lang w:val="fr-BE"/>
              </w:rPr>
              <w:t>Kobiety</w:t>
            </w:r>
          </w:p>
        </w:tc>
        <w:tc>
          <w:tcPr>
            <w:tcW w:w="0" w:type="auto"/>
            <w:shd w:val="clear" w:color="auto" w:fill="auto"/>
          </w:tcPr>
          <w:p w14:paraId="03F22F1A" w14:textId="77777777" w:rsidR="008C5CFA" w:rsidRPr="00F53019" w:rsidRDefault="00E82A60"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14:paraId="7D05B2F6" w14:textId="77777777" w:rsidR="008C5CFA" w:rsidRPr="00F53019" w:rsidRDefault="00E82A60" w:rsidP="00300A01">
            <w:pPr>
              <w:spacing w:before="0" w:after="0"/>
              <w:jc w:val="center"/>
              <w:rPr>
                <w:b/>
                <w:sz w:val="12"/>
                <w:szCs w:val="12"/>
                <w:lang w:val="fr-BE"/>
              </w:rPr>
            </w:pPr>
            <w:r w:rsidRPr="00F53019">
              <w:rPr>
                <w:b/>
                <w:noProof/>
                <w:sz w:val="12"/>
                <w:szCs w:val="12"/>
                <w:lang w:val="fr-BE"/>
              </w:rPr>
              <w:t>Kobiety</w:t>
            </w:r>
          </w:p>
        </w:tc>
      </w:tr>
      <w:tr w:rsidR="006B2EC1" w14:paraId="26288985" w14:textId="77777777" w:rsidTr="0047688D">
        <w:tc>
          <w:tcPr>
            <w:tcW w:w="0" w:type="auto"/>
            <w:shd w:val="clear" w:color="auto" w:fill="auto"/>
          </w:tcPr>
          <w:p w14:paraId="0E24A6E5" w14:textId="77777777" w:rsidR="008C5CFA" w:rsidRPr="00BA47B4" w:rsidRDefault="00E82A60" w:rsidP="00300A01">
            <w:pPr>
              <w:spacing w:before="0" w:after="0"/>
              <w:rPr>
                <w:sz w:val="12"/>
                <w:szCs w:val="12"/>
                <w:lang w:val="fr-BE"/>
              </w:rPr>
            </w:pPr>
            <w:r w:rsidRPr="00BA47B4">
              <w:rPr>
                <w:noProof/>
                <w:sz w:val="12"/>
                <w:szCs w:val="12"/>
                <w:lang w:val="fr-BE"/>
              </w:rPr>
              <w:t>CR01</w:t>
            </w:r>
          </w:p>
        </w:tc>
        <w:tc>
          <w:tcPr>
            <w:tcW w:w="0" w:type="auto"/>
            <w:shd w:val="clear" w:color="auto" w:fill="auto"/>
          </w:tcPr>
          <w:p w14:paraId="2F236A45" w14:textId="77777777" w:rsidR="008C5CFA" w:rsidRPr="00BA47B4" w:rsidRDefault="00E82A60" w:rsidP="00300A01">
            <w:pPr>
              <w:spacing w:before="0" w:after="0"/>
              <w:rPr>
                <w:sz w:val="12"/>
                <w:szCs w:val="12"/>
                <w:lang w:val="fr-BE"/>
              </w:rPr>
            </w:pPr>
            <w:r w:rsidRPr="00BA47B4">
              <w:rPr>
                <w:noProof/>
                <w:sz w:val="12"/>
                <w:szCs w:val="12"/>
                <w:lang w:val="fr-BE"/>
              </w:rPr>
              <w:t>bierni zawodowo uczestnicy poszukujący pracy po opuszczeniu programu</w:t>
            </w:r>
          </w:p>
        </w:tc>
        <w:tc>
          <w:tcPr>
            <w:tcW w:w="0" w:type="auto"/>
            <w:shd w:val="clear" w:color="auto" w:fill="auto"/>
          </w:tcPr>
          <w:p w14:paraId="7CB0B30D" w14:textId="77777777" w:rsidR="008C5CFA" w:rsidRPr="00BA47B4" w:rsidRDefault="00E82A60" w:rsidP="00300A01">
            <w:pPr>
              <w:spacing w:before="0" w:after="0"/>
              <w:rPr>
                <w:sz w:val="12"/>
                <w:szCs w:val="12"/>
                <w:lang w:val="fr-BE"/>
              </w:rPr>
            </w:pPr>
            <w:r w:rsidRPr="00BA47B4">
              <w:rPr>
                <w:noProof/>
                <w:sz w:val="12"/>
                <w:szCs w:val="12"/>
                <w:lang w:val="fr-BE"/>
              </w:rPr>
              <w:t>Słabiej rozwinięte</w:t>
            </w:r>
          </w:p>
        </w:tc>
        <w:tc>
          <w:tcPr>
            <w:tcW w:w="0" w:type="auto"/>
          </w:tcPr>
          <w:p w14:paraId="21D1FFB2"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104B20D1" w14:textId="77777777" w:rsidR="008C5CFA" w:rsidRPr="00BA47B4" w:rsidRDefault="00E82A60" w:rsidP="00300A01">
            <w:pPr>
              <w:spacing w:before="0" w:after="0"/>
              <w:jc w:val="right"/>
              <w:rPr>
                <w:sz w:val="12"/>
                <w:szCs w:val="12"/>
                <w:lang w:val="fr-BE"/>
              </w:rPr>
            </w:pPr>
            <w:r w:rsidRPr="00BA47B4">
              <w:rPr>
                <w:noProof/>
                <w:sz w:val="12"/>
                <w:szCs w:val="12"/>
                <w:lang w:val="fr-BE"/>
              </w:rPr>
              <w:t>11,00</w:t>
            </w:r>
          </w:p>
        </w:tc>
        <w:tc>
          <w:tcPr>
            <w:tcW w:w="0" w:type="auto"/>
          </w:tcPr>
          <w:p w14:paraId="2D369A8A"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22D364D8" w14:textId="77777777" w:rsidR="008C5CFA" w:rsidRPr="00BA47B4" w:rsidRDefault="00E82A60" w:rsidP="00300A01">
            <w:pPr>
              <w:spacing w:before="0" w:after="0"/>
              <w:jc w:val="right"/>
              <w:rPr>
                <w:sz w:val="12"/>
                <w:szCs w:val="12"/>
                <w:lang w:val="fr-BE"/>
              </w:rPr>
            </w:pPr>
            <w:r w:rsidRPr="00BA47B4">
              <w:rPr>
                <w:noProof/>
                <w:sz w:val="12"/>
                <w:szCs w:val="12"/>
                <w:lang w:val="fr-BE"/>
              </w:rPr>
              <w:t>3,00</w:t>
            </w:r>
          </w:p>
        </w:tc>
        <w:tc>
          <w:tcPr>
            <w:tcW w:w="0" w:type="auto"/>
          </w:tcPr>
          <w:p w14:paraId="22D07B9A"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33228136"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4DC3CC48"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6B80D3ED"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484F08E8"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1B159602"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r>
      <w:tr w:rsidR="006B2EC1" w14:paraId="7E9E0CF8" w14:textId="77777777" w:rsidTr="0047688D">
        <w:tc>
          <w:tcPr>
            <w:tcW w:w="0" w:type="auto"/>
            <w:shd w:val="clear" w:color="auto" w:fill="auto"/>
          </w:tcPr>
          <w:p w14:paraId="7C306F08" w14:textId="77777777" w:rsidR="008C5CFA" w:rsidRPr="00BA47B4" w:rsidRDefault="00E82A60" w:rsidP="00300A01">
            <w:pPr>
              <w:spacing w:before="0" w:after="0"/>
              <w:rPr>
                <w:sz w:val="12"/>
                <w:szCs w:val="12"/>
                <w:lang w:val="fr-BE"/>
              </w:rPr>
            </w:pPr>
            <w:r w:rsidRPr="00BA47B4">
              <w:rPr>
                <w:noProof/>
                <w:sz w:val="12"/>
                <w:szCs w:val="12"/>
                <w:lang w:val="fr-BE"/>
              </w:rPr>
              <w:t>CR02</w:t>
            </w:r>
          </w:p>
        </w:tc>
        <w:tc>
          <w:tcPr>
            <w:tcW w:w="0" w:type="auto"/>
            <w:shd w:val="clear" w:color="auto" w:fill="auto"/>
          </w:tcPr>
          <w:p w14:paraId="69207D31" w14:textId="77777777" w:rsidR="008C5CFA" w:rsidRPr="00BA47B4" w:rsidRDefault="00E82A60" w:rsidP="00300A01">
            <w:pPr>
              <w:spacing w:before="0" w:after="0"/>
              <w:rPr>
                <w:sz w:val="12"/>
                <w:szCs w:val="12"/>
                <w:lang w:val="fr-BE"/>
              </w:rPr>
            </w:pPr>
            <w:r w:rsidRPr="00BA47B4">
              <w:rPr>
                <w:noProof/>
                <w:sz w:val="12"/>
                <w:szCs w:val="12"/>
                <w:lang w:val="fr-BE"/>
              </w:rPr>
              <w:t>uczestnicy kształcący lub szkolący się po opuszczeniu programu</w:t>
            </w:r>
          </w:p>
        </w:tc>
        <w:tc>
          <w:tcPr>
            <w:tcW w:w="0" w:type="auto"/>
            <w:shd w:val="clear" w:color="auto" w:fill="auto"/>
          </w:tcPr>
          <w:p w14:paraId="1E6FA13C" w14:textId="77777777" w:rsidR="008C5CFA" w:rsidRPr="00BA47B4" w:rsidRDefault="00E82A60" w:rsidP="00300A01">
            <w:pPr>
              <w:spacing w:before="0" w:after="0"/>
              <w:rPr>
                <w:sz w:val="12"/>
                <w:szCs w:val="12"/>
                <w:lang w:val="fr-BE"/>
              </w:rPr>
            </w:pPr>
            <w:r w:rsidRPr="00BA47B4">
              <w:rPr>
                <w:noProof/>
                <w:sz w:val="12"/>
                <w:szCs w:val="12"/>
                <w:lang w:val="fr-BE"/>
              </w:rPr>
              <w:t>Słabiej rozwinięte</w:t>
            </w:r>
          </w:p>
        </w:tc>
        <w:tc>
          <w:tcPr>
            <w:tcW w:w="0" w:type="auto"/>
          </w:tcPr>
          <w:p w14:paraId="3B894BDF"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1D307205"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6692F2A5"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2E739310" w14:textId="77777777" w:rsidR="008C5CFA" w:rsidRPr="00BA47B4" w:rsidRDefault="00E82A60" w:rsidP="00300A01">
            <w:pPr>
              <w:spacing w:before="0" w:after="0"/>
              <w:jc w:val="right"/>
              <w:rPr>
                <w:sz w:val="12"/>
                <w:szCs w:val="12"/>
                <w:lang w:val="fr-BE"/>
              </w:rPr>
            </w:pPr>
            <w:r w:rsidRPr="00BA47B4">
              <w:rPr>
                <w:noProof/>
                <w:sz w:val="12"/>
                <w:szCs w:val="12"/>
                <w:lang w:val="fr-BE"/>
              </w:rPr>
              <w:t>1,00</w:t>
            </w:r>
          </w:p>
        </w:tc>
        <w:tc>
          <w:tcPr>
            <w:tcW w:w="0" w:type="auto"/>
          </w:tcPr>
          <w:p w14:paraId="22DD8E9A"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28B46FDB"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2D33EA18"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3BA863C6"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46088097"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4F39FCA4"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r>
      <w:tr w:rsidR="006B2EC1" w14:paraId="48225497" w14:textId="77777777" w:rsidTr="0047688D">
        <w:tc>
          <w:tcPr>
            <w:tcW w:w="0" w:type="auto"/>
            <w:shd w:val="clear" w:color="auto" w:fill="auto"/>
          </w:tcPr>
          <w:p w14:paraId="10648DCB" w14:textId="77777777" w:rsidR="008C5CFA" w:rsidRPr="00BA47B4" w:rsidRDefault="00E82A60" w:rsidP="00300A01">
            <w:pPr>
              <w:spacing w:before="0" w:after="0"/>
              <w:rPr>
                <w:sz w:val="12"/>
                <w:szCs w:val="12"/>
                <w:lang w:val="fr-BE"/>
              </w:rPr>
            </w:pPr>
            <w:r w:rsidRPr="00BA47B4">
              <w:rPr>
                <w:noProof/>
                <w:sz w:val="12"/>
                <w:szCs w:val="12"/>
                <w:lang w:val="fr-BE"/>
              </w:rPr>
              <w:t>CR03</w:t>
            </w:r>
          </w:p>
        </w:tc>
        <w:tc>
          <w:tcPr>
            <w:tcW w:w="0" w:type="auto"/>
            <w:shd w:val="clear" w:color="auto" w:fill="auto"/>
          </w:tcPr>
          <w:p w14:paraId="7CA0566C" w14:textId="77777777" w:rsidR="008C5CFA" w:rsidRPr="00BA47B4" w:rsidRDefault="00E82A60" w:rsidP="00300A01">
            <w:pPr>
              <w:spacing w:before="0" w:after="0"/>
              <w:rPr>
                <w:sz w:val="12"/>
                <w:szCs w:val="12"/>
                <w:lang w:val="fr-BE"/>
              </w:rPr>
            </w:pPr>
            <w:r w:rsidRPr="00BA47B4">
              <w:rPr>
                <w:noProof/>
                <w:sz w:val="12"/>
                <w:szCs w:val="12"/>
                <w:lang w:val="fr-BE"/>
              </w:rPr>
              <w:t>uczestnicy uzyskujący kwalifikacje po opuszczeniu programu</w:t>
            </w:r>
          </w:p>
        </w:tc>
        <w:tc>
          <w:tcPr>
            <w:tcW w:w="0" w:type="auto"/>
            <w:shd w:val="clear" w:color="auto" w:fill="auto"/>
          </w:tcPr>
          <w:p w14:paraId="2E20577C" w14:textId="77777777" w:rsidR="008C5CFA" w:rsidRPr="00BA47B4" w:rsidRDefault="00E82A60" w:rsidP="00300A01">
            <w:pPr>
              <w:spacing w:before="0" w:after="0"/>
              <w:rPr>
                <w:sz w:val="12"/>
                <w:szCs w:val="12"/>
                <w:lang w:val="fr-BE"/>
              </w:rPr>
            </w:pPr>
            <w:r w:rsidRPr="00BA47B4">
              <w:rPr>
                <w:noProof/>
                <w:sz w:val="12"/>
                <w:szCs w:val="12"/>
                <w:lang w:val="fr-BE"/>
              </w:rPr>
              <w:t>Słabiej rozwinięte</w:t>
            </w:r>
          </w:p>
        </w:tc>
        <w:tc>
          <w:tcPr>
            <w:tcW w:w="0" w:type="auto"/>
          </w:tcPr>
          <w:p w14:paraId="29C8F967"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1E14B797"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1BD3E729"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2B57D86D"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6416A0D7"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532550BD"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59974D6F"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1C826EF2"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52E708AA"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044437EE"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r>
      <w:tr w:rsidR="006B2EC1" w14:paraId="2A3EB766" w14:textId="77777777" w:rsidTr="0047688D">
        <w:tc>
          <w:tcPr>
            <w:tcW w:w="0" w:type="auto"/>
            <w:shd w:val="clear" w:color="auto" w:fill="auto"/>
          </w:tcPr>
          <w:p w14:paraId="6814085C" w14:textId="77777777" w:rsidR="008C5CFA" w:rsidRPr="00BA47B4" w:rsidRDefault="00E82A60" w:rsidP="00300A01">
            <w:pPr>
              <w:spacing w:before="0" w:after="0"/>
              <w:rPr>
                <w:sz w:val="12"/>
                <w:szCs w:val="12"/>
                <w:lang w:val="fr-BE"/>
              </w:rPr>
            </w:pPr>
            <w:r w:rsidRPr="00BA47B4">
              <w:rPr>
                <w:noProof/>
                <w:sz w:val="12"/>
                <w:szCs w:val="12"/>
                <w:lang w:val="fr-BE"/>
              </w:rPr>
              <w:t>CR04</w:t>
            </w:r>
          </w:p>
        </w:tc>
        <w:tc>
          <w:tcPr>
            <w:tcW w:w="0" w:type="auto"/>
            <w:shd w:val="clear" w:color="auto" w:fill="auto"/>
          </w:tcPr>
          <w:p w14:paraId="639193A7" w14:textId="77777777" w:rsidR="008C5CFA" w:rsidRPr="00BA47B4" w:rsidRDefault="00E82A60" w:rsidP="00300A01">
            <w:pPr>
              <w:spacing w:before="0" w:after="0"/>
              <w:rPr>
                <w:sz w:val="12"/>
                <w:szCs w:val="12"/>
                <w:lang w:val="fr-BE"/>
              </w:rPr>
            </w:pPr>
            <w:r w:rsidRPr="00BA47B4">
              <w:rPr>
                <w:noProof/>
                <w:sz w:val="12"/>
                <w:szCs w:val="12"/>
                <w:lang w:val="fr-BE"/>
              </w:rPr>
              <w:t>uczestnicy pracujący, łącznie z prowadzącymi działalność na własny rachunek, po opuszczeniu programu</w:t>
            </w:r>
          </w:p>
        </w:tc>
        <w:tc>
          <w:tcPr>
            <w:tcW w:w="0" w:type="auto"/>
            <w:shd w:val="clear" w:color="auto" w:fill="auto"/>
          </w:tcPr>
          <w:p w14:paraId="62DA4C86" w14:textId="77777777" w:rsidR="008C5CFA" w:rsidRPr="00BA47B4" w:rsidRDefault="00E82A60" w:rsidP="00300A01">
            <w:pPr>
              <w:spacing w:before="0" w:after="0"/>
              <w:rPr>
                <w:sz w:val="12"/>
                <w:szCs w:val="12"/>
                <w:lang w:val="fr-BE"/>
              </w:rPr>
            </w:pPr>
            <w:r w:rsidRPr="00BA47B4">
              <w:rPr>
                <w:noProof/>
                <w:sz w:val="12"/>
                <w:szCs w:val="12"/>
                <w:lang w:val="fr-BE"/>
              </w:rPr>
              <w:t>Słabiej rozwinięte</w:t>
            </w:r>
          </w:p>
        </w:tc>
        <w:tc>
          <w:tcPr>
            <w:tcW w:w="0" w:type="auto"/>
          </w:tcPr>
          <w:p w14:paraId="6BB6AF3B" w14:textId="77777777" w:rsidR="008C5CFA" w:rsidRPr="00BA47B4" w:rsidRDefault="00E82A60" w:rsidP="00300A01">
            <w:pPr>
              <w:spacing w:before="0" w:after="0"/>
              <w:jc w:val="right"/>
              <w:rPr>
                <w:sz w:val="12"/>
                <w:szCs w:val="12"/>
                <w:lang w:val="fr-BE"/>
              </w:rPr>
            </w:pPr>
            <w:r w:rsidRPr="00BA47B4">
              <w:rPr>
                <w:noProof/>
                <w:sz w:val="12"/>
                <w:szCs w:val="12"/>
                <w:lang w:val="fr-BE"/>
              </w:rPr>
              <w:t>5,00</w:t>
            </w:r>
          </w:p>
        </w:tc>
        <w:tc>
          <w:tcPr>
            <w:tcW w:w="0" w:type="auto"/>
          </w:tcPr>
          <w:p w14:paraId="5A6D629E" w14:textId="77777777" w:rsidR="008C5CFA" w:rsidRPr="00BA47B4" w:rsidRDefault="00E82A60" w:rsidP="00300A01">
            <w:pPr>
              <w:spacing w:before="0" w:after="0"/>
              <w:jc w:val="right"/>
              <w:rPr>
                <w:sz w:val="12"/>
                <w:szCs w:val="12"/>
                <w:lang w:val="fr-BE"/>
              </w:rPr>
            </w:pPr>
            <w:r w:rsidRPr="00BA47B4">
              <w:rPr>
                <w:noProof/>
                <w:sz w:val="12"/>
                <w:szCs w:val="12"/>
                <w:lang w:val="fr-BE"/>
              </w:rPr>
              <w:t>73,00</w:t>
            </w:r>
          </w:p>
        </w:tc>
        <w:tc>
          <w:tcPr>
            <w:tcW w:w="0" w:type="auto"/>
          </w:tcPr>
          <w:p w14:paraId="316D2EBA" w14:textId="77777777" w:rsidR="008C5CFA" w:rsidRPr="00BA47B4" w:rsidRDefault="00E82A60" w:rsidP="00300A01">
            <w:pPr>
              <w:spacing w:before="0" w:after="0"/>
              <w:jc w:val="right"/>
              <w:rPr>
                <w:sz w:val="12"/>
                <w:szCs w:val="12"/>
                <w:lang w:val="fr-BE"/>
              </w:rPr>
            </w:pPr>
            <w:r w:rsidRPr="00BA47B4">
              <w:rPr>
                <w:noProof/>
                <w:sz w:val="12"/>
                <w:szCs w:val="12"/>
                <w:lang w:val="fr-BE"/>
              </w:rPr>
              <w:t>1,00</w:t>
            </w:r>
          </w:p>
        </w:tc>
        <w:tc>
          <w:tcPr>
            <w:tcW w:w="0" w:type="auto"/>
          </w:tcPr>
          <w:p w14:paraId="44A65B8E" w14:textId="77777777" w:rsidR="008C5CFA" w:rsidRPr="00BA47B4" w:rsidRDefault="00E82A60" w:rsidP="00300A01">
            <w:pPr>
              <w:spacing w:before="0" w:after="0"/>
              <w:jc w:val="right"/>
              <w:rPr>
                <w:sz w:val="12"/>
                <w:szCs w:val="12"/>
                <w:lang w:val="fr-BE"/>
              </w:rPr>
            </w:pPr>
            <w:r w:rsidRPr="00BA47B4">
              <w:rPr>
                <w:noProof/>
                <w:sz w:val="12"/>
                <w:szCs w:val="12"/>
                <w:lang w:val="fr-BE"/>
              </w:rPr>
              <w:t>39,00</w:t>
            </w:r>
          </w:p>
        </w:tc>
        <w:tc>
          <w:tcPr>
            <w:tcW w:w="0" w:type="auto"/>
          </w:tcPr>
          <w:p w14:paraId="3D132317"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2235EE4B"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0A036AEC"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402991A3"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15C4F302"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3FAB5092"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r>
      <w:tr w:rsidR="006B2EC1" w14:paraId="32DFCBBB" w14:textId="77777777" w:rsidTr="0047688D">
        <w:tc>
          <w:tcPr>
            <w:tcW w:w="0" w:type="auto"/>
            <w:shd w:val="clear" w:color="auto" w:fill="auto"/>
          </w:tcPr>
          <w:p w14:paraId="430E8D09" w14:textId="77777777" w:rsidR="008C5CFA" w:rsidRPr="00BA47B4" w:rsidRDefault="00E82A60" w:rsidP="00300A01">
            <w:pPr>
              <w:spacing w:before="0" w:after="0"/>
              <w:rPr>
                <w:sz w:val="12"/>
                <w:szCs w:val="12"/>
                <w:lang w:val="fr-BE"/>
              </w:rPr>
            </w:pPr>
            <w:r w:rsidRPr="00BA47B4">
              <w:rPr>
                <w:noProof/>
                <w:sz w:val="12"/>
                <w:szCs w:val="12"/>
                <w:lang w:val="fr-BE"/>
              </w:rPr>
              <w:t>CR05</w:t>
            </w:r>
          </w:p>
        </w:tc>
        <w:tc>
          <w:tcPr>
            <w:tcW w:w="0" w:type="auto"/>
            <w:shd w:val="clear" w:color="auto" w:fill="auto"/>
          </w:tcPr>
          <w:p w14:paraId="204568F7" w14:textId="77777777" w:rsidR="008C5CFA" w:rsidRPr="00BA47B4" w:rsidRDefault="00E82A60" w:rsidP="00300A01">
            <w:pPr>
              <w:spacing w:before="0" w:after="0"/>
              <w:rPr>
                <w:sz w:val="12"/>
                <w:szCs w:val="12"/>
                <w:lang w:val="fr-BE"/>
              </w:rPr>
            </w:pPr>
            <w:r w:rsidRPr="00BA47B4">
              <w:rPr>
                <w:noProof/>
                <w:sz w:val="12"/>
                <w:szCs w:val="12"/>
                <w:lang w:val="fr-BE"/>
              </w:rPr>
              <w:t>uczestnicy w niekorzystnej sytuacji społecznej poszukujący pracy, uczestniczący w kształceniu lub szkoleniu, zdobywający kwalifikacje lub pracujący (łącznie z prowadzącymi działalność na własny rachunek) po opuszczeniu programu</w:t>
            </w:r>
          </w:p>
        </w:tc>
        <w:tc>
          <w:tcPr>
            <w:tcW w:w="0" w:type="auto"/>
            <w:shd w:val="clear" w:color="auto" w:fill="auto"/>
          </w:tcPr>
          <w:p w14:paraId="21D88547" w14:textId="77777777" w:rsidR="008C5CFA" w:rsidRPr="00BA47B4" w:rsidRDefault="00E82A60" w:rsidP="00300A01">
            <w:pPr>
              <w:spacing w:before="0" w:after="0"/>
              <w:rPr>
                <w:sz w:val="12"/>
                <w:szCs w:val="12"/>
                <w:lang w:val="fr-BE"/>
              </w:rPr>
            </w:pPr>
            <w:r w:rsidRPr="00BA47B4">
              <w:rPr>
                <w:noProof/>
                <w:sz w:val="12"/>
                <w:szCs w:val="12"/>
                <w:lang w:val="fr-BE"/>
              </w:rPr>
              <w:t>Słabiej rozwinięte</w:t>
            </w:r>
          </w:p>
        </w:tc>
        <w:tc>
          <w:tcPr>
            <w:tcW w:w="0" w:type="auto"/>
          </w:tcPr>
          <w:p w14:paraId="0A7DBB74"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148D0FA2" w14:textId="77777777" w:rsidR="008C5CFA" w:rsidRPr="00BA47B4" w:rsidRDefault="00E82A60" w:rsidP="00300A01">
            <w:pPr>
              <w:spacing w:before="0" w:after="0"/>
              <w:jc w:val="right"/>
              <w:rPr>
                <w:sz w:val="12"/>
                <w:szCs w:val="12"/>
                <w:lang w:val="fr-BE"/>
              </w:rPr>
            </w:pPr>
            <w:r w:rsidRPr="00BA47B4">
              <w:rPr>
                <w:noProof/>
                <w:sz w:val="12"/>
                <w:szCs w:val="12"/>
                <w:lang w:val="fr-BE"/>
              </w:rPr>
              <w:t>1,00</w:t>
            </w:r>
          </w:p>
        </w:tc>
        <w:tc>
          <w:tcPr>
            <w:tcW w:w="0" w:type="auto"/>
          </w:tcPr>
          <w:p w14:paraId="029D8010"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6F46A0DA" w14:textId="77777777" w:rsidR="008C5CFA" w:rsidRPr="00BA47B4" w:rsidRDefault="00E82A60" w:rsidP="00300A01">
            <w:pPr>
              <w:spacing w:before="0" w:after="0"/>
              <w:jc w:val="right"/>
              <w:rPr>
                <w:sz w:val="12"/>
                <w:szCs w:val="12"/>
                <w:lang w:val="fr-BE"/>
              </w:rPr>
            </w:pPr>
            <w:r w:rsidRPr="00BA47B4">
              <w:rPr>
                <w:noProof/>
                <w:sz w:val="12"/>
                <w:szCs w:val="12"/>
                <w:lang w:val="fr-BE"/>
              </w:rPr>
              <w:t>4,00</w:t>
            </w:r>
          </w:p>
        </w:tc>
        <w:tc>
          <w:tcPr>
            <w:tcW w:w="0" w:type="auto"/>
          </w:tcPr>
          <w:p w14:paraId="0395D080"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256C67F0"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4ADC26D2"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7ACA2ED0"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3972CA50"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03C83682"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r>
      <w:tr w:rsidR="006B2EC1" w14:paraId="0077DFA4" w14:textId="77777777" w:rsidTr="0047688D">
        <w:tc>
          <w:tcPr>
            <w:tcW w:w="0" w:type="auto"/>
            <w:shd w:val="clear" w:color="auto" w:fill="auto"/>
          </w:tcPr>
          <w:p w14:paraId="4E9788BE" w14:textId="77777777" w:rsidR="008C5CFA" w:rsidRPr="00BA47B4" w:rsidRDefault="00E82A60" w:rsidP="00300A01">
            <w:pPr>
              <w:spacing w:before="0" w:after="0"/>
              <w:rPr>
                <w:sz w:val="12"/>
                <w:szCs w:val="12"/>
                <w:lang w:val="fr-BE"/>
              </w:rPr>
            </w:pPr>
            <w:r w:rsidRPr="00BA47B4">
              <w:rPr>
                <w:noProof/>
                <w:sz w:val="12"/>
                <w:szCs w:val="12"/>
                <w:lang w:val="fr-BE"/>
              </w:rPr>
              <w:t>CR06</w:t>
            </w:r>
          </w:p>
        </w:tc>
        <w:tc>
          <w:tcPr>
            <w:tcW w:w="0" w:type="auto"/>
            <w:shd w:val="clear" w:color="auto" w:fill="auto"/>
          </w:tcPr>
          <w:p w14:paraId="2665C9A0" w14:textId="77777777" w:rsidR="008C5CFA" w:rsidRPr="00BA47B4" w:rsidRDefault="00E82A60" w:rsidP="00300A01">
            <w:pPr>
              <w:spacing w:before="0" w:after="0"/>
              <w:rPr>
                <w:sz w:val="12"/>
                <w:szCs w:val="12"/>
                <w:lang w:val="fr-BE"/>
              </w:rPr>
            </w:pPr>
            <w:r w:rsidRPr="00BA47B4">
              <w:rPr>
                <w:noProof/>
                <w:sz w:val="12"/>
                <w:szCs w:val="12"/>
                <w:lang w:val="fr-BE"/>
              </w:rPr>
              <w:t>uczestnicy pracujący, łącznie z prowadzącymi działalność na własny rachunek, sześć miesięcy po opuszczeniu programu</w:t>
            </w:r>
          </w:p>
        </w:tc>
        <w:tc>
          <w:tcPr>
            <w:tcW w:w="0" w:type="auto"/>
            <w:shd w:val="clear" w:color="auto" w:fill="auto"/>
          </w:tcPr>
          <w:p w14:paraId="29F4C87B" w14:textId="77777777" w:rsidR="008C5CFA" w:rsidRPr="00BA47B4" w:rsidRDefault="00E82A60" w:rsidP="00300A01">
            <w:pPr>
              <w:spacing w:before="0" w:after="0"/>
              <w:rPr>
                <w:sz w:val="12"/>
                <w:szCs w:val="12"/>
                <w:lang w:val="fr-BE"/>
              </w:rPr>
            </w:pPr>
            <w:r w:rsidRPr="00BA47B4">
              <w:rPr>
                <w:noProof/>
                <w:sz w:val="12"/>
                <w:szCs w:val="12"/>
                <w:lang w:val="fr-BE"/>
              </w:rPr>
              <w:t>Słabiej rozwinięte</w:t>
            </w:r>
          </w:p>
        </w:tc>
        <w:tc>
          <w:tcPr>
            <w:tcW w:w="0" w:type="auto"/>
          </w:tcPr>
          <w:p w14:paraId="2EBBE9DB" w14:textId="77777777" w:rsidR="008C5CFA" w:rsidRPr="00BA47B4" w:rsidRDefault="00E82A60" w:rsidP="00300A01">
            <w:pPr>
              <w:spacing w:before="0" w:after="0"/>
              <w:jc w:val="right"/>
              <w:rPr>
                <w:sz w:val="12"/>
                <w:szCs w:val="12"/>
                <w:lang w:val="fr-BE"/>
              </w:rPr>
            </w:pPr>
            <w:r w:rsidRPr="00BA47B4">
              <w:rPr>
                <w:noProof/>
                <w:sz w:val="12"/>
                <w:szCs w:val="12"/>
                <w:lang w:val="fr-BE"/>
              </w:rPr>
              <w:t>10,00</w:t>
            </w:r>
          </w:p>
        </w:tc>
        <w:tc>
          <w:tcPr>
            <w:tcW w:w="0" w:type="auto"/>
          </w:tcPr>
          <w:p w14:paraId="7A0741DC" w14:textId="77777777" w:rsidR="008C5CFA" w:rsidRPr="00BA47B4" w:rsidRDefault="00E82A60" w:rsidP="00300A01">
            <w:pPr>
              <w:spacing w:before="0" w:after="0"/>
              <w:jc w:val="right"/>
              <w:rPr>
                <w:sz w:val="12"/>
                <w:szCs w:val="12"/>
                <w:lang w:val="fr-BE"/>
              </w:rPr>
            </w:pPr>
            <w:r w:rsidRPr="00BA47B4">
              <w:rPr>
                <w:noProof/>
                <w:sz w:val="12"/>
                <w:szCs w:val="12"/>
                <w:lang w:val="fr-BE"/>
              </w:rPr>
              <w:t>60,00</w:t>
            </w:r>
          </w:p>
        </w:tc>
        <w:tc>
          <w:tcPr>
            <w:tcW w:w="0" w:type="auto"/>
          </w:tcPr>
          <w:p w14:paraId="037683D2"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74ABBC2B"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7B5EB641"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7B82C688"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63075766"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2BB0D7F8"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3A5A1EDC"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2E5EA8A0"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r>
      <w:tr w:rsidR="006B2EC1" w14:paraId="6FEDED55" w14:textId="77777777" w:rsidTr="0047688D">
        <w:tc>
          <w:tcPr>
            <w:tcW w:w="0" w:type="auto"/>
            <w:shd w:val="clear" w:color="auto" w:fill="auto"/>
          </w:tcPr>
          <w:p w14:paraId="11CB3E12" w14:textId="77777777" w:rsidR="008C5CFA" w:rsidRPr="00BA47B4" w:rsidRDefault="00E82A60" w:rsidP="00300A01">
            <w:pPr>
              <w:spacing w:before="0" w:after="0"/>
              <w:rPr>
                <w:sz w:val="12"/>
                <w:szCs w:val="12"/>
                <w:lang w:val="fr-BE"/>
              </w:rPr>
            </w:pPr>
            <w:r w:rsidRPr="00BA47B4">
              <w:rPr>
                <w:noProof/>
                <w:sz w:val="12"/>
                <w:szCs w:val="12"/>
                <w:lang w:val="fr-BE"/>
              </w:rPr>
              <w:t>CR07</w:t>
            </w:r>
          </w:p>
        </w:tc>
        <w:tc>
          <w:tcPr>
            <w:tcW w:w="0" w:type="auto"/>
            <w:shd w:val="clear" w:color="auto" w:fill="auto"/>
          </w:tcPr>
          <w:p w14:paraId="3D18E174" w14:textId="77777777" w:rsidR="008C5CFA" w:rsidRPr="00BA47B4" w:rsidRDefault="00E82A60" w:rsidP="00300A01">
            <w:pPr>
              <w:spacing w:before="0" w:after="0"/>
              <w:rPr>
                <w:sz w:val="12"/>
                <w:szCs w:val="12"/>
                <w:lang w:val="fr-BE"/>
              </w:rPr>
            </w:pPr>
            <w:r w:rsidRPr="00BA47B4">
              <w:rPr>
                <w:noProof/>
                <w:sz w:val="12"/>
                <w:szCs w:val="12"/>
                <w:lang w:val="fr-BE"/>
              </w:rPr>
              <w:t>uczestnicy znajdujący się w lepszej sytuacji na rynku pracy sześć miesięcy po opuszczeniu programu</w:t>
            </w:r>
          </w:p>
        </w:tc>
        <w:tc>
          <w:tcPr>
            <w:tcW w:w="0" w:type="auto"/>
            <w:shd w:val="clear" w:color="auto" w:fill="auto"/>
          </w:tcPr>
          <w:p w14:paraId="7E8DE4DC" w14:textId="77777777" w:rsidR="008C5CFA" w:rsidRPr="00BA47B4" w:rsidRDefault="00E82A60" w:rsidP="00300A01">
            <w:pPr>
              <w:spacing w:before="0" w:after="0"/>
              <w:rPr>
                <w:sz w:val="12"/>
                <w:szCs w:val="12"/>
                <w:lang w:val="fr-BE"/>
              </w:rPr>
            </w:pPr>
            <w:r w:rsidRPr="00BA47B4">
              <w:rPr>
                <w:noProof/>
                <w:sz w:val="12"/>
                <w:szCs w:val="12"/>
                <w:lang w:val="fr-BE"/>
              </w:rPr>
              <w:t>Słabiej rozwinięte</w:t>
            </w:r>
          </w:p>
        </w:tc>
        <w:tc>
          <w:tcPr>
            <w:tcW w:w="0" w:type="auto"/>
          </w:tcPr>
          <w:p w14:paraId="2491B99E"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058AB93F" w14:textId="77777777" w:rsidR="008C5CFA" w:rsidRPr="00BA47B4" w:rsidRDefault="00E82A60" w:rsidP="00300A01">
            <w:pPr>
              <w:spacing w:before="0" w:after="0"/>
              <w:jc w:val="right"/>
              <w:rPr>
                <w:sz w:val="12"/>
                <w:szCs w:val="12"/>
                <w:lang w:val="fr-BE"/>
              </w:rPr>
            </w:pPr>
            <w:r w:rsidRPr="00BA47B4">
              <w:rPr>
                <w:noProof/>
                <w:sz w:val="12"/>
                <w:szCs w:val="12"/>
                <w:lang w:val="fr-BE"/>
              </w:rPr>
              <w:t>9,00</w:t>
            </w:r>
          </w:p>
        </w:tc>
        <w:tc>
          <w:tcPr>
            <w:tcW w:w="0" w:type="auto"/>
          </w:tcPr>
          <w:p w14:paraId="35F14702"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043DD625"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534D08AE"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4D52E0BD"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7F849137"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1BC3F407"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47756C8F"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7ED296BE"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r>
      <w:tr w:rsidR="006B2EC1" w14:paraId="2F17CB94" w14:textId="77777777" w:rsidTr="0047688D">
        <w:tc>
          <w:tcPr>
            <w:tcW w:w="0" w:type="auto"/>
            <w:shd w:val="clear" w:color="auto" w:fill="auto"/>
          </w:tcPr>
          <w:p w14:paraId="15B6CEE4" w14:textId="77777777" w:rsidR="008C5CFA" w:rsidRPr="00BA47B4" w:rsidRDefault="00E82A60" w:rsidP="00300A01">
            <w:pPr>
              <w:spacing w:before="0" w:after="0"/>
              <w:rPr>
                <w:sz w:val="12"/>
                <w:szCs w:val="12"/>
                <w:lang w:val="fr-BE"/>
              </w:rPr>
            </w:pPr>
            <w:r w:rsidRPr="00BA47B4">
              <w:rPr>
                <w:noProof/>
                <w:sz w:val="12"/>
                <w:szCs w:val="12"/>
                <w:lang w:val="fr-BE"/>
              </w:rPr>
              <w:t>CR08</w:t>
            </w:r>
          </w:p>
        </w:tc>
        <w:tc>
          <w:tcPr>
            <w:tcW w:w="0" w:type="auto"/>
            <w:shd w:val="clear" w:color="auto" w:fill="auto"/>
          </w:tcPr>
          <w:p w14:paraId="212BC1CB" w14:textId="77777777" w:rsidR="008C5CFA" w:rsidRPr="00BA47B4" w:rsidRDefault="00E82A60" w:rsidP="00300A01">
            <w:pPr>
              <w:spacing w:before="0" w:after="0"/>
              <w:rPr>
                <w:sz w:val="12"/>
                <w:szCs w:val="12"/>
                <w:lang w:val="fr-BE"/>
              </w:rPr>
            </w:pPr>
            <w:r w:rsidRPr="00BA47B4">
              <w:rPr>
                <w:noProof/>
                <w:sz w:val="12"/>
                <w:szCs w:val="12"/>
                <w:lang w:val="fr-BE"/>
              </w:rPr>
              <w:t>uczestnicy powyżej 54 roku życia, pracujący, łącznie z prowadzącymi działalność na własny rachunek, sześć miesięcy po opuszczeniu programu</w:t>
            </w:r>
          </w:p>
        </w:tc>
        <w:tc>
          <w:tcPr>
            <w:tcW w:w="0" w:type="auto"/>
            <w:shd w:val="clear" w:color="auto" w:fill="auto"/>
          </w:tcPr>
          <w:p w14:paraId="26B64EBB" w14:textId="77777777" w:rsidR="008C5CFA" w:rsidRPr="00BA47B4" w:rsidRDefault="00E82A60" w:rsidP="00300A01">
            <w:pPr>
              <w:spacing w:before="0" w:after="0"/>
              <w:rPr>
                <w:sz w:val="12"/>
                <w:szCs w:val="12"/>
                <w:lang w:val="fr-BE"/>
              </w:rPr>
            </w:pPr>
            <w:r w:rsidRPr="00BA47B4">
              <w:rPr>
                <w:noProof/>
                <w:sz w:val="12"/>
                <w:szCs w:val="12"/>
                <w:lang w:val="fr-BE"/>
              </w:rPr>
              <w:t>Słabiej rozwinięte</w:t>
            </w:r>
          </w:p>
        </w:tc>
        <w:tc>
          <w:tcPr>
            <w:tcW w:w="0" w:type="auto"/>
          </w:tcPr>
          <w:p w14:paraId="3AF72870"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36D7159F"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746552CB"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6E26345F"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4AB41FD1"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7B355FC7"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49A840BD"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56C87EC8"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64B49C9D"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7FE92AB1"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r>
      <w:tr w:rsidR="006B2EC1" w14:paraId="752968B9" w14:textId="77777777" w:rsidTr="0047688D">
        <w:tc>
          <w:tcPr>
            <w:tcW w:w="0" w:type="auto"/>
            <w:shd w:val="clear" w:color="auto" w:fill="auto"/>
          </w:tcPr>
          <w:p w14:paraId="3EE9A93C" w14:textId="77777777" w:rsidR="008C5CFA" w:rsidRPr="00BA47B4" w:rsidRDefault="00E82A60" w:rsidP="00300A01">
            <w:pPr>
              <w:spacing w:before="0" w:after="0"/>
              <w:rPr>
                <w:sz w:val="12"/>
                <w:szCs w:val="12"/>
                <w:lang w:val="fr-BE"/>
              </w:rPr>
            </w:pPr>
            <w:r w:rsidRPr="00BA47B4">
              <w:rPr>
                <w:noProof/>
                <w:sz w:val="12"/>
                <w:szCs w:val="12"/>
                <w:lang w:val="fr-BE"/>
              </w:rPr>
              <w:t>CR09</w:t>
            </w:r>
          </w:p>
        </w:tc>
        <w:tc>
          <w:tcPr>
            <w:tcW w:w="0" w:type="auto"/>
            <w:shd w:val="clear" w:color="auto" w:fill="auto"/>
          </w:tcPr>
          <w:p w14:paraId="250E2CAE" w14:textId="77777777" w:rsidR="008C5CFA" w:rsidRPr="00BA47B4" w:rsidRDefault="00E82A60" w:rsidP="00300A01">
            <w:pPr>
              <w:spacing w:before="0" w:after="0"/>
              <w:rPr>
                <w:sz w:val="12"/>
                <w:szCs w:val="12"/>
                <w:lang w:val="fr-BE"/>
              </w:rPr>
            </w:pPr>
            <w:r w:rsidRPr="00BA47B4">
              <w:rPr>
                <w:noProof/>
                <w:sz w:val="12"/>
                <w:szCs w:val="12"/>
                <w:lang w:val="fr-BE"/>
              </w:rPr>
              <w:t>uczestnicy w niekorzystnej sytuacji społecznej, pracujący, łącznie z prowadzącymi działalność na własny rachunek, sześć miesięcy po opuszczeniu programu</w:t>
            </w:r>
          </w:p>
        </w:tc>
        <w:tc>
          <w:tcPr>
            <w:tcW w:w="0" w:type="auto"/>
            <w:shd w:val="clear" w:color="auto" w:fill="auto"/>
          </w:tcPr>
          <w:p w14:paraId="2BD4C66F" w14:textId="77777777" w:rsidR="008C5CFA" w:rsidRPr="00BA47B4" w:rsidRDefault="00E82A60" w:rsidP="00300A01">
            <w:pPr>
              <w:spacing w:before="0" w:after="0"/>
              <w:rPr>
                <w:sz w:val="12"/>
                <w:szCs w:val="12"/>
                <w:lang w:val="fr-BE"/>
              </w:rPr>
            </w:pPr>
            <w:r w:rsidRPr="00BA47B4">
              <w:rPr>
                <w:noProof/>
                <w:sz w:val="12"/>
                <w:szCs w:val="12"/>
                <w:lang w:val="fr-BE"/>
              </w:rPr>
              <w:t>Słabiej rozwinięte</w:t>
            </w:r>
          </w:p>
        </w:tc>
        <w:tc>
          <w:tcPr>
            <w:tcW w:w="0" w:type="auto"/>
          </w:tcPr>
          <w:p w14:paraId="1CCD6525"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0EAE0799" w14:textId="77777777" w:rsidR="008C5CFA" w:rsidRPr="00BA47B4" w:rsidRDefault="00E82A60" w:rsidP="00300A01">
            <w:pPr>
              <w:spacing w:before="0" w:after="0"/>
              <w:jc w:val="right"/>
              <w:rPr>
                <w:sz w:val="12"/>
                <w:szCs w:val="12"/>
                <w:lang w:val="fr-BE"/>
              </w:rPr>
            </w:pPr>
            <w:r w:rsidRPr="00BA47B4">
              <w:rPr>
                <w:noProof/>
                <w:sz w:val="12"/>
                <w:szCs w:val="12"/>
                <w:lang w:val="fr-BE"/>
              </w:rPr>
              <w:t>3,00</w:t>
            </w:r>
          </w:p>
        </w:tc>
        <w:tc>
          <w:tcPr>
            <w:tcW w:w="0" w:type="auto"/>
          </w:tcPr>
          <w:p w14:paraId="4566332D"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7CC620D5"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57E68343"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41469328"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4B883C00"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44729701"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7B17D461"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5C3B9754"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r>
    </w:tbl>
    <w:p w14:paraId="50A38109" w14:textId="77777777" w:rsidR="008C5CFA" w:rsidRPr="00530285" w:rsidRDefault="008C5CFA" w:rsidP="00300A01">
      <w:pPr>
        <w:keepNext/>
        <w:spacing w:before="0" w:after="0"/>
        <w:rPr>
          <w:sz w:val="20"/>
          <w:szCs w:val="20"/>
        </w:rPr>
      </w:pPr>
    </w:p>
    <w:p w14:paraId="2B9A0B9D" w14:textId="77777777" w:rsidR="008C5CFA" w:rsidRDefault="00E82A60" w:rsidP="00300A01">
      <w:pPr>
        <w:spacing w:before="0" w:after="0"/>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5"/>
        <w:gridCol w:w="13309"/>
      </w:tblGrid>
      <w:tr w:rsidR="006B2EC1" w14:paraId="5DF69FFB" w14:textId="77777777" w:rsidTr="0047688D">
        <w:tc>
          <w:tcPr>
            <w:tcW w:w="0" w:type="auto"/>
            <w:shd w:val="clear" w:color="auto" w:fill="auto"/>
          </w:tcPr>
          <w:p w14:paraId="4FBC5B9A" w14:textId="77777777" w:rsidR="008C5CFA" w:rsidRPr="002124FC" w:rsidRDefault="00E82A60" w:rsidP="00300A01">
            <w:pPr>
              <w:spacing w:before="0" w:after="0"/>
              <w:rPr>
                <w:sz w:val="20"/>
                <w:szCs w:val="20"/>
                <w:lang w:val="fr-BE"/>
              </w:rPr>
            </w:pPr>
            <w:r>
              <w:rPr>
                <w:lang w:val="fr-BE"/>
              </w:rPr>
              <w:lastRenderedPageBreak/>
              <w:br w:type="page"/>
            </w:r>
            <w:r>
              <w:rPr>
                <w:lang w:val="fr-BE"/>
              </w:rPr>
              <w:br w:type="page"/>
            </w:r>
            <w:r w:rsidRPr="002124FC">
              <w:rPr>
                <w:noProof/>
                <w:sz w:val="20"/>
                <w:szCs w:val="20"/>
                <w:lang w:val="fr-BE"/>
              </w:rPr>
              <w:t>Oś priorytetowa</w:t>
            </w:r>
          </w:p>
        </w:tc>
        <w:tc>
          <w:tcPr>
            <w:tcW w:w="0" w:type="auto"/>
            <w:shd w:val="clear" w:color="auto" w:fill="auto"/>
          </w:tcPr>
          <w:p w14:paraId="08130D6C" w14:textId="77777777" w:rsidR="008C5CFA" w:rsidRPr="002124FC" w:rsidRDefault="00E82A60" w:rsidP="00300A01">
            <w:pPr>
              <w:spacing w:before="0" w:after="0"/>
              <w:rPr>
                <w:sz w:val="20"/>
                <w:szCs w:val="20"/>
                <w:lang w:val="fr-BE"/>
              </w:rPr>
            </w:pPr>
            <w:r w:rsidRPr="002124FC">
              <w:rPr>
                <w:noProof/>
                <w:sz w:val="20"/>
                <w:szCs w:val="20"/>
                <w:lang w:val="fr-BE"/>
              </w:rPr>
              <w:t>8</w:t>
            </w:r>
            <w:r w:rsidRPr="002124FC">
              <w:rPr>
                <w:sz w:val="20"/>
                <w:szCs w:val="20"/>
                <w:lang w:val="fr-BE"/>
              </w:rPr>
              <w:t xml:space="preserve"> - </w:t>
            </w:r>
            <w:r w:rsidRPr="002124FC">
              <w:rPr>
                <w:noProof/>
                <w:sz w:val="20"/>
                <w:szCs w:val="20"/>
                <w:lang w:val="fr-BE"/>
              </w:rPr>
              <w:t>Rozwój edukacji i aktywne społeczeństwo</w:t>
            </w:r>
          </w:p>
        </w:tc>
      </w:tr>
      <w:tr w:rsidR="006B2EC1" w14:paraId="70A451B6" w14:textId="77777777" w:rsidTr="0047688D">
        <w:tc>
          <w:tcPr>
            <w:tcW w:w="0" w:type="auto"/>
            <w:shd w:val="clear" w:color="auto" w:fill="auto"/>
          </w:tcPr>
          <w:p w14:paraId="59643F6B" w14:textId="77777777" w:rsidR="008C5CFA" w:rsidRPr="002124FC" w:rsidRDefault="00E82A60"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14:paraId="75E1C089" w14:textId="77777777" w:rsidR="008C5CFA" w:rsidRPr="002124FC" w:rsidRDefault="00E82A60" w:rsidP="00300A01">
            <w:pPr>
              <w:spacing w:before="0" w:after="0"/>
              <w:rPr>
                <w:sz w:val="20"/>
                <w:szCs w:val="20"/>
                <w:lang w:val="fr-BE"/>
              </w:rPr>
            </w:pPr>
            <w:r w:rsidRPr="002124FC">
              <w:rPr>
                <w:noProof/>
                <w:sz w:val="20"/>
                <w:szCs w:val="20"/>
                <w:lang w:val="fr-BE"/>
              </w:rPr>
              <w:t>8iv</w:t>
            </w:r>
            <w:r w:rsidRPr="002124FC">
              <w:rPr>
                <w:sz w:val="20"/>
                <w:szCs w:val="20"/>
                <w:lang w:val="fr-BE"/>
              </w:rPr>
              <w:t xml:space="preserve"> - </w:t>
            </w:r>
            <w:r w:rsidRPr="002124FC">
              <w:rPr>
                <w:noProof/>
                <w:sz w:val="20"/>
                <w:szCs w:val="20"/>
                <w:lang w:val="fr-BE"/>
              </w:rPr>
              <w:t>Równość mężczyzn i kobiet we wszystkich dziedzinach, w tym dostęp do zatrudnienia, rozwój kariery, godzenie życia zawodowego i prywatnego oraz promowanie równości wynagrodzeń za taką samą pracę</w:t>
            </w:r>
          </w:p>
        </w:tc>
      </w:tr>
    </w:tbl>
    <w:p w14:paraId="6ADF9C64" w14:textId="77777777" w:rsidR="008C5CFA" w:rsidRPr="00920B4D" w:rsidRDefault="008C5CFA" w:rsidP="00300A01">
      <w:pPr>
        <w:spacing w:before="0" w:after="0"/>
        <w:rPr>
          <w:lang w:val="fr-BE"/>
        </w:rPr>
      </w:pPr>
    </w:p>
    <w:p w14:paraId="1F7F8A1D" w14:textId="77777777" w:rsidR="008C5CFA" w:rsidRPr="008E457C" w:rsidRDefault="00E82A60" w:rsidP="005272C2">
      <w:pPr>
        <w:pStyle w:val="Nagwek2"/>
        <w:spacing w:before="0" w:after="0"/>
        <w:rPr>
          <w:lang w:val="fr-BE"/>
        </w:rPr>
      </w:pPr>
      <w:bookmarkStart w:id="48" w:name="_Toc46391732"/>
      <w:r w:rsidRPr="008E457C">
        <w:rPr>
          <w:noProof/>
          <w:lang w:val="fr-BE"/>
        </w:rPr>
        <w:t>Tabela 2C</w:t>
      </w:r>
      <w:r w:rsidRPr="008E457C">
        <w:rPr>
          <w:lang w:val="fr-BE"/>
        </w:rPr>
        <w:t xml:space="preserve"> : </w:t>
      </w:r>
      <w:r w:rsidRPr="008E457C">
        <w:rPr>
          <w:noProof/>
          <w:lang w:val="fr-BE"/>
        </w:rPr>
        <w:t>Specyficzne dla programu wskaźniki rezultatu dla EFS oraz Inicjatywy na rzecz zatrudnienia ludzi młodych</w:t>
      </w:r>
      <w:bookmarkEnd w:id="48"/>
    </w:p>
    <w:p w14:paraId="7AE22FA8"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64"/>
        <w:gridCol w:w="3681"/>
        <w:gridCol w:w="707"/>
        <w:gridCol w:w="961"/>
        <w:gridCol w:w="1643"/>
        <w:gridCol w:w="1470"/>
        <w:gridCol w:w="448"/>
        <w:gridCol w:w="564"/>
        <w:gridCol w:w="453"/>
        <w:gridCol w:w="448"/>
        <w:gridCol w:w="564"/>
        <w:gridCol w:w="453"/>
        <w:gridCol w:w="448"/>
        <w:gridCol w:w="564"/>
        <w:gridCol w:w="453"/>
        <w:gridCol w:w="448"/>
        <w:gridCol w:w="564"/>
        <w:gridCol w:w="453"/>
        <w:gridCol w:w="598"/>
      </w:tblGrid>
      <w:tr w:rsidR="006B2EC1" w14:paraId="4D92F968" w14:textId="77777777" w:rsidTr="0047688D">
        <w:trPr>
          <w:tblHeader/>
        </w:trPr>
        <w:tc>
          <w:tcPr>
            <w:tcW w:w="0" w:type="auto"/>
            <w:shd w:val="clear" w:color="auto" w:fill="auto"/>
          </w:tcPr>
          <w:p w14:paraId="524B37EA" w14:textId="77777777" w:rsidR="008C5CFA" w:rsidRPr="00601E29" w:rsidRDefault="00E82A60" w:rsidP="00300A01">
            <w:pPr>
              <w:spacing w:before="0" w:after="0"/>
              <w:rPr>
                <w:b/>
                <w:sz w:val="10"/>
                <w:szCs w:val="10"/>
                <w:lang w:val="fr-BE"/>
              </w:rPr>
            </w:pPr>
            <w:r w:rsidRPr="00601E29">
              <w:rPr>
                <w:b/>
                <w:noProof/>
                <w:sz w:val="10"/>
                <w:szCs w:val="10"/>
                <w:lang w:val="fr-BE"/>
              </w:rPr>
              <w:t>ID</w:t>
            </w:r>
          </w:p>
        </w:tc>
        <w:tc>
          <w:tcPr>
            <w:tcW w:w="0" w:type="auto"/>
            <w:shd w:val="clear" w:color="auto" w:fill="auto"/>
          </w:tcPr>
          <w:p w14:paraId="2AACFDD3" w14:textId="77777777" w:rsidR="008C5CFA" w:rsidRPr="00601E29" w:rsidRDefault="00E82A60" w:rsidP="00300A01">
            <w:pPr>
              <w:spacing w:before="0" w:after="0"/>
              <w:rPr>
                <w:b/>
                <w:sz w:val="10"/>
                <w:szCs w:val="10"/>
                <w:lang w:val="fr-BE"/>
              </w:rPr>
            </w:pPr>
            <w:r w:rsidRPr="00601E29">
              <w:rPr>
                <w:b/>
                <w:noProof/>
                <w:sz w:val="10"/>
                <w:szCs w:val="10"/>
                <w:lang w:val="fr-BE"/>
              </w:rPr>
              <w:t>Wskaźnik</w:t>
            </w:r>
          </w:p>
        </w:tc>
        <w:tc>
          <w:tcPr>
            <w:tcW w:w="0" w:type="auto"/>
            <w:shd w:val="clear" w:color="auto" w:fill="auto"/>
          </w:tcPr>
          <w:p w14:paraId="49925E1F" w14:textId="77777777" w:rsidR="008C5CFA" w:rsidRPr="00601E29" w:rsidRDefault="00E82A60" w:rsidP="00300A01">
            <w:pPr>
              <w:spacing w:before="0" w:after="0"/>
              <w:rPr>
                <w:b/>
                <w:sz w:val="10"/>
                <w:szCs w:val="10"/>
                <w:lang w:val="fr-BE"/>
              </w:rPr>
            </w:pPr>
            <w:r w:rsidRPr="00601E29">
              <w:rPr>
                <w:b/>
                <w:noProof/>
                <w:sz w:val="10"/>
                <w:szCs w:val="10"/>
                <w:lang w:val="fr-BE"/>
              </w:rPr>
              <w:t>Kategoria regionu</w:t>
            </w:r>
          </w:p>
        </w:tc>
        <w:tc>
          <w:tcPr>
            <w:tcW w:w="0" w:type="auto"/>
            <w:shd w:val="clear" w:color="auto" w:fill="auto"/>
          </w:tcPr>
          <w:p w14:paraId="0F319645" w14:textId="77777777" w:rsidR="008C5CFA" w:rsidRPr="00601E29" w:rsidRDefault="00E82A60" w:rsidP="00300A01">
            <w:pPr>
              <w:spacing w:before="0" w:after="0"/>
              <w:rPr>
                <w:b/>
                <w:sz w:val="10"/>
                <w:szCs w:val="10"/>
                <w:lang w:val="fr-BE"/>
              </w:rPr>
            </w:pPr>
            <w:r w:rsidRPr="00785F4A">
              <w:rPr>
                <w:b/>
                <w:noProof/>
                <w:sz w:val="10"/>
                <w:szCs w:val="10"/>
                <w:lang w:val="fr-BE"/>
              </w:rPr>
              <w:t>Jednostka pomiaru wskaźnika</w:t>
            </w:r>
          </w:p>
        </w:tc>
        <w:tc>
          <w:tcPr>
            <w:tcW w:w="0" w:type="auto"/>
            <w:shd w:val="clear" w:color="auto" w:fill="auto"/>
          </w:tcPr>
          <w:p w14:paraId="7C5E81B8" w14:textId="77777777" w:rsidR="008C5CFA" w:rsidRPr="00601E29" w:rsidRDefault="00E82A60" w:rsidP="00300A01">
            <w:pPr>
              <w:spacing w:before="0" w:after="0"/>
              <w:rPr>
                <w:b/>
                <w:sz w:val="10"/>
                <w:szCs w:val="10"/>
                <w:lang w:val="fr-BE"/>
              </w:rPr>
            </w:pPr>
            <w:r w:rsidRPr="00601E29">
              <w:rPr>
                <w:b/>
                <w:noProof/>
                <w:sz w:val="10"/>
                <w:szCs w:val="10"/>
                <w:lang w:val="fr-BE"/>
              </w:rPr>
              <w:t>Wskaźnik produktu stosowany jako podstawa do ustalania celów</w:t>
            </w:r>
          </w:p>
        </w:tc>
        <w:tc>
          <w:tcPr>
            <w:tcW w:w="0" w:type="auto"/>
            <w:shd w:val="clear" w:color="auto" w:fill="auto"/>
          </w:tcPr>
          <w:p w14:paraId="50A379F0" w14:textId="77777777" w:rsidR="008C5CFA" w:rsidRPr="00601E29" w:rsidRDefault="00E82A60" w:rsidP="00300A01">
            <w:pPr>
              <w:spacing w:before="0" w:after="0"/>
              <w:rPr>
                <w:b/>
                <w:sz w:val="10"/>
                <w:szCs w:val="10"/>
                <w:lang w:val="fr-BE"/>
              </w:rPr>
            </w:pPr>
            <w:r w:rsidRPr="00601E29">
              <w:rPr>
                <w:b/>
                <w:noProof/>
                <w:sz w:val="10"/>
                <w:szCs w:val="10"/>
                <w:lang w:val="fr-BE"/>
              </w:rPr>
              <w:t>Jednostka pomiaru dla wartości bazowej i docelowej</w:t>
            </w:r>
          </w:p>
        </w:tc>
        <w:tc>
          <w:tcPr>
            <w:tcW w:w="0" w:type="auto"/>
            <w:gridSpan w:val="3"/>
            <w:shd w:val="clear" w:color="auto" w:fill="auto"/>
          </w:tcPr>
          <w:p w14:paraId="2A89BD09" w14:textId="77777777" w:rsidR="008C5CFA" w:rsidRPr="00601E29" w:rsidRDefault="00E82A60" w:rsidP="00300A01">
            <w:pPr>
              <w:spacing w:before="0" w:after="0"/>
              <w:jc w:val="center"/>
              <w:rPr>
                <w:b/>
                <w:sz w:val="10"/>
                <w:szCs w:val="10"/>
                <w:lang w:val="fr-BE"/>
              </w:rPr>
            </w:pPr>
            <w:r w:rsidRPr="00601E29">
              <w:rPr>
                <w:b/>
                <w:noProof/>
                <w:sz w:val="10"/>
                <w:szCs w:val="10"/>
                <w:lang w:val="fr-BE"/>
              </w:rPr>
              <w:t>Wartość docelowa (2023)</w:t>
            </w:r>
          </w:p>
        </w:tc>
        <w:tc>
          <w:tcPr>
            <w:tcW w:w="0" w:type="auto"/>
            <w:gridSpan w:val="3"/>
            <w:shd w:val="clear" w:color="auto" w:fill="auto"/>
          </w:tcPr>
          <w:p w14:paraId="0125DBBD" w14:textId="77777777" w:rsidR="008C5CFA" w:rsidRPr="00601E29" w:rsidRDefault="00E82A60" w:rsidP="00300A01">
            <w:pPr>
              <w:spacing w:before="0" w:after="0"/>
              <w:jc w:val="center"/>
              <w:rPr>
                <w:b/>
                <w:sz w:val="10"/>
                <w:szCs w:val="10"/>
                <w:lang w:val="fr-BE"/>
              </w:rPr>
            </w:pPr>
            <w:r w:rsidRPr="00601E29">
              <w:rPr>
                <w:b/>
                <w:noProof/>
                <w:sz w:val="10"/>
                <w:szCs w:val="10"/>
                <w:lang w:val="fr-BE"/>
              </w:rPr>
              <w:t>Wskaźnik osiągnięć</w:t>
            </w:r>
          </w:p>
        </w:tc>
        <w:tc>
          <w:tcPr>
            <w:tcW w:w="0" w:type="auto"/>
            <w:gridSpan w:val="7"/>
            <w:shd w:val="clear" w:color="auto" w:fill="auto"/>
          </w:tcPr>
          <w:p w14:paraId="246B907E" w14:textId="77777777" w:rsidR="008C5CFA" w:rsidRPr="00601E29" w:rsidRDefault="00E82A60" w:rsidP="00300A01">
            <w:pPr>
              <w:spacing w:before="0" w:after="0"/>
              <w:jc w:val="center"/>
              <w:rPr>
                <w:b/>
                <w:sz w:val="10"/>
                <w:szCs w:val="10"/>
                <w:lang w:val="fr-BE"/>
              </w:rPr>
            </w:pPr>
            <w:r>
              <w:rPr>
                <w:b/>
                <w:sz w:val="10"/>
                <w:szCs w:val="10"/>
                <w:lang w:val="fr-BE"/>
              </w:rPr>
              <w:t>2019</w:t>
            </w:r>
          </w:p>
        </w:tc>
      </w:tr>
      <w:tr w:rsidR="006B2EC1" w14:paraId="0D9261CF" w14:textId="77777777" w:rsidTr="0047688D">
        <w:trPr>
          <w:tblHeader/>
        </w:trPr>
        <w:tc>
          <w:tcPr>
            <w:tcW w:w="0" w:type="auto"/>
            <w:shd w:val="clear" w:color="auto" w:fill="auto"/>
          </w:tcPr>
          <w:p w14:paraId="1A76E2A3" w14:textId="77777777" w:rsidR="008C5CFA" w:rsidRPr="00601E29" w:rsidRDefault="008C5CFA" w:rsidP="00300A01">
            <w:pPr>
              <w:spacing w:before="0" w:after="0"/>
              <w:rPr>
                <w:b/>
                <w:sz w:val="10"/>
                <w:szCs w:val="10"/>
                <w:lang w:val="fr-BE"/>
              </w:rPr>
            </w:pPr>
          </w:p>
        </w:tc>
        <w:tc>
          <w:tcPr>
            <w:tcW w:w="0" w:type="auto"/>
            <w:shd w:val="clear" w:color="auto" w:fill="auto"/>
          </w:tcPr>
          <w:p w14:paraId="5DE14CE6" w14:textId="77777777" w:rsidR="008C5CFA" w:rsidRPr="00601E29" w:rsidRDefault="008C5CFA" w:rsidP="00300A01">
            <w:pPr>
              <w:spacing w:before="0" w:after="0"/>
              <w:rPr>
                <w:b/>
                <w:sz w:val="10"/>
                <w:szCs w:val="10"/>
                <w:lang w:val="fr-BE"/>
              </w:rPr>
            </w:pPr>
          </w:p>
        </w:tc>
        <w:tc>
          <w:tcPr>
            <w:tcW w:w="0" w:type="auto"/>
            <w:shd w:val="clear" w:color="auto" w:fill="auto"/>
          </w:tcPr>
          <w:p w14:paraId="274FEA8C" w14:textId="77777777" w:rsidR="008C5CFA" w:rsidRPr="00601E29" w:rsidRDefault="008C5CFA" w:rsidP="00300A01">
            <w:pPr>
              <w:spacing w:before="0" w:after="0"/>
              <w:rPr>
                <w:b/>
                <w:sz w:val="10"/>
                <w:szCs w:val="10"/>
                <w:lang w:val="fr-BE"/>
              </w:rPr>
            </w:pPr>
          </w:p>
        </w:tc>
        <w:tc>
          <w:tcPr>
            <w:tcW w:w="0" w:type="auto"/>
            <w:shd w:val="clear" w:color="auto" w:fill="auto"/>
          </w:tcPr>
          <w:p w14:paraId="3FE5D247" w14:textId="77777777" w:rsidR="008C5CFA" w:rsidRPr="00601E29" w:rsidRDefault="008C5CFA" w:rsidP="00300A01">
            <w:pPr>
              <w:spacing w:before="0" w:after="0"/>
              <w:rPr>
                <w:b/>
                <w:sz w:val="10"/>
                <w:szCs w:val="10"/>
                <w:lang w:val="fr-BE"/>
              </w:rPr>
            </w:pPr>
          </w:p>
        </w:tc>
        <w:tc>
          <w:tcPr>
            <w:tcW w:w="0" w:type="auto"/>
            <w:shd w:val="clear" w:color="auto" w:fill="auto"/>
          </w:tcPr>
          <w:p w14:paraId="6EC0CA54" w14:textId="77777777" w:rsidR="008C5CFA" w:rsidRPr="00601E29" w:rsidRDefault="008C5CFA" w:rsidP="00300A01">
            <w:pPr>
              <w:spacing w:before="0" w:after="0"/>
              <w:rPr>
                <w:b/>
                <w:sz w:val="10"/>
                <w:szCs w:val="10"/>
                <w:lang w:val="fr-BE"/>
              </w:rPr>
            </w:pPr>
          </w:p>
        </w:tc>
        <w:tc>
          <w:tcPr>
            <w:tcW w:w="0" w:type="auto"/>
            <w:shd w:val="clear" w:color="auto" w:fill="auto"/>
          </w:tcPr>
          <w:p w14:paraId="751EDEDD" w14:textId="77777777" w:rsidR="008C5CFA" w:rsidRPr="00601E29" w:rsidRDefault="008C5CFA" w:rsidP="00300A01">
            <w:pPr>
              <w:spacing w:before="0" w:after="0"/>
              <w:rPr>
                <w:b/>
                <w:sz w:val="10"/>
                <w:szCs w:val="10"/>
                <w:lang w:val="fr-BE"/>
              </w:rPr>
            </w:pPr>
          </w:p>
        </w:tc>
        <w:tc>
          <w:tcPr>
            <w:tcW w:w="0" w:type="auto"/>
            <w:shd w:val="clear" w:color="auto" w:fill="auto"/>
          </w:tcPr>
          <w:p w14:paraId="3C58C949" w14:textId="77777777" w:rsidR="008C5CFA" w:rsidRPr="00601E29" w:rsidRDefault="008C5CFA" w:rsidP="00300A01">
            <w:pPr>
              <w:spacing w:before="0" w:after="0"/>
              <w:jc w:val="center"/>
              <w:rPr>
                <w:b/>
                <w:sz w:val="10"/>
                <w:szCs w:val="10"/>
                <w:lang w:val="fr-BE"/>
              </w:rPr>
            </w:pPr>
          </w:p>
        </w:tc>
        <w:tc>
          <w:tcPr>
            <w:tcW w:w="0" w:type="auto"/>
            <w:shd w:val="clear" w:color="auto" w:fill="auto"/>
          </w:tcPr>
          <w:p w14:paraId="352EB8E2" w14:textId="77777777" w:rsidR="008C5CFA" w:rsidRPr="00601E29" w:rsidRDefault="008C5CFA" w:rsidP="00300A01">
            <w:pPr>
              <w:spacing w:before="0" w:after="0"/>
              <w:jc w:val="center"/>
              <w:rPr>
                <w:b/>
                <w:sz w:val="10"/>
                <w:szCs w:val="10"/>
                <w:lang w:val="fr-BE"/>
              </w:rPr>
            </w:pPr>
          </w:p>
        </w:tc>
        <w:tc>
          <w:tcPr>
            <w:tcW w:w="0" w:type="auto"/>
            <w:shd w:val="clear" w:color="auto" w:fill="auto"/>
          </w:tcPr>
          <w:p w14:paraId="5C7774E4" w14:textId="77777777" w:rsidR="008C5CFA" w:rsidRPr="00601E29" w:rsidRDefault="008C5CFA" w:rsidP="00300A01">
            <w:pPr>
              <w:spacing w:before="0" w:after="0"/>
              <w:jc w:val="center"/>
              <w:rPr>
                <w:b/>
                <w:sz w:val="10"/>
                <w:szCs w:val="10"/>
                <w:lang w:val="fr-BE"/>
              </w:rPr>
            </w:pPr>
          </w:p>
        </w:tc>
        <w:tc>
          <w:tcPr>
            <w:tcW w:w="0" w:type="auto"/>
            <w:shd w:val="clear" w:color="auto" w:fill="auto"/>
          </w:tcPr>
          <w:p w14:paraId="6DCC30E8" w14:textId="77777777" w:rsidR="008C5CFA" w:rsidRPr="00601E29" w:rsidRDefault="008C5CFA" w:rsidP="00300A01">
            <w:pPr>
              <w:spacing w:before="0" w:after="0"/>
              <w:jc w:val="center"/>
              <w:rPr>
                <w:b/>
                <w:sz w:val="10"/>
                <w:szCs w:val="10"/>
                <w:lang w:val="fr-BE"/>
              </w:rPr>
            </w:pPr>
          </w:p>
        </w:tc>
        <w:tc>
          <w:tcPr>
            <w:tcW w:w="0" w:type="auto"/>
            <w:shd w:val="clear" w:color="auto" w:fill="auto"/>
          </w:tcPr>
          <w:p w14:paraId="4D7D2B91" w14:textId="77777777" w:rsidR="008C5CFA" w:rsidRPr="00601E29" w:rsidRDefault="008C5CFA" w:rsidP="00300A01">
            <w:pPr>
              <w:spacing w:before="0" w:after="0"/>
              <w:jc w:val="center"/>
              <w:rPr>
                <w:b/>
                <w:sz w:val="10"/>
                <w:szCs w:val="10"/>
                <w:lang w:val="fr-BE"/>
              </w:rPr>
            </w:pPr>
          </w:p>
        </w:tc>
        <w:tc>
          <w:tcPr>
            <w:tcW w:w="0" w:type="auto"/>
            <w:shd w:val="clear" w:color="auto" w:fill="auto"/>
          </w:tcPr>
          <w:p w14:paraId="55FD3A1C" w14:textId="77777777" w:rsidR="008C5CFA" w:rsidRPr="00601E29" w:rsidRDefault="008C5CFA" w:rsidP="00300A01">
            <w:pPr>
              <w:spacing w:before="0" w:after="0"/>
              <w:jc w:val="center"/>
              <w:rPr>
                <w:b/>
                <w:sz w:val="10"/>
                <w:szCs w:val="10"/>
                <w:lang w:val="fr-BE"/>
              </w:rPr>
            </w:pPr>
          </w:p>
        </w:tc>
        <w:tc>
          <w:tcPr>
            <w:tcW w:w="0" w:type="auto"/>
            <w:gridSpan w:val="3"/>
            <w:shd w:val="clear" w:color="auto" w:fill="auto"/>
          </w:tcPr>
          <w:p w14:paraId="6EAB153E" w14:textId="77777777" w:rsidR="008C5CFA" w:rsidRPr="00601E29" w:rsidRDefault="00E82A60" w:rsidP="00300A01">
            <w:pPr>
              <w:spacing w:before="0" w:after="0"/>
              <w:jc w:val="center"/>
              <w:rPr>
                <w:b/>
                <w:sz w:val="10"/>
                <w:szCs w:val="10"/>
                <w:lang w:val="fr-BE"/>
              </w:rPr>
            </w:pPr>
            <w:r w:rsidRPr="00601E29">
              <w:rPr>
                <w:b/>
                <w:noProof/>
                <w:sz w:val="10"/>
                <w:szCs w:val="10"/>
                <w:lang w:val="fr-BE"/>
              </w:rPr>
              <w:t>Łącznie</w:t>
            </w:r>
          </w:p>
        </w:tc>
        <w:tc>
          <w:tcPr>
            <w:tcW w:w="0" w:type="auto"/>
            <w:gridSpan w:val="3"/>
          </w:tcPr>
          <w:p w14:paraId="345AD9E5" w14:textId="77777777" w:rsidR="008C5CFA" w:rsidRPr="00601E29" w:rsidRDefault="00E82A60" w:rsidP="00300A01">
            <w:pPr>
              <w:spacing w:before="0" w:after="0"/>
              <w:jc w:val="center"/>
              <w:rPr>
                <w:b/>
                <w:sz w:val="10"/>
                <w:szCs w:val="10"/>
                <w:lang w:val="fr-BE"/>
              </w:rPr>
            </w:pPr>
            <w:r w:rsidRPr="00601E29">
              <w:rPr>
                <w:b/>
                <w:noProof/>
                <w:sz w:val="10"/>
                <w:szCs w:val="10"/>
                <w:lang w:val="fr-BE"/>
              </w:rPr>
              <w:t>Łącznie w roku</w:t>
            </w:r>
          </w:p>
        </w:tc>
        <w:tc>
          <w:tcPr>
            <w:tcW w:w="0" w:type="auto"/>
          </w:tcPr>
          <w:p w14:paraId="1C65EF19" w14:textId="77777777" w:rsidR="008C5CFA" w:rsidRPr="00601E29" w:rsidRDefault="00E82A60" w:rsidP="00300A01">
            <w:pPr>
              <w:spacing w:before="0" w:after="0"/>
              <w:jc w:val="center"/>
              <w:rPr>
                <w:b/>
                <w:sz w:val="10"/>
                <w:szCs w:val="10"/>
                <w:lang w:val="fr-BE"/>
              </w:rPr>
            </w:pPr>
            <w:r w:rsidRPr="00601E29">
              <w:rPr>
                <w:b/>
                <w:noProof/>
                <w:sz w:val="10"/>
                <w:szCs w:val="10"/>
                <w:lang w:val="fr-BE"/>
              </w:rPr>
              <w:t>Jakościowe</w:t>
            </w:r>
          </w:p>
        </w:tc>
      </w:tr>
      <w:tr w:rsidR="006B2EC1" w14:paraId="128E2281" w14:textId="77777777" w:rsidTr="0047688D">
        <w:trPr>
          <w:tblHeader/>
        </w:trPr>
        <w:tc>
          <w:tcPr>
            <w:tcW w:w="0" w:type="auto"/>
            <w:shd w:val="clear" w:color="auto" w:fill="auto"/>
          </w:tcPr>
          <w:p w14:paraId="43BEFFDE" w14:textId="77777777" w:rsidR="008C5CFA" w:rsidRPr="00601E29" w:rsidRDefault="008C5CFA" w:rsidP="00300A01">
            <w:pPr>
              <w:spacing w:before="0" w:after="0"/>
              <w:rPr>
                <w:b/>
                <w:sz w:val="10"/>
                <w:szCs w:val="10"/>
                <w:lang w:val="fr-BE"/>
              </w:rPr>
            </w:pPr>
          </w:p>
        </w:tc>
        <w:tc>
          <w:tcPr>
            <w:tcW w:w="0" w:type="auto"/>
            <w:shd w:val="clear" w:color="auto" w:fill="auto"/>
          </w:tcPr>
          <w:p w14:paraId="116AADEF" w14:textId="77777777" w:rsidR="008C5CFA" w:rsidRPr="00601E29" w:rsidRDefault="008C5CFA" w:rsidP="00300A01">
            <w:pPr>
              <w:spacing w:before="0" w:after="0"/>
              <w:rPr>
                <w:b/>
                <w:sz w:val="10"/>
                <w:szCs w:val="10"/>
                <w:lang w:val="fr-BE"/>
              </w:rPr>
            </w:pPr>
          </w:p>
        </w:tc>
        <w:tc>
          <w:tcPr>
            <w:tcW w:w="0" w:type="auto"/>
            <w:shd w:val="clear" w:color="auto" w:fill="auto"/>
          </w:tcPr>
          <w:p w14:paraId="449F6BD6" w14:textId="77777777" w:rsidR="008C5CFA" w:rsidRPr="00601E29" w:rsidRDefault="008C5CFA" w:rsidP="00300A01">
            <w:pPr>
              <w:spacing w:before="0" w:after="0"/>
              <w:rPr>
                <w:b/>
                <w:sz w:val="10"/>
                <w:szCs w:val="10"/>
                <w:lang w:val="fr-BE"/>
              </w:rPr>
            </w:pPr>
          </w:p>
        </w:tc>
        <w:tc>
          <w:tcPr>
            <w:tcW w:w="0" w:type="auto"/>
            <w:shd w:val="clear" w:color="auto" w:fill="auto"/>
          </w:tcPr>
          <w:p w14:paraId="32F8CB8E" w14:textId="77777777" w:rsidR="008C5CFA" w:rsidRPr="00601E29" w:rsidRDefault="008C5CFA" w:rsidP="00300A01">
            <w:pPr>
              <w:spacing w:before="0" w:after="0"/>
              <w:rPr>
                <w:b/>
                <w:sz w:val="10"/>
                <w:szCs w:val="10"/>
                <w:lang w:val="fr-BE"/>
              </w:rPr>
            </w:pPr>
          </w:p>
        </w:tc>
        <w:tc>
          <w:tcPr>
            <w:tcW w:w="0" w:type="auto"/>
            <w:shd w:val="clear" w:color="auto" w:fill="auto"/>
          </w:tcPr>
          <w:p w14:paraId="0DA5E61F" w14:textId="77777777" w:rsidR="008C5CFA" w:rsidRPr="00601E29" w:rsidRDefault="008C5CFA" w:rsidP="00300A01">
            <w:pPr>
              <w:spacing w:before="0" w:after="0"/>
              <w:rPr>
                <w:b/>
                <w:sz w:val="10"/>
                <w:szCs w:val="10"/>
                <w:lang w:val="fr-BE"/>
              </w:rPr>
            </w:pPr>
          </w:p>
        </w:tc>
        <w:tc>
          <w:tcPr>
            <w:tcW w:w="0" w:type="auto"/>
            <w:shd w:val="clear" w:color="auto" w:fill="auto"/>
          </w:tcPr>
          <w:p w14:paraId="3079FD71" w14:textId="77777777" w:rsidR="008C5CFA" w:rsidRPr="00601E29" w:rsidRDefault="008C5CFA" w:rsidP="00300A01">
            <w:pPr>
              <w:spacing w:before="0" w:after="0"/>
              <w:rPr>
                <w:b/>
                <w:sz w:val="10"/>
                <w:szCs w:val="10"/>
                <w:lang w:val="fr-BE"/>
              </w:rPr>
            </w:pPr>
          </w:p>
        </w:tc>
        <w:tc>
          <w:tcPr>
            <w:tcW w:w="0" w:type="auto"/>
            <w:shd w:val="clear" w:color="auto" w:fill="auto"/>
          </w:tcPr>
          <w:p w14:paraId="52FCAB25" w14:textId="77777777" w:rsidR="008C5CFA" w:rsidRPr="00601E29" w:rsidRDefault="00E82A60" w:rsidP="00300A01">
            <w:pPr>
              <w:spacing w:before="0" w:after="0"/>
              <w:jc w:val="center"/>
              <w:rPr>
                <w:b/>
                <w:sz w:val="10"/>
                <w:szCs w:val="10"/>
                <w:lang w:val="fr-BE"/>
              </w:rPr>
            </w:pPr>
            <w:r w:rsidRPr="00601E29">
              <w:rPr>
                <w:b/>
                <w:noProof/>
                <w:sz w:val="10"/>
                <w:szCs w:val="10"/>
                <w:lang w:val="fr-BE"/>
              </w:rPr>
              <w:t>Ogółem</w:t>
            </w:r>
          </w:p>
        </w:tc>
        <w:tc>
          <w:tcPr>
            <w:tcW w:w="0" w:type="auto"/>
            <w:shd w:val="clear" w:color="auto" w:fill="auto"/>
          </w:tcPr>
          <w:p w14:paraId="423E9524" w14:textId="77777777" w:rsidR="008C5CFA" w:rsidRPr="00601E29" w:rsidRDefault="00E82A60" w:rsidP="00300A01">
            <w:pPr>
              <w:spacing w:before="0" w:after="0"/>
              <w:jc w:val="center"/>
              <w:rPr>
                <w:b/>
                <w:sz w:val="10"/>
                <w:szCs w:val="10"/>
                <w:lang w:val="fr-BE"/>
              </w:rPr>
            </w:pPr>
            <w:r w:rsidRPr="00601E29">
              <w:rPr>
                <w:b/>
                <w:noProof/>
                <w:sz w:val="10"/>
                <w:szCs w:val="10"/>
                <w:lang w:val="fr-BE"/>
              </w:rPr>
              <w:t>Mężczyźni</w:t>
            </w:r>
          </w:p>
        </w:tc>
        <w:tc>
          <w:tcPr>
            <w:tcW w:w="0" w:type="auto"/>
            <w:shd w:val="clear" w:color="auto" w:fill="auto"/>
          </w:tcPr>
          <w:p w14:paraId="75EC52BA" w14:textId="77777777" w:rsidR="008C5CFA" w:rsidRPr="00601E29" w:rsidRDefault="00E82A60" w:rsidP="00300A01">
            <w:pPr>
              <w:spacing w:before="0" w:after="0"/>
              <w:jc w:val="center"/>
              <w:rPr>
                <w:b/>
                <w:sz w:val="10"/>
                <w:szCs w:val="10"/>
                <w:lang w:val="fr-BE"/>
              </w:rPr>
            </w:pPr>
            <w:r w:rsidRPr="00601E29">
              <w:rPr>
                <w:b/>
                <w:noProof/>
                <w:sz w:val="10"/>
                <w:szCs w:val="10"/>
                <w:lang w:val="fr-BE"/>
              </w:rPr>
              <w:t>Kobiety</w:t>
            </w:r>
          </w:p>
        </w:tc>
        <w:tc>
          <w:tcPr>
            <w:tcW w:w="0" w:type="auto"/>
            <w:shd w:val="clear" w:color="auto" w:fill="auto"/>
          </w:tcPr>
          <w:p w14:paraId="062EA2CF" w14:textId="77777777" w:rsidR="008C5CFA" w:rsidRPr="00601E29" w:rsidRDefault="00E82A60" w:rsidP="00300A01">
            <w:pPr>
              <w:spacing w:before="0" w:after="0"/>
              <w:jc w:val="center"/>
              <w:rPr>
                <w:b/>
                <w:sz w:val="10"/>
                <w:szCs w:val="10"/>
                <w:lang w:val="fr-BE"/>
              </w:rPr>
            </w:pPr>
            <w:r w:rsidRPr="00601E29">
              <w:rPr>
                <w:b/>
                <w:noProof/>
                <w:sz w:val="10"/>
                <w:szCs w:val="10"/>
                <w:lang w:val="fr-BE"/>
              </w:rPr>
              <w:t>Ogółem</w:t>
            </w:r>
          </w:p>
        </w:tc>
        <w:tc>
          <w:tcPr>
            <w:tcW w:w="0" w:type="auto"/>
            <w:shd w:val="clear" w:color="auto" w:fill="auto"/>
          </w:tcPr>
          <w:p w14:paraId="46288EC7" w14:textId="77777777" w:rsidR="008C5CFA" w:rsidRPr="00601E29" w:rsidRDefault="00E82A60" w:rsidP="00300A01">
            <w:pPr>
              <w:spacing w:before="0" w:after="0"/>
              <w:jc w:val="center"/>
              <w:rPr>
                <w:b/>
                <w:sz w:val="10"/>
                <w:szCs w:val="10"/>
                <w:lang w:val="fr-BE"/>
              </w:rPr>
            </w:pPr>
            <w:r w:rsidRPr="00601E29">
              <w:rPr>
                <w:b/>
                <w:noProof/>
                <w:sz w:val="10"/>
                <w:szCs w:val="10"/>
                <w:lang w:val="fr-BE"/>
              </w:rPr>
              <w:t>Mężczyźni</w:t>
            </w:r>
          </w:p>
        </w:tc>
        <w:tc>
          <w:tcPr>
            <w:tcW w:w="0" w:type="auto"/>
            <w:shd w:val="clear" w:color="auto" w:fill="auto"/>
          </w:tcPr>
          <w:p w14:paraId="1CFA4F3F" w14:textId="77777777" w:rsidR="008C5CFA" w:rsidRPr="00601E29" w:rsidRDefault="00E82A60" w:rsidP="00300A01">
            <w:pPr>
              <w:spacing w:before="0" w:after="0"/>
              <w:jc w:val="center"/>
              <w:rPr>
                <w:b/>
                <w:sz w:val="10"/>
                <w:szCs w:val="10"/>
                <w:lang w:val="fr-BE"/>
              </w:rPr>
            </w:pPr>
            <w:r w:rsidRPr="00601E29">
              <w:rPr>
                <w:b/>
                <w:noProof/>
                <w:sz w:val="10"/>
                <w:szCs w:val="10"/>
                <w:lang w:val="fr-BE"/>
              </w:rPr>
              <w:t>Kobiety</w:t>
            </w:r>
          </w:p>
        </w:tc>
        <w:tc>
          <w:tcPr>
            <w:tcW w:w="0" w:type="auto"/>
            <w:shd w:val="clear" w:color="auto" w:fill="auto"/>
          </w:tcPr>
          <w:p w14:paraId="49BEED64" w14:textId="77777777" w:rsidR="008C5CFA" w:rsidRPr="00601E29" w:rsidRDefault="00E82A60" w:rsidP="00300A01">
            <w:pPr>
              <w:spacing w:before="0" w:after="0"/>
              <w:jc w:val="center"/>
              <w:rPr>
                <w:b/>
                <w:sz w:val="10"/>
                <w:szCs w:val="10"/>
                <w:lang w:val="fr-BE"/>
              </w:rPr>
            </w:pPr>
            <w:r w:rsidRPr="00601E29">
              <w:rPr>
                <w:b/>
                <w:noProof/>
                <w:sz w:val="10"/>
                <w:szCs w:val="10"/>
                <w:lang w:val="fr-BE"/>
              </w:rPr>
              <w:t>Ogółem</w:t>
            </w:r>
          </w:p>
        </w:tc>
        <w:tc>
          <w:tcPr>
            <w:tcW w:w="0" w:type="auto"/>
            <w:shd w:val="clear" w:color="auto" w:fill="auto"/>
          </w:tcPr>
          <w:p w14:paraId="3CA5F670" w14:textId="77777777" w:rsidR="008C5CFA" w:rsidRPr="00601E29" w:rsidRDefault="00E82A60" w:rsidP="00300A01">
            <w:pPr>
              <w:spacing w:before="0" w:after="0"/>
              <w:jc w:val="center"/>
              <w:rPr>
                <w:b/>
                <w:sz w:val="10"/>
                <w:szCs w:val="10"/>
                <w:lang w:val="fr-BE"/>
              </w:rPr>
            </w:pPr>
            <w:r w:rsidRPr="00601E29">
              <w:rPr>
                <w:b/>
                <w:noProof/>
                <w:sz w:val="10"/>
                <w:szCs w:val="10"/>
                <w:lang w:val="fr-BE"/>
              </w:rPr>
              <w:t>Mężczyźni</w:t>
            </w:r>
          </w:p>
        </w:tc>
        <w:tc>
          <w:tcPr>
            <w:tcW w:w="0" w:type="auto"/>
            <w:shd w:val="clear" w:color="auto" w:fill="auto"/>
          </w:tcPr>
          <w:p w14:paraId="45EBE9C0" w14:textId="77777777" w:rsidR="008C5CFA" w:rsidRPr="00601E29" w:rsidRDefault="00E82A60" w:rsidP="00300A01">
            <w:pPr>
              <w:spacing w:before="0" w:after="0"/>
              <w:jc w:val="center"/>
              <w:rPr>
                <w:b/>
                <w:sz w:val="10"/>
                <w:szCs w:val="10"/>
                <w:lang w:val="fr-BE"/>
              </w:rPr>
            </w:pPr>
            <w:r w:rsidRPr="00601E29">
              <w:rPr>
                <w:b/>
                <w:noProof/>
                <w:sz w:val="10"/>
                <w:szCs w:val="10"/>
                <w:lang w:val="fr-BE"/>
              </w:rPr>
              <w:t>Kobiety</w:t>
            </w:r>
          </w:p>
        </w:tc>
        <w:tc>
          <w:tcPr>
            <w:tcW w:w="0" w:type="auto"/>
          </w:tcPr>
          <w:p w14:paraId="06733409" w14:textId="77777777" w:rsidR="008C5CFA" w:rsidRPr="00601E29" w:rsidRDefault="00E82A60" w:rsidP="00300A01">
            <w:pPr>
              <w:spacing w:before="0" w:after="0"/>
              <w:jc w:val="center"/>
              <w:rPr>
                <w:b/>
                <w:sz w:val="10"/>
                <w:szCs w:val="10"/>
                <w:lang w:val="fr-BE"/>
              </w:rPr>
            </w:pPr>
            <w:r w:rsidRPr="00601E29">
              <w:rPr>
                <w:b/>
                <w:noProof/>
                <w:sz w:val="10"/>
                <w:szCs w:val="10"/>
                <w:lang w:val="fr-BE"/>
              </w:rPr>
              <w:t>Ogółem</w:t>
            </w:r>
          </w:p>
        </w:tc>
        <w:tc>
          <w:tcPr>
            <w:tcW w:w="0" w:type="auto"/>
            <w:shd w:val="clear" w:color="auto" w:fill="auto"/>
          </w:tcPr>
          <w:p w14:paraId="0C9FE31D" w14:textId="77777777" w:rsidR="008C5CFA" w:rsidRPr="00601E29" w:rsidRDefault="00E82A60" w:rsidP="00300A01">
            <w:pPr>
              <w:spacing w:before="0" w:after="0"/>
              <w:jc w:val="center"/>
              <w:rPr>
                <w:b/>
                <w:sz w:val="10"/>
                <w:szCs w:val="10"/>
                <w:lang w:val="fr-BE"/>
              </w:rPr>
            </w:pPr>
            <w:r w:rsidRPr="00601E29">
              <w:rPr>
                <w:b/>
                <w:noProof/>
                <w:sz w:val="10"/>
                <w:szCs w:val="10"/>
                <w:lang w:val="fr-BE"/>
              </w:rPr>
              <w:t>Mężczyźni</w:t>
            </w:r>
          </w:p>
        </w:tc>
        <w:tc>
          <w:tcPr>
            <w:tcW w:w="0" w:type="auto"/>
            <w:shd w:val="clear" w:color="auto" w:fill="auto"/>
          </w:tcPr>
          <w:p w14:paraId="6CD87898" w14:textId="77777777" w:rsidR="008C5CFA" w:rsidRPr="00601E29" w:rsidRDefault="00E82A60" w:rsidP="00300A01">
            <w:pPr>
              <w:spacing w:before="0" w:after="0"/>
              <w:jc w:val="center"/>
              <w:rPr>
                <w:b/>
                <w:sz w:val="10"/>
                <w:szCs w:val="10"/>
                <w:lang w:val="fr-BE"/>
              </w:rPr>
            </w:pPr>
            <w:r w:rsidRPr="00601E29">
              <w:rPr>
                <w:b/>
                <w:noProof/>
                <w:sz w:val="10"/>
                <w:szCs w:val="10"/>
                <w:lang w:val="fr-BE"/>
              </w:rPr>
              <w:t>Kobiety</w:t>
            </w:r>
          </w:p>
        </w:tc>
        <w:tc>
          <w:tcPr>
            <w:tcW w:w="0" w:type="auto"/>
          </w:tcPr>
          <w:p w14:paraId="47974DBD" w14:textId="77777777" w:rsidR="008C5CFA" w:rsidRPr="00601E29" w:rsidRDefault="008C5CFA" w:rsidP="00300A01">
            <w:pPr>
              <w:spacing w:before="0" w:after="0"/>
              <w:jc w:val="center"/>
              <w:rPr>
                <w:b/>
                <w:sz w:val="10"/>
                <w:szCs w:val="10"/>
                <w:lang w:val="fr-BE"/>
              </w:rPr>
            </w:pPr>
          </w:p>
        </w:tc>
      </w:tr>
      <w:tr w:rsidR="006B2EC1" w14:paraId="31E2992A" w14:textId="77777777" w:rsidTr="0047688D">
        <w:tc>
          <w:tcPr>
            <w:tcW w:w="0" w:type="auto"/>
            <w:shd w:val="clear" w:color="auto" w:fill="auto"/>
          </w:tcPr>
          <w:p w14:paraId="71CE7658" w14:textId="77777777" w:rsidR="008C5CFA" w:rsidRPr="00601E29" w:rsidRDefault="00E82A60" w:rsidP="00300A01">
            <w:pPr>
              <w:spacing w:before="0" w:after="0"/>
              <w:rPr>
                <w:sz w:val="10"/>
                <w:szCs w:val="10"/>
                <w:lang w:val="fr-BE"/>
              </w:rPr>
            </w:pPr>
            <w:r w:rsidRPr="00601E29">
              <w:rPr>
                <w:noProof/>
                <w:sz w:val="10"/>
                <w:szCs w:val="10"/>
                <w:lang w:val="fr-BE"/>
              </w:rPr>
              <w:t>141</w:t>
            </w:r>
          </w:p>
        </w:tc>
        <w:tc>
          <w:tcPr>
            <w:tcW w:w="0" w:type="auto"/>
            <w:shd w:val="clear" w:color="auto" w:fill="auto"/>
          </w:tcPr>
          <w:p w14:paraId="189EF2C0" w14:textId="77777777" w:rsidR="008C5CFA" w:rsidRPr="00601E29" w:rsidRDefault="00E82A60" w:rsidP="00300A01">
            <w:pPr>
              <w:spacing w:before="0" w:after="0"/>
              <w:rPr>
                <w:sz w:val="10"/>
                <w:szCs w:val="10"/>
                <w:lang w:val="fr-BE"/>
              </w:rPr>
            </w:pPr>
            <w:r w:rsidRPr="00601E29">
              <w:rPr>
                <w:noProof/>
                <w:sz w:val="10"/>
                <w:szCs w:val="10"/>
                <w:lang w:val="fr-BE"/>
              </w:rPr>
              <w:t>Liczba osób, które powróciły na rynek pracy po przerwie związanej z urodzeniem/wychowaniem dziecka lub utrzymały zatrudnienie, po opuszczeniu programu</w:t>
            </w:r>
          </w:p>
        </w:tc>
        <w:tc>
          <w:tcPr>
            <w:tcW w:w="0" w:type="auto"/>
            <w:shd w:val="clear" w:color="auto" w:fill="auto"/>
          </w:tcPr>
          <w:p w14:paraId="24D36F11" w14:textId="77777777" w:rsidR="008C5CFA" w:rsidRPr="00601E29" w:rsidRDefault="00E82A60" w:rsidP="00300A01">
            <w:pPr>
              <w:spacing w:before="0" w:after="0"/>
              <w:rPr>
                <w:sz w:val="10"/>
                <w:szCs w:val="10"/>
                <w:lang w:val="fr-BE"/>
              </w:rPr>
            </w:pPr>
            <w:r w:rsidRPr="00601E29">
              <w:rPr>
                <w:noProof/>
                <w:sz w:val="10"/>
                <w:szCs w:val="10"/>
                <w:lang w:val="fr-BE"/>
              </w:rPr>
              <w:t>Słabiej rozwinięte</w:t>
            </w:r>
          </w:p>
        </w:tc>
        <w:tc>
          <w:tcPr>
            <w:tcW w:w="0" w:type="auto"/>
            <w:shd w:val="clear" w:color="auto" w:fill="auto"/>
          </w:tcPr>
          <w:p w14:paraId="5E58A54F" w14:textId="77777777" w:rsidR="008C5CFA" w:rsidRPr="00601E29" w:rsidRDefault="00E82A60" w:rsidP="00300A01">
            <w:pPr>
              <w:spacing w:before="0" w:after="0"/>
              <w:rPr>
                <w:sz w:val="10"/>
                <w:szCs w:val="10"/>
                <w:lang w:val="fr-BE"/>
              </w:rPr>
            </w:pPr>
            <w:r w:rsidRPr="00785F4A">
              <w:rPr>
                <w:noProof/>
                <w:sz w:val="10"/>
                <w:szCs w:val="10"/>
                <w:lang w:val="fr-BE"/>
              </w:rPr>
              <w:t>Liczba</w:t>
            </w:r>
            <w:r w:rsidR="00CE4603">
              <w:rPr>
                <w:sz w:val="10"/>
                <w:szCs w:val="10"/>
                <w:lang w:val="fr-BE"/>
              </w:rPr>
              <w:t xml:space="preserve"> </w:t>
            </w:r>
            <w:r w:rsidR="00CE4603">
              <w:rPr>
                <w:noProof/>
                <w:sz w:val="10"/>
                <w:szCs w:val="10"/>
                <w:lang w:val="fr-BE"/>
              </w:rPr>
              <w:t>(osoba)</w:t>
            </w:r>
          </w:p>
        </w:tc>
        <w:tc>
          <w:tcPr>
            <w:tcW w:w="0" w:type="auto"/>
            <w:shd w:val="clear" w:color="auto" w:fill="auto"/>
          </w:tcPr>
          <w:p w14:paraId="09CAA224" w14:textId="77777777" w:rsidR="008C5CFA" w:rsidRPr="00601E29" w:rsidRDefault="00E82A60" w:rsidP="00300A01">
            <w:pPr>
              <w:spacing w:before="0" w:after="0"/>
              <w:rPr>
                <w:sz w:val="10"/>
                <w:szCs w:val="10"/>
                <w:lang w:val="fr-BE"/>
              </w:rPr>
            </w:pPr>
            <w:r w:rsidRPr="00601E29">
              <w:rPr>
                <w:sz w:val="10"/>
                <w:szCs w:val="10"/>
                <w:lang w:val="fr-BE"/>
              </w:rPr>
              <w:t xml:space="preserve"> </w:t>
            </w:r>
          </w:p>
        </w:tc>
        <w:tc>
          <w:tcPr>
            <w:tcW w:w="0" w:type="auto"/>
            <w:shd w:val="clear" w:color="auto" w:fill="auto"/>
          </w:tcPr>
          <w:p w14:paraId="3DBAFBC5" w14:textId="77777777" w:rsidR="008C5CFA" w:rsidRPr="00601E29" w:rsidRDefault="00E82A60" w:rsidP="00300A01">
            <w:pPr>
              <w:spacing w:before="0" w:after="0"/>
              <w:jc w:val="center"/>
              <w:rPr>
                <w:sz w:val="10"/>
                <w:szCs w:val="10"/>
                <w:lang w:val="fr-BE"/>
              </w:rPr>
            </w:pPr>
            <w:r w:rsidRPr="00601E29">
              <w:rPr>
                <w:noProof/>
                <w:sz w:val="10"/>
                <w:szCs w:val="10"/>
                <w:lang w:val="fr-BE"/>
              </w:rPr>
              <w:t>Współczynnik</w:t>
            </w:r>
          </w:p>
        </w:tc>
        <w:tc>
          <w:tcPr>
            <w:tcW w:w="0" w:type="auto"/>
            <w:shd w:val="clear" w:color="auto" w:fill="auto"/>
          </w:tcPr>
          <w:p w14:paraId="4959935A" w14:textId="77777777" w:rsidR="008C5CFA" w:rsidRPr="00601E29" w:rsidRDefault="00E82A60" w:rsidP="00300A01">
            <w:pPr>
              <w:spacing w:before="0" w:after="0"/>
              <w:jc w:val="right"/>
              <w:rPr>
                <w:sz w:val="10"/>
                <w:szCs w:val="10"/>
                <w:lang w:val="fr-BE"/>
              </w:rPr>
            </w:pPr>
            <w:r w:rsidRPr="00601E29">
              <w:rPr>
                <w:noProof/>
                <w:sz w:val="10"/>
                <w:szCs w:val="10"/>
                <w:lang w:val="fr-BE"/>
              </w:rPr>
              <w:t>90,00</w:t>
            </w:r>
            <w:r>
              <w:rPr>
                <w:noProof/>
                <w:sz w:val="10"/>
                <w:szCs w:val="10"/>
                <w:lang w:val="fr-BE"/>
              </w:rPr>
              <w:t>%</w:t>
            </w:r>
          </w:p>
        </w:tc>
        <w:tc>
          <w:tcPr>
            <w:tcW w:w="0" w:type="auto"/>
            <w:shd w:val="clear" w:color="auto" w:fill="auto"/>
          </w:tcPr>
          <w:p w14:paraId="0C76B4EC" w14:textId="77777777" w:rsidR="008C5CFA" w:rsidRPr="00601E29" w:rsidRDefault="008C5CFA" w:rsidP="00300A01">
            <w:pPr>
              <w:spacing w:before="0" w:after="0"/>
              <w:jc w:val="right"/>
              <w:rPr>
                <w:sz w:val="10"/>
                <w:szCs w:val="10"/>
                <w:lang w:val="fr-BE"/>
              </w:rPr>
            </w:pPr>
          </w:p>
        </w:tc>
        <w:tc>
          <w:tcPr>
            <w:tcW w:w="0" w:type="auto"/>
            <w:shd w:val="clear" w:color="auto" w:fill="auto"/>
          </w:tcPr>
          <w:p w14:paraId="41077150" w14:textId="77777777" w:rsidR="008C5CFA" w:rsidRPr="00601E29" w:rsidRDefault="008C5CFA" w:rsidP="00300A01">
            <w:pPr>
              <w:spacing w:before="0" w:after="0"/>
              <w:jc w:val="right"/>
              <w:rPr>
                <w:sz w:val="10"/>
                <w:szCs w:val="10"/>
                <w:lang w:val="fr-BE"/>
              </w:rPr>
            </w:pPr>
          </w:p>
        </w:tc>
        <w:tc>
          <w:tcPr>
            <w:tcW w:w="0" w:type="auto"/>
            <w:shd w:val="clear" w:color="auto" w:fill="auto"/>
          </w:tcPr>
          <w:p w14:paraId="5592F103" w14:textId="77777777" w:rsidR="008C5CFA" w:rsidRPr="00601E29" w:rsidRDefault="00E82A60" w:rsidP="00300A01">
            <w:pPr>
              <w:spacing w:before="0" w:after="0"/>
              <w:jc w:val="right"/>
              <w:rPr>
                <w:sz w:val="10"/>
                <w:szCs w:val="10"/>
                <w:lang w:val="fr-BE"/>
              </w:rPr>
            </w:pPr>
            <w:r>
              <w:rPr>
                <w:noProof/>
                <w:sz w:val="10"/>
                <w:szCs w:val="10"/>
                <w:lang w:val="fr-BE"/>
              </w:rPr>
              <w:t>0,34</w:t>
            </w:r>
          </w:p>
        </w:tc>
        <w:tc>
          <w:tcPr>
            <w:tcW w:w="0" w:type="auto"/>
            <w:shd w:val="clear" w:color="auto" w:fill="auto"/>
          </w:tcPr>
          <w:p w14:paraId="0134EFF6" w14:textId="77777777" w:rsidR="008C5CFA" w:rsidRPr="00601E29" w:rsidRDefault="008C5CFA" w:rsidP="00300A01">
            <w:pPr>
              <w:spacing w:before="0" w:after="0"/>
              <w:jc w:val="right"/>
              <w:rPr>
                <w:sz w:val="10"/>
                <w:szCs w:val="10"/>
                <w:lang w:val="fr-BE"/>
              </w:rPr>
            </w:pPr>
          </w:p>
        </w:tc>
        <w:tc>
          <w:tcPr>
            <w:tcW w:w="0" w:type="auto"/>
            <w:shd w:val="clear" w:color="auto" w:fill="auto"/>
          </w:tcPr>
          <w:p w14:paraId="66E66B1C" w14:textId="77777777" w:rsidR="008C5CFA" w:rsidRPr="00601E29" w:rsidRDefault="008C5CFA" w:rsidP="00300A01">
            <w:pPr>
              <w:spacing w:before="0" w:after="0"/>
              <w:jc w:val="right"/>
              <w:rPr>
                <w:sz w:val="10"/>
                <w:szCs w:val="10"/>
                <w:lang w:val="fr-BE"/>
              </w:rPr>
            </w:pPr>
          </w:p>
        </w:tc>
        <w:tc>
          <w:tcPr>
            <w:tcW w:w="0" w:type="auto"/>
            <w:shd w:val="clear" w:color="auto" w:fill="auto"/>
          </w:tcPr>
          <w:p w14:paraId="30A7FA99" w14:textId="77777777" w:rsidR="008C5CFA" w:rsidRPr="00601E29" w:rsidRDefault="00E82A60" w:rsidP="00300A01">
            <w:pPr>
              <w:spacing w:before="0" w:after="0"/>
              <w:jc w:val="right"/>
              <w:rPr>
                <w:sz w:val="10"/>
                <w:szCs w:val="10"/>
                <w:lang w:val="fr-BE"/>
              </w:rPr>
            </w:pPr>
            <w:r w:rsidRPr="00601E29">
              <w:rPr>
                <w:noProof/>
                <w:sz w:val="10"/>
                <w:szCs w:val="10"/>
                <w:lang w:val="fr-BE"/>
              </w:rPr>
              <w:t>280,00</w:t>
            </w:r>
          </w:p>
        </w:tc>
        <w:tc>
          <w:tcPr>
            <w:tcW w:w="0" w:type="auto"/>
            <w:shd w:val="clear" w:color="auto" w:fill="auto"/>
          </w:tcPr>
          <w:p w14:paraId="37459454"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shd w:val="clear" w:color="auto" w:fill="auto"/>
          </w:tcPr>
          <w:p w14:paraId="03581EB4"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669E9E1B" w14:textId="77777777" w:rsidR="008C5CFA" w:rsidRPr="00601E29" w:rsidRDefault="00E82A60" w:rsidP="00300A01">
            <w:pPr>
              <w:spacing w:before="0" w:after="0"/>
              <w:jc w:val="right"/>
              <w:rPr>
                <w:sz w:val="10"/>
                <w:szCs w:val="10"/>
                <w:lang w:val="fr-BE"/>
              </w:rPr>
            </w:pPr>
            <w:r w:rsidRPr="00601E29">
              <w:rPr>
                <w:noProof/>
                <w:sz w:val="10"/>
                <w:szCs w:val="10"/>
                <w:lang w:val="fr-BE"/>
              </w:rPr>
              <w:t>144,00</w:t>
            </w:r>
          </w:p>
        </w:tc>
        <w:tc>
          <w:tcPr>
            <w:tcW w:w="0" w:type="auto"/>
            <w:shd w:val="clear" w:color="auto" w:fill="auto"/>
          </w:tcPr>
          <w:p w14:paraId="6E244CEB"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shd w:val="clear" w:color="auto" w:fill="auto"/>
          </w:tcPr>
          <w:p w14:paraId="01A7CEC8"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1DB4886E" w14:textId="77777777" w:rsidR="008C5CFA" w:rsidRPr="00601E29" w:rsidRDefault="008C5CFA" w:rsidP="00300A01">
            <w:pPr>
              <w:spacing w:before="0" w:after="0"/>
              <w:jc w:val="right"/>
              <w:rPr>
                <w:sz w:val="10"/>
                <w:szCs w:val="10"/>
                <w:lang w:val="fr-BE"/>
              </w:rPr>
            </w:pPr>
          </w:p>
        </w:tc>
      </w:tr>
      <w:tr w:rsidR="006B2EC1" w14:paraId="573FC015" w14:textId="77777777" w:rsidTr="0047688D">
        <w:tc>
          <w:tcPr>
            <w:tcW w:w="0" w:type="auto"/>
            <w:shd w:val="clear" w:color="auto" w:fill="auto"/>
          </w:tcPr>
          <w:p w14:paraId="5D1A9DE3" w14:textId="77777777" w:rsidR="008C5CFA" w:rsidRPr="00601E29" w:rsidRDefault="00E82A60" w:rsidP="00300A01">
            <w:pPr>
              <w:spacing w:before="0" w:after="0"/>
              <w:rPr>
                <w:sz w:val="10"/>
                <w:szCs w:val="10"/>
                <w:lang w:val="fr-BE"/>
              </w:rPr>
            </w:pPr>
            <w:r w:rsidRPr="00601E29">
              <w:rPr>
                <w:noProof/>
                <w:sz w:val="10"/>
                <w:szCs w:val="10"/>
                <w:lang w:val="fr-BE"/>
              </w:rPr>
              <w:t>003</w:t>
            </w:r>
          </w:p>
        </w:tc>
        <w:tc>
          <w:tcPr>
            <w:tcW w:w="0" w:type="auto"/>
            <w:shd w:val="clear" w:color="auto" w:fill="auto"/>
          </w:tcPr>
          <w:p w14:paraId="6127E371" w14:textId="77777777" w:rsidR="008C5CFA" w:rsidRPr="00601E29" w:rsidRDefault="00E82A60" w:rsidP="00300A01">
            <w:pPr>
              <w:spacing w:before="0" w:after="0"/>
              <w:rPr>
                <w:sz w:val="10"/>
                <w:szCs w:val="10"/>
                <w:lang w:val="fr-BE"/>
              </w:rPr>
            </w:pPr>
            <w:r w:rsidRPr="00601E29">
              <w:rPr>
                <w:noProof/>
                <w:sz w:val="10"/>
                <w:szCs w:val="10"/>
                <w:lang w:val="fr-BE"/>
              </w:rPr>
              <w:t>Liczba osób pozostających bez pracy, które znalazły pracę lub poszukują pracy po opuszczeniu programu</w:t>
            </w:r>
          </w:p>
        </w:tc>
        <w:tc>
          <w:tcPr>
            <w:tcW w:w="0" w:type="auto"/>
            <w:shd w:val="clear" w:color="auto" w:fill="auto"/>
          </w:tcPr>
          <w:p w14:paraId="524D63A1" w14:textId="77777777" w:rsidR="008C5CFA" w:rsidRPr="00601E29" w:rsidRDefault="00E82A60" w:rsidP="00300A01">
            <w:pPr>
              <w:spacing w:before="0" w:after="0"/>
              <w:rPr>
                <w:sz w:val="10"/>
                <w:szCs w:val="10"/>
                <w:lang w:val="fr-BE"/>
              </w:rPr>
            </w:pPr>
            <w:r w:rsidRPr="00601E29">
              <w:rPr>
                <w:noProof/>
                <w:sz w:val="10"/>
                <w:szCs w:val="10"/>
                <w:lang w:val="fr-BE"/>
              </w:rPr>
              <w:t>Słabiej rozwinięte</w:t>
            </w:r>
          </w:p>
        </w:tc>
        <w:tc>
          <w:tcPr>
            <w:tcW w:w="0" w:type="auto"/>
            <w:shd w:val="clear" w:color="auto" w:fill="auto"/>
          </w:tcPr>
          <w:p w14:paraId="7DF401CF" w14:textId="77777777" w:rsidR="008C5CFA" w:rsidRPr="00601E29" w:rsidRDefault="00E82A60" w:rsidP="00300A01">
            <w:pPr>
              <w:spacing w:before="0" w:after="0"/>
              <w:rPr>
                <w:sz w:val="10"/>
                <w:szCs w:val="10"/>
                <w:lang w:val="fr-BE"/>
              </w:rPr>
            </w:pPr>
            <w:r w:rsidRPr="00785F4A">
              <w:rPr>
                <w:noProof/>
                <w:sz w:val="10"/>
                <w:szCs w:val="10"/>
                <w:lang w:val="fr-BE"/>
              </w:rPr>
              <w:t>Liczba</w:t>
            </w:r>
            <w:r w:rsidR="00CE4603">
              <w:rPr>
                <w:sz w:val="10"/>
                <w:szCs w:val="10"/>
                <w:lang w:val="fr-BE"/>
              </w:rPr>
              <w:t xml:space="preserve"> </w:t>
            </w:r>
            <w:r w:rsidR="00CE4603">
              <w:rPr>
                <w:noProof/>
                <w:sz w:val="10"/>
                <w:szCs w:val="10"/>
                <w:lang w:val="fr-BE"/>
              </w:rPr>
              <w:t>(osoba)</w:t>
            </w:r>
          </w:p>
        </w:tc>
        <w:tc>
          <w:tcPr>
            <w:tcW w:w="0" w:type="auto"/>
            <w:shd w:val="clear" w:color="auto" w:fill="auto"/>
          </w:tcPr>
          <w:p w14:paraId="14F658BD" w14:textId="77777777" w:rsidR="008C5CFA" w:rsidRPr="00601E29" w:rsidRDefault="00E82A60" w:rsidP="00300A01">
            <w:pPr>
              <w:spacing w:before="0" w:after="0"/>
              <w:rPr>
                <w:sz w:val="10"/>
                <w:szCs w:val="10"/>
                <w:lang w:val="fr-BE"/>
              </w:rPr>
            </w:pPr>
            <w:r w:rsidRPr="00601E29">
              <w:rPr>
                <w:sz w:val="10"/>
                <w:szCs w:val="10"/>
                <w:lang w:val="fr-BE"/>
              </w:rPr>
              <w:t xml:space="preserve"> </w:t>
            </w:r>
          </w:p>
        </w:tc>
        <w:tc>
          <w:tcPr>
            <w:tcW w:w="0" w:type="auto"/>
            <w:shd w:val="clear" w:color="auto" w:fill="auto"/>
          </w:tcPr>
          <w:p w14:paraId="49B70BEC" w14:textId="77777777" w:rsidR="008C5CFA" w:rsidRPr="00601E29" w:rsidRDefault="00E82A60" w:rsidP="00300A01">
            <w:pPr>
              <w:spacing w:before="0" w:after="0"/>
              <w:jc w:val="center"/>
              <w:rPr>
                <w:sz w:val="10"/>
                <w:szCs w:val="10"/>
                <w:lang w:val="fr-BE"/>
              </w:rPr>
            </w:pPr>
            <w:r w:rsidRPr="00601E29">
              <w:rPr>
                <w:noProof/>
                <w:sz w:val="10"/>
                <w:szCs w:val="10"/>
                <w:lang w:val="fr-BE"/>
              </w:rPr>
              <w:t>Współczynnik</w:t>
            </w:r>
          </w:p>
        </w:tc>
        <w:tc>
          <w:tcPr>
            <w:tcW w:w="0" w:type="auto"/>
            <w:shd w:val="clear" w:color="auto" w:fill="auto"/>
          </w:tcPr>
          <w:p w14:paraId="0E513E98" w14:textId="77777777" w:rsidR="008C5CFA" w:rsidRPr="00601E29" w:rsidRDefault="00E82A60" w:rsidP="00300A01">
            <w:pPr>
              <w:spacing w:before="0" w:after="0"/>
              <w:jc w:val="right"/>
              <w:rPr>
                <w:sz w:val="10"/>
                <w:szCs w:val="10"/>
                <w:lang w:val="fr-BE"/>
              </w:rPr>
            </w:pPr>
            <w:r w:rsidRPr="00601E29">
              <w:rPr>
                <w:noProof/>
                <w:sz w:val="10"/>
                <w:szCs w:val="10"/>
                <w:lang w:val="fr-BE"/>
              </w:rPr>
              <w:t>90,00</w:t>
            </w:r>
            <w:r>
              <w:rPr>
                <w:noProof/>
                <w:sz w:val="10"/>
                <w:szCs w:val="10"/>
                <w:lang w:val="fr-BE"/>
              </w:rPr>
              <w:t>%</w:t>
            </w:r>
          </w:p>
        </w:tc>
        <w:tc>
          <w:tcPr>
            <w:tcW w:w="0" w:type="auto"/>
            <w:shd w:val="clear" w:color="auto" w:fill="auto"/>
          </w:tcPr>
          <w:p w14:paraId="5DDB093C" w14:textId="77777777" w:rsidR="008C5CFA" w:rsidRPr="00601E29" w:rsidRDefault="008C5CFA" w:rsidP="00300A01">
            <w:pPr>
              <w:spacing w:before="0" w:after="0"/>
              <w:jc w:val="right"/>
              <w:rPr>
                <w:sz w:val="10"/>
                <w:szCs w:val="10"/>
                <w:lang w:val="fr-BE"/>
              </w:rPr>
            </w:pPr>
          </w:p>
        </w:tc>
        <w:tc>
          <w:tcPr>
            <w:tcW w:w="0" w:type="auto"/>
            <w:shd w:val="clear" w:color="auto" w:fill="auto"/>
          </w:tcPr>
          <w:p w14:paraId="36FE2F98" w14:textId="77777777" w:rsidR="008C5CFA" w:rsidRPr="00601E29" w:rsidRDefault="008C5CFA" w:rsidP="00300A01">
            <w:pPr>
              <w:spacing w:before="0" w:after="0"/>
              <w:jc w:val="right"/>
              <w:rPr>
                <w:sz w:val="10"/>
                <w:szCs w:val="10"/>
                <w:lang w:val="fr-BE"/>
              </w:rPr>
            </w:pPr>
          </w:p>
        </w:tc>
        <w:tc>
          <w:tcPr>
            <w:tcW w:w="0" w:type="auto"/>
            <w:shd w:val="clear" w:color="auto" w:fill="auto"/>
          </w:tcPr>
          <w:p w14:paraId="5074AA2B" w14:textId="77777777" w:rsidR="008C5CFA" w:rsidRPr="00601E29" w:rsidRDefault="00E82A60" w:rsidP="00300A01">
            <w:pPr>
              <w:spacing w:before="0" w:after="0"/>
              <w:jc w:val="right"/>
              <w:rPr>
                <w:sz w:val="10"/>
                <w:szCs w:val="10"/>
                <w:lang w:val="fr-BE"/>
              </w:rPr>
            </w:pPr>
            <w:r>
              <w:rPr>
                <w:noProof/>
                <w:sz w:val="10"/>
                <w:szCs w:val="10"/>
                <w:lang w:val="fr-BE"/>
              </w:rPr>
              <w:t>0,41</w:t>
            </w:r>
          </w:p>
        </w:tc>
        <w:tc>
          <w:tcPr>
            <w:tcW w:w="0" w:type="auto"/>
            <w:shd w:val="clear" w:color="auto" w:fill="auto"/>
          </w:tcPr>
          <w:p w14:paraId="26B10632" w14:textId="77777777" w:rsidR="008C5CFA" w:rsidRPr="00601E29" w:rsidRDefault="008C5CFA" w:rsidP="00300A01">
            <w:pPr>
              <w:spacing w:before="0" w:after="0"/>
              <w:jc w:val="right"/>
              <w:rPr>
                <w:sz w:val="10"/>
                <w:szCs w:val="10"/>
                <w:lang w:val="fr-BE"/>
              </w:rPr>
            </w:pPr>
          </w:p>
        </w:tc>
        <w:tc>
          <w:tcPr>
            <w:tcW w:w="0" w:type="auto"/>
            <w:shd w:val="clear" w:color="auto" w:fill="auto"/>
          </w:tcPr>
          <w:p w14:paraId="70476615" w14:textId="77777777" w:rsidR="008C5CFA" w:rsidRPr="00601E29" w:rsidRDefault="008C5CFA" w:rsidP="00300A01">
            <w:pPr>
              <w:spacing w:before="0" w:after="0"/>
              <w:jc w:val="right"/>
              <w:rPr>
                <w:sz w:val="10"/>
                <w:szCs w:val="10"/>
                <w:lang w:val="fr-BE"/>
              </w:rPr>
            </w:pPr>
          </w:p>
        </w:tc>
        <w:tc>
          <w:tcPr>
            <w:tcW w:w="0" w:type="auto"/>
            <w:shd w:val="clear" w:color="auto" w:fill="auto"/>
          </w:tcPr>
          <w:p w14:paraId="7E241D20" w14:textId="77777777" w:rsidR="008C5CFA" w:rsidRPr="00601E29" w:rsidRDefault="00E82A60" w:rsidP="00300A01">
            <w:pPr>
              <w:spacing w:before="0" w:after="0"/>
              <w:jc w:val="right"/>
              <w:rPr>
                <w:sz w:val="10"/>
                <w:szCs w:val="10"/>
                <w:lang w:val="fr-BE"/>
              </w:rPr>
            </w:pPr>
            <w:r w:rsidRPr="00601E29">
              <w:rPr>
                <w:noProof/>
                <w:sz w:val="10"/>
                <w:szCs w:val="10"/>
                <w:lang w:val="fr-BE"/>
              </w:rPr>
              <w:t>332,00</w:t>
            </w:r>
          </w:p>
        </w:tc>
        <w:tc>
          <w:tcPr>
            <w:tcW w:w="0" w:type="auto"/>
            <w:shd w:val="clear" w:color="auto" w:fill="auto"/>
          </w:tcPr>
          <w:p w14:paraId="4A7E4B3C"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shd w:val="clear" w:color="auto" w:fill="auto"/>
          </w:tcPr>
          <w:p w14:paraId="6A192B50"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629F9931" w14:textId="77777777" w:rsidR="008C5CFA" w:rsidRPr="00601E29" w:rsidRDefault="00E82A60" w:rsidP="00300A01">
            <w:pPr>
              <w:spacing w:before="0" w:after="0"/>
              <w:jc w:val="right"/>
              <w:rPr>
                <w:sz w:val="10"/>
                <w:szCs w:val="10"/>
                <w:lang w:val="fr-BE"/>
              </w:rPr>
            </w:pPr>
            <w:r w:rsidRPr="00601E29">
              <w:rPr>
                <w:noProof/>
                <w:sz w:val="10"/>
                <w:szCs w:val="10"/>
                <w:lang w:val="fr-BE"/>
              </w:rPr>
              <w:t>147,00</w:t>
            </w:r>
          </w:p>
        </w:tc>
        <w:tc>
          <w:tcPr>
            <w:tcW w:w="0" w:type="auto"/>
            <w:shd w:val="clear" w:color="auto" w:fill="auto"/>
          </w:tcPr>
          <w:p w14:paraId="1FC4D3AE"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shd w:val="clear" w:color="auto" w:fill="auto"/>
          </w:tcPr>
          <w:p w14:paraId="5CF97CBF"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6A33909D" w14:textId="77777777" w:rsidR="008C5CFA" w:rsidRPr="00601E29" w:rsidRDefault="008C5CFA" w:rsidP="00300A01">
            <w:pPr>
              <w:spacing w:before="0" w:after="0"/>
              <w:jc w:val="right"/>
              <w:rPr>
                <w:sz w:val="10"/>
                <w:szCs w:val="10"/>
                <w:lang w:val="fr-BE"/>
              </w:rPr>
            </w:pPr>
          </w:p>
        </w:tc>
      </w:tr>
      <w:tr w:rsidR="006B2EC1" w14:paraId="214F7988" w14:textId="77777777" w:rsidTr="0047688D">
        <w:tc>
          <w:tcPr>
            <w:tcW w:w="0" w:type="auto"/>
            <w:shd w:val="clear" w:color="auto" w:fill="auto"/>
          </w:tcPr>
          <w:p w14:paraId="43B8D8CB" w14:textId="77777777" w:rsidR="008C5CFA" w:rsidRPr="00601E29" w:rsidRDefault="00E82A60" w:rsidP="00300A01">
            <w:pPr>
              <w:spacing w:before="0" w:after="0"/>
              <w:rPr>
                <w:sz w:val="10"/>
                <w:szCs w:val="10"/>
                <w:lang w:val="fr-BE"/>
              </w:rPr>
            </w:pPr>
            <w:r w:rsidRPr="00601E29">
              <w:rPr>
                <w:noProof/>
                <w:sz w:val="10"/>
                <w:szCs w:val="10"/>
                <w:lang w:val="fr-BE"/>
              </w:rPr>
              <w:t>004</w:t>
            </w:r>
          </w:p>
        </w:tc>
        <w:tc>
          <w:tcPr>
            <w:tcW w:w="0" w:type="auto"/>
            <w:shd w:val="clear" w:color="auto" w:fill="auto"/>
          </w:tcPr>
          <w:p w14:paraId="2561C48E" w14:textId="77777777" w:rsidR="008C5CFA" w:rsidRPr="00601E29" w:rsidRDefault="00E82A60" w:rsidP="00300A01">
            <w:pPr>
              <w:spacing w:before="0" w:after="0"/>
              <w:rPr>
                <w:sz w:val="10"/>
                <w:szCs w:val="10"/>
                <w:lang w:val="fr-BE"/>
              </w:rPr>
            </w:pPr>
            <w:r w:rsidRPr="00601E29">
              <w:rPr>
                <w:noProof/>
                <w:sz w:val="10"/>
                <w:szCs w:val="10"/>
                <w:lang w:val="fr-BE"/>
              </w:rPr>
              <w:t>Liczba utworzonych miejsc opieki nad dziećmi w wieku do lat 3, które funkcjonują 2 lata po uzyskaniu dofinansowania ze środków EFS</w:t>
            </w:r>
          </w:p>
        </w:tc>
        <w:tc>
          <w:tcPr>
            <w:tcW w:w="0" w:type="auto"/>
            <w:shd w:val="clear" w:color="auto" w:fill="auto"/>
          </w:tcPr>
          <w:p w14:paraId="32BE4923" w14:textId="77777777" w:rsidR="008C5CFA" w:rsidRPr="00601E29" w:rsidRDefault="00E82A60" w:rsidP="00300A01">
            <w:pPr>
              <w:spacing w:before="0" w:after="0"/>
              <w:rPr>
                <w:sz w:val="10"/>
                <w:szCs w:val="10"/>
                <w:lang w:val="fr-BE"/>
              </w:rPr>
            </w:pPr>
            <w:r w:rsidRPr="00601E29">
              <w:rPr>
                <w:noProof/>
                <w:sz w:val="10"/>
                <w:szCs w:val="10"/>
                <w:lang w:val="fr-BE"/>
              </w:rPr>
              <w:t>Słabiej rozwinięte</w:t>
            </w:r>
          </w:p>
        </w:tc>
        <w:tc>
          <w:tcPr>
            <w:tcW w:w="0" w:type="auto"/>
            <w:shd w:val="clear" w:color="auto" w:fill="auto"/>
          </w:tcPr>
          <w:p w14:paraId="49089D7B" w14:textId="77777777" w:rsidR="008C5CFA" w:rsidRPr="00601E29" w:rsidRDefault="00E82A60" w:rsidP="00300A01">
            <w:pPr>
              <w:spacing w:before="0" w:after="0"/>
              <w:rPr>
                <w:sz w:val="10"/>
                <w:szCs w:val="10"/>
                <w:lang w:val="fr-BE"/>
              </w:rPr>
            </w:pPr>
            <w:r w:rsidRPr="00785F4A">
              <w:rPr>
                <w:noProof/>
                <w:sz w:val="10"/>
                <w:szCs w:val="10"/>
                <w:lang w:val="fr-BE"/>
              </w:rPr>
              <w:t>Liczba</w:t>
            </w:r>
            <w:r w:rsidR="00CE4603">
              <w:rPr>
                <w:sz w:val="10"/>
                <w:szCs w:val="10"/>
                <w:lang w:val="fr-BE"/>
              </w:rPr>
              <w:t xml:space="preserve"> </w:t>
            </w:r>
            <w:r w:rsidR="00CE4603">
              <w:rPr>
                <w:noProof/>
                <w:sz w:val="10"/>
                <w:szCs w:val="10"/>
                <w:lang w:val="fr-BE"/>
              </w:rPr>
              <w:t>(sztuki)</w:t>
            </w:r>
          </w:p>
        </w:tc>
        <w:tc>
          <w:tcPr>
            <w:tcW w:w="0" w:type="auto"/>
            <w:shd w:val="clear" w:color="auto" w:fill="auto"/>
          </w:tcPr>
          <w:p w14:paraId="6A8E4263" w14:textId="77777777" w:rsidR="008C5CFA" w:rsidRPr="00601E29" w:rsidRDefault="00E82A60" w:rsidP="00300A01">
            <w:pPr>
              <w:spacing w:before="0" w:after="0"/>
              <w:rPr>
                <w:sz w:val="10"/>
                <w:szCs w:val="10"/>
                <w:lang w:val="fr-BE"/>
              </w:rPr>
            </w:pPr>
            <w:r w:rsidRPr="00601E29">
              <w:rPr>
                <w:sz w:val="10"/>
                <w:szCs w:val="10"/>
                <w:lang w:val="fr-BE"/>
              </w:rPr>
              <w:t xml:space="preserve"> </w:t>
            </w:r>
          </w:p>
        </w:tc>
        <w:tc>
          <w:tcPr>
            <w:tcW w:w="0" w:type="auto"/>
            <w:shd w:val="clear" w:color="auto" w:fill="auto"/>
          </w:tcPr>
          <w:p w14:paraId="6E95AD79" w14:textId="77777777" w:rsidR="008C5CFA" w:rsidRPr="00601E29" w:rsidRDefault="00E82A60" w:rsidP="00300A01">
            <w:pPr>
              <w:spacing w:before="0" w:after="0"/>
              <w:jc w:val="center"/>
              <w:rPr>
                <w:sz w:val="10"/>
                <w:szCs w:val="10"/>
                <w:lang w:val="fr-BE"/>
              </w:rPr>
            </w:pPr>
            <w:r w:rsidRPr="00601E29">
              <w:rPr>
                <w:noProof/>
                <w:sz w:val="10"/>
                <w:szCs w:val="10"/>
                <w:lang w:val="fr-BE"/>
              </w:rPr>
              <w:t>Współczynnik</w:t>
            </w:r>
          </w:p>
        </w:tc>
        <w:tc>
          <w:tcPr>
            <w:tcW w:w="0" w:type="auto"/>
            <w:shd w:val="clear" w:color="auto" w:fill="auto"/>
          </w:tcPr>
          <w:p w14:paraId="7F2CEF2B" w14:textId="77777777" w:rsidR="008C5CFA" w:rsidRPr="00601E29" w:rsidRDefault="00E82A60" w:rsidP="00300A01">
            <w:pPr>
              <w:spacing w:before="0" w:after="0"/>
              <w:jc w:val="right"/>
              <w:rPr>
                <w:sz w:val="10"/>
                <w:szCs w:val="10"/>
                <w:lang w:val="fr-BE"/>
              </w:rPr>
            </w:pPr>
            <w:r w:rsidRPr="00601E29">
              <w:rPr>
                <w:noProof/>
                <w:sz w:val="10"/>
                <w:szCs w:val="10"/>
                <w:lang w:val="fr-BE"/>
              </w:rPr>
              <w:t>90,00</w:t>
            </w:r>
            <w:r>
              <w:rPr>
                <w:noProof/>
                <w:sz w:val="10"/>
                <w:szCs w:val="10"/>
                <w:lang w:val="fr-BE"/>
              </w:rPr>
              <w:t>%</w:t>
            </w:r>
          </w:p>
        </w:tc>
        <w:tc>
          <w:tcPr>
            <w:tcW w:w="0" w:type="auto"/>
            <w:shd w:val="clear" w:color="auto" w:fill="auto"/>
          </w:tcPr>
          <w:p w14:paraId="79E03A55" w14:textId="77777777" w:rsidR="008C5CFA" w:rsidRPr="00601E29" w:rsidRDefault="008C5CFA" w:rsidP="00300A01">
            <w:pPr>
              <w:spacing w:before="0" w:after="0"/>
              <w:jc w:val="right"/>
              <w:rPr>
                <w:sz w:val="10"/>
                <w:szCs w:val="10"/>
                <w:lang w:val="fr-BE"/>
              </w:rPr>
            </w:pPr>
          </w:p>
        </w:tc>
        <w:tc>
          <w:tcPr>
            <w:tcW w:w="0" w:type="auto"/>
            <w:shd w:val="clear" w:color="auto" w:fill="auto"/>
          </w:tcPr>
          <w:p w14:paraId="2A2AB682" w14:textId="77777777" w:rsidR="008C5CFA" w:rsidRPr="00601E29" w:rsidRDefault="008C5CFA" w:rsidP="00300A01">
            <w:pPr>
              <w:spacing w:before="0" w:after="0"/>
              <w:jc w:val="right"/>
              <w:rPr>
                <w:sz w:val="10"/>
                <w:szCs w:val="10"/>
                <w:lang w:val="fr-BE"/>
              </w:rPr>
            </w:pPr>
          </w:p>
        </w:tc>
        <w:tc>
          <w:tcPr>
            <w:tcW w:w="0" w:type="auto"/>
            <w:shd w:val="clear" w:color="auto" w:fill="auto"/>
          </w:tcPr>
          <w:p w14:paraId="43A854CB" w14:textId="77777777" w:rsidR="008C5CFA" w:rsidRPr="00601E29" w:rsidRDefault="00E82A60" w:rsidP="00300A01">
            <w:pPr>
              <w:spacing w:before="0" w:after="0"/>
              <w:jc w:val="right"/>
              <w:rPr>
                <w:sz w:val="10"/>
                <w:szCs w:val="10"/>
                <w:lang w:val="fr-BE"/>
              </w:rPr>
            </w:pPr>
            <w:r>
              <w:rPr>
                <w:noProof/>
                <w:sz w:val="10"/>
                <w:szCs w:val="10"/>
                <w:lang w:val="fr-BE"/>
              </w:rPr>
              <w:t>0,00</w:t>
            </w:r>
          </w:p>
        </w:tc>
        <w:tc>
          <w:tcPr>
            <w:tcW w:w="0" w:type="auto"/>
            <w:shd w:val="clear" w:color="auto" w:fill="auto"/>
          </w:tcPr>
          <w:p w14:paraId="2BC9D919" w14:textId="77777777" w:rsidR="008C5CFA" w:rsidRPr="00601E29" w:rsidRDefault="008C5CFA" w:rsidP="00300A01">
            <w:pPr>
              <w:spacing w:before="0" w:after="0"/>
              <w:jc w:val="right"/>
              <w:rPr>
                <w:sz w:val="10"/>
                <w:szCs w:val="10"/>
                <w:lang w:val="fr-BE"/>
              </w:rPr>
            </w:pPr>
          </w:p>
        </w:tc>
        <w:tc>
          <w:tcPr>
            <w:tcW w:w="0" w:type="auto"/>
            <w:shd w:val="clear" w:color="auto" w:fill="auto"/>
          </w:tcPr>
          <w:p w14:paraId="799A5664" w14:textId="77777777" w:rsidR="008C5CFA" w:rsidRPr="00601E29" w:rsidRDefault="008C5CFA" w:rsidP="00300A01">
            <w:pPr>
              <w:spacing w:before="0" w:after="0"/>
              <w:jc w:val="right"/>
              <w:rPr>
                <w:sz w:val="10"/>
                <w:szCs w:val="10"/>
                <w:lang w:val="fr-BE"/>
              </w:rPr>
            </w:pPr>
          </w:p>
        </w:tc>
        <w:tc>
          <w:tcPr>
            <w:tcW w:w="0" w:type="auto"/>
            <w:shd w:val="clear" w:color="auto" w:fill="auto"/>
          </w:tcPr>
          <w:p w14:paraId="30F13104"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shd w:val="clear" w:color="auto" w:fill="auto"/>
          </w:tcPr>
          <w:p w14:paraId="2FF23581"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shd w:val="clear" w:color="auto" w:fill="auto"/>
          </w:tcPr>
          <w:p w14:paraId="79FB618A"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3BD9D681"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shd w:val="clear" w:color="auto" w:fill="auto"/>
          </w:tcPr>
          <w:p w14:paraId="2F06F7F1"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shd w:val="clear" w:color="auto" w:fill="auto"/>
          </w:tcPr>
          <w:p w14:paraId="3962B3AA"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1A9355CE" w14:textId="77777777" w:rsidR="008C5CFA" w:rsidRPr="00601E29" w:rsidRDefault="008C5CFA" w:rsidP="00300A01">
            <w:pPr>
              <w:spacing w:before="0" w:after="0"/>
              <w:jc w:val="right"/>
              <w:rPr>
                <w:sz w:val="10"/>
                <w:szCs w:val="10"/>
                <w:lang w:val="fr-BE"/>
              </w:rPr>
            </w:pPr>
          </w:p>
        </w:tc>
      </w:tr>
    </w:tbl>
    <w:p w14:paraId="00F62B01"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71"/>
        <w:gridCol w:w="6719"/>
        <w:gridCol w:w="922"/>
        <w:gridCol w:w="462"/>
        <w:gridCol w:w="581"/>
        <w:gridCol w:w="467"/>
        <w:gridCol w:w="462"/>
        <w:gridCol w:w="581"/>
        <w:gridCol w:w="467"/>
        <w:gridCol w:w="616"/>
        <w:gridCol w:w="462"/>
        <w:gridCol w:w="581"/>
        <w:gridCol w:w="467"/>
        <w:gridCol w:w="462"/>
        <w:gridCol w:w="581"/>
        <w:gridCol w:w="467"/>
        <w:gridCol w:w="616"/>
      </w:tblGrid>
      <w:tr w:rsidR="006B2EC1" w14:paraId="559A73E8" w14:textId="77777777" w:rsidTr="0047688D">
        <w:trPr>
          <w:tblHeader/>
        </w:trPr>
        <w:tc>
          <w:tcPr>
            <w:tcW w:w="0" w:type="auto"/>
            <w:shd w:val="clear" w:color="auto" w:fill="auto"/>
          </w:tcPr>
          <w:p w14:paraId="7EDC7B9C" w14:textId="77777777" w:rsidR="008C5CFA" w:rsidRPr="00601E29" w:rsidRDefault="00E82A60" w:rsidP="00300A01">
            <w:pPr>
              <w:spacing w:before="0" w:after="0"/>
              <w:rPr>
                <w:b/>
                <w:sz w:val="10"/>
                <w:szCs w:val="10"/>
                <w:lang w:val="fr-BE"/>
              </w:rPr>
            </w:pPr>
            <w:r w:rsidRPr="00601E29">
              <w:rPr>
                <w:b/>
                <w:noProof/>
                <w:sz w:val="10"/>
                <w:szCs w:val="10"/>
                <w:lang w:val="fr-BE"/>
              </w:rPr>
              <w:t>ID</w:t>
            </w:r>
          </w:p>
        </w:tc>
        <w:tc>
          <w:tcPr>
            <w:tcW w:w="0" w:type="auto"/>
            <w:shd w:val="clear" w:color="auto" w:fill="auto"/>
          </w:tcPr>
          <w:p w14:paraId="6B7EFCFE" w14:textId="77777777" w:rsidR="008C5CFA" w:rsidRPr="00601E29" w:rsidRDefault="00E82A60" w:rsidP="00300A01">
            <w:pPr>
              <w:spacing w:before="0" w:after="0"/>
              <w:rPr>
                <w:b/>
                <w:sz w:val="10"/>
                <w:szCs w:val="10"/>
                <w:lang w:val="fr-BE"/>
              </w:rPr>
            </w:pPr>
            <w:r w:rsidRPr="00601E29">
              <w:rPr>
                <w:b/>
                <w:noProof/>
                <w:sz w:val="10"/>
                <w:szCs w:val="10"/>
                <w:lang w:val="fr-BE"/>
              </w:rPr>
              <w:t>Wskaźnik</w:t>
            </w:r>
          </w:p>
        </w:tc>
        <w:tc>
          <w:tcPr>
            <w:tcW w:w="0" w:type="auto"/>
            <w:shd w:val="clear" w:color="auto" w:fill="auto"/>
          </w:tcPr>
          <w:p w14:paraId="01BC8241" w14:textId="77777777" w:rsidR="008C5CFA" w:rsidRPr="00601E29" w:rsidRDefault="00E82A60" w:rsidP="00300A01">
            <w:pPr>
              <w:spacing w:before="0" w:after="0"/>
              <w:rPr>
                <w:b/>
                <w:sz w:val="10"/>
                <w:szCs w:val="10"/>
                <w:lang w:val="fr-BE"/>
              </w:rPr>
            </w:pPr>
            <w:r w:rsidRPr="00601E29">
              <w:rPr>
                <w:b/>
                <w:noProof/>
                <w:sz w:val="10"/>
                <w:szCs w:val="10"/>
                <w:lang w:val="fr-BE"/>
              </w:rPr>
              <w:t>Kategoria regionu</w:t>
            </w:r>
          </w:p>
        </w:tc>
        <w:tc>
          <w:tcPr>
            <w:tcW w:w="0" w:type="auto"/>
            <w:gridSpan w:val="7"/>
          </w:tcPr>
          <w:p w14:paraId="37DDB355" w14:textId="77777777" w:rsidR="008C5CFA" w:rsidRPr="00601E29" w:rsidRDefault="00E82A60" w:rsidP="00300A01">
            <w:pPr>
              <w:spacing w:before="0" w:after="0"/>
              <w:jc w:val="center"/>
              <w:rPr>
                <w:b/>
                <w:sz w:val="10"/>
                <w:szCs w:val="10"/>
                <w:lang w:val="fr-BE"/>
              </w:rPr>
            </w:pPr>
            <w:r>
              <w:rPr>
                <w:b/>
                <w:sz w:val="10"/>
                <w:szCs w:val="10"/>
                <w:lang w:val="fr-BE"/>
              </w:rPr>
              <w:t>2018</w:t>
            </w:r>
          </w:p>
        </w:tc>
        <w:tc>
          <w:tcPr>
            <w:tcW w:w="0" w:type="auto"/>
            <w:gridSpan w:val="7"/>
          </w:tcPr>
          <w:p w14:paraId="4F3594CE" w14:textId="77777777" w:rsidR="008C5CFA" w:rsidRPr="00601E29" w:rsidRDefault="00E82A60" w:rsidP="00300A01">
            <w:pPr>
              <w:spacing w:before="0" w:after="0"/>
              <w:jc w:val="center"/>
              <w:rPr>
                <w:b/>
                <w:sz w:val="10"/>
                <w:szCs w:val="10"/>
                <w:lang w:val="fr-BE"/>
              </w:rPr>
            </w:pPr>
            <w:r>
              <w:rPr>
                <w:b/>
                <w:sz w:val="10"/>
                <w:szCs w:val="10"/>
                <w:lang w:val="fr-BE"/>
              </w:rPr>
              <w:t>2017</w:t>
            </w:r>
          </w:p>
        </w:tc>
      </w:tr>
      <w:tr w:rsidR="006B2EC1" w14:paraId="52DF60F7" w14:textId="77777777" w:rsidTr="0047688D">
        <w:trPr>
          <w:tblHeader/>
        </w:trPr>
        <w:tc>
          <w:tcPr>
            <w:tcW w:w="0" w:type="auto"/>
            <w:shd w:val="clear" w:color="auto" w:fill="auto"/>
          </w:tcPr>
          <w:p w14:paraId="215D79A7" w14:textId="77777777" w:rsidR="008C5CFA" w:rsidRPr="00601E29" w:rsidRDefault="008C5CFA" w:rsidP="00300A01">
            <w:pPr>
              <w:spacing w:before="0" w:after="0"/>
              <w:rPr>
                <w:b/>
                <w:sz w:val="10"/>
                <w:szCs w:val="10"/>
                <w:lang w:val="fr-BE"/>
              </w:rPr>
            </w:pPr>
          </w:p>
        </w:tc>
        <w:tc>
          <w:tcPr>
            <w:tcW w:w="0" w:type="auto"/>
            <w:shd w:val="clear" w:color="auto" w:fill="auto"/>
          </w:tcPr>
          <w:p w14:paraId="1A10C480" w14:textId="77777777" w:rsidR="008C5CFA" w:rsidRPr="00601E29" w:rsidRDefault="008C5CFA" w:rsidP="00300A01">
            <w:pPr>
              <w:spacing w:before="0" w:after="0"/>
              <w:rPr>
                <w:b/>
                <w:sz w:val="10"/>
                <w:szCs w:val="10"/>
                <w:lang w:val="fr-BE"/>
              </w:rPr>
            </w:pPr>
          </w:p>
        </w:tc>
        <w:tc>
          <w:tcPr>
            <w:tcW w:w="0" w:type="auto"/>
            <w:shd w:val="clear" w:color="auto" w:fill="auto"/>
          </w:tcPr>
          <w:p w14:paraId="104F2B42" w14:textId="77777777" w:rsidR="008C5CFA" w:rsidRPr="00601E29" w:rsidRDefault="008C5CFA" w:rsidP="00300A01">
            <w:pPr>
              <w:spacing w:before="0" w:after="0"/>
              <w:rPr>
                <w:b/>
                <w:sz w:val="10"/>
                <w:szCs w:val="10"/>
                <w:lang w:val="fr-BE"/>
              </w:rPr>
            </w:pPr>
          </w:p>
        </w:tc>
        <w:tc>
          <w:tcPr>
            <w:tcW w:w="0" w:type="auto"/>
            <w:gridSpan w:val="3"/>
          </w:tcPr>
          <w:p w14:paraId="483B44C3" w14:textId="77777777" w:rsidR="008C5CFA" w:rsidRPr="00601E29" w:rsidRDefault="00E82A60" w:rsidP="00300A01">
            <w:pPr>
              <w:spacing w:before="0" w:after="0"/>
              <w:jc w:val="center"/>
              <w:rPr>
                <w:b/>
                <w:sz w:val="10"/>
                <w:szCs w:val="10"/>
                <w:lang w:val="fr-BE"/>
              </w:rPr>
            </w:pPr>
            <w:r w:rsidRPr="00601E29">
              <w:rPr>
                <w:b/>
                <w:noProof/>
                <w:sz w:val="10"/>
                <w:szCs w:val="10"/>
                <w:lang w:val="fr-BE"/>
              </w:rPr>
              <w:t>Łącznie</w:t>
            </w:r>
          </w:p>
        </w:tc>
        <w:tc>
          <w:tcPr>
            <w:tcW w:w="0" w:type="auto"/>
            <w:gridSpan w:val="3"/>
          </w:tcPr>
          <w:p w14:paraId="24C9D91D" w14:textId="77777777" w:rsidR="008C5CFA" w:rsidRPr="00601E29" w:rsidRDefault="00E82A60" w:rsidP="00300A01">
            <w:pPr>
              <w:spacing w:before="0" w:after="0"/>
              <w:jc w:val="center"/>
              <w:rPr>
                <w:b/>
                <w:sz w:val="10"/>
                <w:szCs w:val="10"/>
                <w:lang w:val="fr-BE"/>
              </w:rPr>
            </w:pPr>
            <w:r w:rsidRPr="00601E29">
              <w:rPr>
                <w:b/>
                <w:noProof/>
                <w:sz w:val="10"/>
                <w:szCs w:val="10"/>
                <w:lang w:val="fr-BE"/>
              </w:rPr>
              <w:t>Łącznie w roku</w:t>
            </w:r>
          </w:p>
        </w:tc>
        <w:tc>
          <w:tcPr>
            <w:tcW w:w="0" w:type="auto"/>
          </w:tcPr>
          <w:p w14:paraId="6E9AF311" w14:textId="77777777" w:rsidR="008C5CFA" w:rsidRPr="00601E29" w:rsidRDefault="00E82A60" w:rsidP="00300A01">
            <w:pPr>
              <w:spacing w:before="0" w:after="0"/>
              <w:jc w:val="center"/>
              <w:rPr>
                <w:b/>
                <w:sz w:val="10"/>
                <w:szCs w:val="10"/>
                <w:lang w:val="fr-BE"/>
              </w:rPr>
            </w:pPr>
            <w:r w:rsidRPr="00601E29">
              <w:rPr>
                <w:b/>
                <w:noProof/>
                <w:sz w:val="10"/>
                <w:szCs w:val="10"/>
                <w:lang w:val="fr-BE"/>
              </w:rPr>
              <w:t>Jakościowe</w:t>
            </w:r>
          </w:p>
        </w:tc>
        <w:tc>
          <w:tcPr>
            <w:tcW w:w="0" w:type="auto"/>
            <w:gridSpan w:val="3"/>
          </w:tcPr>
          <w:p w14:paraId="496BC298" w14:textId="77777777" w:rsidR="008C5CFA" w:rsidRPr="00601E29" w:rsidRDefault="00E82A60" w:rsidP="00300A01">
            <w:pPr>
              <w:spacing w:before="0" w:after="0"/>
              <w:jc w:val="center"/>
              <w:rPr>
                <w:b/>
                <w:sz w:val="10"/>
                <w:szCs w:val="10"/>
                <w:lang w:val="fr-BE"/>
              </w:rPr>
            </w:pPr>
            <w:r w:rsidRPr="00601E29">
              <w:rPr>
                <w:b/>
                <w:noProof/>
                <w:sz w:val="10"/>
                <w:szCs w:val="10"/>
                <w:lang w:val="fr-BE"/>
              </w:rPr>
              <w:t>Łącznie</w:t>
            </w:r>
          </w:p>
        </w:tc>
        <w:tc>
          <w:tcPr>
            <w:tcW w:w="0" w:type="auto"/>
            <w:gridSpan w:val="3"/>
          </w:tcPr>
          <w:p w14:paraId="46151EF4" w14:textId="77777777" w:rsidR="008C5CFA" w:rsidRPr="00601E29" w:rsidRDefault="00E82A60" w:rsidP="00300A01">
            <w:pPr>
              <w:spacing w:before="0" w:after="0"/>
              <w:jc w:val="center"/>
              <w:rPr>
                <w:b/>
                <w:sz w:val="10"/>
                <w:szCs w:val="10"/>
                <w:lang w:val="fr-BE"/>
              </w:rPr>
            </w:pPr>
            <w:r w:rsidRPr="00601E29">
              <w:rPr>
                <w:b/>
                <w:noProof/>
                <w:sz w:val="10"/>
                <w:szCs w:val="10"/>
                <w:lang w:val="fr-BE"/>
              </w:rPr>
              <w:t>Łącznie w roku</w:t>
            </w:r>
          </w:p>
        </w:tc>
        <w:tc>
          <w:tcPr>
            <w:tcW w:w="0" w:type="auto"/>
          </w:tcPr>
          <w:p w14:paraId="33515966" w14:textId="77777777" w:rsidR="008C5CFA" w:rsidRPr="00601E29" w:rsidRDefault="00E82A60" w:rsidP="00300A01">
            <w:pPr>
              <w:spacing w:before="0" w:after="0"/>
              <w:jc w:val="center"/>
              <w:rPr>
                <w:b/>
                <w:sz w:val="10"/>
                <w:szCs w:val="10"/>
                <w:lang w:val="fr-BE"/>
              </w:rPr>
            </w:pPr>
            <w:r w:rsidRPr="00601E29">
              <w:rPr>
                <w:b/>
                <w:noProof/>
                <w:sz w:val="10"/>
                <w:szCs w:val="10"/>
                <w:lang w:val="fr-BE"/>
              </w:rPr>
              <w:t>Jakościowe</w:t>
            </w:r>
          </w:p>
        </w:tc>
      </w:tr>
      <w:tr w:rsidR="006B2EC1" w14:paraId="65470EF1" w14:textId="77777777" w:rsidTr="0047688D">
        <w:trPr>
          <w:tblHeader/>
        </w:trPr>
        <w:tc>
          <w:tcPr>
            <w:tcW w:w="0" w:type="auto"/>
            <w:shd w:val="clear" w:color="auto" w:fill="auto"/>
          </w:tcPr>
          <w:p w14:paraId="5E97C56F" w14:textId="77777777" w:rsidR="008C5CFA" w:rsidRPr="00601E29" w:rsidRDefault="008C5CFA" w:rsidP="00300A01">
            <w:pPr>
              <w:spacing w:before="0" w:after="0"/>
              <w:rPr>
                <w:b/>
                <w:sz w:val="10"/>
                <w:szCs w:val="10"/>
                <w:lang w:val="fr-BE"/>
              </w:rPr>
            </w:pPr>
          </w:p>
        </w:tc>
        <w:tc>
          <w:tcPr>
            <w:tcW w:w="0" w:type="auto"/>
            <w:shd w:val="clear" w:color="auto" w:fill="auto"/>
          </w:tcPr>
          <w:p w14:paraId="7F7E2E21" w14:textId="77777777" w:rsidR="008C5CFA" w:rsidRPr="00601E29" w:rsidRDefault="008C5CFA" w:rsidP="00300A01">
            <w:pPr>
              <w:spacing w:before="0" w:after="0"/>
              <w:rPr>
                <w:b/>
                <w:sz w:val="10"/>
                <w:szCs w:val="10"/>
                <w:lang w:val="fr-BE"/>
              </w:rPr>
            </w:pPr>
          </w:p>
        </w:tc>
        <w:tc>
          <w:tcPr>
            <w:tcW w:w="0" w:type="auto"/>
            <w:shd w:val="clear" w:color="auto" w:fill="auto"/>
          </w:tcPr>
          <w:p w14:paraId="26BC9D07" w14:textId="77777777" w:rsidR="008C5CFA" w:rsidRPr="00601E29" w:rsidRDefault="008C5CFA" w:rsidP="00300A01">
            <w:pPr>
              <w:spacing w:before="0" w:after="0"/>
              <w:rPr>
                <w:b/>
                <w:sz w:val="10"/>
                <w:szCs w:val="10"/>
                <w:lang w:val="fr-BE"/>
              </w:rPr>
            </w:pPr>
          </w:p>
        </w:tc>
        <w:tc>
          <w:tcPr>
            <w:tcW w:w="0" w:type="auto"/>
          </w:tcPr>
          <w:p w14:paraId="2CE0E4E5" w14:textId="77777777" w:rsidR="008C5CFA" w:rsidRPr="00601E29" w:rsidRDefault="00E82A60" w:rsidP="00300A01">
            <w:pPr>
              <w:spacing w:before="0" w:after="0"/>
              <w:jc w:val="center"/>
              <w:rPr>
                <w:b/>
                <w:sz w:val="10"/>
                <w:szCs w:val="10"/>
                <w:lang w:val="fr-BE"/>
              </w:rPr>
            </w:pPr>
            <w:r w:rsidRPr="00601E29">
              <w:rPr>
                <w:b/>
                <w:noProof/>
                <w:sz w:val="10"/>
                <w:szCs w:val="10"/>
                <w:lang w:val="fr-BE"/>
              </w:rPr>
              <w:t>Ogółem</w:t>
            </w:r>
          </w:p>
        </w:tc>
        <w:tc>
          <w:tcPr>
            <w:tcW w:w="0" w:type="auto"/>
          </w:tcPr>
          <w:p w14:paraId="4AB9E661" w14:textId="77777777" w:rsidR="008C5CFA" w:rsidRPr="00601E29" w:rsidRDefault="00E82A60" w:rsidP="00300A01">
            <w:pPr>
              <w:spacing w:before="0" w:after="0"/>
              <w:jc w:val="center"/>
              <w:rPr>
                <w:b/>
                <w:sz w:val="10"/>
                <w:szCs w:val="10"/>
                <w:lang w:val="fr-BE"/>
              </w:rPr>
            </w:pPr>
            <w:r w:rsidRPr="00601E29">
              <w:rPr>
                <w:b/>
                <w:noProof/>
                <w:sz w:val="10"/>
                <w:szCs w:val="10"/>
                <w:lang w:val="fr-BE"/>
              </w:rPr>
              <w:t>Mężczyźni</w:t>
            </w:r>
          </w:p>
        </w:tc>
        <w:tc>
          <w:tcPr>
            <w:tcW w:w="0" w:type="auto"/>
          </w:tcPr>
          <w:p w14:paraId="58C7F220" w14:textId="77777777" w:rsidR="008C5CFA" w:rsidRPr="00601E29" w:rsidRDefault="00E82A60" w:rsidP="00300A01">
            <w:pPr>
              <w:spacing w:before="0" w:after="0"/>
              <w:jc w:val="center"/>
              <w:rPr>
                <w:b/>
                <w:sz w:val="10"/>
                <w:szCs w:val="10"/>
                <w:lang w:val="fr-BE"/>
              </w:rPr>
            </w:pPr>
            <w:r w:rsidRPr="00601E29">
              <w:rPr>
                <w:b/>
                <w:noProof/>
                <w:sz w:val="10"/>
                <w:szCs w:val="10"/>
                <w:lang w:val="fr-BE"/>
              </w:rPr>
              <w:t>Kobiety</w:t>
            </w:r>
          </w:p>
        </w:tc>
        <w:tc>
          <w:tcPr>
            <w:tcW w:w="0" w:type="auto"/>
          </w:tcPr>
          <w:p w14:paraId="09A09C21" w14:textId="77777777" w:rsidR="008C5CFA" w:rsidRPr="00601E29" w:rsidRDefault="00E82A60" w:rsidP="00300A01">
            <w:pPr>
              <w:spacing w:before="0" w:after="0"/>
              <w:jc w:val="center"/>
              <w:rPr>
                <w:b/>
                <w:sz w:val="10"/>
                <w:szCs w:val="10"/>
                <w:lang w:val="fr-BE"/>
              </w:rPr>
            </w:pPr>
            <w:r w:rsidRPr="00601E29">
              <w:rPr>
                <w:b/>
                <w:noProof/>
                <w:sz w:val="10"/>
                <w:szCs w:val="10"/>
                <w:lang w:val="fr-BE"/>
              </w:rPr>
              <w:t>Ogółem</w:t>
            </w:r>
          </w:p>
        </w:tc>
        <w:tc>
          <w:tcPr>
            <w:tcW w:w="0" w:type="auto"/>
          </w:tcPr>
          <w:p w14:paraId="7192640B" w14:textId="77777777" w:rsidR="008C5CFA" w:rsidRPr="00601E29" w:rsidRDefault="00E82A60" w:rsidP="00300A01">
            <w:pPr>
              <w:spacing w:before="0" w:after="0"/>
              <w:jc w:val="center"/>
              <w:rPr>
                <w:b/>
                <w:sz w:val="10"/>
                <w:szCs w:val="10"/>
                <w:lang w:val="fr-BE"/>
              </w:rPr>
            </w:pPr>
            <w:r w:rsidRPr="00601E29">
              <w:rPr>
                <w:b/>
                <w:noProof/>
                <w:sz w:val="10"/>
                <w:szCs w:val="10"/>
                <w:lang w:val="fr-BE"/>
              </w:rPr>
              <w:t>Mężczyźni</w:t>
            </w:r>
          </w:p>
        </w:tc>
        <w:tc>
          <w:tcPr>
            <w:tcW w:w="0" w:type="auto"/>
          </w:tcPr>
          <w:p w14:paraId="1814F3D5" w14:textId="77777777" w:rsidR="008C5CFA" w:rsidRPr="00601E29" w:rsidRDefault="00E82A60" w:rsidP="00300A01">
            <w:pPr>
              <w:spacing w:before="0" w:after="0"/>
              <w:jc w:val="center"/>
              <w:rPr>
                <w:b/>
                <w:sz w:val="10"/>
                <w:szCs w:val="10"/>
                <w:lang w:val="fr-BE"/>
              </w:rPr>
            </w:pPr>
            <w:r w:rsidRPr="00601E29">
              <w:rPr>
                <w:b/>
                <w:noProof/>
                <w:sz w:val="10"/>
                <w:szCs w:val="10"/>
                <w:lang w:val="fr-BE"/>
              </w:rPr>
              <w:t>Kobiety</w:t>
            </w:r>
          </w:p>
        </w:tc>
        <w:tc>
          <w:tcPr>
            <w:tcW w:w="0" w:type="auto"/>
          </w:tcPr>
          <w:p w14:paraId="76DAF357" w14:textId="77777777" w:rsidR="008C5CFA" w:rsidRPr="00601E29" w:rsidRDefault="008C5CFA" w:rsidP="00300A01">
            <w:pPr>
              <w:spacing w:before="0" w:after="0"/>
              <w:jc w:val="center"/>
              <w:rPr>
                <w:b/>
                <w:sz w:val="10"/>
                <w:szCs w:val="10"/>
                <w:lang w:val="fr-BE"/>
              </w:rPr>
            </w:pPr>
          </w:p>
        </w:tc>
        <w:tc>
          <w:tcPr>
            <w:tcW w:w="0" w:type="auto"/>
          </w:tcPr>
          <w:p w14:paraId="48B63CF4" w14:textId="77777777" w:rsidR="008C5CFA" w:rsidRPr="00601E29" w:rsidRDefault="00E82A60" w:rsidP="00300A01">
            <w:pPr>
              <w:spacing w:before="0" w:after="0"/>
              <w:jc w:val="center"/>
              <w:rPr>
                <w:b/>
                <w:sz w:val="10"/>
                <w:szCs w:val="10"/>
                <w:lang w:val="fr-BE"/>
              </w:rPr>
            </w:pPr>
            <w:r w:rsidRPr="00601E29">
              <w:rPr>
                <w:b/>
                <w:noProof/>
                <w:sz w:val="10"/>
                <w:szCs w:val="10"/>
                <w:lang w:val="fr-BE"/>
              </w:rPr>
              <w:t>Ogółem</w:t>
            </w:r>
          </w:p>
        </w:tc>
        <w:tc>
          <w:tcPr>
            <w:tcW w:w="0" w:type="auto"/>
          </w:tcPr>
          <w:p w14:paraId="124D294C" w14:textId="77777777" w:rsidR="008C5CFA" w:rsidRPr="00601E29" w:rsidRDefault="00E82A60" w:rsidP="00300A01">
            <w:pPr>
              <w:spacing w:before="0" w:after="0"/>
              <w:jc w:val="center"/>
              <w:rPr>
                <w:b/>
                <w:sz w:val="10"/>
                <w:szCs w:val="10"/>
                <w:lang w:val="fr-BE"/>
              </w:rPr>
            </w:pPr>
            <w:r w:rsidRPr="00601E29">
              <w:rPr>
                <w:b/>
                <w:noProof/>
                <w:sz w:val="10"/>
                <w:szCs w:val="10"/>
                <w:lang w:val="fr-BE"/>
              </w:rPr>
              <w:t>Mężczyźni</w:t>
            </w:r>
          </w:p>
        </w:tc>
        <w:tc>
          <w:tcPr>
            <w:tcW w:w="0" w:type="auto"/>
          </w:tcPr>
          <w:p w14:paraId="3535F51E" w14:textId="77777777" w:rsidR="008C5CFA" w:rsidRPr="00601E29" w:rsidRDefault="00E82A60" w:rsidP="00300A01">
            <w:pPr>
              <w:spacing w:before="0" w:after="0"/>
              <w:jc w:val="center"/>
              <w:rPr>
                <w:b/>
                <w:sz w:val="10"/>
                <w:szCs w:val="10"/>
                <w:lang w:val="fr-BE"/>
              </w:rPr>
            </w:pPr>
            <w:r w:rsidRPr="00601E29">
              <w:rPr>
                <w:b/>
                <w:noProof/>
                <w:sz w:val="10"/>
                <w:szCs w:val="10"/>
                <w:lang w:val="fr-BE"/>
              </w:rPr>
              <w:t>Kobiety</w:t>
            </w:r>
          </w:p>
        </w:tc>
        <w:tc>
          <w:tcPr>
            <w:tcW w:w="0" w:type="auto"/>
          </w:tcPr>
          <w:p w14:paraId="720955B0" w14:textId="77777777" w:rsidR="008C5CFA" w:rsidRPr="00601E29" w:rsidRDefault="00E82A60" w:rsidP="00300A01">
            <w:pPr>
              <w:spacing w:before="0" w:after="0"/>
              <w:jc w:val="center"/>
              <w:rPr>
                <w:b/>
                <w:sz w:val="10"/>
                <w:szCs w:val="10"/>
                <w:lang w:val="fr-BE"/>
              </w:rPr>
            </w:pPr>
            <w:r w:rsidRPr="00601E29">
              <w:rPr>
                <w:b/>
                <w:noProof/>
                <w:sz w:val="10"/>
                <w:szCs w:val="10"/>
                <w:lang w:val="fr-BE"/>
              </w:rPr>
              <w:t>Ogółem</w:t>
            </w:r>
          </w:p>
        </w:tc>
        <w:tc>
          <w:tcPr>
            <w:tcW w:w="0" w:type="auto"/>
          </w:tcPr>
          <w:p w14:paraId="6B294050" w14:textId="77777777" w:rsidR="008C5CFA" w:rsidRPr="00601E29" w:rsidRDefault="00E82A60" w:rsidP="00300A01">
            <w:pPr>
              <w:spacing w:before="0" w:after="0"/>
              <w:jc w:val="center"/>
              <w:rPr>
                <w:b/>
                <w:sz w:val="10"/>
                <w:szCs w:val="10"/>
                <w:lang w:val="fr-BE"/>
              </w:rPr>
            </w:pPr>
            <w:r w:rsidRPr="00601E29">
              <w:rPr>
                <w:b/>
                <w:noProof/>
                <w:sz w:val="10"/>
                <w:szCs w:val="10"/>
                <w:lang w:val="fr-BE"/>
              </w:rPr>
              <w:t>Mężczyźni</w:t>
            </w:r>
          </w:p>
        </w:tc>
        <w:tc>
          <w:tcPr>
            <w:tcW w:w="0" w:type="auto"/>
          </w:tcPr>
          <w:p w14:paraId="2895352D" w14:textId="77777777" w:rsidR="008C5CFA" w:rsidRPr="00601E29" w:rsidRDefault="00E82A60" w:rsidP="00300A01">
            <w:pPr>
              <w:spacing w:before="0" w:after="0"/>
              <w:jc w:val="center"/>
              <w:rPr>
                <w:b/>
                <w:sz w:val="10"/>
                <w:szCs w:val="10"/>
                <w:lang w:val="fr-BE"/>
              </w:rPr>
            </w:pPr>
            <w:r w:rsidRPr="00601E29">
              <w:rPr>
                <w:b/>
                <w:noProof/>
                <w:sz w:val="10"/>
                <w:szCs w:val="10"/>
                <w:lang w:val="fr-BE"/>
              </w:rPr>
              <w:t>Kobiety</w:t>
            </w:r>
          </w:p>
        </w:tc>
        <w:tc>
          <w:tcPr>
            <w:tcW w:w="0" w:type="auto"/>
          </w:tcPr>
          <w:p w14:paraId="7F25B96A" w14:textId="77777777" w:rsidR="008C5CFA" w:rsidRPr="00601E29" w:rsidRDefault="008C5CFA" w:rsidP="00300A01">
            <w:pPr>
              <w:spacing w:before="0" w:after="0"/>
              <w:jc w:val="center"/>
              <w:rPr>
                <w:b/>
                <w:sz w:val="10"/>
                <w:szCs w:val="10"/>
                <w:lang w:val="fr-BE"/>
              </w:rPr>
            </w:pPr>
          </w:p>
        </w:tc>
      </w:tr>
      <w:tr w:rsidR="006B2EC1" w14:paraId="63C644E1" w14:textId="77777777" w:rsidTr="0047688D">
        <w:tc>
          <w:tcPr>
            <w:tcW w:w="0" w:type="auto"/>
            <w:shd w:val="clear" w:color="auto" w:fill="auto"/>
          </w:tcPr>
          <w:p w14:paraId="72152211" w14:textId="77777777" w:rsidR="008C5CFA" w:rsidRPr="00601E29" w:rsidRDefault="00E82A60" w:rsidP="00300A01">
            <w:pPr>
              <w:spacing w:before="0" w:after="0"/>
              <w:rPr>
                <w:sz w:val="10"/>
                <w:szCs w:val="10"/>
                <w:lang w:val="fr-BE"/>
              </w:rPr>
            </w:pPr>
            <w:r w:rsidRPr="00601E29">
              <w:rPr>
                <w:noProof/>
                <w:sz w:val="10"/>
                <w:szCs w:val="10"/>
                <w:lang w:val="fr-BE"/>
              </w:rPr>
              <w:t>141</w:t>
            </w:r>
          </w:p>
        </w:tc>
        <w:tc>
          <w:tcPr>
            <w:tcW w:w="0" w:type="auto"/>
            <w:shd w:val="clear" w:color="auto" w:fill="auto"/>
          </w:tcPr>
          <w:p w14:paraId="2FC8E34F" w14:textId="77777777" w:rsidR="008C5CFA" w:rsidRPr="00601E29" w:rsidRDefault="00E82A60" w:rsidP="00300A01">
            <w:pPr>
              <w:spacing w:before="0" w:after="0"/>
              <w:rPr>
                <w:sz w:val="10"/>
                <w:szCs w:val="10"/>
                <w:lang w:val="fr-BE"/>
              </w:rPr>
            </w:pPr>
            <w:r w:rsidRPr="00601E29">
              <w:rPr>
                <w:noProof/>
                <w:sz w:val="10"/>
                <w:szCs w:val="10"/>
                <w:lang w:val="fr-BE"/>
              </w:rPr>
              <w:t>Liczba osób, które powróciły na rynek pracy po przerwie związanej z urodzeniem/wychowaniem dziecka lub utrzymały zatrudnienie, po opuszczeniu programu</w:t>
            </w:r>
          </w:p>
        </w:tc>
        <w:tc>
          <w:tcPr>
            <w:tcW w:w="0" w:type="auto"/>
            <w:shd w:val="clear" w:color="auto" w:fill="auto"/>
          </w:tcPr>
          <w:p w14:paraId="48C50E5D" w14:textId="77777777" w:rsidR="008C5CFA" w:rsidRPr="00601E29" w:rsidRDefault="00E82A60" w:rsidP="00300A01">
            <w:pPr>
              <w:spacing w:before="0" w:after="0"/>
              <w:rPr>
                <w:sz w:val="10"/>
                <w:szCs w:val="10"/>
                <w:lang w:val="fr-BE"/>
              </w:rPr>
            </w:pPr>
            <w:r w:rsidRPr="00601E29">
              <w:rPr>
                <w:noProof/>
                <w:sz w:val="10"/>
                <w:szCs w:val="10"/>
                <w:lang w:val="fr-BE"/>
              </w:rPr>
              <w:t>Słabiej rozwinięte</w:t>
            </w:r>
          </w:p>
        </w:tc>
        <w:tc>
          <w:tcPr>
            <w:tcW w:w="0" w:type="auto"/>
          </w:tcPr>
          <w:p w14:paraId="4AC4D642" w14:textId="77777777" w:rsidR="008C5CFA" w:rsidRPr="00601E29" w:rsidRDefault="00E82A60" w:rsidP="00300A01">
            <w:pPr>
              <w:spacing w:before="0" w:after="0"/>
              <w:jc w:val="right"/>
              <w:rPr>
                <w:sz w:val="10"/>
                <w:szCs w:val="10"/>
                <w:lang w:val="fr-BE"/>
              </w:rPr>
            </w:pPr>
            <w:r w:rsidRPr="00601E29">
              <w:rPr>
                <w:noProof/>
                <w:sz w:val="10"/>
                <w:szCs w:val="10"/>
                <w:lang w:val="fr-BE"/>
              </w:rPr>
              <w:t>136,00</w:t>
            </w:r>
          </w:p>
        </w:tc>
        <w:tc>
          <w:tcPr>
            <w:tcW w:w="0" w:type="auto"/>
          </w:tcPr>
          <w:p w14:paraId="7C5C7EF6"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037F8D2C"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4F577061" w14:textId="77777777" w:rsidR="008C5CFA" w:rsidRPr="00601E29" w:rsidRDefault="00E82A60" w:rsidP="00300A01">
            <w:pPr>
              <w:spacing w:before="0" w:after="0"/>
              <w:jc w:val="right"/>
              <w:rPr>
                <w:sz w:val="10"/>
                <w:szCs w:val="10"/>
                <w:lang w:val="fr-BE"/>
              </w:rPr>
            </w:pPr>
            <w:r w:rsidRPr="00601E29">
              <w:rPr>
                <w:noProof/>
                <w:sz w:val="10"/>
                <w:szCs w:val="10"/>
                <w:lang w:val="fr-BE"/>
              </w:rPr>
              <w:t>112,00</w:t>
            </w:r>
          </w:p>
        </w:tc>
        <w:tc>
          <w:tcPr>
            <w:tcW w:w="0" w:type="auto"/>
          </w:tcPr>
          <w:p w14:paraId="687F1732"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6EA9D0D2"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03BD0B91" w14:textId="77777777" w:rsidR="008C5CFA" w:rsidRPr="00601E29" w:rsidRDefault="008C5CFA" w:rsidP="00300A01">
            <w:pPr>
              <w:spacing w:before="0" w:after="0"/>
              <w:jc w:val="right"/>
              <w:rPr>
                <w:sz w:val="10"/>
                <w:szCs w:val="10"/>
                <w:lang w:val="fr-BE"/>
              </w:rPr>
            </w:pPr>
          </w:p>
        </w:tc>
        <w:tc>
          <w:tcPr>
            <w:tcW w:w="0" w:type="auto"/>
          </w:tcPr>
          <w:p w14:paraId="06717626" w14:textId="77777777" w:rsidR="008C5CFA" w:rsidRPr="00601E29" w:rsidRDefault="00E82A60" w:rsidP="00300A01">
            <w:pPr>
              <w:spacing w:before="0" w:after="0"/>
              <w:jc w:val="right"/>
              <w:rPr>
                <w:sz w:val="10"/>
                <w:szCs w:val="10"/>
                <w:lang w:val="fr-BE"/>
              </w:rPr>
            </w:pPr>
            <w:r w:rsidRPr="00601E29">
              <w:rPr>
                <w:noProof/>
                <w:sz w:val="10"/>
                <w:szCs w:val="10"/>
                <w:lang w:val="fr-BE"/>
              </w:rPr>
              <w:t>24,00</w:t>
            </w:r>
          </w:p>
        </w:tc>
        <w:tc>
          <w:tcPr>
            <w:tcW w:w="0" w:type="auto"/>
          </w:tcPr>
          <w:p w14:paraId="49CE3352"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0693AE61"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6A956DB1" w14:textId="77777777" w:rsidR="008C5CFA" w:rsidRPr="00601E29" w:rsidRDefault="00E82A60" w:rsidP="00300A01">
            <w:pPr>
              <w:spacing w:before="0" w:after="0"/>
              <w:jc w:val="right"/>
              <w:rPr>
                <w:sz w:val="10"/>
                <w:szCs w:val="10"/>
                <w:lang w:val="fr-BE"/>
              </w:rPr>
            </w:pPr>
            <w:r w:rsidRPr="00601E29">
              <w:rPr>
                <w:noProof/>
                <w:sz w:val="10"/>
                <w:szCs w:val="10"/>
                <w:lang w:val="fr-BE"/>
              </w:rPr>
              <w:t>24,00</w:t>
            </w:r>
          </w:p>
        </w:tc>
        <w:tc>
          <w:tcPr>
            <w:tcW w:w="0" w:type="auto"/>
          </w:tcPr>
          <w:p w14:paraId="019E10D2"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27F802E3"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70937396" w14:textId="77777777" w:rsidR="008C5CFA" w:rsidRPr="00601E29" w:rsidRDefault="008C5CFA" w:rsidP="00300A01">
            <w:pPr>
              <w:spacing w:before="0" w:after="0"/>
              <w:jc w:val="right"/>
              <w:rPr>
                <w:sz w:val="10"/>
                <w:szCs w:val="10"/>
                <w:lang w:val="fr-BE"/>
              </w:rPr>
            </w:pPr>
          </w:p>
        </w:tc>
      </w:tr>
      <w:tr w:rsidR="006B2EC1" w14:paraId="70EDD9A5" w14:textId="77777777" w:rsidTr="0047688D">
        <w:tc>
          <w:tcPr>
            <w:tcW w:w="0" w:type="auto"/>
            <w:shd w:val="clear" w:color="auto" w:fill="auto"/>
          </w:tcPr>
          <w:p w14:paraId="484D45E0" w14:textId="77777777" w:rsidR="008C5CFA" w:rsidRPr="00601E29" w:rsidRDefault="00E82A60" w:rsidP="00300A01">
            <w:pPr>
              <w:spacing w:before="0" w:after="0"/>
              <w:rPr>
                <w:sz w:val="10"/>
                <w:szCs w:val="10"/>
                <w:lang w:val="fr-BE"/>
              </w:rPr>
            </w:pPr>
            <w:r w:rsidRPr="00601E29">
              <w:rPr>
                <w:noProof/>
                <w:sz w:val="10"/>
                <w:szCs w:val="10"/>
                <w:lang w:val="fr-BE"/>
              </w:rPr>
              <w:t>003</w:t>
            </w:r>
          </w:p>
        </w:tc>
        <w:tc>
          <w:tcPr>
            <w:tcW w:w="0" w:type="auto"/>
            <w:shd w:val="clear" w:color="auto" w:fill="auto"/>
          </w:tcPr>
          <w:p w14:paraId="577E8FEB" w14:textId="77777777" w:rsidR="008C5CFA" w:rsidRPr="00601E29" w:rsidRDefault="00E82A60" w:rsidP="00300A01">
            <w:pPr>
              <w:spacing w:before="0" w:after="0"/>
              <w:rPr>
                <w:sz w:val="10"/>
                <w:szCs w:val="10"/>
                <w:lang w:val="fr-BE"/>
              </w:rPr>
            </w:pPr>
            <w:r w:rsidRPr="00601E29">
              <w:rPr>
                <w:noProof/>
                <w:sz w:val="10"/>
                <w:szCs w:val="10"/>
                <w:lang w:val="fr-BE"/>
              </w:rPr>
              <w:t>Liczba osób pozostających bez pracy, które znalazły pracę lub poszukują pracy po opuszczeniu programu</w:t>
            </w:r>
          </w:p>
        </w:tc>
        <w:tc>
          <w:tcPr>
            <w:tcW w:w="0" w:type="auto"/>
            <w:shd w:val="clear" w:color="auto" w:fill="auto"/>
          </w:tcPr>
          <w:p w14:paraId="2D6419A4" w14:textId="77777777" w:rsidR="008C5CFA" w:rsidRPr="00601E29" w:rsidRDefault="00E82A60" w:rsidP="00300A01">
            <w:pPr>
              <w:spacing w:before="0" w:after="0"/>
              <w:rPr>
                <w:sz w:val="10"/>
                <w:szCs w:val="10"/>
                <w:lang w:val="fr-BE"/>
              </w:rPr>
            </w:pPr>
            <w:r w:rsidRPr="00601E29">
              <w:rPr>
                <w:noProof/>
                <w:sz w:val="10"/>
                <w:szCs w:val="10"/>
                <w:lang w:val="fr-BE"/>
              </w:rPr>
              <w:t>Słabiej rozwinięte</w:t>
            </w:r>
          </w:p>
        </w:tc>
        <w:tc>
          <w:tcPr>
            <w:tcW w:w="0" w:type="auto"/>
          </w:tcPr>
          <w:p w14:paraId="7438784D" w14:textId="77777777" w:rsidR="008C5CFA" w:rsidRPr="00601E29" w:rsidRDefault="00E82A60" w:rsidP="00300A01">
            <w:pPr>
              <w:spacing w:before="0" w:after="0"/>
              <w:jc w:val="right"/>
              <w:rPr>
                <w:sz w:val="10"/>
                <w:szCs w:val="10"/>
                <w:lang w:val="fr-BE"/>
              </w:rPr>
            </w:pPr>
            <w:r w:rsidRPr="00601E29">
              <w:rPr>
                <w:noProof/>
                <w:sz w:val="10"/>
                <w:szCs w:val="10"/>
                <w:lang w:val="fr-BE"/>
              </w:rPr>
              <w:t>185,00</w:t>
            </w:r>
          </w:p>
        </w:tc>
        <w:tc>
          <w:tcPr>
            <w:tcW w:w="0" w:type="auto"/>
          </w:tcPr>
          <w:p w14:paraId="356C0601"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0C2F1AB9"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0620F431" w14:textId="77777777" w:rsidR="008C5CFA" w:rsidRPr="00601E29" w:rsidRDefault="00E82A60" w:rsidP="00300A01">
            <w:pPr>
              <w:spacing w:before="0" w:after="0"/>
              <w:jc w:val="right"/>
              <w:rPr>
                <w:sz w:val="10"/>
                <w:szCs w:val="10"/>
                <w:lang w:val="fr-BE"/>
              </w:rPr>
            </w:pPr>
            <w:r w:rsidRPr="00601E29">
              <w:rPr>
                <w:noProof/>
                <w:sz w:val="10"/>
                <w:szCs w:val="10"/>
                <w:lang w:val="fr-BE"/>
              </w:rPr>
              <w:t>137,00</w:t>
            </w:r>
          </w:p>
        </w:tc>
        <w:tc>
          <w:tcPr>
            <w:tcW w:w="0" w:type="auto"/>
          </w:tcPr>
          <w:p w14:paraId="3944AC21"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1A8C4DE6"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13953737" w14:textId="77777777" w:rsidR="008C5CFA" w:rsidRPr="00601E29" w:rsidRDefault="008C5CFA" w:rsidP="00300A01">
            <w:pPr>
              <w:spacing w:before="0" w:after="0"/>
              <w:jc w:val="right"/>
              <w:rPr>
                <w:sz w:val="10"/>
                <w:szCs w:val="10"/>
                <w:lang w:val="fr-BE"/>
              </w:rPr>
            </w:pPr>
          </w:p>
        </w:tc>
        <w:tc>
          <w:tcPr>
            <w:tcW w:w="0" w:type="auto"/>
          </w:tcPr>
          <w:p w14:paraId="5E73F778" w14:textId="77777777" w:rsidR="008C5CFA" w:rsidRPr="00601E29" w:rsidRDefault="00E82A60" w:rsidP="00300A01">
            <w:pPr>
              <w:spacing w:before="0" w:after="0"/>
              <w:jc w:val="right"/>
              <w:rPr>
                <w:sz w:val="10"/>
                <w:szCs w:val="10"/>
                <w:lang w:val="fr-BE"/>
              </w:rPr>
            </w:pPr>
            <w:r w:rsidRPr="00601E29">
              <w:rPr>
                <w:noProof/>
                <w:sz w:val="10"/>
                <w:szCs w:val="10"/>
                <w:lang w:val="fr-BE"/>
              </w:rPr>
              <w:t>48,00</w:t>
            </w:r>
          </w:p>
        </w:tc>
        <w:tc>
          <w:tcPr>
            <w:tcW w:w="0" w:type="auto"/>
          </w:tcPr>
          <w:p w14:paraId="21E9A32B"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1B2563AB"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046D4FB2" w14:textId="77777777" w:rsidR="008C5CFA" w:rsidRPr="00601E29" w:rsidRDefault="00E82A60" w:rsidP="00300A01">
            <w:pPr>
              <w:spacing w:before="0" w:after="0"/>
              <w:jc w:val="right"/>
              <w:rPr>
                <w:sz w:val="10"/>
                <w:szCs w:val="10"/>
                <w:lang w:val="fr-BE"/>
              </w:rPr>
            </w:pPr>
            <w:r w:rsidRPr="00601E29">
              <w:rPr>
                <w:noProof/>
                <w:sz w:val="10"/>
                <w:szCs w:val="10"/>
                <w:lang w:val="fr-BE"/>
              </w:rPr>
              <w:t>48,00</w:t>
            </w:r>
          </w:p>
        </w:tc>
        <w:tc>
          <w:tcPr>
            <w:tcW w:w="0" w:type="auto"/>
          </w:tcPr>
          <w:p w14:paraId="70971875"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6F923491"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56F78673" w14:textId="77777777" w:rsidR="008C5CFA" w:rsidRPr="00601E29" w:rsidRDefault="008C5CFA" w:rsidP="00300A01">
            <w:pPr>
              <w:spacing w:before="0" w:after="0"/>
              <w:jc w:val="right"/>
              <w:rPr>
                <w:sz w:val="10"/>
                <w:szCs w:val="10"/>
                <w:lang w:val="fr-BE"/>
              </w:rPr>
            </w:pPr>
          </w:p>
        </w:tc>
      </w:tr>
      <w:tr w:rsidR="006B2EC1" w14:paraId="12F1E7E5" w14:textId="77777777" w:rsidTr="0047688D">
        <w:tc>
          <w:tcPr>
            <w:tcW w:w="0" w:type="auto"/>
            <w:shd w:val="clear" w:color="auto" w:fill="auto"/>
          </w:tcPr>
          <w:p w14:paraId="6FC3700C" w14:textId="77777777" w:rsidR="008C5CFA" w:rsidRPr="00601E29" w:rsidRDefault="00E82A60" w:rsidP="00300A01">
            <w:pPr>
              <w:spacing w:before="0" w:after="0"/>
              <w:rPr>
                <w:sz w:val="10"/>
                <w:szCs w:val="10"/>
                <w:lang w:val="fr-BE"/>
              </w:rPr>
            </w:pPr>
            <w:r w:rsidRPr="00601E29">
              <w:rPr>
                <w:noProof/>
                <w:sz w:val="10"/>
                <w:szCs w:val="10"/>
                <w:lang w:val="fr-BE"/>
              </w:rPr>
              <w:t>004</w:t>
            </w:r>
          </w:p>
        </w:tc>
        <w:tc>
          <w:tcPr>
            <w:tcW w:w="0" w:type="auto"/>
            <w:shd w:val="clear" w:color="auto" w:fill="auto"/>
          </w:tcPr>
          <w:p w14:paraId="37AE65C9" w14:textId="77777777" w:rsidR="008C5CFA" w:rsidRPr="00601E29" w:rsidRDefault="00E82A60" w:rsidP="00300A01">
            <w:pPr>
              <w:spacing w:before="0" w:after="0"/>
              <w:rPr>
                <w:sz w:val="10"/>
                <w:szCs w:val="10"/>
                <w:lang w:val="fr-BE"/>
              </w:rPr>
            </w:pPr>
            <w:r w:rsidRPr="00601E29">
              <w:rPr>
                <w:noProof/>
                <w:sz w:val="10"/>
                <w:szCs w:val="10"/>
                <w:lang w:val="fr-BE"/>
              </w:rPr>
              <w:t>Liczba utworzonych miejsc opieki nad dziećmi w wieku do lat 3, które funkcjonują 2 lata po uzyskaniu dofinansowania ze środków EFS</w:t>
            </w:r>
          </w:p>
        </w:tc>
        <w:tc>
          <w:tcPr>
            <w:tcW w:w="0" w:type="auto"/>
            <w:shd w:val="clear" w:color="auto" w:fill="auto"/>
          </w:tcPr>
          <w:p w14:paraId="38839960" w14:textId="77777777" w:rsidR="008C5CFA" w:rsidRPr="00601E29" w:rsidRDefault="00E82A60" w:rsidP="00300A01">
            <w:pPr>
              <w:spacing w:before="0" w:after="0"/>
              <w:rPr>
                <w:sz w:val="10"/>
                <w:szCs w:val="10"/>
                <w:lang w:val="fr-BE"/>
              </w:rPr>
            </w:pPr>
            <w:r w:rsidRPr="00601E29">
              <w:rPr>
                <w:noProof/>
                <w:sz w:val="10"/>
                <w:szCs w:val="10"/>
                <w:lang w:val="fr-BE"/>
              </w:rPr>
              <w:t>Słabiej rozwinięte</w:t>
            </w:r>
          </w:p>
        </w:tc>
        <w:tc>
          <w:tcPr>
            <w:tcW w:w="0" w:type="auto"/>
          </w:tcPr>
          <w:p w14:paraId="2B9FCB0C"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2C3D56AA"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4832804A"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54706A21"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77A44642"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74283CBF"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46AF6572" w14:textId="77777777" w:rsidR="008C5CFA" w:rsidRPr="00601E29" w:rsidRDefault="008C5CFA" w:rsidP="00300A01">
            <w:pPr>
              <w:spacing w:before="0" w:after="0"/>
              <w:jc w:val="right"/>
              <w:rPr>
                <w:sz w:val="10"/>
                <w:szCs w:val="10"/>
                <w:lang w:val="fr-BE"/>
              </w:rPr>
            </w:pPr>
          </w:p>
        </w:tc>
        <w:tc>
          <w:tcPr>
            <w:tcW w:w="0" w:type="auto"/>
          </w:tcPr>
          <w:p w14:paraId="51D39C35"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3E1C7645"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64F206D0"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33FC39EC"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6E46DCD6"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2F92F03C"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3316F641" w14:textId="77777777" w:rsidR="008C5CFA" w:rsidRPr="00601E29" w:rsidRDefault="008C5CFA" w:rsidP="00300A01">
            <w:pPr>
              <w:spacing w:before="0" w:after="0"/>
              <w:jc w:val="right"/>
              <w:rPr>
                <w:sz w:val="10"/>
                <w:szCs w:val="10"/>
                <w:lang w:val="fr-BE"/>
              </w:rPr>
            </w:pPr>
          </w:p>
        </w:tc>
      </w:tr>
    </w:tbl>
    <w:p w14:paraId="6559EC38"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71"/>
        <w:gridCol w:w="6719"/>
        <w:gridCol w:w="922"/>
        <w:gridCol w:w="462"/>
        <w:gridCol w:w="581"/>
        <w:gridCol w:w="467"/>
        <w:gridCol w:w="462"/>
        <w:gridCol w:w="581"/>
        <w:gridCol w:w="467"/>
        <w:gridCol w:w="616"/>
        <w:gridCol w:w="462"/>
        <w:gridCol w:w="581"/>
        <w:gridCol w:w="467"/>
        <w:gridCol w:w="462"/>
        <w:gridCol w:w="581"/>
        <w:gridCol w:w="467"/>
        <w:gridCol w:w="616"/>
      </w:tblGrid>
      <w:tr w:rsidR="006B2EC1" w14:paraId="4E72D8D7" w14:textId="77777777" w:rsidTr="0047688D">
        <w:trPr>
          <w:tblHeader/>
        </w:trPr>
        <w:tc>
          <w:tcPr>
            <w:tcW w:w="0" w:type="auto"/>
            <w:shd w:val="clear" w:color="auto" w:fill="auto"/>
          </w:tcPr>
          <w:p w14:paraId="45C80ABE" w14:textId="77777777" w:rsidR="008C5CFA" w:rsidRPr="00601E29" w:rsidRDefault="00E82A60" w:rsidP="00300A01">
            <w:pPr>
              <w:spacing w:before="0" w:after="0"/>
              <w:rPr>
                <w:b/>
                <w:sz w:val="10"/>
                <w:szCs w:val="10"/>
                <w:lang w:val="fr-BE"/>
              </w:rPr>
            </w:pPr>
            <w:r w:rsidRPr="00601E29">
              <w:rPr>
                <w:b/>
                <w:noProof/>
                <w:sz w:val="10"/>
                <w:szCs w:val="10"/>
                <w:lang w:val="fr-BE"/>
              </w:rPr>
              <w:t>ID</w:t>
            </w:r>
          </w:p>
        </w:tc>
        <w:tc>
          <w:tcPr>
            <w:tcW w:w="0" w:type="auto"/>
            <w:shd w:val="clear" w:color="auto" w:fill="auto"/>
          </w:tcPr>
          <w:p w14:paraId="2650F22B" w14:textId="77777777" w:rsidR="008C5CFA" w:rsidRPr="00601E29" w:rsidRDefault="00E82A60" w:rsidP="00300A01">
            <w:pPr>
              <w:spacing w:before="0" w:after="0"/>
              <w:rPr>
                <w:b/>
                <w:sz w:val="10"/>
                <w:szCs w:val="10"/>
                <w:lang w:val="fr-BE"/>
              </w:rPr>
            </w:pPr>
            <w:r w:rsidRPr="00601E29">
              <w:rPr>
                <w:b/>
                <w:noProof/>
                <w:sz w:val="10"/>
                <w:szCs w:val="10"/>
                <w:lang w:val="fr-BE"/>
              </w:rPr>
              <w:t>Wskaźnik</w:t>
            </w:r>
          </w:p>
        </w:tc>
        <w:tc>
          <w:tcPr>
            <w:tcW w:w="0" w:type="auto"/>
            <w:shd w:val="clear" w:color="auto" w:fill="auto"/>
          </w:tcPr>
          <w:p w14:paraId="0A67189E" w14:textId="77777777" w:rsidR="008C5CFA" w:rsidRPr="00601E29" w:rsidRDefault="00E82A60" w:rsidP="00300A01">
            <w:pPr>
              <w:spacing w:before="0" w:after="0"/>
              <w:rPr>
                <w:b/>
                <w:sz w:val="10"/>
                <w:szCs w:val="10"/>
                <w:lang w:val="fr-BE"/>
              </w:rPr>
            </w:pPr>
            <w:r w:rsidRPr="00601E29">
              <w:rPr>
                <w:b/>
                <w:noProof/>
                <w:sz w:val="10"/>
                <w:szCs w:val="10"/>
                <w:lang w:val="fr-BE"/>
              </w:rPr>
              <w:t>Kategoria regionu</w:t>
            </w:r>
          </w:p>
        </w:tc>
        <w:tc>
          <w:tcPr>
            <w:tcW w:w="0" w:type="auto"/>
            <w:gridSpan w:val="7"/>
          </w:tcPr>
          <w:p w14:paraId="30281355" w14:textId="77777777" w:rsidR="008C5CFA" w:rsidRPr="00601E29" w:rsidRDefault="00E82A60" w:rsidP="00300A01">
            <w:pPr>
              <w:spacing w:before="0" w:after="0"/>
              <w:jc w:val="center"/>
              <w:rPr>
                <w:b/>
                <w:sz w:val="10"/>
                <w:szCs w:val="10"/>
                <w:lang w:val="fr-BE"/>
              </w:rPr>
            </w:pPr>
            <w:r>
              <w:rPr>
                <w:b/>
                <w:sz w:val="10"/>
                <w:szCs w:val="10"/>
                <w:lang w:val="fr-BE"/>
              </w:rPr>
              <w:t>2016</w:t>
            </w:r>
          </w:p>
        </w:tc>
        <w:tc>
          <w:tcPr>
            <w:tcW w:w="0" w:type="auto"/>
            <w:gridSpan w:val="7"/>
          </w:tcPr>
          <w:p w14:paraId="0C7A649F" w14:textId="77777777" w:rsidR="008C5CFA" w:rsidRPr="00601E29" w:rsidRDefault="00E82A60" w:rsidP="00300A01">
            <w:pPr>
              <w:spacing w:before="0" w:after="0"/>
              <w:jc w:val="center"/>
              <w:rPr>
                <w:b/>
                <w:sz w:val="10"/>
                <w:szCs w:val="10"/>
                <w:lang w:val="fr-BE"/>
              </w:rPr>
            </w:pPr>
            <w:r>
              <w:rPr>
                <w:b/>
                <w:sz w:val="10"/>
                <w:szCs w:val="10"/>
                <w:lang w:val="fr-BE"/>
              </w:rPr>
              <w:t>2015</w:t>
            </w:r>
          </w:p>
        </w:tc>
      </w:tr>
      <w:tr w:rsidR="006B2EC1" w14:paraId="70A6FDA8" w14:textId="77777777" w:rsidTr="0047688D">
        <w:trPr>
          <w:tblHeader/>
        </w:trPr>
        <w:tc>
          <w:tcPr>
            <w:tcW w:w="0" w:type="auto"/>
            <w:shd w:val="clear" w:color="auto" w:fill="auto"/>
          </w:tcPr>
          <w:p w14:paraId="26F588F9" w14:textId="77777777" w:rsidR="008C5CFA" w:rsidRPr="00601E29" w:rsidRDefault="008C5CFA" w:rsidP="00300A01">
            <w:pPr>
              <w:spacing w:before="0" w:after="0"/>
              <w:rPr>
                <w:b/>
                <w:sz w:val="10"/>
                <w:szCs w:val="10"/>
                <w:lang w:val="fr-BE"/>
              </w:rPr>
            </w:pPr>
          </w:p>
        </w:tc>
        <w:tc>
          <w:tcPr>
            <w:tcW w:w="0" w:type="auto"/>
            <w:shd w:val="clear" w:color="auto" w:fill="auto"/>
          </w:tcPr>
          <w:p w14:paraId="34947C45" w14:textId="77777777" w:rsidR="008C5CFA" w:rsidRPr="00601E29" w:rsidRDefault="008C5CFA" w:rsidP="00300A01">
            <w:pPr>
              <w:spacing w:before="0" w:after="0"/>
              <w:rPr>
                <w:b/>
                <w:sz w:val="10"/>
                <w:szCs w:val="10"/>
                <w:lang w:val="fr-BE"/>
              </w:rPr>
            </w:pPr>
          </w:p>
        </w:tc>
        <w:tc>
          <w:tcPr>
            <w:tcW w:w="0" w:type="auto"/>
            <w:shd w:val="clear" w:color="auto" w:fill="auto"/>
          </w:tcPr>
          <w:p w14:paraId="3F70254E" w14:textId="77777777" w:rsidR="008C5CFA" w:rsidRPr="00601E29" w:rsidRDefault="008C5CFA" w:rsidP="00300A01">
            <w:pPr>
              <w:spacing w:before="0" w:after="0"/>
              <w:rPr>
                <w:b/>
                <w:sz w:val="10"/>
                <w:szCs w:val="10"/>
                <w:lang w:val="fr-BE"/>
              </w:rPr>
            </w:pPr>
          </w:p>
        </w:tc>
        <w:tc>
          <w:tcPr>
            <w:tcW w:w="0" w:type="auto"/>
            <w:gridSpan w:val="3"/>
          </w:tcPr>
          <w:p w14:paraId="4C53EAB1" w14:textId="77777777" w:rsidR="008C5CFA" w:rsidRPr="00601E29" w:rsidRDefault="00E82A60" w:rsidP="00300A01">
            <w:pPr>
              <w:spacing w:before="0" w:after="0"/>
              <w:jc w:val="center"/>
              <w:rPr>
                <w:b/>
                <w:sz w:val="10"/>
                <w:szCs w:val="10"/>
                <w:lang w:val="fr-BE"/>
              </w:rPr>
            </w:pPr>
            <w:r w:rsidRPr="00601E29">
              <w:rPr>
                <w:b/>
                <w:noProof/>
                <w:sz w:val="10"/>
                <w:szCs w:val="10"/>
                <w:lang w:val="fr-BE"/>
              </w:rPr>
              <w:t>Łącznie</w:t>
            </w:r>
          </w:p>
        </w:tc>
        <w:tc>
          <w:tcPr>
            <w:tcW w:w="0" w:type="auto"/>
            <w:gridSpan w:val="3"/>
          </w:tcPr>
          <w:p w14:paraId="4A5F5B79" w14:textId="77777777" w:rsidR="008C5CFA" w:rsidRPr="00601E29" w:rsidRDefault="00E82A60" w:rsidP="00300A01">
            <w:pPr>
              <w:spacing w:before="0" w:after="0"/>
              <w:jc w:val="center"/>
              <w:rPr>
                <w:b/>
                <w:sz w:val="10"/>
                <w:szCs w:val="10"/>
                <w:lang w:val="fr-BE"/>
              </w:rPr>
            </w:pPr>
            <w:r w:rsidRPr="00601E29">
              <w:rPr>
                <w:b/>
                <w:noProof/>
                <w:sz w:val="10"/>
                <w:szCs w:val="10"/>
                <w:lang w:val="fr-BE"/>
              </w:rPr>
              <w:t>Łącznie w roku</w:t>
            </w:r>
          </w:p>
        </w:tc>
        <w:tc>
          <w:tcPr>
            <w:tcW w:w="0" w:type="auto"/>
          </w:tcPr>
          <w:p w14:paraId="4744FC43" w14:textId="77777777" w:rsidR="008C5CFA" w:rsidRPr="00601E29" w:rsidRDefault="00E82A60" w:rsidP="00300A01">
            <w:pPr>
              <w:spacing w:before="0" w:after="0"/>
              <w:jc w:val="center"/>
              <w:rPr>
                <w:b/>
                <w:sz w:val="10"/>
                <w:szCs w:val="10"/>
                <w:lang w:val="fr-BE"/>
              </w:rPr>
            </w:pPr>
            <w:r w:rsidRPr="00601E29">
              <w:rPr>
                <w:b/>
                <w:noProof/>
                <w:sz w:val="10"/>
                <w:szCs w:val="10"/>
                <w:lang w:val="fr-BE"/>
              </w:rPr>
              <w:t>Jakościowe</w:t>
            </w:r>
          </w:p>
        </w:tc>
        <w:tc>
          <w:tcPr>
            <w:tcW w:w="0" w:type="auto"/>
            <w:gridSpan w:val="3"/>
          </w:tcPr>
          <w:p w14:paraId="3C8E5EDF" w14:textId="77777777" w:rsidR="008C5CFA" w:rsidRPr="00601E29" w:rsidRDefault="00E82A60" w:rsidP="00300A01">
            <w:pPr>
              <w:spacing w:before="0" w:after="0"/>
              <w:jc w:val="center"/>
              <w:rPr>
                <w:b/>
                <w:sz w:val="10"/>
                <w:szCs w:val="10"/>
                <w:lang w:val="fr-BE"/>
              </w:rPr>
            </w:pPr>
            <w:r w:rsidRPr="00601E29">
              <w:rPr>
                <w:b/>
                <w:noProof/>
                <w:sz w:val="10"/>
                <w:szCs w:val="10"/>
                <w:lang w:val="fr-BE"/>
              </w:rPr>
              <w:t>Łącznie</w:t>
            </w:r>
          </w:p>
        </w:tc>
        <w:tc>
          <w:tcPr>
            <w:tcW w:w="0" w:type="auto"/>
            <w:gridSpan w:val="3"/>
          </w:tcPr>
          <w:p w14:paraId="3CDA6442" w14:textId="77777777" w:rsidR="008C5CFA" w:rsidRPr="00601E29" w:rsidRDefault="00E82A60" w:rsidP="00300A01">
            <w:pPr>
              <w:spacing w:before="0" w:after="0"/>
              <w:jc w:val="center"/>
              <w:rPr>
                <w:b/>
                <w:sz w:val="10"/>
                <w:szCs w:val="10"/>
                <w:lang w:val="fr-BE"/>
              </w:rPr>
            </w:pPr>
            <w:r w:rsidRPr="00601E29">
              <w:rPr>
                <w:b/>
                <w:noProof/>
                <w:sz w:val="10"/>
                <w:szCs w:val="10"/>
                <w:lang w:val="fr-BE"/>
              </w:rPr>
              <w:t>Łącznie w roku</w:t>
            </w:r>
          </w:p>
        </w:tc>
        <w:tc>
          <w:tcPr>
            <w:tcW w:w="0" w:type="auto"/>
          </w:tcPr>
          <w:p w14:paraId="21450A40" w14:textId="77777777" w:rsidR="008C5CFA" w:rsidRPr="00601E29" w:rsidRDefault="00E82A60" w:rsidP="00300A01">
            <w:pPr>
              <w:spacing w:before="0" w:after="0"/>
              <w:jc w:val="center"/>
              <w:rPr>
                <w:b/>
                <w:sz w:val="10"/>
                <w:szCs w:val="10"/>
                <w:lang w:val="fr-BE"/>
              </w:rPr>
            </w:pPr>
            <w:r w:rsidRPr="00601E29">
              <w:rPr>
                <w:b/>
                <w:noProof/>
                <w:sz w:val="10"/>
                <w:szCs w:val="10"/>
                <w:lang w:val="fr-BE"/>
              </w:rPr>
              <w:t>Jakościowe</w:t>
            </w:r>
          </w:p>
        </w:tc>
      </w:tr>
      <w:tr w:rsidR="006B2EC1" w14:paraId="22E8A2CB" w14:textId="77777777" w:rsidTr="0047688D">
        <w:trPr>
          <w:tblHeader/>
        </w:trPr>
        <w:tc>
          <w:tcPr>
            <w:tcW w:w="0" w:type="auto"/>
            <w:shd w:val="clear" w:color="auto" w:fill="auto"/>
          </w:tcPr>
          <w:p w14:paraId="515E1004" w14:textId="77777777" w:rsidR="008C5CFA" w:rsidRPr="00601E29" w:rsidRDefault="008C5CFA" w:rsidP="00300A01">
            <w:pPr>
              <w:spacing w:before="0" w:after="0"/>
              <w:rPr>
                <w:b/>
                <w:sz w:val="10"/>
                <w:szCs w:val="10"/>
                <w:lang w:val="fr-BE"/>
              </w:rPr>
            </w:pPr>
          </w:p>
        </w:tc>
        <w:tc>
          <w:tcPr>
            <w:tcW w:w="0" w:type="auto"/>
            <w:shd w:val="clear" w:color="auto" w:fill="auto"/>
          </w:tcPr>
          <w:p w14:paraId="20993834" w14:textId="77777777" w:rsidR="008C5CFA" w:rsidRPr="00601E29" w:rsidRDefault="008C5CFA" w:rsidP="00300A01">
            <w:pPr>
              <w:spacing w:before="0" w:after="0"/>
              <w:rPr>
                <w:b/>
                <w:sz w:val="10"/>
                <w:szCs w:val="10"/>
                <w:lang w:val="fr-BE"/>
              </w:rPr>
            </w:pPr>
          </w:p>
        </w:tc>
        <w:tc>
          <w:tcPr>
            <w:tcW w:w="0" w:type="auto"/>
            <w:shd w:val="clear" w:color="auto" w:fill="auto"/>
          </w:tcPr>
          <w:p w14:paraId="310DF90F" w14:textId="77777777" w:rsidR="008C5CFA" w:rsidRPr="00601E29" w:rsidRDefault="008C5CFA" w:rsidP="00300A01">
            <w:pPr>
              <w:spacing w:before="0" w:after="0"/>
              <w:rPr>
                <w:b/>
                <w:sz w:val="10"/>
                <w:szCs w:val="10"/>
                <w:lang w:val="fr-BE"/>
              </w:rPr>
            </w:pPr>
          </w:p>
        </w:tc>
        <w:tc>
          <w:tcPr>
            <w:tcW w:w="0" w:type="auto"/>
          </w:tcPr>
          <w:p w14:paraId="001889F2" w14:textId="77777777" w:rsidR="008C5CFA" w:rsidRPr="00601E29" w:rsidRDefault="00E82A60" w:rsidP="00300A01">
            <w:pPr>
              <w:spacing w:before="0" w:after="0"/>
              <w:jc w:val="center"/>
              <w:rPr>
                <w:b/>
                <w:sz w:val="10"/>
                <w:szCs w:val="10"/>
                <w:lang w:val="fr-BE"/>
              </w:rPr>
            </w:pPr>
            <w:r w:rsidRPr="00601E29">
              <w:rPr>
                <w:b/>
                <w:noProof/>
                <w:sz w:val="10"/>
                <w:szCs w:val="10"/>
                <w:lang w:val="fr-BE"/>
              </w:rPr>
              <w:t>Ogółem</w:t>
            </w:r>
          </w:p>
        </w:tc>
        <w:tc>
          <w:tcPr>
            <w:tcW w:w="0" w:type="auto"/>
          </w:tcPr>
          <w:p w14:paraId="4870C60E" w14:textId="77777777" w:rsidR="008C5CFA" w:rsidRPr="00601E29" w:rsidRDefault="00E82A60" w:rsidP="00300A01">
            <w:pPr>
              <w:spacing w:before="0" w:after="0"/>
              <w:jc w:val="center"/>
              <w:rPr>
                <w:b/>
                <w:sz w:val="10"/>
                <w:szCs w:val="10"/>
                <w:lang w:val="fr-BE"/>
              </w:rPr>
            </w:pPr>
            <w:r w:rsidRPr="00601E29">
              <w:rPr>
                <w:b/>
                <w:noProof/>
                <w:sz w:val="10"/>
                <w:szCs w:val="10"/>
                <w:lang w:val="fr-BE"/>
              </w:rPr>
              <w:t>Mężczyźni</w:t>
            </w:r>
          </w:p>
        </w:tc>
        <w:tc>
          <w:tcPr>
            <w:tcW w:w="0" w:type="auto"/>
          </w:tcPr>
          <w:p w14:paraId="296AE952" w14:textId="77777777" w:rsidR="008C5CFA" w:rsidRPr="00601E29" w:rsidRDefault="00E82A60" w:rsidP="00300A01">
            <w:pPr>
              <w:spacing w:before="0" w:after="0"/>
              <w:jc w:val="center"/>
              <w:rPr>
                <w:b/>
                <w:sz w:val="10"/>
                <w:szCs w:val="10"/>
                <w:lang w:val="fr-BE"/>
              </w:rPr>
            </w:pPr>
            <w:r w:rsidRPr="00601E29">
              <w:rPr>
                <w:b/>
                <w:noProof/>
                <w:sz w:val="10"/>
                <w:szCs w:val="10"/>
                <w:lang w:val="fr-BE"/>
              </w:rPr>
              <w:t>Kobiety</w:t>
            </w:r>
          </w:p>
        </w:tc>
        <w:tc>
          <w:tcPr>
            <w:tcW w:w="0" w:type="auto"/>
          </w:tcPr>
          <w:p w14:paraId="0585B4ED" w14:textId="77777777" w:rsidR="008C5CFA" w:rsidRPr="00601E29" w:rsidRDefault="00E82A60" w:rsidP="00300A01">
            <w:pPr>
              <w:spacing w:before="0" w:after="0"/>
              <w:jc w:val="center"/>
              <w:rPr>
                <w:b/>
                <w:sz w:val="10"/>
                <w:szCs w:val="10"/>
                <w:lang w:val="fr-BE"/>
              </w:rPr>
            </w:pPr>
            <w:r w:rsidRPr="00601E29">
              <w:rPr>
                <w:b/>
                <w:noProof/>
                <w:sz w:val="10"/>
                <w:szCs w:val="10"/>
                <w:lang w:val="fr-BE"/>
              </w:rPr>
              <w:t>Ogółem</w:t>
            </w:r>
          </w:p>
        </w:tc>
        <w:tc>
          <w:tcPr>
            <w:tcW w:w="0" w:type="auto"/>
          </w:tcPr>
          <w:p w14:paraId="757A9C2B" w14:textId="77777777" w:rsidR="008C5CFA" w:rsidRPr="00601E29" w:rsidRDefault="00E82A60" w:rsidP="00300A01">
            <w:pPr>
              <w:spacing w:before="0" w:after="0"/>
              <w:jc w:val="center"/>
              <w:rPr>
                <w:b/>
                <w:sz w:val="10"/>
                <w:szCs w:val="10"/>
                <w:lang w:val="fr-BE"/>
              </w:rPr>
            </w:pPr>
            <w:r w:rsidRPr="00601E29">
              <w:rPr>
                <w:b/>
                <w:noProof/>
                <w:sz w:val="10"/>
                <w:szCs w:val="10"/>
                <w:lang w:val="fr-BE"/>
              </w:rPr>
              <w:t>Mężczyźni</w:t>
            </w:r>
          </w:p>
        </w:tc>
        <w:tc>
          <w:tcPr>
            <w:tcW w:w="0" w:type="auto"/>
          </w:tcPr>
          <w:p w14:paraId="7BC62709" w14:textId="77777777" w:rsidR="008C5CFA" w:rsidRPr="00601E29" w:rsidRDefault="00E82A60" w:rsidP="00300A01">
            <w:pPr>
              <w:spacing w:before="0" w:after="0"/>
              <w:jc w:val="center"/>
              <w:rPr>
                <w:b/>
                <w:sz w:val="10"/>
                <w:szCs w:val="10"/>
                <w:lang w:val="fr-BE"/>
              </w:rPr>
            </w:pPr>
            <w:r w:rsidRPr="00601E29">
              <w:rPr>
                <w:b/>
                <w:noProof/>
                <w:sz w:val="10"/>
                <w:szCs w:val="10"/>
                <w:lang w:val="fr-BE"/>
              </w:rPr>
              <w:t>Kobiety</w:t>
            </w:r>
          </w:p>
        </w:tc>
        <w:tc>
          <w:tcPr>
            <w:tcW w:w="0" w:type="auto"/>
          </w:tcPr>
          <w:p w14:paraId="7BD48990" w14:textId="77777777" w:rsidR="008C5CFA" w:rsidRPr="00601E29" w:rsidRDefault="008C5CFA" w:rsidP="00300A01">
            <w:pPr>
              <w:spacing w:before="0" w:after="0"/>
              <w:jc w:val="center"/>
              <w:rPr>
                <w:b/>
                <w:sz w:val="10"/>
                <w:szCs w:val="10"/>
                <w:lang w:val="fr-BE"/>
              </w:rPr>
            </w:pPr>
          </w:p>
        </w:tc>
        <w:tc>
          <w:tcPr>
            <w:tcW w:w="0" w:type="auto"/>
          </w:tcPr>
          <w:p w14:paraId="23AE5EE9" w14:textId="77777777" w:rsidR="008C5CFA" w:rsidRPr="00601E29" w:rsidRDefault="00E82A60" w:rsidP="00300A01">
            <w:pPr>
              <w:spacing w:before="0" w:after="0"/>
              <w:jc w:val="center"/>
              <w:rPr>
                <w:b/>
                <w:sz w:val="10"/>
                <w:szCs w:val="10"/>
                <w:lang w:val="fr-BE"/>
              </w:rPr>
            </w:pPr>
            <w:r w:rsidRPr="00601E29">
              <w:rPr>
                <w:b/>
                <w:noProof/>
                <w:sz w:val="10"/>
                <w:szCs w:val="10"/>
                <w:lang w:val="fr-BE"/>
              </w:rPr>
              <w:t>Ogółem</w:t>
            </w:r>
          </w:p>
        </w:tc>
        <w:tc>
          <w:tcPr>
            <w:tcW w:w="0" w:type="auto"/>
          </w:tcPr>
          <w:p w14:paraId="737BE563" w14:textId="77777777" w:rsidR="008C5CFA" w:rsidRPr="00601E29" w:rsidRDefault="00E82A60" w:rsidP="00300A01">
            <w:pPr>
              <w:spacing w:before="0" w:after="0"/>
              <w:jc w:val="center"/>
              <w:rPr>
                <w:b/>
                <w:sz w:val="10"/>
                <w:szCs w:val="10"/>
                <w:lang w:val="fr-BE"/>
              </w:rPr>
            </w:pPr>
            <w:r w:rsidRPr="00601E29">
              <w:rPr>
                <w:b/>
                <w:noProof/>
                <w:sz w:val="10"/>
                <w:szCs w:val="10"/>
                <w:lang w:val="fr-BE"/>
              </w:rPr>
              <w:t>Mężczyźni</w:t>
            </w:r>
          </w:p>
        </w:tc>
        <w:tc>
          <w:tcPr>
            <w:tcW w:w="0" w:type="auto"/>
          </w:tcPr>
          <w:p w14:paraId="731BF183" w14:textId="77777777" w:rsidR="008C5CFA" w:rsidRPr="00601E29" w:rsidRDefault="00E82A60" w:rsidP="00300A01">
            <w:pPr>
              <w:spacing w:before="0" w:after="0"/>
              <w:jc w:val="center"/>
              <w:rPr>
                <w:b/>
                <w:sz w:val="10"/>
                <w:szCs w:val="10"/>
                <w:lang w:val="fr-BE"/>
              </w:rPr>
            </w:pPr>
            <w:r w:rsidRPr="00601E29">
              <w:rPr>
                <w:b/>
                <w:noProof/>
                <w:sz w:val="10"/>
                <w:szCs w:val="10"/>
                <w:lang w:val="fr-BE"/>
              </w:rPr>
              <w:t>Kobiety</w:t>
            </w:r>
          </w:p>
        </w:tc>
        <w:tc>
          <w:tcPr>
            <w:tcW w:w="0" w:type="auto"/>
          </w:tcPr>
          <w:p w14:paraId="120D13D2" w14:textId="77777777" w:rsidR="008C5CFA" w:rsidRPr="00601E29" w:rsidRDefault="00E82A60" w:rsidP="00300A01">
            <w:pPr>
              <w:spacing w:before="0" w:after="0"/>
              <w:jc w:val="center"/>
              <w:rPr>
                <w:b/>
                <w:sz w:val="10"/>
                <w:szCs w:val="10"/>
                <w:lang w:val="fr-BE"/>
              </w:rPr>
            </w:pPr>
            <w:r w:rsidRPr="00601E29">
              <w:rPr>
                <w:b/>
                <w:noProof/>
                <w:sz w:val="10"/>
                <w:szCs w:val="10"/>
                <w:lang w:val="fr-BE"/>
              </w:rPr>
              <w:t>Ogółem</w:t>
            </w:r>
          </w:p>
        </w:tc>
        <w:tc>
          <w:tcPr>
            <w:tcW w:w="0" w:type="auto"/>
          </w:tcPr>
          <w:p w14:paraId="1ABE220E" w14:textId="77777777" w:rsidR="008C5CFA" w:rsidRPr="00601E29" w:rsidRDefault="00E82A60" w:rsidP="00300A01">
            <w:pPr>
              <w:spacing w:before="0" w:after="0"/>
              <w:jc w:val="center"/>
              <w:rPr>
                <w:b/>
                <w:sz w:val="10"/>
                <w:szCs w:val="10"/>
                <w:lang w:val="fr-BE"/>
              </w:rPr>
            </w:pPr>
            <w:r w:rsidRPr="00601E29">
              <w:rPr>
                <w:b/>
                <w:noProof/>
                <w:sz w:val="10"/>
                <w:szCs w:val="10"/>
                <w:lang w:val="fr-BE"/>
              </w:rPr>
              <w:t>Mężczyźni</w:t>
            </w:r>
          </w:p>
        </w:tc>
        <w:tc>
          <w:tcPr>
            <w:tcW w:w="0" w:type="auto"/>
          </w:tcPr>
          <w:p w14:paraId="0B2D207F" w14:textId="77777777" w:rsidR="008C5CFA" w:rsidRPr="00601E29" w:rsidRDefault="00E82A60" w:rsidP="00300A01">
            <w:pPr>
              <w:spacing w:before="0" w:after="0"/>
              <w:jc w:val="center"/>
              <w:rPr>
                <w:b/>
                <w:sz w:val="10"/>
                <w:szCs w:val="10"/>
                <w:lang w:val="fr-BE"/>
              </w:rPr>
            </w:pPr>
            <w:r w:rsidRPr="00601E29">
              <w:rPr>
                <w:b/>
                <w:noProof/>
                <w:sz w:val="10"/>
                <w:szCs w:val="10"/>
                <w:lang w:val="fr-BE"/>
              </w:rPr>
              <w:t>Kobiety</w:t>
            </w:r>
          </w:p>
        </w:tc>
        <w:tc>
          <w:tcPr>
            <w:tcW w:w="0" w:type="auto"/>
          </w:tcPr>
          <w:p w14:paraId="5D445E75" w14:textId="77777777" w:rsidR="008C5CFA" w:rsidRPr="00601E29" w:rsidRDefault="008C5CFA" w:rsidP="00300A01">
            <w:pPr>
              <w:spacing w:before="0" w:after="0"/>
              <w:jc w:val="center"/>
              <w:rPr>
                <w:b/>
                <w:sz w:val="10"/>
                <w:szCs w:val="10"/>
                <w:lang w:val="fr-BE"/>
              </w:rPr>
            </w:pPr>
          </w:p>
        </w:tc>
      </w:tr>
      <w:tr w:rsidR="006B2EC1" w14:paraId="218C95CF" w14:textId="77777777" w:rsidTr="0047688D">
        <w:tc>
          <w:tcPr>
            <w:tcW w:w="0" w:type="auto"/>
            <w:shd w:val="clear" w:color="auto" w:fill="auto"/>
          </w:tcPr>
          <w:p w14:paraId="51BA1BFD" w14:textId="77777777" w:rsidR="008C5CFA" w:rsidRPr="00601E29" w:rsidRDefault="00E82A60" w:rsidP="00300A01">
            <w:pPr>
              <w:spacing w:before="0" w:after="0"/>
              <w:rPr>
                <w:sz w:val="10"/>
                <w:szCs w:val="10"/>
                <w:lang w:val="fr-BE"/>
              </w:rPr>
            </w:pPr>
            <w:r w:rsidRPr="00601E29">
              <w:rPr>
                <w:noProof/>
                <w:sz w:val="10"/>
                <w:szCs w:val="10"/>
                <w:lang w:val="fr-BE"/>
              </w:rPr>
              <w:t>141</w:t>
            </w:r>
          </w:p>
        </w:tc>
        <w:tc>
          <w:tcPr>
            <w:tcW w:w="0" w:type="auto"/>
            <w:shd w:val="clear" w:color="auto" w:fill="auto"/>
          </w:tcPr>
          <w:p w14:paraId="6BD0955F" w14:textId="77777777" w:rsidR="008C5CFA" w:rsidRPr="00601E29" w:rsidRDefault="00E82A60" w:rsidP="00300A01">
            <w:pPr>
              <w:spacing w:before="0" w:after="0"/>
              <w:rPr>
                <w:sz w:val="10"/>
                <w:szCs w:val="10"/>
                <w:lang w:val="fr-BE"/>
              </w:rPr>
            </w:pPr>
            <w:r w:rsidRPr="00601E29">
              <w:rPr>
                <w:noProof/>
                <w:sz w:val="10"/>
                <w:szCs w:val="10"/>
                <w:lang w:val="fr-BE"/>
              </w:rPr>
              <w:t>Liczba osób, które powróciły na rynek pracy po przerwie związanej z urodzeniem/wychowaniem dziecka lub utrzymały zatrudnienie, po opuszczeniu programu</w:t>
            </w:r>
          </w:p>
        </w:tc>
        <w:tc>
          <w:tcPr>
            <w:tcW w:w="0" w:type="auto"/>
            <w:shd w:val="clear" w:color="auto" w:fill="auto"/>
          </w:tcPr>
          <w:p w14:paraId="3BFF3CE5" w14:textId="77777777" w:rsidR="008C5CFA" w:rsidRPr="00601E29" w:rsidRDefault="00E82A60" w:rsidP="00300A01">
            <w:pPr>
              <w:spacing w:before="0" w:after="0"/>
              <w:rPr>
                <w:sz w:val="10"/>
                <w:szCs w:val="10"/>
                <w:lang w:val="fr-BE"/>
              </w:rPr>
            </w:pPr>
            <w:r w:rsidRPr="00601E29">
              <w:rPr>
                <w:noProof/>
                <w:sz w:val="10"/>
                <w:szCs w:val="10"/>
                <w:lang w:val="fr-BE"/>
              </w:rPr>
              <w:t>Słabiej rozwinięte</w:t>
            </w:r>
          </w:p>
        </w:tc>
        <w:tc>
          <w:tcPr>
            <w:tcW w:w="0" w:type="auto"/>
          </w:tcPr>
          <w:p w14:paraId="49CFFFDF"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4B97F051"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1EEB3941"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410046AF"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42A479C5"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3AE05E5F"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4C913A41" w14:textId="77777777" w:rsidR="008C5CFA" w:rsidRPr="00601E29" w:rsidRDefault="008C5CFA" w:rsidP="00300A01">
            <w:pPr>
              <w:spacing w:before="0" w:after="0"/>
              <w:jc w:val="right"/>
              <w:rPr>
                <w:sz w:val="10"/>
                <w:szCs w:val="10"/>
                <w:lang w:val="fr-BE"/>
              </w:rPr>
            </w:pPr>
          </w:p>
        </w:tc>
        <w:tc>
          <w:tcPr>
            <w:tcW w:w="0" w:type="auto"/>
          </w:tcPr>
          <w:p w14:paraId="7A749DFC"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66DDCC99"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65FEF3C1"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00DA1BB8"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4A6604D6"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46D458EA"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5B63DFC6" w14:textId="77777777" w:rsidR="008C5CFA" w:rsidRPr="00601E29" w:rsidRDefault="008C5CFA" w:rsidP="00300A01">
            <w:pPr>
              <w:spacing w:before="0" w:after="0"/>
              <w:jc w:val="right"/>
              <w:rPr>
                <w:sz w:val="10"/>
                <w:szCs w:val="10"/>
                <w:lang w:val="fr-BE"/>
              </w:rPr>
            </w:pPr>
          </w:p>
        </w:tc>
      </w:tr>
      <w:tr w:rsidR="006B2EC1" w14:paraId="560148DB" w14:textId="77777777" w:rsidTr="0047688D">
        <w:tc>
          <w:tcPr>
            <w:tcW w:w="0" w:type="auto"/>
            <w:shd w:val="clear" w:color="auto" w:fill="auto"/>
          </w:tcPr>
          <w:p w14:paraId="295BE8BD" w14:textId="77777777" w:rsidR="008C5CFA" w:rsidRPr="00601E29" w:rsidRDefault="00E82A60" w:rsidP="00300A01">
            <w:pPr>
              <w:spacing w:before="0" w:after="0"/>
              <w:rPr>
                <w:sz w:val="10"/>
                <w:szCs w:val="10"/>
                <w:lang w:val="fr-BE"/>
              </w:rPr>
            </w:pPr>
            <w:r w:rsidRPr="00601E29">
              <w:rPr>
                <w:noProof/>
                <w:sz w:val="10"/>
                <w:szCs w:val="10"/>
                <w:lang w:val="fr-BE"/>
              </w:rPr>
              <w:t>003</w:t>
            </w:r>
          </w:p>
        </w:tc>
        <w:tc>
          <w:tcPr>
            <w:tcW w:w="0" w:type="auto"/>
            <w:shd w:val="clear" w:color="auto" w:fill="auto"/>
          </w:tcPr>
          <w:p w14:paraId="45FC5986" w14:textId="77777777" w:rsidR="008C5CFA" w:rsidRPr="00601E29" w:rsidRDefault="00E82A60" w:rsidP="00300A01">
            <w:pPr>
              <w:spacing w:before="0" w:after="0"/>
              <w:rPr>
                <w:sz w:val="10"/>
                <w:szCs w:val="10"/>
                <w:lang w:val="fr-BE"/>
              </w:rPr>
            </w:pPr>
            <w:r w:rsidRPr="00601E29">
              <w:rPr>
                <w:noProof/>
                <w:sz w:val="10"/>
                <w:szCs w:val="10"/>
                <w:lang w:val="fr-BE"/>
              </w:rPr>
              <w:t>Liczba osób pozostających bez pracy, które znalazły pracę lub poszukują pracy po opuszczeniu programu</w:t>
            </w:r>
          </w:p>
        </w:tc>
        <w:tc>
          <w:tcPr>
            <w:tcW w:w="0" w:type="auto"/>
            <w:shd w:val="clear" w:color="auto" w:fill="auto"/>
          </w:tcPr>
          <w:p w14:paraId="7D0352BA" w14:textId="77777777" w:rsidR="008C5CFA" w:rsidRPr="00601E29" w:rsidRDefault="00E82A60" w:rsidP="00300A01">
            <w:pPr>
              <w:spacing w:before="0" w:after="0"/>
              <w:rPr>
                <w:sz w:val="10"/>
                <w:szCs w:val="10"/>
                <w:lang w:val="fr-BE"/>
              </w:rPr>
            </w:pPr>
            <w:r w:rsidRPr="00601E29">
              <w:rPr>
                <w:noProof/>
                <w:sz w:val="10"/>
                <w:szCs w:val="10"/>
                <w:lang w:val="fr-BE"/>
              </w:rPr>
              <w:t>Słabiej rozwinięte</w:t>
            </w:r>
          </w:p>
        </w:tc>
        <w:tc>
          <w:tcPr>
            <w:tcW w:w="0" w:type="auto"/>
          </w:tcPr>
          <w:p w14:paraId="03899CBD"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514EB92E"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5422EE3B"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5B1A2313"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14C08159"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382EE6F5"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7A5F249C" w14:textId="77777777" w:rsidR="008C5CFA" w:rsidRPr="00601E29" w:rsidRDefault="008C5CFA" w:rsidP="00300A01">
            <w:pPr>
              <w:spacing w:before="0" w:after="0"/>
              <w:jc w:val="right"/>
              <w:rPr>
                <w:sz w:val="10"/>
                <w:szCs w:val="10"/>
                <w:lang w:val="fr-BE"/>
              </w:rPr>
            </w:pPr>
          </w:p>
        </w:tc>
        <w:tc>
          <w:tcPr>
            <w:tcW w:w="0" w:type="auto"/>
          </w:tcPr>
          <w:p w14:paraId="2F0C6C2F"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0A9F1621"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1420954E"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410C9658"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1AF092FA"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1A432E9B"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1E5FA31D" w14:textId="77777777" w:rsidR="008C5CFA" w:rsidRPr="00601E29" w:rsidRDefault="008C5CFA" w:rsidP="00300A01">
            <w:pPr>
              <w:spacing w:before="0" w:after="0"/>
              <w:jc w:val="right"/>
              <w:rPr>
                <w:sz w:val="10"/>
                <w:szCs w:val="10"/>
                <w:lang w:val="fr-BE"/>
              </w:rPr>
            </w:pPr>
          </w:p>
        </w:tc>
      </w:tr>
      <w:tr w:rsidR="006B2EC1" w14:paraId="36855DC6" w14:textId="77777777" w:rsidTr="0047688D">
        <w:tc>
          <w:tcPr>
            <w:tcW w:w="0" w:type="auto"/>
            <w:shd w:val="clear" w:color="auto" w:fill="auto"/>
          </w:tcPr>
          <w:p w14:paraId="0A54D1AE" w14:textId="77777777" w:rsidR="008C5CFA" w:rsidRPr="00601E29" w:rsidRDefault="00E82A60" w:rsidP="00300A01">
            <w:pPr>
              <w:spacing w:before="0" w:after="0"/>
              <w:rPr>
                <w:sz w:val="10"/>
                <w:szCs w:val="10"/>
                <w:lang w:val="fr-BE"/>
              </w:rPr>
            </w:pPr>
            <w:r w:rsidRPr="00601E29">
              <w:rPr>
                <w:noProof/>
                <w:sz w:val="10"/>
                <w:szCs w:val="10"/>
                <w:lang w:val="fr-BE"/>
              </w:rPr>
              <w:t>004</w:t>
            </w:r>
          </w:p>
        </w:tc>
        <w:tc>
          <w:tcPr>
            <w:tcW w:w="0" w:type="auto"/>
            <w:shd w:val="clear" w:color="auto" w:fill="auto"/>
          </w:tcPr>
          <w:p w14:paraId="72FCA4B3" w14:textId="77777777" w:rsidR="008C5CFA" w:rsidRPr="00601E29" w:rsidRDefault="00E82A60" w:rsidP="00300A01">
            <w:pPr>
              <w:spacing w:before="0" w:after="0"/>
              <w:rPr>
                <w:sz w:val="10"/>
                <w:szCs w:val="10"/>
                <w:lang w:val="fr-BE"/>
              </w:rPr>
            </w:pPr>
            <w:r w:rsidRPr="00601E29">
              <w:rPr>
                <w:noProof/>
                <w:sz w:val="10"/>
                <w:szCs w:val="10"/>
                <w:lang w:val="fr-BE"/>
              </w:rPr>
              <w:t>Liczba utworzonych miejsc opieki nad dziećmi w wieku do lat 3, które funkcjonują 2 lata po uzyskaniu dofinansowania ze środków EFS</w:t>
            </w:r>
          </w:p>
        </w:tc>
        <w:tc>
          <w:tcPr>
            <w:tcW w:w="0" w:type="auto"/>
            <w:shd w:val="clear" w:color="auto" w:fill="auto"/>
          </w:tcPr>
          <w:p w14:paraId="61475279" w14:textId="77777777" w:rsidR="008C5CFA" w:rsidRPr="00601E29" w:rsidRDefault="00E82A60" w:rsidP="00300A01">
            <w:pPr>
              <w:spacing w:before="0" w:after="0"/>
              <w:rPr>
                <w:sz w:val="10"/>
                <w:szCs w:val="10"/>
                <w:lang w:val="fr-BE"/>
              </w:rPr>
            </w:pPr>
            <w:r w:rsidRPr="00601E29">
              <w:rPr>
                <w:noProof/>
                <w:sz w:val="10"/>
                <w:szCs w:val="10"/>
                <w:lang w:val="fr-BE"/>
              </w:rPr>
              <w:t>Słabiej rozwinięte</w:t>
            </w:r>
          </w:p>
        </w:tc>
        <w:tc>
          <w:tcPr>
            <w:tcW w:w="0" w:type="auto"/>
          </w:tcPr>
          <w:p w14:paraId="0833D815"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47F5553A"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29D3635F"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2D97EA10"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37FB2448"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38ABA809"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2C5A3EDB" w14:textId="77777777" w:rsidR="008C5CFA" w:rsidRPr="00601E29" w:rsidRDefault="008C5CFA" w:rsidP="00300A01">
            <w:pPr>
              <w:spacing w:before="0" w:after="0"/>
              <w:jc w:val="right"/>
              <w:rPr>
                <w:sz w:val="10"/>
                <w:szCs w:val="10"/>
                <w:lang w:val="fr-BE"/>
              </w:rPr>
            </w:pPr>
          </w:p>
        </w:tc>
        <w:tc>
          <w:tcPr>
            <w:tcW w:w="0" w:type="auto"/>
          </w:tcPr>
          <w:p w14:paraId="1D2A2C61"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75F55063"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5F19ED49"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00B0E529"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1D540EFE"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3CCFE97C"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0F3D1CC5" w14:textId="77777777" w:rsidR="008C5CFA" w:rsidRPr="00601E29" w:rsidRDefault="008C5CFA" w:rsidP="00300A01">
            <w:pPr>
              <w:spacing w:before="0" w:after="0"/>
              <w:jc w:val="right"/>
              <w:rPr>
                <w:sz w:val="10"/>
                <w:szCs w:val="10"/>
                <w:lang w:val="fr-BE"/>
              </w:rPr>
            </w:pPr>
          </w:p>
        </w:tc>
      </w:tr>
    </w:tbl>
    <w:p w14:paraId="356B5537"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57"/>
        <w:gridCol w:w="8835"/>
        <w:gridCol w:w="1212"/>
        <w:gridCol w:w="607"/>
        <w:gridCol w:w="764"/>
        <w:gridCol w:w="614"/>
        <w:gridCol w:w="607"/>
        <w:gridCol w:w="764"/>
        <w:gridCol w:w="614"/>
        <w:gridCol w:w="810"/>
      </w:tblGrid>
      <w:tr w:rsidR="006B2EC1" w14:paraId="6F137160" w14:textId="77777777" w:rsidTr="0047688D">
        <w:trPr>
          <w:tblHeader/>
        </w:trPr>
        <w:tc>
          <w:tcPr>
            <w:tcW w:w="0" w:type="auto"/>
            <w:shd w:val="clear" w:color="auto" w:fill="auto"/>
          </w:tcPr>
          <w:p w14:paraId="71B0E21D" w14:textId="77777777" w:rsidR="008C5CFA" w:rsidRPr="00601E29" w:rsidRDefault="00E82A60" w:rsidP="00300A01">
            <w:pPr>
              <w:spacing w:before="0" w:after="0"/>
              <w:rPr>
                <w:b/>
                <w:sz w:val="10"/>
                <w:szCs w:val="10"/>
                <w:lang w:val="fr-BE"/>
              </w:rPr>
            </w:pPr>
            <w:r w:rsidRPr="00601E29">
              <w:rPr>
                <w:b/>
                <w:noProof/>
                <w:sz w:val="10"/>
                <w:szCs w:val="10"/>
                <w:lang w:val="fr-BE"/>
              </w:rPr>
              <w:t>ID</w:t>
            </w:r>
          </w:p>
        </w:tc>
        <w:tc>
          <w:tcPr>
            <w:tcW w:w="0" w:type="auto"/>
            <w:shd w:val="clear" w:color="auto" w:fill="auto"/>
          </w:tcPr>
          <w:p w14:paraId="29DF6926" w14:textId="77777777" w:rsidR="008C5CFA" w:rsidRPr="00601E29" w:rsidRDefault="00E82A60" w:rsidP="00300A01">
            <w:pPr>
              <w:spacing w:before="0" w:after="0"/>
              <w:rPr>
                <w:b/>
                <w:sz w:val="10"/>
                <w:szCs w:val="10"/>
                <w:lang w:val="fr-BE"/>
              </w:rPr>
            </w:pPr>
            <w:r w:rsidRPr="00601E29">
              <w:rPr>
                <w:b/>
                <w:noProof/>
                <w:sz w:val="10"/>
                <w:szCs w:val="10"/>
                <w:lang w:val="fr-BE"/>
              </w:rPr>
              <w:t>Wskaźnik</w:t>
            </w:r>
          </w:p>
        </w:tc>
        <w:tc>
          <w:tcPr>
            <w:tcW w:w="0" w:type="auto"/>
            <w:shd w:val="clear" w:color="auto" w:fill="auto"/>
          </w:tcPr>
          <w:p w14:paraId="7AD19EF5" w14:textId="77777777" w:rsidR="008C5CFA" w:rsidRPr="00601E29" w:rsidRDefault="00E82A60" w:rsidP="00300A01">
            <w:pPr>
              <w:spacing w:before="0" w:after="0"/>
              <w:rPr>
                <w:b/>
                <w:sz w:val="10"/>
                <w:szCs w:val="10"/>
                <w:lang w:val="fr-BE"/>
              </w:rPr>
            </w:pPr>
            <w:r w:rsidRPr="00601E29">
              <w:rPr>
                <w:b/>
                <w:noProof/>
                <w:sz w:val="10"/>
                <w:szCs w:val="10"/>
                <w:lang w:val="fr-BE"/>
              </w:rPr>
              <w:t>Kategoria regionu</w:t>
            </w:r>
          </w:p>
        </w:tc>
        <w:tc>
          <w:tcPr>
            <w:tcW w:w="0" w:type="auto"/>
            <w:gridSpan w:val="7"/>
          </w:tcPr>
          <w:p w14:paraId="56CC1A22" w14:textId="77777777" w:rsidR="008C5CFA" w:rsidRPr="00601E29" w:rsidRDefault="00E82A60" w:rsidP="00300A01">
            <w:pPr>
              <w:spacing w:before="0" w:after="0"/>
              <w:jc w:val="center"/>
              <w:rPr>
                <w:b/>
                <w:sz w:val="10"/>
                <w:szCs w:val="10"/>
                <w:lang w:val="fr-BE"/>
              </w:rPr>
            </w:pPr>
            <w:r>
              <w:rPr>
                <w:b/>
                <w:sz w:val="10"/>
                <w:szCs w:val="10"/>
                <w:lang w:val="fr-BE"/>
              </w:rPr>
              <w:t>2014</w:t>
            </w:r>
          </w:p>
        </w:tc>
      </w:tr>
      <w:tr w:rsidR="006B2EC1" w14:paraId="0F85ECB5" w14:textId="77777777" w:rsidTr="0047688D">
        <w:trPr>
          <w:tblHeader/>
        </w:trPr>
        <w:tc>
          <w:tcPr>
            <w:tcW w:w="0" w:type="auto"/>
            <w:shd w:val="clear" w:color="auto" w:fill="auto"/>
          </w:tcPr>
          <w:p w14:paraId="57F166B6" w14:textId="77777777" w:rsidR="008C5CFA" w:rsidRPr="00601E29" w:rsidRDefault="008C5CFA" w:rsidP="00300A01">
            <w:pPr>
              <w:spacing w:before="0" w:after="0"/>
              <w:rPr>
                <w:b/>
                <w:sz w:val="10"/>
                <w:szCs w:val="10"/>
                <w:lang w:val="fr-BE"/>
              </w:rPr>
            </w:pPr>
          </w:p>
        </w:tc>
        <w:tc>
          <w:tcPr>
            <w:tcW w:w="0" w:type="auto"/>
            <w:shd w:val="clear" w:color="auto" w:fill="auto"/>
          </w:tcPr>
          <w:p w14:paraId="62FE3140" w14:textId="77777777" w:rsidR="008C5CFA" w:rsidRPr="00601E29" w:rsidRDefault="008C5CFA" w:rsidP="00300A01">
            <w:pPr>
              <w:spacing w:before="0" w:after="0"/>
              <w:rPr>
                <w:b/>
                <w:sz w:val="10"/>
                <w:szCs w:val="10"/>
                <w:lang w:val="fr-BE"/>
              </w:rPr>
            </w:pPr>
          </w:p>
        </w:tc>
        <w:tc>
          <w:tcPr>
            <w:tcW w:w="0" w:type="auto"/>
            <w:shd w:val="clear" w:color="auto" w:fill="auto"/>
          </w:tcPr>
          <w:p w14:paraId="4CB45BFC" w14:textId="77777777" w:rsidR="008C5CFA" w:rsidRPr="00601E29" w:rsidRDefault="008C5CFA" w:rsidP="00300A01">
            <w:pPr>
              <w:spacing w:before="0" w:after="0"/>
              <w:rPr>
                <w:b/>
                <w:sz w:val="10"/>
                <w:szCs w:val="10"/>
                <w:lang w:val="fr-BE"/>
              </w:rPr>
            </w:pPr>
          </w:p>
        </w:tc>
        <w:tc>
          <w:tcPr>
            <w:tcW w:w="0" w:type="auto"/>
            <w:gridSpan w:val="3"/>
          </w:tcPr>
          <w:p w14:paraId="3E39B66D" w14:textId="77777777" w:rsidR="008C5CFA" w:rsidRPr="00601E29" w:rsidRDefault="00E82A60" w:rsidP="00300A01">
            <w:pPr>
              <w:spacing w:before="0" w:after="0"/>
              <w:jc w:val="center"/>
              <w:rPr>
                <w:b/>
                <w:sz w:val="10"/>
                <w:szCs w:val="10"/>
                <w:lang w:val="fr-BE"/>
              </w:rPr>
            </w:pPr>
            <w:r w:rsidRPr="00601E29">
              <w:rPr>
                <w:b/>
                <w:noProof/>
                <w:sz w:val="10"/>
                <w:szCs w:val="10"/>
                <w:lang w:val="fr-BE"/>
              </w:rPr>
              <w:t>Łącznie</w:t>
            </w:r>
          </w:p>
        </w:tc>
        <w:tc>
          <w:tcPr>
            <w:tcW w:w="0" w:type="auto"/>
            <w:gridSpan w:val="3"/>
          </w:tcPr>
          <w:p w14:paraId="4718524F" w14:textId="77777777" w:rsidR="008C5CFA" w:rsidRPr="00601E29" w:rsidRDefault="00E82A60" w:rsidP="00300A01">
            <w:pPr>
              <w:spacing w:before="0" w:after="0"/>
              <w:jc w:val="center"/>
              <w:rPr>
                <w:b/>
                <w:sz w:val="10"/>
                <w:szCs w:val="10"/>
                <w:lang w:val="fr-BE"/>
              </w:rPr>
            </w:pPr>
            <w:r w:rsidRPr="00601E29">
              <w:rPr>
                <w:b/>
                <w:noProof/>
                <w:sz w:val="10"/>
                <w:szCs w:val="10"/>
                <w:lang w:val="fr-BE"/>
              </w:rPr>
              <w:t>Łącznie w roku</w:t>
            </w:r>
          </w:p>
        </w:tc>
        <w:tc>
          <w:tcPr>
            <w:tcW w:w="0" w:type="auto"/>
          </w:tcPr>
          <w:p w14:paraId="0B1A6AF5" w14:textId="77777777" w:rsidR="008C5CFA" w:rsidRPr="00601E29" w:rsidRDefault="00E82A60" w:rsidP="00300A01">
            <w:pPr>
              <w:spacing w:before="0" w:after="0"/>
              <w:jc w:val="center"/>
              <w:rPr>
                <w:b/>
                <w:sz w:val="10"/>
                <w:szCs w:val="10"/>
                <w:lang w:val="fr-BE"/>
              </w:rPr>
            </w:pPr>
            <w:r w:rsidRPr="00601E29">
              <w:rPr>
                <w:b/>
                <w:noProof/>
                <w:sz w:val="10"/>
                <w:szCs w:val="10"/>
                <w:lang w:val="fr-BE"/>
              </w:rPr>
              <w:t>Jakościowe</w:t>
            </w:r>
          </w:p>
        </w:tc>
      </w:tr>
      <w:tr w:rsidR="006B2EC1" w14:paraId="4BE3A663" w14:textId="77777777" w:rsidTr="0047688D">
        <w:trPr>
          <w:tblHeader/>
        </w:trPr>
        <w:tc>
          <w:tcPr>
            <w:tcW w:w="0" w:type="auto"/>
            <w:shd w:val="clear" w:color="auto" w:fill="auto"/>
          </w:tcPr>
          <w:p w14:paraId="1FD69BF8" w14:textId="77777777" w:rsidR="008C5CFA" w:rsidRPr="00601E29" w:rsidRDefault="008C5CFA" w:rsidP="00300A01">
            <w:pPr>
              <w:spacing w:before="0" w:after="0"/>
              <w:rPr>
                <w:b/>
                <w:sz w:val="10"/>
                <w:szCs w:val="10"/>
                <w:lang w:val="fr-BE"/>
              </w:rPr>
            </w:pPr>
          </w:p>
        </w:tc>
        <w:tc>
          <w:tcPr>
            <w:tcW w:w="0" w:type="auto"/>
            <w:shd w:val="clear" w:color="auto" w:fill="auto"/>
          </w:tcPr>
          <w:p w14:paraId="072A4620" w14:textId="77777777" w:rsidR="008C5CFA" w:rsidRPr="00601E29" w:rsidRDefault="008C5CFA" w:rsidP="00300A01">
            <w:pPr>
              <w:spacing w:before="0" w:after="0"/>
              <w:rPr>
                <w:b/>
                <w:sz w:val="10"/>
                <w:szCs w:val="10"/>
                <w:lang w:val="fr-BE"/>
              </w:rPr>
            </w:pPr>
          </w:p>
        </w:tc>
        <w:tc>
          <w:tcPr>
            <w:tcW w:w="0" w:type="auto"/>
            <w:shd w:val="clear" w:color="auto" w:fill="auto"/>
          </w:tcPr>
          <w:p w14:paraId="7BD0E29C" w14:textId="77777777" w:rsidR="008C5CFA" w:rsidRPr="00601E29" w:rsidRDefault="008C5CFA" w:rsidP="00300A01">
            <w:pPr>
              <w:spacing w:before="0" w:after="0"/>
              <w:rPr>
                <w:b/>
                <w:sz w:val="10"/>
                <w:szCs w:val="10"/>
                <w:lang w:val="fr-BE"/>
              </w:rPr>
            </w:pPr>
          </w:p>
        </w:tc>
        <w:tc>
          <w:tcPr>
            <w:tcW w:w="0" w:type="auto"/>
          </w:tcPr>
          <w:p w14:paraId="1792623A" w14:textId="77777777" w:rsidR="008C5CFA" w:rsidRPr="00601E29" w:rsidRDefault="00E82A60" w:rsidP="00300A01">
            <w:pPr>
              <w:spacing w:before="0" w:after="0"/>
              <w:jc w:val="center"/>
              <w:rPr>
                <w:b/>
                <w:sz w:val="10"/>
                <w:szCs w:val="10"/>
                <w:lang w:val="fr-BE"/>
              </w:rPr>
            </w:pPr>
            <w:r w:rsidRPr="00601E29">
              <w:rPr>
                <w:b/>
                <w:noProof/>
                <w:sz w:val="10"/>
                <w:szCs w:val="10"/>
                <w:lang w:val="fr-BE"/>
              </w:rPr>
              <w:t>Ogółem</w:t>
            </w:r>
          </w:p>
        </w:tc>
        <w:tc>
          <w:tcPr>
            <w:tcW w:w="0" w:type="auto"/>
          </w:tcPr>
          <w:p w14:paraId="65CEFFBE" w14:textId="77777777" w:rsidR="008C5CFA" w:rsidRPr="00601E29" w:rsidRDefault="00E82A60" w:rsidP="00300A01">
            <w:pPr>
              <w:spacing w:before="0" w:after="0"/>
              <w:jc w:val="center"/>
              <w:rPr>
                <w:b/>
                <w:sz w:val="10"/>
                <w:szCs w:val="10"/>
                <w:lang w:val="fr-BE"/>
              </w:rPr>
            </w:pPr>
            <w:r w:rsidRPr="00601E29">
              <w:rPr>
                <w:b/>
                <w:noProof/>
                <w:sz w:val="10"/>
                <w:szCs w:val="10"/>
                <w:lang w:val="fr-BE"/>
              </w:rPr>
              <w:t>Mężczyźni</w:t>
            </w:r>
          </w:p>
        </w:tc>
        <w:tc>
          <w:tcPr>
            <w:tcW w:w="0" w:type="auto"/>
          </w:tcPr>
          <w:p w14:paraId="51361076" w14:textId="77777777" w:rsidR="008C5CFA" w:rsidRPr="00601E29" w:rsidRDefault="00E82A60" w:rsidP="00300A01">
            <w:pPr>
              <w:spacing w:before="0" w:after="0"/>
              <w:jc w:val="center"/>
              <w:rPr>
                <w:b/>
                <w:sz w:val="10"/>
                <w:szCs w:val="10"/>
                <w:lang w:val="fr-BE"/>
              </w:rPr>
            </w:pPr>
            <w:r w:rsidRPr="00601E29">
              <w:rPr>
                <w:b/>
                <w:noProof/>
                <w:sz w:val="10"/>
                <w:szCs w:val="10"/>
                <w:lang w:val="fr-BE"/>
              </w:rPr>
              <w:t>Kobiety</w:t>
            </w:r>
          </w:p>
        </w:tc>
        <w:tc>
          <w:tcPr>
            <w:tcW w:w="0" w:type="auto"/>
          </w:tcPr>
          <w:p w14:paraId="2222630C" w14:textId="77777777" w:rsidR="008C5CFA" w:rsidRPr="00601E29" w:rsidRDefault="00E82A60" w:rsidP="00300A01">
            <w:pPr>
              <w:spacing w:before="0" w:after="0"/>
              <w:jc w:val="center"/>
              <w:rPr>
                <w:b/>
                <w:sz w:val="10"/>
                <w:szCs w:val="10"/>
                <w:lang w:val="fr-BE"/>
              </w:rPr>
            </w:pPr>
            <w:r w:rsidRPr="00601E29">
              <w:rPr>
                <w:b/>
                <w:noProof/>
                <w:sz w:val="10"/>
                <w:szCs w:val="10"/>
                <w:lang w:val="fr-BE"/>
              </w:rPr>
              <w:t>Ogółem</w:t>
            </w:r>
          </w:p>
        </w:tc>
        <w:tc>
          <w:tcPr>
            <w:tcW w:w="0" w:type="auto"/>
          </w:tcPr>
          <w:p w14:paraId="1C3E9795" w14:textId="77777777" w:rsidR="008C5CFA" w:rsidRPr="00601E29" w:rsidRDefault="00E82A60" w:rsidP="00300A01">
            <w:pPr>
              <w:spacing w:before="0" w:after="0"/>
              <w:jc w:val="center"/>
              <w:rPr>
                <w:b/>
                <w:sz w:val="10"/>
                <w:szCs w:val="10"/>
                <w:lang w:val="fr-BE"/>
              </w:rPr>
            </w:pPr>
            <w:r w:rsidRPr="00601E29">
              <w:rPr>
                <w:b/>
                <w:noProof/>
                <w:sz w:val="10"/>
                <w:szCs w:val="10"/>
                <w:lang w:val="fr-BE"/>
              </w:rPr>
              <w:t>Mężczyźni</w:t>
            </w:r>
          </w:p>
        </w:tc>
        <w:tc>
          <w:tcPr>
            <w:tcW w:w="0" w:type="auto"/>
          </w:tcPr>
          <w:p w14:paraId="2849E8E7" w14:textId="77777777" w:rsidR="008C5CFA" w:rsidRPr="00601E29" w:rsidRDefault="00E82A60" w:rsidP="00300A01">
            <w:pPr>
              <w:spacing w:before="0" w:after="0"/>
              <w:jc w:val="center"/>
              <w:rPr>
                <w:b/>
                <w:sz w:val="10"/>
                <w:szCs w:val="10"/>
                <w:lang w:val="fr-BE"/>
              </w:rPr>
            </w:pPr>
            <w:r w:rsidRPr="00601E29">
              <w:rPr>
                <w:b/>
                <w:noProof/>
                <w:sz w:val="10"/>
                <w:szCs w:val="10"/>
                <w:lang w:val="fr-BE"/>
              </w:rPr>
              <w:t>Kobiety</w:t>
            </w:r>
          </w:p>
        </w:tc>
        <w:tc>
          <w:tcPr>
            <w:tcW w:w="0" w:type="auto"/>
          </w:tcPr>
          <w:p w14:paraId="36789B1E" w14:textId="77777777" w:rsidR="008C5CFA" w:rsidRPr="00601E29" w:rsidRDefault="008C5CFA" w:rsidP="00300A01">
            <w:pPr>
              <w:spacing w:before="0" w:after="0"/>
              <w:jc w:val="center"/>
              <w:rPr>
                <w:b/>
                <w:sz w:val="10"/>
                <w:szCs w:val="10"/>
                <w:lang w:val="fr-BE"/>
              </w:rPr>
            </w:pPr>
          </w:p>
        </w:tc>
      </w:tr>
      <w:tr w:rsidR="006B2EC1" w14:paraId="228C0DD6" w14:textId="77777777" w:rsidTr="0047688D">
        <w:tc>
          <w:tcPr>
            <w:tcW w:w="0" w:type="auto"/>
            <w:shd w:val="clear" w:color="auto" w:fill="auto"/>
          </w:tcPr>
          <w:p w14:paraId="777311A8" w14:textId="77777777" w:rsidR="008C5CFA" w:rsidRPr="00601E29" w:rsidRDefault="00E82A60" w:rsidP="00300A01">
            <w:pPr>
              <w:spacing w:before="0" w:after="0"/>
              <w:rPr>
                <w:sz w:val="10"/>
                <w:szCs w:val="10"/>
                <w:lang w:val="fr-BE"/>
              </w:rPr>
            </w:pPr>
            <w:r w:rsidRPr="00601E29">
              <w:rPr>
                <w:noProof/>
                <w:sz w:val="10"/>
                <w:szCs w:val="10"/>
                <w:lang w:val="fr-BE"/>
              </w:rPr>
              <w:t>141</w:t>
            </w:r>
          </w:p>
        </w:tc>
        <w:tc>
          <w:tcPr>
            <w:tcW w:w="0" w:type="auto"/>
            <w:shd w:val="clear" w:color="auto" w:fill="auto"/>
          </w:tcPr>
          <w:p w14:paraId="1479573D" w14:textId="77777777" w:rsidR="008C5CFA" w:rsidRPr="00601E29" w:rsidRDefault="00E82A60" w:rsidP="00300A01">
            <w:pPr>
              <w:spacing w:before="0" w:after="0"/>
              <w:rPr>
                <w:sz w:val="10"/>
                <w:szCs w:val="10"/>
                <w:lang w:val="fr-BE"/>
              </w:rPr>
            </w:pPr>
            <w:r w:rsidRPr="00601E29">
              <w:rPr>
                <w:noProof/>
                <w:sz w:val="10"/>
                <w:szCs w:val="10"/>
                <w:lang w:val="fr-BE"/>
              </w:rPr>
              <w:t>Liczba osób, które powróciły na rynek pracy po przerwie związanej z urodzeniem/wychowaniem dziecka lub utrzymały zatrudnienie, po opuszczeniu programu</w:t>
            </w:r>
          </w:p>
        </w:tc>
        <w:tc>
          <w:tcPr>
            <w:tcW w:w="0" w:type="auto"/>
            <w:shd w:val="clear" w:color="auto" w:fill="auto"/>
          </w:tcPr>
          <w:p w14:paraId="0E1486B8" w14:textId="77777777" w:rsidR="008C5CFA" w:rsidRPr="00601E29" w:rsidRDefault="00E82A60" w:rsidP="00300A01">
            <w:pPr>
              <w:spacing w:before="0" w:after="0"/>
              <w:rPr>
                <w:sz w:val="10"/>
                <w:szCs w:val="10"/>
                <w:lang w:val="fr-BE"/>
              </w:rPr>
            </w:pPr>
            <w:r w:rsidRPr="00601E29">
              <w:rPr>
                <w:noProof/>
                <w:sz w:val="10"/>
                <w:szCs w:val="10"/>
                <w:lang w:val="fr-BE"/>
              </w:rPr>
              <w:t>Słabiej rozwinięte</w:t>
            </w:r>
          </w:p>
        </w:tc>
        <w:tc>
          <w:tcPr>
            <w:tcW w:w="0" w:type="auto"/>
          </w:tcPr>
          <w:p w14:paraId="4481063A"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24D8C08E"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2A5FC720"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3766F1AA"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0351D4D6"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755ED38E"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51E6E92C" w14:textId="77777777" w:rsidR="008C5CFA" w:rsidRPr="00601E29" w:rsidRDefault="008C5CFA" w:rsidP="00300A01">
            <w:pPr>
              <w:spacing w:before="0" w:after="0"/>
              <w:jc w:val="right"/>
              <w:rPr>
                <w:sz w:val="10"/>
                <w:szCs w:val="10"/>
                <w:lang w:val="fr-BE"/>
              </w:rPr>
            </w:pPr>
          </w:p>
        </w:tc>
      </w:tr>
      <w:tr w:rsidR="006B2EC1" w14:paraId="233560B9" w14:textId="77777777" w:rsidTr="0047688D">
        <w:tc>
          <w:tcPr>
            <w:tcW w:w="0" w:type="auto"/>
            <w:shd w:val="clear" w:color="auto" w:fill="auto"/>
          </w:tcPr>
          <w:p w14:paraId="71FB7DD7" w14:textId="77777777" w:rsidR="008C5CFA" w:rsidRPr="00601E29" w:rsidRDefault="00E82A60" w:rsidP="00300A01">
            <w:pPr>
              <w:spacing w:before="0" w:after="0"/>
              <w:rPr>
                <w:sz w:val="10"/>
                <w:szCs w:val="10"/>
                <w:lang w:val="fr-BE"/>
              </w:rPr>
            </w:pPr>
            <w:r w:rsidRPr="00601E29">
              <w:rPr>
                <w:noProof/>
                <w:sz w:val="10"/>
                <w:szCs w:val="10"/>
                <w:lang w:val="fr-BE"/>
              </w:rPr>
              <w:t>003</w:t>
            </w:r>
          </w:p>
        </w:tc>
        <w:tc>
          <w:tcPr>
            <w:tcW w:w="0" w:type="auto"/>
            <w:shd w:val="clear" w:color="auto" w:fill="auto"/>
          </w:tcPr>
          <w:p w14:paraId="58179CA9" w14:textId="77777777" w:rsidR="008C5CFA" w:rsidRPr="00601E29" w:rsidRDefault="00E82A60" w:rsidP="00300A01">
            <w:pPr>
              <w:spacing w:before="0" w:after="0"/>
              <w:rPr>
                <w:sz w:val="10"/>
                <w:szCs w:val="10"/>
                <w:lang w:val="fr-BE"/>
              </w:rPr>
            </w:pPr>
            <w:r w:rsidRPr="00601E29">
              <w:rPr>
                <w:noProof/>
                <w:sz w:val="10"/>
                <w:szCs w:val="10"/>
                <w:lang w:val="fr-BE"/>
              </w:rPr>
              <w:t>Liczba osób pozostających bez pracy, które znalazły pracę lub poszukują pracy po opuszczeniu programu</w:t>
            </w:r>
          </w:p>
        </w:tc>
        <w:tc>
          <w:tcPr>
            <w:tcW w:w="0" w:type="auto"/>
            <w:shd w:val="clear" w:color="auto" w:fill="auto"/>
          </w:tcPr>
          <w:p w14:paraId="1CE1ED77" w14:textId="77777777" w:rsidR="008C5CFA" w:rsidRPr="00601E29" w:rsidRDefault="00E82A60" w:rsidP="00300A01">
            <w:pPr>
              <w:spacing w:before="0" w:after="0"/>
              <w:rPr>
                <w:sz w:val="10"/>
                <w:szCs w:val="10"/>
                <w:lang w:val="fr-BE"/>
              </w:rPr>
            </w:pPr>
            <w:r w:rsidRPr="00601E29">
              <w:rPr>
                <w:noProof/>
                <w:sz w:val="10"/>
                <w:szCs w:val="10"/>
                <w:lang w:val="fr-BE"/>
              </w:rPr>
              <w:t>Słabiej rozwinięte</w:t>
            </w:r>
          </w:p>
        </w:tc>
        <w:tc>
          <w:tcPr>
            <w:tcW w:w="0" w:type="auto"/>
          </w:tcPr>
          <w:p w14:paraId="225FC18E"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4E911776"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2F3DF085"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7640F24F"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349CB24B"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7A70A8CE"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4F08E491" w14:textId="77777777" w:rsidR="008C5CFA" w:rsidRPr="00601E29" w:rsidRDefault="008C5CFA" w:rsidP="00300A01">
            <w:pPr>
              <w:spacing w:before="0" w:after="0"/>
              <w:jc w:val="right"/>
              <w:rPr>
                <w:sz w:val="10"/>
                <w:szCs w:val="10"/>
                <w:lang w:val="fr-BE"/>
              </w:rPr>
            </w:pPr>
          </w:p>
        </w:tc>
      </w:tr>
      <w:tr w:rsidR="006B2EC1" w14:paraId="4031716F" w14:textId="77777777" w:rsidTr="0047688D">
        <w:tc>
          <w:tcPr>
            <w:tcW w:w="0" w:type="auto"/>
            <w:shd w:val="clear" w:color="auto" w:fill="auto"/>
          </w:tcPr>
          <w:p w14:paraId="51CC6F13" w14:textId="77777777" w:rsidR="008C5CFA" w:rsidRPr="00601E29" w:rsidRDefault="00E82A60" w:rsidP="00300A01">
            <w:pPr>
              <w:spacing w:before="0" w:after="0"/>
              <w:rPr>
                <w:sz w:val="10"/>
                <w:szCs w:val="10"/>
                <w:lang w:val="fr-BE"/>
              </w:rPr>
            </w:pPr>
            <w:r w:rsidRPr="00601E29">
              <w:rPr>
                <w:noProof/>
                <w:sz w:val="10"/>
                <w:szCs w:val="10"/>
                <w:lang w:val="fr-BE"/>
              </w:rPr>
              <w:t>004</w:t>
            </w:r>
          </w:p>
        </w:tc>
        <w:tc>
          <w:tcPr>
            <w:tcW w:w="0" w:type="auto"/>
            <w:shd w:val="clear" w:color="auto" w:fill="auto"/>
          </w:tcPr>
          <w:p w14:paraId="2ACE0BE3" w14:textId="77777777" w:rsidR="008C5CFA" w:rsidRPr="00601E29" w:rsidRDefault="00E82A60" w:rsidP="00300A01">
            <w:pPr>
              <w:spacing w:before="0" w:after="0"/>
              <w:rPr>
                <w:sz w:val="10"/>
                <w:szCs w:val="10"/>
                <w:lang w:val="fr-BE"/>
              </w:rPr>
            </w:pPr>
            <w:r w:rsidRPr="00601E29">
              <w:rPr>
                <w:noProof/>
                <w:sz w:val="10"/>
                <w:szCs w:val="10"/>
                <w:lang w:val="fr-BE"/>
              </w:rPr>
              <w:t>Liczba utworzonych miejsc opieki nad dziećmi w wieku do lat 3, które funkcjonują 2 lata po uzyskaniu dofinansowania ze środków EFS</w:t>
            </w:r>
          </w:p>
        </w:tc>
        <w:tc>
          <w:tcPr>
            <w:tcW w:w="0" w:type="auto"/>
            <w:shd w:val="clear" w:color="auto" w:fill="auto"/>
          </w:tcPr>
          <w:p w14:paraId="3DAAD117" w14:textId="77777777" w:rsidR="008C5CFA" w:rsidRPr="00601E29" w:rsidRDefault="00E82A60" w:rsidP="00300A01">
            <w:pPr>
              <w:spacing w:before="0" w:after="0"/>
              <w:rPr>
                <w:sz w:val="10"/>
                <w:szCs w:val="10"/>
                <w:lang w:val="fr-BE"/>
              </w:rPr>
            </w:pPr>
            <w:r w:rsidRPr="00601E29">
              <w:rPr>
                <w:noProof/>
                <w:sz w:val="10"/>
                <w:szCs w:val="10"/>
                <w:lang w:val="fr-BE"/>
              </w:rPr>
              <w:t>Słabiej rozwinięte</w:t>
            </w:r>
          </w:p>
        </w:tc>
        <w:tc>
          <w:tcPr>
            <w:tcW w:w="0" w:type="auto"/>
          </w:tcPr>
          <w:p w14:paraId="5D244016"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52BB78F0"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7D1B6D12"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20343C3C"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0EF78478"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48A1ABB0"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7D444C56" w14:textId="77777777" w:rsidR="008C5CFA" w:rsidRPr="00601E29" w:rsidRDefault="008C5CFA" w:rsidP="00300A01">
            <w:pPr>
              <w:spacing w:before="0" w:after="0"/>
              <w:jc w:val="right"/>
              <w:rPr>
                <w:sz w:val="10"/>
                <w:szCs w:val="10"/>
                <w:lang w:val="fr-BE"/>
              </w:rPr>
            </w:pPr>
          </w:p>
        </w:tc>
      </w:tr>
    </w:tbl>
    <w:p w14:paraId="43D98245" w14:textId="77777777" w:rsidR="008C5CFA" w:rsidRPr="007C3A6B" w:rsidRDefault="008C5CFA" w:rsidP="00300A01">
      <w:pPr>
        <w:spacing w:before="0" w:after="0"/>
        <w:rPr>
          <w:lang w:val="fr-BE"/>
        </w:rPr>
      </w:pPr>
    </w:p>
    <w:p w14:paraId="0A676DD5" w14:textId="77777777" w:rsidR="008C5CFA" w:rsidRDefault="00E82A60" w:rsidP="00300A01">
      <w:pPr>
        <w:spacing w:before="0" w:after="0"/>
        <w:rPr>
          <w:lang w:val="fr-BE"/>
        </w:rPr>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5"/>
        <w:gridCol w:w="13309"/>
      </w:tblGrid>
      <w:tr w:rsidR="006B2EC1" w14:paraId="538FCA0A" w14:textId="77777777" w:rsidTr="0047688D">
        <w:tc>
          <w:tcPr>
            <w:tcW w:w="0" w:type="auto"/>
            <w:shd w:val="clear" w:color="auto" w:fill="auto"/>
          </w:tcPr>
          <w:p w14:paraId="3CED32E9" w14:textId="77777777" w:rsidR="008C5CFA" w:rsidRPr="002124FC" w:rsidRDefault="00E82A60" w:rsidP="00300A01">
            <w:pPr>
              <w:spacing w:before="0" w:after="0"/>
              <w:rPr>
                <w:sz w:val="20"/>
                <w:szCs w:val="20"/>
                <w:lang w:val="fr-BE"/>
              </w:rPr>
            </w:pPr>
            <w:r>
              <w:rPr>
                <w:lang w:val="fr-BE"/>
              </w:rPr>
              <w:lastRenderedPageBreak/>
              <w:br w:type="page"/>
            </w:r>
            <w:r>
              <w:rPr>
                <w:lang w:val="fr-BE"/>
              </w:rPr>
              <w:br w:type="page"/>
            </w:r>
            <w:r w:rsidRPr="002124FC">
              <w:rPr>
                <w:noProof/>
                <w:sz w:val="20"/>
                <w:szCs w:val="20"/>
                <w:lang w:val="fr-BE"/>
              </w:rPr>
              <w:t>Oś priorytetowa</w:t>
            </w:r>
          </w:p>
        </w:tc>
        <w:tc>
          <w:tcPr>
            <w:tcW w:w="0" w:type="auto"/>
            <w:shd w:val="clear" w:color="auto" w:fill="auto"/>
          </w:tcPr>
          <w:p w14:paraId="72C6E6C3" w14:textId="77777777" w:rsidR="008C5CFA" w:rsidRPr="002124FC" w:rsidRDefault="00E82A60" w:rsidP="00300A01">
            <w:pPr>
              <w:spacing w:before="0" w:after="0"/>
              <w:rPr>
                <w:sz w:val="20"/>
                <w:szCs w:val="20"/>
                <w:lang w:val="fr-BE"/>
              </w:rPr>
            </w:pPr>
            <w:r w:rsidRPr="002124FC">
              <w:rPr>
                <w:noProof/>
                <w:sz w:val="20"/>
                <w:szCs w:val="20"/>
                <w:lang w:val="fr-BE"/>
              </w:rPr>
              <w:t>8</w:t>
            </w:r>
            <w:r w:rsidRPr="002124FC">
              <w:rPr>
                <w:sz w:val="20"/>
                <w:szCs w:val="20"/>
                <w:lang w:val="fr-BE"/>
              </w:rPr>
              <w:t xml:space="preserve"> - </w:t>
            </w:r>
            <w:r w:rsidRPr="002124FC">
              <w:rPr>
                <w:noProof/>
                <w:sz w:val="20"/>
                <w:szCs w:val="20"/>
                <w:lang w:val="fr-BE"/>
              </w:rPr>
              <w:t>Rozwój edukacji i aktywne społeczeństwo</w:t>
            </w:r>
          </w:p>
        </w:tc>
      </w:tr>
      <w:tr w:rsidR="006B2EC1" w14:paraId="4FC0A8D1" w14:textId="77777777" w:rsidTr="0047688D">
        <w:tc>
          <w:tcPr>
            <w:tcW w:w="0" w:type="auto"/>
            <w:shd w:val="clear" w:color="auto" w:fill="auto"/>
          </w:tcPr>
          <w:p w14:paraId="4E46BD92" w14:textId="77777777" w:rsidR="008C5CFA" w:rsidRPr="002124FC" w:rsidRDefault="00E82A60"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14:paraId="0AE35F03" w14:textId="77777777" w:rsidR="008C5CFA" w:rsidRPr="002124FC" w:rsidRDefault="00E82A60" w:rsidP="00300A01">
            <w:pPr>
              <w:spacing w:before="0" w:after="0"/>
              <w:rPr>
                <w:sz w:val="20"/>
                <w:szCs w:val="20"/>
                <w:lang w:val="fr-BE"/>
              </w:rPr>
            </w:pPr>
            <w:r w:rsidRPr="002124FC">
              <w:rPr>
                <w:noProof/>
                <w:sz w:val="20"/>
                <w:szCs w:val="20"/>
                <w:lang w:val="fr-BE"/>
              </w:rPr>
              <w:t>8iv</w:t>
            </w:r>
            <w:r w:rsidRPr="002124FC">
              <w:rPr>
                <w:sz w:val="20"/>
                <w:szCs w:val="20"/>
                <w:lang w:val="fr-BE"/>
              </w:rPr>
              <w:t xml:space="preserve"> - </w:t>
            </w:r>
            <w:r w:rsidRPr="002124FC">
              <w:rPr>
                <w:noProof/>
                <w:sz w:val="20"/>
                <w:szCs w:val="20"/>
                <w:lang w:val="fr-BE"/>
              </w:rPr>
              <w:t>Równość mężczyzn i kobiet we wszystkich dziedzinach, w tym dostęp do zatrudnienia, rozwój kariery, godzenie życia zawodowego i prywatnego oraz promowanie równości wynagrodzeń za taką samą pracę</w:t>
            </w:r>
          </w:p>
        </w:tc>
      </w:tr>
    </w:tbl>
    <w:p w14:paraId="2D1932A4" w14:textId="77777777" w:rsidR="008C5CFA" w:rsidRDefault="008C5CFA" w:rsidP="00300A01">
      <w:pPr>
        <w:spacing w:before="0" w:after="0"/>
      </w:pPr>
    </w:p>
    <w:p w14:paraId="3AB899D1" w14:textId="77777777" w:rsidR="008C5CFA" w:rsidRPr="008E457C" w:rsidRDefault="00E82A60" w:rsidP="00300A01">
      <w:pPr>
        <w:pStyle w:val="Nagwek2"/>
        <w:spacing w:before="0" w:after="0"/>
        <w:rPr>
          <w:b w:val="0"/>
        </w:rPr>
      </w:pPr>
      <w:bookmarkStart w:id="49" w:name="_Toc46391733"/>
      <w:r w:rsidRPr="008E457C">
        <w:rPr>
          <w:b w:val="0"/>
          <w:noProof/>
          <w:lang w:val="fr-BE"/>
        </w:rPr>
        <w:t>Tabela 4A</w:t>
      </w:r>
      <w:r w:rsidRPr="008E457C">
        <w:rPr>
          <w:b w:val="0"/>
        </w:rPr>
        <w:t xml:space="preserve"> : </w:t>
      </w:r>
      <w:r w:rsidRPr="008E457C">
        <w:rPr>
          <w:b w:val="0"/>
          <w:noProof/>
          <w:lang w:val="fr-BE"/>
        </w:rPr>
        <w:t>Wspólne wskaźniki produktu dla EFS oraz Inicjatywy na rzecz zatrudnienia ludzi młodych</w:t>
      </w:r>
      <w:r w:rsidR="00A11A16">
        <w:rPr>
          <w:b w:val="0"/>
        </w:rPr>
        <w:t xml:space="preserve"> - </w:t>
      </w:r>
      <w:r w:rsidR="00A11A16" w:rsidRPr="002124FC">
        <w:rPr>
          <w:noProof/>
          <w:sz w:val="20"/>
          <w:szCs w:val="20"/>
          <w:lang w:val="fr-BE"/>
        </w:rPr>
        <w:t>8</w:t>
      </w:r>
      <w:r w:rsidR="00A11A16">
        <w:rPr>
          <w:sz w:val="20"/>
          <w:szCs w:val="20"/>
          <w:lang w:val="fr-BE"/>
        </w:rPr>
        <w:t xml:space="preserve"> / </w:t>
      </w:r>
      <w:r w:rsidR="00A11A16" w:rsidRPr="002124FC">
        <w:rPr>
          <w:noProof/>
          <w:sz w:val="20"/>
          <w:szCs w:val="20"/>
          <w:lang w:val="fr-BE"/>
        </w:rPr>
        <w:t>8iv</w:t>
      </w:r>
      <w:bookmarkEnd w:id="49"/>
    </w:p>
    <w:p w14:paraId="56F1B167" w14:textId="77777777" w:rsidR="008C5CFA" w:rsidRDefault="008C5CFA" w:rsidP="00300A01">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01"/>
        <w:gridCol w:w="6982"/>
        <w:gridCol w:w="1025"/>
        <w:gridCol w:w="514"/>
        <w:gridCol w:w="654"/>
        <w:gridCol w:w="521"/>
        <w:gridCol w:w="534"/>
        <w:gridCol w:w="654"/>
        <w:gridCol w:w="521"/>
        <w:gridCol w:w="514"/>
        <w:gridCol w:w="654"/>
        <w:gridCol w:w="521"/>
        <w:gridCol w:w="514"/>
        <w:gridCol w:w="654"/>
        <w:gridCol w:w="521"/>
      </w:tblGrid>
      <w:tr w:rsidR="006B2EC1" w14:paraId="37A80649" w14:textId="77777777" w:rsidTr="0047688D">
        <w:trPr>
          <w:cantSplit/>
          <w:tblHeader/>
        </w:trPr>
        <w:tc>
          <w:tcPr>
            <w:tcW w:w="0" w:type="auto"/>
            <w:shd w:val="clear" w:color="auto" w:fill="auto"/>
          </w:tcPr>
          <w:p w14:paraId="112FAB64" w14:textId="77777777" w:rsidR="008C5CFA" w:rsidRPr="00F53019" w:rsidRDefault="00E82A60" w:rsidP="00300A01">
            <w:pPr>
              <w:spacing w:before="0" w:after="0"/>
              <w:rPr>
                <w:b/>
                <w:sz w:val="12"/>
                <w:szCs w:val="12"/>
                <w:lang w:val="fr-BE"/>
              </w:rPr>
            </w:pPr>
            <w:r w:rsidRPr="00F53019">
              <w:rPr>
                <w:b/>
                <w:noProof/>
                <w:sz w:val="12"/>
                <w:szCs w:val="12"/>
                <w:lang w:val="fr-BE"/>
              </w:rPr>
              <w:t>ID</w:t>
            </w:r>
          </w:p>
        </w:tc>
        <w:tc>
          <w:tcPr>
            <w:tcW w:w="0" w:type="auto"/>
            <w:shd w:val="clear" w:color="auto" w:fill="auto"/>
          </w:tcPr>
          <w:p w14:paraId="6CCECF2D" w14:textId="77777777" w:rsidR="008C5CFA" w:rsidRPr="00F53019" w:rsidRDefault="00E82A60" w:rsidP="00300A01">
            <w:pPr>
              <w:spacing w:before="0" w:after="0"/>
              <w:rPr>
                <w:b/>
                <w:sz w:val="12"/>
                <w:szCs w:val="12"/>
                <w:lang w:val="fr-BE"/>
              </w:rPr>
            </w:pPr>
            <w:r w:rsidRPr="00F53019">
              <w:rPr>
                <w:b/>
                <w:noProof/>
                <w:sz w:val="12"/>
                <w:szCs w:val="12"/>
                <w:lang w:val="fr-BE"/>
              </w:rPr>
              <w:t>Wskaźnik</w:t>
            </w:r>
          </w:p>
        </w:tc>
        <w:tc>
          <w:tcPr>
            <w:tcW w:w="0" w:type="auto"/>
            <w:shd w:val="clear" w:color="auto" w:fill="auto"/>
          </w:tcPr>
          <w:p w14:paraId="54EEE5DC" w14:textId="77777777" w:rsidR="008C5CFA" w:rsidRPr="00F53019" w:rsidRDefault="00E82A60" w:rsidP="00300A01">
            <w:pPr>
              <w:spacing w:before="0" w:after="0"/>
              <w:rPr>
                <w:b/>
                <w:sz w:val="12"/>
                <w:szCs w:val="12"/>
                <w:lang w:val="fr-BE"/>
              </w:rPr>
            </w:pPr>
            <w:r w:rsidRPr="00F53019">
              <w:rPr>
                <w:b/>
                <w:noProof/>
                <w:sz w:val="12"/>
                <w:szCs w:val="12"/>
                <w:lang w:val="fr-BE"/>
              </w:rPr>
              <w:t>Kategoria regionu</w:t>
            </w:r>
          </w:p>
        </w:tc>
        <w:tc>
          <w:tcPr>
            <w:tcW w:w="0" w:type="auto"/>
            <w:gridSpan w:val="3"/>
            <w:shd w:val="clear" w:color="auto" w:fill="auto"/>
          </w:tcPr>
          <w:p w14:paraId="6BF51424" w14:textId="77777777" w:rsidR="008C5CFA" w:rsidRPr="00F53019" w:rsidRDefault="00E82A60" w:rsidP="00300A01">
            <w:pPr>
              <w:spacing w:before="0" w:after="0"/>
              <w:jc w:val="center"/>
              <w:rPr>
                <w:b/>
                <w:sz w:val="12"/>
                <w:szCs w:val="12"/>
                <w:lang w:val="fr-BE"/>
              </w:rPr>
            </w:pPr>
            <w:r w:rsidRPr="00F53019">
              <w:rPr>
                <w:b/>
                <w:noProof/>
                <w:sz w:val="12"/>
                <w:szCs w:val="12"/>
                <w:lang w:val="fr-BE"/>
              </w:rPr>
              <w:t>Wartość docelowa (2023)</w:t>
            </w:r>
          </w:p>
        </w:tc>
        <w:tc>
          <w:tcPr>
            <w:tcW w:w="0" w:type="auto"/>
            <w:gridSpan w:val="3"/>
            <w:shd w:val="clear" w:color="auto" w:fill="auto"/>
          </w:tcPr>
          <w:p w14:paraId="3412A682" w14:textId="77777777" w:rsidR="008C5CFA" w:rsidRPr="00F53019" w:rsidRDefault="00E82A60" w:rsidP="00300A01">
            <w:pPr>
              <w:spacing w:before="0" w:after="0"/>
              <w:jc w:val="center"/>
              <w:rPr>
                <w:b/>
                <w:sz w:val="12"/>
                <w:szCs w:val="12"/>
                <w:lang w:val="fr-BE"/>
              </w:rPr>
            </w:pPr>
            <w:r w:rsidRPr="00F53019">
              <w:rPr>
                <w:b/>
                <w:noProof/>
                <w:sz w:val="12"/>
                <w:szCs w:val="12"/>
                <w:lang w:val="fr-BE"/>
              </w:rPr>
              <w:t>Wartość skumulowana</w:t>
            </w:r>
          </w:p>
        </w:tc>
        <w:tc>
          <w:tcPr>
            <w:tcW w:w="0" w:type="auto"/>
            <w:gridSpan w:val="3"/>
            <w:shd w:val="clear" w:color="auto" w:fill="auto"/>
          </w:tcPr>
          <w:p w14:paraId="4A8AA5C3" w14:textId="77777777" w:rsidR="008C5CFA" w:rsidRPr="00F53019" w:rsidRDefault="00E82A60" w:rsidP="00300A01">
            <w:pPr>
              <w:spacing w:before="0" w:after="0"/>
              <w:jc w:val="center"/>
              <w:rPr>
                <w:b/>
                <w:sz w:val="12"/>
                <w:szCs w:val="12"/>
                <w:lang w:val="fr-BE"/>
              </w:rPr>
            </w:pPr>
            <w:r w:rsidRPr="00F53019">
              <w:rPr>
                <w:b/>
                <w:noProof/>
                <w:sz w:val="12"/>
                <w:szCs w:val="12"/>
                <w:lang w:val="fr-BE"/>
              </w:rPr>
              <w:t>Wskaźnik osiągnięć</w:t>
            </w:r>
          </w:p>
        </w:tc>
        <w:tc>
          <w:tcPr>
            <w:tcW w:w="0" w:type="auto"/>
            <w:gridSpan w:val="3"/>
          </w:tcPr>
          <w:p w14:paraId="44061031" w14:textId="77777777" w:rsidR="008C5CFA" w:rsidRPr="00F53019" w:rsidRDefault="0047688D" w:rsidP="00300A01">
            <w:pPr>
              <w:spacing w:before="0" w:after="0"/>
              <w:jc w:val="center"/>
              <w:rPr>
                <w:b/>
                <w:sz w:val="12"/>
                <w:szCs w:val="12"/>
                <w:lang w:val="fr-BE"/>
              </w:rPr>
            </w:pPr>
            <w:r w:rsidRPr="008C2BD7">
              <w:rPr>
                <w:noProof/>
                <w:sz w:val="12"/>
                <w:szCs w:val="12"/>
              </w:rPr>
              <w:t>2019</w:t>
            </w:r>
          </w:p>
        </w:tc>
      </w:tr>
      <w:tr w:rsidR="006B2EC1" w14:paraId="74887CDE" w14:textId="77777777" w:rsidTr="0047688D">
        <w:trPr>
          <w:cantSplit/>
          <w:tblHeader/>
        </w:trPr>
        <w:tc>
          <w:tcPr>
            <w:tcW w:w="0" w:type="auto"/>
            <w:shd w:val="clear" w:color="auto" w:fill="auto"/>
          </w:tcPr>
          <w:p w14:paraId="4405FA3B" w14:textId="77777777" w:rsidR="008C5CFA" w:rsidRPr="00F53019" w:rsidRDefault="008C5CFA" w:rsidP="00300A01">
            <w:pPr>
              <w:spacing w:before="0" w:after="0"/>
              <w:rPr>
                <w:b/>
                <w:sz w:val="12"/>
                <w:szCs w:val="12"/>
                <w:lang w:val="fr-BE"/>
              </w:rPr>
            </w:pPr>
          </w:p>
        </w:tc>
        <w:tc>
          <w:tcPr>
            <w:tcW w:w="0" w:type="auto"/>
            <w:shd w:val="clear" w:color="auto" w:fill="auto"/>
          </w:tcPr>
          <w:p w14:paraId="345D8FDD" w14:textId="77777777" w:rsidR="008C5CFA" w:rsidRPr="00F53019" w:rsidRDefault="008C5CFA" w:rsidP="00300A01">
            <w:pPr>
              <w:spacing w:before="0" w:after="0"/>
              <w:rPr>
                <w:b/>
                <w:sz w:val="12"/>
                <w:szCs w:val="12"/>
                <w:lang w:val="fr-BE"/>
              </w:rPr>
            </w:pPr>
          </w:p>
        </w:tc>
        <w:tc>
          <w:tcPr>
            <w:tcW w:w="0" w:type="auto"/>
            <w:shd w:val="clear" w:color="auto" w:fill="auto"/>
          </w:tcPr>
          <w:p w14:paraId="0464D061" w14:textId="77777777" w:rsidR="008C5CFA" w:rsidRPr="00F53019" w:rsidRDefault="008C5CFA" w:rsidP="00300A01">
            <w:pPr>
              <w:spacing w:before="0" w:after="0"/>
              <w:rPr>
                <w:b/>
                <w:sz w:val="12"/>
                <w:szCs w:val="12"/>
                <w:lang w:val="fr-BE"/>
              </w:rPr>
            </w:pPr>
          </w:p>
        </w:tc>
        <w:tc>
          <w:tcPr>
            <w:tcW w:w="0" w:type="auto"/>
            <w:shd w:val="clear" w:color="auto" w:fill="auto"/>
          </w:tcPr>
          <w:p w14:paraId="2A9ACA78" w14:textId="77777777" w:rsidR="008C5CFA" w:rsidRPr="00F53019" w:rsidRDefault="00E82A60" w:rsidP="00300A01">
            <w:pPr>
              <w:spacing w:before="0" w:after="0"/>
              <w:jc w:val="center"/>
              <w:rPr>
                <w:b/>
                <w:sz w:val="12"/>
                <w:szCs w:val="12"/>
                <w:lang w:val="fr-BE"/>
              </w:rPr>
            </w:pPr>
            <w:r w:rsidRPr="00F53019">
              <w:rPr>
                <w:b/>
                <w:noProof/>
                <w:sz w:val="12"/>
                <w:szCs w:val="12"/>
                <w:lang w:val="fr-BE"/>
              </w:rPr>
              <w:t>Ogółem</w:t>
            </w:r>
          </w:p>
        </w:tc>
        <w:tc>
          <w:tcPr>
            <w:tcW w:w="0" w:type="auto"/>
            <w:shd w:val="clear" w:color="auto" w:fill="auto"/>
          </w:tcPr>
          <w:p w14:paraId="0F561E09" w14:textId="77777777" w:rsidR="008C5CFA" w:rsidRPr="00F53019" w:rsidRDefault="00E82A60"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14:paraId="75CAFAD6" w14:textId="77777777" w:rsidR="008C5CFA" w:rsidRPr="00F53019" w:rsidRDefault="00E82A60" w:rsidP="00300A01">
            <w:pPr>
              <w:spacing w:before="0" w:after="0"/>
              <w:jc w:val="center"/>
              <w:rPr>
                <w:b/>
                <w:sz w:val="12"/>
                <w:szCs w:val="12"/>
                <w:lang w:val="fr-BE"/>
              </w:rPr>
            </w:pPr>
            <w:r w:rsidRPr="00F53019">
              <w:rPr>
                <w:b/>
                <w:noProof/>
                <w:sz w:val="12"/>
                <w:szCs w:val="12"/>
                <w:lang w:val="fr-BE"/>
              </w:rPr>
              <w:t>Kobiety</w:t>
            </w:r>
          </w:p>
        </w:tc>
        <w:tc>
          <w:tcPr>
            <w:tcW w:w="0" w:type="auto"/>
            <w:shd w:val="clear" w:color="auto" w:fill="auto"/>
          </w:tcPr>
          <w:p w14:paraId="0705CD18" w14:textId="77777777" w:rsidR="008C5CFA" w:rsidRPr="00F53019" w:rsidRDefault="00E82A60" w:rsidP="00300A01">
            <w:pPr>
              <w:spacing w:before="0" w:after="0"/>
              <w:jc w:val="center"/>
              <w:rPr>
                <w:b/>
                <w:sz w:val="12"/>
                <w:szCs w:val="12"/>
                <w:lang w:val="fr-BE"/>
              </w:rPr>
            </w:pPr>
            <w:r w:rsidRPr="00F53019">
              <w:rPr>
                <w:b/>
                <w:noProof/>
                <w:sz w:val="12"/>
                <w:szCs w:val="12"/>
                <w:lang w:val="fr-BE"/>
              </w:rPr>
              <w:t>Ogółem</w:t>
            </w:r>
          </w:p>
        </w:tc>
        <w:tc>
          <w:tcPr>
            <w:tcW w:w="0" w:type="auto"/>
            <w:shd w:val="clear" w:color="auto" w:fill="auto"/>
          </w:tcPr>
          <w:p w14:paraId="0499D42F" w14:textId="77777777" w:rsidR="008C5CFA" w:rsidRPr="00F53019" w:rsidRDefault="00E82A60"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14:paraId="1C6DC6F9" w14:textId="77777777" w:rsidR="008C5CFA" w:rsidRPr="00F53019" w:rsidRDefault="00E82A60" w:rsidP="00300A01">
            <w:pPr>
              <w:spacing w:before="0" w:after="0"/>
              <w:jc w:val="center"/>
              <w:rPr>
                <w:b/>
                <w:sz w:val="12"/>
                <w:szCs w:val="12"/>
                <w:lang w:val="fr-BE"/>
              </w:rPr>
            </w:pPr>
            <w:r w:rsidRPr="00F53019">
              <w:rPr>
                <w:b/>
                <w:noProof/>
                <w:sz w:val="12"/>
                <w:szCs w:val="12"/>
                <w:lang w:val="fr-BE"/>
              </w:rPr>
              <w:t>Kobiety</w:t>
            </w:r>
          </w:p>
        </w:tc>
        <w:tc>
          <w:tcPr>
            <w:tcW w:w="0" w:type="auto"/>
            <w:shd w:val="clear" w:color="auto" w:fill="auto"/>
          </w:tcPr>
          <w:p w14:paraId="3A770544" w14:textId="77777777" w:rsidR="008C5CFA" w:rsidRPr="00F53019" w:rsidRDefault="00E82A60" w:rsidP="00300A01">
            <w:pPr>
              <w:spacing w:before="0" w:after="0"/>
              <w:jc w:val="center"/>
              <w:rPr>
                <w:b/>
                <w:sz w:val="12"/>
                <w:szCs w:val="12"/>
                <w:lang w:val="fr-BE"/>
              </w:rPr>
            </w:pPr>
            <w:r w:rsidRPr="00F53019">
              <w:rPr>
                <w:b/>
                <w:noProof/>
                <w:sz w:val="12"/>
                <w:szCs w:val="12"/>
                <w:lang w:val="fr-BE"/>
              </w:rPr>
              <w:t>Ogółem</w:t>
            </w:r>
          </w:p>
        </w:tc>
        <w:tc>
          <w:tcPr>
            <w:tcW w:w="0" w:type="auto"/>
            <w:shd w:val="clear" w:color="auto" w:fill="auto"/>
          </w:tcPr>
          <w:p w14:paraId="0311CE22" w14:textId="77777777" w:rsidR="008C5CFA" w:rsidRPr="00F53019" w:rsidRDefault="00E82A60"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14:paraId="5D1DAC51" w14:textId="77777777" w:rsidR="008C5CFA" w:rsidRPr="00F53019" w:rsidRDefault="00E82A60" w:rsidP="00300A01">
            <w:pPr>
              <w:spacing w:before="0" w:after="0"/>
              <w:jc w:val="center"/>
              <w:rPr>
                <w:b/>
                <w:sz w:val="12"/>
                <w:szCs w:val="12"/>
                <w:lang w:val="fr-BE"/>
              </w:rPr>
            </w:pPr>
            <w:r w:rsidRPr="00F53019">
              <w:rPr>
                <w:b/>
                <w:noProof/>
                <w:sz w:val="12"/>
                <w:szCs w:val="12"/>
                <w:lang w:val="fr-BE"/>
              </w:rPr>
              <w:t>Kobiety</w:t>
            </w:r>
          </w:p>
        </w:tc>
        <w:tc>
          <w:tcPr>
            <w:tcW w:w="0" w:type="auto"/>
          </w:tcPr>
          <w:p w14:paraId="56688195" w14:textId="77777777" w:rsidR="008C5CFA" w:rsidRPr="00F53019" w:rsidRDefault="00E82A60" w:rsidP="00300A01">
            <w:pPr>
              <w:spacing w:before="0" w:after="0"/>
              <w:jc w:val="center"/>
              <w:rPr>
                <w:b/>
                <w:sz w:val="12"/>
                <w:szCs w:val="12"/>
                <w:lang w:val="fr-BE"/>
              </w:rPr>
            </w:pPr>
            <w:r w:rsidRPr="00F53019">
              <w:rPr>
                <w:b/>
                <w:noProof/>
                <w:sz w:val="12"/>
                <w:szCs w:val="12"/>
                <w:lang w:val="fr-BE"/>
              </w:rPr>
              <w:t>Ogółem</w:t>
            </w:r>
          </w:p>
        </w:tc>
        <w:tc>
          <w:tcPr>
            <w:tcW w:w="0" w:type="auto"/>
            <w:shd w:val="clear" w:color="auto" w:fill="auto"/>
          </w:tcPr>
          <w:p w14:paraId="02402007" w14:textId="77777777" w:rsidR="008C5CFA" w:rsidRPr="00F53019" w:rsidRDefault="00E82A60"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14:paraId="7119596C" w14:textId="77777777" w:rsidR="008C5CFA" w:rsidRPr="00F53019" w:rsidRDefault="00E82A60" w:rsidP="00300A01">
            <w:pPr>
              <w:spacing w:before="0" w:after="0"/>
              <w:jc w:val="center"/>
              <w:rPr>
                <w:b/>
                <w:sz w:val="12"/>
                <w:szCs w:val="12"/>
                <w:lang w:val="fr-BE"/>
              </w:rPr>
            </w:pPr>
            <w:r w:rsidRPr="00F53019">
              <w:rPr>
                <w:b/>
                <w:noProof/>
                <w:sz w:val="12"/>
                <w:szCs w:val="12"/>
                <w:lang w:val="fr-BE"/>
              </w:rPr>
              <w:t>Kobiety</w:t>
            </w:r>
          </w:p>
        </w:tc>
      </w:tr>
      <w:tr w:rsidR="006B2EC1" w14:paraId="3784C4F4" w14:textId="77777777" w:rsidTr="0047688D">
        <w:tc>
          <w:tcPr>
            <w:tcW w:w="0" w:type="auto"/>
            <w:shd w:val="clear" w:color="auto" w:fill="auto"/>
          </w:tcPr>
          <w:p w14:paraId="332B5280" w14:textId="77777777" w:rsidR="008C5CFA" w:rsidRPr="00BA47B4" w:rsidRDefault="00E82A60" w:rsidP="00300A01">
            <w:pPr>
              <w:spacing w:before="0" w:after="0"/>
              <w:rPr>
                <w:sz w:val="12"/>
                <w:szCs w:val="12"/>
                <w:lang w:val="fr-BE"/>
              </w:rPr>
            </w:pPr>
            <w:r>
              <w:rPr>
                <w:noProof/>
                <w:sz w:val="12"/>
                <w:szCs w:val="12"/>
                <w:lang w:val="fr-BE"/>
              </w:rPr>
              <w:t>CO01</w:t>
            </w:r>
          </w:p>
        </w:tc>
        <w:tc>
          <w:tcPr>
            <w:tcW w:w="0" w:type="auto"/>
            <w:shd w:val="clear" w:color="auto" w:fill="auto"/>
          </w:tcPr>
          <w:p w14:paraId="2008CA19" w14:textId="77777777" w:rsidR="008C5CFA" w:rsidRPr="00BA47B4" w:rsidRDefault="00E82A60" w:rsidP="00300A01">
            <w:pPr>
              <w:spacing w:before="0" w:after="0"/>
              <w:rPr>
                <w:sz w:val="12"/>
                <w:szCs w:val="12"/>
                <w:lang w:val="fr-BE"/>
              </w:rPr>
            </w:pPr>
            <w:r>
              <w:rPr>
                <w:noProof/>
                <w:sz w:val="12"/>
                <w:szCs w:val="12"/>
                <w:lang w:val="fr-BE"/>
              </w:rPr>
              <w:t>bezrobotni, w tym długotrwale bezrobotni</w:t>
            </w:r>
          </w:p>
        </w:tc>
        <w:tc>
          <w:tcPr>
            <w:tcW w:w="0" w:type="auto"/>
            <w:shd w:val="clear" w:color="auto" w:fill="auto"/>
          </w:tcPr>
          <w:p w14:paraId="0C3DF382" w14:textId="77777777" w:rsidR="008C5CFA" w:rsidRPr="00BA47B4" w:rsidRDefault="00E82A60"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14:paraId="3FB36E36" w14:textId="77777777" w:rsidR="008C5CFA" w:rsidRPr="00BA47B4" w:rsidRDefault="008C5CFA" w:rsidP="00300A01">
            <w:pPr>
              <w:spacing w:before="0" w:after="0"/>
              <w:jc w:val="right"/>
              <w:rPr>
                <w:sz w:val="12"/>
                <w:szCs w:val="12"/>
                <w:lang w:val="fr-BE"/>
              </w:rPr>
            </w:pPr>
          </w:p>
        </w:tc>
        <w:tc>
          <w:tcPr>
            <w:tcW w:w="0" w:type="auto"/>
            <w:shd w:val="clear" w:color="auto" w:fill="auto"/>
          </w:tcPr>
          <w:p w14:paraId="6197D8FE" w14:textId="77777777" w:rsidR="008C5CFA" w:rsidRPr="00BA47B4" w:rsidRDefault="008C5CFA" w:rsidP="00300A01">
            <w:pPr>
              <w:spacing w:before="0" w:after="0"/>
              <w:jc w:val="right"/>
              <w:rPr>
                <w:sz w:val="12"/>
                <w:szCs w:val="12"/>
                <w:lang w:val="fr-BE"/>
              </w:rPr>
            </w:pPr>
          </w:p>
        </w:tc>
        <w:tc>
          <w:tcPr>
            <w:tcW w:w="0" w:type="auto"/>
            <w:shd w:val="clear" w:color="auto" w:fill="auto"/>
          </w:tcPr>
          <w:p w14:paraId="196C7E23" w14:textId="77777777" w:rsidR="008C5CFA" w:rsidRPr="00BA47B4" w:rsidRDefault="008C5CFA" w:rsidP="00300A01">
            <w:pPr>
              <w:spacing w:before="0" w:after="0"/>
              <w:jc w:val="right"/>
              <w:rPr>
                <w:sz w:val="12"/>
                <w:szCs w:val="12"/>
                <w:lang w:val="fr-BE"/>
              </w:rPr>
            </w:pPr>
          </w:p>
        </w:tc>
        <w:tc>
          <w:tcPr>
            <w:tcW w:w="0" w:type="auto"/>
            <w:shd w:val="clear" w:color="auto" w:fill="auto"/>
          </w:tcPr>
          <w:p w14:paraId="722FD3D6" w14:textId="77777777" w:rsidR="008C5CFA" w:rsidRPr="00BA47B4" w:rsidRDefault="00E82A60" w:rsidP="00300A01">
            <w:pPr>
              <w:spacing w:before="0" w:after="0"/>
              <w:jc w:val="right"/>
              <w:rPr>
                <w:sz w:val="12"/>
                <w:szCs w:val="12"/>
                <w:lang w:val="fr-BE"/>
              </w:rPr>
            </w:pPr>
            <w:r w:rsidRPr="00BA47B4">
              <w:rPr>
                <w:noProof/>
                <w:sz w:val="12"/>
                <w:szCs w:val="12"/>
                <w:lang w:val="fr-BE"/>
              </w:rPr>
              <w:t>384,00</w:t>
            </w:r>
          </w:p>
        </w:tc>
        <w:tc>
          <w:tcPr>
            <w:tcW w:w="0" w:type="auto"/>
            <w:shd w:val="clear" w:color="auto" w:fill="auto"/>
          </w:tcPr>
          <w:p w14:paraId="2FDEB1C1" w14:textId="77777777" w:rsidR="008C5CFA" w:rsidRPr="00BA47B4" w:rsidRDefault="00E82A60" w:rsidP="00300A01">
            <w:pPr>
              <w:spacing w:before="0" w:after="0"/>
              <w:jc w:val="right"/>
              <w:rPr>
                <w:sz w:val="12"/>
                <w:szCs w:val="12"/>
                <w:lang w:val="fr-BE"/>
              </w:rPr>
            </w:pPr>
            <w:r w:rsidRPr="00BA47B4">
              <w:rPr>
                <w:noProof/>
                <w:sz w:val="12"/>
                <w:szCs w:val="12"/>
                <w:lang w:val="fr-BE"/>
              </w:rPr>
              <w:t>52,00</w:t>
            </w:r>
          </w:p>
        </w:tc>
        <w:tc>
          <w:tcPr>
            <w:tcW w:w="0" w:type="auto"/>
            <w:shd w:val="clear" w:color="auto" w:fill="auto"/>
          </w:tcPr>
          <w:p w14:paraId="0D55FA14" w14:textId="77777777" w:rsidR="008C5CFA" w:rsidRPr="00BA47B4" w:rsidRDefault="00E82A60" w:rsidP="00300A01">
            <w:pPr>
              <w:spacing w:before="0" w:after="0"/>
              <w:jc w:val="right"/>
              <w:rPr>
                <w:sz w:val="12"/>
                <w:szCs w:val="12"/>
                <w:lang w:val="fr-BE"/>
              </w:rPr>
            </w:pPr>
            <w:r w:rsidRPr="00BA47B4">
              <w:rPr>
                <w:noProof/>
                <w:sz w:val="12"/>
                <w:szCs w:val="12"/>
                <w:lang w:val="fr-BE"/>
              </w:rPr>
              <w:t>332,00</w:t>
            </w:r>
          </w:p>
        </w:tc>
        <w:tc>
          <w:tcPr>
            <w:tcW w:w="0" w:type="auto"/>
            <w:shd w:val="clear" w:color="auto" w:fill="auto"/>
          </w:tcPr>
          <w:p w14:paraId="36679740" w14:textId="77777777" w:rsidR="008C5CFA" w:rsidRPr="00BA47B4" w:rsidRDefault="008C5CFA" w:rsidP="00300A01">
            <w:pPr>
              <w:spacing w:before="0" w:after="0"/>
              <w:jc w:val="right"/>
              <w:rPr>
                <w:sz w:val="12"/>
                <w:szCs w:val="12"/>
                <w:lang w:val="fr-BE"/>
              </w:rPr>
            </w:pPr>
          </w:p>
        </w:tc>
        <w:tc>
          <w:tcPr>
            <w:tcW w:w="0" w:type="auto"/>
            <w:shd w:val="clear" w:color="auto" w:fill="auto"/>
          </w:tcPr>
          <w:p w14:paraId="3F223EC1" w14:textId="77777777" w:rsidR="008C5CFA" w:rsidRPr="00BA47B4" w:rsidRDefault="008C5CFA" w:rsidP="00300A01">
            <w:pPr>
              <w:spacing w:before="0" w:after="0"/>
              <w:jc w:val="right"/>
              <w:rPr>
                <w:sz w:val="12"/>
                <w:szCs w:val="12"/>
                <w:lang w:val="fr-BE"/>
              </w:rPr>
            </w:pPr>
          </w:p>
        </w:tc>
        <w:tc>
          <w:tcPr>
            <w:tcW w:w="0" w:type="auto"/>
            <w:shd w:val="clear" w:color="auto" w:fill="auto"/>
          </w:tcPr>
          <w:p w14:paraId="1FCE370D" w14:textId="77777777" w:rsidR="008C5CFA" w:rsidRPr="00BA47B4" w:rsidRDefault="008C5CFA" w:rsidP="00300A01">
            <w:pPr>
              <w:spacing w:before="0" w:after="0"/>
              <w:jc w:val="right"/>
              <w:rPr>
                <w:sz w:val="12"/>
                <w:szCs w:val="12"/>
                <w:lang w:val="fr-BE"/>
              </w:rPr>
            </w:pPr>
          </w:p>
        </w:tc>
        <w:tc>
          <w:tcPr>
            <w:tcW w:w="0" w:type="auto"/>
          </w:tcPr>
          <w:p w14:paraId="4522A565" w14:textId="77777777" w:rsidR="008C5CFA" w:rsidRPr="00A92B39" w:rsidRDefault="00E82A60" w:rsidP="00300A01">
            <w:pPr>
              <w:spacing w:before="0" w:after="0"/>
              <w:jc w:val="right"/>
              <w:rPr>
                <w:sz w:val="10"/>
                <w:szCs w:val="10"/>
                <w:lang w:val="fr-BE"/>
              </w:rPr>
            </w:pPr>
            <w:r w:rsidRPr="00A92B39">
              <w:rPr>
                <w:noProof/>
                <w:sz w:val="10"/>
                <w:szCs w:val="10"/>
                <w:lang w:val="fr-BE"/>
              </w:rPr>
              <w:t>68,00</w:t>
            </w:r>
          </w:p>
        </w:tc>
        <w:tc>
          <w:tcPr>
            <w:tcW w:w="0" w:type="auto"/>
            <w:shd w:val="clear" w:color="auto" w:fill="auto"/>
          </w:tcPr>
          <w:p w14:paraId="5D2FEBF5" w14:textId="77777777" w:rsidR="008C5CFA" w:rsidRPr="00A92B39" w:rsidRDefault="00E82A60" w:rsidP="00300A01">
            <w:pPr>
              <w:spacing w:before="0" w:after="0"/>
              <w:jc w:val="right"/>
              <w:rPr>
                <w:sz w:val="10"/>
                <w:szCs w:val="10"/>
                <w:lang w:val="fr-BE"/>
              </w:rPr>
            </w:pPr>
            <w:r w:rsidRPr="00A92B39">
              <w:rPr>
                <w:noProof/>
                <w:sz w:val="10"/>
                <w:szCs w:val="10"/>
                <w:lang w:val="fr-BE"/>
              </w:rPr>
              <w:t>13,00</w:t>
            </w:r>
          </w:p>
        </w:tc>
        <w:tc>
          <w:tcPr>
            <w:tcW w:w="0" w:type="auto"/>
            <w:shd w:val="clear" w:color="auto" w:fill="auto"/>
          </w:tcPr>
          <w:p w14:paraId="127BEECC" w14:textId="77777777" w:rsidR="008C5CFA" w:rsidRPr="00BA47B4" w:rsidRDefault="00E82A60" w:rsidP="00300A01">
            <w:pPr>
              <w:spacing w:before="0" w:after="0"/>
              <w:jc w:val="right"/>
              <w:rPr>
                <w:sz w:val="12"/>
                <w:szCs w:val="12"/>
                <w:lang w:val="fr-BE"/>
              </w:rPr>
            </w:pPr>
            <w:r w:rsidRPr="00A92B39">
              <w:rPr>
                <w:noProof/>
                <w:sz w:val="10"/>
                <w:szCs w:val="10"/>
                <w:lang w:val="fr-BE"/>
              </w:rPr>
              <w:t>55,00</w:t>
            </w:r>
          </w:p>
        </w:tc>
      </w:tr>
      <w:tr w:rsidR="006B2EC1" w14:paraId="2EB721C4" w14:textId="77777777" w:rsidTr="0047688D">
        <w:tc>
          <w:tcPr>
            <w:tcW w:w="0" w:type="auto"/>
            <w:shd w:val="clear" w:color="auto" w:fill="auto"/>
          </w:tcPr>
          <w:p w14:paraId="7B848AFF" w14:textId="77777777" w:rsidR="008C5CFA" w:rsidRPr="00BA47B4" w:rsidRDefault="00E82A60" w:rsidP="00300A01">
            <w:pPr>
              <w:spacing w:before="0" w:after="0"/>
              <w:rPr>
                <w:sz w:val="12"/>
                <w:szCs w:val="12"/>
                <w:lang w:val="fr-BE"/>
              </w:rPr>
            </w:pPr>
            <w:r>
              <w:rPr>
                <w:noProof/>
                <w:sz w:val="12"/>
                <w:szCs w:val="12"/>
                <w:lang w:val="fr-BE"/>
              </w:rPr>
              <w:t>CO02</w:t>
            </w:r>
          </w:p>
        </w:tc>
        <w:tc>
          <w:tcPr>
            <w:tcW w:w="0" w:type="auto"/>
            <w:shd w:val="clear" w:color="auto" w:fill="auto"/>
          </w:tcPr>
          <w:p w14:paraId="26D547FB" w14:textId="77777777" w:rsidR="008C5CFA" w:rsidRPr="00BA47B4" w:rsidRDefault="00E82A60" w:rsidP="00300A01">
            <w:pPr>
              <w:spacing w:before="0" w:after="0"/>
              <w:rPr>
                <w:sz w:val="12"/>
                <w:szCs w:val="12"/>
                <w:lang w:val="fr-BE"/>
              </w:rPr>
            </w:pPr>
            <w:r>
              <w:rPr>
                <w:noProof/>
                <w:sz w:val="12"/>
                <w:szCs w:val="12"/>
                <w:lang w:val="fr-BE"/>
              </w:rPr>
              <w:t>długotrwale bezrobotni</w:t>
            </w:r>
          </w:p>
        </w:tc>
        <w:tc>
          <w:tcPr>
            <w:tcW w:w="0" w:type="auto"/>
            <w:shd w:val="clear" w:color="auto" w:fill="auto"/>
          </w:tcPr>
          <w:p w14:paraId="5F373F06" w14:textId="77777777" w:rsidR="008C5CFA" w:rsidRPr="00BA47B4" w:rsidRDefault="00E82A60"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14:paraId="6579B706" w14:textId="77777777" w:rsidR="008C5CFA" w:rsidRPr="00BA47B4" w:rsidRDefault="008C5CFA" w:rsidP="00300A01">
            <w:pPr>
              <w:spacing w:before="0" w:after="0"/>
              <w:jc w:val="right"/>
              <w:rPr>
                <w:sz w:val="12"/>
                <w:szCs w:val="12"/>
                <w:lang w:val="fr-BE"/>
              </w:rPr>
            </w:pPr>
          </w:p>
        </w:tc>
        <w:tc>
          <w:tcPr>
            <w:tcW w:w="0" w:type="auto"/>
            <w:shd w:val="clear" w:color="auto" w:fill="auto"/>
          </w:tcPr>
          <w:p w14:paraId="096F45F6" w14:textId="77777777" w:rsidR="008C5CFA" w:rsidRPr="00BA47B4" w:rsidRDefault="008C5CFA" w:rsidP="00300A01">
            <w:pPr>
              <w:spacing w:before="0" w:after="0"/>
              <w:jc w:val="right"/>
              <w:rPr>
                <w:sz w:val="12"/>
                <w:szCs w:val="12"/>
                <w:lang w:val="fr-BE"/>
              </w:rPr>
            </w:pPr>
          </w:p>
        </w:tc>
        <w:tc>
          <w:tcPr>
            <w:tcW w:w="0" w:type="auto"/>
            <w:shd w:val="clear" w:color="auto" w:fill="auto"/>
          </w:tcPr>
          <w:p w14:paraId="0CDBAD9C" w14:textId="77777777" w:rsidR="008C5CFA" w:rsidRPr="00BA47B4" w:rsidRDefault="008C5CFA" w:rsidP="00300A01">
            <w:pPr>
              <w:spacing w:before="0" w:after="0"/>
              <w:jc w:val="right"/>
              <w:rPr>
                <w:sz w:val="12"/>
                <w:szCs w:val="12"/>
                <w:lang w:val="fr-BE"/>
              </w:rPr>
            </w:pPr>
          </w:p>
        </w:tc>
        <w:tc>
          <w:tcPr>
            <w:tcW w:w="0" w:type="auto"/>
            <w:shd w:val="clear" w:color="auto" w:fill="auto"/>
          </w:tcPr>
          <w:p w14:paraId="629FF8D6" w14:textId="77777777" w:rsidR="008C5CFA" w:rsidRPr="00BA47B4" w:rsidRDefault="00E82A60" w:rsidP="00300A01">
            <w:pPr>
              <w:spacing w:before="0" w:after="0"/>
              <w:jc w:val="right"/>
              <w:rPr>
                <w:sz w:val="12"/>
                <w:szCs w:val="12"/>
                <w:lang w:val="fr-BE"/>
              </w:rPr>
            </w:pPr>
            <w:r w:rsidRPr="00BA47B4">
              <w:rPr>
                <w:noProof/>
                <w:sz w:val="12"/>
                <w:szCs w:val="12"/>
                <w:lang w:val="fr-BE"/>
              </w:rPr>
              <w:t>87,00</w:t>
            </w:r>
          </w:p>
        </w:tc>
        <w:tc>
          <w:tcPr>
            <w:tcW w:w="0" w:type="auto"/>
            <w:shd w:val="clear" w:color="auto" w:fill="auto"/>
          </w:tcPr>
          <w:p w14:paraId="2E1A084E" w14:textId="77777777" w:rsidR="008C5CFA" w:rsidRPr="00BA47B4" w:rsidRDefault="00E82A60" w:rsidP="00300A01">
            <w:pPr>
              <w:spacing w:before="0" w:after="0"/>
              <w:jc w:val="right"/>
              <w:rPr>
                <w:sz w:val="12"/>
                <w:szCs w:val="12"/>
                <w:lang w:val="fr-BE"/>
              </w:rPr>
            </w:pPr>
            <w:r w:rsidRPr="00BA47B4">
              <w:rPr>
                <w:noProof/>
                <w:sz w:val="12"/>
                <w:szCs w:val="12"/>
                <w:lang w:val="fr-BE"/>
              </w:rPr>
              <w:t>11,00</w:t>
            </w:r>
          </w:p>
        </w:tc>
        <w:tc>
          <w:tcPr>
            <w:tcW w:w="0" w:type="auto"/>
            <w:shd w:val="clear" w:color="auto" w:fill="auto"/>
          </w:tcPr>
          <w:p w14:paraId="37BD54A7" w14:textId="77777777" w:rsidR="008C5CFA" w:rsidRPr="00BA47B4" w:rsidRDefault="00E82A60" w:rsidP="00300A01">
            <w:pPr>
              <w:spacing w:before="0" w:after="0"/>
              <w:jc w:val="right"/>
              <w:rPr>
                <w:sz w:val="12"/>
                <w:szCs w:val="12"/>
                <w:lang w:val="fr-BE"/>
              </w:rPr>
            </w:pPr>
            <w:r w:rsidRPr="00BA47B4">
              <w:rPr>
                <w:noProof/>
                <w:sz w:val="12"/>
                <w:szCs w:val="12"/>
                <w:lang w:val="fr-BE"/>
              </w:rPr>
              <w:t>76,00</w:t>
            </w:r>
          </w:p>
        </w:tc>
        <w:tc>
          <w:tcPr>
            <w:tcW w:w="0" w:type="auto"/>
            <w:shd w:val="clear" w:color="auto" w:fill="auto"/>
          </w:tcPr>
          <w:p w14:paraId="75656CF9" w14:textId="77777777" w:rsidR="008C5CFA" w:rsidRPr="00BA47B4" w:rsidRDefault="008C5CFA" w:rsidP="00300A01">
            <w:pPr>
              <w:spacing w:before="0" w:after="0"/>
              <w:jc w:val="right"/>
              <w:rPr>
                <w:sz w:val="12"/>
                <w:szCs w:val="12"/>
                <w:lang w:val="fr-BE"/>
              </w:rPr>
            </w:pPr>
          </w:p>
        </w:tc>
        <w:tc>
          <w:tcPr>
            <w:tcW w:w="0" w:type="auto"/>
            <w:shd w:val="clear" w:color="auto" w:fill="auto"/>
          </w:tcPr>
          <w:p w14:paraId="4F127249" w14:textId="77777777" w:rsidR="008C5CFA" w:rsidRPr="00BA47B4" w:rsidRDefault="008C5CFA" w:rsidP="00300A01">
            <w:pPr>
              <w:spacing w:before="0" w:after="0"/>
              <w:jc w:val="right"/>
              <w:rPr>
                <w:sz w:val="12"/>
                <w:szCs w:val="12"/>
                <w:lang w:val="fr-BE"/>
              </w:rPr>
            </w:pPr>
          </w:p>
        </w:tc>
        <w:tc>
          <w:tcPr>
            <w:tcW w:w="0" w:type="auto"/>
            <w:shd w:val="clear" w:color="auto" w:fill="auto"/>
          </w:tcPr>
          <w:p w14:paraId="11B72EAB" w14:textId="77777777" w:rsidR="008C5CFA" w:rsidRPr="00BA47B4" w:rsidRDefault="008C5CFA" w:rsidP="00300A01">
            <w:pPr>
              <w:spacing w:before="0" w:after="0"/>
              <w:jc w:val="right"/>
              <w:rPr>
                <w:sz w:val="12"/>
                <w:szCs w:val="12"/>
                <w:lang w:val="fr-BE"/>
              </w:rPr>
            </w:pPr>
          </w:p>
        </w:tc>
        <w:tc>
          <w:tcPr>
            <w:tcW w:w="0" w:type="auto"/>
          </w:tcPr>
          <w:p w14:paraId="3B8608EC" w14:textId="77777777" w:rsidR="008C5CFA" w:rsidRPr="00A92B39" w:rsidRDefault="00E82A60" w:rsidP="00300A01">
            <w:pPr>
              <w:spacing w:before="0" w:after="0"/>
              <w:jc w:val="right"/>
              <w:rPr>
                <w:sz w:val="10"/>
                <w:szCs w:val="10"/>
                <w:lang w:val="fr-BE"/>
              </w:rPr>
            </w:pPr>
            <w:r w:rsidRPr="00A92B39">
              <w:rPr>
                <w:noProof/>
                <w:sz w:val="10"/>
                <w:szCs w:val="10"/>
                <w:lang w:val="fr-BE"/>
              </w:rPr>
              <w:t>13,00</w:t>
            </w:r>
          </w:p>
        </w:tc>
        <w:tc>
          <w:tcPr>
            <w:tcW w:w="0" w:type="auto"/>
            <w:shd w:val="clear" w:color="auto" w:fill="auto"/>
          </w:tcPr>
          <w:p w14:paraId="2011256C" w14:textId="77777777" w:rsidR="008C5CFA" w:rsidRPr="00A92B39" w:rsidRDefault="00E82A60" w:rsidP="00300A01">
            <w:pPr>
              <w:spacing w:before="0" w:after="0"/>
              <w:jc w:val="right"/>
              <w:rPr>
                <w:sz w:val="10"/>
                <w:szCs w:val="10"/>
                <w:lang w:val="fr-BE"/>
              </w:rPr>
            </w:pPr>
            <w:r w:rsidRPr="00A92B39">
              <w:rPr>
                <w:noProof/>
                <w:sz w:val="10"/>
                <w:szCs w:val="10"/>
                <w:lang w:val="fr-BE"/>
              </w:rPr>
              <w:t>3,00</w:t>
            </w:r>
          </w:p>
        </w:tc>
        <w:tc>
          <w:tcPr>
            <w:tcW w:w="0" w:type="auto"/>
            <w:shd w:val="clear" w:color="auto" w:fill="auto"/>
          </w:tcPr>
          <w:p w14:paraId="4CD551FC" w14:textId="77777777" w:rsidR="008C5CFA" w:rsidRPr="00BA47B4" w:rsidRDefault="00E82A60" w:rsidP="00300A01">
            <w:pPr>
              <w:spacing w:before="0" w:after="0"/>
              <w:jc w:val="right"/>
              <w:rPr>
                <w:sz w:val="12"/>
                <w:szCs w:val="12"/>
                <w:lang w:val="fr-BE"/>
              </w:rPr>
            </w:pPr>
            <w:r w:rsidRPr="00A92B39">
              <w:rPr>
                <w:noProof/>
                <w:sz w:val="10"/>
                <w:szCs w:val="10"/>
                <w:lang w:val="fr-BE"/>
              </w:rPr>
              <w:t>10,00</w:t>
            </w:r>
          </w:p>
        </w:tc>
      </w:tr>
      <w:tr w:rsidR="006B2EC1" w14:paraId="7F75F5CC" w14:textId="77777777" w:rsidTr="0047688D">
        <w:tc>
          <w:tcPr>
            <w:tcW w:w="0" w:type="auto"/>
            <w:shd w:val="clear" w:color="auto" w:fill="auto"/>
          </w:tcPr>
          <w:p w14:paraId="4297214A" w14:textId="77777777" w:rsidR="008C5CFA" w:rsidRPr="00BA47B4" w:rsidRDefault="00E82A60" w:rsidP="00300A01">
            <w:pPr>
              <w:spacing w:before="0" w:after="0"/>
              <w:rPr>
                <w:sz w:val="12"/>
                <w:szCs w:val="12"/>
                <w:lang w:val="fr-BE"/>
              </w:rPr>
            </w:pPr>
            <w:r>
              <w:rPr>
                <w:noProof/>
                <w:sz w:val="12"/>
                <w:szCs w:val="12"/>
                <w:lang w:val="fr-BE"/>
              </w:rPr>
              <w:t>CO03</w:t>
            </w:r>
          </w:p>
        </w:tc>
        <w:tc>
          <w:tcPr>
            <w:tcW w:w="0" w:type="auto"/>
            <w:shd w:val="clear" w:color="auto" w:fill="auto"/>
          </w:tcPr>
          <w:p w14:paraId="3AE4D97E" w14:textId="77777777" w:rsidR="008C5CFA" w:rsidRPr="00BA47B4" w:rsidRDefault="00E82A60" w:rsidP="00300A01">
            <w:pPr>
              <w:spacing w:before="0" w:after="0"/>
              <w:rPr>
                <w:sz w:val="12"/>
                <w:szCs w:val="12"/>
                <w:lang w:val="fr-BE"/>
              </w:rPr>
            </w:pPr>
            <w:r>
              <w:rPr>
                <w:noProof/>
                <w:sz w:val="12"/>
                <w:szCs w:val="12"/>
                <w:lang w:val="fr-BE"/>
              </w:rPr>
              <w:t>osoby bierne zawodowo</w:t>
            </w:r>
          </w:p>
        </w:tc>
        <w:tc>
          <w:tcPr>
            <w:tcW w:w="0" w:type="auto"/>
            <w:shd w:val="clear" w:color="auto" w:fill="auto"/>
          </w:tcPr>
          <w:p w14:paraId="787886CB" w14:textId="77777777" w:rsidR="008C5CFA" w:rsidRPr="00BA47B4" w:rsidRDefault="00E82A60"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14:paraId="42D819A6" w14:textId="77777777" w:rsidR="008C5CFA" w:rsidRPr="00BA47B4" w:rsidRDefault="008C5CFA" w:rsidP="00300A01">
            <w:pPr>
              <w:spacing w:before="0" w:after="0"/>
              <w:jc w:val="right"/>
              <w:rPr>
                <w:sz w:val="12"/>
                <w:szCs w:val="12"/>
                <w:lang w:val="fr-BE"/>
              </w:rPr>
            </w:pPr>
          </w:p>
        </w:tc>
        <w:tc>
          <w:tcPr>
            <w:tcW w:w="0" w:type="auto"/>
            <w:shd w:val="clear" w:color="auto" w:fill="auto"/>
          </w:tcPr>
          <w:p w14:paraId="775CD18A" w14:textId="77777777" w:rsidR="008C5CFA" w:rsidRPr="00BA47B4" w:rsidRDefault="008C5CFA" w:rsidP="00300A01">
            <w:pPr>
              <w:spacing w:before="0" w:after="0"/>
              <w:jc w:val="right"/>
              <w:rPr>
                <w:sz w:val="12"/>
                <w:szCs w:val="12"/>
                <w:lang w:val="fr-BE"/>
              </w:rPr>
            </w:pPr>
          </w:p>
        </w:tc>
        <w:tc>
          <w:tcPr>
            <w:tcW w:w="0" w:type="auto"/>
            <w:shd w:val="clear" w:color="auto" w:fill="auto"/>
          </w:tcPr>
          <w:p w14:paraId="3EDF8BFA" w14:textId="77777777" w:rsidR="008C5CFA" w:rsidRPr="00BA47B4" w:rsidRDefault="008C5CFA" w:rsidP="00300A01">
            <w:pPr>
              <w:spacing w:before="0" w:after="0"/>
              <w:jc w:val="right"/>
              <w:rPr>
                <w:sz w:val="12"/>
                <w:szCs w:val="12"/>
                <w:lang w:val="fr-BE"/>
              </w:rPr>
            </w:pPr>
          </w:p>
        </w:tc>
        <w:tc>
          <w:tcPr>
            <w:tcW w:w="0" w:type="auto"/>
            <w:shd w:val="clear" w:color="auto" w:fill="auto"/>
          </w:tcPr>
          <w:p w14:paraId="2109BE94" w14:textId="77777777" w:rsidR="008C5CFA" w:rsidRPr="00BA47B4" w:rsidRDefault="00E82A60" w:rsidP="00300A01">
            <w:pPr>
              <w:spacing w:before="0" w:after="0"/>
              <w:jc w:val="right"/>
              <w:rPr>
                <w:sz w:val="12"/>
                <w:szCs w:val="12"/>
                <w:lang w:val="fr-BE"/>
              </w:rPr>
            </w:pPr>
            <w:r w:rsidRPr="00BA47B4">
              <w:rPr>
                <w:noProof/>
                <w:sz w:val="12"/>
                <w:szCs w:val="12"/>
                <w:lang w:val="fr-BE"/>
              </w:rPr>
              <w:t>1 000,00</w:t>
            </w:r>
          </w:p>
        </w:tc>
        <w:tc>
          <w:tcPr>
            <w:tcW w:w="0" w:type="auto"/>
            <w:shd w:val="clear" w:color="auto" w:fill="auto"/>
          </w:tcPr>
          <w:p w14:paraId="0DE0F58E" w14:textId="77777777" w:rsidR="008C5CFA" w:rsidRPr="00BA47B4" w:rsidRDefault="00E82A60" w:rsidP="00300A01">
            <w:pPr>
              <w:spacing w:before="0" w:after="0"/>
              <w:jc w:val="right"/>
              <w:rPr>
                <w:sz w:val="12"/>
                <w:szCs w:val="12"/>
                <w:lang w:val="fr-BE"/>
              </w:rPr>
            </w:pPr>
            <w:r w:rsidRPr="00BA47B4">
              <w:rPr>
                <w:noProof/>
                <w:sz w:val="12"/>
                <w:szCs w:val="12"/>
                <w:lang w:val="fr-BE"/>
              </w:rPr>
              <w:t>465,00</w:t>
            </w:r>
          </w:p>
        </w:tc>
        <w:tc>
          <w:tcPr>
            <w:tcW w:w="0" w:type="auto"/>
            <w:shd w:val="clear" w:color="auto" w:fill="auto"/>
          </w:tcPr>
          <w:p w14:paraId="0A390E7F" w14:textId="77777777" w:rsidR="008C5CFA" w:rsidRPr="00BA47B4" w:rsidRDefault="00E82A60" w:rsidP="00300A01">
            <w:pPr>
              <w:spacing w:before="0" w:after="0"/>
              <w:jc w:val="right"/>
              <w:rPr>
                <w:sz w:val="12"/>
                <w:szCs w:val="12"/>
                <w:lang w:val="fr-BE"/>
              </w:rPr>
            </w:pPr>
            <w:r w:rsidRPr="00BA47B4">
              <w:rPr>
                <w:noProof/>
                <w:sz w:val="12"/>
                <w:szCs w:val="12"/>
                <w:lang w:val="fr-BE"/>
              </w:rPr>
              <w:t>535,00</w:t>
            </w:r>
          </w:p>
        </w:tc>
        <w:tc>
          <w:tcPr>
            <w:tcW w:w="0" w:type="auto"/>
            <w:shd w:val="clear" w:color="auto" w:fill="auto"/>
          </w:tcPr>
          <w:p w14:paraId="49EDE3AB" w14:textId="77777777" w:rsidR="008C5CFA" w:rsidRPr="00BA47B4" w:rsidRDefault="008C5CFA" w:rsidP="00300A01">
            <w:pPr>
              <w:spacing w:before="0" w:after="0"/>
              <w:jc w:val="right"/>
              <w:rPr>
                <w:sz w:val="12"/>
                <w:szCs w:val="12"/>
                <w:lang w:val="fr-BE"/>
              </w:rPr>
            </w:pPr>
          </w:p>
        </w:tc>
        <w:tc>
          <w:tcPr>
            <w:tcW w:w="0" w:type="auto"/>
            <w:shd w:val="clear" w:color="auto" w:fill="auto"/>
          </w:tcPr>
          <w:p w14:paraId="4644068A" w14:textId="77777777" w:rsidR="008C5CFA" w:rsidRPr="00BA47B4" w:rsidRDefault="008C5CFA" w:rsidP="00300A01">
            <w:pPr>
              <w:spacing w:before="0" w:after="0"/>
              <w:jc w:val="right"/>
              <w:rPr>
                <w:sz w:val="12"/>
                <w:szCs w:val="12"/>
                <w:lang w:val="fr-BE"/>
              </w:rPr>
            </w:pPr>
          </w:p>
        </w:tc>
        <w:tc>
          <w:tcPr>
            <w:tcW w:w="0" w:type="auto"/>
            <w:shd w:val="clear" w:color="auto" w:fill="auto"/>
          </w:tcPr>
          <w:p w14:paraId="3ABBB9CB" w14:textId="77777777" w:rsidR="008C5CFA" w:rsidRPr="00BA47B4" w:rsidRDefault="008C5CFA" w:rsidP="00300A01">
            <w:pPr>
              <w:spacing w:before="0" w:after="0"/>
              <w:jc w:val="right"/>
              <w:rPr>
                <w:sz w:val="12"/>
                <w:szCs w:val="12"/>
                <w:lang w:val="fr-BE"/>
              </w:rPr>
            </w:pPr>
          </w:p>
        </w:tc>
        <w:tc>
          <w:tcPr>
            <w:tcW w:w="0" w:type="auto"/>
          </w:tcPr>
          <w:p w14:paraId="4ED37C88" w14:textId="77777777" w:rsidR="008C5CFA" w:rsidRPr="00A92B39" w:rsidRDefault="00E82A60" w:rsidP="00300A01">
            <w:pPr>
              <w:spacing w:before="0" w:after="0"/>
              <w:jc w:val="right"/>
              <w:rPr>
                <w:sz w:val="10"/>
                <w:szCs w:val="10"/>
                <w:lang w:val="fr-BE"/>
              </w:rPr>
            </w:pPr>
            <w:r w:rsidRPr="00A92B39">
              <w:rPr>
                <w:noProof/>
                <w:sz w:val="10"/>
                <w:szCs w:val="10"/>
                <w:lang w:val="fr-BE"/>
              </w:rPr>
              <w:t>171,00</w:t>
            </w:r>
          </w:p>
        </w:tc>
        <w:tc>
          <w:tcPr>
            <w:tcW w:w="0" w:type="auto"/>
            <w:shd w:val="clear" w:color="auto" w:fill="auto"/>
          </w:tcPr>
          <w:p w14:paraId="225D5ACE" w14:textId="77777777" w:rsidR="008C5CFA" w:rsidRPr="00A92B39" w:rsidRDefault="00E82A60" w:rsidP="00300A01">
            <w:pPr>
              <w:spacing w:before="0" w:after="0"/>
              <w:jc w:val="right"/>
              <w:rPr>
                <w:sz w:val="10"/>
                <w:szCs w:val="10"/>
                <w:lang w:val="fr-BE"/>
              </w:rPr>
            </w:pPr>
            <w:r w:rsidRPr="00A92B39">
              <w:rPr>
                <w:noProof/>
                <w:sz w:val="10"/>
                <w:szCs w:val="10"/>
                <w:lang w:val="fr-BE"/>
              </w:rPr>
              <w:t>73,00</w:t>
            </w:r>
          </w:p>
        </w:tc>
        <w:tc>
          <w:tcPr>
            <w:tcW w:w="0" w:type="auto"/>
            <w:shd w:val="clear" w:color="auto" w:fill="auto"/>
          </w:tcPr>
          <w:p w14:paraId="72714BCD" w14:textId="77777777" w:rsidR="008C5CFA" w:rsidRPr="00BA47B4" w:rsidRDefault="00E82A60" w:rsidP="00300A01">
            <w:pPr>
              <w:spacing w:before="0" w:after="0"/>
              <w:jc w:val="right"/>
              <w:rPr>
                <w:sz w:val="12"/>
                <w:szCs w:val="12"/>
                <w:lang w:val="fr-BE"/>
              </w:rPr>
            </w:pPr>
            <w:r w:rsidRPr="00A92B39">
              <w:rPr>
                <w:noProof/>
                <w:sz w:val="10"/>
                <w:szCs w:val="10"/>
                <w:lang w:val="fr-BE"/>
              </w:rPr>
              <w:t>98,00</w:t>
            </w:r>
          </w:p>
        </w:tc>
      </w:tr>
      <w:tr w:rsidR="006B2EC1" w14:paraId="00D610DA" w14:textId="77777777" w:rsidTr="0047688D">
        <w:tc>
          <w:tcPr>
            <w:tcW w:w="0" w:type="auto"/>
            <w:shd w:val="clear" w:color="auto" w:fill="auto"/>
          </w:tcPr>
          <w:p w14:paraId="6B639CE6" w14:textId="77777777" w:rsidR="008C5CFA" w:rsidRPr="00BA47B4" w:rsidRDefault="00E82A60" w:rsidP="00300A01">
            <w:pPr>
              <w:spacing w:before="0" w:after="0"/>
              <w:rPr>
                <w:sz w:val="12"/>
                <w:szCs w:val="12"/>
                <w:lang w:val="fr-BE"/>
              </w:rPr>
            </w:pPr>
            <w:r>
              <w:rPr>
                <w:noProof/>
                <w:sz w:val="12"/>
                <w:szCs w:val="12"/>
                <w:lang w:val="fr-BE"/>
              </w:rPr>
              <w:t>CO04</w:t>
            </w:r>
          </w:p>
        </w:tc>
        <w:tc>
          <w:tcPr>
            <w:tcW w:w="0" w:type="auto"/>
            <w:shd w:val="clear" w:color="auto" w:fill="auto"/>
          </w:tcPr>
          <w:p w14:paraId="67872541" w14:textId="77777777" w:rsidR="008C5CFA" w:rsidRPr="00BA47B4" w:rsidRDefault="00E82A60" w:rsidP="00300A01">
            <w:pPr>
              <w:spacing w:before="0" w:after="0"/>
              <w:rPr>
                <w:sz w:val="12"/>
                <w:szCs w:val="12"/>
                <w:lang w:val="fr-BE"/>
              </w:rPr>
            </w:pPr>
            <w:r>
              <w:rPr>
                <w:noProof/>
                <w:sz w:val="12"/>
                <w:szCs w:val="12"/>
                <w:lang w:val="fr-BE"/>
              </w:rPr>
              <w:t>osoby bierne zawodowo, nieuczestniczące w kształceniu ani szkoleniu</w:t>
            </w:r>
          </w:p>
        </w:tc>
        <w:tc>
          <w:tcPr>
            <w:tcW w:w="0" w:type="auto"/>
            <w:shd w:val="clear" w:color="auto" w:fill="auto"/>
          </w:tcPr>
          <w:p w14:paraId="46AD18A3" w14:textId="77777777" w:rsidR="008C5CFA" w:rsidRPr="00BA47B4" w:rsidRDefault="00E82A60"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14:paraId="7996FFE0" w14:textId="77777777" w:rsidR="008C5CFA" w:rsidRPr="00BA47B4" w:rsidRDefault="008C5CFA" w:rsidP="00300A01">
            <w:pPr>
              <w:spacing w:before="0" w:after="0"/>
              <w:jc w:val="right"/>
              <w:rPr>
                <w:sz w:val="12"/>
                <w:szCs w:val="12"/>
                <w:lang w:val="fr-BE"/>
              </w:rPr>
            </w:pPr>
          </w:p>
        </w:tc>
        <w:tc>
          <w:tcPr>
            <w:tcW w:w="0" w:type="auto"/>
            <w:shd w:val="clear" w:color="auto" w:fill="auto"/>
          </w:tcPr>
          <w:p w14:paraId="30E32C56" w14:textId="77777777" w:rsidR="008C5CFA" w:rsidRPr="00BA47B4" w:rsidRDefault="008C5CFA" w:rsidP="00300A01">
            <w:pPr>
              <w:spacing w:before="0" w:after="0"/>
              <w:jc w:val="right"/>
              <w:rPr>
                <w:sz w:val="12"/>
                <w:szCs w:val="12"/>
                <w:lang w:val="fr-BE"/>
              </w:rPr>
            </w:pPr>
          </w:p>
        </w:tc>
        <w:tc>
          <w:tcPr>
            <w:tcW w:w="0" w:type="auto"/>
            <w:shd w:val="clear" w:color="auto" w:fill="auto"/>
          </w:tcPr>
          <w:p w14:paraId="1628B1BE" w14:textId="77777777" w:rsidR="008C5CFA" w:rsidRPr="00BA47B4" w:rsidRDefault="008C5CFA" w:rsidP="00300A01">
            <w:pPr>
              <w:spacing w:before="0" w:after="0"/>
              <w:jc w:val="right"/>
              <w:rPr>
                <w:sz w:val="12"/>
                <w:szCs w:val="12"/>
                <w:lang w:val="fr-BE"/>
              </w:rPr>
            </w:pPr>
          </w:p>
        </w:tc>
        <w:tc>
          <w:tcPr>
            <w:tcW w:w="0" w:type="auto"/>
            <w:shd w:val="clear" w:color="auto" w:fill="auto"/>
          </w:tcPr>
          <w:p w14:paraId="323778FA" w14:textId="77777777" w:rsidR="008C5CFA" w:rsidRPr="00BA47B4" w:rsidRDefault="00E82A60" w:rsidP="00300A01">
            <w:pPr>
              <w:spacing w:before="0" w:after="0"/>
              <w:jc w:val="right"/>
              <w:rPr>
                <w:sz w:val="12"/>
                <w:szCs w:val="12"/>
                <w:lang w:val="fr-BE"/>
              </w:rPr>
            </w:pPr>
            <w:r w:rsidRPr="00BA47B4">
              <w:rPr>
                <w:noProof/>
                <w:sz w:val="12"/>
                <w:szCs w:val="12"/>
                <w:lang w:val="fr-BE"/>
              </w:rPr>
              <w:t>243,00</w:t>
            </w:r>
          </w:p>
        </w:tc>
        <w:tc>
          <w:tcPr>
            <w:tcW w:w="0" w:type="auto"/>
            <w:shd w:val="clear" w:color="auto" w:fill="auto"/>
          </w:tcPr>
          <w:p w14:paraId="1528D614" w14:textId="77777777" w:rsidR="008C5CFA" w:rsidRPr="00BA47B4" w:rsidRDefault="00E82A60" w:rsidP="00300A01">
            <w:pPr>
              <w:spacing w:before="0" w:after="0"/>
              <w:jc w:val="right"/>
              <w:rPr>
                <w:sz w:val="12"/>
                <w:szCs w:val="12"/>
                <w:lang w:val="fr-BE"/>
              </w:rPr>
            </w:pPr>
            <w:r w:rsidRPr="00BA47B4">
              <w:rPr>
                <w:noProof/>
                <w:sz w:val="12"/>
                <w:szCs w:val="12"/>
                <w:lang w:val="fr-BE"/>
              </w:rPr>
              <w:t>116,00</w:t>
            </w:r>
          </w:p>
        </w:tc>
        <w:tc>
          <w:tcPr>
            <w:tcW w:w="0" w:type="auto"/>
            <w:shd w:val="clear" w:color="auto" w:fill="auto"/>
          </w:tcPr>
          <w:p w14:paraId="5AA98D23" w14:textId="77777777" w:rsidR="008C5CFA" w:rsidRPr="00BA47B4" w:rsidRDefault="00E82A60" w:rsidP="00300A01">
            <w:pPr>
              <w:spacing w:before="0" w:after="0"/>
              <w:jc w:val="right"/>
              <w:rPr>
                <w:sz w:val="12"/>
                <w:szCs w:val="12"/>
                <w:lang w:val="fr-BE"/>
              </w:rPr>
            </w:pPr>
            <w:r w:rsidRPr="00BA47B4">
              <w:rPr>
                <w:noProof/>
                <w:sz w:val="12"/>
                <w:szCs w:val="12"/>
                <w:lang w:val="fr-BE"/>
              </w:rPr>
              <w:t>127,00</w:t>
            </w:r>
          </w:p>
        </w:tc>
        <w:tc>
          <w:tcPr>
            <w:tcW w:w="0" w:type="auto"/>
            <w:shd w:val="clear" w:color="auto" w:fill="auto"/>
          </w:tcPr>
          <w:p w14:paraId="359869AF" w14:textId="77777777" w:rsidR="008C5CFA" w:rsidRPr="00BA47B4" w:rsidRDefault="008C5CFA" w:rsidP="00300A01">
            <w:pPr>
              <w:spacing w:before="0" w:after="0"/>
              <w:jc w:val="right"/>
              <w:rPr>
                <w:sz w:val="12"/>
                <w:szCs w:val="12"/>
                <w:lang w:val="fr-BE"/>
              </w:rPr>
            </w:pPr>
          </w:p>
        </w:tc>
        <w:tc>
          <w:tcPr>
            <w:tcW w:w="0" w:type="auto"/>
            <w:shd w:val="clear" w:color="auto" w:fill="auto"/>
          </w:tcPr>
          <w:p w14:paraId="331B1C9E" w14:textId="77777777" w:rsidR="008C5CFA" w:rsidRPr="00BA47B4" w:rsidRDefault="008C5CFA" w:rsidP="00300A01">
            <w:pPr>
              <w:spacing w:before="0" w:after="0"/>
              <w:jc w:val="right"/>
              <w:rPr>
                <w:sz w:val="12"/>
                <w:szCs w:val="12"/>
                <w:lang w:val="fr-BE"/>
              </w:rPr>
            </w:pPr>
          </w:p>
        </w:tc>
        <w:tc>
          <w:tcPr>
            <w:tcW w:w="0" w:type="auto"/>
            <w:shd w:val="clear" w:color="auto" w:fill="auto"/>
          </w:tcPr>
          <w:p w14:paraId="32259C29" w14:textId="77777777" w:rsidR="008C5CFA" w:rsidRPr="00BA47B4" w:rsidRDefault="008C5CFA" w:rsidP="00300A01">
            <w:pPr>
              <w:spacing w:before="0" w:after="0"/>
              <w:jc w:val="right"/>
              <w:rPr>
                <w:sz w:val="12"/>
                <w:szCs w:val="12"/>
                <w:lang w:val="fr-BE"/>
              </w:rPr>
            </w:pPr>
          </w:p>
        </w:tc>
        <w:tc>
          <w:tcPr>
            <w:tcW w:w="0" w:type="auto"/>
          </w:tcPr>
          <w:p w14:paraId="67E4A4AA" w14:textId="77777777" w:rsidR="008C5CFA" w:rsidRPr="00A92B39" w:rsidRDefault="00E82A60" w:rsidP="00300A01">
            <w:pPr>
              <w:spacing w:before="0" w:after="0"/>
              <w:jc w:val="right"/>
              <w:rPr>
                <w:sz w:val="10"/>
                <w:szCs w:val="10"/>
                <w:lang w:val="fr-BE"/>
              </w:rPr>
            </w:pPr>
            <w:r w:rsidRPr="00A92B39">
              <w:rPr>
                <w:noProof/>
                <w:sz w:val="10"/>
                <w:szCs w:val="10"/>
                <w:lang w:val="fr-BE"/>
              </w:rPr>
              <w:t>58,00</w:t>
            </w:r>
          </w:p>
        </w:tc>
        <w:tc>
          <w:tcPr>
            <w:tcW w:w="0" w:type="auto"/>
            <w:shd w:val="clear" w:color="auto" w:fill="auto"/>
          </w:tcPr>
          <w:p w14:paraId="498DEA72" w14:textId="77777777" w:rsidR="008C5CFA" w:rsidRPr="00A92B39" w:rsidRDefault="00E82A60" w:rsidP="00300A01">
            <w:pPr>
              <w:spacing w:before="0" w:after="0"/>
              <w:jc w:val="right"/>
              <w:rPr>
                <w:sz w:val="10"/>
                <w:szCs w:val="10"/>
                <w:lang w:val="fr-BE"/>
              </w:rPr>
            </w:pPr>
            <w:r w:rsidRPr="00A92B39">
              <w:rPr>
                <w:noProof/>
                <w:sz w:val="10"/>
                <w:szCs w:val="10"/>
                <w:lang w:val="fr-BE"/>
              </w:rPr>
              <w:t>31,00</w:t>
            </w:r>
          </w:p>
        </w:tc>
        <w:tc>
          <w:tcPr>
            <w:tcW w:w="0" w:type="auto"/>
            <w:shd w:val="clear" w:color="auto" w:fill="auto"/>
          </w:tcPr>
          <w:p w14:paraId="6467E556" w14:textId="77777777" w:rsidR="008C5CFA" w:rsidRPr="00BA47B4" w:rsidRDefault="00E82A60" w:rsidP="00300A01">
            <w:pPr>
              <w:spacing w:before="0" w:after="0"/>
              <w:jc w:val="right"/>
              <w:rPr>
                <w:sz w:val="12"/>
                <w:szCs w:val="12"/>
                <w:lang w:val="fr-BE"/>
              </w:rPr>
            </w:pPr>
            <w:r w:rsidRPr="00A92B39">
              <w:rPr>
                <w:noProof/>
                <w:sz w:val="10"/>
                <w:szCs w:val="10"/>
                <w:lang w:val="fr-BE"/>
              </w:rPr>
              <w:t>27,00</w:t>
            </w:r>
          </w:p>
        </w:tc>
      </w:tr>
      <w:tr w:rsidR="006B2EC1" w14:paraId="2B50C964" w14:textId="77777777" w:rsidTr="0047688D">
        <w:tc>
          <w:tcPr>
            <w:tcW w:w="0" w:type="auto"/>
            <w:shd w:val="clear" w:color="auto" w:fill="auto"/>
          </w:tcPr>
          <w:p w14:paraId="2F51314B" w14:textId="77777777" w:rsidR="008C5CFA" w:rsidRPr="00BA47B4" w:rsidRDefault="00E82A60" w:rsidP="00300A01">
            <w:pPr>
              <w:spacing w:before="0" w:after="0"/>
              <w:rPr>
                <w:sz w:val="12"/>
                <w:szCs w:val="12"/>
                <w:lang w:val="fr-BE"/>
              </w:rPr>
            </w:pPr>
            <w:r>
              <w:rPr>
                <w:noProof/>
                <w:sz w:val="12"/>
                <w:szCs w:val="12"/>
                <w:lang w:val="fr-BE"/>
              </w:rPr>
              <w:t>CO05</w:t>
            </w:r>
          </w:p>
        </w:tc>
        <w:tc>
          <w:tcPr>
            <w:tcW w:w="0" w:type="auto"/>
            <w:shd w:val="clear" w:color="auto" w:fill="auto"/>
          </w:tcPr>
          <w:p w14:paraId="58DCE9A1" w14:textId="77777777" w:rsidR="008C5CFA" w:rsidRPr="00BA47B4" w:rsidRDefault="00E82A60" w:rsidP="00300A01">
            <w:pPr>
              <w:spacing w:before="0" w:after="0"/>
              <w:rPr>
                <w:sz w:val="12"/>
                <w:szCs w:val="12"/>
                <w:lang w:val="fr-BE"/>
              </w:rPr>
            </w:pPr>
            <w:r>
              <w:rPr>
                <w:noProof/>
                <w:sz w:val="12"/>
                <w:szCs w:val="12"/>
                <w:lang w:val="fr-BE"/>
              </w:rPr>
              <w:t>osoby pracujące, łącznie z prowadzącymi działalność na własny rachunek</w:t>
            </w:r>
          </w:p>
        </w:tc>
        <w:tc>
          <w:tcPr>
            <w:tcW w:w="0" w:type="auto"/>
            <w:shd w:val="clear" w:color="auto" w:fill="auto"/>
          </w:tcPr>
          <w:p w14:paraId="2DFBB399" w14:textId="77777777" w:rsidR="008C5CFA" w:rsidRPr="00BA47B4" w:rsidRDefault="00E82A60"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14:paraId="2C25B82B" w14:textId="77777777" w:rsidR="008C5CFA" w:rsidRPr="00BA47B4" w:rsidRDefault="008C5CFA" w:rsidP="00300A01">
            <w:pPr>
              <w:spacing w:before="0" w:after="0"/>
              <w:jc w:val="right"/>
              <w:rPr>
                <w:sz w:val="12"/>
                <w:szCs w:val="12"/>
                <w:lang w:val="fr-BE"/>
              </w:rPr>
            </w:pPr>
          </w:p>
        </w:tc>
        <w:tc>
          <w:tcPr>
            <w:tcW w:w="0" w:type="auto"/>
            <w:shd w:val="clear" w:color="auto" w:fill="auto"/>
          </w:tcPr>
          <w:p w14:paraId="3E171D51" w14:textId="77777777" w:rsidR="008C5CFA" w:rsidRPr="00BA47B4" w:rsidRDefault="008C5CFA" w:rsidP="00300A01">
            <w:pPr>
              <w:spacing w:before="0" w:after="0"/>
              <w:jc w:val="right"/>
              <w:rPr>
                <w:sz w:val="12"/>
                <w:szCs w:val="12"/>
                <w:lang w:val="fr-BE"/>
              </w:rPr>
            </w:pPr>
          </w:p>
        </w:tc>
        <w:tc>
          <w:tcPr>
            <w:tcW w:w="0" w:type="auto"/>
            <w:shd w:val="clear" w:color="auto" w:fill="auto"/>
          </w:tcPr>
          <w:p w14:paraId="17CC8226" w14:textId="77777777" w:rsidR="008C5CFA" w:rsidRPr="00BA47B4" w:rsidRDefault="008C5CFA" w:rsidP="00300A01">
            <w:pPr>
              <w:spacing w:before="0" w:after="0"/>
              <w:jc w:val="right"/>
              <w:rPr>
                <w:sz w:val="12"/>
                <w:szCs w:val="12"/>
                <w:lang w:val="fr-BE"/>
              </w:rPr>
            </w:pPr>
          </w:p>
        </w:tc>
        <w:tc>
          <w:tcPr>
            <w:tcW w:w="0" w:type="auto"/>
            <w:shd w:val="clear" w:color="auto" w:fill="auto"/>
          </w:tcPr>
          <w:p w14:paraId="1BA9977E" w14:textId="77777777" w:rsidR="008C5CFA" w:rsidRPr="00BA47B4" w:rsidRDefault="00E82A60" w:rsidP="00300A01">
            <w:pPr>
              <w:spacing w:before="0" w:after="0"/>
              <w:jc w:val="right"/>
              <w:rPr>
                <w:sz w:val="12"/>
                <w:szCs w:val="12"/>
                <w:lang w:val="fr-BE"/>
              </w:rPr>
            </w:pPr>
            <w:r w:rsidRPr="00BA47B4">
              <w:rPr>
                <w:noProof/>
                <w:sz w:val="12"/>
                <w:szCs w:val="12"/>
                <w:lang w:val="fr-BE"/>
              </w:rPr>
              <w:t>421,00</w:t>
            </w:r>
          </w:p>
        </w:tc>
        <w:tc>
          <w:tcPr>
            <w:tcW w:w="0" w:type="auto"/>
            <w:shd w:val="clear" w:color="auto" w:fill="auto"/>
          </w:tcPr>
          <w:p w14:paraId="54256C47" w14:textId="77777777" w:rsidR="008C5CFA" w:rsidRPr="00BA47B4" w:rsidRDefault="00E82A60" w:rsidP="00300A01">
            <w:pPr>
              <w:spacing w:before="0" w:after="0"/>
              <w:jc w:val="right"/>
              <w:rPr>
                <w:sz w:val="12"/>
                <w:szCs w:val="12"/>
                <w:lang w:val="fr-BE"/>
              </w:rPr>
            </w:pPr>
            <w:r w:rsidRPr="00BA47B4">
              <w:rPr>
                <w:noProof/>
                <w:sz w:val="12"/>
                <w:szCs w:val="12"/>
                <w:lang w:val="fr-BE"/>
              </w:rPr>
              <w:t>22,00</w:t>
            </w:r>
          </w:p>
        </w:tc>
        <w:tc>
          <w:tcPr>
            <w:tcW w:w="0" w:type="auto"/>
            <w:shd w:val="clear" w:color="auto" w:fill="auto"/>
          </w:tcPr>
          <w:p w14:paraId="3AB7BFC7" w14:textId="77777777" w:rsidR="008C5CFA" w:rsidRPr="00BA47B4" w:rsidRDefault="00E82A60" w:rsidP="00300A01">
            <w:pPr>
              <w:spacing w:before="0" w:after="0"/>
              <w:jc w:val="right"/>
              <w:rPr>
                <w:sz w:val="12"/>
                <w:szCs w:val="12"/>
                <w:lang w:val="fr-BE"/>
              </w:rPr>
            </w:pPr>
            <w:r w:rsidRPr="00BA47B4">
              <w:rPr>
                <w:noProof/>
                <w:sz w:val="12"/>
                <w:szCs w:val="12"/>
                <w:lang w:val="fr-BE"/>
              </w:rPr>
              <w:t>399,00</w:t>
            </w:r>
          </w:p>
        </w:tc>
        <w:tc>
          <w:tcPr>
            <w:tcW w:w="0" w:type="auto"/>
            <w:shd w:val="clear" w:color="auto" w:fill="auto"/>
          </w:tcPr>
          <w:p w14:paraId="364502EB" w14:textId="77777777" w:rsidR="008C5CFA" w:rsidRPr="00BA47B4" w:rsidRDefault="008C5CFA" w:rsidP="00300A01">
            <w:pPr>
              <w:spacing w:before="0" w:after="0"/>
              <w:jc w:val="right"/>
              <w:rPr>
                <w:sz w:val="12"/>
                <w:szCs w:val="12"/>
                <w:lang w:val="fr-BE"/>
              </w:rPr>
            </w:pPr>
          </w:p>
        </w:tc>
        <w:tc>
          <w:tcPr>
            <w:tcW w:w="0" w:type="auto"/>
            <w:shd w:val="clear" w:color="auto" w:fill="auto"/>
          </w:tcPr>
          <w:p w14:paraId="108DD21B" w14:textId="77777777" w:rsidR="008C5CFA" w:rsidRPr="00BA47B4" w:rsidRDefault="008C5CFA" w:rsidP="00300A01">
            <w:pPr>
              <w:spacing w:before="0" w:after="0"/>
              <w:jc w:val="right"/>
              <w:rPr>
                <w:sz w:val="12"/>
                <w:szCs w:val="12"/>
                <w:lang w:val="fr-BE"/>
              </w:rPr>
            </w:pPr>
          </w:p>
        </w:tc>
        <w:tc>
          <w:tcPr>
            <w:tcW w:w="0" w:type="auto"/>
            <w:shd w:val="clear" w:color="auto" w:fill="auto"/>
          </w:tcPr>
          <w:p w14:paraId="2BC21C65" w14:textId="77777777" w:rsidR="008C5CFA" w:rsidRPr="00BA47B4" w:rsidRDefault="008C5CFA" w:rsidP="00300A01">
            <w:pPr>
              <w:spacing w:before="0" w:after="0"/>
              <w:jc w:val="right"/>
              <w:rPr>
                <w:sz w:val="12"/>
                <w:szCs w:val="12"/>
                <w:lang w:val="fr-BE"/>
              </w:rPr>
            </w:pPr>
          </w:p>
        </w:tc>
        <w:tc>
          <w:tcPr>
            <w:tcW w:w="0" w:type="auto"/>
          </w:tcPr>
          <w:p w14:paraId="50C80636" w14:textId="77777777" w:rsidR="008C5CFA" w:rsidRPr="00A92B39" w:rsidRDefault="00E82A60" w:rsidP="00300A01">
            <w:pPr>
              <w:spacing w:before="0" w:after="0"/>
              <w:jc w:val="right"/>
              <w:rPr>
                <w:sz w:val="10"/>
                <w:szCs w:val="10"/>
                <w:lang w:val="fr-BE"/>
              </w:rPr>
            </w:pPr>
            <w:r w:rsidRPr="00A92B39">
              <w:rPr>
                <w:noProof/>
                <w:sz w:val="10"/>
                <w:szCs w:val="10"/>
                <w:lang w:val="fr-BE"/>
              </w:rPr>
              <w:t>109,00</w:t>
            </w:r>
          </w:p>
        </w:tc>
        <w:tc>
          <w:tcPr>
            <w:tcW w:w="0" w:type="auto"/>
            <w:shd w:val="clear" w:color="auto" w:fill="auto"/>
          </w:tcPr>
          <w:p w14:paraId="24A33650" w14:textId="77777777" w:rsidR="008C5CFA" w:rsidRPr="00A92B39" w:rsidRDefault="00E82A60" w:rsidP="00300A01">
            <w:pPr>
              <w:spacing w:before="0" w:after="0"/>
              <w:jc w:val="right"/>
              <w:rPr>
                <w:sz w:val="10"/>
                <w:szCs w:val="10"/>
                <w:lang w:val="fr-BE"/>
              </w:rPr>
            </w:pPr>
            <w:r w:rsidRPr="00A92B39">
              <w:rPr>
                <w:noProof/>
                <w:sz w:val="10"/>
                <w:szCs w:val="10"/>
                <w:lang w:val="fr-BE"/>
              </w:rPr>
              <w:t>4,00</w:t>
            </w:r>
          </w:p>
        </w:tc>
        <w:tc>
          <w:tcPr>
            <w:tcW w:w="0" w:type="auto"/>
            <w:shd w:val="clear" w:color="auto" w:fill="auto"/>
          </w:tcPr>
          <w:p w14:paraId="246755BC" w14:textId="77777777" w:rsidR="008C5CFA" w:rsidRPr="00BA47B4" w:rsidRDefault="00E82A60" w:rsidP="00300A01">
            <w:pPr>
              <w:spacing w:before="0" w:after="0"/>
              <w:jc w:val="right"/>
              <w:rPr>
                <w:sz w:val="12"/>
                <w:szCs w:val="12"/>
                <w:lang w:val="fr-BE"/>
              </w:rPr>
            </w:pPr>
            <w:r w:rsidRPr="00A92B39">
              <w:rPr>
                <w:noProof/>
                <w:sz w:val="10"/>
                <w:szCs w:val="10"/>
                <w:lang w:val="fr-BE"/>
              </w:rPr>
              <w:t>105,00</w:t>
            </w:r>
          </w:p>
        </w:tc>
      </w:tr>
      <w:tr w:rsidR="006B2EC1" w14:paraId="0BA49E16" w14:textId="77777777" w:rsidTr="0047688D">
        <w:tc>
          <w:tcPr>
            <w:tcW w:w="0" w:type="auto"/>
            <w:shd w:val="clear" w:color="auto" w:fill="auto"/>
          </w:tcPr>
          <w:p w14:paraId="554ACEBA" w14:textId="77777777" w:rsidR="008C5CFA" w:rsidRPr="00BA47B4" w:rsidRDefault="00E82A60" w:rsidP="00300A01">
            <w:pPr>
              <w:spacing w:before="0" w:after="0"/>
              <w:rPr>
                <w:sz w:val="12"/>
                <w:szCs w:val="12"/>
                <w:lang w:val="fr-BE"/>
              </w:rPr>
            </w:pPr>
            <w:r>
              <w:rPr>
                <w:noProof/>
                <w:sz w:val="12"/>
                <w:szCs w:val="12"/>
                <w:lang w:val="fr-BE"/>
              </w:rPr>
              <w:t>CO06</w:t>
            </w:r>
          </w:p>
        </w:tc>
        <w:tc>
          <w:tcPr>
            <w:tcW w:w="0" w:type="auto"/>
            <w:shd w:val="clear" w:color="auto" w:fill="auto"/>
          </w:tcPr>
          <w:p w14:paraId="31E9A7C3" w14:textId="77777777" w:rsidR="008C5CFA" w:rsidRPr="00BA47B4" w:rsidRDefault="00E82A60" w:rsidP="00300A01">
            <w:pPr>
              <w:spacing w:before="0" w:after="0"/>
              <w:rPr>
                <w:sz w:val="12"/>
                <w:szCs w:val="12"/>
                <w:lang w:val="fr-BE"/>
              </w:rPr>
            </w:pPr>
            <w:r>
              <w:rPr>
                <w:noProof/>
                <w:sz w:val="12"/>
                <w:szCs w:val="12"/>
                <w:lang w:val="fr-BE"/>
              </w:rPr>
              <w:t>osoby w wieku poniżej 25 lat</w:t>
            </w:r>
          </w:p>
        </w:tc>
        <w:tc>
          <w:tcPr>
            <w:tcW w:w="0" w:type="auto"/>
            <w:shd w:val="clear" w:color="auto" w:fill="auto"/>
          </w:tcPr>
          <w:p w14:paraId="6BD5B6C8" w14:textId="77777777" w:rsidR="008C5CFA" w:rsidRPr="00BA47B4" w:rsidRDefault="00E82A60"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14:paraId="00D219C9" w14:textId="77777777" w:rsidR="008C5CFA" w:rsidRPr="00BA47B4" w:rsidRDefault="008C5CFA" w:rsidP="00300A01">
            <w:pPr>
              <w:spacing w:before="0" w:after="0"/>
              <w:jc w:val="right"/>
              <w:rPr>
                <w:sz w:val="12"/>
                <w:szCs w:val="12"/>
                <w:lang w:val="fr-BE"/>
              </w:rPr>
            </w:pPr>
          </w:p>
        </w:tc>
        <w:tc>
          <w:tcPr>
            <w:tcW w:w="0" w:type="auto"/>
            <w:shd w:val="clear" w:color="auto" w:fill="auto"/>
          </w:tcPr>
          <w:p w14:paraId="1733E2B4" w14:textId="77777777" w:rsidR="008C5CFA" w:rsidRPr="00BA47B4" w:rsidRDefault="008C5CFA" w:rsidP="00300A01">
            <w:pPr>
              <w:spacing w:before="0" w:after="0"/>
              <w:jc w:val="right"/>
              <w:rPr>
                <w:sz w:val="12"/>
                <w:szCs w:val="12"/>
                <w:lang w:val="fr-BE"/>
              </w:rPr>
            </w:pPr>
          </w:p>
        </w:tc>
        <w:tc>
          <w:tcPr>
            <w:tcW w:w="0" w:type="auto"/>
            <w:shd w:val="clear" w:color="auto" w:fill="auto"/>
          </w:tcPr>
          <w:p w14:paraId="3C8CCD16" w14:textId="77777777" w:rsidR="008C5CFA" w:rsidRPr="00BA47B4" w:rsidRDefault="008C5CFA" w:rsidP="00300A01">
            <w:pPr>
              <w:spacing w:before="0" w:after="0"/>
              <w:jc w:val="right"/>
              <w:rPr>
                <w:sz w:val="12"/>
                <w:szCs w:val="12"/>
                <w:lang w:val="fr-BE"/>
              </w:rPr>
            </w:pPr>
          </w:p>
        </w:tc>
        <w:tc>
          <w:tcPr>
            <w:tcW w:w="0" w:type="auto"/>
            <w:shd w:val="clear" w:color="auto" w:fill="auto"/>
          </w:tcPr>
          <w:p w14:paraId="00A4A518" w14:textId="77777777" w:rsidR="008C5CFA" w:rsidRPr="00BA47B4" w:rsidRDefault="00E82A60" w:rsidP="00300A01">
            <w:pPr>
              <w:spacing w:before="0" w:after="0"/>
              <w:jc w:val="right"/>
              <w:rPr>
                <w:sz w:val="12"/>
                <w:szCs w:val="12"/>
                <w:lang w:val="fr-BE"/>
              </w:rPr>
            </w:pPr>
            <w:r w:rsidRPr="00BA47B4">
              <w:rPr>
                <w:noProof/>
                <w:sz w:val="12"/>
                <w:szCs w:val="12"/>
                <w:lang w:val="fr-BE"/>
              </w:rPr>
              <w:t>946,00</w:t>
            </w:r>
          </w:p>
        </w:tc>
        <w:tc>
          <w:tcPr>
            <w:tcW w:w="0" w:type="auto"/>
            <w:shd w:val="clear" w:color="auto" w:fill="auto"/>
          </w:tcPr>
          <w:p w14:paraId="475E284A" w14:textId="77777777" w:rsidR="008C5CFA" w:rsidRPr="00BA47B4" w:rsidRDefault="00E82A60" w:rsidP="00300A01">
            <w:pPr>
              <w:spacing w:before="0" w:after="0"/>
              <w:jc w:val="right"/>
              <w:rPr>
                <w:sz w:val="12"/>
                <w:szCs w:val="12"/>
                <w:lang w:val="fr-BE"/>
              </w:rPr>
            </w:pPr>
            <w:r w:rsidRPr="00BA47B4">
              <w:rPr>
                <w:noProof/>
                <w:sz w:val="12"/>
                <w:szCs w:val="12"/>
                <w:lang w:val="fr-BE"/>
              </w:rPr>
              <w:t>465,00</w:t>
            </w:r>
          </w:p>
        </w:tc>
        <w:tc>
          <w:tcPr>
            <w:tcW w:w="0" w:type="auto"/>
            <w:shd w:val="clear" w:color="auto" w:fill="auto"/>
          </w:tcPr>
          <w:p w14:paraId="023C7CEC" w14:textId="77777777" w:rsidR="008C5CFA" w:rsidRPr="00BA47B4" w:rsidRDefault="00E82A60" w:rsidP="00300A01">
            <w:pPr>
              <w:spacing w:before="0" w:after="0"/>
              <w:jc w:val="right"/>
              <w:rPr>
                <w:sz w:val="12"/>
                <w:szCs w:val="12"/>
                <w:lang w:val="fr-BE"/>
              </w:rPr>
            </w:pPr>
            <w:r w:rsidRPr="00BA47B4">
              <w:rPr>
                <w:noProof/>
                <w:sz w:val="12"/>
                <w:szCs w:val="12"/>
                <w:lang w:val="fr-BE"/>
              </w:rPr>
              <w:t>481,00</w:t>
            </w:r>
          </w:p>
        </w:tc>
        <w:tc>
          <w:tcPr>
            <w:tcW w:w="0" w:type="auto"/>
            <w:shd w:val="clear" w:color="auto" w:fill="auto"/>
          </w:tcPr>
          <w:p w14:paraId="65912719" w14:textId="77777777" w:rsidR="008C5CFA" w:rsidRPr="00BA47B4" w:rsidRDefault="008C5CFA" w:rsidP="00300A01">
            <w:pPr>
              <w:spacing w:before="0" w:after="0"/>
              <w:jc w:val="right"/>
              <w:rPr>
                <w:sz w:val="12"/>
                <w:szCs w:val="12"/>
                <w:lang w:val="fr-BE"/>
              </w:rPr>
            </w:pPr>
          </w:p>
        </w:tc>
        <w:tc>
          <w:tcPr>
            <w:tcW w:w="0" w:type="auto"/>
            <w:shd w:val="clear" w:color="auto" w:fill="auto"/>
          </w:tcPr>
          <w:p w14:paraId="0C95E139" w14:textId="77777777" w:rsidR="008C5CFA" w:rsidRPr="00BA47B4" w:rsidRDefault="008C5CFA" w:rsidP="00300A01">
            <w:pPr>
              <w:spacing w:before="0" w:after="0"/>
              <w:jc w:val="right"/>
              <w:rPr>
                <w:sz w:val="12"/>
                <w:szCs w:val="12"/>
                <w:lang w:val="fr-BE"/>
              </w:rPr>
            </w:pPr>
          </w:p>
        </w:tc>
        <w:tc>
          <w:tcPr>
            <w:tcW w:w="0" w:type="auto"/>
            <w:shd w:val="clear" w:color="auto" w:fill="auto"/>
          </w:tcPr>
          <w:p w14:paraId="6CEE0AD7" w14:textId="77777777" w:rsidR="008C5CFA" w:rsidRPr="00BA47B4" w:rsidRDefault="008C5CFA" w:rsidP="00300A01">
            <w:pPr>
              <w:spacing w:before="0" w:after="0"/>
              <w:jc w:val="right"/>
              <w:rPr>
                <w:sz w:val="12"/>
                <w:szCs w:val="12"/>
                <w:lang w:val="fr-BE"/>
              </w:rPr>
            </w:pPr>
          </w:p>
        </w:tc>
        <w:tc>
          <w:tcPr>
            <w:tcW w:w="0" w:type="auto"/>
          </w:tcPr>
          <w:p w14:paraId="0322D0B9" w14:textId="77777777" w:rsidR="008C5CFA" w:rsidRPr="00A92B39" w:rsidRDefault="00E82A60" w:rsidP="00300A01">
            <w:pPr>
              <w:spacing w:before="0" w:after="0"/>
              <w:jc w:val="right"/>
              <w:rPr>
                <w:sz w:val="10"/>
                <w:szCs w:val="10"/>
                <w:lang w:val="fr-BE"/>
              </w:rPr>
            </w:pPr>
            <w:r w:rsidRPr="00A92B39">
              <w:rPr>
                <w:noProof/>
                <w:sz w:val="10"/>
                <w:szCs w:val="10"/>
                <w:lang w:val="fr-BE"/>
              </w:rPr>
              <w:t>152,00</w:t>
            </w:r>
          </w:p>
        </w:tc>
        <w:tc>
          <w:tcPr>
            <w:tcW w:w="0" w:type="auto"/>
            <w:shd w:val="clear" w:color="auto" w:fill="auto"/>
          </w:tcPr>
          <w:p w14:paraId="69ADEAFF" w14:textId="77777777" w:rsidR="008C5CFA" w:rsidRPr="00A92B39" w:rsidRDefault="00E82A60" w:rsidP="00300A01">
            <w:pPr>
              <w:spacing w:before="0" w:after="0"/>
              <w:jc w:val="right"/>
              <w:rPr>
                <w:sz w:val="10"/>
                <w:szCs w:val="10"/>
                <w:lang w:val="fr-BE"/>
              </w:rPr>
            </w:pPr>
            <w:r w:rsidRPr="00A92B39">
              <w:rPr>
                <w:noProof/>
                <w:sz w:val="10"/>
                <w:szCs w:val="10"/>
                <w:lang w:val="fr-BE"/>
              </w:rPr>
              <w:t>72,00</w:t>
            </w:r>
          </w:p>
        </w:tc>
        <w:tc>
          <w:tcPr>
            <w:tcW w:w="0" w:type="auto"/>
            <w:shd w:val="clear" w:color="auto" w:fill="auto"/>
          </w:tcPr>
          <w:p w14:paraId="501D35C5" w14:textId="77777777" w:rsidR="008C5CFA" w:rsidRPr="00BA47B4" w:rsidRDefault="00E82A60" w:rsidP="00300A01">
            <w:pPr>
              <w:spacing w:before="0" w:after="0"/>
              <w:jc w:val="right"/>
              <w:rPr>
                <w:sz w:val="12"/>
                <w:szCs w:val="12"/>
                <w:lang w:val="fr-BE"/>
              </w:rPr>
            </w:pPr>
            <w:r w:rsidRPr="00A92B39">
              <w:rPr>
                <w:noProof/>
                <w:sz w:val="10"/>
                <w:szCs w:val="10"/>
                <w:lang w:val="fr-BE"/>
              </w:rPr>
              <w:t>80,00</w:t>
            </w:r>
          </w:p>
        </w:tc>
      </w:tr>
      <w:tr w:rsidR="006B2EC1" w14:paraId="573494EB" w14:textId="77777777" w:rsidTr="0047688D">
        <w:tc>
          <w:tcPr>
            <w:tcW w:w="0" w:type="auto"/>
            <w:shd w:val="clear" w:color="auto" w:fill="auto"/>
          </w:tcPr>
          <w:p w14:paraId="45516B76" w14:textId="77777777" w:rsidR="008C5CFA" w:rsidRPr="00BA47B4" w:rsidRDefault="00E82A60" w:rsidP="00300A01">
            <w:pPr>
              <w:spacing w:before="0" w:after="0"/>
              <w:rPr>
                <w:sz w:val="12"/>
                <w:szCs w:val="12"/>
                <w:lang w:val="fr-BE"/>
              </w:rPr>
            </w:pPr>
            <w:r>
              <w:rPr>
                <w:noProof/>
                <w:sz w:val="12"/>
                <w:szCs w:val="12"/>
                <w:lang w:val="fr-BE"/>
              </w:rPr>
              <w:t>CO07</w:t>
            </w:r>
          </w:p>
        </w:tc>
        <w:tc>
          <w:tcPr>
            <w:tcW w:w="0" w:type="auto"/>
            <w:shd w:val="clear" w:color="auto" w:fill="auto"/>
          </w:tcPr>
          <w:p w14:paraId="5F9473EB" w14:textId="77777777" w:rsidR="008C5CFA" w:rsidRPr="00BA47B4" w:rsidRDefault="00E82A60" w:rsidP="00300A01">
            <w:pPr>
              <w:spacing w:before="0" w:after="0"/>
              <w:rPr>
                <w:sz w:val="12"/>
                <w:szCs w:val="12"/>
                <w:lang w:val="fr-BE"/>
              </w:rPr>
            </w:pPr>
            <w:r>
              <w:rPr>
                <w:noProof/>
                <w:sz w:val="12"/>
                <w:szCs w:val="12"/>
                <w:lang w:val="fr-BE"/>
              </w:rPr>
              <w:t>osoby w wieku powyżej 54 lat</w:t>
            </w:r>
          </w:p>
        </w:tc>
        <w:tc>
          <w:tcPr>
            <w:tcW w:w="0" w:type="auto"/>
            <w:shd w:val="clear" w:color="auto" w:fill="auto"/>
          </w:tcPr>
          <w:p w14:paraId="5D2FE758" w14:textId="77777777" w:rsidR="008C5CFA" w:rsidRPr="00BA47B4" w:rsidRDefault="00E82A60"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14:paraId="11CB072B" w14:textId="77777777" w:rsidR="008C5CFA" w:rsidRPr="00BA47B4" w:rsidRDefault="008C5CFA" w:rsidP="00300A01">
            <w:pPr>
              <w:spacing w:before="0" w:after="0"/>
              <w:jc w:val="right"/>
              <w:rPr>
                <w:sz w:val="12"/>
                <w:szCs w:val="12"/>
                <w:lang w:val="fr-BE"/>
              </w:rPr>
            </w:pPr>
          </w:p>
        </w:tc>
        <w:tc>
          <w:tcPr>
            <w:tcW w:w="0" w:type="auto"/>
            <w:shd w:val="clear" w:color="auto" w:fill="auto"/>
          </w:tcPr>
          <w:p w14:paraId="34DEBB30" w14:textId="77777777" w:rsidR="008C5CFA" w:rsidRPr="00BA47B4" w:rsidRDefault="008C5CFA" w:rsidP="00300A01">
            <w:pPr>
              <w:spacing w:before="0" w:after="0"/>
              <w:jc w:val="right"/>
              <w:rPr>
                <w:sz w:val="12"/>
                <w:szCs w:val="12"/>
                <w:lang w:val="fr-BE"/>
              </w:rPr>
            </w:pPr>
          </w:p>
        </w:tc>
        <w:tc>
          <w:tcPr>
            <w:tcW w:w="0" w:type="auto"/>
            <w:shd w:val="clear" w:color="auto" w:fill="auto"/>
          </w:tcPr>
          <w:p w14:paraId="5FBFED9D" w14:textId="77777777" w:rsidR="008C5CFA" w:rsidRPr="00BA47B4" w:rsidRDefault="008C5CFA" w:rsidP="00300A01">
            <w:pPr>
              <w:spacing w:before="0" w:after="0"/>
              <w:jc w:val="right"/>
              <w:rPr>
                <w:sz w:val="12"/>
                <w:szCs w:val="12"/>
                <w:lang w:val="fr-BE"/>
              </w:rPr>
            </w:pPr>
          </w:p>
        </w:tc>
        <w:tc>
          <w:tcPr>
            <w:tcW w:w="0" w:type="auto"/>
            <w:shd w:val="clear" w:color="auto" w:fill="auto"/>
          </w:tcPr>
          <w:p w14:paraId="610B7D52" w14:textId="77777777" w:rsidR="008C5CFA" w:rsidRPr="00BA47B4" w:rsidRDefault="00E82A60" w:rsidP="00300A01">
            <w:pPr>
              <w:spacing w:before="0" w:after="0"/>
              <w:jc w:val="right"/>
              <w:rPr>
                <w:sz w:val="12"/>
                <w:szCs w:val="12"/>
                <w:lang w:val="fr-BE"/>
              </w:rPr>
            </w:pPr>
            <w:r w:rsidRPr="00BA47B4">
              <w:rPr>
                <w:noProof/>
                <w:sz w:val="12"/>
                <w:szCs w:val="12"/>
                <w:lang w:val="fr-BE"/>
              </w:rPr>
              <w:t>4,00</w:t>
            </w:r>
          </w:p>
        </w:tc>
        <w:tc>
          <w:tcPr>
            <w:tcW w:w="0" w:type="auto"/>
            <w:shd w:val="clear" w:color="auto" w:fill="auto"/>
          </w:tcPr>
          <w:p w14:paraId="10D3921A" w14:textId="77777777" w:rsidR="008C5CFA" w:rsidRPr="00BA47B4" w:rsidRDefault="00E82A60" w:rsidP="00300A01">
            <w:pPr>
              <w:spacing w:before="0" w:after="0"/>
              <w:jc w:val="right"/>
              <w:rPr>
                <w:sz w:val="12"/>
                <w:szCs w:val="12"/>
                <w:lang w:val="fr-BE"/>
              </w:rPr>
            </w:pPr>
            <w:r w:rsidRPr="00BA47B4">
              <w:rPr>
                <w:noProof/>
                <w:sz w:val="12"/>
                <w:szCs w:val="12"/>
                <w:lang w:val="fr-BE"/>
              </w:rPr>
              <w:t>1,00</w:t>
            </w:r>
          </w:p>
        </w:tc>
        <w:tc>
          <w:tcPr>
            <w:tcW w:w="0" w:type="auto"/>
            <w:shd w:val="clear" w:color="auto" w:fill="auto"/>
          </w:tcPr>
          <w:p w14:paraId="1F98A4B9" w14:textId="77777777" w:rsidR="008C5CFA" w:rsidRPr="00BA47B4" w:rsidRDefault="00E82A60" w:rsidP="00300A01">
            <w:pPr>
              <w:spacing w:before="0" w:after="0"/>
              <w:jc w:val="right"/>
              <w:rPr>
                <w:sz w:val="12"/>
                <w:szCs w:val="12"/>
                <w:lang w:val="fr-BE"/>
              </w:rPr>
            </w:pPr>
            <w:r w:rsidRPr="00BA47B4">
              <w:rPr>
                <w:noProof/>
                <w:sz w:val="12"/>
                <w:szCs w:val="12"/>
                <w:lang w:val="fr-BE"/>
              </w:rPr>
              <w:t>3,00</w:t>
            </w:r>
          </w:p>
        </w:tc>
        <w:tc>
          <w:tcPr>
            <w:tcW w:w="0" w:type="auto"/>
            <w:shd w:val="clear" w:color="auto" w:fill="auto"/>
          </w:tcPr>
          <w:p w14:paraId="3DF4064E" w14:textId="77777777" w:rsidR="008C5CFA" w:rsidRPr="00BA47B4" w:rsidRDefault="008C5CFA" w:rsidP="00300A01">
            <w:pPr>
              <w:spacing w:before="0" w:after="0"/>
              <w:jc w:val="right"/>
              <w:rPr>
                <w:sz w:val="12"/>
                <w:szCs w:val="12"/>
                <w:lang w:val="fr-BE"/>
              </w:rPr>
            </w:pPr>
          </w:p>
        </w:tc>
        <w:tc>
          <w:tcPr>
            <w:tcW w:w="0" w:type="auto"/>
            <w:shd w:val="clear" w:color="auto" w:fill="auto"/>
          </w:tcPr>
          <w:p w14:paraId="55A2A18C" w14:textId="77777777" w:rsidR="008C5CFA" w:rsidRPr="00BA47B4" w:rsidRDefault="008C5CFA" w:rsidP="00300A01">
            <w:pPr>
              <w:spacing w:before="0" w:after="0"/>
              <w:jc w:val="right"/>
              <w:rPr>
                <w:sz w:val="12"/>
                <w:szCs w:val="12"/>
                <w:lang w:val="fr-BE"/>
              </w:rPr>
            </w:pPr>
          </w:p>
        </w:tc>
        <w:tc>
          <w:tcPr>
            <w:tcW w:w="0" w:type="auto"/>
            <w:shd w:val="clear" w:color="auto" w:fill="auto"/>
          </w:tcPr>
          <w:p w14:paraId="5B1C4F13" w14:textId="77777777" w:rsidR="008C5CFA" w:rsidRPr="00BA47B4" w:rsidRDefault="008C5CFA" w:rsidP="00300A01">
            <w:pPr>
              <w:spacing w:before="0" w:after="0"/>
              <w:jc w:val="right"/>
              <w:rPr>
                <w:sz w:val="12"/>
                <w:szCs w:val="12"/>
                <w:lang w:val="fr-BE"/>
              </w:rPr>
            </w:pPr>
          </w:p>
        </w:tc>
        <w:tc>
          <w:tcPr>
            <w:tcW w:w="0" w:type="auto"/>
          </w:tcPr>
          <w:p w14:paraId="68127639"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14:paraId="274E5F3F"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14:paraId="04A8B501" w14:textId="77777777" w:rsidR="008C5CFA" w:rsidRPr="00BA47B4" w:rsidRDefault="00E82A60" w:rsidP="00300A01">
            <w:pPr>
              <w:spacing w:before="0" w:after="0"/>
              <w:jc w:val="right"/>
              <w:rPr>
                <w:sz w:val="12"/>
                <w:szCs w:val="12"/>
                <w:lang w:val="fr-BE"/>
              </w:rPr>
            </w:pPr>
            <w:r w:rsidRPr="00A92B39">
              <w:rPr>
                <w:noProof/>
                <w:sz w:val="10"/>
                <w:szCs w:val="10"/>
                <w:lang w:val="fr-BE"/>
              </w:rPr>
              <w:t>0,00</w:t>
            </w:r>
          </w:p>
        </w:tc>
      </w:tr>
      <w:tr w:rsidR="006B2EC1" w14:paraId="09CAA184" w14:textId="77777777" w:rsidTr="0047688D">
        <w:tc>
          <w:tcPr>
            <w:tcW w:w="0" w:type="auto"/>
            <w:shd w:val="clear" w:color="auto" w:fill="auto"/>
          </w:tcPr>
          <w:p w14:paraId="1741E5FF" w14:textId="77777777" w:rsidR="008C5CFA" w:rsidRPr="00BA47B4" w:rsidRDefault="00E82A60" w:rsidP="00300A01">
            <w:pPr>
              <w:spacing w:before="0" w:after="0"/>
              <w:rPr>
                <w:sz w:val="12"/>
                <w:szCs w:val="12"/>
                <w:lang w:val="fr-BE"/>
              </w:rPr>
            </w:pPr>
            <w:r>
              <w:rPr>
                <w:noProof/>
                <w:sz w:val="12"/>
                <w:szCs w:val="12"/>
                <w:lang w:val="fr-BE"/>
              </w:rPr>
              <w:t>CO08</w:t>
            </w:r>
          </w:p>
        </w:tc>
        <w:tc>
          <w:tcPr>
            <w:tcW w:w="0" w:type="auto"/>
            <w:shd w:val="clear" w:color="auto" w:fill="auto"/>
          </w:tcPr>
          <w:p w14:paraId="56212D52" w14:textId="77777777" w:rsidR="008C5CFA" w:rsidRPr="00BA47B4" w:rsidRDefault="00E82A60" w:rsidP="00300A01">
            <w:pPr>
              <w:spacing w:before="0" w:after="0"/>
              <w:rPr>
                <w:sz w:val="12"/>
                <w:szCs w:val="12"/>
                <w:lang w:val="fr-BE"/>
              </w:rPr>
            </w:pPr>
            <w:r>
              <w:rPr>
                <w:noProof/>
                <w:sz w:val="12"/>
                <w:szCs w:val="12"/>
                <w:lang w:val="fr-BE"/>
              </w:rPr>
              <w:t>osoby powyżej 54 lat, które są bezrobotne, łącznie z długotrwale bezrobotnymi, lub są bierne zawodowo i nie uczestniczą w kształceniu ani szkoleniu</w:t>
            </w:r>
          </w:p>
        </w:tc>
        <w:tc>
          <w:tcPr>
            <w:tcW w:w="0" w:type="auto"/>
            <w:shd w:val="clear" w:color="auto" w:fill="auto"/>
          </w:tcPr>
          <w:p w14:paraId="51D479C8" w14:textId="77777777" w:rsidR="008C5CFA" w:rsidRPr="00BA47B4" w:rsidRDefault="00E82A60"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14:paraId="5F50C313" w14:textId="77777777" w:rsidR="008C5CFA" w:rsidRPr="00BA47B4" w:rsidRDefault="008C5CFA" w:rsidP="00300A01">
            <w:pPr>
              <w:spacing w:before="0" w:after="0"/>
              <w:jc w:val="right"/>
              <w:rPr>
                <w:sz w:val="12"/>
                <w:szCs w:val="12"/>
                <w:lang w:val="fr-BE"/>
              </w:rPr>
            </w:pPr>
          </w:p>
        </w:tc>
        <w:tc>
          <w:tcPr>
            <w:tcW w:w="0" w:type="auto"/>
            <w:shd w:val="clear" w:color="auto" w:fill="auto"/>
          </w:tcPr>
          <w:p w14:paraId="38588C71" w14:textId="77777777" w:rsidR="008C5CFA" w:rsidRPr="00BA47B4" w:rsidRDefault="008C5CFA" w:rsidP="00300A01">
            <w:pPr>
              <w:spacing w:before="0" w:after="0"/>
              <w:jc w:val="right"/>
              <w:rPr>
                <w:sz w:val="12"/>
                <w:szCs w:val="12"/>
                <w:lang w:val="fr-BE"/>
              </w:rPr>
            </w:pPr>
          </w:p>
        </w:tc>
        <w:tc>
          <w:tcPr>
            <w:tcW w:w="0" w:type="auto"/>
            <w:shd w:val="clear" w:color="auto" w:fill="auto"/>
          </w:tcPr>
          <w:p w14:paraId="38108B0A" w14:textId="77777777" w:rsidR="008C5CFA" w:rsidRPr="00BA47B4" w:rsidRDefault="008C5CFA" w:rsidP="00300A01">
            <w:pPr>
              <w:spacing w:before="0" w:after="0"/>
              <w:jc w:val="right"/>
              <w:rPr>
                <w:sz w:val="12"/>
                <w:szCs w:val="12"/>
                <w:lang w:val="fr-BE"/>
              </w:rPr>
            </w:pPr>
          </w:p>
        </w:tc>
        <w:tc>
          <w:tcPr>
            <w:tcW w:w="0" w:type="auto"/>
            <w:shd w:val="clear" w:color="auto" w:fill="auto"/>
          </w:tcPr>
          <w:p w14:paraId="6DB2DD1D" w14:textId="77777777" w:rsidR="008C5CFA" w:rsidRPr="00BA47B4" w:rsidRDefault="00E82A60" w:rsidP="00300A01">
            <w:pPr>
              <w:spacing w:before="0" w:after="0"/>
              <w:jc w:val="right"/>
              <w:rPr>
                <w:sz w:val="12"/>
                <w:szCs w:val="12"/>
                <w:lang w:val="fr-BE"/>
              </w:rPr>
            </w:pPr>
            <w:r w:rsidRPr="00BA47B4">
              <w:rPr>
                <w:noProof/>
                <w:sz w:val="12"/>
                <w:szCs w:val="12"/>
                <w:lang w:val="fr-BE"/>
              </w:rPr>
              <w:t>2,00</w:t>
            </w:r>
          </w:p>
        </w:tc>
        <w:tc>
          <w:tcPr>
            <w:tcW w:w="0" w:type="auto"/>
            <w:shd w:val="clear" w:color="auto" w:fill="auto"/>
          </w:tcPr>
          <w:p w14:paraId="01D9A39D" w14:textId="77777777" w:rsidR="008C5CFA" w:rsidRPr="00BA47B4" w:rsidRDefault="00E82A60" w:rsidP="00300A01">
            <w:pPr>
              <w:spacing w:before="0" w:after="0"/>
              <w:jc w:val="right"/>
              <w:rPr>
                <w:sz w:val="12"/>
                <w:szCs w:val="12"/>
                <w:lang w:val="fr-BE"/>
              </w:rPr>
            </w:pPr>
            <w:r w:rsidRPr="00BA47B4">
              <w:rPr>
                <w:noProof/>
                <w:sz w:val="12"/>
                <w:szCs w:val="12"/>
                <w:lang w:val="fr-BE"/>
              </w:rPr>
              <w:t>1,00</w:t>
            </w:r>
          </w:p>
        </w:tc>
        <w:tc>
          <w:tcPr>
            <w:tcW w:w="0" w:type="auto"/>
            <w:shd w:val="clear" w:color="auto" w:fill="auto"/>
          </w:tcPr>
          <w:p w14:paraId="15667E1A" w14:textId="77777777" w:rsidR="008C5CFA" w:rsidRPr="00BA47B4" w:rsidRDefault="00E82A60" w:rsidP="00300A01">
            <w:pPr>
              <w:spacing w:before="0" w:after="0"/>
              <w:jc w:val="right"/>
              <w:rPr>
                <w:sz w:val="12"/>
                <w:szCs w:val="12"/>
                <w:lang w:val="fr-BE"/>
              </w:rPr>
            </w:pPr>
            <w:r w:rsidRPr="00BA47B4">
              <w:rPr>
                <w:noProof/>
                <w:sz w:val="12"/>
                <w:szCs w:val="12"/>
                <w:lang w:val="fr-BE"/>
              </w:rPr>
              <w:t>1,00</w:t>
            </w:r>
          </w:p>
        </w:tc>
        <w:tc>
          <w:tcPr>
            <w:tcW w:w="0" w:type="auto"/>
            <w:shd w:val="clear" w:color="auto" w:fill="auto"/>
          </w:tcPr>
          <w:p w14:paraId="18006A8A" w14:textId="77777777" w:rsidR="008C5CFA" w:rsidRPr="00BA47B4" w:rsidRDefault="008C5CFA" w:rsidP="00300A01">
            <w:pPr>
              <w:spacing w:before="0" w:after="0"/>
              <w:jc w:val="right"/>
              <w:rPr>
                <w:sz w:val="12"/>
                <w:szCs w:val="12"/>
                <w:lang w:val="fr-BE"/>
              </w:rPr>
            </w:pPr>
          </w:p>
        </w:tc>
        <w:tc>
          <w:tcPr>
            <w:tcW w:w="0" w:type="auto"/>
            <w:shd w:val="clear" w:color="auto" w:fill="auto"/>
          </w:tcPr>
          <w:p w14:paraId="6303F85D" w14:textId="77777777" w:rsidR="008C5CFA" w:rsidRPr="00BA47B4" w:rsidRDefault="008C5CFA" w:rsidP="00300A01">
            <w:pPr>
              <w:spacing w:before="0" w:after="0"/>
              <w:jc w:val="right"/>
              <w:rPr>
                <w:sz w:val="12"/>
                <w:szCs w:val="12"/>
                <w:lang w:val="fr-BE"/>
              </w:rPr>
            </w:pPr>
          </w:p>
        </w:tc>
        <w:tc>
          <w:tcPr>
            <w:tcW w:w="0" w:type="auto"/>
            <w:shd w:val="clear" w:color="auto" w:fill="auto"/>
          </w:tcPr>
          <w:p w14:paraId="2A5BE586" w14:textId="77777777" w:rsidR="008C5CFA" w:rsidRPr="00BA47B4" w:rsidRDefault="008C5CFA" w:rsidP="00300A01">
            <w:pPr>
              <w:spacing w:before="0" w:after="0"/>
              <w:jc w:val="right"/>
              <w:rPr>
                <w:sz w:val="12"/>
                <w:szCs w:val="12"/>
                <w:lang w:val="fr-BE"/>
              </w:rPr>
            </w:pPr>
          </w:p>
        </w:tc>
        <w:tc>
          <w:tcPr>
            <w:tcW w:w="0" w:type="auto"/>
          </w:tcPr>
          <w:p w14:paraId="22810213"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14:paraId="4A3955D0"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14:paraId="149DEE46" w14:textId="77777777" w:rsidR="008C5CFA" w:rsidRPr="00BA47B4" w:rsidRDefault="00E82A60" w:rsidP="00300A01">
            <w:pPr>
              <w:spacing w:before="0" w:after="0"/>
              <w:jc w:val="right"/>
              <w:rPr>
                <w:sz w:val="12"/>
                <w:szCs w:val="12"/>
                <w:lang w:val="fr-BE"/>
              </w:rPr>
            </w:pPr>
            <w:r w:rsidRPr="00A92B39">
              <w:rPr>
                <w:noProof/>
                <w:sz w:val="10"/>
                <w:szCs w:val="10"/>
                <w:lang w:val="fr-BE"/>
              </w:rPr>
              <w:t>0,00</w:t>
            </w:r>
          </w:p>
        </w:tc>
      </w:tr>
      <w:tr w:rsidR="006B2EC1" w14:paraId="43DD6B58" w14:textId="77777777" w:rsidTr="0047688D">
        <w:tc>
          <w:tcPr>
            <w:tcW w:w="0" w:type="auto"/>
            <w:shd w:val="clear" w:color="auto" w:fill="auto"/>
          </w:tcPr>
          <w:p w14:paraId="3DA2ED44" w14:textId="77777777" w:rsidR="008C5CFA" w:rsidRPr="00BA47B4" w:rsidRDefault="00E82A60" w:rsidP="00300A01">
            <w:pPr>
              <w:spacing w:before="0" w:after="0"/>
              <w:rPr>
                <w:sz w:val="12"/>
                <w:szCs w:val="12"/>
                <w:lang w:val="fr-BE"/>
              </w:rPr>
            </w:pPr>
            <w:r>
              <w:rPr>
                <w:noProof/>
                <w:sz w:val="12"/>
                <w:szCs w:val="12"/>
                <w:lang w:val="fr-BE"/>
              </w:rPr>
              <w:t>CO09</w:t>
            </w:r>
          </w:p>
        </w:tc>
        <w:tc>
          <w:tcPr>
            <w:tcW w:w="0" w:type="auto"/>
            <w:shd w:val="clear" w:color="auto" w:fill="auto"/>
          </w:tcPr>
          <w:p w14:paraId="2E7518E7" w14:textId="77777777" w:rsidR="008C5CFA" w:rsidRPr="00BA47B4" w:rsidRDefault="00E82A60" w:rsidP="00300A01">
            <w:pPr>
              <w:spacing w:before="0" w:after="0"/>
              <w:rPr>
                <w:sz w:val="12"/>
                <w:szCs w:val="12"/>
                <w:lang w:val="fr-BE"/>
              </w:rPr>
            </w:pPr>
            <w:r>
              <w:rPr>
                <w:noProof/>
                <w:sz w:val="12"/>
                <w:szCs w:val="12"/>
                <w:lang w:val="fr-BE"/>
              </w:rPr>
              <w:t>osoby z wykształceniem podstawowym (ISCED 1) lub średnim I stopnia (ISCED 2)</w:t>
            </w:r>
          </w:p>
        </w:tc>
        <w:tc>
          <w:tcPr>
            <w:tcW w:w="0" w:type="auto"/>
            <w:shd w:val="clear" w:color="auto" w:fill="auto"/>
          </w:tcPr>
          <w:p w14:paraId="5D492F88" w14:textId="77777777" w:rsidR="008C5CFA" w:rsidRPr="00BA47B4" w:rsidRDefault="00E82A60"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14:paraId="5BB15789" w14:textId="77777777" w:rsidR="008C5CFA" w:rsidRPr="00BA47B4" w:rsidRDefault="008C5CFA" w:rsidP="00300A01">
            <w:pPr>
              <w:spacing w:before="0" w:after="0"/>
              <w:jc w:val="right"/>
              <w:rPr>
                <w:sz w:val="12"/>
                <w:szCs w:val="12"/>
                <w:lang w:val="fr-BE"/>
              </w:rPr>
            </w:pPr>
          </w:p>
        </w:tc>
        <w:tc>
          <w:tcPr>
            <w:tcW w:w="0" w:type="auto"/>
            <w:shd w:val="clear" w:color="auto" w:fill="auto"/>
          </w:tcPr>
          <w:p w14:paraId="3D780886" w14:textId="77777777" w:rsidR="008C5CFA" w:rsidRPr="00BA47B4" w:rsidRDefault="008C5CFA" w:rsidP="00300A01">
            <w:pPr>
              <w:spacing w:before="0" w:after="0"/>
              <w:jc w:val="right"/>
              <w:rPr>
                <w:sz w:val="12"/>
                <w:szCs w:val="12"/>
                <w:lang w:val="fr-BE"/>
              </w:rPr>
            </w:pPr>
          </w:p>
        </w:tc>
        <w:tc>
          <w:tcPr>
            <w:tcW w:w="0" w:type="auto"/>
            <w:shd w:val="clear" w:color="auto" w:fill="auto"/>
          </w:tcPr>
          <w:p w14:paraId="40EBC9C8" w14:textId="77777777" w:rsidR="008C5CFA" w:rsidRPr="00BA47B4" w:rsidRDefault="008C5CFA" w:rsidP="00300A01">
            <w:pPr>
              <w:spacing w:before="0" w:after="0"/>
              <w:jc w:val="right"/>
              <w:rPr>
                <w:sz w:val="12"/>
                <w:szCs w:val="12"/>
                <w:lang w:val="fr-BE"/>
              </w:rPr>
            </w:pPr>
          </w:p>
        </w:tc>
        <w:tc>
          <w:tcPr>
            <w:tcW w:w="0" w:type="auto"/>
            <w:shd w:val="clear" w:color="auto" w:fill="auto"/>
          </w:tcPr>
          <w:p w14:paraId="30A8D3FA" w14:textId="77777777" w:rsidR="008C5CFA" w:rsidRPr="00BA47B4" w:rsidRDefault="00E82A60" w:rsidP="00300A01">
            <w:pPr>
              <w:spacing w:before="0" w:after="0"/>
              <w:jc w:val="right"/>
              <w:rPr>
                <w:sz w:val="12"/>
                <w:szCs w:val="12"/>
                <w:lang w:val="fr-BE"/>
              </w:rPr>
            </w:pPr>
            <w:r w:rsidRPr="00BA47B4">
              <w:rPr>
                <w:noProof/>
                <w:sz w:val="12"/>
                <w:szCs w:val="12"/>
                <w:lang w:val="fr-BE"/>
              </w:rPr>
              <w:t>20,00</w:t>
            </w:r>
          </w:p>
        </w:tc>
        <w:tc>
          <w:tcPr>
            <w:tcW w:w="0" w:type="auto"/>
            <w:shd w:val="clear" w:color="auto" w:fill="auto"/>
          </w:tcPr>
          <w:p w14:paraId="57D8DAE3" w14:textId="77777777" w:rsidR="008C5CFA" w:rsidRPr="00BA47B4" w:rsidRDefault="00E82A60" w:rsidP="00300A01">
            <w:pPr>
              <w:spacing w:before="0" w:after="0"/>
              <w:jc w:val="right"/>
              <w:rPr>
                <w:sz w:val="12"/>
                <w:szCs w:val="12"/>
                <w:lang w:val="fr-BE"/>
              </w:rPr>
            </w:pPr>
            <w:r w:rsidRPr="00BA47B4">
              <w:rPr>
                <w:noProof/>
                <w:sz w:val="12"/>
                <w:szCs w:val="12"/>
                <w:lang w:val="fr-BE"/>
              </w:rPr>
              <w:t>5,00</w:t>
            </w:r>
          </w:p>
        </w:tc>
        <w:tc>
          <w:tcPr>
            <w:tcW w:w="0" w:type="auto"/>
            <w:shd w:val="clear" w:color="auto" w:fill="auto"/>
          </w:tcPr>
          <w:p w14:paraId="355211BA" w14:textId="77777777" w:rsidR="008C5CFA" w:rsidRPr="00BA47B4" w:rsidRDefault="00E82A60" w:rsidP="00300A01">
            <w:pPr>
              <w:spacing w:before="0" w:after="0"/>
              <w:jc w:val="right"/>
              <w:rPr>
                <w:sz w:val="12"/>
                <w:szCs w:val="12"/>
                <w:lang w:val="fr-BE"/>
              </w:rPr>
            </w:pPr>
            <w:r w:rsidRPr="00BA47B4">
              <w:rPr>
                <w:noProof/>
                <w:sz w:val="12"/>
                <w:szCs w:val="12"/>
                <w:lang w:val="fr-BE"/>
              </w:rPr>
              <w:t>15,00</w:t>
            </w:r>
          </w:p>
        </w:tc>
        <w:tc>
          <w:tcPr>
            <w:tcW w:w="0" w:type="auto"/>
            <w:shd w:val="clear" w:color="auto" w:fill="auto"/>
          </w:tcPr>
          <w:p w14:paraId="287EEF8D" w14:textId="77777777" w:rsidR="008C5CFA" w:rsidRPr="00BA47B4" w:rsidRDefault="008C5CFA" w:rsidP="00300A01">
            <w:pPr>
              <w:spacing w:before="0" w:after="0"/>
              <w:jc w:val="right"/>
              <w:rPr>
                <w:sz w:val="12"/>
                <w:szCs w:val="12"/>
                <w:lang w:val="fr-BE"/>
              </w:rPr>
            </w:pPr>
          </w:p>
        </w:tc>
        <w:tc>
          <w:tcPr>
            <w:tcW w:w="0" w:type="auto"/>
            <w:shd w:val="clear" w:color="auto" w:fill="auto"/>
          </w:tcPr>
          <w:p w14:paraId="28B8CC0A" w14:textId="77777777" w:rsidR="008C5CFA" w:rsidRPr="00BA47B4" w:rsidRDefault="008C5CFA" w:rsidP="00300A01">
            <w:pPr>
              <w:spacing w:before="0" w:after="0"/>
              <w:jc w:val="right"/>
              <w:rPr>
                <w:sz w:val="12"/>
                <w:szCs w:val="12"/>
                <w:lang w:val="fr-BE"/>
              </w:rPr>
            </w:pPr>
          </w:p>
        </w:tc>
        <w:tc>
          <w:tcPr>
            <w:tcW w:w="0" w:type="auto"/>
            <w:shd w:val="clear" w:color="auto" w:fill="auto"/>
          </w:tcPr>
          <w:p w14:paraId="547870FA" w14:textId="77777777" w:rsidR="008C5CFA" w:rsidRPr="00BA47B4" w:rsidRDefault="008C5CFA" w:rsidP="00300A01">
            <w:pPr>
              <w:spacing w:before="0" w:after="0"/>
              <w:jc w:val="right"/>
              <w:rPr>
                <w:sz w:val="12"/>
                <w:szCs w:val="12"/>
                <w:lang w:val="fr-BE"/>
              </w:rPr>
            </w:pPr>
          </w:p>
        </w:tc>
        <w:tc>
          <w:tcPr>
            <w:tcW w:w="0" w:type="auto"/>
          </w:tcPr>
          <w:p w14:paraId="2B92FC64" w14:textId="77777777" w:rsidR="008C5CFA" w:rsidRPr="00A92B39" w:rsidRDefault="00E82A60" w:rsidP="00300A01">
            <w:pPr>
              <w:spacing w:before="0" w:after="0"/>
              <w:jc w:val="right"/>
              <w:rPr>
                <w:sz w:val="10"/>
                <w:szCs w:val="10"/>
                <w:lang w:val="fr-BE"/>
              </w:rPr>
            </w:pPr>
            <w:r w:rsidRPr="00A92B39">
              <w:rPr>
                <w:noProof/>
                <w:sz w:val="10"/>
                <w:szCs w:val="10"/>
                <w:lang w:val="fr-BE"/>
              </w:rPr>
              <w:t>2,00</w:t>
            </w:r>
          </w:p>
        </w:tc>
        <w:tc>
          <w:tcPr>
            <w:tcW w:w="0" w:type="auto"/>
            <w:shd w:val="clear" w:color="auto" w:fill="auto"/>
          </w:tcPr>
          <w:p w14:paraId="40E94C70" w14:textId="77777777" w:rsidR="008C5CFA" w:rsidRPr="00A92B39" w:rsidRDefault="00E82A60" w:rsidP="00300A01">
            <w:pPr>
              <w:spacing w:before="0" w:after="0"/>
              <w:jc w:val="right"/>
              <w:rPr>
                <w:sz w:val="10"/>
                <w:szCs w:val="10"/>
                <w:lang w:val="fr-BE"/>
              </w:rPr>
            </w:pPr>
            <w:r w:rsidRPr="00A92B39">
              <w:rPr>
                <w:noProof/>
                <w:sz w:val="10"/>
                <w:szCs w:val="10"/>
                <w:lang w:val="fr-BE"/>
              </w:rPr>
              <w:t>2,00</w:t>
            </w:r>
          </w:p>
        </w:tc>
        <w:tc>
          <w:tcPr>
            <w:tcW w:w="0" w:type="auto"/>
            <w:shd w:val="clear" w:color="auto" w:fill="auto"/>
          </w:tcPr>
          <w:p w14:paraId="512642CC" w14:textId="77777777" w:rsidR="008C5CFA" w:rsidRPr="00BA47B4" w:rsidRDefault="00E82A60" w:rsidP="00300A01">
            <w:pPr>
              <w:spacing w:before="0" w:after="0"/>
              <w:jc w:val="right"/>
              <w:rPr>
                <w:sz w:val="12"/>
                <w:szCs w:val="12"/>
                <w:lang w:val="fr-BE"/>
              </w:rPr>
            </w:pPr>
            <w:r w:rsidRPr="00A92B39">
              <w:rPr>
                <w:noProof/>
                <w:sz w:val="10"/>
                <w:szCs w:val="10"/>
                <w:lang w:val="fr-BE"/>
              </w:rPr>
              <w:t>0,00</w:t>
            </w:r>
          </w:p>
        </w:tc>
      </w:tr>
      <w:tr w:rsidR="006B2EC1" w14:paraId="290C6003" w14:textId="77777777" w:rsidTr="0047688D">
        <w:tc>
          <w:tcPr>
            <w:tcW w:w="0" w:type="auto"/>
            <w:shd w:val="clear" w:color="auto" w:fill="auto"/>
          </w:tcPr>
          <w:p w14:paraId="206BE3A4" w14:textId="77777777" w:rsidR="008C5CFA" w:rsidRPr="00BA47B4" w:rsidRDefault="00E82A60" w:rsidP="00300A01">
            <w:pPr>
              <w:spacing w:before="0" w:after="0"/>
              <w:rPr>
                <w:sz w:val="12"/>
                <w:szCs w:val="12"/>
                <w:lang w:val="fr-BE"/>
              </w:rPr>
            </w:pPr>
            <w:r>
              <w:rPr>
                <w:noProof/>
                <w:sz w:val="12"/>
                <w:szCs w:val="12"/>
                <w:lang w:val="fr-BE"/>
              </w:rPr>
              <w:t>CO10</w:t>
            </w:r>
          </w:p>
        </w:tc>
        <w:tc>
          <w:tcPr>
            <w:tcW w:w="0" w:type="auto"/>
            <w:shd w:val="clear" w:color="auto" w:fill="auto"/>
          </w:tcPr>
          <w:p w14:paraId="6608C7CB" w14:textId="77777777" w:rsidR="008C5CFA" w:rsidRPr="00BA47B4" w:rsidRDefault="00E82A60" w:rsidP="00300A01">
            <w:pPr>
              <w:spacing w:before="0" w:after="0"/>
              <w:rPr>
                <w:sz w:val="12"/>
                <w:szCs w:val="12"/>
                <w:lang w:val="fr-BE"/>
              </w:rPr>
            </w:pPr>
            <w:r>
              <w:rPr>
                <w:noProof/>
                <w:sz w:val="12"/>
                <w:szCs w:val="12"/>
                <w:lang w:val="fr-BE"/>
              </w:rPr>
              <w:t>osoby z wykształceniem średnim II stopnia (ISCED 3) lub policealnym (ISCED 4)</w:t>
            </w:r>
          </w:p>
        </w:tc>
        <w:tc>
          <w:tcPr>
            <w:tcW w:w="0" w:type="auto"/>
            <w:shd w:val="clear" w:color="auto" w:fill="auto"/>
          </w:tcPr>
          <w:p w14:paraId="79E59FF1" w14:textId="77777777" w:rsidR="008C5CFA" w:rsidRPr="00BA47B4" w:rsidRDefault="00E82A60"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14:paraId="7935E1A6" w14:textId="77777777" w:rsidR="008C5CFA" w:rsidRPr="00BA47B4" w:rsidRDefault="008C5CFA" w:rsidP="00300A01">
            <w:pPr>
              <w:spacing w:before="0" w:after="0"/>
              <w:jc w:val="right"/>
              <w:rPr>
                <w:sz w:val="12"/>
                <w:szCs w:val="12"/>
                <w:lang w:val="fr-BE"/>
              </w:rPr>
            </w:pPr>
          </w:p>
        </w:tc>
        <w:tc>
          <w:tcPr>
            <w:tcW w:w="0" w:type="auto"/>
            <w:shd w:val="clear" w:color="auto" w:fill="auto"/>
          </w:tcPr>
          <w:p w14:paraId="231E9C4F" w14:textId="77777777" w:rsidR="008C5CFA" w:rsidRPr="00BA47B4" w:rsidRDefault="008C5CFA" w:rsidP="00300A01">
            <w:pPr>
              <w:spacing w:before="0" w:after="0"/>
              <w:jc w:val="right"/>
              <w:rPr>
                <w:sz w:val="12"/>
                <w:szCs w:val="12"/>
                <w:lang w:val="fr-BE"/>
              </w:rPr>
            </w:pPr>
          </w:p>
        </w:tc>
        <w:tc>
          <w:tcPr>
            <w:tcW w:w="0" w:type="auto"/>
            <w:shd w:val="clear" w:color="auto" w:fill="auto"/>
          </w:tcPr>
          <w:p w14:paraId="685F580A" w14:textId="77777777" w:rsidR="008C5CFA" w:rsidRPr="00BA47B4" w:rsidRDefault="008C5CFA" w:rsidP="00300A01">
            <w:pPr>
              <w:spacing w:before="0" w:after="0"/>
              <w:jc w:val="right"/>
              <w:rPr>
                <w:sz w:val="12"/>
                <w:szCs w:val="12"/>
                <w:lang w:val="fr-BE"/>
              </w:rPr>
            </w:pPr>
          </w:p>
        </w:tc>
        <w:tc>
          <w:tcPr>
            <w:tcW w:w="0" w:type="auto"/>
            <w:shd w:val="clear" w:color="auto" w:fill="auto"/>
          </w:tcPr>
          <w:p w14:paraId="2CC17391" w14:textId="77777777" w:rsidR="008C5CFA" w:rsidRPr="00BA47B4" w:rsidRDefault="00E82A60" w:rsidP="00300A01">
            <w:pPr>
              <w:spacing w:before="0" w:after="0"/>
              <w:jc w:val="right"/>
              <w:rPr>
                <w:sz w:val="12"/>
                <w:szCs w:val="12"/>
                <w:lang w:val="fr-BE"/>
              </w:rPr>
            </w:pPr>
            <w:r w:rsidRPr="00BA47B4">
              <w:rPr>
                <w:noProof/>
                <w:sz w:val="12"/>
                <w:szCs w:val="12"/>
                <w:lang w:val="fr-BE"/>
              </w:rPr>
              <w:t>290,00</w:t>
            </w:r>
          </w:p>
        </w:tc>
        <w:tc>
          <w:tcPr>
            <w:tcW w:w="0" w:type="auto"/>
            <w:shd w:val="clear" w:color="auto" w:fill="auto"/>
          </w:tcPr>
          <w:p w14:paraId="147B45CA" w14:textId="77777777" w:rsidR="008C5CFA" w:rsidRPr="00BA47B4" w:rsidRDefault="00E82A60" w:rsidP="00300A01">
            <w:pPr>
              <w:spacing w:before="0" w:after="0"/>
              <w:jc w:val="right"/>
              <w:rPr>
                <w:sz w:val="12"/>
                <w:szCs w:val="12"/>
                <w:lang w:val="fr-BE"/>
              </w:rPr>
            </w:pPr>
            <w:r w:rsidRPr="00BA47B4">
              <w:rPr>
                <w:noProof/>
                <w:sz w:val="12"/>
                <w:szCs w:val="12"/>
                <w:lang w:val="fr-BE"/>
              </w:rPr>
              <w:t>40,00</w:t>
            </w:r>
          </w:p>
        </w:tc>
        <w:tc>
          <w:tcPr>
            <w:tcW w:w="0" w:type="auto"/>
            <w:shd w:val="clear" w:color="auto" w:fill="auto"/>
          </w:tcPr>
          <w:p w14:paraId="58310E21" w14:textId="77777777" w:rsidR="008C5CFA" w:rsidRPr="00BA47B4" w:rsidRDefault="00E82A60" w:rsidP="00300A01">
            <w:pPr>
              <w:spacing w:before="0" w:after="0"/>
              <w:jc w:val="right"/>
              <w:rPr>
                <w:sz w:val="12"/>
                <w:szCs w:val="12"/>
                <w:lang w:val="fr-BE"/>
              </w:rPr>
            </w:pPr>
            <w:r w:rsidRPr="00BA47B4">
              <w:rPr>
                <w:noProof/>
                <w:sz w:val="12"/>
                <w:szCs w:val="12"/>
                <w:lang w:val="fr-BE"/>
              </w:rPr>
              <w:t>250,00</w:t>
            </w:r>
          </w:p>
        </w:tc>
        <w:tc>
          <w:tcPr>
            <w:tcW w:w="0" w:type="auto"/>
            <w:shd w:val="clear" w:color="auto" w:fill="auto"/>
          </w:tcPr>
          <w:p w14:paraId="6CF7E738" w14:textId="77777777" w:rsidR="008C5CFA" w:rsidRPr="00BA47B4" w:rsidRDefault="008C5CFA" w:rsidP="00300A01">
            <w:pPr>
              <w:spacing w:before="0" w:after="0"/>
              <w:jc w:val="right"/>
              <w:rPr>
                <w:sz w:val="12"/>
                <w:szCs w:val="12"/>
                <w:lang w:val="fr-BE"/>
              </w:rPr>
            </w:pPr>
          </w:p>
        </w:tc>
        <w:tc>
          <w:tcPr>
            <w:tcW w:w="0" w:type="auto"/>
            <w:shd w:val="clear" w:color="auto" w:fill="auto"/>
          </w:tcPr>
          <w:p w14:paraId="7D6E4A5F" w14:textId="77777777" w:rsidR="008C5CFA" w:rsidRPr="00BA47B4" w:rsidRDefault="008C5CFA" w:rsidP="00300A01">
            <w:pPr>
              <w:spacing w:before="0" w:after="0"/>
              <w:jc w:val="right"/>
              <w:rPr>
                <w:sz w:val="12"/>
                <w:szCs w:val="12"/>
                <w:lang w:val="fr-BE"/>
              </w:rPr>
            </w:pPr>
          </w:p>
        </w:tc>
        <w:tc>
          <w:tcPr>
            <w:tcW w:w="0" w:type="auto"/>
            <w:shd w:val="clear" w:color="auto" w:fill="auto"/>
          </w:tcPr>
          <w:p w14:paraId="0B28289C" w14:textId="77777777" w:rsidR="008C5CFA" w:rsidRPr="00BA47B4" w:rsidRDefault="008C5CFA" w:rsidP="00300A01">
            <w:pPr>
              <w:spacing w:before="0" w:after="0"/>
              <w:jc w:val="right"/>
              <w:rPr>
                <w:sz w:val="12"/>
                <w:szCs w:val="12"/>
                <w:lang w:val="fr-BE"/>
              </w:rPr>
            </w:pPr>
          </w:p>
        </w:tc>
        <w:tc>
          <w:tcPr>
            <w:tcW w:w="0" w:type="auto"/>
          </w:tcPr>
          <w:p w14:paraId="1EAA9329" w14:textId="77777777" w:rsidR="008C5CFA" w:rsidRPr="00A92B39" w:rsidRDefault="00E82A60" w:rsidP="00300A01">
            <w:pPr>
              <w:spacing w:before="0" w:after="0"/>
              <w:jc w:val="right"/>
              <w:rPr>
                <w:sz w:val="10"/>
                <w:szCs w:val="10"/>
                <w:lang w:val="fr-BE"/>
              </w:rPr>
            </w:pPr>
            <w:r w:rsidRPr="00A92B39">
              <w:rPr>
                <w:noProof/>
                <w:sz w:val="10"/>
                <w:szCs w:val="10"/>
                <w:lang w:val="fr-BE"/>
              </w:rPr>
              <w:t>69,00</w:t>
            </w:r>
          </w:p>
        </w:tc>
        <w:tc>
          <w:tcPr>
            <w:tcW w:w="0" w:type="auto"/>
            <w:shd w:val="clear" w:color="auto" w:fill="auto"/>
          </w:tcPr>
          <w:p w14:paraId="10DC3F00" w14:textId="77777777" w:rsidR="008C5CFA" w:rsidRPr="00A92B39" w:rsidRDefault="00E82A60" w:rsidP="00300A01">
            <w:pPr>
              <w:spacing w:before="0" w:after="0"/>
              <w:jc w:val="right"/>
              <w:rPr>
                <w:sz w:val="10"/>
                <w:szCs w:val="10"/>
                <w:lang w:val="fr-BE"/>
              </w:rPr>
            </w:pPr>
            <w:r w:rsidRPr="00A92B39">
              <w:rPr>
                <w:noProof/>
                <w:sz w:val="10"/>
                <w:szCs w:val="10"/>
                <w:lang w:val="fr-BE"/>
              </w:rPr>
              <w:t>13,00</w:t>
            </w:r>
          </w:p>
        </w:tc>
        <w:tc>
          <w:tcPr>
            <w:tcW w:w="0" w:type="auto"/>
            <w:shd w:val="clear" w:color="auto" w:fill="auto"/>
          </w:tcPr>
          <w:p w14:paraId="6C6991D4" w14:textId="77777777" w:rsidR="008C5CFA" w:rsidRPr="00BA47B4" w:rsidRDefault="00E82A60" w:rsidP="00300A01">
            <w:pPr>
              <w:spacing w:before="0" w:after="0"/>
              <w:jc w:val="right"/>
              <w:rPr>
                <w:sz w:val="12"/>
                <w:szCs w:val="12"/>
                <w:lang w:val="fr-BE"/>
              </w:rPr>
            </w:pPr>
            <w:r w:rsidRPr="00A92B39">
              <w:rPr>
                <w:noProof/>
                <w:sz w:val="10"/>
                <w:szCs w:val="10"/>
                <w:lang w:val="fr-BE"/>
              </w:rPr>
              <w:t>56,00</w:t>
            </w:r>
          </w:p>
        </w:tc>
      </w:tr>
      <w:tr w:rsidR="006B2EC1" w14:paraId="30BF3E70" w14:textId="77777777" w:rsidTr="0047688D">
        <w:tc>
          <w:tcPr>
            <w:tcW w:w="0" w:type="auto"/>
            <w:shd w:val="clear" w:color="auto" w:fill="auto"/>
          </w:tcPr>
          <w:p w14:paraId="5ACC1F71" w14:textId="77777777" w:rsidR="008C5CFA" w:rsidRPr="00BA47B4" w:rsidRDefault="00E82A60" w:rsidP="00300A01">
            <w:pPr>
              <w:spacing w:before="0" w:after="0"/>
              <w:rPr>
                <w:sz w:val="12"/>
                <w:szCs w:val="12"/>
                <w:lang w:val="fr-BE"/>
              </w:rPr>
            </w:pPr>
            <w:r>
              <w:rPr>
                <w:noProof/>
                <w:sz w:val="12"/>
                <w:szCs w:val="12"/>
                <w:lang w:val="fr-BE"/>
              </w:rPr>
              <w:t>CO11</w:t>
            </w:r>
          </w:p>
        </w:tc>
        <w:tc>
          <w:tcPr>
            <w:tcW w:w="0" w:type="auto"/>
            <w:shd w:val="clear" w:color="auto" w:fill="auto"/>
          </w:tcPr>
          <w:p w14:paraId="63DF0F69" w14:textId="77777777" w:rsidR="008C5CFA" w:rsidRPr="00BA47B4" w:rsidRDefault="00E82A60" w:rsidP="00300A01">
            <w:pPr>
              <w:spacing w:before="0" w:after="0"/>
              <w:rPr>
                <w:sz w:val="12"/>
                <w:szCs w:val="12"/>
                <w:lang w:val="fr-BE"/>
              </w:rPr>
            </w:pPr>
            <w:r>
              <w:rPr>
                <w:noProof/>
                <w:sz w:val="12"/>
                <w:szCs w:val="12"/>
                <w:lang w:val="fr-BE"/>
              </w:rPr>
              <w:t>osoby z wykształceniem wyższym (ISCED 5 do 8)</w:t>
            </w:r>
          </w:p>
        </w:tc>
        <w:tc>
          <w:tcPr>
            <w:tcW w:w="0" w:type="auto"/>
            <w:shd w:val="clear" w:color="auto" w:fill="auto"/>
          </w:tcPr>
          <w:p w14:paraId="7F5F156B" w14:textId="77777777" w:rsidR="008C5CFA" w:rsidRPr="00BA47B4" w:rsidRDefault="00E82A60"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14:paraId="7DC5A7BF" w14:textId="77777777" w:rsidR="008C5CFA" w:rsidRPr="00BA47B4" w:rsidRDefault="008C5CFA" w:rsidP="00300A01">
            <w:pPr>
              <w:spacing w:before="0" w:after="0"/>
              <w:jc w:val="right"/>
              <w:rPr>
                <w:sz w:val="12"/>
                <w:szCs w:val="12"/>
                <w:lang w:val="fr-BE"/>
              </w:rPr>
            </w:pPr>
          </w:p>
        </w:tc>
        <w:tc>
          <w:tcPr>
            <w:tcW w:w="0" w:type="auto"/>
            <w:shd w:val="clear" w:color="auto" w:fill="auto"/>
          </w:tcPr>
          <w:p w14:paraId="22C15096" w14:textId="77777777" w:rsidR="008C5CFA" w:rsidRPr="00BA47B4" w:rsidRDefault="008C5CFA" w:rsidP="00300A01">
            <w:pPr>
              <w:spacing w:before="0" w:after="0"/>
              <w:jc w:val="right"/>
              <w:rPr>
                <w:sz w:val="12"/>
                <w:szCs w:val="12"/>
                <w:lang w:val="fr-BE"/>
              </w:rPr>
            </w:pPr>
          </w:p>
        </w:tc>
        <w:tc>
          <w:tcPr>
            <w:tcW w:w="0" w:type="auto"/>
            <w:shd w:val="clear" w:color="auto" w:fill="auto"/>
          </w:tcPr>
          <w:p w14:paraId="6D3D4A41" w14:textId="77777777" w:rsidR="008C5CFA" w:rsidRPr="00BA47B4" w:rsidRDefault="008C5CFA" w:rsidP="00300A01">
            <w:pPr>
              <w:spacing w:before="0" w:after="0"/>
              <w:jc w:val="right"/>
              <w:rPr>
                <w:sz w:val="12"/>
                <w:szCs w:val="12"/>
                <w:lang w:val="fr-BE"/>
              </w:rPr>
            </w:pPr>
          </w:p>
        </w:tc>
        <w:tc>
          <w:tcPr>
            <w:tcW w:w="0" w:type="auto"/>
            <w:shd w:val="clear" w:color="auto" w:fill="auto"/>
          </w:tcPr>
          <w:p w14:paraId="63568F8E" w14:textId="77777777" w:rsidR="008C5CFA" w:rsidRPr="00BA47B4" w:rsidRDefault="00E82A60" w:rsidP="00300A01">
            <w:pPr>
              <w:spacing w:before="0" w:after="0"/>
              <w:jc w:val="right"/>
              <w:rPr>
                <w:sz w:val="12"/>
                <w:szCs w:val="12"/>
                <w:lang w:val="fr-BE"/>
              </w:rPr>
            </w:pPr>
            <w:r w:rsidRPr="00BA47B4">
              <w:rPr>
                <w:noProof/>
                <w:sz w:val="12"/>
                <w:szCs w:val="12"/>
                <w:lang w:val="fr-BE"/>
              </w:rPr>
              <w:t>631,00</w:t>
            </w:r>
          </w:p>
        </w:tc>
        <w:tc>
          <w:tcPr>
            <w:tcW w:w="0" w:type="auto"/>
            <w:shd w:val="clear" w:color="auto" w:fill="auto"/>
          </w:tcPr>
          <w:p w14:paraId="0ACE22D1" w14:textId="77777777" w:rsidR="008C5CFA" w:rsidRPr="00BA47B4" w:rsidRDefault="00E82A60" w:rsidP="00300A01">
            <w:pPr>
              <w:spacing w:before="0" w:after="0"/>
              <w:jc w:val="right"/>
              <w:rPr>
                <w:sz w:val="12"/>
                <w:szCs w:val="12"/>
                <w:lang w:val="fr-BE"/>
              </w:rPr>
            </w:pPr>
            <w:r w:rsidRPr="00BA47B4">
              <w:rPr>
                <w:noProof/>
                <w:sz w:val="12"/>
                <w:szCs w:val="12"/>
                <w:lang w:val="fr-BE"/>
              </w:rPr>
              <w:t>34,00</w:t>
            </w:r>
          </w:p>
        </w:tc>
        <w:tc>
          <w:tcPr>
            <w:tcW w:w="0" w:type="auto"/>
            <w:shd w:val="clear" w:color="auto" w:fill="auto"/>
          </w:tcPr>
          <w:p w14:paraId="211A5271" w14:textId="77777777" w:rsidR="008C5CFA" w:rsidRPr="00BA47B4" w:rsidRDefault="00E82A60" w:rsidP="00300A01">
            <w:pPr>
              <w:spacing w:before="0" w:after="0"/>
              <w:jc w:val="right"/>
              <w:rPr>
                <w:sz w:val="12"/>
                <w:szCs w:val="12"/>
                <w:lang w:val="fr-BE"/>
              </w:rPr>
            </w:pPr>
            <w:r w:rsidRPr="00BA47B4">
              <w:rPr>
                <w:noProof/>
                <w:sz w:val="12"/>
                <w:szCs w:val="12"/>
                <w:lang w:val="fr-BE"/>
              </w:rPr>
              <w:t>597,00</w:t>
            </w:r>
          </w:p>
        </w:tc>
        <w:tc>
          <w:tcPr>
            <w:tcW w:w="0" w:type="auto"/>
            <w:shd w:val="clear" w:color="auto" w:fill="auto"/>
          </w:tcPr>
          <w:p w14:paraId="09D97A78" w14:textId="77777777" w:rsidR="008C5CFA" w:rsidRPr="00BA47B4" w:rsidRDefault="008C5CFA" w:rsidP="00300A01">
            <w:pPr>
              <w:spacing w:before="0" w:after="0"/>
              <w:jc w:val="right"/>
              <w:rPr>
                <w:sz w:val="12"/>
                <w:szCs w:val="12"/>
                <w:lang w:val="fr-BE"/>
              </w:rPr>
            </w:pPr>
          </w:p>
        </w:tc>
        <w:tc>
          <w:tcPr>
            <w:tcW w:w="0" w:type="auto"/>
            <w:shd w:val="clear" w:color="auto" w:fill="auto"/>
          </w:tcPr>
          <w:p w14:paraId="773BF0A8" w14:textId="77777777" w:rsidR="008C5CFA" w:rsidRPr="00BA47B4" w:rsidRDefault="008C5CFA" w:rsidP="00300A01">
            <w:pPr>
              <w:spacing w:before="0" w:after="0"/>
              <w:jc w:val="right"/>
              <w:rPr>
                <w:sz w:val="12"/>
                <w:szCs w:val="12"/>
                <w:lang w:val="fr-BE"/>
              </w:rPr>
            </w:pPr>
          </w:p>
        </w:tc>
        <w:tc>
          <w:tcPr>
            <w:tcW w:w="0" w:type="auto"/>
            <w:shd w:val="clear" w:color="auto" w:fill="auto"/>
          </w:tcPr>
          <w:p w14:paraId="518C5D88" w14:textId="77777777" w:rsidR="008C5CFA" w:rsidRPr="00BA47B4" w:rsidRDefault="008C5CFA" w:rsidP="00300A01">
            <w:pPr>
              <w:spacing w:before="0" w:after="0"/>
              <w:jc w:val="right"/>
              <w:rPr>
                <w:sz w:val="12"/>
                <w:szCs w:val="12"/>
                <w:lang w:val="fr-BE"/>
              </w:rPr>
            </w:pPr>
          </w:p>
        </w:tc>
        <w:tc>
          <w:tcPr>
            <w:tcW w:w="0" w:type="auto"/>
          </w:tcPr>
          <w:p w14:paraId="10ED1808" w14:textId="77777777" w:rsidR="008C5CFA" w:rsidRPr="00A92B39" w:rsidRDefault="00E82A60" w:rsidP="00300A01">
            <w:pPr>
              <w:spacing w:before="0" w:after="0"/>
              <w:jc w:val="right"/>
              <w:rPr>
                <w:sz w:val="10"/>
                <w:szCs w:val="10"/>
                <w:lang w:val="fr-BE"/>
              </w:rPr>
            </w:pPr>
            <w:r w:rsidRPr="00A92B39">
              <w:rPr>
                <w:noProof/>
                <w:sz w:val="10"/>
                <w:szCs w:val="10"/>
                <w:lang w:val="fr-BE"/>
              </w:rPr>
              <w:t>137,00</w:t>
            </w:r>
          </w:p>
        </w:tc>
        <w:tc>
          <w:tcPr>
            <w:tcW w:w="0" w:type="auto"/>
            <w:shd w:val="clear" w:color="auto" w:fill="auto"/>
          </w:tcPr>
          <w:p w14:paraId="72BF946A" w14:textId="77777777" w:rsidR="008C5CFA" w:rsidRPr="00A92B39" w:rsidRDefault="00E82A60" w:rsidP="00300A01">
            <w:pPr>
              <w:spacing w:before="0" w:after="0"/>
              <w:jc w:val="right"/>
              <w:rPr>
                <w:sz w:val="10"/>
                <w:szCs w:val="10"/>
                <w:lang w:val="fr-BE"/>
              </w:rPr>
            </w:pPr>
            <w:r w:rsidRPr="00A92B39">
              <w:rPr>
                <w:noProof/>
                <w:sz w:val="10"/>
                <w:szCs w:val="10"/>
                <w:lang w:val="fr-BE"/>
              </w:rPr>
              <w:t>5,00</w:t>
            </w:r>
          </w:p>
        </w:tc>
        <w:tc>
          <w:tcPr>
            <w:tcW w:w="0" w:type="auto"/>
            <w:shd w:val="clear" w:color="auto" w:fill="auto"/>
          </w:tcPr>
          <w:p w14:paraId="3AAD9879" w14:textId="77777777" w:rsidR="008C5CFA" w:rsidRPr="00BA47B4" w:rsidRDefault="00E82A60" w:rsidP="00300A01">
            <w:pPr>
              <w:spacing w:before="0" w:after="0"/>
              <w:jc w:val="right"/>
              <w:rPr>
                <w:sz w:val="12"/>
                <w:szCs w:val="12"/>
                <w:lang w:val="fr-BE"/>
              </w:rPr>
            </w:pPr>
            <w:r w:rsidRPr="00A92B39">
              <w:rPr>
                <w:noProof/>
                <w:sz w:val="10"/>
                <w:szCs w:val="10"/>
                <w:lang w:val="fr-BE"/>
              </w:rPr>
              <w:t>132,00</w:t>
            </w:r>
          </w:p>
        </w:tc>
      </w:tr>
      <w:tr w:rsidR="006B2EC1" w14:paraId="48F52FC7" w14:textId="77777777" w:rsidTr="0047688D">
        <w:tc>
          <w:tcPr>
            <w:tcW w:w="0" w:type="auto"/>
            <w:shd w:val="clear" w:color="auto" w:fill="auto"/>
          </w:tcPr>
          <w:p w14:paraId="33CB186B" w14:textId="77777777" w:rsidR="008C5CFA" w:rsidRPr="00BA47B4" w:rsidRDefault="00E82A60" w:rsidP="00300A01">
            <w:pPr>
              <w:spacing w:before="0" w:after="0"/>
              <w:rPr>
                <w:sz w:val="12"/>
                <w:szCs w:val="12"/>
                <w:lang w:val="fr-BE"/>
              </w:rPr>
            </w:pPr>
            <w:r>
              <w:rPr>
                <w:noProof/>
                <w:sz w:val="12"/>
                <w:szCs w:val="12"/>
                <w:lang w:val="fr-BE"/>
              </w:rPr>
              <w:t>CO15</w:t>
            </w:r>
          </w:p>
        </w:tc>
        <w:tc>
          <w:tcPr>
            <w:tcW w:w="0" w:type="auto"/>
            <w:shd w:val="clear" w:color="auto" w:fill="auto"/>
          </w:tcPr>
          <w:p w14:paraId="11749086" w14:textId="77777777" w:rsidR="008C5CFA" w:rsidRPr="00BA47B4" w:rsidRDefault="00E82A60" w:rsidP="00300A01">
            <w:pPr>
              <w:spacing w:before="0" w:after="0"/>
              <w:rPr>
                <w:sz w:val="12"/>
                <w:szCs w:val="12"/>
                <w:lang w:val="fr-BE"/>
              </w:rPr>
            </w:pPr>
            <w:r>
              <w:rPr>
                <w:noProof/>
                <w:sz w:val="12"/>
                <w:szCs w:val="12"/>
                <w:lang w:val="fr-BE"/>
              </w:rPr>
              <w:t>migranci, uczestnicy obcego pochodzenia, mniejszości (w tym społeczności marginalizowane, takie jak Romowie)</w:t>
            </w:r>
          </w:p>
        </w:tc>
        <w:tc>
          <w:tcPr>
            <w:tcW w:w="0" w:type="auto"/>
            <w:shd w:val="clear" w:color="auto" w:fill="auto"/>
          </w:tcPr>
          <w:p w14:paraId="3FD91B61" w14:textId="77777777" w:rsidR="008C5CFA" w:rsidRPr="00BA47B4" w:rsidRDefault="00E82A60"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14:paraId="06FC22A5" w14:textId="77777777" w:rsidR="008C5CFA" w:rsidRPr="00BA47B4" w:rsidRDefault="008C5CFA" w:rsidP="00300A01">
            <w:pPr>
              <w:spacing w:before="0" w:after="0"/>
              <w:jc w:val="right"/>
              <w:rPr>
                <w:sz w:val="12"/>
                <w:szCs w:val="12"/>
                <w:lang w:val="fr-BE"/>
              </w:rPr>
            </w:pPr>
          </w:p>
        </w:tc>
        <w:tc>
          <w:tcPr>
            <w:tcW w:w="0" w:type="auto"/>
            <w:shd w:val="clear" w:color="auto" w:fill="auto"/>
          </w:tcPr>
          <w:p w14:paraId="11C9D595" w14:textId="77777777" w:rsidR="008C5CFA" w:rsidRPr="00BA47B4" w:rsidRDefault="008C5CFA" w:rsidP="00300A01">
            <w:pPr>
              <w:spacing w:before="0" w:after="0"/>
              <w:jc w:val="right"/>
              <w:rPr>
                <w:sz w:val="12"/>
                <w:szCs w:val="12"/>
                <w:lang w:val="fr-BE"/>
              </w:rPr>
            </w:pPr>
          </w:p>
        </w:tc>
        <w:tc>
          <w:tcPr>
            <w:tcW w:w="0" w:type="auto"/>
            <w:shd w:val="clear" w:color="auto" w:fill="auto"/>
          </w:tcPr>
          <w:p w14:paraId="07136D1B" w14:textId="77777777" w:rsidR="008C5CFA" w:rsidRPr="00BA47B4" w:rsidRDefault="008C5CFA" w:rsidP="00300A01">
            <w:pPr>
              <w:spacing w:before="0" w:after="0"/>
              <w:jc w:val="right"/>
              <w:rPr>
                <w:sz w:val="12"/>
                <w:szCs w:val="12"/>
                <w:lang w:val="fr-BE"/>
              </w:rPr>
            </w:pPr>
          </w:p>
        </w:tc>
        <w:tc>
          <w:tcPr>
            <w:tcW w:w="0" w:type="auto"/>
            <w:shd w:val="clear" w:color="auto" w:fill="auto"/>
          </w:tcPr>
          <w:p w14:paraId="0F4D4C39"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2371EF04"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64EB2ACB"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2CD58C62" w14:textId="77777777" w:rsidR="008C5CFA" w:rsidRPr="00BA47B4" w:rsidRDefault="008C5CFA" w:rsidP="00300A01">
            <w:pPr>
              <w:spacing w:before="0" w:after="0"/>
              <w:jc w:val="right"/>
              <w:rPr>
                <w:sz w:val="12"/>
                <w:szCs w:val="12"/>
                <w:lang w:val="fr-BE"/>
              </w:rPr>
            </w:pPr>
          </w:p>
        </w:tc>
        <w:tc>
          <w:tcPr>
            <w:tcW w:w="0" w:type="auto"/>
            <w:shd w:val="clear" w:color="auto" w:fill="auto"/>
          </w:tcPr>
          <w:p w14:paraId="17774EE4" w14:textId="77777777" w:rsidR="008C5CFA" w:rsidRPr="00BA47B4" w:rsidRDefault="008C5CFA" w:rsidP="00300A01">
            <w:pPr>
              <w:spacing w:before="0" w:after="0"/>
              <w:jc w:val="right"/>
              <w:rPr>
                <w:sz w:val="12"/>
                <w:szCs w:val="12"/>
                <w:lang w:val="fr-BE"/>
              </w:rPr>
            </w:pPr>
          </w:p>
        </w:tc>
        <w:tc>
          <w:tcPr>
            <w:tcW w:w="0" w:type="auto"/>
            <w:shd w:val="clear" w:color="auto" w:fill="auto"/>
          </w:tcPr>
          <w:p w14:paraId="571A38A6" w14:textId="77777777" w:rsidR="008C5CFA" w:rsidRPr="00BA47B4" w:rsidRDefault="008C5CFA" w:rsidP="00300A01">
            <w:pPr>
              <w:spacing w:before="0" w:after="0"/>
              <w:jc w:val="right"/>
              <w:rPr>
                <w:sz w:val="12"/>
                <w:szCs w:val="12"/>
                <w:lang w:val="fr-BE"/>
              </w:rPr>
            </w:pPr>
          </w:p>
        </w:tc>
        <w:tc>
          <w:tcPr>
            <w:tcW w:w="0" w:type="auto"/>
          </w:tcPr>
          <w:p w14:paraId="23FC1E82"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14:paraId="1A2B31C7"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14:paraId="06215CE3" w14:textId="77777777" w:rsidR="008C5CFA" w:rsidRPr="00BA47B4" w:rsidRDefault="00E82A60" w:rsidP="00300A01">
            <w:pPr>
              <w:spacing w:before="0" w:after="0"/>
              <w:jc w:val="right"/>
              <w:rPr>
                <w:sz w:val="12"/>
                <w:szCs w:val="12"/>
                <w:lang w:val="fr-BE"/>
              </w:rPr>
            </w:pPr>
            <w:r w:rsidRPr="00A92B39">
              <w:rPr>
                <w:noProof/>
                <w:sz w:val="10"/>
                <w:szCs w:val="10"/>
                <w:lang w:val="fr-BE"/>
              </w:rPr>
              <w:t>0,00</w:t>
            </w:r>
          </w:p>
        </w:tc>
      </w:tr>
      <w:tr w:rsidR="006B2EC1" w14:paraId="6414D2D0" w14:textId="77777777" w:rsidTr="0047688D">
        <w:tc>
          <w:tcPr>
            <w:tcW w:w="0" w:type="auto"/>
            <w:shd w:val="clear" w:color="auto" w:fill="auto"/>
          </w:tcPr>
          <w:p w14:paraId="0136D1CB" w14:textId="77777777" w:rsidR="008C5CFA" w:rsidRPr="00BA47B4" w:rsidRDefault="00E82A60" w:rsidP="00300A01">
            <w:pPr>
              <w:spacing w:before="0" w:after="0"/>
              <w:rPr>
                <w:sz w:val="12"/>
                <w:szCs w:val="12"/>
                <w:lang w:val="fr-BE"/>
              </w:rPr>
            </w:pPr>
            <w:r>
              <w:rPr>
                <w:noProof/>
                <w:sz w:val="12"/>
                <w:szCs w:val="12"/>
                <w:lang w:val="fr-BE"/>
              </w:rPr>
              <w:t>CO16</w:t>
            </w:r>
          </w:p>
        </w:tc>
        <w:tc>
          <w:tcPr>
            <w:tcW w:w="0" w:type="auto"/>
            <w:shd w:val="clear" w:color="auto" w:fill="auto"/>
          </w:tcPr>
          <w:p w14:paraId="2F1B0CD3" w14:textId="77777777" w:rsidR="008C5CFA" w:rsidRPr="00BA47B4" w:rsidRDefault="00E82A60" w:rsidP="00300A01">
            <w:pPr>
              <w:spacing w:before="0" w:after="0"/>
              <w:rPr>
                <w:sz w:val="12"/>
                <w:szCs w:val="12"/>
                <w:lang w:val="fr-BE"/>
              </w:rPr>
            </w:pPr>
            <w:r>
              <w:rPr>
                <w:noProof/>
                <w:sz w:val="12"/>
                <w:szCs w:val="12"/>
                <w:lang w:val="fr-BE"/>
              </w:rPr>
              <w:t>uczestnicy z niepełnosprawnościami</w:t>
            </w:r>
          </w:p>
        </w:tc>
        <w:tc>
          <w:tcPr>
            <w:tcW w:w="0" w:type="auto"/>
            <w:shd w:val="clear" w:color="auto" w:fill="auto"/>
          </w:tcPr>
          <w:p w14:paraId="3BC7B759" w14:textId="77777777" w:rsidR="008C5CFA" w:rsidRPr="00BA47B4" w:rsidRDefault="00E82A60"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14:paraId="77D19540" w14:textId="77777777" w:rsidR="008C5CFA" w:rsidRPr="00BA47B4" w:rsidRDefault="008C5CFA" w:rsidP="00300A01">
            <w:pPr>
              <w:spacing w:before="0" w:after="0"/>
              <w:jc w:val="right"/>
              <w:rPr>
                <w:sz w:val="12"/>
                <w:szCs w:val="12"/>
                <w:lang w:val="fr-BE"/>
              </w:rPr>
            </w:pPr>
          </w:p>
        </w:tc>
        <w:tc>
          <w:tcPr>
            <w:tcW w:w="0" w:type="auto"/>
            <w:shd w:val="clear" w:color="auto" w:fill="auto"/>
          </w:tcPr>
          <w:p w14:paraId="3E57BE86" w14:textId="77777777" w:rsidR="008C5CFA" w:rsidRPr="00BA47B4" w:rsidRDefault="008C5CFA" w:rsidP="00300A01">
            <w:pPr>
              <w:spacing w:before="0" w:after="0"/>
              <w:jc w:val="right"/>
              <w:rPr>
                <w:sz w:val="12"/>
                <w:szCs w:val="12"/>
                <w:lang w:val="fr-BE"/>
              </w:rPr>
            </w:pPr>
          </w:p>
        </w:tc>
        <w:tc>
          <w:tcPr>
            <w:tcW w:w="0" w:type="auto"/>
            <w:shd w:val="clear" w:color="auto" w:fill="auto"/>
          </w:tcPr>
          <w:p w14:paraId="4734E156" w14:textId="77777777" w:rsidR="008C5CFA" w:rsidRPr="00BA47B4" w:rsidRDefault="008C5CFA" w:rsidP="00300A01">
            <w:pPr>
              <w:spacing w:before="0" w:after="0"/>
              <w:jc w:val="right"/>
              <w:rPr>
                <w:sz w:val="12"/>
                <w:szCs w:val="12"/>
                <w:lang w:val="fr-BE"/>
              </w:rPr>
            </w:pPr>
          </w:p>
        </w:tc>
        <w:tc>
          <w:tcPr>
            <w:tcW w:w="0" w:type="auto"/>
            <w:shd w:val="clear" w:color="auto" w:fill="auto"/>
          </w:tcPr>
          <w:p w14:paraId="52B58518" w14:textId="77777777" w:rsidR="008C5CFA" w:rsidRPr="00BA47B4" w:rsidRDefault="00E82A60" w:rsidP="00300A01">
            <w:pPr>
              <w:spacing w:before="0" w:after="0"/>
              <w:jc w:val="right"/>
              <w:rPr>
                <w:sz w:val="12"/>
                <w:szCs w:val="12"/>
                <w:lang w:val="fr-BE"/>
              </w:rPr>
            </w:pPr>
            <w:r w:rsidRPr="00BA47B4">
              <w:rPr>
                <w:noProof/>
                <w:sz w:val="12"/>
                <w:szCs w:val="12"/>
                <w:lang w:val="fr-BE"/>
              </w:rPr>
              <w:t>28,00</w:t>
            </w:r>
          </w:p>
        </w:tc>
        <w:tc>
          <w:tcPr>
            <w:tcW w:w="0" w:type="auto"/>
            <w:shd w:val="clear" w:color="auto" w:fill="auto"/>
          </w:tcPr>
          <w:p w14:paraId="18BFD64B" w14:textId="77777777" w:rsidR="008C5CFA" w:rsidRPr="00BA47B4" w:rsidRDefault="00E82A60" w:rsidP="00300A01">
            <w:pPr>
              <w:spacing w:before="0" w:after="0"/>
              <w:jc w:val="right"/>
              <w:rPr>
                <w:sz w:val="12"/>
                <w:szCs w:val="12"/>
                <w:lang w:val="fr-BE"/>
              </w:rPr>
            </w:pPr>
            <w:r w:rsidRPr="00BA47B4">
              <w:rPr>
                <w:noProof/>
                <w:sz w:val="12"/>
                <w:szCs w:val="12"/>
                <w:lang w:val="fr-BE"/>
              </w:rPr>
              <w:t>5,00</w:t>
            </w:r>
          </w:p>
        </w:tc>
        <w:tc>
          <w:tcPr>
            <w:tcW w:w="0" w:type="auto"/>
            <w:shd w:val="clear" w:color="auto" w:fill="auto"/>
          </w:tcPr>
          <w:p w14:paraId="128CB64B" w14:textId="77777777" w:rsidR="008C5CFA" w:rsidRPr="00BA47B4" w:rsidRDefault="00E82A60" w:rsidP="00300A01">
            <w:pPr>
              <w:spacing w:before="0" w:after="0"/>
              <w:jc w:val="right"/>
              <w:rPr>
                <w:sz w:val="12"/>
                <w:szCs w:val="12"/>
                <w:lang w:val="fr-BE"/>
              </w:rPr>
            </w:pPr>
            <w:r w:rsidRPr="00BA47B4">
              <w:rPr>
                <w:noProof/>
                <w:sz w:val="12"/>
                <w:szCs w:val="12"/>
                <w:lang w:val="fr-BE"/>
              </w:rPr>
              <w:t>23,00</w:t>
            </w:r>
          </w:p>
        </w:tc>
        <w:tc>
          <w:tcPr>
            <w:tcW w:w="0" w:type="auto"/>
            <w:shd w:val="clear" w:color="auto" w:fill="auto"/>
          </w:tcPr>
          <w:p w14:paraId="3B3A13D1" w14:textId="77777777" w:rsidR="008C5CFA" w:rsidRPr="00BA47B4" w:rsidRDefault="008C5CFA" w:rsidP="00300A01">
            <w:pPr>
              <w:spacing w:before="0" w:after="0"/>
              <w:jc w:val="right"/>
              <w:rPr>
                <w:sz w:val="12"/>
                <w:szCs w:val="12"/>
                <w:lang w:val="fr-BE"/>
              </w:rPr>
            </w:pPr>
          </w:p>
        </w:tc>
        <w:tc>
          <w:tcPr>
            <w:tcW w:w="0" w:type="auto"/>
            <w:shd w:val="clear" w:color="auto" w:fill="auto"/>
          </w:tcPr>
          <w:p w14:paraId="3E171816" w14:textId="77777777" w:rsidR="008C5CFA" w:rsidRPr="00BA47B4" w:rsidRDefault="008C5CFA" w:rsidP="00300A01">
            <w:pPr>
              <w:spacing w:before="0" w:after="0"/>
              <w:jc w:val="right"/>
              <w:rPr>
                <w:sz w:val="12"/>
                <w:szCs w:val="12"/>
                <w:lang w:val="fr-BE"/>
              </w:rPr>
            </w:pPr>
          </w:p>
        </w:tc>
        <w:tc>
          <w:tcPr>
            <w:tcW w:w="0" w:type="auto"/>
            <w:shd w:val="clear" w:color="auto" w:fill="auto"/>
          </w:tcPr>
          <w:p w14:paraId="1703D1B2" w14:textId="77777777" w:rsidR="008C5CFA" w:rsidRPr="00BA47B4" w:rsidRDefault="008C5CFA" w:rsidP="00300A01">
            <w:pPr>
              <w:spacing w:before="0" w:after="0"/>
              <w:jc w:val="right"/>
              <w:rPr>
                <w:sz w:val="12"/>
                <w:szCs w:val="12"/>
                <w:lang w:val="fr-BE"/>
              </w:rPr>
            </w:pPr>
          </w:p>
        </w:tc>
        <w:tc>
          <w:tcPr>
            <w:tcW w:w="0" w:type="auto"/>
          </w:tcPr>
          <w:p w14:paraId="08905B01" w14:textId="77777777" w:rsidR="008C5CFA" w:rsidRPr="00A92B39" w:rsidRDefault="00E82A60" w:rsidP="00300A01">
            <w:pPr>
              <w:spacing w:before="0" w:after="0"/>
              <w:jc w:val="right"/>
              <w:rPr>
                <w:sz w:val="10"/>
                <w:szCs w:val="10"/>
                <w:lang w:val="fr-BE"/>
              </w:rPr>
            </w:pPr>
            <w:r w:rsidRPr="00A92B39">
              <w:rPr>
                <w:noProof/>
                <w:sz w:val="10"/>
                <w:szCs w:val="10"/>
                <w:lang w:val="fr-BE"/>
              </w:rPr>
              <w:t>7,00</w:t>
            </w:r>
          </w:p>
        </w:tc>
        <w:tc>
          <w:tcPr>
            <w:tcW w:w="0" w:type="auto"/>
            <w:shd w:val="clear" w:color="auto" w:fill="auto"/>
          </w:tcPr>
          <w:p w14:paraId="24FFF7D4" w14:textId="77777777" w:rsidR="008C5CFA" w:rsidRPr="00A92B39" w:rsidRDefault="00E82A60" w:rsidP="00300A01">
            <w:pPr>
              <w:spacing w:before="0" w:after="0"/>
              <w:jc w:val="right"/>
              <w:rPr>
                <w:sz w:val="10"/>
                <w:szCs w:val="10"/>
                <w:lang w:val="fr-BE"/>
              </w:rPr>
            </w:pPr>
            <w:r w:rsidRPr="00A92B39">
              <w:rPr>
                <w:noProof/>
                <w:sz w:val="10"/>
                <w:szCs w:val="10"/>
                <w:lang w:val="fr-BE"/>
              </w:rPr>
              <w:t>1,00</w:t>
            </w:r>
          </w:p>
        </w:tc>
        <w:tc>
          <w:tcPr>
            <w:tcW w:w="0" w:type="auto"/>
            <w:shd w:val="clear" w:color="auto" w:fill="auto"/>
          </w:tcPr>
          <w:p w14:paraId="0AD337EA" w14:textId="77777777" w:rsidR="008C5CFA" w:rsidRPr="00BA47B4" w:rsidRDefault="00E82A60" w:rsidP="00300A01">
            <w:pPr>
              <w:spacing w:before="0" w:after="0"/>
              <w:jc w:val="right"/>
              <w:rPr>
                <w:sz w:val="12"/>
                <w:szCs w:val="12"/>
                <w:lang w:val="fr-BE"/>
              </w:rPr>
            </w:pPr>
            <w:r w:rsidRPr="00A92B39">
              <w:rPr>
                <w:noProof/>
                <w:sz w:val="10"/>
                <w:szCs w:val="10"/>
                <w:lang w:val="fr-BE"/>
              </w:rPr>
              <w:t>6,00</w:t>
            </w:r>
          </w:p>
        </w:tc>
      </w:tr>
      <w:tr w:rsidR="006B2EC1" w14:paraId="35BA0839" w14:textId="77777777" w:rsidTr="0047688D">
        <w:tc>
          <w:tcPr>
            <w:tcW w:w="0" w:type="auto"/>
            <w:shd w:val="clear" w:color="auto" w:fill="auto"/>
          </w:tcPr>
          <w:p w14:paraId="0DE8685B" w14:textId="77777777" w:rsidR="008C5CFA" w:rsidRPr="00BA47B4" w:rsidRDefault="00E82A60" w:rsidP="00300A01">
            <w:pPr>
              <w:spacing w:before="0" w:after="0"/>
              <w:rPr>
                <w:sz w:val="12"/>
                <w:szCs w:val="12"/>
                <w:lang w:val="fr-BE"/>
              </w:rPr>
            </w:pPr>
            <w:r>
              <w:rPr>
                <w:noProof/>
                <w:sz w:val="12"/>
                <w:szCs w:val="12"/>
                <w:lang w:val="fr-BE"/>
              </w:rPr>
              <w:t>CO17</w:t>
            </w:r>
          </w:p>
        </w:tc>
        <w:tc>
          <w:tcPr>
            <w:tcW w:w="0" w:type="auto"/>
            <w:shd w:val="clear" w:color="auto" w:fill="auto"/>
          </w:tcPr>
          <w:p w14:paraId="27F82907" w14:textId="77777777" w:rsidR="008C5CFA" w:rsidRPr="00BA47B4" w:rsidRDefault="00E82A60" w:rsidP="00300A01">
            <w:pPr>
              <w:spacing w:before="0" w:after="0"/>
              <w:rPr>
                <w:sz w:val="12"/>
                <w:szCs w:val="12"/>
                <w:lang w:val="fr-BE"/>
              </w:rPr>
            </w:pPr>
            <w:r>
              <w:rPr>
                <w:noProof/>
                <w:sz w:val="12"/>
                <w:szCs w:val="12"/>
                <w:lang w:val="fr-BE"/>
              </w:rPr>
              <w:t>inne osoby w niekorzystnej sytuacji społecznej</w:t>
            </w:r>
          </w:p>
        </w:tc>
        <w:tc>
          <w:tcPr>
            <w:tcW w:w="0" w:type="auto"/>
            <w:shd w:val="clear" w:color="auto" w:fill="auto"/>
          </w:tcPr>
          <w:p w14:paraId="764AAD55" w14:textId="77777777" w:rsidR="008C5CFA" w:rsidRPr="00BA47B4" w:rsidRDefault="00E82A60"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14:paraId="29E89422" w14:textId="77777777" w:rsidR="008C5CFA" w:rsidRPr="00BA47B4" w:rsidRDefault="008C5CFA" w:rsidP="00300A01">
            <w:pPr>
              <w:spacing w:before="0" w:after="0"/>
              <w:jc w:val="right"/>
              <w:rPr>
                <w:sz w:val="12"/>
                <w:szCs w:val="12"/>
                <w:lang w:val="fr-BE"/>
              </w:rPr>
            </w:pPr>
          </w:p>
        </w:tc>
        <w:tc>
          <w:tcPr>
            <w:tcW w:w="0" w:type="auto"/>
            <w:shd w:val="clear" w:color="auto" w:fill="auto"/>
          </w:tcPr>
          <w:p w14:paraId="5A87B8BD" w14:textId="77777777" w:rsidR="008C5CFA" w:rsidRPr="00BA47B4" w:rsidRDefault="008C5CFA" w:rsidP="00300A01">
            <w:pPr>
              <w:spacing w:before="0" w:after="0"/>
              <w:jc w:val="right"/>
              <w:rPr>
                <w:sz w:val="12"/>
                <w:szCs w:val="12"/>
                <w:lang w:val="fr-BE"/>
              </w:rPr>
            </w:pPr>
          </w:p>
        </w:tc>
        <w:tc>
          <w:tcPr>
            <w:tcW w:w="0" w:type="auto"/>
            <w:shd w:val="clear" w:color="auto" w:fill="auto"/>
          </w:tcPr>
          <w:p w14:paraId="23C70314" w14:textId="77777777" w:rsidR="008C5CFA" w:rsidRPr="00BA47B4" w:rsidRDefault="008C5CFA" w:rsidP="00300A01">
            <w:pPr>
              <w:spacing w:before="0" w:after="0"/>
              <w:jc w:val="right"/>
              <w:rPr>
                <w:sz w:val="12"/>
                <w:szCs w:val="12"/>
                <w:lang w:val="fr-BE"/>
              </w:rPr>
            </w:pPr>
          </w:p>
        </w:tc>
        <w:tc>
          <w:tcPr>
            <w:tcW w:w="0" w:type="auto"/>
            <w:shd w:val="clear" w:color="auto" w:fill="auto"/>
          </w:tcPr>
          <w:p w14:paraId="24CDD6A2" w14:textId="77777777" w:rsidR="008C5CFA" w:rsidRPr="00BA47B4" w:rsidRDefault="00E82A60" w:rsidP="00300A01">
            <w:pPr>
              <w:spacing w:before="0" w:after="0"/>
              <w:jc w:val="right"/>
              <w:rPr>
                <w:sz w:val="12"/>
                <w:szCs w:val="12"/>
                <w:lang w:val="fr-BE"/>
              </w:rPr>
            </w:pPr>
            <w:r w:rsidRPr="00BA47B4">
              <w:rPr>
                <w:noProof/>
                <w:sz w:val="12"/>
                <w:szCs w:val="12"/>
                <w:lang w:val="fr-BE"/>
              </w:rPr>
              <w:t>75,00</w:t>
            </w:r>
          </w:p>
        </w:tc>
        <w:tc>
          <w:tcPr>
            <w:tcW w:w="0" w:type="auto"/>
            <w:shd w:val="clear" w:color="auto" w:fill="auto"/>
          </w:tcPr>
          <w:p w14:paraId="07AFB974" w14:textId="77777777" w:rsidR="008C5CFA" w:rsidRPr="00BA47B4" w:rsidRDefault="00E82A60" w:rsidP="00300A01">
            <w:pPr>
              <w:spacing w:before="0" w:after="0"/>
              <w:jc w:val="right"/>
              <w:rPr>
                <w:sz w:val="12"/>
                <w:szCs w:val="12"/>
                <w:lang w:val="fr-BE"/>
              </w:rPr>
            </w:pPr>
            <w:r w:rsidRPr="00BA47B4">
              <w:rPr>
                <w:noProof/>
                <w:sz w:val="12"/>
                <w:szCs w:val="12"/>
                <w:lang w:val="fr-BE"/>
              </w:rPr>
              <w:t>22,00</w:t>
            </w:r>
          </w:p>
        </w:tc>
        <w:tc>
          <w:tcPr>
            <w:tcW w:w="0" w:type="auto"/>
            <w:shd w:val="clear" w:color="auto" w:fill="auto"/>
          </w:tcPr>
          <w:p w14:paraId="7B6A5E3F" w14:textId="77777777" w:rsidR="008C5CFA" w:rsidRPr="00BA47B4" w:rsidRDefault="00E82A60" w:rsidP="00300A01">
            <w:pPr>
              <w:spacing w:before="0" w:after="0"/>
              <w:jc w:val="right"/>
              <w:rPr>
                <w:sz w:val="12"/>
                <w:szCs w:val="12"/>
                <w:lang w:val="fr-BE"/>
              </w:rPr>
            </w:pPr>
            <w:r w:rsidRPr="00BA47B4">
              <w:rPr>
                <w:noProof/>
                <w:sz w:val="12"/>
                <w:szCs w:val="12"/>
                <w:lang w:val="fr-BE"/>
              </w:rPr>
              <w:t>53,00</w:t>
            </w:r>
          </w:p>
        </w:tc>
        <w:tc>
          <w:tcPr>
            <w:tcW w:w="0" w:type="auto"/>
            <w:shd w:val="clear" w:color="auto" w:fill="auto"/>
          </w:tcPr>
          <w:p w14:paraId="3AAE7F30" w14:textId="77777777" w:rsidR="008C5CFA" w:rsidRPr="00BA47B4" w:rsidRDefault="008C5CFA" w:rsidP="00300A01">
            <w:pPr>
              <w:spacing w:before="0" w:after="0"/>
              <w:jc w:val="right"/>
              <w:rPr>
                <w:sz w:val="12"/>
                <w:szCs w:val="12"/>
                <w:lang w:val="fr-BE"/>
              </w:rPr>
            </w:pPr>
          </w:p>
        </w:tc>
        <w:tc>
          <w:tcPr>
            <w:tcW w:w="0" w:type="auto"/>
            <w:shd w:val="clear" w:color="auto" w:fill="auto"/>
          </w:tcPr>
          <w:p w14:paraId="53522848" w14:textId="77777777" w:rsidR="008C5CFA" w:rsidRPr="00BA47B4" w:rsidRDefault="008C5CFA" w:rsidP="00300A01">
            <w:pPr>
              <w:spacing w:before="0" w:after="0"/>
              <w:jc w:val="right"/>
              <w:rPr>
                <w:sz w:val="12"/>
                <w:szCs w:val="12"/>
                <w:lang w:val="fr-BE"/>
              </w:rPr>
            </w:pPr>
          </w:p>
        </w:tc>
        <w:tc>
          <w:tcPr>
            <w:tcW w:w="0" w:type="auto"/>
            <w:shd w:val="clear" w:color="auto" w:fill="auto"/>
          </w:tcPr>
          <w:p w14:paraId="11E035D0" w14:textId="77777777" w:rsidR="008C5CFA" w:rsidRPr="00BA47B4" w:rsidRDefault="008C5CFA" w:rsidP="00300A01">
            <w:pPr>
              <w:spacing w:before="0" w:after="0"/>
              <w:jc w:val="right"/>
              <w:rPr>
                <w:sz w:val="12"/>
                <w:szCs w:val="12"/>
                <w:lang w:val="fr-BE"/>
              </w:rPr>
            </w:pPr>
          </w:p>
        </w:tc>
        <w:tc>
          <w:tcPr>
            <w:tcW w:w="0" w:type="auto"/>
          </w:tcPr>
          <w:p w14:paraId="617D365D" w14:textId="77777777" w:rsidR="008C5CFA" w:rsidRPr="00A92B39" w:rsidRDefault="00E82A60" w:rsidP="00300A01">
            <w:pPr>
              <w:spacing w:before="0" w:after="0"/>
              <w:jc w:val="right"/>
              <w:rPr>
                <w:sz w:val="10"/>
                <w:szCs w:val="10"/>
                <w:lang w:val="fr-BE"/>
              </w:rPr>
            </w:pPr>
            <w:r w:rsidRPr="00A92B39">
              <w:rPr>
                <w:noProof/>
                <w:sz w:val="10"/>
                <w:szCs w:val="10"/>
                <w:lang w:val="fr-BE"/>
              </w:rPr>
              <w:t>16,00</w:t>
            </w:r>
          </w:p>
        </w:tc>
        <w:tc>
          <w:tcPr>
            <w:tcW w:w="0" w:type="auto"/>
            <w:shd w:val="clear" w:color="auto" w:fill="auto"/>
          </w:tcPr>
          <w:p w14:paraId="1B9B8AC5" w14:textId="77777777" w:rsidR="008C5CFA" w:rsidRPr="00A92B39" w:rsidRDefault="00E82A60" w:rsidP="00300A01">
            <w:pPr>
              <w:spacing w:before="0" w:after="0"/>
              <w:jc w:val="right"/>
              <w:rPr>
                <w:sz w:val="10"/>
                <w:szCs w:val="10"/>
                <w:lang w:val="fr-BE"/>
              </w:rPr>
            </w:pPr>
            <w:r w:rsidRPr="00A92B39">
              <w:rPr>
                <w:noProof/>
                <w:sz w:val="10"/>
                <w:szCs w:val="10"/>
                <w:lang w:val="fr-BE"/>
              </w:rPr>
              <w:t>4,00</w:t>
            </w:r>
          </w:p>
        </w:tc>
        <w:tc>
          <w:tcPr>
            <w:tcW w:w="0" w:type="auto"/>
            <w:shd w:val="clear" w:color="auto" w:fill="auto"/>
          </w:tcPr>
          <w:p w14:paraId="39275A25" w14:textId="77777777" w:rsidR="008C5CFA" w:rsidRPr="00BA47B4" w:rsidRDefault="00E82A60" w:rsidP="00300A01">
            <w:pPr>
              <w:spacing w:before="0" w:after="0"/>
              <w:jc w:val="right"/>
              <w:rPr>
                <w:sz w:val="12"/>
                <w:szCs w:val="12"/>
                <w:lang w:val="fr-BE"/>
              </w:rPr>
            </w:pPr>
            <w:r w:rsidRPr="00A92B39">
              <w:rPr>
                <w:noProof/>
                <w:sz w:val="10"/>
                <w:szCs w:val="10"/>
                <w:lang w:val="fr-BE"/>
              </w:rPr>
              <w:t>12,00</w:t>
            </w:r>
          </w:p>
        </w:tc>
      </w:tr>
      <w:tr w:rsidR="006B2EC1" w14:paraId="75F56D4E" w14:textId="77777777" w:rsidTr="0047688D">
        <w:tc>
          <w:tcPr>
            <w:tcW w:w="0" w:type="auto"/>
            <w:shd w:val="clear" w:color="auto" w:fill="auto"/>
          </w:tcPr>
          <w:p w14:paraId="3CDA30D3" w14:textId="77777777" w:rsidR="008C5CFA" w:rsidRPr="00BA47B4" w:rsidRDefault="00E82A60" w:rsidP="00300A01">
            <w:pPr>
              <w:spacing w:before="0" w:after="0"/>
              <w:rPr>
                <w:sz w:val="12"/>
                <w:szCs w:val="12"/>
                <w:lang w:val="fr-BE"/>
              </w:rPr>
            </w:pPr>
            <w:r>
              <w:rPr>
                <w:noProof/>
                <w:sz w:val="12"/>
                <w:szCs w:val="12"/>
                <w:lang w:val="fr-BE"/>
              </w:rPr>
              <w:t>CO18</w:t>
            </w:r>
          </w:p>
        </w:tc>
        <w:tc>
          <w:tcPr>
            <w:tcW w:w="0" w:type="auto"/>
            <w:shd w:val="clear" w:color="auto" w:fill="auto"/>
          </w:tcPr>
          <w:p w14:paraId="198FD862" w14:textId="77777777" w:rsidR="008C5CFA" w:rsidRPr="00BA47B4" w:rsidRDefault="00E82A60" w:rsidP="00300A01">
            <w:pPr>
              <w:spacing w:before="0" w:after="0"/>
              <w:rPr>
                <w:sz w:val="12"/>
                <w:szCs w:val="12"/>
                <w:lang w:val="fr-BE"/>
              </w:rPr>
            </w:pPr>
            <w:r>
              <w:rPr>
                <w:noProof/>
                <w:sz w:val="12"/>
                <w:szCs w:val="12"/>
                <w:lang w:val="fr-BE"/>
              </w:rPr>
              <w:t>osoby bezdomne lub dotknięte wykluczeniem z dostępu do mieszkań</w:t>
            </w:r>
          </w:p>
        </w:tc>
        <w:tc>
          <w:tcPr>
            <w:tcW w:w="0" w:type="auto"/>
            <w:shd w:val="clear" w:color="auto" w:fill="auto"/>
          </w:tcPr>
          <w:p w14:paraId="3E6CF740" w14:textId="77777777" w:rsidR="008C5CFA" w:rsidRPr="00BA47B4" w:rsidRDefault="00E82A60"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14:paraId="75562F4F" w14:textId="77777777" w:rsidR="008C5CFA" w:rsidRPr="00BA47B4" w:rsidRDefault="008C5CFA" w:rsidP="00300A01">
            <w:pPr>
              <w:spacing w:before="0" w:after="0"/>
              <w:jc w:val="right"/>
              <w:rPr>
                <w:sz w:val="12"/>
                <w:szCs w:val="12"/>
                <w:lang w:val="fr-BE"/>
              </w:rPr>
            </w:pPr>
          </w:p>
        </w:tc>
        <w:tc>
          <w:tcPr>
            <w:tcW w:w="0" w:type="auto"/>
            <w:shd w:val="clear" w:color="auto" w:fill="auto"/>
          </w:tcPr>
          <w:p w14:paraId="0661DA78" w14:textId="77777777" w:rsidR="008C5CFA" w:rsidRPr="00BA47B4" w:rsidRDefault="008C5CFA" w:rsidP="00300A01">
            <w:pPr>
              <w:spacing w:before="0" w:after="0"/>
              <w:jc w:val="right"/>
              <w:rPr>
                <w:sz w:val="12"/>
                <w:szCs w:val="12"/>
                <w:lang w:val="fr-BE"/>
              </w:rPr>
            </w:pPr>
          </w:p>
        </w:tc>
        <w:tc>
          <w:tcPr>
            <w:tcW w:w="0" w:type="auto"/>
            <w:shd w:val="clear" w:color="auto" w:fill="auto"/>
          </w:tcPr>
          <w:p w14:paraId="7306EF4E" w14:textId="77777777" w:rsidR="008C5CFA" w:rsidRPr="00BA47B4" w:rsidRDefault="008C5CFA" w:rsidP="00300A01">
            <w:pPr>
              <w:spacing w:before="0" w:after="0"/>
              <w:jc w:val="right"/>
              <w:rPr>
                <w:sz w:val="12"/>
                <w:szCs w:val="12"/>
                <w:lang w:val="fr-BE"/>
              </w:rPr>
            </w:pPr>
          </w:p>
        </w:tc>
        <w:tc>
          <w:tcPr>
            <w:tcW w:w="0" w:type="auto"/>
            <w:shd w:val="clear" w:color="auto" w:fill="auto"/>
          </w:tcPr>
          <w:p w14:paraId="6C1768A3"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5916253B"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419F378D"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14230460" w14:textId="77777777" w:rsidR="008C5CFA" w:rsidRPr="00BA47B4" w:rsidRDefault="008C5CFA" w:rsidP="00300A01">
            <w:pPr>
              <w:spacing w:before="0" w:after="0"/>
              <w:jc w:val="right"/>
              <w:rPr>
                <w:sz w:val="12"/>
                <w:szCs w:val="12"/>
                <w:lang w:val="fr-BE"/>
              </w:rPr>
            </w:pPr>
          </w:p>
        </w:tc>
        <w:tc>
          <w:tcPr>
            <w:tcW w:w="0" w:type="auto"/>
            <w:shd w:val="clear" w:color="auto" w:fill="auto"/>
          </w:tcPr>
          <w:p w14:paraId="1E6B9CC9" w14:textId="77777777" w:rsidR="008C5CFA" w:rsidRPr="00BA47B4" w:rsidRDefault="008C5CFA" w:rsidP="00300A01">
            <w:pPr>
              <w:spacing w:before="0" w:after="0"/>
              <w:jc w:val="right"/>
              <w:rPr>
                <w:sz w:val="12"/>
                <w:szCs w:val="12"/>
                <w:lang w:val="fr-BE"/>
              </w:rPr>
            </w:pPr>
          </w:p>
        </w:tc>
        <w:tc>
          <w:tcPr>
            <w:tcW w:w="0" w:type="auto"/>
            <w:shd w:val="clear" w:color="auto" w:fill="auto"/>
          </w:tcPr>
          <w:p w14:paraId="216A908E" w14:textId="77777777" w:rsidR="008C5CFA" w:rsidRPr="00BA47B4" w:rsidRDefault="008C5CFA" w:rsidP="00300A01">
            <w:pPr>
              <w:spacing w:before="0" w:after="0"/>
              <w:jc w:val="right"/>
              <w:rPr>
                <w:sz w:val="12"/>
                <w:szCs w:val="12"/>
                <w:lang w:val="fr-BE"/>
              </w:rPr>
            </w:pPr>
          </w:p>
        </w:tc>
        <w:tc>
          <w:tcPr>
            <w:tcW w:w="0" w:type="auto"/>
          </w:tcPr>
          <w:p w14:paraId="103860A5"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14:paraId="5DE0513D"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14:paraId="01996CF4" w14:textId="77777777" w:rsidR="008C5CFA" w:rsidRPr="00BA47B4" w:rsidRDefault="00E82A60" w:rsidP="00300A01">
            <w:pPr>
              <w:spacing w:before="0" w:after="0"/>
              <w:jc w:val="right"/>
              <w:rPr>
                <w:sz w:val="12"/>
                <w:szCs w:val="12"/>
                <w:lang w:val="fr-BE"/>
              </w:rPr>
            </w:pPr>
            <w:r w:rsidRPr="00A92B39">
              <w:rPr>
                <w:noProof/>
                <w:sz w:val="10"/>
                <w:szCs w:val="10"/>
                <w:lang w:val="fr-BE"/>
              </w:rPr>
              <w:t>0,00</w:t>
            </w:r>
          </w:p>
        </w:tc>
      </w:tr>
      <w:tr w:rsidR="006B2EC1" w14:paraId="7B4CE0A7" w14:textId="77777777" w:rsidTr="0047688D">
        <w:tc>
          <w:tcPr>
            <w:tcW w:w="0" w:type="auto"/>
            <w:shd w:val="clear" w:color="auto" w:fill="auto"/>
          </w:tcPr>
          <w:p w14:paraId="636F5108" w14:textId="77777777" w:rsidR="008C5CFA" w:rsidRPr="00BA47B4" w:rsidRDefault="00E82A60" w:rsidP="00300A01">
            <w:pPr>
              <w:spacing w:before="0" w:after="0"/>
              <w:rPr>
                <w:sz w:val="12"/>
                <w:szCs w:val="12"/>
                <w:lang w:val="fr-BE"/>
              </w:rPr>
            </w:pPr>
            <w:r>
              <w:rPr>
                <w:noProof/>
                <w:sz w:val="12"/>
                <w:szCs w:val="12"/>
                <w:lang w:val="fr-BE"/>
              </w:rPr>
              <w:t>CO19</w:t>
            </w:r>
          </w:p>
        </w:tc>
        <w:tc>
          <w:tcPr>
            <w:tcW w:w="0" w:type="auto"/>
            <w:shd w:val="clear" w:color="auto" w:fill="auto"/>
          </w:tcPr>
          <w:p w14:paraId="4084837C" w14:textId="77777777" w:rsidR="008C5CFA" w:rsidRPr="00BA47B4" w:rsidRDefault="00E82A60" w:rsidP="00300A01">
            <w:pPr>
              <w:spacing w:before="0" w:after="0"/>
              <w:rPr>
                <w:sz w:val="12"/>
                <w:szCs w:val="12"/>
                <w:lang w:val="fr-BE"/>
              </w:rPr>
            </w:pPr>
            <w:r>
              <w:rPr>
                <w:noProof/>
                <w:sz w:val="12"/>
                <w:szCs w:val="12"/>
                <w:lang w:val="fr-BE"/>
              </w:rPr>
              <w:t>osoby pochodzące z obszarów wiejskich</w:t>
            </w:r>
          </w:p>
        </w:tc>
        <w:tc>
          <w:tcPr>
            <w:tcW w:w="0" w:type="auto"/>
            <w:shd w:val="clear" w:color="auto" w:fill="auto"/>
          </w:tcPr>
          <w:p w14:paraId="36B5153F" w14:textId="77777777" w:rsidR="008C5CFA" w:rsidRPr="00BA47B4" w:rsidRDefault="00E82A60"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14:paraId="5BFCECA0" w14:textId="77777777" w:rsidR="008C5CFA" w:rsidRPr="00BA47B4" w:rsidRDefault="008C5CFA" w:rsidP="00300A01">
            <w:pPr>
              <w:spacing w:before="0" w:after="0"/>
              <w:jc w:val="right"/>
              <w:rPr>
                <w:sz w:val="12"/>
                <w:szCs w:val="12"/>
                <w:lang w:val="fr-BE"/>
              </w:rPr>
            </w:pPr>
          </w:p>
        </w:tc>
        <w:tc>
          <w:tcPr>
            <w:tcW w:w="0" w:type="auto"/>
            <w:shd w:val="clear" w:color="auto" w:fill="auto"/>
          </w:tcPr>
          <w:p w14:paraId="110E8EB2" w14:textId="77777777" w:rsidR="008C5CFA" w:rsidRPr="00BA47B4" w:rsidRDefault="008C5CFA" w:rsidP="00300A01">
            <w:pPr>
              <w:spacing w:before="0" w:after="0"/>
              <w:jc w:val="right"/>
              <w:rPr>
                <w:sz w:val="12"/>
                <w:szCs w:val="12"/>
                <w:lang w:val="fr-BE"/>
              </w:rPr>
            </w:pPr>
          </w:p>
        </w:tc>
        <w:tc>
          <w:tcPr>
            <w:tcW w:w="0" w:type="auto"/>
            <w:shd w:val="clear" w:color="auto" w:fill="auto"/>
          </w:tcPr>
          <w:p w14:paraId="7684EA99" w14:textId="77777777" w:rsidR="008C5CFA" w:rsidRPr="00BA47B4" w:rsidRDefault="008C5CFA" w:rsidP="00300A01">
            <w:pPr>
              <w:spacing w:before="0" w:after="0"/>
              <w:jc w:val="right"/>
              <w:rPr>
                <w:sz w:val="12"/>
                <w:szCs w:val="12"/>
                <w:lang w:val="fr-BE"/>
              </w:rPr>
            </w:pPr>
          </w:p>
        </w:tc>
        <w:tc>
          <w:tcPr>
            <w:tcW w:w="0" w:type="auto"/>
            <w:shd w:val="clear" w:color="auto" w:fill="auto"/>
          </w:tcPr>
          <w:p w14:paraId="6428E8AA" w14:textId="77777777" w:rsidR="008C5CFA" w:rsidRPr="00BA47B4" w:rsidRDefault="00E82A60" w:rsidP="00300A01">
            <w:pPr>
              <w:spacing w:before="0" w:after="0"/>
              <w:jc w:val="right"/>
              <w:rPr>
                <w:sz w:val="12"/>
                <w:szCs w:val="12"/>
                <w:lang w:val="fr-BE"/>
              </w:rPr>
            </w:pPr>
            <w:r w:rsidRPr="00BA47B4">
              <w:rPr>
                <w:noProof/>
                <w:sz w:val="12"/>
                <w:szCs w:val="12"/>
                <w:lang w:val="fr-BE"/>
              </w:rPr>
              <w:t>956,00</w:t>
            </w:r>
          </w:p>
        </w:tc>
        <w:tc>
          <w:tcPr>
            <w:tcW w:w="0" w:type="auto"/>
            <w:shd w:val="clear" w:color="auto" w:fill="auto"/>
          </w:tcPr>
          <w:p w14:paraId="1072AFFB" w14:textId="77777777" w:rsidR="008C5CFA" w:rsidRPr="00BA47B4" w:rsidRDefault="00E82A60" w:rsidP="00300A01">
            <w:pPr>
              <w:spacing w:before="0" w:after="0"/>
              <w:jc w:val="right"/>
              <w:rPr>
                <w:sz w:val="12"/>
                <w:szCs w:val="12"/>
                <w:lang w:val="fr-BE"/>
              </w:rPr>
            </w:pPr>
            <w:r w:rsidRPr="00BA47B4">
              <w:rPr>
                <w:noProof/>
                <w:sz w:val="12"/>
                <w:szCs w:val="12"/>
                <w:lang w:val="fr-BE"/>
              </w:rPr>
              <w:t>281,00</w:t>
            </w:r>
          </w:p>
        </w:tc>
        <w:tc>
          <w:tcPr>
            <w:tcW w:w="0" w:type="auto"/>
            <w:shd w:val="clear" w:color="auto" w:fill="auto"/>
          </w:tcPr>
          <w:p w14:paraId="1AD5EB14" w14:textId="77777777" w:rsidR="008C5CFA" w:rsidRPr="00BA47B4" w:rsidRDefault="00E82A60" w:rsidP="00300A01">
            <w:pPr>
              <w:spacing w:before="0" w:after="0"/>
              <w:jc w:val="right"/>
              <w:rPr>
                <w:sz w:val="12"/>
                <w:szCs w:val="12"/>
                <w:lang w:val="fr-BE"/>
              </w:rPr>
            </w:pPr>
            <w:r w:rsidRPr="00BA47B4">
              <w:rPr>
                <w:noProof/>
                <w:sz w:val="12"/>
                <w:szCs w:val="12"/>
                <w:lang w:val="fr-BE"/>
              </w:rPr>
              <w:t>675,00</w:t>
            </w:r>
          </w:p>
        </w:tc>
        <w:tc>
          <w:tcPr>
            <w:tcW w:w="0" w:type="auto"/>
            <w:shd w:val="clear" w:color="auto" w:fill="auto"/>
          </w:tcPr>
          <w:p w14:paraId="1BA82F44" w14:textId="77777777" w:rsidR="008C5CFA" w:rsidRPr="00BA47B4" w:rsidRDefault="008C5CFA" w:rsidP="00300A01">
            <w:pPr>
              <w:spacing w:before="0" w:after="0"/>
              <w:jc w:val="right"/>
              <w:rPr>
                <w:sz w:val="12"/>
                <w:szCs w:val="12"/>
                <w:lang w:val="fr-BE"/>
              </w:rPr>
            </w:pPr>
          </w:p>
        </w:tc>
        <w:tc>
          <w:tcPr>
            <w:tcW w:w="0" w:type="auto"/>
            <w:shd w:val="clear" w:color="auto" w:fill="auto"/>
          </w:tcPr>
          <w:p w14:paraId="1E2A04BE" w14:textId="77777777" w:rsidR="008C5CFA" w:rsidRPr="00BA47B4" w:rsidRDefault="008C5CFA" w:rsidP="00300A01">
            <w:pPr>
              <w:spacing w:before="0" w:after="0"/>
              <w:jc w:val="right"/>
              <w:rPr>
                <w:sz w:val="12"/>
                <w:szCs w:val="12"/>
                <w:lang w:val="fr-BE"/>
              </w:rPr>
            </w:pPr>
          </w:p>
        </w:tc>
        <w:tc>
          <w:tcPr>
            <w:tcW w:w="0" w:type="auto"/>
            <w:shd w:val="clear" w:color="auto" w:fill="auto"/>
          </w:tcPr>
          <w:p w14:paraId="4D04B9F9" w14:textId="77777777" w:rsidR="008C5CFA" w:rsidRPr="00BA47B4" w:rsidRDefault="008C5CFA" w:rsidP="00300A01">
            <w:pPr>
              <w:spacing w:before="0" w:after="0"/>
              <w:jc w:val="right"/>
              <w:rPr>
                <w:sz w:val="12"/>
                <w:szCs w:val="12"/>
                <w:lang w:val="fr-BE"/>
              </w:rPr>
            </w:pPr>
          </w:p>
        </w:tc>
        <w:tc>
          <w:tcPr>
            <w:tcW w:w="0" w:type="auto"/>
          </w:tcPr>
          <w:p w14:paraId="495F7433" w14:textId="77777777" w:rsidR="008C5CFA" w:rsidRPr="00A92B39" w:rsidRDefault="00E82A60" w:rsidP="00300A01">
            <w:pPr>
              <w:spacing w:before="0" w:after="0"/>
              <w:jc w:val="right"/>
              <w:rPr>
                <w:sz w:val="10"/>
                <w:szCs w:val="10"/>
                <w:lang w:val="fr-BE"/>
              </w:rPr>
            </w:pPr>
            <w:r w:rsidRPr="00A92B39">
              <w:rPr>
                <w:noProof/>
                <w:sz w:val="10"/>
                <w:szCs w:val="10"/>
                <w:lang w:val="fr-BE"/>
              </w:rPr>
              <w:t>212,00</w:t>
            </w:r>
          </w:p>
        </w:tc>
        <w:tc>
          <w:tcPr>
            <w:tcW w:w="0" w:type="auto"/>
            <w:shd w:val="clear" w:color="auto" w:fill="auto"/>
          </w:tcPr>
          <w:p w14:paraId="6DF9B432" w14:textId="77777777" w:rsidR="008C5CFA" w:rsidRPr="00A92B39" w:rsidRDefault="00E82A60" w:rsidP="00300A01">
            <w:pPr>
              <w:spacing w:before="0" w:after="0"/>
              <w:jc w:val="right"/>
              <w:rPr>
                <w:sz w:val="10"/>
                <w:szCs w:val="10"/>
                <w:lang w:val="fr-BE"/>
              </w:rPr>
            </w:pPr>
            <w:r w:rsidRPr="00A92B39">
              <w:rPr>
                <w:noProof/>
                <w:sz w:val="10"/>
                <w:szCs w:val="10"/>
                <w:lang w:val="fr-BE"/>
              </w:rPr>
              <w:t>61,00</w:t>
            </w:r>
          </w:p>
        </w:tc>
        <w:tc>
          <w:tcPr>
            <w:tcW w:w="0" w:type="auto"/>
            <w:shd w:val="clear" w:color="auto" w:fill="auto"/>
          </w:tcPr>
          <w:p w14:paraId="1F82E30B" w14:textId="77777777" w:rsidR="008C5CFA" w:rsidRPr="00BA47B4" w:rsidRDefault="00E82A60" w:rsidP="00300A01">
            <w:pPr>
              <w:spacing w:before="0" w:after="0"/>
              <w:jc w:val="right"/>
              <w:rPr>
                <w:sz w:val="12"/>
                <w:szCs w:val="12"/>
                <w:lang w:val="fr-BE"/>
              </w:rPr>
            </w:pPr>
            <w:r w:rsidRPr="00A92B39">
              <w:rPr>
                <w:noProof/>
                <w:sz w:val="10"/>
                <w:szCs w:val="10"/>
                <w:lang w:val="fr-BE"/>
              </w:rPr>
              <w:t>151,00</w:t>
            </w:r>
          </w:p>
        </w:tc>
      </w:tr>
      <w:tr w:rsidR="006B2EC1" w14:paraId="50A26876" w14:textId="77777777" w:rsidTr="0047688D">
        <w:tc>
          <w:tcPr>
            <w:tcW w:w="0" w:type="auto"/>
            <w:shd w:val="clear" w:color="auto" w:fill="auto"/>
          </w:tcPr>
          <w:p w14:paraId="4F5367B2" w14:textId="77777777" w:rsidR="008C5CFA" w:rsidRPr="00BA47B4" w:rsidRDefault="00E82A60" w:rsidP="00300A01">
            <w:pPr>
              <w:spacing w:before="0" w:after="0"/>
              <w:rPr>
                <w:sz w:val="12"/>
                <w:szCs w:val="12"/>
                <w:lang w:val="fr-BE"/>
              </w:rPr>
            </w:pPr>
            <w:r>
              <w:rPr>
                <w:noProof/>
                <w:sz w:val="12"/>
                <w:szCs w:val="12"/>
                <w:lang w:val="fr-BE"/>
              </w:rPr>
              <w:t>CO20</w:t>
            </w:r>
          </w:p>
        </w:tc>
        <w:tc>
          <w:tcPr>
            <w:tcW w:w="0" w:type="auto"/>
            <w:shd w:val="clear" w:color="auto" w:fill="auto"/>
          </w:tcPr>
          <w:p w14:paraId="4DBDE969" w14:textId="77777777" w:rsidR="008C5CFA" w:rsidRPr="00BA47B4" w:rsidRDefault="00E82A60" w:rsidP="00300A01">
            <w:pPr>
              <w:spacing w:before="0" w:after="0"/>
              <w:rPr>
                <w:sz w:val="12"/>
                <w:szCs w:val="12"/>
                <w:lang w:val="fr-BE"/>
              </w:rPr>
            </w:pPr>
            <w:r>
              <w:rPr>
                <w:noProof/>
                <w:sz w:val="12"/>
                <w:szCs w:val="12"/>
                <w:lang w:val="fr-BE"/>
              </w:rPr>
              <w:t>liczba projektów zrealizowanych w pełni lub częściowo przez partnerów społecznych lub organizacje pozarządowe</w:t>
            </w:r>
          </w:p>
        </w:tc>
        <w:tc>
          <w:tcPr>
            <w:tcW w:w="0" w:type="auto"/>
            <w:shd w:val="clear" w:color="auto" w:fill="auto"/>
          </w:tcPr>
          <w:p w14:paraId="09B04182" w14:textId="77777777" w:rsidR="008C5CFA" w:rsidRPr="00BA47B4" w:rsidRDefault="00E82A60"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14:paraId="49CDBBF8" w14:textId="77777777" w:rsidR="008C5CFA" w:rsidRPr="00BA47B4" w:rsidRDefault="008C5CFA" w:rsidP="00300A01">
            <w:pPr>
              <w:spacing w:before="0" w:after="0"/>
              <w:jc w:val="right"/>
              <w:rPr>
                <w:sz w:val="12"/>
                <w:szCs w:val="12"/>
                <w:lang w:val="fr-BE"/>
              </w:rPr>
            </w:pPr>
          </w:p>
        </w:tc>
        <w:tc>
          <w:tcPr>
            <w:tcW w:w="0" w:type="auto"/>
            <w:shd w:val="clear" w:color="auto" w:fill="auto"/>
          </w:tcPr>
          <w:p w14:paraId="74B0E538" w14:textId="77777777" w:rsidR="008C5CFA" w:rsidRPr="00BA47B4" w:rsidRDefault="008C5CFA" w:rsidP="00300A01">
            <w:pPr>
              <w:spacing w:before="0" w:after="0"/>
              <w:jc w:val="right"/>
              <w:rPr>
                <w:sz w:val="12"/>
                <w:szCs w:val="12"/>
                <w:lang w:val="fr-BE"/>
              </w:rPr>
            </w:pPr>
          </w:p>
        </w:tc>
        <w:tc>
          <w:tcPr>
            <w:tcW w:w="0" w:type="auto"/>
            <w:shd w:val="clear" w:color="auto" w:fill="auto"/>
          </w:tcPr>
          <w:p w14:paraId="4156842A" w14:textId="77777777" w:rsidR="008C5CFA" w:rsidRPr="00BA47B4" w:rsidRDefault="008C5CFA" w:rsidP="00300A01">
            <w:pPr>
              <w:spacing w:before="0" w:after="0"/>
              <w:jc w:val="right"/>
              <w:rPr>
                <w:sz w:val="12"/>
                <w:szCs w:val="12"/>
                <w:lang w:val="fr-BE"/>
              </w:rPr>
            </w:pPr>
          </w:p>
        </w:tc>
        <w:tc>
          <w:tcPr>
            <w:tcW w:w="0" w:type="auto"/>
            <w:shd w:val="clear" w:color="auto" w:fill="auto"/>
          </w:tcPr>
          <w:p w14:paraId="2F190B9C" w14:textId="77777777" w:rsidR="008C5CFA" w:rsidRPr="00BA47B4" w:rsidRDefault="00E82A60" w:rsidP="00300A01">
            <w:pPr>
              <w:spacing w:before="0" w:after="0"/>
              <w:jc w:val="right"/>
              <w:rPr>
                <w:sz w:val="12"/>
                <w:szCs w:val="12"/>
                <w:lang w:val="fr-BE"/>
              </w:rPr>
            </w:pPr>
            <w:r w:rsidRPr="00BA47B4">
              <w:rPr>
                <w:noProof/>
                <w:sz w:val="12"/>
                <w:szCs w:val="12"/>
                <w:lang w:val="fr-BE"/>
              </w:rPr>
              <w:t>2,00</w:t>
            </w:r>
          </w:p>
        </w:tc>
        <w:tc>
          <w:tcPr>
            <w:tcW w:w="0" w:type="auto"/>
            <w:shd w:val="clear" w:color="auto" w:fill="auto"/>
          </w:tcPr>
          <w:p w14:paraId="6EDF3D08" w14:textId="77777777" w:rsidR="008C5CFA" w:rsidRPr="00BA47B4" w:rsidRDefault="008C5CFA" w:rsidP="00300A01">
            <w:pPr>
              <w:spacing w:before="0" w:after="0"/>
              <w:jc w:val="right"/>
              <w:rPr>
                <w:sz w:val="12"/>
                <w:szCs w:val="12"/>
                <w:lang w:val="fr-BE"/>
              </w:rPr>
            </w:pPr>
          </w:p>
        </w:tc>
        <w:tc>
          <w:tcPr>
            <w:tcW w:w="0" w:type="auto"/>
            <w:shd w:val="clear" w:color="auto" w:fill="auto"/>
          </w:tcPr>
          <w:p w14:paraId="05354230" w14:textId="77777777" w:rsidR="008C5CFA" w:rsidRPr="00BA47B4" w:rsidRDefault="008C5CFA" w:rsidP="00300A01">
            <w:pPr>
              <w:spacing w:before="0" w:after="0"/>
              <w:jc w:val="right"/>
              <w:rPr>
                <w:sz w:val="12"/>
                <w:szCs w:val="12"/>
                <w:lang w:val="fr-BE"/>
              </w:rPr>
            </w:pPr>
          </w:p>
        </w:tc>
        <w:tc>
          <w:tcPr>
            <w:tcW w:w="0" w:type="auto"/>
            <w:shd w:val="clear" w:color="auto" w:fill="auto"/>
          </w:tcPr>
          <w:p w14:paraId="6738DCAA" w14:textId="77777777" w:rsidR="008C5CFA" w:rsidRPr="00BA47B4" w:rsidRDefault="008C5CFA" w:rsidP="00300A01">
            <w:pPr>
              <w:spacing w:before="0" w:after="0"/>
              <w:jc w:val="right"/>
              <w:rPr>
                <w:sz w:val="12"/>
                <w:szCs w:val="12"/>
                <w:lang w:val="fr-BE"/>
              </w:rPr>
            </w:pPr>
          </w:p>
        </w:tc>
        <w:tc>
          <w:tcPr>
            <w:tcW w:w="0" w:type="auto"/>
            <w:shd w:val="clear" w:color="auto" w:fill="auto"/>
          </w:tcPr>
          <w:p w14:paraId="0B764C90" w14:textId="77777777" w:rsidR="008C5CFA" w:rsidRPr="00BA47B4" w:rsidRDefault="008C5CFA" w:rsidP="00300A01">
            <w:pPr>
              <w:spacing w:before="0" w:after="0"/>
              <w:jc w:val="right"/>
              <w:rPr>
                <w:sz w:val="12"/>
                <w:szCs w:val="12"/>
                <w:lang w:val="fr-BE"/>
              </w:rPr>
            </w:pPr>
          </w:p>
        </w:tc>
        <w:tc>
          <w:tcPr>
            <w:tcW w:w="0" w:type="auto"/>
            <w:shd w:val="clear" w:color="auto" w:fill="auto"/>
          </w:tcPr>
          <w:p w14:paraId="5463EBE1" w14:textId="77777777" w:rsidR="008C5CFA" w:rsidRPr="00BA47B4" w:rsidRDefault="008C5CFA" w:rsidP="00300A01">
            <w:pPr>
              <w:spacing w:before="0" w:after="0"/>
              <w:jc w:val="right"/>
              <w:rPr>
                <w:sz w:val="12"/>
                <w:szCs w:val="12"/>
                <w:lang w:val="fr-BE"/>
              </w:rPr>
            </w:pPr>
          </w:p>
        </w:tc>
        <w:tc>
          <w:tcPr>
            <w:tcW w:w="0" w:type="auto"/>
          </w:tcPr>
          <w:p w14:paraId="185D0017"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14:paraId="42D934AB" w14:textId="77777777" w:rsidR="008C5CFA" w:rsidRPr="00A92B39" w:rsidRDefault="008C5CFA" w:rsidP="00300A01">
            <w:pPr>
              <w:spacing w:before="0" w:after="0"/>
              <w:jc w:val="right"/>
              <w:rPr>
                <w:sz w:val="10"/>
                <w:szCs w:val="10"/>
                <w:lang w:val="fr-BE"/>
              </w:rPr>
            </w:pPr>
          </w:p>
        </w:tc>
        <w:tc>
          <w:tcPr>
            <w:tcW w:w="0" w:type="auto"/>
            <w:shd w:val="clear" w:color="auto" w:fill="auto"/>
          </w:tcPr>
          <w:p w14:paraId="21C65472" w14:textId="77777777" w:rsidR="008C5CFA" w:rsidRPr="00BA47B4" w:rsidRDefault="008C5CFA" w:rsidP="00300A01">
            <w:pPr>
              <w:spacing w:before="0" w:after="0"/>
              <w:jc w:val="right"/>
              <w:rPr>
                <w:sz w:val="12"/>
                <w:szCs w:val="12"/>
                <w:lang w:val="fr-BE"/>
              </w:rPr>
            </w:pPr>
          </w:p>
        </w:tc>
      </w:tr>
      <w:tr w:rsidR="006B2EC1" w14:paraId="21853FB9" w14:textId="77777777" w:rsidTr="0047688D">
        <w:tc>
          <w:tcPr>
            <w:tcW w:w="0" w:type="auto"/>
            <w:shd w:val="clear" w:color="auto" w:fill="auto"/>
          </w:tcPr>
          <w:p w14:paraId="018E68EA" w14:textId="77777777" w:rsidR="008C5CFA" w:rsidRPr="00BA47B4" w:rsidRDefault="00E82A60" w:rsidP="00300A01">
            <w:pPr>
              <w:spacing w:before="0" w:after="0"/>
              <w:rPr>
                <w:sz w:val="12"/>
                <w:szCs w:val="12"/>
                <w:lang w:val="fr-BE"/>
              </w:rPr>
            </w:pPr>
            <w:r>
              <w:rPr>
                <w:noProof/>
                <w:sz w:val="12"/>
                <w:szCs w:val="12"/>
                <w:lang w:val="fr-BE"/>
              </w:rPr>
              <w:t>CO21</w:t>
            </w:r>
          </w:p>
        </w:tc>
        <w:tc>
          <w:tcPr>
            <w:tcW w:w="0" w:type="auto"/>
            <w:shd w:val="clear" w:color="auto" w:fill="auto"/>
          </w:tcPr>
          <w:p w14:paraId="4F5B77A7" w14:textId="77777777" w:rsidR="008C5CFA" w:rsidRPr="00BA47B4" w:rsidRDefault="00E82A60" w:rsidP="00300A01">
            <w:pPr>
              <w:spacing w:before="0" w:after="0"/>
              <w:rPr>
                <w:sz w:val="12"/>
                <w:szCs w:val="12"/>
                <w:lang w:val="fr-BE"/>
              </w:rPr>
            </w:pPr>
            <w:r>
              <w:rPr>
                <w:noProof/>
                <w:sz w:val="12"/>
                <w:szCs w:val="12"/>
                <w:lang w:val="fr-BE"/>
              </w:rPr>
              <w:t>liczba projektów ukierunkowanych na trwały udział kobiet w zatrudnieniu i rozwój ich kariery zawodowej</w:t>
            </w:r>
          </w:p>
        </w:tc>
        <w:tc>
          <w:tcPr>
            <w:tcW w:w="0" w:type="auto"/>
            <w:shd w:val="clear" w:color="auto" w:fill="auto"/>
          </w:tcPr>
          <w:p w14:paraId="030A26AD" w14:textId="77777777" w:rsidR="008C5CFA" w:rsidRPr="00BA47B4" w:rsidRDefault="00E82A60"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14:paraId="377A7418" w14:textId="77777777" w:rsidR="008C5CFA" w:rsidRPr="00BA47B4" w:rsidRDefault="008C5CFA" w:rsidP="00300A01">
            <w:pPr>
              <w:spacing w:before="0" w:after="0"/>
              <w:jc w:val="right"/>
              <w:rPr>
                <w:sz w:val="12"/>
                <w:szCs w:val="12"/>
                <w:lang w:val="fr-BE"/>
              </w:rPr>
            </w:pPr>
          </w:p>
        </w:tc>
        <w:tc>
          <w:tcPr>
            <w:tcW w:w="0" w:type="auto"/>
            <w:shd w:val="clear" w:color="auto" w:fill="auto"/>
          </w:tcPr>
          <w:p w14:paraId="6FC48DDE" w14:textId="77777777" w:rsidR="008C5CFA" w:rsidRPr="00BA47B4" w:rsidRDefault="008C5CFA" w:rsidP="00300A01">
            <w:pPr>
              <w:spacing w:before="0" w:after="0"/>
              <w:jc w:val="right"/>
              <w:rPr>
                <w:sz w:val="12"/>
                <w:szCs w:val="12"/>
                <w:lang w:val="fr-BE"/>
              </w:rPr>
            </w:pPr>
          </w:p>
        </w:tc>
        <w:tc>
          <w:tcPr>
            <w:tcW w:w="0" w:type="auto"/>
            <w:shd w:val="clear" w:color="auto" w:fill="auto"/>
          </w:tcPr>
          <w:p w14:paraId="628363A0" w14:textId="77777777" w:rsidR="008C5CFA" w:rsidRPr="00BA47B4" w:rsidRDefault="008C5CFA" w:rsidP="00300A01">
            <w:pPr>
              <w:spacing w:before="0" w:after="0"/>
              <w:jc w:val="right"/>
              <w:rPr>
                <w:sz w:val="12"/>
                <w:szCs w:val="12"/>
                <w:lang w:val="fr-BE"/>
              </w:rPr>
            </w:pPr>
          </w:p>
        </w:tc>
        <w:tc>
          <w:tcPr>
            <w:tcW w:w="0" w:type="auto"/>
            <w:shd w:val="clear" w:color="auto" w:fill="auto"/>
          </w:tcPr>
          <w:p w14:paraId="6591D334" w14:textId="77777777" w:rsidR="008C5CFA" w:rsidRPr="00BA47B4" w:rsidRDefault="00E82A60" w:rsidP="00300A01">
            <w:pPr>
              <w:spacing w:before="0" w:after="0"/>
              <w:jc w:val="right"/>
              <w:rPr>
                <w:sz w:val="12"/>
                <w:szCs w:val="12"/>
                <w:lang w:val="fr-BE"/>
              </w:rPr>
            </w:pPr>
            <w:r w:rsidRPr="00BA47B4">
              <w:rPr>
                <w:noProof/>
                <w:sz w:val="12"/>
                <w:szCs w:val="12"/>
                <w:lang w:val="fr-BE"/>
              </w:rPr>
              <w:t>6,00</w:t>
            </w:r>
          </w:p>
        </w:tc>
        <w:tc>
          <w:tcPr>
            <w:tcW w:w="0" w:type="auto"/>
            <w:shd w:val="clear" w:color="auto" w:fill="auto"/>
          </w:tcPr>
          <w:p w14:paraId="2660692E" w14:textId="77777777" w:rsidR="008C5CFA" w:rsidRPr="00BA47B4" w:rsidRDefault="008C5CFA" w:rsidP="00300A01">
            <w:pPr>
              <w:spacing w:before="0" w:after="0"/>
              <w:jc w:val="right"/>
              <w:rPr>
                <w:sz w:val="12"/>
                <w:szCs w:val="12"/>
                <w:lang w:val="fr-BE"/>
              </w:rPr>
            </w:pPr>
          </w:p>
        </w:tc>
        <w:tc>
          <w:tcPr>
            <w:tcW w:w="0" w:type="auto"/>
            <w:shd w:val="clear" w:color="auto" w:fill="auto"/>
          </w:tcPr>
          <w:p w14:paraId="5BAFC3C7" w14:textId="77777777" w:rsidR="008C5CFA" w:rsidRPr="00BA47B4" w:rsidRDefault="008C5CFA" w:rsidP="00300A01">
            <w:pPr>
              <w:spacing w:before="0" w:after="0"/>
              <w:jc w:val="right"/>
              <w:rPr>
                <w:sz w:val="12"/>
                <w:szCs w:val="12"/>
                <w:lang w:val="fr-BE"/>
              </w:rPr>
            </w:pPr>
          </w:p>
        </w:tc>
        <w:tc>
          <w:tcPr>
            <w:tcW w:w="0" w:type="auto"/>
            <w:shd w:val="clear" w:color="auto" w:fill="auto"/>
          </w:tcPr>
          <w:p w14:paraId="00F6A0BC" w14:textId="77777777" w:rsidR="008C5CFA" w:rsidRPr="00BA47B4" w:rsidRDefault="008C5CFA" w:rsidP="00300A01">
            <w:pPr>
              <w:spacing w:before="0" w:after="0"/>
              <w:jc w:val="right"/>
              <w:rPr>
                <w:sz w:val="12"/>
                <w:szCs w:val="12"/>
                <w:lang w:val="fr-BE"/>
              </w:rPr>
            </w:pPr>
          </w:p>
        </w:tc>
        <w:tc>
          <w:tcPr>
            <w:tcW w:w="0" w:type="auto"/>
            <w:shd w:val="clear" w:color="auto" w:fill="auto"/>
          </w:tcPr>
          <w:p w14:paraId="1080EDF1" w14:textId="77777777" w:rsidR="008C5CFA" w:rsidRPr="00BA47B4" w:rsidRDefault="008C5CFA" w:rsidP="00300A01">
            <w:pPr>
              <w:spacing w:before="0" w:after="0"/>
              <w:jc w:val="right"/>
              <w:rPr>
                <w:sz w:val="12"/>
                <w:szCs w:val="12"/>
                <w:lang w:val="fr-BE"/>
              </w:rPr>
            </w:pPr>
          </w:p>
        </w:tc>
        <w:tc>
          <w:tcPr>
            <w:tcW w:w="0" w:type="auto"/>
            <w:shd w:val="clear" w:color="auto" w:fill="auto"/>
          </w:tcPr>
          <w:p w14:paraId="3D34FF62" w14:textId="77777777" w:rsidR="008C5CFA" w:rsidRPr="00BA47B4" w:rsidRDefault="008C5CFA" w:rsidP="00300A01">
            <w:pPr>
              <w:spacing w:before="0" w:after="0"/>
              <w:jc w:val="right"/>
              <w:rPr>
                <w:sz w:val="12"/>
                <w:szCs w:val="12"/>
                <w:lang w:val="fr-BE"/>
              </w:rPr>
            </w:pPr>
          </w:p>
        </w:tc>
        <w:tc>
          <w:tcPr>
            <w:tcW w:w="0" w:type="auto"/>
          </w:tcPr>
          <w:p w14:paraId="353626DC" w14:textId="77777777" w:rsidR="008C5CFA" w:rsidRPr="00A92B39" w:rsidRDefault="00E82A60" w:rsidP="00300A01">
            <w:pPr>
              <w:spacing w:before="0" w:after="0"/>
              <w:jc w:val="right"/>
              <w:rPr>
                <w:sz w:val="10"/>
                <w:szCs w:val="10"/>
                <w:lang w:val="fr-BE"/>
              </w:rPr>
            </w:pPr>
            <w:r w:rsidRPr="00A92B39">
              <w:rPr>
                <w:noProof/>
                <w:sz w:val="10"/>
                <w:szCs w:val="10"/>
                <w:lang w:val="fr-BE"/>
              </w:rPr>
              <w:t>1,00</w:t>
            </w:r>
          </w:p>
        </w:tc>
        <w:tc>
          <w:tcPr>
            <w:tcW w:w="0" w:type="auto"/>
            <w:shd w:val="clear" w:color="auto" w:fill="auto"/>
          </w:tcPr>
          <w:p w14:paraId="797D9664" w14:textId="77777777" w:rsidR="008C5CFA" w:rsidRPr="00A92B39" w:rsidRDefault="008C5CFA" w:rsidP="00300A01">
            <w:pPr>
              <w:spacing w:before="0" w:after="0"/>
              <w:jc w:val="right"/>
              <w:rPr>
                <w:sz w:val="10"/>
                <w:szCs w:val="10"/>
                <w:lang w:val="fr-BE"/>
              </w:rPr>
            </w:pPr>
          </w:p>
        </w:tc>
        <w:tc>
          <w:tcPr>
            <w:tcW w:w="0" w:type="auto"/>
            <w:shd w:val="clear" w:color="auto" w:fill="auto"/>
          </w:tcPr>
          <w:p w14:paraId="61FF7DAD" w14:textId="77777777" w:rsidR="008C5CFA" w:rsidRPr="00BA47B4" w:rsidRDefault="008C5CFA" w:rsidP="00300A01">
            <w:pPr>
              <w:spacing w:before="0" w:after="0"/>
              <w:jc w:val="right"/>
              <w:rPr>
                <w:sz w:val="12"/>
                <w:szCs w:val="12"/>
                <w:lang w:val="fr-BE"/>
              </w:rPr>
            </w:pPr>
          </w:p>
        </w:tc>
      </w:tr>
      <w:tr w:rsidR="006B2EC1" w14:paraId="4C0F020C" w14:textId="77777777" w:rsidTr="0047688D">
        <w:tc>
          <w:tcPr>
            <w:tcW w:w="0" w:type="auto"/>
            <w:shd w:val="clear" w:color="auto" w:fill="auto"/>
          </w:tcPr>
          <w:p w14:paraId="0FEA68F0" w14:textId="77777777" w:rsidR="008C5CFA" w:rsidRPr="00BA47B4" w:rsidRDefault="00E82A60" w:rsidP="00300A01">
            <w:pPr>
              <w:spacing w:before="0" w:after="0"/>
              <w:rPr>
                <w:sz w:val="12"/>
                <w:szCs w:val="12"/>
                <w:lang w:val="fr-BE"/>
              </w:rPr>
            </w:pPr>
            <w:r>
              <w:rPr>
                <w:noProof/>
                <w:sz w:val="12"/>
                <w:szCs w:val="12"/>
                <w:lang w:val="fr-BE"/>
              </w:rPr>
              <w:t>CO22</w:t>
            </w:r>
          </w:p>
        </w:tc>
        <w:tc>
          <w:tcPr>
            <w:tcW w:w="0" w:type="auto"/>
            <w:shd w:val="clear" w:color="auto" w:fill="auto"/>
          </w:tcPr>
          <w:p w14:paraId="2EC872AA" w14:textId="77777777" w:rsidR="008C5CFA" w:rsidRPr="00BA47B4" w:rsidRDefault="00E82A60" w:rsidP="00300A01">
            <w:pPr>
              <w:spacing w:before="0" w:after="0"/>
              <w:rPr>
                <w:sz w:val="12"/>
                <w:szCs w:val="12"/>
                <w:lang w:val="fr-BE"/>
              </w:rPr>
            </w:pPr>
            <w:r>
              <w:rPr>
                <w:noProof/>
                <w:sz w:val="12"/>
                <w:szCs w:val="12"/>
                <w:lang w:val="fr-BE"/>
              </w:rPr>
              <w:t>liczba projektów obejmujących administrację publiczną lub służby publiczne na szczeblu krajowym, regionalnym lub lokalnym</w:t>
            </w:r>
          </w:p>
        </w:tc>
        <w:tc>
          <w:tcPr>
            <w:tcW w:w="0" w:type="auto"/>
            <w:shd w:val="clear" w:color="auto" w:fill="auto"/>
          </w:tcPr>
          <w:p w14:paraId="5AE3B56E" w14:textId="77777777" w:rsidR="008C5CFA" w:rsidRPr="00BA47B4" w:rsidRDefault="00E82A60"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14:paraId="6CB41659" w14:textId="77777777" w:rsidR="008C5CFA" w:rsidRPr="00BA47B4" w:rsidRDefault="008C5CFA" w:rsidP="00300A01">
            <w:pPr>
              <w:spacing w:before="0" w:after="0"/>
              <w:jc w:val="right"/>
              <w:rPr>
                <w:sz w:val="12"/>
                <w:szCs w:val="12"/>
                <w:lang w:val="fr-BE"/>
              </w:rPr>
            </w:pPr>
          </w:p>
        </w:tc>
        <w:tc>
          <w:tcPr>
            <w:tcW w:w="0" w:type="auto"/>
            <w:shd w:val="clear" w:color="auto" w:fill="auto"/>
          </w:tcPr>
          <w:p w14:paraId="53CA48EB" w14:textId="77777777" w:rsidR="008C5CFA" w:rsidRPr="00BA47B4" w:rsidRDefault="008C5CFA" w:rsidP="00300A01">
            <w:pPr>
              <w:spacing w:before="0" w:after="0"/>
              <w:jc w:val="right"/>
              <w:rPr>
                <w:sz w:val="12"/>
                <w:szCs w:val="12"/>
                <w:lang w:val="fr-BE"/>
              </w:rPr>
            </w:pPr>
          </w:p>
        </w:tc>
        <w:tc>
          <w:tcPr>
            <w:tcW w:w="0" w:type="auto"/>
            <w:shd w:val="clear" w:color="auto" w:fill="auto"/>
          </w:tcPr>
          <w:p w14:paraId="125C517D" w14:textId="77777777" w:rsidR="008C5CFA" w:rsidRPr="00BA47B4" w:rsidRDefault="008C5CFA" w:rsidP="00300A01">
            <w:pPr>
              <w:spacing w:before="0" w:after="0"/>
              <w:jc w:val="right"/>
              <w:rPr>
                <w:sz w:val="12"/>
                <w:szCs w:val="12"/>
                <w:lang w:val="fr-BE"/>
              </w:rPr>
            </w:pPr>
          </w:p>
        </w:tc>
        <w:tc>
          <w:tcPr>
            <w:tcW w:w="0" w:type="auto"/>
            <w:shd w:val="clear" w:color="auto" w:fill="auto"/>
          </w:tcPr>
          <w:p w14:paraId="7AAEF462" w14:textId="77777777" w:rsidR="008C5CFA" w:rsidRPr="00BA47B4" w:rsidRDefault="00E82A60" w:rsidP="00300A01">
            <w:pPr>
              <w:spacing w:before="0" w:after="0"/>
              <w:jc w:val="right"/>
              <w:rPr>
                <w:sz w:val="12"/>
                <w:szCs w:val="12"/>
                <w:lang w:val="fr-BE"/>
              </w:rPr>
            </w:pPr>
            <w:r w:rsidRPr="00BA47B4">
              <w:rPr>
                <w:noProof/>
                <w:sz w:val="12"/>
                <w:szCs w:val="12"/>
                <w:lang w:val="fr-BE"/>
              </w:rPr>
              <w:t>1,00</w:t>
            </w:r>
          </w:p>
        </w:tc>
        <w:tc>
          <w:tcPr>
            <w:tcW w:w="0" w:type="auto"/>
            <w:shd w:val="clear" w:color="auto" w:fill="auto"/>
          </w:tcPr>
          <w:p w14:paraId="24E25AD9" w14:textId="77777777" w:rsidR="008C5CFA" w:rsidRPr="00BA47B4" w:rsidRDefault="008C5CFA" w:rsidP="00300A01">
            <w:pPr>
              <w:spacing w:before="0" w:after="0"/>
              <w:jc w:val="right"/>
              <w:rPr>
                <w:sz w:val="12"/>
                <w:szCs w:val="12"/>
                <w:lang w:val="fr-BE"/>
              </w:rPr>
            </w:pPr>
          </w:p>
        </w:tc>
        <w:tc>
          <w:tcPr>
            <w:tcW w:w="0" w:type="auto"/>
            <w:shd w:val="clear" w:color="auto" w:fill="auto"/>
          </w:tcPr>
          <w:p w14:paraId="1AC40B6E" w14:textId="77777777" w:rsidR="008C5CFA" w:rsidRPr="00BA47B4" w:rsidRDefault="008C5CFA" w:rsidP="00300A01">
            <w:pPr>
              <w:spacing w:before="0" w:after="0"/>
              <w:jc w:val="right"/>
              <w:rPr>
                <w:sz w:val="12"/>
                <w:szCs w:val="12"/>
                <w:lang w:val="fr-BE"/>
              </w:rPr>
            </w:pPr>
          </w:p>
        </w:tc>
        <w:tc>
          <w:tcPr>
            <w:tcW w:w="0" w:type="auto"/>
            <w:shd w:val="clear" w:color="auto" w:fill="auto"/>
          </w:tcPr>
          <w:p w14:paraId="6DF73135" w14:textId="77777777" w:rsidR="008C5CFA" w:rsidRPr="00BA47B4" w:rsidRDefault="008C5CFA" w:rsidP="00300A01">
            <w:pPr>
              <w:spacing w:before="0" w:after="0"/>
              <w:jc w:val="right"/>
              <w:rPr>
                <w:sz w:val="12"/>
                <w:szCs w:val="12"/>
                <w:lang w:val="fr-BE"/>
              </w:rPr>
            </w:pPr>
          </w:p>
        </w:tc>
        <w:tc>
          <w:tcPr>
            <w:tcW w:w="0" w:type="auto"/>
            <w:shd w:val="clear" w:color="auto" w:fill="auto"/>
          </w:tcPr>
          <w:p w14:paraId="3F27AB93" w14:textId="77777777" w:rsidR="008C5CFA" w:rsidRPr="00BA47B4" w:rsidRDefault="008C5CFA" w:rsidP="00300A01">
            <w:pPr>
              <w:spacing w:before="0" w:after="0"/>
              <w:jc w:val="right"/>
              <w:rPr>
                <w:sz w:val="12"/>
                <w:szCs w:val="12"/>
                <w:lang w:val="fr-BE"/>
              </w:rPr>
            </w:pPr>
          </w:p>
        </w:tc>
        <w:tc>
          <w:tcPr>
            <w:tcW w:w="0" w:type="auto"/>
            <w:shd w:val="clear" w:color="auto" w:fill="auto"/>
          </w:tcPr>
          <w:p w14:paraId="6FEE00D7" w14:textId="77777777" w:rsidR="008C5CFA" w:rsidRPr="00BA47B4" w:rsidRDefault="008C5CFA" w:rsidP="00300A01">
            <w:pPr>
              <w:spacing w:before="0" w:after="0"/>
              <w:jc w:val="right"/>
              <w:rPr>
                <w:sz w:val="12"/>
                <w:szCs w:val="12"/>
                <w:lang w:val="fr-BE"/>
              </w:rPr>
            </w:pPr>
          </w:p>
        </w:tc>
        <w:tc>
          <w:tcPr>
            <w:tcW w:w="0" w:type="auto"/>
          </w:tcPr>
          <w:p w14:paraId="18A31B2A"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14:paraId="4455D2D4" w14:textId="77777777" w:rsidR="008C5CFA" w:rsidRPr="00A92B39" w:rsidRDefault="008C5CFA" w:rsidP="00300A01">
            <w:pPr>
              <w:spacing w:before="0" w:after="0"/>
              <w:jc w:val="right"/>
              <w:rPr>
                <w:sz w:val="10"/>
                <w:szCs w:val="10"/>
                <w:lang w:val="fr-BE"/>
              </w:rPr>
            </w:pPr>
          </w:p>
        </w:tc>
        <w:tc>
          <w:tcPr>
            <w:tcW w:w="0" w:type="auto"/>
            <w:shd w:val="clear" w:color="auto" w:fill="auto"/>
          </w:tcPr>
          <w:p w14:paraId="2B85EE2D" w14:textId="77777777" w:rsidR="008C5CFA" w:rsidRPr="00BA47B4" w:rsidRDefault="008C5CFA" w:rsidP="00300A01">
            <w:pPr>
              <w:spacing w:before="0" w:after="0"/>
              <w:jc w:val="right"/>
              <w:rPr>
                <w:sz w:val="12"/>
                <w:szCs w:val="12"/>
                <w:lang w:val="fr-BE"/>
              </w:rPr>
            </w:pPr>
          </w:p>
        </w:tc>
      </w:tr>
      <w:tr w:rsidR="006B2EC1" w14:paraId="38F7799E" w14:textId="77777777" w:rsidTr="0047688D">
        <w:tc>
          <w:tcPr>
            <w:tcW w:w="0" w:type="auto"/>
            <w:shd w:val="clear" w:color="auto" w:fill="auto"/>
          </w:tcPr>
          <w:p w14:paraId="76CE6E0F" w14:textId="77777777" w:rsidR="008C5CFA" w:rsidRPr="00BA47B4" w:rsidRDefault="00E82A60" w:rsidP="00300A01">
            <w:pPr>
              <w:spacing w:before="0" w:after="0"/>
              <w:rPr>
                <w:sz w:val="12"/>
                <w:szCs w:val="12"/>
                <w:lang w:val="fr-BE"/>
              </w:rPr>
            </w:pPr>
            <w:r>
              <w:rPr>
                <w:noProof/>
                <w:sz w:val="12"/>
                <w:szCs w:val="12"/>
                <w:lang w:val="fr-BE"/>
              </w:rPr>
              <w:t>CO23</w:t>
            </w:r>
          </w:p>
        </w:tc>
        <w:tc>
          <w:tcPr>
            <w:tcW w:w="0" w:type="auto"/>
            <w:shd w:val="clear" w:color="auto" w:fill="auto"/>
          </w:tcPr>
          <w:p w14:paraId="68611E46" w14:textId="77777777" w:rsidR="008C5CFA" w:rsidRPr="00BA47B4" w:rsidRDefault="00E82A60" w:rsidP="00300A01">
            <w:pPr>
              <w:spacing w:before="0" w:after="0"/>
              <w:rPr>
                <w:sz w:val="12"/>
                <w:szCs w:val="12"/>
                <w:lang w:val="fr-BE"/>
              </w:rPr>
            </w:pPr>
            <w:r>
              <w:rPr>
                <w:noProof/>
                <w:sz w:val="12"/>
                <w:szCs w:val="12"/>
                <w:lang w:val="fr-BE"/>
              </w:rPr>
              <w:t>liczba objętych wsparciem mikro-, małych i średnich przedsiębiorstw (w tym przedsiębiorstw spółdzielczych i przedsiębiorstw gospodarki społecznej)</w:t>
            </w:r>
          </w:p>
        </w:tc>
        <w:tc>
          <w:tcPr>
            <w:tcW w:w="0" w:type="auto"/>
            <w:shd w:val="clear" w:color="auto" w:fill="auto"/>
          </w:tcPr>
          <w:p w14:paraId="70D341C3" w14:textId="77777777" w:rsidR="008C5CFA" w:rsidRPr="00BA47B4" w:rsidRDefault="00E82A60"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14:paraId="738EC9FA" w14:textId="77777777" w:rsidR="008C5CFA" w:rsidRPr="00BA47B4" w:rsidRDefault="008C5CFA" w:rsidP="00300A01">
            <w:pPr>
              <w:spacing w:before="0" w:after="0"/>
              <w:jc w:val="right"/>
              <w:rPr>
                <w:sz w:val="12"/>
                <w:szCs w:val="12"/>
                <w:lang w:val="fr-BE"/>
              </w:rPr>
            </w:pPr>
          </w:p>
        </w:tc>
        <w:tc>
          <w:tcPr>
            <w:tcW w:w="0" w:type="auto"/>
            <w:shd w:val="clear" w:color="auto" w:fill="auto"/>
          </w:tcPr>
          <w:p w14:paraId="47E76AA4" w14:textId="77777777" w:rsidR="008C5CFA" w:rsidRPr="00BA47B4" w:rsidRDefault="008C5CFA" w:rsidP="00300A01">
            <w:pPr>
              <w:spacing w:before="0" w:after="0"/>
              <w:jc w:val="right"/>
              <w:rPr>
                <w:sz w:val="12"/>
                <w:szCs w:val="12"/>
                <w:lang w:val="fr-BE"/>
              </w:rPr>
            </w:pPr>
          </w:p>
        </w:tc>
        <w:tc>
          <w:tcPr>
            <w:tcW w:w="0" w:type="auto"/>
            <w:shd w:val="clear" w:color="auto" w:fill="auto"/>
          </w:tcPr>
          <w:p w14:paraId="13F2E1EF" w14:textId="77777777" w:rsidR="008C5CFA" w:rsidRPr="00BA47B4" w:rsidRDefault="008C5CFA" w:rsidP="00300A01">
            <w:pPr>
              <w:spacing w:before="0" w:after="0"/>
              <w:jc w:val="right"/>
              <w:rPr>
                <w:sz w:val="12"/>
                <w:szCs w:val="12"/>
                <w:lang w:val="fr-BE"/>
              </w:rPr>
            </w:pPr>
          </w:p>
        </w:tc>
        <w:tc>
          <w:tcPr>
            <w:tcW w:w="0" w:type="auto"/>
            <w:shd w:val="clear" w:color="auto" w:fill="auto"/>
          </w:tcPr>
          <w:p w14:paraId="67D244D2" w14:textId="77777777" w:rsidR="008C5CFA" w:rsidRPr="00BA47B4" w:rsidRDefault="00E82A60" w:rsidP="00300A01">
            <w:pPr>
              <w:spacing w:before="0" w:after="0"/>
              <w:jc w:val="right"/>
              <w:rPr>
                <w:sz w:val="12"/>
                <w:szCs w:val="12"/>
                <w:lang w:val="fr-BE"/>
              </w:rPr>
            </w:pPr>
            <w:r w:rsidRPr="00BA47B4">
              <w:rPr>
                <w:noProof/>
                <w:sz w:val="12"/>
                <w:szCs w:val="12"/>
                <w:lang w:val="fr-BE"/>
              </w:rPr>
              <w:t>7,00</w:t>
            </w:r>
          </w:p>
        </w:tc>
        <w:tc>
          <w:tcPr>
            <w:tcW w:w="0" w:type="auto"/>
            <w:shd w:val="clear" w:color="auto" w:fill="auto"/>
          </w:tcPr>
          <w:p w14:paraId="08A71292" w14:textId="77777777" w:rsidR="008C5CFA" w:rsidRPr="00BA47B4" w:rsidRDefault="008C5CFA" w:rsidP="00300A01">
            <w:pPr>
              <w:spacing w:before="0" w:after="0"/>
              <w:jc w:val="right"/>
              <w:rPr>
                <w:sz w:val="12"/>
                <w:szCs w:val="12"/>
                <w:lang w:val="fr-BE"/>
              </w:rPr>
            </w:pPr>
          </w:p>
        </w:tc>
        <w:tc>
          <w:tcPr>
            <w:tcW w:w="0" w:type="auto"/>
            <w:shd w:val="clear" w:color="auto" w:fill="auto"/>
          </w:tcPr>
          <w:p w14:paraId="0C801C32" w14:textId="77777777" w:rsidR="008C5CFA" w:rsidRPr="00BA47B4" w:rsidRDefault="008C5CFA" w:rsidP="00300A01">
            <w:pPr>
              <w:spacing w:before="0" w:after="0"/>
              <w:jc w:val="right"/>
              <w:rPr>
                <w:sz w:val="12"/>
                <w:szCs w:val="12"/>
                <w:lang w:val="fr-BE"/>
              </w:rPr>
            </w:pPr>
          </w:p>
        </w:tc>
        <w:tc>
          <w:tcPr>
            <w:tcW w:w="0" w:type="auto"/>
            <w:shd w:val="clear" w:color="auto" w:fill="auto"/>
          </w:tcPr>
          <w:p w14:paraId="29C663A3" w14:textId="77777777" w:rsidR="008C5CFA" w:rsidRPr="00BA47B4" w:rsidRDefault="008C5CFA" w:rsidP="00300A01">
            <w:pPr>
              <w:spacing w:before="0" w:after="0"/>
              <w:jc w:val="right"/>
              <w:rPr>
                <w:sz w:val="12"/>
                <w:szCs w:val="12"/>
                <w:lang w:val="fr-BE"/>
              </w:rPr>
            </w:pPr>
          </w:p>
        </w:tc>
        <w:tc>
          <w:tcPr>
            <w:tcW w:w="0" w:type="auto"/>
            <w:shd w:val="clear" w:color="auto" w:fill="auto"/>
          </w:tcPr>
          <w:p w14:paraId="3AE923E8" w14:textId="77777777" w:rsidR="008C5CFA" w:rsidRPr="00BA47B4" w:rsidRDefault="008C5CFA" w:rsidP="00300A01">
            <w:pPr>
              <w:spacing w:before="0" w:after="0"/>
              <w:jc w:val="right"/>
              <w:rPr>
                <w:sz w:val="12"/>
                <w:szCs w:val="12"/>
                <w:lang w:val="fr-BE"/>
              </w:rPr>
            </w:pPr>
          </w:p>
        </w:tc>
        <w:tc>
          <w:tcPr>
            <w:tcW w:w="0" w:type="auto"/>
            <w:shd w:val="clear" w:color="auto" w:fill="auto"/>
          </w:tcPr>
          <w:p w14:paraId="1D133DE5" w14:textId="77777777" w:rsidR="008C5CFA" w:rsidRPr="00BA47B4" w:rsidRDefault="008C5CFA" w:rsidP="00300A01">
            <w:pPr>
              <w:spacing w:before="0" w:after="0"/>
              <w:jc w:val="right"/>
              <w:rPr>
                <w:sz w:val="12"/>
                <w:szCs w:val="12"/>
                <w:lang w:val="fr-BE"/>
              </w:rPr>
            </w:pPr>
          </w:p>
        </w:tc>
        <w:tc>
          <w:tcPr>
            <w:tcW w:w="0" w:type="auto"/>
          </w:tcPr>
          <w:p w14:paraId="063A4007" w14:textId="77777777" w:rsidR="008C5CFA" w:rsidRPr="00A92B39" w:rsidRDefault="00E82A60" w:rsidP="00300A01">
            <w:pPr>
              <w:spacing w:before="0" w:after="0"/>
              <w:jc w:val="right"/>
              <w:rPr>
                <w:sz w:val="10"/>
                <w:szCs w:val="10"/>
                <w:lang w:val="fr-BE"/>
              </w:rPr>
            </w:pPr>
            <w:r w:rsidRPr="00A92B39">
              <w:rPr>
                <w:noProof/>
                <w:sz w:val="10"/>
                <w:szCs w:val="10"/>
                <w:lang w:val="fr-BE"/>
              </w:rPr>
              <w:t>2,00</w:t>
            </w:r>
          </w:p>
        </w:tc>
        <w:tc>
          <w:tcPr>
            <w:tcW w:w="0" w:type="auto"/>
            <w:shd w:val="clear" w:color="auto" w:fill="auto"/>
          </w:tcPr>
          <w:p w14:paraId="03B70B1D" w14:textId="77777777" w:rsidR="008C5CFA" w:rsidRPr="00A92B39" w:rsidRDefault="008C5CFA" w:rsidP="00300A01">
            <w:pPr>
              <w:spacing w:before="0" w:after="0"/>
              <w:jc w:val="right"/>
              <w:rPr>
                <w:sz w:val="10"/>
                <w:szCs w:val="10"/>
                <w:lang w:val="fr-BE"/>
              </w:rPr>
            </w:pPr>
          </w:p>
        </w:tc>
        <w:tc>
          <w:tcPr>
            <w:tcW w:w="0" w:type="auto"/>
            <w:shd w:val="clear" w:color="auto" w:fill="auto"/>
          </w:tcPr>
          <w:p w14:paraId="2031FE5A" w14:textId="77777777" w:rsidR="008C5CFA" w:rsidRPr="00BA47B4" w:rsidRDefault="008C5CFA" w:rsidP="00300A01">
            <w:pPr>
              <w:spacing w:before="0" w:after="0"/>
              <w:jc w:val="right"/>
              <w:rPr>
                <w:sz w:val="12"/>
                <w:szCs w:val="12"/>
                <w:lang w:val="fr-BE"/>
              </w:rPr>
            </w:pPr>
          </w:p>
        </w:tc>
      </w:tr>
      <w:tr w:rsidR="006B2EC1" w14:paraId="7DCA97D4" w14:textId="77777777" w:rsidTr="0047688D">
        <w:tc>
          <w:tcPr>
            <w:tcW w:w="0" w:type="auto"/>
            <w:shd w:val="clear" w:color="auto" w:fill="auto"/>
          </w:tcPr>
          <w:p w14:paraId="090181B6" w14:textId="77777777" w:rsidR="008C5CFA" w:rsidRPr="00BA47B4" w:rsidRDefault="008C5CFA" w:rsidP="00300A01">
            <w:pPr>
              <w:spacing w:before="0" w:after="0"/>
              <w:rPr>
                <w:sz w:val="12"/>
                <w:szCs w:val="12"/>
                <w:lang w:val="fr-BE"/>
              </w:rPr>
            </w:pPr>
          </w:p>
        </w:tc>
        <w:tc>
          <w:tcPr>
            <w:tcW w:w="0" w:type="auto"/>
            <w:shd w:val="clear" w:color="auto" w:fill="auto"/>
          </w:tcPr>
          <w:p w14:paraId="19D9D865" w14:textId="77777777" w:rsidR="008C5CFA" w:rsidRPr="00BA47B4" w:rsidRDefault="00E82A60" w:rsidP="00300A01">
            <w:pPr>
              <w:spacing w:before="0" w:after="0"/>
              <w:rPr>
                <w:sz w:val="12"/>
                <w:szCs w:val="12"/>
                <w:lang w:val="fr-BE"/>
              </w:rPr>
            </w:pPr>
            <w:r>
              <w:rPr>
                <w:noProof/>
                <w:sz w:val="12"/>
                <w:szCs w:val="12"/>
                <w:lang w:val="fr-BE"/>
              </w:rPr>
              <w:t>Całkowita łączna liczba uczestników</w:t>
            </w:r>
          </w:p>
        </w:tc>
        <w:tc>
          <w:tcPr>
            <w:tcW w:w="0" w:type="auto"/>
            <w:shd w:val="clear" w:color="auto" w:fill="auto"/>
          </w:tcPr>
          <w:p w14:paraId="554F53C9" w14:textId="77777777" w:rsidR="008C5CFA" w:rsidRPr="00BA47B4" w:rsidRDefault="008C5CFA" w:rsidP="00300A01">
            <w:pPr>
              <w:spacing w:before="0" w:after="0"/>
              <w:rPr>
                <w:sz w:val="12"/>
                <w:szCs w:val="12"/>
                <w:lang w:val="fr-BE"/>
              </w:rPr>
            </w:pPr>
          </w:p>
        </w:tc>
        <w:tc>
          <w:tcPr>
            <w:tcW w:w="0" w:type="auto"/>
            <w:shd w:val="clear" w:color="auto" w:fill="auto"/>
          </w:tcPr>
          <w:p w14:paraId="5F4E2F98" w14:textId="77777777" w:rsidR="008C5CFA" w:rsidRPr="00BA47B4" w:rsidRDefault="008C5CFA" w:rsidP="00300A01">
            <w:pPr>
              <w:spacing w:before="0" w:after="0"/>
              <w:jc w:val="right"/>
              <w:rPr>
                <w:sz w:val="12"/>
                <w:szCs w:val="12"/>
                <w:lang w:val="fr-BE"/>
              </w:rPr>
            </w:pPr>
          </w:p>
        </w:tc>
        <w:tc>
          <w:tcPr>
            <w:tcW w:w="0" w:type="auto"/>
            <w:shd w:val="clear" w:color="auto" w:fill="auto"/>
          </w:tcPr>
          <w:p w14:paraId="5584B16F" w14:textId="77777777" w:rsidR="008C5CFA" w:rsidRPr="00BA47B4" w:rsidRDefault="008C5CFA" w:rsidP="00300A01">
            <w:pPr>
              <w:spacing w:before="0" w:after="0"/>
              <w:jc w:val="right"/>
              <w:rPr>
                <w:sz w:val="12"/>
                <w:szCs w:val="12"/>
                <w:lang w:val="fr-BE"/>
              </w:rPr>
            </w:pPr>
          </w:p>
        </w:tc>
        <w:tc>
          <w:tcPr>
            <w:tcW w:w="0" w:type="auto"/>
            <w:shd w:val="clear" w:color="auto" w:fill="auto"/>
          </w:tcPr>
          <w:p w14:paraId="5E97D9A5" w14:textId="77777777" w:rsidR="008C5CFA" w:rsidRPr="00BA47B4" w:rsidRDefault="008C5CFA" w:rsidP="00300A01">
            <w:pPr>
              <w:spacing w:before="0" w:after="0"/>
              <w:jc w:val="right"/>
              <w:rPr>
                <w:sz w:val="12"/>
                <w:szCs w:val="12"/>
                <w:lang w:val="fr-BE"/>
              </w:rPr>
            </w:pPr>
          </w:p>
        </w:tc>
        <w:tc>
          <w:tcPr>
            <w:tcW w:w="0" w:type="auto"/>
            <w:shd w:val="clear" w:color="auto" w:fill="auto"/>
          </w:tcPr>
          <w:p w14:paraId="0285857B" w14:textId="77777777" w:rsidR="008C5CFA" w:rsidRPr="00BA47B4" w:rsidRDefault="00E82A60" w:rsidP="00300A01">
            <w:pPr>
              <w:spacing w:before="0" w:after="0"/>
              <w:jc w:val="right"/>
              <w:rPr>
                <w:sz w:val="12"/>
                <w:szCs w:val="12"/>
                <w:lang w:val="fr-BE"/>
              </w:rPr>
            </w:pPr>
            <w:r w:rsidRPr="00BA47B4">
              <w:rPr>
                <w:noProof/>
                <w:sz w:val="12"/>
                <w:szCs w:val="12"/>
                <w:lang w:val="fr-BE"/>
              </w:rPr>
              <w:t>1 805,00</w:t>
            </w:r>
          </w:p>
        </w:tc>
        <w:tc>
          <w:tcPr>
            <w:tcW w:w="0" w:type="auto"/>
            <w:shd w:val="clear" w:color="auto" w:fill="auto"/>
          </w:tcPr>
          <w:p w14:paraId="575E80CC" w14:textId="77777777" w:rsidR="008C5CFA" w:rsidRPr="00BA47B4" w:rsidRDefault="008C5CFA" w:rsidP="00300A01">
            <w:pPr>
              <w:spacing w:before="0" w:after="0"/>
              <w:jc w:val="right"/>
              <w:rPr>
                <w:sz w:val="12"/>
                <w:szCs w:val="12"/>
                <w:lang w:val="fr-BE"/>
              </w:rPr>
            </w:pPr>
          </w:p>
        </w:tc>
        <w:tc>
          <w:tcPr>
            <w:tcW w:w="0" w:type="auto"/>
            <w:shd w:val="clear" w:color="auto" w:fill="auto"/>
          </w:tcPr>
          <w:p w14:paraId="5F7FE608" w14:textId="77777777" w:rsidR="008C5CFA" w:rsidRPr="00BA47B4" w:rsidRDefault="008C5CFA" w:rsidP="00300A01">
            <w:pPr>
              <w:spacing w:before="0" w:after="0"/>
              <w:jc w:val="right"/>
              <w:rPr>
                <w:sz w:val="12"/>
                <w:szCs w:val="12"/>
                <w:lang w:val="fr-BE"/>
              </w:rPr>
            </w:pPr>
          </w:p>
        </w:tc>
        <w:tc>
          <w:tcPr>
            <w:tcW w:w="0" w:type="auto"/>
            <w:shd w:val="clear" w:color="auto" w:fill="auto"/>
          </w:tcPr>
          <w:p w14:paraId="48A89C2B" w14:textId="77777777" w:rsidR="008C5CFA" w:rsidRPr="00BA47B4" w:rsidRDefault="008C5CFA" w:rsidP="00300A01">
            <w:pPr>
              <w:spacing w:before="0" w:after="0"/>
              <w:jc w:val="right"/>
              <w:rPr>
                <w:sz w:val="12"/>
                <w:szCs w:val="12"/>
                <w:lang w:val="fr-BE"/>
              </w:rPr>
            </w:pPr>
          </w:p>
        </w:tc>
        <w:tc>
          <w:tcPr>
            <w:tcW w:w="0" w:type="auto"/>
            <w:shd w:val="clear" w:color="auto" w:fill="auto"/>
          </w:tcPr>
          <w:p w14:paraId="077C009B" w14:textId="77777777" w:rsidR="008C5CFA" w:rsidRPr="00BA47B4" w:rsidRDefault="008C5CFA" w:rsidP="00300A01">
            <w:pPr>
              <w:spacing w:before="0" w:after="0"/>
              <w:jc w:val="right"/>
              <w:rPr>
                <w:sz w:val="12"/>
                <w:szCs w:val="12"/>
                <w:lang w:val="fr-BE"/>
              </w:rPr>
            </w:pPr>
          </w:p>
        </w:tc>
        <w:tc>
          <w:tcPr>
            <w:tcW w:w="0" w:type="auto"/>
            <w:shd w:val="clear" w:color="auto" w:fill="auto"/>
          </w:tcPr>
          <w:p w14:paraId="3B2FEBC3" w14:textId="77777777" w:rsidR="008C5CFA" w:rsidRPr="00BA47B4" w:rsidRDefault="008C5CFA" w:rsidP="00300A01">
            <w:pPr>
              <w:spacing w:before="0" w:after="0"/>
              <w:jc w:val="right"/>
              <w:rPr>
                <w:sz w:val="12"/>
                <w:szCs w:val="12"/>
                <w:lang w:val="fr-BE"/>
              </w:rPr>
            </w:pPr>
          </w:p>
        </w:tc>
        <w:tc>
          <w:tcPr>
            <w:tcW w:w="0" w:type="auto"/>
          </w:tcPr>
          <w:p w14:paraId="38746D2F" w14:textId="77777777" w:rsidR="008C5CFA" w:rsidRPr="00A92B39" w:rsidRDefault="00E82A60" w:rsidP="00300A01">
            <w:pPr>
              <w:spacing w:before="0" w:after="0"/>
              <w:jc w:val="right"/>
              <w:rPr>
                <w:sz w:val="10"/>
                <w:szCs w:val="10"/>
                <w:lang w:val="fr-BE"/>
              </w:rPr>
            </w:pPr>
            <w:r w:rsidRPr="00A92B39">
              <w:rPr>
                <w:noProof/>
                <w:sz w:val="10"/>
                <w:szCs w:val="10"/>
                <w:lang w:val="fr-BE"/>
              </w:rPr>
              <w:t>348,00</w:t>
            </w:r>
          </w:p>
        </w:tc>
        <w:tc>
          <w:tcPr>
            <w:tcW w:w="0" w:type="auto"/>
            <w:shd w:val="clear" w:color="auto" w:fill="auto"/>
          </w:tcPr>
          <w:p w14:paraId="658D79A4" w14:textId="77777777" w:rsidR="008C5CFA" w:rsidRPr="00A92B39" w:rsidRDefault="008C5CFA" w:rsidP="00300A01">
            <w:pPr>
              <w:spacing w:before="0" w:after="0"/>
              <w:jc w:val="right"/>
              <w:rPr>
                <w:sz w:val="10"/>
                <w:szCs w:val="10"/>
                <w:lang w:val="fr-BE"/>
              </w:rPr>
            </w:pPr>
          </w:p>
        </w:tc>
        <w:tc>
          <w:tcPr>
            <w:tcW w:w="0" w:type="auto"/>
            <w:shd w:val="clear" w:color="auto" w:fill="auto"/>
          </w:tcPr>
          <w:p w14:paraId="7F80730C" w14:textId="77777777" w:rsidR="008C5CFA" w:rsidRPr="00BA47B4" w:rsidRDefault="008C5CFA" w:rsidP="00300A01">
            <w:pPr>
              <w:spacing w:before="0" w:after="0"/>
              <w:jc w:val="right"/>
              <w:rPr>
                <w:sz w:val="12"/>
                <w:szCs w:val="12"/>
                <w:lang w:val="fr-BE"/>
              </w:rPr>
            </w:pPr>
          </w:p>
        </w:tc>
      </w:tr>
    </w:tbl>
    <w:p w14:paraId="602FA59C"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52"/>
        <w:gridCol w:w="7887"/>
        <w:gridCol w:w="1349"/>
        <w:gridCol w:w="561"/>
        <w:gridCol w:w="710"/>
        <w:gridCol w:w="561"/>
        <w:gridCol w:w="561"/>
        <w:gridCol w:w="710"/>
        <w:gridCol w:w="561"/>
        <w:gridCol w:w="561"/>
        <w:gridCol w:w="710"/>
        <w:gridCol w:w="561"/>
      </w:tblGrid>
      <w:tr w:rsidR="006B2EC1" w14:paraId="1BC6FC9F" w14:textId="77777777" w:rsidTr="0047688D">
        <w:tc>
          <w:tcPr>
            <w:tcW w:w="0" w:type="auto"/>
            <w:shd w:val="clear" w:color="auto" w:fill="auto"/>
          </w:tcPr>
          <w:p w14:paraId="1EF14CC8" w14:textId="77777777" w:rsidR="008C5CFA" w:rsidRPr="001C4484" w:rsidRDefault="00E82A60" w:rsidP="00300A01">
            <w:pPr>
              <w:spacing w:before="0" w:after="0"/>
              <w:rPr>
                <w:sz w:val="10"/>
                <w:szCs w:val="10"/>
              </w:rPr>
            </w:pPr>
            <w:r w:rsidRPr="001C4484">
              <w:rPr>
                <w:b/>
                <w:noProof/>
                <w:sz w:val="12"/>
                <w:szCs w:val="12"/>
                <w:lang w:val="fr-BE"/>
              </w:rPr>
              <w:t>ID</w:t>
            </w:r>
          </w:p>
        </w:tc>
        <w:tc>
          <w:tcPr>
            <w:tcW w:w="0" w:type="auto"/>
            <w:shd w:val="clear" w:color="auto" w:fill="auto"/>
          </w:tcPr>
          <w:p w14:paraId="2A1B58D8" w14:textId="77777777" w:rsidR="008C5CFA" w:rsidRPr="001C4484" w:rsidRDefault="00E82A60" w:rsidP="00300A01">
            <w:pPr>
              <w:spacing w:before="0" w:after="0"/>
              <w:rPr>
                <w:sz w:val="10"/>
                <w:szCs w:val="10"/>
              </w:rPr>
            </w:pPr>
            <w:r w:rsidRPr="001C4484">
              <w:rPr>
                <w:b/>
                <w:noProof/>
                <w:sz w:val="12"/>
                <w:szCs w:val="12"/>
                <w:lang w:val="fr-BE"/>
              </w:rPr>
              <w:t>Wskaźnik</w:t>
            </w:r>
          </w:p>
        </w:tc>
        <w:tc>
          <w:tcPr>
            <w:tcW w:w="0" w:type="auto"/>
            <w:shd w:val="clear" w:color="auto" w:fill="auto"/>
          </w:tcPr>
          <w:p w14:paraId="762C152E" w14:textId="77777777" w:rsidR="008C5CFA" w:rsidRPr="001C4484" w:rsidRDefault="00E82A60" w:rsidP="00300A01">
            <w:pPr>
              <w:spacing w:before="0" w:after="0"/>
              <w:rPr>
                <w:sz w:val="10"/>
                <w:szCs w:val="10"/>
              </w:rPr>
            </w:pPr>
            <w:r w:rsidRPr="001C4484">
              <w:rPr>
                <w:b/>
                <w:noProof/>
                <w:sz w:val="12"/>
                <w:szCs w:val="12"/>
                <w:lang w:val="fr-BE"/>
              </w:rPr>
              <w:t>Kategoria regionu</w:t>
            </w:r>
          </w:p>
        </w:tc>
        <w:tc>
          <w:tcPr>
            <w:tcW w:w="0" w:type="auto"/>
            <w:gridSpan w:val="3"/>
          </w:tcPr>
          <w:p w14:paraId="14358731" w14:textId="77777777" w:rsidR="008C5CFA" w:rsidRPr="001C4484" w:rsidRDefault="00E82A60" w:rsidP="00300A01">
            <w:pPr>
              <w:spacing w:before="0" w:after="0"/>
              <w:jc w:val="center"/>
              <w:rPr>
                <w:sz w:val="10"/>
                <w:szCs w:val="10"/>
              </w:rPr>
            </w:pPr>
            <w:r w:rsidRPr="001C4484">
              <w:rPr>
                <w:sz w:val="10"/>
                <w:szCs w:val="10"/>
              </w:rPr>
              <w:t>2018</w:t>
            </w:r>
          </w:p>
        </w:tc>
        <w:tc>
          <w:tcPr>
            <w:tcW w:w="0" w:type="auto"/>
            <w:gridSpan w:val="3"/>
          </w:tcPr>
          <w:p w14:paraId="6490117B" w14:textId="77777777" w:rsidR="008C5CFA" w:rsidRPr="001C4484" w:rsidRDefault="00E82A60" w:rsidP="00300A01">
            <w:pPr>
              <w:spacing w:before="0" w:after="0"/>
              <w:jc w:val="center"/>
              <w:rPr>
                <w:sz w:val="10"/>
                <w:szCs w:val="10"/>
              </w:rPr>
            </w:pPr>
            <w:r w:rsidRPr="001C4484">
              <w:rPr>
                <w:sz w:val="10"/>
                <w:szCs w:val="10"/>
              </w:rPr>
              <w:t>2017</w:t>
            </w:r>
          </w:p>
        </w:tc>
        <w:tc>
          <w:tcPr>
            <w:tcW w:w="0" w:type="auto"/>
            <w:gridSpan w:val="3"/>
          </w:tcPr>
          <w:p w14:paraId="05FB7BBF" w14:textId="77777777" w:rsidR="008C5CFA" w:rsidRPr="001C4484" w:rsidRDefault="00E82A60" w:rsidP="00300A01">
            <w:pPr>
              <w:spacing w:before="0" w:after="0"/>
              <w:jc w:val="center"/>
              <w:rPr>
                <w:sz w:val="10"/>
                <w:szCs w:val="10"/>
              </w:rPr>
            </w:pPr>
            <w:r w:rsidRPr="001C4484">
              <w:rPr>
                <w:sz w:val="10"/>
                <w:szCs w:val="10"/>
              </w:rPr>
              <w:t>2016</w:t>
            </w:r>
          </w:p>
        </w:tc>
      </w:tr>
      <w:tr w:rsidR="006B2EC1" w14:paraId="57E6EB9C" w14:textId="77777777" w:rsidTr="0047688D">
        <w:tc>
          <w:tcPr>
            <w:tcW w:w="0" w:type="auto"/>
            <w:shd w:val="clear" w:color="auto" w:fill="auto"/>
          </w:tcPr>
          <w:p w14:paraId="3BD61603" w14:textId="77777777" w:rsidR="008C5CFA" w:rsidRPr="001C4484" w:rsidRDefault="008C5CFA" w:rsidP="00300A01">
            <w:pPr>
              <w:spacing w:before="0" w:after="0"/>
              <w:rPr>
                <w:sz w:val="10"/>
                <w:szCs w:val="10"/>
              </w:rPr>
            </w:pPr>
          </w:p>
        </w:tc>
        <w:tc>
          <w:tcPr>
            <w:tcW w:w="0" w:type="auto"/>
            <w:shd w:val="clear" w:color="auto" w:fill="auto"/>
          </w:tcPr>
          <w:p w14:paraId="1F17380D" w14:textId="77777777" w:rsidR="008C5CFA" w:rsidRPr="001C4484" w:rsidRDefault="008C5CFA" w:rsidP="00300A01">
            <w:pPr>
              <w:spacing w:before="0" w:after="0"/>
              <w:rPr>
                <w:sz w:val="10"/>
                <w:szCs w:val="10"/>
              </w:rPr>
            </w:pPr>
          </w:p>
        </w:tc>
        <w:tc>
          <w:tcPr>
            <w:tcW w:w="0" w:type="auto"/>
            <w:shd w:val="clear" w:color="auto" w:fill="auto"/>
          </w:tcPr>
          <w:p w14:paraId="58CDFEB9" w14:textId="77777777" w:rsidR="008C5CFA" w:rsidRPr="001C4484" w:rsidRDefault="008C5CFA" w:rsidP="00300A01">
            <w:pPr>
              <w:spacing w:before="0" w:after="0"/>
              <w:rPr>
                <w:sz w:val="10"/>
                <w:szCs w:val="10"/>
              </w:rPr>
            </w:pPr>
          </w:p>
        </w:tc>
        <w:tc>
          <w:tcPr>
            <w:tcW w:w="0" w:type="auto"/>
          </w:tcPr>
          <w:p w14:paraId="71B1DB4B" w14:textId="77777777" w:rsidR="008C5CFA" w:rsidRPr="001C4484" w:rsidRDefault="00E82A60" w:rsidP="00300A01">
            <w:pPr>
              <w:spacing w:before="0" w:after="0"/>
              <w:jc w:val="center"/>
              <w:rPr>
                <w:sz w:val="10"/>
                <w:szCs w:val="10"/>
              </w:rPr>
            </w:pPr>
            <w:r>
              <w:rPr>
                <w:noProof/>
                <w:sz w:val="10"/>
                <w:szCs w:val="10"/>
              </w:rPr>
              <w:t>Ogółem</w:t>
            </w:r>
          </w:p>
        </w:tc>
        <w:tc>
          <w:tcPr>
            <w:tcW w:w="0" w:type="auto"/>
            <w:shd w:val="clear" w:color="auto" w:fill="auto"/>
          </w:tcPr>
          <w:p w14:paraId="4F36AF27" w14:textId="77777777" w:rsidR="008C5CFA" w:rsidRPr="001C4484" w:rsidRDefault="00E82A60" w:rsidP="00300A01">
            <w:pPr>
              <w:spacing w:before="0" w:after="0"/>
              <w:jc w:val="center"/>
              <w:rPr>
                <w:sz w:val="10"/>
                <w:szCs w:val="10"/>
              </w:rPr>
            </w:pPr>
            <w:r w:rsidRPr="001C4484">
              <w:rPr>
                <w:noProof/>
                <w:sz w:val="10"/>
                <w:szCs w:val="10"/>
              </w:rPr>
              <w:t>Mężczyźni</w:t>
            </w:r>
          </w:p>
        </w:tc>
        <w:tc>
          <w:tcPr>
            <w:tcW w:w="0" w:type="auto"/>
            <w:shd w:val="clear" w:color="auto" w:fill="auto"/>
          </w:tcPr>
          <w:p w14:paraId="7FEA3C03" w14:textId="77777777" w:rsidR="008C5CFA" w:rsidRPr="001C4484" w:rsidRDefault="00E82A60" w:rsidP="00300A01">
            <w:pPr>
              <w:spacing w:before="0" w:after="0"/>
              <w:jc w:val="center"/>
              <w:rPr>
                <w:sz w:val="10"/>
                <w:szCs w:val="10"/>
              </w:rPr>
            </w:pPr>
            <w:r w:rsidRPr="001C4484">
              <w:rPr>
                <w:noProof/>
                <w:sz w:val="10"/>
                <w:szCs w:val="10"/>
              </w:rPr>
              <w:t>Kobiety</w:t>
            </w:r>
          </w:p>
        </w:tc>
        <w:tc>
          <w:tcPr>
            <w:tcW w:w="0" w:type="auto"/>
          </w:tcPr>
          <w:p w14:paraId="580D3EEB" w14:textId="77777777" w:rsidR="008C5CFA" w:rsidRPr="001C4484" w:rsidRDefault="00E82A60" w:rsidP="00300A01">
            <w:pPr>
              <w:spacing w:before="0" w:after="0"/>
              <w:jc w:val="center"/>
              <w:rPr>
                <w:sz w:val="10"/>
                <w:szCs w:val="10"/>
              </w:rPr>
            </w:pPr>
            <w:r>
              <w:rPr>
                <w:noProof/>
                <w:sz w:val="10"/>
                <w:szCs w:val="10"/>
              </w:rPr>
              <w:t>Ogółem</w:t>
            </w:r>
          </w:p>
        </w:tc>
        <w:tc>
          <w:tcPr>
            <w:tcW w:w="0" w:type="auto"/>
            <w:shd w:val="clear" w:color="auto" w:fill="auto"/>
          </w:tcPr>
          <w:p w14:paraId="0F3392B8" w14:textId="77777777" w:rsidR="008C5CFA" w:rsidRPr="001C4484" w:rsidRDefault="00E82A60" w:rsidP="00300A01">
            <w:pPr>
              <w:spacing w:before="0" w:after="0"/>
              <w:jc w:val="center"/>
              <w:rPr>
                <w:sz w:val="10"/>
                <w:szCs w:val="10"/>
              </w:rPr>
            </w:pPr>
            <w:r w:rsidRPr="001C4484">
              <w:rPr>
                <w:noProof/>
                <w:sz w:val="10"/>
                <w:szCs w:val="10"/>
              </w:rPr>
              <w:t>Mężczyźni</w:t>
            </w:r>
          </w:p>
        </w:tc>
        <w:tc>
          <w:tcPr>
            <w:tcW w:w="0" w:type="auto"/>
            <w:shd w:val="clear" w:color="auto" w:fill="auto"/>
          </w:tcPr>
          <w:p w14:paraId="48904C0C" w14:textId="77777777" w:rsidR="008C5CFA" w:rsidRPr="001C4484" w:rsidRDefault="00E82A60" w:rsidP="00300A01">
            <w:pPr>
              <w:spacing w:before="0" w:after="0"/>
              <w:jc w:val="center"/>
              <w:rPr>
                <w:sz w:val="10"/>
                <w:szCs w:val="10"/>
              </w:rPr>
            </w:pPr>
            <w:r w:rsidRPr="001C4484">
              <w:rPr>
                <w:noProof/>
                <w:sz w:val="10"/>
                <w:szCs w:val="10"/>
              </w:rPr>
              <w:t>Kobiety</w:t>
            </w:r>
          </w:p>
        </w:tc>
        <w:tc>
          <w:tcPr>
            <w:tcW w:w="0" w:type="auto"/>
          </w:tcPr>
          <w:p w14:paraId="62C252D5" w14:textId="77777777" w:rsidR="008C5CFA" w:rsidRPr="001C4484" w:rsidRDefault="00E82A60" w:rsidP="00300A01">
            <w:pPr>
              <w:spacing w:before="0" w:after="0"/>
              <w:jc w:val="center"/>
              <w:rPr>
                <w:sz w:val="10"/>
                <w:szCs w:val="10"/>
              </w:rPr>
            </w:pPr>
            <w:r>
              <w:rPr>
                <w:noProof/>
                <w:sz w:val="10"/>
                <w:szCs w:val="10"/>
              </w:rPr>
              <w:t>Ogółem</w:t>
            </w:r>
          </w:p>
        </w:tc>
        <w:tc>
          <w:tcPr>
            <w:tcW w:w="0" w:type="auto"/>
            <w:shd w:val="clear" w:color="auto" w:fill="auto"/>
          </w:tcPr>
          <w:p w14:paraId="53F0937D" w14:textId="77777777" w:rsidR="008C5CFA" w:rsidRPr="001C4484" w:rsidRDefault="00E82A60" w:rsidP="00300A01">
            <w:pPr>
              <w:spacing w:before="0" w:after="0"/>
              <w:jc w:val="center"/>
              <w:rPr>
                <w:sz w:val="10"/>
                <w:szCs w:val="10"/>
              </w:rPr>
            </w:pPr>
            <w:r w:rsidRPr="001C4484">
              <w:rPr>
                <w:noProof/>
                <w:sz w:val="10"/>
                <w:szCs w:val="10"/>
              </w:rPr>
              <w:t>Mężczyźni</w:t>
            </w:r>
          </w:p>
        </w:tc>
        <w:tc>
          <w:tcPr>
            <w:tcW w:w="0" w:type="auto"/>
            <w:shd w:val="clear" w:color="auto" w:fill="auto"/>
          </w:tcPr>
          <w:p w14:paraId="4F5701A5" w14:textId="77777777" w:rsidR="008C5CFA" w:rsidRPr="001C4484" w:rsidRDefault="00E82A60" w:rsidP="00300A01">
            <w:pPr>
              <w:spacing w:before="0" w:after="0"/>
              <w:jc w:val="center"/>
              <w:rPr>
                <w:sz w:val="10"/>
                <w:szCs w:val="10"/>
              </w:rPr>
            </w:pPr>
            <w:r w:rsidRPr="001C4484">
              <w:rPr>
                <w:noProof/>
                <w:sz w:val="10"/>
                <w:szCs w:val="10"/>
              </w:rPr>
              <w:t>Kobiety</w:t>
            </w:r>
          </w:p>
        </w:tc>
      </w:tr>
      <w:tr w:rsidR="006B2EC1" w14:paraId="40C4DD97" w14:textId="77777777" w:rsidTr="0047688D">
        <w:tc>
          <w:tcPr>
            <w:tcW w:w="0" w:type="auto"/>
            <w:shd w:val="clear" w:color="auto" w:fill="auto"/>
          </w:tcPr>
          <w:p w14:paraId="50E9A340" w14:textId="77777777" w:rsidR="008C5CFA" w:rsidRPr="001C4484" w:rsidRDefault="00E82A60" w:rsidP="00300A01">
            <w:pPr>
              <w:spacing w:before="0" w:after="0"/>
              <w:rPr>
                <w:sz w:val="10"/>
                <w:szCs w:val="10"/>
                <w:lang w:val="fr-BE"/>
              </w:rPr>
            </w:pPr>
            <w:r w:rsidRPr="001C4484">
              <w:rPr>
                <w:noProof/>
                <w:sz w:val="10"/>
                <w:szCs w:val="10"/>
                <w:lang w:val="fr-BE"/>
              </w:rPr>
              <w:t>CO01</w:t>
            </w:r>
          </w:p>
        </w:tc>
        <w:tc>
          <w:tcPr>
            <w:tcW w:w="0" w:type="auto"/>
            <w:shd w:val="clear" w:color="auto" w:fill="auto"/>
          </w:tcPr>
          <w:p w14:paraId="2E28B773" w14:textId="77777777" w:rsidR="008C5CFA" w:rsidRPr="001C4484" w:rsidRDefault="00E82A60" w:rsidP="00300A01">
            <w:pPr>
              <w:spacing w:before="0" w:after="0"/>
              <w:rPr>
                <w:sz w:val="10"/>
                <w:szCs w:val="10"/>
                <w:lang w:val="fr-BE"/>
              </w:rPr>
            </w:pPr>
            <w:r w:rsidRPr="001C4484">
              <w:rPr>
                <w:noProof/>
                <w:sz w:val="10"/>
                <w:szCs w:val="10"/>
                <w:lang w:val="fr-BE"/>
              </w:rPr>
              <w:t>bezrobotni, w tym długotrwale bezrobotni</w:t>
            </w:r>
          </w:p>
        </w:tc>
        <w:tc>
          <w:tcPr>
            <w:tcW w:w="0" w:type="auto"/>
            <w:shd w:val="clear" w:color="auto" w:fill="auto"/>
          </w:tcPr>
          <w:p w14:paraId="6B129183"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42654D85" w14:textId="77777777" w:rsidR="008C5CFA" w:rsidRPr="001C4484" w:rsidRDefault="00E82A60" w:rsidP="00300A01">
            <w:pPr>
              <w:spacing w:before="0" w:after="0"/>
              <w:jc w:val="right"/>
              <w:rPr>
                <w:sz w:val="10"/>
                <w:szCs w:val="10"/>
              </w:rPr>
            </w:pPr>
            <w:r>
              <w:rPr>
                <w:noProof/>
                <w:sz w:val="10"/>
                <w:szCs w:val="10"/>
              </w:rPr>
              <w:t>137,00</w:t>
            </w:r>
          </w:p>
        </w:tc>
        <w:tc>
          <w:tcPr>
            <w:tcW w:w="0" w:type="auto"/>
            <w:shd w:val="clear" w:color="auto" w:fill="auto"/>
          </w:tcPr>
          <w:p w14:paraId="435BB5C4" w14:textId="77777777" w:rsidR="008C5CFA" w:rsidRPr="001C4484" w:rsidRDefault="00E82A60" w:rsidP="00300A01">
            <w:pPr>
              <w:spacing w:before="0" w:after="0"/>
              <w:jc w:val="right"/>
              <w:rPr>
                <w:sz w:val="10"/>
                <w:szCs w:val="10"/>
              </w:rPr>
            </w:pPr>
            <w:r w:rsidRPr="001C4484">
              <w:rPr>
                <w:noProof/>
                <w:sz w:val="10"/>
                <w:szCs w:val="10"/>
              </w:rPr>
              <w:t>13,00</w:t>
            </w:r>
          </w:p>
        </w:tc>
        <w:tc>
          <w:tcPr>
            <w:tcW w:w="0" w:type="auto"/>
            <w:shd w:val="clear" w:color="auto" w:fill="auto"/>
          </w:tcPr>
          <w:p w14:paraId="305900DD" w14:textId="77777777" w:rsidR="008C5CFA" w:rsidRPr="001C4484" w:rsidRDefault="00E82A60" w:rsidP="00300A01">
            <w:pPr>
              <w:spacing w:before="0" w:after="0"/>
              <w:jc w:val="right"/>
              <w:rPr>
                <w:sz w:val="10"/>
                <w:szCs w:val="10"/>
                <w:lang w:val="fr-BE"/>
              </w:rPr>
            </w:pPr>
            <w:r w:rsidRPr="001C4484">
              <w:rPr>
                <w:noProof/>
                <w:sz w:val="10"/>
                <w:szCs w:val="10"/>
              </w:rPr>
              <w:t>124,00</w:t>
            </w:r>
          </w:p>
        </w:tc>
        <w:tc>
          <w:tcPr>
            <w:tcW w:w="0" w:type="auto"/>
          </w:tcPr>
          <w:p w14:paraId="6182DDE6" w14:textId="77777777" w:rsidR="008C5CFA" w:rsidRPr="001C4484" w:rsidRDefault="00E82A60" w:rsidP="00300A01">
            <w:pPr>
              <w:spacing w:before="0" w:after="0"/>
              <w:jc w:val="right"/>
              <w:rPr>
                <w:sz w:val="10"/>
                <w:szCs w:val="10"/>
              </w:rPr>
            </w:pPr>
            <w:r>
              <w:rPr>
                <w:noProof/>
                <w:sz w:val="10"/>
                <w:szCs w:val="10"/>
              </w:rPr>
              <w:t>145,00</w:t>
            </w:r>
          </w:p>
        </w:tc>
        <w:tc>
          <w:tcPr>
            <w:tcW w:w="0" w:type="auto"/>
            <w:shd w:val="clear" w:color="auto" w:fill="auto"/>
          </w:tcPr>
          <w:p w14:paraId="7487A28F" w14:textId="77777777" w:rsidR="008C5CFA" w:rsidRPr="001C4484" w:rsidRDefault="00E82A60" w:rsidP="00300A01">
            <w:pPr>
              <w:spacing w:before="0" w:after="0"/>
              <w:jc w:val="right"/>
              <w:rPr>
                <w:sz w:val="10"/>
                <w:szCs w:val="10"/>
              </w:rPr>
            </w:pPr>
            <w:r w:rsidRPr="001C4484">
              <w:rPr>
                <w:noProof/>
                <w:sz w:val="10"/>
                <w:szCs w:val="10"/>
              </w:rPr>
              <w:t>19,00</w:t>
            </w:r>
          </w:p>
        </w:tc>
        <w:tc>
          <w:tcPr>
            <w:tcW w:w="0" w:type="auto"/>
            <w:shd w:val="clear" w:color="auto" w:fill="auto"/>
          </w:tcPr>
          <w:p w14:paraId="12743845" w14:textId="77777777" w:rsidR="008C5CFA" w:rsidRPr="001C4484" w:rsidRDefault="00E82A60" w:rsidP="00300A01">
            <w:pPr>
              <w:spacing w:before="0" w:after="0"/>
              <w:jc w:val="right"/>
              <w:rPr>
                <w:sz w:val="10"/>
                <w:szCs w:val="10"/>
                <w:lang w:val="fr-BE"/>
              </w:rPr>
            </w:pPr>
            <w:r w:rsidRPr="001C4484">
              <w:rPr>
                <w:noProof/>
                <w:sz w:val="10"/>
                <w:szCs w:val="10"/>
              </w:rPr>
              <w:t>126,00</w:t>
            </w:r>
          </w:p>
        </w:tc>
        <w:tc>
          <w:tcPr>
            <w:tcW w:w="0" w:type="auto"/>
          </w:tcPr>
          <w:p w14:paraId="0F9F6D56" w14:textId="77777777" w:rsidR="008C5CFA" w:rsidRPr="001C4484" w:rsidRDefault="00E82A60" w:rsidP="00300A01">
            <w:pPr>
              <w:spacing w:before="0" w:after="0"/>
              <w:jc w:val="right"/>
              <w:rPr>
                <w:sz w:val="10"/>
                <w:szCs w:val="10"/>
              </w:rPr>
            </w:pPr>
            <w:r>
              <w:rPr>
                <w:noProof/>
                <w:sz w:val="10"/>
                <w:szCs w:val="10"/>
              </w:rPr>
              <w:t>34,00</w:t>
            </w:r>
          </w:p>
        </w:tc>
        <w:tc>
          <w:tcPr>
            <w:tcW w:w="0" w:type="auto"/>
            <w:shd w:val="clear" w:color="auto" w:fill="auto"/>
          </w:tcPr>
          <w:p w14:paraId="72322D8B" w14:textId="77777777" w:rsidR="008C5CFA" w:rsidRPr="001C4484" w:rsidRDefault="00E82A60" w:rsidP="00300A01">
            <w:pPr>
              <w:spacing w:before="0" w:after="0"/>
              <w:jc w:val="right"/>
              <w:rPr>
                <w:sz w:val="10"/>
                <w:szCs w:val="10"/>
              </w:rPr>
            </w:pPr>
            <w:r w:rsidRPr="001C4484">
              <w:rPr>
                <w:noProof/>
                <w:sz w:val="10"/>
                <w:szCs w:val="10"/>
              </w:rPr>
              <w:t>7,00</w:t>
            </w:r>
          </w:p>
        </w:tc>
        <w:tc>
          <w:tcPr>
            <w:tcW w:w="0" w:type="auto"/>
            <w:shd w:val="clear" w:color="auto" w:fill="auto"/>
          </w:tcPr>
          <w:p w14:paraId="0A0A1B45" w14:textId="77777777" w:rsidR="008C5CFA" w:rsidRPr="001C4484" w:rsidRDefault="00E82A60" w:rsidP="00300A01">
            <w:pPr>
              <w:spacing w:before="0" w:after="0"/>
              <w:jc w:val="right"/>
              <w:rPr>
                <w:sz w:val="10"/>
                <w:szCs w:val="10"/>
                <w:lang w:val="fr-BE"/>
              </w:rPr>
            </w:pPr>
            <w:r w:rsidRPr="001C4484">
              <w:rPr>
                <w:noProof/>
                <w:sz w:val="10"/>
                <w:szCs w:val="10"/>
              </w:rPr>
              <w:t>27,00</w:t>
            </w:r>
          </w:p>
        </w:tc>
      </w:tr>
      <w:tr w:rsidR="006B2EC1" w14:paraId="21B099A2" w14:textId="77777777" w:rsidTr="0047688D">
        <w:tc>
          <w:tcPr>
            <w:tcW w:w="0" w:type="auto"/>
            <w:shd w:val="clear" w:color="auto" w:fill="auto"/>
          </w:tcPr>
          <w:p w14:paraId="5B75B42F" w14:textId="77777777" w:rsidR="008C5CFA" w:rsidRPr="001C4484" w:rsidRDefault="00E82A60" w:rsidP="00300A01">
            <w:pPr>
              <w:spacing w:before="0" w:after="0"/>
              <w:rPr>
                <w:sz w:val="10"/>
                <w:szCs w:val="10"/>
                <w:lang w:val="fr-BE"/>
              </w:rPr>
            </w:pPr>
            <w:r w:rsidRPr="001C4484">
              <w:rPr>
                <w:noProof/>
                <w:sz w:val="10"/>
                <w:szCs w:val="10"/>
                <w:lang w:val="fr-BE"/>
              </w:rPr>
              <w:t>CO02</w:t>
            </w:r>
          </w:p>
        </w:tc>
        <w:tc>
          <w:tcPr>
            <w:tcW w:w="0" w:type="auto"/>
            <w:shd w:val="clear" w:color="auto" w:fill="auto"/>
          </w:tcPr>
          <w:p w14:paraId="4D8E501B" w14:textId="77777777" w:rsidR="008C5CFA" w:rsidRPr="001C4484" w:rsidRDefault="00E82A60" w:rsidP="00300A01">
            <w:pPr>
              <w:spacing w:before="0" w:after="0"/>
              <w:rPr>
                <w:sz w:val="10"/>
                <w:szCs w:val="10"/>
                <w:lang w:val="fr-BE"/>
              </w:rPr>
            </w:pPr>
            <w:r w:rsidRPr="001C4484">
              <w:rPr>
                <w:noProof/>
                <w:sz w:val="10"/>
                <w:szCs w:val="10"/>
                <w:lang w:val="fr-BE"/>
              </w:rPr>
              <w:t>długotrwale bezrobotni</w:t>
            </w:r>
          </w:p>
        </w:tc>
        <w:tc>
          <w:tcPr>
            <w:tcW w:w="0" w:type="auto"/>
            <w:shd w:val="clear" w:color="auto" w:fill="auto"/>
          </w:tcPr>
          <w:p w14:paraId="67A3FE43"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195E441B" w14:textId="77777777" w:rsidR="008C5CFA" w:rsidRPr="001C4484" w:rsidRDefault="00E82A60" w:rsidP="00300A01">
            <w:pPr>
              <w:spacing w:before="0" w:after="0"/>
              <w:jc w:val="right"/>
              <w:rPr>
                <w:sz w:val="10"/>
                <w:szCs w:val="10"/>
              </w:rPr>
            </w:pPr>
            <w:r>
              <w:rPr>
                <w:noProof/>
                <w:sz w:val="10"/>
                <w:szCs w:val="10"/>
              </w:rPr>
              <w:t>38,00</w:t>
            </w:r>
          </w:p>
        </w:tc>
        <w:tc>
          <w:tcPr>
            <w:tcW w:w="0" w:type="auto"/>
            <w:shd w:val="clear" w:color="auto" w:fill="auto"/>
          </w:tcPr>
          <w:p w14:paraId="50678BA3"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2F64BF29" w14:textId="77777777" w:rsidR="008C5CFA" w:rsidRPr="001C4484" w:rsidRDefault="00E82A60" w:rsidP="00300A01">
            <w:pPr>
              <w:spacing w:before="0" w:after="0"/>
              <w:jc w:val="right"/>
              <w:rPr>
                <w:sz w:val="10"/>
                <w:szCs w:val="10"/>
                <w:lang w:val="fr-BE"/>
              </w:rPr>
            </w:pPr>
            <w:r w:rsidRPr="001C4484">
              <w:rPr>
                <w:noProof/>
                <w:sz w:val="10"/>
                <w:szCs w:val="10"/>
              </w:rPr>
              <w:t>38,00</w:t>
            </w:r>
          </w:p>
        </w:tc>
        <w:tc>
          <w:tcPr>
            <w:tcW w:w="0" w:type="auto"/>
          </w:tcPr>
          <w:p w14:paraId="470664A8" w14:textId="77777777" w:rsidR="008C5CFA" w:rsidRPr="001C4484" w:rsidRDefault="00E82A60" w:rsidP="00300A01">
            <w:pPr>
              <w:spacing w:before="0" w:after="0"/>
              <w:jc w:val="right"/>
              <w:rPr>
                <w:sz w:val="10"/>
                <w:szCs w:val="10"/>
              </w:rPr>
            </w:pPr>
            <w:r>
              <w:rPr>
                <w:noProof/>
                <w:sz w:val="10"/>
                <w:szCs w:val="10"/>
              </w:rPr>
              <w:t>30,00</w:t>
            </w:r>
          </w:p>
        </w:tc>
        <w:tc>
          <w:tcPr>
            <w:tcW w:w="0" w:type="auto"/>
            <w:shd w:val="clear" w:color="auto" w:fill="auto"/>
          </w:tcPr>
          <w:p w14:paraId="5B5055EC" w14:textId="77777777" w:rsidR="008C5CFA" w:rsidRPr="001C4484" w:rsidRDefault="00E82A60" w:rsidP="00300A01">
            <w:pPr>
              <w:spacing w:before="0" w:after="0"/>
              <w:jc w:val="right"/>
              <w:rPr>
                <w:sz w:val="10"/>
                <w:szCs w:val="10"/>
              </w:rPr>
            </w:pPr>
            <w:r w:rsidRPr="001C4484">
              <w:rPr>
                <w:noProof/>
                <w:sz w:val="10"/>
                <w:szCs w:val="10"/>
              </w:rPr>
              <w:t>6,00</w:t>
            </w:r>
          </w:p>
        </w:tc>
        <w:tc>
          <w:tcPr>
            <w:tcW w:w="0" w:type="auto"/>
            <w:shd w:val="clear" w:color="auto" w:fill="auto"/>
          </w:tcPr>
          <w:p w14:paraId="33FD3738" w14:textId="77777777" w:rsidR="008C5CFA" w:rsidRPr="001C4484" w:rsidRDefault="00E82A60" w:rsidP="00300A01">
            <w:pPr>
              <w:spacing w:before="0" w:after="0"/>
              <w:jc w:val="right"/>
              <w:rPr>
                <w:sz w:val="10"/>
                <w:szCs w:val="10"/>
                <w:lang w:val="fr-BE"/>
              </w:rPr>
            </w:pPr>
            <w:r w:rsidRPr="001C4484">
              <w:rPr>
                <w:noProof/>
                <w:sz w:val="10"/>
                <w:szCs w:val="10"/>
              </w:rPr>
              <w:t>24,00</w:t>
            </w:r>
          </w:p>
        </w:tc>
        <w:tc>
          <w:tcPr>
            <w:tcW w:w="0" w:type="auto"/>
          </w:tcPr>
          <w:p w14:paraId="143C3C2F" w14:textId="77777777" w:rsidR="008C5CFA" w:rsidRPr="001C4484" w:rsidRDefault="00E82A60" w:rsidP="00300A01">
            <w:pPr>
              <w:spacing w:before="0" w:after="0"/>
              <w:jc w:val="right"/>
              <w:rPr>
                <w:sz w:val="10"/>
                <w:szCs w:val="10"/>
              </w:rPr>
            </w:pPr>
            <w:r>
              <w:rPr>
                <w:noProof/>
                <w:sz w:val="10"/>
                <w:szCs w:val="10"/>
              </w:rPr>
              <w:t>6,00</w:t>
            </w:r>
          </w:p>
        </w:tc>
        <w:tc>
          <w:tcPr>
            <w:tcW w:w="0" w:type="auto"/>
            <w:shd w:val="clear" w:color="auto" w:fill="auto"/>
          </w:tcPr>
          <w:p w14:paraId="65DD8C92" w14:textId="77777777" w:rsidR="008C5CFA" w:rsidRPr="001C4484" w:rsidRDefault="00E82A60" w:rsidP="00300A01">
            <w:pPr>
              <w:spacing w:before="0" w:after="0"/>
              <w:jc w:val="right"/>
              <w:rPr>
                <w:sz w:val="10"/>
                <w:szCs w:val="10"/>
              </w:rPr>
            </w:pPr>
            <w:r w:rsidRPr="001C4484">
              <w:rPr>
                <w:noProof/>
                <w:sz w:val="10"/>
                <w:szCs w:val="10"/>
              </w:rPr>
              <w:t>2,00</w:t>
            </w:r>
          </w:p>
        </w:tc>
        <w:tc>
          <w:tcPr>
            <w:tcW w:w="0" w:type="auto"/>
            <w:shd w:val="clear" w:color="auto" w:fill="auto"/>
          </w:tcPr>
          <w:p w14:paraId="7F66B166" w14:textId="77777777" w:rsidR="008C5CFA" w:rsidRPr="001C4484" w:rsidRDefault="00E82A60" w:rsidP="00300A01">
            <w:pPr>
              <w:spacing w:before="0" w:after="0"/>
              <w:jc w:val="right"/>
              <w:rPr>
                <w:sz w:val="10"/>
                <w:szCs w:val="10"/>
                <w:lang w:val="fr-BE"/>
              </w:rPr>
            </w:pPr>
            <w:r w:rsidRPr="001C4484">
              <w:rPr>
                <w:noProof/>
                <w:sz w:val="10"/>
                <w:szCs w:val="10"/>
              </w:rPr>
              <w:t>4,00</w:t>
            </w:r>
          </w:p>
        </w:tc>
      </w:tr>
      <w:tr w:rsidR="006B2EC1" w14:paraId="3340796A" w14:textId="77777777" w:rsidTr="0047688D">
        <w:tc>
          <w:tcPr>
            <w:tcW w:w="0" w:type="auto"/>
            <w:shd w:val="clear" w:color="auto" w:fill="auto"/>
          </w:tcPr>
          <w:p w14:paraId="0F028DD5" w14:textId="77777777" w:rsidR="008C5CFA" w:rsidRPr="001C4484" w:rsidRDefault="00E82A60" w:rsidP="00300A01">
            <w:pPr>
              <w:spacing w:before="0" w:after="0"/>
              <w:rPr>
                <w:sz w:val="10"/>
                <w:szCs w:val="10"/>
                <w:lang w:val="fr-BE"/>
              </w:rPr>
            </w:pPr>
            <w:r w:rsidRPr="001C4484">
              <w:rPr>
                <w:noProof/>
                <w:sz w:val="10"/>
                <w:szCs w:val="10"/>
                <w:lang w:val="fr-BE"/>
              </w:rPr>
              <w:t>CO03</w:t>
            </w:r>
          </w:p>
        </w:tc>
        <w:tc>
          <w:tcPr>
            <w:tcW w:w="0" w:type="auto"/>
            <w:shd w:val="clear" w:color="auto" w:fill="auto"/>
          </w:tcPr>
          <w:p w14:paraId="7007DDC5" w14:textId="77777777" w:rsidR="008C5CFA" w:rsidRPr="001C4484" w:rsidRDefault="00E82A60" w:rsidP="00300A01">
            <w:pPr>
              <w:spacing w:before="0" w:after="0"/>
              <w:rPr>
                <w:sz w:val="10"/>
                <w:szCs w:val="10"/>
                <w:lang w:val="fr-BE"/>
              </w:rPr>
            </w:pPr>
            <w:r w:rsidRPr="001C4484">
              <w:rPr>
                <w:noProof/>
                <w:sz w:val="10"/>
                <w:szCs w:val="10"/>
                <w:lang w:val="fr-BE"/>
              </w:rPr>
              <w:t>osoby bierne zawodowo</w:t>
            </w:r>
          </w:p>
        </w:tc>
        <w:tc>
          <w:tcPr>
            <w:tcW w:w="0" w:type="auto"/>
            <w:shd w:val="clear" w:color="auto" w:fill="auto"/>
          </w:tcPr>
          <w:p w14:paraId="78D3D403"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71796442" w14:textId="77777777" w:rsidR="008C5CFA" w:rsidRPr="001C4484" w:rsidRDefault="00E82A60" w:rsidP="00300A01">
            <w:pPr>
              <w:spacing w:before="0" w:after="0"/>
              <w:jc w:val="right"/>
              <w:rPr>
                <w:sz w:val="10"/>
                <w:szCs w:val="10"/>
              </w:rPr>
            </w:pPr>
            <w:r>
              <w:rPr>
                <w:noProof/>
                <w:sz w:val="10"/>
                <w:szCs w:val="10"/>
              </w:rPr>
              <w:t>407,00</w:t>
            </w:r>
          </w:p>
        </w:tc>
        <w:tc>
          <w:tcPr>
            <w:tcW w:w="0" w:type="auto"/>
            <w:shd w:val="clear" w:color="auto" w:fill="auto"/>
          </w:tcPr>
          <w:p w14:paraId="59082AD7" w14:textId="77777777" w:rsidR="008C5CFA" w:rsidRPr="001C4484" w:rsidRDefault="00E82A60" w:rsidP="00300A01">
            <w:pPr>
              <w:spacing w:before="0" w:after="0"/>
              <w:jc w:val="right"/>
              <w:rPr>
                <w:sz w:val="10"/>
                <w:szCs w:val="10"/>
              </w:rPr>
            </w:pPr>
            <w:r w:rsidRPr="001C4484">
              <w:rPr>
                <w:noProof/>
                <w:sz w:val="10"/>
                <w:szCs w:val="10"/>
              </w:rPr>
              <w:t>189,00</w:t>
            </w:r>
          </w:p>
        </w:tc>
        <w:tc>
          <w:tcPr>
            <w:tcW w:w="0" w:type="auto"/>
            <w:shd w:val="clear" w:color="auto" w:fill="auto"/>
          </w:tcPr>
          <w:p w14:paraId="2960657B" w14:textId="77777777" w:rsidR="008C5CFA" w:rsidRPr="001C4484" w:rsidRDefault="00E82A60" w:rsidP="00300A01">
            <w:pPr>
              <w:spacing w:before="0" w:after="0"/>
              <w:jc w:val="right"/>
              <w:rPr>
                <w:sz w:val="10"/>
                <w:szCs w:val="10"/>
                <w:lang w:val="fr-BE"/>
              </w:rPr>
            </w:pPr>
            <w:r w:rsidRPr="001C4484">
              <w:rPr>
                <w:noProof/>
                <w:sz w:val="10"/>
                <w:szCs w:val="10"/>
              </w:rPr>
              <w:t>218,00</w:t>
            </w:r>
          </w:p>
        </w:tc>
        <w:tc>
          <w:tcPr>
            <w:tcW w:w="0" w:type="auto"/>
          </w:tcPr>
          <w:p w14:paraId="7221DE52" w14:textId="77777777" w:rsidR="008C5CFA" w:rsidRPr="001C4484" w:rsidRDefault="00E82A60" w:rsidP="00300A01">
            <w:pPr>
              <w:spacing w:before="0" w:after="0"/>
              <w:jc w:val="right"/>
              <w:rPr>
                <w:sz w:val="10"/>
                <w:szCs w:val="10"/>
              </w:rPr>
            </w:pPr>
            <w:r>
              <w:rPr>
                <w:noProof/>
                <w:sz w:val="10"/>
                <w:szCs w:val="10"/>
              </w:rPr>
              <w:t>293,00</w:t>
            </w:r>
          </w:p>
        </w:tc>
        <w:tc>
          <w:tcPr>
            <w:tcW w:w="0" w:type="auto"/>
            <w:shd w:val="clear" w:color="auto" w:fill="auto"/>
          </w:tcPr>
          <w:p w14:paraId="185AEA4D" w14:textId="77777777" w:rsidR="008C5CFA" w:rsidRPr="001C4484" w:rsidRDefault="00E82A60" w:rsidP="00300A01">
            <w:pPr>
              <w:spacing w:before="0" w:after="0"/>
              <w:jc w:val="right"/>
              <w:rPr>
                <w:sz w:val="10"/>
                <w:szCs w:val="10"/>
              </w:rPr>
            </w:pPr>
            <w:r w:rsidRPr="001C4484">
              <w:rPr>
                <w:noProof/>
                <w:sz w:val="10"/>
                <w:szCs w:val="10"/>
              </w:rPr>
              <w:t>144,00</w:t>
            </w:r>
          </w:p>
        </w:tc>
        <w:tc>
          <w:tcPr>
            <w:tcW w:w="0" w:type="auto"/>
            <w:shd w:val="clear" w:color="auto" w:fill="auto"/>
          </w:tcPr>
          <w:p w14:paraId="72DB3ED9" w14:textId="77777777" w:rsidR="008C5CFA" w:rsidRPr="001C4484" w:rsidRDefault="00E82A60" w:rsidP="00300A01">
            <w:pPr>
              <w:spacing w:before="0" w:after="0"/>
              <w:jc w:val="right"/>
              <w:rPr>
                <w:sz w:val="10"/>
                <w:szCs w:val="10"/>
                <w:lang w:val="fr-BE"/>
              </w:rPr>
            </w:pPr>
            <w:r w:rsidRPr="001C4484">
              <w:rPr>
                <w:noProof/>
                <w:sz w:val="10"/>
                <w:szCs w:val="10"/>
              </w:rPr>
              <w:t>149,00</w:t>
            </w:r>
          </w:p>
        </w:tc>
        <w:tc>
          <w:tcPr>
            <w:tcW w:w="0" w:type="auto"/>
          </w:tcPr>
          <w:p w14:paraId="6006F17B" w14:textId="77777777" w:rsidR="008C5CFA" w:rsidRPr="001C4484" w:rsidRDefault="00E82A60" w:rsidP="00300A01">
            <w:pPr>
              <w:spacing w:before="0" w:after="0"/>
              <w:jc w:val="right"/>
              <w:rPr>
                <w:sz w:val="10"/>
                <w:szCs w:val="10"/>
              </w:rPr>
            </w:pPr>
            <w:r>
              <w:rPr>
                <w:noProof/>
                <w:sz w:val="10"/>
                <w:szCs w:val="10"/>
              </w:rPr>
              <w:t>129,00</w:t>
            </w:r>
          </w:p>
        </w:tc>
        <w:tc>
          <w:tcPr>
            <w:tcW w:w="0" w:type="auto"/>
            <w:shd w:val="clear" w:color="auto" w:fill="auto"/>
          </w:tcPr>
          <w:p w14:paraId="056AF632" w14:textId="77777777" w:rsidR="008C5CFA" w:rsidRPr="001C4484" w:rsidRDefault="00E82A60" w:rsidP="00300A01">
            <w:pPr>
              <w:spacing w:before="0" w:after="0"/>
              <w:jc w:val="right"/>
              <w:rPr>
                <w:sz w:val="10"/>
                <w:szCs w:val="10"/>
              </w:rPr>
            </w:pPr>
            <w:r w:rsidRPr="001C4484">
              <w:rPr>
                <w:noProof/>
                <w:sz w:val="10"/>
                <w:szCs w:val="10"/>
              </w:rPr>
              <w:t>59,00</w:t>
            </w:r>
          </w:p>
        </w:tc>
        <w:tc>
          <w:tcPr>
            <w:tcW w:w="0" w:type="auto"/>
            <w:shd w:val="clear" w:color="auto" w:fill="auto"/>
          </w:tcPr>
          <w:p w14:paraId="73738EF6" w14:textId="77777777" w:rsidR="008C5CFA" w:rsidRPr="001C4484" w:rsidRDefault="00E82A60" w:rsidP="00300A01">
            <w:pPr>
              <w:spacing w:before="0" w:after="0"/>
              <w:jc w:val="right"/>
              <w:rPr>
                <w:sz w:val="10"/>
                <w:szCs w:val="10"/>
                <w:lang w:val="fr-BE"/>
              </w:rPr>
            </w:pPr>
            <w:r w:rsidRPr="001C4484">
              <w:rPr>
                <w:noProof/>
                <w:sz w:val="10"/>
                <w:szCs w:val="10"/>
              </w:rPr>
              <w:t>70,00</w:t>
            </w:r>
          </w:p>
        </w:tc>
      </w:tr>
      <w:tr w:rsidR="006B2EC1" w14:paraId="01E89A3B" w14:textId="77777777" w:rsidTr="0047688D">
        <w:tc>
          <w:tcPr>
            <w:tcW w:w="0" w:type="auto"/>
            <w:shd w:val="clear" w:color="auto" w:fill="auto"/>
          </w:tcPr>
          <w:p w14:paraId="4B7EAFB3" w14:textId="77777777" w:rsidR="008C5CFA" w:rsidRPr="001C4484" w:rsidRDefault="00E82A60" w:rsidP="00300A01">
            <w:pPr>
              <w:spacing w:before="0" w:after="0"/>
              <w:rPr>
                <w:sz w:val="10"/>
                <w:szCs w:val="10"/>
                <w:lang w:val="fr-BE"/>
              </w:rPr>
            </w:pPr>
            <w:r w:rsidRPr="001C4484">
              <w:rPr>
                <w:noProof/>
                <w:sz w:val="10"/>
                <w:szCs w:val="10"/>
                <w:lang w:val="fr-BE"/>
              </w:rPr>
              <w:t>CO04</w:t>
            </w:r>
          </w:p>
        </w:tc>
        <w:tc>
          <w:tcPr>
            <w:tcW w:w="0" w:type="auto"/>
            <w:shd w:val="clear" w:color="auto" w:fill="auto"/>
          </w:tcPr>
          <w:p w14:paraId="562737D9" w14:textId="77777777" w:rsidR="008C5CFA" w:rsidRPr="001C4484" w:rsidRDefault="00E82A60" w:rsidP="00300A01">
            <w:pPr>
              <w:spacing w:before="0" w:after="0"/>
              <w:rPr>
                <w:sz w:val="10"/>
                <w:szCs w:val="10"/>
                <w:lang w:val="fr-BE"/>
              </w:rPr>
            </w:pPr>
            <w:r w:rsidRPr="001C4484">
              <w:rPr>
                <w:noProof/>
                <w:sz w:val="10"/>
                <w:szCs w:val="10"/>
                <w:lang w:val="fr-BE"/>
              </w:rPr>
              <w:t>osoby bierne zawodowo, nieuczestniczące w kształceniu ani szkoleniu</w:t>
            </w:r>
          </w:p>
        </w:tc>
        <w:tc>
          <w:tcPr>
            <w:tcW w:w="0" w:type="auto"/>
            <w:shd w:val="clear" w:color="auto" w:fill="auto"/>
          </w:tcPr>
          <w:p w14:paraId="39966729"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5A0055E0" w14:textId="77777777" w:rsidR="008C5CFA" w:rsidRPr="001C4484" w:rsidRDefault="00E82A60" w:rsidP="00300A01">
            <w:pPr>
              <w:spacing w:before="0" w:after="0"/>
              <w:jc w:val="right"/>
              <w:rPr>
                <w:sz w:val="10"/>
                <w:szCs w:val="10"/>
              </w:rPr>
            </w:pPr>
            <w:r>
              <w:rPr>
                <w:noProof/>
                <w:sz w:val="10"/>
                <w:szCs w:val="10"/>
              </w:rPr>
              <w:t>140,00</w:t>
            </w:r>
          </w:p>
        </w:tc>
        <w:tc>
          <w:tcPr>
            <w:tcW w:w="0" w:type="auto"/>
            <w:shd w:val="clear" w:color="auto" w:fill="auto"/>
          </w:tcPr>
          <w:p w14:paraId="59EB653D" w14:textId="77777777" w:rsidR="008C5CFA" w:rsidRPr="001C4484" w:rsidRDefault="00E82A60" w:rsidP="00300A01">
            <w:pPr>
              <w:spacing w:before="0" w:after="0"/>
              <w:jc w:val="right"/>
              <w:rPr>
                <w:sz w:val="10"/>
                <w:szCs w:val="10"/>
              </w:rPr>
            </w:pPr>
            <w:r w:rsidRPr="001C4484">
              <w:rPr>
                <w:noProof/>
                <w:sz w:val="10"/>
                <w:szCs w:val="10"/>
              </w:rPr>
              <w:t>68,00</w:t>
            </w:r>
          </w:p>
        </w:tc>
        <w:tc>
          <w:tcPr>
            <w:tcW w:w="0" w:type="auto"/>
            <w:shd w:val="clear" w:color="auto" w:fill="auto"/>
          </w:tcPr>
          <w:p w14:paraId="3697C075" w14:textId="77777777" w:rsidR="008C5CFA" w:rsidRPr="001C4484" w:rsidRDefault="00E82A60" w:rsidP="00300A01">
            <w:pPr>
              <w:spacing w:before="0" w:after="0"/>
              <w:jc w:val="right"/>
              <w:rPr>
                <w:sz w:val="10"/>
                <w:szCs w:val="10"/>
                <w:lang w:val="fr-BE"/>
              </w:rPr>
            </w:pPr>
            <w:r w:rsidRPr="001C4484">
              <w:rPr>
                <w:noProof/>
                <w:sz w:val="10"/>
                <w:szCs w:val="10"/>
              </w:rPr>
              <w:t>72,00</w:t>
            </w:r>
          </w:p>
        </w:tc>
        <w:tc>
          <w:tcPr>
            <w:tcW w:w="0" w:type="auto"/>
          </w:tcPr>
          <w:p w14:paraId="76BF2689" w14:textId="77777777" w:rsidR="008C5CFA" w:rsidRPr="001C4484" w:rsidRDefault="00E82A60" w:rsidP="00300A01">
            <w:pPr>
              <w:spacing w:before="0" w:after="0"/>
              <w:jc w:val="right"/>
              <w:rPr>
                <w:sz w:val="10"/>
                <w:szCs w:val="10"/>
              </w:rPr>
            </w:pPr>
            <w:r>
              <w:rPr>
                <w:noProof/>
                <w:sz w:val="10"/>
                <w:szCs w:val="10"/>
              </w:rPr>
              <w:t>32,00</w:t>
            </w:r>
          </w:p>
        </w:tc>
        <w:tc>
          <w:tcPr>
            <w:tcW w:w="0" w:type="auto"/>
            <w:shd w:val="clear" w:color="auto" w:fill="auto"/>
          </w:tcPr>
          <w:p w14:paraId="1E365467" w14:textId="77777777" w:rsidR="008C5CFA" w:rsidRPr="001C4484" w:rsidRDefault="00E82A60" w:rsidP="00300A01">
            <w:pPr>
              <w:spacing w:before="0" w:after="0"/>
              <w:jc w:val="right"/>
              <w:rPr>
                <w:sz w:val="10"/>
                <w:szCs w:val="10"/>
              </w:rPr>
            </w:pPr>
            <w:r w:rsidRPr="001C4484">
              <w:rPr>
                <w:noProof/>
                <w:sz w:val="10"/>
                <w:szCs w:val="10"/>
              </w:rPr>
              <w:t>11,00</w:t>
            </w:r>
          </w:p>
        </w:tc>
        <w:tc>
          <w:tcPr>
            <w:tcW w:w="0" w:type="auto"/>
            <w:shd w:val="clear" w:color="auto" w:fill="auto"/>
          </w:tcPr>
          <w:p w14:paraId="2550A5FF" w14:textId="77777777" w:rsidR="008C5CFA" w:rsidRPr="001C4484" w:rsidRDefault="00E82A60" w:rsidP="00300A01">
            <w:pPr>
              <w:spacing w:before="0" w:after="0"/>
              <w:jc w:val="right"/>
              <w:rPr>
                <w:sz w:val="10"/>
                <w:szCs w:val="10"/>
                <w:lang w:val="fr-BE"/>
              </w:rPr>
            </w:pPr>
            <w:r w:rsidRPr="001C4484">
              <w:rPr>
                <w:noProof/>
                <w:sz w:val="10"/>
                <w:szCs w:val="10"/>
              </w:rPr>
              <w:t>21,00</w:t>
            </w:r>
          </w:p>
        </w:tc>
        <w:tc>
          <w:tcPr>
            <w:tcW w:w="0" w:type="auto"/>
          </w:tcPr>
          <w:p w14:paraId="21FCF26B" w14:textId="77777777" w:rsidR="008C5CFA" w:rsidRPr="001C4484" w:rsidRDefault="00E82A60" w:rsidP="00300A01">
            <w:pPr>
              <w:spacing w:before="0" w:after="0"/>
              <w:jc w:val="right"/>
              <w:rPr>
                <w:sz w:val="10"/>
                <w:szCs w:val="10"/>
              </w:rPr>
            </w:pPr>
            <w:r>
              <w:rPr>
                <w:noProof/>
                <w:sz w:val="10"/>
                <w:szCs w:val="10"/>
              </w:rPr>
              <w:t>13,00</w:t>
            </w:r>
          </w:p>
        </w:tc>
        <w:tc>
          <w:tcPr>
            <w:tcW w:w="0" w:type="auto"/>
            <w:shd w:val="clear" w:color="auto" w:fill="auto"/>
          </w:tcPr>
          <w:p w14:paraId="7FECB0FC" w14:textId="77777777" w:rsidR="008C5CFA" w:rsidRPr="001C4484" w:rsidRDefault="00E82A60" w:rsidP="00300A01">
            <w:pPr>
              <w:spacing w:before="0" w:after="0"/>
              <w:jc w:val="right"/>
              <w:rPr>
                <w:sz w:val="10"/>
                <w:szCs w:val="10"/>
              </w:rPr>
            </w:pPr>
            <w:r w:rsidRPr="001C4484">
              <w:rPr>
                <w:noProof/>
                <w:sz w:val="10"/>
                <w:szCs w:val="10"/>
              </w:rPr>
              <w:t>6,00</w:t>
            </w:r>
          </w:p>
        </w:tc>
        <w:tc>
          <w:tcPr>
            <w:tcW w:w="0" w:type="auto"/>
            <w:shd w:val="clear" w:color="auto" w:fill="auto"/>
          </w:tcPr>
          <w:p w14:paraId="364EA3A4" w14:textId="77777777" w:rsidR="008C5CFA" w:rsidRPr="001C4484" w:rsidRDefault="00E82A60" w:rsidP="00300A01">
            <w:pPr>
              <w:spacing w:before="0" w:after="0"/>
              <w:jc w:val="right"/>
              <w:rPr>
                <w:sz w:val="10"/>
                <w:szCs w:val="10"/>
                <w:lang w:val="fr-BE"/>
              </w:rPr>
            </w:pPr>
            <w:r w:rsidRPr="001C4484">
              <w:rPr>
                <w:noProof/>
                <w:sz w:val="10"/>
                <w:szCs w:val="10"/>
              </w:rPr>
              <w:t>7,00</w:t>
            </w:r>
          </w:p>
        </w:tc>
      </w:tr>
      <w:tr w:rsidR="006B2EC1" w14:paraId="6CF06F0D" w14:textId="77777777" w:rsidTr="0047688D">
        <w:tc>
          <w:tcPr>
            <w:tcW w:w="0" w:type="auto"/>
            <w:shd w:val="clear" w:color="auto" w:fill="auto"/>
          </w:tcPr>
          <w:p w14:paraId="53718021" w14:textId="77777777" w:rsidR="008C5CFA" w:rsidRPr="001C4484" w:rsidRDefault="00E82A60" w:rsidP="00300A01">
            <w:pPr>
              <w:spacing w:before="0" w:after="0"/>
              <w:rPr>
                <w:sz w:val="10"/>
                <w:szCs w:val="10"/>
                <w:lang w:val="fr-BE"/>
              </w:rPr>
            </w:pPr>
            <w:r w:rsidRPr="001C4484">
              <w:rPr>
                <w:noProof/>
                <w:sz w:val="10"/>
                <w:szCs w:val="10"/>
                <w:lang w:val="fr-BE"/>
              </w:rPr>
              <w:t>CO05</w:t>
            </w:r>
          </w:p>
        </w:tc>
        <w:tc>
          <w:tcPr>
            <w:tcW w:w="0" w:type="auto"/>
            <w:shd w:val="clear" w:color="auto" w:fill="auto"/>
          </w:tcPr>
          <w:p w14:paraId="444D62C2" w14:textId="77777777" w:rsidR="008C5CFA" w:rsidRPr="001C4484" w:rsidRDefault="00E82A60" w:rsidP="00300A01">
            <w:pPr>
              <w:spacing w:before="0" w:after="0"/>
              <w:rPr>
                <w:sz w:val="10"/>
                <w:szCs w:val="10"/>
                <w:lang w:val="fr-BE"/>
              </w:rPr>
            </w:pPr>
            <w:r w:rsidRPr="001C4484">
              <w:rPr>
                <w:noProof/>
                <w:sz w:val="10"/>
                <w:szCs w:val="10"/>
                <w:lang w:val="fr-BE"/>
              </w:rPr>
              <w:t>osoby pracujące, łącznie z prowadzącymi działalność na własny rachunek</w:t>
            </w:r>
          </w:p>
        </w:tc>
        <w:tc>
          <w:tcPr>
            <w:tcW w:w="0" w:type="auto"/>
            <w:shd w:val="clear" w:color="auto" w:fill="auto"/>
          </w:tcPr>
          <w:p w14:paraId="67D2851D"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1249A52C" w14:textId="77777777" w:rsidR="008C5CFA" w:rsidRPr="001C4484" w:rsidRDefault="00E82A60" w:rsidP="00300A01">
            <w:pPr>
              <w:spacing w:before="0" w:after="0"/>
              <w:jc w:val="right"/>
              <w:rPr>
                <w:sz w:val="10"/>
                <w:szCs w:val="10"/>
              </w:rPr>
            </w:pPr>
            <w:r>
              <w:rPr>
                <w:noProof/>
                <w:sz w:val="10"/>
                <w:szCs w:val="10"/>
              </w:rPr>
              <w:t>145,00</w:t>
            </w:r>
          </w:p>
        </w:tc>
        <w:tc>
          <w:tcPr>
            <w:tcW w:w="0" w:type="auto"/>
            <w:shd w:val="clear" w:color="auto" w:fill="auto"/>
          </w:tcPr>
          <w:p w14:paraId="2E523139" w14:textId="77777777" w:rsidR="008C5CFA" w:rsidRPr="001C4484" w:rsidRDefault="00E82A60" w:rsidP="00300A01">
            <w:pPr>
              <w:spacing w:before="0" w:after="0"/>
              <w:jc w:val="right"/>
              <w:rPr>
                <w:sz w:val="10"/>
                <w:szCs w:val="10"/>
              </w:rPr>
            </w:pPr>
            <w:r w:rsidRPr="001C4484">
              <w:rPr>
                <w:noProof/>
                <w:sz w:val="10"/>
                <w:szCs w:val="10"/>
              </w:rPr>
              <w:t>12,00</w:t>
            </w:r>
          </w:p>
        </w:tc>
        <w:tc>
          <w:tcPr>
            <w:tcW w:w="0" w:type="auto"/>
            <w:shd w:val="clear" w:color="auto" w:fill="auto"/>
          </w:tcPr>
          <w:p w14:paraId="22371FF1" w14:textId="77777777" w:rsidR="008C5CFA" w:rsidRPr="001C4484" w:rsidRDefault="00E82A60" w:rsidP="00300A01">
            <w:pPr>
              <w:spacing w:before="0" w:after="0"/>
              <w:jc w:val="right"/>
              <w:rPr>
                <w:sz w:val="10"/>
                <w:szCs w:val="10"/>
                <w:lang w:val="fr-BE"/>
              </w:rPr>
            </w:pPr>
            <w:r w:rsidRPr="001C4484">
              <w:rPr>
                <w:noProof/>
                <w:sz w:val="10"/>
                <w:szCs w:val="10"/>
              </w:rPr>
              <w:t>133,00</w:t>
            </w:r>
          </w:p>
        </w:tc>
        <w:tc>
          <w:tcPr>
            <w:tcW w:w="0" w:type="auto"/>
          </w:tcPr>
          <w:p w14:paraId="37D117EC" w14:textId="77777777" w:rsidR="008C5CFA" w:rsidRPr="001C4484" w:rsidRDefault="00E82A60" w:rsidP="00300A01">
            <w:pPr>
              <w:spacing w:before="0" w:after="0"/>
              <w:jc w:val="right"/>
              <w:rPr>
                <w:sz w:val="10"/>
                <w:szCs w:val="10"/>
              </w:rPr>
            </w:pPr>
            <w:r>
              <w:rPr>
                <w:noProof/>
                <w:sz w:val="10"/>
                <w:szCs w:val="10"/>
              </w:rPr>
              <w:t>124,00</w:t>
            </w:r>
          </w:p>
        </w:tc>
        <w:tc>
          <w:tcPr>
            <w:tcW w:w="0" w:type="auto"/>
            <w:shd w:val="clear" w:color="auto" w:fill="auto"/>
          </w:tcPr>
          <w:p w14:paraId="6B8F9B7D" w14:textId="77777777" w:rsidR="008C5CFA" w:rsidRPr="001C4484" w:rsidRDefault="00E82A60" w:rsidP="00300A01">
            <w:pPr>
              <w:spacing w:before="0" w:after="0"/>
              <w:jc w:val="right"/>
              <w:rPr>
                <w:sz w:val="10"/>
                <w:szCs w:val="10"/>
              </w:rPr>
            </w:pPr>
            <w:r w:rsidRPr="001C4484">
              <w:rPr>
                <w:noProof/>
                <w:sz w:val="10"/>
                <w:szCs w:val="10"/>
              </w:rPr>
              <w:t>6,00</w:t>
            </w:r>
          </w:p>
        </w:tc>
        <w:tc>
          <w:tcPr>
            <w:tcW w:w="0" w:type="auto"/>
            <w:shd w:val="clear" w:color="auto" w:fill="auto"/>
          </w:tcPr>
          <w:p w14:paraId="7F4CF3AE" w14:textId="77777777" w:rsidR="008C5CFA" w:rsidRPr="001C4484" w:rsidRDefault="00E82A60" w:rsidP="00300A01">
            <w:pPr>
              <w:spacing w:before="0" w:after="0"/>
              <w:jc w:val="right"/>
              <w:rPr>
                <w:sz w:val="10"/>
                <w:szCs w:val="10"/>
                <w:lang w:val="fr-BE"/>
              </w:rPr>
            </w:pPr>
            <w:r w:rsidRPr="001C4484">
              <w:rPr>
                <w:noProof/>
                <w:sz w:val="10"/>
                <w:szCs w:val="10"/>
              </w:rPr>
              <w:t>118,00</w:t>
            </w:r>
          </w:p>
        </w:tc>
        <w:tc>
          <w:tcPr>
            <w:tcW w:w="0" w:type="auto"/>
          </w:tcPr>
          <w:p w14:paraId="462D625B" w14:textId="77777777" w:rsidR="008C5CFA" w:rsidRPr="001C4484" w:rsidRDefault="00E82A60" w:rsidP="00300A01">
            <w:pPr>
              <w:spacing w:before="0" w:after="0"/>
              <w:jc w:val="right"/>
              <w:rPr>
                <w:sz w:val="10"/>
                <w:szCs w:val="10"/>
              </w:rPr>
            </w:pPr>
            <w:r>
              <w:rPr>
                <w:noProof/>
                <w:sz w:val="10"/>
                <w:szCs w:val="10"/>
              </w:rPr>
              <w:t>43,00</w:t>
            </w:r>
          </w:p>
        </w:tc>
        <w:tc>
          <w:tcPr>
            <w:tcW w:w="0" w:type="auto"/>
            <w:shd w:val="clear" w:color="auto" w:fill="auto"/>
          </w:tcPr>
          <w:p w14:paraId="5623188C"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1B718462" w14:textId="77777777" w:rsidR="008C5CFA" w:rsidRPr="001C4484" w:rsidRDefault="00E82A60" w:rsidP="00300A01">
            <w:pPr>
              <w:spacing w:before="0" w:after="0"/>
              <w:jc w:val="right"/>
              <w:rPr>
                <w:sz w:val="10"/>
                <w:szCs w:val="10"/>
                <w:lang w:val="fr-BE"/>
              </w:rPr>
            </w:pPr>
            <w:r w:rsidRPr="001C4484">
              <w:rPr>
                <w:noProof/>
                <w:sz w:val="10"/>
                <w:szCs w:val="10"/>
              </w:rPr>
              <w:t>43,00</w:t>
            </w:r>
          </w:p>
        </w:tc>
      </w:tr>
      <w:tr w:rsidR="006B2EC1" w14:paraId="0D79E8F8" w14:textId="77777777" w:rsidTr="0047688D">
        <w:tc>
          <w:tcPr>
            <w:tcW w:w="0" w:type="auto"/>
            <w:shd w:val="clear" w:color="auto" w:fill="auto"/>
          </w:tcPr>
          <w:p w14:paraId="5EE1428D" w14:textId="77777777" w:rsidR="008C5CFA" w:rsidRPr="001C4484" w:rsidRDefault="00E82A60" w:rsidP="00300A01">
            <w:pPr>
              <w:spacing w:before="0" w:after="0"/>
              <w:rPr>
                <w:sz w:val="10"/>
                <w:szCs w:val="10"/>
                <w:lang w:val="fr-BE"/>
              </w:rPr>
            </w:pPr>
            <w:r w:rsidRPr="001C4484">
              <w:rPr>
                <w:noProof/>
                <w:sz w:val="10"/>
                <w:szCs w:val="10"/>
                <w:lang w:val="fr-BE"/>
              </w:rPr>
              <w:t>CO06</w:t>
            </w:r>
          </w:p>
        </w:tc>
        <w:tc>
          <w:tcPr>
            <w:tcW w:w="0" w:type="auto"/>
            <w:shd w:val="clear" w:color="auto" w:fill="auto"/>
          </w:tcPr>
          <w:p w14:paraId="02C30CBE" w14:textId="77777777" w:rsidR="008C5CFA" w:rsidRPr="001C4484" w:rsidRDefault="00E82A60" w:rsidP="00300A01">
            <w:pPr>
              <w:spacing w:before="0" w:after="0"/>
              <w:rPr>
                <w:sz w:val="10"/>
                <w:szCs w:val="10"/>
                <w:lang w:val="fr-BE"/>
              </w:rPr>
            </w:pPr>
            <w:r w:rsidRPr="001C4484">
              <w:rPr>
                <w:noProof/>
                <w:sz w:val="10"/>
                <w:szCs w:val="10"/>
                <w:lang w:val="fr-BE"/>
              </w:rPr>
              <w:t>osoby w wieku poniżej 25 lat</w:t>
            </w:r>
          </w:p>
        </w:tc>
        <w:tc>
          <w:tcPr>
            <w:tcW w:w="0" w:type="auto"/>
            <w:shd w:val="clear" w:color="auto" w:fill="auto"/>
          </w:tcPr>
          <w:p w14:paraId="0FCC8F9F"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35AE7BE4" w14:textId="77777777" w:rsidR="008C5CFA" w:rsidRPr="001C4484" w:rsidRDefault="00E82A60" w:rsidP="00300A01">
            <w:pPr>
              <w:spacing w:before="0" w:after="0"/>
              <w:jc w:val="right"/>
              <w:rPr>
                <w:sz w:val="10"/>
                <w:szCs w:val="10"/>
              </w:rPr>
            </w:pPr>
            <w:r>
              <w:rPr>
                <w:noProof/>
                <w:sz w:val="10"/>
                <w:szCs w:val="10"/>
              </w:rPr>
              <w:t>378,00</w:t>
            </w:r>
          </w:p>
        </w:tc>
        <w:tc>
          <w:tcPr>
            <w:tcW w:w="0" w:type="auto"/>
            <w:shd w:val="clear" w:color="auto" w:fill="auto"/>
          </w:tcPr>
          <w:p w14:paraId="01D39BFE" w14:textId="77777777" w:rsidR="008C5CFA" w:rsidRPr="001C4484" w:rsidRDefault="00E82A60" w:rsidP="00300A01">
            <w:pPr>
              <w:spacing w:before="0" w:after="0"/>
              <w:jc w:val="right"/>
              <w:rPr>
                <w:sz w:val="10"/>
                <w:szCs w:val="10"/>
              </w:rPr>
            </w:pPr>
            <w:r w:rsidRPr="001C4484">
              <w:rPr>
                <w:noProof/>
                <w:sz w:val="10"/>
                <w:szCs w:val="10"/>
              </w:rPr>
              <w:t>189,00</w:t>
            </w:r>
          </w:p>
        </w:tc>
        <w:tc>
          <w:tcPr>
            <w:tcW w:w="0" w:type="auto"/>
            <w:shd w:val="clear" w:color="auto" w:fill="auto"/>
          </w:tcPr>
          <w:p w14:paraId="2E1421A9" w14:textId="77777777" w:rsidR="008C5CFA" w:rsidRPr="001C4484" w:rsidRDefault="00E82A60" w:rsidP="00300A01">
            <w:pPr>
              <w:spacing w:before="0" w:after="0"/>
              <w:jc w:val="right"/>
              <w:rPr>
                <w:sz w:val="10"/>
                <w:szCs w:val="10"/>
                <w:lang w:val="fr-BE"/>
              </w:rPr>
            </w:pPr>
            <w:r w:rsidRPr="001C4484">
              <w:rPr>
                <w:noProof/>
                <w:sz w:val="10"/>
                <w:szCs w:val="10"/>
              </w:rPr>
              <w:t>189,00</w:t>
            </w:r>
          </w:p>
        </w:tc>
        <w:tc>
          <w:tcPr>
            <w:tcW w:w="0" w:type="auto"/>
          </w:tcPr>
          <w:p w14:paraId="555C27B0" w14:textId="77777777" w:rsidR="008C5CFA" w:rsidRPr="001C4484" w:rsidRDefault="00E82A60" w:rsidP="00300A01">
            <w:pPr>
              <w:spacing w:before="0" w:after="0"/>
              <w:jc w:val="right"/>
              <w:rPr>
                <w:sz w:val="10"/>
                <w:szCs w:val="10"/>
              </w:rPr>
            </w:pPr>
            <w:r>
              <w:rPr>
                <w:noProof/>
                <w:sz w:val="10"/>
                <w:szCs w:val="10"/>
              </w:rPr>
              <w:t>302,00</w:t>
            </w:r>
          </w:p>
        </w:tc>
        <w:tc>
          <w:tcPr>
            <w:tcW w:w="0" w:type="auto"/>
            <w:shd w:val="clear" w:color="auto" w:fill="auto"/>
          </w:tcPr>
          <w:p w14:paraId="4B6B6CDE" w14:textId="77777777" w:rsidR="008C5CFA" w:rsidRPr="001C4484" w:rsidRDefault="00E82A60" w:rsidP="00300A01">
            <w:pPr>
              <w:spacing w:before="0" w:after="0"/>
              <w:jc w:val="right"/>
              <w:rPr>
                <w:sz w:val="10"/>
                <w:szCs w:val="10"/>
              </w:rPr>
            </w:pPr>
            <w:r w:rsidRPr="001C4484">
              <w:rPr>
                <w:noProof/>
                <w:sz w:val="10"/>
                <w:szCs w:val="10"/>
              </w:rPr>
              <w:t>145,00</w:t>
            </w:r>
          </w:p>
        </w:tc>
        <w:tc>
          <w:tcPr>
            <w:tcW w:w="0" w:type="auto"/>
            <w:shd w:val="clear" w:color="auto" w:fill="auto"/>
          </w:tcPr>
          <w:p w14:paraId="733C69FF" w14:textId="77777777" w:rsidR="008C5CFA" w:rsidRPr="001C4484" w:rsidRDefault="00E82A60" w:rsidP="00300A01">
            <w:pPr>
              <w:spacing w:before="0" w:after="0"/>
              <w:jc w:val="right"/>
              <w:rPr>
                <w:sz w:val="10"/>
                <w:szCs w:val="10"/>
                <w:lang w:val="fr-BE"/>
              </w:rPr>
            </w:pPr>
            <w:r w:rsidRPr="001C4484">
              <w:rPr>
                <w:noProof/>
                <w:sz w:val="10"/>
                <w:szCs w:val="10"/>
              </w:rPr>
              <w:t>157,00</w:t>
            </w:r>
          </w:p>
        </w:tc>
        <w:tc>
          <w:tcPr>
            <w:tcW w:w="0" w:type="auto"/>
          </w:tcPr>
          <w:p w14:paraId="6FBB444F" w14:textId="77777777" w:rsidR="008C5CFA" w:rsidRPr="001C4484" w:rsidRDefault="00E82A60" w:rsidP="00300A01">
            <w:pPr>
              <w:spacing w:before="0" w:after="0"/>
              <w:jc w:val="right"/>
              <w:rPr>
                <w:sz w:val="10"/>
                <w:szCs w:val="10"/>
              </w:rPr>
            </w:pPr>
            <w:r>
              <w:rPr>
                <w:noProof/>
                <w:sz w:val="10"/>
                <w:szCs w:val="10"/>
              </w:rPr>
              <w:t>114,00</w:t>
            </w:r>
          </w:p>
        </w:tc>
        <w:tc>
          <w:tcPr>
            <w:tcW w:w="0" w:type="auto"/>
            <w:shd w:val="clear" w:color="auto" w:fill="auto"/>
          </w:tcPr>
          <w:p w14:paraId="7E388175" w14:textId="77777777" w:rsidR="008C5CFA" w:rsidRPr="001C4484" w:rsidRDefault="00E82A60" w:rsidP="00300A01">
            <w:pPr>
              <w:spacing w:before="0" w:after="0"/>
              <w:jc w:val="right"/>
              <w:rPr>
                <w:sz w:val="10"/>
                <w:szCs w:val="10"/>
              </w:rPr>
            </w:pPr>
            <w:r w:rsidRPr="001C4484">
              <w:rPr>
                <w:noProof/>
                <w:sz w:val="10"/>
                <w:szCs w:val="10"/>
              </w:rPr>
              <w:t>59,00</w:t>
            </w:r>
          </w:p>
        </w:tc>
        <w:tc>
          <w:tcPr>
            <w:tcW w:w="0" w:type="auto"/>
            <w:shd w:val="clear" w:color="auto" w:fill="auto"/>
          </w:tcPr>
          <w:p w14:paraId="58CB61F5" w14:textId="77777777" w:rsidR="008C5CFA" w:rsidRPr="001C4484" w:rsidRDefault="00E82A60" w:rsidP="00300A01">
            <w:pPr>
              <w:spacing w:before="0" w:after="0"/>
              <w:jc w:val="right"/>
              <w:rPr>
                <w:sz w:val="10"/>
                <w:szCs w:val="10"/>
                <w:lang w:val="fr-BE"/>
              </w:rPr>
            </w:pPr>
            <w:r w:rsidRPr="001C4484">
              <w:rPr>
                <w:noProof/>
                <w:sz w:val="10"/>
                <w:szCs w:val="10"/>
              </w:rPr>
              <w:t>55,00</w:t>
            </w:r>
          </w:p>
        </w:tc>
      </w:tr>
      <w:tr w:rsidR="006B2EC1" w14:paraId="433B5DB7" w14:textId="77777777" w:rsidTr="0047688D">
        <w:tc>
          <w:tcPr>
            <w:tcW w:w="0" w:type="auto"/>
            <w:shd w:val="clear" w:color="auto" w:fill="auto"/>
          </w:tcPr>
          <w:p w14:paraId="18EB3A54" w14:textId="77777777" w:rsidR="008C5CFA" w:rsidRPr="001C4484" w:rsidRDefault="00E82A60" w:rsidP="00300A01">
            <w:pPr>
              <w:spacing w:before="0" w:after="0"/>
              <w:rPr>
                <w:sz w:val="10"/>
                <w:szCs w:val="10"/>
                <w:lang w:val="fr-BE"/>
              </w:rPr>
            </w:pPr>
            <w:r w:rsidRPr="001C4484">
              <w:rPr>
                <w:noProof/>
                <w:sz w:val="10"/>
                <w:szCs w:val="10"/>
                <w:lang w:val="fr-BE"/>
              </w:rPr>
              <w:t>CO07</w:t>
            </w:r>
          </w:p>
        </w:tc>
        <w:tc>
          <w:tcPr>
            <w:tcW w:w="0" w:type="auto"/>
            <w:shd w:val="clear" w:color="auto" w:fill="auto"/>
          </w:tcPr>
          <w:p w14:paraId="13295FE4" w14:textId="77777777" w:rsidR="008C5CFA" w:rsidRPr="001C4484" w:rsidRDefault="00E82A60" w:rsidP="00300A01">
            <w:pPr>
              <w:spacing w:before="0" w:after="0"/>
              <w:rPr>
                <w:sz w:val="10"/>
                <w:szCs w:val="10"/>
                <w:lang w:val="fr-BE"/>
              </w:rPr>
            </w:pPr>
            <w:r w:rsidRPr="001C4484">
              <w:rPr>
                <w:noProof/>
                <w:sz w:val="10"/>
                <w:szCs w:val="10"/>
                <w:lang w:val="fr-BE"/>
              </w:rPr>
              <w:t>osoby w wieku powyżej 54 lat</w:t>
            </w:r>
          </w:p>
        </w:tc>
        <w:tc>
          <w:tcPr>
            <w:tcW w:w="0" w:type="auto"/>
            <w:shd w:val="clear" w:color="auto" w:fill="auto"/>
          </w:tcPr>
          <w:p w14:paraId="35506A39"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6907CF9E" w14:textId="77777777" w:rsidR="008C5CFA" w:rsidRPr="001C4484" w:rsidRDefault="00E82A60" w:rsidP="00300A01">
            <w:pPr>
              <w:spacing w:before="0" w:after="0"/>
              <w:jc w:val="right"/>
              <w:rPr>
                <w:sz w:val="10"/>
                <w:szCs w:val="10"/>
              </w:rPr>
            </w:pPr>
            <w:r>
              <w:rPr>
                <w:noProof/>
                <w:sz w:val="10"/>
                <w:szCs w:val="10"/>
              </w:rPr>
              <w:t>1,00</w:t>
            </w:r>
          </w:p>
        </w:tc>
        <w:tc>
          <w:tcPr>
            <w:tcW w:w="0" w:type="auto"/>
            <w:shd w:val="clear" w:color="auto" w:fill="auto"/>
          </w:tcPr>
          <w:p w14:paraId="6BB4C21A"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10875A42" w14:textId="77777777" w:rsidR="008C5CFA" w:rsidRPr="001C4484" w:rsidRDefault="00E82A60" w:rsidP="00300A01">
            <w:pPr>
              <w:spacing w:before="0" w:after="0"/>
              <w:jc w:val="right"/>
              <w:rPr>
                <w:sz w:val="10"/>
                <w:szCs w:val="10"/>
                <w:lang w:val="fr-BE"/>
              </w:rPr>
            </w:pPr>
            <w:r w:rsidRPr="001C4484">
              <w:rPr>
                <w:noProof/>
                <w:sz w:val="10"/>
                <w:szCs w:val="10"/>
              </w:rPr>
              <w:t>1,00</w:t>
            </w:r>
          </w:p>
        </w:tc>
        <w:tc>
          <w:tcPr>
            <w:tcW w:w="0" w:type="auto"/>
          </w:tcPr>
          <w:p w14:paraId="339E3E5D" w14:textId="77777777" w:rsidR="008C5CFA" w:rsidRPr="001C4484" w:rsidRDefault="00E82A60" w:rsidP="00300A01">
            <w:pPr>
              <w:spacing w:before="0" w:after="0"/>
              <w:jc w:val="right"/>
              <w:rPr>
                <w:sz w:val="10"/>
                <w:szCs w:val="10"/>
              </w:rPr>
            </w:pPr>
            <w:r>
              <w:rPr>
                <w:noProof/>
                <w:sz w:val="10"/>
                <w:szCs w:val="10"/>
              </w:rPr>
              <w:t>3,00</w:t>
            </w:r>
          </w:p>
        </w:tc>
        <w:tc>
          <w:tcPr>
            <w:tcW w:w="0" w:type="auto"/>
            <w:shd w:val="clear" w:color="auto" w:fill="auto"/>
          </w:tcPr>
          <w:p w14:paraId="58CB4BF4" w14:textId="77777777" w:rsidR="008C5CFA" w:rsidRPr="001C4484" w:rsidRDefault="00E82A60" w:rsidP="00300A01">
            <w:pPr>
              <w:spacing w:before="0" w:after="0"/>
              <w:jc w:val="right"/>
              <w:rPr>
                <w:sz w:val="10"/>
                <w:szCs w:val="10"/>
              </w:rPr>
            </w:pPr>
            <w:r w:rsidRPr="001C4484">
              <w:rPr>
                <w:noProof/>
                <w:sz w:val="10"/>
                <w:szCs w:val="10"/>
              </w:rPr>
              <w:t>1,00</w:t>
            </w:r>
          </w:p>
        </w:tc>
        <w:tc>
          <w:tcPr>
            <w:tcW w:w="0" w:type="auto"/>
            <w:shd w:val="clear" w:color="auto" w:fill="auto"/>
          </w:tcPr>
          <w:p w14:paraId="0A2DA523" w14:textId="77777777" w:rsidR="008C5CFA" w:rsidRPr="001C4484" w:rsidRDefault="00E82A60" w:rsidP="00300A01">
            <w:pPr>
              <w:spacing w:before="0" w:after="0"/>
              <w:jc w:val="right"/>
              <w:rPr>
                <w:sz w:val="10"/>
                <w:szCs w:val="10"/>
                <w:lang w:val="fr-BE"/>
              </w:rPr>
            </w:pPr>
            <w:r w:rsidRPr="001C4484">
              <w:rPr>
                <w:noProof/>
                <w:sz w:val="10"/>
                <w:szCs w:val="10"/>
              </w:rPr>
              <w:t>2,00</w:t>
            </w:r>
          </w:p>
        </w:tc>
        <w:tc>
          <w:tcPr>
            <w:tcW w:w="0" w:type="auto"/>
          </w:tcPr>
          <w:p w14:paraId="1424ECDC"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679F6FCA"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6A90773D" w14:textId="77777777" w:rsidR="008C5CFA" w:rsidRPr="001C4484" w:rsidRDefault="00E82A60" w:rsidP="00300A01">
            <w:pPr>
              <w:spacing w:before="0" w:after="0"/>
              <w:jc w:val="right"/>
              <w:rPr>
                <w:sz w:val="10"/>
                <w:szCs w:val="10"/>
                <w:lang w:val="fr-BE"/>
              </w:rPr>
            </w:pPr>
            <w:r w:rsidRPr="001C4484">
              <w:rPr>
                <w:noProof/>
                <w:sz w:val="10"/>
                <w:szCs w:val="10"/>
              </w:rPr>
              <w:t>0,00</w:t>
            </w:r>
          </w:p>
        </w:tc>
      </w:tr>
      <w:tr w:rsidR="006B2EC1" w14:paraId="0D2472D0" w14:textId="77777777" w:rsidTr="0047688D">
        <w:tc>
          <w:tcPr>
            <w:tcW w:w="0" w:type="auto"/>
            <w:shd w:val="clear" w:color="auto" w:fill="auto"/>
          </w:tcPr>
          <w:p w14:paraId="5787074D" w14:textId="77777777" w:rsidR="008C5CFA" w:rsidRPr="001C4484" w:rsidRDefault="00E82A60" w:rsidP="00300A01">
            <w:pPr>
              <w:spacing w:before="0" w:after="0"/>
              <w:rPr>
                <w:sz w:val="10"/>
                <w:szCs w:val="10"/>
                <w:lang w:val="fr-BE"/>
              </w:rPr>
            </w:pPr>
            <w:r w:rsidRPr="001C4484">
              <w:rPr>
                <w:noProof/>
                <w:sz w:val="10"/>
                <w:szCs w:val="10"/>
                <w:lang w:val="fr-BE"/>
              </w:rPr>
              <w:t>CO08</w:t>
            </w:r>
          </w:p>
        </w:tc>
        <w:tc>
          <w:tcPr>
            <w:tcW w:w="0" w:type="auto"/>
            <w:shd w:val="clear" w:color="auto" w:fill="auto"/>
          </w:tcPr>
          <w:p w14:paraId="722FFC4C" w14:textId="77777777" w:rsidR="008C5CFA" w:rsidRPr="001C4484" w:rsidRDefault="00E82A60" w:rsidP="00300A01">
            <w:pPr>
              <w:spacing w:before="0" w:after="0"/>
              <w:rPr>
                <w:sz w:val="10"/>
                <w:szCs w:val="10"/>
                <w:lang w:val="fr-BE"/>
              </w:rPr>
            </w:pPr>
            <w:r w:rsidRPr="001C4484">
              <w:rPr>
                <w:noProof/>
                <w:sz w:val="10"/>
                <w:szCs w:val="10"/>
                <w:lang w:val="fr-BE"/>
              </w:rPr>
              <w:t>osoby powyżej 54 lat, które są bezrobotne, łącznie z długotrwale bezrobotnymi, lub są bierne zawodowo i nie uczestniczą w kształceniu ani szkoleniu</w:t>
            </w:r>
          </w:p>
        </w:tc>
        <w:tc>
          <w:tcPr>
            <w:tcW w:w="0" w:type="auto"/>
            <w:shd w:val="clear" w:color="auto" w:fill="auto"/>
          </w:tcPr>
          <w:p w14:paraId="35EEDBF5"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277912A8"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6ACD89E6"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6A3038B5" w14:textId="77777777" w:rsidR="008C5CFA" w:rsidRPr="001C4484" w:rsidRDefault="00E82A60" w:rsidP="00300A01">
            <w:pPr>
              <w:spacing w:before="0" w:after="0"/>
              <w:jc w:val="right"/>
              <w:rPr>
                <w:sz w:val="10"/>
                <w:szCs w:val="10"/>
                <w:lang w:val="fr-BE"/>
              </w:rPr>
            </w:pPr>
            <w:r w:rsidRPr="001C4484">
              <w:rPr>
                <w:noProof/>
                <w:sz w:val="10"/>
                <w:szCs w:val="10"/>
              </w:rPr>
              <w:t>0,00</w:t>
            </w:r>
          </w:p>
        </w:tc>
        <w:tc>
          <w:tcPr>
            <w:tcW w:w="0" w:type="auto"/>
          </w:tcPr>
          <w:p w14:paraId="56FC7735" w14:textId="77777777" w:rsidR="008C5CFA" w:rsidRPr="001C4484" w:rsidRDefault="00E82A60" w:rsidP="00300A01">
            <w:pPr>
              <w:spacing w:before="0" w:after="0"/>
              <w:jc w:val="right"/>
              <w:rPr>
                <w:sz w:val="10"/>
                <w:szCs w:val="10"/>
              </w:rPr>
            </w:pPr>
            <w:r>
              <w:rPr>
                <w:noProof/>
                <w:sz w:val="10"/>
                <w:szCs w:val="10"/>
              </w:rPr>
              <w:t>2,00</w:t>
            </w:r>
          </w:p>
        </w:tc>
        <w:tc>
          <w:tcPr>
            <w:tcW w:w="0" w:type="auto"/>
            <w:shd w:val="clear" w:color="auto" w:fill="auto"/>
          </w:tcPr>
          <w:p w14:paraId="2E7604F8" w14:textId="77777777" w:rsidR="008C5CFA" w:rsidRPr="001C4484" w:rsidRDefault="00E82A60" w:rsidP="00300A01">
            <w:pPr>
              <w:spacing w:before="0" w:after="0"/>
              <w:jc w:val="right"/>
              <w:rPr>
                <w:sz w:val="10"/>
                <w:szCs w:val="10"/>
              </w:rPr>
            </w:pPr>
            <w:r w:rsidRPr="001C4484">
              <w:rPr>
                <w:noProof/>
                <w:sz w:val="10"/>
                <w:szCs w:val="10"/>
              </w:rPr>
              <w:t>1,00</w:t>
            </w:r>
          </w:p>
        </w:tc>
        <w:tc>
          <w:tcPr>
            <w:tcW w:w="0" w:type="auto"/>
            <w:shd w:val="clear" w:color="auto" w:fill="auto"/>
          </w:tcPr>
          <w:p w14:paraId="00A97A56" w14:textId="77777777" w:rsidR="008C5CFA" w:rsidRPr="001C4484" w:rsidRDefault="00E82A60" w:rsidP="00300A01">
            <w:pPr>
              <w:spacing w:before="0" w:after="0"/>
              <w:jc w:val="right"/>
              <w:rPr>
                <w:sz w:val="10"/>
                <w:szCs w:val="10"/>
                <w:lang w:val="fr-BE"/>
              </w:rPr>
            </w:pPr>
            <w:r w:rsidRPr="001C4484">
              <w:rPr>
                <w:noProof/>
                <w:sz w:val="10"/>
                <w:szCs w:val="10"/>
              </w:rPr>
              <w:t>1,00</w:t>
            </w:r>
          </w:p>
        </w:tc>
        <w:tc>
          <w:tcPr>
            <w:tcW w:w="0" w:type="auto"/>
          </w:tcPr>
          <w:p w14:paraId="00C6D95D"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678D6707"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36B65D42" w14:textId="77777777" w:rsidR="008C5CFA" w:rsidRPr="001C4484" w:rsidRDefault="00E82A60" w:rsidP="00300A01">
            <w:pPr>
              <w:spacing w:before="0" w:after="0"/>
              <w:jc w:val="right"/>
              <w:rPr>
                <w:sz w:val="10"/>
                <w:szCs w:val="10"/>
                <w:lang w:val="fr-BE"/>
              </w:rPr>
            </w:pPr>
            <w:r w:rsidRPr="001C4484">
              <w:rPr>
                <w:noProof/>
                <w:sz w:val="10"/>
                <w:szCs w:val="10"/>
              </w:rPr>
              <w:t>0,00</w:t>
            </w:r>
          </w:p>
        </w:tc>
      </w:tr>
      <w:tr w:rsidR="006B2EC1" w14:paraId="4375974C" w14:textId="77777777" w:rsidTr="0047688D">
        <w:tc>
          <w:tcPr>
            <w:tcW w:w="0" w:type="auto"/>
            <w:shd w:val="clear" w:color="auto" w:fill="auto"/>
          </w:tcPr>
          <w:p w14:paraId="4A555421" w14:textId="77777777" w:rsidR="008C5CFA" w:rsidRPr="001C4484" w:rsidRDefault="00E82A60" w:rsidP="00300A01">
            <w:pPr>
              <w:spacing w:before="0" w:after="0"/>
              <w:rPr>
                <w:sz w:val="10"/>
                <w:szCs w:val="10"/>
                <w:lang w:val="fr-BE"/>
              </w:rPr>
            </w:pPr>
            <w:r w:rsidRPr="001C4484">
              <w:rPr>
                <w:noProof/>
                <w:sz w:val="10"/>
                <w:szCs w:val="10"/>
                <w:lang w:val="fr-BE"/>
              </w:rPr>
              <w:t>CO09</w:t>
            </w:r>
          </w:p>
        </w:tc>
        <w:tc>
          <w:tcPr>
            <w:tcW w:w="0" w:type="auto"/>
            <w:shd w:val="clear" w:color="auto" w:fill="auto"/>
          </w:tcPr>
          <w:p w14:paraId="4689432A" w14:textId="77777777" w:rsidR="008C5CFA" w:rsidRPr="001C4484" w:rsidRDefault="00E82A60" w:rsidP="00300A01">
            <w:pPr>
              <w:spacing w:before="0" w:after="0"/>
              <w:rPr>
                <w:sz w:val="10"/>
                <w:szCs w:val="10"/>
                <w:lang w:val="fr-BE"/>
              </w:rPr>
            </w:pPr>
            <w:r w:rsidRPr="001C4484">
              <w:rPr>
                <w:noProof/>
                <w:sz w:val="10"/>
                <w:szCs w:val="10"/>
                <w:lang w:val="fr-BE"/>
              </w:rPr>
              <w:t>osoby z wykształceniem podstawowym (ISCED 1) lub średnim I stopnia (ISCED 2)</w:t>
            </w:r>
          </w:p>
        </w:tc>
        <w:tc>
          <w:tcPr>
            <w:tcW w:w="0" w:type="auto"/>
            <w:shd w:val="clear" w:color="auto" w:fill="auto"/>
          </w:tcPr>
          <w:p w14:paraId="1AE27F8C"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7E43D6CD" w14:textId="77777777" w:rsidR="008C5CFA" w:rsidRPr="001C4484" w:rsidRDefault="00E82A60" w:rsidP="00300A01">
            <w:pPr>
              <w:spacing w:before="0" w:after="0"/>
              <w:jc w:val="right"/>
              <w:rPr>
                <w:sz w:val="10"/>
                <w:szCs w:val="10"/>
              </w:rPr>
            </w:pPr>
            <w:r>
              <w:rPr>
                <w:noProof/>
                <w:sz w:val="10"/>
                <w:szCs w:val="10"/>
              </w:rPr>
              <w:t>7,00</w:t>
            </w:r>
          </w:p>
        </w:tc>
        <w:tc>
          <w:tcPr>
            <w:tcW w:w="0" w:type="auto"/>
            <w:shd w:val="clear" w:color="auto" w:fill="auto"/>
          </w:tcPr>
          <w:p w14:paraId="0B94787A" w14:textId="77777777" w:rsidR="008C5CFA" w:rsidRPr="001C4484" w:rsidRDefault="00E82A60" w:rsidP="00300A01">
            <w:pPr>
              <w:spacing w:before="0" w:after="0"/>
              <w:jc w:val="right"/>
              <w:rPr>
                <w:sz w:val="10"/>
                <w:szCs w:val="10"/>
              </w:rPr>
            </w:pPr>
            <w:r w:rsidRPr="001C4484">
              <w:rPr>
                <w:noProof/>
                <w:sz w:val="10"/>
                <w:szCs w:val="10"/>
              </w:rPr>
              <w:t>1,00</w:t>
            </w:r>
          </w:p>
        </w:tc>
        <w:tc>
          <w:tcPr>
            <w:tcW w:w="0" w:type="auto"/>
            <w:shd w:val="clear" w:color="auto" w:fill="auto"/>
          </w:tcPr>
          <w:p w14:paraId="59DE997D" w14:textId="77777777" w:rsidR="008C5CFA" w:rsidRPr="001C4484" w:rsidRDefault="00E82A60" w:rsidP="00300A01">
            <w:pPr>
              <w:spacing w:before="0" w:after="0"/>
              <w:jc w:val="right"/>
              <w:rPr>
                <w:sz w:val="10"/>
                <w:szCs w:val="10"/>
                <w:lang w:val="fr-BE"/>
              </w:rPr>
            </w:pPr>
            <w:r w:rsidRPr="001C4484">
              <w:rPr>
                <w:noProof/>
                <w:sz w:val="10"/>
                <w:szCs w:val="10"/>
              </w:rPr>
              <w:t>6,00</w:t>
            </w:r>
          </w:p>
        </w:tc>
        <w:tc>
          <w:tcPr>
            <w:tcW w:w="0" w:type="auto"/>
          </w:tcPr>
          <w:p w14:paraId="4BB340F4" w14:textId="77777777" w:rsidR="008C5CFA" w:rsidRPr="001C4484" w:rsidRDefault="00E82A60" w:rsidP="00300A01">
            <w:pPr>
              <w:spacing w:before="0" w:after="0"/>
              <w:jc w:val="right"/>
              <w:rPr>
                <w:sz w:val="10"/>
                <w:szCs w:val="10"/>
              </w:rPr>
            </w:pPr>
            <w:r>
              <w:rPr>
                <w:noProof/>
                <w:sz w:val="10"/>
                <w:szCs w:val="10"/>
              </w:rPr>
              <w:t>10,00</w:t>
            </w:r>
          </w:p>
        </w:tc>
        <w:tc>
          <w:tcPr>
            <w:tcW w:w="0" w:type="auto"/>
            <w:shd w:val="clear" w:color="auto" w:fill="auto"/>
          </w:tcPr>
          <w:p w14:paraId="36CFA3BD" w14:textId="77777777" w:rsidR="008C5CFA" w:rsidRPr="001C4484" w:rsidRDefault="00E82A60" w:rsidP="00300A01">
            <w:pPr>
              <w:spacing w:before="0" w:after="0"/>
              <w:jc w:val="right"/>
              <w:rPr>
                <w:sz w:val="10"/>
                <w:szCs w:val="10"/>
              </w:rPr>
            </w:pPr>
            <w:r w:rsidRPr="001C4484">
              <w:rPr>
                <w:noProof/>
                <w:sz w:val="10"/>
                <w:szCs w:val="10"/>
              </w:rPr>
              <w:t>2,00</w:t>
            </w:r>
          </w:p>
        </w:tc>
        <w:tc>
          <w:tcPr>
            <w:tcW w:w="0" w:type="auto"/>
            <w:shd w:val="clear" w:color="auto" w:fill="auto"/>
          </w:tcPr>
          <w:p w14:paraId="56C94DFE" w14:textId="77777777" w:rsidR="008C5CFA" w:rsidRPr="001C4484" w:rsidRDefault="00E82A60" w:rsidP="00300A01">
            <w:pPr>
              <w:spacing w:before="0" w:after="0"/>
              <w:jc w:val="right"/>
              <w:rPr>
                <w:sz w:val="10"/>
                <w:szCs w:val="10"/>
                <w:lang w:val="fr-BE"/>
              </w:rPr>
            </w:pPr>
            <w:r w:rsidRPr="001C4484">
              <w:rPr>
                <w:noProof/>
                <w:sz w:val="10"/>
                <w:szCs w:val="10"/>
              </w:rPr>
              <w:t>8,00</w:t>
            </w:r>
          </w:p>
        </w:tc>
        <w:tc>
          <w:tcPr>
            <w:tcW w:w="0" w:type="auto"/>
          </w:tcPr>
          <w:p w14:paraId="03C1FC4B" w14:textId="77777777" w:rsidR="008C5CFA" w:rsidRPr="001C4484" w:rsidRDefault="00E82A60" w:rsidP="00300A01">
            <w:pPr>
              <w:spacing w:before="0" w:after="0"/>
              <w:jc w:val="right"/>
              <w:rPr>
                <w:sz w:val="10"/>
                <w:szCs w:val="10"/>
              </w:rPr>
            </w:pPr>
            <w:r>
              <w:rPr>
                <w:noProof/>
                <w:sz w:val="10"/>
                <w:szCs w:val="10"/>
              </w:rPr>
              <w:t>1,00</w:t>
            </w:r>
          </w:p>
        </w:tc>
        <w:tc>
          <w:tcPr>
            <w:tcW w:w="0" w:type="auto"/>
            <w:shd w:val="clear" w:color="auto" w:fill="auto"/>
          </w:tcPr>
          <w:p w14:paraId="43F875C1"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2DCA42E8" w14:textId="77777777" w:rsidR="008C5CFA" w:rsidRPr="001C4484" w:rsidRDefault="00E82A60" w:rsidP="00300A01">
            <w:pPr>
              <w:spacing w:before="0" w:after="0"/>
              <w:jc w:val="right"/>
              <w:rPr>
                <w:sz w:val="10"/>
                <w:szCs w:val="10"/>
                <w:lang w:val="fr-BE"/>
              </w:rPr>
            </w:pPr>
            <w:r w:rsidRPr="001C4484">
              <w:rPr>
                <w:noProof/>
                <w:sz w:val="10"/>
                <w:szCs w:val="10"/>
              </w:rPr>
              <w:t>1,00</w:t>
            </w:r>
          </w:p>
        </w:tc>
      </w:tr>
      <w:tr w:rsidR="006B2EC1" w14:paraId="683E88FC" w14:textId="77777777" w:rsidTr="0047688D">
        <w:tc>
          <w:tcPr>
            <w:tcW w:w="0" w:type="auto"/>
            <w:shd w:val="clear" w:color="auto" w:fill="auto"/>
          </w:tcPr>
          <w:p w14:paraId="113A105C" w14:textId="77777777" w:rsidR="008C5CFA" w:rsidRPr="001C4484" w:rsidRDefault="00E82A60" w:rsidP="00300A01">
            <w:pPr>
              <w:spacing w:before="0" w:after="0"/>
              <w:rPr>
                <w:sz w:val="10"/>
                <w:szCs w:val="10"/>
                <w:lang w:val="fr-BE"/>
              </w:rPr>
            </w:pPr>
            <w:r w:rsidRPr="001C4484">
              <w:rPr>
                <w:noProof/>
                <w:sz w:val="10"/>
                <w:szCs w:val="10"/>
                <w:lang w:val="fr-BE"/>
              </w:rPr>
              <w:t>CO10</w:t>
            </w:r>
          </w:p>
        </w:tc>
        <w:tc>
          <w:tcPr>
            <w:tcW w:w="0" w:type="auto"/>
            <w:shd w:val="clear" w:color="auto" w:fill="auto"/>
          </w:tcPr>
          <w:p w14:paraId="7B92536A" w14:textId="77777777" w:rsidR="008C5CFA" w:rsidRPr="001C4484" w:rsidRDefault="00E82A60" w:rsidP="00300A01">
            <w:pPr>
              <w:spacing w:before="0" w:after="0"/>
              <w:rPr>
                <w:sz w:val="10"/>
                <w:szCs w:val="10"/>
                <w:lang w:val="fr-BE"/>
              </w:rPr>
            </w:pPr>
            <w:r w:rsidRPr="001C4484">
              <w:rPr>
                <w:noProof/>
                <w:sz w:val="10"/>
                <w:szCs w:val="10"/>
                <w:lang w:val="fr-BE"/>
              </w:rPr>
              <w:t>osoby z wykształceniem średnim II stopnia (ISCED 3) lub policealnym (ISCED 4)</w:t>
            </w:r>
          </w:p>
        </w:tc>
        <w:tc>
          <w:tcPr>
            <w:tcW w:w="0" w:type="auto"/>
            <w:shd w:val="clear" w:color="auto" w:fill="auto"/>
          </w:tcPr>
          <w:p w14:paraId="3796F9FA"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3600B806" w14:textId="77777777" w:rsidR="008C5CFA" w:rsidRPr="001C4484" w:rsidRDefault="00E82A60" w:rsidP="00300A01">
            <w:pPr>
              <w:spacing w:before="0" w:after="0"/>
              <w:jc w:val="right"/>
              <w:rPr>
                <w:sz w:val="10"/>
                <w:szCs w:val="10"/>
              </w:rPr>
            </w:pPr>
            <w:r>
              <w:rPr>
                <w:noProof/>
                <w:sz w:val="10"/>
                <w:szCs w:val="10"/>
              </w:rPr>
              <w:t>99,00</w:t>
            </w:r>
          </w:p>
        </w:tc>
        <w:tc>
          <w:tcPr>
            <w:tcW w:w="0" w:type="auto"/>
            <w:shd w:val="clear" w:color="auto" w:fill="auto"/>
          </w:tcPr>
          <w:p w14:paraId="54A08D9A" w14:textId="77777777" w:rsidR="008C5CFA" w:rsidRPr="001C4484" w:rsidRDefault="00E82A60" w:rsidP="00300A01">
            <w:pPr>
              <w:spacing w:before="0" w:after="0"/>
              <w:jc w:val="right"/>
              <w:rPr>
                <w:sz w:val="10"/>
                <w:szCs w:val="10"/>
              </w:rPr>
            </w:pPr>
            <w:r w:rsidRPr="001C4484">
              <w:rPr>
                <w:noProof/>
                <w:sz w:val="10"/>
                <w:szCs w:val="10"/>
              </w:rPr>
              <w:t>12,00</w:t>
            </w:r>
          </w:p>
        </w:tc>
        <w:tc>
          <w:tcPr>
            <w:tcW w:w="0" w:type="auto"/>
            <w:shd w:val="clear" w:color="auto" w:fill="auto"/>
          </w:tcPr>
          <w:p w14:paraId="2E653B77" w14:textId="77777777" w:rsidR="008C5CFA" w:rsidRPr="001C4484" w:rsidRDefault="00E82A60" w:rsidP="00300A01">
            <w:pPr>
              <w:spacing w:before="0" w:after="0"/>
              <w:jc w:val="right"/>
              <w:rPr>
                <w:sz w:val="10"/>
                <w:szCs w:val="10"/>
                <w:lang w:val="fr-BE"/>
              </w:rPr>
            </w:pPr>
            <w:r w:rsidRPr="001C4484">
              <w:rPr>
                <w:noProof/>
                <w:sz w:val="10"/>
                <w:szCs w:val="10"/>
              </w:rPr>
              <w:t>87,00</w:t>
            </w:r>
          </w:p>
        </w:tc>
        <w:tc>
          <w:tcPr>
            <w:tcW w:w="0" w:type="auto"/>
          </w:tcPr>
          <w:p w14:paraId="7CA71AFE" w14:textId="77777777" w:rsidR="008C5CFA" w:rsidRPr="001C4484" w:rsidRDefault="00E82A60" w:rsidP="00300A01">
            <w:pPr>
              <w:spacing w:before="0" w:after="0"/>
              <w:jc w:val="right"/>
              <w:rPr>
                <w:sz w:val="10"/>
                <w:szCs w:val="10"/>
              </w:rPr>
            </w:pPr>
            <w:r>
              <w:rPr>
                <w:noProof/>
                <w:sz w:val="10"/>
                <w:szCs w:val="10"/>
              </w:rPr>
              <w:t>97,00</w:t>
            </w:r>
          </w:p>
        </w:tc>
        <w:tc>
          <w:tcPr>
            <w:tcW w:w="0" w:type="auto"/>
            <w:shd w:val="clear" w:color="auto" w:fill="auto"/>
          </w:tcPr>
          <w:p w14:paraId="31C38F84" w14:textId="77777777" w:rsidR="008C5CFA" w:rsidRPr="001C4484" w:rsidRDefault="00E82A60" w:rsidP="00300A01">
            <w:pPr>
              <w:spacing w:before="0" w:after="0"/>
              <w:jc w:val="right"/>
              <w:rPr>
                <w:sz w:val="10"/>
                <w:szCs w:val="10"/>
              </w:rPr>
            </w:pPr>
            <w:r w:rsidRPr="001C4484">
              <w:rPr>
                <w:noProof/>
                <w:sz w:val="10"/>
                <w:szCs w:val="10"/>
              </w:rPr>
              <w:t>11,00</w:t>
            </w:r>
          </w:p>
        </w:tc>
        <w:tc>
          <w:tcPr>
            <w:tcW w:w="0" w:type="auto"/>
            <w:shd w:val="clear" w:color="auto" w:fill="auto"/>
          </w:tcPr>
          <w:p w14:paraId="36657D91" w14:textId="77777777" w:rsidR="008C5CFA" w:rsidRPr="001C4484" w:rsidRDefault="00E82A60" w:rsidP="00300A01">
            <w:pPr>
              <w:spacing w:before="0" w:after="0"/>
              <w:jc w:val="right"/>
              <w:rPr>
                <w:sz w:val="10"/>
                <w:szCs w:val="10"/>
                <w:lang w:val="fr-BE"/>
              </w:rPr>
            </w:pPr>
            <w:r w:rsidRPr="001C4484">
              <w:rPr>
                <w:noProof/>
                <w:sz w:val="10"/>
                <w:szCs w:val="10"/>
              </w:rPr>
              <w:t>86,00</w:t>
            </w:r>
          </w:p>
        </w:tc>
        <w:tc>
          <w:tcPr>
            <w:tcW w:w="0" w:type="auto"/>
          </w:tcPr>
          <w:p w14:paraId="6E8EE982" w14:textId="77777777" w:rsidR="008C5CFA" w:rsidRPr="001C4484" w:rsidRDefault="00E82A60" w:rsidP="00300A01">
            <w:pPr>
              <w:spacing w:before="0" w:after="0"/>
              <w:jc w:val="right"/>
              <w:rPr>
                <w:sz w:val="10"/>
                <w:szCs w:val="10"/>
              </w:rPr>
            </w:pPr>
            <w:r>
              <w:rPr>
                <w:noProof/>
                <w:sz w:val="10"/>
                <w:szCs w:val="10"/>
              </w:rPr>
              <w:t>25,00</w:t>
            </w:r>
          </w:p>
        </w:tc>
        <w:tc>
          <w:tcPr>
            <w:tcW w:w="0" w:type="auto"/>
            <w:shd w:val="clear" w:color="auto" w:fill="auto"/>
          </w:tcPr>
          <w:p w14:paraId="7BA10527" w14:textId="77777777" w:rsidR="008C5CFA" w:rsidRPr="001C4484" w:rsidRDefault="00E82A60" w:rsidP="00300A01">
            <w:pPr>
              <w:spacing w:before="0" w:after="0"/>
              <w:jc w:val="right"/>
              <w:rPr>
                <w:sz w:val="10"/>
                <w:szCs w:val="10"/>
              </w:rPr>
            </w:pPr>
            <w:r w:rsidRPr="001C4484">
              <w:rPr>
                <w:noProof/>
                <w:sz w:val="10"/>
                <w:szCs w:val="10"/>
              </w:rPr>
              <w:t>4,00</w:t>
            </w:r>
          </w:p>
        </w:tc>
        <w:tc>
          <w:tcPr>
            <w:tcW w:w="0" w:type="auto"/>
            <w:shd w:val="clear" w:color="auto" w:fill="auto"/>
          </w:tcPr>
          <w:p w14:paraId="6B4F9CC8" w14:textId="77777777" w:rsidR="008C5CFA" w:rsidRPr="001C4484" w:rsidRDefault="00E82A60" w:rsidP="00300A01">
            <w:pPr>
              <w:spacing w:before="0" w:after="0"/>
              <w:jc w:val="right"/>
              <w:rPr>
                <w:sz w:val="10"/>
                <w:szCs w:val="10"/>
                <w:lang w:val="fr-BE"/>
              </w:rPr>
            </w:pPr>
            <w:r w:rsidRPr="001C4484">
              <w:rPr>
                <w:noProof/>
                <w:sz w:val="10"/>
                <w:szCs w:val="10"/>
              </w:rPr>
              <w:t>21,00</w:t>
            </w:r>
          </w:p>
        </w:tc>
      </w:tr>
      <w:tr w:rsidR="006B2EC1" w14:paraId="7DE0ABFE" w14:textId="77777777" w:rsidTr="0047688D">
        <w:tc>
          <w:tcPr>
            <w:tcW w:w="0" w:type="auto"/>
            <w:shd w:val="clear" w:color="auto" w:fill="auto"/>
          </w:tcPr>
          <w:p w14:paraId="421A0DC7" w14:textId="77777777" w:rsidR="008C5CFA" w:rsidRPr="001C4484" w:rsidRDefault="00E82A60" w:rsidP="00300A01">
            <w:pPr>
              <w:spacing w:before="0" w:after="0"/>
              <w:rPr>
                <w:sz w:val="10"/>
                <w:szCs w:val="10"/>
                <w:lang w:val="fr-BE"/>
              </w:rPr>
            </w:pPr>
            <w:r w:rsidRPr="001C4484">
              <w:rPr>
                <w:noProof/>
                <w:sz w:val="10"/>
                <w:szCs w:val="10"/>
                <w:lang w:val="fr-BE"/>
              </w:rPr>
              <w:t>CO11</w:t>
            </w:r>
          </w:p>
        </w:tc>
        <w:tc>
          <w:tcPr>
            <w:tcW w:w="0" w:type="auto"/>
            <w:shd w:val="clear" w:color="auto" w:fill="auto"/>
          </w:tcPr>
          <w:p w14:paraId="7C8F6A26" w14:textId="77777777" w:rsidR="008C5CFA" w:rsidRPr="001C4484" w:rsidRDefault="00E82A60" w:rsidP="00300A01">
            <w:pPr>
              <w:spacing w:before="0" w:after="0"/>
              <w:rPr>
                <w:sz w:val="10"/>
                <w:szCs w:val="10"/>
                <w:lang w:val="fr-BE"/>
              </w:rPr>
            </w:pPr>
            <w:r w:rsidRPr="001C4484">
              <w:rPr>
                <w:noProof/>
                <w:sz w:val="10"/>
                <w:szCs w:val="10"/>
                <w:lang w:val="fr-BE"/>
              </w:rPr>
              <w:t>osoby z wykształceniem wyższym (ISCED 5 do 8)</w:t>
            </w:r>
          </w:p>
        </w:tc>
        <w:tc>
          <w:tcPr>
            <w:tcW w:w="0" w:type="auto"/>
            <w:shd w:val="clear" w:color="auto" w:fill="auto"/>
          </w:tcPr>
          <w:p w14:paraId="24E8325C"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7AE0C551" w14:textId="77777777" w:rsidR="008C5CFA" w:rsidRPr="001C4484" w:rsidRDefault="00E82A60" w:rsidP="00300A01">
            <w:pPr>
              <w:spacing w:before="0" w:after="0"/>
              <w:jc w:val="right"/>
              <w:rPr>
                <w:sz w:val="10"/>
                <w:szCs w:val="10"/>
              </w:rPr>
            </w:pPr>
            <w:r>
              <w:rPr>
                <w:noProof/>
                <w:sz w:val="10"/>
                <w:szCs w:val="10"/>
              </w:rPr>
              <w:t>236,00</w:t>
            </w:r>
          </w:p>
        </w:tc>
        <w:tc>
          <w:tcPr>
            <w:tcW w:w="0" w:type="auto"/>
            <w:shd w:val="clear" w:color="auto" w:fill="auto"/>
          </w:tcPr>
          <w:p w14:paraId="1BFEA2B9" w14:textId="77777777" w:rsidR="008C5CFA" w:rsidRPr="001C4484" w:rsidRDefault="00E82A60" w:rsidP="00300A01">
            <w:pPr>
              <w:spacing w:before="0" w:after="0"/>
              <w:jc w:val="right"/>
              <w:rPr>
                <w:sz w:val="10"/>
                <w:szCs w:val="10"/>
              </w:rPr>
            </w:pPr>
            <w:r w:rsidRPr="001C4484">
              <w:rPr>
                <w:noProof/>
                <w:sz w:val="10"/>
                <w:szCs w:val="10"/>
              </w:rPr>
              <w:t>13,00</w:t>
            </w:r>
          </w:p>
        </w:tc>
        <w:tc>
          <w:tcPr>
            <w:tcW w:w="0" w:type="auto"/>
            <w:shd w:val="clear" w:color="auto" w:fill="auto"/>
          </w:tcPr>
          <w:p w14:paraId="12B55512" w14:textId="77777777" w:rsidR="008C5CFA" w:rsidRPr="001C4484" w:rsidRDefault="00E82A60" w:rsidP="00300A01">
            <w:pPr>
              <w:spacing w:before="0" w:after="0"/>
              <w:jc w:val="right"/>
              <w:rPr>
                <w:sz w:val="10"/>
                <w:szCs w:val="10"/>
                <w:lang w:val="fr-BE"/>
              </w:rPr>
            </w:pPr>
            <w:r w:rsidRPr="001C4484">
              <w:rPr>
                <w:noProof/>
                <w:sz w:val="10"/>
                <w:szCs w:val="10"/>
              </w:rPr>
              <w:t>223,00</w:t>
            </w:r>
          </w:p>
        </w:tc>
        <w:tc>
          <w:tcPr>
            <w:tcW w:w="0" w:type="auto"/>
          </w:tcPr>
          <w:p w14:paraId="518D606A" w14:textId="77777777" w:rsidR="008C5CFA" w:rsidRPr="001C4484" w:rsidRDefault="00E82A60" w:rsidP="00300A01">
            <w:pPr>
              <w:spacing w:before="0" w:after="0"/>
              <w:jc w:val="right"/>
              <w:rPr>
                <w:sz w:val="10"/>
                <w:szCs w:val="10"/>
              </w:rPr>
            </w:pPr>
            <w:r>
              <w:rPr>
                <w:noProof/>
                <w:sz w:val="10"/>
                <w:szCs w:val="10"/>
              </w:rPr>
              <w:t>182,00</w:t>
            </w:r>
          </w:p>
        </w:tc>
        <w:tc>
          <w:tcPr>
            <w:tcW w:w="0" w:type="auto"/>
            <w:shd w:val="clear" w:color="auto" w:fill="auto"/>
          </w:tcPr>
          <w:p w14:paraId="37B8AA49" w14:textId="77777777" w:rsidR="008C5CFA" w:rsidRPr="001C4484" w:rsidRDefault="00E82A60" w:rsidP="00300A01">
            <w:pPr>
              <w:spacing w:before="0" w:after="0"/>
              <w:jc w:val="right"/>
              <w:rPr>
                <w:sz w:val="10"/>
                <w:szCs w:val="10"/>
              </w:rPr>
            </w:pPr>
            <w:r w:rsidRPr="001C4484">
              <w:rPr>
                <w:noProof/>
                <w:sz w:val="10"/>
                <w:szCs w:val="10"/>
              </w:rPr>
              <w:t>13,00</w:t>
            </w:r>
          </w:p>
        </w:tc>
        <w:tc>
          <w:tcPr>
            <w:tcW w:w="0" w:type="auto"/>
            <w:shd w:val="clear" w:color="auto" w:fill="auto"/>
          </w:tcPr>
          <w:p w14:paraId="42697BF3" w14:textId="77777777" w:rsidR="008C5CFA" w:rsidRPr="001C4484" w:rsidRDefault="00E82A60" w:rsidP="00300A01">
            <w:pPr>
              <w:spacing w:before="0" w:after="0"/>
              <w:jc w:val="right"/>
              <w:rPr>
                <w:sz w:val="10"/>
                <w:szCs w:val="10"/>
                <w:lang w:val="fr-BE"/>
              </w:rPr>
            </w:pPr>
            <w:r w:rsidRPr="001C4484">
              <w:rPr>
                <w:noProof/>
                <w:sz w:val="10"/>
                <w:szCs w:val="10"/>
              </w:rPr>
              <w:t>169,00</w:t>
            </w:r>
          </w:p>
        </w:tc>
        <w:tc>
          <w:tcPr>
            <w:tcW w:w="0" w:type="auto"/>
          </w:tcPr>
          <w:p w14:paraId="63C4F36A" w14:textId="77777777" w:rsidR="008C5CFA" w:rsidRPr="001C4484" w:rsidRDefault="00E82A60" w:rsidP="00300A01">
            <w:pPr>
              <w:spacing w:before="0" w:after="0"/>
              <w:jc w:val="right"/>
              <w:rPr>
                <w:sz w:val="10"/>
                <w:szCs w:val="10"/>
              </w:rPr>
            </w:pPr>
            <w:r>
              <w:rPr>
                <w:noProof/>
                <w:sz w:val="10"/>
                <w:szCs w:val="10"/>
              </w:rPr>
              <w:t>76,00</w:t>
            </w:r>
          </w:p>
        </w:tc>
        <w:tc>
          <w:tcPr>
            <w:tcW w:w="0" w:type="auto"/>
            <w:shd w:val="clear" w:color="auto" w:fill="auto"/>
          </w:tcPr>
          <w:p w14:paraId="15BB170E" w14:textId="77777777" w:rsidR="008C5CFA" w:rsidRPr="001C4484" w:rsidRDefault="00E82A60" w:rsidP="00300A01">
            <w:pPr>
              <w:spacing w:before="0" w:after="0"/>
              <w:jc w:val="right"/>
              <w:rPr>
                <w:sz w:val="10"/>
                <w:szCs w:val="10"/>
              </w:rPr>
            </w:pPr>
            <w:r w:rsidRPr="001C4484">
              <w:rPr>
                <w:noProof/>
                <w:sz w:val="10"/>
                <w:szCs w:val="10"/>
              </w:rPr>
              <w:t>3,00</w:t>
            </w:r>
          </w:p>
        </w:tc>
        <w:tc>
          <w:tcPr>
            <w:tcW w:w="0" w:type="auto"/>
            <w:shd w:val="clear" w:color="auto" w:fill="auto"/>
          </w:tcPr>
          <w:p w14:paraId="45703CFE" w14:textId="77777777" w:rsidR="008C5CFA" w:rsidRPr="001C4484" w:rsidRDefault="00E82A60" w:rsidP="00300A01">
            <w:pPr>
              <w:spacing w:before="0" w:after="0"/>
              <w:jc w:val="right"/>
              <w:rPr>
                <w:sz w:val="10"/>
                <w:szCs w:val="10"/>
                <w:lang w:val="fr-BE"/>
              </w:rPr>
            </w:pPr>
            <w:r w:rsidRPr="001C4484">
              <w:rPr>
                <w:noProof/>
                <w:sz w:val="10"/>
                <w:szCs w:val="10"/>
              </w:rPr>
              <w:t>73,00</w:t>
            </w:r>
          </w:p>
        </w:tc>
      </w:tr>
      <w:tr w:rsidR="006B2EC1" w14:paraId="37CBBFC9" w14:textId="77777777" w:rsidTr="0047688D">
        <w:tc>
          <w:tcPr>
            <w:tcW w:w="0" w:type="auto"/>
            <w:shd w:val="clear" w:color="auto" w:fill="auto"/>
          </w:tcPr>
          <w:p w14:paraId="2F3339AB" w14:textId="77777777" w:rsidR="008C5CFA" w:rsidRPr="001C4484" w:rsidRDefault="00E82A60" w:rsidP="00300A01">
            <w:pPr>
              <w:spacing w:before="0" w:after="0"/>
              <w:rPr>
                <w:sz w:val="10"/>
                <w:szCs w:val="10"/>
                <w:lang w:val="fr-BE"/>
              </w:rPr>
            </w:pPr>
            <w:r w:rsidRPr="001C4484">
              <w:rPr>
                <w:noProof/>
                <w:sz w:val="10"/>
                <w:szCs w:val="10"/>
                <w:lang w:val="fr-BE"/>
              </w:rPr>
              <w:t>CO15</w:t>
            </w:r>
          </w:p>
        </w:tc>
        <w:tc>
          <w:tcPr>
            <w:tcW w:w="0" w:type="auto"/>
            <w:shd w:val="clear" w:color="auto" w:fill="auto"/>
          </w:tcPr>
          <w:p w14:paraId="5B381B7A" w14:textId="77777777" w:rsidR="008C5CFA" w:rsidRPr="001C4484" w:rsidRDefault="00E82A60" w:rsidP="00300A01">
            <w:pPr>
              <w:spacing w:before="0" w:after="0"/>
              <w:rPr>
                <w:sz w:val="10"/>
                <w:szCs w:val="10"/>
                <w:lang w:val="fr-BE"/>
              </w:rPr>
            </w:pPr>
            <w:r w:rsidRPr="001C4484">
              <w:rPr>
                <w:noProof/>
                <w:sz w:val="10"/>
                <w:szCs w:val="10"/>
                <w:lang w:val="fr-BE"/>
              </w:rPr>
              <w:t>migranci, uczestnicy obcego pochodzenia, mniejszości (w tym społeczności marginalizowane, takie jak Romowie)</w:t>
            </w:r>
          </w:p>
        </w:tc>
        <w:tc>
          <w:tcPr>
            <w:tcW w:w="0" w:type="auto"/>
            <w:shd w:val="clear" w:color="auto" w:fill="auto"/>
          </w:tcPr>
          <w:p w14:paraId="128306AB"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47A37E73"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6636E1AF"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627CE398" w14:textId="77777777" w:rsidR="008C5CFA" w:rsidRPr="001C4484" w:rsidRDefault="00E82A60" w:rsidP="00300A01">
            <w:pPr>
              <w:spacing w:before="0" w:after="0"/>
              <w:jc w:val="right"/>
              <w:rPr>
                <w:sz w:val="10"/>
                <w:szCs w:val="10"/>
                <w:lang w:val="fr-BE"/>
              </w:rPr>
            </w:pPr>
            <w:r w:rsidRPr="001C4484">
              <w:rPr>
                <w:noProof/>
                <w:sz w:val="10"/>
                <w:szCs w:val="10"/>
              </w:rPr>
              <w:t>0,00</w:t>
            </w:r>
          </w:p>
        </w:tc>
        <w:tc>
          <w:tcPr>
            <w:tcW w:w="0" w:type="auto"/>
          </w:tcPr>
          <w:p w14:paraId="6C342312"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2732561D"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511E51A7" w14:textId="77777777" w:rsidR="008C5CFA" w:rsidRPr="001C4484" w:rsidRDefault="00E82A60" w:rsidP="00300A01">
            <w:pPr>
              <w:spacing w:before="0" w:after="0"/>
              <w:jc w:val="right"/>
              <w:rPr>
                <w:sz w:val="10"/>
                <w:szCs w:val="10"/>
                <w:lang w:val="fr-BE"/>
              </w:rPr>
            </w:pPr>
            <w:r w:rsidRPr="001C4484">
              <w:rPr>
                <w:noProof/>
                <w:sz w:val="10"/>
                <w:szCs w:val="10"/>
              </w:rPr>
              <w:t>0,00</w:t>
            </w:r>
          </w:p>
        </w:tc>
        <w:tc>
          <w:tcPr>
            <w:tcW w:w="0" w:type="auto"/>
          </w:tcPr>
          <w:p w14:paraId="132F5993"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1A8C1114"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0A77FA58" w14:textId="77777777" w:rsidR="008C5CFA" w:rsidRPr="001C4484" w:rsidRDefault="00E82A60" w:rsidP="00300A01">
            <w:pPr>
              <w:spacing w:before="0" w:after="0"/>
              <w:jc w:val="right"/>
              <w:rPr>
                <w:sz w:val="10"/>
                <w:szCs w:val="10"/>
                <w:lang w:val="fr-BE"/>
              </w:rPr>
            </w:pPr>
            <w:r w:rsidRPr="001C4484">
              <w:rPr>
                <w:noProof/>
                <w:sz w:val="10"/>
                <w:szCs w:val="10"/>
              </w:rPr>
              <w:t>0,00</w:t>
            </w:r>
          </w:p>
        </w:tc>
      </w:tr>
      <w:tr w:rsidR="006B2EC1" w14:paraId="0DC23E5D" w14:textId="77777777" w:rsidTr="0047688D">
        <w:tc>
          <w:tcPr>
            <w:tcW w:w="0" w:type="auto"/>
            <w:shd w:val="clear" w:color="auto" w:fill="auto"/>
          </w:tcPr>
          <w:p w14:paraId="1E89563E" w14:textId="77777777" w:rsidR="008C5CFA" w:rsidRPr="001C4484" w:rsidRDefault="00E82A60" w:rsidP="00300A01">
            <w:pPr>
              <w:spacing w:before="0" w:after="0"/>
              <w:rPr>
                <w:sz w:val="10"/>
                <w:szCs w:val="10"/>
                <w:lang w:val="fr-BE"/>
              </w:rPr>
            </w:pPr>
            <w:r w:rsidRPr="001C4484">
              <w:rPr>
                <w:noProof/>
                <w:sz w:val="10"/>
                <w:szCs w:val="10"/>
                <w:lang w:val="fr-BE"/>
              </w:rPr>
              <w:t>CO16</w:t>
            </w:r>
          </w:p>
        </w:tc>
        <w:tc>
          <w:tcPr>
            <w:tcW w:w="0" w:type="auto"/>
            <w:shd w:val="clear" w:color="auto" w:fill="auto"/>
          </w:tcPr>
          <w:p w14:paraId="15BE424C" w14:textId="77777777" w:rsidR="008C5CFA" w:rsidRPr="001C4484" w:rsidRDefault="00E82A60" w:rsidP="00300A01">
            <w:pPr>
              <w:spacing w:before="0" w:after="0"/>
              <w:rPr>
                <w:sz w:val="10"/>
                <w:szCs w:val="10"/>
                <w:lang w:val="fr-BE"/>
              </w:rPr>
            </w:pPr>
            <w:r w:rsidRPr="001C4484">
              <w:rPr>
                <w:noProof/>
                <w:sz w:val="10"/>
                <w:szCs w:val="10"/>
                <w:lang w:val="fr-BE"/>
              </w:rPr>
              <w:t>uczestnicy z niepełnosprawnościami</w:t>
            </w:r>
          </w:p>
        </w:tc>
        <w:tc>
          <w:tcPr>
            <w:tcW w:w="0" w:type="auto"/>
            <w:shd w:val="clear" w:color="auto" w:fill="auto"/>
          </w:tcPr>
          <w:p w14:paraId="3F0212CF"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4D9867B0" w14:textId="77777777" w:rsidR="008C5CFA" w:rsidRPr="001C4484" w:rsidRDefault="00E82A60" w:rsidP="00300A01">
            <w:pPr>
              <w:spacing w:before="0" w:after="0"/>
              <w:jc w:val="right"/>
              <w:rPr>
                <w:sz w:val="10"/>
                <w:szCs w:val="10"/>
              </w:rPr>
            </w:pPr>
            <w:r>
              <w:rPr>
                <w:noProof/>
                <w:sz w:val="10"/>
                <w:szCs w:val="10"/>
              </w:rPr>
              <w:t>9,00</w:t>
            </w:r>
          </w:p>
        </w:tc>
        <w:tc>
          <w:tcPr>
            <w:tcW w:w="0" w:type="auto"/>
            <w:shd w:val="clear" w:color="auto" w:fill="auto"/>
          </w:tcPr>
          <w:p w14:paraId="6ACEB8A1" w14:textId="77777777" w:rsidR="008C5CFA" w:rsidRPr="001C4484" w:rsidRDefault="00E82A60" w:rsidP="00300A01">
            <w:pPr>
              <w:spacing w:before="0" w:after="0"/>
              <w:jc w:val="right"/>
              <w:rPr>
                <w:sz w:val="10"/>
                <w:szCs w:val="10"/>
              </w:rPr>
            </w:pPr>
            <w:r w:rsidRPr="001C4484">
              <w:rPr>
                <w:noProof/>
                <w:sz w:val="10"/>
                <w:szCs w:val="10"/>
              </w:rPr>
              <w:t>2,00</w:t>
            </w:r>
          </w:p>
        </w:tc>
        <w:tc>
          <w:tcPr>
            <w:tcW w:w="0" w:type="auto"/>
            <w:shd w:val="clear" w:color="auto" w:fill="auto"/>
          </w:tcPr>
          <w:p w14:paraId="178DF5B2" w14:textId="77777777" w:rsidR="008C5CFA" w:rsidRPr="001C4484" w:rsidRDefault="00E82A60" w:rsidP="00300A01">
            <w:pPr>
              <w:spacing w:before="0" w:after="0"/>
              <w:jc w:val="right"/>
              <w:rPr>
                <w:sz w:val="10"/>
                <w:szCs w:val="10"/>
                <w:lang w:val="fr-BE"/>
              </w:rPr>
            </w:pPr>
            <w:r w:rsidRPr="001C4484">
              <w:rPr>
                <w:noProof/>
                <w:sz w:val="10"/>
                <w:szCs w:val="10"/>
              </w:rPr>
              <w:t>7,00</w:t>
            </w:r>
          </w:p>
        </w:tc>
        <w:tc>
          <w:tcPr>
            <w:tcW w:w="0" w:type="auto"/>
          </w:tcPr>
          <w:p w14:paraId="3C177539" w14:textId="77777777" w:rsidR="008C5CFA" w:rsidRPr="001C4484" w:rsidRDefault="00E82A60" w:rsidP="00300A01">
            <w:pPr>
              <w:spacing w:before="0" w:after="0"/>
              <w:jc w:val="right"/>
              <w:rPr>
                <w:sz w:val="10"/>
                <w:szCs w:val="10"/>
              </w:rPr>
            </w:pPr>
            <w:r>
              <w:rPr>
                <w:noProof/>
                <w:sz w:val="10"/>
                <w:szCs w:val="10"/>
              </w:rPr>
              <w:t>11,00</w:t>
            </w:r>
          </w:p>
        </w:tc>
        <w:tc>
          <w:tcPr>
            <w:tcW w:w="0" w:type="auto"/>
            <w:shd w:val="clear" w:color="auto" w:fill="auto"/>
          </w:tcPr>
          <w:p w14:paraId="6AF8D117" w14:textId="77777777" w:rsidR="008C5CFA" w:rsidRPr="001C4484" w:rsidRDefault="00E82A60" w:rsidP="00300A01">
            <w:pPr>
              <w:spacing w:before="0" w:after="0"/>
              <w:jc w:val="right"/>
              <w:rPr>
                <w:sz w:val="10"/>
                <w:szCs w:val="10"/>
              </w:rPr>
            </w:pPr>
            <w:r w:rsidRPr="001C4484">
              <w:rPr>
                <w:noProof/>
                <w:sz w:val="10"/>
                <w:szCs w:val="10"/>
              </w:rPr>
              <w:t>2,00</w:t>
            </w:r>
          </w:p>
        </w:tc>
        <w:tc>
          <w:tcPr>
            <w:tcW w:w="0" w:type="auto"/>
            <w:shd w:val="clear" w:color="auto" w:fill="auto"/>
          </w:tcPr>
          <w:p w14:paraId="667A40D6" w14:textId="77777777" w:rsidR="008C5CFA" w:rsidRPr="001C4484" w:rsidRDefault="00E82A60" w:rsidP="00300A01">
            <w:pPr>
              <w:spacing w:before="0" w:after="0"/>
              <w:jc w:val="right"/>
              <w:rPr>
                <w:sz w:val="10"/>
                <w:szCs w:val="10"/>
                <w:lang w:val="fr-BE"/>
              </w:rPr>
            </w:pPr>
            <w:r w:rsidRPr="001C4484">
              <w:rPr>
                <w:noProof/>
                <w:sz w:val="10"/>
                <w:szCs w:val="10"/>
              </w:rPr>
              <w:t>9,00</w:t>
            </w:r>
          </w:p>
        </w:tc>
        <w:tc>
          <w:tcPr>
            <w:tcW w:w="0" w:type="auto"/>
          </w:tcPr>
          <w:p w14:paraId="7B1637B7" w14:textId="77777777" w:rsidR="008C5CFA" w:rsidRPr="001C4484" w:rsidRDefault="00E82A60" w:rsidP="00300A01">
            <w:pPr>
              <w:spacing w:before="0" w:after="0"/>
              <w:jc w:val="right"/>
              <w:rPr>
                <w:sz w:val="10"/>
                <w:szCs w:val="10"/>
              </w:rPr>
            </w:pPr>
            <w:r>
              <w:rPr>
                <w:noProof/>
                <w:sz w:val="10"/>
                <w:szCs w:val="10"/>
              </w:rPr>
              <w:t>1,00</w:t>
            </w:r>
          </w:p>
        </w:tc>
        <w:tc>
          <w:tcPr>
            <w:tcW w:w="0" w:type="auto"/>
            <w:shd w:val="clear" w:color="auto" w:fill="auto"/>
          </w:tcPr>
          <w:p w14:paraId="1E646FDA"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0E23C827" w14:textId="77777777" w:rsidR="008C5CFA" w:rsidRPr="001C4484" w:rsidRDefault="00E82A60" w:rsidP="00300A01">
            <w:pPr>
              <w:spacing w:before="0" w:after="0"/>
              <w:jc w:val="right"/>
              <w:rPr>
                <w:sz w:val="10"/>
                <w:szCs w:val="10"/>
                <w:lang w:val="fr-BE"/>
              </w:rPr>
            </w:pPr>
            <w:r w:rsidRPr="001C4484">
              <w:rPr>
                <w:noProof/>
                <w:sz w:val="10"/>
                <w:szCs w:val="10"/>
              </w:rPr>
              <w:t>1,00</w:t>
            </w:r>
          </w:p>
        </w:tc>
      </w:tr>
      <w:tr w:rsidR="006B2EC1" w14:paraId="58011E70" w14:textId="77777777" w:rsidTr="0047688D">
        <w:tc>
          <w:tcPr>
            <w:tcW w:w="0" w:type="auto"/>
            <w:shd w:val="clear" w:color="auto" w:fill="auto"/>
          </w:tcPr>
          <w:p w14:paraId="6FDF201E" w14:textId="77777777" w:rsidR="008C5CFA" w:rsidRPr="001C4484" w:rsidRDefault="00E82A60" w:rsidP="00300A01">
            <w:pPr>
              <w:spacing w:before="0" w:after="0"/>
              <w:rPr>
                <w:sz w:val="10"/>
                <w:szCs w:val="10"/>
                <w:lang w:val="fr-BE"/>
              </w:rPr>
            </w:pPr>
            <w:r w:rsidRPr="001C4484">
              <w:rPr>
                <w:noProof/>
                <w:sz w:val="10"/>
                <w:szCs w:val="10"/>
                <w:lang w:val="fr-BE"/>
              </w:rPr>
              <w:t>CO17</w:t>
            </w:r>
          </w:p>
        </w:tc>
        <w:tc>
          <w:tcPr>
            <w:tcW w:w="0" w:type="auto"/>
            <w:shd w:val="clear" w:color="auto" w:fill="auto"/>
          </w:tcPr>
          <w:p w14:paraId="5DE010CA" w14:textId="77777777" w:rsidR="008C5CFA" w:rsidRPr="001C4484" w:rsidRDefault="00E82A60" w:rsidP="00300A01">
            <w:pPr>
              <w:spacing w:before="0" w:after="0"/>
              <w:rPr>
                <w:sz w:val="10"/>
                <w:szCs w:val="10"/>
                <w:lang w:val="fr-BE"/>
              </w:rPr>
            </w:pPr>
            <w:r w:rsidRPr="001C4484">
              <w:rPr>
                <w:noProof/>
                <w:sz w:val="10"/>
                <w:szCs w:val="10"/>
                <w:lang w:val="fr-BE"/>
              </w:rPr>
              <w:t>inne osoby w niekorzystnej sytuacji społecznej</w:t>
            </w:r>
          </w:p>
        </w:tc>
        <w:tc>
          <w:tcPr>
            <w:tcW w:w="0" w:type="auto"/>
            <w:shd w:val="clear" w:color="auto" w:fill="auto"/>
          </w:tcPr>
          <w:p w14:paraId="77F0F2D1"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71A0292B" w14:textId="77777777" w:rsidR="008C5CFA" w:rsidRPr="001C4484" w:rsidRDefault="00E82A60" w:rsidP="00300A01">
            <w:pPr>
              <w:spacing w:before="0" w:after="0"/>
              <w:jc w:val="right"/>
              <w:rPr>
                <w:sz w:val="10"/>
                <w:szCs w:val="10"/>
              </w:rPr>
            </w:pPr>
            <w:r>
              <w:rPr>
                <w:noProof/>
                <w:sz w:val="10"/>
                <w:szCs w:val="10"/>
              </w:rPr>
              <w:t>38,00</w:t>
            </w:r>
          </w:p>
        </w:tc>
        <w:tc>
          <w:tcPr>
            <w:tcW w:w="0" w:type="auto"/>
            <w:shd w:val="clear" w:color="auto" w:fill="auto"/>
          </w:tcPr>
          <w:p w14:paraId="28585088" w14:textId="77777777" w:rsidR="008C5CFA" w:rsidRPr="001C4484" w:rsidRDefault="00E82A60" w:rsidP="00300A01">
            <w:pPr>
              <w:spacing w:before="0" w:after="0"/>
              <w:jc w:val="right"/>
              <w:rPr>
                <w:sz w:val="10"/>
                <w:szCs w:val="10"/>
              </w:rPr>
            </w:pPr>
            <w:r w:rsidRPr="001C4484">
              <w:rPr>
                <w:noProof/>
                <w:sz w:val="10"/>
                <w:szCs w:val="10"/>
              </w:rPr>
              <w:t>13,00</w:t>
            </w:r>
          </w:p>
        </w:tc>
        <w:tc>
          <w:tcPr>
            <w:tcW w:w="0" w:type="auto"/>
            <w:shd w:val="clear" w:color="auto" w:fill="auto"/>
          </w:tcPr>
          <w:p w14:paraId="5F163943" w14:textId="77777777" w:rsidR="008C5CFA" w:rsidRPr="001C4484" w:rsidRDefault="00E82A60" w:rsidP="00300A01">
            <w:pPr>
              <w:spacing w:before="0" w:after="0"/>
              <w:jc w:val="right"/>
              <w:rPr>
                <w:sz w:val="10"/>
                <w:szCs w:val="10"/>
                <w:lang w:val="fr-BE"/>
              </w:rPr>
            </w:pPr>
            <w:r w:rsidRPr="001C4484">
              <w:rPr>
                <w:noProof/>
                <w:sz w:val="10"/>
                <w:szCs w:val="10"/>
              </w:rPr>
              <w:t>25,00</w:t>
            </w:r>
          </w:p>
        </w:tc>
        <w:tc>
          <w:tcPr>
            <w:tcW w:w="0" w:type="auto"/>
          </w:tcPr>
          <w:p w14:paraId="729FA098" w14:textId="77777777" w:rsidR="008C5CFA" w:rsidRPr="001C4484" w:rsidRDefault="00E82A60" w:rsidP="00300A01">
            <w:pPr>
              <w:spacing w:before="0" w:after="0"/>
              <w:jc w:val="right"/>
              <w:rPr>
                <w:sz w:val="10"/>
                <w:szCs w:val="10"/>
              </w:rPr>
            </w:pPr>
            <w:r>
              <w:rPr>
                <w:noProof/>
                <w:sz w:val="10"/>
                <w:szCs w:val="10"/>
              </w:rPr>
              <w:t>11,00</w:t>
            </w:r>
          </w:p>
        </w:tc>
        <w:tc>
          <w:tcPr>
            <w:tcW w:w="0" w:type="auto"/>
            <w:shd w:val="clear" w:color="auto" w:fill="auto"/>
          </w:tcPr>
          <w:p w14:paraId="70E0DE94" w14:textId="77777777" w:rsidR="008C5CFA" w:rsidRPr="001C4484" w:rsidRDefault="00E82A60" w:rsidP="00300A01">
            <w:pPr>
              <w:spacing w:before="0" w:after="0"/>
              <w:jc w:val="right"/>
              <w:rPr>
                <w:sz w:val="10"/>
                <w:szCs w:val="10"/>
              </w:rPr>
            </w:pPr>
            <w:r w:rsidRPr="001C4484">
              <w:rPr>
                <w:noProof/>
                <w:sz w:val="10"/>
                <w:szCs w:val="10"/>
              </w:rPr>
              <w:t>2,00</w:t>
            </w:r>
          </w:p>
        </w:tc>
        <w:tc>
          <w:tcPr>
            <w:tcW w:w="0" w:type="auto"/>
            <w:shd w:val="clear" w:color="auto" w:fill="auto"/>
          </w:tcPr>
          <w:p w14:paraId="7DC7BB3D" w14:textId="77777777" w:rsidR="008C5CFA" w:rsidRPr="001C4484" w:rsidRDefault="00E82A60" w:rsidP="00300A01">
            <w:pPr>
              <w:spacing w:before="0" w:after="0"/>
              <w:jc w:val="right"/>
              <w:rPr>
                <w:sz w:val="10"/>
                <w:szCs w:val="10"/>
                <w:lang w:val="fr-BE"/>
              </w:rPr>
            </w:pPr>
            <w:r w:rsidRPr="001C4484">
              <w:rPr>
                <w:noProof/>
                <w:sz w:val="10"/>
                <w:szCs w:val="10"/>
              </w:rPr>
              <w:t>9,00</w:t>
            </w:r>
          </w:p>
        </w:tc>
        <w:tc>
          <w:tcPr>
            <w:tcW w:w="0" w:type="auto"/>
          </w:tcPr>
          <w:p w14:paraId="72670D84" w14:textId="77777777" w:rsidR="008C5CFA" w:rsidRPr="001C4484" w:rsidRDefault="00E82A60" w:rsidP="00300A01">
            <w:pPr>
              <w:spacing w:before="0" w:after="0"/>
              <w:jc w:val="right"/>
              <w:rPr>
                <w:sz w:val="10"/>
                <w:szCs w:val="10"/>
              </w:rPr>
            </w:pPr>
            <w:r>
              <w:rPr>
                <w:noProof/>
                <w:sz w:val="10"/>
                <w:szCs w:val="10"/>
              </w:rPr>
              <w:t>10,00</w:t>
            </w:r>
          </w:p>
        </w:tc>
        <w:tc>
          <w:tcPr>
            <w:tcW w:w="0" w:type="auto"/>
            <w:shd w:val="clear" w:color="auto" w:fill="auto"/>
          </w:tcPr>
          <w:p w14:paraId="767E729E" w14:textId="77777777" w:rsidR="008C5CFA" w:rsidRPr="001C4484" w:rsidRDefault="00E82A60" w:rsidP="00300A01">
            <w:pPr>
              <w:spacing w:before="0" w:after="0"/>
              <w:jc w:val="right"/>
              <w:rPr>
                <w:sz w:val="10"/>
                <w:szCs w:val="10"/>
              </w:rPr>
            </w:pPr>
            <w:r w:rsidRPr="001C4484">
              <w:rPr>
                <w:noProof/>
                <w:sz w:val="10"/>
                <w:szCs w:val="10"/>
              </w:rPr>
              <w:t>3,00</w:t>
            </w:r>
          </w:p>
        </w:tc>
        <w:tc>
          <w:tcPr>
            <w:tcW w:w="0" w:type="auto"/>
            <w:shd w:val="clear" w:color="auto" w:fill="auto"/>
          </w:tcPr>
          <w:p w14:paraId="6C00065D" w14:textId="77777777" w:rsidR="008C5CFA" w:rsidRPr="001C4484" w:rsidRDefault="00E82A60" w:rsidP="00300A01">
            <w:pPr>
              <w:spacing w:before="0" w:after="0"/>
              <w:jc w:val="right"/>
              <w:rPr>
                <w:sz w:val="10"/>
                <w:szCs w:val="10"/>
                <w:lang w:val="fr-BE"/>
              </w:rPr>
            </w:pPr>
            <w:r w:rsidRPr="001C4484">
              <w:rPr>
                <w:noProof/>
                <w:sz w:val="10"/>
                <w:szCs w:val="10"/>
              </w:rPr>
              <w:t>7,00</w:t>
            </w:r>
          </w:p>
        </w:tc>
      </w:tr>
      <w:tr w:rsidR="006B2EC1" w14:paraId="2E99272D" w14:textId="77777777" w:rsidTr="0047688D">
        <w:tc>
          <w:tcPr>
            <w:tcW w:w="0" w:type="auto"/>
            <w:shd w:val="clear" w:color="auto" w:fill="auto"/>
          </w:tcPr>
          <w:p w14:paraId="3DF983E2" w14:textId="77777777" w:rsidR="008C5CFA" w:rsidRPr="001C4484" w:rsidRDefault="00E82A60" w:rsidP="00300A01">
            <w:pPr>
              <w:spacing w:before="0" w:after="0"/>
              <w:rPr>
                <w:sz w:val="10"/>
                <w:szCs w:val="10"/>
                <w:lang w:val="fr-BE"/>
              </w:rPr>
            </w:pPr>
            <w:r w:rsidRPr="001C4484">
              <w:rPr>
                <w:noProof/>
                <w:sz w:val="10"/>
                <w:szCs w:val="10"/>
                <w:lang w:val="fr-BE"/>
              </w:rPr>
              <w:t>CO18</w:t>
            </w:r>
          </w:p>
        </w:tc>
        <w:tc>
          <w:tcPr>
            <w:tcW w:w="0" w:type="auto"/>
            <w:shd w:val="clear" w:color="auto" w:fill="auto"/>
          </w:tcPr>
          <w:p w14:paraId="28453CBC" w14:textId="77777777" w:rsidR="008C5CFA" w:rsidRPr="001C4484" w:rsidRDefault="00E82A60" w:rsidP="00300A01">
            <w:pPr>
              <w:spacing w:before="0" w:after="0"/>
              <w:rPr>
                <w:sz w:val="10"/>
                <w:szCs w:val="10"/>
                <w:lang w:val="fr-BE"/>
              </w:rPr>
            </w:pPr>
            <w:r w:rsidRPr="001C4484">
              <w:rPr>
                <w:noProof/>
                <w:sz w:val="10"/>
                <w:szCs w:val="10"/>
                <w:lang w:val="fr-BE"/>
              </w:rPr>
              <w:t>osoby bezdomne lub dotknięte wykluczeniem z dostępu do mieszkań</w:t>
            </w:r>
          </w:p>
        </w:tc>
        <w:tc>
          <w:tcPr>
            <w:tcW w:w="0" w:type="auto"/>
            <w:shd w:val="clear" w:color="auto" w:fill="auto"/>
          </w:tcPr>
          <w:p w14:paraId="0337C4A7"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0D7FF1AB"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0066ED0B"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07A060CB" w14:textId="77777777" w:rsidR="008C5CFA" w:rsidRPr="001C4484" w:rsidRDefault="00E82A60" w:rsidP="00300A01">
            <w:pPr>
              <w:spacing w:before="0" w:after="0"/>
              <w:jc w:val="right"/>
              <w:rPr>
                <w:sz w:val="10"/>
                <w:szCs w:val="10"/>
                <w:lang w:val="fr-BE"/>
              </w:rPr>
            </w:pPr>
            <w:r w:rsidRPr="001C4484">
              <w:rPr>
                <w:noProof/>
                <w:sz w:val="10"/>
                <w:szCs w:val="10"/>
              </w:rPr>
              <w:t>0,00</w:t>
            </w:r>
          </w:p>
        </w:tc>
        <w:tc>
          <w:tcPr>
            <w:tcW w:w="0" w:type="auto"/>
          </w:tcPr>
          <w:p w14:paraId="2EADFC27"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63AF330E"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53469B4E" w14:textId="77777777" w:rsidR="008C5CFA" w:rsidRPr="001C4484" w:rsidRDefault="00E82A60" w:rsidP="00300A01">
            <w:pPr>
              <w:spacing w:before="0" w:after="0"/>
              <w:jc w:val="right"/>
              <w:rPr>
                <w:sz w:val="10"/>
                <w:szCs w:val="10"/>
                <w:lang w:val="fr-BE"/>
              </w:rPr>
            </w:pPr>
            <w:r w:rsidRPr="001C4484">
              <w:rPr>
                <w:noProof/>
                <w:sz w:val="10"/>
                <w:szCs w:val="10"/>
              </w:rPr>
              <w:t>0,00</w:t>
            </w:r>
          </w:p>
        </w:tc>
        <w:tc>
          <w:tcPr>
            <w:tcW w:w="0" w:type="auto"/>
          </w:tcPr>
          <w:p w14:paraId="56C0E131"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408BF72F"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54968C82" w14:textId="77777777" w:rsidR="008C5CFA" w:rsidRPr="001C4484" w:rsidRDefault="00E82A60" w:rsidP="00300A01">
            <w:pPr>
              <w:spacing w:before="0" w:after="0"/>
              <w:jc w:val="right"/>
              <w:rPr>
                <w:sz w:val="10"/>
                <w:szCs w:val="10"/>
                <w:lang w:val="fr-BE"/>
              </w:rPr>
            </w:pPr>
            <w:r w:rsidRPr="001C4484">
              <w:rPr>
                <w:noProof/>
                <w:sz w:val="10"/>
                <w:szCs w:val="10"/>
              </w:rPr>
              <w:t>0,00</w:t>
            </w:r>
          </w:p>
        </w:tc>
      </w:tr>
      <w:tr w:rsidR="006B2EC1" w14:paraId="4D21343D" w14:textId="77777777" w:rsidTr="0047688D">
        <w:tc>
          <w:tcPr>
            <w:tcW w:w="0" w:type="auto"/>
            <w:shd w:val="clear" w:color="auto" w:fill="auto"/>
          </w:tcPr>
          <w:p w14:paraId="4480BBEB" w14:textId="77777777" w:rsidR="008C5CFA" w:rsidRPr="001C4484" w:rsidRDefault="00E82A60" w:rsidP="00300A01">
            <w:pPr>
              <w:spacing w:before="0" w:after="0"/>
              <w:rPr>
                <w:sz w:val="10"/>
                <w:szCs w:val="10"/>
                <w:lang w:val="fr-BE"/>
              </w:rPr>
            </w:pPr>
            <w:r w:rsidRPr="001C4484">
              <w:rPr>
                <w:noProof/>
                <w:sz w:val="10"/>
                <w:szCs w:val="10"/>
                <w:lang w:val="fr-BE"/>
              </w:rPr>
              <w:t>CO19</w:t>
            </w:r>
          </w:p>
        </w:tc>
        <w:tc>
          <w:tcPr>
            <w:tcW w:w="0" w:type="auto"/>
            <w:shd w:val="clear" w:color="auto" w:fill="auto"/>
          </w:tcPr>
          <w:p w14:paraId="19B606A8" w14:textId="77777777" w:rsidR="008C5CFA" w:rsidRPr="001C4484" w:rsidRDefault="00E82A60" w:rsidP="00300A01">
            <w:pPr>
              <w:spacing w:before="0" w:after="0"/>
              <w:rPr>
                <w:sz w:val="10"/>
                <w:szCs w:val="10"/>
                <w:lang w:val="fr-BE"/>
              </w:rPr>
            </w:pPr>
            <w:r w:rsidRPr="001C4484">
              <w:rPr>
                <w:noProof/>
                <w:sz w:val="10"/>
                <w:szCs w:val="10"/>
                <w:lang w:val="fr-BE"/>
              </w:rPr>
              <w:t>osoby pochodzące z obszarów wiejskich</w:t>
            </w:r>
          </w:p>
        </w:tc>
        <w:tc>
          <w:tcPr>
            <w:tcW w:w="0" w:type="auto"/>
            <w:shd w:val="clear" w:color="auto" w:fill="auto"/>
          </w:tcPr>
          <w:p w14:paraId="772A1E2A"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25D427DF" w14:textId="77777777" w:rsidR="008C5CFA" w:rsidRPr="001C4484" w:rsidRDefault="00E82A60" w:rsidP="00300A01">
            <w:pPr>
              <w:spacing w:before="0" w:after="0"/>
              <w:jc w:val="right"/>
              <w:rPr>
                <w:sz w:val="10"/>
                <w:szCs w:val="10"/>
              </w:rPr>
            </w:pPr>
            <w:r>
              <w:rPr>
                <w:noProof/>
                <w:sz w:val="10"/>
                <w:szCs w:val="10"/>
              </w:rPr>
              <w:t>448,00</w:t>
            </w:r>
          </w:p>
        </w:tc>
        <w:tc>
          <w:tcPr>
            <w:tcW w:w="0" w:type="auto"/>
            <w:shd w:val="clear" w:color="auto" w:fill="auto"/>
          </w:tcPr>
          <w:p w14:paraId="570A5E2B" w14:textId="77777777" w:rsidR="008C5CFA" w:rsidRPr="001C4484" w:rsidRDefault="00E82A60" w:rsidP="00300A01">
            <w:pPr>
              <w:spacing w:before="0" w:after="0"/>
              <w:jc w:val="right"/>
              <w:rPr>
                <w:sz w:val="10"/>
                <w:szCs w:val="10"/>
              </w:rPr>
            </w:pPr>
            <w:r w:rsidRPr="001C4484">
              <w:rPr>
                <w:noProof/>
                <w:sz w:val="10"/>
                <w:szCs w:val="10"/>
              </w:rPr>
              <w:t>134,00</w:t>
            </w:r>
          </w:p>
        </w:tc>
        <w:tc>
          <w:tcPr>
            <w:tcW w:w="0" w:type="auto"/>
            <w:shd w:val="clear" w:color="auto" w:fill="auto"/>
          </w:tcPr>
          <w:p w14:paraId="43CB6E63" w14:textId="77777777" w:rsidR="008C5CFA" w:rsidRPr="001C4484" w:rsidRDefault="00E82A60" w:rsidP="00300A01">
            <w:pPr>
              <w:spacing w:before="0" w:after="0"/>
              <w:jc w:val="right"/>
              <w:rPr>
                <w:sz w:val="10"/>
                <w:szCs w:val="10"/>
                <w:lang w:val="fr-BE"/>
              </w:rPr>
            </w:pPr>
            <w:r w:rsidRPr="001C4484">
              <w:rPr>
                <w:noProof/>
                <w:sz w:val="10"/>
                <w:szCs w:val="10"/>
              </w:rPr>
              <w:t>314,00</w:t>
            </w:r>
          </w:p>
        </w:tc>
        <w:tc>
          <w:tcPr>
            <w:tcW w:w="0" w:type="auto"/>
          </w:tcPr>
          <w:p w14:paraId="6E56B2D7" w14:textId="77777777" w:rsidR="008C5CFA" w:rsidRPr="001C4484" w:rsidRDefault="00E82A60" w:rsidP="00300A01">
            <w:pPr>
              <w:spacing w:before="0" w:after="0"/>
              <w:jc w:val="right"/>
              <w:rPr>
                <w:sz w:val="10"/>
                <w:szCs w:val="10"/>
              </w:rPr>
            </w:pPr>
            <w:r>
              <w:rPr>
                <w:noProof/>
                <w:sz w:val="10"/>
                <w:szCs w:val="10"/>
              </w:rPr>
              <w:t>254,00</w:t>
            </w:r>
          </w:p>
        </w:tc>
        <w:tc>
          <w:tcPr>
            <w:tcW w:w="0" w:type="auto"/>
            <w:shd w:val="clear" w:color="auto" w:fill="auto"/>
          </w:tcPr>
          <w:p w14:paraId="0F17CB02" w14:textId="77777777" w:rsidR="008C5CFA" w:rsidRPr="001C4484" w:rsidRDefault="00E82A60" w:rsidP="00300A01">
            <w:pPr>
              <w:spacing w:before="0" w:after="0"/>
              <w:jc w:val="right"/>
              <w:rPr>
                <w:sz w:val="10"/>
                <w:szCs w:val="10"/>
              </w:rPr>
            </w:pPr>
            <w:r w:rsidRPr="001C4484">
              <w:rPr>
                <w:noProof/>
                <w:sz w:val="10"/>
                <w:szCs w:val="10"/>
              </w:rPr>
              <w:t>74,00</w:t>
            </w:r>
          </w:p>
        </w:tc>
        <w:tc>
          <w:tcPr>
            <w:tcW w:w="0" w:type="auto"/>
            <w:shd w:val="clear" w:color="auto" w:fill="auto"/>
          </w:tcPr>
          <w:p w14:paraId="1ED3CA98" w14:textId="77777777" w:rsidR="008C5CFA" w:rsidRPr="001C4484" w:rsidRDefault="00E82A60" w:rsidP="00300A01">
            <w:pPr>
              <w:spacing w:before="0" w:after="0"/>
              <w:jc w:val="right"/>
              <w:rPr>
                <w:sz w:val="10"/>
                <w:szCs w:val="10"/>
                <w:lang w:val="fr-BE"/>
              </w:rPr>
            </w:pPr>
            <w:r w:rsidRPr="001C4484">
              <w:rPr>
                <w:noProof/>
                <w:sz w:val="10"/>
                <w:szCs w:val="10"/>
              </w:rPr>
              <w:t>180,00</w:t>
            </w:r>
          </w:p>
        </w:tc>
        <w:tc>
          <w:tcPr>
            <w:tcW w:w="0" w:type="auto"/>
          </w:tcPr>
          <w:p w14:paraId="3E0FEBE8" w14:textId="77777777" w:rsidR="008C5CFA" w:rsidRPr="001C4484" w:rsidRDefault="00E82A60" w:rsidP="00300A01">
            <w:pPr>
              <w:spacing w:before="0" w:after="0"/>
              <w:jc w:val="right"/>
              <w:rPr>
                <w:sz w:val="10"/>
                <w:szCs w:val="10"/>
              </w:rPr>
            </w:pPr>
            <w:r>
              <w:rPr>
                <w:noProof/>
                <w:sz w:val="10"/>
                <w:szCs w:val="10"/>
              </w:rPr>
              <w:t>42,00</w:t>
            </w:r>
          </w:p>
        </w:tc>
        <w:tc>
          <w:tcPr>
            <w:tcW w:w="0" w:type="auto"/>
            <w:shd w:val="clear" w:color="auto" w:fill="auto"/>
          </w:tcPr>
          <w:p w14:paraId="03D9F016" w14:textId="77777777" w:rsidR="008C5CFA" w:rsidRPr="001C4484" w:rsidRDefault="00E82A60" w:rsidP="00300A01">
            <w:pPr>
              <w:spacing w:before="0" w:after="0"/>
              <w:jc w:val="right"/>
              <w:rPr>
                <w:sz w:val="10"/>
                <w:szCs w:val="10"/>
              </w:rPr>
            </w:pPr>
            <w:r w:rsidRPr="001C4484">
              <w:rPr>
                <w:noProof/>
                <w:sz w:val="10"/>
                <w:szCs w:val="10"/>
              </w:rPr>
              <w:t>12,00</w:t>
            </w:r>
          </w:p>
        </w:tc>
        <w:tc>
          <w:tcPr>
            <w:tcW w:w="0" w:type="auto"/>
            <w:shd w:val="clear" w:color="auto" w:fill="auto"/>
          </w:tcPr>
          <w:p w14:paraId="5ADC366F" w14:textId="77777777" w:rsidR="008C5CFA" w:rsidRPr="001C4484" w:rsidRDefault="00E82A60" w:rsidP="00300A01">
            <w:pPr>
              <w:spacing w:before="0" w:after="0"/>
              <w:jc w:val="right"/>
              <w:rPr>
                <w:sz w:val="10"/>
                <w:szCs w:val="10"/>
                <w:lang w:val="fr-BE"/>
              </w:rPr>
            </w:pPr>
            <w:r w:rsidRPr="001C4484">
              <w:rPr>
                <w:noProof/>
                <w:sz w:val="10"/>
                <w:szCs w:val="10"/>
              </w:rPr>
              <w:t>30,00</w:t>
            </w:r>
          </w:p>
        </w:tc>
      </w:tr>
      <w:tr w:rsidR="006B2EC1" w14:paraId="556AE103" w14:textId="77777777" w:rsidTr="0047688D">
        <w:tc>
          <w:tcPr>
            <w:tcW w:w="0" w:type="auto"/>
            <w:shd w:val="clear" w:color="auto" w:fill="auto"/>
          </w:tcPr>
          <w:p w14:paraId="0DDDE1ED" w14:textId="77777777" w:rsidR="008C5CFA" w:rsidRPr="001C4484" w:rsidRDefault="00E82A60" w:rsidP="00300A01">
            <w:pPr>
              <w:spacing w:before="0" w:after="0"/>
              <w:rPr>
                <w:sz w:val="10"/>
                <w:szCs w:val="10"/>
                <w:lang w:val="fr-BE"/>
              </w:rPr>
            </w:pPr>
            <w:r w:rsidRPr="001C4484">
              <w:rPr>
                <w:noProof/>
                <w:sz w:val="10"/>
                <w:szCs w:val="10"/>
                <w:lang w:val="fr-BE"/>
              </w:rPr>
              <w:t>CO20</w:t>
            </w:r>
          </w:p>
        </w:tc>
        <w:tc>
          <w:tcPr>
            <w:tcW w:w="0" w:type="auto"/>
            <w:shd w:val="clear" w:color="auto" w:fill="auto"/>
          </w:tcPr>
          <w:p w14:paraId="14310BCE" w14:textId="77777777" w:rsidR="008C5CFA" w:rsidRPr="001C4484" w:rsidRDefault="00E82A60" w:rsidP="00300A01">
            <w:pPr>
              <w:spacing w:before="0" w:after="0"/>
              <w:rPr>
                <w:sz w:val="10"/>
                <w:szCs w:val="10"/>
                <w:lang w:val="fr-BE"/>
              </w:rPr>
            </w:pPr>
            <w:r w:rsidRPr="001C4484">
              <w:rPr>
                <w:noProof/>
                <w:sz w:val="10"/>
                <w:szCs w:val="10"/>
                <w:lang w:val="fr-BE"/>
              </w:rPr>
              <w:t>liczba projektów zrealizowanych w pełni lub częściowo przez partnerów społecznych lub organizacje pozarządowe</w:t>
            </w:r>
          </w:p>
        </w:tc>
        <w:tc>
          <w:tcPr>
            <w:tcW w:w="0" w:type="auto"/>
            <w:shd w:val="clear" w:color="auto" w:fill="auto"/>
          </w:tcPr>
          <w:p w14:paraId="389E94FC"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36C65566"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71C6F953" w14:textId="77777777" w:rsidR="008C5CFA" w:rsidRPr="001C4484" w:rsidRDefault="008C5CFA" w:rsidP="00300A01">
            <w:pPr>
              <w:spacing w:before="0" w:after="0"/>
              <w:jc w:val="right"/>
              <w:rPr>
                <w:sz w:val="10"/>
                <w:szCs w:val="10"/>
              </w:rPr>
            </w:pPr>
          </w:p>
        </w:tc>
        <w:tc>
          <w:tcPr>
            <w:tcW w:w="0" w:type="auto"/>
            <w:shd w:val="clear" w:color="auto" w:fill="auto"/>
          </w:tcPr>
          <w:p w14:paraId="7957EC18" w14:textId="77777777" w:rsidR="008C5CFA" w:rsidRPr="001C4484" w:rsidRDefault="008C5CFA" w:rsidP="00300A01">
            <w:pPr>
              <w:spacing w:before="0" w:after="0"/>
              <w:jc w:val="right"/>
              <w:rPr>
                <w:sz w:val="10"/>
                <w:szCs w:val="10"/>
                <w:lang w:val="fr-BE"/>
              </w:rPr>
            </w:pPr>
          </w:p>
        </w:tc>
        <w:tc>
          <w:tcPr>
            <w:tcW w:w="0" w:type="auto"/>
          </w:tcPr>
          <w:p w14:paraId="3D095A2B"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2AD4EA6E" w14:textId="77777777" w:rsidR="008C5CFA" w:rsidRPr="001C4484" w:rsidRDefault="008C5CFA" w:rsidP="00300A01">
            <w:pPr>
              <w:spacing w:before="0" w:after="0"/>
              <w:jc w:val="right"/>
              <w:rPr>
                <w:sz w:val="10"/>
                <w:szCs w:val="10"/>
              </w:rPr>
            </w:pPr>
          </w:p>
        </w:tc>
        <w:tc>
          <w:tcPr>
            <w:tcW w:w="0" w:type="auto"/>
            <w:shd w:val="clear" w:color="auto" w:fill="auto"/>
          </w:tcPr>
          <w:p w14:paraId="45324A63" w14:textId="77777777" w:rsidR="008C5CFA" w:rsidRPr="001C4484" w:rsidRDefault="008C5CFA" w:rsidP="00300A01">
            <w:pPr>
              <w:spacing w:before="0" w:after="0"/>
              <w:jc w:val="right"/>
              <w:rPr>
                <w:sz w:val="10"/>
                <w:szCs w:val="10"/>
                <w:lang w:val="fr-BE"/>
              </w:rPr>
            </w:pPr>
          </w:p>
        </w:tc>
        <w:tc>
          <w:tcPr>
            <w:tcW w:w="0" w:type="auto"/>
          </w:tcPr>
          <w:p w14:paraId="355C9C4B" w14:textId="77777777" w:rsidR="008C5CFA" w:rsidRPr="001C4484" w:rsidRDefault="00E82A60" w:rsidP="00300A01">
            <w:pPr>
              <w:spacing w:before="0" w:after="0"/>
              <w:jc w:val="right"/>
              <w:rPr>
                <w:sz w:val="10"/>
                <w:szCs w:val="10"/>
              </w:rPr>
            </w:pPr>
            <w:r>
              <w:rPr>
                <w:noProof/>
                <w:sz w:val="10"/>
                <w:szCs w:val="10"/>
              </w:rPr>
              <w:t>2,00</w:t>
            </w:r>
          </w:p>
        </w:tc>
        <w:tc>
          <w:tcPr>
            <w:tcW w:w="0" w:type="auto"/>
            <w:shd w:val="clear" w:color="auto" w:fill="auto"/>
          </w:tcPr>
          <w:p w14:paraId="3CE4CB67" w14:textId="77777777" w:rsidR="008C5CFA" w:rsidRPr="001C4484" w:rsidRDefault="008C5CFA" w:rsidP="00300A01">
            <w:pPr>
              <w:spacing w:before="0" w:after="0"/>
              <w:jc w:val="right"/>
              <w:rPr>
                <w:sz w:val="10"/>
                <w:szCs w:val="10"/>
              </w:rPr>
            </w:pPr>
          </w:p>
        </w:tc>
        <w:tc>
          <w:tcPr>
            <w:tcW w:w="0" w:type="auto"/>
            <w:shd w:val="clear" w:color="auto" w:fill="auto"/>
          </w:tcPr>
          <w:p w14:paraId="305C064F" w14:textId="77777777" w:rsidR="008C5CFA" w:rsidRPr="001C4484" w:rsidRDefault="008C5CFA" w:rsidP="00300A01">
            <w:pPr>
              <w:spacing w:before="0" w:after="0"/>
              <w:jc w:val="right"/>
              <w:rPr>
                <w:sz w:val="10"/>
                <w:szCs w:val="10"/>
                <w:lang w:val="fr-BE"/>
              </w:rPr>
            </w:pPr>
          </w:p>
        </w:tc>
      </w:tr>
      <w:tr w:rsidR="006B2EC1" w14:paraId="6891373C" w14:textId="77777777" w:rsidTr="0047688D">
        <w:tc>
          <w:tcPr>
            <w:tcW w:w="0" w:type="auto"/>
            <w:shd w:val="clear" w:color="auto" w:fill="auto"/>
          </w:tcPr>
          <w:p w14:paraId="0047018B" w14:textId="77777777" w:rsidR="008C5CFA" w:rsidRPr="001C4484" w:rsidRDefault="00E82A60" w:rsidP="00300A01">
            <w:pPr>
              <w:spacing w:before="0" w:after="0"/>
              <w:rPr>
                <w:sz w:val="10"/>
                <w:szCs w:val="10"/>
                <w:lang w:val="fr-BE"/>
              </w:rPr>
            </w:pPr>
            <w:r w:rsidRPr="001C4484">
              <w:rPr>
                <w:noProof/>
                <w:sz w:val="10"/>
                <w:szCs w:val="10"/>
                <w:lang w:val="fr-BE"/>
              </w:rPr>
              <w:t>CO21</w:t>
            </w:r>
          </w:p>
        </w:tc>
        <w:tc>
          <w:tcPr>
            <w:tcW w:w="0" w:type="auto"/>
            <w:shd w:val="clear" w:color="auto" w:fill="auto"/>
          </w:tcPr>
          <w:p w14:paraId="3F12CF9E" w14:textId="77777777" w:rsidR="008C5CFA" w:rsidRPr="001C4484" w:rsidRDefault="00E82A60" w:rsidP="00300A01">
            <w:pPr>
              <w:spacing w:before="0" w:after="0"/>
              <w:rPr>
                <w:sz w:val="10"/>
                <w:szCs w:val="10"/>
                <w:lang w:val="fr-BE"/>
              </w:rPr>
            </w:pPr>
            <w:r w:rsidRPr="001C4484">
              <w:rPr>
                <w:noProof/>
                <w:sz w:val="10"/>
                <w:szCs w:val="10"/>
                <w:lang w:val="fr-BE"/>
              </w:rPr>
              <w:t>liczba projektów ukierunkowanych na trwały udział kobiet w zatrudnieniu i rozwój ich kariery zawodowej</w:t>
            </w:r>
          </w:p>
        </w:tc>
        <w:tc>
          <w:tcPr>
            <w:tcW w:w="0" w:type="auto"/>
            <w:shd w:val="clear" w:color="auto" w:fill="auto"/>
          </w:tcPr>
          <w:p w14:paraId="4FB3BAFD"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3D1954ED"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0FDBD9D9" w14:textId="77777777" w:rsidR="008C5CFA" w:rsidRPr="001C4484" w:rsidRDefault="008C5CFA" w:rsidP="00300A01">
            <w:pPr>
              <w:spacing w:before="0" w:after="0"/>
              <w:jc w:val="right"/>
              <w:rPr>
                <w:sz w:val="10"/>
                <w:szCs w:val="10"/>
              </w:rPr>
            </w:pPr>
          </w:p>
        </w:tc>
        <w:tc>
          <w:tcPr>
            <w:tcW w:w="0" w:type="auto"/>
            <w:shd w:val="clear" w:color="auto" w:fill="auto"/>
          </w:tcPr>
          <w:p w14:paraId="004113D5" w14:textId="77777777" w:rsidR="008C5CFA" w:rsidRPr="001C4484" w:rsidRDefault="008C5CFA" w:rsidP="00300A01">
            <w:pPr>
              <w:spacing w:before="0" w:after="0"/>
              <w:jc w:val="right"/>
              <w:rPr>
                <w:sz w:val="10"/>
                <w:szCs w:val="10"/>
                <w:lang w:val="fr-BE"/>
              </w:rPr>
            </w:pPr>
          </w:p>
        </w:tc>
        <w:tc>
          <w:tcPr>
            <w:tcW w:w="0" w:type="auto"/>
          </w:tcPr>
          <w:p w14:paraId="5BA2761E" w14:textId="77777777" w:rsidR="008C5CFA" w:rsidRPr="001C4484" w:rsidRDefault="00E82A60" w:rsidP="00300A01">
            <w:pPr>
              <w:spacing w:before="0" w:after="0"/>
              <w:jc w:val="right"/>
              <w:rPr>
                <w:sz w:val="10"/>
                <w:szCs w:val="10"/>
              </w:rPr>
            </w:pPr>
            <w:r>
              <w:rPr>
                <w:noProof/>
                <w:sz w:val="10"/>
                <w:szCs w:val="10"/>
              </w:rPr>
              <w:t>2,00</w:t>
            </w:r>
          </w:p>
        </w:tc>
        <w:tc>
          <w:tcPr>
            <w:tcW w:w="0" w:type="auto"/>
            <w:shd w:val="clear" w:color="auto" w:fill="auto"/>
          </w:tcPr>
          <w:p w14:paraId="029A4F65" w14:textId="77777777" w:rsidR="008C5CFA" w:rsidRPr="001C4484" w:rsidRDefault="008C5CFA" w:rsidP="00300A01">
            <w:pPr>
              <w:spacing w:before="0" w:after="0"/>
              <w:jc w:val="right"/>
              <w:rPr>
                <w:sz w:val="10"/>
                <w:szCs w:val="10"/>
              </w:rPr>
            </w:pPr>
          </w:p>
        </w:tc>
        <w:tc>
          <w:tcPr>
            <w:tcW w:w="0" w:type="auto"/>
            <w:shd w:val="clear" w:color="auto" w:fill="auto"/>
          </w:tcPr>
          <w:p w14:paraId="74E4862B" w14:textId="77777777" w:rsidR="008C5CFA" w:rsidRPr="001C4484" w:rsidRDefault="008C5CFA" w:rsidP="00300A01">
            <w:pPr>
              <w:spacing w:before="0" w:after="0"/>
              <w:jc w:val="right"/>
              <w:rPr>
                <w:sz w:val="10"/>
                <w:szCs w:val="10"/>
                <w:lang w:val="fr-BE"/>
              </w:rPr>
            </w:pPr>
          </w:p>
        </w:tc>
        <w:tc>
          <w:tcPr>
            <w:tcW w:w="0" w:type="auto"/>
          </w:tcPr>
          <w:p w14:paraId="7DFC0D77" w14:textId="77777777" w:rsidR="008C5CFA" w:rsidRPr="001C4484" w:rsidRDefault="00E82A60" w:rsidP="00300A01">
            <w:pPr>
              <w:spacing w:before="0" w:after="0"/>
              <w:jc w:val="right"/>
              <w:rPr>
                <w:sz w:val="10"/>
                <w:szCs w:val="10"/>
              </w:rPr>
            </w:pPr>
            <w:r>
              <w:rPr>
                <w:noProof/>
                <w:sz w:val="10"/>
                <w:szCs w:val="10"/>
              </w:rPr>
              <w:t>3,00</w:t>
            </w:r>
          </w:p>
        </w:tc>
        <w:tc>
          <w:tcPr>
            <w:tcW w:w="0" w:type="auto"/>
            <w:shd w:val="clear" w:color="auto" w:fill="auto"/>
          </w:tcPr>
          <w:p w14:paraId="499D8A16" w14:textId="77777777" w:rsidR="008C5CFA" w:rsidRPr="001C4484" w:rsidRDefault="008C5CFA" w:rsidP="00300A01">
            <w:pPr>
              <w:spacing w:before="0" w:after="0"/>
              <w:jc w:val="right"/>
              <w:rPr>
                <w:sz w:val="10"/>
                <w:szCs w:val="10"/>
              </w:rPr>
            </w:pPr>
          </w:p>
        </w:tc>
        <w:tc>
          <w:tcPr>
            <w:tcW w:w="0" w:type="auto"/>
            <w:shd w:val="clear" w:color="auto" w:fill="auto"/>
          </w:tcPr>
          <w:p w14:paraId="3BC75193" w14:textId="77777777" w:rsidR="008C5CFA" w:rsidRPr="001C4484" w:rsidRDefault="008C5CFA" w:rsidP="00300A01">
            <w:pPr>
              <w:spacing w:before="0" w:after="0"/>
              <w:jc w:val="right"/>
              <w:rPr>
                <w:sz w:val="10"/>
                <w:szCs w:val="10"/>
                <w:lang w:val="fr-BE"/>
              </w:rPr>
            </w:pPr>
          </w:p>
        </w:tc>
      </w:tr>
      <w:tr w:rsidR="006B2EC1" w14:paraId="12F568BD" w14:textId="77777777" w:rsidTr="0047688D">
        <w:tc>
          <w:tcPr>
            <w:tcW w:w="0" w:type="auto"/>
            <w:shd w:val="clear" w:color="auto" w:fill="auto"/>
          </w:tcPr>
          <w:p w14:paraId="2600F9E6" w14:textId="77777777" w:rsidR="008C5CFA" w:rsidRPr="001C4484" w:rsidRDefault="00E82A60" w:rsidP="00300A01">
            <w:pPr>
              <w:spacing w:before="0" w:after="0"/>
              <w:rPr>
                <w:sz w:val="10"/>
                <w:szCs w:val="10"/>
                <w:lang w:val="fr-BE"/>
              </w:rPr>
            </w:pPr>
            <w:r w:rsidRPr="001C4484">
              <w:rPr>
                <w:noProof/>
                <w:sz w:val="10"/>
                <w:szCs w:val="10"/>
                <w:lang w:val="fr-BE"/>
              </w:rPr>
              <w:t>CO22</w:t>
            </w:r>
          </w:p>
        </w:tc>
        <w:tc>
          <w:tcPr>
            <w:tcW w:w="0" w:type="auto"/>
            <w:shd w:val="clear" w:color="auto" w:fill="auto"/>
          </w:tcPr>
          <w:p w14:paraId="0E7FC520" w14:textId="77777777" w:rsidR="008C5CFA" w:rsidRPr="001C4484" w:rsidRDefault="00E82A60" w:rsidP="00300A01">
            <w:pPr>
              <w:spacing w:before="0" w:after="0"/>
              <w:rPr>
                <w:sz w:val="10"/>
                <w:szCs w:val="10"/>
                <w:lang w:val="fr-BE"/>
              </w:rPr>
            </w:pPr>
            <w:r w:rsidRPr="001C4484">
              <w:rPr>
                <w:noProof/>
                <w:sz w:val="10"/>
                <w:szCs w:val="10"/>
                <w:lang w:val="fr-BE"/>
              </w:rPr>
              <w:t>liczba projektów obejmujących administrację publiczną lub służby publiczne na szczeblu krajowym, regionalnym lub lokalnym</w:t>
            </w:r>
          </w:p>
        </w:tc>
        <w:tc>
          <w:tcPr>
            <w:tcW w:w="0" w:type="auto"/>
            <w:shd w:val="clear" w:color="auto" w:fill="auto"/>
          </w:tcPr>
          <w:p w14:paraId="56BA0490"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394DDB09"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7AD8B01F" w14:textId="77777777" w:rsidR="008C5CFA" w:rsidRPr="001C4484" w:rsidRDefault="008C5CFA" w:rsidP="00300A01">
            <w:pPr>
              <w:spacing w:before="0" w:after="0"/>
              <w:jc w:val="right"/>
              <w:rPr>
                <w:sz w:val="10"/>
                <w:szCs w:val="10"/>
              </w:rPr>
            </w:pPr>
          </w:p>
        </w:tc>
        <w:tc>
          <w:tcPr>
            <w:tcW w:w="0" w:type="auto"/>
            <w:shd w:val="clear" w:color="auto" w:fill="auto"/>
          </w:tcPr>
          <w:p w14:paraId="65E99CE1" w14:textId="77777777" w:rsidR="008C5CFA" w:rsidRPr="001C4484" w:rsidRDefault="008C5CFA" w:rsidP="00300A01">
            <w:pPr>
              <w:spacing w:before="0" w:after="0"/>
              <w:jc w:val="right"/>
              <w:rPr>
                <w:sz w:val="10"/>
                <w:szCs w:val="10"/>
                <w:lang w:val="fr-BE"/>
              </w:rPr>
            </w:pPr>
          </w:p>
        </w:tc>
        <w:tc>
          <w:tcPr>
            <w:tcW w:w="0" w:type="auto"/>
          </w:tcPr>
          <w:p w14:paraId="4E345B40" w14:textId="77777777" w:rsidR="008C5CFA" w:rsidRPr="001C4484" w:rsidRDefault="00E82A60" w:rsidP="00300A01">
            <w:pPr>
              <w:spacing w:before="0" w:after="0"/>
              <w:jc w:val="right"/>
              <w:rPr>
                <w:sz w:val="10"/>
                <w:szCs w:val="10"/>
              </w:rPr>
            </w:pPr>
            <w:r>
              <w:rPr>
                <w:noProof/>
                <w:sz w:val="10"/>
                <w:szCs w:val="10"/>
              </w:rPr>
              <w:t>1,00</w:t>
            </w:r>
          </w:p>
        </w:tc>
        <w:tc>
          <w:tcPr>
            <w:tcW w:w="0" w:type="auto"/>
            <w:shd w:val="clear" w:color="auto" w:fill="auto"/>
          </w:tcPr>
          <w:p w14:paraId="499D7539" w14:textId="77777777" w:rsidR="008C5CFA" w:rsidRPr="001C4484" w:rsidRDefault="008C5CFA" w:rsidP="00300A01">
            <w:pPr>
              <w:spacing w:before="0" w:after="0"/>
              <w:jc w:val="right"/>
              <w:rPr>
                <w:sz w:val="10"/>
                <w:szCs w:val="10"/>
              </w:rPr>
            </w:pPr>
          </w:p>
        </w:tc>
        <w:tc>
          <w:tcPr>
            <w:tcW w:w="0" w:type="auto"/>
            <w:shd w:val="clear" w:color="auto" w:fill="auto"/>
          </w:tcPr>
          <w:p w14:paraId="38A6F6C8" w14:textId="77777777" w:rsidR="008C5CFA" w:rsidRPr="001C4484" w:rsidRDefault="008C5CFA" w:rsidP="00300A01">
            <w:pPr>
              <w:spacing w:before="0" w:after="0"/>
              <w:jc w:val="right"/>
              <w:rPr>
                <w:sz w:val="10"/>
                <w:szCs w:val="10"/>
                <w:lang w:val="fr-BE"/>
              </w:rPr>
            </w:pPr>
          </w:p>
        </w:tc>
        <w:tc>
          <w:tcPr>
            <w:tcW w:w="0" w:type="auto"/>
          </w:tcPr>
          <w:p w14:paraId="78561FC8"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1B0E46A7" w14:textId="77777777" w:rsidR="008C5CFA" w:rsidRPr="001C4484" w:rsidRDefault="008C5CFA" w:rsidP="00300A01">
            <w:pPr>
              <w:spacing w:before="0" w:after="0"/>
              <w:jc w:val="right"/>
              <w:rPr>
                <w:sz w:val="10"/>
                <w:szCs w:val="10"/>
              </w:rPr>
            </w:pPr>
          </w:p>
        </w:tc>
        <w:tc>
          <w:tcPr>
            <w:tcW w:w="0" w:type="auto"/>
            <w:shd w:val="clear" w:color="auto" w:fill="auto"/>
          </w:tcPr>
          <w:p w14:paraId="0DB9260D" w14:textId="77777777" w:rsidR="008C5CFA" w:rsidRPr="001C4484" w:rsidRDefault="008C5CFA" w:rsidP="00300A01">
            <w:pPr>
              <w:spacing w:before="0" w:after="0"/>
              <w:jc w:val="right"/>
              <w:rPr>
                <w:sz w:val="10"/>
                <w:szCs w:val="10"/>
                <w:lang w:val="fr-BE"/>
              </w:rPr>
            </w:pPr>
          </w:p>
        </w:tc>
      </w:tr>
      <w:tr w:rsidR="006B2EC1" w14:paraId="4AF9B6B5" w14:textId="77777777" w:rsidTr="0047688D">
        <w:tc>
          <w:tcPr>
            <w:tcW w:w="0" w:type="auto"/>
            <w:shd w:val="clear" w:color="auto" w:fill="auto"/>
          </w:tcPr>
          <w:p w14:paraId="6BBFCDFC" w14:textId="77777777" w:rsidR="008C5CFA" w:rsidRPr="001C4484" w:rsidRDefault="00E82A60" w:rsidP="00300A01">
            <w:pPr>
              <w:spacing w:before="0" w:after="0"/>
              <w:rPr>
                <w:sz w:val="10"/>
                <w:szCs w:val="10"/>
                <w:lang w:val="fr-BE"/>
              </w:rPr>
            </w:pPr>
            <w:r w:rsidRPr="001C4484">
              <w:rPr>
                <w:noProof/>
                <w:sz w:val="10"/>
                <w:szCs w:val="10"/>
                <w:lang w:val="fr-BE"/>
              </w:rPr>
              <w:t>CO23</w:t>
            </w:r>
          </w:p>
        </w:tc>
        <w:tc>
          <w:tcPr>
            <w:tcW w:w="0" w:type="auto"/>
            <w:shd w:val="clear" w:color="auto" w:fill="auto"/>
          </w:tcPr>
          <w:p w14:paraId="384E26A5" w14:textId="77777777" w:rsidR="008C5CFA" w:rsidRPr="001C4484" w:rsidRDefault="00E82A60" w:rsidP="00300A01">
            <w:pPr>
              <w:spacing w:before="0" w:after="0"/>
              <w:rPr>
                <w:sz w:val="10"/>
                <w:szCs w:val="10"/>
                <w:lang w:val="fr-BE"/>
              </w:rPr>
            </w:pPr>
            <w:r w:rsidRPr="001C4484">
              <w:rPr>
                <w:noProof/>
                <w:sz w:val="10"/>
                <w:szCs w:val="10"/>
                <w:lang w:val="fr-BE"/>
              </w:rPr>
              <w:t>liczba objętych wsparciem mikro-, małych i średnich przedsiębiorstw (w tym przedsiębiorstw spółdzielczych i przedsiębiorstw gospodarki społecznej)</w:t>
            </w:r>
          </w:p>
        </w:tc>
        <w:tc>
          <w:tcPr>
            <w:tcW w:w="0" w:type="auto"/>
            <w:shd w:val="clear" w:color="auto" w:fill="auto"/>
          </w:tcPr>
          <w:p w14:paraId="292D6993"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4E37F9E1" w14:textId="77777777" w:rsidR="008C5CFA" w:rsidRPr="001C4484" w:rsidRDefault="00E82A60" w:rsidP="00300A01">
            <w:pPr>
              <w:spacing w:before="0" w:after="0"/>
              <w:jc w:val="right"/>
              <w:rPr>
                <w:sz w:val="10"/>
                <w:szCs w:val="10"/>
              </w:rPr>
            </w:pPr>
            <w:r>
              <w:rPr>
                <w:noProof/>
                <w:sz w:val="10"/>
                <w:szCs w:val="10"/>
              </w:rPr>
              <w:t>3,00</w:t>
            </w:r>
          </w:p>
        </w:tc>
        <w:tc>
          <w:tcPr>
            <w:tcW w:w="0" w:type="auto"/>
            <w:shd w:val="clear" w:color="auto" w:fill="auto"/>
          </w:tcPr>
          <w:p w14:paraId="5479FF88" w14:textId="77777777" w:rsidR="008C5CFA" w:rsidRPr="001C4484" w:rsidRDefault="008C5CFA" w:rsidP="00300A01">
            <w:pPr>
              <w:spacing w:before="0" w:after="0"/>
              <w:jc w:val="right"/>
              <w:rPr>
                <w:sz w:val="10"/>
                <w:szCs w:val="10"/>
              </w:rPr>
            </w:pPr>
          </w:p>
        </w:tc>
        <w:tc>
          <w:tcPr>
            <w:tcW w:w="0" w:type="auto"/>
            <w:shd w:val="clear" w:color="auto" w:fill="auto"/>
          </w:tcPr>
          <w:p w14:paraId="674CF998" w14:textId="77777777" w:rsidR="008C5CFA" w:rsidRPr="001C4484" w:rsidRDefault="008C5CFA" w:rsidP="00300A01">
            <w:pPr>
              <w:spacing w:before="0" w:after="0"/>
              <w:jc w:val="right"/>
              <w:rPr>
                <w:sz w:val="10"/>
                <w:szCs w:val="10"/>
                <w:lang w:val="fr-BE"/>
              </w:rPr>
            </w:pPr>
          </w:p>
        </w:tc>
        <w:tc>
          <w:tcPr>
            <w:tcW w:w="0" w:type="auto"/>
          </w:tcPr>
          <w:p w14:paraId="0F10195C"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77A9896D" w14:textId="77777777" w:rsidR="008C5CFA" w:rsidRPr="001C4484" w:rsidRDefault="008C5CFA" w:rsidP="00300A01">
            <w:pPr>
              <w:spacing w:before="0" w:after="0"/>
              <w:jc w:val="right"/>
              <w:rPr>
                <w:sz w:val="10"/>
                <w:szCs w:val="10"/>
              </w:rPr>
            </w:pPr>
          </w:p>
        </w:tc>
        <w:tc>
          <w:tcPr>
            <w:tcW w:w="0" w:type="auto"/>
            <w:shd w:val="clear" w:color="auto" w:fill="auto"/>
          </w:tcPr>
          <w:p w14:paraId="3E0A24D7" w14:textId="77777777" w:rsidR="008C5CFA" w:rsidRPr="001C4484" w:rsidRDefault="008C5CFA" w:rsidP="00300A01">
            <w:pPr>
              <w:spacing w:before="0" w:after="0"/>
              <w:jc w:val="right"/>
              <w:rPr>
                <w:sz w:val="10"/>
                <w:szCs w:val="10"/>
                <w:lang w:val="fr-BE"/>
              </w:rPr>
            </w:pPr>
          </w:p>
        </w:tc>
        <w:tc>
          <w:tcPr>
            <w:tcW w:w="0" w:type="auto"/>
          </w:tcPr>
          <w:p w14:paraId="26342AE4" w14:textId="77777777" w:rsidR="008C5CFA" w:rsidRPr="001C4484" w:rsidRDefault="00E82A60" w:rsidP="00300A01">
            <w:pPr>
              <w:spacing w:before="0" w:after="0"/>
              <w:jc w:val="right"/>
              <w:rPr>
                <w:sz w:val="10"/>
                <w:szCs w:val="10"/>
              </w:rPr>
            </w:pPr>
            <w:r>
              <w:rPr>
                <w:noProof/>
                <w:sz w:val="10"/>
                <w:szCs w:val="10"/>
              </w:rPr>
              <w:t>2,00</w:t>
            </w:r>
          </w:p>
        </w:tc>
        <w:tc>
          <w:tcPr>
            <w:tcW w:w="0" w:type="auto"/>
            <w:shd w:val="clear" w:color="auto" w:fill="auto"/>
          </w:tcPr>
          <w:p w14:paraId="3A5E3E0D" w14:textId="77777777" w:rsidR="008C5CFA" w:rsidRPr="001C4484" w:rsidRDefault="008C5CFA" w:rsidP="00300A01">
            <w:pPr>
              <w:spacing w:before="0" w:after="0"/>
              <w:jc w:val="right"/>
              <w:rPr>
                <w:sz w:val="10"/>
                <w:szCs w:val="10"/>
              </w:rPr>
            </w:pPr>
          </w:p>
        </w:tc>
        <w:tc>
          <w:tcPr>
            <w:tcW w:w="0" w:type="auto"/>
            <w:shd w:val="clear" w:color="auto" w:fill="auto"/>
          </w:tcPr>
          <w:p w14:paraId="4C7F4EAA" w14:textId="77777777" w:rsidR="008C5CFA" w:rsidRPr="001C4484" w:rsidRDefault="008C5CFA" w:rsidP="00300A01">
            <w:pPr>
              <w:spacing w:before="0" w:after="0"/>
              <w:jc w:val="right"/>
              <w:rPr>
                <w:sz w:val="10"/>
                <w:szCs w:val="10"/>
                <w:lang w:val="fr-BE"/>
              </w:rPr>
            </w:pPr>
          </w:p>
        </w:tc>
      </w:tr>
      <w:tr w:rsidR="006B2EC1" w14:paraId="477571EF" w14:textId="77777777" w:rsidTr="0047688D">
        <w:tc>
          <w:tcPr>
            <w:tcW w:w="0" w:type="auto"/>
            <w:shd w:val="clear" w:color="auto" w:fill="auto"/>
          </w:tcPr>
          <w:p w14:paraId="68E32D9F" w14:textId="77777777" w:rsidR="008C5CFA" w:rsidRPr="001C4484" w:rsidRDefault="008C5CFA" w:rsidP="00300A01">
            <w:pPr>
              <w:spacing w:before="0" w:after="0"/>
              <w:rPr>
                <w:sz w:val="10"/>
                <w:szCs w:val="10"/>
                <w:lang w:val="fr-BE"/>
              </w:rPr>
            </w:pPr>
          </w:p>
        </w:tc>
        <w:tc>
          <w:tcPr>
            <w:tcW w:w="0" w:type="auto"/>
            <w:shd w:val="clear" w:color="auto" w:fill="auto"/>
          </w:tcPr>
          <w:p w14:paraId="6E5A0DDE" w14:textId="77777777" w:rsidR="008C5CFA" w:rsidRPr="001C4484" w:rsidRDefault="00E82A60" w:rsidP="00300A01">
            <w:pPr>
              <w:spacing w:before="0" w:after="0"/>
              <w:rPr>
                <w:sz w:val="10"/>
                <w:szCs w:val="10"/>
                <w:lang w:val="fr-BE"/>
              </w:rPr>
            </w:pPr>
            <w:r w:rsidRPr="001C4484">
              <w:rPr>
                <w:noProof/>
                <w:sz w:val="10"/>
                <w:szCs w:val="10"/>
                <w:lang w:val="fr-BE"/>
              </w:rPr>
              <w:t>Całkowita łączna liczba uczestników</w:t>
            </w:r>
          </w:p>
        </w:tc>
        <w:tc>
          <w:tcPr>
            <w:tcW w:w="0" w:type="auto"/>
            <w:shd w:val="clear" w:color="auto" w:fill="auto"/>
          </w:tcPr>
          <w:p w14:paraId="0FD2E713" w14:textId="77777777" w:rsidR="008C5CFA" w:rsidRPr="001C4484" w:rsidRDefault="008C5CFA" w:rsidP="00300A01">
            <w:pPr>
              <w:spacing w:before="0" w:after="0"/>
              <w:rPr>
                <w:sz w:val="10"/>
                <w:szCs w:val="10"/>
                <w:lang w:val="fr-BE"/>
              </w:rPr>
            </w:pPr>
          </w:p>
        </w:tc>
        <w:tc>
          <w:tcPr>
            <w:tcW w:w="0" w:type="auto"/>
          </w:tcPr>
          <w:p w14:paraId="28F78D42" w14:textId="77777777" w:rsidR="008C5CFA" w:rsidRPr="001C4484" w:rsidRDefault="00E82A60" w:rsidP="00300A01">
            <w:pPr>
              <w:spacing w:before="0" w:after="0"/>
              <w:jc w:val="right"/>
              <w:rPr>
                <w:sz w:val="10"/>
                <w:szCs w:val="10"/>
              </w:rPr>
            </w:pPr>
            <w:r>
              <w:rPr>
                <w:noProof/>
                <w:sz w:val="10"/>
                <w:szCs w:val="10"/>
              </w:rPr>
              <w:t>689,00</w:t>
            </w:r>
          </w:p>
        </w:tc>
        <w:tc>
          <w:tcPr>
            <w:tcW w:w="0" w:type="auto"/>
            <w:shd w:val="clear" w:color="auto" w:fill="auto"/>
          </w:tcPr>
          <w:p w14:paraId="3BF2F026" w14:textId="77777777" w:rsidR="008C5CFA" w:rsidRPr="001C4484" w:rsidRDefault="008C5CFA" w:rsidP="00300A01">
            <w:pPr>
              <w:spacing w:before="0" w:after="0"/>
              <w:jc w:val="right"/>
              <w:rPr>
                <w:sz w:val="10"/>
                <w:szCs w:val="10"/>
              </w:rPr>
            </w:pPr>
          </w:p>
        </w:tc>
        <w:tc>
          <w:tcPr>
            <w:tcW w:w="0" w:type="auto"/>
            <w:shd w:val="clear" w:color="auto" w:fill="auto"/>
          </w:tcPr>
          <w:p w14:paraId="71F3AD1B" w14:textId="77777777" w:rsidR="008C5CFA" w:rsidRPr="001C4484" w:rsidRDefault="008C5CFA" w:rsidP="00300A01">
            <w:pPr>
              <w:spacing w:before="0" w:after="0"/>
              <w:jc w:val="right"/>
              <w:rPr>
                <w:sz w:val="10"/>
                <w:szCs w:val="10"/>
                <w:lang w:val="fr-BE"/>
              </w:rPr>
            </w:pPr>
          </w:p>
        </w:tc>
        <w:tc>
          <w:tcPr>
            <w:tcW w:w="0" w:type="auto"/>
          </w:tcPr>
          <w:p w14:paraId="2C44D3B4" w14:textId="77777777" w:rsidR="008C5CFA" w:rsidRPr="001C4484" w:rsidRDefault="00E82A60" w:rsidP="00300A01">
            <w:pPr>
              <w:spacing w:before="0" w:after="0"/>
              <w:jc w:val="right"/>
              <w:rPr>
                <w:sz w:val="10"/>
                <w:szCs w:val="10"/>
              </w:rPr>
            </w:pPr>
            <w:r>
              <w:rPr>
                <w:noProof/>
                <w:sz w:val="10"/>
                <w:szCs w:val="10"/>
              </w:rPr>
              <w:t>562,00</w:t>
            </w:r>
          </w:p>
        </w:tc>
        <w:tc>
          <w:tcPr>
            <w:tcW w:w="0" w:type="auto"/>
            <w:shd w:val="clear" w:color="auto" w:fill="auto"/>
          </w:tcPr>
          <w:p w14:paraId="677A73A2" w14:textId="77777777" w:rsidR="008C5CFA" w:rsidRPr="001C4484" w:rsidRDefault="008C5CFA" w:rsidP="00300A01">
            <w:pPr>
              <w:spacing w:before="0" w:after="0"/>
              <w:jc w:val="right"/>
              <w:rPr>
                <w:sz w:val="10"/>
                <w:szCs w:val="10"/>
              </w:rPr>
            </w:pPr>
          </w:p>
        </w:tc>
        <w:tc>
          <w:tcPr>
            <w:tcW w:w="0" w:type="auto"/>
            <w:shd w:val="clear" w:color="auto" w:fill="auto"/>
          </w:tcPr>
          <w:p w14:paraId="5FB3067C" w14:textId="77777777" w:rsidR="008C5CFA" w:rsidRPr="001C4484" w:rsidRDefault="008C5CFA" w:rsidP="00300A01">
            <w:pPr>
              <w:spacing w:before="0" w:after="0"/>
              <w:jc w:val="right"/>
              <w:rPr>
                <w:sz w:val="10"/>
                <w:szCs w:val="10"/>
                <w:lang w:val="fr-BE"/>
              </w:rPr>
            </w:pPr>
          </w:p>
        </w:tc>
        <w:tc>
          <w:tcPr>
            <w:tcW w:w="0" w:type="auto"/>
          </w:tcPr>
          <w:p w14:paraId="720CADD1" w14:textId="77777777" w:rsidR="008C5CFA" w:rsidRPr="001C4484" w:rsidRDefault="00E82A60" w:rsidP="00300A01">
            <w:pPr>
              <w:spacing w:before="0" w:after="0"/>
              <w:jc w:val="right"/>
              <w:rPr>
                <w:sz w:val="10"/>
                <w:szCs w:val="10"/>
              </w:rPr>
            </w:pPr>
            <w:r>
              <w:rPr>
                <w:noProof/>
                <w:sz w:val="10"/>
                <w:szCs w:val="10"/>
              </w:rPr>
              <w:t>206,00</w:t>
            </w:r>
          </w:p>
        </w:tc>
        <w:tc>
          <w:tcPr>
            <w:tcW w:w="0" w:type="auto"/>
            <w:shd w:val="clear" w:color="auto" w:fill="auto"/>
          </w:tcPr>
          <w:p w14:paraId="6B7524E8" w14:textId="77777777" w:rsidR="008C5CFA" w:rsidRPr="001C4484" w:rsidRDefault="008C5CFA" w:rsidP="00300A01">
            <w:pPr>
              <w:spacing w:before="0" w:after="0"/>
              <w:jc w:val="right"/>
              <w:rPr>
                <w:sz w:val="10"/>
                <w:szCs w:val="10"/>
              </w:rPr>
            </w:pPr>
          </w:p>
        </w:tc>
        <w:tc>
          <w:tcPr>
            <w:tcW w:w="0" w:type="auto"/>
            <w:shd w:val="clear" w:color="auto" w:fill="auto"/>
          </w:tcPr>
          <w:p w14:paraId="0815CD66" w14:textId="77777777" w:rsidR="008C5CFA" w:rsidRPr="001C4484" w:rsidRDefault="008C5CFA" w:rsidP="00300A01">
            <w:pPr>
              <w:spacing w:before="0" w:after="0"/>
              <w:jc w:val="right"/>
              <w:rPr>
                <w:sz w:val="10"/>
                <w:szCs w:val="10"/>
                <w:lang w:val="fr-BE"/>
              </w:rPr>
            </w:pPr>
          </w:p>
        </w:tc>
      </w:tr>
    </w:tbl>
    <w:p w14:paraId="7FA0BA48"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514"/>
        <w:gridCol w:w="8970"/>
        <w:gridCol w:w="1534"/>
        <w:gridCol w:w="638"/>
        <w:gridCol w:w="807"/>
        <w:gridCol w:w="638"/>
        <w:gridCol w:w="638"/>
        <w:gridCol w:w="807"/>
        <w:gridCol w:w="638"/>
      </w:tblGrid>
      <w:tr w:rsidR="006B2EC1" w14:paraId="7588349F" w14:textId="77777777" w:rsidTr="0047688D">
        <w:tc>
          <w:tcPr>
            <w:tcW w:w="0" w:type="auto"/>
            <w:shd w:val="clear" w:color="auto" w:fill="auto"/>
          </w:tcPr>
          <w:p w14:paraId="541761E7" w14:textId="77777777" w:rsidR="008C5CFA" w:rsidRPr="001C4484" w:rsidRDefault="00E82A60" w:rsidP="00300A01">
            <w:pPr>
              <w:spacing w:before="0" w:after="0"/>
              <w:rPr>
                <w:sz w:val="10"/>
                <w:szCs w:val="10"/>
              </w:rPr>
            </w:pPr>
            <w:r w:rsidRPr="001C4484">
              <w:rPr>
                <w:b/>
                <w:noProof/>
                <w:sz w:val="12"/>
                <w:szCs w:val="12"/>
                <w:lang w:val="fr-BE"/>
              </w:rPr>
              <w:t>ID</w:t>
            </w:r>
          </w:p>
        </w:tc>
        <w:tc>
          <w:tcPr>
            <w:tcW w:w="0" w:type="auto"/>
            <w:shd w:val="clear" w:color="auto" w:fill="auto"/>
          </w:tcPr>
          <w:p w14:paraId="2013BD9A" w14:textId="77777777" w:rsidR="008C5CFA" w:rsidRPr="001C4484" w:rsidRDefault="00E82A60" w:rsidP="00300A01">
            <w:pPr>
              <w:spacing w:before="0" w:after="0"/>
              <w:rPr>
                <w:sz w:val="10"/>
                <w:szCs w:val="10"/>
              </w:rPr>
            </w:pPr>
            <w:r w:rsidRPr="001C4484">
              <w:rPr>
                <w:b/>
                <w:noProof/>
                <w:sz w:val="12"/>
                <w:szCs w:val="12"/>
                <w:lang w:val="fr-BE"/>
              </w:rPr>
              <w:t>Wskaźnik</w:t>
            </w:r>
          </w:p>
        </w:tc>
        <w:tc>
          <w:tcPr>
            <w:tcW w:w="0" w:type="auto"/>
            <w:shd w:val="clear" w:color="auto" w:fill="auto"/>
          </w:tcPr>
          <w:p w14:paraId="305D78E4" w14:textId="77777777" w:rsidR="008C5CFA" w:rsidRPr="001C4484" w:rsidRDefault="00E82A60" w:rsidP="00300A01">
            <w:pPr>
              <w:spacing w:before="0" w:after="0"/>
              <w:rPr>
                <w:sz w:val="10"/>
                <w:szCs w:val="10"/>
              </w:rPr>
            </w:pPr>
            <w:r w:rsidRPr="001C4484">
              <w:rPr>
                <w:b/>
                <w:noProof/>
                <w:sz w:val="12"/>
                <w:szCs w:val="12"/>
                <w:lang w:val="fr-BE"/>
              </w:rPr>
              <w:t>Kategoria regionu</w:t>
            </w:r>
          </w:p>
        </w:tc>
        <w:tc>
          <w:tcPr>
            <w:tcW w:w="0" w:type="auto"/>
            <w:gridSpan w:val="3"/>
          </w:tcPr>
          <w:p w14:paraId="0CF3824C" w14:textId="77777777" w:rsidR="008C5CFA" w:rsidRPr="001C4484" w:rsidRDefault="00E82A60" w:rsidP="00300A01">
            <w:pPr>
              <w:spacing w:before="0" w:after="0"/>
              <w:jc w:val="center"/>
              <w:rPr>
                <w:sz w:val="10"/>
                <w:szCs w:val="10"/>
              </w:rPr>
            </w:pPr>
            <w:r w:rsidRPr="001C4484">
              <w:rPr>
                <w:sz w:val="10"/>
                <w:szCs w:val="10"/>
              </w:rPr>
              <w:t>2015</w:t>
            </w:r>
          </w:p>
        </w:tc>
        <w:tc>
          <w:tcPr>
            <w:tcW w:w="0" w:type="auto"/>
            <w:gridSpan w:val="3"/>
          </w:tcPr>
          <w:p w14:paraId="74DA4B50" w14:textId="77777777" w:rsidR="008C5CFA" w:rsidRPr="001C4484" w:rsidRDefault="00E82A60" w:rsidP="00300A01">
            <w:pPr>
              <w:spacing w:before="0" w:after="0"/>
              <w:jc w:val="center"/>
              <w:rPr>
                <w:sz w:val="10"/>
                <w:szCs w:val="10"/>
              </w:rPr>
            </w:pPr>
            <w:r w:rsidRPr="001C4484">
              <w:rPr>
                <w:sz w:val="10"/>
                <w:szCs w:val="10"/>
              </w:rPr>
              <w:t>2014</w:t>
            </w:r>
          </w:p>
        </w:tc>
      </w:tr>
      <w:tr w:rsidR="006B2EC1" w14:paraId="64DBCA5F" w14:textId="77777777" w:rsidTr="0047688D">
        <w:tc>
          <w:tcPr>
            <w:tcW w:w="0" w:type="auto"/>
            <w:shd w:val="clear" w:color="auto" w:fill="auto"/>
          </w:tcPr>
          <w:p w14:paraId="05579BA5" w14:textId="77777777" w:rsidR="008C5CFA" w:rsidRPr="001C4484" w:rsidRDefault="008C5CFA" w:rsidP="00300A01">
            <w:pPr>
              <w:spacing w:before="0" w:after="0"/>
              <w:rPr>
                <w:sz w:val="10"/>
                <w:szCs w:val="10"/>
              </w:rPr>
            </w:pPr>
          </w:p>
        </w:tc>
        <w:tc>
          <w:tcPr>
            <w:tcW w:w="0" w:type="auto"/>
            <w:shd w:val="clear" w:color="auto" w:fill="auto"/>
          </w:tcPr>
          <w:p w14:paraId="0CFAC15E" w14:textId="77777777" w:rsidR="008C5CFA" w:rsidRPr="001C4484" w:rsidRDefault="008C5CFA" w:rsidP="00300A01">
            <w:pPr>
              <w:spacing w:before="0" w:after="0"/>
              <w:rPr>
                <w:sz w:val="10"/>
                <w:szCs w:val="10"/>
              </w:rPr>
            </w:pPr>
          </w:p>
        </w:tc>
        <w:tc>
          <w:tcPr>
            <w:tcW w:w="0" w:type="auto"/>
            <w:shd w:val="clear" w:color="auto" w:fill="auto"/>
          </w:tcPr>
          <w:p w14:paraId="0AD8DE03" w14:textId="77777777" w:rsidR="008C5CFA" w:rsidRPr="001C4484" w:rsidRDefault="008C5CFA" w:rsidP="00300A01">
            <w:pPr>
              <w:spacing w:before="0" w:after="0"/>
              <w:rPr>
                <w:sz w:val="10"/>
                <w:szCs w:val="10"/>
              </w:rPr>
            </w:pPr>
          </w:p>
        </w:tc>
        <w:tc>
          <w:tcPr>
            <w:tcW w:w="0" w:type="auto"/>
          </w:tcPr>
          <w:p w14:paraId="3CC9C8AB" w14:textId="77777777" w:rsidR="008C5CFA" w:rsidRPr="001C4484" w:rsidRDefault="00E82A60" w:rsidP="00300A01">
            <w:pPr>
              <w:spacing w:before="0" w:after="0"/>
              <w:jc w:val="center"/>
              <w:rPr>
                <w:sz w:val="10"/>
                <w:szCs w:val="10"/>
              </w:rPr>
            </w:pPr>
            <w:r>
              <w:rPr>
                <w:noProof/>
                <w:sz w:val="10"/>
                <w:szCs w:val="10"/>
              </w:rPr>
              <w:t>Ogółem</w:t>
            </w:r>
          </w:p>
        </w:tc>
        <w:tc>
          <w:tcPr>
            <w:tcW w:w="0" w:type="auto"/>
            <w:shd w:val="clear" w:color="auto" w:fill="auto"/>
          </w:tcPr>
          <w:p w14:paraId="24242F13" w14:textId="77777777" w:rsidR="008C5CFA" w:rsidRPr="001C4484" w:rsidRDefault="00E82A60" w:rsidP="00300A01">
            <w:pPr>
              <w:spacing w:before="0" w:after="0"/>
              <w:jc w:val="center"/>
              <w:rPr>
                <w:sz w:val="10"/>
                <w:szCs w:val="10"/>
              </w:rPr>
            </w:pPr>
            <w:r w:rsidRPr="001C4484">
              <w:rPr>
                <w:noProof/>
                <w:sz w:val="10"/>
                <w:szCs w:val="10"/>
              </w:rPr>
              <w:t>Mężczyźni</w:t>
            </w:r>
          </w:p>
        </w:tc>
        <w:tc>
          <w:tcPr>
            <w:tcW w:w="0" w:type="auto"/>
            <w:shd w:val="clear" w:color="auto" w:fill="auto"/>
          </w:tcPr>
          <w:p w14:paraId="1B2EB569" w14:textId="77777777" w:rsidR="008C5CFA" w:rsidRPr="001C4484" w:rsidRDefault="00E82A60" w:rsidP="00300A01">
            <w:pPr>
              <w:spacing w:before="0" w:after="0"/>
              <w:jc w:val="center"/>
              <w:rPr>
                <w:sz w:val="10"/>
                <w:szCs w:val="10"/>
              </w:rPr>
            </w:pPr>
            <w:r w:rsidRPr="001C4484">
              <w:rPr>
                <w:noProof/>
                <w:sz w:val="10"/>
                <w:szCs w:val="10"/>
              </w:rPr>
              <w:t>Kobiety</w:t>
            </w:r>
          </w:p>
        </w:tc>
        <w:tc>
          <w:tcPr>
            <w:tcW w:w="0" w:type="auto"/>
          </w:tcPr>
          <w:p w14:paraId="69F237E3" w14:textId="77777777" w:rsidR="008C5CFA" w:rsidRPr="001C4484" w:rsidRDefault="00E82A60" w:rsidP="00300A01">
            <w:pPr>
              <w:spacing w:before="0" w:after="0"/>
              <w:jc w:val="center"/>
              <w:rPr>
                <w:sz w:val="10"/>
                <w:szCs w:val="10"/>
              </w:rPr>
            </w:pPr>
            <w:r>
              <w:rPr>
                <w:noProof/>
                <w:sz w:val="10"/>
                <w:szCs w:val="10"/>
              </w:rPr>
              <w:t>Ogółem</w:t>
            </w:r>
          </w:p>
        </w:tc>
        <w:tc>
          <w:tcPr>
            <w:tcW w:w="0" w:type="auto"/>
            <w:shd w:val="clear" w:color="auto" w:fill="auto"/>
          </w:tcPr>
          <w:p w14:paraId="0C56E8E4" w14:textId="77777777" w:rsidR="008C5CFA" w:rsidRPr="001C4484" w:rsidRDefault="00E82A60" w:rsidP="00300A01">
            <w:pPr>
              <w:spacing w:before="0" w:after="0"/>
              <w:jc w:val="center"/>
              <w:rPr>
                <w:sz w:val="10"/>
                <w:szCs w:val="10"/>
              </w:rPr>
            </w:pPr>
            <w:r w:rsidRPr="001C4484">
              <w:rPr>
                <w:noProof/>
                <w:sz w:val="10"/>
                <w:szCs w:val="10"/>
              </w:rPr>
              <w:t>Mężczyźni</w:t>
            </w:r>
          </w:p>
        </w:tc>
        <w:tc>
          <w:tcPr>
            <w:tcW w:w="0" w:type="auto"/>
            <w:shd w:val="clear" w:color="auto" w:fill="auto"/>
          </w:tcPr>
          <w:p w14:paraId="7D313C1B" w14:textId="77777777" w:rsidR="008C5CFA" w:rsidRPr="001C4484" w:rsidRDefault="00E82A60" w:rsidP="00300A01">
            <w:pPr>
              <w:spacing w:before="0" w:after="0"/>
              <w:jc w:val="center"/>
              <w:rPr>
                <w:sz w:val="10"/>
                <w:szCs w:val="10"/>
              </w:rPr>
            </w:pPr>
            <w:r w:rsidRPr="001C4484">
              <w:rPr>
                <w:noProof/>
                <w:sz w:val="10"/>
                <w:szCs w:val="10"/>
              </w:rPr>
              <w:t>Kobiety</w:t>
            </w:r>
          </w:p>
        </w:tc>
      </w:tr>
      <w:tr w:rsidR="006B2EC1" w14:paraId="098070AD" w14:textId="77777777" w:rsidTr="0047688D">
        <w:tc>
          <w:tcPr>
            <w:tcW w:w="0" w:type="auto"/>
            <w:shd w:val="clear" w:color="auto" w:fill="auto"/>
          </w:tcPr>
          <w:p w14:paraId="5EEF945F" w14:textId="77777777" w:rsidR="008C5CFA" w:rsidRPr="001C4484" w:rsidRDefault="00E82A60" w:rsidP="00300A01">
            <w:pPr>
              <w:spacing w:before="0" w:after="0"/>
              <w:rPr>
                <w:sz w:val="10"/>
                <w:szCs w:val="10"/>
                <w:lang w:val="fr-BE"/>
              </w:rPr>
            </w:pPr>
            <w:r w:rsidRPr="001C4484">
              <w:rPr>
                <w:noProof/>
                <w:sz w:val="10"/>
                <w:szCs w:val="10"/>
                <w:lang w:val="fr-BE"/>
              </w:rPr>
              <w:t>CO01</w:t>
            </w:r>
          </w:p>
        </w:tc>
        <w:tc>
          <w:tcPr>
            <w:tcW w:w="0" w:type="auto"/>
            <w:shd w:val="clear" w:color="auto" w:fill="auto"/>
          </w:tcPr>
          <w:p w14:paraId="281BF600" w14:textId="77777777" w:rsidR="008C5CFA" w:rsidRPr="001C4484" w:rsidRDefault="00E82A60" w:rsidP="00300A01">
            <w:pPr>
              <w:spacing w:before="0" w:after="0"/>
              <w:rPr>
                <w:sz w:val="10"/>
                <w:szCs w:val="10"/>
                <w:lang w:val="fr-BE"/>
              </w:rPr>
            </w:pPr>
            <w:r w:rsidRPr="001C4484">
              <w:rPr>
                <w:noProof/>
                <w:sz w:val="10"/>
                <w:szCs w:val="10"/>
                <w:lang w:val="fr-BE"/>
              </w:rPr>
              <w:t>bezrobotni, w tym długotrwale bezrobotni</w:t>
            </w:r>
          </w:p>
        </w:tc>
        <w:tc>
          <w:tcPr>
            <w:tcW w:w="0" w:type="auto"/>
            <w:shd w:val="clear" w:color="auto" w:fill="auto"/>
          </w:tcPr>
          <w:p w14:paraId="53B930A5"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028C1132"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527C6A2E"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0A023757" w14:textId="77777777" w:rsidR="008C5CFA" w:rsidRPr="001C4484" w:rsidRDefault="00E82A60" w:rsidP="00300A01">
            <w:pPr>
              <w:spacing w:before="0" w:after="0"/>
              <w:jc w:val="right"/>
              <w:rPr>
                <w:sz w:val="10"/>
                <w:szCs w:val="10"/>
                <w:lang w:val="fr-BE"/>
              </w:rPr>
            </w:pPr>
            <w:r w:rsidRPr="001C4484">
              <w:rPr>
                <w:noProof/>
                <w:sz w:val="10"/>
                <w:szCs w:val="10"/>
              </w:rPr>
              <w:t>0,00</w:t>
            </w:r>
          </w:p>
        </w:tc>
        <w:tc>
          <w:tcPr>
            <w:tcW w:w="0" w:type="auto"/>
          </w:tcPr>
          <w:p w14:paraId="1211B9CF"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4D11EC53"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43A419D9" w14:textId="77777777" w:rsidR="008C5CFA" w:rsidRPr="001C4484" w:rsidRDefault="00E82A60" w:rsidP="00300A01">
            <w:pPr>
              <w:spacing w:before="0" w:after="0"/>
              <w:jc w:val="right"/>
              <w:rPr>
                <w:sz w:val="10"/>
                <w:szCs w:val="10"/>
                <w:lang w:val="fr-BE"/>
              </w:rPr>
            </w:pPr>
            <w:r w:rsidRPr="001C4484">
              <w:rPr>
                <w:noProof/>
                <w:sz w:val="10"/>
                <w:szCs w:val="10"/>
                <w:lang w:val="fr-BE"/>
              </w:rPr>
              <w:t>0,00</w:t>
            </w:r>
          </w:p>
        </w:tc>
      </w:tr>
      <w:tr w:rsidR="006B2EC1" w14:paraId="42CCD6D2" w14:textId="77777777" w:rsidTr="0047688D">
        <w:tc>
          <w:tcPr>
            <w:tcW w:w="0" w:type="auto"/>
            <w:shd w:val="clear" w:color="auto" w:fill="auto"/>
          </w:tcPr>
          <w:p w14:paraId="1F6F6455" w14:textId="77777777" w:rsidR="008C5CFA" w:rsidRPr="001C4484" w:rsidRDefault="00E82A60" w:rsidP="00300A01">
            <w:pPr>
              <w:spacing w:before="0" w:after="0"/>
              <w:rPr>
                <w:sz w:val="10"/>
                <w:szCs w:val="10"/>
                <w:lang w:val="fr-BE"/>
              </w:rPr>
            </w:pPr>
            <w:r w:rsidRPr="001C4484">
              <w:rPr>
                <w:noProof/>
                <w:sz w:val="10"/>
                <w:szCs w:val="10"/>
                <w:lang w:val="fr-BE"/>
              </w:rPr>
              <w:t>CO02</w:t>
            </w:r>
          </w:p>
        </w:tc>
        <w:tc>
          <w:tcPr>
            <w:tcW w:w="0" w:type="auto"/>
            <w:shd w:val="clear" w:color="auto" w:fill="auto"/>
          </w:tcPr>
          <w:p w14:paraId="0F68CF4C" w14:textId="77777777" w:rsidR="008C5CFA" w:rsidRPr="001C4484" w:rsidRDefault="00E82A60" w:rsidP="00300A01">
            <w:pPr>
              <w:spacing w:before="0" w:after="0"/>
              <w:rPr>
                <w:sz w:val="10"/>
                <w:szCs w:val="10"/>
                <w:lang w:val="fr-BE"/>
              </w:rPr>
            </w:pPr>
            <w:r w:rsidRPr="001C4484">
              <w:rPr>
                <w:noProof/>
                <w:sz w:val="10"/>
                <w:szCs w:val="10"/>
                <w:lang w:val="fr-BE"/>
              </w:rPr>
              <w:t>długotrwale bezrobotni</w:t>
            </w:r>
          </w:p>
        </w:tc>
        <w:tc>
          <w:tcPr>
            <w:tcW w:w="0" w:type="auto"/>
            <w:shd w:val="clear" w:color="auto" w:fill="auto"/>
          </w:tcPr>
          <w:p w14:paraId="42E555D9"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731B4B5B"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7926E6FA"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64780E03" w14:textId="77777777" w:rsidR="008C5CFA" w:rsidRPr="001C4484" w:rsidRDefault="00E82A60" w:rsidP="00300A01">
            <w:pPr>
              <w:spacing w:before="0" w:after="0"/>
              <w:jc w:val="right"/>
              <w:rPr>
                <w:sz w:val="10"/>
                <w:szCs w:val="10"/>
                <w:lang w:val="fr-BE"/>
              </w:rPr>
            </w:pPr>
            <w:r w:rsidRPr="001C4484">
              <w:rPr>
                <w:noProof/>
                <w:sz w:val="10"/>
                <w:szCs w:val="10"/>
              </w:rPr>
              <w:t>0,00</w:t>
            </w:r>
          </w:p>
        </w:tc>
        <w:tc>
          <w:tcPr>
            <w:tcW w:w="0" w:type="auto"/>
          </w:tcPr>
          <w:p w14:paraId="6CBE7968"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62446F55"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76700716" w14:textId="77777777" w:rsidR="008C5CFA" w:rsidRPr="001C4484" w:rsidRDefault="00E82A60" w:rsidP="00300A01">
            <w:pPr>
              <w:spacing w:before="0" w:after="0"/>
              <w:jc w:val="right"/>
              <w:rPr>
                <w:sz w:val="10"/>
                <w:szCs w:val="10"/>
                <w:lang w:val="fr-BE"/>
              </w:rPr>
            </w:pPr>
            <w:r w:rsidRPr="001C4484">
              <w:rPr>
                <w:noProof/>
                <w:sz w:val="10"/>
                <w:szCs w:val="10"/>
                <w:lang w:val="fr-BE"/>
              </w:rPr>
              <w:t>0,00</w:t>
            </w:r>
          </w:p>
        </w:tc>
      </w:tr>
      <w:tr w:rsidR="006B2EC1" w14:paraId="28994A28" w14:textId="77777777" w:rsidTr="0047688D">
        <w:tc>
          <w:tcPr>
            <w:tcW w:w="0" w:type="auto"/>
            <w:shd w:val="clear" w:color="auto" w:fill="auto"/>
          </w:tcPr>
          <w:p w14:paraId="475A0BA2" w14:textId="77777777" w:rsidR="008C5CFA" w:rsidRPr="001C4484" w:rsidRDefault="00E82A60" w:rsidP="00300A01">
            <w:pPr>
              <w:spacing w:before="0" w:after="0"/>
              <w:rPr>
                <w:sz w:val="10"/>
                <w:szCs w:val="10"/>
                <w:lang w:val="fr-BE"/>
              </w:rPr>
            </w:pPr>
            <w:r w:rsidRPr="001C4484">
              <w:rPr>
                <w:noProof/>
                <w:sz w:val="10"/>
                <w:szCs w:val="10"/>
                <w:lang w:val="fr-BE"/>
              </w:rPr>
              <w:t>CO03</w:t>
            </w:r>
          </w:p>
        </w:tc>
        <w:tc>
          <w:tcPr>
            <w:tcW w:w="0" w:type="auto"/>
            <w:shd w:val="clear" w:color="auto" w:fill="auto"/>
          </w:tcPr>
          <w:p w14:paraId="647D1B6B" w14:textId="77777777" w:rsidR="008C5CFA" w:rsidRPr="001C4484" w:rsidRDefault="00E82A60" w:rsidP="00300A01">
            <w:pPr>
              <w:spacing w:before="0" w:after="0"/>
              <w:rPr>
                <w:sz w:val="10"/>
                <w:szCs w:val="10"/>
                <w:lang w:val="fr-BE"/>
              </w:rPr>
            </w:pPr>
            <w:r w:rsidRPr="001C4484">
              <w:rPr>
                <w:noProof/>
                <w:sz w:val="10"/>
                <w:szCs w:val="10"/>
                <w:lang w:val="fr-BE"/>
              </w:rPr>
              <w:t>osoby bierne zawodowo</w:t>
            </w:r>
          </w:p>
        </w:tc>
        <w:tc>
          <w:tcPr>
            <w:tcW w:w="0" w:type="auto"/>
            <w:shd w:val="clear" w:color="auto" w:fill="auto"/>
          </w:tcPr>
          <w:p w14:paraId="2E91C258"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28D98815"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3C464680"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6F0B712B" w14:textId="77777777" w:rsidR="008C5CFA" w:rsidRPr="001C4484" w:rsidRDefault="00E82A60" w:rsidP="00300A01">
            <w:pPr>
              <w:spacing w:before="0" w:after="0"/>
              <w:jc w:val="right"/>
              <w:rPr>
                <w:sz w:val="10"/>
                <w:szCs w:val="10"/>
                <w:lang w:val="fr-BE"/>
              </w:rPr>
            </w:pPr>
            <w:r w:rsidRPr="001C4484">
              <w:rPr>
                <w:noProof/>
                <w:sz w:val="10"/>
                <w:szCs w:val="10"/>
              </w:rPr>
              <w:t>0,00</w:t>
            </w:r>
          </w:p>
        </w:tc>
        <w:tc>
          <w:tcPr>
            <w:tcW w:w="0" w:type="auto"/>
          </w:tcPr>
          <w:p w14:paraId="25016234"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412127CD"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3000C52E" w14:textId="77777777" w:rsidR="008C5CFA" w:rsidRPr="001C4484" w:rsidRDefault="00E82A60" w:rsidP="00300A01">
            <w:pPr>
              <w:spacing w:before="0" w:after="0"/>
              <w:jc w:val="right"/>
              <w:rPr>
                <w:sz w:val="10"/>
                <w:szCs w:val="10"/>
                <w:lang w:val="fr-BE"/>
              </w:rPr>
            </w:pPr>
            <w:r w:rsidRPr="001C4484">
              <w:rPr>
                <w:noProof/>
                <w:sz w:val="10"/>
                <w:szCs w:val="10"/>
                <w:lang w:val="fr-BE"/>
              </w:rPr>
              <w:t>0,00</w:t>
            </w:r>
          </w:p>
        </w:tc>
      </w:tr>
      <w:tr w:rsidR="006B2EC1" w14:paraId="0A4EBA3B" w14:textId="77777777" w:rsidTr="0047688D">
        <w:tc>
          <w:tcPr>
            <w:tcW w:w="0" w:type="auto"/>
            <w:shd w:val="clear" w:color="auto" w:fill="auto"/>
          </w:tcPr>
          <w:p w14:paraId="1BBEAF35" w14:textId="77777777" w:rsidR="008C5CFA" w:rsidRPr="001C4484" w:rsidRDefault="00E82A60" w:rsidP="00300A01">
            <w:pPr>
              <w:spacing w:before="0" w:after="0"/>
              <w:rPr>
                <w:sz w:val="10"/>
                <w:szCs w:val="10"/>
                <w:lang w:val="fr-BE"/>
              </w:rPr>
            </w:pPr>
            <w:r w:rsidRPr="001C4484">
              <w:rPr>
                <w:noProof/>
                <w:sz w:val="10"/>
                <w:szCs w:val="10"/>
                <w:lang w:val="fr-BE"/>
              </w:rPr>
              <w:t>CO04</w:t>
            </w:r>
          </w:p>
        </w:tc>
        <w:tc>
          <w:tcPr>
            <w:tcW w:w="0" w:type="auto"/>
            <w:shd w:val="clear" w:color="auto" w:fill="auto"/>
          </w:tcPr>
          <w:p w14:paraId="7D545373" w14:textId="77777777" w:rsidR="008C5CFA" w:rsidRPr="001C4484" w:rsidRDefault="00E82A60" w:rsidP="00300A01">
            <w:pPr>
              <w:spacing w:before="0" w:after="0"/>
              <w:rPr>
                <w:sz w:val="10"/>
                <w:szCs w:val="10"/>
                <w:lang w:val="fr-BE"/>
              </w:rPr>
            </w:pPr>
            <w:r w:rsidRPr="001C4484">
              <w:rPr>
                <w:noProof/>
                <w:sz w:val="10"/>
                <w:szCs w:val="10"/>
                <w:lang w:val="fr-BE"/>
              </w:rPr>
              <w:t>osoby bierne zawodowo, nieuczestniczące w kształceniu ani szkoleniu</w:t>
            </w:r>
          </w:p>
        </w:tc>
        <w:tc>
          <w:tcPr>
            <w:tcW w:w="0" w:type="auto"/>
            <w:shd w:val="clear" w:color="auto" w:fill="auto"/>
          </w:tcPr>
          <w:p w14:paraId="271262C2"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0763693F"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0BC95548"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45D951E5" w14:textId="77777777" w:rsidR="008C5CFA" w:rsidRPr="001C4484" w:rsidRDefault="00E82A60" w:rsidP="00300A01">
            <w:pPr>
              <w:spacing w:before="0" w:after="0"/>
              <w:jc w:val="right"/>
              <w:rPr>
                <w:sz w:val="10"/>
                <w:szCs w:val="10"/>
                <w:lang w:val="fr-BE"/>
              </w:rPr>
            </w:pPr>
            <w:r w:rsidRPr="001C4484">
              <w:rPr>
                <w:noProof/>
                <w:sz w:val="10"/>
                <w:szCs w:val="10"/>
              </w:rPr>
              <w:t>0,00</w:t>
            </w:r>
          </w:p>
        </w:tc>
        <w:tc>
          <w:tcPr>
            <w:tcW w:w="0" w:type="auto"/>
          </w:tcPr>
          <w:p w14:paraId="3D279482"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327922A8"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6C33624B" w14:textId="77777777" w:rsidR="008C5CFA" w:rsidRPr="001C4484" w:rsidRDefault="00E82A60" w:rsidP="00300A01">
            <w:pPr>
              <w:spacing w:before="0" w:after="0"/>
              <w:jc w:val="right"/>
              <w:rPr>
                <w:sz w:val="10"/>
                <w:szCs w:val="10"/>
                <w:lang w:val="fr-BE"/>
              </w:rPr>
            </w:pPr>
            <w:r w:rsidRPr="001C4484">
              <w:rPr>
                <w:noProof/>
                <w:sz w:val="10"/>
                <w:szCs w:val="10"/>
                <w:lang w:val="fr-BE"/>
              </w:rPr>
              <w:t>0,00</w:t>
            </w:r>
          </w:p>
        </w:tc>
      </w:tr>
      <w:tr w:rsidR="006B2EC1" w14:paraId="6D484C5D" w14:textId="77777777" w:rsidTr="0047688D">
        <w:tc>
          <w:tcPr>
            <w:tcW w:w="0" w:type="auto"/>
            <w:shd w:val="clear" w:color="auto" w:fill="auto"/>
          </w:tcPr>
          <w:p w14:paraId="094B1AF7" w14:textId="77777777" w:rsidR="008C5CFA" w:rsidRPr="001C4484" w:rsidRDefault="00E82A60" w:rsidP="00300A01">
            <w:pPr>
              <w:spacing w:before="0" w:after="0"/>
              <w:rPr>
                <w:sz w:val="10"/>
                <w:szCs w:val="10"/>
                <w:lang w:val="fr-BE"/>
              </w:rPr>
            </w:pPr>
            <w:r w:rsidRPr="001C4484">
              <w:rPr>
                <w:noProof/>
                <w:sz w:val="10"/>
                <w:szCs w:val="10"/>
                <w:lang w:val="fr-BE"/>
              </w:rPr>
              <w:t>CO05</w:t>
            </w:r>
          </w:p>
        </w:tc>
        <w:tc>
          <w:tcPr>
            <w:tcW w:w="0" w:type="auto"/>
            <w:shd w:val="clear" w:color="auto" w:fill="auto"/>
          </w:tcPr>
          <w:p w14:paraId="21562BAE" w14:textId="77777777" w:rsidR="008C5CFA" w:rsidRPr="001C4484" w:rsidRDefault="00E82A60" w:rsidP="00300A01">
            <w:pPr>
              <w:spacing w:before="0" w:after="0"/>
              <w:rPr>
                <w:sz w:val="10"/>
                <w:szCs w:val="10"/>
                <w:lang w:val="fr-BE"/>
              </w:rPr>
            </w:pPr>
            <w:r w:rsidRPr="001C4484">
              <w:rPr>
                <w:noProof/>
                <w:sz w:val="10"/>
                <w:szCs w:val="10"/>
                <w:lang w:val="fr-BE"/>
              </w:rPr>
              <w:t>osoby pracujące, łącznie z prowadzącymi działalność na własny rachunek</w:t>
            </w:r>
          </w:p>
        </w:tc>
        <w:tc>
          <w:tcPr>
            <w:tcW w:w="0" w:type="auto"/>
            <w:shd w:val="clear" w:color="auto" w:fill="auto"/>
          </w:tcPr>
          <w:p w14:paraId="01D683AA"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1D85AEE2"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2C92C855"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161C2026" w14:textId="77777777" w:rsidR="008C5CFA" w:rsidRPr="001C4484" w:rsidRDefault="00E82A60" w:rsidP="00300A01">
            <w:pPr>
              <w:spacing w:before="0" w:after="0"/>
              <w:jc w:val="right"/>
              <w:rPr>
                <w:sz w:val="10"/>
                <w:szCs w:val="10"/>
                <w:lang w:val="fr-BE"/>
              </w:rPr>
            </w:pPr>
            <w:r w:rsidRPr="001C4484">
              <w:rPr>
                <w:noProof/>
                <w:sz w:val="10"/>
                <w:szCs w:val="10"/>
              </w:rPr>
              <w:t>0,00</w:t>
            </w:r>
          </w:p>
        </w:tc>
        <w:tc>
          <w:tcPr>
            <w:tcW w:w="0" w:type="auto"/>
          </w:tcPr>
          <w:p w14:paraId="500A1F48"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2F5EDFF4"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65C26277" w14:textId="77777777" w:rsidR="008C5CFA" w:rsidRPr="001C4484" w:rsidRDefault="00E82A60" w:rsidP="00300A01">
            <w:pPr>
              <w:spacing w:before="0" w:after="0"/>
              <w:jc w:val="right"/>
              <w:rPr>
                <w:sz w:val="10"/>
                <w:szCs w:val="10"/>
                <w:lang w:val="fr-BE"/>
              </w:rPr>
            </w:pPr>
            <w:r w:rsidRPr="001C4484">
              <w:rPr>
                <w:noProof/>
                <w:sz w:val="10"/>
                <w:szCs w:val="10"/>
                <w:lang w:val="fr-BE"/>
              </w:rPr>
              <w:t>0,00</w:t>
            </w:r>
          </w:p>
        </w:tc>
      </w:tr>
      <w:tr w:rsidR="006B2EC1" w14:paraId="7AE28816" w14:textId="77777777" w:rsidTr="0047688D">
        <w:tc>
          <w:tcPr>
            <w:tcW w:w="0" w:type="auto"/>
            <w:shd w:val="clear" w:color="auto" w:fill="auto"/>
          </w:tcPr>
          <w:p w14:paraId="09A68386" w14:textId="77777777" w:rsidR="008C5CFA" w:rsidRPr="001C4484" w:rsidRDefault="00E82A60" w:rsidP="00300A01">
            <w:pPr>
              <w:spacing w:before="0" w:after="0"/>
              <w:rPr>
                <w:sz w:val="10"/>
                <w:szCs w:val="10"/>
                <w:lang w:val="fr-BE"/>
              </w:rPr>
            </w:pPr>
            <w:r w:rsidRPr="001C4484">
              <w:rPr>
                <w:noProof/>
                <w:sz w:val="10"/>
                <w:szCs w:val="10"/>
                <w:lang w:val="fr-BE"/>
              </w:rPr>
              <w:t>CO06</w:t>
            </w:r>
          </w:p>
        </w:tc>
        <w:tc>
          <w:tcPr>
            <w:tcW w:w="0" w:type="auto"/>
            <w:shd w:val="clear" w:color="auto" w:fill="auto"/>
          </w:tcPr>
          <w:p w14:paraId="54106958" w14:textId="77777777" w:rsidR="008C5CFA" w:rsidRPr="001C4484" w:rsidRDefault="00E82A60" w:rsidP="00300A01">
            <w:pPr>
              <w:spacing w:before="0" w:after="0"/>
              <w:rPr>
                <w:sz w:val="10"/>
                <w:szCs w:val="10"/>
                <w:lang w:val="fr-BE"/>
              </w:rPr>
            </w:pPr>
            <w:r w:rsidRPr="001C4484">
              <w:rPr>
                <w:noProof/>
                <w:sz w:val="10"/>
                <w:szCs w:val="10"/>
                <w:lang w:val="fr-BE"/>
              </w:rPr>
              <w:t>osoby w wieku poniżej 25 lat</w:t>
            </w:r>
          </w:p>
        </w:tc>
        <w:tc>
          <w:tcPr>
            <w:tcW w:w="0" w:type="auto"/>
            <w:shd w:val="clear" w:color="auto" w:fill="auto"/>
          </w:tcPr>
          <w:p w14:paraId="14A6419E"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49300C69"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5358F2F5"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166D808A" w14:textId="77777777" w:rsidR="008C5CFA" w:rsidRPr="001C4484" w:rsidRDefault="00E82A60" w:rsidP="00300A01">
            <w:pPr>
              <w:spacing w:before="0" w:after="0"/>
              <w:jc w:val="right"/>
              <w:rPr>
                <w:sz w:val="10"/>
                <w:szCs w:val="10"/>
                <w:lang w:val="fr-BE"/>
              </w:rPr>
            </w:pPr>
            <w:r w:rsidRPr="001C4484">
              <w:rPr>
                <w:noProof/>
                <w:sz w:val="10"/>
                <w:szCs w:val="10"/>
              </w:rPr>
              <w:t>0,00</w:t>
            </w:r>
          </w:p>
        </w:tc>
        <w:tc>
          <w:tcPr>
            <w:tcW w:w="0" w:type="auto"/>
          </w:tcPr>
          <w:p w14:paraId="01E8F851"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618AE828"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28F9313C" w14:textId="77777777" w:rsidR="008C5CFA" w:rsidRPr="001C4484" w:rsidRDefault="00E82A60" w:rsidP="00300A01">
            <w:pPr>
              <w:spacing w:before="0" w:after="0"/>
              <w:jc w:val="right"/>
              <w:rPr>
                <w:sz w:val="10"/>
                <w:szCs w:val="10"/>
                <w:lang w:val="fr-BE"/>
              </w:rPr>
            </w:pPr>
            <w:r w:rsidRPr="001C4484">
              <w:rPr>
                <w:noProof/>
                <w:sz w:val="10"/>
                <w:szCs w:val="10"/>
                <w:lang w:val="fr-BE"/>
              </w:rPr>
              <w:t>0,00</w:t>
            </w:r>
          </w:p>
        </w:tc>
      </w:tr>
      <w:tr w:rsidR="006B2EC1" w14:paraId="6C98F926" w14:textId="77777777" w:rsidTr="0047688D">
        <w:tc>
          <w:tcPr>
            <w:tcW w:w="0" w:type="auto"/>
            <w:shd w:val="clear" w:color="auto" w:fill="auto"/>
          </w:tcPr>
          <w:p w14:paraId="5F8BA429" w14:textId="77777777" w:rsidR="008C5CFA" w:rsidRPr="001C4484" w:rsidRDefault="00E82A60" w:rsidP="00300A01">
            <w:pPr>
              <w:spacing w:before="0" w:after="0"/>
              <w:rPr>
                <w:sz w:val="10"/>
                <w:szCs w:val="10"/>
                <w:lang w:val="fr-BE"/>
              </w:rPr>
            </w:pPr>
            <w:r w:rsidRPr="001C4484">
              <w:rPr>
                <w:noProof/>
                <w:sz w:val="10"/>
                <w:szCs w:val="10"/>
                <w:lang w:val="fr-BE"/>
              </w:rPr>
              <w:lastRenderedPageBreak/>
              <w:t>CO07</w:t>
            </w:r>
          </w:p>
        </w:tc>
        <w:tc>
          <w:tcPr>
            <w:tcW w:w="0" w:type="auto"/>
            <w:shd w:val="clear" w:color="auto" w:fill="auto"/>
          </w:tcPr>
          <w:p w14:paraId="0B258F97" w14:textId="77777777" w:rsidR="008C5CFA" w:rsidRPr="001C4484" w:rsidRDefault="00E82A60" w:rsidP="00300A01">
            <w:pPr>
              <w:spacing w:before="0" w:after="0"/>
              <w:rPr>
                <w:sz w:val="10"/>
                <w:szCs w:val="10"/>
                <w:lang w:val="fr-BE"/>
              </w:rPr>
            </w:pPr>
            <w:r w:rsidRPr="001C4484">
              <w:rPr>
                <w:noProof/>
                <w:sz w:val="10"/>
                <w:szCs w:val="10"/>
                <w:lang w:val="fr-BE"/>
              </w:rPr>
              <w:t>osoby w wieku powyżej 54 lat</w:t>
            </w:r>
          </w:p>
        </w:tc>
        <w:tc>
          <w:tcPr>
            <w:tcW w:w="0" w:type="auto"/>
            <w:shd w:val="clear" w:color="auto" w:fill="auto"/>
          </w:tcPr>
          <w:p w14:paraId="3B024D67"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62602F13"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1EFAD0C2"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172768B0" w14:textId="77777777" w:rsidR="008C5CFA" w:rsidRPr="001C4484" w:rsidRDefault="00E82A60" w:rsidP="00300A01">
            <w:pPr>
              <w:spacing w:before="0" w:after="0"/>
              <w:jc w:val="right"/>
              <w:rPr>
                <w:sz w:val="10"/>
                <w:szCs w:val="10"/>
                <w:lang w:val="fr-BE"/>
              </w:rPr>
            </w:pPr>
            <w:r w:rsidRPr="001C4484">
              <w:rPr>
                <w:noProof/>
                <w:sz w:val="10"/>
                <w:szCs w:val="10"/>
              </w:rPr>
              <w:t>0,00</w:t>
            </w:r>
          </w:p>
        </w:tc>
        <w:tc>
          <w:tcPr>
            <w:tcW w:w="0" w:type="auto"/>
          </w:tcPr>
          <w:p w14:paraId="5DE7E2FB"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23FB961F"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05BADC10" w14:textId="77777777" w:rsidR="008C5CFA" w:rsidRPr="001C4484" w:rsidRDefault="00E82A60" w:rsidP="00300A01">
            <w:pPr>
              <w:spacing w:before="0" w:after="0"/>
              <w:jc w:val="right"/>
              <w:rPr>
                <w:sz w:val="10"/>
                <w:szCs w:val="10"/>
                <w:lang w:val="fr-BE"/>
              </w:rPr>
            </w:pPr>
            <w:r w:rsidRPr="001C4484">
              <w:rPr>
                <w:noProof/>
                <w:sz w:val="10"/>
                <w:szCs w:val="10"/>
                <w:lang w:val="fr-BE"/>
              </w:rPr>
              <w:t>0,00</w:t>
            </w:r>
          </w:p>
        </w:tc>
      </w:tr>
      <w:tr w:rsidR="006B2EC1" w14:paraId="3F6D14D8" w14:textId="77777777" w:rsidTr="0047688D">
        <w:tc>
          <w:tcPr>
            <w:tcW w:w="0" w:type="auto"/>
            <w:shd w:val="clear" w:color="auto" w:fill="auto"/>
          </w:tcPr>
          <w:p w14:paraId="439B0E81" w14:textId="77777777" w:rsidR="008C5CFA" w:rsidRPr="001C4484" w:rsidRDefault="00E82A60" w:rsidP="00300A01">
            <w:pPr>
              <w:spacing w:before="0" w:after="0"/>
              <w:rPr>
                <w:sz w:val="10"/>
                <w:szCs w:val="10"/>
                <w:lang w:val="fr-BE"/>
              </w:rPr>
            </w:pPr>
            <w:r w:rsidRPr="001C4484">
              <w:rPr>
                <w:noProof/>
                <w:sz w:val="10"/>
                <w:szCs w:val="10"/>
                <w:lang w:val="fr-BE"/>
              </w:rPr>
              <w:t>CO08</w:t>
            </w:r>
          </w:p>
        </w:tc>
        <w:tc>
          <w:tcPr>
            <w:tcW w:w="0" w:type="auto"/>
            <w:shd w:val="clear" w:color="auto" w:fill="auto"/>
          </w:tcPr>
          <w:p w14:paraId="2E8853B0" w14:textId="77777777" w:rsidR="008C5CFA" w:rsidRPr="001C4484" w:rsidRDefault="00E82A60" w:rsidP="00300A01">
            <w:pPr>
              <w:spacing w:before="0" w:after="0"/>
              <w:rPr>
                <w:sz w:val="10"/>
                <w:szCs w:val="10"/>
                <w:lang w:val="fr-BE"/>
              </w:rPr>
            </w:pPr>
            <w:r w:rsidRPr="001C4484">
              <w:rPr>
                <w:noProof/>
                <w:sz w:val="10"/>
                <w:szCs w:val="10"/>
                <w:lang w:val="fr-BE"/>
              </w:rPr>
              <w:t>osoby powyżej 54 lat, które są bezrobotne, łącznie z długotrwale bezrobotnymi, lub są bierne zawodowo i nie uczestniczą w kształceniu ani szkoleniu</w:t>
            </w:r>
          </w:p>
        </w:tc>
        <w:tc>
          <w:tcPr>
            <w:tcW w:w="0" w:type="auto"/>
            <w:shd w:val="clear" w:color="auto" w:fill="auto"/>
          </w:tcPr>
          <w:p w14:paraId="3EFF6533"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66DA1C55"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587DDBAB"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6F611373" w14:textId="77777777" w:rsidR="008C5CFA" w:rsidRPr="001C4484" w:rsidRDefault="00E82A60" w:rsidP="00300A01">
            <w:pPr>
              <w:spacing w:before="0" w:after="0"/>
              <w:jc w:val="right"/>
              <w:rPr>
                <w:sz w:val="10"/>
                <w:szCs w:val="10"/>
                <w:lang w:val="fr-BE"/>
              </w:rPr>
            </w:pPr>
            <w:r w:rsidRPr="001C4484">
              <w:rPr>
                <w:noProof/>
                <w:sz w:val="10"/>
                <w:szCs w:val="10"/>
              </w:rPr>
              <w:t>0,00</w:t>
            </w:r>
          </w:p>
        </w:tc>
        <w:tc>
          <w:tcPr>
            <w:tcW w:w="0" w:type="auto"/>
          </w:tcPr>
          <w:p w14:paraId="7A3404EE"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38AE1CDE"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0A96349D" w14:textId="77777777" w:rsidR="008C5CFA" w:rsidRPr="001C4484" w:rsidRDefault="00E82A60" w:rsidP="00300A01">
            <w:pPr>
              <w:spacing w:before="0" w:after="0"/>
              <w:jc w:val="right"/>
              <w:rPr>
                <w:sz w:val="10"/>
                <w:szCs w:val="10"/>
                <w:lang w:val="fr-BE"/>
              </w:rPr>
            </w:pPr>
            <w:r w:rsidRPr="001C4484">
              <w:rPr>
                <w:noProof/>
                <w:sz w:val="10"/>
                <w:szCs w:val="10"/>
                <w:lang w:val="fr-BE"/>
              </w:rPr>
              <w:t>0,00</w:t>
            </w:r>
          </w:p>
        </w:tc>
      </w:tr>
      <w:tr w:rsidR="006B2EC1" w14:paraId="39BE50D6" w14:textId="77777777" w:rsidTr="0047688D">
        <w:tc>
          <w:tcPr>
            <w:tcW w:w="0" w:type="auto"/>
            <w:shd w:val="clear" w:color="auto" w:fill="auto"/>
          </w:tcPr>
          <w:p w14:paraId="56C589F2" w14:textId="77777777" w:rsidR="008C5CFA" w:rsidRPr="001C4484" w:rsidRDefault="00E82A60" w:rsidP="00300A01">
            <w:pPr>
              <w:spacing w:before="0" w:after="0"/>
              <w:rPr>
                <w:sz w:val="10"/>
                <w:szCs w:val="10"/>
                <w:lang w:val="fr-BE"/>
              </w:rPr>
            </w:pPr>
            <w:r w:rsidRPr="001C4484">
              <w:rPr>
                <w:noProof/>
                <w:sz w:val="10"/>
                <w:szCs w:val="10"/>
                <w:lang w:val="fr-BE"/>
              </w:rPr>
              <w:t>CO09</w:t>
            </w:r>
          </w:p>
        </w:tc>
        <w:tc>
          <w:tcPr>
            <w:tcW w:w="0" w:type="auto"/>
            <w:shd w:val="clear" w:color="auto" w:fill="auto"/>
          </w:tcPr>
          <w:p w14:paraId="7349DCD5" w14:textId="77777777" w:rsidR="008C5CFA" w:rsidRPr="001C4484" w:rsidRDefault="00E82A60" w:rsidP="00300A01">
            <w:pPr>
              <w:spacing w:before="0" w:after="0"/>
              <w:rPr>
                <w:sz w:val="10"/>
                <w:szCs w:val="10"/>
                <w:lang w:val="fr-BE"/>
              </w:rPr>
            </w:pPr>
            <w:r w:rsidRPr="001C4484">
              <w:rPr>
                <w:noProof/>
                <w:sz w:val="10"/>
                <w:szCs w:val="10"/>
                <w:lang w:val="fr-BE"/>
              </w:rPr>
              <w:t>osoby z wykształceniem podstawowym (ISCED 1) lub średnim I stopnia (ISCED 2)</w:t>
            </w:r>
          </w:p>
        </w:tc>
        <w:tc>
          <w:tcPr>
            <w:tcW w:w="0" w:type="auto"/>
            <w:shd w:val="clear" w:color="auto" w:fill="auto"/>
          </w:tcPr>
          <w:p w14:paraId="73A9C200"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5284661F"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3C4E914C"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2D28E8E0" w14:textId="77777777" w:rsidR="008C5CFA" w:rsidRPr="001C4484" w:rsidRDefault="00E82A60" w:rsidP="00300A01">
            <w:pPr>
              <w:spacing w:before="0" w:after="0"/>
              <w:jc w:val="right"/>
              <w:rPr>
                <w:sz w:val="10"/>
                <w:szCs w:val="10"/>
                <w:lang w:val="fr-BE"/>
              </w:rPr>
            </w:pPr>
            <w:r w:rsidRPr="001C4484">
              <w:rPr>
                <w:noProof/>
                <w:sz w:val="10"/>
                <w:szCs w:val="10"/>
              </w:rPr>
              <w:t>0,00</w:t>
            </w:r>
          </w:p>
        </w:tc>
        <w:tc>
          <w:tcPr>
            <w:tcW w:w="0" w:type="auto"/>
          </w:tcPr>
          <w:p w14:paraId="157AB22B"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1F11D877"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0AAA1397" w14:textId="77777777" w:rsidR="008C5CFA" w:rsidRPr="001C4484" w:rsidRDefault="00E82A60" w:rsidP="00300A01">
            <w:pPr>
              <w:spacing w:before="0" w:after="0"/>
              <w:jc w:val="right"/>
              <w:rPr>
                <w:sz w:val="10"/>
                <w:szCs w:val="10"/>
                <w:lang w:val="fr-BE"/>
              </w:rPr>
            </w:pPr>
            <w:r w:rsidRPr="001C4484">
              <w:rPr>
                <w:noProof/>
                <w:sz w:val="10"/>
                <w:szCs w:val="10"/>
                <w:lang w:val="fr-BE"/>
              </w:rPr>
              <w:t>0,00</w:t>
            </w:r>
          </w:p>
        </w:tc>
      </w:tr>
      <w:tr w:rsidR="006B2EC1" w14:paraId="7C4A8280" w14:textId="77777777" w:rsidTr="0047688D">
        <w:tc>
          <w:tcPr>
            <w:tcW w:w="0" w:type="auto"/>
            <w:shd w:val="clear" w:color="auto" w:fill="auto"/>
          </w:tcPr>
          <w:p w14:paraId="552FF86F" w14:textId="77777777" w:rsidR="008C5CFA" w:rsidRPr="001C4484" w:rsidRDefault="00E82A60" w:rsidP="00300A01">
            <w:pPr>
              <w:spacing w:before="0" w:after="0"/>
              <w:rPr>
                <w:sz w:val="10"/>
                <w:szCs w:val="10"/>
                <w:lang w:val="fr-BE"/>
              </w:rPr>
            </w:pPr>
            <w:r w:rsidRPr="001C4484">
              <w:rPr>
                <w:noProof/>
                <w:sz w:val="10"/>
                <w:szCs w:val="10"/>
                <w:lang w:val="fr-BE"/>
              </w:rPr>
              <w:t>CO10</w:t>
            </w:r>
          </w:p>
        </w:tc>
        <w:tc>
          <w:tcPr>
            <w:tcW w:w="0" w:type="auto"/>
            <w:shd w:val="clear" w:color="auto" w:fill="auto"/>
          </w:tcPr>
          <w:p w14:paraId="2C5A9A3C" w14:textId="77777777" w:rsidR="008C5CFA" w:rsidRPr="001C4484" w:rsidRDefault="00E82A60" w:rsidP="00300A01">
            <w:pPr>
              <w:spacing w:before="0" w:after="0"/>
              <w:rPr>
                <w:sz w:val="10"/>
                <w:szCs w:val="10"/>
                <w:lang w:val="fr-BE"/>
              </w:rPr>
            </w:pPr>
            <w:r w:rsidRPr="001C4484">
              <w:rPr>
                <w:noProof/>
                <w:sz w:val="10"/>
                <w:szCs w:val="10"/>
                <w:lang w:val="fr-BE"/>
              </w:rPr>
              <w:t>osoby z wykształceniem średnim II stopnia (ISCED 3) lub policealnym (ISCED 4)</w:t>
            </w:r>
          </w:p>
        </w:tc>
        <w:tc>
          <w:tcPr>
            <w:tcW w:w="0" w:type="auto"/>
            <w:shd w:val="clear" w:color="auto" w:fill="auto"/>
          </w:tcPr>
          <w:p w14:paraId="2ADBB675"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49F364FE"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197650D9"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6B084FE0" w14:textId="77777777" w:rsidR="008C5CFA" w:rsidRPr="001C4484" w:rsidRDefault="00E82A60" w:rsidP="00300A01">
            <w:pPr>
              <w:spacing w:before="0" w:after="0"/>
              <w:jc w:val="right"/>
              <w:rPr>
                <w:sz w:val="10"/>
                <w:szCs w:val="10"/>
                <w:lang w:val="fr-BE"/>
              </w:rPr>
            </w:pPr>
            <w:r w:rsidRPr="001C4484">
              <w:rPr>
                <w:noProof/>
                <w:sz w:val="10"/>
                <w:szCs w:val="10"/>
              </w:rPr>
              <w:t>0,00</w:t>
            </w:r>
          </w:p>
        </w:tc>
        <w:tc>
          <w:tcPr>
            <w:tcW w:w="0" w:type="auto"/>
          </w:tcPr>
          <w:p w14:paraId="38ED234F"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7C706CEE"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000FE17F" w14:textId="77777777" w:rsidR="008C5CFA" w:rsidRPr="001C4484" w:rsidRDefault="00E82A60" w:rsidP="00300A01">
            <w:pPr>
              <w:spacing w:before="0" w:after="0"/>
              <w:jc w:val="right"/>
              <w:rPr>
                <w:sz w:val="10"/>
                <w:szCs w:val="10"/>
                <w:lang w:val="fr-BE"/>
              </w:rPr>
            </w:pPr>
            <w:r w:rsidRPr="001C4484">
              <w:rPr>
                <w:noProof/>
                <w:sz w:val="10"/>
                <w:szCs w:val="10"/>
                <w:lang w:val="fr-BE"/>
              </w:rPr>
              <w:t>0,00</w:t>
            </w:r>
          </w:p>
        </w:tc>
      </w:tr>
      <w:tr w:rsidR="006B2EC1" w14:paraId="61891CBF" w14:textId="77777777" w:rsidTr="0047688D">
        <w:tc>
          <w:tcPr>
            <w:tcW w:w="0" w:type="auto"/>
            <w:shd w:val="clear" w:color="auto" w:fill="auto"/>
          </w:tcPr>
          <w:p w14:paraId="517D5FA3" w14:textId="77777777" w:rsidR="008C5CFA" w:rsidRPr="001C4484" w:rsidRDefault="00E82A60" w:rsidP="00300A01">
            <w:pPr>
              <w:spacing w:before="0" w:after="0"/>
              <w:rPr>
                <w:sz w:val="10"/>
                <w:szCs w:val="10"/>
                <w:lang w:val="fr-BE"/>
              </w:rPr>
            </w:pPr>
            <w:r w:rsidRPr="001C4484">
              <w:rPr>
                <w:noProof/>
                <w:sz w:val="10"/>
                <w:szCs w:val="10"/>
                <w:lang w:val="fr-BE"/>
              </w:rPr>
              <w:t>CO11</w:t>
            </w:r>
          </w:p>
        </w:tc>
        <w:tc>
          <w:tcPr>
            <w:tcW w:w="0" w:type="auto"/>
            <w:shd w:val="clear" w:color="auto" w:fill="auto"/>
          </w:tcPr>
          <w:p w14:paraId="51CAD07F" w14:textId="77777777" w:rsidR="008C5CFA" w:rsidRPr="001C4484" w:rsidRDefault="00E82A60" w:rsidP="00300A01">
            <w:pPr>
              <w:spacing w:before="0" w:after="0"/>
              <w:rPr>
                <w:sz w:val="10"/>
                <w:szCs w:val="10"/>
                <w:lang w:val="fr-BE"/>
              </w:rPr>
            </w:pPr>
            <w:r w:rsidRPr="001C4484">
              <w:rPr>
                <w:noProof/>
                <w:sz w:val="10"/>
                <w:szCs w:val="10"/>
                <w:lang w:val="fr-BE"/>
              </w:rPr>
              <w:t>osoby z wykształceniem wyższym (ISCED 5 do 8)</w:t>
            </w:r>
          </w:p>
        </w:tc>
        <w:tc>
          <w:tcPr>
            <w:tcW w:w="0" w:type="auto"/>
            <w:shd w:val="clear" w:color="auto" w:fill="auto"/>
          </w:tcPr>
          <w:p w14:paraId="6CAD81A2"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57531A76"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2A2B0F63"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50FA1FBB" w14:textId="77777777" w:rsidR="008C5CFA" w:rsidRPr="001C4484" w:rsidRDefault="00E82A60" w:rsidP="00300A01">
            <w:pPr>
              <w:spacing w:before="0" w:after="0"/>
              <w:jc w:val="right"/>
              <w:rPr>
                <w:sz w:val="10"/>
                <w:szCs w:val="10"/>
                <w:lang w:val="fr-BE"/>
              </w:rPr>
            </w:pPr>
            <w:r w:rsidRPr="001C4484">
              <w:rPr>
                <w:noProof/>
                <w:sz w:val="10"/>
                <w:szCs w:val="10"/>
              </w:rPr>
              <w:t>0,00</w:t>
            </w:r>
          </w:p>
        </w:tc>
        <w:tc>
          <w:tcPr>
            <w:tcW w:w="0" w:type="auto"/>
          </w:tcPr>
          <w:p w14:paraId="26A02FD0"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6A570119"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26D20150" w14:textId="77777777" w:rsidR="008C5CFA" w:rsidRPr="001C4484" w:rsidRDefault="00E82A60" w:rsidP="00300A01">
            <w:pPr>
              <w:spacing w:before="0" w:after="0"/>
              <w:jc w:val="right"/>
              <w:rPr>
                <w:sz w:val="10"/>
                <w:szCs w:val="10"/>
                <w:lang w:val="fr-BE"/>
              </w:rPr>
            </w:pPr>
            <w:r w:rsidRPr="001C4484">
              <w:rPr>
                <w:noProof/>
                <w:sz w:val="10"/>
                <w:szCs w:val="10"/>
                <w:lang w:val="fr-BE"/>
              </w:rPr>
              <w:t>0,00</w:t>
            </w:r>
          </w:p>
        </w:tc>
      </w:tr>
      <w:tr w:rsidR="006B2EC1" w14:paraId="3B5B6AAF" w14:textId="77777777" w:rsidTr="0047688D">
        <w:tc>
          <w:tcPr>
            <w:tcW w:w="0" w:type="auto"/>
            <w:shd w:val="clear" w:color="auto" w:fill="auto"/>
          </w:tcPr>
          <w:p w14:paraId="6420BE8D" w14:textId="77777777" w:rsidR="008C5CFA" w:rsidRPr="001C4484" w:rsidRDefault="00E82A60" w:rsidP="00300A01">
            <w:pPr>
              <w:spacing w:before="0" w:after="0"/>
              <w:rPr>
                <w:sz w:val="10"/>
                <w:szCs w:val="10"/>
                <w:lang w:val="fr-BE"/>
              </w:rPr>
            </w:pPr>
            <w:r w:rsidRPr="001C4484">
              <w:rPr>
                <w:noProof/>
                <w:sz w:val="10"/>
                <w:szCs w:val="10"/>
                <w:lang w:val="fr-BE"/>
              </w:rPr>
              <w:t>CO15</w:t>
            </w:r>
          </w:p>
        </w:tc>
        <w:tc>
          <w:tcPr>
            <w:tcW w:w="0" w:type="auto"/>
            <w:shd w:val="clear" w:color="auto" w:fill="auto"/>
          </w:tcPr>
          <w:p w14:paraId="573B0807" w14:textId="77777777" w:rsidR="008C5CFA" w:rsidRPr="001C4484" w:rsidRDefault="00E82A60" w:rsidP="00300A01">
            <w:pPr>
              <w:spacing w:before="0" w:after="0"/>
              <w:rPr>
                <w:sz w:val="10"/>
                <w:szCs w:val="10"/>
                <w:lang w:val="fr-BE"/>
              </w:rPr>
            </w:pPr>
            <w:r w:rsidRPr="001C4484">
              <w:rPr>
                <w:noProof/>
                <w:sz w:val="10"/>
                <w:szCs w:val="10"/>
                <w:lang w:val="fr-BE"/>
              </w:rPr>
              <w:t>migranci, uczestnicy obcego pochodzenia, mniejszości (w tym społeczności marginalizowane, takie jak Romowie)</w:t>
            </w:r>
          </w:p>
        </w:tc>
        <w:tc>
          <w:tcPr>
            <w:tcW w:w="0" w:type="auto"/>
            <w:shd w:val="clear" w:color="auto" w:fill="auto"/>
          </w:tcPr>
          <w:p w14:paraId="0EAFE876"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0D75AA45"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7611E3C4"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275BDA14" w14:textId="77777777" w:rsidR="008C5CFA" w:rsidRPr="001C4484" w:rsidRDefault="00E82A60" w:rsidP="00300A01">
            <w:pPr>
              <w:spacing w:before="0" w:after="0"/>
              <w:jc w:val="right"/>
              <w:rPr>
                <w:sz w:val="10"/>
                <w:szCs w:val="10"/>
                <w:lang w:val="fr-BE"/>
              </w:rPr>
            </w:pPr>
            <w:r w:rsidRPr="001C4484">
              <w:rPr>
                <w:noProof/>
                <w:sz w:val="10"/>
                <w:szCs w:val="10"/>
              </w:rPr>
              <w:t>0,00</w:t>
            </w:r>
          </w:p>
        </w:tc>
        <w:tc>
          <w:tcPr>
            <w:tcW w:w="0" w:type="auto"/>
          </w:tcPr>
          <w:p w14:paraId="09C9FF1F"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254CF12D"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13CD0592" w14:textId="77777777" w:rsidR="008C5CFA" w:rsidRPr="001C4484" w:rsidRDefault="00E82A60" w:rsidP="00300A01">
            <w:pPr>
              <w:spacing w:before="0" w:after="0"/>
              <w:jc w:val="right"/>
              <w:rPr>
                <w:sz w:val="10"/>
                <w:szCs w:val="10"/>
                <w:lang w:val="fr-BE"/>
              </w:rPr>
            </w:pPr>
            <w:r w:rsidRPr="001C4484">
              <w:rPr>
                <w:noProof/>
                <w:sz w:val="10"/>
                <w:szCs w:val="10"/>
                <w:lang w:val="fr-BE"/>
              </w:rPr>
              <w:t>0,00</w:t>
            </w:r>
          </w:p>
        </w:tc>
      </w:tr>
      <w:tr w:rsidR="006B2EC1" w14:paraId="281447C3" w14:textId="77777777" w:rsidTr="0047688D">
        <w:tc>
          <w:tcPr>
            <w:tcW w:w="0" w:type="auto"/>
            <w:shd w:val="clear" w:color="auto" w:fill="auto"/>
          </w:tcPr>
          <w:p w14:paraId="3D18A1B4" w14:textId="77777777" w:rsidR="008C5CFA" w:rsidRPr="001C4484" w:rsidRDefault="00E82A60" w:rsidP="00300A01">
            <w:pPr>
              <w:spacing w:before="0" w:after="0"/>
              <w:rPr>
                <w:sz w:val="10"/>
                <w:szCs w:val="10"/>
                <w:lang w:val="fr-BE"/>
              </w:rPr>
            </w:pPr>
            <w:r w:rsidRPr="001C4484">
              <w:rPr>
                <w:noProof/>
                <w:sz w:val="10"/>
                <w:szCs w:val="10"/>
                <w:lang w:val="fr-BE"/>
              </w:rPr>
              <w:t>CO16</w:t>
            </w:r>
          </w:p>
        </w:tc>
        <w:tc>
          <w:tcPr>
            <w:tcW w:w="0" w:type="auto"/>
            <w:shd w:val="clear" w:color="auto" w:fill="auto"/>
          </w:tcPr>
          <w:p w14:paraId="75003FF8" w14:textId="77777777" w:rsidR="008C5CFA" w:rsidRPr="001C4484" w:rsidRDefault="00E82A60" w:rsidP="00300A01">
            <w:pPr>
              <w:spacing w:before="0" w:after="0"/>
              <w:rPr>
                <w:sz w:val="10"/>
                <w:szCs w:val="10"/>
                <w:lang w:val="fr-BE"/>
              </w:rPr>
            </w:pPr>
            <w:r w:rsidRPr="001C4484">
              <w:rPr>
                <w:noProof/>
                <w:sz w:val="10"/>
                <w:szCs w:val="10"/>
                <w:lang w:val="fr-BE"/>
              </w:rPr>
              <w:t>uczestnicy z niepełnosprawnościami</w:t>
            </w:r>
          </w:p>
        </w:tc>
        <w:tc>
          <w:tcPr>
            <w:tcW w:w="0" w:type="auto"/>
            <w:shd w:val="clear" w:color="auto" w:fill="auto"/>
          </w:tcPr>
          <w:p w14:paraId="25A2F52C"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77A457FF"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76D0C89F"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42AD66AF" w14:textId="77777777" w:rsidR="008C5CFA" w:rsidRPr="001C4484" w:rsidRDefault="00E82A60" w:rsidP="00300A01">
            <w:pPr>
              <w:spacing w:before="0" w:after="0"/>
              <w:jc w:val="right"/>
              <w:rPr>
                <w:sz w:val="10"/>
                <w:szCs w:val="10"/>
                <w:lang w:val="fr-BE"/>
              </w:rPr>
            </w:pPr>
            <w:r w:rsidRPr="001C4484">
              <w:rPr>
                <w:noProof/>
                <w:sz w:val="10"/>
                <w:szCs w:val="10"/>
              </w:rPr>
              <w:t>0,00</w:t>
            </w:r>
          </w:p>
        </w:tc>
        <w:tc>
          <w:tcPr>
            <w:tcW w:w="0" w:type="auto"/>
          </w:tcPr>
          <w:p w14:paraId="11492935"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3EBEA3BB"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329C0FBB" w14:textId="77777777" w:rsidR="008C5CFA" w:rsidRPr="001C4484" w:rsidRDefault="00E82A60" w:rsidP="00300A01">
            <w:pPr>
              <w:spacing w:before="0" w:after="0"/>
              <w:jc w:val="right"/>
              <w:rPr>
                <w:sz w:val="10"/>
                <w:szCs w:val="10"/>
                <w:lang w:val="fr-BE"/>
              </w:rPr>
            </w:pPr>
            <w:r w:rsidRPr="001C4484">
              <w:rPr>
                <w:noProof/>
                <w:sz w:val="10"/>
                <w:szCs w:val="10"/>
                <w:lang w:val="fr-BE"/>
              </w:rPr>
              <w:t>0,00</w:t>
            </w:r>
          </w:p>
        </w:tc>
      </w:tr>
      <w:tr w:rsidR="006B2EC1" w14:paraId="449F1425" w14:textId="77777777" w:rsidTr="0047688D">
        <w:tc>
          <w:tcPr>
            <w:tcW w:w="0" w:type="auto"/>
            <w:shd w:val="clear" w:color="auto" w:fill="auto"/>
          </w:tcPr>
          <w:p w14:paraId="2D11BA9D" w14:textId="77777777" w:rsidR="008C5CFA" w:rsidRPr="001C4484" w:rsidRDefault="00E82A60" w:rsidP="00300A01">
            <w:pPr>
              <w:spacing w:before="0" w:after="0"/>
              <w:rPr>
                <w:sz w:val="10"/>
                <w:szCs w:val="10"/>
                <w:lang w:val="fr-BE"/>
              </w:rPr>
            </w:pPr>
            <w:r w:rsidRPr="001C4484">
              <w:rPr>
                <w:noProof/>
                <w:sz w:val="10"/>
                <w:szCs w:val="10"/>
                <w:lang w:val="fr-BE"/>
              </w:rPr>
              <w:t>CO17</w:t>
            </w:r>
          </w:p>
        </w:tc>
        <w:tc>
          <w:tcPr>
            <w:tcW w:w="0" w:type="auto"/>
            <w:shd w:val="clear" w:color="auto" w:fill="auto"/>
          </w:tcPr>
          <w:p w14:paraId="1C30EA69" w14:textId="77777777" w:rsidR="008C5CFA" w:rsidRPr="001C4484" w:rsidRDefault="00E82A60" w:rsidP="00300A01">
            <w:pPr>
              <w:spacing w:before="0" w:after="0"/>
              <w:rPr>
                <w:sz w:val="10"/>
                <w:szCs w:val="10"/>
                <w:lang w:val="fr-BE"/>
              </w:rPr>
            </w:pPr>
            <w:r w:rsidRPr="001C4484">
              <w:rPr>
                <w:noProof/>
                <w:sz w:val="10"/>
                <w:szCs w:val="10"/>
                <w:lang w:val="fr-BE"/>
              </w:rPr>
              <w:t>inne osoby w niekorzystnej sytuacji społecznej</w:t>
            </w:r>
          </w:p>
        </w:tc>
        <w:tc>
          <w:tcPr>
            <w:tcW w:w="0" w:type="auto"/>
            <w:shd w:val="clear" w:color="auto" w:fill="auto"/>
          </w:tcPr>
          <w:p w14:paraId="1B9D7BAA"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039DE11C"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5AD19310"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3503A6E1" w14:textId="77777777" w:rsidR="008C5CFA" w:rsidRPr="001C4484" w:rsidRDefault="00E82A60" w:rsidP="00300A01">
            <w:pPr>
              <w:spacing w:before="0" w:after="0"/>
              <w:jc w:val="right"/>
              <w:rPr>
                <w:sz w:val="10"/>
                <w:szCs w:val="10"/>
                <w:lang w:val="fr-BE"/>
              </w:rPr>
            </w:pPr>
            <w:r w:rsidRPr="001C4484">
              <w:rPr>
                <w:noProof/>
                <w:sz w:val="10"/>
                <w:szCs w:val="10"/>
              </w:rPr>
              <w:t>0,00</w:t>
            </w:r>
          </w:p>
        </w:tc>
        <w:tc>
          <w:tcPr>
            <w:tcW w:w="0" w:type="auto"/>
          </w:tcPr>
          <w:p w14:paraId="6825C5F3"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0C27EEAC"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72FBE578" w14:textId="77777777" w:rsidR="008C5CFA" w:rsidRPr="001C4484" w:rsidRDefault="00E82A60" w:rsidP="00300A01">
            <w:pPr>
              <w:spacing w:before="0" w:after="0"/>
              <w:jc w:val="right"/>
              <w:rPr>
                <w:sz w:val="10"/>
                <w:szCs w:val="10"/>
                <w:lang w:val="fr-BE"/>
              </w:rPr>
            </w:pPr>
            <w:r w:rsidRPr="001C4484">
              <w:rPr>
                <w:noProof/>
                <w:sz w:val="10"/>
                <w:szCs w:val="10"/>
                <w:lang w:val="fr-BE"/>
              </w:rPr>
              <w:t>0,00</w:t>
            </w:r>
          </w:p>
        </w:tc>
      </w:tr>
      <w:tr w:rsidR="006B2EC1" w14:paraId="5B92EE54" w14:textId="77777777" w:rsidTr="0047688D">
        <w:tc>
          <w:tcPr>
            <w:tcW w:w="0" w:type="auto"/>
            <w:shd w:val="clear" w:color="auto" w:fill="auto"/>
          </w:tcPr>
          <w:p w14:paraId="25D4AA7B" w14:textId="77777777" w:rsidR="008C5CFA" w:rsidRPr="001C4484" w:rsidRDefault="00E82A60" w:rsidP="00300A01">
            <w:pPr>
              <w:spacing w:before="0" w:after="0"/>
              <w:rPr>
                <w:sz w:val="10"/>
                <w:szCs w:val="10"/>
                <w:lang w:val="fr-BE"/>
              </w:rPr>
            </w:pPr>
            <w:r w:rsidRPr="001C4484">
              <w:rPr>
                <w:noProof/>
                <w:sz w:val="10"/>
                <w:szCs w:val="10"/>
                <w:lang w:val="fr-BE"/>
              </w:rPr>
              <w:t>CO18</w:t>
            </w:r>
          </w:p>
        </w:tc>
        <w:tc>
          <w:tcPr>
            <w:tcW w:w="0" w:type="auto"/>
            <w:shd w:val="clear" w:color="auto" w:fill="auto"/>
          </w:tcPr>
          <w:p w14:paraId="6A9CFEC2" w14:textId="77777777" w:rsidR="008C5CFA" w:rsidRPr="001C4484" w:rsidRDefault="00E82A60" w:rsidP="00300A01">
            <w:pPr>
              <w:spacing w:before="0" w:after="0"/>
              <w:rPr>
                <w:sz w:val="10"/>
                <w:szCs w:val="10"/>
                <w:lang w:val="fr-BE"/>
              </w:rPr>
            </w:pPr>
            <w:r w:rsidRPr="001C4484">
              <w:rPr>
                <w:noProof/>
                <w:sz w:val="10"/>
                <w:szCs w:val="10"/>
                <w:lang w:val="fr-BE"/>
              </w:rPr>
              <w:t>osoby bezdomne lub dotknięte wykluczeniem z dostępu do mieszkań</w:t>
            </w:r>
          </w:p>
        </w:tc>
        <w:tc>
          <w:tcPr>
            <w:tcW w:w="0" w:type="auto"/>
            <w:shd w:val="clear" w:color="auto" w:fill="auto"/>
          </w:tcPr>
          <w:p w14:paraId="23E63CA8"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52B1CD40"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0A1BF063"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6CE1BB29" w14:textId="77777777" w:rsidR="008C5CFA" w:rsidRPr="001C4484" w:rsidRDefault="00E82A60" w:rsidP="00300A01">
            <w:pPr>
              <w:spacing w:before="0" w:after="0"/>
              <w:jc w:val="right"/>
              <w:rPr>
                <w:sz w:val="10"/>
                <w:szCs w:val="10"/>
                <w:lang w:val="fr-BE"/>
              </w:rPr>
            </w:pPr>
            <w:r w:rsidRPr="001C4484">
              <w:rPr>
                <w:noProof/>
                <w:sz w:val="10"/>
                <w:szCs w:val="10"/>
              </w:rPr>
              <w:t>0,00</w:t>
            </w:r>
          </w:p>
        </w:tc>
        <w:tc>
          <w:tcPr>
            <w:tcW w:w="0" w:type="auto"/>
          </w:tcPr>
          <w:p w14:paraId="2AD612C0"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719A1727"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3F773758" w14:textId="77777777" w:rsidR="008C5CFA" w:rsidRPr="001C4484" w:rsidRDefault="00E82A60" w:rsidP="00300A01">
            <w:pPr>
              <w:spacing w:before="0" w:after="0"/>
              <w:jc w:val="right"/>
              <w:rPr>
                <w:sz w:val="10"/>
                <w:szCs w:val="10"/>
                <w:lang w:val="fr-BE"/>
              </w:rPr>
            </w:pPr>
            <w:r w:rsidRPr="001C4484">
              <w:rPr>
                <w:noProof/>
                <w:sz w:val="10"/>
                <w:szCs w:val="10"/>
                <w:lang w:val="fr-BE"/>
              </w:rPr>
              <w:t>0,00</w:t>
            </w:r>
          </w:p>
        </w:tc>
      </w:tr>
      <w:tr w:rsidR="006B2EC1" w14:paraId="5D3C72E5" w14:textId="77777777" w:rsidTr="0047688D">
        <w:tc>
          <w:tcPr>
            <w:tcW w:w="0" w:type="auto"/>
            <w:shd w:val="clear" w:color="auto" w:fill="auto"/>
          </w:tcPr>
          <w:p w14:paraId="2ECDF1AC" w14:textId="77777777" w:rsidR="008C5CFA" w:rsidRPr="001C4484" w:rsidRDefault="00E82A60" w:rsidP="00300A01">
            <w:pPr>
              <w:spacing w:before="0" w:after="0"/>
              <w:rPr>
                <w:sz w:val="10"/>
                <w:szCs w:val="10"/>
                <w:lang w:val="fr-BE"/>
              </w:rPr>
            </w:pPr>
            <w:r w:rsidRPr="001C4484">
              <w:rPr>
                <w:noProof/>
                <w:sz w:val="10"/>
                <w:szCs w:val="10"/>
                <w:lang w:val="fr-BE"/>
              </w:rPr>
              <w:t>CO19</w:t>
            </w:r>
          </w:p>
        </w:tc>
        <w:tc>
          <w:tcPr>
            <w:tcW w:w="0" w:type="auto"/>
            <w:shd w:val="clear" w:color="auto" w:fill="auto"/>
          </w:tcPr>
          <w:p w14:paraId="2DBD0F34" w14:textId="77777777" w:rsidR="008C5CFA" w:rsidRPr="001C4484" w:rsidRDefault="00E82A60" w:rsidP="00300A01">
            <w:pPr>
              <w:spacing w:before="0" w:after="0"/>
              <w:rPr>
                <w:sz w:val="10"/>
                <w:szCs w:val="10"/>
                <w:lang w:val="fr-BE"/>
              </w:rPr>
            </w:pPr>
            <w:r w:rsidRPr="001C4484">
              <w:rPr>
                <w:noProof/>
                <w:sz w:val="10"/>
                <w:szCs w:val="10"/>
                <w:lang w:val="fr-BE"/>
              </w:rPr>
              <w:t>osoby pochodzące z obszarów wiejskich</w:t>
            </w:r>
          </w:p>
        </w:tc>
        <w:tc>
          <w:tcPr>
            <w:tcW w:w="0" w:type="auto"/>
            <w:shd w:val="clear" w:color="auto" w:fill="auto"/>
          </w:tcPr>
          <w:p w14:paraId="48FD0ED0"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2F2E21FF"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17DB04B6"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48508220" w14:textId="77777777" w:rsidR="008C5CFA" w:rsidRPr="001C4484" w:rsidRDefault="00E82A60" w:rsidP="00300A01">
            <w:pPr>
              <w:spacing w:before="0" w:after="0"/>
              <w:jc w:val="right"/>
              <w:rPr>
                <w:sz w:val="10"/>
                <w:szCs w:val="10"/>
                <w:lang w:val="fr-BE"/>
              </w:rPr>
            </w:pPr>
            <w:r w:rsidRPr="001C4484">
              <w:rPr>
                <w:noProof/>
                <w:sz w:val="10"/>
                <w:szCs w:val="10"/>
              </w:rPr>
              <w:t>0,00</w:t>
            </w:r>
          </w:p>
        </w:tc>
        <w:tc>
          <w:tcPr>
            <w:tcW w:w="0" w:type="auto"/>
          </w:tcPr>
          <w:p w14:paraId="539CCE74"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41A92742"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1153F721" w14:textId="77777777" w:rsidR="008C5CFA" w:rsidRPr="001C4484" w:rsidRDefault="00E82A60" w:rsidP="00300A01">
            <w:pPr>
              <w:spacing w:before="0" w:after="0"/>
              <w:jc w:val="right"/>
              <w:rPr>
                <w:sz w:val="10"/>
                <w:szCs w:val="10"/>
                <w:lang w:val="fr-BE"/>
              </w:rPr>
            </w:pPr>
            <w:r w:rsidRPr="001C4484">
              <w:rPr>
                <w:noProof/>
                <w:sz w:val="10"/>
                <w:szCs w:val="10"/>
                <w:lang w:val="fr-BE"/>
              </w:rPr>
              <w:t>0,00</w:t>
            </w:r>
          </w:p>
        </w:tc>
      </w:tr>
      <w:tr w:rsidR="006B2EC1" w14:paraId="38070514" w14:textId="77777777" w:rsidTr="0047688D">
        <w:tc>
          <w:tcPr>
            <w:tcW w:w="0" w:type="auto"/>
            <w:shd w:val="clear" w:color="auto" w:fill="auto"/>
          </w:tcPr>
          <w:p w14:paraId="7310A716" w14:textId="77777777" w:rsidR="008C5CFA" w:rsidRPr="001C4484" w:rsidRDefault="00E82A60" w:rsidP="00300A01">
            <w:pPr>
              <w:spacing w:before="0" w:after="0"/>
              <w:rPr>
                <w:sz w:val="10"/>
                <w:szCs w:val="10"/>
                <w:lang w:val="fr-BE"/>
              </w:rPr>
            </w:pPr>
            <w:r w:rsidRPr="001C4484">
              <w:rPr>
                <w:noProof/>
                <w:sz w:val="10"/>
                <w:szCs w:val="10"/>
                <w:lang w:val="fr-BE"/>
              </w:rPr>
              <w:t>CO20</w:t>
            </w:r>
          </w:p>
        </w:tc>
        <w:tc>
          <w:tcPr>
            <w:tcW w:w="0" w:type="auto"/>
            <w:shd w:val="clear" w:color="auto" w:fill="auto"/>
          </w:tcPr>
          <w:p w14:paraId="60E6E669" w14:textId="77777777" w:rsidR="008C5CFA" w:rsidRPr="001C4484" w:rsidRDefault="00E82A60" w:rsidP="00300A01">
            <w:pPr>
              <w:spacing w:before="0" w:after="0"/>
              <w:rPr>
                <w:sz w:val="10"/>
                <w:szCs w:val="10"/>
                <w:lang w:val="fr-BE"/>
              </w:rPr>
            </w:pPr>
            <w:r w:rsidRPr="001C4484">
              <w:rPr>
                <w:noProof/>
                <w:sz w:val="10"/>
                <w:szCs w:val="10"/>
                <w:lang w:val="fr-BE"/>
              </w:rPr>
              <w:t>liczba projektów zrealizowanych w pełni lub częściowo przez partnerów społecznych lub organizacje pozarządowe</w:t>
            </w:r>
          </w:p>
        </w:tc>
        <w:tc>
          <w:tcPr>
            <w:tcW w:w="0" w:type="auto"/>
            <w:shd w:val="clear" w:color="auto" w:fill="auto"/>
          </w:tcPr>
          <w:p w14:paraId="152227E2"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5A60C57E"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4D855C0C" w14:textId="77777777" w:rsidR="008C5CFA" w:rsidRPr="001C4484" w:rsidRDefault="008C5CFA" w:rsidP="00300A01">
            <w:pPr>
              <w:spacing w:before="0" w:after="0"/>
              <w:jc w:val="right"/>
              <w:rPr>
                <w:sz w:val="10"/>
                <w:szCs w:val="10"/>
              </w:rPr>
            </w:pPr>
          </w:p>
        </w:tc>
        <w:tc>
          <w:tcPr>
            <w:tcW w:w="0" w:type="auto"/>
            <w:shd w:val="clear" w:color="auto" w:fill="auto"/>
          </w:tcPr>
          <w:p w14:paraId="10291A12" w14:textId="77777777" w:rsidR="008C5CFA" w:rsidRPr="001C4484" w:rsidRDefault="008C5CFA" w:rsidP="00300A01">
            <w:pPr>
              <w:spacing w:before="0" w:after="0"/>
              <w:jc w:val="right"/>
              <w:rPr>
                <w:sz w:val="10"/>
                <w:szCs w:val="10"/>
                <w:lang w:val="fr-BE"/>
              </w:rPr>
            </w:pPr>
          </w:p>
        </w:tc>
        <w:tc>
          <w:tcPr>
            <w:tcW w:w="0" w:type="auto"/>
          </w:tcPr>
          <w:p w14:paraId="13D9D29F"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2671EC70" w14:textId="77777777" w:rsidR="008C5CFA" w:rsidRPr="001C4484" w:rsidRDefault="008C5CFA" w:rsidP="00300A01">
            <w:pPr>
              <w:spacing w:before="0" w:after="0"/>
              <w:jc w:val="right"/>
              <w:rPr>
                <w:sz w:val="10"/>
                <w:szCs w:val="10"/>
              </w:rPr>
            </w:pPr>
          </w:p>
        </w:tc>
        <w:tc>
          <w:tcPr>
            <w:tcW w:w="0" w:type="auto"/>
            <w:shd w:val="clear" w:color="auto" w:fill="auto"/>
          </w:tcPr>
          <w:p w14:paraId="7B8853E2" w14:textId="77777777" w:rsidR="008C5CFA" w:rsidRPr="001C4484" w:rsidRDefault="008C5CFA" w:rsidP="00300A01">
            <w:pPr>
              <w:spacing w:before="0" w:after="0"/>
              <w:jc w:val="right"/>
              <w:rPr>
                <w:sz w:val="10"/>
                <w:szCs w:val="10"/>
                <w:lang w:val="fr-BE"/>
              </w:rPr>
            </w:pPr>
          </w:p>
        </w:tc>
      </w:tr>
      <w:tr w:rsidR="006B2EC1" w14:paraId="4A6C34DF" w14:textId="77777777" w:rsidTr="0047688D">
        <w:tc>
          <w:tcPr>
            <w:tcW w:w="0" w:type="auto"/>
            <w:shd w:val="clear" w:color="auto" w:fill="auto"/>
          </w:tcPr>
          <w:p w14:paraId="005AB366" w14:textId="77777777" w:rsidR="008C5CFA" w:rsidRPr="001C4484" w:rsidRDefault="00E82A60" w:rsidP="00300A01">
            <w:pPr>
              <w:spacing w:before="0" w:after="0"/>
              <w:rPr>
                <w:sz w:val="10"/>
                <w:szCs w:val="10"/>
                <w:lang w:val="fr-BE"/>
              </w:rPr>
            </w:pPr>
            <w:r w:rsidRPr="001C4484">
              <w:rPr>
                <w:noProof/>
                <w:sz w:val="10"/>
                <w:szCs w:val="10"/>
                <w:lang w:val="fr-BE"/>
              </w:rPr>
              <w:t>CO21</w:t>
            </w:r>
          </w:p>
        </w:tc>
        <w:tc>
          <w:tcPr>
            <w:tcW w:w="0" w:type="auto"/>
            <w:shd w:val="clear" w:color="auto" w:fill="auto"/>
          </w:tcPr>
          <w:p w14:paraId="32A10F72" w14:textId="77777777" w:rsidR="008C5CFA" w:rsidRPr="001C4484" w:rsidRDefault="00E82A60" w:rsidP="00300A01">
            <w:pPr>
              <w:spacing w:before="0" w:after="0"/>
              <w:rPr>
                <w:sz w:val="10"/>
                <w:szCs w:val="10"/>
                <w:lang w:val="fr-BE"/>
              </w:rPr>
            </w:pPr>
            <w:r w:rsidRPr="001C4484">
              <w:rPr>
                <w:noProof/>
                <w:sz w:val="10"/>
                <w:szCs w:val="10"/>
                <w:lang w:val="fr-BE"/>
              </w:rPr>
              <w:t>liczba projektów ukierunkowanych na trwały udział kobiet w zatrudnieniu i rozwój ich kariery zawodowej</w:t>
            </w:r>
          </w:p>
        </w:tc>
        <w:tc>
          <w:tcPr>
            <w:tcW w:w="0" w:type="auto"/>
            <w:shd w:val="clear" w:color="auto" w:fill="auto"/>
          </w:tcPr>
          <w:p w14:paraId="67DA5584"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3E0F8DA8"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75BA44AA" w14:textId="77777777" w:rsidR="008C5CFA" w:rsidRPr="001C4484" w:rsidRDefault="008C5CFA" w:rsidP="00300A01">
            <w:pPr>
              <w:spacing w:before="0" w:after="0"/>
              <w:jc w:val="right"/>
              <w:rPr>
                <w:sz w:val="10"/>
                <w:szCs w:val="10"/>
              </w:rPr>
            </w:pPr>
          </w:p>
        </w:tc>
        <w:tc>
          <w:tcPr>
            <w:tcW w:w="0" w:type="auto"/>
            <w:shd w:val="clear" w:color="auto" w:fill="auto"/>
          </w:tcPr>
          <w:p w14:paraId="05E91769" w14:textId="77777777" w:rsidR="008C5CFA" w:rsidRPr="001C4484" w:rsidRDefault="008C5CFA" w:rsidP="00300A01">
            <w:pPr>
              <w:spacing w:before="0" w:after="0"/>
              <w:jc w:val="right"/>
              <w:rPr>
                <w:sz w:val="10"/>
                <w:szCs w:val="10"/>
                <w:lang w:val="fr-BE"/>
              </w:rPr>
            </w:pPr>
          </w:p>
        </w:tc>
        <w:tc>
          <w:tcPr>
            <w:tcW w:w="0" w:type="auto"/>
          </w:tcPr>
          <w:p w14:paraId="5A33CF1D"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109D7FAD" w14:textId="77777777" w:rsidR="008C5CFA" w:rsidRPr="001C4484" w:rsidRDefault="008C5CFA" w:rsidP="00300A01">
            <w:pPr>
              <w:spacing w:before="0" w:after="0"/>
              <w:jc w:val="right"/>
              <w:rPr>
                <w:sz w:val="10"/>
                <w:szCs w:val="10"/>
              </w:rPr>
            </w:pPr>
          </w:p>
        </w:tc>
        <w:tc>
          <w:tcPr>
            <w:tcW w:w="0" w:type="auto"/>
            <w:shd w:val="clear" w:color="auto" w:fill="auto"/>
          </w:tcPr>
          <w:p w14:paraId="0537D828" w14:textId="77777777" w:rsidR="008C5CFA" w:rsidRPr="001C4484" w:rsidRDefault="008C5CFA" w:rsidP="00300A01">
            <w:pPr>
              <w:spacing w:before="0" w:after="0"/>
              <w:jc w:val="right"/>
              <w:rPr>
                <w:sz w:val="10"/>
                <w:szCs w:val="10"/>
                <w:lang w:val="fr-BE"/>
              </w:rPr>
            </w:pPr>
          </w:p>
        </w:tc>
      </w:tr>
      <w:tr w:rsidR="006B2EC1" w14:paraId="1D3A95B4" w14:textId="77777777" w:rsidTr="0047688D">
        <w:tc>
          <w:tcPr>
            <w:tcW w:w="0" w:type="auto"/>
            <w:shd w:val="clear" w:color="auto" w:fill="auto"/>
          </w:tcPr>
          <w:p w14:paraId="34352DA6" w14:textId="77777777" w:rsidR="008C5CFA" w:rsidRPr="001C4484" w:rsidRDefault="00E82A60" w:rsidP="00300A01">
            <w:pPr>
              <w:spacing w:before="0" w:after="0"/>
              <w:rPr>
                <w:sz w:val="10"/>
                <w:szCs w:val="10"/>
                <w:lang w:val="fr-BE"/>
              </w:rPr>
            </w:pPr>
            <w:r w:rsidRPr="001C4484">
              <w:rPr>
                <w:noProof/>
                <w:sz w:val="10"/>
                <w:szCs w:val="10"/>
                <w:lang w:val="fr-BE"/>
              </w:rPr>
              <w:t>CO22</w:t>
            </w:r>
          </w:p>
        </w:tc>
        <w:tc>
          <w:tcPr>
            <w:tcW w:w="0" w:type="auto"/>
            <w:shd w:val="clear" w:color="auto" w:fill="auto"/>
          </w:tcPr>
          <w:p w14:paraId="7724FC96" w14:textId="77777777" w:rsidR="008C5CFA" w:rsidRPr="001C4484" w:rsidRDefault="00E82A60" w:rsidP="00300A01">
            <w:pPr>
              <w:spacing w:before="0" w:after="0"/>
              <w:rPr>
                <w:sz w:val="10"/>
                <w:szCs w:val="10"/>
                <w:lang w:val="fr-BE"/>
              </w:rPr>
            </w:pPr>
            <w:r w:rsidRPr="001C4484">
              <w:rPr>
                <w:noProof/>
                <w:sz w:val="10"/>
                <w:szCs w:val="10"/>
                <w:lang w:val="fr-BE"/>
              </w:rPr>
              <w:t>liczba projektów obejmujących administrację publiczną lub służby publiczne na szczeblu krajowym, regionalnym lub lokalnym</w:t>
            </w:r>
          </w:p>
        </w:tc>
        <w:tc>
          <w:tcPr>
            <w:tcW w:w="0" w:type="auto"/>
            <w:shd w:val="clear" w:color="auto" w:fill="auto"/>
          </w:tcPr>
          <w:p w14:paraId="60FB0B0A"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19E364EA"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43A31629" w14:textId="77777777" w:rsidR="008C5CFA" w:rsidRPr="001C4484" w:rsidRDefault="008C5CFA" w:rsidP="00300A01">
            <w:pPr>
              <w:spacing w:before="0" w:after="0"/>
              <w:jc w:val="right"/>
              <w:rPr>
                <w:sz w:val="10"/>
                <w:szCs w:val="10"/>
              </w:rPr>
            </w:pPr>
          </w:p>
        </w:tc>
        <w:tc>
          <w:tcPr>
            <w:tcW w:w="0" w:type="auto"/>
            <w:shd w:val="clear" w:color="auto" w:fill="auto"/>
          </w:tcPr>
          <w:p w14:paraId="629602BA" w14:textId="77777777" w:rsidR="008C5CFA" w:rsidRPr="001C4484" w:rsidRDefault="008C5CFA" w:rsidP="00300A01">
            <w:pPr>
              <w:spacing w:before="0" w:after="0"/>
              <w:jc w:val="right"/>
              <w:rPr>
                <w:sz w:val="10"/>
                <w:szCs w:val="10"/>
                <w:lang w:val="fr-BE"/>
              </w:rPr>
            </w:pPr>
          </w:p>
        </w:tc>
        <w:tc>
          <w:tcPr>
            <w:tcW w:w="0" w:type="auto"/>
          </w:tcPr>
          <w:p w14:paraId="2FF37FA0"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2B73DFBD" w14:textId="77777777" w:rsidR="008C5CFA" w:rsidRPr="001C4484" w:rsidRDefault="008C5CFA" w:rsidP="00300A01">
            <w:pPr>
              <w:spacing w:before="0" w:after="0"/>
              <w:jc w:val="right"/>
              <w:rPr>
                <w:sz w:val="10"/>
                <w:szCs w:val="10"/>
              </w:rPr>
            </w:pPr>
          </w:p>
        </w:tc>
        <w:tc>
          <w:tcPr>
            <w:tcW w:w="0" w:type="auto"/>
            <w:shd w:val="clear" w:color="auto" w:fill="auto"/>
          </w:tcPr>
          <w:p w14:paraId="175B1B7F" w14:textId="77777777" w:rsidR="008C5CFA" w:rsidRPr="001C4484" w:rsidRDefault="008C5CFA" w:rsidP="00300A01">
            <w:pPr>
              <w:spacing w:before="0" w:after="0"/>
              <w:jc w:val="right"/>
              <w:rPr>
                <w:sz w:val="10"/>
                <w:szCs w:val="10"/>
                <w:lang w:val="fr-BE"/>
              </w:rPr>
            </w:pPr>
          </w:p>
        </w:tc>
      </w:tr>
      <w:tr w:rsidR="006B2EC1" w14:paraId="68304E10" w14:textId="77777777" w:rsidTr="0047688D">
        <w:tc>
          <w:tcPr>
            <w:tcW w:w="0" w:type="auto"/>
            <w:shd w:val="clear" w:color="auto" w:fill="auto"/>
          </w:tcPr>
          <w:p w14:paraId="6B8DE790" w14:textId="77777777" w:rsidR="008C5CFA" w:rsidRPr="001C4484" w:rsidRDefault="00E82A60" w:rsidP="00300A01">
            <w:pPr>
              <w:spacing w:before="0" w:after="0"/>
              <w:rPr>
                <w:sz w:val="10"/>
                <w:szCs w:val="10"/>
                <w:lang w:val="fr-BE"/>
              </w:rPr>
            </w:pPr>
            <w:r w:rsidRPr="001C4484">
              <w:rPr>
                <w:noProof/>
                <w:sz w:val="10"/>
                <w:szCs w:val="10"/>
                <w:lang w:val="fr-BE"/>
              </w:rPr>
              <w:t>CO23</w:t>
            </w:r>
          </w:p>
        </w:tc>
        <w:tc>
          <w:tcPr>
            <w:tcW w:w="0" w:type="auto"/>
            <w:shd w:val="clear" w:color="auto" w:fill="auto"/>
          </w:tcPr>
          <w:p w14:paraId="3DF982F6" w14:textId="77777777" w:rsidR="008C5CFA" w:rsidRPr="001C4484" w:rsidRDefault="00E82A60" w:rsidP="00300A01">
            <w:pPr>
              <w:spacing w:before="0" w:after="0"/>
              <w:rPr>
                <w:sz w:val="10"/>
                <w:szCs w:val="10"/>
                <w:lang w:val="fr-BE"/>
              </w:rPr>
            </w:pPr>
            <w:r w:rsidRPr="001C4484">
              <w:rPr>
                <w:noProof/>
                <w:sz w:val="10"/>
                <w:szCs w:val="10"/>
                <w:lang w:val="fr-BE"/>
              </w:rPr>
              <w:t>liczba objętych wsparciem mikro-, małych i średnich przedsiębiorstw (w tym przedsiębiorstw spółdzielczych i przedsiębiorstw gospodarki społecznej)</w:t>
            </w:r>
          </w:p>
        </w:tc>
        <w:tc>
          <w:tcPr>
            <w:tcW w:w="0" w:type="auto"/>
            <w:shd w:val="clear" w:color="auto" w:fill="auto"/>
          </w:tcPr>
          <w:p w14:paraId="2821F6C1"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3A04065B"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4774AC65" w14:textId="77777777" w:rsidR="008C5CFA" w:rsidRPr="001C4484" w:rsidRDefault="008C5CFA" w:rsidP="00300A01">
            <w:pPr>
              <w:spacing w:before="0" w:after="0"/>
              <w:jc w:val="right"/>
              <w:rPr>
                <w:sz w:val="10"/>
                <w:szCs w:val="10"/>
              </w:rPr>
            </w:pPr>
          </w:p>
        </w:tc>
        <w:tc>
          <w:tcPr>
            <w:tcW w:w="0" w:type="auto"/>
            <w:shd w:val="clear" w:color="auto" w:fill="auto"/>
          </w:tcPr>
          <w:p w14:paraId="620688A3" w14:textId="77777777" w:rsidR="008C5CFA" w:rsidRPr="001C4484" w:rsidRDefault="008C5CFA" w:rsidP="00300A01">
            <w:pPr>
              <w:spacing w:before="0" w:after="0"/>
              <w:jc w:val="right"/>
              <w:rPr>
                <w:sz w:val="10"/>
                <w:szCs w:val="10"/>
                <w:lang w:val="fr-BE"/>
              </w:rPr>
            </w:pPr>
          </w:p>
        </w:tc>
        <w:tc>
          <w:tcPr>
            <w:tcW w:w="0" w:type="auto"/>
          </w:tcPr>
          <w:p w14:paraId="2FB4CF46"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46808626" w14:textId="77777777" w:rsidR="008C5CFA" w:rsidRPr="001C4484" w:rsidRDefault="008C5CFA" w:rsidP="00300A01">
            <w:pPr>
              <w:spacing w:before="0" w:after="0"/>
              <w:jc w:val="right"/>
              <w:rPr>
                <w:sz w:val="10"/>
                <w:szCs w:val="10"/>
              </w:rPr>
            </w:pPr>
          </w:p>
        </w:tc>
        <w:tc>
          <w:tcPr>
            <w:tcW w:w="0" w:type="auto"/>
            <w:shd w:val="clear" w:color="auto" w:fill="auto"/>
          </w:tcPr>
          <w:p w14:paraId="4BA731DA" w14:textId="77777777" w:rsidR="008C5CFA" w:rsidRPr="001C4484" w:rsidRDefault="008C5CFA" w:rsidP="00300A01">
            <w:pPr>
              <w:spacing w:before="0" w:after="0"/>
              <w:jc w:val="right"/>
              <w:rPr>
                <w:sz w:val="10"/>
                <w:szCs w:val="10"/>
                <w:lang w:val="fr-BE"/>
              </w:rPr>
            </w:pPr>
          </w:p>
        </w:tc>
      </w:tr>
      <w:tr w:rsidR="006B2EC1" w14:paraId="0DD69405" w14:textId="77777777" w:rsidTr="0047688D">
        <w:tc>
          <w:tcPr>
            <w:tcW w:w="0" w:type="auto"/>
            <w:shd w:val="clear" w:color="auto" w:fill="auto"/>
          </w:tcPr>
          <w:p w14:paraId="202F9BCC" w14:textId="77777777" w:rsidR="008C5CFA" w:rsidRPr="001C4484" w:rsidRDefault="008C5CFA" w:rsidP="00300A01">
            <w:pPr>
              <w:spacing w:before="0" w:after="0"/>
              <w:rPr>
                <w:sz w:val="10"/>
                <w:szCs w:val="10"/>
                <w:lang w:val="fr-BE"/>
              </w:rPr>
            </w:pPr>
          </w:p>
        </w:tc>
        <w:tc>
          <w:tcPr>
            <w:tcW w:w="0" w:type="auto"/>
            <w:shd w:val="clear" w:color="auto" w:fill="auto"/>
          </w:tcPr>
          <w:p w14:paraId="5D78AEBC" w14:textId="77777777" w:rsidR="008C5CFA" w:rsidRPr="001C4484" w:rsidRDefault="00E82A60" w:rsidP="00300A01">
            <w:pPr>
              <w:spacing w:before="0" w:after="0"/>
              <w:rPr>
                <w:sz w:val="10"/>
                <w:szCs w:val="10"/>
                <w:lang w:val="fr-BE"/>
              </w:rPr>
            </w:pPr>
            <w:r w:rsidRPr="001C4484">
              <w:rPr>
                <w:noProof/>
                <w:sz w:val="10"/>
                <w:szCs w:val="10"/>
                <w:lang w:val="fr-BE"/>
              </w:rPr>
              <w:t>Całkowita łączna liczba uczestników</w:t>
            </w:r>
          </w:p>
        </w:tc>
        <w:tc>
          <w:tcPr>
            <w:tcW w:w="0" w:type="auto"/>
            <w:shd w:val="clear" w:color="auto" w:fill="auto"/>
          </w:tcPr>
          <w:p w14:paraId="79D44307" w14:textId="77777777" w:rsidR="008C5CFA" w:rsidRPr="001C4484" w:rsidRDefault="008C5CFA" w:rsidP="00300A01">
            <w:pPr>
              <w:spacing w:before="0" w:after="0"/>
              <w:rPr>
                <w:sz w:val="10"/>
                <w:szCs w:val="10"/>
                <w:lang w:val="fr-BE"/>
              </w:rPr>
            </w:pPr>
          </w:p>
        </w:tc>
        <w:tc>
          <w:tcPr>
            <w:tcW w:w="0" w:type="auto"/>
          </w:tcPr>
          <w:p w14:paraId="5F1C507D"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5C48A972" w14:textId="77777777" w:rsidR="008C5CFA" w:rsidRPr="001C4484" w:rsidRDefault="008C5CFA" w:rsidP="00300A01">
            <w:pPr>
              <w:spacing w:before="0" w:after="0"/>
              <w:jc w:val="right"/>
              <w:rPr>
                <w:sz w:val="10"/>
                <w:szCs w:val="10"/>
              </w:rPr>
            </w:pPr>
          </w:p>
        </w:tc>
        <w:tc>
          <w:tcPr>
            <w:tcW w:w="0" w:type="auto"/>
            <w:shd w:val="clear" w:color="auto" w:fill="auto"/>
          </w:tcPr>
          <w:p w14:paraId="6A9952AD" w14:textId="77777777" w:rsidR="008C5CFA" w:rsidRPr="001C4484" w:rsidRDefault="008C5CFA" w:rsidP="00300A01">
            <w:pPr>
              <w:spacing w:before="0" w:after="0"/>
              <w:jc w:val="right"/>
              <w:rPr>
                <w:sz w:val="10"/>
                <w:szCs w:val="10"/>
                <w:lang w:val="fr-BE"/>
              </w:rPr>
            </w:pPr>
          </w:p>
        </w:tc>
        <w:tc>
          <w:tcPr>
            <w:tcW w:w="0" w:type="auto"/>
          </w:tcPr>
          <w:p w14:paraId="1705B601"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51240134" w14:textId="77777777" w:rsidR="008C5CFA" w:rsidRPr="001C4484" w:rsidRDefault="008C5CFA" w:rsidP="00300A01">
            <w:pPr>
              <w:spacing w:before="0" w:after="0"/>
              <w:jc w:val="right"/>
              <w:rPr>
                <w:sz w:val="10"/>
                <w:szCs w:val="10"/>
              </w:rPr>
            </w:pPr>
          </w:p>
        </w:tc>
        <w:tc>
          <w:tcPr>
            <w:tcW w:w="0" w:type="auto"/>
            <w:shd w:val="clear" w:color="auto" w:fill="auto"/>
          </w:tcPr>
          <w:p w14:paraId="6D4F149C" w14:textId="77777777" w:rsidR="008C5CFA" w:rsidRPr="001C4484" w:rsidRDefault="008C5CFA" w:rsidP="00300A01">
            <w:pPr>
              <w:spacing w:before="0" w:after="0"/>
              <w:jc w:val="right"/>
              <w:rPr>
                <w:sz w:val="10"/>
                <w:szCs w:val="10"/>
                <w:lang w:val="fr-BE"/>
              </w:rPr>
            </w:pPr>
          </w:p>
        </w:tc>
      </w:tr>
    </w:tbl>
    <w:p w14:paraId="7BF9344B" w14:textId="77777777" w:rsidR="008C5CFA" w:rsidRDefault="00E82A60" w:rsidP="00300A01">
      <w:pPr>
        <w:spacing w:before="0" w:after="0"/>
        <w:rPr>
          <w:lang w:val="fr-BE"/>
        </w:rPr>
      </w:pPr>
      <w:r>
        <w:rPr>
          <w:lang w:val="fr-BE"/>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5"/>
        <w:gridCol w:w="13309"/>
      </w:tblGrid>
      <w:tr w:rsidR="006B2EC1" w14:paraId="08281FB3" w14:textId="77777777" w:rsidTr="0047688D">
        <w:tc>
          <w:tcPr>
            <w:tcW w:w="0" w:type="auto"/>
            <w:shd w:val="clear" w:color="auto" w:fill="auto"/>
          </w:tcPr>
          <w:p w14:paraId="22580F18" w14:textId="77777777" w:rsidR="008C5CFA" w:rsidRPr="002124FC" w:rsidRDefault="00E82A60" w:rsidP="00300A01">
            <w:pPr>
              <w:spacing w:before="0" w:after="0"/>
              <w:rPr>
                <w:sz w:val="20"/>
                <w:szCs w:val="20"/>
                <w:lang w:val="fr-BE"/>
              </w:rPr>
            </w:pPr>
            <w:r>
              <w:rPr>
                <w:lang w:val="fr-BE"/>
              </w:rPr>
              <w:lastRenderedPageBreak/>
              <w:br w:type="page"/>
            </w:r>
            <w:r>
              <w:rPr>
                <w:lang w:val="fr-BE"/>
              </w:rPr>
              <w:br w:type="page"/>
            </w:r>
            <w:r w:rsidRPr="002124FC">
              <w:rPr>
                <w:noProof/>
                <w:sz w:val="20"/>
                <w:szCs w:val="20"/>
                <w:lang w:val="fr-BE"/>
              </w:rPr>
              <w:t>Oś priorytetowa</w:t>
            </w:r>
          </w:p>
        </w:tc>
        <w:tc>
          <w:tcPr>
            <w:tcW w:w="0" w:type="auto"/>
            <w:shd w:val="clear" w:color="auto" w:fill="auto"/>
          </w:tcPr>
          <w:p w14:paraId="2747CA49" w14:textId="77777777" w:rsidR="008C5CFA" w:rsidRPr="002124FC" w:rsidRDefault="00E82A60" w:rsidP="00300A01">
            <w:pPr>
              <w:spacing w:before="0" w:after="0"/>
              <w:rPr>
                <w:sz w:val="20"/>
                <w:szCs w:val="20"/>
                <w:lang w:val="fr-BE"/>
              </w:rPr>
            </w:pPr>
            <w:r w:rsidRPr="002124FC">
              <w:rPr>
                <w:noProof/>
                <w:sz w:val="20"/>
                <w:szCs w:val="20"/>
                <w:lang w:val="fr-BE"/>
              </w:rPr>
              <w:t>8</w:t>
            </w:r>
            <w:r w:rsidRPr="002124FC">
              <w:rPr>
                <w:sz w:val="20"/>
                <w:szCs w:val="20"/>
                <w:lang w:val="fr-BE"/>
              </w:rPr>
              <w:t xml:space="preserve"> - </w:t>
            </w:r>
            <w:r w:rsidRPr="002124FC">
              <w:rPr>
                <w:noProof/>
                <w:sz w:val="20"/>
                <w:szCs w:val="20"/>
                <w:lang w:val="fr-BE"/>
              </w:rPr>
              <w:t>Rozwój edukacji i aktywne społeczeństwo</w:t>
            </w:r>
          </w:p>
        </w:tc>
      </w:tr>
      <w:tr w:rsidR="006B2EC1" w14:paraId="14110722" w14:textId="77777777" w:rsidTr="0047688D">
        <w:tc>
          <w:tcPr>
            <w:tcW w:w="0" w:type="auto"/>
            <w:shd w:val="clear" w:color="auto" w:fill="auto"/>
          </w:tcPr>
          <w:p w14:paraId="0654CCF4" w14:textId="77777777" w:rsidR="008C5CFA" w:rsidRPr="002124FC" w:rsidRDefault="00E82A60"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14:paraId="7E476595" w14:textId="77777777" w:rsidR="008C5CFA" w:rsidRPr="002124FC" w:rsidRDefault="00E82A60" w:rsidP="00300A01">
            <w:pPr>
              <w:spacing w:before="0" w:after="0"/>
              <w:rPr>
                <w:sz w:val="20"/>
                <w:szCs w:val="20"/>
                <w:lang w:val="fr-BE"/>
              </w:rPr>
            </w:pPr>
            <w:r w:rsidRPr="002124FC">
              <w:rPr>
                <w:noProof/>
                <w:sz w:val="20"/>
                <w:szCs w:val="20"/>
                <w:lang w:val="fr-BE"/>
              </w:rPr>
              <w:t>8iv</w:t>
            </w:r>
            <w:r w:rsidRPr="002124FC">
              <w:rPr>
                <w:sz w:val="20"/>
                <w:szCs w:val="20"/>
                <w:lang w:val="fr-BE"/>
              </w:rPr>
              <w:t xml:space="preserve"> - </w:t>
            </w:r>
            <w:r w:rsidRPr="002124FC">
              <w:rPr>
                <w:noProof/>
                <w:sz w:val="20"/>
                <w:szCs w:val="20"/>
                <w:lang w:val="fr-BE"/>
              </w:rPr>
              <w:t>Równość mężczyzn i kobiet we wszystkich dziedzinach, w tym dostęp do zatrudnienia, rozwój kariery, godzenie życia zawodowego i prywatnego oraz promowanie równości wynagrodzeń za taką samą pracę</w:t>
            </w:r>
          </w:p>
        </w:tc>
      </w:tr>
    </w:tbl>
    <w:p w14:paraId="6C4B5C85" w14:textId="77777777" w:rsidR="008C5CFA" w:rsidRDefault="008C5CFA" w:rsidP="00300A01">
      <w:pPr>
        <w:spacing w:before="0" w:after="0"/>
      </w:pPr>
    </w:p>
    <w:p w14:paraId="22294ADC" w14:textId="77777777" w:rsidR="008C5CFA" w:rsidRPr="008E457C" w:rsidRDefault="00E82A60" w:rsidP="00300A01">
      <w:pPr>
        <w:pStyle w:val="Nagwek2"/>
        <w:spacing w:before="0" w:after="0"/>
        <w:rPr>
          <w:b w:val="0"/>
        </w:rPr>
      </w:pPr>
      <w:bookmarkStart w:id="50" w:name="_Toc46391734"/>
      <w:r w:rsidRPr="008E457C">
        <w:rPr>
          <w:b w:val="0"/>
          <w:noProof/>
          <w:lang w:val="fr-BE"/>
        </w:rPr>
        <w:t>Tabela 4B Specyficzne dla programu wskaźniki produktu dla EFS oraz Inicjatywy na rzecz zatrudnienia ludzi młodych</w:t>
      </w:r>
      <w:r w:rsidR="009A51C8">
        <w:rPr>
          <w:b w:val="0"/>
        </w:rPr>
        <w:t xml:space="preserve"> - </w:t>
      </w:r>
      <w:r w:rsidR="009A51C8" w:rsidRPr="002124FC">
        <w:rPr>
          <w:noProof/>
          <w:sz w:val="20"/>
          <w:szCs w:val="20"/>
          <w:lang w:val="fr-BE"/>
        </w:rPr>
        <w:t>8</w:t>
      </w:r>
      <w:bookmarkEnd w:id="50"/>
    </w:p>
    <w:p w14:paraId="2529AD2B" w14:textId="77777777" w:rsidR="008C5CFA" w:rsidRDefault="008C5CFA" w:rsidP="00300A01">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48"/>
        <w:gridCol w:w="4849"/>
        <w:gridCol w:w="1177"/>
        <w:gridCol w:w="1089"/>
        <w:gridCol w:w="610"/>
        <w:gridCol w:w="741"/>
        <w:gridCol w:w="595"/>
        <w:gridCol w:w="589"/>
        <w:gridCol w:w="741"/>
        <w:gridCol w:w="595"/>
        <w:gridCol w:w="589"/>
        <w:gridCol w:w="741"/>
        <w:gridCol w:w="595"/>
        <w:gridCol w:w="589"/>
        <w:gridCol w:w="741"/>
        <w:gridCol w:w="595"/>
      </w:tblGrid>
      <w:tr w:rsidR="006B2EC1" w14:paraId="3949990E" w14:textId="77777777" w:rsidTr="002A1502">
        <w:trPr>
          <w:tblHeader/>
        </w:trPr>
        <w:tc>
          <w:tcPr>
            <w:tcW w:w="0" w:type="auto"/>
            <w:shd w:val="clear" w:color="auto" w:fill="auto"/>
          </w:tcPr>
          <w:p w14:paraId="4AE51CE4" w14:textId="77777777" w:rsidR="008C5CFA" w:rsidRPr="00A92B39" w:rsidRDefault="00E82A60" w:rsidP="00300A01">
            <w:pPr>
              <w:spacing w:before="0" w:after="0"/>
              <w:rPr>
                <w:b/>
                <w:sz w:val="10"/>
                <w:szCs w:val="10"/>
                <w:lang w:val="fr-BE"/>
              </w:rPr>
            </w:pPr>
            <w:r w:rsidRPr="00A92B39">
              <w:rPr>
                <w:b/>
                <w:noProof/>
                <w:sz w:val="10"/>
                <w:szCs w:val="10"/>
                <w:lang w:val="fr-BE"/>
              </w:rPr>
              <w:t>ID</w:t>
            </w:r>
          </w:p>
        </w:tc>
        <w:tc>
          <w:tcPr>
            <w:tcW w:w="0" w:type="auto"/>
            <w:shd w:val="clear" w:color="auto" w:fill="auto"/>
          </w:tcPr>
          <w:p w14:paraId="5292419A" w14:textId="77777777" w:rsidR="008C5CFA" w:rsidRPr="00A92B39" w:rsidRDefault="00E82A60" w:rsidP="00300A01">
            <w:pPr>
              <w:spacing w:before="0" w:after="0"/>
              <w:rPr>
                <w:b/>
                <w:sz w:val="10"/>
                <w:szCs w:val="10"/>
                <w:lang w:val="fr-BE"/>
              </w:rPr>
            </w:pPr>
            <w:r w:rsidRPr="00A92B39">
              <w:rPr>
                <w:b/>
                <w:noProof/>
                <w:sz w:val="10"/>
                <w:szCs w:val="10"/>
                <w:lang w:val="fr-BE"/>
              </w:rPr>
              <w:t>Wskaźnik</w:t>
            </w:r>
          </w:p>
        </w:tc>
        <w:tc>
          <w:tcPr>
            <w:tcW w:w="0" w:type="auto"/>
            <w:shd w:val="clear" w:color="auto" w:fill="auto"/>
          </w:tcPr>
          <w:p w14:paraId="4FEB8491" w14:textId="77777777" w:rsidR="008C5CFA" w:rsidRPr="00A92B39" w:rsidRDefault="00E82A60" w:rsidP="00300A01">
            <w:pPr>
              <w:spacing w:before="0" w:after="0"/>
              <w:rPr>
                <w:b/>
                <w:sz w:val="10"/>
                <w:szCs w:val="10"/>
                <w:lang w:val="fr-BE"/>
              </w:rPr>
            </w:pPr>
            <w:r w:rsidRPr="00A92B39">
              <w:rPr>
                <w:b/>
                <w:noProof/>
                <w:sz w:val="10"/>
                <w:szCs w:val="10"/>
                <w:lang w:val="fr-BE"/>
              </w:rPr>
              <w:t>Kategoria regionu</w:t>
            </w:r>
          </w:p>
        </w:tc>
        <w:tc>
          <w:tcPr>
            <w:tcW w:w="0" w:type="auto"/>
          </w:tcPr>
          <w:p w14:paraId="19497D6E" w14:textId="77777777" w:rsidR="008C5CFA" w:rsidRPr="00A92B39" w:rsidRDefault="00E82A60" w:rsidP="00300A01">
            <w:pPr>
              <w:spacing w:before="0" w:after="0"/>
              <w:jc w:val="center"/>
              <w:rPr>
                <w:b/>
                <w:sz w:val="10"/>
                <w:szCs w:val="10"/>
                <w:lang w:val="fr-BE"/>
              </w:rPr>
            </w:pPr>
            <w:r w:rsidRPr="00A92B39">
              <w:rPr>
                <w:b/>
                <w:noProof/>
                <w:sz w:val="10"/>
                <w:szCs w:val="10"/>
                <w:lang w:val="fr-BE"/>
              </w:rPr>
              <w:t>Jednostka miary</w:t>
            </w:r>
          </w:p>
        </w:tc>
        <w:tc>
          <w:tcPr>
            <w:tcW w:w="0" w:type="auto"/>
            <w:gridSpan w:val="3"/>
            <w:shd w:val="clear" w:color="auto" w:fill="auto"/>
          </w:tcPr>
          <w:p w14:paraId="335D94C4" w14:textId="77777777" w:rsidR="008C5CFA" w:rsidRPr="00A92B39" w:rsidRDefault="00E82A60" w:rsidP="00300A01">
            <w:pPr>
              <w:spacing w:before="0" w:after="0"/>
              <w:jc w:val="center"/>
              <w:rPr>
                <w:b/>
                <w:sz w:val="10"/>
                <w:szCs w:val="10"/>
                <w:lang w:val="fr-BE"/>
              </w:rPr>
            </w:pPr>
            <w:r w:rsidRPr="00A92B39">
              <w:rPr>
                <w:b/>
                <w:noProof/>
                <w:sz w:val="10"/>
                <w:szCs w:val="10"/>
                <w:lang w:val="fr-BE"/>
              </w:rPr>
              <w:t>Wartość docelowa (2023)</w:t>
            </w:r>
          </w:p>
        </w:tc>
        <w:tc>
          <w:tcPr>
            <w:tcW w:w="0" w:type="auto"/>
            <w:gridSpan w:val="3"/>
            <w:shd w:val="clear" w:color="auto" w:fill="auto"/>
          </w:tcPr>
          <w:p w14:paraId="2820F8B3" w14:textId="77777777" w:rsidR="008C5CFA" w:rsidRPr="00A92B39" w:rsidRDefault="00E82A60" w:rsidP="00300A01">
            <w:pPr>
              <w:spacing w:before="0" w:after="0"/>
              <w:jc w:val="center"/>
              <w:rPr>
                <w:b/>
                <w:sz w:val="10"/>
                <w:szCs w:val="10"/>
                <w:lang w:val="fr-BE"/>
              </w:rPr>
            </w:pPr>
            <w:r w:rsidRPr="00A92B39">
              <w:rPr>
                <w:b/>
                <w:noProof/>
                <w:sz w:val="10"/>
                <w:szCs w:val="10"/>
                <w:lang w:val="fr-BE"/>
              </w:rPr>
              <w:t>Wartość skumulowana</w:t>
            </w:r>
          </w:p>
        </w:tc>
        <w:tc>
          <w:tcPr>
            <w:tcW w:w="0" w:type="auto"/>
            <w:gridSpan w:val="3"/>
            <w:shd w:val="clear" w:color="auto" w:fill="auto"/>
          </w:tcPr>
          <w:p w14:paraId="13F1A82C" w14:textId="77777777" w:rsidR="008C5CFA" w:rsidRPr="00A92B39" w:rsidRDefault="00E82A60" w:rsidP="00300A01">
            <w:pPr>
              <w:spacing w:before="0" w:after="0"/>
              <w:jc w:val="center"/>
              <w:rPr>
                <w:b/>
                <w:sz w:val="10"/>
                <w:szCs w:val="10"/>
                <w:lang w:val="fr-BE"/>
              </w:rPr>
            </w:pPr>
            <w:r w:rsidRPr="00A92B39">
              <w:rPr>
                <w:b/>
                <w:noProof/>
                <w:sz w:val="10"/>
                <w:szCs w:val="10"/>
                <w:lang w:val="fr-BE"/>
              </w:rPr>
              <w:t>Wskaźnik osiągnięć</w:t>
            </w:r>
          </w:p>
        </w:tc>
        <w:tc>
          <w:tcPr>
            <w:tcW w:w="0" w:type="auto"/>
            <w:gridSpan w:val="3"/>
          </w:tcPr>
          <w:p w14:paraId="38CD5BDA" w14:textId="77777777" w:rsidR="008C5CFA" w:rsidRPr="00A92B39" w:rsidRDefault="00E82A60" w:rsidP="00300A01">
            <w:pPr>
              <w:spacing w:before="0" w:after="0"/>
              <w:jc w:val="center"/>
              <w:rPr>
                <w:b/>
                <w:sz w:val="10"/>
                <w:szCs w:val="10"/>
                <w:lang w:val="fr-BE"/>
              </w:rPr>
            </w:pPr>
            <w:r w:rsidRPr="00A92B39">
              <w:rPr>
                <w:bCs/>
                <w:sz w:val="10"/>
                <w:szCs w:val="10"/>
                <w:lang w:val="en-US"/>
              </w:rPr>
              <w:t>2019</w:t>
            </w:r>
          </w:p>
        </w:tc>
      </w:tr>
      <w:tr w:rsidR="006B2EC1" w14:paraId="6E488524" w14:textId="77777777" w:rsidTr="002A1502">
        <w:trPr>
          <w:tblHeader/>
        </w:trPr>
        <w:tc>
          <w:tcPr>
            <w:tcW w:w="0" w:type="auto"/>
            <w:shd w:val="clear" w:color="auto" w:fill="auto"/>
          </w:tcPr>
          <w:p w14:paraId="57818647" w14:textId="77777777" w:rsidR="008C5CFA" w:rsidRPr="00A92B39" w:rsidRDefault="008C5CFA" w:rsidP="00300A01">
            <w:pPr>
              <w:spacing w:before="0" w:after="0"/>
              <w:rPr>
                <w:b/>
                <w:sz w:val="10"/>
                <w:szCs w:val="10"/>
                <w:lang w:val="fr-BE"/>
              </w:rPr>
            </w:pPr>
          </w:p>
        </w:tc>
        <w:tc>
          <w:tcPr>
            <w:tcW w:w="0" w:type="auto"/>
            <w:shd w:val="clear" w:color="auto" w:fill="auto"/>
          </w:tcPr>
          <w:p w14:paraId="1F09239E" w14:textId="77777777" w:rsidR="008C5CFA" w:rsidRPr="00A92B39" w:rsidRDefault="008C5CFA" w:rsidP="00300A01">
            <w:pPr>
              <w:spacing w:before="0" w:after="0"/>
              <w:rPr>
                <w:b/>
                <w:sz w:val="10"/>
                <w:szCs w:val="10"/>
                <w:lang w:val="fr-BE"/>
              </w:rPr>
            </w:pPr>
          </w:p>
        </w:tc>
        <w:tc>
          <w:tcPr>
            <w:tcW w:w="0" w:type="auto"/>
            <w:shd w:val="clear" w:color="auto" w:fill="auto"/>
          </w:tcPr>
          <w:p w14:paraId="3CA8255D" w14:textId="77777777" w:rsidR="008C5CFA" w:rsidRPr="00A92B39" w:rsidRDefault="008C5CFA" w:rsidP="00300A01">
            <w:pPr>
              <w:spacing w:before="0" w:after="0"/>
              <w:rPr>
                <w:b/>
                <w:sz w:val="10"/>
                <w:szCs w:val="10"/>
                <w:lang w:val="fr-BE"/>
              </w:rPr>
            </w:pPr>
          </w:p>
        </w:tc>
        <w:tc>
          <w:tcPr>
            <w:tcW w:w="0" w:type="auto"/>
          </w:tcPr>
          <w:p w14:paraId="19AE26C5" w14:textId="77777777" w:rsidR="008C5CFA" w:rsidRPr="00A92B39" w:rsidRDefault="008C5CFA" w:rsidP="00300A01">
            <w:pPr>
              <w:spacing w:before="0" w:after="0"/>
              <w:jc w:val="center"/>
              <w:rPr>
                <w:b/>
                <w:sz w:val="10"/>
                <w:szCs w:val="10"/>
                <w:lang w:val="fr-BE"/>
              </w:rPr>
            </w:pPr>
          </w:p>
        </w:tc>
        <w:tc>
          <w:tcPr>
            <w:tcW w:w="0" w:type="auto"/>
            <w:shd w:val="clear" w:color="auto" w:fill="auto"/>
          </w:tcPr>
          <w:p w14:paraId="49122011" w14:textId="77777777" w:rsidR="008C5CFA" w:rsidRPr="00A92B39" w:rsidRDefault="00E82A60" w:rsidP="00300A01">
            <w:pPr>
              <w:spacing w:before="0" w:after="0"/>
              <w:jc w:val="center"/>
              <w:rPr>
                <w:b/>
                <w:sz w:val="10"/>
                <w:szCs w:val="10"/>
                <w:lang w:val="fr-BE"/>
              </w:rPr>
            </w:pPr>
            <w:r w:rsidRPr="00A92B39">
              <w:rPr>
                <w:b/>
                <w:noProof/>
                <w:sz w:val="10"/>
                <w:szCs w:val="10"/>
                <w:lang w:val="fr-BE"/>
              </w:rPr>
              <w:t>Ogółem</w:t>
            </w:r>
          </w:p>
        </w:tc>
        <w:tc>
          <w:tcPr>
            <w:tcW w:w="0" w:type="auto"/>
            <w:shd w:val="clear" w:color="auto" w:fill="auto"/>
          </w:tcPr>
          <w:p w14:paraId="57651779" w14:textId="77777777" w:rsidR="008C5CFA" w:rsidRPr="00A92B39" w:rsidRDefault="00E82A60" w:rsidP="00300A01">
            <w:pPr>
              <w:spacing w:before="0" w:after="0"/>
              <w:jc w:val="center"/>
              <w:rPr>
                <w:b/>
                <w:sz w:val="10"/>
                <w:szCs w:val="10"/>
                <w:lang w:val="fr-BE"/>
              </w:rPr>
            </w:pPr>
            <w:r w:rsidRPr="00A92B39">
              <w:rPr>
                <w:b/>
                <w:noProof/>
                <w:sz w:val="10"/>
                <w:szCs w:val="10"/>
                <w:lang w:val="fr-BE"/>
              </w:rPr>
              <w:t>Mężczyźni</w:t>
            </w:r>
          </w:p>
        </w:tc>
        <w:tc>
          <w:tcPr>
            <w:tcW w:w="0" w:type="auto"/>
            <w:shd w:val="clear" w:color="auto" w:fill="auto"/>
          </w:tcPr>
          <w:p w14:paraId="5C425AFE" w14:textId="77777777" w:rsidR="008C5CFA" w:rsidRPr="00A92B39" w:rsidRDefault="00E82A60" w:rsidP="00300A01">
            <w:pPr>
              <w:spacing w:before="0" w:after="0"/>
              <w:jc w:val="center"/>
              <w:rPr>
                <w:b/>
                <w:sz w:val="10"/>
                <w:szCs w:val="10"/>
                <w:lang w:val="fr-BE"/>
              </w:rPr>
            </w:pPr>
            <w:r w:rsidRPr="00A92B39">
              <w:rPr>
                <w:b/>
                <w:noProof/>
                <w:sz w:val="10"/>
                <w:szCs w:val="10"/>
                <w:lang w:val="fr-BE"/>
              </w:rPr>
              <w:t>Kobiety</w:t>
            </w:r>
          </w:p>
        </w:tc>
        <w:tc>
          <w:tcPr>
            <w:tcW w:w="0" w:type="auto"/>
            <w:shd w:val="clear" w:color="auto" w:fill="auto"/>
          </w:tcPr>
          <w:p w14:paraId="78A99A89" w14:textId="77777777" w:rsidR="008C5CFA" w:rsidRPr="00A92B39" w:rsidRDefault="00E82A60" w:rsidP="00300A01">
            <w:pPr>
              <w:spacing w:before="0" w:after="0"/>
              <w:jc w:val="center"/>
              <w:rPr>
                <w:b/>
                <w:sz w:val="10"/>
                <w:szCs w:val="10"/>
                <w:lang w:val="fr-BE"/>
              </w:rPr>
            </w:pPr>
            <w:r w:rsidRPr="00A92B39">
              <w:rPr>
                <w:b/>
                <w:noProof/>
                <w:sz w:val="10"/>
                <w:szCs w:val="10"/>
                <w:lang w:val="fr-BE"/>
              </w:rPr>
              <w:t>Ogółem</w:t>
            </w:r>
          </w:p>
        </w:tc>
        <w:tc>
          <w:tcPr>
            <w:tcW w:w="0" w:type="auto"/>
            <w:shd w:val="clear" w:color="auto" w:fill="auto"/>
          </w:tcPr>
          <w:p w14:paraId="1D9A78ED" w14:textId="77777777" w:rsidR="008C5CFA" w:rsidRPr="00A92B39" w:rsidRDefault="00E82A60" w:rsidP="00300A01">
            <w:pPr>
              <w:spacing w:before="0" w:after="0"/>
              <w:jc w:val="center"/>
              <w:rPr>
                <w:b/>
                <w:sz w:val="10"/>
                <w:szCs w:val="10"/>
                <w:lang w:val="fr-BE"/>
              </w:rPr>
            </w:pPr>
            <w:r w:rsidRPr="00A92B39">
              <w:rPr>
                <w:b/>
                <w:noProof/>
                <w:sz w:val="10"/>
                <w:szCs w:val="10"/>
                <w:lang w:val="fr-BE"/>
              </w:rPr>
              <w:t>Mężczyźni</w:t>
            </w:r>
          </w:p>
        </w:tc>
        <w:tc>
          <w:tcPr>
            <w:tcW w:w="0" w:type="auto"/>
            <w:shd w:val="clear" w:color="auto" w:fill="auto"/>
          </w:tcPr>
          <w:p w14:paraId="4A1DD904" w14:textId="77777777" w:rsidR="008C5CFA" w:rsidRPr="00A92B39" w:rsidRDefault="00E82A60" w:rsidP="00300A01">
            <w:pPr>
              <w:spacing w:before="0" w:after="0"/>
              <w:jc w:val="center"/>
              <w:rPr>
                <w:b/>
                <w:sz w:val="10"/>
                <w:szCs w:val="10"/>
                <w:lang w:val="fr-BE"/>
              </w:rPr>
            </w:pPr>
            <w:r w:rsidRPr="00A92B39">
              <w:rPr>
                <w:b/>
                <w:noProof/>
                <w:sz w:val="10"/>
                <w:szCs w:val="10"/>
                <w:lang w:val="fr-BE"/>
              </w:rPr>
              <w:t>Kobiety</w:t>
            </w:r>
          </w:p>
        </w:tc>
        <w:tc>
          <w:tcPr>
            <w:tcW w:w="0" w:type="auto"/>
            <w:shd w:val="clear" w:color="auto" w:fill="auto"/>
          </w:tcPr>
          <w:p w14:paraId="761B3BC7" w14:textId="77777777" w:rsidR="008C5CFA" w:rsidRPr="00A92B39" w:rsidRDefault="00E82A60" w:rsidP="00300A01">
            <w:pPr>
              <w:spacing w:before="0" w:after="0"/>
              <w:jc w:val="center"/>
              <w:rPr>
                <w:b/>
                <w:sz w:val="10"/>
                <w:szCs w:val="10"/>
                <w:lang w:val="fr-BE"/>
              </w:rPr>
            </w:pPr>
            <w:r w:rsidRPr="00A92B39">
              <w:rPr>
                <w:b/>
                <w:noProof/>
                <w:sz w:val="10"/>
                <w:szCs w:val="10"/>
                <w:lang w:val="fr-BE"/>
              </w:rPr>
              <w:t>Ogółem</w:t>
            </w:r>
          </w:p>
        </w:tc>
        <w:tc>
          <w:tcPr>
            <w:tcW w:w="0" w:type="auto"/>
            <w:shd w:val="clear" w:color="auto" w:fill="auto"/>
          </w:tcPr>
          <w:p w14:paraId="0DD12C85" w14:textId="77777777" w:rsidR="008C5CFA" w:rsidRPr="00A92B39" w:rsidRDefault="00E82A60" w:rsidP="00300A01">
            <w:pPr>
              <w:spacing w:before="0" w:after="0"/>
              <w:jc w:val="center"/>
              <w:rPr>
                <w:b/>
                <w:sz w:val="10"/>
                <w:szCs w:val="10"/>
                <w:lang w:val="fr-BE"/>
              </w:rPr>
            </w:pPr>
            <w:r w:rsidRPr="00A92B39">
              <w:rPr>
                <w:b/>
                <w:noProof/>
                <w:sz w:val="10"/>
                <w:szCs w:val="10"/>
                <w:lang w:val="fr-BE"/>
              </w:rPr>
              <w:t>Mężczyźni</w:t>
            </w:r>
          </w:p>
        </w:tc>
        <w:tc>
          <w:tcPr>
            <w:tcW w:w="0" w:type="auto"/>
            <w:shd w:val="clear" w:color="auto" w:fill="auto"/>
          </w:tcPr>
          <w:p w14:paraId="2CA59B19" w14:textId="77777777" w:rsidR="008C5CFA" w:rsidRPr="00A92B39" w:rsidRDefault="00E82A60" w:rsidP="00300A01">
            <w:pPr>
              <w:spacing w:before="0" w:after="0"/>
              <w:jc w:val="center"/>
              <w:rPr>
                <w:b/>
                <w:sz w:val="10"/>
                <w:szCs w:val="10"/>
                <w:lang w:val="fr-BE"/>
              </w:rPr>
            </w:pPr>
            <w:r w:rsidRPr="00A92B39">
              <w:rPr>
                <w:b/>
                <w:noProof/>
                <w:sz w:val="10"/>
                <w:szCs w:val="10"/>
                <w:lang w:val="fr-BE"/>
              </w:rPr>
              <w:t>Kobiety</w:t>
            </w:r>
          </w:p>
        </w:tc>
        <w:tc>
          <w:tcPr>
            <w:tcW w:w="0" w:type="auto"/>
          </w:tcPr>
          <w:p w14:paraId="683BCB12" w14:textId="77777777" w:rsidR="008C5CFA" w:rsidRPr="00A92B39" w:rsidRDefault="00E82A60" w:rsidP="00300A01">
            <w:pPr>
              <w:spacing w:before="0" w:after="0"/>
              <w:jc w:val="center"/>
              <w:rPr>
                <w:b/>
                <w:sz w:val="10"/>
                <w:szCs w:val="10"/>
                <w:lang w:val="fr-BE"/>
              </w:rPr>
            </w:pPr>
            <w:r w:rsidRPr="00A92B39">
              <w:rPr>
                <w:b/>
                <w:noProof/>
                <w:sz w:val="10"/>
                <w:szCs w:val="10"/>
                <w:lang w:val="fr-BE"/>
              </w:rPr>
              <w:t>Ogółem</w:t>
            </w:r>
          </w:p>
        </w:tc>
        <w:tc>
          <w:tcPr>
            <w:tcW w:w="0" w:type="auto"/>
            <w:shd w:val="clear" w:color="auto" w:fill="auto"/>
          </w:tcPr>
          <w:p w14:paraId="58EA6C32" w14:textId="77777777" w:rsidR="008C5CFA" w:rsidRPr="00A92B39" w:rsidRDefault="00E82A60" w:rsidP="00300A01">
            <w:pPr>
              <w:spacing w:before="0" w:after="0"/>
              <w:jc w:val="center"/>
              <w:rPr>
                <w:b/>
                <w:sz w:val="10"/>
                <w:szCs w:val="10"/>
                <w:lang w:val="fr-BE"/>
              </w:rPr>
            </w:pPr>
            <w:r w:rsidRPr="00A92B39">
              <w:rPr>
                <w:b/>
                <w:noProof/>
                <w:sz w:val="10"/>
                <w:szCs w:val="10"/>
                <w:lang w:val="fr-BE"/>
              </w:rPr>
              <w:t>Mężczyźni</w:t>
            </w:r>
          </w:p>
        </w:tc>
        <w:tc>
          <w:tcPr>
            <w:tcW w:w="0" w:type="auto"/>
            <w:shd w:val="clear" w:color="auto" w:fill="auto"/>
          </w:tcPr>
          <w:p w14:paraId="3445A144" w14:textId="77777777" w:rsidR="008C5CFA" w:rsidRPr="00A92B39" w:rsidRDefault="00E82A60" w:rsidP="00300A01">
            <w:pPr>
              <w:spacing w:before="0" w:after="0"/>
              <w:jc w:val="center"/>
              <w:rPr>
                <w:b/>
                <w:sz w:val="10"/>
                <w:szCs w:val="10"/>
                <w:lang w:val="fr-BE"/>
              </w:rPr>
            </w:pPr>
            <w:r w:rsidRPr="00A92B39">
              <w:rPr>
                <w:b/>
                <w:noProof/>
                <w:sz w:val="10"/>
                <w:szCs w:val="10"/>
                <w:lang w:val="fr-BE"/>
              </w:rPr>
              <w:t>Kobiety</w:t>
            </w:r>
          </w:p>
        </w:tc>
      </w:tr>
      <w:tr w:rsidR="006B2EC1" w14:paraId="65E10A1F" w14:textId="77777777" w:rsidTr="002A1502">
        <w:tc>
          <w:tcPr>
            <w:tcW w:w="0" w:type="auto"/>
            <w:shd w:val="clear" w:color="auto" w:fill="auto"/>
          </w:tcPr>
          <w:p w14:paraId="6F28B54E" w14:textId="77777777" w:rsidR="008C5CFA" w:rsidRPr="00A92B39" w:rsidRDefault="00E82A60" w:rsidP="00300A01">
            <w:pPr>
              <w:spacing w:before="0" w:after="0"/>
              <w:rPr>
                <w:sz w:val="10"/>
                <w:szCs w:val="10"/>
                <w:lang w:val="fr-BE"/>
              </w:rPr>
            </w:pPr>
            <w:r w:rsidRPr="00A92B39">
              <w:rPr>
                <w:noProof/>
                <w:sz w:val="10"/>
                <w:szCs w:val="10"/>
                <w:lang w:val="fr-BE"/>
              </w:rPr>
              <w:t>001</w:t>
            </w:r>
          </w:p>
        </w:tc>
        <w:tc>
          <w:tcPr>
            <w:tcW w:w="0" w:type="auto"/>
            <w:shd w:val="clear" w:color="auto" w:fill="auto"/>
          </w:tcPr>
          <w:p w14:paraId="07C05BAA" w14:textId="77777777" w:rsidR="008C5CFA" w:rsidRPr="00A92B39" w:rsidRDefault="00E82A60" w:rsidP="00300A01">
            <w:pPr>
              <w:spacing w:before="0" w:after="0"/>
              <w:rPr>
                <w:sz w:val="10"/>
                <w:szCs w:val="10"/>
                <w:lang w:val="fr-BE"/>
              </w:rPr>
            </w:pPr>
            <w:r w:rsidRPr="00A92B39">
              <w:rPr>
                <w:noProof/>
                <w:sz w:val="10"/>
                <w:szCs w:val="10"/>
                <w:lang w:val="fr-BE"/>
              </w:rPr>
              <w:t>Liczba utworzonych miejsc opieki nad dziećmi w wieku do lat 3</w:t>
            </w:r>
          </w:p>
        </w:tc>
        <w:tc>
          <w:tcPr>
            <w:tcW w:w="0" w:type="auto"/>
            <w:shd w:val="clear" w:color="auto" w:fill="auto"/>
          </w:tcPr>
          <w:p w14:paraId="798932A4" w14:textId="77777777" w:rsidR="008C5CFA" w:rsidRPr="00A92B39" w:rsidRDefault="00E82A60" w:rsidP="00300A01">
            <w:pPr>
              <w:spacing w:before="0" w:after="0"/>
              <w:rPr>
                <w:sz w:val="10"/>
                <w:szCs w:val="10"/>
                <w:lang w:val="fr-BE"/>
              </w:rPr>
            </w:pPr>
            <w:r w:rsidRPr="00A92B39">
              <w:rPr>
                <w:noProof/>
                <w:sz w:val="10"/>
                <w:szCs w:val="10"/>
                <w:lang w:val="fr-BE"/>
              </w:rPr>
              <w:t>Słabiej rozwinięte</w:t>
            </w:r>
          </w:p>
        </w:tc>
        <w:tc>
          <w:tcPr>
            <w:tcW w:w="0" w:type="auto"/>
          </w:tcPr>
          <w:p w14:paraId="1F68AC06" w14:textId="77777777" w:rsidR="008C5CFA" w:rsidRPr="00A92B39" w:rsidRDefault="00E82A60" w:rsidP="00300A01">
            <w:pPr>
              <w:spacing w:before="0" w:after="0"/>
              <w:rPr>
                <w:sz w:val="10"/>
                <w:szCs w:val="10"/>
                <w:lang w:val="fr-BE"/>
              </w:rPr>
            </w:pPr>
            <w:r w:rsidRPr="00A92B39">
              <w:rPr>
                <w:noProof/>
                <w:sz w:val="10"/>
                <w:szCs w:val="10"/>
                <w:lang w:val="fr-BE"/>
              </w:rPr>
              <w:t>sztuka</w:t>
            </w:r>
          </w:p>
        </w:tc>
        <w:tc>
          <w:tcPr>
            <w:tcW w:w="0" w:type="auto"/>
            <w:shd w:val="clear" w:color="auto" w:fill="auto"/>
          </w:tcPr>
          <w:p w14:paraId="0D9C3222" w14:textId="77777777" w:rsidR="008C5CFA" w:rsidRPr="00A92B39" w:rsidRDefault="00E82A60" w:rsidP="00300A01">
            <w:pPr>
              <w:spacing w:before="0" w:after="0"/>
              <w:jc w:val="right"/>
              <w:rPr>
                <w:sz w:val="10"/>
                <w:szCs w:val="10"/>
                <w:lang w:val="fr-BE"/>
              </w:rPr>
            </w:pPr>
            <w:r w:rsidRPr="00A92B39">
              <w:rPr>
                <w:noProof/>
                <w:sz w:val="10"/>
                <w:szCs w:val="10"/>
                <w:lang w:val="fr-BE"/>
              </w:rPr>
              <w:t>1 296,00</w:t>
            </w:r>
          </w:p>
        </w:tc>
        <w:tc>
          <w:tcPr>
            <w:tcW w:w="0" w:type="auto"/>
            <w:shd w:val="clear" w:color="auto" w:fill="auto"/>
          </w:tcPr>
          <w:p w14:paraId="3C3BEE8F" w14:textId="77777777" w:rsidR="008C5CFA" w:rsidRPr="00A92B39" w:rsidRDefault="008C5CFA" w:rsidP="00300A01">
            <w:pPr>
              <w:spacing w:before="0" w:after="0"/>
              <w:jc w:val="right"/>
              <w:rPr>
                <w:sz w:val="10"/>
                <w:szCs w:val="10"/>
                <w:lang w:val="fr-BE"/>
              </w:rPr>
            </w:pPr>
          </w:p>
        </w:tc>
        <w:tc>
          <w:tcPr>
            <w:tcW w:w="0" w:type="auto"/>
            <w:shd w:val="clear" w:color="auto" w:fill="auto"/>
          </w:tcPr>
          <w:p w14:paraId="623BC43B" w14:textId="77777777" w:rsidR="008C5CFA" w:rsidRPr="00A92B39" w:rsidRDefault="008C5CFA" w:rsidP="00300A01">
            <w:pPr>
              <w:spacing w:before="0" w:after="0"/>
              <w:jc w:val="right"/>
              <w:rPr>
                <w:sz w:val="10"/>
                <w:szCs w:val="10"/>
                <w:lang w:val="fr-BE"/>
              </w:rPr>
            </w:pPr>
          </w:p>
        </w:tc>
        <w:tc>
          <w:tcPr>
            <w:tcW w:w="0" w:type="auto"/>
            <w:shd w:val="clear" w:color="auto" w:fill="auto"/>
          </w:tcPr>
          <w:p w14:paraId="29E3F4EF" w14:textId="77777777" w:rsidR="008C5CFA" w:rsidRPr="00A92B39" w:rsidRDefault="00E82A60" w:rsidP="00300A01">
            <w:pPr>
              <w:spacing w:before="0" w:after="0"/>
              <w:jc w:val="right"/>
              <w:rPr>
                <w:sz w:val="10"/>
                <w:szCs w:val="10"/>
                <w:lang w:val="fr-BE"/>
              </w:rPr>
            </w:pPr>
            <w:r w:rsidRPr="00A92B39">
              <w:rPr>
                <w:noProof/>
                <w:sz w:val="10"/>
                <w:szCs w:val="10"/>
                <w:lang w:val="fr-BE"/>
              </w:rPr>
              <w:t>601,00</w:t>
            </w:r>
          </w:p>
        </w:tc>
        <w:tc>
          <w:tcPr>
            <w:tcW w:w="0" w:type="auto"/>
            <w:shd w:val="clear" w:color="auto" w:fill="auto"/>
          </w:tcPr>
          <w:p w14:paraId="29384513"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14:paraId="6EBEB1FB"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14:paraId="24BEE059" w14:textId="77777777" w:rsidR="008C5CFA" w:rsidRPr="00A92B39" w:rsidRDefault="00E82A60" w:rsidP="00300A01">
            <w:pPr>
              <w:spacing w:before="0" w:after="0"/>
              <w:jc w:val="right"/>
              <w:rPr>
                <w:sz w:val="10"/>
                <w:szCs w:val="10"/>
                <w:lang w:val="fr-BE"/>
              </w:rPr>
            </w:pPr>
            <w:r>
              <w:rPr>
                <w:noProof/>
                <w:sz w:val="10"/>
                <w:szCs w:val="10"/>
                <w:lang w:val="fr-BE"/>
              </w:rPr>
              <w:t>0,46</w:t>
            </w:r>
          </w:p>
        </w:tc>
        <w:tc>
          <w:tcPr>
            <w:tcW w:w="0" w:type="auto"/>
            <w:shd w:val="clear" w:color="auto" w:fill="auto"/>
          </w:tcPr>
          <w:p w14:paraId="49B17B0A" w14:textId="77777777" w:rsidR="008C5CFA" w:rsidRPr="00A92B39" w:rsidRDefault="008C5CFA" w:rsidP="00300A01">
            <w:pPr>
              <w:spacing w:before="0" w:after="0"/>
              <w:jc w:val="right"/>
              <w:rPr>
                <w:sz w:val="10"/>
                <w:szCs w:val="10"/>
                <w:lang w:val="fr-BE"/>
              </w:rPr>
            </w:pPr>
          </w:p>
        </w:tc>
        <w:tc>
          <w:tcPr>
            <w:tcW w:w="0" w:type="auto"/>
            <w:shd w:val="clear" w:color="auto" w:fill="auto"/>
          </w:tcPr>
          <w:p w14:paraId="38CA1E20" w14:textId="77777777" w:rsidR="008C5CFA" w:rsidRPr="00A92B39" w:rsidRDefault="008C5CFA" w:rsidP="00300A01">
            <w:pPr>
              <w:spacing w:before="0" w:after="0"/>
              <w:jc w:val="right"/>
              <w:rPr>
                <w:sz w:val="10"/>
                <w:szCs w:val="10"/>
                <w:lang w:val="fr-BE"/>
              </w:rPr>
            </w:pPr>
          </w:p>
        </w:tc>
        <w:tc>
          <w:tcPr>
            <w:tcW w:w="0" w:type="auto"/>
          </w:tcPr>
          <w:p w14:paraId="3CF29641" w14:textId="77777777" w:rsidR="008C5CFA" w:rsidRPr="00A92B39" w:rsidRDefault="00E82A60" w:rsidP="00300A01">
            <w:pPr>
              <w:spacing w:before="0" w:after="0"/>
              <w:jc w:val="right"/>
              <w:rPr>
                <w:sz w:val="10"/>
                <w:szCs w:val="10"/>
                <w:lang w:val="fr-BE"/>
              </w:rPr>
            </w:pPr>
            <w:r w:rsidRPr="00A92B39">
              <w:rPr>
                <w:noProof/>
                <w:sz w:val="10"/>
                <w:szCs w:val="10"/>
                <w:lang w:val="fr-BE"/>
              </w:rPr>
              <w:t>128,00</w:t>
            </w:r>
          </w:p>
        </w:tc>
        <w:tc>
          <w:tcPr>
            <w:tcW w:w="0" w:type="auto"/>
            <w:shd w:val="clear" w:color="auto" w:fill="auto"/>
          </w:tcPr>
          <w:p w14:paraId="417B1348"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14:paraId="299F7891"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r>
      <w:tr w:rsidR="006B2EC1" w14:paraId="7D931402" w14:textId="77777777" w:rsidTr="002A1502">
        <w:tc>
          <w:tcPr>
            <w:tcW w:w="0" w:type="auto"/>
            <w:shd w:val="clear" w:color="auto" w:fill="auto"/>
          </w:tcPr>
          <w:p w14:paraId="054E30FD" w14:textId="77777777" w:rsidR="008C5CFA" w:rsidRPr="00A92B39" w:rsidRDefault="00E82A60" w:rsidP="00300A01">
            <w:pPr>
              <w:spacing w:before="0" w:after="0"/>
              <w:rPr>
                <w:sz w:val="10"/>
                <w:szCs w:val="10"/>
                <w:lang w:val="fr-BE"/>
              </w:rPr>
            </w:pPr>
            <w:r w:rsidRPr="00A92B39">
              <w:rPr>
                <w:noProof/>
                <w:sz w:val="10"/>
                <w:szCs w:val="10"/>
                <w:lang w:val="fr-BE"/>
              </w:rPr>
              <w:t>004</w:t>
            </w:r>
          </w:p>
        </w:tc>
        <w:tc>
          <w:tcPr>
            <w:tcW w:w="0" w:type="auto"/>
            <w:shd w:val="clear" w:color="auto" w:fill="auto"/>
          </w:tcPr>
          <w:p w14:paraId="23BA18B4" w14:textId="77777777" w:rsidR="008C5CFA" w:rsidRPr="00A92B39" w:rsidRDefault="00E82A60" w:rsidP="00300A01">
            <w:pPr>
              <w:spacing w:before="0" w:after="0"/>
              <w:rPr>
                <w:sz w:val="10"/>
                <w:szCs w:val="10"/>
                <w:lang w:val="fr-BE"/>
              </w:rPr>
            </w:pPr>
            <w:r w:rsidRPr="00A92B39">
              <w:rPr>
                <w:noProof/>
                <w:sz w:val="10"/>
                <w:szCs w:val="10"/>
                <w:lang w:val="fr-BE"/>
              </w:rPr>
              <w:t>Liczba osób opiekujących się dziećmi w wieku do lat 3 objętych wsparciem w programie</w:t>
            </w:r>
          </w:p>
        </w:tc>
        <w:tc>
          <w:tcPr>
            <w:tcW w:w="0" w:type="auto"/>
            <w:shd w:val="clear" w:color="auto" w:fill="auto"/>
          </w:tcPr>
          <w:p w14:paraId="35526D1C" w14:textId="77777777" w:rsidR="008C5CFA" w:rsidRPr="00A92B39" w:rsidRDefault="00E82A60" w:rsidP="00300A01">
            <w:pPr>
              <w:spacing w:before="0" w:after="0"/>
              <w:rPr>
                <w:sz w:val="10"/>
                <w:szCs w:val="10"/>
                <w:lang w:val="fr-BE"/>
              </w:rPr>
            </w:pPr>
            <w:r w:rsidRPr="00A92B39">
              <w:rPr>
                <w:noProof/>
                <w:sz w:val="10"/>
                <w:szCs w:val="10"/>
                <w:lang w:val="fr-BE"/>
              </w:rPr>
              <w:t>Słabiej rozwinięte</w:t>
            </w:r>
          </w:p>
        </w:tc>
        <w:tc>
          <w:tcPr>
            <w:tcW w:w="0" w:type="auto"/>
          </w:tcPr>
          <w:p w14:paraId="36309C18" w14:textId="77777777" w:rsidR="008C5CFA" w:rsidRPr="00A92B39" w:rsidRDefault="00E82A60" w:rsidP="00300A01">
            <w:pPr>
              <w:spacing w:before="0" w:after="0"/>
              <w:rPr>
                <w:sz w:val="10"/>
                <w:szCs w:val="10"/>
                <w:lang w:val="fr-BE"/>
              </w:rPr>
            </w:pPr>
            <w:r w:rsidRPr="00A92B39">
              <w:rPr>
                <w:noProof/>
                <w:sz w:val="10"/>
                <w:szCs w:val="10"/>
                <w:lang w:val="fr-BE"/>
              </w:rPr>
              <w:t>osoba</w:t>
            </w:r>
          </w:p>
        </w:tc>
        <w:tc>
          <w:tcPr>
            <w:tcW w:w="0" w:type="auto"/>
            <w:shd w:val="clear" w:color="auto" w:fill="auto"/>
          </w:tcPr>
          <w:p w14:paraId="01E12528" w14:textId="77777777" w:rsidR="008C5CFA" w:rsidRPr="00A92B39" w:rsidRDefault="00E82A60" w:rsidP="00300A01">
            <w:pPr>
              <w:spacing w:before="0" w:after="0"/>
              <w:jc w:val="right"/>
              <w:rPr>
                <w:sz w:val="10"/>
                <w:szCs w:val="10"/>
                <w:lang w:val="fr-BE"/>
              </w:rPr>
            </w:pPr>
            <w:r w:rsidRPr="00A92B39">
              <w:rPr>
                <w:noProof/>
                <w:sz w:val="10"/>
                <w:szCs w:val="10"/>
                <w:lang w:val="fr-BE"/>
              </w:rPr>
              <w:t>1 166,00</w:t>
            </w:r>
          </w:p>
        </w:tc>
        <w:tc>
          <w:tcPr>
            <w:tcW w:w="0" w:type="auto"/>
            <w:shd w:val="clear" w:color="auto" w:fill="auto"/>
          </w:tcPr>
          <w:p w14:paraId="355B1A3E" w14:textId="77777777" w:rsidR="008C5CFA" w:rsidRPr="00A92B39" w:rsidRDefault="008C5CFA" w:rsidP="00300A01">
            <w:pPr>
              <w:spacing w:before="0" w:after="0"/>
              <w:jc w:val="right"/>
              <w:rPr>
                <w:sz w:val="10"/>
                <w:szCs w:val="10"/>
                <w:lang w:val="fr-BE"/>
              </w:rPr>
            </w:pPr>
          </w:p>
        </w:tc>
        <w:tc>
          <w:tcPr>
            <w:tcW w:w="0" w:type="auto"/>
            <w:shd w:val="clear" w:color="auto" w:fill="auto"/>
          </w:tcPr>
          <w:p w14:paraId="030A8489" w14:textId="77777777" w:rsidR="008C5CFA" w:rsidRPr="00A92B39" w:rsidRDefault="008C5CFA" w:rsidP="00300A01">
            <w:pPr>
              <w:spacing w:before="0" w:after="0"/>
              <w:jc w:val="right"/>
              <w:rPr>
                <w:sz w:val="10"/>
                <w:szCs w:val="10"/>
                <w:lang w:val="fr-BE"/>
              </w:rPr>
            </w:pPr>
          </w:p>
        </w:tc>
        <w:tc>
          <w:tcPr>
            <w:tcW w:w="0" w:type="auto"/>
            <w:shd w:val="clear" w:color="auto" w:fill="auto"/>
          </w:tcPr>
          <w:p w14:paraId="458B353D" w14:textId="77777777" w:rsidR="008C5CFA" w:rsidRPr="00A92B39" w:rsidRDefault="00E82A60" w:rsidP="00300A01">
            <w:pPr>
              <w:spacing w:before="0" w:after="0"/>
              <w:jc w:val="right"/>
              <w:rPr>
                <w:sz w:val="10"/>
                <w:szCs w:val="10"/>
                <w:lang w:val="fr-BE"/>
              </w:rPr>
            </w:pPr>
            <w:r w:rsidRPr="00A92B39">
              <w:rPr>
                <w:noProof/>
                <w:sz w:val="10"/>
                <w:szCs w:val="10"/>
                <w:lang w:val="fr-BE"/>
              </w:rPr>
              <w:t>909,00</w:t>
            </w:r>
          </w:p>
        </w:tc>
        <w:tc>
          <w:tcPr>
            <w:tcW w:w="0" w:type="auto"/>
            <w:shd w:val="clear" w:color="auto" w:fill="auto"/>
          </w:tcPr>
          <w:p w14:paraId="08864B38"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14:paraId="23005699"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14:paraId="5F06E859" w14:textId="77777777" w:rsidR="008C5CFA" w:rsidRPr="00A92B39" w:rsidRDefault="00E82A60" w:rsidP="00300A01">
            <w:pPr>
              <w:spacing w:before="0" w:after="0"/>
              <w:jc w:val="right"/>
              <w:rPr>
                <w:sz w:val="10"/>
                <w:szCs w:val="10"/>
                <w:lang w:val="fr-BE"/>
              </w:rPr>
            </w:pPr>
            <w:r>
              <w:rPr>
                <w:noProof/>
                <w:sz w:val="10"/>
                <w:szCs w:val="10"/>
                <w:lang w:val="fr-BE"/>
              </w:rPr>
              <w:t>0,78</w:t>
            </w:r>
          </w:p>
        </w:tc>
        <w:tc>
          <w:tcPr>
            <w:tcW w:w="0" w:type="auto"/>
            <w:shd w:val="clear" w:color="auto" w:fill="auto"/>
          </w:tcPr>
          <w:p w14:paraId="270C8416" w14:textId="77777777" w:rsidR="008C5CFA" w:rsidRPr="00A92B39" w:rsidRDefault="008C5CFA" w:rsidP="00300A01">
            <w:pPr>
              <w:spacing w:before="0" w:after="0"/>
              <w:jc w:val="right"/>
              <w:rPr>
                <w:sz w:val="10"/>
                <w:szCs w:val="10"/>
                <w:lang w:val="fr-BE"/>
              </w:rPr>
            </w:pPr>
          </w:p>
        </w:tc>
        <w:tc>
          <w:tcPr>
            <w:tcW w:w="0" w:type="auto"/>
            <w:shd w:val="clear" w:color="auto" w:fill="auto"/>
          </w:tcPr>
          <w:p w14:paraId="26340D18" w14:textId="77777777" w:rsidR="008C5CFA" w:rsidRPr="00A92B39" w:rsidRDefault="008C5CFA" w:rsidP="00300A01">
            <w:pPr>
              <w:spacing w:before="0" w:after="0"/>
              <w:jc w:val="right"/>
              <w:rPr>
                <w:sz w:val="10"/>
                <w:szCs w:val="10"/>
                <w:lang w:val="fr-BE"/>
              </w:rPr>
            </w:pPr>
          </w:p>
        </w:tc>
        <w:tc>
          <w:tcPr>
            <w:tcW w:w="0" w:type="auto"/>
          </w:tcPr>
          <w:p w14:paraId="35E72809" w14:textId="77777777" w:rsidR="008C5CFA" w:rsidRPr="00A92B39" w:rsidRDefault="00E82A60" w:rsidP="00300A01">
            <w:pPr>
              <w:spacing w:before="0" w:after="0"/>
              <w:jc w:val="right"/>
              <w:rPr>
                <w:sz w:val="10"/>
                <w:szCs w:val="10"/>
                <w:lang w:val="fr-BE"/>
              </w:rPr>
            </w:pPr>
            <w:r w:rsidRPr="00A92B39">
              <w:rPr>
                <w:noProof/>
                <w:sz w:val="10"/>
                <w:szCs w:val="10"/>
                <w:lang w:val="fr-BE"/>
              </w:rPr>
              <w:t>312,00</w:t>
            </w:r>
          </w:p>
        </w:tc>
        <w:tc>
          <w:tcPr>
            <w:tcW w:w="0" w:type="auto"/>
            <w:shd w:val="clear" w:color="auto" w:fill="auto"/>
          </w:tcPr>
          <w:p w14:paraId="7FF7C4B2"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14:paraId="5F41E24A"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r>
    </w:tbl>
    <w:p w14:paraId="0E739CD9"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82"/>
        <w:gridCol w:w="4954"/>
        <w:gridCol w:w="1143"/>
        <w:gridCol w:w="532"/>
        <w:gridCol w:w="690"/>
        <w:gridCol w:w="539"/>
        <w:gridCol w:w="532"/>
        <w:gridCol w:w="690"/>
        <w:gridCol w:w="539"/>
        <w:gridCol w:w="532"/>
        <w:gridCol w:w="690"/>
        <w:gridCol w:w="539"/>
        <w:gridCol w:w="532"/>
        <w:gridCol w:w="690"/>
        <w:gridCol w:w="539"/>
        <w:gridCol w:w="532"/>
        <w:gridCol w:w="690"/>
        <w:gridCol w:w="539"/>
      </w:tblGrid>
      <w:tr w:rsidR="006B2EC1" w14:paraId="3EE34404" w14:textId="77777777" w:rsidTr="0047688D">
        <w:trPr>
          <w:tblHeader/>
        </w:trPr>
        <w:tc>
          <w:tcPr>
            <w:tcW w:w="0" w:type="auto"/>
            <w:shd w:val="clear" w:color="auto" w:fill="auto"/>
          </w:tcPr>
          <w:p w14:paraId="0454D7B9" w14:textId="77777777" w:rsidR="008C5CFA" w:rsidRPr="00A92B39" w:rsidRDefault="00E82A60" w:rsidP="00300A01">
            <w:pPr>
              <w:spacing w:before="0" w:after="0"/>
              <w:rPr>
                <w:b/>
                <w:sz w:val="10"/>
                <w:szCs w:val="10"/>
                <w:lang w:val="fr-BE"/>
              </w:rPr>
            </w:pPr>
            <w:r w:rsidRPr="00A92B39">
              <w:rPr>
                <w:b/>
                <w:noProof/>
                <w:sz w:val="10"/>
                <w:szCs w:val="10"/>
                <w:lang w:val="fr-BE"/>
              </w:rPr>
              <w:t>ID</w:t>
            </w:r>
          </w:p>
        </w:tc>
        <w:tc>
          <w:tcPr>
            <w:tcW w:w="0" w:type="auto"/>
            <w:shd w:val="clear" w:color="auto" w:fill="auto"/>
          </w:tcPr>
          <w:p w14:paraId="45E49219" w14:textId="77777777" w:rsidR="008C5CFA" w:rsidRPr="00A92B39" w:rsidRDefault="00E82A60" w:rsidP="00300A01">
            <w:pPr>
              <w:spacing w:before="0" w:after="0"/>
              <w:rPr>
                <w:b/>
                <w:sz w:val="10"/>
                <w:szCs w:val="10"/>
                <w:lang w:val="fr-BE"/>
              </w:rPr>
            </w:pPr>
            <w:r w:rsidRPr="00A92B39">
              <w:rPr>
                <w:b/>
                <w:noProof/>
                <w:sz w:val="10"/>
                <w:szCs w:val="10"/>
                <w:lang w:val="fr-BE"/>
              </w:rPr>
              <w:t>Wskaźnik</w:t>
            </w:r>
          </w:p>
        </w:tc>
        <w:tc>
          <w:tcPr>
            <w:tcW w:w="0" w:type="auto"/>
            <w:shd w:val="clear" w:color="auto" w:fill="auto"/>
          </w:tcPr>
          <w:p w14:paraId="6CC5A444" w14:textId="77777777" w:rsidR="008C5CFA" w:rsidRPr="00A92B39" w:rsidRDefault="00E82A60" w:rsidP="00300A01">
            <w:pPr>
              <w:spacing w:before="0" w:after="0"/>
              <w:rPr>
                <w:b/>
                <w:sz w:val="10"/>
                <w:szCs w:val="10"/>
                <w:lang w:val="fr-BE"/>
              </w:rPr>
            </w:pPr>
            <w:r w:rsidRPr="00A92B39">
              <w:rPr>
                <w:b/>
                <w:noProof/>
                <w:sz w:val="10"/>
                <w:szCs w:val="10"/>
                <w:lang w:val="fr-BE"/>
              </w:rPr>
              <w:t>Kategoria regionu</w:t>
            </w:r>
          </w:p>
        </w:tc>
        <w:tc>
          <w:tcPr>
            <w:tcW w:w="0" w:type="auto"/>
            <w:gridSpan w:val="3"/>
            <w:shd w:val="clear" w:color="auto" w:fill="auto"/>
          </w:tcPr>
          <w:p w14:paraId="753BC713" w14:textId="77777777" w:rsidR="008C5CFA" w:rsidRPr="00A92B39" w:rsidRDefault="00E82A60" w:rsidP="00300A01">
            <w:pPr>
              <w:spacing w:before="0" w:after="0"/>
              <w:jc w:val="center"/>
              <w:rPr>
                <w:b/>
                <w:sz w:val="10"/>
                <w:szCs w:val="10"/>
                <w:lang w:val="fr-BE"/>
              </w:rPr>
            </w:pPr>
            <w:r w:rsidRPr="00A92B39">
              <w:rPr>
                <w:b/>
                <w:sz w:val="10"/>
                <w:szCs w:val="10"/>
                <w:lang w:val="fr-BE"/>
              </w:rPr>
              <w:t>20</w:t>
            </w:r>
            <w:r>
              <w:rPr>
                <w:b/>
                <w:sz w:val="10"/>
                <w:szCs w:val="10"/>
                <w:lang w:val="fr-BE"/>
              </w:rPr>
              <w:t>18</w:t>
            </w:r>
          </w:p>
        </w:tc>
        <w:tc>
          <w:tcPr>
            <w:tcW w:w="0" w:type="auto"/>
            <w:gridSpan w:val="3"/>
          </w:tcPr>
          <w:p w14:paraId="11512635" w14:textId="77777777" w:rsidR="008C5CFA" w:rsidRPr="00A92B39" w:rsidRDefault="00E82A60" w:rsidP="00300A01">
            <w:pPr>
              <w:spacing w:before="0" w:after="0"/>
              <w:jc w:val="center"/>
              <w:rPr>
                <w:b/>
                <w:sz w:val="10"/>
                <w:szCs w:val="10"/>
                <w:lang w:val="fr-BE"/>
              </w:rPr>
            </w:pPr>
            <w:r>
              <w:rPr>
                <w:b/>
                <w:sz w:val="10"/>
                <w:szCs w:val="10"/>
                <w:lang w:val="fr-BE"/>
              </w:rPr>
              <w:t>2017</w:t>
            </w:r>
          </w:p>
        </w:tc>
        <w:tc>
          <w:tcPr>
            <w:tcW w:w="0" w:type="auto"/>
            <w:gridSpan w:val="3"/>
          </w:tcPr>
          <w:p w14:paraId="71336DEE" w14:textId="77777777" w:rsidR="008C5CFA" w:rsidRDefault="00E82A60" w:rsidP="00300A01">
            <w:pPr>
              <w:spacing w:before="0" w:after="0"/>
              <w:jc w:val="center"/>
              <w:rPr>
                <w:b/>
                <w:sz w:val="10"/>
                <w:szCs w:val="10"/>
                <w:lang w:val="fr-BE"/>
              </w:rPr>
            </w:pPr>
            <w:r>
              <w:rPr>
                <w:b/>
                <w:sz w:val="10"/>
                <w:szCs w:val="10"/>
                <w:lang w:val="fr-BE"/>
              </w:rPr>
              <w:t>2016</w:t>
            </w:r>
          </w:p>
        </w:tc>
        <w:tc>
          <w:tcPr>
            <w:tcW w:w="0" w:type="auto"/>
            <w:gridSpan w:val="3"/>
          </w:tcPr>
          <w:p w14:paraId="5D0D49E1" w14:textId="77777777" w:rsidR="008C5CFA" w:rsidRDefault="00E82A60" w:rsidP="00300A01">
            <w:pPr>
              <w:spacing w:before="0" w:after="0"/>
              <w:jc w:val="center"/>
              <w:rPr>
                <w:b/>
                <w:sz w:val="10"/>
                <w:szCs w:val="10"/>
                <w:lang w:val="fr-BE"/>
              </w:rPr>
            </w:pPr>
            <w:r>
              <w:rPr>
                <w:b/>
                <w:sz w:val="10"/>
                <w:szCs w:val="10"/>
                <w:lang w:val="fr-BE"/>
              </w:rPr>
              <w:t>2015</w:t>
            </w:r>
          </w:p>
        </w:tc>
        <w:tc>
          <w:tcPr>
            <w:tcW w:w="0" w:type="auto"/>
            <w:gridSpan w:val="3"/>
          </w:tcPr>
          <w:p w14:paraId="61D837D8" w14:textId="77777777" w:rsidR="008C5CFA" w:rsidRDefault="00E82A60" w:rsidP="00300A01">
            <w:pPr>
              <w:spacing w:before="0" w:after="0"/>
              <w:jc w:val="center"/>
              <w:rPr>
                <w:b/>
                <w:sz w:val="10"/>
                <w:szCs w:val="10"/>
                <w:lang w:val="fr-BE"/>
              </w:rPr>
            </w:pPr>
            <w:r>
              <w:rPr>
                <w:b/>
                <w:sz w:val="10"/>
                <w:szCs w:val="10"/>
                <w:lang w:val="fr-BE"/>
              </w:rPr>
              <w:t>2014</w:t>
            </w:r>
          </w:p>
        </w:tc>
      </w:tr>
      <w:tr w:rsidR="006B2EC1" w14:paraId="193E673D" w14:textId="77777777" w:rsidTr="0047688D">
        <w:trPr>
          <w:tblHeader/>
        </w:trPr>
        <w:tc>
          <w:tcPr>
            <w:tcW w:w="0" w:type="auto"/>
            <w:shd w:val="clear" w:color="auto" w:fill="auto"/>
          </w:tcPr>
          <w:p w14:paraId="2FB53288" w14:textId="77777777" w:rsidR="008C5CFA" w:rsidRPr="00A92B39" w:rsidRDefault="008C5CFA" w:rsidP="00300A01">
            <w:pPr>
              <w:spacing w:before="0" w:after="0"/>
              <w:rPr>
                <w:sz w:val="10"/>
                <w:szCs w:val="10"/>
                <w:lang w:val="fr-BE"/>
              </w:rPr>
            </w:pPr>
          </w:p>
        </w:tc>
        <w:tc>
          <w:tcPr>
            <w:tcW w:w="0" w:type="auto"/>
            <w:shd w:val="clear" w:color="auto" w:fill="auto"/>
          </w:tcPr>
          <w:p w14:paraId="55606685" w14:textId="77777777" w:rsidR="008C5CFA" w:rsidRPr="00A92B39" w:rsidRDefault="008C5CFA" w:rsidP="00300A01">
            <w:pPr>
              <w:spacing w:before="0" w:after="0"/>
              <w:rPr>
                <w:sz w:val="10"/>
                <w:szCs w:val="10"/>
                <w:lang w:val="fr-BE"/>
              </w:rPr>
            </w:pPr>
          </w:p>
        </w:tc>
        <w:tc>
          <w:tcPr>
            <w:tcW w:w="0" w:type="auto"/>
            <w:shd w:val="clear" w:color="auto" w:fill="auto"/>
          </w:tcPr>
          <w:p w14:paraId="6E49D15C" w14:textId="77777777" w:rsidR="008C5CFA" w:rsidRPr="00A92B39" w:rsidRDefault="008C5CFA" w:rsidP="00300A01">
            <w:pPr>
              <w:spacing w:before="0" w:after="0"/>
              <w:rPr>
                <w:sz w:val="10"/>
                <w:szCs w:val="10"/>
                <w:lang w:val="fr-BE"/>
              </w:rPr>
            </w:pPr>
          </w:p>
        </w:tc>
        <w:tc>
          <w:tcPr>
            <w:tcW w:w="0" w:type="auto"/>
            <w:shd w:val="clear" w:color="auto" w:fill="auto"/>
          </w:tcPr>
          <w:p w14:paraId="20F1967B" w14:textId="77777777" w:rsidR="008C5CFA" w:rsidRPr="00A92B39" w:rsidRDefault="00E82A60" w:rsidP="00300A01">
            <w:pPr>
              <w:spacing w:before="0" w:after="0"/>
              <w:jc w:val="center"/>
              <w:rPr>
                <w:b/>
                <w:sz w:val="10"/>
                <w:szCs w:val="10"/>
                <w:lang w:val="fr-BE"/>
              </w:rPr>
            </w:pPr>
            <w:r w:rsidRPr="00A92B39">
              <w:rPr>
                <w:b/>
                <w:noProof/>
                <w:sz w:val="10"/>
                <w:szCs w:val="10"/>
                <w:lang w:val="fr-BE"/>
              </w:rPr>
              <w:t>Ogółem</w:t>
            </w:r>
          </w:p>
        </w:tc>
        <w:tc>
          <w:tcPr>
            <w:tcW w:w="0" w:type="auto"/>
            <w:shd w:val="clear" w:color="auto" w:fill="auto"/>
          </w:tcPr>
          <w:p w14:paraId="6F26C16D" w14:textId="77777777" w:rsidR="008C5CFA" w:rsidRPr="00A92B39" w:rsidRDefault="00E82A60" w:rsidP="00300A01">
            <w:pPr>
              <w:spacing w:before="0" w:after="0"/>
              <w:jc w:val="center"/>
              <w:rPr>
                <w:b/>
                <w:sz w:val="10"/>
                <w:szCs w:val="10"/>
                <w:lang w:val="fr-BE"/>
              </w:rPr>
            </w:pPr>
            <w:r w:rsidRPr="00A92B39">
              <w:rPr>
                <w:b/>
                <w:noProof/>
                <w:sz w:val="10"/>
                <w:szCs w:val="10"/>
                <w:lang w:val="fr-BE"/>
              </w:rPr>
              <w:t>Mężczyźni</w:t>
            </w:r>
          </w:p>
        </w:tc>
        <w:tc>
          <w:tcPr>
            <w:tcW w:w="0" w:type="auto"/>
            <w:shd w:val="clear" w:color="auto" w:fill="auto"/>
          </w:tcPr>
          <w:p w14:paraId="3CD75D25" w14:textId="77777777" w:rsidR="008C5CFA" w:rsidRPr="00A92B39" w:rsidRDefault="00E82A60" w:rsidP="00300A01">
            <w:pPr>
              <w:spacing w:before="0" w:after="0"/>
              <w:jc w:val="center"/>
              <w:rPr>
                <w:b/>
                <w:sz w:val="10"/>
                <w:szCs w:val="10"/>
                <w:lang w:val="fr-BE"/>
              </w:rPr>
            </w:pPr>
            <w:r w:rsidRPr="00A92B39">
              <w:rPr>
                <w:b/>
                <w:noProof/>
                <w:sz w:val="10"/>
                <w:szCs w:val="10"/>
                <w:lang w:val="fr-BE"/>
              </w:rPr>
              <w:t>Kobiety</w:t>
            </w:r>
          </w:p>
        </w:tc>
        <w:tc>
          <w:tcPr>
            <w:tcW w:w="0" w:type="auto"/>
          </w:tcPr>
          <w:p w14:paraId="2D1D39AC" w14:textId="77777777" w:rsidR="008C5CFA" w:rsidRPr="00A92B39" w:rsidRDefault="00E82A60" w:rsidP="00300A01">
            <w:pPr>
              <w:spacing w:before="0" w:after="0"/>
              <w:jc w:val="center"/>
              <w:rPr>
                <w:b/>
                <w:sz w:val="10"/>
                <w:szCs w:val="10"/>
                <w:lang w:val="fr-BE"/>
              </w:rPr>
            </w:pPr>
            <w:r w:rsidRPr="00A92B39">
              <w:rPr>
                <w:b/>
                <w:noProof/>
                <w:sz w:val="10"/>
                <w:szCs w:val="10"/>
                <w:lang w:val="fr-BE"/>
              </w:rPr>
              <w:t>Ogółem</w:t>
            </w:r>
          </w:p>
        </w:tc>
        <w:tc>
          <w:tcPr>
            <w:tcW w:w="0" w:type="auto"/>
          </w:tcPr>
          <w:p w14:paraId="553A3E2B" w14:textId="77777777" w:rsidR="008C5CFA" w:rsidRPr="00A92B39" w:rsidRDefault="00E82A60" w:rsidP="00300A01">
            <w:pPr>
              <w:spacing w:before="0" w:after="0"/>
              <w:jc w:val="center"/>
              <w:rPr>
                <w:b/>
                <w:sz w:val="10"/>
                <w:szCs w:val="10"/>
                <w:lang w:val="fr-BE"/>
              </w:rPr>
            </w:pPr>
            <w:r w:rsidRPr="00A92B39">
              <w:rPr>
                <w:b/>
                <w:noProof/>
                <w:sz w:val="10"/>
                <w:szCs w:val="10"/>
                <w:lang w:val="fr-BE"/>
              </w:rPr>
              <w:t>Mężczyźni</w:t>
            </w:r>
          </w:p>
        </w:tc>
        <w:tc>
          <w:tcPr>
            <w:tcW w:w="0" w:type="auto"/>
          </w:tcPr>
          <w:p w14:paraId="366FEAC9" w14:textId="77777777" w:rsidR="008C5CFA" w:rsidRPr="00A92B39" w:rsidRDefault="00E82A60" w:rsidP="00300A01">
            <w:pPr>
              <w:spacing w:before="0" w:after="0"/>
              <w:jc w:val="center"/>
              <w:rPr>
                <w:b/>
                <w:sz w:val="10"/>
                <w:szCs w:val="10"/>
                <w:lang w:val="fr-BE"/>
              </w:rPr>
            </w:pPr>
            <w:r w:rsidRPr="00A92B39">
              <w:rPr>
                <w:b/>
                <w:noProof/>
                <w:sz w:val="10"/>
                <w:szCs w:val="10"/>
                <w:lang w:val="fr-BE"/>
              </w:rPr>
              <w:t>Kobiety</w:t>
            </w:r>
          </w:p>
        </w:tc>
        <w:tc>
          <w:tcPr>
            <w:tcW w:w="0" w:type="auto"/>
          </w:tcPr>
          <w:p w14:paraId="7E8F01D3" w14:textId="77777777" w:rsidR="008C5CFA" w:rsidRPr="00A92B39" w:rsidRDefault="00E82A60" w:rsidP="00300A01">
            <w:pPr>
              <w:spacing w:before="0" w:after="0"/>
              <w:jc w:val="center"/>
              <w:rPr>
                <w:b/>
                <w:sz w:val="10"/>
                <w:szCs w:val="10"/>
                <w:lang w:val="fr-BE"/>
              </w:rPr>
            </w:pPr>
            <w:r w:rsidRPr="00A92B39">
              <w:rPr>
                <w:b/>
                <w:noProof/>
                <w:sz w:val="10"/>
                <w:szCs w:val="10"/>
                <w:lang w:val="fr-BE"/>
              </w:rPr>
              <w:t>Ogółem</w:t>
            </w:r>
          </w:p>
        </w:tc>
        <w:tc>
          <w:tcPr>
            <w:tcW w:w="0" w:type="auto"/>
          </w:tcPr>
          <w:p w14:paraId="4F45EF91" w14:textId="77777777" w:rsidR="008C5CFA" w:rsidRPr="00A92B39" w:rsidRDefault="00E82A60" w:rsidP="00300A01">
            <w:pPr>
              <w:spacing w:before="0" w:after="0"/>
              <w:jc w:val="center"/>
              <w:rPr>
                <w:b/>
                <w:sz w:val="10"/>
                <w:szCs w:val="10"/>
                <w:lang w:val="fr-BE"/>
              </w:rPr>
            </w:pPr>
            <w:r w:rsidRPr="00A92B39">
              <w:rPr>
                <w:b/>
                <w:noProof/>
                <w:sz w:val="10"/>
                <w:szCs w:val="10"/>
                <w:lang w:val="fr-BE"/>
              </w:rPr>
              <w:t>Mężczyźni</w:t>
            </w:r>
          </w:p>
        </w:tc>
        <w:tc>
          <w:tcPr>
            <w:tcW w:w="0" w:type="auto"/>
          </w:tcPr>
          <w:p w14:paraId="49046784" w14:textId="77777777" w:rsidR="008C5CFA" w:rsidRPr="00A92B39" w:rsidRDefault="00E82A60" w:rsidP="00300A01">
            <w:pPr>
              <w:spacing w:before="0" w:after="0"/>
              <w:jc w:val="center"/>
              <w:rPr>
                <w:b/>
                <w:sz w:val="10"/>
                <w:szCs w:val="10"/>
                <w:lang w:val="fr-BE"/>
              </w:rPr>
            </w:pPr>
            <w:r w:rsidRPr="00A92B39">
              <w:rPr>
                <w:b/>
                <w:noProof/>
                <w:sz w:val="10"/>
                <w:szCs w:val="10"/>
                <w:lang w:val="fr-BE"/>
              </w:rPr>
              <w:t>Kobiety</w:t>
            </w:r>
          </w:p>
        </w:tc>
        <w:tc>
          <w:tcPr>
            <w:tcW w:w="0" w:type="auto"/>
          </w:tcPr>
          <w:p w14:paraId="490404A0" w14:textId="77777777" w:rsidR="008C5CFA" w:rsidRPr="00A92B39" w:rsidRDefault="00E82A60" w:rsidP="00300A01">
            <w:pPr>
              <w:spacing w:before="0" w:after="0"/>
              <w:jc w:val="center"/>
              <w:rPr>
                <w:b/>
                <w:sz w:val="10"/>
                <w:szCs w:val="10"/>
                <w:lang w:val="fr-BE"/>
              </w:rPr>
            </w:pPr>
            <w:r w:rsidRPr="00A92B39">
              <w:rPr>
                <w:b/>
                <w:noProof/>
                <w:sz w:val="10"/>
                <w:szCs w:val="10"/>
                <w:lang w:val="fr-BE"/>
              </w:rPr>
              <w:t>Ogółem</w:t>
            </w:r>
          </w:p>
        </w:tc>
        <w:tc>
          <w:tcPr>
            <w:tcW w:w="0" w:type="auto"/>
          </w:tcPr>
          <w:p w14:paraId="3A324784" w14:textId="77777777" w:rsidR="008C5CFA" w:rsidRPr="00A92B39" w:rsidRDefault="00E82A60" w:rsidP="00300A01">
            <w:pPr>
              <w:spacing w:before="0" w:after="0"/>
              <w:jc w:val="center"/>
              <w:rPr>
                <w:b/>
                <w:sz w:val="10"/>
                <w:szCs w:val="10"/>
                <w:lang w:val="fr-BE"/>
              </w:rPr>
            </w:pPr>
            <w:r w:rsidRPr="00A92B39">
              <w:rPr>
                <w:b/>
                <w:noProof/>
                <w:sz w:val="10"/>
                <w:szCs w:val="10"/>
                <w:lang w:val="fr-BE"/>
              </w:rPr>
              <w:t>Mężczyźni</w:t>
            </w:r>
          </w:p>
        </w:tc>
        <w:tc>
          <w:tcPr>
            <w:tcW w:w="0" w:type="auto"/>
          </w:tcPr>
          <w:p w14:paraId="35EE612E" w14:textId="77777777" w:rsidR="008C5CFA" w:rsidRPr="00A92B39" w:rsidRDefault="00E82A60" w:rsidP="00300A01">
            <w:pPr>
              <w:spacing w:before="0" w:after="0"/>
              <w:jc w:val="center"/>
              <w:rPr>
                <w:b/>
                <w:sz w:val="10"/>
                <w:szCs w:val="10"/>
                <w:lang w:val="fr-BE"/>
              </w:rPr>
            </w:pPr>
            <w:r w:rsidRPr="00A92B39">
              <w:rPr>
                <w:b/>
                <w:noProof/>
                <w:sz w:val="10"/>
                <w:szCs w:val="10"/>
                <w:lang w:val="fr-BE"/>
              </w:rPr>
              <w:t>Kobiety</w:t>
            </w:r>
          </w:p>
        </w:tc>
        <w:tc>
          <w:tcPr>
            <w:tcW w:w="0" w:type="auto"/>
          </w:tcPr>
          <w:p w14:paraId="1512ED77" w14:textId="77777777" w:rsidR="008C5CFA" w:rsidRPr="00A92B39" w:rsidRDefault="00E82A60" w:rsidP="00300A01">
            <w:pPr>
              <w:spacing w:before="0" w:after="0"/>
              <w:jc w:val="center"/>
              <w:rPr>
                <w:b/>
                <w:sz w:val="10"/>
                <w:szCs w:val="10"/>
                <w:lang w:val="fr-BE"/>
              </w:rPr>
            </w:pPr>
            <w:r w:rsidRPr="00A92B39">
              <w:rPr>
                <w:b/>
                <w:noProof/>
                <w:sz w:val="10"/>
                <w:szCs w:val="10"/>
                <w:lang w:val="fr-BE"/>
              </w:rPr>
              <w:t>Ogółem</w:t>
            </w:r>
          </w:p>
        </w:tc>
        <w:tc>
          <w:tcPr>
            <w:tcW w:w="0" w:type="auto"/>
          </w:tcPr>
          <w:p w14:paraId="122CBA36" w14:textId="77777777" w:rsidR="008C5CFA" w:rsidRPr="00A92B39" w:rsidRDefault="00E82A60" w:rsidP="00300A01">
            <w:pPr>
              <w:spacing w:before="0" w:after="0"/>
              <w:jc w:val="center"/>
              <w:rPr>
                <w:b/>
                <w:sz w:val="10"/>
                <w:szCs w:val="10"/>
                <w:lang w:val="fr-BE"/>
              </w:rPr>
            </w:pPr>
            <w:r w:rsidRPr="00A92B39">
              <w:rPr>
                <w:b/>
                <w:noProof/>
                <w:sz w:val="10"/>
                <w:szCs w:val="10"/>
                <w:lang w:val="fr-BE"/>
              </w:rPr>
              <w:t>Mężczyźni</w:t>
            </w:r>
          </w:p>
        </w:tc>
        <w:tc>
          <w:tcPr>
            <w:tcW w:w="0" w:type="auto"/>
          </w:tcPr>
          <w:p w14:paraId="58F06423" w14:textId="77777777" w:rsidR="008C5CFA" w:rsidRPr="00A92B39" w:rsidRDefault="00E82A60" w:rsidP="00300A01">
            <w:pPr>
              <w:spacing w:before="0" w:after="0"/>
              <w:jc w:val="center"/>
              <w:rPr>
                <w:b/>
                <w:sz w:val="10"/>
                <w:szCs w:val="10"/>
                <w:lang w:val="fr-BE"/>
              </w:rPr>
            </w:pPr>
            <w:r w:rsidRPr="00A92B39">
              <w:rPr>
                <w:b/>
                <w:noProof/>
                <w:sz w:val="10"/>
                <w:szCs w:val="10"/>
                <w:lang w:val="fr-BE"/>
              </w:rPr>
              <w:t>Kobiety</w:t>
            </w:r>
          </w:p>
        </w:tc>
      </w:tr>
      <w:tr w:rsidR="006B2EC1" w14:paraId="094CC324" w14:textId="77777777" w:rsidTr="0047688D">
        <w:tc>
          <w:tcPr>
            <w:tcW w:w="0" w:type="auto"/>
            <w:shd w:val="clear" w:color="auto" w:fill="auto"/>
          </w:tcPr>
          <w:p w14:paraId="0A0B3E72" w14:textId="77777777" w:rsidR="008C5CFA" w:rsidRPr="00A92B39" w:rsidRDefault="00E82A60" w:rsidP="00300A01">
            <w:pPr>
              <w:spacing w:before="0" w:after="0"/>
              <w:rPr>
                <w:sz w:val="10"/>
                <w:szCs w:val="10"/>
                <w:lang w:val="fr-BE"/>
              </w:rPr>
            </w:pPr>
            <w:r w:rsidRPr="00A92B39">
              <w:rPr>
                <w:noProof/>
                <w:sz w:val="10"/>
                <w:szCs w:val="10"/>
                <w:lang w:val="fr-BE"/>
              </w:rPr>
              <w:t>001</w:t>
            </w:r>
          </w:p>
        </w:tc>
        <w:tc>
          <w:tcPr>
            <w:tcW w:w="0" w:type="auto"/>
            <w:shd w:val="clear" w:color="auto" w:fill="auto"/>
          </w:tcPr>
          <w:p w14:paraId="6C674020" w14:textId="77777777" w:rsidR="008C5CFA" w:rsidRPr="00A92B39" w:rsidRDefault="00E82A60" w:rsidP="00300A01">
            <w:pPr>
              <w:spacing w:before="0" w:after="0"/>
              <w:rPr>
                <w:sz w:val="10"/>
                <w:szCs w:val="10"/>
                <w:lang w:val="fr-BE"/>
              </w:rPr>
            </w:pPr>
            <w:r w:rsidRPr="00A92B39">
              <w:rPr>
                <w:noProof/>
                <w:sz w:val="10"/>
                <w:szCs w:val="10"/>
                <w:lang w:val="fr-BE"/>
              </w:rPr>
              <w:t>Liczba utworzonych miejsc opieki nad dziećmi w wieku do lat 3</w:t>
            </w:r>
          </w:p>
        </w:tc>
        <w:tc>
          <w:tcPr>
            <w:tcW w:w="0" w:type="auto"/>
            <w:shd w:val="clear" w:color="auto" w:fill="auto"/>
          </w:tcPr>
          <w:p w14:paraId="50140BFA" w14:textId="77777777" w:rsidR="008C5CFA" w:rsidRPr="00A92B39" w:rsidRDefault="00E82A60" w:rsidP="00300A01">
            <w:pPr>
              <w:spacing w:before="0" w:after="0"/>
              <w:rPr>
                <w:sz w:val="10"/>
                <w:szCs w:val="10"/>
                <w:lang w:val="fr-BE"/>
              </w:rPr>
            </w:pPr>
            <w:r w:rsidRPr="00A92B39">
              <w:rPr>
                <w:noProof/>
                <w:sz w:val="10"/>
                <w:szCs w:val="10"/>
                <w:lang w:val="fr-BE"/>
              </w:rPr>
              <w:t>Słabiej rozwinięte</w:t>
            </w:r>
          </w:p>
        </w:tc>
        <w:tc>
          <w:tcPr>
            <w:tcW w:w="0" w:type="auto"/>
            <w:shd w:val="clear" w:color="auto" w:fill="auto"/>
          </w:tcPr>
          <w:p w14:paraId="2C1C5581" w14:textId="77777777" w:rsidR="008C5CFA" w:rsidRPr="00A92B39" w:rsidRDefault="00E82A60" w:rsidP="00300A01">
            <w:pPr>
              <w:spacing w:before="0" w:after="0"/>
              <w:jc w:val="right"/>
              <w:rPr>
                <w:sz w:val="10"/>
                <w:szCs w:val="10"/>
                <w:lang w:val="fr-BE"/>
              </w:rPr>
            </w:pPr>
            <w:r w:rsidRPr="00A92B39">
              <w:rPr>
                <w:noProof/>
                <w:sz w:val="10"/>
                <w:szCs w:val="10"/>
                <w:lang w:val="fr-BE"/>
              </w:rPr>
              <w:t>208,00</w:t>
            </w:r>
          </w:p>
        </w:tc>
        <w:tc>
          <w:tcPr>
            <w:tcW w:w="0" w:type="auto"/>
            <w:shd w:val="clear" w:color="auto" w:fill="auto"/>
          </w:tcPr>
          <w:p w14:paraId="56090DFA"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14:paraId="346A210A"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668241B7" w14:textId="77777777" w:rsidR="008C5CFA" w:rsidRPr="00A92B39" w:rsidRDefault="00E82A60" w:rsidP="00300A01">
            <w:pPr>
              <w:spacing w:before="0" w:after="0"/>
              <w:jc w:val="right"/>
              <w:rPr>
                <w:sz w:val="10"/>
                <w:szCs w:val="10"/>
                <w:lang w:val="fr-BE"/>
              </w:rPr>
            </w:pPr>
            <w:r w:rsidRPr="00A92B39">
              <w:rPr>
                <w:noProof/>
                <w:sz w:val="10"/>
                <w:szCs w:val="10"/>
                <w:lang w:val="fr-BE"/>
              </w:rPr>
              <w:t>233,00</w:t>
            </w:r>
          </w:p>
        </w:tc>
        <w:tc>
          <w:tcPr>
            <w:tcW w:w="0" w:type="auto"/>
          </w:tcPr>
          <w:p w14:paraId="2E1FF574"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1B18332B"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0A6FABCD" w14:textId="77777777" w:rsidR="008C5CFA" w:rsidRPr="00A92B39" w:rsidRDefault="00E82A60" w:rsidP="00300A01">
            <w:pPr>
              <w:spacing w:before="0" w:after="0"/>
              <w:jc w:val="right"/>
              <w:rPr>
                <w:sz w:val="10"/>
                <w:szCs w:val="10"/>
                <w:lang w:val="fr-BE"/>
              </w:rPr>
            </w:pPr>
            <w:r w:rsidRPr="00A92B39">
              <w:rPr>
                <w:noProof/>
                <w:sz w:val="10"/>
                <w:szCs w:val="10"/>
                <w:lang w:val="fr-BE"/>
              </w:rPr>
              <w:t>32,00</w:t>
            </w:r>
          </w:p>
        </w:tc>
        <w:tc>
          <w:tcPr>
            <w:tcW w:w="0" w:type="auto"/>
          </w:tcPr>
          <w:p w14:paraId="791E8D45"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241E79F1"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4038DF5A"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60DD6080"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27CC026A"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58857645"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13172623"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7A1EC3DC"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r>
      <w:tr w:rsidR="006B2EC1" w14:paraId="584A13AB" w14:textId="77777777" w:rsidTr="0047688D">
        <w:tc>
          <w:tcPr>
            <w:tcW w:w="0" w:type="auto"/>
            <w:shd w:val="clear" w:color="auto" w:fill="auto"/>
          </w:tcPr>
          <w:p w14:paraId="60E6E510" w14:textId="77777777" w:rsidR="008C5CFA" w:rsidRPr="00A92B39" w:rsidRDefault="00E82A60" w:rsidP="00300A01">
            <w:pPr>
              <w:spacing w:before="0" w:after="0"/>
              <w:rPr>
                <w:sz w:val="10"/>
                <w:szCs w:val="10"/>
                <w:lang w:val="fr-BE"/>
              </w:rPr>
            </w:pPr>
            <w:r w:rsidRPr="00A92B39">
              <w:rPr>
                <w:noProof/>
                <w:sz w:val="10"/>
                <w:szCs w:val="10"/>
                <w:lang w:val="fr-BE"/>
              </w:rPr>
              <w:t>004</w:t>
            </w:r>
          </w:p>
        </w:tc>
        <w:tc>
          <w:tcPr>
            <w:tcW w:w="0" w:type="auto"/>
            <w:shd w:val="clear" w:color="auto" w:fill="auto"/>
          </w:tcPr>
          <w:p w14:paraId="14EE7E5E" w14:textId="77777777" w:rsidR="008C5CFA" w:rsidRPr="00A92B39" w:rsidRDefault="00E82A60" w:rsidP="00300A01">
            <w:pPr>
              <w:spacing w:before="0" w:after="0"/>
              <w:rPr>
                <w:sz w:val="10"/>
                <w:szCs w:val="10"/>
                <w:lang w:val="fr-BE"/>
              </w:rPr>
            </w:pPr>
            <w:r w:rsidRPr="00A92B39">
              <w:rPr>
                <w:noProof/>
                <w:sz w:val="10"/>
                <w:szCs w:val="10"/>
                <w:lang w:val="fr-BE"/>
              </w:rPr>
              <w:t>Liczba osób opiekujących się dziećmi w wieku do lat 3 objętych wsparciem w programie</w:t>
            </w:r>
          </w:p>
        </w:tc>
        <w:tc>
          <w:tcPr>
            <w:tcW w:w="0" w:type="auto"/>
            <w:shd w:val="clear" w:color="auto" w:fill="auto"/>
          </w:tcPr>
          <w:p w14:paraId="1C7290AD" w14:textId="77777777" w:rsidR="008C5CFA" w:rsidRPr="00A92B39" w:rsidRDefault="00E82A60" w:rsidP="00300A01">
            <w:pPr>
              <w:spacing w:before="0" w:after="0"/>
              <w:rPr>
                <w:sz w:val="10"/>
                <w:szCs w:val="10"/>
                <w:lang w:val="fr-BE"/>
              </w:rPr>
            </w:pPr>
            <w:r w:rsidRPr="00A92B39">
              <w:rPr>
                <w:noProof/>
                <w:sz w:val="10"/>
                <w:szCs w:val="10"/>
                <w:lang w:val="fr-BE"/>
              </w:rPr>
              <w:t>Słabiej rozwinięte</w:t>
            </w:r>
          </w:p>
        </w:tc>
        <w:tc>
          <w:tcPr>
            <w:tcW w:w="0" w:type="auto"/>
            <w:shd w:val="clear" w:color="auto" w:fill="auto"/>
          </w:tcPr>
          <w:p w14:paraId="7224FCFC" w14:textId="77777777" w:rsidR="008C5CFA" w:rsidRPr="00A92B39" w:rsidRDefault="00E82A60" w:rsidP="00300A01">
            <w:pPr>
              <w:spacing w:before="0" w:after="0"/>
              <w:jc w:val="right"/>
              <w:rPr>
                <w:sz w:val="10"/>
                <w:szCs w:val="10"/>
                <w:lang w:val="fr-BE"/>
              </w:rPr>
            </w:pPr>
            <w:r w:rsidRPr="00A92B39">
              <w:rPr>
                <w:noProof/>
                <w:sz w:val="10"/>
                <w:szCs w:val="10"/>
                <w:lang w:val="fr-BE"/>
              </w:rPr>
              <w:t>278,00</w:t>
            </w:r>
          </w:p>
        </w:tc>
        <w:tc>
          <w:tcPr>
            <w:tcW w:w="0" w:type="auto"/>
            <w:shd w:val="clear" w:color="auto" w:fill="auto"/>
          </w:tcPr>
          <w:p w14:paraId="100A3BF9"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14:paraId="73AB6CA3"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1273975D" w14:textId="77777777" w:rsidR="008C5CFA" w:rsidRPr="00A92B39" w:rsidRDefault="00E82A60" w:rsidP="00300A01">
            <w:pPr>
              <w:spacing w:before="0" w:after="0"/>
              <w:jc w:val="right"/>
              <w:rPr>
                <w:sz w:val="10"/>
                <w:szCs w:val="10"/>
                <w:lang w:val="fr-BE"/>
              </w:rPr>
            </w:pPr>
            <w:r w:rsidRPr="00A92B39">
              <w:rPr>
                <w:noProof/>
                <w:sz w:val="10"/>
                <w:szCs w:val="10"/>
                <w:lang w:val="fr-BE"/>
              </w:rPr>
              <w:t>287,00</w:t>
            </w:r>
          </w:p>
        </w:tc>
        <w:tc>
          <w:tcPr>
            <w:tcW w:w="0" w:type="auto"/>
          </w:tcPr>
          <w:p w14:paraId="77827EDB"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6449A0FA"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77B175C0" w14:textId="77777777" w:rsidR="008C5CFA" w:rsidRPr="00A92B39" w:rsidRDefault="00E82A60" w:rsidP="00300A01">
            <w:pPr>
              <w:spacing w:before="0" w:after="0"/>
              <w:jc w:val="right"/>
              <w:rPr>
                <w:sz w:val="10"/>
                <w:szCs w:val="10"/>
                <w:lang w:val="fr-BE"/>
              </w:rPr>
            </w:pPr>
            <w:r w:rsidRPr="00A92B39">
              <w:rPr>
                <w:noProof/>
                <w:sz w:val="10"/>
                <w:szCs w:val="10"/>
                <w:lang w:val="fr-BE"/>
              </w:rPr>
              <w:t>32,00</w:t>
            </w:r>
          </w:p>
        </w:tc>
        <w:tc>
          <w:tcPr>
            <w:tcW w:w="0" w:type="auto"/>
          </w:tcPr>
          <w:p w14:paraId="6DFF4C45"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761DE747"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743E8481"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1D6E307E"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27470D58"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6BD7ABF4"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4BEC9851"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4E9C2BD3"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r>
    </w:tbl>
    <w:p w14:paraId="2CE1750B" w14:textId="77777777" w:rsidR="008C5CFA" w:rsidRDefault="008C5CFA" w:rsidP="00300A01">
      <w:pPr>
        <w:spacing w:before="0" w:after="0"/>
        <w:rPr>
          <w:lang w:val="fr-BE"/>
        </w:rPr>
      </w:pPr>
    </w:p>
    <w:p w14:paraId="6053EC61" w14:textId="77777777" w:rsidR="008C5CFA" w:rsidRDefault="00E82A60" w:rsidP="00300A01">
      <w:pPr>
        <w:spacing w:before="0" w:after="0"/>
        <w:rPr>
          <w:lang w:val="fr-BE"/>
        </w:rPr>
      </w:pPr>
      <w:r>
        <w:rPr>
          <w:lang w:val="fr-BE"/>
        </w:rPr>
        <w:br w:type="page"/>
      </w:r>
    </w:p>
    <w:p w14:paraId="0EA026B9" w14:textId="77777777" w:rsidR="008C5CFA" w:rsidRPr="00B27C43" w:rsidRDefault="008C5CFA" w:rsidP="00300A01">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9"/>
        <w:gridCol w:w="9965"/>
      </w:tblGrid>
      <w:tr w:rsidR="006B2EC1" w14:paraId="15796BAD" w14:textId="77777777" w:rsidTr="0047688D">
        <w:tc>
          <w:tcPr>
            <w:tcW w:w="0" w:type="auto"/>
            <w:shd w:val="clear" w:color="auto" w:fill="auto"/>
          </w:tcPr>
          <w:p w14:paraId="30FA46BF" w14:textId="77777777" w:rsidR="008C5CFA" w:rsidRPr="002124FC" w:rsidRDefault="00E82A60" w:rsidP="00300A01">
            <w:pPr>
              <w:spacing w:before="0" w:after="0"/>
              <w:rPr>
                <w:sz w:val="20"/>
                <w:szCs w:val="20"/>
                <w:lang w:val="fr-BE"/>
              </w:rPr>
            </w:pPr>
            <w:r w:rsidRPr="002124FC">
              <w:rPr>
                <w:noProof/>
                <w:sz w:val="20"/>
                <w:szCs w:val="20"/>
                <w:lang w:val="fr-BE"/>
              </w:rPr>
              <w:t>Oś priorytetowa</w:t>
            </w:r>
          </w:p>
        </w:tc>
        <w:tc>
          <w:tcPr>
            <w:tcW w:w="0" w:type="auto"/>
            <w:shd w:val="clear" w:color="auto" w:fill="auto"/>
          </w:tcPr>
          <w:p w14:paraId="0C78E86E" w14:textId="77777777" w:rsidR="008C5CFA" w:rsidRPr="002124FC" w:rsidRDefault="00E82A60" w:rsidP="00300A01">
            <w:pPr>
              <w:spacing w:before="0" w:after="0"/>
              <w:rPr>
                <w:sz w:val="20"/>
                <w:szCs w:val="20"/>
                <w:lang w:val="fr-BE"/>
              </w:rPr>
            </w:pPr>
            <w:r w:rsidRPr="002124FC">
              <w:rPr>
                <w:noProof/>
                <w:sz w:val="20"/>
                <w:szCs w:val="20"/>
                <w:lang w:val="fr-BE"/>
              </w:rPr>
              <w:t>8</w:t>
            </w:r>
            <w:r w:rsidRPr="002124FC">
              <w:rPr>
                <w:sz w:val="20"/>
                <w:szCs w:val="20"/>
                <w:lang w:val="fr-BE"/>
              </w:rPr>
              <w:t xml:space="preserve"> - </w:t>
            </w:r>
            <w:r w:rsidRPr="002124FC">
              <w:rPr>
                <w:noProof/>
                <w:sz w:val="20"/>
                <w:szCs w:val="20"/>
                <w:lang w:val="fr-BE"/>
              </w:rPr>
              <w:t>Rozwój edukacji i aktywne społeczeństwo</w:t>
            </w:r>
          </w:p>
        </w:tc>
      </w:tr>
      <w:tr w:rsidR="006B2EC1" w14:paraId="525EE0F4" w14:textId="77777777" w:rsidTr="0047688D">
        <w:tc>
          <w:tcPr>
            <w:tcW w:w="0" w:type="auto"/>
            <w:shd w:val="clear" w:color="auto" w:fill="auto"/>
          </w:tcPr>
          <w:p w14:paraId="6E2489A9" w14:textId="77777777" w:rsidR="008C5CFA" w:rsidRPr="002124FC" w:rsidRDefault="00E82A60"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14:paraId="0AC212FB" w14:textId="77777777" w:rsidR="008C5CFA" w:rsidRPr="002124FC" w:rsidRDefault="00E82A60" w:rsidP="00300A01">
            <w:pPr>
              <w:spacing w:before="0" w:after="0"/>
              <w:rPr>
                <w:sz w:val="20"/>
                <w:szCs w:val="20"/>
                <w:lang w:val="fr-BE"/>
              </w:rPr>
            </w:pPr>
            <w:r w:rsidRPr="002124FC">
              <w:rPr>
                <w:noProof/>
                <w:sz w:val="20"/>
                <w:szCs w:val="20"/>
                <w:lang w:val="fr-BE"/>
              </w:rPr>
              <w:t>8vi</w:t>
            </w:r>
            <w:r w:rsidRPr="002124FC">
              <w:rPr>
                <w:sz w:val="20"/>
                <w:szCs w:val="20"/>
                <w:lang w:val="fr-BE"/>
              </w:rPr>
              <w:t xml:space="preserve"> - </w:t>
            </w:r>
            <w:r w:rsidRPr="002124FC">
              <w:rPr>
                <w:noProof/>
                <w:sz w:val="20"/>
                <w:szCs w:val="20"/>
                <w:lang w:val="fr-BE"/>
              </w:rPr>
              <w:t>Aktywne i zdrowe starzenie się</w:t>
            </w:r>
          </w:p>
        </w:tc>
      </w:tr>
    </w:tbl>
    <w:p w14:paraId="1CE8CC35" w14:textId="77777777" w:rsidR="008C5CFA" w:rsidRDefault="008C5CFA" w:rsidP="00300A01">
      <w:pPr>
        <w:spacing w:before="0" w:after="0"/>
        <w:ind w:left="113" w:hanging="113"/>
        <w:rPr>
          <w:sz w:val="20"/>
          <w:szCs w:val="20"/>
          <w:lang w:val="fr-BE"/>
        </w:rPr>
      </w:pPr>
    </w:p>
    <w:p w14:paraId="29EEBF62" w14:textId="77777777" w:rsidR="008C5CFA" w:rsidRPr="008E457C" w:rsidRDefault="00E82A60" w:rsidP="00300A01">
      <w:pPr>
        <w:pStyle w:val="Nagwek2"/>
        <w:spacing w:before="0" w:after="0"/>
      </w:pPr>
      <w:bookmarkStart w:id="51" w:name="_Toc46391735"/>
      <w:r w:rsidRPr="008E457C">
        <w:rPr>
          <w:noProof/>
        </w:rPr>
        <w:t>Tabela 2A</w:t>
      </w:r>
      <w:r w:rsidRPr="008E457C">
        <w:t xml:space="preserve"> : </w:t>
      </w:r>
      <w:proofErr w:type="spellStart"/>
      <w:r w:rsidRPr="008E457C">
        <w:t>Wspólne</w:t>
      </w:r>
      <w:proofErr w:type="spellEnd"/>
      <w:r w:rsidRPr="008E457C">
        <w:t xml:space="preserve"> </w:t>
      </w:r>
      <w:proofErr w:type="spellStart"/>
      <w:r w:rsidRPr="008E457C">
        <w:t>wskaźniki</w:t>
      </w:r>
      <w:proofErr w:type="spellEnd"/>
      <w:r w:rsidRPr="008E457C">
        <w:t xml:space="preserve"> </w:t>
      </w:r>
      <w:proofErr w:type="spellStart"/>
      <w:r w:rsidRPr="008E457C">
        <w:t>rezultatu</w:t>
      </w:r>
      <w:proofErr w:type="spellEnd"/>
      <w:r w:rsidRPr="008E457C">
        <w:t xml:space="preserve"> </w:t>
      </w:r>
      <w:proofErr w:type="spellStart"/>
      <w:r w:rsidRPr="008E457C">
        <w:t>dla</w:t>
      </w:r>
      <w:proofErr w:type="spellEnd"/>
      <w:r w:rsidRPr="008E457C">
        <w:t xml:space="preserve"> EFS (z </w:t>
      </w:r>
      <w:proofErr w:type="spellStart"/>
      <w:r w:rsidRPr="008E457C">
        <w:t>podziałem</w:t>
      </w:r>
      <w:proofErr w:type="spellEnd"/>
      <w:r w:rsidRPr="008E457C">
        <w:t xml:space="preserve"> </w:t>
      </w:r>
      <w:proofErr w:type="spellStart"/>
      <w:r w:rsidRPr="008E457C">
        <w:t>na</w:t>
      </w:r>
      <w:proofErr w:type="spellEnd"/>
      <w:r w:rsidRPr="008E457C">
        <w:t xml:space="preserve"> </w:t>
      </w:r>
      <w:proofErr w:type="spellStart"/>
      <w:r w:rsidRPr="008E457C">
        <w:t>oś</w:t>
      </w:r>
      <w:proofErr w:type="spellEnd"/>
      <w:r w:rsidRPr="008E457C">
        <w:t xml:space="preserve"> </w:t>
      </w:r>
      <w:proofErr w:type="spellStart"/>
      <w:r w:rsidRPr="008E457C">
        <w:t>priorytetową</w:t>
      </w:r>
      <w:proofErr w:type="spellEnd"/>
      <w:r w:rsidRPr="008E457C">
        <w:t xml:space="preserve">, </w:t>
      </w:r>
      <w:proofErr w:type="spellStart"/>
      <w:r w:rsidRPr="008E457C">
        <w:t>priorytet</w:t>
      </w:r>
      <w:proofErr w:type="spellEnd"/>
      <w:r w:rsidRPr="008E457C">
        <w:t xml:space="preserve"> </w:t>
      </w:r>
      <w:proofErr w:type="spellStart"/>
      <w:r w:rsidRPr="008E457C">
        <w:t>inwestycyjny</w:t>
      </w:r>
      <w:proofErr w:type="spellEnd"/>
      <w:r w:rsidRPr="008E457C">
        <w:t xml:space="preserve"> i </w:t>
      </w:r>
      <w:proofErr w:type="spellStart"/>
      <w:r w:rsidRPr="008E457C">
        <w:t>kategorię</w:t>
      </w:r>
      <w:proofErr w:type="spellEnd"/>
      <w:r w:rsidRPr="008E457C">
        <w:t xml:space="preserve"> </w:t>
      </w:r>
      <w:proofErr w:type="spellStart"/>
      <w:r w:rsidRPr="008E457C">
        <w:t>regionu</w:t>
      </w:r>
      <w:proofErr w:type="spellEnd"/>
      <w:r w:rsidRPr="008E457C">
        <w:t xml:space="preserve">) Dane </w:t>
      </w:r>
      <w:proofErr w:type="spellStart"/>
      <w:r w:rsidRPr="008E457C">
        <w:t>na</w:t>
      </w:r>
      <w:proofErr w:type="spellEnd"/>
      <w:r w:rsidRPr="008E457C">
        <w:t xml:space="preserve"> </w:t>
      </w:r>
      <w:proofErr w:type="spellStart"/>
      <w:r w:rsidRPr="008E457C">
        <w:t>temat</w:t>
      </w:r>
      <w:proofErr w:type="spellEnd"/>
      <w:r w:rsidRPr="008E457C">
        <w:t xml:space="preserve"> </w:t>
      </w:r>
      <w:proofErr w:type="spellStart"/>
      <w:r w:rsidRPr="008E457C">
        <w:t>wszystkich</w:t>
      </w:r>
      <w:proofErr w:type="spellEnd"/>
      <w:r w:rsidRPr="008E457C">
        <w:t xml:space="preserve"> </w:t>
      </w:r>
      <w:proofErr w:type="spellStart"/>
      <w:r w:rsidRPr="008E457C">
        <w:t>wspólnych</w:t>
      </w:r>
      <w:proofErr w:type="spellEnd"/>
      <w:r w:rsidRPr="008E457C">
        <w:t xml:space="preserve"> </w:t>
      </w:r>
      <w:proofErr w:type="spellStart"/>
      <w:r w:rsidRPr="008E457C">
        <w:t>wskaźników</w:t>
      </w:r>
      <w:proofErr w:type="spellEnd"/>
      <w:r w:rsidRPr="008E457C">
        <w:t xml:space="preserve"> </w:t>
      </w:r>
      <w:proofErr w:type="spellStart"/>
      <w:r w:rsidRPr="008E457C">
        <w:t>rezultatu</w:t>
      </w:r>
      <w:proofErr w:type="spellEnd"/>
      <w:r w:rsidRPr="008E457C">
        <w:t xml:space="preserve"> </w:t>
      </w:r>
      <w:proofErr w:type="spellStart"/>
      <w:r w:rsidRPr="008E457C">
        <w:t>dla</w:t>
      </w:r>
      <w:proofErr w:type="spellEnd"/>
      <w:r w:rsidRPr="008E457C">
        <w:t xml:space="preserve"> EFS (z </w:t>
      </w:r>
      <w:proofErr w:type="spellStart"/>
      <w:r w:rsidRPr="008E457C">
        <w:t>wartością</w:t>
      </w:r>
      <w:proofErr w:type="spellEnd"/>
      <w:r w:rsidRPr="008E457C">
        <w:t xml:space="preserve"> </w:t>
      </w:r>
      <w:proofErr w:type="spellStart"/>
      <w:r w:rsidRPr="008E457C">
        <w:t>docelową</w:t>
      </w:r>
      <w:proofErr w:type="spellEnd"/>
      <w:r w:rsidRPr="008E457C">
        <w:t xml:space="preserve"> i bez) </w:t>
      </w:r>
      <w:proofErr w:type="spellStart"/>
      <w:r w:rsidRPr="008E457C">
        <w:t>przedstawia</w:t>
      </w:r>
      <w:proofErr w:type="spellEnd"/>
      <w:r w:rsidRPr="008E457C">
        <w:t xml:space="preserve"> </w:t>
      </w:r>
      <w:proofErr w:type="spellStart"/>
      <w:r w:rsidRPr="008E457C">
        <w:t>się</w:t>
      </w:r>
      <w:proofErr w:type="spellEnd"/>
      <w:r w:rsidRPr="008E457C">
        <w:t xml:space="preserve"> w </w:t>
      </w:r>
      <w:proofErr w:type="spellStart"/>
      <w:r w:rsidRPr="008E457C">
        <w:t>sprawozdaniu</w:t>
      </w:r>
      <w:proofErr w:type="spellEnd"/>
      <w:r w:rsidRPr="008E457C">
        <w:t xml:space="preserve"> w </w:t>
      </w:r>
      <w:proofErr w:type="spellStart"/>
      <w:r w:rsidRPr="008E457C">
        <w:t>podziale</w:t>
      </w:r>
      <w:proofErr w:type="spellEnd"/>
      <w:r w:rsidRPr="008E457C">
        <w:t xml:space="preserve"> </w:t>
      </w:r>
      <w:proofErr w:type="spellStart"/>
      <w:r w:rsidRPr="008E457C">
        <w:t>na</w:t>
      </w:r>
      <w:proofErr w:type="spellEnd"/>
      <w:r w:rsidRPr="008E457C">
        <w:t xml:space="preserve"> </w:t>
      </w:r>
      <w:proofErr w:type="spellStart"/>
      <w:r w:rsidRPr="008E457C">
        <w:t>płeć</w:t>
      </w:r>
      <w:proofErr w:type="spellEnd"/>
      <w:r w:rsidRPr="008E457C">
        <w:t xml:space="preserve">. W </w:t>
      </w:r>
      <w:proofErr w:type="spellStart"/>
      <w:r w:rsidRPr="008E457C">
        <w:t>przypadku</w:t>
      </w:r>
      <w:proofErr w:type="spellEnd"/>
      <w:r w:rsidRPr="008E457C">
        <w:t xml:space="preserve"> </w:t>
      </w:r>
      <w:proofErr w:type="spellStart"/>
      <w:r w:rsidRPr="008E457C">
        <w:t>osi</w:t>
      </w:r>
      <w:proofErr w:type="spellEnd"/>
      <w:r w:rsidRPr="008E457C">
        <w:t xml:space="preserve"> </w:t>
      </w:r>
      <w:proofErr w:type="spellStart"/>
      <w:r w:rsidRPr="008E457C">
        <w:t>priorytetowej</w:t>
      </w:r>
      <w:proofErr w:type="spellEnd"/>
      <w:r w:rsidRPr="008E457C">
        <w:t xml:space="preserve"> </w:t>
      </w:r>
      <w:r>
        <w:t>"</w:t>
      </w:r>
      <w:proofErr w:type="spellStart"/>
      <w:r w:rsidRPr="008E457C">
        <w:t>Pomoc</w:t>
      </w:r>
      <w:proofErr w:type="spellEnd"/>
      <w:r w:rsidRPr="008E457C">
        <w:t xml:space="preserve"> </w:t>
      </w:r>
      <w:proofErr w:type="spellStart"/>
      <w:r w:rsidRPr="008E457C">
        <w:t>techniczna</w:t>
      </w:r>
      <w:proofErr w:type="spellEnd"/>
      <w:r w:rsidRPr="008E457C">
        <w:t xml:space="preserve"> w </w:t>
      </w:r>
      <w:proofErr w:type="spellStart"/>
      <w:r w:rsidRPr="008E457C">
        <w:t>sprawozdaniu</w:t>
      </w:r>
      <w:proofErr w:type="spellEnd"/>
      <w:r w:rsidRPr="008E457C">
        <w:t xml:space="preserve"> </w:t>
      </w:r>
      <w:proofErr w:type="spellStart"/>
      <w:r w:rsidRPr="008E457C">
        <w:t>przedstawia</w:t>
      </w:r>
      <w:proofErr w:type="spellEnd"/>
      <w:r w:rsidRPr="008E457C">
        <w:t xml:space="preserve"> </w:t>
      </w:r>
      <w:proofErr w:type="spellStart"/>
      <w:r w:rsidRPr="008E457C">
        <w:t>się</w:t>
      </w:r>
      <w:proofErr w:type="spellEnd"/>
      <w:r w:rsidRPr="008E457C">
        <w:t xml:space="preserve"> </w:t>
      </w:r>
      <w:proofErr w:type="spellStart"/>
      <w:r w:rsidRPr="008E457C">
        <w:t>jedynie</w:t>
      </w:r>
      <w:proofErr w:type="spellEnd"/>
      <w:r w:rsidRPr="008E457C">
        <w:t xml:space="preserve"> </w:t>
      </w:r>
      <w:proofErr w:type="spellStart"/>
      <w:r w:rsidRPr="008E457C">
        <w:t>te</w:t>
      </w:r>
      <w:proofErr w:type="spellEnd"/>
      <w:r w:rsidRPr="008E457C">
        <w:t xml:space="preserve"> </w:t>
      </w:r>
      <w:proofErr w:type="spellStart"/>
      <w:r w:rsidRPr="008E457C">
        <w:t>wskaźniki</w:t>
      </w:r>
      <w:proofErr w:type="spellEnd"/>
      <w:r w:rsidRPr="008E457C">
        <w:t xml:space="preserve"> </w:t>
      </w:r>
      <w:proofErr w:type="spellStart"/>
      <w:r w:rsidRPr="008E457C">
        <w:t>wspólne</w:t>
      </w:r>
      <w:proofErr w:type="spellEnd"/>
      <w:r w:rsidRPr="008E457C">
        <w:t xml:space="preserve">, w </w:t>
      </w:r>
      <w:proofErr w:type="spellStart"/>
      <w:r w:rsidRPr="008E457C">
        <w:t>odniesieniu</w:t>
      </w:r>
      <w:proofErr w:type="spellEnd"/>
      <w:r w:rsidRPr="008E457C">
        <w:t xml:space="preserve"> do </w:t>
      </w:r>
      <w:proofErr w:type="spellStart"/>
      <w:r w:rsidRPr="008E457C">
        <w:t>których</w:t>
      </w:r>
      <w:proofErr w:type="spellEnd"/>
      <w:r w:rsidRPr="008E457C">
        <w:t xml:space="preserve"> </w:t>
      </w:r>
      <w:proofErr w:type="spellStart"/>
      <w:r w:rsidRPr="008E457C">
        <w:t>ustanowiono</w:t>
      </w:r>
      <w:proofErr w:type="spellEnd"/>
      <w:r w:rsidRPr="008E457C">
        <w:t xml:space="preserve"> </w:t>
      </w:r>
      <w:proofErr w:type="spellStart"/>
      <w:r w:rsidRPr="008E457C">
        <w:t>wartość</w:t>
      </w:r>
      <w:proofErr w:type="spellEnd"/>
      <w:r w:rsidRPr="008E457C">
        <w:t xml:space="preserve"> </w:t>
      </w:r>
      <w:proofErr w:type="spellStart"/>
      <w:r w:rsidRPr="008E457C">
        <w:t>docelową</w:t>
      </w:r>
      <w:proofErr w:type="spellEnd"/>
      <w:r w:rsidRPr="008E457C">
        <w:t>.</w:t>
      </w:r>
      <w:r w:rsidR="00501DA0">
        <w:t xml:space="preserve"> - </w:t>
      </w:r>
      <w:r w:rsidR="00501DA0" w:rsidRPr="002124FC">
        <w:rPr>
          <w:noProof/>
          <w:sz w:val="20"/>
          <w:szCs w:val="20"/>
          <w:lang w:val="fr-BE"/>
        </w:rPr>
        <w:t>8</w:t>
      </w:r>
      <w:r w:rsidR="00501DA0">
        <w:rPr>
          <w:sz w:val="20"/>
          <w:szCs w:val="20"/>
          <w:lang w:val="fr-BE"/>
        </w:rPr>
        <w:t xml:space="preserve"> / </w:t>
      </w:r>
      <w:r w:rsidR="00501DA0" w:rsidRPr="002124FC">
        <w:rPr>
          <w:noProof/>
          <w:sz w:val="20"/>
          <w:szCs w:val="20"/>
          <w:lang w:val="fr-BE"/>
        </w:rPr>
        <w:t>8vi</w:t>
      </w:r>
      <w:bookmarkEnd w:id="51"/>
    </w:p>
    <w:p w14:paraId="4730D9EF" w14:textId="77777777" w:rsidR="008C5CFA" w:rsidRDefault="008C5CFA" w:rsidP="00300A01">
      <w:pPr>
        <w:keepNext/>
        <w:spacing w:before="0" w:after="0"/>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37"/>
        <w:gridCol w:w="5159"/>
        <w:gridCol w:w="745"/>
        <w:gridCol w:w="1864"/>
        <w:gridCol w:w="1475"/>
        <w:gridCol w:w="456"/>
        <w:gridCol w:w="596"/>
        <w:gridCol w:w="463"/>
        <w:gridCol w:w="456"/>
        <w:gridCol w:w="596"/>
        <w:gridCol w:w="463"/>
        <w:gridCol w:w="456"/>
        <w:gridCol w:w="596"/>
        <w:gridCol w:w="463"/>
        <w:gridCol w:w="596"/>
        <w:gridCol w:w="463"/>
      </w:tblGrid>
      <w:tr w:rsidR="006B2EC1" w14:paraId="5969E3DA" w14:textId="77777777" w:rsidTr="0047688D">
        <w:trPr>
          <w:tblHeader/>
        </w:trPr>
        <w:tc>
          <w:tcPr>
            <w:tcW w:w="0" w:type="auto"/>
            <w:shd w:val="clear" w:color="auto" w:fill="auto"/>
          </w:tcPr>
          <w:p w14:paraId="38257CAB" w14:textId="77777777" w:rsidR="008C5CFA" w:rsidRPr="00F53019" w:rsidRDefault="00E82A60" w:rsidP="00300A01">
            <w:pPr>
              <w:spacing w:before="0" w:after="0"/>
              <w:rPr>
                <w:b/>
                <w:sz w:val="12"/>
                <w:szCs w:val="12"/>
                <w:lang w:val="fr-BE"/>
              </w:rPr>
            </w:pPr>
            <w:r w:rsidRPr="00F53019">
              <w:rPr>
                <w:b/>
                <w:noProof/>
                <w:sz w:val="12"/>
                <w:szCs w:val="12"/>
                <w:lang w:val="fr-BE"/>
              </w:rPr>
              <w:t>ID</w:t>
            </w:r>
          </w:p>
        </w:tc>
        <w:tc>
          <w:tcPr>
            <w:tcW w:w="0" w:type="auto"/>
            <w:shd w:val="clear" w:color="auto" w:fill="auto"/>
          </w:tcPr>
          <w:p w14:paraId="112C739B" w14:textId="77777777" w:rsidR="008C5CFA" w:rsidRPr="00F53019" w:rsidRDefault="00E82A60" w:rsidP="00300A01">
            <w:pPr>
              <w:spacing w:before="0" w:after="0"/>
              <w:rPr>
                <w:b/>
                <w:sz w:val="12"/>
                <w:szCs w:val="12"/>
                <w:lang w:val="fr-BE"/>
              </w:rPr>
            </w:pPr>
            <w:r w:rsidRPr="00F53019">
              <w:rPr>
                <w:b/>
                <w:noProof/>
                <w:sz w:val="12"/>
                <w:szCs w:val="12"/>
                <w:lang w:val="fr-BE"/>
              </w:rPr>
              <w:t>Wskaźnik</w:t>
            </w:r>
          </w:p>
        </w:tc>
        <w:tc>
          <w:tcPr>
            <w:tcW w:w="0" w:type="auto"/>
            <w:shd w:val="clear" w:color="auto" w:fill="auto"/>
          </w:tcPr>
          <w:p w14:paraId="715BBFB9" w14:textId="77777777" w:rsidR="008C5CFA" w:rsidRPr="00F53019" w:rsidRDefault="00E82A60" w:rsidP="00300A01">
            <w:pPr>
              <w:spacing w:before="0" w:after="0"/>
              <w:rPr>
                <w:b/>
                <w:sz w:val="12"/>
                <w:szCs w:val="12"/>
                <w:lang w:val="fr-BE"/>
              </w:rPr>
            </w:pPr>
            <w:r w:rsidRPr="00F53019">
              <w:rPr>
                <w:b/>
                <w:noProof/>
                <w:sz w:val="12"/>
                <w:szCs w:val="12"/>
                <w:lang w:val="fr-BE"/>
              </w:rPr>
              <w:t>Kategoria regionu</w:t>
            </w:r>
          </w:p>
        </w:tc>
        <w:tc>
          <w:tcPr>
            <w:tcW w:w="0" w:type="auto"/>
            <w:shd w:val="clear" w:color="auto" w:fill="auto"/>
          </w:tcPr>
          <w:p w14:paraId="67D701CF" w14:textId="77777777" w:rsidR="008C5CFA" w:rsidRPr="00F53019" w:rsidRDefault="00E82A60" w:rsidP="00300A01">
            <w:pPr>
              <w:spacing w:before="0" w:after="0"/>
              <w:rPr>
                <w:b/>
                <w:sz w:val="12"/>
                <w:szCs w:val="12"/>
                <w:lang w:val="fr-BE"/>
              </w:rPr>
            </w:pPr>
            <w:r w:rsidRPr="00F53019">
              <w:rPr>
                <w:b/>
                <w:noProof/>
                <w:sz w:val="12"/>
                <w:szCs w:val="12"/>
                <w:lang w:val="fr-BE"/>
              </w:rPr>
              <w:t>Wspólny wskaźnik produktu stosowany jako podstawa ustalania celów</w:t>
            </w:r>
          </w:p>
        </w:tc>
        <w:tc>
          <w:tcPr>
            <w:tcW w:w="0" w:type="auto"/>
            <w:shd w:val="clear" w:color="auto" w:fill="auto"/>
          </w:tcPr>
          <w:p w14:paraId="3E6D47BA" w14:textId="77777777" w:rsidR="008C5CFA" w:rsidRPr="00F53019" w:rsidRDefault="00E82A60" w:rsidP="00300A01">
            <w:pPr>
              <w:spacing w:before="0" w:after="0"/>
              <w:rPr>
                <w:b/>
                <w:sz w:val="12"/>
                <w:szCs w:val="12"/>
                <w:lang w:val="fr-BE"/>
              </w:rPr>
            </w:pPr>
            <w:r w:rsidRPr="00F53019">
              <w:rPr>
                <w:b/>
                <w:noProof/>
                <w:sz w:val="12"/>
                <w:szCs w:val="12"/>
                <w:lang w:val="fr-BE"/>
              </w:rPr>
              <w:t>Jednostka pomiaru dla wartości bazowej i docelowej</w:t>
            </w:r>
          </w:p>
        </w:tc>
        <w:tc>
          <w:tcPr>
            <w:tcW w:w="0" w:type="auto"/>
            <w:gridSpan w:val="3"/>
            <w:shd w:val="clear" w:color="auto" w:fill="auto"/>
          </w:tcPr>
          <w:p w14:paraId="01658922" w14:textId="77777777" w:rsidR="008C5CFA" w:rsidRPr="00F53019" w:rsidRDefault="00E82A60" w:rsidP="00300A01">
            <w:pPr>
              <w:spacing w:before="0" w:after="0"/>
              <w:jc w:val="center"/>
              <w:rPr>
                <w:b/>
                <w:sz w:val="12"/>
                <w:szCs w:val="12"/>
                <w:lang w:val="fr-BE"/>
              </w:rPr>
            </w:pPr>
            <w:r w:rsidRPr="00F53019">
              <w:rPr>
                <w:b/>
                <w:noProof/>
                <w:sz w:val="12"/>
                <w:szCs w:val="12"/>
                <w:lang w:val="fr-BE"/>
              </w:rPr>
              <w:t>Wartość docelowa (2023)</w:t>
            </w:r>
          </w:p>
        </w:tc>
        <w:tc>
          <w:tcPr>
            <w:tcW w:w="0" w:type="auto"/>
            <w:gridSpan w:val="3"/>
            <w:shd w:val="clear" w:color="auto" w:fill="auto"/>
          </w:tcPr>
          <w:p w14:paraId="2F4A99AC" w14:textId="77777777" w:rsidR="008C5CFA" w:rsidRPr="00F53019" w:rsidRDefault="00E82A60" w:rsidP="00300A01">
            <w:pPr>
              <w:spacing w:before="0" w:after="0"/>
              <w:jc w:val="center"/>
              <w:rPr>
                <w:b/>
                <w:sz w:val="12"/>
                <w:szCs w:val="12"/>
                <w:lang w:val="fr-BE"/>
              </w:rPr>
            </w:pPr>
            <w:r w:rsidRPr="00F53019">
              <w:rPr>
                <w:b/>
                <w:noProof/>
                <w:sz w:val="12"/>
                <w:szCs w:val="12"/>
                <w:lang w:val="fr-BE"/>
              </w:rPr>
              <w:t>Wartość skumulowana</w:t>
            </w:r>
          </w:p>
        </w:tc>
        <w:tc>
          <w:tcPr>
            <w:tcW w:w="0" w:type="auto"/>
            <w:gridSpan w:val="3"/>
            <w:shd w:val="clear" w:color="auto" w:fill="auto"/>
          </w:tcPr>
          <w:p w14:paraId="5BF6176D" w14:textId="77777777" w:rsidR="008C5CFA" w:rsidRPr="00F53019" w:rsidRDefault="00E82A60" w:rsidP="00300A01">
            <w:pPr>
              <w:spacing w:before="0" w:after="0"/>
              <w:jc w:val="center"/>
              <w:rPr>
                <w:b/>
                <w:sz w:val="12"/>
                <w:szCs w:val="12"/>
                <w:lang w:val="fr-BE"/>
              </w:rPr>
            </w:pPr>
            <w:r w:rsidRPr="00F53019">
              <w:rPr>
                <w:b/>
                <w:noProof/>
                <w:sz w:val="12"/>
                <w:szCs w:val="12"/>
                <w:lang w:val="fr-BE"/>
              </w:rPr>
              <w:t>Wskaźnik osiągnięć</w:t>
            </w:r>
          </w:p>
        </w:tc>
        <w:tc>
          <w:tcPr>
            <w:tcW w:w="0" w:type="auto"/>
            <w:gridSpan w:val="2"/>
            <w:shd w:val="clear" w:color="auto" w:fill="auto"/>
          </w:tcPr>
          <w:p w14:paraId="0AEDA1EE" w14:textId="77777777" w:rsidR="008C5CFA" w:rsidRPr="00F53019" w:rsidRDefault="00E82A60" w:rsidP="00300A01">
            <w:pPr>
              <w:spacing w:before="0" w:after="0"/>
              <w:jc w:val="center"/>
              <w:rPr>
                <w:b/>
                <w:sz w:val="12"/>
                <w:szCs w:val="12"/>
                <w:lang w:val="fr-BE"/>
              </w:rPr>
            </w:pPr>
            <w:r>
              <w:rPr>
                <w:b/>
                <w:sz w:val="12"/>
                <w:szCs w:val="12"/>
                <w:lang w:val="fr-BE"/>
              </w:rPr>
              <w:t>2019</w:t>
            </w:r>
          </w:p>
        </w:tc>
      </w:tr>
      <w:tr w:rsidR="006B2EC1" w14:paraId="12EB0047" w14:textId="77777777" w:rsidTr="0047688D">
        <w:trPr>
          <w:tblHeader/>
        </w:trPr>
        <w:tc>
          <w:tcPr>
            <w:tcW w:w="0" w:type="auto"/>
            <w:shd w:val="clear" w:color="auto" w:fill="auto"/>
          </w:tcPr>
          <w:p w14:paraId="4E570B78" w14:textId="77777777" w:rsidR="008C5CFA" w:rsidRPr="00F53019" w:rsidRDefault="008C5CFA" w:rsidP="00300A01">
            <w:pPr>
              <w:spacing w:before="0" w:after="0"/>
              <w:rPr>
                <w:b/>
                <w:sz w:val="12"/>
                <w:szCs w:val="12"/>
                <w:lang w:val="fr-BE"/>
              </w:rPr>
            </w:pPr>
          </w:p>
        </w:tc>
        <w:tc>
          <w:tcPr>
            <w:tcW w:w="0" w:type="auto"/>
            <w:shd w:val="clear" w:color="auto" w:fill="auto"/>
          </w:tcPr>
          <w:p w14:paraId="7C5FDC4C" w14:textId="77777777" w:rsidR="008C5CFA" w:rsidRPr="00F53019" w:rsidRDefault="008C5CFA" w:rsidP="00300A01">
            <w:pPr>
              <w:spacing w:before="0" w:after="0"/>
              <w:rPr>
                <w:b/>
                <w:sz w:val="12"/>
                <w:szCs w:val="12"/>
                <w:lang w:val="fr-BE"/>
              </w:rPr>
            </w:pPr>
          </w:p>
        </w:tc>
        <w:tc>
          <w:tcPr>
            <w:tcW w:w="0" w:type="auto"/>
            <w:shd w:val="clear" w:color="auto" w:fill="auto"/>
          </w:tcPr>
          <w:p w14:paraId="04934A6C" w14:textId="77777777" w:rsidR="008C5CFA" w:rsidRPr="00F53019" w:rsidRDefault="008C5CFA" w:rsidP="00300A01">
            <w:pPr>
              <w:spacing w:before="0" w:after="0"/>
              <w:rPr>
                <w:b/>
                <w:sz w:val="12"/>
                <w:szCs w:val="12"/>
                <w:lang w:val="fr-BE"/>
              </w:rPr>
            </w:pPr>
          </w:p>
        </w:tc>
        <w:tc>
          <w:tcPr>
            <w:tcW w:w="0" w:type="auto"/>
            <w:shd w:val="clear" w:color="auto" w:fill="auto"/>
          </w:tcPr>
          <w:p w14:paraId="219AB99F" w14:textId="77777777" w:rsidR="008C5CFA" w:rsidRPr="00F53019" w:rsidRDefault="008C5CFA" w:rsidP="00300A01">
            <w:pPr>
              <w:spacing w:before="0" w:after="0"/>
              <w:rPr>
                <w:b/>
                <w:sz w:val="12"/>
                <w:szCs w:val="12"/>
                <w:lang w:val="fr-BE"/>
              </w:rPr>
            </w:pPr>
          </w:p>
        </w:tc>
        <w:tc>
          <w:tcPr>
            <w:tcW w:w="0" w:type="auto"/>
            <w:shd w:val="clear" w:color="auto" w:fill="auto"/>
          </w:tcPr>
          <w:p w14:paraId="47CFDEEE" w14:textId="77777777" w:rsidR="008C5CFA" w:rsidRPr="00F53019" w:rsidRDefault="008C5CFA" w:rsidP="00300A01">
            <w:pPr>
              <w:spacing w:before="0" w:after="0"/>
              <w:rPr>
                <w:b/>
                <w:sz w:val="12"/>
                <w:szCs w:val="12"/>
                <w:lang w:val="fr-BE"/>
              </w:rPr>
            </w:pPr>
          </w:p>
        </w:tc>
        <w:tc>
          <w:tcPr>
            <w:tcW w:w="0" w:type="auto"/>
            <w:shd w:val="clear" w:color="auto" w:fill="auto"/>
          </w:tcPr>
          <w:p w14:paraId="0CA825F5" w14:textId="77777777" w:rsidR="008C5CFA" w:rsidRPr="00F53019" w:rsidRDefault="00E82A60" w:rsidP="00300A01">
            <w:pPr>
              <w:spacing w:before="0" w:after="0"/>
              <w:jc w:val="center"/>
              <w:rPr>
                <w:b/>
                <w:sz w:val="12"/>
                <w:szCs w:val="12"/>
                <w:lang w:val="fr-BE"/>
              </w:rPr>
            </w:pPr>
            <w:r w:rsidRPr="00F53019">
              <w:rPr>
                <w:b/>
                <w:noProof/>
                <w:sz w:val="12"/>
                <w:szCs w:val="12"/>
                <w:lang w:val="fr-BE"/>
              </w:rPr>
              <w:t>Ogółem</w:t>
            </w:r>
          </w:p>
        </w:tc>
        <w:tc>
          <w:tcPr>
            <w:tcW w:w="0" w:type="auto"/>
            <w:shd w:val="clear" w:color="auto" w:fill="auto"/>
          </w:tcPr>
          <w:p w14:paraId="29C4E526" w14:textId="77777777" w:rsidR="008C5CFA" w:rsidRPr="00F53019" w:rsidRDefault="00E82A60"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14:paraId="01979EAD" w14:textId="77777777" w:rsidR="008C5CFA" w:rsidRPr="00F53019" w:rsidRDefault="00E82A60" w:rsidP="00300A01">
            <w:pPr>
              <w:spacing w:before="0" w:after="0"/>
              <w:jc w:val="center"/>
              <w:rPr>
                <w:b/>
                <w:sz w:val="12"/>
                <w:szCs w:val="12"/>
                <w:lang w:val="fr-BE"/>
              </w:rPr>
            </w:pPr>
            <w:r w:rsidRPr="00F53019">
              <w:rPr>
                <w:b/>
                <w:noProof/>
                <w:sz w:val="12"/>
                <w:szCs w:val="12"/>
                <w:lang w:val="fr-BE"/>
              </w:rPr>
              <w:t>Kobiety</w:t>
            </w:r>
          </w:p>
        </w:tc>
        <w:tc>
          <w:tcPr>
            <w:tcW w:w="0" w:type="auto"/>
            <w:shd w:val="clear" w:color="auto" w:fill="auto"/>
          </w:tcPr>
          <w:p w14:paraId="30AF0B58" w14:textId="77777777" w:rsidR="008C5CFA" w:rsidRPr="00F53019" w:rsidRDefault="00E82A60" w:rsidP="00300A01">
            <w:pPr>
              <w:spacing w:before="0" w:after="0"/>
              <w:jc w:val="center"/>
              <w:rPr>
                <w:b/>
                <w:sz w:val="12"/>
                <w:szCs w:val="12"/>
                <w:lang w:val="fr-BE"/>
              </w:rPr>
            </w:pPr>
            <w:r w:rsidRPr="00F53019">
              <w:rPr>
                <w:b/>
                <w:noProof/>
                <w:sz w:val="12"/>
                <w:szCs w:val="12"/>
                <w:lang w:val="fr-BE"/>
              </w:rPr>
              <w:t>Ogółem</w:t>
            </w:r>
          </w:p>
        </w:tc>
        <w:tc>
          <w:tcPr>
            <w:tcW w:w="0" w:type="auto"/>
            <w:shd w:val="clear" w:color="auto" w:fill="auto"/>
          </w:tcPr>
          <w:p w14:paraId="46530729" w14:textId="77777777" w:rsidR="008C5CFA" w:rsidRPr="00F53019" w:rsidRDefault="00E82A60"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14:paraId="7A468D37" w14:textId="77777777" w:rsidR="008C5CFA" w:rsidRPr="00F53019" w:rsidRDefault="00E82A60" w:rsidP="00300A01">
            <w:pPr>
              <w:spacing w:before="0" w:after="0"/>
              <w:jc w:val="center"/>
              <w:rPr>
                <w:b/>
                <w:sz w:val="12"/>
                <w:szCs w:val="12"/>
                <w:lang w:val="fr-BE"/>
              </w:rPr>
            </w:pPr>
            <w:r w:rsidRPr="00F53019">
              <w:rPr>
                <w:b/>
                <w:noProof/>
                <w:sz w:val="12"/>
                <w:szCs w:val="12"/>
                <w:lang w:val="fr-BE"/>
              </w:rPr>
              <w:t>Kobiety</w:t>
            </w:r>
          </w:p>
        </w:tc>
        <w:tc>
          <w:tcPr>
            <w:tcW w:w="0" w:type="auto"/>
            <w:shd w:val="clear" w:color="auto" w:fill="auto"/>
          </w:tcPr>
          <w:p w14:paraId="7FA46CEA" w14:textId="77777777" w:rsidR="008C5CFA" w:rsidRPr="00F53019" w:rsidRDefault="00E82A60" w:rsidP="00300A01">
            <w:pPr>
              <w:spacing w:before="0" w:after="0"/>
              <w:jc w:val="center"/>
              <w:rPr>
                <w:b/>
                <w:sz w:val="12"/>
                <w:szCs w:val="12"/>
                <w:lang w:val="fr-BE"/>
              </w:rPr>
            </w:pPr>
            <w:r w:rsidRPr="00F53019">
              <w:rPr>
                <w:b/>
                <w:noProof/>
                <w:sz w:val="12"/>
                <w:szCs w:val="12"/>
                <w:lang w:val="fr-BE"/>
              </w:rPr>
              <w:t>Ogółem</w:t>
            </w:r>
          </w:p>
        </w:tc>
        <w:tc>
          <w:tcPr>
            <w:tcW w:w="0" w:type="auto"/>
            <w:shd w:val="clear" w:color="auto" w:fill="auto"/>
          </w:tcPr>
          <w:p w14:paraId="61F3499D" w14:textId="77777777" w:rsidR="008C5CFA" w:rsidRPr="00F53019" w:rsidRDefault="00E82A60"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14:paraId="4D5BE892" w14:textId="77777777" w:rsidR="008C5CFA" w:rsidRPr="00F53019" w:rsidRDefault="00E82A60" w:rsidP="00300A01">
            <w:pPr>
              <w:spacing w:before="0" w:after="0"/>
              <w:jc w:val="center"/>
              <w:rPr>
                <w:b/>
                <w:sz w:val="12"/>
                <w:szCs w:val="12"/>
                <w:lang w:val="fr-BE"/>
              </w:rPr>
            </w:pPr>
            <w:r w:rsidRPr="00F53019">
              <w:rPr>
                <w:b/>
                <w:noProof/>
                <w:sz w:val="12"/>
                <w:szCs w:val="12"/>
                <w:lang w:val="fr-BE"/>
              </w:rPr>
              <w:t>Kobiety</w:t>
            </w:r>
          </w:p>
        </w:tc>
        <w:tc>
          <w:tcPr>
            <w:tcW w:w="0" w:type="auto"/>
            <w:shd w:val="clear" w:color="auto" w:fill="auto"/>
          </w:tcPr>
          <w:p w14:paraId="59F60F64" w14:textId="77777777" w:rsidR="008C5CFA" w:rsidRPr="00F53019" w:rsidRDefault="00E82A60"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14:paraId="4FB94DD0" w14:textId="77777777" w:rsidR="008C5CFA" w:rsidRPr="00F53019" w:rsidRDefault="00E82A60" w:rsidP="00300A01">
            <w:pPr>
              <w:spacing w:before="0" w:after="0"/>
              <w:jc w:val="center"/>
              <w:rPr>
                <w:b/>
                <w:sz w:val="12"/>
                <w:szCs w:val="12"/>
                <w:lang w:val="fr-BE"/>
              </w:rPr>
            </w:pPr>
            <w:r w:rsidRPr="00F53019">
              <w:rPr>
                <w:b/>
                <w:noProof/>
                <w:sz w:val="12"/>
                <w:szCs w:val="12"/>
                <w:lang w:val="fr-BE"/>
              </w:rPr>
              <w:t>Kobiety</w:t>
            </w:r>
          </w:p>
        </w:tc>
      </w:tr>
      <w:tr w:rsidR="006B2EC1" w14:paraId="5AF4AF92" w14:textId="77777777" w:rsidTr="0047688D">
        <w:tc>
          <w:tcPr>
            <w:tcW w:w="0" w:type="auto"/>
            <w:shd w:val="clear" w:color="auto" w:fill="auto"/>
          </w:tcPr>
          <w:p w14:paraId="5C7663DB" w14:textId="77777777" w:rsidR="008C5CFA" w:rsidRPr="00BA47B4" w:rsidRDefault="00E82A60" w:rsidP="00300A01">
            <w:pPr>
              <w:spacing w:before="0" w:after="0"/>
              <w:rPr>
                <w:sz w:val="12"/>
                <w:szCs w:val="12"/>
                <w:lang w:val="fr-BE"/>
              </w:rPr>
            </w:pPr>
            <w:r w:rsidRPr="00BA47B4">
              <w:rPr>
                <w:noProof/>
                <w:sz w:val="12"/>
                <w:szCs w:val="12"/>
                <w:lang w:val="fr-BE"/>
              </w:rPr>
              <w:t>CR01</w:t>
            </w:r>
          </w:p>
        </w:tc>
        <w:tc>
          <w:tcPr>
            <w:tcW w:w="0" w:type="auto"/>
            <w:shd w:val="clear" w:color="auto" w:fill="auto"/>
          </w:tcPr>
          <w:p w14:paraId="44E1AE03" w14:textId="77777777" w:rsidR="008C5CFA" w:rsidRPr="00BA47B4" w:rsidRDefault="00E82A60" w:rsidP="00300A01">
            <w:pPr>
              <w:spacing w:before="0" w:after="0"/>
              <w:rPr>
                <w:sz w:val="12"/>
                <w:szCs w:val="12"/>
                <w:lang w:val="fr-BE"/>
              </w:rPr>
            </w:pPr>
            <w:r w:rsidRPr="00BA47B4">
              <w:rPr>
                <w:noProof/>
                <w:sz w:val="12"/>
                <w:szCs w:val="12"/>
                <w:lang w:val="fr-BE"/>
              </w:rPr>
              <w:t>bierni zawodowo uczestnicy poszukujący pracy po opuszczeniu programu</w:t>
            </w:r>
          </w:p>
        </w:tc>
        <w:tc>
          <w:tcPr>
            <w:tcW w:w="0" w:type="auto"/>
            <w:shd w:val="clear" w:color="auto" w:fill="auto"/>
          </w:tcPr>
          <w:p w14:paraId="20DD80AF" w14:textId="77777777" w:rsidR="008C5CFA" w:rsidRPr="00BA47B4" w:rsidRDefault="00E82A60" w:rsidP="00300A01">
            <w:pPr>
              <w:spacing w:before="0" w:after="0"/>
              <w:rPr>
                <w:sz w:val="12"/>
                <w:szCs w:val="12"/>
                <w:lang w:val="fr-BE"/>
              </w:rPr>
            </w:pPr>
            <w:r w:rsidRPr="00BA47B4">
              <w:rPr>
                <w:noProof/>
                <w:sz w:val="12"/>
                <w:szCs w:val="12"/>
                <w:lang w:val="fr-BE"/>
              </w:rPr>
              <w:t>Słabiej rozwinięte</w:t>
            </w:r>
          </w:p>
        </w:tc>
        <w:tc>
          <w:tcPr>
            <w:tcW w:w="0" w:type="auto"/>
            <w:shd w:val="clear" w:color="auto" w:fill="auto"/>
          </w:tcPr>
          <w:p w14:paraId="6C9E7A03" w14:textId="77777777" w:rsidR="008C5CFA" w:rsidRPr="00BA47B4" w:rsidRDefault="00E82A60" w:rsidP="00300A01">
            <w:pPr>
              <w:spacing w:before="0" w:after="0"/>
              <w:rPr>
                <w:sz w:val="12"/>
                <w:szCs w:val="12"/>
                <w:lang w:val="fr-BE"/>
              </w:rPr>
            </w:pPr>
            <w:r w:rsidRPr="00BA47B4">
              <w:rPr>
                <w:sz w:val="12"/>
                <w:szCs w:val="12"/>
                <w:lang w:val="fr-BE"/>
              </w:rPr>
              <w:t xml:space="preserve"> </w:t>
            </w:r>
          </w:p>
        </w:tc>
        <w:tc>
          <w:tcPr>
            <w:tcW w:w="0" w:type="auto"/>
            <w:shd w:val="clear" w:color="auto" w:fill="auto"/>
          </w:tcPr>
          <w:p w14:paraId="16BBA706" w14:textId="77777777" w:rsidR="008C5CFA" w:rsidRPr="00BA47B4" w:rsidRDefault="008C5CFA" w:rsidP="00300A01">
            <w:pPr>
              <w:spacing w:before="0" w:after="0"/>
              <w:jc w:val="center"/>
              <w:rPr>
                <w:sz w:val="12"/>
                <w:szCs w:val="12"/>
                <w:lang w:val="fr-BE"/>
              </w:rPr>
            </w:pPr>
          </w:p>
        </w:tc>
        <w:tc>
          <w:tcPr>
            <w:tcW w:w="0" w:type="auto"/>
            <w:shd w:val="clear" w:color="auto" w:fill="auto"/>
          </w:tcPr>
          <w:p w14:paraId="3803543E" w14:textId="77777777" w:rsidR="008C5CFA" w:rsidRPr="00BA47B4" w:rsidRDefault="008C5CFA" w:rsidP="00300A01">
            <w:pPr>
              <w:spacing w:before="0" w:after="0"/>
              <w:jc w:val="right"/>
              <w:rPr>
                <w:sz w:val="12"/>
                <w:szCs w:val="12"/>
                <w:lang w:val="fr-BE"/>
              </w:rPr>
            </w:pPr>
          </w:p>
        </w:tc>
        <w:tc>
          <w:tcPr>
            <w:tcW w:w="0" w:type="auto"/>
            <w:shd w:val="clear" w:color="auto" w:fill="auto"/>
          </w:tcPr>
          <w:p w14:paraId="72C397CD" w14:textId="77777777" w:rsidR="008C5CFA" w:rsidRPr="00BA47B4" w:rsidRDefault="008C5CFA" w:rsidP="00300A01">
            <w:pPr>
              <w:spacing w:before="0" w:after="0"/>
              <w:jc w:val="right"/>
              <w:rPr>
                <w:sz w:val="12"/>
                <w:szCs w:val="12"/>
                <w:lang w:val="fr-BE"/>
              </w:rPr>
            </w:pPr>
          </w:p>
        </w:tc>
        <w:tc>
          <w:tcPr>
            <w:tcW w:w="0" w:type="auto"/>
            <w:shd w:val="clear" w:color="auto" w:fill="auto"/>
          </w:tcPr>
          <w:p w14:paraId="54A38609" w14:textId="77777777" w:rsidR="008C5CFA" w:rsidRPr="00BA47B4" w:rsidRDefault="008C5CFA" w:rsidP="00300A01">
            <w:pPr>
              <w:spacing w:before="0" w:after="0"/>
              <w:jc w:val="right"/>
              <w:rPr>
                <w:sz w:val="12"/>
                <w:szCs w:val="12"/>
                <w:lang w:val="fr-BE"/>
              </w:rPr>
            </w:pPr>
          </w:p>
        </w:tc>
        <w:tc>
          <w:tcPr>
            <w:tcW w:w="0" w:type="auto"/>
            <w:shd w:val="clear" w:color="auto" w:fill="auto"/>
          </w:tcPr>
          <w:p w14:paraId="2059FD22"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3750D07A"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325AAAF8"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5B5DACFB" w14:textId="77777777" w:rsidR="008C5CFA" w:rsidRPr="00BA47B4" w:rsidRDefault="008C5CFA" w:rsidP="00300A01">
            <w:pPr>
              <w:spacing w:before="0" w:after="0"/>
              <w:jc w:val="right"/>
              <w:rPr>
                <w:sz w:val="12"/>
                <w:szCs w:val="12"/>
                <w:lang w:val="fr-BE"/>
              </w:rPr>
            </w:pPr>
          </w:p>
        </w:tc>
        <w:tc>
          <w:tcPr>
            <w:tcW w:w="0" w:type="auto"/>
            <w:shd w:val="clear" w:color="auto" w:fill="auto"/>
          </w:tcPr>
          <w:p w14:paraId="33C1FE90" w14:textId="77777777" w:rsidR="008C5CFA" w:rsidRPr="00BA47B4" w:rsidRDefault="008C5CFA" w:rsidP="00300A01">
            <w:pPr>
              <w:spacing w:before="0" w:after="0"/>
              <w:jc w:val="right"/>
              <w:rPr>
                <w:sz w:val="12"/>
                <w:szCs w:val="12"/>
                <w:lang w:val="fr-BE"/>
              </w:rPr>
            </w:pPr>
          </w:p>
        </w:tc>
        <w:tc>
          <w:tcPr>
            <w:tcW w:w="0" w:type="auto"/>
            <w:shd w:val="clear" w:color="auto" w:fill="auto"/>
          </w:tcPr>
          <w:p w14:paraId="344FAAF0" w14:textId="77777777" w:rsidR="008C5CFA" w:rsidRPr="00BA47B4" w:rsidRDefault="008C5CFA" w:rsidP="00300A01">
            <w:pPr>
              <w:spacing w:before="0" w:after="0"/>
              <w:jc w:val="right"/>
              <w:rPr>
                <w:sz w:val="12"/>
                <w:szCs w:val="12"/>
                <w:lang w:val="fr-BE"/>
              </w:rPr>
            </w:pPr>
          </w:p>
        </w:tc>
        <w:tc>
          <w:tcPr>
            <w:tcW w:w="0" w:type="auto"/>
            <w:shd w:val="clear" w:color="auto" w:fill="auto"/>
          </w:tcPr>
          <w:p w14:paraId="6F5D7DBF"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70ADE9F1"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r>
      <w:tr w:rsidR="006B2EC1" w14:paraId="6CC8BCAC" w14:textId="77777777" w:rsidTr="0047688D">
        <w:tc>
          <w:tcPr>
            <w:tcW w:w="0" w:type="auto"/>
            <w:shd w:val="clear" w:color="auto" w:fill="auto"/>
          </w:tcPr>
          <w:p w14:paraId="780058F7" w14:textId="77777777" w:rsidR="008C5CFA" w:rsidRPr="00BA47B4" w:rsidRDefault="00E82A60" w:rsidP="00300A01">
            <w:pPr>
              <w:spacing w:before="0" w:after="0"/>
              <w:rPr>
                <w:sz w:val="12"/>
                <w:szCs w:val="12"/>
                <w:lang w:val="fr-BE"/>
              </w:rPr>
            </w:pPr>
            <w:r w:rsidRPr="00BA47B4">
              <w:rPr>
                <w:noProof/>
                <w:sz w:val="12"/>
                <w:szCs w:val="12"/>
                <w:lang w:val="fr-BE"/>
              </w:rPr>
              <w:t>CR02</w:t>
            </w:r>
          </w:p>
        </w:tc>
        <w:tc>
          <w:tcPr>
            <w:tcW w:w="0" w:type="auto"/>
            <w:shd w:val="clear" w:color="auto" w:fill="auto"/>
          </w:tcPr>
          <w:p w14:paraId="4061EF45" w14:textId="77777777" w:rsidR="008C5CFA" w:rsidRPr="00BA47B4" w:rsidRDefault="00E82A60" w:rsidP="00300A01">
            <w:pPr>
              <w:spacing w:before="0" w:after="0"/>
              <w:rPr>
                <w:sz w:val="12"/>
                <w:szCs w:val="12"/>
                <w:lang w:val="fr-BE"/>
              </w:rPr>
            </w:pPr>
            <w:r w:rsidRPr="00BA47B4">
              <w:rPr>
                <w:noProof/>
                <w:sz w:val="12"/>
                <w:szCs w:val="12"/>
                <w:lang w:val="fr-BE"/>
              </w:rPr>
              <w:t>uczestnicy kształcący lub szkolący się po opuszczeniu programu</w:t>
            </w:r>
          </w:p>
        </w:tc>
        <w:tc>
          <w:tcPr>
            <w:tcW w:w="0" w:type="auto"/>
            <w:shd w:val="clear" w:color="auto" w:fill="auto"/>
          </w:tcPr>
          <w:p w14:paraId="08250781" w14:textId="77777777" w:rsidR="008C5CFA" w:rsidRPr="00BA47B4" w:rsidRDefault="00E82A60" w:rsidP="00300A01">
            <w:pPr>
              <w:spacing w:before="0" w:after="0"/>
              <w:rPr>
                <w:sz w:val="12"/>
                <w:szCs w:val="12"/>
                <w:lang w:val="fr-BE"/>
              </w:rPr>
            </w:pPr>
            <w:r w:rsidRPr="00BA47B4">
              <w:rPr>
                <w:noProof/>
                <w:sz w:val="12"/>
                <w:szCs w:val="12"/>
                <w:lang w:val="fr-BE"/>
              </w:rPr>
              <w:t>Słabiej rozwinięte</w:t>
            </w:r>
          </w:p>
        </w:tc>
        <w:tc>
          <w:tcPr>
            <w:tcW w:w="0" w:type="auto"/>
            <w:shd w:val="clear" w:color="auto" w:fill="auto"/>
          </w:tcPr>
          <w:p w14:paraId="0F9DA6C0" w14:textId="77777777" w:rsidR="008C5CFA" w:rsidRPr="00BA47B4" w:rsidRDefault="00E82A60" w:rsidP="00300A01">
            <w:pPr>
              <w:spacing w:before="0" w:after="0"/>
              <w:rPr>
                <w:sz w:val="12"/>
                <w:szCs w:val="12"/>
                <w:lang w:val="fr-BE"/>
              </w:rPr>
            </w:pPr>
            <w:r w:rsidRPr="00BA47B4">
              <w:rPr>
                <w:sz w:val="12"/>
                <w:szCs w:val="12"/>
                <w:lang w:val="fr-BE"/>
              </w:rPr>
              <w:t xml:space="preserve"> </w:t>
            </w:r>
          </w:p>
        </w:tc>
        <w:tc>
          <w:tcPr>
            <w:tcW w:w="0" w:type="auto"/>
            <w:shd w:val="clear" w:color="auto" w:fill="auto"/>
          </w:tcPr>
          <w:p w14:paraId="2E12C0C9" w14:textId="77777777" w:rsidR="008C5CFA" w:rsidRPr="00BA47B4" w:rsidRDefault="008C5CFA" w:rsidP="00300A01">
            <w:pPr>
              <w:spacing w:before="0" w:after="0"/>
              <w:jc w:val="center"/>
              <w:rPr>
                <w:sz w:val="12"/>
                <w:szCs w:val="12"/>
                <w:lang w:val="fr-BE"/>
              </w:rPr>
            </w:pPr>
          </w:p>
        </w:tc>
        <w:tc>
          <w:tcPr>
            <w:tcW w:w="0" w:type="auto"/>
            <w:shd w:val="clear" w:color="auto" w:fill="auto"/>
          </w:tcPr>
          <w:p w14:paraId="207A98DE" w14:textId="77777777" w:rsidR="008C5CFA" w:rsidRPr="00BA47B4" w:rsidRDefault="008C5CFA" w:rsidP="00300A01">
            <w:pPr>
              <w:spacing w:before="0" w:after="0"/>
              <w:jc w:val="right"/>
              <w:rPr>
                <w:sz w:val="12"/>
                <w:szCs w:val="12"/>
                <w:lang w:val="fr-BE"/>
              </w:rPr>
            </w:pPr>
          </w:p>
        </w:tc>
        <w:tc>
          <w:tcPr>
            <w:tcW w:w="0" w:type="auto"/>
            <w:shd w:val="clear" w:color="auto" w:fill="auto"/>
          </w:tcPr>
          <w:p w14:paraId="1A4738D2" w14:textId="77777777" w:rsidR="008C5CFA" w:rsidRPr="00BA47B4" w:rsidRDefault="008C5CFA" w:rsidP="00300A01">
            <w:pPr>
              <w:spacing w:before="0" w:after="0"/>
              <w:jc w:val="right"/>
              <w:rPr>
                <w:sz w:val="12"/>
                <w:szCs w:val="12"/>
                <w:lang w:val="fr-BE"/>
              </w:rPr>
            </w:pPr>
          </w:p>
        </w:tc>
        <w:tc>
          <w:tcPr>
            <w:tcW w:w="0" w:type="auto"/>
            <w:shd w:val="clear" w:color="auto" w:fill="auto"/>
          </w:tcPr>
          <w:p w14:paraId="395B7E4C" w14:textId="77777777" w:rsidR="008C5CFA" w:rsidRPr="00BA47B4" w:rsidRDefault="008C5CFA" w:rsidP="00300A01">
            <w:pPr>
              <w:spacing w:before="0" w:after="0"/>
              <w:jc w:val="right"/>
              <w:rPr>
                <w:sz w:val="12"/>
                <w:szCs w:val="12"/>
                <w:lang w:val="fr-BE"/>
              </w:rPr>
            </w:pPr>
          </w:p>
        </w:tc>
        <w:tc>
          <w:tcPr>
            <w:tcW w:w="0" w:type="auto"/>
            <w:shd w:val="clear" w:color="auto" w:fill="auto"/>
          </w:tcPr>
          <w:p w14:paraId="0608F152"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201E83C0"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4DB10FA0"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1CB153C7" w14:textId="77777777" w:rsidR="008C5CFA" w:rsidRPr="00BA47B4" w:rsidRDefault="008C5CFA" w:rsidP="00300A01">
            <w:pPr>
              <w:spacing w:before="0" w:after="0"/>
              <w:jc w:val="right"/>
              <w:rPr>
                <w:sz w:val="12"/>
                <w:szCs w:val="12"/>
                <w:lang w:val="fr-BE"/>
              </w:rPr>
            </w:pPr>
          </w:p>
        </w:tc>
        <w:tc>
          <w:tcPr>
            <w:tcW w:w="0" w:type="auto"/>
            <w:shd w:val="clear" w:color="auto" w:fill="auto"/>
          </w:tcPr>
          <w:p w14:paraId="59E7CD49" w14:textId="77777777" w:rsidR="008C5CFA" w:rsidRPr="00BA47B4" w:rsidRDefault="008C5CFA" w:rsidP="00300A01">
            <w:pPr>
              <w:spacing w:before="0" w:after="0"/>
              <w:jc w:val="right"/>
              <w:rPr>
                <w:sz w:val="12"/>
                <w:szCs w:val="12"/>
                <w:lang w:val="fr-BE"/>
              </w:rPr>
            </w:pPr>
          </w:p>
        </w:tc>
        <w:tc>
          <w:tcPr>
            <w:tcW w:w="0" w:type="auto"/>
            <w:shd w:val="clear" w:color="auto" w:fill="auto"/>
          </w:tcPr>
          <w:p w14:paraId="2CBB5B1D" w14:textId="77777777" w:rsidR="008C5CFA" w:rsidRPr="00BA47B4" w:rsidRDefault="008C5CFA" w:rsidP="00300A01">
            <w:pPr>
              <w:spacing w:before="0" w:after="0"/>
              <w:jc w:val="right"/>
              <w:rPr>
                <w:sz w:val="12"/>
                <w:szCs w:val="12"/>
                <w:lang w:val="fr-BE"/>
              </w:rPr>
            </w:pPr>
          </w:p>
        </w:tc>
        <w:tc>
          <w:tcPr>
            <w:tcW w:w="0" w:type="auto"/>
            <w:shd w:val="clear" w:color="auto" w:fill="auto"/>
          </w:tcPr>
          <w:p w14:paraId="2AA32919"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506C7B73"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r>
      <w:tr w:rsidR="006B2EC1" w14:paraId="4BCFA5CE" w14:textId="77777777" w:rsidTr="0047688D">
        <w:tc>
          <w:tcPr>
            <w:tcW w:w="0" w:type="auto"/>
            <w:shd w:val="clear" w:color="auto" w:fill="auto"/>
          </w:tcPr>
          <w:p w14:paraId="6BFB00C7" w14:textId="77777777" w:rsidR="008C5CFA" w:rsidRPr="00BA47B4" w:rsidRDefault="00E82A60" w:rsidP="00300A01">
            <w:pPr>
              <w:spacing w:before="0" w:after="0"/>
              <w:rPr>
                <w:sz w:val="12"/>
                <w:szCs w:val="12"/>
                <w:lang w:val="fr-BE"/>
              </w:rPr>
            </w:pPr>
            <w:r w:rsidRPr="00BA47B4">
              <w:rPr>
                <w:noProof/>
                <w:sz w:val="12"/>
                <w:szCs w:val="12"/>
                <w:lang w:val="fr-BE"/>
              </w:rPr>
              <w:t>CR03</w:t>
            </w:r>
          </w:p>
        </w:tc>
        <w:tc>
          <w:tcPr>
            <w:tcW w:w="0" w:type="auto"/>
            <w:shd w:val="clear" w:color="auto" w:fill="auto"/>
          </w:tcPr>
          <w:p w14:paraId="1759BA85" w14:textId="77777777" w:rsidR="008C5CFA" w:rsidRPr="00BA47B4" w:rsidRDefault="00E82A60" w:rsidP="00300A01">
            <w:pPr>
              <w:spacing w:before="0" w:after="0"/>
              <w:rPr>
                <w:sz w:val="12"/>
                <w:szCs w:val="12"/>
                <w:lang w:val="fr-BE"/>
              </w:rPr>
            </w:pPr>
            <w:r w:rsidRPr="00BA47B4">
              <w:rPr>
                <w:noProof/>
                <w:sz w:val="12"/>
                <w:szCs w:val="12"/>
                <w:lang w:val="fr-BE"/>
              </w:rPr>
              <w:t>uczestnicy uzyskujący kwalifikacje po opuszczeniu programu</w:t>
            </w:r>
          </w:p>
        </w:tc>
        <w:tc>
          <w:tcPr>
            <w:tcW w:w="0" w:type="auto"/>
            <w:shd w:val="clear" w:color="auto" w:fill="auto"/>
          </w:tcPr>
          <w:p w14:paraId="68554D44" w14:textId="77777777" w:rsidR="008C5CFA" w:rsidRPr="00BA47B4" w:rsidRDefault="00E82A60" w:rsidP="00300A01">
            <w:pPr>
              <w:spacing w:before="0" w:after="0"/>
              <w:rPr>
                <w:sz w:val="12"/>
                <w:szCs w:val="12"/>
                <w:lang w:val="fr-BE"/>
              </w:rPr>
            </w:pPr>
            <w:r w:rsidRPr="00BA47B4">
              <w:rPr>
                <w:noProof/>
                <w:sz w:val="12"/>
                <w:szCs w:val="12"/>
                <w:lang w:val="fr-BE"/>
              </w:rPr>
              <w:t>Słabiej rozwinięte</w:t>
            </w:r>
          </w:p>
        </w:tc>
        <w:tc>
          <w:tcPr>
            <w:tcW w:w="0" w:type="auto"/>
            <w:shd w:val="clear" w:color="auto" w:fill="auto"/>
          </w:tcPr>
          <w:p w14:paraId="2B821873" w14:textId="77777777" w:rsidR="008C5CFA" w:rsidRPr="00BA47B4" w:rsidRDefault="00E82A60" w:rsidP="00300A01">
            <w:pPr>
              <w:spacing w:before="0" w:after="0"/>
              <w:rPr>
                <w:sz w:val="12"/>
                <w:szCs w:val="12"/>
                <w:lang w:val="fr-BE"/>
              </w:rPr>
            </w:pPr>
            <w:r w:rsidRPr="00BA47B4">
              <w:rPr>
                <w:sz w:val="12"/>
                <w:szCs w:val="12"/>
                <w:lang w:val="fr-BE"/>
              </w:rPr>
              <w:t xml:space="preserve"> </w:t>
            </w:r>
          </w:p>
        </w:tc>
        <w:tc>
          <w:tcPr>
            <w:tcW w:w="0" w:type="auto"/>
            <w:shd w:val="clear" w:color="auto" w:fill="auto"/>
          </w:tcPr>
          <w:p w14:paraId="38F0B916" w14:textId="77777777" w:rsidR="008C5CFA" w:rsidRPr="00BA47B4" w:rsidRDefault="008C5CFA" w:rsidP="00300A01">
            <w:pPr>
              <w:spacing w:before="0" w:after="0"/>
              <w:jc w:val="center"/>
              <w:rPr>
                <w:sz w:val="12"/>
                <w:szCs w:val="12"/>
                <w:lang w:val="fr-BE"/>
              </w:rPr>
            </w:pPr>
          </w:p>
        </w:tc>
        <w:tc>
          <w:tcPr>
            <w:tcW w:w="0" w:type="auto"/>
            <w:shd w:val="clear" w:color="auto" w:fill="auto"/>
          </w:tcPr>
          <w:p w14:paraId="05F95B82" w14:textId="77777777" w:rsidR="008C5CFA" w:rsidRPr="00BA47B4" w:rsidRDefault="008C5CFA" w:rsidP="00300A01">
            <w:pPr>
              <w:spacing w:before="0" w:after="0"/>
              <w:jc w:val="right"/>
              <w:rPr>
                <w:sz w:val="12"/>
                <w:szCs w:val="12"/>
                <w:lang w:val="fr-BE"/>
              </w:rPr>
            </w:pPr>
          </w:p>
        </w:tc>
        <w:tc>
          <w:tcPr>
            <w:tcW w:w="0" w:type="auto"/>
            <w:shd w:val="clear" w:color="auto" w:fill="auto"/>
          </w:tcPr>
          <w:p w14:paraId="4A384DE3" w14:textId="77777777" w:rsidR="008C5CFA" w:rsidRPr="00BA47B4" w:rsidRDefault="008C5CFA" w:rsidP="00300A01">
            <w:pPr>
              <w:spacing w:before="0" w:after="0"/>
              <w:jc w:val="right"/>
              <w:rPr>
                <w:sz w:val="12"/>
                <w:szCs w:val="12"/>
                <w:lang w:val="fr-BE"/>
              </w:rPr>
            </w:pPr>
          </w:p>
        </w:tc>
        <w:tc>
          <w:tcPr>
            <w:tcW w:w="0" w:type="auto"/>
            <w:shd w:val="clear" w:color="auto" w:fill="auto"/>
          </w:tcPr>
          <w:p w14:paraId="6D10D820" w14:textId="77777777" w:rsidR="008C5CFA" w:rsidRPr="00BA47B4" w:rsidRDefault="008C5CFA" w:rsidP="00300A01">
            <w:pPr>
              <w:spacing w:before="0" w:after="0"/>
              <w:jc w:val="right"/>
              <w:rPr>
                <w:sz w:val="12"/>
                <w:szCs w:val="12"/>
                <w:lang w:val="fr-BE"/>
              </w:rPr>
            </w:pPr>
          </w:p>
        </w:tc>
        <w:tc>
          <w:tcPr>
            <w:tcW w:w="0" w:type="auto"/>
            <w:shd w:val="clear" w:color="auto" w:fill="auto"/>
          </w:tcPr>
          <w:p w14:paraId="3A403B96"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4D3ABBFD"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614AB239"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09A42255" w14:textId="77777777" w:rsidR="008C5CFA" w:rsidRPr="00BA47B4" w:rsidRDefault="008C5CFA" w:rsidP="00300A01">
            <w:pPr>
              <w:spacing w:before="0" w:after="0"/>
              <w:jc w:val="right"/>
              <w:rPr>
                <w:sz w:val="12"/>
                <w:szCs w:val="12"/>
                <w:lang w:val="fr-BE"/>
              </w:rPr>
            </w:pPr>
          </w:p>
        </w:tc>
        <w:tc>
          <w:tcPr>
            <w:tcW w:w="0" w:type="auto"/>
            <w:shd w:val="clear" w:color="auto" w:fill="auto"/>
          </w:tcPr>
          <w:p w14:paraId="78C5C063" w14:textId="77777777" w:rsidR="008C5CFA" w:rsidRPr="00BA47B4" w:rsidRDefault="008C5CFA" w:rsidP="00300A01">
            <w:pPr>
              <w:spacing w:before="0" w:after="0"/>
              <w:jc w:val="right"/>
              <w:rPr>
                <w:sz w:val="12"/>
                <w:szCs w:val="12"/>
                <w:lang w:val="fr-BE"/>
              </w:rPr>
            </w:pPr>
          </w:p>
        </w:tc>
        <w:tc>
          <w:tcPr>
            <w:tcW w:w="0" w:type="auto"/>
            <w:shd w:val="clear" w:color="auto" w:fill="auto"/>
          </w:tcPr>
          <w:p w14:paraId="557287EE" w14:textId="77777777" w:rsidR="008C5CFA" w:rsidRPr="00BA47B4" w:rsidRDefault="008C5CFA" w:rsidP="00300A01">
            <w:pPr>
              <w:spacing w:before="0" w:after="0"/>
              <w:jc w:val="right"/>
              <w:rPr>
                <w:sz w:val="12"/>
                <w:szCs w:val="12"/>
                <w:lang w:val="fr-BE"/>
              </w:rPr>
            </w:pPr>
          </w:p>
        </w:tc>
        <w:tc>
          <w:tcPr>
            <w:tcW w:w="0" w:type="auto"/>
            <w:shd w:val="clear" w:color="auto" w:fill="auto"/>
          </w:tcPr>
          <w:p w14:paraId="25D599F1"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0E7F7C49"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r>
      <w:tr w:rsidR="006B2EC1" w14:paraId="6F6DCCDE" w14:textId="77777777" w:rsidTr="0047688D">
        <w:tc>
          <w:tcPr>
            <w:tcW w:w="0" w:type="auto"/>
            <w:shd w:val="clear" w:color="auto" w:fill="auto"/>
          </w:tcPr>
          <w:p w14:paraId="7818ACE5" w14:textId="77777777" w:rsidR="008C5CFA" w:rsidRPr="00BA47B4" w:rsidRDefault="00E82A60" w:rsidP="00300A01">
            <w:pPr>
              <w:spacing w:before="0" w:after="0"/>
              <w:rPr>
                <w:sz w:val="12"/>
                <w:szCs w:val="12"/>
                <w:lang w:val="fr-BE"/>
              </w:rPr>
            </w:pPr>
            <w:r w:rsidRPr="00BA47B4">
              <w:rPr>
                <w:noProof/>
                <w:sz w:val="12"/>
                <w:szCs w:val="12"/>
                <w:lang w:val="fr-BE"/>
              </w:rPr>
              <w:t>CR04</w:t>
            </w:r>
          </w:p>
        </w:tc>
        <w:tc>
          <w:tcPr>
            <w:tcW w:w="0" w:type="auto"/>
            <w:shd w:val="clear" w:color="auto" w:fill="auto"/>
          </w:tcPr>
          <w:p w14:paraId="65ADBDF5" w14:textId="77777777" w:rsidR="008C5CFA" w:rsidRPr="00BA47B4" w:rsidRDefault="00E82A60" w:rsidP="00300A01">
            <w:pPr>
              <w:spacing w:before="0" w:after="0"/>
              <w:rPr>
                <w:sz w:val="12"/>
                <w:szCs w:val="12"/>
                <w:lang w:val="fr-BE"/>
              </w:rPr>
            </w:pPr>
            <w:r w:rsidRPr="00BA47B4">
              <w:rPr>
                <w:noProof/>
                <w:sz w:val="12"/>
                <w:szCs w:val="12"/>
                <w:lang w:val="fr-BE"/>
              </w:rPr>
              <w:t>uczestnicy pracujący, łącznie z prowadzącymi działalność na własny rachunek, po opuszczeniu programu</w:t>
            </w:r>
          </w:p>
        </w:tc>
        <w:tc>
          <w:tcPr>
            <w:tcW w:w="0" w:type="auto"/>
            <w:shd w:val="clear" w:color="auto" w:fill="auto"/>
          </w:tcPr>
          <w:p w14:paraId="555D4814" w14:textId="77777777" w:rsidR="008C5CFA" w:rsidRPr="00BA47B4" w:rsidRDefault="00E82A60" w:rsidP="00300A01">
            <w:pPr>
              <w:spacing w:before="0" w:after="0"/>
              <w:rPr>
                <w:sz w:val="12"/>
                <w:szCs w:val="12"/>
                <w:lang w:val="fr-BE"/>
              </w:rPr>
            </w:pPr>
            <w:r w:rsidRPr="00BA47B4">
              <w:rPr>
                <w:noProof/>
                <w:sz w:val="12"/>
                <w:szCs w:val="12"/>
                <w:lang w:val="fr-BE"/>
              </w:rPr>
              <w:t>Słabiej rozwinięte</w:t>
            </w:r>
          </w:p>
        </w:tc>
        <w:tc>
          <w:tcPr>
            <w:tcW w:w="0" w:type="auto"/>
            <w:shd w:val="clear" w:color="auto" w:fill="auto"/>
          </w:tcPr>
          <w:p w14:paraId="76A30C91" w14:textId="77777777" w:rsidR="008C5CFA" w:rsidRPr="00BA47B4" w:rsidRDefault="00E82A60" w:rsidP="00300A01">
            <w:pPr>
              <w:spacing w:before="0" w:after="0"/>
              <w:rPr>
                <w:sz w:val="12"/>
                <w:szCs w:val="12"/>
                <w:lang w:val="fr-BE"/>
              </w:rPr>
            </w:pPr>
            <w:r w:rsidRPr="00BA47B4">
              <w:rPr>
                <w:sz w:val="12"/>
                <w:szCs w:val="12"/>
                <w:lang w:val="fr-BE"/>
              </w:rPr>
              <w:t xml:space="preserve"> </w:t>
            </w:r>
          </w:p>
        </w:tc>
        <w:tc>
          <w:tcPr>
            <w:tcW w:w="0" w:type="auto"/>
            <w:shd w:val="clear" w:color="auto" w:fill="auto"/>
          </w:tcPr>
          <w:p w14:paraId="682606B1" w14:textId="77777777" w:rsidR="008C5CFA" w:rsidRPr="00BA47B4" w:rsidRDefault="008C5CFA" w:rsidP="00300A01">
            <w:pPr>
              <w:spacing w:before="0" w:after="0"/>
              <w:jc w:val="center"/>
              <w:rPr>
                <w:sz w:val="12"/>
                <w:szCs w:val="12"/>
                <w:lang w:val="fr-BE"/>
              </w:rPr>
            </w:pPr>
          </w:p>
        </w:tc>
        <w:tc>
          <w:tcPr>
            <w:tcW w:w="0" w:type="auto"/>
            <w:shd w:val="clear" w:color="auto" w:fill="auto"/>
          </w:tcPr>
          <w:p w14:paraId="15DBA36C" w14:textId="77777777" w:rsidR="008C5CFA" w:rsidRPr="00BA47B4" w:rsidRDefault="008C5CFA" w:rsidP="00300A01">
            <w:pPr>
              <w:spacing w:before="0" w:after="0"/>
              <w:jc w:val="right"/>
              <w:rPr>
                <w:sz w:val="12"/>
                <w:szCs w:val="12"/>
                <w:lang w:val="fr-BE"/>
              </w:rPr>
            </w:pPr>
          </w:p>
        </w:tc>
        <w:tc>
          <w:tcPr>
            <w:tcW w:w="0" w:type="auto"/>
            <w:shd w:val="clear" w:color="auto" w:fill="auto"/>
          </w:tcPr>
          <w:p w14:paraId="26192806" w14:textId="77777777" w:rsidR="008C5CFA" w:rsidRPr="00BA47B4" w:rsidRDefault="008C5CFA" w:rsidP="00300A01">
            <w:pPr>
              <w:spacing w:before="0" w:after="0"/>
              <w:jc w:val="right"/>
              <w:rPr>
                <w:sz w:val="12"/>
                <w:szCs w:val="12"/>
                <w:lang w:val="fr-BE"/>
              </w:rPr>
            </w:pPr>
          </w:p>
        </w:tc>
        <w:tc>
          <w:tcPr>
            <w:tcW w:w="0" w:type="auto"/>
            <w:shd w:val="clear" w:color="auto" w:fill="auto"/>
          </w:tcPr>
          <w:p w14:paraId="2E213417" w14:textId="77777777" w:rsidR="008C5CFA" w:rsidRPr="00BA47B4" w:rsidRDefault="008C5CFA" w:rsidP="00300A01">
            <w:pPr>
              <w:spacing w:before="0" w:after="0"/>
              <w:jc w:val="right"/>
              <w:rPr>
                <w:sz w:val="12"/>
                <w:szCs w:val="12"/>
                <w:lang w:val="fr-BE"/>
              </w:rPr>
            </w:pPr>
          </w:p>
        </w:tc>
        <w:tc>
          <w:tcPr>
            <w:tcW w:w="0" w:type="auto"/>
            <w:shd w:val="clear" w:color="auto" w:fill="auto"/>
          </w:tcPr>
          <w:p w14:paraId="4AD81BE3"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5FB2C2E2"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67EB35C3"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457A55A1" w14:textId="77777777" w:rsidR="008C5CFA" w:rsidRPr="00BA47B4" w:rsidRDefault="008C5CFA" w:rsidP="00300A01">
            <w:pPr>
              <w:spacing w:before="0" w:after="0"/>
              <w:jc w:val="right"/>
              <w:rPr>
                <w:sz w:val="12"/>
                <w:szCs w:val="12"/>
                <w:lang w:val="fr-BE"/>
              </w:rPr>
            </w:pPr>
          </w:p>
        </w:tc>
        <w:tc>
          <w:tcPr>
            <w:tcW w:w="0" w:type="auto"/>
            <w:shd w:val="clear" w:color="auto" w:fill="auto"/>
          </w:tcPr>
          <w:p w14:paraId="0133C886" w14:textId="77777777" w:rsidR="008C5CFA" w:rsidRPr="00BA47B4" w:rsidRDefault="008C5CFA" w:rsidP="00300A01">
            <w:pPr>
              <w:spacing w:before="0" w:after="0"/>
              <w:jc w:val="right"/>
              <w:rPr>
                <w:sz w:val="12"/>
                <w:szCs w:val="12"/>
                <w:lang w:val="fr-BE"/>
              </w:rPr>
            </w:pPr>
          </w:p>
        </w:tc>
        <w:tc>
          <w:tcPr>
            <w:tcW w:w="0" w:type="auto"/>
            <w:shd w:val="clear" w:color="auto" w:fill="auto"/>
          </w:tcPr>
          <w:p w14:paraId="3AA077A6" w14:textId="77777777" w:rsidR="008C5CFA" w:rsidRPr="00BA47B4" w:rsidRDefault="008C5CFA" w:rsidP="00300A01">
            <w:pPr>
              <w:spacing w:before="0" w:after="0"/>
              <w:jc w:val="right"/>
              <w:rPr>
                <w:sz w:val="12"/>
                <w:szCs w:val="12"/>
                <w:lang w:val="fr-BE"/>
              </w:rPr>
            </w:pPr>
          </w:p>
        </w:tc>
        <w:tc>
          <w:tcPr>
            <w:tcW w:w="0" w:type="auto"/>
            <w:shd w:val="clear" w:color="auto" w:fill="auto"/>
          </w:tcPr>
          <w:p w14:paraId="391AF346"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59F38CCF"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r>
      <w:tr w:rsidR="006B2EC1" w14:paraId="79E8975E" w14:textId="77777777" w:rsidTr="0047688D">
        <w:tc>
          <w:tcPr>
            <w:tcW w:w="0" w:type="auto"/>
            <w:shd w:val="clear" w:color="auto" w:fill="auto"/>
          </w:tcPr>
          <w:p w14:paraId="62596186" w14:textId="77777777" w:rsidR="008C5CFA" w:rsidRPr="00BA47B4" w:rsidRDefault="00E82A60" w:rsidP="00300A01">
            <w:pPr>
              <w:spacing w:before="0" w:after="0"/>
              <w:rPr>
                <w:sz w:val="12"/>
                <w:szCs w:val="12"/>
                <w:lang w:val="fr-BE"/>
              </w:rPr>
            </w:pPr>
            <w:r w:rsidRPr="00BA47B4">
              <w:rPr>
                <w:noProof/>
                <w:sz w:val="12"/>
                <w:szCs w:val="12"/>
                <w:lang w:val="fr-BE"/>
              </w:rPr>
              <w:t>CR05</w:t>
            </w:r>
          </w:p>
        </w:tc>
        <w:tc>
          <w:tcPr>
            <w:tcW w:w="0" w:type="auto"/>
            <w:shd w:val="clear" w:color="auto" w:fill="auto"/>
          </w:tcPr>
          <w:p w14:paraId="19FF3BB5" w14:textId="77777777" w:rsidR="008C5CFA" w:rsidRPr="00BA47B4" w:rsidRDefault="00E82A60" w:rsidP="00300A01">
            <w:pPr>
              <w:spacing w:before="0" w:after="0"/>
              <w:rPr>
                <w:sz w:val="12"/>
                <w:szCs w:val="12"/>
                <w:lang w:val="fr-BE"/>
              </w:rPr>
            </w:pPr>
            <w:r w:rsidRPr="00BA47B4">
              <w:rPr>
                <w:noProof/>
                <w:sz w:val="12"/>
                <w:szCs w:val="12"/>
                <w:lang w:val="fr-BE"/>
              </w:rPr>
              <w:t>uczestnicy w niekorzystnej sytuacji społecznej poszukujący pracy, uczestniczący w kształceniu lub szkoleniu, zdobywający kwalifikacje lub pracujący (łącznie z prowadzącymi działalność na własny rachunek) po opuszczeniu programu</w:t>
            </w:r>
          </w:p>
        </w:tc>
        <w:tc>
          <w:tcPr>
            <w:tcW w:w="0" w:type="auto"/>
            <w:shd w:val="clear" w:color="auto" w:fill="auto"/>
          </w:tcPr>
          <w:p w14:paraId="6FA2430D" w14:textId="77777777" w:rsidR="008C5CFA" w:rsidRPr="00BA47B4" w:rsidRDefault="00E82A60" w:rsidP="00300A01">
            <w:pPr>
              <w:spacing w:before="0" w:after="0"/>
              <w:rPr>
                <w:sz w:val="12"/>
                <w:szCs w:val="12"/>
                <w:lang w:val="fr-BE"/>
              </w:rPr>
            </w:pPr>
            <w:r w:rsidRPr="00BA47B4">
              <w:rPr>
                <w:noProof/>
                <w:sz w:val="12"/>
                <w:szCs w:val="12"/>
                <w:lang w:val="fr-BE"/>
              </w:rPr>
              <w:t>Słabiej rozwinięte</w:t>
            </w:r>
          </w:p>
        </w:tc>
        <w:tc>
          <w:tcPr>
            <w:tcW w:w="0" w:type="auto"/>
            <w:shd w:val="clear" w:color="auto" w:fill="auto"/>
          </w:tcPr>
          <w:p w14:paraId="3EF341AF" w14:textId="77777777" w:rsidR="008C5CFA" w:rsidRPr="00BA47B4" w:rsidRDefault="00E82A60" w:rsidP="00300A01">
            <w:pPr>
              <w:spacing w:before="0" w:after="0"/>
              <w:rPr>
                <w:sz w:val="12"/>
                <w:szCs w:val="12"/>
                <w:lang w:val="fr-BE"/>
              </w:rPr>
            </w:pPr>
            <w:r w:rsidRPr="00BA47B4">
              <w:rPr>
                <w:sz w:val="12"/>
                <w:szCs w:val="12"/>
                <w:lang w:val="fr-BE"/>
              </w:rPr>
              <w:t xml:space="preserve"> </w:t>
            </w:r>
          </w:p>
        </w:tc>
        <w:tc>
          <w:tcPr>
            <w:tcW w:w="0" w:type="auto"/>
            <w:shd w:val="clear" w:color="auto" w:fill="auto"/>
          </w:tcPr>
          <w:p w14:paraId="152BA913" w14:textId="77777777" w:rsidR="008C5CFA" w:rsidRPr="00BA47B4" w:rsidRDefault="008C5CFA" w:rsidP="00300A01">
            <w:pPr>
              <w:spacing w:before="0" w:after="0"/>
              <w:jc w:val="center"/>
              <w:rPr>
                <w:sz w:val="12"/>
                <w:szCs w:val="12"/>
                <w:lang w:val="fr-BE"/>
              </w:rPr>
            </w:pPr>
          </w:p>
        </w:tc>
        <w:tc>
          <w:tcPr>
            <w:tcW w:w="0" w:type="auto"/>
            <w:shd w:val="clear" w:color="auto" w:fill="auto"/>
          </w:tcPr>
          <w:p w14:paraId="4701F0DA" w14:textId="77777777" w:rsidR="008C5CFA" w:rsidRPr="00BA47B4" w:rsidRDefault="008C5CFA" w:rsidP="00300A01">
            <w:pPr>
              <w:spacing w:before="0" w:after="0"/>
              <w:jc w:val="right"/>
              <w:rPr>
                <w:sz w:val="12"/>
                <w:szCs w:val="12"/>
                <w:lang w:val="fr-BE"/>
              </w:rPr>
            </w:pPr>
          </w:p>
        </w:tc>
        <w:tc>
          <w:tcPr>
            <w:tcW w:w="0" w:type="auto"/>
            <w:shd w:val="clear" w:color="auto" w:fill="auto"/>
          </w:tcPr>
          <w:p w14:paraId="3081C8D1" w14:textId="77777777" w:rsidR="008C5CFA" w:rsidRPr="00BA47B4" w:rsidRDefault="008C5CFA" w:rsidP="00300A01">
            <w:pPr>
              <w:spacing w:before="0" w:after="0"/>
              <w:jc w:val="right"/>
              <w:rPr>
                <w:sz w:val="12"/>
                <w:szCs w:val="12"/>
                <w:lang w:val="fr-BE"/>
              </w:rPr>
            </w:pPr>
          </w:p>
        </w:tc>
        <w:tc>
          <w:tcPr>
            <w:tcW w:w="0" w:type="auto"/>
            <w:shd w:val="clear" w:color="auto" w:fill="auto"/>
          </w:tcPr>
          <w:p w14:paraId="7E01C9CC" w14:textId="77777777" w:rsidR="008C5CFA" w:rsidRPr="00BA47B4" w:rsidRDefault="008C5CFA" w:rsidP="00300A01">
            <w:pPr>
              <w:spacing w:before="0" w:after="0"/>
              <w:jc w:val="right"/>
              <w:rPr>
                <w:sz w:val="12"/>
                <w:szCs w:val="12"/>
                <w:lang w:val="fr-BE"/>
              </w:rPr>
            </w:pPr>
          </w:p>
        </w:tc>
        <w:tc>
          <w:tcPr>
            <w:tcW w:w="0" w:type="auto"/>
            <w:shd w:val="clear" w:color="auto" w:fill="auto"/>
          </w:tcPr>
          <w:p w14:paraId="25A78914"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27428262"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3D90B355"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733C9386" w14:textId="77777777" w:rsidR="008C5CFA" w:rsidRPr="00BA47B4" w:rsidRDefault="008C5CFA" w:rsidP="00300A01">
            <w:pPr>
              <w:spacing w:before="0" w:after="0"/>
              <w:jc w:val="right"/>
              <w:rPr>
                <w:sz w:val="12"/>
                <w:szCs w:val="12"/>
                <w:lang w:val="fr-BE"/>
              </w:rPr>
            </w:pPr>
          </w:p>
        </w:tc>
        <w:tc>
          <w:tcPr>
            <w:tcW w:w="0" w:type="auto"/>
            <w:shd w:val="clear" w:color="auto" w:fill="auto"/>
          </w:tcPr>
          <w:p w14:paraId="75F47F1A" w14:textId="77777777" w:rsidR="008C5CFA" w:rsidRPr="00BA47B4" w:rsidRDefault="008C5CFA" w:rsidP="00300A01">
            <w:pPr>
              <w:spacing w:before="0" w:after="0"/>
              <w:jc w:val="right"/>
              <w:rPr>
                <w:sz w:val="12"/>
                <w:szCs w:val="12"/>
                <w:lang w:val="fr-BE"/>
              </w:rPr>
            </w:pPr>
          </w:p>
        </w:tc>
        <w:tc>
          <w:tcPr>
            <w:tcW w:w="0" w:type="auto"/>
            <w:shd w:val="clear" w:color="auto" w:fill="auto"/>
          </w:tcPr>
          <w:p w14:paraId="3FBCF95D" w14:textId="77777777" w:rsidR="008C5CFA" w:rsidRPr="00BA47B4" w:rsidRDefault="008C5CFA" w:rsidP="00300A01">
            <w:pPr>
              <w:spacing w:before="0" w:after="0"/>
              <w:jc w:val="right"/>
              <w:rPr>
                <w:sz w:val="12"/>
                <w:szCs w:val="12"/>
                <w:lang w:val="fr-BE"/>
              </w:rPr>
            </w:pPr>
          </w:p>
        </w:tc>
        <w:tc>
          <w:tcPr>
            <w:tcW w:w="0" w:type="auto"/>
            <w:shd w:val="clear" w:color="auto" w:fill="auto"/>
          </w:tcPr>
          <w:p w14:paraId="4FB7346F"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42636363"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r>
      <w:tr w:rsidR="006B2EC1" w14:paraId="4AD9E9D0" w14:textId="77777777" w:rsidTr="0047688D">
        <w:tc>
          <w:tcPr>
            <w:tcW w:w="0" w:type="auto"/>
            <w:shd w:val="clear" w:color="auto" w:fill="auto"/>
          </w:tcPr>
          <w:p w14:paraId="6B03D926" w14:textId="77777777" w:rsidR="008C5CFA" w:rsidRPr="00BA47B4" w:rsidRDefault="00E82A60" w:rsidP="00300A01">
            <w:pPr>
              <w:spacing w:before="0" w:after="0"/>
              <w:rPr>
                <w:sz w:val="12"/>
                <w:szCs w:val="12"/>
                <w:lang w:val="fr-BE"/>
              </w:rPr>
            </w:pPr>
            <w:r w:rsidRPr="00BA47B4">
              <w:rPr>
                <w:noProof/>
                <w:sz w:val="12"/>
                <w:szCs w:val="12"/>
                <w:lang w:val="fr-BE"/>
              </w:rPr>
              <w:t>CR06</w:t>
            </w:r>
          </w:p>
        </w:tc>
        <w:tc>
          <w:tcPr>
            <w:tcW w:w="0" w:type="auto"/>
            <w:shd w:val="clear" w:color="auto" w:fill="auto"/>
          </w:tcPr>
          <w:p w14:paraId="0DAE6525" w14:textId="77777777" w:rsidR="008C5CFA" w:rsidRPr="00BA47B4" w:rsidRDefault="00E82A60" w:rsidP="00300A01">
            <w:pPr>
              <w:spacing w:before="0" w:after="0"/>
              <w:rPr>
                <w:sz w:val="12"/>
                <w:szCs w:val="12"/>
                <w:lang w:val="fr-BE"/>
              </w:rPr>
            </w:pPr>
            <w:r w:rsidRPr="00BA47B4">
              <w:rPr>
                <w:noProof/>
                <w:sz w:val="12"/>
                <w:szCs w:val="12"/>
                <w:lang w:val="fr-BE"/>
              </w:rPr>
              <w:t>uczestnicy pracujący, łącznie z prowadzącymi działalność na własny rachunek, sześć miesięcy po opuszczeniu programu</w:t>
            </w:r>
          </w:p>
        </w:tc>
        <w:tc>
          <w:tcPr>
            <w:tcW w:w="0" w:type="auto"/>
            <w:shd w:val="clear" w:color="auto" w:fill="auto"/>
          </w:tcPr>
          <w:p w14:paraId="766AE3ED" w14:textId="77777777" w:rsidR="008C5CFA" w:rsidRPr="00BA47B4" w:rsidRDefault="00E82A60" w:rsidP="00300A01">
            <w:pPr>
              <w:spacing w:before="0" w:after="0"/>
              <w:rPr>
                <w:sz w:val="12"/>
                <w:szCs w:val="12"/>
                <w:lang w:val="fr-BE"/>
              </w:rPr>
            </w:pPr>
            <w:r w:rsidRPr="00BA47B4">
              <w:rPr>
                <w:noProof/>
                <w:sz w:val="12"/>
                <w:szCs w:val="12"/>
                <w:lang w:val="fr-BE"/>
              </w:rPr>
              <w:t>Słabiej rozwinięte</w:t>
            </w:r>
          </w:p>
        </w:tc>
        <w:tc>
          <w:tcPr>
            <w:tcW w:w="0" w:type="auto"/>
            <w:shd w:val="clear" w:color="auto" w:fill="auto"/>
          </w:tcPr>
          <w:p w14:paraId="7DB6F0BB" w14:textId="77777777" w:rsidR="008C5CFA" w:rsidRPr="00BA47B4" w:rsidRDefault="00E82A60" w:rsidP="00300A01">
            <w:pPr>
              <w:spacing w:before="0" w:after="0"/>
              <w:rPr>
                <w:sz w:val="12"/>
                <w:szCs w:val="12"/>
                <w:lang w:val="fr-BE"/>
              </w:rPr>
            </w:pPr>
            <w:r w:rsidRPr="00BA47B4">
              <w:rPr>
                <w:sz w:val="12"/>
                <w:szCs w:val="12"/>
                <w:lang w:val="fr-BE"/>
              </w:rPr>
              <w:t xml:space="preserve"> </w:t>
            </w:r>
          </w:p>
        </w:tc>
        <w:tc>
          <w:tcPr>
            <w:tcW w:w="0" w:type="auto"/>
            <w:shd w:val="clear" w:color="auto" w:fill="auto"/>
          </w:tcPr>
          <w:p w14:paraId="6E3E3D07" w14:textId="77777777" w:rsidR="008C5CFA" w:rsidRPr="00BA47B4" w:rsidRDefault="008C5CFA" w:rsidP="00300A01">
            <w:pPr>
              <w:spacing w:before="0" w:after="0"/>
              <w:jc w:val="center"/>
              <w:rPr>
                <w:sz w:val="12"/>
                <w:szCs w:val="12"/>
                <w:lang w:val="fr-BE"/>
              </w:rPr>
            </w:pPr>
          </w:p>
        </w:tc>
        <w:tc>
          <w:tcPr>
            <w:tcW w:w="0" w:type="auto"/>
            <w:shd w:val="clear" w:color="auto" w:fill="auto"/>
          </w:tcPr>
          <w:p w14:paraId="64B82290" w14:textId="77777777" w:rsidR="008C5CFA" w:rsidRPr="00BA47B4" w:rsidRDefault="008C5CFA" w:rsidP="00300A01">
            <w:pPr>
              <w:spacing w:before="0" w:after="0"/>
              <w:jc w:val="right"/>
              <w:rPr>
                <w:sz w:val="12"/>
                <w:szCs w:val="12"/>
                <w:lang w:val="fr-BE"/>
              </w:rPr>
            </w:pPr>
          </w:p>
        </w:tc>
        <w:tc>
          <w:tcPr>
            <w:tcW w:w="0" w:type="auto"/>
            <w:shd w:val="clear" w:color="auto" w:fill="auto"/>
          </w:tcPr>
          <w:p w14:paraId="0712D33F" w14:textId="77777777" w:rsidR="008C5CFA" w:rsidRPr="00BA47B4" w:rsidRDefault="008C5CFA" w:rsidP="00300A01">
            <w:pPr>
              <w:spacing w:before="0" w:after="0"/>
              <w:jc w:val="right"/>
              <w:rPr>
                <w:sz w:val="12"/>
                <w:szCs w:val="12"/>
                <w:lang w:val="fr-BE"/>
              </w:rPr>
            </w:pPr>
          </w:p>
        </w:tc>
        <w:tc>
          <w:tcPr>
            <w:tcW w:w="0" w:type="auto"/>
            <w:shd w:val="clear" w:color="auto" w:fill="auto"/>
          </w:tcPr>
          <w:p w14:paraId="783EBEB2" w14:textId="77777777" w:rsidR="008C5CFA" w:rsidRPr="00BA47B4" w:rsidRDefault="008C5CFA" w:rsidP="00300A01">
            <w:pPr>
              <w:spacing w:before="0" w:after="0"/>
              <w:jc w:val="right"/>
              <w:rPr>
                <w:sz w:val="12"/>
                <w:szCs w:val="12"/>
                <w:lang w:val="fr-BE"/>
              </w:rPr>
            </w:pPr>
          </w:p>
        </w:tc>
        <w:tc>
          <w:tcPr>
            <w:tcW w:w="0" w:type="auto"/>
            <w:shd w:val="clear" w:color="auto" w:fill="auto"/>
          </w:tcPr>
          <w:p w14:paraId="1A26B651" w14:textId="77777777" w:rsidR="008C5CFA" w:rsidRPr="00BA47B4" w:rsidRDefault="00E82A60" w:rsidP="00300A01">
            <w:pPr>
              <w:spacing w:before="0" w:after="0"/>
              <w:jc w:val="right"/>
              <w:rPr>
                <w:sz w:val="12"/>
                <w:szCs w:val="12"/>
                <w:lang w:val="fr-BE"/>
              </w:rPr>
            </w:pPr>
            <w:r w:rsidRPr="00BA47B4">
              <w:rPr>
                <w:noProof/>
                <w:sz w:val="12"/>
                <w:szCs w:val="12"/>
                <w:lang w:val="fr-BE"/>
              </w:rPr>
              <w:t>792,00</w:t>
            </w:r>
          </w:p>
        </w:tc>
        <w:tc>
          <w:tcPr>
            <w:tcW w:w="0" w:type="auto"/>
            <w:shd w:val="clear" w:color="auto" w:fill="auto"/>
          </w:tcPr>
          <w:p w14:paraId="5A2CFA72" w14:textId="77777777" w:rsidR="008C5CFA" w:rsidRPr="00BA47B4" w:rsidRDefault="00E82A60" w:rsidP="00300A01">
            <w:pPr>
              <w:spacing w:before="0" w:after="0"/>
              <w:jc w:val="right"/>
              <w:rPr>
                <w:sz w:val="12"/>
                <w:szCs w:val="12"/>
                <w:lang w:val="fr-BE"/>
              </w:rPr>
            </w:pPr>
            <w:r w:rsidRPr="00BA47B4">
              <w:rPr>
                <w:noProof/>
                <w:sz w:val="12"/>
                <w:szCs w:val="12"/>
                <w:lang w:val="fr-BE"/>
              </w:rPr>
              <w:t>49,00</w:t>
            </w:r>
          </w:p>
        </w:tc>
        <w:tc>
          <w:tcPr>
            <w:tcW w:w="0" w:type="auto"/>
            <w:shd w:val="clear" w:color="auto" w:fill="auto"/>
          </w:tcPr>
          <w:p w14:paraId="0A90CA06" w14:textId="77777777" w:rsidR="008C5CFA" w:rsidRPr="00BA47B4" w:rsidRDefault="00E82A60" w:rsidP="00300A01">
            <w:pPr>
              <w:spacing w:before="0" w:after="0"/>
              <w:jc w:val="right"/>
              <w:rPr>
                <w:sz w:val="12"/>
                <w:szCs w:val="12"/>
                <w:lang w:val="fr-BE"/>
              </w:rPr>
            </w:pPr>
            <w:r w:rsidRPr="00BA47B4">
              <w:rPr>
                <w:noProof/>
                <w:sz w:val="12"/>
                <w:szCs w:val="12"/>
                <w:lang w:val="fr-BE"/>
              </w:rPr>
              <w:t>743,00</w:t>
            </w:r>
          </w:p>
        </w:tc>
        <w:tc>
          <w:tcPr>
            <w:tcW w:w="0" w:type="auto"/>
            <w:shd w:val="clear" w:color="auto" w:fill="auto"/>
          </w:tcPr>
          <w:p w14:paraId="6FA2FD27" w14:textId="77777777" w:rsidR="008C5CFA" w:rsidRPr="00BA47B4" w:rsidRDefault="008C5CFA" w:rsidP="00300A01">
            <w:pPr>
              <w:spacing w:before="0" w:after="0"/>
              <w:jc w:val="right"/>
              <w:rPr>
                <w:sz w:val="12"/>
                <w:szCs w:val="12"/>
                <w:lang w:val="fr-BE"/>
              </w:rPr>
            </w:pPr>
          </w:p>
        </w:tc>
        <w:tc>
          <w:tcPr>
            <w:tcW w:w="0" w:type="auto"/>
            <w:shd w:val="clear" w:color="auto" w:fill="auto"/>
          </w:tcPr>
          <w:p w14:paraId="5AD6AB1E" w14:textId="77777777" w:rsidR="008C5CFA" w:rsidRPr="00BA47B4" w:rsidRDefault="008C5CFA" w:rsidP="00300A01">
            <w:pPr>
              <w:spacing w:before="0" w:after="0"/>
              <w:jc w:val="right"/>
              <w:rPr>
                <w:sz w:val="12"/>
                <w:szCs w:val="12"/>
                <w:lang w:val="fr-BE"/>
              </w:rPr>
            </w:pPr>
          </w:p>
        </w:tc>
        <w:tc>
          <w:tcPr>
            <w:tcW w:w="0" w:type="auto"/>
            <w:shd w:val="clear" w:color="auto" w:fill="auto"/>
          </w:tcPr>
          <w:p w14:paraId="786F71BD" w14:textId="77777777" w:rsidR="008C5CFA" w:rsidRPr="00BA47B4" w:rsidRDefault="008C5CFA" w:rsidP="00300A01">
            <w:pPr>
              <w:spacing w:before="0" w:after="0"/>
              <w:jc w:val="right"/>
              <w:rPr>
                <w:sz w:val="12"/>
                <w:szCs w:val="12"/>
                <w:lang w:val="fr-BE"/>
              </w:rPr>
            </w:pPr>
          </w:p>
        </w:tc>
        <w:tc>
          <w:tcPr>
            <w:tcW w:w="0" w:type="auto"/>
            <w:shd w:val="clear" w:color="auto" w:fill="auto"/>
          </w:tcPr>
          <w:p w14:paraId="666B69AD"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41C2022A"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r>
      <w:tr w:rsidR="006B2EC1" w14:paraId="3515FA45" w14:textId="77777777" w:rsidTr="0047688D">
        <w:tc>
          <w:tcPr>
            <w:tcW w:w="0" w:type="auto"/>
            <w:shd w:val="clear" w:color="auto" w:fill="auto"/>
          </w:tcPr>
          <w:p w14:paraId="24EBA143" w14:textId="77777777" w:rsidR="008C5CFA" w:rsidRPr="00BA47B4" w:rsidRDefault="00E82A60" w:rsidP="00300A01">
            <w:pPr>
              <w:spacing w:before="0" w:after="0"/>
              <w:rPr>
                <w:sz w:val="12"/>
                <w:szCs w:val="12"/>
                <w:lang w:val="fr-BE"/>
              </w:rPr>
            </w:pPr>
            <w:r w:rsidRPr="00BA47B4">
              <w:rPr>
                <w:noProof/>
                <w:sz w:val="12"/>
                <w:szCs w:val="12"/>
                <w:lang w:val="fr-BE"/>
              </w:rPr>
              <w:t>CR07</w:t>
            </w:r>
          </w:p>
        </w:tc>
        <w:tc>
          <w:tcPr>
            <w:tcW w:w="0" w:type="auto"/>
            <w:shd w:val="clear" w:color="auto" w:fill="auto"/>
          </w:tcPr>
          <w:p w14:paraId="7E9652DD" w14:textId="77777777" w:rsidR="008C5CFA" w:rsidRPr="00BA47B4" w:rsidRDefault="00E82A60" w:rsidP="00300A01">
            <w:pPr>
              <w:spacing w:before="0" w:after="0"/>
              <w:rPr>
                <w:sz w:val="12"/>
                <w:szCs w:val="12"/>
                <w:lang w:val="fr-BE"/>
              </w:rPr>
            </w:pPr>
            <w:r w:rsidRPr="00BA47B4">
              <w:rPr>
                <w:noProof/>
                <w:sz w:val="12"/>
                <w:szCs w:val="12"/>
                <w:lang w:val="fr-BE"/>
              </w:rPr>
              <w:t>uczestnicy znajdujący się w lepszej sytuacji na rynku pracy sześć miesięcy po opuszczeniu programu</w:t>
            </w:r>
          </w:p>
        </w:tc>
        <w:tc>
          <w:tcPr>
            <w:tcW w:w="0" w:type="auto"/>
            <w:shd w:val="clear" w:color="auto" w:fill="auto"/>
          </w:tcPr>
          <w:p w14:paraId="67F5EC15" w14:textId="77777777" w:rsidR="008C5CFA" w:rsidRPr="00BA47B4" w:rsidRDefault="00E82A60" w:rsidP="00300A01">
            <w:pPr>
              <w:spacing w:before="0" w:after="0"/>
              <w:rPr>
                <w:sz w:val="12"/>
                <w:szCs w:val="12"/>
                <w:lang w:val="fr-BE"/>
              </w:rPr>
            </w:pPr>
            <w:r w:rsidRPr="00BA47B4">
              <w:rPr>
                <w:noProof/>
                <w:sz w:val="12"/>
                <w:szCs w:val="12"/>
                <w:lang w:val="fr-BE"/>
              </w:rPr>
              <w:t>Słabiej rozwinięte</w:t>
            </w:r>
          </w:p>
        </w:tc>
        <w:tc>
          <w:tcPr>
            <w:tcW w:w="0" w:type="auto"/>
            <w:shd w:val="clear" w:color="auto" w:fill="auto"/>
          </w:tcPr>
          <w:p w14:paraId="606ECEF3" w14:textId="77777777" w:rsidR="008C5CFA" w:rsidRPr="00BA47B4" w:rsidRDefault="00E82A60" w:rsidP="00300A01">
            <w:pPr>
              <w:spacing w:before="0" w:after="0"/>
              <w:rPr>
                <w:sz w:val="12"/>
                <w:szCs w:val="12"/>
                <w:lang w:val="fr-BE"/>
              </w:rPr>
            </w:pPr>
            <w:r w:rsidRPr="00BA47B4">
              <w:rPr>
                <w:sz w:val="12"/>
                <w:szCs w:val="12"/>
                <w:lang w:val="fr-BE"/>
              </w:rPr>
              <w:t xml:space="preserve"> </w:t>
            </w:r>
          </w:p>
        </w:tc>
        <w:tc>
          <w:tcPr>
            <w:tcW w:w="0" w:type="auto"/>
            <w:shd w:val="clear" w:color="auto" w:fill="auto"/>
          </w:tcPr>
          <w:p w14:paraId="16061AA5" w14:textId="77777777" w:rsidR="008C5CFA" w:rsidRPr="00BA47B4" w:rsidRDefault="008C5CFA" w:rsidP="00300A01">
            <w:pPr>
              <w:spacing w:before="0" w:after="0"/>
              <w:jc w:val="center"/>
              <w:rPr>
                <w:sz w:val="12"/>
                <w:szCs w:val="12"/>
                <w:lang w:val="fr-BE"/>
              </w:rPr>
            </w:pPr>
          </w:p>
        </w:tc>
        <w:tc>
          <w:tcPr>
            <w:tcW w:w="0" w:type="auto"/>
            <w:shd w:val="clear" w:color="auto" w:fill="auto"/>
          </w:tcPr>
          <w:p w14:paraId="0338E1AB" w14:textId="77777777" w:rsidR="008C5CFA" w:rsidRPr="00BA47B4" w:rsidRDefault="008C5CFA" w:rsidP="00300A01">
            <w:pPr>
              <w:spacing w:before="0" w:after="0"/>
              <w:jc w:val="right"/>
              <w:rPr>
                <w:sz w:val="12"/>
                <w:szCs w:val="12"/>
                <w:lang w:val="fr-BE"/>
              </w:rPr>
            </w:pPr>
          </w:p>
        </w:tc>
        <w:tc>
          <w:tcPr>
            <w:tcW w:w="0" w:type="auto"/>
            <w:shd w:val="clear" w:color="auto" w:fill="auto"/>
          </w:tcPr>
          <w:p w14:paraId="383619AA" w14:textId="77777777" w:rsidR="008C5CFA" w:rsidRPr="00BA47B4" w:rsidRDefault="008C5CFA" w:rsidP="00300A01">
            <w:pPr>
              <w:spacing w:before="0" w:after="0"/>
              <w:jc w:val="right"/>
              <w:rPr>
                <w:sz w:val="12"/>
                <w:szCs w:val="12"/>
                <w:lang w:val="fr-BE"/>
              </w:rPr>
            </w:pPr>
          </w:p>
        </w:tc>
        <w:tc>
          <w:tcPr>
            <w:tcW w:w="0" w:type="auto"/>
            <w:shd w:val="clear" w:color="auto" w:fill="auto"/>
          </w:tcPr>
          <w:p w14:paraId="0E835F9C" w14:textId="77777777" w:rsidR="008C5CFA" w:rsidRPr="00BA47B4" w:rsidRDefault="008C5CFA" w:rsidP="00300A01">
            <w:pPr>
              <w:spacing w:before="0" w:after="0"/>
              <w:jc w:val="right"/>
              <w:rPr>
                <w:sz w:val="12"/>
                <w:szCs w:val="12"/>
                <w:lang w:val="fr-BE"/>
              </w:rPr>
            </w:pPr>
          </w:p>
        </w:tc>
        <w:tc>
          <w:tcPr>
            <w:tcW w:w="0" w:type="auto"/>
            <w:shd w:val="clear" w:color="auto" w:fill="auto"/>
          </w:tcPr>
          <w:p w14:paraId="60F7ADC6" w14:textId="77777777" w:rsidR="008C5CFA" w:rsidRPr="00BA47B4" w:rsidRDefault="00E82A60" w:rsidP="00300A01">
            <w:pPr>
              <w:spacing w:before="0" w:after="0"/>
              <w:jc w:val="right"/>
              <w:rPr>
                <w:sz w:val="12"/>
                <w:szCs w:val="12"/>
                <w:lang w:val="fr-BE"/>
              </w:rPr>
            </w:pPr>
            <w:r w:rsidRPr="00BA47B4">
              <w:rPr>
                <w:noProof/>
                <w:sz w:val="12"/>
                <w:szCs w:val="12"/>
                <w:lang w:val="fr-BE"/>
              </w:rPr>
              <w:t>571,00</w:t>
            </w:r>
          </w:p>
        </w:tc>
        <w:tc>
          <w:tcPr>
            <w:tcW w:w="0" w:type="auto"/>
            <w:shd w:val="clear" w:color="auto" w:fill="auto"/>
          </w:tcPr>
          <w:p w14:paraId="18D2776C" w14:textId="77777777" w:rsidR="008C5CFA" w:rsidRPr="00BA47B4" w:rsidRDefault="00E82A60" w:rsidP="00300A01">
            <w:pPr>
              <w:spacing w:before="0" w:after="0"/>
              <w:jc w:val="right"/>
              <w:rPr>
                <w:sz w:val="12"/>
                <w:szCs w:val="12"/>
                <w:lang w:val="fr-BE"/>
              </w:rPr>
            </w:pPr>
            <w:r w:rsidRPr="00BA47B4">
              <w:rPr>
                <w:noProof/>
                <w:sz w:val="12"/>
                <w:szCs w:val="12"/>
                <w:lang w:val="fr-BE"/>
              </w:rPr>
              <w:t>73,00</w:t>
            </w:r>
          </w:p>
        </w:tc>
        <w:tc>
          <w:tcPr>
            <w:tcW w:w="0" w:type="auto"/>
            <w:shd w:val="clear" w:color="auto" w:fill="auto"/>
          </w:tcPr>
          <w:p w14:paraId="5D3C32B0" w14:textId="77777777" w:rsidR="008C5CFA" w:rsidRPr="00BA47B4" w:rsidRDefault="00E82A60" w:rsidP="00300A01">
            <w:pPr>
              <w:spacing w:before="0" w:after="0"/>
              <w:jc w:val="right"/>
              <w:rPr>
                <w:sz w:val="12"/>
                <w:szCs w:val="12"/>
                <w:lang w:val="fr-BE"/>
              </w:rPr>
            </w:pPr>
            <w:r w:rsidRPr="00BA47B4">
              <w:rPr>
                <w:noProof/>
                <w:sz w:val="12"/>
                <w:szCs w:val="12"/>
                <w:lang w:val="fr-BE"/>
              </w:rPr>
              <w:t>498,00</w:t>
            </w:r>
          </w:p>
        </w:tc>
        <w:tc>
          <w:tcPr>
            <w:tcW w:w="0" w:type="auto"/>
            <w:shd w:val="clear" w:color="auto" w:fill="auto"/>
          </w:tcPr>
          <w:p w14:paraId="69717C93" w14:textId="77777777" w:rsidR="008C5CFA" w:rsidRPr="00BA47B4" w:rsidRDefault="008C5CFA" w:rsidP="00300A01">
            <w:pPr>
              <w:spacing w:before="0" w:after="0"/>
              <w:jc w:val="right"/>
              <w:rPr>
                <w:sz w:val="12"/>
                <w:szCs w:val="12"/>
                <w:lang w:val="fr-BE"/>
              </w:rPr>
            </w:pPr>
          </w:p>
        </w:tc>
        <w:tc>
          <w:tcPr>
            <w:tcW w:w="0" w:type="auto"/>
            <w:shd w:val="clear" w:color="auto" w:fill="auto"/>
          </w:tcPr>
          <w:p w14:paraId="41C51028" w14:textId="77777777" w:rsidR="008C5CFA" w:rsidRPr="00BA47B4" w:rsidRDefault="008C5CFA" w:rsidP="00300A01">
            <w:pPr>
              <w:spacing w:before="0" w:after="0"/>
              <w:jc w:val="right"/>
              <w:rPr>
                <w:sz w:val="12"/>
                <w:szCs w:val="12"/>
                <w:lang w:val="fr-BE"/>
              </w:rPr>
            </w:pPr>
          </w:p>
        </w:tc>
        <w:tc>
          <w:tcPr>
            <w:tcW w:w="0" w:type="auto"/>
            <w:shd w:val="clear" w:color="auto" w:fill="auto"/>
          </w:tcPr>
          <w:p w14:paraId="4009B8EE" w14:textId="77777777" w:rsidR="008C5CFA" w:rsidRPr="00BA47B4" w:rsidRDefault="008C5CFA" w:rsidP="00300A01">
            <w:pPr>
              <w:spacing w:before="0" w:after="0"/>
              <w:jc w:val="right"/>
              <w:rPr>
                <w:sz w:val="12"/>
                <w:szCs w:val="12"/>
                <w:lang w:val="fr-BE"/>
              </w:rPr>
            </w:pPr>
          </w:p>
        </w:tc>
        <w:tc>
          <w:tcPr>
            <w:tcW w:w="0" w:type="auto"/>
            <w:shd w:val="clear" w:color="auto" w:fill="auto"/>
          </w:tcPr>
          <w:p w14:paraId="5008599A"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6B624C4C"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r>
      <w:tr w:rsidR="006B2EC1" w14:paraId="49316786" w14:textId="77777777" w:rsidTr="0047688D">
        <w:tc>
          <w:tcPr>
            <w:tcW w:w="0" w:type="auto"/>
            <w:shd w:val="clear" w:color="auto" w:fill="auto"/>
          </w:tcPr>
          <w:p w14:paraId="272EE9E2" w14:textId="77777777" w:rsidR="008C5CFA" w:rsidRPr="00BA47B4" w:rsidRDefault="00E82A60" w:rsidP="00300A01">
            <w:pPr>
              <w:spacing w:before="0" w:after="0"/>
              <w:rPr>
                <w:sz w:val="12"/>
                <w:szCs w:val="12"/>
                <w:lang w:val="fr-BE"/>
              </w:rPr>
            </w:pPr>
            <w:r w:rsidRPr="00BA47B4">
              <w:rPr>
                <w:noProof/>
                <w:sz w:val="12"/>
                <w:szCs w:val="12"/>
                <w:lang w:val="fr-BE"/>
              </w:rPr>
              <w:t>CR08</w:t>
            </w:r>
          </w:p>
        </w:tc>
        <w:tc>
          <w:tcPr>
            <w:tcW w:w="0" w:type="auto"/>
            <w:shd w:val="clear" w:color="auto" w:fill="auto"/>
          </w:tcPr>
          <w:p w14:paraId="4DCF3B26" w14:textId="77777777" w:rsidR="008C5CFA" w:rsidRPr="00BA47B4" w:rsidRDefault="00E82A60" w:rsidP="00300A01">
            <w:pPr>
              <w:spacing w:before="0" w:after="0"/>
              <w:rPr>
                <w:sz w:val="12"/>
                <w:szCs w:val="12"/>
                <w:lang w:val="fr-BE"/>
              </w:rPr>
            </w:pPr>
            <w:r w:rsidRPr="00BA47B4">
              <w:rPr>
                <w:noProof/>
                <w:sz w:val="12"/>
                <w:szCs w:val="12"/>
                <w:lang w:val="fr-BE"/>
              </w:rPr>
              <w:t>uczestnicy powyżej 54 roku życia, pracujący, łącznie z prowadzącymi działalność na własny rachunek, sześć miesięcy po opuszczeniu programu</w:t>
            </w:r>
          </w:p>
        </w:tc>
        <w:tc>
          <w:tcPr>
            <w:tcW w:w="0" w:type="auto"/>
            <w:shd w:val="clear" w:color="auto" w:fill="auto"/>
          </w:tcPr>
          <w:p w14:paraId="221CF58D" w14:textId="77777777" w:rsidR="008C5CFA" w:rsidRPr="00BA47B4" w:rsidRDefault="00E82A60" w:rsidP="00300A01">
            <w:pPr>
              <w:spacing w:before="0" w:after="0"/>
              <w:rPr>
                <w:sz w:val="12"/>
                <w:szCs w:val="12"/>
                <w:lang w:val="fr-BE"/>
              </w:rPr>
            </w:pPr>
            <w:r w:rsidRPr="00BA47B4">
              <w:rPr>
                <w:noProof/>
                <w:sz w:val="12"/>
                <w:szCs w:val="12"/>
                <w:lang w:val="fr-BE"/>
              </w:rPr>
              <w:t>Słabiej rozwinięte</w:t>
            </w:r>
          </w:p>
        </w:tc>
        <w:tc>
          <w:tcPr>
            <w:tcW w:w="0" w:type="auto"/>
            <w:shd w:val="clear" w:color="auto" w:fill="auto"/>
          </w:tcPr>
          <w:p w14:paraId="4C04E668" w14:textId="77777777" w:rsidR="008C5CFA" w:rsidRPr="00BA47B4" w:rsidRDefault="00E82A60" w:rsidP="00300A01">
            <w:pPr>
              <w:spacing w:before="0" w:after="0"/>
              <w:rPr>
                <w:sz w:val="12"/>
                <w:szCs w:val="12"/>
                <w:lang w:val="fr-BE"/>
              </w:rPr>
            </w:pPr>
            <w:r w:rsidRPr="00BA47B4">
              <w:rPr>
                <w:sz w:val="12"/>
                <w:szCs w:val="12"/>
                <w:lang w:val="fr-BE"/>
              </w:rPr>
              <w:t xml:space="preserve"> </w:t>
            </w:r>
          </w:p>
        </w:tc>
        <w:tc>
          <w:tcPr>
            <w:tcW w:w="0" w:type="auto"/>
            <w:shd w:val="clear" w:color="auto" w:fill="auto"/>
          </w:tcPr>
          <w:p w14:paraId="730808DB" w14:textId="77777777" w:rsidR="008C5CFA" w:rsidRPr="00BA47B4" w:rsidRDefault="008C5CFA" w:rsidP="00300A01">
            <w:pPr>
              <w:spacing w:before="0" w:after="0"/>
              <w:jc w:val="center"/>
              <w:rPr>
                <w:sz w:val="12"/>
                <w:szCs w:val="12"/>
                <w:lang w:val="fr-BE"/>
              </w:rPr>
            </w:pPr>
          </w:p>
        </w:tc>
        <w:tc>
          <w:tcPr>
            <w:tcW w:w="0" w:type="auto"/>
            <w:shd w:val="clear" w:color="auto" w:fill="auto"/>
          </w:tcPr>
          <w:p w14:paraId="1648BB0A" w14:textId="77777777" w:rsidR="008C5CFA" w:rsidRPr="00BA47B4" w:rsidRDefault="008C5CFA" w:rsidP="00300A01">
            <w:pPr>
              <w:spacing w:before="0" w:after="0"/>
              <w:jc w:val="right"/>
              <w:rPr>
                <w:sz w:val="12"/>
                <w:szCs w:val="12"/>
                <w:lang w:val="fr-BE"/>
              </w:rPr>
            </w:pPr>
          </w:p>
        </w:tc>
        <w:tc>
          <w:tcPr>
            <w:tcW w:w="0" w:type="auto"/>
            <w:shd w:val="clear" w:color="auto" w:fill="auto"/>
          </w:tcPr>
          <w:p w14:paraId="7F3C1D4F" w14:textId="77777777" w:rsidR="008C5CFA" w:rsidRPr="00BA47B4" w:rsidRDefault="008C5CFA" w:rsidP="00300A01">
            <w:pPr>
              <w:spacing w:before="0" w:after="0"/>
              <w:jc w:val="right"/>
              <w:rPr>
                <w:sz w:val="12"/>
                <w:szCs w:val="12"/>
                <w:lang w:val="fr-BE"/>
              </w:rPr>
            </w:pPr>
          </w:p>
        </w:tc>
        <w:tc>
          <w:tcPr>
            <w:tcW w:w="0" w:type="auto"/>
            <w:shd w:val="clear" w:color="auto" w:fill="auto"/>
          </w:tcPr>
          <w:p w14:paraId="403D661F" w14:textId="77777777" w:rsidR="008C5CFA" w:rsidRPr="00BA47B4" w:rsidRDefault="008C5CFA" w:rsidP="00300A01">
            <w:pPr>
              <w:spacing w:before="0" w:after="0"/>
              <w:jc w:val="right"/>
              <w:rPr>
                <w:sz w:val="12"/>
                <w:szCs w:val="12"/>
                <w:lang w:val="fr-BE"/>
              </w:rPr>
            </w:pPr>
          </w:p>
        </w:tc>
        <w:tc>
          <w:tcPr>
            <w:tcW w:w="0" w:type="auto"/>
            <w:shd w:val="clear" w:color="auto" w:fill="auto"/>
          </w:tcPr>
          <w:p w14:paraId="0E838802" w14:textId="77777777" w:rsidR="008C5CFA" w:rsidRPr="00BA47B4" w:rsidRDefault="00E82A60" w:rsidP="00300A01">
            <w:pPr>
              <w:spacing w:before="0" w:after="0"/>
              <w:jc w:val="right"/>
              <w:rPr>
                <w:sz w:val="12"/>
                <w:szCs w:val="12"/>
                <w:lang w:val="fr-BE"/>
              </w:rPr>
            </w:pPr>
            <w:r w:rsidRPr="00BA47B4">
              <w:rPr>
                <w:noProof/>
                <w:sz w:val="12"/>
                <w:szCs w:val="12"/>
                <w:lang w:val="fr-BE"/>
              </w:rPr>
              <w:t>180,00</w:t>
            </w:r>
          </w:p>
        </w:tc>
        <w:tc>
          <w:tcPr>
            <w:tcW w:w="0" w:type="auto"/>
            <w:shd w:val="clear" w:color="auto" w:fill="auto"/>
          </w:tcPr>
          <w:p w14:paraId="670578E9" w14:textId="77777777" w:rsidR="008C5CFA" w:rsidRPr="00BA47B4" w:rsidRDefault="00E82A60" w:rsidP="00300A01">
            <w:pPr>
              <w:spacing w:before="0" w:after="0"/>
              <w:jc w:val="right"/>
              <w:rPr>
                <w:sz w:val="12"/>
                <w:szCs w:val="12"/>
                <w:lang w:val="fr-BE"/>
              </w:rPr>
            </w:pPr>
            <w:r w:rsidRPr="00BA47B4">
              <w:rPr>
                <w:noProof/>
                <w:sz w:val="12"/>
                <w:szCs w:val="12"/>
                <w:lang w:val="fr-BE"/>
              </w:rPr>
              <w:t>10,00</w:t>
            </w:r>
          </w:p>
        </w:tc>
        <w:tc>
          <w:tcPr>
            <w:tcW w:w="0" w:type="auto"/>
            <w:shd w:val="clear" w:color="auto" w:fill="auto"/>
          </w:tcPr>
          <w:p w14:paraId="57FC67B9" w14:textId="77777777" w:rsidR="008C5CFA" w:rsidRPr="00BA47B4" w:rsidRDefault="00E82A60" w:rsidP="00300A01">
            <w:pPr>
              <w:spacing w:before="0" w:after="0"/>
              <w:jc w:val="right"/>
              <w:rPr>
                <w:sz w:val="12"/>
                <w:szCs w:val="12"/>
                <w:lang w:val="fr-BE"/>
              </w:rPr>
            </w:pPr>
            <w:r w:rsidRPr="00BA47B4">
              <w:rPr>
                <w:noProof/>
                <w:sz w:val="12"/>
                <w:szCs w:val="12"/>
                <w:lang w:val="fr-BE"/>
              </w:rPr>
              <w:t>170,00</w:t>
            </w:r>
          </w:p>
        </w:tc>
        <w:tc>
          <w:tcPr>
            <w:tcW w:w="0" w:type="auto"/>
            <w:shd w:val="clear" w:color="auto" w:fill="auto"/>
          </w:tcPr>
          <w:p w14:paraId="0923FF53" w14:textId="77777777" w:rsidR="008C5CFA" w:rsidRPr="00BA47B4" w:rsidRDefault="008C5CFA" w:rsidP="00300A01">
            <w:pPr>
              <w:spacing w:before="0" w:after="0"/>
              <w:jc w:val="right"/>
              <w:rPr>
                <w:sz w:val="12"/>
                <w:szCs w:val="12"/>
                <w:lang w:val="fr-BE"/>
              </w:rPr>
            </w:pPr>
          </w:p>
        </w:tc>
        <w:tc>
          <w:tcPr>
            <w:tcW w:w="0" w:type="auto"/>
            <w:shd w:val="clear" w:color="auto" w:fill="auto"/>
          </w:tcPr>
          <w:p w14:paraId="4506C1D5" w14:textId="77777777" w:rsidR="008C5CFA" w:rsidRPr="00BA47B4" w:rsidRDefault="008C5CFA" w:rsidP="00300A01">
            <w:pPr>
              <w:spacing w:before="0" w:after="0"/>
              <w:jc w:val="right"/>
              <w:rPr>
                <w:sz w:val="12"/>
                <w:szCs w:val="12"/>
                <w:lang w:val="fr-BE"/>
              </w:rPr>
            </w:pPr>
          </w:p>
        </w:tc>
        <w:tc>
          <w:tcPr>
            <w:tcW w:w="0" w:type="auto"/>
            <w:shd w:val="clear" w:color="auto" w:fill="auto"/>
          </w:tcPr>
          <w:p w14:paraId="2F46E870" w14:textId="77777777" w:rsidR="008C5CFA" w:rsidRPr="00BA47B4" w:rsidRDefault="008C5CFA" w:rsidP="00300A01">
            <w:pPr>
              <w:spacing w:before="0" w:after="0"/>
              <w:jc w:val="right"/>
              <w:rPr>
                <w:sz w:val="12"/>
                <w:szCs w:val="12"/>
                <w:lang w:val="fr-BE"/>
              </w:rPr>
            </w:pPr>
          </w:p>
        </w:tc>
        <w:tc>
          <w:tcPr>
            <w:tcW w:w="0" w:type="auto"/>
            <w:shd w:val="clear" w:color="auto" w:fill="auto"/>
          </w:tcPr>
          <w:p w14:paraId="4E4FE548"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6A1BD7C4"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r>
      <w:tr w:rsidR="006B2EC1" w14:paraId="4D3CB521" w14:textId="77777777" w:rsidTr="0047688D">
        <w:tc>
          <w:tcPr>
            <w:tcW w:w="0" w:type="auto"/>
            <w:shd w:val="clear" w:color="auto" w:fill="auto"/>
          </w:tcPr>
          <w:p w14:paraId="075D5A0C" w14:textId="77777777" w:rsidR="008C5CFA" w:rsidRPr="00BA47B4" w:rsidRDefault="00E82A60" w:rsidP="00300A01">
            <w:pPr>
              <w:spacing w:before="0" w:after="0"/>
              <w:rPr>
                <w:sz w:val="12"/>
                <w:szCs w:val="12"/>
                <w:lang w:val="fr-BE"/>
              </w:rPr>
            </w:pPr>
            <w:r w:rsidRPr="00BA47B4">
              <w:rPr>
                <w:noProof/>
                <w:sz w:val="12"/>
                <w:szCs w:val="12"/>
                <w:lang w:val="fr-BE"/>
              </w:rPr>
              <w:t>CR09</w:t>
            </w:r>
          </w:p>
        </w:tc>
        <w:tc>
          <w:tcPr>
            <w:tcW w:w="0" w:type="auto"/>
            <w:shd w:val="clear" w:color="auto" w:fill="auto"/>
          </w:tcPr>
          <w:p w14:paraId="23543416" w14:textId="77777777" w:rsidR="008C5CFA" w:rsidRPr="00BA47B4" w:rsidRDefault="00E82A60" w:rsidP="00300A01">
            <w:pPr>
              <w:spacing w:before="0" w:after="0"/>
              <w:rPr>
                <w:sz w:val="12"/>
                <w:szCs w:val="12"/>
                <w:lang w:val="fr-BE"/>
              </w:rPr>
            </w:pPr>
            <w:r w:rsidRPr="00BA47B4">
              <w:rPr>
                <w:noProof/>
                <w:sz w:val="12"/>
                <w:szCs w:val="12"/>
                <w:lang w:val="fr-BE"/>
              </w:rPr>
              <w:t>uczestnicy w niekorzystnej sytuacji społecznej, pracujący, łącznie z prowadzącymi działalność na własny rachunek, sześć miesięcy po opuszczeniu programu</w:t>
            </w:r>
          </w:p>
        </w:tc>
        <w:tc>
          <w:tcPr>
            <w:tcW w:w="0" w:type="auto"/>
            <w:shd w:val="clear" w:color="auto" w:fill="auto"/>
          </w:tcPr>
          <w:p w14:paraId="705EEC88" w14:textId="77777777" w:rsidR="008C5CFA" w:rsidRPr="00BA47B4" w:rsidRDefault="00E82A60" w:rsidP="00300A01">
            <w:pPr>
              <w:spacing w:before="0" w:after="0"/>
              <w:rPr>
                <w:sz w:val="12"/>
                <w:szCs w:val="12"/>
                <w:lang w:val="fr-BE"/>
              </w:rPr>
            </w:pPr>
            <w:r w:rsidRPr="00BA47B4">
              <w:rPr>
                <w:noProof/>
                <w:sz w:val="12"/>
                <w:szCs w:val="12"/>
                <w:lang w:val="fr-BE"/>
              </w:rPr>
              <w:t>Słabiej rozwinięte</w:t>
            </w:r>
          </w:p>
        </w:tc>
        <w:tc>
          <w:tcPr>
            <w:tcW w:w="0" w:type="auto"/>
            <w:shd w:val="clear" w:color="auto" w:fill="auto"/>
          </w:tcPr>
          <w:p w14:paraId="04A5149F" w14:textId="77777777" w:rsidR="008C5CFA" w:rsidRPr="00BA47B4" w:rsidRDefault="00E82A60" w:rsidP="00300A01">
            <w:pPr>
              <w:spacing w:before="0" w:after="0"/>
              <w:rPr>
                <w:sz w:val="12"/>
                <w:szCs w:val="12"/>
                <w:lang w:val="fr-BE"/>
              </w:rPr>
            </w:pPr>
            <w:r w:rsidRPr="00BA47B4">
              <w:rPr>
                <w:sz w:val="12"/>
                <w:szCs w:val="12"/>
                <w:lang w:val="fr-BE"/>
              </w:rPr>
              <w:t xml:space="preserve"> </w:t>
            </w:r>
          </w:p>
        </w:tc>
        <w:tc>
          <w:tcPr>
            <w:tcW w:w="0" w:type="auto"/>
            <w:shd w:val="clear" w:color="auto" w:fill="auto"/>
          </w:tcPr>
          <w:p w14:paraId="4C14CAF0" w14:textId="77777777" w:rsidR="008C5CFA" w:rsidRPr="00BA47B4" w:rsidRDefault="008C5CFA" w:rsidP="00300A01">
            <w:pPr>
              <w:spacing w:before="0" w:after="0"/>
              <w:jc w:val="center"/>
              <w:rPr>
                <w:sz w:val="12"/>
                <w:szCs w:val="12"/>
                <w:lang w:val="fr-BE"/>
              </w:rPr>
            </w:pPr>
          </w:p>
        </w:tc>
        <w:tc>
          <w:tcPr>
            <w:tcW w:w="0" w:type="auto"/>
            <w:shd w:val="clear" w:color="auto" w:fill="auto"/>
          </w:tcPr>
          <w:p w14:paraId="54BA3559" w14:textId="77777777" w:rsidR="008C5CFA" w:rsidRPr="00BA47B4" w:rsidRDefault="008C5CFA" w:rsidP="00300A01">
            <w:pPr>
              <w:spacing w:before="0" w:after="0"/>
              <w:jc w:val="right"/>
              <w:rPr>
                <w:sz w:val="12"/>
                <w:szCs w:val="12"/>
                <w:lang w:val="fr-BE"/>
              </w:rPr>
            </w:pPr>
          </w:p>
        </w:tc>
        <w:tc>
          <w:tcPr>
            <w:tcW w:w="0" w:type="auto"/>
            <w:shd w:val="clear" w:color="auto" w:fill="auto"/>
          </w:tcPr>
          <w:p w14:paraId="069D8136" w14:textId="77777777" w:rsidR="008C5CFA" w:rsidRPr="00BA47B4" w:rsidRDefault="008C5CFA" w:rsidP="00300A01">
            <w:pPr>
              <w:spacing w:before="0" w:after="0"/>
              <w:jc w:val="right"/>
              <w:rPr>
                <w:sz w:val="12"/>
                <w:szCs w:val="12"/>
                <w:lang w:val="fr-BE"/>
              </w:rPr>
            </w:pPr>
          </w:p>
        </w:tc>
        <w:tc>
          <w:tcPr>
            <w:tcW w:w="0" w:type="auto"/>
            <w:shd w:val="clear" w:color="auto" w:fill="auto"/>
          </w:tcPr>
          <w:p w14:paraId="63729AFB" w14:textId="77777777" w:rsidR="008C5CFA" w:rsidRPr="00BA47B4" w:rsidRDefault="008C5CFA" w:rsidP="00300A01">
            <w:pPr>
              <w:spacing w:before="0" w:after="0"/>
              <w:jc w:val="right"/>
              <w:rPr>
                <w:sz w:val="12"/>
                <w:szCs w:val="12"/>
                <w:lang w:val="fr-BE"/>
              </w:rPr>
            </w:pPr>
          </w:p>
        </w:tc>
        <w:tc>
          <w:tcPr>
            <w:tcW w:w="0" w:type="auto"/>
            <w:shd w:val="clear" w:color="auto" w:fill="auto"/>
          </w:tcPr>
          <w:p w14:paraId="3EB06906" w14:textId="77777777" w:rsidR="008C5CFA" w:rsidRPr="00BA47B4" w:rsidRDefault="00E82A60" w:rsidP="00300A01">
            <w:pPr>
              <w:spacing w:before="0" w:after="0"/>
              <w:jc w:val="right"/>
              <w:rPr>
                <w:sz w:val="12"/>
                <w:szCs w:val="12"/>
                <w:lang w:val="fr-BE"/>
              </w:rPr>
            </w:pPr>
            <w:r w:rsidRPr="00BA47B4">
              <w:rPr>
                <w:noProof/>
                <w:sz w:val="12"/>
                <w:szCs w:val="12"/>
                <w:lang w:val="fr-BE"/>
              </w:rPr>
              <w:t>12,00</w:t>
            </w:r>
          </w:p>
        </w:tc>
        <w:tc>
          <w:tcPr>
            <w:tcW w:w="0" w:type="auto"/>
            <w:shd w:val="clear" w:color="auto" w:fill="auto"/>
          </w:tcPr>
          <w:p w14:paraId="10B9DCDB" w14:textId="77777777" w:rsidR="008C5CFA" w:rsidRPr="00BA47B4" w:rsidRDefault="00E82A60" w:rsidP="00300A01">
            <w:pPr>
              <w:spacing w:before="0" w:after="0"/>
              <w:jc w:val="right"/>
              <w:rPr>
                <w:sz w:val="12"/>
                <w:szCs w:val="12"/>
                <w:lang w:val="fr-BE"/>
              </w:rPr>
            </w:pPr>
            <w:r w:rsidRPr="00BA47B4">
              <w:rPr>
                <w:noProof/>
                <w:sz w:val="12"/>
                <w:szCs w:val="12"/>
                <w:lang w:val="fr-BE"/>
              </w:rPr>
              <w:t>5,00</w:t>
            </w:r>
          </w:p>
        </w:tc>
        <w:tc>
          <w:tcPr>
            <w:tcW w:w="0" w:type="auto"/>
            <w:shd w:val="clear" w:color="auto" w:fill="auto"/>
          </w:tcPr>
          <w:p w14:paraId="455A7096" w14:textId="77777777" w:rsidR="008C5CFA" w:rsidRPr="00BA47B4" w:rsidRDefault="00E82A60" w:rsidP="00300A01">
            <w:pPr>
              <w:spacing w:before="0" w:after="0"/>
              <w:jc w:val="right"/>
              <w:rPr>
                <w:sz w:val="12"/>
                <w:szCs w:val="12"/>
                <w:lang w:val="fr-BE"/>
              </w:rPr>
            </w:pPr>
            <w:r w:rsidRPr="00BA47B4">
              <w:rPr>
                <w:noProof/>
                <w:sz w:val="12"/>
                <w:szCs w:val="12"/>
                <w:lang w:val="fr-BE"/>
              </w:rPr>
              <w:t>7,00</w:t>
            </w:r>
          </w:p>
        </w:tc>
        <w:tc>
          <w:tcPr>
            <w:tcW w:w="0" w:type="auto"/>
            <w:shd w:val="clear" w:color="auto" w:fill="auto"/>
          </w:tcPr>
          <w:p w14:paraId="399DF8B8" w14:textId="77777777" w:rsidR="008C5CFA" w:rsidRPr="00BA47B4" w:rsidRDefault="008C5CFA" w:rsidP="00300A01">
            <w:pPr>
              <w:spacing w:before="0" w:after="0"/>
              <w:jc w:val="right"/>
              <w:rPr>
                <w:sz w:val="12"/>
                <w:szCs w:val="12"/>
                <w:lang w:val="fr-BE"/>
              </w:rPr>
            </w:pPr>
          </w:p>
        </w:tc>
        <w:tc>
          <w:tcPr>
            <w:tcW w:w="0" w:type="auto"/>
            <w:shd w:val="clear" w:color="auto" w:fill="auto"/>
          </w:tcPr>
          <w:p w14:paraId="7C5B7698" w14:textId="77777777" w:rsidR="008C5CFA" w:rsidRPr="00BA47B4" w:rsidRDefault="008C5CFA" w:rsidP="00300A01">
            <w:pPr>
              <w:spacing w:before="0" w:after="0"/>
              <w:jc w:val="right"/>
              <w:rPr>
                <w:sz w:val="12"/>
                <w:szCs w:val="12"/>
                <w:lang w:val="fr-BE"/>
              </w:rPr>
            </w:pPr>
          </w:p>
        </w:tc>
        <w:tc>
          <w:tcPr>
            <w:tcW w:w="0" w:type="auto"/>
            <w:shd w:val="clear" w:color="auto" w:fill="auto"/>
          </w:tcPr>
          <w:p w14:paraId="5BE1978F" w14:textId="77777777" w:rsidR="008C5CFA" w:rsidRPr="00BA47B4" w:rsidRDefault="008C5CFA" w:rsidP="00300A01">
            <w:pPr>
              <w:spacing w:before="0" w:after="0"/>
              <w:jc w:val="right"/>
              <w:rPr>
                <w:sz w:val="12"/>
                <w:szCs w:val="12"/>
                <w:lang w:val="fr-BE"/>
              </w:rPr>
            </w:pPr>
          </w:p>
        </w:tc>
        <w:tc>
          <w:tcPr>
            <w:tcW w:w="0" w:type="auto"/>
            <w:shd w:val="clear" w:color="auto" w:fill="auto"/>
          </w:tcPr>
          <w:p w14:paraId="788029FA"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67D764A3"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r>
    </w:tbl>
    <w:p w14:paraId="2CFD8CC1" w14:textId="77777777" w:rsidR="008C5CFA" w:rsidRDefault="008C5CFA" w:rsidP="00300A01">
      <w:pPr>
        <w:keepNext/>
        <w:spacing w:before="0" w:after="0"/>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37"/>
        <w:gridCol w:w="8668"/>
        <w:gridCol w:w="884"/>
        <w:gridCol w:w="596"/>
        <w:gridCol w:w="463"/>
        <w:gridCol w:w="596"/>
        <w:gridCol w:w="463"/>
        <w:gridCol w:w="596"/>
        <w:gridCol w:w="463"/>
        <w:gridCol w:w="596"/>
        <w:gridCol w:w="463"/>
        <w:gridCol w:w="596"/>
        <w:gridCol w:w="463"/>
      </w:tblGrid>
      <w:tr w:rsidR="006B2EC1" w14:paraId="6DCA2BB7" w14:textId="77777777" w:rsidTr="0047688D">
        <w:trPr>
          <w:tblHeader/>
        </w:trPr>
        <w:tc>
          <w:tcPr>
            <w:tcW w:w="0" w:type="auto"/>
            <w:shd w:val="clear" w:color="auto" w:fill="auto"/>
          </w:tcPr>
          <w:p w14:paraId="160D92D2" w14:textId="77777777" w:rsidR="008C5CFA" w:rsidRPr="00F53019" w:rsidRDefault="00E82A60" w:rsidP="00300A01">
            <w:pPr>
              <w:spacing w:before="0" w:after="0"/>
              <w:rPr>
                <w:b/>
                <w:sz w:val="12"/>
                <w:szCs w:val="12"/>
                <w:lang w:val="fr-BE"/>
              </w:rPr>
            </w:pPr>
            <w:r w:rsidRPr="00F53019">
              <w:rPr>
                <w:b/>
                <w:noProof/>
                <w:sz w:val="12"/>
                <w:szCs w:val="12"/>
                <w:lang w:val="fr-BE"/>
              </w:rPr>
              <w:t>ID</w:t>
            </w:r>
          </w:p>
        </w:tc>
        <w:tc>
          <w:tcPr>
            <w:tcW w:w="0" w:type="auto"/>
            <w:shd w:val="clear" w:color="auto" w:fill="auto"/>
          </w:tcPr>
          <w:p w14:paraId="21C63970" w14:textId="77777777" w:rsidR="008C5CFA" w:rsidRPr="00F53019" w:rsidRDefault="00E82A60" w:rsidP="00300A01">
            <w:pPr>
              <w:spacing w:before="0" w:after="0"/>
              <w:rPr>
                <w:b/>
                <w:sz w:val="12"/>
                <w:szCs w:val="12"/>
                <w:lang w:val="fr-BE"/>
              </w:rPr>
            </w:pPr>
            <w:r w:rsidRPr="00F53019">
              <w:rPr>
                <w:b/>
                <w:noProof/>
                <w:sz w:val="12"/>
                <w:szCs w:val="12"/>
                <w:lang w:val="fr-BE"/>
              </w:rPr>
              <w:t>Wskaźnik</w:t>
            </w:r>
          </w:p>
        </w:tc>
        <w:tc>
          <w:tcPr>
            <w:tcW w:w="0" w:type="auto"/>
            <w:shd w:val="clear" w:color="auto" w:fill="auto"/>
          </w:tcPr>
          <w:p w14:paraId="4C964B8A" w14:textId="77777777" w:rsidR="008C5CFA" w:rsidRPr="00F53019" w:rsidRDefault="00E82A60" w:rsidP="00300A01">
            <w:pPr>
              <w:spacing w:before="0" w:after="0"/>
              <w:rPr>
                <w:b/>
                <w:sz w:val="12"/>
                <w:szCs w:val="12"/>
                <w:lang w:val="fr-BE"/>
              </w:rPr>
            </w:pPr>
            <w:r w:rsidRPr="00F53019">
              <w:rPr>
                <w:b/>
                <w:noProof/>
                <w:sz w:val="12"/>
                <w:szCs w:val="12"/>
                <w:lang w:val="fr-BE"/>
              </w:rPr>
              <w:t>Kategoria regionu</w:t>
            </w:r>
          </w:p>
        </w:tc>
        <w:tc>
          <w:tcPr>
            <w:tcW w:w="0" w:type="auto"/>
            <w:gridSpan w:val="2"/>
          </w:tcPr>
          <w:p w14:paraId="3CDCBC68" w14:textId="77777777" w:rsidR="008C5CFA" w:rsidRPr="00F53019" w:rsidRDefault="00E82A60" w:rsidP="00300A01">
            <w:pPr>
              <w:spacing w:before="0" w:after="0"/>
              <w:jc w:val="center"/>
              <w:rPr>
                <w:b/>
                <w:sz w:val="12"/>
                <w:szCs w:val="12"/>
                <w:lang w:val="fr-BE"/>
              </w:rPr>
            </w:pPr>
            <w:r>
              <w:rPr>
                <w:b/>
                <w:sz w:val="12"/>
                <w:szCs w:val="12"/>
                <w:lang w:val="fr-BE"/>
              </w:rPr>
              <w:t>2018</w:t>
            </w:r>
          </w:p>
        </w:tc>
        <w:tc>
          <w:tcPr>
            <w:tcW w:w="0" w:type="auto"/>
            <w:gridSpan w:val="2"/>
          </w:tcPr>
          <w:p w14:paraId="7B34C25C" w14:textId="77777777" w:rsidR="008C5CFA" w:rsidRPr="00F53019" w:rsidRDefault="00E82A60" w:rsidP="00300A01">
            <w:pPr>
              <w:spacing w:before="0" w:after="0"/>
              <w:jc w:val="center"/>
              <w:rPr>
                <w:b/>
                <w:sz w:val="12"/>
                <w:szCs w:val="12"/>
                <w:lang w:val="fr-BE"/>
              </w:rPr>
            </w:pPr>
            <w:r>
              <w:rPr>
                <w:b/>
                <w:sz w:val="12"/>
                <w:szCs w:val="12"/>
                <w:lang w:val="fr-BE"/>
              </w:rPr>
              <w:t>2017</w:t>
            </w:r>
          </w:p>
        </w:tc>
        <w:tc>
          <w:tcPr>
            <w:tcW w:w="0" w:type="auto"/>
            <w:gridSpan w:val="2"/>
          </w:tcPr>
          <w:p w14:paraId="321148CC" w14:textId="77777777" w:rsidR="008C5CFA" w:rsidRPr="00F53019" w:rsidRDefault="00E82A60" w:rsidP="00300A01">
            <w:pPr>
              <w:spacing w:before="0" w:after="0"/>
              <w:jc w:val="center"/>
              <w:rPr>
                <w:b/>
                <w:sz w:val="12"/>
                <w:szCs w:val="12"/>
                <w:lang w:val="fr-BE"/>
              </w:rPr>
            </w:pPr>
            <w:r>
              <w:rPr>
                <w:b/>
                <w:sz w:val="12"/>
                <w:szCs w:val="12"/>
                <w:lang w:val="fr-BE"/>
              </w:rPr>
              <w:t>2016</w:t>
            </w:r>
          </w:p>
        </w:tc>
        <w:tc>
          <w:tcPr>
            <w:tcW w:w="0" w:type="auto"/>
            <w:gridSpan w:val="2"/>
          </w:tcPr>
          <w:p w14:paraId="5C2279DF" w14:textId="77777777" w:rsidR="008C5CFA" w:rsidRPr="00F53019" w:rsidRDefault="00E82A60" w:rsidP="00300A01">
            <w:pPr>
              <w:spacing w:before="0" w:after="0"/>
              <w:jc w:val="center"/>
              <w:rPr>
                <w:b/>
                <w:sz w:val="12"/>
                <w:szCs w:val="12"/>
                <w:lang w:val="fr-BE"/>
              </w:rPr>
            </w:pPr>
            <w:r>
              <w:rPr>
                <w:b/>
                <w:sz w:val="12"/>
                <w:szCs w:val="12"/>
                <w:lang w:val="fr-BE"/>
              </w:rPr>
              <w:t>2015</w:t>
            </w:r>
          </w:p>
        </w:tc>
        <w:tc>
          <w:tcPr>
            <w:tcW w:w="0" w:type="auto"/>
            <w:gridSpan w:val="2"/>
            <w:shd w:val="clear" w:color="auto" w:fill="auto"/>
          </w:tcPr>
          <w:p w14:paraId="31AA4FF5" w14:textId="77777777" w:rsidR="008C5CFA" w:rsidRPr="00F53019" w:rsidRDefault="00E82A60" w:rsidP="00300A01">
            <w:pPr>
              <w:spacing w:before="0" w:after="0"/>
              <w:jc w:val="center"/>
              <w:rPr>
                <w:b/>
                <w:sz w:val="12"/>
                <w:szCs w:val="12"/>
                <w:lang w:val="fr-BE"/>
              </w:rPr>
            </w:pPr>
            <w:r>
              <w:rPr>
                <w:b/>
                <w:sz w:val="12"/>
                <w:szCs w:val="12"/>
                <w:lang w:val="fr-BE"/>
              </w:rPr>
              <w:t>2014</w:t>
            </w:r>
          </w:p>
        </w:tc>
      </w:tr>
      <w:tr w:rsidR="006B2EC1" w14:paraId="00A93B42" w14:textId="77777777" w:rsidTr="0047688D">
        <w:trPr>
          <w:tblHeader/>
        </w:trPr>
        <w:tc>
          <w:tcPr>
            <w:tcW w:w="0" w:type="auto"/>
            <w:shd w:val="clear" w:color="auto" w:fill="auto"/>
          </w:tcPr>
          <w:p w14:paraId="7FFBF0C8" w14:textId="77777777" w:rsidR="008C5CFA" w:rsidRPr="00F53019" w:rsidRDefault="008C5CFA" w:rsidP="00300A01">
            <w:pPr>
              <w:spacing w:before="0" w:after="0"/>
              <w:rPr>
                <w:b/>
                <w:sz w:val="12"/>
                <w:szCs w:val="12"/>
                <w:lang w:val="fr-BE"/>
              </w:rPr>
            </w:pPr>
          </w:p>
        </w:tc>
        <w:tc>
          <w:tcPr>
            <w:tcW w:w="0" w:type="auto"/>
            <w:shd w:val="clear" w:color="auto" w:fill="auto"/>
          </w:tcPr>
          <w:p w14:paraId="7F5118AC" w14:textId="77777777" w:rsidR="008C5CFA" w:rsidRPr="00F53019" w:rsidRDefault="008C5CFA" w:rsidP="00300A01">
            <w:pPr>
              <w:spacing w:before="0" w:after="0"/>
              <w:rPr>
                <w:b/>
                <w:sz w:val="12"/>
                <w:szCs w:val="12"/>
                <w:lang w:val="fr-BE"/>
              </w:rPr>
            </w:pPr>
          </w:p>
        </w:tc>
        <w:tc>
          <w:tcPr>
            <w:tcW w:w="0" w:type="auto"/>
            <w:shd w:val="clear" w:color="auto" w:fill="auto"/>
          </w:tcPr>
          <w:p w14:paraId="652C6D9A" w14:textId="77777777" w:rsidR="008C5CFA" w:rsidRPr="00F53019" w:rsidRDefault="008C5CFA" w:rsidP="00300A01">
            <w:pPr>
              <w:spacing w:before="0" w:after="0"/>
              <w:rPr>
                <w:b/>
                <w:sz w:val="12"/>
                <w:szCs w:val="12"/>
                <w:lang w:val="fr-BE"/>
              </w:rPr>
            </w:pPr>
          </w:p>
        </w:tc>
        <w:tc>
          <w:tcPr>
            <w:tcW w:w="0" w:type="auto"/>
          </w:tcPr>
          <w:p w14:paraId="7475952B" w14:textId="77777777" w:rsidR="008C5CFA" w:rsidRPr="00F53019" w:rsidRDefault="00E82A60" w:rsidP="00300A01">
            <w:pPr>
              <w:spacing w:before="0" w:after="0"/>
              <w:jc w:val="center"/>
              <w:rPr>
                <w:b/>
                <w:sz w:val="12"/>
                <w:szCs w:val="12"/>
                <w:lang w:val="fr-BE"/>
              </w:rPr>
            </w:pPr>
            <w:r w:rsidRPr="00F53019">
              <w:rPr>
                <w:b/>
                <w:noProof/>
                <w:sz w:val="12"/>
                <w:szCs w:val="12"/>
                <w:lang w:val="fr-BE"/>
              </w:rPr>
              <w:t>Mężczyźni</w:t>
            </w:r>
          </w:p>
        </w:tc>
        <w:tc>
          <w:tcPr>
            <w:tcW w:w="0" w:type="auto"/>
          </w:tcPr>
          <w:p w14:paraId="5DE885DC" w14:textId="77777777" w:rsidR="008C5CFA" w:rsidRPr="00F53019" w:rsidRDefault="00E82A60" w:rsidP="00300A01">
            <w:pPr>
              <w:spacing w:before="0" w:after="0"/>
              <w:jc w:val="center"/>
              <w:rPr>
                <w:b/>
                <w:sz w:val="12"/>
                <w:szCs w:val="12"/>
                <w:lang w:val="fr-BE"/>
              </w:rPr>
            </w:pPr>
            <w:r w:rsidRPr="00F53019">
              <w:rPr>
                <w:b/>
                <w:noProof/>
                <w:sz w:val="12"/>
                <w:szCs w:val="12"/>
                <w:lang w:val="fr-BE"/>
              </w:rPr>
              <w:t>Kobiety</w:t>
            </w:r>
          </w:p>
        </w:tc>
        <w:tc>
          <w:tcPr>
            <w:tcW w:w="0" w:type="auto"/>
          </w:tcPr>
          <w:p w14:paraId="3C6430D9" w14:textId="77777777" w:rsidR="008C5CFA" w:rsidRPr="00F53019" w:rsidRDefault="00E82A60" w:rsidP="00300A01">
            <w:pPr>
              <w:spacing w:before="0" w:after="0"/>
              <w:jc w:val="center"/>
              <w:rPr>
                <w:b/>
                <w:sz w:val="12"/>
                <w:szCs w:val="12"/>
                <w:lang w:val="fr-BE"/>
              </w:rPr>
            </w:pPr>
            <w:r w:rsidRPr="00F53019">
              <w:rPr>
                <w:b/>
                <w:noProof/>
                <w:sz w:val="12"/>
                <w:szCs w:val="12"/>
                <w:lang w:val="fr-BE"/>
              </w:rPr>
              <w:t>Mężczyźni</w:t>
            </w:r>
          </w:p>
        </w:tc>
        <w:tc>
          <w:tcPr>
            <w:tcW w:w="0" w:type="auto"/>
          </w:tcPr>
          <w:p w14:paraId="6AB2CC32" w14:textId="77777777" w:rsidR="008C5CFA" w:rsidRPr="00F53019" w:rsidRDefault="00E82A60" w:rsidP="00300A01">
            <w:pPr>
              <w:spacing w:before="0" w:after="0"/>
              <w:jc w:val="center"/>
              <w:rPr>
                <w:b/>
                <w:sz w:val="12"/>
                <w:szCs w:val="12"/>
                <w:lang w:val="fr-BE"/>
              </w:rPr>
            </w:pPr>
            <w:r w:rsidRPr="00F53019">
              <w:rPr>
                <w:b/>
                <w:noProof/>
                <w:sz w:val="12"/>
                <w:szCs w:val="12"/>
                <w:lang w:val="fr-BE"/>
              </w:rPr>
              <w:t>Kobiety</w:t>
            </w:r>
          </w:p>
        </w:tc>
        <w:tc>
          <w:tcPr>
            <w:tcW w:w="0" w:type="auto"/>
          </w:tcPr>
          <w:p w14:paraId="6850926C" w14:textId="77777777" w:rsidR="008C5CFA" w:rsidRPr="00F53019" w:rsidRDefault="00E82A60" w:rsidP="00300A01">
            <w:pPr>
              <w:spacing w:before="0" w:after="0"/>
              <w:jc w:val="center"/>
              <w:rPr>
                <w:b/>
                <w:sz w:val="12"/>
                <w:szCs w:val="12"/>
                <w:lang w:val="fr-BE"/>
              </w:rPr>
            </w:pPr>
            <w:r w:rsidRPr="00F53019">
              <w:rPr>
                <w:b/>
                <w:noProof/>
                <w:sz w:val="12"/>
                <w:szCs w:val="12"/>
                <w:lang w:val="fr-BE"/>
              </w:rPr>
              <w:t>Mężczyźni</w:t>
            </w:r>
          </w:p>
        </w:tc>
        <w:tc>
          <w:tcPr>
            <w:tcW w:w="0" w:type="auto"/>
          </w:tcPr>
          <w:p w14:paraId="760E2787" w14:textId="77777777" w:rsidR="008C5CFA" w:rsidRPr="00F53019" w:rsidRDefault="00E82A60" w:rsidP="00300A01">
            <w:pPr>
              <w:spacing w:before="0" w:after="0"/>
              <w:jc w:val="center"/>
              <w:rPr>
                <w:b/>
                <w:sz w:val="12"/>
                <w:szCs w:val="12"/>
                <w:lang w:val="fr-BE"/>
              </w:rPr>
            </w:pPr>
            <w:r w:rsidRPr="00F53019">
              <w:rPr>
                <w:b/>
                <w:noProof/>
                <w:sz w:val="12"/>
                <w:szCs w:val="12"/>
                <w:lang w:val="fr-BE"/>
              </w:rPr>
              <w:t>Kobiety</w:t>
            </w:r>
          </w:p>
        </w:tc>
        <w:tc>
          <w:tcPr>
            <w:tcW w:w="0" w:type="auto"/>
          </w:tcPr>
          <w:p w14:paraId="180F4E45" w14:textId="77777777" w:rsidR="008C5CFA" w:rsidRPr="00F53019" w:rsidRDefault="00E82A60" w:rsidP="00300A01">
            <w:pPr>
              <w:spacing w:before="0" w:after="0"/>
              <w:jc w:val="center"/>
              <w:rPr>
                <w:b/>
                <w:sz w:val="12"/>
                <w:szCs w:val="12"/>
                <w:lang w:val="fr-BE"/>
              </w:rPr>
            </w:pPr>
            <w:r w:rsidRPr="00F53019">
              <w:rPr>
                <w:b/>
                <w:noProof/>
                <w:sz w:val="12"/>
                <w:szCs w:val="12"/>
                <w:lang w:val="fr-BE"/>
              </w:rPr>
              <w:t>Mężczyźni</w:t>
            </w:r>
          </w:p>
        </w:tc>
        <w:tc>
          <w:tcPr>
            <w:tcW w:w="0" w:type="auto"/>
          </w:tcPr>
          <w:p w14:paraId="1E3A7A05" w14:textId="77777777" w:rsidR="008C5CFA" w:rsidRPr="00F53019" w:rsidRDefault="00E82A60" w:rsidP="00300A01">
            <w:pPr>
              <w:spacing w:before="0" w:after="0"/>
              <w:jc w:val="center"/>
              <w:rPr>
                <w:b/>
                <w:sz w:val="12"/>
                <w:szCs w:val="12"/>
                <w:lang w:val="fr-BE"/>
              </w:rPr>
            </w:pPr>
            <w:r w:rsidRPr="00F53019">
              <w:rPr>
                <w:b/>
                <w:noProof/>
                <w:sz w:val="12"/>
                <w:szCs w:val="12"/>
                <w:lang w:val="fr-BE"/>
              </w:rPr>
              <w:t>Kobiety</w:t>
            </w:r>
          </w:p>
        </w:tc>
        <w:tc>
          <w:tcPr>
            <w:tcW w:w="0" w:type="auto"/>
            <w:shd w:val="clear" w:color="auto" w:fill="auto"/>
          </w:tcPr>
          <w:p w14:paraId="4467DA32" w14:textId="77777777" w:rsidR="008C5CFA" w:rsidRPr="00F53019" w:rsidRDefault="00E82A60"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14:paraId="5F2A9BD6" w14:textId="77777777" w:rsidR="008C5CFA" w:rsidRPr="00F53019" w:rsidRDefault="00E82A60" w:rsidP="00300A01">
            <w:pPr>
              <w:spacing w:before="0" w:after="0"/>
              <w:jc w:val="center"/>
              <w:rPr>
                <w:b/>
                <w:sz w:val="12"/>
                <w:szCs w:val="12"/>
                <w:lang w:val="fr-BE"/>
              </w:rPr>
            </w:pPr>
            <w:r w:rsidRPr="00F53019">
              <w:rPr>
                <w:b/>
                <w:noProof/>
                <w:sz w:val="12"/>
                <w:szCs w:val="12"/>
                <w:lang w:val="fr-BE"/>
              </w:rPr>
              <w:t>Kobiety</w:t>
            </w:r>
          </w:p>
        </w:tc>
      </w:tr>
      <w:tr w:rsidR="006B2EC1" w14:paraId="736CC939" w14:textId="77777777" w:rsidTr="0047688D">
        <w:tc>
          <w:tcPr>
            <w:tcW w:w="0" w:type="auto"/>
            <w:shd w:val="clear" w:color="auto" w:fill="auto"/>
          </w:tcPr>
          <w:p w14:paraId="775316A2" w14:textId="77777777" w:rsidR="008C5CFA" w:rsidRPr="00BA47B4" w:rsidRDefault="00E82A60" w:rsidP="00300A01">
            <w:pPr>
              <w:spacing w:before="0" w:after="0"/>
              <w:rPr>
                <w:sz w:val="12"/>
                <w:szCs w:val="12"/>
                <w:lang w:val="fr-BE"/>
              </w:rPr>
            </w:pPr>
            <w:r w:rsidRPr="00BA47B4">
              <w:rPr>
                <w:noProof/>
                <w:sz w:val="12"/>
                <w:szCs w:val="12"/>
                <w:lang w:val="fr-BE"/>
              </w:rPr>
              <w:t>CR01</w:t>
            </w:r>
          </w:p>
        </w:tc>
        <w:tc>
          <w:tcPr>
            <w:tcW w:w="0" w:type="auto"/>
            <w:shd w:val="clear" w:color="auto" w:fill="auto"/>
          </w:tcPr>
          <w:p w14:paraId="499845E1" w14:textId="77777777" w:rsidR="008C5CFA" w:rsidRPr="00BA47B4" w:rsidRDefault="00E82A60" w:rsidP="00300A01">
            <w:pPr>
              <w:spacing w:before="0" w:after="0"/>
              <w:rPr>
                <w:sz w:val="12"/>
                <w:szCs w:val="12"/>
                <w:lang w:val="fr-BE"/>
              </w:rPr>
            </w:pPr>
            <w:r w:rsidRPr="00BA47B4">
              <w:rPr>
                <w:noProof/>
                <w:sz w:val="12"/>
                <w:szCs w:val="12"/>
                <w:lang w:val="fr-BE"/>
              </w:rPr>
              <w:t>bierni zawodowo uczestnicy poszukujący pracy po opuszczeniu programu</w:t>
            </w:r>
          </w:p>
        </w:tc>
        <w:tc>
          <w:tcPr>
            <w:tcW w:w="0" w:type="auto"/>
            <w:shd w:val="clear" w:color="auto" w:fill="auto"/>
          </w:tcPr>
          <w:p w14:paraId="71BDA5DF" w14:textId="77777777" w:rsidR="008C5CFA" w:rsidRPr="00BA47B4" w:rsidRDefault="00E82A60" w:rsidP="00300A01">
            <w:pPr>
              <w:spacing w:before="0" w:after="0"/>
              <w:rPr>
                <w:sz w:val="12"/>
                <w:szCs w:val="12"/>
                <w:lang w:val="fr-BE"/>
              </w:rPr>
            </w:pPr>
            <w:r w:rsidRPr="00BA47B4">
              <w:rPr>
                <w:noProof/>
                <w:sz w:val="12"/>
                <w:szCs w:val="12"/>
                <w:lang w:val="fr-BE"/>
              </w:rPr>
              <w:t>Słabiej rozwinięte</w:t>
            </w:r>
          </w:p>
        </w:tc>
        <w:tc>
          <w:tcPr>
            <w:tcW w:w="0" w:type="auto"/>
          </w:tcPr>
          <w:p w14:paraId="139153C0"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4946AA6A"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37049128"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45416D8B"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7A14484E"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7726DE3B"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29286E0D"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0F12C2DD"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5DCA5F77"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37BD4780"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r>
      <w:tr w:rsidR="006B2EC1" w14:paraId="43957873" w14:textId="77777777" w:rsidTr="0047688D">
        <w:tc>
          <w:tcPr>
            <w:tcW w:w="0" w:type="auto"/>
            <w:shd w:val="clear" w:color="auto" w:fill="auto"/>
          </w:tcPr>
          <w:p w14:paraId="2F7073BD" w14:textId="77777777" w:rsidR="008C5CFA" w:rsidRPr="00BA47B4" w:rsidRDefault="00E82A60" w:rsidP="00300A01">
            <w:pPr>
              <w:spacing w:before="0" w:after="0"/>
              <w:rPr>
                <w:sz w:val="12"/>
                <w:szCs w:val="12"/>
                <w:lang w:val="fr-BE"/>
              </w:rPr>
            </w:pPr>
            <w:r w:rsidRPr="00BA47B4">
              <w:rPr>
                <w:noProof/>
                <w:sz w:val="12"/>
                <w:szCs w:val="12"/>
                <w:lang w:val="fr-BE"/>
              </w:rPr>
              <w:t>CR02</w:t>
            </w:r>
          </w:p>
        </w:tc>
        <w:tc>
          <w:tcPr>
            <w:tcW w:w="0" w:type="auto"/>
            <w:shd w:val="clear" w:color="auto" w:fill="auto"/>
          </w:tcPr>
          <w:p w14:paraId="0814E006" w14:textId="77777777" w:rsidR="008C5CFA" w:rsidRPr="00BA47B4" w:rsidRDefault="00E82A60" w:rsidP="00300A01">
            <w:pPr>
              <w:spacing w:before="0" w:after="0"/>
              <w:rPr>
                <w:sz w:val="12"/>
                <w:szCs w:val="12"/>
                <w:lang w:val="fr-BE"/>
              </w:rPr>
            </w:pPr>
            <w:r w:rsidRPr="00BA47B4">
              <w:rPr>
                <w:noProof/>
                <w:sz w:val="12"/>
                <w:szCs w:val="12"/>
                <w:lang w:val="fr-BE"/>
              </w:rPr>
              <w:t>uczestnicy kształcący lub szkolący się po opuszczeniu programu</w:t>
            </w:r>
          </w:p>
        </w:tc>
        <w:tc>
          <w:tcPr>
            <w:tcW w:w="0" w:type="auto"/>
            <w:shd w:val="clear" w:color="auto" w:fill="auto"/>
          </w:tcPr>
          <w:p w14:paraId="23E2E8CC" w14:textId="77777777" w:rsidR="008C5CFA" w:rsidRPr="00BA47B4" w:rsidRDefault="00E82A60" w:rsidP="00300A01">
            <w:pPr>
              <w:spacing w:before="0" w:after="0"/>
              <w:rPr>
                <w:sz w:val="12"/>
                <w:szCs w:val="12"/>
                <w:lang w:val="fr-BE"/>
              </w:rPr>
            </w:pPr>
            <w:r w:rsidRPr="00BA47B4">
              <w:rPr>
                <w:noProof/>
                <w:sz w:val="12"/>
                <w:szCs w:val="12"/>
                <w:lang w:val="fr-BE"/>
              </w:rPr>
              <w:t>Słabiej rozwinięte</w:t>
            </w:r>
          </w:p>
        </w:tc>
        <w:tc>
          <w:tcPr>
            <w:tcW w:w="0" w:type="auto"/>
          </w:tcPr>
          <w:p w14:paraId="5309B0CD"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35D08862"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1C0CDE43"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34B76ED5"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7C23A795"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7EE106E5"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19D2847E"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3C318EA5"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543A249C"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559B5840"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r>
      <w:tr w:rsidR="006B2EC1" w14:paraId="46564459" w14:textId="77777777" w:rsidTr="0047688D">
        <w:tc>
          <w:tcPr>
            <w:tcW w:w="0" w:type="auto"/>
            <w:shd w:val="clear" w:color="auto" w:fill="auto"/>
          </w:tcPr>
          <w:p w14:paraId="583AAE84" w14:textId="77777777" w:rsidR="008C5CFA" w:rsidRPr="00BA47B4" w:rsidRDefault="00E82A60" w:rsidP="00300A01">
            <w:pPr>
              <w:spacing w:before="0" w:after="0"/>
              <w:rPr>
                <w:sz w:val="12"/>
                <w:szCs w:val="12"/>
                <w:lang w:val="fr-BE"/>
              </w:rPr>
            </w:pPr>
            <w:r w:rsidRPr="00BA47B4">
              <w:rPr>
                <w:noProof/>
                <w:sz w:val="12"/>
                <w:szCs w:val="12"/>
                <w:lang w:val="fr-BE"/>
              </w:rPr>
              <w:t>CR03</w:t>
            </w:r>
          </w:p>
        </w:tc>
        <w:tc>
          <w:tcPr>
            <w:tcW w:w="0" w:type="auto"/>
            <w:shd w:val="clear" w:color="auto" w:fill="auto"/>
          </w:tcPr>
          <w:p w14:paraId="5E45D684" w14:textId="77777777" w:rsidR="008C5CFA" w:rsidRPr="00BA47B4" w:rsidRDefault="00E82A60" w:rsidP="00300A01">
            <w:pPr>
              <w:spacing w:before="0" w:after="0"/>
              <w:rPr>
                <w:sz w:val="12"/>
                <w:szCs w:val="12"/>
                <w:lang w:val="fr-BE"/>
              </w:rPr>
            </w:pPr>
            <w:r w:rsidRPr="00BA47B4">
              <w:rPr>
                <w:noProof/>
                <w:sz w:val="12"/>
                <w:szCs w:val="12"/>
                <w:lang w:val="fr-BE"/>
              </w:rPr>
              <w:t>uczestnicy uzyskujący kwalifikacje po opuszczeniu programu</w:t>
            </w:r>
          </w:p>
        </w:tc>
        <w:tc>
          <w:tcPr>
            <w:tcW w:w="0" w:type="auto"/>
            <w:shd w:val="clear" w:color="auto" w:fill="auto"/>
          </w:tcPr>
          <w:p w14:paraId="38437A9E" w14:textId="77777777" w:rsidR="008C5CFA" w:rsidRPr="00BA47B4" w:rsidRDefault="00E82A60" w:rsidP="00300A01">
            <w:pPr>
              <w:spacing w:before="0" w:after="0"/>
              <w:rPr>
                <w:sz w:val="12"/>
                <w:szCs w:val="12"/>
                <w:lang w:val="fr-BE"/>
              </w:rPr>
            </w:pPr>
            <w:r w:rsidRPr="00BA47B4">
              <w:rPr>
                <w:noProof/>
                <w:sz w:val="12"/>
                <w:szCs w:val="12"/>
                <w:lang w:val="fr-BE"/>
              </w:rPr>
              <w:t>Słabiej rozwinięte</w:t>
            </w:r>
          </w:p>
        </w:tc>
        <w:tc>
          <w:tcPr>
            <w:tcW w:w="0" w:type="auto"/>
          </w:tcPr>
          <w:p w14:paraId="0FC3D21F"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6660B71E"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275DDB28"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56AD5E87"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54104871"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0FB80A5E"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22728088"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1DB9A6B8"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763D94FE"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3389BE4C"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r>
      <w:tr w:rsidR="006B2EC1" w14:paraId="57474B55" w14:textId="77777777" w:rsidTr="0047688D">
        <w:tc>
          <w:tcPr>
            <w:tcW w:w="0" w:type="auto"/>
            <w:shd w:val="clear" w:color="auto" w:fill="auto"/>
          </w:tcPr>
          <w:p w14:paraId="7688E2E5" w14:textId="77777777" w:rsidR="008C5CFA" w:rsidRPr="00BA47B4" w:rsidRDefault="00E82A60" w:rsidP="00300A01">
            <w:pPr>
              <w:spacing w:before="0" w:after="0"/>
              <w:rPr>
                <w:sz w:val="12"/>
                <w:szCs w:val="12"/>
                <w:lang w:val="fr-BE"/>
              </w:rPr>
            </w:pPr>
            <w:r w:rsidRPr="00BA47B4">
              <w:rPr>
                <w:noProof/>
                <w:sz w:val="12"/>
                <w:szCs w:val="12"/>
                <w:lang w:val="fr-BE"/>
              </w:rPr>
              <w:t>CR04</w:t>
            </w:r>
          </w:p>
        </w:tc>
        <w:tc>
          <w:tcPr>
            <w:tcW w:w="0" w:type="auto"/>
            <w:shd w:val="clear" w:color="auto" w:fill="auto"/>
          </w:tcPr>
          <w:p w14:paraId="7C755FDA" w14:textId="77777777" w:rsidR="008C5CFA" w:rsidRPr="00BA47B4" w:rsidRDefault="00E82A60" w:rsidP="00300A01">
            <w:pPr>
              <w:spacing w:before="0" w:after="0"/>
              <w:rPr>
                <w:sz w:val="12"/>
                <w:szCs w:val="12"/>
                <w:lang w:val="fr-BE"/>
              </w:rPr>
            </w:pPr>
            <w:r w:rsidRPr="00BA47B4">
              <w:rPr>
                <w:noProof/>
                <w:sz w:val="12"/>
                <w:szCs w:val="12"/>
                <w:lang w:val="fr-BE"/>
              </w:rPr>
              <w:t>uczestnicy pracujący, łącznie z prowadzącymi działalność na własny rachunek, po opuszczeniu programu</w:t>
            </w:r>
          </w:p>
        </w:tc>
        <w:tc>
          <w:tcPr>
            <w:tcW w:w="0" w:type="auto"/>
            <w:shd w:val="clear" w:color="auto" w:fill="auto"/>
          </w:tcPr>
          <w:p w14:paraId="3DEB275B" w14:textId="77777777" w:rsidR="008C5CFA" w:rsidRPr="00BA47B4" w:rsidRDefault="00E82A60" w:rsidP="00300A01">
            <w:pPr>
              <w:spacing w:before="0" w:after="0"/>
              <w:rPr>
                <w:sz w:val="12"/>
                <w:szCs w:val="12"/>
                <w:lang w:val="fr-BE"/>
              </w:rPr>
            </w:pPr>
            <w:r w:rsidRPr="00BA47B4">
              <w:rPr>
                <w:noProof/>
                <w:sz w:val="12"/>
                <w:szCs w:val="12"/>
                <w:lang w:val="fr-BE"/>
              </w:rPr>
              <w:t>Słabiej rozwinięte</w:t>
            </w:r>
          </w:p>
        </w:tc>
        <w:tc>
          <w:tcPr>
            <w:tcW w:w="0" w:type="auto"/>
          </w:tcPr>
          <w:p w14:paraId="01519CF6"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32FF471C"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0657CA6E"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70FD80FD"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484A53BF"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667BA2EC"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30261E16"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415D107A"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2A4DF409"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0B97BD56"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r>
      <w:tr w:rsidR="006B2EC1" w14:paraId="4E8DB245" w14:textId="77777777" w:rsidTr="0047688D">
        <w:tc>
          <w:tcPr>
            <w:tcW w:w="0" w:type="auto"/>
            <w:shd w:val="clear" w:color="auto" w:fill="auto"/>
          </w:tcPr>
          <w:p w14:paraId="6521D378" w14:textId="77777777" w:rsidR="008C5CFA" w:rsidRPr="00BA47B4" w:rsidRDefault="00E82A60" w:rsidP="00300A01">
            <w:pPr>
              <w:spacing w:before="0" w:after="0"/>
              <w:rPr>
                <w:sz w:val="12"/>
                <w:szCs w:val="12"/>
                <w:lang w:val="fr-BE"/>
              </w:rPr>
            </w:pPr>
            <w:r w:rsidRPr="00BA47B4">
              <w:rPr>
                <w:noProof/>
                <w:sz w:val="12"/>
                <w:szCs w:val="12"/>
                <w:lang w:val="fr-BE"/>
              </w:rPr>
              <w:t>CR05</w:t>
            </w:r>
          </w:p>
        </w:tc>
        <w:tc>
          <w:tcPr>
            <w:tcW w:w="0" w:type="auto"/>
            <w:shd w:val="clear" w:color="auto" w:fill="auto"/>
          </w:tcPr>
          <w:p w14:paraId="5DBA8965" w14:textId="77777777" w:rsidR="008C5CFA" w:rsidRPr="00BA47B4" w:rsidRDefault="00E82A60" w:rsidP="00300A01">
            <w:pPr>
              <w:spacing w:before="0" w:after="0"/>
              <w:rPr>
                <w:sz w:val="12"/>
                <w:szCs w:val="12"/>
                <w:lang w:val="fr-BE"/>
              </w:rPr>
            </w:pPr>
            <w:r w:rsidRPr="00BA47B4">
              <w:rPr>
                <w:noProof/>
                <w:sz w:val="12"/>
                <w:szCs w:val="12"/>
                <w:lang w:val="fr-BE"/>
              </w:rPr>
              <w:t>uczestnicy w niekorzystnej sytuacji społecznej poszukujący pracy, uczestniczący w kształceniu lub szkoleniu, zdobywający kwalifikacje lub pracujący (łącznie z prowadzącymi działalność na własny rachunek) po opuszczeniu programu</w:t>
            </w:r>
          </w:p>
        </w:tc>
        <w:tc>
          <w:tcPr>
            <w:tcW w:w="0" w:type="auto"/>
            <w:shd w:val="clear" w:color="auto" w:fill="auto"/>
          </w:tcPr>
          <w:p w14:paraId="5835C99F" w14:textId="77777777" w:rsidR="008C5CFA" w:rsidRPr="00BA47B4" w:rsidRDefault="00E82A60" w:rsidP="00300A01">
            <w:pPr>
              <w:spacing w:before="0" w:after="0"/>
              <w:rPr>
                <w:sz w:val="12"/>
                <w:szCs w:val="12"/>
                <w:lang w:val="fr-BE"/>
              </w:rPr>
            </w:pPr>
            <w:r w:rsidRPr="00BA47B4">
              <w:rPr>
                <w:noProof/>
                <w:sz w:val="12"/>
                <w:szCs w:val="12"/>
                <w:lang w:val="fr-BE"/>
              </w:rPr>
              <w:t>Słabiej rozwinięte</w:t>
            </w:r>
          </w:p>
        </w:tc>
        <w:tc>
          <w:tcPr>
            <w:tcW w:w="0" w:type="auto"/>
          </w:tcPr>
          <w:p w14:paraId="2284C21D"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5A1794D8"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55B61927"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45EFE295"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1ED439CF"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4EBA7F35"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63AEF941"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4A9D2D1F"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0AD8D76E"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3BCD5048"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r>
      <w:tr w:rsidR="006B2EC1" w14:paraId="68B9732F" w14:textId="77777777" w:rsidTr="0047688D">
        <w:tc>
          <w:tcPr>
            <w:tcW w:w="0" w:type="auto"/>
            <w:shd w:val="clear" w:color="auto" w:fill="auto"/>
          </w:tcPr>
          <w:p w14:paraId="2CFCF249" w14:textId="77777777" w:rsidR="008C5CFA" w:rsidRPr="00BA47B4" w:rsidRDefault="00E82A60" w:rsidP="00300A01">
            <w:pPr>
              <w:spacing w:before="0" w:after="0"/>
              <w:rPr>
                <w:sz w:val="12"/>
                <w:szCs w:val="12"/>
                <w:lang w:val="fr-BE"/>
              </w:rPr>
            </w:pPr>
            <w:r w:rsidRPr="00BA47B4">
              <w:rPr>
                <w:noProof/>
                <w:sz w:val="12"/>
                <w:szCs w:val="12"/>
                <w:lang w:val="fr-BE"/>
              </w:rPr>
              <w:t>CR06</w:t>
            </w:r>
          </w:p>
        </w:tc>
        <w:tc>
          <w:tcPr>
            <w:tcW w:w="0" w:type="auto"/>
            <w:shd w:val="clear" w:color="auto" w:fill="auto"/>
          </w:tcPr>
          <w:p w14:paraId="7EE79F9A" w14:textId="77777777" w:rsidR="008C5CFA" w:rsidRPr="00BA47B4" w:rsidRDefault="00E82A60" w:rsidP="00300A01">
            <w:pPr>
              <w:spacing w:before="0" w:after="0"/>
              <w:rPr>
                <w:sz w:val="12"/>
                <w:szCs w:val="12"/>
                <w:lang w:val="fr-BE"/>
              </w:rPr>
            </w:pPr>
            <w:r w:rsidRPr="00BA47B4">
              <w:rPr>
                <w:noProof/>
                <w:sz w:val="12"/>
                <w:szCs w:val="12"/>
                <w:lang w:val="fr-BE"/>
              </w:rPr>
              <w:t>uczestnicy pracujący, łącznie z prowadzącymi działalność na własny rachunek, sześć miesięcy po opuszczeniu programu</w:t>
            </w:r>
          </w:p>
        </w:tc>
        <w:tc>
          <w:tcPr>
            <w:tcW w:w="0" w:type="auto"/>
            <w:shd w:val="clear" w:color="auto" w:fill="auto"/>
          </w:tcPr>
          <w:p w14:paraId="16E2C2EB" w14:textId="77777777" w:rsidR="008C5CFA" w:rsidRPr="00BA47B4" w:rsidRDefault="00E82A60" w:rsidP="00300A01">
            <w:pPr>
              <w:spacing w:before="0" w:after="0"/>
              <w:rPr>
                <w:sz w:val="12"/>
                <w:szCs w:val="12"/>
                <w:lang w:val="fr-BE"/>
              </w:rPr>
            </w:pPr>
            <w:r w:rsidRPr="00BA47B4">
              <w:rPr>
                <w:noProof/>
                <w:sz w:val="12"/>
                <w:szCs w:val="12"/>
                <w:lang w:val="fr-BE"/>
              </w:rPr>
              <w:t>Słabiej rozwinięte</w:t>
            </w:r>
          </w:p>
        </w:tc>
        <w:tc>
          <w:tcPr>
            <w:tcW w:w="0" w:type="auto"/>
          </w:tcPr>
          <w:p w14:paraId="145C8179" w14:textId="77777777" w:rsidR="008C5CFA" w:rsidRPr="00BA47B4" w:rsidRDefault="00E82A60" w:rsidP="00300A01">
            <w:pPr>
              <w:spacing w:before="0" w:after="0"/>
              <w:jc w:val="right"/>
              <w:rPr>
                <w:sz w:val="12"/>
                <w:szCs w:val="12"/>
                <w:lang w:val="fr-BE"/>
              </w:rPr>
            </w:pPr>
            <w:r w:rsidRPr="00BA47B4">
              <w:rPr>
                <w:noProof/>
                <w:sz w:val="12"/>
                <w:szCs w:val="12"/>
                <w:lang w:val="fr-BE"/>
              </w:rPr>
              <w:t>49,00</w:t>
            </w:r>
          </w:p>
        </w:tc>
        <w:tc>
          <w:tcPr>
            <w:tcW w:w="0" w:type="auto"/>
          </w:tcPr>
          <w:p w14:paraId="3BDFB91A" w14:textId="77777777" w:rsidR="008C5CFA" w:rsidRPr="00BA47B4" w:rsidRDefault="00E82A60" w:rsidP="00300A01">
            <w:pPr>
              <w:spacing w:before="0" w:after="0"/>
              <w:jc w:val="right"/>
              <w:rPr>
                <w:sz w:val="12"/>
                <w:szCs w:val="12"/>
                <w:lang w:val="fr-BE"/>
              </w:rPr>
            </w:pPr>
            <w:r w:rsidRPr="00BA47B4">
              <w:rPr>
                <w:noProof/>
                <w:sz w:val="12"/>
                <w:szCs w:val="12"/>
                <w:lang w:val="fr-BE"/>
              </w:rPr>
              <w:t>743,00</w:t>
            </w:r>
          </w:p>
        </w:tc>
        <w:tc>
          <w:tcPr>
            <w:tcW w:w="0" w:type="auto"/>
          </w:tcPr>
          <w:p w14:paraId="10CCF27D"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217F694C"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2FF751D1"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3E0A8429"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347CEC71"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378772D5"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624D2FAA"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462A883D"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r>
      <w:tr w:rsidR="006B2EC1" w14:paraId="38DCE403" w14:textId="77777777" w:rsidTr="0047688D">
        <w:tc>
          <w:tcPr>
            <w:tcW w:w="0" w:type="auto"/>
            <w:shd w:val="clear" w:color="auto" w:fill="auto"/>
          </w:tcPr>
          <w:p w14:paraId="2D84C8E9" w14:textId="77777777" w:rsidR="008C5CFA" w:rsidRPr="00BA47B4" w:rsidRDefault="00E82A60" w:rsidP="00300A01">
            <w:pPr>
              <w:spacing w:before="0" w:after="0"/>
              <w:rPr>
                <w:sz w:val="12"/>
                <w:szCs w:val="12"/>
                <w:lang w:val="fr-BE"/>
              </w:rPr>
            </w:pPr>
            <w:r w:rsidRPr="00BA47B4">
              <w:rPr>
                <w:noProof/>
                <w:sz w:val="12"/>
                <w:szCs w:val="12"/>
                <w:lang w:val="fr-BE"/>
              </w:rPr>
              <w:t>CR07</w:t>
            </w:r>
          </w:p>
        </w:tc>
        <w:tc>
          <w:tcPr>
            <w:tcW w:w="0" w:type="auto"/>
            <w:shd w:val="clear" w:color="auto" w:fill="auto"/>
          </w:tcPr>
          <w:p w14:paraId="5A1C6FA1" w14:textId="77777777" w:rsidR="008C5CFA" w:rsidRPr="00BA47B4" w:rsidRDefault="00E82A60" w:rsidP="00300A01">
            <w:pPr>
              <w:spacing w:before="0" w:after="0"/>
              <w:rPr>
                <w:sz w:val="12"/>
                <w:szCs w:val="12"/>
                <w:lang w:val="fr-BE"/>
              </w:rPr>
            </w:pPr>
            <w:r w:rsidRPr="00BA47B4">
              <w:rPr>
                <w:noProof/>
                <w:sz w:val="12"/>
                <w:szCs w:val="12"/>
                <w:lang w:val="fr-BE"/>
              </w:rPr>
              <w:t>uczestnicy znajdujący się w lepszej sytuacji na rynku pracy sześć miesięcy po opuszczeniu programu</w:t>
            </w:r>
          </w:p>
        </w:tc>
        <w:tc>
          <w:tcPr>
            <w:tcW w:w="0" w:type="auto"/>
            <w:shd w:val="clear" w:color="auto" w:fill="auto"/>
          </w:tcPr>
          <w:p w14:paraId="0FF35D4A" w14:textId="77777777" w:rsidR="008C5CFA" w:rsidRPr="00BA47B4" w:rsidRDefault="00E82A60" w:rsidP="00300A01">
            <w:pPr>
              <w:spacing w:before="0" w:after="0"/>
              <w:rPr>
                <w:sz w:val="12"/>
                <w:szCs w:val="12"/>
                <w:lang w:val="fr-BE"/>
              </w:rPr>
            </w:pPr>
            <w:r w:rsidRPr="00BA47B4">
              <w:rPr>
                <w:noProof/>
                <w:sz w:val="12"/>
                <w:szCs w:val="12"/>
                <w:lang w:val="fr-BE"/>
              </w:rPr>
              <w:t>Słabiej rozwinięte</w:t>
            </w:r>
          </w:p>
        </w:tc>
        <w:tc>
          <w:tcPr>
            <w:tcW w:w="0" w:type="auto"/>
          </w:tcPr>
          <w:p w14:paraId="064EA5A5" w14:textId="77777777" w:rsidR="008C5CFA" w:rsidRPr="00BA47B4" w:rsidRDefault="00E82A60" w:rsidP="00300A01">
            <w:pPr>
              <w:spacing w:before="0" w:after="0"/>
              <w:jc w:val="right"/>
              <w:rPr>
                <w:sz w:val="12"/>
                <w:szCs w:val="12"/>
                <w:lang w:val="fr-BE"/>
              </w:rPr>
            </w:pPr>
            <w:r w:rsidRPr="00BA47B4">
              <w:rPr>
                <w:noProof/>
                <w:sz w:val="12"/>
                <w:szCs w:val="12"/>
                <w:lang w:val="fr-BE"/>
              </w:rPr>
              <w:t>73,00</w:t>
            </w:r>
          </w:p>
        </w:tc>
        <w:tc>
          <w:tcPr>
            <w:tcW w:w="0" w:type="auto"/>
          </w:tcPr>
          <w:p w14:paraId="1235628B" w14:textId="77777777" w:rsidR="008C5CFA" w:rsidRPr="00BA47B4" w:rsidRDefault="00E82A60" w:rsidP="00300A01">
            <w:pPr>
              <w:spacing w:before="0" w:after="0"/>
              <w:jc w:val="right"/>
              <w:rPr>
                <w:sz w:val="12"/>
                <w:szCs w:val="12"/>
                <w:lang w:val="fr-BE"/>
              </w:rPr>
            </w:pPr>
            <w:r w:rsidRPr="00BA47B4">
              <w:rPr>
                <w:noProof/>
                <w:sz w:val="12"/>
                <w:szCs w:val="12"/>
                <w:lang w:val="fr-BE"/>
              </w:rPr>
              <w:t>498,00</w:t>
            </w:r>
          </w:p>
        </w:tc>
        <w:tc>
          <w:tcPr>
            <w:tcW w:w="0" w:type="auto"/>
          </w:tcPr>
          <w:p w14:paraId="2512196F"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42666DDF"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6E91E6D7"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6E51B658"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4FCD5211"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12D23902"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25E1CB9C"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624CD6E4"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r>
      <w:tr w:rsidR="006B2EC1" w14:paraId="311B02DA" w14:textId="77777777" w:rsidTr="0047688D">
        <w:tc>
          <w:tcPr>
            <w:tcW w:w="0" w:type="auto"/>
            <w:shd w:val="clear" w:color="auto" w:fill="auto"/>
          </w:tcPr>
          <w:p w14:paraId="0D24123F" w14:textId="77777777" w:rsidR="008C5CFA" w:rsidRPr="00BA47B4" w:rsidRDefault="00E82A60" w:rsidP="00300A01">
            <w:pPr>
              <w:spacing w:before="0" w:after="0"/>
              <w:rPr>
                <w:sz w:val="12"/>
                <w:szCs w:val="12"/>
                <w:lang w:val="fr-BE"/>
              </w:rPr>
            </w:pPr>
            <w:r w:rsidRPr="00BA47B4">
              <w:rPr>
                <w:noProof/>
                <w:sz w:val="12"/>
                <w:szCs w:val="12"/>
                <w:lang w:val="fr-BE"/>
              </w:rPr>
              <w:t>CR08</w:t>
            </w:r>
          </w:p>
        </w:tc>
        <w:tc>
          <w:tcPr>
            <w:tcW w:w="0" w:type="auto"/>
            <w:shd w:val="clear" w:color="auto" w:fill="auto"/>
          </w:tcPr>
          <w:p w14:paraId="3BDCB57B" w14:textId="77777777" w:rsidR="008C5CFA" w:rsidRPr="00BA47B4" w:rsidRDefault="00E82A60" w:rsidP="00300A01">
            <w:pPr>
              <w:spacing w:before="0" w:after="0"/>
              <w:rPr>
                <w:sz w:val="12"/>
                <w:szCs w:val="12"/>
                <w:lang w:val="fr-BE"/>
              </w:rPr>
            </w:pPr>
            <w:r w:rsidRPr="00BA47B4">
              <w:rPr>
                <w:noProof/>
                <w:sz w:val="12"/>
                <w:szCs w:val="12"/>
                <w:lang w:val="fr-BE"/>
              </w:rPr>
              <w:t>uczestnicy powyżej 54 roku życia, pracujący, łącznie z prowadzącymi działalność na własny rachunek, sześć miesięcy po opuszczeniu programu</w:t>
            </w:r>
          </w:p>
        </w:tc>
        <w:tc>
          <w:tcPr>
            <w:tcW w:w="0" w:type="auto"/>
            <w:shd w:val="clear" w:color="auto" w:fill="auto"/>
          </w:tcPr>
          <w:p w14:paraId="1D2B0B2C" w14:textId="77777777" w:rsidR="008C5CFA" w:rsidRPr="00BA47B4" w:rsidRDefault="00E82A60" w:rsidP="00300A01">
            <w:pPr>
              <w:spacing w:before="0" w:after="0"/>
              <w:rPr>
                <w:sz w:val="12"/>
                <w:szCs w:val="12"/>
                <w:lang w:val="fr-BE"/>
              </w:rPr>
            </w:pPr>
            <w:r w:rsidRPr="00BA47B4">
              <w:rPr>
                <w:noProof/>
                <w:sz w:val="12"/>
                <w:szCs w:val="12"/>
                <w:lang w:val="fr-BE"/>
              </w:rPr>
              <w:t>Słabiej rozwinięte</w:t>
            </w:r>
          </w:p>
        </w:tc>
        <w:tc>
          <w:tcPr>
            <w:tcW w:w="0" w:type="auto"/>
          </w:tcPr>
          <w:p w14:paraId="17586882" w14:textId="77777777" w:rsidR="008C5CFA" w:rsidRPr="00BA47B4" w:rsidRDefault="00E82A60" w:rsidP="00300A01">
            <w:pPr>
              <w:spacing w:before="0" w:after="0"/>
              <w:jc w:val="right"/>
              <w:rPr>
                <w:sz w:val="12"/>
                <w:szCs w:val="12"/>
                <w:lang w:val="fr-BE"/>
              </w:rPr>
            </w:pPr>
            <w:r w:rsidRPr="00BA47B4">
              <w:rPr>
                <w:noProof/>
                <w:sz w:val="12"/>
                <w:szCs w:val="12"/>
                <w:lang w:val="fr-BE"/>
              </w:rPr>
              <w:t>10,00</w:t>
            </w:r>
          </w:p>
        </w:tc>
        <w:tc>
          <w:tcPr>
            <w:tcW w:w="0" w:type="auto"/>
          </w:tcPr>
          <w:p w14:paraId="35AE0EAE" w14:textId="77777777" w:rsidR="008C5CFA" w:rsidRPr="00BA47B4" w:rsidRDefault="00E82A60" w:rsidP="00300A01">
            <w:pPr>
              <w:spacing w:before="0" w:after="0"/>
              <w:jc w:val="right"/>
              <w:rPr>
                <w:sz w:val="12"/>
                <w:szCs w:val="12"/>
                <w:lang w:val="fr-BE"/>
              </w:rPr>
            </w:pPr>
            <w:r w:rsidRPr="00BA47B4">
              <w:rPr>
                <w:noProof/>
                <w:sz w:val="12"/>
                <w:szCs w:val="12"/>
                <w:lang w:val="fr-BE"/>
              </w:rPr>
              <w:t>170,00</w:t>
            </w:r>
          </w:p>
        </w:tc>
        <w:tc>
          <w:tcPr>
            <w:tcW w:w="0" w:type="auto"/>
          </w:tcPr>
          <w:p w14:paraId="7175FFAD"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56DE8137"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310FEE14"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4B2D399A"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21079599"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3B02E174"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788FF4EE"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45B44DD7"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r>
      <w:tr w:rsidR="006B2EC1" w14:paraId="00E59A8D" w14:textId="77777777" w:rsidTr="0047688D">
        <w:tc>
          <w:tcPr>
            <w:tcW w:w="0" w:type="auto"/>
            <w:shd w:val="clear" w:color="auto" w:fill="auto"/>
          </w:tcPr>
          <w:p w14:paraId="7449458D" w14:textId="77777777" w:rsidR="008C5CFA" w:rsidRPr="00BA47B4" w:rsidRDefault="00E82A60" w:rsidP="00300A01">
            <w:pPr>
              <w:spacing w:before="0" w:after="0"/>
              <w:rPr>
                <w:sz w:val="12"/>
                <w:szCs w:val="12"/>
                <w:lang w:val="fr-BE"/>
              </w:rPr>
            </w:pPr>
            <w:r w:rsidRPr="00BA47B4">
              <w:rPr>
                <w:noProof/>
                <w:sz w:val="12"/>
                <w:szCs w:val="12"/>
                <w:lang w:val="fr-BE"/>
              </w:rPr>
              <w:t>CR09</w:t>
            </w:r>
          </w:p>
        </w:tc>
        <w:tc>
          <w:tcPr>
            <w:tcW w:w="0" w:type="auto"/>
            <w:shd w:val="clear" w:color="auto" w:fill="auto"/>
          </w:tcPr>
          <w:p w14:paraId="39FE22B1" w14:textId="77777777" w:rsidR="008C5CFA" w:rsidRPr="00BA47B4" w:rsidRDefault="00E82A60" w:rsidP="00300A01">
            <w:pPr>
              <w:spacing w:before="0" w:after="0"/>
              <w:rPr>
                <w:sz w:val="12"/>
                <w:szCs w:val="12"/>
                <w:lang w:val="fr-BE"/>
              </w:rPr>
            </w:pPr>
            <w:r w:rsidRPr="00BA47B4">
              <w:rPr>
                <w:noProof/>
                <w:sz w:val="12"/>
                <w:szCs w:val="12"/>
                <w:lang w:val="fr-BE"/>
              </w:rPr>
              <w:t>uczestnicy w niekorzystnej sytuacji społecznej, pracujący, łącznie z prowadzącymi działalność na własny rachunek, sześć miesięcy po opuszczeniu programu</w:t>
            </w:r>
          </w:p>
        </w:tc>
        <w:tc>
          <w:tcPr>
            <w:tcW w:w="0" w:type="auto"/>
            <w:shd w:val="clear" w:color="auto" w:fill="auto"/>
          </w:tcPr>
          <w:p w14:paraId="6585AC80" w14:textId="77777777" w:rsidR="008C5CFA" w:rsidRPr="00BA47B4" w:rsidRDefault="00E82A60" w:rsidP="00300A01">
            <w:pPr>
              <w:spacing w:before="0" w:after="0"/>
              <w:rPr>
                <w:sz w:val="12"/>
                <w:szCs w:val="12"/>
                <w:lang w:val="fr-BE"/>
              </w:rPr>
            </w:pPr>
            <w:r w:rsidRPr="00BA47B4">
              <w:rPr>
                <w:noProof/>
                <w:sz w:val="12"/>
                <w:szCs w:val="12"/>
                <w:lang w:val="fr-BE"/>
              </w:rPr>
              <w:t>Słabiej rozwinięte</w:t>
            </w:r>
          </w:p>
        </w:tc>
        <w:tc>
          <w:tcPr>
            <w:tcW w:w="0" w:type="auto"/>
          </w:tcPr>
          <w:p w14:paraId="5437A049" w14:textId="77777777" w:rsidR="008C5CFA" w:rsidRPr="00BA47B4" w:rsidRDefault="00E82A60" w:rsidP="00300A01">
            <w:pPr>
              <w:spacing w:before="0" w:after="0"/>
              <w:jc w:val="right"/>
              <w:rPr>
                <w:sz w:val="12"/>
                <w:szCs w:val="12"/>
                <w:lang w:val="fr-BE"/>
              </w:rPr>
            </w:pPr>
            <w:r w:rsidRPr="00BA47B4">
              <w:rPr>
                <w:noProof/>
                <w:sz w:val="12"/>
                <w:szCs w:val="12"/>
                <w:lang w:val="fr-BE"/>
              </w:rPr>
              <w:t>5,00</w:t>
            </w:r>
          </w:p>
        </w:tc>
        <w:tc>
          <w:tcPr>
            <w:tcW w:w="0" w:type="auto"/>
          </w:tcPr>
          <w:p w14:paraId="750CFF09" w14:textId="77777777" w:rsidR="008C5CFA" w:rsidRPr="00BA47B4" w:rsidRDefault="00E82A60" w:rsidP="00300A01">
            <w:pPr>
              <w:spacing w:before="0" w:after="0"/>
              <w:jc w:val="right"/>
              <w:rPr>
                <w:sz w:val="12"/>
                <w:szCs w:val="12"/>
                <w:lang w:val="fr-BE"/>
              </w:rPr>
            </w:pPr>
            <w:r w:rsidRPr="00BA47B4">
              <w:rPr>
                <w:noProof/>
                <w:sz w:val="12"/>
                <w:szCs w:val="12"/>
                <w:lang w:val="fr-BE"/>
              </w:rPr>
              <w:t>7,00</w:t>
            </w:r>
          </w:p>
        </w:tc>
        <w:tc>
          <w:tcPr>
            <w:tcW w:w="0" w:type="auto"/>
          </w:tcPr>
          <w:p w14:paraId="0EA0F967"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508CA515"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3EA5E71A"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7D9FAD6E"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71CD3EC2"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69ED8499"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5804BF9E"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4937E8AA"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r>
    </w:tbl>
    <w:p w14:paraId="0366D012" w14:textId="77777777" w:rsidR="008C5CFA" w:rsidRPr="00530285" w:rsidRDefault="008C5CFA" w:rsidP="00300A01">
      <w:pPr>
        <w:keepNext/>
        <w:spacing w:before="0" w:after="0"/>
        <w:rPr>
          <w:sz w:val="20"/>
          <w:szCs w:val="20"/>
        </w:rPr>
      </w:pPr>
    </w:p>
    <w:p w14:paraId="1A48E28A" w14:textId="77777777" w:rsidR="008C5CFA" w:rsidRDefault="00E82A60" w:rsidP="00300A01">
      <w:pPr>
        <w:spacing w:before="0" w:after="0"/>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9"/>
        <w:gridCol w:w="9965"/>
      </w:tblGrid>
      <w:tr w:rsidR="006B2EC1" w14:paraId="0DEBFA92" w14:textId="77777777" w:rsidTr="0047688D">
        <w:tc>
          <w:tcPr>
            <w:tcW w:w="0" w:type="auto"/>
            <w:shd w:val="clear" w:color="auto" w:fill="auto"/>
          </w:tcPr>
          <w:p w14:paraId="7927763E" w14:textId="77777777" w:rsidR="008C5CFA" w:rsidRPr="002124FC" w:rsidRDefault="00E82A60" w:rsidP="00300A01">
            <w:pPr>
              <w:spacing w:before="0" w:after="0"/>
              <w:rPr>
                <w:sz w:val="20"/>
                <w:szCs w:val="20"/>
                <w:lang w:val="fr-BE"/>
              </w:rPr>
            </w:pPr>
            <w:r>
              <w:rPr>
                <w:lang w:val="fr-BE"/>
              </w:rPr>
              <w:lastRenderedPageBreak/>
              <w:br w:type="page"/>
            </w:r>
            <w:r>
              <w:rPr>
                <w:lang w:val="fr-BE"/>
              </w:rPr>
              <w:br w:type="page"/>
            </w:r>
            <w:r w:rsidRPr="002124FC">
              <w:rPr>
                <w:noProof/>
                <w:sz w:val="20"/>
                <w:szCs w:val="20"/>
                <w:lang w:val="fr-BE"/>
              </w:rPr>
              <w:t>Oś priorytetowa</w:t>
            </w:r>
          </w:p>
        </w:tc>
        <w:tc>
          <w:tcPr>
            <w:tcW w:w="0" w:type="auto"/>
            <w:shd w:val="clear" w:color="auto" w:fill="auto"/>
          </w:tcPr>
          <w:p w14:paraId="79F02C9A" w14:textId="77777777" w:rsidR="008C5CFA" w:rsidRPr="002124FC" w:rsidRDefault="00E82A60" w:rsidP="00300A01">
            <w:pPr>
              <w:spacing w:before="0" w:after="0"/>
              <w:rPr>
                <w:sz w:val="20"/>
                <w:szCs w:val="20"/>
                <w:lang w:val="fr-BE"/>
              </w:rPr>
            </w:pPr>
            <w:r w:rsidRPr="002124FC">
              <w:rPr>
                <w:noProof/>
                <w:sz w:val="20"/>
                <w:szCs w:val="20"/>
                <w:lang w:val="fr-BE"/>
              </w:rPr>
              <w:t>8</w:t>
            </w:r>
            <w:r w:rsidRPr="002124FC">
              <w:rPr>
                <w:sz w:val="20"/>
                <w:szCs w:val="20"/>
                <w:lang w:val="fr-BE"/>
              </w:rPr>
              <w:t xml:space="preserve"> - </w:t>
            </w:r>
            <w:r w:rsidRPr="002124FC">
              <w:rPr>
                <w:noProof/>
                <w:sz w:val="20"/>
                <w:szCs w:val="20"/>
                <w:lang w:val="fr-BE"/>
              </w:rPr>
              <w:t>Rozwój edukacji i aktywne społeczeństwo</w:t>
            </w:r>
          </w:p>
        </w:tc>
      </w:tr>
      <w:tr w:rsidR="006B2EC1" w14:paraId="58256BD6" w14:textId="77777777" w:rsidTr="0047688D">
        <w:tc>
          <w:tcPr>
            <w:tcW w:w="0" w:type="auto"/>
            <w:shd w:val="clear" w:color="auto" w:fill="auto"/>
          </w:tcPr>
          <w:p w14:paraId="30F878CC" w14:textId="77777777" w:rsidR="008C5CFA" w:rsidRPr="002124FC" w:rsidRDefault="00E82A60"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14:paraId="473F0812" w14:textId="77777777" w:rsidR="008C5CFA" w:rsidRPr="002124FC" w:rsidRDefault="00E82A60" w:rsidP="00300A01">
            <w:pPr>
              <w:spacing w:before="0" w:after="0"/>
              <w:rPr>
                <w:sz w:val="20"/>
                <w:szCs w:val="20"/>
                <w:lang w:val="fr-BE"/>
              </w:rPr>
            </w:pPr>
            <w:r w:rsidRPr="002124FC">
              <w:rPr>
                <w:noProof/>
                <w:sz w:val="20"/>
                <w:szCs w:val="20"/>
                <w:lang w:val="fr-BE"/>
              </w:rPr>
              <w:t>8vi</w:t>
            </w:r>
            <w:r w:rsidRPr="002124FC">
              <w:rPr>
                <w:sz w:val="20"/>
                <w:szCs w:val="20"/>
                <w:lang w:val="fr-BE"/>
              </w:rPr>
              <w:t xml:space="preserve"> - </w:t>
            </w:r>
            <w:r w:rsidRPr="002124FC">
              <w:rPr>
                <w:noProof/>
                <w:sz w:val="20"/>
                <w:szCs w:val="20"/>
                <w:lang w:val="fr-BE"/>
              </w:rPr>
              <w:t>Aktywne i zdrowe starzenie się</w:t>
            </w:r>
          </w:p>
        </w:tc>
      </w:tr>
    </w:tbl>
    <w:p w14:paraId="2EA6CDA8" w14:textId="77777777" w:rsidR="008C5CFA" w:rsidRPr="00920B4D" w:rsidRDefault="008C5CFA" w:rsidP="00300A01">
      <w:pPr>
        <w:spacing w:before="0" w:after="0"/>
        <w:rPr>
          <w:lang w:val="fr-BE"/>
        </w:rPr>
      </w:pPr>
    </w:p>
    <w:p w14:paraId="502C627F" w14:textId="77777777" w:rsidR="008C5CFA" w:rsidRPr="008E457C" w:rsidRDefault="00E82A60" w:rsidP="005272C2">
      <w:pPr>
        <w:pStyle w:val="Nagwek2"/>
        <w:spacing w:before="0" w:after="0"/>
        <w:rPr>
          <w:lang w:val="fr-BE"/>
        </w:rPr>
      </w:pPr>
      <w:bookmarkStart w:id="52" w:name="_Toc46391736"/>
      <w:r w:rsidRPr="008E457C">
        <w:rPr>
          <w:noProof/>
          <w:lang w:val="fr-BE"/>
        </w:rPr>
        <w:t>Tabela 2C</w:t>
      </w:r>
      <w:r w:rsidRPr="008E457C">
        <w:rPr>
          <w:lang w:val="fr-BE"/>
        </w:rPr>
        <w:t xml:space="preserve"> : </w:t>
      </w:r>
      <w:r w:rsidRPr="008E457C">
        <w:rPr>
          <w:noProof/>
          <w:lang w:val="fr-BE"/>
        </w:rPr>
        <w:t>Specyficzne dla programu wskaźniki rezultatu dla EFS oraz Inicjatywy na rzecz zatrudnienia ludzi młodych</w:t>
      </w:r>
      <w:bookmarkEnd w:id="52"/>
    </w:p>
    <w:p w14:paraId="51CB9261"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64"/>
        <w:gridCol w:w="2623"/>
        <w:gridCol w:w="765"/>
        <w:gridCol w:w="1102"/>
        <w:gridCol w:w="2029"/>
        <w:gridCol w:w="1745"/>
        <w:gridCol w:w="514"/>
        <w:gridCol w:w="564"/>
        <w:gridCol w:w="453"/>
        <w:gridCol w:w="448"/>
        <w:gridCol w:w="564"/>
        <w:gridCol w:w="453"/>
        <w:gridCol w:w="514"/>
        <w:gridCol w:w="564"/>
        <w:gridCol w:w="453"/>
        <w:gridCol w:w="514"/>
        <w:gridCol w:w="564"/>
        <w:gridCol w:w="453"/>
        <w:gridCol w:w="598"/>
      </w:tblGrid>
      <w:tr w:rsidR="006B2EC1" w14:paraId="3386D61B" w14:textId="77777777" w:rsidTr="0047688D">
        <w:trPr>
          <w:tblHeader/>
        </w:trPr>
        <w:tc>
          <w:tcPr>
            <w:tcW w:w="0" w:type="auto"/>
            <w:shd w:val="clear" w:color="auto" w:fill="auto"/>
          </w:tcPr>
          <w:p w14:paraId="09BB70D4" w14:textId="77777777" w:rsidR="008C5CFA" w:rsidRPr="00601E29" w:rsidRDefault="00E82A60" w:rsidP="00300A01">
            <w:pPr>
              <w:spacing w:before="0" w:after="0"/>
              <w:rPr>
                <w:b/>
                <w:sz w:val="10"/>
                <w:szCs w:val="10"/>
                <w:lang w:val="fr-BE"/>
              </w:rPr>
            </w:pPr>
            <w:r w:rsidRPr="00601E29">
              <w:rPr>
                <w:b/>
                <w:noProof/>
                <w:sz w:val="10"/>
                <w:szCs w:val="10"/>
                <w:lang w:val="fr-BE"/>
              </w:rPr>
              <w:t>ID</w:t>
            </w:r>
          </w:p>
        </w:tc>
        <w:tc>
          <w:tcPr>
            <w:tcW w:w="0" w:type="auto"/>
            <w:shd w:val="clear" w:color="auto" w:fill="auto"/>
          </w:tcPr>
          <w:p w14:paraId="76E42378" w14:textId="77777777" w:rsidR="008C5CFA" w:rsidRPr="00601E29" w:rsidRDefault="00E82A60" w:rsidP="00300A01">
            <w:pPr>
              <w:spacing w:before="0" w:after="0"/>
              <w:rPr>
                <w:b/>
                <w:sz w:val="10"/>
                <w:szCs w:val="10"/>
                <w:lang w:val="fr-BE"/>
              </w:rPr>
            </w:pPr>
            <w:r w:rsidRPr="00601E29">
              <w:rPr>
                <w:b/>
                <w:noProof/>
                <w:sz w:val="10"/>
                <w:szCs w:val="10"/>
                <w:lang w:val="fr-BE"/>
              </w:rPr>
              <w:t>Wskaźnik</w:t>
            </w:r>
          </w:p>
        </w:tc>
        <w:tc>
          <w:tcPr>
            <w:tcW w:w="0" w:type="auto"/>
            <w:shd w:val="clear" w:color="auto" w:fill="auto"/>
          </w:tcPr>
          <w:p w14:paraId="2931A41D" w14:textId="77777777" w:rsidR="008C5CFA" w:rsidRPr="00601E29" w:rsidRDefault="00E82A60" w:rsidP="00300A01">
            <w:pPr>
              <w:spacing w:before="0" w:after="0"/>
              <w:rPr>
                <w:b/>
                <w:sz w:val="10"/>
                <w:szCs w:val="10"/>
                <w:lang w:val="fr-BE"/>
              </w:rPr>
            </w:pPr>
            <w:r w:rsidRPr="00601E29">
              <w:rPr>
                <w:b/>
                <w:noProof/>
                <w:sz w:val="10"/>
                <w:szCs w:val="10"/>
                <w:lang w:val="fr-BE"/>
              </w:rPr>
              <w:t>Kategoria regionu</w:t>
            </w:r>
          </w:p>
        </w:tc>
        <w:tc>
          <w:tcPr>
            <w:tcW w:w="0" w:type="auto"/>
            <w:shd w:val="clear" w:color="auto" w:fill="auto"/>
          </w:tcPr>
          <w:p w14:paraId="7071A734" w14:textId="77777777" w:rsidR="008C5CFA" w:rsidRPr="00601E29" w:rsidRDefault="00E82A60" w:rsidP="00300A01">
            <w:pPr>
              <w:spacing w:before="0" w:after="0"/>
              <w:rPr>
                <w:b/>
                <w:sz w:val="10"/>
                <w:szCs w:val="10"/>
                <w:lang w:val="fr-BE"/>
              </w:rPr>
            </w:pPr>
            <w:r w:rsidRPr="00785F4A">
              <w:rPr>
                <w:b/>
                <w:noProof/>
                <w:sz w:val="10"/>
                <w:szCs w:val="10"/>
                <w:lang w:val="fr-BE"/>
              </w:rPr>
              <w:t>Jednostka pomiaru wskaźnika</w:t>
            </w:r>
          </w:p>
        </w:tc>
        <w:tc>
          <w:tcPr>
            <w:tcW w:w="0" w:type="auto"/>
            <w:shd w:val="clear" w:color="auto" w:fill="auto"/>
          </w:tcPr>
          <w:p w14:paraId="53285858" w14:textId="77777777" w:rsidR="008C5CFA" w:rsidRPr="00601E29" w:rsidRDefault="00E82A60" w:rsidP="00300A01">
            <w:pPr>
              <w:spacing w:before="0" w:after="0"/>
              <w:rPr>
                <w:b/>
                <w:sz w:val="10"/>
                <w:szCs w:val="10"/>
                <w:lang w:val="fr-BE"/>
              </w:rPr>
            </w:pPr>
            <w:r w:rsidRPr="00601E29">
              <w:rPr>
                <w:b/>
                <w:noProof/>
                <w:sz w:val="10"/>
                <w:szCs w:val="10"/>
                <w:lang w:val="fr-BE"/>
              </w:rPr>
              <w:t>Wskaźnik produktu stosowany jako podstawa do ustalania celów</w:t>
            </w:r>
          </w:p>
        </w:tc>
        <w:tc>
          <w:tcPr>
            <w:tcW w:w="0" w:type="auto"/>
            <w:shd w:val="clear" w:color="auto" w:fill="auto"/>
          </w:tcPr>
          <w:p w14:paraId="4DD21BE2" w14:textId="77777777" w:rsidR="008C5CFA" w:rsidRPr="00601E29" w:rsidRDefault="00E82A60" w:rsidP="00300A01">
            <w:pPr>
              <w:spacing w:before="0" w:after="0"/>
              <w:rPr>
                <w:b/>
                <w:sz w:val="10"/>
                <w:szCs w:val="10"/>
                <w:lang w:val="fr-BE"/>
              </w:rPr>
            </w:pPr>
            <w:r w:rsidRPr="00601E29">
              <w:rPr>
                <w:b/>
                <w:noProof/>
                <w:sz w:val="10"/>
                <w:szCs w:val="10"/>
                <w:lang w:val="fr-BE"/>
              </w:rPr>
              <w:t>Jednostka pomiaru dla wartości bazowej i docelowej</w:t>
            </w:r>
          </w:p>
        </w:tc>
        <w:tc>
          <w:tcPr>
            <w:tcW w:w="0" w:type="auto"/>
            <w:gridSpan w:val="3"/>
            <w:shd w:val="clear" w:color="auto" w:fill="auto"/>
          </w:tcPr>
          <w:p w14:paraId="108486DE" w14:textId="77777777" w:rsidR="008C5CFA" w:rsidRPr="00601E29" w:rsidRDefault="00E82A60" w:rsidP="00300A01">
            <w:pPr>
              <w:spacing w:before="0" w:after="0"/>
              <w:jc w:val="center"/>
              <w:rPr>
                <w:b/>
                <w:sz w:val="10"/>
                <w:szCs w:val="10"/>
                <w:lang w:val="fr-BE"/>
              </w:rPr>
            </w:pPr>
            <w:r w:rsidRPr="00601E29">
              <w:rPr>
                <w:b/>
                <w:noProof/>
                <w:sz w:val="10"/>
                <w:szCs w:val="10"/>
                <w:lang w:val="fr-BE"/>
              </w:rPr>
              <w:t>Wartość docelowa (2023)</w:t>
            </w:r>
          </w:p>
        </w:tc>
        <w:tc>
          <w:tcPr>
            <w:tcW w:w="0" w:type="auto"/>
            <w:gridSpan w:val="3"/>
            <w:shd w:val="clear" w:color="auto" w:fill="auto"/>
          </w:tcPr>
          <w:p w14:paraId="4736BD5A" w14:textId="77777777" w:rsidR="008C5CFA" w:rsidRPr="00601E29" w:rsidRDefault="00E82A60" w:rsidP="00300A01">
            <w:pPr>
              <w:spacing w:before="0" w:after="0"/>
              <w:jc w:val="center"/>
              <w:rPr>
                <w:b/>
                <w:sz w:val="10"/>
                <w:szCs w:val="10"/>
                <w:lang w:val="fr-BE"/>
              </w:rPr>
            </w:pPr>
            <w:r w:rsidRPr="00601E29">
              <w:rPr>
                <w:b/>
                <w:noProof/>
                <w:sz w:val="10"/>
                <w:szCs w:val="10"/>
                <w:lang w:val="fr-BE"/>
              </w:rPr>
              <w:t>Wskaźnik osiągnięć</w:t>
            </w:r>
          </w:p>
        </w:tc>
        <w:tc>
          <w:tcPr>
            <w:tcW w:w="0" w:type="auto"/>
            <w:gridSpan w:val="7"/>
            <w:shd w:val="clear" w:color="auto" w:fill="auto"/>
          </w:tcPr>
          <w:p w14:paraId="1A0B0335" w14:textId="77777777" w:rsidR="008C5CFA" w:rsidRPr="00601E29" w:rsidRDefault="00E82A60" w:rsidP="00300A01">
            <w:pPr>
              <w:spacing w:before="0" w:after="0"/>
              <w:jc w:val="center"/>
              <w:rPr>
                <w:b/>
                <w:sz w:val="10"/>
                <w:szCs w:val="10"/>
                <w:lang w:val="fr-BE"/>
              </w:rPr>
            </w:pPr>
            <w:r>
              <w:rPr>
                <w:b/>
                <w:sz w:val="10"/>
                <w:szCs w:val="10"/>
                <w:lang w:val="fr-BE"/>
              </w:rPr>
              <w:t>2019</w:t>
            </w:r>
          </w:p>
        </w:tc>
      </w:tr>
      <w:tr w:rsidR="006B2EC1" w14:paraId="04E77552" w14:textId="77777777" w:rsidTr="0047688D">
        <w:trPr>
          <w:tblHeader/>
        </w:trPr>
        <w:tc>
          <w:tcPr>
            <w:tcW w:w="0" w:type="auto"/>
            <w:shd w:val="clear" w:color="auto" w:fill="auto"/>
          </w:tcPr>
          <w:p w14:paraId="56D09915" w14:textId="77777777" w:rsidR="008C5CFA" w:rsidRPr="00601E29" w:rsidRDefault="008C5CFA" w:rsidP="00300A01">
            <w:pPr>
              <w:spacing w:before="0" w:after="0"/>
              <w:rPr>
                <w:b/>
                <w:sz w:val="10"/>
                <w:szCs w:val="10"/>
                <w:lang w:val="fr-BE"/>
              </w:rPr>
            </w:pPr>
          </w:p>
        </w:tc>
        <w:tc>
          <w:tcPr>
            <w:tcW w:w="0" w:type="auto"/>
            <w:shd w:val="clear" w:color="auto" w:fill="auto"/>
          </w:tcPr>
          <w:p w14:paraId="1B8D9B37" w14:textId="77777777" w:rsidR="008C5CFA" w:rsidRPr="00601E29" w:rsidRDefault="008C5CFA" w:rsidP="00300A01">
            <w:pPr>
              <w:spacing w:before="0" w:after="0"/>
              <w:rPr>
                <w:b/>
                <w:sz w:val="10"/>
                <w:szCs w:val="10"/>
                <w:lang w:val="fr-BE"/>
              </w:rPr>
            </w:pPr>
          </w:p>
        </w:tc>
        <w:tc>
          <w:tcPr>
            <w:tcW w:w="0" w:type="auto"/>
            <w:shd w:val="clear" w:color="auto" w:fill="auto"/>
          </w:tcPr>
          <w:p w14:paraId="228845A1" w14:textId="77777777" w:rsidR="008C5CFA" w:rsidRPr="00601E29" w:rsidRDefault="008C5CFA" w:rsidP="00300A01">
            <w:pPr>
              <w:spacing w:before="0" w:after="0"/>
              <w:rPr>
                <w:b/>
                <w:sz w:val="10"/>
                <w:szCs w:val="10"/>
                <w:lang w:val="fr-BE"/>
              </w:rPr>
            </w:pPr>
          </w:p>
        </w:tc>
        <w:tc>
          <w:tcPr>
            <w:tcW w:w="0" w:type="auto"/>
            <w:shd w:val="clear" w:color="auto" w:fill="auto"/>
          </w:tcPr>
          <w:p w14:paraId="60E3F140" w14:textId="77777777" w:rsidR="008C5CFA" w:rsidRPr="00601E29" w:rsidRDefault="008C5CFA" w:rsidP="00300A01">
            <w:pPr>
              <w:spacing w:before="0" w:after="0"/>
              <w:rPr>
                <w:b/>
                <w:sz w:val="10"/>
                <w:szCs w:val="10"/>
                <w:lang w:val="fr-BE"/>
              </w:rPr>
            </w:pPr>
          </w:p>
        </w:tc>
        <w:tc>
          <w:tcPr>
            <w:tcW w:w="0" w:type="auto"/>
            <w:shd w:val="clear" w:color="auto" w:fill="auto"/>
          </w:tcPr>
          <w:p w14:paraId="23AB1432" w14:textId="77777777" w:rsidR="008C5CFA" w:rsidRPr="00601E29" w:rsidRDefault="008C5CFA" w:rsidP="00300A01">
            <w:pPr>
              <w:spacing w:before="0" w:after="0"/>
              <w:rPr>
                <w:b/>
                <w:sz w:val="10"/>
                <w:szCs w:val="10"/>
                <w:lang w:val="fr-BE"/>
              </w:rPr>
            </w:pPr>
          </w:p>
        </w:tc>
        <w:tc>
          <w:tcPr>
            <w:tcW w:w="0" w:type="auto"/>
            <w:shd w:val="clear" w:color="auto" w:fill="auto"/>
          </w:tcPr>
          <w:p w14:paraId="753283E0" w14:textId="77777777" w:rsidR="008C5CFA" w:rsidRPr="00601E29" w:rsidRDefault="008C5CFA" w:rsidP="00300A01">
            <w:pPr>
              <w:spacing w:before="0" w:after="0"/>
              <w:rPr>
                <w:b/>
                <w:sz w:val="10"/>
                <w:szCs w:val="10"/>
                <w:lang w:val="fr-BE"/>
              </w:rPr>
            </w:pPr>
          </w:p>
        </w:tc>
        <w:tc>
          <w:tcPr>
            <w:tcW w:w="0" w:type="auto"/>
            <w:shd w:val="clear" w:color="auto" w:fill="auto"/>
          </w:tcPr>
          <w:p w14:paraId="2DFA0DAE" w14:textId="77777777" w:rsidR="008C5CFA" w:rsidRPr="00601E29" w:rsidRDefault="008C5CFA" w:rsidP="00300A01">
            <w:pPr>
              <w:spacing w:before="0" w:after="0"/>
              <w:jc w:val="center"/>
              <w:rPr>
                <w:b/>
                <w:sz w:val="10"/>
                <w:szCs w:val="10"/>
                <w:lang w:val="fr-BE"/>
              </w:rPr>
            </w:pPr>
          </w:p>
        </w:tc>
        <w:tc>
          <w:tcPr>
            <w:tcW w:w="0" w:type="auto"/>
            <w:shd w:val="clear" w:color="auto" w:fill="auto"/>
          </w:tcPr>
          <w:p w14:paraId="6CEB95DD" w14:textId="77777777" w:rsidR="008C5CFA" w:rsidRPr="00601E29" w:rsidRDefault="008C5CFA" w:rsidP="00300A01">
            <w:pPr>
              <w:spacing w:before="0" w:after="0"/>
              <w:jc w:val="center"/>
              <w:rPr>
                <w:b/>
                <w:sz w:val="10"/>
                <w:szCs w:val="10"/>
                <w:lang w:val="fr-BE"/>
              </w:rPr>
            </w:pPr>
          </w:p>
        </w:tc>
        <w:tc>
          <w:tcPr>
            <w:tcW w:w="0" w:type="auto"/>
            <w:shd w:val="clear" w:color="auto" w:fill="auto"/>
          </w:tcPr>
          <w:p w14:paraId="24E12E55" w14:textId="77777777" w:rsidR="008C5CFA" w:rsidRPr="00601E29" w:rsidRDefault="008C5CFA" w:rsidP="00300A01">
            <w:pPr>
              <w:spacing w:before="0" w:after="0"/>
              <w:jc w:val="center"/>
              <w:rPr>
                <w:b/>
                <w:sz w:val="10"/>
                <w:szCs w:val="10"/>
                <w:lang w:val="fr-BE"/>
              </w:rPr>
            </w:pPr>
          </w:p>
        </w:tc>
        <w:tc>
          <w:tcPr>
            <w:tcW w:w="0" w:type="auto"/>
            <w:shd w:val="clear" w:color="auto" w:fill="auto"/>
          </w:tcPr>
          <w:p w14:paraId="6DBB2DD8" w14:textId="77777777" w:rsidR="008C5CFA" w:rsidRPr="00601E29" w:rsidRDefault="008C5CFA" w:rsidP="00300A01">
            <w:pPr>
              <w:spacing w:before="0" w:after="0"/>
              <w:jc w:val="center"/>
              <w:rPr>
                <w:b/>
                <w:sz w:val="10"/>
                <w:szCs w:val="10"/>
                <w:lang w:val="fr-BE"/>
              </w:rPr>
            </w:pPr>
          </w:p>
        </w:tc>
        <w:tc>
          <w:tcPr>
            <w:tcW w:w="0" w:type="auto"/>
            <w:shd w:val="clear" w:color="auto" w:fill="auto"/>
          </w:tcPr>
          <w:p w14:paraId="40DAB5CC" w14:textId="77777777" w:rsidR="008C5CFA" w:rsidRPr="00601E29" w:rsidRDefault="008C5CFA" w:rsidP="00300A01">
            <w:pPr>
              <w:spacing w:before="0" w:after="0"/>
              <w:jc w:val="center"/>
              <w:rPr>
                <w:b/>
                <w:sz w:val="10"/>
                <w:szCs w:val="10"/>
                <w:lang w:val="fr-BE"/>
              </w:rPr>
            </w:pPr>
          </w:p>
        </w:tc>
        <w:tc>
          <w:tcPr>
            <w:tcW w:w="0" w:type="auto"/>
            <w:shd w:val="clear" w:color="auto" w:fill="auto"/>
          </w:tcPr>
          <w:p w14:paraId="217D368B" w14:textId="77777777" w:rsidR="008C5CFA" w:rsidRPr="00601E29" w:rsidRDefault="008C5CFA" w:rsidP="00300A01">
            <w:pPr>
              <w:spacing w:before="0" w:after="0"/>
              <w:jc w:val="center"/>
              <w:rPr>
                <w:b/>
                <w:sz w:val="10"/>
                <w:szCs w:val="10"/>
                <w:lang w:val="fr-BE"/>
              </w:rPr>
            </w:pPr>
          </w:p>
        </w:tc>
        <w:tc>
          <w:tcPr>
            <w:tcW w:w="0" w:type="auto"/>
            <w:gridSpan w:val="3"/>
            <w:shd w:val="clear" w:color="auto" w:fill="auto"/>
          </w:tcPr>
          <w:p w14:paraId="5BA22765" w14:textId="77777777" w:rsidR="008C5CFA" w:rsidRPr="00601E29" w:rsidRDefault="00E82A60" w:rsidP="00300A01">
            <w:pPr>
              <w:spacing w:before="0" w:after="0"/>
              <w:jc w:val="center"/>
              <w:rPr>
                <w:b/>
                <w:sz w:val="10"/>
                <w:szCs w:val="10"/>
                <w:lang w:val="fr-BE"/>
              </w:rPr>
            </w:pPr>
            <w:r w:rsidRPr="00601E29">
              <w:rPr>
                <w:b/>
                <w:noProof/>
                <w:sz w:val="10"/>
                <w:szCs w:val="10"/>
                <w:lang w:val="fr-BE"/>
              </w:rPr>
              <w:t>Łącznie</w:t>
            </w:r>
          </w:p>
        </w:tc>
        <w:tc>
          <w:tcPr>
            <w:tcW w:w="0" w:type="auto"/>
            <w:gridSpan w:val="3"/>
          </w:tcPr>
          <w:p w14:paraId="76CE30AB" w14:textId="77777777" w:rsidR="008C5CFA" w:rsidRPr="00601E29" w:rsidRDefault="00E82A60" w:rsidP="00300A01">
            <w:pPr>
              <w:spacing w:before="0" w:after="0"/>
              <w:jc w:val="center"/>
              <w:rPr>
                <w:b/>
                <w:sz w:val="10"/>
                <w:szCs w:val="10"/>
                <w:lang w:val="fr-BE"/>
              </w:rPr>
            </w:pPr>
            <w:r w:rsidRPr="00601E29">
              <w:rPr>
                <w:b/>
                <w:noProof/>
                <w:sz w:val="10"/>
                <w:szCs w:val="10"/>
                <w:lang w:val="fr-BE"/>
              </w:rPr>
              <w:t>Łącznie w roku</w:t>
            </w:r>
          </w:p>
        </w:tc>
        <w:tc>
          <w:tcPr>
            <w:tcW w:w="0" w:type="auto"/>
          </w:tcPr>
          <w:p w14:paraId="5F2E0E4C" w14:textId="77777777" w:rsidR="008C5CFA" w:rsidRPr="00601E29" w:rsidRDefault="00E82A60" w:rsidP="00300A01">
            <w:pPr>
              <w:spacing w:before="0" w:after="0"/>
              <w:jc w:val="center"/>
              <w:rPr>
                <w:b/>
                <w:sz w:val="10"/>
                <w:szCs w:val="10"/>
                <w:lang w:val="fr-BE"/>
              </w:rPr>
            </w:pPr>
            <w:r w:rsidRPr="00601E29">
              <w:rPr>
                <w:b/>
                <w:noProof/>
                <w:sz w:val="10"/>
                <w:szCs w:val="10"/>
                <w:lang w:val="fr-BE"/>
              </w:rPr>
              <w:t>Jakościowe</w:t>
            </w:r>
          </w:p>
        </w:tc>
      </w:tr>
      <w:tr w:rsidR="006B2EC1" w14:paraId="4D79E8B6" w14:textId="77777777" w:rsidTr="0047688D">
        <w:trPr>
          <w:tblHeader/>
        </w:trPr>
        <w:tc>
          <w:tcPr>
            <w:tcW w:w="0" w:type="auto"/>
            <w:shd w:val="clear" w:color="auto" w:fill="auto"/>
          </w:tcPr>
          <w:p w14:paraId="3E8C79FF" w14:textId="77777777" w:rsidR="008C5CFA" w:rsidRPr="00601E29" w:rsidRDefault="008C5CFA" w:rsidP="00300A01">
            <w:pPr>
              <w:spacing w:before="0" w:after="0"/>
              <w:rPr>
                <w:b/>
                <w:sz w:val="10"/>
                <w:szCs w:val="10"/>
                <w:lang w:val="fr-BE"/>
              </w:rPr>
            </w:pPr>
          </w:p>
        </w:tc>
        <w:tc>
          <w:tcPr>
            <w:tcW w:w="0" w:type="auto"/>
            <w:shd w:val="clear" w:color="auto" w:fill="auto"/>
          </w:tcPr>
          <w:p w14:paraId="2E30EFBF" w14:textId="77777777" w:rsidR="008C5CFA" w:rsidRPr="00601E29" w:rsidRDefault="008C5CFA" w:rsidP="00300A01">
            <w:pPr>
              <w:spacing w:before="0" w:after="0"/>
              <w:rPr>
                <w:b/>
                <w:sz w:val="10"/>
                <w:szCs w:val="10"/>
                <w:lang w:val="fr-BE"/>
              </w:rPr>
            </w:pPr>
          </w:p>
        </w:tc>
        <w:tc>
          <w:tcPr>
            <w:tcW w:w="0" w:type="auto"/>
            <w:shd w:val="clear" w:color="auto" w:fill="auto"/>
          </w:tcPr>
          <w:p w14:paraId="266A5080" w14:textId="77777777" w:rsidR="008C5CFA" w:rsidRPr="00601E29" w:rsidRDefault="008C5CFA" w:rsidP="00300A01">
            <w:pPr>
              <w:spacing w:before="0" w:after="0"/>
              <w:rPr>
                <w:b/>
                <w:sz w:val="10"/>
                <w:szCs w:val="10"/>
                <w:lang w:val="fr-BE"/>
              </w:rPr>
            </w:pPr>
          </w:p>
        </w:tc>
        <w:tc>
          <w:tcPr>
            <w:tcW w:w="0" w:type="auto"/>
            <w:shd w:val="clear" w:color="auto" w:fill="auto"/>
          </w:tcPr>
          <w:p w14:paraId="579EF75F" w14:textId="77777777" w:rsidR="008C5CFA" w:rsidRPr="00601E29" w:rsidRDefault="008C5CFA" w:rsidP="00300A01">
            <w:pPr>
              <w:spacing w:before="0" w:after="0"/>
              <w:rPr>
                <w:b/>
                <w:sz w:val="10"/>
                <w:szCs w:val="10"/>
                <w:lang w:val="fr-BE"/>
              </w:rPr>
            </w:pPr>
          </w:p>
        </w:tc>
        <w:tc>
          <w:tcPr>
            <w:tcW w:w="0" w:type="auto"/>
            <w:shd w:val="clear" w:color="auto" w:fill="auto"/>
          </w:tcPr>
          <w:p w14:paraId="0884CC2F" w14:textId="77777777" w:rsidR="008C5CFA" w:rsidRPr="00601E29" w:rsidRDefault="008C5CFA" w:rsidP="00300A01">
            <w:pPr>
              <w:spacing w:before="0" w:after="0"/>
              <w:rPr>
                <w:b/>
                <w:sz w:val="10"/>
                <w:szCs w:val="10"/>
                <w:lang w:val="fr-BE"/>
              </w:rPr>
            </w:pPr>
          </w:p>
        </w:tc>
        <w:tc>
          <w:tcPr>
            <w:tcW w:w="0" w:type="auto"/>
            <w:shd w:val="clear" w:color="auto" w:fill="auto"/>
          </w:tcPr>
          <w:p w14:paraId="6999E44A" w14:textId="77777777" w:rsidR="008C5CFA" w:rsidRPr="00601E29" w:rsidRDefault="008C5CFA" w:rsidP="00300A01">
            <w:pPr>
              <w:spacing w:before="0" w:after="0"/>
              <w:rPr>
                <w:b/>
                <w:sz w:val="10"/>
                <w:szCs w:val="10"/>
                <w:lang w:val="fr-BE"/>
              </w:rPr>
            </w:pPr>
          </w:p>
        </w:tc>
        <w:tc>
          <w:tcPr>
            <w:tcW w:w="0" w:type="auto"/>
            <w:shd w:val="clear" w:color="auto" w:fill="auto"/>
          </w:tcPr>
          <w:p w14:paraId="4FD7D415" w14:textId="77777777" w:rsidR="008C5CFA" w:rsidRPr="00601E29" w:rsidRDefault="00E82A60" w:rsidP="00300A01">
            <w:pPr>
              <w:spacing w:before="0" w:after="0"/>
              <w:jc w:val="center"/>
              <w:rPr>
                <w:b/>
                <w:sz w:val="10"/>
                <w:szCs w:val="10"/>
                <w:lang w:val="fr-BE"/>
              </w:rPr>
            </w:pPr>
            <w:r w:rsidRPr="00601E29">
              <w:rPr>
                <w:b/>
                <w:noProof/>
                <w:sz w:val="10"/>
                <w:szCs w:val="10"/>
                <w:lang w:val="fr-BE"/>
              </w:rPr>
              <w:t>Ogółem</w:t>
            </w:r>
          </w:p>
        </w:tc>
        <w:tc>
          <w:tcPr>
            <w:tcW w:w="0" w:type="auto"/>
            <w:shd w:val="clear" w:color="auto" w:fill="auto"/>
          </w:tcPr>
          <w:p w14:paraId="25F0045E" w14:textId="77777777" w:rsidR="008C5CFA" w:rsidRPr="00601E29" w:rsidRDefault="00E82A60" w:rsidP="00300A01">
            <w:pPr>
              <w:spacing w:before="0" w:after="0"/>
              <w:jc w:val="center"/>
              <w:rPr>
                <w:b/>
                <w:sz w:val="10"/>
                <w:szCs w:val="10"/>
                <w:lang w:val="fr-BE"/>
              </w:rPr>
            </w:pPr>
            <w:r w:rsidRPr="00601E29">
              <w:rPr>
                <w:b/>
                <w:noProof/>
                <w:sz w:val="10"/>
                <w:szCs w:val="10"/>
                <w:lang w:val="fr-BE"/>
              </w:rPr>
              <w:t>Mężczyźni</w:t>
            </w:r>
          </w:p>
        </w:tc>
        <w:tc>
          <w:tcPr>
            <w:tcW w:w="0" w:type="auto"/>
            <w:shd w:val="clear" w:color="auto" w:fill="auto"/>
          </w:tcPr>
          <w:p w14:paraId="03E462B8" w14:textId="77777777" w:rsidR="008C5CFA" w:rsidRPr="00601E29" w:rsidRDefault="00E82A60" w:rsidP="00300A01">
            <w:pPr>
              <w:spacing w:before="0" w:after="0"/>
              <w:jc w:val="center"/>
              <w:rPr>
                <w:b/>
                <w:sz w:val="10"/>
                <w:szCs w:val="10"/>
                <w:lang w:val="fr-BE"/>
              </w:rPr>
            </w:pPr>
            <w:r w:rsidRPr="00601E29">
              <w:rPr>
                <w:b/>
                <w:noProof/>
                <w:sz w:val="10"/>
                <w:szCs w:val="10"/>
                <w:lang w:val="fr-BE"/>
              </w:rPr>
              <w:t>Kobiety</w:t>
            </w:r>
          </w:p>
        </w:tc>
        <w:tc>
          <w:tcPr>
            <w:tcW w:w="0" w:type="auto"/>
            <w:shd w:val="clear" w:color="auto" w:fill="auto"/>
          </w:tcPr>
          <w:p w14:paraId="6BABD4C7" w14:textId="77777777" w:rsidR="008C5CFA" w:rsidRPr="00601E29" w:rsidRDefault="00E82A60" w:rsidP="00300A01">
            <w:pPr>
              <w:spacing w:before="0" w:after="0"/>
              <w:jc w:val="center"/>
              <w:rPr>
                <w:b/>
                <w:sz w:val="10"/>
                <w:szCs w:val="10"/>
                <w:lang w:val="fr-BE"/>
              </w:rPr>
            </w:pPr>
            <w:r w:rsidRPr="00601E29">
              <w:rPr>
                <w:b/>
                <w:noProof/>
                <w:sz w:val="10"/>
                <w:szCs w:val="10"/>
                <w:lang w:val="fr-BE"/>
              </w:rPr>
              <w:t>Ogółem</w:t>
            </w:r>
          </w:p>
        </w:tc>
        <w:tc>
          <w:tcPr>
            <w:tcW w:w="0" w:type="auto"/>
            <w:shd w:val="clear" w:color="auto" w:fill="auto"/>
          </w:tcPr>
          <w:p w14:paraId="3A0ECF61" w14:textId="77777777" w:rsidR="008C5CFA" w:rsidRPr="00601E29" w:rsidRDefault="00E82A60" w:rsidP="00300A01">
            <w:pPr>
              <w:spacing w:before="0" w:after="0"/>
              <w:jc w:val="center"/>
              <w:rPr>
                <w:b/>
                <w:sz w:val="10"/>
                <w:szCs w:val="10"/>
                <w:lang w:val="fr-BE"/>
              </w:rPr>
            </w:pPr>
            <w:r w:rsidRPr="00601E29">
              <w:rPr>
                <w:b/>
                <w:noProof/>
                <w:sz w:val="10"/>
                <w:szCs w:val="10"/>
                <w:lang w:val="fr-BE"/>
              </w:rPr>
              <w:t>Mężczyźni</w:t>
            </w:r>
          </w:p>
        </w:tc>
        <w:tc>
          <w:tcPr>
            <w:tcW w:w="0" w:type="auto"/>
            <w:shd w:val="clear" w:color="auto" w:fill="auto"/>
          </w:tcPr>
          <w:p w14:paraId="65368418" w14:textId="77777777" w:rsidR="008C5CFA" w:rsidRPr="00601E29" w:rsidRDefault="00E82A60" w:rsidP="00300A01">
            <w:pPr>
              <w:spacing w:before="0" w:after="0"/>
              <w:jc w:val="center"/>
              <w:rPr>
                <w:b/>
                <w:sz w:val="10"/>
                <w:szCs w:val="10"/>
                <w:lang w:val="fr-BE"/>
              </w:rPr>
            </w:pPr>
            <w:r w:rsidRPr="00601E29">
              <w:rPr>
                <w:b/>
                <w:noProof/>
                <w:sz w:val="10"/>
                <w:szCs w:val="10"/>
                <w:lang w:val="fr-BE"/>
              </w:rPr>
              <w:t>Kobiety</w:t>
            </w:r>
          </w:p>
        </w:tc>
        <w:tc>
          <w:tcPr>
            <w:tcW w:w="0" w:type="auto"/>
            <w:shd w:val="clear" w:color="auto" w:fill="auto"/>
          </w:tcPr>
          <w:p w14:paraId="77766DF9" w14:textId="77777777" w:rsidR="008C5CFA" w:rsidRPr="00601E29" w:rsidRDefault="00E82A60" w:rsidP="00300A01">
            <w:pPr>
              <w:spacing w:before="0" w:after="0"/>
              <w:jc w:val="center"/>
              <w:rPr>
                <w:b/>
                <w:sz w:val="10"/>
                <w:szCs w:val="10"/>
                <w:lang w:val="fr-BE"/>
              </w:rPr>
            </w:pPr>
            <w:r w:rsidRPr="00601E29">
              <w:rPr>
                <w:b/>
                <w:noProof/>
                <w:sz w:val="10"/>
                <w:szCs w:val="10"/>
                <w:lang w:val="fr-BE"/>
              </w:rPr>
              <w:t>Ogółem</w:t>
            </w:r>
          </w:p>
        </w:tc>
        <w:tc>
          <w:tcPr>
            <w:tcW w:w="0" w:type="auto"/>
            <w:shd w:val="clear" w:color="auto" w:fill="auto"/>
          </w:tcPr>
          <w:p w14:paraId="1565E0D2" w14:textId="77777777" w:rsidR="008C5CFA" w:rsidRPr="00601E29" w:rsidRDefault="00E82A60" w:rsidP="00300A01">
            <w:pPr>
              <w:spacing w:before="0" w:after="0"/>
              <w:jc w:val="center"/>
              <w:rPr>
                <w:b/>
                <w:sz w:val="10"/>
                <w:szCs w:val="10"/>
                <w:lang w:val="fr-BE"/>
              </w:rPr>
            </w:pPr>
            <w:r w:rsidRPr="00601E29">
              <w:rPr>
                <w:b/>
                <w:noProof/>
                <w:sz w:val="10"/>
                <w:szCs w:val="10"/>
                <w:lang w:val="fr-BE"/>
              </w:rPr>
              <w:t>Mężczyźni</w:t>
            </w:r>
          </w:p>
        </w:tc>
        <w:tc>
          <w:tcPr>
            <w:tcW w:w="0" w:type="auto"/>
            <w:shd w:val="clear" w:color="auto" w:fill="auto"/>
          </w:tcPr>
          <w:p w14:paraId="006E9968" w14:textId="77777777" w:rsidR="008C5CFA" w:rsidRPr="00601E29" w:rsidRDefault="00E82A60" w:rsidP="00300A01">
            <w:pPr>
              <w:spacing w:before="0" w:after="0"/>
              <w:jc w:val="center"/>
              <w:rPr>
                <w:b/>
                <w:sz w:val="10"/>
                <w:szCs w:val="10"/>
                <w:lang w:val="fr-BE"/>
              </w:rPr>
            </w:pPr>
            <w:r w:rsidRPr="00601E29">
              <w:rPr>
                <w:b/>
                <w:noProof/>
                <w:sz w:val="10"/>
                <w:szCs w:val="10"/>
                <w:lang w:val="fr-BE"/>
              </w:rPr>
              <w:t>Kobiety</w:t>
            </w:r>
          </w:p>
        </w:tc>
        <w:tc>
          <w:tcPr>
            <w:tcW w:w="0" w:type="auto"/>
          </w:tcPr>
          <w:p w14:paraId="2DFFD857" w14:textId="77777777" w:rsidR="008C5CFA" w:rsidRPr="00601E29" w:rsidRDefault="00E82A60" w:rsidP="00300A01">
            <w:pPr>
              <w:spacing w:before="0" w:after="0"/>
              <w:jc w:val="center"/>
              <w:rPr>
                <w:b/>
                <w:sz w:val="10"/>
                <w:szCs w:val="10"/>
                <w:lang w:val="fr-BE"/>
              </w:rPr>
            </w:pPr>
            <w:r w:rsidRPr="00601E29">
              <w:rPr>
                <w:b/>
                <w:noProof/>
                <w:sz w:val="10"/>
                <w:szCs w:val="10"/>
                <w:lang w:val="fr-BE"/>
              </w:rPr>
              <w:t>Ogółem</w:t>
            </w:r>
          </w:p>
        </w:tc>
        <w:tc>
          <w:tcPr>
            <w:tcW w:w="0" w:type="auto"/>
            <w:shd w:val="clear" w:color="auto" w:fill="auto"/>
          </w:tcPr>
          <w:p w14:paraId="4B1B45DE" w14:textId="77777777" w:rsidR="008C5CFA" w:rsidRPr="00601E29" w:rsidRDefault="00E82A60" w:rsidP="00300A01">
            <w:pPr>
              <w:spacing w:before="0" w:after="0"/>
              <w:jc w:val="center"/>
              <w:rPr>
                <w:b/>
                <w:sz w:val="10"/>
                <w:szCs w:val="10"/>
                <w:lang w:val="fr-BE"/>
              </w:rPr>
            </w:pPr>
            <w:r w:rsidRPr="00601E29">
              <w:rPr>
                <w:b/>
                <w:noProof/>
                <w:sz w:val="10"/>
                <w:szCs w:val="10"/>
                <w:lang w:val="fr-BE"/>
              </w:rPr>
              <w:t>Mężczyźni</w:t>
            </w:r>
          </w:p>
        </w:tc>
        <w:tc>
          <w:tcPr>
            <w:tcW w:w="0" w:type="auto"/>
            <w:shd w:val="clear" w:color="auto" w:fill="auto"/>
          </w:tcPr>
          <w:p w14:paraId="705426D5" w14:textId="77777777" w:rsidR="008C5CFA" w:rsidRPr="00601E29" w:rsidRDefault="00E82A60" w:rsidP="00300A01">
            <w:pPr>
              <w:spacing w:before="0" w:after="0"/>
              <w:jc w:val="center"/>
              <w:rPr>
                <w:b/>
                <w:sz w:val="10"/>
                <w:szCs w:val="10"/>
                <w:lang w:val="fr-BE"/>
              </w:rPr>
            </w:pPr>
            <w:r w:rsidRPr="00601E29">
              <w:rPr>
                <w:b/>
                <w:noProof/>
                <w:sz w:val="10"/>
                <w:szCs w:val="10"/>
                <w:lang w:val="fr-BE"/>
              </w:rPr>
              <w:t>Kobiety</w:t>
            </w:r>
          </w:p>
        </w:tc>
        <w:tc>
          <w:tcPr>
            <w:tcW w:w="0" w:type="auto"/>
          </w:tcPr>
          <w:p w14:paraId="67629EFB" w14:textId="77777777" w:rsidR="008C5CFA" w:rsidRPr="00601E29" w:rsidRDefault="008C5CFA" w:rsidP="00300A01">
            <w:pPr>
              <w:spacing w:before="0" w:after="0"/>
              <w:jc w:val="center"/>
              <w:rPr>
                <w:b/>
                <w:sz w:val="10"/>
                <w:szCs w:val="10"/>
                <w:lang w:val="fr-BE"/>
              </w:rPr>
            </w:pPr>
          </w:p>
        </w:tc>
      </w:tr>
      <w:tr w:rsidR="006B2EC1" w14:paraId="0E8F7B78" w14:textId="77777777" w:rsidTr="0047688D">
        <w:tc>
          <w:tcPr>
            <w:tcW w:w="0" w:type="auto"/>
            <w:shd w:val="clear" w:color="auto" w:fill="auto"/>
          </w:tcPr>
          <w:p w14:paraId="58E16CAD" w14:textId="77777777" w:rsidR="008C5CFA" w:rsidRPr="00601E29" w:rsidRDefault="00E82A60" w:rsidP="00300A01">
            <w:pPr>
              <w:spacing w:before="0" w:after="0"/>
              <w:rPr>
                <w:sz w:val="10"/>
                <w:szCs w:val="10"/>
                <w:lang w:val="fr-BE"/>
              </w:rPr>
            </w:pPr>
            <w:r w:rsidRPr="00601E29">
              <w:rPr>
                <w:noProof/>
                <w:sz w:val="10"/>
                <w:szCs w:val="10"/>
                <w:lang w:val="fr-BE"/>
              </w:rPr>
              <w:t>001</w:t>
            </w:r>
          </w:p>
        </w:tc>
        <w:tc>
          <w:tcPr>
            <w:tcW w:w="0" w:type="auto"/>
            <w:shd w:val="clear" w:color="auto" w:fill="auto"/>
          </w:tcPr>
          <w:p w14:paraId="5B130B87" w14:textId="77777777" w:rsidR="008C5CFA" w:rsidRPr="00601E29" w:rsidRDefault="00E82A60" w:rsidP="00300A01">
            <w:pPr>
              <w:spacing w:before="0" w:after="0"/>
              <w:rPr>
                <w:sz w:val="10"/>
                <w:szCs w:val="10"/>
                <w:lang w:val="fr-BE"/>
              </w:rPr>
            </w:pPr>
            <w:r w:rsidRPr="00601E29">
              <w:rPr>
                <w:noProof/>
                <w:sz w:val="10"/>
                <w:szCs w:val="10"/>
                <w:lang w:val="fr-BE"/>
              </w:rPr>
              <w:t>Liczba osób, które dzięki interwencji EFS zgłosiły się na badanie profilaktyczne</w:t>
            </w:r>
          </w:p>
        </w:tc>
        <w:tc>
          <w:tcPr>
            <w:tcW w:w="0" w:type="auto"/>
            <w:shd w:val="clear" w:color="auto" w:fill="auto"/>
          </w:tcPr>
          <w:p w14:paraId="04AE1C5A" w14:textId="77777777" w:rsidR="008C5CFA" w:rsidRPr="00601E29" w:rsidRDefault="00E82A60" w:rsidP="00300A01">
            <w:pPr>
              <w:spacing w:before="0" w:after="0"/>
              <w:rPr>
                <w:sz w:val="10"/>
                <w:szCs w:val="10"/>
                <w:lang w:val="fr-BE"/>
              </w:rPr>
            </w:pPr>
            <w:r w:rsidRPr="00601E29">
              <w:rPr>
                <w:noProof/>
                <w:sz w:val="10"/>
                <w:szCs w:val="10"/>
                <w:lang w:val="fr-BE"/>
              </w:rPr>
              <w:t>Słabiej rozwinięte</w:t>
            </w:r>
          </w:p>
        </w:tc>
        <w:tc>
          <w:tcPr>
            <w:tcW w:w="0" w:type="auto"/>
            <w:shd w:val="clear" w:color="auto" w:fill="auto"/>
          </w:tcPr>
          <w:p w14:paraId="26826829" w14:textId="77777777" w:rsidR="008C5CFA" w:rsidRPr="00601E29" w:rsidRDefault="00E82A60" w:rsidP="00300A01">
            <w:pPr>
              <w:spacing w:before="0" w:after="0"/>
              <w:rPr>
                <w:sz w:val="10"/>
                <w:szCs w:val="10"/>
                <w:lang w:val="fr-BE"/>
              </w:rPr>
            </w:pPr>
            <w:r w:rsidRPr="00785F4A">
              <w:rPr>
                <w:noProof/>
                <w:sz w:val="10"/>
                <w:szCs w:val="10"/>
                <w:lang w:val="fr-BE"/>
              </w:rPr>
              <w:t>Liczba</w:t>
            </w:r>
            <w:r w:rsidR="00CE4603">
              <w:rPr>
                <w:sz w:val="10"/>
                <w:szCs w:val="10"/>
                <w:lang w:val="fr-BE"/>
              </w:rPr>
              <w:t xml:space="preserve"> </w:t>
            </w:r>
            <w:r w:rsidR="00CE4603">
              <w:rPr>
                <w:noProof/>
                <w:sz w:val="10"/>
                <w:szCs w:val="10"/>
                <w:lang w:val="fr-BE"/>
              </w:rPr>
              <w:t>(osoba)</w:t>
            </w:r>
          </w:p>
        </w:tc>
        <w:tc>
          <w:tcPr>
            <w:tcW w:w="0" w:type="auto"/>
            <w:shd w:val="clear" w:color="auto" w:fill="auto"/>
          </w:tcPr>
          <w:p w14:paraId="73E2C0F6" w14:textId="77777777" w:rsidR="008C5CFA" w:rsidRPr="00601E29" w:rsidRDefault="00E82A60" w:rsidP="00300A01">
            <w:pPr>
              <w:spacing w:before="0" w:after="0"/>
              <w:rPr>
                <w:sz w:val="10"/>
                <w:szCs w:val="10"/>
                <w:lang w:val="fr-BE"/>
              </w:rPr>
            </w:pPr>
            <w:r w:rsidRPr="00601E29">
              <w:rPr>
                <w:sz w:val="10"/>
                <w:szCs w:val="10"/>
                <w:lang w:val="fr-BE"/>
              </w:rPr>
              <w:t xml:space="preserve"> </w:t>
            </w:r>
          </w:p>
        </w:tc>
        <w:tc>
          <w:tcPr>
            <w:tcW w:w="0" w:type="auto"/>
            <w:shd w:val="clear" w:color="auto" w:fill="auto"/>
          </w:tcPr>
          <w:p w14:paraId="5D1195ED" w14:textId="77777777" w:rsidR="008C5CFA" w:rsidRPr="00601E29" w:rsidRDefault="00E82A60" w:rsidP="00300A01">
            <w:pPr>
              <w:spacing w:before="0" w:after="0"/>
              <w:jc w:val="center"/>
              <w:rPr>
                <w:sz w:val="10"/>
                <w:szCs w:val="10"/>
                <w:lang w:val="fr-BE"/>
              </w:rPr>
            </w:pPr>
            <w:r w:rsidRPr="00601E29">
              <w:rPr>
                <w:noProof/>
                <w:sz w:val="10"/>
                <w:szCs w:val="10"/>
                <w:lang w:val="fr-BE"/>
              </w:rPr>
              <w:t>Liczba</w:t>
            </w:r>
          </w:p>
        </w:tc>
        <w:tc>
          <w:tcPr>
            <w:tcW w:w="0" w:type="auto"/>
            <w:shd w:val="clear" w:color="auto" w:fill="auto"/>
          </w:tcPr>
          <w:p w14:paraId="06B188FB" w14:textId="77777777" w:rsidR="008C5CFA" w:rsidRPr="00601E29" w:rsidRDefault="00E82A60" w:rsidP="00300A01">
            <w:pPr>
              <w:spacing w:before="0" w:after="0"/>
              <w:jc w:val="right"/>
              <w:rPr>
                <w:sz w:val="10"/>
                <w:szCs w:val="10"/>
                <w:lang w:val="fr-BE"/>
              </w:rPr>
            </w:pPr>
            <w:r w:rsidRPr="00601E29">
              <w:rPr>
                <w:noProof/>
                <w:sz w:val="10"/>
                <w:szCs w:val="10"/>
                <w:lang w:val="fr-BE"/>
              </w:rPr>
              <w:t>98 000,00</w:t>
            </w:r>
          </w:p>
        </w:tc>
        <w:tc>
          <w:tcPr>
            <w:tcW w:w="0" w:type="auto"/>
            <w:shd w:val="clear" w:color="auto" w:fill="auto"/>
          </w:tcPr>
          <w:p w14:paraId="63E0BD87" w14:textId="77777777" w:rsidR="008C5CFA" w:rsidRPr="00601E29" w:rsidRDefault="008C5CFA" w:rsidP="00300A01">
            <w:pPr>
              <w:spacing w:before="0" w:after="0"/>
              <w:jc w:val="right"/>
              <w:rPr>
                <w:sz w:val="10"/>
                <w:szCs w:val="10"/>
                <w:lang w:val="fr-BE"/>
              </w:rPr>
            </w:pPr>
          </w:p>
        </w:tc>
        <w:tc>
          <w:tcPr>
            <w:tcW w:w="0" w:type="auto"/>
            <w:shd w:val="clear" w:color="auto" w:fill="auto"/>
          </w:tcPr>
          <w:p w14:paraId="3FD3D4A9" w14:textId="77777777" w:rsidR="008C5CFA" w:rsidRPr="00601E29" w:rsidRDefault="008C5CFA" w:rsidP="00300A01">
            <w:pPr>
              <w:spacing w:before="0" w:after="0"/>
              <w:jc w:val="right"/>
              <w:rPr>
                <w:sz w:val="10"/>
                <w:szCs w:val="10"/>
                <w:lang w:val="fr-BE"/>
              </w:rPr>
            </w:pPr>
          </w:p>
        </w:tc>
        <w:tc>
          <w:tcPr>
            <w:tcW w:w="0" w:type="auto"/>
            <w:shd w:val="clear" w:color="auto" w:fill="auto"/>
          </w:tcPr>
          <w:p w14:paraId="3C923175" w14:textId="77777777" w:rsidR="008C5CFA" w:rsidRPr="00601E29" w:rsidRDefault="00E82A60" w:rsidP="00300A01">
            <w:pPr>
              <w:spacing w:before="0" w:after="0"/>
              <w:jc w:val="right"/>
              <w:rPr>
                <w:sz w:val="10"/>
                <w:szCs w:val="10"/>
                <w:lang w:val="fr-BE"/>
              </w:rPr>
            </w:pPr>
            <w:r>
              <w:rPr>
                <w:noProof/>
                <w:sz w:val="10"/>
                <w:szCs w:val="10"/>
                <w:lang w:val="fr-BE"/>
              </w:rPr>
              <w:t>0,41</w:t>
            </w:r>
          </w:p>
        </w:tc>
        <w:tc>
          <w:tcPr>
            <w:tcW w:w="0" w:type="auto"/>
            <w:shd w:val="clear" w:color="auto" w:fill="auto"/>
          </w:tcPr>
          <w:p w14:paraId="4F803C15" w14:textId="77777777" w:rsidR="008C5CFA" w:rsidRPr="00601E29" w:rsidRDefault="008C5CFA" w:rsidP="00300A01">
            <w:pPr>
              <w:spacing w:before="0" w:after="0"/>
              <w:jc w:val="right"/>
              <w:rPr>
                <w:sz w:val="10"/>
                <w:szCs w:val="10"/>
                <w:lang w:val="fr-BE"/>
              </w:rPr>
            </w:pPr>
          </w:p>
        </w:tc>
        <w:tc>
          <w:tcPr>
            <w:tcW w:w="0" w:type="auto"/>
            <w:shd w:val="clear" w:color="auto" w:fill="auto"/>
          </w:tcPr>
          <w:p w14:paraId="058DBEA9" w14:textId="77777777" w:rsidR="008C5CFA" w:rsidRPr="00601E29" w:rsidRDefault="008C5CFA" w:rsidP="00300A01">
            <w:pPr>
              <w:spacing w:before="0" w:after="0"/>
              <w:jc w:val="right"/>
              <w:rPr>
                <w:sz w:val="10"/>
                <w:szCs w:val="10"/>
                <w:lang w:val="fr-BE"/>
              </w:rPr>
            </w:pPr>
          </w:p>
        </w:tc>
        <w:tc>
          <w:tcPr>
            <w:tcW w:w="0" w:type="auto"/>
            <w:shd w:val="clear" w:color="auto" w:fill="auto"/>
          </w:tcPr>
          <w:p w14:paraId="29D80262" w14:textId="77777777" w:rsidR="008C5CFA" w:rsidRPr="00601E29" w:rsidRDefault="00E82A60" w:rsidP="00300A01">
            <w:pPr>
              <w:spacing w:before="0" w:after="0"/>
              <w:jc w:val="right"/>
              <w:rPr>
                <w:sz w:val="10"/>
                <w:szCs w:val="10"/>
                <w:lang w:val="fr-BE"/>
              </w:rPr>
            </w:pPr>
            <w:r w:rsidRPr="00601E29">
              <w:rPr>
                <w:noProof/>
                <w:sz w:val="10"/>
                <w:szCs w:val="10"/>
                <w:lang w:val="fr-BE"/>
              </w:rPr>
              <w:t>40 084,00</w:t>
            </w:r>
          </w:p>
        </w:tc>
        <w:tc>
          <w:tcPr>
            <w:tcW w:w="0" w:type="auto"/>
            <w:shd w:val="clear" w:color="auto" w:fill="auto"/>
          </w:tcPr>
          <w:p w14:paraId="5EE02ACA"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shd w:val="clear" w:color="auto" w:fill="auto"/>
          </w:tcPr>
          <w:p w14:paraId="58D66245"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3384D792" w14:textId="77777777" w:rsidR="008C5CFA" w:rsidRPr="00601E29" w:rsidRDefault="00E82A60" w:rsidP="00300A01">
            <w:pPr>
              <w:spacing w:before="0" w:after="0"/>
              <w:jc w:val="right"/>
              <w:rPr>
                <w:sz w:val="10"/>
                <w:szCs w:val="10"/>
                <w:lang w:val="fr-BE"/>
              </w:rPr>
            </w:pPr>
            <w:r w:rsidRPr="00601E29">
              <w:rPr>
                <w:noProof/>
                <w:sz w:val="10"/>
                <w:szCs w:val="10"/>
                <w:lang w:val="fr-BE"/>
              </w:rPr>
              <w:t>26 634,00</w:t>
            </w:r>
          </w:p>
        </w:tc>
        <w:tc>
          <w:tcPr>
            <w:tcW w:w="0" w:type="auto"/>
            <w:shd w:val="clear" w:color="auto" w:fill="auto"/>
          </w:tcPr>
          <w:p w14:paraId="0A4EC21A"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shd w:val="clear" w:color="auto" w:fill="auto"/>
          </w:tcPr>
          <w:p w14:paraId="0A790C8E"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60E36466" w14:textId="77777777" w:rsidR="008C5CFA" w:rsidRPr="00601E29" w:rsidRDefault="008C5CFA" w:rsidP="00300A01">
            <w:pPr>
              <w:spacing w:before="0" w:after="0"/>
              <w:jc w:val="right"/>
              <w:rPr>
                <w:sz w:val="10"/>
                <w:szCs w:val="10"/>
                <w:lang w:val="fr-BE"/>
              </w:rPr>
            </w:pPr>
          </w:p>
        </w:tc>
      </w:tr>
      <w:tr w:rsidR="006B2EC1" w14:paraId="23D7A804" w14:textId="77777777" w:rsidTr="0047688D">
        <w:tc>
          <w:tcPr>
            <w:tcW w:w="0" w:type="auto"/>
            <w:shd w:val="clear" w:color="auto" w:fill="auto"/>
          </w:tcPr>
          <w:p w14:paraId="318058FA" w14:textId="77777777" w:rsidR="008C5CFA" w:rsidRPr="00601E29" w:rsidRDefault="00E82A60" w:rsidP="00300A01">
            <w:pPr>
              <w:spacing w:before="0" w:after="0"/>
              <w:rPr>
                <w:sz w:val="10"/>
                <w:szCs w:val="10"/>
                <w:lang w:val="fr-BE"/>
              </w:rPr>
            </w:pPr>
            <w:r w:rsidRPr="00601E29">
              <w:rPr>
                <w:noProof/>
                <w:sz w:val="10"/>
                <w:szCs w:val="10"/>
                <w:lang w:val="fr-BE"/>
              </w:rPr>
              <w:t>96</w:t>
            </w:r>
          </w:p>
        </w:tc>
        <w:tc>
          <w:tcPr>
            <w:tcW w:w="0" w:type="auto"/>
            <w:shd w:val="clear" w:color="auto" w:fill="auto"/>
          </w:tcPr>
          <w:p w14:paraId="23E23302" w14:textId="77777777" w:rsidR="008C5CFA" w:rsidRPr="00601E29" w:rsidRDefault="00E82A60" w:rsidP="00300A01">
            <w:pPr>
              <w:spacing w:before="0" w:after="0"/>
              <w:rPr>
                <w:sz w:val="10"/>
                <w:szCs w:val="10"/>
                <w:lang w:val="fr-BE"/>
              </w:rPr>
            </w:pPr>
            <w:r w:rsidRPr="00601E29">
              <w:rPr>
                <w:noProof/>
                <w:sz w:val="10"/>
                <w:szCs w:val="10"/>
                <w:lang w:val="fr-BE"/>
              </w:rPr>
              <w:t>Liczba osób, które po opuszczeniu programu podjęły pracę lub kontynuowały zatrudnienie</w:t>
            </w:r>
          </w:p>
        </w:tc>
        <w:tc>
          <w:tcPr>
            <w:tcW w:w="0" w:type="auto"/>
            <w:shd w:val="clear" w:color="auto" w:fill="auto"/>
          </w:tcPr>
          <w:p w14:paraId="37CB9271" w14:textId="77777777" w:rsidR="008C5CFA" w:rsidRPr="00601E29" w:rsidRDefault="00E82A60" w:rsidP="00300A01">
            <w:pPr>
              <w:spacing w:before="0" w:after="0"/>
              <w:rPr>
                <w:sz w:val="10"/>
                <w:szCs w:val="10"/>
                <w:lang w:val="fr-BE"/>
              </w:rPr>
            </w:pPr>
            <w:r w:rsidRPr="00601E29">
              <w:rPr>
                <w:noProof/>
                <w:sz w:val="10"/>
                <w:szCs w:val="10"/>
                <w:lang w:val="fr-BE"/>
              </w:rPr>
              <w:t>Słabiej rozwinięte</w:t>
            </w:r>
          </w:p>
        </w:tc>
        <w:tc>
          <w:tcPr>
            <w:tcW w:w="0" w:type="auto"/>
            <w:shd w:val="clear" w:color="auto" w:fill="auto"/>
          </w:tcPr>
          <w:p w14:paraId="17BDD42B" w14:textId="77777777" w:rsidR="008C5CFA" w:rsidRPr="00601E29" w:rsidRDefault="00E82A60" w:rsidP="00300A01">
            <w:pPr>
              <w:spacing w:before="0" w:after="0"/>
              <w:rPr>
                <w:sz w:val="10"/>
                <w:szCs w:val="10"/>
                <w:lang w:val="fr-BE"/>
              </w:rPr>
            </w:pPr>
            <w:r w:rsidRPr="00785F4A">
              <w:rPr>
                <w:noProof/>
                <w:sz w:val="10"/>
                <w:szCs w:val="10"/>
                <w:lang w:val="fr-BE"/>
              </w:rPr>
              <w:t>Liczba</w:t>
            </w:r>
            <w:r w:rsidR="00CE4603">
              <w:rPr>
                <w:sz w:val="10"/>
                <w:szCs w:val="10"/>
                <w:lang w:val="fr-BE"/>
              </w:rPr>
              <w:t xml:space="preserve"> </w:t>
            </w:r>
            <w:r w:rsidR="00CE4603">
              <w:rPr>
                <w:noProof/>
                <w:sz w:val="10"/>
                <w:szCs w:val="10"/>
                <w:lang w:val="fr-BE"/>
              </w:rPr>
              <w:t>(osoba)</w:t>
            </w:r>
          </w:p>
        </w:tc>
        <w:tc>
          <w:tcPr>
            <w:tcW w:w="0" w:type="auto"/>
            <w:shd w:val="clear" w:color="auto" w:fill="auto"/>
          </w:tcPr>
          <w:p w14:paraId="6881244D" w14:textId="77777777" w:rsidR="008C5CFA" w:rsidRPr="00601E29" w:rsidRDefault="00E82A60" w:rsidP="00300A01">
            <w:pPr>
              <w:spacing w:before="0" w:after="0"/>
              <w:rPr>
                <w:sz w:val="10"/>
                <w:szCs w:val="10"/>
                <w:lang w:val="fr-BE"/>
              </w:rPr>
            </w:pPr>
            <w:r w:rsidRPr="00601E29">
              <w:rPr>
                <w:sz w:val="10"/>
                <w:szCs w:val="10"/>
                <w:lang w:val="fr-BE"/>
              </w:rPr>
              <w:t xml:space="preserve"> </w:t>
            </w:r>
          </w:p>
        </w:tc>
        <w:tc>
          <w:tcPr>
            <w:tcW w:w="0" w:type="auto"/>
            <w:shd w:val="clear" w:color="auto" w:fill="auto"/>
          </w:tcPr>
          <w:p w14:paraId="3D5A7E08" w14:textId="77777777" w:rsidR="008C5CFA" w:rsidRPr="00601E29" w:rsidRDefault="00E82A60" w:rsidP="00300A01">
            <w:pPr>
              <w:spacing w:before="0" w:after="0"/>
              <w:jc w:val="center"/>
              <w:rPr>
                <w:sz w:val="10"/>
                <w:szCs w:val="10"/>
                <w:lang w:val="fr-BE"/>
              </w:rPr>
            </w:pPr>
            <w:r w:rsidRPr="00601E29">
              <w:rPr>
                <w:noProof/>
                <w:sz w:val="10"/>
                <w:szCs w:val="10"/>
                <w:lang w:val="fr-BE"/>
              </w:rPr>
              <w:t>Współczynnik</w:t>
            </w:r>
          </w:p>
        </w:tc>
        <w:tc>
          <w:tcPr>
            <w:tcW w:w="0" w:type="auto"/>
            <w:shd w:val="clear" w:color="auto" w:fill="auto"/>
          </w:tcPr>
          <w:p w14:paraId="53A1CD80" w14:textId="77777777" w:rsidR="008C5CFA" w:rsidRPr="00601E29" w:rsidRDefault="00E82A60" w:rsidP="00300A01">
            <w:pPr>
              <w:spacing w:before="0" w:after="0"/>
              <w:jc w:val="right"/>
              <w:rPr>
                <w:sz w:val="10"/>
                <w:szCs w:val="10"/>
                <w:lang w:val="fr-BE"/>
              </w:rPr>
            </w:pPr>
            <w:r w:rsidRPr="00601E29">
              <w:rPr>
                <w:noProof/>
                <w:sz w:val="10"/>
                <w:szCs w:val="10"/>
                <w:lang w:val="fr-BE"/>
              </w:rPr>
              <w:t>46,00</w:t>
            </w:r>
            <w:r>
              <w:rPr>
                <w:noProof/>
                <w:sz w:val="10"/>
                <w:szCs w:val="10"/>
                <w:lang w:val="fr-BE"/>
              </w:rPr>
              <w:t>%</w:t>
            </w:r>
          </w:p>
        </w:tc>
        <w:tc>
          <w:tcPr>
            <w:tcW w:w="0" w:type="auto"/>
            <w:shd w:val="clear" w:color="auto" w:fill="auto"/>
          </w:tcPr>
          <w:p w14:paraId="0155841E" w14:textId="77777777" w:rsidR="008C5CFA" w:rsidRPr="00601E29" w:rsidRDefault="008C5CFA" w:rsidP="00300A01">
            <w:pPr>
              <w:spacing w:before="0" w:after="0"/>
              <w:jc w:val="right"/>
              <w:rPr>
                <w:sz w:val="10"/>
                <w:szCs w:val="10"/>
                <w:lang w:val="fr-BE"/>
              </w:rPr>
            </w:pPr>
          </w:p>
        </w:tc>
        <w:tc>
          <w:tcPr>
            <w:tcW w:w="0" w:type="auto"/>
            <w:shd w:val="clear" w:color="auto" w:fill="auto"/>
          </w:tcPr>
          <w:p w14:paraId="48BA137E" w14:textId="77777777" w:rsidR="008C5CFA" w:rsidRPr="00601E29" w:rsidRDefault="008C5CFA" w:rsidP="00300A01">
            <w:pPr>
              <w:spacing w:before="0" w:after="0"/>
              <w:jc w:val="right"/>
              <w:rPr>
                <w:sz w:val="10"/>
                <w:szCs w:val="10"/>
                <w:lang w:val="fr-BE"/>
              </w:rPr>
            </w:pPr>
          </w:p>
        </w:tc>
        <w:tc>
          <w:tcPr>
            <w:tcW w:w="0" w:type="auto"/>
            <w:shd w:val="clear" w:color="auto" w:fill="auto"/>
          </w:tcPr>
          <w:p w14:paraId="258AA324" w14:textId="77777777" w:rsidR="008C5CFA" w:rsidRPr="00601E29" w:rsidRDefault="00E82A60" w:rsidP="00300A01">
            <w:pPr>
              <w:spacing w:before="0" w:after="0"/>
              <w:jc w:val="right"/>
              <w:rPr>
                <w:sz w:val="10"/>
                <w:szCs w:val="10"/>
                <w:lang w:val="fr-BE"/>
              </w:rPr>
            </w:pPr>
            <w:r>
              <w:rPr>
                <w:noProof/>
                <w:sz w:val="10"/>
                <w:szCs w:val="10"/>
                <w:lang w:val="fr-BE"/>
              </w:rPr>
              <w:t>0,11</w:t>
            </w:r>
          </w:p>
        </w:tc>
        <w:tc>
          <w:tcPr>
            <w:tcW w:w="0" w:type="auto"/>
            <w:shd w:val="clear" w:color="auto" w:fill="auto"/>
          </w:tcPr>
          <w:p w14:paraId="52A15D44" w14:textId="77777777" w:rsidR="008C5CFA" w:rsidRPr="00601E29" w:rsidRDefault="008C5CFA" w:rsidP="00300A01">
            <w:pPr>
              <w:spacing w:before="0" w:after="0"/>
              <w:jc w:val="right"/>
              <w:rPr>
                <w:sz w:val="10"/>
                <w:szCs w:val="10"/>
                <w:lang w:val="fr-BE"/>
              </w:rPr>
            </w:pPr>
          </w:p>
        </w:tc>
        <w:tc>
          <w:tcPr>
            <w:tcW w:w="0" w:type="auto"/>
            <w:shd w:val="clear" w:color="auto" w:fill="auto"/>
          </w:tcPr>
          <w:p w14:paraId="1383D498" w14:textId="77777777" w:rsidR="008C5CFA" w:rsidRPr="00601E29" w:rsidRDefault="008C5CFA" w:rsidP="00300A01">
            <w:pPr>
              <w:spacing w:before="0" w:after="0"/>
              <w:jc w:val="right"/>
              <w:rPr>
                <w:sz w:val="10"/>
                <w:szCs w:val="10"/>
                <w:lang w:val="fr-BE"/>
              </w:rPr>
            </w:pPr>
          </w:p>
        </w:tc>
        <w:tc>
          <w:tcPr>
            <w:tcW w:w="0" w:type="auto"/>
            <w:shd w:val="clear" w:color="auto" w:fill="auto"/>
          </w:tcPr>
          <w:p w14:paraId="437F8B5C" w14:textId="77777777" w:rsidR="008C5CFA" w:rsidRPr="00601E29" w:rsidRDefault="00E82A60" w:rsidP="00300A01">
            <w:pPr>
              <w:spacing w:before="0" w:after="0"/>
              <w:jc w:val="right"/>
              <w:rPr>
                <w:sz w:val="10"/>
                <w:szCs w:val="10"/>
                <w:lang w:val="fr-BE"/>
              </w:rPr>
            </w:pPr>
            <w:r w:rsidRPr="00601E29">
              <w:rPr>
                <w:noProof/>
                <w:sz w:val="10"/>
                <w:szCs w:val="10"/>
                <w:lang w:val="fr-BE"/>
              </w:rPr>
              <w:t>2 798,00</w:t>
            </w:r>
          </w:p>
        </w:tc>
        <w:tc>
          <w:tcPr>
            <w:tcW w:w="0" w:type="auto"/>
            <w:shd w:val="clear" w:color="auto" w:fill="auto"/>
          </w:tcPr>
          <w:p w14:paraId="0F120E7C"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shd w:val="clear" w:color="auto" w:fill="auto"/>
          </w:tcPr>
          <w:p w14:paraId="42C25827"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34BCB758" w14:textId="77777777" w:rsidR="008C5CFA" w:rsidRPr="00601E29" w:rsidRDefault="00E82A60" w:rsidP="00300A01">
            <w:pPr>
              <w:spacing w:before="0" w:after="0"/>
              <w:jc w:val="right"/>
              <w:rPr>
                <w:sz w:val="10"/>
                <w:szCs w:val="10"/>
                <w:lang w:val="fr-BE"/>
              </w:rPr>
            </w:pPr>
            <w:r w:rsidRPr="00601E29">
              <w:rPr>
                <w:noProof/>
                <w:sz w:val="10"/>
                <w:szCs w:val="10"/>
                <w:lang w:val="fr-BE"/>
              </w:rPr>
              <w:t>2 720,00</w:t>
            </w:r>
          </w:p>
        </w:tc>
        <w:tc>
          <w:tcPr>
            <w:tcW w:w="0" w:type="auto"/>
            <w:shd w:val="clear" w:color="auto" w:fill="auto"/>
          </w:tcPr>
          <w:p w14:paraId="46D28961"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shd w:val="clear" w:color="auto" w:fill="auto"/>
          </w:tcPr>
          <w:p w14:paraId="15ED22FC"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4563E1BB" w14:textId="77777777" w:rsidR="008C5CFA" w:rsidRPr="00601E29" w:rsidRDefault="008C5CFA" w:rsidP="00300A01">
            <w:pPr>
              <w:spacing w:before="0" w:after="0"/>
              <w:jc w:val="right"/>
              <w:rPr>
                <w:sz w:val="10"/>
                <w:szCs w:val="10"/>
                <w:lang w:val="fr-BE"/>
              </w:rPr>
            </w:pPr>
          </w:p>
        </w:tc>
      </w:tr>
    </w:tbl>
    <w:p w14:paraId="23555634"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30"/>
        <w:gridCol w:w="4693"/>
        <w:gridCol w:w="1121"/>
        <w:gridCol w:w="644"/>
        <w:gridCol w:w="706"/>
        <w:gridCol w:w="567"/>
        <w:gridCol w:w="644"/>
        <w:gridCol w:w="706"/>
        <w:gridCol w:w="567"/>
        <w:gridCol w:w="749"/>
        <w:gridCol w:w="581"/>
        <w:gridCol w:w="706"/>
        <w:gridCol w:w="567"/>
        <w:gridCol w:w="581"/>
        <w:gridCol w:w="706"/>
        <w:gridCol w:w="567"/>
        <w:gridCol w:w="749"/>
      </w:tblGrid>
      <w:tr w:rsidR="006B2EC1" w14:paraId="6830761D" w14:textId="77777777" w:rsidTr="0047688D">
        <w:trPr>
          <w:tblHeader/>
        </w:trPr>
        <w:tc>
          <w:tcPr>
            <w:tcW w:w="0" w:type="auto"/>
            <w:shd w:val="clear" w:color="auto" w:fill="auto"/>
          </w:tcPr>
          <w:p w14:paraId="1BD8DDF0" w14:textId="77777777" w:rsidR="008C5CFA" w:rsidRPr="00601E29" w:rsidRDefault="00E82A60" w:rsidP="00300A01">
            <w:pPr>
              <w:spacing w:before="0" w:after="0"/>
              <w:rPr>
                <w:b/>
                <w:sz w:val="10"/>
                <w:szCs w:val="10"/>
                <w:lang w:val="fr-BE"/>
              </w:rPr>
            </w:pPr>
            <w:r w:rsidRPr="00601E29">
              <w:rPr>
                <w:b/>
                <w:noProof/>
                <w:sz w:val="10"/>
                <w:szCs w:val="10"/>
                <w:lang w:val="fr-BE"/>
              </w:rPr>
              <w:t>ID</w:t>
            </w:r>
          </w:p>
        </w:tc>
        <w:tc>
          <w:tcPr>
            <w:tcW w:w="0" w:type="auto"/>
            <w:shd w:val="clear" w:color="auto" w:fill="auto"/>
          </w:tcPr>
          <w:p w14:paraId="69C6F9E1" w14:textId="77777777" w:rsidR="008C5CFA" w:rsidRPr="00601E29" w:rsidRDefault="00E82A60" w:rsidP="00300A01">
            <w:pPr>
              <w:spacing w:before="0" w:after="0"/>
              <w:rPr>
                <w:b/>
                <w:sz w:val="10"/>
                <w:szCs w:val="10"/>
                <w:lang w:val="fr-BE"/>
              </w:rPr>
            </w:pPr>
            <w:r w:rsidRPr="00601E29">
              <w:rPr>
                <w:b/>
                <w:noProof/>
                <w:sz w:val="10"/>
                <w:szCs w:val="10"/>
                <w:lang w:val="fr-BE"/>
              </w:rPr>
              <w:t>Wskaźnik</w:t>
            </w:r>
          </w:p>
        </w:tc>
        <w:tc>
          <w:tcPr>
            <w:tcW w:w="0" w:type="auto"/>
            <w:shd w:val="clear" w:color="auto" w:fill="auto"/>
          </w:tcPr>
          <w:p w14:paraId="116D27B3" w14:textId="77777777" w:rsidR="008C5CFA" w:rsidRPr="00601E29" w:rsidRDefault="00E82A60" w:rsidP="00300A01">
            <w:pPr>
              <w:spacing w:before="0" w:after="0"/>
              <w:rPr>
                <w:b/>
                <w:sz w:val="10"/>
                <w:szCs w:val="10"/>
                <w:lang w:val="fr-BE"/>
              </w:rPr>
            </w:pPr>
            <w:r w:rsidRPr="00601E29">
              <w:rPr>
                <w:b/>
                <w:noProof/>
                <w:sz w:val="10"/>
                <w:szCs w:val="10"/>
                <w:lang w:val="fr-BE"/>
              </w:rPr>
              <w:t>Kategoria regionu</w:t>
            </w:r>
          </w:p>
        </w:tc>
        <w:tc>
          <w:tcPr>
            <w:tcW w:w="0" w:type="auto"/>
            <w:gridSpan w:val="7"/>
          </w:tcPr>
          <w:p w14:paraId="2398B447" w14:textId="77777777" w:rsidR="008C5CFA" w:rsidRPr="00601E29" w:rsidRDefault="00E82A60" w:rsidP="00300A01">
            <w:pPr>
              <w:spacing w:before="0" w:after="0"/>
              <w:jc w:val="center"/>
              <w:rPr>
                <w:b/>
                <w:sz w:val="10"/>
                <w:szCs w:val="10"/>
                <w:lang w:val="fr-BE"/>
              </w:rPr>
            </w:pPr>
            <w:r>
              <w:rPr>
                <w:b/>
                <w:sz w:val="10"/>
                <w:szCs w:val="10"/>
                <w:lang w:val="fr-BE"/>
              </w:rPr>
              <w:t>2018</w:t>
            </w:r>
          </w:p>
        </w:tc>
        <w:tc>
          <w:tcPr>
            <w:tcW w:w="0" w:type="auto"/>
            <w:gridSpan w:val="7"/>
          </w:tcPr>
          <w:p w14:paraId="3448CEC0" w14:textId="77777777" w:rsidR="008C5CFA" w:rsidRPr="00601E29" w:rsidRDefault="00E82A60" w:rsidP="00300A01">
            <w:pPr>
              <w:spacing w:before="0" w:after="0"/>
              <w:jc w:val="center"/>
              <w:rPr>
                <w:b/>
                <w:sz w:val="10"/>
                <w:szCs w:val="10"/>
                <w:lang w:val="fr-BE"/>
              </w:rPr>
            </w:pPr>
            <w:r>
              <w:rPr>
                <w:b/>
                <w:sz w:val="10"/>
                <w:szCs w:val="10"/>
                <w:lang w:val="fr-BE"/>
              </w:rPr>
              <w:t>2017</w:t>
            </w:r>
          </w:p>
        </w:tc>
      </w:tr>
      <w:tr w:rsidR="006B2EC1" w14:paraId="6EE91606" w14:textId="77777777" w:rsidTr="0047688D">
        <w:trPr>
          <w:tblHeader/>
        </w:trPr>
        <w:tc>
          <w:tcPr>
            <w:tcW w:w="0" w:type="auto"/>
            <w:shd w:val="clear" w:color="auto" w:fill="auto"/>
          </w:tcPr>
          <w:p w14:paraId="263012A0" w14:textId="77777777" w:rsidR="008C5CFA" w:rsidRPr="00601E29" w:rsidRDefault="008C5CFA" w:rsidP="00300A01">
            <w:pPr>
              <w:spacing w:before="0" w:after="0"/>
              <w:rPr>
                <w:b/>
                <w:sz w:val="10"/>
                <w:szCs w:val="10"/>
                <w:lang w:val="fr-BE"/>
              </w:rPr>
            </w:pPr>
          </w:p>
        </w:tc>
        <w:tc>
          <w:tcPr>
            <w:tcW w:w="0" w:type="auto"/>
            <w:shd w:val="clear" w:color="auto" w:fill="auto"/>
          </w:tcPr>
          <w:p w14:paraId="1D4740AB" w14:textId="77777777" w:rsidR="008C5CFA" w:rsidRPr="00601E29" w:rsidRDefault="008C5CFA" w:rsidP="00300A01">
            <w:pPr>
              <w:spacing w:before="0" w:after="0"/>
              <w:rPr>
                <w:b/>
                <w:sz w:val="10"/>
                <w:szCs w:val="10"/>
                <w:lang w:val="fr-BE"/>
              </w:rPr>
            </w:pPr>
          </w:p>
        </w:tc>
        <w:tc>
          <w:tcPr>
            <w:tcW w:w="0" w:type="auto"/>
            <w:shd w:val="clear" w:color="auto" w:fill="auto"/>
          </w:tcPr>
          <w:p w14:paraId="5188B0F8" w14:textId="77777777" w:rsidR="008C5CFA" w:rsidRPr="00601E29" w:rsidRDefault="008C5CFA" w:rsidP="00300A01">
            <w:pPr>
              <w:spacing w:before="0" w:after="0"/>
              <w:rPr>
                <w:b/>
                <w:sz w:val="10"/>
                <w:szCs w:val="10"/>
                <w:lang w:val="fr-BE"/>
              </w:rPr>
            </w:pPr>
          </w:p>
        </w:tc>
        <w:tc>
          <w:tcPr>
            <w:tcW w:w="0" w:type="auto"/>
            <w:gridSpan w:val="3"/>
          </w:tcPr>
          <w:p w14:paraId="03F9F390" w14:textId="77777777" w:rsidR="008C5CFA" w:rsidRPr="00601E29" w:rsidRDefault="00E82A60" w:rsidP="00300A01">
            <w:pPr>
              <w:spacing w:before="0" w:after="0"/>
              <w:jc w:val="center"/>
              <w:rPr>
                <w:b/>
                <w:sz w:val="10"/>
                <w:szCs w:val="10"/>
                <w:lang w:val="fr-BE"/>
              </w:rPr>
            </w:pPr>
            <w:r w:rsidRPr="00601E29">
              <w:rPr>
                <w:b/>
                <w:noProof/>
                <w:sz w:val="10"/>
                <w:szCs w:val="10"/>
                <w:lang w:val="fr-BE"/>
              </w:rPr>
              <w:t>Łącznie</w:t>
            </w:r>
          </w:p>
        </w:tc>
        <w:tc>
          <w:tcPr>
            <w:tcW w:w="0" w:type="auto"/>
            <w:gridSpan w:val="3"/>
          </w:tcPr>
          <w:p w14:paraId="27018A25" w14:textId="77777777" w:rsidR="008C5CFA" w:rsidRPr="00601E29" w:rsidRDefault="00E82A60" w:rsidP="00300A01">
            <w:pPr>
              <w:spacing w:before="0" w:after="0"/>
              <w:jc w:val="center"/>
              <w:rPr>
                <w:b/>
                <w:sz w:val="10"/>
                <w:szCs w:val="10"/>
                <w:lang w:val="fr-BE"/>
              </w:rPr>
            </w:pPr>
            <w:r w:rsidRPr="00601E29">
              <w:rPr>
                <w:b/>
                <w:noProof/>
                <w:sz w:val="10"/>
                <w:szCs w:val="10"/>
                <w:lang w:val="fr-BE"/>
              </w:rPr>
              <w:t>Łącznie w roku</w:t>
            </w:r>
          </w:p>
        </w:tc>
        <w:tc>
          <w:tcPr>
            <w:tcW w:w="0" w:type="auto"/>
          </w:tcPr>
          <w:p w14:paraId="011D7514" w14:textId="77777777" w:rsidR="008C5CFA" w:rsidRPr="00601E29" w:rsidRDefault="00E82A60" w:rsidP="00300A01">
            <w:pPr>
              <w:spacing w:before="0" w:after="0"/>
              <w:jc w:val="center"/>
              <w:rPr>
                <w:b/>
                <w:sz w:val="10"/>
                <w:szCs w:val="10"/>
                <w:lang w:val="fr-BE"/>
              </w:rPr>
            </w:pPr>
            <w:r w:rsidRPr="00601E29">
              <w:rPr>
                <w:b/>
                <w:noProof/>
                <w:sz w:val="10"/>
                <w:szCs w:val="10"/>
                <w:lang w:val="fr-BE"/>
              </w:rPr>
              <w:t>Jakościowe</w:t>
            </w:r>
          </w:p>
        </w:tc>
        <w:tc>
          <w:tcPr>
            <w:tcW w:w="0" w:type="auto"/>
            <w:gridSpan w:val="3"/>
          </w:tcPr>
          <w:p w14:paraId="62212641" w14:textId="77777777" w:rsidR="008C5CFA" w:rsidRPr="00601E29" w:rsidRDefault="00E82A60" w:rsidP="00300A01">
            <w:pPr>
              <w:spacing w:before="0" w:after="0"/>
              <w:jc w:val="center"/>
              <w:rPr>
                <w:b/>
                <w:sz w:val="10"/>
                <w:szCs w:val="10"/>
                <w:lang w:val="fr-BE"/>
              </w:rPr>
            </w:pPr>
            <w:r w:rsidRPr="00601E29">
              <w:rPr>
                <w:b/>
                <w:noProof/>
                <w:sz w:val="10"/>
                <w:szCs w:val="10"/>
                <w:lang w:val="fr-BE"/>
              </w:rPr>
              <w:t>Łącznie</w:t>
            </w:r>
          </w:p>
        </w:tc>
        <w:tc>
          <w:tcPr>
            <w:tcW w:w="0" w:type="auto"/>
            <w:gridSpan w:val="3"/>
          </w:tcPr>
          <w:p w14:paraId="2CC568FA" w14:textId="77777777" w:rsidR="008C5CFA" w:rsidRPr="00601E29" w:rsidRDefault="00E82A60" w:rsidP="00300A01">
            <w:pPr>
              <w:spacing w:before="0" w:after="0"/>
              <w:jc w:val="center"/>
              <w:rPr>
                <w:b/>
                <w:sz w:val="10"/>
                <w:szCs w:val="10"/>
                <w:lang w:val="fr-BE"/>
              </w:rPr>
            </w:pPr>
            <w:r w:rsidRPr="00601E29">
              <w:rPr>
                <w:b/>
                <w:noProof/>
                <w:sz w:val="10"/>
                <w:szCs w:val="10"/>
                <w:lang w:val="fr-BE"/>
              </w:rPr>
              <w:t>Łącznie w roku</w:t>
            </w:r>
          </w:p>
        </w:tc>
        <w:tc>
          <w:tcPr>
            <w:tcW w:w="0" w:type="auto"/>
          </w:tcPr>
          <w:p w14:paraId="2C590A33" w14:textId="77777777" w:rsidR="008C5CFA" w:rsidRPr="00601E29" w:rsidRDefault="00E82A60" w:rsidP="00300A01">
            <w:pPr>
              <w:spacing w:before="0" w:after="0"/>
              <w:jc w:val="center"/>
              <w:rPr>
                <w:b/>
                <w:sz w:val="10"/>
                <w:szCs w:val="10"/>
                <w:lang w:val="fr-BE"/>
              </w:rPr>
            </w:pPr>
            <w:r w:rsidRPr="00601E29">
              <w:rPr>
                <w:b/>
                <w:noProof/>
                <w:sz w:val="10"/>
                <w:szCs w:val="10"/>
                <w:lang w:val="fr-BE"/>
              </w:rPr>
              <w:t>Jakościowe</w:t>
            </w:r>
          </w:p>
        </w:tc>
      </w:tr>
      <w:tr w:rsidR="006B2EC1" w14:paraId="73B97745" w14:textId="77777777" w:rsidTr="0047688D">
        <w:trPr>
          <w:tblHeader/>
        </w:trPr>
        <w:tc>
          <w:tcPr>
            <w:tcW w:w="0" w:type="auto"/>
            <w:shd w:val="clear" w:color="auto" w:fill="auto"/>
          </w:tcPr>
          <w:p w14:paraId="7EFED9AA" w14:textId="77777777" w:rsidR="008C5CFA" w:rsidRPr="00601E29" w:rsidRDefault="008C5CFA" w:rsidP="00300A01">
            <w:pPr>
              <w:spacing w:before="0" w:after="0"/>
              <w:rPr>
                <w:b/>
                <w:sz w:val="10"/>
                <w:szCs w:val="10"/>
                <w:lang w:val="fr-BE"/>
              </w:rPr>
            </w:pPr>
          </w:p>
        </w:tc>
        <w:tc>
          <w:tcPr>
            <w:tcW w:w="0" w:type="auto"/>
            <w:shd w:val="clear" w:color="auto" w:fill="auto"/>
          </w:tcPr>
          <w:p w14:paraId="11F147C5" w14:textId="77777777" w:rsidR="008C5CFA" w:rsidRPr="00601E29" w:rsidRDefault="008C5CFA" w:rsidP="00300A01">
            <w:pPr>
              <w:spacing w:before="0" w:after="0"/>
              <w:rPr>
                <w:b/>
                <w:sz w:val="10"/>
                <w:szCs w:val="10"/>
                <w:lang w:val="fr-BE"/>
              </w:rPr>
            </w:pPr>
          </w:p>
        </w:tc>
        <w:tc>
          <w:tcPr>
            <w:tcW w:w="0" w:type="auto"/>
            <w:shd w:val="clear" w:color="auto" w:fill="auto"/>
          </w:tcPr>
          <w:p w14:paraId="705B1187" w14:textId="77777777" w:rsidR="008C5CFA" w:rsidRPr="00601E29" w:rsidRDefault="008C5CFA" w:rsidP="00300A01">
            <w:pPr>
              <w:spacing w:before="0" w:after="0"/>
              <w:rPr>
                <w:b/>
                <w:sz w:val="10"/>
                <w:szCs w:val="10"/>
                <w:lang w:val="fr-BE"/>
              </w:rPr>
            </w:pPr>
          </w:p>
        </w:tc>
        <w:tc>
          <w:tcPr>
            <w:tcW w:w="0" w:type="auto"/>
          </w:tcPr>
          <w:p w14:paraId="70BC5463" w14:textId="77777777" w:rsidR="008C5CFA" w:rsidRPr="00601E29" w:rsidRDefault="00E82A60" w:rsidP="00300A01">
            <w:pPr>
              <w:spacing w:before="0" w:after="0"/>
              <w:jc w:val="center"/>
              <w:rPr>
                <w:b/>
                <w:sz w:val="10"/>
                <w:szCs w:val="10"/>
                <w:lang w:val="fr-BE"/>
              </w:rPr>
            </w:pPr>
            <w:r w:rsidRPr="00601E29">
              <w:rPr>
                <w:b/>
                <w:noProof/>
                <w:sz w:val="10"/>
                <w:szCs w:val="10"/>
                <w:lang w:val="fr-BE"/>
              </w:rPr>
              <w:t>Ogółem</w:t>
            </w:r>
          </w:p>
        </w:tc>
        <w:tc>
          <w:tcPr>
            <w:tcW w:w="0" w:type="auto"/>
          </w:tcPr>
          <w:p w14:paraId="03FE4CFC" w14:textId="77777777" w:rsidR="008C5CFA" w:rsidRPr="00601E29" w:rsidRDefault="00E82A60" w:rsidP="00300A01">
            <w:pPr>
              <w:spacing w:before="0" w:after="0"/>
              <w:jc w:val="center"/>
              <w:rPr>
                <w:b/>
                <w:sz w:val="10"/>
                <w:szCs w:val="10"/>
                <w:lang w:val="fr-BE"/>
              </w:rPr>
            </w:pPr>
            <w:r w:rsidRPr="00601E29">
              <w:rPr>
                <w:b/>
                <w:noProof/>
                <w:sz w:val="10"/>
                <w:szCs w:val="10"/>
                <w:lang w:val="fr-BE"/>
              </w:rPr>
              <w:t>Mężczyźni</w:t>
            </w:r>
          </w:p>
        </w:tc>
        <w:tc>
          <w:tcPr>
            <w:tcW w:w="0" w:type="auto"/>
          </w:tcPr>
          <w:p w14:paraId="4DDC0C21" w14:textId="77777777" w:rsidR="008C5CFA" w:rsidRPr="00601E29" w:rsidRDefault="00E82A60" w:rsidP="00300A01">
            <w:pPr>
              <w:spacing w:before="0" w:after="0"/>
              <w:jc w:val="center"/>
              <w:rPr>
                <w:b/>
                <w:sz w:val="10"/>
                <w:szCs w:val="10"/>
                <w:lang w:val="fr-BE"/>
              </w:rPr>
            </w:pPr>
            <w:r w:rsidRPr="00601E29">
              <w:rPr>
                <w:b/>
                <w:noProof/>
                <w:sz w:val="10"/>
                <w:szCs w:val="10"/>
                <w:lang w:val="fr-BE"/>
              </w:rPr>
              <w:t>Kobiety</w:t>
            </w:r>
          </w:p>
        </w:tc>
        <w:tc>
          <w:tcPr>
            <w:tcW w:w="0" w:type="auto"/>
          </w:tcPr>
          <w:p w14:paraId="0DCA2AC1" w14:textId="77777777" w:rsidR="008C5CFA" w:rsidRPr="00601E29" w:rsidRDefault="00E82A60" w:rsidP="00300A01">
            <w:pPr>
              <w:spacing w:before="0" w:after="0"/>
              <w:jc w:val="center"/>
              <w:rPr>
                <w:b/>
                <w:sz w:val="10"/>
                <w:szCs w:val="10"/>
                <w:lang w:val="fr-BE"/>
              </w:rPr>
            </w:pPr>
            <w:r w:rsidRPr="00601E29">
              <w:rPr>
                <w:b/>
                <w:noProof/>
                <w:sz w:val="10"/>
                <w:szCs w:val="10"/>
                <w:lang w:val="fr-BE"/>
              </w:rPr>
              <w:t>Ogółem</w:t>
            </w:r>
          </w:p>
        </w:tc>
        <w:tc>
          <w:tcPr>
            <w:tcW w:w="0" w:type="auto"/>
          </w:tcPr>
          <w:p w14:paraId="1FD6DCA5" w14:textId="77777777" w:rsidR="008C5CFA" w:rsidRPr="00601E29" w:rsidRDefault="00E82A60" w:rsidP="00300A01">
            <w:pPr>
              <w:spacing w:before="0" w:after="0"/>
              <w:jc w:val="center"/>
              <w:rPr>
                <w:b/>
                <w:sz w:val="10"/>
                <w:szCs w:val="10"/>
                <w:lang w:val="fr-BE"/>
              </w:rPr>
            </w:pPr>
            <w:r w:rsidRPr="00601E29">
              <w:rPr>
                <w:b/>
                <w:noProof/>
                <w:sz w:val="10"/>
                <w:szCs w:val="10"/>
                <w:lang w:val="fr-BE"/>
              </w:rPr>
              <w:t>Mężczyźni</w:t>
            </w:r>
          </w:p>
        </w:tc>
        <w:tc>
          <w:tcPr>
            <w:tcW w:w="0" w:type="auto"/>
          </w:tcPr>
          <w:p w14:paraId="10DB7811" w14:textId="77777777" w:rsidR="008C5CFA" w:rsidRPr="00601E29" w:rsidRDefault="00E82A60" w:rsidP="00300A01">
            <w:pPr>
              <w:spacing w:before="0" w:after="0"/>
              <w:jc w:val="center"/>
              <w:rPr>
                <w:b/>
                <w:sz w:val="10"/>
                <w:szCs w:val="10"/>
                <w:lang w:val="fr-BE"/>
              </w:rPr>
            </w:pPr>
            <w:r w:rsidRPr="00601E29">
              <w:rPr>
                <w:b/>
                <w:noProof/>
                <w:sz w:val="10"/>
                <w:szCs w:val="10"/>
                <w:lang w:val="fr-BE"/>
              </w:rPr>
              <w:t>Kobiety</w:t>
            </w:r>
          </w:p>
        </w:tc>
        <w:tc>
          <w:tcPr>
            <w:tcW w:w="0" w:type="auto"/>
          </w:tcPr>
          <w:p w14:paraId="4E99DAA6" w14:textId="77777777" w:rsidR="008C5CFA" w:rsidRPr="00601E29" w:rsidRDefault="008C5CFA" w:rsidP="00300A01">
            <w:pPr>
              <w:spacing w:before="0" w:after="0"/>
              <w:jc w:val="center"/>
              <w:rPr>
                <w:b/>
                <w:sz w:val="10"/>
                <w:szCs w:val="10"/>
                <w:lang w:val="fr-BE"/>
              </w:rPr>
            </w:pPr>
          </w:p>
        </w:tc>
        <w:tc>
          <w:tcPr>
            <w:tcW w:w="0" w:type="auto"/>
          </w:tcPr>
          <w:p w14:paraId="7F65EE2A" w14:textId="77777777" w:rsidR="008C5CFA" w:rsidRPr="00601E29" w:rsidRDefault="00E82A60" w:rsidP="00300A01">
            <w:pPr>
              <w:spacing w:before="0" w:after="0"/>
              <w:jc w:val="center"/>
              <w:rPr>
                <w:b/>
                <w:sz w:val="10"/>
                <w:szCs w:val="10"/>
                <w:lang w:val="fr-BE"/>
              </w:rPr>
            </w:pPr>
            <w:r w:rsidRPr="00601E29">
              <w:rPr>
                <w:b/>
                <w:noProof/>
                <w:sz w:val="10"/>
                <w:szCs w:val="10"/>
                <w:lang w:val="fr-BE"/>
              </w:rPr>
              <w:t>Ogółem</w:t>
            </w:r>
          </w:p>
        </w:tc>
        <w:tc>
          <w:tcPr>
            <w:tcW w:w="0" w:type="auto"/>
          </w:tcPr>
          <w:p w14:paraId="046EB5A0" w14:textId="77777777" w:rsidR="008C5CFA" w:rsidRPr="00601E29" w:rsidRDefault="00E82A60" w:rsidP="00300A01">
            <w:pPr>
              <w:spacing w:before="0" w:after="0"/>
              <w:jc w:val="center"/>
              <w:rPr>
                <w:b/>
                <w:sz w:val="10"/>
                <w:szCs w:val="10"/>
                <w:lang w:val="fr-BE"/>
              </w:rPr>
            </w:pPr>
            <w:r w:rsidRPr="00601E29">
              <w:rPr>
                <w:b/>
                <w:noProof/>
                <w:sz w:val="10"/>
                <w:szCs w:val="10"/>
                <w:lang w:val="fr-BE"/>
              </w:rPr>
              <w:t>Mężczyźni</w:t>
            </w:r>
          </w:p>
        </w:tc>
        <w:tc>
          <w:tcPr>
            <w:tcW w:w="0" w:type="auto"/>
          </w:tcPr>
          <w:p w14:paraId="263A720D" w14:textId="77777777" w:rsidR="008C5CFA" w:rsidRPr="00601E29" w:rsidRDefault="00E82A60" w:rsidP="00300A01">
            <w:pPr>
              <w:spacing w:before="0" w:after="0"/>
              <w:jc w:val="center"/>
              <w:rPr>
                <w:b/>
                <w:sz w:val="10"/>
                <w:szCs w:val="10"/>
                <w:lang w:val="fr-BE"/>
              </w:rPr>
            </w:pPr>
            <w:r w:rsidRPr="00601E29">
              <w:rPr>
                <w:b/>
                <w:noProof/>
                <w:sz w:val="10"/>
                <w:szCs w:val="10"/>
                <w:lang w:val="fr-BE"/>
              </w:rPr>
              <w:t>Kobiety</w:t>
            </w:r>
          </w:p>
        </w:tc>
        <w:tc>
          <w:tcPr>
            <w:tcW w:w="0" w:type="auto"/>
          </w:tcPr>
          <w:p w14:paraId="2B3615AB" w14:textId="77777777" w:rsidR="008C5CFA" w:rsidRPr="00601E29" w:rsidRDefault="00E82A60" w:rsidP="00300A01">
            <w:pPr>
              <w:spacing w:before="0" w:after="0"/>
              <w:jc w:val="center"/>
              <w:rPr>
                <w:b/>
                <w:sz w:val="10"/>
                <w:szCs w:val="10"/>
                <w:lang w:val="fr-BE"/>
              </w:rPr>
            </w:pPr>
            <w:r w:rsidRPr="00601E29">
              <w:rPr>
                <w:b/>
                <w:noProof/>
                <w:sz w:val="10"/>
                <w:szCs w:val="10"/>
                <w:lang w:val="fr-BE"/>
              </w:rPr>
              <w:t>Ogółem</w:t>
            </w:r>
          </w:p>
        </w:tc>
        <w:tc>
          <w:tcPr>
            <w:tcW w:w="0" w:type="auto"/>
          </w:tcPr>
          <w:p w14:paraId="54EA1CC2" w14:textId="77777777" w:rsidR="008C5CFA" w:rsidRPr="00601E29" w:rsidRDefault="00E82A60" w:rsidP="00300A01">
            <w:pPr>
              <w:spacing w:before="0" w:after="0"/>
              <w:jc w:val="center"/>
              <w:rPr>
                <w:b/>
                <w:sz w:val="10"/>
                <w:szCs w:val="10"/>
                <w:lang w:val="fr-BE"/>
              </w:rPr>
            </w:pPr>
            <w:r w:rsidRPr="00601E29">
              <w:rPr>
                <w:b/>
                <w:noProof/>
                <w:sz w:val="10"/>
                <w:szCs w:val="10"/>
                <w:lang w:val="fr-BE"/>
              </w:rPr>
              <w:t>Mężczyźni</w:t>
            </w:r>
          </w:p>
        </w:tc>
        <w:tc>
          <w:tcPr>
            <w:tcW w:w="0" w:type="auto"/>
          </w:tcPr>
          <w:p w14:paraId="345E1DF0" w14:textId="77777777" w:rsidR="008C5CFA" w:rsidRPr="00601E29" w:rsidRDefault="00E82A60" w:rsidP="00300A01">
            <w:pPr>
              <w:spacing w:before="0" w:after="0"/>
              <w:jc w:val="center"/>
              <w:rPr>
                <w:b/>
                <w:sz w:val="10"/>
                <w:szCs w:val="10"/>
                <w:lang w:val="fr-BE"/>
              </w:rPr>
            </w:pPr>
            <w:r w:rsidRPr="00601E29">
              <w:rPr>
                <w:b/>
                <w:noProof/>
                <w:sz w:val="10"/>
                <w:szCs w:val="10"/>
                <w:lang w:val="fr-BE"/>
              </w:rPr>
              <w:t>Kobiety</w:t>
            </w:r>
          </w:p>
        </w:tc>
        <w:tc>
          <w:tcPr>
            <w:tcW w:w="0" w:type="auto"/>
          </w:tcPr>
          <w:p w14:paraId="19AF4367" w14:textId="77777777" w:rsidR="008C5CFA" w:rsidRPr="00601E29" w:rsidRDefault="008C5CFA" w:rsidP="00300A01">
            <w:pPr>
              <w:spacing w:before="0" w:after="0"/>
              <w:jc w:val="center"/>
              <w:rPr>
                <w:b/>
                <w:sz w:val="10"/>
                <w:szCs w:val="10"/>
                <w:lang w:val="fr-BE"/>
              </w:rPr>
            </w:pPr>
          </w:p>
        </w:tc>
      </w:tr>
      <w:tr w:rsidR="006B2EC1" w14:paraId="0D996B5F" w14:textId="77777777" w:rsidTr="0047688D">
        <w:tc>
          <w:tcPr>
            <w:tcW w:w="0" w:type="auto"/>
            <w:shd w:val="clear" w:color="auto" w:fill="auto"/>
          </w:tcPr>
          <w:p w14:paraId="2D217C64" w14:textId="77777777" w:rsidR="008C5CFA" w:rsidRPr="00601E29" w:rsidRDefault="00E82A60" w:rsidP="00300A01">
            <w:pPr>
              <w:spacing w:before="0" w:after="0"/>
              <w:rPr>
                <w:sz w:val="10"/>
                <w:szCs w:val="10"/>
                <w:lang w:val="fr-BE"/>
              </w:rPr>
            </w:pPr>
            <w:r w:rsidRPr="00601E29">
              <w:rPr>
                <w:noProof/>
                <w:sz w:val="10"/>
                <w:szCs w:val="10"/>
                <w:lang w:val="fr-BE"/>
              </w:rPr>
              <w:t>001</w:t>
            </w:r>
          </w:p>
        </w:tc>
        <w:tc>
          <w:tcPr>
            <w:tcW w:w="0" w:type="auto"/>
            <w:shd w:val="clear" w:color="auto" w:fill="auto"/>
          </w:tcPr>
          <w:p w14:paraId="78ADD893" w14:textId="77777777" w:rsidR="008C5CFA" w:rsidRPr="00601E29" w:rsidRDefault="00E82A60" w:rsidP="00300A01">
            <w:pPr>
              <w:spacing w:before="0" w:after="0"/>
              <w:rPr>
                <w:sz w:val="10"/>
                <w:szCs w:val="10"/>
                <w:lang w:val="fr-BE"/>
              </w:rPr>
            </w:pPr>
            <w:r w:rsidRPr="00601E29">
              <w:rPr>
                <w:noProof/>
                <w:sz w:val="10"/>
                <w:szCs w:val="10"/>
                <w:lang w:val="fr-BE"/>
              </w:rPr>
              <w:t>Liczba osób, które dzięki interwencji EFS zgłosiły się na badanie profilaktyczne</w:t>
            </w:r>
          </w:p>
        </w:tc>
        <w:tc>
          <w:tcPr>
            <w:tcW w:w="0" w:type="auto"/>
            <w:shd w:val="clear" w:color="auto" w:fill="auto"/>
          </w:tcPr>
          <w:p w14:paraId="405A6DD9" w14:textId="77777777" w:rsidR="008C5CFA" w:rsidRPr="00601E29" w:rsidRDefault="00E82A60" w:rsidP="00300A01">
            <w:pPr>
              <w:spacing w:before="0" w:after="0"/>
              <w:rPr>
                <w:sz w:val="10"/>
                <w:szCs w:val="10"/>
                <w:lang w:val="fr-BE"/>
              </w:rPr>
            </w:pPr>
            <w:r w:rsidRPr="00601E29">
              <w:rPr>
                <w:noProof/>
                <w:sz w:val="10"/>
                <w:szCs w:val="10"/>
                <w:lang w:val="fr-BE"/>
              </w:rPr>
              <w:t>Słabiej rozwinięte</w:t>
            </w:r>
          </w:p>
        </w:tc>
        <w:tc>
          <w:tcPr>
            <w:tcW w:w="0" w:type="auto"/>
          </w:tcPr>
          <w:p w14:paraId="6834EDC7" w14:textId="77777777" w:rsidR="008C5CFA" w:rsidRPr="00601E29" w:rsidRDefault="00E82A60" w:rsidP="00300A01">
            <w:pPr>
              <w:spacing w:before="0" w:after="0"/>
              <w:jc w:val="right"/>
              <w:rPr>
                <w:sz w:val="10"/>
                <w:szCs w:val="10"/>
                <w:lang w:val="fr-BE"/>
              </w:rPr>
            </w:pPr>
            <w:r w:rsidRPr="00601E29">
              <w:rPr>
                <w:noProof/>
                <w:sz w:val="10"/>
                <w:szCs w:val="10"/>
                <w:lang w:val="fr-BE"/>
              </w:rPr>
              <w:t>13 450,00</w:t>
            </w:r>
          </w:p>
        </w:tc>
        <w:tc>
          <w:tcPr>
            <w:tcW w:w="0" w:type="auto"/>
          </w:tcPr>
          <w:p w14:paraId="5192E43A"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0B4A655B"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401F1732" w14:textId="77777777" w:rsidR="008C5CFA" w:rsidRPr="00601E29" w:rsidRDefault="00E82A60" w:rsidP="00300A01">
            <w:pPr>
              <w:spacing w:before="0" w:after="0"/>
              <w:jc w:val="right"/>
              <w:rPr>
                <w:sz w:val="10"/>
                <w:szCs w:val="10"/>
                <w:lang w:val="fr-BE"/>
              </w:rPr>
            </w:pPr>
            <w:r w:rsidRPr="00601E29">
              <w:rPr>
                <w:noProof/>
                <w:sz w:val="10"/>
                <w:szCs w:val="10"/>
                <w:lang w:val="fr-BE"/>
              </w:rPr>
              <w:t>12 282,00</w:t>
            </w:r>
          </w:p>
        </w:tc>
        <w:tc>
          <w:tcPr>
            <w:tcW w:w="0" w:type="auto"/>
          </w:tcPr>
          <w:p w14:paraId="03C9A96B"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6A750F96"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27E3E3A8" w14:textId="77777777" w:rsidR="008C5CFA" w:rsidRPr="00601E29" w:rsidRDefault="008C5CFA" w:rsidP="00300A01">
            <w:pPr>
              <w:spacing w:before="0" w:after="0"/>
              <w:jc w:val="right"/>
              <w:rPr>
                <w:sz w:val="10"/>
                <w:szCs w:val="10"/>
                <w:lang w:val="fr-BE"/>
              </w:rPr>
            </w:pPr>
          </w:p>
        </w:tc>
        <w:tc>
          <w:tcPr>
            <w:tcW w:w="0" w:type="auto"/>
          </w:tcPr>
          <w:p w14:paraId="6CA168AA" w14:textId="77777777" w:rsidR="008C5CFA" w:rsidRPr="00601E29" w:rsidRDefault="00E82A60" w:rsidP="00300A01">
            <w:pPr>
              <w:spacing w:before="0" w:after="0"/>
              <w:jc w:val="right"/>
              <w:rPr>
                <w:sz w:val="10"/>
                <w:szCs w:val="10"/>
                <w:lang w:val="fr-BE"/>
              </w:rPr>
            </w:pPr>
            <w:r w:rsidRPr="00601E29">
              <w:rPr>
                <w:noProof/>
                <w:sz w:val="10"/>
                <w:szCs w:val="10"/>
                <w:lang w:val="fr-BE"/>
              </w:rPr>
              <w:t>1 168,00</w:t>
            </w:r>
          </w:p>
        </w:tc>
        <w:tc>
          <w:tcPr>
            <w:tcW w:w="0" w:type="auto"/>
          </w:tcPr>
          <w:p w14:paraId="07392A49"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3717F4FB"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2D1E1F72" w14:textId="77777777" w:rsidR="008C5CFA" w:rsidRPr="00601E29" w:rsidRDefault="00E82A60" w:rsidP="00300A01">
            <w:pPr>
              <w:spacing w:before="0" w:after="0"/>
              <w:jc w:val="right"/>
              <w:rPr>
                <w:sz w:val="10"/>
                <w:szCs w:val="10"/>
                <w:lang w:val="fr-BE"/>
              </w:rPr>
            </w:pPr>
            <w:r w:rsidRPr="00601E29">
              <w:rPr>
                <w:noProof/>
                <w:sz w:val="10"/>
                <w:szCs w:val="10"/>
                <w:lang w:val="fr-BE"/>
              </w:rPr>
              <w:t>1 168,00</w:t>
            </w:r>
          </w:p>
        </w:tc>
        <w:tc>
          <w:tcPr>
            <w:tcW w:w="0" w:type="auto"/>
          </w:tcPr>
          <w:p w14:paraId="77A91F38"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2E1F9A23"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0D68EEAF" w14:textId="77777777" w:rsidR="008C5CFA" w:rsidRPr="00601E29" w:rsidRDefault="008C5CFA" w:rsidP="00300A01">
            <w:pPr>
              <w:spacing w:before="0" w:after="0"/>
              <w:jc w:val="right"/>
              <w:rPr>
                <w:sz w:val="10"/>
                <w:szCs w:val="10"/>
                <w:lang w:val="fr-BE"/>
              </w:rPr>
            </w:pPr>
          </w:p>
        </w:tc>
      </w:tr>
      <w:tr w:rsidR="006B2EC1" w14:paraId="0272CB32" w14:textId="77777777" w:rsidTr="0047688D">
        <w:tc>
          <w:tcPr>
            <w:tcW w:w="0" w:type="auto"/>
            <w:shd w:val="clear" w:color="auto" w:fill="auto"/>
          </w:tcPr>
          <w:p w14:paraId="51B8CD0A" w14:textId="77777777" w:rsidR="008C5CFA" w:rsidRPr="00601E29" w:rsidRDefault="00E82A60" w:rsidP="00300A01">
            <w:pPr>
              <w:spacing w:before="0" w:after="0"/>
              <w:rPr>
                <w:sz w:val="10"/>
                <w:szCs w:val="10"/>
                <w:lang w:val="fr-BE"/>
              </w:rPr>
            </w:pPr>
            <w:r w:rsidRPr="00601E29">
              <w:rPr>
                <w:noProof/>
                <w:sz w:val="10"/>
                <w:szCs w:val="10"/>
                <w:lang w:val="fr-BE"/>
              </w:rPr>
              <w:t>96</w:t>
            </w:r>
          </w:p>
        </w:tc>
        <w:tc>
          <w:tcPr>
            <w:tcW w:w="0" w:type="auto"/>
            <w:shd w:val="clear" w:color="auto" w:fill="auto"/>
          </w:tcPr>
          <w:p w14:paraId="399ED4F2" w14:textId="77777777" w:rsidR="008C5CFA" w:rsidRPr="00601E29" w:rsidRDefault="00E82A60" w:rsidP="00300A01">
            <w:pPr>
              <w:spacing w:before="0" w:after="0"/>
              <w:rPr>
                <w:sz w:val="10"/>
                <w:szCs w:val="10"/>
                <w:lang w:val="fr-BE"/>
              </w:rPr>
            </w:pPr>
            <w:r w:rsidRPr="00601E29">
              <w:rPr>
                <w:noProof/>
                <w:sz w:val="10"/>
                <w:szCs w:val="10"/>
                <w:lang w:val="fr-BE"/>
              </w:rPr>
              <w:t>Liczba osób, które po opuszczeniu programu podjęły pracę lub kontynuowały zatrudnienie</w:t>
            </w:r>
          </w:p>
        </w:tc>
        <w:tc>
          <w:tcPr>
            <w:tcW w:w="0" w:type="auto"/>
            <w:shd w:val="clear" w:color="auto" w:fill="auto"/>
          </w:tcPr>
          <w:p w14:paraId="1D5C195D" w14:textId="77777777" w:rsidR="008C5CFA" w:rsidRPr="00601E29" w:rsidRDefault="00E82A60" w:rsidP="00300A01">
            <w:pPr>
              <w:spacing w:before="0" w:after="0"/>
              <w:rPr>
                <w:sz w:val="10"/>
                <w:szCs w:val="10"/>
                <w:lang w:val="fr-BE"/>
              </w:rPr>
            </w:pPr>
            <w:r w:rsidRPr="00601E29">
              <w:rPr>
                <w:noProof/>
                <w:sz w:val="10"/>
                <w:szCs w:val="10"/>
                <w:lang w:val="fr-BE"/>
              </w:rPr>
              <w:t>Słabiej rozwinięte</w:t>
            </w:r>
          </w:p>
        </w:tc>
        <w:tc>
          <w:tcPr>
            <w:tcW w:w="0" w:type="auto"/>
          </w:tcPr>
          <w:p w14:paraId="7145C944" w14:textId="77777777" w:rsidR="008C5CFA" w:rsidRPr="00601E29" w:rsidRDefault="00E82A60" w:rsidP="00300A01">
            <w:pPr>
              <w:spacing w:before="0" w:after="0"/>
              <w:jc w:val="right"/>
              <w:rPr>
                <w:sz w:val="10"/>
                <w:szCs w:val="10"/>
                <w:lang w:val="fr-BE"/>
              </w:rPr>
            </w:pPr>
            <w:r w:rsidRPr="00601E29">
              <w:rPr>
                <w:noProof/>
                <w:sz w:val="10"/>
                <w:szCs w:val="10"/>
                <w:lang w:val="fr-BE"/>
              </w:rPr>
              <w:t>78,00</w:t>
            </w:r>
          </w:p>
        </w:tc>
        <w:tc>
          <w:tcPr>
            <w:tcW w:w="0" w:type="auto"/>
          </w:tcPr>
          <w:p w14:paraId="1D4736A8"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500895BC"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74652ACE" w14:textId="77777777" w:rsidR="008C5CFA" w:rsidRPr="00601E29" w:rsidRDefault="00E82A60" w:rsidP="00300A01">
            <w:pPr>
              <w:spacing w:before="0" w:after="0"/>
              <w:jc w:val="right"/>
              <w:rPr>
                <w:sz w:val="10"/>
                <w:szCs w:val="10"/>
                <w:lang w:val="fr-BE"/>
              </w:rPr>
            </w:pPr>
            <w:r w:rsidRPr="00601E29">
              <w:rPr>
                <w:noProof/>
                <w:sz w:val="10"/>
                <w:szCs w:val="10"/>
                <w:lang w:val="fr-BE"/>
              </w:rPr>
              <w:t>78,00</w:t>
            </w:r>
          </w:p>
        </w:tc>
        <w:tc>
          <w:tcPr>
            <w:tcW w:w="0" w:type="auto"/>
          </w:tcPr>
          <w:p w14:paraId="6828150C"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64BC6312"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2A319117" w14:textId="77777777" w:rsidR="008C5CFA" w:rsidRPr="00601E29" w:rsidRDefault="008C5CFA" w:rsidP="00300A01">
            <w:pPr>
              <w:spacing w:before="0" w:after="0"/>
              <w:jc w:val="right"/>
              <w:rPr>
                <w:sz w:val="10"/>
                <w:szCs w:val="10"/>
                <w:lang w:val="fr-BE"/>
              </w:rPr>
            </w:pPr>
          </w:p>
        </w:tc>
        <w:tc>
          <w:tcPr>
            <w:tcW w:w="0" w:type="auto"/>
          </w:tcPr>
          <w:p w14:paraId="4A97FA3E"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43680307"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0848E99B"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70368C6A"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77B5A5AE"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0EA20910"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7942603C" w14:textId="77777777" w:rsidR="008C5CFA" w:rsidRPr="00601E29" w:rsidRDefault="008C5CFA" w:rsidP="00300A01">
            <w:pPr>
              <w:spacing w:before="0" w:after="0"/>
              <w:jc w:val="right"/>
              <w:rPr>
                <w:sz w:val="10"/>
                <w:szCs w:val="10"/>
                <w:lang w:val="fr-BE"/>
              </w:rPr>
            </w:pPr>
          </w:p>
        </w:tc>
      </w:tr>
    </w:tbl>
    <w:p w14:paraId="08E9F823"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34"/>
        <w:gridCol w:w="4757"/>
        <w:gridCol w:w="1135"/>
        <w:gridCol w:w="569"/>
        <w:gridCol w:w="716"/>
        <w:gridCol w:w="575"/>
        <w:gridCol w:w="569"/>
        <w:gridCol w:w="716"/>
        <w:gridCol w:w="575"/>
        <w:gridCol w:w="759"/>
        <w:gridCol w:w="569"/>
        <w:gridCol w:w="716"/>
        <w:gridCol w:w="575"/>
        <w:gridCol w:w="569"/>
        <w:gridCol w:w="716"/>
        <w:gridCol w:w="575"/>
        <w:gridCol w:w="759"/>
      </w:tblGrid>
      <w:tr w:rsidR="006B2EC1" w14:paraId="12D45827" w14:textId="77777777" w:rsidTr="0047688D">
        <w:trPr>
          <w:tblHeader/>
        </w:trPr>
        <w:tc>
          <w:tcPr>
            <w:tcW w:w="0" w:type="auto"/>
            <w:shd w:val="clear" w:color="auto" w:fill="auto"/>
          </w:tcPr>
          <w:p w14:paraId="12E10853" w14:textId="77777777" w:rsidR="008C5CFA" w:rsidRPr="00601E29" w:rsidRDefault="00E82A60" w:rsidP="00300A01">
            <w:pPr>
              <w:spacing w:before="0" w:after="0"/>
              <w:rPr>
                <w:b/>
                <w:sz w:val="10"/>
                <w:szCs w:val="10"/>
                <w:lang w:val="fr-BE"/>
              </w:rPr>
            </w:pPr>
            <w:r w:rsidRPr="00601E29">
              <w:rPr>
                <w:b/>
                <w:noProof/>
                <w:sz w:val="10"/>
                <w:szCs w:val="10"/>
                <w:lang w:val="fr-BE"/>
              </w:rPr>
              <w:t>ID</w:t>
            </w:r>
          </w:p>
        </w:tc>
        <w:tc>
          <w:tcPr>
            <w:tcW w:w="0" w:type="auto"/>
            <w:shd w:val="clear" w:color="auto" w:fill="auto"/>
          </w:tcPr>
          <w:p w14:paraId="5E0905B3" w14:textId="77777777" w:rsidR="008C5CFA" w:rsidRPr="00601E29" w:rsidRDefault="00E82A60" w:rsidP="00300A01">
            <w:pPr>
              <w:spacing w:before="0" w:after="0"/>
              <w:rPr>
                <w:b/>
                <w:sz w:val="10"/>
                <w:szCs w:val="10"/>
                <w:lang w:val="fr-BE"/>
              </w:rPr>
            </w:pPr>
            <w:r w:rsidRPr="00601E29">
              <w:rPr>
                <w:b/>
                <w:noProof/>
                <w:sz w:val="10"/>
                <w:szCs w:val="10"/>
                <w:lang w:val="fr-BE"/>
              </w:rPr>
              <w:t>Wskaźnik</w:t>
            </w:r>
          </w:p>
        </w:tc>
        <w:tc>
          <w:tcPr>
            <w:tcW w:w="0" w:type="auto"/>
            <w:shd w:val="clear" w:color="auto" w:fill="auto"/>
          </w:tcPr>
          <w:p w14:paraId="1B2C7F68" w14:textId="77777777" w:rsidR="008C5CFA" w:rsidRPr="00601E29" w:rsidRDefault="00E82A60" w:rsidP="00300A01">
            <w:pPr>
              <w:spacing w:before="0" w:after="0"/>
              <w:rPr>
                <w:b/>
                <w:sz w:val="10"/>
                <w:szCs w:val="10"/>
                <w:lang w:val="fr-BE"/>
              </w:rPr>
            </w:pPr>
            <w:r w:rsidRPr="00601E29">
              <w:rPr>
                <w:b/>
                <w:noProof/>
                <w:sz w:val="10"/>
                <w:szCs w:val="10"/>
                <w:lang w:val="fr-BE"/>
              </w:rPr>
              <w:t>Kategoria regionu</w:t>
            </w:r>
          </w:p>
        </w:tc>
        <w:tc>
          <w:tcPr>
            <w:tcW w:w="0" w:type="auto"/>
            <w:gridSpan w:val="7"/>
          </w:tcPr>
          <w:p w14:paraId="15206CA2" w14:textId="77777777" w:rsidR="008C5CFA" w:rsidRPr="00601E29" w:rsidRDefault="00E82A60" w:rsidP="00300A01">
            <w:pPr>
              <w:spacing w:before="0" w:after="0"/>
              <w:jc w:val="center"/>
              <w:rPr>
                <w:b/>
                <w:sz w:val="10"/>
                <w:szCs w:val="10"/>
                <w:lang w:val="fr-BE"/>
              </w:rPr>
            </w:pPr>
            <w:r>
              <w:rPr>
                <w:b/>
                <w:sz w:val="10"/>
                <w:szCs w:val="10"/>
                <w:lang w:val="fr-BE"/>
              </w:rPr>
              <w:t>2016</w:t>
            </w:r>
          </w:p>
        </w:tc>
        <w:tc>
          <w:tcPr>
            <w:tcW w:w="0" w:type="auto"/>
            <w:gridSpan w:val="7"/>
          </w:tcPr>
          <w:p w14:paraId="17F45101" w14:textId="77777777" w:rsidR="008C5CFA" w:rsidRPr="00601E29" w:rsidRDefault="00E82A60" w:rsidP="00300A01">
            <w:pPr>
              <w:spacing w:before="0" w:after="0"/>
              <w:jc w:val="center"/>
              <w:rPr>
                <w:b/>
                <w:sz w:val="10"/>
                <w:szCs w:val="10"/>
                <w:lang w:val="fr-BE"/>
              </w:rPr>
            </w:pPr>
            <w:r>
              <w:rPr>
                <w:b/>
                <w:sz w:val="10"/>
                <w:szCs w:val="10"/>
                <w:lang w:val="fr-BE"/>
              </w:rPr>
              <w:t>2015</w:t>
            </w:r>
          </w:p>
        </w:tc>
      </w:tr>
      <w:tr w:rsidR="006B2EC1" w14:paraId="45BC4440" w14:textId="77777777" w:rsidTr="0047688D">
        <w:trPr>
          <w:tblHeader/>
        </w:trPr>
        <w:tc>
          <w:tcPr>
            <w:tcW w:w="0" w:type="auto"/>
            <w:shd w:val="clear" w:color="auto" w:fill="auto"/>
          </w:tcPr>
          <w:p w14:paraId="774679E6" w14:textId="77777777" w:rsidR="008C5CFA" w:rsidRPr="00601E29" w:rsidRDefault="008C5CFA" w:rsidP="00300A01">
            <w:pPr>
              <w:spacing w:before="0" w:after="0"/>
              <w:rPr>
                <w:b/>
                <w:sz w:val="10"/>
                <w:szCs w:val="10"/>
                <w:lang w:val="fr-BE"/>
              </w:rPr>
            </w:pPr>
          </w:p>
        </w:tc>
        <w:tc>
          <w:tcPr>
            <w:tcW w:w="0" w:type="auto"/>
            <w:shd w:val="clear" w:color="auto" w:fill="auto"/>
          </w:tcPr>
          <w:p w14:paraId="65BF736C" w14:textId="77777777" w:rsidR="008C5CFA" w:rsidRPr="00601E29" w:rsidRDefault="008C5CFA" w:rsidP="00300A01">
            <w:pPr>
              <w:spacing w:before="0" w:after="0"/>
              <w:rPr>
                <w:b/>
                <w:sz w:val="10"/>
                <w:szCs w:val="10"/>
                <w:lang w:val="fr-BE"/>
              </w:rPr>
            </w:pPr>
          </w:p>
        </w:tc>
        <w:tc>
          <w:tcPr>
            <w:tcW w:w="0" w:type="auto"/>
            <w:shd w:val="clear" w:color="auto" w:fill="auto"/>
          </w:tcPr>
          <w:p w14:paraId="7CBBF4A3" w14:textId="77777777" w:rsidR="008C5CFA" w:rsidRPr="00601E29" w:rsidRDefault="008C5CFA" w:rsidP="00300A01">
            <w:pPr>
              <w:spacing w:before="0" w:after="0"/>
              <w:rPr>
                <w:b/>
                <w:sz w:val="10"/>
                <w:szCs w:val="10"/>
                <w:lang w:val="fr-BE"/>
              </w:rPr>
            </w:pPr>
          </w:p>
        </w:tc>
        <w:tc>
          <w:tcPr>
            <w:tcW w:w="0" w:type="auto"/>
            <w:gridSpan w:val="3"/>
          </w:tcPr>
          <w:p w14:paraId="51A4FB76" w14:textId="77777777" w:rsidR="008C5CFA" w:rsidRPr="00601E29" w:rsidRDefault="00E82A60" w:rsidP="00300A01">
            <w:pPr>
              <w:spacing w:before="0" w:after="0"/>
              <w:jc w:val="center"/>
              <w:rPr>
                <w:b/>
                <w:sz w:val="10"/>
                <w:szCs w:val="10"/>
                <w:lang w:val="fr-BE"/>
              </w:rPr>
            </w:pPr>
            <w:r w:rsidRPr="00601E29">
              <w:rPr>
                <w:b/>
                <w:noProof/>
                <w:sz w:val="10"/>
                <w:szCs w:val="10"/>
                <w:lang w:val="fr-BE"/>
              </w:rPr>
              <w:t>Łącznie</w:t>
            </w:r>
          </w:p>
        </w:tc>
        <w:tc>
          <w:tcPr>
            <w:tcW w:w="0" w:type="auto"/>
            <w:gridSpan w:val="3"/>
          </w:tcPr>
          <w:p w14:paraId="414FCD96" w14:textId="77777777" w:rsidR="008C5CFA" w:rsidRPr="00601E29" w:rsidRDefault="00E82A60" w:rsidP="00300A01">
            <w:pPr>
              <w:spacing w:before="0" w:after="0"/>
              <w:jc w:val="center"/>
              <w:rPr>
                <w:b/>
                <w:sz w:val="10"/>
                <w:szCs w:val="10"/>
                <w:lang w:val="fr-BE"/>
              </w:rPr>
            </w:pPr>
            <w:r w:rsidRPr="00601E29">
              <w:rPr>
                <w:b/>
                <w:noProof/>
                <w:sz w:val="10"/>
                <w:szCs w:val="10"/>
                <w:lang w:val="fr-BE"/>
              </w:rPr>
              <w:t>Łącznie w roku</w:t>
            </w:r>
          </w:p>
        </w:tc>
        <w:tc>
          <w:tcPr>
            <w:tcW w:w="0" w:type="auto"/>
          </w:tcPr>
          <w:p w14:paraId="2D8EC6AA" w14:textId="77777777" w:rsidR="008C5CFA" w:rsidRPr="00601E29" w:rsidRDefault="00E82A60" w:rsidP="00300A01">
            <w:pPr>
              <w:spacing w:before="0" w:after="0"/>
              <w:jc w:val="center"/>
              <w:rPr>
                <w:b/>
                <w:sz w:val="10"/>
                <w:szCs w:val="10"/>
                <w:lang w:val="fr-BE"/>
              </w:rPr>
            </w:pPr>
            <w:r w:rsidRPr="00601E29">
              <w:rPr>
                <w:b/>
                <w:noProof/>
                <w:sz w:val="10"/>
                <w:szCs w:val="10"/>
                <w:lang w:val="fr-BE"/>
              </w:rPr>
              <w:t>Jakościowe</w:t>
            </w:r>
          </w:p>
        </w:tc>
        <w:tc>
          <w:tcPr>
            <w:tcW w:w="0" w:type="auto"/>
            <w:gridSpan w:val="3"/>
          </w:tcPr>
          <w:p w14:paraId="5968330F" w14:textId="77777777" w:rsidR="008C5CFA" w:rsidRPr="00601E29" w:rsidRDefault="00E82A60" w:rsidP="00300A01">
            <w:pPr>
              <w:spacing w:before="0" w:after="0"/>
              <w:jc w:val="center"/>
              <w:rPr>
                <w:b/>
                <w:sz w:val="10"/>
                <w:szCs w:val="10"/>
                <w:lang w:val="fr-BE"/>
              </w:rPr>
            </w:pPr>
            <w:r w:rsidRPr="00601E29">
              <w:rPr>
                <w:b/>
                <w:noProof/>
                <w:sz w:val="10"/>
                <w:szCs w:val="10"/>
                <w:lang w:val="fr-BE"/>
              </w:rPr>
              <w:t>Łącznie</w:t>
            </w:r>
          </w:p>
        </w:tc>
        <w:tc>
          <w:tcPr>
            <w:tcW w:w="0" w:type="auto"/>
            <w:gridSpan w:val="3"/>
          </w:tcPr>
          <w:p w14:paraId="0D7BB559" w14:textId="77777777" w:rsidR="008C5CFA" w:rsidRPr="00601E29" w:rsidRDefault="00E82A60" w:rsidP="00300A01">
            <w:pPr>
              <w:spacing w:before="0" w:after="0"/>
              <w:jc w:val="center"/>
              <w:rPr>
                <w:b/>
                <w:sz w:val="10"/>
                <w:szCs w:val="10"/>
                <w:lang w:val="fr-BE"/>
              </w:rPr>
            </w:pPr>
            <w:r w:rsidRPr="00601E29">
              <w:rPr>
                <w:b/>
                <w:noProof/>
                <w:sz w:val="10"/>
                <w:szCs w:val="10"/>
                <w:lang w:val="fr-BE"/>
              </w:rPr>
              <w:t>Łącznie w roku</w:t>
            </w:r>
          </w:p>
        </w:tc>
        <w:tc>
          <w:tcPr>
            <w:tcW w:w="0" w:type="auto"/>
          </w:tcPr>
          <w:p w14:paraId="5DE8C436" w14:textId="77777777" w:rsidR="008C5CFA" w:rsidRPr="00601E29" w:rsidRDefault="00E82A60" w:rsidP="00300A01">
            <w:pPr>
              <w:spacing w:before="0" w:after="0"/>
              <w:jc w:val="center"/>
              <w:rPr>
                <w:b/>
                <w:sz w:val="10"/>
                <w:szCs w:val="10"/>
                <w:lang w:val="fr-BE"/>
              </w:rPr>
            </w:pPr>
            <w:r w:rsidRPr="00601E29">
              <w:rPr>
                <w:b/>
                <w:noProof/>
                <w:sz w:val="10"/>
                <w:szCs w:val="10"/>
                <w:lang w:val="fr-BE"/>
              </w:rPr>
              <w:t>Jakościowe</w:t>
            </w:r>
          </w:p>
        </w:tc>
      </w:tr>
      <w:tr w:rsidR="006B2EC1" w14:paraId="6805D110" w14:textId="77777777" w:rsidTr="0047688D">
        <w:trPr>
          <w:tblHeader/>
        </w:trPr>
        <w:tc>
          <w:tcPr>
            <w:tcW w:w="0" w:type="auto"/>
            <w:shd w:val="clear" w:color="auto" w:fill="auto"/>
          </w:tcPr>
          <w:p w14:paraId="62933605" w14:textId="77777777" w:rsidR="008C5CFA" w:rsidRPr="00601E29" w:rsidRDefault="008C5CFA" w:rsidP="00300A01">
            <w:pPr>
              <w:spacing w:before="0" w:after="0"/>
              <w:rPr>
                <w:b/>
                <w:sz w:val="10"/>
                <w:szCs w:val="10"/>
                <w:lang w:val="fr-BE"/>
              </w:rPr>
            </w:pPr>
          </w:p>
        </w:tc>
        <w:tc>
          <w:tcPr>
            <w:tcW w:w="0" w:type="auto"/>
            <w:shd w:val="clear" w:color="auto" w:fill="auto"/>
          </w:tcPr>
          <w:p w14:paraId="448C57CD" w14:textId="77777777" w:rsidR="008C5CFA" w:rsidRPr="00601E29" w:rsidRDefault="008C5CFA" w:rsidP="00300A01">
            <w:pPr>
              <w:spacing w:before="0" w:after="0"/>
              <w:rPr>
                <w:b/>
                <w:sz w:val="10"/>
                <w:szCs w:val="10"/>
                <w:lang w:val="fr-BE"/>
              </w:rPr>
            </w:pPr>
          </w:p>
        </w:tc>
        <w:tc>
          <w:tcPr>
            <w:tcW w:w="0" w:type="auto"/>
            <w:shd w:val="clear" w:color="auto" w:fill="auto"/>
          </w:tcPr>
          <w:p w14:paraId="57112239" w14:textId="77777777" w:rsidR="008C5CFA" w:rsidRPr="00601E29" w:rsidRDefault="008C5CFA" w:rsidP="00300A01">
            <w:pPr>
              <w:spacing w:before="0" w:after="0"/>
              <w:rPr>
                <w:b/>
                <w:sz w:val="10"/>
                <w:szCs w:val="10"/>
                <w:lang w:val="fr-BE"/>
              </w:rPr>
            </w:pPr>
          </w:p>
        </w:tc>
        <w:tc>
          <w:tcPr>
            <w:tcW w:w="0" w:type="auto"/>
          </w:tcPr>
          <w:p w14:paraId="475ABAE0" w14:textId="77777777" w:rsidR="008C5CFA" w:rsidRPr="00601E29" w:rsidRDefault="00E82A60" w:rsidP="00300A01">
            <w:pPr>
              <w:spacing w:before="0" w:after="0"/>
              <w:jc w:val="center"/>
              <w:rPr>
                <w:b/>
                <w:sz w:val="10"/>
                <w:szCs w:val="10"/>
                <w:lang w:val="fr-BE"/>
              </w:rPr>
            </w:pPr>
            <w:r w:rsidRPr="00601E29">
              <w:rPr>
                <w:b/>
                <w:noProof/>
                <w:sz w:val="10"/>
                <w:szCs w:val="10"/>
                <w:lang w:val="fr-BE"/>
              </w:rPr>
              <w:t>Ogółem</w:t>
            </w:r>
          </w:p>
        </w:tc>
        <w:tc>
          <w:tcPr>
            <w:tcW w:w="0" w:type="auto"/>
          </w:tcPr>
          <w:p w14:paraId="7EBFF8DD" w14:textId="77777777" w:rsidR="008C5CFA" w:rsidRPr="00601E29" w:rsidRDefault="00E82A60" w:rsidP="00300A01">
            <w:pPr>
              <w:spacing w:before="0" w:after="0"/>
              <w:jc w:val="center"/>
              <w:rPr>
                <w:b/>
                <w:sz w:val="10"/>
                <w:szCs w:val="10"/>
                <w:lang w:val="fr-BE"/>
              </w:rPr>
            </w:pPr>
            <w:r w:rsidRPr="00601E29">
              <w:rPr>
                <w:b/>
                <w:noProof/>
                <w:sz w:val="10"/>
                <w:szCs w:val="10"/>
                <w:lang w:val="fr-BE"/>
              </w:rPr>
              <w:t>Mężczyźni</w:t>
            </w:r>
          </w:p>
        </w:tc>
        <w:tc>
          <w:tcPr>
            <w:tcW w:w="0" w:type="auto"/>
          </w:tcPr>
          <w:p w14:paraId="25BB4028" w14:textId="77777777" w:rsidR="008C5CFA" w:rsidRPr="00601E29" w:rsidRDefault="00E82A60" w:rsidP="00300A01">
            <w:pPr>
              <w:spacing w:before="0" w:after="0"/>
              <w:jc w:val="center"/>
              <w:rPr>
                <w:b/>
                <w:sz w:val="10"/>
                <w:szCs w:val="10"/>
                <w:lang w:val="fr-BE"/>
              </w:rPr>
            </w:pPr>
            <w:r w:rsidRPr="00601E29">
              <w:rPr>
                <w:b/>
                <w:noProof/>
                <w:sz w:val="10"/>
                <w:szCs w:val="10"/>
                <w:lang w:val="fr-BE"/>
              </w:rPr>
              <w:t>Kobiety</w:t>
            </w:r>
          </w:p>
        </w:tc>
        <w:tc>
          <w:tcPr>
            <w:tcW w:w="0" w:type="auto"/>
          </w:tcPr>
          <w:p w14:paraId="1B98FA67" w14:textId="77777777" w:rsidR="008C5CFA" w:rsidRPr="00601E29" w:rsidRDefault="00E82A60" w:rsidP="00300A01">
            <w:pPr>
              <w:spacing w:before="0" w:after="0"/>
              <w:jc w:val="center"/>
              <w:rPr>
                <w:b/>
                <w:sz w:val="10"/>
                <w:szCs w:val="10"/>
                <w:lang w:val="fr-BE"/>
              </w:rPr>
            </w:pPr>
            <w:r w:rsidRPr="00601E29">
              <w:rPr>
                <w:b/>
                <w:noProof/>
                <w:sz w:val="10"/>
                <w:szCs w:val="10"/>
                <w:lang w:val="fr-BE"/>
              </w:rPr>
              <w:t>Ogółem</w:t>
            </w:r>
          </w:p>
        </w:tc>
        <w:tc>
          <w:tcPr>
            <w:tcW w:w="0" w:type="auto"/>
          </w:tcPr>
          <w:p w14:paraId="56CAF9EA" w14:textId="77777777" w:rsidR="008C5CFA" w:rsidRPr="00601E29" w:rsidRDefault="00E82A60" w:rsidP="00300A01">
            <w:pPr>
              <w:spacing w:before="0" w:after="0"/>
              <w:jc w:val="center"/>
              <w:rPr>
                <w:b/>
                <w:sz w:val="10"/>
                <w:szCs w:val="10"/>
                <w:lang w:val="fr-BE"/>
              </w:rPr>
            </w:pPr>
            <w:r w:rsidRPr="00601E29">
              <w:rPr>
                <w:b/>
                <w:noProof/>
                <w:sz w:val="10"/>
                <w:szCs w:val="10"/>
                <w:lang w:val="fr-BE"/>
              </w:rPr>
              <w:t>Mężczyźni</w:t>
            </w:r>
          </w:p>
        </w:tc>
        <w:tc>
          <w:tcPr>
            <w:tcW w:w="0" w:type="auto"/>
          </w:tcPr>
          <w:p w14:paraId="43E25E33" w14:textId="77777777" w:rsidR="008C5CFA" w:rsidRPr="00601E29" w:rsidRDefault="00E82A60" w:rsidP="00300A01">
            <w:pPr>
              <w:spacing w:before="0" w:after="0"/>
              <w:jc w:val="center"/>
              <w:rPr>
                <w:b/>
                <w:sz w:val="10"/>
                <w:szCs w:val="10"/>
                <w:lang w:val="fr-BE"/>
              </w:rPr>
            </w:pPr>
            <w:r w:rsidRPr="00601E29">
              <w:rPr>
                <w:b/>
                <w:noProof/>
                <w:sz w:val="10"/>
                <w:szCs w:val="10"/>
                <w:lang w:val="fr-BE"/>
              </w:rPr>
              <w:t>Kobiety</w:t>
            </w:r>
          </w:p>
        </w:tc>
        <w:tc>
          <w:tcPr>
            <w:tcW w:w="0" w:type="auto"/>
          </w:tcPr>
          <w:p w14:paraId="5E449C59" w14:textId="77777777" w:rsidR="008C5CFA" w:rsidRPr="00601E29" w:rsidRDefault="008C5CFA" w:rsidP="00300A01">
            <w:pPr>
              <w:spacing w:before="0" w:after="0"/>
              <w:jc w:val="center"/>
              <w:rPr>
                <w:b/>
                <w:sz w:val="10"/>
                <w:szCs w:val="10"/>
                <w:lang w:val="fr-BE"/>
              </w:rPr>
            </w:pPr>
          </w:p>
        </w:tc>
        <w:tc>
          <w:tcPr>
            <w:tcW w:w="0" w:type="auto"/>
          </w:tcPr>
          <w:p w14:paraId="092EE9A9" w14:textId="77777777" w:rsidR="008C5CFA" w:rsidRPr="00601E29" w:rsidRDefault="00E82A60" w:rsidP="00300A01">
            <w:pPr>
              <w:spacing w:before="0" w:after="0"/>
              <w:jc w:val="center"/>
              <w:rPr>
                <w:b/>
                <w:sz w:val="10"/>
                <w:szCs w:val="10"/>
                <w:lang w:val="fr-BE"/>
              </w:rPr>
            </w:pPr>
            <w:r w:rsidRPr="00601E29">
              <w:rPr>
                <w:b/>
                <w:noProof/>
                <w:sz w:val="10"/>
                <w:szCs w:val="10"/>
                <w:lang w:val="fr-BE"/>
              </w:rPr>
              <w:t>Ogółem</w:t>
            </w:r>
          </w:p>
        </w:tc>
        <w:tc>
          <w:tcPr>
            <w:tcW w:w="0" w:type="auto"/>
          </w:tcPr>
          <w:p w14:paraId="67C6BE60" w14:textId="77777777" w:rsidR="008C5CFA" w:rsidRPr="00601E29" w:rsidRDefault="00E82A60" w:rsidP="00300A01">
            <w:pPr>
              <w:spacing w:before="0" w:after="0"/>
              <w:jc w:val="center"/>
              <w:rPr>
                <w:b/>
                <w:sz w:val="10"/>
                <w:szCs w:val="10"/>
                <w:lang w:val="fr-BE"/>
              </w:rPr>
            </w:pPr>
            <w:r w:rsidRPr="00601E29">
              <w:rPr>
                <w:b/>
                <w:noProof/>
                <w:sz w:val="10"/>
                <w:szCs w:val="10"/>
                <w:lang w:val="fr-BE"/>
              </w:rPr>
              <w:t>Mężczyźni</w:t>
            </w:r>
          </w:p>
        </w:tc>
        <w:tc>
          <w:tcPr>
            <w:tcW w:w="0" w:type="auto"/>
          </w:tcPr>
          <w:p w14:paraId="4E825BBD" w14:textId="77777777" w:rsidR="008C5CFA" w:rsidRPr="00601E29" w:rsidRDefault="00E82A60" w:rsidP="00300A01">
            <w:pPr>
              <w:spacing w:before="0" w:after="0"/>
              <w:jc w:val="center"/>
              <w:rPr>
                <w:b/>
                <w:sz w:val="10"/>
                <w:szCs w:val="10"/>
                <w:lang w:val="fr-BE"/>
              </w:rPr>
            </w:pPr>
            <w:r w:rsidRPr="00601E29">
              <w:rPr>
                <w:b/>
                <w:noProof/>
                <w:sz w:val="10"/>
                <w:szCs w:val="10"/>
                <w:lang w:val="fr-BE"/>
              </w:rPr>
              <w:t>Kobiety</w:t>
            </w:r>
          </w:p>
        </w:tc>
        <w:tc>
          <w:tcPr>
            <w:tcW w:w="0" w:type="auto"/>
          </w:tcPr>
          <w:p w14:paraId="7A064CF4" w14:textId="77777777" w:rsidR="008C5CFA" w:rsidRPr="00601E29" w:rsidRDefault="00E82A60" w:rsidP="00300A01">
            <w:pPr>
              <w:spacing w:before="0" w:after="0"/>
              <w:jc w:val="center"/>
              <w:rPr>
                <w:b/>
                <w:sz w:val="10"/>
                <w:szCs w:val="10"/>
                <w:lang w:val="fr-BE"/>
              </w:rPr>
            </w:pPr>
            <w:r w:rsidRPr="00601E29">
              <w:rPr>
                <w:b/>
                <w:noProof/>
                <w:sz w:val="10"/>
                <w:szCs w:val="10"/>
                <w:lang w:val="fr-BE"/>
              </w:rPr>
              <w:t>Ogółem</w:t>
            </w:r>
          </w:p>
        </w:tc>
        <w:tc>
          <w:tcPr>
            <w:tcW w:w="0" w:type="auto"/>
          </w:tcPr>
          <w:p w14:paraId="5EC3310A" w14:textId="77777777" w:rsidR="008C5CFA" w:rsidRPr="00601E29" w:rsidRDefault="00E82A60" w:rsidP="00300A01">
            <w:pPr>
              <w:spacing w:before="0" w:after="0"/>
              <w:jc w:val="center"/>
              <w:rPr>
                <w:b/>
                <w:sz w:val="10"/>
                <w:szCs w:val="10"/>
                <w:lang w:val="fr-BE"/>
              </w:rPr>
            </w:pPr>
            <w:r w:rsidRPr="00601E29">
              <w:rPr>
                <w:b/>
                <w:noProof/>
                <w:sz w:val="10"/>
                <w:szCs w:val="10"/>
                <w:lang w:val="fr-BE"/>
              </w:rPr>
              <w:t>Mężczyźni</w:t>
            </w:r>
          </w:p>
        </w:tc>
        <w:tc>
          <w:tcPr>
            <w:tcW w:w="0" w:type="auto"/>
          </w:tcPr>
          <w:p w14:paraId="013D24FA" w14:textId="77777777" w:rsidR="008C5CFA" w:rsidRPr="00601E29" w:rsidRDefault="00E82A60" w:rsidP="00300A01">
            <w:pPr>
              <w:spacing w:before="0" w:after="0"/>
              <w:jc w:val="center"/>
              <w:rPr>
                <w:b/>
                <w:sz w:val="10"/>
                <w:szCs w:val="10"/>
                <w:lang w:val="fr-BE"/>
              </w:rPr>
            </w:pPr>
            <w:r w:rsidRPr="00601E29">
              <w:rPr>
                <w:b/>
                <w:noProof/>
                <w:sz w:val="10"/>
                <w:szCs w:val="10"/>
                <w:lang w:val="fr-BE"/>
              </w:rPr>
              <w:t>Kobiety</w:t>
            </w:r>
          </w:p>
        </w:tc>
        <w:tc>
          <w:tcPr>
            <w:tcW w:w="0" w:type="auto"/>
          </w:tcPr>
          <w:p w14:paraId="21C04438" w14:textId="77777777" w:rsidR="008C5CFA" w:rsidRPr="00601E29" w:rsidRDefault="008C5CFA" w:rsidP="00300A01">
            <w:pPr>
              <w:spacing w:before="0" w:after="0"/>
              <w:jc w:val="center"/>
              <w:rPr>
                <w:b/>
                <w:sz w:val="10"/>
                <w:szCs w:val="10"/>
                <w:lang w:val="fr-BE"/>
              </w:rPr>
            </w:pPr>
          </w:p>
        </w:tc>
      </w:tr>
      <w:tr w:rsidR="006B2EC1" w14:paraId="7E5D5AFE" w14:textId="77777777" w:rsidTr="0047688D">
        <w:tc>
          <w:tcPr>
            <w:tcW w:w="0" w:type="auto"/>
            <w:shd w:val="clear" w:color="auto" w:fill="auto"/>
          </w:tcPr>
          <w:p w14:paraId="42324B69" w14:textId="77777777" w:rsidR="008C5CFA" w:rsidRPr="00601E29" w:rsidRDefault="00E82A60" w:rsidP="00300A01">
            <w:pPr>
              <w:spacing w:before="0" w:after="0"/>
              <w:rPr>
                <w:sz w:val="10"/>
                <w:szCs w:val="10"/>
                <w:lang w:val="fr-BE"/>
              </w:rPr>
            </w:pPr>
            <w:r w:rsidRPr="00601E29">
              <w:rPr>
                <w:noProof/>
                <w:sz w:val="10"/>
                <w:szCs w:val="10"/>
                <w:lang w:val="fr-BE"/>
              </w:rPr>
              <w:t>001</w:t>
            </w:r>
          </w:p>
        </w:tc>
        <w:tc>
          <w:tcPr>
            <w:tcW w:w="0" w:type="auto"/>
            <w:shd w:val="clear" w:color="auto" w:fill="auto"/>
          </w:tcPr>
          <w:p w14:paraId="1E83CF37" w14:textId="77777777" w:rsidR="008C5CFA" w:rsidRPr="00601E29" w:rsidRDefault="00E82A60" w:rsidP="00300A01">
            <w:pPr>
              <w:spacing w:before="0" w:after="0"/>
              <w:rPr>
                <w:sz w:val="10"/>
                <w:szCs w:val="10"/>
                <w:lang w:val="fr-BE"/>
              </w:rPr>
            </w:pPr>
            <w:r w:rsidRPr="00601E29">
              <w:rPr>
                <w:noProof/>
                <w:sz w:val="10"/>
                <w:szCs w:val="10"/>
                <w:lang w:val="fr-BE"/>
              </w:rPr>
              <w:t>Liczba osób, które dzięki interwencji EFS zgłosiły się na badanie profilaktyczne</w:t>
            </w:r>
          </w:p>
        </w:tc>
        <w:tc>
          <w:tcPr>
            <w:tcW w:w="0" w:type="auto"/>
            <w:shd w:val="clear" w:color="auto" w:fill="auto"/>
          </w:tcPr>
          <w:p w14:paraId="41B1432D" w14:textId="77777777" w:rsidR="008C5CFA" w:rsidRPr="00601E29" w:rsidRDefault="00E82A60" w:rsidP="00300A01">
            <w:pPr>
              <w:spacing w:before="0" w:after="0"/>
              <w:rPr>
                <w:sz w:val="10"/>
                <w:szCs w:val="10"/>
                <w:lang w:val="fr-BE"/>
              </w:rPr>
            </w:pPr>
            <w:r w:rsidRPr="00601E29">
              <w:rPr>
                <w:noProof/>
                <w:sz w:val="10"/>
                <w:szCs w:val="10"/>
                <w:lang w:val="fr-BE"/>
              </w:rPr>
              <w:t>Słabiej rozwinięte</w:t>
            </w:r>
          </w:p>
        </w:tc>
        <w:tc>
          <w:tcPr>
            <w:tcW w:w="0" w:type="auto"/>
          </w:tcPr>
          <w:p w14:paraId="486AF927"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4AE524E9"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53C5CD05"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66571281"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356DC8F6"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4FC36700"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1653387B" w14:textId="77777777" w:rsidR="008C5CFA" w:rsidRPr="00601E29" w:rsidRDefault="008C5CFA" w:rsidP="00300A01">
            <w:pPr>
              <w:spacing w:before="0" w:after="0"/>
              <w:jc w:val="right"/>
              <w:rPr>
                <w:sz w:val="10"/>
                <w:szCs w:val="10"/>
                <w:lang w:val="fr-BE"/>
              </w:rPr>
            </w:pPr>
          </w:p>
        </w:tc>
        <w:tc>
          <w:tcPr>
            <w:tcW w:w="0" w:type="auto"/>
          </w:tcPr>
          <w:p w14:paraId="11AA731F"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530F14B9"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049ADA59"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43B73357"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6639747C"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453697C2"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5A68B7BB" w14:textId="77777777" w:rsidR="008C5CFA" w:rsidRPr="00601E29" w:rsidRDefault="008C5CFA" w:rsidP="00300A01">
            <w:pPr>
              <w:spacing w:before="0" w:after="0"/>
              <w:jc w:val="right"/>
              <w:rPr>
                <w:sz w:val="10"/>
                <w:szCs w:val="10"/>
                <w:lang w:val="fr-BE"/>
              </w:rPr>
            </w:pPr>
          </w:p>
        </w:tc>
      </w:tr>
      <w:tr w:rsidR="006B2EC1" w14:paraId="39E0FC1D" w14:textId="77777777" w:rsidTr="0047688D">
        <w:tc>
          <w:tcPr>
            <w:tcW w:w="0" w:type="auto"/>
            <w:shd w:val="clear" w:color="auto" w:fill="auto"/>
          </w:tcPr>
          <w:p w14:paraId="5E78CF36" w14:textId="77777777" w:rsidR="008C5CFA" w:rsidRPr="00601E29" w:rsidRDefault="00E82A60" w:rsidP="00300A01">
            <w:pPr>
              <w:spacing w:before="0" w:after="0"/>
              <w:rPr>
                <w:sz w:val="10"/>
                <w:szCs w:val="10"/>
                <w:lang w:val="fr-BE"/>
              </w:rPr>
            </w:pPr>
            <w:r w:rsidRPr="00601E29">
              <w:rPr>
                <w:noProof/>
                <w:sz w:val="10"/>
                <w:szCs w:val="10"/>
                <w:lang w:val="fr-BE"/>
              </w:rPr>
              <w:t>96</w:t>
            </w:r>
          </w:p>
        </w:tc>
        <w:tc>
          <w:tcPr>
            <w:tcW w:w="0" w:type="auto"/>
            <w:shd w:val="clear" w:color="auto" w:fill="auto"/>
          </w:tcPr>
          <w:p w14:paraId="5BB23E15" w14:textId="77777777" w:rsidR="008C5CFA" w:rsidRPr="00601E29" w:rsidRDefault="00E82A60" w:rsidP="00300A01">
            <w:pPr>
              <w:spacing w:before="0" w:after="0"/>
              <w:rPr>
                <w:sz w:val="10"/>
                <w:szCs w:val="10"/>
                <w:lang w:val="fr-BE"/>
              </w:rPr>
            </w:pPr>
            <w:r w:rsidRPr="00601E29">
              <w:rPr>
                <w:noProof/>
                <w:sz w:val="10"/>
                <w:szCs w:val="10"/>
                <w:lang w:val="fr-BE"/>
              </w:rPr>
              <w:t>Liczba osób, które po opuszczeniu programu podjęły pracę lub kontynuowały zatrudnienie</w:t>
            </w:r>
          </w:p>
        </w:tc>
        <w:tc>
          <w:tcPr>
            <w:tcW w:w="0" w:type="auto"/>
            <w:shd w:val="clear" w:color="auto" w:fill="auto"/>
          </w:tcPr>
          <w:p w14:paraId="600481F2" w14:textId="77777777" w:rsidR="008C5CFA" w:rsidRPr="00601E29" w:rsidRDefault="00E82A60" w:rsidP="00300A01">
            <w:pPr>
              <w:spacing w:before="0" w:after="0"/>
              <w:rPr>
                <w:sz w:val="10"/>
                <w:szCs w:val="10"/>
                <w:lang w:val="fr-BE"/>
              </w:rPr>
            </w:pPr>
            <w:r w:rsidRPr="00601E29">
              <w:rPr>
                <w:noProof/>
                <w:sz w:val="10"/>
                <w:szCs w:val="10"/>
                <w:lang w:val="fr-BE"/>
              </w:rPr>
              <w:t>Słabiej rozwinięte</w:t>
            </w:r>
          </w:p>
        </w:tc>
        <w:tc>
          <w:tcPr>
            <w:tcW w:w="0" w:type="auto"/>
          </w:tcPr>
          <w:p w14:paraId="27FA0458"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3D857F3B"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456EDD6A"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49310353"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78595C7E"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173E49B5"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4B9E6903" w14:textId="77777777" w:rsidR="008C5CFA" w:rsidRPr="00601E29" w:rsidRDefault="008C5CFA" w:rsidP="00300A01">
            <w:pPr>
              <w:spacing w:before="0" w:after="0"/>
              <w:jc w:val="right"/>
              <w:rPr>
                <w:sz w:val="10"/>
                <w:szCs w:val="10"/>
                <w:lang w:val="fr-BE"/>
              </w:rPr>
            </w:pPr>
          </w:p>
        </w:tc>
        <w:tc>
          <w:tcPr>
            <w:tcW w:w="0" w:type="auto"/>
          </w:tcPr>
          <w:p w14:paraId="172F8424"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14ED09B6"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649A3A2C"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0BB68686"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745382AA"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42C8B89B"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295EEE19" w14:textId="77777777" w:rsidR="008C5CFA" w:rsidRPr="00601E29" w:rsidRDefault="008C5CFA" w:rsidP="00300A01">
            <w:pPr>
              <w:spacing w:before="0" w:after="0"/>
              <w:jc w:val="right"/>
              <w:rPr>
                <w:sz w:val="10"/>
                <w:szCs w:val="10"/>
                <w:lang w:val="fr-BE"/>
              </w:rPr>
            </w:pPr>
          </w:p>
        </w:tc>
      </w:tr>
    </w:tbl>
    <w:p w14:paraId="0734C5DF"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76"/>
        <w:gridCol w:w="6749"/>
        <w:gridCol w:w="1611"/>
        <w:gridCol w:w="806"/>
        <w:gridCol w:w="1015"/>
        <w:gridCol w:w="815"/>
        <w:gridCol w:w="806"/>
        <w:gridCol w:w="1015"/>
        <w:gridCol w:w="815"/>
        <w:gridCol w:w="1076"/>
      </w:tblGrid>
      <w:tr w:rsidR="006B2EC1" w14:paraId="5230D686" w14:textId="77777777" w:rsidTr="0047688D">
        <w:trPr>
          <w:tblHeader/>
        </w:trPr>
        <w:tc>
          <w:tcPr>
            <w:tcW w:w="0" w:type="auto"/>
            <w:shd w:val="clear" w:color="auto" w:fill="auto"/>
          </w:tcPr>
          <w:p w14:paraId="0E97AD9E" w14:textId="77777777" w:rsidR="008C5CFA" w:rsidRPr="00601E29" w:rsidRDefault="00E82A60" w:rsidP="00300A01">
            <w:pPr>
              <w:spacing w:before="0" w:after="0"/>
              <w:rPr>
                <w:b/>
                <w:sz w:val="10"/>
                <w:szCs w:val="10"/>
                <w:lang w:val="fr-BE"/>
              </w:rPr>
            </w:pPr>
            <w:r w:rsidRPr="00601E29">
              <w:rPr>
                <w:b/>
                <w:noProof/>
                <w:sz w:val="10"/>
                <w:szCs w:val="10"/>
                <w:lang w:val="fr-BE"/>
              </w:rPr>
              <w:t>ID</w:t>
            </w:r>
          </w:p>
        </w:tc>
        <w:tc>
          <w:tcPr>
            <w:tcW w:w="0" w:type="auto"/>
            <w:shd w:val="clear" w:color="auto" w:fill="auto"/>
          </w:tcPr>
          <w:p w14:paraId="6BEC4350" w14:textId="77777777" w:rsidR="008C5CFA" w:rsidRPr="00601E29" w:rsidRDefault="00E82A60" w:rsidP="00300A01">
            <w:pPr>
              <w:spacing w:before="0" w:after="0"/>
              <w:rPr>
                <w:b/>
                <w:sz w:val="10"/>
                <w:szCs w:val="10"/>
                <w:lang w:val="fr-BE"/>
              </w:rPr>
            </w:pPr>
            <w:r w:rsidRPr="00601E29">
              <w:rPr>
                <w:b/>
                <w:noProof/>
                <w:sz w:val="10"/>
                <w:szCs w:val="10"/>
                <w:lang w:val="fr-BE"/>
              </w:rPr>
              <w:t>Wskaźnik</w:t>
            </w:r>
          </w:p>
        </w:tc>
        <w:tc>
          <w:tcPr>
            <w:tcW w:w="0" w:type="auto"/>
            <w:shd w:val="clear" w:color="auto" w:fill="auto"/>
          </w:tcPr>
          <w:p w14:paraId="61DF47C0" w14:textId="77777777" w:rsidR="008C5CFA" w:rsidRPr="00601E29" w:rsidRDefault="00E82A60" w:rsidP="00300A01">
            <w:pPr>
              <w:spacing w:before="0" w:after="0"/>
              <w:rPr>
                <w:b/>
                <w:sz w:val="10"/>
                <w:szCs w:val="10"/>
                <w:lang w:val="fr-BE"/>
              </w:rPr>
            </w:pPr>
            <w:r w:rsidRPr="00601E29">
              <w:rPr>
                <w:b/>
                <w:noProof/>
                <w:sz w:val="10"/>
                <w:szCs w:val="10"/>
                <w:lang w:val="fr-BE"/>
              </w:rPr>
              <w:t>Kategoria regionu</w:t>
            </w:r>
          </w:p>
        </w:tc>
        <w:tc>
          <w:tcPr>
            <w:tcW w:w="0" w:type="auto"/>
            <w:gridSpan w:val="7"/>
          </w:tcPr>
          <w:p w14:paraId="4DD07BF9" w14:textId="77777777" w:rsidR="008C5CFA" w:rsidRPr="00601E29" w:rsidRDefault="00E82A60" w:rsidP="00300A01">
            <w:pPr>
              <w:spacing w:before="0" w:after="0"/>
              <w:jc w:val="center"/>
              <w:rPr>
                <w:b/>
                <w:sz w:val="10"/>
                <w:szCs w:val="10"/>
                <w:lang w:val="fr-BE"/>
              </w:rPr>
            </w:pPr>
            <w:r>
              <w:rPr>
                <w:b/>
                <w:sz w:val="10"/>
                <w:szCs w:val="10"/>
                <w:lang w:val="fr-BE"/>
              </w:rPr>
              <w:t>2014</w:t>
            </w:r>
          </w:p>
        </w:tc>
      </w:tr>
      <w:tr w:rsidR="006B2EC1" w14:paraId="23BC767D" w14:textId="77777777" w:rsidTr="0047688D">
        <w:trPr>
          <w:tblHeader/>
        </w:trPr>
        <w:tc>
          <w:tcPr>
            <w:tcW w:w="0" w:type="auto"/>
            <w:shd w:val="clear" w:color="auto" w:fill="auto"/>
          </w:tcPr>
          <w:p w14:paraId="36A2AF11" w14:textId="77777777" w:rsidR="008C5CFA" w:rsidRPr="00601E29" w:rsidRDefault="008C5CFA" w:rsidP="00300A01">
            <w:pPr>
              <w:spacing w:before="0" w:after="0"/>
              <w:rPr>
                <w:b/>
                <w:sz w:val="10"/>
                <w:szCs w:val="10"/>
                <w:lang w:val="fr-BE"/>
              </w:rPr>
            </w:pPr>
          </w:p>
        </w:tc>
        <w:tc>
          <w:tcPr>
            <w:tcW w:w="0" w:type="auto"/>
            <w:shd w:val="clear" w:color="auto" w:fill="auto"/>
          </w:tcPr>
          <w:p w14:paraId="1A22F798" w14:textId="77777777" w:rsidR="008C5CFA" w:rsidRPr="00601E29" w:rsidRDefault="008C5CFA" w:rsidP="00300A01">
            <w:pPr>
              <w:spacing w:before="0" w:after="0"/>
              <w:rPr>
                <w:b/>
                <w:sz w:val="10"/>
                <w:szCs w:val="10"/>
                <w:lang w:val="fr-BE"/>
              </w:rPr>
            </w:pPr>
          </w:p>
        </w:tc>
        <w:tc>
          <w:tcPr>
            <w:tcW w:w="0" w:type="auto"/>
            <w:shd w:val="clear" w:color="auto" w:fill="auto"/>
          </w:tcPr>
          <w:p w14:paraId="4A814295" w14:textId="77777777" w:rsidR="008C5CFA" w:rsidRPr="00601E29" w:rsidRDefault="008C5CFA" w:rsidP="00300A01">
            <w:pPr>
              <w:spacing w:before="0" w:after="0"/>
              <w:rPr>
                <w:b/>
                <w:sz w:val="10"/>
                <w:szCs w:val="10"/>
                <w:lang w:val="fr-BE"/>
              </w:rPr>
            </w:pPr>
          </w:p>
        </w:tc>
        <w:tc>
          <w:tcPr>
            <w:tcW w:w="0" w:type="auto"/>
            <w:gridSpan w:val="3"/>
          </w:tcPr>
          <w:p w14:paraId="5BE42917" w14:textId="77777777" w:rsidR="008C5CFA" w:rsidRPr="00601E29" w:rsidRDefault="00E82A60" w:rsidP="00300A01">
            <w:pPr>
              <w:spacing w:before="0" w:after="0"/>
              <w:jc w:val="center"/>
              <w:rPr>
                <w:b/>
                <w:sz w:val="10"/>
                <w:szCs w:val="10"/>
                <w:lang w:val="fr-BE"/>
              </w:rPr>
            </w:pPr>
            <w:r w:rsidRPr="00601E29">
              <w:rPr>
                <w:b/>
                <w:noProof/>
                <w:sz w:val="10"/>
                <w:szCs w:val="10"/>
                <w:lang w:val="fr-BE"/>
              </w:rPr>
              <w:t>Łącznie</w:t>
            </w:r>
          </w:p>
        </w:tc>
        <w:tc>
          <w:tcPr>
            <w:tcW w:w="0" w:type="auto"/>
            <w:gridSpan w:val="3"/>
          </w:tcPr>
          <w:p w14:paraId="5B0944D3" w14:textId="77777777" w:rsidR="008C5CFA" w:rsidRPr="00601E29" w:rsidRDefault="00E82A60" w:rsidP="00300A01">
            <w:pPr>
              <w:spacing w:before="0" w:after="0"/>
              <w:jc w:val="center"/>
              <w:rPr>
                <w:b/>
                <w:sz w:val="10"/>
                <w:szCs w:val="10"/>
                <w:lang w:val="fr-BE"/>
              </w:rPr>
            </w:pPr>
            <w:r w:rsidRPr="00601E29">
              <w:rPr>
                <w:b/>
                <w:noProof/>
                <w:sz w:val="10"/>
                <w:szCs w:val="10"/>
                <w:lang w:val="fr-BE"/>
              </w:rPr>
              <w:t>Łącznie w roku</w:t>
            </w:r>
          </w:p>
        </w:tc>
        <w:tc>
          <w:tcPr>
            <w:tcW w:w="0" w:type="auto"/>
          </w:tcPr>
          <w:p w14:paraId="0DA23AF5" w14:textId="77777777" w:rsidR="008C5CFA" w:rsidRPr="00601E29" w:rsidRDefault="00E82A60" w:rsidP="00300A01">
            <w:pPr>
              <w:spacing w:before="0" w:after="0"/>
              <w:jc w:val="center"/>
              <w:rPr>
                <w:b/>
                <w:sz w:val="10"/>
                <w:szCs w:val="10"/>
                <w:lang w:val="fr-BE"/>
              </w:rPr>
            </w:pPr>
            <w:r w:rsidRPr="00601E29">
              <w:rPr>
                <w:b/>
                <w:noProof/>
                <w:sz w:val="10"/>
                <w:szCs w:val="10"/>
                <w:lang w:val="fr-BE"/>
              </w:rPr>
              <w:t>Jakościowe</w:t>
            </w:r>
          </w:p>
        </w:tc>
      </w:tr>
      <w:tr w:rsidR="006B2EC1" w14:paraId="57C02295" w14:textId="77777777" w:rsidTr="0047688D">
        <w:trPr>
          <w:tblHeader/>
        </w:trPr>
        <w:tc>
          <w:tcPr>
            <w:tcW w:w="0" w:type="auto"/>
            <w:shd w:val="clear" w:color="auto" w:fill="auto"/>
          </w:tcPr>
          <w:p w14:paraId="101A56B4" w14:textId="77777777" w:rsidR="008C5CFA" w:rsidRPr="00601E29" w:rsidRDefault="008C5CFA" w:rsidP="00300A01">
            <w:pPr>
              <w:spacing w:before="0" w:after="0"/>
              <w:rPr>
                <w:b/>
                <w:sz w:val="10"/>
                <w:szCs w:val="10"/>
                <w:lang w:val="fr-BE"/>
              </w:rPr>
            </w:pPr>
          </w:p>
        </w:tc>
        <w:tc>
          <w:tcPr>
            <w:tcW w:w="0" w:type="auto"/>
            <w:shd w:val="clear" w:color="auto" w:fill="auto"/>
          </w:tcPr>
          <w:p w14:paraId="5D7D0132" w14:textId="77777777" w:rsidR="008C5CFA" w:rsidRPr="00601E29" w:rsidRDefault="008C5CFA" w:rsidP="00300A01">
            <w:pPr>
              <w:spacing w:before="0" w:after="0"/>
              <w:rPr>
                <w:b/>
                <w:sz w:val="10"/>
                <w:szCs w:val="10"/>
                <w:lang w:val="fr-BE"/>
              </w:rPr>
            </w:pPr>
          </w:p>
        </w:tc>
        <w:tc>
          <w:tcPr>
            <w:tcW w:w="0" w:type="auto"/>
            <w:shd w:val="clear" w:color="auto" w:fill="auto"/>
          </w:tcPr>
          <w:p w14:paraId="1FA3B1C9" w14:textId="77777777" w:rsidR="008C5CFA" w:rsidRPr="00601E29" w:rsidRDefault="008C5CFA" w:rsidP="00300A01">
            <w:pPr>
              <w:spacing w:before="0" w:after="0"/>
              <w:rPr>
                <w:b/>
                <w:sz w:val="10"/>
                <w:szCs w:val="10"/>
                <w:lang w:val="fr-BE"/>
              </w:rPr>
            </w:pPr>
          </w:p>
        </w:tc>
        <w:tc>
          <w:tcPr>
            <w:tcW w:w="0" w:type="auto"/>
          </w:tcPr>
          <w:p w14:paraId="65E81E98" w14:textId="77777777" w:rsidR="008C5CFA" w:rsidRPr="00601E29" w:rsidRDefault="00E82A60" w:rsidP="00300A01">
            <w:pPr>
              <w:spacing w:before="0" w:after="0"/>
              <w:jc w:val="center"/>
              <w:rPr>
                <w:b/>
                <w:sz w:val="10"/>
                <w:szCs w:val="10"/>
                <w:lang w:val="fr-BE"/>
              </w:rPr>
            </w:pPr>
            <w:r w:rsidRPr="00601E29">
              <w:rPr>
                <w:b/>
                <w:noProof/>
                <w:sz w:val="10"/>
                <w:szCs w:val="10"/>
                <w:lang w:val="fr-BE"/>
              </w:rPr>
              <w:t>Ogółem</w:t>
            </w:r>
          </w:p>
        </w:tc>
        <w:tc>
          <w:tcPr>
            <w:tcW w:w="0" w:type="auto"/>
          </w:tcPr>
          <w:p w14:paraId="14EA9E5D" w14:textId="77777777" w:rsidR="008C5CFA" w:rsidRPr="00601E29" w:rsidRDefault="00E82A60" w:rsidP="00300A01">
            <w:pPr>
              <w:spacing w:before="0" w:after="0"/>
              <w:jc w:val="center"/>
              <w:rPr>
                <w:b/>
                <w:sz w:val="10"/>
                <w:szCs w:val="10"/>
                <w:lang w:val="fr-BE"/>
              </w:rPr>
            </w:pPr>
            <w:r w:rsidRPr="00601E29">
              <w:rPr>
                <w:b/>
                <w:noProof/>
                <w:sz w:val="10"/>
                <w:szCs w:val="10"/>
                <w:lang w:val="fr-BE"/>
              </w:rPr>
              <w:t>Mężczyźni</w:t>
            </w:r>
          </w:p>
        </w:tc>
        <w:tc>
          <w:tcPr>
            <w:tcW w:w="0" w:type="auto"/>
          </w:tcPr>
          <w:p w14:paraId="07CA13E8" w14:textId="77777777" w:rsidR="008C5CFA" w:rsidRPr="00601E29" w:rsidRDefault="00E82A60" w:rsidP="00300A01">
            <w:pPr>
              <w:spacing w:before="0" w:after="0"/>
              <w:jc w:val="center"/>
              <w:rPr>
                <w:b/>
                <w:sz w:val="10"/>
                <w:szCs w:val="10"/>
                <w:lang w:val="fr-BE"/>
              </w:rPr>
            </w:pPr>
            <w:r w:rsidRPr="00601E29">
              <w:rPr>
                <w:b/>
                <w:noProof/>
                <w:sz w:val="10"/>
                <w:szCs w:val="10"/>
                <w:lang w:val="fr-BE"/>
              </w:rPr>
              <w:t>Kobiety</w:t>
            </w:r>
          </w:p>
        </w:tc>
        <w:tc>
          <w:tcPr>
            <w:tcW w:w="0" w:type="auto"/>
          </w:tcPr>
          <w:p w14:paraId="6E6A4EA5" w14:textId="77777777" w:rsidR="008C5CFA" w:rsidRPr="00601E29" w:rsidRDefault="00E82A60" w:rsidP="00300A01">
            <w:pPr>
              <w:spacing w:before="0" w:after="0"/>
              <w:jc w:val="center"/>
              <w:rPr>
                <w:b/>
                <w:sz w:val="10"/>
                <w:szCs w:val="10"/>
                <w:lang w:val="fr-BE"/>
              </w:rPr>
            </w:pPr>
            <w:r w:rsidRPr="00601E29">
              <w:rPr>
                <w:b/>
                <w:noProof/>
                <w:sz w:val="10"/>
                <w:szCs w:val="10"/>
                <w:lang w:val="fr-BE"/>
              </w:rPr>
              <w:t>Ogółem</w:t>
            </w:r>
          </w:p>
        </w:tc>
        <w:tc>
          <w:tcPr>
            <w:tcW w:w="0" w:type="auto"/>
          </w:tcPr>
          <w:p w14:paraId="7F5805F3" w14:textId="77777777" w:rsidR="008C5CFA" w:rsidRPr="00601E29" w:rsidRDefault="00E82A60" w:rsidP="00300A01">
            <w:pPr>
              <w:spacing w:before="0" w:after="0"/>
              <w:jc w:val="center"/>
              <w:rPr>
                <w:b/>
                <w:sz w:val="10"/>
                <w:szCs w:val="10"/>
                <w:lang w:val="fr-BE"/>
              </w:rPr>
            </w:pPr>
            <w:r w:rsidRPr="00601E29">
              <w:rPr>
                <w:b/>
                <w:noProof/>
                <w:sz w:val="10"/>
                <w:szCs w:val="10"/>
                <w:lang w:val="fr-BE"/>
              </w:rPr>
              <w:t>Mężczyźni</w:t>
            </w:r>
          </w:p>
        </w:tc>
        <w:tc>
          <w:tcPr>
            <w:tcW w:w="0" w:type="auto"/>
          </w:tcPr>
          <w:p w14:paraId="6EE93EC6" w14:textId="77777777" w:rsidR="008C5CFA" w:rsidRPr="00601E29" w:rsidRDefault="00E82A60" w:rsidP="00300A01">
            <w:pPr>
              <w:spacing w:before="0" w:after="0"/>
              <w:jc w:val="center"/>
              <w:rPr>
                <w:b/>
                <w:sz w:val="10"/>
                <w:szCs w:val="10"/>
                <w:lang w:val="fr-BE"/>
              </w:rPr>
            </w:pPr>
            <w:r w:rsidRPr="00601E29">
              <w:rPr>
                <w:b/>
                <w:noProof/>
                <w:sz w:val="10"/>
                <w:szCs w:val="10"/>
                <w:lang w:val="fr-BE"/>
              </w:rPr>
              <w:t>Kobiety</w:t>
            </w:r>
          </w:p>
        </w:tc>
        <w:tc>
          <w:tcPr>
            <w:tcW w:w="0" w:type="auto"/>
          </w:tcPr>
          <w:p w14:paraId="051A29BE" w14:textId="77777777" w:rsidR="008C5CFA" w:rsidRPr="00601E29" w:rsidRDefault="008C5CFA" w:rsidP="00300A01">
            <w:pPr>
              <w:spacing w:before="0" w:after="0"/>
              <w:jc w:val="center"/>
              <w:rPr>
                <w:b/>
                <w:sz w:val="10"/>
                <w:szCs w:val="10"/>
                <w:lang w:val="fr-BE"/>
              </w:rPr>
            </w:pPr>
          </w:p>
        </w:tc>
      </w:tr>
      <w:tr w:rsidR="006B2EC1" w14:paraId="2B28804C" w14:textId="77777777" w:rsidTr="0047688D">
        <w:tc>
          <w:tcPr>
            <w:tcW w:w="0" w:type="auto"/>
            <w:shd w:val="clear" w:color="auto" w:fill="auto"/>
          </w:tcPr>
          <w:p w14:paraId="00FB8FB1" w14:textId="77777777" w:rsidR="008C5CFA" w:rsidRPr="00601E29" w:rsidRDefault="00E82A60" w:rsidP="00300A01">
            <w:pPr>
              <w:spacing w:before="0" w:after="0"/>
              <w:rPr>
                <w:sz w:val="10"/>
                <w:szCs w:val="10"/>
                <w:lang w:val="fr-BE"/>
              </w:rPr>
            </w:pPr>
            <w:r w:rsidRPr="00601E29">
              <w:rPr>
                <w:noProof/>
                <w:sz w:val="10"/>
                <w:szCs w:val="10"/>
                <w:lang w:val="fr-BE"/>
              </w:rPr>
              <w:t>001</w:t>
            </w:r>
          </w:p>
        </w:tc>
        <w:tc>
          <w:tcPr>
            <w:tcW w:w="0" w:type="auto"/>
            <w:shd w:val="clear" w:color="auto" w:fill="auto"/>
          </w:tcPr>
          <w:p w14:paraId="4DC41972" w14:textId="77777777" w:rsidR="008C5CFA" w:rsidRPr="00601E29" w:rsidRDefault="00E82A60" w:rsidP="00300A01">
            <w:pPr>
              <w:spacing w:before="0" w:after="0"/>
              <w:rPr>
                <w:sz w:val="10"/>
                <w:szCs w:val="10"/>
                <w:lang w:val="fr-BE"/>
              </w:rPr>
            </w:pPr>
            <w:r w:rsidRPr="00601E29">
              <w:rPr>
                <w:noProof/>
                <w:sz w:val="10"/>
                <w:szCs w:val="10"/>
                <w:lang w:val="fr-BE"/>
              </w:rPr>
              <w:t>Liczba osób, które dzięki interwencji EFS zgłosiły się na badanie profilaktyczne</w:t>
            </w:r>
          </w:p>
        </w:tc>
        <w:tc>
          <w:tcPr>
            <w:tcW w:w="0" w:type="auto"/>
            <w:shd w:val="clear" w:color="auto" w:fill="auto"/>
          </w:tcPr>
          <w:p w14:paraId="77110154" w14:textId="77777777" w:rsidR="008C5CFA" w:rsidRPr="00601E29" w:rsidRDefault="00E82A60" w:rsidP="00300A01">
            <w:pPr>
              <w:spacing w:before="0" w:after="0"/>
              <w:rPr>
                <w:sz w:val="10"/>
                <w:szCs w:val="10"/>
                <w:lang w:val="fr-BE"/>
              </w:rPr>
            </w:pPr>
            <w:r w:rsidRPr="00601E29">
              <w:rPr>
                <w:noProof/>
                <w:sz w:val="10"/>
                <w:szCs w:val="10"/>
                <w:lang w:val="fr-BE"/>
              </w:rPr>
              <w:t>Słabiej rozwinięte</w:t>
            </w:r>
          </w:p>
        </w:tc>
        <w:tc>
          <w:tcPr>
            <w:tcW w:w="0" w:type="auto"/>
          </w:tcPr>
          <w:p w14:paraId="626CF3CB"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08D18B64"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69DD2A3B"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64AA0E65"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6AF72749"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26AAF942"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08291573" w14:textId="77777777" w:rsidR="008C5CFA" w:rsidRPr="00601E29" w:rsidRDefault="008C5CFA" w:rsidP="00300A01">
            <w:pPr>
              <w:spacing w:before="0" w:after="0"/>
              <w:jc w:val="right"/>
              <w:rPr>
                <w:sz w:val="10"/>
                <w:szCs w:val="10"/>
                <w:lang w:val="fr-BE"/>
              </w:rPr>
            </w:pPr>
          </w:p>
        </w:tc>
      </w:tr>
      <w:tr w:rsidR="006B2EC1" w14:paraId="73EA814F" w14:textId="77777777" w:rsidTr="0047688D">
        <w:tc>
          <w:tcPr>
            <w:tcW w:w="0" w:type="auto"/>
            <w:shd w:val="clear" w:color="auto" w:fill="auto"/>
          </w:tcPr>
          <w:p w14:paraId="4BCE9AD5" w14:textId="77777777" w:rsidR="008C5CFA" w:rsidRPr="00601E29" w:rsidRDefault="00E82A60" w:rsidP="00300A01">
            <w:pPr>
              <w:spacing w:before="0" w:after="0"/>
              <w:rPr>
                <w:sz w:val="10"/>
                <w:szCs w:val="10"/>
                <w:lang w:val="fr-BE"/>
              </w:rPr>
            </w:pPr>
            <w:r w:rsidRPr="00601E29">
              <w:rPr>
                <w:noProof/>
                <w:sz w:val="10"/>
                <w:szCs w:val="10"/>
                <w:lang w:val="fr-BE"/>
              </w:rPr>
              <w:t>96</w:t>
            </w:r>
          </w:p>
        </w:tc>
        <w:tc>
          <w:tcPr>
            <w:tcW w:w="0" w:type="auto"/>
            <w:shd w:val="clear" w:color="auto" w:fill="auto"/>
          </w:tcPr>
          <w:p w14:paraId="5016B232" w14:textId="77777777" w:rsidR="008C5CFA" w:rsidRPr="00601E29" w:rsidRDefault="00E82A60" w:rsidP="00300A01">
            <w:pPr>
              <w:spacing w:before="0" w:after="0"/>
              <w:rPr>
                <w:sz w:val="10"/>
                <w:szCs w:val="10"/>
                <w:lang w:val="fr-BE"/>
              </w:rPr>
            </w:pPr>
            <w:r w:rsidRPr="00601E29">
              <w:rPr>
                <w:noProof/>
                <w:sz w:val="10"/>
                <w:szCs w:val="10"/>
                <w:lang w:val="fr-BE"/>
              </w:rPr>
              <w:t>Liczba osób, które po opuszczeniu programu podjęły pracę lub kontynuowały zatrudnienie</w:t>
            </w:r>
          </w:p>
        </w:tc>
        <w:tc>
          <w:tcPr>
            <w:tcW w:w="0" w:type="auto"/>
            <w:shd w:val="clear" w:color="auto" w:fill="auto"/>
          </w:tcPr>
          <w:p w14:paraId="11BF19AF" w14:textId="77777777" w:rsidR="008C5CFA" w:rsidRPr="00601E29" w:rsidRDefault="00E82A60" w:rsidP="00300A01">
            <w:pPr>
              <w:spacing w:before="0" w:after="0"/>
              <w:rPr>
                <w:sz w:val="10"/>
                <w:szCs w:val="10"/>
                <w:lang w:val="fr-BE"/>
              </w:rPr>
            </w:pPr>
            <w:r w:rsidRPr="00601E29">
              <w:rPr>
                <w:noProof/>
                <w:sz w:val="10"/>
                <w:szCs w:val="10"/>
                <w:lang w:val="fr-BE"/>
              </w:rPr>
              <w:t>Słabiej rozwinięte</w:t>
            </w:r>
          </w:p>
        </w:tc>
        <w:tc>
          <w:tcPr>
            <w:tcW w:w="0" w:type="auto"/>
          </w:tcPr>
          <w:p w14:paraId="6B49092A"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6BF1921B"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2D7F0DC5"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7E40110F"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7ADB6C20"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4ECFF53F"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1B0041D6" w14:textId="77777777" w:rsidR="008C5CFA" w:rsidRPr="00601E29" w:rsidRDefault="008C5CFA" w:rsidP="00300A01">
            <w:pPr>
              <w:spacing w:before="0" w:after="0"/>
              <w:jc w:val="right"/>
              <w:rPr>
                <w:sz w:val="10"/>
                <w:szCs w:val="10"/>
                <w:lang w:val="fr-BE"/>
              </w:rPr>
            </w:pPr>
          </w:p>
        </w:tc>
      </w:tr>
    </w:tbl>
    <w:p w14:paraId="066FBA59" w14:textId="77777777" w:rsidR="008C5CFA" w:rsidRPr="007C3A6B" w:rsidRDefault="008C5CFA" w:rsidP="00300A01">
      <w:pPr>
        <w:spacing w:before="0" w:after="0"/>
        <w:rPr>
          <w:lang w:val="fr-BE"/>
        </w:rPr>
      </w:pPr>
    </w:p>
    <w:p w14:paraId="074CAB8C" w14:textId="77777777" w:rsidR="008C5CFA" w:rsidRDefault="00E82A60" w:rsidP="00300A01">
      <w:pPr>
        <w:spacing w:before="0" w:after="0"/>
        <w:rPr>
          <w:lang w:val="fr-BE"/>
        </w:rPr>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9"/>
        <w:gridCol w:w="9965"/>
      </w:tblGrid>
      <w:tr w:rsidR="006B2EC1" w14:paraId="289CC93A" w14:textId="77777777" w:rsidTr="0047688D">
        <w:tc>
          <w:tcPr>
            <w:tcW w:w="0" w:type="auto"/>
            <w:shd w:val="clear" w:color="auto" w:fill="auto"/>
          </w:tcPr>
          <w:p w14:paraId="235DCAB7" w14:textId="77777777" w:rsidR="008C5CFA" w:rsidRPr="002124FC" w:rsidRDefault="00E82A60" w:rsidP="00300A01">
            <w:pPr>
              <w:spacing w:before="0" w:after="0"/>
              <w:rPr>
                <w:sz w:val="20"/>
                <w:szCs w:val="20"/>
                <w:lang w:val="fr-BE"/>
              </w:rPr>
            </w:pPr>
            <w:r>
              <w:rPr>
                <w:lang w:val="fr-BE"/>
              </w:rPr>
              <w:lastRenderedPageBreak/>
              <w:br w:type="page"/>
            </w:r>
            <w:r>
              <w:rPr>
                <w:lang w:val="fr-BE"/>
              </w:rPr>
              <w:br w:type="page"/>
            </w:r>
            <w:r w:rsidRPr="002124FC">
              <w:rPr>
                <w:noProof/>
                <w:sz w:val="20"/>
                <w:szCs w:val="20"/>
                <w:lang w:val="fr-BE"/>
              </w:rPr>
              <w:t>Oś priorytetowa</w:t>
            </w:r>
          </w:p>
        </w:tc>
        <w:tc>
          <w:tcPr>
            <w:tcW w:w="0" w:type="auto"/>
            <w:shd w:val="clear" w:color="auto" w:fill="auto"/>
          </w:tcPr>
          <w:p w14:paraId="60369270" w14:textId="77777777" w:rsidR="008C5CFA" w:rsidRPr="002124FC" w:rsidRDefault="00E82A60" w:rsidP="00300A01">
            <w:pPr>
              <w:spacing w:before="0" w:after="0"/>
              <w:rPr>
                <w:sz w:val="20"/>
                <w:szCs w:val="20"/>
                <w:lang w:val="fr-BE"/>
              </w:rPr>
            </w:pPr>
            <w:r w:rsidRPr="002124FC">
              <w:rPr>
                <w:noProof/>
                <w:sz w:val="20"/>
                <w:szCs w:val="20"/>
                <w:lang w:val="fr-BE"/>
              </w:rPr>
              <w:t>8</w:t>
            </w:r>
            <w:r w:rsidRPr="002124FC">
              <w:rPr>
                <w:sz w:val="20"/>
                <w:szCs w:val="20"/>
                <w:lang w:val="fr-BE"/>
              </w:rPr>
              <w:t xml:space="preserve"> - </w:t>
            </w:r>
            <w:r w:rsidRPr="002124FC">
              <w:rPr>
                <w:noProof/>
                <w:sz w:val="20"/>
                <w:szCs w:val="20"/>
                <w:lang w:val="fr-BE"/>
              </w:rPr>
              <w:t>Rozwój edukacji i aktywne społeczeństwo</w:t>
            </w:r>
          </w:p>
        </w:tc>
      </w:tr>
      <w:tr w:rsidR="006B2EC1" w14:paraId="7E770FE5" w14:textId="77777777" w:rsidTr="0047688D">
        <w:tc>
          <w:tcPr>
            <w:tcW w:w="0" w:type="auto"/>
            <w:shd w:val="clear" w:color="auto" w:fill="auto"/>
          </w:tcPr>
          <w:p w14:paraId="21E0772F" w14:textId="77777777" w:rsidR="008C5CFA" w:rsidRPr="002124FC" w:rsidRDefault="00E82A60"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14:paraId="3B4919FF" w14:textId="77777777" w:rsidR="008C5CFA" w:rsidRPr="002124FC" w:rsidRDefault="00E82A60" w:rsidP="00300A01">
            <w:pPr>
              <w:spacing w:before="0" w:after="0"/>
              <w:rPr>
                <w:sz w:val="20"/>
                <w:szCs w:val="20"/>
                <w:lang w:val="fr-BE"/>
              </w:rPr>
            </w:pPr>
            <w:r w:rsidRPr="002124FC">
              <w:rPr>
                <w:noProof/>
                <w:sz w:val="20"/>
                <w:szCs w:val="20"/>
                <w:lang w:val="fr-BE"/>
              </w:rPr>
              <w:t>8vi</w:t>
            </w:r>
            <w:r w:rsidRPr="002124FC">
              <w:rPr>
                <w:sz w:val="20"/>
                <w:szCs w:val="20"/>
                <w:lang w:val="fr-BE"/>
              </w:rPr>
              <w:t xml:space="preserve"> - </w:t>
            </w:r>
            <w:r w:rsidRPr="002124FC">
              <w:rPr>
                <w:noProof/>
                <w:sz w:val="20"/>
                <w:szCs w:val="20"/>
                <w:lang w:val="fr-BE"/>
              </w:rPr>
              <w:t>Aktywne i zdrowe starzenie się</w:t>
            </w:r>
          </w:p>
        </w:tc>
      </w:tr>
    </w:tbl>
    <w:p w14:paraId="38A9B03D" w14:textId="77777777" w:rsidR="008C5CFA" w:rsidRDefault="008C5CFA" w:rsidP="00300A01">
      <w:pPr>
        <w:spacing w:before="0" w:after="0"/>
      </w:pPr>
    </w:p>
    <w:p w14:paraId="60DAEB4D" w14:textId="77777777" w:rsidR="008C5CFA" w:rsidRPr="008E457C" w:rsidRDefault="00E82A60" w:rsidP="00300A01">
      <w:pPr>
        <w:pStyle w:val="Nagwek2"/>
        <w:spacing w:before="0" w:after="0"/>
        <w:rPr>
          <w:b w:val="0"/>
        </w:rPr>
      </w:pPr>
      <w:bookmarkStart w:id="53" w:name="_Toc46391737"/>
      <w:r w:rsidRPr="008E457C">
        <w:rPr>
          <w:b w:val="0"/>
          <w:noProof/>
          <w:lang w:val="fr-BE"/>
        </w:rPr>
        <w:t>Tabela 4A</w:t>
      </w:r>
      <w:r w:rsidRPr="008E457C">
        <w:rPr>
          <w:b w:val="0"/>
        </w:rPr>
        <w:t xml:space="preserve"> : </w:t>
      </w:r>
      <w:r w:rsidRPr="008E457C">
        <w:rPr>
          <w:b w:val="0"/>
          <w:noProof/>
          <w:lang w:val="fr-BE"/>
        </w:rPr>
        <w:t>Wspólne wskaźniki produktu dla EFS oraz Inicjatywy na rzecz zatrudnienia ludzi młodych</w:t>
      </w:r>
      <w:r w:rsidR="00A11A16">
        <w:rPr>
          <w:b w:val="0"/>
        </w:rPr>
        <w:t xml:space="preserve"> - </w:t>
      </w:r>
      <w:r w:rsidR="00A11A16" w:rsidRPr="002124FC">
        <w:rPr>
          <w:noProof/>
          <w:sz w:val="20"/>
          <w:szCs w:val="20"/>
          <w:lang w:val="fr-BE"/>
        </w:rPr>
        <w:t>8</w:t>
      </w:r>
      <w:r w:rsidR="00A11A16">
        <w:rPr>
          <w:sz w:val="20"/>
          <w:szCs w:val="20"/>
          <w:lang w:val="fr-BE"/>
        </w:rPr>
        <w:t xml:space="preserve"> / </w:t>
      </w:r>
      <w:r w:rsidR="00A11A16" w:rsidRPr="002124FC">
        <w:rPr>
          <w:noProof/>
          <w:sz w:val="20"/>
          <w:szCs w:val="20"/>
          <w:lang w:val="fr-BE"/>
        </w:rPr>
        <w:t>8vi</w:t>
      </w:r>
      <w:bookmarkEnd w:id="53"/>
    </w:p>
    <w:p w14:paraId="4981CC54" w14:textId="77777777" w:rsidR="008C5CFA" w:rsidRDefault="008C5CFA" w:rsidP="00300A01">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01"/>
        <w:gridCol w:w="6857"/>
        <w:gridCol w:w="1017"/>
        <w:gridCol w:w="514"/>
        <w:gridCol w:w="654"/>
        <w:gridCol w:w="521"/>
        <w:gridCol w:w="594"/>
        <w:gridCol w:w="654"/>
        <w:gridCol w:w="594"/>
        <w:gridCol w:w="514"/>
        <w:gridCol w:w="654"/>
        <w:gridCol w:w="521"/>
        <w:gridCol w:w="514"/>
        <w:gridCol w:w="654"/>
        <w:gridCol w:w="521"/>
      </w:tblGrid>
      <w:tr w:rsidR="006B2EC1" w14:paraId="2C0CA0EE" w14:textId="77777777" w:rsidTr="0047688D">
        <w:trPr>
          <w:cantSplit/>
          <w:tblHeader/>
        </w:trPr>
        <w:tc>
          <w:tcPr>
            <w:tcW w:w="0" w:type="auto"/>
            <w:shd w:val="clear" w:color="auto" w:fill="auto"/>
          </w:tcPr>
          <w:p w14:paraId="138886D0" w14:textId="77777777" w:rsidR="008C5CFA" w:rsidRPr="00F53019" w:rsidRDefault="00E82A60" w:rsidP="00300A01">
            <w:pPr>
              <w:spacing w:before="0" w:after="0"/>
              <w:rPr>
                <w:b/>
                <w:sz w:val="12"/>
                <w:szCs w:val="12"/>
                <w:lang w:val="fr-BE"/>
              </w:rPr>
            </w:pPr>
            <w:r w:rsidRPr="00F53019">
              <w:rPr>
                <w:b/>
                <w:noProof/>
                <w:sz w:val="12"/>
                <w:szCs w:val="12"/>
                <w:lang w:val="fr-BE"/>
              </w:rPr>
              <w:t>ID</w:t>
            </w:r>
          </w:p>
        </w:tc>
        <w:tc>
          <w:tcPr>
            <w:tcW w:w="0" w:type="auto"/>
            <w:shd w:val="clear" w:color="auto" w:fill="auto"/>
          </w:tcPr>
          <w:p w14:paraId="77A89A4C" w14:textId="77777777" w:rsidR="008C5CFA" w:rsidRPr="00F53019" w:rsidRDefault="00E82A60" w:rsidP="00300A01">
            <w:pPr>
              <w:spacing w:before="0" w:after="0"/>
              <w:rPr>
                <w:b/>
                <w:sz w:val="12"/>
                <w:szCs w:val="12"/>
                <w:lang w:val="fr-BE"/>
              </w:rPr>
            </w:pPr>
            <w:r w:rsidRPr="00F53019">
              <w:rPr>
                <w:b/>
                <w:noProof/>
                <w:sz w:val="12"/>
                <w:szCs w:val="12"/>
                <w:lang w:val="fr-BE"/>
              </w:rPr>
              <w:t>Wskaźnik</w:t>
            </w:r>
          </w:p>
        </w:tc>
        <w:tc>
          <w:tcPr>
            <w:tcW w:w="0" w:type="auto"/>
            <w:shd w:val="clear" w:color="auto" w:fill="auto"/>
          </w:tcPr>
          <w:p w14:paraId="1A34536B" w14:textId="77777777" w:rsidR="008C5CFA" w:rsidRPr="00F53019" w:rsidRDefault="00E82A60" w:rsidP="00300A01">
            <w:pPr>
              <w:spacing w:before="0" w:after="0"/>
              <w:rPr>
                <w:b/>
                <w:sz w:val="12"/>
                <w:szCs w:val="12"/>
                <w:lang w:val="fr-BE"/>
              </w:rPr>
            </w:pPr>
            <w:r w:rsidRPr="00F53019">
              <w:rPr>
                <w:b/>
                <w:noProof/>
                <w:sz w:val="12"/>
                <w:szCs w:val="12"/>
                <w:lang w:val="fr-BE"/>
              </w:rPr>
              <w:t>Kategoria regionu</w:t>
            </w:r>
          </w:p>
        </w:tc>
        <w:tc>
          <w:tcPr>
            <w:tcW w:w="0" w:type="auto"/>
            <w:gridSpan w:val="3"/>
            <w:shd w:val="clear" w:color="auto" w:fill="auto"/>
          </w:tcPr>
          <w:p w14:paraId="6470E272" w14:textId="77777777" w:rsidR="008C5CFA" w:rsidRPr="00F53019" w:rsidRDefault="00E82A60" w:rsidP="00300A01">
            <w:pPr>
              <w:spacing w:before="0" w:after="0"/>
              <w:jc w:val="center"/>
              <w:rPr>
                <w:b/>
                <w:sz w:val="12"/>
                <w:szCs w:val="12"/>
                <w:lang w:val="fr-BE"/>
              </w:rPr>
            </w:pPr>
            <w:r w:rsidRPr="00F53019">
              <w:rPr>
                <w:b/>
                <w:noProof/>
                <w:sz w:val="12"/>
                <w:szCs w:val="12"/>
                <w:lang w:val="fr-BE"/>
              </w:rPr>
              <w:t>Wartość docelowa (2023)</w:t>
            </w:r>
          </w:p>
        </w:tc>
        <w:tc>
          <w:tcPr>
            <w:tcW w:w="0" w:type="auto"/>
            <w:gridSpan w:val="3"/>
            <w:shd w:val="clear" w:color="auto" w:fill="auto"/>
          </w:tcPr>
          <w:p w14:paraId="59AC208E" w14:textId="77777777" w:rsidR="008C5CFA" w:rsidRPr="00F53019" w:rsidRDefault="00E82A60" w:rsidP="00300A01">
            <w:pPr>
              <w:spacing w:before="0" w:after="0"/>
              <w:jc w:val="center"/>
              <w:rPr>
                <w:b/>
                <w:sz w:val="12"/>
                <w:szCs w:val="12"/>
                <w:lang w:val="fr-BE"/>
              </w:rPr>
            </w:pPr>
            <w:r w:rsidRPr="00F53019">
              <w:rPr>
                <w:b/>
                <w:noProof/>
                <w:sz w:val="12"/>
                <w:szCs w:val="12"/>
                <w:lang w:val="fr-BE"/>
              </w:rPr>
              <w:t>Wartość skumulowana</w:t>
            </w:r>
          </w:p>
        </w:tc>
        <w:tc>
          <w:tcPr>
            <w:tcW w:w="0" w:type="auto"/>
            <w:gridSpan w:val="3"/>
            <w:shd w:val="clear" w:color="auto" w:fill="auto"/>
          </w:tcPr>
          <w:p w14:paraId="3B69CC11" w14:textId="77777777" w:rsidR="008C5CFA" w:rsidRPr="00F53019" w:rsidRDefault="00E82A60" w:rsidP="00300A01">
            <w:pPr>
              <w:spacing w:before="0" w:after="0"/>
              <w:jc w:val="center"/>
              <w:rPr>
                <w:b/>
                <w:sz w:val="12"/>
                <w:szCs w:val="12"/>
                <w:lang w:val="fr-BE"/>
              </w:rPr>
            </w:pPr>
            <w:r w:rsidRPr="00F53019">
              <w:rPr>
                <w:b/>
                <w:noProof/>
                <w:sz w:val="12"/>
                <w:szCs w:val="12"/>
                <w:lang w:val="fr-BE"/>
              </w:rPr>
              <w:t>Wskaźnik osiągnięć</w:t>
            </w:r>
          </w:p>
        </w:tc>
        <w:tc>
          <w:tcPr>
            <w:tcW w:w="0" w:type="auto"/>
            <w:gridSpan w:val="3"/>
          </w:tcPr>
          <w:p w14:paraId="64C671E7" w14:textId="77777777" w:rsidR="008C5CFA" w:rsidRPr="00F53019" w:rsidRDefault="0047688D" w:rsidP="00300A01">
            <w:pPr>
              <w:spacing w:before="0" w:after="0"/>
              <w:jc w:val="center"/>
              <w:rPr>
                <w:b/>
                <w:sz w:val="12"/>
                <w:szCs w:val="12"/>
                <w:lang w:val="fr-BE"/>
              </w:rPr>
            </w:pPr>
            <w:r w:rsidRPr="008C2BD7">
              <w:rPr>
                <w:noProof/>
                <w:sz w:val="12"/>
                <w:szCs w:val="12"/>
              </w:rPr>
              <w:t>2019</w:t>
            </w:r>
          </w:p>
        </w:tc>
      </w:tr>
      <w:tr w:rsidR="006B2EC1" w14:paraId="4B55008A" w14:textId="77777777" w:rsidTr="0047688D">
        <w:trPr>
          <w:cantSplit/>
          <w:tblHeader/>
        </w:trPr>
        <w:tc>
          <w:tcPr>
            <w:tcW w:w="0" w:type="auto"/>
            <w:shd w:val="clear" w:color="auto" w:fill="auto"/>
          </w:tcPr>
          <w:p w14:paraId="7B86A785" w14:textId="77777777" w:rsidR="008C5CFA" w:rsidRPr="00F53019" w:rsidRDefault="008C5CFA" w:rsidP="00300A01">
            <w:pPr>
              <w:spacing w:before="0" w:after="0"/>
              <w:rPr>
                <w:b/>
                <w:sz w:val="12"/>
                <w:szCs w:val="12"/>
                <w:lang w:val="fr-BE"/>
              </w:rPr>
            </w:pPr>
          </w:p>
        </w:tc>
        <w:tc>
          <w:tcPr>
            <w:tcW w:w="0" w:type="auto"/>
            <w:shd w:val="clear" w:color="auto" w:fill="auto"/>
          </w:tcPr>
          <w:p w14:paraId="77D58A15" w14:textId="77777777" w:rsidR="008C5CFA" w:rsidRPr="00F53019" w:rsidRDefault="008C5CFA" w:rsidP="00300A01">
            <w:pPr>
              <w:spacing w:before="0" w:after="0"/>
              <w:rPr>
                <w:b/>
                <w:sz w:val="12"/>
                <w:szCs w:val="12"/>
                <w:lang w:val="fr-BE"/>
              </w:rPr>
            </w:pPr>
          </w:p>
        </w:tc>
        <w:tc>
          <w:tcPr>
            <w:tcW w:w="0" w:type="auto"/>
            <w:shd w:val="clear" w:color="auto" w:fill="auto"/>
          </w:tcPr>
          <w:p w14:paraId="561F2FB4" w14:textId="77777777" w:rsidR="008C5CFA" w:rsidRPr="00F53019" w:rsidRDefault="008C5CFA" w:rsidP="00300A01">
            <w:pPr>
              <w:spacing w:before="0" w:after="0"/>
              <w:rPr>
                <w:b/>
                <w:sz w:val="12"/>
                <w:szCs w:val="12"/>
                <w:lang w:val="fr-BE"/>
              </w:rPr>
            </w:pPr>
          </w:p>
        </w:tc>
        <w:tc>
          <w:tcPr>
            <w:tcW w:w="0" w:type="auto"/>
            <w:shd w:val="clear" w:color="auto" w:fill="auto"/>
          </w:tcPr>
          <w:p w14:paraId="0575F1C6" w14:textId="77777777" w:rsidR="008C5CFA" w:rsidRPr="00F53019" w:rsidRDefault="00E82A60" w:rsidP="00300A01">
            <w:pPr>
              <w:spacing w:before="0" w:after="0"/>
              <w:jc w:val="center"/>
              <w:rPr>
                <w:b/>
                <w:sz w:val="12"/>
                <w:szCs w:val="12"/>
                <w:lang w:val="fr-BE"/>
              </w:rPr>
            </w:pPr>
            <w:r w:rsidRPr="00F53019">
              <w:rPr>
                <w:b/>
                <w:noProof/>
                <w:sz w:val="12"/>
                <w:szCs w:val="12"/>
                <w:lang w:val="fr-BE"/>
              </w:rPr>
              <w:t>Ogółem</w:t>
            </w:r>
          </w:p>
        </w:tc>
        <w:tc>
          <w:tcPr>
            <w:tcW w:w="0" w:type="auto"/>
            <w:shd w:val="clear" w:color="auto" w:fill="auto"/>
          </w:tcPr>
          <w:p w14:paraId="18C8E331" w14:textId="77777777" w:rsidR="008C5CFA" w:rsidRPr="00F53019" w:rsidRDefault="00E82A60"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14:paraId="6DC0935C" w14:textId="77777777" w:rsidR="008C5CFA" w:rsidRPr="00F53019" w:rsidRDefault="00E82A60" w:rsidP="00300A01">
            <w:pPr>
              <w:spacing w:before="0" w:after="0"/>
              <w:jc w:val="center"/>
              <w:rPr>
                <w:b/>
                <w:sz w:val="12"/>
                <w:szCs w:val="12"/>
                <w:lang w:val="fr-BE"/>
              </w:rPr>
            </w:pPr>
            <w:r w:rsidRPr="00F53019">
              <w:rPr>
                <w:b/>
                <w:noProof/>
                <w:sz w:val="12"/>
                <w:szCs w:val="12"/>
                <w:lang w:val="fr-BE"/>
              </w:rPr>
              <w:t>Kobiety</w:t>
            </w:r>
          </w:p>
        </w:tc>
        <w:tc>
          <w:tcPr>
            <w:tcW w:w="0" w:type="auto"/>
            <w:shd w:val="clear" w:color="auto" w:fill="auto"/>
          </w:tcPr>
          <w:p w14:paraId="0FE211FB" w14:textId="77777777" w:rsidR="008C5CFA" w:rsidRPr="00F53019" w:rsidRDefault="00E82A60" w:rsidP="00300A01">
            <w:pPr>
              <w:spacing w:before="0" w:after="0"/>
              <w:jc w:val="center"/>
              <w:rPr>
                <w:b/>
                <w:sz w:val="12"/>
                <w:szCs w:val="12"/>
                <w:lang w:val="fr-BE"/>
              </w:rPr>
            </w:pPr>
            <w:r w:rsidRPr="00F53019">
              <w:rPr>
                <w:b/>
                <w:noProof/>
                <w:sz w:val="12"/>
                <w:szCs w:val="12"/>
                <w:lang w:val="fr-BE"/>
              </w:rPr>
              <w:t>Ogółem</w:t>
            </w:r>
          </w:p>
        </w:tc>
        <w:tc>
          <w:tcPr>
            <w:tcW w:w="0" w:type="auto"/>
            <w:shd w:val="clear" w:color="auto" w:fill="auto"/>
          </w:tcPr>
          <w:p w14:paraId="6ED890D7" w14:textId="77777777" w:rsidR="008C5CFA" w:rsidRPr="00F53019" w:rsidRDefault="00E82A60"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14:paraId="05396CF6" w14:textId="77777777" w:rsidR="008C5CFA" w:rsidRPr="00F53019" w:rsidRDefault="00E82A60" w:rsidP="00300A01">
            <w:pPr>
              <w:spacing w:before="0" w:after="0"/>
              <w:jc w:val="center"/>
              <w:rPr>
                <w:b/>
                <w:sz w:val="12"/>
                <w:szCs w:val="12"/>
                <w:lang w:val="fr-BE"/>
              </w:rPr>
            </w:pPr>
            <w:r w:rsidRPr="00F53019">
              <w:rPr>
                <w:b/>
                <w:noProof/>
                <w:sz w:val="12"/>
                <w:szCs w:val="12"/>
                <w:lang w:val="fr-BE"/>
              </w:rPr>
              <w:t>Kobiety</w:t>
            </w:r>
          </w:p>
        </w:tc>
        <w:tc>
          <w:tcPr>
            <w:tcW w:w="0" w:type="auto"/>
            <w:shd w:val="clear" w:color="auto" w:fill="auto"/>
          </w:tcPr>
          <w:p w14:paraId="0715DFBB" w14:textId="77777777" w:rsidR="008C5CFA" w:rsidRPr="00F53019" w:rsidRDefault="00E82A60" w:rsidP="00300A01">
            <w:pPr>
              <w:spacing w:before="0" w:after="0"/>
              <w:jc w:val="center"/>
              <w:rPr>
                <w:b/>
                <w:sz w:val="12"/>
                <w:szCs w:val="12"/>
                <w:lang w:val="fr-BE"/>
              </w:rPr>
            </w:pPr>
            <w:r w:rsidRPr="00F53019">
              <w:rPr>
                <w:b/>
                <w:noProof/>
                <w:sz w:val="12"/>
                <w:szCs w:val="12"/>
                <w:lang w:val="fr-BE"/>
              </w:rPr>
              <w:t>Ogółem</w:t>
            </w:r>
          </w:p>
        </w:tc>
        <w:tc>
          <w:tcPr>
            <w:tcW w:w="0" w:type="auto"/>
            <w:shd w:val="clear" w:color="auto" w:fill="auto"/>
          </w:tcPr>
          <w:p w14:paraId="6D34AB8C" w14:textId="77777777" w:rsidR="008C5CFA" w:rsidRPr="00F53019" w:rsidRDefault="00E82A60"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14:paraId="18A616EB" w14:textId="77777777" w:rsidR="008C5CFA" w:rsidRPr="00F53019" w:rsidRDefault="00E82A60" w:rsidP="00300A01">
            <w:pPr>
              <w:spacing w:before="0" w:after="0"/>
              <w:jc w:val="center"/>
              <w:rPr>
                <w:b/>
                <w:sz w:val="12"/>
                <w:szCs w:val="12"/>
                <w:lang w:val="fr-BE"/>
              </w:rPr>
            </w:pPr>
            <w:r w:rsidRPr="00F53019">
              <w:rPr>
                <w:b/>
                <w:noProof/>
                <w:sz w:val="12"/>
                <w:szCs w:val="12"/>
                <w:lang w:val="fr-BE"/>
              </w:rPr>
              <w:t>Kobiety</w:t>
            </w:r>
          </w:p>
        </w:tc>
        <w:tc>
          <w:tcPr>
            <w:tcW w:w="0" w:type="auto"/>
          </w:tcPr>
          <w:p w14:paraId="36C9EEFE" w14:textId="77777777" w:rsidR="008C5CFA" w:rsidRPr="00F53019" w:rsidRDefault="00E82A60" w:rsidP="00300A01">
            <w:pPr>
              <w:spacing w:before="0" w:after="0"/>
              <w:jc w:val="center"/>
              <w:rPr>
                <w:b/>
                <w:sz w:val="12"/>
                <w:szCs w:val="12"/>
                <w:lang w:val="fr-BE"/>
              </w:rPr>
            </w:pPr>
            <w:r w:rsidRPr="00F53019">
              <w:rPr>
                <w:b/>
                <w:noProof/>
                <w:sz w:val="12"/>
                <w:szCs w:val="12"/>
                <w:lang w:val="fr-BE"/>
              </w:rPr>
              <w:t>Ogółem</w:t>
            </w:r>
          </w:p>
        </w:tc>
        <w:tc>
          <w:tcPr>
            <w:tcW w:w="0" w:type="auto"/>
            <w:shd w:val="clear" w:color="auto" w:fill="auto"/>
          </w:tcPr>
          <w:p w14:paraId="7BE253E5" w14:textId="77777777" w:rsidR="008C5CFA" w:rsidRPr="00F53019" w:rsidRDefault="00E82A60"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14:paraId="34B97F4A" w14:textId="77777777" w:rsidR="008C5CFA" w:rsidRPr="00F53019" w:rsidRDefault="00E82A60" w:rsidP="00300A01">
            <w:pPr>
              <w:spacing w:before="0" w:after="0"/>
              <w:jc w:val="center"/>
              <w:rPr>
                <w:b/>
                <w:sz w:val="12"/>
                <w:szCs w:val="12"/>
                <w:lang w:val="fr-BE"/>
              </w:rPr>
            </w:pPr>
            <w:r w:rsidRPr="00F53019">
              <w:rPr>
                <w:b/>
                <w:noProof/>
                <w:sz w:val="12"/>
                <w:szCs w:val="12"/>
                <w:lang w:val="fr-BE"/>
              </w:rPr>
              <w:t>Kobiety</w:t>
            </w:r>
          </w:p>
        </w:tc>
      </w:tr>
      <w:tr w:rsidR="006B2EC1" w14:paraId="670BB707" w14:textId="77777777" w:rsidTr="0047688D">
        <w:tc>
          <w:tcPr>
            <w:tcW w:w="0" w:type="auto"/>
            <w:shd w:val="clear" w:color="auto" w:fill="auto"/>
          </w:tcPr>
          <w:p w14:paraId="170292FD" w14:textId="77777777" w:rsidR="008C5CFA" w:rsidRPr="00BA47B4" w:rsidRDefault="00E82A60" w:rsidP="00300A01">
            <w:pPr>
              <w:spacing w:before="0" w:after="0"/>
              <w:rPr>
                <w:sz w:val="12"/>
                <w:szCs w:val="12"/>
                <w:lang w:val="fr-BE"/>
              </w:rPr>
            </w:pPr>
            <w:r>
              <w:rPr>
                <w:noProof/>
                <w:sz w:val="12"/>
                <w:szCs w:val="12"/>
                <w:lang w:val="fr-BE"/>
              </w:rPr>
              <w:t>CO01</w:t>
            </w:r>
          </w:p>
        </w:tc>
        <w:tc>
          <w:tcPr>
            <w:tcW w:w="0" w:type="auto"/>
            <w:shd w:val="clear" w:color="auto" w:fill="auto"/>
          </w:tcPr>
          <w:p w14:paraId="58CDBA1E" w14:textId="77777777" w:rsidR="008C5CFA" w:rsidRPr="00BA47B4" w:rsidRDefault="00E82A60" w:rsidP="00300A01">
            <w:pPr>
              <w:spacing w:before="0" w:after="0"/>
              <w:rPr>
                <w:sz w:val="12"/>
                <w:szCs w:val="12"/>
                <w:lang w:val="fr-BE"/>
              </w:rPr>
            </w:pPr>
            <w:r>
              <w:rPr>
                <w:noProof/>
                <w:sz w:val="12"/>
                <w:szCs w:val="12"/>
                <w:lang w:val="fr-BE"/>
              </w:rPr>
              <w:t>bezrobotni, w tym długotrwale bezrobotni</w:t>
            </w:r>
          </w:p>
        </w:tc>
        <w:tc>
          <w:tcPr>
            <w:tcW w:w="0" w:type="auto"/>
            <w:shd w:val="clear" w:color="auto" w:fill="auto"/>
          </w:tcPr>
          <w:p w14:paraId="6769F24E" w14:textId="77777777" w:rsidR="008C5CFA" w:rsidRPr="00BA47B4" w:rsidRDefault="00E82A60"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14:paraId="66817945" w14:textId="77777777" w:rsidR="008C5CFA" w:rsidRPr="00BA47B4" w:rsidRDefault="008C5CFA" w:rsidP="00300A01">
            <w:pPr>
              <w:spacing w:before="0" w:after="0"/>
              <w:jc w:val="right"/>
              <w:rPr>
                <w:sz w:val="12"/>
                <w:szCs w:val="12"/>
                <w:lang w:val="fr-BE"/>
              </w:rPr>
            </w:pPr>
          </w:p>
        </w:tc>
        <w:tc>
          <w:tcPr>
            <w:tcW w:w="0" w:type="auto"/>
            <w:shd w:val="clear" w:color="auto" w:fill="auto"/>
          </w:tcPr>
          <w:p w14:paraId="10162B3B" w14:textId="77777777" w:rsidR="008C5CFA" w:rsidRPr="00BA47B4" w:rsidRDefault="008C5CFA" w:rsidP="00300A01">
            <w:pPr>
              <w:spacing w:before="0" w:after="0"/>
              <w:jc w:val="right"/>
              <w:rPr>
                <w:sz w:val="12"/>
                <w:szCs w:val="12"/>
                <w:lang w:val="fr-BE"/>
              </w:rPr>
            </w:pPr>
          </w:p>
        </w:tc>
        <w:tc>
          <w:tcPr>
            <w:tcW w:w="0" w:type="auto"/>
            <w:shd w:val="clear" w:color="auto" w:fill="auto"/>
          </w:tcPr>
          <w:p w14:paraId="3D851DC5" w14:textId="77777777" w:rsidR="008C5CFA" w:rsidRPr="00BA47B4" w:rsidRDefault="008C5CFA" w:rsidP="00300A01">
            <w:pPr>
              <w:spacing w:before="0" w:after="0"/>
              <w:jc w:val="right"/>
              <w:rPr>
                <w:sz w:val="12"/>
                <w:szCs w:val="12"/>
                <w:lang w:val="fr-BE"/>
              </w:rPr>
            </w:pPr>
          </w:p>
        </w:tc>
        <w:tc>
          <w:tcPr>
            <w:tcW w:w="0" w:type="auto"/>
            <w:shd w:val="clear" w:color="auto" w:fill="auto"/>
          </w:tcPr>
          <w:p w14:paraId="36D3F645" w14:textId="77777777" w:rsidR="008C5CFA" w:rsidRPr="00BA47B4" w:rsidRDefault="00E82A60" w:rsidP="00300A01">
            <w:pPr>
              <w:spacing w:before="0" w:after="0"/>
              <w:jc w:val="right"/>
              <w:rPr>
                <w:sz w:val="12"/>
                <w:szCs w:val="12"/>
                <w:lang w:val="fr-BE"/>
              </w:rPr>
            </w:pPr>
            <w:r w:rsidRPr="00BA47B4">
              <w:rPr>
                <w:noProof/>
                <w:sz w:val="12"/>
                <w:szCs w:val="12"/>
                <w:lang w:val="fr-BE"/>
              </w:rPr>
              <w:t>7 212,00</w:t>
            </w:r>
          </w:p>
        </w:tc>
        <w:tc>
          <w:tcPr>
            <w:tcW w:w="0" w:type="auto"/>
            <w:shd w:val="clear" w:color="auto" w:fill="auto"/>
          </w:tcPr>
          <w:p w14:paraId="7C9B7786" w14:textId="77777777" w:rsidR="008C5CFA" w:rsidRPr="00BA47B4" w:rsidRDefault="00E82A60" w:rsidP="00300A01">
            <w:pPr>
              <w:spacing w:before="0" w:after="0"/>
              <w:jc w:val="right"/>
              <w:rPr>
                <w:sz w:val="12"/>
                <w:szCs w:val="12"/>
                <w:lang w:val="fr-BE"/>
              </w:rPr>
            </w:pPr>
            <w:r w:rsidRPr="00BA47B4">
              <w:rPr>
                <w:noProof/>
                <w:sz w:val="12"/>
                <w:szCs w:val="12"/>
                <w:lang w:val="fr-BE"/>
              </w:rPr>
              <w:t>294,00</w:t>
            </w:r>
          </w:p>
        </w:tc>
        <w:tc>
          <w:tcPr>
            <w:tcW w:w="0" w:type="auto"/>
            <w:shd w:val="clear" w:color="auto" w:fill="auto"/>
          </w:tcPr>
          <w:p w14:paraId="7345544D" w14:textId="77777777" w:rsidR="008C5CFA" w:rsidRPr="00BA47B4" w:rsidRDefault="00E82A60" w:rsidP="00300A01">
            <w:pPr>
              <w:spacing w:before="0" w:after="0"/>
              <w:jc w:val="right"/>
              <w:rPr>
                <w:sz w:val="12"/>
                <w:szCs w:val="12"/>
                <w:lang w:val="fr-BE"/>
              </w:rPr>
            </w:pPr>
            <w:r w:rsidRPr="00BA47B4">
              <w:rPr>
                <w:noProof/>
                <w:sz w:val="12"/>
                <w:szCs w:val="12"/>
                <w:lang w:val="fr-BE"/>
              </w:rPr>
              <w:t>6 918,00</w:t>
            </w:r>
          </w:p>
        </w:tc>
        <w:tc>
          <w:tcPr>
            <w:tcW w:w="0" w:type="auto"/>
            <w:shd w:val="clear" w:color="auto" w:fill="auto"/>
          </w:tcPr>
          <w:p w14:paraId="45BFFB4B" w14:textId="77777777" w:rsidR="008C5CFA" w:rsidRPr="00BA47B4" w:rsidRDefault="008C5CFA" w:rsidP="00300A01">
            <w:pPr>
              <w:spacing w:before="0" w:after="0"/>
              <w:jc w:val="right"/>
              <w:rPr>
                <w:sz w:val="12"/>
                <w:szCs w:val="12"/>
                <w:lang w:val="fr-BE"/>
              </w:rPr>
            </w:pPr>
          </w:p>
        </w:tc>
        <w:tc>
          <w:tcPr>
            <w:tcW w:w="0" w:type="auto"/>
            <w:shd w:val="clear" w:color="auto" w:fill="auto"/>
          </w:tcPr>
          <w:p w14:paraId="711846AF" w14:textId="77777777" w:rsidR="008C5CFA" w:rsidRPr="00BA47B4" w:rsidRDefault="008C5CFA" w:rsidP="00300A01">
            <w:pPr>
              <w:spacing w:before="0" w:after="0"/>
              <w:jc w:val="right"/>
              <w:rPr>
                <w:sz w:val="12"/>
                <w:szCs w:val="12"/>
                <w:lang w:val="fr-BE"/>
              </w:rPr>
            </w:pPr>
          </w:p>
        </w:tc>
        <w:tc>
          <w:tcPr>
            <w:tcW w:w="0" w:type="auto"/>
            <w:shd w:val="clear" w:color="auto" w:fill="auto"/>
          </w:tcPr>
          <w:p w14:paraId="4B5C8AA1" w14:textId="77777777" w:rsidR="008C5CFA" w:rsidRPr="00BA47B4" w:rsidRDefault="008C5CFA" w:rsidP="00300A01">
            <w:pPr>
              <w:spacing w:before="0" w:after="0"/>
              <w:jc w:val="right"/>
              <w:rPr>
                <w:sz w:val="12"/>
                <w:szCs w:val="12"/>
                <w:lang w:val="fr-BE"/>
              </w:rPr>
            </w:pPr>
          </w:p>
        </w:tc>
        <w:tc>
          <w:tcPr>
            <w:tcW w:w="0" w:type="auto"/>
          </w:tcPr>
          <w:p w14:paraId="383F216C" w14:textId="77777777" w:rsidR="008C5CFA" w:rsidRPr="00A92B39" w:rsidRDefault="00E82A60" w:rsidP="00300A01">
            <w:pPr>
              <w:spacing w:before="0" w:after="0"/>
              <w:jc w:val="right"/>
              <w:rPr>
                <w:sz w:val="10"/>
                <w:szCs w:val="10"/>
                <w:lang w:val="fr-BE"/>
              </w:rPr>
            </w:pPr>
            <w:r w:rsidRPr="00A92B39">
              <w:rPr>
                <w:noProof/>
                <w:sz w:val="10"/>
                <w:szCs w:val="10"/>
                <w:lang w:val="fr-BE"/>
              </w:rPr>
              <w:t>2 233,00</w:t>
            </w:r>
          </w:p>
        </w:tc>
        <w:tc>
          <w:tcPr>
            <w:tcW w:w="0" w:type="auto"/>
            <w:shd w:val="clear" w:color="auto" w:fill="auto"/>
          </w:tcPr>
          <w:p w14:paraId="68F20B64" w14:textId="77777777" w:rsidR="008C5CFA" w:rsidRPr="00A92B39" w:rsidRDefault="00E82A60" w:rsidP="00300A01">
            <w:pPr>
              <w:spacing w:before="0" w:after="0"/>
              <w:jc w:val="right"/>
              <w:rPr>
                <w:sz w:val="10"/>
                <w:szCs w:val="10"/>
                <w:lang w:val="fr-BE"/>
              </w:rPr>
            </w:pPr>
            <w:r w:rsidRPr="00A92B39">
              <w:rPr>
                <w:noProof/>
                <w:sz w:val="10"/>
                <w:szCs w:val="10"/>
                <w:lang w:val="fr-BE"/>
              </w:rPr>
              <w:t>87,00</w:t>
            </w:r>
          </w:p>
        </w:tc>
        <w:tc>
          <w:tcPr>
            <w:tcW w:w="0" w:type="auto"/>
            <w:shd w:val="clear" w:color="auto" w:fill="auto"/>
          </w:tcPr>
          <w:p w14:paraId="28ABEF65" w14:textId="77777777" w:rsidR="008C5CFA" w:rsidRPr="00BA47B4" w:rsidRDefault="00E82A60" w:rsidP="00300A01">
            <w:pPr>
              <w:spacing w:before="0" w:after="0"/>
              <w:jc w:val="right"/>
              <w:rPr>
                <w:sz w:val="12"/>
                <w:szCs w:val="12"/>
                <w:lang w:val="fr-BE"/>
              </w:rPr>
            </w:pPr>
            <w:r w:rsidRPr="00A92B39">
              <w:rPr>
                <w:noProof/>
                <w:sz w:val="10"/>
                <w:szCs w:val="10"/>
                <w:lang w:val="fr-BE"/>
              </w:rPr>
              <w:t>2 146,00</w:t>
            </w:r>
          </w:p>
        </w:tc>
      </w:tr>
      <w:tr w:rsidR="006B2EC1" w14:paraId="19009A5B" w14:textId="77777777" w:rsidTr="0047688D">
        <w:tc>
          <w:tcPr>
            <w:tcW w:w="0" w:type="auto"/>
            <w:shd w:val="clear" w:color="auto" w:fill="auto"/>
          </w:tcPr>
          <w:p w14:paraId="4779705E" w14:textId="77777777" w:rsidR="008C5CFA" w:rsidRPr="00BA47B4" w:rsidRDefault="00E82A60" w:rsidP="00300A01">
            <w:pPr>
              <w:spacing w:before="0" w:after="0"/>
              <w:rPr>
                <w:sz w:val="12"/>
                <w:szCs w:val="12"/>
                <w:lang w:val="fr-BE"/>
              </w:rPr>
            </w:pPr>
            <w:r>
              <w:rPr>
                <w:noProof/>
                <w:sz w:val="12"/>
                <w:szCs w:val="12"/>
                <w:lang w:val="fr-BE"/>
              </w:rPr>
              <w:t>CO02</w:t>
            </w:r>
          </w:p>
        </w:tc>
        <w:tc>
          <w:tcPr>
            <w:tcW w:w="0" w:type="auto"/>
            <w:shd w:val="clear" w:color="auto" w:fill="auto"/>
          </w:tcPr>
          <w:p w14:paraId="18D8A469" w14:textId="77777777" w:rsidR="008C5CFA" w:rsidRPr="00BA47B4" w:rsidRDefault="00E82A60" w:rsidP="00300A01">
            <w:pPr>
              <w:spacing w:before="0" w:after="0"/>
              <w:rPr>
                <w:sz w:val="12"/>
                <w:szCs w:val="12"/>
                <w:lang w:val="fr-BE"/>
              </w:rPr>
            </w:pPr>
            <w:r>
              <w:rPr>
                <w:noProof/>
                <w:sz w:val="12"/>
                <w:szCs w:val="12"/>
                <w:lang w:val="fr-BE"/>
              </w:rPr>
              <w:t>długotrwale bezrobotni</w:t>
            </w:r>
          </w:p>
        </w:tc>
        <w:tc>
          <w:tcPr>
            <w:tcW w:w="0" w:type="auto"/>
            <w:shd w:val="clear" w:color="auto" w:fill="auto"/>
          </w:tcPr>
          <w:p w14:paraId="4A2816F4" w14:textId="77777777" w:rsidR="008C5CFA" w:rsidRPr="00BA47B4" w:rsidRDefault="00E82A60"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14:paraId="7F055B10" w14:textId="77777777" w:rsidR="008C5CFA" w:rsidRPr="00BA47B4" w:rsidRDefault="008C5CFA" w:rsidP="00300A01">
            <w:pPr>
              <w:spacing w:before="0" w:after="0"/>
              <w:jc w:val="right"/>
              <w:rPr>
                <w:sz w:val="12"/>
                <w:szCs w:val="12"/>
                <w:lang w:val="fr-BE"/>
              </w:rPr>
            </w:pPr>
          </w:p>
        </w:tc>
        <w:tc>
          <w:tcPr>
            <w:tcW w:w="0" w:type="auto"/>
            <w:shd w:val="clear" w:color="auto" w:fill="auto"/>
          </w:tcPr>
          <w:p w14:paraId="0B837F82" w14:textId="77777777" w:rsidR="008C5CFA" w:rsidRPr="00BA47B4" w:rsidRDefault="008C5CFA" w:rsidP="00300A01">
            <w:pPr>
              <w:spacing w:before="0" w:after="0"/>
              <w:jc w:val="right"/>
              <w:rPr>
                <w:sz w:val="12"/>
                <w:szCs w:val="12"/>
                <w:lang w:val="fr-BE"/>
              </w:rPr>
            </w:pPr>
          </w:p>
        </w:tc>
        <w:tc>
          <w:tcPr>
            <w:tcW w:w="0" w:type="auto"/>
            <w:shd w:val="clear" w:color="auto" w:fill="auto"/>
          </w:tcPr>
          <w:p w14:paraId="4EBF5A18" w14:textId="77777777" w:rsidR="008C5CFA" w:rsidRPr="00BA47B4" w:rsidRDefault="008C5CFA" w:rsidP="00300A01">
            <w:pPr>
              <w:spacing w:before="0" w:after="0"/>
              <w:jc w:val="right"/>
              <w:rPr>
                <w:sz w:val="12"/>
                <w:szCs w:val="12"/>
                <w:lang w:val="fr-BE"/>
              </w:rPr>
            </w:pPr>
          </w:p>
        </w:tc>
        <w:tc>
          <w:tcPr>
            <w:tcW w:w="0" w:type="auto"/>
            <w:shd w:val="clear" w:color="auto" w:fill="auto"/>
          </w:tcPr>
          <w:p w14:paraId="1DF02995" w14:textId="77777777" w:rsidR="008C5CFA" w:rsidRPr="00BA47B4" w:rsidRDefault="00E82A60" w:rsidP="00300A01">
            <w:pPr>
              <w:spacing w:before="0" w:after="0"/>
              <w:jc w:val="right"/>
              <w:rPr>
                <w:sz w:val="12"/>
                <w:szCs w:val="12"/>
                <w:lang w:val="fr-BE"/>
              </w:rPr>
            </w:pPr>
            <w:r w:rsidRPr="00BA47B4">
              <w:rPr>
                <w:noProof/>
                <w:sz w:val="12"/>
                <w:szCs w:val="12"/>
                <w:lang w:val="fr-BE"/>
              </w:rPr>
              <w:t>517,00</w:t>
            </w:r>
          </w:p>
        </w:tc>
        <w:tc>
          <w:tcPr>
            <w:tcW w:w="0" w:type="auto"/>
            <w:shd w:val="clear" w:color="auto" w:fill="auto"/>
          </w:tcPr>
          <w:p w14:paraId="2177EAF5" w14:textId="77777777" w:rsidR="008C5CFA" w:rsidRPr="00BA47B4" w:rsidRDefault="00E82A60" w:rsidP="00300A01">
            <w:pPr>
              <w:spacing w:before="0" w:after="0"/>
              <w:jc w:val="right"/>
              <w:rPr>
                <w:sz w:val="12"/>
                <w:szCs w:val="12"/>
                <w:lang w:val="fr-BE"/>
              </w:rPr>
            </w:pPr>
            <w:r w:rsidRPr="00BA47B4">
              <w:rPr>
                <w:noProof/>
                <w:sz w:val="12"/>
                <w:szCs w:val="12"/>
                <w:lang w:val="fr-BE"/>
              </w:rPr>
              <w:t>18,00</w:t>
            </w:r>
          </w:p>
        </w:tc>
        <w:tc>
          <w:tcPr>
            <w:tcW w:w="0" w:type="auto"/>
            <w:shd w:val="clear" w:color="auto" w:fill="auto"/>
          </w:tcPr>
          <w:p w14:paraId="107D8AD4" w14:textId="77777777" w:rsidR="008C5CFA" w:rsidRPr="00BA47B4" w:rsidRDefault="00E82A60" w:rsidP="00300A01">
            <w:pPr>
              <w:spacing w:before="0" w:after="0"/>
              <w:jc w:val="right"/>
              <w:rPr>
                <w:sz w:val="12"/>
                <w:szCs w:val="12"/>
                <w:lang w:val="fr-BE"/>
              </w:rPr>
            </w:pPr>
            <w:r w:rsidRPr="00BA47B4">
              <w:rPr>
                <w:noProof/>
                <w:sz w:val="12"/>
                <w:szCs w:val="12"/>
                <w:lang w:val="fr-BE"/>
              </w:rPr>
              <w:t>499,00</w:t>
            </w:r>
          </w:p>
        </w:tc>
        <w:tc>
          <w:tcPr>
            <w:tcW w:w="0" w:type="auto"/>
            <w:shd w:val="clear" w:color="auto" w:fill="auto"/>
          </w:tcPr>
          <w:p w14:paraId="3B43A7FB" w14:textId="77777777" w:rsidR="008C5CFA" w:rsidRPr="00BA47B4" w:rsidRDefault="008C5CFA" w:rsidP="00300A01">
            <w:pPr>
              <w:spacing w:before="0" w:after="0"/>
              <w:jc w:val="right"/>
              <w:rPr>
                <w:sz w:val="12"/>
                <w:szCs w:val="12"/>
                <w:lang w:val="fr-BE"/>
              </w:rPr>
            </w:pPr>
          </w:p>
        </w:tc>
        <w:tc>
          <w:tcPr>
            <w:tcW w:w="0" w:type="auto"/>
            <w:shd w:val="clear" w:color="auto" w:fill="auto"/>
          </w:tcPr>
          <w:p w14:paraId="2D900E2B" w14:textId="77777777" w:rsidR="008C5CFA" w:rsidRPr="00BA47B4" w:rsidRDefault="008C5CFA" w:rsidP="00300A01">
            <w:pPr>
              <w:spacing w:before="0" w:after="0"/>
              <w:jc w:val="right"/>
              <w:rPr>
                <w:sz w:val="12"/>
                <w:szCs w:val="12"/>
                <w:lang w:val="fr-BE"/>
              </w:rPr>
            </w:pPr>
          </w:p>
        </w:tc>
        <w:tc>
          <w:tcPr>
            <w:tcW w:w="0" w:type="auto"/>
            <w:shd w:val="clear" w:color="auto" w:fill="auto"/>
          </w:tcPr>
          <w:p w14:paraId="0A7C5420" w14:textId="77777777" w:rsidR="008C5CFA" w:rsidRPr="00BA47B4" w:rsidRDefault="008C5CFA" w:rsidP="00300A01">
            <w:pPr>
              <w:spacing w:before="0" w:after="0"/>
              <w:jc w:val="right"/>
              <w:rPr>
                <w:sz w:val="12"/>
                <w:szCs w:val="12"/>
                <w:lang w:val="fr-BE"/>
              </w:rPr>
            </w:pPr>
          </w:p>
        </w:tc>
        <w:tc>
          <w:tcPr>
            <w:tcW w:w="0" w:type="auto"/>
          </w:tcPr>
          <w:p w14:paraId="5EB4148F" w14:textId="77777777" w:rsidR="008C5CFA" w:rsidRPr="00A92B39" w:rsidRDefault="00E82A60" w:rsidP="00300A01">
            <w:pPr>
              <w:spacing w:before="0" w:after="0"/>
              <w:jc w:val="right"/>
              <w:rPr>
                <w:sz w:val="10"/>
                <w:szCs w:val="10"/>
                <w:lang w:val="fr-BE"/>
              </w:rPr>
            </w:pPr>
            <w:r w:rsidRPr="00A92B39">
              <w:rPr>
                <w:noProof/>
                <w:sz w:val="10"/>
                <w:szCs w:val="10"/>
                <w:lang w:val="fr-BE"/>
              </w:rPr>
              <w:t>182,00</w:t>
            </w:r>
          </w:p>
        </w:tc>
        <w:tc>
          <w:tcPr>
            <w:tcW w:w="0" w:type="auto"/>
            <w:shd w:val="clear" w:color="auto" w:fill="auto"/>
          </w:tcPr>
          <w:p w14:paraId="3D858FFC" w14:textId="77777777" w:rsidR="008C5CFA" w:rsidRPr="00A92B39" w:rsidRDefault="00E82A60" w:rsidP="00300A01">
            <w:pPr>
              <w:spacing w:before="0" w:after="0"/>
              <w:jc w:val="right"/>
              <w:rPr>
                <w:sz w:val="10"/>
                <w:szCs w:val="10"/>
                <w:lang w:val="fr-BE"/>
              </w:rPr>
            </w:pPr>
            <w:r w:rsidRPr="00A92B39">
              <w:rPr>
                <w:noProof/>
                <w:sz w:val="10"/>
                <w:szCs w:val="10"/>
                <w:lang w:val="fr-BE"/>
              </w:rPr>
              <w:t>3,00</w:t>
            </w:r>
          </w:p>
        </w:tc>
        <w:tc>
          <w:tcPr>
            <w:tcW w:w="0" w:type="auto"/>
            <w:shd w:val="clear" w:color="auto" w:fill="auto"/>
          </w:tcPr>
          <w:p w14:paraId="47F18ED0" w14:textId="77777777" w:rsidR="008C5CFA" w:rsidRPr="00BA47B4" w:rsidRDefault="00E82A60" w:rsidP="00300A01">
            <w:pPr>
              <w:spacing w:before="0" w:after="0"/>
              <w:jc w:val="right"/>
              <w:rPr>
                <w:sz w:val="12"/>
                <w:szCs w:val="12"/>
                <w:lang w:val="fr-BE"/>
              </w:rPr>
            </w:pPr>
            <w:r w:rsidRPr="00A92B39">
              <w:rPr>
                <w:noProof/>
                <w:sz w:val="10"/>
                <w:szCs w:val="10"/>
                <w:lang w:val="fr-BE"/>
              </w:rPr>
              <w:t>179,00</w:t>
            </w:r>
          </w:p>
        </w:tc>
      </w:tr>
      <w:tr w:rsidR="006B2EC1" w14:paraId="1810B496" w14:textId="77777777" w:rsidTr="0047688D">
        <w:tc>
          <w:tcPr>
            <w:tcW w:w="0" w:type="auto"/>
            <w:shd w:val="clear" w:color="auto" w:fill="auto"/>
          </w:tcPr>
          <w:p w14:paraId="472E51E6" w14:textId="77777777" w:rsidR="008C5CFA" w:rsidRPr="00BA47B4" w:rsidRDefault="00E82A60" w:rsidP="00300A01">
            <w:pPr>
              <w:spacing w:before="0" w:after="0"/>
              <w:rPr>
                <w:sz w:val="12"/>
                <w:szCs w:val="12"/>
                <w:lang w:val="fr-BE"/>
              </w:rPr>
            </w:pPr>
            <w:r>
              <w:rPr>
                <w:noProof/>
                <w:sz w:val="12"/>
                <w:szCs w:val="12"/>
                <w:lang w:val="fr-BE"/>
              </w:rPr>
              <w:t>CO03</w:t>
            </w:r>
          </w:p>
        </w:tc>
        <w:tc>
          <w:tcPr>
            <w:tcW w:w="0" w:type="auto"/>
            <w:shd w:val="clear" w:color="auto" w:fill="auto"/>
          </w:tcPr>
          <w:p w14:paraId="5708D146" w14:textId="77777777" w:rsidR="008C5CFA" w:rsidRPr="00BA47B4" w:rsidRDefault="00E82A60" w:rsidP="00300A01">
            <w:pPr>
              <w:spacing w:before="0" w:after="0"/>
              <w:rPr>
                <w:sz w:val="12"/>
                <w:szCs w:val="12"/>
                <w:lang w:val="fr-BE"/>
              </w:rPr>
            </w:pPr>
            <w:r>
              <w:rPr>
                <w:noProof/>
                <w:sz w:val="12"/>
                <w:szCs w:val="12"/>
                <w:lang w:val="fr-BE"/>
              </w:rPr>
              <w:t>osoby bierne zawodowo</w:t>
            </w:r>
          </w:p>
        </w:tc>
        <w:tc>
          <w:tcPr>
            <w:tcW w:w="0" w:type="auto"/>
            <w:shd w:val="clear" w:color="auto" w:fill="auto"/>
          </w:tcPr>
          <w:p w14:paraId="085159C7" w14:textId="77777777" w:rsidR="008C5CFA" w:rsidRPr="00BA47B4" w:rsidRDefault="00E82A60"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14:paraId="33EDD79F" w14:textId="77777777" w:rsidR="008C5CFA" w:rsidRPr="00BA47B4" w:rsidRDefault="008C5CFA" w:rsidP="00300A01">
            <w:pPr>
              <w:spacing w:before="0" w:after="0"/>
              <w:jc w:val="right"/>
              <w:rPr>
                <w:sz w:val="12"/>
                <w:szCs w:val="12"/>
                <w:lang w:val="fr-BE"/>
              </w:rPr>
            </w:pPr>
          </w:p>
        </w:tc>
        <w:tc>
          <w:tcPr>
            <w:tcW w:w="0" w:type="auto"/>
            <w:shd w:val="clear" w:color="auto" w:fill="auto"/>
          </w:tcPr>
          <w:p w14:paraId="4675CEAB" w14:textId="77777777" w:rsidR="008C5CFA" w:rsidRPr="00BA47B4" w:rsidRDefault="008C5CFA" w:rsidP="00300A01">
            <w:pPr>
              <w:spacing w:before="0" w:after="0"/>
              <w:jc w:val="right"/>
              <w:rPr>
                <w:sz w:val="12"/>
                <w:szCs w:val="12"/>
                <w:lang w:val="fr-BE"/>
              </w:rPr>
            </w:pPr>
          </w:p>
        </w:tc>
        <w:tc>
          <w:tcPr>
            <w:tcW w:w="0" w:type="auto"/>
            <w:shd w:val="clear" w:color="auto" w:fill="auto"/>
          </w:tcPr>
          <w:p w14:paraId="30866325" w14:textId="77777777" w:rsidR="008C5CFA" w:rsidRPr="00BA47B4" w:rsidRDefault="008C5CFA" w:rsidP="00300A01">
            <w:pPr>
              <w:spacing w:before="0" w:after="0"/>
              <w:jc w:val="right"/>
              <w:rPr>
                <w:sz w:val="12"/>
                <w:szCs w:val="12"/>
                <w:lang w:val="fr-BE"/>
              </w:rPr>
            </w:pPr>
          </w:p>
        </w:tc>
        <w:tc>
          <w:tcPr>
            <w:tcW w:w="0" w:type="auto"/>
            <w:shd w:val="clear" w:color="auto" w:fill="auto"/>
          </w:tcPr>
          <w:p w14:paraId="2E9640EF" w14:textId="77777777" w:rsidR="008C5CFA" w:rsidRPr="00BA47B4" w:rsidRDefault="00E82A60" w:rsidP="00300A01">
            <w:pPr>
              <w:spacing w:before="0" w:after="0"/>
              <w:jc w:val="right"/>
              <w:rPr>
                <w:sz w:val="12"/>
                <w:szCs w:val="12"/>
                <w:lang w:val="fr-BE"/>
              </w:rPr>
            </w:pPr>
            <w:r w:rsidRPr="00BA47B4">
              <w:rPr>
                <w:noProof/>
                <w:sz w:val="12"/>
                <w:szCs w:val="12"/>
                <w:lang w:val="fr-BE"/>
              </w:rPr>
              <w:t>9 922,00</w:t>
            </w:r>
          </w:p>
        </w:tc>
        <w:tc>
          <w:tcPr>
            <w:tcW w:w="0" w:type="auto"/>
            <w:shd w:val="clear" w:color="auto" w:fill="auto"/>
          </w:tcPr>
          <w:p w14:paraId="5545D708" w14:textId="77777777" w:rsidR="008C5CFA" w:rsidRPr="00BA47B4" w:rsidRDefault="00E82A60" w:rsidP="00300A01">
            <w:pPr>
              <w:spacing w:before="0" w:after="0"/>
              <w:jc w:val="right"/>
              <w:rPr>
                <w:sz w:val="12"/>
                <w:szCs w:val="12"/>
                <w:lang w:val="fr-BE"/>
              </w:rPr>
            </w:pPr>
            <w:r w:rsidRPr="00BA47B4">
              <w:rPr>
                <w:noProof/>
                <w:sz w:val="12"/>
                <w:szCs w:val="12"/>
                <w:lang w:val="fr-BE"/>
              </w:rPr>
              <w:t>1 165,00</w:t>
            </w:r>
          </w:p>
        </w:tc>
        <w:tc>
          <w:tcPr>
            <w:tcW w:w="0" w:type="auto"/>
            <w:shd w:val="clear" w:color="auto" w:fill="auto"/>
          </w:tcPr>
          <w:p w14:paraId="73572F4F" w14:textId="77777777" w:rsidR="008C5CFA" w:rsidRPr="00BA47B4" w:rsidRDefault="00E82A60" w:rsidP="00300A01">
            <w:pPr>
              <w:spacing w:before="0" w:after="0"/>
              <w:jc w:val="right"/>
              <w:rPr>
                <w:sz w:val="12"/>
                <w:szCs w:val="12"/>
                <w:lang w:val="fr-BE"/>
              </w:rPr>
            </w:pPr>
            <w:r w:rsidRPr="00BA47B4">
              <w:rPr>
                <w:noProof/>
                <w:sz w:val="12"/>
                <w:szCs w:val="12"/>
                <w:lang w:val="fr-BE"/>
              </w:rPr>
              <w:t>8 757,00</w:t>
            </w:r>
          </w:p>
        </w:tc>
        <w:tc>
          <w:tcPr>
            <w:tcW w:w="0" w:type="auto"/>
            <w:shd w:val="clear" w:color="auto" w:fill="auto"/>
          </w:tcPr>
          <w:p w14:paraId="72BEEEFE" w14:textId="77777777" w:rsidR="008C5CFA" w:rsidRPr="00BA47B4" w:rsidRDefault="008C5CFA" w:rsidP="00300A01">
            <w:pPr>
              <w:spacing w:before="0" w:after="0"/>
              <w:jc w:val="right"/>
              <w:rPr>
                <w:sz w:val="12"/>
                <w:szCs w:val="12"/>
                <w:lang w:val="fr-BE"/>
              </w:rPr>
            </w:pPr>
          </w:p>
        </w:tc>
        <w:tc>
          <w:tcPr>
            <w:tcW w:w="0" w:type="auto"/>
            <w:shd w:val="clear" w:color="auto" w:fill="auto"/>
          </w:tcPr>
          <w:p w14:paraId="21E38BDF" w14:textId="77777777" w:rsidR="008C5CFA" w:rsidRPr="00BA47B4" w:rsidRDefault="008C5CFA" w:rsidP="00300A01">
            <w:pPr>
              <w:spacing w:before="0" w:after="0"/>
              <w:jc w:val="right"/>
              <w:rPr>
                <w:sz w:val="12"/>
                <w:szCs w:val="12"/>
                <w:lang w:val="fr-BE"/>
              </w:rPr>
            </w:pPr>
          </w:p>
        </w:tc>
        <w:tc>
          <w:tcPr>
            <w:tcW w:w="0" w:type="auto"/>
            <w:shd w:val="clear" w:color="auto" w:fill="auto"/>
          </w:tcPr>
          <w:p w14:paraId="3179BEC2" w14:textId="77777777" w:rsidR="008C5CFA" w:rsidRPr="00BA47B4" w:rsidRDefault="008C5CFA" w:rsidP="00300A01">
            <w:pPr>
              <w:spacing w:before="0" w:after="0"/>
              <w:jc w:val="right"/>
              <w:rPr>
                <w:sz w:val="12"/>
                <w:szCs w:val="12"/>
                <w:lang w:val="fr-BE"/>
              </w:rPr>
            </w:pPr>
          </w:p>
        </w:tc>
        <w:tc>
          <w:tcPr>
            <w:tcW w:w="0" w:type="auto"/>
          </w:tcPr>
          <w:p w14:paraId="2697DCAA" w14:textId="77777777" w:rsidR="008C5CFA" w:rsidRPr="00A92B39" w:rsidRDefault="00E82A60" w:rsidP="00300A01">
            <w:pPr>
              <w:spacing w:before="0" w:after="0"/>
              <w:jc w:val="right"/>
              <w:rPr>
                <w:sz w:val="10"/>
                <w:szCs w:val="10"/>
                <w:lang w:val="fr-BE"/>
              </w:rPr>
            </w:pPr>
            <w:r w:rsidRPr="00A92B39">
              <w:rPr>
                <w:noProof/>
                <w:sz w:val="10"/>
                <w:szCs w:val="10"/>
                <w:lang w:val="fr-BE"/>
              </w:rPr>
              <w:t>2 780,00</w:t>
            </w:r>
          </w:p>
        </w:tc>
        <w:tc>
          <w:tcPr>
            <w:tcW w:w="0" w:type="auto"/>
            <w:shd w:val="clear" w:color="auto" w:fill="auto"/>
          </w:tcPr>
          <w:p w14:paraId="2AF92479" w14:textId="77777777" w:rsidR="008C5CFA" w:rsidRPr="00A92B39" w:rsidRDefault="00E82A60" w:rsidP="00300A01">
            <w:pPr>
              <w:spacing w:before="0" w:after="0"/>
              <w:jc w:val="right"/>
              <w:rPr>
                <w:sz w:val="10"/>
                <w:szCs w:val="10"/>
                <w:lang w:val="fr-BE"/>
              </w:rPr>
            </w:pPr>
            <w:r w:rsidRPr="00A92B39">
              <w:rPr>
                <w:noProof/>
                <w:sz w:val="10"/>
                <w:szCs w:val="10"/>
                <w:lang w:val="fr-BE"/>
              </w:rPr>
              <w:t>517,00</w:t>
            </w:r>
          </w:p>
        </w:tc>
        <w:tc>
          <w:tcPr>
            <w:tcW w:w="0" w:type="auto"/>
            <w:shd w:val="clear" w:color="auto" w:fill="auto"/>
          </w:tcPr>
          <w:p w14:paraId="32F91112" w14:textId="77777777" w:rsidR="008C5CFA" w:rsidRPr="00BA47B4" w:rsidRDefault="00E82A60" w:rsidP="00300A01">
            <w:pPr>
              <w:spacing w:before="0" w:after="0"/>
              <w:jc w:val="right"/>
              <w:rPr>
                <w:sz w:val="12"/>
                <w:szCs w:val="12"/>
                <w:lang w:val="fr-BE"/>
              </w:rPr>
            </w:pPr>
            <w:r w:rsidRPr="00A92B39">
              <w:rPr>
                <w:noProof/>
                <w:sz w:val="10"/>
                <w:szCs w:val="10"/>
                <w:lang w:val="fr-BE"/>
              </w:rPr>
              <w:t>2 263,00</w:t>
            </w:r>
          </w:p>
        </w:tc>
      </w:tr>
      <w:tr w:rsidR="006B2EC1" w14:paraId="385FAE26" w14:textId="77777777" w:rsidTr="0047688D">
        <w:tc>
          <w:tcPr>
            <w:tcW w:w="0" w:type="auto"/>
            <w:shd w:val="clear" w:color="auto" w:fill="auto"/>
          </w:tcPr>
          <w:p w14:paraId="53EC9830" w14:textId="77777777" w:rsidR="008C5CFA" w:rsidRPr="00BA47B4" w:rsidRDefault="00E82A60" w:rsidP="00300A01">
            <w:pPr>
              <w:spacing w:before="0" w:after="0"/>
              <w:rPr>
                <w:sz w:val="12"/>
                <w:szCs w:val="12"/>
                <w:lang w:val="fr-BE"/>
              </w:rPr>
            </w:pPr>
            <w:r>
              <w:rPr>
                <w:noProof/>
                <w:sz w:val="12"/>
                <w:szCs w:val="12"/>
                <w:lang w:val="fr-BE"/>
              </w:rPr>
              <w:t>CO04</w:t>
            </w:r>
          </w:p>
        </w:tc>
        <w:tc>
          <w:tcPr>
            <w:tcW w:w="0" w:type="auto"/>
            <w:shd w:val="clear" w:color="auto" w:fill="auto"/>
          </w:tcPr>
          <w:p w14:paraId="36973E08" w14:textId="77777777" w:rsidR="008C5CFA" w:rsidRPr="00BA47B4" w:rsidRDefault="00E82A60" w:rsidP="00300A01">
            <w:pPr>
              <w:spacing w:before="0" w:after="0"/>
              <w:rPr>
                <w:sz w:val="12"/>
                <w:szCs w:val="12"/>
                <w:lang w:val="fr-BE"/>
              </w:rPr>
            </w:pPr>
            <w:r>
              <w:rPr>
                <w:noProof/>
                <w:sz w:val="12"/>
                <w:szCs w:val="12"/>
                <w:lang w:val="fr-BE"/>
              </w:rPr>
              <w:t>osoby bierne zawodowo, nieuczestniczące w kształceniu ani szkoleniu</w:t>
            </w:r>
          </w:p>
        </w:tc>
        <w:tc>
          <w:tcPr>
            <w:tcW w:w="0" w:type="auto"/>
            <w:shd w:val="clear" w:color="auto" w:fill="auto"/>
          </w:tcPr>
          <w:p w14:paraId="63339584" w14:textId="77777777" w:rsidR="008C5CFA" w:rsidRPr="00BA47B4" w:rsidRDefault="00E82A60"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14:paraId="4CFBD646" w14:textId="77777777" w:rsidR="008C5CFA" w:rsidRPr="00BA47B4" w:rsidRDefault="008C5CFA" w:rsidP="00300A01">
            <w:pPr>
              <w:spacing w:before="0" w:after="0"/>
              <w:jc w:val="right"/>
              <w:rPr>
                <w:sz w:val="12"/>
                <w:szCs w:val="12"/>
                <w:lang w:val="fr-BE"/>
              </w:rPr>
            </w:pPr>
          </w:p>
        </w:tc>
        <w:tc>
          <w:tcPr>
            <w:tcW w:w="0" w:type="auto"/>
            <w:shd w:val="clear" w:color="auto" w:fill="auto"/>
          </w:tcPr>
          <w:p w14:paraId="745815CA" w14:textId="77777777" w:rsidR="008C5CFA" w:rsidRPr="00BA47B4" w:rsidRDefault="008C5CFA" w:rsidP="00300A01">
            <w:pPr>
              <w:spacing w:before="0" w:after="0"/>
              <w:jc w:val="right"/>
              <w:rPr>
                <w:sz w:val="12"/>
                <w:szCs w:val="12"/>
                <w:lang w:val="fr-BE"/>
              </w:rPr>
            </w:pPr>
          </w:p>
        </w:tc>
        <w:tc>
          <w:tcPr>
            <w:tcW w:w="0" w:type="auto"/>
            <w:shd w:val="clear" w:color="auto" w:fill="auto"/>
          </w:tcPr>
          <w:p w14:paraId="7248E8D5" w14:textId="77777777" w:rsidR="008C5CFA" w:rsidRPr="00BA47B4" w:rsidRDefault="008C5CFA" w:rsidP="00300A01">
            <w:pPr>
              <w:spacing w:before="0" w:after="0"/>
              <w:jc w:val="right"/>
              <w:rPr>
                <w:sz w:val="12"/>
                <w:szCs w:val="12"/>
                <w:lang w:val="fr-BE"/>
              </w:rPr>
            </w:pPr>
          </w:p>
        </w:tc>
        <w:tc>
          <w:tcPr>
            <w:tcW w:w="0" w:type="auto"/>
            <w:shd w:val="clear" w:color="auto" w:fill="auto"/>
          </w:tcPr>
          <w:p w14:paraId="7219165B" w14:textId="77777777" w:rsidR="008C5CFA" w:rsidRPr="00BA47B4" w:rsidRDefault="00E82A60" w:rsidP="00300A01">
            <w:pPr>
              <w:spacing w:before="0" w:after="0"/>
              <w:jc w:val="right"/>
              <w:rPr>
                <w:sz w:val="12"/>
                <w:szCs w:val="12"/>
                <w:lang w:val="fr-BE"/>
              </w:rPr>
            </w:pPr>
            <w:r w:rsidRPr="00BA47B4">
              <w:rPr>
                <w:noProof/>
                <w:sz w:val="12"/>
                <w:szCs w:val="12"/>
                <w:lang w:val="fr-BE"/>
              </w:rPr>
              <w:t>6 827,00</w:t>
            </w:r>
          </w:p>
        </w:tc>
        <w:tc>
          <w:tcPr>
            <w:tcW w:w="0" w:type="auto"/>
            <w:shd w:val="clear" w:color="auto" w:fill="auto"/>
          </w:tcPr>
          <w:p w14:paraId="477B9F50" w14:textId="77777777" w:rsidR="008C5CFA" w:rsidRPr="00BA47B4" w:rsidRDefault="00E82A60" w:rsidP="00300A01">
            <w:pPr>
              <w:spacing w:before="0" w:after="0"/>
              <w:jc w:val="right"/>
              <w:rPr>
                <w:sz w:val="12"/>
                <w:szCs w:val="12"/>
                <w:lang w:val="fr-BE"/>
              </w:rPr>
            </w:pPr>
            <w:r w:rsidRPr="00BA47B4">
              <w:rPr>
                <w:noProof/>
                <w:sz w:val="12"/>
                <w:szCs w:val="12"/>
                <w:lang w:val="fr-BE"/>
              </w:rPr>
              <w:t>535,00</w:t>
            </w:r>
          </w:p>
        </w:tc>
        <w:tc>
          <w:tcPr>
            <w:tcW w:w="0" w:type="auto"/>
            <w:shd w:val="clear" w:color="auto" w:fill="auto"/>
          </w:tcPr>
          <w:p w14:paraId="6C9B9C72" w14:textId="77777777" w:rsidR="008C5CFA" w:rsidRPr="00BA47B4" w:rsidRDefault="00E82A60" w:rsidP="00300A01">
            <w:pPr>
              <w:spacing w:before="0" w:after="0"/>
              <w:jc w:val="right"/>
              <w:rPr>
                <w:sz w:val="12"/>
                <w:szCs w:val="12"/>
                <w:lang w:val="fr-BE"/>
              </w:rPr>
            </w:pPr>
            <w:r w:rsidRPr="00BA47B4">
              <w:rPr>
                <w:noProof/>
                <w:sz w:val="12"/>
                <w:szCs w:val="12"/>
                <w:lang w:val="fr-BE"/>
              </w:rPr>
              <w:t>6 292,00</w:t>
            </w:r>
          </w:p>
        </w:tc>
        <w:tc>
          <w:tcPr>
            <w:tcW w:w="0" w:type="auto"/>
            <w:shd w:val="clear" w:color="auto" w:fill="auto"/>
          </w:tcPr>
          <w:p w14:paraId="28CDC032" w14:textId="77777777" w:rsidR="008C5CFA" w:rsidRPr="00BA47B4" w:rsidRDefault="008C5CFA" w:rsidP="00300A01">
            <w:pPr>
              <w:spacing w:before="0" w:after="0"/>
              <w:jc w:val="right"/>
              <w:rPr>
                <w:sz w:val="12"/>
                <w:szCs w:val="12"/>
                <w:lang w:val="fr-BE"/>
              </w:rPr>
            </w:pPr>
          </w:p>
        </w:tc>
        <w:tc>
          <w:tcPr>
            <w:tcW w:w="0" w:type="auto"/>
            <w:shd w:val="clear" w:color="auto" w:fill="auto"/>
          </w:tcPr>
          <w:p w14:paraId="7852FE86" w14:textId="77777777" w:rsidR="008C5CFA" w:rsidRPr="00BA47B4" w:rsidRDefault="008C5CFA" w:rsidP="00300A01">
            <w:pPr>
              <w:spacing w:before="0" w:after="0"/>
              <w:jc w:val="right"/>
              <w:rPr>
                <w:sz w:val="12"/>
                <w:szCs w:val="12"/>
                <w:lang w:val="fr-BE"/>
              </w:rPr>
            </w:pPr>
          </w:p>
        </w:tc>
        <w:tc>
          <w:tcPr>
            <w:tcW w:w="0" w:type="auto"/>
            <w:shd w:val="clear" w:color="auto" w:fill="auto"/>
          </w:tcPr>
          <w:p w14:paraId="22FB5C02" w14:textId="77777777" w:rsidR="008C5CFA" w:rsidRPr="00BA47B4" w:rsidRDefault="008C5CFA" w:rsidP="00300A01">
            <w:pPr>
              <w:spacing w:before="0" w:after="0"/>
              <w:jc w:val="right"/>
              <w:rPr>
                <w:sz w:val="12"/>
                <w:szCs w:val="12"/>
                <w:lang w:val="fr-BE"/>
              </w:rPr>
            </w:pPr>
          </w:p>
        </w:tc>
        <w:tc>
          <w:tcPr>
            <w:tcW w:w="0" w:type="auto"/>
          </w:tcPr>
          <w:p w14:paraId="20057FFC" w14:textId="77777777" w:rsidR="008C5CFA" w:rsidRPr="00A92B39" w:rsidRDefault="00E82A60" w:rsidP="00300A01">
            <w:pPr>
              <w:spacing w:before="0" w:after="0"/>
              <w:jc w:val="right"/>
              <w:rPr>
                <w:sz w:val="10"/>
                <w:szCs w:val="10"/>
                <w:lang w:val="fr-BE"/>
              </w:rPr>
            </w:pPr>
            <w:r w:rsidRPr="00A92B39">
              <w:rPr>
                <w:noProof/>
                <w:sz w:val="10"/>
                <w:szCs w:val="10"/>
                <w:lang w:val="fr-BE"/>
              </w:rPr>
              <w:t>1 338,00</w:t>
            </w:r>
          </w:p>
        </w:tc>
        <w:tc>
          <w:tcPr>
            <w:tcW w:w="0" w:type="auto"/>
            <w:shd w:val="clear" w:color="auto" w:fill="auto"/>
          </w:tcPr>
          <w:p w14:paraId="0E0BB66C" w14:textId="77777777" w:rsidR="008C5CFA" w:rsidRPr="00A92B39" w:rsidRDefault="00E82A60" w:rsidP="00300A01">
            <w:pPr>
              <w:spacing w:before="0" w:after="0"/>
              <w:jc w:val="right"/>
              <w:rPr>
                <w:sz w:val="10"/>
                <w:szCs w:val="10"/>
                <w:lang w:val="fr-BE"/>
              </w:rPr>
            </w:pPr>
            <w:r w:rsidRPr="00A92B39">
              <w:rPr>
                <w:noProof/>
                <w:sz w:val="10"/>
                <w:szCs w:val="10"/>
                <w:lang w:val="fr-BE"/>
              </w:rPr>
              <w:t>115,00</w:t>
            </w:r>
          </w:p>
        </w:tc>
        <w:tc>
          <w:tcPr>
            <w:tcW w:w="0" w:type="auto"/>
            <w:shd w:val="clear" w:color="auto" w:fill="auto"/>
          </w:tcPr>
          <w:p w14:paraId="726218D6" w14:textId="77777777" w:rsidR="008C5CFA" w:rsidRPr="00BA47B4" w:rsidRDefault="00E82A60" w:rsidP="00300A01">
            <w:pPr>
              <w:spacing w:before="0" w:after="0"/>
              <w:jc w:val="right"/>
              <w:rPr>
                <w:sz w:val="12"/>
                <w:szCs w:val="12"/>
                <w:lang w:val="fr-BE"/>
              </w:rPr>
            </w:pPr>
            <w:r w:rsidRPr="00A92B39">
              <w:rPr>
                <w:noProof/>
                <w:sz w:val="10"/>
                <w:szCs w:val="10"/>
                <w:lang w:val="fr-BE"/>
              </w:rPr>
              <w:t>1 223,00</w:t>
            </w:r>
          </w:p>
        </w:tc>
      </w:tr>
      <w:tr w:rsidR="006B2EC1" w14:paraId="700E000E" w14:textId="77777777" w:rsidTr="0047688D">
        <w:tc>
          <w:tcPr>
            <w:tcW w:w="0" w:type="auto"/>
            <w:shd w:val="clear" w:color="auto" w:fill="auto"/>
          </w:tcPr>
          <w:p w14:paraId="49A8AA91" w14:textId="77777777" w:rsidR="008C5CFA" w:rsidRPr="00BA47B4" w:rsidRDefault="00E82A60" w:rsidP="00300A01">
            <w:pPr>
              <w:spacing w:before="0" w:after="0"/>
              <w:rPr>
                <w:sz w:val="12"/>
                <w:szCs w:val="12"/>
                <w:lang w:val="fr-BE"/>
              </w:rPr>
            </w:pPr>
            <w:r>
              <w:rPr>
                <w:noProof/>
                <w:sz w:val="12"/>
                <w:szCs w:val="12"/>
                <w:lang w:val="fr-BE"/>
              </w:rPr>
              <w:t>CO05</w:t>
            </w:r>
          </w:p>
        </w:tc>
        <w:tc>
          <w:tcPr>
            <w:tcW w:w="0" w:type="auto"/>
            <w:shd w:val="clear" w:color="auto" w:fill="auto"/>
          </w:tcPr>
          <w:p w14:paraId="66A45072" w14:textId="77777777" w:rsidR="008C5CFA" w:rsidRPr="00BA47B4" w:rsidRDefault="00E82A60" w:rsidP="00300A01">
            <w:pPr>
              <w:spacing w:before="0" w:after="0"/>
              <w:rPr>
                <w:sz w:val="12"/>
                <w:szCs w:val="12"/>
                <w:lang w:val="fr-BE"/>
              </w:rPr>
            </w:pPr>
            <w:r>
              <w:rPr>
                <w:noProof/>
                <w:sz w:val="12"/>
                <w:szCs w:val="12"/>
                <w:lang w:val="fr-BE"/>
              </w:rPr>
              <w:t>osoby pracujące, łącznie z prowadzącymi działalność na własny rachunek</w:t>
            </w:r>
          </w:p>
        </w:tc>
        <w:tc>
          <w:tcPr>
            <w:tcW w:w="0" w:type="auto"/>
            <w:shd w:val="clear" w:color="auto" w:fill="auto"/>
          </w:tcPr>
          <w:p w14:paraId="48AF021A" w14:textId="77777777" w:rsidR="008C5CFA" w:rsidRPr="00BA47B4" w:rsidRDefault="00E82A60"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14:paraId="7CF06D5E" w14:textId="77777777" w:rsidR="008C5CFA" w:rsidRPr="00BA47B4" w:rsidRDefault="008C5CFA" w:rsidP="00300A01">
            <w:pPr>
              <w:spacing w:before="0" w:after="0"/>
              <w:jc w:val="right"/>
              <w:rPr>
                <w:sz w:val="12"/>
                <w:szCs w:val="12"/>
                <w:lang w:val="fr-BE"/>
              </w:rPr>
            </w:pPr>
          </w:p>
        </w:tc>
        <w:tc>
          <w:tcPr>
            <w:tcW w:w="0" w:type="auto"/>
            <w:shd w:val="clear" w:color="auto" w:fill="auto"/>
          </w:tcPr>
          <w:p w14:paraId="2EA0ABC1" w14:textId="77777777" w:rsidR="008C5CFA" w:rsidRPr="00BA47B4" w:rsidRDefault="008C5CFA" w:rsidP="00300A01">
            <w:pPr>
              <w:spacing w:before="0" w:after="0"/>
              <w:jc w:val="right"/>
              <w:rPr>
                <w:sz w:val="12"/>
                <w:szCs w:val="12"/>
                <w:lang w:val="fr-BE"/>
              </w:rPr>
            </w:pPr>
          </w:p>
        </w:tc>
        <w:tc>
          <w:tcPr>
            <w:tcW w:w="0" w:type="auto"/>
            <w:shd w:val="clear" w:color="auto" w:fill="auto"/>
          </w:tcPr>
          <w:p w14:paraId="64E9E7A6" w14:textId="77777777" w:rsidR="008C5CFA" w:rsidRPr="00BA47B4" w:rsidRDefault="008C5CFA" w:rsidP="00300A01">
            <w:pPr>
              <w:spacing w:before="0" w:after="0"/>
              <w:jc w:val="right"/>
              <w:rPr>
                <w:sz w:val="12"/>
                <w:szCs w:val="12"/>
                <w:lang w:val="fr-BE"/>
              </w:rPr>
            </w:pPr>
          </w:p>
        </w:tc>
        <w:tc>
          <w:tcPr>
            <w:tcW w:w="0" w:type="auto"/>
            <w:shd w:val="clear" w:color="auto" w:fill="auto"/>
          </w:tcPr>
          <w:p w14:paraId="7C68B1A7" w14:textId="77777777" w:rsidR="008C5CFA" w:rsidRPr="00BA47B4" w:rsidRDefault="00E82A60" w:rsidP="00300A01">
            <w:pPr>
              <w:spacing w:before="0" w:after="0"/>
              <w:jc w:val="right"/>
              <w:rPr>
                <w:sz w:val="12"/>
                <w:szCs w:val="12"/>
                <w:lang w:val="fr-BE"/>
              </w:rPr>
            </w:pPr>
            <w:r w:rsidRPr="00BA47B4">
              <w:rPr>
                <w:noProof/>
                <w:sz w:val="12"/>
                <w:szCs w:val="12"/>
                <w:lang w:val="fr-BE"/>
              </w:rPr>
              <w:t>39 790,00</w:t>
            </w:r>
          </w:p>
        </w:tc>
        <w:tc>
          <w:tcPr>
            <w:tcW w:w="0" w:type="auto"/>
            <w:shd w:val="clear" w:color="auto" w:fill="auto"/>
          </w:tcPr>
          <w:p w14:paraId="57745884" w14:textId="77777777" w:rsidR="008C5CFA" w:rsidRPr="00BA47B4" w:rsidRDefault="00E82A60" w:rsidP="00300A01">
            <w:pPr>
              <w:spacing w:before="0" w:after="0"/>
              <w:jc w:val="right"/>
              <w:rPr>
                <w:sz w:val="12"/>
                <w:szCs w:val="12"/>
                <w:lang w:val="fr-BE"/>
              </w:rPr>
            </w:pPr>
            <w:r w:rsidRPr="00BA47B4">
              <w:rPr>
                <w:noProof/>
                <w:sz w:val="12"/>
                <w:szCs w:val="12"/>
                <w:lang w:val="fr-BE"/>
              </w:rPr>
              <w:t>6 851,00</w:t>
            </w:r>
          </w:p>
        </w:tc>
        <w:tc>
          <w:tcPr>
            <w:tcW w:w="0" w:type="auto"/>
            <w:shd w:val="clear" w:color="auto" w:fill="auto"/>
          </w:tcPr>
          <w:p w14:paraId="25749BBE" w14:textId="77777777" w:rsidR="008C5CFA" w:rsidRPr="00BA47B4" w:rsidRDefault="00E82A60" w:rsidP="00300A01">
            <w:pPr>
              <w:spacing w:before="0" w:after="0"/>
              <w:jc w:val="right"/>
              <w:rPr>
                <w:sz w:val="12"/>
                <w:szCs w:val="12"/>
                <w:lang w:val="fr-BE"/>
              </w:rPr>
            </w:pPr>
            <w:r w:rsidRPr="00BA47B4">
              <w:rPr>
                <w:noProof/>
                <w:sz w:val="12"/>
                <w:szCs w:val="12"/>
                <w:lang w:val="fr-BE"/>
              </w:rPr>
              <w:t>32 939,00</w:t>
            </w:r>
          </w:p>
        </w:tc>
        <w:tc>
          <w:tcPr>
            <w:tcW w:w="0" w:type="auto"/>
            <w:shd w:val="clear" w:color="auto" w:fill="auto"/>
          </w:tcPr>
          <w:p w14:paraId="05878F0F" w14:textId="77777777" w:rsidR="008C5CFA" w:rsidRPr="00BA47B4" w:rsidRDefault="008C5CFA" w:rsidP="00300A01">
            <w:pPr>
              <w:spacing w:before="0" w:after="0"/>
              <w:jc w:val="right"/>
              <w:rPr>
                <w:sz w:val="12"/>
                <w:szCs w:val="12"/>
                <w:lang w:val="fr-BE"/>
              </w:rPr>
            </w:pPr>
          </w:p>
        </w:tc>
        <w:tc>
          <w:tcPr>
            <w:tcW w:w="0" w:type="auto"/>
            <w:shd w:val="clear" w:color="auto" w:fill="auto"/>
          </w:tcPr>
          <w:p w14:paraId="3C87ED6B" w14:textId="77777777" w:rsidR="008C5CFA" w:rsidRPr="00BA47B4" w:rsidRDefault="008C5CFA" w:rsidP="00300A01">
            <w:pPr>
              <w:spacing w:before="0" w:after="0"/>
              <w:jc w:val="right"/>
              <w:rPr>
                <w:sz w:val="12"/>
                <w:szCs w:val="12"/>
                <w:lang w:val="fr-BE"/>
              </w:rPr>
            </w:pPr>
          </w:p>
        </w:tc>
        <w:tc>
          <w:tcPr>
            <w:tcW w:w="0" w:type="auto"/>
            <w:shd w:val="clear" w:color="auto" w:fill="auto"/>
          </w:tcPr>
          <w:p w14:paraId="45ABF9D6" w14:textId="77777777" w:rsidR="008C5CFA" w:rsidRPr="00BA47B4" w:rsidRDefault="008C5CFA" w:rsidP="00300A01">
            <w:pPr>
              <w:spacing w:before="0" w:after="0"/>
              <w:jc w:val="right"/>
              <w:rPr>
                <w:sz w:val="12"/>
                <w:szCs w:val="12"/>
                <w:lang w:val="fr-BE"/>
              </w:rPr>
            </w:pPr>
          </w:p>
        </w:tc>
        <w:tc>
          <w:tcPr>
            <w:tcW w:w="0" w:type="auto"/>
          </w:tcPr>
          <w:p w14:paraId="719C6A05" w14:textId="77777777" w:rsidR="008C5CFA" w:rsidRPr="00A92B39" w:rsidRDefault="00E82A60" w:rsidP="00300A01">
            <w:pPr>
              <w:spacing w:before="0" w:after="0"/>
              <w:jc w:val="right"/>
              <w:rPr>
                <w:sz w:val="10"/>
                <w:szCs w:val="10"/>
                <w:lang w:val="fr-BE"/>
              </w:rPr>
            </w:pPr>
            <w:r w:rsidRPr="00A92B39">
              <w:rPr>
                <w:noProof/>
                <w:sz w:val="10"/>
                <w:szCs w:val="10"/>
                <w:lang w:val="fr-BE"/>
              </w:rPr>
              <w:t>14 806,00</w:t>
            </w:r>
          </w:p>
        </w:tc>
        <w:tc>
          <w:tcPr>
            <w:tcW w:w="0" w:type="auto"/>
            <w:shd w:val="clear" w:color="auto" w:fill="auto"/>
          </w:tcPr>
          <w:p w14:paraId="189C3582" w14:textId="77777777" w:rsidR="008C5CFA" w:rsidRPr="00A92B39" w:rsidRDefault="00E82A60" w:rsidP="00300A01">
            <w:pPr>
              <w:spacing w:before="0" w:after="0"/>
              <w:jc w:val="right"/>
              <w:rPr>
                <w:sz w:val="10"/>
                <w:szCs w:val="10"/>
                <w:lang w:val="fr-BE"/>
              </w:rPr>
            </w:pPr>
            <w:r w:rsidRPr="00A92B39">
              <w:rPr>
                <w:noProof/>
                <w:sz w:val="10"/>
                <w:szCs w:val="10"/>
                <w:lang w:val="fr-BE"/>
              </w:rPr>
              <w:t>3 798,00</w:t>
            </w:r>
          </w:p>
        </w:tc>
        <w:tc>
          <w:tcPr>
            <w:tcW w:w="0" w:type="auto"/>
            <w:shd w:val="clear" w:color="auto" w:fill="auto"/>
          </w:tcPr>
          <w:p w14:paraId="3BBD8116" w14:textId="77777777" w:rsidR="008C5CFA" w:rsidRPr="00BA47B4" w:rsidRDefault="00E82A60" w:rsidP="00300A01">
            <w:pPr>
              <w:spacing w:before="0" w:after="0"/>
              <w:jc w:val="right"/>
              <w:rPr>
                <w:sz w:val="12"/>
                <w:szCs w:val="12"/>
                <w:lang w:val="fr-BE"/>
              </w:rPr>
            </w:pPr>
            <w:r w:rsidRPr="00A92B39">
              <w:rPr>
                <w:noProof/>
                <w:sz w:val="10"/>
                <w:szCs w:val="10"/>
                <w:lang w:val="fr-BE"/>
              </w:rPr>
              <w:t>11 008,00</w:t>
            </w:r>
          </w:p>
        </w:tc>
      </w:tr>
      <w:tr w:rsidR="006B2EC1" w14:paraId="5D246246" w14:textId="77777777" w:rsidTr="0047688D">
        <w:tc>
          <w:tcPr>
            <w:tcW w:w="0" w:type="auto"/>
            <w:shd w:val="clear" w:color="auto" w:fill="auto"/>
          </w:tcPr>
          <w:p w14:paraId="64251BD5" w14:textId="77777777" w:rsidR="008C5CFA" w:rsidRPr="00BA47B4" w:rsidRDefault="00E82A60" w:rsidP="00300A01">
            <w:pPr>
              <w:spacing w:before="0" w:after="0"/>
              <w:rPr>
                <w:sz w:val="12"/>
                <w:szCs w:val="12"/>
                <w:lang w:val="fr-BE"/>
              </w:rPr>
            </w:pPr>
            <w:r>
              <w:rPr>
                <w:noProof/>
                <w:sz w:val="12"/>
                <w:szCs w:val="12"/>
                <w:lang w:val="fr-BE"/>
              </w:rPr>
              <w:t>CO06</w:t>
            </w:r>
          </w:p>
        </w:tc>
        <w:tc>
          <w:tcPr>
            <w:tcW w:w="0" w:type="auto"/>
            <w:shd w:val="clear" w:color="auto" w:fill="auto"/>
          </w:tcPr>
          <w:p w14:paraId="7EA9B93B" w14:textId="77777777" w:rsidR="008C5CFA" w:rsidRPr="00BA47B4" w:rsidRDefault="00E82A60" w:rsidP="00300A01">
            <w:pPr>
              <w:spacing w:before="0" w:after="0"/>
              <w:rPr>
                <w:sz w:val="12"/>
                <w:szCs w:val="12"/>
                <w:lang w:val="fr-BE"/>
              </w:rPr>
            </w:pPr>
            <w:r>
              <w:rPr>
                <w:noProof/>
                <w:sz w:val="12"/>
                <w:szCs w:val="12"/>
                <w:lang w:val="fr-BE"/>
              </w:rPr>
              <w:t>osoby w wieku poniżej 25 lat</w:t>
            </w:r>
          </w:p>
        </w:tc>
        <w:tc>
          <w:tcPr>
            <w:tcW w:w="0" w:type="auto"/>
            <w:shd w:val="clear" w:color="auto" w:fill="auto"/>
          </w:tcPr>
          <w:p w14:paraId="5033FA21" w14:textId="77777777" w:rsidR="008C5CFA" w:rsidRPr="00BA47B4" w:rsidRDefault="00E82A60"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14:paraId="750F9AD4" w14:textId="77777777" w:rsidR="008C5CFA" w:rsidRPr="00BA47B4" w:rsidRDefault="008C5CFA" w:rsidP="00300A01">
            <w:pPr>
              <w:spacing w:before="0" w:after="0"/>
              <w:jc w:val="right"/>
              <w:rPr>
                <w:sz w:val="12"/>
                <w:szCs w:val="12"/>
                <w:lang w:val="fr-BE"/>
              </w:rPr>
            </w:pPr>
          </w:p>
        </w:tc>
        <w:tc>
          <w:tcPr>
            <w:tcW w:w="0" w:type="auto"/>
            <w:shd w:val="clear" w:color="auto" w:fill="auto"/>
          </w:tcPr>
          <w:p w14:paraId="72B3A4DC" w14:textId="77777777" w:rsidR="008C5CFA" w:rsidRPr="00BA47B4" w:rsidRDefault="008C5CFA" w:rsidP="00300A01">
            <w:pPr>
              <w:spacing w:before="0" w:after="0"/>
              <w:jc w:val="right"/>
              <w:rPr>
                <w:sz w:val="12"/>
                <w:szCs w:val="12"/>
                <w:lang w:val="fr-BE"/>
              </w:rPr>
            </w:pPr>
          </w:p>
        </w:tc>
        <w:tc>
          <w:tcPr>
            <w:tcW w:w="0" w:type="auto"/>
            <w:shd w:val="clear" w:color="auto" w:fill="auto"/>
          </w:tcPr>
          <w:p w14:paraId="70C870D9" w14:textId="77777777" w:rsidR="008C5CFA" w:rsidRPr="00BA47B4" w:rsidRDefault="008C5CFA" w:rsidP="00300A01">
            <w:pPr>
              <w:spacing w:before="0" w:after="0"/>
              <w:jc w:val="right"/>
              <w:rPr>
                <w:sz w:val="12"/>
                <w:szCs w:val="12"/>
                <w:lang w:val="fr-BE"/>
              </w:rPr>
            </w:pPr>
          </w:p>
        </w:tc>
        <w:tc>
          <w:tcPr>
            <w:tcW w:w="0" w:type="auto"/>
            <w:shd w:val="clear" w:color="auto" w:fill="auto"/>
          </w:tcPr>
          <w:p w14:paraId="549E2872" w14:textId="77777777" w:rsidR="008C5CFA" w:rsidRPr="00BA47B4" w:rsidRDefault="00E82A60" w:rsidP="00300A01">
            <w:pPr>
              <w:spacing w:before="0" w:after="0"/>
              <w:jc w:val="right"/>
              <w:rPr>
                <w:sz w:val="12"/>
                <w:szCs w:val="12"/>
                <w:lang w:val="fr-BE"/>
              </w:rPr>
            </w:pPr>
            <w:r w:rsidRPr="00BA47B4">
              <w:rPr>
                <w:noProof/>
                <w:sz w:val="12"/>
                <w:szCs w:val="12"/>
                <w:lang w:val="fr-BE"/>
              </w:rPr>
              <w:t>1 748,00</w:t>
            </w:r>
          </w:p>
        </w:tc>
        <w:tc>
          <w:tcPr>
            <w:tcW w:w="0" w:type="auto"/>
            <w:shd w:val="clear" w:color="auto" w:fill="auto"/>
          </w:tcPr>
          <w:p w14:paraId="528281BE" w14:textId="77777777" w:rsidR="008C5CFA" w:rsidRPr="00BA47B4" w:rsidRDefault="00E82A60" w:rsidP="00300A01">
            <w:pPr>
              <w:spacing w:before="0" w:after="0"/>
              <w:jc w:val="right"/>
              <w:rPr>
                <w:sz w:val="12"/>
                <w:szCs w:val="12"/>
                <w:lang w:val="fr-BE"/>
              </w:rPr>
            </w:pPr>
            <w:r w:rsidRPr="00BA47B4">
              <w:rPr>
                <w:noProof/>
                <w:sz w:val="12"/>
                <w:szCs w:val="12"/>
                <w:lang w:val="fr-BE"/>
              </w:rPr>
              <w:t>706,00</w:t>
            </w:r>
          </w:p>
        </w:tc>
        <w:tc>
          <w:tcPr>
            <w:tcW w:w="0" w:type="auto"/>
            <w:shd w:val="clear" w:color="auto" w:fill="auto"/>
          </w:tcPr>
          <w:p w14:paraId="73B8382D" w14:textId="77777777" w:rsidR="008C5CFA" w:rsidRPr="00BA47B4" w:rsidRDefault="00E82A60" w:rsidP="00300A01">
            <w:pPr>
              <w:spacing w:before="0" w:after="0"/>
              <w:jc w:val="right"/>
              <w:rPr>
                <w:sz w:val="12"/>
                <w:szCs w:val="12"/>
                <w:lang w:val="fr-BE"/>
              </w:rPr>
            </w:pPr>
            <w:r w:rsidRPr="00BA47B4">
              <w:rPr>
                <w:noProof/>
                <w:sz w:val="12"/>
                <w:szCs w:val="12"/>
                <w:lang w:val="fr-BE"/>
              </w:rPr>
              <w:t>1 042,00</w:t>
            </w:r>
          </w:p>
        </w:tc>
        <w:tc>
          <w:tcPr>
            <w:tcW w:w="0" w:type="auto"/>
            <w:shd w:val="clear" w:color="auto" w:fill="auto"/>
          </w:tcPr>
          <w:p w14:paraId="7D501499" w14:textId="77777777" w:rsidR="008C5CFA" w:rsidRPr="00BA47B4" w:rsidRDefault="008C5CFA" w:rsidP="00300A01">
            <w:pPr>
              <w:spacing w:before="0" w:after="0"/>
              <w:jc w:val="right"/>
              <w:rPr>
                <w:sz w:val="12"/>
                <w:szCs w:val="12"/>
                <w:lang w:val="fr-BE"/>
              </w:rPr>
            </w:pPr>
          </w:p>
        </w:tc>
        <w:tc>
          <w:tcPr>
            <w:tcW w:w="0" w:type="auto"/>
            <w:shd w:val="clear" w:color="auto" w:fill="auto"/>
          </w:tcPr>
          <w:p w14:paraId="04333456" w14:textId="77777777" w:rsidR="008C5CFA" w:rsidRPr="00BA47B4" w:rsidRDefault="008C5CFA" w:rsidP="00300A01">
            <w:pPr>
              <w:spacing w:before="0" w:after="0"/>
              <w:jc w:val="right"/>
              <w:rPr>
                <w:sz w:val="12"/>
                <w:szCs w:val="12"/>
                <w:lang w:val="fr-BE"/>
              </w:rPr>
            </w:pPr>
          </w:p>
        </w:tc>
        <w:tc>
          <w:tcPr>
            <w:tcW w:w="0" w:type="auto"/>
            <w:shd w:val="clear" w:color="auto" w:fill="auto"/>
          </w:tcPr>
          <w:p w14:paraId="3B6B795F" w14:textId="77777777" w:rsidR="008C5CFA" w:rsidRPr="00BA47B4" w:rsidRDefault="008C5CFA" w:rsidP="00300A01">
            <w:pPr>
              <w:spacing w:before="0" w:after="0"/>
              <w:jc w:val="right"/>
              <w:rPr>
                <w:sz w:val="12"/>
                <w:szCs w:val="12"/>
                <w:lang w:val="fr-BE"/>
              </w:rPr>
            </w:pPr>
          </w:p>
        </w:tc>
        <w:tc>
          <w:tcPr>
            <w:tcW w:w="0" w:type="auto"/>
          </w:tcPr>
          <w:p w14:paraId="251BF8D8" w14:textId="77777777" w:rsidR="008C5CFA" w:rsidRPr="00A92B39" w:rsidRDefault="00E82A60" w:rsidP="00300A01">
            <w:pPr>
              <w:spacing w:before="0" w:after="0"/>
              <w:jc w:val="right"/>
              <w:rPr>
                <w:sz w:val="10"/>
                <w:szCs w:val="10"/>
                <w:lang w:val="fr-BE"/>
              </w:rPr>
            </w:pPr>
            <w:r w:rsidRPr="00A92B39">
              <w:rPr>
                <w:noProof/>
                <w:sz w:val="10"/>
                <w:szCs w:val="10"/>
                <w:lang w:val="fr-BE"/>
              </w:rPr>
              <w:t>784,00</w:t>
            </w:r>
          </w:p>
        </w:tc>
        <w:tc>
          <w:tcPr>
            <w:tcW w:w="0" w:type="auto"/>
            <w:shd w:val="clear" w:color="auto" w:fill="auto"/>
          </w:tcPr>
          <w:p w14:paraId="3D264D50" w14:textId="77777777" w:rsidR="008C5CFA" w:rsidRPr="00A92B39" w:rsidRDefault="00E82A60" w:rsidP="00300A01">
            <w:pPr>
              <w:spacing w:before="0" w:after="0"/>
              <w:jc w:val="right"/>
              <w:rPr>
                <w:sz w:val="10"/>
                <w:szCs w:val="10"/>
                <w:lang w:val="fr-BE"/>
              </w:rPr>
            </w:pPr>
            <w:r w:rsidRPr="00A92B39">
              <w:rPr>
                <w:noProof/>
                <w:sz w:val="10"/>
                <w:szCs w:val="10"/>
                <w:lang w:val="fr-BE"/>
              </w:rPr>
              <w:t>355,00</w:t>
            </w:r>
          </w:p>
        </w:tc>
        <w:tc>
          <w:tcPr>
            <w:tcW w:w="0" w:type="auto"/>
            <w:shd w:val="clear" w:color="auto" w:fill="auto"/>
          </w:tcPr>
          <w:p w14:paraId="0170BD8C" w14:textId="77777777" w:rsidR="008C5CFA" w:rsidRPr="00BA47B4" w:rsidRDefault="00E82A60" w:rsidP="00300A01">
            <w:pPr>
              <w:spacing w:before="0" w:after="0"/>
              <w:jc w:val="right"/>
              <w:rPr>
                <w:sz w:val="12"/>
                <w:szCs w:val="12"/>
                <w:lang w:val="fr-BE"/>
              </w:rPr>
            </w:pPr>
            <w:r w:rsidRPr="00A92B39">
              <w:rPr>
                <w:noProof/>
                <w:sz w:val="10"/>
                <w:szCs w:val="10"/>
                <w:lang w:val="fr-BE"/>
              </w:rPr>
              <w:t>429,00</w:t>
            </w:r>
          </w:p>
        </w:tc>
      </w:tr>
      <w:tr w:rsidR="006B2EC1" w14:paraId="1F88139B" w14:textId="77777777" w:rsidTr="0047688D">
        <w:tc>
          <w:tcPr>
            <w:tcW w:w="0" w:type="auto"/>
            <w:shd w:val="clear" w:color="auto" w:fill="auto"/>
          </w:tcPr>
          <w:p w14:paraId="57DAFD08" w14:textId="77777777" w:rsidR="008C5CFA" w:rsidRPr="00BA47B4" w:rsidRDefault="00E82A60" w:rsidP="00300A01">
            <w:pPr>
              <w:spacing w:before="0" w:after="0"/>
              <w:rPr>
                <w:sz w:val="12"/>
                <w:szCs w:val="12"/>
                <w:lang w:val="fr-BE"/>
              </w:rPr>
            </w:pPr>
            <w:r>
              <w:rPr>
                <w:noProof/>
                <w:sz w:val="12"/>
                <w:szCs w:val="12"/>
                <w:lang w:val="fr-BE"/>
              </w:rPr>
              <w:t>CO07</w:t>
            </w:r>
          </w:p>
        </w:tc>
        <w:tc>
          <w:tcPr>
            <w:tcW w:w="0" w:type="auto"/>
            <w:shd w:val="clear" w:color="auto" w:fill="auto"/>
          </w:tcPr>
          <w:p w14:paraId="072A0CE7" w14:textId="77777777" w:rsidR="008C5CFA" w:rsidRPr="00BA47B4" w:rsidRDefault="00E82A60" w:rsidP="00300A01">
            <w:pPr>
              <w:spacing w:before="0" w:after="0"/>
              <w:rPr>
                <w:sz w:val="12"/>
                <w:szCs w:val="12"/>
                <w:lang w:val="fr-BE"/>
              </w:rPr>
            </w:pPr>
            <w:r>
              <w:rPr>
                <w:noProof/>
                <w:sz w:val="12"/>
                <w:szCs w:val="12"/>
                <w:lang w:val="fr-BE"/>
              </w:rPr>
              <w:t>osoby w wieku powyżej 54 lat</w:t>
            </w:r>
          </w:p>
        </w:tc>
        <w:tc>
          <w:tcPr>
            <w:tcW w:w="0" w:type="auto"/>
            <w:shd w:val="clear" w:color="auto" w:fill="auto"/>
          </w:tcPr>
          <w:p w14:paraId="733DAA18" w14:textId="77777777" w:rsidR="008C5CFA" w:rsidRPr="00BA47B4" w:rsidRDefault="00E82A60"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14:paraId="1FB3530E" w14:textId="77777777" w:rsidR="008C5CFA" w:rsidRPr="00BA47B4" w:rsidRDefault="008C5CFA" w:rsidP="00300A01">
            <w:pPr>
              <w:spacing w:before="0" w:after="0"/>
              <w:jc w:val="right"/>
              <w:rPr>
                <w:sz w:val="12"/>
                <w:szCs w:val="12"/>
                <w:lang w:val="fr-BE"/>
              </w:rPr>
            </w:pPr>
          </w:p>
        </w:tc>
        <w:tc>
          <w:tcPr>
            <w:tcW w:w="0" w:type="auto"/>
            <w:shd w:val="clear" w:color="auto" w:fill="auto"/>
          </w:tcPr>
          <w:p w14:paraId="3D860F23" w14:textId="77777777" w:rsidR="008C5CFA" w:rsidRPr="00BA47B4" w:rsidRDefault="008C5CFA" w:rsidP="00300A01">
            <w:pPr>
              <w:spacing w:before="0" w:after="0"/>
              <w:jc w:val="right"/>
              <w:rPr>
                <w:sz w:val="12"/>
                <w:szCs w:val="12"/>
                <w:lang w:val="fr-BE"/>
              </w:rPr>
            </w:pPr>
          </w:p>
        </w:tc>
        <w:tc>
          <w:tcPr>
            <w:tcW w:w="0" w:type="auto"/>
            <w:shd w:val="clear" w:color="auto" w:fill="auto"/>
          </w:tcPr>
          <w:p w14:paraId="5AFF7D64" w14:textId="77777777" w:rsidR="008C5CFA" w:rsidRPr="00BA47B4" w:rsidRDefault="008C5CFA" w:rsidP="00300A01">
            <w:pPr>
              <w:spacing w:before="0" w:after="0"/>
              <w:jc w:val="right"/>
              <w:rPr>
                <w:sz w:val="12"/>
                <w:szCs w:val="12"/>
                <w:lang w:val="fr-BE"/>
              </w:rPr>
            </w:pPr>
          </w:p>
        </w:tc>
        <w:tc>
          <w:tcPr>
            <w:tcW w:w="0" w:type="auto"/>
            <w:shd w:val="clear" w:color="auto" w:fill="auto"/>
          </w:tcPr>
          <w:p w14:paraId="167A50B4" w14:textId="77777777" w:rsidR="008C5CFA" w:rsidRPr="00BA47B4" w:rsidRDefault="00E82A60" w:rsidP="00300A01">
            <w:pPr>
              <w:spacing w:before="0" w:after="0"/>
              <w:jc w:val="right"/>
              <w:rPr>
                <w:sz w:val="12"/>
                <w:szCs w:val="12"/>
                <w:lang w:val="fr-BE"/>
              </w:rPr>
            </w:pPr>
            <w:r w:rsidRPr="00BA47B4">
              <w:rPr>
                <w:noProof/>
                <w:sz w:val="12"/>
                <w:szCs w:val="12"/>
                <w:lang w:val="fr-BE"/>
              </w:rPr>
              <w:t>21 559,00</w:t>
            </w:r>
          </w:p>
        </w:tc>
        <w:tc>
          <w:tcPr>
            <w:tcW w:w="0" w:type="auto"/>
            <w:shd w:val="clear" w:color="auto" w:fill="auto"/>
          </w:tcPr>
          <w:p w14:paraId="6D76C807" w14:textId="77777777" w:rsidR="008C5CFA" w:rsidRPr="00BA47B4" w:rsidRDefault="00E82A60" w:rsidP="00300A01">
            <w:pPr>
              <w:spacing w:before="0" w:after="0"/>
              <w:jc w:val="right"/>
              <w:rPr>
                <w:sz w:val="12"/>
                <w:szCs w:val="12"/>
                <w:lang w:val="fr-BE"/>
              </w:rPr>
            </w:pPr>
            <w:r w:rsidRPr="00BA47B4">
              <w:rPr>
                <w:noProof/>
                <w:sz w:val="12"/>
                <w:szCs w:val="12"/>
                <w:lang w:val="fr-BE"/>
              </w:rPr>
              <w:t>2 205,00</w:t>
            </w:r>
          </w:p>
        </w:tc>
        <w:tc>
          <w:tcPr>
            <w:tcW w:w="0" w:type="auto"/>
            <w:shd w:val="clear" w:color="auto" w:fill="auto"/>
          </w:tcPr>
          <w:p w14:paraId="00E4AF0E" w14:textId="77777777" w:rsidR="008C5CFA" w:rsidRPr="00BA47B4" w:rsidRDefault="00E82A60" w:rsidP="00300A01">
            <w:pPr>
              <w:spacing w:before="0" w:after="0"/>
              <w:jc w:val="right"/>
              <w:rPr>
                <w:sz w:val="12"/>
                <w:szCs w:val="12"/>
                <w:lang w:val="fr-BE"/>
              </w:rPr>
            </w:pPr>
            <w:r w:rsidRPr="00BA47B4">
              <w:rPr>
                <w:noProof/>
                <w:sz w:val="12"/>
                <w:szCs w:val="12"/>
                <w:lang w:val="fr-BE"/>
              </w:rPr>
              <w:t>19 354,00</w:t>
            </w:r>
          </w:p>
        </w:tc>
        <w:tc>
          <w:tcPr>
            <w:tcW w:w="0" w:type="auto"/>
            <w:shd w:val="clear" w:color="auto" w:fill="auto"/>
          </w:tcPr>
          <w:p w14:paraId="601C5EF6" w14:textId="77777777" w:rsidR="008C5CFA" w:rsidRPr="00BA47B4" w:rsidRDefault="008C5CFA" w:rsidP="00300A01">
            <w:pPr>
              <w:spacing w:before="0" w:after="0"/>
              <w:jc w:val="right"/>
              <w:rPr>
                <w:sz w:val="12"/>
                <w:szCs w:val="12"/>
                <w:lang w:val="fr-BE"/>
              </w:rPr>
            </w:pPr>
          </w:p>
        </w:tc>
        <w:tc>
          <w:tcPr>
            <w:tcW w:w="0" w:type="auto"/>
            <w:shd w:val="clear" w:color="auto" w:fill="auto"/>
          </w:tcPr>
          <w:p w14:paraId="3B73EA05" w14:textId="77777777" w:rsidR="008C5CFA" w:rsidRPr="00BA47B4" w:rsidRDefault="008C5CFA" w:rsidP="00300A01">
            <w:pPr>
              <w:spacing w:before="0" w:after="0"/>
              <w:jc w:val="right"/>
              <w:rPr>
                <w:sz w:val="12"/>
                <w:szCs w:val="12"/>
                <w:lang w:val="fr-BE"/>
              </w:rPr>
            </w:pPr>
          </w:p>
        </w:tc>
        <w:tc>
          <w:tcPr>
            <w:tcW w:w="0" w:type="auto"/>
            <w:shd w:val="clear" w:color="auto" w:fill="auto"/>
          </w:tcPr>
          <w:p w14:paraId="68E5A146" w14:textId="77777777" w:rsidR="008C5CFA" w:rsidRPr="00BA47B4" w:rsidRDefault="008C5CFA" w:rsidP="00300A01">
            <w:pPr>
              <w:spacing w:before="0" w:after="0"/>
              <w:jc w:val="right"/>
              <w:rPr>
                <w:sz w:val="12"/>
                <w:szCs w:val="12"/>
                <w:lang w:val="fr-BE"/>
              </w:rPr>
            </w:pPr>
          </w:p>
        </w:tc>
        <w:tc>
          <w:tcPr>
            <w:tcW w:w="0" w:type="auto"/>
          </w:tcPr>
          <w:p w14:paraId="4C68E401" w14:textId="77777777" w:rsidR="008C5CFA" w:rsidRPr="00A92B39" w:rsidRDefault="00E82A60" w:rsidP="00300A01">
            <w:pPr>
              <w:spacing w:before="0" w:after="0"/>
              <w:jc w:val="right"/>
              <w:rPr>
                <w:sz w:val="10"/>
                <w:szCs w:val="10"/>
                <w:lang w:val="fr-BE"/>
              </w:rPr>
            </w:pPr>
            <w:r w:rsidRPr="00A92B39">
              <w:rPr>
                <w:noProof/>
                <w:sz w:val="10"/>
                <w:szCs w:val="10"/>
                <w:lang w:val="fr-BE"/>
              </w:rPr>
              <w:t>6 403,00</w:t>
            </w:r>
          </w:p>
        </w:tc>
        <w:tc>
          <w:tcPr>
            <w:tcW w:w="0" w:type="auto"/>
            <w:shd w:val="clear" w:color="auto" w:fill="auto"/>
          </w:tcPr>
          <w:p w14:paraId="6EFFD194" w14:textId="77777777" w:rsidR="008C5CFA" w:rsidRPr="00A92B39" w:rsidRDefault="00E82A60" w:rsidP="00300A01">
            <w:pPr>
              <w:spacing w:before="0" w:after="0"/>
              <w:jc w:val="right"/>
              <w:rPr>
                <w:sz w:val="10"/>
                <w:szCs w:val="10"/>
                <w:lang w:val="fr-BE"/>
              </w:rPr>
            </w:pPr>
            <w:r w:rsidRPr="00A92B39">
              <w:rPr>
                <w:noProof/>
                <w:sz w:val="10"/>
                <w:szCs w:val="10"/>
                <w:lang w:val="fr-BE"/>
              </w:rPr>
              <w:t>1 181,00</w:t>
            </w:r>
          </w:p>
        </w:tc>
        <w:tc>
          <w:tcPr>
            <w:tcW w:w="0" w:type="auto"/>
            <w:shd w:val="clear" w:color="auto" w:fill="auto"/>
          </w:tcPr>
          <w:p w14:paraId="67180516" w14:textId="77777777" w:rsidR="008C5CFA" w:rsidRPr="00BA47B4" w:rsidRDefault="00E82A60" w:rsidP="00300A01">
            <w:pPr>
              <w:spacing w:before="0" w:after="0"/>
              <w:jc w:val="right"/>
              <w:rPr>
                <w:sz w:val="12"/>
                <w:szCs w:val="12"/>
                <w:lang w:val="fr-BE"/>
              </w:rPr>
            </w:pPr>
            <w:r w:rsidRPr="00A92B39">
              <w:rPr>
                <w:noProof/>
                <w:sz w:val="10"/>
                <w:szCs w:val="10"/>
                <w:lang w:val="fr-BE"/>
              </w:rPr>
              <w:t>5 222,00</w:t>
            </w:r>
          </w:p>
        </w:tc>
      </w:tr>
      <w:tr w:rsidR="006B2EC1" w14:paraId="46284FFD" w14:textId="77777777" w:rsidTr="0047688D">
        <w:tc>
          <w:tcPr>
            <w:tcW w:w="0" w:type="auto"/>
            <w:shd w:val="clear" w:color="auto" w:fill="auto"/>
          </w:tcPr>
          <w:p w14:paraId="4264E964" w14:textId="77777777" w:rsidR="008C5CFA" w:rsidRPr="00BA47B4" w:rsidRDefault="00E82A60" w:rsidP="00300A01">
            <w:pPr>
              <w:spacing w:before="0" w:after="0"/>
              <w:rPr>
                <w:sz w:val="12"/>
                <w:szCs w:val="12"/>
                <w:lang w:val="fr-BE"/>
              </w:rPr>
            </w:pPr>
            <w:r>
              <w:rPr>
                <w:noProof/>
                <w:sz w:val="12"/>
                <w:szCs w:val="12"/>
                <w:lang w:val="fr-BE"/>
              </w:rPr>
              <w:t>CO08</w:t>
            </w:r>
          </w:p>
        </w:tc>
        <w:tc>
          <w:tcPr>
            <w:tcW w:w="0" w:type="auto"/>
            <w:shd w:val="clear" w:color="auto" w:fill="auto"/>
          </w:tcPr>
          <w:p w14:paraId="345A7121" w14:textId="77777777" w:rsidR="008C5CFA" w:rsidRPr="00BA47B4" w:rsidRDefault="00E82A60" w:rsidP="00300A01">
            <w:pPr>
              <w:spacing w:before="0" w:after="0"/>
              <w:rPr>
                <w:sz w:val="12"/>
                <w:szCs w:val="12"/>
                <w:lang w:val="fr-BE"/>
              </w:rPr>
            </w:pPr>
            <w:r>
              <w:rPr>
                <w:noProof/>
                <w:sz w:val="12"/>
                <w:szCs w:val="12"/>
                <w:lang w:val="fr-BE"/>
              </w:rPr>
              <w:t>osoby powyżej 54 lat, które są bezrobotne, łącznie z długotrwale bezrobotnymi, lub są bierne zawodowo i nie uczestniczą w kształceniu ani szkoleniu</w:t>
            </w:r>
          </w:p>
        </w:tc>
        <w:tc>
          <w:tcPr>
            <w:tcW w:w="0" w:type="auto"/>
            <w:shd w:val="clear" w:color="auto" w:fill="auto"/>
          </w:tcPr>
          <w:p w14:paraId="0CB2C3A0" w14:textId="77777777" w:rsidR="008C5CFA" w:rsidRPr="00BA47B4" w:rsidRDefault="00E82A60"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14:paraId="41079349" w14:textId="77777777" w:rsidR="008C5CFA" w:rsidRPr="00BA47B4" w:rsidRDefault="008C5CFA" w:rsidP="00300A01">
            <w:pPr>
              <w:spacing w:before="0" w:after="0"/>
              <w:jc w:val="right"/>
              <w:rPr>
                <w:sz w:val="12"/>
                <w:szCs w:val="12"/>
                <w:lang w:val="fr-BE"/>
              </w:rPr>
            </w:pPr>
          </w:p>
        </w:tc>
        <w:tc>
          <w:tcPr>
            <w:tcW w:w="0" w:type="auto"/>
            <w:shd w:val="clear" w:color="auto" w:fill="auto"/>
          </w:tcPr>
          <w:p w14:paraId="5AAA4045" w14:textId="77777777" w:rsidR="008C5CFA" w:rsidRPr="00BA47B4" w:rsidRDefault="008C5CFA" w:rsidP="00300A01">
            <w:pPr>
              <w:spacing w:before="0" w:after="0"/>
              <w:jc w:val="right"/>
              <w:rPr>
                <w:sz w:val="12"/>
                <w:szCs w:val="12"/>
                <w:lang w:val="fr-BE"/>
              </w:rPr>
            </w:pPr>
          </w:p>
        </w:tc>
        <w:tc>
          <w:tcPr>
            <w:tcW w:w="0" w:type="auto"/>
            <w:shd w:val="clear" w:color="auto" w:fill="auto"/>
          </w:tcPr>
          <w:p w14:paraId="50706E5B" w14:textId="77777777" w:rsidR="008C5CFA" w:rsidRPr="00BA47B4" w:rsidRDefault="008C5CFA" w:rsidP="00300A01">
            <w:pPr>
              <w:spacing w:before="0" w:after="0"/>
              <w:jc w:val="right"/>
              <w:rPr>
                <w:sz w:val="12"/>
                <w:szCs w:val="12"/>
                <w:lang w:val="fr-BE"/>
              </w:rPr>
            </w:pPr>
          </w:p>
        </w:tc>
        <w:tc>
          <w:tcPr>
            <w:tcW w:w="0" w:type="auto"/>
            <w:shd w:val="clear" w:color="auto" w:fill="auto"/>
          </w:tcPr>
          <w:p w14:paraId="04468A5B" w14:textId="77777777" w:rsidR="008C5CFA" w:rsidRPr="00BA47B4" w:rsidRDefault="00E82A60" w:rsidP="00300A01">
            <w:pPr>
              <w:spacing w:before="0" w:after="0"/>
              <w:jc w:val="right"/>
              <w:rPr>
                <w:sz w:val="12"/>
                <w:szCs w:val="12"/>
                <w:lang w:val="fr-BE"/>
              </w:rPr>
            </w:pPr>
            <w:r w:rsidRPr="00BA47B4">
              <w:rPr>
                <w:noProof/>
                <w:sz w:val="12"/>
                <w:szCs w:val="12"/>
                <w:lang w:val="fr-BE"/>
              </w:rPr>
              <w:t>9 753,00</w:t>
            </w:r>
          </w:p>
        </w:tc>
        <w:tc>
          <w:tcPr>
            <w:tcW w:w="0" w:type="auto"/>
            <w:shd w:val="clear" w:color="auto" w:fill="auto"/>
          </w:tcPr>
          <w:p w14:paraId="21366AC0" w14:textId="77777777" w:rsidR="008C5CFA" w:rsidRPr="00BA47B4" w:rsidRDefault="00E82A60" w:rsidP="00300A01">
            <w:pPr>
              <w:spacing w:before="0" w:after="0"/>
              <w:jc w:val="right"/>
              <w:rPr>
                <w:sz w:val="12"/>
                <w:szCs w:val="12"/>
                <w:lang w:val="fr-BE"/>
              </w:rPr>
            </w:pPr>
            <w:r w:rsidRPr="00BA47B4">
              <w:rPr>
                <w:noProof/>
                <w:sz w:val="12"/>
                <w:szCs w:val="12"/>
                <w:lang w:val="fr-BE"/>
              </w:rPr>
              <w:t>389,00</w:t>
            </w:r>
          </w:p>
        </w:tc>
        <w:tc>
          <w:tcPr>
            <w:tcW w:w="0" w:type="auto"/>
            <w:shd w:val="clear" w:color="auto" w:fill="auto"/>
          </w:tcPr>
          <w:p w14:paraId="3FAA093D" w14:textId="77777777" w:rsidR="008C5CFA" w:rsidRPr="00BA47B4" w:rsidRDefault="00E82A60" w:rsidP="00300A01">
            <w:pPr>
              <w:spacing w:before="0" w:after="0"/>
              <w:jc w:val="right"/>
              <w:rPr>
                <w:sz w:val="12"/>
                <w:szCs w:val="12"/>
                <w:lang w:val="fr-BE"/>
              </w:rPr>
            </w:pPr>
            <w:r w:rsidRPr="00BA47B4">
              <w:rPr>
                <w:noProof/>
                <w:sz w:val="12"/>
                <w:szCs w:val="12"/>
                <w:lang w:val="fr-BE"/>
              </w:rPr>
              <w:t>9 364,00</w:t>
            </w:r>
          </w:p>
        </w:tc>
        <w:tc>
          <w:tcPr>
            <w:tcW w:w="0" w:type="auto"/>
            <w:shd w:val="clear" w:color="auto" w:fill="auto"/>
          </w:tcPr>
          <w:p w14:paraId="7931398E" w14:textId="77777777" w:rsidR="008C5CFA" w:rsidRPr="00BA47B4" w:rsidRDefault="008C5CFA" w:rsidP="00300A01">
            <w:pPr>
              <w:spacing w:before="0" w:after="0"/>
              <w:jc w:val="right"/>
              <w:rPr>
                <w:sz w:val="12"/>
                <w:szCs w:val="12"/>
                <w:lang w:val="fr-BE"/>
              </w:rPr>
            </w:pPr>
          </w:p>
        </w:tc>
        <w:tc>
          <w:tcPr>
            <w:tcW w:w="0" w:type="auto"/>
            <w:shd w:val="clear" w:color="auto" w:fill="auto"/>
          </w:tcPr>
          <w:p w14:paraId="7079F8F7" w14:textId="77777777" w:rsidR="008C5CFA" w:rsidRPr="00BA47B4" w:rsidRDefault="008C5CFA" w:rsidP="00300A01">
            <w:pPr>
              <w:spacing w:before="0" w:after="0"/>
              <w:jc w:val="right"/>
              <w:rPr>
                <w:sz w:val="12"/>
                <w:szCs w:val="12"/>
                <w:lang w:val="fr-BE"/>
              </w:rPr>
            </w:pPr>
          </w:p>
        </w:tc>
        <w:tc>
          <w:tcPr>
            <w:tcW w:w="0" w:type="auto"/>
            <w:shd w:val="clear" w:color="auto" w:fill="auto"/>
          </w:tcPr>
          <w:p w14:paraId="125109A7" w14:textId="77777777" w:rsidR="008C5CFA" w:rsidRPr="00BA47B4" w:rsidRDefault="008C5CFA" w:rsidP="00300A01">
            <w:pPr>
              <w:spacing w:before="0" w:after="0"/>
              <w:jc w:val="right"/>
              <w:rPr>
                <w:sz w:val="12"/>
                <w:szCs w:val="12"/>
                <w:lang w:val="fr-BE"/>
              </w:rPr>
            </w:pPr>
          </w:p>
        </w:tc>
        <w:tc>
          <w:tcPr>
            <w:tcW w:w="0" w:type="auto"/>
          </w:tcPr>
          <w:p w14:paraId="49EC1120" w14:textId="77777777" w:rsidR="008C5CFA" w:rsidRPr="00A92B39" w:rsidRDefault="00E82A60" w:rsidP="00300A01">
            <w:pPr>
              <w:spacing w:before="0" w:after="0"/>
              <w:jc w:val="right"/>
              <w:rPr>
                <w:sz w:val="10"/>
                <w:szCs w:val="10"/>
                <w:lang w:val="fr-BE"/>
              </w:rPr>
            </w:pPr>
            <w:r w:rsidRPr="00A92B39">
              <w:rPr>
                <w:noProof/>
                <w:sz w:val="10"/>
                <w:szCs w:val="10"/>
                <w:lang w:val="fr-BE"/>
              </w:rPr>
              <w:t>2 198,00</w:t>
            </w:r>
          </w:p>
        </w:tc>
        <w:tc>
          <w:tcPr>
            <w:tcW w:w="0" w:type="auto"/>
            <w:shd w:val="clear" w:color="auto" w:fill="auto"/>
          </w:tcPr>
          <w:p w14:paraId="0059E114" w14:textId="77777777" w:rsidR="008C5CFA" w:rsidRPr="00A92B39" w:rsidRDefault="00E82A60" w:rsidP="00300A01">
            <w:pPr>
              <w:spacing w:before="0" w:after="0"/>
              <w:jc w:val="right"/>
              <w:rPr>
                <w:sz w:val="10"/>
                <w:szCs w:val="10"/>
                <w:lang w:val="fr-BE"/>
              </w:rPr>
            </w:pPr>
            <w:r w:rsidRPr="00A92B39">
              <w:rPr>
                <w:noProof/>
                <w:sz w:val="10"/>
                <w:szCs w:val="10"/>
                <w:lang w:val="fr-BE"/>
              </w:rPr>
              <w:t>103,00</w:t>
            </w:r>
          </w:p>
        </w:tc>
        <w:tc>
          <w:tcPr>
            <w:tcW w:w="0" w:type="auto"/>
            <w:shd w:val="clear" w:color="auto" w:fill="auto"/>
          </w:tcPr>
          <w:p w14:paraId="131C77B0" w14:textId="77777777" w:rsidR="008C5CFA" w:rsidRPr="00BA47B4" w:rsidRDefault="00E82A60" w:rsidP="00300A01">
            <w:pPr>
              <w:spacing w:before="0" w:after="0"/>
              <w:jc w:val="right"/>
              <w:rPr>
                <w:sz w:val="12"/>
                <w:szCs w:val="12"/>
                <w:lang w:val="fr-BE"/>
              </w:rPr>
            </w:pPr>
            <w:r w:rsidRPr="00A92B39">
              <w:rPr>
                <w:noProof/>
                <w:sz w:val="10"/>
                <w:szCs w:val="10"/>
                <w:lang w:val="fr-BE"/>
              </w:rPr>
              <w:t>2 095,00</w:t>
            </w:r>
          </w:p>
        </w:tc>
      </w:tr>
      <w:tr w:rsidR="006B2EC1" w14:paraId="0FEDF43D" w14:textId="77777777" w:rsidTr="0047688D">
        <w:tc>
          <w:tcPr>
            <w:tcW w:w="0" w:type="auto"/>
            <w:shd w:val="clear" w:color="auto" w:fill="auto"/>
          </w:tcPr>
          <w:p w14:paraId="139175D6" w14:textId="77777777" w:rsidR="008C5CFA" w:rsidRPr="00BA47B4" w:rsidRDefault="00E82A60" w:rsidP="00300A01">
            <w:pPr>
              <w:spacing w:before="0" w:after="0"/>
              <w:rPr>
                <w:sz w:val="12"/>
                <w:szCs w:val="12"/>
                <w:lang w:val="fr-BE"/>
              </w:rPr>
            </w:pPr>
            <w:r>
              <w:rPr>
                <w:noProof/>
                <w:sz w:val="12"/>
                <w:szCs w:val="12"/>
                <w:lang w:val="fr-BE"/>
              </w:rPr>
              <w:t>CO09</w:t>
            </w:r>
          </w:p>
        </w:tc>
        <w:tc>
          <w:tcPr>
            <w:tcW w:w="0" w:type="auto"/>
            <w:shd w:val="clear" w:color="auto" w:fill="auto"/>
          </w:tcPr>
          <w:p w14:paraId="4E623F06" w14:textId="77777777" w:rsidR="008C5CFA" w:rsidRPr="00BA47B4" w:rsidRDefault="00E82A60" w:rsidP="00300A01">
            <w:pPr>
              <w:spacing w:before="0" w:after="0"/>
              <w:rPr>
                <w:sz w:val="12"/>
                <w:szCs w:val="12"/>
                <w:lang w:val="fr-BE"/>
              </w:rPr>
            </w:pPr>
            <w:r>
              <w:rPr>
                <w:noProof/>
                <w:sz w:val="12"/>
                <w:szCs w:val="12"/>
                <w:lang w:val="fr-BE"/>
              </w:rPr>
              <w:t>osoby z wykształceniem podstawowym (ISCED 1) lub średnim I stopnia (ISCED 2)</w:t>
            </w:r>
          </w:p>
        </w:tc>
        <w:tc>
          <w:tcPr>
            <w:tcW w:w="0" w:type="auto"/>
            <w:shd w:val="clear" w:color="auto" w:fill="auto"/>
          </w:tcPr>
          <w:p w14:paraId="2A18B06F" w14:textId="77777777" w:rsidR="008C5CFA" w:rsidRPr="00BA47B4" w:rsidRDefault="00E82A60"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14:paraId="10355158" w14:textId="77777777" w:rsidR="008C5CFA" w:rsidRPr="00BA47B4" w:rsidRDefault="008C5CFA" w:rsidP="00300A01">
            <w:pPr>
              <w:spacing w:before="0" w:after="0"/>
              <w:jc w:val="right"/>
              <w:rPr>
                <w:sz w:val="12"/>
                <w:szCs w:val="12"/>
                <w:lang w:val="fr-BE"/>
              </w:rPr>
            </w:pPr>
          </w:p>
        </w:tc>
        <w:tc>
          <w:tcPr>
            <w:tcW w:w="0" w:type="auto"/>
            <w:shd w:val="clear" w:color="auto" w:fill="auto"/>
          </w:tcPr>
          <w:p w14:paraId="687E473A" w14:textId="77777777" w:rsidR="008C5CFA" w:rsidRPr="00BA47B4" w:rsidRDefault="008C5CFA" w:rsidP="00300A01">
            <w:pPr>
              <w:spacing w:before="0" w:after="0"/>
              <w:jc w:val="right"/>
              <w:rPr>
                <w:sz w:val="12"/>
                <w:szCs w:val="12"/>
                <w:lang w:val="fr-BE"/>
              </w:rPr>
            </w:pPr>
          </w:p>
        </w:tc>
        <w:tc>
          <w:tcPr>
            <w:tcW w:w="0" w:type="auto"/>
            <w:shd w:val="clear" w:color="auto" w:fill="auto"/>
          </w:tcPr>
          <w:p w14:paraId="4F7F66FE" w14:textId="77777777" w:rsidR="008C5CFA" w:rsidRPr="00BA47B4" w:rsidRDefault="008C5CFA" w:rsidP="00300A01">
            <w:pPr>
              <w:spacing w:before="0" w:after="0"/>
              <w:jc w:val="right"/>
              <w:rPr>
                <w:sz w:val="12"/>
                <w:szCs w:val="12"/>
                <w:lang w:val="fr-BE"/>
              </w:rPr>
            </w:pPr>
          </w:p>
        </w:tc>
        <w:tc>
          <w:tcPr>
            <w:tcW w:w="0" w:type="auto"/>
            <w:shd w:val="clear" w:color="auto" w:fill="auto"/>
          </w:tcPr>
          <w:p w14:paraId="659EFFD4" w14:textId="77777777" w:rsidR="008C5CFA" w:rsidRPr="00BA47B4" w:rsidRDefault="00E82A60" w:rsidP="00300A01">
            <w:pPr>
              <w:spacing w:before="0" w:after="0"/>
              <w:jc w:val="right"/>
              <w:rPr>
                <w:sz w:val="12"/>
                <w:szCs w:val="12"/>
                <w:lang w:val="fr-BE"/>
              </w:rPr>
            </w:pPr>
            <w:r w:rsidRPr="00BA47B4">
              <w:rPr>
                <w:noProof/>
                <w:sz w:val="12"/>
                <w:szCs w:val="12"/>
                <w:lang w:val="fr-BE"/>
              </w:rPr>
              <w:t>7 506,00</w:t>
            </w:r>
          </w:p>
        </w:tc>
        <w:tc>
          <w:tcPr>
            <w:tcW w:w="0" w:type="auto"/>
            <w:shd w:val="clear" w:color="auto" w:fill="auto"/>
          </w:tcPr>
          <w:p w14:paraId="1FC954E4" w14:textId="77777777" w:rsidR="008C5CFA" w:rsidRPr="00BA47B4" w:rsidRDefault="00E82A60" w:rsidP="00300A01">
            <w:pPr>
              <w:spacing w:before="0" w:after="0"/>
              <w:jc w:val="right"/>
              <w:rPr>
                <w:sz w:val="12"/>
                <w:szCs w:val="12"/>
                <w:lang w:val="fr-BE"/>
              </w:rPr>
            </w:pPr>
            <w:r w:rsidRPr="00BA47B4">
              <w:rPr>
                <w:noProof/>
                <w:sz w:val="12"/>
                <w:szCs w:val="12"/>
                <w:lang w:val="fr-BE"/>
              </w:rPr>
              <w:t>1 167,00</w:t>
            </w:r>
          </w:p>
        </w:tc>
        <w:tc>
          <w:tcPr>
            <w:tcW w:w="0" w:type="auto"/>
            <w:shd w:val="clear" w:color="auto" w:fill="auto"/>
          </w:tcPr>
          <w:p w14:paraId="09CA5F63" w14:textId="77777777" w:rsidR="008C5CFA" w:rsidRPr="00BA47B4" w:rsidRDefault="00E82A60" w:rsidP="00300A01">
            <w:pPr>
              <w:spacing w:before="0" w:after="0"/>
              <w:jc w:val="right"/>
              <w:rPr>
                <w:sz w:val="12"/>
                <w:szCs w:val="12"/>
                <w:lang w:val="fr-BE"/>
              </w:rPr>
            </w:pPr>
            <w:r w:rsidRPr="00BA47B4">
              <w:rPr>
                <w:noProof/>
                <w:sz w:val="12"/>
                <w:szCs w:val="12"/>
                <w:lang w:val="fr-BE"/>
              </w:rPr>
              <w:t>6 339,00</w:t>
            </w:r>
          </w:p>
        </w:tc>
        <w:tc>
          <w:tcPr>
            <w:tcW w:w="0" w:type="auto"/>
            <w:shd w:val="clear" w:color="auto" w:fill="auto"/>
          </w:tcPr>
          <w:p w14:paraId="33BA010D" w14:textId="77777777" w:rsidR="008C5CFA" w:rsidRPr="00BA47B4" w:rsidRDefault="008C5CFA" w:rsidP="00300A01">
            <w:pPr>
              <w:spacing w:before="0" w:after="0"/>
              <w:jc w:val="right"/>
              <w:rPr>
                <w:sz w:val="12"/>
                <w:szCs w:val="12"/>
                <w:lang w:val="fr-BE"/>
              </w:rPr>
            </w:pPr>
          </w:p>
        </w:tc>
        <w:tc>
          <w:tcPr>
            <w:tcW w:w="0" w:type="auto"/>
            <w:shd w:val="clear" w:color="auto" w:fill="auto"/>
          </w:tcPr>
          <w:p w14:paraId="01C73062" w14:textId="77777777" w:rsidR="008C5CFA" w:rsidRPr="00BA47B4" w:rsidRDefault="008C5CFA" w:rsidP="00300A01">
            <w:pPr>
              <w:spacing w:before="0" w:after="0"/>
              <w:jc w:val="right"/>
              <w:rPr>
                <w:sz w:val="12"/>
                <w:szCs w:val="12"/>
                <w:lang w:val="fr-BE"/>
              </w:rPr>
            </w:pPr>
          </w:p>
        </w:tc>
        <w:tc>
          <w:tcPr>
            <w:tcW w:w="0" w:type="auto"/>
            <w:shd w:val="clear" w:color="auto" w:fill="auto"/>
          </w:tcPr>
          <w:p w14:paraId="5197DF37" w14:textId="77777777" w:rsidR="008C5CFA" w:rsidRPr="00BA47B4" w:rsidRDefault="008C5CFA" w:rsidP="00300A01">
            <w:pPr>
              <w:spacing w:before="0" w:after="0"/>
              <w:jc w:val="right"/>
              <w:rPr>
                <w:sz w:val="12"/>
                <w:szCs w:val="12"/>
                <w:lang w:val="fr-BE"/>
              </w:rPr>
            </w:pPr>
          </w:p>
        </w:tc>
        <w:tc>
          <w:tcPr>
            <w:tcW w:w="0" w:type="auto"/>
          </w:tcPr>
          <w:p w14:paraId="4A5B22FD" w14:textId="77777777" w:rsidR="008C5CFA" w:rsidRPr="00A92B39" w:rsidRDefault="00E82A60" w:rsidP="00300A01">
            <w:pPr>
              <w:spacing w:before="0" w:after="0"/>
              <w:jc w:val="right"/>
              <w:rPr>
                <w:sz w:val="10"/>
                <w:szCs w:val="10"/>
                <w:lang w:val="fr-BE"/>
              </w:rPr>
            </w:pPr>
            <w:r w:rsidRPr="00A92B39">
              <w:rPr>
                <w:noProof/>
                <w:sz w:val="10"/>
                <w:szCs w:val="10"/>
                <w:lang w:val="fr-BE"/>
              </w:rPr>
              <w:t>2 890,00</w:t>
            </w:r>
          </w:p>
        </w:tc>
        <w:tc>
          <w:tcPr>
            <w:tcW w:w="0" w:type="auto"/>
            <w:shd w:val="clear" w:color="auto" w:fill="auto"/>
          </w:tcPr>
          <w:p w14:paraId="255A24DF" w14:textId="77777777" w:rsidR="008C5CFA" w:rsidRPr="00A92B39" w:rsidRDefault="00E82A60" w:rsidP="00300A01">
            <w:pPr>
              <w:spacing w:before="0" w:after="0"/>
              <w:jc w:val="right"/>
              <w:rPr>
                <w:sz w:val="10"/>
                <w:szCs w:val="10"/>
                <w:lang w:val="fr-BE"/>
              </w:rPr>
            </w:pPr>
            <w:r w:rsidRPr="00A92B39">
              <w:rPr>
                <w:noProof/>
                <w:sz w:val="10"/>
                <w:szCs w:val="10"/>
                <w:lang w:val="fr-BE"/>
              </w:rPr>
              <w:t>671,00</w:t>
            </w:r>
          </w:p>
        </w:tc>
        <w:tc>
          <w:tcPr>
            <w:tcW w:w="0" w:type="auto"/>
            <w:shd w:val="clear" w:color="auto" w:fill="auto"/>
          </w:tcPr>
          <w:p w14:paraId="0E453424" w14:textId="77777777" w:rsidR="008C5CFA" w:rsidRPr="00BA47B4" w:rsidRDefault="00E82A60" w:rsidP="00300A01">
            <w:pPr>
              <w:spacing w:before="0" w:after="0"/>
              <w:jc w:val="right"/>
              <w:rPr>
                <w:sz w:val="12"/>
                <w:szCs w:val="12"/>
                <w:lang w:val="fr-BE"/>
              </w:rPr>
            </w:pPr>
            <w:r w:rsidRPr="00A92B39">
              <w:rPr>
                <w:noProof/>
                <w:sz w:val="10"/>
                <w:szCs w:val="10"/>
                <w:lang w:val="fr-BE"/>
              </w:rPr>
              <w:t>2 219,00</w:t>
            </w:r>
          </w:p>
        </w:tc>
      </w:tr>
      <w:tr w:rsidR="006B2EC1" w14:paraId="67D70BFE" w14:textId="77777777" w:rsidTr="0047688D">
        <w:tc>
          <w:tcPr>
            <w:tcW w:w="0" w:type="auto"/>
            <w:shd w:val="clear" w:color="auto" w:fill="auto"/>
          </w:tcPr>
          <w:p w14:paraId="36BF939D" w14:textId="77777777" w:rsidR="008C5CFA" w:rsidRPr="00BA47B4" w:rsidRDefault="00E82A60" w:rsidP="00300A01">
            <w:pPr>
              <w:spacing w:before="0" w:after="0"/>
              <w:rPr>
                <w:sz w:val="12"/>
                <w:szCs w:val="12"/>
                <w:lang w:val="fr-BE"/>
              </w:rPr>
            </w:pPr>
            <w:r>
              <w:rPr>
                <w:noProof/>
                <w:sz w:val="12"/>
                <w:szCs w:val="12"/>
                <w:lang w:val="fr-BE"/>
              </w:rPr>
              <w:t>CO10</w:t>
            </w:r>
          </w:p>
        </w:tc>
        <w:tc>
          <w:tcPr>
            <w:tcW w:w="0" w:type="auto"/>
            <w:shd w:val="clear" w:color="auto" w:fill="auto"/>
          </w:tcPr>
          <w:p w14:paraId="6E8EC480" w14:textId="77777777" w:rsidR="008C5CFA" w:rsidRPr="00BA47B4" w:rsidRDefault="00E82A60" w:rsidP="00300A01">
            <w:pPr>
              <w:spacing w:before="0" w:after="0"/>
              <w:rPr>
                <w:sz w:val="12"/>
                <w:szCs w:val="12"/>
                <w:lang w:val="fr-BE"/>
              </w:rPr>
            </w:pPr>
            <w:r>
              <w:rPr>
                <w:noProof/>
                <w:sz w:val="12"/>
                <w:szCs w:val="12"/>
                <w:lang w:val="fr-BE"/>
              </w:rPr>
              <w:t>osoby z wykształceniem średnim II stopnia (ISCED 3) lub policealnym (ISCED 4)</w:t>
            </w:r>
          </w:p>
        </w:tc>
        <w:tc>
          <w:tcPr>
            <w:tcW w:w="0" w:type="auto"/>
            <w:shd w:val="clear" w:color="auto" w:fill="auto"/>
          </w:tcPr>
          <w:p w14:paraId="761553DD" w14:textId="77777777" w:rsidR="008C5CFA" w:rsidRPr="00BA47B4" w:rsidRDefault="00E82A60"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14:paraId="2B3F3EBF" w14:textId="77777777" w:rsidR="008C5CFA" w:rsidRPr="00BA47B4" w:rsidRDefault="008C5CFA" w:rsidP="00300A01">
            <w:pPr>
              <w:spacing w:before="0" w:after="0"/>
              <w:jc w:val="right"/>
              <w:rPr>
                <w:sz w:val="12"/>
                <w:szCs w:val="12"/>
                <w:lang w:val="fr-BE"/>
              </w:rPr>
            </w:pPr>
          </w:p>
        </w:tc>
        <w:tc>
          <w:tcPr>
            <w:tcW w:w="0" w:type="auto"/>
            <w:shd w:val="clear" w:color="auto" w:fill="auto"/>
          </w:tcPr>
          <w:p w14:paraId="3456E9CC" w14:textId="77777777" w:rsidR="008C5CFA" w:rsidRPr="00BA47B4" w:rsidRDefault="008C5CFA" w:rsidP="00300A01">
            <w:pPr>
              <w:spacing w:before="0" w:after="0"/>
              <w:jc w:val="right"/>
              <w:rPr>
                <w:sz w:val="12"/>
                <w:szCs w:val="12"/>
                <w:lang w:val="fr-BE"/>
              </w:rPr>
            </w:pPr>
          </w:p>
        </w:tc>
        <w:tc>
          <w:tcPr>
            <w:tcW w:w="0" w:type="auto"/>
            <w:shd w:val="clear" w:color="auto" w:fill="auto"/>
          </w:tcPr>
          <w:p w14:paraId="05540ABC" w14:textId="77777777" w:rsidR="008C5CFA" w:rsidRPr="00BA47B4" w:rsidRDefault="008C5CFA" w:rsidP="00300A01">
            <w:pPr>
              <w:spacing w:before="0" w:after="0"/>
              <w:jc w:val="right"/>
              <w:rPr>
                <w:sz w:val="12"/>
                <w:szCs w:val="12"/>
                <w:lang w:val="fr-BE"/>
              </w:rPr>
            </w:pPr>
          </w:p>
        </w:tc>
        <w:tc>
          <w:tcPr>
            <w:tcW w:w="0" w:type="auto"/>
            <w:shd w:val="clear" w:color="auto" w:fill="auto"/>
          </w:tcPr>
          <w:p w14:paraId="042C76B0" w14:textId="77777777" w:rsidR="008C5CFA" w:rsidRPr="00BA47B4" w:rsidRDefault="00E82A60" w:rsidP="00300A01">
            <w:pPr>
              <w:spacing w:before="0" w:after="0"/>
              <w:jc w:val="right"/>
              <w:rPr>
                <w:sz w:val="12"/>
                <w:szCs w:val="12"/>
                <w:lang w:val="fr-BE"/>
              </w:rPr>
            </w:pPr>
            <w:r w:rsidRPr="00BA47B4">
              <w:rPr>
                <w:noProof/>
                <w:sz w:val="12"/>
                <w:szCs w:val="12"/>
                <w:lang w:val="fr-BE"/>
              </w:rPr>
              <w:t>26 357,00</w:t>
            </w:r>
          </w:p>
        </w:tc>
        <w:tc>
          <w:tcPr>
            <w:tcW w:w="0" w:type="auto"/>
            <w:shd w:val="clear" w:color="auto" w:fill="auto"/>
          </w:tcPr>
          <w:p w14:paraId="38D1EDBE" w14:textId="77777777" w:rsidR="008C5CFA" w:rsidRPr="00BA47B4" w:rsidRDefault="00E82A60" w:rsidP="00300A01">
            <w:pPr>
              <w:spacing w:before="0" w:after="0"/>
              <w:jc w:val="right"/>
              <w:rPr>
                <w:sz w:val="12"/>
                <w:szCs w:val="12"/>
                <w:lang w:val="fr-BE"/>
              </w:rPr>
            </w:pPr>
            <w:r w:rsidRPr="00BA47B4">
              <w:rPr>
                <w:noProof/>
                <w:sz w:val="12"/>
                <w:szCs w:val="12"/>
                <w:lang w:val="fr-BE"/>
              </w:rPr>
              <w:t>4 561,00</w:t>
            </w:r>
          </w:p>
        </w:tc>
        <w:tc>
          <w:tcPr>
            <w:tcW w:w="0" w:type="auto"/>
            <w:shd w:val="clear" w:color="auto" w:fill="auto"/>
          </w:tcPr>
          <w:p w14:paraId="689A6784" w14:textId="77777777" w:rsidR="008C5CFA" w:rsidRPr="00BA47B4" w:rsidRDefault="00E82A60" w:rsidP="00300A01">
            <w:pPr>
              <w:spacing w:before="0" w:after="0"/>
              <w:jc w:val="right"/>
              <w:rPr>
                <w:sz w:val="12"/>
                <w:szCs w:val="12"/>
                <w:lang w:val="fr-BE"/>
              </w:rPr>
            </w:pPr>
            <w:r w:rsidRPr="00BA47B4">
              <w:rPr>
                <w:noProof/>
                <w:sz w:val="12"/>
                <w:szCs w:val="12"/>
                <w:lang w:val="fr-BE"/>
              </w:rPr>
              <w:t>21 796,00</w:t>
            </w:r>
          </w:p>
        </w:tc>
        <w:tc>
          <w:tcPr>
            <w:tcW w:w="0" w:type="auto"/>
            <w:shd w:val="clear" w:color="auto" w:fill="auto"/>
          </w:tcPr>
          <w:p w14:paraId="06821676" w14:textId="77777777" w:rsidR="008C5CFA" w:rsidRPr="00BA47B4" w:rsidRDefault="008C5CFA" w:rsidP="00300A01">
            <w:pPr>
              <w:spacing w:before="0" w:after="0"/>
              <w:jc w:val="right"/>
              <w:rPr>
                <w:sz w:val="12"/>
                <w:szCs w:val="12"/>
                <w:lang w:val="fr-BE"/>
              </w:rPr>
            </w:pPr>
          </w:p>
        </w:tc>
        <w:tc>
          <w:tcPr>
            <w:tcW w:w="0" w:type="auto"/>
            <w:shd w:val="clear" w:color="auto" w:fill="auto"/>
          </w:tcPr>
          <w:p w14:paraId="47A468BC" w14:textId="77777777" w:rsidR="008C5CFA" w:rsidRPr="00BA47B4" w:rsidRDefault="008C5CFA" w:rsidP="00300A01">
            <w:pPr>
              <w:spacing w:before="0" w:after="0"/>
              <w:jc w:val="right"/>
              <w:rPr>
                <w:sz w:val="12"/>
                <w:szCs w:val="12"/>
                <w:lang w:val="fr-BE"/>
              </w:rPr>
            </w:pPr>
          </w:p>
        </w:tc>
        <w:tc>
          <w:tcPr>
            <w:tcW w:w="0" w:type="auto"/>
            <w:shd w:val="clear" w:color="auto" w:fill="auto"/>
          </w:tcPr>
          <w:p w14:paraId="0952D329" w14:textId="77777777" w:rsidR="008C5CFA" w:rsidRPr="00BA47B4" w:rsidRDefault="008C5CFA" w:rsidP="00300A01">
            <w:pPr>
              <w:spacing w:before="0" w:after="0"/>
              <w:jc w:val="right"/>
              <w:rPr>
                <w:sz w:val="12"/>
                <w:szCs w:val="12"/>
                <w:lang w:val="fr-BE"/>
              </w:rPr>
            </w:pPr>
          </w:p>
        </w:tc>
        <w:tc>
          <w:tcPr>
            <w:tcW w:w="0" w:type="auto"/>
          </w:tcPr>
          <w:p w14:paraId="497B7DB9" w14:textId="77777777" w:rsidR="008C5CFA" w:rsidRPr="00A92B39" w:rsidRDefault="00E82A60" w:rsidP="00300A01">
            <w:pPr>
              <w:spacing w:before="0" w:after="0"/>
              <w:jc w:val="right"/>
              <w:rPr>
                <w:sz w:val="10"/>
                <w:szCs w:val="10"/>
                <w:lang w:val="fr-BE"/>
              </w:rPr>
            </w:pPr>
            <w:r w:rsidRPr="00A92B39">
              <w:rPr>
                <w:noProof/>
                <w:sz w:val="10"/>
                <w:szCs w:val="10"/>
                <w:lang w:val="fr-BE"/>
              </w:rPr>
              <w:t>9 638,00</w:t>
            </w:r>
          </w:p>
        </w:tc>
        <w:tc>
          <w:tcPr>
            <w:tcW w:w="0" w:type="auto"/>
            <w:shd w:val="clear" w:color="auto" w:fill="auto"/>
          </w:tcPr>
          <w:p w14:paraId="2192F408" w14:textId="77777777" w:rsidR="008C5CFA" w:rsidRPr="00A92B39" w:rsidRDefault="00E82A60" w:rsidP="00300A01">
            <w:pPr>
              <w:spacing w:before="0" w:after="0"/>
              <w:jc w:val="right"/>
              <w:rPr>
                <w:sz w:val="10"/>
                <w:szCs w:val="10"/>
                <w:lang w:val="fr-BE"/>
              </w:rPr>
            </w:pPr>
            <w:r w:rsidRPr="00A92B39">
              <w:rPr>
                <w:noProof/>
                <w:sz w:val="10"/>
                <w:szCs w:val="10"/>
                <w:lang w:val="fr-BE"/>
              </w:rPr>
              <w:t>2 718,00</w:t>
            </w:r>
          </w:p>
        </w:tc>
        <w:tc>
          <w:tcPr>
            <w:tcW w:w="0" w:type="auto"/>
            <w:shd w:val="clear" w:color="auto" w:fill="auto"/>
          </w:tcPr>
          <w:p w14:paraId="1DA897DF" w14:textId="77777777" w:rsidR="008C5CFA" w:rsidRPr="00BA47B4" w:rsidRDefault="00E82A60" w:rsidP="00300A01">
            <w:pPr>
              <w:spacing w:before="0" w:after="0"/>
              <w:jc w:val="right"/>
              <w:rPr>
                <w:sz w:val="12"/>
                <w:szCs w:val="12"/>
                <w:lang w:val="fr-BE"/>
              </w:rPr>
            </w:pPr>
            <w:r w:rsidRPr="00A92B39">
              <w:rPr>
                <w:noProof/>
                <w:sz w:val="10"/>
                <w:szCs w:val="10"/>
                <w:lang w:val="fr-BE"/>
              </w:rPr>
              <w:t>6 920,00</w:t>
            </w:r>
          </w:p>
        </w:tc>
      </w:tr>
      <w:tr w:rsidR="006B2EC1" w14:paraId="1D362A2C" w14:textId="77777777" w:rsidTr="0047688D">
        <w:tc>
          <w:tcPr>
            <w:tcW w:w="0" w:type="auto"/>
            <w:shd w:val="clear" w:color="auto" w:fill="auto"/>
          </w:tcPr>
          <w:p w14:paraId="3FF40224" w14:textId="77777777" w:rsidR="008C5CFA" w:rsidRPr="00BA47B4" w:rsidRDefault="00E82A60" w:rsidP="00300A01">
            <w:pPr>
              <w:spacing w:before="0" w:after="0"/>
              <w:rPr>
                <w:sz w:val="12"/>
                <w:szCs w:val="12"/>
                <w:lang w:val="fr-BE"/>
              </w:rPr>
            </w:pPr>
            <w:r>
              <w:rPr>
                <w:noProof/>
                <w:sz w:val="12"/>
                <w:szCs w:val="12"/>
                <w:lang w:val="fr-BE"/>
              </w:rPr>
              <w:t>CO11</w:t>
            </w:r>
          </w:p>
        </w:tc>
        <w:tc>
          <w:tcPr>
            <w:tcW w:w="0" w:type="auto"/>
            <w:shd w:val="clear" w:color="auto" w:fill="auto"/>
          </w:tcPr>
          <w:p w14:paraId="0F02E404" w14:textId="77777777" w:rsidR="008C5CFA" w:rsidRPr="00BA47B4" w:rsidRDefault="00E82A60" w:rsidP="00300A01">
            <w:pPr>
              <w:spacing w:before="0" w:after="0"/>
              <w:rPr>
                <w:sz w:val="12"/>
                <w:szCs w:val="12"/>
                <w:lang w:val="fr-BE"/>
              </w:rPr>
            </w:pPr>
            <w:r>
              <w:rPr>
                <w:noProof/>
                <w:sz w:val="12"/>
                <w:szCs w:val="12"/>
                <w:lang w:val="fr-BE"/>
              </w:rPr>
              <w:t>osoby z wykształceniem wyższym (ISCED 5 do 8)</w:t>
            </w:r>
          </w:p>
        </w:tc>
        <w:tc>
          <w:tcPr>
            <w:tcW w:w="0" w:type="auto"/>
            <w:shd w:val="clear" w:color="auto" w:fill="auto"/>
          </w:tcPr>
          <w:p w14:paraId="7CF2251F" w14:textId="77777777" w:rsidR="008C5CFA" w:rsidRPr="00BA47B4" w:rsidRDefault="00E82A60"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14:paraId="708714E3" w14:textId="77777777" w:rsidR="008C5CFA" w:rsidRPr="00BA47B4" w:rsidRDefault="008C5CFA" w:rsidP="00300A01">
            <w:pPr>
              <w:spacing w:before="0" w:after="0"/>
              <w:jc w:val="right"/>
              <w:rPr>
                <w:sz w:val="12"/>
                <w:szCs w:val="12"/>
                <w:lang w:val="fr-BE"/>
              </w:rPr>
            </w:pPr>
          </w:p>
        </w:tc>
        <w:tc>
          <w:tcPr>
            <w:tcW w:w="0" w:type="auto"/>
            <w:shd w:val="clear" w:color="auto" w:fill="auto"/>
          </w:tcPr>
          <w:p w14:paraId="093947C6" w14:textId="77777777" w:rsidR="008C5CFA" w:rsidRPr="00BA47B4" w:rsidRDefault="008C5CFA" w:rsidP="00300A01">
            <w:pPr>
              <w:spacing w:before="0" w:after="0"/>
              <w:jc w:val="right"/>
              <w:rPr>
                <w:sz w:val="12"/>
                <w:szCs w:val="12"/>
                <w:lang w:val="fr-BE"/>
              </w:rPr>
            </w:pPr>
          </w:p>
        </w:tc>
        <w:tc>
          <w:tcPr>
            <w:tcW w:w="0" w:type="auto"/>
            <w:shd w:val="clear" w:color="auto" w:fill="auto"/>
          </w:tcPr>
          <w:p w14:paraId="75831B6B" w14:textId="77777777" w:rsidR="008C5CFA" w:rsidRPr="00BA47B4" w:rsidRDefault="008C5CFA" w:rsidP="00300A01">
            <w:pPr>
              <w:spacing w:before="0" w:after="0"/>
              <w:jc w:val="right"/>
              <w:rPr>
                <w:sz w:val="12"/>
                <w:szCs w:val="12"/>
                <w:lang w:val="fr-BE"/>
              </w:rPr>
            </w:pPr>
          </w:p>
        </w:tc>
        <w:tc>
          <w:tcPr>
            <w:tcW w:w="0" w:type="auto"/>
            <w:shd w:val="clear" w:color="auto" w:fill="auto"/>
          </w:tcPr>
          <w:p w14:paraId="41BFC352" w14:textId="77777777" w:rsidR="008C5CFA" w:rsidRPr="00BA47B4" w:rsidRDefault="00E82A60" w:rsidP="00300A01">
            <w:pPr>
              <w:spacing w:before="0" w:after="0"/>
              <w:jc w:val="right"/>
              <w:rPr>
                <w:sz w:val="12"/>
                <w:szCs w:val="12"/>
                <w:lang w:val="fr-BE"/>
              </w:rPr>
            </w:pPr>
            <w:r w:rsidRPr="00BA47B4">
              <w:rPr>
                <w:noProof/>
                <w:sz w:val="12"/>
                <w:szCs w:val="12"/>
                <w:lang w:val="fr-BE"/>
              </w:rPr>
              <w:t>22 879,00</w:t>
            </w:r>
          </w:p>
        </w:tc>
        <w:tc>
          <w:tcPr>
            <w:tcW w:w="0" w:type="auto"/>
            <w:shd w:val="clear" w:color="auto" w:fill="auto"/>
          </w:tcPr>
          <w:p w14:paraId="74B4E68B" w14:textId="77777777" w:rsidR="008C5CFA" w:rsidRPr="00BA47B4" w:rsidRDefault="00E82A60" w:rsidP="00300A01">
            <w:pPr>
              <w:spacing w:before="0" w:after="0"/>
              <w:jc w:val="right"/>
              <w:rPr>
                <w:sz w:val="12"/>
                <w:szCs w:val="12"/>
                <w:lang w:val="fr-BE"/>
              </w:rPr>
            </w:pPr>
            <w:r w:rsidRPr="00BA47B4">
              <w:rPr>
                <w:noProof/>
                <w:sz w:val="12"/>
                <w:szCs w:val="12"/>
                <w:lang w:val="fr-BE"/>
              </w:rPr>
              <w:t>2 542,00</w:t>
            </w:r>
          </w:p>
        </w:tc>
        <w:tc>
          <w:tcPr>
            <w:tcW w:w="0" w:type="auto"/>
            <w:shd w:val="clear" w:color="auto" w:fill="auto"/>
          </w:tcPr>
          <w:p w14:paraId="5AFD66D1" w14:textId="77777777" w:rsidR="008C5CFA" w:rsidRPr="00BA47B4" w:rsidRDefault="00E82A60" w:rsidP="00300A01">
            <w:pPr>
              <w:spacing w:before="0" w:after="0"/>
              <w:jc w:val="right"/>
              <w:rPr>
                <w:sz w:val="12"/>
                <w:szCs w:val="12"/>
                <w:lang w:val="fr-BE"/>
              </w:rPr>
            </w:pPr>
            <w:r w:rsidRPr="00BA47B4">
              <w:rPr>
                <w:noProof/>
                <w:sz w:val="12"/>
                <w:szCs w:val="12"/>
                <w:lang w:val="fr-BE"/>
              </w:rPr>
              <w:t>20 337,00</w:t>
            </w:r>
          </w:p>
        </w:tc>
        <w:tc>
          <w:tcPr>
            <w:tcW w:w="0" w:type="auto"/>
            <w:shd w:val="clear" w:color="auto" w:fill="auto"/>
          </w:tcPr>
          <w:p w14:paraId="465E57BC" w14:textId="77777777" w:rsidR="008C5CFA" w:rsidRPr="00BA47B4" w:rsidRDefault="008C5CFA" w:rsidP="00300A01">
            <w:pPr>
              <w:spacing w:before="0" w:after="0"/>
              <w:jc w:val="right"/>
              <w:rPr>
                <w:sz w:val="12"/>
                <w:szCs w:val="12"/>
                <w:lang w:val="fr-BE"/>
              </w:rPr>
            </w:pPr>
          </w:p>
        </w:tc>
        <w:tc>
          <w:tcPr>
            <w:tcW w:w="0" w:type="auto"/>
            <w:shd w:val="clear" w:color="auto" w:fill="auto"/>
          </w:tcPr>
          <w:p w14:paraId="2C58B225" w14:textId="77777777" w:rsidR="008C5CFA" w:rsidRPr="00BA47B4" w:rsidRDefault="008C5CFA" w:rsidP="00300A01">
            <w:pPr>
              <w:spacing w:before="0" w:after="0"/>
              <w:jc w:val="right"/>
              <w:rPr>
                <w:sz w:val="12"/>
                <w:szCs w:val="12"/>
                <w:lang w:val="fr-BE"/>
              </w:rPr>
            </w:pPr>
          </w:p>
        </w:tc>
        <w:tc>
          <w:tcPr>
            <w:tcW w:w="0" w:type="auto"/>
            <w:shd w:val="clear" w:color="auto" w:fill="auto"/>
          </w:tcPr>
          <w:p w14:paraId="61B71007" w14:textId="77777777" w:rsidR="008C5CFA" w:rsidRPr="00BA47B4" w:rsidRDefault="008C5CFA" w:rsidP="00300A01">
            <w:pPr>
              <w:spacing w:before="0" w:after="0"/>
              <w:jc w:val="right"/>
              <w:rPr>
                <w:sz w:val="12"/>
                <w:szCs w:val="12"/>
                <w:lang w:val="fr-BE"/>
              </w:rPr>
            </w:pPr>
          </w:p>
        </w:tc>
        <w:tc>
          <w:tcPr>
            <w:tcW w:w="0" w:type="auto"/>
          </w:tcPr>
          <w:p w14:paraId="46EECD89" w14:textId="77777777" w:rsidR="008C5CFA" w:rsidRPr="00A92B39" w:rsidRDefault="00E82A60" w:rsidP="00300A01">
            <w:pPr>
              <w:spacing w:before="0" w:after="0"/>
              <w:jc w:val="right"/>
              <w:rPr>
                <w:sz w:val="10"/>
                <w:szCs w:val="10"/>
                <w:lang w:val="fr-BE"/>
              </w:rPr>
            </w:pPr>
            <w:r w:rsidRPr="00A92B39">
              <w:rPr>
                <w:noProof/>
                <w:sz w:val="10"/>
                <w:szCs w:val="10"/>
                <w:lang w:val="fr-BE"/>
              </w:rPr>
              <w:t>7 249,00</w:t>
            </w:r>
          </w:p>
        </w:tc>
        <w:tc>
          <w:tcPr>
            <w:tcW w:w="0" w:type="auto"/>
            <w:shd w:val="clear" w:color="auto" w:fill="auto"/>
          </w:tcPr>
          <w:p w14:paraId="524FD750" w14:textId="77777777" w:rsidR="008C5CFA" w:rsidRPr="00A92B39" w:rsidRDefault="00E82A60" w:rsidP="00300A01">
            <w:pPr>
              <w:spacing w:before="0" w:after="0"/>
              <w:jc w:val="right"/>
              <w:rPr>
                <w:sz w:val="10"/>
                <w:szCs w:val="10"/>
                <w:lang w:val="fr-BE"/>
              </w:rPr>
            </w:pPr>
            <w:r w:rsidRPr="00A92B39">
              <w:rPr>
                <w:noProof/>
                <w:sz w:val="10"/>
                <w:szCs w:val="10"/>
                <w:lang w:val="fr-BE"/>
              </w:rPr>
              <w:t>988,00</w:t>
            </w:r>
          </w:p>
        </w:tc>
        <w:tc>
          <w:tcPr>
            <w:tcW w:w="0" w:type="auto"/>
            <w:shd w:val="clear" w:color="auto" w:fill="auto"/>
          </w:tcPr>
          <w:p w14:paraId="5C03EA08" w14:textId="77777777" w:rsidR="008C5CFA" w:rsidRPr="00BA47B4" w:rsidRDefault="00E82A60" w:rsidP="00300A01">
            <w:pPr>
              <w:spacing w:before="0" w:after="0"/>
              <w:jc w:val="right"/>
              <w:rPr>
                <w:sz w:val="12"/>
                <w:szCs w:val="12"/>
                <w:lang w:val="fr-BE"/>
              </w:rPr>
            </w:pPr>
            <w:r w:rsidRPr="00A92B39">
              <w:rPr>
                <w:noProof/>
                <w:sz w:val="10"/>
                <w:szCs w:val="10"/>
                <w:lang w:val="fr-BE"/>
              </w:rPr>
              <w:t>6 261,00</w:t>
            </w:r>
          </w:p>
        </w:tc>
      </w:tr>
      <w:tr w:rsidR="006B2EC1" w14:paraId="6F1CEDAB" w14:textId="77777777" w:rsidTr="0047688D">
        <w:tc>
          <w:tcPr>
            <w:tcW w:w="0" w:type="auto"/>
            <w:shd w:val="clear" w:color="auto" w:fill="auto"/>
          </w:tcPr>
          <w:p w14:paraId="41FC97BA" w14:textId="77777777" w:rsidR="008C5CFA" w:rsidRPr="00BA47B4" w:rsidRDefault="00E82A60" w:rsidP="00300A01">
            <w:pPr>
              <w:spacing w:before="0" w:after="0"/>
              <w:rPr>
                <w:sz w:val="12"/>
                <w:szCs w:val="12"/>
                <w:lang w:val="fr-BE"/>
              </w:rPr>
            </w:pPr>
            <w:r>
              <w:rPr>
                <w:noProof/>
                <w:sz w:val="12"/>
                <w:szCs w:val="12"/>
                <w:lang w:val="fr-BE"/>
              </w:rPr>
              <w:t>CO15</w:t>
            </w:r>
          </w:p>
        </w:tc>
        <w:tc>
          <w:tcPr>
            <w:tcW w:w="0" w:type="auto"/>
            <w:shd w:val="clear" w:color="auto" w:fill="auto"/>
          </w:tcPr>
          <w:p w14:paraId="125587D3" w14:textId="77777777" w:rsidR="008C5CFA" w:rsidRPr="00BA47B4" w:rsidRDefault="00E82A60" w:rsidP="00300A01">
            <w:pPr>
              <w:spacing w:before="0" w:after="0"/>
              <w:rPr>
                <w:sz w:val="12"/>
                <w:szCs w:val="12"/>
                <w:lang w:val="fr-BE"/>
              </w:rPr>
            </w:pPr>
            <w:r>
              <w:rPr>
                <w:noProof/>
                <w:sz w:val="12"/>
                <w:szCs w:val="12"/>
                <w:lang w:val="fr-BE"/>
              </w:rPr>
              <w:t>migranci, uczestnicy obcego pochodzenia, mniejszości (w tym społeczności marginalizowane, takie jak Romowie)</w:t>
            </w:r>
          </w:p>
        </w:tc>
        <w:tc>
          <w:tcPr>
            <w:tcW w:w="0" w:type="auto"/>
            <w:shd w:val="clear" w:color="auto" w:fill="auto"/>
          </w:tcPr>
          <w:p w14:paraId="7648678A" w14:textId="77777777" w:rsidR="008C5CFA" w:rsidRPr="00BA47B4" w:rsidRDefault="00E82A60"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14:paraId="52B91AAF" w14:textId="77777777" w:rsidR="008C5CFA" w:rsidRPr="00BA47B4" w:rsidRDefault="008C5CFA" w:rsidP="00300A01">
            <w:pPr>
              <w:spacing w:before="0" w:after="0"/>
              <w:jc w:val="right"/>
              <w:rPr>
                <w:sz w:val="12"/>
                <w:szCs w:val="12"/>
                <w:lang w:val="fr-BE"/>
              </w:rPr>
            </w:pPr>
          </w:p>
        </w:tc>
        <w:tc>
          <w:tcPr>
            <w:tcW w:w="0" w:type="auto"/>
            <w:shd w:val="clear" w:color="auto" w:fill="auto"/>
          </w:tcPr>
          <w:p w14:paraId="224187AA" w14:textId="77777777" w:rsidR="008C5CFA" w:rsidRPr="00BA47B4" w:rsidRDefault="008C5CFA" w:rsidP="00300A01">
            <w:pPr>
              <w:spacing w:before="0" w:after="0"/>
              <w:jc w:val="right"/>
              <w:rPr>
                <w:sz w:val="12"/>
                <w:szCs w:val="12"/>
                <w:lang w:val="fr-BE"/>
              </w:rPr>
            </w:pPr>
          </w:p>
        </w:tc>
        <w:tc>
          <w:tcPr>
            <w:tcW w:w="0" w:type="auto"/>
            <w:shd w:val="clear" w:color="auto" w:fill="auto"/>
          </w:tcPr>
          <w:p w14:paraId="46FE414D" w14:textId="77777777" w:rsidR="008C5CFA" w:rsidRPr="00BA47B4" w:rsidRDefault="008C5CFA" w:rsidP="00300A01">
            <w:pPr>
              <w:spacing w:before="0" w:after="0"/>
              <w:jc w:val="right"/>
              <w:rPr>
                <w:sz w:val="12"/>
                <w:szCs w:val="12"/>
                <w:lang w:val="fr-BE"/>
              </w:rPr>
            </w:pPr>
          </w:p>
        </w:tc>
        <w:tc>
          <w:tcPr>
            <w:tcW w:w="0" w:type="auto"/>
            <w:shd w:val="clear" w:color="auto" w:fill="auto"/>
          </w:tcPr>
          <w:p w14:paraId="231BF7D3" w14:textId="77777777" w:rsidR="008C5CFA" w:rsidRPr="00BA47B4" w:rsidRDefault="00E82A60" w:rsidP="00300A01">
            <w:pPr>
              <w:spacing w:before="0" w:after="0"/>
              <w:jc w:val="right"/>
              <w:rPr>
                <w:sz w:val="12"/>
                <w:szCs w:val="12"/>
                <w:lang w:val="fr-BE"/>
              </w:rPr>
            </w:pPr>
            <w:r w:rsidRPr="00BA47B4">
              <w:rPr>
                <w:noProof/>
                <w:sz w:val="12"/>
                <w:szCs w:val="12"/>
                <w:lang w:val="fr-BE"/>
              </w:rPr>
              <w:t>92,00</w:t>
            </w:r>
          </w:p>
        </w:tc>
        <w:tc>
          <w:tcPr>
            <w:tcW w:w="0" w:type="auto"/>
            <w:shd w:val="clear" w:color="auto" w:fill="auto"/>
          </w:tcPr>
          <w:p w14:paraId="02FF0CC2" w14:textId="77777777" w:rsidR="008C5CFA" w:rsidRPr="00BA47B4" w:rsidRDefault="00E82A60" w:rsidP="00300A01">
            <w:pPr>
              <w:spacing w:before="0" w:after="0"/>
              <w:jc w:val="right"/>
              <w:rPr>
                <w:sz w:val="12"/>
                <w:szCs w:val="12"/>
                <w:lang w:val="fr-BE"/>
              </w:rPr>
            </w:pPr>
            <w:r w:rsidRPr="00BA47B4">
              <w:rPr>
                <w:noProof/>
                <w:sz w:val="12"/>
                <w:szCs w:val="12"/>
                <w:lang w:val="fr-BE"/>
              </w:rPr>
              <w:t>11,00</w:t>
            </w:r>
          </w:p>
        </w:tc>
        <w:tc>
          <w:tcPr>
            <w:tcW w:w="0" w:type="auto"/>
            <w:shd w:val="clear" w:color="auto" w:fill="auto"/>
          </w:tcPr>
          <w:p w14:paraId="0D991D4F" w14:textId="77777777" w:rsidR="008C5CFA" w:rsidRPr="00BA47B4" w:rsidRDefault="00E82A60" w:rsidP="00300A01">
            <w:pPr>
              <w:spacing w:before="0" w:after="0"/>
              <w:jc w:val="right"/>
              <w:rPr>
                <w:sz w:val="12"/>
                <w:szCs w:val="12"/>
                <w:lang w:val="fr-BE"/>
              </w:rPr>
            </w:pPr>
            <w:r w:rsidRPr="00BA47B4">
              <w:rPr>
                <w:noProof/>
                <w:sz w:val="12"/>
                <w:szCs w:val="12"/>
                <w:lang w:val="fr-BE"/>
              </w:rPr>
              <w:t>81,00</w:t>
            </w:r>
          </w:p>
        </w:tc>
        <w:tc>
          <w:tcPr>
            <w:tcW w:w="0" w:type="auto"/>
            <w:shd w:val="clear" w:color="auto" w:fill="auto"/>
          </w:tcPr>
          <w:p w14:paraId="46062755" w14:textId="77777777" w:rsidR="008C5CFA" w:rsidRPr="00BA47B4" w:rsidRDefault="008C5CFA" w:rsidP="00300A01">
            <w:pPr>
              <w:spacing w:before="0" w:after="0"/>
              <w:jc w:val="right"/>
              <w:rPr>
                <w:sz w:val="12"/>
                <w:szCs w:val="12"/>
                <w:lang w:val="fr-BE"/>
              </w:rPr>
            </w:pPr>
          </w:p>
        </w:tc>
        <w:tc>
          <w:tcPr>
            <w:tcW w:w="0" w:type="auto"/>
            <w:shd w:val="clear" w:color="auto" w:fill="auto"/>
          </w:tcPr>
          <w:p w14:paraId="751FCB3B" w14:textId="77777777" w:rsidR="008C5CFA" w:rsidRPr="00BA47B4" w:rsidRDefault="008C5CFA" w:rsidP="00300A01">
            <w:pPr>
              <w:spacing w:before="0" w:after="0"/>
              <w:jc w:val="right"/>
              <w:rPr>
                <w:sz w:val="12"/>
                <w:szCs w:val="12"/>
                <w:lang w:val="fr-BE"/>
              </w:rPr>
            </w:pPr>
          </w:p>
        </w:tc>
        <w:tc>
          <w:tcPr>
            <w:tcW w:w="0" w:type="auto"/>
            <w:shd w:val="clear" w:color="auto" w:fill="auto"/>
          </w:tcPr>
          <w:p w14:paraId="5FC49117" w14:textId="77777777" w:rsidR="008C5CFA" w:rsidRPr="00BA47B4" w:rsidRDefault="008C5CFA" w:rsidP="00300A01">
            <w:pPr>
              <w:spacing w:before="0" w:after="0"/>
              <w:jc w:val="right"/>
              <w:rPr>
                <w:sz w:val="12"/>
                <w:szCs w:val="12"/>
                <w:lang w:val="fr-BE"/>
              </w:rPr>
            </w:pPr>
          </w:p>
        </w:tc>
        <w:tc>
          <w:tcPr>
            <w:tcW w:w="0" w:type="auto"/>
          </w:tcPr>
          <w:p w14:paraId="12FF0689" w14:textId="77777777" w:rsidR="008C5CFA" w:rsidRPr="00A92B39" w:rsidRDefault="00E82A60" w:rsidP="00300A01">
            <w:pPr>
              <w:spacing w:before="0" w:after="0"/>
              <w:jc w:val="right"/>
              <w:rPr>
                <w:sz w:val="10"/>
                <w:szCs w:val="10"/>
                <w:lang w:val="fr-BE"/>
              </w:rPr>
            </w:pPr>
            <w:r w:rsidRPr="00A92B39">
              <w:rPr>
                <w:noProof/>
                <w:sz w:val="10"/>
                <w:szCs w:val="10"/>
                <w:lang w:val="fr-BE"/>
              </w:rPr>
              <w:t>28,00</w:t>
            </w:r>
          </w:p>
        </w:tc>
        <w:tc>
          <w:tcPr>
            <w:tcW w:w="0" w:type="auto"/>
            <w:shd w:val="clear" w:color="auto" w:fill="auto"/>
          </w:tcPr>
          <w:p w14:paraId="5CAA6DD1" w14:textId="77777777" w:rsidR="008C5CFA" w:rsidRPr="00A92B39" w:rsidRDefault="00E82A60" w:rsidP="00300A01">
            <w:pPr>
              <w:spacing w:before="0" w:after="0"/>
              <w:jc w:val="right"/>
              <w:rPr>
                <w:sz w:val="10"/>
                <w:szCs w:val="10"/>
                <w:lang w:val="fr-BE"/>
              </w:rPr>
            </w:pPr>
            <w:r w:rsidRPr="00A92B39">
              <w:rPr>
                <w:noProof/>
                <w:sz w:val="10"/>
                <w:szCs w:val="10"/>
                <w:lang w:val="fr-BE"/>
              </w:rPr>
              <w:t>9,00</w:t>
            </w:r>
          </w:p>
        </w:tc>
        <w:tc>
          <w:tcPr>
            <w:tcW w:w="0" w:type="auto"/>
            <w:shd w:val="clear" w:color="auto" w:fill="auto"/>
          </w:tcPr>
          <w:p w14:paraId="1143BFAC" w14:textId="77777777" w:rsidR="008C5CFA" w:rsidRPr="00BA47B4" w:rsidRDefault="00E82A60" w:rsidP="00300A01">
            <w:pPr>
              <w:spacing w:before="0" w:after="0"/>
              <w:jc w:val="right"/>
              <w:rPr>
                <w:sz w:val="12"/>
                <w:szCs w:val="12"/>
                <w:lang w:val="fr-BE"/>
              </w:rPr>
            </w:pPr>
            <w:r w:rsidRPr="00A92B39">
              <w:rPr>
                <w:noProof/>
                <w:sz w:val="10"/>
                <w:szCs w:val="10"/>
                <w:lang w:val="fr-BE"/>
              </w:rPr>
              <w:t>19,00</w:t>
            </w:r>
          </w:p>
        </w:tc>
      </w:tr>
      <w:tr w:rsidR="006B2EC1" w14:paraId="25736A38" w14:textId="77777777" w:rsidTr="0047688D">
        <w:tc>
          <w:tcPr>
            <w:tcW w:w="0" w:type="auto"/>
            <w:shd w:val="clear" w:color="auto" w:fill="auto"/>
          </w:tcPr>
          <w:p w14:paraId="43D69E33" w14:textId="77777777" w:rsidR="008C5CFA" w:rsidRPr="00BA47B4" w:rsidRDefault="00E82A60" w:rsidP="00300A01">
            <w:pPr>
              <w:spacing w:before="0" w:after="0"/>
              <w:rPr>
                <w:sz w:val="12"/>
                <w:szCs w:val="12"/>
                <w:lang w:val="fr-BE"/>
              </w:rPr>
            </w:pPr>
            <w:r>
              <w:rPr>
                <w:noProof/>
                <w:sz w:val="12"/>
                <w:szCs w:val="12"/>
                <w:lang w:val="fr-BE"/>
              </w:rPr>
              <w:t>CO16</w:t>
            </w:r>
          </w:p>
        </w:tc>
        <w:tc>
          <w:tcPr>
            <w:tcW w:w="0" w:type="auto"/>
            <w:shd w:val="clear" w:color="auto" w:fill="auto"/>
          </w:tcPr>
          <w:p w14:paraId="1B7FE5B8" w14:textId="77777777" w:rsidR="008C5CFA" w:rsidRPr="00BA47B4" w:rsidRDefault="00E82A60" w:rsidP="00300A01">
            <w:pPr>
              <w:spacing w:before="0" w:after="0"/>
              <w:rPr>
                <w:sz w:val="12"/>
                <w:szCs w:val="12"/>
                <w:lang w:val="fr-BE"/>
              </w:rPr>
            </w:pPr>
            <w:r>
              <w:rPr>
                <w:noProof/>
                <w:sz w:val="12"/>
                <w:szCs w:val="12"/>
                <w:lang w:val="fr-BE"/>
              </w:rPr>
              <w:t>uczestnicy z niepełnosprawnościami</w:t>
            </w:r>
          </w:p>
        </w:tc>
        <w:tc>
          <w:tcPr>
            <w:tcW w:w="0" w:type="auto"/>
            <w:shd w:val="clear" w:color="auto" w:fill="auto"/>
          </w:tcPr>
          <w:p w14:paraId="149C797F" w14:textId="77777777" w:rsidR="008C5CFA" w:rsidRPr="00BA47B4" w:rsidRDefault="00E82A60"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14:paraId="51EDB2B6" w14:textId="77777777" w:rsidR="008C5CFA" w:rsidRPr="00BA47B4" w:rsidRDefault="008C5CFA" w:rsidP="00300A01">
            <w:pPr>
              <w:spacing w:before="0" w:after="0"/>
              <w:jc w:val="right"/>
              <w:rPr>
                <w:sz w:val="12"/>
                <w:szCs w:val="12"/>
                <w:lang w:val="fr-BE"/>
              </w:rPr>
            </w:pPr>
          </w:p>
        </w:tc>
        <w:tc>
          <w:tcPr>
            <w:tcW w:w="0" w:type="auto"/>
            <w:shd w:val="clear" w:color="auto" w:fill="auto"/>
          </w:tcPr>
          <w:p w14:paraId="26EDC516" w14:textId="77777777" w:rsidR="008C5CFA" w:rsidRPr="00BA47B4" w:rsidRDefault="008C5CFA" w:rsidP="00300A01">
            <w:pPr>
              <w:spacing w:before="0" w:after="0"/>
              <w:jc w:val="right"/>
              <w:rPr>
                <w:sz w:val="12"/>
                <w:szCs w:val="12"/>
                <w:lang w:val="fr-BE"/>
              </w:rPr>
            </w:pPr>
          </w:p>
        </w:tc>
        <w:tc>
          <w:tcPr>
            <w:tcW w:w="0" w:type="auto"/>
            <w:shd w:val="clear" w:color="auto" w:fill="auto"/>
          </w:tcPr>
          <w:p w14:paraId="0AAEB616" w14:textId="77777777" w:rsidR="008C5CFA" w:rsidRPr="00BA47B4" w:rsidRDefault="008C5CFA" w:rsidP="00300A01">
            <w:pPr>
              <w:spacing w:before="0" w:after="0"/>
              <w:jc w:val="right"/>
              <w:rPr>
                <w:sz w:val="12"/>
                <w:szCs w:val="12"/>
                <w:lang w:val="fr-BE"/>
              </w:rPr>
            </w:pPr>
          </w:p>
        </w:tc>
        <w:tc>
          <w:tcPr>
            <w:tcW w:w="0" w:type="auto"/>
            <w:shd w:val="clear" w:color="auto" w:fill="auto"/>
          </w:tcPr>
          <w:p w14:paraId="6B8C1C57" w14:textId="77777777" w:rsidR="008C5CFA" w:rsidRPr="00BA47B4" w:rsidRDefault="00E82A60" w:rsidP="00300A01">
            <w:pPr>
              <w:spacing w:before="0" w:after="0"/>
              <w:jc w:val="right"/>
              <w:rPr>
                <w:sz w:val="12"/>
                <w:szCs w:val="12"/>
                <w:lang w:val="fr-BE"/>
              </w:rPr>
            </w:pPr>
            <w:r w:rsidRPr="00BA47B4">
              <w:rPr>
                <w:noProof/>
                <w:sz w:val="12"/>
                <w:szCs w:val="12"/>
                <w:lang w:val="fr-BE"/>
              </w:rPr>
              <w:t>1 993,00</w:t>
            </w:r>
          </w:p>
        </w:tc>
        <w:tc>
          <w:tcPr>
            <w:tcW w:w="0" w:type="auto"/>
            <w:shd w:val="clear" w:color="auto" w:fill="auto"/>
          </w:tcPr>
          <w:p w14:paraId="79283834" w14:textId="77777777" w:rsidR="008C5CFA" w:rsidRPr="00BA47B4" w:rsidRDefault="00E82A60" w:rsidP="00300A01">
            <w:pPr>
              <w:spacing w:before="0" w:after="0"/>
              <w:jc w:val="right"/>
              <w:rPr>
                <w:sz w:val="12"/>
                <w:szCs w:val="12"/>
                <w:lang w:val="fr-BE"/>
              </w:rPr>
            </w:pPr>
            <w:r w:rsidRPr="00BA47B4">
              <w:rPr>
                <w:noProof/>
                <w:sz w:val="12"/>
                <w:szCs w:val="12"/>
                <w:lang w:val="fr-BE"/>
              </w:rPr>
              <w:t>526,00</w:t>
            </w:r>
          </w:p>
        </w:tc>
        <w:tc>
          <w:tcPr>
            <w:tcW w:w="0" w:type="auto"/>
            <w:shd w:val="clear" w:color="auto" w:fill="auto"/>
          </w:tcPr>
          <w:p w14:paraId="170113CF" w14:textId="77777777" w:rsidR="008C5CFA" w:rsidRPr="00BA47B4" w:rsidRDefault="00E82A60" w:rsidP="00300A01">
            <w:pPr>
              <w:spacing w:before="0" w:after="0"/>
              <w:jc w:val="right"/>
              <w:rPr>
                <w:sz w:val="12"/>
                <w:szCs w:val="12"/>
                <w:lang w:val="fr-BE"/>
              </w:rPr>
            </w:pPr>
            <w:r w:rsidRPr="00BA47B4">
              <w:rPr>
                <w:noProof/>
                <w:sz w:val="12"/>
                <w:szCs w:val="12"/>
                <w:lang w:val="fr-BE"/>
              </w:rPr>
              <w:t>1 467,00</w:t>
            </w:r>
          </w:p>
        </w:tc>
        <w:tc>
          <w:tcPr>
            <w:tcW w:w="0" w:type="auto"/>
            <w:shd w:val="clear" w:color="auto" w:fill="auto"/>
          </w:tcPr>
          <w:p w14:paraId="1F61BBDA" w14:textId="77777777" w:rsidR="008C5CFA" w:rsidRPr="00BA47B4" w:rsidRDefault="008C5CFA" w:rsidP="00300A01">
            <w:pPr>
              <w:spacing w:before="0" w:after="0"/>
              <w:jc w:val="right"/>
              <w:rPr>
                <w:sz w:val="12"/>
                <w:szCs w:val="12"/>
                <w:lang w:val="fr-BE"/>
              </w:rPr>
            </w:pPr>
          </w:p>
        </w:tc>
        <w:tc>
          <w:tcPr>
            <w:tcW w:w="0" w:type="auto"/>
            <w:shd w:val="clear" w:color="auto" w:fill="auto"/>
          </w:tcPr>
          <w:p w14:paraId="037050E6" w14:textId="77777777" w:rsidR="008C5CFA" w:rsidRPr="00BA47B4" w:rsidRDefault="008C5CFA" w:rsidP="00300A01">
            <w:pPr>
              <w:spacing w:before="0" w:after="0"/>
              <w:jc w:val="right"/>
              <w:rPr>
                <w:sz w:val="12"/>
                <w:szCs w:val="12"/>
                <w:lang w:val="fr-BE"/>
              </w:rPr>
            </w:pPr>
          </w:p>
        </w:tc>
        <w:tc>
          <w:tcPr>
            <w:tcW w:w="0" w:type="auto"/>
            <w:shd w:val="clear" w:color="auto" w:fill="auto"/>
          </w:tcPr>
          <w:p w14:paraId="06DC2B99" w14:textId="77777777" w:rsidR="008C5CFA" w:rsidRPr="00BA47B4" w:rsidRDefault="008C5CFA" w:rsidP="00300A01">
            <w:pPr>
              <w:spacing w:before="0" w:after="0"/>
              <w:jc w:val="right"/>
              <w:rPr>
                <w:sz w:val="12"/>
                <w:szCs w:val="12"/>
                <w:lang w:val="fr-BE"/>
              </w:rPr>
            </w:pPr>
          </w:p>
        </w:tc>
        <w:tc>
          <w:tcPr>
            <w:tcW w:w="0" w:type="auto"/>
          </w:tcPr>
          <w:p w14:paraId="47814E38" w14:textId="77777777" w:rsidR="008C5CFA" w:rsidRPr="00A92B39" w:rsidRDefault="00E82A60" w:rsidP="00300A01">
            <w:pPr>
              <w:spacing w:before="0" w:after="0"/>
              <w:jc w:val="right"/>
              <w:rPr>
                <w:sz w:val="10"/>
                <w:szCs w:val="10"/>
                <w:lang w:val="fr-BE"/>
              </w:rPr>
            </w:pPr>
            <w:r w:rsidRPr="00A92B39">
              <w:rPr>
                <w:noProof/>
                <w:sz w:val="10"/>
                <w:szCs w:val="10"/>
                <w:lang w:val="fr-BE"/>
              </w:rPr>
              <w:t>723,00</w:t>
            </w:r>
          </w:p>
        </w:tc>
        <w:tc>
          <w:tcPr>
            <w:tcW w:w="0" w:type="auto"/>
            <w:shd w:val="clear" w:color="auto" w:fill="auto"/>
          </w:tcPr>
          <w:p w14:paraId="46A298AE" w14:textId="77777777" w:rsidR="008C5CFA" w:rsidRPr="00A92B39" w:rsidRDefault="00E82A60" w:rsidP="00300A01">
            <w:pPr>
              <w:spacing w:before="0" w:after="0"/>
              <w:jc w:val="right"/>
              <w:rPr>
                <w:sz w:val="10"/>
                <w:szCs w:val="10"/>
                <w:lang w:val="fr-BE"/>
              </w:rPr>
            </w:pPr>
            <w:r w:rsidRPr="00A92B39">
              <w:rPr>
                <w:noProof/>
                <w:sz w:val="10"/>
                <w:szCs w:val="10"/>
                <w:lang w:val="fr-BE"/>
              </w:rPr>
              <w:t>243,00</w:t>
            </w:r>
          </w:p>
        </w:tc>
        <w:tc>
          <w:tcPr>
            <w:tcW w:w="0" w:type="auto"/>
            <w:shd w:val="clear" w:color="auto" w:fill="auto"/>
          </w:tcPr>
          <w:p w14:paraId="66C818FC" w14:textId="77777777" w:rsidR="008C5CFA" w:rsidRPr="00BA47B4" w:rsidRDefault="00E82A60" w:rsidP="00300A01">
            <w:pPr>
              <w:spacing w:before="0" w:after="0"/>
              <w:jc w:val="right"/>
              <w:rPr>
                <w:sz w:val="12"/>
                <w:szCs w:val="12"/>
                <w:lang w:val="fr-BE"/>
              </w:rPr>
            </w:pPr>
            <w:r w:rsidRPr="00A92B39">
              <w:rPr>
                <w:noProof/>
                <w:sz w:val="10"/>
                <w:szCs w:val="10"/>
                <w:lang w:val="fr-BE"/>
              </w:rPr>
              <w:t>480,00</w:t>
            </w:r>
          </w:p>
        </w:tc>
      </w:tr>
      <w:tr w:rsidR="006B2EC1" w14:paraId="30BBB36F" w14:textId="77777777" w:rsidTr="0047688D">
        <w:tc>
          <w:tcPr>
            <w:tcW w:w="0" w:type="auto"/>
            <w:shd w:val="clear" w:color="auto" w:fill="auto"/>
          </w:tcPr>
          <w:p w14:paraId="57BEA4AF" w14:textId="77777777" w:rsidR="008C5CFA" w:rsidRPr="00BA47B4" w:rsidRDefault="00E82A60" w:rsidP="00300A01">
            <w:pPr>
              <w:spacing w:before="0" w:after="0"/>
              <w:rPr>
                <w:sz w:val="12"/>
                <w:szCs w:val="12"/>
                <w:lang w:val="fr-BE"/>
              </w:rPr>
            </w:pPr>
            <w:r>
              <w:rPr>
                <w:noProof/>
                <w:sz w:val="12"/>
                <w:szCs w:val="12"/>
                <w:lang w:val="fr-BE"/>
              </w:rPr>
              <w:t>CO17</w:t>
            </w:r>
          </w:p>
        </w:tc>
        <w:tc>
          <w:tcPr>
            <w:tcW w:w="0" w:type="auto"/>
            <w:shd w:val="clear" w:color="auto" w:fill="auto"/>
          </w:tcPr>
          <w:p w14:paraId="47C0AC35" w14:textId="77777777" w:rsidR="008C5CFA" w:rsidRPr="00BA47B4" w:rsidRDefault="00E82A60" w:rsidP="00300A01">
            <w:pPr>
              <w:spacing w:before="0" w:after="0"/>
              <w:rPr>
                <w:sz w:val="12"/>
                <w:szCs w:val="12"/>
                <w:lang w:val="fr-BE"/>
              </w:rPr>
            </w:pPr>
            <w:r>
              <w:rPr>
                <w:noProof/>
                <w:sz w:val="12"/>
                <w:szCs w:val="12"/>
                <w:lang w:val="fr-BE"/>
              </w:rPr>
              <w:t>inne osoby w niekorzystnej sytuacji społecznej</w:t>
            </w:r>
          </w:p>
        </w:tc>
        <w:tc>
          <w:tcPr>
            <w:tcW w:w="0" w:type="auto"/>
            <w:shd w:val="clear" w:color="auto" w:fill="auto"/>
          </w:tcPr>
          <w:p w14:paraId="459B56E7" w14:textId="77777777" w:rsidR="008C5CFA" w:rsidRPr="00BA47B4" w:rsidRDefault="00E82A60"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14:paraId="7361BA1A" w14:textId="77777777" w:rsidR="008C5CFA" w:rsidRPr="00BA47B4" w:rsidRDefault="008C5CFA" w:rsidP="00300A01">
            <w:pPr>
              <w:spacing w:before="0" w:after="0"/>
              <w:jc w:val="right"/>
              <w:rPr>
                <w:sz w:val="12"/>
                <w:szCs w:val="12"/>
                <w:lang w:val="fr-BE"/>
              </w:rPr>
            </w:pPr>
          </w:p>
        </w:tc>
        <w:tc>
          <w:tcPr>
            <w:tcW w:w="0" w:type="auto"/>
            <w:shd w:val="clear" w:color="auto" w:fill="auto"/>
          </w:tcPr>
          <w:p w14:paraId="072D5DA7" w14:textId="77777777" w:rsidR="008C5CFA" w:rsidRPr="00BA47B4" w:rsidRDefault="008C5CFA" w:rsidP="00300A01">
            <w:pPr>
              <w:spacing w:before="0" w:after="0"/>
              <w:jc w:val="right"/>
              <w:rPr>
                <w:sz w:val="12"/>
                <w:szCs w:val="12"/>
                <w:lang w:val="fr-BE"/>
              </w:rPr>
            </w:pPr>
          </w:p>
        </w:tc>
        <w:tc>
          <w:tcPr>
            <w:tcW w:w="0" w:type="auto"/>
            <w:shd w:val="clear" w:color="auto" w:fill="auto"/>
          </w:tcPr>
          <w:p w14:paraId="726E79DA" w14:textId="77777777" w:rsidR="008C5CFA" w:rsidRPr="00BA47B4" w:rsidRDefault="008C5CFA" w:rsidP="00300A01">
            <w:pPr>
              <w:spacing w:before="0" w:after="0"/>
              <w:jc w:val="right"/>
              <w:rPr>
                <w:sz w:val="12"/>
                <w:szCs w:val="12"/>
                <w:lang w:val="fr-BE"/>
              </w:rPr>
            </w:pPr>
          </w:p>
        </w:tc>
        <w:tc>
          <w:tcPr>
            <w:tcW w:w="0" w:type="auto"/>
            <w:shd w:val="clear" w:color="auto" w:fill="auto"/>
          </w:tcPr>
          <w:p w14:paraId="13458427" w14:textId="77777777" w:rsidR="008C5CFA" w:rsidRPr="00BA47B4" w:rsidRDefault="00E82A60" w:rsidP="00300A01">
            <w:pPr>
              <w:spacing w:before="0" w:after="0"/>
              <w:jc w:val="right"/>
              <w:rPr>
                <w:sz w:val="12"/>
                <w:szCs w:val="12"/>
                <w:lang w:val="fr-BE"/>
              </w:rPr>
            </w:pPr>
            <w:r w:rsidRPr="00BA47B4">
              <w:rPr>
                <w:noProof/>
                <w:sz w:val="12"/>
                <w:szCs w:val="12"/>
                <w:lang w:val="fr-BE"/>
              </w:rPr>
              <w:t>2 057,00</w:t>
            </w:r>
          </w:p>
        </w:tc>
        <w:tc>
          <w:tcPr>
            <w:tcW w:w="0" w:type="auto"/>
            <w:shd w:val="clear" w:color="auto" w:fill="auto"/>
          </w:tcPr>
          <w:p w14:paraId="6CEB8BA1" w14:textId="77777777" w:rsidR="008C5CFA" w:rsidRPr="00BA47B4" w:rsidRDefault="00E82A60" w:rsidP="00300A01">
            <w:pPr>
              <w:spacing w:before="0" w:after="0"/>
              <w:jc w:val="right"/>
              <w:rPr>
                <w:sz w:val="12"/>
                <w:szCs w:val="12"/>
                <w:lang w:val="fr-BE"/>
              </w:rPr>
            </w:pPr>
            <w:r w:rsidRPr="00BA47B4">
              <w:rPr>
                <w:noProof/>
                <w:sz w:val="12"/>
                <w:szCs w:val="12"/>
                <w:lang w:val="fr-BE"/>
              </w:rPr>
              <w:t>669,00</w:t>
            </w:r>
          </w:p>
        </w:tc>
        <w:tc>
          <w:tcPr>
            <w:tcW w:w="0" w:type="auto"/>
            <w:shd w:val="clear" w:color="auto" w:fill="auto"/>
          </w:tcPr>
          <w:p w14:paraId="235899EC" w14:textId="77777777" w:rsidR="008C5CFA" w:rsidRPr="00BA47B4" w:rsidRDefault="00E82A60" w:rsidP="00300A01">
            <w:pPr>
              <w:spacing w:before="0" w:after="0"/>
              <w:jc w:val="right"/>
              <w:rPr>
                <w:sz w:val="12"/>
                <w:szCs w:val="12"/>
                <w:lang w:val="fr-BE"/>
              </w:rPr>
            </w:pPr>
            <w:r w:rsidRPr="00BA47B4">
              <w:rPr>
                <w:noProof/>
                <w:sz w:val="12"/>
                <w:szCs w:val="12"/>
                <w:lang w:val="fr-BE"/>
              </w:rPr>
              <w:t>1 388,00</w:t>
            </w:r>
          </w:p>
        </w:tc>
        <w:tc>
          <w:tcPr>
            <w:tcW w:w="0" w:type="auto"/>
            <w:shd w:val="clear" w:color="auto" w:fill="auto"/>
          </w:tcPr>
          <w:p w14:paraId="1915C515" w14:textId="77777777" w:rsidR="008C5CFA" w:rsidRPr="00BA47B4" w:rsidRDefault="008C5CFA" w:rsidP="00300A01">
            <w:pPr>
              <w:spacing w:before="0" w:after="0"/>
              <w:jc w:val="right"/>
              <w:rPr>
                <w:sz w:val="12"/>
                <w:szCs w:val="12"/>
                <w:lang w:val="fr-BE"/>
              </w:rPr>
            </w:pPr>
          </w:p>
        </w:tc>
        <w:tc>
          <w:tcPr>
            <w:tcW w:w="0" w:type="auto"/>
            <w:shd w:val="clear" w:color="auto" w:fill="auto"/>
          </w:tcPr>
          <w:p w14:paraId="73368201" w14:textId="77777777" w:rsidR="008C5CFA" w:rsidRPr="00BA47B4" w:rsidRDefault="008C5CFA" w:rsidP="00300A01">
            <w:pPr>
              <w:spacing w:before="0" w:after="0"/>
              <w:jc w:val="right"/>
              <w:rPr>
                <w:sz w:val="12"/>
                <w:szCs w:val="12"/>
                <w:lang w:val="fr-BE"/>
              </w:rPr>
            </w:pPr>
          </w:p>
        </w:tc>
        <w:tc>
          <w:tcPr>
            <w:tcW w:w="0" w:type="auto"/>
            <w:shd w:val="clear" w:color="auto" w:fill="auto"/>
          </w:tcPr>
          <w:p w14:paraId="0D26563B" w14:textId="77777777" w:rsidR="008C5CFA" w:rsidRPr="00BA47B4" w:rsidRDefault="008C5CFA" w:rsidP="00300A01">
            <w:pPr>
              <w:spacing w:before="0" w:after="0"/>
              <w:jc w:val="right"/>
              <w:rPr>
                <w:sz w:val="12"/>
                <w:szCs w:val="12"/>
                <w:lang w:val="fr-BE"/>
              </w:rPr>
            </w:pPr>
          </w:p>
        </w:tc>
        <w:tc>
          <w:tcPr>
            <w:tcW w:w="0" w:type="auto"/>
          </w:tcPr>
          <w:p w14:paraId="12C6BE46" w14:textId="77777777" w:rsidR="008C5CFA" w:rsidRPr="00A92B39" w:rsidRDefault="00E82A60" w:rsidP="00300A01">
            <w:pPr>
              <w:spacing w:before="0" w:after="0"/>
              <w:jc w:val="right"/>
              <w:rPr>
                <w:sz w:val="10"/>
                <w:szCs w:val="10"/>
                <w:lang w:val="fr-BE"/>
              </w:rPr>
            </w:pPr>
            <w:r w:rsidRPr="00A92B39">
              <w:rPr>
                <w:noProof/>
                <w:sz w:val="10"/>
                <w:szCs w:val="10"/>
                <w:lang w:val="fr-BE"/>
              </w:rPr>
              <w:t>1 179,00</w:t>
            </w:r>
          </w:p>
        </w:tc>
        <w:tc>
          <w:tcPr>
            <w:tcW w:w="0" w:type="auto"/>
            <w:shd w:val="clear" w:color="auto" w:fill="auto"/>
          </w:tcPr>
          <w:p w14:paraId="6D7E36AE" w14:textId="77777777" w:rsidR="008C5CFA" w:rsidRPr="00A92B39" w:rsidRDefault="00E82A60" w:rsidP="00300A01">
            <w:pPr>
              <w:spacing w:before="0" w:after="0"/>
              <w:jc w:val="right"/>
              <w:rPr>
                <w:sz w:val="10"/>
                <w:szCs w:val="10"/>
                <w:lang w:val="fr-BE"/>
              </w:rPr>
            </w:pPr>
            <w:r w:rsidRPr="00A92B39">
              <w:rPr>
                <w:noProof/>
                <w:sz w:val="10"/>
                <w:szCs w:val="10"/>
                <w:lang w:val="fr-BE"/>
              </w:rPr>
              <w:t>530,00</w:t>
            </w:r>
          </w:p>
        </w:tc>
        <w:tc>
          <w:tcPr>
            <w:tcW w:w="0" w:type="auto"/>
            <w:shd w:val="clear" w:color="auto" w:fill="auto"/>
          </w:tcPr>
          <w:p w14:paraId="1E049458" w14:textId="77777777" w:rsidR="008C5CFA" w:rsidRPr="00BA47B4" w:rsidRDefault="00E82A60" w:rsidP="00300A01">
            <w:pPr>
              <w:spacing w:before="0" w:after="0"/>
              <w:jc w:val="right"/>
              <w:rPr>
                <w:sz w:val="12"/>
                <w:szCs w:val="12"/>
                <w:lang w:val="fr-BE"/>
              </w:rPr>
            </w:pPr>
            <w:r w:rsidRPr="00A92B39">
              <w:rPr>
                <w:noProof/>
                <w:sz w:val="10"/>
                <w:szCs w:val="10"/>
                <w:lang w:val="fr-BE"/>
              </w:rPr>
              <w:t>649,00</w:t>
            </w:r>
          </w:p>
        </w:tc>
      </w:tr>
      <w:tr w:rsidR="006B2EC1" w14:paraId="370D4C0D" w14:textId="77777777" w:rsidTr="0047688D">
        <w:tc>
          <w:tcPr>
            <w:tcW w:w="0" w:type="auto"/>
            <w:shd w:val="clear" w:color="auto" w:fill="auto"/>
          </w:tcPr>
          <w:p w14:paraId="2BDF7D65" w14:textId="77777777" w:rsidR="008C5CFA" w:rsidRPr="00BA47B4" w:rsidRDefault="00E82A60" w:rsidP="00300A01">
            <w:pPr>
              <w:spacing w:before="0" w:after="0"/>
              <w:rPr>
                <w:sz w:val="12"/>
                <w:szCs w:val="12"/>
                <w:lang w:val="fr-BE"/>
              </w:rPr>
            </w:pPr>
            <w:r>
              <w:rPr>
                <w:noProof/>
                <w:sz w:val="12"/>
                <w:szCs w:val="12"/>
                <w:lang w:val="fr-BE"/>
              </w:rPr>
              <w:t>CO18</w:t>
            </w:r>
          </w:p>
        </w:tc>
        <w:tc>
          <w:tcPr>
            <w:tcW w:w="0" w:type="auto"/>
            <w:shd w:val="clear" w:color="auto" w:fill="auto"/>
          </w:tcPr>
          <w:p w14:paraId="37DA5DE3" w14:textId="77777777" w:rsidR="008C5CFA" w:rsidRPr="00BA47B4" w:rsidRDefault="00E82A60" w:rsidP="00300A01">
            <w:pPr>
              <w:spacing w:before="0" w:after="0"/>
              <w:rPr>
                <w:sz w:val="12"/>
                <w:szCs w:val="12"/>
                <w:lang w:val="fr-BE"/>
              </w:rPr>
            </w:pPr>
            <w:r>
              <w:rPr>
                <w:noProof/>
                <w:sz w:val="12"/>
                <w:szCs w:val="12"/>
                <w:lang w:val="fr-BE"/>
              </w:rPr>
              <w:t>osoby bezdomne lub dotknięte wykluczeniem z dostępu do mieszkań</w:t>
            </w:r>
          </w:p>
        </w:tc>
        <w:tc>
          <w:tcPr>
            <w:tcW w:w="0" w:type="auto"/>
            <w:shd w:val="clear" w:color="auto" w:fill="auto"/>
          </w:tcPr>
          <w:p w14:paraId="4F50B145" w14:textId="77777777" w:rsidR="008C5CFA" w:rsidRPr="00BA47B4" w:rsidRDefault="00E82A60"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14:paraId="65AD7BCE" w14:textId="77777777" w:rsidR="008C5CFA" w:rsidRPr="00BA47B4" w:rsidRDefault="008C5CFA" w:rsidP="00300A01">
            <w:pPr>
              <w:spacing w:before="0" w:after="0"/>
              <w:jc w:val="right"/>
              <w:rPr>
                <w:sz w:val="12"/>
                <w:szCs w:val="12"/>
                <w:lang w:val="fr-BE"/>
              </w:rPr>
            </w:pPr>
          </w:p>
        </w:tc>
        <w:tc>
          <w:tcPr>
            <w:tcW w:w="0" w:type="auto"/>
            <w:shd w:val="clear" w:color="auto" w:fill="auto"/>
          </w:tcPr>
          <w:p w14:paraId="4B738293" w14:textId="77777777" w:rsidR="008C5CFA" w:rsidRPr="00BA47B4" w:rsidRDefault="008C5CFA" w:rsidP="00300A01">
            <w:pPr>
              <w:spacing w:before="0" w:after="0"/>
              <w:jc w:val="right"/>
              <w:rPr>
                <w:sz w:val="12"/>
                <w:szCs w:val="12"/>
                <w:lang w:val="fr-BE"/>
              </w:rPr>
            </w:pPr>
          </w:p>
        </w:tc>
        <w:tc>
          <w:tcPr>
            <w:tcW w:w="0" w:type="auto"/>
            <w:shd w:val="clear" w:color="auto" w:fill="auto"/>
          </w:tcPr>
          <w:p w14:paraId="29651B18" w14:textId="77777777" w:rsidR="008C5CFA" w:rsidRPr="00BA47B4" w:rsidRDefault="008C5CFA" w:rsidP="00300A01">
            <w:pPr>
              <w:spacing w:before="0" w:after="0"/>
              <w:jc w:val="right"/>
              <w:rPr>
                <w:sz w:val="12"/>
                <w:szCs w:val="12"/>
                <w:lang w:val="fr-BE"/>
              </w:rPr>
            </w:pPr>
          </w:p>
        </w:tc>
        <w:tc>
          <w:tcPr>
            <w:tcW w:w="0" w:type="auto"/>
            <w:shd w:val="clear" w:color="auto" w:fill="auto"/>
          </w:tcPr>
          <w:p w14:paraId="26CD2B75" w14:textId="77777777" w:rsidR="008C5CFA" w:rsidRPr="00BA47B4" w:rsidRDefault="00E82A60" w:rsidP="00300A01">
            <w:pPr>
              <w:spacing w:before="0" w:after="0"/>
              <w:jc w:val="right"/>
              <w:rPr>
                <w:sz w:val="12"/>
                <w:szCs w:val="12"/>
                <w:lang w:val="fr-BE"/>
              </w:rPr>
            </w:pPr>
            <w:r w:rsidRPr="00BA47B4">
              <w:rPr>
                <w:noProof/>
                <w:sz w:val="12"/>
                <w:szCs w:val="12"/>
                <w:lang w:val="fr-BE"/>
              </w:rPr>
              <w:t>108,00</w:t>
            </w:r>
          </w:p>
        </w:tc>
        <w:tc>
          <w:tcPr>
            <w:tcW w:w="0" w:type="auto"/>
            <w:shd w:val="clear" w:color="auto" w:fill="auto"/>
          </w:tcPr>
          <w:p w14:paraId="2808E2C6" w14:textId="77777777" w:rsidR="008C5CFA" w:rsidRPr="00BA47B4" w:rsidRDefault="00E82A60" w:rsidP="00300A01">
            <w:pPr>
              <w:spacing w:before="0" w:after="0"/>
              <w:jc w:val="right"/>
              <w:rPr>
                <w:sz w:val="12"/>
                <w:szCs w:val="12"/>
                <w:lang w:val="fr-BE"/>
              </w:rPr>
            </w:pPr>
            <w:r w:rsidRPr="00BA47B4">
              <w:rPr>
                <w:noProof/>
                <w:sz w:val="12"/>
                <w:szCs w:val="12"/>
                <w:lang w:val="fr-BE"/>
              </w:rPr>
              <w:t>46,00</w:t>
            </w:r>
          </w:p>
        </w:tc>
        <w:tc>
          <w:tcPr>
            <w:tcW w:w="0" w:type="auto"/>
            <w:shd w:val="clear" w:color="auto" w:fill="auto"/>
          </w:tcPr>
          <w:p w14:paraId="77F09367" w14:textId="77777777" w:rsidR="008C5CFA" w:rsidRPr="00BA47B4" w:rsidRDefault="00E82A60" w:rsidP="00300A01">
            <w:pPr>
              <w:spacing w:before="0" w:after="0"/>
              <w:jc w:val="right"/>
              <w:rPr>
                <w:sz w:val="12"/>
                <w:szCs w:val="12"/>
                <w:lang w:val="fr-BE"/>
              </w:rPr>
            </w:pPr>
            <w:r w:rsidRPr="00BA47B4">
              <w:rPr>
                <w:noProof/>
                <w:sz w:val="12"/>
                <w:szCs w:val="12"/>
                <w:lang w:val="fr-BE"/>
              </w:rPr>
              <w:t>62,00</w:t>
            </w:r>
          </w:p>
        </w:tc>
        <w:tc>
          <w:tcPr>
            <w:tcW w:w="0" w:type="auto"/>
            <w:shd w:val="clear" w:color="auto" w:fill="auto"/>
          </w:tcPr>
          <w:p w14:paraId="6353CF93" w14:textId="77777777" w:rsidR="008C5CFA" w:rsidRPr="00BA47B4" w:rsidRDefault="008C5CFA" w:rsidP="00300A01">
            <w:pPr>
              <w:spacing w:before="0" w:after="0"/>
              <w:jc w:val="right"/>
              <w:rPr>
                <w:sz w:val="12"/>
                <w:szCs w:val="12"/>
                <w:lang w:val="fr-BE"/>
              </w:rPr>
            </w:pPr>
          </w:p>
        </w:tc>
        <w:tc>
          <w:tcPr>
            <w:tcW w:w="0" w:type="auto"/>
            <w:shd w:val="clear" w:color="auto" w:fill="auto"/>
          </w:tcPr>
          <w:p w14:paraId="214F2FAB" w14:textId="77777777" w:rsidR="008C5CFA" w:rsidRPr="00BA47B4" w:rsidRDefault="008C5CFA" w:rsidP="00300A01">
            <w:pPr>
              <w:spacing w:before="0" w:after="0"/>
              <w:jc w:val="right"/>
              <w:rPr>
                <w:sz w:val="12"/>
                <w:szCs w:val="12"/>
                <w:lang w:val="fr-BE"/>
              </w:rPr>
            </w:pPr>
          </w:p>
        </w:tc>
        <w:tc>
          <w:tcPr>
            <w:tcW w:w="0" w:type="auto"/>
            <w:shd w:val="clear" w:color="auto" w:fill="auto"/>
          </w:tcPr>
          <w:p w14:paraId="75E470DC" w14:textId="77777777" w:rsidR="008C5CFA" w:rsidRPr="00BA47B4" w:rsidRDefault="008C5CFA" w:rsidP="00300A01">
            <w:pPr>
              <w:spacing w:before="0" w:after="0"/>
              <w:jc w:val="right"/>
              <w:rPr>
                <w:sz w:val="12"/>
                <w:szCs w:val="12"/>
                <w:lang w:val="fr-BE"/>
              </w:rPr>
            </w:pPr>
          </w:p>
        </w:tc>
        <w:tc>
          <w:tcPr>
            <w:tcW w:w="0" w:type="auto"/>
          </w:tcPr>
          <w:p w14:paraId="57CA9B89" w14:textId="77777777" w:rsidR="008C5CFA" w:rsidRPr="00A92B39" w:rsidRDefault="00E82A60" w:rsidP="00300A01">
            <w:pPr>
              <w:spacing w:before="0" w:after="0"/>
              <w:jc w:val="right"/>
              <w:rPr>
                <w:sz w:val="10"/>
                <w:szCs w:val="10"/>
                <w:lang w:val="fr-BE"/>
              </w:rPr>
            </w:pPr>
            <w:r w:rsidRPr="00A92B39">
              <w:rPr>
                <w:noProof/>
                <w:sz w:val="10"/>
                <w:szCs w:val="10"/>
                <w:lang w:val="fr-BE"/>
              </w:rPr>
              <w:t>33,00</w:t>
            </w:r>
          </w:p>
        </w:tc>
        <w:tc>
          <w:tcPr>
            <w:tcW w:w="0" w:type="auto"/>
            <w:shd w:val="clear" w:color="auto" w:fill="auto"/>
          </w:tcPr>
          <w:p w14:paraId="12BDBB1A" w14:textId="77777777" w:rsidR="008C5CFA" w:rsidRPr="00A92B39" w:rsidRDefault="00E82A60" w:rsidP="00300A01">
            <w:pPr>
              <w:spacing w:before="0" w:after="0"/>
              <w:jc w:val="right"/>
              <w:rPr>
                <w:sz w:val="10"/>
                <w:szCs w:val="10"/>
                <w:lang w:val="fr-BE"/>
              </w:rPr>
            </w:pPr>
            <w:r w:rsidRPr="00A92B39">
              <w:rPr>
                <w:noProof/>
                <w:sz w:val="10"/>
                <w:szCs w:val="10"/>
                <w:lang w:val="fr-BE"/>
              </w:rPr>
              <w:t>19,00</w:t>
            </w:r>
          </w:p>
        </w:tc>
        <w:tc>
          <w:tcPr>
            <w:tcW w:w="0" w:type="auto"/>
            <w:shd w:val="clear" w:color="auto" w:fill="auto"/>
          </w:tcPr>
          <w:p w14:paraId="13BF903E" w14:textId="77777777" w:rsidR="008C5CFA" w:rsidRPr="00BA47B4" w:rsidRDefault="00E82A60" w:rsidP="00300A01">
            <w:pPr>
              <w:spacing w:before="0" w:after="0"/>
              <w:jc w:val="right"/>
              <w:rPr>
                <w:sz w:val="12"/>
                <w:szCs w:val="12"/>
                <w:lang w:val="fr-BE"/>
              </w:rPr>
            </w:pPr>
            <w:r w:rsidRPr="00A92B39">
              <w:rPr>
                <w:noProof/>
                <w:sz w:val="10"/>
                <w:szCs w:val="10"/>
                <w:lang w:val="fr-BE"/>
              </w:rPr>
              <w:t>14,00</w:t>
            </w:r>
          </w:p>
        </w:tc>
      </w:tr>
      <w:tr w:rsidR="006B2EC1" w14:paraId="4F83E337" w14:textId="77777777" w:rsidTr="0047688D">
        <w:tc>
          <w:tcPr>
            <w:tcW w:w="0" w:type="auto"/>
            <w:shd w:val="clear" w:color="auto" w:fill="auto"/>
          </w:tcPr>
          <w:p w14:paraId="142B6B0A" w14:textId="77777777" w:rsidR="008C5CFA" w:rsidRPr="00BA47B4" w:rsidRDefault="00E82A60" w:rsidP="00300A01">
            <w:pPr>
              <w:spacing w:before="0" w:after="0"/>
              <w:rPr>
                <w:sz w:val="12"/>
                <w:szCs w:val="12"/>
                <w:lang w:val="fr-BE"/>
              </w:rPr>
            </w:pPr>
            <w:r>
              <w:rPr>
                <w:noProof/>
                <w:sz w:val="12"/>
                <w:szCs w:val="12"/>
                <w:lang w:val="fr-BE"/>
              </w:rPr>
              <w:t>CO19</w:t>
            </w:r>
          </w:p>
        </w:tc>
        <w:tc>
          <w:tcPr>
            <w:tcW w:w="0" w:type="auto"/>
            <w:shd w:val="clear" w:color="auto" w:fill="auto"/>
          </w:tcPr>
          <w:p w14:paraId="60B609B7" w14:textId="77777777" w:rsidR="008C5CFA" w:rsidRPr="00BA47B4" w:rsidRDefault="00E82A60" w:rsidP="00300A01">
            <w:pPr>
              <w:spacing w:before="0" w:after="0"/>
              <w:rPr>
                <w:sz w:val="12"/>
                <w:szCs w:val="12"/>
                <w:lang w:val="fr-BE"/>
              </w:rPr>
            </w:pPr>
            <w:r>
              <w:rPr>
                <w:noProof/>
                <w:sz w:val="12"/>
                <w:szCs w:val="12"/>
                <w:lang w:val="fr-BE"/>
              </w:rPr>
              <w:t>osoby pochodzące z obszarów wiejskich</w:t>
            </w:r>
          </w:p>
        </w:tc>
        <w:tc>
          <w:tcPr>
            <w:tcW w:w="0" w:type="auto"/>
            <w:shd w:val="clear" w:color="auto" w:fill="auto"/>
          </w:tcPr>
          <w:p w14:paraId="429F9C54" w14:textId="77777777" w:rsidR="008C5CFA" w:rsidRPr="00BA47B4" w:rsidRDefault="00E82A60"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14:paraId="003D1D1C" w14:textId="77777777" w:rsidR="008C5CFA" w:rsidRPr="00BA47B4" w:rsidRDefault="008C5CFA" w:rsidP="00300A01">
            <w:pPr>
              <w:spacing w:before="0" w:after="0"/>
              <w:jc w:val="right"/>
              <w:rPr>
                <w:sz w:val="12"/>
                <w:szCs w:val="12"/>
                <w:lang w:val="fr-BE"/>
              </w:rPr>
            </w:pPr>
          </w:p>
        </w:tc>
        <w:tc>
          <w:tcPr>
            <w:tcW w:w="0" w:type="auto"/>
            <w:shd w:val="clear" w:color="auto" w:fill="auto"/>
          </w:tcPr>
          <w:p w14:paraId="43925F70" w14:textId="77777777" w:rsidR="008C5CFA" w:rsidRPr="00BA47B4" w:rsidRDefault="008C5CFA" w:rsidP="00300A01">
            <w:pPr>
              <w:spacing w:before="0" w:after="0"/>
              <w:jc w:val="right"/>
              <w:rPr>
                <w:sz w:val="12"/>
                <w:szCs w:val="12"/>
                <w:lang w:val="fr-BE"/>
              </w:rPr>
            </w:pPr>
          </w:p>
        </w:tc>
        <w:tc>
          <w:tcPr>
            <w:tcW w:w="0" w:type="auto"/>
            <w:shd w:val="clear" w:color="auto" w:fill="auto"/>
          </w:tcPr>
          <w:p w14:paraId="6164223B" w14:textId="77777777" w:rsidR="008C5CFA" w:rsidRPr="00BA47B4" w:rsidRDefault="008C5CFA" w:rsidP="00300A01">
            <w:pPr>
              <w:spacing w:before="0" w:after="0"/>
              <w:jc w:val="right"/>
              <w:rPr>
                <w:sz w:val="12"/>
                <w:szCs w:val="12"/>
                <w:lang w:val="fr-BE"/>
              </w:rPr>
            </w:pPr>
          </w:p>
        </w:tc>
        <w:tc>
          <w:tcPr>
            <w:tcW w:w="0" w:type="auto"/>
            <w:shd w:val="clear" w:color="auto" w:fill="auto"/>
          </w:tcPr>
          <w:p w14:paraId="598211CA" w14:textId="77777777" w:rsidR="008C5CFA" w:rsidRPr="00BA47B4" w:rsidRDefault="00E82A60" w:rsidP="00300A01">
            <w:pPr>
              <w:spacing w:before="0" w:after="0"/>
              <w:jc w:val="right"/>
              <w:rPr>
                <w:sz w:val="12"/>
                <w:szCs w:val="12"/>
                <w:lang w:val="fr-BE"/>
              </w:rPr>
            </w:pPr>
            <w:r w:rsidRPr="00BA47B4">
              <w:rPr>
                <w:noProof/>
                <w:sz w:val="12"/>
                <w:szCs w:val="12"/>
                <w:lang w:val="fr-BE"/>
              </w:rPr>
              <w:t>29 207,00</w:t>
            </w:r>
          </w:p>
        </w:tc>
        <w:tc>
          <w:tcPr>
            <w:tcW w:w="0" w:type="auto"/>
            <w:shd w:val="clear" w:color="auto" w:fill="auto"/>
          </w:tcPr>
          <w:p w14:paraId="6DF162D9" w14:textId="77777777" w:rsidR="008C5CFA" w:rsidRPr="00BA47B4" w:rsidRDefault="00E82A60" w:rsidP="00300A01">
            <w:pPr>
              <w:spacing w:before="0" w:after="0"/>
              <w:jc w:val="right"/>
              <w:rPr>
                <w:sz w:val="12"/>
                <w:szCs w:val="12"/>
                <w:lang w:val="fr-BE"/>
              </w:rPr>
            </w:pPr>
            <w:r w:rsidRPr="00BA47B4">
              <w:rPr>
                <w:noProof/>
                <w:sz w:val="12"/>
                <w:szCs w:val="12"/>
                <w:lang w:val="fr-BE"/>
              </w:rPr>
              <w:t>5 007,00</w:t>
            </w:r>
          </w:p>
        </w:tc>
        <w:tc>
          <w:tcPr>
            <w:tcW w:w="0" w:type="auto"/>
            <w:shd w:val="clear" w:color="auto" w:fill="auto"/>
          </w:tcPr>
          <w:p w14:paraId="606A1152" w14:textId="77777777" w:rsidR="008C5CFA" w:rsidRPr="00BA47B4" w:rsidRDefault="00E82A60" w:rsidP="00300A01">
            <w:pPr>
              <w:spacing w:before="0" w:after="0"/>
              <w:jc w:val="right"/>
              <w:rPr>
                <w:sz w:val="12"/>
                <w:szCs w:val="12"/>
                <w:lang w:val="fr-BE"/>
              </w:rPr>
            </w:pPr>
            <w:r w:rsidRPr="00BA47B4">
              <w:rPr>
                <w:noProof/>
                <w:sz w:val="12"/>
                <w:szCs w:val="12"/>
                <w:lang w:val="fr-BE"/>
              </w:rPr>
              <w:t>24 200,00</w:t>
            </w:r>
          </w:p>
        </w:tc>
        <w:tc>
          <w:tcPr>
            <w:tcW w:w="0" w:type="auto"/>
            <w:shd w:val="clear" w:color="auto" w:fill="auto"/>
          </w:tcPr>
          <w:p w14:paraId="6027659B" w14:textId="77777777" w:rsidR="008C5CFA" w:rsidRPr="00BA47B4" w:rsidRDefault="008C5CFA" w:rsidP="00300A01">
            <w:pPr>
              <w:spacing w:before="0" w:after="0"/>
              <w:jc w:val="right"/>
              <w:rPr>
                <w:sz w:val="12"/>
                <w:szCs w:val="12"/>
                <w:lang w:val="fr-BE"/>
              </w:rPr>
            </w:pPr>
          </w:p>
        </w:tc>
        <w:tc>
          <w:tcPr>
            <w:tcW w:w="0" w:type="auto"/>
            <w:shd w:val="clear" w:color="auto" w:fill="auto"/>
          </w:tcPr>
          <w:p w14:paraId="6271DDF2" w14:textId="77777777" w:rsidR="008C5CFA" w:rsidRPr="00BA47B4" w:rsidRDefault="008C5CFA" w:rsidP="00300A01">
            <w:pPr>
              <w:spacing w:before="0" w:after="0"/>
              <w:jc w:val="right"/>
              <w:rPr>
                <w:sz w:val="12"/>
                <w:szCs w:val="12"/>
                <w:lang w:val="fr-BE"/>
              </w:rPr>
            </w:pPr>
          </w:p>
        </w:tc>
        <w:tc>
          <w:tcPr>
            <w:tcW w:w="0" w:type="auto"/>
            <w:shd w:val="clear" w:color="auto" w:fill="auto"/>
          </w:tcPr>
          <w:p w14:paraId="455C89AB" w14:textId="77777777" w:rsidR="008C5CFA" w:rsidRPr="00BA47B4" w:rsidRDefault="008C5CFA" w:rsidP="00300A01">
            <w:pPr>
              <w:spacing w:before="0" w:after="0"/>
              <w:jc w:val="right"/>
              <w:rPr>
                <w:sz w:val="12"/>
                <w:szCs w:val="12"/>
                <w:lang w:val="fr-BE"/>
              </w:rPr>
            </w:pPr>
          </w:p>
        </w:tc>
        <w:tc>
          <w:tcPr>
            <w:tcW w:w="0" w:type="auto"/>
          </w:tcPr>
          <w:p w14:paraId="0A1A4F86" w14:textId="77777777" w:rsidR="008C5CFA" w:rsidRPr="00A92B39" w:rsidRDefault="00E82A60" w:rsidP="00300A01">
            <w:pPr>
              <w:spacing w:before="0" w:after="0"/>
              <w:jc w:val="right"/>
              <w:rPr>
                <w:sz w:val="10"/>
                <w:szCs w:val="10"/>
                <w:lang w:val="fr-BE"/>
              </w:rPr>
            </w:pPr>
            <w:r w:rsidRPr="00A92B39">
              <w:rPr>
                <w:noProof/>
                <w:sz w:val="10"/>
                <w:szCs w:val="10"/>
                <w:lang w:val="fr-BE"/>
              </w:rPr>
              <w:t>11 477,00</w:t>
            </w:r>
          </w:p>
        </w:tc>
        <w:tc>
          <w:tcPr>
            <w:tcW w:w="0" w:type="auto"/>
            <w:shd w:val="clear" w:color="auto" w:fill="auto"/>
          </w:tcPr>
          <w:p w14:paraId="2E697876" w14:textId="77777777" w:rsidR="008C5CFA" w:rsidRPr="00A92B39" w:rsidRDefault="00E82A60" w:rsidP="00300A01">
            <w:pPr>
              <w:spacing w:before="0" w:after="0"/>
              <w:jc w:val="right"/>
              <w:rPr>
                <w:sz w:val="10"/>
                <w:szCs w:val="10"/>
                <w:lang w:val="fr-BE"/>
              </w:rPr>
            </w:pPr>
            <w:r w:rsidRPr="00A92B39">
              <w:rPr>
                <w:noProof/>
                <w:sz w:val="10"/>
                <w:szCs w:val="10"/>
                <w:lang w:val="fr-BE"/>
              </w:rPr>
              <w:t>2 902,00</w:t>
            </w:r>
          </w:p>
        </w:tc>
        <w:tc>
          <w:tcPr>
            <w:tcW w:w="0" w:type="auto"/>
            <w:shd w:val="clear" w:color="auto" w:fill="auto"/>
          </w:tcPr>
          <w:p w14:paraId="1F3F03DC" w14:textId="77777777" w:rsidR="008C5CFA" w:rsidRPr="00BA47B4" w:rsidRDefault="00E82A60" w:rsidP="00300A01">
            <w:pPr>
              <w:spacing w:before="0" w:after="0"/>
              <w:jc w:val="right"/>
              <w:rPr>
                <w:sz w:val="12"/>
                <w:szCs w:val="12"/>
                <w:lang w:val="fr-BE"/>
              </w:rPr>
            </w:pPr>
            <w:r w:rsidRPr="00A92B39">
              <w:rPr>
                <w:noProof/>
                <w:sz w:val="10"/>
                <w:szCs w:val="10"/>
                <w:lang w:val="fr-BE"/>
              </w:rPr>
              <w:t>8 575,00</w:t>
            </w:r>
          </w:p>
        </w:tc>
      </w:tr>
      <w:tr w:rsidR="006B2EC1" w14:paraId="5C876EC9" w14:textId="77777777" w:rsidTr="0047688D">
        <w:tc>
          <w:tcPr>
            <w:tcW w:w="0" w:type="auto"/>
            <w:shd w:val="clear" w:color="auto" w:fill="auto"/>
          </w:tcPr>
          <w:p w14:paraId="11B09C16" w14:textId="77777777" w:rsidR="008C5CFA" w:rsidRPr="00BA47B4" w:rsidRDefault="00E82A60" w:rsidP="00300A01">
            <w:pPr>
              <w:spacing w:before="0" w:after="0"/>
              <w:rPr>
                <w:sz w:val="12"/>
                <w:szCs w:val="12"/>
                <w:lang w:val="fr-BE"/>
              </w:rPr>
            </w:pPr>
            <w:r>
              <w:rPr>
                <w:noProof/>
                <w:sz w:val="12"/>
                <w:szCs w:val="12"/>
                <w:lang w:val="fr-BE"/>
              </w:rPr>
              <w:t>CO20</w:t>
            </w:r>
          </w:p>
        </w:tc>
        <w:tc>
          <w:tcPr>
            <w:tcW w:w="0" w:type="auto"/>
            <w:shd w:val="clear" w:color="auto" w:fill="auto"/>
          </w:tcPr>
          <w:p w14:paraId="3F60A912" w14:textId="77777777" w:rsidR="008C5CFA" w:rsidRPr="00BA47B4" w:rsidRDefault="00E82A60" w:rsidP="00300A01">
            <w:pPr>
              <w:spacing w:before="0" w:after="0"/>
              <w:rPr>
                <w:sz w:val="12"/>
                <w:szCs w:val="12"/>
                <w:lang w:val="fr-BE"/>
              </w:rPr>
            </w:pPr>
            <w:r>
              <w:rPr>
                <w:noProof/>
                <w:sz w:val="12"/>
                <w:szCs w:val="12"/>
                <w:lang w:val="fr-BE"/>
              </w:rPr>
              <w:t>liczba projektów zrealizowanych w pełni lub częściowo przez partnerów społecznych lub organizacje pozarządowe</w:t>
            </w:r>
          </w:p>
        </w:tc>
        <w:tc>
          <w:tcPr>
            <w:tcW w:w="0" w:type="auto"/>
            <w:shd w:val="clear" w:color="auto" w:fill="auto"/>
          </w:tcPr>
          <w:p w14:paraId="7A42F067" w14:textId="77777777" w:rsidR="008C5CFA" w:rsidRPr="00BA47B4" w:rsidRDefault="00E82A60"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14:paraId="750D8997" w14:textId="77777777" w:rsidR="008C5CFA" w:rsidRPr="00BA47B4" w:rsidRDefault="008C5CFA" w:rsidP="00300A01">
            <w:pPr>
              <w:spacing w:before="0" w:after="0"/>
              <w:jc w:val="right"/>
              <w:rPr>
                <w:sz w:val="12"/>
                <w:szCs w:val="12"/>
                <w:lang w:val="fr-BE"/>
              </w:rPr>
            </w:pPr>
          </w:p>
        </w:tc>
        <w:tc>
          <w:tcPr>
            <w:tcW w:w="0" w:type="auto"/>
            <w:shd w:val="clear" w:color="auto" w:fill="auto"/>
          </w:tcPr>
          <w:p w14:paraId="23644E88" w14:textId="77777777" w:rsidR="008C5CFA" w:rsidRPr="00BA47B4" w:rsidRDefault="008C5CFA" w:rsidP="00300A01">
            <w:pPr>
              <w:spacing w:before="0" w:after="0"/>
              <w:jc w:val="right"/>
              <w:rPr>
                <w:sz w:val="12"/>
                <w:szCs w:val="12"/>
                <w:lang w:val="fr-BE"/>
              </w:rPr>
            </w:pPr>
          </w:p>
        </w:tc>
        <w:tc>
          <w:tcPr>
            <w:tcW w:w="0" w:type="auto"/>
            <w:shd w:val="clear" w:color="auto" w:fill="auto"/>
          </w:tcPr>
          <w:p w14:paraId="5A2587CE" w14:textId="77777777" w:rsidR="008C5CFA" w:rsidRPr="00BA47B4" w:rsidRDefault="008C5CFA" w:rsidP="00300A01">
            <w:pPr>
              <w:spacing w:before="0" w:after="0"/>
              <w:jc w:val="right"/>
              <w:rPr>
                <w:sz w:val="12"/>
                <w:szCs w:val="12"/>
                <w:lang w:val="fr-BE"/>
              </w:rPr>
            </w:pPr>
          </w:p>
        </w:tc>
        <w:tc>
          <w:tcPr>
            <w:tcW w:w="0" w:type="auto"/>
            <w:shd w:val="clear" w:color="auto" w:fill="auto"/>
          </w:tcPr>
          <w:p w14:paraId="6CD7BFDA" w14:textId="77777777" w:rsidR="008C5CFA" w:rsidRPr="00BA47B4" w:rsidRDefault="00E82A60" w:rsidP="00300A01">
            <w:pPr>
              <w:spacing w:before="0" w:after="0"/>
              <w:jc w:val="right"/>
              <w:rPr>
                <w:sz w:val="12"/>
                <w:szCs w:val="12"/>
                <w:lang w:val="fr-BE"/>
              </w:rPr>
            </w:pPr>
            <w:r w:rsidRPr="00BA47B4">
              <w:rPr>
                <w:noProof/>
                <w:sz w:val="12"/>
                <w:szCs w:val="12"/>
                <w:lang w:val="fr-BE"/>
              </w:rPr>
              <w:t>1,00</w:t>
            </w:r>
          </w:p>
        </w:tc>
        <w:tc>
          <w:tcPr>
            <w:tcW w:w="0" w:type="auto"/>
            <w:shd w:val="clear" w:color="auto" w:fill="auto"/>
          </w:tcPr>
          <w:p w14:paraId="2BE7FC1E" w14:textId="77777777" w:rsidR="008C5CFA" w:rsidRPr="00BA47B4" w:rsidRDefault="008C5CFA" w:rsidP="00300A01">
            <w:pPr>
              <w:spacing w:before="0" w:after="0"/>
              <w:jc w:val="right"/>
              <w:rPr>
                <w:sz w:val="12"/>
                <w:szCs w:val="12"/>
                <w:lang w:val="fr-BE"/>
              </w:rPr>
            </w:pPr>
          </w:p>
        </w:tc>
        <w:tc>
          <w:tcPr>
            <w:tcW w:w="0" w:type="auto"/>
            <w:shd w:val="clear" w:color="auto" w:fill="auto"/>
          </w:tcPr>
          <w:p w14:paraId="7DBFD05B" w14:textId="77777777" w:rsidR="008C5CFA" w:rsidRPr="00BA47B4" w:rsidRDefault="008C5CFA" w:rsidP="00300A01">
            <w:pPr>
              <w:spacing w:before="0" w:after="0"/>
              <w:jc w:val="right"/>
              <w:rPr>
                <w:sz w:val="12"/>
                <w:szCs w:val="12"/>
                <w:lang w:val="fr-BE"/>
              </w:rPr>
            </w:pPr>
          </w:p>
        </w:tc>
        <w:tc>
          <w:tcPr>
            <w:tcW w:w="0" w:type="auto"/>
            <w:shd w:val="clear" w:color="auto" w:fill="auto"/>
          </w:tcPr>
          <w:p w14:paraId="42A91B82" w14:textId="77777777" w:rsidR="008C5CFA" w:rsidRPr="00BA47B4" w:rsidRDefault="008C5CFA" w:rsidP="00300A01">
            <w:pPr>
              <w:spacing w:before="0" w:after="0"/>
              <w:jc w:val="right"/>
              <w:rPr>
                <w:sz w:val="12"/>
                <w:szCs w:val="12"/>
                <w:lang w:val="fr-BE"/>
              </w:rPr>
            </w:pPr>
          </w:p>
        </w:tc>
        <w:tc>
          <w:tcPr>
            <w:tcW w:w="0" w:type="auto"/>
            <w:shd w:val="clear" w:color="auto" w:fill="auto"/>
          </w:tcPr>
          <w:p w14:paraId="6C912C28" w14:textId="77777777" w:rsidR="008C5CFA" w:rsidRPr="00BA47B4" w:rsidRDefault="008C5CFA" w:rsidP="00300A01">
            <w:pPr>
              <w:spacing w:before="0" w:after="0"/>
              <w:jc w:val="right"/>
              <w:rPr>
                <w:sz w:val="12"/>
                <w:szCs w:val="12"/>
                <w:lang w:val="fr-BE"/>
              </w:rPr>
            </w:pPr>
          </w:p>
        </w:tc>
        <w:tc>
          <w:tcPr>
            <w:tcW w:w="0" w:type="auto"/>
            <w:shd w:val="clear" w:color="auto" w:fill="auto"/>
          </w:tcPr>
          <w:p w14:paraId="1857E3E2" w14:textId="77777777" w:rsidR="008C5CFA" w:rsidRPr="00BA47B4" w:rsidRDefault="008C5CFA" w:rsidP="00300A01">
            <w:pPr>
              <w:spacing w:before="0" w:after="0"/>
              <w:jc w:val="right"/>
              <w:rPr>
                <w:sz w:val="12"/>
                <w:szCs w:val="12"/>
                <w:lang w:val="fr-BE"/>
              </w:rPr>
            </w:pPr>
          </w:p>
        </w:tc>
        <w:tc>
          <w:tcPr>
            <w:tcW w:w="0" w:type="auto"/>
          </w:tcPr>
          <w:p w14:paraId="7ECE178F"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14:paraId="436ACD93" w14:textId="77777777" w:rsidR="008C5CFA" w:rsidRPr="00A92B39" w:rsidRDefault="008C5CFA" w:rsidP="00300A01">
            <w:pPr>
              <w:spacing w:before="0" w:after="0"/>
              <w:jc w:val="right"/>
              <w:rPr>
                <w:sz w:val="10"/>
                <w:szCs w:val="10"/>
                <w:lang w:val="fr-BE"/>
              </w:rPr>
            </w:pPr>
          </w:p>
        </w:tc>
        <w:tc>
          <w:tcPr>
            <w:tcW w:w="0" w:type="auto"/>
            <w:shd w:val="clear" w:color="auto" w:fill="auto"/>
          </w:tcPr>
          <w:p w14:paraId="735D475B" w14:textId="77777777" w:rsidR="008C5CFA" w:rsidRPr="00BA47B4" w:rsidRDefault="008C5CFA" w:rsidP="00300A01">
            <w:pPr>
              <w:spacing w:before="0" w:after="0"/>
              <w:jc w:val="right"/>
              <w:rPr>
                <w:sz w:val="12"/>
                <w:szCs w:val="12"/>
                <w:lang w:val="fr-BE"/>
              </w:rPr>
            </w:pPr>
          </w:p>
        </w:tc>
      </w:tr>
      <w:tr w:rsidR="006B2EC1" w14:paraId="34522779" w14:textId="77777777" w:rsidTr="0047688D">
        <w:tc>
          <w:tcPr>
            <w:tcW w:w="0" w:type="auto"/>
            <w:shd w:val="clear" w:color="auto" w:fill="auto"/>
          </w:tcPr>
          <w:p w14:paraId="52B1F141" w14:textId="77777777" w:rsidR="008C5CFA" w:rsidRPr="00BA47B4" w:rsidRDefault="00E82A60" w:rsidP="00300A01">
            <w:pPr>
              <w:spacing w:before="0" w:after="0"/>
              <w:rPr>
                <w:sz w:val="12"/>
                <w:szCs w:val="12"/>
                <w:lang w:val="fr-BE"/>
              </w:rPr>
            </w:pPr>
            <w:r>
              <w:rPr>
                <w:noProof/>
                <w:sz w:val="12"/>
                <w:szCs w:val="12"/>
                <w:lang w:val="fr-BE"/>
              </w:rPr>
              <w:t>CO21</w:t>
            </w:r>
          </w:p>
        </w:tc>
        <w:tc>
          <w:tcPr>
            <w:tcW w:w="0" w:type="auto"/>
            <w:shd w:val="clear" w:color="auto" w:fill="auto"/>
          </w:tcPr>
          <w:p w14:paraId="0F813B75" w14:textId="77777777" w:rsidR="008C5CFA" w:rsidRPr="00BA47B4" w:rsidRDefault="00E82A60" w:rsidP="00300A01">
            <w:pPr>
              <w:spacing w:before="0" w:after="0"/>
              <w:rPr>
                <w:sz w:val="12"/>
                <w:szCs w:val="12"/>
                <w:lang w:val="fr-BE"/>
              </w:rPr>
            </w:pPr>
            <w:r>
              <w:rPr>
                <w:noProof/>
                <w:sz w:val="12"/>
                <w:szCs w:val="12"/>
                <w:lang w:val="fr-BE"/>
              </w:rPr>
              <w:t>liczba projektów ukierunkowanych na trwały udział kobiet w zatrudnieniu i rozwój ich kariery zawodowej</w:t>
            </w:r>
          </w:p>
        </w:tc>
        <w:tc>
          <w:tcPr>
            <w:tcW w:w="0" w:type="auto"/>
            <w:shd w:val="clear" w:color="auto" w:fill="auto"/>
          </w:tcPr>
          <w:p w14:paraId="6BD2C01B" w14:textId="77777777" w:rsidR="008C5CFA" w:rsidRPr="00BA47B4" w:rsidRDefault="00E82A60"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14:paraId="0F20CC64" w14:textId="77777777" w:rsidR="008C5CFA" w:rsidRPr="00BA47B4" w:rsidRDefault="008C5CFA" w:rsidP="00300A01">
            <w:pPr>
              <w:spacing w:before="0" w:after="0"/>
              <w:jc w:val="right"/>
              <w:rPr>
                <w:sz w:val="12"/>
                <w:szCs w:val="12"/>
                <w:lang w:val="fr-BE"/>
              </w:rPr>
            </w:pPr>
          </w:p>
        </w:tc>
        <w:tc>
          <w:tcPr>
            <w:tcW w:w="0" w:type="auto"/>
            <w:shd w:val="clear" w:color="auto" w:fill="auto"/>
          </w:tcPr>
          <w:p w14:paraId="784DC01D" w14:textId="77777777" w:rsidR="008C5CFA" w:rsidRPr="00BA47B4" w:rsidRDefault="008C5CFA" w:rsidP="00300A01">
            <w:pPr>
              <w:spacing w:before="0" w:after="0"/>
              <w:jc w:val="right"/>
              <w:rPr>
                <w:sz w:val="12"/>
                <w:szCs w:val="12"/>
                <w:lang w:val="fr-BE"/>
              </w:rPr>
            </w:pPr>
          </w:p>
        </w:tc>
        <w:tc>
          <w:tcPr>
            <w:tcW w:w="0" w:type="auto"/>
            <w:shd w:val="clear" w:color="auto" w:fill="auto"/>
          </w:tcPr>
          <w:p w14:paraId="59D003AE" w14:textId="77777777" w:rsidR="008C5CFA" w:rsidRPr="00BA47B4" w:rsidRDefault="008C5CFA" w:rsidP="00300A01">
            <w:pPr>
              <w:spacing w:before="0" w:after="0"/>
              <w:jc w:val="right"/>
              <w:rPr>
                <w:sz w:val="12"/>
                <w:szCs w:val="12"/>
                <w:lang w:val="fr-BE"/>
              </w:rPr>
            </w:pPr>
          </w:p>
        </w:tc>
        <w:tc>
          <w:tcPr>
            <w:tcW w:w="0" w:type="auto"/>
            <w:shd w:val="clear" w:color="auto" w:fill="auto"/>
          </w:tcPr>
          <w:p w14:paraId="1C2A20D3"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173A06BC" w14:textId="77777777" w:rsidR="008C5CFA" w:rsidRPr="00BA47B4" w:rsidRDefault="008C5CFA" w:rsidP="00300A01">
            <w:pPr>
              <w:spacing w:before="0" w:after="0"/>
              <w:jc w:val="right"/>
              <w:rPr>
                <w:sz w:val="12"/>
                <w:szCs w:val="12"/>
                <w:lang w:val="fr-BE"/>
              </w:rPr>
            </w:pPr>
          </w:p>
        </w:tc>
        <w:tc>
          <w:tcPr>
            <w:tcW w:w="0" w:type="auto"/>
            <w:shd w:val="clear" w:color="auto" w:fill="auto"/>
          </w:tcPr>
          <w:p w14:paraId="28212A19" w14:textId="77777777" w:rsidR="008C5CFA" w:rsidRPr="00BA47B4" w:rsidRDefault="008C5CFA" w:rsidP="00300A01">
            <w:pPr>
              <w:spacing w:before="0" w:after="0"/>
              <w:jc w:val="right"/>
              <w:rPr>
                <w:sz w:val="12"/>
                <w:szCs w:val="12"/>
                <w:lang w:val="fr-BE"/>
              </w:rPr>
            </w:pPr>
          </w:p>
        </w:tc>
        <w:tc>
          <w:tcPr>
            <w:tcW w:w="0" w:type="auto"/>
            <w:shd w:val="clear" w:color="auto" w:fill="auto"/>
          </w:tcPr>
          <w:p w14:paraId="1B58C5B8" w14:textId="77777777" w:rsidR="008C5CFA" w:rsidRPr="00BA47B4" w:rsidRDefault="008C5CFA" w:rsidP="00300A01">
            <w:pPr>
              <w:spacing w:before="0" w:after="0"/>
              <w:jc w:val="right"/>
              <w:rPr>
                <w:sz w:val="12"/>
                <w:szCs w:val="12"/>
                <w:lang w:val="fr-BE"/>
              </w:rPr>
            </w:pPr>
          </w:p>
        </w:tc>
        <w:tc>
          <w:tcPr>
            <w:tcW w:w="0" w:type="auto"/>
            <w:shd w:val="clear" w:color="auto" w:fill="auto"/>
          </w:tcPr>
          <w:p w14:paraId="37A5E602" w14:textId="77777777" w:rsidR="008C5CFA" w:rsidRPr="00BA47B4" w:rsidRDefault="008C5CFA" w:rsidP="00300A01">
            <w:pPr>
              <w:spacing w:before="0" w:after="0"/>
              <w:jc w:val="right"/>
              <w:rPr>
                <w:sz w:val="12"/>
                <w:szCs w:val="12"/>
                <w:lang w:val="fr-BE"/>
              </w:rPr>
            </w:pPr>
          </w:p>
        </w:tc>
        <w:tc>
          <w:tcPr>
            <w:tcW w:w="0" w:type="auto"/>
            <w:shd w:val="clear" w:color="auto" w:fill="auto"/>
          </w:tcPr>
          <w:p w14:paraId="72759D1C" w14:textId="77777777" w:rsidR="008C5CFA" w:rsidRPr="00BA47B4" w:rsidRDefault="008C5CFA" w:rsidP="00300A01">
            <w:pPr>
              <w:spacing w:before="0" w:after="0"/>
              <w:jc w:val="right"/>
              <w:rPr>
                <w:sz w:val="12"/>
                <w:szCs w:val="12"/>
                <w:lang w:val="fr-BE"/>
              </w:rPr>
            </w:pPr>
          </w:p>
        </w:tc>
        <w:tc>
          <w:tcPr>
            <w:tcW w:w="0" w:type="auto"/>
          </w:tcPr>
          <w:p w14:paraId="251938D4"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14:paraId="53A5E805" w14:textId="77777777" w:rsidR="008C5CFA" w:rsidRPr="00A92B39" w:rsidRDefault="008C5CFA" w:rsidP="00300A01">
            <w:pPr>
              <w:spacing w:before="0" w:after="0"/>
              <w:jc w:val="right"/>
              <w:rPr>
                <w:sz w:val="10"/>
                <w:szCs w:val="10"/>
                <w:lang w:val="fr-BE"/>
              </w:rPr>
            </w:pPr>
          </w:p>
        </w:tc>
        <w:tc>
          <w:tcPr>
            <w:tcW w:w="0" w:type="auto"/>
            <w:shd w:val="clear" w:color="auto" w:fill="auto"/>
          </w:tcPr>
          <w:p w14:paraId="1EC2DAD7" w14:textId="77777777" w:rsidR="008C5CFA" w:rsidRPr="00BA47B4" w:rsidRDefault="008C5CFA" w:rsidP="00300A01">
            <w:pPr>
              <w:spacing w:before="0" w:after="0"/>
              <w:jc w:val="right"/>
              <w:rPr>
                <w:sz w:val="12"/>
                <w:szCs w:val="12"/>
                <w:lang w:val="fr-BE"/>
              </w:rPr>
            </w:pPr>
          </w:p>
        </w:tc>
      </w:tr>
      <w:tr w:rsidR="006B2EC1" w14:paraId="16FB763F" w14:textId="77777777" w:rsidTr="0047688D">
        <w:tc>
          <w:tcPr>
            <w:tcW w:w="0" w:type="auto"/>
            <w:shd w:val="clear" w:color="auto" w:fill="auto"/>
          </w:tcPr>
          <w:p w14:paraId="4EC11DBB" w14:textId="77777777" w:rsidR="008C5CFA" w:rsidRPr="00BA47B4" w:rsidRDefault="00E82A60" w:rsidP="00300A01">
            <w:pPr>
              <w:spacing w:before="0" w:after="0"/>
              <w:rPr>
                <w:sz w:val="12"/>
                <w:szCs w:val="12"/>
                <w:lang w:val="fr-BE"/>
              </w:rPr>
            </w:pPr>
            <w:r>
              <w:rPr>
                <w:noProof/>
                <w:sz w:val="12"/>
                <w:szCs w:val="12"/>
                <w:lang w:val="fr-BE"/>
              </w:rPr>
              <w:t>CO22</w:t>
            </w:r>
          </w:p>
        </w:tc>
        <w:tc>
          <w:tcPr>
            <w:tcW w:w="0" w:type="auto"/>
            <w:shd w:val="clear" w:color="auto" w:fill="auto"/>
          </w:tcPr>
          <w:p w14:paraId="619E616E" w14:textId="77777777" w:rsidR="008C5CFA" w:rsidRPr="00BA47B4" w:rsidRDefault="00E82A60" w:rsidP="00300A01">
            <w:pPr>
              <w:spacing w:before="0" w:after="0"/>
              <w:rPr>
                <w:sz w:val="12"/>
                <w:szCs w:val="12"/>
                <w:lang w:val="fr-BE"/>
              </w:rPr>
            </w:pPr>
            <w:r>
              <w:rPr>
                <w:noProof/>
                <w:sz w:val="12"/>
                <w:szCs w:val="12"/>
                <w:lang w:val="fr-BE"/>
              </w:rPr>
              <w:t>liczba projektów obejmujących administrację publiczną lub służby publiczne na szczeblu krajowym, regionalnym lub lokalnym</w:t>
            </w:r>
          </w:p>
        </w:tc>
        <w:tc>
          <w:tcPr>
            <w:tcW w:w="0" w:type="auto"/>
            <w:shd w:val="clear" w:color="auto" w:fill="auto"/>
          </w:tcPr>
          <w:p w14:paraId="140C9247" w14:textId="77777777" w:rsidR="008C5CFA" w:rsidRPr="00BA47B4" w:rsidRDefault="00E82A60"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14:paraId="4154750D" w14:textId="77777777" w:rsidR="008C5CFA" w:rsidRPr="00BA47B4" w:rsidRDefault="008C5CFA" w:rsidP="00300A01">
            <w:pPr>
              <w:spacing w:before="0" w:after="0"/>
              <w:jc w:val="right"/>
              <w:rPr>
                <w:sz w:val="12"/>
                <w:szCs w:val="12"/>
                <w:lang w:val="fr-BE"/>
              </w:rPr>
            </w:pPr>
          </w:p>
        </w:tc>
        <w:tc>
          <w:tcPr>
            <w:tcW w:w="0" w:type="auto"/>
            <w:shd w:val="clear" w:color="auto" w:fill="auto"/>
          </w:tcPr>
          <w:p w14:paraId="601B4398" w14:textId="77777777" w:rsidR="008C5CFA" w:rsidRPr="00BA47B4" w:rsidRDefault="008C5CFA" w:rsidP="00300A01">
            <w:pPr>
              <w:spacing w:before="0" w:after="0"/>
              <w:jc w:val="right"/>
              <w:rPr>
                <w:sz w:val="12"/>
                <w:szCs w:val="12"/>
                <w:lang w:val="fr-BE"/>
              </w:rPr>
            </w:pPr>
          </w:p>
        </w:tc>
        <w:tc>
          <w:tcPr>
            <w:tcW w:w="0" w:type="auto"/>
            <w:shd w:val="clear" w:color="auto" w:fill="auto"/>
          </w:tcPr>
          <w:p w14:paraId="10FD1030" w14:textId="77777777" w:rsidR="008C5CFA" w:rsidRPr="00BA47B4" w:rsidRDefault="008C5CFA" w:rsidP="00300A01">
            <w:pPr>
              <w:spacing w:before="0" w:after="0"/>
              <w:jc w:val="right"/>
              <w:rPr>
                <w:sz w:val="12"/>
                <w:szCs w:val="12"/>
                <w:lang w:val="fr-BE"/>
              </w:rPr>
            </w:pPr>
          </w:p>
        </w:tc>
        <w:tc>
          <w:tcPr>
            <w:tcW w:w="0" w:type="auto"/>
            <w:shd w:val="clear" w:color="auto" w:fill="auto"/>
          </w:tcPr>
          <w:p w14:paraId="5762BF7A" w14:textId="77777777" w:rsidR="008C5CFA" w:rsidRPr="00BA47B4" w:rsidRDefault="00E82A60" w:rsidP="00300A01">
            <w:pPr>
              <w:spacing w:before="0" w:after="0"/>
              <w:jc w:val="right"/>
              <w:rPr>
                <w:sz w:val="12"/>
                <w:szCs w:val="12"/>
                <w:lang w:val="fr-BE"/>
              </w:rPr>
            </w:pPr>
            <w:r w:rsidRPr="00BA47B4">
              <w:rPr>
                <w:noProof/>
                <w:sz w:val="12"/>
                <w:szCs w:val="12"/>
                <w:lang w:val="fr-BE"/>
              </w:rPr>
              <w:t>10,00</w:t>
            </w:r>
          </w:p>
        </w:tc>
        <w:tc>
          <w:tcPr>
            <w:tcW w:w="0" w:type="auto"/>
            <w:shd w:val="clear" w:color="auto" w:fill="auto"/>
          </w:tcPr>
          <w:p w14:paraId="02589473" w14:textId="77777777" w:rsidR="008C5CFA" w:rsidRPr="00BA47B4" w:rsidRDefault="008C5CFA" w:rsidP="00300A01">
            <w:pPr>
              <w:spacing w:before="0" w:after="0"/>
              <w:jc w:val="right"/>
              <w:rPr>
                <w:sz w:val="12"/>
                <w:szCs w:val="12"/>
                <w:lang w:val="fr-BE"/>
              </w:rPr>
            </w:pPr>
          </w:p>
        </w:tc>
        <w:tc>
          <w:tcPr>
            <w:tcW w:w="0" w:type="auto"/>
            <w:shd w:val="clear" w:color="auto" w:fill="auto"/>
          </w:tcPr>
          <w:p w14:paraId="1B43AD30" w14:textId="77777777" w:rsidR="008C5CFA" w:rsidRPr="00BA47B4" w:rsidRDefault="008C5CFA" w:rsidP="00300A01">
            <w:pPr>
              <w:spacing w:before="0" w:after="0"/>
              <w:jc w:val="right"/>
              <w:rPr>
                <w:sz w:val="12"/>
                <w:szCs w:val="12"/>
                <w:lang w:val="fr-BE"/>
              </w:rPr>
            </w:pPr>
          </w:p>
        </w:tc>
        <w:tc>
          <w:tcPr>
            <w:tcW w:w="0" w:type="auto"/>
            <w:shd w:val="clear" w:color="auto" w:fill="auto"/>
          </w:tcPr>
          <w:p w14:paraId="0E57C0C4" w14:textId="77777777" w:rsidR="008C5CFA" w:rsidRPr="00BA47B4" w:rsidRDefault="008C5CFA" w:rsidP="00300A01">
            <w:pPr>
              <w:spacing w:before="0" w:after="0"/>
              <w:jc w:val="right"/>
              <w:rPr>
                <w:sz w:val="12"/>
                <w:szCs w:val="12"/>
                <w:lang w:val="fr-BE"/>
              </w:rPr>
            </w:pPr>
          </w:p>
        </w:tc>
        <w:tc>
          <w:tcPr>
            <w:tcW w:w="0" w:type="auto"/>
            <w:shd w:val="clear" w:color="auto" w:fill="auto"/>
          </w:tcPr>
          <w:p w14:paraId="578ADDC4" w14:textId="77777777" w:rsidR="008C5CFA" w:rsidRPr="00BA47B4" w:rsidRDefault="008C5CFA" w:rsidP="00300A01">
            <w:pPr>
              <w:spacing w:before="0" w:after="0"/>
              <w:jc w:val="right"/>
              <w:rPr>
                <w:sz w:val="12"/>
                <w:szCs w:val="12"/>
                <w:lang w:val="fr-BE"/>
              </w:rPr>
            </w:pPr>
          </w:p>
        </w:tc>
        <w:tc>
          <w:tcPr>
            <w:tcW w:w="0" w:type="auto"/>
            <w:shd w:val="clear" w:color="auto" w:fill="auto"/>
          </w:tcPr>
          <w:p w14:paraId="056A9BBF" w14:textId="77777777" w:rsidR="008C5CFA" w:rsidRPr="00BA47B4" w:rsidRDefault="008C5CFA" w:rsidP="00300A01">
            <w:pPr>
              <w:spacing w:before="0" w:after="0"/>
              <w:jc w:val="right"/>
              <w:rPr>
                <w:sz w:val="12"/>
                <w:szCs w:val="12"/>
                <w:lang w:val="fr-BE"/>
              </w:rPr>
            </w:pPr>
          </w:p>
        </w:tc>
        <w:tc>
          <w:tcPr>
            <w:tcW w:w="0" w:type="auto"/>
          </w:tcPr>
          <w:p w14:paraId="65E5A54F"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14:paraId="3603A702" w14:textId="77777777" w:rsidR="008C5CFA" w:rsidRPr="00A92B39" w:rsidRDefault="008C5CFA" w:rsidP="00300A01">
            <w:pPr>
              <w:spacing w:before="0" w:after="0"/>
              <w:jc w:val="right"/>
              <w:rPr>
                <w:sz w:val="10"/>
                <w:szCs w:val="10"/>
                <w:lang w:val="fr-BE"/>
              </w:rPr>
            </w:pPr>
          </w:p>
        </w:tc>
        <w:tc>
          <w:tcPr>
            <w:tcW w:w="0" w:type="auto"/>
            <w:shd w:val="clear" w:color="auto" w:fill="auto"/>
          </w:tcPr>
          <w:p w14:paraId="452AD35D" w14:textId="77777777" w:rsidR="008C5CFA" w:rsidRPr="00BA47B4" w:rsidRDefault="008C5CFA" w:rsidP="00300A01">
            <w:pPr>
              <w:spacing w:before="0" w:after="0"/>
              <w:jc w:val="right"/>
              <w:rPr>
                <w:sz w:val="12"/>
                <w:szCs w:val="12"/>
                <w:lang w:val="fr-BE"/>
              </w:rPr>
            </w:pPr>
          </w:p>
        </w:tc>
      </w:tr>
      <w:tr w:rsidR="006B2EC1" w14:paraId="50448B9F" w14:textId="77777777" w:rsidTr="0047688D">
        <w:tc>
          <w:tcPr>
            <w:tcW w:w="0" w:type="auto"/>
            <w:shd w:val="clear" w:color="auto" w:fill="auto"/>
          </w:tcPr>
          <w:p w14:paraId="47F41219" w14:textId="77777777" w:rsidR="008C5CFA" w:rsidRPr="00BA47B4" w:rsidRDefault="00E82A60" w:rsidP="00300A01">
            <w:pPr>
              <w:spacing w:before="0" w:after="0"/>
              <w:rPr>
                <w:sz w:val="12"/>
                <w:szCs w:val="12"/>
                <w:lang w:val="fr-BE"/>
              </w:rPr>
            </w:pPr>
            <w:r>
              <w:rPr>
                <w:noProof/>
                <w:sz w:val="12"/>
                <w:szCs w:val="12"/>
                <w:lang w:val="fr-BE"/>
              </w:rPr>
              <w:t>CO23</w:t>
            </w:r>
          </w:p>
        </w:tc>
        <w:tc>
          <w:tcPr>
            <w:tcW w:w="0" w:type="auto"/>
            <w:shd w:val="clear" w:color="auto" w:fill="auto"/>
          </w:tcPr>
          <w:p w14:paraId="7967204C" w14:textId="77777777" w:rsidR="008C5CFA" w:rsidRPr="00BA47B4" w:rsidRDefault="00E82A60" w:rsidP="00300A01">
            <w:pPr>
              <w:spacing w:before="0" w:after="0"/>
              <w:rPr>
                <w:sz w:val="12"/>
                <w:szCs w:val="12"/>
                <w:lang w:val="fr-BE"/>
              </w:rPr>
            </w:pPr>
            <w:r>
              <w:rPr>
                <w:noProof/>
                <w:sz w:val="12"/>
                <w:szCs w:val="12"/>
                <w:lang w:val="fr-BE"/>
              </w:rPr>
              <w:t>liczba objętych wsparciem mikro-, małych i średnich przedsiębiorstw (w tym przedsiębiorstw spółdzielczych i przedsiębiorstw gospodarki społecznej)</w:t>
            </w:r>
          </w:p>
        </w:tc>
        <w:tc>
          <w:tcPr>
            <w:tcW w:w="0" w:type="auto"/>
            <w:shd w:val="clear" w:color="auto" w:fill="auto"/>
          </w:tcPr>
          <w:p w14:paraId="044EEDF0" w14:textId="77777777" w:rsidR="008C5CFA" w:rsidRPr="00BA47B4" w:rsidRDefault="00E82A60"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14:paraId="630ABA12" w14:textId="77777777" w:rsidR="008C5CFA" w:rsidRPr="00BA47B4" w:rsidRDefault="008C5CFA" w:rsidP="00300A01">
            <w:pPr>
              <w:spacing w:before="0" w:after="0"/>
              <w:jc w:val="right"/>
              <w:rPr>
                <w:sz w:val="12"/>
                <w:szCs w:val="12"/>
                <w:lang w:val="fr-BE"/>
              </w:rPr>
            </w:pPr>
          </w:p>
        </w:tc>
        <w:tc>
          <w:tcPr>
            <w:tcW w:w="0" w:type="auto"/>
            <w:shd w:val="clear" w:color="auto" w:fill="auto"/>
          </w:tcPr>
          <w:p w14:paraId="2D9132FC" w14:textId="77777777" w:rsidR="008C5CFA" w:rsidRPr="00BA47B4" w:rsidRDefault="008C5CFA" w:rsidP="00300A01">
            <w:pPr>
              <w:spacing w:before="0" w:after="0"/>
              <w:jc w:val="right"/>
              <w:rPr>
                <w:sz w:val="12"/>
                <w:szCs w:val="12"/>
                <w:lang w:val="fr-BE"/>
              </w:rPr>
            </w:pPr>
          </w:p>
        </w:tc>
        <w:tc>
          <w:tcPr>
            <w:tcW w:w="0" w:type="auto"/>
            <w:shd w:val="clear" w:color="auto" w:fill="auto"/>
          </w:tcPr>
          <w:p w14:paraId="365DBD59" w14:textId="77777777" w:rsidR="008C5CFA" w:rsidRPr="00BA47B4" w:rsidRDefault="008C5CFA" w:rsidP="00300A01">
            <w:pPr>
              <w:spacing w:before="0" w:after="0"/>
              <w:jc w:val="right"/>
              <w:rPr>
                <w:sz w:val="12"/>
                <w:szCs w:val="12"/>
                <w:lang w:val="fr-BE"/>
              </w:rPr>
            </w:pPr>
          </w:p>
        </w:tc>
        <w:tc>
          <w:tcPr>
            <w:tcW w:w="0" w:type="auto"/>
            <w:shd w:val="clear" w:color="auto" w:fill="auto"/>
          </w:tcPr>
          <w:p w14:paraId="4535C3F7" w14:textId="77777777" w:rsidR="008C5CFA" w:rsidRPr="00BA47B4" w:rsidRDefault="00E82A60" w:rsidP="00300A01">
            <w:pPr>
              <w:spacing w:before="0" w:after="0"/>
              <w:jc w:val="right"/>
              <w:rPr>
                <w:sz w:val="12"/>
                <w:szCs w:val="12"/>
                <w:lang w:val="fr-BE"/>
              </w:rPr>
            </w:pPr>
            <w:r w:rsidRPr="00BA47B4">
              <w:rPr>
                <w:noProof/>
                <w:sz w:val="12"/>
                <w:szCs w:val="12"/>
                <w:lang w:val="fr-BE"/>
              </w:rPr>
              <w:t>3,00</w:t>
            </w:r>
          </w:p>
        </w:tc>
        <w:tc>
          <w:tcPr>
            <w:tcW w:w="0" w:type="auto"/>
            <w:shd w:val="clear" w:color="auto" w:fill="auto"/>
          </w:tcPr>
          <w:p w14:paraId="3AABC342" w14:textId="77777777" w:rsidR="008C5CFA" w:rsidRPr="00BA47B4" w:rsidRDefault="008C5CFA" w:rsidP="00300A01">
            <w:pPr>
              <w:spacing w:before="0" w:after="0"/>
              <w:jc w:val="right"/>
              <w:rPr>
                <w:sz w:val="12"/>
                <w:szCs w:val="12"/>
                <w:lang w:val="fr-BE"/>
              </w:rPr>
            </w:pPr>
          </w:p>
        </w:tc>
        <w:tc>
          <w:tcPr>
            <w:tcW w:w="0" w:type="auto"/>
            <w:shd w:val="clear" w:color="auto" w:fill="auto"/>
          </w:tcPr>
          <w:p w14:paraId="6A6E7D5C" w14:textId="77777777" w:rsidR="008C5CFA" w:rsidRPr="00BA47B4" w:rsidRDefault="008C5CFA" w:rsidP="00300A01">
            <w:pPr>
              <w:spacing w:before="0" w:after="0"/>
              <w:jc w:val="right"/>
              <w:rPr>
                <w:sz w:val="12"/>
                <w:szCs w:val="12"/>
                <w:lang w:val="fr-BE"/>
              </w:rPr>
            </w:pPr>
          </w:p>
        </w:tc>
        <w:tc>
          <w:tcPr>
            <w:tcW w:w="0" w:type="auto"/>
            <w:shd w:val="clear" w:color="auto" w:fill="auto"/>
          </w:tcPr>
          <w:p w14:paraId="2BCC3014" w14:textId="77777777" w:rsidR="008C5CFA" w:rsidRPr="00BA47B4" w:rsidRDefault="008C5CFA" w:rsidP="00300A01">
            <w:pPr>
              <w:spacing w:before="0" w:after="0"/>
              <w:jc w:val="right"/>
              <w:rPr>
                <w:sz w:val="12"/>
                <w:szCs w:val="12"/>
                <w:lang w:val="fr-BE"/>
              </w:rPr>
            </w:pPr>
          </w:p>
        </w:tc>
        <w:tc>
          <w:tcPr>
            <w:tcW w:w="0" w:type="auto"/>
            <w:shd w:val="clear" w:color="auto" w:fill="auto"/>
          </w:tcPr>
          <w:p w14:paraId="535D3A31" w14:textId="77777777" w:rsidR="008C5CFA" w:rsidRPr="00BA47B4" w:rsidRDefault="008C5CFA" w:rsidP="00300A01">
            <w:pPr>
              <w:spacing w:before="0" w:after="0"/>
              <w:jc w:val="right"/>
              <w:rPr>
                <w:sz w:val="12"/>
                <w:szCs w:val="12"/>
                <w:lang w:val="fr-BE"/>
              </w:rPr>
            </w:pPr>
          </w:p>
        </w:tc>
        <w:tc>
          <w:tcPr>
            <w:tcW w:w="0" w:type="auto"/>
            <w:shd w:val="clear" w:color="auto" w:fill="auto"/>
          </w:tcPr>
          <w:p w14:paraId="3A8E5C38" w14:textId="77777777" w:rsidR="008C5CFA" w:rsidRPr="00BA47B4" w:rsidRDefault="008C5CFA" w:rsidP="00300A01">
            <w:pPr>
              <w:spacing w:before="0" w:after="0"/>
              <w:jc w:val="right"/>
              <w:rPr>
                <w:sz w:val="12"/>
                <w:szCs w:val="12"/>
                <w:lang w:val="fr-BE"/>
              </w:rPr>
            </w:pPr>
          </w:p>
        </w:tc>
        <w:tc>
          <w:tcPr>
            <w:tcW w:w="0" w:type="auto"/>
          </w:tcPr>
          <w:p w14:paraId="027491D6"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14:paraId="4D0B68C7" w14:textId="77777777" w:rsidR="008C5CFA" w:rsidRPr="00A92B39" w:rsidRDefault="008C5CFA" w:rsidP="00300A01">
            <w:pPr>
              <w:spacing w:before="0" w:after="0"/>
              <w:jc w:val="right"/>
              <w:rPr>
                <w:sz w:val="10"/>
                <w:szCs w:val="10"/>
                <w:lang w:val="fr-BE"/>
              </w:rPr>
            </w:pPr>
          </w:p>
        </w:tc>
        <w:tc>
          <w:tcPr>
            <w:tcW w:w="0" w:type="auto"/>
            <w:shd w:val="clear" w:color="auto" w:fill="auto"/>
          </w:tcPr>
          <w:p w14:paraId="49BF7050" w14:textId="77777777" w:rsidR="008C5CFA" w:rsidRPr="00BA47B4" w:rsidRDefault="008C5CFA" w:rsidP="00300A01">
            <w:pPr>
              <w:spacing w:before="0" w:after="0"/>
              <w:jc w:val="right"/>
              <w:rPr>
                <w:sz w:val="12"/>
                <w:szCs w:val="12"/>
                <w:lang w:val="fr-BE"/>
              </w:rPr>
            </w:pPr>
          </w:p>
        </w:tc>
      </w:tr>
      <w:tr w:rsidR="006B2EC1" w14:paraId="51F234F1" w14:textId="77777777" w:rsidTr="0047688D">
        <w:tc>
          <w:tcPr>
            <w:tcW w:w="0" w:type="auto"/>
            <w:shd w:val="clear" w:color="auto" w:fill="auto"/>
          </w:tcPr>
          <w:p w14:paraId="70AD3571" w14:textId="77777777" w:rsidR="008C5CFA" w:rsidRPr="00BA47B4" w:rsidRDefault="008C5CFA" w:rsidP="00300A01">
            <w:pPr>
              <w:spacing w:before="0" w:after="0"/>
              <w:rPr>
                <w:sz w:val="12"/>
                <w:szCs w:val="12"/>
                <w:lang w:val="fr-BE"/>
              </w:rPr>
            </w:pPr>
          </w:p>
        </w:tc>
        <w:tc>
          <w:tcPr>
            <w:tcW w:w="0" w:type="auto"/>
            <w:shd w:val="clear" w:color="auto" w:fill="auto"/>
          </w:tcPr>
          <w:p w14:paraId="3FE8125B" w14:textId="77777777" w:rsidR="008C5CFA" w:rsidRPr="00BA47B4" w:rsidRDefault="00E82A60" w:rsidP="00300A01">
            <w:pPr>
              <w:spacing w:before="0" w:after="0"/>
              <w:rPr>
                <w:sz w:val="12"/>
                <w:szCs w:val="12"/>
                <w:lang w:val="fr-BE"/>
              </w:rPr>
            </w:pPr>
            <w:r>
              <w:rPr>
                <w:noProof/>
                <w:sz w:val="12"/>
                <w:szCs w:val="12"/>
                <w:lang w:val="fr-BE"/>
              </w:rPr>
              <w:t>Całkowita łączna liczba uczestników</w:t>
            </w:r>
          </w:p>
        </w:tc>
        <w:tc>
          <w:tcPr>
            <w:tcW w:w="0" w:type="auto"/>
            <w:shd w:val="clear" w:color="auto" w:fill="auto"/>
          </w:tcPr>
          <w:p w14:paraId="451512E3" w14:textId="77777777" w:rsidR="008C5CFA" w:rsidRPr="00BA47B4" w:rsidRDefault="008C5CFA" w:rsidP="00300A01">
            <w:pPr>
              <w:spacing w:before="0" w:after="0"/>
              <w:rPr>
                <w:sz w:val="12"/>
                <w:szCs w:val="12"/>
                <w:lang w:val="fr-BE"/>
              </w:rPr>
            </w:pPr>
          </w:p>
        </w:tc>
        <w:tc>
          <w:tcPr>
            <w:tcW w:w="0" w:type="auto"/>
            <w:shd w:val="clear" w:color="auto" w:fill="auto"/>
          </w:tcPr>
          <w:p w14:paraId="54826289" w14:textId="77777777" w:rsidR="008C5CFA" w:rsidRPr="00BA47B4" w:rsidRDefault="008C5CFA" w:rsidP="00300A01">
            <w:pPr>
              <w:spacing w:before="0" w:after="0"/>
              <w:jc w:val="right"/>
              <w:rPr>
                <w:sz w:val="12"/>
                <w:szCs w:val="12"/>
                <w:lang w:val="fr-BE"/>
              </w:rPr>
            </w:pPr>
          </w:p>
        </w:tc>
        <w:tc>
          <w:tcPr>
            <w:tcW w:w="0" w:type="auto"/>
            <w:shd w:val="clear" w:color="auto" w:fill="auto"/>
          </w:tcPr>
          <w:p w14:paraId="290AF3F8" w14:textId="77777777" w:rsidR="008C5CFA" w:rsidRPr="00BA47B4" w:rsidRDefault="008C5CFA" w:rsidP="00300A01">
            <w:pPr>
              <w:spacing w:before="0" w:after="0"/>
              <w:jc w:val="right"/>
              <w:rPr>
                <w:sz w:val="12"/>
                <w:szCs w:val="12"/>
                <w:lang w:val="fr-BE"/>
              </w:rPr>
            </w:pPr>
          </w:p>
        </w:tc>
        <w:tc>
          <w:tcPr>
            <w:tcW w:w="0" w:type="auto"/>
            <w:shd w:val="clear" w:color="auto" w:fill="auto"/>
          </w:tcPr>
          <w:p w14:paraId="243E2E89" w14:textId="77777777" w:rsidR="008C5CFA" w:rsidRPr="00BA47B4" w:rsidRDefault="008C5CFA" w:rsidP="00300A01">
            <w:pPr>
              <w:spacing w:before="0" w:after="0"/>
              <w:jc w:val="right"/>
              <w:rPr>
                <w:sz w:val="12"/>
                <w:szCs w:val="12"/>
                <w:lang w:val="fr-BE"/>
              </w:rPr>
            </w:pPr>
          </w:p>
        </w:tc>
        <w:tc>
          <w:tcPr>
            <w:tcW w:w="0" w:type="auto"/>
            <w:shd w:val="clear" w:color="auto" w:fill="auto"/>
          </w:tcPr>
          <w:p w14:paraId="008C1584" w14:textId="77777777" w:rsidR="008C5CFA" w:rsidRPr="00BA47B4" w:rsidRDefault="00E82A60" w:rsidP="00300A01">
            <w:pPr>
              <w:spacing w:before="0" w:after="0"/>
              <w:jc w:val="right"/>
              <w:rPr>
                <w:sz w:val="12"/>
                <w:szCs w:val="12"/>
                <w:lang w:val="fr-BE"/>
              </w:rPr>
            </w:pPr>
            <w:r w:rsidRPr="00BA47B4">
              <w:rPr>
                <w:noProof/>
                <w:sz w:val="12"/>
                <w:szCs w:val="12"/>
                <w:lang w:val="fr-BE"/>
              </w:rPr>
              <w:t>56 924,00</w:t>
            </w:r>
          </w:p>
        </w:tc>
        <w:tc>
          <w:tcPr>
            <w:tcW w:w="0" w:type="auto"/>
            <w:shd w:val="clear" w:color="auto" w:fill="auto"/>
          </w:tcPr>
          <w:p w14:paraId="192210F8" w14:textId="77777777" w:rsidR="008C5CFA" w:rsidRPr="00BA47B4" w:rsidRDefault="008C5CFA" w:rsidP="00300A01">
            <w:pPr>
              <w:spacing w:before="0" w:after="0"/>
              <w:jc w:val="right"/>
              <w:rPr>
                <w:sz w:val="12"/>
                <w:szCs w:val="12"/>
                <w:lang w:val="fr-BE"/>
              </w:rPr>
            </w:pPr>
          </w:p>
        </w:tc>
        <w:tc>
          <w:tcPr>
            <w:tcW w:w="0" w:type="auto"/>
            <w:shd w:val="clear" w:color="auto" w:fill="auto"/>
          </w:tcPr>
          <w:p w14:paraId="4AF1AD6C" w14:textId="77777777" w:rsidR="008C5CFA" w:rsidRPr="00BA47B4" w:rsidRDefault="008C5CFA" w:rsidP="00300A01">
            <w:pPr>
              <w:spacing w:before="0" w:after="0"/>
              <w:jc w:val="right"/>
              <w:rPr>
                <w:sz w:val="12"/>
                <w:szCs w:val="12"/>
                <w:lang w:val="fr-BE"/>
              </w:rPr>
            </w:pPr>
          </w:p>
        </w:tc>
        <w:tc>
          <w:tcPr>
            <w:tcW w:w="0" w:type="auto"/>
            <w:shd w:val="clear" w:color="auto" w:fill="auto"/>
          </w:tcPr>
          <w:p w14:paraId="3496D779" w14:textId="77777777" w:rsidR="008C5CFA" w:rsidRPr="00BA47B4" w:rsidRDefault="008C5CFA" w:rsidP="00300A01">
            <w:pPr>
              <w:spacing w:before="0" w:after="0"/>
              <w:jc w:val="right"/>
              <w:rPr>
                <w:sz w:val="12"/>
                <w:szCs w:val="12"/>
                <w:lang w:val="fr-BE"/>
              </w:rPr>
            </w:pPr>
          </w:p>
        </w:tc>
        <w:tc>
          <w:tcPr>
            <w:tcW w:w="0" w:type="auto"/>
            <w:shd w:val="clear" w:color="auto" w:fill="auto"/>
          </w:tcPr>
          <w:p w14:paraId="19D506D7" w14:textId="77777777" w:rsidR="008C5CFA" w:rsidRPr="00BA47B4" w:rsidRDefault="008C5CFA" w:rsidP="00300A01">
            <w:pPr>
              <w:spacing w:before="0" w:after="0"/>
              <w:jc w:val="right"/>
              <w:rPr>
                <w:sz w:val="12"/>
                <w:szCs w:val="12"/>
                <w:lang w:val="fr-BE"/>
              </w:rPr>
            </w:pPr>
          </w:p>
        </w:tc>
        <w:tc>
          <w:tcPr>
            <w:tcW w:w="0" w:type="auto"/>
            <w:shd w:val="clear" w:color="auto" w:fill="auto"/>
          </w:tcPr>
          <w:p w14:paraId="1C741D55" w14:textId="77777777" w:rsidR="008C5CFA" w:rsidRPr="00BA47B4" w:rsidRDefault="008C5CFA" w:rsidP="00300A01">
            <w:pPr>
              <w:spacing w:before="0" w:after="0"/>
              <w:jc w:val="right"/>
              <w:rPr>
                <w:sz w:val="12"/>
                <w:szCs w:val="12"/>
                <w:lang w:val="fr-BE"/>
              </w:rPr>
            </w:pPr>
          </w:p>
        </w:tc>
        <w:tc>
          <w:tcPr>
            <w:tcW w:w="0" w:type="auto"/>
          </w:tcPr>
          <w:p w14:paraId="2D95F456" w14:textId="77777777" w:rsidR="008C5CFA" w:rsidRPr="00A92B39" w:rsidRDefault="00E82A60" w:rsidP="00300A01">
            <w:pPr>
              <w:spacing w:before="0" w:after="0"/>
              <w:jc w:val="right"/>
              <w:rPr>
                <w:sz w:val="10"/>
                <w:szCs w:val="10"/>
                <w:lang w:val="fr-BE"/>
              </w:rPr>
            </w:pPr>
            <w:r w:rsidRPr="00A92B39">
              <w:rPr>
                <w:noProof/>
                <w:sz w:val="10"/>
                <w:szCs w:val="10"/>
                <w:lang w:val="fr-BE"/>
              </w:rPr>
              <w:t>19 819,00</w:t>
            </w:r>
          </w:p>
        </w:tc>
        <w:tc>
          <w:tcPr>
            <w:tcW w:w="0" w:type="auto"/>
            <w:shd w:val="clear" w:color="auto" w:fill="auto"/>
          </w:tcPr>
          <w:p w14:paraId="6CCB5265" w14:textId="77777777" w:rsidR="008C5CFA" w:rsidRPr="00A92B39" w:rsidRDefault="008C5CFA" w:rsidP="00300A01">
            <w:pPr>
              <w:spacing w:before="0" w:after="0"/>
              <w:jc w:val="right"/>
              <w:rPr>
                <w:sz w:val="10"/>
                <w:szCs w:val="10"/>
                <w:lang w:val="fr-BE"/>
              </w:rPr>
            </w:pPr>
          </w:p>
        </w:tc>
        <w:tc>
          <w:tcPr>
            <w:tcW w:w="0" w:type="auto"/>
            <w:shd w:val="clear" w:color="auto" w:fill="auto"/>
          </w:tcPr>
          <w:p w14:paraId="4F24CDA6" w14:textId="77777777" w:rsidR="008C5CFA" w:rsidRPr="00BA47B4" w:rsidRDefault="008C5CFA" w:rsidP="00300A01">
            <w:pPr>
              <w:spacing w:before="0" w:after="0"/>
              <w:jc w:val="right"/>
              <w:rPr>
                <w:sz w:val="12"/>
                <w:szCs w:val="12"/>
                <w:lang w:val="fr-BE"/>
              </w:rPr>
            </w:pPr>
          </w:p>
        </w:tc>
      </w:tr>
    </w:tbl>
    <w:p w14:paraId="53E5E102"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46"/>
        <w:gridCol w:w="7753"/>
        <w:gridCol w:w="1326"/>
        <w:gridCol w:w="648"/>
        <w:gridCol w:w="697"/>
        <w:gridCol w:w="648"/>
        <w:gridCol w:w="585"/>
        <w:gridCol w:w="697"/>
        <w:gridCol w:w="585"/>
        <w:gridCol w:w="551"/>
        <w:gridCol w:w="697"/>
        <w:gridCol w:w="551"/>
      </w:tblGrid>
      <w:tr w:rsidR="006B2EC1" w14:paraId="5E16B1D7" w14:textId="77777777" w:rsidTr="0047688D">
        <w:tc>
          <w:tcPr>
            <w:tcW w:w="0" w:type="auto"/>
            <w:shd w:val="clear" w:color="auto" w:fill="auto"/>
          </w:tcPr>
          <w:p w14:paraId="34F5F34D" w14:textId="77777777" w:rsidR="008C5CFA" w:rsidRPr="001C4484" w:rsidRDefault="00E82A60" w:rsidP="00300A01">
            <w:pPr>
              <w:spacing w:before="0" w:after="0"/>
              <w:rPr>
                <w:sz w:val="10"/>
                <w:szCs w:val="10"/>
              </w:rPr>
            </w:pPr>
            <w:r w:rsidRPr="001C4484">
              <w:rPr>
                <w:b/>
                <w:noProof/>
                <w:sz w:val="12"/>
                <w:szCs w:val="12"/>
                <w:lang w:val="fr-BE"/>
              </w:rPr>
              <w:t>ID</w:t>
            </w:r>
          </w:p>
        </w:tc>
        <w:tc>
          <w:tcPr>
            <w:tcW w:w="0" w:type="auto"/>
            <w:shd w:val="clear" w:color="auto" w:fill="auto"/>
          </w:tcPr>
          <w:p w14:paraId="5A83A830" w14:textId="77777777" w:rsidR="008C5CFA" w:rsidRPr="001C4484" w:rsidRDefault="00E82A60" w:rsidP="00300A01">
            <w:pPr>
              <w:spacing w:before="0" w:after="0"/>
              <w:rPr>
                <w:sz w:val="10"/>
                <w:szCs w:val="10"/>
              </w:rPr>
            </w:pPr>
            <w:r w:rsidRPr="001C4484">
              <w:rPr>
                <w:b/>
                <w:noProof/>
                <w:sz w:val="12"/>
                <w:szCs w:val="12"/>
                <w:lang w:val="fr-BE"/>
              </w:rPr>
              <w:t>Wskaźnik</w:t>
            </w:r>
          </w:p>
        </w:tc>
        <w:tc>
          <w:tcPr>
            <w:tcW w:w="0" w:type="auto"/>
            <w:shd w:val="clear" w:color="auto" w:fill="auto"/>
          </w:tcPr>
          <w:p w14:paraId="07D823C4" w14:textId="77777777" w:rsidR="008C5CFA" w:rsidRPr="001C4484" w:rsidRDefault="00E82A60" w:rsidP="00300A01">
            <w:pPr>
              <w:spacing w:before="0" w:after="0"/>
              <w:rPr>
                <w:sz w:val="10"/>
                <w:szCs w:val="10"/>
              </w:rPr>
            </w:pPr>
            <w:r w:rsidRPr="001C4484">
              <w:rPr>
                <w:b/>
                <w:noProof/>
                <w:sz w:val="12"/>
                <w:szCs w:val="12"/>
                <w:lang w:val="fr-BE"/>
              </w:rPr>
              <w:t>Kategoria regionu</w:t>
            </w:r>
          </w:p>
        </w:tc>
        <w:tc>
          <w:tcPr>
            <w:tcW w:w="0" w:type="auto"/>
            <w:gridSpan w:val="3"/>
          </w:tcPr>
          <w:p w14:paraId="09E0C004" w14:textId="77777777" w:rsidR="008C5CFA" w:rsidRPr="001C4484" w:rsidRDefault="00E82A60" w:rsidP="00300A01">
            <w:pPr>
              <w:spacing w:before="0" w:after="0"/>
              <w:jc w:val="center"/>
              <w:rPr>
                <w:sz w:val="10"/>
                <w:szCs w:val="10"/>
              </w:rPr>
            </w:pPr>
            <w:r w:rsidRPr="001C4484">
              <w:rPr>
                <w:sz w:val="10"/>
                <w:szCs w:val="10"/>
              </w:rPr>
              <w:t>2018</w:t>
            </w:r>
          </w:p>
        </w:tc>
        <w:tc>
          <w:tcPr>
            <w:tcW w:w="0" w:type="auto"/>
            <w:gridSpan w:val="3"/>
          </w:tcPr>
          <w:p w14:paraId="0E331A92" w14:textId="77777777" w:rsidR="008C5CFA" w:rsidRPr="001C4484" w:rsidRDefault="00E82A60" w:rsidP="00300A01">
            <w:pPr>
              <w:spacing w:before="0" w:after="0"/>
              <w:jc w:val="center"/>
              <w:rPr>
                <w:sz w:val="10"/>
                <w:szCs w:val="10"/>
              </w:rPr>
            </w:pPr>
            <w:r w:rsidRPr="001C4484">
              <w:rPr>
                <w:sz w:val="10"/>
                <w:szCs w:val="10"/>
              </w:rPr>
              <w:t>2017</w:t>
            </w:r>
          </w:p>
        </w:tc>
        <w:tc>
          <w:tcPr>
            <w:tcW w:w="0" w:type="auto"/>
            <w:gridSpan w:val="3"/>
          </w:tcPr>
          <w:p w14:paraId="598F0098" w14:textId="77777777" w:rsidR="008C5CFA" w:rsidRPr="001C4484" w:rsidRDefault="00E82A60" w:rsidP="00300A01">
            <w:pPr>
              <w:spacing w:before="0" w:after="0"/>
              <w:jc w:val="center"/>
              <w:rPr>
                <w:sz w:val="10"/>
                <w:szCs w:val="10"/>
              </w:rPr>
            </w:pPr>
            <w:r w:rsidRPr="001C4484">
              <w:rPr>
                <w:sz w:val="10"/>
                <w:szCs w:val="10"/>
              </w:rPr>
              <w:t>2016</w:t>
            </w:r>
          </w:p>
        </w:tc>
      </w:tr>
      <w:tr w:rsidR="006B2EC1" w14:paraId="28E04C7A" w14:textId="77777777" w:rsidTr="0047688D">
        <w:tc>
          <w:tcPr>
            <w:tcW w:w="0" w:type="auto"/>
            <w:shd w:val="clear" w:color="auto" w:fill="auto"/>
          </w:tcPr>
          <w:p w14:paraId="27B17127" w14:textId="77777777" w:rsidR="008C5CFA" w:rsidRPr="001C4484" w:rsidRDefault="008C5CFA" w:rsidP="00300A01">
            <w:pPr>
              <w:spacing w:before="0" w:after="0"/>
              <w:rPr>
                <w:sz w:val="10"/>
                <w:szCs w:val="10"/>
              </w:rPr>
            </w:pPr>
          </w:p>
        </w:tc>
        <w:tc>
          <w:tcPr>
            <w:tcW w:w="0" w:type="auto"/>
            <w:shd w:val="clear" w:color="auto" w:fill="auto"/>
          </w:tcPr>
          <w:p w14:paraId="5D4EBC29" w14:textId="77777777" w:rsidR="008C5CFA" w:rsidRPr="001C4484" w:rsidRDefault="008C5CFA" w:rsidP="00300A01">
            <w:pPr>
              <w:spacing w:before="0" w:after="0"/>
              <w:rPr>
                <w:sz w:val="10"/>
                <w:szCs w:val="10"/>
              </w:rPr>
            </w:pPr>
          </w:p>
        </w:tc>
        <w:tc>
          <w:tcPr>
            <w:tcW w:w="0" w:type="auto"/>
            <w:shd w:val="clear" w:color="auto" w:fill="auto"/>
          </w:tcPr>
          <w:p w14:paraId="30954650" w14:textId="77777777" w:rsidR="008C5CFA" w:rsidRPr="001C4484" w:rsidRDefault="008C5CFA" w:rsidP="00300A01">
            <w:pPr>
              <w:spacing w:before="0" w:after="0"/>
              <w:rPr>
                <w:sz w:val="10"/>
                <w:szCs w:val="10"/>
              </w:rPr>
            </w:pPr>
          </w:p>
        </w:tc>
        <w:tc>
          <w:tcPr>
            <w:tcW w:w="0" w:type="auto"/>
          </w:tcPr>
          <w:p w14:paraId="69B74799" w14:textId="77777777" w:rsidR="008C5CFA" w:rsidRPr="001C4484" w:rsidRDefault="00E82A60" w:rsidP="00300A01">
            <w:pPr>
              <w:spacing w:before="0" w:after="0"/>
              <w:jc w:val="center"/>
              <w:rPr>
                <w:sz w:val="10"/>
                <w:szCs w:val="10"/>
              </w:rPr>
            </w:pPr>
            <w:r>
              <w:rPr>
                <w:noProof/>
                <w:sz w:val="10"/>
                <w:szCs w:val="10"/>
              </w:rPr>
              <w:t>Ogółem</w:t>
            </w:r>
          </w:p>
        </w:tc>
        <w:tc>
          <w:tcPr>
            <w:tcW w:w="0" w:type="auto"/>
            <w:shd w:val="clear" w:color="auto" w:fill="auto"/>
          </w:tcPr>
          <w:p w14:paraId="37429EEF" w14:textId="77777777" w:rsidR="008C5CFA" w:rsidRPr="001C4484" w:rsidRDefault="00E82A60" w:rsidP="00300A01">
            <w:pPr>
              <w:spacing w:before="0" w:after="0"/>
              <w:jc w:val="center"/>
              <w:rPr>
                <w:sz w:val="10"/>
                <w:szCs w:val="10"/>
              </w:rPr>
            </w:pPr>
            <w:r w:rsidRPr="001C4484">
              <w:rPr>
                <w:noProof/>
                <w:sz w:val="10"/>
                <w:szCs w:val="10"/>
              </w:rPr>
              <w:t>Mężczyźni</w:t>
            </w:r>
          </w:p>
        </w:tc>
        <w:tc>
          <w:tcPr>
            <w:tcW w:w="0" w:type="auto"/>
            <w:shd w:val="clear" w:color="auto" w:fill="auto"/>
          </w:tcPr>
          <w:p w14:paraId="11D81550" w14:textId="77777777" w:rsidR="008C5CFA" w:rsidRPr="001C4484" w:rsidRDefault="00E82A60" w:rsidP="00300A01">
            <w:pPr>
              <w:spacing w:before="0" w:after="0"/>
              <w:jc w:val="center"/>
              <w:rPr>
                <w:sz w:val="10"/>
                <w:szCs w:val="10"/>
              </w:rPr>
            </w:pPr>
            <w:r w:rsidRPr="001C4484">
              <w:rPr>
                <w:noProof/>
                <w:sz w:val="10"/>
                <w:szCs w:val="10"/>
              </w:rPr>
              <w:t>Kobiety</w:t>
            </w:r>
          </w:p>
        </w:tc>
        <w:tc>
          <w:tcPr>
            <w:tcW w:w="0" w:type="auto"/>
          </w:tcPr>
          <w:p w14:paraId="29B6536A" w14:textId="77777777" w:rsidR="008C5CFA" w:rsidRPr="001C4484" w:rsidRDefault="00E82A60" w:rsidP="00300A01">
            <w:pPr>
              <w:spacing w:before="0" w:after="0"/>
              <w:jc w:val="center"/>
              <w:rPr>
                <w:sz w:val="10"/>
                <w:szCs w:val="10"/>
              </w:rPr>
            </w:pPr>
            <w:r>
              <w:rPr>
                <w:noProof/>
                <w:sz w:val="10"/>
                <w:szCs w:val="10"/>
              </w:rPr>
              <w:t>Ogółem</w:t>
            </w:r>
          </w:p>
        </w:tc>
        <w:tc>
          <w:tcPr>
            <w:tcW w:w="0" w:type="auto"/>
            <w:shd w:val="clear" w:color="auto" w:fill="auto"/>
          </w:tcPr>
          <w:p w14:paraId="52AAC992" w14:textId="77777777" w:rsidR="008C5CFA" w:rsidRPr="001C4484" w:rsidRDefault="00E82A60" w:rsidP="00300A01">
            <w:pPr>
              <w:spacing w:before="0" w:after="0"/>
              <w:jc w:val="center"/>
              <w:rPr>
                <w:sz w:val="10"/>
                <w:szCs w:val="10"/>
              </w:rPr>
            </w:pPr>
            <w:r w:rsidRPr="001C4484">
              <w:rPr>
                <w:noProof/>
                <w:sz w:val="10"/>
                <w:szCs w:val="10"/>
              </w:rPr>
              <w:t>Mężczyźni</w:t>
            </w:r>
          </w:p>
        </w:tc>
        <w:tc>
          <w:tcPr>
            <w:tcW w:w="0" w:type="auto"/>
            <w:shd w:val="clear" w:color="auto" w:fill="auto"/>
          </w:tcPr>
          <w:p w14:paraId="7D03CB7D" w14:textId="77777777" w:rsidR="008C5CFA" w:rsidRPr="001C4484" w:rsidRDefault="00E82A60" w:rsidP="00300A01">
            <w:pPr>
              <w:spacing w:before="0" w:after="0"/>
              <w:jc w:val="center"/>
              <w:rPr>
                <w:sz w:val="10"/>
                <w:szCs w:val="10"/>
              </w:rPr>
            </w:pPr>
            <w:r w:rsidRPr="001C4484">
              <w:rPr>
                <w:noProof/>
                <w:sz w:val="10"/>
                <w:szCs w:val="10"/>
              </w:rPr>
              <w:t>Kobiety</w:t>
            </w:r>
          </w:p>
        </w:tc>
        <w:tc>
          <w:tcPr>
            <w:tcW w:w="0" w:type="auto"/>
          </w:tcPr>
          <w:p w14:paraId="15A2785E" w14:textId="77777777" w:rsidR="008C5CFA" w:rsidRPr="001C4484" w:rsidRDefault="00E82A60" w:rsidP="00300A01">
            <w:pPr>
              <w:spacing w:before="0" w:after="0"/>
              <w:jc w:val="center"/>
              <w:rPr>
                <w:sz w:val="10"/>
                <w:szCs w:val="10"/>
              </w:rPr>
            </w:pPr>
            <w:r>
              <w:rPr>
                <w:noProof/>
                <w:sz w:val="10"/>
                <w:szCs w:val="10"/>
              </w:rPr>
              <w:t>Ogółem</w:t>
            </w:r>
          </w:p>
        </w:tc>
        <w:tc>
          <w:tcPr>
            <w:tcW w:w="0" w:type="auto"/>
            <w:shd w:val="clear" w:color="auto" w:fill="auto"/>
          </w:tcPr>
          <w:p w14:paraId="14F06EAA" w14:textId="77777777" w:rsidR="008C5CFA" w:rsidRPr="001C4484" w:rsidRDefault="00E82A60" w:rsidP="00300A01">
            <w:pPr>
              <w:spacing w:before="0" w:after="0"/>
              <w:jc w:val="center"/>
              <w:rPr>
                <w:sz w:val="10"/>
                <w:szCs w:val="10"/>
              </w:rPr>
            </w:pPr>
            <w:r w:rsidRPr="001C4484">
              <w:rPr>
                <w:noProof/>
                <w:sz w:val="10"/>
                <w:szCs w:val="10"/>
              </w:rPr>
              <w:t>Mężczyźni</w:t>
            </w:r>
          </w:p>
        </w:tc>
        <w:tc>
          <w:tcPr>
            <w:tcW w:w="0" w:type="auto"/>
            <w:shd w:val="clear" w:color="auto" w:fill="auto"/>
          </w:tcPr>
          <w:p w14:paraId="66D2324B" w14:textId="77777777" w:rsidR="008C5CFA" w:rsidRPr="001C4484" w:rsidRDefault="00E82A60" w:rsidP="00300A01">
            <w:pPr>
              <w:spacing w:before="0" w:after="0"/>
              <w:jc w:val="center"/>
              <w:rPr>
                <w:sz w:val="10"/>
                <w:szCs w:val="10"/>
              </w:rPr>
            </w:pPr>
            <w:r w:rsidRPr="001C4484">
              <w:rPr>
                <w:noProof/>
                <w:sz w:val="10"/>
                <w:szCs w:val="10"/>
              </w:rPr>
              <w:t>Kobiety</w:t>
            </w:r>
          </w:p>
        </w:tc>
      </w:tr>
      <w:tr w:rsidR="006B2EC1" w14:paraId="6F27D0C5" w14:textId="77777777" w:rsidTr="0047688D">
        <w:tc>
          <w:tcPr>
            <w:tcW w:w="0" w:type="auto"/>
            <w:shd w:val="clear" w:color="auto" w:fill="auto"/>
          </w:tcPr>
          <w:p w14:paraId="3FE2A702" w14:textId="77777777" w:rsidR="008C5CFA" w:rsidRPr="001C4484" w:rsidRDefault="00E82A60" w:rsidP="00300A01">
            <w:pPr>
              <w:spacing w:before="0" w:after="0"/>
              <w:rPr>
                <w:sz w:val="10"/>
                <w:szCs w:val="10"/>
                <w:lang w:val="fr-BE"/>
              </w:rPr>
            </w:pPr>
            <w:r w:rsidRPr="001C4484">
              <w:rPr>
                <w:noProof/>
                <w:sz w:val="10"/>
                <w:szCs w:val="10"/>
                <w:lang w:val="fr-BE"/>
              </w:rPr>
              <w:t>CO01</w:t>
            </w:r>
          </w:p>
        </w:tc>
        <w:tc>
          <w:tcPr>
            <w:tcW w:w="0" w:type="auto"/>
            <w:shd w:val="clear" w:color="auto" w:fill="auto"/>
          </w:tcPr>
          <w:p w14:paraId="752DC486" w14:textId="77777777" w:rsidR="008C5CFA" w:rsidRPr="001C4484" w:rsidRDefault="00E82A60" w:rsidP="00300A01">
            <w:pPr>
              <w:spacing w:before="0" w:after="0"/>
              <w:rPr>
                <w:sz w:val="10"/>
                <w:szCs w:val="10"/>
                <w:lang w:val="fr-BE"/>
              </w:rPr>
            </w:pPr>
            <w:r w:rsidRPr="001C4484">
              <w:rPr>
                <w:noProof/>
                <w:sz w:val="10"/>
                <w:szCs w:val="10"/>
                <w:lang w:val="fr-BE"/>
              </w:rPr>
              <w:t>bezrobotni, w tym długotrwale bezrobotni</w:t>
            </w:r>
          </w:p>
        </w:tc>
        <w:tc>
          <w:tcPr>
            <w:tcW w:w="0" w:type="auto"/>
            <w:shd w:val="clear" w:color="auto" w:fill="auto"/>
          </w:tcPr>
          <w:p w14:paraId="77D94FD9"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66D92BBE" w14:textId="77777777" w:rsidR="008C5CFA" w:rsidRPr="001C4484" w:rsidRDefault="00E82A60" w:rsidP="00300A01">
            <w:pPr>
              <w:spacing w:before="0" w:after="0"/>
              <w:jc w:val="right"/>
              <w:rPr>
                <w:sz w:val="10"/>
                <w:szCs w:val="10"/>
              </w:rPr>
            </w:pPr>
            <w:r>
              <w:rPr>
                <w:noProof/>
                <w:sz w:val="10"/>
                <w:szCs w:val="10"/>
              </w:rPr>
              <w:t>4 375,00</w:t>
            </w:r>
          </w:p>
        </w:tc>
        <w:tc>
          <w:tcPr>
            <w:tcW w:w="0" w:type="auto"/>
            <w:shd w:val="clear" w:color="auto" w:fill="auto"/>
          </w:tcPr>
          <w:p w14:paraId="3470183A" w14:textId="77777777" w:rsidR="008C5CFA" w:rsidRPr="001C4484" w:rsidRDefault="00E82A60" w:rsidP="00300A01">
            <w:pPr>
              <w:spacing w:before="0" w:after="0"/>
              <w:jc w:val="right"/>
              <w:rPr>
                <w:sz w:val="10"/>
                <w:szCs w:val="10"/>
              </w:rPr>
            </w:pPr>
            <w:r w:rsidRPr="001C4484">
              <w:rPr>
                <w:noProof/>
                <w:sz w:val="10"/>
                <w:szCs w:val="10"/>
              </w:rPr>
              <w:t>157,00</w:t>
            </w:r>
          </w:p>
        </w:tc>
        <w:tc>
          <w:tcPr>
            <w:tcW w:w="0" w:type="auto"/>
            <w:shd w:val="clear" w:color="auto" w:fill="auto"/>
          </w:tcPr>
          <w:p w14:paraId="4B5E3ABE" w14:textId="77777777" w:rsidR="008C5CFA" w:rsidRPr="001C4484" w:rsidRDefault="00E82A60" w:rsidP="00300A01">
            <w:pPr>
              <w:spacing w:before="0" w:after="0"/>
              <w:jc w:val="right"/>
              <w:rPr>
                <w:sz w:val="10"/>
                <w:szCs w:val="10"/>
                <w:lang w:val="fr-BE"/>
              </w:rPr>
            </w:pPr>
            <w:r w:rsidRPr="001C4484">
              <w:rPr>
                <w:noProof/>
                <w:sz w:val="10"/>
                <w:szCs w:val="10"/>
              </w:rPr>
              <w:t>4 218,00</w:t>
            </w:r>
          </w:p>
        </w:tc>
        <w:tc>
          <w:tcPr>
            <w:tcW w:w="0" w:type="auto"/>
          </w:tcPr>
          <w:p w14:paraId="79006469" w14:textId="77777777" w:rsidR="008C5CFA" w:rsidRPr="001C4484" w:rsidRDefault="00E82A60" w:rsidP="00300A01">
            <w:pPr>
              <w:spacing w:before="0" w:after="0"/>
              <w:jc w:val="right"/>
              <w:rPr>
                <w:sz w:val="10"/>
                <w:szCs w:val="10"/>
              </w:rPr>
            </w:pPr>
            <w:r>
              <w:rPr>
                <w:noProof/>
                <w:sz w:val="10"/>
                <w:szCs w:val="10"/>
              </w:rPr>
              <w:t>604,00</w:t>
            </w:r>
          </w:p>
        </w:tc>
        <w:tc>
          <w:tcPr>
            <w:tcW w:w="0" w:type="auto"/>
            <w:shd w:val="clear" w:color="auto" w:fill="auto"/>
          </w:tcPr>
          <w:p w14:paraId="1F1904BC" w14:textId="77777777" w:rsidR="008C5CFA" w:rsidRPr="001C4484" w:rsidRDefault="00E82A60" w:rsidP="00300A01">
            <w:pPr>
              <w:spacing w:before="0" w:after="0"/>
              <w:jc w:val="right"/>
              <w:rPr>
                <w:sz w:val="10"/>
                <w:szCs w:val="10"/>
              </w:rPr>
            </w:pPr>
            <w:r w:rsidRPr="001C4484">
              <w:rPr>
                <w:noProof/>
                <w:sz w:val="10"/>
                <w:szCs w:val="10"/>
              </w:rPr>
              <w:t>50,00</w:t>
            </w:r>
          </w:p>
        </w:tc>
        <w:tc>
          <w:tcPr>
            <w:tcW w:w="0" w:type="auto"/>
            <w:shd w:val="clear" w:color="auto" w:fill="auto"/>
          </w:tcPr>
          <w:p w14:paraId="1DD76C0D" w14:textId="77777777" w:rsidR="008C5CFA" w:rsidRPr="001C4484" w:rsidRDefault="00E82A60" w:rsidP="00300A01">
            <w:pPr>
              <w:spacing w:before="0" w:after="0"/>
              <w:jc w:val="right"/>
              <w:rPr>
                <w:sz w:val="10"/>
                <w:szCs w:val="10"/>
                <w:lang w:val="fr-BE"/>
              </w:rPr>
            </w:pPr>
            <w:r w:rsidRPr="001C4484">
              <w:rPr>
                <w:noProof/>
                <w:sz w:val="10"/>
                <w:szCs w:val="10"/>
              </w:rPr>
              <w:t>554,00</w:t>
            </w:r>
          </w:p>
        </w:tc>
        <w:tc>
          <w:tcPr>
            <w:tcW w:w="0" w:type="auto"/>
          </w:tcPr>
          <w:p w14:paraId="6C58FAB3"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2C9685E9"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259C103E" w14:textId="77777777" w:rsidR="008C5CFA" w:rsidRPr="001C4484" w:rsidRDefault="00E82A60" w:rsidP="00300A01">
            <w:pPr>
              <w:spacing w:before="0" w:after="0"/>
              <w:jc w:val="right"/>
              <w:rPr>
                <w:sz w:val="10"/>
                <w:szCs w:val="10"/>
                <w:lang w:val="fr-BE"/>
              </w:rPr>
            </w:pPr>
            <w:r w:rsidRPr="001C4484">
              <w:rPr>
                <w:noProof/>
                <w:sz w:val="10"/>
                <w:szCs w:val="10"/>
              </w:rPr>
              <w:t>0,00</w:t>
            </w:r>
          </w:p>
        </w:tc>
      </w:tr>
      <w:tr w:rsidR="006B2EC1" w14:paraId="374F0B51" w14:textId="77777777" w:rsidTr="0047688D">
        <w:tc>
          <w:tcPr>
            <w:tcW w:w="0" w:type="auto"/>
            <w:shd w:val="clear" w:color="auto" w:fill="auto"/>
          </w:tcPr>
          <w:p w14:paraId="658102E3" w14:textId="77777777" w:rsidR="008C5CFA" w:rsidRPr="001C4484" w:rsidRDefault="00E82A60" w:rsidP="00300A01">
            <w:pPr>
              <w:spacing w:before="0" w:after="0"/>
              <w:rPr>
                <w:sz w:val="10"/>
                <w:szCs w:val="10"/>
                <w:lang w:val="fr-BE"/>
              </w:rPr>
            </w:pPr>
            <w:r w:rsidRPr="001C4484">
              <w:rPr>
                <w:noProof/>
                <w:sz w:val="10"/>
                <w:szCs w:val="10"/>
                <w:lang w:val="fr-BE"/>
              </w:rPr>
              <w:t>CO02</w:t>
            </w:r>
          </w:p>
        </w:tc>
        <w:tc>
          <w:tcPr>
            <w:tcW w:w="0" w:type="auto"/>
            <w:shd w:val="clear" w:color="auto" w:fill="auto"/>
          </w:tcPr>
          <w:p w14:paraId="215898E8" w14:textId="77777777" w:rsidR="008C5CFA" w:rsidRPr="001C4484" w:rsidRDefault="00E82A60" w:rsidP="00300A01">
            <w:pPr>
              <w:spacing w:before="0" w:after="0"/>
              <w:rPr>
                <w:sz w:val="10"/>
                <w:szCs w:val="10"/>
                <w:lang w:val="fr-BE"/>
              </w:rPr>
            </w:pPr>
            <w:r w:rsidRPr="001C4484">
              <w:rPr>
                <w:noProof/>
                <w:sz w:val="10"/>
                <w:szCs w:val="10"/>
                <w:lang w:val="fr-BE"/>
              </w:rPr>
              <w:t>długotrwale bezrobotni</w:t>
            </w:r>
          </w:p>
        </w:tc>
        <w:tc>
          <w:tcPr>
            <w:tcW w:w="0" w:type="auto"/>
            <w:shd w:val="clear" w:color="auto" w:fill="auto"/>
          </w:tcPr>
          <w:p w14:paraId="5EEEB8F9"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073B073F" w14:textId="77777777" w:rsidR="008C5CFA" w:rsidRPr="001C4484" w:rsidRDefault="00E82A60" w:rsidP="00300A01">
            <w:pPr>
              <w:spacing w:before="0" w:after="0"/>
              <w:jc w:val="right"/>
              <w:rPr>
                <w:sz w:val="10"/>
                <w:szCs w:val="10"/>
              </w:rPr>
            </w:pPr>
            <w:r>
              <w:rPr>
                <w:noProof/>
                <w:sz w:val="10"/>
                <w:szCs w:val="10"/>
              </w:rPr>
              <w:t>237,00</w:t>
            </w:r>
          </w:p>
        </w:tc>
        <w:tc>
          <w:tcPr>
            <w:tcW w:w="0" w:type="auto"/>
            <w:shd w:val="clear" w:color="auto" w:fill="auto"/>
          </w:tcPr>
          <w:p w14:paraId="7E91A6BE" w14:textId="77777777" w:rsidR="008C5CFA" w:rsidRPr="001C4484" w:rsidRDefault="00E82A60" w:rsidP="00300A01">
            <w:pPr>
              <w:spacing w:before="0" w:after="0"/>
              <w:jc w:val="right"/>
              <w:rPr>
                <w:sz w:val="10"/>
                <w:szCs w:val="10"/>
              </w:rPr>
            </w:pPr>
            <w:r w:rsidRPr="001C4484">
              <w:rPr>
                <w:noProof/>
                <w:sz w:val="10"/>
                <w:szCs w:val="10"/>
              </w:rPr>
              <w:t>12,00</w:t>
            </w:r>
          </w:p>
        </w:tc>
        <w:tc>
          <w:tcPr>
            <w:tcW w:w="0" w:type="auto"/>
            <w:shd w:val="clear" w:color="auto" w:fill="auto"/>
          </w:tcPr>
          <w:p w14:paraId="34B6C355" w14:textId="77777777" w:rsidR="008C5CFA" w:rsidRPr="001C4484" w:rsidRDefault="00E82A60" w:rsidP="00300A01">
            <w:pPr>
              <w:spacing w:before="0" w:after="0"/>
              <w:jc w:val="right"/>
              <w:rPr>
                <w:sz w:val="10"/>
                <w:szCs w:val="10"/>
                <w:lang w:val="fr-BE"/>
              </w:rPr>
            </w:pPr>
            <w:r w:rsidRPr="001C4484">
              <w:rPr>
                <w:noProof/>
                <w:sz w:val="10"/>
                <w:szCs w:val="10"/>
              </w:rPr>
              <w:t>225,00</w:t>
            </w:r>
          </w:p>
        </w:tc>
        <w:tc>
          <w:tcPr>
            <w:tcW w:w="0" w:type="auto"/>
          </w:tcPr>
          <w:p w14:paraId="6270548A" w14:textId="77777777" w:rsidR="008C5CFA" w:rsidRPr="001C4484" w:rsidRDefault="00E82A60" w:rsidP="00300A01">
            <w:pPr>
              <w:spacing w:before="0" w:after="0"/>
              <w:jc w:val="right"/>
              <w:rPr>
                <w:sz w:val="10"/>
                <w:szCs w:val="10"/>
              </w:rPr>
            </w:pPr>
            <w:r>
              <w:rPr>
                <w:noProof/>
                <w:sz w:val="10"/>
                <w:szCs w:val="10"/>
              </w:rPr>
              <w:t>98,00</w:t>
            </w:r>
          </w:p>
        </w:tc>
        <w:tc>
          <w:tcPr>
            <w:tcW w:w="0" w:type="auto"/>
            <w:shd w:val="clear" w:color="auto" w:fill="auto"/>
          </w:tcPr>
          <w:p w14:paraId="0A6828F9" w14:textId="77777777" w:rsidR="008C5CFA" w:rsidRPr="001C4484" w:rsidRDefault="00E82A60" w:rsidP="00300A01">
            <w:pPr>
              <w:spacing w:before="0" w:after="0"/>
              <w:jc w:val="right"/>
              <w:rPr>
                <w:sz w:val="10"/>
                <w:szCs w:val="10"/>
              </w:rPr>
            </w:pPr>
            <w:r w:rsidRPr="001C4484">
              <w:rPr>
                <w:noProof/>
                <w:sz w:val="10"/>
                <w:szCs w:val="10"/>
              </w:rPr>
              <w:t>3,00</w:t>
            </w:r>
          </w:p>
        </w:tc>
        <w:tc>
          <w:tcPr>
            <w:tcW w:w="0" w:type="auto"/>
            <w:shd w:val="clear" w:color="auto" w:fill="auto"/>
          </w:tcPr>
          <w:p w14:paraId="58F88F14" w14:textId="77777777" w:rsidR="008C5CFA" w:rsidRPr="001C4484" w:rsidRDefault="00E82A60" w:rsidP="00300A01">
            <w:pPr>
              <w:spacing w:before="0" w:after="0"/>
              <w:jc w:val="right"/>
              <w:rPr>
                <w:sz w:val="10"/>
                <w:szCs w:val="10"/>
                <w:lang w:val="fr-BE"/>
              </w:rPr>
            </w:pPr>
            <w:r w:rsidRPr="001C4484">
              <w:rPr>
                <w:noProof/>
                <w:sz w:val="10"/>
                <w:szCs w:val="10"/>
              </w:rPr>
              <w:t>95,00</w:t>
            </w:r>
          </w:p>
        </w:tc>
        <w:tc>
          <w:tcPr>
            <w:tcW w:w="0" w:type="auto"/>
          </w:tcPr>
          <w:p w14:paraId="5295DC10"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5A283DEF"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54DCD7C9" w14:textId="77777777" w:rsidR="008C5CFA" w:rsidRPr="001C4484" w:rsidRDefault="00E82A60" w:rsidP="00300A01">
            <w:pPr>
              <w:spacing w:before="0" w:after="0"/>
              <w:jc w:val="right"/>
              <w:rPr>
                <w:sz w:val="10"/>
                <w:szCs w:val="10"/>
                <w:lang w:val="fr-BE"/>
              </w:rPr>
            </w:pPr>
            <w:r w:rsidRPr="001C4484">
              <w:rPr>
                <w:noProof/>
                <w:sz w:val="10"/>
                <w:szCs w:val="10"/>
              </w:rPr>
              <w:t>0,00</w:t>
            </w:r>
          </w:p>
        </w:tc>
      </w:tr>
      <w:tr w:rsidR="006B2EC1" w14:paraId="7EC377F6" w14:textId="77777777" w:rsidTr="0047688D">
        <w:tc>
          <w:tcPr>
            <w:tcW w:w="0" w:type="auto"/>
            <w:shd w:val="clear" w:color="auto" w:fill="auto"/>
          </w:tcPr>
          <w:p w14:paraId="6E71FF56" w14:textId="77777777" w:rsidR="008C5CFA" w:rsidRPr="001C4484" w:rsidRDefault="00E82A60" w:rsidP="00300A01">
            <w:pPr>
              <w:spacing w:before="0" w:after="0"/>
              <w:rPr>
                <w:sz w:val="10"/>
                <w:szCs w:val="10"/>
                <w:lang w:val="fr-BE"/>
              </w:rPr>
            </w:pPr>
            <w:r w:rsidRPr="001C4484">
              <w:rPr>
                <w:noProof/>
                <w:sz w:val="10"/>
                <w:szCs w:val="10"/>
                <w:lang w:val="fr-BE"/>
              </w:rPr>
              <w:t>CO03</w:t>
            </w:r>
          </w:p>
        </w:tc>
        <w:tc>
          <w:tcPr>
            <w:tcW w:w="0" w:type="auto"/>
            <w:shd w:val="clear" w:color="auto" w:fill="auto"/>
          </w:tcPr>
          <w:p w14:paraId="265D6913" w14:textId="77777777" w:rsidR="008C5CFA" w:rsidRPr="001C4484" w:rsidRDefault="00E82A60" w:rsidP="00300A01">
            <w:pPr>
              <w:spacing w:before="0" w:after="0"/>
              <w:rPr>
                <w:sz w:val="10"/>
                <w:szCs w:val="10"/>
                <w:lang w:val="fr-BE"/>
              </w:rPr>
            </w:pPr>
            <w:r w:rsidRPr="001C4484">
              <w:rPr>
                <w:noProof/>
                <w:sz w:val="10"/>
                <w:szCs w:val="10"/>
                <w:lang w:val="fr-BE"/>
              </w:rPr>
              <w:t>osoby bierne zawodowo</w:t>
            </w:r>
          </w:p>
        </w:tc>
        <w:tc>
          <w:tcPr>
            <w:tcW w:w="0" w:type="auto"/>
            <w:shd w:val="clear" w:color="auto" w:fill="auto"/>
          </w:tcPr>
          <w:p w14:paraId="6894C7DB"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2EC4011D" w14:textId="77777777" w:rsidR="008C5CFA" w:rsidRPr="001C4484" w:rsidRDefault="00E82A60" w:rsidP="00300A01">
            <w:pPr>
              <w:spacing w:before="0" w:after="0"/>
              <w:jc w:val="right"/>
              <w:rPr>
                <w:sz w:val="10"/>
                <w:szCs w:val="10"/>
              </w:rPr>
            </w:pPr>
            <w:r>
              <w:rPr>
                <w:noProof/>
                <w:sz w:val="10"/>
                <w:szCs w:val="10"/>
              </w:rPr>
              <w:t>5 662,00</w:t>
            </w:r>
          </w:p>
        </w:tc>
        <w:tc>
          <w:tcPr>
            <w:tcW w:w="0" w:type="auto"/>
            <w:shd w:val="clear" w:color="auto" w:fill="auto"/>
          </w:tcPr>
          <w:p w14:paraId="306B863C" w14:textId="77777777" w:rsidR="008C5CFA" w:rsidRPr="001C4484" w:rsidRDefault="00E82A60" w:rsidP="00300A01">
            <w:pPr>
              <w:spacing w:before="0" w:after="0"/>
              <w:jc w:val="right"/>
              <w:rPr>
                <w:sz w:val="10"/>
                <w:szCs w:val="10"/>
              </w:rPr>
            </w:pPr>
            <w:r w:rsidRPr="001C4484">
              <w:rPr>
                <w:noProof/>
                <w:sz w:val="10"/>
                <w:szCs w:val="10"/>
              </w:rPr>
              <w:t>521,00</w:t>
            </w:r>
          </w:p>
        </w:tc>
        <w:tc>
          <w:tcPr>
            <w:tcW w:w="0" w:type="auto"/>
            <w:shd w:val="clear" w:color="auto" w:fill="auto"/>
          </w:tcPr>
          <w:p w14:paraId="28097754" w14:textId="77777777" w:rsidR="008C5CFA" w:rsidRPr="001C4484" w:rsidRDefault="00E82A60" w:rsidP="00300A01">
            <w:pPr>
              <w:spacing w:before="0" w:after="0"/>
              <w:jc w:val="right"/>
              <w:rPr>
                <w:sz w:val="10"/>
                <w:szCs w:val="10"/>
                <w:lang w:val="fr-BE"/>
              </w:rPr>
            </w:pPr>
            <w:r w:rsidRPr="001C4484">
              <w:rPr>
                <w:noProof/>
                <w:sz w:val="10"/>
                <w:szCs w:val="10"/>
              </w:rPr>
              <w:t>5 141,00</w:t>
            </w:r>
          </w:p>
        </w:tc>
        <w:tc>
          <w:tcPr>
            <w:tcW w:w="0" w:type="auto"/>
          </w:tcPr>
          <w:p w14:paraId="0E338897" w14:textId="77777777" w:rsidR="008C5CFA" w:rsidRPr="001C4484" w:rsidRDefault="00E82A60" w:rsidP="00300A01">
            <w:pPr>
              <w:spacing w:before="0" w:after="0"/>
              <w:jc w:val="right"/>
              <w:rPr>
                <w:sz w:val="10"/>
                <w:szCs w:val="10"/>
              </w:rPr>
            </w:pPr>
            <w:r>
              <w:rPr>
                <w:noProof/>
                <w:sz w:val="10"/>
                <w:szCs w:val="10"/>
              </w:rPr>
              <w:t>1 480,00</w:t>
            </w:r>
          </w:p>
        </w:tc>
        <w:tc>
          <w:tcPr>
            <w:tcW w:w="0" w:type="auto"/>
            <w:shd w:val="clear" w:color="auto" w:fill="auto"/>
          </w:tcPr>
          <w:p w14:paraId="6A0BCFBC" w14:textId="77777777" w:rsidR="008C5CFA" w:rsidRPr="001C4484" w:rsidRDefault="00E82A60" w:rsidP="00300A01">
            <w:pPr>
              <w:spacing w:before="0" w:after="0"/>
              <w:jc w:val="right"/>
              <w:rPr>
                <w:sz w:val="10"/>
                <w:szCs w:val="10"/>
              </w:rPr>
            </w:pPr>
            <w:r w:rsidRPr="001C4484">
              <w:rPr>
                <w:noProof/>
                <w:sz w:val="10"/>
                <w:szCs w:val="10"/>
              </w:rPr>
              <w:t>127,00</w:t>
            </w:r>
          </w:p>
        </w:tc>
        <w:tc>
          <w:tcPr>
            <w:tcW w:w="0" w:type="auto"/>
            <w:shd w:val="clear" w:color="auto" w:fill="auto"/>
          </w:tcPr>
          <w:p w14:paraId="622D590E" w14:textId="77777777" w:rsidR="008C5CFA" w:rsidRPr="001C4484" w:rsidRDefault="00E82A60" w:rsidP="00300A01">
            <w:pPr>
              <w:spacing w:before="0" w:after="0"/>
              <w:jc w:val="right"/>
              <w:rPr>
                <w:sz w:val="10"/>
                <w:szCs w:val="10"/>
                <w:lang w:val="fr-BE"/>
              </w:rPr>
            </w:pPr>
            <w:r w:rsidRPr="001C4484">
              <w:rPr>
                <w:noProof/>
                <w:sz w:val="10"/>
                <w:szCs w:val="10"/>
              </w:rPr>
              <w:t>1 353,00</w:t>
            </w:r>
          </w:p>
        </w:tc>
        <w:tc>
          <w:tcPr>
            <w:tcW w:w="0" w:type="auto"/>
          </w:tcPr>
          <w:p w14:paraId="00BE4E4C"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1FCE75C7"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4E8927AA" w14:textId="77777777" w:rsidR="008C5CFA" w:rsidRPr="001C4484" w:rsidRDefault="00E82A60" w:rsidP="00300A01">
            <w:pPr>
              <w:spacing w:before="0" w:after="0"/>
              <w:jc w:val="right"/>
              <w:rPr>
                <w:sz w:val="10"/>
                <w:szCs w:val="10"/>
                <w:lang w:val="fr-BE"/>
              </w:rPr>
            </w:pPr>
            <w:r w:rsidRPr="001C4484">
              <w:rPr>
                <w:noProof/>
                <w:sz w:val="10"/>
                <w:szCs w:val="10"/>
              </w:rPr>
              <w:t>0,00</w:t>
            </w:r>
          </w:p>
        </w:tc>
      </w:tr>
      <w:tr w:rsidR="006B2EC1" w14:paraId="28D6DA42" w14:textId="77777777" w:rsidTr="0047688D">
        <w:tc>
          <w:tcPr>
            <w:tcW w:w="0" w:type="auto"/>
            <w:shd w:val="clear" w:color="auto" w:fill="auto"/>
          </w:tcPr>
          <w:p w14:paraId="2BDE20BD" w14:textId="77777777" w:rsidR="008C5CFA" w:rsidRPr="001C4484" w:rsidRDefault="00E82A60" w:rsidP="00300A01">
            <w:pPr>
              <w:spacing w:before="0" w:after="0"/>
              <w:rPr>
                <w:sz w:val="10"/>
                <w:szCs w:val="10"/>
                <w:lang w:val="fr-BE"/>
              </w:rPr>
            </w:pPr>
            <w:r w:rsidRPr="001C4484">
              <w:rPr>
                <w:noProof/>
                <w:sz w:val="10"/>
                <w:szCs w:val="10"/>
                <w:lang w:val="fr-BE"/>
              </w:rPr>
              <w:t>CO04</w:t>
            </w:r>
          </w:p>
        </w:tc>
        <w:tc>
          <w:tcPr>
            <w:tcW w:w="0" w:type="auto"/>
            <w:shd w:val="clear" w:color="auto" w:fill="auto"/>
          </w:tcPr>
          <w:p w14:paraId="039ABC9E" w14:textId="77777777" w:rsidR="008C5CFA" w:rsidRPr="001C4484" w:rsidRDefault="00E82A60" w:rsidP="00300A01">
            <w:pPr>
              <w:spacing w:before="0" w:after="0"/>
              <w:rPr>
                <w:sz w:val="10"/>
                <w:szCs w:val="10"/>
                <w:lang w:val="fr-BE"/>
              </w:rPr>
            </w:pPr>
            <w:r w:rsidRPr="001C4484">
              <w:rPr>
                <w:noProof/>
                <w:sz w:val="10"/>
                <w:szCs w:val="10"/>
                <w:lang w:val="fr-BE"/>
              </w:rPr>
              <w:t>osoby bierne zawodowo, nieuczestniczące w kształceniu ani szkoleniu</w:t>
            </w:r>
          </w:p>
        </w:tc>
        <w:tc>
          <w:tcPr>
            <w:tcW w:w="0" w:type="auto"/>
            <w:shd w:val="clear" w:color="auto" w:fill="auto"/>
          </w:tcPr>
          <w:p w14:paraId="6242B796"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3489EC8E" w14:textId="77777777" w:rsidR="008C5CFA" w:rsidRPr="001C4484" w:rsidRDefault="00E82A60" w:rsidP="00300A01">
            <w:pPr>
              <w:spacing w:before="0" w:after="0"/>
              <w:jc w:val="right"/>
              <w:rPr>
                <w:sz w:val="10"/>
                <w:szCs w:val="10"/>
              </w:rPr>
            </w:pPr>
            <w:r>
              <w:rPr>
                <w:noProof/>
                <w:sz w:val="10"/>
                <w:szCs w:val="10"/>
              </w:rPr>
              <w:t>4 212,00</w:t>
            </w:r>
          </w:p>
        </w:tc>
        <w:tc>
          <w:tcPr>
            <w:tcW w:w="0" w:type="auto"/>
            <w:shd w:val="clear" w:color="auto" w:fill="auto"/>
          </w:tcPr>
          <w:p w14:paraId="2A44CF1E" w14:textId="77777777" w:rsidR="008C5CFA" w:rsidRPr="001C4484" w:rsidRDefault="00E82A60" w:rsidP="00300A01">
            <w:pPr>
              <w:spacing w:before="0" w:after="0"/>
              <w:jc w:val="right"/>
              <w:rPr>
                <w:sz w:val="10"/>
                <w:szCs w:val="10"/>
              </w:rPr>
            </w:pPr>
            <w:r w:rsidRPr="001C4484">
              <w:rPr>
                <w:noProof/>
                <w:sz w:val="10"/>
                <w:szCs w:val="10"/>
              </w:rPr>
              <w:t>320,00</w:t>
            </w:r>
          </w:p>
        </w:tc>
        <w:tc>
          <w:tcPr>
            <w:tcW w:w="0" w:type="auto"/>
            <w:shd w:val="clear" w:color="auto" w:fill="auto"/>
          </w:tcPr>
          <w:p w14:paraId="2CCA68F9" w14:textId="77777777" w:rsidR="008C5CFA" w:rsidRPr="001C4484" w:rsidRDefault="00E82A60" w:rsidP="00300A01">
            <w:pPr>
              <w:spacing w:before="0" w:after="0"/>
              <w:jc w:val="right"/>
              <w:rPr>
                <w:sz w:val="10"/>
                <w:szCs w:val="10"/>
                <w:lang w:val="fr-BE"/>
              </w:rPr>
            </w:pPr>
            <w:r w:rsidRPr="001C4484">
              <w:rPr>
                <w:noProof/>
                <w:sz w:val="10"/>
                <w:szCs w:val="10"/>
              </w:rPr>
              <w:t>3 892,00</w:t>
            </w:r>
          </w:p>
        </w:tc>
        <w:tc>
          <w:tcPr>
            <w:tcW w:w="0" w:type="auto"/>
          </w:tcPr>
          <w:p w14:paraId="6C29DF56" w14:textId="77777777" w:rsidR="008C5CFA" w:rsidRPr="001C4484" w:rsidRDefault="00E82A60" w:rsidP="00300A01">
            <w:pPr>
              <w:spacing w:before="0" w:after="0"/>
              <w:jc w:val="right"/>
              <w:rPr>
                <w:sz w:val="10"/>
                <w:szCs w:val="10"/>
              </w:rPr>
            </w:pPr>
            <w:r>
              <w:rPr>
                <w:noProof/>
                <w:sz w:val="10"/>
                <w:szCs w:val="10"/>
              </w:rPr>
              <w:t>1 277,00</w:t>
            </w:r>
          </w:p>
        </w:tc>
        <w:tc>
          <w:tcPr>
            <w:tcW w:w="0" w:type="auto"/>
            <w:shd w:val="clear" w:color="auto" w:fill="auto"/>
          </w:tcPr>
          <w:p w14:paraId="1D69E001" w14:textId="77777777" w:rsidR="008C5CFA" w:rsidRPr="001C4484" w:rsidRDefault="00E82A60" w:rsidP="00300A01">
            <w:pPr>
              <w:spacing w:before="0" w:after="0"/>
              <w:jc w:val="right"/>
              <w:rPr>
                <w:sz w:val="10"/>
                <w:szCs w:val="10"/>
              </w:rPr>
            </w:pPr>
            <w:r w:rsidRPr="001C4484">
              <w:rPr>
                <w:noProof/>
                <w:sz w:val="10"/>
                <w:szCs w:val="10"/>
              </w:rPr>
              <w:t>100,00</w:t>
            </w:r>
          </w:p>
        </w:tc>
        <w:tc>
          <w:tcPr>
            <w:tcW w:w="0" w:type="auto"/>
            <w:shd w:val="clear" w:color="auto" w:fill="auto"/>
          </w:tcPr>
          <w:p w14:paraId="01C34049" w14:textId="77777777" w:rsidR="008C5CFA" w:rsidRPr="001C4484" w:rsidRDefault="00E82A60" w:rsidP="00300A01">
            <w:pPr>
              <w:spacing w:before="0" w:after="0"/>
              <w:jc w:val="right"/>
              <w:rPr>
                <w:sz w:val="10"/>
                <w:szCs w:val="10"/>
                <w:lang w:val="fr-BE"/>
              </w:rPr>
            </w:pPr>
            <w:r w:rsidRPr="001C4484">
              <w:rPr>
                <w:noProof/>
                <w:sz w:val="10"/>
                <w:szCs w:val="10"/>
              </w:rPr>
              <w:t>1 177,00</w:t>
            </w:r>
          </w:p>
        </w:tc>
        <w:tc>
          <w:tcPr>
            <w:tcW w:w="0" w:type="auto"/>
          </w:tcPr>
          <w:p w14:paraId="3A85F3A8"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3FE14448"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40055D3E" w14:textId="77777777" w:rsidR="008C5CFA" w:rsidRPr="001C4484" w:rsidRDefault="00E82A60" w:rsidP="00300A01">
            <w:pPr>
              <w:spacing w:before="0" w:after="0"/>
              <w:jc w:val="right"/>
              <w:rPr>
                <w:sz w:val="10"/>
                <w:szCs w:val="10"/>
                <w:lang w:val="fr-BE"/>
              </w:rPr>
            </w:pPr>
            <w:r w:rsidRPr="001C4484">
              <w:rPr>
                <w:noProof/>
                <w:sz w:val="10"/>
                <w:szCs w:val="10"/>
              </w:rPr>
              <w:t>0,00</w:t>
            </w:r>
          </w:p>
        </w:tc>
      </w:tr>
      <w:tr w:rsidR="006B2EC1" w14:paraId="3EC73941" w14:textId="77777777" w:rsidTr="0047688D">
        <w:tc>
          <w:tcPr>
            <w:tcW w:w="0" w:type="auto"/>
            <w:shd w:val="clear" w:color="auto" w:fill="auto"/>
          </w:tcPr>
          <w:p w14:paraId="557FDB6F" w14:textId="77777777" w:rsidR="008C5CFA" w:rsidRPr="001C4484" w:rsidRDefault="00E82A60" w:rsidP="00300A01">
            <w:pPr>
              <w:spacing w:before="0" w:after="0"/>
              <w:rPr>
                <w:sz w:val="10"/>
                <w:szCs w:val="10"/>
                <w:lang w:val="fr-BE"/>
              </w:rPr>
            </w:pPr>
            <w:r w:rsidRPr="001C4484">
              <w:rPr>
                <w:noProof/>
                <w:sz w:val="10"/>
                <w:szCs w:val="10"/>
                <w:lang w:val="fr-BE"/>
              </w:rPr>
              <w:t>CO05</w:t>
            </w:r>
          </w:p>
        </w:tc>
        <w:tc>
          <w:tcPr>
            <w:tcW w:w="0" w:type="auto"/>
            <w:shd w:val="clear" w:color="auto" w:fill="auto"/>
          </w:tcPr>
          <w:p w14:paraId="251219C7" w14:textId="77777777" w:rsidR="008C5CFA" w:rsidRPr="001C4484" w:rsidRDefault="00E82A60" w:rsidP="00300A01">
            <w:pPr>
              <w:spacing w:before="0" w:after="0"/>
              <w:rPr>
                <w:sz w:val="10"/>
                <w:szCs w:val="10"/>
                <w:lang w:val="fr-BE"/>
              </w:rPr>
            </w:pPr>
            <w:r w:rsidRPr="001C4484">
              <w:rPr>
                <w:noProof/>
                <w:sz w:val="10"/>
                <w:szCs w:val="10"/>
                <w:lang w:val="fr-BE"/>
              </w:rPr>
              <w:t>osoby pracujące, łącznie z prowadzącymi działalność na własny rachunek</w:t>
            </w:r>
          </w:p>
        </w:tc>
        <w:tc>
          <w:tcPr>
            <w:tcW w:w="0" w:type="auto"/>
            <w:shd w:val="clear" w:color="auto" w:fill="auto"/>
          </w:tcPr>
          <w:p w14:paraId="4273A2B6"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6935FB87" w14:textId="77777777" w:rsidR="008C5CFA" w:rsidRPr="001C4484" w:rsidRDefault="00E82A60" w:rsidP="00300A01">
            <w:pPr>
              <w:spacing w:before="0" w:after="0"/>
              <w:jc w:val="right"/>
              <w:rPr>
                <w:sz w:val="10"/>
                <w:szCs w:val="10"/>
              </w:rPr>
            </w:pPr>
            <w:r>
              <w:rPr>
                <w:noProof/>
                <w:sz w:val="10"/>
                <w:szCs w:val="10"/>
              </w:rPr>
              <w:t>19 272,00</w:t>
            </w:r>
          </w:p>
        </w:tc>
        <w:tc>
          <w:tcPr>
            <w:tcW w:w="0" w:type="auto"/>
            <w:shd w:val="clear" w:color="auto" w:fill="auto"/>
          </w:tcPr>
          <w:p w14:paraId="56FF5AF5" w14:textId="77777777" w:rsidR="008C5CFA" w:rsidRPr="001C4484" w:rsidRDefault="00E82A60" w:rsidP="00300A01">
            <w:pPr>
              <w:spacing w:before="0" w:after="0"/>
              <w:jc w:val="right"/>
              <w:rPr>
                <w:sz w:val="10"/>
                <w:szCs w:val="10"/>
              </w:rPr>
            </w:pPr>
            <w:r w:rsidRPr="001C4484">
              <w:rPr>
                <w:noProof/>
                <w:sz w:val="10"/>
                <w:szCs w:val="10"/>
              </w:rPr>
              <w:t>2 216,00</w:t>
            </w:r>
          </w:p>
        </w:tc>
        <w:tc>
          <w:tcPr>
            <w:tcW w:w="0" w:type="auto"/>
            <w:shd w:val="clear" w:color="auto" w:fill="auto"/>
          </w:tcPr>
          <w:p w14:paraId="1D515EF2" w14:textId="77777777" w:rsidR="008C5CFA" w:rsidRPr="001C4484" w:rsidRDefault="00E82A60" w:rsidP="00300A01">
            <w:pPr>
              <w:spacing w:before="0" w:after="0"/>
              <w:jc w:val="right"/>
              <w:rPr>
                <w:sz w:val="10"/>
                <w:szCs w:val="10"/>
                <w:lang w:val="fr-BE"/>
              </w:rPr>
            </w:pPr>
            <w:r w:rsidRPr="001C4484">
              <w:rPr>
                <w:noProof/>
                <w:sz w:val="10"/>
                <w:szCs w:val="10"/>
              </w:rPr>
              <w:t>17 056,00</w:t>
            </w:r>
          </w:p>
        </w:tc>
        <w:tc>
          <w:tcPr>
            <w:tcW w:w="0" w:type="auto"/>
          </w:tcPr>
          <w:p w14:paraId="55B419A4" w14:textId="77777777" w:rsidR="008C5CFA" w:rsidRPr="001C4484" w:rsidRDefault="00E82A60" w:rsidP="00300A01">
            <w:pPr>
              <w:spacing w:before="0" w:after="0"/>
              <w:jc w:val="right"/>
              <w:rPr>
                <w:sz w:val="10"/>
                <w:szCs w:val="10"/>
              </w:rPr>
            </w:pPr>
            <w:r>
              <w:rPr>
                <w:noProof/>
                <w:sz w:val="10"/>
                <w:szCs w:val="10"/>
              </w:rPr>
              <w:t>5 712,00</w:t>
            </w:r>
          </w:p>
        </w:tc>
        <w:tc>
          <w:tcPr>
            <w:tcW w:w="0" w:type="auto"/>
            <w:shd w:val="clear" w:color="auto" w:fill="auto"/>
          </w:tcPr>
          <w:p w14:paraId="79489D77" w14:textId="77777777" w:rsidR="008C5CFA" w:rsidRPr="001C4484" w:rsidRDefault="00E82A60" w:rsidP="00300A01">
            <w:pPr>
              <w:spacing w:before="0" w:after="0"/>
              <w:jc w:val="right"/>
              <w:rPr>
                <w:sz w:val="10"/>
                <w:szCs w:val="10"/>
              </w:rPr>
            </w:pPr>
            <w:r w:rsidRPr="001C4484">
              <w:rPr>
                <w:noProof/>
                <w:sz w:val="10"/>
                <w:szCs w:val="10"/>
              </w:rPr>
              <w:t>837,00</w:t>
            </w:r>
          </w:p>
        </w:tc>
        <w:tc>
          <w:tcPr>
            <w:tcW w:w="0" w:type="auto"/>
            <w:shd w:val="clear" w:color="auto" w:fill="auto"/>
          </w:tcPr>
          <w:p w14:paraId="71CDC5DB" w14:textId="77777777" w:rsidR="008C5CFA" w:rsidRPr="001C4484" w:rsidRDefault="00E82A60" w:rsidP="00300A01">
            <w:pPr>
              <w:spacing w:before="0" w:after="0"/>
              <w:jc w:val="right"/>
              <w:rPr>
                <w:sz w:val="10"/>
                <w:szCs w:val="10"/>
                <w:lang w:val="fr-BE"/>
              </w:rPr>
            </w:pPr>
            <w:r w:rsidRPr="001C4484">
              <w:rPr>
                <w:noProof/>
                <w:sz w:val="10"/>
                <w:szCs w:val="10"/>
              </w:rPr>
              <w:t>4 875,00</w:t>
            </w:r>
          </w:p>
        </w:tc>
        <w:tc>
          <w:tcPr>
            <w:tcW w:w="0" w:type="auto"/>
          </w:tcPr>
          <w:p w14:paraId="7E2C447D"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034C58D7"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22F8D319" w14:textId="77777777" w:rsidR="008C5CFA" w:rsidRPr="001C4484" w:rsidRDefault="00E82A60" w:rsidP="00300A01">
            <w:pPr>
              <w:spacing w:before="0" w:after="0"/>
              <w:jc w:val="right"/>
              <w:rPr>
                <w:sz w:val="10"/>
                <w:szCs w:val="10"/>
                <w:lang w:val="fr-BE"/>
              </w:rPr>
            </w:pPr>
            <w:r w:rsidRPr="001C4484">
              <w:rPr>
                <w:noProof/>
                <w:sz w:val="10"/>
                <w:szCs w:val="10"/>
              </w:rPr>
              <w:t>0,00</w:t>
            </w:r>
          </w:p>
        </w:tc>
      </w:tr>
      <w:tr w:rsidR="006B2EC1" w14:paraId="06367849" w14:textId="77777777" w:rsidTr="0047688D">
        <w:tc>
          <w:tcPr>
            <w:tcW w:w="0" w:type="auto"/>
            <w:shd w:val="clear" w:color="auto" w:fill="auto"/>
          </w:tcPr>
          <w:p w14:paraId="7BEC54EA" w14:textId="77777777" w:rsidR="008C5CFA" w:rsidRPr="001C4484" w:rsidRDefault="00E82A60" w:rsidP="00300A01">
            <w:pPr>
              <w:spacing w:before="0" w:after="0"/>
              <w:rPr>
                <w:sz w:val="10"/>
                <w:szCs w:val="10"/>
                <w:lang w:val="fr-BE"/>
              </w:rPr>
            </w:pPr>
            <w:r w:rsidRPr="001C4484">
              <w:rPr>
                <w:noProof/>
                <w:sz w:val="10"/>
                <w:szCs w:val="10"/>
                <w:lang w:val="fr-BE"/>
              </w:rPr>
              <w:t>CO06</w:t>
            </w:r>
          </w:p>
        </w:tc>
        <w:tc>
          <w:tcPr>
            <w:tcW w:w="0" w:type="auto"/>
            <w:shd w:val="clear" w:color="auto" w:fill="auto"/>
          </w:tcPr>
          <w:p w14:paraId="3482A133" w14:textId="77777777" w:rsidR="008C5CFA" w:rsidRPr="001C4484" w:rsidRDefault="00E82A60" w:rsidP="00300A01">
            <w:pPr>
              <w:spacing w:before="0" w:after="0"/>
              <w:rPr>
                <w:sz w:val="10"/>
                <w:szCs w:val="10"/>
                <w:lang w:val="fr-BE"/>
              </w:rPr>
            </w:pPr>
            <w:r w:rsidRPr="001C4484">
              <w:rPr>
                <w:noProof/>
                <w:sz w:val="10"/>
                <w:szCs w:val="10"/>
                <w:lang w:val="fr-BE"/>
              </w:rPr>
              <w:t>osoby w wieku poniżej 25 lat</w:t>
            </w:r>
          </w:p>
        </w:tc>
        <w:tc>
          <w:tcPr>
            <w:tcW w:w="0" w:type="auto"/>
            <w:shd w:val="clear" w:color="auto" w:fill="auto"/>
          </w:tcPr>
          <w:p w14:paraId="126EF5AD"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45D3A0A6" w14:textId="77777777" w:rsidR="008C5CFA" w:rsidRPr="001C4484" w:rsidRDefault="00E82A60" w:rsidP="00300A01">
            <w:pPr>
              <w:spacing w:before="0" w:after="0"/>
              <w:jc w:val="right"/>
              <w:rPr>
                <w:sz w:val="10"/>
                <w:szCs w:val="10"/>
              </w:rPr>
            </w:pPr>
            <w:r>
              <w:rPr>
                <w:noProof/>
                <w:sz w:val="10"/>
                <w:szCs w:val="10"/>
              </w:rPr>
              <w:t>807,00</w:t>
            </w:r>
          </w:p>
        </w:tc>
        <w:tc>
          <w:tcPr>
            <w:tcW w:w="0" w:type="auto"/>
            <w:shd w:val="clear" w:color="auto" w:fill="auto"/>
          </w:tcPr>
          <w:p w14:paraId="62C6DFFC" w14:textId="77777777" w:rsidR="008C5CFA" w:rsidRPr="001C4484" w:rsidRDefault="00E82A60" w:rsidP="00300A01">
            <w:pPr>
              <w:spacing w:before="0" w:after="0"/>
              <w:jc w:val="right"/>
              <w:rPr>
                <w:sz w:val="10"/>
                <w:szCs w:val="10"/>
              </w:rPr>
            </w:pPr>
            <w:r w:rsidRPr="001C4484">
              <w:rPr>
                <w:noProof/>
                <w:sz w:val="10"/>
                <w:szCs w:val="10"/>
              </w:rPr>
              <w:t>281,00</w:t>
            </w:r>
          </w:p>
        </w:tc>
        <w:tc>
          <w:tcPr>
            <w:tcW w:w="0" w:type="auto"/>
            <w:shd w:val="clear" w:color="auto" w:fill="auto"/>
          </w:tcPr>
          <w:p w14:paraId="028BC508" w14:textId="77777777" w:rsidR="008C5CFA" w:rsidRPr="001C4484" w:rsidRDefault="00E82A60" w:rsidP="00300A01">
            <w:pPr>
              <w:spacing w:before="0" w:after="0"/>
              <w:jc w:val="right"/>
              <w:rPr>
                <w:sz w:val="10"/>
                <w:szCs w:val="10"/>
                <w:lang w:val="fr-BE"/>
              </w:rPr>
            </w:pPr>
            <w:r w:rsidRPr="001C4484">
              <w:rPr>
                <w:noProof/>
                <w:sz w:val="10"/>
                <w:szCs w:val="10"/>
              </w:rPr>
              <w:t>526,00</w:t>
            </w:r>
          </w:p>
        </w:tc>
        <w:tc>
          <w:tcPr>
            <w:tcW w:w="0" w:type="auto"/>
          </w:tcPr>
          <w:p w14:paraId="47126865" w14:textId="77777777" w:rsidR="008C5CFA" w:rsidRPr="001C4484" w:rsidRDefault="00E82A60" w:rsidP="00300A01">
            <w:pPr>
              <w:spacing w:before="0" w:after="0"/>
              <w:jc w:val="right"/>
              <w:rPr>
                <w:sz w:val="10"/>
                <w:szCs w:val="10"/>
              </w:rPr>
            </w:pPr>
            <w:r>
              <w:rPr>
                <w:noProof/>
                <w:sz w:val="10"/>
                <w:szCs w:val="10"/>
              </w:rPr>
              <w:t>157,00</w:t>
            </w:r>
          </w:p>
        </w:tc>
        <w:tc>
          <w:tcPr>
            <w:tcW w:w="0" w:type="auto"/>
            <w:shd w:val="clear" w:color="auto" w:fill="auto"/>
          </w:tcPr>
          <w:p w14:paraId="283BD625" w14:textId="77777777" w:rsidR="008C5CFA" w:rsidRPr="001C4484" w:rsidRDefault="00E82A60" w:rsidP="00300A01">
            <w:pPr>
              <w:spacing w:before="0" w:after="0"/>
              <w:jc w:val="right"/>
              <w:rPr>
                <w:sz w:val="10"/>
                <w:szCs w:val="10"/>
              </w:rPr>
            </w:pPr>
            <w:r w:rsidRPr="001C4484">
              <w:rPr>
                <w:noProof/>
                <w:sz w:val="10"/>
                <w:szCs w:val="10"/>
              </w:rPr>
              <w:t>70,00</w:t>
            </w:r>
          </w:p>
        </w:tc>
        <w:tc>
          <w:tcPr>
            <w:tcW w:w="0" w:type="auto"/>
            <w:shd w:val="clear" w:color="auto" w:fill="auto"/>
          </w:tcPr>
          <w:p w14:paraId="1A92FFB1" w14:textId="77777777" w:rsidR="008C5CFA" w:rsidRPr="001C4484" w:rsidRDefault="00E82A60" w:rsidP="00300A01">
            <w:pPr>
              <w:spacing w:before="0" w:after="0"/>
              <w:jc w:val="right"/>
              <w:rPr>
                <w:sz w:val="10"/>
                <w:szCs w:val="10"/>
                <w:lang w:val="fr-BE"/>
              </w:rPr>
            </w:pPr>
            <w:r w:rsidRPr="001C4484">
              <w:rPr>
                <w:noProof/>
                <w:sz w:val="10"/>
                <w:szCs w:val="10"/>
              </w:rPr>
              <w:t>87,00</w:t>
            </w:r>
          </w:p>
        </w:tc>
        <w:tc>
          <w:tcPr>
            <w:tcW w:w="0" w:type="auto"/>
          </w:tcPr>
          <w:p w14:paraId="1467F043"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7278EE56"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245C5BB2" w14:textId="77777777" w:rsidR="008C5CFA" w:rsidRPr="001C4484" w:rsidRDefault="00E82A60" w:rsidP="00300A01">
            <w:pPr>
              <w:spacing w:before="0" w:after="0"/>
              <w:jc w:val="right"/>
              <w:rPr>
                <w:sz w:val="10"/>
                <w:szCs w:val="10"/>
                <w:lang w:val="fr-BE"/>
              </w:rPr>
            </w:pPr>
            <w:r w:rsidRPr="001C4484">
              <w:rPr>
                <w:noProof/>
                <w:sz w:val="10"/>
                <w:szCs w:val="10"/>
              </w:rPr>
              <w:t>0,00</w:t>
            </w:r>
          </w:p>
        </w:tc>
      </w:tr>
      <w:tr w:rsidR="006B2EC1" w14:paraId="70A3474E" w14:textId="77777777" w:rsidTr="0047688D">
        <w:tc>
          <w:tcPr>
            <w:tcW w:w="0" w:type="auto"/>
            <w:shd w:val="clear" w:color="auto" w:fill="auto"/>
          </w:tcPr>
          <w:p w14:paraId="72B139F8" w14:textId="77777777" w:rsidR="008C5CFA" w:rsidRPr="001C4484" w:rsidRDefault="00E82A60" w:rsidP="00300A01">
            <w:pPr>
              <w:spacing w:before="0" w:after="0"/>
              <w:rPr>
                <w:sz w:val="10"/>
                <w:szCs w:val="10"/>
                <w:lang w:val="fr-BE"/>
              </w:rPr>
            </w:pPr>
            <w:r w:rsidRPr="001C4484">
              <w:rPr>
                <w:noProof/>
                <w:sz w:val="10"/>
                <w:szCs w:val="10"/>
                <w:lang w:val="fr-BE"/>
              </w:rPr>
              <w:t>CO07</w:t>
            </w:r>
          </w:p>
        </w:tc>
        <w:tc>
          <w:tcPr>
            <w:tcW w:w="0" w:type="auto"/>
            <w:shd w:val="clear" w:color="auto" w:fill="auto"/>
          </w:tcPr>
          <w:p w14:paraId="1409DACE" w14:textId="77777777" w:rsidR="008C5CFA" w:rsidRPr="001C4484" w:rsidRDefault="00E82A60" w:rsidP="00300A01">
            <w:pPr>
              <w:spacing w:before="0" w:after="0"/>
              <w:rPr>
                <w:sz w:val="10"/>
                <w:szCs w:val="10"/>
                <w:lang w:val="fr-BE"/>
              </w:rPr>
            </w:pPr>
            <w:r w:rsidRPr="001C4484">
              <w:rPr>
                <w:noProof/>
                <w:sz w:val="10"/>
                <w:szCs w:val="10"/>
                <w:lang w:val="fr-BE"/>
              </w:rPr>
              <w:t>osoby w wieku powyżej 54 lat</w:t>
            </w:r>
          </w:p>
        </w:tc>
        <w:tc>
          <w:tcPr>
            <w:tcW w:w="0" w:type="auto"/>
            <w:shd w:val="clear" w:color="auto" w:fill="auto"/>
          </w:tcPr>
          <w:p w14:paraId="591BC01D"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18A609FB" w14:textId="77777777" w:rsidR="008C5CFA" w:rsidRPr="001C4484" w:rsidRDefault="00E82A60" w:rsidP="00300A01">
            <w:pPr>
              <w:spacing w:before="0" w:after="0"/>
              <w:jc w:val="right"/>
              <w:rPr>
                <w:sz w:val="10"/>
                <w:szCs w:val="10"/>
              </w:rPr>
            </w:pPr>
            <w:r>
              <w:rPr>
                <w:noProof/>
                <w:sz w:val="10"/>
                <w:szCs w:val="10"/>
              </w:rPr>
              <w:t>12 136,00</w:t>
            </w:r>
          </w:p>
        </w:tc>
        <w:tc>
          <w:tcPr>
            <w:tcW w:w="0" w:type="auto"/>
            <w:shd w:val="clear" w:color="auto" w:fill="auto"/>
          </w:tcPr>
          <w:p w14:paraId="34D995CF" w14:textId="77777777" w:rsidR="008C5CFA" w:rsidRPr="001C4484" w:rsidRDefault="00E82A60" w:rsidP="00300A01">
            <w:pPr>
              <w:spacing w:before="0" w:after="0"/>
              <w:jc w:val="right"/>
              <w:rPr>
                <w:sz w:val="10"/>
                <w:szCs w:val="10"/>
              </w:rPr>
            </w:pPr>
            <w:r w:rsidRPr="001C4484">
              <w:rPr>
                <w:noProof/>
                <w:sz w:val="10"/>
                <w:szCs w:val="10"/>
              </w:rPr>
              <w:t>743,00</w:t>
            </w:r>
          </w:p>
        </w:tc>
        <w:tc>
          <w:tcPr>
            <w:tcW w:w="0" w:type="auto"/>
            <w:shd w:val="clear" w:color="auto" w:fill="auto"/>
          </w:tcPr>
          <w:p w14:paraId="1A5505CF" w14:textId="77777777" w:rsidR="008C5CFA" w:rsidRPr="001C4484" w:rsidRDefault="00E82A60" w:rsidP="00300A01">
            <w:pPr>
              <w:spacing w:before="0" w:after="0"/>
              <w:jc w:val="right"/>
              <w:rPr>
                <w:sz w:val="10"/>
                <w:szCs w:val="10"/>
                <w:lang w:val="fr-BE"/>
              </w:rPr>
            </w:pPr>
            <w:r w:rsidRPr="001C4484">
              <w:rPr>
                <w:noProof/>
                <w:sz w:val="10"/>
                <w:szCs w:val="10"/>
              </w:rPr>
              <w:t>11 393,00</w:t>
            </w:r>
          </w:p>
        </w:tc>
        <w:tc>
          <w:tcPr>
            <w:tcW w:w="0" w:type="auto"/>
          </w:tcPr>
          <w:p w14:paraId="4ACCA759" w14:textId="77777777" w:rsidR="008C5CFA" w:rsidRPr="001C4484" w:rsidRDefault="00E82A60" w:rsidP="00300A01">
            <w:pPr>
              <w:spacing w:before="0" w:after="0"/>
              <w:jc w:val="right"/>
              <w:rPr>
                <w:sz w:val="10"/>
                <w:szCs w:val="10"/>
              </w:rPr>
            </w:pPr>
            <w:r>
              <w:rPr>
                <w:noProof/>
                <w:sz w:val="10"/>
                <w:szCs w:val="10"/>
              </w:rPr>
              <w:t>3 020,00</w:t>
            </w:r>
          </w:p>
        </w:tc>
        <w:tc>
          <w:tcPr>
            <w:tcW w:w="0" w:type="auto"/>
            <w:shd w:val="clear" w:color="auto" w:fill="auto"/>
          </w:tcPr>
          <w:p w14:paraId="283CD04F" w14:textId="77777777" w:rsidR="008C5CFA" w:rsidRPr="001C4484" w:rsidRDefault="00E82A60" w:rsidP="00300A01">
            <w:pPr>
              <w:spacing w:before="0" w:after="0"/>
              <w:jc w:val="right"/>
              <w:rPr>
                <w:sz w:val="10"/>
                <w:szCs w:val="10"/>
              </w:rPr>
            </w:pPr>
            <w:r w:rsidRPr="001C4484">
              <w:rPr>
                <w:noProof/>
                <w:sz w:val="10"/>
                <w:szCs w:val="10"/>
              </w:rPr>
              <w:t>281,00</w:t>
            </w:r>
          </w:p>
        </w:tc>
        <w:tc>
          <w:tcPr>
            <w:tcW w:w="0" w:type="auto"/>
            <w:shd w:val="clear" w:color="auto" w:fill="auto"/>
          </w:tcPr>
          <w:p w14:paraId="40102B69" w14:textId="77777777" w:rsidR="008C5CFA" w:rsidRPr="001C4484" w:rsidRDefault="00E82A60" w:rsidP="00300A01">
            <w:pPr>
              <w:spacing w:before="0" w:after="0"/>
              <w:jc w:val="right"/>
              <w:rPr>
                <w:sz w:val="10"/>
                <w:szCs w:val="10"/>
                <w:lang w:val="fr-BE"/>
              </w:rPr>
            </w:pPr>
            <w:r w:rsidRPr="001C4484">
              <w:rPr>
                <w:noProof/>
                <w:sz w:val="10"/>
                <w:szCs w:val="10"/>
              </w:rPr>
              <w:t>2 739,00</w:t>
            </w:r>
          </w:p>
        </w:tc>
        <w:tc>
          <w:tcPr>
            <w:tcW w:w="0" w:type="auto"/>
          </w:tcPr>
          <w:p w14:paraId="475E2446"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01A27610"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5097F51D" w14:textId="77777777" w:rsidR="008C5CFA" w:rsidRPr="001C4484" w:rsidRDefault="00E82A60" w:rsidP="00300A01">
            <w:pPr>
              <w:spacing w:before="0" w:after="0"/>
              <w:jc w:val="right"/>
              <w:rPr>
                <w:sz w:val="10"/>
                <w:szCs w:val="10"/>
                <w:lang w:val="fr-BE"/>
              </w:rPr>
            </w:pPr>
            <w:r w:rsidRPr="001C4484">
              <w:rPr>
                <w:noProof/>
                <w:sz w:val="10"/>
                <w:szCs w:val="10"/>
              </w:rPr>
              <w:t>0,00</w:t>
            </w:r>
          </w:p>
        </w:tc>
      </w:tr>
      <w:tr w:rsidR="006B2EC1" w14:paraId="0306E113" w14:textId="77777777" w:rsidTr="0047688D">
        <w:tc>
          <w:tcPr>
            <w:tcW w:w="0" w:type="auto"/>
            <w:shd w:val="clear" w:color="auto" w:fill="auto"/>
          </w:tcPr>
          <w:p w14:paraId="42F3649C" w14:textId="77777777" w:rsidR="008C5CFA" w:rsidRPr="001C4484" w:rsidRDefault="00E82A60" w:rsidP="00300A01">
            <w:pPr>
              <w:spacing w:before="0" w:after="0"/>
              <w:rPr>
                <w:sz w:val="10"/>
                <w:szCs w:val="10"/>
                <w:lang w:val="fr-BE"/>
              </w:rPr>
            </w:pPr>
            <w:r w:rsidRPr="001C4484">
              <w:rPr>
                <w:noProof/>
                <w:sz w:val="10"/>
                <w:szCs w:val="10"/>
                <w:lang w:val="fr-BE"/>
              </w:rPr>
              <w:t>CO08</w:t>
            </w:r>
          </w:p>
        </w:tc>
        <w:tc>
          <w:tcPr>
            <w:tcW w:w="0" w:type="auto"/>
            <w:shd w:val="clear" w:color="auto" w:fill="auto"/>
          </w:tcPr>
          <w:p w14:paraId="0E679675" w14:textId="77777777" w:rsidR="008C5CFA" w:rsidRPr="001C4484" w:rsidRDefault="00E82A60" w:rsidP="00300A01">
            <w:pPr>
              <w:spacing w:before="0" w:after="0"/>
              <w:rPr>
                <w:sz w:val="10"/>
                <w:szCs w:val="10"/>
                <w:lang w:val="fr-BE"/>
              </w:rPr>
            </w:pPr>
            <w:r w:rsidRPr="001C4484">
              <w:rPr>
                <w:noProof/>
                <w:sz w:val="10"/>
                <w:szCs w:val="10"/>
                <w:lang w:val="fr-BE"/>
              </w:rPr>
              <w:t>osoby powyżej 54 lat, które są bezrobotne, łącznie z długotrwale bezrobotnymi, lub są bierne zawodowo i nie uczestniczą w kształceniu ani szkoleniu</w:t>
            </w:r>
          </w:p>
        </w:tc>
        <w:tc>
          <w:tcPr>
            <w:tcW w:w="0" w:type="auto"/>
            <w:shd w:val="clear" w:color="auto" w:fill="auto"/>
          </w:tcPr>
          <w:p w14:paraId="3703BB8E"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253F0124" w14:textId="77777777" w:rsidR="008C5CFA" w:rsidRPr="001C4484" w:rsidRDefault="00E82A60" w:rsidP="00300A01">
            <w:pPr>
              <w:spacing w:before="0" w:after="0"/>
              <w:jc w:val="right"/>
              <w:rPr>
                <w:sz w:val="10"/>
                <w:szCs w:val="10"/>
              </w:rPr>
            </w:pPr>
            <w:r>
              <w:rPr>
                <w:noProof/>
                <w:sz w:val="10"/>
                <w:szCs w:val="10"/>
              </w:rPr>
              <w:t>6 181,00</w:t>
            </w:r>
          </w:p>
        </w:tc>
        <w:tc>
          <w:tcPr>
            <w:tcW w:w="0" w:type="auto"/>
            <w:shd w:val="clear" w:color="auto" w:fill="auto"/>
          </w:tcPr>
          <w:p w14:paraId="7D1B91A6" w14:textId="77777777" w:rsidR="008C5CFA" w:rsidRPr="001C4484" w:rsidRDefault="00E82A60" w:rsidP="00300A01">
            <w:pPr>
              <w:spacing w:before="0" w:after="0"/>
              <w:jc w:val="right"/>
              <w:rPr>
                <w:sz w:val="10"/>
                <w:szCs w:val="10"/>
              </w:rPr>
            </w:pPr>
            <w:r w:rsidRPr="001C4484">
              <w:rPr>
                <w:noProof/>
                <w:sz w:val="10"/>
                <w:szCs w:val="10"/>
              </w:rPr>
              <w:t>212,00</w:t>
            </w:r>
          </w:p>
        </w:tc>
        <w:tc>
          <w:tcPr>
            <w:tcW w:w="0" w:type="auto"/>
            <w:shd w:val="clear" w:color="auto" w:fill="auto"/>
          </w:tcPr>
          <w:p w14:paraId="25AF89C3" w14:textId="77777777" w:rsidR="008C5CFA" w:rsidRPr="001C4484" w:rsidRDefault="00E82A60" w:rsidP="00300A01">
            <w:pPr>
              <w:spacing w:before="0" w:after="0"/>
              <w:jc w:val="right"/>
              <w:rPr>
                <w:sz w:val="10"/>
                <w:szCs w:val="10"/>
                <w:lang w:val="fr-BE"/>
              </w:rPr>
            </w:pPr>
            <w:r w:rsidRPr="001C4484">
              <w:rPr>
                <w:noProof/>
                <w:sz w:val="10"/>
                <w:szCs w:val="10"/>
              </w:rPr>
              <w:t>5 969,00</w:t>
            </w:r>
          </w:p>
        </w:tc>
        <w:tc>
          <w:tcPr>
            <w:tcW w:w="0" w:type="auto"/>
          </w:tcPr>
          <w:p w14:paraId="5A44CC70" w14:textId="77777777" w:rsidR="008C5CFA" w:rsidRPr="001C4484" w:rsidRDefault="00E82A60" w:rsidP="00300A01">
            <w:pPr>
              <w:spacing w:before="0" w:after="0"/>
              <w:jc w:val="right"/>
              <w:rPr>
                <w:sz w:val="10"/>
                <w:szCs w:val="10"/>
              </w:rPr>
            </w:pPr>
            <w:r>
              <w:rPr>
                <w:noProof/>
                <w:sz w:val="10"/>
                <w:szCs w:val="10"/>
              </w:rPr>
              <w:t>1 374,00</w:t>
            </w:r>
          </w:p>
        </w:tc>
        <w:tc>
          <w:tcPr>
            <w:tcW w:w="0" w:type="auto"/>
            <w:shd w:val="clear" w:color="auto" w:fill="auto"/>
          </w:tcPr>
          <w:p w14:paraId="1C63D349" w14:textId="77777777" w:rsidR="008C5CFA" w:rsidRPr="001C4484" w:rsidRDefault="00E82A60" w:rsidP="00300A01">
            <w:pPr>
              <w:spacing w:before="0" w:after="0"/>
              <w:jc w:val="right"/>
              <w:rPr>
                <w:sz w:val="10"/>
                <w:szCs w:val="10"/>
              </w:rPr>
            </w:pPr>
            <w:r w:rsidRPr="001C4484">
              <w:rPr>
                <w:noProof/>
                <w:sz w:val="10"/>
                <w:szCs w:val="10"/>
              </w:rPr>
              <w:t>74,00</w:t>
            </w:r>
          </w:p>
        </w:tc>
        <w:tc>
          <w:tcPr>
            <w:tcW w:w="0" w:type="auto"/>
            <w:shd w:val="clear" w:color="auto" w:fill="auto"/>
          </w:tcPr>
          <w:p w14:paraId="3CAD4EE4" w14:textId="77777777" w:rsidR="008C5CFA" w:rsidRPr="001C4484" w:rsidRDefault="00E82A60" w:rsidP="00300A01">
            <w:pPr>
              <w:spacing w:before="0" w:after="0"/>
              <w:jc w:val="right"/>
              <w:rPr>
                <w:sz w:val="10"/>
                <w:szCs w:val="10"/>
                <w:lang w:val="fr-BE"/>
              </w:rPr>
            </w:pPr>
            <w:r w:rsidRPr="001C4484">
              <w:rPr>
                <w:noProof/>
                <w:sz w:val="10"/>
                <w:szCs w:val="10"/>
              </w:rPr>
              <w:t>1 300,00</w:t>
            </w:r>
          </w:p>
        </w:tc>
        <w:tc>
          <w:tcPr>
            <w:tcW w:w="0" w:type="auto"/>
          </w:tcPr>
          <w:p w14:paraId="5FB86395"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3FD13467"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57D43520" w14:textId="77777777" w:rsidR="008C5CFA" w:rsidRPr="001C4484" w:rsidRDefault="00E82A60" w:rsidP="00300A01">
            <w:pPr>
              <w:spacing w:before="0" w:after="0"/>
              <w:jc w:val="right"/>
              <w:rPr>
                <w:sz w:val="10"/>
                <w:szCs w:val="10"/>
                <w:lang w:val="fr-BE"/>
              </w:rPr>
            </w:pPr>
            <w:r w:rsidRPr="001C4484">
              <w:rPr>
                <w:noProof/>
                <w:sz w:val="10"/>
                <w:szCs w:val="10"/>
              </w:rPr>
              <w:t>0,00</w:t>
            </w:r>
          </w:p>
        </w:tc>
      </w:tr>
      <w:tr w:rsidR="006B2EC1" w14:paraId="2F627D72" w14:textId="77777777" w:rsidTr="0047688D">
        <w:tc>
          <w:tcPr>
            <w:tcW w:w="0" w:type="auto"/>
            <w:shd w:val="clear" w:color="auto" w:fill="auto"/>
          </w:tcPr>
          <w:p w14:paraId="39F53E37" w14:textId="77777777" w:rsidR="008C5CFA" w:rsidRPr="001C4484" w:rsidRDefault="00E82A60" w:rsidP="00300A01">
            <w:pPr>
              <w:spacing w:before="0" w:after="0"/>
              <w:rPr>
                <w:sz w:val="10"/>
                <w:szCs w:val="10"/>
                <w:lang w:val="fr-BE"/>
              </w:rPr>
            </w:pPr>
            <w:r w:rsidRPr="001C4484">
              <w:rPr>
                <w:noProof/>
                <w:sz w:val="10"/>
                <w:szCs w:val="10"/>
                <w:lang w:val="fr-BE"/>
              </w:rPr>
              <w:t>CO09</w:t>
            </w:r>
          </w:p>
        </w:tc>
        <w:tc>
          <w:tcPr>
            <w:tcW w:w="0" w:type="auto"/>
            <w:shd w:val="clear" w:color="auto" w:fill="auto"/>
          </w:tcPr>
          <w:p w14:paraId="1060932F" w14:textId="77777777" w:rsidR="008C5CFA" w:rsidRPr="001C4484" w:rsidRDefault="00E82A60" w:rsidP="00300A01">
            <w:pPr>
              <w:spacing w:before="0" w:after="0"/>
              <w:rPr>
                <w:sz w:val="10"/>
                <w:szCs w:val="10"/>
                <w:lang w:val="fr-BE"/>
              </w:rPr>
            </w:pPr>
            <w:r w:rsidRPr="001C4484">
              <w:rPr>
                <w:noProof/>
                <w:sz w:val="10"/>
                <w:szCs w:val="10"/>
                <w:lang w:val="fr-BE"/>
              </w:rPr>
              <w:t>osoby z wykształceniem podstawowym (ISCED 1) lub średnim I stopnia (ISCED 2)</w:t>
            </w:r>
          </w:p>
        </w:tc>
        <w:tc>
          <w:tcPr>
            <w:tcW w:w="0" w:type="auto"/>
            <w:shd w:val="clear" w:color="auto" w:fill="auto"/>
          </w:tcPr>
          <w:p w14:paraId="63FB3C54"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38463C95" w14:textId="77777777" w:rsidR="008C5CFA" w:rsidRPr="001C4484" w:rsidRDefault="00E82A60" w:rsidP="00300A01">
            <w:pPr>
              <w:spacing w:before="0" w:after="0"/>
              <w:jc w:val="right"/>
              <w:rPr>
                <w:sz w:val="10"/>
                <w:szCs w:val="10"/>
              </w:rPr>
            </w:pPr>
            <w:r>
              <w:rPr>
                <w:noProof/>
                <w:sz w:val="10"/>
                <w:szCs w:val="10"/>
              </w:rPr>
              <w:t>3 976,00</w:t>
            </w:r>
          </w:p>
        </w:tc>
        <w:tc>
          <w:tcPr>
            <w:tcW w:w="0" w:type="auto"/>
            <w:shd w:val="clear" w:color="auto" w:fill="auto"/>
          </w:tcPr>
          <w:p w14:paraId="798EE057" w14:textId="77777777" w:rsidR="008C5CFA" w:rsidRPr="001C4484" w:rsidRDefault="00E82A60" w:rsidP="00300A01">
            <w:pPr>
              <w:spacing w:before="0" w:after="0"/>
              <w:jc w:val="right"/>
              <w:rPr>
                <w:sz w:val="10"/>
                <w:szCs w:val="10"/>
              </w:rPr>
            </w:pPr>
            <w:r w:rsidRPr="001C4484">
              <w:rPr>
                <w:noProof/>
                <w:sz w:val="10"/>
                <w:szCs w:val="10"/>
              </w:rPr>
              <w:t>385,00</w:t>
            </w:r>
          </w:p>
        </w:tc>
        <w:tc>
          <w:tcPr>
            <w:tcW w:w="0" w:type="auto"/>
            <w:shd w:val="clear" w:color="auto" w:fill="auto"/>
          </w:tcPr>
          <w:p w14:paraId="79415CFE" w14:textId="77777777" w:rsidR="008C5CFA" w:rsidRPr="001C4484" w:rsidRDefault="00E82A60" w:rsidP="00300A01">
            <w:pPr>
              <w:spacing w:before="0" w:after="0"/>
              <w:jc w:val="right"/>
              <w:rPr>
                <w:sz w:val="10"/>
                <w:szCs w:val="10"/>
                <w:lang w:val="fr-BE"/>
              </w:rPr>
            </w:pPr>
            <w:r w:rsidRPr="001C4484">
              <w:rPr>
                <w:noProof/>
                <w:sz w:val="10"/>
                <w:szCs w:val="10"/>
              </w:rPr>
              <w:t>3 591,00</w:t>
            </w:r>
          </w:p>
        </w:tc>
        <w:tc>
          <w:tcPr>
            <w:tcW w:w="0" w:type="auto"/>
          </w:tcPr>
          <w:p w14:paraId="5B9971FC" w14:textId="77777777" w:rsidR="008C5CFA" w:rsidRPr="001C4484" w:rsidRDefault="00E82A60" w:rsidP="00300A01">
            <w:pPr>
              <w:spacing w:before="0" w:after="0"/>
              <w:jc w:val="right"/>
              <w:rPr>
                <w:sz w:val="10"/>
                <w:szCs w:val="10"/>
              </w:rPr>
            </w:pPr>
            <w:r>
              <w:rPr>
                <w:noProof/>
                <w:sz w:val="10"/>
                <w:szCs w:val="10"/>
              </w:rPr>
              <w:t>640,00</w:t>
            </w:r>
          </w:p>
        </w:tc>
        <w:tc>
          <w:tcPr>
            <w:tcW w:w="0" w:type="auto"/>
            <w:shd w:val="clear" w:color="auto" w:fill="auto"/>
          </w:tcPr>
          <w:p w14:paraId="28B6B82D" w14:textId="77777777" w:rsidR="008C5CFA" w:rsidRPr="001C4484" w:rsidRDefault="00E82A60" w:rsidP="00300A01">
            <w:pPr>
              <w:spacing w:before="0" w:after="0"/>
              <w:jc w:val="right"/>
              <w:rPr>
                <w:sz w:val="10"/>
                <w:szCs w:val="10"/>
              </w:rPr>
            </w:pPr>
            <w:r w:rsidRPr="001C4484">
              <w:rPr>
                <w:noProof/>
                <w:sz w:val="10"/>
                <w:szCs w:val="10"/>
              </w:rPr>
              <w:t>111,00</w:t>
            </w:r>
          </w:p>
        </w:tc>
        <w:tc>
          <w:tcPr>
            <w:tcW w:w="0" w:type="auto"/>
            <w:shd w:val="clear" w:color="auto" w:fill="auto"/>
          </w:tcPr>
          <w:p w14:paraId="04C451D8" w14:textId="77777777" w:rsidR="008C5CFA" w:rsidRPr="001C4484" w:rsidRDefault="00E82A60" w:rsidP="00300A01">
            <w:pPr>
              <w:spacing w:before="0" w:after="0"/>
              <w:jc w:val="right"/>
              <w:rPr>
                <w:sz w:val="10"/>
                <w:szCs w:val="10"/>
                <w:lang w:val="fr-BE"/>
              </w:rPr>
            </w:pPr>
            <w:r w:rsidRPr="001C4484">
              <w:rPr>
                <w:noProof/>
                <w:sz w:val="10"/>
                <w:szCs w:val="10"/>
              </w:rPr>
              <w:t>529,00</w:t>
            </w:r>
          </w:p>
        </w:tc>
        <w:tc>
          <w:tcPr>
            <w:tcW w:w="0" w:type="auto"/>
          </w:tcPr>
          <w:p w14:paraId="7A84877C"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494E8CD8"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657E0A6A" w14:textId="77777777" w:rsidR="008C5CFA" w:rsidRPr="001C4484" w:rsidRDefault="00E82A60" w:rsidP="00300A01">
            <w:pPr>
              <w:spacing w:before="0" w:after="0"/>
              <w:jc w:val="right"/>
              <w:rPr>
                <w:sz w:val="10"/>
                <w:szCs w:val="10"/>
                <w:lang w:val="fr-BE"/>
              </w:rPr>
            </w:pPr>
            <w:r w:rsidRPr="001C4484">
              <w:rPr>
                <w:noProof/>
                <w:sz w:val="10"/>
                <w:szCs w:val="10"/>
              </w:rPr>
              <w:t>0,00</w:t>
            </w:r>
          </w:p>
        </w:tc>
      </w:tr>
      <w:tr w:rsidR="006B2EC1" w14:paraId="59673611" w14:textId="77777777" w:rsidTr="0047688D">
        <w:tc>
          <w:tcPr>
            <w:tcW w:w="0" w:type="auto"/>
            <w:shd w:val="clear" w:color="auto" w:fill="auto"/>
          </w:tcPr>
          <w:p w14:paraId="70733855" w14:textId="77777777" w:rsidR="008C5CFA" w:rsidRPr="001C4484" w:rsidRDefault="00E82A60" w:rsidP="00300A01">
            <w:pPr>
              <w:spacing w:before="0" w:after="0"/>
              <w:rPr>
                <w:sz w:val="10"/>
                <w:szCs w:val="10"/>
                <w:lang w:val="fr-BE"/>
              </w:rPr>
            </w:pPr>
            <w:r w:rsidRPr="001C4484">
              <w:rPr>
                <w:noProof/>
                <w:sz w:val="10"/>
                <w:szCs w:val="10"/>
                <w:lang w:val="fr-BE"/>
              </w:rPr>
              <w:t>CO10</w:t>
            </w:r>
          </w:p>
        </w:tc>
        <w:tc>
          <w:tcPr>
            <w:tcW w:w="0" w:type="auto"/>
            <w:shd w:val="clear" w:color="auto" w:fill="auto"/>
          </w:tcPr>
          <w:p w14:paraId="0F44FE62" w14:textId="77777777" w:rsidR="008C5CFA" w:rsidRPr="001C4484" w:rsidRDefault="00E82A60" w:rsidP="00300A01">
            <w:pPr>
              <w:spacing w:before="0" w:after="0"/>
              <w:rPr>
                <w:sz w:val="10"/>
                <w:szCs w:val="10"/>
                <w:lang w:val="fr-BE"/>
              </w:rPr>
            </w:pPr>
            <w:r w:rsidRPr="001C4484">
              <w:rPr>
                <w:noProof/>
                <w:sz w:val="10"/>
                <w:szCs w:val="10"/>
                <w:lang w:val="fr-BE"/>
              </w:rPr>
              <w:t>osoby z wykształceniem średnim II stopnia (ISCED 3) lub policealnym (ISCED 4)</w:t>
            </w:r>
          </w:p>
        </w:tc>
        <w:tc>
          <w:tcPr>
            <w:tcW w:w="0" w:type="auto"/>
            <w:shd w:val="clear" w:color="auto" w:fill="auto"/>
          </w:tcPr>
          <w:p w14:paraId="64DF9F7C"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71F6467D" w14:textId="77777777" w:rsidR="008C5CFA" w:rsidRPr="001C4484" w:rsidRDefault="00E82A60" w:rsidP="00300A01">
            <w:pPr>
              <w:spacing w:before="0" w:after="0"/>
              <w:jc w:val="right"/>
              <w:rPr>
                <w:sz w:val="10"/>
                <w:szCs w:val="10"/>
              </w:rPr>
            </w:pPr>
            <w:r>
              <w:rPr>
                <w:noProof/>
                <w:sz w:val="10"/>
                <w:szCs w:val="10"/>
              </w:rPr>
              <w:t>13 189,00</w:t>
            </w:r>
          </w:p>
        </w:tc>
        <w:tc>
          <w:tcPr>
            <w:tcW w:w="0" w:type="auto"/>
            <w:shd w:val="clear" w:color="auto" w:fill="auto"/>
          </w:tcPr>
          <w:p w14:paraId="0FFB1F93" w14:textId="77777777" w:rsidR="008C5CFA" w:rsidRPr="001C4484" w:rsidRDefault="00E82A60" w:rsidP="00300A01">
            <w:pPr>
              <w:spacing w:before="0" w:after="0"/>
              <w:jc w:val="right"/>
              <w:rPr>
                <w:sz w:val="10"/>
                <w:szCs w:val="10"/>
              </w:rPr>
            </w:pPr>
            <w:r w:rsidRPr="001C4484">
              <w:rPr>
                <w:noProof/>
                <w:sz w:val="10"/>
                <w:szCs w:val="10"/>
              </w:rPr>
              <w:t>1 382,00</w:t>
            </w:r>
          </w:p>
        </w:tc>
        <w:tc>
          <w:tcPr>
            <w:tcW w:w="0" w:type="auto"/>
            <w:shd w:val="clear" w:color="auto" w:fill="auto"/>
          </w:tcPr>
          <w:p w14:paraId="2FF70F1D" w14:textId="77777777" w:rsidR="008C5CFA" w:rsidRPr="001C4484" w:rsidRDefault="00E82A60" w:rsidP="00300A01">
            <w:pPr>
              <w:spacing w:before="0" w:after="0"/>
              <w:jc w:val="right"/>
              <w:rPr>
                <w:sz w:val="10"/>
                <w:szCs w:val="10"/>
                <w:lang w:val="fr-BE"/>
              </w:rPr>
            </w:pPr>
            <w:r w:rsidRPr="001C4484">
              <w:rPr>
                <w:noProof/>
                <w:sz w:val="10"/>
                <w:szCs w:val="10"/>
              </w:rPr>
              <w:t>11 807,00</w:t>
            </w:r>
          </w:p>
        </w:tc>
        <w:tc>
          <w:tcPr>
            <w:tcW w:w="0" w:type="auto"/>
          </w:tcPr>
          <w:p w14:paraId="340B94AB" w14:textId="77777777" w:rsidR="008C5CFA" w:rsidRPr="001C4484" w:rsidRDefault="00E82A60" w:rsidP="00300A01">
            <w:pPr>
              <w:spacing w:before="0" w:after="0"/>
              <w:jc w:val="right"/>
              <w:rPr>
                <w:sz w:val="10"/>
                <w:szCs w:val="10"/>
              </w:rPr>
            </w:pPr>
            <w:r>
              <w:rPr>
                <w:noProof/>
                <w:sz w:val="10"/>
                <w:szCs w:val="10"/>
              </w:rPr>
              <w:t>3 530,00</w:t>
            </w:r>
          </w:p>
        </w:tc>
        <w:tc>
          <w:tcPr>
            <w:tcW w:w="0" w:type="auto"/>
            <w:shd w:val="clear" w:color="auto" w:fill="auto"/>
          </w:tcPr>
          <w:p w14:paraId="3B532263" w14:textId="77777777" w:rsidR="008C5CFA" w:rsidRPr="001C4484" w:rsidRDefault="00E82A60" w:rsidP="00300A01">
            <w:pPr>
              <w:spacing w:before="0" w:after="0"/>
              <w:jc w:val="right"/>
              <w:rPr>
                <w:sz w:val="10"/>
                <w:szCs w:val="10"/>
              </w:rPr>
            </w:pPr>
            <w:r w:rsidRPr="001C4484">
              <w:rPr>
                <w:noProof/>
                <w:sz w:val="10"/>
                <w:szCs w:val="10"/>
              </w:rPr>
              <w:t>461,00</w:t>
            </w:r>
          </w:p>
        </w:tc>
        <w:tc>
          <w:tcPr>
            <w:tcW w:w="0" w:type="auto"/>
            <w:shd w:val="clear" w:color="auto" w:fill="auto"/>
          </w:tcPr>
          <w:p w14:paraId="7F5B07A1" w14:textId="77777777" w:rsidR="008C5CFA" w:rsidRPr="001C4484" w:rsidRDefault="00E82A60" w:rsidP="00300A01">
            <w:pPr>
              <w:spacing w:before="0" w:after="0"/>
              <w:jc w:val="right"/>
              <w:rPr>
                <w:sz w:val="10"/>
                <w:szCs w:val="10"/>
                <w:lang w:val="fr-BE"/>
              </w:rPr>
            </w:pPr>
            <w:r w:rsidRPr="001C4484">
              <w:rPr>
                <w:noProof/>
                <w:sz w:val="10"/>
                <w:szCs w:val="10"/>
              </w:rPr>
              <w:t>3 069,00</w:t>
            </w:r>
          </w:p>
        </w:tc>
        <w:tc>
          <w:tcPr>
            <w:tcW w:w="0" w:type="auto"/>
          </w:tcPr>
          <w:p w14:paraId="62409942"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634456DC"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4FC5269D" w14:textId="77777777" w:rsidR="008C5CFA" w:rsidRPr="001C4484" w:rsidRDefault="00E82A60" w:rsidP="00300A01">
            <w:pPr>
              <w:spacing w:before="0" w:after="0"/>
              <w:jc w:val="right"/>
              <w:rPr>
                <w:sz w:val="10"/>
                <w:szCs w:val="10"/>
                <w:lang w:val="fr-BE"/>
              </w:rPr>
            </w:pPr>
            <w:r w:rsidRPr="001C4484">
              <w:rPr>
                <w:noProof/>
                <w:sz w:val="10"/>
                <w:szCs w:val="10"/>
              </w:rPr>
              <w:t>0,00</w:t>
            </w:r>
          </w:p>
        </w:tc>
      </w:tr>
      <w:tr w:rsidR="006B2EC1" w14:paraId="265088A3" w14:textId="77777777" w:rsidTr="0047688D">
        <w:tc>
          <w:tcPr>
            <w:tcW w:w="0" w:type="auto"/>
            <w:shd w:val="clear" w:color="auto" w:fill="auto"/>
          </w:tcPr>
          <w:p w14:paraId="67920CA1" w14:textId="77777777" w:rsidR="008C5CFA" w:rsidRPr="001C4484" w:rsidRDefault="00E82A60" w:rsidP="00300A01">
            <w:pPr>
              <w:spacing w:before="0" w:after="0"/>
              <w:rPr>
                <w:sz w:val="10"/>
                <w:szCs w:val="10"/>
                <w:lang w:val="fr-BE"/>
              </w:rPr>
            </w:pPr>
            <w:r w:rsidRPr="001C4484">
              <w:rPr>
                <w:noProof/>
                <w:sz w:val="10"/>
                <w:szCs w:val="10"/>
                <w:lang w:val="fr-BE"/>
              </w:rPr>
              <w:t>CO11</w:t>
            </w:r>
          </w:p>
        </w:tc>
        <w:tc>
          <w:tcPr>
            <w:tcW w:w="0" w:type="auto"/>
            <w:shd w:val="clear" w:color="auto" w:fill="auto"/>
          </w:tcPr>
          <w:p w14:paraId="68FB7040" w14:textId="77777777" w:rsidR="008C5CFA" w:rsidRPr="001C4484" w:rsidRDefault="00E82A60" w:rsidP="00300A01">
            <w:pPr>
              <w:spacing w:before="0" w:after="0"/>
              <w:rPr>
                <w:sz w:val="10"/>
                <w:szCs w:val="10"/>
                <w:lang w:val="fr-BE"/>
              </w:rPr>
            </w:pPr>
            <w:r w:rsidRPr="001C4484">
              <w:rPr>
                <w:noProof/>
                <w:sz w:val="10"/>
                <w:szCs w:val="10"/>
                <w:lang w:val="fr-BE"/>
              </w:rPr>
              <w:t>osoby z wykształceniem wyższym (ISCED 5 do 8)</w:t>
            </w:r>
          </w:p>
        </w:tc>
        <w:tc>
          <w:tcPr>
            <w:tcW w:w="0" w:type="auto"/>
            <w:shd w:val="clear" w:color="auto" w:fill="auto"/>
          </w:tcPr>
          <w:p w14:paraId="110E3972"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69BE76FF" w14:textId="77777777" w:rsidR="008C5CFA" w:rsidRPr="001C4484" w:rsidRDefault="00E82A60" w:rsidP="00300A01">
            <w:pPr>
              <w:spacing w:before="0" w:after="0"/>
              <w:jc w:val="right"/>
              <w:rPr>
                <w:sz w:val="10"/>
                <w:szCs w:val="10"/>
              </w:rPr>
            </w:pPr>
            <w:r>
              <w:rPr>
                <w:noProof/>
                <w:sz w:val="10"/>
                <w:szCs w:val="10"/>
              </w:rPr>
              <w:t>12 020,00</w:t>
            </w:r>
          </w:p>
        </w:tc>
        <w:tc>
          <w:tcPr>
            <w:tcW w:w="0" w:type="auto"/>
            <w:shd w:val="clear" w:color="auto" w:fill="auto"/>
          </w:tcPr>
          <w:p w14:paraId="4AE7F166" w14:textId="77777777" w:rsidR="008C5CFA" w:rsidRPr="001C4484" w:rsidRDefault="00E82A60" w:rsidP="00300A01">
            <w:pPr>
              <w:spacing w:before="0" w:after="0"/>
              <w:jc w:val="right"/>
              <w:rPr>
                <w:sz w:val="10"/>
                <w:szCs w:val="10"/>
              </w:rPr>
            </w:pPr>
            <w:r w:rsidRPr="001C4484">
              <w:rPr>
                <w:noProof/>
                <w:sz w:val="10"/>
                <w:szCs w:val="10"/>
              </w:rPr>
              <w:t>1 115,00</w:t>
            </w:r>
          </w:p>
        </w:tc>
        <w:tc>
          <w:tcPr>
            <w:tcW w:w="0" w:type="auto"/>
            <w:shd w:val="clear" w:color="auto" w:fill="auto"/>
          </w:tcPr>
          <w:p w14:paraId="3F24AAF3" w14:textId="77777777" w:rsidR="008C5CFA" w:rsidRPr="001C4484" w:rsidRDefault="00E82A60" w:rsidP="00300A01">
            <w:pPr>
              <w:spacing w:before="0" w:after="0"/>
              <w:jc w:val="right"/>
              <w:rPr>
                <w:sz w:val="10"/>
                <w:szCs w:val="10"/>
                <w:lang w:val="fr-BE"/>
              </w:rPr>
            </w:pPr>
            <w:r w:rsidRPr="001C4484">
              <w:rPr>
                <w:noProof/>
                <w:sz w:val="10"/>
                <w:szCs w:val="10"/>
              </w:rPr>
              <w:t>10 905,00</w:t>
            </w:r>
          </w:p>
        </w:tc>
        <w:tc>
          <w:tcPr>
            <w:tcW w:w="0" w:type="auto"/>
          </w:tcPr>
          <w:p w14:paraId="7CBEFE65" w14:textId="77777777" w:rsidR="008C5CFA" w:rsidRPr="001C4484" w:rsidRDefault="00E82A60" w:rsidP="00300A01">
            <w:pPr>
              <w:spacing w:before="0" w:after="0"/>
              <w:jc w:val="right"/>
              <w:rPr>
                <w:sz w:val="10"/>
                <w:szCs w:val="10"/>
              </w:rPr>
            </w:pPr>
            <w:r>
              <w:rPr>
                <w:noProof/>
                <w:sz w:val="10"/>
                <w:szCs w:val="10"/>
              </w:rPr>
              <w:t>3 610,00</w:t>
            </w:r>
          </w:p>
        </w:tc>
        <w:tc>
          <w:tcPr>
            <w:tcW w:w="0" w:type="auto"/>
            <w:shd w:val="clear" w:color="auto" w:fill="auto"/>
          </w:tcPr>
          <w:p w14:paraId="46326BE4" w14:textId="77777777" w:rsidR="008C5CFA" w:rsidRPr="001C4484" w:rsidRDefault="00E82A60" w:rsidP="00300A01">
            <w:pPr>
              <w:spacing w:before="0" w:after="0"/>
              <w:jc w:val="right"/>
              <w:rPr>
                <w:sz w:val="10"/>
                <w:szCs w:val="10"/>
              </w:rPr>
            </w:pPr>
            <w:r w:rsidRPr="001C4484">
              <w:rPr>
                <w:noProof/>
                <w:sz w:val="10"/>
                <w:szCs w:val="10"/>
              </w:rPr>
              <w:t>439,00</w:t>
            </w:r>
          </w:p>
        </w:tc>
        <w:tc>
          <w:tcPr>
            <w:tcW w:w="0" w:type="auto"/>
            <w:shd w:val="clear" w:color="auto" w:fill="auto"/>
          </w:tcPr>
          <w:p w14:paraId="1761E5C5" w14:textId="77777777" w:rsidR="008C5CFA" w:rsidRPr="001C4484" w:rsidRDefault="00E82A60" w:rsidP="00300A01">
            <w:pPr>
              <w:spacing w:before="0" w:after="0"/>
              <w:jc w:val="right"/>
              <w:rPr>
                <w:sz w:val="10"/>
                <w:szCs w:val="10"/>
                <w:lang w:val="fr-BE"/>
              </w:rPr>
            </w:pPr>
            <w:r w:rsidRPr="001C4484">
              <w:rPr>
                <w:noProof/>
                <w:sz w:val="10"/>
                <w:szCs w:val="10"/>
              </w:rPr>
              <w:t>3 171,00</w:t>
            </w:r>
          </w:p>
        </w:tc>
        <w:tc>
          <w:tcPr>
            <w:tcW w:w="0" w:type="auto"/>
          </w:tcPr>
          <w:p w14:paraId="21B8652D"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3A0E2213"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4B3E0B9E" w14:textId="77777777" w:rsidR="008C5CFA" w:rsidRPr="001C4484" w:rsidRDefault="00E82A60" w:rsidP="00300A01">
            <w:pPr>
              <w:spacing w:before="0" w:after="0"/>
              <w:jc w:val="right"/>
              <w:rPr>
                <w:sz w:val="10"/>
                <w:szCs w:val="10"/>
                <w:lang w:val="fr-BE"/>
              </w:rPr>
            </w:pPr>
            <w:r w:rsidRPr="001C4484">
              <w:rPr>
                <w:noProof/>
                <w:sz w:val="10"/>
                <w:szCs w:val="10"/>
              </w:rPr>
              <w:t>0,00</w:t>
            </w:r>
          </w:p>
        </w:tc>
      </w:tr>
      <w:tr w:rsidR="006B2EC1" w14:paraId="23D8D645" w14:textId="77777777" w:rsidTr="0047688D">
        <w:tc>
          <w:tcPr>
            <w:tcW w:w="0" w:type="auto"/>
            <w:shd w:val="clear" w:color="auto" w:fill="auto"/>
          </w:tcPr>
          <w:p w14:paraId="7A969FB1" w14:textId="77777777" w:rsidR="008C5CFA" w:rsidRPr="001C4484" w:rsidRDefault="00E82A60" w:rsidP="00300A01">
            <w:pPr>
              <w:spacing w:before="0" w:after="0"/>
              <w:rPr>
                <w:sz w:val="10"/>
                <w:szCs w:val="10"/>
                <w:lang w:val="fr-BE"/>
              </w:rPr>
            </w:pPr>
            <w:r w:rsidRPr="001C4484">
              <w:rPr>
                <w:noProof/>
                <w:sz w:val="10"/>
                <w:szCs w:val="10"/>
                <w:lang w:val="fr-BE"/>
              </w:rPr>
              <w:t>CO15</w:t>
            </w:r>
          </w:p>
        </w:tc>
        <w:tc>
          <w:tcPr>
            <w:tcW w:w="0" w:type="auto"/>
            <w:shd w:val="clear" w:color="auto" w:fill="auto"/>
          </w:tcPr>
          <w:p w14:paraId="7F793844" w14:textId="77777777" w:rsidR="008C5CFA" w:rsidRPr="001C4484" w:rsidRDefault="00E82A60" w:rsidP="00300A01">
            <w:pPr>
              <w:spacing w:before="0" w:after="0"/>
              <w:rPr>
                <w:sz w:val="10"/>
                <w:szCs w:val="10"/>
                <w:lang w:val="fr-BE"/>
              </w:rPr>
            </w:pPr>
            <w:r w:rsidRPr="001C4484">
              <w:rPr>
                <w:noProof/>
                <w:sz w:val="10"/>
                <w:szCs w:val="10"/>
                <w:lang w:val="fr-BE"/>
              </w:rPr>
              <w:t>migranci, uczestnicy obcego pochodzenia, mniejszości (w tym społeczności marginalizowane, takie jak Romowie)</w:t>
            </w:r>
          </w:p>
        </w:tc>
        <w:tc>
          <w:tcPr>
            <w:tcW w:w="0" w:type="auto"/>
            <w:shd w:val="clear" w:color="auto" w:fill="auto"/>
          </w:tcPr>
          <w:p w14:paraId="6870895A"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40523D41" w14:textId="77777777" w:rsidR="008C5CFA" w:rsidRPr="001C4484" w:rsidRDefault="00E82A60" w:rsidP="00300A01">
            <w:pPr>
              <w:spacing w:before="0" w:after="0"/>
              <w:jc w:val="right"/>
              <w:rPr>
                <w:sz w:val="10"/>
                <w:szCs w:val="10"/>
              </w:rPr>
            </w:pPr>
            <w:r>
              <w:rPr>
                <w:noProof/>
                <w:sz w:val="10"/>
                <w:szCs w:val="10"/>
              </w:rPr>
              <w:t>51,00</w:t>
            </w:r>
          </w:p>
        </w:tc>
        <w:tc>
          <w:tcPr>
            <w:tcW w:w="0" w:type="auto"/>
            <w:shd w:val="clear" w:color="auto" w:fill="auto"/>
          </w:tcPr>
          <w:p w14:paraId="2E04AE3F" w14:textId="77777777" w:rsidR="008C5CFA" w:rsidRPr="001C4484" w:rsidRDefault="00E82A60" w:rsidP="00300A01">
            <w:pPr>
              <w:spacing w:before="0" w:after="0"/>
              <w:jc w:val="right"/>
              <w:rPr>
                <w:sz w:val="10"/>
                <w:szCs w:val="10"/>
              </w:rPr>
            </w:pPr>
            <w:r w:rsidRPr="001C4484">
              <w:rPr>
                <w:noProof/>
                <w:sz w:val="10"/>
                <w:szCs w:val="10"/>
              </w:rPr>
              <w:t>2,00</w:t>
            </w:r>
          </w:p>
        </w:tc>
        <w:tc>
          <w:tcPr>
            <w:tcW w:w="0" w:type="auto"/>
            <w:shd w:val="clear" w:color="auto" w:fill="auto"/>
          </w:tcPr>
          <w:p w14:paraId="049D733E" w14:textId="77777777" w:rsidR="008C5CFA" w:rsidRPr="001C4484" w:rsidRDefault="00E82A60" w:rsidP="00300A01">
            <w:pPr>
              <w:spacing w:before="0" w:after="0"/>
              <w:jc w:val="right"/>
              <w:rPr>
                <w:sz w:val="10"/>
                <w:szCs w:val="10"/>
                <w:lang w:val="fr-BE"/>
              </w:rPr>
            </w:pPr>
            <w:r w:rsidRPr="001C4484">
              <w:rPr>
                <w:noProof/>
                <w:sz w:val="10"/>
                <w:szCs w:val="10"/>
              </w:rPr>
              <w:t>49,00</w:t>
            </w:r>
          </w:p>
        </w:tc>
        <w:tc>
          <w:tcPr>
            <w:tcW w:w="0" w:type="auto"/>
          </w:tcPr>
          <w:p w14:paraId="275AC886" w14:textId="77777777" w:rsidR="008C5CFA" w:rsidRPr="001C4484" w:rsidRDefault="00E82A60" w:rsidP="00300A01">
            <w:pPr>
              <w:spacing w:before="0" w:after="0"/>
              <w:jc w:val="right"/>
              <w:rPr>
                <w:sz w:val="10"/>
                <w:szCs w:val="10"/>
              </w:rPr>
            </w:pPr>
            <w:r>
              <w:rPr>
                <w:noProof/>
                <w:sz w:val="10"/>
                <w:szCs w:val="10"/>
              </w:rPr>
              <w:t>13,00</w:t>
            </w:r>
          </w:p>
        </w:tc>
        <w:tc>
          <w:tcPr>
            <w:tcW w:w="0" w:type="auto"/>
            <w:shd w:val="clear" w:color="auto" w:fill="auto"/>
          </w:tcPr>
          <w:p w14:paraId="60CB7C98"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7977AABB" w14:textId="77777777" w:rsidR="008C5CFA" w:rsidRPr="001C4484" w:rsidRDefault="00E82A60" w:rsidP="00300A01">
            <w:pPr>
              <w:spacing w:before="0" w:after="0"/>
              <w:jc w:val="right"/>
              <w:rPr>
                <w:sz w:val="10"/>
                <w:szCs w:val="10"/>
                <w:lang w:val="fr-BE"/>
              </w:rPr>
            </w:pPr>
            <w:r w:rsidRPr="001C4484">
              <w:rPr>
                <w:noProof/>
                <w:sz w:val="10"/>
                <w:szCs w:val="10"/>
              </w:rPr>
              <w:t>13,00</w:t>
            </w:r>
          </w:p>
        </w:tc>
        <w:tc>
          <w:tcPr>
            <w:tcW w:w="0" w:type="auto"/>
          </w:tcPr>
          <w:p w14:paraId="7EDDCE20"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1E39AE1E"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25D97E8E" w14:textId="77777777" w:rsidR="008C5CFA" w:rsidRPr="001C4484" w:rsidRDefault="00E82A60" w:rsidP="00300A01">
            <w:pPr>
              <w:spacing w:before="0" w:after="0"/>
              <w:jc w:val="right"/>
              <w:rPr>
                <w:sz w:val="10"/>
                <w:szCs w:val="10"/>
                <w:lang w:val="fr-BE"/>
              </w:rPr>
            </w:pPr>
            <w:r w:rsidRPr="001C4484">
              <w:rPr>
                <w:noProof/>
                <w:sz w:val="10"/>
                <w:szCs w:val="10"/>
              </w:rPr>
              <w:t>0,00</w:t>
            </w:r>
          </w:p>
        </w:tc>
      </w:tr>
      <w:tr w:rsidR="006B2EC1" w14:paraId="6D7277D4" w14:textId="77777777" w:rsidTr="0047688D">
        <w:tc>
          <w:tcPr>
            <w:tcW w:w="0" w:type="auto"/>
            <w:shd w:val="clear" w:color="auto" w:fill="auto"/>
          </w:tcPr>
          <w:p w14:paraId="50A0CFE2" w14:textId="77777777" w:rsidR="008C5CFA" w:rsidRPr="001C4484" w:rsidRDefault="00E82A60" w:rsidP="00300A01">
            <w:pPr>
              <w:spacing w:before="0" w:after="0"/>
              <w:rPr>
                <w:sz w:val="10"/>
                <w:szCs w:val="10"/>
                <w:lang w:val="fr-BE"/>
              </w:rPr>
            </w:pPr>
            <w:r w:rsidRPr="001C4484">
              <w:rPr>
                <w:noProof/>
                <w:sz w:val="10"/>
                <w:szCs w:val="10"/>
                <w:lang w:val="fr-BE"/>
              </w:rPr>
              <w:t>CO16</w:t>
            </w:r>
          </w:p>
        </w:tc>
        <w:tc>
          <w:tcPr>
            <w:tcW w:w="0" w:type="auto"/>
            <w:shd w:val="clear" w:color="auto" w:fill="auto"/>
          </w:tcPr>
          <w:p w14:paraId="4454017E" w14:textId="77777777" w:rsidR="008C5CFA" w:rsidRPr="001C4484" w:rsidRDefault="00E82A60" w:rsidP="00300A01">
            <w:pPr>
              <w:spacing w:before="0" w:after="0"/>
              <w:rPr>
                <w:sz w:val="10"/>
                <w:szCs w:val="10"/>
                <w:lang w:val="fr-BE"/>
              </w:rPr>
            </w:pPr>
            <w:r w:rsidRPr="001C4484">
              <w:rPr>
                <w:noProof/>
                <w:sz w:val="10"/>
                <w:szCs w:val="10"/>
                <w:lang w:val="fr-BE"/>
              </w:rPr>
              <w:t>uczestnicy z niepełnosprawnościami</w:t>
            </w:r>
          </w:p>
        </w:tc>
        <w:tc>
          <w:tcPr>
            <w:tcW w:w="0" w:type="auto"/>
            <w:shd w:val="clear" w:color="auto" w:fill="auto"/>
          </w:tcPr>
          <w:p w14:paraId="65CA2A4B"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17C57230" w14:textId="77777777" w:rsidR="008C5CFA" w:rsidRPr="001C4484" w:rsidRDefault="00E82A60" w:rsidP="00300A01">
            <w:pPr>
              <w:spacing w:before="0" w:after="0"/>
              <w:jc w:val="right"/>
              <w:rPr>
                <w:sz w:val="10"/>
                <w:szCs w:val="10"/>
              </w:rPr>
            </w:pPr>
            <w:r>
              <w:rPr>
                <w:noProof/>
                <w:sz w:val="10"/>
                <w:szCs w:val="10"/>
              </w:rPr>
              <w:t>956,00</w:t>
            </w:r>
          </w:p>
        </w:tc>
        <w:tc>
          <w:tcPr>
            <w:tcW w:w="0" w:type="auto"/>
            <w:shd w:val="clear" w:color="auto" w:fill="auto"/>
          </w:tcPr>
          <w:p w14:paraId="0CBA6758" w14:textId="77777777" w:rsidR="008C5CFA" w:rsidRPr="001C4484" w:rsidRDefault="00E82A60" w:rsidP="00300A01">
            <w:pPr>
              <w:spacing w:before="0" w:after="0"/>
              <w:jc w:val="right"/>
              <w:rPr>
                <w:sz w:val="10"/>
                <w:szCs w:val="10"/>
              </w:rPr>
            </w:pPr>
            <w:r w:rsidRPr="001C4484">
              <w:rPr>
                <w:noProof/>
                <w:sz w:val="10"/>
                <w:szCs w:val="10"/>
              </w:rPr>
              <w:t>211,00</w:t>
            </w:r>
          </w:p>
        </w:tc>
        <w:tc>
          <w:tcPr>
            <w:tcW w:w="0" w:type="auto"/>
            <w:shd w:val="clear" w:color="auto" w:fill="auto"/>
          </w:tcPr>
          <w:p w14:paraId="661B4E84" w14:textId="77777777" w:rsidR="008C5CFA" w:rsidRPr="001C4484" w:rsidRDefault="00E82A60" w:rsidP="00300A01">
            <w:pPr>
              <w:spacing w:before="0" w:after="0"/>
              <w:jc w:val="right"/>
              <w:rPr>
                <w:sz w:val="10"/>
                <w:szCs w:val="10"/>
                <w:lang w:val="fr-BE"/>
              </w:rPr>
            </w:pPr>
            <w:r w:rsidRPr="001C4484">
              <w:rPr>
                <w:noProof/>
                <w:sz w:val="10"/>
                <w:szCs w:val="10"/>
              </w:rPr>
              <w:t>745,00</w:t>
            </w:r>
          </w:p>
        </w:tc>
        <w:tc>
          <w:tcPr>
            <w:tcW w:w="0" w:type="auto"/>
          </w:tcPr>
          <w:p w14:paraId="40A01CF5" w14:textId="77777777" w:rsidR="008C5CFA" w:rsidRPr="001C4484" w:rsidRDefault="00E82A60" w:rsidP="00300A01">
            <w:pPr>
              <w:spacing w:before="0" w:after="0"/>
              <w:jc w:val="right"/>
              <w:rPr>
                <w:sz w:val="10"/>
                <w:szCs w:val="10"/>
              </w:rPr>
            </w:pPr>
            <w:r>
              <w:rPr>
                <w:noProof/>
                <w:sz w:val="10"/>
                <w:szCs w:val="10"/>
              </w:rPr>
              <w:t>314,00</w:t>
            </w:r>
          </w:p>
        </w:tc>
        <w:tc>
          <w:tcPr>
            <w:tcW w:w="0" w:type="auto"/>
            <w:shd w:val="clear" w:color="auto" w:fill="auto"/>
          </w:tcPr>
          <w:p w14:paraId="5983B845" w14:textId="77777777" w:rsidR="008C5CFA" w:rsidRPr="001C4484" w:rsidRDefault="00E82A60" w:rsidP="00300A01">
            <w:pPr>
              <w:spacing w:before="0" w:after="0"/>
              <w:jc w:val="right"/>
              <w:rPr>
                <w:sz w:val="10"/>
                <w:szCs w:val="10"/>
              </w:rPr>
            </w:pPr>
            <w:r w:rsidRPr="001C4484">
              <w:rPr>
                <w:noProof/>
                <w:sz w:val="10"/>
                <w:szCs w:val="10"/>
              </w:rPr>
              <w:t>72,00</w:t>
            </w:r>
          </w:p>
        </w:tc>
        <w:tc>
          <w:tcPr>
            <w:tcW w:w="0" w:type="auto"/>
            <w:shd w:val="clear" w:color="auto" w:fill="auto"/>
          </w:tcPr>
          <w:p w14:paraId="2D412408" w14:textId="77777777" w:rsidR="008C5CFA" w:rsidRPr="001C4484" w:rsidRDefault="00E82A60" w:rsidP="00300A01">
            <w:pPr>
              <w:spacing w:before="0" w:after="0"/>
              <w:jc w:val="right"/>
              <w:rPr>
                <w:sz w:val="10"/>
                <w:szCs w:val="10"/>
                <w:lang w:val="fr-BE"/>
              </w:rPr>
            </w:pPr>
            <w:r w:rsidRPr="001C4484">
              <w:rPr>
                <w:noProof/>
                <w:sz w:val="10"/>
                <w:szCs w:val="10"/>
              </w:rPr>
              <w:t>242,00</w:t>
            </w:r>
          </w:p>
        </w:tc>
        <w:tc>
          <w:tcPr>
            <w:tcW w:w="0" w:type="auto"/>
          </w:tcPr>
          <w:p w14:paraId="37100F23"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7E218F72"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68891188" w14:textId="77777777" w:rsidR="008C5CFA" w:rsidRPr="001C4484" w:rsidRDefault="00E82A60" w:rsidP="00300A01">
            <w:pPr>
              <w:spacing w:before="0" w:after="0"/>
              <w:jc w:val="right"/>
              <w:rPr>
                <w:sz w:val="10"/>
                <w:szCs w:val="10"/>
                <w:lang w:val="fr-BE"/>
              </w:rPr>
            </w:pPr>
            <w:r w:rsidRPr="001C4484">
              <w:rPr>
                <w:noProof/>
                <w:sz w:val="10"/>
                <w:szCs w:val="10"/>
              </w:rPr>
              <w:t>0,00</w:t>
            </w:r>
          </w:p>
        </w:tc>
      </w:tr>
      <w:tr w:rsidR="006B2EC1" w14:paraId="429DCCF4" w14:textId="77777777" w:rsidTr="0047688D">
        <w:tc>
          <w:tcPr>
            <w:tcW w:w="0" w:type="auto"/>
            <w:shd w:val="clear" w:color="auto" w:fill="auto"/>
          </w:tcPr>
          <w:p w14:paraId="5B6BEFA8" w14:textId="77777777" w:rsidR="008C5CFA" w:rsidRPr="001C4484" w:rsidRDefault="00E82A60" w:rsidP="00300A01">
            <w:pPr>
              <w:spacing w:before="0" w:after="0"/>
              <w:rPr>
                <w:sz w:val="10"/>
                <w:szCs w:val="10"/>
                <w:lang w:val="fr-BE"/>
              </w:rPr>
            </w:pPr>
            <w:r w:rsidRPr="001C4484">
              <w:rPr>
                <w:noProof/>
                <w:sz w:val="10"/>
                <w:szCs w:val="10"/>
                <w:lang w:val="fr-BE"/>
              </w:rPr>
              <w:t>CO17</w:t>
            </w:r>
          </w:p>
        </w:tc>
        <w:tc>
          <w:tcPr>
            <w:tcW w:w="0" w:type="auto"/>
            <w:shd w:val="clear" w:color="auto" w:fill="auto"/>
          </w:tcPr>
          <w:p w14:paraId="56D5F2BF" w14:textId="77777777" w:rsidR="008C5CFA" w:rsidRPr="001C4484" w:rsidRDefault="00E82A60" w:rsidP="00300A01">
            <w:pPr>
              <w:spacing w:before="0" w:after="0"/>
              <w:rPr>
                <w:sz w:val="10"/>
                <w:szCs w:val="10"/>
                <w:lang w:val="fr-BE"/>
              </w:rPr>
            </w:pPr>
            <w:r w:rsidRPr="001C4484">
              <w:rPr>
                <w:noProof/>
                <w:sz w:val="10"/>
                <w:szCs w:val="10"/>
                <w:lang w:val="fr-BE"/>
              </w:rPr>
              <w:t>inne osoby w niekorzystnej sytuacji społecznej</w:t>
            </w:r>
          </w:p>
        </w:tc>
        <w:tc>
          <w:tcPr>
            <w:tcW w:w="0" w:type="auto"/>
            <w:shd w:val="clear" w:color="auto" w:fill="auto"/>
          </w:tcPr>
          <w:p w14:paraId="68CE66BF"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514893AA" w14:textId="77777777" w:rsidR="008C5CFA" w:rsidRPr="001C4484" w:rsidRDefault="00E82A60" w:rsidP="00300A01">
            <w:pPr>
              <w:spacing w:before="0" w:after="0"/>
              <w:jc w:val="right"/>
              <w:rPr>
                <w:sz w:val="10"/>
                <w:szCs w:val="10"/>
              </w:rPr>
            </w:pPr>
            <w:r>
              <w:rPr>
                <w:noProof/>
                <w:sz w:val="10"/>
                <w:szCs w:val="10"/>
              </w:rPr>
              <w:t>691,00</w:t>
            </w:r>
          </w:p>
        </w:tc>
        <w:tc>
          <w:tcPr>
            <w:tcW w:w="0" w:type="auto"/>
            <w:shd w:val="clear" w:color="auto" w:fill="auto"/>
          </w:tcPr>
          <w:p w14:paraId="6855B846" w14:textId="77777777" w:rsidR="008C5CFA" w:rsidRPr="001C4484" w:rsidRDefault="00E82A60" w:rsidP="00300A01">
            <w:pPr>
              <w:spacing w:before="0" w:after="0"/>
              <w:jc w:val="right"/>
              <w:rPr>
                <w:sz w:val="10"/>
                <w:szCs w:val="10"/>
              </w:rPr>
            </w:pPr>
            <w:r w:rsidRPr="001C4484">
              <w:rPr>
                <w:noProof/>
                <w:sz w:val="10"/>
                <w:szCs w:val="10"/>
              </w:rPr>
              <w:t>114,00</w:t>
            </w:r>
          </w:p>
        </w:tc>
        <w:tc>
          <w:tcPr>
            <w:tcW w:w="0" w:type="auto"/>
            <w:shd w:val="clear" w:color="auto" w:fill="auto"/>
          </w:tcPr>
          <w:p w14:paraId="3B8B3543" w14:textId="77777777" w:rsidR="008C5CFA" w:rsidRPr="001C4484" w:rsidRDefault="00E82A60" w:rsidP="00300A01">
            <w:pPr>
              <w:spacing w:before="0" w:after="0"/>
              <w:jc w:val="right"/>
              <w:rPr>
                <w:sz w:val="10"/>
                <w:szCs w:val="10"/>
                <w:lang w:val="fr-BE"/>
              </w:rPr>
            </w:pPr>
            <w:r w:rsidRPr="001C4484">
              <w:rPr>
                <w:noProof/>
                <w:sz w:val="10"/>
                <w:szCs w:val="10"/>
              </w:rPr>
              <w:t>577,00</w:t>
            </w:r>
          </w:p>
        </w:tc>
        <w:tc>
          <w:tcPr>
            <w:tcW w:w="0" w:type="auto"/>
          </w:tcPr>
          <w:p w14:paraId="66873164" w14:textId="77777777" w:rsidR="008C5CFA" w:rsidRPr="001C4484" w:rsidRDefault="00E82A60" w:rsidP="00300A01">
            <w:pPr>
              <w:spacing w:before="0" w:after="0"/>
              <w:jc w:val="right"/>
              <w:rPr>
                <w:sz w:val="10"/>
                <w:szCs w:val="10"/>
              </w:rPr>
            </w:pPr>
            <w:r>
              <w:rPr>
                <w:noProof/>
                <w:sz w:val="10"/>
                <w:szCs w:val="10"/>
              </w:rPr>
              <w:t>187,00</w:t>
            </w:r>
          </w:p>
        </w:tc>
        <w:tc>
          <w:tcPr>
            <w:tcW w:w="0" w:type="auto"/>
            <w:shd w:val="clear" w:color="auto" w:fill="auto"/>
          </w:tcPr>
          <w:p w14:paraId="6B7EB24D" w14:textId="77777777" w:rsidR="008C5CFA" w:rsidRPr="001C4484" w:rsidRDefault="00E82A60" w:rsidP="00300A01">
            <w:pPr>
              <w:spacing w:before="0" w:after="0"/>
              <w:jc w:val="right"/>
              <w:rPr>
                <w:sz w:val="10"/>
                <w:szCs w:val="10"/>
              </w:rPr>
            </w:pPr>
            <w:r w:rsidRPr="001C4484">
              <w:rPr>
                <w:noProof/>
                <w:sz w:val="10"/>
                <w:szCs w:val="10"/>
              </w:rPr>
              <w:t>25,00</w:t>
            </w:r>
          </w:p>
        </w:tc>
        <w:tc>
          <w:tcPr>
            <w:tcW w:w="0" w:type="auto"/>
            <w:shd w:val="clear" w:color="auto" w:fill="auto"/>
          </w:tcPr>
          <w:p w14:paraId="768B202B" w14:textId="77777777" w:rsidR="008C5CFA" w:rsidRPr="001C4484" w:rsidRDefault="00E82A60" w:rsidP="00300A01">
            <w:pPr>
              <w:spacing w:before="0" w:after="0"/>
              <w:jc w:val="right"/>
              <w:rPr>
                <w:sz w:val="10"/>
                <w:szCs w:val="10"/>
                <w:lang w:val="fr-BE"/>
              </w:rPr>
            </w:pPr>
            <w:r w:rsidRPr="001C4484">
              <w:rPr>
                <w:noProof/>
                <w:sz w:val="10"/>
                <w:szCs w:val="10"/>
              </w:rPr>
              <w:t>162,00</w:t>
            </w:r>
          </w:p>
        </w:tc>
        <w:tc>
          <w:tcPr>
            <w:tcW w:w="0" w:type="auto"/>
          </w:tcPr>
          <w:p w14:paraId="525DF68C"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79C84C78"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142AA237" w14:textId="77777777" w:rsidR="008C5CFA" w:rsidRPr="001C4484" w:rsidRDefault="00E82A60" w:rsidP="00300A01">
            <w:pPr>
              <w:spacing w:before="0" w:after="0"/>
              <w:jc w:val="right"/>
              <w:rPr>
                <w:sz w:val="10"/>
                <w:szCs w:val="10"/>
                <w:lang w:val="fr-BE"/>
              </w:rPr>
            </w:pPr>
            <w:r w:rsidRPr="001C4484">
              <w:rPr>
                <w:noProof/>
                <w:sz w:val="10"/>
                <w:szCs w:val="10"/>
              </w:rPr>
              <w:t>0,00</w:t>
            </w:r>
          </w:p>
        </w:tc>
      </w:tr>
      <w:tr w:rsidR="006B2EC1" w14:paraId="2A114F10" w14:textId="77777777" w:rsidTr="0047688D">
        <w:tc>
          <w:tcPr>
            <w:tcW w:w="0" w:type="auto"/>
            <w:shd w:val="clear" w:color="auto" w:fill="auto"/>
          </w:tcPr>
          <w:p w14:paraId="3ACC9697" w14:textId="77777777" w:rsidR="008C5CFA" w:rsidRPr="001C4484" w:rsidRDefault="00E82A60" w:rsidP="00300A01">
            <w:pPr>
              <w:spacing w:before="0" w:after="0"/>
              <w:rPr>
                <w:sz w:val="10"/>
                <w:szCs w:val="10"/>
                <w:lang w:val="fr-BE"/>
              </w:rPr>
            </w:pPr>
            <w:r w:rsidRPr="001C4484">
              <w:rPr>
                <w:noProof/>
                <w:sz w:val="10"/>
                <w:szCs w:val="10"/>
                <w:lang w:val="fr-BE"/>
              </w:rPr>
              <w:t>CO18</w:t>
            </w:r>
          </w:p>
        </w:tc>
        <w:tc>
          <w:tcPr>
            <w:tcW w:w="0" w:type="auto"/>
            <w:shd w:val="clear" w:color="auto" w:fill="auto"/>
          </w:tcPr>
          <w:p w14:paraId="55B9F28D" w14:textId="77777777" w:rsidR="008C5CFA" w:rsidRPr="001C4484" w:rsidRDefault="00E82A60" w:rsidP="00300A01">
            <w:pPr>
              <w:spacing w:before="0" w:after="0"/>
              <w:rPr>
                <w:sz w:val="10"/>
                <w:szCs w:val="10"/>
                <w:lang w:val="fr-BE"/>
              </w:rPr>
            </w:pPr>
            <w:r w:rsidRPr="001C4484">
              <w:rPr>
                <w:noProof/>
                <w:sz w:val="10"/>
                <w:szCs w:val="10"/>
                <w:lang w:val="fr-BE"/>
              </w:rPr>
              <w:t>osoby bezdomne lub dotknięte wykluczeniem z dostępu do mieszkań</w:t>
            </w:r>
          </w:p>
        </w:tc>
        <w:tc>
          <w:tcPr>
            <w:tcW w:w="0" w:type="auto"/>
            <w:shd w:val="clear" w:color="auto" w:fill="auto"/>
          </w:tcPr>
          <w:p w14:paraId="599AE0F0"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25B44F99" w14:textId="77777777" w:rsidR="008C5CFA" w:rsidRPr="001C4484" w:rsidRDefault="00E82A60" w:rsidP="00300A01">
            <w:pPr>
              <w:spacing w:before="0" w:after="0"/>
              <w:jc w:val="right"/>
              <w:rPr>
                <w:sz w:val="10"/>
                <w:szCs w:val="10"/>
              </w:rPr>
            </w:pPr>
            <w:r>
              <w:rPr>
                <w:noProof/>
                <w:sz w:val="10"/>
                <w:szCs w:val="10"/>
              </w:rPr>
              <w:t>54,00</w:t>
            </w:r>
          </w:p>
        </w:tc>
        <w:tc>
          <w:tcPr>
            <w:tcW w:w="0" w:type="auto"/>
            <w:shd w:val="clear" w:color="auto" w:fill="auto"/>
          </w:tcPr>
          <w:p w14:paraId="115E7674" w14:textId="77777777" w:rsidR="008C5CFA" w:rsidRPr="001C4484" w:rsidRDefault="00E82A60" w:rsidP="00300A01">
            <w:pPr>
              <w:spacing w:before="0" w:after="0"/>
              <w:jc w:val="right"/>
              <w:rPr>
                <w:sz w:val="10"/>
                <w:szCs w:val="10"/>
              </w:rPr>
            </w:pPr>
            <w:r w:rsidRPr="001C4484">
              <w:rPr>
                <w:noProof/>
                <w:sz w:val="10"/>
                <w:szCs w:val="10"/>
              </w:rPr>
              <w:t>21,00</w:t>
            </w:r>
          </w:p>
        </w:tc>
        <w:tc>
          <w:tcPr>
            <w:tcW w:w="0" w:type="auto"/>
            <w:shd w:val="clear" w:color="auto" w:fill="auto"/>
          </w:tcPr>
          <w:p w14:paraId="6FF2F9C2" w14:textId="77777777" w:rsidR="008C5CFA" w:rsidRPr="001C4484" w:rsidRDefault="00E82A60" w:rsidP="00300A01">
            <w:pPr>
              <w:spacing w:before="0" w:after="0"/>
              <w:jc w:val="right"/>
              <w:rPr>
                <w:sz w:val="10"/>
                <w:szCs w:val="10"/>
                <w:lang w:val="fr-BE"/>
              </w:rPr>
            </w:pPr>
            <w:r w:rsidRPr="001C4484">
              <w:rPr>
                <w:noProof/>
                <w:sz w:val="10"/>
                <w:szCs w:val="10"/>
              </w:rPr>
              <w:t>33,00</w:t>
            </w:r>
          </w:p>
        </w:tc>
        <w:tc>
          <w:tcPr>
            <w:tcW w:w="0" w:type="auto"/>
          </w:tcPr>
          <w:p w14:paraId="57647B77" w14:textId="77777777" w:rsidR="008C5CFA" w:rsidRPr="001C4484" w:rsidRDefault="00E82A60" w:rsidP="00300A01">
            <w:pPr>
              <w:spacing w:before="0" w:after="0"/>
              <w:jc w:val="right"/>
              <w:rPr>
                <w:sz w:val="10"/>
                <w:szCs w:val="10"/>
              </w:rPr>
            </w:pPr>
            <w:r>
              <w:rPr>
                <w:noProof/>
                <w:sz w:val="10"/>
                <w:szCs w:val="10"/>
              </w:rPr>
              <w:t>21,00</w:t>
            </w:r>
          </w:p>
        </w:tc>
        <w:tc>
          <w:tcPr>
            <w:tcW w:w="0" w:type="auto"/>
            <w:shd w:val="clear" w:color="auto" w:fill="auto"/>
          </w:tcPr>
          <w:p w14:paraId="44E164F7" w14:textId="77777777" w:rsidR="008C5CFA" w:rsidRPr="001C4484" w:rsidRDefault="00E82A60" w:rsidP="00300A01">
            <w:pPr>
              <w:spacing w:before="0" w:after="0"/>
              <w:jc w:val="right"/>
              <w:rPr>
                <w:sz w:val="10"/>
                <w:szCs w:val="10"/>
              </w:rPr>
            </w:pPr>
            <w:r w:rsidRPr="001C4484">
              <w:rPr>
                <w:noProof/>
                <w:sz w:val="10"/>
                <w:szCs w:val="10"/>
              </w:rPr>
              <w:t>6,00</w:t>
            </w:r>
          </w:p>
        </w:tc>
        <w:tc>
          <w:tcPr>
            <w:tcW w:w="0" w:type="auto"/>
            <w:shd w:val="clear" w:color="auto" w:fill="auto"/>
          </w:tcPr>
          <w:p w14:paraId="15EB1E51" w14:textId="77777777" w:rsidR="008C5CFA" w:rsidRPr="001C4484" w:rsidRDefault="00E82A60" w:rsidP="00300A01">
            <w:pPr>
              <w:spacing w:before="0" w:after="0"/>
              <w:jc w:val="right"/>
              <w:rPr>
                <w:sz w:val="10"/>
                <w:szCs w:val="10"/>
                <w:lang w:val="fr-BE"/>
              </w:rPr>
            </w:pPr>
            <w:r w:rsidRPr="001C4484">
              <w:rPr>
                <w:noProof/>
                <w:sz w:val="10"/>
                <w:szCs w:val="10"/>
              </w:rPr>
              <w:t>15,00</w:t>
            </w:r>
          </w:p>
        </w:tc>
        <w:tc>
          <w:tcPr>
            <w:tcW w:w="0" w:type="auto"/>
          </w:tcPr>
          <w:p w14:paraId="77F6C0F2"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5054F49B"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6638BF57" w14:textId="77777777" w:rsidR="008C5CFA" w:rsidRPr="001C4484" w:rsidRDefault="00E82A60" w:rsidP="00300A01">
            <w:pPr>
              <w:spacing w:before="0" w:after="0"/>
              <w:jc w:val="right"/>
              <w:rPr>
                <w:sz w:val="10"/>
                <w:szCs w:val="10"/>
                <w:lang w:val="fr-BE"/>
              </w:rPr>
            </w:pPr>
            <w:r w:rsidRPr="001C4484">
              <w:rPr>
                <w:noProof/>
                <w:sz w:val="10"/>
                <w:szCs w:val="10"/>
              </w:rPr>
              <w:t>0,00</w:t>
            </w:r>
          </w:p>
        </w:tc>
      </w:tr>
      <w:tr w:rsidR="006B2EC1" w14:paraId="61B8E6D9" w14:textId="77777777" w:rsidTr="0047688D">
        <w:tc>
          <w:tcPr>
            <w:tcW w:w="0" w:type="auto"/>
            <w:shd w:val="clear" w:color="auto" w:fill="auto"/>
          </w:tcPr>
          <w:p w14:paraId="7512E636" w14:textId="77777777" w:rsidR="008C5CFA" w:rsidRPr="001C4484" w:rsidRDefault="00E82A60" w:rsidP="00300A01">
            <w:pPr>
              <w:spacing w:before="0" w:after="0"/>
              <w:rPr>
                <w:sz w:val="10"/>
                <w:szCs w:val="10"/>
                <w:lang w:val="fr-BE"/>
              </w:rPr>
            </w:pPr>
            <w:r w:rsidRPr="001C4484">
              <w:rPr>
                <w:noProof/>
                <w:sz w:val="10"/>
                <w:szCs w:val="10"/>
                <w:lang w:val="fr-BE"/>
              </w:rPr>
              <w:t>CO19</w:t>
            </w:r>
          </w:p>
        </w:tc>
        <w:tc>
          <w:tcPr>
            <w:tcW w:w="0" w:type="auto"/>
            <w:shd w:val="clear" w:color="auto" w:fill="auto"/>
          </w:tcPr>
          <w:p w14:paraId="711697CE" w14:textId="77777777" w:rsidR="008C5CFA" w:rsidRPr="001C4484" w:rsidRDefault="00E82A60" w:rsidP="00300A01">
            <w:pPr>
              <w:spacing w:before="0" w:after="0"/>
              <w:rPr>
                <w:sz w:val="10"/>
                <w:szCs w:val="10"/>
                <w:lang w:val="fr-BE"/>
              </w:rPr>
            </w:pPr>
            <w:r w:rsidRPr="001C4484">
              <w:rPr>
                <w:noProof/>
                <w:sz w:val="10"/>
                <w:szCs w:val="10"/>
                <w:lang w:val="fr-BE"/>
              </w:rPr>
              <w:t>osoby pochodzące z obszarów wiejskich</w:t>
            </w:r>
          </w:p>
        </w:tc>
        <w:tc>
          <w:tcPr>
            <w:tcW w:w="0" w:type="auto"/>
            <w:shd w:val="clear" w:color="auto" w:fill="auto"/>
          </w:tcPr>
          <w:p w14:paraId="0ACAB326"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1D476F48" w14:textId="77777777" w:rsidR="008C5CFA" w:rsidRPr="001C4484" w:rsidRDefault="00E82A60" w:rsidP="00300A01">
            <w:pPr>
              <w:spacing w:before="0" w:after="0"/>
              <w:jc w:val="right"/>
              <w:rPr>
                <w:sz w:val="10"/>
                <w:szCs w:val="10"/>
              </w:rPr>
            </w:pPr>
            <w:r>
              <w:rPr>
                <w:noProof/>
                <w:sz w:val="10"/>
                <w:szCs w:val="10"/>
              </w:rPr>
              <w:t>14 231,00</w:t>
            </w:r>
          </w:p>
        </w:tc>
        <w:tc>
          <w:tcPr>
            <w:tcW w:w="0" w:type="auto"/>
            <w:shd w:val="clear" w:color="auto" w:fill="auto"/>
          </w:tcPr>
          <w:p w14:paraId="5884D2A7" w14:textId="77777777" w:rsidR="008C5CFA" w:rsidRPr="001C4484" w:rsidRDefault="00E82A60" w:rsidP="00300A01">
            <w:pPr>
              <w:spacing w:before="0" w:after="0"/>
              <w:jc w:val="right"/>
              <w:rPr>
                <w:sz w:val="10"/>
                <w:szCs w:val="10"/>
              </w:rPr>
            </w:pPr>
            <w:r w:rsidRPr="001C4484">
              <w:rPr>
                <w:noProof/>
                <w:sz w:val="10"/>
                <w:szCs w:val="10"/>
              </w:rPr>
              <w:t>1 508,00</w:t>
            </w:r>
          </w:p>
        </w:tc>
        <w:tc>
          <w:tcPr>
            <w:tcW w:w="0" w:type="auto"/>
            <w:shd w:val="clear" w:color="auto" w:fill="auto"/>
          </w:tcPr>
          <w:p w14:paraId="7A924507" w14:textId="77777777" w:rsidR="008C5CFA" w:rsidRPr="001C4484" w:rsidRDefault="00E82A60" w:rsidP="00300A01">
            <w:pPr>
              <w:spacing w:before="0" w:after="0"/>
              <w:jc w:val="right"/>
              <w:rPr>
                <w:sz w:val="10"/>
                <w:szCs w:val="10"/>
                <w:lang w:val="fr-BE"/>
              </w:rPr>
            </w:pPr>
            <w:r w:rsidRPr="001C4484">
              <w:rPr>
                <w:noProof/>
                <w:sz w:val="10"/>
                <w:szCs w:val="10"/>
              </w:rPr>
              <w:t>12 723,00</w:t>
            </w:r>
          </w:p>
        </w:tc>
        <w:tc>
          <w:tcPr>
            <w:tcW w:w="0" w:type="auto"/>
          </w:tcPr>
          <w:p w14:paraId="586F211E" w14:textId="77777777" w:rsidR="008C5CFA" w:rsidRPr="001C4484" w:rsidRDefault="00E82A60" w:rsidP="00300A01">
            <w:pPr>
              <w:spacing w:before="0" w:after="0"/>
              <w:jc w:val="right"/>
              <w:rPr>
                <w:sz w:val="10"/>
                <w:szCs w:val="10"/>
              </w:rPr>
            </w:pPr>
            <w:r>
              <w:rPr>
                <w:noProof/>
                <w:sz w:val="10"/>
                <w:szCs w:val="10"/>
              </w:rPr>
              <w:t>3 499,00</w:t>
            </w:r>
          </w:p>
        </w:tc>
        <w:tc>
          <w:tcPr>
            <w:tcW w:w="0" w:type="auto"/>
            <w:shd w:val="clear" w:color="auto" w:fill="auto"/>
          </w:tcPr>
          <w:p w14:paraId="3A56543D" w14:textId="77777777" w:rsidR="008C5CFA" w:rsidRPr="001C4484" w:rsidRDefault="00E82A60" w:rsidP="00300A01">
            <w:pPr>
              <w:spacing w:before="0" w:after="0"/>
              <w:jc w:val="right"/>
              <w:rPr>
                <w:sz w:val="10"/>
                <w:szCs w:val="10"/>
              </w:rPr>
            </w:pPr>
            <w:r w:rsidRPr="001C4484">
              <w:rPr>
                <w:noProof/>
                <w:sz w:val="10"/>
                <w:szCs w:val="10"/>
              </w:rPr>
              <w:t>597,00</w:t>
            </w:r>
          </w:p>
        </w:tc>
        <w:tc>
          <w:tcPr>
            <w:tcW w:w="0" w:type="auto"/>
            <w:shd w:val="clear" w:color="auto" w:fill="auto"/>
          </w:tcPr>
          <w:p w14:paraId="1CEA87EC" w14:textId="77777777" w:rsidR="008C5CFA" w:rsidRPr="001C4484" w:rsidRDefault="00E82A60" w:rsidP="00300A01">
            <w:pPr>
              <w:spacing w:before="0" w:after="0"/>
              <w:jc w:val="right"/>
              <w:rPr>
                <w:sz w:val="10"/>
                <w:szCs w:val="10"/>
                <w:lang w:val="fr-BE"/>
              </w:rPr>
            </w:pPr>
            <w:r w:rsidRPr="001C4484">
              <w:rPr>
                <w:noProof/>
                <w:sz w:val="10"/>
                <w:szCs w:val="10"/>
              </w:rPr>
              <w:t>2 902,00</w:t>
            </w:r>
          </w:p>
        </w:tc>
        <w:tc>
          <w:tcPr>
            <w:tcW w:w="0" w:type="auto"/>
          </w:tcPr>
          <w:p w14:paraId="6C6D2174"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31A94C3D"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46DE859E" w14:textId="77777777" w:rsidR="008C5CFA" w:rsidRPr="001C4484" w:rsidRDefault="00E82A60" w:rsidP="00300A01">
            <w:pPr>
              <w:spacing w:before="0" w:after="0"/>
              <w:jc w:val="right"/>
              <w:rPr>
                <w:sz w:val="10"/>
                <w:szCs w:val="10"/>
                <w:lang w:val="fr-BE"/>
              </w:rPr>
            </w:pPr>
            <w:r w:rsidRPr="001C4484">
              <w:rPr>
                <w:noProof/>
                <w:sz w:val="10"/>
                <w:szCs w:val="10"/>
              </w:rPr>
              <w:t>0,00</w:t>
            </w:r>
          </w:p>
        </w:tc>
      </w:tr>
      <w:tr w:rsidR="006B2EC1" w14:paraId="11EA1255" w14:textId="77777777" w:rsidTr="0047688D">
        <w:tc>
          <w:tcPr>
            <w:tcW w:w="0" w:type="auto"/>
            <w:shd w:val="clear" w:color="auto" w:fill="auto"/>
          </w:tcPr>
          <w:p w14:paraId="0D7CF49E" w14:textId="77777777" w:rsidR="008C5CFA" w:rsidRPr="001C4484" w:rsidRDefault="00E82A60" w:rsidP="00300A01">
            <w:pPr>
              <w:spacing w:before="0" w:after="0"/>
              <w:rPr>
                <w:sz w:val="10"/>
                <w:szCs w:val="10"/>
                <w:lang w:val="fr-BE"/>
              </w:rPr>
            </w:pPr>
            <w:r w:rsidRPr="001C4484">
              <w:rPr>
                <w:noProof/>
                <w:sz w:val="10"/>
                <w:szCs w:val="10"/>
                <w:lang w:val="fr-BE"/>
              </w:rPr>
              <w:t>CO20</w:t>
            </w:r>
          </w:p>
        </w:tc>
        <w:tc>
          <w:tcPr>
            <w:tcW w:w="0" w:type="auto"/>
            <w:shd w:val="clear" w:color="auto" w:fill="auto"/>
          </w:tcPr>
          <w:p w14:paraId="0DC10673" w14:textId="77777777" w:rsidR="008C5CFA" w:rsidRPr="001C4484" w:rsidRDefault="00E82A60" w:rsidP="00300A01">
            <w:pPr>
              <w:spacing w:before="0" w:after="0"/>
              <w:rPr>
                <w:sz w:val="10"/>
                <w:szCs w:val="10"/>
                <w:lang w:val="fr-BE"/>
              </w:rPr>
            </w:pPr>
            <w:r w:rsidRPr="001C4484">
              <w:rPr>
                <w:noProof/>
                <w:sz w:val="10"/>
                <w:szCs w:val="10"/>
                <w:lang w:val="fr-BE"/>
              </w:rPr>
              <w:t>liczba projektów zrealizowanych w pełni lub częściowo przez partnerów społecznych lub organizacje pozarządowe</w:t>
            </w:r>
          </w:p>
        </w:tc>
        <w:tc>
          <w:tcPr>
            <w:tcW w:w="0" w:type="auto"/>
            <w:shd w:val="clear" w:color="auto" w:fill="auto"/>
          </w:tcPr>
          <w:p w14:paraId="41213455"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31E17074"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30A3E83C" w14:textId="77777777" w:rsidR="008C5CFA" w:rsidRPr="001C4484" w:rsidRDefault="008C5CFA" w:rsidP="00300A01">
            <w:pPr>
              <w:spacing w:before="0" w:after="0"/>
              <w:jc w:val="right"/>
              <w:rPr>
                <w:sz w:val="10"/>
                <w:szCs w:val="10"/>
              </w:rPr>
            </w:pPr>
          </w:p>
        </w:tc>
        <w:tc>
          <w:tcPr>
            <w:tcW w:w="0" w:type="auto"/>
            <w:shd w:val="clear" w:color="auto" w:fill="auto"/>
          </w:tcPr>
          <w:p w14:paraId="1B111453" w14:textId="77777777" w:rsidR="008C5CFA" w:rsidRPr="001C4484" w:rsidRDefault="008C5CFA" w:rsidP="00300A01">
            <w:pPr>
              <w:spacing w:before="0" w:after="0"/>
              <w:jc w:val="right"/>
              <w:rPr>
                <w:sz w:val="10"/>
                <w:szCs w:val="10"/>
                <w:lang w:val="fr-BE"/>
              </w:rPr>
            </w:pPr>
          </w:p>
        </w:tc>
        <w:tc>
          <w:tcPr>
            <w:tcW w:w="0" w:type="auto"/>
          </w:tcPr>
          <w:p w14:paraId="79457569" w14:textId="77777777" w:rsidR="008C5CFA" w:rsidRPr="001C4484" w:rsidRDefault="00E82A60" w:rsidP="00300A01">
            <w:pPr>
              <w:spacing w:before="0" w:after="0"/>
              <w:jc w:val="right"/>
              <w:rPr>
                <w:sz w:val="10"/>
                <w:szCs w:val="10"/>
              </w:rPr>
            </w:pPr>
            <w:r>
              <w:rPr>
                <w:noProof/>
                <w:sz w:val="10"/>
                <w:szCs w:val="10"/>
              </w:rPr>
              <w:t>1,00</w:t>
            </w:r>
          </w:p>
        </w:tc>
        <w:tc>
          <w:tcPr>
            <w:tcW w:w="0" w:type="auto"/>
            <w:shd w:val="clear" w:color="auto" w:fill="auto"/>
          </w:tcPr>
          <w:p w14:paraId="78B6455C" w14:textId="77777777" w:rsidR="008C5CFA" w:rsidRPr="001C4484" w:rsidRDefault="008C5CFA" w:rsidP="00300A01">
            <w:pPr>
              <w:spacing w:before="0" w:after="0"/>
              <w:jc w:val="right"/>
              <w:rPr>
                <w:sz w:val="10"/>
                <w:szCs w:val="10"/>
              </w:rPr>
            </w:pPr>
          </w:p>
        </w:tc>
        <w:tc>
          <w:tcPr>
            <w:tcW w:w="0" w:type="auto"/>
            <w:shd w:val="clear" w:color="auto" w:fill="auto"/>
          </w:tcPr>
          <w:p w14:paraId="038FE352" w14:textId="77777777" w:rsidR="008C5CFA" w:rsidRPr="001C4484" w:rsidRDefault="008C5CFA" w:rsidP="00300A01">
            <w:pPr>
              <w:spacing w:before="0" w:after="0"/>
              <w:jc w:val="right"/>
              <w:rPr>
                <w:sz w:val="10"/>
                <w:szCs w:val="10"/>
                <w:lang w:val="fr-BE"/>
              </w:rPr>
            </w:pPr>
          </w:p>
        </w:tc>
        <w:tc>
          <w:tcPr>
            <w:tcW w:w="0" w:type="auto"/>
          </w:tcPr>
          <w:p w14:paraId="42106EDF"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0B7A2FB1" w14:textId="77777777" w:rsidR="008C5CFA" w:rsidRPr="001C4484" w:rsidRDefault="008C5CFA" w:rsidP="00300A01">
            <w:pPr>
              <w:spacing w:before="0" w:after="0"/>
              <w:jc w:val="right"/>
              <w:rPr>
                <w:sz w:val="10"/>
                <w:szCs w:val="10"/>
              </w:rPr>
            </w:pPr>
          </w:p>
        </w:tc>
        <w:tc>
          <w:tcPr>
            <w:tcW w:w="0" w:type="auto"/>
            <w:shd w:val="clear" w:color="auto" w:fill="auto"/>
          </w:tcPr>
          <w:p w14:paraId="69844222" w14:textId="77777777" w:rsidR="008C5CFA" w:rsidRPr="001C4484" w:rsidRDefault="008C5CFA" w:rsidP="00300A01">
            <w:pPr>
              <w:spacing w:before="0" w:after="0"/>
              <w:jc w:val="right"/>
              <w:rPr>
                <w:sz w:val="10"/>
                <w:szCs w:val="10"/>
                <w:lang w:val="fr-BE"/>
              </w:rPr>
            </w:pPr>
          </w:p>
        </w:tc>
      </w:tr>
      <w:tr w:rsidR="006B2EC1" w14:paraId="0D8D5E9D" w14:textId="77777777" w:rsidTr="0047688D">
        <w:tc>
          <w:tcPr>
            <w:tcW w:w="0" w:type="auto"/>
            <w:shd w:val="clear" w:color="auto" w:fill="auto"/>
          </w:tcPr>
          <w:p w14:paraId="5BCE03A5" w14:textId="77777777" w:rsidR="008C5CFA" w:rsidRPr="001C4484" w:rsidRDefault="00E82A60" w:rsidP="00300A01">
            <w:pPr>
              <w:spacing w:before="0" w:after="0"/>
              <w:rPr>
                <w:sz w:val="10"/>
                <w:szCs w:val="10"/>
                <w:lang w:val="fr-BE"/>
              </w:rPr>
            </w:pPr>
            <w:r w:rsidRPr="001C4484">
              <w:rPr>
                <w:noProof/>
                <w:sz w:val="10"/>
                <w:szCs w:val="10"/>
                <w:lang w:val="fr-BE"/>
              </w:rPr>
              <w:t>CO21</w:t>
            </w:r>
          </w:p>
        </w:tc>
        <w:tc>
          <w:tcPr>
            <w:tcW w:w="0" w:type="auto"/>
            <w:shd w:val="clear" w:color="auto" w:fill="auto"/>
          </w:tcPr>
          <w:p w14:paraId="096EB6B3" w14:textId="77777777" w:rsidR="008C5CFA" w:rsidRPr="001C4484" w:rsidRDefault="00E82A60" w:rsidP="00300A01">
            <w:pPr>
              <w:spacing w:before="0" w:after="0"/>
              <w:rPr>
                <w:sz w:val="10"/>
                <w:szCs w:val="10"/>
                <w:lang w:val="fr-BE"/>
              </w:rPr>
            </w:pPr>
            <w:r w:rsidRPr="001C4484">
              <w:rPr>
                <w:noProof/>
                <w:sz w:val="10"/>
                <w:szCs w:val="10"/>
                <w:lang w:val="fr-BE"/>
              </w:rPr>
              <w:t>liczba projektów ukierunkowanych na trwały udział kobiet w zatrudnieniu i rozwój ich kariery zawodowej</w:t>
            </w:r>
          </w:p>
        </w:tc>
        <w:tc>
          <w:tcPr>
            <w:tcW w:w="0" w:type="auto"/>
            <w:shd w:val="clear" w:color="auto" w:fill="auto"/>
          </w:tcPr>
          <w:p w14:paraId="776397C3"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42C21085"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2A00A1BF" w14:textId="77777777" w:rsidR="008C5CFA" w:rsidRPr="001C4484" w:rsidRDefault="008C5CFA" w:rsidP="00300A01">
            <w:pPr>
              <w:spacing w:before="0" w:after="0"/>
              <w:jc w:val="right"/>
              <w:rPr>
                <w:sz w:val="10"/>
                <w:szCs w:val="10"/>
              </w:rPr>
            </w:pPr>
          </w:p>
        </w:tc>
        <w:tc>
          <w:tcPr>
            <w:tcW w:w="0" w:type="auto"/>
            <w:shd w:val="clear" w:color="auto" w:fill="auto"/>
          </w:tcPr>
          <w:p w14:paraId="7549F7A5" w14:textId="77777777" w:rsidR="008C5CFA" w:rsidRPr="001C4484" w:rsidRDefault="008C5CFA" w:rsidP="00300A01">
            <w:pPr>
              <w:spacing w:before="0" w:after="0"/>
              <w:jc w:val="right"/>
              <w:rPr>
                <w:sz w:val="10"/>
                <w:szCs w:val="10"/>
                <w:lang w:val="fr-BE"/>
              </w:rPr>
            </w:pPr>
          </w:p>
        </w:tc>
        <w:tc>
          <w:tcPr>
            <w:tcW w:w="0" w:type="auto"/>
          </w:tcPr>
          <w:p w14:paraId="31AE7E49"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0E2F8E6A" w14:textId="77777777" w:rsidR="008C5CFA" w:rsidRPr="001C4484" w:rsidRDefault="008C5CFA" w:rsidP="00300A01">
            <w:pPr>
              <w:spacing w:before="0" w:after="0"/>
              <w:jc w:val="right"/>
              <w:rPr>
                <w:sz w:val="10"/>
                <w:szCs w:val="10"/>
              </w:rPr>
            </w:pPr>
          </w:p>
        </w:tc>
        <w:tc>
          <w:tcPr>
            <w:tcW w:w="0" w:type="auto"/>
            <w:shd w:val="clear" w:color="auto" w:fill="auto"/>
          </w:tcPr>
          <w:p w14:paraId="51772E75" w14:textId="77777777" w:rsidR="008C5CFA" w:rsidRPr="001C4484" w:rsidRDefault="008C5CFA" w:rsidP="00300A01">
            <w:pPr>
              <w:spacing w:before="0" w:after="0"/>
              <w:jc w:val="right"/>
              <w:rPr>
                <w:sz w:val="10"/>
                <w:szCs w:val="10"/>
                <w:lang w:val="fr-BE"/>
              </w:rPr>
            </w:pPr>
          </w:p>
        </w:tc>
        <w:tc>
          <w:tcPr>
            <w:tcW w:w="0" w:type="auto"/>
          </w:tcPr>
          <w:p w14:paraId="643E0FF3"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3BF6C820" w14:textId="77777777" w:rsidR="008C5CFA" w:rsidRPr="001C4484" w:rsidRDefault="008C5CFA" w:rsidP="00300A01">
            <w:pPr>
              <w:spacing w:before="0" w:after="0"/>
              <w:jc w:val="right"/>
              <w:rPr>
                <w:sz w:val="10"/>
                <w:szCs w:val="10"/>
              </w:rPr>
            </w:pPr>
          </w:p>
        </w:tc>
        <w:tc>
          <w:tcPr>
            <w:tcW w:w="0" w:type="auto"/>
            <w:shd w:val="clear" w:color="auto" w:fill="auto"/>
          </w:tcPr>
          <w:p w14:paraId="05684E38" w14:textId="77777777" w:rsidR="008C5CFA" w:rsidRPr="001C4484" w:rsidRDefault="008C5CFA" w:rsidP="00300A01">
            <w:pPr>
              <w:spacing w:before="0" w:after="0"/>
              <w:jc w:val="right"/>
              <w:rPr>
                <w:sz w:val="10"/>
                <w:szCs w:val="10"/>
                <w:lang w:val="fr-BE"/>
              </w:rPr>
            </w:pPr>
          </w:p>
        </w:tc>
      </w:tr>
      <w:tr w:rsidR="006B2EC1" w14:paraId="40DA63C1" w14:textId="77777777" w:rsidTr="0047688D">
        <w:tc>
          <w:tcPr>
            <w:tcW w:w="0" w:type="auto"/>
            <w:shd w:val="clear" w:color="auto" w:fill="auto"/>
          </w:tcPr>
          <w:p w14:paraId="03735D38" w14:textId="77777777" w:rsidR="008C5CFA" w:rsidRPr="001C4484" w:rsidRDefault="00E82A60" w:rsidP="00300A01">
            <w:pPr>
              <w:spacing w:before="0" w:after="0"/>
              <w:rPr>
                <w:sz w:val="10"/>
                <w:szCs w:val="10"/>
                <w:lang w:val="fr-BE"/>
              </w:rPr>
            </w:pPr>
            <w:r w:rsidRPr="001C4484">
              <w:rPr>
                <w:noProof/>
                <w:sz w:val="10"/>
                <w:szCs w:val="10"/>
                <w:lang w:val="fr-BE"/>
              </w:rPr>
              <w:t>CO22</w:t>
            </w:r>
          </w:p>
        </w:tc>
        <w:tc>
          <w:tcPr>
            <w:tcW w:w="0" w:type="auto"/>
            <w:shd w:val="clear" w:color="auto" w:fill="auto"/>
          </w:tcPr>
          <w:p w14:paraId="7BCBD8F3" w14:textId="77777777" w:rsidR="008C5CFA" w:rsidRPr="001C4484" w:rsidRDefault="00E82A60" w:rsidP="00300A01">
            <w:pPr>
              <w:spacing w:before="0" w:after="0"/>
              <w:rPr>
                <w:sz w:val="10"/>
                <w:szCs w:val="10"/>
                <w:lang w:val="fr-BE"/>
              </w:rPr>
            </w:pPr>
            <w:r w:rsidRPr="001C4484">
              <w:rPr>
                <w:noProof/>
                <w:sz w:val="10"/>
                <w:szCs w:val="10"/>
                <w:lang w:val="fr-BE"/>
              </w:rPr>
              <w:t>liczba projektów obejmujących administrację publiczną lub służby publiczne na szczeblu krajowym, regionalnym lub lokalnym</w:t>
            </w:r>
          </w:p>
        </w:tc>
        <w:tc>
          <w:tcPr>
            <w:tcW w:w="0" w:type="auto"/>
            <w:shd w:val="clear" w:color="auto" w:fill="auto"/>
          </w:tcPr>
          <w:p w14:paraId="564ED78A"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29AFAD50" w14:textId="77777777" w:rsidR="008C5CFA" w:rsidRPr="001C4484" w:rsidRDefault="00E82A60" w:rsidP="00300A01">
            <w:pPr>
              <w:spacing w:before="0" w:after="0"/>
              <w:jc w:val="right"/>
              <w:rPr>
                <w:sz w:val="10"/>
                <w:szCs w:val="10"/>
              </w:rPr>
            </w:pPr>
            <w:r>
              <w:rPr>
                <w:noProof/>
                <w:sz w:val="10"/>
                <w:szCs w:val="10"/>
              </w:rPr>
              <w:t>1,00</w:t>
            </w:r>
          </w:p>
        </w:tc>
        <w:tc>
          <w:tcPr>
            <w:tcW w:w="0" w:type="auto"/>
            <w:shd w:val="clear" w:color="auto" w:fill="auto"/>
          </w:tcPr>
          <w:p w14:paraId="5398AA48" w14:textId="77777777" w:rsidR="008C5CFA" w:rsidRPr="001C4484" w:rsidRDefault="008C5CFA" w:rsidP="00300A01">
            <w:pPr>
              <w:spacing w:before="0" w:after="0"/>
              <w:jc w:val="right"/>
              <w:rPr>
                <w:sz w:val="10"/>
                <w:szCs w:val="10"/>
              </w:rPr>
            </w:pPr>
          </w:p>
        </w:tc>
        <w:tc>
          <w:tcPr>
            <w:tcW w:w="0" w:type="auto"/>
            <w:shd w:val="clear" w:color="auto" w:fill="auto"/>
          </w:tcPr>
          <w:p w14:paraId="22C96C4B" w14:textId="77777777" w:rsidR="008C5CFA" w:rsidRPr="001C4484" w:rsidRDefault="008C5CFA" w:rsidP="00300A01">
            <w:pPr>
              <w:spacing w:before="0" w:after="0"/>
              <w:jc w:val="right"/>
              <w:rPr>
                <w:sz w:val="10"/>
                <w:szCs w:val="10"/>
                <w:lang w:val="fr-BE"/>
              </w:rPr>
            </w:pPr>
          </w:p>
        </w:tc>
        <w:tc>
          <w:tcPr>
            <w:tcW w:w="0" w:type="auto"/>
          </w:tcPr>
          <w:p w14:paraId="244C2E72" w14:textId="77777777" w:rsidR="008C5CFA" w:rsidRPr="001C4484" w:rsidRDefault="00E82A60" w:rsidP="00300A01">
            <w:pPr>
              <w:spacing w:before="0" w:after="0"/>
              <w:jc w:val="right"/>
              <w:rPr>
                <w:sz w:val="10"/>
                <w:szCs w:val="10"/>
              </w:rPr>
            </w:pPr>
            <w:r>
              <w:rPr>
                <w:noProof/>
                <w:sz w:val="10"/>
                <w:szCs w:val="10"/>
              </w:rPr>
              <w:t>9,00</w:t>
            </w:r>
          </w:p>
        </w:tc>
        <w:tc>
          <w:tcPr>
            <w:tcW w:w="0" w:type="auto"/>
            <w:shd w:val="clear" w:color="auto" w:fill="auto"/>
          </w:tcPr>
          <w:p w14:paraId="199EA3E8" w14:textId="77777777" w:rsidR="008C5CFA" w:rsidRPr="001C4484" w:rsidRDefault="008C5CFA" w:rsidP="00300A01">
            <w:pPr>
              <w:spacing w:before="0" w:after="0"/>
              <w:jc w:val="right"/>
              <w:rPr>
                <w:sz w:val="10"/>
                <w:szCs w:val="10"/>
              </w:rPr>
            </w:pPr>
          </w:p>
        </w:tc>
        <w:tc>
          <w:tcPr>
            <w:tcW w:w="0" w:type="auto"/>
            <w:shd w:val="clear" w:color="auto" w:fill="auto"/>
          </w:tcPr>
          <w:p w14:paraId="7602C29C" w14:textId="77777777" w:rsidR="008C5CFA" w:rsidRPr="001C4484" w:rsidRDefault="008C5CFA" w:rsidP="00300A01">
            <w:pPr>
              <w:spacing w:before="0" w:after="0"/>
              <w:jc w:val="right"/>
              <w:rPr>
                <w:sz w:val="10"/>
                <w:szCs w:val="10"/>
                <w:lang w:val="fr-BE"/>
              </w:rPr>
            </w:pPr>
          </w:p>
        </w:tc>
        <w:tc>
          <w:tcPr>
            <w:tcW w:w="0" w:type="auto"/>
          </w:tcPr>
          <w:p w14:paraId="62F0D7E0"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4C969A4B" w14:textId="77777777" w:rsidR="008C5CFA" w:rsidRPr="001C4484" w:rsidRDefault="008C5CFA" w:rsidP="00300A01">
            <w:pPr>
              <w:spacing w:before="0" w:after="0"/>
              <w:jc w:val="right"/>
              <w:rPr>
                <w:sz w:val="10"/>
                <w:szCs w:val="10"/>
              </w:rPr>
            </w:pPr>
          </w:p>
        </w:tc>
        <w:tc>
          <w:tcPr>
            <w:tcW w:w="0" w:type="auto"/>
            <w:shd w:val="clear" w:color="auto" w:fill="auto"/>
          </w:tcPr>
          <w:p w14:paraId="48AA1AFE" w14:textId="77777777" w:rsidR="008C5CFA" w:rsidRPr="001C4484" w:rsidRDefault="008C5CFA" w:rsidP="00300A01">
            <w:pPr>
              <w:spacing w:before="0" w:after="0"/>
              <w:jc w:val="right"/>
              <w:rPr>
                <w:sz w:val="10"/>
                <w:szCs w:val="10"/>
                <w:lang w:val="fr-BE"/>
              </w:rPr>
            </w:pPr>
          </w:p>
        </w:tc>
      </w:tr>
      <w:tr w:rsidR="006B2EC1" w14:paraId="09BDB215" w14:textId="77777777" w:rsidTr="0047688D">
        <w:tc>
          <w:tcPr>
            <w:tcW w:w="0" w:type="auto"/>
            <w:shd w:val="clear" w:color="auto" w:fill="auto"/>
          </w:tcPr>
          <w:p w14:paraId="1531C905" w14:textId="77777777" w:rsidR="008C5CFA" w:rsidRPr="001C4484" w:rsidRDefault="00E82A60" w:rsidP="00300A01">
            <w:pPr>
              <w:spacing w:before="0" w:after="0"/>
              <w:rPr>
                <w:sz w:val="10"/>
                <w:szCs w:val="10"/>
                <w:lang w:val="fr-BE"/>
              </w:rPr>
            </w:pPr>
            <w:r w:rsidRPr="001C4484">
              <w:rPr>
                <w:noProof/>
                <w:sz w:val="10"/>
                <w:szCs w:val="10"/>
                <w:lang w:val="fr-BE"/>
              </w:rPr>
              <w:t>CO23</w:t>
            </w:r>
          </w:p>
        </w:tc>
        <w:tc>
          <w:tcPr>
            <w:tcW w:w="0" w:type="auto"/>
            <w:shd w:val="clear" w:color="auto" w:fill="auto"/>
          </w:tcPr>
          <w:p w14:paraId="31F9797E" w14:textId="77777777" w:rsidR="008C5CFA" w:rsidRPr="001C4484" w:rsidRDefault="00E82A60" w:rsidP="00300A01">
            <w:pPr>
              <w:spacing w:before="0" w:after="0"/>
              <w:rPr>
                <w:sz w:val="10"/>
                <w:szCs w:val="10"/>
                <w:lang w:val="fr-BE"/>
              </w:rPr>
            </w:pPr>
            <w:r w:rsidRPr="001C4484">
              <w:rPr>
                <w:noProof/>
                <w:sz w:val="10"/>
                <w:szCs w:val="10"/>
                <w:lang w:val="fr-BE"/>
              </w:rPr>
              <w:t>liczba objętych wsparciem mikro-, małych i średnich przedsiębiorstw (w tym przedsiębiorstw spółdzielczych i przedsiębiorstw gospodarki społecznej)</w:t>
            </w:r>
          </w:p>
        </w:tc>
        <w:tc>
          <w:tcPr>
            <w:tcW w:w="0" w:type="auto"/>
            <w:shd w:val="clear" w:color="auto" w:fill="auto"/>
          </w:tcPr>
          <w:p w14:paraId="4AB6A4D9"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5BDEFD03" w14:textId="77777777" w:rsidR="008C5CFA" w:rsidRPr="001C4484" w:rsidRDefault="00E82A60" w:rsidP="00300A01">
            <w:pPr>
              <w:spacing w:before="0" w:after="0"/>
              <w:jc w:val="right"/>
              <w:rPr>
                <w:sz w:val="10"/>
                <w:szCs w:val="10"/>
              </w:rPr>
            </w:pPr>
            <w:r>
              <w:rPr>
                <w:noProof/>
                <w:sz w:val="10"/>
                <w:szCs w:val="10"/>
              </w:rPr>
              <w:t>3,00</w:t>
            </w:r>
          </w:p>
        </w:tc>
        <w:tc>
          <w:tcPr>
            <w:tcW w:w="0" w:type="auto"/>
            <w:shd w:val="clear" w:color="auto" w:fill="auto"/>
          </w:tcPr>
          <w:p w14:paraId="149D3050" w14:textId="77777777" w:rsidR="008C5CFA" w:rsidRPr="001C4484" w:rsidRDefault="008C5CFA" w:rsidP="00300A01">
            <w:pPr>
              <w:spacing w:before="0" w:after="0"/>
              <w:jc w:val="right"/>
              <w:rPr>
                <w:sz w:val="10"/>
                <w:szCs w:val="10"/>
              </w:rPr>
            </w:pPr>
          </w:p>
        </w:tc>
        <w:tc>
          <w:tcPr>
            <w:tcW w:w="0" w:type="auto"/>
            <w:shd w:val="clear" w:color="auto" w:fill="auto"/>
          </w:tcPr>
          <w:p w14:paraId="6D5326D4" w14:textId="77777777" w:rsidR="008C5CFA" w:rsidRPr="001C4484" w:rsidRDefault="008C5CFA" w:rsidP="00300A01">
            <w:pPr>
              <w:spacing w:before="0" w:after="0"/>
              <w:jc w:val="right"/>
              <w:rPr>
                <w:sz w:val="10"/>
                <w:szCs w:val="10"/>
                <w:lang w:val="fr-BE"/>
              </w:rPr>
            </w:pPr>
          </w:p>
        </w:tc>
        <w:tc>
          <w:tcPr>
            <w:tcW w:w="0" w:type="auto"/>
          </w:tcPr>
          <w:p w14:paraId="2A0594F1"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332FBA31" w14:textId="77777777" w:rsidR="008C5CFA" w:rsidRPr="001C4484" w:rsidRDefault="008C5CFA" w:rsidP="00300A01">
            <w:pPr>
              <w:spacing w:before="0" w:after="0"/>
              <w:jc w:val="right"/>
              <w:rPr>
                <w:sz w:val="10"/>
                <w:szCs w:val="10"/>
              </w:rPr>
            </w:pPr>
          </w:p>
        </w:tc>
        <w:tc>
          <w:tcPr>
            <w:tcW w:w="0" w:type="auto"/>
            <w:shd w:val="clear" w:color="auto" w:fill="auto"/>
          </w:tcPr>
          <w:p w14:paraId="4906BF12" w14:textId="77777777" w:rsidR="008C5CFA" w:rsidRPr="001C4484" w:rsidRDefault="008C5CFA" w:rsidP="00300A01">
            <w:pPr>
              <w:spacing w:before="0" w:after="0"/>
              <w:jc w:val="right"/>
              <w:rPr>
                <w:sz w:val="10"/>
                <w:szCs w:val="10"/>
                <w:lang w:val="fr-BE"/>
              </w:rPr>
            </w:pPr>
          </w:p>
        </w:tc>
        <w:tc>
          <w:tcPr>
            <w:tcW w:w="0" w:type="auto"/>
          </w:tcPr>
          <w:p w14:paraId="22DCE424"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0F290150" w14:textId="77777777" w:rsidR="008C5CFA" w:rsidRPr="001C4484" w:rsidRDefault="008C5CFA" w:rsidP="00300A01">
            <w:pPr>
              <w:spacing w:before="0" w:after="0"/>
              <w:jc w:val="right"/>
              <w:rPr>
                <w:sz w:val="10"/>
                <w:szCs w:val="10"/>
              </w:rPr>
            </w:pPr>
          </w:p>
        </w:tc>
        <w:tc>
          <w:tcPr>
            <w:tcW w:w="0" w:type="auto"/>
            <w:shd w:val="clear" w:color="auto" w:fill="auto"/>
          </w:tcPr>
          <w:p w14:paraId="33241170" w14:textId="77777777" w:rsidR="008C5CFA" w:rsidRPr="001C4484" w:rsidRDefault="008C5CFA" w:rsidP="00300A01">
            <w:pPr>
              <w:spacing w:before="0" w:after="0"/>
              <w:jc w:val="right"/>
              <w:rPr>
                <w:sz w:val="10"/>
                <w:szCs w:val="10"/>
                <w:lang w:val="fr-BE"/>
              </w:rPr>
            </w:pPr>
          </w:p>
        </w:tc>
      </w:tr>
      <w:tr w:rsidR="006B2EC1" w14:paraId="7C2771A6" w14:textId="77777777" w:rsidTr="0047688D">
        <w:tc>
          <w:tcPr>
            <w:tcW w:w="0" w:type="auto"/>
            <w:shd w:val="clear" w:color="auto" w:fill="auto"/>
          </w:tcPr>
          <w:p w14:paraId="4D65928A" w14:textId="77777777" w:rsidR="008C5CFA" w:rsidRPr="001C4484" w:rsidRDefault="008C5CFA" w:rsidP="00300A01">
            <w:pPr>
              <w:spacing w:before="0" w:after="0"/>
              <w:rPr>
                <w:sz w:val="10"/>
                <w:szCs w:val="10"/>
                <w:lang w:val="fr-BE"/>
              </w:rPr>
            </w:pPr>
          </w:p>
        </w:tc>
        <w:tc>
          <w:tcPr>
            <w:tcW w:w="0" w:type="auto"/>
            <w:shd w:val="clear" w:color="auto" w:fill="auto"/>
          </w:tcPr>
          <w:p w14:paraId="4CB399D7" w14:textId="77777777" w:rsidR="008C5CFA" w:rsidRPr="001C4484" w:rsidRDefault="00E82A60" w:rsidP="00300A01">
            <w:pPr>
              <w:spacing w:before="0" w:after="0"/>
              <w:rPr>
                <w:sz w:val="10"/>
                <w:szCs w:val="10"/>
                <w:lang w:val="fr-BE"/>
              </w:rPr>
            </w:pPr>
            <w:r w:rsidRPr="001C4484">
              <w:rPr>
                <w:noProof/>
                <w:sz w:val="10"/>
                <w:szCs w:val="10"/>
                <w:lang w:val="fr-BE"/>
              </w:rPr>
              <w:t>Całkowita łączna liczba uczestników</w:t>
            </w:r>
          </w:p>
        </w:tc>
        <w:tc>
          <w:tcPr>
            <w:tcW w:w="0" w:type="auto"/>
            <w:shd w:val="clear" w:color="auto" w:fill="auto"/>
          </w:tcPr>
          <w:p w14:paraId="2121A18D" w14:textId="77777777" w:rsidR="008C5CFA" w:rsidRPr="001C4484" w:rsidRDefault="008C5CFA" w:rsidP="00300A01">
            <w:pPr>
              <w:spacing w:before="0" w:after="0"/>
              <w:rPr>
                <w:sz w:val="10"/>
                <w:szCs w:val="10"/>
                <w:lang w:val="fr-BE"/>
              </w:rPr>
            </w:pPr>
          </w:p>
        </w:tc>
        <w:tc>
          <w:tcPr>
            <w:tcW w:w="0" w:type="auto"/>
          </w:tcPr>
          <w:p w14:paraId="223F6CE6" w14:textId="77777777" w:rsidR="008C5CFA" w:rsidRPr="001C4484" w:rsidRDefault="00E82A60" w:rsidP="00300A01">
            <w:pPr>
              <w:spacing w:before="0" w:after="0"/>
              <w:jc w:val="right"/>
              <w:rPr>
                <w:sz w:val="10"/>
                <w:szCs w:val="10"/>
              </w:rPr>
            </w:pPr>
            <w:r>
              <w:rPr>
                <w:noProof/>
                <w:sz w:val="10"/>
                <w:szCs w:val="10"/>
              </w:rPr>
              <w:t>29 309,00</w:t>
            </w:r>
          </w:p>
        </w:tc>
        <w:tc>
          <w:tcPr>
            <w:tcW w:w="0" w:type="auto"/>
            <w:shd w:val="clear" w:color="auto" w:fill="auto"/>
          </w:tcPr>
          <w:p w14:paraId="764182C0" w14:textId="77777777" w:rsidR="008C5CFA" w:rsidRPr="001C4484" w:rsidRDefault="008C5CFA" w:rsidP="00300A01">
            <w:pPr>
              <w:spacing w:before="0" w:after="0"/>
              <w:jc w:val="right"/>
              <w:rPr>
                <w:sz w:val="10"/>
                <w:szCs w:val="10"/>
              </w:rPr>
            </w:pPr>
          </w:p>
        </w:tc>
        <w:tc>
          <w:tcPr>
            <w:tcW w:w="0" w:type="auto"/>
            <w:shd w:val="clear" w:color="auto" w:fill="auto"/>
          </w:tcPr>
          <w:p w14:paraId="4A41FFBA" w14:textId="77777777" w:rsidR="008C5CFA" w:rsidRPr="001C4484" w:rsidRDefault="008C5CFA" w:rsidP="00300A01">
            <w:pPr>
              <w:spacing w:before="0" w:after="0"/>
              <w:jc w:val="right"/>
              <w:rPr>
                <w:sz w:val="10"/>
                <w:szCs w:val="10"/>
                <w:lang w:val="fr-BE"/>
              </w:rPr>
            </w:pPr>
          </w:p>
        </w:tc>
        <w:tc>
          <w:tcPr>
            <w:tcW w:w="0" w:type="auto"/>
          </w:tcPr>
          <w:p w14:paraId="60FC65B3" w14:textId="77777777" w:rsidR="008C5CFA" w:rsidRPr="001C4484" w:rsidRDefault="00E82A60" w:rsidP="00300A01">
            <w:pPr>
              <w:spacing w:before="0" w:after="0"/>
              <w:jc w:val="right"/>
              <w:rPr>
                <w:sz w:val="10"/>
                <w:szCs w:val="10"/>
              </w:rPr>
            </w:pPr>
            <w:r>
              <w:rPr>
                <w:noProof/>
                <w:sz w:val="10"/>
                <w:szCs w:val="10"/>
              </w:rPr>
              <w:t>7 796,00</w:t>
            </w:r>
          </w:p>
        </w:tc>
        <w:tc>
          <w:tcPr>
            <w:tcW w:w="0" w:type="auto"/>
            <w:shd w:val="clear" w:color="auto" w:fill="auto"/>
          </w:tcPr>
          <w:p w14:paraId="4DD669C8" w14:textId="77777777" w:rsidR="008C5CFA" w:rsidRPr="001C4484" w:rsidRDefault="008C5CFA" w:rsidP="00300A01">
            <w:pPr>
              <w:spacing w:before="0" w:after="0"/>
              <w:jc w:val="right"/>
              <w:rPr>
                <w:sz w:val="10"/>
                <w:szCs w:val="10"/>
              </w:rPr>
            </w:pPr>
          </w:p>
        </w:tc>
        <w:tc>
          <w:tcPr>
            <w:tcW w:w="0" w:type="auto"/>
            <w:shd w:val="clear" w:color="auto" w:fill="auto"/>
          </w:tcPr>
          <w:p w14:paraId="35A4EAC2" w14:textId="77777777" w:rsidR="008C5CFA" w:rsidRPr="001C4484" w:rsidRDefault="008C5CFA" w:rsidP="00300A01">
            <w:pPr>
              <w:spacing w:before="0" w:after="0"/>
              <w:jc w:val="right"/>
              <w:rPr>
                <w:sz w:val="10"/>
                <w:szCs w:val="10"/>
                <w:lang w:val="fr-BE"/>
              </w:rPr>
            </w:pPr>
          </w:p>
        </w:tc>
        <w:tc>
          <w:tcPr>
            <w:tcW w:w="0" w:type="auto"/>
          </w:tcPr>
          <w:p w14:paraId="12CEEACC"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2712512E" w14:textId="77777777" w:rsidR="008C5CFA" w:rsidRPr="001C4484" w:rsidRDefault="008C5CFA" w:rsidP="00300A01">
            <w:pPr>
              <w:spacing w:before="0" w:after="0"/>
              <w:jc w:val="right"/>
              <w:rPr>
                <w:sz w:val="10"/>
                <w:szCs w:val="10"/>
              </w:rPr>
            </w:pPr>
          </w:p>
        </w:tc>
        <w:tc>
          <w:tcPr>
            <w:tcW w:w="0" w:type="auto"/>
            <w:shd w:val="clear" w:color="auto" w:fill="auto"/>
          </w:tcPr>
          <w:p w14:paraId="04C1069D" w14:textId="77777777" w:rsidR="008C5CFA" w:rsidRPr="001C4484" w:rsidRDefault="008C5CFA" w:rsidP="00300A01">
            <w:pPr>
              <w:spacing w:before="0" w:after="0"/>
              <w:jc w:val="right"/>
              <w:rPr>
                <w:sz w:val="10"/>
                <w:szCs w:val="10"/>
                <w:lang w:val="fr-BE"/>
              </w:rPr>
            </w:pPr>
          </w:p>
        </w:tc>
      </w:tr>
    </w:tbl>
    <w:p w14:paraId="103FEB7D"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514"/>
        <w:gridCol w:w="8970"/>
        <w:gridCol w:w="1534"/>
        <w:gridCol w:w="638"/>
        <w:gridCol w:w="807"/>
        <w:gridCol w:w="638"/>
        <w:gridCol w:w="638"/>
        <w:gridCol w:w="807"/>
        <w:gridCol w:w="638"/>
      </w:tblGrid>
      <w:tr w:rsidR="006B2EC1" w14:paraId="3AFD362D" w14:textId="77777777" w:rsidTr="0047688D">
        <w:tc>
          <w:tcPr>
            <w:tcW w:w="0" w:type="auto"/>
            <w:shd w:val="clear" w:color="auto" w:fill="auto"/>
          </w:tcPr>
          <w:p w14:paraId="7F39C963" w14:textId="77777777" w:rsidR="008C5CFA" w:rsidRPr="001C4484" w:rsidRDefault="00E82A60" w:rsidP="00300A01">
            <w:pPr>
              <w:spacing w:before="0" w:after="0"/>
              <w:rPr>
                <w:sz w:val="10"/>
                <w:szCs w:val="10"/>
              </w:rPr>
            </w:pPr>
            <w:r w:rsidRPr="001C4484">
              <w:rPr>
                <w:b/>
                <w:noProof/>
                <w:sz w:val="12"/>
                <w:szCs w:val="12"/>
                <w:lang w:val="fr-BE"/>
              </w:rPr>
              <w:t>ID</w:t>
            </w:r>
          </w:p>
        </w:tc>
        <w:tc>
          <w:tcPr>
            <w:tcW w:w="0" w:type="auto"/>
            <w:shd w:val="clear" w:color="auto" w:fill="auto"/>
          </w:tcPr>
          <w:p w14:paraId="66EFD6E5" w14:textId="77777777" w:rsidR="008C5CFA" w:rsidRPr="001C4484" w:rsidRDefault="00E82A60" w:rsidP="00300A01">
            <w:pPr>
              <w:spacing w:before="0" w:after="0"/>
              <w:rPr>
                <w:sz w:val="10"/>
                <w:szCs w:val="10"/>
              </w:rPr>
            </w:pPr>
            <w:r w:rsidRPr="001C4484">
              <w:rPr>
                <w:b/>
                <w:noProof/>
                <w:sz w:val="12"/>
                <w:szCs w:val="12"/>
                <w:lang w:val="fr-BE"/>
              </w:rPr>
              <w:t>Wskaźnik</w:t>
            </w:r>
          </w:p>
        </w:tc>
        <w:tc>
          <w:tcPr>
            <w:tcW w:w="0" w:type="auto"/>
            <w:shd w:val="clear" w:color="auto" w:fill="auto"/>
          </w:tcPr>
          <w:p w14:paraId="1A13F9D1" w14:textId="77777777" w:rsidR="008C5CFA" w:rsidRPr="001C4484" w:rsidRDefault="00E82A60" w:rsidP="00300A01">
            <w:pPr>
              <w:spacing w:before="0" w:after="0"/>
              <w:rPr>
                <w:sz w:val="10"/>
                <w:szCs w:val="10"/>
              </w:rPr>
            </w:pPr>
            <w:r w:rsidRPr="001C4484">
              <w:rPr>
                <w:b/>
                <w:noProof/>
                <w:sz w:val="12"/>
                <w:szCs w:val="12"/>
                <w:lang w:val="fr-BE"/>
              </w:rPr>
              <w:t>Kategoria regionu</w:t>
            </w:r>
          </w:p>
        </w:tc>
        <w:tc>
          <w:tcPr>
            <w:tcW w:w="0" w:type="auto"/>
            <w:gridSpan w:val="3"/>
          </w:tcPr>
          <w:p w14:paraId="0B638C9D" w14:textId="77777777" w:rsidR="008C5CFA" w:rsidRPr="001C4484" w:rsidRDefault="00E82A60" w:rsidP="00300A01">
            <w:pPr>
              <w:spacing w:before="0" w:after="0"/>
              <w:jc w:val="center"/>
              <w:rPr>
                <w:sz w:val="10"/>
                <w:szCs w:val="10"/>
              </w:rPr>
            </w:pPr>
            <w:r w:rsidRPr="001C4484">
              <w:rPr>
                <w:sz w:val="10"/>
                <w:szCs w:val="10"/>
              </w:rPr>
              <w:t>2015</w:t>
            </w:r>
          </w:p>
        </w:tc>
        <w:tc>
          <w:tcPr>
            <w:tcW w:w="0" w:type="auto"/>
            <w:gridSpan w:val="3"/>
          </w:tcPr>
          <w:p w14:paraId="051613AB" w14:textId="77777777" w:rsidR="008C5CFA" w:rsidRPr="001C4484" w:rsidRDefault="00E82A60" w:rsidP="00300A01">
            <w:pPr>
              <w:spacing w:before="0" w:after="0"/>
              <w:jc w:val="center"/>
              <w:rPr>
                <w:sz w:val="10"/>
                <w:szCs w:val="10"/>
              </w:rPr>
            </w:pPr>
            <w:r w:rsidRPr="001C4484">
              <w:rPr>
                <w:sz w:val="10"/>
                <w:szCs w:val="10"/>
              </w:rPr>
              <w:t>2014</w:t>
            </w:r>
          </w:p>
        </w:tc>
      </w:tr>
      <w:tr w:rsidR="006B2EC1" w14:paraId="14BAABB6" w14:textId="77777777" w:rsidTr="0047688D">
        <w:tc>
          <w:tcPr>
            <w:tcW w:w="0" w:type="auto"/>
            <w:shd w:val="clear" w:color="auto" w:fill="auto"/>
          </w:tcPr>
          <w:p w14:paraId="1F1438E3" w14:textId="77777777" w:rsidR="008C5CFA" w:rsidRPr="001C4484" w:rsidRDefault="008C5CFA" w:rsidP="00300A01">
            <w:pPr>
              <w:spacing w:before="0" w:after="0"/>
              <w:rPr>
                <w:sz w:val="10"/>
                <w:szCs w:val="10"/>
              </w:rPr>
            </w:pPr>
          </w:p>
        </w:tc>
        <w:tc>
          <w:tcPr>
            <w:tcW w:w="0" w:type="auto"/>
            <w:shd w:val="clear" w:color="auto" w:fill="auto"/>
          </w:tcPr>
          <w:p w14:paraId="65D71C74" w14:textId="77777777" w:rsidR="008C5CFA" w:rsidRPr="001C4484" w:rsidRDefault="008C5CFA" w:rsidP="00300A01">
            <w:pPr>
              <w:spacing w:before="0" w:after="0"/>
              <w:rPr>
                <w:sz w:val="10"/>
                <w:szCs w:val="10"/>
              </w:rPr>
            </w:pPr>
          </w:p>
        </w:tc>
        <w:tc>
          <w:tcPr>
            <w:tcW w:w="0" w:type="auto"/>
            <w:shd w:val="clear" w:color="auto" w:fill="auto"/>
          </w:tcPr>
          <w:p w14:paraId="086B6CA1" w14:textId="77777777" w:rsidR="008C5CFA" w:rsidRPr="001C4484" w:rsidRDefault="008C5CFA" w:rsidP="00300A01">
            <w:pPr>
              <w:spacing w:before="0" w:after="0"/>
              <w:rPr>
                <w:sz w:val="10"/>
                <w:szCs w:val="10"/>
              </w:rPr>
            </w:pPr>
          </w:p>
        </w:tc>
        <w:tc>
          <w:tcPr>
            <w:tcW w:w="0" w:type="auto"/>
          </w:tcPr>
          <w:p w14:paraId="1C3311D7" w14:textId="77777777" w:rsidR="008C5CFA" w:rsidRPr="001C4484" w:rsidRDefault="00E82A60" w:rsidP="00300A01">
            <w:pPr>
              <w:spacing w:before="0" w:after="0"/>
              <w:jc w:val="center"/>
              <w:rPr>
                <w:sz w:val="10"/>
                <w:szCs w:val="10"/>
              </w:rPr>
            </w:pPr>
            <w:r>
              <w:rPr>
                <w:noProof/>
                <w:sz w:val="10"/>
                <w:szCs w:val="10"/>
              </w:rPr>
              <w:t>Ogółem</w:t>
            </w:r>
          </w:p>
        </w:tc>
        <w:tc>
          <w:tcPr>
            <w:tcW w:w="0" w:type="auto"/>
            <w:shd w:val="clear" w:color="auto" w:fill="auto"/>
          </w:tcPr>
          <w:p w14:paraId="6E40252B" w14:textId="77777777" w:rsidR="008C5CFA" w:rsidRPr="001C4484" w:rsidRDefault="00E82A60" w:rsidP="00300A01">
            <w:pPr>
              <w:spacing w:before="0" w:after="0"/>
              <w:jc w:val="center"/>
              <w:rPr>
                <w:sz w:val="10"/>
                <w:szCs w:val="10"/>
              </w:rPr>
            </w:pPr>
            <w:r w:rsidRPr="001C4484">
              <w:rPr>
                <w:noProof/>
                <w:sz w:val="10"/>
                <w:szCs w:val="10"/>
              </w:rPr>
              <w:t>Mężczyźni</w:t>
            </w:r>
          </w:p>
        </w:tc>
        <w:tc>
          <w:tcPr>
            <w:tcW w:w="0" w:type="auto"/>
            <w:shd w:val="clear" w:color="auto" w:fill="auto"/>
          </w:tcPr>
          <w:p w14:paraId="2DDEC813" w14:textId="77777777" w:rsidR="008C5CFA" w:rsidRPr="001C4484" w:rsidRDefault="00E82A60" w:rsidP="00300A01">
            <w:pPr>
              <w:spacing w:before="0" w:after="0"/>
              <w:jc w:val="center"/>
              <w:rPr>
                <w:sz w:val="10"/>
                <w:szCs w:val="10"/>
              </w:rPr>
            </w:pPr>
            <w:r w:rsidRPr="001C4484">
              <w:rPr>
                <w:noProof/>
                <w:sz w:val="10"/>
                <w:szCs w:val="10"/>
              </w:rPr>
              <w:t>Kobiety</w:t>
            </w:r>
          </w:p>
        </w:tc>
        <w:tc>
          <w:tcPr>
            <w:tcW w:w="0" w:type="auto"/>
          </w:tcPr>
          <w:p w14:paraId="56AE58A4" w14:textId="77777777" w:rsidR="008C5CFA" w:rsidRPr="001C4484" w:rsidRDefault="00E82A60" w:rsidP="00300A01">
            <w:pPr>
              <w:spacing w:before="0" w:after="0"/>
              <w:jc w:val="center"/>
              <w:rPr>
                <w:sz w:val="10"/>
                <w:szCs w:val="10"/>
              </w:rPr>
            </w:pPr>
            <w:r>
              <w:rPr>
                <w:noProof/>
                <w:sz w:val="10"/>
                <w:szCs w:val="10"/>
              </w:rPr>
              <w:t>Ogółem</w:t>
            </w:r>
          </w:p>
        </w:tc>
        <w:tc>
          <w:tcPr>
            <w:tcW w:w="0" w:type="auto"/>
            <w:shd w:val="clear" w:color="auto" w:fill="auto"/>
          </w:tcPr>
          <w:p w14:paraId="798B8050" w14:textId="77777777" w:rsidR="008C5CFA" w:rsidRPr="001C4484" w:rsidRDefault="00E82A60" w:rsidP="00300A01">
            <w:pPr>
              <w:spacing w:before="0" w:after="0"/>
              <w:jc w:val="center"/>
              <w:rPr>
                <w:sz w:val="10"/>
                <w:szCs w:val="10"/>
              </w:rPr>
            </w:pPr>
            <w:r w:rsidRPr="001C4484">
              <w:rPr>
                <w:noProof/>
                <w:sz w:val="10"/>
                <w:szCs w:val="10"/>
              </w:rPr>
              <w:t>Mężczyźni</w:t>
            </w:r>
          </w:p>
        </w:tc>
        <w:tc>
          <w:tcPr>
            <w:tcW w:w="0" w:type="auto"/>
            <w:shd w:val="clear" w:color="auto" w:fill="auto"/>
          </w:tcPr>
          <w:p w14:paraId="77C67D1D" w14:textId="77777777" w:rsidR="008C5CFA" w:rsidRPr="001C4484" w:rsidRDefault="00E82A60" w:rsidP="00300A01">
            <w:pPr>
              <w:spacing w:before="0" w:after="0"/>
              <w:jc w:val="center"/>
              <w:rPr>
                <w:sz w:val="10"/>
                <w:szCs w:val="10"/>
              </w:rPr>
            </w:pPr>
            <w:r w:rsidRPr="001C4484">
              <w:rPr>
                <w:noProof/>
                <w:sz w:val="10"/>
                <w:szCs w:val="10"/>
              </w:rPr>
              <w:t>Kobiety</w:t>
            </w:r>
          </w:p>
        </w:tc>
      </w:tr>
      <w:tr w:rsidR="006B2EC1" w14:paraId="653EBD06" w14:textId="77777777" w:rsidTr="0047688D">
        <w:tc>
          <w:tcPr>
            <w:tcW w:w="0" w:type="auto"/>
            <w:shd w:val="clear" w:color="auto" w:fill="auto"/>
          </w:tcPr>
          <w:p w14:paraId="585A276D" w14:textId="77777777" w:rsidR="008C5CFA" w:rsidRPr="001C4484" w:rsidRDefault="00E82A60" w:rsidP="00300A01">
            <w:pPr>
              <w:spacing w:before="0" w:after="0"/>
              <w:rPr>
                <w:sz w:val="10"/>
                <w:szCs w:val="10"/>
                <w:lang w:val="fr-BE"/>
              </w:rPr>
            </w:pPr>
            <w:r w:rsidRPr="001C4484">
              <w:rPr>
                <w:noProof/>
                <w:sz w:val="10"/>
                <w:szCs w:val="10"/>
                <w:lang w:val="fr-BE"/>
              </w:rPr>
              <w:t>CO01</w:t>
            </w:r>
          </w:p>
        </w:tc>
        <w:tc>
          <w:tcPr>
            <w:tcW w:w="0" w:type="auto"/>
            <w:shd w:val="clear" w:color="auto" w:fill="auto"/>
          </w:tcPr>
          <w:p w14:paraId="15A77749" w14:textId="77777777" w:rsidR="008C5CFA" w:rsidRPr="001C4484" w:rsidRDefault="00E82A60" w:rsidP="00300A01">
            <w:pPr>
              <w:spacing w:before="0" w:after="0"/>
              <w:rPr>
                <w:sz w:val="10"/>
                <w:szCs w:val="10"/>
                <w:lang w:val="fr-BE"/>
              </w:rPr>
            </w:pPr>
            <w:r w:rsidRPr="001C4484">
              <w:rPr>
                <w:noProof/>
                <w:sz w:val="10"/>
                <w:szCs w:val="10"/>
                <w:lang w:val="fr-BE"/>
              </w:rPr>
              <w:t>bezrobotni, w tym długotrwale bezrobotni</w:t>
            </w:r>
          </w:p>
        </w:tc>
        <w:tc>
          <w:tcPr>
            <w:tcW w:w="0" w:type="auto"/>
            <w:shd w:val="clear" w:color="auto" w:fill="auto"/>
          </w:tcPr>
          <w:p w14:paraId="5497FA91"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65747EB7"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412E1DDA"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213C1933" w14:textId="77777777" w:rsidR="008C5CFA" w:rsidRPr="001C4484" w:rsidRDefault="00E82A60" w:rsidP="00300A01">
            <w:pPr>
              <w:spacing w:before="0" w:after="0"/>
              <w:jc w:val="right"/>
              <w:rPr>
                <w:sz w:val="10"/>
                <w:szCs w:val="10"/>
                <w:lang w:val="fr-BE"/>
              </w:rPr>
            </w:pPr>
            <w:r w:rsidRPr="001C4484">
              <w:rPr>
                <w:noProof/>
                <w:sz w:val="10"/>
                <w:szCs w:val="10"/>
              </w:rPr>
              <w:t>0,00</w:t>
            </w:r>
          </w:p>
        </w:tc>
        <w:tc>
          <w:tcPr>
            <w:tcW w:w="0" w:type="auto"/>
          </w:tcPr>
          <w:p w14:paraId="199F8DAD"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190AD8A7"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502637FD" w14:textId="77777777" w:rsidR="008C5CFA" w:rsidRPr="001C4484" w:rsidRDefault="00E82A60" w:rsidP="00300A01">
            <w:pPr>
              <w:spacing w:before="0" w:after="0"/>
              <w:jc w:val="right"/>
              <w:rPr>
                <w:sz w:val="10"/>
                <w:szCs w:val="10"/>
                <w:lang w:val="fr-BE"/>
              </w:rPr>
            </w:pPr>
            <w:r w:rsidRPr="001C4484">
              <w:rPr>
                <w:noProof/>
                <w:sz w:val="10"/>
                <w:szCs w:val="10"/>
                <w:lang w:val="fr-BE"/>
              </w:rPr>
              <w:t>0,00</w:t>
            </w:r>
          </w:p>
        </w:tc>
      </w:tr>
      <w:tr w:rsidR="006B2EC1" w14:paraId="6ED2C885" w14:textId="77777777" w:rsidTr="0047688D">
        <w:tc>
          <w:tcPr>
            <w:tcW w:w="0" w:type="auto"/>
            <w:shd w:val="clear" w:color="auto" w:fill="auto"/>
          </w:tcPr>
          <w:p w14:paraId="32E68066" w14:textId="77777777" w:rsidR="008C5CFA" w:rsidRPr="001C4484" w:rsidRDefault="00E82A60" w:rsidP="00300A01">
            <w:pPr>
              <w:spacing w:before="0" w:after="0"/>
              <w:rPr>
                <w:sz w:val="10"/>
                <w:szCs w:val="10"/>
                <w:lang w:val="fr-BE"/>
              </w:rPr>
            </w:pPr>
            <w:r w:rsidRPr="001C4484">
              <w:rPr>
                <w:noProof/>
                <w:sz w:val="10"/>
                <w:szCs w:val="10"/>
                <w:lang w:val="fr-BE"/>
              </w:rPr>
              <w:t>CO02</w:t>
            </w:r>
          </w:p>
        </w:tc>
        <w:tc>
          <w:tcPr>
            <w:tcW w:w="0" w:type="auto"/>
            <w:shd w:val="clear" w:color="auto" w:fill="auto"/>
          </w:tcPr>
          <w:p w14:paraId="4FD88E23" w14:textId="77777777" w:rsidR="008C5CFA" w:rsidRPr="001C4484" w:rsidRDefault="00E82A60" w:rsidP="00300A01">
            <w:pPr>
              <w:spacing w:before="0" w:after="0"/>
              <w:rPr>
                <w:sz w:val="10"/>
                <w:szCs w:val="10"/>
                <w:lang w:val="fr-BE"/>
              </w:rPr>
            </w:pPr>
            <w:r w:rsidRPr="001C4484">
              <w:rPr>
                <w:noProof/>
                <w:sz w:val="10"/>
                <w:szCs w:val="10"/>
                <w:lang w:val="fr-BE"/>
              </w:rPr>
              <w:t>długotrwale bezrobotni</w:t>
            </w:r>
          </w:p>
        </w:tc>
        <w:tc>
          <w:tcPr>
            <w:tcW w:w="0" w:type="auto"/>
            <w:shd w:val="clear" w:color="auto" w:fill="auto"/>
          </w:tcPr>
          <w:p w14:paraId="41D1C0B0"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26D9EFF6"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11D789E9"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14D26572" w14:textId="77777777" w:rsidR="008C5CFA" w:rsidRPr="001C4484" w:rsidRDefault="00E82A60" w:rsidP="00300A01">
            <w:pPr>
              <w:spacing w:before="0" w:after="0"/>
              <w:jc w:val="right"/>
              <w:rPr>
                <w:sz w:val="10"/>
                <w:szCs w:val="10"/>
                <w:lang w:val="fr-BE"/>
              </w:rPr>
            </w:pPr>
            <w:r w:rsidRPr="001C4484">
              <w:rPr>
                <w:noProof/>
                <w:sz w:val="10"/>
                <w:szCs w:val="10"/>
              </w:rPr>
              <w:t>0,00</w:t>
            </w:r>
          </w:p>
        </w:tc>
        <w:tc>
          <w:tcPr>
            <w:tcW w:w="0" w:type="auto"/>
          </w:tcPr>
          <w:p w14:paraId="668A89EC"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6BDA15D2"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2884197E" w14:textId="77777777" w:rsidR="008C5CFA" w:rsidRPr="001C4484" w:rsidRDefault="00E82A60" w:rsidP="00300A01">
            <w:pPr>
              <w:spacing w:before="0" w:after="0"/>
              <w:jc w:val="right"/>
              <w:rPr>
                <w:sz w:val="10"/>
                <w:szCs w:val="10"/>
                <w:lang w:val="fr-BE"/>
              </w:rPr>
            </w:pPr>
            <w:r w:rsidRPr="001C4484">
              <w:rPr>
                <w:noProof/>
                <w:sz w:val="10"/>
                <w:szCs w:val="10"/>
                <w:lang w:val="fr-BE"/>
              </w:rPr>
              <w:t>0,00</w:t>
            </w:r>
          </w:p>
        </w:tc>
      </w:tr>
      <w:tr w:rsidR="006B2EC1" w14:paraId="2FB4715E" w14:textId="77777777" w:rsidTr="0047688D">
        <w:tc>
          <w:tcPr>
            <w:tcW w:w="0" w:type="auto"/>
            <w:shd w:val="clear" w:color="auto" w:fill="auto"/>
          </w:tcPr>
          <w:p w14:paraId="276376AD" w14:textId="77777777" w:rsidR="008C5CFA" w:rsidRPr="001C4484" w:rsidRDefault="00E82A60" w:rsidP="00300A01">
            <w:pPr>
              <w:spacing w:before="0" w:after="0"/>
              <w:rPr>
                <w:sz w:val="10"/>
                <w:szCs w:val="10"/>
                <w:lang w:val="fr-BE"/>
              </w:rPr>
            </w:pPr>
            <w:r w:rsidRPr="001C4484">
              <w:rPr>
                <w:noProof/>
                <w:sz w:val="10"/>
                <w:szCs w:val="10"/>
                <w:lang w:val="fr-BE"/>
              </w:rPr>
              <w:t>CO03</w:t>
            </w:r>
          </w:p>
        </w:tc>
        <w:tc>
          <w:tcPr>
            <w:tcW w:w="0" w:type="auto"/>
            <w:shd w:val="clear" w:color="auto" w:fill="auto"/>
          </w:tcPr>
          <w:p w14:paraId="2DCC951A" w14:textId="77777777" w:rsidR="008C5CFA" w:rsidRPr="001C4484" w:rsidRDefault="00E82A60" w:rsidP="00300A01">
            <w:pPr>
              <w:spacing w:before="0" w:after="0"/>
              <w:rPr>
                <w:sz w:val="10"/>
                <w:szCs w:val="10"/>
                <w:lang w:val="fr-BE"/>
              </w:rPr>
            </w:pPr>
            <w:r w:rsidRPr="001C4484">
              <w:rPr>
                <w:noProof/>
                <w:sz w:val="10"/>
                <w:szCs w:val="10"/>
                <w:lang w:val="fr-BE"/>
              </w:rPr>
              <w:t>osoby bierne zawodowo</w:t>
            </w:r>
          </w:p>
        </w:tc>
        <w:tc>
          <w:tcPr>
            <w:tcW w:w="0" w:type="auto"/>
            <w:shd w:val="clear" w:color="auto" w:fill="auto"/>
          </w:tcPr>
          <w:p w14:paraId="1C80E083"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1731C1CE"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6AE4C8DC"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65FA95A2" w14:textId="77777777" w:rsidR="008C5CFA" w:rsidRPr="001C4484" w:rsidRDefault="00E82A60" w:rsidP="00300A01">
            <w:pPr>
              <w:spacing w:before="0" w:after="0"/>
              <w:jc w:val="right"/>
              <w:rPr>
                <w:sz w:val="10"/>
                <w:szCs w:val="10"/>
                <w:lang w:val="fr-BE"/>
              </w:rPr>
            </w:pPr>
            <w:r w:rsidRPr="001C4484">
              <w:rPr>
                <w:noProof/>
                <w:sz w:val="10"/>
                <w:szCs w:val="10"/>
              </w:rPr>
              <w:t>0,00</w:t>
            </w:r>
          </w:p>
        </w:tc>
        <w:tc>
          <w:tcPr>
            <w:tcW w:w="0" w:type="auto"/>
          </w:tcPr>
          <w:p w14:paraId="594B4F7A"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3934DD2D"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3C15E9BB" w14:textId="77777777" w:rsidR="008C5CFA" w:rsidRPr="001C4484" w:rsidRDefault="00E82A60" w:rsidP="00300A01">
            <w:pPr>
              <w:spacing w:before="0" w:after="0"/>
              <w:jc w:val="right"/>
              <w:rPr>
                <w:sz w:val="10"/>
                <w:szCs w:val="10"/>
                <w:lang w:val="fr-BE"/>
              </w:rPr>
            </w:pPr>
            <w:r w:rsidRPr="001C4484">
              <w:rPr>
                <w:noProof/>
                <w:sz w:val="10"/>
                <w:szCs w:val="10"/>
                <w:lang w:val="fr-BE"/>
              </w:rPr>
              <w:t>0,00</w:t>
            </w:r>
          </w:p>
        </w:tc>
      </w:tr>
      <w:tr w:rsidR="006B2EC1" w14:paraId="7967659C" w14:textId="77777777" w:rsidTr="0047688D">
        <w:tc>
          <w:tcPr>
            <w:tcW w:w="0" w:type="auto"/>
            <w:shd w:val="clear" w:color="auto" w:fill="auto"/>
          </w:tcPr>
          <w:p w14:paraId="386DF319" w14:textId="77777777" w:rsidR="008C5CFA" w:rsidRPr="001C4484" w:rsidRDefault="00E82A60" w:rsidP="00300A01">
            <w:pPr>
              <w:spacing w:before="0" w:after="0"/>
              <w:rPr>
                <w:sz w:val="10"/>
                <w:szCs w:val="10"/>
                <w:lang w:val="fr-BE"/>
              </w:rPr>
            </w:pPr>
            <w:r w:rsidRPr="001C4484">
              <w:rPr>
                <w:noProof/>
                <w:sz w:val="10"/>
                <w:szCs w:val="10"/>
                <w:lang w:val="fr-BE"/>
              </w:rPr>
              <w:t>CO04</w:t>
            </w:r>
          </w:p>
        </w:tc>
        <w:tc>
          <w:tcPr>
            <w:tcW w:w="0" w:type="auto"/>
            <w:shd w:val="clear" w:color="auto" w:fill="auto"/>
          </w:tcPr>
          <w:p w14:paraId="6D13D8A7" w14:textId="77777777" w:rsidR="008C5CFA" w:rsidRPr="001C4484" w:rsidRDefault="00E82A60" w:rsidP="00300A01">
            <w:pPr>
              <w:spacing w:before="0" w:after="0"/>
              <w:rPr>
                <w:sz w:val="10"/>
                <w:szCs w:val="10"/>
                <w:lang w:val="fr-BE"/>
              </w:rPr>
            </w:pPr>
            <w:r w:rsidRPr="001C4484">
              <w:rPr>
                <w:noProof/>
                <w:sz w:val="10"/>
                <w:szCs w:val="10"/>
                <w:lang w:val="fr-BE"/>
              </w:rPr>
              <w:t>osoby bierne zawodowo, nieuczestniczące w kształceniu ani szkoleniu</w:t>
            </w:r>
          </w:p>
        </w:tc>
        <w:tc>
          <w:tcPr>
            <w:tcW w:w="0" w:type="auto"/>
            <w:shd w:val="clear" w:color="auto" w:fill="auto"/>
          </w:tcPr>
          <w:p w14:paraId="2D6B5EF4"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0B2679DB"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5E1D7769"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2B7AE178" w14:textId="77777777" w:rsidR="008C5CFA" w:rsidRPr="001C4484" w:rsidRDefault="00E82A60" w:rsidP="00300A01">
            <w:pPr>
              <w:spacing w:before="0" w:after="0"/>
              <w:jc w:val="right"/>
              <w:rPr>
                <w:sz w:val="10"/>
                <w:szCs w:val="10"/>
                <w:lang w:val="fr-BE"/>
              </w:rPr>
            </w:pPr>
            <w:r w:rsidRPr="001C4484">
              <w:rPr>
                <w:noProof/>
                <w:sz w:val="10"/>
                <w:szCs w:val="10"/>
              </w:rPr>
              <w:t>0,00</w:t>
            </w:r>
          </w:p>
        </w:tc>
        <w:tc>
          <w:tcPr>
            <w:tcW w:w="0" w:type="auto"/>
          </w:tcPr>
          <w:p w14:paraId="242888C5"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4213AEAE"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08211D22" w14:textId="77777777" w:rsidR="008C5CFA" w:rsidRPr="001C4484" w:rsidRDefault="00E82A60" w:rsidP="00300A01">
            <w:pPr>
              <w:spacing w:before="0" w:after="0"/>
              <w:jc w:val="right"/>
              <w:rPr>
                <w:sz w:val="10"/>
                <w:szCs w:val="10"/>
                <w:lang w:val="fr-BE"/>
              </w:rPr>
            </w:pPr>
            <w:r w:rsidRPr="001C4484">
              <w:rPr>
                <w:noProof/>
                <w:sz w:val="10"/>
                <w:szCs w:val="10"/>
                <w:lang w:val="fr-BE"/>
              </w:rPr>
              <w:t>0,00</w:t>
            </w:r>
          </w:p>
        </w:tc>
      </w:tr>
      <w:tr w:rsidR="006B2EC1" w14:paraId="0D274809" w14:textId="77777777" w:rsidTr="0047688D">
        <w:tc>
          <w:tcPr>
            <w:tcW w:w="0" w:type="auto"/>
            <w:shd w:val="clear" w:color="auto" w:fill="auto"/>
          </w:tcPr>
          <w:p w14:paraId="0EB1FDB9" w14:textId="77777777" w:rsidR="008C5CFA" w:rsidRPr="001C4484" w:rsidRDefault="00E82A60" w:rsidP="00300A01">
            <w:pPr>
              <w:spacing w:before="0" w:after="0"/>
              <w:rPr>
                <w:sz w:val="10"/>
                <w:szCs w:val="10"/>
                <w:lang w:val="fr-BE"/>
              </w:rPr>
            </w:pPr>
            <w:r w:rsidRPr="001C4484">
              <w:rPr>
                <w:noProof/>
                <w:sz w:val="10"/>
                <w:szCs w:val="10"/>
                <w:lang w:val="fr-BE"/>
              </w:rPr>
              <w:t>CO05</w:t>
            </w:r>
          </w:p>
        </w:tc>
        <w:tc>
          <w:tcPr>
            <w:tcW w:w="0" w:type="auto"/>
            <w:shd w:val="clear" w:color="auto" w:fill="auto"/>
          </w:tcPr>
          <w:p w14:paraId="5D5F52FC" w14:textId="77777777" w:rsidR="008C5CFA" w:rsidRPr="001C4484" w:rsidRDefault="00E82A60" w:rsidP="00300A01">
            <w:pPr>
              <w:spacing w:before="0" w:after="0"/>
              <w:rPr>
                <w:sz w:val="10"/>
                <w:szCs w:val="10"/>
                <w:lang w:val="fr-BE"/>
              </w:rPr>
            </w:pPr>
            <w:r w:rsidRPr="001C4484">
              <w:rPr>
                <w:noProof/>
                <w:sz w:val="10"/>
                <w:szCs w:val="10"/>
                <w:lang w:val="fr-BE"/>
              </w:rPr>
              <w:t>osoby pracujące, łącznie z prowadzącymi działalność na własny rachunek</w:t>
            </w:r>
          </w:p>
        </w:tc>
        <w:tc>
          <w:tcPr>
            <w:tcW w:w="0" w:type="auto"/>
            <w:shd w:val="clear" w:color="auto" w:fill="auto"/>
          </w:tcPr>
          <w:p w14:paraId="2CFF70E7"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5E9B2236"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007C58B9"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3D646249" w14:textId="77777777" w:rsidR="008C5CFA" w:rsidRPr="001C4484" w:rsidRDefault="00E82A60" w:rsidP="00300A01">
            <w:pPr>
              <w:spacing w:before="0" w:after="0"/>
              <w:jc w:val="right"/>
              <w:rPr>
                <w:sz w:val="10"/>
                <w:szCs w:val="10"/>
                <w:lang w:val="fr-BE"/>
              </w:rPr>
            </w:pPr>
            <w:r w:rsidRPr="001C4484">
              <w:rPr>
                <w:noProof/>
                <w:sz w:val="10"/>
                <w:szCs w:val="10"/>
              </w:rPr>
              <w:t>0,00</w:t>
            </w:r>
          </w:p>
        </w:tc>
        <w:tc>
          <w:tcPr>
            <w:tcW w:w="0" w:type="auto"/>
          </w:tcPr>
          <w:p w14:paraId="4F1B6363"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68C09C3D"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4036B0BE" w14:textId="77777777" w:rsidR="008C5CFA" w:rsidRPr="001C4484" w:rsidRDefault="00E82A60" w:rsidP="00300A01">
            <w:pPr>
              <w:spacing w:before="0" w:after="0"/>
              <w:jc w:val="right"/>
              <w:rPr>
                <w:sz w:val="10"/>
                <w:szCs w:val="10"/>
                <w:lang w:val="fr-BE"/>
              </w:rPr>
            </w:pPr>
            <w:r w:rsidRPr="001C4484">
              <w:rPr>
                <w:noProof/>
                <w:sz w:val="10"/>
                <w:szCs w:val="10"/>
                <w:lang w:val="fr-BE"/>
              </w:rPr>
              <w:t>0,00</w:t>
            </w:r>
          </w:p>
        </w:tc>
      </w:tr>
      <w:tr w:rsidR="006B2EC1" w14:paraId="4F31A37A" w14:textId="77777777" w:rsidTr="0047688D">
        <w:tc>
          <w:tcPr>
            <w:tcW w:w="0" w:type="auto"/>
            <w:shd w:val="clear" w:color="auto" w:fill="auto"/>
          </w:tcPr>
          <w:p w14:paraId="37034109" w14:textId="77777777" w:rsidR="008C5CFA" w:rsidRPr="001C4484" w:rsidRDefault="00E82A60" w:rsidP="00300A01">
            <w:pPr>
              <w:spacing w:before="0" w:after="0"/>
              <w:rPr>
                <w:sz w:val="10"/>
                <w:szCs w:val="10"/>
                <w:lang w:val="fr-BE"/>
              </w:rPr>
            </w:pPr>
            <w:r w:rsidRPr="001C4484">
              <w:rPr>
                <w:noProof/>
                <w:sz w:val="10"/>
                <w:szCs w:val="10"/>
                <w:lang w:val="fr-BE"/>
              </w:rPr>
              <w:t>CO06</w:t>
            </w:r>
          </w:p>
        </w:tc>
        <w:tc>
          <w:tcPr>
            <w:tcW w:w="0" w:type="auto"/>
            <w:shd w:val="clear" w:color="auto" w:fill="auto"/>
          </w:tcPr>
          <w:p w14:paraId="12E2BFDA" w14:textId="77777777" w:rsidR="008C5CFA" w:rsidRPr="001C4484" w:rsidRDefault="00E82A60" w:rsidP="00300A01">
            <w:pPr>
              <w:spacing w:before="0" w:after="0"/>
              <w:rPr>
                <w:sz w:val="10"/>
                <w:szCs w:val="10"/>
                <w:lang w:val="fr-BE"/>
              </w:rPr>
            </w:pPr>
            <w:r w:rsidRPr="001C4484">
              <w:rPr>
                <w:noProof/>
                <w:sz w:val="10"/>
                <w:szCs w:val="10"/>
                <w:lang w:val="fr-BE"/>
              </w:rPr>
              <w:t>osoby w wieku poniżej 25 lat</w:t>
            </w:r>
          </w:p>
        </w:tc>
        <w:tc>
          <w:tcPr>
            <w:tcW w:w="0" w:type="auto"/>
            <w:shd w:val="clear" w:color="auto" w:fill="auto"/>
          </w:tcPr>
          <w:p w14:paraId="1FE6CFE9"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74C2DC95"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72953025"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6064EA8F" w14:textId="77777777" w:rsidR="008C5CFA" w:rsidRPr="001C4484" w:rsidRDefault="00E82A60" w:rsidP="00300A01">
            <w:pPr>
              <w:spacing w:before="0" w:after="0"/>
              <w:jc w:val="right"/>
              <w:rPr>
                <w:sz w:val="10"/>
                <w:szCs w:val="10"/>
                <w:lang w:val="fr-BE"/>
              </w:rPr>
            </w:pPr>
            <w:r w:rsidRPr="001C4484">
              <w:rPr>
                <w:noProof/>
                <w:sz w:val="10"/>
                <w:szCs w:val="10"/>
              </w:rPr>
              <w:t>0,00</w:t>
            </w:r>
          </w:p>
        </w:tc>
        <w:tc>
          <w:tcPr>
            <w:tcW w:w="0" w:type="auto"/>
          </w:tcPr>
          <w:p w14:paraId="1A87582D"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554E8339"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400D097C" w14:textId="77777777" w:rsidR="008C5CFA" w:rsidRPr="001C4484" w:rsidRDefault="00E82A60" w:rsidP="00300A01">
            <w:pPr>
              <w:spacing w:before="0" w:after="0"/>
              <w:jc w:val="right"/>
              <w:rPr>
                <w:sz w:val="10"/>
                <w:szCs w:val="10"/>
                <w:lang w:val="fr-BE"/>
              </w:rPr>
            </w:pPr>
            <w:r w:rsidRPr="001C4484">
              <w:rPr>
                <w:noProof/>
                <w:sz w:val="10"/>
                <w:szCs w:val="10"/>
                <w:lang w:val="fr-BE"/>
              </w:rPr>
              <w:t>0,00</w:t>
            </w:r>
          </w:p>
        </w:tc>
      </w:tr>
      <w:tr w:rsidR="006B2EC1" w14:paraId="10A1679A" w14:textId="77777777" w:rsidTr="0047688D">
        <w:tc>
          <w:tcPr>
            <w:tcW w:w="0" w:type="auto"/>
            <w:shd w:val="clear" w:color="auto" w:fill="auto"/>
          </w:tcPr>
          <w:p w14:paraId="3E595976" w14:textId="77777777" w:rsidR="008C5CFA" w:rsidRPr="001C4484" w:rsidRDefault="00E82A60" w:rsidP="00300A01">
            <w:pPr>
              <w:spacing w:before="0" w:after="0"/>
              <w:rPr>
                <w:sz w:val="10"/>
                <w:szCs w:val="10"/>
                <w:lang w:val="fr-BE"/>
              </w:rPr>
            </w:pPr>
            <w:r w:rsidRPr="001C4484">
              <w:rPr>
                <w:noProof/>
                <w:sz w:val="10"/>
                <w:szCs w:val="10"/>
                <w:lang w:val="fr-BE"/>
              </w:rPr>
              <w:t>CO07</w:t>
            </w:r>
          </w:p>
        </w:tc>
        <w:tc>
          <w:tcPr>
            <w:tcW w:w="0" w:type="auto"/>
            <w:shd w:val="clear" w:color="auto" w:fill="auto"/>
          </w:tcPr>
          <w:p w14:paraId="04C9CB0E" w14:textId="77777777" w:rsidR="008C5CFA" w:rsidRPr="001C4484" w:rsidRDefault="00E82A60" w:rsidP="00300A01">
            <w:pPr>
              <w:spacing w:before="0" w:after="0"/>
              <w:rPr>
                <w:sz w:val="10"/>
                <w:szCs w:val="10"/>
                <w:lang w:val="fr-BE"/>
              </w:rPr>
            </w:pPr>
            <w:r w:rsidRPr="001C4484">
              <w:rPr>
                <w:noProof/>
                <w:sz w:val="10"/>
                <w:szCs w:val="10"/>
                <w:lang w:val="fr-BE"/>
              </w:rPr>
              <w:t>osoby w wieku powyżej 54 lat</w:t>
            </w:r>
          </w:p>
        </w:tc>
        <w:tc>
          <w:tcPr>
            <w:tcW w:w="0" w:type="auto"/>
            <w:shd w:val="clear" w:color="auto" w:fill="auto"/>
          </w:tcPr>
          <w:p w14:paraId="4C7F7AA1"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51904236"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2648F5A6"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5804A796" w14:textId="77777777" w:rsidR="008C5CFA" w:rsidRPr="001C4484" w:rsidRDefault="00E82A60" w:rsidP="00300A01">
            <w:pPr>
              <w:spacing w:before="0" w:after="0"/>
              <w:jc w:val="right"/>
              <w:rPr>
                <w:sz w:val="10"/>
                <w:szCs w:val="10"/>
                <w:lang w:val="fr-BE"/>
              </w:rPr>
            </w:pPr>
            <w:r w:rsidRPr="001C4484">
              <w:rPr>
                <w:noProof/>
                <w:sz w:val="10"/>
                <w:szCs w:val="10"/>
              </w:rPr>
              <w:t>0,00</w:t>
            </w:r>
          </w:p>
        </w:tc>
        <w:tc>
          <w:tcPr>
            <w:tcW w:w="0" w:type="auto"/>
          </w:tcPr>
          <w:p w14:paraId="459E0DDE"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5B86D876"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5F2B0666" w14:textId="77777777" w:rsidR="008C5CFA" w:rsidRPr="001C4484" w:rsidRDefault="00E82A60" w:rsidP="00300A01">
            <w:pPr>
              <w:spacing w:before="0" w:after="0"/>
              <w:jc w:val="right"/>
              <w:rPr>
                <w:sz w:val="10"/>
                <w:szCs w:val="10"/>
                <w:lang w:val="fr-BE"/>
              </w:rPr>
            </w:pPr>
            <w:r w:rsidRPr="001C4484">
              <w:rPr>
                <w:noProof/>
                <w:sz w:val="10"/>
                <w:szCs w:val="10"/>
                <w:lang w:val="fr-BE"/>
              </w:rPr>
              <w:t>0,00</w:t>
            </w:r>
          </w:p>
        </w:tc>
      </w:tr>
      <w:tr w:rsidR="006B2EC1" w14:paraId="72BA76C3" w14:textId="77777777" w:rsidTr="0047688D">
        <w:tc>
          <w:tcPr>
            <w:tcW w:w="0" w:type="auto"/>
            <w:shd w:val="clear" w:color="auto" w:fill="auto"/>
          </w:tcPr>
          <w:p w14:paraId="1B102BAE" w14:textId="77777777" w:rsidR="008C5CFA" w:rsidRPr="001C4484" w:rsidRDefault="00E82A60" w:rsidP="00300A01">
            <w:pPr>
              <w:spacing w:before="0" w:after="0"/>
              <w:rPr>
                <w:sz w:val="10"/>
                <w:szCs w:val="10"/>
                <w:lang w:val="fr-BE"/>
              </w:rPr>
            </w:pPr>
            <w:r w:rsidRPr="001C4484">
              <w:rPr>
                <w:noProof/>
                <w:sz w:val="10"/>
                <w:szCs w:val="10"/>
                <w:lang w:val="fr-BE"/>
              </w:rPr>
              <w:t>CO08</w:t>
            </w:r>
          </w:p>
        </w:tc>
        <w:tc>
          <w:tcPr>
            <w:tcW w:w="0" w:type="auto"/>
            <w:shd w:val="clear" w:color="auto" w:fill="auto"/>
          </w:tcPr>
          <w:p w14:paraId="5668768B" w14:textId="77777777" w:rsidR="008C5CFA" w:rsidRPr="001C4484" w:rsidRDefault="00E82A60" w:rsidP="00300A01">
            <w:pPr>
              <w:spacing w:before="0" w:after="0"/>
              <w:rPr>
                <w:sz w:val="10"/>
                <w:szCs w:val="10"/>
                <w:lang w:val="fr-BE"/>
              </w:rPr>
            </w:pPr>
            <w:r w:rsidRPr="001C4484">
              <w:rPr>
                <w:noProof/>
                <w:sz w:val="10"/>
                <w:szCs w:val="10"/>
                <w:lang w:val="fr-BE"/>
              </w:rPr>
              <w:t>osoby powyżej 54 lat, które są bezrobotne, łącznie z długotrwale bezrobotnymi, lub są bierne zawodowo i nie uczestniczą w kształceniu ani szkoleniu</w:t>
            </w:r>
          </w:p>
        </w:tc>
        <w:tc>
          <w:tcPr>
            <w:tcW w:w="0" w:type="auto"/>
            <w:shd w:val="clear" w:color="auto" w:fill="auto"/>
          </w:tcPr>
          <w:p w14:paraId="0098A584"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7B126575"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0BCB35AA"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0DD67907" w14:textId="77777777" w:rsidR="008C5CFA" w:rsidRPr="001C4484" w:rsidRDefault="00E82A60" w:rsidP="00300A01">
            <w:pPr>
              <w:spacing w:before="0" w:after="0"/>
              <w:jc w:val="right"/>
              <w:rPr>
                <w:sz w:val="10"/>
                <w:szCs w:val="10"/>
                <w:lang w:val="fr-BE"/>
              </w:rPr>
            </w:pPr>
            <w:r w:rsidRPr="001C4484">
              <w:rPr>
                <w:noProof/>
                <w:sz w:val="10"/>
                <w:szCs w:val="10"/>
              </w:rPr>
              <w:t>0,00</w:t>
            </w:r>
          </w:p>
        </w:tc>
        <w:tc>
          <w:tcPr>
            <w:tcW w:w="0" w:type="auto"/>
          </w:tcPr>
          <w:p w14:paraId="77EDB2D8"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74F2F63C"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27DD600C" w14:textId="77777777" w:rsidR="008C5CFA" w:rsidRPr="001C4484" w:rsidRDefault="00E82A60" w:rsidP="00300A01">
            <w:pPr>
              <w:spacing w:before="0" w:after="0"/>
              <w:jc w:val="right"/>
              <w:rPr>
                <w:sz w:val="10"/>
                <w:szCs w:val="10"/>
                <w:lang w:val="fr-BE"/>
              </w:rPr>
            </w:pPr>
            <w:r w:rsidRPr="001C4484">
              <w:rPr>
                <w:noProof/>
                <w:sz w:val="10"/>
                <w:szCs w:val="10"/>
                <w:lang w:val="fr-BE"/>
              </w:rPr>
              <w:t>0,00</w:t>
            </w:r>
          </w:p>
        </w:tc>
      </w:tr>
      <w:tr w:rsidR="006B2EC1" w14:paraId="2E31E8A3" w14:textId="77777777" w:rsidTr="0047688D">
        <w:tc>
          <w:tcPr>
            <w:tcW w:w="0" w:type="auto"/>
            <w:shd w:val="clear" w:color="auto" w:fill="auto"/>
          </w:tcPr>
          <w:p w14:paraId="766AFED6" w14:textId="77777777" w:rsidR="008C5CFA" w:rsidRPr="001C4484" w:rsidRDefault="00E82A60" w:rsidP="00300A01">
            <w:pPr>
              <w:spacing w:before="0" w:after="0"/>
              <w:rPr>
                <w:sz w:val="10"/>
                <w:szCs w:val="10"/>
                <w:lang w:val="fr-BE"/>
              </w:rPr>
            </w:pPr>
            <w:r w:rsidRPr="001C4484">
              <w:rPr>
                <w:noProof/>
                <w:sz w:val="10"/>
                <w:szCs w:val="10"/>
                <w:lang w:val="fr-BE"/>
              </w:rPr>
              <w:lastRenderedPageBreak/>
              <w:t>CO09</w:t>
            </w:r>
          </w:p>
        </w:tc>
        <w:tc>
          <w:tcPr>
            <w:tcW w:w="0" w:type="auto"/>
            <w:shd w:val="clear" w:color="auto" w:fill="auto"/>
          </w:tcPr>
          <w:p w14:paraId="01BF5C72" w14:textId="77777777" w:rsidR="008C5CFA" w:rsidRPr="001C4484" w:rsidRDefault="00E82A60" w:rsidP="00300A01">
            <w:pPr>
              <w:spacing w:before="0" w:after="0"/>
              <w:rPr>
                <w:sz w:val="10"/>
                <w:szCs w:val="10"/>
                <w:lang w:val="fr-BE"/>
              </w:rPr>
            </w:pPr>
            <w:r w:rsidRPr="001C4484">
              <w:rPr>
                <w:noProof/>
                <w:sz w:val="10"/>
                <w:szCs w:val="10"/>
                <w:lang w:val="fr-BE"/>
              </w:rPr>
              <w:t>osoby z wykształceniem podstawowym (ISCED 1) lub średnim I stopnia (ISCED 2)</w:t>
            </w:r>
          </w:p>
        </w:tc>
        <w:tc>
          <w:tcPr>
            <w:tcW w:w="0" w:type="auto"/>
            <w:shd w:val="clear" w:color="auto" w:fill="auto"/>
          </w:tcPr>
          <w:p w14:paraId="254A28E7"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290FF532"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643E5062"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459EBBE8" w14:textId="77777777" w:rsidR="008C5CFA" w:rsidRPr="001C4484" w:rsidRDefault="00E82A60" w:rsidP="00300A01">
            <w:pPr>
              <w:spacing w:before="0" w:after="0"/>
              <w:jc w:val="right"/>
              <w:rPr>
                <w:sz w:val="10"/>
                <w:szCs w:val="10"/>
                <w:lang w:val="fr-BE"/>
              </w:rPr>
            </w:pPr>
            <w:r w:rsidRPr="001C4484">
              <w:rPr>
                <w:noProof/>
                <w:sz w:val="10"/>
                <w:szCs w:val="10"/>
              </w:rPr>
              <w:t>0,00</w:t>
            </w:r>
          </w:p>
        </w:tc>
        <w:tc>
          <w:tcPr>
            <w:tcW w:w="0" w:type="auto"/>
          </w:tcPr>
          <w:p w14:paraId="759B9A3B"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6D78B94D"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4B69A027" w14:textId="77777777" w:rsidR="008C5CFA" w:rsidRPr="001C4484" w:rsidRDefault="00E82A60" w:rsidP="00300A01">
            <w:pPr>
              <w:spacing w:before="0" w:after="0"/>
              <w:jc w:val="right"/>
              <w:rPr>
                <w:sz w:val="10"/>
                <w:szCs w:val="10"/>
                <w:lang w:val="fr-BE"/>
              </w:rPr>
            </w:pPr>
            <w:r w:rsidRPr="001C4484">
              <w:rPr>
                <w:noProof/>
                <w:sz w:val="10"/>
                <w:szCs w:val="10"/>
                <w:lang w:val="fr-BE"/>
              </w:rPr>
              <w:t>0,00</w:t>
            </w:r>
          </w:p>
        </w:tc>
      </w:tr>
      <w:tr w:rsidR="006B2EC1" w14:paraId="772D5383" w14:textId="77777777" w:rsidTr="0047688D">
        <w:tc>
          <w:tcPr>
            <w:tcW w:w="0" w:type="auto"/>
            <w:shd w:val="clear" w:color="auto" w:fill="auto"/>
          </w:tcPr>
          <w:p w14:paraId="4BB68157" w14:textId="77777777" w:rsidR="008C5CFA" w:rsidRPr="001C4484" w:rsidRDefault="00E82A60" w:rsidP="00300A01">
            <w:pPr>
              <w:spacing w:before="0" w:after="0"/>
              <w:rPr>
                <w:sz w:val="10"/>
                <w:szCs w:val="10"/>
                <w:lang w:val="fr-BE"/>
              </w:rPr>
            </w:pPr>
            <w:r w:rsidRPr="001C4484">
              <w:rPr>
                <w:noProof/>
                <w:sz w:val="10"/>
                <w:szCs w:val="10"/>
                <w:lang w:val="fr-BE"/>
              </w:rPr>
              <w:t>CO10</w:t>
            </w:r>
          </w:p>
        </w:tc>
        <w:tc>
          <w:tcPr>
            <w:tcW w:w="0" w:type="auto"/>
            <w:shd w:val="clear" w:color="auto" w:fill="auto"/>
          </w:tcPr>
          <w:p w14:paraId="338CD56D" w14:textId="77777777" w:rsidR="008C5CFA" w:rsidRPr="001C4484" w:rsidRDefault="00E82A60" w:rsidP="00300A01">
            <w:pPr>
              <w:spacing w:before="0" w:after="0"/>
              <w:rPr>
                <w:sz w:val="10"/>
                <w:szCs w:val="10"/>
                <w:lang w:val="fr-BE"/>
              </w:rPr>
            </w:pPr>
            <w:r w:rsidRPr="001C4484">
              <w:rPr>
                <w:noProof/>
                <w:sz w:val="10"/>
                <w:szCs w:val="10"/>
                <w:lang w:val="fr-BE"/>
              </w:rPr>
              <w:t>osoby z wykształceniem średnim II stopnia (ISCED 3) lub policealnym (ISCED 4)</w:t>
            </w:r>
          </w:p>
        </w:tc>
        <w:tc>
          <w:tcPr>
            <w:tcW w:w="0" w:type="auto"/>
            <w:shd w:val="clear" w:color="auto" w:fill="auto"/>
          </w:tcPr>
          <w:p w14:paraId="3CE482E0"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257DA1C5"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5FB3C69A"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0ED6D917" w14:textId="77777777" w:rsidR="008C5CFA" w:rsidRPr="001C4484" w:rsidRDefault="00E82A60" w:rsidP="00300A01">
            <w:pPr>
              <w:spacing w:before="0" w:after="0"/>
              <w:jc w:val="right"/>
              <w:rPr>
                <w:sz w:val="10"/>
                <w:szCs w:val="10"/>
                <w:lang w:val="fr-BE"/>
              </w:rPr>
            </w:pPr>
            <w:r w:rsidRPr="001C4484">
              <w:rPr>
                <w:noProof/>
                <w:sz w:val="10"/>
                <w:szCs w:val="10"/>
              </w:rPr>
              <w:t>0,00</w:t>
            </w:r>
          </w:p>
        </w:tc>
        <w:tc>
          <w:tcPr>
            <w:tcW w:w="0" w:type="auto"/>
          </w:tcPr>
          <w:p w14:paraId="63530458"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02DA9EA1"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1804473B" w14:textId="77777777" w:rsidR="008C5CFA" w:rsidRPr="001C4484" w:rsidRDefault="00E82A60" w:rsidP="00300A01">
            <w:pPr>
              <w:spacing w:before="0" w:after="0"/>
              <w:jc w:val="right"/>
              <w:rPr>
                <w:sz w:val="10"/>
                <w:szCs w:val="10"/>
                <w:lang w:val="fr-BE"/>
              </w:rPr>
            </w:pPr>
            <w:r w:rsidRPr="001C4484">
              <w:rPr>
                <w:noProof/>
                <w:sz w:val="10"/>
                <w:szCs w:val="10"/>
                <w:lang w:val="fr-BE"/>
              </w:rPr>
              <w:t>0,00</w:t>
            </w:r>
          </w:p>
        </w:tc>
      </w:tr>
      <w:tr w:rsidR="006B2EC1" w14:paraId="0DF3FE29" w14:textId="77777777" w:rsidTr="0047688D">
        <w:tc>
          <w:tcPr>
            <w:tcW w:w="0" w:type="auto"/>
            <w:shd w:val="clear" w:color="auto" w:fill="auto"/>
          </w:tcPr>
          <w:p w14:paraId="20E9B876" w14:textId="77777777" w:rsidR="008C5CFA" w:rsidRPr="001C4484" w:rsidRDefault="00E82A60" w:rsidP="00300A01">
            <w:pPr>
              <w:spacing w:before="0" w:after="0"/>
              <w:rPr>
                <w:sz w:val="10"/>
                <w:szCs w:val="10"/>
                <w:lang w:val="fr-BE"/>
              </w:rPr>
            </w:pPr>
            <w:r w:rsidRPr="001C4484">
              <w:rPr>
                <w:noProof/>
                <w:sz w:val="10"/>
                <w:szCs w:val="10"/>
                <w:lang w:val="fr-BE"/>
              </w:rPr>
              <w:t>CO11</w:t>
            </w:r>
          </w:p>
        </w:tc>
        <w:tc>
          <w:tcPr>
            <w:tcW w:w="0" w:type="auto"/>
            <w:shd w:val="clear" w:color="auto" w:fill="auto"/>
          </w:tcPr>
          <w:p w14:paraId="415641B0" w14:textId="77777777" w:rsidR="008C5CFA" w:rsidRPr="001C4484" w:rsidRDefault="00E82A60" w:rsidP="00300A01">
            <w:pPr>
              <w:spacing w:before="0" w:after="0"/>
              <w:rPr>
                <w:sz w:val="10"/>
                <w:szCs w:val="10"/>
                <w:lang w:val="fr-BE"/>
              </w:rPr>
            </w:pPr>
            <w:r w:rsidRPr="001C4484">
              <w:rPr>
                <w:noProof/>
                <w:sz w:val="10"/>
                <w:szCs w:val="10"/>
                <w:lang w:val="fr-BE"/>
              </w:rPr>
              <w:t>osoby z wykształceniem wyższym (ISCED 5 do 8)</w:t>
            </w:r>
          </w:p>
        </w:tc>
        <w:tc>
          <w:tcPr>
            <w:tcW w:w="0" w:type="auto"/>
            <w:shd w:val="clear" w:color="auto" w:fill="auto"/>
          </w:tcPr>
          <w:p w14:paraId="2522C6F8"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4237DD41"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742FD330"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69C5CAB3" w14:textId="77777777" w:rsidR="008C5CFA" w:rsidRPr="001C4484" w:rsidRDefault="00E82A60" w:rsidP="00300A01">
            <w:pPr>
              <w:spacing w:before="0" w:after="0"/>
              <w:jc w:val="right"/>
              <w:rPr>
                <w:sz w:val="10"/>
                <w:szCs w:val="10"/>
                <w:lang w:val="fr-BE"/>
              </w:rPr>
            </w:pPr>
            <w:r w:rsidRPr="001C4484">
              <w:rPr>
                <w:noProof/>
                <w:sz w:val="10"/>
                <w:szCs w:val="10"/>
              </w:rPr>
              <w:t>0,00</w:t>
            </w:r>
          </w:p>
        </w:tc>
        <w:tc>
          <w:tcPr>
            <w:tcW w:w="0" w:type="auto"/>
          </w:tcPr>
          <w:p w14:paraId="63FE3561"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2A52A9D9"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404ABAFB" w14:textId="77777777" w:rsidR="008C5CFA" w:rsidRPr="001C4484" w:rsidRDefault="00E82A60" w:rsidP="00300A01">
            <w:pPr>
              <w:spacing w:before="0" w:after="0"/>
              <w:jc w:val="right"/>
              <w:rPr>
                <w:sz w:val="10"/>
                <w:szCs w:val="10"/>
                <w:lang w:val="fr-BE"/>
              </w:rPr>
            </w:pPr>
            <w:r w:rsidRPr="001C4484">
              <w:rPr>
                <w:noProof/>
                <w:sz w:val="10"/>
                <w:szCs w:val="10"/>
                <w:lang w:val="fr-BE"/>
              </w:rPr>
              <w:t>0,00</w:t>
            </w:r>
          </w:p>
        </w:tc>
      </w:tr>
      <w:tr w:rsidR="006B2EC1" w14:paraId="2BC64669" w14:textId="77777777" w:rsidTr="0047688D">
        <w:tc>
          <w:tcPr>
            <w:tcW w:w="0" w:type="auto"/>
            <w:shd w:val="clear" w:color="auto" w:fill="auto"/>
          </w:tcPr>
          <w:p w14:paraId="646A2F9A" w14:textId="77777777" w:rsidR="008C5CFA" w:rsidRPr="001C4484" w:rsidRDefault="00E82A60" w:rsidP="00300A01">
            <w:pPr>
              <w:spacing w:before="0" w:after="0"/>
              <w:rPr>
                <w:sz w:val="10"/>
                <w:szCs w:val="10"/>
                <w:lang w:val="fr-BE"/>
              </w:rPr>
            </w:pPr>
            <w:r w:rsidRPr="001C4484">
              <w:rPr>
                <w:noProof/>
                <w:sz w:val="10"/>
                <w:szCs w:val="10"/>
                <w:lang w:val="fr-BE"/>
              </w:rPr>
              <w:t>CO15</w:t>
            </w:r>
          </w:p>
        </w:tc>
        <w:tc>
          <w:tcPr>
            <w:tcW w:w="0" w:type="auto"/>
            <w:shd w:val="clear" w:color="auto" w:fill="auto"/>
          </w:tcPr>
          <w:p w14:paraId="58B11670" w14:textId="77777777" w:rsidR="008C5CFA" w:rsidRPr="001C4484" w:rsidRDefault="00E82A60" w:rsidP="00300A01">
            <w:pPr>
              <w:spacing w:before="0" w:after="0"/>
              <w:rPr>
                <w:sz w:val="10"/>
                <w:szCs w:val="10"/>
                <w:lang w:val="fr-BE"/>
              </w:rPr>
            </w:pPr>
            <w:r w:rsidRPr="001C4484">
              <w:rPr>
                <w:noProof/>
                <w:sz w:val="10"/>
                <w:szCs w:val="10"/>
                <w:lang w:val="fr-BE"/>
              </w:rPr>
              <w:t>migranci, uczestnicy obcego pochodzenia, mniejszości (w tym społeczności marginalizowane, takie jak Romowie)</w:t>
            </w:r>
          </w:p>
        </w:tc>
        <w:tc>
          <w:tcPr>
            <w:tcW w:w="0" w:type="auto"/>
            <w:shd w:val="clear" w:color="auto" w:fill="auto"/>
          </w:tcPr>
          <w:p w14:paraId="1CB6AB52"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26D71A18"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2510D221"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1159F370" w14:textId="77777777" w:rsidR="008C5CFA" w:rsidRPr="001C4484" w:rsidRDefault="00E82A60" w:rsidP="00300A01">
            <w:pPr>
              <w:spacing w:before="0" w:after="0"/>
              <w:jc w:val="right"/>
              <w:rPr>
                <w:sz w:val="10"/>
                <w:szCs w:val="10"/>
                <w:lang w:val="fr-BE"/>
              </w:rPr>
            </w:pPr>
            <w:r w:rsidRPr="001C4484">
              <w:rPr>
                <w:noProof/>
                <w:sz w:val="10"/>
                <w:szCs w:val="10"/>
              </w:rPr>
              <w:t>0,00</w:t>
            </w:r>
          </w:p>
        </w:tc>
        <w:tc>
          <w:tcPr>
            <w:tcW w:w="0" w:type="auto"/>
          </w:tcPr>
          <w:p w14:paraId="42DCD30C"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2C995884"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11E57BAD" w14:textId="77777777" w:rsidR="008C5CFA" w:rsidRPr="001C4484" w:rsidRDefault="00E82A60" w:rsidP="00300A01">
            <w:pPr>
              <w:spacing w:before="0" w:after="0"/>
              <w:jc w:val="right"/>
              <w:rPr>
                <w:sz w:val="10"/>
                <w:szCs w:val="10"/>
                <w:lang w:val="fr-BE"/>
              </w:rPr>
            </w:pPr>
            <w:r w:rsidRPr="001C4484">
              <w:rPr>
                <w:noProof/>
                <w:sz w:val="10"/>
                <w:szCs w:val="10"/>
                <w:lang w:val="fr-BE"/>
              </w:rPr>
              <w:t>0,00</w:t>
            </w:r>
          </w:p>
        </w:tc>
      </w:tr>
      <w:tr w:rsidR="006B2EC1" w14:paraId="606F6E5D" w14:textId="77777777" w:rsidTr="0047688D">
        <w:tc>
          <w:tcPr>
            <w:tcW w:w="0" w:type="auto"/>
            <w:shd w:val="clear" w:color="auto" w:fill="auto"/>
          </w:tcPr>
          <w:p w14:paraId="7087E436" w14:textId="77777777" w:rsidR="008C5CFA" w:rsidRPr="001C4484" w:rsidRDefault="00E82A60" w:rsidP="00300A01">
            <w:pPr>
              <w:spacing w:before="0" w:after="0"/>
              <w:rPr>
                <w:sz w:val="10"/>
                <w:szCs w:val="10"/>
                <w:lang w:val="fr-BE"/>
              </w:rPr>
            </w:pPr>
            <w:r w:rsidRPr="001C4484">
              <w:rPr>
                <w:noProof/>
                <w:sz w:val="10"/>
                <w:szCs w:val="10"/>
                <w:lang w:val="fr-BE"/>
              </w:rPr>
              <w:t>CO16</w:t>
            </w:r>
          </w:p>
        </w:tc>
        <w:tc>
          <w:tcPr>
            <w:tcW w:w="0" w:type="auto"/>
            <w:shd w:val="clear" w:color="auto" w:fill="auto"/>
          </w:tcPr>
          <w:p w14:paraId="284AE30E" w14:textId="77777777" w:rsidR="008C5CFA" w:rsidRPr="001C4484" w:rsidRDefault="00E82A60" w:rsidP="00300A01">
            <w:pPr>
              <w:spacing w:before="0" w:after="0"/>
              <w:rPr>
                <w:sz w:val="10"/>
                <w:szCs w:val="10"/>
                <w:lang w:val="fr-BE"/>
              </w:rPr>
            </w:pPr>
            <w:r w:rsidRPr="001C4484">
              <w:rPr>
                <w:noProof/>
                <w:sz w:val="10"/>
                <w:szCs w:val="10"/>
                <w:lang w:val="fr-BE"/>
              </w:rPr>
              <w:t>uczestnicy z niepełnosprawnościami</w:t>
            </w:r>
          </w:p>
        </w:tc>
        <w:tc>
          <w:tcPr>
            <w:tcW w:w="0" w:type="auto"/>
            <w:shd w:val="clear" w:color="auto" w:fill="auto"/>
          </w:tcPr>
          <w:p w14:paraId="5BF5583E"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6E47194A"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38A212C3"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3CB68574" w14:textId="77777777" w:rsidR="008C5CFA" w:rsidRPr="001C4484" w:rsidRDefault="00E82A60" w:rsidP="00300A01">
            <w:pPr>
              <w:spacing w:before="0" w:after="0"/>
              <w:jc w:val="right"/>
              <w:rPr>
                <w:sz w:val="10"/>
                <w:szCs w:val="10"/>
                <w:lang w:val="fr-BE"/>
              </w:rPr>
            </w:pPr>
            <w:r w:rsidRPr="001C4484">
              <w:rPr>
                <w:noProof/>
                <w:sz w:val="10"/>
                <w:szCs w:val="10"/>
              </w:rPr>
              <w:t>0,00</w:t>
            </w:r>
          </w:p>
        </w:tc>
        <w:tc>
          <w:tcPr>
            <w:tcW w:w="0" w:type="auto"/>
          </w:tcPr>
          <w:p w14:paraId="412A78F9"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156FCD63"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7D271C23" w14:textId="77777777" w:rsidR="008C5CFA" w:rsidRPr="001C4484" w:rsidRDefault="00E82A60" w:rsidP="00300A01">
            <w:pPr>
              <w:spacing w:before="0" w:after="0"/>
              <w:jc w:val="right"/>
              <w:rPr>
                <w:sz w:val="10"/>
                <w:szCs w:val="10"/>
                <w:lang w:val="fr-BE"/>
              </w:rPr>
            </w:pPr>
            <w:r w:rsidRPr="001C4484">
              <w:rPr>
                <w:noProof/>
                <w:sz w:val="10"/>
                <w:szCs w:val="10"/>
                <w:lang w:val="fr-BE"/>
              </w:rPr>
              <w:t>0,00</w:t>
            </w:r>
          </w:p>
        </w:tc>
      </w:tr>
      <w:tr w:rsidR="006B2EC1" w14:paraId="17EC041F" w14:textId="77777777" w:rsidTr="0047688D">
        <w:tc>
          <w:tcPr>
            <w:tcW w:w="0" w:type="auto"/>
            <w:shd w:val="clear" w:color="auto" w:fill="auto"/>
          </w:tcPr>
          <w:p w14:paraId="2DE9C52C" w14:textId="77777777" w:rsidR="008C5CFA" w:rsidRPr="001C4484" w:rsidRDefault="00E82A60" w:rsidP="00300A01">
            <w:pPr>
              <w:spacing w:before="0" w:after="0"/>
              <w:rPr>
                <w:sz w:val="10"/>
                <w:szCs w:val="10"/>
                <w:lang w:val="fr-BE"/>
              </w:rPr>
            </w:pPr>
            <w:r w:rsidRPr="001C4484">
              <w:rPr>
                <w:noProof/>
                <w:sz w:val="10"/>
                <w:szCs w:val="10"/>
                <w:lang w:val="fr-BE"/>
              </w:rPr>
              <w:t>CO17</w:t>
            </w:r>
          </w:p>
        </w:tc>
        <w:tc>
          <w:tcPr>
            <w:tcW w:w="0" w:type="auto"/>
            <w:shd w:val="clear" w:color="auto" w:fill="auto"/>
          </w:tcPr>
          <w:p w14:paraId="7C3DE539" w14:textId="77777777" w:rsidR="008C5CFA" w:rsidRPr="001C4484" w:rsidRDefault="00E82A60" w:rsidP="00300A01">
            <w:pPr>
              <w:spacing w:before="0" w:after="0"/>
              <w:rPr>
                <w:sz w:val="10"/>
                <w:szCs w:val="10"/>
                <w:lang w:val="fr-BE"/>
              </w:rPr>
            </w:pPr>
            <w:r w:rsidRPr="001C4484">
              <w:rPr>
                <w:noProof/>
                <w:sz w:val="10"/>
                <w:szCs w:val="10"/>
                <w:lang w:val="fr-BE"/>
              </w:rPr>
              <w:t>inne osoby w niekorzystnej sytuacji społecznej</w:t>
            </w:r>
          </w:p>
        </w:tc>
        <w:tc>
          <w:tcPr>
            <w:tcW w:w="0" w:type="auto"/>
            <w:shd w:val="clear" w:color="auto" w:fill="auto"/>
          </w:tcPr>
          <w:p w14:paraId="6D8FBD68"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3E6228CE"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56C44193"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42147CF8" w14:textId="77777777" w:rsidR="008C5CFA" w:rsidRPr="001C4484" w:rsidRDefault="00E82A60" w:rsidP="00300A01">
            <w:pPr>
              <w:spacing w:before="0" w:after="0"/>
              <w:jc w:val="right"/>
              <w:rPr>
                <w:sz w:val="10"/>
                <w:szCs w:val="10"/>
                <w:lang w:val="fr-BE"/>
              </w:rPr>
            </w:pPr>
            <w:r w:rsidRPr="001C4484">
              <w:rPr>
                <w:noProof/>
                <w:sz w:val="10"/>
                <w:szCs w:val="10"/>
              </w:rPr>
              <w:t>0,00</w:t>
            </w:r>
          </w:p>
        </w:tc>
        <w:tc>
          <w:tcPr>
            <w:tcW w:w="0" w:type="auto"/>
          </w:tcPr>
          <w:p w14:paraId="270B0465"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6CB46969"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603CCF5D" w14:textId="77777777" w:rsidR="008C5CFA" w:rsidRPr="001C4484" w:rsidRDefault="00E82A60" w:rsidP="00300A01">
            <w:pPr>
              <w:spacing w:before="0" w:after="0"/>
              <w:jc w:val="right"/>
              <w:rPr>
                <w:sz w:val="10"/>
                <w:szCs w:val="10"/>
                <w:lang w:val="fr-BE"/>
              </w:rPr>
            </w:pPr>
            <w:r w:rsidRPr="001C4484">
              <w:rPr>
                <w:noProof/>
                <w:sz w:val="10"/>
                <w:szCs w:val="10"/>
                <w:lang w:val="fr-BE"/>
              </w:rPr>
              <w:t>0,00</w:t>
            </w:r>
          </w:p>
        </w:tc>
      </w:tr>
      <w:tr w:rsidR="006B2EC1" w14:paraId="5F94DD47" w14:textId="77777777" w:rsidTr="0047688D">
        <w:tc>
          <w:tcPr>
            <w:tcW w:w="0" w:type="auto"/>
            <w:shd w:val="clear" w:color="auto" w:fill="auto"/>
          </w:tcPr>
          <w:p w14:paraId="5466CADD" w14:textId="77777777" w:rsidR="008C5CFA" w:rsidRPr="001C4484" w:rsidRDefault="00E82A60" w:rsidP="00300A01">
            <w:pPr>
              <w:spacing w:before="0" w:after="0"/>
              <w:rPr>
                <w:sz w:val="10"/>
                <w:szCs w:val="10"/>
                <w:lang w:val="fr-BE"/>
              </w:rPr>
            </w:pPr>
            <w:r w:rsidRPr="001C4484">
              <w:rPr>
                <w:noProof/>
                <w:sz w:val="10"/>
                <w:szCs w:val="10"/>
                <w:lang w:val="fr-BE"/>
              </w:rPr>
              <w:t>CO18</w:t>
            </w:r>
          </w:p>
        </w:tc>
        <w:tc>
          <w:tcPr>
            <w:tcW w:w="0" w:type="auto"/>
            <w:shd w:val="clear" w:color="auto" w:fill="auto"/>
          </w:tcPr>
          <w:p w14:paraId="06816392" w14:textId="77777777" w:rsidR="008C5CFA" w:rsidRPr="001C4484" w:rsidRDefault="00E82A60" w:rsidP="00300A01">
            <w:pPr>
              <w:spacing w:before="0" w:after="0"/>
              <w:rPr>
                <w:sz w:val="10"/>
                <w:szCs w:val="10"/>
                <w:lang w:val="fr-BE"/>
              </w:rPr>
            </w:pPr>
            <w:r w:rsidRPr="001C4484">
              <w:rPr>
                <w:noProof/>
                <w:sz w:val="10"/>
                <w:szCs w:val="10"/>
                <w:lang w:val="fr-BE"/>
              </w:rPr>
              <w:t>osoby bezdomne lub dotknięte wykluczeniem z dostępu do mieszkań</w:t>
            </w:r>
          </w:p>
        </w:tc>
        <w:tc>
          <w:tcPr>
            <w:tcW w:w="0" w:type="auto"/>
            <w:shd w:val="clear" w:color="auto" w:fill="auto"/>
          </w:tcPr>
          <w:p w14:paraId="2CD57F01"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15760E3A"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6D0C77C5"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125BC352" w14:textId="77777777" w:rsidR="008C5CFA" w:rsidRPr="001C4484" w:rsidRDefault="00E82A60" w:rsidP="00300A01">
            <w:pPr>
              <w:spacing w:before="0" w:after="0"/>
              <w:jc w:val="right"/>
              <w:rPr>
                <w:sz w:val="10"/>
                <w:szCs w:val="10"/>
                <w:lang w:val="fr-BE"/>
              </w:rPr>
            </w:pPr>
            <w:r w:rsidRPr="001C4484">
              <w:rPr>
                <w:noProof/>
                <w:sz w:val="10"/>
                <w:szCs w:val="10"/>
              </w:rPr>
              <w:t>0,00</w:t>
            </w:r>
          </w:p>
        </w:tc>
        <w:tc>
          <w:tcPr>
            <w:tcW w:w="0" w:type="auto"/>
          </w:tcPr>
          <w:p w14:paraId="6560D2EA"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4E8848B4"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5D59F83B" w14:textId="77777777" w:rsidR="008C5CFA" w:rsidRPr="001C4484" w:rsidRDefault="00E82A60" w:rsidP="00300A01">
            <w:pPr>
              <w:spacing w:before="0" w:after="0"/>
              <w:jc w:val="right"/>
              <w:rPr>
                <w:sz w:val="10"/>
                <w:szCs w:val="10"/>
                <w:lang w:val="fr-BE"/>
              </w:rPr>
            </w:pPr>
            <w:r w:rsidRPr="001C4484">
              <w:rPr>
                <w:noProof/>
                <w:sz w:val="10"/>
                <w:szCs w:val="10"/>
                <w:lang w:val="fr-BE"/>
              </w:rPr>
              <w:t>0,00</w:t>
            </w:r>
          </w:p>
        </w:tc>
      </w:tr>
      <w:tr w:rsidR="006B2EC1" w14:paraId="39D51F43" w14:textId="77777777" w:rsidTr="0047688D">
        <w:tc>
          <w:tcPr>
            <w:tcW w:w="0" w:type="auto"/>
            <w:shd w:val="clear" w:color="auto" w:fill="auto"/>
          </w:tcPr>
          <w:p w14:paraId="6CF9D192" w14:textId="77777777" w:rsidR="008C5CFA" w:rsidRPr="001C4484" w:rsidRDefault="00E82A60" w:rsidP="00300A01">
            <w:pPr>
              <w:spacing w:before="0" w:after="0"/>
              <w:rPr>
                <w:sz w:val="10"/>
                <w:szCs w:val="10"/>
                <w:lang w:val="fr-BE"/>
              </w:rPr>
            </w:pPr>
            <w:r w:rsidRPr="001C4484">
              <w:rPr>
                <w:noProof/>
                <w:sz w:val="10"/>
                <w:szCs w:val="10"/>
                <w:lang w:val="fr-BE"/>
              </w:rPr>
              <w:t>CO19</w:t>
            </w:r>
          </w:p>
        </w:tc>
        <w:tc>
          <w:tcPr>
            <w:tcW w:w="0" w:type="auto"/>
            <w:shd w:val="clear" w:color="auto" w:fill="auto"/>
          </w:tcPr>
          <w:p w14:paraId="46E9B3A4" w14:textId="77777777" w:rsidR="008C5CFA" w:rsidRPr="001C4484" w:rsidRDefault="00E82A60" w:rsidP="00300A01">
            <w:pPr>
              <w:spacing w:before="0" w:after="0"/>
              <w:rPr>
                <w:sz w:val="10"/>
                <w:szCs w:val="10"/>
                <w:lang w:val="fr-BE"/>
              </w:rPr>
            </w:pPr>
            <w:r w:rsidRPr="001C4484">
              <w:rPr>
                <w:noProof/>
                <w:sz w:val="10"/>
                <w:szCs w:val="10"/>
                <w:lang w:val="fr-BE"/>
              </w:rPr>
              <w:t>osoby pochodzące z obszarów wiejskich</w:t>
            </w:r>
          </w:p>
        </w:tc>
        <w:tc>
          <w:tcPr>
            <w:tcW w:w="0" w:type="auto"/>
            <w:shd w:val="clear" w:color="auto" w:fill="auto"/>
          </w:tcPr>
          <w:p w14:paraId="0E9D801C"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4B486A5E"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34257AD4"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1CE5F953" w14:textId="77777777" w:rsidR="008C5CFA" w:rsidRPr="001C4484" w:rsidRDefault="00E82A60" w:rsidP="00300A01">
            <w:pPr>
              <w:spacing w:before="0" w:after="0"/>
              <w:jc w:val="right"/>
              <w:rPr>
                <w:sz w:val="10"/>
                <w:szCs w:val="10"/>
                <w:lang w:val="fr-BE"/>
              </w:rPr>
            </w:pPr>
            <w:r w:rsidRPr="001C4484">
              <w:rPr>
                <w:noProof/>
                <w:sz w:val="10"/>
                <w:szCs w:val="10"/>
              </w:rPr>
              <w:t>0,00</w:t>
            </w:r>
          </w:p>
        </w:tc>
        <w:tc>
          <w:tcPr>
            <w:tcW w:w="0" w:type="auto"/>
          </w:tcPr>
          <w:p w14:paraId="3D9AA49E"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70AA1577"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48066ECA" w14:textId="77777777" w:rsidR="008C5CFA" w:rsidRPr="001C4484" w:rsidRDefault="00E82A60" w:rsidP="00300A01">
            <w:pPr>
              <w:spacing w:before="0" w:after="0"/>
              <w:jc w:val="right"/>
              <w:rPr>
                <w:sz w:val="10"/>
                <w:szCs w:val="10"/>
                <w:lang w:val="fr-BE"/>
              </w:rPr>
            </w:pPr>
            <w:r w:rsidRPr="001C4484">
              <w:rPr>
                <w:noProof/>
                <w:sz w:val="10"/>
                <w:szCs w:val="10"/>
                <w:lang w:val="fr-BE"/>
              </w:rPr>
              <w:t>0,00</w:t>
            </w:r>
          </w:p>
        </w:tc>
      </w:tr>
      <w:tr w:rsidR="006B2EC1" w14:paraId="35E6B10A" w14:textId="77777777" w:rsidTr="0047688D">
        <w:tc>
          <w:tcPr>
            <w:tcW w:w="0" w:type="auto"/>
            <w:shd w:val="clear" w:color="auto" w:fill="auto"/>
          </w:tcPr>
          <w:p w14:paraId="401D2C0D" w14:textId="77777777" w:rsidR="008C5CFA" w:rsidRPr="001C4484" w:rsidRDefault="00E82A60" w:rsidP="00300A01">
            <w:pPr>
              <w:spacing w:before="0" w:after="0"/>
              <w:rPr>
                <w:sz w:val="10"/>
                <w:szCs w:val="10"/>
                <w:lang w:val="fr-BE"/>
              </w:rPr>
            </w:pPr>
            <w:r w:rsidRPr="001C4484">
              <w:rPr>
                <w:noProof/>
                <w:sz w:val="10"/>
                <w:szCs w:val="10"/>
                <w:lang w:val="fr-BE"/>
              </w:rPr>
              <w:t>CO20</w:t>
            </w:r>
          </w:p>
        </w:tc>
        <w:tc>
          <w:tcPr>
            <w:tcW w:w="0" w:type="auto"/>
            <w:shd w:val="clear" w:color="auto" w:fill="auto"/>
          </w:tcPr>
          <w:p w14:paraId="3A2FB8FA" w14:textId="77777777" w:rsidR="008C5CFA" w:rsidRPr="001C4484" w:rsidRDefault="00E82A60" w:rsidP="00300A01">
            <w:pPr>
              <w:spacing w:before="0" w:after="0"/>
              <w:rPr>
                <w:sz w:val="10"/>
                <w:szCs w:val="10"/>
                <w:lang w:val="fr-BE"/>
              </w:rPr>
            </w:pPr>
            <w:r w:rsidRPr="001C4484">
              <w:rPr>
                <w:noProof/>
                <w:sz w:val="10"/>
                <w:szCs w:val="10"/>
                <w:lang w:val="fr-BE"/>
              </w:rPr>
              <w:t>liczba projektów zrealizowanych w pełni lub częściowo przez partnerów społecznych lub organizacje pozarządowe</w:t>
            </w:r>
          </w:p>
        </w:tc>
        <w:tc>
          <w:tcPr>
            <w:tcW w:w="0" w:type="auto"/>
            <w:shd w:val="clear" w:color="auto" w:fill="auto"/>
          </w:tcPr>
          <w:p w14:paraId="53D828E2"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26A54CAE"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2E7B7C3D" w14:textId="77777777" w:rsidR="008C5CFA" w:rsidRPr="001C4484" w:rsidRDefault="008C5CFA" w:rsidP="00300A01">
            <w:pPr>
              <w:spacing w:before="0" w:after="0"/>
              <w:jc w:val="right"/>
              <w:rPr>
                <w:sz w:val="10"/>
                <w:szCs w:val="10"/>
              </w:rPr>
            </w:pPr>
          </w:p>
        </w:tc>
        <w:tc>
          <w:tcPr>
            <w:tcW w:w="0" w:type="auto"/>
            <w:shd w:val="clear" w:color="auto" w:fill="auto"/>
          </w:tcPr>
          <w:p w14:paraId="5259FF82" w14:textId="77777777" w:rsidR="008C5CFA" w:rsidRPr="001C4484" w:rsidRDefault="008C5CFA" w:rsidP="00300A01">
            <w:pPr>
              <w:spacing w:before="0" w:after="0"/>
              <w:jc w:val="right"/>
              <w:rPr>
                <w:sz w:val="10"/>
                <w:szCs w:val="10"/>
                <w:lang w:val="fr-BE"/>
              </w:rPr>
            </w:pPr>
          </w:p>
        </w:tc>
        <w:tc>
          <w:tcPr>
            <w:tcW w:w="0" w:type="auto"/>
          </w:tcPr>
          <w:p w14:paraId="61AC05C7"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1F667E2F" w14:textId="77777777" w:rsidR="008C5CFA" w:rsidRPr="001C4484" w:rsidRDefault="008C5CFA" w:rsidP="00300A01">
            <w:pPr>
              <w:spacing w:before="0" w:after="0"/>
              <w:jc w:val="right"/>
              <w:rPr>
                <w:sz w:val="10"/>
                <w:szCs w:val="10"/>
              </w:rPr>
            </w:pPr>
          </w:p>
        </w:tc>
        <w:tc>
          <w:tcPr>
            <w:tcW w:w="0" w:type="auto"/>
            <w:shd w:val="clear" w:color="auto" w:fill="auto"/>
          </w:tcPr>
          <w:p w14:paraId="3A039137" w14:textId="77777777" w:rsidR="008C5CFA" w:rsidRPr="001C4484" w:rsidRDefault="008C5CFA" w:rsidP="00300A01">
            <w:pPr>
              <w:spacing w:before="0" w:after="0"/>
              <w:jc w:val="right"/>
              <w:rPr>
                <w:sz w:val="10"/>
                <w:szCs w:val="10"/>
                <w:lang w:val="fr-BE"/>
              </w:rPr>
            </w:pPr>
          </w:p>
        </w:tc>
      </w:tr>
      <w:tr w:rsidR="006B2EC1" w14:paraId="5DE93E45" w14:textId="77777777" w:rsidTr="0047688D">
        <w:tc>
          <w:tcPr>
            <w:tcW w:w="0" w:type="auto"/>
            <w:shd w:val="clear" w:color="auto" w:fill="auto"/>
          </w:tcPr>
          <w:p w14:paraId="6E22A01A" w14:textId="77777777" w:rsidR="008C5CFA" w:rsidRPr="001C4484" w:rsidRDefault="00E82A60" w:rsidP="00300A01">
            <w:pPr>
              <w:spacing w:before="0" w:after="0"/>
              <w:rPr>
                <w:sz w:val="10"/>
                <w:szCs w:val="10"/>
                <w:lang w:val="fr-BE"/>
              </w:rPr>
            </w:pPr>
            <w:r w:rsidRPr="001C4484">
              <w:rPr>
                <w:noProof/>
                <w:sz w:val="10"/>
                <w:szCs w:val="10"/>
                <w:lang w:val="fr-BE"/>
              </w:rPr>
              <w:t>CO21</w:t>
            </w:r>
          </w:p>
        </w:tc>
        <w:tc>
          <w:tcPr>
            <w:tcW w:w="0" w:type="auto"/>
            <w:shd w:val="clear" w:color="auto" w:fill="auto"/>
          </w:tcPr>
          <w:p w14:paraId="4164EC9F" w14:textId="77777777" w:rsidR="008C5CFA" w:rsidRPr="001C4484" w:rsidRDefault="00E82A60" w:rsidP="00300A01">
            <w:pPr>
              <w:spacing w:before="0" w:after="0"/>
              <w:rPr>
                <w:sz w:val="10"/>
                <w:szCs w:val="10"/>
                <w:lang w:val="fr-BE"/>
              </w:rPr>
            </w:pPr>
            <w:r w:rsidRPr="001C4484">
              <w:rPr>
                <w:noProof/>
                <w:sz w:val="10"/>
                <w:szCs w:val="10"/>
                <w:lang w:val="fr-BE"/>
              </w:rPr>
              <w:t>liczba projektów ukierunkowanych na trwały udział kobiet w zatrudnieniu i rozwój ich kariery zawodowej</w:t>
            </w:r>
          </w:p>
        </w:tc>
        <w:tc>
          <w:tcPr>
            <w:tcW w:w="0" w:type="auto"/>
            <w:shd w:val="clear" w:color="auto" w:fill="auto"/>
          </w:tcPr>
          <w:p w14:paraId="57D66E3F"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58504299"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1A17CE03" w14:textId="77777777" w:rsidR="008C5CFA" w:rsidRPr="001C4484" w:rsidRDefault="008C5CFA" w:rsidP="00300A01">
            <w:pPr>
              <w:spacing w:before="0" w:after="0"/>
              <w:jc w:val="right"/>
              <w:rPr>
                <w:sz w:val="10"/>
                <w:szCs w:val="10"/>
              </w:rPr>
            </w:pPr>
          </w:p>
        </w:tc>
        <w:tc>
          <w:tcPr>
            <w:tcW w:w="0" w:type="auto"/>
            <w:shd w:val="clear" w:color="auto" w:fill="auto"/>
          </w:tcPr>
          <w:p w14:paraId="1E47082F" w14:textId="77777777" w:rsidR="008C5CFA" w:rsidRPr="001C4484" w:rsidRDefault="008C5CFA" w:rsidP="00300A01">
            <w:pPr>
              <w:spacing w:before="0" w:after="0"/>
              <w:jc w:val="right"/>
              <w:rPr>
                <w:sz w:val="10"/>
                <w:szCs w:val="10"/>
                <w:lang w:val="fr-BE"/>
              </w:rPr>
            </w:pPr>
          </w:p>
        </w:tc>
        <w:tc>
          <w:tcPr>
            <w:tcW w:w="0" w:type="auto"/>
          </w:tcPr>
          <w:p w14:paraId="2611A44E"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0DD904C7" w14:textId="77777777" w:rsidR="008C5CFA" w:rsidRPr="001C4484" w:rsidRDefault="008C5CFA" w:rsidP="00300A01">
            <w:pPr>
              <w:spacing w:before="0" w:after="0"/>
              <w:jc w:val="right"/>
              <w:rPr>
                <w:sz w:val="10"/>
                <w:szCs w:val="10"/>
              </w:rPr>
            </w:pPr>
          </w:p>
        </w:tc>
        <w:tc>
          <w:tcPr>
            <w:tcW w:w="0" w:type="auto"/>
            <w:shd w:val="clear" w:color="auto" w:fill="auto"/>
          </w:tcPr>
          <w:p w14:paraId="599901DC" w14:textId="77777777" w:rsidR="008C5CFA" w:rsidRPr="001C4484" w:rsidRDefault="008C5CFA" w:rsidP="00300A01">
            <w:pPr>
              <w:spacing w:before="0" w:after="0"/>
              <w:jc w:val="right"/>
              <w:rPr>
                <w:sz w:val="10"/>
                <w:szCs w:val="10"/>
                <w:lang w:val="fr-BE"/>
              </w:rPr>
            </w:pPr>
          </w:p>
        </w:tc>
      </w:tr>
      <w:tr w:rsidR="006B2EC1" w14:paraId="1E0AD9C2" w14:textId="77777777" w:rsidTr="0047688D">
        <w:tc>
          <w:tcPr>
            <w:tcW w:w="0" w:type="auto"/>
            <w:shd w:val="clear" w:color="auto" w:fill="auto"/>
          </w:tcPr>
          <w:p w14:paraId="5806C5BD" w14:textId="77777777" w:rsidR="008C5CFA" w:rsidRPr="001C4484" w:rsidRDefault="00E82A60" w:rsidP="00300A01">
            <w:pPr>
              <w:spacing w:before="0" w:after="0"/>
              <w:rPr>
                <w:sz w:val="10"/>
                <w:szCs w:val="10"/>
                <w:lang w:val="fr-BE"/>
              </w:rPr>
            </w:pPr>
            <w:r w:rsidRPr="001C4484">
              <w:rPr>
                <w:noProof/>
                <w:sz w:val="10"/>
                <w:szCs w:val="10"/>
                <w:lang w:val="fr-BE"/>
              </w:rPr>
              <w:t>CO22</w:t>
            </w:r>
          </w:p>
        </w:tc>
        <w:tc>
          <w:tcPr>
            <w:tcW w:w="0" w:type="auto"/>
            <w:shd w:val="clear" w:color="auto" w:fill="auto"/>
          </w:tcPr>
          <w:p w14:paraId="16DCDA59" w14:textId="77777777" w:rsidR="008C5CFA" w:rsidRPr="001C4484" w:rsidRDefault="00E82A60" w:rsidP="00300A01">
            <w:pPr>
              <w:spacing w:before="0" w:after="0"/>
              <w:rPr>
                <w:sz w:val="10"/>
                <w:szCs w:val="10"/>
                <w:lang w:val="fr-BE"/>
              </w:rPr>
            </w:pPr>
            <w:r w:rsidRPr="001C4484">
              <w:rPr>
                <w:noProof/>
                <w:sz w:val="10"/>
                <w:szCs w:val="10"/>
                <w:lang w:val="fr-BE"/>
              </w:rPr>
              <w:t>liczba projektów obejmujących administrację publiczną lub służby publiczne na szczeblu krajowym, regionalnym lub lokalnym</w:t>
            </w:r>
          </w:p>
        </w:tc>
        <w:tc>
          <w:tcPr>
            <w:tcW w:w="0" w:type="auto"/>
            <w:shd w:val="clear" w:color="auto" w:fill="auto"/>
          </w:tcPr>
          <w:p w14:paraId="31B15762"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7B721647"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62CD8D2A" w14:textId="77777777" w:rsidR="008C5CFA" w:rsidRPr="001C4484" w:rsidRDefault="008C5CFA" w:rsidP="00300A01">
            <w:pPr>
              <w:spacing w:before="0" w:after="0"/>
              <w:jc w:val="right"/>
              <w:rPr>
                <w:sz w:val="10"/>
                <w:szCs w:val="10"/>
              </w:rPr>
            </w:pPr>
          </w:p>
        </w:tc>
        <w:tc>
          <w:tcPr>
            <w:tcW w:w="0" w:type="auto"/>
            <w:shd w:val="clear" w:color="auto" w:fill="auto"/>
          </w:tcPr>
          <w:p w14:paraId="02AD6957" w14:textId="77777777" w:rsidR="008C5CFA" w:rsidRPr="001C4484" w:rsidRDefault="008C5CFA" w:rsidP="00300A01">
            <w:pPr>
              <w:spacing w:before="0" w:after="0"/>
              <w:jc w:val="right"/>
              <w:rPr>
                <w:sz w:val="10"/>
                <w:szCs w:val="10"/>
                <w:lang w:val="fr-BE"/>
              </w:rPr>
            </w:pPr>
          </w:p>
        </w:tc>
        <w:tc>
          <w:tcPr>
            <w:tcW w:w="0" w:type="auto"/>
          </w:tcPr>
          <w:p w14:paraId="51AEE35B"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3D54EF1B" w14:textId="77777777" w:rsidR="008C5CFA" w:rsidRPr="001C4484" w:rsidRDefault="008C5CFA" w:rsidP="00300A01">
            <w:pPr>
              <w:spacing w:before="0" w:after="0"/>
              <w:jc w:val="right"/>
              <w:rPr>
                <w:sz w:val="10"/>
                <w:szCs w:val="10"/>
              </w:rPr>
            </w:pPr>
          </w:p>
        </w:tc>
        <w:tc>
          <w:tcPr>
            <w:tcW w:w="0" w:type="auto"/>
            <w:shd w:val="clear" w:color="auto" w:fill="auto"/>
          </w:tcPr>
          <w:p w14:paraId="7E65AF81" w14:textId="77777777" w:rsidR="008C5CFA" w:rsidRPr="001C4484" w:rsidRDefault="008C5CFA" w:rsidP="00300A01">
            <w:pPr>
              <w:spacing w:before="0" w:after="0"/>
              <w:jc w:val="right"/>
              <w:rPr>
                <w:sz w:val="10"/>
                <w:szCs w:val="10"/>
                <w:lang w:val="fr-BE"/>
              </w:rPr>
            </w:pPr>
          </w:p>
        </w:tc>
      </w:tr>
      <w:tr w:rsidR="006B2EC1" w14:paraId="3B2D34A3" w14:textId="77777777" w:rsidTr="0047688D">
        <w:tc>
          <w:tcPr>
            <w:tcW w:w="0" w:type="auto"/>
            <w:shd w:val="clear" w:color="auto" w:fill="auto"/>
          </w:tcPr>
          <w:p w14:paraId="21509E8D" w14:textId="77777777" w:rsidR="008C5CFA" w:rsidRPr="001C4484" w:rsidRDefault="00E82A60" w:rsidP="00300A01">
            <w:pPr>
              <w:spacing w:before="0" w:after="0"/>
              <w:rPr>
                <w:sz w:val="10"/>
                <w:szCs w:val="10"/>
                <w:lang w:val="fr-BE"/>
              </w:rPr>
            </w:pPr>
            <w:r w:rsidRPr="001C4484">
              <w:rPr>
                <w:noProof/>
                <w:sz w:val="10"/>
                <w:szCs w:val="10"/>
                <w:lang w:val="fr-BE"/>
              </w:rPr>
              <w:t>CO23</w:t>
            </w:r>
          </w:p>
        </w:tc>
        <w:tc>
          <w:tcPr>
            <w:tcW w:w="0" w:type="auto"/>
            <w:shd w:val="clear" w:color="auto" w:fill="auto"/>
          </w:tcPr>
          <w:p w14:paraId="2CDF4E1B" w14:textId="77777777" w:rsidR="008C5CFA" w:rsidRPr="001C4484" w:rsidRDefault="00E82A60" w:rsidP="00300A01">
            <w:pPr>
              <w:spacing w:before="0" w:after="0"/>
              <w:rPr>
                <w:sz w:val="10"/>
                <w:szCs w:val="10"/>
                <w:lang w:val="fr-BE"/>
              </w:rPr>
            </w:pPr>
            <w:r w:rsidRPr="001C4484">
              <w:rPr>
                <w:noProof/>
                <w:sz w:val="10"/>
                <w:szCs w:val="10"/>
                <w:lang w:val="fr-BE"/>
              </w:rPr>
              <w:t>liczba objętych wsparciem mikro-, małych i średnich przedsiębiorstw (w tym przedsiębiorstw spółdzielczych i przedsiębiorstw gospodarki społecznej)</w:t>
            </w:r>
          </w:p>
        </w:tc>
        <w:tc>
          <w:tcPr>
            <w:tcW w:w="0" w:type="auto"/>
            <w:shd w:val="clear" w:color="auto" w:fill="auto"/>
          </w:tcPr>
          <w:p w14:paraId="0DC43535"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3B39EC19"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38235D9D" w14:textId="77777777" w:rsidR="008C5CFA" w:rsidRPr="001C4484" w:rsidRDefault="008C5CFA" w:rsidP="00300A01">
            <w:pPr>
              <w:spacing w:before="0" w:after="0"/>
              <w:jc w:val="right"/>
              <w:rPr>
                <w:sz w:val="10"/>
                <w:szCs w:val="10"/>
              </w:rPr>
            </w:pPr>
          </w:p>
        </w:tc>
        <w:tc>
          <w:tcPr>
            <w:tcW w:w="0" w:type="auto"/>
            <w:shd w:val="clear" w:color="auto" w:fill="auto"/>
          </w:tcPr>
          <w:p w14:paraId="3FCB2468" w14:textId="77777777" w:rsidR="008C5CFA" w:rsidRPr="001C4484" w:rsidRDefault="008C5CFA" w:rsidP="00300A01">
            <w:pPr>
              <w:spacing w:before="0" w:after="0"/>
              <w:jc w:val="right"/>
              <w:rPr>
                <w:sz w:val="10"/>
                <w:szCs w:val="10"/>
                <w:lang w:val="fr-BE"/>
              </w:rPr>
            </w:pPr>
          </w:p>
        </w:tc>
        <w:tc>
          <w:tcPr>
            <w:tcW w:w="0" w:type="auto"/>
          </w:tcPr>
          <w:p w14:paraId="6F40717C"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164E9BBC" w14:textId="77777777" w:rsidR="008C5CFA" w:rsidRPr="001C4484" w:rsidRDefault="008C5CFA" w:rsidP="00300A01">
            <w:pPr>
              <w:spacing w:before="0" w:after="0"/>
              <w:jc w:val="right"/>
              <w:rPr>
                <w:sz w:val="10"/>
                <w:szCs w:val="10"/>
              </w:rPr>
            </w:pPr>
          </w:p>
        </w:tc>
        <w:tc>
          <w:tcPr>
            <w:tcW w:w="0" w:type="auto"/>
            <w:shd w:val="clear" w:color="auto" w:fill="auto"/>
          </w:tcPr>
          <w:p w14:paraId="60B92E2C" w14:textId="77777777" w:rsidR="008C5CFA" w:rsidRPr="001C4484" w:rsidRDefault="008C5CFA" w:rsidP="00300A01">
            <w:pPr>
              <w:spacing w:before="0" w:after="0"/>
              <w:jc w:val="right"/>
              <w:rPr>
                <w:sz w:val="10"/>
                <w:szCs w:val="10"/>
                <w:lang w:val="fr-BE"/>
              </w:rPr>
            </w:pPr>
          </w:p>
        </w:tc>
      </w:tr>
      <w:tr w:rsidR="006B2EC1" w14:paraId="28901D2C" w14:textId="77777777" w:rsidTr="0047688D">
        <w:tc>
          <w:tcPr>
            <w:tcW w:w="0" w:type="auto"/>
            <w:shd w:val="clear" w:color="auto" w:fill="auto"/>
          </w:tcPr>
          <w:p w14:paraId="50492535" w14:textId="77777777" w:rsidR="008C5CFA" w:rsidRPr="001C4484" w:rsidRDefault="008C5CFA" w:rsidP="00300A01">
            <w:pPr>
              <w:spacing w:before="0" w:after="0"/>
              <w:rPr>
                <w:sz w:val="10"/>
                <w:szCs w:val="10"/>
                <w:lang w:val="fr-BE"/>
              </w:rPr>
            </w:pPr>
          </w:p>
        </w:tc>
        <w:tc>
          <w:tcPr>
            <w:tcW w:w="0" w:type="auto"/>
            <w:shd w:val="clear" w:color="auto" w:fill="auto"/>
          </w:tcPr>
          <w:p w14:paraId="212553D9" w14:textId="77777777" w:rsidR="008C5CFA" w:rsidRPr="001C4484" w:rsidRDefault="00E82A60" w:rsidP="00300A01">
            <w:pPr>
              <w:spacing w:before="0" w:after="0"/>
              <w:rPr>
                <w:sz w:val="10"/>
                <w:szCs w:val="10"/>
                <w:lang w:val="fr-BE"/>
              </w:rPr>
            </w:pPr>
            <w:r w:rsidRPr="001C4484">
              <w:rPr>
                <w:noProof/>
                <w:sz w:val="10"/>
                <w:szCs w:val="10"/>
                <w:lang w:val="fr-BE"/>
              </w:rPr>
              <w:t>Całkowita łączna liczba uczestników</w:t>
            </w:r>
          </w:p>
        </w:tc>
        <w:tc>
          <w:tcPr>
            <w:tcW w:w="0" w:type="auto"/>
            <w:shd w:val="clear" w:color="auto" w:fill="auto"/>
          </w:tcPr>
          <w:p w14:paraId="300E6D65" w14:textId="77777777" w:rsidR="008C5CFA" w:rsidRPr="001C4484" w:rsidRDefault="008C5CFA" w:rsidP="00300A01">
            <w:pPr>
              <w:spacing w:before="0" w:after="0"/>
              <w:rPr>
                <w:sz w:val="10"/>
                <w:szCs w:val="10"/>
                <w:lang w:val="fr-BE"/>
              </w:rPr>
            </w:pPr>
          </w:p>
        </w:tc>
        <w:tc>
          <w:tcPr>
            <w:tcW w:w="0" w:type="auto"/>
          </w:tcPr>
          <w:p w14:paraId="3487930F"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50217858" w14:textId="77777777" w:rsidR="008C5CFA" w:rsidRPr="001C4484" w:rsidRDefault="008C5CFA" w:rsidP="00300A01">
            <w:pPr>
              <w:spacing w:before="0" w:after="0"/>
              <w:jc w:val="right"/>
              <w:rPr>
                <w:sz w:val="10"/>
                <w:szCs w:val="10"/>
              </w:rPr>
            </w:pPr>
          </w:p>
        </w:tc>
        <w:tc>
          <w:tcPr>
            <w:tcW w:w="0" w:type="auto"/>
            <w:shd w:val="clear" w:color="auto" w:fill="auto"/>
          </w:tcPr>
          <w:p w14:paraId="2F12B644" w14:textId="77777777" w:rsidR="008C5CFA" w:rsidRPr="001C4484" w:rsidRDefault="008C5CFA" w:rsidP="00300A01">
            <w:pPr>
              <w:spacing w:before="0" w:after="0"/>
              <w:jc w:val="right"/>
              <w:rPr>
                <w:sz w:val="10"/>
                <w:szCs w:val="10"/>
                <w:lang w:val="fr-BE"/>
              </w:rPr>
            </w:pPr>
          </w:p>
        </w:tc>
        <w:tc>
          <w:tcPr>
            <w:tcW w:w="0" w:type="auto"/>
          </w:tcPr>
          <w:p w14:paraId="7BE71090"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6A73578D" w14:textId="77777777" w:rsidR="008C5CFA" w:rsidRPr="001C4484" w:rsidRDefault="008C5CFA" w:rsidP="00300A01">
            <w:pPr>
              <w:spacing w:before="0" w:after="0"/>
              <w:jc w:val="right"/>
              <w:rPr>
                <w:sz w:val="10"/>
                <w:szCs w:val="10"/>
              </w:rPr>
            </w:pPr>
          </w:p>
        </w:tc>
        <w:tc>
          <w:tcPr>
            <w:tcW w:w="0" w:type="auto"/>
            <w:shd w:val="clear" w:color="auto" w:fill="auto"/>
          </w:tcPr>
          <w:p w14:paraId="65F2A425" w14:textId="77777777" w:rsidR="008C5CFA" w:rsidRPr="001C4484" w:rsidRDefault="008C5CFA" w:rsidP="00300A01">
            <w:pPr>
              <w:spacing w:before="0" w:after="0"/>
              <w:jc w:val="right"/>
              <w:rPr>
                <w:sz w:val="10"/>
                <w:szCs w:val="10"/>
                <w:lang w:val="fr-BE"/>
              </w:rPr>
            </w:pPr>
          </w:p>
        </w:tc>
      </w:tr>
    </w:tbl>
    <w:p w14:paraId="3BBBF2E2" w14:textId="77777777" w:rsidR="008C5CFA" w:rsidRDefault="00E82A60" w:rsidP="00300A01">
      <w:pPr>
        <w:spacing w:before="0" w:after="0"/>
        <w:rPr>
          <w:lang w:val="fr-BE"/>
        </w:rPr>
      </w:pPr>
      <w:r>
        <w:rPr>
          <w:lang w:val="fr-BE"/>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9"/>
        <w:gridCol w:w="9965"/>
      </w:tblGrid>
      <w:tr w:rsidR="006B2EC1" w14:paraId="1F1DC43B" w14:textId="77777777" w:rsidTr="0047688D">
        <w:tc>
          <w:tcPr>
            <w:tcW w:w="0" w:type="auto"/>
            <w:shd w:val="clear" w:color="auto" w:fill="auto"/>
          </w:tcPr>
          <w:p w14:paraId="34619009" w14:textId="77777777" w:rsidR="008C5CFA" w:rsidRPr="002124FC" w:rsidRDefault="00E82A60" w:rsidP="00300A01">
            <w:pPr>
              <w:spacing w:before="0" w:after="0"/>
              <w:rPr>
                <w:sz w:val="20"/>
                <w:szCs w:val="20"/>
                <w:lang w:val="fr-BE"/>
              </w:rPr>
            </w:pPr>
            <w:r>
              <w:rPr>
                <w:lang w:val="fr-BE"/>
              </w:rPr>
              <w:lastRenderedPageBreak/>
              <w:br w:type="page"/>
            </w:r>
            <w:r>
              <w:rPr>
                <w:lang w:val="fr-BE"/>
              </w:rPr>
              <w:br w:type="page"/>
            </w:r>
            <w:r w:rsidRPr="002124FC">
              <w:rPr>
                <w:noProof/>
                <w:sz w:val="20"/>
                <w:szCs w:val="20"/>
                <w:lang w:val="fr-BE"/>
              </w:rPr>
              <w:t>Oś priorytetowa</w:t>
            </w:r>
          </w:p>
        </w:tc>
        <w:tc>
          <w:tcPr>
            <w:tcW w:w="0" w:type="auto"/>
            <w:shd w:val="clear" w:color="auto" w:fill="auto"/>
          </w:tcPr>
          <w:p w14:paraId="1DDF6B22" w14:textId="77777777" w:rsidR="008C5CFA" w:rsidRPr="002124FC" w:rsidRDefault="00E82A60" w:rsidP="00300A01">
            <w:pPr>
              <w:spacing w:before="0" w:after="0"/>
              <w:rPr>
                <w:sz w:val="20"/>
                <w:szCs w:val="20"/>
                <w:lang w:val="fr-BE"/>
              </w:rPr>
            </w:pPr>
            <w:r w:rsidRPr="002124FC">
              <w:rPr>
                <w:noProof/>
                <w:sz w:val="20"/>
                <w:szCs w:val="20"/>
                <w:lang w:val="fr-BE"/>
              </w:rPr>
              <w:t>8</w:t>
            </w:r>
            <w:r w:rsidRPr="002124FC">
              <w:rPr>
                <w:sz w:val="20"/>
                <w:szCs w:val="20"/>
                <w:lang w:val="fr-BE"/>
              </w:rPr>
              <w:t xml:space="preserve"> - </w:t>
            </w:r>
            <w:r w:rsidRPr="002124FC">
              <w:rPr>
                <w:noProof/>
                <w:sz w:val="20"/>
                <w:szCs w:val="20"/>
                <w:lang w:val="fr-BE"/>
              </w:rPr>
              <w:t>Rozwój edukacji i aktywne społeczeństwo</w:t>
            </w:r>
          </w:p>
        </w:tc>
      </w:tr>
      <w:tr w:rsidR="006B2EC1" w14:paraId="3A01667B" w14:textId="77777777" w:rsidTr="0047688D">
        <w:tc>
          <w:tcPr>
            <w:tcW w:w="0" w:type="auto"/>
            <w:shd w:val="clear" w:color="auto" w:fill="auto"/>
          </w:tcPr>
          <w:p w14:paraId="53FDCCD8" w14:textId="77777777" w:rsidR="008C5CFA" w:rsidRPr="002124FC" w:rsidRDefault="00E82A60"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14:paraId="4AA86A43" w14:textId="77777777" w:rsidR="008C5CFA" w:rsidRPr="002124FC" w:rsidRDefault="00E82A60" w:rsidP="00300A01">
            <w:pPr>
              <w:spacing w:before="0" w:after="0"/>
              <w:rPr>
                <w:sz w:val="20"/>
                <w:szCs w:val="20"/>
                <w:lang w:val="fr-BE"/>
              </w:rPr>
            </w:pPr>
            <w:r w:rsidRPr="002124FC">
              <w:rPr>
                <w:noProof/>
                <w:sz w:val="20"/>
                <w:szCs w:val="20"/>
                <w:lang w:val="fr-BE"/>
              </w:rPr>
              <w:t>8vi</w:t>
            </w:r>
            <w:r w:rsidRPr="002124FC">
              <w:rPr>
                <w:sz w:val="20"/>
                <w:szCs w:val="20"/>
                <w:lang w:val="fr-BE"/>
              </w:rPr>
              <w:t xml:space="preserve"> - </w:t>
            </w:r>
            <w:r w:rsidRPr="002124FC">
              <w:rPr>
                <w:noProof/>
                <w:sz w:val="20"/>
                <w:szCs w:val="20"/>
                <w:lang w:val="fr-BE"/>
              </w:rPr>
              <w:t>Aktywne i zdrowe starzenie się</w:t>
            </w:r>
          </w:p>
        </w:tc>
      </w:tr>
    </w:tbl>
    <w:p w14:paraId="62C543DD" w14:textId="77777777" w:rsidR="008C5CFA" w:rsidRDefault="008C5CFA" w:rsidP="00300A01">
      <w:pPr>
        <w:spacing w:before="0" w:after="0"/>
      </w:pPr>
    </w:p>
    <w:p w14:paraId="44C9648E" w14:textId="77777777" w:rsidR="008C5CFA" w:rsidRPr="008E457C" w:rsidRDefault="00E82A60" w:rsidP="00300A01">
      <w:pPr>
        <w:pStyle w:val="Nagwek2"/>
        <w:spacing w:before="0" w:after="0"/>
        <w:rPr>
          <w:b w:val="0"/>
        </w:rPr>
      </w:pPr>
      <w:bookmarkStart w:id="54" w:name="_Toc46391738"/>
      <w:r w:rsidRPr="008E457C">
        <w:rPr>
          <w:b w:val="0"/>
          <w:noProof/>
          <w:lang w:val="fr-BE"/>
        </w:rPr>
        <w:t>Tabela 4B Specyficzne dla programu wskaźniki produktu dla EFS oraz Inicjatywy na rzecz zatrudnienia ludzi młodych</w:t>
      </w:r>
      <w:r w:rsidR="009A51C8">
        <w:rPr>
          <w:b w:val="0"/>
        </w:rPr>
        <w:t xml:space="preserve"> - </w:t>
      </w:r>
      <w:r w:rsidR="009A51C8" w:rsidRPr="002124FC">
        <w:rPr>
          <w:noProof/>
          <w:sz w:val="20"/>
          <w:szCs w:val="20"/>
          <w:lang w:val="fr-BE"/>
        </w:rPr>
        <w:t>8</w:t>
      </w:r>
      <w:bookmarkEnd w:id="54"/>
    </w:p>
    <w:p w14:paraId="7D236B4E" w14:textId="77777777" w:rsidR="008C5CFA" w:rsidRDefault="008C5CFA" w:rsidP="00300A01">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04"/>
        <w:gridCol w:w="5944"/>
        <w:gridCol w:w="1028"/>
        <w:gridCol w:w="951"/>
        <w:gridCol w:w="590"/>
        <w:gridCol w:w="648"/>
        <w:gridCol w:w="520"/>
        <w:gridCol w:w="590"/>
        <w:gridCol w:w="648"/>
        <w:gridCol w:w="520"/>
        <w:gridCol w:w="515"/>
        <w:gridCol w:w="648"/>
        <w:gridCol w:w="520"/>
        <w:gridCol w:w="590"/>
        <w:gridCol w:w="648"/>
        <w:gridCol w:w="520"/>
      </w:tblGrid>
      <w:tr w:rsidR="006B2EC1" w14:paraId="1ABD3BB8" w14:textId="77777777" w:rsidTr="002A1502">
        <w:trPr>
          <w:tblHeader/>
        </w:trPr>
        <w:tc>
          <w:tcPr>
            <w:tcW w:w="0" w:type="auto"/>
            <w:shd w:val="clear" w:color="auto" w:fill="auto"/>
          </w:tcPr>
          <w:p w14:paraId="52D899BA" w14:textId="77777777" w:rsidR="008C5CFA" w:rsidRPr="00A92B39" w:rsidRDefault="00E82A60" w:rsidP="00300A01">
            <w:pPr>
              <w:spacing w:before="0" w:after="0"/>
              <w:rPr>
                <w:b/>
                <w:sz w:val="10"/>
                <w:szCs w:val="10"/>
                <w:lang w:val="fr-BE"/>
              </w:rPr>
            </w:pPr>
            <w:r w:rsidRPr="00A92B39">
              <w:rPr>
                <w:b/>
                <w:noProof/>
                <w:sz w:val="10"/>
                <w:szCs w:val="10"/>
                <w:lang w:val="fr-BE"/>
              </w:rPr>
              <w:t>ID</w:t>
            </w:r>
          </w:p>
        </w:tc>
        <w:tc>
          <w:tcPr>
            <w:tcW w:w="0" w:type="auto"/>
            <w:shd w:val="clear" w:color="auto" w:fill="auto"/>
          </w:tcPr>
          <w:p w14:paraId="5A8E614A" w14:textId="77777777" w:rsidR="008C5CFA" w:rsidRPr="00A92B39" w:rsidRDefault="00E82A60" w:rsidP="00300A01">
            <w:pPr>
              <w:spacing w:before="0" w:after="0"/>
              <w:rPr>
                <w:b/>
                <w:sz w:val="10"/>
                <w:szCs w:val="10"/>
                <w:lang w:val="fr-BE"/>
              </w:rPr>
            </w:pPr>
            <w:r w:rsidRPr="00A92B39">
              <w:rPr>
                <w:b/>
                <w:noProof/>
                <w:sz w:val="10"/>
                <w:szCs w:val="10"/>
                <w:lang w:val="fr-BE"/>
              </w:rPr>
              <w:t>Wskaźnik</w:t>
            </w:r>
          </w:p>
        </w:tc>
        <w:tc>
          <w:tcPr>
            <w:tcW w:w="0" w:type="auto"/>
            <w:shd w:val="clear" w:color="auto" w:fill="auto"/>
          </w:tcPr>
          <w:p w14:paraId="2337433A" w14:textId="77777777" w:rsidR="008C5CFA" w:rsidRPr="00A92B39" w:rsidRDefault="00E82A60" w:rsidP="00300A01">
            <w:pPr>
              <w:spacing w:before="0" w:after="0"/>
              <w:rPr>
                <w:b/>
                <w:sz w:val="10"/>
                <w:szCs w:val="10"/>
                <w:lang w:val="fr-BE"/>
              </w:rPr>
            </w:pPr>
            <w:r w:rsidRPr="00A92B39">
              <w:rPr>
                <w:b/>
                <w:noProof/>
                <w:sz w:val="10"/>
                <w:szCs w:val="10"/>
                <w:lang w:val="fr-BE"/>
              </w:rPr>
              <w:t>Kategoria regionu</w:t>
            </w:r>
          </w:p>
        </w:tc>
        <w:tc>
          <w:tcPr>
            <w:tcW w:w="0" w:type="auto"/>
          </w:tcPr>
          <w:p w14:paraId="1A1ADEC4" w14:textId="77777777" w:rsidR="008C5CFA" w:rsidRPr="00A92B39" w:rsidRDefault="00E82A60" w:rsidP="00300A01">
            <w:pPr>
              <w:spacing w:before="0" w:after="0"/>
              <w:jc w:val="center"/>
              <w:rPr>
                <w:b/>
                <w:sz w:val="10"/>
                <w:szCs w:val="10"/>
                <w:lang w:val="fr-BE"/>
              </w:rPr>
            </w:pPr>
            <w:r w:rsidRPr="00A92B39">
              <w:rPr>
                <w:b/>
                <w:noProof/>
                <w:sz w:val="10"/>
                <w:szCs w:val="10"/>
                <w:lang w:val="fr-BE"/>
              </w:rPr>
              <w:t>Jednostka miary</w:t>
            </w:r>
          </w:p>
        </w:tc>
        <w:tc>
          <w:tcPr>
            <w:tcW w:w="0" w:type="auto"/>
            <w:gridSpan w:val="3"/>
            <w:shd w:val="clear" w:color="auto" w:fill="auto"/>
          </w:tcPr>
          <w:p w14:paraId="13E0BEC0" w14:textId="77777777" w:rsidR="008C5CFA" w:rsidRPr="00A92B39" w:rsidRDefault="00E82A60" w:rsidP="00300A01">
            <w:pPr>
              <w:spacing w:before="0" w:after="0"/>
              <w:jc w:val="center"/>
              <w:rPr>
                <w:b/>
                <w:sz w:val="10"/>
                <w:szCs w:val="10"/>
                <w:lang w:val="fr-BE"/>
              </w:rPr>
            </w:pPr>
            <w:r w:rsidRPr="00A92B39">
              <w:rPr>
                <w:b/>
                <w:noProof/>
                <w:sz w:val="10"/>
                <w:szCs w:val="10"/>
                <w:lang w:val="fr-BE"/>
              </w:rPr>
              <w:t>Wartość docelowa (2023)</w:t>
            </w:r>
          </w:p>
        </w:tc>
        <w:tc>
          <w:tcPr>
            <w:tcW w:w="0" w:type="auto"/>
            <w:gridSpan w:val="3"/>
            <w:shd w:val="clear" w:color="auto" w:fill="auto"/>
          </w:tcPr>
          <w:p w14:paraId="30029269" w14:textId="77777777" w:rsidR="008C5CFA" w:rsidRPr="00A92B39" w:rsidRDefault="00E82A60" w:rsidP="00300A01">
            <w:pPr>
              <w:spacing w:before="0" w:after="0"/>
              <w:jc w:val="center"/>
              <w:rPr>
                <w:b/>
                <w:sz w:val="10"/>
                <w:szCs w:val="10"/>
                <w:lang w:val="fr-BE"/>
              </w:rPr>
            </w:pPr>
            <w:r w:rsidRPr="00A92B39">
              <w:rPr>
                <w:b/>
                <w:noProof/>
                <w:sz w:val="10"/>
                <w:szCs w:val="10"/>
                <w:lang w:val="fr-BE"/>
              </w:rPr>
              <w:t>Wartość skumulowana</w:t>
            </w:r>
          </w:p>
        </w:tc>
        <w:tc>
          <w:tcPr>
            <w:tcW w:w="0" w:type="auto"/>
            <w:gridSpan w:val="3"/>
            <w:shd w:val="clear" w:color="auto" w:fill="auto"/>
          </w:tcPr>
          <w:p w14:paraId="6DB784A2" w14:textId="77777777" w:rsidR="008C5CFA" w:rsidRPr="00A92B39" w:rsidRDefault="00E82A60" w:rsidP="00300A01">
            <w:pPr>
              <w:spacing w:before="0" w:after="0"/>
              <w:jc w:val="center"/>
              <w:rPr>
                <w:b/>
                <w:sz w:val="10"/>
                <w:szCs w:val="10"/>
                <w:lang w:val="fr-BE"/>
              </w:rPr>
            </w:pPr>
            <w:r w:rsidRPr="00A92B39">
              <w:rPr>
                <w:b/>
                <w:noProof/>
                <w:sz w:val="10"/>
                <w:szCs w:val="10"/>
                <w:lang w:val="fr-BE"/>
              </w:rPr>
              <w:t>Wskaźnik osiągnięć</w:t>
            </w:r>
          </w:p>
        </w:tc>
        <w:tc>
          <w:tcPr>
            <w:tcW w:w="0" w:type="auto"/>
            <w:gridSpan w:val="3"/>
          </w:tcPr>
          <w:p w14:paraId="3468276C" w14:textId="77777777" w:rsidR="008C5CFA" w:rsidRPr="00A92B39" w:rsidRDefault="00E82A60" w:rsidP="00300A01">
            <w:pPr>
              <w:spacing w:before="0" w:after="0"/>
              <w:jc w:val="center"/>
              <w:rPr>
                <w:b/>
                <w:sz w:val="10"/>
                <w:szCs w:val="10"/>
                <w:lang w:val="fr-BE"/>
              </w:rPr>
            </w:pPr>
            <w:r w:rsidRPr="00A92B39">
              <w:rPr>
                <w:bCs/>
                <w:sz w:val="10"/>
                <w:szCs w:val="10"/>
                <w:lang w:val="en-US"/>
              </w:rPr>
              <w:t>2019</w:t>
            </w:r>
          </w:p>
        </w:tc>
      </w:tr>
      <w:tr w:rsidR="006B2EC1" w14:paraId="6FC52C88" w14:textId="77777777" w:rsidTr="002A1502">
        <w:trPr>
          <w:tblHeader/>
        </w:trPr>
        <w:tc>
          <w:tcPr>
            <w:tcW w:w="0" w:type="auto"/>
            <w:shd w:val="clear" w:color="auto" w:fill="auto"/>
          </w:tcPr>
          <w:p w14:paraId="68A8C161" w14:textId="77777777" w:rsidR="008C5CFA" w:rsidRPr="00A92B39" w:rsidRDefault="008C5CFA" w:rsidP="00300A01">
            <w:pPr>
              <w:spacing w:before="0" w:after="0"/>
              <w:rPr>
                <w:b/>
                <w:sz w:val="10"/>
                <w:szCs w:val="10"/>
                <w:lang w:val="fr-BE"/>
              </w:rPr>
            </w:pPr>
          </w:p>
        </w:tc>
        <w:tc>
          <w:tcPr>
            <w:tcW w:w="0" w:type="auto"/>
            <w:shd w:val="clear" w:color="auto" w:fill="auto"/>
          </w:tcPr>
          <w:p w14:paraId="2D0FA7A4" w14:textId="77777777" w:rsidR="008C5CFA" w:rsidRPr="00A92B39" w:rsidRDefault="008C5CFA" w:rsidP="00300A01">
            <w:pPr>
              <w:spacing w:before="0" w:after="0"/>
              <w:rPr>
                <w:b/>
                <w:sz w:val="10"/>
                <w:szCs w:val="10"/>
                <w:lang w:val="fr-BE"/>
              </w:rPr>
            </w:pPr>
          </w:p>
        </w:tc>
        <w:tc>
          <w:tcPr>
            <w:tcW w:w="0" w:type="auto"/>
            <w:shd w:val="clear" w:color="auto" w:fill="auto"/>
          </w:tcPr>
          <w:p w14:paraId="4C9F0CA7" w14:textId="77777777" w:rsidR="008C5CFA" w:rsidRPr="00A92B39" w:rsidRDefault="008C5CFA" w:rsidP="00300A01">
            <w:pPr>
              <w:spacing w:before="0" w:after="0"/>
              <w:rPr>
                <w:b/>
                <w:sz w:val="10"/>
                <w:szCs w:val="10"/>
                <w:lang w:val="fr-BE"/>
              </w:rPr>
            </w:pPr>
          </w:p>
        </w:tc>
        <w:tc>
          <w:tcPr>
            <w:tcW w:w="0" w:type="auto"/>
          </w:tcPr>
          <w:p w14:paraId="0CB546DA" w14:textId="77777777" w:rsidR="008C5CFA" w:rsidRPr="00A92B39" w:rsidRDefault="008C5CFA" w:rsidP="00300A01">
            <w:pPr>
              <w:spacing w:before="0" w:after="0"/>
              <w:jc w:val="center"/>
              <w:rPr>
                <w:b/>
                <w:sz w:val="10"/>
                <w:szCs w:val="10"/>
                <w:lang w:val="fr-BE"/>
              </w:rPr>
            </w:pPr>
          </w:p>
        </w:tc>
        <w:tc>
          <w:tcPr>
            <w:tcW w:w="0" w:type="auto"/>
            <w:shd w:val="clear" w:color="auto" w:fill="auto"/>
          </w:tcPr>
          <w:p w14:paraId="216BC70E" w14:textId="77777777" w:rsidR="008C5CFA" w:rsidRPr="00A92B39" w:rsidRDefault="00E82A60" w:rsidP="00300A01">
            <w:pPr>
              <w:spacing w:before="0" w:after="0"/>
              <w:jc w:val="center"/>
              <w:rPr>
                <w:b/>
                <w:sz w:val="10"/>
                <w:szCs w:val="10"/>
                <w:lang w:val="fr-BE"/>
              </w:rPr>
            </w:pPr>
            <w:r w:rsidRPr="00A92B39">
              <w:rPr>
                <w:b/>
                <w:noProof/>
                <w:sz w:val="10"/>
                <w:szCs w:val="10"/>
                <w:lang w:val="fr-BE"/>
              </w:rPr>
              <w:t>Ogółem</w:t>
            </w:r>
          </w:p>
        </w:tc>
        <w:tc>
          <w:tcPr>
            <w:tcW w:w="0" w:type="auto"/>
            <w:shd w:val="clear" w:color="auto" w:fill="auto"/>
          </w:tcPr>
          <w:p w14:paraId="3EC01DDB" w14:textId="77777777" w:rsidR="008C5CFA" w:rsidRPr="00A92B39" w:rsidRDefault="00E82A60" w:rsidP="00300A01">
            <w:pPr>
              <w:spacing w:before="0" w:after="0"/>
              <w:jc w:val="center"/>
              <w:rPr>
                <w:b/>
                <w:sz w:val="10"/>
                <w:szCs w:val="10"/>
                <w:lang w:val="fr-BE"/>
              </w:rPr>
            </w:pPr>
            <w:r w:rsidRPr="00A92B39">
              <w:rPr>
                <w:b/>
                <w:noProof/>
                <w:sz w:val="10"/>
                <w:szCs w:val="10"/>
                <w:lang w:val="fr-BE"/>
              </w:rPr>
              <w:t>Mężczyźni</w:t>
            </w:r>
          </w:p>
        </w:tc>
        <w:tc>
          <w:tcPr>
            <w:tcW w:w="0" w:type="auto"/>
            <w:shd w:val="clear" w:color="auto" w:fill="auto"/>
          </w:tcPr>
          <w:p w14:paraId="6B46361E" w14:textId="77777777" w:rsidR="008C5CFA" w:rsidRPr="00A92B39" w:rsidRDefault="00E82A60" w:rsidP="00300A01">
            <w:pPr>
              <w:spacing w:before="0" w:after="0"/>
              <w:jc w:val="center"/>
              <w:rPr>
                <w:b/>
                <w:sz w:val="10"/>
                <w:szCs w:val="10"/>
                <w:lang w:val="fr-BE"/>
              </w:rPr>
            </w:pPr>
            <w:r w:rsidRPr="00A92B39">
              <w:rPr>
                <w:b/>
                <w:noProof/>
                <w:sz w:val="10"/>
                <w:szCs w:val="10"/>
                <w:lang w:val="fr-BE"/>
              </w:rPr>
              <w:t>Kobiety</w:t>
            </w:r>
          </w:p>
        </w:tc>
        <w:tc>
          <w:tcPr>
            <w:tcW w:w="0" w:type="auto"/>
            <w:shd w:val="clear" w:color="auto" w:fill="auto"/>
          </w:tcPr>
          <w:p w14:paraId="7F971BC0" w14:textId="77777777" w:rsidR="008C5CFA" w:rsidRPr="00A92B39" w:rsidRDefault="00E82A60" w:rsidP="00300A01">
            <w:pPr>
              <w:spacing w:before="0" w:after="0"/>
              <w:jc w:val="center"/>
              <w:rPr>
                <w:b/>
                <w:sz w:val="10"/>
                <w:szCs w:val="10"/>
                <w:lang w:val="fr-BE"/>
              </w:rPr>
            </w:pPr>
            <w:r w:rsidRPr="00A92B39">
              <w:rPr>
                <w:b/>
                <w:noProof/>
                <w:sz w:val="10"/>
                <w:szCs w:val="10"/>
                <w:lang w:val="fr-BE"/>
              </w:rPr>
              <w:t>Ogółem</w:t>
            </w:r>
          </w:p>
        </w:tc>
        <w:tc>
          <w:tcPr>
            <w:tcW w:w="0" w:type="auto"/>
            <w:shd w:val="clear" w:color="auto" w:fill="auto"/>
          </w:tcPr>
          <w:p w14:paraId="63108285" w14:textId="77777777" w:rsidR="008C5CFA" w:rsidRPr="00A92B39" w:rsidRDefault="00E82A60" w:rsidP="00300A01">
            <w:pPr>
              <w:spacing w:before="0" w:after="0"/>
              <w:jc w:val="center"/>
              <w:rPr>
                <w:b/>
                <w:sz w:val="10"/>
                <w:szCs w:val="10"/>
                <w:lang w:val="fr-BE"/>
              </w:rPr>
            </w:pPr>
            <w:r w:rsidRPr="00A92B39">
              <w:rPr>
                <w:b/>
                <w:noProof/>
                <w:sz w:val="10"/>
                <w:szCs w:val="10"/>
                <w:lang w:val="fr-BE"/>
              </w:rPr>
              <w:t>Mężczyźni</w:t>
            </w:r>
          </w:p>
        </w:tc>
        <w:tc>
          <w:tcPr>
            <w:tcW w:w="0" w:type="auto"/>
            <w:shd w:val="clear" w:color="auto" w:fill="auto"/>
          </w:tcPr>
          <w:p w14:paraId="0B6C0635" w14:textId="77777777" w:rsidR="008C5CFA" w:rsidRPr="00A92B39" w:rsidRDefault="00E82A60" w:rsidP="00300A01">
            <w:pPr>
              <w:spacing w:before="0" w:after="0"/>
              <w:jc w:val="center"/>
              <w:rPr>
                <w:b/>
                <w:sz w:val="10"/>
                <w:szCs w:val="10"/>
                <w:lang w:val="fr-BE"/>
              </w:rPr>
            </w:pPr>
            <w:r w:rsidRPr="00A92B39">
              <w:rPr>
                <w:b/>
                <w:noProof/>
                <w:sz w:val="10"/>
                <w:szCs w:val="10"/>
                <w:lang w:val="fr-BE"/>
              </w:rPr>
              <w:t>Kobiety</w:t>
            </w:r>
          </w:p>
        </w:tc>
        <w:tc>
          <w:tcPr>
            <w:tcW w:w="0" w:type="auto"/>
            <w:shd w:val="clear" w:color="auto" w:fill="auto"/>
          </w:tcPr>
          <w:p w14:paraId="4A36C338" w14:textId="77777777" w:rsidR="008C5CFA" w:rsidRPr="00A92B39" w:rsidRDefault="00E82A60" w:rsidP="00300A01">
            <w:pPr>
              <w:spacing w:before="0" w:after="0"/>
              <w:jc w:val="center"/>
              <w:rPr>
                <w:b/>
                <w:sz w:val="10"/>
                <w:szCs w:val="10"/>
                <w:lang w:val="fr-BE"/>
              </w:rPr>
            </w:pPr>
            <w:r w:rsidRPr="00A92B39">
              <w:rPr>
                <w:b/>
                <w:noProof/>
                <w:sz w:val="10"/>
                <w:szCs w:val="10"/>
                <w:lang w:val="fr-BE"/>
              </w:rPr>
              <w:t>Ogółem</w:t>
            </w:r>
          </w:p>
        </w:tc>
        <w:tc>
          <w:tcPr>
            <w:tcW w:w="0" w:type="auto"/>
            <w:shd w:val="clear" w:color="auto" w:fill="auto"/>
          </w:tcPr>
          <w:p w14:paraId="31EC1C61" w14:textId="77777777" w:rsidR="008C5CFA" w:rsidRPr="00A92B39" w:rsidRDefault="00E82A60" w:rsidP="00300A01">
            <w:pPr>
              <w:spacing w:before="0" w:after="0"/>
              <w:jc w:val="center"/>
              <w:rPr>
                <w:b/>
                <w:sz w:val="10"/>
                <w:szCs w:val="10"/>
                <w:lang w:val="fr-BE"/>
              </w:rPr>
            </w:pPr>
            <w:r w:rsidRPr="00A92B39">
              <w:rPr>
                <w:b/>
                <w:noProof/>
                <w:sz w:val="10"/>
                <w:szCs w:val="10"/>
                <w:lang w:val="fr-BE"/>
              </w:rPr>
              <w:t>Mężczyźni</w:t>
            </w:r>
          </w:p>
        </w:tc>
        <w:tc>
          <w:tcPr>
            <w:tcW w:w="0" w:type="auto"/>
            <w:shd w:val="clear" w:color="auto" w:fill="auto"/>
          </w:tcPr>
          <w:p w14:paraId="4A097155" w14:textId="77777777" w:rsidR="008C5CFA" w:rsidRPr="00A92B39" w:rsidRDefault="00E82A60" w:rsidP="00300A01">
            <w:pPr>
              <w:spacing w:before="0" w:after="0"/>
              <w:jc w:val="center"/>
              <w:rPr>
                <w:b/>
                <w:sz w:val="10"/>
                <w:szCs w:val="10"/>
                <w:lang w:val="fr-BE"/>
              </w:rPr>
            </w:pPr>
            <w:r w:rsidRPr="00A92B39">
              <w:rPr>
                <w:b/>
                <w:noProof/>
                <w:sz w:val="10"/>
                <w:szCs w:val="10"/>
                <w:lang w:val="fr-BE"/>
              </w:rPr>
              <w:t>Kobiety</w:t>
            </w:r>
          </w:p>
        </w:tc>
        <w:tc>
          <w:tcPr>
            <w:tcW w:w="0" w:type="auto"/>
          </w:tcPr>
          <w:p w14:paraId="674D9747" w14:textId="77777777" w:rsidR="008C5CFA" w:rsidRPr="00A92B39" w:rsidRDefault="00E82A60" w:rsidP="00300A01">
            <w:pPr>
              <w:spacing w:before="0" w:after="0"/>
              <w:jc w:val="center"/>
              <w:rPr>
                <w:b/>
                <w:sz w:val="10"/>
                <w:szCs w:val="10"/>
                <w:lang w:val="fr-BE"/>
              </w:rPr>
            </w:pPr>
            <w:r w:rsidRPr="00A92B39">
              <w:rPr>
                <w:b/>
                <w:noProof/>
                <w:sz w:val="10"/>
                <w:szCs w:val="10"/>
                <w:lang w:val="fr-BE"/>
              </w:rPr>
              <w:t>Ogółem</w:t>
            </w:r>
          </w:p>
        </w:tc>
        <w:tc>
          <w:tcPr>
            <w:tcW w:w="0" w:type="auto"/>
            <w:shd w:val="clear" w:color="auto" w:fill="auto"/>
          </w:tcPr>
          <w:p w14:paraId="26B170FC" w14:textId="77777777" w:rsidR="008C5CFA" w:rsidRPr="00A92B39" w:rsidRDefault="00E82A60" w:rsidP="00300A01">
            <w:pPr>
              <w:spacing w:before="0" w:after="0"/>
              <w:jc w:val="center"/>
              <w:rPr>
                <w:b/>
                <w:sz w:val="10"/>
                <w:szCs w:val="10"/>
                <w:lang w:val="fr-BE"/>
              </w:rPr>
            </w:pPr>
            <w:r w:rsidRPr="00A92B39">
              <w:rPr>
                <w:b/>
                <w:noProof/>
                <w:sz w:val="10"/>
                <w:szCs w:val="10"/>
                <w:lang w:val="fr-BE"/>
              </w:rPr>
              <w:t>Mężczyźni</w:t>
            </w:r>
          </w:p>
        </w:tc>
        <w:tc>
          <w:tcPr>
            <w:tcW w:w="0" w:type="auto"/>
            <w:shd w:val="clear" w:color="auto" w:fill="auto"/>
          </w:tcPr>
          <w:p w14:paraId="0048467F" w14:textId="77777777" w:rsidR="008C5CFA" w:rsidRPr="00A92B39" w:rsidRDefault="00E82A60" w:rsidP="00300A01">
            <w:pPr>
              <w:spacing w:before="0" w:after="0"/>
              <w:jc w:val="center"/>
              <w:rPr>
                <w:b/>
                <w:sz w:val="10"/>
                <w:szCs w:val="10"/>
                <w:lang w:val="fr-BE"/>
              </w:rPr>
            </w:pPr>
            <w:r w:rsidRPr="00A92B39">
              <w:rPr>
                <w:b/>
                <w:noProof/>
                <w:sz w:val="10"/>
                <w:szCs w:val="10"/>
                <w:lang w:val="fr-BE"/>
              </w:rPr>
              <w:t>Kobiety</w:t>
            </w:r>
          </w:p>
        </w:tc>
      </w:tr>
      <w:tr w:rsidR="006B2EC1" w14:paraId="530B0131" w14:textId="77777777" w:rsidTr="002A1502">
        <w:tc>
          <w:tcPr>
            <w:tcW w:w="0" w:type="auto"/>
            <w:shd w:val="clear" w:color="auto" w:fill="auto"/>
          </w:tcPr>
          <w:p w14:paraId="7A4A58A9" w14:textId="77777777" w:rsidR="008C5CFA" w:rsidRPr="00A92B39" w:rsidRDefault="00E82A60" w:rsidP="00300A01">
            <w:pPr>
              <w:spacing w:before="0" w:after="0"/>
              <w:rPr>
                <w:sz w:val="10"/>
                <w:szCs w:val="10"/>
                <w:lang w:val="fr-BE"/>
              </w:rPr>
            </w:pPr>
            <w:r w:rsidRPr="00A92B39">
              <w:rPr>
                <w:noProof/>
                <w:sz w:val="10"/>
                <w:szCs w:val="10"/>
                <w:lang w:val="fr-BE"/>
              </w:rPr>
              <w:t>002</w:t>
            </w:r>
          </w:p>
        </w:tc>
        <w:tc>
          <w:tcPr>
            <w:tcW w:w="0" w:type="auto"/>
            <w:shd w:val="clear" w:color="auto" w:fill="auto"/>
          </w:tcPr>
          <w:p w14:paraId="11385258" w14:textId="77777777" w:rsidR="008C5CFA" w:rsidRPr="00A92B39" w:rsidRDefault="00E82A60" w:rsidP="00300A01">
            <w:pPr>
              <w:spacing w:before="0" w:after="0"/>
              <w:rPr>
                <w:sz w:val="10"/>
                <w:szCs w:val="10"/>
                <w:lang w:val="fr-BE"/>
              </w:rPr>
            </w:pPr>
            <w:r w:rsidRPr="00A92B39">
              <w:rPr>
                <w:noProof/>
                <w:sz w:val="10"/>
                <w:szCs w:val="10"/>
                <w:lang w:val="fr-BE"/>
              </w:rPr>
              <w:t>Liczba osób objętych programem zdrowotnym dzięki EFS</w:t>
            </w:r>
          </w:p>
        </w:tc>
        <w:tc>
          <w:tcPr>
            <w:tcW w:w="0" w:type="auto"/>
            <w:shd w:val="clear" w:color="auto" w:fill="auto"/>
          </w:tcPr>
          <w:p w14:paraId="38BBB2B1" w14:textId="77777777" w:rsidR="008C5CFA" w:rsidRPr="00A92B39" w:rsidRDefault="00E82A60" w:rsidP="00300A01">
            <w:pPr>
              <w:spacing w:before="0" w:after="0"/>
              <w:rPr>
                <w:sz w:val="10"/>
                <w:szCs w:val="10"/>
                <w:lang w:val="fr-BE"/>
              </w:rPr>
            </w:pPr>
            <w:r w:rsidRPr="00A92B39">
              <w:rPr>
                <w:noProof/>
                <w:sz w:val="10"/>
                <w:szCs w:val="10"/>
                <w:lang w:val="fr-BE"/>
              </w:rPr>
              <w:t>Słabiej rozwinięte</w:t>
            </w:r>
          </w:p>
        </w:tc>
        <w:tc>
          <w:tcPr>
            <w:tcW w:w="0" w:type="auto"/>
          </w:tcPr>
          <w:p w14:paraId="13C2F709" w14:textId="77777777" w:rsidR="008C5CFA" w:rsidRPr="00A92B39" w:rsidRDefault="00E82A60" w:rsidP="00300A01">
            <w:pPr>
              <w:spacing w:before="0" w:after="0"/>
              <w:rPr>
                <w:sz w:val="10"/>
                <w:szCs w:val="10"/>
                <w:lang w:val="fr-BE"/>
              </w:rPr>
            </w:pPr>
            <w:r w:rsidRPr="00A92B39">
              <w:rPr>
                <w:noProof/>
                <w:sz w:val="10"/>
                <w:szCs w:val="10"/>
                <w:lang w:val="fr-BE"/>
              </w:rPr>
              <w:t>osoba</w:t>
            </w:r>
          </w:p>
        </w:tc>
        <w:tc>
          <w:tcPr>
            <w:tcW w:w="0" w:type="auto"/>
            <w:shd w:val="clear" w:color="auto" w:fill="auto"/>
          </w:tcPr>
          <w:p w14:paraId="398BD9BB" w14:textId="77777777" w:rsidR="008C5CFA" w:rsidRPr="00A92B39" w:rsidRDefault="00E82A60" w:rsidP="00300A01">
            <w:pPr>
              <w:spacing w:before="0" w:after="0"/>
              <w:jc w:val="right"/>
              <w:rPr>
                <w:sz w:val="10"/>
                <w:szCs w:val="10"/>
                <w:lang w:val="fr-BE"/>
              </w:rPr>
            </w:pPr>
            <w:r w:rsidRPr="00A92B39">
              <w:rPr>
                <w:noProof/>
                <w:sz w:val="10"/>
                <w:szCs w:val="10"/>
                <w:lang w:val="fr-BE"/>
              </w:rPr>
              <w:t>64 205,00</w:t>
            </w:r>
          </w:p>
        </w:tc>
        <w:tc>
          <w:tcPr>
            <w:tcW w:w="0" w:type="auto"/>
            <w:shd w:val="clear" w:color="auto" w:fill="auto"/>
          </w:tcPr>
          <w:p w14:paraId="452C9D05" w14:textId="77777777" w:rsidR="008C5CFA" w:rsidRPr="00A92B39" w:rsidRDefault="008C5CFA" w:rsidP="00300A01">
            <w:pPr>
              <w:spacing w:before="0" w:after="0"/>
              <w:jc w:val="right"/>
              <w:rPr>
                <w:sz w:val="10"/>
                <w:szCs w:val="10"/>
                <w:lang w:val="fr-BE"/>
              </w:rPr>
            </w:pPr>
          </w:p>
        </w:tc>
        <w:tc>
          <w:tcPr>
            <w:tcW w:w="0" w:type="auto"/>
            <w:shd w:val="clear" w:color="auto" w:fill="auto"/>
          </w:tcPr>
          <w:p w14:paraId="5B90AA99" w14:textId="77777777" w:rsidR="008C5CFA" w:rsidRPr="00A92B39" w:rsidRDefault="008C5CFA" w:rsidP="00300A01">
            <w:pPr>
              <w:spacing w:before="0" w:after="0"/>
              <w:jc w:val="right"/>
              <w:rPr>
                <w:sz w:val="10"/>
                <w:szCs w:val="10"/>
                <w:lang w:val="fr-BE"/>
              </w:rPr>
            </w:pPr>
          </w:p>
        </w:tc>
        <w:tc>
          <w:tcPr>
            <w:tcW w:w="0" w:type="auto"/>
            <w:shd w:val="clear" w:color="auto" w:fill="auto"/>
          </w:tcPr>
          <w:p w14:paraId="57ED8AFE" w14:textId="77777777" w:rsidR="008C5CFA" w:rsidRPr="00A92B39" w:rsidRDefault="00E82A60" w:rsidP="00300A01">
            <w:pPr>
              <w:spacing w:before="0" w:after="0"/>
              <w:jc w:val="right"/>
              <w:rPr>
                <w:sz w:val="10"/>
                <w:szCs w:val="10"/>
                <w:lang w:val="fr-BE"/>
              </w:rPr>
            </w:pPr>
            <w:r w:rsidRPr="00A92B39">
              <w:rPr>
                <w:noProof/>
                <w:sz w:val="10"/>
                <w:szCs w:val="10"/>
                <w:lang w:val="fr-BE"/>
              </w:rPr>
              <w:t>56 680,00</w:t>
            </w:r>
          </w:p>
        </w:tc>
        <w:tc>
          <w:tcPr>
            <w:tcW w:w="0" w:type="auto"/>
            <w:shd w:val="clear" w:color="auto" w:fill="auto"/>
          </w:tcPr>
          <w:p w14:paraId="4EFA2331"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14:paraId="6D24DE5F"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14:paraId="3A73DEF8" w14:textId="77777777" w:rsidR="008C5CFA" w:rsidRPr="00A92B39" w:rsidRDefault="00E82A60" w:rsidP="00300A01">
            <w:pPr>
              <w:spacing w:before="0" w:after="0"/>
              <w:jc w:val="right"/>
              <w:rPr>
                <w:sz w:val="10"/>
                <w:szCs w:val="10"/>
                <w:lang w:val="fr-BE"/>
              </w:rPr>
            </w:pPr>
            <w:r>
              <w:rPr>
                <w:noProof/>
                <w:sz w:val="10"/>
                <w:szCs w:val="10"/>
                <w:lang w:val="fr-BE"/>
              </w:rPr>
              <w:t>0,88</w:t>
            </w:r>
          </w:p>
        </w:tc>
        <w:tc>
          <w:tcPr>
            <w:tcW w:w="0" w:type="auto"/>
            <w:shd w:val="clear" w:color="auto" w:fill="auto"/>
          </w:tcPr>
          <w:p w14:paraId="0A3D9EB2" w14:textId="77777777" w:rsidR="008C5CFA" w:rsidRPr="00A92B39" w:rsidRDefault="008C5CFA" w:rsidP="00300A01">
            <w:pPr>
              <w:spacing w:before="0" w:after="0"/>
              <w:jc w:val="right"/>
              <w:rPr>
                <w:sz w:val="10"/>
                <w:szCs w:val="10"/>
                <w:lang w:val="fr-BE"/>
              </w:rPr>
            </w:pPr>
          </w:p>
        </w:tc>
        <w:tc>
          <w:tcPr>
            <w:tcW w:w="0" w:type="auto"/>
            <w:shd w:val="clear" w:color="auto" w:fill="auto"/>
          </w:tcPr>
          <w:p w14:paraId="78FDDAE4" w14:textId="77777777" w:rsidR="008C5CFA" w:rsidRPr="00A92B39" w:rsidRDefault="008C5CFA" w:rsidP="00300A01">
            <w:pPr>
              <w:spacing w:before="0" w:after="0"/>
              <w:jc w:val="right"/>
              <w:rPr>
                <w:sz w:val="10"/>
                <w:szCs w:val="10"/>
                <w:lang w:val="fr-BE"/>
              </w:rPr>
            </w:pPr>
          </w:p>
        </w:tc>
        <w:tc>
          <w:tcPr>
            <w:tcW w:w="0" w:type="auto"/>
          </w:tcPr>
          <w:p w14:paraId="3DC360ED" w14:textId="77777777" w:rsidR="008C5CFA" w:rsidRPr="00A92B39" w:rsidRDefault="00E82A60" w:rsidP="00300A01">
            <w:pPr>
              <w:spacing w:before="0" w:after="0"/>
              <w:jc w:val="right"/>
              <w:rPr>
                <w:sz w:val="10"/>
                <w:szCs w:val="10"/>
                <w:lang w:val="fr-BE"/>
              </w:rPr>
            </w:pPr>
            <w:r w:rsidRPr="00A92B39">
              <w:rPr>
                <w:noProof/>
                <w:sz w:val="10"/>
                <w:szCs w:val="10"/>
                <w:lang w:val="fr-BE"/>
              </w:rPr>
              <w:t>34 576,00</w:t>
            </w:r>
          </w:p>
        </w:tc>
        <w:tc>
          <w:tcPr>
            <w:tcW w:w="0" w:type="auto"/>
            <w:shd w:val="clear" w:color="auto" w:fill="auto"/>
          </w:tcPr>
          <w:p w14:paraId="0B6A46EE"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14:paraId="072FE258"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r>
      <w:tr w:rsidR="006B2EC1" w14:paraId="36427FC2" w14:textId="77777777" w:rsidTr="002A1502">
        <w:tc>
          <w:tcPr>
            <w:tcW w:w="0" w:type="auto"/>
            <w:shd w:val="clear" w:color="auto" w:fill="auto"/>
          </w:tcPr>
          <w:p w14:paraId="6839899E" w14:textId="77777777" w:rsidR="008C5CFA" w:rsidRPr="00A92B39" w:rsidRDefault="00E82A60" w:rsidP="00300A01">
            <w:pPr>
              <w:spacing w:before="0" w:after="0"/>
              <w:rPr>
                <w:sz w:val="10"/>
                <w:szCs w:val="10"/>
                <w:lang w:val="fr-BE"/>
              </w:rPr>
            </w:pPr>
            <w:r w:rsidRPr="00A92B39">
              <w:rPr>
                <w:noProof/>
                <w:sz w:val="10"/>
                <w:szCs w:val="10"/>
                <w:lang w:val="fr-BE"/>
              </w:rPr>
              <w:t>003</w:t>
            </w:r>
          </w:p>
        </w:tc>
        <w:tc>
          <w:tcPr>
            <w:tcW w:w="0" w:type="auto"/>
            <w:shd w:val="clear" w:color="auto" w:fill="auto"/>
          </w:tcPr>
          <w:p w14:paraId="026163EB" w14:textId="77777777" w:rsidR="008C5CFA" w:rsidRPr="00A92B39" w:rsidRDefault="00E82A60" w:rsidP="00300A01">
            <w:pPr>
              <w:spacing w:before="0" w:after="0"/>
              <w:rPr>
                <w:sz w:val="10"/>
                <w:szCs w:val="10"/>
                <w:lang w:val="fr-BE"/>
              </w:rPr>
            </w:pPr>
            <w:r w:rsidRPr="00A92B39">
              <w:rPr>
                <w:noProof/>
                <w:sz w:val="10"/>
                <w:szCs w:val="10"/>
                <w:lang w:val="fr-BE"/>
              </w:rPr>
              <w:t>Liczba wdrożonych programów zdrowotnych istotnych z punktu widzenia potrzeb zdrowotnych regionu, w tym pracodawców</w:t>
            </w:r>
          </w:p>
        </w:tc>
        <w:tc>
          <w:tcPr>
            <w:tcW w:w="0" w:type="auto"/>
            <w:shd w:val="clear" w:color="auto" w:fill="auto"/>
          </w:tcPr>
          <w:p w14:paraId="6D42E8F6" w14:textId="77777777" w:rsidR="008C5CFA" w:rsidRPr="00A92B39" w:rsidRDefault="00E82A60" w:rsidP="00300A01">
            <w:pPr>
              <w:spacing w:before="0" w:after="0"/>
              <w:rPr>
                <w:sz w:val="10"/>
                <w:szCs w:val="10"/>
                <w:lang w:val="fr-BE"/>
              </w:rPr>
            </w:pPr>
            <w:r w:rsidRPr="00A92B39">
              <w:rPr>
                <w:noProof/>
                <w:sz w:val="10"/>
                <w:szCs w:val="10"/>
                <w:lang w:val="fr-BE"/>
              </w:rPr>
              <w:t>Słabiej rozwinięte</w:t>
            </w:r>
          </w:p>
        </w:tc>
        <w:tc>
          <w:tcPr>
            <w:tcW w:w="0" w:type="auto"/>
          </w:tcPr>
          <w:p w14:paraId="3AF02739" w14:textId="77777777" w:rsidR="008C5CFA" w:rsidRPr="00A92B39" w:rsidRDefault="00E82A60" w:rsidP="00300A01">
            <w:pPr>
              <w:spacing w:before="0" w:after="0"/>
              <w:rPr>
                <w:sz w:val="10"/>
                <w:szCs w:val="10"/>
                <w:lang w:val="fr-BE"/>
              </w:rPr>
            </w:pPr>
            <w:r w:rsidRPr="00A92B39">
              <w:rPr>
                <w:noProof/>
                <w:sz w:val="10"/>
                <w:szCs w:val="10"/>
                <w:lang w:val="fr-BE"/>
              </w:rPr>
              <w:t>sztuka</w:t>
            </w:r>
          </w:p>
        </w:tc>
        <w:tc>
          <w:tcPr>
            <w:tcW w:w="0" w:type="auto"/>
            <w:shd w:val="clear" w:color="auto" w:fill="auto"/>
          </w:tcPr>
          <w:p w14:paraId="2A1D77DF" w14:textId="77777777" w:rsidR="008C5CFA" w:rsidRPr="00A92B39" w:rsidRDefault="00E82A60" w:rsidP="00300A01">
            <w:pPr>
              <w:spacing w:before="0" w:after="0"/>
              <w:jc w:val="right"/>
              <w:rPr>
                <w:sz w:val="10"/>
                <w:szCs w:val="10"/>
                <w:lang w:val="fr-BE"/>
              </w:rPr>
            </w:pPr>
            <w:r w:rsidRPr="00A92B39">
              <w:rPr>
                <w:noProof/>
                <w:sz w:val="10"/>
                <w:szCs w:val="10"/>
                <w:lang w:val="fr-BE"/>
              </w:rPr>
              <w:t>2,00</w:t>
            </w:r>
          </w:p>
        </w:tc>
        <w:tc>
          <w:tcPr>
            <w:tcW w:w="0" w:type="auto"/>
            <w:shd w:val="clear" w:color="auto" w:fill="auto"/>
          </w:tcPr>
          <w:p w14:paraId="478C6866" w14:textId="77777777" w:rsidR="008C5CFA" w:rsidRPr="00A92B39" w:rsidRDefault="008C5CFA" w:rsidP="00300A01">
            <w:pPr>
              <w:spacing w:before="0" w:after="0"/>
              <w:jc w:val="right"/>
              <w:rPr>
                <w:sz w:val="10"/>
                <w:szCs w:val="10"/>
                <w:lang w:val="fr-BE"/>
              </w:rPr>
            </w:pPr>
          </w:p>
        </w:tc>
        <w:tc>
          <w:tcPr>
            <w:tcW w:w="0" w:type="auto"/>
            <w:shd w:val="clear" w:color="auto" w:fill="auto"/>
          </w:tcPr>
          <w:p w14:paraId="708DE858" w14:textId="77777777" w:rsidR="008C5CFA" w:rsidRPr="00A92B39" w:rsidRDefault="008C5CFA" w:rsidP="00300A01">
            <w:pPr>
              <w:spacing w:before="0" w:after="0"/>
              <w:jc w:val="right"/>
              <w:rPr>
                <w:sz w:val="10"/>
                <w:szCs w:val="10"/>
                <w:lang w:val="fr-BE"/>
              </w:rPr>
            </w:pPr>
          </w:p>
        </w:tc>
        <w:tc>
          <w:tcPr>
            <w:tcW w:w="0" w:type="auto"/>
            <w:shd w:val="clear" w:color="auto" w:fill="auto"/>
          </w:tcPr>
          <w:p w14:paraId="0F176943" w14:textId="77777777" w:rsidR="008C5CFA" w:rsidRPr="00A92B39" w:rsidRDefault="00E82A60" w:rsidP="00300A01">
            <w:pPr>
              <w:spacing w:before="0" w:after="0"/>
              <w:jc w:val="right"/>
              <w:rPr>
                <w:sz w:val="10"/>
                <w:szCs w:val="10"/>
                <w:lang w:val="fr-BE"/>
              </w:rPr>
            </w:pPr>
            <w:r w:rsidRPr="00A92B39">
              <w:rPr>
                <w:noProof/>
                <w:sz w:val="10"/>
                <w:szCs w:val="10"/>
                <w:lang w:val="fr-BE"/>
              </w:rPr>
              <w:t>6,00</w:t>
            </w:r>
          </w:p>
        </w:tc>
        <w:tc>
          <w:tcPr>
            <w:tcW w:w="0" w:type="auto"/>
            <w:shd w:val="clear" w:color="auto" w:fill="auto"/>
          </w:tcPr>
          <w:p w14:paraId="102DFB65"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14:paraId="4F12132E"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14:paraId="03769C1D" w14:textId="77777777" w:rsidR="008C5CFA" w:rsidRPr="00A92B39" w:rsidRDefault="00E82A60" w:rsidP="00300A01">
            <w:pPr>
              <w:spacing w:before="0" w:after="0"/>
              <w:jc w:val="right"/>
              <w:rPr>
                <w:sz w:val="10"/>
                <w:szCs w:val="10"/>
                <w:lang w:val="fr-BE"/>
              </w:rPr>
            </w:pPr>
            <w:r>
              <w:rPr>
                <w:noProof/>
                <w:sz w:val="10"/>
                <w:szCs w:val="10"/>
                <w:lang w:val="fr-BE"/>
              </w:rPr>
              <w:t>3,00</w:t>
            </w:r>
          </w:p>
        </w:tc>
        <w:tc>
          <w:tcPr>
            <w:tcW w:w="0" w:type="auto"/>
            <w:shd w:val="clear" w:color="auto" w:fill="auto"/>
          </w:tcPr>
          <w:p w14:paraId="784FB430" w14:textId="77777777" w:rsidR="008C5CFA" w:rsidRPr="00A92B39" w:rsidRDefault="008C5CFA" w:rsidP="00300A01">
            <w:pPr>
              <w:spacing w:before="0" w:after="0"/>
              <w:jc w:val="right"/>
              <w:rPr>
                <w:sz w:val="10"/>
                <w:szCs w:val="10"/>
                <w:lang w:val="fr-BE"/>
              </w:rPr>
            </w:pPr>
          </w:p>
        </w:tc>
        <w:tc>
          <w:tcPr>
            <w:tcW w:w="0" w:type="auto"/>
            <w:shd w:val="clear" w:color="auto" w:fill="auto"/>
          </w:tcPr>
          <w:p w14:paraId="24C0835C" w14:textId="77777777" w:rsidR="008C5CFA" w:rsidRPr="00A92B39" w:rsidRDefault="008C5CFA" w:rsidP="00300A01">
            <w:pPr>
              <w:spacing w:before="0" w:after="0"/>
              <w:jc w:val="right"/>
              <w:rPr>
                <w:sz w:val="10"/>
                <w:szCs w:val="10"/>
                <w:lang w:val="fr-BE"/>
              </w:rPr>
            </w:pPr>
          </w:p>
        </w:tc>
        <w:tc>
          <w:tcPr>
            <w:tcW w:w="0" w:type="auto"/>
          </w:tcPr>
          <w:p w14:paraId="087C25E2" w14:textId="77777777" w:rsidR="008C5CFA" w:rsidRPr="00A92B39" w:rsidRDefault="00E82A60" w:rsidP="00300A01">
            <w:pPr>
              <w:spacing w:before="0" w:after="0"/>
              <w:jc w:val="right"/>
              <w:rPr>
                <w:sz w:val="10"/>
                <w:szCs w:val="10"/>
                <w:lang w:val="fr-BE"/>
              </w:rPr>
            </w:pPr>
            <w:r w:rsidRPr="00A92B39">
              <w:rPr>
                <w:noProof/>
                <w:sz w:val="10"/>
                <w:szCs w:val="10"/>
                <w:lang w:val="fr-BE"/>
              </w:rPr>
              <w:t>3,00</w:t>
            </w:r>
          </w:p>
        </w:tc>
        <w:tc>
          <w:tcPr>
            <w:tcW w:w="0" w:type="auto"/>
            <w:shd w:val="clear" w:color="auto" w:fill="auto"/>
          </w:tcPr>
          <w:p w14:paraId="1DC61131"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14:paraId="528E4038"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r>
    </w:tbl>
    <w:p w14:paraId="302C0008"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47"/>
        <w:gridCol w:w="6120"/>
        <w:gridCol w:w="1002"/>
        <w:gridCol w:w="546"/>
        <w:gridCol w:w="605"/>
        <w:gridCol w:w="472"/>
        <w:gridCol w:w="486"/>
        <w:gridCol w:w="605"/>
        <w:gridCol w:w="472"/>
        <w:gridCol w:w="466"/>
        <w:gridCol w:w="605"/>
        <w:gridCol w:w="472"/>
        <w:gridCol w:w="466"/>
        <w:gridCol w:w="605"/>
        <w:gridCol w:w="472"/>
        <w:gridCol w:w="466"/>
        <w:gridCol w:w="605"/>
        <w:gridCol w:w="472"/>
      </w:tblGrid>
      <w:tr w:rsidR="006B2EC1" w14:paraId="7E6ECD9C" w14:textId="77777777" w:rsidTr="0047688D">
        <w:trPr>
          <w:tblHeader/>
        </w:trPr>
        <w:tc>
          <w:tcPr>
            <w:tcW w:w="0" w:type="auto"/>
            <w:shd w:val="clear" w:color="auto" w:fill="auto"/>
          </w:tcPr>
          <w:p w14:paraId="230A027B" w14:textId="77777777" w:rsidR="008C5CFA" w:rsidRPr="00A92B39" w:rsidRDefault="00E82A60" w:rsidP="00300A01">
            <w:pPr>
              <w:spacing w:before="0" w:after="0"/>
              <w:rPr>
                <w:b/>
                <w:sz w:val="10"/>
                <w:szCs w:val="10"/>
                <w:lang w:val="fr-BE"/>
              </w:rPr>
            </w:pPr>
            <w:r w:rsidRPr="00A92B39">
              <w:rPr>
                <w:b/>
                <w:noProof/>
                <w:sz w:val="10"/>
                <w:szCs w:val="10"/>
                <w:lang w:val="fr-BE"/>
              </w:rPr>
              <w:t>ID</w:t>
            </w:r>
          </w:p>
        </w:tc>
        <w:tc>
          <w:tcPr>
            <w:tcW w:w="0" w:type="auto"/>
            <w:shd w:val="clear" w:color="auto" w:fill="auto"/>
          </w:tcPr>
          <w:p w14:paraId="520DFEC7" w14:textId="77777777" w:rsidR="008C5CFA" w:rsidRPr="00A92B39" w:rsidRDefault="00E82A60" w:rsidP="00300A01">
            <w:pPr>
              <w:spacing w:before="0" w:after="0"/>
              <w:rPr>
                <w:b/>
                <w:sz w:val="10"/>
                <w:szCs w:val="10"/>
                <w:lang w:val="fr-BE"/>
              </w:rPr>
            </w:pPr>
            <w:r w:rsidRPr="00A92B39">
              <w:rPr>
                <w:b/>
                <w:noProof/>
                <w:sz w:val="10"/>
                <w:szCs w:val="10"/>
                <w:lang w:val="fr-BE"/>
              </w:rPr>
              <w:t>Wskaźnik</w:t>
            </w:r>
          </w:p>
        </w:tc>
        <w:tc>
          <w:tcPr>
            <w:tcW w:w="0" w:type="auto"/>
            <w:shd w:val="clear" w:color="auto" w:fill="auto"/>
          </w:tcPr>
          <w:p w14:paraId="7DF3E6D0" w14:textId="77777777" w:rsidR="008C5CFA" w:rsidRPr="00A92B39" w:rsidRDefault="00E82A60" w:rsidP="00300A01">
            <w:pPr>
              <w:spacing w:before="0" w:after="0"/>
              <w:rPr>
                <w:b/>
                <w:sz w:val="10"/>
                <w:szCs w:val="10"/>
                <w:lang w:val="fr-BE"/>
              </w:rPr>
            </w:pPr>
            <w:r w:rsidRPr="00A92B39">
              <w:rPr>
                <w:b/>
                <w:noProof/>
                <w:sz w:val="10"/>
                <w:szCs w:val="10"/>
                <w:lang w:val="fr-BE"/>
              </w:rPr>
              <w:t>Kategoria regionu</w:t>
            </w:r>
          </w:p>
        </w:tc>
        <w:tc>
          <w:tcPr>
            <w:tcW w:w="0" w:type="auto"/>
            <w:gridSpan w:val="3"/>
            <w:shd w:val="clear" w:color="auto" w:fill="auto"/>
          </w:tcPr>
          <w:p w14:paraId="10EAC78E" w14:textId="77777777" w:rsidR="008C5CFA" w:rsidRPr="00A92B39" w:rsidRDefault="00E82A60" w:rsidP="00300A01">
            <w:pPr>
              <w:spacing w:before="0" w:after="0"/>
              <w:jc w:val="center"/>
              <w:rPr>
                <w:b/>
                <w:sz w:val="10"/>
                <w:szCs w:val="10"/>
                <w:lang w:val="fr-BE"/>
              </w:rPr>
            </w:pPr>
            <w:r w:rsidRPr="00A92B39">
              <w:rPr>
                <w:b/>
                <w:sz w:val="10"/>
                <w:szCs w:val="10"/>
                <w:lang w:val="fr-BE"/>
              </w:rPr>
              <w:t>20</w:t>
            </w:r>
            <w:r>
              <w:rPr>
                <w:b/>
                <w:sz w:val="10"/>
                <w:szCs w:val="10"/>
                <w:lang w:val="fr-BE"/>
              </w:rPr>
              <w:t>18</w:t>
            </w:r>
          </w:p>
        </w:tc>
        <w:tc>
          <w:tcPr>
            <w:tcW w:w="0" w:type="auto"/>
            <w:gridSpan w:val="3"/>
          </w:tcPr>
          <w:p w14:paraId="19F64E28" w14:textId="77777777" w:rsidR="008C5CFA" w:rsidRPr="00A92B39" w:rsidRDefault="00E82A60" w:rsidP="00300A01">
            <w:pPr>
              <w:spacing w:before="0" w:after="0"/>
              <w:jc w:val="center"/>
              <w:rPr>
                <w:b/>
                <w:sz w:val="10"/>
                <w:szCs w:val="10"/>
                <w:lang w:val="fr-BE"/>
              </w:rPr>
            </w:pPr>
            <w:r>
              <w:rPr>
                <w:b/>
                <w:sz w:val="10"/>
                <w:szCs w:val="10"/>
                <w:lang w:val="fr-BE"/>
              </w:rPr>
              <w:t>2017</w:t>
            </w:r>
          </w:p>
        </w:tc>
        <w:tc>
          <w:tcPr>
            <w:tcW w:w="0" w:type="auto"/>
            <w:gridSpan w:val="3"/>
          </w:tcPr>
          <w:p w14:paraId="19211785" w14:textId="77777777" w:rsidR="008C5CFA" w:rsidRDefault="00E82A60" w:rsidP="00300A01">
            <w:pPr>
              <w:spacing w:before="0" w:after="0"/>
              <w:jc w:val="center"/>
              <w:rPr>
                <w:b/>
                <w:sz w:val="10"/>
                <w:szCs w:val="10"/>
                <w:lang w:val="fr-BE"/>
              </w:rPr>
            </w:pPr>
            <w:r>
              <w:rPr>
                <w:b/>
                <w:sz w:val="10"/>
                <w:szCs w:val="10"/>
                <w:lang w:val="fr-BE"/>
              </w:rPr>
              <w:t>2016</w:t>
            </w:r>
          </w:p>
        </w:tc>
        <w:tc>
          <w:tcPr>
            <w:tcW w:w="0" w:type="auto"/>
            <w:gridSpan w:val="3"/>
          </w:tcPr>
          <w:p w14:paraId="25900BA1" w14:textId="77777777" w:rsidR="008C5CFA" w:rsidRDefault="00E82A60" w:rsidP="00300A01">
            <w:pPr>
              <w:spacing w:before="0" w:after="0"/>
              <w:jc w:val="center"/>
              <w:rPr>
                <w:b/>
                <w:sz w:val="10"/>
                <w:szCs w:val="10"/>
                <w:lang w:val="fr-BE"/>
              </w:rPr>
            </w:pPr>
            <w:r>
              <w:rPr>
                <w:b/>
                <w:sz w:val="10"/>
                <w:szCs w:val="10"/>
                <w:lang w:val="fr-BE"/>
              </w:rPr>
              <w:t>2015</w:t>
            </w:r>
          </w:p>
        </w:tc>
        <w:tc>
          <w:tcPr>
            <w:tcW w:w="0" w:type="auto"/>
            <w:gridSpan w:val="3"/>
          </w:tcPr>
          <w:p w14:paraId="221AEFD0" w14:textId="77777777" w:rsidR="008C5CFA" w:rsidRDefault="00E82A60" w:rsidP="00300A01">
            <w:pPr>
              <w:spacing w:before="0" w:after="0"/>
              <w:jc w:val="center"/>
              <w:rPr>
                <w:b/>
                <w:sz w:val="10"/>
                <w:szCs w:val="10"/>
                <w:lang w:val="fr-BE"/>
              </w:rPr>
            </w:pPr>
            <w:r>
              <w:rPr>
                <w:b/>
                <w:sz w:val="10"/>
                <w:szCs w:val="10"/>
                <w:lang w:val="fr-BE"/>
              </w:rPr>
              <w:t>2014</w:t>
            </w:r>
          </w:p>
        </w:tc>
      </w:tr>
      <w:tr w:rsidR="006B2EC1" w14:paraId="7910DCDA" w14:textId="77777777" w:rsidTr="0047688D">
        <w:trPr>
          <w:tblHeader/>
        </w:trPr>
        <w:tc>
          <w:tcPr>
            <w:tcW w:w="0" w:type="auto"/>
            <w:shd w:val="clear" w:color="auto" w:fill="auto"/>
          </w:tcPr>
          <w:p w14:paraId="7BD2CBB6" w14:textId="77777777" w:rsidR="008C5CFA" w:rsidRPr="00A92B39" w:rsidRDefault="008C5CFA" w:rsidP="00300A01">
            <w:pPr>
              <w:spacing w:before="0" w:after="0"/>
              <w:rPr>
                <w:sz w:val="10"/>
                <w:szCs w:val="10"/>
                <w:lang w:val="fr-BE"/>
              </w:rPr>
            </w:pPr>
          </w:p>
        </w:tc>
        <w:tc>
          <w:tcPr>
            <w:tcW w:w="0" w:type="auto"/>
            <w:shd w:val="clear" w:color="auto" w:fill="auto"/>
          </w:tcPr>
          <w:p w14:paraId="60DDF0A3" w14:textId="77777777" w:rsidR="008C5CFA" w:rsidRPr="00A92B39" w:rsidRDefault="008C5CFA" w:rsidP="00300A01">
            <w:pPr>
              <w:spacing w:before="0" w:after="0"/>
              <w:rPr>
                <w:sz w:val="10"/>
                <w:szCs w:val="10"/>
                <w:lang w:val="fr-BE"/>
              </w:rPr>
            </w:pPr>
          </w:p>
        </w:tc>
        <w:tc>
          <w:tcPr>
            <w:tcW w:w="0" w:type="auto"/>
            <w:shd w:val="clear" w:color="auto" w:fill="auto"/>
          </w:tcPr>
          <w:p w14:paraId="3D65903B" w14:textId="77777777" w:rsidR="008C5CFA" w:rsidRPr="00A92B39" w:rsidRDefault="008C5CFA" w:rsidP="00300A01">
            <w:pPr>
              <w:spacing w:before="0" w:after="0"/>
              <w:rPr>
                <w:sz w:val="10"/>
                <w:szCs w:val="10"/>
                <w:lang w:val="fr-BE"/>
              </w:rPr>
            </w:pPr>
          </w:p>
        </w:tc>
        <w:tc>
          <w:tcPr>
            <w:tcW w:w="0" w:type="auto"/>
            <w:shd w:val="clear" w:color="auto" w:fill="auto"/>
          </w:tcPr>
          <w:p w14:paraId="7C5AFA4D" w14:textId="77777777" w:rsidR="008C5CFA" w:rsidRPr="00A92B39" w:rsidRDefault="00E82A60" w:rsidP="00300A01">
            <w:pPr>
              <w:spacing w:before="0" w:after="0"/>
              <w:jc w:val="center"/>
              <w:rPr>
                <w:b/>
                <w:sz w:val="10"/>
                <w:szCs w:val="10"/>
                <w:lang w:val="fr-BE"/>
              </w:rPr>
            </w:pPr>
            <w:r w:rsidRPr="00A92B39">
              <w:rPr>
                <w:b/>
                <w:noProof/>
                <w:sz w:val="10"/>
                <w:szCs w:val="10"/>
                <w:lang w:val="fr-BE"/>
              </w:rPr>
              <w:t>Ogółem</w:t>
            </w:r>
          </w:p>
        </w:tc>
        <w:tc>
          <w:tcPr>
            <w:tcW w:w="0" w:type="auto"/>
            <w:shd w:val="clear" w:color="auto" w:fill="auto"/>
          </w:tcPr>
          <w:p w14:paraId="49415821" w14:textId="77777777" w:rsidR="008C5CFA" w:rsidRPr="00A92B39" w:rsidRDefault="00E82A60" w:rsidP="00300A01">
            <w:pPr>
              <w:spacing w:before="0" w:after="0"/>
              <w:jc w:val="center"/>
              <w:rPr>
                <w:b/>
                <w:sz w:val="10"/>
                <w:szCs w:val="10"/>
                <w:lang w:val="fr-BE"/>
              </w:rPr>
            </w:pPr>
            <w:r w:rsidRPr="00A92B39">
              <w:rPr>
                <w:b/>
                <w:noProof/>
                <w:sz w:val="10"/>
                <w:szCs w:val="10"/>
                <w:lang w:val="fr-BE"/>
              </w:rPr>
              <w:t>Mężczyźni</w:t>
            </w:r>
          </w:p>
        </w:tc>
        <w:tc>
          <w:tcPr>
            <w:tcW w:w="0" w:type="auto"/>
            <w:shd w:val="clear" w:color="auto" w:fill="auto"/>
          </w:tcPr>
          <w:p w14:paraId="6ADEC313" w14:textId="77777777" w:rsidR="008C5CFA" w:rsidRPr="00A92B39" w:rsidRDefault="00E82A60" w:rsidP="00300A01">
            <w:pPr>
              <w:spacing w:before="0" w:after="0"/>
              <w:jc w:val="center"/>
              <w:rPr>
                <w:b/>
                <w:sz w:val="10"/>
                <w:szCs w:val="10"/>
                <w:lang w:val="fr-BE"/>
              </w:rPr>
            </w:pPr>
            <w:r w:rsidRPr="00A92B39">
              <w:rPr>
                <w:b/>
                <w:noProof/>
                <w:sz w:val="10"/>
                <w:szCs w:val="10"/>
                <w:lang w:val="fr-BE"/>
              </w:rPr>
              <w:t>Kobiety</w:t>
            </w:r>
          </w:p>
        </w:tc>
        <w:tc>
          <w:tcPr>
            <w:tcW w:w="0" w:type="auto"/>
          </w:tcPr>
          <w:p w14:paraId="7EEEAEFA" w14:textId="77777777" w:rsidR="008C5CFA" w:rsidRPr="00A92B39" w:rsidRDefault="00E82A60" w:rsidP="00300A01">
            <w:pPr>
              <w:spacing w:before="0" w:after="0"/>
              <w:jc w:val="center"/>
              <w:rPr>
                <w:b/>
                <w:sz w:val="10"/>
                <w:szCs w:val="10"/>
                <w:lang w:val="fr-BE"/>
              </w:rPr>
            </w:pPr>
            <w:r w:rsidRPr="00A92B39">
              <w:rPr>
                <w:b/>
                <w:noProof/>
                <w:sz w:val="10"/>
                <w:szCs w:val="10"/>
                <w:lang w:val="fr-BE"/>
              </w:rPr>
              <w:t>Ogółem</w:t>
            </w:r>
          </w:p>
        </w:tc>
        <w:tc>
          <w:tcPr>
            <w:tcW w:w="0" w:type="auto"/>
          </w:tcPr>
          <w:p w14:paraId="25BBAF6C" w14:textId="77777777" w:rsidR="008C5CFA" w:rsidRPr="00A92B39" w:rsidRDefault="00E82A60" w:rsidP="00300A01">
            <w:pPr>
              <w:spacing w:before="0" w:after="0"/>
              <w:jc w:val="center"/>
              <w:rPr>
                <w:b/>
                <w:sz w:val="10"/>
                <w:szCs w:val="10"/>
                <w:lang w:val="fr-BE"/>
              </w:rPr>
            </w:pPr>
            <w:r w:rsidRPr="00A92B39">
              <w:rPr>
                <w:b/>
                <w:noProof/>
                <w:sz w:val="10"/>
                <w:szCs w:val="10"/>
                <w:lang w:val="fr-BE"/>
              </w:rPr>
              <w:t>Mężczyźni</w:t>
            </w:r>
          </w:p>
        </w:tc>
        <w:tc>
          <w:tcPr>
            <w:tcW w:w="0" w:type="auto"/>
          </w:tcPr>
          <w:p w14:paraId="2C458CCA" w14:textId="77777777" w:rsidR="008C5CFA" w:rsidRPr="00A92B39" w:rsidRDefault="00E82A60" w:rsidP="00300A01">
            <w:pPr>
              <w:spacing w:before="0" w:after="0"/>
              <w:jc w:val="center"/>
              <w:rPr>
                <w:b/>
                <w:sz w:val="10"/>
                <w:szCs w:val="10"/>
                <w:lang w:val="fr-BE"/>
              </w:rPr>
            </w:pPr>
            <w:r w:rsidRPr="00A92B39">
              <w:rPr>
                <w:b/>
                <w:noProof/>
                <w:sz w:val="10"/>
                <w:szCs w:val="10"/>
                <w:lang w:val="fr-BE"/>
              </w:rPr>
              <w:t>Kobiety</w:t>
            </w:r>
          </w:p>
        </w:tc>
        <w:tc>
          <w:tcPr>
            <w:tcW w:w="0" w:type="auto"/>
          </w:tcPr>
          <w:p w14:paraId="0336F0F6" w14:textId="77777777" w:rsidR="008C5CFA" w:rsidRPr="00A92B39" w:rsidRDefault="00E82A60" w:rsidP="00300A01">
            <w:pPr>
              <w:spacing w:before="0" w:after="0"/>
              <w:jc w:val="center"/>
              <w:rPr>
                <w:b/>
                <w:sz w:val="10"/>
                <w:szCs w:val="10"/>
                <w:lang w:val="fr-BE"/>
              </w:rPr>
            </w:pPr>
            <w:r w:rsidRPr="00A92B39">
              <w:rPr>
                <w:b/>
                <w:noProof/>
                <w:sz w:val="10"/>
                <w:szCs w:val="10"/>
                <w:lang w:val="fr-BE"/>
              </w:rPr>
              <w:t>Ogółem</w:t>
            </w:r>
          </w:p>
        </w:tc>
        <w:tc>
          <w:tcPr>
            <w:tcW w:w="0" w:type="auto"/>
          </w:tcPr>
          <w:p w14:paraId="6DC6BD18" w14:textId="77777777" w:rsidR="008C5CFA" w:rsidRPr="00A92B39" w:rsidRDefault="00E82A60" w:rsidP="00300A01">
            <w:pPr>
              <w:spacing w:before="0" w:after="0"/>
              <w:jc w:val="center"/>
              <w:rPr>
                <w:b/>
                <w:sz w:val="10"/>
                <w:szCs w:val="10"/>
                <w:lang w:val="fr-BE"/>
              </w:rPr>
            </w:pPr>
            <w:r w:rsidRPr="00A92B39">
              <w:rPr>
                <w:b/>
                <w:noProof/>
                <w:sz w:val="10"/>
                <w:szCs w:val="10"/>
                <w:lang w:val="fr-BE"/>
              </w:rPr>
              <w:t>Mężczyźni</w:t>
            </w:r>
          </w:p>
        </w:tc>
        <w:tc>
          <w:tcPr>
            <w:tcW w:w="0" w:type="auto"/>
          </w:tcPr>
          <w:p w14:paraId="7C51369B" w14:textId="77777777" w:rsidR="008C5CFA" w:rsidRPr="00A92B39" w:rsidRDefault="00E82A60" w:rsidP="00300A01">
            <w:pPr>
              <w:spacing w:before="0" w:after="0"/>
              <w:jc w:val="center"/>
              <w:rPr>
                <w:b/>
                <w:sz w:val="10"/>
                <w:szCs w:val="10"/>
                <w:lang w:val="fr-BE"/>
              </w:rPr>
            </w:pPr>
            <w:r w:rsidRPr="00A92B39">
              <w:rPr>
                <w:b/>
                <w:noProof/>
                <w:sz w:val="10"/>
                <w:szCs w:val="10"/>
                <w:lang w:val="fr-BE"/>
              </w:rPr>
              <w:t>Kobiety</w:t>
            </w:r>
          </w:p>
        </w:tc>
        <w:tc>
          <w:tcPr>
            <w:tcW w:w="0" w:type="auto"/>
          </w:tcPr>
          <w:p w14:paraId="52A8D703" w14:textId="77777777" w:rsidR="008C5CFA" w:rsidRPr="00A92B39" w:rsidRDefault="00E82A60" w:rsidP="00300A01">
            <w:pPr>
              <w:spacing w:before="0" w:after="0"/>
              <w:jc w:val="center"/>
              <w:rPr>
                <w:b/>
                <w:sz w:val="10"/>
                <w:szCs w:val="10"/>
                <w:lang w:val="fr-BE"/>
              </w:rPr>
            </w:pPr>
            <w:r w:rsidRPr="00A92B39">
              <w:rPr>
                <w:b/>
                <w:noProof/>
                <w:sz w:val="10"/>
                <w:szCs w:val="10"/>
                <w:lang w:val="fr-BE"/>
              </w:rPr>
              <w:t>Ogółem</w:t>
            </w:r>
          </w:p>
        </w:tc>
        <w:tc>
          <w:tcPr>
            <w:tcW w:w="0" w:type="auto"/>
          </w:tcPr>
          <w:p w14:paraId="324D6DED" w14:textId="77777777" w:rsidR="008C5CFA" w:rsidRPr="00A92B39" w:rsidRDefault="00E82A60" w:rsidP="00300A01">
            <w:pPr>
              <w:spacing w:before="0" w:after="0"/>
              <w:jc w:val="center"/>
              <w:rPr>
                <w:b/>
                <w:sz w:val="10"/>
                <w:szCs w:val="10"/>
                <w:lang w:val="fr-BE"/>
              </w:rPr>
            </w:pPr>
            <w:r w:rsidRPr="00A92B39">
              <w:rPr>
                <w:b/>
                <w:noProof/>
                <w:sz w:val="10"/>
                <w:szCs w:val="10"/>
                <w:lang w:val="fr-BE"/>
              </w:rPr>
              <w:t>Mężczyźni</w:t>
            </w:r>
          </w:p>
        </w:tc>
        <w:tc>
          <w:tcPr>
            <w:tcW w:w="0" w:type="auto"/>
          </w:tcPr>
          <w:p w14:paraId="5F7EDCC9" w14:textId="77777777" w:rsidR="008C5CFA" w:rsidRPr="00A92B39" w:rsidRDefault="00E82A60" w:rsidP="00300A01">
            <w:pPr>
              <w:spacing w:before="0" w:after="0"/>
              <w:jc w:val="center"/>
              <w:rPr>
                <w:b/>
                <w:sz w:val="10"/>
                <w:szCs w:val="10"/>
                <w:lang w:val="fr-BE"/>
              </w:rPr>
            </w:pPr>
            <w:r w:rsidRPr="00A92B39">
              <w:rPr>
                <w:b/>
                <w:noProof/>
                <w:sz w:val="10"/>
                <w:szCs w:val="10"/>
                <w:lang w:val="fr-BE"/>
              </w:rPr>
              <w:t>Kobiety</w:t>
            </w:r>
          </w:p>
        </w:tc>
        <w:tc>
          <w:tcPr>
            <w:tcW w:w="0" w:type="auto"/>
          </w:tcPr>
          <w:p w14:paraId="20E8F3FF" w14:textId="77777777" w:rsidR="008C5CFA" w:rsidRPr="00A92B39" w:rsidRDefault="00E82A60" w:rsidP="00300A01">
            <w:pPr>
              <w:spacing w:before="0" w:after="0"/>
              <w:jc w:val="center"/>
              <w:rPr>
                <w:b/>
                <w:sz w:val="10"/>
                <w:szCs w:val="10"/>
                <w:lang w:val="fr-BE"/>
              </w:rPr>
            </w:pPr>
            <w:r w:rsidRPr="00A92B39">
              <w:rPr>
                <w:b/>
                <w:noProof/>
                <w:sz w:val="10"/>
                <w:szCs w:val="10"/>
                <w:lang w:val="fr-BE"/>
              </w:rPr>
              <w:t>Ogółem</w:t>
            </w:r>
          </w:p>
        </w:tc>
        <w:tc>
          <w:tcPr>
            <w:tcW w:w="0" w:type="auto"/>
          </w:tcPr>
          <w:p w14:paraId="23E54379" w14:textId="77777777" w:rsidR="008C5CFA" w:rsidRPr="00A92B39" w:rsidRDefault="00E82A60" w:rsidP="00300A01">
            <w:pPr>
              <w:spacing w:before="0" w:after="0"/>
              <w:jc w:val="center"/>
              <w:rPr>
                <w:b/>
                <w:sz w:val="10"/>
                <w:szCs w:val="10"/>
                <w:lang w:val="fr-BE"/>
              </w:rPr>
            </w:pPr>
            <w:r w:rsidRPr="00A92B39">
              <w:rPr>
                <w:b/>
                <w:noProof/>
                <w:sz w:val="10"/>
                <w:szCs w:val="10"/>
                <w:lang w:val="fr-BE"/>
              </w:rPr>
              <w:t>Mężczyźni</w:t>
            </w:r>
          </w:p>
        </w:tc>
        <w:tc>
          <w:tcPr>
            <w:tcW w:w="0" w:type="auto"/>
          </w:tcPr>
          <w:p w14:paraId="2D5A3786" w14:textId="77777777" w:rsidR="008C5CFA" w:rsidRPr="00A92B39" w:rsidRDefault="00E82A60" w:rsidP="00300A01">
            <w:pPr>
              <w:spacing w:before="0" w:after="0"/>
              <w:jc w:val="center"/>
              <w:rPr>
                <w:b/>
                <w:sz w:val="10"/>
                <w:szCs w:val="10"/>
                <w:lang w:val="fr-BE"/>
              </w:rPr>
            </w:pPr>
            <w:r w:rsidRPr="00A92B39">
              <w:rPr>
                <w:b/>
                <w:noProof/>
                <w:sz w:val="10"/>
                <w:szCs w:val="10"/>
                <w:lang w:val="fr-BE"/>
              </w:rPr>
              <w:t>Kobiety</w:t>
            </w:r>
          </w:p>
        </w:tc>
      </w:tr>
      <w:tr w:rsidR="006B2EC1" w14:paraId="26A17B60" w14:textId="77777777" w:rsidTr="0047688D">
        <w:tc>
          <w:tcPr>
            <w:tcW w:w="0" w:type="auto"/>
            <w:shd w:val="clear" w:color="auto" w:fill="auto"/>
          </w:tcPr>
          <w:p w14:paraId="16F59AD9" w14:textId="77777777" w:rsidR="008C5CFA" w:rsidRPr="00A92B39" w:rsidRDefault="00E82A60" w:rsidP="00300A01">
            <w:pPr>
              <w:spacing w:before="0" w:after="0"/>
              <w:rPr>
                <w:sz w:val="10"/>
                <w:szCs w:val="10"/>
                <w:lang w:val="fr-BE"/>
              </w:rPr>
            </w:pPr>
            <w:r w:rsidRPr="00A92B39">
              <w:rPr>
                <w:noProof/>
                <w:sz w:val="10"/>
                <w:szCs w:val="10"/>
                <w:lang w:val="fr-BE"/>
              </w:rPr>
              <w:t>002</w:t>
            </w:r>
          </w:p>
        </w:tc>
        <w:tc>
          <w:tcPr>
            <w:tcW w:w="0" w:type="auto"/>
            <w:shd w:val="clear" w:color="auto" w:fill="auto"/>
          </w:tcPr>
          <w:p w14:paraId="67422FDA" w14:textId="77777777" w:rsidR="008C5CFA" w:rsidRPr="00A92B39" w:rsidRDefault="00E82A60" w:rsidP="00300A01">
            <w:pPr>
              <w:spacing w:before="0" w:after="0"/>
              <w:rPr>
                <w:sz w:val="10"/>
                <w:szCs w:val="10"/>
                <w:lang w:val="fr-BE"/>
              </w:rPr>
            </w:pPr>
            <w:r w:rsidRPr="00A92B39">
              <w:rPr>
                <w:noProof/>
                <w:sz w:val="10"/>
                <w:szCs w:val="10"/>
                <w:lang w:val="fr-BE"/>
              </w:rPr>
              <w:t>Liczba osób objętych programem zdrowotnym dzięki EFS</w:t>
            </w:r>
          </w:p>
        </w:tc>
        <w:tc>
          <w:tcPr>
            <w:tcW w:w="0" w:type="auto"/>
            <w:shd w:val="clear" w:color="auto" w:fill="auto"/>
          </w:tcPr>
          <w:p w14:paraId="7132A0CC" w14:textId="77777777" w:rsidR="008C5CFA" w:rsidRPr="00A92B39" w:rsidRDefault="00E82A60" w:rsidP="00300A01">
            <w:pPr>
              <w:spacing w:before="0" w:after="0"/>
              <w:rPr>
                <w:sz w:val="10"/>
                <w:szCs w:val="10"/>
                <w:lang w:val="fr-BE"/>
              </w:rPr>
            </w:pPr>
            <w:r w:rsidRPr="00A92B39">
              <w:rPr>
                <w:noProof/>
                <w:sz w:val="10"/>
                <w:szCs w:val="10"/>
                <w:lang w:val="fr-BE"/>
              </w:rPr>
              <w:t>Słabiej rozwinięte</w:t>
            </w:r>
          </w:p>
        </w:tc>
        <w:tc>
          <w:tcPr>
            <w:tcW w:w="0" w:type="auto"/>
            <w:shd w:val="clear" w:color="auto" w:fill="auto"/>
          </w:tcPr>
          <w:p w14:paraId="3E4FB3D0" w14:textId="77777777" w:rsidR="008C5CFA" w:rsidRPr="00A92B39" w:rsidRDefault="00E82A60" w:rsidP="00300A01">
            <w:pPr>
              <w:spacing w:before="0" w:after="0"/>
              <w:jc w:val="right"/>
              <w:rPr>
                <w:sz w:val="10"/>
                <w:szCs w:val="10"/>
                <w:lang w:val="fr-BE"/>
              </w:rPr>
            </w:pPr>
            <w:r w:rsidRPr="00A92B39">
              <w:rPr>
                <w:noProof/>
                <w:sz w:val="10"/>
                <w:szCs w:val="10"/>
                <w:lang w:val="fr-BE"/>
              </w:rPr>
              <w:t>19 986,00</w:t>
            </w:r>
          </w:p>
        </w:tc>
        <w:tc>
          <w:tcPr>
            <w:tcW w:w="0" w:type="auto"/>
            <w:shd w:val="clear" w:color="auto" w:fill="auto"/>
          </w:tcPr>
          <w:p w14:paraId="12B1F63A"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14:paraId="503FC35F"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3936E51C" w14:textId="77777777" w:rsidR="008C5CFA" w:rsidRPr="00A92B39" w:rsidRDefault="00E82A60" w:rsidP="00300A01">
            <w:pPr>
              <w:spacing w:before="0" w:after="0"/>
              <w:jc w:val="right"/>
              <w:rPr>
                <w:sz w:val="10"/>
                <w:szCs w:val="10"/>
                <w:lang w:val="fr-BE"/>
              </w:rPr>
            </w:pPr>
            <w:r w:rsidRPr="00A92B39">
              <w:rPr>
                <w:noProof/>
                <w:sz w:val="10"/>
                <w:szCs w:val="10"/>
                <w:lang w:val="fr-BE"/>
              </w:rPr>
              <w:t>2 118,00</w:t>
            </w:r>
          </w:p>
        </w:tc>
        <w:tc>
          <w:tcPr>
            <w:tcW w:w="0" w:type="auto"/>
          </w:tcPr>
          <w:p w14:paraId="0A003599"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4514DA91"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4C11B80E"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5ECEC095"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3CBF099E"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07E0C50C"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54F41E3F"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34393C44"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12C9CD54"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62D6D413"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6692BE75"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r>
      <w:tr w:rsidR="006B2EC1" w14:paraId="203B2CAF" w14:textId="77777777" w:rsidTr="0047688D">
        <w:tc>
          <w:tcPr>
            <w:tcW w:w="0" w:type="auto"/>
            <w:shd w:val="clear" w:color="auto" w:fill="auto"/>
          </w:tcPr>
          <w:p w14:paraId="1C06E8CB" w14:textId="77777777" w:rsidR="008C5CFA" w:rsidRPr="00A92B39" w:rsidRDefault="00E82A60" w:rsidP="00300A01">
            <w:pPr>
              <w:spacing w:before="0" w:after="0"/>
              <w:rPr>
                <w:sz w:val="10"/>
                <w:szCs w:val="10"/>
                <w:lang w:val="fr-BE"/>
              </w:rPr>
            </w:pPr>
            <w:r w:rsidRPr="00A92B39">
              <w:rPr>
                <w:noProof/>
                <w:sz w:val="10"/>
                <w:szCs w:val="10"/>
                <w:lang w:val="fr-BE"/>
              </w:rPr>
              <w:t>003</w:t>
            </w:r>
          </w:p>
        </w:tc>
        <w:tc>
          <w:tcPr>
            <w:tcW w:w="0" w:type="auto"/>
            <w:shd w:val="clear" w:color="auto" w:fill="auto"/>
          </w:tcPr>
          <w:p w14:paraId="501D8232" w14:textId="77777777" w:rsidR="008C5CFA" w:rsidRPr="00A92B39" w:rsidRDefault="00E82A60" w:rsidP="00300A01">
            <w:pPr>
              <w:spacing w:before="0" w:after="0"/>
              <w:rPr>
                <w:sz w:val="10"/>
                <w:szCs w:val="10"/>
                <w:lang w:val="fr-BE"/>
              </w:rPr>
            </w:pPr>
            <w:r w:rsidRPr="00A92B39">
              <w:rPr>
                <w:noProof/>
                <w:sz w:val="10"/>
                <w:szCs w:val="10"/>
                <w:lang w:val="fr-BE"/>
              </w:rPr>
              <w:t>Liczba wdrożonych programów zdrowotnych istotnych z punktu widzenia potrzeb zdrowotnych regionu, w tym pracodawców</w:t>
            </w:r>
          </w:p>
        </w:tc>
        <w:tc>
          <w:tcPr>
            <w:tcW w:w="0" w:type="auto"/>
            <w:shd w:val="clear" w:color="auto" w:fill="auto"/>
          </w:tcPr>
          <w:p w14:paraId="171898D3" w14:textId="77777777" w:rsidR="008C5CFA" w:rsidRPr="00A92B39" w:rsidRDefault="00E82A60" w:rsidP="00300A01">
            <w:pPr>
              <w:spacing w:before="0" w:after="0"/>
              <w:rPr>
                <w:sz w:val="10"/>
                <w:szCs w:val="10"/>
                <w:lang w:val="fr-BE"/>
              </w:rPr>
            </w:pPr>
            <w:r w:rsidRPr="00A92B39">
              <w:rPr>
                <w:noProof/>
                <w:sz w:val="10"/>
                <w:szCs w:val="10"/>
                <w:lang w:val="fr-BE"/>
              </w:rPr>
              <w:t>Słabiej rozwinięte</w:t>
            </w:r>
          </w:p>
        </w:tc>
        <w:tc>
          <w:tcPr>
            <w:tcW w:w="0" w:type="auto"/>
            <w:shd w:val="clear" w:color="auto" w:fill="auto"/>
          </w:tcPr>
          <w:p w14:paraId="25AB9645" w14:textId="77777777" w:rsidR="008C5CFA" w:rsidRPr="00A92B39" w:rsidRDefault="00E82A60" w:rsidP="00300A01">
            <w:pPr>
              <w:spacing w:before="0" w:after="0"/>
              <w:jc w:val="right"/>
              <w:rPr>
                <w:sz w:val="10"/>
                <w:szCs w:val="10"/>
                <w:lang w:val="fr-BE"/>
              </w:rPr>
            </w:pPr>
            <w:r w:rsidRPr="00A92B39">
              <w:rPr>
                <w:noProof/>
                <w:sz w:val="10"/>
                <w:szCs w:val="10"/>
                <w:lang w:val="fr-BE"/>
              </w:rPr>
              <w:t>2,00</w:t>
            </w:r>
          </w:p>
        </w:tc>
        <w:tc>
          <w:tcPr>
            <w:tcW w:w="0" w:type="auto"/>
            <w:shd w:val="clear" w:color="auto" w:fill="auto"/>
          </w:tcPr>
          <w:p w14:paraId="42B090B6"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14:paraId="0AAC6013"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11EE7719" w14:textId="77777777" w:rsidR="008C5CFA" w:rsidRPr="00A92B39" w:rsidRDefault="00E82A60" w:rsidP="00300A01">
            <w:pPr>
              <w:spacing w:before="0" w:after="0"/>
              <w:jc w:val="right"/>
              <w:rPr>
                <w:sz w:val="10"/>
                <w:szCs w:val="10"/>
                <w:lang w:val="fr-BE"/>
              </w:rPr>
            </w:pPr>
            <w:r w:rsidRPr="00A92B39">
              <w:rPr>
                <w:noProof/>
                <w:sz w:val="10"/>
                <w:szCs w:val="10"/>
                <w:lang w:val="fr-BE"/>
              </w:rPr>
              <w:t>1,00</w:t>
            </w:r>
          </w:p>
        </w:tc>
        <w:tc>
          <w:tcPr>
            <w:tcW w:w="0" w:type="auto"/>
          </w:tcPr>
          <w:p w14:paraId="045BA46C"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4ABF6866"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2C14EE7E"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3A0E1EA8"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4ABAE66D"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7F26C3CD"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0D32985F"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690C2297"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1197EFE6"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0CDAF365"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46B81CF1"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r>
    </w:tbl>
    <w:p w14:paraId="192DF4F7" w14:textId="77777777" w:rsidR="008C5CFA" w:rsidRDefault="008C5CFA" w:rsidP="00300A01">
      <w:pPr>
        <w:spacing w:before="0" w:after="0"/>
        <w:rPr>
          <w:lang w:val="fr-BE"/>
        </w:rPr>
      </w:pPr>
    </w:p>
    <w:p w14:paraId="131B74D6" w14:textId="77777777" w:rsidR="008C5CFA" w:rsidRDefault="00E82A60" w:rsidP="00300A01">
      <w:pPr>
        <w:spacing w:before="0" w:after="0"/>
        <w:rPr>
          <w:lang w:val="fr-BE"/>
        </w:rPr>
      </w:pPr>
      <w:r>
        <w:rPr>
          <w:lang w:val="fr-BE"/>
        </w:rPr>
        <w:br w:type="page"/>
      </w:r>
    </w:p>
    <w:p w14:paraId="1F5DE5B3" w14:textId="77777777" w:rsidR="008C5CFA" w:rsidRPr="00B27C43" w:rsidRDefault="008C5CFA" w:rsidP="00300A01">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4"/>
        <w:gridCol w:w="13530"/>
      </w:tblGrid>
      <w:tr w:rsidR="006B2EC1" w14:paraId="0F5BD051" w14:textId="77777777" w:rsidTr="0047688D">
        <w:tc>
          <w:tcPr>
            <w:tcW w:w="0" w:type="auto"/>
            <w:shd w:val="clear" w:color="auto" w:fill="auto"/>
          </w:tcPr>
          <w:p w14:paraId="7041C117" w14:textId="77777777" w:rsidR="008C5CFA" w:rsidRPr="002124FC" w:rsidRDefault="00E82A60" w:rsidP="00300A01">
            <w:pPr>
              <w:spacing w:before="0" w:after="0"/>
              <w:rPr>
                <w:sz w:val="20"/>
                <w:szCs w:val="20"/>
                <w:lang w:val="fr-BE"/>
              </w:rPr>
            </w:pPr>
            <w:r w:rsidRPr="002124FC">
              <w:rPr>
                <w:noProof/>
                <w:sz w:val="20"/>
                <w:szCs w:val="20"/>
                <w:lang w:val="fr-BE"/>
              </w:rPr>
              <w:t>Oś priorytetowa</w:t>
            </w:r>
          </w:p>
        </w:tc>
        <w:tc>
          <w:tcPr>
            <w:tcW w:w="0" w:type="auto"/>
            <w:shd w:val="clear" w:color="auto" w:fill="auto"/>
          </w:tcPr>
          <w:p w14:paraId="259990FC" w14:textId="77777777" w:rsidR="008C5CFA" w:rsidRPr="002124FC" w:rsidRDefault="00E82A60" w:rsidP="00300A01">
            <w:pPr>
              <w:spacing w:before="0" w:after="0"/>
              <w:rPr>
                <w:sz w:val="20"/>
                <w:szCs w:val="20"/>
                <w:lang w:val="fr-BE"/>
              </w:rPr>
            </w:pPr>
            <w:r w:rsidRPr="002124FC">
              <w:rPr>
                <w:noProof/>
                <w:sz w:val="20"/>
                <w:szCs w:val="20"/>
                <w:lang w:val="fr-BE"/>
              </w:rPr>
              <w:t>8</w:t>
            </w:r>
            <w:r w:rsidRPr="002124FC">
              <w:rPr>
                <w:sz w:val="20"/>
                <w:szCs w:val="20"/>
                <w:lang w:val="fr-BE"/>
              </w:rPr>
              <w:t xml:space="preserve"> - </w:t>
            </w:r>
            <w:r w:rsidRPr="002124FC">
              <w:rPr>
                <w:noProof/>
                <w:sz w:val="20"/>
                <w:szCs w:val="20"/>
                <w:lang w:val="fr-BE"/>
              </w:rPr>
              <w:t>Rozwój edukacji i aktywne społeczeństwo</w:t>
            </w:r>
          </w:p>
        </w:tc>
      </w:tr>
      <w:tr w:rsidR="006B2EC1" w14:paraId="415DA7DC" w14:textId="77777777" w:rsidTr="0047688D">
        <w:tc>
          <w:tcPr>
            <w:tcW w:w="0" w:type="auto"/>
            <w:shd w:val="clear" w:color="auto" w:fill="auto"/>
          </w:tcPr>
          <w:p w14:paraId="505372D0" w14:textId="77777777" w:rsidR="008C5CFA" w:rsidRPr="002124FC" w:rsidRDefault="00E82A60"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14:paraId="2C688907" w14:textId="77777777" w:rsidR="008C5CFA" w:rsidRPr="002124FC" w:rsidRDefault="00E82A60" w:rsidP="00300A01">
            <w:pPr>
              <w:spacing w:before="0" w:after="0"/>
              <w:rPr>
                <w:sz w:val="20"/>
                <w:szCs w:val="20"/>
                <w:lang w:val="fr-BE"/>
              </w:rPr>
            </w:pPr>
            <w:r w:rsidRPr="002124FC">
              <w:rPr>
                <w:noProof/>
                <w:sz w:val="20"/>
                <w:szCs w:val="20"/>
                <w:lang w:val="fr-BE"/>
              </w:rPr>
              <w:t>10i</w:t>
            </w:r>
            <w:r w:rsidRPr="002124FC">
              <w:rPr>
                <w:sz w:val="20"/>
                <w:szCs w:val="20"/>
                <w:lang w:val="fr-BE"/>
              </w:rPr>
              <w:t xml:space="preserve"> - </w:t>
            </w:r>
            <w:r w:rsidRPr="002124FC">
              <w:rPr>
                <w:noProof/>
                <w:sz w:val="20"/>
                <w:szCs w:val="20"/>
                <w:lang w:val="fr-BE"/>
              </w:rPr>
              <w:t>Ograniczenie i zapobieganie przedwczesnemu kończeniu nauki szkolnej oraz zapewnianie równego dostępu do dobrej jakości wczesnej edukacji elementarnej oraz kształcenia podstawowego, gimnazjalnego i ponadgimnazjalnego, z uwzględnieniem formalnych, nieformalnych i pozaformalnych ścieżek kształcenia umożliwiających ponowne podjęcie kształcenia i szkolenia</w:t>
            </w:r>
          </w:p>
        </w:tc>
      </w:tr>
    </w:tbl>
    <w:p w14:paraId="40FD865A" w14:textId="77777777" w:rsidR="008C5CFA" w:rsidRDefault="008C5CFA" w:rsidP="00300A01">
      <w:pPr>
        <w:spacing w:before="0" w:after="0"/>
        <w:ind w:left="113" w:hanging="113"/>
        <w:rPr>
          <w:sz w:val="20"/>
          <w:szCs w:val="20"/>
          <w:lang w:val="fr-BE"/>
        </w:rPr>
      </w:pPr>
    </w:p>
    <w:p w14:paraId="591805F5" w14:textId="77777777" w:rsidR="008C5CFA" w:rsidRPr="008E457C" w:rsidRDefault="00E82A60" w:rsidP="00300A01">
      <w:pPr>
        <w:pStyle w:val="Nagwek2"/>
        <w:spacing w:before="0" w:after="0"/>
      </w:pPr>
      <w:bookmarkStart w:id="55" w:name="_Toc46391739"/>
      <w:r w:rsidRPr="008E457C">
        <w:rPr>
          <w:noProof/>
        </w:rPr>
        <w:t>Tabela 2A</w:t>
      </w:r>
      <w:r w:rsidRPr="008E457C">
        <w:t xml:space="preserve"> : </w:t>
      </w:r>
      <w:proofErr w:type="spellStart"/>
      <w:r w:rsidRPr="008E457C">
        <w:t>Wspólne</w:t>
      </w:r>
      <w:proofErr w:type="spellEnd"/>
      <w:r w:rsidRPr="008E457C">
        <w:t xml:space="preserve"> </w:t>
      </w:r>
      <w:proofErr w:type="spellStart"/>
      <w:r w:rsidRPr="008E457C">
        <w:t>wskaźniki</w:t>
      </w:r>
      <w:proofErr w:type="spellEnd"/>
      <w:r w:rsidRPr="008E457C">
        <w:t xml:space="preserve"> </w:t>
      </w:r>
      <w:proofErr w:type="spellStart"/>
      <w:r w:rsidRPr="008E457C">
        <w:t>rezultatu</w:t>
      </w:r>
      <w:proofErr w:type="spellEnd"/>
      <w:r w:rsidRPr="008E457C">
        <w:t xml:space="preserve"> </w:t>
      </w:r>
      <w:proofErr w:type="spellStart"/>
      <w:r w:rsidRPr="008E457C">
        <w:t>dla</w:t>
      </w:r>
      <w:proofErr w:type="spellEnd"/>
      <w:r w:rsidRPr="008E457C">
        <w:t xml:space="preserve"> EFS (z </w:t>
      </w:r>
      <w:proofErr w:type="spellStart"/>
      <w:r w:rsidRPr="008E457C">
        <w:t>podziałem</w:t>
      </w:r>
      <w:proofErr w:type="spellEnd"/>
      <w:r w:rsidRPr="008E457C">
        <w:t xml:space="preserve"> </w:t>
      </w:r>
      <w:proofErr w:type="spellStart"/>
      <w:r w:rsidRPr="008E457C">
        <w:t>na</w:t>
      </w:r>
      <w:proofErr w:type="spellEnd"/>
      <w:r w:rsidRPr="008E457C">
        <w:t xml:space="preserve"> </w:t>
      </w:r>
      <w:proofErr w:type="spellStart"/>
      <w:r w:rsidRPr="008E457C">
        <w:t>oś</w:t>
      </w:r>
      <w:proofErr w:type="spellEnd"/>
      <w:r w:rsidRPr="008E457C">
        <w:t xml:space="preserve"> </w:t>
      </w:r>
      <w:proofErr w:type="spellStart"/>
      <w:r w:rsidRPr="008E457C">
        <w:t>priorytetową</w:t>
      </w:r>
      <w:proofErr w:type="spellEnd"/>
      <w:r w:rsidRPr="008E457C">
        <w:t xml:space="preserve">, </w:t>
      </w:r>
      <w:proofErr w:type="spellStart"/>
      <w:r w:rsidRPr="008E457C">
        <w:t>priorytet</w:t>
      </w:r>
      <w:proofErr w:type="spellEnd"/>
      <w:r w:rsidRPr="008E457C">
        <w:t xml:space="preserve"> </w:t>
      </w:r>
      <w:proofErr w:type="spellStart"/>
      <w:r w:rsidRPr="008E457C">
        <w:t>inwestycyjny</w:t>
      </w:r>
      <w:proofErr w:type="spellEnd"/>
      <w:r w:rsidRPr="008E457C">
        <w:t xml:space="preserve"> i </w:t>
      </w:r>
      <w:proofErr w:type="spellStart"/>
      <w:r w:rsidRPr="008E457C">
        <w:t>kategorię</w:t>
      </w:r>
      <w:proofErr w:type="spellEnd"/>
      <w:r w:rsidRPr="008E457C">
        <w:t xml:space="preserve"> </w:t>
      </w:r>
      <w:proofErr w:type="spellStart"/>
      <w:r w:rsidRPr="008E457C">
        <w:t>regionu</w:t>
      </w:r>
      <w:proofErr w:type="spellEnd"/>
      <w:r w:rsidRPr="008E457C">
        <w:t xml:space="preserve">) Dane </w:t>
      </w:r>
      <w:proofErr w:type="spellStart"/>
      <w:r w:rsidRPr="008E457C">
        <w:t>na</w:t>
      </w:r>
      <w:proofErr w:type="spellEnd"/>
      <w:r w:rsidRPr="008E457C">
        <w:t xml:space="preserve"> </w:t>
      </w:r>
      <w:proofErr w:type="spellStart"/>
      <w:r w:rsidRPr="008E457C">
        <w:t>temat</w:t>
      </w:r>
      <w:proofErr w:type="spellEnd"/>
      <w:r w:rsidRPr="008E457C">
        <w:t xml:space="preserve"> </w:t>
      </w:r>
      <w:proofErr w:type="spellStart"/>
      <w:r w:rsidRPr="008E457C">
        <w:t>wszystkich</w:t>
      </w:r>
      <w:proofErr w:type="spellEnd"/>
      <w:r w:rsidRPr="008E457C">
        <w:t xml:space="preserve"> </w:t>
      </w:r>
      <w:proofErr w:type="spellStart"/>
      <w:r w:rsidRPr="008E457C">
        <w:t>wspólnych</w:t>
      </w:r>
      <w:proofErr w:type="spellEnd"/>
      <w:r w:rsidRPr="008E457C">
        <w:t xml:space="preserve"> </w:t>
      </w:r>
      <w:proofErr w:type="spellStart"/>
      <w:r w:rsidRPr="008E457C">
        <w:t>wskaźników</w:t>
      </w:r>
      <w:proofErr w:type="spellEnd"/>
      <w:r w:rsidRPr="008E457C">
        <w:t xml:space="preserve"> </w:t>
      </w:r>
      <w:proofErr w:type="spellStart"/>
      <w:r w:rsidRPr="008E457C">
        <w:t>rezultatu</w:t>
      </w:r>
      <w:proofErr w:type="spellEnd"/>
      <w:r w:rsidRPr="008E457C">
        <w:t xml:space="preserve"> </w:t>
      </w:r>
      <w:proofErr w:type="spellStart"/>
      <w:r w:rsidRPr="008E457C">
        <w:t>dla</w:t>
      </w:r>
      <w:proofErr w:type="spellEnd"/>
      <w:r w:rsidRPr="008E457C">
        <w:t xml:space="preserve"> EFS (z </w:t>
      </w:r>
      <w:proofErr w:type="spellStart"/>
      <w:r w:rsidRPr="008E457C">
        <w:t>wartością</w:t>
      </w:r>
      <w:proofErr w:type="spellEnd"/>
      <w:r w:rsidRPr="008E457C">
        <w:t xml:space="preserve"> </w:t>
      </w:r>
      <w:proofErr w:type="spellStart"/>
      <w:r w:rsidRPr="008E457C">
        <w:t>docelową</w:t>
      </w:r>
      <w:proofErr w:type="spellEnd"/>
      <w:r w:rsidRPr="008E457C">
        <w:t xml:space="preserve"> i bez) </w:t>
      </w:r>
      <w:proofErr w:type="spellStart"/>
      <w:r w:rsidRPr="008E457C">
        <w:t>przedstawia</w:t>
      </w:r>
      <w:proofErr w:type="spellEnd"/>
      <w:r w:rsidRPr="008E457C">
        <w:t xml:space="preserve"> </w:t>
      </w:r>
      <w:proofErr w:type="spellStart"/>
      <w:r w:rsidRPr="008E457C">
        <w:t>się</w:t>
      </w:r>
      <w:proofErr w:type="spellEnd"/>
      <w:r w:rsidRPr="008E457C">
        <w:t xml:space="preserve"> w </w:t>
      </w:r>
      <w:proofErr w:type="spellStart"/>
      <w:r w:rsidRPr="008E457C">
        <w:t>sprawozdaniu</w:t>
      </w:r>
      <w:proofErr w:type="spellEnd"/>
      <w:r w:rsidRPr="008E457C">
        <w:t xml:space="preserve"> w </w:t>
      </w:r>
      <w:proofErr w:type="spellStart"/>
      <w:r w:rsidRPr="008E457C">
        <w:t>podziale</w:t>
      </w:r>
      <w:proofErr w:type="spellEnd"/>
      <w:r w:rsidRPr="008E457C">
        <w:t xml:space="preserve"> </w:t>
      </w:r>
      <w:proofErr w:type="spellStart"/>
      <w:r w:rsidRPr="008E457C">
        <w:t>na</w:t>
      </w:r>
      <w:proofErr w:type="spellEnd"/>
      <w:r w:rsidRPr="008E457C">
        <w:t xml:space="preserve"> </w:t>
      </w:r>
      <w:proofErr w:type="spellStart"/>
      <w:r w:rsidRPr="008E457C">
        <w:t>płeć</w:t>
      </w:r>
      <w:proofErr w:type="spellEnd"/>
      <w:r w:rsidRPr="008E457C">
        <w:t xml:space="preserve">. W </w:t>
      </w:r>
      <w:proofErr w:type="spellStart"/>
      <w:r w:rsidRPr="008E457C">
        <w:t>przypadku</w:t>
      </w:r>
      <w:proofErr w:type="spellEnd"/>
      <w:r w:rsidRPr="008E457C">
        <w:t xml:space="preserve"> </w:t>
      </w:r>
      <w:proofErr w:type="spellStart"/>
      <w:r w:rsidRPr="008E457C">
        <w:t>osi</w:t>
      </w:r>
      <w:proofErr w:type="spellEnd"/>
      <w:r w:rsidRPr="008E457C">
        <w:t xml:space="preserve"> </w:t>
      </w:r>
      <w:proofErr w:type="spellStart"/>
      <w:r w:rsidRPr="008E457C">
        <w:t>priorytetowej</w:t>
      </w:r>
      <w:proofErr w:type="spellEnd"/>
      <w:r w:rsidRPr="008E457C">
        <w:t xml:space="preserve"> </w:t>
      </w:r>
      <w:r>
        <w:t>"</w:t>
      </w:r>
      <w:proofErr w:type="spellStart"/>
      <w:r w:rsidRPr="008E457C">
        <w:t>Pomoc</w:t>
      </w:r>
      <w:proofErr w:type="spellEnd"/>
      <w:r w:rsidRPr="008E457C">
        <w:t xml:space="preserve"> </w:t>
      </w:r>
      <w:proofErr w:type="spellStart"/>
      <w:r w:rsidRPr="008E457C">
        <w:t>techniczna</w:t>
      </w:r>
      <w:proofErr w:type="spellEnd"/>
      <w:r w:rsidRPr="008E457C">
        <w:t xml:space="preserve"> w </w:t>
      </w:r>
      <w:proofErr w:type="spellStart"/>
      <w:r w:rsidRPr="008E457C">
        <w:t>sprawozdaniu</w:t>
      </w:r>
      <w:proofErr w:type="spellEnd"/>
      <w:r w:rsidRPr="008E457C">
        <w:t xml:space="preserve"> </w:t>
      </w:r>
      <w:proofErr w:type="spellStart"/>
      <w:r w:rsidRPr="008E457C">
        <w:t>przedstawia</w:t>
      </w:r>
      <w:proofErr w:type="spellEnd"/>
      <w:r w:rsidRPr="008E457C">
        <w:t xml:space="preserve"> </w:t>
      </w:r>
      <w:proofErr w:type="spellStart"/>
      <w:r w:rsidRPr="008E457C">
        <w:t>się</w:t>
      </w:r>
      <w:proofErr w:type="spellEnd"/>
      <w:r w:rsidRPr="008E457C">
        <w:t xml:space="preserve"> </w:t>
      </w:r>
      <w:proofErr w:type="spellStart"/>
      <w:r w:rsidRPr="008E457C">
        <w:t>jedynie</w:t>
      </w:r>
      <w:proofErr w:type="spellEnd"/>
      <w:r w:rsidRPr="008E457C">
        <w:t xml:space="preserve"> </w:t>
      </w:r>
      <w:proofErr w:type="spellStart"/>
      <w:r w:rsidRPr="008E457C">
        <w:t>te</w:t>
      </w:r>
      <w:proofErr w:type="spellEnd"/>
      <w:r w:rsidRPr="008E457C">
        <w:t xml:space="preserve"> </w:t>
      </w:r>
      <w:proofErr w:type="spellStart"/>
      <w:r w:rsidRPr="008E457C">
        <w:t>wskaźniki</w:t>
      </w:r>
      <w:proofErr w:type="spellEnd"/>
      <w:r w:rsidRPr="008E457C">
        <w:t xml:space="preserve"> </w:t>
      </w:r>
      <w:proofErr w:type="spellStart"/>
      <w:r w:rsidRPr="008E457C">
        <w:t>wspólne</w:t>
      </w:r>
      <w:proofErr w:type="spellEnd"/>
      <w:r w:rsidRPr="008E457C">
        <w:t xml:space="preserve">, w </w:t>
      </w:r>
      <w:proofErr w:type="spellStart"/>
      <w:r w:rsidRPr="008E457C">
        <w:t>odniesieniu</w:t>
      </w:r>
      <w:proofErr w:type="spellEnd"/>
      <w:r w:rsidRPr="008E457C">
        <w:t xml:space="preserve"> do </w:t>
      </w:r>
      <w:proofErr w:type="spellStart"/>
      <w:r w:rsidRPr="008E457C">
        <w:t>których</w:t>
      </w:r>
      <w:proofErr w:type="spellEnd"/>
      <w:r w:rsidRPr="008E457C">
        <w:t xml:space="preserve"> </w:t>
      </w:r>
      <w:proofErr w:type="spellStart"/>
      <w:r w:rsidRPr="008E457C">
        <w:t>ustanowiono</w:t>
      </w:r>
      <w:proofErr w:type="spellEnd"/>
      <w:r w:rsidRPr="008E457C">
        <w:t xml:space="preserve"> </w:t>
      </w:r>
      <w:proofErr w:type="spellStart"/>
      <w:r w:rsidRPr="008E457C">
        <w:t>wartość</w:t>
      </w:r>
      <w:proofErr w:type="spellEnd"/>
      <w:r w:rsidRPr="008E457C">
        <w:t xml:space="preserve"> </w:t>
      </w:r>
      <w:proofErr w:type="spellStart"/>
      <w:r w:rsidRPr="008E457C">
        <w:t>docelową</w:t>
      </w:r>
      <w:proofErr w:type="spellEnd"/>
      <w:r w:rsidRPr="008E457C">
        <w:t>.</w:t>
      </w:r>
      <w:r w:rsidR="00501DA0">
        <w:t xml:space="preserve"> - </w:t>
      </w:r>
      <w:r w:rsidR="00501DA0" w:rsidRPr="002124FC">
        <w:rPr>
          <w:noProof/>
          <w:sz w:val="20"/>
          <w:szCs w:val="20"/>
          <w:lang w:val="fr-BE"/>
        </w:rPr>
        <w:t>8</w:t>
      </w:r>
      <w:r w:rsidR="00501DA0">
        <w:rPr>
          <w:sz w:val="20"/>
          <w:szCs w:val="20"/>
          <w:lang w:val="fr-BE"/>
        </w:rPr>
        <w:t xml:space="preserve"> / </w:t>
      </w:r>
      <w:r w:rsidR="00501DA0" w:rsidRPr="002124FC">
        <w:rPr>
          <w:noProof/>
          <w:sz w:val="20"/>
          <w:szCs w:val="20"/>
          <w:lang w:val="fr-BE"/>
        </w:rPr>
        <w:t>10i</w:t>
      </w:r>
      <w:bookmarkEnd w:id="55"/>
    </w:p>
    <w:p w14:paraId="09A96AFD" w14:textId="77777777" w:rsidR="008C5CFA" w:rsidRDefault="008C5CFA" w:rsidP="00300A01">
      <w:pPr>
        <w:keepNext/>
        <w:spacing w:before="0" w:after="0"/>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37"/>
        <w:gridCol w:w="5159"/>
        <w:gridCol w:w="745"/>
        <w:gridCol w:w="1864"/>
        <w:gridCol w:w="1475"/>
        <w:gridCol w:w="456"/>
        <w:gridCol w:w="596"/>
        <w:gridCol w:w="463"/>
        <w:gridCol w:w="456"/>
        <w:gridCol w:w="596"/>
        <w:gridCol w:w="463"/>
        <w:gridCol w:w="456"/>
        <w:gridCol w:w="596"/>
        <w:gridCol w:w="463"/>
        <w:gridCol w:w="596"/>
        <w:gridCol w:w="463"/>
      </w:tblGrid>
      <w:tr w:rsidR="006B2EC1" w14:paraId="49B4DF2E" w14:textId="77777777" w:rsidTr="0047688D">
        <w:trPr>
          <w:tblHeader/>
        </w:trPr>
        <w:tc>
          <w:tcPr>
            <w:tcW w:w="0" w:type="auto"/>
            <w:shd w:val="clear" w:color="auto" w:fill="auto"/>
          </w:tcPr>
          <w:p w14:paraId="437A1D5D" w14:textId="77777777" w:rsidR="008C5CFA" w:rsidRPr="00F53019" w:rsidRDefault="00E82A60" w:rsidP="00300A01">
            <w:pPr>
              <w:spacing w:before="0" w:after="0"/>
              <w:rPr>
                <w:b/>
                <w:sz w:val="12"/>
                <w:szCs w:val="12"/>
                <w:lang w:val="fr-BE"/>
              </w:rPr>
            </w:pPr>
            <w:r w:rsidRPr="00F53019">
              <w:rPr>
                <w:b/>
                <w:noProof/>
                <w:sz w:val="12"/>
                <w:szCs w:val="12"/>
                <w:lang w:val="fr-BE"/>
              </w:rPr>
              <w:t>ID</w:t>
            </w:r>
          </w:p>
        </w:tc>
        <w:tc>
          <w:tcPr>
            <w:tcW w:w="0" w:type="auto"/>
            <w:shd w:val="clear" w:color="auto" w:fill="auto"/>
          </w:tcPr>
          <w:p w14:paraId="3EC54E21" w14:textId="77777777" w:rsidR="008C5CFA" w:rsidRPr="00F53019" w:rsidRDefault="00E82A60" w:rsidP="00300A01">
            <w:pPr>
              <w:spacing w:before="0" w:after="0"/>
              <w:rPr>
                <w:b/>
                <w:sz w:val="12"/>
                <w:szCs w:val="12"/>
                <w:lang w:val="fr-BE"/>
              </w:rPr>
            </w:pPr>
            <w:r w:rsidRPr="00F53019">
              <w:rPr>
                <w:b/>
                <w:noProof/>
                <w:sz w:val="12"/>
                <w:szCs w:val="12"/>
                <w:lang w:val="fr-BE"/>
              </w:rPr>
              <w:t>Wskaźnik</w:t>
            </w:r>
          </w:p>
        </w:tc>
        <w:tc>
          <w:tcPr>
            <w:tcW w:w="0" w:type="auto"/>
            <w:shd w:val="clear" w:color="auto" w:fill="auto"/>
          </w:tcPr>
          <w:p w14:paraId="32531D8F" w14:textId="77777777" w:rsidR="008C5CFA" w:rsidRPr="00F53019" w:rsidRDefault="00E82A60" w:rsidP="00300A01">
            <w:pPr>
              <w:spacing w:before="0" w:after="0"/>
              <w:rPr>
                <w:b/>
                <w:sz w:val="12"/>
                <w:szCs w:val="12"/>
                <w:lang w:val="fr-BE"/>
              </w:rPr>
            </w:pPr>
            <w:r w:rsidRPr="00F53019">
              <w:rPr>
                <w:b/>
                <w:noProof/>
                <w:sz w:val="12"/>
                <w:szCs w:val="12"/>
                <w:lang w:val="fr-BE"/>
              </w:rPr>
              <w:t>Kategoria regionu</w:t>
            </w:r>
          </w:p>
        </w:tc>
        <w:tc>
          <w:tcPr>
            <w:tcW w:w="0" w:type="auto"/>
            <w:shd w:val="clear" w:color="auto" w:fill="auto"/>
          </w:tcPr>
          <w:p w14:paraId="39A1BB0F" w14:textId="77777777" w:rsidR="008C5CFA" w:rsidRPr="00F53019" w:rsidRDefault="00E82A60" w:rsidP="00300A01">
            <w:pPr>
              <w:spacing w:before="0" w:after="0"/>
              <w:rPr>
                <w:b/>
                <w:sz w:val="12"/>
                <w:szCs w:val="12"/>
                <w:lang w:val="fr-BE"/>
              </w:rPr>
            </w:pPr>
            <w:r w:rsidRPr="00F53019">
              <w:rPr>
                <w:b/>
                <w:noProof/>
                <w:sz w:val="12"/>
                <w:szCs w:val="12"/>
                <w:lang w:val="fr-BE"/>
              </w:rPr>
              <w:t>Wspólny wskaźnik produktu stosowany jako podstawa ustalania celów</w:t>
            </w:r>
          </w:p>
        </w:tc>
        <w:tc>
          <w:tcPr>
            <w:tcW w:w="0" w:type="auto"/>
            <w:shd w:val="clear" w:color="auto" w:fill="auto"/>
          </w:tcPr>
          <w:p w14:paraId="0C920C90" w14:textId="77777777" w:rsidR="008C5CFA" w:rsidRPr="00F53019" w:rsidRDefault="00E82A60" w:rsidP="00300A01">
            <w:pPr>
              <w:spacing w:before="0" w:after="0"/>
              <w:rPr>
                <w:b/>
                <w:sz w:val="12"/>
                <w:szCs w:val="12"/>
                <w:lang w:val="fr-BE"/>
              </w:rPr>
            </w:pPr>
            <w:r w:rsidRPr="00F53019">
              <w:rPr>
                <w:b/>
                <w:noProof/>
                <w:sz w:val="12"/>
                <w:szCs w:val="12"/>
                <w:lang w:val="fr-BE"/>
              </w:rPr>
              <w:t>Jednostka pomiaru dla wartości bazowej i docelowej</w:t>
            </w:r>
          </w:p>
        </w:tc>
        <w:tc>
          <w:tcPr>
            <w:tcW w:w="0" w:type="auto"/>
            <w:gridSpan w:val="3"/>
            <w:shd w:val="clear" w:color="auto" w:fill="auto"/>
          </w:tcPr>
          <w:p w14:paraId="59F8A92F" w14:textId="77777777" w:rsidR="008C5CFA" w:rsidRPr="00F53019" w:rsidRDefault="00E82A60" w:rsidP="00300A01">
            <w:pPr>
              <w:spacing w:before="0" w:after="0"/>
              <w:jc w:val="center"/>
              <w:rPr>
                <w:b/>
                <w:sz w:val="12"/>
                <w:szCs w:val="12"/>
                <w:lang w:val="fr-BE"/>
              </w:rPr>
            </w:pPr>
            <w:r w:rsidRPr="00F53019">
              <w:rPr>
                <w:b/>
                <w:noProof/>
                <w:sz w:val="12"/>
                <w:szCs w:val="12"/>
                <w:lang w:val="fr-BE"/>
              </w:rPr>
              <w:t>Wartość docelowa (2023)</w:t>
            </w:r>
          </w:p>
        </w:tc>
        <w:tc>
          <w:tcPr>
            <w:tcW w:w="0" w:type="auto"/>
            <w:gridSpan w:val="3"/>
            <w:shd w:val="clear" w:color="auto" w:fill="auto"/>
          </w:tcPr>
          <w:p w14:paraId="337F44BF" w14:textId="77777777" w:rsidR="008C5CFA" w:rsidRPr="00F53019" w:rsidRDefault="00E82A60" w:rsidP="00300A01">
            <w:pPr>
              <w:spacing w:before="0" w:after="0"/>
              <w:jc w:val="center"/>
              <w:rPr>
                <w:b/>
                <w:sz w:val="12"/>
                <w:szCs w:val="12"/>
                <w:lang w:val="fr-BE"/>
              </w:rPr>
            </w:pPr>
            <w:r w:rsidRPr="00F53019">
              <w:rPr>
                <w:b/>
                <w:noProof/>
                <w:sz w:val="12"/>
                <w:szCs w:val="12"/>
                <w:lang w:val="fr-BE"/>
              </w:rPr>
              <w:t>Wartość skumulowana</w:t>
            </w:r>
          </w:p>
        </w:tc>
        <w:tc>
          <w:tcPr>
            <w:tcW w:w="0" w:type="auto"/>
            <w:gridSpan w:val="3"/>
            <w:shd w:val="clear" w:color="auto" w:fill="auto"/>
          </w:tcPr>
          <w:p w14:paraId="347D109B" w14:textId="77777777" w:rsidR="008C5CFA" w:rsidRPr="00F53019" w:rsidRDefault="00E82A60" w:rsidP="00300A01">
            <w:pPr>
              <w:spacing w:before="0" w:after="0"/>
              <w:jc w:val="center"/>
              <w:rPr>
                <w:b/>
                <w:sz w:val="12"/>
                <w:szCs w:val="12"/>
                <w:lang w:val="fr-BE"/>
              </w:rPr>
            </w:pPr>
            <w:r w:rsidRPr="00F53019">
              <w:rPr>
                <w:b/>
                <w:noProof/>
                <w:sz w:val="12"/>
                <w:szCs w:val="12"/>
                <w:lang w:val="fr-BE"/>
              </w:rPr>
              <w:t>Wskaźnik osiągnięć</w:t>
            </w:r>
          </w:p>
        </w:tc>
        <w:tc>
          <w:tcPr>
            <w:tcW w:w="0" w:type="auto"/>
            <w:gridSpan w:val="2"/>
            <w:shd w:val="clear" w:color="auto" w:fill="auto"/>
          </w:tcPr>
          <w:p w14:paraId="3CF2CD25" w14:textId="77777777" w:rsidR="008C5CFA" w:rsidRPr="00F53019" w:rsidRDefault="00E82A60" w:rsidP="00300A01">
            <w:pPr>
              <w:spacing w:before="0" w:after="0"/>
              <w:jc w:val="center"/>
              <w:rPr>
                <w:b/>
                <w:sz w:val="12"/>
                <w:szCs w:val="12"/>
                <w:lang w:val="fr-BE"/>
              </w:rPr>
            </w:pPr>
            <w:r>
              <w:rPr>
                <w:b/>
                <w:sz w:val="12"/>
                <w:szCs w:val="12"/>
                <w:lang w:val="fr-BE"/>
              </w:rPr>
              <w:t>2019</w:t>
            </w:r>
          </w:p>
        </w:tc>
      </w:tr>
      <w:tr w:rsidR="006B2EC1" w14:paraId="0BB629FB" w14:textId="77777777" w:rsidTr="0047688D">
        <w:trPr>
          <w:tblHeader/>
        </w:trPr>
        <w:tc>
          <w:tcPr>
            <w:tcW w:w="0" w:type="auto"/>
            <w:shd w:val="clear" w:color="auto" w:fill="auto"/>
          </w:tcPr>
          <w:p w14:paraId="3AE2C047" w14:textId="77777777" w:rsidR="008C5CFA" w:rsidRPr="00F53019" w:rsidRDefault="008C5CFA" w:rsidP="00300A01">
            <w:pPr>
              <w:spacing w:before="0" w:after="0"/>
              <w:rPr>
                <w:b/>
                <w:sz w:val="12"/>
                <w:szCs w:val="12"/>
                <w:lang w:val="fr-BE"/>
              </w:rPr>
            </w:pPr>
          </w:p>
        </w:tc>
        <w:tc>
          <w:tcPr>
            <w:tcW w:w="0" w:type="auto"/>
            <w:shd w:val="clear" w:color="auto" w:fill="auto"/>
          </w:tcPr>
          <w:p w14:paraId="27F73218" w14:textId="77777777" w:rsidR="008C5CFA" w:rsidRPr="00F53019" w:rsidRDefault="008C5CFA" w:rsidP="00300A01">
            <w:pPr>
              <w:spacing w:before="0" w:after="0"/>
              <w:rPr>
                <w:b/>
                <w:sz w:val="12"/>
                <w:szCs w:val="12"/>
                <w:lang w:val="fr-BE"/>
              </w:rPr>
            </w:pPr>
          </w:p>
        </w:tc>
        <w:tc>
          <w:tcPr>
            <w:tcW w:w="0" w:type="auto"/>
            <w:shd w:val="clear" w:color="auto" w:fill="auto"/>
          </w:tcPr>
          <w:p w14:paraId="51499570" w14:textId="77777777" w:rsidR="008C5CFA" w:rsidRPr="00F53019" w:rsidRDefault="008C5CFA" w:rsidP="00300A01">
            <w:pPr>
              <w:spacing w:before="0" w:after="0"/>
              <w:rPr>
                <w:b/>
                <w:sz w:val="12"/>
                <w:szCs w:val="12"/>
                <w:lang w:val="fr-BE"/>
              </w:rPr>
            </w:pPr>
          </w:p>
        </w:tc>
        <w:tc>
          <w:tcPr>
            <w:tcW w:w="0" w:type="auto"/>
            <w:shd w:val="clear" w:color="auto" w:fill="auto"/>
          </w:tcPr>
          <w:p w14:paraId="0EF6D7E9" w14:textId="77777777" w:rsidR="008C5CFA" w:rsidRPr="00F53019" w:rsidRDefault="008C5CFA" w:rsidP="00300A01">
            <w:pPr>
              <w:spacing w:before="0" w:after="0"/>
              <w:rPr>
                <w:b/>
                <w:sz w:val="12"/>
                <w:szCs w:val="12"/>
                <w:lang w:val="fr-BE"/>
              </w:rPr>
            </w:pPr>
          </w:p>
        </w:tc>
        <w:tc>
          <w:tcPr>
            <w:tcW w:w="0" w:type="auto"/>
            <w:shd w:val="clear" w:color="auto" w:fill="auto"/>
          </w:tcPr>
          <w:p w14:paraId="2EC5C08A" w14:textId="77777777" w:rsidR="008C5CFA" w:rsidRPr="00F53019" w:rsidRDefault="008C5CFA" w:rsidP="00300A01">
            <w:pPr>
              <w:spacing w:before="0" w:after="0"/>
              <w:rPr>
                <w:b/>
                <w:sz w:val="12"/>
                <w:szCs w:val="12"/>
                <w:lang w:val="fr-BE"/>
              </w:rPr>
            </w:pPr>
          </w:p>
        </w:tc>
        <w:tc>
          <w:tcPr>
            <w:tcW w:w="0" w:type="auto"/>
            <w:shd w:val="clear" w:color="auto" w:fill="auto"/>
          </w:tcPr>
          <w:p w14:paraId="73783F21" w14:textId="77777777" w:rsidR="008C5CFA" w:rsidRPr="00F53019" w:rsidRDefault="00E82A60" w:rsidP="00300A01">
            <w:pPr>
              <w:spacing w:before="0" w:after="0"/>
              <w:jc w:val="center"/>
              <w:rPr>
                <w:b/>
                <w:sz w:val="12"/>
                <w:szCs w:val="12"/>
                <w:lang w:val="fr-BE"/>
              </w:rPr>
            </w:pPr>
            <w:r w:rsidRPr="00F53019">
              <w:rPr>
                <w:b/>
                <w:noProof/>
                <w:sz w:val="12"/>
                <w:szCs w:val="12"/>
                <w:lang w:val="fr-BE"/>
              </w:rPr>
              <w:t>Ogółem</w:t>
            </w:r>
          </w:p>
        </w:tc>
        <w:tc>
          <w:tcPr>
            <w:tcW w:w="0" w:type="auto"/>
            <w:shd w:val="clear" w:color="auto" w:fill="auto"/>
          </w:tcPr>
          <w:p w14:paraId="671ABC63" w14:textId="77777777" w:rsidR="008C5CFA" w:rsidRPr="00F53019" w:rsidRDefault="00E82A60"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14:paraId="07BA1549" w14:textId="77777777" w:rsidR="008C5CFA" w:rsidRPr="00F53019" w:rsidRDefault="00E82A60" w:rsidP="00300A01">
            <w:pPr>
              <w:spacing w:before="0" w:after="0"/>
              <w:jc w:val="center"/>
              <w:rPr>
                <w:b/>
                <w:sz w:val="12"/>
                <w:szCs w:val="12"/>
                <w:lang w:val="fr-BE"/>
              </w:rPr>
            </w:pPr>
            <w:r w:rsidRPr="00F53019">
              <w:rPr>
                <w:b/>
                <w:noProof/>
                <w:sz w:val="12"/>
                <w:szCs w:val="12"/>
                <w:lang w:val="fr-BE"/>
              </w:rPr>
              <w:t>Kobiety</w:t>
            </w:r>
          </w:p>
        </w:tc>
        <w:tc>
          <w:tcPr>
            <w:tcW w:w="0" w:type="auto"/>
            <w:shd w:val="clear" w:color="auto" w:fill="auto"/>
          </w:tcPr>
          <w:p w14:paraId="08CF338A" w14:textId="77777777" w:rsidR="008C5CFA" w:rsidRPr="00F53019" w:rsidRDefault="00E82A60" w:rsidP="00300A01">
            <w:pPr>
              <w:spacing w:before="0" w:after="0"/>
              <w:jc w:val="center"/>
              <w:rPr>
                <w:b/>
                <w:sz w:val="12"/>
                <w:szCs w:val="12"/>
                <w:lang w:val="fr-BE"/>
              </w:rPr>
            </w:pPr>
            <w:r w:rsidRPr="00F53019">
              <w:rPr>
                <w:b/>
                <w:noProof/>
                <w:sz w:val="12"/>
                <w:szCs w:val="12"/>
                <w:lang w:val="fr-BE"/>
              </w:rPr>
              <w:t>Ogółem</w:t>
            </w:r>
          </w:p>
        </w:tc>
        <w:tc>
          <w:tcPr>
            <w:tcW w:w="0" w:type="auto"/>
            <w:shd w:val="clear" w:color="auto" w:fill="auto"/>
          </w:tcPr>
          <w:p w14:paraId="0FF8FA72" w14:textId="77777777" w:rsidR="008C5CFA" w:rsidRPr="00F53019" w:rsidRDefault="00E82A60"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14:paraId="5DAC9B90" w14:textId="77777777" w:rsidR="008C5CFA" w:rsidRPr="00F53019" w:rsidRDefault="00E82A60" w:rsidP="00300A01">
            <w:pPr>
              <w:spacing w:before="0" w:after="0"/>
              <w:jc w:val="center"/>
              <w:rPr>
                <w:b/>
                <w:sz w:val="12"/>
                <w:szCs w:val="12"/>
                <w:lang w:val="fr-BE"/>
              </w:rPr>
            </w:pPr>
            <w:r w:rsidRPr="00F53019">
              <w:rPr>
                <w:b/>
                <w:noProof/>
                <w:sz w:val="12"/>
                <w:szCs w:val="12"/>
                <w:lang w:val="fr-BE"/>
              </w:rPr>
              <w:t>Kobiety</w:t>
            </w:r>
          </w:p>
        </w:tc>
        <w:tc>
          <w:tcPr>
            <w:tcW w:w="0" w:type="auto"/>
            <w:shd w:val="clear" w:color="auto" w:fill="auto"/>
          </w:tcPr>
          <w:p w14:paraId="41D8CD56" w14:textId="77777777" w:rsidR="008C5CFA" w:rsidRPr="00F53019" w:rsidRDefault="00E82A60" w:rsidP="00300A01">
            <w:pPr>
              <w:spacing w:before="0" w:after="0"/>
              <w:jc w:val="center"/>
              <w:rPr>
                <w:b/>
                <w:sz w:val="12"/>
                <w:szCs w:val="12"/>
                <w:lang w:val="fr-BE"/>
              </w:rPr>
            </w:pPr>
            <w:r w:rsidRPr="00F53019">
              <w:rPr>
                <w:b/>
                <w:noProof/>
                <w:sz w:val="12"/>
                <w:szCs w:val="12"/>
                <w:lang w:val="fr-BE"/>
              </w:rPr>
              <w:t>Ogółem</w:t>
            </w:r>
          </w:p>
        </w:tc>
        <w:tc>
          <w:tcPr>
            <w:tcW w:w="0" w:type="auto"/>
            <w:shd w:val="clear" w:color="auto" w:fill="auto"/>
          </w:tcPr>
          <w:p w14:paraId="354A36E8" w14:textId="77777777" w:rsidR="008C5CFA" w:rsidRPr="00F53019" w:rsidRDefault="00E82A60"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14:paraId="7B2933E0" w14:textId="77777777" w:rsidR="008C5CFA" w:rsidRPr="00F53019" w:rsidRDefault="00E82A60" w:rsidP="00300A01">
            <w:pPr>
              <w:spacing w:before="0" w:after="0"/>
              <w:jc w:val="center"/>
              <w:rPr>
                <w:b/>
                <w:sz w:val="12"/>
                <w:szCs w:val="12"/>
                <w:lang w:val="fr-BE"/>
              </w:rPr>
            </w:pPr>
            <w:r w:rsidRPr="00F53019">
              <w:rPr>
                <w:b/>
                <w:noProof/>
                <w:sz w:val="12"/>
                <w:szCs w:val="12"/>
                <w:lang w:val="fr-BE"/>
              </w:rPr>
              <w:t>Kobiety</w:t>
            </w:r>
          </w:p>
        </w:tc>
        <w:tc>
          <w:tcPr>
            <w:tcW w:w="0" w:type="auto"/>
            <w:shd w:val="clear" w:color="auto" w:fill="auto"/>
          </w:tcPr>
          <w:p w14:paraId="76B81128" w14:textId="77777777" w:rsidR="008C5CFA" w:rsidRPr="00F53019" w:rsidRDefault="00E82A60"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14:paraId="0E77243E" w14:textId="77777777" w:rsidR="008C5CFA" w:rsidRPr="00F53019" w:rsidRDefault="00E82A60" w:rsidP="00300A01">
            <w:pPr>
              <w:spacing w:before="0" w:after="0"/>
              <w:jc w:val="center"/>
              <w:rPr>
                <w:b/>
                <w:sz w:val="12"/>
                <w:szCs w:val="12"/>
                <w:lang w:val="fr-BE"/>
              </w:rPr>
            </w:pPr>
            <w:r w:rsidRPr="00F53019">
              <w:rPr>
                <w:b/>
                <w:noProof/>
                <w:sz w:val="12"/>
                <w:szCs w:val="12"/>
                <w:lang w:val="fr-BE"/>
              </w:rPr>
              <w:t>Kobiety</w:t>
            </w:r>
          </w:p>
        </w:tc>
      </w:tr>
      <w:tr w:rsidR="006B2EC1" w14:paraId="6143C357" w14:textId="77777777" w:rsidTr="0047688D">
        <w:tc>
          <w:tcPr>
            <w:tcW w:w="0" w:type="auto"/>
            <w:shd w:val="clear" w:color="auto" w:fill="auto"/>
          </w:tcPr>
          <w:p w14:paraId="66753249" w14:textId="77777777" w:rsidR="008C5CFA" w:rsidRPr="00BA47B4" w:rsidRDefault="00E82A60" w:rsidP="00300A01">
            <w:pPr>
              <w:spacing w:before="0" w:after="0"/>
              <w:rPr>
                <w:sz w:val="12"/>
                <w:szCs w:val="12"/>
                <w:lang w:val="fr-BE"/>
              </w:rPr>
            </w:pPr>
            <w:r w:rsidRPr="00BA47B4">
              <w:rPr>
                <w:noProof/>
                <w:sz w:val="12"/>
                <w:szCs w:val="12"/>
                <w:lang w:val="fr-BE"/>
              </w:rPr>
              <w:t>CR01</w:t>
            </w:r>
          </w:p>
        </w:tc>
        <w:tc>
          <w:tcPr>
            <w:tcW w:w="0" w:type="auto"/>
            <w:shd w:val="clear" w:color="auto" w:fill="auto"/>
          </w:tcPr>
          <w:p w14:paraId="39170BE3" w14:textId="77777777" w:rsidR="008C5CFA" w:rsidRPr="00BA47B4" w:rsidRDefault="00E82A60" w:rsidP="00300A01">
            <w:pPr>
              <w:spacing w:before="0" w:after="0"/>
              <w:rPr>
                <w:sz w:val="12"/>
                <w:szCs w:val="12"/>
                <w:lang w:val="fr-BE"/>
              </w:rPr>
            </w:pPr>
            <w:r w:rsidRPr="00BA47B4">
              <w:rPr>
                <w:noProof/>
                <w:sz w:val="12"/>
                <w:szCs w:val="12"/>
                <w:lang w:val="fr-BE"/>
              </w:rPr>
              <w:t>bierni zawodowo uczestnicy poszukujący pracy po opuszczeniu programu</w:t>
            </w:r>
          </w:p>
        </w:tc>
        <w:tc>
          <w:tcPr>
            <w:tcW w:w="0" w:type="auto"/>
            <w:shd w:val="clear" w:color="auto" w:fill="auto"/>
          </w:tcPr>
          <w:p w14:paraId="442FD67C" w14:textId="77777777" w:rsidR="008C5CFA" w:rsidRPr="00BA47B4" w:rsidRDefault="00E82A60" w:rsidP="00300A01">
            <w:pPr>
              <w:spacing w:before="0" w:after="0"/>
              <w:rPr>
                <w:sz w:val="12"/>
                <w:szCs w:val="12"/>
                <w:lang w:val="fr-BE"/>
              </w:rPr>
            </w:pPr>
            <w:r w:rsidRPr="00BA47B4">
              <w:rPr>
                <w:noProof/>
                <w:sz w:val="12"/>
                <w:szCs w:val="12"/>
                <w:lang w:val="fr-BE"/>
              </w:rPr>
              <w:t>Słabiej rozwinięte</w:t>
            </w:r>
          </w:p>
        </w:tc>
        <w:tc>
          <w:tcPr>
            <w:tcW w:w="0" w:type="auto"/>
            <w:shd w:val="clear" w:color="auto" w:fill="auto"/>
          </w:tcPr>
          <w:p w14:paraId="7A4436C6" w14:textId="77777777" w:rsidR="008C5CFA" w:rsidRPr="00BA47B4" w:rsidRDefault="00E82A60" w:rsidP="00300A01">
            <w:pPr>
              <w:spacing w:before="0" w:after="0"/>
              <w:rPr>
                <w:sz w:val="12"/>
                <w:szCs w:val="12"/>
                <w:lang w:val="fr-BE"/>
              </w:rPr>
            </w:pPr>
            <w:r w:rsidRPr="00BA47B4">
              <w:rPr>
                <w:sz w:val="12"/>
                <w:szCs w:val="12"/>
                <w:lang w:val="fr-BE"/>
              </w:rPr>
              <w:t xml:space="preserve"> </w:t>
            </w:r>
          </w:p>
        </w:tc>
        <w:tc>
          <w:tcPr>
            <w:tcW w:w="0" w:type="auto"/>
            <w:shd w:val="clear" w:color="auto" w:fill="auto"/>
          </w:tcPr>
          <w:p w14:paraId="25F64111" w14:textId="77777777" w:rsidR="008C5CFA" w:rsidRPr="00BA47B4" w:rsidRDefault="008C5CFA" w:rsidP="00300A01">
            <w:pPr>
              <w:spacing w:before="0" w:after="0"/>
              <w:jc w:val="center"/>
              <w:rPr>
                <w:sz w:val="12"/>
                <w:szCs w:val="12"/>
                <w:lang w:val="fr-BE"/>
              </w:rPr>
            </w:pPr>
          </w:p>
        </w:tc>
        <w:tc>
          <w:tcPr>
            <w:tcW w:w="0" w:type="auto"/>
            <w:shd w:val="clear" w:color="auto" w:fill="auto"/>
          </w:tcPr>
          <w:p w14:paraId="732AFBD2" w14:textId="77777777" w:rsidR="008C5CFA" w:rsidRPr="00BA47B4" w:rsidRDefault="008C5CFA" w:rsidP="00300A01">
            <w:pPr>
              <w:spacing w:before="0" w:after="0"/>
              <w:jc w:val="right"/>
              <w:rPr>
                <w:sz w:val="12"/>
                <w:szCs w:val="12"/>
                <w:lang w:val="fr-BE"/>
              </w:rPr>
            </w:pPr>
          </w:p>
        </w:tc>
        <w:tc>
          <w:tcPr>
            <w:tcW w:w="0" w:type="auto"/>
            <w:shd w:val="clear" w:color="auto" w:fill="auto"/>
          </w:tcPr>
          <w:p w14:paraId="530B8E8A" w14:textId="77777777" w:rsidR="008C5CFA" w:rsidRPr="00BA47B4" w:rsidRDefault="008C5CFA" w:rsidP="00300A01">
            <w:pPr>
              <w:spacing w:before="0" w:after="0"/>
              <w:jc w:val="right"/>
              <w:rPr>
                <w:sz w:val="12"/>
                <w:szCs w:val="12"/>
                <w:lang w:val="fr-BE"/>
              </w:rPr>
            </w:pPr>
          </w:p>
        </w:tc>
        <w:tc>
          <w:tcPr>
            <w:tcW w:w="0" w:type="auto"/>
            <w:shd w:val="clear" w:color="auto" w:fill="auto"/>
          </w:tcPr>
          <w:p w14:paraId="7D6829A8" w14:textId="77777777" w:rsidR="008C5CFA" w:rsidRPr="00BA47B4" w:rsidRDefault="008C5CFA" w:rsidP="00300A01">
            <w:pPr>
              <w:spacing w:before="0" w:after="0"/>
              <w:jc w:val="right"/>
              <w:rPr>
                <w:sz w:val="12"/>
                <w:szCs w:val="12"/>
                <w:lang w:val="fr-BE"/>
              </w:rPr>
            </w:pPr>
          </w:p>
        </w:tc>
        <w:tc>
          <w:tcPr>
            <w:tcW w:w="0" w:type="auto"/>
            <w:shd w:val="clear" w:color="auto" w:fill="auto"/>
          </w:tcPr>
          <w:p w14:paraId="201316F5"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17647179"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0361F8D7"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60940753" w14:textId="77777777" w:rsidR="008C5CFA" w:rsidRPr="00BA47B4" w:rsidRDefault="008C5CFA" w:rsidP="00300A01">
            <w:pPr>
              <w:spacing w:before="0" w:after="0"/>
              <w:jc w:val="right"/>
              <w:rPr>
                <w:sz w:val="12"/>
                <w:szCs w:val="12"/>
                <w:lang w:val="fr-BE"/>
              </w:rPr>
            </w:pPr>
          </w:p>
        </w:tc>
        <w:tc>
          <w:tcPr>
            <w:tcW w:w="0" w:type="auto"/>
            <w:shd w:val="clear" w:color="auto" w:fill="auto"/>
          </w:tcPr>
          <w:p w14:paraId="29E9F656" w14:textId="77777777" w:rsidR="008C5CFA" w:rsidRPr="00BA47B4" w:rsidRDefault="008C5CFA" w:rsidP="00300A01">
            <w:pPr>
              <w:spacing w:before="0" w:after="0"/>
              <w:jc w:val="right"/>
              <w:rPr>
                <w:sz w:val="12"/>
                <w:szCs w:val="12"/>
                <w:lang w:val="fr-BE"/>
              </w:rPr>
            </w:pPr>
          </w:p>
        </w:tc>
        <w:tc>
          <w:tcPr>
            <w:tcW w:w="0" w:type="auto"/>
            <w:shd w:val="clear" w:color="auto" w:fill="auto"/>
          </w:tcPr>
          <w:p w14:paraId="0F9C0C66" w14:textId="77777777" w:rsidR="008C5CFA" w:rsidRPr="00BA47B4" w:rsidRDefault="008C5CFA" w:rsidP="00300A01">
            <w:pPr>
              <w:spacing w:before="0" w:after="0"/>
              <w:jc w:val="right"/>
              <w:rPr>
                <w:sz w:val="12"/>
                <w:szCs w:val="12"/>
                <w:lang w:val="fr-BE"/>
              </w:rPr>
            </w:pPr>
          </w:p>
        </w:tc>
        <w:tc>
          <w:tcPr>
            <w:tcW w:w="0" w:type="auto"/>
            <w:shd w:val="clear" w:color="auto" w:fill="auto"/>
          </w:tcPr>
          <w:p w14:paraId="70945FA5"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07263ECC"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r>
      <w:tr w:rsidR="006B2EC1" w14:paraId="2FCA0FF0" w14:textId="77777777" w:rsidTr="0047688D">
        <w:tc>
          <w:tcPr>
            <w:tcW w:w="0" w:type="auto"/>
            <w:shd w:val="clear" w:color="auto" w:fill="auto"/>
          </w:tcPr>
          <w:p w14:paraId="7FA9D963" w14:textId="77777777" w:rsidR="008C5CFA" w:rsidRPr="00BA47B4" w:rsidRDefault="00E82A60" w:rsidP="00300A01">
            <w:pPr>
              <w:spacing w:before="0" w:after="0"/>
              <w:rPr>
                <w:sz w:val="12"/>
                <w:szCs w:val="12"/>
                <w:lang w:val="fr-BE"/>
              </w:rPr>
            </w:pPr>
            <w:r w:rsidRPr="00BA47B4">
              <w:rPr>
                <w:noProof/>
                <w:sz w:val="12"/>
                <w:szCs w:val="12"/>
                <w:lang w:val="fr-BE"/>
              </w:rPr>
              <w:t>CR02</w:t>
            </w:r>
          </w:p>
        </w:tc>
        <w:tc>
          <w:tcPr>
            <w:tcW w:w="0" w:type="auto"/>
            <w:shd w:val="clear" w:color="auto" w:fill="auto"/>
          </w:tcPr>
          <w:p w14:paraId="3205A3AD" w14:textId="77777777" w:rsidR="008C5CFA" w:rsidRPr="00BA47B4" w:rsidRDefault="00E82A60" w:rsidP="00300A01">
            <w:pPr>
              <w:spacing w:before="0" w:after="0"/>
              <w:rPr>
                <w:sz w:val="12"/>
                <w:szCs w:val="12"/>
                <w:lang w:val="fr-BE"/>
              </w:rPr>
            </w:pPr>
            <w:r w:rsidRPr="00BA47B4">
              <w:rPr>
                <w:noProof/>
                <w:sz w:val="12"/>
                <w:szCs w:val="12"/>
                <w:lang w:val="fr-BE"/>
              </w:rPr>
              <w:t>uczestnicy kształcący lub szkolący się po opuszczeniu programu</w:t>
            </w:r>
          </w:p>
        </w:tc>
        <w:tc>
          <w:tcPr>
            <w:tcW w:w="0" w:type="auto"/>
            <w:shd w:val="clear" w:color="auto" w:fill="auto"/>
          </w:tcPr>
          <w:p w14:paraId="1D64EF4E" w14:textId="77777777" w:rsidR="008C5CFA" w:rsidRPr="00BA47B4" w:rsidRDefault="00E82A60" w:rsidP="00300A01">
            <w:pPr>
              <w:spacing w:before="0" w:after="0"/>
              <w:rPr>
                <w:sz w:val="12"/>
                <w:szCs w:val="12"/>
                <w:lang w:val="fr-BE"/>
              </w:rPr>
            </w:pPr>
            <w:r w:rsidRPr="00BA47B4">
              <w:rPr>
                <w:noProof/>
                <w:sz w:val="12"/>
                <w:szCs w:val="12"/>
                <w:lang w:val="fr-BE"/>
              </w:rPr>
              <w:t>Słabiej rozwinięte</w:t>
            </w:r>
          </w:p>
        </w:tc>
        <w:tc>
          <w:tcPr>
            <w:tcW w:w="0" w:type="auto"/>
            <w:shd w:val="clear" w:color="auto" w:fill="auto"/>
          </w:tcPr>
          <w:p w14:paraId="443D3371" w14:textId="77777777" w:rsidR="008C5CFA" w:rsidRPr="00BA47B4" w:rsidRDefault="00E82A60" w:rsidP="00300A01">
            <w:pPr>
              <w:spacing w:before="0" w:after="0"/>
              <w:rPr>
                <w:sz w:val="12"/>
                <w:szCs w:val="12"/>
                <w:lang w:val="fr-BE"/>
              </w:rPr>
            </w:pPr>
            <w:r w:rsidRPr="00BA47B4">
              <w:rPr>
                <w:sz w:val="12"/>
                <w:szCs w:val="12"/>
                <w:lang w:val="fr-BE"/>
              </w:rPr>
              <w:t xml:space="preserve"> </w:t>
            </w:r>
          </w:p>
        </w:tc>
        <w:tc>
          <w:tcPr>
            <w:tcW w:w="0" w:type="auto"/>
            <w:shd w:val="clear" w:color="auto" w:fill="auto"/>
          </w:tcPr>
          <w:p w14:paraId="7AEB410D" w14:textId="77777777" w:rsidR="008C5CFA" w:rsidRPr="00BA47B4" w:rsidRDefault="008C5CFA" w:rsidP="00300A01">
            <w:pPr>
              <w:spacing w:before="0" w:after="0"/>
              <w:jc w:val="center"/>
              <w:rPr>
                <w:sz w:val="12"/>
                <w:szCs w:val="12"/>
                <w:lang w:val="fr-BE"/>
              </w:rPr>
            </w:pPr>
          </w:p>
        </w:tc>
        <w:tc>
          <w:tcPr>
            <w:tcW w:w="0" w:type="auto"/>
            <w:shd w:val="clear" w:color="auto" w:fill="auto"/>
          </w:tcPr>
          <w:p w14:paraId="2E2B891C" w14:textId="77777777" w:rsidR="008C5CFA" w:rsidRPr="00BA47B4" w:rsidRDefault="008C5CFA" w:rsidP="00300A01">
            <w:pPr>
              <w:spacing w:before="0" w:after="0"/>
              <w:jc w:val="right"/>
              <w:rPr>
                <w:sz w:val="12"/>
                <w:szCs w:val="12"/>
                <w:lang w:val="fr-BE"/>
              </w:rPr>
            </w:pPr>
          </w:p>
        </w:tc>
        <w:tc>
          <w:tcPr>
            <w:tcW w:w="0" w:type="auto"/>
            <w:shd w:val="clear" w:color="auto" w:fill="auto"/>
          </w:tcPr>
          <w:p w14:paraId="5737B489" w14:textId="77777777" w:rsidR="008C5CFA" w:rsidRPr="00BA47B4" w:rsidRDefault="008C5CFA" w:rsidP="00300A01">
            <w:pPr>
              <w:spacing w:before="0" w:after="0"/>
              <w:jc w:val="right"/>
              <w:rPr>
                <w:sz w:val="12"/>
                <w:szCs w:val="12"/>
                <w:lang w:val="fr-BE"/>
              </w:rPr>
            </w:pPr>
          </w:p>
        </w:tc>
        <w:tc>
          <w:tcPr>
            <w:tcW w:w="0" w:type="auto"/>
            <w:shd w:val="clear" w:color="auto" w:fill="auto"/>
          </w:tcPr>
          <w:p w14:paraId="0F15E2E9" w14:textId="77777777" w:rsidR="008C5CFA" w:rsidRPr="00BA47B4" w:rsidRDefault="008C5CFA" w:rsidP="00300A01">
            <w:pPr>
              <w:spacing w:before="0" w:after="0"/>
              <w:jc w:val="right"/>
              <w:rPr>
                <w:sz w:val="12"/>
                <w:szCs w:val="12"/>
                <w:lang w:val="fr-BE"/>
              </w:rPr>
            </w:pPr>
          </w:p>
        </w:tc>
        <w:tc>
          <w:tcPr>
            <w:tcW w:w="0" w:type="auto"/>
            <w:shd w:val="clear" w:color="auto" w:fill="auto"/>
          </w:tcPr>
          <w:p w14:paraId="55AEB0C7" w14:textId="77777777" w:rsidR="008C5CFA" w:rsidRPr="00BA47B4" w:rsidRDefault="00E82A60" w:rsidP="00300A01">
            <w:pPr>
              <w:spacing w:before="0" w:after="0"/>
              <w:jc w:val="right"/>
              <w:rPr>
                <w:sz w:val="12"/>
                <w:szCs w:val="12"/>
                <w:lang w:val="fr-BE"/>
              </w:rPr>
            </w:pPr>
            <w:r w:rsidRPr="00BA47B4">
              <w:rPr>
                <w:noProof/>
                <w:sz w:val="12"/>
                <w:szCs w:val="12"/>
                <w:lang w:val="fr-BE"/>
              </w:rPr>
              <w:t>114,00</w:t>
            </w:r>
          </w:p>
        </w:tc>
        <w:tc>
          <w:tcPr>
            <w:tcW w:w="0" w:type="auto"/>
            <w:shd w:val="clear" w:color="auto" w:fill="auto"/>
          </w:tcPr>
          <w:p w14:paraId="29C09B9C" w14:textId="77777777" w:rsidR="008C5CFA" w:rsidRPr="00BA47B4" w:rsidRDefault="00E82A60" w:rsidP="00300A01">
            <w:pPr>
              <w:spacing w:before="0" w:after="0"/>
              <w:jc w:val="right"/>
              <w:rPr>
                <w:sz w:val="12"/>
                <w:szCs w:val="12"/>
                <w:lang w:val="fr-BE"/>
              </w:rPr>
            </w:pPr>
            <w:r w:rsidRPr="00BA47B4">
              <w:rPr>
                <w:noProof/>
                <w:sz w:val="12"/>
                <w:szCs w:val="12"/>
                <w:lang w:val="fr-BE"/>
              </w:rPr>
              <w:t>51,00</w:t>
            </w:r>
          </w:p>
        </w:tc>
        <w:tc>
          <w:tcPr>
            <w:tcW w:w="0" w:type="auto"/>
            <w:shd w:val="clear" w:color="auto" w:fill="auto"/>
          </w:tcPr>
          <w:p w14:paraId="5D1E76ED" w14:textId="77777777" w:rsidR="008C5CFA" w:rsidRPr="00BA47B4" w:rsidRDefault="00E82A60" w:rsidP="00300A01">
            <w:pPr>
              <w:spacing w:before="0" w:after="0"/>
              <w:jc w:val="right"/>
              <w:rPr>
                <w:sz w:val="12"/>
                <w:szCs w:val="12"/>
                <w:lang w:val="fr-BE"/>
              </w:rPr>
            </w:pPr>
            <w:r w:rsidRPr="00BA47B4">
              <w:rPr>
                <w:noProof/>
                <w:sz w:val="12"/>
                <w:szCs w:val="12"/>
                <w:lang w:val="fr-BE"/>
              </w:rPr>
              <w:t>63,00</w:t>
            </w:r>
          </w:p>
        </w:tc>
        <w:tc>
          <w:tcPr>
            <w:tcW w:w="0" w:type="auto"/>
            <w:shd w:val="clear" w:color="auto" w:fill="auto"/>
          </w:tcPr>
          <w:p w14:paraId="74C55855" w14:textId="77777777" w:rsidR="008C5CFA" w:rsidRPr="00BA47B4" w:rsidRDefault="008C5CFA" w:rsidP="00300A01">
            <w:pPr>
              <w:spacing w:before="0" w:after="0"/>
              <w:jc w:val="right"/>
              <w:rPr>
                <w:sz w:val="12"/>
                <w:szCs w:val="12"/>
                <w:lang w:val="fr-BE"/>
              </w:rPr>
            </w:pPr>
          </w:p>
        </w:tc>
        <w:tc>
          <w:tcPr>
            <w:tcW w:w="0" w:type="auto"/>
            <w:shd w:val="clear" w:color="auto" w:fill="auto"/>
          </w:tcPr>
          <w:p w14:paraId="51DAA6D8" w14:textId="77777777" w:rsidR="008C5CFA" w:rsidRPr="00BA47B4" w:rsidRDefault="008C5CFA" w:rsidP="00300A01">
            <w:pPr>
              <w:spacing w:before="0" w:after="0"/>
              <w:jc w:val="right"/>
              <w:rPr>
                <w:sz w:val="12"/>
                <w:szCs w:val="12"/>
                <w:lang w:val="fr-BE"/>
              </w:rPr>
            </w:pPr>
          </w:p>
        </w:tc>
        <w:tc>
          <w:tcPr>
            <w:tcW w:w="0" w:type="auto"/>
            <w:shd w:val="clear" w:color="auto" w:fill="auto"/>
          </w:tcPr>
          <w:p w14:paraId="4C3F90F2" w14:textId="77777777" w:rsidR="008C5CFA" w:rsidRPr="00BA47B4" w:rsidRDefault="008C5CFA" w:rsidP="00300A01">
            <w:pPr>
              <w:spacing w:before="0" w:after="0"/>
              <w:jc w:val="right"/>
              <w:rPr>
                <w:sz w:val="12"/>
                <w:szCs w:val="12"/>
                <w:lang w:val="fr-BE"/>
              </w:rPr>
            </w:pPr>
          </w:p>
        </w:tc>
        <w:tc>
          <w:tcPr>
            <w:tcW w:w="0" w:type="auto"/>
            <w:shd w:val="clear" w:color="auto" w:fill="auto"/>
          </w:tcPr>
          <w:p w14:paraId="3DA88402" w14:textId="77777777" w:rsidR="008C5CFA" w:rsidRPr="00BA47B4" w:rsidRDefault="00E82A60" w:rsidP="00300A01">
            <w:pPr>
              <w:spacing w:before="0" w:after="0"/>
              <w:jc w:val="right"/>
              <w:rPr>
                <w:sz w:val="12"/>
                <w:szCs w:val="12"/>
                <w:lang w:val="fr-BE"/>
              </w:rPr>
            </w:pPr>
            <w:r w:rsidRPr="00BA47B4">
              <w:rPr>
                <w:noProof/>
                <w:sz w:val="12"/>
                <w:szCs w:val="12"/>
                <w:lang w:val="fr-BE"/>
              </w:rPr>
              <w:t>18,00</w:t>
            </w:r>
          </w:p>
        </w:tc>
        <w:tc>
          <w:tcPr>
            <w:tcW w:w="0" w:type="auto"/>
            <w:shd w:val="clear" w:color="auto" w:fill="auto"/>
          </w:tcPr>
          <w:p w14:paraId="04DD1061" w14:textId="77777777" w:rsidR="008C5CFA" w:rsidRPr="00BA47B4" w:rsidRDefault="00E82A60" w:rsidP="00300A01">
            <w:pPr>
              <w:spacing w:before="0" w:after="0"/>
              <w:jc w:val="right"/>
              <w:rPr>
                <w:sz w:val="12"/>
                <w:szCs w:val="12"/>
                <w:lang w:val="fr-BE"/>
              </w:rPr>
            </w:pPr>
            <w:r w:rsidRPr="00BA47B4">
              <w:rPr>
                <w:noProof/>
                <w:sz w:val="12"/>
                <w:szCs w:val="12"/>
                <w:lang w:val="fr-BE"/>
              </w:rPr>
              <w:t>14,00</w:t>
            </w:r>
          </w:p>
        </w:tc>
      </w:tr>
      <w:tr w:rsidR="006B2EC1" w14:paraId="7B4B0773" w14:textId="77777777" w:rsidTr="0047688D">
        <w:tc>
          <w:tcPr>
            <w:tcW w:w="0" w:type="auto"/>
            <w:shd w:val="clear" w:color="auto" w:fill="auto"/>
          </w:tcPr>
          <w:p w14:paraId="75D23497" w14:textId="77777777" w:rsidR="008C5CFA" w:rsidRPr="00BA47B4" w:rsidRDefault="00E82A60" w:rsidP="00300A01">
            <w:pPr>
              <w:spacing w:before="0" w:after="0"/>
              <w:rPr>
                <w:sz w:val="12"/>
                <w:szCs w:val="12"/>
                <w:lang w:val="fr-BE"/>
              </w:rPr>
            </w:pPr>
            <w:r w:rsidRPr="00BA47B4">
              <w:rPr>
                <w:noProof/>
                <w:sz w:val="12"/>
                <w:szCs w:val="12"/>
                <w:lang w:val="fr-BE"/>
              </w:rPr>
              <w:t>CR03</w:t>
            </w:r>
          </w:p>
        </w:tc>
        <w:tc>
          <w:tcPr>
            <w:tcW w:w="0" w:type="auto"/>
            <w:shd w:val="clear" w:color="auto" w:fill="auto"/>
          </w:tcPr>
          <w:p w14:paraId="1C386CDC" w14:textId="77777777" w:rsidR="008C5CFA" w:rsidRPr="00BA47B4" w:rsidRDefault="00E82A60" w:rsidP="00300A01">
            <w:pPr>
              <w:spacing w:before="0" w:after="0"/>
              <w:rPr>
                <w:sz w:val="12"/>
                <w:szCs w:val="12"/>
                <w:lang w:val="fr-BE"/>
              </w:rPr>
            </w:pPr>
            <w:r w:rsidRPr="00BA47B4">
              <w:rPr>
                <w:noProof/>
                <w:sz w:val="12"/>
                <w:szCs w:val="12"/>
                <w:lang w:val="fr-BE"/>
              </w:rPr>
              <w:t>uczestnicy uzyskujący kwalifikacje po opuszczeniu programu</w:t>
            </w:r>
          </w:p>
        </w:tc>
        <w:tc>
          <w:tcPr>
            <w:tcW w:w="0" w:type="auto"/>
            <w:shd w:val="clear" w:color="auto" w:fill="auto"/>
          </w:tcPr>
          <w:p w14:paraId="3BB4EBE5" w14:textId="77777777" w:rsidR="008C5CFA" w:rsidRPr="00BA47B4" w:rsidRDefault="00E82A60" w:rsidP="00300A01">
            <w:pPr>
              <w:spacing w:before="0" w:after="0"/>
              <w:rPr>
                <w:sz w:val="12"/>
                <w:szCs w:val="12"/>
                <w:lang w:val="fr-BE"/>
              </w:rPr>
            </w:pPr>
            <w:r w:rsidRPr="00BA47B4">
              <w:rPr>
                <w:noProof/>
                <w:sz w:val="12"/>
                <w:szCs w:val="12"/>
                <w:lang w:val="fr-BE"/>
              </w:rPr>
              <w:t>Słabiej rozwinięte</w:t>
            </w:r>
          </w:p>
        </w:tc>
        <w:tc>
          <w:tcPr>
            <w:tcW w:w="0" w:type="auto"/>
            <w:shd w:val="clear" w:color="auto" w:fill="auto"/>
          </w:tcPr>
          <w:p w14:paraId="26CA7DF8" w14:textId="77777777" w:rsidR="008C5CFA" w:rsidRPr="00BA47B4" w:rsidRDefault="00E82A60" w:rsidP="00300A01">
            <w:pPr>
              <w:spacing w:before="0" w:after="0"/>
              <w:rPr>
                <w:sz w:val="12"/>
                <w:szCs w:val="12"/>
                <w:lang w:val="fr-BE"/>
              </w:rPr>
            </w:pPr>
            <w:r w:rsidRPr="00BA47B4">
              <w:rPr>
                <w:sz w:val="12"/>
                <w:szCs w:val="12"/>
                <w:lang w:val="fr-BE"/>
              </w:rPr>
              <w:t xml:space="preserve"> </w:t>
            </w:r>
          </w:p>
        </w:tc>
        <w:tc>
          <w:tcPr>
            <w:tcW w:w="0" w:type="auto"/>
            <w:shd w:val="clear" w:color="auto" w:fill="auto"/>
          </w:tcPr>
          <w:p w14:paraId="414F5B66" w14:textId="77777777" w:rsidR="008C5CFA" w:rsidRPr="00BA47B4" w:rsidRDefault="008C5CFA" w:rsidP="00300A01">
            <w:pPr>
              <w:spacing w:before="0" w:after="0"/>
              <w:jc w:val="center"/>
              <w:rPr>
                <w:sz w:val="12"/>
                <w:szCs w:val="12"/>
                <w:lang w:val="fr-BE"/>
              </w:rPr>
            </w:pPr>
          </w:p>
        </w:tc>
        <w:tc>
          <w:tcPr>
            <w:tcW w:w="0" w:type="auto"/>
            <w:shd w:val="clear" w:color="auto" w:fill="auto"/>
          </w:tcPr>
          <w:p w14:paraId="1C723CC3" w14:textId="77777777" w:rsidR="008C5CFA" w:rsidRPr="00BA47B4" w:rsidRDefault="008C5CFA" w:rsidP="00300A01">
            <w:pPr>
              <w:spacing w:before="0" w:after="0"/>
              <w:jc w:val="right"/>
              <w:rPr>
                <w:sz w:val="12"/>
                <w:szCs w:val="12"/>
                <w:lang w:val="fr-BE"/>
              </w:rPr>
            </w:pPr>
          </w:p>
        </w:tc>
        <w:tc>
          <w:tcPr>
            <w:tcW w:w="0" w:type="auto"/>
            <w:shd w:val="clear" w:color="auto" w:fill="auto"/>
          </w:tcPr>
          <w:p w14:paraId="6591BD1C" w14:textId="77777777" w:rsidR="008C5CFA" w:rsidRPr="00BA47B4" w:rsidRDefault="008C5CFA" w:rsidP="00300A01">
            <w:pPr>
              <w:spacing w:before="0" w:after="0"/>
              <w:jc w:val="right"/>
              <w:rPr>
                <w:sz w:val="12"/>
                <w:szCs w:val="12"/>
                <w:lang w:val="fr-BE"/>
              </w:rPr>
            </w:pPr>
          </w:p>
        </w:tc>
        <w:tc>
          <w:tcPr>
            <w:tcW w:w="0" w:type="auto"/>
            <w:shd w:val="clear" w:color="auto" w:fill="auto"/>
          </w:tcPr>
          <w:p w14:paraId="2310C4D3" w14:textId="77777777" w:rsidR="008C5CFA" w:rsidRPr="00BA47B4" w:rsidRDefault="008C5CFA" w:rsidP="00300A01">
            <w:pPr>
              <w:spacing w:before="0" w:after="0"/>
              <w:jc w:val="right"/>
              <w:rPr>
                <w:sz w:val="12"/>
                <w:szCs w:val="12"/>
                <w:lang w:val="fr-BE"/>
              </w:rPr>
            </w:pPr>
          </w:p>
        </w:tc>
        <w:tc>
          <w:tcPr>
            <w:tcW w:w="0" w:type="auto"/>
            <w:shd w:val="clear" w:color="auto" w:fill="auto"/>
          </w:tcPr>
          <w:p w14:paraId="555B8A79" w14:textId="77777777" w:rsidR="008C5CFA" w:rsidRPr="00BA47B4" w:rsidRDefault="00E82A60" w:rsidP="00300A01">
            <w:pPr>
              <w:spacing w:before="0" w:after="0"/>
              <w:jc w:val="right"/>
              <w:rPr>
                <w:sz w:val="12"/>
                <w:szCs w:val="12"/>
                <w:lang w:val="fr-BE"/>
              </w:rPr>
            </w:pPr>
            <w:r w:rsidRPr="00BA47B4">
              <w:rPr>
                <w:noProof/>
                <w:sz w:val="12"/>
                <w:szCs w:val="12"/>
                <w:lang w:val="fr-BE"/>
              </w:rPr>
              <w:t>193,00</w:t>
            </w:r>
          </w:p>
        </w:tc>
        <w:tc>
          <w:tcPr>
            <w:tcW w:w="0" w:type="auto"/>
            <w:shd w:val="clear" w:color="auto" w:fill="auto"/>
          </w:tcPr>
          <w:p w14:paraId="33DC2A29" w14:textId="77777777" w:rsidR="008C5CFA" w:rsidRPr="00BA47B4" w:rsidRDefault="00E82A60" w:rsidP="00300A01">
            <w:pPr>
              <w:spacing w:before="0" w:after="0"/>
              <w:jc w:val="right"/>
              <w:rPr>
                <w:sz w:val="12"/>
                <w:szCs w:val="12"/>
                <w:lang w:val="fr-BE"/>
              </w:rPr>
            </w:pPr>
            <w:r w:rsidRPr="00BA47B4">
              <w:rPr>
                <w:noProof/>
                <w:sz w:val="12"/>
                <w:szCs w:val="12"/>
                <w:lang w:val="fr-BE"/>
              </w:rPr>
              <w:t>24,00</w:t>
            </w:r>
          </w:p>
        </w:tc>
        <w:tc>
          <w:tcPr>
            <w:tcW w:w="0" w:type="auto"/>
            <w:shd w:val="clear" w:color="auto" w:fill="auto"/>
          </w:tcPr>
          <w:p w14:paraId="204A3772" w14:textId="77777777" w:rsidR="008C5CFA" w:rsidRPr="00BA47B4" w:rsidRDefault="00E82A60" w:rsidP="00300A01">
            <w:pPr>
              <w:spacing w:before="0" w:after="0"/>
              <w:jc w:val="right"/>
              <w:rPr>
                <w:sz w:val="12"/>
                <w:szCs w:val="12"/>
                <w:lang w:val="fr-BE"/>
              </w:rPr>
            </w:pPr>
            <w:r w:rsidRPr="00BA47B4">
              <w:rPr>
                <w:noProof/>
                <w:sz w:val="12"/>
                <w:szCs w:val="12"/>
                <w:lang w:val="fr-BE"/>
              </w:rPr>
              <w:t>169,00</w:t>
            </w:r>
          </w:p>
        </w:tc>
        <w:tc>
          <w:tcPr>
            <w:tcW w:w="0" w:type="auto"/>
            <w:shd w:val="clear" w:color="auto" w:fill="auto"/>
          </w:tcPr>
          <w:p w14:paraId="5A3DCE01" w14:textId="77777777" w:rsidR="008C5CFA" w:rsidRPr="00BA47B4" w:rsidRDefault="008C5CFA" w:rsidP="00300A01">
            <w:pPr>
              <w:spacing w:before="0" w:after="0"/>
              <w:jc w:val="right"/>
              <w:rPr>
                <w:sz w:val="12"/>
                <w:szCs w:val="12"/>
                <w:lang w:val="fr-BE"/>
              </w:rPr>
            </w:pPr>
          </w:p>
        </w:tc>
        <w:tc>
          <w:tcPr>
            <w:tcW w:w="0" w:type="auto"/>
            <w:shd w:val="clear" w:color="auto" w:fill="auto"/>
          </w:tcPr>
          <w:p w14:paraId="1014E20B" w14:textId="77777777" w:rsidR="008C5CFA" w:rsidRPr="00BA47B4" w:rsidRDefault="008C5CFA" w:rsidP="00300A01">
            <w:pPr>
              <w:spacing w:before="0" w:after="0"/>
              <w:jc w:val="right"/>
              <w:rPr>
                <w:sz w:val="12"/>
                <w:szCs w:val="12"/>
                <w:lang w:val="fr-BE"/>
              </w:rPr>
            </w:pPr>
          </w:p>
        </w:tc>
        <w:tc>
          <w:tcPr>
            <w:tcW w:w="0" w:type="auto"/>
            <w:shd w:val="clear" w:color="auto" w:fill="auto"/>
          </w:tcPr>
          <w:p w14:paraId="0C308622" w14:textId="77777777" w:rsidR="008C5CFA" w:rsidRPr="00BA47B4" w:rsidRDefault="008C5CFA" w:rsidP="00300A01">
            <w:pPr>
              <w:spacing w:before="0" w:after="0"/>
              <w:jc w:val="right"/>
              <w:rPr>
                <w:sz w:val="12"/>
                <w:szCs w:val="12"/>
                <w:lang w:val="fr-BE"/>
              </w:rPr>
            </w:pPr>
          </w:p>
        </w:tc>
        <w:tc>
          <w:tcPr>
            <w:tcW w:w="0" w:type="auto"/>
            <w:shd w:val="clear" w:color="auto" w:fill="auto"/>
          </w:tcPr>
          <w:p w14:paraId="3C967A6D" w14:textId="77777777" w:rsidR="008C5CFA" w:rsidRPr="00BA47B4" w:rsidRDefault="00E82A60" w:rsidP="00300A01">
            <w:pPr>
              <w:spacing w:before="0" w:after="0"/>
              <w:jc w:val="right"/>
              <w:rPr>
                <w:sz w:val="12"/>
                <w:szCs w:val="12"/>
                <w:lang w:val="fr-BE"/>
              </w:rPr>
            </w:pPr>
            <w:r w:rsidRPr="00BA47B4">
              <w:rPr>
                <w:noProof/>
                <w:sz w:val="12"/>
                <w:szCs w:val="12"/>
                <w:lang w:val="fr-BE"/>
              </w:rPr>
              <w:t>2,00</w:t>
            </w:r>
          </w:p>
        </w:tc>
        <w:tc>
          <w:tcPr>
            <w:tcW w:w="0" w:type="auto"/>
            <w:shd w:val="clear" w:color="auto" w:fill="auto"/>
          </w:tcPr>
          <w:p w14:paraId="73E38AA6" w14:textId="77777777" w:rsidR="008C5CFA" w:rsidRPr="00BA47B4" w:rsidRDefault="00E82A60" w:rsidP="00300A01">
            <w:pPr>
              <w:spacing w:before="0" w:after="0"/>
              <w:jc w:val="right"/>
              <w:rPr>
                <w:sz w:val="12"/>
                <w:szCs w:val="12"/>
                <w:lang w:val="fr-BE"/>
              </w:rPr>
            </w:pPr>
            <w:r w:rsidRPr="00BA47B4">
              <w:rPr>
                <w:noProof/>
                <w:sz w:val="12"/>
                <w:szCs w:val="12"/>
                <w:lang w:val="fr-BE"/>
              </w:rPr>
              <w:t>25,00</w:t>
            </w:r>
          </w:p>
        </w:tc>
      </w:tr>
      <w:tr w:rsidR="006B2EC1" w14:paraId="4058B892" w14:textId="77777777" w:rsidTr="0047688D">
        <w:tc>
          <w:tcPr>
            <w:tcW w:w="0" w:type="auto"/>
            <w:shd w:val="clear" w:color="auto" w:fill="auto"/>
          </w:tcPr>
          <w:p w14:paraId="0869BE71" w14:textId="77777777" w:rsidR="008C5CFA" w:rsidRPr="00BA47B4" w:rsidRDefault="00E82A60" w:rsidP="00300A01">
            <w:pPr>
              <w:spacing w:before="0" w:after="0"/>
              <w:rPr>
                <w:sz w:val="12"/>
                <w:szCs w:val="12"/>
                <w:lang w:val="fr-BE"/>
              </w:rPr>
            </w:pPr>
            <w:r w:rsidRPr="00BA47B4">
              <w:rPr>
                <w:noProof/>
                <w:sz w:val="12"/>
                <w:szCs w:val="12"/>
                <w:lang w:val="fr-BE"/>
              </w:rPr>
              <w:t>CR04</w:t>
            </w:r>
          </w:p>
        </w:tc>
        <w:tc>
          <w:tcPr>
            <w:tcW w:w="0" w:type="auto"/>
            <w:shd w:val="clear" w:color="auto" w:fill="auto"/>
          </w:tcPr>
          <w:p w14:paraId="5BBBABAC" w14:textId="77777777" w:rsidR="008C5CFA" w:rsidRPr="00BA47B4" w:rsidRDefault="00E82A60" w:rsidP="00300A01">
            <w:pPr>
              <w:spacing w:before="0" w:after="0"/>
              <w:rPr>
                <w:sz w:val="12"/>
                <w:szCs w:val="12"/>
                <w:lang w:val="fr-BE"/>
              </w:rPr>
            </w:pPr>
            <w:r w:rsidRPr="00BA47B4">
              <w:rPr>
                <w:noProof/>
                <w:sz w:val="12"/>
                <w:szCs w:val="12"/>
                <w:lang w:val="fr-BE"/>
              </w:rPr>
              <w:t>uczestnicy pracujący, łącznie z prowadzącymi działalność na własny rachunek, po opuszczeniu programu</w:t>
            </w:r>
          </w:p>
        </w:tc>
        <w:tc>
          <w:tcPr>
            <w:tcW w:w="0" w:type="auto"/>
            <w:shd w:val="clear" w:color="auto" w:fill="auto"/>
          </w:tcPr>
          <w:p w14:paraId="49B5CF48" w14:textId="77777777" w:rsidR="008C5CFA" w:rsidRPr="00BA47B4" w:rsidRDefault="00E82A60" w:rsidP="00300A01">
            <w:pPr>
              <w:spacing w:before="0" w:after="0"/>
              <w:rPr>
                <w:sz w:val="12"/>
                <w:szCs w:val="12"/>
                <w:lang w:val="fr-BE"/>
              </w:rPr>
            </w:pPr>
            <w:r w:rsidRPr="00BA47B4">
              <w:rPr>
                <w:noProof/>
                <w:sz w:val="12"/>
                <w:szCs w:val="12"/>
                <w:lang w:val="fr-BE"/>
              </w:rPr>
              <w:t>Słabiej rozwinięte</w:t>
            </w:r>
          </w:p>
        </w:tc>
        <w:tc>
          <w:tcPr>
            <w:tcW w:w="0" w:type="auto"/>
            <w:shd w:val="clear" w:color="auto" w:fill="auto"/>
          </w:tcPr>
          <w:p w14:paraId="5EDDE947" w14:textId="77777777" w:rsidR="008C5CFA" w:rsidRPr="00BA47B4" w:rsidRDefault="00E82A60" w:rsidP="00300A01">
            <w:pPr>
              <w:spacing w:before="0" w:after="0"/>
              <w:rPr>
                <w:sz w:val="12"/>
                <w:szCs w:val="12"/>
                <w:lang w:val="fr-BE"/>
              </w:rPr>
            </w:pPr>
            <w:r w:rsidRPr="00BA47B4">
              <w:rPr>
                <w:sz w:val="12"/>
                <w:szCs w:val="12"/>
                <w:lang w:val="fr-BE"/>
              </w:rPr>
              <w:t xml:space="preserve"> </w:t>
            </w:r>
          </w:p>
        </w:tc>
        <w:tc>
          <w:tcPr>
            <w:tcW w:w="0" w:type="auto"/>
            <w:shd w:val="clear" w:color="auto" w:fill="auto"/>
          </w:tcPr>
          <w:p w14:paraId="024B26C2" w14:textId="77777777" w:rsidR="008C5CFA" w:rsidRPr="00BA47B4" w:rsidRDefault="008C5CFA" w:rsidP="00300A01">
            <w:pPr>
              <w:spacing w:before="0" w:after="0"/>
              <w:jc w:val="center"/>
              <w:rPr>
                <w:sz w:val="12"/>
                <w:szCs w:val="12"/>
                <w:lang w:val="fr-BE"/>
              </w:rPr>
            </w:pPr>
          </w:p>
        </w:tc>
        <w:tc>
          <w:tcPr>
            <w:tcW w:w="0" w:type="auto"/>
            <w:shd w:val="clear" w:color="auto" w:fill="auto"/>
          </w:tcPr>
          <w:p w14:paraId="181A8B6A" w14:textId="77777777" w:rsidR="008C5CFA" w:rsidRPr="00BA47B4" w:rsidRDefault="008C5CFA" w:rsidP="00300A01">
            <w:pPr>
              <w:spacing w:before="0" w:after="0"/>
              <w:jc w:val="right"/>
              <w:rPr>
                <w:sz w:val="12"/>
                <w:szCs w:val="12"/>
                <w:lang w:val="fr-BE"/>
              </w:rPr>
            </w:pPr>
          </w:p>
        </w:tc>
        <w:tc>
          <w:tcPr>
            <w:tcW w:w="0" w:type="auto"/>
            <w:shd w:val="clear" w:color="auto" w:fill="auto"/>
          </w:tcPr>
          <w:p w14:paraId="4D63180F" w14:textId="77777777" w:rsidR="008C5CFA" w:rsidRPr="00BA47B4" w:rsidRDefault="008C5CFA" w:rsidP="00300A01">
            <w:pPr>
              <w:spacing w:before="0" w:after="0"/>
              <w:jc w:val="right"/>
              <w:rPr>
                <w:sz w:val="12"/>
                <w:szCs w:val="12"/>
                <w:lang w:val="fr-BE"/>
              </w:rPr>
            </w:pPr>
          </w:p>
        </w:tc>
        <w:tc>
          <w:tcPr>
            <w:tcW w:w="0" w:type="auto"/>
            <w:shd w:val="clear" w:color="auto" w:fill="auto"/>
          </w:tcPr>
          <w:p w14:paraId="6D9ECAEB" w14:textId="77777777" w:rsidR="008C5CFA" w:rsidRPr="00BA47B4" w:rsidRDefault="008C5CFA" w:rsidP="00300A01">
            <w:pPr>
              <w:spacing w:before="0" w:after="0"/>
              <w:jc w:val="right"/>
              <w:rPr>
                <w:sz w:val="12"/>
                <w:szCs w:val="12"/>
                <w:lang w:val="fr-BE"/>
              </w:rPr>
            </w:pPr>
          </w:p>
        </w:tc>
        <w:tc>
          <w:tcPr>
            <w:tcW w:w="0" w:type="auto"/>
            <w:shd w:val="clear" w:color="auto" w:fill="auto"/>
          </w:tcPr>
          <w:p w14:paraId="7FDB808B"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22DF5959"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6D7360C1"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7E53B981" w14:textId="77777777" w:rsidR="008C5CFA" w:rsidRPr="00BA47B4" w:rsidRDefault="008C5CFA" w:rsidP="00300A01">
            <w:pPr>
              <w:spacing w:before="0" w:after="0"/>
              <w:jc w:val="right"/>
              <w:rPr>
                <w:sz w:val="12"/>
                <w:szCs w:val="12"/>
                <w:lang w:val="fr-BE"/>
              </w:rPr>
            </w:pPr>
          </w:p>
        </w:tc>
        <w:tc>
          <w:tcPr>
            <w:tcW w:w="0" w:type="auto"/>
            <w:shd w:val="clear" w:color="auto" w:fill="auto"/>
          </w:tcPr>
          <w:p w14:paraId="6D00918E" w14:textId="77777777" w:rsidR="008C5CFA" w:rsidRPr="00BA47B4" w:rsidRDefault="008C5CFA" w:rsidP="00300A01">
            <w:pPr>
              <w:spacing w:before="0" w:after="0"/>
              <w:jc w:val="right"/>
              <w:rPr>
                <w:sz w:val="12"/>
                <w:szCs w:val="12"/>
                <w:lang w:val="fr-BE"/>
              </w:rPr>
            </w:pPr>
          </w:p>
        </w:tc>
        <w:tc>
          <w:tcPr>
            <w:tcW w:w="0" w:type="auto"/>
            <w:shd w:val="clear" w:color="auto" w:fill="auto"/>
          </w:tcPr>
          <w:p w14:paraId="49DCF2FD" w14:textId="77777777" w:rsidR="008C5CFA" w:rsidRPr="00BA47B4" w:rsidRDefault="008C5CFA" w:rsidP="00300A01">
            <w:pPr>
              <w:spacing w:before="0" w:after="0"/>
              <w:jc w:val="right"/>
              <w:rPr>
                <w:sz w:val="12"/>
                <w:szCs w:val="12"/>
                <w:lang w:val="fr-BE"/>
              </w:rPr>
            </w:pPr>
          </w:p>
        </w:tc>
        <w:tc>
          <w:tcPr>
            <w:tcW w:w="0" w:type="auto"/>
            <w:shd w:val="clear" w:color="auto" w:fill="auto"/>
          </w:tcPr>
          <w:p w14:paraId="3C62BE3C"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3328D3F9"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r>
      <w:tr w:rsidR="006B2EC1" w14:paraId="2BD8B954" w14:textId="77777777" w:rsidTr="0047688D">
        <w:tc>
          <w:tcPr>
            <w:tcW w:w="0" w:type="auto"/>
            <w:shd w:val="clear" w:color="auto" w:fill="auto"/>
          </w:tcPr>
          <w:p w14:paraId="26AD8CF6" w14:textId="77777777" w:rsidR="008C5CFA" w:rsidRPr="00BA47B4" w:rsidRDefault="00E82A60" w:rsidP="00300A01">
            <w:pPr>
              <w:spacing w:before="0" w:after="0"/>
              <w:rPr>
                <w:sz w:val="12"/>
                <w:szCs w:val="12"/>
                <w:lang w:val="fr-BE"/>
              </w:rPr>
            </w:pPr>
            <w:r w:rsidRPr="00BA47B4">
              <w:rPr>
                <w:noProof/>
                <w:sz w:val="12"/>
                <w:szCs w:val="12"/>
                <w:lang w:val="fr-BE"/>
              </w:rPr>
              <w:t>CR05</w:t>
            </w:r>
          </w:p>
        </w:tc>
        <w:tc>
          <w:tcPr>
            <w:tcW w:w="0" w:type="auto"/>
            <w:shd w:val="clear" w:color="auto" w:fill="auto"/>
          </w:tcPr>
          <w:p w14:paraId="6B057DA0" w14:textId="77777777" w:rsidR="008C5CFA" w:rsidRPr="00BA47B4" w:rsidRDefault="00E82A60" w:rsidP="00300A01">
            <w:pPr>
              <w:spacing w:before="0" w:after="0"/>
              <w:rPr>
                <w:sz w:val="12"/>
                <w:szCs w:val="12"/>
                <w:lang w:val="fr-BE"/>
              </w:rPr>
            </w:pPr>
            <w:r w:rsidRPr="00BA47B4">
              <w:rPr>
                <w:noProof/>
                <w:sz w:val="12"/>
                <w:szCs w:val="12"/>
                <w:lang w:val="fr-BE"/>
              </w:rPr>
              <w:t>uczestnicy w niekorzystnej sytuacji społecznej poszukujący pracy, uczestniczący w kształceniu lub szkoleniu, zdobywający kwalifikacje lub pracujący (łącznie z prowadzącymi działalność na własny rachunek) po opuszczeniu programu</w:t>
            </w:r>
          </w:p>
        </w:tc>
        <w:tc>
          <w:tcPr>
            <w:tcW w:w="0" w:type="auto"/>
            <w:shd w:val="clear" w:color="auto" w:fill="auto"/>
          </w:tcPr>
          <w:p w14:paraId="4CB14F2C" w14:textId="77777777" w:rsidR="008C5CFA" w:rsidRPr="00BA47B4" w:rsidRDefault="00E82A60" w:rsidP="00300A01">
            <w:pPr>
              <w:spacing w:before="0" w:after="0"/>
              <w:rPr>
                <w:sz w:val="12"/>
                <w:szCs w:val="12"/>
                <w:lang w:val="fr-BE"/>
              </w:rPr>
            </w:pPr>
            <w:r w:rsidRPr="00BA47B4">
              <w:rPr>
                <w:noProof/>
                <w:sz w:val="12"/>
                <w:szCs w:val="12"/>
                <w:lang w:val="fr-BE"/>
              </w:rPr>
              <w:t>Słabiej rozwinięte</w:t>
            </w:r>
          </w:p>
        </w:tc>
        <w:tc>
          <w:tcPr>
            <w:tcW w:w="0" w:type="auto"/>
            <w:shd w:val="clear" w:color="auto" w:fill="auto"/>
          </w:tcPr>
          <w:p w14:paraId="49372220" w14:textId="77777777" w:rsidR="008C5CFA" w:rsidRPr="00BA47B4" w:rsidRDefault="00E82A60" w:rsidP="00300A01">
            <w:pPr>
              <w:spacing w:before="0" w:after="0"/>
              <w:rPr>
                <w:sz w:val="12"/>
                <w:szCs w:val="12"/>
                <w:lang w:val="fr-BE"/>
              </w:rPr>
            </w:pPr>
            <w:r w:rsidRPr="00BA47B4">
              <w:rPr>
                <w:sz w:val="12"/>
                <w:szCs w:val="12"/>
                <w:lang w:val="fr-BE"/>
              </w:rPr>
              <w:t xml:space="preserve"> </w:t>
            </w:r>
          </w:p>
        </w:tc>
        <w:tc>
          <w:tcPr>
            <w:tcW w:w="0" w:type="auto"/>
            <w:shd w:val="clear" w:color="auto" w:fill="auto"/>
          </w:tcPr>
          <w:p w14:paraId="632508FA" w14:textId="77777777" w:rsidR="008C5CFA" w:rsidRPr="00BA47B4" w:rsidRDefault="008C5CFA" w:rsidP="00300A01">
            <w:pPr>
              <w:spacing w:before="0" w:after="0"/>
              <w:jc w:val="center"/>
              <w:rPr>
                <w:sz w:val="12"/>
                <w:szCs w:val="12"/>
                <w:lang w:val="fr-BE"/>
              </w:rPr>
            </w:pPr>
          </w:p>
        </w:tc>
        <w:tc>
          <w:tcPr>
            <w:tcW w:w="0" w:type="auto"/>
            <w:shd w:val="clear" w:color="auto" w:fill="auto"/>
          </w:tcPr>
          <w:p w14:paraId="1ED6597B" w14:textId="77777777" w:rsidR="008C5CFA" w:rsidRPr="00BA47B4" w:rsidRDefault="008C5CFA" w:rsidP="00300A01">
            <w:pPr>
              <w:spacing w:before="0" w:after="0"/>
              <w:jc w:val="right"/>
              <w:rPr>
                <w:sz w:val="12"/>
                <w:szCs w:val="12"/>
                <w:lang w:val="fr-BE"/>
              </w:rPr>
            </w:pPr>
          </w:p>
        </w:tc>
        <w:tc>
          <w:tcPr>
            <w:tcW w:w="0" w:type="auto"/>
            <w:shd w:val="clear" w:color="auto" w:fill="auto"/>
          </w:tcPr>
          <w:p w14:paraId="2033846D" w14:textId="77777777" w:rsidR="008C5CFA" w:rsidRPr="00BA47B4" w:rsidRDefault="008C5CFA" w:rsidP="00300A01">
            <w:pPr>
              <w:spacing w:before="0" w:after="0"/>
              <w:jc w:val="right"/>
              <w:rPr>
                <w:sz w:val="12"/>
                <w:szCs w:val="12"/>
                <w:lang w:val="fr-BE"/>
              </w:rPr>
            </w:pPr>
          </w:p>
        </w:tc>
        <w:tc>
          <w:tcPr>
            <w:tcW w:w="0" w:type="auto"/>
            <w:shd w:val="clear" w:color="auto" w:fill="auto"/>
          </w:tcPr>
          <w:p w14:paraId="736BFAAC" w14:textId="77777777" w:rsidR="008C5CFA" w:rsidRPr="00BA47B4" w:rsidRDefault="008C5CFA" w:rsidP="00300A01">
            <w:pPr>
              <w:spacing w:before="0" w:after="0"/>
              <w:jc w:val="right"/>
              <w:rPr>
                <w:sz w:val="12"/>
                <w:szCs w:val="12"/>
                <w:lang w:val="fr-BE"/>
              </w:rPr>
            </w:pPr>
          </w:p>
        </w:tc>
        <w:tc>
          <w:tcPr>
            <w:tcW w:w="0" w:type="auto"/>
            <w:shd w:val="clear" w:color="auto" w:fill="auto"/>
          </w:tcPr>
          <w:p w14:paraId="107C97B7" w14:textId="77777777" w:rsidR="008C5CFA" w:rsidRPr="00BA47B4" w:rsidRDefault="00E82A60" w:rsidP="00300A01">
            <w:pPr>
              <w:spacing w:before="0" w:after="0"/>
              <w:jc w:val="right"/>
              <w:rPr>
                <w:sz w:val="12"/>
                <w:szCs w:val="12"/>
                <w:lang w:val="fr-BE"/>
              </w:rPr>
            </w:pPr>
            <w:r w:rsidRPr="00BA47B4">
              <w:rPr>
                <w:noProof/>
                <w:sz w:val="12"/>
                <w:szCs w:val="12"/>
                <w:lang w:val="fr-BE"/>
              </w:rPr>
              <w:t>54,00</w:t>
            </w:r>
          </w:p>
        </w:tc>
        <w:tc>
          <w:tcPr>
            <w:tcW w:w="0" w:type="auto"/>
            <w:shd w:val="clear" w:color="auto" w:fill="auto"/>
          </w:tcPr>
          <w:p w14:paraId="16D50B71" w14:textId="77777777" w:rsidR="008C5CFA" w:rsidRPr="00BA47B4" w:rsidRDefault="00E82A60" w:rsidP="00300A01">
            <w:pPr>
              <w:spacing w:before="0" w:after="0"/>
              <w:jc w:val="right"/>
              <w:rPr>
                <w:sz w:val="12"/>
                <w:szCs w:val="12"/>
                <w:lang w:val="fr-BE"/>
              </w:rPr>
            </w:pPr>
            <w:r w:rsidRPr="00BA47B4">
              <w:rPr>
                <w:noProof/>
                <w:sz w:val="12"/>
                <w:szCs w:val="12"/>
                <w:lang w:val="fr-BE"/>
              </w:rPr>
              <w:t>19,00</w:t>
            </w:r>
          </w:p>
        </w:tc>
        <w:tc>
          <w:tcPr>
            <w:tcW w:w="0" w:type="auto"/>
            <w:shd w:val="clear" w:color="auto" w:fill="auto"/>
          </w:tcPr>
          <w:p w14:paraId="0624BE3A" w14:textId="77777777" w:rsidR="008C5CFA" w:rsidRPr="00BA47B4" w:rsidRDefault="00E82A60" w:rsidP="00300A01">
            <w:pPr>
              <w:spacing w:before="0" w:after="0"/>
              <w:jc w:val="right"/>
              <w:rPr>
                <w:sz w:val="12"/>
                <w:szCs w:val="12"/>
                <w:lang w:val="fr-BE"/>
              </w:rPr>
            </w:pPr>
            <w:r w:rsidRPr="00BA47B4">
              <w:rPr>
                <w:noProof/>
                <w:sz w:val="12"/>
                <w:szCs w:val="12"/>
                <w:lang w:val="fr-BE"/>
              </w:rPr>
              <w:t>35,00</w:t>
            </w:r>
          </w:p>
        </w:tc>
        <w:tc>
          <w:tcPr>
            <w:tcW w:w="0" w:type="auto"/>
            <w:shd w:val="clear" w:color="auto" w:fill="auto"/>
          </w:tcPr>
          <w:p w14:paraId="4AA2782F" w14:textId="77777777" w:rsidR="008C5CFA" w:rsidRPr="00BA47B4" w:rsidRDefault="008C5CFA" w:rsidP="00300A01">
            <w:pPr>
              <w:spacing w:before="0" w:after="0"/>
              <w:jc w:val="right"/>
              <w:rPr>
                <w:sz w:val="12"/>
                <w:szCs w:val="12"/>
                <w:lang w:val="fr-BE"/>
              </w:rPr>
            </w:pPr>
          </w:p>
        </w:tc>
        <w:tc>
          <w:tcPr>
            <w:tcW w:w="0" w:type="auto"/>
            <w:shd w:val="clear" w:color="auto" w:fill="auto"/>
          </w:tcPr>
          <w:p w14:paraId="55E976FE" w14:textId="77777777" w:rsidR="008C5CFA" w:rsidRPr="00BA47B4" w:rsidRDefault="008C5CFA" w:rsidP="00300A01">
            <w:pPr>
              <w:spacing w:before="0" w:after="0"/>
              <w:jc w:val="right"/>
              <w:rPr>
                <w:sz w:val="12"/>
                <w:szCs w:val="12"/>
                <w:lang w:val="fr-BE"/>
              </w:rPr>
            </w:pPr>
          </w:p>
        </w:tc>
        <w:tc>
          <w:tcPr>
            <w:tcW w:w="0" w:type="auto"/>
            <w:shd w:val="clear" w:color="auto" w:fill="auto"/>
          </w:tcPr>
          <w:p w14:paraId="7886D8E5" w14:textId="77777777" w:rsidR="008C5CFA" w:rsidRPr="00BA47B4" w:rsidRDefault="008C5CFA" w:rsidP="00300A01">
            <w:pPr>
              <w:spacing w:before="0" w:after="0"/>
              <w:jc w:val="right"/>
              <w:rPr>
                <w:sz w:val="12"/>
                <w:szCs w:val="12"/>
                <w:lang w:val="fr-BE"/>
              </w:rPr>
            </w:pPr>
          </w:p>
        </w:tc>
        <w:tc>
          <w:tcPr>
            <w:tcW w:w="0" w:type="auto"/>
            <w:shd w:val="clear" w:color="auto" w:fill="auto"/>
          </w:tcPr>
          <w:p w14:paraId="683BB53C" w14:textId="77777777" w:rsidR="008C5CFA" w:rsidRPr="00BA47B4" w:rsidRDefault="00E82A60" w:rsidP="00300A01">
            <w:pPr>
              <w:spacing w:before="0" w:after="0"/>
              <w:jc w:val="right"/>
              <w:rPr>
                <w:sz w:val="12"/>
                <w:szCs w:val="12"/>
                <w:lang w:val="fr-BE"/>
              </w:rPr>
            </w:pPr>
            <w:r w:rsidRPr="00BA47B4">
              <w:rPr>
                <w:noProof/>
                <w:sz w:val="12"/>
                <w:szCs w:val="12"/>
                <w:lang w:val="fr-BE"/>
              </w:rPr>
              <w:t>1,00</w:t>
            </w:r>
          </w:p>
        </w:tc>
        <w:tc>
          <w:tcPr>
            <w:tcW w:w="0" w:type="auto"/>
            <w:shd w:val="clear" w:color="auto" w:fill="auto"/>
          </w:tcPr>
          <w:p w14:paraId="55A4BC4D" w14:textId="77777777" w:rsidR="008C5CFA" w:rsidRPr="00BA47B4" w:rsidRDefault="00E82A60" w:rsidP="00300A01">
            <w:pPr>
              <w:spacing w:before="0" w:after="0"/>
              <w:jc w:val="right"/>
              <w:rPr>
                <w:sz w:val="12"/>
                <w:szCs w:val="12"/>
                <w:lang w:val="fr-BE"/>
              </w:rPr>
            </w:pPr>
            <w:r w:rsidRPr="00BA47B4">
              <w:rPr>
                <w:noProof/>
                <w:sz w:val="12"/>
                <w:szCs w:val="12"/>
                <w:lang w:val="fr-BE"/>
              </w:rPr>
              <w:t>1,00</w:t>
            </w:r>
          </w:p>
        </w:tc>
      </w:tr>
      <w:tr w:rsidR="006B2EC1" w14:paraId="711A4C2C" w14:textId="77777777" w:rsidTr="0047688D">
        <w:tc>
          <w:tcPr>
            <w:tcW w:w="0" w:type="auto"/>
            <w:shd w:val="clear" w:color="auto" w:fill="auto"/>
          </w:tcPr>
          <w:p w14:paraId="344A9FD0" w14:textId="77777777" w:rsidR="008C5CFA" w:rsidRPr="00BA47B4" w:rsidRDefault="00E82A60" w:rsidP="00300A01">
            <w:pPr>
              <w:spacing w:before="0" w:after="0"/>
              <w:rPr>
                <w:sz w:val="12"/>
                <w:szCs w:val="12"/>
                <w:lang w:val="fr-BE"/>
              </w:rPr>
            </w:pPr>
            <w:r w:rsidRPr="00BA47B4">
              <w:rPr>
                <w:noProof/>
                <w:sz w:val="12"/>
                <w:szCs w:val="12"/>
                <w:lang w:val="fr-BE"/>
              </w:rPr>
              <w:t>CR06</w:t>
            </w:r>
          </w:p>
        </w:tc>
        <w:tc>
          <w:tcPr>
            <w:tcW w:w="0" w:type="auto"/>
            <w:shd w:val="clear" w:color="auto" w:fill="auto"/>
          </w:tcPr>
          <w:p w14:paraId="2DE1AF4D" w14:textId="77777777" w:rsidR="008C5CFA" w:rsidRPr="00BA47B4" w:rsidRDefault="00E82A60" w:rsidP="00300A01">
            <w:pPr>
              <w:spacing w:before="0" w:after="0"/>
              <w:rPr>
                <w:sz w:val="12"/>
                <w:szCs w:val="12"/>
                <w:lang w:val="fr-BE"/>
              </w:rPr>
            </w:pPr>
            <w:r w:rsidRPr="00BA47B4">
              <w:rPr>
                <w:noProof/>
                <w:sz w:val="12"/>
                <w:szCs w:val="12"/>
                <w:lang w:val="fr-BE"/>
              </w:rPr>
              <w:t>uczestnicy pracujący, łącznie z prowadzącymi działalność na własny rachunek, sześć miesięcy po opuszczeniu programu</w:t>
            </w:r>
          </w:p>
        </w:tc>
        <w:tc>
          <w:tcPr>
            <w:tcW w:w="0" w:type="auto"/>
            <w:shd w:val="clear" w:color="auto" w:fill="auto"/>
          </w:tcPr>
          <w:p w14:paraId="460EF46A" w14:textId="77777777" w:rsidR="008C5CFA" w:rsidRPr="00BA47B4" w:rsidRDefault="00E82A60" w:rsidP="00300A01">
            <w:pPr>
              <w:spacing w:before="0" w:after="0"/>
              <w:rPr>
                <w:sz w:val="12"/>
                <w:szCs w:val="12"/>
                <w:lang w:val="fr-BE"/>
              </w:rPr>
            </w:pPr>
            <w:r w:rsidRPr="00BA47B4">
              <w:rPr>
                <w:noProof/>
                <w:sz w:val="12"/>
                <w:szCs w:val="12"/>
                <w:lang w:val="fr-BE"/>
              </w:rPr>
              <w:t>Słabiej rozwinięte</w:t>
            </w:r>
          </w:p>
        </w:tc>
        <w:tc>
          <w:tcPr>
            <w:tcW w:w="0" w:type="auto"/>
            <w:shd w:val="clear" w:color="auto" w:fill="auto"/>
          </w:tcPr>
          <w:p w14:paraId="46C35F5F" w14:textId="77777777" w:rsidR="008C5CFA" w:rsidRPr="00BA47B4" w:rsidRDefault="00E82A60" w:rsidP="00300A01">
            <w:pPr>
              <w:spacing w:before="0" w:after="0"/>
              <w:rPr>
                <w:sz w:val="12"/>
                <w:szCs w:val="12"/>
                <w:lang w:val="fr-BE"/>
              </w:rPr>
            </w:pPr>
            <w:r w:rsidRPr="00BA47B4">
              <w:rPr>
                <w:sz w:val="12"/>
                <w:szCs w:val="12"/>
                <w:lang w:val="fr-BE"/>
              </w:rPr>
              <w:t xml:space="preserve"> </w:t>
            </w:r>
          </w:p>
        </w:tc>
        <w:tc>
          <w:tcPr>
            <w:tcW w:w="0" w:type="auto"/>
            <w:shd w:val="clear" w:color="auto" w:fill="auto"/>
          </w:tcPr>
          <w:p w14:paraId="502EA9AF" w14:textId="77777777" w:rsidR="008C5CFA" w:rsidRPr="00BA47B4" w:rsidRDefault="008C5CFA" w:rsidP="00300A01">
            <w:pPr>
              <w:spacing w:before="0" w:after="0"/>
              <w:jc w:val="center"/>
              <w:rPr>
                <w:sz w:val="12"/>
                <w:szCs w:val="12"/>
                <w:lang w:val="fr-BE"/>
              </w:rPr>
            </w:pPr>
          </w:p>
        </w:tc>
        <w:tc>
          <w:tcPr>
            <w:tcW w:w="0" w:type="auto"/>
            <w:shd w:val="clear" w:color="auto" w:fill="auto"/>
          </w:tcPr>
          <w:p w14:paraId="2930872D" w14:textId="77777777" w:rsidR="008C5CFA" w:rsidRPr="00BA47B4" w:rsidRDefault="008C5CFA" w:rsidP="00300A01">
            <w:pPr>
              <w:spacing w:before="0" w:after="0"/>
              <w:jc w:val="right"/>
              <w:rPr>
                <w:sz w:val="12"/>
                <w:szCs w:val="12"/>
                <w:lang w:val="fr-BE"/>
              </w:rPr>
            </w:pPr>
          </w:p>
        </w:tc>
        <w:tc>
          <w:tcPr>
            <w:tcW w:w="0" w:type="auto"/>
            <w:shd w:val="clear" w:color="auto" w:fill="auto"/>
          </w:tcPr>
          <w:p w14:paraId="45BE92B4" w14:textId="77777777" w:rsidR="008C5CFA" w:rsidRPr="00BA47B4" w:rsidRDefault="008C5CFA" w:rsidP="00300A01">
            <w:pPr>
              <w:spacing w:before="0" w:after="0"/>
              <w:jc w:val="right"/>
              <w:rPr>
                <w:sz w:val="12"/>
                <w:szCs w:val="12"/>
                <w:lang w:val="fr-BE"/>
              </w:rPr>
            </w:pPr>
          </w:p>
        </w:tc>
        <w:tc>
          <w:tcPr>
            <w:tcW w:w="0" w:type="auto"/>
            <w:shd w:val="clear" w:color="auto" w:fill="auto"/>
          </w:tcPr>
          <w:p w14:paraId="3B0ED690" w14:textId="77777777" w:rsidR="008C5CFA" w:rsidRPr="00BA47B4" w:rsidRDefault="008C5CFA" w:rsidP="00300A01">
            <w:pPr>
              <w:spacing w:before="0" w:after="0"/>
              <w:jc w:val="right"/>
              <w:rPr>
                <w:sz w:val="12"/>
                <w:szCs w:val="12"/>
                <w:lang w:val="fr-BE"/>
              </w:rPr>
            </w:pPr>
          </w:p>
        </w:tc>
        <w:tc>
          <w:tcPr>
            <w:tcW w:w="0" w:type="auto"/>
            <w:shd w:val="clear" w:color="auto" w:fill="auto"/>
          </w:tcPr>
          <w:p w14:paraId="434A1D9E" w14:textId="77777777" w:rsidR="008C5CFA" w:rsidRPr="00BA47B4" w:rsidRDefault="00E82A60" w:rsidP="00300A01">
            <w:pPr>
              <w:spacing w:before="0" w:after="0"/>
              <w:jc w:val="right"/>
              <w:rPr>
                <w:sz w:val="12"/>
                <w:szCs w:val="12"/>
                <w:lang w:val="fr-BE"/>
              </w:rPr>
            </w:pPr>
            <w:r w:rsidRPr="00BA47B4">
              <w:rPr>
                <w:noProof/>
                <w:sz w:val="12"/>
                <w:szCs w:val="12"/>
                <w:lang w:val="fr-BE"/>
              </w:rPr>
              <w:t>196,00</w:t>
            </w:r>
          </w:p>
        </w:tc>
        <w:tc>
          <w:tcPr>
            <w:tcW w:w="0" w:type="auto"/>
            <w:shd w:val="clear" w:color="auto" w:fill="auto"/>
          </w:tcPr>
          <w:p w14:paraId="0D5EFEEF" w14:textId="77777777" w:rsidR="008C5CFA" w:rsidRPr="00BA47B4" w:rsidRDefault="00E82A60" w:rsidP="00300A01">
            <w:pPr>
              <w:spacing w:before="0" w:after="0"/>
              <w:jc w:val="right"/>
              <w:rPr>
                <w:sz w:val="12"/>
                <w:szCs w:val="12"/>
                <w:lang w:val="fr-BE"/>
              </w:rPr>
            </w:pPr>
            <w:r w:rsidRPr="00BA47B4">
              <w:rPr>
                <w:noProof/>
                <w:sz w:val="12"/>
                <w:szCs w:val="12"/>
                <w:lang w:val="fr-BE"/>
              </w:rPr>
              <w:t>96,00</w:t>
            </w:r>
          </w:p>
        </w:tc>
        <w:tc>
          <w:tcPr>
            <w:tcW w:w="0" w:type="auto"/>
            <w:shd w:val="clear" w:color="auto" w:fill="auto"/>
          </w:tcPr>
          <w:p w14:paraId="1066C3B6" w14:textId="77777777" w:rsidR="008C5CFA" w:rsidRPr="00BA47B4" w:rsidRDefault="00E82A60" w:rsidP="00300A01">
            <w:pPr>
              <w:spacing w:before="0" w:after="0"/>
              <w:jc w:val="right"/>
              <w:rPr>
                <w:sz w:val="12"/>
                <w:szCs w:val="12"/>
                <w:lang w:val="fr-BE"/>
              </w:rPr>
            </w:pPr>
            <w:r w:rsidRPr="00BA47B4">
              <w:rPr>
                <w:noProof/>
                <w:sz w:val="12"/>
                <w:szCs w:val="12"/>
                <w:lang w:val="fr-BE"/>
              </w:rPr>
              <w:t>100,00</w:t>
            </w:r>
          </w:p>
        </w:tc>
        <w:tc>
          <w:tcPr>
            <w:tcW w:w="0" w:type="auto"/>
            <w:shd w:val="clear" w:color="auto" w:fill="auto"/>
          </w:tcPr>
          <w:p w14:paraId="516EC906" w14:textId="77777777" w:rsidR="008C5CFA" w:rsidRPr="00BA47B4" w:rsidRDefault="008C5CFA" w:rsidP="00300A01">
            <w:pPr>
              <w:spacing w:before="0" w:after="0"/>
              <w:jc w:val="right"/>
              <w:rPr>
                <w:sz w:val="12"/>
                <w:szCs w:val="12"/>
                <w:lang w:val="fr-BE"/>
              </w:rPr>
            </w:pPr>
          </w:p>
        </w:tc>
        <w:tc>
          <w:tcPr>
            <w:tcW w:w="0" w:type="auto"/>
            <w:shd w:val="clear" w:color="auto" w:fill="auto"/>
          </w:tcPr>
          <w:p w14:paraId="2222D5F4" w14:textId="77777777" w:rsidR="008C5CFA" w:rsidRPr="00BA47B4" w:rsidRDefault="008C5CFA" w:rsidP="00300A01">
            <w:pPr>
              <w:spacing w:before="0" w:after="0"/>
              <w:jc w:val="right"/>
              <w:rPr>
                <w:sz w:val="12"/>
                <w:szCs w:val="12"/>
                <w:lang w:val="fr-BE"/>
              </w:rPr>
            </w:pPr>
          </w:p>
        </w:tc>
        <w:tc>
          <w:tcPr>
            <w:tcW w:w="0" w:type="auto"/>
            <w:shd w:val="clear" w:color="auto" w:fill="auto"/>
          </w:tcPr>
          <w:p w14:paraId="2D76C543" w14:textId="77777777" w:rsidR="008C5CFA" w:rsidRPr="00BA47B4" w:rsidRDefault="008C5CFA" w:rsidP="00300A01">
            <w:pPr>
              <w:spacing w:before="0" w:after="0"/>
              <w:jc w:val="right"/>
              <w:rPr>
                <w:sz w:val="12"/>
                <w:szCs w:val="12"/>
                <w:lang w:val="fr-BE"/>
              </w:rPr>
            </w:pPr>
          </w:p>
        </w:tc>
        <w:tc>
          <w:tcPr>
            <w:tcW w:w="0" w:type="auto"/>
            <w:shd w:val="clear" w:color="auto" w:fill="auto"/>
          </w:tcPr>
          <w:p w14:paraId="407A6A17"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3344CA86"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r>
      <w:tr w:rsidR="006B2EC1" w14:paraId="7DC0EAB2" w14:textId="77777777" w:rsidTr="0047688D">
        <w:tc>
          <w:tcPr>
            <w:tcW w:w="0" w:type="auto"/>
            <w:shd w:val="clear" w:color="auto" w:fill="auto"/>
          </w:tcPr>
          <w:p w14:paraId="18E9177E" w14:textId="77777777" w:rsidR="008C5CFA" w:rsidRPr="00BA47B4" w:rsidRDefault="00E82A60" w:rsidP="00300A01">
            <w:pPr>
              <w:spacing w:before="0" w:after="0"/>
              <w:rPr>
                <w:sz w:val="12"/>
                <w:szCs w:val="12"/>
                <w:lang w:val="fr-BE"/>
              </w:rPr>
            </w:pPr>
            <w:r w:rsidRPr="00BA47B4">
              <w:rPr>
                <w:noProof/>
                <w:sz w:val="12"/>
                <w:szCs w:val="12"/>
                <w:lang w:val="fr-BE"/>
              </w:rPr>
              <w:t>CR07</w:t>
            </w:r>
          </w:p>
        </w:tc>
        <w:tc>
          <w:tcPr>
            <w:tcW w:w="0" w:type="auto"/>
            <w:shd w:val="clear" w:color="auto" w:fill="auto"/>
          </w:tcPr>
          <w:p w14:paraId="4136F8A4" w14:textId="77777777" w:rsidR="008C5CFA" w:rsidRPr="00BA47B4" w:rsidRDefault="00E82A60" w:rsidP="00300A01">
            <w:pPr>
              <w:spacing w:before="0" w:after="0"/>
              <w:rPr>
                <w:sz w:val="12"/>
                <w:szCs w:val="12"/>
                <w:lang w:val="fr-BE"/>
              </w:rPr>
            </w:pPr>
            <w:r w:rsidRPr="00BA47B4">
              <w:rPr>
                <w:noProof/>
                <w:sz w:val="12"/>
                <w:szCs w:val="12"/>
                <w:lang w:val="fr-BE"/>
              </w:rPr>
              <w:t>uczestnicy znajdujący się w lepszej sytuacji na rynku pracy sześć miesięcy po opuszczeniu programu</w:t>
            </w:r>
          </w:p>
        </w:tc>
        <w:tc>
          <w:tcPr>
            <w:tcW w:w="0" w:type="auto"/>
            <w:shd w:val="clear" w:color="auto" w:fill="auto"/>
          </w:tcPr>
          <w:p w14:paraId="74ED8A6F" w14:textId="77777777" w:rsidR="008C5CFA" w:rsidRPr="00BA47B4" w:rsidRDefault="00E82A60" w:rsidP="00300A01">
            <w:pPr>
              <w:spacing w:before="0" w:after="0"/>
              <w:rPr>
                <w:sz w:val="12"/>
                <w:szCs w:val="12"/>
                <w:lang w:val="fr-BE"/>
              </w:rPr>
            </w:pPr>
            <w:r w:rsidRPr="00BA47B4">
              <w:rPr>
                <w:noProof/>
                <w:sz w:val="12"/>
                <w:szCs w:val="12"/>
                <w:lang w:val="fr-BE"/>
              </w:rPr>
              <w:t>Słabiej rozwinięte</w:t>
            </w:r>
          </w:p>
        </w:tc>
        <w:tc>
          <w:tcPr>
            <w:tcW w:w="0" w:type="auto"/>
            <w:shd w:val="clear" w:color="auto" w:fill="auto"/>
          </w:tcPr>
          <w:p w14:paraId="57E4C2E1" w14:textId="77777777" w:rsidR="008C5CFA" w:rsidRPr="00BA47B4" w:rsidRDefault="00E82A60" w:rsidP="00300A01">
            <w:pPr>
              <w:spacing w:before="0" w:after="0"/>
              <w:rPr>
                <w:sz w:val="12"/>
                <w:szCs w:val="12"/>
                <w:lang w:val="fr-BE"/>
              </w:rPr>
            </w:pPr>
            <w:r w:rsidRPr="00BA47B4">
              <w:rPr>
                <w:sz w:val="12"/>
                <w:szCs w:val="12"/>
                <w:lang w:val="fr-BE"/>
              </w:rPr>
              <w:t xml:space="preserve"> </w:t>
            </w:r>
          </w:p>
        </w:tc>
        <w:tc>
          <w:tcPr>
            <w:tcW w:w="0" w:type="auto"/>
            <w:shd w:val="clear" w:color="auto" w:fill="auto"/>
          </w:tcPr>
          <w:p w14:paraId="7E1503A2" w14:textId="77777777" w:rsidR="008C5CFA" w:rsidRPr="00BA47B4" w:rsidRDefault="008C5CFA" w:rsidP="00300A01">
            <w:pPr>
              <w:spacing w:before="0" w:after="0"/>
              <w:jc w:val="center"/>
              <w:rPr>
                <w:sz w:val="12"/>
                <w:szCs w:val="12"/>
                <w:lang w:val="fr-BE"/>
              </w:rPr>
            </w:pPr>
          </w:p>
        </w:tc>
        <w:tc>
          <w:tcPr>
            <w:tcW w:w="0" w:type="auto"/>
            <w:shd w:val="clear" w:color="auto" w:fill="auto"/>
          </w:tcPr>
          <w:p w14:paraId="07394C26" w14:textId="77777777" w:rsidR="008C5CFA" w:rsidRPr="00BA47B4" w:rsidRDefault="008C5CFA" w:rsidP="00300A01">
            <w:pPr>
              <w:spacing w:before="0" w:after="0"/>
              <w:jc w:val="right"/>
              <w:rPr>
                <w:sz w:val="12"/>
                <w:szCs w:val="12"/>
                <w:lang w:val="fr-BE"/>
              </w:rPr>
            </w:pPr>
          </w:p>
        </w:tc>
        <w:tc>
          <w:tcPr>
            <w:tcW w:w="0" w:type="auto"/>
            <w:shd w:val="clear" w:color="auto" w:fill="auto"/>
          </w:tcPr>
          <w:p w14:paraId="3C2B0FAB" w14:textId="77777777" w:rsidR="008C5CFA" w:rsidRPr="00BA47B4" w:rsidRDefault="008C5CFA" w:rsidP="00300A01">
            <w:pPr>
              <w:spacing w:before="0" w:after="0"/>
              <w:jc w:val="right"/>
              <w:rPr>
                <w:sz w:val="12"/>
                <w:szCs w:val="12"/>
                <w:lang w:val="fr-BE"/>
              </w:rPr>
            </w:pPr>
          </w:p>
        </w:tc>
        <w:tc>
          <w:tcPr>
            <w:tcW w:w="0" w:type="auto"/>
            <w:shd w:val="clear" w:color="auto" w:fill="auto"/>
          </w:tcPr>
          <w:p w14:paraId="5B04DFFF" w14:textId="77777777" w:rsidR="008C5CFA" w:rsidRPr="00BA47B4" w:rsidRDefault="008C5CFA" w:rsidP="00300A01">
            <w:pPr>
              <w:spacing w:before="0" w:after="0"/>
              <w:jc w:val="right"/>
              <w:rPr>
                <w:sz w:val="12"/>
                <w:szCs w:val="12"/>
                <w:lang w:val="fr-BE"/>
              </w:rPr>
            </w:pPr>
          </w:p>
        </w:tc>
        <w:tc>
          <w:tcPr>
            <w:tcW w:w="0" w:type="auto"/>
            <w:shd w:val="clear" w:color="auto" w:fill="auto"/>
          </w:tcPr>
          <w:p w14:paraId="65122169" w14:textId="77777777" w:rsidR="008C5CFA" w:rsidRPr="00BA47B4" w:rsidRDefault="00E82A60" w:rsidP="00300A01">
            <w:pPr>
              <w:spacing w:before="0" w:after="0"/>
              <w:jc w:val="right"/>
              <w:rPr>
                <w:sz w:val="12"/>
                <w:szCs w:val="12"/>
                <w:lang w:val="fr-BE"/>
              </w:rPr>
            </w:pPr>
            <w:r w:rsidRPr="00BA47B4">
              <w:rPr>
                <w:noProof/>
                <w:sz w:val="12"/>
                <w:szCs w:val="12"/>
                <w:lang w:val="fr-BE"/>
              </w:rPr>
              <w:t>103,00</w:t>
            </w:r>
          </w:p>
        </w:tc>
        <w:tc>
          <w:tcPr>
            <w:tcW w:w="0" w:type="auto"/>
            <w:shd w:val="clear" w:color="auto" w:fill="auto"/>
          </w:tcPr>
          <w:p w14:paraId="0398A8F1" w14:textId="77777777" w:rsidR="008C5CFA" w:rsidRPr="00BA47B4" w:rsidRDefault="00E82A60" w:rsidP="00300A01">
            <w:pPr>
              <w:spacing w:before="0" w:after="0"/>
              <w:jc w:val="right"/>
              <w:rPr>
                <w:sz w:val="12"/>
                <w:szCs w:val="12"/>
                <w:lang w:val="fr-BE"/>
              </w:rPr>
            </w:pPr>
            <w:r w:rsidRPr="00BA47B4">
              <w:rPr>
                <w:noProof/>
                <w:sz w:val="12"/>
                <w:szCs w:val="12"/>
                <w:lang w:val="fr-BE"/>
              </w:rPr>
              <w:t>13,00</w:t>
            </w:r>
          </w:p>
        </w:tc>
        <w:tc>
          <w:tcPr>
            <w:tcW w:w="0" w:type="auto"/>
            <w:shd w:val="clear" w:color="auto" w:fill="auto"/>
          </w:tcPr>
          <w:p w14:paraId="1295D954" w14:textId="77777777" w:rsidR="008C5CFA" w:rsidRPr="00BA47B4" w:rsidRDefault="00E82A60" w:rsidP="00300A01">
            <w:pPr>
              <w:spacing w:before="0" w:after="0"/>
              <w:jc w:val="right"/>
              <w:rPr>
                <w:sz w:val="12"/>
                <w:szCs w:val="12"/>
                <w:lang w:val="fr-BE"/>
              </w:rPr>
            </w:pPr>
            <w:r w:rsidRPr="00BA47B4">
              <w:rPr>
                <w:noProof/>
                <w:sz w:val="12"/>
                <w:szCs w:val="12"/>
                <w:lang w:val="fr-BE"/>
              </w:rPr>
              <w:t>90,00</w:t>
            </w:r>
          </w:p>
        </w:tc>
        <w:tc>
          <w:tcPr>
            <w:tcW w:w="0" w:type="auto"/>
            <w:shd w:val="clear" w:color="auto" w:fill="auto"/>
          </w:tcPr>
          <w:p w14:paraId="19BF32B3" w14:textId="77777777" w:rsidR="008C5CFA" w:rsidRPr="00BA47B4" w:rsidRDefault="008C5CFA" w:rsidP="00300A01">
            <w:pPr>
              <w:spacing w:before="0" w:after="0"/>
              <w:jc w:val="right"/>
              <w:rPr>
                <w:sz w:val="12"/>
                <w:szCs w:val="12"/>
                <w:lang w:val="fr-BE"/>
              </w:rPr>
            </w:pPr>
          </w:p>
        </w:tc>
        <w:tc>
          <w:tcPr>
            <w:tcW w:w="0" w:type="auto"/>
            <w:shd w:val="clear" w:color="auto" w:fill="auto"/>
          </w:tcPr>
          <w:p w14:paraId="5708C5EE" w14:textId="77777777" w:rsidR="008C5CFA" w:rsidRPr="00BA47B4" w:rsidRDefault="008C5CFA" w:rsidP="00300A01">
            <w:pPr>
              <w:spacing w:before="0" w:after="0"/>
              <w:jc w:val="right"/>
              <w:rPr>
                <w:sz w:val="12"/>
                <w:szCs w:val="12"/>
                <w:lang w:val="fr-BE"/>
              </w:rPr>
            </w:pPr>
          </w:p>
        </w:tc>
        <w:tc>
          <w:tcPr>
            <w:tcW w:w="0" w:type="auto"/>
            <w:shd w:val="clear" w:color="auto" w:fill="auto"/>
          </w:tcPr>
          <w:p w14:paraId="069E318D" w14:textId="77777777" w:rsidR="008C5CFA" w:rsidRPr="00BA47B4" w:rsidRDefault="008C5CFA" w:rsidP="00300A01">
            <w:pPr>
              <w:spacing w:before="0" w:after="0"/>
              <w:jc w:val="right"/>
              <w:rPr>
                <w:sz w:val="12"/>
                <w:szCs w:val="12"/>
                <w:lang w:val="fr-BE"/>
              </w:rPr>
            </w:pPr>
          </w:p>
        </w:tc>
        <w:tc>
          <w:tcPr>
            <w:tcW w:w="0" w:type="auto"/>
            <w:shd w:val="clear" w:color="auto" w:fill="auto"/>
          </w:tcPr>
          <w:p w14:paraId="7DDFABE3"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08D2101D"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r>
      <w:tr w:rsidR="006B2EC1" w14:paraId="6010F5DD" w14:textId="77777777" w:rsidTr="0047688D">
        <w:tc>
          <w:tcPr>
            <w:tcW w:w="0" w:type="auto"/>
            <w:shd w:val="clear" w:color="auto" w:fill="auto"/>
          </w:tcPr>
          <w:p w14:paraId="6CF89769" w14:textId="77777777" w:rsidR="008C5CFA" w:rsidRPr="00BA47B4" w:rsidRDefault="00E82A60" w:rsidP="00300A01">
            <w:pPr>
              <w:spacing w:before="0" w:after="0"/>
              <w:rPr>
                <w:sz w:val="12"/>
                <w:szCs w:val="12"/>
                <w:lang w:val="fr-BE"/>
              </w:rPr>
            </w:pPr>
            <w:r w:rsidRPr="00BA47B4">
              <w:rPr>
                <w:noProof/>
                <w:sz w:val="12"/>
                <w:szCs w:val="12"/>
                <w:lang w:val="fr-BE"/>
              </w:rPr>
              <w:t>CR08</w:t>
            </w:r>
          </w:p>
        </w:tc>
        <w:tc>
          <w:tcPr>
            <w:tcW w:w="0" w:type="auto"/>
            <w:shd w:val="clear" w:color="auto" w:fill="auto"/>
          </w:tcPr>
          <w:p w14:paraId="17D594F4" w14:textId="77777777" w:rsidR="008C5CFA" w:rsidRPr="00BA47B4" w:rsidRDefault="00E82A60" w:rsidP="00300A01">
            <w:pPr>
              <w:spacing w:before="0" w:after="0"/>
              <w:rPr>
                <w:sz w:val="12"/>
                <w:szCs w:val="12"/>
                <w:lang w:val="fr-BE"/>
              </w:rPr>
            </w:pPr>
            <w:r w:rsidRPr="00BA47B4">
              <w:rPr>
                <w:noProof/>
                <w:sz w:val="12"/>
                <w:szCs w:val="12"/>
                <w:lang w:val="fr-BE"/>
              </w:rPr>
              <w:t>uczestnicy powyżej 54 roku życia, pracujący, łącznie z prowadzącymi działalność na własny rachunek, sześć miesięcy po opuszczeniu programu</w:t>
            </w:r>
          </w:p>
        </w:tc>
        <w:tc>
          <w:tcPr>
            <w:tcW w:w="0" w:type="auto"/>
            <w:shd w:val="clear" w:color="auto" w:fill="auto"/>
          </w:tcPr>
          <w:p w14:paraId="77C00737" w14:textId="77777777" w:rsidR="008C5CFA" w:rsidRPr="00BA47B4" w:rsidRDefault="00E82A60" w:rsidP="00300A01">
            <w:pPr>
              <w:spacing w:before="0" w:after="0"/>
              <w:rPr>
                <w:sz w:val="12"/>
                <w:szCs w:val="12"/>
                <w:lang w:val="fr-BE"/>
              </w:rPr>
            </w:pPr>
            <w:r w:rsidRPr="00BA47B4">
              <w:rPr>
                <w:noProof/>
                <w:sz w:val="12"/>
                <w:szCs w:val="12"/>
                <w:lang w:val="fr-BE"/>
              </w:rPr>
              <w:t>Słabiej rozwinięte</w:t>
            </w:r>
          </w:p>
        </w:tc>
        <w:tc>
          <w:tcPr>
            <w:tcW w:w="0" w:type="auto"/>
            <w:shd w:val="clear" w:color="auto" w:fill="auto"/>
          </w:tcPr>
          <w:p w14:paraId="1CE1BA20" w14:textId="77777777" w:rsidR="008C5CFA" w:rsidRPr="00BA47B4" w:rsidRDefault="00E82A60" w:rsidP="00300A01">
            <w:pPr>
              <w:spacing w:before="0" w:after="0"/>
              <w:rPr>
                <w:sz w:val="12"/>
                <w:szCs w:val="12"/>
                <w:lang w:val="fr-BE"/>
              </w:rPr>
            </w:pPr>
            <w:r w:rsidRPr="00BA47B4">
              <w:rPr>
                <w:sz w:val="12"/>
                <w:szCs w:val="12"/>
                <w:lang w:val="fr-BE"/>
              </w:rPr>
              <w:t xml:space="preserve"> </w:t>
            </w:r>
          </w:p>
        </w:tc>
        <w:tc>
          <w:tcPr>
            <w:tcW w:w="0" w:type="auto"/>
            <w:shd w:val="clear" w:color="auto" w:fill="auto"/>
          </w:tcPr>
          <w:p w14:paraId="1AAE1BE5" w14:textId="77777777" w:rsidR="008C5CFA" w:rsidRPr="00BA47B4" w:rsidRDefault="008C5CFA" w:rsidP="00300A01">
            <w:pPr>
              <w:spacing w:before="0" w:after="0"/>
              <w:jc w:val="center"/>
              <w:rPr>
                <w:sz w:val="12"/>
                <w:szCs w:val="12"/>
                <w:lang w:val="fr-BE"/>
              </w:rPr>
            </w:pPr>
          </w:p>
        </w:tc>
        <w:tc>
          <w:tcPr>
            <w:tcW w:w="0" w:type="auto"/>
            <w:shd w:val="clear" w:color="auto" w:fill="auto"/>
          </w:tcPr>
          <w:p w14:paraId="2470D17F" w14:textId="77777777" w:rsidR="008C5CFA" w:rsidRPr="00BA47B4" w:rsidRDefault="008C5CFA" w:rsidP="00300A01">
            <w:pPr>
              <w:spacing w:before="0" w:after="0"/>
              <w:jc w:val="right"/>
              <w:rPr>
                <w:sz w:val="12"/>
                <w:szCs w:val="12"/>
                <w:lang w:val="fr-BE"/>
              </w:rPr>
            </w:pPr>
          </w:p>
        </w:tc>
        <w:tc>
          <w:tcPr>
            <w:tcW w:w="0" w:type="auto"/>
            <w:shd w:val="clear" w:color="auto" w:fill="auto"/>
          </w:tcPr>
          <w:p w14:paraId="1721BC8C" w14:textId="77777777" w:rsidR="008C5CFA" w:rsidRPr="00BA47B4" w:rsidRDefault="008C5CFA" w:rsidP="00300A01">
            <w:pPr>
              <w:spacing w:before="0" w:after="0"/>
              <w:jc w:val="right"/>
              <w:rPr>
                <w:sz w:val="12"/>
                <w:szCs w:val="12"/>
                <w:lang w:val="fr-BE"/>
              </w:rPr>
            </w:pPr>
          </w:p>
        </w:tc>
        <w:tc>
          <w:tcPr>
            <w:tcW w:w="0" w:type="auto"/>
            <w:shd w:val="clear" w:color="auto" w:fill="auto"/>
          </w:tcPr>
          <w:p w14:paraId="044AFE4F" w14:textId="77777777" w:rsidR="008C5CFA" w:rsidRPr="00BA47B4" w:rsidRDefault="008C5CFA" w:rsidP="00300A01">
            <w:pPr>
              <w:spacing w:before="0" w:after="0"/>
              <w:jc w:val="right"/>
              <w:rPr>
                <w:sz w:val="12"/>
                <w:szCs w:val="12"/>
                <w:lang w:val="fr-BE"/>
              </w:rPr>
            </w:pPr>
          </w:p>
        </w:tc>
        <w:tc>
          <w:tcPr>
            <w:tcW w:w="0" w:type="auto"/>
            <w:shd w:val="clear" w:color="auto" w:fill="auto"/>
          </w:tcPr>
          <w:p w14:paraId="4C0AE00F"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5842849A"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0AE5EA08"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314FDF77" w14:textId="77777777" w:rsidR="008C5CFA" w:rsidRPr="00BA47B4" w:rsidRDefault="008C5CFA" w:rsidP="00300A01">
            <w:pPr>
              <w:spacing w:before="0" w:after="0"/>
              <w:jc w:val="right"/>
              <w:rPr>
                <w:sz w:val="12"/>
                <w:szCs w:val="12"/>
                <w:lang w:val="fr-BE"/>
              </w:rPr>
            </w:pPr>
          </w:p>
        </w:tc>
        <w:tc>
          <w:tcPr>
            <w:tcW w:w="0" w:type="auto"/>
            <w:shd w:val="clear" w:color="auto" w:fill="auto"/>
          </w:tcPr>
          <w:p w14:paraId="603CB8A9" w14:textId="77777777" w:rsidR="008C5CFA" w:rsidRPr="00BA47B4" w:rsidRDefault="008C5CFA" w:rsidP="00300A01">
            <w:pPr>
              <w:spacing w:before="0" w:after="0"/>
              <w:jc w:val="right"/>
              <w:rPr>
                <w:sz w:val="12"/>
                <w:szCs w:val="12"/>
                <w:lang w:val="fr-BE"/>
              </w:rPr>
            </w:pPr>
          </w:p>
        </w:tc>
        <w:tc>
          <w:tcPr>
            <w:tcW w:w="0" w:type="auto"/>
            <w:shd w:val="clear" w:color="auto" w:fill="auto"/>
          </w:tcPr>
          <w:p w14:paraId="148522D5" w14:textId="77777777" w:rsidR="008C5CFA" w:rsidRPr="00BA47B4" w:rsidRDefault="008C5CFA" w:rsidP="00300A01">
            <w:pPr>
              <w:spacing w:before="0" w:after="0"/>
              <w:jc w:val="right"/>
              <w:rPr>
                <w:sz w:val="12"/>
                <w:szCs w:val="12"/>
                <w:lang w:val="fr-BE"/>
              </w:rPr>
            </w:pPr>
          </w:p>
        </w:tc>
        <w:tc>
          <w:tcPr>
            <w:tcW w:w="0" w:type="auto"/>
            <w:shd w:val="clear" w:color="auto" w:fill="auto"/>
          </w:tcPr>
          <w:p w14:paraId="52960D62"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618C57CB"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r>
      <w:tr w:rsidR="006B2EC1" w14:paraId="45DC23AA" w14:textId="77777777" w:rsidTr="0047688D">
        <w:tc>
          <w:tcPr>
            <w:tcW w:w="0" w:type="auto"/>
            <w:shd w:val="clear" w:color="auto" w:fill="auto"/>
          </w:tcPr>
          <w:p w14:paraId="05B50770" w14:textId="77777777" w:rsidR="008C5CFA" w:rsidRPr="00BA47B4" w:rsidRDefault="00E82A60" w:rsidP="00300A01">
            <w:pPr>
              <w:spacing w:before="0" w:after="0"/>
              <w:rPr>
                <w:sz w:val="12"/>
                <w:szCs w:val="12"/>
                <w:lang w:val="fr-BE"/>
              </w:rPr>
            </w:pPr>
            <w:r w:rsidRPr="00BA47B4">
              <w:rPr>
                <w:noProof/>
                <w:sz w:val="12"/>
                <w:szCs w:val="12"/>
                <w:lang w:val="fr-BE"/>
              </w:rPr>
              <w:t>CR09</w:t>
            </w:r>
          </w:p>
        </w:tc>
        <w:tc>
          <w:tcPr>
            <w:tcW w:w="0" w:type="auto"/>
            <w:shd w:val="clear" w:color="auto" w:fill="auto"/>
          </w:tcPr>
          <w:p w14:paraId="0CEB1999" w14:textId="77777777" w:rsidR="008C5CFA" w:rsidRPr="00BA47B4" w:rsidRDefault="00E82A60" w:rsidP="00300A01">
            <w:pPr>
              <w:spacing w:before="0" w:after="0"/>
              <w:rPr>
                <w:sz w:val="12"/>
                <w:szCs w:val="12"/>
                <w:lang w:val="fr-BE"/>
              </w:rPr>
            </w:pPr>
            <w:r w:rsidRPr="00BA47B4">
              <w:rPr>
                <w:noProof/>
                <w:sz w:val="12"/>
                <w:szCs w:val="12"/>
                <w:lang w:val="fr-BE"/>
              </w:rPr>
              <w:t>uczestnicy w niekorzystnej sytuacji społecznej, pracujący, łącznie z prowadzącymi działalność na własny rachunek, sześć miesięcy po opuszczeniu programu</w:t>
            </w:r>
          </w:p>
        </w:tc>
        <w:tc>
          <w:tcPr>
            <w:tcW w:w="0" w:type="auto"/>
            <w:shd w:val="clear" w:color="auto" w:fill="auto"/>
          </w:tcPr>
          <w:p w14:paraId="3241C81E" w14:textId="77777777" w:rsidR="008C5CFA" w:rsidRPr="00BA47B4" w:rsidRDefault="00E82A60" w:rsidP="00300A01">
            <w:pPr>
              <w:spacing w:before="0" w:after="0"/>
              <w:rPr>
                <w:sz w:val="12"/>
                <w:szCs w:val="12"/>
                <w:lang w:val="fr-BE"/>
              </w:rPr>
            </w:pPr>
            <w:r w:rsidRPr="00BA47B4">
              <w:rPr>
                <w:noProof/>
                <w:sz w:val="12"/>
                <w:szCs w:val="12"/>
                <w:lang w:val="fr-BE"/>
              </w:rPr>
              <w:t>Słabiej rozwinięte</w:t>
            </w:r>
          </w:p>
        </w:tc>
        <w:tc>
          <w:tcPr>
            <w:tcW w:w="0" w:type="auto"/>
            <w:shd w:val="clear" w:color="auto" w:fill="auto"/>
          </w:tcPr>
          <w:p w14:paraId="20A6EFF5" w14:textId="77777777" w:rsidR="008C5CFA" w:rsidRPr="00BA47B4" w:rsidRDefault="00E82A60" w:rsidP="00300A01">
            <w:pPr>
              <w:spacing w:before="0" w:after="0"/>
              <w:rPr>
                <w:sz w:val="12"/>
                <w:szCs w:val="12"/>
                <w:lang w:val="fr-BE"/>
              </w:rPr>
            </w:pPr>
            <w:r w:rsidRPr="00BA47B4">
              <w:rPr>
                <w:sz w:val="12"/>
                <w:szCs w:val="12"/>
                <w:lang w:val="fr-BE"/>
              </w:rPr>
              <w:t xml:space="preserve"> </w:t>
            </w:r>
          </w:p>
        </w:tc>
        <w:tc>
          <w:tcPr>
            <w:tcW w:w="0" w:type="auto"/>
            <w:shd w:val="clear" w:color="auto" w:fill="auto"/>
          </w:tcPr>
          <w:p w14:paraId="3F50414D" w14:textId="77777777" w:rsidR="008C5CFA" w:rsidRPr="00BA47B4" w:rsidRDefault="008C5CFA" w:rsidP="00300A01">
            <w:pPr>
              <w:spacing w:before="0" w:after="0"/>
              <w:jc w:val="center"/>
              <w:rPr>
                <w:sz w:val="12"/>
                <w:szCs w:val="12"/>
                <w:lang w:val="fr-BE"/>
              </w:rPr>
            </w:pPr>
          </w:p>
        </w:tc>
        <w:tc>
          <w:tcPr>
            <w:tcW w:w="0" w:type="auto"/>
            <w:shd w:val="clear" w:color="auto" w:fill="auto"/>
          </w:tcPr>
          <w:p w14:paraId="04E602C4" w14:textId="77777777" w:rsidR="008C5CFA" w:rsidRPr="00BA47B4" w:rsidRDefault="008C5CFA" w:rsidP="00300A01">
            <w:pPr>
              <w:spacing w:before="0" w:after="0"/>
              <w:jc w:val="right"/>
              <w:rPr>
                <w:sz w:val="12"/>
                <w:szCs w:val="12"/>
                <w:lang w:val="fr-BE"/>
              </w:rPr>
            </w:pPr>
          </w:p>
        </w:tc>
        <w:tc>
          <w:tcPr>
            <w:tcW w:w="0" w:type="auto"/>
            <w:shd w:val="clear" w:color="auto" w:fill="auto"/>
          </w:tcPr>
          <w:p w14:paraId="0704B9E0" w14:textId="77777777" w:rsidR="008C5CFA" w:rsidRPr="00BA47B4" w:rsidRDefault="008C5CFA" w:rsidP="00300A01">
            <w:pPr>
              <w:spacing w:before="0" w:after="0"/>
              <w:jc w:val="right"/>
              <w:rPr>
                <w:sz w:val="12"/>
                <w:szCs w:val="12"/>
                <w:lang w:val="fr-BE"/>
              </w:rPr>
            </w:pPr>
          </w:p>
        </w:tc>
        <w:tc>
          <w:tcPr>
            <w:tcW w:w="0" w:type="auto"/>
            <w:shd w:val="clear" w:color="auto" w:fill="auto"/>
          </w:tcPr>
          <w:p w14:paraId="5B5B8158" w14:textId="77777777" w:rsidR="008C5CFA" w:rsidRPr="00BA47B4" w:rsidRDefault="008C5CFA" w:rsidP="00300A01">
            <w:pPr>
              <w:spacing w:before="0" w:after="0"/>
              <w:jc w:val="right"/>
              <w:rPr>
                <w:sz w:val="12"/>
                <w:szCs w:val="12"/>
                <w:lang w:val="fr-BE"/>
              </w:rPr>
            </w:pPr>
          </w:p>
        </w:tc>
        <w:tc>
          <w:tcPr>
            <w:tcW w:w="0" w:type="auto"/>
            <w:shd w:val="clear" w:color="auto" w:fill="auto"/>
          </w:tcPr>
          <w:p w14:paraId="607DE4EF" w14:textId="77777777" w:rsidR="008C5CFA" w:rsidRPr="00BA47B4" w:rsidRDefault="00E82A60" w:rsidP="00300A01">
            <w:pPr>
              <w:spacing w:before="0" w:after="0"/>
              <w:jc w:val="right"/>
              <w:rPr>
                <w:sz w:val="12"/>
                <w:szCs w:val="12"/>
                <w:lang w:val="fr-BE"/>
              </w:rPr>
            </w:pPr>
            <w:r w:rsidRPr="00BA47B4">
              <w:rPr>
                <w:noProof/>
                <w:sz w:val="12"/>
                <w:szCs w:val="12"/>
                <w:lang w:val="fr-BE"/>
              </w:rPr>
              <w:t>19,00</w:t>
            </w:r>
          </w:p>
        </w:tc>
        <w:tc>
          <w:tcPr>
            <w:tcW w:w="0" w:type="auto"/>
            <w:shd w:val="clear" w:color="auto" w:fill="auto"/>
          </w:tcPr>
          <w:p w14:paraId="58C4881A" w14:textId="77777777" w:rsidR="008C5CFA" w:rsidRPr="00BA47B4" w:rsidRDefault="00E82A60" w:rsidP="00300A01">
            <w:pPr>
              <w:spacing w:before="0" w:after="0"/>
              <w:jc w:val="right"/>
              <w:rPr>
                <w:sz w:val="12"/>
                <w:szCs w:val="12"/>
                <w:lang w:val="fr-BE"/>
              </w:rPr>
            </w:pPr>
            <w:r w:rsidRPr="00BA47B4">
              <w:rPr>
                <w:noProof/>
                <w:sz w:val="12"/>
                <w:szCs w:val="12"/>
                <w:lang w:val="fr-BE"/>
              </w:rPr>
              <w:t>10,00</w:t>
            </w:r>
          </w:p>
        </w:tc>
        <w:tc>
          <w:tcPr>
            <w:tcW w:w="0" w:type="auto"/>
            <w:shd w:val="clear" w:color="auto" w:fill="auto"/>
          </w:tcPr>
          <w:p w14:paraId="06A64123" w14:textId="77777777" w:rsidR="008C5CFA" w:rsidRPr="00BA47B4" w:rsidRDefault="00E82A60" w:rsidP="00300A01">
            <w:pPr>
              <w:spacing w:before="0" w:after="0"/>
              <w:jc w:val="right"/>
              <w:rPr>
                <w:sz w:val="12"/>
                <w:szCs w:val="12"/>
                <w:lang w:val="fr-BE"/>
              </w:rPr>
            </w:pPr>
            <w:r w:rsidRPr="00BA47B4">
              <w:rPr>
                <w:noProof/>
                <w:sz w:val="12"/>
                <w:szCs w:val="12"/>
                <w:lang w:val="fr-BE"/>
              </w:rPr>
              <w:t>9,00</w:t>
            </w:r>
          </w:p>
        </w:tc>
        <w:tc>
          <w:tcPr>
            <w:tcW w:w="0" w:type="auto"/>
            <w:shd w:val="clear" w:color="auto" w:fill="auto"/>
          </w:tcPr>
          <w:p w14:paraId="331DA093" w14:textId="77777777" w:rsidR="008C5CFA" w:rsidRPr="00BA47B4" w:rsidRDefault="008C5CFA" w:rsidP="00300A01">
            <w:pPr>
              <w:spacing w:before="0" w:after="0"/>
              <w:jc w:val="right"/>
              <w:rPr>
                <w:sz w:val="12"/>
                <w:szCs w:val="12"/>
                <w:lang w:val="fr-BE"/>
              </w:rPr>
            </w:pPr>
          </w:p>
        </w:tc>
        <w:tc>
          <w:tcPr>
            <w:tcW w:w="0" w:type="auto"/>
            <w:shd w:val="clear" w:color="auto" w:fill="auto"/>
          </w:tcPr>
          <w:p w14:paraId="12A5FE79" w14:textId="77777777" w:rsidR="008C5CFA" w:rsidRPr="00BA47B4" w:rsidRDefault="008C5CFA" w:rsidP="00300A01">
            <w:pPr>
              <w:spacing w:before="0" w:after="0"/>
              <w:jc w:val="right"/>
              <w:rPr>
                <w:sz w:val="12"/>
                <w:szCs w:val="12"/>
                <w:lang w:val="fr-BE"/>
              </w:rPr>
            </w:pPr>
          </w:p>
        </w:tc>
        <w:tc>
          <w:tcPr>
            <w:tcW w:w="0" w:type="auto"/>
            <w:shd w:val="clear" w:color="auto" w:fill="auto"/>
          </w:tcPr>
          <w:p w14:paraId="05201DFC" w14:textId="77777777" w:rsidR="008C5CFA" w:rsidRPr="00BA47B4" w:rsidRDefault="008C5CFA" w:rsidP="00300A01">
            <w:pPr>
              <w:spacing w:before="0" w:after="0"/>
              <w:jc w:val="right"/>
              <w:rPr>
                <w:sz w:val="12"/>
                <w:szCs w:val="12"/>
                <w:lang w:val="fr-BE"/>
              </w:rPr>
            </w:pPr>
          </w:p>
        </w:tc>
        <w:tc>
          <w:tcPr>
            <w:tcW w:w="0" w:type="auto"/>
            <w:shd w:val="clear" w:color="auto" w:fill="auto"/>
          </w:tcPr>
          <w:p w14:paraId="3C2AFE99"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58761A4F"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r>
    </w:tbl>
    <w:p w14:paraId="2950F7DE" w14:textId="77777777" w:rsidR="008C5CFA" w:rsidRDefault="008C5CFA" w:rsidP="00300A01">
      <w:pPr>
        <w:keepNext/>
        <w:spacing w:before="0" w:after="0"/>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37"/>
        <w:gridCol w:w="8668"/>
        <w:gridCol w:w="884"/>
        <w:gridCol w:w="596"/>
        <w:gridCol w:w="463"/>
        <w:gridCol w:w="596"/>
        <w:gridCol w:w="463"/>
        <w:gridCol w:w="596"/>
        <w:gridCol w:w="463"/>
        <w:gridCol w:w="596"/>
        <w:gridCol w:w="463"/>
        <w:gridCol w:w="596"/>
        <w:gridCol w:w="463"/>
      </w:tblGrid>
      <w:tr w:rsidR="006B2EC1" w14:paraId="5AEF146B" w14:textId="77777777" w:rsidTr="0047688D">
        <w:trPr>
          <w:tblHeader/>
        </w:trPr>
        <w:tc>
          <w:tcPr>
            <w:tcW w:w="0" w:type="auto"/>
            <w:shd w:val="clear" w:color="auto" w:fill="auto"/>
          </w:tcPr>
          <w:p w14:paraId="2241C196" w14:textId="77777777" w:rsidR="008C5CFA" w:rsidRPr="00F53019" w:rsidRDefault="00E82A60" w:rsidP="00300A01">
            <w:pPr>
              <w:spacing w:before="0" w:after="0"/>
              <w:rPr>
                <w:b/>
                <w:sz w:val="12"/>
                <w:szCs w:val="12"/>
                <w:lang w:val="fr-BE"/>
              </w:rPr>
            </w:pPr>
            <w:r w:rsidRPr="00F53019">
              <w:rPr>
                <w:b/>
                <w:noProof/>
                <w:sz w:val="12"/>
                <w:szCs w:val="12"/>
                <w:lang w:val="fr-BE"/>
              </w:rPr>
              <w:t>ID</w:t>
            </w:r>
          </w:p>
        </w:tc>
        <w:tc>
          <w:tcPr>
            <w:tcW w:w="0" w:type="auto"/>
            <w:shd w:val="clear" w:color="auto" w:fill="auto"/>
          </w:tcPr>
          <w:p w14:paraId="4FAC6B56" w14:textId="77777777" w:rsidR="008C5CFA" w:rsidRPr="00F53019" w:rsidRDefault="00E82A60" w:rsidP="00300A01">
            <w:pPr>
              <w:spacing w:before="0" w:after="0"/>
              <w:rPr>
                <w:b/>
                <w:sz w:val="12"/>
                <w:szCs w:val="12"/>
                <w:lang w:val="fr-BE"/>
              </w:rPr>
            </w:pPr>
            <w:r w:rsidRPr="00F53019">
              <w:rPr>
                <w:b/>
                <w:noProof/>
                <w:sz w:val="12"/>
                <w:szCs w:val="12"/>
                <w:lang w:val="fr-BE"/>
              </w:rPr>
              <w:t>Wskaźnik</w:t>
            </w:r>
          </w:p>
        </w:tc>
        <w:tc>
          <w:tcPr>
            <w:tcW w:w="0" w:type="auto"/>
            <w:shd w:val="clear" w:color="auto" w:fill="auto"/>
          </w:tcPr>
          <w:p w14:paraId="249EA5E6" w14:textId="77777777" w:rsidR="008C5CFA" w:rsidRPr="00F53019" w:rsidRDefault="00E82A60" w:rsidP="00300A01">
            <w:pPr>
              <w:spacing w:before="0" w:after="0"/>
              <w:rPr>
                <w:b/>
                <w:sz w:val="12"/>
                <w:szCs w:val="12"/>
                <w:lang w:val="fr-BE"/>
              </w:rPr>
            </w:pPr>
            <w:r w:rsidRPr="00F53019">
              <w:rPr>
                <w:b/>
                <w:noProof/>
                <w:sz w:val="12"/>
                <w:szCs w:val="12"/>
                <w:lang w:val="fr-BE"/>
              </w:rPr>
              <w:t>Kategoria regionu</w:t>
            </w:r>
          </w:p>
        </w:tc>
        <w:tc>
          <w:tcPr>
            <w:tcW w:w="0" w:type="auto"/>
            <w:gridSpan w:val="2"/>
          </w:tcPr>
          <w:p w14:paraId="754F325B" w14:textId="77777777" w:rsidR="008C5CFA" w:rsidRPr="00F53019" w:rsidRDefault="00E82A60" w:rsidP="00300A01">
            <w:pPr>
              <w:spacing w:before="0" w:after="0"/>
              <w:jc w:val="center"/>
              <w:rPr>
                <w:b/>
                <w:sz w:val="12"/>
                <w:szCs w:val="12"/>
                <w:lang w:val="fr-BE"/>
              </w:rPr>
            </w:pPr>
            <w:r>
              <w:rPr>
                <w:b/>
                <w:sz w:val="12"/>
                <w:szCs w:val="12"/>
                <w:lang w:val="fr-BE"/>
              </w:rPr>
              <w:t>2018</w:t>
            </w:r>
          </w:p>
        </w:tc>
        <w:tc>
          <w:tcPr>
            <w:tcW w:w="0" w:type="auto"/>
            <w:gridSpan w:val="2"/>
          </w:tcPr>
          <w:p w14:paraId="7A4BCA09" w14:textId="77777777" w:rsidR="008C5CFA" w:rsidRPr="00F53019" w:rsidRDefault="00E82A60" w:rsidP="00300A01">
            <w:pPr>
              <w:spacing w:before="0" w:after="0"/>
              <w:jc w:val="center"/>
              <w:rPr>
                <w:b/>
                <w:sz w:val="12"/>
                <w:szCs w:val="12"/>
                <w:lang w:val="fr-BE"/>
              </w:rPr>
            </w:pPr>
            <w:r>
              <w:rPr>
                <w:b/>
                <w:sz w:val="12"/>
                <w:szCs w:val="12"/>
                <w:lang w:val="fr-BE"/>
              </w:rPr>
              <w:t>2017</w:t>
            </w:r>
          </w:p>
        </w:tc>
        <w:tc>
          <w:tcPr>
            <w:tcW w:w="0" w:type="auto"/>
            <w:gridSpan w:val="2"/>
          </w:tcPr>
          <w:p w14:paraId="4892BA93" w14:textId="77777777" w:rsidR="008C5CFA" w:rsidRPr="00F53019" w:rsidRDefault="00E82A60" w:rsidP="00300A01">
            <w:pPr>
              <w:spacing w:before="0" w:after="0"/>
              <w:jc w:val="center"/>
              <w:rPr>
                <w:b/>
                <w:sz w:val="12"/>
                <w:szCs w:val="12"/>
                <w:lang w:val="fr-BE"/>
              </w:rPr>
            </w:pPr>
            <w:r>
              <w:rPr>
                <w:b/>
                <w:sz w:val="12"/>
                <w:szCs w:val="12"/>
                <w:lang w:val="fr-BE"/>
              </w:rPr>
              <w:t>2016</w:t>
            </w:r>
          </w:p>
        </w:tc>
        <w:tc>
          <w:tcPr>
            <w:tcW w:w="0" w:type="auto"/>
            <w:gridSpan w:val="2"/>
          </w:tcPr>
          <w:p w14:paraId="400C6442" w14:textId="77777777" w:rsidR="008C5CFA" w:rsidRPr="00F53019" w:rsidRDefault="00E82A60" w:rsidP="00300A01">
            <w:pPr>
              <w:spacing w:before="0" w:after="0"/>
              <w:jc w:val="center"/>
              <w:rPr>
                <w:b/>
                <w:sz w:val="12"/>
                <w:szCs w:val="12"/>
                <w:lang w:val="fr-BE"/>
              </w:rPr>
            </w:pPr>
            <w:r>
              <w:rPr>
                <w:b/>
                <w:sz w:val="12"/>
                <w:szCs w:val="12"/>
                <w:lang w:val="fr-BE"/>
              </w:rPr>
              <w:t>2015</w:t>
            </w:r>
          </w:p>
        </w:tc>
        <w:tc>
          <w:tcPr>
            <w:tcW w:w="0" w:type="auto"/>
            <w:gridSpan w:val="2"/>
            <w:shd w:val="clear" w:color="auto" w:fill="auto"/>
          </w:tcPr>
          <w:p w14:paraId="366EFD10" w14:textId="77777777" w:rsidR="008C5CFA" w:rsidRPr="00F53019" w:rsidRDefault="00E82A60" w:rsidP="00300A01">
            <w:pPr>
              <w:spacing w:before="0" w:after="0"/>
              <w:jc w:val="center"/>
              <w:rPr>
                <w:b/>
                <w:sz w:val="12"/>
                <w:szCs w:val="12"/>
                <w:lang w:val="fr-BE"/>
              </w:rPr>
            </w:pPr>
            <w:r>
              <w:rPr>
                <w:b/>
                <w:sz w:val="12"/>
                <w:szCs w:val="12"/>
                <w:lang w:val="fr-BE"/>
              </w:rPr>
              <w:t>2014</w:t>
            </w:r>
          </w:p>
        </w:tc>
      </w:tr>
      <w:tr w:rsidR="006B2EC1" w14:paraId="3A770387" w14:textId="77777777" w:rsidTr="0047688D">
        <w:trPr>
          <w:tblHeader/>
        </w:trPr>
        <w:tc>
          <w:tcPr>
            <w:tcW w:w="0" w:type="auto"/>
            <w:shd w:val="clear" w:color="auto" w:fill="auto"/>
          </w:tcPr>
          <w:p w14:paraId="20EF4343" w14:textId="77777777" w:rsidR="008C5CFA" w:rsidRPr="00F53019" w:rsidRDefault="008C5CFA" w:rsidP="00300A01">
            <w:pPr>
              <w:spacing w:before="0" w:after="0"/>
              <w:rPr>
                <w:b/>
                <w:sz w:val="12"/>
                <w:szCs w:val="12"/>
                <w:lang w:val="fr-BE"/>
              </w:rPr>
            </w:pPr>
          </w:p>
        </w:tc>
        <w:tc>
          <w:tcPr>
            <w:tcW w:w="0" w:type="auto"/>
            <w:shd w:val="clear" w:color="auto" w:fill="auto"/>
          </w:tcPr>
          <w:p w14:paraId="15F41485" w14:textId="77777777" w:rsidR="008C5CFA" w:rsidRPr="00F53019" w:rsidRDefault="008C5CFA" w:rsidP="00300A01">
            <w:pPr>
              <w:spacing w:before="0" w:after="0"/>
              <w:rPr>
                <w:b/>
                <w:sz w:val="12"/>
                <w:szCs w:val="12"/>
                <w:lang w:val="fr-BE"/>
              </w:rPr>
            </w:pPr>
          </w:p>
        </w:tc>
        <w:tc>
          <w:tcPr>
            <w:tcW w:w="0" w:type="auto"/>
            <w:shd w:val="clear" w:color="auto" w:fill="auto"/>
          </w:tcPr>
          <w:p w14:paraId="4FC3E81D" w14:textId="77777777" w:rsidR="008C5CFA" w:rsidRPr="00F53019" w:rsidRDefault="008C5CFA" w:rsidP="00300A01">
            <w:pPr>
              <w:spacing w:before="0" w:after="0"/>
              <w:rPr>
                <w:b/>
                <w:sz w:val="12"/>
                <w:szCs w:val="12"/>
                <w:lang w:val="fr-BE"/>
              </w:rPr>
            </w:pPr>
          </w:p>
        </w:tc>
        <w:tc>
          <w:tcPr>
            <w:tcW w:w="0" w:type="auto"/>
          </w:tcPr>
          <w:p w14:paraId="29AC8A69" w14:textId="77777777" w:rsidR="008C5CFA" w:rsidRPr="00F53019" w:rsidRDefault="00E82A60" w:rsidP="00300A01">
            <w:pPr>
              <w:spacing w:before="0" w:after="0"/>
              <w:jc w:val="center"/>
              <w:rPr>
                <w:b/>
                <w:sz w:val="12"/>
                <w:szCs w:val="12"/>
                <w:lang w:val="fr-BE"/>
              </w:rPr>
            </w:pPr>
            <w:r w:rsidRPr="00F53019">
              <w:rPr>
                <w:b/>
                <w:noProof/>
                <w:sz w:val="12"/>
                <w:szCs w:val="12"/>
                <w:lang w:val="fr-BE"/>
              </w:rPr>
              <w:t>Mężczyźni</w:t>
            </w:r>
          </w:p>
        </w:tc>
        <w:tc>
          <w:tcPr>
            <w:tcW w:w="0" w:type="auto"/>
          </w:tcPr>
          <w:p w14:paraId="5B46AADF" w14:textId="77777777" w:rsidR="008C5CFA" w:rsidRPr="00F53019" w:rsidRDefault="00E82A60" w:rsidP="00300A01">
            <w:pPr>
              <w:spacing w:before="0" w:after="0"/>
              <w:jc w:val="center"/>
              <w:rPr>
                <w:b/>
                <w:sz w:val="12"/>
                <w:szCs w:val="12"/>
                <w:lang w:val="fr-BE"/>
              </w:rPr>
            </w:pPr>
            <w:r w:rsidRPr="00F53019">
              <w:rPr>
                <w:b/>
                <w:noProof/>
                <w:sz w:val="12"/>
                <w:szCs w:val="12"/>
                <w:lang w:val="fr-BE"/>
              </w:rPr>
              <w:t>Kobiety</w:t>
            </w:r>
          </w:p>
        </w:tc>
        <w:tc>
          <w:tcPr>
            <w:tcW w:w="0" w:type="auto"/>
          </w:tcPr>
          <w:p w14:paraId="411606DA" w14:textId="77777777" w:rsidR="008C5CFA" w:rsidRPr="00F53019" w:rsidRDefault="00E82A60" w:rsidP="00300A01">
            <w:pPr>
              <w:spacing w:before="0" w:after="0"/>
              <w:jc w:val="center"/>
              <w:rPr>
                <w:b/>
                <w:sz w:val="12"/>
                <w:szCs w:val="12"/>
                <w:lang w:val="fr-BE"/>
              </w:rPr>
            </w:pPr>
            <w:r w:rsidRPr="00F53019">
              <w:rPr>
                <w:b/>
                <w:noProof/>
                <w:sz w:val="12"/>
                <w:szCs w:val="12"/>
                <w:lang w:val="fr-BE"/>
              </w:rPr>
              <w:t>Mężczyźni</w:t>
            </w:r>
          </w:p>
        </w:tc>
        <w:tc>
          <w:tcPr>
            <w:tcW w:w="0" w:type="auto"/>
          </w:tcPr>
          <w:p w14:paraId="0511AADF" w14:textId="77777777" w:rsidR="008C5CFA" w:rsidRPr="00F53019" w:rsidRDefault="00E82A60" w:rsidP="00300A01">
            <w:pPr>
              <w:spacing w:before="0" w:after="0"/>
              <w:jc w:val="center"/>
              <w:rPr>
                <w:b/>
                <w:sz w:val="12"/>
                <w:szCs w:val="12"/>
                <w:lang w:val="fr-BE"/>
              </w:rPr>
            </w:pPr>
            <w:r w:rsidRPr="00F53019">
              <w:rPr>
                <w:b/>
                <w:noProof/>
                <w:sz w:val="12"/>
                <w:szCs w:val="12"/>
                <w:lang w:val="fr-BE"/>
              </w:rPr>
              <w:t>Kobiety</w:t>
            </w:r>
          </w:p>
        </w:tc>
        <w:tc>
          <w:tcPr>
            <w:tcW w:w="0" w:type="auto"/>
          </w:tcPr>
          <w:p w14:paraId="11D4E00B" w14:textId="77777777" w:rsidR="008C5CFA" w:rsidRPr="00F53019" w:rsidRDefault="00E82A60" w:rsidP="00300A01">
            <w:pPr>
              <w:spacing w:before="0" w:after="0"/>
              <w:jc w:val="center"/>
              <w:rPr>
                <w:b/>
                <w:sz w:val="12"/>
                <w:szCs w:val="12"/>
                <w:lang w:val="fr-BE"/>
              </w:rPr>
            </w:pPr>
            <w:r w:rsidRPr="00F53019">
              <w:rPr>
                <w:b/>
                <w:noProof/>
                <w:sz w:val="12"/>
                <w:szCs w:val="12"/>
                <w:lang w:val="fr-BE"/>
              </w:rPr>
              <w:t>Mężczyźni</w:t>
            </w:r>
          </w:p>
        </w:tc>
        <w:tc>
          <w:tcPr>
            <w:tcW w:w="0" w:type="auto"/>
          </w:tcPr>
          <w:p w14:paraId="2EA3ADDC" w14:textId="77777777" w:rsidR="008C5CFA" w:rsidRPr="00F53019" w:rsidRDefault="00E82A60" w:rsidP="00300A01">
            <w:pPr>
              <w:spacing w:before="0" w:after="0"/>
              <w:jc w:val="center"/>
              <w:rPr>
                <w:b/>
                <w:sz w:val="12"/>
                <w:szCs w:val="12"/>
                <w:lang w:val="fr-BE"/>
              </w:rPr>
            </w:pPr>
            <w:r w:rsidRPr="00F53019">
              <w:rPr>
                <w:b/>
                <w:noProof/>
                <w:sz w:val="12"/>
                <w:szCs w:val="12"/>
                <w:lang w:val="fr-BE"/>
              </w:rPr>
              <w:t>Kobiety</w:t>
            </w:r>
          </w:p>
        </w:tc>
        <w:tc>
          <w:tcPr>
            <w:tcW w:w="0" w:type="auto"/>
          </w:tcPr>
          <w:p w14:paraId="58519CAC" w14:textId="77777777" w:rsidR="008C5CFA" w:rsidRPr="00F53019" w:rsidRDefault="00E82A60" w:rsidP="00300A01">
            <w:pPr>
              <w:spacing w:before="0" w:after="0"/>
              <w:jc w:val="center"/>
              <w:rPr>
                <w:b/>
                <w:sz w:val="12"/>
                <w:szCs w:val="12"/>
                <w:lang w:val="fr-BE"/>
              </w:rPr>
            </w:pPr>
            <w:r w:rsidRPr="00F53019">
              <w:rPr>
                <w:b/>
                <w:noProof/>
                <w:sz w:val="12"/>
                <w:szCs w:val="12"/>
                <w:lang w:val="fr-BE"/>
              </w:rPr>
              <w:t>Mężczyźni</w:t>
            </w:r>
          </w:p>
        </w:tc>
        <w:tc>
          <w:tcPr>
            <w:tcW w:w="0" w:type="auto"/>
          </w:tcPr>
          <w:p w14:paraId="4DF464D3" w14:textId="77777777" w:rsidR="008C5CFA" w:rsidRPr="00F53019" w:rsidRDefault="00E82A60" w:rsidP="00300A01">
            <w:pPr>
              <w:spacing w:before="0" w:after="0"/>
              <w:jc w:val="center"/>
              <w:rPr>
                <w:b/>
                <w:sz w:val="12"/>
                <w:szCs w:val="12"/>
                <w:lang w:val="fr-BE"/>
              </w:rPr>
            </w:pPr>
            <w:r w:rsidRPr="00F53019">
              <w:rPr>
                <w:b/>
                <w:noProof/>
                <w:sz w:val="12"/>
                <w:szCs w:val="12"/>
                <w:lang w:val="fr-BE"/>
              </w:rPr>
              <w:t>Kobiety</w:t>
            </w:r>
          </w:p>
        </w:tc>
        <w:tc>
          <w:tcPr>
            <w:tcW w:w="0" w:type="auto"/>
            <w:shd w:val="clear" w:color="auto" w:fill="auto"/>
          </w:tcPr>
          <w:p w14:paraId="33CCD389" w14:textId="77777777" w:rsidR="008C5CFA" w:rsidRPr="00F53019" w:rsidRDefault="00E82A60"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14:paraId="53DC034A" w14:textId="77777777" w:rsidR="008C5CFA" w:rsidRPr="00F53019" w:rsidRDefault="00E82A60" w:rsidP="00300A01">
            <w:pPr>
              <w:spacing w:before="0" w:after="0"/>
              <w:jc w:val="center"/>
              <w:rPr>
                <w:b/>
                <w:sz w:val="12"/>
                <w:szCs w:val="12"/>
                <w:lang w:val="fr-BE"/>
              </w:rPr>
            </w:pPr>
            <w:r w:rsidRPr="00F53019">
              <w:rPr>
                <w:b/>
                <w:noProof/>
                <w:sz w:val="12"/>
                <w:szCs w:val="12"/>
                <w:lang w:val="fr-BE"/>
              </w:rPr>
              <w:t>Kobiety</w:t>
            </w:r>
          </w:p>
        </w:tc>
      </w:tr>
      <w:tr w:rsidR="006B2EC1" w14:paraId="350050CA" w14:textId="77777777" w:rsidTr="0047688D">
        <w:tc>
          <w:tcPr>
            <w:tcW w:w="0" w:type="auto"/>
            <w:shd w:val="clear" w:color="auto" w:fill="auto"/>
          </w:tcPr>
          <w:p w14:paraId="02CF1D20" w14:textId="77777777" w:rsidR="008C5CFA" w:rsidRPr="00BA47B4" w:rsidRDefault="00E82A60" w:rsidP="00300A01">
            <w:pPr>
              <w:spacing w:before="0" w:after="0"/>
              <w:rPr>
                <w:sz w:val="12"/>
                <w:szCs w:val="12"/>
                <w:lang w:val="fr-BE"/>
              </w:rPr>
            </w:pPr>
            <w:r w:rsidRPr="00BA47B4">
              <w:rPr>
                <w:noProof/>
                <w:sz w:val="12"/>
                <w:szCs w:val="12"/>
                <w:lang w:val="fr-BE"/>
              </w:rPr>
              <w:t>CR01</w:t>
            </w:r>
          </w:p>
        </w:tc>
        <w:tc>
          <w:tcPr>
            <w:tcW w:w="0" w:type="auto"/>
            <w:shd w:val="clear" w:color="auto" w:fill="auto"/>
          </w:tcPr>
          <w:p w14:paraId="5E9D0840" w14:textId="77777777" w:rsidR="008C5CFA" w:rsidRPr="00BA47B4" w:rsidRDefault="00E82A60" w:rsidP="00300A01">
            <w:pPr>
              <w:spacing w:before="0" w:after="0"/>
              <w:rPr>
                <w:sz w:val="12"/>
                <w:szCs w:val="12"/>
                <w:lang w:val="fr-BE"/>
              </w:rPr>
            </w:pPr>
            <w:r w:rsidRPr="00BA47B4">
              <w:rPr>
                <w:noProof/>
                <w:sz w:val="12"/>
                <w:szCs w:val="12"/>
                <w:lang w:val="fr-BE"/>
              </w:rPr>
              <w:t>bierni zawodowo uczestnicy poszukujący pracy po opuszczeniu programu</w:t>
            </w:r>
          </w:p>
        </w:tc>
        <w:tc>
          <w:tcPr>
            <w:tcW w:w="0" w:type="auto"/>
            <w:shd w:val="clear" w:color="auto" w:fill="auto"/>
          </w:tcPr>
          <w:p w14:paraId="49525EDC" w14:textId="77777777" w:rsidR="008C5CFA" w:rsidRPr="00BA47B4" w:rsidRDefault="00E82A60" w:rsidP="00300A01">
            <w:pPr>
              <w:spacing w:before="0" w:after="0"/>
              <w:rPr>
                <w:sz w:val="12"/>
                <w:szCs w:val="12"/>
                <w:lang w:val="fr-BE"/>
              </w:rPr>
            </w:pPr>
            <w:r w:rsidRPr="00BA47B4">
              <w:rPr>
                <w:noProof/>
                <w:sz w:val="12"/>
                <w:szCs w:val="12"/>
                <w:lang w:val="fr-BE"/>
              </w:rPr>
              <w:t>Słabiej rozwinięte</w:t>
            </w:r>
          </w:p>
        </w:tc>
        <w:tc>
          <w:tcPr>
            <w:tcW w:w="0" w:type="auto"/>
          </w:tcPr>
          <w:p w14:paraId="780E0612"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4D0BCCCF"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58BD0D2B"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67AF2101"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44922344"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355FC3DE"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35E9DF29"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6822F49E"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200F519A"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06BA529F"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r>
      <w:tr w:rsidR="006B2EC1" w14:paraId="41BD70C0" w14:textId="77777777" w:rsidTr="0047688D">
        <w:tc>
          <w:tcPr>
            <w:tcW w:w="0" w:type="auto"/>
            <w:shd w:val="clear" w:color="auto" w:fill="auto"/>
          </w:tcPr>
          <w:p w14:paraId="6828239B" w14:textId="77777777" w:rsidR="008C5CFA" w:rsidRPr="00BA47B4" w:rsidRDefault="00E82A60" w:rsidP="00300A01">
            <w:pPr>
              <w:spacing w:before="0" w:after="0"/>
              <w:rPr>
                <w:sz w:val="12"/>
                <w:szCs w:val="12"/>
                <w:lang w:val="fr-BE"/>
              </w:rPr>
            </w:pPr>
            <w:r w:rsidRPr="00BA47B4">
              <w:rPr>
                <w:noProof/>
                <w:sz w:val="12"/>
                <w:szCs w:val="12"/>
                <w:lang w:val="fr-BE"/>
              </w:rPr>
              <w:t>CR02</w:t>
            </w:r>
          </w:p>
        </w:tc>
        <w:tc>
          <w:tcPr>
            <w:tcW w:w="0" w:type="auto"/>
            <w:shd w:val="clear" w:color="auto" w:fill="auto"/>
          </w:tcPr>
          <w:p w14:paraId="66EAE36C" w14:textId="77777777" w:rsidR="008C5CFA" w:rsidRPr="00BA47B4" w:rsidRDefault="00E82A60" w:rsidP="00300A01">
            <w:pPr>
              <w:spacing w:before="0" w:after="0"/>
              <w:rPr>
                <w:sz w:val="12"/>
                <w:szCs w:val="12"/>
                <w:lang w:val="fr-BE"/>
              </w:rPr>
            </w:pPr>
            <w:r w:rsidRPr="00BA47B4">
              <w:rPr>
                <w:noProof/>
                <w:sz w:val="12"/>
                <w:szCs w:val="12"/>
                <w:lang w:val="fr-BE"/>
              </w:rPr>
              <w:t>uczestnicy kształcący lub szkolący się po opuszczeniu programu</w:t>
            </w:r>
          </w:p>
        </w:tc>
        <w:tc>
          <w:tcPr>
            <w:tcW w:w="0" w:type="auto"/>
            <w:shd w:val="clear" w:color="auto" w:fill="auto"/>
          </w:tcPr>
          <w:p w14:paraId="5C239893" w14:textId="77777777" w:rsidR="008C5CFA" w:rsidRPr="00BA47B4" w:rsidRDefault="00E82A60" w:rsidP="00300A01">
            <w:pPr>
              <w:spacing w:before="0" w:after="0"/>
              <w:rPr>
                <w:sz w:val="12"/>
                <w:szCs w:val="12"/>
                <w:lang w:val="fr-BE"/>
              </w:rPr>
            </w:pPr>
            <w:r w:rsidRPr="00BA47B4">
              <w:rPr>
                <w:noProof/>
                <w:sz w:val="12"/>
                <w:szCs w:val="12"/>
                <w:lang w:val="fr-BE"/>
              </w:rPr>
              <w:t>Słabiej rozwinięte</w:t>
            </w:r>
          </w:p>
        </w:tc>
        <w:tc>
          <w:tcPr>
            <w:tcW w:w="0" w:type="auto"/>
          </w:tcPr>
          <w:p w14:paraId="5CA12048" w14:textId="77777777" w:rsidR="008C5CFA" w:rsidRPr="00BA47B4" w:rsidRDefault="00E82A60" w:rsidP="00300A01">
            <w:pPr>
              <w:spacing w:before="0" w:after="0"/>
              <w:jc w:val="right"/>
              <w:rPr>
                <w:sz w:val="12"/>
                <w:szCs w:val="12"/>
                <w:lang w:val="fr-BE"/>
              </w:rPr>
            </w:pPr>
            <w:r w:rsidRPr="00BA47B4">
              <w:rPr>
                <w:noProof/>
                <w:sz w:val="12"/>
                <w:szCs w:val="12"/>
                <w:lang w:val="fr-BE"/>
              </w:rPr>
              <w:t>18,00</w:t>
            </w:r>
          </w:p>
        </w:tc>
        <w:tc>
          <w:tcPr>
            <w:tcW w:w="0" w:type="auto"/>
          </w:tcPr>
          <w:p w14:paraId="2C60650A" w14:textId="77777777" w:rsidR="008C5CFA" w:rsidRPr="00BA47B4" w:rsidRDefault="00E82A60" w:rsidP="00300A01">
            <w:pPr>
              <w:spacing w:before="0" w:after="0"/>
              <w:jc w:val="right"/>
              <w:rPr>
                <w:sz w:val="12"/>
                <w:szCs w:val="12"/>
                <w:lang w:val="fr-BE"/>
              </w:rPr>
            </w:pPr>
            <w:r w:rsidRPr="00BA47B4">
              <w:rPr>
                <w:noProof/>
                <w:sz w:val="12"/>
                <w:szCs w:val="12"/>
                <w:lang w:val="fr-BE"/>
              </w:rPr>
              <w:t>36,00</w:t>
            </w:r>
          </w:p>
        </w:tc>
        <w:tc>
          <w:tcPr>
            <w:tcW w:w="0" w:type="auto"/>
          </w:tcPr>
          <w:p w14:paraId="09110648" w14:textId="77777777" w:rsidR="008C5CFA" w:rsidRPr="00BA47B4" w:rsidRDefault="00E82A60" w:rsidP="00300A01">
            <w:pPr>
              <w:spacing w:before="0" w:after="0"/>
              <w:jc w:val="right"/>
              <w:rPr>
                <w:sz w:val="12"/>
                <w:szCs w:val="12"/>
                <w:lang w:val="fr-BE"/>
              </w:rPr>
            </w:pPr>
            <w:r w:rsidRPr="00BA47B4">
              <w:rPr>
                <w:noProof/>
                <w:sz w:val="12"/>
                <w:szCs w:val="12"/>
                <w:lang w:val="fr-BE"/>
              </w:rPr>
              <w:t>15,00</w:t>
            </w:r>
          </w:p>
        </w:tc>
        <w:tc>
          <w:tcPr>
            <w:tcW w:w="0" w:type="auto"/>
          </w:tcPr>
          <w:p w14:paraId="6D2A9CDE" w14:textId="77777777" w:rsidR="008C5CFA" w:rsidRPr="00BA47B4" w:rsidRDefault="00E82A60" w:rsidP="00300A01">
            <w:pPr>
              <w:spacing w:before="0" w:after="0"/>
              <w:jc w:val="right"/>
              <w:rPr>
                <w:sz w:val="12"/>
                <w:szCs w:val="12"/>
                <w:lang w:val="fr-BE"/>
              </w:rPr>
            </w:pPr>
            <w:r w:rsidRPr="00BA47B4">
              <w:rPr>
                <w:noProof/>
                <w:sz w:val="12"/>
                <w:szCs w:val="12"/>
                <w:lang w:val="fr-BE"/>
              </w:rPr>
              <w:t>13,00</w:t>
            </w:r>
          </w:p>
        </w:tc>
        <w:tc>
          <w:tcPr>
            <w:tcW w:w="0" w:type="auto"/>
          </w:tcPr>
          <w:p w14:paraId="16D0F101"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68BA6CAE"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52E84DB0"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34F94A28"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5A9EA59D"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13446403"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r>
      <w:tr w:rsidR="006B2EC1" w14:paraId="4C77E919" w14:textId="77777777" w:rsidTr="0047688D">
        <w:tc>
          <w:tcPr>
            <w:tcW w:w="0" w:type="auto"/>
            <w:shd w:val="clear" w:color="auto" w:fill="auto"/>
          </w:tcPr>
          <w:p w14:paraId="1B9B4F4B" w14:textId="77777777" w:rsidR="008C5CFA" w:rsidRPr="00BA47B4" w:rsidRDefault="00E82A60" w:rsidP="00300A01">
            <w:pPr>
              <w:spacing w:before="0" w:after="0"/>
              <w:rPr>
                <w:sz w:val="12"/>
                <w:szCs w:val="12"/>
                <w:lang w:val="fr-BE"/>
              </w:rPr>
            </w:pPr>
            <w:r w:rsidRPr="00BA47B4">
              <w:rPr>
                <w:noProof/>
                <w:sz w:val="12"/>
                <w:szCs w:val="12"/>
                <w:lang w:val="fr-BE"/>
              </w:rPr>
              <w:t>CR03</w:t>
            </w:r>
          </w:p>
        </w:tc>
        <w:tc>
          <w:tcPr>
            <w:tcW w:w="0" w:type="auto"/>
            <w:shd w:val="clear" w:color="auto" w:fill="auto"/>
          </w:tcPr>
          <w:p w14:paraId="303DA60C" w14:textId="77777777" w:rsidR="008C5CFA" w:rsidRPr="00BA47B4" w:rsidRDefault="00E82A60" w:rsidP="00300A01">
            <w:pPr>
              <w:spacing w:before="0" w:after="0"/>
              <w:rPr>
                <w:sz w:val="12"/>
                <w:szCs w:val="12"/>
                <w:lang w:val="fr-BE"/>
              </w:rPr>
            </w:pPr>
            <w:r w:rsidRPr="00BA47B4">
              <w:rPr>
                <w:noProof/>
                <w:sz w:val="12"/>
                <w:szCs w:val="12"/>
                <w:lang w:val="fr-BE"/>
              </w:rPr>
              <w:t>uczestnicy uzyskujący kwalifikacje po opuszczeniu programu</w:t>
            </w:r>
          </w:p>
        </w:tc>
        <w:tc>
          <w:tcPr>
            <w:tcW w:w="0" w:type="auto"/>
            <w:shd w:val="clear" w:color="auto" w:fill="auto"/>
          </w:tcPr>
          <w:p w14:paraId="4817DDDF" w14:textId="77777777" w:rsidR="008C5CFA" w:rsidRPr="00BA47B4" w:rsidRDefault="00E82A60" w:rsidP="00300A01">
            <w:pPr>
              <w:spacing w:before="0" w:after="0"/>
              <w:rPr>
                <w:sz w:val="12"/>
                <w:szCs w:val="12"/>
                <w:lang w:val="fr-BE"/>
              </w:rPr>
            </w:pPr>
            <w:r w:rsidRPr="00BA47B4">
              <w:rPr>
                <w:noProof/>
                <w:sz w:val="12"/>
                <w:szCs w:val="12"/>
                <w:lang w:val="fr-BE"/>
              </w:rPr>
              <w:t>Słabiej rozwinięte</w:t>
            </w:r>
          </w:p>
        </w:tc>
        <w:tc>
          <w:tcPr>
            <w:tcW w:w="0" w:type="auto"/>
          </w:tcPr>
          <w:p w14:paraId="56A780BD" w14:textId="77777777" w:rsidR="008C5CFA" w:rsidRPr="00BA47B4" w:rsidRDefault="00E82A60" w:rsidP="00300A01">
            <w:pPr>
              <w:spacing w:before="0" w:after="0"/>
              <w:jc w:val="right"/>
              <w:rPr>
                <w:sz w:val="12"/>
                <w:szCs w:val="12"/>
                <w:lang w:val="fr-BE"/>
              </w:rPr>
            </w:pPr>
            <w:r w:rsidRPr="00BA47B4">
              <w:rPr>
                <w:noProof/>
                <w:sz w:val="12"/>
                <w:szCs w:val="12"/>
                <w:lang w:val="fr-BE"/>
              </w:rPr>
              <w:t>17,00</w:t>
            </w:r>
          </w:p>
        </w:tc>
        <w:tc>
          <w:tcPr>
            <w:tcW w:w="0" w:type="auto"/>
          </w:tcPr>
          <w:p w14:paraId="7302AC7F" w14:textId="77777777" w:rsidR="008C5CFA" w:rsidRPr="00BA47B4" w:rsidRDefault="00E82A60" w:rsidP="00300A01">
            <w:pPr>
              <w:spacing w:before="0" w:after="0"/>
              <w:jc w:val="right"/>
              <w:rPr>
                <w:sz w:val="12"/>
                <w:szCs w:val="12"/>
                <w:lang w:val="fr-BE"/>
              </w:rPr>
            </w:pPr>
            <w:r w:rsidRPr="00BA47B4">
              <w:rPr>
                <w:noProof/>
                <w:sz w:val="12"/>
                <w:szCs w:val="12"/>
                <w:lang w:val="fr-BE"/>
              </w:rPr>
              <w:t>84,00</w:t>
            </w:r>
          </w:p>
        </w:tc>
        <w:tc>
          <w:tcPr>
            <w:tcW w:w="0" w:type="auto"/>
          </w:tcPr>
          <w:p w14:paraId="48A07C2C" w14:textId="77777777" w:rsidR="008C5CFA" w:rsidRPr="00BA47B4" w:rsidRDefault="00E82A60" w:rsidP="00300A01">
            <w:pPr>
              <w:spacing w:before="0" w:after="0"/>
              <w:jc w:val="right"/>
              <w:rPr>
                <w:sz w:val="12"/>
                <w:szCs w:val="12"/>
                <w:lang w:val="fr-BE"/>
              </w:rPr>
            </w:pPr>
            <w:r w:rsidRPr="00BA47B4">
              <w:rPr>
                <w:noProof/>
                <w:sz w:val="12"/>
                <w:szCs w:val="12"/>
                <w:lang w:val="fr-BE"/>
              </w:rPr>
              <w:t>2,00</w:t>
            </w:r>
          </w:p>
        </w:tc>
        <w:tc>
          <w:tcPr>
            <w:tcW w:w="0" w:type="auto"/>
          </w:tcPr>
          <w:p w14:paraId="4FC87D86" w14:textId="77777777" w:rsidR="008C5CFA" w:rsidRPr="00BA47B4" w:rsidRDefault="00E82A60" w:rsidP="00300A01">
            <w:pPr>
              <w:spacing w:before="0" w:after="0"/>
              <w:jc w:val="right"/>
              <w:rPr>
                <w:sz w:val="12"/>
                <w:szCs w:val="12"/>
                <w:lang w:val="fr-BE"/>
              </w:rPr>
            </w:pPr>
            <w:r w:rsidRPr="00BA47B4">
              <w:rPr>
                <w:noProof/>
                <w:sz w:val="12"/>
                <w:szCs w:val="12"/>
                <w:lang w:val="fr-BE"/>
              </w:rPr>
              <w:t>38,00</w:t>
            </w:r>
          </w:p>
        </w:tc>
        <w:tc>
          <w:tcPr>
            <w:tcW w:w="0" w:type="auto"/>
          </w:tcPr>
          <w:p w14:paraId="598459D7" w14:textId="77777777" w:rsidR="008C5CFA" w:rsidRPr="00BA47B4" w:rsidRDefault="00E82A60" w:rsidP="00300A01">
            <w:pPr>
              <w:spacing w:before="0" w:after="0"/>
              <w:jc w:val="right"/>
              <w:rPr>
                <w:sz w:val="12"/>
                <w:szCs w:val="12"/>
                <w:lang w:val="fr-BE"/>
              </w:rPr>
            </w:pPr>
            <w:r w:rsidRPr="00BA47B4">
              <w:rPr>
                <w:noProof/>
                <w:sz w:val="12"/>
                <w:szCs w:val="12"/>
                <w:lang w:val="fr-BE"/>
              </w:rPr>
              <w:t>3,00</w:t>
            </w:r>
          </w:p>
        </w:tc>
        <w:tc>
          <w:tcPr>
            <w:tcW w:w="0" w:type="auto"/>
          </w:tcPr>
          <w:p w14:paraId="457776FB" w14:textId="77777777" w:rsidR="008C5CFA" w:rsidRPr="00BA47B4" w:rsidRDefault="00E82A60" w:rsidP="00300A01">
            <w:pPr>
              <w:spacing w:before="0" w:after="0"/>
              <w:jc w:val="right"/>
              <w:rPr>
                <w:sz w:val="12"/>
                <w:szCs w:val="12"/>
                <w:lang w:val="fr-BE"/>
              </w:rPr>
            </w:pPr>
            <w:r w:rsidRPr="00BA47B4">
              <w:rPr>
                <w:noProof/>
                <w:sz w:val="12"/>
                <w:szCs w:val="12"/>
                <w:lang w:val="fr-BE"/>
              </w:rPr>
              <w:t>22,00</w:t>
            </w:r>
          </w:p>
        </w:tc>
        <w:tc>
          <w:tcPr>
            <w:tcW w:w="0" w:type="auto"/>
          </w:tcPr>
          <w:p w14:paraId="131C47EA"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3EFF8F7C"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6D3059B7"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72EEC13B"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r>
      <w:tr w:rsidR="006B2EC1" w14:paraId="60B47BFC" w14:textId="77777777" w:rsidTr="0047688D">
        <w:tc>
          <w:tcPr>
            <w:tcW w:w="0" w:type="auto"/>
            <w:shd w:val="clear" w:color="auto" w:fill="auto"/>
          </w:tcPr>
          <w:p w14:paraId="2F3636E1" w14:textId="77777777" w:rsidR="008C5CFA" w:rsidRPr="00BA47B4" w:rsidRDefault="00E82A60" w:rsidP="00300A01">
            <w:pPr>
              <w:spacing w:before="0" w:after="0"/>
              <w:rPr>
                <w:sz w:val="12"/>
                <w:szCs w:val="12"/>
                <w:lang w:val="fr-BE"/>
              </w:rPr>
            </w:pPr>
            <w:r w:rsidRPr="00BA47B4">
              <w:rPr>
                <w:noProof/>
                <w:sz w:val="12"/>
                <w:szCs w:val="12"/>
                <w:lang w:val="fr-BE"/>
              </w:rPr>
              <w:t>CR04</w:t>
            </w:r>
          </w:p>
        </w:tc>
        <w:tc>
          <w:tcPr>
            <w:tcW w:w="0" w:type="auto"/>
            <w:shd w:val="clear" w:color="auto" w:fill="auto"/>
          </w:tcPr>
          <w:p w14:paraId="4DE42490" w14:textId="77777777" w:rsidR="008C5CFA" w:rsidRPr="00BA47B4" w:rsidRDefault="00E82A60" w:rsidP="00300A01">
            <w:pPr>
              <w:spacing w:before="0" w:after="0"/>
              <w:rPr>
                <w:sz w:val="12"/>
                <w:szCs w:val="12"/>
                <w:lang w:val="fr-BE"/>
              </w:rPr>
            </w:pPr>
            <w:r w:rsidRPr="00BA47B4">
              <w:rPr>
                <w:noProof/>
                <w:sz w:val="12"/>
                <w:szCs w:val="12"/>
                <w:lang w:val="fr-BE"/>
              </w:rPr>
              <w:t>uczestnicy pracujący, łącznie z prowadzącymi działalność na własny rachunek, po opuszczeniu programu</w:t>
            </w:r>
          </w:p>
        </w:tc>
        <w:tc>
          <w:tcPr>
            <w:tcW w:w="0" w:type="auto"/>
            <w:shd w:val="clear" w:color="auto" w:fill="auto"/>
          </w:tcPr>
          <w:p w14:paraId="445B8573" w14:textId="77777777" w:rsidR="008C5CFA" w:rsidRPr="00BA47B4" w:rsidRDefault="00E82A60" w:rsidP="00300A01">
            <w:pPr>
              <w:spacing w:before="0" w:after="0"/>
              <w:rPr>
                <w:sz w:val="12"/>
                <w:szCs w:val="12"/>
                <w:lang w:val="fr-BE"/>
              </w:rPr>
            </w:pPr>
            <w:r w:rsidRPr="00BA47B4">
              <w:rPr>
                <w:noProof/>
                <w:sz w:val="12"/>
                <w:szCs w:val="12"/>
                <w:lang w:val="fr-BE"/>
              </w:rPr>
              <w:t>Słabiej rozwinięte</w:t>
            </w:r>
          </w:p>
        </w:tc>
        <w:tc>
          <w:tcPr>
            <w:tcW w:w="0" w:type="auto"/>
          </w:tcPr>
          <w:p w14:paraId="061B5E27"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62F7BBAF"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54E80748"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646C45C6"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28BD96FF"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0C5674DB"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6BCD9C38"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49EF060E"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71C82EB6"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27B4DDFA"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r>
      <w:tr w:rsidR="006B2EC1" w14:paraId="4A003760" w14:textId="77777777" w:rsidTr="0047688D">
        <w:tc>
          <w:tcPr>
            <w:tcW w:w="0" w:type="auto"/>
            <w:shd w:val="clear" w:color="auto" w:fill="auto"/>
          </w:tcPr>
          <w:p w14:paraId="07056D49" w14:textId="77777777" w:rsidR="008C5CFA" w:rsidRPr="00BA47B4" w:rsidRDefault="00E82A60" w:rsidP="00300A01">
            <w:pPr>
              <w:spacing w:before="0" w:after="0"/>
              <w:rPr>
                <w:sz w:val="12"/>
                <w:szCs w:val="12"/>
                <w:lang w:val="fr-BE"/>
              </w:rPr>
            </w:pPr>
            <w:r w:rsidRPr="00BA47B4">
              <w:rPr>
                <w:noProof/>
                <w:sz w:val="12"/>
                <w:szCs w:val="12"/>
                <w:lang w:val="fr-BE"/>
              </w:rPr>
              <w:t>CR05</w:t>
            </w:r>
          </w:p>
        </w:tc>
        <w:tc>
          <w:tcPr>
            <w:tcW w:w="0" w:type="auto"/>
            <w:shd w:val="clear" w:color="auto" w:fill="auto"/>
          </w:tcPr>
          <w:p w14:paraId="763E2ADC" w14:textId="77777777" w:rsidR="008C5CFA" w:rsidRPr="00BA47B4" w:rsidRDefault="00E82A60" w:rsidP="00300A01">
            <w:pPr>
              <w:spacing w:before="0" w:after="0"/>
              <w:rPr>
                <w:sz w:val="12"/>
                <w:szCs w:val="12"/>
                <w:lang w:val="fr-BE"/>
              </w:rPr>
            </w:pPr>
            <w:r w:rsidRPr="00BA47B4">
              <w:rPr>
                <w:noProof/>
                <w:sz w:val="12"/>
                <w:szCs w:val="12"/>
                <w:lang w:val="fr-BE"/>
              </w:rPr>
              <w:t>uczestnicy w niekorzystnej sytuacji społecznej poszukujący pracy, uczestniczący w kształceniu lub szkoleniu, zdobywający kwalifikacje lub pracujący (łącznie z prowadzącymi działalność na własny rachunek) po opuszczeniu programu</w:t>
            </w:r>
          </w:p>
        </w:tc>
        <w:tc>
          <w:tcPr>
            <w:tcW w:w="0" w:type="auto"/>
            <w:shd w:val="clear" w:color="auto" w:fill="auto"/>
          </w:tcPr>
          <w:p w14:paraId="49FF339B" w14:textId="77777777" w:rsidR="008C5CFA" w:rsidRPr="00BA47B4" w:rsidRDefault="00E82A60" w:rsidP="00300A01">
            <w:pPr>
              <w:spacing w:before="0" w:after="0"/>
              <w:rPr>
                <w:sz w:val="12"/>
                <w:szCs w:val="12"/>
                <w:lang w:val="fr-BE"/>
              </w:rPr>
            </w:pPr>
            <w:r w:rsidRPr="00BA47B4">
              <w:rPr>
                <w:noProof/>
                <w:sz w:val="12"/>
                <w:szCs w:val="12"/>
                <w:lang w:val="fr-BE"/>
              </w:rPr>
              <w:t>Słabiej rozwinięte</w:t>
            </w:r>
          </w:p>
        </w:tc>
        <w:tc>
          <w:tcPr>
            <w:tcW w:w="0" w:type="auto"/>
          </w:tcPr>
          <w:p w14:paraId="5E6B9A8C" w14:textId="77777777" w:rsidR="008C5CFA" w:rsidRPr="00BA47B4" w:rsidRDefault="00E82A60" w:rsidP="00300A01">
            <w:pPr>
              <w:spacing w:before="0" w:after="0"/>
              <w:jc w:val="right"/>
              <w:rPr>
                <w:sz w:val="12"/>
                <w:szCs w:val="12"/>
                <w:lang w:val="fr-BE"/>
              </w:rPr>
            </w:pPr>
            <w:r w:rsidRPr="00BA47B4">
              <w:rPr>
                <w:noProof/>
                <w:sz w:val="12"/>
                <w:szCs w:val="12"/>
                <w:lang w:val="fr-BE"/>
              </w:rPr>
              <w:t>7,00</w:t>
            </w:r>
          </w:p>
        </w:tc>
        <w:tc>
          <w:tcPr>
            <w:tcW w:w="0" w:type="auto"/>
          </w:tcPr>
          <w:p w14:paraId="6114D382" w14:textId="77777777" w:rsidR="008C5CFA" w:rsidRPr="00BA47B4" w:rsidRDefault="00E82A60" w:rsidP="00300A01">
            <w:pPr>
              <w:spacing w:before="0" w:after="0"/>
              <w:jc w:val="right"/>
              <w:rPr>
                <w:sz w:val="12"/>
                <w:szCs w:val="12"/>
                <w:lang w:val="fr-BE"/>
              </w:rPr>
            </w:pPr>
            <w:r w:rsidRPr="00BA47B4">
              <w:rPr>
                <w:noProof/>
                <w:sz w:val="12"/>
                <w:szCs w:val="12"/>
                <w:lang w:val="fr-BE"/>
              </w:rPr>
              <w:t>24,00</w:t>
            </w:r>
          </w:p>
        </w:tc>
        <w:tc>
          <w:tcPr>
            <w:tcW w:w="0" w:type="auto"/>
          </w:tcPr>
          <w:p w14:paraId="77031C95" w14:textId="77777777" w:rsidR="008C5CFA" w:rsidRPr="00BA47B4" w:rsidRDefault="00E82A60" w:rsidP="00300A01">
            <w:pPr>
              <w:spacing w:before="0" w:after="0"/>
              <w:jc w:val="right"/>
              <w:rPr>
                <w:sz w:val="12"/>
                <w:szCs w:val="12"/>
                <w:lang w:val="fr-BE"/>
              </w:rPr>
            </w:pPr>
            <w:r w:rsidRPr="00BA47B4">
              <w:rPr>
                <w:noProof/>
                <w:sz w:val="12"/>
                <w:szCs w:val="12"/>
                <w:lang w:val="fr-BE"/>
              </w:rPr>
              <w:t>11,00</w:t>
            </w:r>
          </w:p>
        </w:tc>
        <w:tc>
          <w:tcPr>
            <w:tcW w:w="0" w:type="auto"/>
          </w:tcPr>
          <w:p w14:paraId="4D6C71B8" w14:textId="77777777" w:rsidR="008C5CFA" w:rsidRPr="00BA47B4" w:rsidRDefault="00E82A60" w:rsidP="00300A01">
            <w:pPr>
              <w:spacing w:before="0" w:after="0"/>
              <w:jc w:val="right"/>
              <w:rPr>
                <w:sz w:val="12"/>
                <w:szCs w:val="12"/>
                <w:lang w:val="fr-BE"/>
              </w:rPr>
            </w:pPr>
            <w:r w:rsidRPr="00BA47B4">
              <w:rPr>
                <w:noProof/>
                <w:sz w:val="12"/>
                <w:szCs w:val="12"/>
                <w:lang w:val="fr-BE"/>
              </w:rPr>
              <w:t>9,00</w:t>
            </w:r>
          </w:p>
        </w:tc>
        <w:tc>
          <w:tcPr>
            <w:tcW w:w="0" w:type="auto"/>
          </w:tcPr>
          <w:p w14:paraId="545387C5"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238C67EF" w14:textId="77777777" w:rsidR="008C5CFA" w:rsidRPr="00BA47B4" w:rsidRDefault="00E82A60" w:rsidP="00300A01">
            <w:pPr>
              <w:spacing w:before="0" w:after="0"/>
              <w:jc w:val="right"/>
              <w:rPr>
                <w:sz w:val="12"/>
                <w:szCs w:val="12"/>
                <w:lang w:val="fr-BE"/>
              </w:rPr>
            </w:pPr>
            <w:r w:rsidRPr="00BA47B4">
              <w:rPr>
                <w:noProof/>
                <w:sz w:val="12"/>
                <w:szCs w:val="12"/>
                <w:lang w:val="fr-BE"/>
              </w:rPr>
              <w:t>1,00</w:t>
            </w:r>
          </w:p>
        </w:tc>
        <w:tc>
          <w:tcPr>
            <w:tcW w:w="0" w:type="auto"/>
          </w:tcPr>
          <w:p w14:paraId="5C7C0DB8"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1E273A24"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61EE38F0"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0B0B426E"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r>
      <w:tr w:rsidR="006B2EC1" w14:paraId="18AFCB48" w14:textId="77777777" w:rsidTr="0047688D">
        <w:tc>
          <w:tcPr>
            <w:tcW w:w="0" w:type="auto"/>
            <w:shd w:val="clear" w:color="auto" w:fill="auto"/>
          </w:tcPr>
          <w:p w14:paraId="0559274F" w14:textId="77777777" w:rsidR="008C5CFA" w:rsidRPr="00BA47B4" w:rsidRDefault="00E82A60" w:rsidP="00300A01">
            <w:pPr>
              <w:spacing w:before="0" w:after="0"/>
              <w:rPr>
                <w:sz w:val="12"/>
                <w:szCs w:val="12"/>
                <w:lang w:val="fr-BE"/>
              </w:rPr>
            </w:pPr>
            <w:r w:rsidRPr="00BA47B4">
              <w:rPr>
                <w:noProof/>
                <w:sz w:val="12"/>
                <w:szCs w:val="12"/>
                <w:lang w:val="fr-BE"/>
              </w:rPr>
              <w:t>CR06</w:t>
            </w:r>
          </w:p>
        </w:tc>
        <w:tc>
          <w:tcPr>
            <w:tcW w:w="0" w:type="auto"/>
            <w:shd w:val="clear" w:color="auto" w:fill="auto"/>
          </w:tcPr>
          <w:p w14:paraId="4845B579" w14:textId="77777777" w:rsidR="008C5CFA" w:rsidRPr="00BA47B4" w:rsidRDefault="00E82A60" w:rsidP="00300A01">
            <w:pPr>
              <w:spacing w:before="0" w:after="0"/>
              <w:rPr>
                <w:sz w:val="12"/>
                <w:szCs w:val="12"/>
                <w:lang w:val="fr-BE"/>
              </w:rPr>
            </w:pPr>
            <w:r w:rsidRPr="00BA47B4">
              <w:rPr>
                <w:noProof/>
                <w:sz w:val="12"/>
                <w:szCs w:val="12"/>
                <w:lang w:val="fr-BE"/>
              </w:rPr>
              <w:t>uczestnicy pracujący, łącznie z prowadzącymi działalność na własny rachunek, sześć miesięcy po opuszczeniu programu</w:t>
            </w:r>
          </w:p>
        </w:tc>
        <w:tc>
          <w:tcPr>
            <w:tcW w:w="0" w:type="auto"/>
            <w:shd w:val="clear" w:color="auto" w:fill="auto"/>
          </w:tcPr>
          <w:p w14:paraId="354FD081" w14:textId="77777777" w:rsidR="008C5CFA" w:rsidRPr="00BA47B4" w:rsidRDefault="00E82A60" w:rsidP="00300A01">
            <w:pPr>
              <w:spacing w:before="0" w:after="0"/>
              <w:rPr>
                <w:sz w:val="12"/>
                <w:szCs w:val="12"/>
                <w:lang w:val="fr-BE"/>
              </w:rPr>
            </w:pPr>
            <w:r w:rsidRPr="00BA47B4">
              <w:rPr>
                <w:noProof/>
                <w:sz w:val="12"/>
                <w:szCs w:val="12"/>
                <w:lang w:val="fr-BE"/>
              </w:rPr>
              <w:t>Słabiej rozwinięte</w:t>
            </w:r>
          </w:p>
        </w:tc>
        <w:tc>
          <w:tcPr>
            <w:tcW w:w="0" w:type="auto"/>
          </w:tcPr>
          <w:p w14:paraId="51FEADC5" w14:textId="77777777" w:rsidR="008C5CFA" w:rsidRPr="00BA47B4" w:rsidRDefault="00E82A60" w:rsidP="00300A01">
            <w:pPr>
              <w:spacing w:before="0" w:after="0"/>
              <w:jc w:val="right"/>
              <w:rPr>
                <w:sz w:val="12"/>
                <w:szCs w:val="12"/>
                <w:lang w:val="fr-BE"/>
              </w:rPr>
            </w:pPr>
            <w:r w:rsidRPr="00BA47B4">
              <w:rPr>
                <w:noProof/>
                <w:sz w:val="12"/>
                <w:szCs w:val="12"/>
                <w:lang w:val="fr-BE"/>
              </w:rPr>
              <w:t>96,00</w:t>
            </w:r>
          </w:p>
        </w:tc>
        <w:tc>
          <w:tcPr>
            <w:tcW w:w="0" w:type="auto"/>
          </w:tcPr>
          <w:p w14:paraId="325D2E4B" w14:textId="77777777" w:rsidR="008C5CFA" w:rsidRPr="00BA47B4" w:rsidRDefault="00E82A60" w:rsidP="00300A01">
            <w:pPr>
              <w:spacing w:before="0" w:after="0"/>
              <w:jc w:val="right"/>
              <w:rPr>
                <w:sz w:val="12"/>
                <w:szCs w:val="12"/>
                <w:lang w:val="fr-BE"/>
              </w:rPr>
            </w:pPr>
            <w:r w:rsidRPr="00BA47B4">
              <w:rPr>
                <w:noProof/>
                <w:sz w:val="12"/>
                <w:szCs w:val="12"/>
                <w:lang w:val="fr-BE"/>
              </w:rPr>
              <w:t>100,00</w:t>
            </w:r>
          </w:p>
        </w:tc>
        <w:tc>
          <w:tcPr>
            <w:tcW w:w="0" w:type="auto"/>
          </w:tcPr>
          <w:p w14:paraId="3BC5B0EA"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2A20C74B"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468A4A42"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424FA0CA"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03D844EC"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1AD8B58D"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06B9B552"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1D6DCF20"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r>
      <w:tr w:rsidR="006B2EC1" w14:paraId="48E2BD1D" w14:textId="77777777" w:rsidTr="0047688D">
        <w:tc>
          <w:tcPr>
            <w:tcW w:w="0" w:type="auto"/>
            <w:shd w:val="clear" w:color="auto" w:fill="auto"/>
          </w:tcPr>
          <w:p w14:paraId="2B1635AA" w14:textId="77777777" w:rsidR="008C5CFA" w:rsidRPr="00BA47B4" w:rsidRDefault="00E82A60" w:rsidP="00300A01">
            <w:pPr>
              <w:spacing w:before="0" w:after="0"/>
              <w:rPr>
                <w:sz w:val="12"/>
                <w:szCs w:val="12"/>
                <w:lang w:val="fr-BE"/>
              </w:rPr>
            </w:pPr>
            <w:r w:rsidRPr="00BA47B4">
              <w:rPr>
                <w:noProof/>
                <w:sz w:val="12"/>
                <w:szCs w:val="12"/>
                <w:lang w:val="fr-BE"/>
              </w:rPr>
              <w:t>CR07</w:t>
            </w:r>
          </w:p>
        </w:tc>
        <w:tc>
          <w:tcPr>
            <w:tcW w:w="0" w:type="auto"/>
            <w:shd w:val="clear" w:color="auto" w:fill="auto"/>
          </w:tcPr>
          <w:p w14:paraId="0E15908E" w14:textId="77777777" w:rsidR="008C5CFA" w:rsidRPr="00BA47B4" w:rsidRDefault="00E82A60" w:rsidP="00300A01">
            <w:pPr>
              <w:spacing w:before="0" w:after="0"/>
              <w:rPr>
                <w:sz w:val="12"/>
                <w:szCs w:val="12"/>
                <w:lang w:val="fr-BE"/>
              </w:rPr>
            </w:pPr>
            <w:r w:rsidRPr="00BA47B4">
              <w:rPr>
                <w:noProof/>
                <w:sz w:val="12"/>
                <w:szCs w:val="12"/>
                <w:lang w:val="fr-BE"/>
              </w:rPr>
              <w:t>uczestnicy znajdujący się w lepszej sytuacji na rynku pracy sześć miesięcy po opuszczeniu programu</w:t>
            </w:r>
          </w:p>
        </w:tc>
        <w:tc>
          <w:tcPr>
            <w:tcW w:w="0" w:type="auto"/>
            <w:shd w:val="clear" w:color="auto" w:fill="auto"/>
          </w:tcPr>
          <w:p w14:paraId="6C574A3C" w14:textId="77777777" w:rsidR="008C5CFA" w:rsidRPr="00BA47B4" w:rsidRDefault="00E82A60" w:rsidP="00300A01">
            <w:pPr>
              <w:spacing w:before="0" w:after="0"/>
              <w:rPr>
                <w:sz w:val="12"/>
                <w:szCs w:val="12"/>
                <w:lang w:val="fr-BE"/>
              </w:rPr>
            </w:pPr>
            <w:r w:rsidRPr="00BA47B4">
              <w:rPr>
                <w:noProof/>
                <w:sz w:val="12"/>
                <w:szCs w:val="12"/>
                <w:lang w:val="fr-BE"/>
              </w:rPr>
              <w:t>Słabiej rozwinięte</w:t>
            </w:r>
          </w:p>
        </w:tc>
        <w:tc>
          <w:tcPr>
            <w:tcW w:w="0" w:type="auto"/>
          </w:tcPr>
          <w:p w14:paraId="6BC7D7E8" w14:textId="77777777" w:rsidR="008C5CFA" w:rsidRPr="00BA47B4" w:rsidRDefault="00E82A60" w:rsidP="00300A01">
            <w:pPr>
              <w:spacing w:before="0" w:after="0"/>
              <w:jc w:val="right"/>
              <w:rPr>
                <w:sz w:val="12"/>
                <w:szCs w:val="12"/>
                <w:lang w:val="fr-BE"/>
              </w:rPr>
            </w:pPr>
            <w:r w:rsidRPr="00BA47B4">
              <w:rPr>
                <w:noProof/>
                <w:sz w:val="12"/>
                <w:szCs w:val="12"/>
                <w:lang w:val="fr-BE"/>
              </w:rPr>
              <w:t>13,00</w:t>
            </w:r>
          </w:p>
        </w:tc>
        <w:tc>
          <w:tcPr>
            <w:tcW w:w="0" w:type="auto"/>
          </w:tcPr>
          <w:p w14:paraId="6CB2BFB6" w14:textId="77777777" w:rsidR="008C5CFA" w:rsidRPr="00BA47B4" w:rsidRDefault="00E82A60" w:rsidP="00300A01">
            <w:pPr>
              <w:spacing w:before="0" w:after="0"/>
              <w:jc w:val="right"/>
              <w:rPr>
                <w:sz w:val="12"/>
                <w:szCs w:val="12"/>
                <w:lang w:val="fr-BE"/>
              </w:rPr>
            </w:pPr>
            <w:r w:rsidRPr="00BA47B4">
              <w:rPr>
                <w:noProof/>
                <w:sz w:val="12"/>
                <w:szCs w:val="12"/>
                <w:lang w:val="fr-BE"/>
              </w:rPr>
              <w:t>90,00</w:t>
            </w:r>
          </w:p>
        </w:tc>
        <w:tc>
          <w:tcPr>
            <w:tcW w:w="0" w:type="auto"/>
          </w:tcPr>
          <w:p w14:paraId="2071A0A1"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422C0F8A"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2F5CECD0"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1AF5AC93"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5DEA420A"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7EF47423"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0318623F"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597DC45B"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r>
      <w:tr w:rsidR="006B2EC1" w14:paraId="2E043A79" w14:textId="77777777" w:rsidTr="0047688D">
        <w:tc>
          <w:tcPr>
            <w:tcW w:w="0" w:type="auto"/>
            <w:shd w:val="clear" w:color="auto" w:fill="auto"/>
          </w:tcPr>
          <w:p w14:paraId="3D7DDB26" w14:textId="77777777" w:rsidR="008C5CFA" w:rsidRPr="00BA47B4" w:rsidRDefault="00E82A60" w:rsidP="00300A01">
            <w:pPr>
              <w:spacing w:before="0" w:after="0"/>
              <w:rPr>
                <w:sz w:val="12"/>
                <w:szCs w:val="12"/>
                <w:lang w:val="fr-BE"/>
              </w:rPr>
            </w:pPr>
            <w:r w:rsidRPr="00BA47B4">
              <w:rPr>
                <w:noProof/>
                <w:sz w:val="12"/>
                <w:szCs w:val="12"/>
                <w:lang w:val="fr-BE"/>
              </w:rPr>
              <w:t>CR08</w:t>
            </w:r>
          </w:p>
        </w:tc>
        <w:tc>
          <w:tcPr>
            <w:tcW w:w="0" w:type="auto"/>
            <w:shd w:val="clear" w:color="auto" w:fill="auto"/>
          </w:tcPr>
          <w:p w14:paraId="204D23F0" w14:textId="77777777" w:rsidR="008C5CFA" w:rsidRPr="00BA47B4" w:rsidRDefault="00E82A60" w:rsidP="00300A01">
            <w:pPr>
              <w:spacing w:before="0" w:after="0"/>
              <w:rPr>
                <w:sz w:val="12"/>
                <w:szCs w:val="12"/>
                <w:lang w:val="fr-BE"/>
              </w:rPr>
            </w:pPr>
            <w:r w:rsidRPr="00BA47B4">
              <w:rPr>
                <w:noProof/>
                <w:sz w:val="12"/>
                <w:szCs w:val="12"/>
                <w:lang w:val="fr-BE"/>
              </w:rPr>
              <w:t>uczestnicy powyżej 54 roku życia, pracujący, łącznie z prowadzącymi działalność na własny rachunek, sześć miesięcy po opuszczeniu programu</w:t>
            </w:r>
          </w:p>
        </w:tc>
        <w:tc>
          <w:tcPr>
            <w:tcW w:w="0" w:type="auto"/>
            <w:shd w:val="clear" w:color="auto" w:fill="auto"/>
          </w:tcPr>
          <w:p w14:paraId="4A686D94" w14:textId="77777777" w:rsidR="008C5CFA" w:rsidRPr="00BA47B4" w:rsidRDefault="00E82A60" w:rsidP="00300A01">
            <w:pPr>
              <w:spacing w:before="0" w:after="0"/>
              <w:rPr>
                <w:sz w:val="12"/>
                <w:szCs w:val="12"/>
                <w:lang w:val="fr-BE"/>
              </w:rPr>
            </w:pPr>
            <w:r w:rsidRPr="00BA47B4">
              <w:rPr>
                <w:noProof/>
                <w:sz w:val="12"/>
                <w:szCs w:val="12"/>
                <w:lang w:val="fr-BE"/>
              </w:rPr>
              <w:t>Słabiej rozwinięte</w:t>
            </w:r>
          </w:p>
        </w:tc>
        <w:tc>
          <w:tcPr>
            <w:tcW w:w="0" w:type="auto"/>
          </w:tcPr>
          <w:p w14:paraId="234093DE"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7F7581F6"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5A07C429"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76FD343B"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6AC9A561"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54DA7472"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5BB21D24"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5B14E536"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4BAA417A"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5D9EBEA2"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r>
      <w:tr w:rsidR="006B2EC1" w14:paraId="6CDEEAD9" w14:textId="77777777" w:rsidTr="0047688D">
        <w:tc>
          <w:tcPr>
            <w:tcW w:w="0" w:type="auto"/>
            <w:shd w:val="clear" w:color="auto" w:fill="auto"/>
          </w:tcPr>
          <w:p w14:paraId="734403D4" w14:textId="77777777" w:rsidR="008C5CFA" w:rsidRPr="00BA47B4" w:rsidRDefault="00E82A60" w:rsidP="00300A01">
            <w:pPr>
              <w:spacing w:before="0" w:after="0"/>
              <w:rPr>
                <w:sz w:val="12"/>
                <w:szCs w:val="12"/>
                <w:lang w:val="fr-BE"/>
              </w:rPr>
            </w:pPr>
            <w:r w:rsidRPr="00BA47B4">
              <w:rPr>
                <w:noProof/>
                <w:sz w:val="12"/>
                <w:szCs w:val="12"/>
                <w:lang w:val="fr-BE"/>
              </w:rPr>
              <w:t>CR09</w:t>
            </w:r>
          </w:p>
        </w:tc>
        <w:tc>
          <w:tcPr>
            <w:tcW w:w="0" w:type="auto"/>
            <w:shd w:val="clear" w:color="auto" w:fill="auto"/>
          </w:tcPr>
          <w:p w14:paraId="1353CDFC" w14:textId="77777777" w:rsidR="008C5CFA" w:rsidRPr="00BA47B4" w:rsidRDefault="00E82A60" w:rsidP="00300A01">
            <w:pPr>
              <w:spacing w:before="0" w:after="0"/>
              <w:rPr>
                <w:sz w:val="12"/>
                <w:szCs w:val="12"/>
                <w:lang w:val="fr-BE"/>
              </w:rPr>
            </w:pPr>
            <w:r w:rsidRPr="00BA47B4">
              <w:rPr>
                <w:noProof/>
                <w:sz w:val="12"/>
                <w:szCs w:val="12"/>
                <w:lang w:val="fr-BE"/>
              </w:rPr>
              <w:t>uczestnicy w niekorzystnej sytuacji społecznej, pracujący, łącznie z prowadzącymi działalność na własny rachunek, sześć miesięcy po opuszczeniu programu</w:t>
            </w:r>
          </w:p>
        </w:tc>
        <w:tc>
          <w:tcPr>
            <w:tcW w:w="0" w:type="auto"/>
            <w:shd w:val="clear" w:color="auto" w:fill="auto"/>
          </w:tcPr>
          <w:p w14:paraId="1111FAAA" w14:textId="77777777" w:rsidR="008C5CFA" w:rsidRPr="00BA47B4" w:rsidRDefault="00E82A60" w:rsidP="00300A01">
            <w:pPr>
              <w:spacing w:before="0" w:after="0"/>
              <w:rPr>
                <w:sz w:val="12"/>
                <w:szCs w:val="12"/>
                <w:lang w:val="fr-BE"/>
              </w:rPr>
            </w:pPr>
            <w:r w:rsidRPr="00BA47B4">
              <w:rPr>
                <w:noProof/>
                <w:sz w:val="12"/>
                <w:szCs w:val="12"/>
                <w:lang w:val="fr-BE"/>
              </w:rPr>
              <w:t>Słabiej rozwinięte</w:t>
            </w:r>
          </w:p>
        </w:tc>
        <w:tc>
          <w:tcPr>
            <w:tcW w:w="0" w:type="auto"/>
          </w:tcPr>
          <w:p w14:paraId="79CA157C" w14:textId="77777777" w:rsidR="008C5CFA" w:rsidRPr="00BA47B4" w:rsidRDefault="00E82A60" w:rsidP="00300A01">
            <w:pPr>
              <w:spacing w:before="0" w:after="0"/>
              <w:jc w:val="right"/>
              <w:rPr>
                <w:sz w:val="12"/>
                <w:szCs w:val="12"/>
                <w:lang w:val="fr-BE"/>
              </w:rPr>
            </w:pPr>
            <w:r w:rsidRPr="00BA47B4">
              <w:rPr>
                <w:noProof/>
                <w:sz w:val="12"/>
                <w:szCs w:val="12"/>
                <w:lang w:val="fr-BE"/>
              </w:rPr>
              <w:t>10,00</w:t>
            </w:r>
          </w:p>
        </w:tc>
        <w:tc>
          <w:tcPr>
            <w:tcW w:w="0" w:type="auto"/>
          </w:tcPr>
          <w:p w14:paraId="58A72C0F" w14:textId="77777777" w:rsidR="008C5CFA" w:rsidRPr="00BA47B4" w:rsidRDefault="00E82A60" w:rsidP="00300A01">
            <w:pPr>
              <w:spacing w:before="0" w:after="0"/>
              <w:jc w:val="right"/>
              <w:rPr>
                <w:sz w:val="12"/>
                <w:szCs w:val="12"/>
                <w:lang w:val="fr-BE"/>
              </w:rPr>
            </w:pPr>
            <w:r w:rsidRPr="00BA47B4">
              <w:rPr>
                <w:noProof/>
                <w:sz w:val="12"/>
                <w:szCs w:val="12"/>
                <w:lang w:val="fr-BE"/>
              </w:rPr>
              <w:t>9,00</w:t>
            </w:r>
          </w:p>
        </w:tc>
        <w:tc>
          <w:tcPr>
            <w:tcW w:w="0" w:type="auto"/>
          </w:tcPr>
          <w:p w14:paraId="20521896"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088603DE"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184F192B"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2D853EF8"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6BCD7A58"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44DB8265"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3426436B"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3AF53AD6"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r>
    </w:tbl>
    <w:p w14:paraId="3EE46F22" w14:textId="77777777" w:rsidR="008C5CFA" w:rsidRPr="00530285" w:rsidRDefault="008C5CFA" w:rsidP="00300A01">
      <w:pPr>
        <w:keepNext/>
        <w:spacing w:before="0" w:after="0"/>
        <w:rPr>
          <w:sz w:val="20"/>
          <w:szCs w:val="20"/>
        </w:rPr>
      </w:pPr>
    </w:p>
    <w:p w14:paraId="5C883F32" w14:textId="77777777" w:rsidR="008C5CFA" w:rsidRDefault="00E82A60" w:rsidP="00300A01">
      <w:pPr>
        <w:spacing w:before="0" w:after="0"/>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4"/>
        <w:gridCol w:w="13530"/>
      </w:tblGrid>
      <w:tr w:rsidR="006B2EC1" w14:paraId="666ECD69" w14:textId="77777777" w:rsidTr="0047688D">
        <w:tc>
          <w:tcPr>
            <w:tcW w:w="0" w:type="auto"/>
            <w:shd w:val="clear" w:color="auto" w:fill="auto"/>
          </w:tcPr>
          <w:p w14:paraId="71ED44D1" w14:textId="77777777" w:rsidR="008C5CFA" w:rsidRPr="002124FC" w:rsidRDefault="00E82A60" w:rsidP="00300A01">
            <w:pPr>
              <w:spacing w:before="0" w:after="0"/>
              <w:rPr>
                <w:sz w:val="20"/>
                <w:szCs w:val="20"/>
                <w:lang w:val="fr-BE"/>
              </w:rPr>
            </w:pPr>
            <w:r>
              <w:rPr>
                <w:lang w:val="fr-BE"/>
              </w:rPr>
              <w:lastRenderedPageBreak/>
              <w:br w:type="page"/>
            </w:r>
            <w:r>
              <w:rPr>
                <w:lang w:val="fr-BE"/>
              </w:rPr>
              <w:br w:type="page"/>
            </w:r>
            <w:r w:rsidRPr="002124FC">
              <w:rPr>
                <w:noProof/>
                <w:sz w:val="20"/>
                <w:szCs w:val="20"/>
                <w:lang w:val="fr-BE"/>
              </w:rPr>
              <w:t>Oś priorytetowa</w:t>
            </w:r>
          </w:p>
        </w:tc>
        <w:tc>
          <w:tcPr>
            <w:tcW w:w="0" w:type="auto"/>
            <w:shd w:val="clear" w:color="auto" w:fill="auto"/>
          </w:tcPr>
          <w:p w14:paraId="3675F618" w14:textId="77777777" w:rsidR="008C5CFA" w:rsidRPr="002124FC" w:rsidRDefault="00E82A60" w:rsidP="00300A01">
            <w:pPr>
              <w:spacing w:before="0" w:after="0"/>
              <w:rPr>
                <w:sz w:val="20"/>
                <w:szCs w:val="20"/>
                <w:lang w:val="fr-BE"/>
              </w:rPr>
            </w:pPr>
            <w:r w:rsidRPr="002124FC">
              <w:rPr>
                <w:noProof/>
                <w:sz w:val="20"/>
                <w:szCs w:val="20"/>
                <w:lang w:val="fr-BE"/>
              </w:rPr>
              <w:t>8</w:t>
            </w:r>
            <w:r w:rsidRPr="002124FC">
              <w:rPr>
                <w:sz w:val="20"/>
                <w:szCs w:val="20"/>
                <w:lang w:val="fr-BE"/>
              </w:rPr>
              <w:t xml:space="preserve"> - </w:t>
            </w:r>
            <w:r w:rsidRPr="002124FC">
              <w:rPr>
                <w:noProof/>
                <w:sz w:val="20"/>
                <w:szCs w:val="20"/>
                <w:lang w:val="fr-BE"/>
              </w:rPr>
              <w:t>Rozwój edukacji i aktywne społeczeństwo</w:t>
            </w:r>
          </w:p>
        </w:tc>
      </w:tr>
      <w:tr w:rsidR="006B2EC1" w14:paraId="789EDDE0" w14:textId="77777777" w:rsidTr="0047688D">
        <w:tc>
          <w:tcPr>
            <w:tcW w:w="0" w:type="auto"/>
            <w:shd w:val="clear" w:color="auto" w:fill="auto"/>
          </w:tcPr>
          <w:p w14:paraId="43CB150E" w14:textId="77777777" w:rsidR="008C5CFA" w:rsidRPr="002124FC" w:rsidRDefault="00E82A60"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14:paraId="60F380BE" w14:textId="77777777" w:rsidR="008C5CFA" w:rsidRPr="002124FC" w:rsidRDefault="00E82A60" w:rsidP="00300A01">
            <w:pPr>
              <w:spacing w:before="0" w:after="0"/>
              <w:rPr>
                <w:sz w:val="20"/>
                <w:szCs w:val="20"/>
                <w:lang w:val="fr-BE"/>
              </w:rPr>
            </w:pPr>
            <w:r w:rsidRPr="002124FC">
              <w:rPr>
                <w:noProof/>
                <w:sz w:val="20"/>
                <w:szCs w:val="20"/>
                <w:lang w:val="fr-BE"/>
              </w:rPr>
              <w:t>10i</w:t>
            </w:r>
            <w:r w:rsidRPr="002124FC">
              <w:rPr>
                <w:sz w:val="20"/>
                <w:szCs w:val="20"/>
                <w:lang w:val="fr-BE"/>
              </w:rPr>
              <w:t xml:space="preserve"> - </w:t>
            </w:r>
            <w:r w:rsidRPr="002124FC">
              <w:rPr>
                <w:noProof/>
                <w:sz w:val="20"/>
                <w:szCs w:val="20"/>
                <w:lang w:val="fr-BE"/>
              </w:rPr>
              <w:t>Ograniczenie i zapobieganie przedwczesnemu kończeniu nauki szkolnej oraz zapewnianie równego dostępu do dobrej jakości wczesnej edukacji elementarnej oraz kształcenia podstawowego, gimnazjalnego i ponadgimnazjalnego, z uwzględnieniem formalnych, nieformalnych i pozaformalnych ścieżek kształcenia umożliwiających ponowne podjęcie kształcenia i szkolenia</w:t>
            </w:r>
          </w:p>
        </w:tc>
      </w:tr>
    </w:tbl>
    <w:p w14:paraId="01B2C6F3" w14:textId="77777777" w:rsidR="008C5CFA" w:rsidRPr="00920B4D" w:rsidRDefault="008C5CFA" w:rsidP="00300A01">
      <w:pPr>
        <w:spacing w:before="0" w:after="0"/>
        <w:rPr>
          <w:lang w:val="fr-BE"/>
        </w:rPr>
      </w:pPr>
    </w:p>
    <w:p w14:paraId="42871365" w14:textId="77777777" w:rsidR="008C5CFA" w:rsidRPr="008E457C" w:rsidRDefault="00E82A60" w:rsidP="005272C2">
      <w:pPr>
        <w:pStyle w:val="Nagwek2"/>
        <w:spacing w:before="0" w:after="0"/>
        <w:rPr>
          <w:lang w:val="fr-BE"/>
        </w:rPr>
      </w:pPr>
      <w:bookmarkStart w:id="56" w:name="_Toc46391740"/>
      <w:r w:rsidRPr="008E457C">
        <w:rPr>
          <w:noProof/>
          <w:lang w:val="fr-BE"/>
        </w:rPr>
        <w:t>Tabela 2C</w:t>
      </w:r>
      <w:r w:rsidRPr="008E457C">
        <w:rPr>
          <w:lang w:val="fr-BE"/>
        </w:rPr>
        <w:t xml:space="preserve"> : </w:t>
      </w:r>
      <w:r w:rsidRPr="008E457C">
        <w:rPr>
          <w:noProof/>
          <w:lang w:val="fr-BE"/>
        </w:rPr>
        <w:t>Specyficzne dla programu wskaźniki rezultatu dla EFS oraz Inicjatywy na rzecz zatrudnienia ludzi młodych</w:t>
      </w:r>
      <w:bookmarkEnd w:id="56"/>
    </w:p>
    <w:p w14:paraId="52FFEF98"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64"/>
        <w:gridCol w:w="3066"/>
        <w:gridCol w:w="743"/>
        <w:gridCol w:w="1049"/>
        <w:gridCol w:w="1882"/>
        <w:gridCol w:w="1640"/>
        <w:gridCol w:w="448"/>
        <w:gridCol w:w="564"/>
        <w:gridCol w:w="453"/>
        <w:gridCol w:w="448"/>
        <w:gridCol w:w="564"/>
        <w:gridCol w:w="453"/>
        <w:gridCol w:w="514"/>
        <w:gridCol w:w="564"/>
        <w:gridCol w:w="453"/>
        <w:gridCol w:w="464"/>
        <w:gridCol w:w="564"/>
        <w:gridCol w:w="453"/>
        <w:gridCol w:w="598"/>
      </w:tblGrid>
      <w:tr w:rsidR="006B2EC1" w14:paraId="54885C5F" w14:textId="77777777" w:rsidTr="0047688D">
        <w:trPr>
          <w:tblHeader/>
        </w:trPr>
        <w:tc>
          <w:tcPr>
            <w:tcW w:w="0" w:type="auto"/>
            <w:shd w:val="clear" w:color="auto" w:fill="auto"/>
          </w:tcPr>
          <w:p w14:paraId="3F978C43" w14:textId="77777777" w:rsidR="008C5CFA" w:rsidRPr="00601E29" w:rsidRDefault="00E82A60" w:rsidP="00300A01">
            <w:pPr>
              <w:spacing w:before="0" w:after="0"/>
              <w:rPr>
                <w:b/>
                <w:sz w:val="10"/>
                <w:szCs w:val="10"/>
                <w:lang w:val="fr-BE"/>
              </w:rPr>
            </w:pPr>
            <w:r w:rsidRPr="00601E29">
              <w:rPr>
                <w:b/>
                <w:noProof/>
                <w:sz w:val="10"/>
                <w:szCs w:val="10"/>
                <w:lang w:val="fr-BE"/>
              </w:rPr>
              <w:t>ID</w:t>
            </w:r>
          </w:p>
        </w:tc>
        <w:tc>
          <w:tcPr>
            <w:tcW w:w="0" w:type="auto"/>
            <w:shd w:val="clear" w:color="auto" w:fill="auto"/>
          </w:tcPr>
          <w:p w14:paraId="33ECAB5A" w14:textId="77777777" w:rsidR="008C5CFA" w:rsidRPr="00601E29" w:rsidRDefault="00E82A60" w:rsidP="00300A01">
            <w:pPr>
              <w:spacing w:before="0" w:after="0"/>
              <w:rPr>
                <w:b/>
                <w:sz w:val="10"/>
                <w:szCs w:val="10"/>
                <w:lang w:val="fr-BE"/>
              </w:rPr>
            </w:pPr>
            <w:r w:rsidRPr="00601E29">
              <w:rPr>
                <w:b/>
                <w:noProof/>
                <w:sz w:val="10"/>
                <w:szCs w:val="10"/>
                <w:lang w:val="fr-BE"/>
              </w:rPr>
              <w:t>Wskaźnik</w:t>
            </w:r>
          </w:p>
        </w:tc>
        <w:tc>
          <w:tcPr>
            <w:tcW w:w="0" w:type="auto"/>
            <w:shd w:val="clear" w:color="auto" w:fill="auto"/>
          </w:tcPr>
          <w:p w14:paraId="19765A57" w14:textId="77777777" w:rsidR="008C5CFA" w:rsidRPr="00601E29" w:rsidRDefault="00E82A60" w:rsidP="00300A01">
            <w:pPr>
              <w:spacing w:before="0" w:after="0"/>
              <w:rPr>
                <w:b/>
                <w:sz w:val="10"/>
                <w:szCs w:val="10"/>
                <w:lang w:val="fr-BE"/>
              </w:rPr>
            </w:pPr>
            <w:r w:rsidRPr="00601E29">
              <w:rPr>
                <w:b/>
                <w:noProof/>
                <w:sz w:val="10"/>
                <w:szCs w:val="10"/>
                <w:lang w:val="fr-BE"/>
              </w:rPr>
              <w:t>Kategoria regionu</w:t>
            </w:r>
          </w:p>
        </w:tc>
        <w:tc>
          <w:tcPr>
            <w:tcW w:w="0" w:type="auto"/>
            <w:shd w:val="clear" w:color="auto" w:fill="auto"/>
          </w:tcPr>
          <w:p w14:paraId="6C746962" w14:textId="77777777" w:rsidR="008C5CFA" w:rsidRPr="00601E29" w:rsidRDefault="00E82A60" w:rsidP="00300A01">
            <w:pPr>
              <w:spacing w:before="0" w:after="0"/>
              <w:rPr>
                <w:b/>
                <w:sz w:val="10"/>
                <w:szCs w:val="10"/>
                <w:lang w:val="fr-BE"/>
              </w:rPr>
            </w:pPr>
            <w:r w:rsidRPr="00785F4A">
              <w:rPr>
                <w:b/>
                <w:noProof/>
                <w:sz w:val="10"/>
                <w:szCs w:val="10"/>
                <w:lang w:val="fr-BE"/>
              </w:rPr>
              <w:t>Jednostka pomiaru wskaźnika</w:t>
            </w:r>
          </w:p>
        </w:tc>
        <w:tc>
          <w:tcPr>
            <w:tcW w:w="0" w:type="auto"/>
            <w:shd w:val="clear" w:color="auto" w:fill="auto"/>
          </w:tcPr>
          <w:p w14:paraId="48FBD421" w14:textId="77777777" w:rsidR="008C5CFA" w:rsidRPr="00601E29" w:rsidRDefault="00E82A60" w:rsidP="00300A01">
            <w:pPr>
              <w:spacing w:before="0" w:after="0"/>
              <w:rPr>
                <w:b/>
                <w:sz w:val="10"/>
                <w:szCs w:val="10"/>
                <w:lang w:val="fr-BE"/>
              </w:rPr>
            </w:pPr>
            <w:r w:rsidRPr="00601E29">
              <w:rPr>
                <w:b/>
                <w:noProof/>
                <w:sz w:val="10"/>
                <w:szCs w:val="10"/>
                <w:lang w:val="fr-BE"/>
              </w:rPr>
              <w:t>Wskaźnik produktu stosowany jako podstawa do ustalania celów</w:t>
            </w:r>
          </w:p>
        </w:tc>
        <w:tc>
          <w:tcPr>
            <w:tcW w:w="0" w:type="auto"/>
            <w:shd w:val="clear" w:color="auto" w:fill="auto"/>
          </w:tcPr>
          <w:p w14:paraId="0005D5D3" w14:textId="77777777" w:rsidR="008C5CFA" w:rsidRPr="00601E29" w:rsidRDefault="00E82A60" w:rsidP="00300A01">
            <w:pPr>
              <w:spacing w:before="0" w:after="0"/>
              <w:rPr>
                <w:b/>
                <w:sz w:val="10"/>
                <w:szCs w:val="10"/>
                <w:lang w:val="fr-BE"/>
              </w:rPr>
            </w:pPr>
            <w:r w:rsidRPr="00601E29">
              <w:rPr>
                <w:b/>
                <w:noProof/>
                <w:sz w:val="10"/>
                <w:szCs w:val="10"/>
                <w:lang w:val="fr-BE"/>
              </w:rPr>
              <w:t>Jednostka pomiaru dla wartości bazowej i docelowej</w:t>
            </w:r>
          </w:p>
        </w:tc>
        <w:tc>
          <w:tcPr>
            <w:tcW w:w="0" w:type="auto"/>
            <w:gridSpan w:val="3"/>
            <w:shd w:val="clear" w:color="auto" w:fill="auto"/>
          </w:tcPr>
          <w:p w14:paraId="7AE8BF57" w14:textId="77777777" w:rsidR="008C5CFA" w:rsidRPr="00601E29" w:rsidRDefault="00E82A60" w:rsidP="00300A01">
            <w:pPr>
              <w:spacing w:before="0" w:after="0"/>
              <w:jc w:val="center"/>
              <w:rPr>
                <w:b/>
                <w:sz w:val="10"/>
                <w:szCs w:val="10"/>
                <w:lang w:val="fr-BE"/>
              </w:rPr>
            </w:pPr>
            <w:r w:rsidRPr="00601E29">
              <w:rPr>
                <w:b/>
                <w:noProof/>
                <w:sz w:val="10"/>
                <w:szCs w:val="10"/>
                <w:lang w:val="fr-BE"/>
              </w:rPr>
              <w:t>Wartość docelowa (2023)</w:t>
            </w:r>
          </w:p>
        </w:tc>
        <w:tc>
          <w:tcPr>
            <w:tcW w:w="0" w:type="auto"/>
            <w:gridSpan w:val="3"/>
            <w:shd w:val="clear" w:color="auto" w:fill="auto"/>
          </w:tcPr>
          <w:p w14:paraId="4E015595" w14:textId="77777777" w:rsidR="008C5CFA" w:rsidRPr="00601E29" w:rsidRDefault="00E82A60" w:rsidP="00300A01">
            <w:pPr>
              <w:spacing w:before="0" w:after="0"/>
              <w:jc w:val="center"/>
              <w:rPr>
                <w:b/>
                <w:sz w:val="10"/>
                <w:szCs w:val="10"/>
                <w:lang w:val="fr-BE"/>
              </w:rPr>
            </w:pPr>
            <w:r w:rsidRPr="00601E29">
              <w:rPr>
                <w:b/>
                <w:noProof/>
                <w:sz w:val="10"/>
                <w:szCs w:val="10"/>
                <w:lang w:val="fr-BE"/>
              </w:rPr>
              <w:t>Wskaźnik osiągnięć</w:t>
            </w:r>
          </w:p>
        </w:tc>
        <w:tc>
          <w:tcPr>
            <w:tcW w:w="0" w:type="auto"/>
            <w:gridSpan w:val="7"/>
            <w:shd w:val="clear" w:color="auto" w:fill="auto"/>
          </w:tcPr>
          <w:p w14:paraId="243D08D3" w14:textId="77777777" w:rsidR="008C5CFA" w:rsidRPr="00601E29" w:rsidRDefault="00E82A60" w:rsidP="00300A01">
            <w:pPr>
              <w:spacing w:before="0" w:after="0"/>
              <w:jc w:val="center"/>
              <w:rPr>
                <w:b/>
                <w:sz w:val="10"/>
                <w:szCs w:val="10"/>
                <w:lang w:val="fr-BE"/>
              </w:rPr>
            </w:pPr>
            <w:r>
              <w:rPr>
                <w:b/>
                <w:sz w:val="10"/>
                <w:szCs w:val="10"/>
                <w:lang w:val="fr-BE"/>
              </w:rPr>
              <w:t>2019</w:t>
            </w:r>
          </w:p>
        </w:tc>
      </w:tr>
      <w:tr w:rsidR="006B2EC1" w14:paraId="1CB50F71" w14:textId="77777777" w:rsidTr="0047688D">
        <w:trPr>
          <w:tblHeader/>
        </w:trPr>
        <w:tc>
          <w:tcPr>
            <w:tcW w:w="0" w:type="auto"/>
            <w:shd w:val="clear" w:color="auto" w:fill="auto"/>
          </w:tcPr>
          <w:p w14:paraId="0E4C7A90" w14:textId="77777777" w:rsidR="008C5CFA" w:rsidRPr="00601E29" w:rsidRDefault="008C5CFA" w:rsidP="00300A01">
            <w:pPr>
              <w:spacing w:before="0" w:after="0"/>
              <w:rPr>
                <w:b/>
                <w:sz w:val="10"/>
                <w:szCs w:val="10"/>
                <w:lang w:val="fr-BE"/>
              </w:rPr>
            </w:pPr>
          </w:p>
        </w:tc>
        <w:tc>
          <w:tcPr>
            <w:tcW w:w="0" w:type="auto"/>
            <w:shd w:val="clear" w:color="auto" w:fill="auto"/>
          </w:tcPr>
          <w:p w14:paraId="270695D2" w14:textId="77777777" w:rsidR="008C5CFA" w:rsidRPr="00601E29" w:rsidRDefault="008C5CFA" w:rsidP="00300A01">
            <w:pPr>
              <w:spacing w:before="0" w:after="0"/>
              <w:rPr>
                <w:b/>
                <w:sz w:val="10"/>
                <w:szCs w:val="10"/>
                <w:lang w:val="fr-BE"/>
              </w:rPr>
            </w:pPr>
          </w:p>
        </w:tc>
        <w:tc>
          <w:tcPr>
            <w:tcW w:w="0" w:type="auto"/>
            <w:shd w:val="clear" w:color="auto" w:fill="auto"/>
          </w:tcPr>
          <w:p w14:paraId="42AE52E9" w14:textId="77777777" w:rsidR="008C5CFA" w:rsidRPr="00601E29" w:rsidRDefault="008C5CFA" w:rsidP="00300A01">
            <w:pPr>
              <w:spacing w:before="0" w:after="0"/>
              <w:rPr>
                <w:b/>
                <w:sz w:val="10"/>
                <w:szCs w:val="10"/>
                <w:lang w:val="fr-BE"/>
              </w:rPr>
            </w:pPr>
          </w:p>
        </w:tc>
        <w:tc>
          <w:tcPr>
            <w:tcW w:w="0" w:type="auto"/>
            <w:shd w:val="clear" w:color="auto" w:fill="auto"/>
          </w:tcPr>
          <w:p w14:paraId="34AF8245" w14:textId="77777777" w:rsidR="008C5CFA" w:rsidRPr="00601E29" w:rsidRDefault="008C5CFA" w:rsidP="00300A01">
            <w:pPr>
              <w:spacing w:before="0" w:after="0"/>
              <w:rPr>
                <w:b/>
                <w:sz w:val="10"/>
                <w:szCs w:val="10"/>
                <w:lang w:val="fr-BE"/>
              </w:rPr>
            </w:pPr>
          </w:p>
        </w:tc>
        <w:tc>
          <w:tcPr>
            <w:tcW w:w="0" w:type="auto"/>
            <w:shd w:val="clear" w:color="auto" w:fill="auto"/>
          </w:tcPr>
          <w:p w14:paraId="4C2571CC" w14:textId="77777777" w:rsidR="008C5CFA" w:rsidRPr="00601E29" w:rsidRDefault="008C5CFA" w:rsidP="00300A01">
            <w:pPr>
              <w:spacing w:before="0" w:after="0"/>
              <w:rPr>
                <w:b/>
                <w:sz w:val="10"/>
                <w:szCs w:val="10"/>
                <w:lang w:val="fr-BE"/>
              </w:rPr>
            </w:pPr>
          </w:p>
        </w:tc>
        <w:tc>
          <w:tcPr>
            <w:tcW w:w="0" w:type="auto"/>
            <w:shd w:val="clear" w:color="auto" w:fill="auto"/>
          </w:tcPr>
          <w:p w14:paraId="538B8C0E" w14:textId="77777777" w:rsidR="008C5CFA" w:rsidRPr="00601E29" w:rsidRDefault="008C5CFA" w:rsidP="00300A01">
            <w:pPr>
              <w:spacing w:before="0" w:after="0"/>
              <w:rPr>
                <w:b/>
                <w:sz w:val="10"/>
                <w:szCs w:val="10"/>
                <w:lang w:val="fr-BE"/>
              </w:rPr>
            </w:pPr>
          </w:p>
        </w:tc>
        <w:tc>
          <w:tcPr>
            <w:tcW w:w="0" w:type="auto"/>
            <w:shd w:val="clear" w:color="auto" w:fill="auto"/>
          </w:tcPr>
          <w:p w14:paraId="2B88D2F9" w14:textId="77777777" w:rsidR="008C5CFA" w:rsidRPr="00601E29" w:rsidRDefault="008C5CFA" w:rsidP="00300A01">
            <w:pPr>
              <w:spacing w:before="0" w:after="0"/>
              <w:jc w:val="center"/>
              <w:rPr>
                <w:b/>
                <w:sz w:val="10"/>
                <w:szCs w:val="10"/>
                <w:lang w:val="fr-BE"/>
              </w:rPr>
            </w:pPr>
          </w:p>
        </w:tc>
        <w:tc>
          <w:tcPr>
            <w:tcW w:w="0" w:type="auto"/>
            <w:shd w:val="clear" w:color="auto" w:fill="auto"/>
          </w:tcPr>
          <w:p w14:paraId="3B1264C9" w14:textId="77777777" w:rsidR="008C5CFA" w:rsidRPr="00601E29" w:rsidRDefault="008C5CFA" w:rsidP="00300A01">
            <w:pPr>
              <w:spacing w:before="0" w:after="0"/>
              <w:jc w:val="center"/>
              <w:rPr>
                <w:b/>
                <w:sz w:val="10"/>
                <w:szCs w:val="10"/>
                <w:lang w:val="fr-BE"/>
              </w:rPr>
            </w:pPr>
          </w:p>
        </w:tc>
        <w:tc>
          <w:tcPr>
            <w:tcW w:w="0" w:type="auto"/>
            <w:shd w:val="clear" w:color="auto" w:fill="auto"/>
          </w:tcPr>
          <w:p w14:paraId="4BB1540D" w14:textId="77777777" w:rsidR="008C5CFA" w:rsidRPr="00601E29" w:rsidRDefault="008C5CFA" w:rsidP="00300A01">
            <w:pPr>
              <w:spacing w:before="0" w:after="0"/>
              <w:jc w:val="center"/>
              <w:rPr>
                <w:b/>
                <w:sz w:val="10"/>
                <w:szCs w:val="10"/>
                <w:lang w:val="fr-BE"/>
              </w:rPr>
            </w:pPr>
          </w:p>
        </w:tc>
        <w:tc>
          <w:tcPr>
            <w:tcW w:w="0" w:type="auto"/>
            <w:shd w:val="clear" w:color="auto" w:fill="auto"/>
          </w:tcPr>
          <w:p w14:paraId="6CF2592D" w14:textId="77777777" w:rsidR="008C5CFA" w:rsidRPr="00601E29" w:rsidRDefault="008C5CFA" w:rsidP="00300A01">
            <w:pPr>
              <w:spacing w:before="0" w:after="0"/>
              <w:jc w:val="center"/>
              <w:rPr>
                <w:b/>
                <w:sz w:val="10"/>
                <w:szCs w:val="10"/>
                <w:lang w:val="fr-BE"/>
              </w:rPr>
            </w:pPr>
          </w:p>
        </w:tc>
        <w:tc>
          <w:tcPr>
            <w:tcW w:w="0" w:type="auto"/>
            <w:shd w:val="clear" w:color="auto" w:fill="auto"/>
          </w:tcPr>
          <w:p w14:paraId="2854071D" w14:textId="77777777" w:rsidR="008C5CFA" w:rsidRPr="00601E29" w:rsidRDefault="008C5CFA" w:rsidP="00300A01">
            <w:pPr>
              <w:spacing w:before="0" w:after="0"/>
              <w:jc w:val="center"/>
              <w:rPr>
                <w:b/>
                <w:sz w:val="10"/>
                <w:szCs w:val="10"/>
                <w:lang w:val="fr-BE"/>
              </w:rPr>
            </w:pPr>
          </w:p>
        </w:tc>
        <w:tc>
          <w:tcPr>
            <w:tcW w:w="0" w:type="auto"/>
            <w:shd w:val="clear" w:color="auto" w:fill="auto"/>
          </w:tcPr>
          <w:p w14:paraId="3AA1AF70" w14:textId="77777777" w:rsidR="008C5CFA" w:rsidRPr="00601E29" w:rsidRDefault="008C5CFA" w:rsidP="00300A01">
            <w:pPr>
              <w:spacing w:before="0" w:after="0"/>
              <w:jc w:val="center"/>
              <w:rPr>
                <w:b/>
                <w:sz w:val="10"/>
                <w:szCs w:val="10"/>
                <w:lang w:val="fr-BE"/>
              </w:rPr>
            </w:pPr>
          </w:p>
        </w:tc>
        <w:tc>
          <w:tcPr>
            <w:tcW w:w="0" w:type="auto"/>
            <w:gridSpan w:val="3"/>
            <w:shd w:val="clear" w:color="auto" w:fill="auto"/>
          </w:tcPr>
          <w:p w14:paraId="67D43599" w14:textId="77777777" w:rsidR="008C5CFA" w:rsidRPr="00601E29" w:rsidRDefault="00E82A60" w:rsidP="00300A01">
            <w:pPr>
              <w:spacing w:before="0" w:after="0"/>
              <w:jc w:val="center"/>
              <w:rPr>
                <w:b/>
                <w:sz w:val="10"/>
                <w:szCs w:val="10"/>
                <w:lang w:val="fr-BE"/>
              </w:rPr>
            </w:pPr>
            <w:r w:rsidRPr="00601E29">
              <w:rPr>
                <w:b/>
                <w:noProof/>
                <w:sz w:val="10"/>
                <w:szCs w:val="10"/>
                <w:lang w:val="fr-BE"/>
              </w:rPr>
              <w:t>Łącznie</w:t>
            </w:r>
          </w:p>
        </w:tc>
        <w:tc>
          <w:tcPr>
            <w:tcW w:w="0" w:type="auto"/>
            <w:gridSpan w:val="3"/>
          </w:tcPr>
          <w:p w14:paraId="53192D96" w14:textId="77777777" w:rsidR="008C5CFA" w:rsidRPr="00601E29" w:rsidRDefault="00E82A60" w:rsidP="00300A01">
            <w:pPr>
              <w:spacing w:before="0" w:after="0"/>
              <w:jc w:val="center"/>
              <w:rPr>
                <w:b/>
                <w:sz w:val="10"/>
                <w:szCs w:val="10"/>
                <w:lang w:val="fr-BE"/>
              </w:rPr>
            </w:pPr>
            <w:r w:rsidRPr="00601E29">
              <w:rPr>
                <w:b/>
                <w:noProof/>
                <w:sz w:val="10"/>
                <w:szCs w:val="10"/>
                <w:lang w:val="fr-BE"/>
              </w:rPr>
              <w:t>Łącznie w roku</w:t>
            </w:r>
          </w:p>
        </w:tc>
        <w:tc>
          <w:tcPr>
            <w:tcW w:w="0" w:type="auto"/>
          </w:tcPr>
          <w:p w14:paraId="07F6A8C4" w14:textId="77777777" w:rsidR="008C5CFA" w:rsidRPr="00601E29" w:rsidRDefault="00E82A60" w:rsidP="00300A01">
            <w:pPr>
              <w:spacing w:before="0" w:after="0"/>
              <w:jc w:val="center"/>
              <w:rPr>
                <w:b/>
                <w:sz w:val="10"/>
                <w:szCs w:val="10"/>
                <w:lang w:val="fr-BE"/>
              </w:rPr>
            </w:pPr>
            <w:r w:rsidRPr="00601E29">
              <w:rPr>
                <w:b/>
                <w:noProof/>
                <w:sz w:val="10"/>
                <w:szCs w:val="10"/>
                <w:lang w:val="fr-BE"/>
              </w:rPr>
              <w:t>Jakościowe</w:t>
            </w:r>
          </w:p>
        </w:tc>
      </w:tr>
      <w:tr w:rsidR="006B2EC1" w14:paraId="72E0A6C6" w14:textId="77777777" w:rsidTr="0047688D">
        <w:trPr>
          <w:tblHeader/>
        </w:trPr>
        <w:tc>
          <w:tcPr>
            <w:tcW w:w="0" w:type="auto"/>
            <w:shd w:val="clear" w:color="auto" w:fill="auto"/>
          </w:tcPr>
          <w:p w14:paraId="691E2A48" w14:textId="77777777" w:rsidR="008C5CFA" w:rsidRPr="00601E29" w:rsidRDefault="008C5CFA" w:rsidP="00300A01">
            <w:pPr>
              <w:spacing w:before="0" w:after="0"/>
              <w:rPr>
                <w:b/>
                <w:sz w:val="10"/>
                <w:szCs w:val="10"/>
                <w:lang w:val="fr-BE"/>
              </w:rPr>
            </w:pPr>
          </w:p>
        </w:tc>
        <w:tc>
          <w:tcPr>
            <w:tcW w:w="0" w:type="auto"/>
            <w:shd w:val="clear" w:color="auto" w:fill="auto"/>
          </w:tcPr>
          <w:p w14:paraId="4548E9E4" w14:textId="77777777" w:rsidR="008C5CFA" w:rsidRPr="00601E29" w:rsidRDefault="008C5CFA" w:rsidP="00300A01">
            <w:pPr>
              <w:spacing w:before="0" w:after="0"/>
              <w:rPr>
                <w:b/>
                <w:sz w:val="10"/>
                <w:szCs w:val="10"/>
                <w:lang w:val="fr-BE"/>
              </w:rPr>
            </w:pPr>
          </w:p>
        </w:tc>
        <w:tc>
          <w:tcPr>
            <w:tcW w:w="0" w:type="auto"/>
            <w:shd w:val="clear" w:color="auto" w:fill="auto"/>
          </w:tcPr>
          <w:p w14:paraId="1941B296" w14:textId="77777777" w:rsidR="008C5CFA" w:rsidRPr="00601E29" w:rsidRDefault="008C5CFA" w:rsidP="00300A01">
            <w:pPr>
              <w:spacing w:before="0" w:after="0"/>
              <w:rPr>
                <w:b/>
                <w:sz w:val="10"/>
                <w:szCs w:val="10"/>
                <w:lang w:val="fr-BE"/>
              </w:rPr>
            </w:pPr>
          </w:p>
        </w:tc>
        <w:tc>
          <w:tcPr>
            <w:tcW w:w="0" w:type="auto"/>
            <w:shd w:val="clear" w:color="auto" w:fill="auto"/>
          </w:tcPr>
          <w:p w14:paraId="086CE768" w14:textId="77777777" w:rsidR="008C5CFA" w:rsidRPr="00601E29" w:rsidRDefault="008C5CFA" w:rsidP="00300A01">
            <w:pPr>
              <w:spacing w:before="0" w:after="0"/>
              <w:rPr>
                <w:b/>
                <w:sz w:val="10"/>
                <w:szCs w:val="10"/>
                <w:lang w:val="fr-BE"/>
              </w:rPr>
            </w:pPr>
          </w:p>
        </w:tc>
        <w:tc>
          <w:tcPr>
            <w:tcW w:w="0" w:type="auto"/>
            <w:shd w:val="clear" w:color="auto" w:fill="auto"/>
          </w:tcPr>
          <w:p w14:paraId="54F63C20" w14:textId="77777777" w:rsidR="008C5CFA" w:rsidRPr="00601E29" w:rsidRDefault="008C5CFA" w:rsidP="00300A01">
            <w:pPr>
              <w:spacing w:before="0" w:after="0"/>
              <w:rPr>
                <w:b/>
                <w:sz w:val="10"/>
                <w:szCs w:val="10"/>
                <w:lang w:val="fr-BE"/>
              </w:rPr>
            </w:pPr>
          </w:p>
        </w:tc>
        <w:tc>
          <w:tcPr>
            <w:tcW w:w="0" w:type="auto"/>
            <w:shd w:val="clear" w:color="auto" w:fill="auto"/>
          </w:tcPr>
          <w:p w14:paraId="056D6C13" w14:textId="77777777" w:rsidR="008C5CFA" w:rsidRPr="00601E29" w:rsidRDefault="008C5CFA" w:rsidP="00300A01">
            <w:pPr>
              <w:spacing w:before="0" w:after="0"/>
              <w:rPr>
                <w:b/>
                <w:sz w:val="10"/>
                <w:szCs w:val="10"/>
                <w:lang w:val="fr-BE"/>
              </w:rPr>
            </w:pPr>
          </w:p>
        </w:tc>
        <w:tc>
          <w:tcPr>
            <w:tcW w:w="0" w:type="auto"/>
            <w:shd w:val="clear" w:color="auto" w:fill="auto"/>
          </w:tcPr>
          <w:p w14:paraId="51D7BD37" w14:textId="77777777" w:rsidR="008C5CFA" w:rsidRPr="00601E29" w:rsidRDefault="00E82A60" w:rsidP="00300A01">
            <w:pPr>
              <w:spacing w:before="0" w:after="0"/>
              <w:jc w:val="center"/>
              <w:rPr>
                <w:b/>
                <w:sz w:val="10"/>
                <w:szCs w:val="10"/>
                <w:lang w:val="fr-BE"/>
              </w:rPr>
            </w:pPr>
            <w:r w:rsidRPr="00601E29">
              <w:rPr>
                <w:b/>
                <w:noProof/>
                <w:sz w:val="10"/>
                <w:szCs w:val="10"/>
                <w:lang w:val="fr-BE"/>
              </w:rPr>
              <w:t>Ogółem</w:t>
            </w:r>
          </w:p>
        </w:tc>
        <w:tc>
          <w:tcPr>
            <w:tcW w:w="0" w:type="auto"/>
            <w:shd w:val="clear" w:color="auto" w:fill="auto"/>
          </w:tcPr>
          <w:p w14:paraId="5C82B62E" w14:textId="77777777" w:rsidR="008C5CFA" w:rsidRPr="00601E29" w:rsidRDefault="00E82A60" w:rsidP="00300A01">
            <w:pPr>
              <w:spacing w:before="0" w:after="0"/>
              <w:jc w:val="center"/>
              <w:rPr>
                <w:b/>
                <w:sz w:val="10"/>
                <w:szCs w:val="10"/>
                <w:lang w:val="fr-BE"/>
              </w:rPr>
            </w:pPr>
            <w:r w:rsidRPr="00601E29">
              <w:rPr>
                <w:b/>
                <w:noProof/>
                <w:sz w:val="10"/>
                <w:szCs w:val="10"/>
                <w:lang w:val="fr-BE"/>
              </w:rPr>
              <w:t>Mężczyźni</w:t>
            </w:r>
          </w:p>
        </w:tc>
        <w:tc>
          <w:tcPr>
            <w:tcW w:w="0" w:type="auto"/>
            <w:shd w:val="clear" w:color="auto" w:fill="auto"/>
          </w:tcPr>
          <w:p w14:paraId="1D93DC54" w14:textId="77777777" w:rsidR="008C5CFA" w:rsidRPr="00601E29" w:rsidRDefault="00E82A60" w:rsidP="00300A01">
            <w:pPr>
              <w:spacing w:before="0" w:after="0"/>
              <w:jc w:val="center"/>
              <w:rPr>
                <w:b/>
                <w:sz w:val="10"/>
                <w:szCs w:val="10"/>
                <w:lang w:val="fr-BE"/>
              </w:rPr>
            </w:pPr>
            <w:r w:rsidRPr="00601E29">
              <w:rPr>
                <w:b/>
                <w:noProof/>
                <w:sz w:val="10"/>
                <w:szCs w:val="10"/>
                <w:lang w:val="fr-BE"/>
              </w:rPr>
              <w:t>Kobiety</w:t>
            </w:r>
          </w:p>
        </w:tc>
        <w:tc>
          <w:tcPr>
            <w:tcW w:w="0" w:type="auto"/>
            <w:shd w:val="clear" w:color="auto" w:fill="auto"/>
          </w:tcPr>
          <w:p w14:paraId="4C783F48" w14:textId="77777777" w:rsidR="008C5CFA" w:rsidRPr="00601E29" w:rsidRDefault="00E82A60" w:rsidP="00300A01">
            <w:pPr>
              <w:spacing w:before="0" w:after="0"/>
              <w:jc w:val="center"/>
              <w:rPr>
                <w:b/>
                <w:sz w:val="10"/>
                <w:szCs w:val="10"/>
                <w:lang w:val="fr-BE"/>
              </w:rPr>
            </w:pPr>
            <w:r w:rsidRPr="00601E29">
              <w:rPr>
                <w:b/>
                <w:noProof/>
                <w:sz w:val="10"/>
                <w:szCs w:val="10"/>
                <w:lang w:val="fr-BE"/>
              </w:rPr>
              <w:t>Ogółem</w:t>
            </w:r>
          </w:p>
        </w:tc>
        <w:tc>
          <w:tcPr>
            <w:tcW w:w="0" w:type="auto"/>
            <w:shd w:val="clear" w:color="auto" w:fill="auto"/>
          </w:tcPr>
          <w:p w14:paraId="3C2092E9" w14:textId="77777777" w:rsidR="008C5CFA" w:rsidRPr="00601E29" w:rsidRDefault="00E82A60" w:rsidP="00300A01">
            <w:pPr>
              <w:spacing w:before="0" w:after="0"/>
              <w:jc w:val="center"/>
              <w:rPr>
                <w:b/>
                <w:sz w:val="10"/>
                <w:szCs w:val="10"/>
                <w:lang w:val="fr-BE"/>
              </w:rPr>
            </w:pPr>
            <w:r w:rsidRPr="00601E29">
              <w:rPr>
                <w:b/>
                <w:noProof/>
                <w:sz w:val="10"/>
                <w:szCs w:val="10"/>
                <w:lang w:val="fr-BE"/>
              </w:rPr>
              <w:t>Mężczyźni</w:t>
            </w:r>
          </w:p>
        </w:tc>
        <w:tc>
          <w:tcPr>
            <w:tcW w:w="0" w:type="auto"/>
            <w:shd w:val="clear" w:color="auto" w:fill="auto"/>
          </w:tcPr>
          <w:p w14:paraId="48B0C1BF" w14:textId="77777777" w:rsidR="008C5CFA" w:rsidRPr="00601E29" w:rsidRDefault="00E82A60" w:rsidP="00300A01">
            <w:pPr>
              <w:spacing w:before="0" w:after="0"/>
              <w:jc w:val="center"/>
              <w:rPr>
                <w:b/>
                <w:sz w:val="10"/>
                <w:szCs w:val="10"/>
                <w:lang w:val="fr-BE"/>
              </w:rPr>
            </w:pPr>
            <w:r w:rsidRPr="00601E29">
              <w:rPr>
                <w:b/>
                <w:noProof/>
                <w:sz w:val="10"/>
                <w:szCs w:val="10"/>
                <w:lang w:val="fr-BE"/>
              </w:rPr>
              <w:t>Kobiety</w:t>
            </w:r>
          </w:p>
        </w:tc>
        <w:tc>
          <w:tcPr>
            <w:tcW w:w="0" w:type="auto"/>
            <w:shd w:val="clear" w:color="auto" w:fill="auto"/>
          </w:tcPr>
          <w:p w14:paraId="400592B4" w14:textId="77777777" w:rsidR="008C5CFA" w:rsidRPr="00601E29" w:rsidRDefault="00E82A60" w:rsidP="00300A01">
            <w:pPr>
              <w:spacing w:before="0" w:after="0"/>
              <w:jc w:val="center"/>
              <w:rPr>
                <w:b/>
                <w:sz w:val="10"/>
                <w:szCs w:val="10"/>
                <w:lang w:val="fr-BE"/>
              </w:rPr>
            </w:pPr>
            <w:r w:rsidRPr="00601E29">
              <w:rPr>
                <w:b/>
                <w:noProof/>
                <w:sz w:val="10"/>
                <w:szCs w:val="10"/>
                <w:lang w:val="fr-BE"/>
              </w:rPr>
              <w:t>Ogółem</w:t>
            </w:r>
          </w:p>
        </w:tc>
        <w:tc>
          <w:tcPr>
            <w:tcW w:w="0" w:type="auto"/>
            <w:shd w:val="clear" w:color="auto" w:fill="auto"/>
          </w:tcPr>
          <w:p w14:paraId="30D9E6D2" w14:textId="77777777" w:rsidR="008C5CFA" w:rsidRPr="00601E29" w:rsidRDefault="00E82A60" w:rsidP="00300A01">
            <w:pPr>
              <w:spacing w:before="0" w:after="0"/>
              <w:jc w:val="center"/>
              <w:rPr>
                <w:b/>
                <w:sz w:val="10"/>
                <w:szCs w:val="10"/>
                <w:lang w:val="fr-BE"/>
              </w:rPr>
            </w:pPr>
            <w:r w:rsidRPr="00601E29">
              <w:rPr>
                <w:b/>
                <w:noProof/>
                <w:sz w:val="10"/>
                <w:szCs w:val="10"/>
                <w:lang w:val="fr-BE"/>
              </w:rPr>
              <w:t>Mężczyźni</w:t>
            </w:r>
          </w:p>
        </w:tc>
        <w:tc>
          <w:tcPr>
            <w:tcW w:w="0" w:type="auto"/>
            <w:shd w:val="clear" w:color="auto" w:fill="auto"/>
          </w:tcPr>
          <w:p w14:paraId="3278E18E" w14:textId="77777777" w:rsidR="008C5CFA" w:rsidRPr="00601E29" w:rsidRDefault="00E82A60" w:rsidP="00300A01">
            <w:pPr>
              <w:spacing w:before="0" w:after="0"/>
              <w:jc w:val="center"/>
              <w:rPr>
                <w:b/>
                <w:sz w:val="10"/>
                <w:szCs w:val="10"/>
                <w:lang w:val="fr-BE"/>
              </w:rPr>
            </w:pPr>
            <w:r w:rsidRPr="00601E29">
              <w:rPr>
                <w:b/>
                <w:noProof/>
                <w:sz w:val="10"/>
                <w:szCs w:val="10"/>
                <w:lang w:val="fr-BE"/>
              </w:rPr>
              <w:t>Kobiety</w:t>
            </w:r>
          </w:p>
        </w:tc>
        <w:tc>
          <w:tcPr>
            <w:tcW w:w="0" w:type="auto"/>
          </w:tcPr>
          <w:p w14:paraId="6271C133" w14:textId="77777777" w:rsidR="008C5CFA" w:rsidRPr="00601E29" w:rsidRDefault="00E82A60" w:rsidP="00300A01">
            <w:pPr>
              <w:spacing w:before="0" w:after="0"/>
              <w:jc w:val="center"/>
              <w:rPr>
                <w:b/>
                <w:sz w:val="10"/>
                <w:szCs w:val="10"/>
                <w:lang w:val="fr-BE"/>
              </w:rPr>
            </w:pPr>
            <w:r w:rsidRPr="00601E29">
              <w:rPr>
                <w:b/>
                <w:noProof/>
                <w:sz w:val="10"/>
                <w:szCs w:val="10"/>
                <w:lang w:val="fr-BE"/>
              </w:rPr>
              <w:t>Ogółem</w:t>
            </w:r>
          </w:p>
        </w:tc>
        <w:tc>
          <w:tcPr>
            <w:tcW w:w="0" w:type="auto"/>
            <w:shd w:val="clear" w:color="auto" w:fill="auto"/>
          </w:tcPr>
          <w:p w14:paraId="410DBFB5" w14:textId="77777777" w:rsidR="008C5CFA" w:rsidRPr="00601E29" w:rsidRDefault="00E82A60" w:rsidP="00300A01">
            <w:pPr>
              <w:spacing w:before="0" w:after="0"/>
              <w:jc w:val="center"/>
              <w:rPr>
                <w:b/>
                <w:sz w:val="10"/>
                <w:szCs w:val="10"/>
                <w:lang w:val="fr-BE"/>
              </w:rPr>
            </w:pPr>
            <w:r w:rsidRPr="00601E29">
              <w:rPr>
                <w:b/>
                <w:noProof/>
                <w:sz w:val="10"/>
                <w:szCs w:val="10"/>
                <w:lang w:val="fr-BE"/>
              </w:rPr>
              <w:t>Mężczyźni</w:t>
            </w:r>
          </w:p>
        </w:tc>
        <w:tc>
          <w:tcPr>
            <w:tcW w:w="0" w:type="auto"/>
            <w:shd w:val="clear" w:color="auto" w:fill="auto"/>
          </w:tcPr>
          <w:p w14:paraId="47805819" w14:textId="77777777" w:rsidR="008C5CFA" w:rsidRPr="00601E29" w:rsidRDefault="00E82A60" w:rsidP="00300A01">
            <w:pPr>
              <w:spacing w:before="0" w:after="0"/>
              <w:jc w:val="center"/>
              <w:rPr>
                <w:b/>
                <w:sz w:val="10"/>
                <w:szCs w:val="10"/>
                <w:lang w:val="fr-BE"/>
              </w:rPr>
            </w:pPr>
            <w:r w:rsidRPr="00601E29">
              <w:rPr>
                <w:b/>
                <w:noProof/>
                <w:sz w:val="10"/>
                <w:szCs w:val="10"/>
                <w:lang w:val="fr-BE"/>
              </w:rPr>
              <w:t>Kobiety</w:t>
            </w:r>
          </w:p>
        </w:tc>
        <w:tc>
          <w:tcPr>
            <w:tcW w:w="0" w:type="auto"/>
          </w:tcPr>
          <w:p w14:paraId="21C08CA7" w14:textId="77777777" w:rsidR="008C5CFA" w:rsidRPr="00601E29" w:rsidRDefault="008C5CFA" w:rsidP="00300A01">
            <w:pPr>
              <w:spacing w:before="0" w:after="0"/>
              <w:jc w:val="center"/>
              <w:rPr>
                <w:b/>
                <w:sz w:val="10"/>
                <w:szCs w:val="10"/>
                <w:lang w:val="fr-BE"/>
              </w:rPr>
            </w:pPr>
          </w:p>
        </w:tc>
      </w:tr>
      <w:tr w:rsidR="006B2EC1" w14:paraId="2520DC08" w14:textId="77777777" w:rsidTr="0047688D">
        <w:tc>
          <w:tcPr>
            <w:tcW w:w="0" w:type="auto"/>
            <w:shd w:val="clear" w:color="auto" w:fill="auto"/>
          </w:tcPr>
          <w:p w14:paraId="2F6AFE67" w14:textId="77777777" w:rsidR="008C5CFA" w:rsidRPr="00601E29" w:rsidRDefault="00E82A60" w:rsidP="00300A01">
            <w:pPr>
              <w:spacing w:before="0" w:after="0"/>
              <w:rPr>
                <w:sz w:val="10"/>
                <w:szCs w:val="10"/>
                <w:lang w:val="fr-BE"/>
              </w:rPr>
            </w:pPr>
            <w:r w:rsidRPr="00601E29">
              <w:rPr>
                <w:noProof/>
                <w:sz w:val="10"/>
                <w:szCs w:val="10"/>
                <w:lang w:val="fr-BE"/>
              </w:rPr>
              <w:t>005</w:t>
            </w:r>
          </w:p>
        </w:tc>
        <w:tc>
          <w:tcPr>
            <w:tcW w:w="0" w:type="auto"/>
            <w:shd w:val="clear" w:color="auto" w:fill="auto"/>
          </w:tcPr>
          <w:p w14:paraId="36AE94A7" w14:textId="77777777" w:rsidR="008C5CFA" w:rsidRPr="00601E29" w:rsidRDefault="00E82A60" w:rsidP="00300A01">
            <w:pPr>
              <w:spacing w:before="0" w:after="0"/>
              <w:rPr>
                <w:sz w:val="10"/>
                <w:szCs w:val="10"/>
                <w:lang w:val="fr-BE"/>
              </w:rPr>
            </w:pPr>
            <w:r w:rsidRPr="00601E29">
              <w:rPr>
                <w:noProof/>
                <w:sz w:val="10"/>
                <w:szCs w:val="10"/>
                <w:lang w:val="fr-BE"/>
              </w:rPr>
              <w:t>Liczba miejsc wychowania przedszkolnego, które funkcjonują 2 lata po uzyskaniu dofinansowania ze środków EFS</w:t>
            </w:r>
          </w:p>
        </w:tc>
        <w:tc>
          <w:tcPr>
            <w:tcW w:w="0" w:type="auto"/>
            <w:shd w:val="clear" w:color="auto" w:fill="auto"/>
          </w:tcPr>
          <w:p w14:paraId="62899F56" w14:textId="77777777" w:rsidR="008C5CFA" w:rsidRPr="00601E29" w:rsidRDefault="00E82A60" w:rsidP="00300A01">
            <w:pPr>
              <w:spacing w:before="0" w:after="0"/>
              <w:rPr>
                <w:sz w:val="10"/>
                <w:szCs w:val="10"/>
                <w:lang w:val="fr-BE"/>
              </w:rPr>
            </w:pPr>
            <w:r w:rsidRPr="00601E29">
              <w:rPr>
                <w:noProof/>
                <w:sz w:val="10"/>
                <w:szCs w:val="10"/>
                <w:lang w:val="fr-BE"/>
              </w:rPr>
              <w:t>Słabiej rozwinięte</w:t>
            </w:r>
          </w:p>
        </w:tc>
        <w:tc>
          <w:tcPr>
            <w:tcW w:w="0" w:type="auto"/>
            <w:shd w:val="clear" w:color="auto" w:fill="auto"/>
          </w:tcPr>
          <w:p w14:paraId="54B289D2" w14:textId="77777777" w:rsidR="008C5CFA" w:rsidRPr="00601E29" w:rsidRDefault="00E82A60" w:rsidP="00300A01">
            <w:pPr>
              <w:spacing w:before="0" w:after="0"/>
              <w:rPr>
                <w:sz w:val="10"/>
                <w:szCs w:val="10"/>
                <w:lang w:val="fr-BE"/>
              </w:rPr>
            </w:pPr>
            <w:r w:rsidRPr="00785F4A">
              <w:rPr>
                <w:noProof/>
                <w:sz w:val="10"/>
                <w:szCs w:val="10"/>
                <w:lang w:val="fr-BE"/>
              </w:rPr>
              <w:t>Liczba</w:t>
            </w:r>
            <w:r w:rsidR="00CE4603">
              <w:rPr>
                <w:sz w:val="10"/>
                <w:szCs w:val="10"/>
                <w:lang w:val="fr-BE"/>
              </w:rPr>
              <w:t xml:space="preserve"> </w:t>
            </w:r>
            <w:r w:rsidR="00CE4603">
              <w:rPr>
                <w:noProof/>
                <w:sz w:val="10"/>
                <w:szCs w:val="10"/>
                <w:lang w:val="fr-BE"/>
              </w:rPr>
              <w:t>(sztuki)</w:t>
            </w:r>
          </w:p>
        </w:tc>
        <w:tc>
          <w:tcPr>
            <w:tcW w:w="0" w:type="auto"/>
            <w:shd w:val="clear" w:color="auto" w:fill="auto"/>
          </w:tcPr>
          <w:p w14:paraId="605E267D" w14:textId="77777777" w:rsidR="008C5CFA" w:rsidRPr="00601E29" w:rsidRDefault="00E82A60" w:rsidP="00300A01">
            <w:pPr>
              <w:spacing w:before="0" w:after="0"/>
              <w:rPr>
                <w:sz w:val="10"/>
                <w:szCs w:val="10"/>
                <w:lang w:val="fr-BE"/>
              </w:rPr>
            </w:pPr>
            <w:r w:rsidRPr="00601E29">
              <w:rPr>
                <w:sz w:val="10"/>
                <w:szCs w:val="10"/>
                <w:lang w:val="fr-BE"/>
              </w:rPr>
              <w:t xml:space="preserve"> </w:t>
            </w:r>
          </w:p>
        </w:tc>
        <w:tc>
          <w:tcPr>
            <w:tcW w:w="0" w:type="auto"/>
            <w:shd w:val="clear" w:color="auto" w:fill="auto"/>
          </w:tcPr>
          <w:p w14:paraId="16F76427" w14:textId="77777777" w:rsidR="008C5CFA" w:rsidRPr="00601E29" w:rsidRDefault="00E82A60" w:rsidP="00300A01">
            <w:pPr>
              <w:spacing w:before="0" w:after="0"/>
              <w:jc w:val="center"/>
              <w:rPr>
                <w:sz w:val="10"/>
                <w:szCs w:val="10"/>
                <w:lang w:val="fr-BE"/>
              </w:rPr>
            </w:pPr>
            <w:r w:rsidRPr="00601E29">
              <w:rPr>
                <w:noProof/>
                <w:sz w:val="10"/>
                <w:szCs w:val="10"/>
                <w:lang w:val="fr-BE"/>
              </w:rPr>
              <w:t>Współczynnik</w:t>
            </w:r>
          </w:p>
        </w:tc>
        <w:tc>
          <w:tcPr>
            <w:tcW w:w="0" w:type="auto"/>
            <w:shd w:val="clear" w:color="auto" w:fill="auto"/>
          </w:tcPr>
          <w:p w14:paraId="2BC9DE5F" w14:textId="77777777" w:rsidR="008C5CFA" w:rsidRPr="00601E29" w:rsidRDefault="00E82A60" w:rsidP="00300A01">
            <w:pPr>
              <w:spacing w:before="0" w:after="0"/>
              <w:jc w:val="right"/>
              <w:rPr>
                <w:sz w:val="10"/>
                <w:szCs w:val="10"/>
                <w:lang w:val="fr-BE"/>
              </w:rPr>
            </w:pPr>
            <w:r w:rsidRPr="00601E29">
              <w:rPr>
                <w:noProof/>
                <w:sz w:val="10"/>
                <w:szCs w:val="10"/>
                <w:lang w:val="fr-BE"/>
              </w:rPr>
              <w:t>85,00</w:t>
            </w:r>
            <w:r>
              <w:rPr>
                <w:noProof/>
                <w:sz w:val="10"/>
                <w:szCs w:val="10"/>
                <w:lang w:val="fr-BE"/>
              </w:rPr>
              <w:t>%</w:t>
            </w:r>
          </w:p>
        </w:tc>
        <w:tc>
          <w:tcPr>
            <w:tcW w:w="0" w:type="auto"/>
            <w:shd w:val="clear" w:color="auto" w:fill="auto"/>
          </w:tcPr>
          <w:p w14:paraId="7A64B0CF" w14:textId="77777777" w:rsidR="008C5CFA" w:rsidRPr="00601E29" w:rsidRDefault="008C5CFA" w:rsidP="00300A01">
            <w:pPr>
              <w:spacing w:before="0" w:after="0"/>
              <w:jc w:val="right"/>
              <w:rPr>
                <w:sz w:val="10"/>
                <w:szCs w:val="10"/>
                <w:lang w:val="fr-BE"/>
              </w:rPr>
            </w:pPr>
          </w:p>
        </w:tc>
        <w:tc>
          <w:tcPr>
            <w:tcW w:w="0" w:type="auto"/>
            <w:shd w:val="clear" w:color="auto" w:fill="auto"/>
          </w:tcPr>
          <w:p w14:paraId="03DFEE4A" w14:textId="77777777" w:rsidR="008C5CFA" w:rsidRPr="00601E29" w:rsidRDefault="008C5CFA" w:rsidP="00300A01">
            <w:pPr>
              <w:spacing w:before="0" w:after="0"/>
              <w:jc w:val="right"/>
              <w:rPr>
                <w:sz w:val="10"/>
                <w:szCs w:val="10"/>
                <w:lang w:val="fr-BE"/>
              </w:rPr>
            </w:pPr>
          </w:p>
        </w:tc>
        <w:tc>
          <w:tcPr>
            <w:tcW w:w="0" w:type="auto"/>
            <w:shd w:val="clear" w:color="auto" w:fill="auto"/>
          </w:tcPr>
          <w:p w14:paraId="40C52E60" w14:textId="77777777" w:rsidR="008C5CFA" w:rsidRPr="00601E29" w:rsidRDefault="00E82A60" w:rsidP="00300A01">
            <w:pPr>
              <w:spacing w:before="0" w:after="0"/>
              <w:jc w:val="right"/>
              <w:rPr>
                <w:sz w:val="10"/>
                <w:szCs w:val="10"/>
                <w:lang w:val="fr-BE"/>
              </w:rPr>
            </w:pPr>
            <w:r>
              <w:rPr>
                <w:noProof/>
                <w:sz w:val="10"/>
                <w:szCs w:val="10"/>
                <w:lang w:val="fr-BE"/>
              </w:rPr>
              <w:t>0,00</w:t>
            </w:r>
          </w:p>
        </w:tc>
        <w:tc>
          <w:tcPr>
            <w:tcW w:w="0" w:type="auto"/>
            <w:shd w:val="clear" w:color="auto" w:fill="auto"/>
          </w:tcPr>
          <w:p w14:paraId="6790FA21" w14:textId="77777777" w:rsidR="008C5CFA" w:rsidRPr="00601E29" w:rsidRDefault="008C5CFA" w:rsidP="00300A01">
            <w:pPr>
              <w:spacing w:before="0" w:after="0"/>
              <w:jc w:val="right"/>
              <w:rPr>
                <w:sz w:val="10"/>
                <w:szCs w:val="10"/>
                <w:lang w:val="fr-BE"/>
              </w:rPr>
            </w:pPr>
          </w:p>
        </w:tc>
        <w:tc>
          <w:tcPr>
            <w:tcW w:w="0" w:type="auto"/>
            <w:shd w:val="clear" w:color="auto" w:fill="auto"/>
          </w:tcPr>
          <w:p w14:paraId="3FD8BB59" w14:textId="77777777" w:rsidR="008C5CFA" w:rsidRPr="00601E29" w:rsidRDefault="008C5CFA" w:rsidP="00300A01">
            <w:pPr>
              <w:spacing w:before="0" w:after="0"/>
              <w:jc w:val="right"/>
              <w:rPr>
                <w:sz w:val="10"/>
                <w:szCs w:val="10"/>
                <w:lang w:val="fr-BE"/>
              </w:rPr>
            </w:pPr>
          </w:p>
        </w:tc>
        <w:tc>
          <w:tcPr>
            <w:tcW w:w="0" w:type="auto"/>
            <w:shd w:val="clear" w:color="auto" w:fill="auto"/>
          </w:tcPr>
          <w:p w14:paraId="78982CBB"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shd w:val="clear" w:color="auto" w:fill="auto"/>
          </w:tcPr>
          <w:p w14:paraId="00F8F541"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shd w:val="clear" w:color="auto" w:fill="auto"/>
          </w:tcPr>
          <w:p w14:paraId="69E560B4"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1FBBCC09"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shd w:val="clear" w:color="auto" w:fill="auto"/>
          </w:tcPr>
          <w:p w14:paraId="028F30C4"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shd w:val="clear" w:color="auto" w:fill="auto"/>
          </w:tcPr>
          <w:p w14:paraId="4A4E8B38"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423FD024" w14:textId="77777777" w:rsidR="008C5CFA" w:rsidRPr="00601E29" w:rsidRDefault="008C5CFA" w:rsidP="00300A01">
            <w:pPr>
              <w:spacing w:before="0" w:after="0"/>
              <w:jc w:val="right"/>
              <w:rPr>
                <w:sz w:val="10"/>
                <w:szCs w:val="10"/>
                <w:lang w:val="fr-BE"/>
              </w:rPr>
            </w:pPr>
          </w:p>
        </w:tc>
      </w:tr>
      <w:tr w:rsidR="006B2EC1" w14:paraId="07666F5D" w14:textId="77777777" w:rsidTr="0047688D">
        <w:tc>
          <w:tcPr>
            <w:tcW w:w="0" w:type="auto"/>
            <w:shd w:val="clear" w:color="auto" w:fill="auto"/>
          </w:tcPr>
          <w:p w14:paraId="78A5E868" w14:textId="77777777" w:rsidR="008C5CFA" w:rsidRPr="00601E29" w:rsidRDefault="00E82A60" w:rsidP="00300A01">
            <w:pPr>
              <w:spacing w:before="0" w:after="0"/>
              <w:rPr>
                <w:sz w:val="10"/>
                <w:szCs w:val="10"/>
                <w:lang w:val="fr-BE"/>
              </w:rPr>
            </w:pPr>
            <w:r w:rsidRPr="00601E29">
              <w:rPr>
                <w:noProof/>
                <w:sz w:val="10"/>
                <w:szCs w:val="10"/>
                <w:lang w:val="fr-BE"/>
              </w:rPr>
              <w:t>143</w:t>
            </w:r>
          </w:p>
        </w:tc>
        <w:tc>
          <w:tcPr>
            <w:tcW w:w="0" w:type="auto"/>
            <w:shd w:val="clear" w:color="auto" w:fill="auto"/>
          </w:tcPr>
          <w:p w14:paraId="0FD1E541" w14:textId="77777777" w:rsidR="008C5CFA" w:rsidRPr="00601E29" w:rsidRDefault="00E82A60" w:rsidP="00300A01">
            <w:pPr>
              <w:spacing w:before="0" w:after="0"/>
              <w:rPr>
                <w:sz w:val="10"/>
                <w:szCs w:val="10"/>
                <w:lang w:val="fr-BE"/>
              </w:rPr>
            </w:pPr>
            <w:r w:rsidRPr="00601E29">
              <w:rPr>
                <w:noProof/>
                <w:sz w:val="10"/>
                <w:szCs w:val="10"/>
                <w:lang w:val="fr-BE"/>
              </w:rPr>
              <w:t>Liczba uczniów, którzy nabyli kompetencje  kluczowe lub umiejętności uniwersalne  po opuszczeniu programu</w:t>
            </w:r>
          </w:p>
        </w:tc>
        <w:tc>
          <w:tcPr>
            <w:tcW w:w="0" w:type="auto"/>
            <w:shd w:val="clear" w:color="auto" w:fill="auto"/>
          </w:tcPr>
          <w:p w14:paraId="0254B1AE" w14:textId="77777777" w:rsidR="008C5CFA" w:rsidRPr="00601E29" w:rsidRDefault="00E82A60" w:rsidP="00300A01">
            <w:pPr>
              <w:spacing w:before="0" w:after="0"/>
              <w:rPr>
                <w:sz w:val="10"/>
                <w:szCs w:val="10"/>
                <w:lang w:val="fr-BE"/>
              </w:rPr>
            </w:pPr>
            <w:r w:rsidRPr="00601E29">
              <w:rPr>
                <w:noProof/>
                <w:sz w:val="10"/>
                <w:szCs w:val="10"/>
                <w:lang w:val="fr-BE"/>
              </w:rPr>
              <w:t>Słabiej rozwinięte</w:t>
            </w:r>
          </w:p>
        </w:tc>
        <w:tc>
          <w:tcPr>
            <w:tcW w:w="0" w:type="auto"/>
            <w:shd w:val="clear" w:color="auto" w:fill="auto"/>
          </w:tcPr>
          <w:p w14:paraId="06310322" w14:textId="77777777" w:rsidR="008C5CFA" w:rsidRPr="00601E29" w:rsidRDefault="00E82A60" w:rsidP="00300A01">
            <w:pPr>
              <w:spacing w:before="0" w:after="0"/>
              <w:rPr>
                <w:sz w:val="10"/>
                <w:szCs w:val="10"/>
                <w:lang w:val="fr-BE"/>
              </w:rPr>
            </w:pPr>
            <w:r w:rsidRPr="00785F4A">
              <w:rPr>
                <w:noProof/>
                <w:sz w:val="10"/>
                <w:szCs w:val="10"/>
                <w:lang w:val="fr-BE"/>
              </w:rPr>
              <w:t>Liczba</w:t>
            </w:r>
            <w:r w:rsidR="00CE4603">
              <w:rPr>
                <w:sz w:val="10"/>
                <w:szCs w:val="10"/>
                <w:lang w:val="fr-BE"/>
              </w:rPr>
              <w:t xml:space="preserve"> </w:t>
            </w:r>
            <w:r w:rsidR="00CE4603">
              <w:rPr>
                <w:noProof/>
                <w:sz w:val="10"/>
                <w:szCs w:val="10"/>
                <w:lang w:val="fr-BE"/>
              </w:rPr>
              <w:t>(osoba)</w:t>
            </w:r>
          </w:p>
        </w:tc>
        <w:tc>
          <w:tcPr>
            <w:tcW w:w="0" w:type="auto"/>
            <w:shd w:val="clear" w:color="auto" w:fill="auto"/>
          </w:tcPr>
          <w:p w14:paraId="2151D532" w14:textId="77777777" w:rsidR="008C5CFA" w:rsidRPr="00601E29" w:rsidRDefault="00E82A60" w:rsidP="00300A01">
            <w:pPr>
              <w:spacing w:before="0" w:after="0"/>
              <w:rPr>
                <w:sz w:val="10"/>
                <w:szCs w:val="10"/>
                <w:lang w:val="fr-BE"/>
              </w:rPr>
            </w:pPr>
            <w:r w:rsidRPr="00601E29">
              <w:rPr>
                <w:sz w:val="10"/>
                <w:szCs w:val="10"/>
                <w:lang w:val="fr-BE"/>
              </w:rPr>
              <w:t xml:space="preserve"> </w:t>
            </w:r>
          </w:p>
        </w:tc>
        <w:tc>
          <w:tcPr>
            <w:tcW w:w="0" w:type="auto"/>
            <w:shd w:val="clear" w:color="auto" w:fill="auto"/>
          </w:tcPr>
          <w:p w14:paraId="5B6C9F38" w14:textId="77777777" w:rsidR="008C5CFA" w:rsidRPr="00601E29" w:rsidRDefault="00E82A60" w:rsidP="00300A01">
            <w:pPr>
              <w:spacing w:before="0" w:after="0"/>
              <w:jc w:val="center"/>
              <w:rPr>
                <w:sz w:val="10"/>
                <w:szCs w:val="10"/>
                <w:lang w:val="fr-BE"/>
              </w:rPr>
            </w:pPr>
            <w:r w:rsidRPr="00601E29">
              <w:rPr>
                <w:noProof/>
                <w:sz w:val="10"/>
                <w:szCs w:val="10"/>
                <w:lang w:val="fr-BE"/>
              </w:rPr>
              <w:t>Współczynnik</w:t>
            </w:r>
          </w:p>
        </w:tc>
        <w:tc>
          <w:tcPr>
            <w:tcW w:w="0" w:type="auto"/>
            <w:shd w:val="clear" w:color="auto" w:fill="auto"/>
          </w:tcPr>
          <w:p w14:paraId="7124FD8C" w14:textId="77777777" w:rsidR="008C5CFA" w:rsidRPr="00601E29" w:rsidRDefault="00E82A60" w:rsidP="00300A01">
            <w:pPr>
              <w:spacing w:before="0" w:after="0"/>
              <w:jc w:val="right"/>
              <w:rPr>
                <w:sz w:val="10"/>
                <w:szCs w:val="10"/>
                <w:lang w:val="fr-BE"/>
              </w:rPr>
            </w:pPr>
            <w:r w:rsidRPr="00601E29">
              <w:rPr>
                <w:noProof/>
                <w:sz w:val="10"/>
                <w:szCs w:val="10"/>
                <w:lang w:val="fr-BE"/>
              </w:rPr>
              <w:t>90,00</w:t>
            </w:r>
            <w:r>
              <w:rPr>
                <w:noProof/>
                <w:sz w:val="10"/>
                <w:szCs w:val="10"/>
                <w:lang w:val="fr-BE"/>
              </w:rPr>
              <w:t>%</w:t>
            </w:r>
          </w:p>
        </w:tc>
        <w:tc>
          <w:tcPr>
            <w:tcW w:w="0" w:type="auto"/>
            <w:shd w:val="clear" w:color="auto" w:fill="auto"/>
          </w:tcPr>
          <w:p w14:paraId="331FD00F" w14:textId="77777777" w:rsidR="008C5CFA" w:rsidRPr="00601E29" w:rsidRDefault="008C5CFA" w:rsidP="00300A01">
            <w:pPr>
              <w:spacing w:before="0" w:after="0"/>
              <w:jc w:val="right"/>
              <w:rPr>
                <w:sz w:val="10"/>
                <w:szCs w:val="10"/>
                <w:lang w:val="fr-BE"/>
              </w:rPr>
            </w:pPr>
          </w:p>
        </w:tc>
        <w:tc>
          <w:tcPr>
            <w:tcW w:w="0" w:type="auto"/>
            <w:shd w:val="clear" w:color="auto" w:fill="auto"/>
          </w:tcPr>
          <w:p w14:paraId="667D8E03" w14:textId="77777777" w:rsidR="008C5CFA" w:rsidRPr="00601E29" w:rsidRDefault="008C5CFA" w:rsidP="00300A01">
            <w:pPr>
              <w:spacing w:before="0" w:after="0"/>
              <w:jc w:val="right"/>
              <w:rPr>
                <w:sz w:val="10"/>
                <w:szCs w:val="10"/>
                <w:lang w:val="fr-BE"/>
              </w:rPr>
            </w:pPr>
          </w:p>
        </w:tc>
        <w:tc>
          <w:tcPr>
            <w:tcW w:w="0" w:type="auto"/>
            <w:shd w:val="clear" w:color="auto" w:fill="auto"/>
          </w:tcPr>
          <w:p w14:paraId="79BDFCA0" w14:textId="77777777" w:rsidR="008C5CFA" w:rsidRPr="00601E29" w:rsidRDefault="00E82A60" w:rsidP="00300A01">
            <w:pPr>
              <w:spacing w:before="0" w:after="0"/>
              <w:jc w:val="right"/>
              <w:rPr>
                <w:sz w:val="10"/>
                <w:szCs w:val="10"/>
                <w:lang w:val="fr-BE"/>
              </w:rPr>
            </w:pPr>
            <w:r>
              <w:rPr>
                <w:noProof/>
                <w:sz w:val="10"/>
                <w:szCs w:val="10"/>
                <w:lang w:val="fr-BE"/>
              </w:rPr>
              <w:t>0,78</w:t>
            </w:r>
          </w:p>
        </w:tc>
        <w:tc>
          <w:tcPr>
            <w:tcW w:w="0" w:type="auto"/>
            <w:shd w:val="clear" w:color="auto" w:fill="auto"/>
          </w:tcPr>
          <w:p w14:paraId="089189C7" w14:textId="77777777" w:rsidR="008C5CFA" w:rsidRPr="00601E29" w:rsidRDefault="008C5CFA" w:rsidP="00300A01">
            <w:pPr>
              <w:spacing w:before="0" w:after="0"/>
              <w:jc w:val="right"/>
              <w:rPr>
                <w:sz w:val="10"/>
                <w:szCs w:val="10"/>
                <w:lang w:val="fr-BE"/>
              </w:rPr>
            </w:pPr>
          </w:p>
        </w:tc>
        <w:tc>
          <w:tcPr>
            <w:tcW w:w="0" w:type="auto"/>
            <w:shd w:val="clear" w:color="auto" w:fill="auto"/>
          </w:tcPr>
          <w:p w14:paraId="525F5050" w14:textId="77777777" w:rsidR="008C5CFA" w:rsidRPr="00601E29" w:rsidRDefault="008C5CFA" w:rsidP="00300A01">
            <w:pPr>
              <w:spacing w:before="0" w:after="0"/>
              <w:jc w:val="right"/>
              <w:rPr>
                <w:sz w:val="10"/>
                <w:szCs w:val="10"/>
                <w:lang w:val="fr-BE"/>
              </w:rPr>
            </w:pPr>
          </w:p>
        </w:tc>
        <w:tc>
          <w:tcPr>
            <w:tcW w:w="0" w:type="auto"/>
            <w:shd w:val="clear" w:color="auto" w:fill="auto"/>
          </w:tcPr>
          <w:p w14:paraId="2D98EFAB" w14:textId="77777777" w:rsidR="008C5CFA" w:rsidRPr="00601E29" w:rsidRDefault="00E82A60" w:rsidP="00300A01">
            <w:pPr>
              <w:spacing w:before="0" w:after="0"/>
              <w:jc w:val="right"/>
              <w:rPr>
                <w:sz w:val="10"/>
                <w:szCs w:val="10"/>
                <w:lang w:val="fr-BE"/>
              </w:rPr>
            </w:pPr>
            <w:r w:rsidRPr="00601E29">
              <w:rPr>
                <w:noProof/>
                <w:sz w:val="10"/>
                <w:szCs w:val="10"/>
                <w:lang w:val="fr-BE"/>
              </w:rPr>
              <w:t>16 908,00</w:t>
            </w:r>
          </w:p>
        </w:tc>
        <w:tc>
          <w:tcPr>
            <w:tcW w:w="0" w:type="auto"/>
            <w:shd w:val="clear" w:color="auto" w:fill="auto"/>
          </w:tcPr>
          <w:p w14:paraId="5F2F4E75"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shd w:val="clear" w:color="auto" w:fill="auto"/>
          </w:tcPr>
          <w:p w14:paraId="34E1C874"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54D3DDD6" w14:textId="77777777" w:rsidR="008C5CFA" w:rsidRPr="00601E29" w:rsidRDefault="00E82A60" w:rsidP="00300A01">
            <w:pPr>
              <w:spacing w:before="0" w:after="0"/>
              <w:jc w:val="right"/>
              <w:rPr>
                <w:sz w:val="10"/>
                <w:szCs w:val="10"/>
                <w:lang w:val="fr-BE"/>
              </w:rPr>
            </w:pPr>
            <w:r w:rsidRPr="00601E29">
              <w:rPr>
                <w:noProof/>
                <w:sz w:val="10"/>
                <w:szCs w:val="10"/>
                <w:lang w:val="fr-BE"/>
              </w:rPr>
              <w:t>8 179,00</w:t>
            </w:r>
          </w:p>
        </w:tc>
        <w:tc>
          <w:tcPr>
            <w:tcW w:w="0" w:type="auto"/>
            <w:shd w:val="clear" w:color="auto" w:fill="auto"/>
          </w:tcPr>
          <w:p w14:paraId="5EF23075"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shd w:val="clear" w:color="auto" w:fill="auto"/>
          </w:tcPr>
          <w:p w14:paraId="0C39F0EB"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25DC16E1" w14:textId="77777777" w:rsidR="008C5CFA" w:rsidRPr="00601E29" w:rsidRDefault="008C5CFA" w:rsidP="00300A01">
            <w:pPr>
              <w:spacing w:before="0" w:after="0"/>
              <w:jc w:val="right"/>
              <w:rPr>
                <w:sz w:val="10"/>
                <w:szCs w:val="10"/>
                <w:lang w:val="fr-BE"/>
              </w:rPr>
            </w:pPr>
          </w:p>
        </w:tc>
      </w:tr>
      <w:tr w:rsidR="006B2EC1" w14:paraId="07D78BE0" w14:textId="77777777" w:rsidTr="0047688D">
        <w:tc>
          <w:tcPr>
            <w:tcW w:w="0" w:type="auto"/>
            <w:shd w:val="clear" w:color="auto" w:fill="auto"/>
          </w:tcPr>
          <w:p w14:paraId="7FCAEA0B" w14:textId="77777777" w:rsidR="008C5CFA" w:rsidRPr="00601E29" w:rsidRDefault="00E82A60" w:rsidP="00300A01">
            <w:pPr>
              <w:spacing w:before="0" w:after="0"/>
              <w:rPr>
                <w:sz w:val="10"/>
                <w:szCs w:val="10"/>
                <w:lang w:val="fr-BE"/>
              </w:rPr>
            </w:pPr>
            <w:r w:rsidRPr="00601E29">
              <w:rPr>
                <w:noProof/>
                <w:sz w:val="10"/>
                <w:szCs w:val="10"/>
                <w:lang w:val="fr-BE"/>
              </w:rPr>
              <w:t>007</w:t>
            </w:r>
          </w:p>
        </w:tc>
        <w:tc>
          <w:tcPr>
            <w:tcW w:w="0" w:type="auto"/>
            <w:shd w:val="clear" w:color="auto" w:fill="auto"/>
          </w:tcPr>
          <w:p w14:paraId="2681AF18" w14:textId="77777777" w:rsidR="008C5CFA" w:rsidRPr="00601E29" w:rsidRDefault="00E82A60" w:rsidP="00300A01">
            <w:pPr>
              <w:spacing w:before="0" w:after="0"/>
              <w:rPr>
                <w:sz w:val="10"/>
                <w:szCs w:val="10"/>
                <w:lang w:val="fr-BE"/>
              </w:rPr>
            </w:pPr>
            <w:r w:rsidRPr="00601E29">
              <w:rPr>
                <w:noProof/>
                <w:sz w:val="10"/>
                <w:szCs w:val="10"/>
                <w:lang w:val="fr-BE"/>
              </w:rPr>
              <w:t>Liczba szkół i placówek systemu oświaty wykorzystujących sprzęt TIK do prowadzenia zajęć edukacyjnych</w:t>
            </w:r>
          </w:p>
        </w:tc>
        <w:tc>
          <w:tcPr>
            <w:tcW w:w="0" w:type="auto"/>
            <w:shd w:val="clear" w:color="auto" w:fill="auto"/>
          </w:tcPr>
          <w:p w14:paraId="5826F260" w14:textId="77777777" w:rsidR="008C5CFA" w:rsidRPr="00601E29" w:rsidRDefault="00E82A60" w:rsidP="00300A01">
            <w:pPr>
              <w:spacing w:before="0" w:after="0"/>
              <w:rPr>
                <w:sz w:val="10"/>
                <w:szCs w:val="10"/>
                <w:lang w:val="fr-BE"/>
              </w:rPr>
            </w:pPr>
            <w:r w:rsidRPr="00601E29">
              <w:rPr>
                <w:noProof/>
                <w:sz w:val="10"/>
                <w:szCs w:val="10"/>
                <w:lang w:val="fr-BE"/>
              </w:rPr>
              <w:t>Słabiej rozwinięte</w:t>
            </w:r>
          </w:p>
        </w:tc>
        <w:tc>
          <w:tcPr>
            <w:tcW w:w="0" w:type="auto"/>
            <w:shd w:val="clear" w:color="auto" w:fill="auto"/>
          </w:tcPr>
          <w:p w14:paraId="692D31BA" w14:textId="77777777" w:rsidR="008C5CFA" w:rsidRPr="00601E29" w:rsidRDefault="00E82A60" w:rsidP="00300A01">
            <w:pPr>
              <w:spacing w:before="0" w:after="0"/>
              <w:rPr>
                <w:sz w:val="10"/>
                <w:szCs w:val="10"/>
                <w:lang w:val="fr-BE"/>
              </w:rPr>
            </w:pPr>
            <w:r w:rsidRPr="00785F4A">
              <w:rPr>
                <w:noProof/>
                <w:sz w:val="10"/>
                <w:szCs w:val="10"/>
                <w:lang w:val="fr-BE"/>
              </w:rPr>
              <w:t>Liczba</w:t>
            </w:r>
            <w:r w:rsidR="00CE4603">
              <w:rPr>
                <w:sz w:val="10"/>
                <w:szCs w:val="10"/>
                <w:lang w:val="fr-BE"/>
              </w:rPr>
              <w:t xml:space="preserve"> </w:t>
            </w:r>
            <w:r w:rsidR="00CE4603">
              <w:rPr>
                <w:noProof/>
                <w:sz w:val="10"/>
                <w:szCs w:val="10"/>
                <w:lang w:val="fr-BE"/>
              </w:rPr>
              <w:t>(sztuki)</w:t>
            </w:r>
          </w:p>
        </w:tc>
        <w:tc>
          <w:tcPr>
            <w:tcW w:w="0" w:type="auto"/>
            <w:shd w:val="clear" w:color="auto" w:fill="auto"/>
          </w:tcPr>
          <w:p w14:paraId="05D99925" w14:textId="77777777" w:rsidR="008C5CFA" w:rsidRPr="00601E29" w:rsidRDefault="00E82A60" w:rsidP="00300A01">
            <w:pPr>
              <w:spacing w:before="0" w:after="0"/>
              <w:rPr>
                <w:sz w:val="10"/>
                <w:szCs w:val="10"/>
                <w:lang w:val="fr-BE"/>
              </w:rPr>
            </w:pPr>
            <w:r w:rsidRPr="00601E29">
              <w:rPr>
                <w:sz w:val="10"/>
                <w:szCs w:val="10"/>
                <w:lang w:val="fr-BE"/>
              </w:rPr>
              <w:t xml:space="preserve"> </w:t>
            </w:r>
          </w:p>
        </w:tc>
        <w:tc>
          <w:tcPr>
            <w:tcW w:w="0" w:type="auto"/>
            <w:shd w:val="clear" w:color="auto" w:fill="auto"/>
          </w:tcPr>
          <w:p w14:paraId="07D4DB7D" w14:textId="77777777" w:rsidR="008C5CFA" w:rsidRPr="00601E29" w:rsidRDefault="00E82A60" w:rsidP="00300A01">
            <w:pPr>
              <w:spacing w:before="0" w:after="0"/>
              <w:jc w:val="center"/>
              <w:rPr>
                <w:sz w:val="10"/>
                <w:szCs w:val="10"/>
                <w:lang w:val="fr-BE"/>
              </w:rPr>
            </w:pPr>
            <w:r w:rsidRPr="00601E29">
              <w:rPr>
                <w:noProof/>
                <w:sz w:val="10"/>
                <w:szCs w:val="10"/>
                <w:lang w:val="fr-BE"/>
              </w:rPr>
              <w:t>Współczynnik</w:t>
            </w:r>
          </w:p>
        </w:tc>
        <w:tc>
          <w:tcPr>
            <w:tcW w:w="0" w:type="auto"/>
            <w:shd w:val="clear" w:color="auto" w:fill="auto"/>
          </w:tcPr>
          <w:p w14:paraId="0BF502FC" w14:textId="77777777" w:rsidR="008C5CFA" w:rsidRPr="00601E29" w:rsidRDefault="00E82A60" w:rsidP="00300A01">
            <w:pPr>
              <w:spacing w:before="0" w:after="0"/>
              <w:jc w:val="right"/>
              <w:rPr>
                <w:sz w:val="10"/>
                <w:szCs w:val="10"/>
                <w:lang w:val="fr-BE"/>
              </w:rPr>
            </w:pPr>
            <w:r w:rsidRPr="00601E29">
              <w:rPr>
                <w:noProof/>
                <w:sz w:val="10"/>
                <w:szCs w:val="10"/>
                <w:lang w:val="fr-BE"/>
              </w:rPr>
              <w:t>97,00</w:t>
            </w:r>
            <w:r>
              <w:rPr>
                <w:noProof/>
                <w:sz w:val="10"/>
                <w:szCs w:val="10"/>
                <w:lang w:val="fr-BE"/>
              </w:rPr>
              <w:t>%</w:t>
            </w:r>
          </w:p>
        </w:tc>
        <w:tc>
          <w:tcPr>
            <w:tcW w:w="0" w:type="auto"/>
            <w:shd w:val="clear" w:color="auto" w:fill="auto"/>
          </w:tcPr>
          <w:p w14:paraId="51803657" w14:textId="77777777" w:rsidR="008C5CFA" w:rsidRPr="00601E29" w:rsidRDefault="008C5CFA" w:rsidP="00300A01">
            <w:pPr>
              <w:spacing w:before="0" w:after="0"/>
              <w:jc w:val="right"/>
              <w:rPr>
                <w:sz w:val="10"/>
                <w:szCs w:val="10"/>
                <w:lang w:val="fr-BE"/>
              </w:rPr>
            </w:pPr>
          </w:p>
        </w:tc>
        <w:tc>
          <w:tcPr>
            <w:tcW w:w="0" w:type="auto"/>
            <w:shd w:val="clear" w:color="auto" w:fill="auto"/>
          </w:tcPr>
          <w:p w14:paraId="3EB19BAB" w14:textId="77777777" w:rsidR="008C5CFA" w:rsidRPr="00601E29" w:rsidRDefault="008C5CFA" w:rsidP="00300A01">
            <w:pPr>
              <w:spacing w:before="0" w:after="0"/>
              <w:jc w:val="right"/>
              <w:rPr>
                <w:sz w:val="10"/>
                <w:szCs w:val="10"/>
                <w:lang w:val="fr-BE"/>
              </w:rPr>
            </w:pPr>
          </w:p>
        </w:tc>
        <w:tc>
          <w:tcPr>
            <w:tcW w:w="0" w:type="auto"/>
            <w:shd w:val="clear" w:color="auto" w:fill="auto"/>
          </w:tcPr>
          <w:p w14:paraId="3EADD6D2" w14:textId="77777777" w:rsidR="008C5CFA" w:rsidRPr="00601E29" w:rsidRDefault="00E82A60" w:rsidP="00300A01">
            <w:pPr>
              <w:spacing w:before="0" w:after="0"/>
              <w:jc w:val="right"/>
              <w:rPr>
                <w:sz w:val="10"/>
                <w:szCs w:val="10"/>
                <w:lang w:val="fr-BE"/>
              </w:rPr>
            </w:pPr>
            <w:r>
              <w:rPr>
                <w:noProof/>
                <w:sz w:val="10"/>
                <w:szCs w:val="10"/>
                <w:lang w:val="fr-BE"/>
              </w:rPr>
              <w:t>0,24</w:t>
            </w:r>
          </w:p>
        </w:tc>
        <w:tc>
          <w:tcPr>
            <w:tcW w:w="0" w:type="auto"/>
            <w:shd w:val="clear" w:color="auto" w:fill="auto"/>
          </w:tcPr>
          <w:p w14:paraId="2E171F1D" w14:textId="77777777" w:rsidR="008C5CFA" w:rsidRPr="00601E29" w:rsidRDefault="008C5CFA" w:rsidP="00300A01">
            <w:pPr>
              <w:spacing w:before="0" w:after="0"/>
              <w:jc w:val="right"/>
              <w:rPr>
                <w:sz w:val="10"/>
                <w:szCs w:val="10"/>
                <w:lang w:val="fr-BE"/>
              </w:rPr>
            </w:pPr>
          </w:p>
        </w:tc>
        <w:tc>
          <w:tcPr>
            <w:tcW w:w="0" w:type="auto"/>
            <w:shd w:val="clear" w:color="auto" w:fill="auto"/>
          </w:tcPr>
          <w:p w14:paraId="481179CB" w14:textId="77777777" w:rsidR="008C5CFA" w:rsidRPr="00601E29" w:rsidRDefault="008C5CFA" w:rsidP="00300A01">
            <w:pPr>
              <w:spacing w:before="0" w:after="0"/>
              <w:jc w:val="right"/>
              <w:rPr>
                <w:sz w:val="10"/>
                <w:szCs w:val="10"/>
                <w:lang w:val="fr-BE"/>
              </w:rPr>
            </w:pPr>
          </w:p>
        </w:tc>
        <w:tc>
          <w:tcPr>
            <w:tcW w:w="0" w:type="auto"/>
            <w:shd w:val="clear" w:color="auto" w:fill="auto"/>
          </w:tcPr>
          <w:p w14:paraId="617A4DEA" w14:textId="77777777" w:rsidR="008C5CFA" w:rsidRPr="00601E29" w:rsidRDefault="00E82A60" w:rsidP="00300A01">
            <w:pPr>
              <w:spacing w:before="0" w:after="0"/>
              <w:jc w:val="right"/>
              <w:rPr>
                <w:sz w:val="10"/>
                <w:szCs w:val="10"/>
                <w:lang w:val="fr-BE"/>
              </w:rPr>
            </w:pPr>
            <w:r w:rsidRPr="00601E29">
              <w:rPr>
                <w:noProof/>
                <w:sz w:val="10"/>
                <w:szCs w:val="10"/>
                <w:lang w:val="fr-BE"/>
              </w:rPr>
              <w:t>52,00</w:t>
            </w:r>
          </w:p>
        </w:tc>
        <w:tc>
          <w:tcPr>
            <w:tcW w:w="0" w:type="auto"/>
            <w:shd w:val="clear" w:color="auto" w:fill="auto"/>
          </w:tcPr>
          <w:p w14:paraId="2C0BFCCD"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shd w:val="clear" w:color="auto" w:fill="auto"/>
          </w:tcPr>
          <w:p w14:paraId="62EE0270"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5FE064D8" w14:textId="77777777" w:rsidR="008C5CFA" w:rsidRPr="00601E29" w:rsidRDefault="00E82A60" w:rsidP="00300A01">
            <w:pPr>
              <w:spacing w:before="0" w:after="0"/>
              <w:jc w:val="right"/>
              <w:rPr>
                <w:sz w:val="10"/>
                <w:szCs w:val="10"/>
                <w:lang w:val="fr-BE"/>
              </w:rPr>
            </w:pPr>
            <w:r w:rsidRPr="00601E29">
              <w:rPr>
                <w:noProof/>
                <w:sz w:val="10"/>
                <w:szCs w:val="10"/>
                <w:lang w:val="fr-BE"/>
              </w:rPr>
              <w:t>35,00</w:t>
            </w:r>
          </w:p>
        </w:tc>
        <w:tc>
          <w:tcPr>
            <w:tcW w:w="0" w:type="auto"/>
            <w:shd w:val="clear" w:color="auto" w:fill="auto"/>
          </w:tcPr>
          <w:p w14:paraId="3E898A5C"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shd w:val="clear" w:color="auto" w:fill="auto"/>
          </w:tcPr>
          <w:p w14:paraId="3D8DC7BC"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033448BF" w14:textId="77777777" w:rsidR="008C5CFA" w:rsidRPr="00601E29" w:rsidRDefault="008C5CFA" w:rsidP="00300A01">
            <w:pPr>
              <w:spacing w:before="0" w:after="0"/>
              <w:jc w:val="right"/>
              <w:rPr>
                <w:sz w:val="10"/>
                <w:szCs w:val="10"/>
                <w:lang w:val="fr-BE"/>
              </w:rPr>
            </w:pPr>
          </w:p>
        </w:tc>
      </w:tr>
      <w:tr w:rsidR="006B2EC1" w14:paraId="5E94F1E5" w14:textId="77777777" w:rsidTr="0047688D">
        <w:tc>
          <w:tcPr>
            <w:tcW w:w="0" w:type="auto"/>
            <w:shd w:val="clear" w:color="auto" w:fill="auto"/>
          </w:tcPr>
          <w:p w14:paraId="731DC499" w14:textId="77777777" w:rsidR="008C5CFA" w:rsidRPr="00601E29" w:rsidRDefault="00E82A60" w:rsidP="00300A01">
            <w:pPr>
              <w:spacing w:before="0" w:after="0"/>
              <w:rPr>
                <w:sz w:val="10"/>
                <w:szCs w:val="10"/>
                <w:lang w:val="fr-BE"/>
              </w:rPr>
            </w:pPr>
            <w:r w:rsidRPr="00601E29">
              <w:rPr>
                <w:noProof/>
                <w:sz w:val="10"/>
                <w:szCs w:val="10"/>
                <w:lang w:val="fr-BE"/>
              </w:rPr>
              <w:t>008</w:t>
            </w:r>
          </w:p>
        </w:tc>
        <w:tc>
          <w:tcPr>
            <w:tcW w:w="0" w:type="auto"/>
            <w:shd w:val="clear" w:color="auto" w:fill="auto"/>
          </w:tcPr>
          <w:p w14:paraId="580C2991" w14:textId="77777777" w:rsidR="008C5CFA" w:rsidRPr="00601E29" w:rsidRDefault="00E82A60" w:rsidP="00300A01">
            <w:pPr>
              <w:spacing w:before="0" w:after="0"/>
              <w:rPr>
                <w:sz w:val="10"/>
                <w:szCs w:val="10"/>
                <w:lang w:val="fr-BE"/>
              </w:rPr>
            </w:pPr>
            <w:r w:rsidRPr="00601E29">
              <w:rPr>
                <w:noProof/>
                <w:sz w:val="10"/>
                <w:szCs w:val="10"/>
                <w:lang w:val="fr-BE"/>
              </w:rPr>
              <w:t>Liczba szkół, w których pracownie przedmiotowe wykorzystują doposażenie do prowadzenia zajęć edukacyjnych</w:t>
            </w:r>
          </w:p>
        </w:tc>
        <w:tc>
          <w:tcPr>
            <w:tcW w:w="0" w:type="auto"/>
            <w:shd w:val="clear" w:color="auto" w:fill="auto"/>
          </w:tcPr>
          <w:p w14:paraId="65A3844D" w14:textId="77777777" w:rsidR="008C5CFA" w:rsidRPr="00601E29" w:rsidRDefault="00E82A60" w:rsidP="00300A01">
            <w:pPr>
              <w:spacing w:before="0" w:after="0"/>
              <w:rPr>
                <w:sz w:val="10"/>
                <w:szCs w:val="10"/>
                <w:lang w:val="fr-BE"/>
              </w:rPr>
            </w:pPr>
            <w:r w:rsidRPr="00601E29">
              <w:rPr>
                <w:noProof/>
                <w:sz w:val="10"/>
                <w:szCs w:val="10"/>
                <w:lang w:val="fr-BE"/>
              </w:rPr>
              <w:t>Słabiej rozwinięte</w:t>
            </w:r>
          </w:p>
        </w:tc>
        <w:tc>
          <w:tcPr>
            <w:tcW w:w="0" w:type="auto"/>
            <w:shd w:val="clear" w:color="auto" w:fill="auto"/>
          </w:tcPr>
          <w:p w14:paraId="4D177C00" w14:textId="77777777" w:rsidR="008C5CFA" w:rsidRPr="00601E29" w:rsidRDefault="00E82A60" w:rsidP="00300A01">
            <w:pPr>
              <w:spacing w:before="0" w:after="0"/>
              <w:rPr>
                <w:sz w:val="10"/>
                <w:szCs w:val="10"/>
                <w:lang w:val="fr-BE"/>
              </w:rPr>
            </w:pPr>
            <w:r w:rsidRPr="00785F4A">
              <w:rPr>
                <w:noProof/>
                <w:sz w:val="10"/>
                <w:szCs w:val="10"/>
                <w:lang w:val="fr-BE"/>
              </w:rPr>
              <w:t>Liczba</w:t>
            </w:r>
            <w:r w:rsidR="00CE4603">
              <w:rPr>
                <w:sz w:val="10"/>
                <w:szCs w:val="10"/>
                <w:lang w:val="fr-BE"/>
              </w:rPr>
              <w:t xml:space="preserve"> </w:t>
            </w:r>
            <w:r w:rsidR="00CE4603">
              <w:rPr>
                <w:noProof/>
                <w:sz w:val="10"/>
                <w:szCs w:val="10"/>
                <w:lang w:val="fr-BE"/>
              </w:rPr>
              <w:t>(sztuki)</w:t>
            </w:r>
          </w:p>
        </w:tc>
        <w:tc>
          <w:tcPr>
            <w:tcW w:w="0" w:type="auto"/>
            <w:shd w:val="clear" w:color="auto" w:fill="auto"/>
          </w:tcPr>
          <w:p w14:paraId="18FCF9C6" w14:textId="77777777" w:rsidR="008C5CFA" w:rsidRPr="00601E29" w:rsidRDefault="00E82A60" w:rsidP="00300A01">
            <w:pPr>
              <w:spacing w:before="0" w:after="0"/>
              <w:rPr>
                <w:sz w:val="10"/>
                <w:szCs w:val="10"/>
                <w:lang w:val="fr-BE"/>
              </w:rPr>
            </w:pPr>
            <w:r w:rsidRPr="00601E29">
              <w:rPr>
                <w:sz w:val="10"/>
                <w:szCs w:val="10"/>
                <w:lang w:val="fr-BE"/>
              </w:rPr>
              <w:t xml:space="preserve"> </w:t>
            </w:r>
          </w:p>
        </w:tc>
        <w:tc>
          <w:tcPr>
            <w:tcW w:w="0" w:type="auto"/>
            <w:shd w:val="clear" w:color="auto" w:fill="auto"/>
          </w:tcPr>
          <w:p w14:paraId="3C06D861" w14:textId="77777777" w:rsidR="008C5CFA" w:rsidRPr="00601E29" w:rsidRDefault="00E82A60" w:rsidP="00300A01">
            <w:pPr>
              <w:spacing w:before="0" w:after="0"/>
              <w:jc w:val="center"/>
              <w:rPr>
                <w:sz w:val="10"/>
                <w:szCs w:val="10"/>
                <w:lang w:val="fr-BE"/>
              </w:rPr>
            </w:pPr>
            <w:r w:rsidRPr="00601E29">
              <w:rPr>
                <w:noProof/>
                <w:sz w:val="10"/>
                <w:szCs w:val="10"/>
                <w:lang w:val="fr-BE"/>
              </w:rPr>
              <w:t>Współczynnik</w:t>
            </w:r>
          </w:p>
        </w:tc>
        <w:tc>
          <w:tcPr>
            <w:tcW w:w="0" w:type="auto"/>
            <w:shd w:val="clear" w:color="auto" w:fill="auto"/>
          </w:tcPr>
          <w:p w14:paraId="6DA7C499" w14:textId="77777777" w:rsidR="008C5CFA" w:rsidRPr="00601E29" w:rsidRDefault="00E82A60" w:rsidP="00300A01">
            <w:pPr>
              <w:spacing w:before="0" w:after="0"/>
              <w:jc w:val="right"/>
              <w:rPr>
                <w:sz w:val="10"/>
                <w:szCs w:val="10"/>
                <w:lang w:val="fr-BE"/>
              </w:rPr>
            </w:pPr>
            <w:r w:rsidRPr="00601E29">
              <w:rPr>
                <w:noProof/>
                <w:sz w:val="10"/>
                <w:szCs w:val="10"/>
                <w:lang w:val="fr-BE"/>
              </w:rPr>
              <w:t>97,00</w:t>
            </w:r>
            <w:r>
              <w:rPr>
                <w:noProof/>
                <w:sz w:val="10"/>
                <w:szCs w:val="10"/>
                <w:lang w:val="fr-BE"/>
              </w:rPr>
              <w:t>%</w:t>
            </w:r>
          </w:p>
        </w:tc>
        <w:tc>
          <w:tcPr>
            <w:tcW w:w="0" w:type="auto"/>
            <w:shd w:val="clear" w:color="auto" w:fill="auto"/>
          </w:tcPr>
          <w:p w14:paraId="582E06BC" w14:textId="77777777" w:rsidR="008C5CFA" w:rsidRPr="00601E29" w:rsidRDefault="008C5CFA" w:rsidP="00300A01">
            <w:pPr>
              <w:spacing w:before="0" w:after="0"/>
              <w:jc w:val="right"/>
              <w:rPr>
                <w:sz w:val="10"/>
                <w:szCs w:val="10"/>
                <w:lang w:val="fr-BE"/>
              </w:rPr>
            </w:pPr>
          </w:p>
        </w:tc>
        <w:tc>
          <w:tcPr>
            <w:tcW w:w="0" w:type="auto"/>
            <w:shd w:val="clear" w:color="auto" w:fill="auto"/>
          </w:tcPr>
          <w:p w14:paraId="78C53C86" w14:textId="77777777" w:rsidR="008C5CFA" w:rsidRPr="00601E29" w:rsidRDefault="008C5CFA" w:rsidP="00300A01">
            <w:pPr>
              <w:spacing w:before="0" w:after="0"/>
              <w:jc w:val="right"/>
              <w:rPr>
                <w:sz w:val="10"/>
                <w:szCs w:val="10"/>
                <w:lang w:val="fr-BE"/>
              </w:rPr>
            </w:pPr>
          </w:p>
        </w:tc>
        <w:tc>
          <w:tcPr>
            <w:tcW w:w="0" w:type="auto"/>
            <w:shd w:val="clear" w:color="auto" w:fill="auto"/>
          </w:tcPr>
          <w:p w14:paraId="41AFE5E7" w14:textId="77777777" w:rsidR="008C5CFA" w:rsidRPr="00601E29" w:rsidRDefault="00E82A60" w:rsidP="00300A01">
            <w:pPr>
              <w:spacing w:before="0" w:after="0"/>
              <w:jc w:val="right"/>
              <w:rPr>
                <w:sz w:val="10"/>
                <w:szCs w:val="10"/>
                <w:lang w:val="fr-BE"/>
              </w:rPr>
            </w:pPr>
            <w:r>
              <w:rPr>
                <w:noProof/>
                <w:sz w:val="10"/>
                <w:szCs w:val="10"/>
                <w:lang w:val="fr-BE"/>
              </w:rPr>
              <w:t>0,25</w:t>
            </w:r>
          </w:p>
        </w:tc>
        <w:tc>
          <w:tcPr>
            <w:tcW w:w="0" w:type="auto"/>
            <w:shd w:val="clear" w:color="auto" w:fill="auto"/>
          </w:tcPr>
          <w:p w14:paraId="1413A743" w14:textId="77777777" w:rsidR="008C5CFA" w:rsidRPr="00601E29" w:rsidRDefault="008C5CFA" w:rsidP="00300A01">
            <w:pPr>
              <w:spacing w:before="0" w:after="0"/>
              <w:jc w:val="right"/>
              <w:rPr>
                <w:sz w:val="10"/>
                <w:szCs w:val="10"/>
                <w:lang w:val="fr-BE"/>
              </w:rPr>
            </w:pPr>
          </w:p>
        </w:tc>
        <w:tc>
          <w:tcPr>
            <w:tcW w:w="0" w:type="auto"/>
            <w:shd w:val="clear" w:color="auto" w:fill="auto"/>
          </w:tcPr>
          <w:p w14:paraId="51046EBC" w14:textId="77777777" w:rsidR="008C5CFA" w:rsidRPr="00601E29" w:rsidRDefault="008C5CFA" w:rsidP="00300A01">
            <w:pPr>
              <w:spacing w:before="0" w:after="0"/>
              <w:jc w:val="right"/>
              <w:rPr>
                <w:sz w:val="10"/>
                <w:szCs w:val="10"/>
                <w:lang w:val="fr-BE"/>
              </w:rPr>
            </w:pPr>
          </w:p>
        </w:tc>
        <w:tc>
          <w:tcPr>
            <w:tcW w:w="0" w:type="auto"/>
            <w:shd w:val="clear" w:color="auto" w:fill="auto"/>
          </w:tcPr>
          <w:p w14:paraId="32190162" w14:textId="77777777" w:rsidR="008C5CFA" w:rsidRPr="00601E29" w:rsidRDefault="00E82A60" w:rsidP="00300A01">
            <w:pPr>
              <w:spacing w:before="0" w:after="0"/>
              <w:jc w:val="right"/>
              <w:rPr>
                <w:sz w:val="10"/>
                <w:szCs w:val="10"/>
                <w:lang w:val="fr-BE"/>
              </w:rPr>
            </w:pPr>
            <w:r w:rsidRPr="00601E29">
              <w:rPr>
                <w:noProof/>
                <w:sz w:val="10"/>
                <w:szCs w:val="10"/>
                <w:lang w:val="fr-BE"/>
              </w:rPr>
              <w:t>38,00</w:t>
            </w:r>
          </w:p>
        </w:tc>
        <w:tc>
          <w:tcPr>
            <w:tcW w:w="0" w:type="auto"/>
            <w:shd w:val="clear" w:color="auto" w:fill="auto"/>
          </w:tcPr>
          <w:p w14:paraId="0456D356"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shd w:val="clear" w:color="auto" w:fill="auto"/>
          </w:tcPr>
          <w:p w14:paraId="11F64FB4"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315C6E7B" w14:textId="77777777" w:rsidR="008C5CFA" w:rsidRPr="00601E29" w:rsidRDefault="00E82A60" w:rsidP="00300A01">
            <w:pPr>
              <w:spacing w:before="0" w:after="0"/>
              <w:jc w:val="right"/>
              <w:rPr>
                <w:sz w:val="10"/>
                <w:szCs w:val="10"/>
                <w:lang w:val="fr-BE"/>
              </w:rPr>
            </w:pPr>
            <w:r w:rsidRPr="00601E29">
              <w:rPr>
                <w:noProof/>
                <w:sz w:val="10"/>
                <w:szCs w:val="10"/>
                <w:lang w:val="fr-BE"/>
              </w:rPr>
              <w:t>22,00</w:t>
            </w:r>
          </w:p>
        </w:tc>
        <w:tc>
          <w:tcPr>
            <w:tcW w:w="0" w:type="auto"/>
            <w:shd w:val="clear" w:color="auto" w:fill="auto"/>
          </w:tcPr>
          <w:p w14:paraId="4207201A"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shd w:val="clear" w:color="auto" w:fill="auto"/>
          </w:tcPr>
          <w:p w14:paraId="266760DC"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66FBA279" w14:textId="77777777" w:rsidR="008C5CFA" w:rsidRPr="00601E29" w:rsidRDefault="008C5CFA" w:rsidP="00300A01">
            <w:pPr>
              <w:spacing w:before="0" w:after="0"/>
              <w:jc w:val="right"/>
              <w:rPr>
                <w:sz w:val="10"/>
                <w:szCs w:val="10"/>
                <w:lang w:val="fr-BE"/>
              </w:rPr>
            </w:pPr>
          </w:p>
        </w:tc>
      </w:tr>
      <w:tr w:rsidR="006B2EC1" w14:paraId="23653B89" w14:textId="77777777" w:rsidTr="0047688D">
        <w:tc>
          <w:tcPr>
            <w:tcW w:w="0" w:type="auto"/>
            <w:shd w:val="clear" w:color="auto" w:fill="auto"/>
          </w:tcPr>
          <w:p w14:paraId="1310B449" w14:textId="77777777" w:rsidR="008C5CFA" w:rsidRPr="00601E29" w:rsidRDefault="00E82A60" w:rsidP="00300A01">
            <w:pPr>
              <w:spacing w:before="0" w:after="0"/>
              <w:rPr>
                <w:sz w:val="10"/>
                <w:szCs w:val="10"/>
                <w:lang w:val="fr-BE"/>
              </w:rPr>
            </w:pPr>
            <w:r w:rsidRPr="00601E29">
              <w:rPr>
                <w:noProof/>
                <w:sz w:val="10"/>
                <w:szCs w:val="10"/>
                <w:lang w:val="fr-BE"/>
              </w:rPr>
              <w:t>009</w:t>
            </w:r>
          </w:p>
        </w:tc>
        <w:tc>
          <w:tcPr>
            <w:tcW w:w="0" w:type="auto"/>
            <w:shd w:val="clear" w:color="auto" w:fill="auto"/>
          </w:tcPr>
          <w:p w14:paraId="02E1230C" w14:textId="77777777" w:rsidR="008C5CFA" w:rsidRPr="00601E29" w:rsidRDefault="00E82A60" w:rsidP="00300A01">
            <w:pPr>
              <w:spacing w:before="0" w:after="0"/>
              <w:rPr>
                <w:sz w:val="10"/>
                <w:szCs w:val="10"/>
                <w:lang w:val="fr-BE"/>
              </w:rPr>
            </w:pPr>
            <w:r w:rsidRPr="00601E29">
              <w:rPr>
                <w:noProof/>
                <w:sz w:val="10"/>
                <w:szCs w:val="10"/>
                <w:lang w:val="fr-BE"/>
              </w:rPr>
              <w:t>Liczba nauczycieli, którzy uzyskali kwalifikacje lub nabyli kompetencje po opuszczeniu programu</w:t>
            </w:r>
          </w:p>
        </w:tc>
        <w:tc>
          <w:tcPr>
            <w:tcW w:w="0" w:type="auto"/>
            <w:shd w:val="clear" w:color="auto" w:fill="auto"/>
          </w:tcPr>
          <w:p w14:paraId="120A44A0" w14:textId="77777777" w:rsidR="008C5CFA" w:rsidRPr="00601E29" w:rsidRDefault="00E82A60" w:rsidP="00300A01">
            <w:pPr>
              <w:spacing w:before="0" w:after="0"/>
              <w:rPr>
                <w:sz w:val="10"/>
                <w:szCs w:val="10"/>
                <w:lang w:val="fr-BE"/>
              </w:rPr>
            </w:pPr>
            <w:r w:rsidRPr="00601E29">
              <w:rPr>
                <w:noProof/>
                <w:sz w:val="10"/>
                <w:szCs w:val="10"/>
                <w:lang w:val="fr-BE"/>
              </w:rPr>
              <w:t>Słabiej rozwinięte</w:t>
            </w:r>
          </w:p>
        </w:tc>
        <w:tc>
          <w:tcPr>
            <w:tcW w:w="0" w:type="auto"/>
            <w:shd w:val="clear" w:color="auto" w:fill="auto"/>
          </w:tcPr>
          <w:p w14:paraId="2EF7699F" w14:textId="77777777" w:rsidR="008C5CFA" w:rsidRPr="00601E29" w:rsidRDefault="00E82A60" w:rsidP="00300A01">
            <w:pPr>
              <w:spacing w:before="0" w:after="0"/>
              <w:rPr>
                <w:sz w:val="10"/>
                <w:szCs w:val="10"/>
                <w:lang w:val="fr-BE"/>
              </w:rPr>
            </w:pPr>
            <w:r w:rsidRPr="00785F4A">
              <w:rPr>
                <w:noProof/>
                <w:sz w:val="10"/>
                <w:szCs w:val="10"/>
                <w:lang w:val="fr-BE"/>
              </w:rPr>
              <w:t>Liczba</w:t>
            </w:r>
            <w:r w:rsidR="00CE4603">
              <w:rPr>
                <w:sz w:val="10"/>
                <w:szCs w:val="10"/>
                <w:lang w:val="fr-BE"/>
              </w:rPr>
              <w:t xml:space="preserve"> </w:t>
            </w:r>
            <w:r w:rsidR="00CE4603">
              <w:rPr>
                <w:noProof/>
                <w:sz w:val="10"/>
                <w:szCs w:val="10"/>
                <w:lang w:val="fr-BE"/>
              </w:rPr>
              <w:t>(osoba)</w:t>
            </w:r>
          </w:p>
        </w:tc>
        <w:tc>
          <w:tcPr>
            <w:tcW w:w="0" w:type="auto"/>
            <w:shd w:val="clear" w:color="auto" w:fill="auto"/>
          </w:tcPr>
          <w:p w14:paraId="649BCBC8" w14:textId="77777777" w:rsidR="008C5CFA" w:rsidRPr="00601E29" w:rsidRDefault="00E82A60" w:rsidP="00300A01">
            <w:pPr>
              <w:spacing w:before="0" w:after="0"/>
              <w:rPr>
                <w:sz w:val="10"/>
                <w:szCs w:val="10"/>
                <w:lang w:val="fr-BE"/>
              </w:rPr>
            </w:pPr>
            <w:r w:rsidRPr="00601E29">
              <w:rPr>
                <w:sz w:val="10"/>
                <w:szCs w:val="10"/>
                <w:lang w:val="fr-BE"/>
              </w:rPr>
              <w:t xml:space="preserve"> </w:t>
            </w:r>
          </w:p>
        </w:tc>
        <w:tc>
          <w:tcPr>
            <w:tcW w:w="0" w:type="auto"/>
            <w:shd w:val="clear" w:color="auto" w:fill="auto"/>
          </w:tcPr>
          <w:p w14:paraId="47E59B63" w14:textId="77777777" w:rsidR="008C5CFA" w:rsidRPr="00601E29" w:rsidRDefault="00E82A60" w:rsidP="00300A01">
            <w:pPr>
              <w:spacing w:before="0" w:after="0"/>
              <w:jc w:val="center"/>
              <w:rPr>
                <w:sz w:val="10"/>
                <w:szCs w:val="10"/>
                <w:lang w:val="fr-BE"/>
              </w:rPr>
            </w:pPr>
            <w:r w:rsidRPr="00601E29">
              <w:rPr>
                <w:noProof/>
                <w:sz w:val="10"/>
                <w:szCs w:val="10"/>
                <w:lang w:val="fr-BE"/>
              </w:rPr>
              <w:t>Współczynnik</w:t>
            </w:r>
          </w:p>
        </w:tc>
        <w:tc>
          <w:tcPr>
            <w:tcW w:w="0" w:type="auto"/>
            <w:shd w:val="clear" w:color="auto" w:fill="auto"/>
          </w:tcPr>
          <w:p w14:paraId="4E86F5BD" w14:textId="77777777" w:rsidR="008C5CFA" w:rsidRPr="00601E29" w:rsidRDefault="00E82A60" w:rsidP="00300A01">
            <w:pPr>
              <w:spacing w:before="0" w:after="0"/>
              <w:jc w:val="right"/>
              <w:rPr>
                <w:sz w:val="10"/>
                <w:szCs w:val="10"/>
                <w:lang w:val="fr-BE"/>
              </w:rPr>
            </w:pPr>
            <w:r w:rsidRPr="00601E29">
              <w:rPr>
                <w:noProof/>
                <w:sz w:val="10"/>
                <w:szCs w:val="10"/>
                <w:lang w:val="fr-BE"/>
              </w:rPr>
              <w:t>80,00</w:t>
            </w:r>
            <w:r>
              <w:rPr>
                <w:noProof/>
                <w:sz w:val="10"/>
                <w:szCs w:val="10"/>
                <w:lang w:val="fr-BE"/>
              </w:rPr>
              <w:t>%</w:t>
            </w:r>
          </w:p>
        </w:tc>
        <w:tc>
          <w:tcPr>
            <w:tcW w:w="0" w:type="auto"/>
            <w:shd w:val="clear" w:color="auto" w:fill="auto"/>
          </w:tcPr>
          <w:p w14:paraId="2A8E2628" w14:textId="77777777" w:rsidR="008C5CFA" w:rsidRPr="00601E29" w:rsidRDefault="008C5CFA" w:rsidP="00300A01">
            <w:pPr>
              <w:spacing w:before="0" w:after="0"/>
              <w:jc w:val="right"/>
              <w:rPr>
                <w:sz w:val="10"/>
                <w:szCs w:val="10"/>
                <w:lang w:val="fr-BE"/>
              </w:rPr>
            </w:pPr>
          </w:p>
        </w:tc>
        <w:tc>
          <w:tcPr>
            <w:tcW w:w="0" w:type="auto"/>
            <w:shd w:val="clear" w:color="auto" w:fill="auto"/>
          </w:tcPr>
          <w:p w14:paraId="2A5AA5D9" w14:textId="77777777" w:rsidR="008C5CFA" w:rsidRPr="00601E29" w:rsidRDefault="008C5CFA" w:rsidP="00300A01">
            <w:pPr>
              <w:spacing w:before="0" w:after="0"/>
              <w:jc w:val="right"/>
              <w:rPr>
                <w:sz w:val="10"/>
                <w:szCs w:val="10"/>
                <w:lang w:val="fr-BE"/>
              </w:rPr>
            </w:pPr>
          </w:p>
        </w:tc>
        <w:tc>
          <w:tcPr>
            <w:tcW w:w="0" w:type="auto"/>
            <w:shd w:val="clear" w:color="auto" w:fill="auto"/>
          </w:tcPr>
          <w:p w14:paraId="72993D16" w14:textId="77777777" w:rsidR="008C5CFA" w:rsidRPr="00601E29" w:rsidRDefault="00E82A60" w:rsidP="00300A01">
            <w:pPr>
              <w:spacing w:before="0" w:after="0"/>
              <w:jc w:val="right"/>
              <w:rPr>
                <w:sz w:val="10"/>
                <w:szCs w:val="10"/>
                <w:lang w:val="fr-BE"/>
              </w:rPr>
            </w:pPr>
            <w:r>
              <w:rPr>
                <w:noProof/>
                <w:sz w:val="10"/>
                <w:szCs w:val="10"/>
                <w:lang w:val="fr-BE"/>
              </w:rPr>
              <w:t>1,14</w:t>
            </w:r>
          </w:p>
        </w:tc>
        <w:tc>
          <w:tcPr>
            <w:tcW w:w="0" w:type="auto"/>
            <w:shd w:val="clear" w:color="auto" w:fill="auto"/>
          </w:tcPr>
          <w:p w14:paraId="7BC96B3A" w14:textId="77777777" w:rsidR="008C5CFA" w:rsidRPr="00601E29" w:rsidRDefault="008C5CFA" w:rsidP="00300A01">
            <w:pPr>
              <w:spacing w:before="0" w:after="0"/>
              <w:jc w:val="right"/>
              <w:rPr>
                <w:sz w:val="10"/>
                <w:szCs w:val="10"/>
                <w:lang w:val="fr-BE"/>
              </w:rPr>
            </w:pPr>
          </w:p>
        </w:tc>
        <w:tc>
          <w:tcPr>
            <w:tcW w:w="0" w:type="auto"/>
            <w:shd w:val="clear" w:color="auto" w:fill="auto"/>
          </w:tcPr>
          <w:p w14:paraId="7923822F" w14:textId="77777777" w:rsidR="008C5CFA" w:rsidRPr="00601E29" w:rsidRDefault="008C5CFA" w:rsidP="00300A01">
            <w:pPr>
              <w:spacing w:before="0" w:after="0"/>
              <w:jc w:val="right"/>
              <w:rPr>
                <w:sz w:val="10"/>
                <w:szCs w:val="10"/>
                <w:lang w:val="fr-BE"/>
              </w:rPr>
            </w:pPr>
          </w:p>
        </w:tc>
        <w:tc>
          <w:tcPr>
            <w:tcW w:w="0" w:type="auto"/>
            <w:shd w:val="clear" w:color="auto" w:fill="auto"/>
          </w:tcPr>
          <w:p w14:paraId="6246377D" w14:textId="77777777" w:rsidR="008C5CFA" w:rsidRPr="00601E29" w:rsidRDefault="00E82A60" w:rsidP="00300A01">
            <w:pPr>
              <w:spacing w:before="0" w:after="0"/>
              <w:jc w:val="right"/>
              <w:rPr>
                <w:sz w:val="10"/>
                <w:szCs w:val="10"/>
                <w:lang w:val="fr-BE"/>
              </w:rPr>
            </w:pPr>
            <w:r w:rsidRPr="00601E29">
              <w:rPr>
                <w:noProof/>
                <w:sz w:val="10"/>
                <w:szCs w:val="10"/>
                <w:lang w:val="fr-BE"/>
              </w:rPr>
              <w:t>2 671,00</w:t>
            </w:r>
          </w:p>
        </w:tc>
        <w:tc>
          <w:tcPr>
            <w:tcW w:w="0" w:type="auto"/>
            <w:shd w:val="clear" w:color="auto" w:fill="auto"/>
          </w:tcPr>
          <w:p w14:paraId="3ACB9E56"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shd w:val="clear" w:color="auto" w:fill="auto"/>
          </w:tcPr>
          <w:p w14:paraId="3086209C"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249DD292" w14:textId="77777777" w:rsidR="008C5CFA" w:rsidRPr="00601E29" w:rsidRDefault="00E82A60" w:rsidP="00300A01">
            <w:pPr>
              <w:spacing w:before="0" w:after="0"/>
              <w:jc w:val="right"/>
              <w:rPr>
                <w:sz w:val="10"/>
                <w:szCs w:val="10"/>
                <w:lang w:val="fr-BE"/>
              </w:rPr>
            </w:pPr>
            <w:r w:rsidRPr="00601E29">
              <w:rPr>
                <w:noProof/>
                <w:sz w:val="10"/>
                <w:szCs w:val="10"/>
                <w:lang w:val="fr-BE"/>
              </w:rPr>
              <w:t>1 466,00</w:t>
            </w:r>
          </w:p>
        </w:tc>
        <w:tc>
          <w:tcPr>
            <w:tcW w:w="0" w:type="auto"/>
            <w:shd w:val="clear" w:color="auto" w:fill="auto"/>
          </w:tcPr>
          <w:p w14:paraId="55A3F2F8"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shd w:val="clear" w:color="auto" w:fill="auto"/>
          </w:tcPr>
          <w:p w14:paraId="0DACFC53"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4058A2AA" w14:textId="77777777" w:rsidR="008C5CFA" w:rsidRPr="00601E29" w:rsidRDefault="008C5CFA" w:rsidP="00300A01">
            <w:pPr>
              <w:spacing w:before="0" w:after="0"/>
              <w:jc w:val="right"/>
              <w:rPr>
                <w:sz w:val="10"/>
                <w:szCs w:val="10"/>
                <w:lang w:val="fr-BE"/>
              </w:rPr>
            </w:pPr>
          </w:p>
        </w:tc>
      </w:tr>
      <w:tr w:rsidR="006B2EC1" w14:paraId="10D81417" w14:textId="77777777" w:rsidTr="0047688D">
        <w:tc>
          <w:tcPr>
            <w:tcW w:w="0" w:type="auto"/>
            <w:shd w:val="clear" w:color="auto" w:fill="auto"/>
          </w:tcPr>
          <w:p w14:paraId="7DA9C032" w14:textId="77777777" w:rsidR="008C5CFA" w:rsidRPr="00601E29" w:rsidRDefault="00E82A60" w:rsidP="00300A01">
            <w:pPr>
              <w:spacing w:before="0" w:after="0"/>
              <w:rPr>
                <w:sz w:val="10"/>
                <w:szCs w:val="10"/>
                <w:lang w:val="fr-BE"/>
              </w:rPr>
            </w:pPr>
            <w:r w:rsidRPr="00601E29">
              <w:rPr>
                <w:noProof/>
                <w:sz w:val="10"/>
                <w:szCs w:val="10"/>
                <w:lang w:val="fr-BE"/>
              </w:rPr>
              <w:t>010</w:t>
            </w:r>
          </w:p>
        </w:tc>
        <w:tc>
          <w:tcPr>
            <w:tcW w:w="0" w:type="auto"/>
            <w:shd w:val="clear" w:color="auto" w:fill="auto"/>
          </w:tcPr>
          <w:p w14:paraId="743F3EAA" w14:textId="77777777" w:rsidR="008C5CFA" w:rsidRPr="00601E29" w:rsidRDefault="00E82A60" w:rsidP="00300A01">
            <w:pPr>
              <w:spacing w:before="0" w:after="0"/>
              <w:rPr>
                <w:sz w:val="10"/>
                <w:szCs w:val="10"/>
                <w:lang w:val="fr-BE"/>
              </w:rPr>
            </w:pPr>
            <w:r w:rsidRPr="00601E29">
              <w:rPr>
                <w:noProof/>
                <w:sz w:val="10"/>
                <w:szCs w:val="10"/>
                <w:lang w:val="fr-BE"/>
              </w:rPr>
              <w:t>Liczba nauczycieli prowadzących zajęcia z wykorzystaniem TIK dzięki EFS</w:t>
            </w:r>
          </w:p>
        </w:tc>
        <w:tc>
          <w:tcPr>
            <w:tcW w:w="0" w:type="auto"/>
            <w:shd w:val="clear" w:color="auto" w:fill="auto"/>
          </w:tcPr>
          <w:p w14:paraId="3953ED61" w14:textId="77777777" w:rsidR="008C5CFA" w:rsidRPr="00601E29" w:rsidRDefault="00E82A60" w:rsidP="00300A01">
            <w:pPr>
              <w:spacing w:before="0" w:after="0"/>
              <w:rPr>
                <w:sz w:val="10"/>
                <w:szCs w:val="10"/>
                <w:lang w:val="fr-BE"/>
              </w:rPr>
            </w:pPr>
            <w:r w:rsidRPr="00601E29">
              <w:rPr>
                <w:noProof/>
                <w:sz w:val="10"/>
                <w:szCs w:val="10"/>
                <w:lang w:val="fr-BE"/>
              </w:rPr>
              <w:t>Słabiej rozwinięte</w:t>
            </w:r>
          </w:p>
        </w:tc>
        <w:tc>
          <w:tcPr>
            <w:tcW w:w="0" w:type="auto"/>
            <w:shd w:val="clear" w:color="auto" w:fill="auto"/>
          </w:tcPr>
          <w:p w14:paraId="63C6722F" w14:textId="77777777" w:rsidR="008C5CFA" w:rsidRPr="00601E29" w:rsidRDefault="00E82A60" w:rsidP="00300A01">
            <w:pPr>
              <w:spacing w:before="0" w:after="0"/>
              <w:rPr>
                <w:sz w:val="10"/>
                <w:szCs w:val="10"/>
                <w:lang w:val="fr-BE"/>
              </w:rPr>
            </w:pPr>
            <w:r w:rsidRPr="00785F4A">
              <w:rPr>
                <w:noProof/>
                <w:sz w:val="10"/>
                <w:szCs w:val="10"/>
                <w:lang w:val="fr-BE"/>
              </w:rPr>
              <w:t>Liczba</w:t>
            </w:r>
            <w:r w:rsidR="00CE4603">
              <w:rPr>
                <w:sz w:val="10"/>
                <w:szCs w:val="10"/>
                <w:lang w:val="fr-BE"/>
              </w:rPr>
              <w:t xml:space="preserve"> </w:t>
            </w:r>
            <w:r w:rsidR="00CE4603">
              <w:rPr>
                <w:noProof/>
                <w:sz w:val="10"/>
                <w:szCs w:val="10"/>
                <w:lang w:val="fr-BE"/>
              </w:rPr>
              <w:t>(osoba)</w:t>
            </w:r>
          </w:p>
        </w:tc>
        <w:tc>
          <w:tcPr>
            <w:tcW w:w="0" w:type="auto"/>
            <w:shd w:val="clear" w:color="auto" w:fill="auto"/>
          </w:tcPr>
          <w:p w14:paraId="4F176E02" w14:textId="77777777" w:rsidR="008C5CFA" w:rsidRPr="00601E29" w:rsidRDefault="00E82A60" w:rsidP="00300A01">
            <w:pPr>
              <w:spacing w:before="0" w:after="0"/>
              <w:rPr>
                <w:sz w:val="10"/>
                <w:szCs w:val="10"/>
                <w:lang w:val="fr-BE"/>
              </w:rPr>
            </w:pPr>
            <w:r w:rsidRPr="00601E29">
              <w:rPr>
                <w:sz w:val="10"/>
                <w:szCs w:val="10"/>
                <w:lang w:val="fr-BE"/>
              </w:rPr>
              <w:t xml:space="preserve"> </w:t>
            </w:r>
          </w:p>
        </w:tc>
        <w:tc>
          <w:tcPr>
            <w:tcW w:w="0" w:type="auto"/>
            <w:shd w:val="clear" w:color="auto" w:fill="auto"/>
          </w:tcPr>
          <w:p w14:paraId="50E42302" w14:textId="77777777" w:rsidR="008C5CFA" w:rsidRPr="00601E29" w:rsidRDefault="00E82A60" w:rsidP="00300A01">
            <w:pPr>
              <w:spacing w:before="0" w:after="0"/>
              <w:jc w:val="center"/>
              <w:rPr>
                <w:sz w:val="10"/>
                <w:szCs w:val="10"/>
                <w:lang w:val="fr-BE"/>
              </w:rPr>
            </w:pPr>
            <w:r w:rsidRPr="00601E29">
              <w:rPr>
                <w:noProof/>
                <w:sz w:val="10"/>
                <w:szCs w:val="10"/>
                <w:lang w:val="fr-BE"/>
              </w:rPr>
              <w:t>Współczynnik</w:t>
            </w:r>
          </w:p>
        </w:tc>
        <w:tc>
          <w:tcPr>
            <w:tcW w:w="0" w:type="auto"/>
            <w:shd w:val="clear" w:color="auto" w:fill="auto"/>
          </w:tcPr>
          <w:p w14:paraId="5B1FED39" w14:textId="77777777" w:rsidR="008C5CFA" w:rsidRPr="00601E29" w:rsidRDefault="00E82A60" w:rsidP="00300A01">
            <w:pPr>
              <w:spacing w:before="0" w:after="0"/>
              <w:jc w:val="right"/>
              <w:rPr>
                <w:sz w:val="10"/>
                <w:szCs w:val="10"/>
                <w:lang w:val="fr-BE"/>
              </w:rPr>
            </w:pPr>
            <w:r w:rsidRPr="00601E29">
              <w:rPr>
                <w:noProof/>
                <w:sz w:val="10"/>
                <w:szCs w:val="10"/>
                <w:lang w:val="fr-BE"/>
              </w:rPr>
              <w:t>80,00</w:t>
            </w:r>
            <w:r>
              <w:rPr>
                <w:noProof/>
                <w:sz w:val="10"/>
                <w:szCs w:val="10"/>
                <w:lang w:val="fr-BE"/>
              </w:rPr>
              <w:t>%</w:t>
            </w:r>
          </w:p>
        </w:tc>
        <w:tc>
          <w:tcPr>
            <w:tcW w:w="0" w:type="auto"/>
            <w:shd w:val="clear" w:color="auto" w:fill="auto"/>
          </w:tcPr>
          <w:p w14:paraId="72DC9A51" w14:textId="77777777" w:rsidR="008C5CFA" w:rsidRPr="00601E29" w:rsidRDefault="008C5CFA" w:rsidP="00300A01">
            <w:pPr>
              <w:spacing w:before="0" w:after="0"/>
              <w:jc w:val="right"/>
              <w:rPr>
                <w:sz w:val="10"/>
                <w:szCs w:val="10"/>
                <w:lang w:val="fr-BE"/>
              </w:rPr>
            </w:pPr>
          </w:p>
        </w:tc>
        <w:tc>
          <w:tcPr>
            <w:tcW w:w="0" w:type="auto"/>
            <w:shd w:val="clear" w:color="auto" w:fill="auto"/>
          </w:tcPr>
          <w:p w14:paraId="141903E0" w14:textId="77777777" w:rsidR="008C5CFA" w:rsidRPr="00601E29" w:rsidRDefault="008C5CFA" w:rsidP="00300A01">
            <w:pPr>
              <w:spacing w:before="0" w:after="0"/>
              <w:jc w:val="right"/>
              <w:rPr>
                <w:sz w:val="10"/>
                <w:szCs w:val="10"/>
                <w:lang w:val="fr-BE"/>
              </w:rPr>
            </w:pPr>
          </w:p>
        </w:tc>
        <w:tc>
          <w:tcPr>
            <w:tcW w:w="0" w:type="auto"/>
            <w:shd w:val="clear" w:color="auto" w:fill="auto"/>
          </w:tcPr>
          <w:p w14:paraId="1EB651F6" w14:textId="77777777" w:rsidR="008C5CFA" w:rsidRPr="00601E29" w:rsidRDefault="00E82A60" w:rsidP="00300A01">
            <w:pPr>
              <w:spacing w:before="0" w:after="0"/>
              <w:jc w:val="right"/>
              <w:rPr>
                <w:sz w:val="10"/>
                <w:szCs w:val="10"/>
                <w:lang w:val="fr-BE"/>
              </w:rPr>
            </w:pPr>
            <w:r>
              <w:rPr>
                <w:noProof/>
                <w:sz w:val="10"/>
                <w:szCs w:val="10"/>
                <w:lang w:val="fr-BE"/>
              </w:rPr>
              <w:t>0,34</w:t>
            </w:r>
          </w:p>
        </w:tc>
        <w:tc>
          <w:tcPr>
            <w:tcW w:w="0" w:type="auto"/>
            <w:shd w:val="clear" w:color="auto" w:fill="auto"/>
          </w:tcPr>
          <w:p w14:paraId="53731CF0" w14:textId="77777777" w:rsidR="008C5CFA" w:rsidRPr="00601E29" w:rsidRDefault="008C5CFA" w:rsidP="00300A01">
            <w:pPr>
              <w:spacing w:before="0" w:after="0"/>
              <w:jc w:val="right"/>
              <w:rPr>
                <w:sz w:val="10"/>
                <w:szCs w:val="10"/>
                <w:lang w:val="fr-BE"/>
              </w:rPr>
            </w:pPr>
          </w:p>
        </w:tc>
        <w:tc>
          <w:tcPr>
            <w:tcW w:w="0" w:type="auto"/>
            <w:shd w:val="clear" w:color="auto" w:fill="auto"/>
          </w:tcPr>
          <w:p w14:paraId="022A0379" w14:textId="77777777" w:rsidR="008C5CFA" w:rsidRPr="00601E29" w:rsidRDefault="008C5CFA" w:rsidP="00300A01">
            <w:pPr>
              <w:spacing w:before="0" w:after="0"/>
              <w:jc w:val="right"/>
              <w:rPr>
                <w:sz w:val="10"/>
                <w:szCs w:val="10"/>
                <w:lang w:val="fr-BE"/>
              </w:rPr>
            </w:pPr>
          </w:p>
        </w:tc>
        <w:tc>
          <w:tcPr>
            <w:tcW w:w="0" w:type="auto"/>
            <w:shd w:val="clear" w:color="auto" w:fill="auto"/>
          </w:tcPr>
          <w:p w14:paraId="20D3FC18" w14:textId="77777777" w:rsidR="008C5CFA" w:rsidRPr="00601E29" w:rsidRDefault="00E82A60" w:rsidP="00300A01">
            <w:pPr>
              <w:spacing w:before="0" w:after="0"/>
              <w:jc w:val="right"/>
              <w:rPr>
                <w:sz w:val="10"/>
                <w:szCs w:val="10"/>
                <w:lang w:val="fr-BE"/>
              </w:rPr>
            </w:pPr>
            <w:r w:rsidRPr="00601E29">
              <w:rPr>
                <w:noProof/>
                <w:sz w:val="10"/>
                <w:szCs w:val="10"/>
                <w:lang w:val="fr-BE"/>
              </w:rPr>
              <w:t>598,00</w:t>
            </w:r>
          </w:p>
        </w:tc>
        <w:tc>
          <w:tcPr>
            <w:tcW w:w="0" w:type="auto"/>
            <w:shd w:val="clear" w:color="auto" w:fill="auto"/>
          </w:tcPr>
          <w:p w14:paraId="7F7AF4F7"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shd w:val="clear" w:color="auto" w:fill="auto"/>
          </w:tcPr>
          <w:p w14:paraId="2B14AD2E"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53448484"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shd w:val="clear" w:color="auto" w:fill="auto"/>
          </w:tcPr>
          <w:p w14:paraId="069CAEBF"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shd w:val="clear" w:color="auto" w:fill="auto"/>
          </w:tcPr>
          <w:p w14:paraId="43E8935A"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4C69C5DA" w14:textId="77777777" w:rsidR="008C5CFA" w:rsidRPr="00601E29" w:rsidRDefault="008C5CFA" w:rsidP="00300A01">
            <w:pPr>
              <w:spacing w:before="0" w:after="0"/>
              <w:jc w:val="right"/>
              <w:rPr>
                <w:sz w:val="10"/>
                <w:szCs w:val="10"/>
                <w:lang w:val="fr-BE"/>
              </w:rPr>
            </w:pPr>
          </w:p>
        </w:tc>
      </w:tr>
    </w:tbl>
    <w:p w14:paraId="4C876C4E"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07"/>
        <w:gridCol w:w="5536"/>
        <w:gridCol w:w="1043"/>
        <w:gridCol w:w="541"/>
        <w:gridCol w:w="657"/>
        <w:gridCol w:w="528"/>
        <w:gridCol w:w="541"/>
        <w:gridCol w:w="657"/>
        <w:gridCol w:w="528"/>
        <w:gridCol w:w="697"/>
        <w:gridCol w:w="541"/>
        <w:gridCol w:w="657"/>
        <w:gridCol w:w="528"/>
        <w:gridCol w:w="541"/>
        <w:gridCol w:w="657"/>
        <w:gridCol w:w="528"/>
        <w:gridCol w:w="697"/>
      </w:tblGrid>
      <w:tr w:rsidR="006B2EC1" w14:paraId="7ED02F93" w14:textId="77777777" w:rsidTr="0047688D">
        <w:trPr>
          <w:tblHeader/>
        </w:trPr>
        <w:tc>
          <w:tcPr>
            <w:tcW w:w="0" w:type="auto"/>
            <w:shd w:val="clear" w:color="auto" w:fill="auto"/>
          </w:tcPr>
          <w:p w14:paraId="0252BDC9" w14:textId="77777777" w:rsidR="008C5CFA" w:rsidRPr="00601E29" w:rsidRDefault="00E82A60" w:rsidP="00300A01">
            <w:pPr>
              <w:spacing w:before="0" w:after="0"/>
              <w:rPr>
                <w:b/>
                <w:sz w:val="10"/>
                <w:szCs w:val="10"/>
                <w:lang w:val="fr-BE"/>
              </w:rPr>
            </w:pPr>
            <w:r w:rsidRPr="00601E29">
              <w:rPr>
                <w:b/>
                <w:noProof/>
                <w:sz w:val="10"/>
                <w:szCs w:val="10"/>
                <w:lang w:val="fr-BE"/>
              </w:rPr>
              <w:t>ID</w:t>
            </w:r>
          </w:p>
        </w:tc>
        <w:tc>
          <w:tcPr>
            <w:tcW w:w="0" w:type="auto"/>
            <w:shd w:val="clear" w:color="auto" w:fill="auto"/>
          </w:tcPr>
          <w:p w14:paraId="3B478C81" w14:textId="77777777" w:rsidR="008C5CFA" w:rsidRPr="00601E29" w:rsidRDefault="00E82A60" w:rsidP="00300A01">
            <w:pPr>
              <w:spacing w:before="0" w:after="0"/>
              <w:rPr>
                <w:b/>
                <w:sz w:val="10"/>
                <w:szCs w:val="10"/>
                <w:lang w:val="fr-BE"/>
              </w:rPr>
            </w:pPr>
            <w:r w:rsidRPr="00601E29">
              <w:rPr>
                <w:b/>
                <w:noProof/>
                <w:sz w:val="10"/>
                <w:szCs w:val="10"/>
                <w:lang w:val="fr-BE"/>
              </w:rPr>
              <w:t>Wskaźnik</w:t>
            </w:r>
          </w:p>
        </w:tc>
        <w:tc>
          <w:tcPr>
            <w:tcW w:w="0" w:type="auto"/>
            <w:shd w:val="clear" w:color="auto" w:fill="auto"/>
          </w:tcPr>
          <w:p w14:paraId="42E60B74" w14:textId="77777777" w:rsidR="008C5CFA" w:rsidRPr="00601E29" w:rsidRDefault="00E82A60" w:rsidP="00300A01">
            <w:pPr>
              <w:spacing w:before="0" w:after="0"/>
              <w:rPr>
                <w:b/>
                <w:sz w:val="10"/>
                <w:szCs w:val="10"/>
                <w:lang w:val="fr-BE"/>
              </w:rPr>
            </w:pPr>
            <w:r w:rsidRPr="00601E29">
              <w:rPr>
                <w:b/>
                <w:noProof/>
                <w:sz w:val="10"/>
                <w:szCs w:val="10"/>
                <w:lang w:val="fr-BE"/>
              </w:rPr>
              <w:t>Kategoria regionu</w:t>
            </w:r>
          </w:p>
        </w:tc>
        <w:tc>
          <w:tcPr>
            <w:tcW w:w="0" w:type="auto"/>
            <w:gridSpan w:val="7"/>
          </w:tcPr>
          <w:p w14:paraId="0E5242C7" w14:textId="77777777" w:rsidR="008C5CFA" w:rsidRPr="00601E29" w:rsidRDefault="00E82A60" w:rsidP="00300A01">
            <w:pPr>
              <w:spacing w:before="0" w:after="0"/>
              <w:jc w:val="center"/>
              <w:rPr>
                <w:b/>
                <w:sz w:val="10"/>
                <w:szCs w:val="10"/>
                <w:lang w:val="fr-BE"/>
              </w:rPr>
            </w:pPr>
            <w:r>
              <w:rPr>
                <w:b/>
                <w:sz w:val="10"/>
                <w:szCs w:val="10"/>
                <w:lang w:val="fr-BE"/>
              </w:rPr>
              <w:t>2018</w:t>
            </w:r>
          </w:p>
        </w:tc>
        <w:tc>
          <w:tcPr>
            <w:tcW w:w="0" w:type="auto"/>
            <w:gridSpan w:val="7"/>
          </w:tcPr>
          <w:p w14:paraId="04D87369" w14:textId="77777777" w:rsidR="008C5CFA" w:rsidRPr="00601E29" w:rsidRDefault="00E82A60" w:rsidP="00300A01">
            <w:pPr>
              <w:spacing w:before="0" w:after="0"/>
              <w:jc w:val="center"/>
              <w:rPr>
                <w:b/>
                <w:sz w:val="10"/>
                <w:szCs w:val="10"/>
                <w:lang w:val="fr-BE"/>
              </w:rPr>
            </w:pPr>
            <w:r>
              <w:rPr>
                <w:b/>
                <w:sz w:val="10"/>
                <w:szCs w:val="10"/>
                <w:lang w:val="fr-BE"/>
              </w:rPr>
              <w:t>2017</w:t>
            </w:r>
          </w:p>
        </w:tc>
      </w:tr>
      <w:tr w:rsidR="006B2EC1" w14:paraId="2C9970C9" w14:textId="77777777" w:rsidTr="0047688D">
        <w:trPr>
          <w:tblHeader/>
        </w:trPr>
        <w:tc>
          <w:tcPr>
            <w:tcW w:w="0" w:type="auto"/>
            <w:shd w:val="clear" w:color="auto" w:fill="auto"/>
          </w:tcPr>
          <w:p w14:paraId="13BE0F98" w14:textId="77777777" w:rsidR="008C5CFA" w:rsidRPr="00601E29" w:rsidRDefault="008C5CFA" w:rsidP="00300A01">
            <w:pPr>
              <w:spacing w:before="0" w:after="0"/>
              <w:rPr>
                <w:b/>
                <w:sz w:val="10"/>
                <w:szCs w:val="10"/>
                <w:lang w:val="fr-BE"/>
              </w:rPr>
            </w:pPr>
          </w:p>
        </w:tc>
        <w:tc>
          <w:tcPr>
            <w:tcW w:w="0" w:type="auto"/>
            <w:shd w:val="clear" w:color="auto" w:fill="auto"/>
          </w:tcPr>
          <w:p w14:paraId="7D68F0FD" w14:textId="77777777" w:rsidR="008C5CFA" w:rsidRPr="00601E29" w:rsidRDefault="008C5CFA" w:rsidP="00300A01">
            <w:pPr>
              <w:spacing w:before="0" w:after="0"/>
              <w:rPr>
                <w:b/>
                <w:sz w:val="10"/>
                <w:szCs w:val="10"/>
                <w:lang w:val="fr-BE"/>
              </w:rPr>
            </w:pPr>
          </w:p>
        </w:tc>
        <w:tc>
          <w:tcPr>
            <w:tcW w:w="0" w:type="auto"/>
            <w:shd w:val="clear" w:color="auto" w:fill="auto"/>
          </w:tcPr>
          <w:p w14:paraId="3DF211A5" w14:textId="77777777" w:rsidR="008C5CFA" w:rsidRPr="00601E29" w:rsidRDefault="008C5CFA" w:rsidP="00300A01">
            <w:pPr>
              <w:spacing w:before="0" w:after="0"/>
              <w:rPr>
                <w:b/>
                <w:sz w:val="10"/>
                <w:szCs w:val="10"/>
                <w:lang w:val="fr-BE"/>
              </w:rPr>
            </w:pPr>
          </w:p>
        </w:tc>
        <w:tc>
          <w:tcPr>
            <w:tcW w:w="0" w:type="auto"/>
            <w:gridSpan w:val="3"/>
          </w:tcPr>
          <w:p w14:paraId="0A9BCAF9" w14:textId="77777777" w:rsidR="008C5CFA" w:rsidRPr="00601E29" w:rsidRDefault="00E82A60" w:rsidP="00300A01">
            <w:pPr>
              <w:spacing w:before="0" w:after="0"/>
              <w:jc w:val="center"/>
              <w:rPr>
                <w:b/>
                <w:sz w:val="10"/>
                <w:szCs w:val="10"/>
                <w:lang w:val="fr-BE"/>
              </w:rPr>
            </w:pPr>
            <w:r w:rsidRPr="00601E29">
              <w:rPr>
                <w:b/>
                <w:noProof/>
                <w:sz w:val="10"/>
                <w:szCs w:val="10"/>
                <w:lang w:val="fr-BE"/>
              </w:rPr>
              <w:t>Łącznie</w:t>
            </w:r>
          </w:p>
        </w:tc>
        <w:tc>
          <w:tcPr>
            <w:tcW w:w="0" w:type="auto"/>
            <w:gridSpan w:val="3"/>
          </w:tcPr>
          <w:p w14:paraId="15C678BE" w14:textId="77777777" w:rsidR="008C5CFA" w:rsidRPr="00601E29" w:rsidRDefault="00E82A60" w:rsidP="00300A01">
            <w:pPr>
              <w:spacing w:before="0" w:after="0"/>
              <w:jc w:val="center"/>
              <w:rPr>
                <w:b/>
                <w:sz w:val="10"/>
                <w:szCs w:val="10"/>
                <w:lang w:val="fr-BE"/>
              </w:rPr>
            </w:pPr>
            <w:r w:rsidRPr="00601E29">
              <w:rPr>
                <w:b/>
                <w:noProof/>
                <w:sz w:val="10"/>
                <w:szCs w:val="10"/>
                <w:lang w:val="fr-BE"/>
              </w:rPr>
              <w:t>Łącznie w roku</w:t>
            </w:r>
          </w:p>
        </w:tc>
        <w:tc>
          <w:tcPr>
            <w:tcW w:w="0" w:type="auto"/>
          </w:tcPr>
          <w:p w14:paraId="7A12D308" w14:textId="77777777" w:rsidR="008C5CFA" w:rsidRPr="00601E29" w:rsidRDefault="00E82A60" w:rsidP="00300A01">
            <w:pPr>
              <w:spacing w:before="0" w:after="0"/>
              <w:jc w:val="center"/>
              <w:rPr>
                <w:b/>
                <w:sz w:val="10"/>
                <w:szCs w:val="10"/>
                <w:lang w:val="fr-BE"/>
              </w:rPr>
            </w:pPr>
            <w:r w:rsidRPr="00601E29">
              <w:rPr>
                <w:b/>
                <w:noProof/>
                <w:sz w:val="10"/>
                <w:szCs w:val="10"/>
                <w:lang w:val="fr-BE"/>
              </w:rPr>
              <w:t>Jakościowe</w:t>
            </w:r>
          </w:p>
        </w:tc>
        <w:tc>
          <w:tcPr>
            <w:tcW w:w="0" w:type="auto"/>
            <w:gridSpan w:val="3"/>
          </w:tcPr>
          <w:p w14:paraId="3F36DB15" w14:textId="77777777" w:rsidR="008C5CFA" w:rsidRPr="00601E29" w:rsidRDefault="00E82A60" w:rsidP="00300A01">
            <w:pPr>
              <w:spacing w:before="0" w:after="0"/>
              <w:jc w:val="center"/>
              <w:rPr>
                <w:b/>
                <w:sz w:val="10"/>
                <w:szCs w:val="10"/>
                <w:lang w:val="fr-BE"/>
              </w:rPr>
            </w:pPr>
            <w:r w:rsidRPr="00601E29">
              <w:rPr>
                <w:b/>
                <w:noProof/>
                <w:sz w:val="10"/>
                <w:szCs w:val="10"/>
                <w:lang w:val="fr-BE"/>
              </w:rPr>
              <w:t>Łącznie</w:t>
            </w:r>
          </w:p>
        </w:tc>
        <w:tc>
          <w:tcPr>
            <w:tcW w:w="0" w:type="auto"/>
            <w:gridSpan w:val="3"/>
          </w:tcPr>
          <w:p w14:paraId="367F942A" w14:textId="77777777" w:rsidR="008C5CFA" w:rsidRPr="00601E29" w:rsidRDefault="00E82A60" w:rsidP="00300A01">
            <w:pPr>
              <w:spacing w:before="0" w:after="0"/>
              <w:jc w:val="center"/>
              <w:rPr>
                <w:b/>
                <w:sz w:val="10"/>
                <w:szCs w:val="10"/>
                <w:lang w:val="fr-BE"/>
              </w:rPr>
            </w:pPr>
            <w:r w:rsidRPr="00601E29">
              <w:rPr>
                <w:b/>
                <w:noProof/>
                <w:sz w:val="10"/>
                <w:szCs w:val="10"/>
                <w:lang w:val="fr-BE"/>
              </w:rPr>
              <w:t>Łącznie w roku</w:t>
            </w:r>
          </w:p>
        </w:tc>
        <w:tc>
          <w:tcPr>
            <w:tcW w:w="0" w:type="auto"/>
          </w:tcPr>
          <w:p w14:paraId="5763D970" w14:textId="77777777" w:rsidR="008C5CFA" w:rsidRPr="00601E29" w:rsidRDefault="00E82A60" w:rsidP="00300A01">
            <w:pPr>
              <w:spacing w:before="0" w:after="0"/>
              <w:jc w:val="center"/>
              <w:rPr>
                <w:b/>
                <w:sz w:val="10"/>
                <w:szCs w:val="10"/>
                <w:lang w:val="fr-BE"/>
              </w:rPr>
            </w:pPr>
            <w:r w:rsidRPr="00601E29">
              <w:rPr>
                <w:b/>
                <w:noProof/>
                <w:sz w:val="10"/>
                <w:szCs w:val="10"/>
                <w:lang w:val="fr-BE"/>
              </w:rPr>
              <w:t>Jakościowe</w:t>
            </w:r>
          </w:p>
        </w:tc>
      </w:tr>
      <w:tr w:rsidR="006B2EC1" w14:paraId="53C19F2C" w14:textId="77777777" w:rsidTr="0047688D">
        <w:trPr>
          <w:tblHeader/>
        </w:trPr>
        <w:tc>
          <w:tcPr>
            <w:tcW w:w="0" w:type="auto"/>
            <w:shd w:val="clear" w:color="auto" w:fill="auto"/>
          </w:tcPr>
          <w:p w14:paraId="1588935B" w14:textId="77777777" w:rsidR="008C5CFA" w:rsidRPr="00601E29" w:rsidRDefault="008C5CFA" w:rsidP="00300A01">
            <w:pPr>
              <w:spacing w:before="0" w:after="0"/>
              <w:rPr>
                <w:b/>
                <w:sz w:val="10"/>
                <w:szCs w:val="10"/>
                <w:lang w:val="fr-BE"/>
              </w:rPr>
            </w:pPr>
          </w:p>
        </w:tc>
        <w:tc>
          <w:tcPr>
            <w:tcW w:w="0" w:type="auto"/>
            <w:shd w:val="clear" w:color="auto" w:fill="auto"/>
          </w:tcPr>
          <w:p w14:paraId="3389D6B6" w14:textId="77777777" w:rsidR="008C5CFA" w:rsidRPr="00601E29" w:rsidRDefault="008C5CFA" w:rsidP="00300A01">
            <w:pPr>
              <w:spacing w:before="0" w:after="0"/>
              <w:rPr>
                <w:b/>
                <w:sz w:val="10"/>
                <w:szCs w:val="10"/>
                <w:lang w:val="fr-BE"/>
              </w:rPr>
            </w:pPr>
          </w:p>
        </w:tc>
        <w:tc>
          <w:tcPr>
            <w:tcW w:w="0" w:type="auto"/>
            <w:shd w:val="clear" w:color="auto" w:fill="auto"/>
          </w:tcPr>
          <w:p w14:paraId="49FED6FD" w14:textId="77777777" w:rsidR="008C5CFA" w:rsidRPr="00601E29" w:rsidRDefault="008C5CFA" w:rsidP="00300A01">
            <w:pPr>
              <w:spacing w:before="0" w:after="0"/>
              <w:rPr>
                <w:b/>
                <w:sz w:val="10"/>
                <w:szCs w:val="10"/>
                <w:lang w:val="fr-BE"/>
              </w:rPr>
            </w:pPr>
          </w:p>
        </w:tc>
        <w:tc>
          <w:tcPr>
            <w:tcW w:w="0" w:type="auto"/>
          </w:tcPr>
          <w:p w14:paraId="508A7DB4" w14:textId="77777777" w:rsidR="008C5CFA" w:rsidRPr="00601E29" w:rsidRDefault="00E82A60" w:rsidP="00300A01">
            <w:pPr>
              <w:spacing w:before="0" w:after="0"/>
              <w:jc w:val="center"/>
              <w:rPr>
                <w:b/>
                <w:sz w:val="10"/>
                <w:szCs w:val="10"/>
                <w:lang w:val="fr-BE"/>
              </w:rPr>
            </w:pPr>
            <w:r w:rsidRPr="00601E29">
              <w:rPr>
                <w:b/>
                <w:noProof/>
                <w:sz w:val="10"/>
                <w:szCs w:val="10"/>
                <w:lang w:val="fr-BE"/>
              </w:rPr>
              <w:t>Ogółem</w:t>
            </w:r>
          </w:p>
        </w:tc>
        <w:tc>
          <w:tcPr>
            <w:tcW w:w="0" w:type="auto"/>
          </w:tcPr>
          <w:p w14:paraId="6C053B67" w14:textId="77777777" w:rsidR="008C5CFA" w:rsidRPr="00601E29" w:rsidRDefault="00E82A60" w:rsidP="00300A01">
            <w:pPr>
              <w:spacing w:before="0" w:after="0"/>
              <w:jc w:val="center"/>
              <w:rPr>
                <w:b/>
                <w:sz w:val="10"/>
                <w:szCs w:val="10"/>
                <w:lang w:val="fr-BE"/>
              </w:rPr>
            </w:pPr>
            <w:r w:rsidRPr="00601E29">
              <w:rPr>
                <w:b/>
                <w:noProof/>
                <w:sz w:val="10"/>
                <w:szCs w:val="10"/>
                <w:lang w:val="fr-BE"/>
              </w:rPr>
              <w:t>Mężczyźni</w:t>
            </w:r>
          </w:p>
        </w:tc>
        <w:tc>
          <w:tcPr>
            <w:tcW w:w="0" w:type="auto"/>
          </w:tcPr>
          <w:p w14:paraId="1FC4D688" w14:textId="77777777" w:rsidR="008C5CFA" w:rsidRPr="00601E29" w:rsidRDefault="00E82A60" w:rsidP="00300A01">
            <w:pPr>
              <w:spacing w:before="0" w:after="0"/>
              <w:jc w:val="center"/>
              <w:rPr>
                <w:b/>
                <w:sz w:val="10"/>
                <w:szCs w:val="10"/>
                <w:lang w:val="fr-BE"/>
              </w:rPr>
            </w:pPr>
            <w:r w:rsidRPr="00601E29">
              <w:rPr>
                <w:b/>
                <w:noProof/>
                <w:sz w:val="10"/>
                <w:szCs w:val="10"/>
                <w:lang w:val="fr-BE"/>
              </w:rPr>
              <w:t>Kobiety</w:t>
            </w:r>
          </w:p>
        </w:tc>
        <w:tc>
          <w:tcPr>
            <w:tcW w:w="0" w:type="auto"/>
          </w:tcPr>
          <w:p w14:paraId="5D66D979" w14:textId="77777777" w:rsidR="008C5CFA" w:rsidRPr="00601E29" w:rsidRDefault="00E82A60" w:rsidP="00300A01">
            <w:pPr>
              <w:spacing w:before="0" w:after="0"/>
              <w:jc w:val="center"/>
              <w:rPr>
                <w:b/>
                <w:sz w:val="10"/>
                <w:szCs w:val="10"/>
                <w:lang w:val="fr-BE"/>
              </w:rPr>
            </w:pPr>
            <w:r w:rsidRPr="00601E29">
              <w:rPr>
                <w:b/>
                <w:noProof/>
                <w:sz w:val="10"/>
                <w:szCs w:val="10"/>
                <w:lang w:val="fr-BE"/>
              </w:rPr>
              <w:t>Ogółem</w:t>
            </w:r>
          </w:p>
        </w:tc>
        <w:tc>
          <w:tcPr>
            <w:tcW w:w="0" w:type="auto"/>
          </w:tcPr>
          <w:p w14:paraId="4DB1EE64" w14:textId="77777777" w:rsidR="008C5CFA" w:rsidRPr="00601E29" w:rsidRDefault="00E82A60" w:rsidP="00300A01">
            <w:pPr>
              <w:spacing w:before="0" w:after="0"/>
              <w:jc w:val="center"/>
              <w:rPr>
                <w:b/>
                <w:sz w:val="10"/>
                <w:szCs w:val="10"/>
                <w:lang w:val="fr-BE"/>
              </w:rPr>
            </w:pPr>
            <w:r w:rsidRPr="00601E29">
              <w:rPr>
                <w:b/>
                <w:noProof/>
                <w:sz w:val="10"/>
                <w:szCs w:val="10"/>
                <w:lang w:val="fr-BE"/>
              </w:rPr>
              <w:t>Mężczyźni</w:t>
            </w:r>
          </w:p>
        </w:tc>
        <w:tc>
          <w:tcPr>
            <w:tcW w:w="0" w:type="auto"/>
          </w:tcPr>
          <w:p w14:paraId="3E1360B3" w14:textId="77777777" w:rsidR="008C5CFA" w:rsidRPr="00601E29" w:rsidRDefault="00E82A60" w:rsidP="00300A01">
            <w:pPr>
              <w:spacing w:before="0" w:after="0"/>
              <w:jc w:val="center"/>
              <w:rPr>
                <w:b/>
                <w:sz w:val="10"/>
                <w:szCs w:val="10"/>
                <w:lang w:val="fr-BE"/>
              </w:rPr>
            </w:pPr>
            <w:r w:rsidRPr="00601E29">
              <w:rPr>
                <w:b/>
                <w:noProof/>
                <w:sz w:val="10"/>
                <w:szCs w:val="10"/>
                <w:lang w:val="fr-BE"/>
              </w:rPr>
              <w:t>Kobiety</w:t>
            </w:r>
          </w:p>
        </w:tc>
        <w:tc>
          <w:tcPr>
            <w:tcW w:w="0" w:type="auto"/>
          </w:tcPr>
          <w:p w14:paraId="08717BDD" w14:textId="77777777" w:rsidR="008C5CFA" w:rsidRPr="00601E29" w:rsidRDefault="008C5CFA" w:rsidP="00300A01">
            <w:pPr>
              <w:spacing w:before="0" w:after="0"/>
              <w:jc w:val="center"/>
              <w:rPr>
                <w:b/>
                <w:sz w:val="10"/>
                <w:szCs w:val="10"/>
                <w:lang w:val="fr-BE"/>
              </w:rPr>
            </w:pPr>
          </w:p>
        </w:tc>
        <w:tc>
          <w:tcPr>
            <w:tcW w:w="0" w:type="auto"/>
          </w:tcPr>
          <w:p w14:paraId="04A96FAE" w14:textId="77777777" w:rsidR="008C5CFA" w:rsidRPr="00601E29" w:rsidRDefault="00E82A60" w:rsidP="00300A01">
            <w:pPr>
              <w:spacing w:before="0" w:after="0"/>
              <w:jc w:val="center"/>
              <w:rPr>
                <w:b/>
                <w:sz w:val="10"/>
                <w:szCs w:val="10"/>
                <w:lang w:val="fr-BE"/>
              </w:rPr>
            </w:pPr>
            <w:r w:rsidRPr="00601E29">
              <w:rPr>
                <w:b/>
                <w:noProof/>
                <w:sz w:val="10"/>
                <w:szCs w:val="10"/>
                <w:lang w:val="fr-BE"/>
              </w:rPr>
              <w:t>Ogółem</w:t>
            </w:r>
          </w:p>
        </w:tc>
        <w:tc>
          <w:tcPr>
            <w:tcW w:w="0" w:type="auto"/>
          </w:tcPr>
          <w:p w14:paraId="732E27FF" w14:textId="77777777" w:rsidR="008C5CFA" w:rsidRPr="00601E29" w:rsidRDefault="00E82A60" w:rsidP="00300A01">
            <w:pPr>
              <w:spacing w:before="0" w:after="0"/>
              <w:jc w:val="center"/>
              <w:rPr>
                <w:b/>
                <w:sz w:val="10"/>
                <w:szCs w:val="10"/>
                <w:lang w:val="fr-BE"/>
              </w:rPr>
            </w:pPr>
            <w:r w:rsidRPr="00601E29">
              <w:rPr>
                <w:b/>
                <w:noProof/>
                <w:sz w:val="10"/>
                <w:szCs w:val="10"/>
                <w:lang w:val="fr-BE"/>
              </w:rPr>
              <w:t>Mężczyźni</w:t>
            </w:r>
          </w:p>
        </w:tc>
        <w:tc>
          <w:tcPr>
            <w:tcW w:w="0" w:type="auto"/>
          </w:tcPr>
          <w:p w14:paraId="4CC14DE8" w14:textId="77777777" w:rsidR="008C5CFA" w:rsidRPr="00601E29" w:rsidRDefault="00E82A60" w:rsidP="00300A01">
            <w:pPr>
              <w:spacing w:before="0" w:after="0"/>
              <w:jc w:val="center"/>
              <w:rPr>
                <w:b/>
                <w:sz w:val="10"/>
                <w:szCs w:val="10"/>
                <w:lang w:val="fr-BE"/>
              </w:rPr>
            </w:pPr>
            <w:r w:rsidRPr="00601E29">
              <w:rPr>
                <w:b/>
                <w:noProof/>
                <w:sz w:val="10"/>
                <w:szCs w:val="10"/>
                <w:lang w:val="fr-BE"/>
              </w:rPr>
              <w:t>Kobiety</w:t>
            </w:r>
          </w:p>
        </w:tc>
        <w:tc>
          <w:tcPr>
            <w:tcW w:w="0" w:type="auto"/>
          </w:tcPr>
          <w:p w14:paraId="2ED6A941" w14:textId="77777777" w:rsidR="008C5CFA" w:rsidRPr="00601E29" w:rsidRDefault="00E82A60" w:rsidP="00300A01">
            <w:pPr>
              <w:spacing w:before="0" w:after="0"/>
              <w:jc w:val="center"/>
              <w:rPr>
                <w:b/>
                <w:sz w:val="10"/>
                <w:szCs w:val="10"/>
                <w:lang w:val="fr-BE"/>
              </w:rPr>
            </w:pPr>
            <w:r w:rsidRPr="00601E29">
              <w:rPr>
                <w:b/>
                <w:noProof/>
                <w:sz w:val="10"/>
                <w:szCs w:val="10"/>
                <w:lang w:val="fr-BE"/>
              </w:rPr>
              <w:t>Ogółem</w:t>
            </w:r>
          </w:p>
        </w:tc>
        <w:tc>
          <w:tcPr>
            <w:tcW w:w="0" w:type="auto"/>
          </w:tcPr>
          <w:p w14:paraId="7C27F2A2" w14:textId="77777777" w:rsidR="008C5CFA" w:rsidRPr="00601E29" w:rsidRDefault="00E82A60" w:rsidP="00300A01">
            <w:pPr>
              <w:spacing w:before="0" w:after="0"/>
              <w:jc w:val="center"/>
              <w:rPr>
                <w:b/>
                <w:sz w:val="10"/>
                <w:szCs w:val="10"/>
                <w:lang w:val="fr-BE"/>
              </w:rPr>
            </w:pPr>
            <w:r w:rsidRPr="00601E29">
              <w:rPr>
                <w:b/>
                <w:noProof/>
                <w:sz w:val="10"/>
                <w:szCs w:val="10"/>
                <w:lang w:val="fr-BE"/>
              </w:rPr>
              <w:t>Mężczyźni</w:t>
            </w:r>
          </w:p>
        </w:tc>
        <w:tc>
          <w:tcPr>
            <w:tcW w:w="0" w:type="auto"/>
          </w:tcPr>
          <w:p w14:paraId="239430C2" w14:textId="77777777" w:rsidR="008C5CFA" w:rsidRPr="00601E29" w:rsidRDefault="00E82A60" w:rsidP="00300A01">
            <w:pPr>
              <w:spacing w:before="0" w:after="0"/>
              <w:jc w:val="center"/>
              <w:rPr>
                <w:b/>
                <w:sz w:val="10"/>
                <w:szCs w:val="10"/>
                <w:lang w:val="fr-BE"/>
              </w:rPr>
            </w:pPr>
            <w:r w:rsidRPr="00601E29">
              <w:rPr>
                <w:b/>
                <w:noProof/>
                <w:sz w:val="10"/>
                <w:szCs w:val="10"/>
                <w:lang w:val="fr-BE"/>
              </w:rPr>
              <w:t>Kobiety</w:t>
            </w:r>
          </w:p>
        </w:tc>
        <w:tc>
          <w:tcPr>
            <w:tcW w:w="0" w:type="auto"/>
          </w:tcPr>
          <w:p w14:paraId="071F385B" w14:textId="77777777" w:rsidR="008C5CFA" w:rsidRPr="00601E29" w:rsidRDefault="008C5CFA" w:rsidP="00300A01">
            <w:pPr>
              <w:spacing w:before="0" w:after="0"/>
              <w:jc w:val="center"/>
              <w:rPr>
                <w:b/>
                <w:sz w:val="10"/>
                <w:szCs w:val="10"/>
                <w:lang w:val="fr-BE"/>
              </w:rPr>
            </w:pPr>
          </w:p>
        </w:tc>
      </w:tr>
      <w:tr w:rsidR="006B2EC1" w14:paraId="2D0F8FA7" w14:textId="77777777" w:rsidTr="0047688D">
        <w:tc>
          <w:tcPr>
            <w:tcW w:w="0" w:type="auto"/>
            <w:shd w:val="clear" w:color="auto" w:fill="auto"/>
          </w:tcPr>
          <w:p w14:paraId="460449F4" w14:textId="77777777" w:rsidR="008C5CFA" w:rsidRPr="00601E29" w:rsidRDefault="00E82A60" w:rsidP="00300A01">
            <w:pPr>
              <w:spacing w:before="0" w:after="0"/>
              <w:rPr>
                <w:sz w:val="10"/>
                <w:szCs w:val="10"/>
                <w:lang w:val="fr-BE"/>
              </w:rPr>
            </w:pPr>
            <w:r w:rsidRPr="00601E29">
              <w:rPr>
                <w:noProof/>
                <w:sz w:val="10"/>
                <w:szCs w:val="10"/>
                <w:lang w:val="fr-BE"/>
              </w:rPr>
              <w:t>005</w:t>
            </w:r>
          </w:p>
        </w:tc>
        <w:tc>
          <w:tcPr>
            <w:tcW w:w="0" w:type="auto"/>
            <w:shd w:val="clear" w:color="auto" w:fill="auto"/>
          </w:tcPr>
          <w:p w14:paraId="2D95EFDB" w14:textId="77777777" w:rsidR="008C5CFA" w:rsidRPr="00601E29" w:rsidRDefault="00E82A60" w:rsidP="00300A01">
            <w:pPr>
              <w:spacing w:before="0" w:after="0"/>
              <w:rPr>
                <w:sz w:val="10"/>
                <w:szCs w:val="10"/>
                <w:lang w:val="fr-BE"/>
              </w:rPr>
            </w:pPr>
            <w:r w:rsidRPr="00601E29">
              <w:rPr>
                <w:noProof/>
                <w:sz w:val="10"/>
                <w:szCs w:val="10"/>
                <w:lang w:val="fr-BE"/>
              </w:rPr>
              <w:t>Liczba miejsc wychowania przedszkolnego, które funkcjonują 2 lata po uzyskaniu dofinansowania ze środków EFS</w:t>
            </w:r>
          </w:p>
        </w:tc>
        <w:tc>
          <w:tcPr>
            <w:tcW w:w="0" w:type="auto"/>
            <w:shd w:val="clear" w:color="auto" w:fill="auto"/>
          </w:tcPr>
          <w:p w14:paraId="6C1F72B5" w14:textId="77777777" w:rsidR="008C5CFA" w:rsidRPr="00601E29" w:rsidRDefault="00E82A60" w:rsidP="00300A01">
            <w:pPr>
              <w:spacing w:before="0" w:after="0"/>
              <w:rPr>
                <w:sz w:val="10"/>
                <w:szCs w:val="10"/>
                <w:lang w:val="fr-BE"/>
              </w:rPr>
            </w:pPr>
            <w:r w:rsidRPr="00601E29">
              <w:rPr>
                <w:noProof/>
                <w:sz w:val="10"/>
                <w:szCs w:val="10"/>
                <w:lang w:val="fr-BE"/>
              </w:rPr>
              <w:t>Słabiej rozwinięte</w:t>
            </w:r>
          </w:p>
        </w:tc>
        <w:tc>
          <w:tcPr>
            <w:tcW w:w="0" w:type="auto"/>
          </w:tcPr>
          <w:p w14:paraId="0D8074E8"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1411922B"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012143B5"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742F2030"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4EF2BC70"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5133E263"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4E80D7AA" w14:textId="77777777" w:rsidR="008C5CFA" w:rsidRPr="00601E29" w:rsidRDefault="008C5CFA" w:rsidP="00300A01">
            <w:pPr>
              <w:spacing w:before="0" w:after="0"/>
              <w:jc w:val="right"/>
              <w:rPr>
                <w:sz w:val="10"/>
                <w:szCs w:val="10"/>
                <w:lang w:val="fr-BE"/>
              </w:rPr>
            </w:pPr>
          </w:p>
        </w:tc>
        <w:tc>
          <w:tcPr>
            <w:tcW w:w="0" w:type="auto"/>
          </w:tcPr>
          <w:p w14:paraId="3FDE7D95"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55849B63"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5B4A1222"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43A69524"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68B46A68"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6C62F9EF"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2C1B4414" w14:textId="77777777" w:rsidR="008C5CFA" w:rsidRPr="00601E29" w:rsidRDefault="008C5CFA" w:rsidP="00300A01">
            <w:pPr>
              <w:spacing w:before="0" w:after="0"/>
              <w:jc w:val="right"/>
              <w:rPr>
                <w:sz w:val="10"/>
                <w:szCs w:val="10"/>
                <w:lang w:val="fr-BE"/>
              </w:rPr>
            </w:pPr>
          </w:p>
        </w:tc>
      </w:tr>
      <w:tr w:rsidR="006B2EC1" w14:paraId="698B38FE" w14:textId="77777777" w:rsidTr="0047688D">
        <w:tc>
          <w:tcPr>
            <w:tcW w:w="0" w:type="auto"/>
            <w:shd w:val="clear" w:color="auto" w:fill="auto"/>
          </w:tcPr>
          <w:p w14:paraId="4906D215" w14:textId="77777777" w:rsidR="008C5CFA" w:rsidRPr="00601E29" w:rsidRDefault="00E82A60" w:rsidP="00300A01">
            <w:pPr>
              <w:spacing w:before="0" w:after="0"/>
              <w:rPr>
                <w:sz w:val="10"/>
                <w:szCs w:val="10"/>
                <w:lang w:val="fr-BE"/>
              </w:rPr>
            </w:pPr>
            <w:r w:rsidRPr="00601E29">
              <w:rPr>
                <w:noProof/>
                <w:sz w:val="10"/>
                <w:szCs w:val="10"/>
                <w:lang w:val="fr-BE"/>
              </w:rPr>
              <w:t>143</w:t>
            </w:r>
          </w:p>
        </w:tc>
        <w:tc>
          <w:tcPr>
            <w:tcW w:w="0" w:type="auto"/>
            <w:shd w:val="clear" w:color="auto" w:fill="auto"/>
          </w:tcPr>
          <w:p w14:paraId="25B6565C" w14:textId="77777777" w:rsidR="008C5CFA" w:rsidRPr="00601E29" w:rsidRDefault="00E82A60" w:rsidP="00300A01">
            <w:pPr>
              <w:spacing w:before="0" w:after="0"/>
              <w:rPr>
                <w:sz w:val="10"/>
                <w:szCs w:val="10"/>
                <w:lang w:val="fr-BE"/>
              </w:rPr>
            </w:pPr>
            <w:r w:rsidRPr="00601E29">
              <w:rPr>
                <w:noProof/>
                <w:sz w:val="10"/>
                <w:szCs w:val="10"/>
                <w:lang w:val="fr-BE"/>
              </w:rPr>
              <w:t>Liczba uczniów, którzy nabyli kompetencje  kluczowe lub umiejętności uniwersalne  po opuszczeniu programu</w:t>
            </w:r>
          </w:p>
        </w:tc>
        <w:tc>
          <w:tcPr>
            <w:tcW w:w="0" w:type="auto"/>
            <w:shd w:val="clear" w:color="auto" w:fill="auto"/>
          </w:tcPr>
          <w:p w14:paraId="5F1BBC05" w14:textId="77777777" w:rsidR="008C5CFA" w:rsidRPr="00601E29" w:rsidRDefault="00E82A60" w:rsidP="00300A01">
            <w:pPr>
              <w:spacing w:before="0" w:after="0"/>
              <w:rPr>
                <w:sz w:val="10"/>
                <w:szCs w:val="10"/>
                <w:lang w:val="fr-BE"/>
              </w:rPr>
            </w:pPr>
            <w:r w:rsidRPr="00601E29">
              <w:rPr>
                <w:noProof/>
                <w:sz w:val="10"/>
                <w:szCs w:val="10"/>
                <w:lang w:val="fr-BE"/>
              </w:rPr>
              <w:t>Słabiej rozwinięte</w:t>
            </w:r>
          </w:p>
        </w:tc>
        <w:tc>
          <w:tcPr>
            <w:tcW w:w="0" w:type="auto"/>
          </w:tcPr>
          <w:p w14:paraId="4608F949" w14:textId="77777777" w:rsidR="008C5CFA" w:rsidRPr="00601E29" w:rsidRDefault="00E82A60" w:rsidP="00300A01">
            <w:pPr>
              <w:spacing w:before="0" w:after="0"/>
              <w:jc w:val="right"/>
              <w:rPr>
                <w:sz w:val="10"/>
                <w:szCs w:val="10"/>
                <w:lang w:val="fr-BE"/>
              </w:rPr>
            </w:pPr>
            <w:r w:rsidRPr="00601E29">
              <w:rPr>
                <w:noProof/>
                <w:sz w:val="10"/>
                <w:szCs w:val="10"/>
                <w:lang w:val="fr-BE"/>
              </w:rPr>
              <w:t>8 729,00</w:t>
            </w:r>
          </w:p>
        </w:tc>
        <w:tc>
          <w:tcPr>
            <w:tcW w:w="0" w:type="auto"/>
          </w:tcPr>
          <w:p w14:paraId="61504DD1"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60C64522"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31570D02" w14:textId="77777777" w:rsidR="008C5CFA" w:rsidRPr="00601E29" w:rsidRDefault="00E82A60" w:rsidP="00300A01">
            <w:pPr>
              <w:spacing w:before="0" w:after="0"/>
              <w:jc w:val="right"/>
              <w:rPr>
                <w:sz w:val="10"/>
                <w:szCs w:val="10"/>
                <w:lang w:val="fr-BE"/>
              </w:rPr>
            </w:pPr>
            <w:r w:rsidRPr="00601E29">
              <w:rPr>
                <w:noProof/>
                <w:sz w:val="10"/>
                <w:szCs w:val="10"/>
                <w:lang w:val="fr-BE"/>
              </w:rPr>
              <w:t>5 640,00</w:t>
            </w:r>
          </w:p>
        </w:tc>
        <w:tc>
          <w:tcPr>
            <w:tcW w:w="0" w:type="auto"/>
          </w:tcPr>
          <w:p w14:paraId="739ACF87"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15186B07"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64CE9E1E" w14:textId="77777777" w:rsidR="008C5CFA" w:rsidRPr="00601E29" w:rsidRDefault="008C5CFA" w:rsidP="00300A01">
            <w:pPr>
              <w:spacing w:before="0" w:after="0"/>
              <w:jc w:val="right"/>
              <w:rPr>
                <w:sz w:val="10"/>
                <w:szCs w:val="10"/>
                <w:lang w:val="fr-BE"/>
              </w:rPr>
            </w:pPr>
          </w:p>
        </w:tc>
        <w:tc>
          <w:tcPr>
            <w:tcW w:w="0" w:type="auto"/>
          </w:tcPr>
          <w:p w14:paraId="6594D60A" w14:textId="77777777" w:rsidR="008C5CFA" w:rsidRPr="00601E29" w:rsidRDefault="00E82A60" w:rsidP="00300A01">
            <w:pPr>
              <w:spacing w:before="0" w:after="0"/>
              <w:jc w:val="right"/>
              <w:rPr>
                <w:sz w:val="10"/>
                <w:szCs w:val="10"/>
                <w:lang w:val="fr-BE"/>
              </w:rPr>
            </w:pPr>
            <w:r w:rsidRPr="00601E29">
              <w:rPr>
                <w:noProof/>
                <w:sz w:val="10"/>
                <w:szCs w:val="10"/>
                <w:lang w:val="fr-BE"/>
              </w:rPr>
              <w:t>3 089,00</w:t>
            </w:r>
          </w:p>
        </w:tc>
        <w:tc>
          <w:tcPr>
            <w:tcW w:w="0" w:type="auto"/>
          </w:tcPr>
          <w:p w14:paraId="19E4221D" w14:textId="77777777" w:rsidR="008C5CFA" w:rsidRPr="00601E29" w:rsidRDefault="008C5CFA" w:rsidP="00300A01">
            <w:pPr>
              <w:spacing w:before="0" w:after="0"/>
              <w:jc w:val="right"/>
              <w:rPr>
                <w:sz w:val="10"/>
                <w:szCs w:val="10"/>
                <w:lang w:val="fr-BE"/>
              </w:rPr>
            </w:pPr>
          </w:p>
        </w:tc>
        <w:tc>
          <w:tcPr>
            <w:tcW w:w="0" w:type="auto"/>
          </w:tcPr>
          <w:p w14:paraId="5FFD7C43" w14:textId="77777777" w:rsidR="008C5CFA" w:rsidRPr="00601E29" w:rsidRDefault="008C5CFA" w:rsidP="00300A01">
            <w:pPr>
              <w:spacing w:before="0" w:after="0"/>
              <w:jc w:val="right"/>
              <w:rPr>
                <w:sz w:val="10"/>
                <w:szCs w:val="10"/>
                <w:lang w:val="fr-BE"/>
              </w:rPr>
            </w:pPr>
          </w:p>
        </w:tc>
        <w:tc>
          <w:tcPr>
            <w:tcW w:w="0" w:type="auto"/>
          </w:tcPr>
          <w:p w14:paraId="1A950C5B" w14:textId="77777777" w:rsidR="008C5CFA" w:rsidRPr="00601E29" w:rsidRDefault="00E82A60" w:rsidP="00300A01">
            <w:pPr>
              <w:spacing w:before="0" w:after="0"/>
              <w:jc w:val="right"/>
              <w:rPr>
                <w:sz w:val="10"/>
                <w:szCs w:val="10"/>
                <w:lang w:val="fr-BE"/>
              </w:rPr>
            </w:pPr>
            <w:r w:rsidRPr="00601E29">
              <w:rPr>
                <w:noProof/>
                <w:sz w:val="10"/>
                <w:szCs w:val="10"/>
                <w:lang w:val="fr-BE"/>
              </w:rPr>
              <w:t>3 089,00</w:t>
            </w:r>
          </w:p>
        </w:tc>
        <w:tc>
          <w:tcPr>
            <w:tcW w:w="0" w:type="auto"/>
          </w:tcPr>
          <w:p w14:paraId="6307B5C1" w14:textId="77777777" w:rsidR="008C5CFA" w:rsidRPr="00601E29" w:rsidRDefault="008C5CFA" w:rsidP="00300A01">
            <w:pPr>
              <w:spacing w:before="0" w:after="0"/>
              <w:jc w:val="right"/>
              <w:rPr>
                <w:sz w:val="10"/>
                <w:szCs w:val="10"/>
                <w:lang w:val="fr-BE"/>
              </w:rPr>
            </w:pPr>
          </w:p>
        </w:tc>
        <w:tc>
          <w:tcPr>
            <w:tcW w:w="0" w:type="auto"/>
          </w:tcPr>
          <w:p w14:paraId="39D49DE2" w14:textId="77777777" w:rsidR="008C5CFA" w:rsidRPr="00601E29" w:rsidRDefault="008C5CFA" w:rsidP="00300A01">
            <w:pPr>
              <w:spacing w:before="0" w:after="0"/>
              <w:jc w:val="right"/>
              <w:rPr>
                <w:sz w:val="10"/>
                <w:szCs w:val="10"/>
                <w:lang w:val="fr-BE"/>
              </w:rPr>
            </w:pPr>
          </w:p>
        </w:tc>
        <w:tc>
          <w:tcPr>
            <w:tcW w:w="0" w:type="auto"/>
          </w:tcPr>
          <w:p w14:paraId="2CB9A8BE" w14:textId="77777777" w:rsidR="008C5CFA" w:rsidRPr="00601E29" w:rsidRDefault="008C5CFA" w:rsidP="00300A01">
            <w:pPr>
              <w:spacing w:before="0" w:after="0"/>
              <w:jc w:val="right"/>
              <w:rPr>
                <w:sz w:val="10"/>
                <w:szCs w:val="10"/>
                <w:lang w:val="fr-BE"/>
              </w:rPr>
            </w:pPr>
          </w:p>
        </w:tc>
      </w:tr>
      <w:tr w:rsidR="006B2EC1" w14:paraId="577F12B6" w14:textId="77777777" w:rsidTr="0047688D">
        <w:tc>
          <w:tcPr>
            <w:tcW w:w="0" w:type="auto"/>
            <w:shd w:val="clear" w:color="auto" w:fill="auto"/>
          </w:tcPr>
          <w:p w14:paraId="1D165C6A" w14:textId="77777777" w:rsidR="008C5CFA" w:rsidRPr="00601E29" w:rsidRDefault="00E82A60" w:rsidP="00300A01">
            <w:pPr>
              <w:spacing w:before="0" w:after="0"/>
              <w:rPr>
                <w:sz w:val="10"/>
                <w:szCs w:val="10"/>
                <w:lang w:val="fr-BE"/>
              </w:rPr>
            </w:pPr>
            <w:r w:rsidRPr="00601E29">
              <w:rPr>
                <w:noProof/>
                <w:sz w:val="10"/>
                <w:szCs w:val="10"/>
                <w:lang w:val="fr-BE"/>
              </w:rPr>
              <w:t>007</w:t>
            </w:r>
          </w:p>
        </w:tc>
        <w:tc>
          <w:tcPr>
            <w:tcW w:w="0" w:type="auto"/>
            <w:shd w:val="clear" w:color="auto" w:fill="auto"/>
          </w:tcPr>
          <w:p w14:paraId="7DE416CF" w14:textId="77777777" w:rsidR="008C5CFA" w:rsidRPr="00601E29" w:rsidRDefault="00E82A60" w:rsidP="00300A01">
            <w:pPr>
              <w:spacing w:before="0" w:after="0"/>
              <w:rPr>
                <w:sz w:val="10"/>
                <w:szCs w:val="10"/>
                <w:lang w:val="fr-BE"/>
              </w:rPr>
            </w:pPr>
            <w:r w:rsidRPr="00601E29">
              <w:rPr>
                <w:noProof/>
                <w:sz w:val="10"/>
                <w:szCs w:val="10"/>
                <w:lang w:val="fr-BE"/>
              </w:rPr>
              <w:t>Liczba szkół i placówek systemu oświaty wykorzystujących sprzęt TIK do prowadzenia zajęć edukacyjnych</w:t>
            </w:r>
          </w:p>
        </w:tc>
        <w:tc>
          <w:tcPr>
            <w:tcW w:w="0" w:type="auto"/>
            <w:shd w:val="clear" w:color="auto" w:fill="auto"/>
          </w:tcPr>
          <w:p w14:paraId="324C0E44" w14:textId="77777777" w:rsidR="008C5CFA" w:rsidRPr="00601E29" w:rsidRDefault="00E82A60" w:rsidP="00300A01">
            <w:pPr>
              <w:spacing w:before="0" w:after="0"/>
              <w:rPr>
                <w:sz w:val="10"/>
                <w:szCs w:val="10"/>
                <w:lang w:val="fr-BE"/>
              </w:rPr>
            </w:pPr>
            <w:r w:rsidRPr="00601E29">
              <w:rPr>
                <w:noProof/>
                <w:sz w:val="10"/>
                <w:szCs w:val="10"/>
                <w:lang w:val="fr-BE"/>
              </w:rPr>
              <w:t>Słabiej rozwinięte</w:t>
            </w:r>
          </w:p>
        </w:tc>
        <w:tc>
          <w:tcPr>
            <w:tcW w:w="0" w:type="auto"/>
          </w:tcPr>
          <w:p w14:paraId="2ACC2557" w14:textId="77777777" w:rsidR="008C5CFA" w:rsidRPr="00601E29" w:rsidRDefault="00E82A60" w:rsidP="00300A01">
            <w:pPr>
              <w:spacing w:before="0" w:after="0"/>
              <w:jc w:val="right"/>
              <w:rPr>
                <w:sz w:val="10"/>
                <w:szCs w:val="10"/>
                <w:lang w:val="fr-BE"/>
              </w:rPr>
            </w:pPr>
            <w:r w:rsidRPr="00601E29">
              <w:rPr>
                <w:noProof/>
                <w:sz w:val="10"/>
                <w:szCs w:val="10"/>
                <w:lang w:val="fr-BE"/>
              </w:rPr>
              <w:t>17,00</w:t>
            </w:r>
          </w:p>
        </w:tc>
        <w:tc>
          <w:tcPr>
            <w:tcW w:w="0" w:type="auto"/>
          </w:tcPr>
          <w:p w14:paraId="74C13DE3"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34703204"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4F3B835E" w14:textId="77777777" w:rsidR="008C5CFA" w:rsidRPr="00601E29" w:rsidRDefault="00E82A60" w:rsidP="00300A01">
            <w:pPr>
              <w:spacing w:before="0" w:after="0"/>
              <w:jc w:val="right"/>
              <w:rPr>
                <w:sz w:val="10"/>
                <w:szCs w:val="10"/>
                <w:lang w:val="fr-BE"/>
              </w:rPr>
            </w:pPr>
            <w:r w:rsidRPr="00601E29">
              <w:rPr>
                <w:noProof/>
                <w:sz w:val="10"/>
                <w:szCs w:val="10"/>
                <w:lang w:val="fr-BE"/>
              </w:rPr>
              <w:t>6,00</w:t>
            </w:r>
          </w:p>
        </w:tc>
        <w:tc>
          <w:tcPr>
            <w:tcW w:w="0" w:type="auto"/>
          </w:tcPr>
          <w:p w14:paraId="392B84AA"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558D4D97"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28E67FE9" w14:textId="77777777" w:rsidR="008C5CFA" w:rsidRPr="00601E29" w:rsidRDefault="008C5CFA" w:rsidP="00300A01">
            <w:pPr>
              <w:spacing w:before="0" w:after="0"/>
              <w:jc w:val="right"/>
              <w:rPr>
                <w:sz w:val="10"/>
                <w:szCs w:val="10"/>
                <w:lang w:val="fr-BE"/>
              </w:rPr>
            </w:pPr>
          </w:p>
        </w:tc>
        <w:tc>
          <w:tcPr>
            <w:tcW w:w="0" w:type="auto"/>
          </w:tcPr>
          <w:p w14:paraId="2DC5D042" w14:textId="77777777" w:rsidR="008C5CFA" w:rsidRPr="00601E29" w:rsidRDefault="00E82A60" w:rsidP="00300A01">
            <w:pPr>
              <w:spacing w:before="0" w:after="0"/>
              <w:jc w:val="right"/>
              <w:rPr>
                <w:sz w:val="10"/>
                <w:szCs w:val="10"/>
                <w:lang w:val="fr-BE"/>
              </w:rPr>
            </w:pPr>
            <w:r w:rsidRPr="00601E29">
              <w:rPr>
                <w:noProof/>
                <w:sz w:val="10"/>
                <w:szCs w:val="10"/>
                <w:lang w:val="fr-BE"/>
              </w:rPr>
              <w:t>11,00</w:t>
            </w:r>
          </w:p>
        </w:tc>
        <w:tc>
          <w:tcPr>
            <w:tcW w:w="0" w:type="auto"/>
          </w:tcPr>
          <w:p w14:paraId="18D339D0"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7A5D9F20"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74AE8229" w14:textId="77777777" w:rsidR="008C5CFA" w:rsidRPr="00601E29" w:rsidRDefault="00E82A60" w:rsidP="00300A01">
            <w:pPr>
              <w:spacing w:before="0" w:after="0"/>
              <w:jc w:val="right"/>
              <w:rPr>
                <w:sz w:val="10"/>
                <w:szCs w:val="10"/>
                <w:lang w:val="fr-BE"/>
              </w:rPr>
            </w:pPr>
            <w:r w:rsidRPr="00601E29">
              <w:rPr>
                <w:noProof/>
                <w:sz w:val="10"/>
                <w:szCs w:val="10"/>
                <w:lang w:val="fr-BE"/>
              </w:rPr>
              <w:t>11,00</w:t>
            </w:r>
          </w:p>
        </w:tc>
        <w:tc>
          <w:tcPr>
            <w:tcW w:w="0" w:type="auto"/>
          </w:tcPr>
          <w:p w14:paraId="65C462B1"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3A0B0D9F"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55166720" w14:textId="77777777" w:rsidR="008C5CFA" w:rsidRPr="00601E29" w:rsidRDefault="008C5CFA" w:rsidP="00300A01">
            <w:pPr>
              <w:spacing w:before="0" w:after="0"/>
              <w:jc w:val="right"/>
              <w:rPr>
                <w:sz w:val="10"/>
                <w:szCs w:val="10"/>
                <w:lang w:val="fr-BE"/>
              </w:rPr>
            </w:pPr>
          </w:p>
        </w:tc>
      </w:tr>
      <w:tr w:rsidR="006B2EC1" w14:paraId="64FD12D6" w14:textId="77777777" w:rsidTr="0047688D">
        <w:tc>
          <w:tcPr>
            <w:tcW w:w="0" w:type="auto"/>
            <w:shd w:val="clear" w:color="auto" w:fill="auto"/>
          </w:tcPr>
          <w:p w14:paraId="40FDB306" w14:textId="77777777" w:rsidR="008C5CFA" w:rsidRPr="00601E29" w:rsidRDefault="00E82A60" w:rsidP="00300A01">
            <w:pPr>
              <w:spacing w:before="0" w:after="0"/>
              <w:rPr>
                <w:sz w:val="10"/>
                <w:szCs w:val="10"/>
                <w:lang w:val="fr-BE"/>
              </w:rPr>
            </w:pPr>
            <w:r w:rsidRPr="00601E29">
              <w:rPr>
                <w:noProof/>
                <w:sz w:val="10"/>
                <w:szCs w:val="10"/>
                <w:lang w:val="fr-BE"/>
              </w:rPr>
              <w:t>008</w:t>
            </w:r>
          </w:p>
        </w:tc>
        <w:tc>
          <w:tcPr>
            <w:tcW w:w="0" w:type="auto"/>
            <w:shd w:val="clear" w:color="auto" w:fill="auto"/>
          </w:tcPr>
          <w:p w14:paraId="5FC9BE07" w14:textId="77777777" w:rsidR="008C5CFA" w:rsidRPr="00601E29" w:rsidRDefault="00E82A60" w:rsidP="00300A01">
            <w:pPr>
              <w:spacing w:before="0" w:after="0"/>
              <w:rPr>
                <w:sz w:val="10"/>
                <w:szCs w:val="10"/>
                <w:lang w:val="fr-BE"/>
              </w:rPr>
            </w:pPr>
            <w:r w:rsidRPr="00601E29">
              <w:rPr>
                <w:noProof/>
                <w:sz w:val="10"/>
                <w:szCs w:val="10"/>
                <w:lang w:val="fr-BE"/>
              </w:rPr>
              <w:t>Liczba szkół, w których pracownie przedmiotowe wykorzystują doposażenie do prowadzenia zajęć edukacyjnych</w:t>
            </w:r>
          </w:p>
        </w:tc>
        <w:tc>
          <w:tcPr>
            <w:tcW w:w="0" w:type="auto"/>
            <w:shd w:val="clear" w:color="auto" w:fill="auto"/>
          </w:tcPr>
          <w:p w14:paraId="598BEC02" w14:textId="77777777" w:rsidR="008C5CFA" w:rsidRPr="00601E29" w:rsidRDefault="00E82A60" w:rsidP="00300A01">
            <w:pPr>
              <w:spacing w:before="0" w:after="0"/>
              <w:rPr>
                <w:sz w:val="10"/>
                <w:szCs w:val="10"/>
                <w:lang w:val="fr-BE"/>
              </w:rPr>
            </w:pPr>
            <w:r w:rsidRPr="00601E29">
              <w:rPr>
                <w:noProof/>
                <w:sz w:val="10"/>
                <w:szCs w:val="10"/>
                <w:lang w:val="fr-BE"/>
              </w:rPr>
              <w:t>Słabiej rozwinięte</w:t>
            </w:r>
          </w:p>
        </w:tc>
        <w:tc>
          <w:tcPr>
            <w:tcW w:w="0" w:type="auto"/>
          </w:tcPr>
          <w:p w14:paraId="67E9DDEB" w14:textId="77777777" w:rsidR="008C5CFA" w:rsidRPr="00601E29" w:rsidRDefault="00E82A60" w:rsidP="00300A01">
            <w:pPr>
              <w:spacing w:before="0" w:after="0"/>
              <w:jc w:val="right"/>
              <w:rPr>
                <w:sz w:val="10"/>
                <w:szCs w:val="10"/>
                <w:lang w:val="fr-BE"/>
              </w:rPr>
            </w:pPr>
            <w:r w:rsidRPr="00601E29">
              <w:rPr>
                <w:noProof/>
                <w:sz w:val="10"/>
                <w:szCs w:val="10"/>
                <w:lang w:val="fr-BE"/>
              </w:rPr>
              <w:t>16,00</w:t>
            </w:r>
          </w:p>
        </w:tc>
        <w:tc>
          <w:tcPr>
            <w:tcW w:w="0" w:type="auto"/>
          </w:tcPr>
          <w:p w14:paraId="11F36E5E"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42DDD880"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53C783DC" w14:textId="77777777" w:rsidR="008C5CFA" w:rsidRPr="00601E29" w:rsidRDefault="00E82A60" w:rsidP="00300A01">
            <w:pPr>
              <w:spacing w:before="0" w:after="0"/>
              <w:jc w:val="right"/>
              <w:rPr>
                <w:sz w:val="10"/>
                <w:szCs w:val="10"/>
                <w:lang w:val="fr-BE"/>
              </w:rPr>
            </w:pPr>
            <w:r w:rsidRPr="00601E29">
              <w:rPr>
                <w:noProof/>
                <w:sz w:val="10"/>
                <w:szCs w:val="10"/>
                <w:lang w:val="fr-BE"/>
              </w:rPr>
              <w:t>8,00</w:t>
            </w:r>
          </w:p>
        </w:tc>
        <w:tc>
          <w:tcPr>
            <w:tcW w:w="0" w:type="auto"/>
          </w:tcPr>
          <w:p w14:paraId="281A7533"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1A0EFD0C"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4C0E6ED4" w14:textId="77777777" w:rsidR="008C5CFA" w:rsidRPr="00601E29" w:rsidRDefault="008C5CFA" w:rsidP="00300A01">
            <w:pPr>
              <w:spacing w:before="0" w:after="0"/>
              <w:jc w:val="right"/>
              <w:rPr>
                <w:sz w:val="10"/>
                <w:szCs w:val="10"/>
                <w:lang w:val="fr-BE"/>
              </w:rPr>
            </w:pPr>
          </w:p>
        </w:tc>
        <w:tc>
          <w:tcPr>
            <w:tcW w:w="0" w:type="auto"/>
          </w:tcPr>
          <w:p w14:paraId="60BEA111" w14:textId="77777777" w:rsidR="008C5CFA" w:rsidRPr="00601E29" w:rsidRDefault="00E82A60" w:rsidP="00300A01">
            <w:pPr>
              <w:spacing w:before="0" w:after="0"/>
              <w:jc w:val="right"/>
              <w:rPr>
                <w:sz w:val="10"/>
                <w:szCs w:val="10"/>
                <w:lang w:val="fr-BE"/>
              </w:rPr>
            </w:pPr>
            <w:r w:rsidRPr="00601E29">
              <w:rPr>
                <w:noProof/>
                <w:sz w:val="10"/>
                <w:szCs w:val="10"/>
                <w:lang w:val="fr-BE"/>
              </w:rPr>
              <w:t>8,00</w:t>
            </w:r>
          </w:p>
        </w:tc>
        <w:tc>
          <w:tcPr>
            <w:tcW w:w="0" w:type="auto"/>
          </w:tcPr>
          <w:p w14:paraId="0C35F227"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0C978801"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2C494CEE" w14:textId="77777777" w:rsidR="008C5CFA" w:rsidRPr="00601E29" w:rsidRDefault="00E82A60" w:rsidP="00300A01">
            <w:pPr>
              <w:spacing w:before="0" w:after="0"/>
              <w:jc w:val="right"/>
              <w:rPr>
                <w:sz w:val="10"/>
                <w:szCs w:val="10"/>
                <w:lang w:val="fr-BE"/>
              </w:rPr>
            </w:pPr>
            <w:r w:rsidRPr="00601E29">
              <w:rPr>
                <w:noProof/>
                <w:sz w:val="10"/>
                <w:szCs w:val="10"/>
                <w:lang w:val="fr-BE"/>
              </w:rPr>
              <w:t>8,00</w:t>
            </w:r>
          </w:p>
        </w:tc>
        <w:tc>
          <w:tcPr>
            <w:tcW w:w="0" w:type="auto"/>
          </w:tcPr>
          <w:p w14:paraId="131913A4"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44133180"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2F5EDACF" w14:textId="77777777" w:rsidR="008C5CFA" w:rsidRPr="00601E29" w:rsidRDefault="008C5CFA" w:rsidP="00300A01">
            <w:pPr>
              <w:spacing w:before="0" w:after="0"/>
              <w:jc w:val="right"/>
              <w:rPr>
                <w:sz w:val="10"/>
                <w:szCs w:val="10"/>
                <w:lang w:val="fr-BE"/>
              </w:rPr>
            </w:pPr>
          </w:p>
        </w:tc>
      </w:tr>
      <w:tr w:rsidR="006B2EC1" w14:paraId="15BFDC65" w14:textId="77777777" w:rsidTr="0047688D">
        <w:tc>
          <w:tcPr>
            <w:tcW w:w="0" w:type="auto"/>
            <w:shd w:val="clear" w:color="auto" w:fill="auto"/>
          </w:tcPr>
          <w:p w14:paraId="5BC87B33" w14:textId="77777777" w:rsidR="008C5CFA" w:rsidRPr="00601E29" w:rsidRDefault="00E82A60" w:rsidP="00300A01">
            <w:pPr>
              <w:spacing w:before="0" w:after="0"/>
              <w:rPr>
                <w:sz w:val="10"/>
                <w:szCs w:val="10"/>
                <w:lang w:val="fr-BE"/>
              </w:rPr>
            </w:pPr>
            <w:r w:rsidRPr="00601E29">
              <w:rPr>
                <w:noProof/>
                <w:sz w:val="10"/>
                <w:szCs w:val="10"/>
                <w:lang w:val="fr-BE"/>
              </w:rPr>
              <w:t>009</w:t>
            </w:r>
          </w:p>
        </w:tc>
        <w:tc>
          <w:tcPr>
            <w:tcW w:w="0" w:type="auto"/>
            <w:shd w:val="clear" w:color="auto" w:fill="auto"/>
          </w:tcPr>
          <w:p w14:paraId="352B3D1A" w14:textId="77777777" w:rsidR="008C5CFA" w:rsidRPr="00601E29" w:rsidRDefault="00E82A60" w:rsidP="00300A01">
            <w:pPr>
              <w:spacing w:before="0" w:after="0"/>
              <w:rPr>
                <w:sz w:val="10"/>
                <w:szCs w:val="10"/>
                <w:lang w:val="fr-BE"/>
              </w:rPr>
            </w:pPr>
            <w:r w:rsidRPr="00601E29">
              <w:rPr>
                <w:noProof/>
                <w:sz w:val="10"/>
                <w:szCs w:val="10"/>
                <w:lang w:val="fr-BE"/>
              </w:rPr>
              <w:t>Liczba nauczycieli, którzy uzyskali kwalifikacje lub nabyli kompetencje po opuszczeniu programu</w:t>
            </w:r>
          </w:p>
        </w:tc>
        <w:tc>
          <w:tcPr>
            <w:tcW w:w="0" w:type="auto"/>
            <w:shd w:val="clear" w:color="auto" w:fill="auto"/>
          </w:tcPr>
          <w:p w14:paraId="56D3E5A9" w14:textId="77777777" w:rsidR="008C5CFA" w:rsidRPr="00601E29" w:rsidRDefault="00E82A60" w:rsidP="00300A01">
            <w:pPr>
              <w:spacing w:before="0" w:after="0"/>
              <w:rPr>
                <w:sz w:val="10"/>
                <w:szCs w:val="10"/>
                <w:lang w:val="fr-BE"/>
              </w:rPr>
            </w:pPr>
            <w:r w:rsidRPr="00601E29">
              <w:rPr>
                <w:noProof/>
                <w:sz w:val="10"/>
                <w:szCs w:val="10"/>
                <w:lang w:val="fr-BE"/>
              </w:rPr>
              <w:t>Słabiej rozwinięte</w:t>
            </w:r>
          </w:p>
        </w:tc>
        <w:tc>
          <w:tcPr>
            <w:tcW w:w="0" w:type="auto"/>
          </w:tcPr>
          <w:p w14:paraId="1A1E6EB8" w14:textId="77777777" w:rsidR="008C5CFA" w:rsidRPr="00601E29" w:rsidRDefault="00E82A60" w:rsidP="00300A01">
            <w:pPr>
              <w:spacing w:before="0" w:after="0"/>
              <w:jc w:val="right"/>
              <w:rPr>
                <w:sz w:val="10"/>
                <w:szCs w:val="10"/>
                <w:lang w:val="fr-BE"/>
              </w:rPr>
            </w:pPr>
            <w:r w:rsidRPr="00601E29">
              <w:rPr>
                <w:noProof/>
                <w:sz w:val="10"/>
                <w:szCs w:val="10"/>
                <w:lang w:val="fr-BE"/>
              </w:rPr>
              <w:t>1 205,00</w:t>
            </w:r>
          </w:p>
        </w:tc>
        <w:tc>
          <w:tcPr>
            <w:tcW w:w="0" w:type="auto"/>
          </w:tcPr>
          <w:p w14:paraId="1C8A5905"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0285D5EF"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636CDF61" w14:textId="77777777" w:rsidR="008C5CFA" w:rsidRPr="00601E29" w:rsidRDefault="00E82A60" w:rsidP="00300A01">
            <w:pPr>
              <w:spacing w:before="0" w:after="0"/>
              <w:jc w:val="right"/>
              <w:rPr>
                <w:sz w:val="10"/>
                <w:szCs w:val="10"/>
                <w:lang w:val="fr-BE"/>
              </w:rPr>
            </w:pPr>
            <w:r w:rsidRPr="00601E29">
              <w:rPr>
                <w:noProof/>
                <w:sz w:val="10"/>
                <w:szCs w:val="10"/>
                <w:lang w:val="fr-BE"/>
              </w:rPr>
              <w:t>558,00</w:t>
            </w:r>
          </w:p>
        </w:tc>
        <w:tc>
          <w:tcPr>
            <w:tcW w:w="0" w:type="auto"/>
          </w:tcPr>
          <w:p w14:paraId="62C276DD"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5956D8F8"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73CE9661" w14:textId="77777777" w:rsidR="008C5CFA" w:rsidRPr="00601E29" w:rsidRDefault="008C5CFA" w:rsidP="00300A01">
            <w:pPr>
              <w:spacing w:before="0" w:after="0"/>
              <w:jc w:val="right"/>
              <w:rPr>
                <w:sz w:val="10"/>
                <w:szCs w:val="10"/>
                <w:lang w:val="fr-BE"/>
              </w:rPr>
            </w:pPr>
          </w:p>
        </w:tc>
        <w:tc>
          <w:tcPr>
            <w:tcW w:w="0" w:type="auto"/>
          </w:tcPr>
          <w:p w14:paraId="576C03D8" w14:textId="77777777" w:rsidR="008C5CFA" w:rsidRPr="00601E29" w:rsidRDefault="00E82A60" w:rsidP="00300A01">
            <w:pPr>
              <w:spacing w:before="0" w:after="0"/>
              <w:jc w:val="right"/>
              <w:rPr>
                <w:sz w:val="10"/>
                <w:szCs w:val="10"/>
                <w:lang w:val="fr-BE"/>
              </w:rPr>
            </w:pPr>
            <w:r w:rsidRPr="00601E29">
              <w:rPr>
                <w:noProof/>
                <w:sz w:val="10"/>
                <w:szCs w:val="10"/>
                <w:lang w:val="fr-BE"/>
              </w:rPr>
              <w:t>647,00</w:t>
            </w:r>
          </w:p>
        </w:tc>
        <w:tc>
          <w:tcPr>
            <w:tcW w:w="0" w:type="auto"/>
          </w:tcPr>
          <w:p w14:paraId="65DC5201"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5042D6B7"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2F3408F7" w14:textId="77777777" w:rsidR="008C5CFA" w:rsidRPr="00601E29" w:rsidRDefault="00E82A60" w:rsidP="00300A01">
            <w:pPr>
              <w:spacing w:before="0" w:after="0"/>
              <w:jc w:val="right"/>
              <w:rPr>
                <w:sz w:val="10"/>
                <w:szCs w:val="10"/>
                <w:lang w:val="fr-BE"/>
              </w:rPr>
            </w:pPr>
            <w:r w:rsidRPr="00601E29">
              <w:rPr>
                <w:noProof/>
                <w:sz w:val="10"/>
                <w:szCs w:val="10"/>
                <w:lang w:val="fr-BE"/>
              </w:rPr>
              <w:t>647,00</w:t>
            </w:r>
          </w:p>
        </w:tc>
        <w:tc>
          <w:tcPr>
            <w:tcW w:w="0" w:type="auto"/>
          </w:tcPr>
          <w:p w14:paraId="7A48C771"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5518207A"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19A2CDDA" w14:textId="77777777" w:rsidR="008C5CFA" w:rsidRPr="00601E29" w:rsidRDefault="008C5CFA" w:rsidP="00300A01">
            <w:pPr>
              <w:spacing w:before="0" w:after="0"/>
              <w:jc w:val="right"/>
              <w:rPr>
                <w:sz w:val="10"/>
                <w:szCs w:val="10"/>
                <w:lang w:val="fr-BE"/>
              </w:rPr>
            </w:pPr>
          </w:p>
        </w:tc>
      </w:tr>
      <w:tr w:rsidR="006B2EC1" w14:paraId="40EF6ACD" w14:textId="77777777" w:rsidTr="0047688D">
        <w:tc>
          <w:tcPr>
            <w:tcW w:w="0" w:type="auto"/>
            <w:shd w:val="clear" w:color="auto" w:fill="auto"/>
          </w:tcPr>
          <w:p w14:paraId="7C76CB01" w14:textId="77777777" w:rsidR="008C5CFA" w:rsidRPr="00601E29" w:rsidRDefault="00E82A60" w:rsidP="00300A01">
            <w:pPr>
              <w:spacing w:before="0" w:after="0"/>
              <w:rPr>
                <w:sz w:val="10"/>
                <w:szCs w:val="10"/>
                <w:lang w:val="fr-BE"/>
              </w:rPr>
            </w:pPr>
            <w:r w:rsidRPr="00601E29">
              <w:rPr>
                <w:noProof/>
                <w:sz w:val="10"/>
                <w:szCs w:val="10"/>
                <w:lang w:val="fr-BE"/>
              </w:rPr>
              <w:t>010</w:t>
            </w:r>
          </w:p>
        </w:tc>
        <w:tc>
          <w:tcPr>
            <w:tcW w:w="0" w:type="auto"/>
            <w:shd w:val="clear" w:color="auto" w:fill="auto"/>
          </w:tcPr>
          <w:p w14:paraId="7456EE08" w14:textId="77777777" w:rsidR="008C5CFA" w:rsidRPr="00601E29" w:rsidRDefault="00E82A60" w:rsidP="00300A01">
            <w:pPr>
              <w:spacing w:before="0" w:after="0"/>
              <w:rPr>
                <w:sz w:val="10"/>
                <w:szCs w:val="10"/>
                <w:lang w:val="fr-BE"/>
              </w:rPr>
            </w:pPr>
            <w:r w:rsidRPr="00601E29">
              <w:rPr>
                <w:noProof/>
                <w:sz w:val="10"/>
                <w:szCs w:val="10"/>
                <w:lang w:val="fr-BE"/>
              </w:rPr>
              <w:t>Liczba nauczycieli prowadzących zajęcia z wykorzystaniem TIK dzięki EFS</w:t>
            </w:r>
          </w:p>
        </w:tc>
        <w:tc>
          <w:tcPr>
            <w:tcW w:w="0" w:type="auto"/>
            <w:shd w:val="clear" w:color="auto" w:fill="auto"/>
          </w:tcPr>
          <w:p w14:paraId="45F68EBC" w14:textId="77777777" w:rsidR="008C5CFA" w:rsidRPr="00601E29" w:rsidRDefault="00E82A60" w:rsidP="00300A01">
            <w:pPr>
              <w:spacing w:before="0" w:after="0"/>
              <w:rPr>
                <w:sz w:val="10"/>
                <w:szCs w:val="10"/>
                <w:lang w:val="fr-BE"/>
              </w:rPr>
            </w:pPr>
            <w:r w:rsidRPr="00601E29">
              <w:rPr>
                <w:noProof/>
                <w:sz w:val="10"/>
                <w:szCs w:val="10"/>
                <w:lang w:val="fr-BE"/>
              </w:rPr>
              <w:t>Słabiej rozwinięte</w:t>
            </w:r>
          </w:p>
        </w:tc>
        <w:tc>
          <w:tcPr>
            <w:tcW w:w="0" w:type="auto"/>
          </w:tcPr>
          <w:p w14:paraId="1ECE9672" w14:textId="77777777" w:rsidR="008C5CFA" w:rsidRPr="00601E29" w:rsidRDefault="00E82A60" w:rsidP="00300A01">
            <w:pPr>
              <w:spacing w:before="0" w:after="0"/>
              <w:jc w:val="right"/>
              <w:rPr>
                <w:sz w:val="10"/>
                <w:szCs w:val="10"/>
                <w:lang w:val="fr-BE"/>
              </w:rPr>
            </w:pPr>
            <w:r w:rsidRPr="00601E29">
              <w:rPr>
                <w:noProof/>
                <w:sz w:val="10"/>
                <w:szCs w:val="10"/>
                <w:lang w:val="fr-BE"/>
              </w:rPr>
              <w:t>598,00</w:t>
            </w:r>
          </w:p>
        </w:tc>
        <w:tc>
          <w:tcPr>
            <w:tcW w:w="0" w:type="auto"/>
          </w:tcPr>
          <w:p w14:paraId="766E4636"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7F888BA9"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3462D0F3" w14:textId="77777777" w:rsidR="008C5CFA" w:rsidRPr="00601E29" w:rsidRDefault="00E82A60" w:rsidP="00300A01">
            <w:pPr>
              <w:spacing w:before="0" w:after="0"/>
              <w:jc w:val="right"/>
              <w:rPr>
                <w:sz w:val="10"/>
                <w:szCs w:val="10"/>
                <w:lang w:val="fr-BE"/>
              </w:rPr>
            </w:pPr>
            <w:r w:rsidRPr="00601E29">
              <w:rPr>
                <w:noProof/>
                <w:sz w:val="10"/>
                <w:szCs w:val="10"/>
                <w:lang w:val="fr-BE"/>
              </w:rPr>
              <w:t>598,00</w:t>
            </w:r>
          </w:p>
        </w:tc>
        <w:tc>
          <w:tcPr>
            <w:tcW w:w="0" w:type="auto"/>
          </w:tcPr>
          <w:p w14:paraId="4DF6CC2C"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1003A248"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76756604" w14:textId="77777777" w:rsidR="008C5CFA" w:rsidRPr="00601E29" w:rsidRDefault="008C5CFA" w:rsidP="00300A01">
            <w:pPr>
              <w:spacing w:before="0" w:after="0"/>
              <w:jc w:val="right"/>
              <w:rPr>
                <w:sz w:val="10"/>
                <w:szCs w:val="10"/>
                <w:lang w:val="fr-BE"/>
              </w:rPr>
            </w:pPr>
          </w:p>
        </w:tc>
        <w:tc>
          <w:tcPr>
            <w:tcW w:w="0" w:type="auto"/>
          </w:tcPr>
          <w:p w14:paraId="10D79AB2"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3A56603A"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1EB66870"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56D16295"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39BFDC6D"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10780376"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672992BE" w14:textId="77777777" w:rsidR="008C5CFA" w:rsidRPr="00601E29" w:rsidRDefault="008C5CFA" w:rsidP="00300A01">
            <w:pPr>
              <w:spacing w:before="0" w:after="0"/>
              <w:jc w:val="right"/>
              <w:rPr>
                <w:sz w:val="10"/>
                <w:szCs w:val="10"/>
                <w:lang w:val="fr-BE"/>
              </w:rPr>
            </w:pPr>
          </w:p>
        </w:tc>
      </w:tr>
    </w:tbl>
    <w:p w14:paraId="3BE103E7"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10"/>
        <w:gridCol w:w="5565"/>
        <w:gridCol w:w="1049"/>
        <w:gridCol w:w="525"/>
        <w:gridCol w:w="660"/>
        <w:gridCol w:w="530"/>
        <w:gridCol w:w="525"/>
        <w:gridCol w:w="660"/>
        <w:gridCol w:w="530"/>
        <w:gridCol w:w="700"/>
        <w:gridCol w:w="525"/>
        <w:gridCol w:w="660"/>
        <w:gridCol w:w="530"/>
        <w:gridCol w:w="525"/>
        <w:gridCol w:w="660"/>
        <w:gridCol w:w="530"/>
        <w:gridCol w:w="700"/>
      </w:tblGrid>
      <w:tr w:rsidR="006B2EC1" w14:paraId="681EA23B" w14:textId="77777777" w:rsidTr="0047688D">
        <w:trPr>
          <w:tblHeader/>
        </w:trPr>
        <w:tc>
          <w:tcPr>
            <w:tcW w:w="0" w:type="auto"/>
            <w:shd w:val="clear" w:color="auto" w:fill="auto"/>
          </w:tcPr>
          <w:p w14:paraId="425F8F0F" w14:textId="77777777" w:rsidR="008C5CFA" w:rsidRPr="00601E29" w:rsidRDefault="00E82A60" w:rsidP="00300A01">
            <w:pPr>
              <w:spacing w:before="0" w:after="0"/>
              <w:rPr>
                <w:b/>
                <w:sz w:val="10"/>
                <w:szCs w:val="10"/>
                <w:lang w:val="fr-BE"/>
              </w:rPr>
            </w:pPr>
            <w:r w:rsidRPr="00601E29">
              <w:rPr>
                <w:b/>
                <w:noProof/>
                <w:sz w:val="10"/>
                <w:szCs w:val="10"/>
                <w:lang w:val="fr-BE"/>
              </w:rPr>
              <w:t>ID</w:t>
            </w:r>
          </w:p>
        </w:tc>
        <w:tc>
          <w:tcPr>
            <w:tcW w:w="0" w:type="auto"/>
            <w:shd w:val="clear" w:color="auto" w:fill="auto"/>
          </w:tcPr>
          <w:p w14:paraId="66FFF9A1" w14:textId="77777777" w:rsidR="008C5CFA" w:rsidRPr="00601E29" w:rsidRDefault="00E82A60" w:rsidP="00300A01">
            <w:pPr>
              <w:spacing w:before="0" w:after="0"/>
              <w:rPr>
                <w:b/>
                <w:sz w:val="10"/>
                <w:szCs w:val="10"/>
                <w:lang w:val="fr-BE"/>
              </w:rPr>
            </w:pPr>
            <w:r w:rsidRPr="00601E29">
              <w:rPr>
                <w:b/>
                <w:noProof/>
                <w:sz w:val="10"/>
                <w:szCs w:val="10"/>
                <w:lang w:val="fr-BE"/>
              </w:rPr>
              <w:t>Wskaźnik</w:t>
            </w:r>
          </w:p>
        </w:tc>
        <w:tc>
          <w:tcPr>
            <w:tcW w:w="0" w:type="auto"/>
            <w:shd w:val="clear" w:color="auto" w:fill="auto"/>
          </w:tcPr>
          <w:p w14:paraId="051884C3" w14:textId="77777777" w:rsidR="008C5CFA" w:rsidRPr="00601E29" w:rsidRDefault="00E82A60" w:rsidP="00300A01">
            <w:pPr>
              <w:spacing w:before="0" w:after="0"/>
              <w:rPr>
                <w:b/>
                <w:sz w:val="10"/>
                <w:szCs w:val="10"/>
                <w:lang w:val="fr-BE"/>
              </w:rPr>
            </w:pPr>
            <w:r w:rsidRPr="00601E29">
              <w:rPr>
                <w:b/>
                <w:noProof/>
                <w:sz w:val="10"/>
                <w:szCs w:val="10"/>
                <w:lang w:val="fr-BE"/>
              </w:rPr>
              <w:t>Kategoria regionu</w:t>
            </w:r>
          </w:p>
        </w:tc>
        <w:tc>
          <w:tcPr>
            <w:tcW w:w="0" w:type="auto"/>
            <w:gridSpan w:val="7"/>
          </w:tcPr>
          <w:p w14:paraId="18A9D634" w14:textId="77777777" w:rsidR="008C5CFA" w:rsidRPr="00601E29" w:rsidRDefault="00E82A60" w:rsidP="00300A01">
            <w:pPr>
              <w:spacing w:before="0" w:after="0"/>
              <w:jc w:val="center"/>
              <w:rPr>
                <w:b/>
                <w:sz w:val="10"/>
                <w:szCs w:val="10"/>
                <w:lang w:val="fr-BE"/>
              </w:rPr>
            </w:pPr>
            <w:r>
              <w:rPr>
                <w:b/>
                <w:sz w:val="10"/>
                <w:szCs w:val="10"/>
                <w:lang w:val="fr-BE"/>
              </w:rPr>
              <w:t>2016</w:t>
            </w:r>
          </w:p>
        </w:tc>
        <w:tc>
          <w:tcPr>
            <w:tcW w:w="0" w:type="auto"/>
            <w:gridSpan w:val="7"/>
          </w:tcPr>
          <w:p w14:paraId="468B468E" w14:textId="77777777" w:rsidR="008C5CFA" w:rsidRPr="00601E29" w:rsidRDefault="00E82A60" w:rsidP="00300A01">
            <w:pPr>
              <w:spacing w:before="0" w:after="0"/>
              <w:jc w:val="center"/>
              <w:rPr>
                <w:b/>
                <w:sz w:val="10"/>
                <w:szCs w:val="10"/>
                <w:lang w:val="fr-BE"/>
              </w:rPr>
            </w:pPr>
            <w:r>
              <w:rPr>
                <w:b/>
                <w:sz w:val="10"/>
                <w:szCs w:val="10"/>
                <w:lang w:val="fr-BE"/>
              </w:rPr>
              <w:t>2015</w:t>
            </w:r>
          </w:p>
        </w:tc>
      </w:tr>
      <w:tr w:rsidR="006B2EC1" w14:paraId="1660DA17" w14:textId="77777777" w:rsidTr="0047688D">
        <w:trPr>
          <w:tblHeader/>
        </w:trPr>
        <w:tc>
          <w:tcPr>
            <w:tcW w:w="0" w:type="auto"/>
            <w:shd w:val="clear" w:color="auto" w:fill="auto"/>
          </w:tcPr>
          <w:p w14:paraId="7A4299CE" w14:textId="77777777" w:rsidR="008C5CFA" w:rsidRPr="00601E29" w:rsidRDefault="008C5CFA" w:rsidP="00300A01">
            <w:pPr>
              <w:spacing w:before="0" w:after="0"/>
              <w:rPr>
                <w:b/>
                <w:sz w:val="10"/>
                <w:szCs w:val="10"/>
                <w:lang w:val="fr-BE"/>
              </w:rPr>
            </w:pPr>
          </w:p>
        </w:tc>
        <w:tc>
          <w:tcPr>
            <w:tcW w:w="0" w:type="auto"/>
            <w:shd w:val="clear" w:color="auto" w:fill="auto"/>
          </w:tcPr>
          <w:p w14:paraId="68137503" w14:textId="77777777" w:rsidR="008C5CFA" w:rsidRPr="00601E29" w:rsidRDefault="008C5CFA" w:rsidP="00300A01">
            <w:pPr>
              <w:spacing w:before="0" w:after="0"/>
              <w:rPr>
                <w:b/>
                <w:sz w:val="10"/>
                <w:szCs w:val="10"/>
                <w:lang w:val="fr-BE"/>
              </w:rPr>
            </w:pPr>
          </w:p>
        </w:tc>
        <w:tc>
          <w:tcPr>
            <w:tcW w:w="0" w:type="auto"/>
            <w:shd w:val="clear" w:color="auto" w:fill="auto"/>
          </w:tcPr>
          <w:p w14:paraId="4D7CD39F" w14:textId="77777777" w:rsidR="008C5CFA" w:rsidRPr="00601E29" w:rsidRDefault="008C5CFA" w:rsidP="00300A01">
            <w:pPr>
              <w:spacing w:before="0" w:after="0"/>
              <w:rPr>
                <w:b/>
                <w:sz w:val="10"/>
                <w:szCs w:val="10"/>
                <w:lang w:val="fr-BE"/>
              </w:rPr>
            </w:pPr>
          </w:p>
        </w:tc>
        <w:tc>
          <w:tcPr>
            <w:tcW w:w="0" w:type="auto"/>
            <w:gridSpan w:val="3"/>
          </w:tcPr>
          <w:p w14:paraId="48CF6B4E" w14:textId="77777777" w:rsidR="008C5CFA" w:rsidRPr="00601E29" w:rsidRDefault="00E82A60" w:rsidP="00300A01">
            <w:pPr>
              <w:spacing w:before="0" w:after="0"/>
              <w:jc w:val="center"/>
              <w:rPr>
                <w:b/>
                <w:sz w:val="10"/>
                <w:szCs w:val="10"/>
                <w:lang w:val="fr-BE"/>
              </w:rPr>
            </w:pPr>
            <w:r w:rsidRPr="00601E29">
              <w:rPr>
                <w:b/>
                <w:noProof/>
                <w:sz w:val="10"/>
                <w:szCs w:val="10"/>
                <w:lang w:val="fr-BE"/>
              </w:rPr>
              <w:t>Łącznie</w:t>
            </w:r>
          </w:p>
        </w:tc>
        <w:tc>
          <w:tcPr>
            <w:tcW w:w="0" w:type="auto"/>
            <w:gridSpan w:val="3"/>
          </w:tcPr>
          <w:p w14:paraId="5854626E" w14:textId="77777777" w:rsidR="008C5CFA" w:rsidRPr="00601E29" w:rsidRDefault="00E82A60" w:rsidP="00300A01">
            <w:pPr>
              <w:spacing w:before="0" w:after="0"/>
              <w:jc w:val="center"/>
              <w:rPr>
                <w:b/>
                <w:sz w:val="10"/>
                <w:szCs w:val="10"/>
                <w:lang w:val="fr-BE"/>
              </w:rPr>
            </w:pPr>
            <w:r w:rsidRPr="00601E29">
              <w:rPr>
                <w:b/>
                <w:noProof/>
                <w:sz w:val="10"/>
                <w:szCs w:val="10"/>
                <w:lang w:val="fr-BE"/>
              </w:rPr>
              <w:t>Łącznie w roku</w:t>
            </w:r>
          </w:p>
        </w:tc>
        <w:tc>
          <w:tcPr>
            <w:tcW w:w="0" w:type="auto"/>
          </w:tcPr>
          <w:p w14:paraId="385100A9" w14:textId="77777777" w:rsidR="008C5CFA" w:rsidRPr="00601E29" w:rsidRDefault="00E82A60" w:rsidP="00300A01">
            <w:pPr>
              <w:spacing w:before="0" w:after="0"/>
              <w:jc w:val="center"/>
              <w:rPr>
                <w:b/>
                <w:sz w:val="10"/>
                <w:szCs w:val="10"/>
                <w:lang w:val="fr-BE"/>
              </w:rPr>
            </w:pPr>
            <w:r w:rsidRPr="00601E29">
              <w:rPr>
                <w:b/>
                <w:noProof/>
                <w:sz w:val="10"/>
                <w:szCs w:val="10"/>
                <w:lang w:val="fr-BE"/>
              </w:rPr>
              <w:t>Jakościowe</w:t>
            </w:r>
          </w:p>
        </w:tc>
        <w:tc>
          <w:tcPr>
            <w:tcW w:w="0" w:type="auto"/>
            <w:gridSpan w:val="3"/>
          </w:tcPr>
          <w:p w14:paraId="1693200D" w14:textId="77777777" w:rsidR="008C5CFA" w:rsidRPr="00601E29" w:rsidRDefault="00E82A60" w:rsidP="00300A01">
            <w:pPr>
              <w:spacing w:before="0" w:after="0"/>
              <w:jc w:val="center"/>
              <w:rPr>
                <w:b/>
                <w:sz w:val="10"/>
                <w:szCs w:val="10"/>
                <w:lang w:val="fr-BE"/>
              </w:rPr>
            </w:pPr>
            <w:r w:rsidRPr="00601E29">
              <w:rPr>
                <w:b/>
                <w:noProof/>
                <w:sz w:val="10"/>
                <w:szCs w:val="10"/>
                <w:lang w:val="fr-BE"/>
              </w:rPr>
              <w:t>Łącznie</w:t>
            </w:r>
          </w:p>
        </w:tc>
        <w:tc>
          <w:tcPr>
            <w:tcW w:w="0" w:type="auto"/>
            <w:gridSpan w:val="3"/>
          </w:tcPr>
          <w:p w14:paraId="25413F3B" w14:textId="77777777" w:rsidR="008C5CFA" w:rsidRPr="00601E29" w:rsidRDefault="00E82A60" w:rsidP="00300A01">
            <w:pPr>
              <w:spacing w:before="0" w:after="0"/>
              <w:jc w:val="center"/>
              <w:rPr>
                <w:b/>
                <w:sz w:val="10"/>
                <w:szCs w:val="10"/>
                <w:lang w:val="fr-BE"/>
              </w:rPr>
            </w:pPr>
            <w:r w:rsidRPr="00601E29">
              <w:rPr>
                <w:b/>
                <w:noProof/>
                <w:sz w:val="10"/>
                <w:szCs w:val="10"/>
                <w:lang w:val="fr-BE"/>
              </w:rPr>
              <w:t>Łącznie w roku</w:t>
            </w:r>
          </w:p>
        </w:tc>
        <w:tc>
          <w:tcPr>
            <w:tcW w:w="0" w:type="auto"/>
          </w:tcPr>
          <w:p w14:paraId="5323903A" w14:textId="77777777" w:rsidR="008C5CFA" w:rsidRPr="00601E29" w:rsidRDefault="00E82A60" w:rsidP="00300A01">
            <w:pPr>
              <w:spacing w:before="0" w:after="0"/>
              <w:jc w:val="center"/>
              <w:rPr>
                <w:b/>
                <w:sz w:val="10"/>
                <w:szCs w:val="10"/>
                <w:lang w:val="fr-BE"/>
              </w:rPr>
            </w:pPr>
            <w:r w:rsidRPr="00601E29">
              <w:rPr>
                <w:b/>
                <w:noProof/>
                <w:sz w:val="10"/>
                <w:szCs w:val="10"/>
                <w:lang w:val="fr-BE"/>
              </w:rPr>
              <w:t>Jakościowe</w:t>
            </w:r>
          </w:p>
        </w:tc>
      </w:tr>
      <w:tr w:rsidR="006B2EC1" w14:paraId="4CB04386" w14:textId="77777777" w:rsidTr="0047688D">
        <w:trPr>
          <w:tblHeader/>
        </w:trPr>
        <w:tc>
          <w:tcPr>
            <w:tcW w:w="0" w:type="auto"/>
            <w:shd w:val="clear" w:color="auto" w:fill="auto"/>
          </w:tcPr>
          <w:p w14:paraId="1C9B4FBE" w14:textId="77777777" w:rsidR="008C5CFA" w:rsidRPr="00601E29" w:rsidRDefault="008C5CFA" w:rsidP="00300A01">
            <w:pPr>
              <w:spacing w:before="0" w:after="0"/>
              <w:rPr>
                <w:b/>
                <w:sz w:val="10"/>
                <w:szCs w:val="10"/>
                <w:lang w:val="fr-BE"/>
              </w:rPr>
            </w:pPr>
          </w:p>
        </w:tc>
        <w:tc>
          <w:tcPr>
            <w:tcW w:w="0" w:type="auto"/>
            <w:shd w:val="clear" w:color="auto" w:fill="auto"/>
          </w:tcPr>
          <w:p w14:paraId="0D4EE605" w14:textId="77777777" w:rsidR="008C5CFA" w:rsidRPr="00601E29" w:rsidRDefault="008C5CFA" w:rsidP="00300A01">
            <w:pPr>
              <w:spacing w:before="0" w:after="0"/>
              <w:rPr>
                <w:b/>
                <w:sz w:val="10"/>
                <w:szCs w:val="10"/>
                <w:lang w:val="fr-BE"/>
              </w:rPr>
            </w:pPr>
          </w:p>
        </w:tc>
        <w:tc>
          <w:tcPr>
            <w:tcW w:w="0" w:type="auto"/>
            <w:shd w:val="clear" w:color="auto" w:fill="auto"/>
          </w:tcPr>
          <w:p w14:paraId="26DB17EC" w14:textId="77777777" w:rsidR="008C5CFA" w:rsidRPr="00601E29" w:rsidRDefault="008C5CFA" w:rsidP="00300A01">
            <w:pPr>
              <w:spacing w:before="0" w:after="0"/>
              <w:rPr>
                <w:b/>
                <w:sz w:val="10"/>
                <w:szCs w:val="10"/>
                <w:lang w:val="fr-BE"/>
              </w:rPr>
            </w:pPr>
          </w:p>
        </w:tc>
        <w:tc>
          <w:tcPr>
            <w:tcW w:w="0" w:type="auto"/>
          </w:tcPr>
          <w:p w14:paraId="3E3184DD" w14:textId="77777777" w:rsidR="008C5CFA" w:rsidRPr="00601E29" w:rsidRDefault="00E82A60" w:rsidP="00300A01">
            <w:pPr>
              <w:spacing w:before="0" w:after="0"/>
              <w:jc w:val="center"/>
              <w:rPr>
                <w:b/>
                <w:sz w:val="10"/>
                <w:szCs w:val="10"/>
                <w:lang w:val="fr-BE"/>
              </w:rPr>
            </w:pPr>
            <w:r w:rsidRPr="00601E29">
              <w:rPr>
                <w:b/>
                <w:noProof/>
                <w:sz w:val="10"/>
                <w:szCs w:val="10"/>
                <w:lang w:val="fr-BE"/>
              </w:rPr>
              <w:t>Ogółem</w:t>
            </w:r>
          </w:p>
        </w:tc>
        <w:tc>
          <w:tcPr>
            <w:tcW w:w="0" w:type="auto"/>
          </w:tcPr>
          <w:p w14:paraId="0CC2DABF" w14:textId="77777777" w:rsidR="008C5CFA" w:rsidRPr="00601E29" w:rsidRDefault="00E82A60" w:rsidP="00300A01">
            <w:pPr>
              <w:spacing w:before="0" w:after="0"/>
              <w:jc w:val="center"/>
              <w:rPr>
                <w:b/>
                <w:sz w:val="10"/>
                <w:szCs w:val="10"/>
                <w:lang w:val="fr-BE"/>
              </w:rPr>
            </w:pPr>
            <w:r w:rsidRPr="00601E29">
              <w:rPr>
                <w:b/>
                <w:noProof/>
                <w:sz w:val="10"/>
                <w:szCs w:val="10"/>
                <w:lang w:val="fr-BE"/>
              </w:rPr>
              <w:t>Mężczyźni</w:t>
            </w:r>
          </w:p>
        </w:tc>
        <w:tc>
          <w:tcPr>
            <w:tcW w:w="0" w:type="auto"/>
          </w:tcPr>
          <w:p w14:paraId="2A4E774D" w14:textId="77777777" w:rsidR="008C5CFA" w:rsidRPr="00601E29" w:rsidRDefault="00E82A60" w:rsidP="00300A01">
            <w:pPr>
              <w:spacing w:before="0" w:after="0"/>
              <w:jc w:val="center"/>
              <w:rPr>
                <w:b/>
                <w:sz w:val="10"/>
                <w:szCs w:val="10"/>
                <w:lang w:val="fr-BE"/>
              </w:rPr>
            </w:pPr>
            <w:r w:rsidRPr="00601E29">
              <w:rPr>
                <w:b/>
                <w:noProof/>
                <w:sz w:val="10"/>
                <w:szCs w:val="10"/>
                <w:lang w:val="fr-BE"/>
              </w:rPr>
              <w:t>Kobiety</w:t>
            </w:r>
          </w:p>
        </w:tc>
        <w:tc>
          <w:tcPr>
            <w:tcW w:w="0" w:type="auto"/>
          </w:tcPr>
          <w:p w14:paraId="1F439B5E" w14:textId="77777777" w:rsidR="008C5CFA" w:rsidRPr="00601E29" w:rsidRDefault="00E82A60" w:rsidP="00300A01">
            <w:pPr>
              <w:spacing w:before="0" w:after="0"/>
              <w:jc w:val="center"/>
              <w:rPr>
                <w:b/>
                <w:sz w:val="10"/>
                <w:szCs w:val="10"/>
                <w:lang w:val="fr-BE"/>
              </w:rPr>
            </w:pPr>
            <w:r w:rsidRPr="00601E29">
              <w:rPr>
                <w:b/>
                <w:noProof/>
                <w:sz w:val="10"/>
                <w:szCs w:val="10"/>
                <w:lang w:val="fr-BE"/>
              </w:rPr>
              <w:t>Ogółem</w:t>
            </w:r>
          </w:p>
        </w:tc>
        <w:tc>
          <w:tcPr>
            <w:tcW w:w="0" w:type="auto"/>
          </w:tcPr>
          <w:p w14:paraId="7FAC292E" w14:textId="77777777" w:rsidR="008C5CFA" w:rsidRPr="00601E29" w:rsidRDefault="00E82A60" w:rsidP="00300A01">
            <w:pPr>
              <w:spacing w:before="0" w:after="0"/>
              <w:jc w:val="center"/>
              <w:rPr>
                <w:b/>
                <w:sz w:val="10"/>
                <w:szCs w:val="10"/>
                <w:lang w:val="fr-BE"/>
              </w:rPr>
            </w:pPr>
            <w:r w:rsidRPr="00601E29">
              <w:rPr>
                <w:b/>
                <w:noProof/>
                <w:sz w:val="10"/>
                <w:szCs w:val="10"/>
                <w:lang w:val="fr-BE"/>
              </w:rPr>
              <w:t>Mężczyźni</w:t>
            </w:r>
          </w:p>
        </w:tc>
        <w:tc>
          <w:tcPr>
            <w:tcW w:w="0" w:type="auto"/>
          </w:tcPr>
          <w:p w14:paraId="0AB4C738" w14:textId="77777777" w:rsidR="008C5CFA" w:rsidRPr="00601E29" w:rsidRDefault="00E82A60" w:rsidP="00300A01">
            <w:pPr>
              <w:spacing w:before="0" w:after="0"/>
              <w:jc w:val="center"/>
              <w:rPr>
                <w:b/>
                <w:sz w:val="10"/>
                <w:szCs w:val="10"/>
                <w:lang w:val="fr-BE"/>
              </w:rPr>
            </w:pPr>
            <w:r w:rsidRPr="00601E29">
              <w:rPr>
                <w:b/>
                <w:noProof/>
                <w:sz w:val="10"/>
                <w:szCs w:val="10"/>
                <w:lang w:val="fr-BE"/>
              </w:rPr>
              <w:t>Kobiety</w:t>
            </w:r>
          </w:p>
        </w:tc>
        <w:tc>
          <w:tcPr>
            <w:tcW w:w="0" w:type="auto"/>
          </w:tcPr>
          <w:p w14:paraId="544B6C69" w14:textId="77777777" w:rsidR="008C5CFA" w:rsidRPr="00601E29" w:rsidRDefault="008C5CFA" w:rsidP="00300A01">
            <w:pPr>
              <w:spacing w:before="0" w:after="0"/>
              <w:jc w:val="center"/>
              <w:rPr>
                <w:b/>
                <w:sz w:val="10"/>
                <w:szCs w:val="10"/>
                <w:lang w:val="fr-BE"/>
              </w:rPr>
            </w:pPr>
          </w:p>
        </w:tc>
        <w:tc>
          <w:tcPr>
            <w:tcW w:w="0" w:type="auto"/>
          </w:tcPr>
          <w:p w14:paraId="6C8AD368" w14:textId="77777777" w:rsidR="008C5CFA" w:rsidRPr="00601E29" w:rsidRDefault="00E82A60" w:rsidP="00300A01">
            <w:pPr>
              <w:spacing w:before="0" w:after="0"/>
              <w:jc w:val="center"/>
              <w:rPr>
                <w:b/>
                <w:sz w:val="10"/>
                <w:szCs w:val="10"/>
                <w:lang w:val="fr-BE"/>
              </w:rPr>
            </w:pPr>
            <w:r w:rsidRPr="00601E29">
              <w:rPr>
                <w:b/>
                <w:noProof/>
                <w:sz w:val="10"/>
                <w:szCs w:val="10"/>
                <w:lang w:val="fr-BE"/>
              </w:rPr>
              <w:t>Ogółem</w:t>
            </w:r>
          </w:p>
        </w:tc>
        <w:tc>
          <w:tcPr>
            <w:tcW w:w="0" w:type="auto"/>
          </w:tcPr>
          <w:p w14:paraId="24DD1FC3" w14:textId="77777777" w:rsidR="008C5CFA" w:rsidRPr="00601E29" w:rsidRDefault="00E82A60" w:rsidP="00300A01">
            <w:pPr>
              <w:spacing w:before="0" w:after="0"/>
              <w:jc w:val="center"/>
              <w:rPr>
                <w:b/>
                <w:sz w:val="10"/>
                <w:szCs w:val="10"/>
                <w:lang w:val="fr-BE"/>
              </w:rPr>
            </w:pPr>
            <w:r w:rsidRPr="00601E29">
              <w:rPr>
                <w:b/>
                <w:noProof/>
                <w:sz w:val="10"/>
                <w:szCs w:val="10"/>
                <w:lang w:val="fr-BE"/>
              </w:rPr>
              <w:t>Mężczyźni</w:t>
            </w:r>
          </w:p>
        </w:tc>
        <w:tc>
          <w:tcPr>
            <w:tcW w:w="0" w:type="auto"/>
          </w:tcPr>
          <w:p w14:paraId="521853BB" w14:textId="77777777" w:rsidR="008C5CFA" w:rsidRPr="00601E29" w:rsidRDefault="00E82A60" w:rsidP="00300A01">
            <w:pPr>
              <w:spacing w:before="0" w:after="0"/>
              <w:jc w:val="center"/>
              <w:rPr>
                <w:b/>
                <w:sz w:val="10"/>
                <w:szCs w:val="10"/>
                <w:lang w:val="fr-BE"/>
              </w:rPr>
            </w:pPr>
            <w:r w:rsidRPr="00601E29">
              <w:rPr>
                <w:b/>
                <w:noProof/>
                <w:sz w:val="10"/>
                <w:szCs w:val="10"/>
                <w:lang w:val="fr-BE"/>
              </w:rPr>
              <w:t>Kobiety</w:t>
            </w:r>
          </w:p>
        </w:tc>
        <w:tc>
          <w:tcPr>
            <w:tcW w:w="0" w:type="auto"/>
          </w:tcPr>
          <w:p w14:paraId="0A510940" w14:textId="77777777" w:rsidR="008C5CFA" w:rsidRPr="00601E29" w:rsidRDefault="00E82A60" w:rsidP="00300A01">
            <w:pPr>
              <w:spacing w:before="0" w:after="0"/>
              <w:jc w:val="center"/>
              <w:rPr>
                <w:b/>
                <w:sz w:val="10"/>
                <w:szCs w:val="10"/>
                <w:lang w:val="fr-BE"/>
              </w:rPr>
            </w:pPr>
            <w:r w:rsidRPr="00601E29">
              <w:rPr>
                <w:b/>
                <w:noProof/>
                <w:sz w:val="10"/>
                <w:szCs w:val="10"/>
                <w:lang w:val="fr-BE"/>
              </w:rPr>
              <w:t>Ogółem</w:t>
            </w:r>
          </w:p>
        </w:tc>
        <w:tc>
          <w:tcPr>
            <w:tcW w:w="0" w:type="auto"/>
          </w:tcPr>
          <w:p w14:paraId="61DC8755" w14:textId="77777777" w:rsidR="008C5CFA" w:rsidRPr="00601E29" w:rsidRDefault="00E82A60" w:rsidP="00300A01">
            <w:pPr>
              <w:spacing w:before="0" w:after="0"/>
              <w:jc w:val="center"/>
              <w:rPr>
                <w:b/>
                <w:sz w:val="10"/>
                <w:szCs w:val="10"/>
                <w:lang w:val="fr-BE"/>
              </w:rPr>
            </w:pPr>
            <w:r w:rsidRPr="00601E29">
              <w:rPr>
                <w:b/>
                <w:noProof/>
                <w:sz w:val="10"/>
                <w:szCs w:val="10"/>
                <w:lang w:val="fr-BE"/>
              </w:rPr>
              <w:t>Mężczyźni</w:t>
            </w:r>
          </w:p>
        </w:tc>
        <w:tc>
          <w:tcPr>
            <w:tcW w:w="0" w:type="auto"/>
          </w:tcPr>
          <w:p w14:paraId="6440B2BA" w14:textId="77777777" w:rsidR="008C5CFA" w:rsidRPr="00601E29" w:rsidRDefault="00E82A60" w:rsidP="00300A01">
            <w:pPr>
              <w:spacing w:before="0" w:after="0"/>
              <w:jc w:val="center"/>
              <w:rPr>
                <w:b/>
                <w:sz w:val="10"/>
                <w:szCs w:val="10"/>
                <w:lang w:val="fr-BE"/>
              </w:rPr>
            </w:pPr>
            <w:r w:rsidRPr="00601E29">
              <w:rPr>
                <w:b/>
                <w:noProof/>
                <w:sz w:val="10"/>
                <w:szCs w:val="10"/>
                <w:lang w:val="fr-BE"/>
              </w:rPr>
              <w:t>Kobiety</w:t>
            </w:r>
          </w:p>
        </w:tc>
        <w:tc>
          <w:tcPr>
            <w:tcW w:w="0" w:type="auto"/>
          </w:tcPr>
          <w:p w14:paraId="21156429" w14:textId="77777777" w:rsidR="008C5CFA" w:rsidRPr="00601E29" w:rsidRDefault="008C5CFA" w:rsidP="00300A01">
            <w:pPr>
              <w:spacing w:before="0" w:after="0"/>
              <w:jc w:val="center"/>
              <w:rPr>
                <w:b/>
                <w:sz w:val="10"/>
                <w:szCs w:val="10"/>
                <w:lang w:val="fr-BE"/>
              </w:rPr>
            </w:pPr>
          </w:p>
        </w:tc>
      </w:tr>
      <w:tr w:rsidR="006B2EC1" w14:paraId="3408AC3A" w14:textId="77777777" w:rsidTr="0047688D">
        <w:tc>
          <w:tcPr>
            <w:tcW w:w="0" w:type="auto"/>
            <w:shd w:val="clear" w:color="auto" w:fill="auto"/>
          </w:tcPr>
          <w:p w14:paraId="211B4239" w14:textId="77777777" w:rsidR="008C5CFA" w:rsidRPr="00601E29" w:rsidRDefault="00E82A60" w:rsidP="00300A01">
            <w:pPr>
              <w:spacing w:before="0" w:after="0"/>
              <w:rPr>
                <w:sz w:val="10"/>
                <w:szCs w:val="10"/>
                <w:lang w:val="fr-BE"/>
              </w:rPr>
            </w:pPr>
            <w:r w:rsidRPr="00601E29">
              <w:rPr>
                <w:noProof/>
                <w:sz w:val="10"/>
                <w:szCs w:val="10"/>
                <w:lang w:val="fr-BE"/>
              </w:rPr>
              <w:t>005</w:t>
            </w:r>
          </w:p>
        </w:tc>
        <w:tc>
          <w:tcPr>
            <w:tcW w:w="0" w:type="auto"/>
            <w:shd w:val="clear" w:color="auto" w:fill="auto"/>
          </w:tcPr>
          <w:p w14:paraId="2DC856AE" w14:textId="77777777" w:rsidR="008C5CFA" w:rsidRPr="00601E29" w:rsidRDefault="00E82A60" w:rsidP="00300A01">
            <w:pPr>
              <w:spacing w:before="0" w:after="0"/>
              <w:rPr>
                <w:sz w:val="10"/>
                <w:szCs w:val="10"/>
                <w:lang w:val="fr-BE"/>
              </w:rPr>
            </w:pPr>
            <w:r w:rsidRPr="00601E29">
              <w:rPr>
                <w:noProof/>
                <w:sz w:val="10"/>
                <w:szCs w:val="10"/>
                <w:lang w:val="fr-BE"/>
              </w:rPr>
              <w:t>Liczba miejsc wychowania przedszkolnego, które funkcjonują 2 lata po uzyskaniu dofinansowania ze środków EFS</w:t>
            </w:r>
          </w:p>
        </w:tc>
        <w:tc>
          <w:tcPr>
            <w:tcW w:w="0" w:type="auto"/>
            <w:shd w:val="clear" w:color="auto" w:fill="auto"/>
          </w:tcPr>
          <w:p w14:paraId="79B2201B" w14:textId="77777777" w:rsidR="008C5CFA" w:rsidRPr="00601E29" w:rsidRDefault="00E82A60" w:rsidP="00300A01">
            <w:pPr>
              <w:spacing w:before="0" w:after="0"/>
              <w:rPr>
                <w:sz w:val="10"/>
                <w:szCs w:val="10"/>
                <w:lang w:val="fr-BE"/>
              </w:rPr>
            </w:pPr>
            <w:r w:rsidRPr="00601E29">
              <w:rPr>
                <w:noProof/>
                <w:sz w:val="10"/>
                <w:szCs w:val="10"/>
                <w:lang w:val="fr-BE"/>
              </w:rPr>
              <w:t>Słabiej rozwinięte</w:t>
            </w:r>
          </w:p>
        </w:tc>
        <w:tc>
          <w:tcPr>
            <w:tcW w:w="0" w:type="auto"/>
          </w:tcPr>
          <w:p w14:paraId="4186B647"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680B8F0B"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1E7B7D41"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0280DB71"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246F33B4"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591F35F7"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1D6630B4" w14:textId="77777777" w:rsidR="008C5CFA" w:rsidRPr="00601E29" w:rsidRDefault="008C5CFA" w:rsidP="00300A01">
            <w:pPr>
              <w:spacing w:before="0" w:after="0"/>
              <w:jc w:val="right"/>
              <w:rPr>
                <w:sz w:val="10"/>
                <w:szCs w:val="10"/>
                <w:lang w:val="fr-BE"/>
              </w:rPr>
            </w:pPr>
          </w:p>
        </w:tc>
        <w:tc>
          <w:tcPr>
            <w:tcW w:w="0" w:type="auto"/>
          </w:tcPr>
          <w:p w14:paraId="74673969"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3712710C"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5987B598"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464E7910"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4B87236B"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1A669A16"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6D320C24" w14:textId="77777777" w:rsidR="008C5CFA" w:rsidRPr="00601E29" w:rsidRDefault="008C5CFA" w:rsidP="00300A01">
            <w:pPr>
              <w:spacing w:before="0" w:after="0"/>
              <w:jc w:val="right"/>
              <w:rPr>
                <w:sz w:val="10"/>
                <w:szCs w:val="10"/>
                <w:lang w:val="fr-BE"/>
              </w:rPr>
            </w:pPr>
          </w:p>
        </w:tc>
      </w:tr>
      <w:tr w:rsidR="006B2EC1" w14:paraId="77222E9A" w14:textId="77777777" w:rsidTr="0047688D">
        <w:tc>
          <w:tcPr>
            <w:tcW w:w="0" w:type="auto"/>
            <w:shd w:val="clear" w:color="auto" w:fill="auto"/>
          </w:tcPr>
          <w:p w14:paraId="4BC3FD51" w14:textId="77777777" w:rsidR="008C5CFA" w:rsidRPr="00601E29" w:rsidRDefault="00E82A60" w:rsidP="00300A01">
            <w:pPr>
              <w:spacing w:before="0" w:after="0"/>
              <w:rPr>
                <w:sz w:val="10"/>
                <w:szCs w:val="10"/>
                <w:lang w:val="fr-BE"/>
              </w:rPr>
            </w:pPr>
            <w:r w:rsidRPr="00601E29">
              <w:rPr>
                <w:noProof/>
                <w:sz w:val="10"/>
                <w:szCs w:val="10"/>
                <w:lang w:val="fr-BE"/>
              </w:rPr>
              <w:t>143</w:t>
            </w:r>
          </w:p>
        </w:tc>
        <w:tc>
          <w:tcPr>
            <w:tcW w:w="0" w:type="auto"/>
            <w:shd w:val="clear" w:color="auto" w:fill="auto"/>
          </w:tcPr>
          <w:p w14:paraId="38D9FADF" w14:textId="77777777" w:rsidR="008C5CFA" w:rsidRPr="00601E29" w:rsidRDefault="00E82A60" w:rsidP="00300A01">
            <w:pPr>
              <w:spacing w:before="0" w:after="0"/>
              <w:rPr>
                <w:sz w:val="10"/>
                <w:szCs w:val="10"/>
                <w:lang w:val="fr-BE"/>
              </w:rPr>
            </w:pPr>
            <w:r w:rsidRPr="00601E29">
              <w:rPr>
                <w:noProof/>
                <w:sz w:val="10"/>
                <w:szCs w:val="10"/>
                <w:lang w:val="fr-BE"/>
              </w:rPr>
              <w:t>Liczba uczniów, którzy nabyli kompetencje  kluczowe lub umiejętności uniwersalne  po opuszczeniu programu</w:t>
            </w:r>
          </w:p>
        </w:tc>
        <w:tc>
          <w:tcPr>
            <w:tcW w:w="0" w:type="auto"/>
            <w:shd w:val="clear" w:color="auto" w:fill="auto"/>
          </w:tcPr>
          <w:p w14:paraId="1D7A0CD0" w14:textId="77777777" w:rsidR="008C5CFA" w:rsidRPr="00601E29" w:rsidRDefault="00E82A60" w:rsidP="00300A01">
            <w:pPr>
              <w:spacing w:before="0" w:after="0"/>
              <w:rPr>
                <w:sz w:val="10"/>
                <w:szCs w:val="10"/>
                <w:lang w:val="fr-BE"/>
              </w:rPr>
            </w:pPr>
            <w:r w:rsidRPr="00601E29">
              <w:rPr>
                <w:noProof/>
                <w:sz w:val="10"/>
                <w:szCs w:val="10"/>
                <w:lang w:val="fr-BE"/>
              </w:rPr>
              <w:t>Słabiej rozwinięte</w:t>
            </w:r>
          </w:p>
        </w:tc>
        <w:tc>
          <w:tcPr>
            <w:tcW w:w="0" w:type="auto"/>
          </w:tcPr>
          <w:p w14:paraId="6E4A4C32" w14:textId="77777777" w:rsidR="008C5CFA" w:rsidRPr="00601E29" w:rsidRDefault="008C5CFA" w:rsidP="00300A01">
            <w:pPr>
              <w:spacing w:before="0" w:after="0"/>
              <w:jc w:val="right"/>
              <w:rPr>
                <w:sz w:val="10"/>
                <w:szCs w:val="10"/>
                <w:lang w:val="fr-BE"/>
              </w:rPr>
            </w:pPr>
          </w:p>
        </w:tc>
        <w:tc>
          <w:tcPr>
            <w:tcW w:w="0" w:type="auto"/>
          </w:tcPr>
          <w:p w14:paraId="335A02B1" w14:textId="77777777" w:rsidR="008C5CFA" w:rsidRPr="00601E29" w:rsidRDefault="008C5CFA" w:rsidP="00300A01">
            <w:pPr>
              <w:spacing w:before="0" w:after="0"/>
              <w:jc w:val="right"/>
              <w:rPr>
                <w:sz w:val="10"/>
                <w:szCs w:val="10"/>
                <w:lang w:val="fr-BE"/>
              </w:rPr>
            </w:pPr>
          </w:p>
        </w:tc>
        <w:tc>
          <w:tcPr>
            <w:tcW w:w="0" w:type="auto"/>
          </w:tcPr>
          <w:p w14:paraId="1F2602C4" w14:textId="77777777" w:rsidR="008C5CFA" w:rsidRPr="00601E29" w:rsidRDefault="008C5CFA" w:rsidP="00300A01">
            <w:pPr>
              <w:spacing w:before="0" w:after="0"/>
              <w:jc w:val="right"/>
              <w:rPr>
                <w:sz w:val="10"/>
                <w:szCs w:val="10"/>
                <w:lang w:val="fr-BE"/>
              </w:rPr>
            </w:pPr>
          </w:p>
        </w:tc>
        <w:tc>
          <w:tcPr>
            <w:tcW w:w="0" w:type="auto"/>
          </w:tcPr>
          <w:p w14:paraId="1044D11A" w14:textId="77777777" w:rsidR="008C5CFA" w:rsidRPr="00601E29" w:rsidRDefault="008C5CFA" w:rsidP="00300A01">
            <w:pPr>
              <w:spacing w:before="0" w:after="0"/>
              <w:jc w:val="right"/>
              <w:rPr>
                <w:sz w:val="10"/>
                <w:szCs w:val="10"/>
                <w:lang w:val="fr-BE"/>
              </w:rPr>
            </w:pPr>
          </w:p>
        </w:tc>
        <w:tc>
          <w:tcPr>
            <w:tcW w:w="0" w:type="auto"/>
          </w:tcPr>
          <w:p w14:paraId="3B169941" w14:textId="77777777" w:rsidR="008C5CFA" w:rsidRPr="00601E29" w:rsidRDefault="008C5CFA" w:rsidP="00300A01">
            <w:pPr>
              <w:spacing w:before="0" w:after="0"/>
              <w:jc w:val="right"/>
              <w:rPr>
                <w:sz w:val="10"/>
                <w:szCs w:val="10"/>
                <w:lang w:val="fr-BE"/>
              </w:rPr>
            </w:pPr>
          </w:p>
        </w:tc>
        <w:tc>
          <w:tcPr>
            <w:tcW w:w="0" w:type="auto"/>
          </w:tcPr>
          <w:p w14:paraId="6D021F0A" w14:textId="77777777" w:rsidR="008C5CFA" w:rsidRPr="00601E29" w:rsidRDefault="008C5CFA" w:rsidP="00300A01">
            <w:pPr>
              <w:spacing w:before="0" w:after="0"/>
              <w:jc w:val="right"/>
              <w:rPr>
                <w:sz w:val="10"/>
                <w:szCs w:val="10"/>
                <w:lang w:val="fr-BE"/>
              </w:rPr>
            </w:pPr>
          </w:p>
        </w:tc>
        <w:tc>
          <w:tcPr>
            <w:tcW w:w="0" w:type="auto"/>
          </w:tcPr>
          <w:p w14:paraId="056DA6F7" w14:textId="77777777" w:rsidR="008C5CFA" w:rsidRPr="00601E29" w:rsidRDefault="008C5CFA" w:rsidP="00300A01">
            <w:pPr>
              <w:spacing w:before="0" w:after="0"/>
              <w:jc w:val="right"/>
              <w:rPr>
                <w:sz w:val="10"/>
                <w:szCs w:val="10"/>
                <w:lang w:val="fr-BE"/>
              </w:rPr>
            </w:pPr>
          </w:p>
        </w:tc>
        <w:tc>
          <w:tcPr>
            <w:tcW w:w="0" w:type="auto"/>
          </w:tcPr>
          <w:p w14:paraId="5AAB0D99" w14:textId="77777777" w:rsidR="008C5CFA" w:rsidRPr="00601E29" w:rsidRDefault="008C5CFA" w:rsidP="00300A01">
            <w:pPr>
              <w:spacing w:before="0" w:after="0"/>
              <w:jc w:val="right"/>
              <w:rPr>
                <w:sz w:val="10"/>
                <w:szCs w:val="10"/>
                <w:lang w:val="fr-BE"/>
              </w:rPr>
            </w:pPr>
          </w:p>
        </w:tc>
        <w:tc>
          <w:tcPr>
            <w:tcW w:w="0" w:type="auto"/>
          </w:tcPr>
          <w:p w14:paraId="6F358570" w14:textId="77777777" w:rsidR="008C5CFA" w:rsidRPr="00601E29" w:rsidRDefault="008C5CFA" w:rsidP="00300A01">
            <w:pPr>
              <w:spacing w:before="0" w:after="0"/>
              <w:jc w:val="right"/>
              <w:rPr>
                <w:sz w:val="10"/>
                <w:szCs w:val="10"/>
                <w:lang w:val="fr-BE"/>
              </w:rPr>
            </w:pPr>
          </w:p>
        </w:tc>
        <w:tc>
          <w:tcPr>
            <w:tcW w:w="0" w:type="auto"/>
          </w:tcPr>
          <w:p w14:paraId="734D183D" w14:textId="77777777" w:rsidR="008C5CFA" w:rsidRPr="00601E29" w:rsidRDefault="008C5CFA" w:rsidP="00300A01">
            <w:pPr>
              <w:spacing w:before="0" w:after="0"/>
              <w:jc w:val="right"/>
              <w:rPr>
                <w:sz w:val="10"/>
                <w:szCs w:val="10"/>
                <w:lang w:val="fr-BE"/>
              </w:rPr>
            </w:pPr>
          </w:p>
        </w:tc>
        <w:tc>
          <w:tcPr>
            <w:tcW w:w="0" w:type="auto"/>
          </w:tcPr>
          <w:p w14:paraId="6FA7D46B" w14:textId="77777777" w:rsidR="008C5CFA" w:rsidRPr="00601E29" w:rsidRDefault="008C5CFA" w:rsidP="00300A01">
            <w:pPr>
              <w:spacing w:before="0" w:after="0"/>
              <w:jc w:val="right"/>
              <w:rPr>
                <w:sz w:val="10"/>
                <w:szCs w:val="10"/>
                <w:lang w:val="fr-BE"/>
              </w:rPr>
            </w:pPr>
          </w:p>
        </w:tc>
        <w:tc>
          <w:tcPr>
            <w:tcW w:w="0" w:type="auto"/>
          </w:tcPr>
          <w:p w14:paraId="148CFB3E" w14:textId="77777777" w:rsidR="008C5CFA" w:rsidRPr="00601E29" w:rsidRDefault="008C5CFA" w:rsidP="00300A01">
            <w:pPr>
              <w:spacing w:before="0" w:after="0"/>
              <w:jc w:val="right"/>
              <w:rPr>
                <w:sz w:val="10"/>
                <w:szCs w:val="10"/>
                <w:lang w:val="fr-BE"/>
              </w:rPr>
            </w:pPr>
          </w:p>
        </w:tc>
        <w:tc>
          <w:tcPr>
            <w:tcW w:w="0" w:type="auto"/>
          </w:tcPr>
          <w:p w14:paraId="7F8F426D" w14:textId="77777777" w:rsidR="008C5CFA" w:rsidRPr="00601E29" w:rsidRDefault="008C5CFA" w:rsidP="00300A01">
            <w:pPr>
              <w:spacing w:before="0" w:after="0"/>
              <w:jc w:val="right"/>
              <w:rPr>
                <w:sz w:val="10"/>
                <w:szCs w:val="10"/>
                <w:lang w:val="fr-BE"/>
              </w:rPr>
            </w:pPr>
          </w:p>
        </w:tc>
        <w:tc>
          <w:tcPr>
            <w:tcW w:w="0" w:type="auto"/>
          </w:tcPr>
          <w:p w14:paraId="35F445B0" w14:textId="77777777" w:rsidR="008C5CFA" w:rsidRPr="00601E29" w:rsidRDefault="008C5CFA" w:rsidP="00300A01">
            <w:pPr>
              <w:spacing w:before="0" w:after="0"/>
              <w:jc w:val="right"/>
              <w:rPr>
                <w:sz w:val="10"/>
                <w:szCs w:val="10"/>
                <w:lang w:val="fr-BE"/>
              </w:rPr>
            </w:pPr>
          </w:p>
        </w:tc>
      </w:tr>
      <w:tr w:rsidR="006B2EC1" w14:paraId="1FACAA33" w14:textId="77777777" w:rsidTr="0047688D">
        <w:tc>
          <w:tcPr>
            <w:tcW w:w="0" w:type="auto"/>
            <w:shd w:val="clear" w:color="auto" w:fill="auto"/>
          </w:tcPr>
          <w:p w14:paraId="7562B697" w14:textId="77777777" w:rsidR="008C5CFA" w:rsidRPr="00601E29" w:rsidRDefault="00E82A60" w:rsidP="00300A01">
            <w:pPr>
              <w:spacing w:before="0" w:after="0"/>
              <w:rPr>
                <w:sz w:val="10"/>
                <w:szCs w:val="10"/>
                <w:lang w:val="fr-BE"/>
              </w:rPr>
            </w:pPr>
            <w:r w:rsidRPr="00601E29">
              <w:rPr>
                <w:noProof/>
                <w:sz w:val="10"/>
                <w:szCs w:val="10"/>
                <w:lang w:val="fr-BE"/>
              </w:rPr>
              <w:t>007</w:t>
            </w:r>
          </w:p>
        </w:tc>
        <w:tc>
          <w:tcPr>
            <w:tcW w:w="0" w:type="auto"/>
            <w:shd w:val="clear" w:color="auto" w:fill="auto"/>
          </w:tcPr>
          <w:p w14:paraId="6703A761" w14:textId="77777777" w:rsidR="008C5CFA" w:rsidRPr="00601E29" w:rsidRDefault="00E82A60" w:rsidP="00300A01">
            <w:pPr>
              <w:spacing w:before="0" w:after="0"/>
              <w:rPr>
                <w:sz w:val="10"/>
                <w:szCs w:val="10"/>
                <w:lang w:val="fr-BE"/>
              </w:rPr>
            </w:pPr>
            <w:r w:rsidRPr="00601E29">
              <w:rPr>
                <w:noProof/>
                <w:sz w:val="10"/>
                <w:szCs w:val="10"/>
                <w:lang w:val="fr-BE"/>
              </w:rPr>
              <w:t>Liczba szkół i placówek systemu oświaty wykorzystujących sprzęt TIK do prowadzenia zajęć edukacyjnych</w:t>
            </w:r>
          </w:p>
        </w:tc>
        <w:tc>
          <w:tcPr>
            <w:tcW w:w="0" w:type="auto"/>
            <w:shd w:val="clear" w:color="auto" w:fill="auto"/>
          </w:tcPr>
          <w:p w14:paraId="12391D11" w14:textId="77777777" w:rsidR="008C5CFA" w:rsidRPr="00601E29" w:rsidRDefault="00E82A60" w:rsidP="00300A01">
            <w:pPr>
              <w:spacing w:before="0" w:after="0"/>
              <w:rPr>
                <w:sz w:val="10"/>
                <w:szCs w:val="10"/>
                <w:lang w:val="fr-BE"/>
              </w:rPr>
            </w:pPr>
            <w:r w:rsidRPr="00601E29">
              <w:rPr>
                <w:noProof/>
                <w:sz w:val="10"/>
                <w:szCs w:val="10"/>
                <w:lang w:val="fr-BE"/>
              </w:rPr>
              <w:t>Słabiej rozwinięte</w:t>
            </w:r>
          </w:p>
        </w:tc>
        <w:tc>
          <w:tcPr>
            <w:tcW w:w="0" w:type="auto"/>
          </w:tcPr>
          <w:p w14:paraId="341CCD13"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4FF418B5"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6264CA8B"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4FBB1AD3"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5800F2CF"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376FC717"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563599AB" w14:textId="77777777" w:rsidR="008C5CFA" w:rsidRPr="00601E29" w:rsidRDefault="008C5CFA" w:rsidP="00300A01">
            <w:pPr>
              <w:spacing w:before="0" w:after="0"/>
              <w:jc w:val="right"/>
              <w:rPr>
                <w:sz w:val="10"/>
                <w:szCs w:val="10"/>
                <w:lang w:val="fr-BE"/>
              </w:rPr>
            </w:pPr>
          </w:p>
        </w:tc>
        <w:tc>
          <w:tcPr>
            <w:tcW w:w="0" w:type="auto"/>
          </w:tcPr>
          <w:p w14:paraId="61550691"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15E9D387"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46649645"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1BE59FB3"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532C4635"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648E3139"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3E034CF8" w14:textId="77777777" w:rsidR="008C5CFA" w:rsidRPr="00601E29" w:rsidRDefault="008C5CFA" w:rsidP="00300A01">
            <w:pPr>
              <w:spacing w:before="0" w:after="0"/>
              <w:jc w:val="right"/>
              <w:rPr>
                <w:sz w:val="10"/>
                <w:szCs w:val="10"/>
                <w:lang w:val="fr-BE"/>
              </w:rPr>
            </w:pPr>
          </w:p>
        </w:tc>
      </w:tr>
      <w:tr w:rsidR="006B2EC1" w14:paraId="74B4765F" w14:textId="77777777" w:rsidTr="0047688D">
        <w:tc>
          <w:tcPr>
            <w:tcW w:w="0" w:type="auto"/>
            <w:shd w:val="clear" w:color="auto" w:fill="auto"/>
          </w:tcPr>
          <w:p w14:paraId="3E0A33C7" w14:textId="77777777" w:rsidR="008C5CFA" w:rsidRPr="00601E29" w:rsidRDefault="00E82A60" w:rsidP="00300A01">
            <w:pPr>
              <w:spacing w:before="0" w:after="0"/>
              <w:rPr>
                <w:sz w:val="10"/>
                <w:szCs w:val="10"/>
                <w:lang w:val="fr-BE"/>
              </w:rPr>
            </w:pPr>
            <w:r w:rsidRPr="00601E29">
              <w:rPr>
                <w:noProof/>
                <w:sz w:val="10"/>
                <w:szCs w:val="10"/>
                <w:lang w:val="fr-BE"/>
              </w:rPr>
              <w:t>008</w:t>
            </w:r>
          </w:p>
        </w:tc>
        <w:tc>
          <w:tcPr>
            <w:tcW w:w="0" w:type="auto"/>
            <w:shd w:val="clear" w:color="auto" w:fill="auto"/>
          </w:tcPr>
          <w:p w14:paraId="28713D8C" w14:textId="77777777" w:rsidR="008C5CFA" w:rsidRPr="00601E29" w:rsidRDefault="00E82A60" w:rsidP="00300A01">
            <w:pPr>
              <w:spacing w:before="0" w:after="0"/>
              <w:rPr>
                <w:sz w:val="10"/>
                <w:szCs w:val="10"/>
                <w:lang w:val="fr-BE"/>
              </w:rPr>
            </w:pPr>
            <w:r w:rsidRPr="00601E29">
              <w:rPr>
                <w:noProof/>
                <w:sz w:val="10"/>
                <w:szCs w:val="10"/>
                <w:lang w:val="fr-BE"/>
              </w:rPr>
              <w:t>Liczba szkół, w których pracownie przedmiotowe wykorzystują doposażenie do prowadzenia zajęć edukacyjnych</w:t>
            </w:r>
          </w:p>
        </w:tc>
        <w:tc>
          <w:tcPr>
            <w:tcW w:w="0" w:type="auto"/>
            <w:shd w:val="clear" w:color="auto" w:fill="auto"/>
          </w:tcPr>
          <w:p w14:paraId="1B52FF0D" w14:textId="77777777" w:rsidR="008C5CFA" w:rsidRPr="00601E29" w:rsidRDefault="00E82A60" w:rsidP="00300A01">
            <w:pPr>
              <w:spacing w:before="0" w:after="0"/>
              <w:rPr>
                <w:sz w:val="10"/>
                <w:szCs w:val="10"/>
                <w:lang w:val="fr-BE"/>
              </w:rPr>
            </w:pPr>
            <w:r w:rsidRPr="00601E29">
              <w:rPr>
                <w:noProof/>
                <w:sz w:val="10"/>
                <w:szCs w:val="10"/>
                <w:lang w:val="fr-BE"/>
              </w:rPr>
              <w:t>Słabiej rozwinięte</w:t>
            </w:r>
          </w:p>
        </w:tc>
        <w:tc>
          <w:tcPr>
            <w:tcW w:w="0" w:type="auto"/>
          </w:tcPr>
          <w:p w14:paraId="5A0F4B5F"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17CB5774"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6EE6ABBE"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2257977B"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155AFC1D"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5E86A160"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6DE9CC98" w14:textId="77777777" w:rsidR="008C5CFA" w:rsidRPr="00601E29" w:rsidRDefault="008C5CFA" w:rsidP="00300A01">
            <w:pPr>
              <w:spacing w:before="0" w:after="0"/>
              <w:jc w:val="right"/>
              <w:rPr>
                <w:sz w:val="10"/>
                <w:szCs w:val="10"/>
                <w:lang w:val="fr-BE"/>
              </w:rPr>
            </w:pPr>
          </w:p>
        </w:tc>
        <w:tc>
          <w:tcPr>
            <w:tcW w:w="0" w:type="auto"/>
          </w:tcPr>
          <w:p w14:paraId="3D5AD290"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604CB527"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79CE8702"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031E62DF"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3FC3C454"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544F90A6"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0B6D21C0" w14:textId="77777777" w:rsidR="008C5CFA" w:rsidRPr="00601E29" w:rsidRDefault="008C5CFA" w:rsidP="00300A01">
            <w:pPr>
              <w:spacing w:before="0" w:after="0"/>
              <w:jc w:val="right"/>
              <w:rPr>
                <w:sz w:val="10"/>
                <w:szCs w:val="10"/>
                <w:lang w:val="fr-BE"/>
              </w:rPr>
            </w:pPr>
          </w:p>
        </w:tc>
      </w:tr>
      <w:tr w:rsidR="006B2EC1" w14:paraId="3B141559" w14:textId="77777777" w:rsidTr="0047688D">
        <w:tc>
          <w:tcPr>
            <w:tcW w:w="0" w:type="auto"/>
            <w:shd w:val="clear" w:color="auto" w:fill="auto"/>
          </w:tcPr>
          <w:p w14:paraId="4A2E207C" w14:textId="77777777" w:rsidR="008C5CFA" w:rsidRPr="00601E29" w:rsidRDefault="00E82A60" w:rsidP="00300A01">
            <w:pPr>
              <w:spacing w:before="0" w:after="0"/>
              <w:rPr>
                <w:sz w:val="10"/>
                <w:szCs w:val="10"/>
                <w:lang w:val="fr-BE"/>
              </w:rPr>
            </w:pPr>
            <w:r w:rsidRPr="00601E29">
              <w:rPr>
                <w:noProof/>
                <w:sz w:val="10"/>
                <w:szCs w:val="10"/>
                <w:lang w:val="fr-BE"/>
              </w:rPr>
              <w:t>009</w:t>
            </w:r>
          </w:p>
        </w:tc>
        <w:tc>
          <w:tcPr>
            <w:tcW w:w="0" w:type="auto"/>
            <w:shd w:val="clear" w:color="auto" w:fill="auto"/>
          </w:tcPr>
          <w:p w14:paraId="66A10631" w14:textId="77777777" w:rsidR="008C5CFA" w:rsidRPr="00601E29" w:rsidRDefault="00E82A60" w:rsidP="00300A01">
            <w:pPr>
              <w:spacing w:before="0" w:after="0"/>
              <w:rPr>
                <w:sz w:val="10"/>
                <w:szCs w:val="10"/>
                <w:lang w:val="fr-BE"/>
              </w:rPr>
            </w:pPr>
            <w:r w:rsidRPr="00601E29">
              <w:rPr>
                <w:noProof/>
                <w:sz w:val="10"/>
                <w:szCs w:val="10"/>
                <w:lang w:val="fr-BE"/>
              </w:rPr>
              <w:t>Liczba nauczycieli, którzy uzyskali kwalifikacje lub nabyli kompetencje po opuszczeniu programu</w:t>
            </w:r>
          </w:p>
        </w:tc>
        <w:tc>
          <w:tcPr>
            <w:tcW w:w="0" w:type="auto"/>
            <w:shd w:val="clear" w:color="auto" w:fill="auto"/>
          </w:tcPr>
          <w:p w14:paraId="4A777B23" w14:textId="77777777" w:rsidR="008C5CFA" w:rsidRPr="00601E29" w:rsidRDefault="00E82A60" w:rsidP="00300A01">
            <w:pPr>
              <w:spacing w:before="0" w:after="0"/>
              <w:rPr>
                <w:sz w:val="10"/>
                <w:szCs w:val="10"/>
                <w:lang w:val="fr-BE"/>
              </w:rPr>
            </w:pPr>
            <w:r w:rsidRPr="00601E29">
              <w:rPr>
                <w:noProof/>
                <w:sz w:val="10"/>
                <w:szCs w:val="10"/>
                <w:lang w:val="fr-BE"/>
              </w:rPr>
              <w:t>Słabiej rozwinięte</w:t>
            </w:r>
          </w:p>
        </w:tc>
        <w:tc>
          <w:tcPr>
            <w:tcW w:w="0" w:type="auto"/>
          </w:tcPr>
          <w:p w14:paraId="64BBD8C9"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15788684"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4BCD3438"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1A592003"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682DDA7F"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422417F2"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7DB788A2" w14:textId="77777777" w:rsidR="008C5CFA" w:rsidRPr="00601E29" w:rsidRDefault="008C5CFA" w:rsidP="00300A01">
            <w:pPr>
              <w:spacing w:before="0" w:after="0"/>
              <w:jc w:val="right"/>
              <w:rPr>
                <w:sz w:val="10"/>
                <w:szCs w:val="10"/>
                <w:lang w:val="fr-BE"/>
              </w:rPr>
            </w:pPr>
          </w:p>
        </w:tc>
        <w:tc>
          <w:tcPr>
            <w:tcW w:w="0" w:type="auto"/>
          </w:tcPr>
          <w:p w14:paraId="0501BA5F"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2E578A61"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6F648A18"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7F12B945"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0C5A8454"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07935287"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39D1A783" w14:textId="77777777" w:rsidR="008C5CFA" w:rsidRPr="00601E29" w:rsidRDefault="008C5CFA" w:rsidP="00300A01">
            <w:pPr>
              <w:spacing w:before="0" w:after="0"/>
              <w:jc w:val="right"/>
              <w:rPr>
                <w:sz w:val="10"/>
                <w:szCs w:val="10"/>
                <w:lang w:val="fr-BE"/>
              </w:rPr>
            </w:pPr>
          </w:p>
        </w:tc>
      </w:tr>
      <w:tr w:rsidR="006B2EC1" w14:paraId="5B561D5A" w14:textId="77777777" w:rsidTr="0047688D">
        <w:tc>
          <w:tcPr>
            <w:tcW w:w="0" w:type="auto"/>
            <w:shd w:val="clear" w:color="auto" w:fill="auto"/>
          </w:tcPr>
          <w:p w14:paraId="0C83B91F" w14:textId="77777777" w:rsidR="008C5CFA" w:rsidRPr="00601E29" w:rsidRDefault="00E82A60" w:rsidP="00300A01">
            <w:pPr>
              <w:spacing w:before="0" w:after="0"/>
              <w:rPr>
                <w:sz w:val="10"/>
                <w:szCs w:val="10"/>
                <w:lang w:val="fr-BE"/>
              </w:rPr>
            </w:pPr>
            <w:r w:rsidRPr="00601E29">
              <w:rPr>
                <w:noProof/>
                <w:sz w:val="10"/>
                <w:szCs w:val="10"/>
                <w:lang w:val="fr-BE"/>
              </w:rPr>
              <w:t>010</w:t>
            </w:r>
          </w:p>
        </w:tc>
        <w:tc>
          <w:tcPr>
            <w:tcW w:w="0" w:type="auto"/>
            <w:shd w:val="clear" w:color="auto" w:fill="auto"/>
          </w:tcPr>
          <w:p w14:paraId="3461A02C" w14:textId="77777777" w:rsidR="008C5CFA" w:rsidRPr="00601E29" w:rsidRDefault="00E82A60" w:rsidP="00300A01">
            <w:pPr>
              <w:spacing w:before="0" w:after="0"/>
              <w:rPr>
                <w:sz w:val="10"/>
                <w:szCs w:val="10"/>
                <w:lang w:val="fr-BE"/>
              </w:rPr>
            </w:pPr>
            <w:r w:rsidRPr="00601E29">
              <w:rPr>
                <w:noProof/>
                <w:sz w:val="10"/>
                <w:szCs w:val="10"/>
                <w:lang w:val="fr-BE"/>
              </w:rPr>
              <w:t>Liczba nauczycieli prowadzących zajęcia z wykorzystaniem TIK dzięki EFS</w:t>
            </w:r>
          </w:p>
        </w:tc>
        <w:tc>
          <w:tcPr>
            <w:tcW w:w="0" w:type="auto"/>
            <w:shd w:val="clear" w:color="auto" w:fill="auto"/>
          </w:tcPr>
          <w:p w14:paraId="204A7D85" w14:textId="77777777" w:rsidR="008C5CFA" w:rsidRPr="00601E29" w:rsidRDefault="00E82A60" w:rsidP="00300A01">
            <w:pPr>
              <w:spacing w:before="0" w:after="0"/>
              <w:rPr>
                <w:sz w:val="10"/>
                <w:szCs w:val="10"/>
                <w:lang w:val="fr-BE"/>
              </w:rPr>
            </w:pPr>
            <w:r w:rsidRPr="00601E29">
              <w:rPr>
                <w:noProof/>
                <w:sz w:val="10"/>
                <w:szCs w:val="10"/>
                <w:lang w:val="fr-BE"/>
              </w:rPr>
              <w:t>Słabiej rozwinięte</w:t>
            </w:r>
          </w:p>
        </w:tc>
        <w:tc>
          <w:tcPr>
            <w:tcW w:w="0" w:type="auto"/>
          </w:tcPr>
          <w:p w14:paraId="64BE205F"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6CECBA2B"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50AF05C5"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657D4409"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11A7F593"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7384B5E2"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454282C2" w14:textId="77777777" w:rsidR="008C5CFA" w:rsidRPr="00601E29" w:rsidRDefault="008C5CFA" w:rsidP="00300A01">
            <w:pPr>
              <w:spacing w:before="0" w:after="0"/>
              <w:jc w:val="right"/>
              <w:rPr>
                <w:sz w:val="10"/>
                <w:szCs w:val="10"/>
                <w:lang w:val="fr-BE"/>
              </w:rPr>
            </w:pPr>
          </w:p>
        </w:tc>
        <w:tc>
          <w:tcPr>
            <w:tcW w:w="0" w:type="auto"/>
          </w:tcPr>
          <w:p w14:paraId="239F166F"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292C5E84"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2632BEA7"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03C8D833"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4B1AD399"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5F3481D3"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7C657568" w14:textId="77777777" w:rsidR="008C5CFA" w:rsidRPr="00601E29" w:rsidRDefault="008C5CFA" w:rsidP="00300A01">
            <w:pPr>
              <w:spacing w:before="0" w:after="0"/>
              <w:jc w:val="right"/>
              <w:rPr>
                <w:sz w:val="10"/>
                <w:szCs w:val="10"/>
                <w:lang w:val="fr-BE"/>
              </w:rPr>
            </w:pPr>
          </w:p>
        </w:tc>
      </w:tr>
    </w:tbl>
    <w:p w14:paraId="11B0E83B"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24"/>
        <w:gridCol w:w="7644"/>
        <w:gridCol w:w="1440"/>
        <w:gridCol w:w="721"/>
        <w:gridCol w:w="907"/>
        <w:gridCol w:w="729"/>
        <w:gridCol w:w="721"/>
        <w:gridCol w:w="907"/>
        <w:gridCol w:w="729"/>
        <w:gridCol w:w="962"/>
      </w:tblGrid>
      <w:tr w:rsidR="006B2EC1" w14:paraId="28B7D3FC" w14:textId="77777777" w:rsidTr="0047688D">
        <w:trPr>
          <w:tblHeader/>
        </w:trPr>
        <w:tc>
          <w:tcPr>
            <w:tcW w:w="0" w:type="auto"/>
            <w:shd w:val="clear" w:color="auto" w:fill="auto"/>
          </w:tcPr>
          <w:p w14:paraId="4AC9CD70" w14:textId="77777777" w:rsidR="008C5CFA" w:rsidRPr="00601E29" w:rsidRDefault="00E82A60" w:rsidP="00300A01">
            <w:pPr>
              <w:spacing w:before="0" w:after="0"/>
              <w:rPr>
                <w:b/>
                <w:sz w:val="10"/>
                <w:szCs w:val="10"/>
                <w:lang w:val="fr-BE"/>
              </w:rPr>
            </w:pPr>
            <w:r w:rsidRPr="00601E29">
              <w:rPr>
                <w:b/>
                <w:noProof/>
                <w:sz w:val="10"/>
                <w:szCs w:val="10"/>
                <w:lang w:val="fr-BE"/>
              </w:rPr>
              <w:t>ID</w:t>
            </w:r>
          </w:p>
        </w:tc>
        <w:tc>
          <w:tcPr>
            <w:tcW w:w="0" w:type="auto"/>
            <w:shd w:val="clear" w:color="auto" w:fill="auto"/>
          </w:tcPr>
          <w:p w14:paraId="3ADB2FC2" w14:textId="77777777" w:rsidR="008C5CFA" w:rsidRPr="00601E29" w:rsidRDefault="00E82A60" w:rsidP="00300A01">
            <w:pPr>
              <w:spacing w:before="0" w:after="0"/>
              <w:rPr>
                <w:b/>
                <w:sz w:val="10"/>
                <w:szCs w:val="10"/>
                <w:lang w:val="fr-BE"/>
              </w:rPr>
            </w:pPr>
            <w:r w:rsidRPr="00601E29">
              <w:rPr>
                <w:b/>
                <w:noProof/>
                <w:sz w:val="10"/>
                <w:szCs w:val="10"/>
                <w:lang w:val="fr-BE"/>
              </w:rPr>
              <w:t>Wskaźnik</w:t>
            </w:r>
          </w:p>
        </w:tc>
        <w:tc>
          <w:tcPr>
            <w:tcW w:w="0" w:type="auto"/>
            <w:shd w:val="clear" w:color="auto" w:fill="auto"/>
          </w:tcPr>
          <w:p w14:paraId="05C3F8CD" w14:textId="77777777" w:rsidR="008C5CFA" w:rsidRPr="00601E29" w:rsidRDefault="00E82A60" w:rsidP="00300A01">
            <w:pPr>
              <w:spacing w:before="0" w:after="0"/>
              <w:rPr>
                <w:b/>
                <w:sz w:val="10"/>
                <w:szCs w:val="10"/>
                <w:lang w:val="fr-BE"/>
              </w:rPr>
            </w:pPr>
            <w:r w:rsidRPr="00601E29">
              <w:rPr>
                <w:b/>
                <w:noProof/>
                <w:sz w:val="10"/>
                <w:szCs w:val="10"/>
                <w:lang w:val="fr-BE"/>
              </w:rPr>
              <w:t>Kategoria regionu</w:t>
            </w:r>
          </w:p>
        </w:tc>
        <w:tc>
          <w:tcPr>
            <w:tcW w:w="0" w:type="auto"/>
            <w:gridSpan w:val="7"/>
          </w:tcPr>
          <w:p w14:paraId="4A2C8359" w14:textId="77777777" w:rsidR="008C5CFA" w:rsidRPr="00601E29" w:rsidRDefault="00E82A60" w:rsidP="00300A01">
            <w:pPr>
              <w:spacing w:before="0" w:after="0"/>
              <w:jc w:val="center"/>
              <w:rPr>
                <w:b/>
                <w:sz w:val="10"/>
                <w:szCs w:val="10"/>
                <w:lang w:val="fr-BE"/>
              </w:rPr>
            </w:pPr>
            <w:r>
              <w:rPr>
                <w:b/>
                <w:sz w:val="10"/>
                <w:szCs w:val="10"/>
                <w:lang w:val="fr-BE"/>
              </w:rPr>
              <w:t>2014</w:t>
            </w:r>
          </w:p>
        </w:tc>
      </w:tr>
      <w:tr w:rsidR="006B2EC1" w14:paraId="2CF299DE" w14:textId="77777777" w:rsidTr="0047688D">
        <w:trPr>
          <w:tblHeader/>
        </w:trPr>
        <w:tc>
          <w:tcPr>
            <w:tcW w:w="0" w:type="auto"/>
            <w:shd w:val="clear" w:color="auto" w:fill="auto"/>
          </w:tcPr>
          <w:p w14:paraId="2F4C3E8B" w14:textId="77777777" w:rsidR="008C5CFA" w:rsidRPr="00601E29" w:rsidRDefault="008C5CFA" w:rsidP="00300A01">
            <w:pPr>
              <w:spacing w:before="0" w:after="0"/>
              <w:rPr>
                <w:b/>
                <w:sz w:val="10"/>
                <w:szCs w:val="10"/>
                <w:lang w:val="fr-BE"/>
              </w:rPr>
            </w:pPr>
          </w:p>
        </w:tc>
        <w:tc>
          <w:tcPr>
            <w:tcW w:w="0" w:type="auto"/>
            <w:shd w:val="clear" w:color="auto" w:fill="auto"/>
          </w:tcPr>
          <w:p w14:paraId="1B0825BA" w14:textId="77777777" w:rsidR="008C5CFA" w:rsidRPr="00601E29" w:rsidRDefault="008C5CFA" w:rsidP="00300A01">
            <w:pPr>
              <w:spacing w:before="0" w:after="0"/>
              <w:rPr>
                <w:b/>
                <w:sz w:val="10"/>
                <w:szCs w:val="10"/>
                <w:lang w:val="fr-BE"/>
              </w:rPr>
            </w:pPr>
          </w:p>
        </w:tc>
        <w:tc>
          <w:tcPr>
            <w:tcW w:w="0" w:type="auto"/>
            <w:shd w:val="clear" w:color="auto" w:fill="auto"/>
          </w:tcPr>
          <w:p w14:paraId="229C1222" w14:textId="77777777" w:rsidR="008C5CFA" w:rsidRPr="00601E29" w:rsidRDefault="008C5CFA" w:rsidP="00300A01">
            <w:pPr>
              <w:spacing w:before="0" w:after="0"/>
              <w:rPr>
                <w:b/>
                <w:sz w:val="10"/>
                <w:szCs w:val="10"/>
                <w:lang w:val="fr-BE"/>
              </w:rPr>
            </w:pPr>
          </w:p>
        </w:tc>
        <w:tc>
          <w:tcPr>
            <w:tcW w:w="0" w:type="auto"/>
            <w:gridSpan w:val="3"/>
          </w:tcPr>
          <w:p w14:paraId="587079B7" w14:textId="77777777" w:rsidR="008C5CFA" w:rsidRPr="00601E29" w:rsidRDefault="00E82A60" w:rsidP="00300A01">
            <w:pPr>
              <w:spacing w:before="0" w:after="0"/>
              <w:jc w:val="center"/>
              <w:rPr>
                <w:b/>
                <w:sz w:val="10"/>
                <w:szCs w:val="10"/>
                <w:lang w:val="fr-BE"/>
              </w:rPr>
            </w:pPr>
            <w:r w:rsidRPr="00601E29">
              <w:rPr>
                <w:b/>
                <w:noProof/>
                <w:sz w:val="10"/>
                <w:szCs w:val="10"/>
                <w:lang w:val="fr-BE"/>
              </w:rPr>
              <w:t>Łącznie</w:t>
            </w:r>
          </w:p>
        </w:tc>
        <w:tc>
          <w:tcPr>
            <w:tcW w:w="0" w:type="auto"/>
            <w:gridSpan w:val="3"/>
          </w:tcPr>
          <w:p w14:paraId="6DFA59BD" w14:textId="77777777" w:rsidR="008C5CFA" w:rsidRPr="00601E29" w:rsidRDefault="00E82A60" w:rsidP="00300A01">
            <w:pPr>
              <w:spacing w:before="0" w:after="0"/>
              <w:jc w:val="center"/>
              <w:rPr>
                <w:b/>
                <w:sz w:val="10"/>
                <w:szCs w:val="10"/>
                <w:lang w:val="fr-BE"/>
              </w:rPr>
            </w:pPr>
            <w:r w:rsidRPr="00601E29">
              <w:rPr>
                <w:b/>
                <w:noProof/>
                <w:sz w:val="10"/>
                <w:szCs w:val="10"/>
                <w:lang w:val="fr-BE"/>
              </w:rPr>
              <w:t>Łącznie w roku</w:t>
            </w:r>
          </w:p>
        </w:tc>
        <w:tc>
          <w:tcPr>
            <w:tcW w:w="0" w:type="auto"/>
          </w:tcPr>
          <w:p w14:paraId="385195F5" w14:textId="77777777" w:rsidR="008C5CFA" w:rsidRPr="00601E29" w:rsidRDefault="00E82A60" w:rsidP="00300A01">
            <w:pPr>
              <w:spacing w:before="0" w:after="0"/>
              <w:jc w:val="center"/>
              <w:rPr>
                <w:b/>
                <w:sz w:val="10"/>
                <w:szCs w:val="10"/>
                <w:lang w:val="fr-BE"/>
              </w:rPr>
            </w:pPr>
            <w:r w:rsidRPr="00601E29">
              <w:rPr>
                <w:b/>
                <w:noProof/>
                <w:sz w:val="10"/>
                <w:szCs w:val="10"/>
                <w:lang w:val="fr-BE"/>
              </w:rPr>
              <w:t>Jakościowe</w:t>
            </w:r>
          </w:p>
        </w:tc>
      </w:tr>
      <w:tr w:rsidR="006B2EC1" w14:paraId="1587A00C" w14:textId="77777777" w:rsidTr="0047688D">
        <w:trPr>
          <w:tblHeader/>
        </w:trPr>
        <w:tc>
          <w:tcPr>
            <w:tcW w:w="0" w:type="auto"/>
            <w:shd w:val="clear" w:color="auto" w:fill="auto"/>
          </w:tcPr>
          <w:p w14:paraId="7205A686" w14:textId="77777777" w:rsidR="008C5CFA" w:rsidRPr="00601E29" w:rsidRDefault="008C5CFA" w:rsidP="00300A01">
            <w:pPr>
              <w:spacing w:before="0" w:after="0"/>
              <w:rPr>
                <w:b/>
                <w:sz w:val="10"/>
                <w:szCs w:val="10"/>
                <w:lang w:val="fr-BE"/>
              </w:rPr>
            </w:pPr>
          </w:p>
        </w:tc>
        <w:tc>
          <w:tcPr>
            <w:tcW w:w="0" w:type="auto"/>
            <w:shd w:val="clear" w:color="auto" w:fill="auto"/>
          </w:tcPr>
          <w:p w14:paraId="5DD24A74" w14:textId="77777777" w:rsidR="008C5CFA" w:rsidRPr="00601E29" w:rsidRDefault="008C5CFA" w:rsidP="00300A01">
            <w:pPr>
              <w:spacing w:before="0" w:after="0"/>
              <w:rPr>
                <w:b/>
                <w:sz w:val="10"/>
                <w:szCs w:val="10"/>
                <w:lang w:val="fr-BE"/>
              </w:rPr>
            </w:pPr>
          </w:p>
        </w:tc>
        <w:tc>
          <w:tcPr>
            <w:tcW w:w="0" w:type="auto"/>
            <w:shd w:val="clear" w:color="auto" w:fill="auto"/>
          </w:tcPr>
          <w:p w14:paraId="677F3402" w14:textId="77777777" w:rsidR="008C5CFA" w:rsidRPr="00601E29" w:rsidRDefault="008C5CFA" w:rsidP="00300A01">
            <w:pPr>
              <w:spacing w:before="0" w:after="0"/>
              <w:rPr>
                <w:b/>
                <w:sz w:val="10"/>
                <w:szCs w:val="10"/>
                <w:lang w:val="fr-BE"/>
              </w:rPr>
            </w:pPr>
          </w:p>
        </w:tc>
        <w:tc>
          <w:tcPr>
            <w:tcW w:w="0" w:type="auto"/>
          </w:tcPr>
          <w:p w14:paraId="15FB11D6" w14:textId="77777777" w:rsidR="008C5CFA" w:rsidRPr="00601E29" w:rsidRDefault="00E82A60" w:rsidP="00300A01">
            <w:pPr>
              <w:spacing w:before="0" w:after="0"/>
              <w:jc w:val="center"/>
              <w:rPr>
                <w:b/>
                <w:sz w:val="10"/>
                <w:szCs w:val="10"/>
                <w:lang w:val="fr-BE"/>
              </w:rPr>
            </w:pPr>
            <w:r w:rsidRPr="00601E29">
              <w:rPr>
                <w:b/>
                <w:noProof/>
                <w:sz w:val="10"/>
                <w:szCs w:val="10"/>
                <w:lang w:val="fr-BE"/>
              </w:rPr>
              <w:t>Ogółem</w:t>
            </w:r>
          </w:p>
        </w:tc>
        <w:tc>
          <w:tcPr>
            <w:tcW w:w="0" w:type="auto"/>
          </w:tcPr>
          <w:p w14:paraId="5BE801CD" w14:textId="77777777" w:rsidR="008C5CFA" w:rsidRPr="00601E29" w:rsidRDefault="00E82A60" w:rsidP="00300A01">
            <w:pPr>
              <w:spacing w:before="0" w:after="0"/>
              <w:jc w:val="center"/>
              <w:rPr>
                <w:b/>
                <w:sz w:val="10"/>
                <w:szCs w:val="10"/>
                <w:lang w:val="fr-BE"/>
              </w:rPr>
            </w:pPr>
            <w:r w:rsidRPr="00601E29">
              <w:rPr>
                <w:b/>
                <w:noProof/>
                <w:sz w:val="10"/>
                <w:szCs w:val="10"/>
                <w:lang w:val="fr-BE"/>
              </w:rPr>
              <w:t>Mężczyźni</w:t>
            </w:r>
          </w:p>
        </w:tc>
        <w:tc>
          <w:tcPr>
            <w:tcW w:w="0" w:type="auto"/>
          </w:tcPr>
          <w:p w14:paraId="6E9A051D" w14:textId="77777777" w:rsidR="008C5CFA" w:rsidRPr="00601E29" w:rsidRDefault="00E82A60" w:rsidP="00300A01">
            <w:pPr>
              <w:spacing w:before="0" w:after="0"/>
              <w:jc w:val="center"/>
              <w:rPr>
                <w:b/>
                <w:sz w:val="10"/>
                <w:szCs w:val="10"/>
                <w:lang w:val="fr-BE"/>
              </w:rPr>
            </w:pPr>
            <w:r w:rsidRPr="00601E29">
              <w:rPr>
                <w:b/>
                <w:noProof/>
                <w:sz w:val="10"/>
                <w:szCs w:val="10"/>
                <w:lang w:val="fr-BE"/>
              </w:rPr>
              <w:t>Kobiety</w:t>
            </w:r>
          </w:p>
        </w:tc>
        <w:tc>
          <w:tcPr>
            <w:tcW w:w="0" w:type="auto"/>
          </w:tcPr>
          <w:p w14:paraId="25C31C1A" w14:textId="77777777" w:rsidR="008C5CFA" w:rsidRPr="00601E29" w:rsidRDefault="00E82A60" w:rsidP="00300A01">
            <w:pPr>
              <w:spacing w:before="0" w:after="0"/>
              <w:jc w:val="center"/>
              <w:rPr>
                <w:b/>
                <w:sz w:val="10"/>
                <w:szCs w:val="10"/>
                <w:lang w:val="fr-BE"/>
              </w:rPr>
            </w:pPr>
            <w:r w:rsidRPr="00601E29">
              <w:rPr>
                <w:b/>
                <w:noProof/>
                <w:sz w:val="10"/>
                <w:szCs w:val="10"/>
                <w:lang w:val="fr-BE"/>
              </w:rPr>
              <w:t>Ogółem</w:t>
            </w:r>
          </w:p>
        </w:tc>
        <w:tc>
          <w:tcPr>
            <w:tcW w:w="0" w:type="auto"/>
          </w:tcPr>
          <w:p w14:paraId="4919E0F2" w14:textId="77777777" w:rsidR="008C5CFA" w:rsidRPr="00601E29" w:rsidRDefault="00E82A60" w:rsidP="00300A01">
            <w:pPr>
              <w:spacing w:before="0" w:after="0"/>
              <w:jc w:val="center"/>
              <w:rPr>
                <w:b/>
                <w:sz w:val="10"/>
                <w:szCs w:val="10"/>
                <w:lang w:val="fr-BE"/>
              </w:rPr>
            </w:pPr>
            <w:r w:rsidRPr="00601E29">
              <w:rPr>
                <w:b/>
                <w:noProof/>
                <w:sz w:val="10"/>
                <w:szCs w:val="10"/>
                <w:lang w:val="fr-BE"/>
              </w:rPr>
              <w:t>Mężczyźni</w:t>
            </w:r>
          </w:p>
        </w:tc>
        <w:tc>
          <w:tcPr>
            <w:tcW w:w="0" w:type="auto"/>
          </w:tcPr>
          <w:p w14:paraId="00D7730B" w14:textId="77777777" w:rsidR="008C5CFA" w:rsidRPr="00601E29" w:rsidRDefault="00E82A60" w:rsidP="00300A01">
            <w:pPr>
              <w:spacing w:before="0" w:after="0"/>
              <w:jc w:val="center"/>
              <w:rPr>
                <w:b/>
                <w:sz w:val="10"/>
                <w:szCs w:val="10"/>
                <w:lang w:val="fr-BE"/>
              </w:rPr>
            </w:pPr>
            <w:r w:rsidRPr="00601E29">
              <w:rPr>
                <w:b/>
                <w:noProof/>
                <w:sz w:val="10"/>
                <w:szCs w:val="10"/>
                <w:lang w:val="fr-BE"/>
              </w:rPr>
              <w:t>Kobiety</w:t>
            </w:r>
          </w:p>
        </w:tc>
        <w:tc>
          <w:tcPr>
            <w:tcW w:w="0" w:type="auto"/>
          </w:tcPr>
          <w:p w14:paraId="64651947" w14:textId="77777777" w:rsidR="008C5CFA" w:rsidRPr="00601E29" w:rsidRDefault="008C5CFA" w:rsidP="00300A01">
            <w:pPr>
              <w:spacing w:before="0" w:after="0"/>
              <w:jc w:val="center"/>
              <w:rPr>
                <w:b/>
                <w:sz w:val="10"/>
                <w:szCs w:val="10"/>
                <w:lang w:val="fr-BE"/>
              </w:rPr>
            </w:pPr>
          </w:p>
        </w:tc>
      </w:tr>
      <w:tr w:rsidR="006B2EC1" w14:paraId="2BA5F421" w14:textId="77777777" w:rsidTr="0047688D">
        <w:tc>
          <w:tcPr>
            <w:tcW w:w="0" w:type="auto"/>
            <w:shd w:val="clear" w:color="auto" w:fill="auto"/>
          </w:tcPr>
          <w:p w14:paraId="0F13B6D7" w14:textId="77777777" w:rsidR="008C5CFA" w:rsidRPr="00601E29" w:rsidRDefault="00E82A60" w:rsidP="00300A01">
            <w:pPr>
              <w:spacing w:before="0" w:after="0"/>
              <w:rPr>
                <w:sz w:val="10"/>
                <w:szCs w:val="10"/>
                <w:lang w:val="fr-BE"/>
              </w:rPr>
            </w:pPr>
            <w:r w:rsidRPr="00601E29">
              <w:rPr>
                <w:noProof/>
                <w:sz w:val="10"/>
                <w:szCs w:val="10"/>
                <w:lang w:val="fr-BE"/>
              </w:rPr>
              <w:t>005</w:t>
            </w:r>
          </w:p>
        </w:tc>
        <w:tc>
          <w:tcPr>
            <w:tcW w:w="0" w:type="auto"/>
            <w:shd w:val="clear" w:color="auto" w:fill="auto"/>
          </w:tcPr>
          <w:p w14:paraId="025A1EB7" w14:textId="77777777" w:rsidR="008C5CFA" w:rsidRPr="00601E29" w:rsidRDefault="00E82A60" w:rsidP="00300A01">
            <w:pPr>
              <w:spacing w:before="0" w:after="0"/>
              <w:rPr>
                <w:sz w:val="10"/>
                <w:szCs w:val="10"/>
                <w:lang w:val="fr-BE"/>
              </w:rPr>
            </w:pPr>
            <w:r w:rsidRPr="00601E29">
              <w:rPr>
                <w:noProof/>
                <w:sz w:val="10"/>
                <w:szCs w:val="10"/>
                <w:lang w:val="fr-BE"/>
              </w:rPr>
              <w:t>Liczba miejsc wychowania przedszkolnego, które funkcjonują 2 lata po uzyskaniu dofinansowania ze środków EFS</w:t>
            </w:r>
          </w:p>
        </w:tc>
        <w:tc>
          <w:tcPr>
            <w:tcW w:w="0" w:type="auto"/>
            <w:shd w:val="clear" w:color="auto" w:fill="auto"/>
          </w:tcPr>
          <w:p w14:paraId="56590654" w14:textId="77777777" w:rsidR="008C5CFA" w:rsidRPr="00601E29" w:rsidRDefault="00E82A60" w:rsidP="00300A01">
            <w:pPr>
              <w:spacing w:before="0" w:after="0"/>
              <w:rPr>
                <w:sz w:val="10"/>
                <w:szCs w:val="10"/>
                <w:lang w:val="fr-BE"/>
              </w:rPr>
            </w:pPr>
            <w:r w:rsidRPr="00601E29">
              <w:rPr>
                <w:noProof/>
                <w:sz w:val="10"/>
                <w:szCs w:val="10"/>
                <w:lang w:val="fr-BE"/>
              </w:rPr>
              <w:t>Słabiej rozwinięte</w:t>
            </w:r>
          </w:p>
        </w:tc>
        <w:tc>
          <w:tcPr>
            <w:tcW w:w="0" w:type="auto"/>
          </w:tcPr>
          <w:p w14:paraId="3054B908"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3D4B43B2"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0B70CAB3"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011CF000"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4E2FE19A"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1DEEB43B"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6984EDDC" w14:textId="77777777" w:rsidR="008C5CFA" w:rsidRPr="00601E29" w:rsidRDefault="008C5CFA" w:rsidP="00300A01">
            <w:pPr>
              <w:spacing w:before="0" w:after="0"/>
              <w:jc w:val="right"/>
              <w:rPr>
                <w:sz w:val="10"/>
                <w:szCs w:val="10"/>
                <w:lang w:val="fr-BE"/>
              </w:rPr>
            </w:pPr>
          </w:p>
        </w:tc>
      </w:tr>
      <w:tr w:rsidR="006B2EC1" w14:paraId="05FEDF11" w14:textId="77777777" w:rsidTr="0047688D">
        <w:tc>
          <w:tcPr>
            <w:tcW w:w="0" w:type="auto"/>
            <w:shd w:val="clear" w:color="auto" w:fill="auto"/>
          </w:tcPr>
          <w:p w14:paraId="18935C59" w14:textId="77777777" w:rsidR="008C5CFA" w:rsidRPr="00601E29" w:rsidRDefault="00E82A60" w:rsidP="00300A01">
            <w:pPr>
              <w:spacing w:before="0" w:after="0"/>
              <w:rPr>
                <w:sz w:val="10"/>
                <w:szCs w:val="10"/>
                <w:lang w:val="fr-BE"/>
              </w:rPr>
            </w:pPr>
            <w:r w:rsidRPr="00601E29">
              <w:rPr>
                <w:noProof/>
                <w:sz w:val="10"/>
                <w:szCs w:val="10"/>
                <w:lang w:val="fr-BE"/>
              </w:rPr>
              <w:t>143</w:t>
            </w:r>
          </w:p>
        </w:tc>
        <w:tc>
          <w:tcPr>
            <w:tcW w:w="0" w:type="auto"/>
            <w:shd w:val="clear" w:color="auto" w:fill="auto"/>
          </w:tcPr>
          <w:p w14:paraId="684A8B4F" w14:textId="77777777" w:rsidR="008C5CFA" w:rsidRPr="00601E29" w:rsidRDefault="00E82A60" w:rsidP="00300A01">
            <w:pPr>
              <w:spacing w:before="0" w:after="0"/>
              <w:rPr>
                <w:sz w:val="10"/>
                <w:szCs w:val="10"/>
                <w:lang w:val="fr-BE"/>
              </w:rPr>
            </w:pPr>
            <w:r w:rsidRPr="00601E29">
              <w:rPr>
                <w:noProof/>
                <w:sz w:val="10"/>
                <w:szCs w:val="10"/>
                <w:lang w:val="fr-BE"/>
              </w:rPr>
              <w:t>Liczba uczniów, którzy nabyli kompetencje  kluczowe lub umiejętności uniwersalne  po opuszczeniu programu</w:t>
            </w:r>
          </w:p>
        </w:tc>
        <w:tc>
          <w:tcPr>
            <w:tcW w:w="0" w:type="auto"/>
            <w:shd w:val="clear" w:color="auto" w:fill="auto"/>
          </w:tcPr>
          <w:p w14:paraId="0ECF52C2" w14:textId="77777777" w:rsidR="008C5CFA" w:rsidRPr="00601E29" w:rsidRDefault="00E82A60" w:rsidP="00300A01">
            <w:pPr>
              <w:spacing w:before="0" w:after="0"/>
              <w:rPr>
                <w:sz w:val="10"/>
                <w:szCs w:val="10"/>
                <w:lang w:val="fr-BE"/>
              </w:rPr>
            </w:pPr>
            <w:r w:rsidRPr="00601E29">
              <w:rPr>
                <w:noProof/>
                <w:sz w:val="10"/>
                <w:szCs w:val="10"/>
                <w:lang w:val="fr-BE"/>
              </w:rPr>
              <w:t>Słabiej rozwinięte</w:t>
            </w:r>
          </w:p>
        </w:tc>
        <w:tc>
          <w:tcPr>
            <w:tcW w:w="0" w:type="auto"/>
          </w:tcPr>
          <w:p w14:paraId="42A69606" w14:textId="77777777" w:rsidR="008C5CFA" w:rsidRPr="00601E29" w:rsidRDefault="008C5CFA" w:rsidP="00300A01">
            <w:pPr>
              <w:spacing w:before="0" w:after="0"/>
              <w:jc w:val="right"/>
              <w:rPr>
                <w:sz w:val="10"/>
                <w:szCs w:val="10"/>
                <w:lang w:val="fr-BE"/>
              </w:rPr>
            </w:pPr>
          </w:p>
        </w:tc>
        <w:tc>
          <w:tcPr>
            <w:tcW w:w="0" w:type="auto"/>
          </w:tcPr>
          <w:p w14:paraId="0BD62AD7" w14:textId="77777777" w:rsidR="008C5CFA" w:rsidRPr="00601E29" w:rsidRDefault="008C5CFA" w:rsidP="00300A01">
            <w:pPr>
              <w:spacing w:before="0" w:after="0"/>
              <w:jc w:val="right"/>
              <w:rPr>
                <w:sz w:val="10"/>
                <w:szCs w:val="10"/>
                <w:lang w:val="fr-BE"/>
              </w:rPr>
            </w:pPr>
          </w:p>
        </w:tc>
        <w:tc>
          <w:tcPr>
            <w:tcW w:w="0" w:type="auto"/>
          </w:tcPr>
          <w:p w14:paraId="32363899" w14:textId="77777777" w:rsidR="008C5CFA" w:rsidRPr="00601E29" w:rsidRDefault="008C5CFA" w:rsidP="00300A01">
            <w:pPr>
              <w:spacing w:before="0" w:after="0"/>
              <w:jc w:val="right"/>
              <w:rPr>
                <w:sz w:val="10"/>
                <w:szCs w:val="10"/>
                <w:lang w:val="fr-BE"/>
              </w:rPr>
            </w:pPr>
          </w:p>
        </w:tc>
        <w:tc>
          <w:tcPr>
            <w:tcW w:w="0" w:type="auto"/>
          </w:tcPr>
          <w:p w14:paraId="65260BCA" w14:textId="77777777" w:rsidR="008C5CFA" w:rsidRPr="00601E29" w:rsidRDefault="008C5CFA" w:rsidP="00300A01">
            <w:pPr>
              <w:spacing w:before="0" w:after="0"/>
              <w:jc w:val="right"/>
              <w:rPr>
                <w:sz w:val="10"/>
                <w:szCs w:val="10"/>
                <w:lang w:val="fr-BE"/>
              </w:rPr>
            </w:pPr>
          </w:p>
        </w:tc>
        <w:tc>
          <w:tcPr>
            <w:tcW w:w="0" w:type="auto"/>
          </w:tcPr>
          <w:p w14:paraId="7F9F25C9" w14:textId="77777777" w:rsidR="008C5CFA" w:rsidRPr="00601E29" w:rsidRDefault="008C5CFA" w:rsidP="00300A01">
            <w:pPr>
              <w:spacing w:before="0" w:after="0"/>
              <w:jc w:val="right"/>
              <w:rPr>
                <w:sz w:val="10"/>
                <w:szCs w:val="10"/>
                <w:lang w:val="fr-BE"/>
              </w:rPr>
            </w:pPr>
          </w:p>
        </w:tc>
        <w:tc>
          <w:tcPr>
            <w:tcW w:w="0" w:type="auto"/>
          </w:tcPr>
          <w:p w14:paraId="17799552" w14:textId="77777777" w:rsidR="008C5CFA" w:rsidRPr="00601E29" w:rsidRDefault="008C5CFA" w:rsidP="00300A01">
            <w:pPr>
              <w:spacing w:before="0" w:after="0"/>
              <w:jc w:val="right"/>
              <w:rPr>
                <w:sz w:val="10"/>
                <w:szCs w:val="10"/>
                <w:lang w:val="fr-BE"/>
              </w:rPr>
            </w:pPr>
          </w:p>
        </w:tc>
        <w:tc>
          <w:tcPr>
            <w:tcW w:w="0" w:type="auto"/>
          </w:tcPr>
          <w:p w14:paraId="2E6223A9" w14:textId="77777777" w:rsidR="008C5CFA" w:rsidRPr="00601E29" w:rsidRDefault="008C5CFA" w:rsidP="00300A01">
            <w:pPr>
              <w:spacing w:before="0" w:after="0"/>
              <w:jc w:val="right"/>
              <w:rPr>
                <w:sz w:val="10"/>
                <w:szCs w:val="10"/>
                <w:lang w:val="fr-BE"/>
              </w:rPr>
            </w:pPr>
          </w:p>
        </w:tc>
      </w:tr>
      <w:tr w:rsidR="006B2EC1" w14:paraId="48A917CD" w14:textId="77777777" w:rsidTr="0047688D">
        <w:tc>
          <w:tcPr>
            <w:tcW w:w="0" w:type="auto"/>
            <w:shd w:val="clear" w:color="auto" w:fill="auto"/>
          </w:tcPr>
          <w:p w14:paraId="1DC04C65" w14:textId="77777777" w:rsidR="008C5CFA" w:rsidRPr="00601E29" w:rsidRDefault="00E82A60" w:rsidP="00300A01">
            <w:pPr>
              <w:spacing w:before="0" w:after="0"/>
              <w:rPr>
                <w:sz w:val="10"/>
                <w:szCs w:val="10"/>
                <w:lang w:val="fr-BE"/>
              </w:rPr>
            </w:pPr>
            <w:r w:rsidRPr="00601E29">
              <w:rPr>
                <w:noProof/>
                <w:sz w:val="10"/>
                <w:szCs w:val="10"/>
                <w:lang w:val="fr-BE"/>
              </w:rPr>
              <w:t>007</w:t>
            </w:r>
          </w:p>
        </w:tc>
        <w:tc>
          <w:tcPr>
            <w:tcW w:w="0" w:type="auto"/>
            <w:shd w:val="clear" w:color="auto" w:fill="auto"/>
          </w:tcPr>
          <w:p w14:paraId="753F8186" w14:textId="77777777" w:rsidR="008C5CFA" w:rsidRPr="00601E29" w:rsidRDefault="00E82A60" w:rsidP="00300A01">
            <w:pPr>
              <w:spacing w:before="0" w:after="0"/>
              <w:rPr>
                <w:sz w:val="10"/>
                <w:szCs w:val="10"/>
                <w:lang w:val="fr-BE"/>
              </w:rPr>
            </w:pPr>
            <w:r w:rsidRPr="00601E29">
              <w:rPr>
                <w:noProof/>
                <w:sz w:val="10"/>
                <w:szCs w:val="10"/>
                <w:lang w:val="fr-BE"/>
              </w:rPr>
              <w:t>Liczba szkół i placówek systemu oświaty wykorzystujących sprzęt TIK do prowadzenia zajęć edukacyjnych</w:t>
            </w:r>
          </w:p>
        </w:tc>
        <w:tc>
          <w:tcPr>
            <w:tcW w:w="0" w:type="auto"/>
            <w:shd w:val="clear" w:color="auto" w:fill="auto"/>
          </w:tcPr>
          <w:p w14:paraId="2058F2C9" w14:textId="77777777" w:rsidR="008C5CFA" w:rsidRPr="00601E29" w:rsidRDefault="00E82A60" w:rsidP="00300A01">
            <w:pPr>
              <w:spacing w:before="0" w:after="0"/>
              <w:rPr>
                <w:sz w:val="10"/>
                <w:szCs w:val="10"/>
                <w:lang w:val="fr-BE"/>
              </w:rPr>
            </w:pPr>
            <w:r w:rsidRPr="00601E29">
              <w:rPr>
                <w:noProof/>
                <w:sz w:val="10"/>
                <w:szCs w:val="10"/>
                <w:lang w:val="fr-BE"/>
              </w:rPr>
              <w:t>Słabiej rozwinięte</w:t>
            </w:r>
          </w:p>
        </w:tc>
        <w:tc>
          <w:tcPr>
            <w:tcW w:w="0" w:type="auto"/>
          </w:tcPr>
          <w:p w14:paraId="0F66BB4D"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732C27E0"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0002B158"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025A1EEA"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5660B559"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571A03CD"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1C10B980" w14:textId="77777777" w:rsidR="008C5CFA" w:rsidRPr="00601E29" w:rsidRDefault="008C5CFA" w:rsidP="00300A01">
            <w:pPr>
              <w:spacing w:before="0" w:after="0"/>
              <w:jc w:val="right"/>
              <w:rPr>
                <w:sz w:val="10"/>
                <w:szCs w:val="10"/>
                <w:lang w:val="fr-BE"/>
              </w:rPr>
            </w:pPr>
          </w:p>
        </w:tc>
      </w:tr>
      <w:tr w:rsidR="006B2EC1" w14:paraId="54593B69" w14:textId="77777777" w:rsidTr="0047688D">
        <w:tc>
          <w:tcPr>
            <w:tcW w:w="0" w:type="auto"/>
            <w:shd w:val="clear" w:color="auto" w:fill="auto"/>
          </w:tcPr>
          <w:p w14:paraId="1A02E512" w14:textId="77777777" w:rsidR="008C5CFA" w:rsidRPr="00601E29" w:rsidRDefault="00E82A60" w:rsidP="00300A01">
            <w:pPr>
              <w:spacing w:before="0" w:after="0"/>
              <w:rPr>
                <w:sz w:val="10"/>
                <w:szCs w:val="10"/>
                <w:lang w:val="fr-BE"/>
              </w:rPr>
            </w:pPr>
            <w:r w:rsidRPr="00601E29">
              <w:rPr>
                <w:noProof/>
                <w:sz w:val="10"/>
                <w:szCs w:val="10"/>
                <w:lang w:val="fr-BE"/>
              </w:rPr>
              <w:t>008</w:t>
            </w:r>
          </w:p>
        </w:tc>
        <w:tc>
          <w:tcPr>
            <w:tcW w:w="0" w:type="auto"/>
            <w:shd w:val="clear" w:color="auto" w:fill="auto"/>
          </w:tcPr>
          <w:p w14:paraId="7C1AB5F5" w14:textId="77777777" w:rsidR="008C5CFA" w:rsidRPr="00601E29" w:rsidRDefault="00E82A60" w:rsidP="00300A01">
            <w:pPr>
              <w:spacing w:before="0" w:after="0"/>
              <w:rPr>
                <w:sz w:val="10"/>
                <w:szCs w:val="10"/>
                <w:lang w:val="fr-BE"/>
              </w:rPr>
            </w:pPr>
            <w:r w:rsidRPr="00601E29">
              <w:rPr>
                <w:noProof/>
                <w:sz w:val="10"/>
                <w:szCs w:val="10"/>
                <w:lang w:val="fr-BE"/>
              </w:rPr>
              <w:t>Liczba szkół, w których pracownie przedmiotowe wykorzystują doposażenie do prowadzenia zajęć edukacyjnych</w:t>
            </w:r>
          </w:p>
        </w:tc>
        <w:tc>
          <w:tcPr>
            <w:tcW w:w="0" w:type="auto"/>
            <w:shd w:val="clear" w:color="auto" w:fill="auto"/>
          </w:tcPr>
          <w:p w14:paraId="27C370B7" w14:textId="77777777" w:rsidR="008C5CFA" w:rsidRPr="00601E29" w:rsidRDefault="00E82A60" w:rsidP="00300A01">
            <w:pPr>
              <w:spacing w:before="0" w:after="0"/>
              <w:rPr>
                <w:sz w:val="10"/>
                <w:szCs w:val="10"/>
                <w:lang w:val="fr-BE"/>
              </w:rPr>
            </w:pPr>
            <w:r w:rsidRPr="00601E29">
              <w:rPr>
                <w:noProof/>
                <w:sz w:val="10"/>
                <w:szCs w:val="10"/>
                <w:lang w:val="fr-BE"/>
              </w:rPr>
              <w:t>Słabiej rozwinięte</w:t>
            </w:r>
          </w:p>
        </w:tc>
        <w:tc>
          <w:tcPr>
            <w:tcW w:w="0" w:type="auto"/>
          </w:tcPr>
          <w:p w14:paraId="0FC7E7F0"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0319924C"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070E1241"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41DEF446"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214DF5CB"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46DB252B"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602DB3D7" w14:textId="77777777" w:rsidR="008C5CFA" w:rsidRPr="00601E29" w:rsidRDefault="008C5CFA" w:rsidP="00300A01">
            <w:pPr>
              <w:spacing w:before="0" w:after="0"/>
              <w:jc w:val="right"/>
              <w:rPr>
                <w:sz w:val="10"/>
                <w:szCs w:val="10"/>
                <w:lang w:val="fr-BE"/>
              </w:rPr>
            </w:pPr>
          </w:p>
        </w:tc>
      </w:tr>
      <w:tr w:rsidR="006B2EC1" w14:paraId="76684811" w14:textId="77777777" w:rsidTr="0047688D">
        <w:tc>
          <w:tcPr>
            <w:tcW w:w="0" w:type="auto"/>
            <w:shd w:val="clear" w:color="auto" w:fill="auto"/>
          </w:tcPr>
          <w:p w14:paraId="7E491218" w14:textId="77777777" w:rsidR="008C5CFA" w:rsidRPr="00601E29" w:rsidRDefault="00E82A60" w:rsidP="00300A01">
            <w:pPr>
              <w:spacing w:before="0" w:after="0"/>
              <w:rPr>
                <w:sz w:val="10"/>
                <w:szCs w:val="10"/>
                <w:lang w:val="fr-BE"/>
              </w:rPr>
            </w:pPr>
            <w:r w:rsidRPr="00601E29">
              <w:rPr>
                <w:noProof/>
                <w:sz w:val="10"/>
                <w:szCs w:val="10"/>
                <w:lang w:val="fr-BE"/>
              </w:rPr>
              <w:t>009</w:t>
            </w:r>
          </w:p>
        </w:tc>
        <w:tc>
          <w:tcPr>
            <w:tcW w:w="0" w:type="auto"/>
            <w:shd w:val="clear" w:color="auto" w:fill="auto"/>
          </w:tcPr>
          <w:p w14:paraId="54481296" w14:textId="77777777" w:rsidR="008C5CFA" w:rsidRPr="00601E29" w:rsidRDefault="00E82A60" w:rsidP="00300A01">
            <w:pPr>
              <w:spacing w:before="0" w:after="0"/>
              <w:rPr>
                <w:sz w:val="10"/>
                <w:szCs w:val="10"/>
                <w:lang w:val="fr-BE"/>
              </w:rPr>
            </w:pPr>
            <w:r w:rsidRPr="00601E29">
              <w:rPr>
                <w:noProof/>
                <w:sz w:val="10"/>
                <w:szCs w:val="10"/>
                <w:lang w:val="fr-BE"/>
              </w:rPr>
              <w:t>Liczba nauczycieli, którzy uzyskali kwalifikacje lub nabyli kompetencje po opuszczeniu programu</w:t>
            </w:r>
          </w:p>
        </w:tc>
        <w:tc>
          <w:tcPr>
            <w:tcW w:w="0" w:type="auto"/>
            <w:shd w:val="clear" w:color="auto" w:fill="auto"/>
          </w:tcPr>
          <w:p w14:paraId="6BFDE5AC" w14:textId="77777777" w:rsidR="008C5CFA" w:rsidRPr="00601E29" w:rsidRDefault="00E82A60" w:rsidP="00300A01">
            <w:pPr>
              <w:spacing w:before="0" w:after="0"/>
              <w:rPr>
                <w:sz w:val="10"/>
                <w:szCs w:val="10"/>
                <w:lang w:val="fr-BE"/>
              </w:rPr>
            </w:pPr>
            <w:r w:rsidRPr="00601E29">
              <w:rPr>
                <w:noProof/>
                <w:sz w:val="10"/>
                <w:szCs w:val="10"/>
                <w:lang w:val="fr-BE"/>
              </w:rPr>
              <w:t>Słabiej rozwinięte</w:t>
            </w:r>
          </w:p>
        </w:tc>
        <w:tc>
          <w:tcPr>
            <w:tcW w:w="0" w:type="auto"/>
          </w:tcPr>
          <w:p w14:paraId="0660E7E1"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4EAC67E6"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471AAF22"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65BD7740"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3094D287"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585D5DAF"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10DFD7D9" w14:textId="77777777" w:rsidR="008C5CFA" w:rsidRPr="00601E29" w:rsidRDefault="008C5CFA" w:rsidP="00300A01">
            <w:pPr>
              <w:spacing w:before="0" w:after="0"/>
              <w:jc w:val="right"/>
              <w:rPr>
                <w:sz w:val="10"/>
                <w:szCs w:val="10"/>
                <w:lang w:val="fr-BE"/>
              </w:rPr>
            </w:pPr>
          </w:p>
        </w:tc>
      </w:tr>
      <w:tr w:rsidR="006B2EC1" w14:paraId="52A3A52D" w14:textId="77777777" w:rsidTr="0047688D">
        <w:tc>
          <w:tcPr>
            <w:tcW w:w="0" w:type="auto"/>
            <w:shd w:val="clear" w:color="auto" w:fill="auto"/>
          </w:tcPr>
          <w:p w14:paraId="19A1A2C6" w14:textId="77777777" w:rsidR="008C5CFA" w:rsidRPr="00601E29" w:rsidRDefault="00E82A60" w:rsidP="00300A01">
            <w:pPr>
              <w:spacing w:before="0" w:after="0"/>
              <w:rPr>
                <w:sz w:val="10"/>
                <w:szCs w:val="10"/>
                <w:lang w:val="fr-BE"/>
              </w:rPr>
            </w:pPr>
            <w:r w:rsidRPr="00601E29">
              <w:rPr>
                <w:noProof/>
                <w:sz w:val="10"/>
                <w:szCs w:val="10"/>
                <w:lang w:val="fr-BE"/>
              </w:rPr>
              <w:t>010</w:t>
            </w:r>
          </w:p>
        </w:tc>
        <w:tc>
          <w:tcPr>
            <w:tcW w:w="0" w:type="auto"/>
            <w:shd w:val="clear" w:color="auto" w:fill="auto"/>
          </w:tcPr>
          <w:p w14:paraId="68EE3D4D" w14:textId="77777777" w:rsidR="008C5CFA" w:rsidRPr="00601E29" w:rsidRDefault="00E82A60" w:rsidP="00300A01">
            <w:pPr>
              <w:spacing w:before="0" w:after="0"/>
              <w:rPr>
                <w:sz w:val="10"/>
                <w:szCs w:val="10"/>
                <w:lang w:val="fr-BE"/>
              </w:rPr>
            </w:pPr>
            <w:r w:rsidRPr="00601E29">
              <w:rPr>
                <w:noProof/>
                <w:sz w:val="10"/>
                <w:szCs w:val="10"/>
                <w:lang w:val="fr-BE"/>
              </w:rPr>
              <w:t>Liczba nauczycieli prowadzących zajęcia z wykorzystaniem TIK dzięki EFS</w:t>
            </w:r>
          </w:p>
        </w:tc>
        <w:tc>
          <w:tcPr>
            <w:tcW w:w="0" w:type="auto"/>
            <w:shd w:val="clear" w:color="auto" w:fill="auto"/>
          </w:tcPr>
          <w:p w14:paraId="16B295BB" w14:textId="77777777" w:rsidR="008C5CFA" w:rsidRPr="00601E29" w:rsidRDefault="00E82A60" w:rsidP="00300A01">
            <w:pPr>
              <w:spacing w:before="0" w:after="0"/>
              <w:rPr>
                <w:sz w:val="10"/>
                <w:szCs w:val="10"/>
                <w:lang w:val="fr-BE"/>
              </w:rPr>
            </w:pPr>
            <w:r w:rsidRPr="00601E29">
              <w:rPr>
                <w:noProof/>
                <w:sz w:val="10"/>
                <w:szCs w:val="10"/>
                <w:lang w:val="fr-BE"/>
              </w:rPr>
              <w:t>Słabiej rozwinięte</w:t>
            </w:r>
          </w:p>
        </w:tc>
        <w:tc>
          <w:tcPr>
            <w:tcW w:w="0" w:type="auto"/>
          </w:tcPr>
          <w:p w14:paraId="5C26E9D8"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5BE5E52D"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1D95C3CB"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1585116C"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2CFA2B6F"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14611AF1"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6C534C51" w14:textId="77777777" w:rsidR="008C5CFA" w:rsidRPr="00601E29" w:rsidRDefault="008C5CFA" w:rsidP="00300A01">
            <w:pPr>
              <w:spacing w:before="0" w:after="0"/>
              <w:jc w:val="right"/>
              <w:rPr>
                <w:sz w:val="10"/>
                <w:szCs w:val="10"/>
                <w:lang w:val="fr-BE"/>
              </w:rPr>
            </w:pPr>
          </w:p>
        </w:tc>
      </w:tr>
    </w:tbl>
    <w:p w14:paraId="6B04A2F6" w14:textId="77777777" w:rsidR="008C5CFA" w:rsidRPr="007C3A6B" w:rsidRDefault="008C5CFA" w:rsidP="00300A01">
      <w:pPr>
        <w:spacing w:before="0" w:after="0"/>
        <w:rPr>
          <w:lang w:val="fr-BE"/>
        </w:rPr>
      </w:pPr>
    </w:p>
    <w:p w14:paraId="2BEC9B9F" w14:textId="77777777" w:rsidR="008C5CFA" w:rsidRDefault="00E82A60" w:rsidP="00300A01">
      <w:pPr>
        <w:spacing w:before="0" w:after="0"/>
        <w:rPr>
          <w:lang w:val="fr-BE"/>
        </w:rPr>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4"/>
        <w:gridCol w:w="13530"/>
      </w:tblGrid>
      <w:tr w:rsidR="006B2EC1" w14:paraId="54E8D99A" w14:textId="77777777" w:rsidTr="0047688D">
        <w:tc>
          <w:tcPr>
            <w:tcW w:w="0" w:type="auto"/>
            <w:shd w:val="clear" w:color="auto" w:fill="auto"/>
          </w:tcPr>
          <w:p w14:paraId="2F1AFE1A" w14:textId="77777777" w:rsidR="008C5CFA" w:rsidRPr="002124FC" w:rsidRDefault="00E82A60" w:rsidP="00300A01">
            <w:pPr>
              <w:spacing w:before="0" w:after="0"/>
              <w:rPr>
                <w:sz w:val="20"/>
                <w:szCs w:val="20"/>
                <w:lang w:val="fr-BE"/>
              </w:rPr>
            </w:pPr>
            <w:r>
              <w:rPr>
                <w:lang w:val="fr-BE"/>
              </w:rPr>
              <w:lastRenderedPageBreak/>
              <w:br w:type="page"/>
            </w:r>
            <w:r>
              <w:rPr>
                <w:lang w:val="fr-BE"/>
              </w:rPr>
              <w:br w:type="page"/>
            </w:r>
            <w:r w:rsidRPr="002124FC">
              <w:rPr>
                <w:noProof/>
                <w:sz w:val="20"/>
                <w:szCs w:val="20"/>
                <w:lang w:val="fr-BE"/>
              </w:rPr>
              <w:t>Oś priorytetowa</w:t>
            </w:r>
          </w:p>
        </w:tc>
        <w:tc>
          <w:tcPr>
            <w:tcW w:w="0" w:type="auto"/>
            <w:shd w:val="clear" w:color="auto" w:fill="auto"/>
          </w:tcPr>
          <w:p w14:paraId="3992EF08" w14:textId="77777777" w:rsidR="008C5CFA" w:rsidRPr="002124FC" w:rsidRDefault="00E82A60" w:rsidP="00300A01">
            <w:pPr>
              <w:spacing w:before="0" w:after="0"/>
              <w:rPr>
                <w:sz w:val="20"/>
                <w:szCs w:val="20"/>
                <w:lang w:val="fr-BE"/>
              </w:rPr>
            </w:pPr>
            <w:r w:rsidRPr="002124FC">
              <w:rPr>
                <w:noProof/>
                <w:sz w:val="20"/>
                <w:szCs w:val="20"/>
                <w:lang w:val="fr-BE"/>
              </w:rPr>
              <w:t>8</w:t>
            </w:r>
            <w:r w:rsidRPr="002124FC">
              <w:rPr>
                <w:sz w:val="20"/>
                <w:szCs w:val="20"/>
                <w:lang w:val="fr-BE"/>
              </w:rPr>
              <w:t xml:space="preserve"> - </w:t>
            </w:r>
            <w:r w:rsidRPr="002124FC">
              <w:rPr>
                <w:noProof/>
                <w:sz w:val="20"/>
                <w:szCs w:val="20"/>
                <w:lang w:val="fr-BE"/>
              </w:rPr>
              <w:t>Rozwój edukacji i aktywne społeczeństwo</w:t>
            </w:r>
          </w:p>
        </w:tc>
      </w:tr>
      <w:tr w:rsidR="006B2EC1" w14:paraId="3D8221B4" w14:textId="77777777" w:rsidTr="0047688D">
        <w:tc>
          <w:tcPr>
            <w:tcW w:w="0" w:type="auto"/>
            <w:shd w:val="clear" w:color="auto" w:fill="auto"/>
          </w:tcPr>
          <w:p w14:paraId="03F0BEAB" w14:textId="77777777" w:rsidR="008C5CFA" w:rsidRPr="002124FC" w:rsidRDefault="00E82A60"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14:paraId="45CF51CE" w14:textId="77777777" w:rsidR="008C5CFA" w:rsidRPr="002124FC" w:rsidRDefault="00E82A60" w:rsidP="00300A01">
            <w:pPr>
              <w:spacing w:before="0" w:after="0"/>
              <w:rPr>
                <w:sz w:val="20"/>
                <w:szCs w:val="20"/>
                <w:lang w:val="fr-BE"/>
              </w:rPr>
            </w:pPr>
            <w:r w:rsidRPr="002124FC">
              <w:rPr>
                <w:noProof/>
                <w:sz w:val="20"/>
                <w:szCs w:val="20"/>
                <w:lang w:val="fr-BE"/>
              </w:rPr>
              <w:t>10i</w:t>
            </w:r>
            <w:r w:rsidRPr="002124FC">
              <w:rPr>
                <w:sz w:val="20"/>
                <w:szCs w:val="20"/>
                <w:lang w:val="fr-BE"/>
              </w:rPr>
              <w:t xml:space="preserve"> - </w:t>
            </w:r>
            <w:r w:rsidRPr="002124FC">
              <w:rPr>
                <w:noProof/>
                <w:sz w:val="20"/>
                <w:szCs w:val="20"/>
                <w:lang w:val="fr-BE"/>
              </w:rPr>
              <w:t>Ograniczenie i zapobieganie przedwczesnemu kończeniu nauki szkolnej oraz zapewnianie równego dostępu do dobrej jakości wczesnej edukacji elementarnej oraz kształcenia podstawowego, gimnazjalnego i ponadgimnazjalnego, z uwzględnieniem formalnych, nieformalnych i pozaformalnych ścieżek kształcenia umożliwiających ponowne podjęcie kształcenia i szkolenia</w:t>
            </w:r>
          </w:p>
        </w:tc>
      </w:tr>
    </w:tbl>
    <w:p w14:paraId="4453D660" w14:textId="77777777" w:rsidR="008C5CFA" w:rsidRDefault="008C5CFA" w:rsidP="00300A01">
      <w:pPr>
        <w:spacing w:before="0" w:after="0"/>
      </w:pPr>
    </w:p>
    <w:p w14:paraId="5F53EE80" w14:textId="77777777" w:rsidR="008C5CFA" w:rsidRPr="008E457C" w:rsidRDefault="00E82A60" w:rsidP="00300A01">
      <w:pPr>
        <w:pStyle w:val="Nagwek2"/>
        <w:spacing w:before="0" w:after="0"/>
        <w:rPr>
          <w:b w:val="0"/>
        </w:rPr>
      </w:pPr>
      <w:bookmarkStart w:id="57" w:name="_Toc46391741"/>
      <w:r w:rsidRPr="008E457C">
        <w:rPr>
          <w:b w:val="0"/>
          <w:noProof/>
          <w:lang w:val="fr-BE"/>
        </w:rPr>
        <w:t>Tabela 4A</w:t>
      </w:r>
      <w:r w:rsidRPr="008E457C">
        <w:rPr>
          <w:b w:val="0"/>
        </w:rPr>
        <w:t xml:space="preserve"> : </w:t>
      </w:r>
      <w:r w:rsidRPr="008E457C">
        <w:rPr>
          <w:b w:val="0"/>
          <w:noProof/>
          <w:lang w:val="fr-BE"/>
        </w:rPr>
        <w:t>Wspólne wskaźniki produktu dla EFS oraz Inicjatywy na rzecz zatrudnienia ludzi młodych</w:t>
      </w:r>
      <w:r w:rsidR="00A11A16">
        <w:rPr>
          <w:b w:val="0"/>
        </w:rPr>
        <w:t xml:space="preserve"> - </w:t>
      </w:r>
      <w:r w:rsidR="00A11A16" w:rsidRPr="002124FC">
        <w:rPr>
          <w:noProof/>
          <w:sz w:val="20"/>
          <w:szCs w:val="20"/>
          <w:lang w:val="fr-BE"/>
        </w:rPr>
        <w:t>8</w:t>
      </w:r>
      <w:r w:rsidR="00A11A16">
        <w:rPr>
          <w:sz w:val="20"/>
          <w:szCs w:val="20"/>
          <w:lang w:val="fr-BE"/>
        </w:rPr>
        <w:t xml:space="preserve"> / </w:t>
      </w:r>
      <w:r w:rsidR="00A11A16" w:rsidRPr="002124FC">
        <w:rPr>
          <w:noProof/>
          <w:sz w:val="20"/>
          <w:szCs w:val="20"/>
          <w:lang w:val="fr-BE"/>
        </w:rPr>
        <w:t>10i</w:t>
      </w:r>
      <w:bookmarkEnd w:id="57"/>
    </w:p>
    <w:p w14:paraId="31F1853C" w14:textId="77777777" w:rsidR="008C5CFA" w:rsidRDefault="008C5CFA" w:rsidP="00300A01">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01"/>
        <w:gridCol w:w="6857"/>
        <w:gridCol w:w="1017"/>
        <w:gridCol w:w="514"/>
        <w:gridCol w:w="654"/>
        <w:gridCol w:w="521"/>
        <w:gridCol w:w="594"/>
        <w:gridCol w:w="654"/>
        <w:gridCol w:w="594"/>
        <w:gridCol w:w="514"/>
        <w:gridCol w:w="654"/>
        <w:gridCol w:w="521"/>
        <w:gridCol w:w="514"/>
        <w:gridCol w:w="654"/>
        <w:gridCol w:w="521"/>
      </w:tblGrid>
      <w:tr w:rsidR="006B2EC1" w14:paraId="5029167C" w14:textId="77777777" w:rsidTr="0047688D">
        <w:trPr>
          <w:cantSplit/>
          <w:tblHeader/>
        </w:trPr>
        <w:tc>
          <w:tcPr>
            <w:tcW w:w="0" w:type="auto"/>
            <w:shd w:val="clear" w:color="auto" w:fill="auto"/>
          </w:tcPr>
          <w:p w14:paraId="19911562" w14:textId="77777777" w:rsidR="008C5CFA" w:rsidRPr="00F53019" w:rsidRDefault="00E82A60" w:rsidP="00300A01">
            <w:pPr>
              <w:spacing w:before="0" w:after="0"/>
              <w:rPr>
                <w:b/>
                <w:sz w:val="12"/>
                <w:szCs w:val="12"/>
                <w:lang w:val="fr-BE"/>
              </w:rPr>
            </w:pPr>
            <w:r w:rsidRPr="00F53019">
              <w:rPr>
                <w:b/>
                <w:noProof/>
                <w:sz w:val="12"/>
                <w:szCs w:val="12"/>
                <w:lang w:val="fr-BE"/>
              </w:rPr>
              <w:t>ID</w:t>
            </w:r>
          </w:p>
        </w:tc>
        <w:tc>
          <w:tcPr>
            <w:tcW w:w="0" w:type="auto"/>
            <w:shd w:val="clear" w:color="auto" w:fill="auto"/>
          </w:tcPr>
          <w:p w14:paraId="6DEE081F" w14:textId="77777777" w:rsidR="008C5CFA" w:rsidRPr="00F53019" w:rsidRDefault="00E82A60" w:rsidP="00300A01">
            <w:pPr>
              <w:spacing w:before="0" w:after="0"/>
              <w:rPr>
                <w:b/>
                <w:sz w:val="12"/>
                <w:szCs w:val="12"/>
                <w:lang w:val="fr-BE"/>
              </w:rPr>
            </w:pPr>
            <w:r w:rsidRPr="00F53019">
              <w:rPr>
                <w:b/>
                <w:noProof/>
                <w:sz w:val="12"/>
                <w:szCs w:val="12"/>
                <w:lang w:val="fr-BE"/>
              </w:rPr>
              <w:t>Wskaźnik</w:t>
            </w:r>
          </w:p>
        </w:tc>
        <w:tc>
          <w:tcPr>
            <w:tcW w:w="0" w:type="auto"/>
            <w:shd w:val="clear" w:color="auto" w:fill="auto"/>
          </w:tcPr>
          <w:p w14:paraId="5FBA7DF4" w14:textId="77777777" w:rsidR="008C5CFA" w:rsidRPr="00F53019" w:rsidRDefault="00E82A60" w:rsidP="00300A01">
            <w:pPr>
              <w:spacing w:before="0" w:after="0"/>
              <w:rPr>
                <w:b/>
                <w:sz w:val="12"/>
                <w:szCs w:val="12"/>
                <w:lang w:val="fr-BE"/>
              </w:rPr>
            </w:pPr>
            <w:r w:rsidRPr="00F53019">
              <w:rPr>
                <w:b/>
                <w:noProof/>
                <w:sz w:val="12"/>
                <w:szCs w:val="12"/>
                <w:lang w:val="fr-BE"/>
              </w:rPr>
              <w:t>Kategoria regionu</w:t>
            </w:r>
          </w:p>
        </w:tc>
        <w:tc>
          <w:tcPr>
            <w:tcW w:w="0" w:type="auto"/>
            <w:gridSpan w:val="3"/>
            <w:shd w:val="clear" w:color="auto" w:fill="auto"/>
          </w:tcPr>
          <w:p w14:paraId="107EDAAD" w14:textId="77777777" w:rsidR="008C5CFA" w:rsidRPr="00F53019" w:rsidRDefault="00E82A60" w:rsidP="00300A01">
            <w:pPr>
              <w:spacing w:before="0" w:after="0"/>
              <w:jc w:val="center"/>
              <w:rPr>
                <w:b/>
                <w:sz w:val="12"/>
                <w:szCs w:val="12"/>
                <w:lang w:val="fr-BE"/>
              </w:rPr>
            </w:pPr>
            <w:r w:rsidRPr="00F53019">
              <w:rPr>
                <w:b/>
                <w:noProof/>
                <w:sz w:val="12"/>
                <w:szCs w:val="12"/>
                <w:lang w:val="fr-BE"/>
              </w:rPr>
              <w:t>Wartość docelowa (2023)</w:t>
            </w:r>
          </w:p>
        </w:tc>
        <w:tc>
          <w:tcPr>
            <w:tcW w:w="0" w:type="auto"/>
            <w:gridSpan w:val="3"/>
            <w:shd w:val="clear" w:color="auto" w:fill="auto"/>
          </w:tcPr>
          <w:p w14:paraId="6D97DAF0" w14:textId="77777777" w:rsidR="008C5CFA" w:rsidRPr="00F53019" w:rsidRDefault="00E82A60" w:rsidP="00300A01">
            <w:pPr>
              <w:spacing w:before="0" w:after="0"/>
              <w:jc w:val="center"/>
              <w:rPr>
                <w:b/>
                <w:sz w:val="12"/>
                <w:szCs w:val="12"/>
                <w:lang w:val="fr-BE"/>
              </w:rPr>
            </w:pPr>
            <w:r w:rsidRPr="00F53019">
              <w:rPr>
                <w:b/>
                <w:noProof/>
                <w:sz w:val="12"/>
                <w:szCs w:val="12"/>
                <w:lang w:val="fr-BE"/>
              </w:rPr>
              <w:t>Wartość skumulowana</w:t>
            </w:r>
          </w:p>
        </w:tc>
        <w:tc>
          <w:tcPr>
            <w:tcW w:w="0" w:type="auto"/>
            <w:gridSpan w:val="3"/>
            <w:shd w:val="clear" w:color="auto" w:fill="auto"/>
          </w:tcPr>
          <w:p w14:paraId="75B71CF3" w14:textId="77777777" w:rsidR="008C5CFA" w:rsidRPr="00F53019" w:rsidRDefault="00E82A60" w:rsidP="00300A01">
            <w:pPr>
              <w:spacing w:before="0" w:after="0"/>
              <w:jc w:val="center"/>
              <w:rPr>
                <w:b/>
                <w:sz w:val="12"/>
                <w:szCs w:val="12"/>
                <w:lang w:val="fr-BE"/>
              </w:rPr>
            </w:pPr>
            <w:r w:rsidRPr="00F53019">
              <w:rPr>
                <w:b/>
                <w:noProof/>
                <w:sz w:val="12"/>
                <w:szCs w:val="12"/>
                <w:lang w:val="fr-BE"/>
              </w:rPr>
              <w:t>Wskaźnik osiągnięć</w:t>
            </w:r>
          </w:p>
        </w:tc>
        <w:tc>
          <w:tcPr>
            <w:tcW w:w="0" w:type="auto"/>
            <w:gridSpan w:val="3"/>
          </w:tcPr>
          <w:p w14:paraId="0CDE888C" w14:textId="77777777" w:rsidR="008C5CFA" w:rsidRPr="00F53019" w:rsidRDefault="0047688D" w:rsidP="00300A01">
            <w:pPr>
              <w:spacing w:before="0" w:after="0"/>
              <w:jc w:val="center"/>
              <w:rPr>
                <w:b/>
                <w:sz w:val="12"/>
                <w:szCs w:val="12"/>
                <w:lang w:val="fr-BE"/>
              </w:rPr>
            </w:pPr>
            <w:r w:rsidRPr="008C2BD7">
              <w:rPr>
                <w:noProof/>
                <w:sz w:val="12"/>
                <w:szCs w:val="12"/>
              </w:rPr>
              <w:t>2019</w:t>
            </w:r>
          </w:p>
        </w:tc>
      </w:tr>
      <w:tr w:rsidR="006B2EC1" w14:paraId="4C802E10" w14:textId="77777777" w:rsidTr="0047688D">
        <w:trPr>
          <w:cantSplit/>
          <w:tblHeader/>
        </w:trPr>
        <w:tc>
          <w:tcPr>
            <w:tcW w:w="0" w:type="auto"/>
            <w:shd w:val="clear" w:color="auto" w:fill="auto"/>
          </w:tcPr>
          <w:p w14:paraId="535072A8" w14:textId="77777777" w:rsidR="008C5CFA" w:rsidRPr="00F53019" w:rsidRDefault="008C5CFA" w:rsidP="00300A01">
            <w:pPr>
              <w:spacing w:before="0" w:after="0"/>
              <w:rPr>
                <w:b/>
                <w:sz w:val="12"/>
                <w:szCs w:val="12"/>
                <w:lang w:val="fr-BE"/>
              </w:rPr>
            </w:pPr>
          </w:p>
        </w:tc>
        <w:tc>
          <w:tcPr>
            <w:tcW w:w="0" w:type="auto"/>
            <w:shd w:val="clear" w:color="auto" w:fill="auto"/>
          </w:tcPr>
          <w:p w14:paraId="504B682E" w14:textId="77777777" w:rsidR="008C5CFA" w:rsidRPr="00F53019" w:rsidRDefault="008C5CFA" w:rsidP="00300A01">
            <w:pPr>
              <w:spacing w:before="0" w:after="0"/>
              <w:rPr>
                <w:b/>
                <w:sz w:val="12"/>
                <w:szCs w:val="12"/>
                <w:lang w:val="fr-BE"/>
              </w:rPr>
            </w:pPr>
          </w:p>
        </w:tc>
        <w:tc>
          <w:tcPr>
            <w:tcW w:w="0" w:type="auto"/>
            <w:shd w:val="clear" w:color="auto" w:fill="auto"/>
          </w:tcPr>
          <w:p w14:paraId="77E87BAF" w14:textId="77777777" w:rsidR="008C5CFA" w:rsidRPr="00F53019" w:rsidRDefault="008C5CFA" w:rsidP="00300A01">
            <w:pPr>
              <w:spacing w:before="0" w:after="0"/>
              <w:rPr>
                <w:b/>
                <w:sz w:val="12"/>
                <w:szCs w:val="12"/>
                <w:lang w:val="fr-BE"/>
              </w:rPr>
            </w:pPr>
          </w:p>
        </w:tc>
        <w:tc>
          <w:tcPr>
            <w:tcW w:w="0" w:type="auto"/>
            <w:shd w:val="clear" w:color="auto" w:fill="auto"/>
          </w:tcPr>
          <w:p w14:paraId="2CDDD3A6" w14:textId="77777777" w:rsidR="008C5CFA" w:rsidRPr="00F53019" w:rsidRDefault="00E82A60" w:rsidP="00300A01">
            <w:pPr>
              <w:spacing w:before="0" w:after="0"/>
              <w:jc w:val="center"/>
              <w:rPr>
                <w:b/>
                <w:sz w:val="12"/>
                <w:szCs w:val="12"/>
                <w:lang w:val="fr-BE"/>
              </w:rPr>
            </w:pPr>
            <w:r w:rsidRPr="00F53019">
              <w:rPr>
                <w:b/>
                <w:noProof/>
                <w:sz w:val="12"/>
                <w:szCs w:val="12"/>
                <w:lang w:val="fr-BE"/>
              </w:rPr>
              <w:t>Ogółem</w:t>
            </w:r>
          </w:p>
        </w:tc>
        <w:tc>
          <w:tcPr>
            <w:tcW w:w="0" w:type="auto"/>
            <w:shd w:val="clear" w:color="auto" w:fill="auto"/>
          </w:tcPr>
          <w:p w14:paraId="550D5082" w14:textId="77777777" w:rsidR="008C5CFA" w:rsidRPr="00F53019" w:rsidRDefault="00E82A60"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14:paraId="7AD676D2" w14:textId="77777777" w:rsidR="008C5CFA" w:rsidRPr="00F53019" w:rsidRDefault="00E82A60" w:rsidP="00300A01">
            <w:pPr>
              <w:spacing w:before="0" w:after="0"/>
              <w:jc w:val="center"/>
              <w:rPr>
                <w:b/>
                <w:sz w:val="12"/>
                <w:szCs w:val="12"/>
                <w:lang w:val="fr-BE"/>
              </w:rPr>
            </w:pPr>
            <w:r w:rsidRPr="00F53019">
              <w:rPr>
                <w:b/>
                <w:noProof/>
                <w:sz w:val="12"/>
                <w:szCs w:val="12"/>
                <w:lang w:val="fr-BE"/>
              </w:rPr>
              <w:t>Kobiety</w:t>
            </w:r>
          </w:p>
        </w:tc>
        <w:tc>
          <w:tcPr>
            <w:tcW w:w="0" w:type="auto"/>
            <w:shd w:val="clear" w:color="auto" w:fill="auto"/>
          </w:tcPr>
          <w:p w14:paraId="10995033" w14:textId="77777777" w:rsidR="008C5CFA" w:rsidRPr="00F53019" w:rsidRDefault="00E82A60" w:rsidP="00300A01">
            <w:pPr>
              <w:spacing w:before="0" w:after="0"/>
              <w:jc w:val="center"/>
              <w:rPr>
                <w:b/>
                <w:sz w:val="12"/>
                <w:szCs w:val="12"/>
                <w:lang w:val="fr-BE"/>
              </w:rPr>
            </w:pPr>
            <w:r w:rsidRPr="00F53019">
              <w:rPr>
                <w:b/>
                <w:noProof/>
                <w:sz w:val="12"/>
                <w:szCs w:val="12"/>
                <w:lang w:val="fr-BE"/>
              </w:rPr>
              <w:t>Ogółem</w:t>
            </w:r>
          </w:p>
        </w:tc>
        <w:tc>
          <w:tcPr>
            <w:tcW w:w="0" w:type="auto"/>
            <w:shd w:val="clear" w:color="auto" w:fill="auto"/>
          </w:tcPr>
          <w:p w14:paraId="64A67C62" w14:textId="77777777" w:rsidR="008C5CFA" w:rsidRPr="00F53019" w:rsidRDefault="00E82A60"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14:paraId="61FE9CDB" w14:textId="77777777" w:rsidR="008C5CFA" w:rsidRPr="00F53019" w:rsidRDefault="00E82A60" w:rsidP="00300A01">
            <w:pPr>
              <w:spacing w:before="0" w:after="0"/>
              <w:jc w:val="center"/>
              <w:rPr>
                <w:b/>
                <w:sz w:val="12"/>
                <w:szCs w:val="12"/>
                <w:lang w:val="fr-BE"/>
              </w:rPr>
            </w:pPr>
            <w:r w:rsidRPr="00F53019">
              <w:rPr>
                <w:b/>
                <w:noProof/>
                <w:sz w:val="12"/>
                <w:szCs w:val="12"/>
                <w:lang w:val="fr-BE"/>
              </w:rPr>
              <w:t>Kobiety</w:t>
            </w:r>
          </w:p>
        </w:tc>
        <w:tc>
          <w:tcPr>
            <w:tcW w:w="0" w:type="auto"/>
            <w:shd w:val="clear" w:color="auto" w:fill="auto"/>
          </w:tcPr>
          <w:p w14:paraId="7FD474EA" w14:textId="77777777" w:rsidR="008C5CFA" w:rsidRPr="00F53019" w:rsidRDefault="00E82A60" w:rsidP="00300A01">
            <w:pPr>
              <w:spacing w:before="0" w:after="0"/>
              <w:jc w:val="center"/>
              <w:rPr>
                <w:b/>
                <w:sz w:val="12"/>
                <w:szCs w:val="12"/>
                <w:lang w:val="fr-BE"/>
              </w:rPr>
            </w:pPr>
            <w:r w:rsidRPr="00F53019">
              <w:rPr>
                <w:b/>
                <w:noProof/>
                <w:sz w:val="12"/>
                <w:szCs w:val="12"/>
                <w:lang w:val="fr-BE"/>
              </w:rPr>
              <w:t>Ogółem</w:t>
            </w:r>
          </w:p>
        </w:tc>
        <w:tc>
          <w:tcPr>
            <w:tcW w:w="0" w:type="auto"/>
            <w:shd w:val="clear" w:color="auto" w:fill="auto"/>
          </w:tcPr>
          <w:p w14:paraId="149642C6" w14:textId="77777777" w:rsidR="008C5CFA" w:rsidRPr="00F53019" w:rsidRDefault="00E82A60"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14:paraId="638C72E1" w14:textId="77777777" w:rsidR="008C5CFA" w:rsidRPr="00F53019" w:rsidRDefault="00E82A60" w:rsidP="00300A01">
            <w:pPr>
              <w:spacing w:before="0" w:after="0"/>
              <w:jc w:val="center"/>
              <w:rPr>
                <w:b/>
                <w:sz w:val="12"/>
                <w:szCs w:val="12"/>
                <w:lang w:val="fr-BE"/>
              </w:rPr>
            </w:pPr>
            <w:r w:rsidRPr="00F53019">
              <w:rPr>
                <w:b/>
                <w:noProof/>
                <w:sz w:val="12"/>
                <w:szCs w:val="12"/>
                <w:lang w:val="fr-BE"/>
              </w:rPr>
              <w:t>Kobiety</w:t>
            </w:r>
          </w:p>
        </w:tc>
        <w:tc>
          <w:tcPr>
            <w:tcW w:w="0" w:type="auto"/>
          </w:tcPr>
          <w:p w14:paraId="1E20107C" w14:textId="77777777" w:rsidR="008C5CFA" w:rsidRPr="00F53019" w:rsidRDefault="00E82A60" w:rsidP="00300A01">
            <w:pPr>
              <w:spacing w:before="0" w:after="0"/>
              <w:jc w:val="center"/>
              <w:rPr>
                <w:b/>
                <w:sz w:val="12"/>
                <w:szCs w:val="12"/>
                <w:lang w:val="fr-BE"/>
              </w:rPr>
            </w:pPr>
            <w:r w:rsidRPr="00F53019">
              <w:rPr>
                <w:b/>
                <w:noProof/>
                <w:sz w:val="12"/>
                <w:szCs w:val="12"/>
                <w:lang w:val="fr-BE"/>
              </w:rPr>
              <w:t>Ogółem</w:t>
            </w:r>
          </w:p>
        </w:tc>
        <w:tc>
          <w:tcPr>
            <w:tcW w:w="0" w:type="auto"/>
            <w:shd w:val="clear" w:color="auto" w:fill="auto"/>
          </w:tcPr>
          <w:p w14:paraId="4F252A5B" w14:textId="77777777" w:rsidR="008C5CFA" w:rsidRPr="00F53019" w:rsidRDefault="00E82A60"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14:paraId="5FD6BF92" w14:textId="77777777" w:rsidR="008C5CFA" w:rsidRPr="00F53019" w:rsidRDefault="00E82A60" w:rsidP="00300A01">
            <w:pPr>
              <w:spacing w:before="0" w:after="0"/>
              <w:jc w:val="center"/>
              <w:rPr>
                <w:b/>
                <w:sz w:val="12"/>
                <w:szCs w:val="12"/>
                <w:lang w:val="fr-BE"/>
              </w:rPr>
            </w:pPr>
            <w:r w:rsidRPr="00F53019">
              <w:rPr>
                <w:b/>
                <w:noProof/>
                <w:sz w:val="12"/>
                <w:szCs w:val="12"/>
                <w:lang w:val="fr-BE"/>
              </w:rPr>
              <w:t>Kobiety</w:t>
            </w:r>
          </w:p>
        </w:tc>
      </w:tr>
      <w:tr w:rsidR="006B2EC1" w14:paraId="53729B09" w14:textId="77777777" w:rsidTr="0047688D">
        <w:tc>
          <w:tcPr>
            <w:tcW w:w="0" w:type="auto"/>
            <w:shd w:val="clear" w:color="auto" w:fill="auto"/>
          </w:tcPr>
          <w:p w14:paraId="6C73F679" w14:textId="77777777" w:rsidR="008C5CFA" w:rsidRPr="00BA47B4" w:rsidRDefault="00E82A60" w:rsidP="00300A01">
            <w:pPr>
              <w:spacing w:before="0" w:after="0"/>
              <w:rPr>
                <w:sz w:val="12"/>
                <w:szCs w:val="12"/>
                <w:lang w:val="fr-BE"/>
              </w:rPr>
            </w:pPr>
            <w:r>
              <w:rPr>
                <w:noProof/>
                <w:sz w:val="12"/>
                <w:szCs w:val="12"/>
                <w:lang w:val="fr-BE"/>
              </w:rPr>
              <w:t>CO01</w:t>
            </w:r>
          </w:p>
        </w:tc>
        <w:tc>
          <w:tcPr>
            <w:tcW w:w="0" w:type="auto"/>
            <w:shd w:val="clear" w:color="auto" w:fill="auto"/>
          </w:tcPr>
          <w:p w14:paraId="37C377EB" w14:textId="77777777" w:rsidR="008C5CFA" w:rsidRPr="00BA47B4" w:rsidRDefault="00E82A60" w:rsidP="00300A01">
            <w:pPr>
              <w:spacing w:before="0" w:after="0"/>
              <w:rPr>
                <w:sz w:val="12"/>
                <w:szCs w:val="12"/>
                <w:lang w:val="fr-BE"/>
              </w:rPr>
            </w:pPr>
            <w:r>
              <w:rPr>
                <w:noProof/>
                <w:sz w:val="12"/>
                <w:szCs w:val="12"/>
                <w:lang w:val="fr-BE"/>
              </w:rPr>
              <w:t>bezrobotni, w tym długotrwale bezrobotni</w:t>
            </w:r>
          </w:p>
        </w:tc>
        <w:tc>
          <w:tcPr>
            <w:tcW w:w="0" w:type="auto"/>
            <w:shd w:val="clear" w:color="auto" w:fill="auto"/>
          </w:tcPr>
          <w:p w14:paraId="60DC44DE" w14:textId="77777777" w:rsidR="008C5CFA" w:rsidRPr="00BA47B4" w:rsidRDefault="00E82A60"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14:paraId="7D4AD1F6" w14:textId="77777777" w:rsidR="008C5CFA" w:rsidRPr="00BA47B4" w:rsidRDefault="008C5CFA" w:rsidP="00300A01">
            <w:pPr>
              <w:spacing w:before="0" w:after="0"/>
              <w:jc w:val="right"/>
              <w:rPr>
                <w:sz w:val="12"/>
                <w:szCs w:val="12"/>
                <w:lang w:val="fr-BE"/>
              </w:rPr>
            </w:pPr>
          </w:p>
        </w:tc>
        <w:tc>
          <w:tcPr>
            <w:tcW w:w="0" w:type="auto"/>
            <w:shd w:val="clear" w:color="auto" w:fill="auto"/>
          </w:tcPr>
          <w:p w14:paraId="3A65B7FD" w14:textId="77777777" w:rsidR="008C5CFA" w:rsidRPr="00BA47B4" w:rsidRDefault="008C5CFA" w:rsidP="00300A01">
            <w:pPr>
              <w:spacing w:before="0" w:after="0"/>
              <w:jc w:val="right"/>
              <w:rPr>
                <w:sz w:val="12"/>
                <w:szCs w:val="12"/>
                <w:lang w:val="fr-BE"/>
              </w:rPr>
            </w:pPr>
          </w:p>
        </w:tc>
        <w:tc>
          <w:tcPr>
            <w:tcW w:w="0" w:type="auto"/>
            <w:shd w:val="clear" w:color="auto" w:fill="auto"/>
          </w:tcPr>
          <w:p w14:paraId="6B5034DB" w14:textId="77777777" w:rsidR="008C5CFA" w:rsidRPr="00BA47B4" w:rsidRDefault="008C5CFA" w:rsidP="00300A01">
            <w:pPr>
              <w:spacing w:before="0" w:after="0"/>
              <w:jc w:val="right"/>
              <w:rPr>
                <w:sz w:val="12"/>
                <w:szCs w:val="12"/>
                <w:lang w:val="fr-BE"/>
              </w:rPr>
            </w:pPr>
          </w:p>
        </w:tc>
        <w:tc>
          <w:tcPr>
            <w:tcW w:w="0" w:type="auto"/>
            <w:shd w:val="clear" w:color="auto" w:fill="auto"/>
          </w:tcPr>
          <w:p w14:paraId="7F08AE7D"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0B1AF836"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24B0DA67"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2FB77065" w14:textId="77777777" w:rsidR="008C5CFA" w:rsidRPr="00BA47B4" w:rsidRDefault="008C5CFA" w:rsidP="00300A01">
            <w:pPr>
              <w:spacing w:before="0" w:after="0"/>
              <w:jc w:val="right"/>
              <w:rPr>
                <w:sz w:val="12"/>
                <w:szCs w:val="12"/>
                <w:lang w:val="fr-BE"/>
              </w:rPr>
            </w:pPr>
          </w:p>
        </w:tc>
        <w:tc>
          <w:tcPr>
            <w:tcW w:w="0" w:type="auto"/>
            <w:shd w:val="clear" w:color="auto" w:fill="auto"/>
          </w:tcPr>
          <w:p w14:paraId="2B5F9767" w14:textId="77777777" w:rsidR="008C5CFA" w:rsidRPr="00BA47B4" w:rsidRDefault="008C5CFA" w:rsidP="00300A01">
            <w:pPr>
              <w:spacing w:before="0" w:after="0"/>
              <w:jc w:val="right"/>
              <w:rPr>
                <w:sz w:val="12"/>
                <w:szCs w:val="12"/>
                <w:lang w:val="fr-BE"/>
              </w:rPr>
            </w:pPr>
          </w:p>
        </w:tc>
        <w:tc>
          <w:tcPr>
            <w:tcW w:w="0" w:type="auto"/>
            <w:shd w:val="clear" w:color="auto" w:fill="auto"/>
          </w:tcPr>
          <w:p w14:paraId="0D40138D" w14:textId="77777777" w:rsidR="008C5CFA" w:rsidRPr="00BA47B4" w:rsidRDefault="008C5CFA" w:rsidP="00300A01">
            <w:pPr>
              <w:spacing w:before="0" w:after="0"/>
              <w:jc w:val="right"/>
              <w:rPr>
                <w:sz w:val="12"/>
                <w:szCs w:val="12"/>
                <w:lang w:val="fr-BE"/>
              </w:rPr>
            </w:pPr>
          </w:p>
        </w:tc>
        <w:tc>
          <w:tcPr>
            <w:tcW w:w="0" w:type="auto"/>
          </w:tcPr>
          <w:p w14:paraId="6E3AC67C"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14:paraId="5FDD8113"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14:paraId="4FADA3D2" w14:textId="77777777" w:rsidR="008C5CFA" w:rsidRPr="00BA47B4" w:rsidRDefault="00E82A60" w:rsidP="00300A01">
            <w:pPr>
              <w:spacing w:before="0" w:after="0"/>
              <w:jc w:val="right"/>
              <w:rPr>
                <w:sz w:val="12"/>
                <w:szCs w:val="12"/>
                <w:lang w:val="fr-BE"/>
              </w:rPr>
            </w:pPr>
            <w:r w:rsidRPr="00A92B39">
              <w:rPr>
                <w:noProof/>
                <w:sz w:val="10"/>
                <w:szCs w:val="10"/>
                <w:lang w:val="fr-BE"/>
              </w:rPr>
              <w:t>0,00</w:t>
            </w:r>
          </w:p>
        </w:tc>
      </w:tr>
      <w:tr w:rsidR="006B2EC1" w14:paraId="700C66D6" w14:textId="77777777" w:rsidTr="0047688D">
        <w:tc>
          <w:tcPr>
            <w:tcW w:w="0" w:type="auto"/>
            <w:shd w:val="clear" w:color="auto" w:fill="auto"/>
          </w:tcPr>
          <w:p w14:paraId="6EB289C0" w14:textId="77777777" w:rsidR="008C5CFA" w:rsidRPr="00BA47B4" w:rsidRDefault="00E82A60" w:rsidP="00300A01">
            <w:pPr>
              <w:spacing w:before="0" w:after="0"/>
              <w:rPr>
                <w:sz w:val="12"/>
                <w:szCs w:val="12"/>
                <w:lang w:val="fr-BE"/>
              </w:rPr>
            </w:pPr>
            <w:r>
              <w:rPr>
                <w:noProof/>
                <w:sz w:val="12"/>
                <w:szCs w:val="12"/>
                <w:lang w:val="fr-BE"/>
              </w:rPr>
              <w:t>CO02</w:t>
            </w:r>
          </w:p>
        </w:tc>
        <w:tc>
          <w:tcPr>
            <w:tcW w:w="0" w:type="auto"/>
            <w:shd w:val="clear" w:color="auto" w:fill="auto"/>
          </w:tcPr>
          <w:p w14:paraId="525B70A7" w14:textId="77777777" w:rsidR="008C5CFA" w:rsidRPr="00BA47B4" w:rsidRDefault="00E82A60" w:rsidP="00300A01">
            <w:pPr>
              <w:spacing w:before="0" w:after="0"/>
              <w:rPr>
                <w:sz w:val="12"/>
                <w:szCs w:val="12"/>
                <w:lang w:val="fr-BE"/>
              </w:rPr>
            </w:pPr>
            <w:r>
              <w:rPr>
                <w:noProof/>
                <w:sz w:val="12"/>
                <w:szCs w:val="12"/>
                <w:lang w:val="fr-BE"/>
              </w:rPr>
              <w:t>długotrwale bezrobotni</w:t>
            </w:r>
          </w:p>
        </w:tc>
        <w:tc>
          <w:tcPr>
            <w:tcW w:w="0" w:type="auto"/>
            <w:shd w:val="clear" w:color="auto" w:fill="auto"/>
          </w:tcPr>
          <w:p w14:paraId="18FD91B5" w14:textId="77777777" w:rsidR="008C5CFA" w:rsidRPr="00BA47B4" w:rsidRDefault="00E82A60"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14:paraId="52CB9AD4" w14:textId="77777777" w:rsidR="008C5CFA" w:rsidRPr="00BA47B4" w:rsidRDefault="008C5CFA" w:rsidP="00300A01">
            <w:pPr>
              <w:spacing w:before="0" w:after="0"/>
              <w:jc w:val="right"/>
              <w:rPr>
                <w:sz w:val="12"/>
                <w:szCs w:val="12"/>
                <w:lang w:val="fr-BE"/>
              </w:rPr>
            </w:pPr>
          </w:p>
        </w:tc>
        <w:tc>
          <w:tcPr>
            <w:tcW w:w="0" w:type="auto"/>
            <w:shd w:val="clear" w:color="auto" w:fill="auto"/>
          </w:tcPr>
          <w:p w14:paraId="67FF9B31" w14:textId="77777777" w:rsidR="008C5CFA" w:rsidRPr="00BA47B4" w:rsidRDefault="008C5CFA" w:rsidP="00300A01">
            <w:pPr>
              <w:spacing w:before="0" w:after="0"/>
              <w:jc w:val="right"/>
              <w:rPr>
                <w:sz w:val="12"/>
                <w:szCs w:val="12"/>
                <w:lang w:val="fr-BE"/>
              </w:rPr>
            </w:pPr>
          </w:p>
        </w:tc>
        <w:tc>
          <w:tcPr>
            <w:tcW w:w="0" w:type="auto"/>
            <w:shd w:val="clear" w:color="auto" w:fill="auto"/>
          </w:tcPr>
          <w:p w14:paraId="53F1A162" w14:textId="77777777" w:rsidR="008C5CFA" w:rsidRPr="00BA47B4" w:rsidRDefault="008C5CFA" w:rsidP="00300A01">
            <w:pPr>
              <w:spacing w:before="0" w:after="0"/>
              <w:jc w:val="right"/>
              <w:rPr>
                <w:sz w:val="12"/>
                <w:szCs w:val="12"/>
                <w:lang w:val="fr-BE"/>
              </w:rPr>
            </w:pPr>
          </w:p>
        </w:tc>
        <w:tc>
          <w:tcPr>
            <w:tcW w:w="0" w:type="auto"/>
            <w:shd w:val="clear" w:color="auto" w:fill="auto"/>
          </w:tcPr>
          <w:p w14:paraId="77C90CBB"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76FA63DB"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7ED5C78F"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6A55B4A7" w14:textId="77777777" w:rsidR="008C5CFA" w:rsidRPr="00BA47B4" w:rsidRDefault="008C5CFA" w:rsidP="00300A01">
            <w:pPr>
              <w:spacing w:before="0" w:after="0"/>
              <w:jc w:val="right"/>
              <w:rPr>
                <w:sz w:val="12"/>
                <w:szCs w:val="12"/>
                <w:lang w:val="fr-BE"/>
              </w:rPr>
            </w:pPr>
          </w:p>
        </w:tc>
        <w:tc>
          <w:tcPr>
            <w:tcW w:w="0" w:type="auto"/>
            <w:shd w:val="clear" w:color="auto" w:fill="auto"/>
          </w:tcPr>
          <w:p w14:paraId="750066AC" w14:textId="77777777" w:rsidR="008C5CFA" w:rsidRPr="00BA47B4" w:rsidRDefault="008C5CFA" w:rsidP="00300A01">
            <w:pPr>
              <w:spacing w:before="0" w:after="0"/>
              <w:jc w:val="right"/>
              <w:rPr>
                <w:sz w:val="12"/>
                <w:szCs w:val="12"/>
                <w:lang w:val="fr-BE"/>
              </w:rPr>
            </w:pPr>
          </w:p>
        </w:tc>
        <w:tc>
          <w:tcPr>
            <w:tcW w:w="0" w:type="auto"/>
            <w:shd w:val="clear" w:color="auto" w:fill="auto"/>
          </w:tcPr>
          <w:p w14:paraId="2B6FC5ED" w14:textId="77777777" w:rsidR="008C5CFA" w:rsidRPr="00BA47B4" w:rsidRDefault="008C5CFA" w:rsidP="00300A01">
            <w:pPr>
              <w:spacing w:before="0" w:after="0"/>
              <w:jc w:val="right"/>
              <w:rPr>
                <w:sz w:val="12"/>
                <w:szCs w:val="12"/>
                <w:lang w:val="fr-BE"/>
              </w:rPr>
            </w:pPr>
          </w:p>
        </w:tc>
        <w:tc>
          <w:tcPr>
            <w:tcW w:w="0" w:type="auto"/>
          </w:tcPr>
          <w:p w14:paraId="7A08EF3C"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14:paraId="43CEBE58"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14:paraId="6D68FF05" w14:textId="77777777" w:rsidR="008C5CFA" w:rsidRPr="00BA47B4" w:rsidRDefault="00E82A60" w:rsidP="00300A01">
            <w:pPr>
              <w:spacing w:before="0" w:after="0"/>
              <w:jc w:val="right"/>
              <w:rPr>
                <w:sz w:val="12"/>
                <w:szCs w:val="12"/>
                <w:lang w:val="fr-BE"/>
              </w:rPr>
            </w:pPr>
            <w:r w:rsidRPr="00A92B39">
              <w:rPr>
                <w:noProof/>
                <w:sz w:val="10"/>
                <w:szCs w:val="10"/>
                <w:lang w:val="fr-BE"/>
              </w:rPr>
              <w:t>0,00</w:t>
            </w:r>
          </w:p>
        </w:tc>
      </w:tr>
      <w:tr w:rsidR="006B2EC1" w14:paraId="4085C163" w14:textId="77777777" w:rsidTr="0047688D">
        <w:tc>
          <w:tcPr>
            <w:tcW w:w="0" w:type="auto"/>
            <w:shd w:val="clear" w:color="auto" w:fill="auto"/>
          </w:tcPr>
          <w:p w14:paraId="26D2220B" w14:textId="77777777" w:rsidR="008C5CFA" w:rsidRPr="00BA47B4" w:rsidRDefault="00E82A60" w:rsidP="00300A01">
            <w:pPr>
              <w:spacing w:before="0" w:after="0"/>
              <w:rPr>
                <w:sz w:val="12"/>
                <w:szCs w:val="12"/>
                <w:lang w:val="fr-BE"/>
              </w:rPr>
            </w:pPr>
            <w:r>
              <w:rPr>
                <w:noProof/>
                <w:sz w:val="12"/>
                <w:szCs w:val="12"/>
                <w:lang w:val="fr-BE"/>
              </w:rPr>
              <w:t>CO03</w:t>
            </w:r>
          </w:p>
        </w:tc>
        <w:tc>
          <w:tcPr>
            <w:tcW w:w="0" w:type="auto"/>
            <w:shd w:val="clear" w:color="auto" w:fill="auto"/>
          </w:tcPr>
          <w:p w14:paraId="6670D50A" w14:textId="77777777" w:rsidR="008C5CFA" w:rsidRPr="00BA47B4" w:rsidRDefault="00E82A60" w:rsidP="00300A01">
            <w:pPr>
              <w:spacing w:before="0" w:after="0"/>
              <w:rPr>
                <w:sz w:val="12"/>
                <w:szCs w:val="12"/>
                <w:lang w:val="fr-BE"/>
              </w:rPr>
            </w:pPr>
            <w:r>
              <w:rPr>
                <w:noProof/>
                <w:sz w:val="12"/>
                <w:szCs w:val="12"/>
                <w:lang w:val="fr-BE"/>
              </w:rPr>
              <w:t>osoby bierne zawodowo</w:t>
            </w:r>
          </w:p>
        </w:tc>
        <w:tc>
          <w:tcPr>
            <w:tcW w:w="0" w:type="auto"/>
            <w:shd w:val="clear" w:color="auto" w:fill="auto"/>
          </w:tcPr>
          <w:p w14:paraId="11A9C0B2" w14:textId="77777777" w:rsidR="008C5CFA" w:rsidRPr="00BA47B4" w:rsidRDefault="00E82A60"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14:paraId="38521AE5" w14:textId="77777777" w:rsidR="008C5CFA" w:rsidRPr="00BA47B4" w:rsidRDefault="008C5CFA" w:rsidP="00300A01">
            <w:pPr>
              <w:spacing w:before="0" w:after="0"/>
              <w:jc w:val="right"/>
              <w:rPr>
                <w:sz w:val="12"/>
                <w:szCs w:val="12"/>
                <w:lang w:val="fr-BE"/>
              </w:rPr>
            </w:pPr>
          </w:p>
        </w:tc>
        <w:tc>
          <w:tcPr>
            <w:tcW w:w="0" w:type="auto"/>
            <w:shd w:val="clear" w:color="auto" w:fill="auto"/>
          </w:tcPr>
          <w:p w14:paraId="40DE9FCE" w14:textId="77777777" w:rsidR="008C5CFA" w:rsidRPr="00BA47B4" w:rsidRDefault="008C5CFA" w:rsidP="00300A01">
            <w:pPr>
              <w:spacing w:before="0" w:after="0"/>
              <w:jc w:val="right"/>
              <w:rPr>
                <w:sz w:val="12"/>
                <w:szCs w:val="12"/>
                <w:lang w:val="fr-BE"/>
              </w:rPr>
            </w:pPr>
          </w:p>
        </w:tc>
        <w:tc>
          <w:tcPr>
            <w:tcW w:w="0" w:type="auto"/>
            <w:shd w:val="clear" w:color="auto" w:fill="auto"/>
          </w:tcPr>
          <w:p w14:paraId="37A568CB" w14:textId="77777777" w:rsidR="008C5CFA" w:rsidRPr="00BA47B4" w:rsidRDefault="008C5CFA" w:rsidP="00300A01">
            <w:pPr>
              <w:spacing w:before="0" w:after="0"/>
              <w:jc w:val="right"/>
              <w:rPr>
                <w:sz w:val="12"/>
                <w:szCs w:val="12"/>
                <w:lang w:val="fr-BE"/>
              </w:rPr>
            </w:pPr>
          </w:p>
        </w:tc>
        <w:tc>
          <w:tcPr>
            <w:tcW w:w="0" w:type="auto"/>
            <w:shd w:val="clear" w:color="auto" w:fill="auto"/>
          </w:tcPr>
          <w:p w14:paraId="5FB20E1C" w14:textId="77777777" w:rsidR="008C5CFA" w:rsidRPr="00BA47B4" w:rsidRDefault="00E82A60" w:rsidP="00300A01">
            <w:pPr>
              <w:spacing w:before="0" w:after="0"/>
              <w:jc w:val="right"/>
              <w:rPr>
                <w:sz w:val="12"/>
                <w:szCs w:val="12"/>
                <w:lang w:val="fr-BE"/>
              </w:rPr>
            </w:pPr>
            <w:r w:rsidRPr="00BA47B4">
              <w:rPr>
                <w:noProof/>
                <w:sz w:val="12"/>
                <w:szCs w:val="12"/>
                <w:lang w:val="fr-BE"/>
              </w:rPr>
              <w:t>29 366,00</w:t>
            </w:r>
          </w:p>
        </w:tc>
        <w:tc>
          <w:tcPr>
            <w:tcW w:w="0" w:type="auto"/>
            <w:shd w:val="clear" w:color="auto" w:fill="auto"/>
          </w:tcPr>
          <w:p w14:paraId="4CD42442" w14:textId="77777777" w:rsidR="008C5CFA" w:rsidRPr="00BA47B4" w:rsidRDefault="00E82A60" w:rsidP="00300A01">
            <w:pPr>
              <w:spacing w:before="0" w:after="0"/>
              <w:jc w:val="right"/>
              <w:rPr>
                <w:sz w:val="12"/>
                <w:szCs w:val="12"/>
                <w:lang w:val="fr-BE"/>
              </w:rPr>
            </w:pPr>
            <w:r w:rsidRPr="00BA47B4">
              <w:rPr>
                <w:noProof/>
                <w:sz w:val="12"/>
                <w:szCs w:val="12"/>
                <w:lang w:val="fr-BE"/>
              </w:rPr>
              <w:t>14 346,00</w:t>
            </w:r>
          </w:p>
        </w:tc>
        <w:tc>
          <w:tcPr>
            <w:tcW w:w="0" w:type="auto"/>
            <w:shd w:val="clear" w:color="auto" w:fill="auto"/>
          </w:tcPr>
          <w:p w14:paraId="017FDAE3" w14:textId="77777777" w:rsidR="008C5CFA" w:rsidRPr="00BA47B4" w:rsidRDefault="00E82A60" w:rsidP="00300A01">
            <w:pPr>
              <w:spacing w:before="0" w:after="0"/>
              <w:jc w:val="right"/>
              <w:rPr>
                <w:sz w:val="12"/>
                <w:szCs w:val="12"/>
                <w:lang w:val="fr-BE"/>
              </w:rPr>
            </w:pPr>
            <w:r w:rsidRPr="00BA47B4">
              <w:rPr>
                <w:noProof/>
                <w:sz w:val="12"/>
                <w:szCs w:val="12"/>
                <w:lang w:val="fr-BE"/>
              </w:rPr>
              <w:t>15 020,00</w:t>
            </w:r>
          </w:p>
        </w:tc>
        <w:tc>
          <w:tcPr>
            <w:tcW w:w="0" w:type="auto"/>
            <w:shd w:val="clear" w:color="auto" w:fill="auto"/>
          </w:tcPr>
          <w:p w14:paraId="20FCE0F4" w14:textId="77777777" w:rsidR="008C5CFA" w:rsidRPr="00BA47B4" w:rsidRDefault="008C5CFA" w:rsidP="00300A01">
            <w:pPr>
              <w:spacing w:before="0" w:after="0"/>
              <w:jc w:val="right"/>
              <w:rPr>
                <w:sz w:val="12"/>
                <w:szCs w:val="12"/>
                <w:lang w:val="fr-BE"/>
              </w:rPr>
            </w:pPr>
          </w:p>
        </w:tc>
        <w:tc>
          <w:tcPr>
            <w:tcW w:w="0" w:type="auto"/>
            <w:shd w:val="clear" w:color="auto" w:fill="auto"/>
          </w:tcPr>
          <w:p w14:paraId="204EA3BF" w14:textId="77777777" w:rsidR="008C5CFA" w:rsidRPr="00BA47B4" w:rsidRDefault="008C5CFA" w:rsidP="00300A01">
            <w:pPr>
              <w:spacing w:before="0" w:after="0"/>
              <w:jc w:val="right"/>
              <w:rPr>
                <w:sz w:val="12"/>
                <w:szCs w:val="12"/>
                <w:lang w:val="fr-BE"/>
              </w:rPr>
            </w:pPr>
          </w:p>
        </w:tc>
        <w:tc>
          <w:tcPr>
            <w:tcW w:w="0" w:type="auto"/>
            <w:shd w:val="clear" w:color="auto" w:fill="auto"/>
          </w:tcPr>
          <w:p w14:paraId="03EC90B9" w14:textId="77777777" w:rsidR="008C5CFA" w:rsidRPr="00BA47B4" w:rsidRDefault="008C5CFA" w:rsidP="00300A01">
            <w:pPr>
              <w:spacing w:before="0" w:after="0"/>
              <w:jc w:val="right"/>
              <w:rPr>
                <w:sz w:val="12"/>
                <w:szCs w:val="12"/>
                <w:lang w:val="fr-BE"/>
              </w:rPr>
            </w:pPr>
          </w:p>
        </w:tc>
        <w:tc>
          <w:tcPr>
            <w:tcW w:w="0" w:type="auto"/>
          </w:tcPr>
          <w:p w14:paraId="2578B920" w14:textId="77777777" w:rsidR="008C5CFA" w:rsidRPr="00A92B39" w:rsidRDefault="00E82A60" w:rsidP="00300A01">
            <w:pPr>
              <w:spacing w:before="0" w:after="0"/>
              <w:jc w:val="right"/>
              <w:rPr>
                <w:sz w:val="10"/>
                <w:szCs w:val="10"/>
                <w:lang w:val="fr-BE"/>
              </w:rPr>
            </w:pPr>
            <w:r w:rsidRPr="00A92B39">
              <w:rPr>
                <w:noProof/>
                <w:sz w:val="10"/>
                <w:szCs w:val="10"/>
                <w:lang w:val="fr-BE"/>
              </w:rPr>
              <w:t>5 086,00</w:t>
            </w:r>
          </w:p>
        </w:tc>
        <w:tc>
          <w:tcPr>
            <w:tcW w:w="0" w:type="auto"/>
            <w:shd w:val="clear" w:color="auto" w:fill="auto"/>
          </w:tcPr>
          <w:p w14:paraId="2362CD64" w14:textId="77777777" w:rsidR="008C5CFA" w:rsidRPr="00A92B39" w:rsidRDefault="00E82A60" w:rsidP="00300A01">
            <w:pPr>
              <w:spacing w:before="0" w:after="0"/>
              <w:jc w:val="right"/>
              <w:rPr>
                <w:sz w:val="10"/>
                <w:szCs w:val="10"/>
                <w:lang w:val="fr-BE"/>
              </w:rPr>
            </w:pPr>
            <w:r w:rsidRPr="00A92B39">
              <w:rPr>
                <w:noProof/>
                <w:sz w:val="10"/>
                <w:szCs w:val="10"/>
                <w:lang w:val="fr-BE"/>
              </w:rPr>
              <w:t>2 484,00</w:t>
            </w:r>
          </w:p>
        </w:tc>
        <w:tc>
          <w:tcPr>
            <w:tcW w:w="0" w:type="auto"/>
            <w:shd w:val="clear" w:color="auto" w:fill="auto"/>
          </w:tcPr>
          <w:p w14:paraId="206E3F79" w14:textId="77777777" w:rsidR="008C5CFA" w:rsidRPr="00BA47B4" w:rsidRDefault="00E82A60" w:rsidP="00300A01">
            <w:pPr>
              <w:spacing w:before="0" w:after="0"/>
              <w:jc w:val="right"/>
              <w:rPr>
                <w:sz w:val="12"/>
                <w:szCs w:val="12"/>
                <w:lang w:val="fr-BE"/>
              </w:rPr>
            </w:pPr>
            <w:r w:rsidRPr="00A92B39">
              <w:rPr>
                <w:noProof/>
                <w:sz w:val="10"/>
                <w:szCs w:val="10"/>
                <w:lang w:val="fr-BE"/>
              </w:rPr>
              <w:t>2 602,00</w:t>
            </w:r>
          </w:p>
        </w:tc>
      </w:tr>
      <w:tr w:rsidR="006B2EC1" w14:paraId="1F551872" w14:textId="77777777" w:rsidTr="0047688D">
        <w:tc>
          <w:tcPr>
            <w:tcW w:w="0" w:type="auto"/>
            <w:shd w:val="clear" w:color="auto" w:fill="auto"/>
          </w:tcPr>
          <w:p w14:paraId="6658CC8A" w14:textId="77777777" w:rsidR="008C5CFA" w:rsidRPr="00BA47B4" w:rsidRDefault="00E82A60" w:rsidP="00300A01">
            <w:pPr>
              <w:spacing w:before="0" w:after="0"/>
              <w:rPr>
                <w:sz w:val="12"/>
                <w:szCs w:val="12"/>
                <w:lang w:val="fr-BE"/>
              </w:rPr>
            </w:pPr>
            <w:r>
              <w:rPr>
                <w:noProof/>
                <w:sz w:val="12"/>
                <w:szCs w:val="12"/>
                <w:lang w:val="fr-BE"/>
              </w:rPr>
              <w:t>CO04</w:t>
            </w:r>
          </w:p>
        </w:tc>
        <w:tc>
          <w:tcPr>
            <w:tcW w:w="0" w:type="auto"/>
            <w:shd w:val="clear" w:color="auto" w:fill="auto"/>
          </w:tcPr>
          <w:p w14:paraId="77ABBCEB" w14:textId="77777777" w:rsidR="008C5CFA" w:rsidRPr="00BA47B4" w:rsidRDefault="00E82A60" w:rsidP="00300A01">
            <w:pPr>
              <w:spacing w:before="0" w:after="0"/>
              <w:rPr>
                <w:sz w:val="12"/>
                <w:szCs w:val="12"/>
                <w:lang w:val="fr-BE"/>
              </w:rPr>
            </w:pPr>
            <w:r>
              <w:rPr>
                <w:noProof/>
                <w:sz w:val="12"/>
                <w:szCs w:val="12"/>
                <w:lang w:val="fr-BE"/>
              </w:rPr>
              <w:t>osoby bierne zawodowo, nieuczestniczące w kształceniu ani szkoleniu</w:t>
            </w:r>
          </w:p>
        </w:tc>
        <w:tc>
          <w:tcPr>
            <w:tcW w:w="0" w:type="auto"/>
            <w:shd w:val="clear" w:color="auto" w:fill="auto"/>
          </w:tcPr>
          <w:p w14:paraId="127B8E11" w14:textId="77777777" w:rsidR="008C5CFA" w:rsidRPr="00BA47B4" w:rsidRDefault="00E82A60"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14:paraId="2905DE0C" w14:textId="77777777" w:rsidR="008C5CFA" w:rsidRPr="00BA47B4" w:rsidRDefault="008C5CFA" w:rsidP="00300A01">
            <w:pPr>
              <w:spacing w:before="0" w:after="0"/>
              <w:jc w:val="right"/>
              <w:rPr>
                <w:sz w:val="12"/>
                <w:szCs w:val="12"/>
                <w:lang w:val="fr-BE"/>
              </w:rPr>
            </w:pPr>
          </w:p>
        </w:tc>
        <w:tc>
          <w:tcPr>
            <w:tcW w:w="0" w:type="auto"/>
            <w:shd w:val="clear" w:color="auto" w:fill="auto"/>
          </w:tcPr>
          <w:p w14:paraId="61242ADB" w14:textId="77777777" w:rsidR="008C5CFA" w:rsidRPr="00BA47B4" w:rsidRDefault="008C5CFA" w:rsidP="00300A01">
            <w:pPr>
              <w:spacing w:before="0" w:after="0"/>
              <w:jc w:val="right"/>
              <w:rPr>
                <w:sz w:val="12"/>
                <w:szCs w:val="12"/>
                <w:lang w:val="fr-BE"/>
              </w:rPr>
            </w:pPr>
          </w:p>
        </w:tc>
        <w:tc>
          <w:tcPr>
            <w:tcW w:w="0" w:type="auto"/>
            <w:shd w:val="clear" w:color="auto" w:fill="auto"/>
          </w:tcPr>
          <w:p w14:paraId="438CEBC0" w14:textId="77777777" w:rsidR="008C5CFA" w:rsidRPr="00BA47B4" w:rsidRDefault="008C5CFA" w:rsidP="00300A01">
            <w:pPr>
              <w:spacing w:before="0" w:after="0"/>
              <w:jc w:val="right"/>
              <w:rPr>
                <w:sz w:val="12"/>
                <w:szCs w:val="12"/>
                <w:lang w:val="fr-BE"/>
              </w:rPr>
            </w:pPr>
          </w:p>
        </w:tc>
        <w:tc>
          <w:tcPr>
            <w:tcW w:w="0" w:type="auto"/>
            <w:shd w:val="clear" w:color="auto" w:fill="auto"/>
          </w:tcPr>
          <w:p w14:paraId="103CF693"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0DCC265E"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6BE8AA21"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57D3A6DA" w14:textId="77777777" w:rsidR="008C5CFA" w:rsidRPr="00BA47B4" w:rsidRDefault="008C5CFA" w:rsidP="00300A01">
            <w:pPr>
              <w:spacing w:before="0" w:after="0"/>
              <w:jc w:val="right"/>
              <w:rPr>
                <w:sz w:val="12"/>
                <w:szCs w:val="12"/>
                <w:lang w:val="fr-BE"/>
              </w:rPr>
            </w:pPr>
          </w:p>
        </w:tc>
        <w:tc>
          <w:tcPr>
            <w:tcW w:w="0" w:type="auto"/>
            <w:shd w:val="clear" w:color="auto" w:fill="auto"/>
          </w:tcPr>
          <w:p w14:paraId="6DB4E491" w14:textId="77777777" w:rsidR="008C5CFA" w:rsidRPr="00BA47B4" w:rsidRDefault="008C5CFA" w:rsidP="00300A01">
            <w:pPr>
              <w:spacing w:before="0" w:after="0"/>
              <w:jc w:val="right"/>
              <w:rPr>
                <w:sz w:val="12"/>
                <w:szCs w:val="12"/>
                <w:lang w:val="fr-BE"/>
              </w:rPr>
            </w:pPr>
          </w:p>
        </w:tc>
        <w:tc>
          <w:tcPr>
            <w:tcW w:w="0" w:type="auto"/>
            <w:shd w:val="clear" w:color="auto" w:fill="auto"/>
          </w:tcPr>
          <w:p w14:paraId="4FB173AE" w14:textId="77777777" w:rsidR="008C5CFA" w:rsidRPr="00BA47B4" w:rsidRDefault="008C5CFA" w:rsidP="00300A01">
            <w:pPr>
              <w:spacing w:before="0" w:after="0"/>
              <w:jc w:val="right"/>
              <w:rPr>
                <w:sz w:val="12"/>
                <w:szCs w:val="12"/>
                <w:lang w:val="fr-BE"/>
              </w:rPr>
            </w:pPr>
          </w:p>
        </w:tc>
        <w:tc>
          <w:tcPr>
            <w:tcW w:w="0" w:type="auto"/>
          </w:tcPr>
          <w:p w14:paraId="65AFAE5A"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14:paraId="1FC0B23A"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14:paraId="3E821464" w14:textId="77777777" w:rsidR="008C5CFA" w:rsidRPr="00BA47B4" w:rsidRDefault="00E82A60" w:rsidP="00300A01">
            <w:pPr>
              <w:spacing w:before="0" w:after="0"/>
              <w:jc w:val="right"/>
              <w:rPr>
                <w:sz w:val="12"/>
                <w:szCs w:val="12"/>
                <w:lang w:val="fr-BE"/>
              </w:rPr>
            </w:pPr>
            <w:r w:rsidRPr="00A92B39">
              <w:rPr>
                <w:noProof/>
                <w:sz w:val="10"/>
                <w:szCs w:val="10"/>
                <w:lang w:val="fr-BE"/>
              </w:rPr>
              <w:t>0,00</w:t>
            </w:r>
          </w:p>
        </w:tc>
      </w:tr>
      <w:tr w:rsidR="006B2EC1" w14:paraId="49D82058" w14:textId="77777777" w:rsidTr="0047688D">
        <w:tc>
          <w:tcPr>
            <w:tcW w:w="0" w:type="auto"/>
            <w:shd w:val="clear" w:color="auto" w:fill="auto"/>
          </w:tcPr>
          <w:p w14:paraId="1E979845" w14:textId="77777777" w:rsidR="008C5CFA" w:rsidRPr="00BA47B4" w:rsidRDefault="00E82A60" w:rsidP="00300A01">
            <w:pPr>
              <w:spacing w:before="0" w:after="0"/>
              <w:rPr>
                <w:sz w:val="12"/>
                <w:szCs w:val="12"/>
                <w:lang w:val="fr-BE"/>
              </w:rPr>
            </w:pPr>
            <w:r>
              <w:rPr>
                <w:noProof/>
                <w:sz w:val="12"/>
                <w:szCs w:val="12"/>
                <w:lang w:val="fr-BE"/>
              </w:rPr>
              <w:t>CO05</w:t>
            </w:r>
          </w:p>
        </w:tc>
        <w:tc>
          <w:tcPr>
            <w:tcW w:w="0" w:type="auto"/>
            <w:shd w:val="clear" w:color="auto" w:fill="auto"/>
          </w:tcPr>
          <w:p w14:paraId="38B95427" w14:textId="77777777" w:rsidR="008C5CFA" w:rsidRPr="00BA47B4" w:rsidRDefault="00E82A60" w:rsidP="00300A01">
            <w:pPr>
              <w:spacing w:before="0" w:after="0"/>
              <w:rPr>
                <w:sz w:val="12"/>
                <w:szCs w:val="12"/>
                <w:lang w:val="fr-BE"/>
              </w:rPr>
            </w:pPr>
            <w:r>
              <w:rPr>
                <w:noProof/>
                <w:sz w:val="12"/>
                <w:szCs w:val="12"/>
                <w:lang w:val="fr-BE"/>
              </w:rPr>
              <w:t>osoby pracujące, łącznie z prowadzącymi działalność na własny rachunek</w:t>
            </w:r>
          </w:p>
        </w:tc>
        <w:tc>
          <w:tcPr>
            <w:tcW w:w="0" w:type="auto"/>
            <w:shd w:val="clear" w:color="auto" w:fill="auto"/>
          </w:tcPr>
          <w:p w14:paraId="38DE21C7" w14:textId="77777777" w:rsidR="008C5CFA" w:rsidRPr="00BA47B4" w:rsidRDefault="00E82A60"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14:paraId="3CC29F51" w14:textId="77777777" w:rsidR="008C5CFA" w:rsidRPr="00BA47B4" w:rsidRDefault="008C5CFA" w:rsidP="00300A01">
            <w:pPr>
              <w:spacing w:before="0" w:after="0"/>
              <w:jc w:val="right"/>
              <w:rPr>
                <w:sz w:val="12"/>
                <w:szCs w:val="12"/>
                <w:lang w:val="fr-BE"/>
              </w:rPr>
            </w:pPr>
          </w:p>
        </w:tc>
        <w:tc>
          <w:tcPr>
            <w:tcW w:w="0" w:type="auto"/>
            <w:shd w:val="clear" w:color="auto" w:fill="auto"/>
          </w:tcPr>
          <w:p w14:paraId="1166BFF8" w14:textId="77777777" w:rsidR="008C5CFA" w:rsidRPr="00BA47B4" w:rsidRDefault="008C5CFA" w:rsidP="00300A01">
            <w:pPr>
              <w:spacing w:before="0" w:after="0"/>
              <w:jc w:val="right"/>
              <w:rPr>
                <w:sz w:val="12"/>
                <w:szCs w:val="12"/>
                <w:lang w:val="fr-BE"/>
              </w:rPr>
            </w:pPr>
          </w:p>
        </w:tc>
        <w:tc>
          <w:tcPr>
            <w:tcW w:w="0" w:type="auto"/>
            <w:shd w:val="clear" w:color="auto" w:fill="auto"/>
          </w:tcPr>
          <w:p w14:paraId="2DDF42E5" w14:textId="77777777" w:rsidR="008C5CFA" w:rsidRPr="00BA47B4" w:rsidRDefault="008C5CFA" w:rsidP="00300A01">
            <w:pPr>
              <w:spacing w:before="0" w:after="0"/>
              <w:jc w:val="right"/>
              <w:rPr>
                <w:sz w:val="12"/>
                <w:szCs w:val="12"/>
                <w:lang w:val="fr-BE"/>
              </w:rPr>
            </w:pPr>
          </w:p>
        </w:tc>
        <w:tc>
          <w:tcPr>
            <w:tcW w:w="0" w:type="auto"/>
            <w:shd w:val="clear" w:color="auto" w:fill="auto"/>
          </w:tcPr>
          <w:p w14:paraId="69160EB3" w14:textId="77777777" w:rsidR="008C5CFA" w:rsidRPr="00BA47B4" w:rsidRDefault="00E82A60" w:rsidP="00300A01">
            <w:pPr>
              <w:spacing w:before="0" w:after="0"/>
              <w:jc w:val="right"/>
              <w:rPr>
                <w:sz w:val="12"/>
                <w:szCs w:val="12"/>
                <w:lang w:val="fr-BE"/>
              </w:rPr>
            </w:pPr>
            <w:r w:rsidRPr="00BA47B4">
              <w:rPr>
                <w:noProof/>
                <w:sz w:val="12"/>
                <w:szCs w:val="12"/>
                <w:lang w:val="fr-BE"/>
              </w:rPr>
              <w:t>3 058,00</w:t>
            </w:r>
          </w:p>
        </w:tc>
        <w:tc>
          <w:tcPr>
            <w:tcW w:w="0" w:type="auto"/>
            <w:shd w:val="clear" w:color="auto" w:fill="auto"/>
          </w:tcPr>
          <w:p w14:paraId="0E3EDC1F" w14:textId="77777777" w:rsidR="008C5CFA" w:rsidRPr="00BA47B4" w:rsidRDefault="00E82A60" w:rsidP="00300A01">
            <w:pPr>
              <w:spacing w:before="0" w:after="0"/>
              <w:jc w:val="right"/>
              <w:rPr>
                <w:sz w:val="12"/>
                <w:szCs w:val="12"/>
                <w:lang w:val="fr-BE"/>
              </w:rPr>
            </w:pPr>
            <w:r w:rsidRPr="00BA47B4">
              <w:rPr>
                <w:noProof/>
                <w:sz w:val="12"/>
                <w:szCs w:val="12"/>
                <w:lang w:val="fr-BE"/>
              </w:rPr>
              <w:t>419,00</w:t>
            </w:r>
          </w:p>
        </w:tc>
        <w:tc>
          <w:tcPr>
            <w:tcW w:w="0" w:type="auto"/>
            <w:shd w:val="clear" w:color="auto" w:fill="auto"/>
          </w:tcPr>
          <w:p w14:paraId="1C8F44BD" w14:textId="77777777" w:rsidR="008C5CFA" w:rsidRPr="00BA47B4" w:rsidRDefault="00E82A60" w:rsidP="00300A01">
            <w:pPr>
              <w:spacing w:before="0" w:after="0"/>
              <w:jc w:val="right"/>
              <w:rPr>
                <w:sz w:val="12"/>
                <w:szCs w:val="12"/>
                <w:lang w:val="fr-BE"/>
              </w:rPr>
            </w:pPr>
            <w:r w:rsidRPr="00BA47B4">
              <w:rPr>
                <w:noProof/>
                <w:sz w:val="12"/>
                <w:szCs w:val="12"/>
                <w:lang w:val="fr-BE"/>
              </w:rPr>
              <w:t>2 639,00</w:t>
            </w:r>
          </w:p>
        </w:tc>
        <w:tc>
          <w:tcPr>
            <w:tcW w:w="0" w:type="auto"/>
            <w:shd w:val="clear" w:color="auto" w:fill="auto"/>
          </w:tcPr>
          <w:p w14:paraId="3F4CD855" w14:textId="77777777" w:rsidR="008C5CFA" w:rsidRPr="00BA47B4" w:rsidRDefault="008C5CFA" w:rsidP="00300A01">
            <w:pPr>
              <w:spacing w:before="0" w:after="0"/>
              <w:jc w:val="right"/>
              <w:rPr>
                <w:sz w:val="12"/>
                <w:szCs w:val="12"/>
                <w:lang w:val="fr-BE"/>
              </w:rPr>
            </w:pPr>
          </w:p>
        </w:tc>
        <w:tc>
          <w:tcPr>
            <w:tcW w:w="0" w:type="auto"/>
            <w:shd w:val="clear" w:color="auto" w:fill="auto"/>
          </w:tcPr>
          <w:p w14:paraId="02140E46" w14:textId="77777777" w:rsidR="008C5CFA" w:rsidRPr="00BA47B4" w:rsidRDefault="008C5CFA" w:rsidP="00300A01">
            <w:pPr>
              <w:spacing w:before="0" w:after="0"/>
              <w:jc w:val="right"/>
              <w:rPr>
                <w:sz w:val="12"/>
                <w:szCs w:val="12"/>
                <w:lang w:val="fr-BE"/>
              </w:rPr>
            </w:pPr>
          </w:p>
        </w:tc>
        <w:tc>
          <w:tcPr>
            <w:tcW w:w="0" w:type="auto"/>
            <w:shd w:val="clear" w:color="auto" w:fill="auto"/>
          </w:tcPr>
          <w:p w14:paraId="56743B4A" w14:textId="77777777" w:rsidR="008C5CFA" w:rsidRPr="00BA47B4" w:rsidRDefault="008C5CFA" w:rsidP="00300A01">
            <w:pPr>
              <w:spacing w:before="0" w:after="0"/>
              <w:jc w:val="right"/>
              <w:rPr>
                <w:sz w:val="12"/>
                <w:szCs w:val="12"/>
                <w:lang w:val="fr-BE"/>
              </w:rPr>
            </w:pPr>
          </w:p>
        </w:tc>
        <w:tc>
          <w:tcPr>
            <w:tcW w:w="0" w:type="auto"/>
          </w:tcPr>
          <w:p w14:paraId="44137800" w14:textId="77777777" w:rsidR="008C5CFA" w:rsidRPr="00A92B39" w:rsidRDefault="00E82A60" w:rsidP="00300A01">
            <w:pPr>
              <w:spacing w:before="0" w:after="0"/>
              <w:jc w:val="right"/>
              <w:rPr>
                <w:sz w:val="10"/>
                <w:szCs w:val="10"/>
                <w:lang w:val="fr-BE"/>
              </w:rPr>
            </w:pPr>
            <w:r w:rsidRPr="00A92B39">
              <w:rPr>
                <w:noProof/>
                <w:sz w:val="10"/>
                <w:szCs w:val="10"/>
                <w:lang w:val="fr-BE"/>
              </w:rPr>
              <w:t>866,00</w:t>
            </w:r>
          </w:p>
        </w:tc>
        <w:tc>
          <w:tcPr>
            <w:tcW w:w="0" w:type="auto"/>
            <w:shd w:val="clear" w:color="auto" w:fill="auto"/>
          </w:tcPr>
          <w:p w14:paraId="39EF7AFB" w14:textId="77777777" w:rsidR="008C5CFA" w:rsidRPr="00A92B39" w:rsidRDefault="00E82A60" w:rsidP="00300A01">
            <w:pPr>
              <w:spacing w:before="0" w:after="0"/>
              <w:jc w:val="right"/>
              <w:rPr>
                <w:sz w:val="10"/>
                <w:szCs w:val="10"/>
                <w:lang w:val="fr-BE"/>
              </w:rPr>
            </w:pPr>
            <w:r w:rsidRPr="00A92B39">
              <w:rPr>
                <w:noProof/>
                <w:sz w:val="10"/>
                <w:szCs w:val="10"/>
                <w:lang w:val="fr-BE"/>
              </w:rPr>
              <w:t>142,00</w:t>
            </w:r>
          </w:p>
        </w:tc>
        <w:tc>
          <w:tcPr>
            <w:tcW w:w="0" w:type="auto"/>
            <w:shd w:val="clear" w:color="auto" w:fill="auto"/>
          </w:tcPr>
          <w:p w14:paraId="334DC700" w14:textId="77777777" w:rsidR="008C5CFA" w:rsidRPr="00BA47B4" w:rsidRDefault="00E82A60" w:rsidP="00300A01">
            <w:pPr>
              <w:spacing w:before="0" w:after="0"/>
              <w:jc w:val="right"/>
              <w:rPr>
                <w:sz w:val="12"/>
                <w:szCs w:val="12"/>
                <w:lang w:val="fr-BE"/>
              </w:rPr>
            </w:pPr>
            <w:r w:rsidRPr="00A92B39">
              <w:rPr>
                <w:noProof/>
                <w:sz w:val="10"/>
                <w:szCs w:val="10"/>
                <w:lang w:val="fr-BE"/>
              </w:rPr>
              <w:t>724,00</w:t>
            </w:r>
          </w:p>
        </w:tc>
      </w:tr>
      <w:tr w:rsidR="006B2EC1" w14:paraId="0B02986D" w14:textId="77777777" w:rsidTr="0047688D">
        <w:tc>
          <w:tcPr>
            <w:tcW w:w="0" w:type="auto"/>
            <w:shd w:val="clear" w:color="auto" w:fill="auto"/>
          </w:tcPr>
          <w:p w14:paraId="035DA58A" w14:textId="77777777" w:rsidR="008C5CFA" w:rsidRPr="00BA47B4" w:rsidRDefault="00E82A60" w:rsidP="00300A01">
            <w:pPr>
              <w:spacing w:before="0" w:after="0"/>
              <w:rPr>
                <w:sz w:val="12"/>
                <w:szCs w:val="12"/>
                <w:lang w:val="fr-BE"/>
              </w:rPr>
            </w:pPr>
            <w:r>
              <w:rPr>
                <w:noProof/>
                <w:sz w:val="12"/>
                <w:szCs w:val="12"/>
                <w:lang w:val="fr-BE"/>
              </w:rPr>
              <w:t>CO06</w:t>
            </w:r>
          </w:p>
        </w:tc>
        <w:tc>
          <w:tcPr>
            <w:tcW w:w="0" w:type="auto"/>
            <w:shd w:val="clear" w:color="auto" w:fill="auto"/>
          </w:tcPr>
          <w:p w14:paraId="3AA4633E" w14:textId="77777777" w:rsidR="008C5CFA" w:rsidRPr="00BA47B4" w:rsidRDefault="00E82A60" w:rsidP="00300A01">
            <w:pPr>
              <w:spacing w:before="0" w:after="0"/>
              <w:rPr>
                <w:sz w:val="12"/>
                <w:szCs w:val="12"/>
                <w:lang w:val="fr-BE"/>
              </w:rPr>
            </w:pPr>
            <w:r>
              <w:rPr>
                <w:noProof/>
                <w:sz w:val="12"/>
                <w:szCs w:val="12"/>
                <w:lang w:val="fr-BE"/>
              </w:rPr>
              <w:t>osoby w wieku poniżej 25 lat</w:t>
            </w:r>
          </w:p>
        </w:tc>
        <w:tc>
          <w:tcPr>
            <w:tcW w:w="0" w:type="auto"/>
            <w:shd w:val="clear" w:color="auto" w:fill="auto"/>
          </w:tcPr>
          <w:p w14:paraId="4F801FA2" w14:textId="77777777" w:rsidR="008C5CFA" w:rsidRPr="00BA47B4" w:rsidRDefault="00E82A60"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14:paraId="014A6917" w14:textId="77777777" w:rsidR="008C5CFA" w:rsidRPr="00BA47B4" w:rsidRDefault="008C5CFA" w:rsidP="00300A01">
            <w:pPr>
              <w:spacing w:before="0" w:after="0"/>
              <w:jc w:val="right"/>
              <w:rPr>
                <w:sz w:val="12"/>
                <w:szCs w:val="12"/>
                <w:lang w:val="fr-BE"/>
              </w:rPr>
            </w:pPr>
          </w:p>
        </w:tc>
        <w:tc>
          <w:tcPr>
            <w:tcW w:w="0" w:type="auto"/>
            <w:shd w:val="clear" w:color="auto" w:fill="auto"/>
          </w:tcPr>
          <w:p w14:paraId="1EAE45AA" w14:textId="77777777" w:rsidR="008C5CFA" w:rsidRPr="00BA47B4" w:rsidRDefault="008C5CFA" w:rsidP="00300A01">
            <w:pPr>
              <w:spacing w:before="0" w:after="0"/>
              <w:jc w:val="right"/>
              <w:rPr>
                <w:sz w:val="12"/>
                <w:szCs w:val="12"/>
                <w:lang w:val="fr-BE"/>
              </w:rPr>
            </w:pPr>
          </w:p>
        </w:tc>
        <w:tc>
          <w:tcPr>
            <w:tcW w:w="0" w:type="auto"/>
            <w:shd w:val="clear" w:color="auto" w:fill="auto"/>
          </w:tcPr>
          <w:p w14:paraId="1EB347FA" w14:textId="77777777" w:rsidR="008C5CFA" w:rsidRPr="00BA47B4" w:rsidRDefault="008C5CFA" w:rsidP="00300A01">
            <w:pPr>
              <w:spacing w:before="0" w:after="0"/>
              <w:jc w:val="right"/>
              <w:rPr>
                <w:sz w:val="12"/>
                <w:szCs w:val="12"/>
                <w:lang w:val="fr-BE"/>
              </w:rPr>
            </w:pPr>
          </w:p>
        </w:tc>
        <w:tc>
          <w:tcPr>
            <w:tcW w:w="0" w:type="auto"/>
            <w:shd w:val="clear" w:color="auto" w:fill="auto"/>
          </w:tcPr>
          <w:p w14:paraId="5EDD1028" w14:textId="77777777" w:rsidR="008C5CFA" w:rsidRPr="00BA47B4" w:rsidRDefault="00E82A60" w:rsidP="00300A01">
            <w:pPr>
              <w:spacing w:before="0" w:after="0"/>
              <w:jc w:val="right"/>
              <w:rPr>
                <w:sz w:val="12"/>
                <w:szCs w:val="12"/>
                <w:lang w:val="fr-BE"/>
              </w:rPr>
            </w:pPr>
            <w:r w:rsidRPr="00BA47B4">
              <w:rPr>
                <w:noProof/>
                <w:sz w:val="12"/>
                <w:szCs w:val="12"/>
                <w:lang w:val="fr-BE"/>
              </w:rPr>
              <w:t>29 381,00</w:t>
            </w:r>
          </w:p>
        </w:tc>
        <w:tc>
          <w:tcPr>
            <w:tcW w:w="0" w:type="auto"/>
            <w:shd w:val="clear" w:color="auto" w:fill="auto"/>
          </w:tcPr>
          <w:p w14:paraId="61C1B7EB" w14:textId="77777777" w:rsidR="008C5CFA" w:rsidRPr="00BA47B4" w:rsidRDefault="00E82A60" w:rsidP="00300A01">
            <w:pPr>
              <w:spacing w:before="0" w:after="0"/>
              <w:jc w:val="right"/>
              <w:rPr>
                <w:sz w:val="12"/>
                <w:szCs w:val="12"/>
                <w:lang w:val="fr-BE"/>
              </w:rPr>
            </w:pPr>
            <w:r w:rsidRPr="00BA47B4">
              <w:rPr>
                <w:noProof/>
                <w:sz w:val="12"/>
                <w:szCs w:val="12"/>
                <w:lang w:val="fr-BE"/>
              </w:rPr>
              <w:t>14 346,00</w:t>
            </w:r>
          </w:p>
        </w:tc>
        <w:tc>
          <w:tcPr>
            <w:tcW w:w="0" w:type="auto"/>
            <w:shd w:val="clear" w:color="auto" w:fill="auto"/>
          </w:tcPr>
          <w:p w14:paraId="5FB98B62" w14:textId="77777777" w:rsidR="008C5CFA" w:rsidRPr="00BA47B4" w:rsidRDefault="00E82A60" w:rsidP="00300A01">
            <w:pPr>
              <w:spacing w:before="0" w:after="0"/>
              <w:jc w:val="right"/>
              <w:rPr>
                <w:sz w:val="12"/>
                <w:szCs w:val="12"/>
                <w:lang w:val="fr-BE"/>
              </w:rPr>
            </w:pPr>
            <w:r w:rsidRPr="00BA47B4">
              <w:rPr>
                <w:noProof/>
                <w:sz w:val="12"/>
                <w:szCs w:val="12"/>
                <w:lang w:val="fr-BE"/>
              </w:rPr>
              <w:t>15 035,00</w:t>
            </w:r>
          </w:p>
        </w:tc>
        <w:tc>
          <w:tcPr>
            <w:tcW w:w="0" w:type="auto"/>
            <w:shd w:val="clear" w:color="auto" w:fill="auto"/>
          </w:tcPr>
          <w:p w14:paraId="6C2526B6" w14:textId="77777777" w:rsidR="008C5CFA" w:rsidRPr="00BA47B4" w:rsidRDefault="008C5CFA" w:rsidP="00300A01">
            <w:pPr>
              <w:spacing w:before="0" w:after="0"/>
              <w:jc w:val="right"/>
              <w:rPr>
                <w:sz w:val="12"/>
                <w:szCs w:val="12"/>
                <w:lang w:val="fr-BE"/>
              </w:rPr>
            </w:pPr>
          </w:p>
        </w:tc>
        <w:tc>
          <w:tcPr>
            <w:tcW w:w="0" w:type="auto"/>
            <w:shd w:val="clear" w:color="auto" w:fill="auto"/>
          </w:tcPr>
          <w:p w14:paraId="684AF479" w14:textId="77777777" w:rsidR="008C5CFA" w:rsidRPr="00BA47B4" w:rsidRDefault="008C5CFA" w:rsidP="00300A01">
            <w:pPr>
              <w:spacing w:before="0" w:after="0"/>
              <w:jc w:val="right"/>
              <w:rPr>
                <w:sz w:val="12"/>
                <w:szCs w:val="12"/>
                <w:lang w:val="fr-BE"/>
              </w:rPr>
            </w:pPr>
          </w:p>
        </w:tc>
        <w:tc>
          <w:tcPr>
            <w:tcW w:w="0" w:type="auto"/>
            <w:shd w:val="clear" w:color="auto" w:fill="auto"/>
          </w:tcPr>
          <w:p w14:paraId="1E91B694" w14:textId="77777777" w:rsidR="008C5CFA" w:rsidRPr="00BA47B4" w:rsidRDefault="008C5CFA" w:rsidP="00300A01">
            <w:pPr>
              <w:spacing w:before="0" w:after="0"/>
              <w:jc w:val="right"/>
              <w:rPr>
                <w:sz w:val="12"/>
                <w:szCs w:val="12"/>
                <w:lang w:val="fr-BE"/>
              </w:rPr>
            </w:pPr>
          </w:p>
        </w:tc>
        <w:tc>
          <w:tcPr>
            <w:tcW w:w="0" w:type="auto"/>
          </w:tcPr>
          <w:p w14:paraId="5715FF77" w14:textId="77777777" w:rsidR="008C5CFA" w:rsidRPr="00A92B39" w:rsidRDefault="00E82A60" w:rsidP="00300A01">
            <w:pPr>
              <w:spacing w:before="0" w:after="0"/>
              <w:jc w:val="right"/>
              <w:rPr>
                <w:sz w:val="10"/>
                <w:szCs w:val="10"/>
                <w:lang w:val="fr-BE"/>
              </w:rPr>
            </w:pPr>
            <w:r w:rsidRPr="00A92B39">
              <w:rPr>
                <w:noProof/>
                <w:sz w:val="10"/>
                <w:szCs w:val="10"/>
                <w:lang w:val="fr-BE"/>
              </w:rPr>
              <w:t>5 086,00</w:t>
            </w:r>
          </w:p>
        </w:tc>
        <w:tc>
          <w:tcPr>
            <w:tcW w:w="0" w:type="auto"/>
            <w:shd w:val="clear" w:color="auto" w:fill="auto"/>
          </w:tcPr>
          <w:p w14:paraId="01F65ED0" w14:textId="77777777" w:rsidR="008C5CFA" w:rsidRPr="00A92B39" w:rsidRDefault="00E82A60" w:rsidP="00300A01">
            <w:pPr>
              <w:spacing w:before="0" w:after="0"/>
              <w:jc w:val="right"/>
              <w:rPr>
                <w:sz w:val="10"/>
                <w:szCs w:val="10"/>
                <w:lang w:val="fr-BE"/>
              </w:rPr>
            </w:pPr>
            <w:r w:rsidRPr="00A92B39">
              <w:rPr>
                <w:noProof/>
                <w:sz w:val="10"/>
                <w:szCs w:val="10"/>
                <w:lang w:val="fr-BE"/>
              </w:rPr>
              <w:t>2 484,00</w:t>
            </w:r>
          </w:p>
        </w:tc>
        <w:tc>
          <w:tcPr>
            <w:tcW w:w="0" w:type="auto"/>
            <w:shd w:val="clear" w:color="auto" w:fill="auto"/>
          </w:tcPr>
          <w:p w14:paraId="639FF839" w14:textId="77777777" w:rsidR="008C5CFA" w:rsidRPr="00BA47B4" w:rsidRDefault="00E82A60" w:rsidP="00300A01">
            <w:pPr>
              <w:spacing w:before="0" w:after="0"/>
              <w:jc w:val="right"/>
              <w:rPr>
                <w:sz w:val="12"/>
                <w:szCs w:val="12"/>
                <w:lang w:val="fr-BE"/>
              </w:rPr>
            </w:pPr>
            <w:r w:rsidRPr="00A92B39">
              <w:rPr>
                <w:noProof/>
                <w:sz w:val="10"/>
                <w:szCs w:val="10"/>
                <w:lang w:val="fr-BE"/>
              </w:rPr>
              <w:t>2 602,00</w:t>
            </w:r>
          </w:p>
        </w:tc>
      </w:tr>
      <w:tr w:rsidR="006B2EC1" w14:paraId="35A4D52F" w14:textId="77777777" w:rsidTr="0047688D">
        <w:tc>
          <w:tcPr>
            <w:tcW w:w="0" w:type="auto"/>
            <w:shd w:val="clear" w:color="auto" w:fill="auto"/>
          </w:tcPr>
          <w:p w14:paraId="7D9E3F6C" w14:textId="77777777" w:rsidR="008C5CFA" w:rsidRPr="00BA47B4" w:rsidRDefault="00E82A60" w:rsidP="00300A01">
            <w:pPr>
              <w:spacing w:before="0" w:after="0"/>
              <w:rPr>
                <w:sz w:val="12"/>
                <w:szCs w:val="12"/>
                <w:lang w:val="fr-BE"/>
              </w:rPr>
            </w:pPr>
            <w:r>
              <w:rPr>
                <w:noProof/>
                <w:sz w:val="12"/>
                <w:szCs w:val="12"/>
                <w:lang w:val="fr-BE"/>
              </w:rPr>
              <w:t>CO07</w:t>
            </w:r>
          </w:p>
        </w:tc>
        <w:tc>
          <w:tcPr>
            <w:tcW w:w="0" w:type="auto"/>
            <w:shd w:val="clear" w:color="auto" w:fill="auto"/>
          </w:tcPr>
          <w:p w14:paraId="3AF40A6C" w14:textId="77777777" w:rsidR="008C5CFA" w:rsidRPr="00BA47B4" w:rsidRDefault="00E82A60" w:rsidP="00300A01">
            <w:pPr>
              <w:spacing w:before="0" w:after="0"/>
              <w:rPr>
                <w:sz w:val="12"/>
                <w:szCs w:val="12"/>
                <w:lang w:val="fr-BE"/>
              </w:rPr>
            </w:pPr>
            <w:r>
              <w:rPr>
                <w:noProof/>
                <w:sz w:val="12"/>
                <w:szCs w:val="12"/>
                <w:lang w:val="fr-BE"/>
              </w:rPr>
              <w:t>osoby w wieku powyżej 54 lat</w:t>
            </w:r>
          </w:p>
        </w:tc>
        <w:tc>
          <w:tcPr>
            <w:tcW w:w="0" w:type="auto"/>
            <w:shd w:val="clear" w:color="auto" w:fill="auto"/>
          </w:tcPr>
          <w:p w14:paraId="3F409233" w14:textId="77777777" w:rsidR="008C5CFA" w:rsidRPr="00BA47B4" w:rsidRDefault="00E82A60"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14:paraId="2B357483" w14:textId="77777777" w:rsidR="008C5CFA" w:rsidRPr="00BA47B4" w:rsidRDefault="008C5CFA" w:rsidP="00300A01">
            <w:pPr>
              <w:spacing w:before="0" w:after="0"/>
              <w:jc w:val="right"/>
              <w:rPr>
                <w:sz w:val="12"/>
                <w:szCs w:val="12"/>
                <w:lang w:val="fr-BE"/>
              </w:rPr>
            </w:pPr>
          </w:p>
        </w:tc>
        <w:tc>
          <w:tcPr>
            <w:tcW w:w="0" w:type="auto"/>
            <w:shd w:val="clear" w:color="auto" w:fill="auto"/>
          </w:tcPr>
          <w:p w14:paraId="3CC39218" w14:textId="77777777" w:rsidR="008C5CFA" w:rsidRPr="00BA47B4" w:rsidRDefault="008C5CFA" w:rsidP="00300A01">
            <w:pPr>
              <w:spacing w:before="0" w:after="0"/>
              <w:jc w:val="right"/>
              <w:rPr>
                <w:sz w:val="12"/>
                <w:szCs w:val="12"/>
                <w:lang w:val="fr-BE"/>
              </w:rPr>
            </w:pPr>
          </w:p>
        </w:tc>
        <w:tc>
          <w:tcPr>
            <w:tcW w:w="0" w:type="auto"/>
            <w:shd w:val="clear" w:color="auto" w:fill="auto"/>
          </w:tcPr>
          <w:p w14:paraId="35C867A7" w14:textId="77777777" w:rsidR="008C5CFA" w:rsidRPr="00BA47B4" w:rsidRDefault="008C5CFA" w:rsidP="00300A01">
            <w:pPr>
              <w:spacing w:before="0" w:after="0"/>
              <w:jc w:val="right"/>
              <w:rPr>
                <w:sz w:val="12"/>
                <w:szCs w:val="12"/>
                <w:lang w:val="fr-BE"/>
              </w:rPr>
            </w:pPr>
          </w:p>
        </w:tc>
        <w:tc>
          <w:tcPr>
            <w:tcW w:w="0" w:type="auto"/>
            <w:shd w:val="clear" w:color="auto" w:fill="auto"/>
          </w:tcPr>
          <w:p w14:paraId="643D4FB3" w14:textId="77777777" w:rsidR="008C5CFA" w:rsidRPr="00BA47B4" w:rsidRDefault="00E82A60" w:rsidP="00300A01">
            <w:pPr>
              <w:spacing w:before="0" w:after="0"/>
              <w:jc w:val="right"/>
              <w:rPr>
                <w:sz w:val="12"/>
                <w:szCs w:val="12"/>
                <w:lang w:val="fr-BE"/>
              </w:rPr>
            </w:pPr>
            <w:r w:rsidRPr="00BA47B4">
              <w:rPr>
                <w:noProof/>
                <w:sz w:val="12"/>
                <w:szCs w:val="12"/>
                <w:lang w:val="fr-BE"/>
              </w:rPr>
              <w:t>427,00</w:t>
            </w:r>
          </w:p>
        </w:tc>
        <w:tc>
          <w:tcPr>
            <w:tcW w:w="0" w:type="auto"/>
            <w:shd w:val="clear" w:color="auto" w:fill="auto"/>
          </w:tcPr>
          <w:p w14:paraId="1F2784A9" w14:textId="77777777" w:rsidR="008C5CFA" w:rsidRPr="00BA47B4" w:rsidRDefault="00E82A60" w:rsidP="00300A01">
            <w:pPr>
              <w:spacing w:before="0" w:after="0"/>
              <w:jc w:val="right"/>
              <w:rPr>
                <w:sz w:val="12"/>
                <w:szCs w:val="12"/>
                <w:lang w:val="fr-BE"/>
              </w:rPr>
            </w:pPr>
            <w:r w:rsidRPr="00BA47B4">
              <w:rPr>
                <w:noProof/>
                <w:sz w:val="12"/>
                <w:szCs w:val="12"/>
                <w:lang w:val="fr-BE"/>
              </w:rPr>
              <w:t>76,00</w:t>
            </w:r>
          </w:p>
        </w:tc>
        <w:tc>
          <w:tcPr>
            <w:tcW w:w="0" w:type="auto"/>
            <w:shd w:val="clear" w:color="auto" w:fill="auto"/>
          </w:tcPr>
          <w:p w14:paraId="4A18F9D2" w14:textId="77777777" w:rsidR="008C5CFA" w:rsidRPr="00BA47B4" w:rsidRDefault="00E82A60" w:rsidP="00300A01">
            <w:pPr>
              <w:spacing w:before="0" w:after="0"/>
              <w:jc w:val="right"/>
              <w:rPr>
                <w:sz w:val="12"/>
                <w:szCs w:val="12"/>
                <w:lang w:val="fr-BE"/>
              </w:rPr>
            </w:pPr>
            <w:r w:rsidRPr="00BA47B4">
              <w:rPr>
                <w:noProof/>
                <w:sz w:val="12"/>
                <w:szCs w:val="12"/>
                <w:lang w:val="fr-BE"/>
              </w:rPr>
              <w:t>351,00</w:t>
            </w:r>
          </w:p>
        </w:tc>
        <w:tc>
          <w:tcPr>
            <w:tcW w:w="0" w:type="auto"/>
            <w:shd w:val="clear" w:color="auto" w:fill="auto"/>
          </w:tcPr>
          <w:p w14:paraId="3B34D07F" w14:textId="77777777" w:rsidR="008C5CFA" w:rsidRPr="00BA47B4" w:rsidRDefault="008C5CFA" w:rsidP="00300A01">
            <w:pPr>
              <w:spacing w:before="0" w:after="0"/>
              <w:jc w:val="right"/>
              <w:rPr>
                <w:sz w:val="12"/>
                <w:szCs w:val="12"/>
                <w:lang w:val="fr-BE"/>
              </w:rPr>
            </w:pPr>
          </w:p>
        </w:tc>
        <w:tc>
          <w:tcPr>
            <w:tcW w:w="0" w:type="auto"/>
            <w:shd w:val="clear" w:color="auto" w:fill="auto"/>
          </w:tcPr>
          <w:p w14:paraId="742F5E7E" w14:textId="77777777" w:rsidR="008C5CFA" w:rsidRPr="00BA47B4" w:rsidRDefault="008C5CFA" w:rsidP="00300A01">
            <w:pPr>
              <w:spacing w:before="0" w:after="0"/>
              <w:jc w:val="right"/>
              <w:rPr>
                <w:sz w:val="12"/>
                <w:szCs w:val="12"/>
                <w:lang w:val="fr-BE"/>
              </w:rPr>
            </w:pPr>
          </w:p>
        </w:tc>
        <w:tc>
          <w:tcPr>
            <w:tcW w:w="0" w:type="auto"/>
            <w:shd w:val="clear" w:color="auto" w:fill="auto"/>
          </w:tcPr>
          <w:p w14:paraId="5848F71E" w14:textId="77777777" w:rsidR="008C5CFA" w:rsidRPr="00BA47B4" w:rsidRDefault="008C5CFA" w:rsidP="00300A01">
            <w:pPr>
              <w:spacing w:before="0" w:after="0"/>
              <w:jc w:val="right"/>
              <w:rPr>
                <w:sz w:val="12"/>
                <w:szCs w:val="12"/>
                <w:lang w:val="fr-BE"/>
              </w:rPr>
            </w:pPr>
          </w:p>
        </w:tc>
        <w:tc>
          <w:tcPr>
            <w:tcW w:w="0" w:type="auto"/>
          </w:tcPr>
          <w:p w14:paraId="023D10BF" w14:textId="77777777" w:rsidR="008C5CFA" w:rsidRPr="00A92B39" w:rsidRDefault="00E82A60" w:rsidP="00300A01">
            <w:pPr>
              <w:spacing w:before="0" w:after="0"/>
              <w:jc w:val="right"/>
              <w:rPr>
                <w:sz w:val="10"/>
                <w:szCs w:val="10"/>
                <w:lang w:val="fr-BE"/>
              </w:rPr>
            </w:pPr>
            <w:r w:rsidRPr="00A92B39">
              <w:rPr>
                <w:noProof/>
                <w:sz w:val="10"/>
                <w:szCs w:val="10"/>
                <w:lang w:val="fr-BE"/>
              </w:rPr>
              <w:t>150,00</w:t>
            </w:r>
          </w:p>
        </w:tc>
        <w:tc>
          <w:tcPr>
            <w:tcW w:w="0" w:type="auto"/>
            <w:shd w:val="clear" w:color="auto" w:fill="auto"/>
          </w:tcPr>
          <w:p w14:paraId="7BB81080" w14:textId="77777777" w:rsidR="008C5CFA" w:rsidRPr="00A92B39" w:rsidRDefault="00E82A60" w:rsidP="00300A01">
            <w:pPr>
              <w:spacing w:before="0" w:after="0"/>
              <w:jc w:val="right"/>
              <w:rPr>
                <w:sz w:val="10"/>
                <w:szCs w:val="10"/>
                <w:lang w:val="fr-BE"/>
              </w:rPr>
            </w:pPr>
            <w:r w:rsidRPr="00A92B39">
              <w:rPr>
                <w:noProof/>
                <w:sz w:val="10"/>
                <w:szCs w:val="10"/>
                <w:lang w:val="fr-BE"/>
              </w:rPr>
              <w:t>32,00</w:t>
            </w:r>
          </w:p>
        </w:tc>
        <w:tc>
          <w:tcPr>
            <w:tcW w:w="0" w:type="auto"/>
            <w:shd w:val="clear" w:color="auto" w:fill="auto"/>
          </w:tcPr>
          <w:p w14:paraId="5F5E09A5" w14:textId="77777777" w:rsidR="008C5CFA" w:rsidRPr="00BA47B4" w:rsidRDefault="00E82A60" w:rsidP="00300A01">
            <w:pPr>
              <w:spacing w:before="0" w:after="0"/>
              <w:jc w:val="right"/>
              <w:rPr>
                <w:sz w:val="12"/>
                <w:szCs w:val="12"/>
                <w:lang w:val="fr-BE"/>
              </w:rPr>
            </w:pPr>
            <w:r w:rsidRPr="00A92B39">
              <w:rPr>
                <w:noProof/>
                <w:sz w:val="10"/>
                <w:szCs w:val="10"/>
                <w:lang w:val="fr-BE"/>
              </w:rPr>
              <w:t>118,00</w:t>
            </w:r>
          </w:p>
        </w:tc>
      </w:tr>
      <w:tr w:rsidR="006B2EC1" w14:paraId="29599877" w14:textId="77777777" w:rsidTr="0047688D">
        <w:tc>
          <w:tcPr>
            <w:tcW w:w="0" w:type="auto"/>
            <w:shd w:val="clear" w:color="auto" w:fill="auto"/>
          </w:tcPr>
          <w:p w14:paraId="0F93488A" w14:textId="77777777" w:rsidR="008C5CFA" w:rsidRPr="00BA47B4" w:rsidRDefault="00E82A60" w:rsidP="00300A01">
            <w:pPr>
              <w:spacing w:before="0" w:after="0"/>
              <w:rPr>
                <w:sz w:val="12"/>
                <w:szCs w:val="12"/>
                <w:lang w:val="fr-BE"/>
              </w:rPr>
            </w:pPr>
            <w:r>
              <w:rPr>
                <w:noProof/>
                <w:sz w:val="12"/>
                <w:szCs w:val="12"/>
                <w:lang w:val="fr-BE"/>
              </w:rPr>
              <w:t>CO08</w:t>
            </w:r>
          </w:p>
        </w:tc>
        <w:tc>
          <w:tcPr>
            <w:tcW w:w="0" w:type="auto"/>
            <w:shd w:val="clear" w:color="auto" w:fill="auto"/>
          </w:tcPr>
          <w:p w14:paraId="20528F28" w14:textId="77777777" w:rsidR="008C5CFA" w:rsidRPr="00BA47B4" w:rsidRDefault="00E82A60" w:rsidP="00300A01">
            <w:pPr>
              <w:spacing w:before="0" w:after="0"/>
              <w:rPr>
                <w:sz w:val="12"/>
                <w:szCs w:val="12"/>
                <w:lang w:val="fr-BE"/>
              </w:rPr>
            </w:pPr>
            <w:r>
              <w:rPr>
                <w:noProof/>
                <w:sz w:val="12"/>
                <w:szCs w:val="12"/>
                <w:lang w:val="fr-BE"/>
              </w:rPr>
              <w:t>osoby powyżej 54 lat, które są bezrobotne, łącznie z długotrwale bezrobotnymi, lub są bierne zawodowo i nie uczestniczą w kształceniu ani szkoleniu</w:t>
            </w:r>
          </w:p>
        </w:tc>
        <w:tc>
          <w:tcPr>
            <w:tcW w:w="0" w:type="auto"/>
            <w:shd w:val="clear" w:color="auto" w:fill="auto"/>
          </w:tcPr>
          <w:p w14:paraId="1A4AADC7" w14:textId="77777777" w:rsidR="008C5CFA" w:rsidRPr="00BA47B4" w:rsidRDefault="00E82A60"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14:paraId="3DF96045" w14:textId="77777777" w:rsidR="008C5CFA" w:rsidRPr="00BA47B4" w:rsidRDefault="008C5CFA" w:rsidP="00300A01">
            <w:pPr>
              <w:spacing w:before="0" w:after="0"/>
              <w:jc w:val="right"/>
              <w:rPr>
                <w:sz w:val="12"/>
                <w:szCs w:val="12"/>
                <w:lang w:val="fr-BE"/>
              </w:rPr>
            </w:pPr>
          </w:p>
        </w:tc>
        <w:tc>
          <w:tcPr>
            <w:tcW w:w="0" w:type="auto"/>
            <w:shd w:val="clear" w:color="auto" w:fill="auto"/>
          </w:tcPr>
          <w:p w14:paraId="22EEFAA7" w14:textId="77777777" w:rsidR="008C5CFA" w:rsidRPr="00BA47B4" w:rsidRDefault="008C5CFA" w:rsidP="00300A01">
            <w:pPr>
              <w:spacing w:before="0" w:after="0"/>
              <w:jc w:val="right"/>
              <w:rPr>
                <w:sz w:val="12"/>
                <w:szCs w:val="12"/>
                <w:lang w:val="fr-BE"/>
              </w:rPr>
            </w:pPr>
          </w:p>
        </w:tc>
        <w:tc>
          <w:tcPr>
            <w:tcW w:w="0" w:type="auto"/>
            <w:shd w:val="clear" w:color="auto" w:fill="auto"/>
          </w:tcPr>
          <w:p w14:paraId="4512AC5D" w14:textId="77777777" w:rsidR="008C5CFA" w:rsidRPr="00BA47B4" w:rsidRDefault="008C5CFA" w:rsidP="00300A01">
            <w:pPr>
              <w:spacing w:before="0" w:after="0"/>
              <w:jc w:val="right"/>
              <w:rPr>
                <w:sz w:val="12"/>
                <w:szCs w:val="12"/>
                <w:lang w:val="fr-BE"/>
              </w:rPr>
            </w:pPr>
          </w:p>
        </w:tc>
        <w:tc>
          <w:tcPr>
            <w:tcW w:w="0" w:type="auto"/>
            <w:shd w:val="clear" w:color="auto" w:fill="auto"/>
          </w:tcPr>
          <w:p w14:paraId="786B4180"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45BCC3E9"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75B49796"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2C283C72" w14:textId="77777777" w:rsidR="008C5CFA" w:rsidRPr="00BA47B4" w:rsidRDefault="008C5CFA" w:rsidP="00300A01">
            <w:pPr>
              <w:spacing w:before="0" w:after="0"/>
              <w:jc w:val="right"/>
              <w:rPr>
                <w:sz w:val="12"/>
                <w:szCs w:val="12"/>
                <w:lang w:val="fr-BE"/>
              </w:rPr>
            </w:pPr>
          </w:p>
        </w:tc>
        <w:tc>
          <w:tcPr>
            <w:tcW w:w="0" w:type="auto"/>
            <w:shd w:val="clear" w:color="auto" w:fill="auto"/>
          </w:tcPr>
          <w:p w14:paraId="1EA3AB12" w14:textId="77777777" w:rsidR="008C5CFA" w:rsidRPr="00BA47B4" w:rsidRDefault="008C5CFA" w:rsidP="00300A01">
            <w:pPr>
              <w:spacing w:before="0" w:after="0"/>
              <w:jc w:val="right"/>
              <w:rPr>
                <w:sz w:val="12"/>
                <w:szCs w:val="12"/>
                <w:lang w:val="fr-BE"/>
              </w:rPr>
            </w:pPr>
          </w:p>
        </w:tc>
        <w:tc>
          <w:tcPr>
            <w:tcW w:w="0" w:type="auto"/>
            <w:shd w:val="clear" w:color="auto" w:fill="auto"/>
          </w:tcPr>
          <w:p w14:paraId="07E69A39" w14:textId="77777777" w:rsidR="008C5CFA" w:rsidRPr="00BA47B4" w:rsidRDefault="008C5CFA" w:rsidP="00300A01">
            <w:pPr>
              <w:spacing w:before="0" w:after="0"/>
              <w:jc w:val="right"/>
              <w:rPr>
                <w:sz w:val="12"/>
                <w:szCs w:val="12"/>
                <w:lang w:val="fr-BE"/>
              </w:rPr>
            </w:pPr>
          </w:p>
        </w:tc>
        <w:tc>
          <w:tcPr>
            <w:tcW w:w="0" w:type="auto"/>
          </w:tcPr>
          <w:p w14:paraId="34B73787"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14:paraId="73DA0012"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14:paraId="0D419E11" w14:textId="77777777" w:rsidR="008C5CFA" w:rsidRPr="00BA47B4" w:rsidRDefault="00E82A60" w:rsidP="00300A01">
            <w:pPr>
              <w:spacing w:before="0" w:after="0"/>
              <w:jc w:val="right"/>
              <w:rPr>
                <w:sz w:val="12"/>
                <w:szCs w:val="12"/>
                <w:lang w:val="fr-BE"/>
              </w:rPr>
            </w:pPr>
            <w:r w:rsidRPr="00A92B39">
              <w:rPr>
                <w:noProof/>
                <w:sz w:val="10"/>
                <w:szCs w:val="10"/>
                <w:lang w:val="fr-BE"/>
              </w:rPr>
              <w:t>0,00</w:t>
            </w:r>
          </w:p>
        </w:tc>
      </w:tr>
      <w:tr w:rsidR="006B2EC1" w14:paraId="3B08FEFB" w14:textId="77777777" w:rsidTr="0047688D">
        <w:tc>
          <w:tcPr>
            <w:tcW w:w="0" w:type="auto"/>
            <w:shd w:val="clear" w:color="auto" w:fill="auto"/>
          </w:tcPr>
          <w:p w14:paraId="6D3AE019" w14:textId="77777777" w:rsidR="008C5CFA" w:rsidRPr="00BA47B4" w:rsidRDefault="00E82A60" w:rsidP="00300A01">
            <w:pPr>
              <w:spacing w:before="0" w:after="0"/>
              <w:rPr>
                <w:sz w:val="12"/>
                <w:szCs w:val="12"/>
                <w:lang w:val="fr-BE"/>
              </w:rPr>
            </w:pPr>
            <w:r>
              <w:rPr>
                <w:noProof/>
                <w:sz w:val="12"/>
                <w:szCs w:val="12"/>
                <w:lang w:val="fr-BE"/>
              </w:rPr>
              <w:t>CO09</w:t>
            </w:r>
          </w:p>
        </w:tc>
        <w:tc>
          <w:tcPr>
            <w:tcW w:w="0" w:type="auto"/>
            <w:shd w:val="clear" w:color="auto" w:fill="auto"/>
          </w:tcPr>
          <w:p w14:paraId="06B41B3E" w14:textId="77777777" w:rsidR="008C5CFA" w:rsidRPr="00BA47B4" w:rsidRDefault="00E82A60" w:rsidP="00300A01">
            <w:pPr>
              <w:spacing w:before="0" w:after="0"/>
              <w:rPr>
                <w:sz w:val="12"/>
                <w:szCs w:val="12"/>
                <w:lang w:val="fr-BE"/>
              </w:rPr>
            </w:pPr>
            <w:r>
              <w:rPr>
                <w:noProof/>
                <w:sz w:val="12"/>
                <w:szCs w:val="12"/>
                <w:lang w:val="fr-BE"/>
              </w:rPr>
              <w:t>osoby z wykształceniem podstawowym (ISCED 1) lub średnim I stopnia (ISCED 2)</w:t>
            </w:r>
          </w:p>
        </w:tc>
        <w:tc>
          <w:tcPr>
            <w:tcW w:w="0" w:type="auto"/>
            <w:shd w:val="clear" w:color="auto" w:fill="auto"/>
          </w:tcPr>
          <w:p w14:paraId="4685CC40" w14:textId="77777777" w:rsidR="008C5CFA" w:rsidRPr="00BA47B4" w:rsidRDefault="00E82A60"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14:paraId="15F98BF8" w14:textId="77777777" w:rsidR="008C5CFA" w:rsidRPr="00BA47B4" w:rsidRDefault="008C5CFA" w:rsidP="00300A01">
            <w:pPr>
              <w:spacing w:before="0" w:after="0"/>
              <w:jc w:val="right"/>
              <w:rPr>
                <w:sz w:val="12"/>
                <w:szCs w:val="12"/>
                <w:lang w:val="fr-BE"/>
              </w:rPr>
            </w:pPr>
          </w:p>
        </w:tc>
        <w:tc>
          <w:tcPr>
            <w:tcW w:w="0" w:type="auto"/>
            <w:shd w:val="clear" w:color="auto" w:fill="auto"/>
          </w:tcPr>
          <w:p w14:paraId="217B5EF8" w14:textId="77777777" w:rsidR="008C5CFA" w:rsidRPr="00BA47B4" w:rsidRDefault="008C5CFA" w:rsidP="00300A01">
            <w:pPr>
              <w:spacing w:before="0" w:after="0"/>
              <w:jc w:val="right"/>
              <w:rPr>
                <w:sz w:val="12"/>
                <w:szCs w:val="12"/>
                <w:lang w:val="fr-BE"/>
              </w:rPr>
            </w:pPr>
          </w:p>
        </w:tc>
        <w:tc>
          <w:tcPr>
            <w:tcW w:w="0" w:type="auto"/>
            <w:shd w:val="clear" w:color="auto" w:fill="auto"/>
          </w:tcPr>
          <w:p w14:paraId="14F71A93" w14:textId="77777777" w:rsidR="008C5CFA" w:rsidRPr="00BA47B4" w:rsidRDefault="008C5CFA" w:rsidP="00300A01">
            <w:pPr>
              <w:spacing w:before="0" w:after="0"/>
              <w:jc w:val="right"/>
              <w:rPr>
                <w:sz w:val="12"/>
                <w:szCs w:val="12"/>
                <w:lang w:val="fr-BE"/>
              </w:rPr>
            </w:pPr>
          </w:p>
        </w:tc>
        <w:tc>
          <w:tcPr>
            <w:tcW w:w="0" w:type="auto"/>
            <w:shd w:val="clear" w:color="auto" w:fill="auto"/>
          </w:tcPr>
          <w:p w14:paraId="66C34201" w14:textId="77777777" w:rsidR="008C5CFA" w:rsidRPr="00BA47B4" w:rsidRDefault="00E82A60" w:rsidP="00300A01">
            <w:pPr>
              <w:spacing w:before="0" w:after="0"/>
              <w:jc w:val="right"/>
              <w:rPr>
                <w:sz w:val="12"/>
                <w:szCs w:val="12"/>
                <w:lang w:val="fr-BE"/>
              </w:rPr>
            </w:pPr>
            <w:r w:rsidRPr="00BA47B4">
              <w:rPr>
                <w:noProof/>
                <w:sz w:val="12"/>
                <w:szCs w:val="12"/>
                <w:lang w:val="fr-BE"/>
              </w:rPr>
              <w:t>24 681,00</w:t>
            </w:r>
          </w:p>
        </w:tc>
        <w:tc>
          <w:tcPr>
            <w:tcW w:w="0" w:type="auto"/>
            <w:shd w:val="clear" w:color="auto" w:fill="auto"/>
          </w:tcPr>
          <w:p w14:paraId="6BC820F0" w14:textId="77777777" w:rsidR="008C5CFA" w:rsidRPr="00BA47B4" w:rsidRDefault="00E82A60" w:rsidP="00300A01">
            <w:pPr>
              <w:spacing w:before="0" w:after="0"/>
              <w:jc w:val="right"/>
              <w:rPr>
                <w:sz w:val="12"/>
                <w:szCs w:val="12"/>
                <w:lang w:val="fr-BE"/>
              </w:rPr>
            </w:pPr>
            <w:r w:rsidRPr="00BA47B4">
              <w:rPr>
                <w:noProof/>
                <w:sz w:val="12"/>
                <w:szCs w:val="12"/>
                <w:lang w:val="fr-BE"/>
              </w:rPr>
              <w:t>11 964,00</w:t>
            </w:r>
          </w:p>
        </w:tc>
        <w:tc>
          <w:tcPr>
            <w:tcW w:w="0" w:type="auto"/>
            <w:shd w:val="clear" w:color="auto" w:fill="auto"/>
          </w:tcPr>
          <w:p w14:paraId="77A48BB3" w14:textId="77777777" w:rsidR="008C5CFA" w:rsidRPr="00BA47B4" w:rsidRDefault="00E82A60" w:rsidP="00300A01">
            <w:pPr>
              <w:spacing w:before="0" w:after="0"/>
              <w:jc w:val="right"/>
              <w:rPr>
                <w:sz w:val="12"/>
                <w:szCs w:val="12"/>
                <w:lang w:val="fr-BE"/>
              </w:rPr>
            </w:pPr>
            <w:r w:rsidRPr="00BA47B4">
              <w:rPr>
                <w:noProof/>
                <w:sz w:val="12"/>
                <w:szCs w:val="12"/>
                <w:lang w:val="fr-BE"/>
              </w:rPr>
              <w:t>12 717,00</w:t>
            </w:r>
          </w:p>
        </w:tc>
        <w:tc>
          <w:tcPr>
            <w:tcW w:w="0" w:type="auto"/>
            <w:shd w:val="clear" w:color="auto" w:fill="auto"/>
          </w:tcPr>
          <w:p w14:paraId="7E903D3F" w14:textId="77777777" w:rsidR="008C5CFA" w:rsidRPr="00BA47B4" w:rsidRDefault="008C5CFA" w:rsidP="00300A01">
            <w:pPr>
              <w:spacing w:before="0" w:after="0"/>
              <w:jc w:val="right"/>
              <w:rPr>
                <w:sz w:val="12"/>
                <w:szCs w:val="12"/>
                <w:lang w:val="fr-BE"/>
              </w:rPr>
            </w:pPr>
          </w:p>
        </w:tc>
        <w:tc>
          <w:tcPr>
            <w:tcW w:w="0" w:type="auto"/>
            <w:shd w:val="clear" w:color="auto" w:fill="auto"/>
          </w:tcPr>
          <w:p w14:paraId="7E8A9763" w14:textId="77777777" w:rsidR="008C5CFA" w:rsidRPr="00BA47B4" w:rsidRDefault="008C5CFA" w:rsidP="00300A01">
            <w:pPr>
              <w:spacing w:before="0" w:after="0"/>
              <w:jc w:val="right"/>
              <w:rPr>
                <w:sz w:val="12"/>
                <w:szCs w:val="12"/>
                <w:lang w:val="fr-BE"/>
              </w:rPr>
            </w:pPr>
          </w:p>
        </w:tc>
        <w:tc>
          <w:tcPr>
            <w:tcW w:w="0" w:type="auto"/>
            <w:shd w:val="clear" w:color="auto" w:fill="auto"/>
          </w:tcPr>
          <w:p w14:paraId="25DEBAC3" w14:textId="77777777" w:rsidR="008C5CFA" w:rsidRPr="00BA47B4" w:rsidRDefault="008C5CFA" w:rsidP="00300A01">
            <w:pPr>
              <w:spacing w:before="0" w:after="0"/>
              <w:jc w:val="right"/>
              <w:rPr>
                <w:sz w:val="12"/>
                <w:szCs w:val="12"/>
                <w:lang w:val="fr-BE"/>
              </w:rPr>
            </w:pPr>
          </w:p>
        </w:tc>
        <w:tc>
          <w:tcPr>
            <w:tcW w:w="0" w:type="auto"/>
          </w:tcPr>
          <w:p w14:paraId="6CAF7FD0" w14:textId="77777777" w:rsidR="008C5CFA" w:rsidRPr="00A92B39" w:rsidRDefault="00E82A60" w:rsidP="00300A01">
            <w:pPr>
              <w:spacing w:before="0" w:after="0"/>
              <w:jc w:val="right"/>
              <w:rPr>
                <w:sz w:val="10"/>
                <w:szCs w:val="10"/>
                <w:lang w:val="fr-BE"/>
              </w:rPr>
            </w:pPr>
            <w:r w:rsidRPr="00A92B39">
              <w:rPr>
                <w:noProof/>
                <w:sz w:val="10"/>
                <w:szCs w:val="10"/>
                <w:lang w:val="fr-BE"/>
              </w:rPr>
              <w:t>4 737,00</w:t>
            </w:r>
          </w:p>
        </w:tc>
        <w:tc>
          <w:tcPr>
            <w:tcW w:w="0" w:type="auto"/>
            <w:shd w:val="clear" w:color="auto" w:fill="auto"/>
          </w:tcPr>
          <w:p w14:paraId="23C73883" w14:textId="77777777" w:rsidR="008C5CFA" w:rsidRPr="00A92B39" w:rsidRDefault="00E82A60" w:rsidP="00300A01">
            <w:pPr>
              <w:spacing w:before="0" w:after="0"/>
              <w:jc w:val="right"/>
              <w:rPr>
                <w:sz w:val="10"/>
                <w:szCs w:val="10"/>
                <w:lang w:val="fr-BE"/>
              </w:rPr>
            </w:pPr>
            <w:r w:rsidRPr="00A92B39">
              <w:rPr>
                <w:noProof/>
                <w:sz w:val="10"/>
                <w:szCs w:val="10"/>
                <w:lang w:val="fr-BE"/>
              </w:rPr>
              <w:t>2 315,00</w:t>
            </w:r>
          </w:p>
        </w:tc>
        <w:tc>
          <w:tcPr>
            <w:tcW w:w="0" w:type="auto"/>
            <w:shd w:val="clear" w:color="auto" w:fill="auto"/>
          </w:tcPr>
          <w:p w14:paraId="2CCFCD70" w14:textId="77777777" w:rsidR="008C5CFA" w:rsidRPr="00BA47B4" w:rsidRDefault="00E82A60" w:rsidP="00300A01">
            <w:pPr>
              <w:spacing w:before="0" w:after="0"/>
              <w:jc w:val="right"/>
              <w:rPr>
                <w:sz w:val="12"/>
                <w:szCs w:val="12"/>
                <w:lang w:val="fr-BE"/>
              </w:rPr>
            </w:pPr>
            <w:r w:rsidRPr="00A92B39">
              <w:rPr>
                <w:noProof/>
                <w:sz w:val="10"/>
                <w:szCs w:val="10"/>
                <w:lang w:val="fr-BE"/>
              </w:rPr>
              <w:t>2 422,00</w:t>
            </w:r>
          </w:p>
        </w:tc>
      </w:tr>
      <w:tr w:rsidR="006B2EC1" w14:paraId="3DAA584B" w14:textId="77777777" w:rsidTr="0047688D">
        <w:tc>
          <w:tcPr>
            <w:tcW w:w="0" w:type="auto"/>
            <w:shd w:val="clear" w:color="auto" w:fill="auto"/>
          </w:tcPr>
          <w:p w14:paraId="632AACFC" w14:textId="77777777" w:rsidR="008C5CFA" w:rsidRPr="00BA47B4" w:rsidRDefault="00E82A60" w:rsidP="00300A01">
            <w:pPr>
              <w:spacing w:before="0" w:after="0"/>
              <w:rPr>
                <w:sz w:val="12"/>
                <w:szCs w:val="12"/>
                <w:lang w:val="fr-BE"/>
              </w:rPr>
            </w:pPr>
            <w:r>
              <w:rPr>
                <w:noProof/>
                <w:sz w:val="12"/>
                <w:szCs w:val="12"/>
                <w:lang w:val="fr-BE"/>
              </w:rPr>
              <w:t>CO10</w:t>
            </w:r>
          </w:p>
        </w:tc>
        <w:tc>
          <w:tcPr>
            <w:tcW w:w="0" w:type="auto"/>
            <w:shd w:val="clear" w:color="auto" w:fill="auto"/>
          </w:tcPr>
          <w:p w14:paraId="773B3C86" w14:textId="77777777" w:rsidR="008C5CFA" w:rsidRPr="00BA47B4" w:rsidRDefault="00E82A60" w:rsidP="00300A01">
            <w:pPr>
              <w:spacing w:before="0" w:after="0"/>
              <w:rPr>
                <w:sz w:val="12"/>
                <w:szCs w:val="12"/>
                <w:lang w:val="fr-BE"/>
              </w:rPr>
            </w:pPr>
            <w:r>
              <w:rPr>
                <w:noProof/>
                <w:sz w:val="12"/>
                <w:szCs w:val="12"/>
                <w:lang w:val="fr-BE"/>
              </w:rPr>
              <w:t>osoby z wykształceniem średnim II stopnia (ISCED 3) lub policealnym (ISCED 4)</w:t>
            </w:r>
          </w:p>
        </w:tc>
        <w:tc>
          <w:tcPr>
            <w:tcW w:w="0" w:type="auto"/>
            <w:shd w:val="clear" w:color="auto" w:fill="auto"/>
          </w:tcPr>
          <w:p w14:paraId="368DDFFC" w14:textId="77777777" w:rsidR="008C5CFA" w:rsidRPr="00BA47B4" w:rsidRDefault="00E82A60"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14:paraId="7BD69166" w14:textId="77777777" w:rsidR="008C5CFA" w:rsidRPr="00BA47B4" w:rsidRDefault="008C5CFA" w:rsidP="00300A01">
            <w:pPr>
              <w:spacing w:before="0" w:after="0"/>
              <w:jc w:val="right"/>
              <w:rPr>
                <w:sz w:val="12"/>
                <w:szCs w:val="12"/>
                <w:lang w:val="fr-BE"/>
              </w:rPr>
            </w:pPr>
          </w:p>
        </w:tc>
        <w:tc>
          <w:tcPr>
            <w:tcW w:w="0" w:type="auto"/>
            <w:shd w:val="clear" w:color="auto" w:fill="auto"/>
          </w:tcPr>
          <w:p w14:paraId="7194E180" w14:textId="77777777" w:rsidR="008C5CFA" w:rsidRPr="00BA47B4" w:rsidRDefault="008C5CFA" w:rsidP="00300A01">
            <w:pPr>
              <w:spacing w:before="0" w:after="0"/>
              <w:jc w:val="right"/>
              <w:rPr>
                <w:sz w:val="12"/>
                <w:szCs w:val="12"/>
                <w:lang w:val="fr-BE"/>
              </w:rPr>
            </w:pPr>
          </w:p>
        </w:tc>
        <w:tc>
          <w:tcPr>
            <w:tcW w:w="0" w:type="auto"/>
            <w:shd w:val="clear" w:color="auto" w:fill="auto"/>
          </w:tcPr>
          <w:p w14:paraId="779BD79E" w14:textId="77777777" w:rsidR="008C5CFA" w:rsidRPr="00BA47B4" w:rsidRDefault="008C5CFA" w:rsidP="00300A01">
            <w:pPr>
              <w:spacing w:before="0" w:after="0"/>
              <w:jc w:val="right"/>
              <w:rPr>
                <w:sz w:val="12"/>
                <w:szCs w:val="12"/>
                <w:lang w:val="fr-BE"/>
              </w:rPr>
            </w:pPr>
          </w:p>
        </w:tc>
        <w:tc>
          <w:tcPr>
            <w:tcW w:w="0" w:type="auto"/>
            <w:shd w:val="clear" w:color="auto" w:fill="auto"/>
          </w:tcPr>
          <w:p w14:paraId="30ABCCCC" w14:textId="77777777" w:rsidR="008C5CFA" w:rsidRPr="00BA47B4" w:rsidRDefault="00E82A60" w:rsidP="00300A01">
            <w:pPr>
              <w:spacing w:before="0" w:after="0"/>
              <w:jc w:val="right"/>
              <w:rPr>
                <w:sz w:val="12"/>
                <w:szCs w:val="12"/>
                <w:lang w:val="fr-BE"/>
              </w:rPr>
            </w:pPr>
            <w:r w:rsidRPr="00BA47B4">
              <w:rPr>
                <w:noProof/>
                <w:sz w:val="12"/>
                <w:szCs w:val="12"/>
                <w:lang w:val="fr-BE"/>
              </w:rPr>
              <w:t>4,00</w:t>
            </w:r>
          </w:p>
        </w:tc>
        <w:tc>
          <w:tcPr>
            <w:tcW w:w="0" w:type="auto"/>
            <w:shd w:val="clear" w:color="auto" w:fill="auto"/>
          </w:tcPr>
          <w:p w14:paraId="49DC8673"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2C1EC98A" w14:textId="77777777" w:rsidR="008C5CFA" w:rsidRPr="00BA47B4" w:rsidRDefault="00E82A60" w:rsidP="00300A01">
            <w:pPr>
              <w:spacing w:before="0" w:after="0"/>
              <w:jc w:val="right"/>
              <w:rPr>
                <w:sz w:val="12"/>
                <w:szCs w:val="12"/>
                <w:lang w:val="fr-BE"/>
              </w:rPr>
            </w:pPr>
            <w:r w:rsidRPr="00BA47B4">
              <w:rPr>
                <w:noProof/>
                <w:sz w:val="12"/>
                <w:szCs w:val="12"/>
                <w:lang w:val="fr-BE"/>
              </w:rPr>
              <w:t>4,00</w:t>
            </w:r>
          </w:p>
        </w:tc>
        <w:tc>
          <w:tcPr>
            <w:tcW w:w="0" w:type="auto"/>
            <w:shd w:val="clear" w:color="auto" w:fill="auto"/>
          </w:tcPr>
          <w:p w14:paraId="34266BDB" w14:textId="77777777" w:rsidR="008C5CFA" w:rsidRPr="00BA47B4" w:rsidRDefault="008C5CFA" w:rsidP="00300A01">
            <w:pPr>
              <w:spacing w:before="0" w:after="0"/>
              <w:jc w:val="right"/>
              <w:rPr>
                <w:sz w:val="12"/>
                <w:szCs w:val="12"/>
                <w:lang w:val="fr-BE"/>
              </w:rPr>
            </w:pPr>
          </w:p>
        </w:tc>
        <w:tc>
          <w:tcPr>
            <w:tcW w:w="0" w:type="auto"/>
            <w:shd w:val="clear" w:color="auto" w:fill="auto"/>
          </w:tcPr>
          <w:p w14:paraId="4104774B" w14:textId="77777777" w:rsidR="008C5CFA" w:rsidRPr="00BA47B4" w:rsidRDefault="008C5CFA" w:rsidP="00300A01">
            <w:pPr>
              <w:spacing w:before="0" w:after="0"/>
              <w:jc w:val="right"/>
              <w:rPr>
                <w:sz w:val="12"/>
                <w:szCs w:val="12"/>
                <w:lang w:val="fr-BE"/>
              </w:rPr>
            </w:pPr>
          </w:p>
        </w:tc>
        <w:tc>
          <w:tcPr>
            <w:tcW w:w="0" w:type="auto"/>
            <w:shd w:val="clear" w:color="auto" w:fill="auto"/>
          </w:tcPr>
          <w:p w14:paraId="63613DB4" w14:textId="77777777" w:rsidR="008C5CFA" w:rsidRPr="00BA47B4" w:rsidRDefault="008C5CFA" w:rsidP="00300A01">
            <w:pPr>
              <w:spacing w:before="0" w:after="0"/>
              <w:jc w:val="right"/>
              <w:rPr>
                <w:sz w:val="12"/>
                <w:szCs w:val="12"/>
                <w:lang w:val="fr-BE"/>
              </w:rPr>
            </w:pPr>
          </w:p>
        </w:tc>
        <w:tc>
          <w:tcPr>
            <w:tcW w:w="0" w:type="auto"/>
          </w:tcPr>
          <w:p w14:paraId="24890AD8" w14:textId="77777777" w:rsidR="008C5CFA" w:rsidRPr="00A92B39" w:rsidRDefault="00E82A60" w:rsidP="00300A01">
            <w:pPr>
              <w:spacing w:before="0" w:after="0"/>
              <w:jc w:val="right"/>
              <w:rPr>
                <w:sz w:val="10"/>
                <w:szCs w:val="10"/>
                <w:lang w:val="fr-BE"/>
              </w:rPr>
            </w:pPr>
            <w:r w:rsidRPr="00A92B39">
              <w:rPr>
                <w:noProof/>
                <w:sz w:val="10"/>
                <w:szCs w:val="10"/>
                <w:lang w:val="fr-BE"/>
              </w:rPr>
              <w:t>1,00</w:t>
            </w:r>
          </w:p>
        </w:tc>
        <w:tc>
          <w:tcPr>
            <w:tcW w:w="0" w:type="auto"/>
            <w:shd w:val="clear" w:color="auto" w:fill="auto"/>
          </w:tcPr>
          <w:p w14:paraId="3871BBE3"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14:paraId="7E41CEE0" w14:textId="77777777" w:rsidR="008C5CFA" w:rsidRPr="00BA47B4" w:rsidRDefault="00E82A60" w:rsidP="00300A01">
            <w:pPr>
              <w:spacing w:before="0" w:after="0"/>
              <w:jc w:val="right"/>
              <w:rPr>
                <w:sz w:val="12"/>
                <w:szCs w:val="12"/>
                <w:lang w:val="fr-BE"/>
              </w:rPr>
            </w:pPr>
            <w:r w:rsidRPr="00A92B39">
              <w:rPr>
                <w:noProof/>
                <w:sz w:val="10"/>
                <w:szCs w:val="10"/>
                <w:lang w:val="fr-BE"/>
              </w:rPr>
              <w:t>1,00</w:t>
            </w:r>
          </w:p>
        </w:tc>
      </w:tr>
      <w:tr w:rsidR="006B2EC1" w14:paraId="2AE369AA" w14:textId="77777777" w:rsidTr="0047688D">
        <w:tc>
          <w:tcPr>
            <w:tcW w:w="0" w:type="auto"/>
            <w:shd w:val="clear" w:color="auto" w:fill="auto"/>
          </w:tcPr>
          <w:p w14:paraId="4B0A04E5" w14:textId="77777777" w:rsidR="008C5CFA" w:rsidRPr="00BA47B4" w:rsidRDefault="00E82A60" w:rsidP="00300A01">
            <w:pPr>
              <w:spacing w:before="0" w:after="0"/>
              <w:rPr>
                <w:sz w:val="12"/>
                <w:szCs w:val="12"/>
                <w:lang w:val="fr-BE"/>
              </w:rPr>
            </w:pPr>
            <w:r>
              <w:rPr>
                <w:noProof/>
                <w:sz w:val="12"/>
                <w:szCs w:val="12"/>
                <w:lang w:val="fr-BE"/>
              </w:rPr>
              <w:t>CO11</w:t>
            </w:r>
          </w:p>
        </w:tc>
        <w:tc>
          <w:tcPr>
            <w:tcW w:w="0" w:type="auto"/>
            <w:shd w:val="clear" w:color="auto" w:fill="auto"/>
          </w:tcPr>
          <w:p w14:paraId="5A6AA240" w14:textId="77777777" w:rsidR="008C5CFA" w:rsidRPr="00BA47B4" w:rsidRDefault="00E82A60" w:rsidP="00300A01">
            <w:pPr>
              <w:spacing w:before="0" w:after="0"/>
              <w:rPr>
                <w:sz w:val="12"/>
                <w:szCs w:val="12"/>
                <w:lang w:val="fr-BE"/>
              </w:rPr>
            </w:pPr>
            <w:r>
              <w:rPr>
                <w:noProof/>
                <w:sz w:val="12"/>
                <w:szCs w:val="12"/>
                <w:lang w:val="fr-BE"/>
              </w:rPr>
              <w:t>osoby z wykształceniem wyższym (ISCED 5 do 8)</w:t>
            </w:r>
          </w:p>
        </w:tc>
        <w:tc>
          <w:tcPr>
            <w:tcW w:w="0" w:type="auto"/>
            <w:shd w:val="clear" w:color="auto" w:fill="auto"/>
          </w:tcPr>
          <w:p w14:paraId="47DF6204" w14:textId="77777777" w:rsidR="008C5CFA" w:rsidRPr="00BA47B4" w:rsidRDefault="00E82A60"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14:paraId="5FC01B74" w14:textId="77777777" w:rsidR="008C5CFA" w:rsidRPr="00BA47B4" w:rsidRDefault="008C5CFA" w:rsidP="00300A01">
            <w:pPr>
              <w:spacing w:before="0" w:after="0"/>
              <w:jc w:val="right"/>
              <w:rPr>
                <w:sz w:val="12"/>
                <w:szCs w:val="12"/>
                <w:lang w:val="fr-BE"/>
              </w:rPr>
            </w:pPr>
          </w:p>
        </w:tc>
        <w:tc>
          <w:tcPr>
            <w:tcW w:w="0" w:type="auto"/>
            <w:shd w:val="clear" w:color="auto" w:fill="auto"/>
          </w:tcPr>
          <w:p w14:paraId="67EA0F79" w14:textId="77777777" w:rsidR="008C5CFA" w:rsidRPr="00BA47B4" w:rsidRDefault="008C5CFA" w:rsidP="00300A01">
            <w:pPr>
              <w:spacing w:before="0" w:after="0"/>
              <w:jc w:val="right"/>
              <w:rPr>
                <w:sz w:val="12"/>
                <w:szCs w:val="12"/>
                <w:lang w:val="fr-BE"/>
              </w:rPr>
            </w:pPr>
          </w:p>
        </w:tc>
        <w:tc>
          <w:tcPr>
            <w:tcW w:w="0" w:type="auto"/>
            <w:shd w:val="clear" w:color="auto" w:fill="auto"/>
          </w:tcPr>
          <w:p w14:paraId="19608919" w14:textId="77777777" w:rsidR="008C5CFA" w:rsidRPr="00BA47B4" w:rsidRDefault="008C5CFA" w:rsidP="00300A01">
            <w:pPr>
              <w:spacing w:before="0" w:after="0"/>
              <w:jc w:val="right"/>
              <w:rPr>
                <w:sz w:val="12"/>
                <w:szCs w:val="12"/>
                <w:lang w:val="fr-BE"/>
              </w:rPr>
            </w:pPr>
          </w:p>
        </w:tc>
        <w:tc>
          <w:tcPr>
            <w:tcW w:w="0" w:type="auto"/>
            <w:shd w:val="clear" w:color="auto" w:fill="auto"/>
          </w:tcPr>
          <w:p w14:paraId="27784C64" w14:textId="77777777" w:rsidR="008C5CFA" w:rsidRPr="00BA47B4" w:rsidRDefault="00E82A60" w:rsidP="00300A01">
            <w:pPr>
              <w:spacing w:before="0" w:after="0"/>
              <w:jc w:val="right"/>
              <w:rPr>
                <w:sz w:val="12"/>
                <w:szCs w:val="12"/>
                <w:lang w:val="fr-BE"/>
              </w:rPr>
            </w:pPr>
            <w:r w:rsidRPr="00BA47B4">
              <w:rPr>
                <w:noProof/>
                <w:sz w:val="12"/>
                <w:szCs w:val="12"/>
                <w:lang w:val="fr-BE"/>
              </w:rPr>
              <w:t>3 054,00</w:t>
            </w:r>
          </w:p>
        </w:tc>
        <w:tc>
          <w:tcPr>
            <w:tcW w:w="0" w:type="auto"/>
            <w:shd w:val="clear" w:color="auto" w:fill="auto"/>
          </w:tcPr>
          <w:p w14:paraId="4D1756AB" w14:textId="77777777" w:rsidR="008C5CFA" w:rsidRPr="00BA47B4" w:rsidRDefault="00E82A60" w:rsidP="00300A01">
            <w:pPr>
              <w:spacing w:before="0" w:after="0"/>
              <w:jc w:val="right"/>
              <w:rPr>
                <w:sz w:val="12"/>
                <w:szCs w:val="12"/>
                <w:lang w:val="fr-BE"/>
              </w:rPr>
            </w:pPr>
            <w:r w:rsidRPr="00BA47B4">
              <w:rPr>
                <w:noProof/>
                <w:sz w:val="12"/>
                <w:szCs w:val="12"/>
                <w:lang w:val="fr-BE"/>
              </w:rPr>
              <w:t>419,00</w:t>
            </w:r>
          </w:p>
        </w:tc>
        <w:tc>
          <w:tcPr>
            <w:tcW w:w="0" w:type="auto"/>
            <w:shd w:val="clear" w:color="auto" w:fill="auto"/>
          </w:tcPr>
          <w:p w14:paraId="1364BCC2" w14:textId="77777777" w:rsidR="008C5CFA" w:rsidRPr="00BA47B4" w:rsidRDefault="00E82A60" w:rsidP="00300A01">
            <w:pPr>
              <w:spacing w:before="0" w:after="0"/>
              <w:jc w:val="right"/>
              <w:rPr>
                <w:sz w:val="12"/>
                <w:szCs w:val="12"/>
                <w:lang w:val="fr-BE"/>
              </w:rPr>
            </w:pPr>
            <w:r w:rsidRPr="00BA47B4">
              <w:rPr>
                <w:noProof/>
                <w:sz w:val="12"/>
                <w:szCs w:val="12"/>
                <w:lang w:val="fr-BE"/>
              </w:rPr>
              <w:t>2 635,00</w:t>
            </w:r>
          </w:p>
        </w:tc>
        <w:tc>
          <w:tcPr>
            <w:tcW w:w="0" w:type="auto"/>
            <w:shd w:val="clear" w:color="auto" w:fill="auto"/>
          </w:tcPr>
          <w:p w14:paraId="1AAA21C4" w14:textId="77777777" w:rsidR="008C5CFA" w:rsidRPr="00BA47B4" w:rsidRDefault="008C5CFA" w:rsidP="00300A01">
            <w:pPr>
              <w:spacing w:before="0" w:after="0"/>
              <w:jc w:val="right"/>
              <w:rPr>
                <w:sz w:val="12"/>
                <w:szCs w:val="12"/>
                <w:lang w:val="fr-BE"/>
              </w:rPr>
            </w:pPr>
          </w:p>
        </w:tc>
        <w:tc>
          <w:tcPr>
            <w:tcW w:w="0" w:type="auto"/>
            <w:shd w:val="clear" w:color="auto" w:fill="auto"/>
          </w:tcPr>
          <w:p w14:paraId="0BDE1407" w14:textId="77777777" w:rsidR="008C5CFA" w:rsidRPr="00BA47B4" w:rsidRDefault="008C5CFA" w:rsidP="00300A01">
            <w:pPr>
              <w:spacing w:before="0" w:after="0"/>
              <w:jc w:val="right"/>
              <w:rPr>
                <w:sz w:val="12"/>
                <w:szCs w:val="12"/>
                <w:lang w:val="fr-BE"/>
              </w:rPr>
            </w:pPr>
          </w:p>
        </w:tc>
        <w:tc>
          <w:tcPr>
            <w:tcW w:w="0" w:type="auto"/>
            <w:shd w:val="clear" w:color="auto" w:fill="auto"/>
          </w:tcPr>
          <w:p w14:paraId="61B31061" w14:textId="77777777" w:rsidR="008C5CFA" w:rsidRPr="00BA47B4" w:rsidRDefault="008C5CFA" w:rsidP="00300A01">
            <w:pPr>
              <w:spacing w:before="0" w:after="0"/>
              <w:jc w:val="right"/>
              <w:rPr>
                <w:sz w:val="12"/>
                <w:szCs w:val="12"/>
                <w:lang w:val="fr-BE"/>
              </w:rPr>
            </w:pPr>
          </w:p>
        </w:tc>
        <w:tc>
          <w:tcPr>
            <w:tcW w:w="0" w:type="auto"/>
          </w:tcPr>
          <w:p w14:paraId="2D885027" w14:textId="77777777" w:rsidR="008C5CFA" w:rsidRPr="00A92B39" w:rsidRDefault="00E82A60" w:rsidP="00300A01">
            <w:pPr>
              <w:spacing w:before="0" w:after="0"/>
              <w:jc w:val="right"/>
              <w:rPr>
                <w:sz w:val="10"/>
                <w:szCs w:val="10"/>
                <w:lang w:val="fr-BE"/>
              </w:rPr>
            </w:pPr>
            <w:r w:rsidRPr="00A92B39">
              <w:rPr>
                <w:noProof/>
                <w:sz w:val="10"/>
                <w:szCs w:val="10"/>
                <w:lang w:val="fr-BE"/>
              </w:rPr>
              <w:t>865,00</w:t>
            </w:r>
          </w:p>
        </w:tc>
        <w:tc>
          <w:tcPr>
            <w:tcW w:w="0" w:type="auto"/>
            <w:shd w:val="clear" w:color="auto" w:fill="auto"/>
          </w:tcPr>
          <w:p w14:paraId="6177A5C2" w14:textId="77777777" w:rsidR="008C5CFA" w:rsidRPr="00A92B39" w:rsidRDefault="00E82A60" w:rsidP="00300A01">
            <w:pPr>
              <w:spacing w:before="0" w:after="0"/>
              <w:jc w:val="right"/>
              <w:rPr>
                <w:sz w:val="10"/>
                <w:szCs w:val="10"/>
                <w:lang w:val="fr-BE"/>
              </w:rPr>
            </w:pPr>
            <w:r w:rsidRPr="00A92B39">
              <w:rPr>
                <w:noProof/>
                <w:sz w:val="10"/>
                <w:szCs w:val="10"/>
                <w:lang w:val="fr-BE"/>
              </w:rPr>
              <w:t>142,00</w:t>
            </w:r>
          </w:p>
        </w:tc>
        <w:tc>
          <w:tcPr>
            <w:tcW w:w="0" w:type="auto"/>
            <w:shd w:val="clear" w:color="auto" w:fill="auto"/>
          </w:tcPr>
          <w:p w14:paraId="461EE927" w14:textId="77777777" w:rsidR="008C5CFA" w:rsidRPr="00BA47B4" w:rsidRDefault="00E82A60" w:rsidP="00300A01">
            <w:pPr>
              <w:spacing w:before="0" w:after="0"/>
              <w:jc w:val="right"/>
              <w:rPr>
                <w:sz w:val="12"/>
                <w:szCs w:val="12"/>
                <w:lang w:val="fr-BE"/>
              </w:rPr>
            </w:pPr>
            <w:r w:rsidRPr="00A92B39">
              <w:rPr>
                <w:noProof/>
                <w:sz w:val="10"/>
                <w:szCs w:val="10"/>
                <w:lang w:val="fr-BE"/>
              </w:rPr>
              <w:t>723,00</w:t>
            </w:r>
          </w:p>
        </w:tc>
      </w:tr>
      <w:tr w:rsidR="006B2EC1" w14:paraId="454261E3" w14:textId="77777777" w:rsidTr="0047688D">
        <w:tc>
          <w:tcPr>
            <w:tcW w:w="0" w:type="auto"/>
            <w:shd w:val="clear" w:color="auto" w:fill="auto"/>
          </w:tcPr>
          <w:p w14:paraId="71597932" w14:textId="77777777" w:rsidR="008C5CFA" w:rsidRPr="00BA47B4" w:rsidRDefault="00E82A60" w:rsidP="00300A01">
            <w:pPr>
              <w:spacing w:before="0" w:after="0"/>
              <w:rPr>
                <w:sz w:val="12"/>
                <w:szCs w:val="12"/>
                <w:lang w:val="fr-BE"/>
              </w:rPr>
            </w:pPr>
            <w:r>
              <w:rPr>
                <w:noProof/>
                <w:sz w:val="12"/>
                <w:szCs w:val="12"/>
                <w:lang w:val="fr-BE"/>
              </w:rPr>
              <w:t>CO15</w:t>
            </w:r>
          </w:p>
        </w:tc>
        <w:tc>
          <w:tcPr>
            <w:tcW w:w="0" w:type="auto"/>
            <w:shd w:val="clear" w:color="auto" w:fill="auto"/>
          </w:tcPr>
          <w:p w14:paraId="108B5639" w14:textId="77777777" w:rsidR="008C5CFA" w:rsidRPr="00BA47B4" w:rsidRDefault="00E82A60" w:rsidP="00300A01">
            <w:pPr>
              <w:spacing w:before="0" w:after="0"/>
              <w:rPr>
                <w:sz w:val="12"/>
                <w:szCs w:val="12"/>
                <w:lang w:val="fr-BE"/>
              </w:rPr>
            </w:pPr>
            <w:r>
              <w:rPr>
                <w:noProof/>
                <w:sz w:val="12"/>
                <w:szCs w:val="12"/>
                <w:lang w:val="fr-BE"/>
              </w:rPr>
              <w:t>migranci, uczestnicy obcego pochodzenia, mniejszości (w tym społeczności marginalizowane, takie jak Romowie)</w:t>
            </w:r>
          </w:p>
        </w:tc>
        <w:tc>
          <w:tcPr>
            <w:tcW w:w="0" w:type="auto"/>
            <w:shd w:val="clear" w:color="auto" w:fill="auto"/>
          </w:tcPr>
          <w:p w14:paraId="4C778147" w14:textId="77777777" w:rsidR="008C5CFA" w:rsidRPr="00BA47B4" w:rsidRDefault="00E82A60"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14:paraId="1FA75FF4" w14:textId="77777777" w:rsidR="008C5CFA" w:rsidRPr="00BA47B4" w:rsidRDefault="008C5CFA" w:rsidP="00300A01">
            <w:pPr>
              <w:spacing w:before="0" w:after="0"/>
              <w:jc w:val="right"/>
              <w:rPr>
                <w:sz w:val="12"/>
                <w:szCs w:val="12"/>
                <w:lang w:val="fr-BE"/>
              </w:rPr>
            </w:pPr>
          </w:p>
        </w:tc>
        <w:tc>
          <w:tcPr>
            <w:tcW w:w="0" w:type="auto"/>
            <w:shd w:val="clear" w:color="auto" w:fill="auto"/>
          </w:tcPr>
          <w:p w14:paraId="7318E157" w14:textId="77777777" w:rsidR="008C5CFA" w:rsidRPr="00BA47B4" w:rsidRDefault="008C5CFA" w:rsidP="00300A01">
            <w:pPr>
              <w:spacing w:before="0" w:after="0"/>
              <w:jc w:val="right"/>
              <w:rPr>
                <w:sz w:val="12"/>
                <w:szCs w:val="12"/>
                <w:lang w:val="fr-BE"/>
              </w:rPr>
            </w:pPr>
          </w:p>
        </w:tc>
        <w:tc>
          <w:tcPr>
            <w:tcW w:w="0" w:type="auto"/>
            <w:shd w:val="clear" w:color="auto" w:fill="auto"/>
          </w:tcPr>
          <w:p w14:paraId="1C89AE4F" w14:textId="77777777" w:rsidR="008C5CFA" w:rsidRPr="00BA47B4" w:rsidRDefault="008C5CFA" w:rsidP="00300A01">
            <w:pPr>
              <w:spacing w:before="0" w:after="0"/>
              <w:jc w:val="right"/>
              <w:rPr>
                <w:sz w:val="12"/>
                <w:szCs w:val="12"/>
                <w:lang w:val="fr-BE"/>
              </w:rPr>
            </w:pPr>
          </w:p>
        </w:tc>
        <w:tc>
          <w:tcPr>
            <w:tcW w:w="0" w:type="auto"/>
            <w:shd w:val="clear" w:color="auto" w:fill="auto"/>
          </w:tcPr>
          <w:p w14:paraId="68F0CF29" w14:textId="77777777" w:rsidR="008C5CFA" w:rsidRPr="00BA47B4" w:rsidRDefault="00E82A60" w:rsidP="00300A01">
            <w:pPr>
              <w:spacing w:before="0" w:after="0"/>
              <w:jc w:val="right"/>
              <w:rPr>
                <w:sz w:val="12"/>
                <w:szCs w:val="12"/>
                <w:lang w:val="fr-BE"/>
              </w:rPr>
            </w:pPr>
            <w:r w:rsidRPr="00BA47B4">
              <w:rPr>
                <w:noProof/>
                <w:sz w:val="12"/>
                <w:szCs w:val="12"/>
                <w:lang w:val="fr-BE"/>
              </w:rPr>
              <w:t>75,00</w:t>
            </w:r>
          </w:p>
        </w:tc>
        <w:tc>
          <w:tcPr>
            <w:tcW w:w="0" w:type="auto"/>
            <w:shd w:val="clear" w:color="auto" w:fill="auto"/>
          </w:tcPr>
          <w:p w14:paraId="79483627" w14:textId="77777777" w:rsidR="008C5CFA" w:rsidRPr="00BA47B4" w:rsidRDefault="00E82A60" w:rsidP="00300A01">
            <w:pPr>
              <w:spacing w:before="0" w:after="0"/>
              <w:jc w:val="right"/>
              <w:rPr>
                <w:sz w:val="12"/>
                <w:szCs w:val="12"/>
                <w:lang w:val="fr-BE"/>
              </w:rPr>
            </w:pPr>
            <w:r w:rsidRPr="00BA47B4">
              <w:rPr>
                <w:noProof/>
                <w:sz w:val="12"/>
                <w:szCs w:val="12"/>
                <w:lang w:val="fr-BE"/>
              </w:rPr>
              <w:t>34,00</w:t>
            </w:r>
          </w:p>
        </w:tc>
        <w:tc>
          <w:tcPr>
            <w:tcW w:w="0" w:type="auto"/>
            <w:shd w:val="clear" w:color="auto" w:fill="auto"/>
          </w:tcPr>
          <w:p w14:paraId="62526356" w14:textId="77777777" w:rsidR="008C5CFA" w:rsidRPr="00BA47B4" w:rsidRDefault="00E82A60" w:rsidP="00300A01">
            <w:pPr>
              <w:spacing w:before="0" w:after="0"/>
              <w:jc w:val="right"/>
              <w:rPr>
                <w:sz w:val="12"/>
                <w:szCs w:val="12"/>
                <w:lang w:val="fr-BE"/>
              </w:rPr>
            </w:pPr>
            <w:r w:rsidRPr="00BA47B4">
              <w:rPr>
                <w:noProof/>
                <w:sz w:val="12"/>
                <w:szCs w:val="12"/>
                <w:lang w:val="fr-BE"/>
              </w:rPr>
              <w:t>41,00</w:t>
            </w:r>
          </w:p>
        </w:tc>
        <w:tc>
          <w:tcPr>
            <w:tcW w:w="0" w:type="auto"/>
            <w:shd w:val="clear" w:color="auto" w:fill="auto"/>
          </w:tcPr>
          <w:p w14:paraId="0DB9CD1C" w14:textId="77777777" w:rsidR="008C5CFA" w:rsidRPr="00BA47B4" w:rsidRDefault="008C5CFA" w:rsidP="00300A01">
            <w:pPr>
              <w:spacing w:before="0" w:after="0"/>
              <w:jc w:val="right"/>
              <w:rPr>
                <w:sz w:val="12"/>
                <w:szCs w:val="12"/>
                <w:lang w:val="fr-BE"/>
              </w:rPr>
            </w:pPr>
          </w:p>
        </w:tc>
        <w:tc>
          <w:tcPr>
            <w:tcW w:w="0" w:type="auto"/>
            <w:shd w:val="clear" w:color="auto" w:fill="auto"/>
          </w:tcPr>
          <w:p w14:paraId="2BFE701C" w14:textId="77777777" w:rsidR="008C5CFA" w:rsidRPr="00BA47B4" w:rsidRDefault="008C5CFA" w:rsidP="00300A01">
            <w:pPr>
              <w:spacing w:before="0" w:after="0"/>
              <w:jc w:val="right"/>
              <w:rPr>
                <w:sz w:val="12"/>
                <w:szCs w:val="12"/>
                <w:lang w:val="fr-BE"/>
              </w:rPr>
            </w:pPr>
          </w:p>
        </w:tc>
        <w:tc>
          <w:tcPr>
            <w:tcW w:w="0" w:type="auto"/>
            <w:shd w:val="clear" w:color="auto" w:fill="auto"/>
          </w:tcPr>
          <w:p w14:paraId="5B1F99D8" w14:textId="77777777" w:rsidR="008C5CFA" w:rsidRPr="00BA47B4" w:rsidRDefault="008C5CFA" w:rsidP="00300A01">
            <w:pPr>
              <w:spacing w:before="0" w:after="0"/>
              <w:jc w:val="right"/>
              <w:rPr>
                <w:sz w:val="12"/>
                <w:szCs w:val="12"/>
                <w:lang w:val="fr-BE"/>
              </w:rPr>
            </w:pPr>
          </w:p>
        </w:tc>
        <w:tc>
          <w:tcPr>
            <w:tcW w:w="0" w:type="auto"/>
          </w:tcPr>
          <w:p w14:paraId="665DCBBB" w14:textId="77777777" w:rsidR="008C5CFA" w:rsidRPr="00A92B39" w:rsidRDefault="00E82A60" w:rsidP="00300A01">
            <w:pPr>
              <w:spacing w:before="0" w:after="0"/>
              <w:jc w:val="right"/>
              <w:rPr>
                <w:sz w:val="10"/>
                <w:szCs w:val="10"/>
                <w:lang w:val="fr-BE"/>
              </w:rPr>
            </w:pPr>
            <w:r w:rsidRPr="00A92B39">
              <w:rPr>
                <w:noProof/>
                <w:sz w:val="10"/>
                <w:szCs w:val="10"/>
                <w:lang w:val="fr-BE"/>
              </w:rPr>
              <w:t>12,00</w:t>
            </w:r>
          </w:p>
        </w:tc>
        <w:tc>
          <w:tcPr>
            <w:tcW w:w="0" w:type="auto"/>
            <w:shd w:val="clear" w:color="auto" w:fill="auto"/>
          </w:tcPr>
          <w:p w14:paraId="375DC416" w14:textId="77777777" w:rsidR="008C5CFA" w:rsidRPr="00A92B39" w:rsidRDefault="00E82A60" w:rsidP="00300A01">
            <w:pPr>
              <w:spacing w:before="0" w:after="0"/>
              <w:jc w:val="right"/>
              <w:rPr>
                <w:sz w:val="10"/>
                <w:szCs w:val="10"/>
                <w:lang w:val="fr-BE"/>
              </w:rPr>
            </w:pPr>
            <w:r w:rsidRPr="00A92B39">
              <w:rPr>
                <w:noProof/>
                <w:sz w:val="10"/>
                <w:szCs w:val="10"/>
                <w:lang w:val="fr-BE"/>
              </w:rPr>
              <w:t>6,00</w:t>
            </w:r>
          </w:p>
        </w:tc>
        <w:tc>
          <w:tcPr>
            <w:tcW w:w="0" w:type="auto"/>
            <w:shd w:val="clear" w:color="auto" w:fill="auto"/>
          </w:tcPr>
          <w:p w14:paraId="23386333" w14:textId="77777777" w:rsidR="008C5CFA" w:rsidRPr="00BA47B4" w:rsidRDefault="00E82A60" w:rsidP="00300A01">
            <w:pPr>
              <w:spacing w:before="0" w:after="0"/>
              <w:jc w:val="right"/>
              <w:rPr>
                <w:sz w:val="12"/>
                <w:szCs w:val="12"/>
                <w:lang w:val="fr-BE"/>
              </w:rPr>
            </w:pPr>
            <w:r w:rsidRPr="00A92B39">
              <w:rPr>
                <w:noProof/>
                <w:sz w:val="10"/>
                <w:szCs w:val="10"/>
                <w:lang w:val="fr-BE"/>
              </w:rPr>
              <w:t>6,00</w:t>
            </w:r>
          </w:p>
        </w:tc>
      </w:tr>
      <w:tr w:rsidR="006B2EC1" w14:paraId="0356920B" w14:textId="77777777" w:rsidTr="0047688D">
        <w:tc>
          <w:tcPr>
            <w:tcW w:w="0" w:type="auto"/>
            <w:shd w:val="clear" w:color="auto" w:fill="auto"/>
          </w:tcPr>
          <w:p w14:paraId="1EB20A73" w14:textId="77777777" w:rsidR="008C5CFA" w:rsidRPr="00BA47B4" w:rsidRDefault="00E82A60" w:rsidP="00300A01">
            <w:pPr>
              <w:spacing w:before="0" w:after="0"/>
              <w:rPr>
                <w:sz w:val="12"/>
                <w:szCs w:val="12"/>
                <w:lang w:val="fr-BE"/>
              </w:rPr>
            </w:pPr>
            <w:r>
              <w:rPr>
                <w:noProof/>
                <w:sz w:val="12"/>
                <w:szCs w:val="12"/>
                <w:lang w:val="fr-BE"/>
              </w:rPr>
              <w:t>CO16</w:t>
            </w:r>
          </w:p>
        </w:tc>
        <w:tc>
          <w:tcPr>
            <w:tcW w:w="0" w:type="auto"/>
            <w:shd w:val="clear" w:color="auto" w:fill="auto"/>
          </w:tcPr>
          <w:p w14:paraId="2F478E1C" w14:textId="77777777" w:rsidR="008C5CFA" w:rsidRPr="00BA47B4" w:rsidRDefault="00E82A60" w:rsidP="00300A01">
            <w:pPr>
              <w:spacing w:before="0" w:after="0"/>
              <w:rPr>
                <w:sz w:val="12"/>
                <w:szCs w:val="12"/>
                <w:lang w:val="fr-BE"/>
              </w:rPr>
            </w:pPr>
            <w:r>
              <w:rPr>
                <w:noProof/>
                <w:sz w:val="12"/>
                <w:szCs w:val="12"/>
                <w:lang w:val="fr-BE"/>
              </w:rPr>
              <w:t>uczestnicy z niepełnosprawnościami</w:t>
            </w:r>
          </w:p>
        </w:tc>
        <w:tc>
          <w:tcPr>
            <w:tcW w:w="0" w:type="auto"/>
            <w:shd w:val="clear" w:color="auto" w:fill="auto"/>
          </w:tcPr>
          <w:p w14:paraId="672381B7" w14:textId="77777777" w:rsidR="008C5CFA" w:rsidRPr="00BA47B4" w:rsidRDefault="00E82A60"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14:paraId="58343680" w14:textId="77777777" w:rsidR="008C5CFA" w:rsidRPr="00BA47B4" w:rsidRDefault="008C5CFA" w:rsidP="00300A01">
            <w:pPr>
              <w:spacing w:before="0" w:after="0"/>
              <w:jc w:val="right"/>
              <w:rPr>
                <w:sz w:val="12"/>
                <w:szCs w:val="12"/>
                <w:lang w:val="fr-BE"/>
              </w:rPr>
            </w:pPr>
          </w:p>
        </w:tc>
        <w:tc>
          <w:tcPr>
            <w:tcW w:w="0" w:type="auto"/>
            <w:shd w:val="clear" w:color="auto" w:fill="auto"/>
          </w:tcPr>
          <w:p w14:paraId="661BB15A" w14:textId="77777777" w:rsidR="008C5CFA" w:rsidRPr="00BA47B4" w:rsidRDefault="008C5CFA" w:rsidP="00300A01">
            <w:pPr>
              <w:spacing w:before="0" w:after="0"/>
              <w:jc w:val="right"/>
              <w:rPr>
                <w:sz w:val="12"/>
                <w:szCs w:val="12"/>
                <w:lang w:val="fr-BE"/>
              </w:rPr>
            </w:pPr>
          </w:p>
        </w:tc>
        <w:tc>
          <w:tcPr>
            <w:tcW w:w="0" w:type="auto"/>
            <w:shd w:val="clear" w:color="auto" w:fill="auto"/>
          </w:tcPr>
          <w:p w14:paraId="4F6FB644" w14:textId="77777777" w:rsidR="008C5CFA" w:rsidRPr="00BA47B4" w:rsidRDefault="008C5CFA" w:rsidP="00300A01">
            <w:pPr>
              <w:spacing w:before="0" w:after="0"/>
              <w:jc w:val="right"/>
              <w:rPr>
                <w:sz w:val="12"/>
                <w:szCs w:val="12"/>
                <w:lang w:val="fr-BE"/>
              </w:rPr>
            </w:pPr>
          </w:p>
        </w:tc>
        <w:tc>
          <w:tcPr>
            <w:tcW w:w="0" w:type="auto"/>
            <w:shd w:val="clear" w:color="auto" w:fill="auto"/>
          </w:tcPr>
          <w:p w14:paraId="0BB0301D" w14:textId="77777777" w:rsidR="008C5CFA" w:rsidRPr="00BA47B4" w:rsidRDefault="00E82A60" w:rsidP="00300A01">
            <w:pPr>
              <w:spacing w:before="0" w:after="0"/>
              <w:jc w:val="right"/>
              <w:rPr>
                <w:sz w:val="12"/>
                <w:szCs w:val="12"/>
                <w:lang w:val="fr-BE"/>
              </w:rPr>
            </w:pPr>
            <w:r w:rsidRPr="00BA47B4">
              <w:rPr>
                <w:noProof/>
                <w:sz w:val="12"/>
                <w:szCs w:val="12"/>
                <w:lang w:val="fr-BE"/>
              </w:rPr>
              <w:t>966,00</w:t>
            </w:r>
          </w:p>
        </w:tc>
        <w:tc>
          <w:tcPr>
            <w:tcW w:w="0" w:type="auto"/>
            <w:shd w:val="clear" w:color="auto" w:fill="auto"/>
          </w:tcPr>
          <w:p w14:paraId="0132811C" w14:textId="77777777" w:rsidR="008C5CFA" w:rsidRPr="00BA47B4" w:rsidRDefault="00E82A60" w:rsidP="00300A01">
            <w:pPr>
              <w:spacing w:before="0" w:after="0"/>
              <w:jc w:val="right"/>
              <w:rPr>
                <w:sz w:val="12"/>
                <w:szCs w:val="12"/>
                <w:lang w:val="fr-BE"/>
              </w:rPr>
            </w:pPr>
            <w:r w:rsidRPr="00BA47B4">
              <w:rPr>
                <w:noProof/>
                <w:sz w:val="12"/>
                <w:szCs w:val="12"/>
                <w:lang w:val="fr-BE"/>
              </w:rPr>
              <w:t>526,00</w:t>
            </w:r>
          </w:p>
        </w:tc>
        <w:tc>
          <w:tcPr>
            <w:tcW w:w="0" w:type="auto"/>
            <w:shd w:val="clear" w:color="auto" w:fill="auto"/>
          </w:tcPr>
          <w:p w14:paraId="098FC7F9" w14:textId="77777777" w:rsidR="008C5CFA" w:rsidRPr="00BA47B4" w:rsidRDefault="00E82A60" w:rsidP="00300A01">
            <w:pPr>
              <w:spacing w:before="0" w:after="0"/>
              <w:jc w:val="right"/>
              <w:rPr>
                <w:sz w:val="12"/>
                <w:szCs w:val="12"/>
                <w:lang w:val="fr-BE"/>
              </w:rPr>
            </w:pPr>
            <w:r w:rsidRPr="00BA47B4">
              <w:rPr>
                <w:noProof/>
                <w:sz w:val="12"/>
                <w:szCs w:val="12"/>
                <w:lang w:val="fr-BE"/>
              </w:rPr>
              <w:t>440,00</w:t>
            </w:r>
          </w:p>
        </w:tc>
        <w:tc>
          <w:tcPr>
            <w:tcW w:w="0" w:type="auto"/>
            <w:shd w:val="clear" w:color="auto" w:fill="auto"/>
          </w:tcPr>
          <w:p w14:paraId="6BF742CB" w14:textId="77777777" w:rsidR="008C5CFA" w:rsidRPr="00BA47B4" w:rsidRDefault="008C5CFA" w:rsidP="00300A01">
            <w:pPr>
              <w:spacing w:before="0" w:after="0"/>
              <w:jc w:val="right"/>
              <w:rPr>
                <w:sz w:val="12"/>
                <w:szCs w:val="12"/>
                <w:lang w:val="fr-BE"/>
              </w:rPr>
            </w:pPr>
          </w:p>
        </w:tc>
        <w:tc>
          <w:tcPr>
            <w:tcW w:w="0" w:type="auto"/>
            <w:shd w:val="clear" w:color="auto" w:fill="auto"/>
          </w:tcPr>
          <w:p w14:paraId="07CA58F4" w14:textId="77777777" w:rsidR="008C5CFA" w:rsidRPr="00BA47B4" w:rsidRDefault="008C5CFA" w:rsidP="00300A01">
            <w:pPr>
              <w:spacing w:before="0" w:after="0"/>
              <w:jc w:val="right"/>
              <w:rPr>
                <w:sz w:val="12"/>
                <w:szCs w:val="12"/>
                <w:lang w:val="fr-BE"/>
              </w:rPr>
            </w:pPr>
          </w:p>
        </w:tc>
        <w:tc>
          <w:tcPr>
            <w:tcW w:w="0" w:type="auto"/>
            <w:shd w:val="clear" w:color="auto" w:fill="auto"/>
          </w:tcPr>
          <w:p w14:paraId="78C3336C" w14:textId="77777777" w:rsidR="008C5CFA" w:rsidRPr="00BA47B4" w:rsidRDefault="008C5CFA" w:rsidP="00300A01">
            <w:pPr>
              <w:spacing w:before="0" w:after="0"/>
              <w:jc w:val="right"/>
              <w:rPr>
                <w:sz w:val="12"/>
                <w:szCs w:val="12"/>
                <w:lang w:val="fr-BE"/>
              </w:rPr>
            </w:pPr>
          </w:p>
        </w:tc>
        <w:tc>
          <w:tcPr>
            <w:tcW w:w="0" w:type="auto"/>
          </w:tcPr>
          <w:p w14:paraId="7398AB92" w14:textId="77777777" w:rsidR="008C5CFA" w:rsidRPr="00A92B39" w:rsidRDefault="00E82A60" w:rsidP="00300A01">
            <w:pPr>
              <w:spacing w:before="0" w:after="0"/>
              <w:jc w:val="right"/>
              <w:rPr>
                <w:sz w:val="10"/>
                <w:szCs w:val="10"/>
                <w:lang w:val="fr-BE"/>
              </w:rPr>
            </w:pPr>
            <w:r w:rsidRPr="00A92B39">
              <w:rPr>
                <w:noProof/>
                <w:sz w:val="10"/>
                <w:szCs w:val="10"/>
                <w:lang w:val="fr-BE"/>
              </w:rPr>
              <w:t>126,00</w:t>
            </w:r>
          </w:p>
        </w:tc>
        <w:tc>
          <w:tcPr>
            <w:tcW w:w="0" w:type="auto"/>
            <w:shd w:val="clear" w:color="auto" w:fill="auto"/>
          </w:tcPr>
          <w:p w14:paraId="42FAEB43" w14:textId="77777777" w:rsidR="008C5CFA" w:rsidRPr="00A92B39" w:rsidRDefault="00E82A60" w:rsidP="00300A01">
            <w:pPr>
              <w:spacing w:before="0" w:after="0"/>
              <w:jc w:val="right"/>
              <w:rPr>
                <w:sz w:val="10"/>
                <w:szCs w:val="10"/>
                <w:lang w:val="fr-BE"/>
              </w:rPr>
            </w:pPr>
            <w:r w:rsidRPr="00A92B39">
              <w:rPr>
                <w:noProof/>
                <w:sz w:val="10"/>
                <w:szCs w:val="10"/>
                <w:lang w:val="fr-BE"/>
              </w:rPr>
              <w:t>68,00</w:t>
            </w:r>
          </w:p>
        </w:tc>
        <w:tc>
          <w:tcPr>
            <w:tcW w:w="0" w:type="auto"/>
            <w:shd w:val="clear" w:color="auto" w:fill="auto"/>
          </w:tcPr>
          <w:p w14:paraId="2F20407C" w14:textId="77777777" w:rsidR="008C5CFA" w:rsidRPr="00BA47B4" w:rsidRDefault="00E82A60" w:rsidP="00300A01">
            <w:pPr>
              <w:spacing w:before="0" w:after="0"/>
              <w:jc w:val="right"/>
              <w:rPr>
                <w:sz w:val="12"/>
                <w:szCs w:val="12"/>
                <w:lang w:val="fr-BE"/>
              </w:rPr>
            </w:pPr>
            <w:r w:rsidRPr="00A92B39">
              <w:rPr>
                <w:noProof/>
                <w:sz w:val="10"/>
                <w:szCs w:val="10"/>
                <w:lang w:val="fr-BE"/>
              </w:rPr>
              <w:t>58,00</w:t>
            </w:r>
          </w:p>
        </w:tc>
      </w:tr>
      <w:tr w:rsidR="006B2EC1" w14:paraId="43ACA11C" w14:textId="77777777" w:rsidTr="0047688D">
        <w:tc>
          <w:tcPr>
            <w:tcW w:w="0" w:type="auto"/>
            <w:shd w:val="clear" w:color="auto" w:fill="auto"/>
          </w:tcPr>
          <w:p w14:paraId="2B2D5DEE" w14:textId="77777777" w:rsidR="008C5CFA" w:rsidRPr="00BA47B4" w:rsidRDefault="00E82A60" w:rsidP="00300A01">
            <w:pPr>
              <w:spacing w:before="0" w:after="0"/>
              <w:rPr>
                <w:sz w:val="12"/>
                <w:szCs w:val="12"/>
                <w:lang w:val="fr-BE"/>
              </w:rPr>
            </w:pPr>
            <w:r>
              <w:rPr>
                <w:noProof/>
                <w:sz w:val="12"/>
                <w:szCs w:val="12"/>
                <w:lang w:val="fr-BE"/>
              </w:rPr>
              <w:t>CO17</w:t>
            </w:r>
          </w:p>
        </w:tc>
        <w:tc>
          <w:tcPr>
            <w:tcW w:w="0" w:type="auto"/>
            <w:shd w:val="clear" w:color="auto" w:fill="auto"/>
          </w:tcPr>
          <w:p w14:paraId="06793434" w14:textId="77777777" w:rsidR="008C5CFA" w:rsidRPr="00BA47B4" w:rsidRDefault="00E82A60" w:rsidP="00300A01">
            <w:pPr>
              <w:spacing w:before="0" w:after="0"/>
              <w:rPr>
                <w:sz w:val="12"/>
                <w:szCs w:val="12"/>
                <w:lang w:val="fr-BE"/>
              </w:rPr>
            </w:pPr>
            <w:r>
              <w:rPr>
                <w:noProof/>
                <w:sz w:val="12"/>
                <w:szCs w:val="12"/>
                <w:lang w:val="fr-BE"/>
              </w:rPr>
              <w:t>inne osoby w niekorzystnej sytuacji społecznej</w:t>
            </w:r>
          </w:p>
        </w:tc>
        <w:tc>
          <w:tcPr>
            <w:tcW w:w="0" w:type="auto"/>
            <w:shd w:val="clear" w:color="auto" w:fill="auto"/>
          </w:tcPr>
          <w:p w14:paraId="72D45FF7" w14:textId="77777777" w:rsidR="008C5CFA" w:rsidRPr="00BA47B4" w:rsidRDefault="00E82A60"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14:paraId="587285F5" w14:textId="77777777" w:rsidR="008C5CFA" w:rsidRPr="00BA47B4" w:rsidRDefault="008C5CFA" w:rsidP="00300A01">
            <w:pPr>
              <w:spacing w:before="0" w:after="0"/>
              <w:jc w:val="right"/>
              <w:rPr>
                <w:sz w:val="12"/>
                <w:szCs w:val="12"/>
                <w:lang w:val="fr-BE"/>
              </w:rPr>
            </w:pPr>
          </w:p>
        </w:tc>
        <w:tc>
          <w:tcPr>
            <w:tcW w:w="0" w:type="auto"/>
            <w:shd w:val="clear" w:color="auto" w:fill="auto"/>
          </w:tcPr>
          <w:p w14:paraId="3C89F254" w14:textId="77777777" w:rsidR="008C5CFA" w:rsidRPr="00BA47B4" w:rsidRDefault="008C5CFA" w:rsidP="00300A01">
            <w:pPr>
              <w:spacing w:before="0" w:after="0"/>
              <w:jc w:val="right"/>
              <w:rPr>
                <w:sz w:val="12"/>
                <w:szCs w:val="12"/>
                <w:lang w:val="fr-BE"/>
              </w:rPr>
            </w:pPr>
          </w:p>
        </w:tc>
        <w:tc>
          <w:tcPr>
            <w:tcW w:w="0" w:type="auto"/>
            <w:shd w:val="clear" w:color="auto" w:fill="auto"/>
          </w:tcPr>
          <w:p w14:paraId="132250B1" w14:textId="77777777" w:rsidR="008C5CFA" w:rsidRPr="00BA47B4" w:rsidRDefault="008C5CFA" w:rsidP="00300A01">
            <w:pPr>
              <w:spacing w:before="0" w:after="0"/>
              <w:jc w:val="right"/>
              <w:rPr>
                <w:sz w:val="12"/>
                <w:szCs w:val="12"/>
                <w:lang w:val="fr-BE"/>
              </w:rPr>
            </w:pPr>
          </w:p>
        </w:tc>
        <w:tc>
          <w:tcPr>
            <w:tcW w:w="0" w:type="auto"/>
            <w:shd w:val="clear" w:color="auto" w:fill="auto"/>
          </w:tcPr>
          <w:p w14:paraId="267E576A" w14:textId="77777777" w:rsidR="008C5CFA" w:rsidRPr="00BA47B4" w:rsidRDefault="00E82A60" w:rsidP="00300A01">
            <w:pPr>
              <w:spacing w:before="0" w:after="0"/>
              <w:jc w:val="right"/>
              <w:rPr>
                <w:sz w:val="12"/>
                <w:szCs w:val="12"/>
                <w:lang w:val="fr-BE"/>
              </w:rPr>
            </w:pPr>
            <w:r w:rsidRPr="00BA47B4">
              <w:rPr>
                <w:noProof/>
                <w:sz w:val="12"/>
                <w:szCs w:val="12"/>
                <w:lang w:val="fr-BE"/>
              </w:rPr>
              <w:t>3 630,00</w:t>
            </w:r>
          </w:p>
        </w:tc>
        <w:tc>
          <w:tcPr>
            <w:tcW w:w="0" w:type="auto"/>
            <w:shd w:val="clear" w:color="auto" w:fill="auto"/>
          </w:tcPr>
          <w:p w14:paraId="57EC516D" w14:textId="77777777" w:rsidR="008C5CFA" w:rsidRPr="00BA47B4" w:rsidRDefault="00E82A60" w:rsidP="00300A01">
            <w:pPr>
              <w:spacing w:before="0" w:after="0"/>
              <w:jc w:val="right"/>
              <w:rPr>
                <w:sz w:val="12"/>
                <w:szCs w:val="12"/>
                <w:lang w:val="fr-BE"/>
              </w:rPr>
            </w:pPr>
            <w:r w:rsidRPr="00BA47B4">
              <w:rPr>
                <w:noProof/>
                <w:sz w:val="12"/>
                <w:szCs w:val="12"/>
                <w:lang w:val="fr-BE"/>
              </w:rPr>
              <w:t>1 757,00</w:t>
            </w:r>
          </w:p>
        </w:tc>
        <w:tc>
          <w:tcPr>
            <w:tcW w:w="0" w:type="auto"/>
            <w:shd w:val="clear" w:color="auto" w:fill="auto"/>
          </w:tcPr>
          <w:p w14:paraId="1FFCAD39" w14:textId="77777777" w:rsidR="008C5CFA" w:rsidRPr="00BA47B4" w:rsidRDefault="00E82A60" w:rsidP="00300A01">
            <w:pPr>
              <w:spacing w:before="0" w:after="0"/>
              <w:jc w:val="right"/>
              <w:rPr>
                <w:sz w:val="12"/>
                <w:szCs w:val="12"/>
                <w:lang w:val="fr-BE"/>
              </w:rPr>
            </w:pPr>
            <w:r w:rsidRPr="00BA47B4">
              <w:rPr>
                <w:noProof/>
                <w:sz w:val="12"/>
                <w:szCs w:val="12"/>
                <w:lang w:val="fr-BE"/>
              </w:rPr>
              <w:t>1 873,00</w:t>
            </w:r>
          </w:p>
        </w:tc>
        <w:tc>
          <w:tcPr>
            <w:tcW w:w="0" w:type="auto"/>
            <w:shd w:val="clear" w:color="auto" w:fill="auto"/>
          </w:tcPr>
          <w:p w14:paraId="3B8E2964" w14:textId="77777777" w:rsidR="008C5CFA" w:rsidRPr="00BA47B4" w:rsidRDefault="008C5CFA" w:rsidP="00300A01">
            <w:pPr>
              <w:spacing w:before="0" w:after="0"/>
              <w:jc w:val="right"/>
              <w:rPr>
                <w:sz w:val="12"/>
                <w:szCs w:val="12"/>
                <w:lang w:val="fr-BE"/>
              </w:rPr>
            </w:pPr>
          </w:p>
        </w:tc>
        <w:tc>
          <w:tcPr>
            <w:tcW w:w="0" w:type="auto"/>
            <w:shd w:val="clear" w:color="auto" w:fill="auto"/>
          </w:tcPr>
          <w:p w14:paraId="57D6B852" w14:textId="77777777" w:rsidR="008C5CFA" w:rsidRPr="00BA47B4" w:rsidRDefault="008C5CFA" w:rsidP="00300A01">
            <w:pPr>
              <w:spacing w:before="0" w:after="0"/>
              <w:jc w:val="right"/>
              <w:rPr>
                <w:sz w:val="12"/>
                <w:szCs w:val="12"/>
                <w:lang w:val="fr-BE"/>
              </w:rPr>
            </w:pPr>
          </w:p>
        </w:tc>
        <w:tc>
          <w:tcPr>
            <w:tcW w:w="0" w:type="auto"/>
            <w:shd w:val="clear" w:color="auto" w:fill="auto"/>
          </w:tcPr>
          <w:p w14:paraId="6369F735" w14:textId="77777777" w:rsidR="008C5CFA" w:rsidRPr="00BA47B4" w:rsidRDefault="008C5CFA" w:rsidP="00300A01">
            <w:pPr>
              <w:spacing w:before="0" w:after="0"/>
              <w:jc w:val="right"/>
              <w:rPr>
                <w:sz w:val="12"/>
                <w:szCs w:val="12"/>
                <w:lang w:val="fr-BE"/>
              </w:rPr>
            </w:pPr>
          </w:p>
        </w:tc>
        <w:tc>
          <w:tcPr>
            <w:tcW w:w="0" w:type="auto"/>
          </w:tcPr>
          <w:p w14:paraId="733D88CA" w14:textId="77777777" w:rsidR="008C5CFA" w:rsidRPr="00A92B39" w:rsidRDefault="00E82A60" w:rsidP="00300A01">
            <w:pPr>
              <w:spacing w:before="0" w:after="0"/>
              <w:jc w:val="right"/>
              <w:rPr>
                <w:sz w:val="10"/>
                <w:szCs w:val="10"/>
                <w:lang w:val="fr-BE"/>
              </w:rPr>
            </w:pPr>
            <w:r w:rsidRPr="00A92B39">
              <w:rPr>
                <w:noProof/>
                <w:sz w:val="10"/>
                <w:szCs w:val="10"/>
                <w:lang w:val="fr-BE"/>
              </w:rPr>
              <w:t>987,00</w:t>
            </w:r>
          </w:p>
        </w:tc>
        <w:tc>
          <w:tcPr>
            <w:tcW w:w="0" w:type="auto"/>
            <w:shd w:val="clear" w:color="auto" w:fill="auto"/>
          </w:tcPr>
          <w:p w14:paraId="1AB593BD" w14:textId="77777777" w:rsidR="008C5CFA" w:rsidRPr="00A92B39" w:rsidRDefault="00E82A60" w:rsidP="00300A01">
            <w:pPr>
              <w:spacing w:before="0" w:after="0"/>
              <w:jc w:val="right"/>
              <w:rPr>
                <w:sz w:val="10"/>
                <w:szCs w:val="10"/>
                <w:lang w:val="fr-BE"/>
              </w:rPr>
            </w:pPr>
            <w:r w:rsidRPr="00A92B39">
              <w:rPr>
                <w:noProof/>
                <w:sz w:val="10"/>
                <w:szCs w:val="10"/>
                <w:lang w:val="fr-BE"/>
              </w:rPr>
              <w:t>473,00</w:t>
            </w:r>
          </w:p>
        </w:tc>
        <w:tc>
          <w:tcPr>
            <w:tcW w:w="0" w:type="auto"/>
            <w:shd w:val="clear" w:color="auto" w:fill="auto"/>
          </w:tcPr>
          <w:p w14:paraId="42F171EE" w14:textId="77777777" w:rsidR="008C5CFA" w:rsidRPr="00BA47B4" w:rsidRDefault="00E82A60" w:rsidP="00300A01">
            <w:pPr>
              <w:spacing w:before="0" w:after="0"/>
              <w:jc w:val="right"/>
              <w:rPr>
                <w:sz w:val="12"/>
                <w:szCs w:val="12"/>
                <w:lang w:val="fr-BE"/>
              </w:rPr>
            </w:pPr>
            <w:r w:rsidRPr="00A92B39">
              <w:rPr>
                <w:noProof/>
                <w:sz w:val="10"/>
                <w:szCs w:val="10"/>
                <w:lang w:val="fr-BE"/>
              </w:rPr>
              <w:t>514,00</w:t>
            </w:r>
          </w:p>
        </w:tc>
      </w:tr>
      <w:tr w:rsidR="006B2EC1" w14:paraId="567109E2" w14:textId="77777777" w:rsidTr="0047688D">
        <w:tc>
          <w:tcPr>
            <w:tcW w:w="0" w:type="auto"/>
            <w:shd w:val="clear" w:color="auto" w:fill="auto"/>
          </w:tcPr>
          <w:p w14:paraId="50AD8D5B" w14:textId="77777777" w:rsidR="008C5CFA" w:rsidRPr="00BA47B4" w:rsidRDefault="00E82A60" w:rsidP="00300A01">
            <w:pPr>
              <w:spacing w:before="0" w:after="0"/>
              <w:rPr>
                <w:sz w:val="12"/>
                <w:szCs w:val="12"/>
                <w:lang w:val="fr-BE"/>
              </w:rPr>
            </w:pPr>
            <w:r>
              <w:rPr>
                <w:noProof/>
                <w:sz w:val="12"/>
                <w:szCs w:val="12"/>
                <w:lang w:val="fr-BE"/>
              </w:rPr>
              <w:t>CO18</w:t>
            </w:r>
          </w:p>
        </w:tc>
        <w:tc>
          <w:tcPr>
            <w:tcW w:w="0" w:type="auto"/>
            <w:shd w:val="clear" w:color="auto" w:fill="auto"/>
          </w:tcPr>
          <w:p w14:paraId="2D14C243" w14:textId="77777777" w:rsidR="008C5CFA" w:rsidRPr="00BA47B4" w:rsidRDefault="00E82A60" w:rsidP="00300A01">
            <w:pPr>
              <w:spacing w:before="0" w:after="0"/>
              <w:rPr>
                <w:sz w:val="12"/>
                <w:szCs w:val="12"/>
                <w:lang w:val="fr-BE"/>
              </w:rPr>
            </w:pPr>
            <w:r>
              <w:rPr>
                <w:noProof/>
                <w:sz w:val="12"/>
                <w:szCs w:val="12"/>
                <w:lang w:val="fr-BE"/>
              </w:rPr>
              <w:t>osoby bezdomne lub dotknięte wykluczeniem z dostępu do mieszkań</w:t>
            </w:r>
          </w:p>
        </w:tc>
        <w:tc>
          <w:tcPr>
            <w:tcW w:w="0" w:type="auto"/>
            <w:shd w:val="clear" w:color="auto" w:fill="auto"/>
          </w:tcPr>
          <w:p w14:paraId="106D54E4" w14:textId="77777777" w:rsidR="008C5CFA" w:rsidRPr="00BA47B4" w:rsidRDefault="00E82A60"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14:paraId="4D5E6C6B" w14:textId="77777777" w:rsidR="008C5CFA" w:rsidRPr="00BA47B4" w:rsidRDefault="008C5CFA" w:rsidP="00300A01">
            <w:pPr>
              <w:spacing w:before="0" w:after="0"/>
              <w:jc w:val="right"/>
              <w:rPr>
                <w:sz w:val="12"/>
                <w:szCs w:val="12"/>
                <w:lang w:val="fr-BE"/>
              </w:rPr>
            </w:pPr>
          </w:p>
        </w:tc>
        <w:tc>
          <w:tcPr>
            <w:tcW w:w="0" w:type="auto"/>
            <w:shd w:val="clear" w:color="auto" w:fill="auto"/>
          </w:tcPr>
          <w:p w14:paraId="3A722A8D" w14:textId="77777777" w:rsidR="008C5CFA" w:rsidRPr="00BA47B4" w:rsidRDefault="008C5CFA" w:rsidP="00300A01">
            <w:pPr>
              <w:spacing w:before="0" w:after="0"/>
              <w:jc w:val="right"/>
              <w:rPr>
                <w:sz w:val="12"/>
                <w:szCs w:val="12"/>
                <w:lang w:val="fr-BE"/>
              </w:rPr>
            </w:pPr>
          </w:p>
        </w:tc>
        <w:tc>
          <w:tcPr>
            <w:tcW w:w="0" w:type="auto"/>
            <w:shd w:val="clear" w:color="auto" w:fill="auto"/>
          </w:tcPr>
          <w:p w14:paraId="48D7295B" w14:textId="77777777" w:rsidR="008C5CFA" w:rsidRPr="00BA47B4" w:rsidRDefault="008C5CFA" w:rsidP="00300A01">
            <w:pPr>
              <w:spacing w:before="0" w:after="0"/>
              <w:jc w:val="right"/>
              <w:rPr>
                <w:sz w:val="12"/>
                <w:szCs w:val="12"/>
                <w:lang w:val="fr-BE"/>
              </w:rPr>
            </w:pPr>
          </w:p>
        </w:tc>
        <w:tc>
          <w:tcPr>
            <w:tcW w:w="0" w:type="auto"/>
            <w:shd w:val="clear" w:color="auto" w:fill="auto"/>
          </w:tcPr>
          <w:p w14:paraId="015A6280" w14:textId="77777777" w:rsidR="008C5CFA" w:rsidRPr="00BA47B4" w:rsidRDefault="00E82A60" w:rsidP="00300A01">
            <w:pPr>
              <w:spacing w:before="0" w:after="0"/>
              <w:jc w:val="right"/>
              <w:rPr>
                <w:sz w:val="12"/>
                <w:szCs w:val="12"/>
                <w:lang w:val="fr-BE"/>
              </w:rPr>
            </w:pPr>
            <w:r w:rsidRPr="00BA47B4">
              <w:rPr>
                <w:noProof/>
                <w:sz w:val="12"/>
                <w:szCs w:val="12"/>
                <w:lang w:val="fr-BE"/>
              </w:rPr>
              <w:t>30,00</w:t>
            </w:r>
          </w:p>
        </w:tc>
        <w:tc>
          <w:tcPr>
            <w:tcW w:w="0" w:type="auto"/>
            <w:shd w:val="clear" w:color="auto" w:fill="auto"/>
          </w:tcPr>
          <w:p w14:paraId="03818532" w14:textId="77777777" w:rsidR="008C5CFA" w:rsidRPr="00BA47B4" w:rsidRDefault="00E82A60" w:rsidP="00300A01">
            <w:pPr>
              <w:spacing w:before="0" w:after="0"/>
              <w:jc w:val="right"/>
              <w:rPr>
                <w:sz w:val="12"/>
                <w:szCs w:val="12"/>
                <w:lang w:val="fr-BE"/>
              </w:rPr>
            </w:pPr>
            <w:r w:rsidRPr="00BA47B4">
              <w:rPr>
                <w:noProof/>
                <w:sz w:val="12"/>
                <w:szCs w:val="12"/>
                <w:lang w:val="fr-BE"/>
              </w:rPr>
              <w:t>15,00</w:t>
            </w:r>
          </w:p>
        </w:tc>
        <w:tc>
          <w:tcPr>
            <w:tcW w:w="0" w:type="auto"/>
            <w:shd w:val="clear" w:color="auto" w:fill="auto"/>
          </w:tcPr>
          <w:p w14:paraId="1ADF8797" w14:textId="77777777" w:rsidR="008C5CFA" w:rsidRPr="00BA47B4" w:rsidRDefault="00E82A60" w:rsidP="00300A01">
            <w:pPr>
              <w:spacing w:before="0" w:after="0"/>
              <w:jc w:val="right"/>
              <w:rPr>
                <w:sz w:val="12"/>
                <w:szCs w:val="12"/>
                <w:lang w:val="fr-BE"/>
              </w:rPr>
            </w:pPr>
            <w:r w:rsidRPr="00BA47B4">
              <w:rPr>
                <w:noProof/>
                <w:sz w:val="12"/>
                <w:szCs w:val="12"/>
                <w:lang w:val="fr-BE"/>
              </w:rPr>
              <w:t>15,00</w:t>
            </w:r>
          </w:p>
        </w:tc>
        <w:tc>
          <w:tcPr>
            <w:tcW w:w="0" w:type="auto"/>
            <w:shd w:val="clear" w:color="auto" w:fill="auto"/>
          </w:tcPr>
          <w:p w14:paraId="0C616237" w14:textId="77777777" w:rsidR="008C5CFA" w:rsidRPr="00BA47B4" w:rsidRDefault="008C5CFA" w:rsidP="00300A01">
            <w:pPr>
              <w:spacing w:before="0" w:after="0"/>
              <w:jc w:val="right"/>
              <w:rPr>
                <w:sz w:val="12"/>
                <w:szCs w:val="12"/>
                <w:lang w:val="fr-BE"/>
              </w:rPr>
            </w:pPr>
          </w:p>
        </w:tc>
        <w:tc>
          <w:tcPr>
            <w:tcW w:w="0" w:type="auto"/>
            <w:shd w:val="clear" w:color="auto" w:fill="auto"/>
          </w:tcPr>
          <w:p w14:paraId="0F018E92" w14:textId="77777777" w:rsidR="008C5CFA" w:rsidRPr="00BA47B4" w:rsidRDefault="008C5CFA" w:rsidP="00300A01">
            <w:pPr>
              <w:spacing w:before="0" w:after="0"/>
              <w:jc w:val="right"/>
              <w:rPr>
                <w:sz w:val="12"/>
                <w:szCs w:val="12"/>
                <w:lang w:val="fr-BE"/>
              </w:rPr>
            </w:pPr>
          </w:p>
        </w:tc>
        <w:tc>
          <w:tcPr>
            <w:tcW w:w="0" w:type="auto"/>
            <w:shd w:val="clear" w:color="auto" w:fill="auto"/>
          </w:tcPr>
          <w:p w14:paraId="49C723CF" w14:textId="77777777" w:rsidR="008C5CFA" w:rsidRPr="00BA47B4" w:rsidRDefault="008C5CFA" w:rsidP="00300A01">
            <w:pPr>
              <w:spacing w:before="0" w:after="0"/>
              <w:jc w:val="right"/>
              <w:rPr>
                <w:sz w:val="12"/>
                <w:szCs w:val="12"/>
                <w:lang w:val="fr-BE"/>
              </w:rPr>
            </w:pPr>
          </w:p>
        </w:tc>
        <w:tc>
          <w:tcPr>
            <w:tcW w:w="0" w:type="auto"/>
          </w:tcPr>
          <w:p w14:paraId="77B59732" w14:textId="77777777" w:rsidR="008C5CFA" w:rsidRPr="00A92B39" w:rsidRDefault="00E82A60" w:rsidP="00300A01">
            <w:pPr>
              <w:spacing w:before="0" w:after="0"/>
              <w:jc w:val="right"/>
              <w:rPr>
                <w:sz w:val="10"/>
                <w:szCs w:val="10"/>
                <w:lang w:val="fr-BE"/>
              </w:rPr>
            </w:pPr>
            <w:r w:rsidRPr="00A92B39">
              <w:rPr>
                <w:noProof/>
                <w:sz w:val="10"/>
                <w:szCs w:val="10"/>
                <w:lang w:val="fr-BE"/>
              </w:rPr>
              <w:t>2,00</w:t>
            </w:r>
          </w:p>
        </w:tc>
        <w:tc>
          <w:tcPr>
            <w:tcW w:w="0" w:type="auto"/>
            <w:shd w:val="clear" w:color="auto" w:fill="auto"/>
          </w:tcPr>
          <w:p w14:paraId="0C765D57"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14:paraId="33E795F8" w14:textId="77777777" w:rsidR="008C5CFA" w:rsidRPr="00BA47B4" w:rsidRDefault="00E82A60" w:rsidP="00300A01">
            <w:pPr>
              <w:spacing w:before="0" w:after="0"/>
              <w:jc w:val="right"/>
              <w:rPr>
                <w:sz w:val="12"/>
                <w:szCs w:val="12"/>
                <w:lang w:val="fr-BE"/>
              </w:rPr>
            </w:pPr>
            <w:r w:rsidRPr="00A92B39">
              <w:rPr>
                <w:noProof/>
                <w:sz w:val="10"/>
                <w:szCs w:val="10"/>
                <w:lang w:val="fr-BE"/>
              </w:rPr>
              <w:t>2,00</w:t>
            </w:r>
          </w:p>
        </w:tc>
      </w:tr>
      <w:tr w:rsidR="006B2EC1" w14:paraId="1FDF5D0E" w14:textId="77777777" w:rsidTr="0047688D">
        <w:tc>
          <w:tcPr>
            <w:tcW w:w="0" w:type="auto"/>
            <w:shd w:val="clear" w:color="auto" w:fill="auto"/>
          </w:tcPr>
          <w:p w14:paraId="4995052F" w14:textId="77777777" w:rsidR="008C5CFA" w:rsidRPr="00BA47B4" w:rsidRDefault="00E82A60" w:rsidP="00300A01">
            <w:pPr>
              <w:spacing w:before="0" w:after="0"/>
              <w:rPr>
                <w:sz w:val="12"/>
                <w:szCs w:val="12"/>
                <w:lang w:val="fr-BE"/>
              </w:rPr>
            </w:pPr>
            <w:r>
              <w:rPr>
                <w:noProof/>
                <w:sz w:val="12"/>
                <w:szCs w:val="12"/>
                <w:lang w:val="fr-BE"/>
              </w:rPr>
              <w:t>CO19</w:t>
            </w:r>
          </w:p>
        </w:tc>
        <w:tc>
          <w:tcPr>
            <w:tcW w:w="0" w:type="auto"/>
            <w:shd w:val="clear" w:color="auto" w:fill="auto"/>
          </w:tcPr>
          <w:p w14:paraId="74F4ACFE" w14:textId="77777777" w:rsidR="008C5CFA" w:rsidRPr="00BA47B4" w:rsidRDefault="00E82A60" w:rsidP="00300A01">
            <w:pPr>
              <w:spacing w:before="0" w:after="0"/>
              <w:rPr>
                <w:sz w:val="12"/>
                <w:szCs w:val="12"/>
                <w:lang w:val="fr-BE"/>
              </w:rPr>
            </w:pPr>
            <w:r>
              <w:rPr>
                <w:noProof/>
                <w:sz w:val="12"/>
                <w:szCs w:val="12"/>
                <w:lang w:val="fr-BE"/>
              </w:rPr>
              <w:t>osoby pochodzące z obszarów wiejskich</w:t>
            </w:r>
          </w:p>
        </w:tc>
        <w:tc>
          <w:tcPr>
            <w:tcW w:w="0" w:type="auto"/>
            <w:shd w:val="clear" w:color="auto" w:fill="auto"/>
          </w:tcPr>
          <w:p w14:paraId="699D9311" w14:textId="77777777" w:rsidR="008C5CFA" w:rsidRPr="00BA47B4" w:rsidRDefault="00E82A60"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14:paraId="5D1FEAAF" w14:textId="77777777" w:rsidR="008C5CFA" w:rsidRPr="00BA47B4" w:rsidRDefault="008C5CFA" w:rsidP="00300A01">
            <w:pPr>
              <w:spacing w:before="0" w:after="0"/>
              <w:jc w:val="right"/>
              <w:rPr>
                <w:sz w:val="12"/>
                <w:szCs w:val="12"/>
                <w:lang w:val="fr-BE"/>
              </w:rPr>
            </w:pPr>
          </w:p>
        </w:tc>
        <w:tc>
          <w:tcPr>
            <w:tcW w:w="0" w:type="auto"/>
            <w:shd w:val="clear" w:color="auto" w:fill="auto"/>
          </w:tcPr>
          <w:p w14:paraId="2C7B30EA" w14:textId="77777777" w:rsidR="008C5CFA" w:rsidRPr="00BA47B4" w:rsidRDefault="008C5CFA" w:rsidP="00300A01">
            <w:pPr>
              <w:spacing w:before="0" w:after="0"/>
              <w:jc w:val="right"/>
              <w:rPr>
                <w:sz w:val="12"/>
                <w:szCs w:val="12"/>
                <w:lang w:val="fr-BE"/>
              </w:rPr>
            </w:pPr>
          </w:p>
        </w:tc>
        <w:tc>
          <w:tcPr>
            <w:tcW w:w="0" w:type="auto"/>
            <w:shd w:val="clear" w:color="auto" w:fill="auto"/>
          </w:tcPr>
          <w:p w14:paraId="0D1045B8" w14:textId="77777777" w:rsidR="008C5CFA" w:rsidRPr="00BA47B4" w:rsidRDefault="008C5CFA" w:rsidP="00300A01">
            <w:pPr>
              <w:spacing w:before="0" w:after="0"/>
              <w:jc w:val="right"/>
              <w:rPr>
                <w:sz w:val="12"/>
                <w:szCs w:val="12"/>
                <w:lang w:val="fr-BE"/>
              </w:rPr>
            </w:pPr>
          </w:p>
        </w:tc>
        <w:tc>
          <w:tcPr>
            <w:tcW w:w="0" w:type="auto"/>
            <w:shd w:val="clear" w:color="auto" w:fill="auto"/>
          </w:tcPr>
          <w:p w14:paraId="444F6CF9" w14:textId="77777777" w:rsidR="008C5CFA" w:rsidRPr="00BA47B4" w:rsidRDefault="00E82A60" w:rsidP="00300A01">
            <w:pPr>
              <w:spacing w:before="0" w:after="0"/>
              <w:jc w:val="right"/>
              <w:rPr>
                <w:sz w:val="12"/>
                <w:szCs w:val="12"/>
                <w:lang w:val="fr-BE"/>
              </w:rPr>
            </w:pPr>
            <w:r w:rsidRPr="00BA47B4">
              <w:rPr>
                <w:noProof/>
                <w:sz w:val="12"/>
                <w:szCs w:val="12"/>
                <w:lang w:val="fr-BE"/>
              </w:rPr>
              <w:t>24 754,00</w:t>
            </w:r>
          </w:p>
        </w:tc>
        <w:tc>
          <w:tcPr>
            <w:tcW w:w="0" w:type="auto"/>
            <w:shd w:val="clear" w:color="auto" w:fill="auto"/>
          </w:tcPr>
          <w:p w14:paraId="36147116" w14:textId="77777777" w:rsidR="008C5CFA" w:rsidRPr="00BA47B4" w:rsidRDefault="00E82A60" w:rsidP="00300A01">
            <w:pPr>
              <w:spacing w:before="0" w:after="0"/>
              <w:jc w:val="right"/>
              <w:rPr>
                <w:sz w:val="12"/>
                <w:szCs w:val="12"/>
                <w:lang w:val="fr-BE"/>
              </w:rPr>
            </w:pPr>
            <w:r w:rsidRPr="00BA47B4">
              <w:rPr>
                <w:noProof/>
                <w:sz w:val="12"/>
                <w:szCs w:val="12"/>
                <w:lang w:val="fr-BE"/>
              </w:rPr>
              <w:t>11 303,00</w:t>
            </w:r>
          </w:p>
        </w:tc>
        <w:tc>
          <w:tcPr>
            <w:tcW w:w="0" w:type="auto"/>
            <w:shd w:val="clear" w:color="auto" w:fill="auto"/>
          </w:tcPr>
          <w:p w14:paraId="494330A8" w14:textId="77777777" w:rsidR="008C5CFA" w:rsidRPr="00BA47B4" w:rsidRDefault="00E82A60" w:rsidP="00300A01">
            <w:pPr>
              <w:spacing w:before="0" w:after="0"/>
              <w:jc w:val="right"/>
              <w:rPr>
                <w:sz w:val="12"/>
                <w:szCs w:val="12"/>
                <w:lang w:val="fr-BE"/>
              </w:rPr>
            </w:pPr>
            <w:r w:rsidRPr="00BA47B4">
              <w:rPr>
                <w:noProof/>
                <w:sz w:val="12"/>
                <w:szCs w:val="12"/>
                <w:lang w:val="fr-BE"/>
              </w:rPr>
              <w:t>13 451,00</w:t>
            </w:r>
          </w:p>
        </w:tc>
        <w:tc>
          <w:tcPr>
            <w:tcW w:w="0" w:type="auto"/>
            <w:shd w:val="clear" w:color="auto" w:fill="auto"/>
          </w:tcPr>
          <w:p w14:paraId="31AE8ACD" w14:textId="77777777" w:rsidR="008C5CFA" w:rsidRPr="00BA47B4" w:rsidRDefault="008C5CFA" w:rsidP="00300A01">
            <w:pPr>
              <w:spacing w:before="0" w:after="0"/>
              <w:jc w:val="right"/>
              <w:rPr>
                <w:sz w:val="12"/>
                <w:szCs w:val="12"/>
                <w:lang w:val="fr-BE"/>
              </w:rPr>
            </w:pPr>
          </w:p>
        </w:tc>
        <w:tc>
          <w:tcPr>
            <w:tcW w:w="0" w:type="auto"/>
            <w:shd w:val="clear" w:color="auto" w:fill="auto"/>
          </w:tcPr>
          <w:p w14:paraId="100FB849" w14:textId="77777777" w:rsidR="008C5CFA" w:rsidRPr="00BA47B4" w:rsidRDefault="008C5CFA" w:rsidP="00300A01">
            <w:pPr>
              <w:spacing w:before="0" w:after="0"/>
              <w:jc w:val="right"/>
              <w:rPr>
                <w:sz w:val="12"/>
                <w:szCs w:val="12"/>
                <w:lang w:val="fr-BE"/>
              </w:rPr>
            </w:pPr>
          </w:p>
        </w:tc>
        <w:tc>
          <w:tcPr>
            <w:tcW w:w="0" w:type="auto"/>
            <w:shd w:val="clear" w:color="auto" w:fill="auto"/>
          </w:tcPr>
          <w:p w14:paraId="461D8BE1" w14:textId="77777777" w:rsidR="008C5CFA" w:rsidRPr="00BA47B4" w:rsidRDefault="008C5CFA" w:rsidP="00300A01">
            <w:pPr>
              <w:spacing w:before="0" w:after="0"/>
              <w:jc w:val="right"/>
              <w:rPr>
                <w:sz w:val="12"/>
                <w:szCs w:val="12"/>
                <w:lang w:val="fr-BE"/>
              </w:rPr>
            </w:pPr>
          </w:p>
        </w:tc>
        <w:tc>
          <w:tcPr>
            <w:tcW w:w="0" w:type="auto"/>
          </w:tcPr>
          <w:p w14:paraId="768C1BE3" w14:textId="77777777" w:rsidR="008C5CFA" w:rsidRPr="00A92B39" w:rsidRDefault="00E82A60" w:rsidP="00300A01">
            <w:pPr>
              <w:spacing w:before="0" w:after="0"/>
              <w:jc w:val="right"/>
              <w:rPr>
                <w:sz w:val="10"/>
                <w:szCs w:val="10"/>
                <w:lang w:val="fr-BE"/>
              </w:rPr>
            </w:pPr>
            <w:r w:rsidRPr="00A92B39">
              <w:rPr>
                <w:noProof/>
                <w:sz w:val="10"/>
                <w:szCs w:val="10"/>
                <w:lang w:val="fr-BE"/>
              </w:rPr>
              <w:t>5 186,00</w:t>
            </w:r>
          </w:p>
        </w:tc>
        <w:tc>
          <w:tcPr>
            <w:tcW w:w="0" w:type="auto"/>
            <w:shd w:val="clear" w:color="auto" w:fill="auto"/>
          </w:tcPr>
          <w:p w14:paraId="7816DBE8" w14:textId="77777777" w:rsidR="008C5CFA" w:rsidRPr="00A92B39" w:rsidRDefault="00E82A60" w:rsidP="00300A01">
            <w:pPr>
              <w:spacing w:before="0" w:after="0"/>
              <w:jc w:val="right"/>
              <w:rPr>
                <w:sz w:val="10"/>
                <w:szCs w:val="10"/>
                <w:lang w:val="fr-BE"/>
              </w:rPr>
            </w:pPr>
            <w:r w:rsidRPr="00A92B39">
              <w:rPr>
                <w:noProof/>
                <w:sz w:val="10"/>
                <w:szCs w:val="10"/>
                <w:lang w:val="fr-BE"/>
              </w:rPr>
              <w:t>2 348,00</w:t>
            </w:r>
          </w:p>
        </w:tc>
        <w:tc>
          <w:tcPr>
            <w:tcW w:w="0" w:type="auto"/>
            <w:shd w:val="clear" w:color="auto" w:fill="auto"/>
          </w:tcPr>
          <w:p w14:paraId="1FFF4AA5" w14:textId="77777777" w:rsidR="008C5CFA" w:rsidRPr="00BA47B4" w:rsidRDefault="00E82A60" w:rsidP="00300A01">
            <w:pPr>
              <w:spacing w:before="0" w:after="0"/>
              <w:jc w:val="right"/>
              <w:rPr>
                <w:sz w:val="12"/>
                <w:szCs w:val="12"/>
                <w:lang w:val="fr-BE"/>
              </w:rPr>
            </w:pPr>
            <w:r w:rsidRPr="00A92B39">
              <w:rPr>
                <w:noProof/>
                <w:sz w:val="10"/>
                <w:szCs w:val="10"/>
                <w:lang w:val="fr-BE"/>
              </w:rPr>
              <w:t>2 838,00</w:t>
            </w:r>
          </w:p>
        </w:tc>
      </w:tr>
      <w:tr w:rsidR="006B2EC1" w14:paraId="65B633F3" w14:textId="77777777" w:rsidTr="0047688D">
        <w:tc>
          <w:tcPr>
            <w:tcW w:w="0" w:type="auto"/>
            <w:shd w:val="clear" w:color="auto" w:fill="auto"/>
          </w:tcPr>
          <w:p w14:paraId="5701B601" w14:textId="77777777" w:rsidR="008C5CFA" w:rsidRPr="00BA47B4" w:rsidRDefault="00E82A60" w:rsidP="00300A01">
            <w:pPr>
              <w:spacing w:before="0" w:after="0"/>
              <w:rPr>
                <w:sz w:val="12"/>
                <w:szCs w:val="12"/>
                <w:lang w:val="fr-BE"/>
              </w:rPr>
            </w:pPr>
            <w:r>
              <w:rPr>
                <w:noProof/>
                <w:sz w:val="12"/>
                <w:szCs w:val="12"/>
                <w:lang w:val="fr-BE"/>
              </w:rPr>
              <w:t>CO20</w:t>
            </w:r>
          </w:p>
        </w:tc>
        <w:tc>
          <w:tcPr>
            <w:tcW w:w="0" w:type="auto"/>
            <w:shd w:val="clear" w:color="auto" w:fill="auto"/>
          </w:tcPr>
          <w:p w14:paraId="77B02EFC" w14:textId="77777777" w:rsidR="008C5CFA" w:rsidRPr="00BA47B4" w:rsidRDefault="00E82A60" w:rsidP="00300A01">
            <w:pPr>
              <w:spacing w:before="0" w:after="0"/>
              <w:rPr>
                <w:sz w:val="12"/>
                <w:szCs w:val="12"/>
                <w:lang w:val="fr-BE"/>
              </w:rPr>
            </w:pPr>
            <w:r>
              <w:rPr>
                <w:noProof/>
                <w:sz w:val="12"/>
                <w:szCs w:val="12"/>
                <w:lang w:val="fr-BE"/>
              </w:rPr>
              <w:t>liczba projektów zrealizowanych w pełni lub częściowo przez partnerów społecznych lub organizacje pozarządowe</w:t>
            </w:r>
          </w:p>
        </w:tc>
        <w:tc>
          <w:tcPr>
            <w:tcW w:w="0" w:type="auto"/>
            <w:shd w:val="clear" w:color="auto" w:fill="auto"/>
          </w:tcPr>
          <w:p w14:paraId="3D076598" w14:textId="77777777" w:rsidR="008C5CFA" w:rsidRPr="00BA47B4" w:rsidRDefault="00E82A60"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14:paraId="5FD14F5C" w14:textId="77777777" w:rsidR="008C5CFA" w:rsidRPr="00BA47B4" w:rsidRDefault="008C5CFA" w:rsidP="00300A01">
            <w:pPr>
              <w:spacing w:before="0" w:after="0"/>
              <w:jc w:val="right"/>
              <w:rPr>
                <w:sz w:val="12"/>
                <w:szCs w:val="12"/>
                <w:lang w:val="fr-BE"/>
              </w:rPr>
            </w:pPr>
          </w:p>
        </w:tc>
        <w:tc>
          <w:tcPr>
            <w:tcW w:w="0" w:type="auto"/>
            <w:shd w:val="clear" w:color="auto" w:fill="auto"/>
          </w:tcPr>
          <w:p w14:paraId="7BDE5FC6" w14:textId="77777777" w:rsidR="008C5CFA" w:rsidRPr="00BA47B4" w:rsidRDefault="008C5CFA" w:rsidP="00300A01">
            <w:pPr>
              <w:spacing w:before="0" w:after="0"/>
              <w:jc w:val="right"/>
              <w:rPr>
                <w:sz w:val="12"/>
                <w:szCs w:val="12"/>
                <w:lang w:val="fr-BE"/>
              </w:rPr>
            </w:pPr>
          </w:p>
        </w:tc>
        <w:tc>
          <w:tcPr>
            <w:tcW w:w="0" w:type="auto"/>
            <w:shd w:val="clear" w:color="auto" w:fill="auto"/>
          </w:tcPr>
          <w:p w14:paraId="1D0D2997" w14:textId="77777777" w:rsidR="008C5CFA" w:rsidRPr="00BA47B4" w:rsidRDefault="008C5CFA" w:rsidP="00300A01">
            <w:pPr>
              <w:spacing w:before="0" w:after="0"/>
              <w:jc w:val="right"/>
              <w:rPr>
                <w:sz w:val="12"/>
                <w:szCs w:val="12"/>
                <w:lang w:val="fr-BE"/>
              </w:rPr>
            </w:pPr>
          </w:p>
        </w:tc>
        <w:tc>
          <w:tcPr>
            <w:tcW w:w="0" w:type="auto"/>
            <w:shd w:val="clear" w:color="auto" w:fill="auto"/>
          </w:tcPr>
          <w:p w14:paraId="1D0146AC" w14:textId="77777777" w:rsidR="008C5CFA" w:rsidRPr="00BA47B4" w:rsidRDefault="00E82A60" w:rsidP="00300A01">
            <w:pPr>
              <w:spacing w:before="0" w:after="0"/>
              <w:jc w:val="right"/>
              <w:rPr>
                <w:sz w:val="12"/>
                <w:szCs w:val="12"/>
                <w:lang w:val="fr-BE"/>
              </w:rPr>
            </w:pPr>
            <w:r w:rsidRPr="00BA47B4">
              <w:rPr>
                <w:noProof/>
                <w:sz w:val="12"/>
                <w:szCs w:val="12"/>
                <w:lang w:val="fr-BE"/>
              </w:rPr>
              <w:t>6,00</w:t>
            </w:r>
          </w:p>
        </w:tc>
        <w:tc>
          <w:tcPr>
            <w:tcW w:w="0" w:type="auto"/>
            <w:shd w:val="clear" w:color="auto" w:fill="auto"/>
          </w:tcPr>
          <w:p w14:paraId="5500EC88" w14:textId="77777777" w:rsidR="008C5CFA" w:rsidRPr="00BA47B4" w:rsidRDefault="008C5CFA" w:rsidP="00300A01">
            <w:pPr>
              <w:spacing w:before="0" w:after="0"/>
              <w:jc w:val="right"/>
              <w:rPr>
                <w:sz w:val="12"/>
                <w:szCs w:val="12"/>
                <w:lang w:val="fr-BE"/>
              </w:rPr>
            </w:pPr>
          </w:p>
        </w:tc>
        <w:tc>
          <w:tcPr>
            <w:tcW w:w="0" w:type="auto"/>
            <w:shd w:val="clear" w:color="auto" w:fill="auto"/>
          </w:tcPr>
          <w:p w14:paraId="1F7EF227" w14:textId="77777777" w:rsidR="008C5CFA" w:rsidRPr="00BA47B4" w:rsidRDefault="008C5CFA" w:rsidP="00300A01">
            <w:pPr>
              <w:spacing w:before="0" w:after="0"/>
              <w:jc w:val="right"/>
              <w:rPr>
                <w:sz w:val="12"/>
                <w:szCs w:val="12"/>
                <w:lang w:val="fr-BE"/>
              </w:rPr>
            </w:pPr>
          </w:p>
        </w:tc>
        <w:tc>
          <w:tcPr>
            <w:tcW w:w="0" w:type="auto"/>
            <w:shd w:val="clear" w:color="auto" w:fill="auto"/>
          </w:tcPr>
          <w:p w14:paraId="641C865A" w14:textId="77777777" w:rsidR="008C5CFA" w:rsidRPr="00BA47B4" w:rsidRDefault="008C5CFA" w:rsidP="00300A01">
            <w:pPr>
              <w:spacing w:before="0" w:after="0"/>
              <w:jc w:val="right"/>
              <w:rPr>
                <w:sz w:val="12"/>
                <w:szCs w:val="12"/>
                <w:lang w:val="fr-BE"/>
              </w:rPr>
            </w:pPr>
          </w:p>
        </w:tc>
        <w:tc>
          <w:tcPr>
            <w:tcW w:w="0" w:type="auto"/>
            <w:shd w:val="clear" w:color="auto" w:fill="auto"/>
          </w:tcPr>
          <w:p w14:paraId="355B0FC6" w14:textId="77777777" w:rsidR="008C5CFA" w:rsidRPr="00BA47B4" w:rsidRDefault="008C5CFA" w:rsidP="00300A01">
            <w:pPr>
              <w:spacing w:before="0" w:after="0"/>
              <w:jc w:val="right"/>
              <w:rPr>
                <w:sz w:val="12"/>
                <w:szCs w:val="12"/>
                <w:lang w:val="fr-BE"/>
              </w:rPr>
            </w:pPr>
          </w:p>
        </w:tc>
        <w:tc>
          <w:tcPr>
            <w:tcW w:w="0" w:type="auto"/>
            <w:shd w:val="clear" w:color="auto" w:fill="auto"/>
          </w:tcPr>
          <w:p w14:paraId="0178FA0C" w14:textId="77777777" w:rsidR="008C5CFA" w:rsidRPr="00BA47B4" w:rsidRDefault="008C5CFA" w:rsidP="00300A01">
            <w:pPr>
              <w:spacing w:before="0" w:after="0"/>
              <w:jc w:val="right"/>
              <w:rPr>
                <w:sz w:val="12"/>
                <w:szCs w:val="12"/>
                <w:lang w:val="fr-BE"/>
              </w:rPr>
            </w:pPr>
          </w:p>
        </w:tc>
        <w:tc>
          <w:tcPr>
            <w:tcW w:w="0" w:type="auto"/>
          </w:tcPr>
          <w:p w14:paraId="191D4D0B"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14:paraId="142158B2" w14:textId="77777777" w:rsidR="008C5CFA" w:rsidRPr="00A92B39" w:rsidRDefault="008C5CFA" w:rsidP="00300A01">
            <w:pPr>
              <w:spacing w:before="0" w:after="0"/>
              <w:jc w:val="right"/>
              <w:rPr>
                <w:sz w:val="10"/>
                <w:szCs w:val="10"/>
                <w:lang w:val="fr-BE"/>
              </w:rPr>
            </w:pPr>
          </w:p>
        </w:tc>
        <w:tc>
          <w:tcPr>
            <w:tcW w:w="0" w:type="auto"/>
            <w:shd w:val="clear" w:color="auto" w:fill="auto"/>
          </w:tcPr>
          <w:p w14:paraId="5E545E65" w14:textId="77777777" w:rsidR="008C5CFA" w:rsidRPr="00BA47B4" w:rsidRDefault="008C5CFA" w:rsidP="00300A01">
            <w:pPr>
              <w:spacing w:before="0" w:after="0"/>
              <w:jc w:val="right"/>
              <w:rPr>
                <w:sz w:val="12"/>
                <w:szCs w:val="12"/>
                <w:lang w:val="fr-BE"/>
              </w:rPr>
            </w:pPr>
          </w:p>
        </w:tc>
      </w:tr>
      <w:tr w:rsidR="006B2EC1" w14:paraId="455ECA5C" w14:textId="77777777" w:rsidTr="0047688D">
        <w:tc>
          <w:tcPr>
            <w:tcW w:w="0" w:type="auto"/>
            <w:shd w:val="clear" w:color="auto" w:fill="auto"/>
          </w:tcPr>
          <w:p w14:paraId="19F3DEFA" w14:textId="77777777" w:rsidR="008C5CFA" w:rsidRPr="00BA47B4" w:rsidRDefault="00E82A60" w:rsidP="00300A01">
            <w:pPr>
              <w:spacing w:before="0" w:after="0"/>
              <w:rPr>
                <w:sz w:val="12"/>
                <w:szCs w:val="12"/>
                <w:lang w:val="fr-BE"/>
              </w:rPr>
            </w:pPr>
            <w:r>
              <w:rPr>
                <w:noProof/>
                <w:sz w:val="12"/>
                <w:szCs w:val="12"/>
                <w:lang w:val="fr-BE"/>
              </w:rPr>
              <w:t>CO21</w:t>
            </w:r>
          </w:p>
        </w:tc>
        <w:tc>
          <w:tcPr>
            <w:tcW w:w="0" w:type="auto"/>
            <w:shd w:val="clear" w:color="auto" w:fill="auto"/>
          </w:tcPr>
          <w:p w14:paraId="3BBDCD4D" w14:textId="77777777" w:rsidR="008C5CFA" w:rsidRPr="00BA47B4" w:rsidRDefault="00E82A60" w:rsidP="00300A01">
            <w:pPr>
              <w:spacing w:before="0" w:after="0"/>
              <w:rPr>
                <w:sz w:val="12"/>
                <w:szCs w:val="12"/>
                <w:lang w:val="fr-BE"/>
              </w:rPr>
            </w:pPr>
            <w:r>
              <w:rPr>
                <w:noProof/>
                <w:sz w:val="12"/>
                <w:szCs w:val="12"/>
                <w:lang w:val="fr-BE"/>
              </w:rPr>
              <w:t>liczba projektów ukierunkowanych na trwały udział kobiet w zatrudnieniu i rozwój ich kariery zawodowej</w:t>
            </w:r>
          </w:p>
        </w:tc>
        <w:tc>
          <w:tcPr>
            <w:tcW w:w="0" w:type="auto"/>
            <w:shd w:val="clear" w:color="auto" w:fill="auto"/>
          </w:tcPr>
          <w:p w14:paraId="7B79CA73" w14:textId="77777777" w:rsidR="008C5CFA" w:rsidRPr="00BA47B4" w:rsidRDefault="00E82A60"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14:paraId="0A58A8EC" w14:textId="77777777" w:rsidR="008C5CFA" w:rsidRPr="00BA47B4" w:rsidRDefault="008C5CFA" w:rsidP="00300A01">
            <w:pPr>
              <w:spacing w:before="0" w:after="0"/>
              <w:jc w:val="right"/>
              <w:rPr>
                <w:sz w:val="12"/>
                <w:szCs w:val="12"/>
                <w:lang w:val="fr-BE"/>
              </w:rPr>
            </w:pPr>
          </w:p>
        </w:tc>
        <w:tc>
          <w:tcPr>
            <w:tcW w:w="0" w:type="auto"/>
            <w:shd w:val="clear" w:color="auto" w:fill="auto"/>
          </w:tcPr>
          <w:p w14:paraId="0655250D" w14:textId="77777777" w:rsidR="008C5CFA" w:rsidRPr="00BA47B4" w:rsidRDefault="008C5CFA" w:rsidP="00300A01">
            <w:pPr>
              <w:spacing w:before="0" w:after="0"/>
              <w:jc w:val="right"/>
              <w:rPr>
                <w:sz w:val="12"/>
                <w:szCs w:val="12"/>
                <w:lang w:val="fr-BE"/>
              </w:rPr>
            </w:pPr>
          </w:p>
        </w:tc>
        <w:tc>
          <w:tcPr>
            <w:tcW w:w="0" w:type="auto"/>
            <w:shd w:val="clear" w:color="auto" w:fill="auto"/>
          </w:tcPr>
          <w:p w14:paraId="0B7B29DC" w14:textId="77777777" w:rsidR="008C5CFA" w:rsidRPr="00BA47B4" w:rsidRDefault="008C5CFA" w:rsidP="00300A01">
            <w:pPr>
              <w:spacing w:before="0" w:after="0"/>
              <w:jc w:val="right"/>
              <w:rPr>
                <w:sz w:val="12"/>
                <w:szCs w:val="12"/>
                <w:lang w:val="fr-BE"/>
              </w:rPr>
            </w:pPr>
          </w:p>
        </w:tc>
        <w:tc>
          <w:tcPr>
            <w:tcW w:w="0" w:type="auto"/>
            <w:shd w:val="clear" w:color="auto" w:fill="auto"/>
          </w:tcPr>
          <w:p w14:paraId="0F019100" w14:textId="77777777" w:rsidR="008C5CFA" w:rsidRPr="00BA47B4" w:rsidRDefault="00E82A60" w:rsidP="00300A01">
            <w:pPr>
              <w:spacing w:before="0" w:after="0"/>
              <w:jc w:val="right"/>
              <w:rPr>
                <w:sz w:val="12"/>
                <w:szCs w:val="12"/>
                <w:lang w:val="fr-BE"/>
              </w:rPr>
            </w:pPr>
            <w:r w:rsidRPr="00BA47B4">
              <w:rPr>
                <w:noProof/>
                <w:sz w:val="12"/>
                <w:szCs w:val="12"/>
                <w:lang w:val="fr-BE"/>
              </w:rPr>
              <w:t>2,00</w:t>
            </w:r>
          </w:p>
        </w:tc>
        <w:tc>
          <w:tcPr>
            <w:tcW w:w="0" w:type="auto"/>
            <w:shd w:val="clear" w:color="auto" w:fill="auto"/>
          </w:tcPr>
          <w:p w14:paraId="4A2469B1" w14:textId="77777777" w:rsidR="008C5CFA" w:rsidRPr="00BA47B4" w:rsidRDefault="008C5CFA" w:rsidP="00300A01">
            <w:pPr>
              <w:spacing w:before="0" w:after="0"/>
              <w:jc w:val="right"/>
              <w:rPr>
                <w:sz w:val="12"/>
                <w:szCs w:val="12"/>
                <w:lang w:val="fr-BE"/>
              </w:rPr>
            </w:pPr>
          </w:p>
        </w:tc>
        <w:tc>
          <w:tcPr>
            <w:tcW w:w="0" w:type="auto"/>
            <w:shd w:val="clear" w:color="auto" w:fill="auto"/>
          </w:tcPr>
          <w:p w14:paraId="71F78A15" w14:textId="77777777" w:rsidR="008C5CFA" w:rsidRPr="00BA47B4" w:rsidRDefault="008C5CFA" w:rsidP="00300A01">
            <w:pPr>
              <w:spacing w:before="0" w:after="0"/>
              <w:jc w:val="right"/>
              <w:rPr>
                <w:sz w:val="12"/>
                <w:szCs w:val="12"/>
                <w:lang w:val="fr-BE"/>
              </w:rPr>
            </w:pPr>
          </w:p>
        </w:tc>
        <w:tc>
          <w:tcPr>
            <w:tcW w:w="0" w:type="auto"/>
            <w:shd w:val="clear" w:color="auto" w:fill="auto"/>
          </w:tcPr>
          <w:p w14:paraId="40793F37" w14:textId="77777777" w:rsidR="008C5CFA" w:rsidRPr="00BA47B4" w:rsidRDefault="008C5CFA" w:rsidP="00300A01">
            <w:pPr>
              <w:spacing w:before="0" w:after="0"/>
              <w:jc w:val="right"/>
              <w:rPr>
                <w:sz w:val="12"/>
                <w:szCs w:val="12"/>
                <w:lang w:val="fr-BE"/>
              </w:rPr>
            </w:pPr>
          </w:p>
        </w:tc>
        <w:tc>
          <w:tcPr>
            <w:tcW w:w="0" w:type="auto"/>
            <w:shd w:val="clear" w:color="auto" w:fill="auto"/>
          </w:tcPr>
          <w:p w14:paraId="067AF6ED" w14:textId="77777777" w:rsidR="008C5CFA" w:rsidRPr="00BA47B4" w:rsidRDefault="008C5CFA" w:rsidP="00300A01">
            <w:pPr>
              <w:spacing w:before="0" w:after="0"/>
              <w:jc w:val="right"/>
              <w:rPr>
                <w:sz w:val="12"/>
                <w:szCs w:val="12"/>
                <w:lang w:val="fr-BE"/>
              </w:rPr>
            </w:pPr>
          </w:p>
        </w:tc>
        <w:tc>
          <w:tcPr>
            <w:tcW w:w="0" w:type="auto"/>
            <w:shd w:val="clear" w:color="auto" w:fill="auto"/>
          </w:tcPr>
          <w:p w14:paraId="365FA2B0" w14:textId="77777777" w:rsidR="008C5CFA" w:rsidRPr="00BA47B4" w:rsidRDefault="008C5CFA" w:rsidP="00300A01">
            <w:pPr>
              <w:spacing w:before="0" w:after="0"/>
              <w:jc w:val="right"/>
              <w:rPr>
                <w:sz w:val="12"/>
                <w:szCs w:val="12"/>
                <w:lang w:val="fr-BE"/>
              </w:rPr>
            </w:pPr>
          </w:p>
        </w:tc>
        <w:tc>
          <w:tcPr>
            <w:tcW w:w="0" w:type="auto"/>
          </w:tcPr>
          <w:p w14:paraId="0DF10372"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14:paraId="721DE728" w14:textId="77777777" w:rsidR="008C5CFA" w:rsidRPr="00A92B39" w:rsidRDefault="008C5CFA" w:rsidP="00300A01">
            <w:pPr>
              <w:spacing w:before="0" w:after="0"/>
              <w:jc w:val="right"/>
              <w:rPr>
                <w:sz w:val="10"/>
                <w:szCs w:val="10"/>
                <w:lang w:val="fr-BE"/>
              </w:rPr>
            </w:pPr>
          </w:p>
        </w:tc>
        <w:tc>
          <w:tcPr>
            <w:tcW w:w="0" w:type="auto"/>
            <w:shd w:val="clear" w:color="auto" w:fill="auto"/>
          </w:tcPr>
          <w:p w14:paraId="0039D2F6" w14:textId="77777777" w:rsidR="008C5CFA" w:rsidRPr="00BA47B4" w:rsidRDefault="008C5CFA" w:rsidP="00300A01">
            <w:pPr>
              <w:spacing w:before="0" w:after="0"/>
              <w:jc w:val="right"/>
              <w:rPr>
                <w:sz w:val="12"/>
                <w:szCs w:val="12"/>
                <w:lang w:val="fr-BE"/>
              </w:rPr>
            </w:pPr>
          </w:p>
        </w:tc>
      </w:tr>
      <w:tr w:rsidR="006B2EC1" w14:paraId="3EFB6BD5" w14:textId="77777777" w:rsidTr="0047688D">
        <w:tc>
          <w:tcPr>
            <w:tcW w:w="0" w:type="auto"/>
            <w:shd w:val="clear" w:color="auto" w:fill="auto"/>
          </w:tcPr>
          <w:p w14:paraId="6085FE98" w14:textId="77777777" w:rsidR="008C5CFA" w:rsidRPr="00BA47B4" w:rsidRDefault="00E82A60" w:rsidP="00300A01">
            <w:pPr>
              <w:spacing w:before="0" w:after="0"/>
              <w:rPr>
                <w:sz w:val="12"/>
                <w:szCs w:val="12"/>
                <w:lang w:val="fr-BE"/>
              </w:rPr>
            </w:pPr>
            <w:r>
              <w:rPr>
                <w:noProof/>
                <w:sz w:val="12"/>
                <w:szCs w:val="12"/>
                <w:lang w:val="fr-BE"/>
              </w:rPr>
              <w:t>CO22</w:t>
            </w:r>
          </w:p>
        </w:tc>
        <w:tc>
          <w:tcPr>
            <w:tcW w:w="0" w:type="auto"/>
            <w:shd w:val="clear" w:color="auto" w:fill="auto"/>
          </w:tcPr>
          <w:p w14:paraId="0F84E6E9" w14:textId="77777777" w:rsidR="008C5CFA" w:rsidRPr="00BA47B4" w:rsidRDefault="00E82A60" w:rsidP="00300A01">
            <w:pPr>
              <w:spacing w:before="0" w:after="0"/>
              <w:rPr>
                <w:sz w:val="12"/>
                <w:szCs w:val="12"/>
                <w:lang w:val="fr-BE"/>
              </w:rPr>
            </w:pPr>
            <w:r>
              <w:rPr>
                <w:noProof/>
                <w:sz w:val="12"/>
                <w:szCs w:val="12"/>
                <w:lang w:val="fr-BE"/>
              </w:rPr>
              <w:t>liczba projektów obejmujących administrację publiczną lub służby publiczne na szczeblu krajowym, regionalnym lub lokalnym</w:t>
            </w:r>
          </w:p>
        </w:tc>
        <w:tc>
          <w:tcPr>
            <w:tcW w:w="0" w:type="auto"/>
            <w:shd w:val="clear" w:color="auto" w:fill="auto"/>
          </w:tcPr>
          <w:p w14:paraId="789B3C60" w14:textId="77777777" w:rsidR="008C5CFA" w:rsidRPr="00BA47B4" w:rsidRDefault="00E82A60"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14:paraId="766836DE" w14:textId="77777777" w:rsidR="008C5CFA" w:rsidRPr="00BA47B4" w:rsidRDefault="008C5CFA" w:rsidP="00300A01">
            <w:pPr>
              <w:spacing w:before="0" w:after="0"/>
              <w:jc w:val="right"/>
              <w:rPr>
                <w:sz w:val="12"/>
                <w:szCs w:val="12"/>
                <w:lang w:val="fr-BE"/>
              </w:rPr>
            </w:pPr>
          </w:p>
        </w:tc>
        <w:tc>
          <w:tcPr>
            <w:tcW w:w="0" w:type="auto"/>
            <w:shd w:val="clear" w:color="auto" w:fill="auto"/>
          </w:tcPr>
          <w:p w14:paraId="170DD691" w14:textId="77777777" w:rsidR="008C5CFA" w:rsidRPr="00BA47B4" w:rsidRDefault="008C5CFA" w:rsidP="00300A01">
            <w:pPr>
              <w:spacing w:before="0" w:after="0"/>
              <w:jc w:val="right"/>
              <w:rPr>
                <w:sz w:val="12"/>
                <w:szCs w:val="12"/>
                <w:lang w:val="fr-BE"/>
              </w:rPr>
            </w:pPr>
          </w:p>
        </w:tc>
        <w:tc>
          <w:tcPr>
            <w:tcW w:w="0" w:type="auto"/>
            <w:shd w:val="clear" w:color="auto" w:fill="auto"/>
          </w:tcPr>
          <w:p w14:paraId="08ED2C28" w14:textId="77777777" w:rsidR="008C5CFA" w:rsidRPr="00BA47B4" w:rsidRDefault="008C5CFA" w:rsidP="00300A01">
            <w:pPr>
              <w:spacing w:before="0" w:after="0"/>
              <w:jc w:val="right"/>
              <w:rPr>
                <w:sz w:val="12"/>
                <w:szCs w:val="12"/>
                <w:lang w:val="fr-BE"/>
              </w:rPr>
            </w:pPr>
          </w:p>
        </w:tc>
        <w:tc>
          <w:tcPr>
            <w:tcW w:w="0" w:type="auto"/>
            <w:shd w:val="clear" w:color="auto" w:fill="auto"/>
          </w:tcPr>
          <w:p w14:paraId="0DC3A5D8" w14:textId="77777777" w:rsidR="008C5CFA" w:rsidRPr="00BA47B4" w:rsidRDefault="00E82A60" w:rsidP="00300A01">
            <w:pPr>
              <w:spacing w:before="0" w:after="0"/>
              <w:jc w:val="right"/>
              <w:rPr>
                <w:sz w:val="12"/>
                <w:szCs w:val="12"/>
                <w:lang w:val="fr-BE"/>
              </w:rPr>
            </w:pPr>
            <w:r w:rsidRPr="00BA47B4">
              <w:rPr>
                <w:noProof/>
                <w:sz w:val="12"/>
                <w:szCs w:val="12"/>
                <w:lang w:val="fr-BE"/>
              </w:rPr>
              <w:t>15,00</w:t>
            </w:r>
          </w:p>
        </w:tc>
        <w:tc>
          <w:tcPr>
            <w:tcW w:w="0" w:type="auto"/>
            <w:shd w:val="clear" w:color="auto" w:fill="auto"/>
          </w:tcPr>
          <w:p w14:paraId="25BE027F" w14:textId="77777777" w:rsidR="008C5CFA" w:rsidRPr="00BA47B4" w:rsidRDefault="008C5CFA" w:rsidP="00300A01">
            <w:pPr>
              <w:spacing w:before="0" w:after="0"/>
              <w:jc w:val="right"/>
              <w:rPr>
                <w:sz w:val="12"/>
                <w:szCs w:val="12"/>
                <w:lang w:val="fr-BE"/>
              </w:rPr>
            </w:pPr>
          </w:p>
        </w:tc>
        <w:tc>
          <w:tcPr>
            <w:tcW w:w="0" w:type="auto"/>
            <w:shd w:val="clear" w:color="auto" w:fill="auto"/>
          </w:tcPr>
          <w:p w14:paraId="0572905E" w14:textId="77777777" w:rsidR="008C5CFA" w:rsidRPr="00BA47B4" w:rsidRDefault="008C5CFA" w:rsidP="00300A01">
            <w:pPr>
              <w:spacing w:before="0" w:after="0"/>
              <w:jc w:val="right"/>
              <w:rPr>
                <w:sz w:val="12"/>
                <w:szCs w:val="12"/>
                <w:lang w:val="fr-BE"/>
              </w:rPr>
            </w:pPr>
          </w:p>
        </w:tc>
        <w:tc>
          <w:tcPr>
            <w:tcW w:w="0" w:type="auto"/>
            <w:shd w:val="clear" w:color="auto" w:fill="auto"/>
          </w:tcPr>
          <w:p w14:paraId="17190B8A" w14:textId="77777777" w:rsidR="008C5CFA" w:rsidRPr="00BA47B4" w:rsidRDefault="008C5CFA" w:rsidP="00300A01">
            <w:pPr>
              <w:spacing w:before="0" w:after="0"/>
              <w:jc w:val="right"/>
              <w:rPr>
                <w:sz w:val="12"/>
                <w:szCs w:val="12"/>
                <w:lang w:val="fr-BE"/>
              </w:rPr>
            </w:pPr>
          </w:p>
        </w:tc>
        <w:tc>
          <w:tcPr>
            <w:tcW w:w="0" w:type="auto"/>
            <w:shd w:val="clear" w:color="auto" w:fill="auto"/>
          </w:tcPr>
          <w:p w14:paraId="36DC791C" w14:textId="77777777" w:rsidR="008C5CFA" w:rsidRPr="00BA47B4" w:rsidRDefault="008C5CFA" w:rsidP="00300A01">
            <w:pPr>
              <w:spacing w:before="0" w:after="0"/>
              <w:jc w:val="right"/>
              <w:rPr>
                <w:sz w:val="12"/>
                <w:szCs w:val="12"/>
                <w:lang w:val="fr-BE"/>
              </w:rPr>
            </w:pPr>
          </w:p>
        </w:tc>
        <w:tc>
          <w:tcPr>
            <w:tcW w:w="0" w:type="auto"/>
            <w:shd w:val="clear" w:color="auto" w:fill="auto"/>
          </w:tcPr>
          <w:p w14:paraId="431F080E" w14:textId="77777777" w:rsidR="008C5CFA" w:rsidRPr="00BA47B4" w:rsidRDefault="008C5CFA" w:rsidP="00300A01">
            <w:pPr>
              <w:spacing w:before="0" w:after="0"/>
              <w:jc w:val="right"/>
              <w:rPr>
                <w:sz w:val="12"/>
                <w:szCs w:val="12"/>
                <w:lang w:val="fr-BE"/>
              </w:rPr>
            </w:pPr>
          </w:p>
        </w:tc>
        <w:tc>
          <w:tcPr>
            <w:tcW w:w="0" w:type="auto"/>
          </w:tcPr>
          <w:p w14:paraId="1884D59C"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14:paraId="3B0370F4" w14:textId="77777777" w:rsidR="008C5CFA" w:rsidRPr="00A92B39" w:rsidRDefault="008C5CFA" w:rsidP="00300A01">
            <w:pPr>
              <w:spacing w:before="0" w:after="0"/>
              <w:jc w:val="right"/>
              <w:rPr>
                <w:sz w:val="10"/>
                <w:szCs w:val="10"/>
                <w:lang w:val="fr-BE"/>
              </w:rPr>
            </w:pPr>
          </w:p>
        </w:tc>
        <w:tc>
          <w:tcPr>
            <w:tcW w:w="0" w:type="auto"/>
            <w:shd w:val="clear" w:color="auto" w:fill="auto"/>
          </w:tcPr>
          <w:p w14:paraId="0E110BB9" w14:textId="77777777" w:rsidR="008C5CFA" w:rsidRPr="00BA47B4" w:rsidRDefault="008C5CFA" w:rsidP="00300A01">
            <w:pPr>
              <w:spacing w:before="0" w:after="0"/>
              <w:jc w:val="right"/>
              <w:rPr>
                <w:sz w:val="12"/>
                <w:szCs w:val="12"/>
                <w:lang w:val="fr-BE"/>
              </w:rPr>
            </w:pPr>
          </w:p>
        </w:tc>
      </w:tr>
      <w:tr w:rsidR="006B2EC1" w14:paraId="2C9D6CDF" w14:textId="77777777" w:rsidTr="0047688D">
        <w:tc>
          <w:tcPr>
            <w:tcW w:w="0" w:type="auto"/>
            <w:shd w:val="clear" w:color="auto" w:fill="auto"/>
          </w:tcPr>
          <w:p w14:paraId="4E64A9FD" w14:textId="77777777" w:rsidR="008C5CFA" w:rsidRPr="00BA47B4" w:rsidRDefault="00E82A60" w:rsidP="00300A01">
            <w:pPr>
              <w:spacing w:before="0" w:after="0"/>
              <w:rPr>
                <w:sz w:val="12"/>
                <w:szCs w:val="12"/>
                <w:lang w:val="fr-BE"/>
              </w:rPr>
            </w:pPr>
            <w:r>
              <w:rPr>
                <w:noProof/>
                <w:sz w:val="12"/>
                <w:szCs w:val="12"/>
                <w:lang w:val="fr-BE"/>
              </w:rPr>
              <w:t>CO23</w:t>
            </w:r>
          </w:p>
        </w:tc>
        <w:tc>
          <w:tcPr>
            <w:tcW w:w="0" w:type="auto"/>
            <w:shd w:val="clear" w:color="auto" w:fill="auto"/>
          </w:tcPr>
          <w:p w14:paraId="06DA2010" w14:textId="77777777" w:rsidR="008C5CFA" w:rsidRPr="00BA47B4" w:rsidRDefault="00E82A60" w:rsidP="00300A01">
            <w:pPr>
              <w:spacing w:before="0" w:after="0"/>
              <w:rPr>
                <w:sz w:val="12"/>
                <w:szCs w:val="12"/>
                <w:lang w:val="fr-BE"/>
              </w:rPr>
            </w:pPr>
            <w:r>
              <w:rPr>
                <w:noProof/>
                <w:sz w:val="12"/>
                <w:szCs w:val="12"/>
                <w:lang w:val="fr-BE"/>
              </w:rPr>
              <w:t>liczba objętych wsparciem mikro-, małych i średnich przedsiębiorstw (w tym przedsiębiorstw spółdzielczych i przedsiębiorstw gospodarki społecznej)</w:t>
            </w:r>
          </w:p>
        </w:tc>
        <w:tc>
          <w:tcPr>
            <w:tcW w:w="0" w:type="auto"/>
            <w:shd w:val="clear" w:color="auto" w:fill="auto"/>
          </w:tcPr>
          <w:p w14:paraId="790CAE6C" w14:textId="77777777" w:rsidR="008C5CFA" w:rsidRPr="00BA47B4" w:rsidRDefault="00E82A60"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14:paraId="768C504E" w14:textId="77777777" w:rsidR="008C5CFA" w:rsidRPr="00BA47B4" w:rsidRDefault="008C5CFA" w:rsidP="00300A01">
            <w:pPr>
              <w:spacing w:before="0" w:after="0"/>
              <w:jc w:val="right"/>
              <w:rPr>
                <w:sz w:val="12"/>
                <w:szCs w:val="12"/>
                <w:lang w:val="fr-BE"/>
              </w:rPr>
            </w:pPr>
          </w:p>
        </w:tc>
        <w:tc>
          <w:tcPr>
            <w:tcW w:w="0" w:type="auto"/>
            <w:shd w:val="clear" w:color="auto" w:fill="auto"/>
          </w:tcPr>
          <w:p w14:paraId="7FF1AFE7" w14:textId="77777777" w:rsidR="008C5CFA" w:rsidRPr="00BA47B4" w:rsidRDefault="008C5CFA" w:rsidP="00300A01">
            <w:pPr>
              <w:spacing w:before="0" w:after="0"/>
              <w:jc w:val="right"/>
              <w:rPr>
                <w:sz w:val="12"/>
                <w:szCs w:val="12"/>
                <w:lang w:val="fr-BE"/>
              </w:rPr>
            </w:pPr>
          </w:p>
        </w:tc>
        <w:tc>
          <w:tcPr>
            <w:tcW w:w="0" w:type="auto"/>
            <w:shd w:val="clear" w:color="auto" w:fill="auto"/>
          </w:tcPr>
          <w:p w14:paraId="75F61C96" w14:textId="77777777" w:rsidR="008C5CFA" w:rsidRPr="00BA47B4" w:rsidRDefault="008C5CFA" w:rsidP="00300A01">
            <w:pPr>
              <w:spacing w:before="0" w:after="0"/>
              <w:jc w:val="right"/>
              <w:rPr>
                <w:sz w:val="12"/>
                <w:szCs w:val="12"/>
                <w:lang w:val="fr-BE"/>
              </w:rPr>
            </w:pPr>
          </w:p>
        </w:tc>
        <w:tc>
          <w:tcPr>
            <w:tcW w:w="0" w:type="auto"/>
            <w:shd w:val="clear" w:color="auto" w:fill="auto"/>
          </w:tcPr>
          <w:p w14:paraId="7DB3A771" w14:textId="77777777" w:rsidR="008C5CFA" w:rsidRPr="00BA47B4" w:rsidRDefault="00E82A60" w:rsidP="00300A01">
            <w:pPr>
              <w:spacing w:before="0" w:after="0"/>
              <w:jc w:val="right"/>
              <w:rPr>
                <w:sz w:val="12"/>
                <w:szCs w:val="12"/>
                <w:lang w:val="fr-BE"/>
              </w:rPr>
            </w:pPr>
            <w:r w:rsidRPr="00BA47B4">
              <w:rPr>
                <w:noProof/>
                <w:sz w:val="12"/>
                <w:szCs w:val="12"/>
                <w:lang w:val="fr-BE"/>
              </w:rPr>
              <w:t>4,00</w:t>
            </w:r>
          </w:p>
        </w:tc>
        <w:tc>
          <w:tcPr>
            <w:tcW w:w="0" w:type="auto"/>
            <w:shd w:val="clear" w:color="auto" w:fill="auto"/>
          </w:tcPr>
          <w:p w14:paraId="702B8B1D" w14:textId="77777777" w:rsidR="008C5CFA" w:rsidRPr="00BA47B4" w:rsidRDefault="008C5CFA" w:rsidP="00300A01">
            <w:pPr>
              <w:spacing w:before="0" w:after="0"/>
              <w:jc w:val="right"/>
              <w:rPr>
                <w:sz w:val="12"/>
                <w:szCs w:val="12"/>
                <w:lang w:val="fr-BE"/>
              </w:rPr>
            </w:pPr>
          </w:p>
        </w:tc>
        <w:tc>
          <w:tcPr>
            <w:tcW w:w="0" w:type="auto"/>
            <w:shd w:val="clear" w:color="auto" w:fill="auto"/>
          </w:tcPr>
          <w:p w14:paraId="5184DB7C" w14:textId="77777777" w:rsidR="008C5CFA" w:rsidRPr="00BA47B4" w:rsidRDefault="008C5CFA" w:rsidP="00300A01">
            <w:pPr>
              <w:spacing w:before="0" w:after="0"/>
              <w:jc w:val="right"/>
              <w:rPr>
                <w:sz w:val="12"/>
                <w:szCs w:val="12"/>
                <w:lang w:val="fr-BE"/>
              </w:rPr>
            </w:pPr>
          </w:p>
        </w:tc>
        <w:tc>
          <w:tcPr>
            <w:tcW w:w="0" w:type="auto"/>
            <w:shd w:val="clear" w:color="auto" w:fill="auto"/>
          </w:tcPr>
          <w:p w14:paraId="70E4F8F0" w14:textId="77777777" w:rsidR="008C5CFA" w:rsidRPr="00BA47B4" w:rsidRDefault="008C5CFA" w:rsidP="00300A01">
            <w:pPr>
              <w:spacing w:before="0" w:after="0"/>
              <w:jc w:val="right"/>
              <w:rPr>
                <w:sz w:val="12"/>
                <w:szCs w:val="12"/>
                <w:lang w:val="fr-BE"/>
              </w:rPr>
            </w:pPr>
          </w:p>
        </w:tc>
        <w:tc>
          <w:tcPr>
            <w:tcW w:w="0" w:type="auto"/>
            <w:shd w:val="clear" w:color="auto" w:fill="auto"/>
          </w:tcPr>
          <w:p w14:paraId="1B2F07AD" w14:textId="77777777" w:rsidR="008C5CFA" w:rsidRPr="00BA47B4" w:rsidRDefault="008C5CFA" w:rsidP="00300A01">
            <w:pPr>
              <w:spacing w:before="0" w:after="0"/>
              <w:jc w:val="right"/>
              <w:rPr>
                <w:sz w:val="12"/>
                <w:szCs w:val="12"/>
                <w:lang w:val="fr-BE"/>
              </w:rPr>
            </w:pPr>
          </w:p>
        </w:tc>
        <w:tc>
          <w:tcPr>
            <w:tcW w:w="0" w:type="auto"/>
            <w:shd w:val="clear" w:color="auto" w:fill="auto"/>
          </w:tcPr>
          <w:p w14:paraId="76462E51" w14:textId="77777777" w:rsidR="008C5CFA" w:rsidRPr="00BA47B4" w:rsidRDefault="008C5CFA" w:rsidP="00300A01">
            <w:pPr>
              <w:spacing w:before="0" w:after="0"/>
              <w:jc w:val="right"/>
              <w:rPr>
                <w:sz w:val="12"/>
                <w:szCs w:val="12"/>
                <w:lang w:val="fr-BE"/>
              </w:rPr>
            </w:pPr>
          </w:p>
        </w:tc>
        <w:tc>
          <w:tcPr>
            <w:tcW w:w="0" w:type="auto"/>
          </w:tcPr>
          <w:p w14:paraId="7D6BDBA6"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14:paraId="2DD663D2" w14:textId="77777777" w:rsidR="008C5CFA" w:rsidRPr="00A92B39" w:rsidRDefault="008C5CFA" w:rsidP="00300A01">
            <w:pPr>
              <w:spacing w:before="0" w:after="0"/>
              <w:jc w:val="right"/>
              <w:rPr>
                <w:sz w:val="10"/>
                <w:szCs w:val="10"/>
                <w:lang w:val="fr-BE"/>
              </w:rPr>
            </w:pPr>
          </w:p>
        </w:tc>
        <w:tc>
          <w:tcPr>
            <w:tcW w:w="0" w:type="auto"/>
            <w:shd w:val="clear" w:color="auto" w:fill="auto"/>
          </w:tcPr>
          <w:p w14:paraId="14C03427" w14:textId="77777777" w:rsidR="008C5CFA" w:rsidRPr="00BA47B4" w:rsidRDefault="008C5CFA" w:rsidP="00300A01">
            <w:pPr>
              <w:spacing w:before="0" w:after="0"/>
              <w:jc w:val="right"/>
              <w:rPr>
                <w:sz w:val="12"/>
                <w:szCs w:val="12"/>
                <w:lang w:val="fr-BE"/>
              </w:rPr>
            </w:pPr>
          </w:p>
        </w:tc>
      </w:tr>
      <w:tr w:rsidR="006B2EC1" w14:paraId="567DDAEF" w14:textId="77777777" w:rsidTr="0047688D">
        <w:tc>
          <w:tcPr>
            <w:tcW w:w="0" w:type="auto"/>
            <w:shd w:val="clear" w:color="auto" w:fill="auto"/>
          </w:tcPr>
          <w:p w14:paraId="2E668366" w14:textId="77777777" w:rsidR="008C5CFA" w:rsidRPr="00BA47B4" w:rsidRDefault="008C5CFA" w:rsidP="00300A01">
            <w:pPr>
              <w:spacing w:before="0" w:after="0"/>
              <w:rPr>
                <w:sz w:val="12"/>
                <w:szCs w:val="12"/>
                <w:lang w:val="fr-BE"/>
              </w:rPr>
            </w:pPr>
          </w:p>
        </w:tc>
        <w:tc>
          <w:tcPr>
            <w:tcW w:w="0" w:type="auto"/>
            <w:shd w:val="clear" w:color="auto" w:fill="auto"/>
          </w:tcPr>
          <w:p w14:paraId="2DCBB879" w14:textId="77777777" w:rsidR="008C5CFA" w:rsidRPr="00BA47B4" w:rsidRDefault="00E82A60" w:rsidP="00300A01">
            <w:pPr>
              <w:spacing w:before="0" w:after="0"/>
              <w:rPr>
                <w:sz w:val="12"/>
                <w:szCs w:val="12"/>
                <w:lang w:val="fr-BE"/>
              </w:rPr>
            </w:pPr>
            <w:r>
              <w:rPr>
                <w:noProof/>
                <w:sz w:val="12"/>
                <w:szCs w:val="12"/>
                <w:lang w:val="fr-BE"/>
              </w:rPr>
              <w:t>Całkowita łączna liczba uczestników</w:t>
            </w:r>
          </w:p>
        </w:tc>
        <w:tc>
          <w:tcPr>
            <w:tcW w:w="0" w:type="auto"/>
            <w:shd w:val="clear" w:color="auto" w:fill="auto"/>
          </w:tcPr>
          <w:p w14:paraId="7B70BA51" w14:textId="77777777" w:rsidR="008C5CFA" w:rsidRPr="00BA47B4" w:rsidRDefault="008C5CFA" w:rsidP="00300A01">
            <w:pPr>
              <w:spacing w:before="0" w:after="0"/>
              <w:rPr>
                <w:sz w:val="12"/>
                <w:szCs w:val="12"/>
                <w:lang w:val="fr-BE"/>
              </w:rPr>
            </w:pPr>
          </w:p>
        </w:tc>
        <w:tc>
          <w:tcPr>
            <w:tcW w:w="0" w:type="auto"/>
            <w:shd w:val="clear" w:color="auto" w:fill="auto"/>
          </w:tcPr>
          <w:p w14:paraId="2EA8B6C1" w14:textId="77777777" w:rsidR="008C5CFA" w:rsidRPr="00BA47B4" w:rsidRDefault="008C5CFA" w:rsidP="00300A01">
            <w:pPr>
              <w:spacing w:before="0" w:after="0"/>
              <w:jc w:val="right"/>
              <w:rPr>
                <w:sz w:val="12"/>
                <w:szCs w:val="12"/>
                <w:lang w:val="fr-BE"/>
              </w:rPr>
            </w:pPr>
          </w:p>
        </w:tc>
        <w:tc>
          <w:tcPr>
            <w:tcW w:w="0" w:type="auto"/>
            <w:shd w:val="clear" w:color="auto" w:fill="auto"/>
          </w:tcPr>
          <w:p w14:paraId="1977D15F" w14:textId="77777777" w:rsidR="008C5CFA" w:rsidRPr="00BA47B4" w:rsidRDefault="008C5CFA" w:rsidP="00300A01">
            <w:pPr>
              <w:spacing w:before="0" w:after="0"/>
              <w:jc w:val="right"/>
              <w:rPr>
                <w:sz w:val="12"/>
                <w:szCs w:val="12"/>
                <w:lang w:val="fr-BE"/>
              </w:rPr>
            </w:pPr>
          </w:p>
        </w:tc>
        <w:tc>
          <w:tcPr>
            <w:tcW w:w="0" w:type="auto"/>
            <w:shd w:val="clear" w:color="auto" w:fill="auto"/>
          </w:tcPr>
          <w:p w14:paraId="24A7F963" w14:textId="77777777" w:rsidR="008C5CFA" w:rsidRPr="00BA47B4" w:rsidRDefault="008C5CFA" w:rsidP="00300A01">
            <w:pPr>
              <w:spacing w:before="0" w:after="0"/>
              <w:jc w:val="right"/>
              <w:rPr>
                <w:sz w:val="12"/>
                <w:szCs w:val="12"/>
                <w:lang w:val="fr-BE"/>
              </w:rPr>
            </w:pPr>
          </w:p>
        </w:tc>
        <w:tc>
          <w:tcPr>
            <w:tcW w:w="0" w:type="auto"/>
            <w:shd w:val="clear" w:color="auto" w:fill="auto"/>
          </w:tcPr>
          <w:p w14:paraId="5B171691" w14:textId="77777777" w:rsidR="008C5CFA" w:rsidRPr="00BA47B4" w:rsidRDefault="00E82A60" w:rsidP="00300A01">
            <w:pPr>
              <w:spacing w:before="0" w:after="0"/>
              <w:jc w:val="right"/>
              <w:rPr>
                <w:sz w:val="12"/>
                <w:szCs w:val="12"/>
                <w:lang w:val="fr-BE"/>
              </w:rPr>
            </w:pPr>
            <w:r w:rsidRPr="00BA47B4">
              <w:rPr>
                <w:noProof/>
                <w:sz w:val="12"/>
                <w:szCs w:val="12"/>
                <w:lang w:val="fr-BE"/>
              </w:rPr>
              <w:t>32 424,00</w:t>
            </w:r>
          </w:p>
        </w:tc>
        <w:tc>
          <w:tcPr>
            <w:tcW w:w="0" w:type="auto"/>
            <w:shd w:val="clear" w:color="auto" w:fill="auto"/>
          </w:tcPr>
          <w:p w14:paraId="1FC99D15" w14:textId="77777777" w:rsidR="008C5CFA" w:rsidRPr="00BA47B4" w:rsidRDefault="008C5CFA" w:rsidP="00300A01">
            <w:pPr>
              <w:spacing w:before="0" w:after="0"/>
              <w:jc w:val="right"/>
              <w:rPr>
                <w:sz w:val="12"/>
                <w:szCs w:val="12"/>
                <w:lang w:val="fr-BE"/>
              </w:rPr>
            </w:pPr>
          </w:p>
        </w:tc>
        <w:tc>
          <w:tcPr>
            <w:tcW w:w="0" w:type="auto"/>
            <w:shd w:val="clear" w:color="auto" w:fill="auto"/>
          </w:tcPr>
          <w:p w14:paraId="149BF165" w14:textId="77777777" w:rsidR="008C5CFA" w:rsidRPr="00BA47B4" w:rsidRDefault="008C5CFA" w:rsidP="00300A01">
            <w:pPr>
              <w:spacing w:before="0" w:after="0"/>
              <w:jc w:val="right"/>
              <w:rPr>
                <w:sz w:val="12"/>
                <w:szCs w:val="12"/>
                <w:lang w:val="fr-BE"/>
              </w:rPr>
            </w:pPr>
          </w:p>
        </w:tc>
        <w:tc>
          <w:tcPr>
            <w:tcW w:w="0" w:type="auto"/>
            <w:shd w:val="clear" w:color="auto" w:fill="auto"/>
          </w:tcPr>
          <w:p w14:paraId="3D885D19" w14:textId="77777777" w:rsidR="008C5CFA" w:rsidRPr="00BA47B4" w:rsidRDefault="008C5CFA" w:rsidP="00300A01">
            <w:pPr>
              <w:spacing w:before="0" w:after="0"/>
              <w:jc w:val="right"/>
              <w:rPr>
                <w:sz w:val="12"/>
                <w:szCs w:val="12"/>
                <w:lang w:val="fr-BE"/>
              </w:rPr>
            </w:pPr>
          </w:p>
        </w:tc>
        <w:tc>
          <w:tcPr>
            <w:tcW w:w="0" w:type="auto"/>
            <w:shd w:val="clear" w:color="auto" w:fill="auto"/>
          </w:tcPr>
          <w:p w14:paraId="336864C5" w14:textId="77777777" w:rsidR="008C5CFA" w:rsidRPr="00BA47B4" w:rsidRDefault="008C5CFA" w:rsidP="00300A01">
            <w:pPr>
              <w:spacing w:before="0" w:after="0"/>
              <w:jc w:val="right"/>
              <w:rPr>
                <w:sz w:val="12"/>
                <w:szCs w:val="12"/>
                <w:lang w:val="fr-BE"/>
              </w:rPr>
            </w:pPr>
          </w:p>
        </w:tc>
        <w:tc>
          <w:tcPr>
            <w:tcW w:w="0" w:type="auto"/>
            <w:shd w:val="clear" w:color="auto" w:fill="auto"/>
          </w:tcPr>
          <w:p w14:paraId="46EEA77E" w14:textId="77777777" w:rsidR="008C5CFA" w:rsidRPr="00BA47B4" w:rsidRDefault="008C5CFA" w:rsidP="00300A01">
            <w:pPr>
              <w:spacing w:before="0" w:after="0"/>
              <w:jc w:val="right"/>
              <w:rPr>
                <w:sz w:val="12"/>
                <w:szCs w:val="12"/>
                <w:lang w:val="fr-BE"/>
              </w:rPr>
            </w:pPr>
          </w:p>
        </w:tc>
        <w:tc>
          <w:tcPr>
            <w:tcW w:w="0" w:type="auto"/>
          </w:tcPr>
          <w:p w14:paraId="4C9C6304" w14:textId="77777777" w:rsidR="008C5CFA" w:rsidRPr="00A92B39" w:rsidRDefault="00E82A60" w:rsidP="00300A01">
            <w:pPr>
              <w:spacing w:before="0" w:after="0"/>
              <w:jc w:val="right"/>
              <w:rPr>
                <w:sz w:val="10"/>
                <w:szCs w:val="10"/>
                <w:lang w:val="fr-BE"/>
              </w:rPr>
            </w:pPr>
            <w:r w:rsidRPr="00A92B39">
              <w:rPr>
                <w:noProof/>
                <w:sz w:val="10"/>
                <w:szCs w:val="10"/>
                <w:lang w:val="fr-BE"/>
              </w:rPr>
              <w:t>5 952,00</w:t>
            </w:r>
          </w:p>
        </w:tc>
        <w:tc>
          <w:tcPr>
            <w:tcW w:w="0" w:type="auto"/>
            <w:shd w:val="clear" w:color="auto" w:fill="auto"/>
          </w:tcPr>
          <w:p w14:paraId="268F6CEB" w14:textId="77777777" w:rsidR="008C5CFA" w:rsidRPr="00A92B39" w:rsidRDefault="008C5CFA" w:rsidP="00300A01">
            <w:pPr>
              <w:spacing w:before="0" w:after="0"/>
              <w:jc w:val="right"/>
              <w:rPr>
                <w:sz w:val="10"/>
                <w:szCs w:val="10"/>
                <w:lang w:val="fr-BE"/>
              </w:rPr>
            </w:pPr>
          </w:p>
        </w:tc>
        <w:tc>
          <w:tcPr>
            <w:tcW w:w="0" w:type="auto"/>
            <w:shd w:val="clear" w:color="auto" w:fill="auto"/>
          </w:tcPr>
          <w:p w14:paraId="67522C64" w14:textId="77777777" w:rsidR="008C5CFA" w:rsidRPr="00BA47B4" w:rsidRDefault="008C5CFA" w:rsidP="00300A01">
            <w:pPr>
              <w:spacing w:before="0" w:after="0"/>
              <w:jc w:val="right"/>
              <w:rPr>
                <w:sz w:val="12"/>
                <w:szCs w:val="12"/>
                <w:lang w:val="fr-BE"/>
              </w:rPr>
            </w:pPr>
          </w:p>
        </w:tc>
      </w:tr>
    </w:tbl>
    <w:p w14:paraId="3544DE2A"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46"/>
        <w:gridCol w:w="7749"/>
        <w:gridCol w:w="1325"/>
        <w:gridCol w:w="648"/>
        <w:gridCol w:w="697"/>
        <w:gridCol w:w="585"/>
        <w:gridCol w:w="585"/>
        <w:gridCol w:w="697"/>
        <w:gridCol w:w="585"/>
        <w:gridCol w:w="585"/>
        <w:gridCol w:w="697"/>
        <w:gridCol w:w="585"/>
      </w:tblGrid>
      <w:tr w:rsidR="006B2EC1" w14:paraId="64E83FD0" w14:textId="77777777" w:rsidTr="0047688D">
        <w:tc>
          <w:tcPr>
            <w:tcW w:w="0" w:type="auto"/>
            <w:shd w:val="clear" w:color="auto" w:fill="auto"/>
          </w:tcPr>
          <w:p w14:paraId="2E0BB4D8" w14:textId="77777777" w:rsidR="008C5CFA" w:rsidRPr="001C4484" w:rsidRDefault="00E82A60" w:rsidP="00300A01">
            <w:pPr>
              <w:spacing w:before="0" w:after="0"/>
              <w:rPr>
                <w:sz w:val="10"/>
                <w:szCs w:val="10"/>
              </w:rPr>
            </w:pPr>
            <w:r w:rsidRPr="001C4484">
              <w:rPr>
                <w:b/>
                <w:noProof/>
                <w:sz w:val="12"/>
                <w:szCs w:val="12"/>
                <w:lang w:val="fr-BE"/>
              </w:rPr>
              <w:t>ID</w:t>
            </w:r>
          </w:p>
        </w:tc>
        <w:tc>
          <w:tcPr>
            <w:tcW w:w="0" w:type="auto"/>
            <w:shd w:val="clear" w:color="auto" w:fill="auto"/>
          </w:tcPr>
          <w:p w14:paraId="1225962B" w14:textId="77777777" w:rsidR="008C5CFA" w:rsidRPr="001C4484" w:rsidRDefault="00E82A60" w:rsidP="00300A01">
            <w:pPr>
              <w:spacing w:before="0" w:after="0"/>
              <w:rPr>
                <w:sz w:val="10"/>
                <w:szCs w:val="10"/>
              </w:rPr>
            </w:pPr>
            <w:r w:rsidRPr="001C4484">
              <w:rPr>
                <w:b/>
                <w:noProof/>
                <w:sz w:val="12"/>
                <w:szCs w:val="12"/>
                <w:lang w:val="fr-BE"/>
              </w:rPr>
              <w:t>Wskaźnik</w:t>
            </w:r>
          </w:p>
        </w:tc>
        <w:tc>
          <w:tcPr>
            <w:tcW w:w="0" w:type="auto"/>
            <w:shd w:val="clear" w:color="auto" w:fill="auto"/>
          </w:tcPr>
          <w:p w14:paraId="46FE9EFA" w14:textId="77777777" w:rsidR="008C5CFA" w:rsidRPr="001C4484" w:rsidRDefault="00E82A60" w:rsidP="00300A01">
            <w:pPr>
              <w:spacing w:before="0" w:after="0"/>
              <w:rPr>
                <w:sz w:val="10"/>
                <w:szCs w:val="10"/>
              </w:rPr>
            </w:pPr>
            <w:r w:rsidRPr="001C4484">
              <w:rPr>
                <w:b/>
                <w:noProof/>
                <w:sz w:val="12"/>
                <w:szCs w:val="12"/>
                <w:lang w:val="fr-BE"/>
              </w:rPr>
              <w:t>Kategoria regionu</w:t>
            </w:r>
          </w:p>
        </w:tc>
        <w:tc>
          <w:tcPr>
            <w:tcW w:w="0" w:type="auto"/>
            <w:gridSpan w:val="3"/>
          </w:tcPr>
          <w:p w14:paraId="3125AEDE" w14:textId="77777777" w:rsidR="008C5CFA" w:rsidRPr="001C4484" w:rsidRDefault="00E82A60" w:rsidP="00300A01">
            <w:pPr>
              <w:spacing w:before="0" w:after="0"/>
              <w:jc w:val="center"/>
              <w:rPr>
                <w:sz w:val="10"/>
                <w:szCs w:val="10"/>
              </w:rPr>
            </w:pPr>
            <w:r w:rsidRPr="001C4484">
              <w:rPr>
                <w:sz w:val="10"/>
                <w:szCs w:val="10"/>
              </w:rPr>
              <w:t>2018</w:t>
            </w:r>
          </w:p>
        </w:tc>
        <w:tc>
          <w:tcPr>
            <w:tcW w:w="0" w:type="auto"/>
            <w:gridSpan w:val="3"/>
          </w:tcPr>
          <w:p w14:paraId="0DB25085" w14:textId="77777777" w:rsidR="008C5CFA" w:rsidRPr="001C4484" w:rsidRDefault="00E82A60" w:rsidP="00300A01">
            <w:pPr>
              <w:spacing w:before="0" w:after="0"/>
              <w:jc w:val="center"/>
              <w:rPr>
                <w:sz w:val="10"/>
                <w:szCs w:val="10"/>
              </w:rPr>
            </w:pPr>
            <w:r w:rsidRPr="001C4484">
              <w:rPr>
                <w:sz w:val="10"/>
                <w:szCs w:val="10"/>
              </w:rPr>
              <w:t>2017</w:t>
            </w:r>
          </w:p>
        </w:tc>
        <w:tc>
          <w:tcPr>
            <w:tcW w:w="0" w:type="auto"/>
            <w:gridSpan w:val="3"/>
          </w:tcPr>
          <w:p w14:paraId="0CC7B7F1" w14:textId="77777777" w:rsidR="008C5CFA" w:rsidRPr="001C4484" w:rsidRDefault="00E82A60" w:rsidP="00300A01">
            <w:pPr>
              <w:spacing w:before="0" w:after="0"/>
              <w:jc w:val="center"/>
              <w:rPr>
                <w:sz w:val="10"/>
                <w:szCs w:val="10"/>
              </w:rPr>
            </w:pPr>
            <w:r w:rsidRPr="001C4484">
              <w:rPr>
                <w:sz w:val="10"/>
                <w:szCs w:val="10"/>
              </w:rPr>
              <w:t>2016</w:t>
            </w:r>
          </w:p>
        </w:tc>
      </w:tr>
      <w:tr w:rsidR="006B2EC1" w14:paraId="5E62DD2B" w14:textId="77777777" w:rsidTr="0047688D">
        <w:tc>
          <w:tcPr>
            <w:tcW w:w="0" w:type="auto"/>
            <w:shd w:val="clear" w:color="auto" w:fill="auto"/>
          </w:tcPr>
          <w:p w14:paraId="3CE4EF4C" w14:textId="77777777" w:rsidR="008C5CFA" w:rsidRPr="001C4484" w:rsidRDefault="008C5CFA" w:rsidP="00300A01">
            <w:pPr>
              <w:spacing w:before="0" w:after="0"/>
              <w:rPr>
                <w:sz w:val="10"/>
                <w:szCs w:val="10"/>
              </w:rPr>
            </w:pPr>
          </w:p>
        </w:tc>
        <w:tc>
          <w:tcPr>
            <w:tcW w:w="0" w:type="auto"/>
            <w:shd w:val="clear" w:color="auto" w:fill="auto"/>
          </w:tcPr>
          <w:p w14:paraId="35BCFD31" w14:textId="77777777" w:rsidR="008C5CFA" w:rsidRPr="001C4484" w:rsidRDefault="008C5CFA" w:rsidP="00300A01">
            <w:pPr>
              <w:spacing w:before="0" w:after="0"/>
              <w:rPr>
                <w:sz w:val="10"/>
                <w:szCs w:val="10"/>
              </w:rPr>
            </w:pPr>
          </w:p>
        </w:tc>
        <w:tc>
          <w:tcPr>
            <w:tcW w:w="0" w:type="auto"/>
            <w:shd w:val="clear" w:color="auto" w:fill="auto"/>
          </w:tcPr>
          <w:p w14:paraId="2E4A1EB0" w14:textId="77777777" w:rsidR="008C5CFA" w:rsidRPr="001C4484" w:rsidRDefault="008C5CFA" w:rsidP="00300A01">
            <w:pPr>
              <w:spacing w:before="0" w:after="0"/>
              <w:rPr>
                <w:sz w:val="10"/>
                <w:szCs w:val="10"/>
              </w:rPr>
            </w:pPr>
          </w:p>
        </w:tc>
        <w:tc>
          <w:tcPr>
            <w:tcW w:w="0" w:type="auto"/>
          </w:tcPr>
          <w:p w14:paraId="6C881044" w14:textId="77777777" w:rsidR="008C5CFA" w:rsidRPr="001C4484" w:rsidRDefault="00E82A60" w:rsidP="00300A01">
            <w:pPr>
              <w:spacing w:before="0" w:after="0"/>
              <w:jc w:val="center"/>
              <w:rPr>
                <w:sz w:val="10"/>
                <w:szCs w:val="10"/>
              </w:rPr>
            </w:pPr>
            <w:r>
              <w:rPr>
                <w:noProof/>
                <w:sz w:val="10"/>
                <w:szCs w:val="10"/>
              </w:rPr>
              <w:t>Ogółem</w:t>
            </w:r>
          </w:p>
        </w:tc>
        <w:tc>
          <w:tcPr>
            <w:tcW w:w="0" w:type="auto"/>
            <w:shd w:val="clear" w:color="auto" w:fill="auto"/>
          </w:tcPr>
          <w:p w14:paraId="3AE4E1BC" w14:textId="77777777" w:rsidR="008C5CFA" w:rsidRPr="001C4484" w:rsidRDefault="00E82A60" w:rsidP="00300A01">
            <w:pPr>
              <w:spacing w:before="0" w:after="0"/>
              <w:jc w:val="center"/>
              <w:rPr>
                <w:sz w:val="10"/>
                <w:szCs w:val="10"/>
              </w:rPr>
            </w:pPr>
            <w:r w:rsidRPr="001C4484">
              <w:rPr>
                <w:noProof/>
                <w:sz w:val="10"/>
                <w:szCs w:val="10"/>
              </w:rPr>
              <w:t>Mężczyźni</w:t>
            </w:r>
          </w:p>
        </w:tc>
        <w:tc>
          <w:tcPr>
            <w:tcW w:w="0" w:type="auto"/>
            <w:shd w:val="clear" w:color="auto" w:fill="auto"/>
          </w:tcPr>
          <w:p w14:paraId="79B4CBD3" w14:textId="77777777" w:rsidR="008C5CFA" w:rsidRPr="001C4484" w:rsidRDefault="00E82A60" w:rsidP="00300A01">
            <w:pPr>
              <w:spacing w:before="0" w:after="0"/>
              <w:jc w:val="center"/>
              <w:rPr>
                <w:sz w:val="10"/>
                <w:szCs w:val="10"/>
              </w:rPr>
            </w:pPr>
            <w:r w:rsidRPr="001C4484">
              <w:rPr>
                <w:noProof/>
                <w:sz w:val="10"/>
                <w:szCs w:val="10"/>
              </w:rPr>
              <w:t>Kobiety</w:t>
            </w:r>
          </w:p>
        </w:tc>
        <w:tc>
          <w:tcPr>
            <w:tcW w:w="0" w:type="auto"/>
          </w:tcPr>
          <w:p w14:paraId="27FC5863" w14:textId="77777777" w:rsidR="008C5CFA" w:rsidRPr="001C4484" w:rsidRDefault="00E82A60" w:rsidP="00300A01">
            <w:pPr>
              <w:spacing w:before="0" w:after="0"/>
              <w:jc w:val="center"/>
              <w:rPr>
                <w:sz w:val="10"/>
                <w:szCs w:val="10"/>
              </w:rPr>
            </w:pPr>
            <w:r>
              <w:rPr>
                <w:noProof/>
                <w:sz w:val="10"/>
                <w:szCs w:val="10"/>
              </w:rPr>
              <w:t>Ogółem</w:t>
            </w:r>
          </w:p>
        </w:tc>
        <w:tc>
          <w:tcPr>
            <w:tcW w:w="0" w:type="auto"/>
            <w:shd w:val="clear" w:color="auto" w:fill="auto"/>
          </w:tcPr>
          <w:p w14:paraId="16D795D3" w14:textId="77777777" w:rsidR="008C5CFA" w:rsidRPr="001C4484" w:rsidRDefault="00E82A60" w:rsidP="00300A01">
            <w:pPr>
              <w:spacing w:before="0" w:after="0"/>
              <w:jc w:val="center"/>
              <w:rPr>
                <w:sz w:val="10"/>
                <w:szCs w:val="10"/>
              </w:rPr>
            </w:pPr>
            <w:r w:rsidRPr="001C4484">
              <w:rPr>
                <w:noProof/>
                <w:sz w:val="10"/>
                <w:szCs w:val="10"/>
              </w:rPr>
              <w:t>Mężczyźni</w:t>
            </w:r>
          </w:p>
        </w:tc>
        <w:tc>
          <w:tcPr>
            <w:tcW w:w="0" w:type="auto"/>
            <w:shd w:val="clear" w:color="auto" w:fill="auto"/>
          </w:tcPr>
          <w:p w14:paraId="679B7A8B" w14:textId="77777777" w:rsidR="008C5CFA" w:rsidRPr="001C4484" w:rsidRDefault="00E82A60" w:rsidP="00300A01">
            <w:pPr>
              <w:spacing w:before="0" w:after="0"/>
              <w:jc w:val="center"/>
              <w:rPr>
                <w:sz w:val="10"/>
                <w:szCs w:val="10"/>
              </w:rPr>
            </w:pPr>
            <w:r w:rsidRPr="001C4484">
              <w:rPr>
                <w:noProof/>
                <w:sz w:val="10"/>
                <w:szCs w:val="10"/>
              </w:rPr>
              <w:t>Kobiety</w:t>
            </w:r>
          </w:p>
        </w:tc>
        <w:tc>
          <w:tcPr>
            <w:tcW w:w="0" w:type="auto"/>
          </w:tcPr>
          <w:p w14:paraId="52B91DDB" w14:textId="77777777" w:rsidR="008C5CFA" w:rsidRPr="001C4484" w:rsidRDefault="00E82A60" w:rsidP="00300A01">
            <w:pPr>
              <w:spacing w:before="0" w:after="0"/>
              <w:jc w:val="center"/>
              <w:rPr>
                <w:sz w:val="10"/>
                <w:szCs w:val="10"/>
              </w:rPr>
            </w:pPr>
            <w:r>
              <w:rPr>
                <w:noProof/>
                <w:sz w:val="10"/>
                <w:szCs w:val="10"/>
              </w:rPr>
              <w:t>Ogółem</w:t>
            </w:r>
          </w:p>
        </w:tc>
        <w:tc>
          <w:tcPr>
            <w:tcW w:w="0" w:type="auto"/>
            <w:shd w:val="clear" w:color="auto" w:fill="auto"/>
          </w:tcPr>
          <w:p w14:paraId="22BB41F6" w14:textId="77777777" w:rsidR="008C5CFA" w:rsidRPr="001C4484" w:rsidRDefault="00E82A60" w:rsidP="00300A01">
            <w:pPr>
              <w:spacing w:before="0" w:after="0"/>
              <w:jc w:val="center"/>
              <w:rPr>
                <w:sz w:val="10"/>
                <w:szCs w:val="10"/>
              </w:rPr>
            </w:pPr>
            <w:r w:rsidRPr="001C4484">
              <w:rPr>
                <w:noProof/>
                <w:sz w:val="10"/>
                <w:szCs w:val="10"/>
              </w:rPr>
              <w:t>Mężczyźni</w:t>
            </w:r>
          </w:p>
        </w:tc>
        <w:tc>
          <w:tcPr>
            <w:tcW w:w="0" w:type="auto"/>
            <w:shd w:val="clear" w:color="auto" w:fill="auto"/>
          </w:tcPr>
          <w:p w14:paraId="04DE4753" w14:textId="77777777" w:rsidR="008C5CFA" w:rsidRPr="001C4484" w:rsidRDefault="00E82A60" w:rsidP="00300A01">
            <w:pPr>
              <w:spacing w:before="0" w:after="0"/>
              <w:jc w:val="center"/>
              <w:rPr>
                <w:sz w:val="10"/>
                <w:szCs w:val="10"/>
              </w:rPr>
            </w:pPr>
            <w:r w:rsidRPr="001C4484">
              <w:rPr>
                <w:noProof/>
                <w:sz w:val="10"/>
                <w:szCs w:val="10"/>
              </w:rPr>
              <w:t>Kobiety</w:t>
            </w:r>
          </w:p>
        </w:tc>
      </w:tr>
      <w:tr w:rsidR="006B2EC1" w14:paraId="0D41CD64" w14:textId="77777777" w:rsidTr="0047688D">
        <w:tc>
          <w:tcPr>
            <w:tcW w:w="0" w:type="auto"/>
            <w:shd w:val="clear" w:color="auto" w:fill="auto"/>
          </w:tcPr>
          <w:p w14:paraId="11CBA64C" w14:textId="77777777" w:rsidR="008C5CFA" w:rsidRPr="001C4484" w:rsidRDefault="00E82A60" w:rsidP="00300A01">
            <w:pPr>
              <w:spacing w:before="0" w:after="0"/>
              <w:rPr>
                <w:sz w:val="10"/>
                <w:szCs w:val="10"/>
                <w:lang w:val="fr-BE"/>
              </w:rPr>
            </w:pPr>
            <w:r w:rsidRPr="001C4484">
              <w:rPr>
                <w:noProof/>
                <w:sz w:val="10"/>
                <w:szCs w:val="10"/>
                <w:lang w:val="fr-BE"/>
              </w:rPr>
              <w:t>CO01</w:t>
            </w:r>
          </w:p>
        </w:tc>
        <w:tc>
          <w:tcPr>
            <w:tcW w:w="0" w:type="auto"/>
            <w:shd w:val="clear" w:color="auto" w:fill="auto"/>
          </w:tcPr>
          <w:p w14:paraId="4CB765C2" w14:textId="77777777" w:rsidR="008C5CFA" w:rsidRPr="001C4484" w:rsidRDefault="00E82A60" w:rsidP="00300A01">
            <w:pPr>
              <w:spacing w:before="0" w:after="0"/>
              <w:rPr>
                <w:sz w:val="10"/>
                <w:szCs w:val="10"/>
                <w:lang w:val="fr-BE"/>
              </w:rPr>
            </w:pPr>
            <w:r w:rsidRPr="001C4484">
              <w:rPr>
                <w:noProof/>
                <w:sz w:val="10"/>
                <w:szCs w:val="10"/>
                <w:lang w:val="fr-BE"/>
              </w:rPr>
              <w:t>bezrobotni, w tym długotrwale bezrobotni</w:t>
            </w:r>
          </w:p>
        </w:tc>
        <w:tc>
          <w:tcPr>
            <w:tcW w:w="0" w:type="auto"/>
            <w:shd w:val="clear" w:color="auto" w:fill="auto"/>
          </w:tcPr>
          <w:p w14:paraId="32C7AD80"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3157E22A"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138C36DC"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052141FC" w14:textId="77777777" w:rsidR="008C5CFA" w:rsidRPr="001C4484" w:rsidRDefault="00E82A60" w:rsidP="00300A01">
            <w:pPr>
              <w:spacing w:before="0" w:after="0"/>
              <w:jc w:val="right"/>
              <w:rPr>
                <w:sz w:val="10"/>
                <w:szCs w:val="10"/>
                <w:lang w:val="fr-BE"/>
              </w:rPr>
            </w:pPr>
            <w:r w:rsidRPr="001C4484">
              <w:rPr>
                <w:noProof/>
                <w:sz w:val="10"/>
                <w:szCs w:val="10"/>
              </w:rPr>
              <w:t>0,00</w:t>
            </w:r>
          </w:p>
        </w:tc>
        <w:tc>
          <w:tcPr>
            <w:tcW w:w="0" w:type="auto"/>
          </w:tcPr>
          <w:p w14:paraId="67ED0C87"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0C0688CA"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71BA5684" w14:textId="77777777" w:rsidR="008C5CFA" w:rsidRPr="001C4484" w:rsidRDefault="00E82A60" w:rsidP="00300A01">
            <w:pPr>
              <w:spacing w:before="0" w:after="0"/>
              <w:jc w:val="right"/>
              <w:rPr>
                <w:sz w:val="10"/>
                <w:szCs w:val="10"/>
                <w:lang w:val="fr-BE"/>
              </w:rPr>
            </w:pPr>
            <w:r w:rsidRPr="001C4484">
              <w:rPr>
                <w:noProof/>
                <w:sz w:val="10"/>
                <w:szCs w:val="10"/>
              </w:rPr>
              <w:t>0,00</w:t>
            </w:r>
          </w:p>
        </w:tc>
        <w:tc>
          <w:tcPr>
            <w:tcW w:w="0" w:type="auto"/>
          </w:tcPr>
          <w:p w14:paraId="1495FB72"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58DBF0B2"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08ADC3EB" w14:textId="77777777" w:rsidR="008C5CFA" w:rsidRPr="001C4484" w:rsidRDefault="00E82A60" w:rsidP="00300A01">
            <w:pPr>
              <w:spacing w:before="0" w:after="0"/>
              <w:jc w:val="right"/>
              <w:rPr>
                <w:sz w:val="10"/>
                <w:szCs w:val="10"/>
                <w:lang w:val="fr-BE"/>
              </w:rPr>
            </w:pPr>
            <w:r w:rsidRPr="001C4484">
              <w:rPr>
                <w:noProof/>
                <w:sz w:val="10"/>
                <w:szCs w:val="10"/>
              </w:rPr>
              <w:t>0,00</w:t>
            </w:r>
          </w:p>
        </w:tc>
      </w:tr>
      <w:tr w:rsidR="006B2EC1" w14:paraId="6946B6EC" w14:textId="77777777" w:rsidTr="0047688D">
        <w:tc>
          <w:tcPr>
            <w:tcW w:w="0" w:type="auto"/>
            <w:shd w:val="clear" w:color="auto" w:fill="auto"/>
          </w:tcPr>
          <w:p w14:paraId="30711F97" w14:textId="77777777" w:rsidR="008C5CFA" w:rsidRPr="001C4484" w:rsidRDefault="00E82A60" w:rsidP="00300A01">
            <w:pPr>
              <w:spacing w:before="0" w:after="0"/>
              <w:rPr>
                <w:sz w:val="10"/>
                <w:szCs w:val="10"/>
                <w:lang w:val="fr-BE"/>
              </w:rPr>
            </w:pPr>
            <w:r w:rsidRPr="001C4484">
              <w:rPr>
                <w:noProof/>
                <w:sz w:val="10"/>
                <w:szCs w:val="10"/>
                <w:lang w:val="fr-BE"/>
              </w:rPr>
              <w:t>CO02</w:t>
            </w:r>
          </w:p>
        </w:tc>
        <w:tc>
          <w:tcPr>
            <w:tcW w:w="0" w:type="auto"/>
            <w:shd w:val="clear" w:color="auto" w:fill="auto"/>
          </w:tcPr>
          <w:p w14:paraId="7ED5A869" w14:textId="77777777" w:rsidR="008C5CFA" w:rsidRPr="001C4484" w:rsidRDefault="00E82A60" w:rsidP="00300A01">
            <w:pPr>
              <w:spacing w:before="0" w:after="0"/>
              <w:rPr>
                <w:sz w:val="10"/>
                <w:szCs w:val="10"/>
                <w:lang w:val="fr-BE"/>
              </w:rPr>
            </w:pPr>
            <w:r w:rsidRPr="001C4484">
              <w:rPr>
                <w:noProof/>
                <w:sz w:val="10"/>
                <w:szCs w:val="10"/>
                <w:lang w:val="fr-BE"/>
              </w:rPr>
              <w:t>długotrwale bezrobotni</w:t>
            </w:r>
          </w:p>
        </w:tc>
        <w:tc>
          <w:tcPr>
            <w:tcW w:w="0" w:type="auto"/>
            <w:shd w:val="clear" w:color="auto" w:fill="auto"/>
          </w:tcPr>
          <w:p w14:paraId="65AACC10"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64636ED5"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559FC63B"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6D84B201" w14:textId="77777777" w:rsidR="008C5CFA" w:rsidRPr="001C4484" w:rsidRDefault="00E82A60" w:rsidP="00300A01">
            <w:pPr>
              <w:spacing w:before="0" w:after="0"/>
              <w:jc w:val="right"/>
              <w:rPr>
                <w:sz w:val="10"/>
                <w:szCs w:val="10"/>
                <w:lang w:val="fr-BE"/>
              </w:rPr>
            </w:pPr>
            <w:r w:rsidRPr="001C4484">
              <w:rPr>
                <w:noProof/>
                <w:sz w:val="10"/>
                <w:szCs w:val="10"/>
              </w:rPr>
              <w:t>0,00</w:t>
            </w:r>
          </w:p>
        </w:tc>
        <w:tc>
          <w:tcPr>
            <w:tcW w:w="0" w:type="auto"/>
          </w:tcPr>
          <w:p w14:paraId="16ADB1C6"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2089B181"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5D6B5AA8" w14:textId="77777777" w:rsidR="008C5CFA" w:rsidRPr="001C4484" w:rsidRDefault="00E82A60" w:rsidP="00300A01">
            <w:pPr>
              <w:spacing w:before="0" w:after="0"/>
              <w:jc w:val="right"/>
              <w:rPr>
                <w:sz w:val="10"/>
                <w:szCs w:val="10"/>
                <w:lang w:val="fr-BE"/>
              </w:rPr>
            </w:pPr>
            <w:r w:rsidRPr="001C4484">
              <w:rPr>
                <w:noProof/>
                <w:sz w:val="10"/>
                <w:szCs w:val="10"/>
              </w:rPr>
              <w:t>0,00</w:t>
            </w:r>
          </w:p>
        </w:tc>
        <w:tc>
          <w:tcPr>
            <w:tcW w:w="0" w:type="auto"/>
          </w:tcPr>
          <w:p w14:paraId="7A81D318"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618C276B"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58D11CB2" w14:textId="77777777" w:rsidR="008C5CFA" w:rsidRPr="001C4484" w:rsidRDefault="00E82A60" w:rsidP="00300A01">
            <w:pPr>
              <w:spacing w:before="0" w:after="0"/>
              <w:jc w:val="right"/>
              <w:rPr>
                <w:sz w:val="10"/>
                <w:szCs w:val="10"/>
                <w:lang w:val="fr-BE"/>
              </w:rPr>
            </w:pPr>
            <w:r w:rsidRPr="001C4484">
              <w:rPr>
                <w:noProof/>
                <w:sz w:val="10"/>
                <w:szCs w:val="10"/>
              </w:rPr>
              <w:t>0,00</w:t>
            </w:r>
          </w:p>
        </w:tc>
      </w:tr>
      <w:tr w:rsidR="006B2EC1" w14:paraId="421C9351" w14:textId="77777777" w:rsidTr="0047688D">
        <w:tc>
          <w:tcPr>
            <w:tcW w:w="0" w:type="auto"/>
            <w:shd w:val="clear" w:color="auto" w:fill="auto"/>
          </w:tcPr>
          <w:p w14:paraId="58E468E7" w14:textId="77777777" w:rsidR="008C5CFA" w:rsidRPr="001C4484" w:rsidRDefault="00E82A60" w:rsidP="00300A01">
            <w:pPr>
              <w:spacing w:before="0" w:after="0"/>
              <w:rPr>
                <w:sz w:val="10"/>
                <w:szCs w:val="10"/>
                <w:lang w:val="fr-BE"/>
              </w:rPr>
            </w:pPr>
            <w:r w:rsidRPr="001C4484">
              <w:rPr>
                <w:noProof/>
                <w:sz w:val="10"/>
                <w:szCs w:val="10"/>
                <w:lang w:val="fr-BE"/>
              </w:rPr>
              <w:t>CO03</w:t>
            </w:r>
          </w:p>
        </w:tc>
        <w:tc>
          <w:tcPr>
            <w:tcW w:w="0" w:type="auto"/>
            <w:shd w:val="clear" w:color="auto" w:fill="auto"/>
          </w:tcPr>
          <w:p w14:paraId="4D9958B5" w14:textId="77777777" w:rsidR="008C5CFA" w:rsidRPr="001C4484" w:rsidRDefault="00E82A60" w:rsidP="00300A01">
            <w:pPr>
              <w:spacing w:before="0" w:after="0"/>
              <w:rPr>
                <w:sz w:val="10"/>
                <w:szCs w:val="10"/>
                <w:lang w:val="fr-BE"/>
              </w:rPr>
            </w:pPr>
            <w:r w:rsidRPr="001C4484">
              <w:rPr>
                <w:noProof/>
                <w:sz w:val="10"/>
                <w:szCs w:val="10"/>
                <w:lang w:val="fr-BE"/>
              </w:rPr>
              <w:t>osoby bierne zawodowo</w:t>
            </w:r>
          </w:p>
        </w:tc>
        <w:tc>
          <w:tcPr>
            <w:tcW w:w="0" w:type="auto"/>
            <w:shd w:val="clear" w:color="auto" w:fill="auto"/>
          </w:tcPr>
          <w:p w14:paraId="0EECFC16"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348F93C9" w14:textId="77777777" w:rsidR="008C5CFA" w:rsidRPr="001C4484" w:rsidRDefault="00E82A60" w:rsidP="00300A01">
            <w:pPr>
              <w:spacing w:before="0" w:after="0"/>
              <w:jc w:val="right"/>
              <w:rPr>
                <w:sz w:val="10"/>
                <w:szCs w:val="10"/>
              </w:rPr>
            </w:pPr>
            <w:r>
              <w:rPr>
                <w:noProof/>
                <w:sz w:val="10"/>
                <w:szCs w:val="10"/>
              </w:rPr>
              <w:t>11 687,00</w:t>
            </w:r>
          </w:p>
        </w:tc>
        <w:tc>
          <w:tcPr>
            <w:tcW w:w="0" w:type="auto"/>
            <w:shd w:val="clear" w:color="auto" w:fill="auto"/>
          </w:tcPr>
          <w:p w14:paraId="03255DEA" w14:textId="77777777" w:rsidR="008C5CFA" w:rsidRPr="001C4484" w:rsidRDefault="00E82A60" w:rsidP="00300A01">
            <w:pPr>
              <w:spacing w:before="0" w:after="0"/>
              <w:jc w:val="right"/>
              <w:rPr>
                <w:sz w:val="10"/>
                <w:szCs w:val="10"/>
              </w:rPr>
            </w:pPr>
            <w:r w:rsidRPr="001C4484">
              <w:rPr>
                <w:noProof/>
                <w:sz w:val="10"/>
                <w:szCs w:val="10"/>
              </w:rPr>
              <w:t>5 827,00</w:t>
            </w:r>
          </w:p>
        </w:tc>
        <w:tc>
          <w:tcPr>
            <w:tcW w:w="0" w:type="auto"/>
            <w:shd w:val="clear" w:color="auto" w:fill="auto"/>
          </w:tcPr>
          <w:p w14:paraId="4B908FF5" w14:textId="77777777" w:rsidR="008C5CFA" w:rsidRPr="001C4484" w:rsidRDefault="00E82A60" w:rsidP="00300A01">
            <w:pPr>
              <w:spacing w:before="0" w:after="0"/>
              <w:jc w:val="right"/>
              <w:rPr>
                <w:sz w:val="10"/>
                <w:szCs w:val="10"/>
                <w:lang w:val="fr-BE"/>
              </w:rPr>
            </w:pPr>
            <w:r w:rsidRPr="001C4484">
              <w:rPr>
                <w:noProof/>
                <w:sz w:val="10"/>
                <w:szCs w:val="10"/>
              </w:rPr>
              <w:t>5 860,00</w:t>
            </w:r>
          </w:p>
        </w:tc>
        <w:tc>
          <w:tcPr>
            <w:tcW w:w="0" w:type="auto"/>
          </w:tcPr>
          <w:p w14:paraId="03EF7B75" w14:textId="77777777" w:rsidR="008C5CFA" w:rsidRPr="001C4484" w:rsidRDefault="00E82A60" w:rsidP="00300A01">
            <w:pPr>
              <w:spacing w:before="0" w:after="0"/>
              <w:jc w:val="right"/>
              <w:rPr>
                <w:sz w:val="10"/>
                <w:szCs w:val="10"/>
              </w:rPr>
            </w:pPr>
            <w:r>
              <w:rPr>
                <w:noProof/>
                <w:sz w:val="10"/>
                <w:szCs w:val="10"/>
              </w:rPr>
              <w:t>7 167,00</w:t>
            </w:r>
          </w:p>
        </w:tc>
        <w:tc>
          <w:tcPr>
            <w:tcW w:w="0" w:type="auto"/>
            <w:shd w:val="clear" w:color="auto" w:fill="auto"/>
          </w:tcPr>
          <w:p w14:paraId="155FECA2" w14:textId="77777777" w:rsidR="008C5CFA" w:rsidRPr="001C4484" w:rsidRDefault="00E82A60" w:rsidP="00300A01">
            <w:pPr>
              <w:spacing w:before="0" w:after="0"/>
              <w:jc w:val="right"/>
              <w:rPr>
                <w:sz w:val="10"/>
                <w:szCs w:val="10"/>
              </w:rPr>
            </w:pPr>
            <w:r w:rsidRPr="001C4484">
              <w:rPr>
                <w:noProof/>
                <w:sz w:val="10"/>
                <w:szCs w:val="10"/>
              </w:rPr>
              <w:t>3 329,00</w:t>
            </w:r>
          </w:p>
        </w:tc>
        <w:tc>
          <w:tcPr>
            <w:tcW w:w="0" w:type="auto"/>
            <w:shd w:val="clear" w:color="auto" w:fill="auto"/>
          </w:tcPr>
          <w:p w14:paraId="1C05AE03" w14:textId="77777777" w:rsidR="008C5CFA" w:rsidRPr="001C4484" w:rsidRDefault="00E82A60" w:rsidP="00300A01">
            <w:pPr>
              <w:spacing w:before="0" w:after="0"/>
              <w:jc w:val="right"/>
              <w:rPr>
                <w:sz w:val="10"/>
                <w:szCs w:val="10"/>
                <w:lang w:val="fr-BE"/>
              </w:rPr>
            </w:pPr>
            <w:r w:rsidRPr="001C4484">
              <w:rPr>
                <w:noProof/>
                <w:sz w:val="10"/>
                <w:szCs w:val="10"/>
              </w:rPr>
              <w:t>3 838,00</w:t>
            </w:r>
          </w:p>
        </w:tc>
        <w:tc>
          <w:tcPr>
            <w:tcW w:w="0" w:type="auto"/>
          </w:tcPr>
          <w:p w14:paraId="20F1748B" w14:textId="77777777" w:rsidR="008C5CFA" w:rsidRPr="001C4484" w:rsidRDefault="00E82A60" w:rsidP="00300A01">
            <w:pPr>
              <w:spacing w:before="0" w:after="0"/>
              <w:jc w:val="right"/>
              <w:rPr>
                <w:sz w:val="10"/>
                <w:szCs w:val="10"/>
              </w:rPr>
            </w:pPr>
            <w:r>
              <w:rPr>
                <w:noProof/>
                <w:sz w:val="10"/>
                <w:szCs w:val="10"/>
              </w:rPr>
              <w:t>5 408,00</w:t>
            </w:r>
          </w:p>
        </w:tc>
        <w:tc>
          <w:tcPr>
            <w:tcW w:w="0" w:type="auto"/>
            <w:shd w:val="clear" w:color="auto" w:fill="auto"/>
          </w:tcPr>
          <w:p w14:paraId="6A10CEF6" w14:textId="77777777" w:rsidR="008C5CFA" w:rsidRPr="001C4484" w:rsidRDefault="00E82A60" w:rsidP="00300A01">
            <w:pPr>
              <w:spacing w:before="0" w:after="0"/>
              <w:jc w:val="right"/>
              <w:rPr>
                <w:sz w:val="10"/>
                <w:szCs w:val="10"/>
              </w:rPr>
            </w:pPr>
            <w:r w:rsidRPr="001C4484">
              <w:rPr>
                <w:noProof/>
                <w:sz w:val="10"/>
                <w:szCs w:val="10"/>
              </w:rPr>
              <w:t>2 693,00</w:t>
            </w:r>
          </w:p>
        </w:tc>
        <w:tc>
          <w:tcPr>
            <w:tcW w:w="0" w:type="auto"/>
            <w:shd w:val="clear" w:color="auto" w:fill="auto"/>
          </w:tcPr>
          <w:p w14:paraId="21E0A4BC" w14:textId="77777777" w:rsidR="008C5CFA" w:rsidRPr="001C4484" w:rsidRDefault="00E82A60" w:rsidP="00300A01">
            <w:pPr>
              <w:spacing w:before="0" w:after="0"/>
              <w:jc w:val="right"/>
              <w:rPr>
                <w:sz w:val="10"/>
                <w:szCs w:val="10"/>
                <w:lang w:val="fr-BE"/>
              </w:rPr>
            </w:pPr>
            <w:r w:rsidRPr="001C4484">
              <w:rPr>
                <w:noProof/>
                <w:sz w:val="10"/>
                <w:szCs w:val="10"/>
              </w:rPr>
              <w:t>2 715,00</w:t>
            </w:r>
          </w:p>
        </w:tc>
      </w:tr>
      <w:tr w:rsidR="006B2EC1" w14:paraId="27939501" w14:textId="77777777" w:rsidTr="0047688D">
        <w:tc>
          <w:tcPr>
            <w:tcW w:w="0" w:type="auto"/>
            <w:shd w:val="clear" w:color="auto" w:fill="auto"/>
          </w:tcPr>
          <w:p w14:paraId="5D4C6E27" w14:textId="77777777" w:rsidR="008C5CFA" w:rsidRPr="001C4484" w:rsidRDefault="00E82A60" w:rsidP="00300A01">
            <w:pPr>
              <w:spacing w:before="0" w:after="0"/>
              <w:rPr>
                <w:sz w:val="10"/>
                <w:szCs w:val="10"/>
                <w:lang w:val="fr-BE"/>
              </w:rPr>
            </w:pPr>
            <w:r w:rsidRPr="001C4484">
              <w:rPr>
                <w:noProof/>
                <w:sz w:val="10"/>
                <w:szCs w:val="10"/>
                <w:lang w:val="fr-BE"/>
              </w:rPr>
              <w:t>CO04</w:t>
            </w:r>
          </w:p>
        </w:tc>
        <w:tc>
          <w:tcPr>
            <w:tcW w:w="0" w:type="auto"/>
            <w:shd w:val="clear" w:color="auto" w:fill="auto"/>
          </w:tcPr>
          <w:p w14:paraId="582AC54E" w14:textId="77777777" w:rsidR="008C5CFA" w:rsidRPr="001C4484" w:rsidRDefault="00E82A60" w:rsidP="00300A01">
            <w:pPr>
              <w:spacing w:before="0" w:after="0"/>
              <w:rPr>
                <w:sz w:val="10"/>
                <w:szCs w:val="10"/>
                <w:lang w:val="fr-BE"/>
              </w:rPr>
            </w:pPr>
            <w:r w:rsidRPr="001C4484">
              <w:rPr>
                <w:noProof/>
                <w:sz w:val="10"/>
                <w:szCs w:val="10"/>
                <w:lang w:val="fr-BE"/>
              </w:rPr>
              <w:t>osoby bierne zawodowo, nieuczestniczące w kształceniu ani szkoleniu</w:t>
            </w:r>
          </w:p>
        </w:tc>
        <w:tc>
          <w:tcPr>
            <w:tcW w:w="0" w:type="auto"/>
            <w:shd w:val="clear" w:color="auto" w:fill="auto"/>
          </w:tcPr>
          <w:p w14:paraId="7BE013D4"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5E65ABB1"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7D7892EB"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15A9379C" w14:textId="77777777" w:rsidR="008C5CFA" w:rsidRPr="001C4484" w:rsidRDefault="00E82A60" w:rsidP="00300A01">
            <w:pPr>
              <w:spacing w:before="0" w:after="0"/>
              <w:jc w:val="right"/>
              <w:rPr>
                <w:sz w:val="10"/>
                <w:szCs w:val="10"/>
                <w:lang w:val="fr-BE"/>
              </w:rPr>
            </w:pPr>
            <w:r w:rsidRPr="001C4484">
              <w:rPr>
                <w:noProof/>
                <w:sz w:val="10"/>
                <w:szCs w:val="10"/>
              </w:rPr>
              <w:t>0,00</w:t>
            </w:r>
          </w:p>
        </w:tc>
        <w:tc>
          <w:tcPr>
            <w:tcW w:w="0" w:type="auto"/>
          </w:tcPr>
          <w:p w14:paraId="17C7276D"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4E404C93"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13C6844A" w14:textId="77777777" w:rsidR="008C5CFA" w:rsidRPr="001C4484" w:rsidRDefault="00E82A60" w:rsidP="00300A01">
            <w:pPr>
              <w:spacing w:before="0" w:after="0"/>
              <w:jc w:val="right"/>
              <w:rPr>
                <w:sz w:val="10"/>
                <w:szCs w:val="10"/>
                <w:lang w:val="fr-BE"/>
              </w:rPr>
            </w:pPr>
            <w:r w:rsidRPr="001C4484">
              <w:rPr>
                <w:noProof/>
                <w:sz w:val="10"/>
                <w:szCs w:val="10"/>
              </w:rPr>
              <w:t>0,00</w:t>
            </w:r>
          </w:p>
        </w:tc>
        <w:tc>
          <w:tcPr>
            <w:tcW w:w="0" w:type="auto"/>
          </w:tcPr>
          <w:p w14:paraId="41CDB90A"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0C408A48"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230590E0" w14:textId="77777777" w:rsidR="008C5CFA" w:rsidRPr="001C4484" w:rsidRDefault="00E82A60" w:rsidP="00300A01">
            <w:pPr>
              <w:spacing w:before="0" w:after="0"/>
              <w:jc w:val="right"/>
              <w:rPr>
                <w:sz w:val="10"/>
                <w:szCs w:val="10"/>
                <w:lang w:val="fr-BE"/>
              </w:rPr>
            </w:pPr>
            <w:r w:rsidRPr="001C4484">
              <w:rPr>
                <w:noProof/>
                <w:sz w:val="10"/>
                <w:szCs w:val="10"/>
              </w:rPr>
              <w:t>0,00</w:t>
            </w:r>
          </w:p>
        </w:tc>
      </w:tr>
      <w:tr w:rsidR="006B2EC1" w14:paraId="03D9FB8C" w14:textId="77777777" w:rsidTr="0047688D">
        <w:tc>
          <w:tcPr>
            <w:tcW w:w="0" w:type="auto"/>
            <w:shd w:val="clear" w:color="auto" w:fill="auto"/>
          </w:tcPr>
          <w:p w14:paraId="63C8009B" w14:textId="77777777" w:rsidR="008C5CFA" w:rsidRPr="001C4484" w:rsidRDefault="00E82A60" w:rsidP="00300A01">
            <w:pPr>
              <w:spacing w:before="0" w:after="0"/>
              <w:rPr>
                <w:sz w:val="10"/>
                <w:szCs w:val="10"/>
                <w:lang w:val="fr-BE"/>
              </w:rPr>
            </w:pPr>
            <w:r w:rsidRPr="001C4484">
              <w:rPr>
                <w:noProof/>
                <w:sz w:val="10"/>
                <w:szCs w:val="10"/>
                <w:lang w:val="fr-BE"/>
              </w:rPr>
              <w:t>CO05</w:t>
            </w:r>
          </w:p>
        </w:tc>
        <w:tc>
          <w:tcPr>
            <w:tcW w:w="0" w:type="auto"/>
            <w:shd w:val="clear" w:color="auto" w:fill="auto"/>
          </w:tcPr>
          <w:p w14:paraId="0ACC31D3" w14:textId="77777777" w:rsidR="008C5CFA" w:rsidRPr="001C4484" w:rsidRDefault="00E82A60" w:rsidP="00300A01">
            <w:pPr>
              <w:spacing w:before="0" w:after="0"/>
              <w:rPr>
                <w:sz w:val="10"/>
                <w:szCs w:val="10"/>
                <w:lang w:val="fr-BE"/>
              </w:rPr>
            </w:pPr>
            <w:r w:rsidRPr="001C4484">
              <w:rPr>
                <w:noProof/>
                <w:sz w:val="10"/>
                <w:szCs w:val="10"/>
                <w:lang w:val="fr-BE"/>
              </w:rPr>
              <w:t>osoby pracujące, łącznie z prowadzącymi działalność na własny rachunek</w:t>
            </w:r>
          </w:p>
        </w:tc>
        <w:tc>
          <w:tcPr>
            <w:tcW w:w="0" w:type="auto"/>
            <w:shd w:val="clear" w:color="auto" w:fill="auto"/>
          </w:tcPr>
          <w:p w14:paraId="56A01443"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56363969" w14:textId="77777777" w:rsidR="008C5CFA" w:rsidRPr="001C4484" w:rsidRDefault="00E82A60" w:rsidP="00300A01">
            <w:pPr>
              <w:spacing w:before="0" w:after="0"/>
              <w:jc w:val="right"/>
              <w:rPr>
                <w:sz w:val="10"/>
                <w:szCs w:val="10"/>
              </w:rPr>
            </w:pPr>
            <w:r>
              <w:rPr>
                <w:noProof/>
                <w:sz w:val="10"/>
                <w:szCs w:val="10"/>
              </w:rPr>
              <w:t>1 364,00</w:t>
            </w:r>
          </w:p>
        </w:tc>
        <w:tc>
          <w:tcPr>
            <w:tcW w:w="0" w:type="auto"/>
            <w:shd w:val="clear" w:color="auto" w:fill="auto"/>
          </w:tcPr>
          <w:p w14:paraId="794560A2" w14:textId="77777777" w:rsidR="008C5CFA" w:rsidRPr="001C4484" w:rsidRDefault="00E82A60" w:rsidP="00300A01">
            <w:pPr>
              <w:spacing w:before="0" w:after="0"/>
              <w:jc w:val="right"/>
              <w:rPr>
                <w:sz w:val="10"/>
                <w:szCs w:val="10"/>
              </w:rPr>
            </w:pPr>
            <w:r w:rsidRPr="001C4484">
              <w:rPr>
                <w:noProof/>
                <w:sz w:val="10"/>
                <w:szCs w:val="10"/>
              </w:rPr>
              <w:t>180,00</w:t>
            </w:r>
          </w:p>
        </w:tc>
        <w:tc>
          <w:tcPr>
            <w:tcW w:w="0" w:type="auto"/>
            <w:shd w:val="clear" w:color="auto" w:fill="auto"/>
          </w:tcPr>
          <w:p w14:paraId="759931D7" w14:textId="77777777" w:rsidR="008C5CFA" w:rsidRPr="001C4484" w:rsidRDefault="00E82A60" w:rsidP="00300A01">
            <w:pPr>
              <w:spacing w:before="0" w:after="0"/>
              <w:jc w:val="right"/>
              <w:rPr>
                <w:sz w:val="10"/>
                <w:szCs w:val="10"/>
                <w:lang w:val="fr-BE"/>
              </w:rPr>
            </w:pPr>
            <w:r w:rsidRPr="001C4484">
              <w:rPr>
                <w:noProof/>
                <w:sz w:val="10"/>
                <w:szCs w:val="10"/>
              </w:rPr>
              <w:t>1 184,00</w:t>
            </w:r>
          </w:p>
        </w:tc>
        <w:tc>
          <w:tcPr>
            <w:tcW w:w="0" w:type="auto"/>
          </w:tcPr>
          <w:p w14:paraId="111A0337" w14:textId="77777777" w:rsidR="008C5CFA" w:rsidRPr="001C4484" w:rsidRDefault="00E82A60" w:rsidP="00300A01">
            <w:pPr>
              <w:spacing w:before="0" w:after="0"/>
              <w:jc w:val="right"/>
              <w:rPr>
                <w:sz w:val="10"/>
                <w:szCs w:val="10"/>
              </w:rPr>
            </w:pPr>
            <w:r>
              <w:rPr>
                <w:noProof/>
                <w:sz w:val="10"/>
                <w:szCs w:val="10"/>
              </w:rPr>
              <w:t>565,00</w:t>
            </w:r>
          </w:p>
        </w:tc>
        <w:tc>
          <w:tcPr>
            <w:tcW w:w="0" w:type="auto"/>
            <w:shd w:val="clear" w:color="auto" w:fill="auto"/>
          </w:tcPr>
          <w:p w14:paraId="2DF9FD12" w14:textId="77777777" w:rsidR="008C5CFA" w:rsidRPr="001C4484" w:rsidRDefault="00E82A60" w:rsidP="00300A01">
            <w:pPr>
              <w:spacing w:before="0" w:after="0"/>
              <w:jc w:val="right"/>
              <w:rPr>
                <w:sz w:val="10"/>
                <w:szCs w:val="10"/>
              </w:rPr>
            </w:pPr>
            <w:r w:rsidRPr="001C4484">
              <w:rPr>
                <w:noProof/>
                <w:sz w:val="10"/>
                <w:szCs w:val="10"/>
              </w:rPr>
              <w:t>72,00</w:t>
            </w:r>
          </w:p>
        </w:tc>
        <w:tc>
          <w:tcPr>
            <w:tcW w:w="0" w:type="auto"/>
            <w:shd w:val="clear" w:color="auto" w:fill="auto"/>
          </w:tcPr>
          <w:p w14:paraId="6A6E55D5" w14:textId="77777777" w:rsidR="008C5CFA" w:rsidRPr="001C4484" w:rsidRDefault="00E82A60" w:rsidP="00300A01">
            <w:pPr>
              <w:spacing w:before="0" w:after="0"/>
              <w:jc w:val="right"/>
              <w:rPr>
                <w:sz w:val="10"/>
                <w:szCs w:val="10"/>
                <w:lang w:val="fr-BE"/>
              </w:rPr>
            </w:pPr>
            <w:r w:rsidRPr="001C4484">
              <w:rPr>
                <w:noProof/>
                <w:sz w:val="10"/>
                <w:szCs w:val="10"/>
              </w:rPr>
              <w:t>493,00</w:t>
            </w:r>
          </w:p>
        </w:tc>
        <w:tc>
          <w:tcPr>
            <w:tcW w:w="0" w:type="auto"/>
          </w:tcPr>
          <w:p w14:paraId="25DFB25C" w14:textId="77777777" w:rsidR="008C5CFA" w:rsidRPr="001C4484" w:rsidRDefault="00E82A60" w:rsidP="00300A01">
            <w:pPr>
              <w:spacing w:before="0" w:after="0"/>
              <w:jc w:val="right"/>
              <w:rPr>
                <w:sz w:val="10"/>
                <w:szCs w:val="10"/>
              </w:rPr>
            </w:pPr>
            <w:r>
              <w:rPr>
                <w:noProof/>
                <w:sz w:val="10"/>
                <w:szCs w:val="10"/>
              </w:rPr>
              <w:t>263,00</w:t>
            </w:r>
          </w:p>
        </w:tc>
        <w:tc>
          <w:tcPr>
            <w:tcW w:w="0" w:type="auto"/>
            <w:shd w:val="clear" w:color="auto" w:fill="auto"/>
          </w:tcPr>
          <w:p w14:paraId="11CA2F11" w14:textId="77777777" w:rsidR="008C5CFA" w:rsidRPr="001C4484" w:rsidRDefault="00E82A60" w:rsidP="00300A01">
            <w:pPr>
              <w:spacing w:before="0" w:after="0"/>
              <w:jc w:val="right"/>
              <w:rPr>
                <w:sz w:val="10"/>
                <w:szCs w:val="10"/>
              </w:rPr>
            </w:pPr>
            <w:r w:rsidRPr="001C4484">
              <w:rPr>
                <w:noProof/>
                <w:sz w:val="10"/>
                <w:szCs w:val="10"/>
              </w:rPr>
              <w:t>25,00</w:t>
            </w:r>
          </w:p>
        </w:tc>
        <w:tc>
          <w:tcPr>
            <w:tcW w:w="0" w:type="auto"/>
            <w:shd w:val="clear" w:color="auto" w:fill="auto"/>
          </w:tcPr>
          <w:p w14:paraId="147C6922" w14:textId="77777777" w:rsidR="008C5CFA" w:rsidRPr="001C4484" w:rsidRDefault="00E82A60" w:rsidP="00300A01">
            <w:pPr>
              <w:spacing w:before="0" w:after="0"/>
              <w:jc w:val="right"/>
              <w:rPr>
                <w:sz w:val="10"/>
                <w:szCs w:val="10"/>
                <w:lang w:val="fr-BE"/>
              </w:rPr>
            </w:pPr>
            <w:r w:rsidRPr="001C4484">
              <w:rPr>
                <w:noProof/>
                <w:sz w:val="10"/>
                <w:szCs w:val="10"/>
              </w:rPr>
              <w:t>238,00</w:t>
            </w:r>
          </w:p>
        </w:tc>
      </w:tr>
      <w:tr w:rsidR="006B2EC1" w14:paraId="748845C8" w14:textId="77777777" w:rsidTr="0047688D">
        <w:tc>
          <w:tcPr>
            <w:tcW w:w="0" w:type="auto"/>
            <w:shd w:val="clear" w:color="auto" w:fill="auto"/>
          </w:tcPr>
          <w:p w14:paraId="5C93D431" w14:textId="77777777" w:rsidR="008C5CFA" w:rsidRPr="001C4484" w:rsidRDefault="00E82A60" w:rsidP="00300A01">
            <w:pPr>
              <w:spacing w:before="0" w:after="0"/>
              <w:rPr>
                <w:sz w:val="10"/>
                <w:szCs w:val="10"/>
                <w:lang w:val="fr-BE"/>
              </w:rPr>
            </w:pPr>
            <w:r w:rsidRPr="001C4484">
              <w:rPr>
                <w:noProof/>
                <w:sz w:val="10"/>
                <w:szCs w:val="10"/>
                <w:lang w:val="fr-BE"/>
              </w:rPr>
              <w:t>CO06</w:t>
            </w:r>
          </w:p>
        </w:tc>
        <w:tc>
          <w:tcPr>
            <w:tcW w:w="0" w:type="auto"/>
            <w:shd w:val="clear" w:color="auto" w:fill="auto"/>
          </w:tcPr>
          <w:p w14:paraId="2E404DB1" w14:textId="77777777" w:rsidR="008C5CFA" w:rsidRPr="001C4484" w:rsidRDefault="00E82A60" w:rsidP="00300A01">
            <w:pPr>
              <w:spacing w:before="0" w:after="0"/>
              <w:rPr>
                <w:sz w:val="10"/>
                <w:szCs w:val="10"/>
                <w:lang w:val="fr-BE"/>
              </w:rPr>
            </w:pPr>
            <w:r w:rsidRPr="001C4484">
              <w:rPr>
                <w:noProof/>
                <w:sz w:val="10"/>
                <w:szCs w:val="10"/>
                <w:lang w:val="fr-BE"/>
              </w:rPr>
              <w:t>osoby w wieku poniżej 25 lat</w:t>
            </w:r>
          </w:p>
        </w:tc>
        <w:tc>
          <w:tcPr>
            <w:tcW w:w="0" w:type="auto"/>
            <w:shd w:val="clear" w:color="auto" w:fill="auto"/>
          </w:tcPr>
          <w:p w14:paraId="73F15CBC"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0D7F858C" w14:textId="77777777" w:rsidR="008C5CFA" w:rsidRPr="001C4484" w:rsidRDefault="00E82A60" w:rsidP="00300A01">
            <w:pPr>
              <w:spacing w:before="0" w:after="0"/>
              <w:jc w:val="right"/>
              <w:rPr>
                <w:sz w:val="10"/>
                <w:szCs w:val="10"/>
              </w:rPr>
            </w:pPr>
            <w:r>
              <w:rPr>
                <w:noProof/>
                <w:sz w:val="10"/>
                <w:szCs w:val="10"/>
              </w:rPr>
              <w:t>11 698,00</w:t>
            </w:r>
          </w:p>
        </w:tc>
        <w:tc>
          <w:tcPr>
            <w:tcW w:w="0" w:type="auto"/>
            <w:shd w:val="clear" w:color="auto" w:fill="auto"/>
          </w:tcPr>
          <w:p w14:paraId="7032F90A" w14:textId="77777777" w:rsidR="008C5CFA" w:rsidRPr="001C4484" w:rsidRDefault="00E82A60" w:rsidP="00300A01">
            <w:pPr>
              <w:spacing w:before="0" w:after="0"/>
              <w:jc w:val="right"/>
              <w:rPr>
                <w:sz w:val="10"/>
                <w:szCs w:val="10"/>
              </w:rPr>
            </w:pPr>
            <w:r w:rsidRPr="001C4484">
              <w:rPr>
                <w:noProof/>
                <w:sz w:val="10"/>
                <w:szCs w:val="10"/>
              </w:rPr>
              <w:t>5 827,00</w:t>
            </w:r>
          </w:p>
        </w:tc>
        <w:tc>
          <w:tcPr>
            <w:tcW w:w="0" w:type="auto"/>
            <w:shd w:val="clear" w:color="auto" w:fill="auto"/>
          </w:tcPr>
          <w:p w14:paraId="6E88E2C6" w14:textId="77777777" w:rsidR="008C5CFA" w:rsidRPr="001C4484" w:rsidRDefault="00E82A60" w:rsidP="00300A01">
            <w:pPr>
              <w:spacing w:before="0" w:after="0"/>
              <w:jc w:val="right"/>
              <w:rPr>
                <w:sz w:val="10"/>
                <w:szCs w:val="10"/>
                <w:lang w:val="fr-BE"/>
              </w:rPr>
            </w:pPr>
            <w:r w:rsidRPr="001C4484">
              <w:rPr>
                <w:noProof/>
                <w:sz w:val="10"/>
                <w:szCs w:val="10"/>
              </w:rPr>
              <w:t>5 871,00</w:t>
            </w:r>
          </w:p>
        </w:tc>
        <w:tc>
          <w:tcPr>
            <w:tcW w:w="0" w:type="auto"/>
          </w:tcPr>
          <w:p w14:paraId="1470C6BC" w14:textId="77777777" w:rsidR="008C5CFA" w:rsidRPr="001C4484" w:rsidRDefault="00E82A60" w:rsidP="00300A01">
            <w:pPr>
              <w:spacing w:before="0" w:after="0"/>
              <w:jc w:val="right"/>
              <w:rPr>
                <w:sz w:val="10"/>
                <w:szCs w:val="10"/>
              </w:rPr>
            </w:pPr>
            <w:r>
              <w:rPr>
                <w:noProof/>
                <w:sz w:val="10"/>
                <w:szCs w:val="10"/>
              </w:rPr>
              <w:t>7 169,00</w:t>
            </w:r>
          </w:p>
        </w:tc>
        <w:tc>
          <w:tcPr>
            <w:tcW w:w="0" w:type="auto"/>
            <w:shd w:val="clear" w:color="auto" w:fill="auto"/>
          </w:tcPr>
          <w:p w14:paraId="4584D710" w14:textId="77777777" w:rsidR="008C5CFA" w:rsidRPr="001C4484" w:rsidRDefault="00E82A60" w:rsidP="00300A01">
            <w:pPr>
              <w:spacing w:before="0" w:after="0"/>
              <w:jc w:val="right"/>
              <w:rPr>
                <w:sz w:val="10"/>
                <w:szCs w:val="10"/>
              </w:rPr>
            </w:pPr>
            <w:r w:rsidRPr="001C4484">
              <w:rPr>
                <w:noProof/>
                <w:sz w:val="10"/>
                <w:szCs w:val="10"/>
              </w:rPr>
              <w:t>3 329,00</w:t>
            </w:r>
          </w:p>
        </w:tc>
        <w:tc>
          <w:tcPr>
            <w:tcW w:w="0" w:type="auto"/>
            <w:shd w:val="clear" w:color="auto" w:fill="auto"/>
          </w:tcPr>
          <w:p w14:paraId="143B6691" w14:textId="77777777" w:rsidR="008C5CFA" w:rsidRPr="001C4484" w:rsidRDefault="00E82A60" w:rsidP="00300A01">
            <w:pPr>
              <w:spacing w:before="0" w:after="0"/>
              <w:jc w:val="right"/>
              <w:rPr>
                <w:sz w:val="10"/>
                <w:szCs w:val="10"/>
                <w:lang w:val="fr-BE"/>
              </w:rPr>
            </w:pPr>
            <w:r w:rsidRPr="001C4484">
              <w:rPr>
                <w:noProof/>
                <w:sz w:val="10"/>
                <w:szCs w:val="10"/>
              </w:rPr>
              <w:t>3 840,00</w:t>
            </w:r>
          </w:p>
        </w:tc>
        <w:tc>
          <w:tcPr>
            <w:tcW w:w="0" w:type="auto"/>
          </w:tcPr>
          <w:p w14:paraId="45DA95C7" w14:textId="77777777" w:rsidR="008C5CFA" w:rsidRPr="001C4484" w:rsidRDefault="00E82A60" w:rsidP="00300A01">
            <w:pPr>
              <w:spacing w:before="0" w:after="0"/>
              <w:jc w:val="right"/>
              <w:rPr>
                <w:sz w:val="10"/>
                <w:szCs w:val="10"/>
              </w:rPr>
            </w:pPr>
            <w:r>
              <w:rPr>
                <w:noProof/>
                <w:sz w:val="10"/>
                <w:szCs w:val="10"/>
              </w:rPr>
              <w:t>5 410,00</w:t>
            </w:r>
          </w:p>
        </w:tc>
        <w:tc>
          <w:tcPr>
            <w:tcW w:w="0" w:type="auto"/>
            <w:shd w:val="clear" w:color="auto" w:fill="auto"/>
          </w:tcPr>
          <w:p w14:paraId="6DB0C99C" w14:textId="77777777" w:rsidR="008C5CFA" w:rsidRPr="001C4484" w:rsidRDefault="00E82A60" w:rsidP="00300A01">
            <w:pPr>
              <w:spacing w:before="0" w:after="0"/>
              <w:jc w:val="right"/>
              <w:rPr>
                <w:sz w:val="10"/>
                <w:szCs w:val="10"/>
              </w:rPr>
            </w:pPr>
            <w:r w:rsidRPr="001C4484">
              <w:rPr>
                <w:noProof/>
                <w:sz w:val="10"/>
                <w:szCs w:val="10"/>
              </w:rPr>
              <w:t>2 693,00</w:t>
            </w:r>
          </w:p>
        </w:tc>
        <w:tc>
          <w:tcPr>
            <w:tcW w:w="0" w:type="auto"/>
            <w:shd w:val="clear" w:color="auto" w:fill="auto"/>
          </w:tcPr>
          <w:p w14:paraId="3233491A" w14:textId="77777777" w:rsidR="008C5CFA" w:rsidRPr="001C4484" w:rsidRDefault="00E82A60" w:rsidP="00300A01">
            <w:pPr>
              <w:spacing w:before="0" w:after="0"/>
              <w:jc w:val="right"/>
              <w:rPr>
                <w:sz w:val="10"/>
                <w:szCs w:val="10"/>
                <w:lang w:val="fr-BE"/>
              </w:rPr>
            </w:pPr>
            <w:r w:rsidRPr="001C4484">
              <w:rPr>
                <w:noProof/>
                <w:sz w:val="10"/>
                <w:szCs w:val="10"/>
              </w:rPr>
              <w:t>2 717,00</w:t>
            </w:r>
          </w:p>
        </w:tc>
      </w:tr>
      <w:tr w:rsidR="006B2EC1" w14:paraId="5D78FE51" w14:textId="77777777" w:rsidTr="0047688D">
        <w:tc>
          <w:tcPr>
            <w:tcW w:w="0" w:type="auto"/>
            <w:shd w:val="clear" w:color="auto" w:fill="auto"/>
          </w:tcPr>
          <w:p w14:paraId="2AE9F39B" w14:textId="77777777" w:rsidR="008C5CFA" w:rsidRPr="001C4484" w:rsidRDefault="00E82A60" w:rsidP="00300A01">
            <w:pPr>
              <w:spacing w:before="0" w:after="0"/>
              <w:rPr>
                <w:sz w:val="10"/>
                <w:szCs w:val="10"/>
                <w:lang w:val="fr-BE"/>
              </w:rPr>
            </w:pPr>
            <w:r w:rsidRPr="001C4484">
              <w:rPr>
                <w:noProof/>
                <w:sz w:val="10"/>
                <w:szCs w:val="10"/>
                <w:lang w:val="fr-BE"/>
              </w:rPr>
              <w:t>CO07</w:t>
            </w:r>
          </w:p>
        </w:tc>
        <w:tc>
          <w:tcPr>
            <w:tcW w:w="0" w:type="auto"/>
            <w:shd w:val="clear" w:color="auto" w:fill="auto"/>
          </w:tcPr>
          <w:p w14:paraId="6C335527" w14:textId="77777777" w:rsidR="008C5CFA" w:rsidRPr="001C4484" w:rsidRDefault="00E82A60" w:rsidP="00300A01">
            <w:pPr>
              <w:spacing w:before="0" w:after="0"/>
              <w:rPr>
                <w:sz w:val="10"/>
                <w:szCs w:val="10"/>
                <w:lang w:val="fr-BE"/>
              </w:rPr>
            </w:pPr>
            <w:r w:rsidRPr="001C4484">
              <w:rPr>
                <w:noProof/>
                <w:sz w:val="10"/>
                <w:szCs w:val="10"/>
                <w:lang w:val="fr-BE"/>
              </w:rPr>
              <w:t>osoby w wieku powyżej 54 lat</w:t>
            </w:r>
          </w:p>
        </w:tc>
        <w:tc>
          <w:tcPr>
            <w:tcW w:w="0" w:type="auto"/>
            <w:shd w:val="clear" w:color="auto" w:fill="auto"/>
          </w:tcPr>
          <w:p w14:paraId="08569CD4"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7DCB149A" w14:textId="77777777" w:rsidR="008C5CFA" w:rsidRPr="001C4484" w:rsidRDefault="00E82A60" w:rsidP="00300A01">
            <w:pPr>
              <w:spacing w:before="0" w:after="0"/>
              <w:jc w:val="right"/>
              <w:rPr>
                <w:sz w:val="10"/>
                <w:szCs w:val="10"/>
              </w:rPr>
            </w:pPr>
            <w:r>
              <w:rPr>
                <w:noProof/>
                <w:sz w:val="10"/>
                <w:szCs w:val="10"/>
              </w:rPr>
              <w:t>189,00</w:t>
            </w:r>
          </w:p>
        </w:tc>
        <w:tc>
          <w:tcPr>
            <w:tcW w:w="0" w:type="auto"/>
            <w:shd w:val="clear" w:color="auto" w:fill="auto"/>
          </w:tcPr>
          <w:p w14:paraId="72E262DC" w14:textId="77777777" w:rsidR="008C5CFA" w:rsidRPr="001C4484" w:rsidRDefault="00E82A60" w:rsidP="00300A01">
            <w:pPr>
              <w:spacing w:before="0" w:after="0"/>
              <w:jc w:val="right"/>
              <w:rPr>
                <w:sz w:val="10"/>
                <w:szCs w:val="10"/>
              </w:rPr>
            </w:pPr>
            <w:r w:rsidRPr="001C4484">
              <w:rPr>
                <w:noProof/>
                <w:sz w:val="10"/>
                <w:szCs w:val="10"/>
              </w:rPr>
              <w:t>26,00</w:t>
            </w:r>
          </w:p>
        </w:tc>
        <w:tc>
          <w:tcPr>
            <w:tcW w:w="0" w:type="auto"/>
            <w:shd w:val="clear" w:color="auto" w:fill="auto"/>
          </w:tcPr>
          <w:p w14:paraId="71F78921" w14:textId="77777777" w:rsidR="008C5CFA" w:rsidRPr="001C4484" w:rsidRDefault="00E82A60" w:rsidP="00300A01">
            <w:pPr>
              <w:spacing w:before="0" w:after="0"/>
              <w:jc w:val="right"/>
              <w:rPr>
                <w:sz w:val="10"/>
                <w:szCs w:val="10"/>
                <w:lang w:val="fr-BE"/>
              </w:rPr>
            </w:pPr>
            <w:r w:rsidRPr="001C4484">
              <w:rPr>
                <w:noProof/>
                <w:sz w:val="10"/>
                <w:szCs w:val="10"/>
              </w:rPr>
              <w:t>163,00</w:t>
            </w:r>
          </w:p>
        </w:tc>
        <w:tc>
          <w:tcPr>
            <w:tcW w:w="0" w:type="auto"/>
          </w:tcPr>
          <w:p w14:paraId="4054B6E4" w14:textId="77777777" w:rsidR="008C5CFA" w:rsidRPr="001C4484" w:rsidRDefault="00E82A60" w:rsidP="00300A01">
            <w:pPr>
              <w:spacing w:before="0" w:after="0"/>
              <w:jc w:val="right"/>
              <w:rPr>
                <w:sz w:val="10"/>
                <w:szCs w:val="10"/>
              </w:rPr>
            </w:pPr>
            <w:r>
              <w:rPr>
                <w:noProof/>
                <w:sz w:val="10"/>
                <w:szCs w:val="10"/>
              </w:rPr>
              <w:t>62,00</w:t>
            </w:r>
          </w:p>
        </w:tc>
        <w:tc>
          <w:tcPr>
            <w:tcW w:w="0" w:type="auto"/>
            <w:shd w:val="clear" w:color="auto" w:fill="auto"/>
          </w:tcPr>
          <w:p w14:paraId="0CF92511" w14:textId="77777777" w:rsidR="008C5CFA" w:rsidRPr="001C4484" w:rsidRDefault="00E82A60" w:rsidP="00300A01">
            <w:pPr>
              <w:spacing w:before="0" w:after="0"/>
              <w:jc w:val="right"/>
              <w:rPr>
                <w:sz w:val="10"/>
                <w:szCs w:val="10"/>
              </w:rPr>
            </w:pPr>
            <w:r w:rsidRPr="001C4484">
              <w:rPr>
                <w:noProof/>
                <w:sz w:val="10"/>
                <w:szCs w:val="10"/>
              </w:rPr>
              <w:t>14,00</w:t>
            </w:r>
          </w:p>
        </w:tc>
        <w:tc>
          <w:tcPr>
            <w:tcW w:w="0" w:type="auto"/>
            <w:shd w:val="clear" w:color="auto" w:fill="auto"/>
          </w:tcPr>
          <w:p w14:paraId="4D0FC7A7" w14:textId="77777777" w:rsidR="008C5CFA" w:rsidRPr="001C4484" w:rsidRDefault="00E82A60" w:rsidP="00300A01">
            <w:pPr>
              <w:spacing w:before="0" w:after="0"/>
              <w:jc w:val="right"/>
              <w:rPr>
                <w:sz w:val="10"/>
                <w:szCs w:val="10"/>
                <w:lang w:val="fr-BE"/>
              </w:rPr>
            </w:pPr>
            <w:r w:rsidRPr="001C4484">
              <w:rPr>
                <w:noProof/>
                <w:sz w:val="10"/>
                <w:szCs w:val="10"/>
              </w:rPr>
              <w:t>48,00</w:t>
            </w:r>
          </w:p>
        </w:tc>
        <w:tc>
          <w:tcPr>
            <w:tcW w:w="0" w:type="auto"/>
          </w:tcPr>
          <w:p w14:paraId="716B40A2" w14:textId="77777777" w:rsidR="008C5CFA" w:rsidRPr="001C4484" w:rsidRDefault="00E82A60" w:rsidP="00300A01">
            <w:pPr>
              <w:spacing w:before="0" w:after="0"/>
              <w:jc w:val="right"/>
              <w:rPr>
                <w:sz w:val="10"/>
                <w:szCs w:val="10"/>
              </w:rPr>
            </w:pPr>
            <w:r>
              <w:rPr>
                <w:noProof/>
                <w:sz w:val="10"/>
                <w:szCs w:val="10"/>
              </w:rPr>
              <w:t>26,00</w:t>
            </w:r>
          </w:p>
        </w:tc>
        <w:tc>
          <w:tcPr>
            <w:tcW w:w="0" w:type="auto"/>
            <w:shd w:val="clear" w:color="auto" w:fill="auto"/>
          </w:tcPr>
          <w:p w14:paraId="3A9B876E" w14:textId="77777777" w:rsidR="008C5CFA" w:rsidRPr="001C4484" w:rsidRDefault="00E82A60" w:rsidP="00300A01">
            <w:pPr>
              <w:spacing w:before="0" w:after="0"/>
              <w:jc w:val="right"/>
              <w:rPr>
                <w:sz w:val="10"/>
                <w:szCs w:val="10"/>
              </w:rPr>
            </w:pPr>
            <w:r w:rsidRPr="001C4484">
              <w:rPr>
                <w:noProof/>
                <w:sz w:val="10"/>
                <w:szCs w:val="10"/>
              </w:rPr>
              <w:t>4,00</w:t>
            </w:r>
          </w:p>
        </w:tc>
        <w:tc>
          <w:tcPr>
            <w:tcW w:w="0" w:type="auto"/>
            <w:shd w:val="clear" w:color="auto" w:fill="auto"/>
          </w:tcPr>
          <w:p w14:paraId="7BA7551C" w14:textId="77777777" w:rsidR="008C5CFA" w:rsidRPr="001C4484" w:rsidRDefault="00E82A60" w:rsidP="00300A01">
            <w:pPr>
              <w:spacing w:before="0" w:after="0"/>
              <w:jc w:val="right"/>
              <w:rPr>
                <w:sz w:val="10"/>
                <w:szCs w:val="10"/>
                <w:lang w:val="fr-BE"/>
              </w:rPr>
            </w:pPr>
            <w:r w:rsidRPr="001C4484">
              <w:rPr>
                <w:noProof/>
                <w:sz w:val="10"/>
                <w:szCs w:val="10"/>
              </w:rPr>
              <w:t>22,00</w:t>
            </w:r>
          </w:p>
        </w:tc>
      </w:tr>
      <w:tr w:rsidR="006B2EC1" w14:paraId="213EE7F3" w14:textId="77777777" w:rsidTr="0047688D">
        <w:tc>
          <w:tcPr>
            <w:tcW w:w="0" w:type="auto"/>
            <w:shd w:val="clear" w:color="auto" w:fill="auto"/>
          </w:tcPr>
          <w:p w14:paraId="05C1600B" w14:textId="77777777" w:rsidR="008C5CFA" w:rsidRPr="001C4484" w:rsidRDefault="00E82A60" w:rsidP="00300A01">
            <w:pPr>
              <w:spacing w:before="0" w:after="0"/>
              <w:rPr>
                <w:sz w:val="10"/>
                <w:szCs w:val="10"/>
                <w:lang w:val="fr-BE"/>
              </w:rPr>
            </w:pPr>
            <w:r w:rsidRPr="001C4484">
              <w:rPr>
                <w:noProof/>
                <w:sz w:val="10"/>
                <w:szCs w:val="10"/>
                <w:lang w:val="fr-BE"/>
              </w:rPr>
              <w:t>CO08</w:t>
            </w:r>
          </w:p>
        </w:tc>
        <w:tc>
          <w:tcPr>
            <w:tcW w:w="0" w:type="auto"/>
            <w:shd w:val="clear" w:color="auto" w:fill="auto"/>
          </w:tcPr>
          <w:p w14:paraId="668E27B6" w14:textId="77777777" w:rsidR="008C5CFA" w:rsidRPr="001C4484" w:rsidRDefault="00E82A60" w:rsidP="00300A01">
            <w:pPr>
              <w:spacing w:before="0" w:after="0"/>
              <w:rPr>
                <w:sz w:val="10"/>
                <w:szCs w:val="10"/>
                <w:lang w:val="fr-BE"/>
              </w:rPr>
            </w:pPr>
            <w:r w:rsidRPr="001C4484">
              <w:rPr>
                <w:noProof/>
                <w:sz w:val="10"/>
                <w:szCs w:val="10"/>
                <w:lang w:val="fr-BE"/>
              </w:rPr>
              <w:t>osoby powyżej 54 lat, które są bezrobotne, łącznie z długotrwale bezrobotnymi, lub są bierne zawodowo i nie uczestniczą w kształceniu ani szkoleniu</w:t>
            </w:r>
          </w:p>
        </w:tc>
        <w:tc>
          <w:tcPr>
            <w:tcW w:w="0" w:type="auto"/>
            <w:shd w:val="clear" w:color="auto" w:fill="auto"/>
          </w:tcPr>
          <w:p w14:paraId="76966747"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0304F9CB"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70EFA2E8"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34498709" w14:textId="77777777" w:rsidR="008C5CFA" w:rsidRPr="001C4484" w:rsidRDefault="00E82A60" w:rsidP="00300A01">
            <w:pPr>
              <w:spacing w:before="0" w:after="0"/>
              <w:jc w:val="right"/>
              <w:rPr>
                <w:sz w:val="10"/>
                <w:szCs w:val="10"/>
                <w:lang w:val="fr-BE"/>
              </w:rPr>
            </w:pPr>
            <w:r w:rsidRPr="001C4484">
              <w:rPr>
                <w:noProof/>
                <w:sz w:val="10"/>
                <w:szCs w:val="10"/>
              </w:rPr>
              <w:t>0,00</w:t>
            </w:r>
          </w:p>
        </w:tc>
        <w:tc>
          <w:tcPr>
            <w:tcW w:w="0" w:type="auto"/>
          </w:tcPr>
          <w:p w14:paraId="03CE2C48"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178568A0"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740B8AE1" w14:textId="77777777" w:rsidR="008C5CFA" w:rsidRPr="001C4484" w:rsidRDefault="00E82A60" w:rsidP="00300A01">
            <w:pPr>
              <w:spacing w:before="0" w:after="0"/>
              <w:jc w:val="right"/>
              <w:rPr>
                <w:sz w:val="10"/>
                <w:szCs w:val="10"/>
                <w:lang w:val="fr-BE"/>
              </w:rPr>
            </w:pPr>
            <w:r w:rsidRPr="001C4484">
              <w:rPr>
                <w:noProof/>
                <w:sz w:val="10"/>
                <w:szCs w:val="10"/>
              </w:rPr>
              <w:t>0,00</w:t>
            </w:r>
          </w:p>
        </w:tc>
        <w:tc>
          <w:tcPr>
            <w:tcW w:w="0" w:type="auto"/>
          </w:tcPr>
          <w:p w14:paraId="79DBC1E3"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7EAA0DE2"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5CE39102" w14:textId="77777777" w:rsidR="008C5CFA" w:rsidRPr="001C4484" w:rsidRDefault="00E82A60" w:rsidP="00300A01">
            <w:pPr>
              <w:spacing w:before="0" w:after="0"/>
              <w:jc w:val="right"/>
              <w:rPr>
                <w:sz w:val="10"/>
                <w:szCs w:val="10"/>
                <w:lang w:val="fr-BE"/>
              </w:rPr>
            </w:pPr>
            <w:r w:rsidRPr="001C4484">
              <w:rPr>
                <w:noProof/>
                <w:sz w:val="10"/>
                <w:szCs w:val="10"/>
              </w:rPr>
              <w:t>0,00</w:t>
            </w:r>
          </w:p>
        </w:tc>
      </w:tr>
      <w:tr w:rsidR="006B2EC1" w14:paraId="5AE0D468" w14:textId="77777777" w:rsidTr="0047688D">
        <w:tc>
          <w:tcPr>
            <w:tcW w:w="0" w:type="auto"/>
            <w:shd w:val="clear" w:color="auto" w:fill="auto"/>
          </w:tcPr>
          <w:p w14:paraId="0555102D" w14:textId="77777777" w:rsidR="008C5CFA" w:rsidRPr="001C4484" w:rsidRDefault="00E82A60" w:rsidP="00300A01">
            <w:pPr>
              <w:spacing w:before="0" w:after="0"/>
              <w:rPr>
                <w:sz w:val="10"/>
                <w:szCs w:val="10"/>
                <w:lang w:val="fr-BE"/>
              </w:rPr>
            </w:pPr>
            <w:r w:rsidRPr="001C4484">
              <w:rPr>
                <w:noProof/>
                <w:sz w:val="10"/>
                <w:szCs w:val="10"/>
                <w:lang w:val="fr-BE"/>
              </w:rPr>
              <w:t>CO09</w:t>
            </w:r>
          </w:p>
        </w:tc>
        <w:tc>
          <w:tcPr>
            <w:tcW w:w="0" w:type="auto"/>
            <w:shd w:val="clear" w:color="auto" w:fill="auto"/>
          </w:tcPr>
          <w:p w14:paraId="2B5A38FC" w14:textId="77777777" w:rsidR="008C5CFA" w:rsidRPr="001C4484" w:rsidRDefault="00E82A60" w:rsidP="00300A01">
            <w:pPr>
              <w:spacing w:before="0" w:after="0"/>
              <w:rPr>
                <w:sz w:val="10"/>
                <w:szCs w:val="10"/>
                <w:lang w:val="fr-BE"/>
              </w:rPr>
            </w:pPr>
            <w:r w:rsidRPr="001C4484">
              <w:rPr>
                <w:noProof/>
                <w:sz w:val="10"/>
                <w:szCs w:val="10"/>
                <w:lang w:val="fr-BE"/>
              </w:rPr>
              <w:t>osoby z wykształceniem podstawowym (ISCED 1) lub średnim I stopnia (ISCED 2)</w:t>
            </w:r>
          </w:p>
        </w:tc>
        <w:tc>
          <w:tcPr>
            <w:tcW w:w="0" w:type="auto"/>
            <w:shd w:val="clear" w:color="auto" w:fill="auto"/>
          </w:tcPr>
          <w:p w14:paraId="3F48DC96"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69433371" w14:textId="77777777" w:rsidR="008C5CFA" w:rsidRPr="001C4484" w:rsidRDefault="00E82A60" w:rsidP="00300A01">
            <w:pPr>
              <w:spacing w:before="0" w:after="0"/>
              <w:jc w:val="right"/>
              <w:rPr>
                <w:sz w:val="10"/>
                <w:szCs w:val="10"/>
              </w:rPr>
            </w:pPr>
            <w:r>
              <w:rPr>
                <w:noProof/>
                <w:sz w:val="10"/>
                <w:szCs w:val="10"/>
              </w:rPr>
              <w:t>10 467,00</w:t>
            </w:r>
          </w:p>
        </w:tc>
        <w:tc>
          <w:tcPr>
            <w:tcW w:w="0" w:type="auto"/>
            <w:shd w:val="clear" w:color="auto" w:fill="auto"/>
          </w:tcPr>
          <w:p w14:paraId="521964CB" w14:textId="77777777" w:rsidR="008C5CFA" w:rsidRPr="001C4484" w:rsidRDefault="00E82A60" w:rsidP="00300A01">
            <w:pPr>
              <w:spacing w:before="0" w:after="0"/>
              <w:jc w:val="right"/>
              <w:rPr>
                <w:sz w:val="10"/>
                <w:szCs w:val="10"/>
              </w:rPr>
            </w:pPr>
            <w:r w:rsidRPr="001C4484">
              <w:rPr>
                <w:noProof/>
                <w:sz w:val="10"/>
                <w:szCs w:val="10"/>
              </w:rPr>
              <w:t>5 217,00</w:t>
            </w:r>
          </w:p>
        </w:tc>
        <w:tc>
          <w:tcPr>
            <w:tcW w:w="0" w:type="auto"/>
            <w:shd w:val="clear" w:color="auto" w:fill="auto"/>
          </w:tcPr>
          <w:p w14:paraId="333CAB6B" w14:textId="77777777" w:rsidR="008C5CFA" w:rsidRPr="001C4484" w:rsidRDefault="00E82A60" w:rsidP="00300A01">
            <w:pPr>
              <w:spacing w:before="0" w:after="0"/>
              <w:jc w:val="right"/>
              <w:rPr>
                <w:sz w:val="10"/>
                <w:szCs w:val="10"/>
                <w:lang w:val="fr-BE"/>
              </w:rPr>
            </w:pPr>
            <w:r w:rsidRPr="001C4484">
              <w:rPr>
                <w:noProof/>
                <w:sz w:val="10"/>
                <w:szCs w:val="10"/>
              </w:rPr>
              <w:t>5 250,00</w:t>
            </w:r>
          </w:p>
        </w:tc>
        <w:tc>
          <w:tcPr>
            <w:tcW w:w="0" w:type="auto"/>
          </w:tcPr>
          <w:p w14:paraId="39890263" w14:textId="77777777" w:rsidR="008C5CFA" w:rsidRPr="001C4484" w:rsidRDefault="00E82A60" w:rsidP="00300A01">
            <w:pPr>
              <w:spacing w:before="0" w:after="0"/>
              <w:jc w:val="right"/>
              <w:rPr>
                <w:sz w:val="10"/>
                <w:szCs w:val="10"/>
              </w:rPr>
            </w:pPr>
            <w:r>
              <w:rPr>
                <w:noProof/>
                <w:sz w:val="10"/>
                <w:szCs w:val="10"/>
              </w:rPr>
              <w:t>5 476,00</w:t>
            </w:r>
          </w:p>
        </w:tc>
        <w:tc>
          <w:tcPr>
            <w:tcW w:w="0" w:type="auto"/>
            <w:shd w:val="clear" w:color="auto" w:fill="auto"/>
          </w:tcPr>
          <w:p w14:paraId="582D53A0" w14:textId="77777777" w:rsidR="008C5CFA" w:rsidRPr="001C4484" w:rsidRDefault="00E82A60" w:rsidP="00300A01">
            <w:pPr>
              <w:spacing w:before="0" w:after="0"/>
              <w:jc w:val="right"/>
              <w:rPr>
                <w:sz w:val="10"/>
                <w:szCs w:val="10"/>
              </w:rPr>
            </w:pPr>
            <w:r w:rsidRPr="001C4484">
              <w:rPr>
                <w:noProof/>
                <w:sz w:val="10"/>
                <w:szCs w:val="10"/>
              </w:rPr>
              <w:t>2 458,00</w:t>
            </w:r>
          </w:p>
        </w:tc>
        <w:tc>
          <w:tcPr>
            <w:tcW w:w="0" w:type="auto"/>
            <w:shd w:val="clear" w:color="auto" w:fill="auto"/>
          </w:tcPr>
          <w:p w14:paraId="5DEDFBC9" w14:textId="77777777" w:rsidR="008C5CFA" w:rsidRPr="001C4484" w:rsidRDefault="00E82A60" w:rsidP="00300A01">
            <w:pPr>
              <w:spacing w:before="0" w:after="0"/>
              <w:jc w:val="right"/>
              <w:rPr>
                <w:sz w:val="10"/>
                <w:szCs w:val="10"/>
                <w:lang w:val="fr-BE"/>
              </w:rPr>
            </w:pPr>
            <w:r w:rsidRPr="001C4484">
              <w:rPr>
                <w:noProof/>
                <w:sz w:val="10"/>
                <w:szCs w:val="10"/>
              </w:rPr>
              <w:t>3 018,00</w:t>
            </w:r>
          </w:p>
        </w:tc>
        <w:tc>
          <w:tcPr>
            <w:tcW w:w="0" w:type="auto"/>
          </w:tcPr>
          <w:p w14:paraId="0DE145FC" w14:textId="77777777" w:rsidR="008C5CFA" w:rsidRPr="001C4484" w:rsidRDefault="00E82A60" w:rsidP="00300A01">
            <w:pPr>
              <w:spacing w:before="0" w:after="0"/>
              <w:jc w:val="right"/>
              <w:rPr>
                <w:sz w:val="10"/>
                <w:szCs w:val="10"/>
              </w:rPr>
            </w:pPr>
            <w:r>
              <w:rPr>
                <w:noProof/>
                <w:sz w:val="10"/>
                <w:szCs w:val="10"/>
              </w:rPr>
              <w:t>4 001,00</w:t>
            </w:r>
          </w:p>
        </w:tc>
        <w:tc>
          <w:tcPr>
            <w:tcW w:w="0" w:type="auto"/>
            <w:shd w:val="clear" w:color="auto" w:fill="auto"/>
          </w:tcPr>
          <w:p w14:paraId="1646809C" w14:textId="77777777" w:rsidR="008C5CFA" w:rsidRPr="001C4484" w:rsidRDefault="00E82A60" w:rsidP="00300A01">
            <w:pPr>
              <w:spacing w:before="0" w:after="0"/>
              <w:jc w:val="right"/>
              <w:rPr>
                <w:sz w:val="10"/>
                <w:szCs w:val="10"/>
              </w:rPr>
            </w:pPr>
            <w:r w:rsidRPr="001C4484">
              <w:rPr>
                <w:noProof/>
                <w:sz w:val="10"/>
                <w:szCs w:val="10"/>
              </w:rPr>
              <w:t>1 974,00</w:t>
            </w:r>
          </w:p>
        </w:tc>
        <w:tc>
          <w:tcPr>
            <w:tcW w:w="0" w:type="auto"/>
            <w:shd w:val="clear" w:color="auto" w:fill="auto"/>
          </w:tcPr>
          <w:p w14:paraId="29C08CA8" w14:textId="77777777" w:rsidR="008C5CFA" w:rsidRPr="001C4484" w:rsidRDefault="00E82A60" w:rsidP="00300A01">
            <w:pPr>
              <w:spacing w:before="0" w:after="0"/>
              <w:jc w:val="right"/>
              <w:rPr>
                <w:sz w:val="10"/>
                <w:szCs w:val="10"/>
                <w:lang w:val="fr-BE"/>
              </w:rPr>
            </w:pPr>
            <w:r w:rsidRPr="001C4484">
              <w:rPr>
                <w:noProof/>
                <w:sz w:val="10"/>
                <w:szCs w:val="10"/>
              </w:rPr>
              <w:t>2 027,00</w:t>
            </w:r>
          </w:p>
        </w:tc>
      </w:tr>
      <w:tr w:rsidR="006B2EC1" w14:paraId="3637C9D1" w14:textId="77777777" w:rsidTr="0047688D">
        <w:tc>
          <w:tcPr>
            <w:tcW w:w="0" w:type="auto"/>
            <w:shd w:val="clear" w:color="auto" w:fill="auto"/>
          </w:tcPr>
          <w:p w14:paraId="7E418FA4" w14:textId="77777777" w:rsidR="008C5CFA" w:rsidRPr="001C4484" w:rsidRDefault="00E82A60" w:rsidP="00300A01">
            <w:pPr>
              <w:spacing w:before="0" w:after="0"/>
              <w:rPr>
                <w:sz w:val="10"/>
                <w:szCs w:val="10"/>
                <w:lang w:val="fr-BE"/>
              </w:rPr>
            </w:pPr>
            <w:r w:rsidRPr="001C4484">
              <w:rPr>
                <w:noProof/>
                <w:sz w:val="10"/>
                <w:szCs w:val="10"/>
                <w:lang w:val="fr-BE"/>
              </w:rPr>
              <w:t>CO10</w:t>
            </w:r>
          </w:p>
        </w:tc>
        <w:tc>
          <w:tcPr>
            <w:tcW w:w="0" w:type="auto"/>
            <w:shd w:val="clear" w:color="auto" w:fill="auto"/>
          </w:tcPr>
          <w:p w14:paraId="34307C11" w14:textId="77777777" w:rsidR="008C5CFA" w:rsidRPr="001C4484" w:rsidRDefault="00E82A60" w:rsidP="00300A01">
            <w:pPr>
              <w:spacing w:before="0" w:after="0"/>
              <w:rPr>
                <w:sz w:val="10"/>
                <w:szCs w:val="10"/>
                <w:lang w:val="fr-BE"/>
              </w:rPr>
            </w:pPr>
            <w:r w:rsidRPr="001C4484">
              <w:rPr>
                <w:noProof/>
                <w:sz w:val="10"/>
                <w:szCs w:val="10"/>
                <w:lang w:val="fr-BE"/>
              </w:rPr>
              <w:t>osoby z wykształceniem średnim II stopnia (ISCED 3) lub policealnym (ISCED 4)</w:t>
            </w:r>
          </w:p>
        </w:tc>
        <w:tc>
          <w:tcPr>
            <w:tcW w:w="0" w:type="auto"/>
            <w:shd w:val="clear" w:color="auto" w:fill="auto"/>
          </w:tcPr>
          <w:p w14:paraId="43146AD2"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0152E18B" w14:textId="77777777" w:rsidR="008C5CFA" w:rsidRPr="001C4484" w:rsidRDefault="00E82A60" w:rsidP="00300A01">
            <w:pPr>
              <w:spacing w:before="0" w:after="0"/>
              <w:jc w:val="right"/>
              <w:rPr>
                <w:sz w:val="10"/>
                <w:szCs w:val="10"/>
              </w:rPr>
            </w:pPr>
            <w:r>
              <w:rPr>
                <w:noProof/>
                <w:sz w:val="10"/>
                <w:szCs w:val="10"/>
              </w:rPr>
              <w:t>2,00</w:t>
            </w:r>
          </w:p>
        </w:tc>
        <w:tc>
          <w:tcPr>
            <w:tcW w:w="0" w:type="auto"/>
            <w:shd w:val="clear" w:color="auto" w:fill="auto"/>
          </w:tcPr>
          <w:p w14:paraId="63A35082"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0B548238" w14:textId="77777777" w:rsidR="008C5CFA" w:rsidRPr="001C4484" w:rsidRDefault="00E82A60" w:rsidP="00300A01">
            <w:pPr>
              <w:spacing w:before="0" w:after="0"/>
              <w:jc w:val="right"/>
              <w:rPr>
                <w:sz w:val="10"/>
                <w:szCs w:val="10"/>
                <w:lang w:val="fr-BE"/>
              </w:rPr>
            </w:pPr>
            <w:r w:rsidRPr="001C4484">
              <w:rPr>
                <w:noProof/>
                <w:sz w:val="10"/>
                <w:szCs w:val="10"/>
              </w:rPr>
              <w:t>2,00</w:t>
            </w:r>
          </w:p>
        </w:tc>
        <w:tc>
          <w:tcPr>
            <w:tcW w:w="0" w:type="auto"/>
          </w:tcPr>
          <w:p w14:paraId="44144801" w14:textId="77777777" w:rsidR="008C5CFA" w:rsidRPr="001C4484" w:rsidRDefault="00E82A60" w:rsidP="00300A01">
            <w:pPr>
              <w:spacing w:before="0" w:after="0"/>
              <w:jc w:val="right"/>
              <w:rPr>
                <w:sz w:val="10"/>
                <w:szCs w:val="10"/>
              </w:rPr>
            </w:pPr>
            <w:r>
              <w:rPr>
                <w:noProof/>
                <w:sz w:val="10"/>
                <w:szCs w:val="10"/>
              </w:rPr>
              <w:t>1,00</w:t>
            </w:r>
          </w:p>
        </w:tc>
        <w:tc>
          <w:tcPr>
            <w:tcW w:w="0" w:type="auto"/>
            <w:shd w:val="clear" w:color="auto" w:fill="auto"/>
          </w:tcPr>
          <w:p w14:paraId="591B27E7"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01D6A515" w14:textId="77777777" w:rsidR="008C5CFA" w:rsidRPr="001C4484" w:rsidRDefault="00E82A60" w:rsidP="00300A01">
            <w:pPr>
              <w:spacing w:before="0" w:after="0"/>
              <w:jc w:val="right"/>
              <w:rPr>
                <w:sz w:val="10"/>
                <w:szCs w:val="10"/>
                <w:lang w:val="fr-BE"/>
              </w:rPr>
            </w:pPr>
            <w:r w:rsidRPr="001C4484">
              <w:rPr>
                <w:noProof/>
                <w:sz w:val="10"/>
                <w:szCs w:val="10"/>
              </w:rPr>
              <w:t>1,00</w:t>
            </w:r>
          </w:p>
        </w:tc>
        <w:tc>
          <w:tcPr>
            <w:tcW w:w="0" w:type="auto"/>
          </w:tcPr>
          <w:p w14:paraId="2287DA24"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50C863CE"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32A9C6AE" w14:textId="77777777" w:rsidR="008C5CFA" w:rsidRPr="001C4484" w:rsidRDefault="00E82A60" w:rsidP="00300A01">
            <w:pPr>
              <w:spacing w:before="0" w:after="0"/>
              <w:jc w:val="right"/>
              <w:rPr>
                <w:sz w:val="10"/>
                <w:szCs w:val="10"/>
                <w:lang w:val="fr-BE"/>
              </w:rPr>
            </w:pPr>
            <w:r w:rsidRPr="001C4484">
              <w:rPr>
                <w:noProof/>
                <w:sz w:val="10"/>
                <w:szCs w:val="10"/>
              </w:rPr>
              <w:t>0,00</w:t>
            </w:r>
          </w:p>
        </w:tc>
      </w:tr>
      <w:tr w:rsidR="006B2EC1" w14:paraId="529EE60A" w14:textId="77777777" w:rsidTr="0047688D">
        <w:tc>
          <w:tcPr>
            <w:tcW w:w="0" w:type="auto"/>
            <w:shd w:val="clear" w:color="auto" w:fill="auto"/>
          </w:tcPr>
          <w:p w14:paraId="15463124" w14:textId="77777777" w:rsidR="008C5CFA" w:rsidRPr="001C4484" w:rsidRDefault="00E82A60" w:rsidP="00300A01">
            <w:pPr>
              <w:spacing w:before="0" w:after="0"/>
              <w:rPr>
                <w:sz w:val="10"/>
                <w:szCs w:val="10"/>
                <w:lang w:val="fr-BE"/>
              </w:rPr>
            </w:pPr>
            <w:r w:rsidRPr="001C4484">
              <w:rPr>
                <w:noProof/>
                <w:sz w:val="10"/>
                <w:szCs w:val="10"/>
                <w:lang w:val="fr-BE"/>
              </w:rPr>
              <w:t>CO11</w:t>
            </w:r>
          </w:p>
        </w:tc>
        <w:tc>
          <w:tcPr>
            <w:tcW w:w="0" w:type="auto"/>
            <w:shd w:val="clear" w:color="auto" w:fill="auto"/>
          </w:tcPr>
          <w:p w14:paraId="40D8003B" w14:textId="77777777" w:rsidR="008C5CFA" w:rsidRPr="001C4484" w:rsidRDefault="00E82A60" w:rsidP="00300A01">
            <w:pPr>
              <w:spacing w:before="0" w:after="0"/>
              <w:rPr>
                <w:sz w:val="10"/>
                <w:szCs w:val="10"/>
                <w:lang w:val="fr-BE"/>
              </w:rPr>
            </w:pPr>
            <w:r w:rsidRPr="001C4484">
              <w:rPr>
                <w:noProof/>
                <w:sz w:val="10"/>
                <w:szCs w:val="10"/>
                <w:lang w:val="fr-BE"/>
              </w:rPr>
              <w:t>osoby z wykształceniem wyższym (ISCED 5 do 8)</w:t>
            </w:r>
          </w:p>
        </w:tc>
        <w:tc>
          <w:tcPr>
            <w:tcW w:w="0" w:type="auto"/>
            <w:shd w:val="clear" w:color="auto" w:fill="auto"/>
          </w:tcPr>
          <w:p w14:paraId="398D9C38"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08AEE072" w14:textId="77777777" w:rsidR="008C5CFA" w:rsidRPr="001C4484" w:rsidRDefault="00E82A60" w:rsidP="00300A01">
            <w:pPr>
              <w:spacing w:before="0" w:after="0"/>
              <w:jc w:val="right"/>
              <w:rPr>
                <w:sz w:val="10"/>
                <w:szCs w:val="10"/>
              </w:rPr>
            </w:pPr>
            <w:r>
              <w:rPr>
                <w:noProof/>
                <w:sz w:val="10"/>
                <w:szCs w:val="10"/>
              </w:rPr>
              <w:t>1 362,00</w:t>
            </w:r>
          </w:p>
        </w:tc>
        <w:tc>
          <w:tcPr>
            <w:tcW w:w="0" w:type="auto"/>
            <w:shd w:val="clear" w:color="auto" w:fill="auto"/>
          </w:tcPr>
          <w:p w14:paraId="37E52F8F" w14:textId="77777777" w:rsidR="008C5CFA" w:rsidRPr="001C4484" w:rsidRDefault="00E82A60" w:rsidP="00300A01">
            <w:pPr>
              <w:spacing w:before="0" w:after="0"/>
              <w:jc w:val="right"/>
              <w:rPr>
                <w:sz w:val="10"/>
                <w:szCs w:val="10"/>
              </w:rPr>
            </w:pPr>
            <w:r w:rsidRPr="001C4484">
              <w:rPr>
                <w:noProof/>
                <w:sz w:val="10"/>
                <w:szCs w:val="10"/>
              </w:rPr>
              <w:t>180,00</w:t>
            </w:r>
          </w:p>
        </w:tc>
        <w:tc>
          <w:tcPr>
            <w:tcW w:w="0" w:type="auto"/>
            <w:shd w:val="clear" w:color="auto" w:fill="auto"/>
          </w:tcPr>
          <w:p w14:paraId="6E5E58FD" w14:textId="77777777" w:rsidR="008C5CFA" w:rsidRPr="001C4484" w:rsidRDefault="00E82A60" w:rsidP="00300A01">
            <w:pPr>
              <w:spacing w:before="0" w:after="0"/>
              <w:jc w:val="right"/>
              <w:rPr>
                <w:sz w:val="10"/>
                <w:szCs w:val="10"/>
                <w:lang w:val="fr-BE"/>
              </w:rPr>
            </w:pPr>
            <w:r w:rsidRPr="001C4484">
              <w:rPr>
                <w:noProof/>
                <w:sz w:val="10"/>
                <w:szCs w:val="10"/>
              </w:rPr>
              <w:t>1 182,00</w:t>
            </w:r>
          </w:p>
        </w:tc>
        <w:tc>
          <w:tcPr>
            <w:tcW w:w="0" w:type="auto"/>
          </w:tcPr>
          <w:p w14:paraId="3488CC29" w14:textId="77777777" w:rsidR="008C5CFA" w:rsidRPr="001C4484" w:rsidRDefault="00E82A60" w:rsidP="00300A01">
            <w:pPr>
              <w:spacing w:before="0" w:after="0"/>
              <w:jc w:val="right"/>
              <w:rPr>
                <w:sz w:val="10"/>
                <w:szCs w:val="10"/>
              </w:rPr>
            </w:pPr>
            <w:r>
              <w:rPr>
                <w:noProof/>
                <w:sz w:val="10"/>
                <w:szCs w:val="10"/>
              </w:rPr>
              <w:t>564,00</w:t>
            </w:r>
          </w:p>
        </w:tc>
        <w:tc>
          <w:tcPr>
            <w:tcW w:w="0" w:type="auto"/>
            <w:shd w:val="clear" w:color="auto" w:fill="auto"/>
          </w:tcPr>
          <w:p w14:paraId="7F0D0A3F" w14:textId="77777777" w:rsidR="008C5CFA" w:rsidRPr="001C4484" w:rsidRDefault="00E82A60" w:rsidP="00300A01">
            <w:pPr>
              <w:spacing w:before="0" w:after="0"/>
              <w:jc w:val="right"/>
              <w:rPr>
                <w:sz w:val="10"/>
                <w:szCs w:val="10"/>
              </w:rPr>
            </w:pPr>
            <w:r w:rsidRPr="001C4484">
              <w:rPr>
                <w:noProof/>
                <w:sz w:val="10"/>
                <w:szCs w:val="10"/>
              </w:rPr>
              <w:t>72,00</w:t>
            </w:r>
          </w:p>
        </w:tc>
        <w:tc>
          <w:tcPr>
            <w:tcW w:w="0" w:type="auto"/>
            <w:shd w:val="clear" w:color="auto" w:fill="auto"/>
          </w:tcPr>
          <w:p w14:paraId="324F0C6C" w14:textId="77777777" w:rsidR="008C5CFA" w:rsidRPr="001C4484" w:rsidRDefault="00E82A60" w:rsidP="00300A01">
            <w:pPr>
              <w:spacing w:before="0" w:after="0"/>
              <w:jc w:val="right"/>
              <w:rPr>
                <w:sz w:val="10"/>
                <w:szCs w:val="10"/>
                <w:lang w:val="fr-BE"/>
              </w:rPr>
            </w:pPr>
            <w:r w:rsidRPr="001C4484">
              <w:rPr>
                <w:noProof/>
                <w:sz w:val="10"/>
                <w:szCs w:val="10"/>
              </w:rPr>
              <w:t>492,00</w:t>
            </w:r>
          </w:p>
        </w:tc>
        <w:tc>
          <w:tcPr>
            <w:tcW w:w="0" w:type="auto"/>
          </w:tcPr>
          <w:p w14:paraId="1D9C56B1" w14:textId="77777777" w:rsidR="008C5CFA" w:rsidRPr="001C4484" w:rsidRDefault="00E82A60" w:rsidP="00300A01">
            <w:pPr>
              <w:spacing w:before="0" w:after="0"/>
              <w:jc w:val="right"/>
              <w:rPr>
                <w:sz w:val="10"/>
                <w:szCs w:val="10"/>
              </w:rPr>
            </w:pPr>
            <w:r>
              <w:rPr>
                <w:noProof/>
                <w:sz w:val="10"/>
                <w:szCs w:val="10"/>
              </w:rPr>
              <w:t>263,00</w:t>
            </w:r>
          </w:p>
        </w:tc>
        <w:tc>
          <w:tcPr>
            <w:tcW w:w="0" w:type="auto"/>
            <w:shd w:val="clear" w:color="auto" w:fill="auto"/>
          </w:tcPr>
          <w:p w14:paraId="11B67468" w14:textId="77777777" w:rsidR="008C5CFA" w:rsidRPr="001C4484" w:rsidRDefault="00E82A60" w:rsidP="00300A01">
            <w:pPr>
              <w:spacing w:before="0" w:after="0"/>
              <w:jc w:val="right"/>
              <w:rPr>
                <w:sz w:val="10"/>
                <w:szCs w:val="10"/>
              </w:rPr>
            </w:pPr>
            <w:r w:rsidRPr="001C4484">
              <w:rPr>
                <w:noProof/>
                <w:sz w:val="10"/>
                <w:szCs w:val="10"/>
              </w:rPr>
              <w:t>25,00</w:t>
            </w:r>
          </w:p>
        </w:tc>
        <w:tc>
          <w:tcPr>
            <w:tcW w:w="0" w:type="auto"/>
            <w:shd w:val="clear" w:color="auto" w:fill="auto"/>
          </w:tcPr>
          <w:p w14:paraId="1F9C84C9" w14:textId="77777777" w:rsidR="008C5CFA" w:rsidRPr="001C4484" w:rsidRDefault="00E82A60" w:rsidP="00300A01">
            <w:pPr>
              <w:spacing w:before="0" w:after="0"/>
              <w:jc w:val="right"/>
              <w:rPr>
                <w:sz w:val="10"/>
                <w:szCs w:val="10"/>
                <w:lang w:val="fr-BE"/>
              </w:rPr>
            </w:pPr>
            <w:r w:rsidRPr="001C4484">
              <w:rPr>
                <w:noProof/>
                <w:sz w:val="10"/>
                <w:szCs w:val="10"/>
              </w:rPr>
              <w:t>238,00</w:t>
            </w:r>
          </w:p>
        </w:tc>
      </w:tr>
      <w:tr w:rsidR="006B2EC1" w14:paraId="2A914445" w14:textId="77777777" w:rsidTr="0047688D">
        <w:tc>
          <w:tcPr>
            <w:tcW w:w="0" w:type="auto"/>
            <w:shd w:val="clear" w:color="auto" w:fill="auto"/>
          </w:tcPr>
          <w:p w14:paraId="34EBF15D" w14:textId="77777777" w:rsidR="008C5CFA" w:rsidRPr="001C4484" w:rsidRDefault="00E82A60" w:rsidP="00300A01">
            <w:pPr>
              <w:spacing w:before="0" w:after="0"/>
              <w:rPr>
                <w:sz w:val="10"/>
                <w:szCs w:val="10"/>
                <w:lang w:val="fr-BE"/>
              </w:rPr>
            </w:pPr>
            <w:r w:rsidRPr="001C4484">
              <w:rPr>
                <w:noProof/>
                <w:sz w:val="10"/>
                <w:szCs w:val="10"/>
                <w:lang w:val="fr-BE"/>
              </w:rPr>
              <w:t>CO15</w:t>
            </w:r>
          </w:p>
        </w:tc>
        <w:tc>
          <w:tcPr>
            <w:tcW w:w="0" w:type="auto"/>
            <w:shd w:val="clear" w:color="auto" w:fill="auto"/>
          </w:tcPr>
          <w:p w14:paraId="5A974D8E" w14:textId="77777777" w:rsidR="008C5CFA" w:rsidRPr="001C4484" w:rsidRDefault="00E82A60" w:rsidP="00300A01">
            <w:pPr>
              <w:spacing w:before="0" w:after="0"/>
              <w:rPr>
                <w:sz w:val="10"/>
                <w:szCs w:val="10"/>
                <w:lang w:val="fr-BE"/>
              </w:rPr>
            </w:pPr>
            <w:r w:rsidRPr="001C4484">
              <w:rPr>
                <w:noProof/>
                <w:sz w:val="10"/>
                <w:szCs w:val="10"/>
                <w:lang w:val="fr-BE"/>
              </w:rPr>
              <w:t>migranci, uczestnicy obcego pochodzenia, mniejszości (w tym społeczności marginalizowane, takie jak Romowie)</w:t>
            </w:r>
          </w:p>
        </w:tc>
        <w:tc>
          <w:tcPr>
            <w:tcW w:w="0" w:type="auto"/>
            <w:shd w:val="clear" w:color="auto" w:fill="auto"/>
          </w:tcPr>
          <w:p w14:paraId="79873971"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53B3A3BA" w14:textId="77777777" w:rsidR="008C5CFA" w:rsidRPr="001C4484" w:rsidRDefault="00E82A60" w:rsidP="00300A01">
            <w:pPr>
              <w:spacing w:before="0" w:after="0"/>
              <w:jc w:val="right"/>
              <w:rPr>
                <w:sz w:val="10"/>
                <w:szCs w:val="10"/>
              </w:rPr>
            </w:pPr>
            <w:r>
              <w:rPr>
                <w:noProof/>
                <w:sz w:val="10"/>
                <w:szCs w:val="10"/>
              </w:rPr>
              <w:t>36,00</w:t>
            </w:r>
          </w:p>
        </w:tc>
        <w:tc>
          <w:tcPr>
            <w:tcW w:w="0" w:type="auto"/>
            <w:shd w:val="clear" w:color="auto" w:fill="auto"/>
          </w:tcPr>
          <w:p w14:paraId="2D9D0431" w14:textId="77777777" w:rsidR="008C5CFA" w:rsidRPr="001C4484" w:rsidRDefault="00E82A60" w:rsidP="00300A01">
            <w:pPr>
              <w:spacing w:before="0" w:after="0"/>
              <w:jc w:val="right"/>
              <w:rPr>
                <w:sz w:val="10"/>
                <w:szCs w:val="10"/>
              </w:rPr>
            </w:pPr>
            <w:r w:rsidRPr="001C4484">
              <w:rPr>
                <w:noProof/>
                <w:sz w:val="10"/>
                <w:szCs w:val="10"/>
              </w:rPr>
              <w:t>19,00</w:t>
            </w:r>
          </w:p>
        </w:tc>
        <w:tc>
          <w:tcPr>
            <w:tcW w:w="0" w:type="auto"/>
            <w:shd w:val="clear" w:color="auto" w:fill="auto"/>
          </w:tcPr>
          <w:p w14:paraId="7BB69BAC" w14:textId="77777777" w:rsidR="008C5CFA" w:rsidRPr="001C4484" w:rsidRDefault="00E82A60" w:rsidP="00300A01">
            <w:pPr>
              <w:spacing w:before="0" w:after="0"/>
              <w:jc w:val="right"/>
              <w:rPr>
                <w:sz w:val="10"/>
                <w:szCs w:val="10"/>
                <w:lang w:val="fr-BE"/>
              </w:rPr>
            </w:pPr>
            <w:r w:rsidRPr="001C4484">
              <w:rPr>
                <w:noProof/>
                <w:sz w:val="10"/>
                <w:szCs w:val="10"/>
              </w:rPr>
              <w:t>17,00</w:t>
            </w:r>
          </w:p>
        </w:tc>
        <w:tc>
          <w:tcPr>
            <w:tcW w:w="0" w:type="auto"/>
          </w:tcPr>
          <w:p w14:paraId="277F0774" w14:textId="77777777" w:rsidR="008C5CFA" w:rsidRPr="001C4484" w:rsidRDefault="00E82A60" w:rsidP="00300A01">
            <w:pPr>
              <w:spacing w:before="0" w:after="0"/>
              <w:jc w:val="right"/>
              <w:rPr>
                <w:sz w:val="10"/>
                <w:szCs w:val="10"/>
              </w:rPr>
            </w:pPr>
            <w:r>
              <w:rPr>
                <w:noProof/>
                <w:sz w:val="10"/>
                <w:szCs w:val="10"/>
              </w:rPr>
              <w:t>15,00</w:t>
            </w:r>
          </w:p>
        </w:tc>
        <w:tc>
          <w:tcPr>
            <w:tcW w:w="0" w:type="auto"/>
            <w:shd w:val="clear" w:color="auto" w:fill="auto"/>
          </w:tcPr>
          <w:p w14:paraId="4F4DAB41" w14:textId="77777777" w:rsidR="008C5CFA" w:rsidRPr="001C4484" w:rsidRDefault="00E82A60" w:rsidP="00300A01">
            <w:pPr>
              <w:spacing w:before="0" w:after="0"/>
              <w:jc w:val="right"/>
              <w:rPr>
                <w:sz w:val="10"/>
                <w:szCs w:val="10"/>
              </w:rPr>
            </w:pPr>
            <w:r w:rsidRPr="001C4484">
              <w:rPr>
                <w:noProof/>
                <w:sz w:val="10"/>
                <w:szCs w:val="10"/>
              </w:rPr>
              <w:t>7,00</w:t>
            </w:r>
          </w:p>
        </w:tc>
        <w:tc>
          <w:tcPr>
            <w:tcW w:w="0" w:type="auto"/>
            <w:shd w:val="clear" w:color="auto" w:fill="auto"/>
          </w:tcPr>
          <w:p w14:paraId="71AFCCB4" w14:textId="77777777" w:rsidR="008C5CFA" w:rsidRPr="001C4484" w:rsidRDefault="00E82A60" w:rsidP="00300A01">
            <w:pPr>
              <w:spacing w:before="0" w:after="0"/>
              <w:jc w:val="right"/>
              <w:rPr>
                <w:sz w:val="10"/>
                <w:szCs w:val="10"/>
                <w:lang w:val="fr-BE"/>
              </w:rPr>
            </w:pPr>
            <w:r w:rsidRPr="001C4484">
              <w:rPr>
                <w:noProof/>
                <w:sz w:val="10"/>
                <w:szCs w:val="10"/>
              </w:rPr>
              <w:t>8,00</w:t>
            </w:r>
          </w:p>
        </w:tc>
        <w:tc>
          <w:tcPr>
            <w:tcW w:w="0" w:type="auto"/>
          </w:tcPr>
          <w:p w14:paraId="004D0B68" w14:textId="77777777" w:rsidR="008C5CFA" w:rsidRPr="001C4484" w:rsidRDefault="00E82A60" w:rsidP="00300A01">
            <w:pPr>
              <w:spacing w:before="0" w:after="0"/>
              <w:jc w:val="right"/>
              <w:rPr>
                <w:sz w:val="10"/>
                <w:szCs w:val="10"/>
              </w:rPr>
            </w:pPr>
            <w:r>
              <w:rPr>
                <w:noProof/>
                <w:sz w:val="10"/>
                <w:szCs w:val="10"/>
              </w:rPr>
              <w:t>12,00</w:t>
            </w:r>
          </w:p>
        </w:tc>
        <w:tc>
          <w:tcPr>
            <w:tcW w:w="0" w:type="auto"/>
            <w:shd w:val="clear" w:color="auto" w:fill="auto"/>
          </w:tcPr>
          <w:p w14:paraId="26BB4B8E" w14:textId="77777777" w:rsidR="008C5CFA" w:rsidRPr="001C4484" w:rsidRDefault="00E82A60" w:rsidP="00300A01">
            <w:pPr>
              <w:spacing w:before="0" w:after="0"/>
              <w:jc w:val="right"/>
              <w:rPr>
                <w:sz w:val="10"/>
                <w:szCs w:val="10"/>
              </w:rPr>
            </w:pPr>
            <w:r w:rsidRPr="001C4484">
              <w:rPr>
                <w:noProof/>
                <w:sz w:val="10"/>
                <w:szCs w:val="10"/>
              </w:rPr>
              <w:t>2,00</w:t>
            </w:r>
          </w:p>
        </w:tc>
        <w:tc>
          <w:tcPr>
            <w:tcW w:w="0" w:type="auto"/>
            <w:shd w:val="clear" w:color="auto" w:fill="auto"/>
          </w:tcPr>
          <w:p w14:paraId="7A4E57F5" w14:textId="77777777" w:rsidR="008C5CFA" w:rsidRPr="001C4484" w:rsidRDefault="00E82A60" w:rsidP="00300A01">
            <w:pPr>
              <w:spacing w:before="0" w:after="0"/>
              <w:jc w:val="right"/>
              <w:rPr>
                <w:sz w:val="10"/>
                <w:szCs w:val="10"/>
                <w:lang w:val="fr-BE"/>
              </w:rPr>
            </w:pPr>
            <w:r w:rsidRPr="001C4484">
              <w:rPr>
                <w:noProof/>
                <w:sz w:val="10"/>
                <w:szCs w:val="10"/>
              </w:rPr>
              <w:t>10,00</w:t>
            </w:r>
          </w:p>
        </w:tc>
      </w:tr>
      <w:tr w:rsidR="006B2EC1" w14:paraId="6EF49CD5" w14:textId="77777777" w:rsidTr="0047688D">
        <w:tc>
          <w:tcPr>
            <w:tcW w:w="0" w:type="auto"/>
            <w:shd w:val="clear" w:color="auto" w:fill="auto"/>
          </w:tcPr>
          <w:p w14:paraId="21F4E50F" w14:textId="77777777" w:rsidR="008C5CFA" w:rsidRPr="001C4484" w:rsidRDefault="00E82A60" w:rsidP="00300A01">
            <w:pPr>
              <w:spacing w:before="0" w:after="0"/>
              <w:rPr>
                <w:sz w:val="10"/>
                <w:szCs w:val="10"/>
                <w:lang w:val="fr-BE"/>
              </w:rPr>
            </w:pPr>
            <w:r w:rsidRPr="001C4484">
              <w:rPr>
                <w:noProof/>
                <w:sz w:val="10"/>
                <w:szCs w:val="10"/>
                <w:lang w:val="fr-BE"/>
              </w:rPr>
              <w:t>CO16</w:t>
            </w:r>
          </w:p>
        </w:tc>
        <w:tc>
          <w:tcPr>
            <w:tcW w:w="0" w:type="auto"/>
            <w:shd w:val="clear" w:color="auto" w:fill="auto"/>
          </w:tcPr>
          <w:p w14:paraId="4B0429B2" w14:textId="77777777" w:rsidR="008C5CFA" w:rsidRPr="001C4484" w:rsidRDefault="00E82A60" w:rsidP="00300A01">
            <w:pPr>
              <w:spacing w:before="0" w:after="0"/>
              <w:rPr>
                <w:sz w:val="10"/>
                <w:szCs w:val="10"/>
                <w:lang w:val="fr-BE"/>
              </w:rPr>
            </w:pPr>
            <w:r w:rsidRPr="001C4484">
              <w:rPr>
                <w:noProof/>
                <w:sz w:val="10"/>
                <w:szCs w:val="10"/>
                <w:lang w:val="fr-BE"/>
              </w:rPr>
              <w:t>uczestnicy z niepełnosprawnościami</w:t>
            </w:r>
          </w:p>
        </w:tc>
        <w:tc>
          <w:tcPr>
            <w:tcW w:w="0" w:type="auto"/>
            <w:shd w:val="clear" w:color="auto" w:fill="auto"/>
          </w:tcPr>
          <w:p w14:paraId="79C062CF"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649B9489" w14:textId="77777777" w:rsidR="008C5CFA" w:rsidRPr="001C4484" w:rsidRDefault="00E82A60" w:rsidP="00300A01">
            <w:pPr>
              <w:spacing w:before="0" w:after="0"/>
              <w:jc w:val="right"/>
              <w:rPr>
                <w:sz w:val="10"/>
                <w:szCs w:val="10"/>
              </w:rPr>
            </w:pPr>
            <w:r>
              <w:rPr>
                <w:noProof/>
                <w:sz w:val="10"/>
                <w:szCs w:val="10"/>
              </w:rPr>
              <w:t>374,00</w:t>
            </w:r>
          </w:p>
        </w:tc>
        <w:tc>
          <w:tcPr>
            <w:tcW w:w="0" w:type="auto"/>
            <w:shd w:val="clear" w:color="auto" w:fill="auto"/>
          </w:tcPr>
          <w:p w14:paraId="3F9E36FE" w14:textId="77777777" w:rsidR="008C5CFA" w:rsidRPr="001C4484" w:rsidRDefault="00E82A60" w:rsidP="00300A01">
            <w:pPr>
              <w:spacing w:before="0" w:after="0"/>
              <w:jc w:val="right"/>
              <w:rPr>
                <w:sz w:val="10"/>
                <w:szCs w:val="10"/>
              </w:rPr>
            </w:pPr>
            <w:r w:rsidRPr="001C4484">
              <w:rPr>
                <w:noProof/>
                <w:sz w:val="10"/>
                <w:szCs w:val="10"/>
              </w:rPr>
              <w:t>221,00</w:t>
            </w:r>
          </w:p>
        </w:tc>
        <w:tc>
          <w:tcPr>
            <w:tcW w:w="0" w:type="auto"/>
            <w:shd w:val="clear" w:color="auto" w:fill="auto"/>
          </w:tcPr>
          <w:p w14:paraId="33B08557" w14:textId="77777777" w:rsidR="008C5CFA" w:rsidRPr="001C4484" w:rsidRDefault="00E82A60" w:rsidP="00300A01">
            <w:pPr>
              <w:spacing w:before="0" w:after="0"/>
              <w:jc w:val="right"/>
              <w:rPr>
                <w:sz w:val="10"/>
                <w:szCs w:val="10"/>
                <w:lang w:val="fr-BE"/>
              </w:rPr>
            </w:pPr>
            <w:r w:rsidRPr="001C4484">
              <w:rPr>
                <w:noProof/>
                <w:sz w:val="10"/>
                <w:szCs w:val="10"/>
              </w:rPr>
              <w:t>153,00</w:t>
            </w:r>
          </w:p>
        </w:tc>
        <w:tc>
          <w:tcPr>
            <w:tcW w:w="0" w:type="auto"/>
          </w:tcPr>
          <w:p w14:paraId="15F836FF" w14:textId="77777777" w:rsidR="008C5CFA" w:rsidRPr="001C4484" w:rsidRDefault="00E82A60" w:rsidP="00300A01">
            <w:pPr>
              <w:spacing w:before="0" w:after="0"/>
              <w:jc w:val="right"/>
              <w:rPr>
                <w:sz w:val="10"/>
                <w:szCs w:val="10"/>
              </w:rPr>
            </w:pPr>
            <w:r>
              <w:rPr>
                <w:noProof/>
                <w:sz w:val="10"/>
                <w:szCs w:val="10"/>
              </w:rPr>
              <w:t>301,00</w:t>
            </w:r>
          </w:p>
        </w:tc>
        <w:tc>
          <w:tcPr>
            <w:tcW w:w="0" w:type="auto"/>
            <w:shd w:val="clear" w:color="auto" w:fill="auto"/>
          </w:tcPr>
          <w:p w14:paraId="6E6286B0" w14:textId="77777777" w:rsidR="008C5CFA" w:rsidRPr="001C4484" w:rsidRDefault="00E82A60" w:rsidP="00300A01">
            <w:pPr>
              <w:spacing w:before="0" w:after="0"/>
              <w:jc w:val="right"/>
              <w:rPr>
                <w:sz w:val="10"/>
                <w:szCs w:val="10"/>
              </w:rPr>
            </w:pPr>
            <w:r w:rsidRPr="001C4484">
              <w:rPr>
                <w:noProof/>
                <w:sz w:val="10"/>
                <w:szCs w:val="10"/>
              </w:rPr>
              <w:t>152,00</w:t>
            </w:r>
          </w:p>
        </w:tc>
        <w:tc>
          <w:tcPr>
            <w:tcW w:w="0" w:type="auto"/>
            <w:shd w:val="clear" w:color="auto" w:fill="auto"/>
          </w:tcPr>
          <w:p w14:paraId="54D5F4AA" w14:textId="77777777" w:rsidR="008C5CFA" w:rsidRPr="001C4484" w:rsidRDefault="00E82A60" w:rsidP="00300A01">
            <w:pPr>
              <w:spacing w:before="0" w:after="0"/>
              <w:jc w:val="right"/>
              <w:rPr>
                <w:sz w:val="10"/>
                <w:szCs w:val="10"/>
                <w:lang w:val="fr-BE"/>
              </w:rPr>
            </w:pPr>
            <w:r w:rsidRPr="001C4484">
              <w:rPr>
                <w:noProof/>
                <w:sz w:val="10"/>
                <w:szCs w:val="10"/>
              </w:rPr>
              <w:t>149,00</w:t>
            </w:r>
          </w:p>
        </w:tc>
        <w:tc>
          <w:tcPr>
            <w:tcW w:w="0" w:type="auto"/>
          </w:tcPr>
          <w:p w14:paraId="2F17F8CC" w14:textId="77777777" w:rsidR="008C5CFA" w:rsidRPr="001C4484" w:rsidRDefault="00E82A60" w:rsidP="00300A01">
            <w:pPr>
              <w:spacing w:before="0" w:after="0"/>
              <w:jc w:val="right"/>
              <w:rPr>
                <w:sz w:val="10"/>
                <w:szCs w:val="10"/>
              </w:rPr>
            </w:pPr>
            <w:r>
              <w:rPr>
                <w:noProof/>
                <w:sz w:val="10"/>
                <w:szCs w:val="10"/>
              </w:rPr>
              <w:t>165,00</w:t>
            </w:r>
          </w:p>
        </w:tc>
        <w:tc>
          <w:tcPr>
            <w:tcW w:w="0" w:type="auto"/>
            <w:shd w:val="clear" w:color="auto" w:fill="auto"/>
          </w:tcPr>
          <w:p w14:paraId="45B0782F" w14:textId="77777777" w:rsidR="008C5CFA" w:rsidRPr="001C4484" w:rsidRDefault="00E82A60" w:rsidP="00300A01">
            <w:pPr>
              <w:spacing w:before="0" w:after="0"/>
              <w:jc w:val="right"/>
              <w:rPr>
                <w:sz w:val="10"/>
                <w:szCs w:val="10"/>
              </w:rPr>
            </w:pPr>
            <w:r w:rsidRPr="001C4484">
              <w:rPr>
                <w:noProof/>
                <w:sz w:val="10"/>
                <w:szCs w:val="10"/>
              </w:rPr>
              <w:t>85,00</w:t>
            </w:r>
          </w:p>
        </w:tc>
        <w:tc>
          <w:tcPr>
            <w:tcW w:w="0" w:type="auto"/>
            <w:shd w:val="clear" w:color="auto" w:fill="auto"/>
          </w:tcPr>
          <w:p w14:paraId="1DFF8741" w14:textId="77777777" w:rsidR="008C5CFA" w:rsidRPr="001C4484" w:rsidRDefault="00E82A60" w:rsidP="00300A01">
            <w:pPr>
              <w:spacing w:before="0" w:after="0"/>
              <w:jc w:val="right"/>
              <w:rPr>
                <w:sz w:val="10"/>
                <w:szCs w:val="10"/>
                <w:lang w:val="fr-BE"/>
              </w:rPr>
            </w:pPr>
            <w:r w:rsidRPr="001C4484">
              <w:rPr>
                <w:noProof/>
                <w:sz w:val="10"/>
                <w:szCs w:val="10"/>
              </w:rPr>
              <w:t>80,00</w:t>
            </w:r>
          </w:p>
        </w:tc>
      </w:tr>
      <w:tr w:rsidR="006B2EC1" w14:paraId="46DC9D8D" w14:textId="77777777" w:rsidTr="0047688D">
        <w:tc>
          <w:tcPr>
            <w:tcW w:w="0" w:type="auto"/>
            <w:shd w:val="clear" w:color="auto" w:fill="auto"/>
          </w:tcPr>
          <w:p w14:paraId="39317783" w14:textId="77777777" w:rsidR="008C5CFA" w:rsidRPr="001C4484" w:rsidRDefault="00E82A60" w:rsidP="00300A01">
            <w:pPr>
              <w:spacing w:before="0" w:after="0"/>
              <w:rPr>
                <w:sz w:val="10"/>
                <w:szCs w:val="10"/>
                <w:lang w:val="fr-BE"/>
              </w:rPr>
            </w:pPr>
            <w:r w:rsidRPr="001C4484">
              <w:rPr>
                <w:noProof/>
                <w:sz w:val="10"/>
                <w:szCs w:val="10"/>
                <w:lang w:val="fr-BE"/>
              </w:rPr>
              <w:t>CO17</w:t>
            </w:r>
          </w:p>
        </w:tc>
        <w:tc>
          <w:tcPr>
            <w:tcW w:w="0" w:type="auto"/>
            <w:shd w:val="clear" w:color="auto" w:fill="auto"/>
          </w:tcPr>
          <w:p w14:paraId="39C2B83A" w14:textId="77777777" w:rsidR="008C5CFA" w:rsidRPr="001C4484" w:rsidRDefault="00E82A60" w:rsidP="00300A01">
            <w:pPr>
              <w:spacing w:before="0" w:after="0"/>
              <w:rPr>
                <w:sz w:val="10"/>
                <w:szCs w:val="10"/>
                <w:lang w:val="fr-BE"/>
              </w:rPr>
            </w:pPr>
            <w:r w:rsidRPr="001C4484">
              <w:rPr>
                <w:noProof/>
                <w:sz w:val="10"/>
                <w:szCs w:val="10"/>
                <w:lang w:val="fr-BE"/>
              </w:rPr>
              <w:t>inne osoby w niekorzystnej sytuacji społecznej</w:t>
            </w:r>
          </w:p>
        </w:tc>
        <w:tc>
          <w:tcPr>
            <w:tcW w:w="0" w:type="auto"/>
            <w:shd w:val="clear" w:color="auto" w:fill="auto"/>
          </w:tcPr>
          <w:p w14:paraId="7E226887"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0910EC9F" w14:textId="77777777" w:rsidR="008C5CFA" w:rsidRPr="001C4484" w:rsidRDefault="00E82A60" w:rsidP="00300A01">
            <w:pPr>
              <w:spacing w:before="0" w:after="0"/>
              <w:jc w:val="right"/>
              <w:rPr>
                <w:sz w:val="10"/>
                <w:szCs w:val="10"/>
              </w:rPr>
            </w:pPr>
            <w:r>
              <w:rPr>
                <w:noProof/>
                <w:sz w:val="10"/>
                <w:szCs w:val="10"/>
              </w:rPr>
              <w:t>1 555,00</w:t>
            </w:r>
          </w:p>
        </w:tc>
        <w:tc>
          <w:tcPr>
            <w:tcW w:w="0" w:type="auto"/>
            <w:shd w:val="clear" w:color="auto" w:fill="auto"/>
          </w:tcPr>
          <w:p w14:paraId="695240B0" w14:textId="77777777" w:rsidR="008C5CFA" w:rsidRPr="001C4484" w:rsidRDefault="00E82A60" w:rsidP="00300A01">
            <w:pPr>
              <w:spacing w:before="0" w:after="0"/>
              <w:jc w:val="right"/>
              <w:rPr>
                <w:sz w:val="10"/>
                <w:szCs w:val="10"/>
              </w:rPr>
            </w:pPr>
            <w:r w:rsidRPr="001C4484">
              <w:rPr>
                <w:noProof/>
                <w:sz w:val="10"/>
                <w:szCs w:val="10"/>
              </w:rPr>
              <w:t>722,00</w:t>
            </w:r>
          </w:p>
        </w:tc>
        <w:tc>
          <w:tcPr>
            <w:tcW w:w="0" w:type="auto"/>
            <w:shd w:val="clear" w:color="auto" w:fill="auto"/>
          </w:tcPr>
          <w:p w14:paraId="1388913B" w14:textId="77777777" w:rsidR="008C5CFA" w:rsidRPr="001C4484" w:rsidRDefault="00E82A60" w:rsidP="00300A01">
            <w:pPr>
              <w:spacing w:before="0" w:after="0"/>
              <w:jc w:val="right"/>
              <w:rPr>
                <w:sz w:val="10"/>
                <w:szCs w:val="10"/>
                <w:lang w:val="fr-BE"/>
              </w:rPr>
            </w:pPr>
            <w:r w:rsidRPr="001C4484">
              <w:rPr>
                <w:noProof/>
                <w:sz w:val="10"/>
                <w:szCs w:val="10"/>
              </w:rPr>
              <w:t>833,00</w:t>
            </w:r>
          </w:p>
        </w:tc>
        <w:tc>
          <w:tcPr>
            <w:tcW w:w="0" w:type="auto"/>
          </w:tcPr>
          <w:p w14:paraId="7938507C" w14:textId="77777777" w:rsidR="008C5CFA" w:rsidRPr="001C4484" w:rsidRDefault="00E82A60" w:rsidP="00300A01">
            <w:pPr>
              <w:spacing w:before="0" w:after="0"/>
              <w:jc w:val="right"/>
              <w:rPr>
                <w:sz w:val="10"/>
                <w:szCs w:val="10"/>
              </w:rPr>
            </w:pPr>
            <w:r>
              <w:rPr>
                <w:noProof/>
                <w:sz w:val="10"/>
                <w:szCs w:val="10"/>
              </w:rPr>
              <w:t>873,00</w:t>
            </w:r>
          </w:p>
        </w:tc>
        <w:tc>
          <w:tcPr>
            <w:tcW w:w="0" w:type="auto"/>
            <w:shd w:val="clear" w:color="auto" w:fill="auto"/>
          </w:tcPr>
          <w:p w14:paraId="00748CE7" w14:textId="77777777" w:rsidR="008C5CFA" w:rsidRPr="001C4484" w:rsidRDefault="00E82A60" w:rsidP="00300A01">
            <w:pPr>
              <w:spacing w:before="0" w:after="0"/>
              <w:jc w:val="right"/>
              <w:rPr>
                <w:sz w:val="10"/>
                <w:szCs w:val="10"/>
              </w:rPr>
            </w:pPr>
            <w:r w:rsidRPr="001C4484">
              <w:rPr>
                <w:noProof/>
                <w:sz w:val="10"/>
                <w:szCs w:val="10"/>
              </w:rPr>
              <w:t>454,00</w:t>
            </w:r>
          </w:p>
        </w:tc>
        <w:tc>
          <w:tcPr>
            <w:tcW w:w="0" w:type="auto"/>
            <w:shd w:val="clear" w:color="auto" w:fill="auto"/>
          </w:tcPr>
          <w:p w14:paraId="124E241B" w14:textId="77777777" w:rsidR="008C5CFA" w:rsidRPr="001C4484" w:rsidRDefault="00E82A60" w:rsidP="00300A01">
            <w:pPr>
              <w:spacing w:before="0" w:after="0"/>
              <w:jc w:val="right"/>
              <w:rPr>
                <w:sz w:val="10"/>
                <w:szCs w:val="10"/>
                <w:lang w:val="fr-BE"/>
              </w:rPr>
            </w:pPr>
            <w:r w:rsidRPr="001C4484">
              <w:rPr>
                <w:noProof/>
                <w:sz w:val="10"/>
                <w:szCs w:val="10"/>
              </w:rPr>
              <w:t>419,00</w:t>
            </w:r>
          </w:p>
        </w:tc>
        <w:tc>
          <w:tcPr>
            <w:tcW w:w="0" w:type="auto"/>
          </w:tcPr>
          <w:p w14:paraId="5ACBDD66" w14:textId="77777777" w:rsidR="008C5CFA" w:rsidRPr="001C4484" w:rsidRDefault="00E82A60" w:rsidP="00300A01">
            <w:pPr>
              <w:spacing w:before="0" w:after="0"/>
              <w:jc w:val="right"/>
              <w:rPr>
                <w:sz w:val="10"/>
                <w:szCs w:val="10"/>
              </w:rPr>
            </w:pPr>
            <w:r>
              <w:rPr>
                <w:noProof/>
                <w:sz w:val="10"/>
                <w:szCs w:val="10"/>
              </w:rPr>
              <w:t>215,00</w:t>
            </w:r>
          </w:p>
        </w:tc>
        <w:tc>
          <w:tcPr>
            <w:tcW w:w="0" w:type="auto"/>
            <w:shd w:val="clear" w:color="auto" w:fill="auto"/>
          </w:tcPr>
          <w:p w14:paraId="59F9833C" w14:textId="77777777" w:rsidR="008C5CFA" w:rsidRPr="001C4484" w:rsidRDefault="00E82A60" w:rsidP="00300A01">
            <w:pPr>
              <w:spacing w:before="0" w:after="0"/>
              <w:jc w:val="right"/>
              <w:rPr>
                <w:sz w:val="10"/>
                <w:szCs w:val="10"/>
              </w:rPr>
            </w:pPr>
            <w:r w:rsidRPr="001C4484">
              <w:rPr>
                <w:noProof/>
                <w:sz w:val="10"/>
                <w:szCs w:val="10"/>
              </w:rPr>
              <w:t>108,00</w:t>
            </w:r>
          </w:p>
        </w:tc>
        <w:tc>
          <w:tcPr>
            <w:tcW w:w="0" w:type="auto"/>
            <w:shd w:val="clear" w:color="auto" w:fill="auto"/>
          </w:tcPr>
          <w:p w14:paraId="542C699D" w14:textId="77777777" w:rsidR="008C5CFA" w:rsidRPr="001C4484" w:rsidRDefault="00E82A60" w:rsidP="00300A01">
            <w:pPr>
              <w:spacing w:before="0" w:after="0"/>
              <w:jc w:val="right"/>
              <w:rPr>
                <w:sz w:val="10"/>
                <w:szCs w:val="10"/>
                <w:lang w:val="fr-BE"/>
              </w:rPr>
            </w:pPr>
            <w:r w:rsidRPr="001C4484">
              <w:rPr>
                <w:noProof/>
                <w:sz w:val="10"/>
                <w:szCs w:val="10"/>
              </w:rPr>
              <w:t>107,00</w:t>
            </w:r>
          </w:p>
        </w:tc>
      </w:tr>
      <w:tr w:rsidR="006B2EC1" w14:paraId="04C24283" w14:textId="77777777" w:rsidTr="0047688D">
        <w:tc>
          <w:tcPr>
            <w:tcW w:w="0" w:type="auto"/>
            <w:shd w:val="clear" w:color="auto" w:fill="auto"/>
          </w:tcPr>
          <w:p w14:paraId="18950B2F" w14:textId="77777777" w:rsidR="008C5CFA" w:rsidRPr="001C4484" w:rsidRDefault="00E82A60" w:rsidP="00300A01">
            <w:pPr>
              <w:spacing w:before="0" w:after="0"/>
              <w:rPr>
                <w:sz w:val="10"/>
                <w:szCs w:val="10"/>
                <w:lang w:val="fr-BE"/>
              </w:rPr>
            </w:pPr>
            <w:r w:rsidRPr="001C4484">
              <w:rPr>
                <w:noProof/>
                <w:sz w:val="10"/>
                <w:szCs w:val="10"/>
                <w:lang w:val="fr-BE"/>
              </w:rPr>
              <w:t>CO18</w:t>
            </w:r>
          </w:p>
        </w:tc>
        <w:tc>
          <w:tcPr>
            <w:tcW w:w="0" w:type="auto"/>
            <w:shd w:val="clear" w:color="auto" w:fill="auto"/>
          </w:tcPr>
          <w:p w14:paraId="28DABF33" w14:textId="77777777" w:rsidR="008C5CFA" w:rsidRPr="001C4484" w:rsidRDefault="00E82A60" w:rsidP="00300A01">
            <w:pPr>
              <w:spacing w:before="0" w:after="0"/>
              <w:rPr>
                <w:sz w:val="10"/>
                <w:szCs w:val="10"/>
                <w:lang w:val="fr-BE"/>
              </w:rPr>
            </w:pPr>
            <w:r w:rsidRPr="001C4484">
              <w:rPr>
                <w:noProof/>
                <w:sz w:val="10"/>
                <w:szCs w:val="10"/>
                <w:lang w:val="fr-BE"/>
              </w:rPr>
              <w:t>osoby bezdomne lub dotknięte wykluczeniem z dostępu do mieszkań</w:t>
            </w:r>
          </w:p>
        </w:tc>
        <w:tc>
          <w:tcPr>
            <w:tcW w:w="0" w:type="auto"/>
            <w:shd w:val="clear" w:color="auto" w:fill="auto"/>
          </w:tcPr>
          <w:p w14:paraId="6AE5D90C"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0EC4932E" w14:textId="77777777" w:rsidR="008C5CFA" w:rsidRPr="001C4484" w:rsidRDefault="00E82A60" w:rsidP="00300A01">
            <w:pPr>
              <w:spacing w:before="0" w:after="0"/>
              <w:jc w:val="right"/>
              <w:rPr>
                <w:sz w:val="10"/>
                <w:szCs w:val="10"/>
              </w:rPr>
            </w:pPr>
            <w:r>
              <w:rPr>
                <w:noProof/>
                <w:sz w:val="10"/>
                <w:szCs w:val="10"/>
              </w:rPr>
              <w:t>16,00</w:t>
            </w:r>
          </w:p>
        </w:tc>
        <w:tc>
          <w:tcPr>
            <w:tcW w:w="0" w:type="auto"/>
            <w:shd w:val="clear" w:color="auto" w:fill="auto"/>
          </w:tcPr>
          <w:p w14:paraId="264EFBE4" w14:textId="77777777" w:rsidR="008C5CFA" w:rsidRPr="001C4484" w:rsidRDefault="00E82A60" w:rsidP="00300A01">
            <w:pPr>
              <w:spacing w:before="0" w:after="0"/>
              <w:jc w:val="right"/>
              <w:rPr>
                <w:sz w:val="10"/>
                <w:szCs w:val="10"/>
              </w:rPr>
            </w:pPr>
            <w:r w:rsidRPr="001C4484">
              <w:rPr>
                <w:noProof/>
                <w:sz w:val="10"/>
                <w:szCs w:val="10"/>
              </w:rPr>
              <w:t>9,00</w:t>
            </w:r>
          </w:p>
        </w:tc>
        <w:tc>
          <w:tcPr>
            <w:tcW w:w="0" w:type="auto"/>
            <w:shd w:val="clear" w:color="auto" w:fill="auto"/>
          </w:tcPr>
          <w:p w14:paraId="3F222BCD" w14:textId="77777777" w:rsidR="008C5CFA" w:rsidRPr="001C4484" w:rsidRDefault="00E82A60" w:rsidP="00300A01">
            <w:pPr>
              <w:spacing w:before="0" w:after="0"/>
              <w:jc w:val="right"/>
              <w:rPr>
                <w:sz w:val="10"/>
                <w:szCs w:val="10"/>
                <w:lang w:val="fr-BE"/>
              </w:rPr>
            </w:pPr>
            <w:r w:rsidRPr="001C4484">
              <w:rPr>
                <w:noProof/>
                <w:sz w:val="10"/>
                <w:szCs w:val="10"/>
              </w:rPr>
              <w:t>7,00</w:t>
            </w:r>
          </w:p>
        </w:tc>
        <w:tc>
          <w:tcPr>
            <w:tcW w:w="0" w:type="auto"/>
          </w:tcPr>
          <w:p w14:paraId="1CF72660" w14:textId="77777777" w:rsidR="008C5CFA" w:rsidRPr="001C4484" w:rsidRDefault="00E82A60" w:rsidP="00300A01">
            <w:pPr>
              <w:spacing w:before="0" w:after="0"/>
              <w:jc w:val="right"/>
              <w:rPr>
                <w:sz w:val="10"/>
                <w:szCs w:val="10"/>
              </w:rPr>
            </w:pPr>
            <w:r>
              <w:rPr>
                <w:noProof/>
                <w:sz w:val="10"/>
                <w:szCs w:val="10"/>
              </w:rPr>
              <w:t>4,00</w:t>
            </w:r>
          </w:p>
        </w:tc>
        <w:tc>
          <w:tcPr>
            <w:tcW w:w="0" w:type="auto"/>
            <w:shd w:val="clear" w:color="auto" w:fill="auto"/>
          </w:tcPr>
          <w:p w14:paraId="5087EE9D" w14:textId="77777777" w:rsidR="008C5CFA" w:rsidRPr="001C4484" w:rsidRDefault="00E82A60" w:rsidP="00300A01">
            <w:pPr>
              <w:spacing w:before="0" w:after="0"/>
              <w:jc w:val="right"/>
              <w:rPr>
                <w:sz w:val="10"/>
                <w:szCs w:val="10"/>
              </w:rPr>
            </w:pPr>
            <w:r w:rsidRPr="001C4484">
              <w:rPr>
                <w:noProof/>
                <w:sz w:val="10"/>
                <w:szCs w:val="10"/>
              </w:rPr>
              <w:t>3,00</w:t>
            </w:r>
          </w:p>
        </w:tc>
        <w:tc>
          <w:tcPr>
            <w:tcW w:w="0" w:type="auto"/>
            <w:shd w:val="clear" w:color="auto" w:fill="auto"/>
          </w:tcPr>
          <w:p w14:paraId="09D9F0A7" w14:textId="77777777" w:rsidR="008C5CFA" w:rsidRPr="001C4484" w:rsidRDefault="00E82A60" w:rsidP="00300A01">
            <w:pPr>
              <w:spacing w:before="0" w:after="0"/>
              <w:jc w:val="right"/>
              <w:rPr>
                <w:sz w:val="10"/>
                <w:szCs w:val="10"/>
                <w:lang w:val="fr-BE"/>
              </w:rPr>
            </w:pPr>
            <w:r w:rsidRPr="001C4484">
              <w:rPr>
                <w:noProof/>
                <w:sz w:val="10"/>
                <w:szCs w:val="10"/>
              </w:rPr>
              <w:t>1,00</w:t>
            </w:r>
          </w:p>
        </w:tc>
        <w:tc>
          <w:tcPr>
            <w:tcW w:w="0" w:type="auto"/>
          </w:tcPr>
          <w:p w14:paraId="08F1F490" w14:textId="77777777" w:rsidR="008C5CFA" w:rsidRPr="001C4484" w:rsidRDefault="00E82A60" w:rsidP="00300A01">
            <w:pPr>
              <w:spacing w:before="0" w:after="0"/>
              <w:jc w:val="right"/>
              <w:rPr>
                <w:sz w:val="10"/>
                <w:szCs w:val="10"/>
              </w:rPr>
            </w:pPr>
            <w:r>
              <w:rPr>
                <w:noProof/>
                <w:sz w:val="10"/>
                <w:szCs w:val="10"/>
              </w:rPr>
              <w:t>8,00</w:t>
            </w:r>
          </w:p>
        </w:tc>
        <w:tc>
          <w:tcPr>
            <w:tcW w:w="0" w:type="auto"/>
            <w:shd w:val="clear" w:color="auto" w:fill="auto"/>
          </w:tcPr>
          <w:p w14:paraId="453FED23" w14:textId="77777777" w:rsidR="008C5CFA" w:rsidRPr="001C4484" w:rsidRDefault="00E82A60" w:rsidP="00300A01">
            <w:pPr>
              <w:spacing w:before="0" w:after="0"/>
              <w:jc w:val="right"/>
              <w:rPr>
                <w:sz w:val="10"/>
                <w:szCs w:val="10"/>
              </w:rPr>
            </w:pPr>
            <w:r w:rsidRPr="001C4484">
              <w:rPr>
                <w:noProof/>
                <w:sz w:val="10"/>
                <w:szCs w:val="10"/>
              </w:rPr>
              <w:t>3,00</w:t>
            </w:r>
          </w:p>
        </w:tc>
        <w:tc>
          <w:tcPr>
            <w:tcW w:w="0" w:type="auto"/>
            <w:shd w:val="clear" w:color="auto" w:fill="auto"/>
          </w:tcPr>
          <w:p w14:paraId="407933BA" w14:textId="77777777" w:rsidR="008C5CFA" w:rsidRPr="001C4484" w:rsidRDefault="00E82A60" w:rsidP="00300A01">
            <w:pPr>
              <w:spacing w:before="0" w:after="0"/>
              <w:jc w:val="right"/>
              <w:rPr>
                <w:sz w:val="10"/>
                <w:szCs w:val="10"/>
                <w:lang w:val="fr-BE"/>
              </w:rPr>
            </w:pPr>
            <w:r w:rsidRPr="001C4484">
              <w:rPr>
                <w:noProof/>
                <w:sz w:val="10"/>
                <w:szCs w:val="10"/>
              </w:rPr>
              <w:t>5,00</w:t>
            </w:r>
          </w:p>
        </w:tc>
      </w:tr>
      <w:tr w:rsidR="006B2EC1" w14:paraId="2E1D0CBE" w14:textId="77777777" w:rsidTr="0047688D">
        <w:tc>
          <w:tcPr>
            <w:tcW w:w="0" w:type="auto"/>
            <w:shd w:val="clear" w:color="auto" w:fill="auto"/>
          </w:tcPr>
          <w:p w14:paraId="2B7E4A32" w14:textId="77777777" w:rsidR="008C5CFA" w:rsidRPr="001C4484" w:rsidRDefault="00E82A60" w:rsidP="00300A01">
            <w:pPr>
              <w:spacing w:before="0" w:after="0"/>
              <w:rPr>
                <w:sz w:val="10"/>
                <w:szCs w:val="10"/>
                <w:lang w:val="fr-BE"/>
              </w:rPr>
            </w:pPr>
            <w:r w:rsidRPr="001C4484">
              <w:rPr>
                <w:noProof/>
                <w:sz w:val="10"/>
                <w:szCs w:val="10"/>
                <w:lang w:val="fr-BE"/>
              </w:rPr>
              <w:t>CO19</w:t>
            </w:r>
          </w:p>
        </w:tc>
        <w:tc>
          <w:tcPr>
            <w:tcW w:w="0" w:type="auto"/>
            <w:shd w:val="clear" w:color="auto" w:fill="auto"/>
          </w:tcPr>
          <w:p w14:paraId="26F13941" w14:textId="77777777" w:rsidR="008C5CFA" w:rsidRPr="001C4484" w:rsidRDefault="00E82A60" w:rsidP="00300A01">
            <w:pPr>
              <w:spacing w:before="0" w:after="0"/>
              <w:rPr>
                <w:sz w:val="10"/>
                <w:szCs w:val="10"/>
                <w:lang w:val="fr-BE"/>
              </w:rPr>
            </w:pPr>
            <w:r w:rsidRPr="001C4484">
              <w:rPr>
                <w:noProof/>
                <w:sz w:val="10"/>
                <w:szCs w:val="10"/>
                <w:lang w:val="fr-BE"/>
              </w:rPr>
              <w:t>osoby pochodzące z obszarów wiejskich</w:t>
            </w:r>
          </w:p>
        </w:tc>
        <w:tc>
          <w:tcPr>
            <w:tcW w:w="0" w:type="auto"/>
            <w:shd w:val="clear" w:color="auto" w:fill="auto"/>
          </w:tcPr>
          <w:p w14:paraId="0F2E4B55"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7E0CB1C0" w14:textId="77777777" w:rsidR="008C5CFA" w:rsidRPr="001C4484" w:rsidRDefault="00E82A60" w:rsidP="00300A01">
            <w:pPr>
              <w:spacing w:before="0" w:after="0"/>
              <w:jc w:val="right"/>
              <w:rPr>
                <w:sz w:val="10"/>
                <w:szCs w:val="10"/>
              </w:rPr>
            </w:pPr>
            <w:r>
              <w:rPr>
                <w:noProof/>
                <w:sz w:val="10"/>
                <w:szCs w:val="10"/>
              </w:rPr>
              <w:t>9 407,00</w:t>
            </w:r>
          </w:p>
        </w:tc>
        <w:tc>
          <w:tcPr>
            <w:tcW w:w="0" w:type="auto"/>
            <w:shd w:val="clear" w:color="auto" w:fill="auto"/>
          </w:tcPr>
          <w:p w14:paraId="480C0398" w14:textId="77777777" w:rsidR="008C5CFA" w:rsidRPr="001C4484" w:rsidRDefault="00E82A60" w:rsidP="00300A01">
            <w:pPr>
              <w:spacing w:before="0" w:after="0"/>
              <w:jc w:val="right"/>
              <w:rPr>
                <w:sz w:val="10"/>
                <w:szCs w:val="10"/>
              </w:rPr>
            </w:pPr>
            <w:r w:rsidRPr="001C4484">
              <w:rPr>
                <w:noProof/>
                <w:sz w:val="10"/>
                <w:szCs w:val="10"/>
              </w:rPr>
              <w:t>4 257,00</w:t>
            </w:r>
          </w:p>
        </w:tc>
        <w:tc>
          <w:tcPr>
            <w:tcW w:w="0" w:type="auto"/>
            <w:shd w:val="clear" w:color="auto" w:fill="auto"/>
          </w:tcPr>
          <w:p w14:paraId="0FF2A6FA" w14:textId="77777777" w:rsidR="008C5CFA" w:rsidRPr="001C4484" w:rsidRDefault="00E82A60" w:rsidP="00300A01">
            <w:pPr>
              <w:spacing w:before="0" w:after="0"/>
              <w:jc w:val="right"/>
              <w:rPr>
                <w:sz w:val="10"/>
                <w:szCs w:val="10"/>
                <w:lang w:val="fr-BE"/>
              </w:rPr>
            </w:pPr>
            <w:r w:rsidRPr="001C4484">
              <w:rPr>
                <w:noProof/>
                <w:sz w:val="10"/>
                <w:szCs w:val="10"/>
              </w:rPr>
              <w:t>5 150,00</w:t>
            </w:r>
          </w:p>
        </w:tc>
        <w:tc>
          <w:tcPr>
            <w:tcW w:w="0" w:type="auto"/>
          </w:tcPr>
          <w:p w14:paraId="6AFC869B" w14:textId="77777777" w:rsidR="008C5CFA" w:rsidRPr="001C4484" w:rsidRDefault="00E82A60" w:rsidP="00300A01">
            <w:pPr>
              <w:spacing w:before="0" w:after="0"/>
              <w:jc w:val="right"/>
              <w:rPr>
                <w:sz w:val="10"/>
                <w:szCs w:val="10"/>
              </w:rPr>
            </w:pPr>
            <w:r>
              <w:rPr>
                <w:noProof/>
                <w:sz w:val="10"/>
                <w:szCs w:val="10"/>
              </w:rPr>
              <w:t>5 673,00</w:t>
            </w:r>
          </w:p>
        </w:tc>
        <w:tc>
          <w:tcPr>
            <w:tcW w:w="0" w:type="auto"/>
            <w:shd w:val="clear" w:color="auto" w:fill="auto"/>
          </w:tcPr>
          <w:p w14:paraId="74C4D494" w14:textId="77777777" w:rsidR="008C5CFA" w:rsidRPr="001C4484" w:rsidRDefault="00E82A60" w:rsidP="00300A01">
            <w:pPr>
              <w:spacing w:before="0" w:after="0"/>
              <w:jc w:val="right"/>
              <w:rPr>
                <w:sz w:val="10"/>
                <w:szCs w:val="10"/>
              </w:rPr>
            </w:pPr>
            <w:r w:rsidRPr="001C4484">
              <w:rPr>
                <w:noProof/>
                <w:sz w:val="10"/>
                <w:szCs w:val="10"/>
              </w:rPr>
              <w:t>2 544,00</w:t>
            </w:r>
          </w:p>
        </w:tc>
        <w:tc>
          <w:tcPr>
            <w:tcW w:w="0" w:type="auto"/>
            <w:shd w:val="clear" w:color="auto" w:fill="auto"/>
          </w:tcPr>
          <w:p w14:paraId="3E1C1DBD" w14:textId="77777777" w:rsidR="008C5CFA" w:rsidRPr="001C4484" w:rsidRDefault="00E82A60" w:rsidP="00300A01">
            <w:pPr>
              <w:spacing w:before="0" w:after="0"/>
              <w:jc w:val="right"/>
              <w:rPr>
                <w:sz w:val="10"/>
                <w:szCs w:val="10"/>
                <w:lang w:val="fr-BE"/>
              </w:rPr>
            </w:pPr>
            <w:r w:rsidRPr="001C4484">
              <w:rPr>
                <w:noProof/>
                <w:sz w:val="10"/>
                <w:szCs w:val="10"/>
              </w:rPr>
              <w:t>3 129,00</w:t>
            </w:r>
          </w:p>
        </w:tc>
        <w:tc>
          <w:tcPr>
            <w:tcW w:w="0" w:type="auto"/>
          </w:tcPr>
          <w:p w14:paraId="57ADABC2" w14:textId="77777777" w:rsidR="008C5CFA" w:rsidRPr="001C4484" w:rsidRDefault="00E82A60" w:rsidP="00300A01">
            <w:pPr>
              <w:spacing w:before="0" w:after="0"/>
              <w:jc w:val="right"/>
              <w:rPr>
                <w:sz w:val="10"/>
                <w:szCs w:val="10"/>
              </w:rPr>
            </w:pPr>
            <w:r>
              <w:rPr>
                <w:noProof/>
                <w:sz w:val="10"/>
                <w:szCs w:val="10"/>
              </w:rPr>
              <w:t>4 470,00</w:t>
            </w:r>
          </w:p>
        </w:tc>
        <w:tc>
          <w:tcPr>
            <w:tcW w:w="0" w:type="auto"/>
            <w:shd w:val="clear" w:color="auto" w:fill="auto"/>
          </w:tcPr>
          <w:p w14:paraId="3CA311FC" w14:textId="77777777" w:rsidR="008C5CFA" w:rsidRPr="001C4484" w:rsidRDefault="00E82A60" w:rsidP="00300A01">
            <w:pPr>
              <w:spacing w:before="0" w:after="0"/>
              <w:jc w:val="right"/>
              <w:rPr>
                <w:sz w:val="10"/>
                <w:szCs w:val="10"/>
              </w:rPr>
            </w:pPr>
            <w:r w:rsidRPr="001C4484">
              <w:rPr>
                <w:noProof/>
                <w:sz w:val="10"/>
                <w:szCs w:val="10"/>
              </w:rPr>
              <w:t>2 141,00</w:t>
            </w:r>
          </w:p>
        </w:tc>
        <w:tc>
          <w:tcPr>
            <w:tcW w:w="0" w:type="auto"/>
            <w:shd w:val="clear" w:color="auto" w:fill="auto"/>
          </w:tcPr>
          <w:p w14:paraId="56F5C896" w14:textId="77777777" w:rsidR="008C5CFA" w:rsidRPr="001C4484" w:rsidRDefault="00E82A60" w:rsidP="00300A01">
            <w:pPr>
              <w:spacing w:before="0" w:after="0"/>
              <w:jc w:val="right"/>
              <w:rPr>
                <w:sz w:val="10"/>
                <w:szCs w:val="10"/>
                <w:lang w:val="fr-BE"/>
              </w:rPr>
            </w:pPr>
            <w:r w:rsidRPr="001C4484">
              <w:rPr>
                <w:noProof/>
                <w:sz w:val="10"/>
                <w:szCs w:val="10"/>
              </w:rPr>
              <w:t>2 329,00</w:t>
            </w:r>
          </w:p>
        </w:tc>
      </w:tr>
      <w:tr w:rsidR="006B2EC1" w14:paraId="5E39E838" w14:textId="77777777" w:rsidTr="0047688D">
        <w:tc>
          <w:tcPr>
            <w:tcW w:w="0" w:type="auto"/>
            <w:shd w:val="clear" w:color="auto" w:fill="auto"/>
          </w:tcPr>
          <w:p w14:paraId="2B7E9E3B" w14:textId="77777777" w:rsidR="008C5CFA" w:rsidRPr="001C4484" w:rsidRDefault="00E82A60" w:rsidP="00300A01">
            <w:pPr>
              <w:spacing w:before="0" w:after="0"/>
              <w:rPr>
                <w:sz w:val="10"/>
                <w:szCs w:val="10"/>
                <w:lang w:val="fr-BE"/>
              </w:rPr>
            </w:pPr>
            <w:r w:rsidRPr="001C4484">
              <w:rPr>
                <w:noProof/>
                <w:sz w:val="10"/>
                <w:szCs w:val="10"/>
                <w:lang w:val="fr-BE"/>
              </w:rPr>
              <w:t>CO20</w:t>
            </w:r>
          </w:p>
        </w:tc>
        <w:tc>
          <w:tcPr>
            <w:tcW w:w="0" w:type="auto"/>
            <w:shd w:val="clear" w:color="auto" w:fill="auto"/>
          </w:tcPr>
          <w:p w14:paraId="338902AB" w14:textId="77777777" w:rsidR="008C5CFA" w:rsidRPr="001C4484" w:rsidRDefault="00E82A60" w:rsidP="00300A01">
            <w:pPr>
              <w:spacing w:before="0" w:after="0"/>
              <w:rPr>
                <w:sz w:val="10"/>
                <w:szCs w:val="10"/>
                <w:lang w:val="fr-BE"/>
              </w:rPr>
            </w:pPr>
            <w:r w:rsidRPr="001C4484">
              <w:rPr>
                <w:noProof/>
                <w:sz w:val="10"/>
                <w:szCs w:val="10"/>
                <w:lang w:val="fr-BE"/>
              </w:rPr>
              <w:t>liczba projektów zrealizowanych w pełni lub częściowo przez partnerów społecznych lub organizacje pozarządowe</w:t>
            </w:r>
          </w:p>
        </w:tc>
        <w:tc>
          <w:tcPr>
            <w:tcW w:w="0" w:type="auto"/>
            <w:shd w:val="clear" w:color="auto" w:fill="auto"/>
          </w:tcPr>
          <w:p w14:paraId="2A382DAB"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483CC0E7" w14:textId="77777777" w:rsidR="008C5CFA" w:rsidRPr="001C4484" w:rsidRDefault="00E82A60" w:rsidP="00300A01">
            <w:pPr>
              <w:spacing w:before="0" w:after="0"/>
              <w:jc w:val="right"/>
              <w:rPr>
                <w:sz w:val="10"/>
                <w:szCs w:val="10"/>
              </w:rPr>
            </w:pPr>
            <w:r>
              <w:rPr>
                <w:noProof/>
                <w:sz w:val="10"/>
                <w:szCs w:val="10"/>
              </w:rPr>
              <w:t>1,00</w:t>
            </w:r>
          </w:p>
        </w:tc>
        <w:tc>
          <w:tcPr>
            <w:tcW w:w="0" w:type="auto"/>
            <w:shd w:val="clear" w:color="auto" w:fill="auto"/>
          </w:tcPr>
          <w:p w14:paraId="5DC13834" w14:textId="77777777" w:rsidR="008C5CFA" w:rsidRPr="001C4484" w:rsidRDefault="008C5CFA" w:rsidP="00300A01">
            <w:pPr>
              <w:spacing w:before="0" w:after="0"/>
              <w:jc w:val="right"/>
              <w:rPr>
                <w:sz w:val="10"/>
                <w:szCs w:val="10"/>
              </w:rPr>
            </w:pPr>
          </w:p>
        </w:tc>
        <w:tc>
          <w:tcPr>
            <w:tcW w:w="0" w:type="auto"/>
            <w:shd w:val="clear" w:color="auto" w:fill="auto"/>
          </w:tcPr>
          <w:p w14:paraId="58961E5F" w14:textId="77777777" w:rsidR="008C5CFA" w:rsidRPr="001C4484" w:rsidRDefault="008C5CFA" w:rsidP="00300A01">
            <w:pPr>
              <w:spacing w:before="0" w:after="0"/>
              <w:jc w:val="right"/>
              <w:rPr>
                <w:sz w:val="10"/>
                <w:szCs w:val="10"/>
                <w:lang w:val="fr-BE"/>
              </w:rPr>
            </w:pPr>
          </w:p>
        </w:tc>
        <w:tc>
          <w:tcPr>
            <w:tcW w:w="0" w:type="auto"/>
          </w:tcPr>
          <w:p w14:paraId="1218098B" w14:textId="77777777" w:rsidR="008C5CFA" w:rsidRPr="001C4484" w:rsidRDefault="00E82A60" w:rsidP="00300A01">
            <w:pPr>
              <w:spacing w:before="0" w:after="0"/>
              <w:jc w:val="right"/>
              <w:rPr>
                <w:sz w:val="10"/>
                <w:szCs w:val="10"/>
              </w:rPr>
            </w:pPr>
            <w:r>
              <w:rPr>
                <w:noProof/>
                <w:sz w:val="10"/>
                <w:szCs w:val="10"/>
              </w:rPr>
              <w:t>3,00</w:t>
            </w:r>
          </w:p>
        </w:tc>
        <w:tc>
          <w:tcPr>
            <w:tcW w:w="0" w:type="auto"/>
            <w:shd w:val="clear" w:color="auto" w:fill="auto"/>
          </w:tcPr>
          <w:p w14:paraId="3F32C39B" w14:textId="77777777" w:rsidR="008C5CFA" w:rsidRPr="001C4484" w:rsidRDefault="008C5CFA" w:rsidP="00300A01">
            <w:pPr>
              <w:spacing w:before="0" w:after="0"/>
              <w:jc w:val="right"/>
              <w:rPr>
                <w:sz w:val="10"/>
                <w:szCs w:val="10"/>
              </w:rPr>
            </w:pPr>
          </w:p>
        </w:tc>
        <w:tc>
          <w:tcPr>
            <w:tcW w:w="0" w:type="auto"/>
            <w:shd w:val="clear" w:color="auto" w:fill="auto"/>
          </w:tcPr>
          <w:p w14:paraId="1986EE4C" w14:textId="77777777" w:rsidR="008C5CFA" w:rsidRPr="001C4484" w:rsidRDefault="008C5CFA" w:rsidP="00300A01">
            <w:pPr>
              <w:spacing w:before="0" w:after="0"/>
              <w:jc w:val="right"/>
              <w:rPr>
                <w:sz w:val="10"/>
                <w:szCs w:val="10"/>
                <w:lang w:val="fr-BE"/>
              </w:rPr>
            </w:pPr>
          </w:p>
        </w:tc>
        <w:tc>
          <w:tcPr>
            <w:tcW w:w="0" w:type="auto"/>
          </w:tcPr>
          <w:p w14:paraId="68709D0B" w14:textId="77777777" w:rsidR="008C5CFA" w:rsidRPr="001C4484" w:rsidRDefault="00E82A60" w:rsidP="00300A01">
            <w:pPr>
              <w:spacing w:before="0" w:after="0"/>
              <w:jc w:val="right"/>
              <w:rPr>
                <w:sz w:val="10"/>
                <w:szCs w:val="10"/>
              </w:rPr>
            </w:pPr>
            <w:r>
              <w:rPr>
                <w:noProof/>
                <w:sz w:val="10"/>
                <w:szCs w:val="10"/>
              </w:rPr>
              <w:t>2,00</w:t>
            </w:r>
          </w:p>
        </w:tc>
        <w:tc>
          <w:tcPr>
            <w:tcW w:w="0" w:type="auto"/>
            <w:shd w:val="clear" w:color="auto" w:fill="auto"/>
          </w:tcPr>
          <w:p w14:paraId="43459B1E" w14:textId="77777777" w:rsidR="008C5CFA" w:rsidRPr="001C4484" w:rsidRDefault="008C5CFA" w:rsidP="00300A01">
            <w:pPr>
              <w:spacing w:before="0" w:after="0"/>
              <w:jc w:val="right"/>
              <w:rPr>
                <w:sz w:val="10"/>
                <w:szCs w:val="10"/>
              </w:rPr>
            </w:pPr>
          </w:p>
        </w:tc>
        <w:tc>
          <w:tcPr>
            <w:tcW w:w="0" w:type="auto"/>
            <w:shd w:val="clear" w:color="auto" w:fill="auto"/>
          </w:tcPr>
          <w:p w14:paraId="605CABDB" w14:textId="77777777" w:rsidR="008C5CFA" w:rsidRPr="001C4484" w:rsidRDefault="008C5CFA" w:rsidP="00300A01">
            <w:pPr>
              <w:spacing w:before="0" w:after="0"/>
              <w:jc w:val="right"/>
              <w:rPr>
                <w:sz w:val="10"/>
                <w:szCs w:val="10"/>
                <w:lang w:val="fr-BE"/>
              </w:rPr>
            </w:pPr>
          </w:p>
        </w:tc>
      </w:tr>
      <w:tr w:rsidR="006B2EC1" w14:paraId="33C98FD3" w14:textId="77777777" w:rsidTr="0047688D">
        <w:tc>
          <w:tcPr>
            <w:tcW w:w="0" w:type="auto"/>
            <w:shd w:val="clear" w:color="auto" w:fill="auto"/>
          </w:tcPr>
          <w:p w14:paraId="6E8E8941" w14:textId="77777777" w:rsidR="008C5CFA" w:rsidRPr="001C4484" w:rsidRDefault="00E82A60" w:rsidP="00300A01">
            <w:pPr>
              <w:spacing w:before="0" w:after="0"/>
              <w:rPr>
                <w:sz w:val="10"/>
                <w:szCs w:val="10"/>
                <w:lang w:val="fr-BE"/>
              </w:rPr>
            </w:pPr>
            <w:r w:rsidRPr="001C4484">
              <w:rPr>
                <w:noProof/>
                <w:sz w:val="10"/>
                <w:szCs w:val="10"/>
                <w:lang w:val="fr-BE"/>
              </w:rPr>
              <w:t>CO21</w:t>
            </w:r>
          </w:p>
        </w:tc>
        <w:tc>
          <w:tcPr>
            <w:tcW w:w="0" w:type="auto"/>
            <w:shd w:val="clear" w:color="auto" w:fill="auto"/>
          </w:tcPr>
          <w:p w14:paraId="6D346571" w14:textId="77777777" w:rsidR="008C5CFA" w:rsidRPr="001C4484" w:rsidRDefault="00E82A60" w:rsidP="00300A01">
            <w:pPr>
              <w:spacing w:before="0" w:after="0"/>
              <w:rPr>
                <w:sz w:val="10"/>
                <w:szCs w:val="10"/>
                <w:lang w:val="fr-BE"/>
              </w:rPr>
            </w:pPr>
            <w:r w:rsidRPr="001C4484">
              <w:rPr>
                <w:noProof/>
                <w:sz w:val="10"/>
                <w:szCs w:val="10"/>
                <w:lang w:val="fr-BE"/>
              </w:rPr>
              <w:t>liczba projektów ukierunkowanych na trwały udział kobiet w zatrudnieniu i rozwój ich kariery zawodowej</w:t>
            </w:r>
          </w:p>
        </w:tc>
        <w:tc>
          <w:tcPr>
            <w:tcW w:w="0" w:type="auto"/>
            <w:shd w:val="clear" w:color="auto" w:fill="auto"/>
          </w:tcPr>
          <w:p w14:paraId="0E24905F"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2BC34AC7"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7E188BF5" w14:textId="77777777" w:rsidR="008C5CFA" w:rsidRPr="001C4484" w:rsidRDefault="008C5CFA" w:rsidP="00300A01">
            <w:pPr>
              <w:spacing w:before="0" w:after="0"/>
              <w:jc w:val="right"/>
              <w:rPr>
                <w:sz w:val="10"/>
                <w:szCs w:val="10"/>
              </w:rPr>
            </w:pPr>
          </w:p>
        </w:tc>
        <w:tc>
          <w:tcPr>
            <w:tcW w:w="0" w:type="auto"/>
            <w:shd w:val="clear" w:color="auto" w:fill="auto"/>
          </w:tcPr>
          <w:p w14:paraId="0EBE23C7" w14:textId="77777777" w:rsidR="008C5CFA" w:rsidRPr="001C4484" w:rsidRDefault="008C5CFA" w:rsidP="00300A01">
            <w:pPr>
              <w:spacing w:before="0" w:after="0"/>
              <w:jc w:val="right"/>
              <w:rPr>
                <w:sz w:val="10"/>
                <w:szCs w:val="10"/>
                <w:lang w:val="fr-BE"/>
              </w:rPr>
            </w:pPr>
          </w:p>
        </w:tc>
        <w:tc>
          <w:tcPr>
            <w:tcW w:w="0" w:type="auto"/>
          </w:tcPr>
          <w:p w14:paraId="2F6F40D1" w14:textId="77777777" w:rsidR="008C5CFA" w:rsidRPr="001C4484" w:rsidRDefault="00E82A60" w:rsidP="00300A01">
            <w:pPr>
              <w:spacing w:before="0" w:after="0"/>
              <w:jc w:val="right"/>
              <w:rPr>
                <w:sz w:val="10"/>
                <w:szCs w:val="10"/>
              </w:rPr>
            </w:pPr>
            <w:r>
              <w:rPr>
                <w:noProof/>
                <w:sz w:val="10"/>
                <w:szCs w:val="10"/>
              </w:rPr>
              <w:t>1,00</w:t>
            </w:r>
          </w:p>
        </w:tc>
        <w:tc>
          <w:tcPr>
            <w:tcW w:w="0" w:type="auto"/>
            <w:shd w:val="clear" w:color="auto" w:fill="auto"/>
          </w:tcPr>
          <w:p w14:paraId="5A165C41" w14:textId="77777777" w:rsidR="008C5CFA" w:rsidRPr="001C4484" w:rsidRDefault="008C5CFA" w:rsidP="00300A01">
            <w:pPr>
              <w:spacing w:before="0" w:after="0"/>
              <w:jc w:val="right"/>
              <w:rPr>
                <w:sz w:val="10"/>
                <w:szCs w:val="10"/>
              </w:rPr>
            </w:pPr>
          </w:p>
        </w:tc>
        <w:tc>
          <w:tcPr>
            <w:tcW w:w="0" w:type="auto"/>
            <w:shd w:val="clear" w:color="auto" w:fill="auto"/>
          </w:tcPr>
          <w:p w14:paraId="26DE0AA6" w14:textId="77777777" w:rsidR="008C5CFA" w:rsidRPr="001C4484" w:rsidRDefault="008C5CFA" w:rsidP="00300A01">
            <w:pPr>
              <w:spacing w:before="0" w:after="0"/>
              <w:jc w:val="right"/>
              <w:rPr>
                <w:sz w:val="10"/>
                <w:szCs w:val="10"/>
                <w:lang w:val="fr-BE"/>
              </w:rPr>
            </w:pPr>
          </w:p>
        </w:tc>
        <w:tc>
          <w:tcPr>
            <w:tcW w:w="0" w:type="auto"/>
          </w:tcPr>
          <w:p w14:paraId="2F4B3E66" w14:textId="77777777" w:rsidR="008C5CFA" w:rsidRPr="001C4484" w:rsidRDefault="00E82A60" w:rsidP="00300A01">
            <w:pPr>
              <w:spacing w:before="0" w:after="0"/>
              <w:jc w:val="right"/>
              <w:rPr>
                <w:sz w:val="10"/>
                <w:szCs w:val="10"/>
              </w:rPr>
            </w:pPr>
            <w:r>
              <w:rPr>
                <w:noProof/>
                <w:sz w:val="10"/>
                <w:szCs w:val="10"/>
              </w:rPr>
              <w:t>1,00</w:t>
            </w:r>
          </w:p>
        </w:tc>
        <w:tc>
          <w:tcPr>
            <w:tcW w:w="0" w:type="auto"/>
            <w:shd w:val="clear" w:color="auto" w:fill="auto"/>
          </w:tcPr>
          <w:p w14:paraId="74A59C74" w14:textId="77777777" w:rsidR="008C5CFA" w:rsidRPr="001C4484" w:rsidRDefault="008C5CFA" w:rsidP="00300A01">
            <w:pPr>
              <w:spacing w:before="0" w:after="0"/>
              <w:jc w:val="right"/>
              <w:rPr>
                <w:sz w:val="10"/>
                <w:szCs w:val="10"/>
              </w:rPr>
            </w:pPr>
          </w:p>
        </w:tc>
        <w:tc>
          <w:tcPr>
            <w:tcW w:w="0" w:type="auto"/>
            <w:shd w:val="clear" w:color="auto" w:fill="auto"/>
          </w:tcPr>
          <w:p w14:paraId="10700056" w14:textId="77777777" w:rsidR="008C5CFA" w:rsidRPr="001C4484" w:rsidRDefault="008C5CFA" w:rsidP="00300A01">
            <w:pPr>
              <w:spacing w:before="0" w:after="0"/>
              <w:jc w:val="right"/>
              <w:rPr>
                <w:sz w:val="10"/>
                <w:szCs w:val="10"/>
                <w:lang w:val="fr-BE"/>
              </w:rPr>
            </w:pPr>
          </w:p>
        </w:tc>
      </w:tr>
      <w:tr w:rsidR="006B2EC1" w14:paraId="721A7E33" w14:textId="77777777" w:rsidTr="0047688D">
        <w:tc>
          <w:tcPr>
            <w:tcW w:w="0" w:type="auto"/>
            <w:shd w:val="clear" w:color="auto" w:fill="auto"/>
          </w:tcPr>
          <w:p w14:paraId="569F6E6A" w14:textId="77777777" w:rsidR="008C5CFA" w:rsidRPr="001C4484" w:rsidRDefault="00E82A60" w:rsidP="00300A01">
            <w:pPr>
              <w:spacing w:before="0" w:after="0"/>
              <w:rPr>
                <w:sz w:val="10"/>
                <w:szCs w:val="10"/>
                <w:lang w:val="fr-BE"/>
              </w:rPr>
            </w:pPr>
            <w:r w:rsidRPr="001C4484">
              <w:rPr>
                <w:noProof/>
                <w:sz w:val="10"/>
                <w:szCs w:val="10"/>
                <w:lang w:val="fr-BE"/>
              </w:rPr>
              <w:t>CO22</w:t>
            </w:r>
          </w:p>
        </w:tc>
        <w:tc>
          <w:tcPr>
            <w:tcW w:w="0" w:type="auto"/>
            <w:shd w:val="clear" w:color="auto" w:fill="auto"/>
          </w:tcPr>
          <w:p w14:paraId="3D5BAD67" w14:textId="77777777" w:rsidR="008C5CFA" w:rsidRPr="001C4484" w:rsidRDefault="00E82A60" w:rsidP="00300A01">
            <w:pPr>
              <w:spacing w:before="0" w:after="0"/>
              <w:rPr>
                <w:sz w:val="10"/>
                <w:szCs w:val="10"/>
                <w:lang w:val="fr-BE"/>
              </w:rPr>
            </w:pPr>
            <w:r w:rsidRPr="001C4484">
              <w:rPr>
                <w:noProof/>
                <w:sz w:val="10"/>
                <w:szCs w:val="10"/>
                <w:lang w:val="fr-BE"/>
              </w:rPr>
              <w:t>liczba projektów obejmujących administrację publiczną lub służby publiczne na szczeblu krajowym, regionalnym lub lokalnym</w:t>
            </w:r>
          </w:p>
        </w:tc>
        <w:tc>
          <w:tcPr>
            <w:tcW w:w="0" w:type="auto"/>
            <w:shd w:val="clear" w:color="auto" w:fill="auto"/>
          </w:tcPr>
          <w:p w14:paraId="01181A8B"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14BEFCF9" w14:textId="77777777" w:rsidR="008C5CFA" w:rsidRPr="001C4484" w:rsidRDefault="00E82A60" w:rsidP="00300A01">
            <w:pPr>
              <w:spacing w:before="0" w:after="0"/>
              <w:jc w:val="right"/>
              <w:rPr>
                <w:sz w:val="10"/>
                <w:szCs w:val="10"/>
              </w:rPr>
            </w:pPr>
            <w:r>
              <w:rPr>
                <w:noProof/>
                <w:sz w:val="10"/>
                <w:szCs w:val="10"/>
              </w:rPr>
              <w:t>2,00</w:t>
            </w:r>
          </w:p>
        </w:tc>
        <w:tc>
          <w:tcPr>
            <w:tcW w:w="0" w:type="auto"/>
            <w:shd w:val="clear" w:color="auto" w:fill="auto"/>
          </w:tcPr>
          <w:p w14:paraId="7DFB91F4" w14:textId="77777777" w:rsidR="008C5CFA" w:rsidRPr="001C4484" w:rsidRDefault="008C5CFA" w:rsidP="00300A01">
            <w:pPr>
              <w:spacing w:before="0" w:after="0"/>
              <w:jc w:val="right"/>
              <w:rPr>
                <w:sz w:val="10"/>
                <w:szCs w:val="10"/>
              </w:rPr>
            </w:pPr>
          </w:p>
        </w:tc>
        <w:tc>
          <w:tcPr>
            <w:tcW w:w="0" w:type="auto"/>
            <w:shd w:val="clear" w:color="auto" w:fill="auto"/>
          </w:tcPr>
          <w:p w14:paraId="371B3D82" w14:textId="77777777" w:rsidR="008C5CFA" w:rsidRPr="001C4484" w:rsidRDefault="008C5CFA" w:rsidP="00300A01">
            <w:pPr>
              <w:spacing w:before="0" w:after="0"/>
              <w:jc w:val="right"/>
              <w:rPr>
                <w:sz w:val="10"/>
                <w:szCs w:val="10"/>
                <w:lang w:val="fr-BE"/>
              </w:rPr>
            </w:pPr>
          </w:p>
        </w:tc>
        <w:tc>
          <w:tcPr>
            <w:tcW w:w="0" w:type="auto"/>
          </w:tcPr>
          <w:p w14:paraId="2B1369D6" w14:textId="77777777" w:rsidR="008C5CFA" w:rsidRPr="001C4484" w:rsidRDefault="00E82A60" w:rsidP="00300A01">
            <w:pPr>
              <w:spacing w:before="0" w:after="0"/>
              <w:jc w:val="right"/>
              <w:rPr>
                <w:sz w:val="10"/>
                <w:szCs w:val="10"/>
              </w:rPr>
            </w:pPr>
            <w:r>
              <w:rPr>
                <w:noProof/>
                <w:sz w:val="10"/>
                <w:szCs w:val="10"/>
              </w:rPr>
              <w:t>9,00</w:t>
            </w:r>
          </w:p>
        </w:tc>
        <w:tc>
          <w:tcPr>
            <w:tcW w:w="0" w:type="auto"/>
            <w:shd w:val="clear" w:color="auto" w:fill="auto"/>
          </w:tcPr>
          <w:p w14:paraId="22D006C5" w14:textId="77777777" w:rsidR="008C5CFA" w:rsidRPr="001C4484" w:rsidRDefault="008C5CFA" w:rsidP="00300A01">
            <w:pPr>
              <w:spacing w:before="0" w:after="0"/>
              <w:jc w:val="right"/>
              <w:rPr>
                <w:sz w:val="10"/>
                <w:szCs w:val="10"/>
              </w:rPr>
            </w:pPr>
          </w:p>
        </w:tc>
        <w:tc>
          <w:tcPr>
            <w:tcW w:w="0" w:type="auto"/>
            <w:shd w:val="clear" w:color="auto" w:fill="auto"/>
          </w:tcPr>
          <w:p w14:paraId="21A066BF" w14:textId="77777777" w:rsidR="008C5CFA" w:rsidRPr="001C4484" w:rsidRDefault="008C5CFA" w:rsidP="00300A01">
            <w:pPr>
              <w:spacing w:before="0" w:after="0"/>
              <w:jc w:val="right"/>
              <w:rPr>
                <w:sz w:val="10"/>
                <w:szCs w:val="10"/>
                <w:lang w:val="fr-BE"/>
              </w:rPr>
            </w:pPr>
          </w:p>
        </w:tc>
        <w:tc>
          <w:tcPr>
            <w:tcW w:w="0" w:type="auto"/>
          </w:tcPr>
          <w:p w14:paraId="21926330" w14:textId="77777777" w:rsidR="008C5CFA" w:rsidRPr="001C4484" w:rsidRDefault="00E82A60" w:rsidP="00300A01">
            <w:pPr>
              <w:spacing w:before="0" w:after="0"/>
              <w:jc w:val="right"/>
              <w:rPr>
                <w:sz w:val="10"/>
                <w:szCs w:val="10"/>
              </w:rPr>
            </w:pPr>
            <w:r>
              <w:rPr>
                <w:noProof/>
                <w:sz w:val="10"/>
                <w:szCs w:val="10"/>
              </w:rPr>
              <w:t>4,00</w:t>
            </w:r>
          </w:p>
        </w:tc>
        <w:tc>
          <w:tcPr>
            <w:tcW w:w="0" w:type="auto"/>
            <w:shd w:val="clear" w:color="auto" w:fill="auto"/>
          </w:tcPr>
          <w:p w14:paraId="07F3EBF4" w14:textId="77777777" w:rsidR="008C5CFA" w:rsidRPr="001C4484" w:rsidRDefault="008C5CFA" w:rsidP="00300A01">
            <w:pPr>
              <w:spacing w:before="0" w:after="0"/>
              <w:jc w:val="right"/>
              <w:rPr>
                <w:sz w:val="10"/>
                <w:szCs w:val="10"/>
              </w:rPr>
            </w:pPr>
          </w:p>
        </w:tc>
        <w:tc>
          <w:tcPr>
            <w:tcW w:w="0" w:type="auto"/>
            <w:shd w:val="clear" w:color="auto" w:fill="auto"/>
          </w:tcPr>
          <w:p w14:paraId="33AF9601" w14:textId="77777777" w:rsidR="008C5CFA" w:rsidRPr="001C4484" w:rsidRDefault="008C5CFA" w:rsidP="00300A01">
            <w:pPr>
              <w:spacing w:before="0" w:after="0"/>
              <w:jc w:val="right"/>
              <w:rPr>
                <w:sz w:val="10"/>
                <w:szCs w:val="10"/>
                <w:lang w:val="fr-BE"/>
              </w:rPr>
            </w:pPr>
          </w:p>
        </w:tc>
      </w:tr>
      <w:tr w:rsidR="006B2EC1" w14:paraId="17FDD9EE" w14:textId="77777777" w:rsidTr="0047688D">
        <w:tc>
          <w:tcPr>
            <w:tcW w:w="0" w:type="auto"/>
            <w:shd w:val="clear" w:color="auto" w:fill="auto"/>
          </w:tcPr>
          <w:p w14:paraId="7D68628F" w14:textId="77777777" w:rsidR="008C5CFA" w:rsidRPr="001C4484" w:rsidRDefault="00E82A60" w:rsidP="00300A01">
            <w:pPr>
              <w:spacing w:before="0" w:after="0"/>
              <w:rPr>
                <w:sz w:val="10"/>
                <w:szCs w:val="10"/>
                <w:lang w:val="fr-BE"/>
              </w:rPr>
            </w:pPr>
            <w:r w:rsidRPr="001C4484">
              <w:rPr>
                <w:noProof/>
                <w:sz w:val="10"/>
                <w:szCs w:val="10"/>
                <w:lang w:val="fr-BE"/>
              </w:rPr>
              <w:t>CO23</w:t>
            </w:r>
          </w:p>
        </w:tc>
        <w:tc>
          <w:tcPr>
            <w:tcW w:w="0" w:type="auto"/>
            <w:shd w:val="clear" w:color="auto" w:fill="auto"/>
          </w:tcPr>
          <w:p w14:paraId="289A07DB" w14:textId="77777777" w:rsidR="008C5CFA" w:rsidRPr="001C4484" w:rsidRDefault="00E82A60" w:rsidP="00300A01">
            <w:pPr>
              <w:spacing w:before="0" w:after="0"/>
              <w:rPr>
                <w:sz w:val="10"/>
                <w:szCs w:val="10"/>
                <w:lang w:val="fr-BE"/>
              </w:rPr>
            </w:pPr>
            <w:r w:rsidRPr="001C4484">
              <w:rPr>
                <w:noProof/>
                <w:sz w:val="10"/>
                <w:szCs w:val="10"/>
                <w:lang w:val="fr-BE"/>
              </w:rPr>
              <w:t>liczba objętych wsparciem mikro-, małych i średnich przedsiębiorstw (w tym przedsiębiorstw spółdzielczych i przedsiębiorstw gospodarki społecznej)</w:t>
            </w:r>
          </w:p>
        </w:tc>
        <w:tc>
          <w:tcPr>
            <w:tcW w:w="0" w:type="auto"/>
            <w:shd w:val="clear" w:color="auto" w:fill="auto"/>
          </w:tcPr>
          <w:p w14:paraId="382C126F"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0DCBF6CE"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64C80571" w14:textId="77777777" w:rsidR="008C5CFA" w:rsidRPr="001C4484" w:rsidRDefault="008C5CFA" w:rsidP="00300A01">
            <w:pPr>
              <w:spacing w:before="0" w:after="0"/>
              <w:jc w:val="right"/>
              <w:rPr>
                <w:sz w:val="10"/>
                <w:szCs w:val="10"/>
              </w:rPr>
            </w:pPr>
          </w:p>
        </w:tc>
        <w:tc>
          <w:tcPr>
            <w:tcW w:w="0" w:type="auto"/>
            <w:shd w:val="clear" w:color="auto" w:fill="auto"/>
          </w:tcPr>
          <w:p w14:paraId="68859A43" w14:textId="77777777" w:rsidR="008C5CFA" w:rsidRPr="001C4484" w:rsidRDefault="008C5CFA" w:rsidP="00300A01">
            <w:pPr>
              <w:spacing w:before="0" w:after="0"/>
              <w:jc w:val="right"/>
              <w:rPr>
                <w:sz w:val="10"/>
                <w:szCs w:val="10"/>
                <w:lang w:val="fr-BE"/>
              </w:rPr>
            </w:pPr>
          </w:p>
        </w:tc>
        <w:tc>
          <w:tcPr>
            <w:tcW w:w="0" w:type="auto"/>
          </w:tcPr>
          <w:p w14:paraId="687BF0DA" w14:textId="77777777" w:rsidR="008C5CFA" w:rsidRPr="001C4484" w:rsidRDefault="00E82A60" w:rsidP="00300A01">
            <w:pPr>
              <w:spacing w:before="0" w:after="0"/>
              <w:jc w:val="right"/>
              <w:rPr>
                <w:sz w:val="10"/>
                <w:szCs w:val="10"/>
              </w:rPr>
            </w:pPr>
            <w:r>
              <w:rPr>
                <w:noProof/>
                <w:sz w:val="10"/>
                <w:szCs w:val="10"/>
              </w:rPr>
              <w:t>2,00</w:t>
            </w:r>
          </w:p>
        </w:tc>
        <w:tc>
          <w:tcPr>
            <w:tcW w:w="0" w:type="auto"/>
            <w:shd w:val="clear" w:color="auto" w:fill="auto"/>
          </w:tcPr>
          <w:p w14:paraId="75D3C657" w14:textId="77777777" w:rsidR="008C5CFA" w:rsidRPr="001C4484" w:rsidRDefault="008C5CFA" w:rsidP="00300A01">
            <w:pPr>
              <w:spacing w:before="0" w:after="0"/>
              <w:jc w:val="right"/>
              <w:rPr>
                <w:sz w:val="10"/>
                <w:szCs w:val="10"/>
              </w:rPr>
            </w:pPr>
          </w:p>
        </w:tc>
        <w:tc>
          <w:tcPr>
            <w:tcW w:w="0" w:type="auto"/>
            <w:shd w:val="clear" w:color="auto" w:fill="auto"/>
          </w:tcPr>
          <w:p w14:paraId="586CEE11" w14:textId="77777777" w:rsidR="008C5CFA" w:rsidRPr="001C4484" w:rsidRDefault="008C5CFA" w:rsidP="00300A01">
            <w:pPr>
              <w:spacing w:before="0" w:after="0"/>
              <w:jc w:val="right"/>
              <w:rPr>
                <w:sz w:val="10"/>
                <w:szCs w:val="10"/>
                <w:lang w:val="fr-BE"/>
              </w:rPr>
            </w:pPr>
          </w:p>
        </w:tc>
        <w:tc>
          <w:tcPr>
            <w:tcW w:w="0" w:type="auto"/>
          </w:tcPr>
          <w:p w14:paraId="65F5E2C2" w14:textId="77777777" w:rsidR="008C5CFA" w:rsidRPr="001C4484" w:rsidRDefault="00E82A60" w:rsidP="00300A01">
            <w:pPr>
              <w:spacing w:before="0" w:after="0"/>
              <w:jc w:val="right"/>
              <w:rPr>
                <w:sz w:val="10"/>
                <w:szCs w:val="10"/>
              </w:rPr>
            </w:pPr>
            <w:r>
              <w:rPr>
                <w:noProof/>
                <w:sz w:val="10"/>
                <w:szCs w:val="10"/>
              </w:rPr>
              <w:t>2,00</w:t>
            </w:r>
          </w:p>
        </w:tc>
        <w:tc>
          <w:tcPr>
            <w:tcW w:w="0" w:type="auto"/>
            <w:shd w:val="clear" w:color="auto" w:fill="auto"/>
          </w:tcPr>
          <w:p w14:paraId="25090B7D" w14:textId="77777777" w:rsidR="008C5CFA" w:rsidRPr="001C4484" w:rsidRDefault="008C5CFA" w:rsidP="00300A01">
            <w:pPr>
              <w:spacing w:before="0" w:after="0"/>
              <w:jc w:val="right"/>
              <w:rPr>
                <w:sz w:val="10"/>
                <w:szCs w:val="10"/>
              </w:rPr>
            </w:pPr>
          </w:p>
        </w:tc>
        <w:tc>
          <w:tcPr>
            <w:tcW w:w="0" w:type="auto"/>
            <w:shd w:val="clear" w:color="auto" w:fill="auto"/>
          </w:tcPr>
          <w:p w14:paraId="670A7A2C" w14:textId="77777777" w:rsidR="008C5CFA" w:rsidRPr="001C4484" w:rsidRDefault="008C5CFA" w:rsidP="00300A01">
            <w:pPr>
              <w:spacing w:before="0" w:after="0"/>
              <w:jc w:val="right"/>
              <w:rPr>
                <w:sz w:val="10"/>
                <w:szCs w:val="10"/>
                <w:lang w:val="fr-BE"/>
              </w:rPr>
            </w:pPr>
          </w:p>
        </w:tc>
      </w:tr>
      <w:tr w:rsidR="006B2EC1" w14:paraId="4461E904" w14:textId="77777777" w:rsidTr="0047688D">
        <w:tc>
          <w:tcPr>
            <w:tcW w:w="0" w:type="auto"/>
            <w:shd w:val="clear" w:color="auto" w:fill="auto"/>
          </w:tcPr>
          <w:p w14:paraId="009E412D" w14:textId="77777777" w:rsidR="008C5CFA" w:rsidRPr="001C4484" w:rsidRDefault="008C5CFA" w:rsidP="00300A01">
            <w:pPr>
              <w:spacing w:before="0" w:after="0"/>
              <w:rPr>
                <w:sz w:val="10"/>
                <w:szCs w:val="10"/>
                <w:lang w:val="fr-BE"/>
              </w:rPr>
            </w:pPr>
          </w:p>
        </w:tc>
        <w:tc>
          <w:tcPr>
            <w:tcW w:w="0" w:type="auto"/>
            <w:shd w:val="clear" w:color="auto" w:fill="auto"/>
          </w:tcPr>
          <w:p w14:paraId="52371A49" w14:textId="77777777" w:rsidR="008C5CFA" w:rsidRPr="001C4484" w:rsidRDefault="00E82A60" w:rsidP="00300A01">
            <w:pPr>
              <w:spacing w:before="0" w:after="0"/>
              <w:rPr>
                <w:sz w:val="10"/>
                <w:szCs w:val="10"/>
                <w:lang w:val="fr-BE"/>
              </w:rPr>
            </w:pPr>
            <w:r w:rsidRPr="001C4484">
              <w:rPr>
                <w:noProof/>
                <w:sz w:val="10"/>
                <w:szCs w:val="10"/>
                <w:lang w:val="fr-BE"/>
              </w:rPr>
              <w:t>Całkowita łączna liczba uczestników</w:t>
            </w:r>
          </w:p>
        </w:tc>
        <w:tc>
          <w:tcPr>
            <w:tcW w:w="0" w:type="auto"/>
            <w:shd w:val="clear" w:color="auto" w:fill="auto"/>
          </w:tcPr>
          <w:p w14:paraId="26F8528A" w14:textId="77777777" w:rsidR="008C5CFA" w:rsidRPr="001C4484" w:rsidRDefault="008C5CFA" w:rsidP="00300A01">
            <w:pPr>
              <w:spacing w:before="0" w:after="0"/>
              <w:rPr>
                <w:sz w:val="10"/>
                <w:szCs w:val="10"/>
                <w:lang w:val="fr-BE"/>
              </w:rPr>
            </w:pPr>
          </w:p>
        </w:tc>
        <w:tc>
          <w:tcPr>
            <w:tcW w:w="0" w:type="auto"/>
          </w:tcPr>
          <w:p w14:paraId="1F834C48" w14:textId="77777777" w:rsidR="008C5CFA" w:rsidRPr="001C4484" w:rsidRDefault="00E82A60" w:rsidP="00300A01">
            <w:pPr>
              <w:spacing w:before="0" w:after="0"/>
              <w:jc w:val="right"/>
              <w:rPr>
                <w:sz w:val="10"/>
                <w:szCs w:val="10"/>
              </w:rPr>
            </w:pPr>
            <w:r>
              <w:rPr>
                <w:noProof/>
                <w:sz w:val="10"/>
                <w:szCs w:val="10"/>
              </w:rPr>
              <w:t>13 051,00</w:t>
            </w:r>
          </w:p>
        </w:tc>
        <w:tc>
          <w:tcPr>
            <w:tcW w:w="0" w:type="auto"/>
            <w:shd w:val="clear" w:color="auto" w:fill="auto"/>
          </w:tcPr>
          <w:p w14:paraId="0B1218F6" w14:textId="77777777" w:rsidR="008C5CFA" w:rsidRPr="001C4484" w:rsidRDefault="008C5CFA" w:rsidP="00300A01">
            <w:pPr>
              <w:spacing w:before="0" w:after="0"/>
              <w:jc w:val="right"/>
              <w:rPr>
                <w:sz w:val="10"/>
                <w:szCs w:val="10"/>
              </w:rPr>
            </w:pPr>
          </w:p>
        </w:tc>
        <w:tc>
          <w:tcPr>
            <w:tcW w:w="0" w:type="auto"/>
            <w:shd w:val="clear" w:color="auto" w:fill="auto"/>
          </w:tcPr>
          <w:p w14:paraId="50544EB0" w14:textId="77777777" w:rsidR="008C5CFA" w:rsidRPr="001C4484" w:rsidRDefault="008C5CFA" w:rsidP="00300A01">
            <w:pPr>
              <w:spacing w:before="0" w:after="0"/>
              <w:jc w:val="right"/>
              <w:rPr>
                <w:sz w:val="10"/>
                <w:szCs w:val="10"/>
                <w:lang w:val="fr-BE"/>
              </w:rPr>
            </w:pPr>
          </w:p>
        </w:tc>
        <w:tc>
          <w:tcPr>
            <w:tcW w:w="0" w:type="auto"/>
          </w:tcPr>
          <w:p w14:paraId="4D5B8E0D" w14:textId="77777777" w:rsidR="008C5CFA" w:rsidRPr="001C4484" w:rsidRDefault="00E82A60" w:rsidP="00300A01">
            <w:pPr>
              <w:spacing w:before="0" w:after="0"/>
              <w:jc w:val="right"/>
              <w:rPr>
                <w:sz w:val="10"/>
                <w:szCs w:val="10"/>
              </w:rPr>
            </w:pPr>
            <w:r>
              <w:rPr>
                <w:noProof/>
                <w:sz w:val="10"/>
                <w:szCs w:val="10"/>
              </w:rPr>
              <w:t>7 732,00</w:t>
            </w:r>
          </w:p>
        </w:tc>
        <w:tc>
          <w:tcPr>
            <w:tcW w:w="0" w:type="auto"/>
            <w:shd w:val="clear" w:color="auto" w:fill="auto"/>
          </w:tcPr>
          <w:p w14:paraId="4C6579F0" w14:textId="77777777" w:rsidR="008C5CFA" w:rsidRPr="001C4484" w:rsidRDefault="008C5CFA" w:rsidP="00300A01">
            <w:pPr>
              <w:spacing w:before="0" w:after="0"/>
              <w:jc w:val="right"/>
              <w:rPr>
                <w:sz w:val="10"/>
                <w:szCs w:val="10"/>
              </w:rPr>
            </w:pPr>
          </w:p>
        </w:tc>
        <w:tc>
          <w:tcPr>
            <w:tcW w:w="0" w:type="auto"/>
            <w:shd w:val="clear" w:color="auto" w:fill="auto"/>
          </w:tcPr>
          <w:p w14:paraId="6C03D7A2" w14:textId="77777777" w:rsidR="008C5CFA" w:rsidRPr="001C4484" w:rsidRDefault="008C5CFA" w:rsidP="00300A01">
            <w:pPr>
              <w:spacing w:before="0" w:after="0"/>
              <w:jc w:val="right"/>
              <w:rPr>
                <w:sz w:val="10"/>
                <w:szCs w:val="10"/>
                <w:lang w:val="fr-BE"/>
              </w:rPr>
            </w:pPr>
          </w:p>
        </w:tc>
        <w:tc>
          <w:tcPr>
            <w:tcW w:w="0" w:type="auto"/>
          </w:tcPr>
          <w:p w14:paraId="6A744DD2" w14:textId="77777777" w:rsidR="008C5CFA" w:rsidRPr="001C4484" w:rsidRDefault="00E82A60" w:rsidP="00300A01">
            <w:pPr>
              <w:spacing w:before="0" w:after="0"/>
              <w:jc w:val="right"/>
              <w:rPr>
                <w:sz w:val="10"/>
                <w:szCs w:val="10"/>
              </w:rPr>
            </w:pPr>
            <w:r>
              <w:rPr>
                <w:noProof/>
                <w:sz w:val="10"/>
                <w:szCs w:val="10"/>
              </w:rPr>
              <w:t>5 671,00</w:t>
            </w:r>
          </w:p>
        </w:tc>
        <w:tc>
          <w:tcPr>
            <w:tcW w:w="0" w:type="auto"/>
            <w:shd w:val="clear" w:color="auto" w:fill="auto"/>
          </w:tcPr>
          <w:p w14:paraId="0ADA67C1" w14:textId="77777777" w:rsidR="008C5CFA" w:rsidRPr="001C4484" w:rsidRDefault="008C5CFA" w:rsidP="00300A01">
            <w:pPr>
              <w:spacing w:before="0" w:after="0"/>
              <w:jc w:val="right"/>
              <w:rPr>
                <w:sz w:val="10"/>
                <w:szCs w:val="10"/>
              </w:rPr>
            </w:pPr>
          </w:p>
        </w:tc>
        <w:tc>
          <w:tcPr>
            <w:tcW w:w="0" w:type="auto"/>
            <w:shd w:val="clear" w:color="auto" w:fill="auto"/>
          </w:tcPr>
          <w:p w14:paraId="77CB1141" w14:textId="77777777" w:rsidR="008C5CFA" w:rsidRPr="001C4484" w:rsidRDefault="008C5CFA" w:rsidP="00300A01">
            <w:pPr>
              <w:spacing w:before="0" w:after="0"/>
              <w:jc w:val="right"/>
              <w:rPr>
                <w:sz w:val="10"/>
                <w:szCs w:val="10"/>
                <w:lang w:val="fr-BE"/>
              </w:rPr>
            </w:pPr>
          </w:p>
        </w:tc>
      </w:tr>
    </w:tbl>
    <w:p w14:paraId="7B3528C6"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514"/>
        <w:gridCol w:w="8970"/>
        <w:gridCol w:w="1534"/>
        <w:gridCol w:w="638"/>
        <w:gridCol w:w="807"/>
        <w:gridCol w:w="638"/>
        <w:gridCol w:w="638"/>
        <w:gridCol w:w="807"/>
        <w:gridCol w:w="638"/>
      </w:tblGrid>
      <w:tr w:rsidR="006B2EC1" w14:paraId="0DCD284B" w14:textId="77777777" w:rsidTr="0047688D">
        <w:tc>
          <w:tcPr>
            <w:tcW w:w="0" w:type="auto"/>
            <w:shd w:val="clear" w:color="auto" w:fill="auto"/>
          </w:tcPr>
          <w:p w14:paraId="416A2A77" w14:textId="77777777" w:rsidR="008C5CFA" w:rsidRPr="001C4484" w:rsidRDefault="00E82A60" w:rsidP="00300A01">
            <w:pPr>
              <w:spacing w:before="0" w:after="0"/>
              <w:rPr>
                <w:sz w:val="10"/>
                <w:szCs w:val="10"/>
              </w:rPr>
            </w:pPr>
            <w:r w:rsidRPr="001C4484">
              <w:rPr>
                <w:b/>
                <w:noProof/>
                <w:sz w:val="12"/>
                <w:szCs w:val="12"/>
                <w:lang w:val="fr-BE"/>
              </w:rPr>
              <w:t>ID</w:t>
            </w:r>
          </w:p>
        </w:tc>
        <w:tc>
          <w:tcPr>
            <w:tcW w:w="0" w:type="auto"/>
            <w:shd w:val="clear" w:color="auto" w:fill="auto"/>
          </w:tcPr>
          <w:p w14:paraId="20EBFEDC" w14:textId="77777777" w:rsidR="008C5CFA" w:rsidRPr="001C4484" w:rsidRDefault="00E82A60" w:rsidP="00300A01">
            <w:pPr>
              <w:spacing w:before="0" w:after="0"/>
              <w:rPr>
                <w:sz w:val="10"/>
                <w:szCs w:val="10"/>
              </w:rPr>
            </w:pPr>
            <w:r w:rsidRPr="001C4484">
              <w:rPr>
                <w:b/>
                <w:noProof/>
                <w:sz w:val="12"/>
                <w:szCs w:val="12"/>
                <w:lang w:val="fr-BE"/>
              </w:rPr>
              <w:t>Wskaźnik</w:t>
            </w:r>
          </w:p>
        </w:tc>
        <w:tc>
          <w:tcPr>
            <w:tcW w:w="0" w:type="auto"/>
            <w:shd w:val="clear" w:color="auto" w:fill="auto"/>
          </w:tcPr>
          <w:p w14:paraId="189CF96B" w14:textId="77777777" w:rsidR="008C5CFA" w:rsidRPr="001C4484" w:rsidRDefault="00E82A60" w:rsidP="00300A01">
            <w:pPr>
              <w:spacing w:before="0" w:after="0"/>
              <w:rPr>
                <w:sz w:val="10"/>
                <w:szCs w:val="10"/>
              </w:rPr>
            </w:pPr>
            <w:r w:rsidRPr="001C4484">
              <w:rPr>
                <w:b/>
                <w:noProof/>
                <w:sz w:val="12"/>
                <w:szCs w:val="12"/>
                <w:lang w:val="fr-BE"/>
              </w:rPr>
              <w:t>Kategoria regionu</w:t>
            </w:r>
          </w:p>
        </w:tc>
        <w:tc>
          <w:tcPr>
            <w:tcW w:w="0" w:type="auto"/>
            <w:gridSpan w:val="3"/>
          </w:tcPr>
          <w:p w14:paraId="591939E3" w14:textId="77777777" w:rsidR="008C5CFA" w:rsidRPr="001C4484" w:rsidRDefault="00E82A60" w:rsidP="00300A01">
            <w:pPr>
              <w:spacing w:before="0" w:after="0"/>
              <w:jc w:val="center"/>
              <w:rPr>
                <w:sz w:val="10"/>
                <w:szCs w:val="10"/>
              </w:rPr>
            </w:pPr>
            <w:r w:rsidRPr="001C4484">
              <w:rPr>
                <w:sz w:val="10"/>
                <w:szCs w:val="10"/>
              </w:rPr>
              <w:t>2015</w:t>
            </w:r>
          </w:p>
        </w:tc>
        <w:tc>
          <w:tcPr>
            <w:tcW w:w="0" w:type="auto"/>
            <w:gridSpan w:val="3"/>
          </w:tcPr>
          <w:p w14:paraId="37CEA643" w14:textId="77777777" w:rsidR="008C5CFA" w:rsidRPr="001C4484" w:rsidRDefault="00E82A60" w:rsidP="00300A01">
            <w:pPr>
              <w:spacing w:before="0" w:after="0"/>
              <w:jc w:val="center"/>
              <w:rPr>
                <w:sz w:val="10"/>
                <w:szCs w:val="10"/>
              </w:rPr>
            </w:pPr>
            <w:r w:rsidRPr="001C4484">
              <w:rPr>
                <w:sz w:val="10"/>
                <w:szCs w:val="10"/>
              </w:rPr>
              <w:t>2014</w:t>
            </w:r>
          </w:p>
        </w:tc>
      </w:tr>
      <w:tr w:rsidR="006B2EC1" w14:paraId="44FDE10B" w14:textId="77777777" w:rsidTr="0047688D">
        <w:tc>
          <w:tcPr>
            <w:tcW w:w="0" w:type="auto"/>
            <w:shd w:val="clear" w:color="auto" w:fill="auto"/>
          </w:tcPr>
          <w:p w14:paraId="128F7175" w14:textId="77777777" w:rsidR="008C5CFA" w:rsidRPr="001C4484" w:rsidRDefault="008C5CFA" w:rsidP="00300A01">
            <w:pPr>
              <w:spacing w:before="0" w:after="0"/>
              <w:rPr>
                <w:sz w:val="10"/>
                <w:szCs w:val="10"/>
              </w:rPr>
            </w:pPr>
          </w:p>
        </w:tc>
        <w:tc>
          <w:tcPr>
            <w:tcW w:w="0" w:type="auto"/>
            <w:shd w:val="clear" w:color="auto" w:fill="auto"/>
          </w:tcPr>
          <w:p w14:paraId="24004F6D" w14:textId="77777777" w:rsidR="008C5CFA" w:rsidRPr="001C4484" w:rsidRDefault="008C5CFA" w:rsidP="00300A01">
            <w:pPr>
              <w:spacing w:before="0" w:after="0"/>
              <w:rPr>
                <w:sz w:val="10"/>
                <w:szCs w:val="10"/>
              </w:rPr>
            </w:pPr>
          </w:p>
        </w:tc>
        <w:tc>
          <w:tcPr>
            <w:tcW w:w="0" w:type="auto"/>
            <w:shd w:val="clear" w:color="auto" w:fill="auto"/>
          </w:tcPr>
          <w:p w14:paraId="3AF3CBBC" w14:textId="77777777" w:rsidR="008C5CFA" w:rsidRPr="001C4484" w:rsidRDefault="008C5CFA" w:rsidP="00300A01">
            <w:pPr>
              <w:spacing w:before="0" w:after="0"/>
              <w:rPr>
                <w:sz w:val="10"/>
                <w:szCs w:val="10"/>
              </w:rPr>
            </w:pPr>
          </w:p>
        </w:tc>
        <w:tc>
          <w:tcPr>
            <w:tcW w:w="0" w:type="auto"/>
          </w:tcPr>
          <w:p w14:paraId="35DBBB8C" w14:textId="77777777" w:rsidR="008C5CFA" w:rsidRPr="001C4484" w:rsidRDefault="00E82A60" w:rsidP="00300A01">
            <w:pPr>
              <w:spacing w:before="0" w:after="0"/>
              <w:jc w:val="center"/>
              <w:rPr>
                <w:sz w:val="10"/>
                <w:szCs w:val="10"/>
              </w:rPr>
            </w:pPr>
            <w:r>
              <w:rPr>
                <w:noProof/>
                <w:sz w:val="10"/>
                <w:szCs w:val="10"/>
              </w:rPr>
              <w:t>Ogółem</w:t>
            </w:r>
          </w:p>
        </w:tc>
        <w:tc>
          <w:tcPr>
            <w:tcW w:w="0" w:type="auto"/>
            <w:shd w:val="clear" w:color="auto" w:fill="auto"/>
          </w:tcPr>
          <w:p w14:paraId="49B6B1F1" w14:textId="77777777" w:rsidR="008C5CFA" w:rsidRPr="001C4484" w:rsidRDefault="00E82A60" w:rsidP="00300A01">
            <w:pPr>
              <w:spacing w:before="0" w:after="0"/>
              <w:jc w:val="center"/>
              <w:rPr>
                <w:sz w:val="10"/>
                <w:szCs w:val="10"/>
              </w:rPr>
            </w:pPr>
            <w:r w:rsidRPr="001C4484">
              <w:rPr>
                <w:noProof/>
                <w:sz w:val="10"/>
                <w:szCs w:val="10"/>
              </w:rPr>
              <w:t>Mężczyźni</w:t>
            </w:r>
          </w:p>
        </w:tc>
        <w:tc>
          <w:tcPr>
            <w:tcW w:w="0" w:type="auto"/>
            <w:shd w:val="clear" w:color="auto" w:fill="auto"/>
          </w:tcPr>
          <w:p w14:paraId="00D53A5B" w14:textId="77777777" w:rsidR="008C5CFA" w:rsidRPr="001C4484" w:rsidRDefault="00E82A60" w:rsidP="00300A01">
            <w:pPr>
              <w:spacing w:before="0" w:after="0"/>
              <w:jc w:val="center"/>
              <w:rPr>
                <w:sz w:val="10"/>
                <w:szCs w:val="10"/>
              </w:rPr>
            </w:pPr>
            <w:r w:rsidRPr="001C4484">
              <w:rPr>
                <w:noProof/>
                <w:sz w:val="10"/>
                <w:szCs w:val="10"/>
              </w:rPr>
              <w:t>Kobiety</w:t>
            </w:r>
          </w:p>
        </w:tc>
        <w:tc>
          <w:tcPr>
            <w:tcW w:w="0" w:type="auto"/>
          </w:tcPr>
          <w:p w14:paraId="0F2C5355" w14:textId="77777777" w:rsidR="008C5CFA" w:rsidRPr="001C4484" w:rsidRDefault="00E82A60" w:rsidP="00300A01">
            <w:pPr>
              <w:spacing w:before="0" w:after="0"/>
              <w:jc w:val="center"/>
              <w:rPr>
                <w:sz w:val="10"/>
                <w:szCs w:val="10"/>
              </w:rPr>
            </w:pPr>
            <w:r>
              <w:rPr>
                <w:noProof/>
                <w:sz w:val="10"/>
                <w:szCs w:val="10"/>
              </w:rPr>
              <w:t>Ogółem</w:t>
            </w:r>
          </w:p>
        </w:tc>
        <w:tc>
          <w:tcPr>
            <w:tcW w:w="0" w:type="auto"/>
            <w:shd w:val="clear" w:color="auto" w:fill="auto"/>
          </w:tcPr>
          <w:p w14:paraId="3285A60B" w14:textId="77777777" w:rsidR="008C5CFA" w:rsidRPr="001C4484" w:rsidRDefault="00E82A60" w:rsidP="00300A01">
            <w:pPr>
              <w:spacing w:before="0" w:after="0"/>
              <w:jc w:val="center"/>
              <w:rPr>
                <w:sz w:val="10"/>
                <w:szCs w:val="10"/>
              </w:rPr>
            </w:pPr>
            <w:r w:rsidRPr="001C4484">
              <w:rPr>
                <w:noProof/>
                <w:sz w:val="10"/>
                <w:szCs w:val="10"/>
              </w:rPr>
              <w:t>Mężczyźni</w:t>
            </w:r>
          </w:p>
        </w:tc>
        <w:tc>
          <w:tcPr>
            <w:tcW w:w="0" w:type="auto"/>
            <w:shd w:val="clear" w:color="auto" w:fill="auto"/>
          </w:tcPr>
          <w:p w14:paraId="4C3FC1E2" w14:textId="77777777" w:rsidR="008C5CFA" w:rsidRPr="001C4484" w:rsidRDefault="00E82A60" w:rsidP="00300A01">
            <w:pPr>
              <w:spacing w:before="0" w:after="0"/>
              <w:jc w:val="center"/>
              <w:rPr>
                <w:sz w:val="10"/>
                <w:szCs w:val="10"/>
              </w:rPr>
            </w:pPr>
            <w:r w:rsidRPr="001C4484">
              <w:rPr>
                <w:noProof/>
                <w:sz w:val="10"/>
                <w:szCs w:val="10"/>
              </w:rPr>
              <w:t>Kobiety</w:t>
            </w:r>
          </w:p>
        </w:tc>
      </w:tr>
      <w:tr w:rsidR="006B2EC1" w14:paraId="5CCAF190" w14:textId="77777777" w:rsidTr="0047688D">
        <w:tc>
          <w:tcPr>
            <w:tcW w:w="0" w:type="auto"/>
            <w:shd w:val="clear" w:color="auto" w:fill="auto"/>
          </w:tcPr>
          <w:p w14:paraId="5AAF2E5F" w14:textId="77777777" w:rsidR="008C5CFA" w:rsidRPr="001C4484" w:rsidRDefault="00E82A60" w:rsidP="00300A01">
            <w:pPr>
              <w:spacing w:before="0" w:after="0"/>
              <w:rPr>
                <w:sz w:val="10"/>
                <w:szCs w:val="10"/>
                <w:lang w:val="fr-BE"/>
              </w:rPr>
            </w:pPr>
            <w:r w:rsidRPr="001C4484">
              <w:rPr>
                <w:noProof/>
                <w:sz w:val="10"/>
                <w:szCs w:val="10"/>
                <w:lang w:val="fr-BE"/>
              </w:rPr>
              <w:t>CO01</w:t>
            </w:r>
          </w:p>
        </w:tc>
        <w:tc>
          <w:tcPr>
            <w:tcW w:w="0" w:type="auto"/>
            <w:shd w:val="clear" w:color="auto" w:fill="auto"/>
          </w:tcPr>
          <w:p w14:paraId="0D92E861" w14:textId="77777777" w:rsidR="008C5CFA" w:rsidRPr="001C4484" w:rsidRDefault="00E82A60" w:rsidP="00300A01">
            <w:pPr>
              <w:spacing w:before="0" w:after="0"/>
              <w:rPr>
                <w:sz w:val="10"/>
                <w:szCs w:val="10"/>
                <w:lang w:val="fr-BE"/>
              </w:rPr>
            </w:pPr>
            <w:r w:rsidRPr="001C4484">
              <w:rPr>
                <w:noProof/>
                <w:sz w:val="10"/>
                <w:szCs w:val="10"/>
                <w:lang w:val="fr-BE"/>
              </w:rPr>
              <w:t>bezrobotni, w tym długotrwale bezrobotni</w:t>
            </w:r>
          </w:p>
        </w:tc>
        <w:tc>
          <w:tcPr>
            <w:tcW w:w="0" w:type="auto"/>
            <w:shd w:val="clear" w:color="auto" w:fill="auto"/>
          </w:tcPr>
          <w:p w14:paraId="57E97A00"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32FA24A6"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415CB531"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1C9FFE2E" w14:textId="77777777" w:rsidR="008C5CFA" w:rsidRPr="001C4484" w:rsidRDefault="00E82A60" w:rsidP="00300A01">
            <w:pPr>
              <w:spacing w:before="0" w:after="0"/>
              <w:jc w:val="right"/>
              <w:rPr>
                <w:sz w:val="10"/>
                <w:szCs w:val="10"/>
                <w:lang w:val="fr-BE"/>
              </w:rPr>
            </w:pPr>
            <w:r w:rsidRPr="001C4484">
              <w:rPr>
                <w:noProof/>
                <w:sz w:val="10"/>
                <w:szCs w:val="10"/>
              </w:rPr>
              <w:t>0,00</w:t>
            </w:r>
          </w:p>
        </w:tc>
        <w:tc>
          <w:tcPr>
            <w:tcW w:w="0" w:type="auto"/>
          </w:tcPr>
          <w:p w14:paraId="40E6FB56"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7844D6CC"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03F15809" w14:textId="77777777" w:rsidR="008C5CFA" w:rsidRPr="001C4484" w:rsidRDefault="00E82A60" w:rsidP="00300A01">
            <w:pPr>
              <w:spacing w:before="0" w:after="0"/>
              <w:jc w:val="right"/>
              <w:rPr>
                <w:sz w:val="10"/>
                <w:szCs w:val="10"/>
                <w:lang w:val="fr-BE"/>
              </w:rPr>
            </w:pPr>
            <w:r w:rsidRPr="001C4484">
              <w:rPr>
                <w:noProof/>
                <w:sz w:val="10"/>
                <w:szCs w:val="10"/>
                <w:lang w:val="fr-BE"/>
              </w:rPr>
              <w:t>0,00</w:t>
            </w:r>
          </w:p>
        </w:tc>
      </w:tr>
      <w:tr w:rsidR="006B2EC1" w14:paraId="13883588" w14:textId="77777777" w:rsidTr="0047688D">
        <w:tc>
          <w:tcPr>
            <w:tcW w:w="0" w:type="auto"/>
            <w:shd w:val="clear" w:color="auto" w:fill="auto"/>
          </w:tcPr>
          <w:p w14:paraId="70A2062A" w14:textId="77777777" w:rsidR="008C5CFA" w:rsidRPr="001C4484" w:rsidRDefault="00E82A60" w:rsidP="00300A01">
            <w:pPr>
              <w:spacing w:before="0" w:after="0"/>
              <w:rPr>
                <w:sz w:val="10"/>
                <w:szCs w:val="10"/>
                <w:lang w:val="fr-BE"/>
              </w:rPr>
            </w:pPr>
            <w:r w:rsidRPr="001C4484">
              <w:rPr>
                <w:noProof/>
                <w:sz w:val="10"/>
                <w:szCs w:val="10"/>
                <w:lang w:val="fr-BE"/>
              </w:rPr>
              <w:t>CO02</w:t>
            </w:r>
          </w:p>
        </w:tc>
        <w:tc>
          <w:tcPr>
            <w:tcW w:w="0" w:type="auto"/>
            <w:shd w:val="clear" w:color="auto" w:fill="auto"/>
          </w:tcPr>
          <w:p w14:paraId="12D365D5" w14:textId="77777777" w:rsidR="008C5CFA" w:rsidRPr="001C4484" w:rsidRDefault="00E82A60" w:rsidP="00300A01">
            <w:pPr>
              <w:spacing w:before="0" w:after="0"/>
              <w:rPr>
                <w:sz w:val="10"/>
                <w:szCs w:val="10"/>
                <w:lang w:val="fr-BE"/>
              </w:rPr>
            </w:pPr>
            <w:r w:rsidRPr="001C4484">
              <w:rPr>
                <w:noProof/>
                <w:sz w:val="10"/>
                <w:szCs w:val="10"/>
                <w:lang w:val="fr-BE"/>
              </w:rPr>
              <w:t>długotrwale bezrobotni</w:t>
            </w:r>
          </w:p>
        </w:tc>
        <w:tc>
          <w:tcPr>
            <w:tcW w:w="0" w:type="auto"/>
            <w:shd w:val="clear" w:color="auto" w:fill="auto"/>
          </w:tcPr>
          <w:p w14:paraId="52F6577F"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4F87890A"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1DA11FAC"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4948D78F" w14:textId="77777777" w:rsidR="008C5CFA" w:rsidRPr="001C4484" w:rsidRDefault="00E82A60" w:rsidP="00300A01">
            <w:pPr>
              <w:spacing w:before="0" w:after="0"/>
              <w:jc w:val="right"/>
              <w:rPr>
                <w:sz w:val="10"/>
                <w:szCs w:val="10"/>
                <w:lang w:val="fr-BE"/>
              </w:rPr>
            </w:pPr>
            <w:r w:rsidRPr="001C4484">
              <w:rPr>
                <w:noProof/>
                <w:sz w:val="10"/>
                <w:szCs w:val="10"/>
              </w:rPr>
              <w:t>0,00</w:t>
            </w:r>
          </w:p>
        </w:tc>
        <w:tc>
          <w:tcPr>
            <w:tcW w:w="0" w:type="auto"/>
          </w:tcPr>
          <w:p w14:paraId="0A826D22"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48A15F35"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71CE5462" w14:textId="77777777" w:rsidR="008C5CFA" w:rsidRPr="001C4484" w:rsidRDefault="00E82A60" w:rsidP="00300A01">
            <w:pPr>
              <w:spacing w:before="0" w:after="0"/>
              <w:jc w:val="right"/>
              <w:rPr>
                <w:sz w:val="10"/>
                <w:szCs w:val="10"/>
                <w:lang w:val="fr-BE"/>
              </w:rPr>
            </w:pPr>
            <w:r w:rsidRPr="001C4484">
              <w:rPr>
                <w:noProof/>
                <w:sz w:val="10"/>
                <w:szCs w:val="10"/>
                <w:lang w:val="fr-BE"/>
              </w:rPr>
              <w:t>0,00</w:t>
            </w:r>
          </w:p>
        </w:tc>
      </w:tr>
      <w:tr w:rsidR="006B2EC1" w14:paraId="7EB7704E" w14:textId="77777777" w:rsidTr="0047688D">
        <w:tc>
          <w:tcPr>
            <w:tcW w:w="0" w:type="auto"/>
            <w:shd w:val="clear" w:color="auto" w:fill="auto"/>
          </w:tcPr>
          <w:p w14:paraId="6B7A54AE" w14:textId="77777777" w:rsidR="008C5CFA" w:rsidRPr="001C4484" w:rsidRDefault="00E82A60" w:rsidP="00300A01">
            <w:pPr>
              <w:spacing w:before="0" w:after="0"/>
              <w:rPr>
                <w:sz w:val="10"/>
                <w:szCs w:val="10"/>
                <w:lang w:val="fr-BE"/>
              </w:rPr>
            </w:pPr>
            <w:r w:rsidRPr="001C4484">
              <w:rPr>
                <w:noProof/>
                <w:sz w:val="10"/>
                <w:szCs w:val="10"/>
                <w:lang w:val="fr-BE"/>
              </w:rPr>
              <w:t>CO03</w:t>
            </w:r>
          </w:p>
        </w:tc>
        <w:tc>
          <w:tcPr>
            <w:tcW w:w="0" w:type="auto"/>
            <w:shd w:val="clear" w:color="auto" w:fill="auto"/>
          </w:tcPr>
          <w:p w14:paraId="4F0F92D8" w14:textId="77777777" w:rsidR="008C5CFA" w:rsidRPr="001C4484" w:rsidRDefault="00E82A60" w:rsidP="00300A01">
            <w:pPr>
              <w:spacing w:before="0" w:after="0"/>
              <w:rPr>
                <w:sz w:val="10"/>
                <w:szCs w:val="10"/>
                <w:lang w:val="fr-BE"/>
              </w:rPr>
            </w:pPr>
            <w:r w:rsidRPr="001C4484">
              <w:rPr>
                <w:noProof/>
                <w:sz w:val="10"/>
                <w:szCs w:val="10"/>
                <w:lang w:val="fr-BE"/>
              </w:rPr>
              <w:t>osoby bierne zawodowo</w:t>
            </w:r>
          </w:p>
        </w:tc>
        <w:tc>
          <w:tcPr>
            <w:tcW w:w="0" w:type="auto"/>
            <w:shd w:val="clear" w:color="auto" w:fill="auto"/>
          </w:tcPr>
          <w:p w14:paraId="23813738"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2F303583" w14:textId="77777777" w:rsidR="008C5CFA" w:rsidRPr="001C4484" w:rsidRDefault="00E82A60" w:rsidP="00300A01">
            <w:pPr>
              <w:spacing w:before="0" w:after="0"/>
              <w:jc w:val="right"/>
              <w:rPr>
                <w:sz w:val="10"/>
                <w:szCs w:val="10"/>
              </w:rPr>
            </w:pPr>
            <w:r>
              <w:rPr>
                <w:noProof/>
                <w:sz w:val="10"/>
                <w:szCs w:val="10"/>
              </w:rPr>
              <w:t>18,00</w:t>
            </w:r>
          </w:p>
        </w:tc>
        <w:tc>
          <w:tcPr>
            <w:tcW w:w="0" w:type="auto"/>
            <w:shd w:val="clear" w:color="auto" w:fill="auto"/>
          </w:tcPr>
          <w:p w14:paraId="6781B815" w14:textId="77777777" w:rsidR="008C5CFA" w:rsidRPr="001C4484" w:rsidRDefault="00E82A60" w:rsidP="00300A01">
            <w:pPr>
              <w:spacing w:before="0" w:after="0"/>
              <w:jc w:val="right"/>
              <w:rPr>
                <w:sz w:val="10"/>
                <w:szCs w:val="10"/>
              </w:rPr>
            </w:pPr>
            <w:r w:rsidRPr="001C4484">
              <w:rPr>
                <w:noProof/>
                <w:sz w:val="10"/>
                <w:szCs w:val="10"/>
              </w:rPr>
              <w:t>13,00</w:t>
            </w:r>
          </w:p>
        </w:tc>
        <w:tc>
          <w:tcPr>
            <w:tcW w:w="0" w:type="auto"/>
            <w:shd w:val="clear" w:color="auto" w:fill="auto"/>
          </w:tcPr>
          <w:p w14:paraId="767FE121" w14:textId="77777777" w:rsidR="008C5CFA" w:rsidRPr="001C4484" w:rsidRDefault="00E82A60" w:rsidP="00300A01">
            <w:pPr>
              <w:spacing w:before="0" w:after="0"/>
              <w:jc w:val="right"/>
              <w:rPr>
                <w:sz w:val="10"/>
                <w:szCs w:val="10"/>
                <w:lang w:val="fr-BE"/>
              </w:rPr>
            </w:pPr>
            <w:r w:rsidRPr="001C4484">
              <w:rPr>
                <w:noProof/>
                <w:sz w:val="10"/>
                <w:szCs w:val="10"/>
              </w:rPr>
              <w:t>5,00</w:t>
            </w:r>
          </w:p>
        </w:tc>
        <w:tc>
          <w:tcPr>
            <w:tcW w:w="0" w:type="auto"/>
          </w:tcPr>
          <w:p w14:paraId="22ECB796"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6E4BAE10"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68617AF8" w14:textId="77777777" w:rsidR="008C5CFA" w:rsidRPr="001C4484" w:rsidRDefault="00E82A60" w:rsidP="00300A01">
            <w:pPr>
              <w:spacing w:before="0" w:after="0"/>
              <w:jc w:val="right"/>
              <w:rPr>
                <w:sz w:val="10"/>
                <w:szCs w:val="10"/>
                <w:lang w:val="fr-BE"/>
              </w:rPr>
            </w:pPr>
            <w:r w:rsidRPr="001C4484">
              <w:rPr>
                <w:noProof/>
                <w:sz w:val="10"/>
                <w:szCs w:val="10"/>
                <w:lang w:val="fr-BE"/>
              </w:rPr>
              <w:t>0,00</w:t>
            </w:r>
          </w:p>
        </w:tc>
      </w:tr>
      <w:tr w:rsidR="006B2EC1" w14:paraId="55EFE4D3" w14:textId="77777777" w:rsidTr="0047688D">
        <w:tc>
          <w:tcPr>
            <w:tcW w:w="0" w:type="auto"/>
            <w:shd w:val="clear" w:color="auto" w:fill="auto"/>
          </w:tcPr>
          <w:p w14:paraId="5E5C55F9" w14:textId="77777777" w:rsidR="008C5CFA" w:rsidRPr="001C4484" w:rsidRDefault="00E82A60" w:rsidP="00300A01">
            <w:pPr>
              <w:spacing w:before="0" w:after="0"/>
              <w:rPr>
                <w:sz w:val="10"/>
                <w:szCs w:val="10"/>
                <w:lang w:val="fr-BE"/>
              </w:rPr>
            </w:pPr>
            <w:r w:rsidRPr="001C4484">
              <w:rPr>
                <w:noProof/>
                <w:sz w:val="10"/>
                <w:szCs w:val="10"/>
                <w:lang w:val="fr-BE"/>
              </w:rPr>
              <w:t>CO04</w:t>
            </w:r>
          </w:p>
        </w:tc>
        <w:tc>
          <w:tcPr>
            <w:tcW w:w="0" w:type="auto"/>
            <w:shd w:val="clear" w:color="auto" w:fill="auto"/>
          </w:tcPr>
          <w:p w14:paraId="175B1231" w14:textId="77777777" w:rsidR="008C5CFA" w:rsidRPr="001C4484" w:rsidRDefault="00E82A60" w:rsidP="00300A01">
            <w:pPr>
              <w:spacing w:before="0" w:after="0"/>
              <w:rPr>
                <w:sz w:val="10"/>
                <w:szCs w:val="10"/>
                <w:lang w:val="fr-BE"/>
              </w:rPr>
            </w:pPr>
            <w:r w:rsidRPr="001C4484">
              <w:rPr>
                <w:noProof/>
                <w:sz w:val="10"/>
                <w:szCs w:val="10"/>
                <w:lang w:val="fr-BE"/>
              </w:rPr>
              <w:t>osoby bierne zawodowo, nieuczestniczące w kształceniu ani szkoleniu</w:t>
            </w:r>
          </w:p>
        </w:tc>
        <w:tc>
          <w:tcPr>
            <w:tcW w:w="0" w:type="auto"/>
            <w:shd w:val="clear" w:color="auto" w:fill="auto"/>
          </w:tcPr>
          <w:p w14:paraId="1BD5A863"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6EA9957C"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7AD8A6BC"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648181B1" w14:textId="77777777" w:rsidR="008C5CFA" w:rsidRPr="001C4484" w:rsidRDefault="00E82A60" w:rsidP="00300A01">
            <w:pPr>
              <w:spacing w:before="0" w:after="0"/>
              <w:jc w:val="right"/>
              <w:rPr>
                <w:sz w:val="10"/>
                <w:szCs w:val="10"/>
                <w:lang w:val="fr-BE"/>
              </w:rPr>
            </w:pPr>
            <w:r w:rsidRPr="001C4484">
              <w:rPr>
                <w:noProof/>
                <w:sz w:val="10"/>
                <w:szCs w:val="10"/>
              </w:rPr>
              <w:t>0,00</w:t>
            </w:r>
          </w:p>
        </w:tc>
        <w:tc>
          <w:tcPr>
            <w:tcW w:w="0" w:type="auto"/>
          </w:tcPr>
          <w:p w14:paraId="575945D5"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16D8D0C0"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16CD1D76" w14:textId="77777777" w:rsidR="008C5CFA" w:rsidRPr="001C4484" w:rsidRDefault="00E82A60" w:rsidP="00300A01">
            <w:pPr>
              <w:spacing w:before="0" w:after="0"/>
              <w:jc w:val="right"/>
              <w:rPr>
                <w:sz w:val="10"/>
                <w:szCs w:val="10"/>
                <w:lang w:val="fr-BE"/>
              </w:rPr>
            </w:pPr>
            <w:r w:rsidRPr="001C4484">
              <w:rPr>
                <w:noProof/>
                <w:sz w:val="10"/>
                <w:szCs w:val="10"/>
                <w:lang w:val="fr-BE"/>
              </w:rPr>
              <w:t>0,00</w:t>
            </w:r>
          </w:p>
        </w:tc>
      </w:tr>
      <w:tr w:rsidR="006B2EC1" w14:paraId="5127FA0E" w14:textId="77777777" w:rsidTr="0047688D">
        <w:tc>
          <w:tcPr>
            <w:tcW w:w="0" w:type="auto"/>
            <w:shd w:val="clear" w:color="auto" w:fill="auto"/>
          </w:tcPr>
          <w:p w14:paraId="6F2A4BE4" w14:textId="77777777" w:rsidR="008C5CFA" w:rsidRPr="001C4484" w:rsidRDefault="00E82A60" w:rsidP="00300A01">
            <w:pPr>
              <w:spacing w:before="0" w:after="0"/>
              <w:rPr>
                <w:sz w:val="10"/>
                <w:szCs w:val="10"/>
                <w:lang w:val="fr-BE"/>
              </w:rPr>
            </w:pPr>
            <w:r w:rsidRPr="001C4484">
              <w:rPr>
                <w:noProof/>
                <w:sz w:val="10"/>
                <w:szCs w:val="10"/>
                <w:lang w:val="fr-BE"/>
              </w:rPr>
              <w:lastRenderedPageBreak/>
              <w:t>CO05</w:t>
            </w:r>
          </w:p>
        </w:tc>
        <w:tc>
          <w:tcPr>
            <w:tcW w:w="0" w:type="auto"/>
            <w:shd w:val="clear" w:color="auto" w:fill="auto"/>
          </w:tcPr>
          <w:p w14:paraId="44AE507B" w14:textId="77777777" w:rsidR="008C5CFA" w:rsidRPr="001C4484" w:rsidRDefault="00E82A60" w:rsidP="00300A01">
            <w:pPr>
              <w:spacing w:before="0" w:after="0"/>
              <w:rPr>
                <w:sz w:val="10"/>
                <w:szCs w:val="10"/>
                <w:lang w:val="fr-BE"/>
              </w:rPr>
            </w:pPr>
            <w:r w:rsidRPr="001C4484">
              <w:rPr>
                <w:noProof/>
                <w:sz w:val="10"/>
                <w:szCs w:val="10"/>
                <w:lang w:val="fr-BE"/>
              </w:rPr>
              <w:t>osoby pracujące, łącznie z prowadzącymi działalność na własny rachunek</w:t>
            </w:r>
          </w:p>
        </w:tc>
        <w:tc>
          <w:tcPr>
            <w:tcW w:w="0" w:type="auto"/>
            <w:shd w:val="clear" w:color="auto" w:fill="auto"/>
          </w:tcPr>
          <w:p w14:paraId="6E5252D3"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6740682E"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2CE98C8C"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16C1968D" w14:textId="77777777" w:rsidR="008C5CFA" w:rsidRPr="001C4484" w:rsidRDefault="00E82A60" w:rsidP="00300A01">
            <w:pPr>
              <w:spacing w:before="0" w:after="0"/>
              <w:jc w:val="right"/>
              <w:rPr>
                <w:sz w:val="10"/>
                <w:szCs w:val="10"/>
                <w:lang w:val="fr-BE"/>
              </w:rPr>
            </w:pPr>
            <w:r w:rsidRPr="001C4484">
              <w:rPr>
                <w:noProof/>
                <w:sz w:val="10"/>
                <w:szCs w:val="10"/>
              </w:rPr>
              <w:t>0,00</w:t>
            </w:r>
          </w:p>
        </w:tc>
        <w:tc>
          <w:tcPr>
            <w:tcW w:w="0" w:type="auto"/>
          </w:tcPr>
          <w:p w14:paraId="1BB961D6"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31EB1494"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22813055" w14:textId="77777777" w:rsidR="008C5CFA" w:rsidRPr="001C4484" w:rsidRDefault="00E82A60" w:rsidP="00300A01">
            <w:pPr>
              <w:spacing w:before="0" w:after="0"/>
              <w:jc w:val="right"/>
              <w:rPr>
                <w:sz w:val="10"/>
                <w:szCs w:val="10"/>
                <w:lang w:val="fr-BE"/>
              </w:rPr>
            </w:pPr>
            <w:r w:rsidRPr="001C4484">
              <w:rPr>
                <w:noProof/>
                <w:sz w:val="10"/>
                <w:szCs w:val="10"/>
                <w:lang w:val="fr-BE"/>
              </w:rPr>
              <w:t>0,00</w:t>
            </w:r>
          </w:p>
        </w:tc>
      </w:tr>
      <w:tr w:rsidR="006B2EC1" w14:paraId="370F5C29" w14:textId="77777777" w:rsidTr="0047688D">
        <w:tc>
          <w:tcPr>
            <w:tcW w:w="0" w:type="auto"/>
            <w:shd w:val="clear" w:color="auto" w:fill="auto"/>
          </w:tcPr>
          <w:p w14:paraId="05B0C860" w14:textId="77777777" w:rsidR="008C5CFA" w:rsidRPr="001C4484" w:rsidRDefault="00E82A60" w:rsidP="00300A01">
            <w:pPr>
              <w:spacing w:before="0" w:after="0"/>
              <w:rPr>
                <w:sz w:val="10"/>
                <w:szCs w:val="10"/>
                <w:lang w:val="fr-BE"/>
              </w:rPr>
            </w:pPr>
            <w:r w:rsidRPr="001C4484">
              <w:rPr>
                <w:noProof/>
                <w:sz w:val="10"/>
                <w:szCs w:val="10"/>
                <w:lang w:val="fr-BE"/>
              </w:rPr>
              <w:t>CO06</w:t>
            </w:r>
          </w:p>
        </w:tc>
        <w:tc>
          <w:tcPr>
            <w:tcW w:w="0" w:type="auto"/>
            <w:shd w:val="clear" w:color="auto" w:fill="auto"/>
          </w:tcPr>
          <w:p w14:paraId="6A03C3D1" w14:textId="77777777" w:rsidR="008C5CFA" w:rsidRPr="001C4484" w:rsidRDefault="00E82A60" w:rsidP="00300A01">
            <w:pPr>
              <w:spacing w:before="0" w:after="0"/>
              <w:rPr>
                <w:sz w:val="10"/>
                <w:szCs w:val="10"/>
                <w:lang w:val="fr-BE"/>
              </w:rPr>
            </w:pPr>
            <w:r w:rsidRPr="001C4484">
              <w:rPr>
                <w:noProof/>
                <w:sz w:val="10"/>
                <w:szCs w:val="10"/>
                <w:lang w:val="fr-BE"/>
              </w:rPr>
              <w:t>osoby w wieku poniżej 25 lat</w:t>
            </w:r>
          </w:p>
        </w:tc>
        <w:tc>
          <w:tcPr>
            <w:tcW w:w="0" w:type="auto"/>
            <w:shd w:val="clear" w:color="auto" w:fill="auto"/>
          </w:tcPr>
          <w:p w14:paraId="2D7C2AEE"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0F87A58F" w14:textId="77777777" w:rsidR="008C5CFA" w:rsidRPr="001C4484" w:rsidRDefault="00E82A60" w:rsidP="00300A01">
            <w:pPr>
              <w:spacing w:before="0" w:after="0"/>
              <w:jc w:val="right"/>
              <w:rPr>
                <w:sz w:val="10"/>
                <w:szCs w:val="10"/>
              </w:rPr>
            </w:pPr>
            <w:r>
              <w:rPr>
                <w:noProof/>
                <w:sz w:val="10"/>
                <w:szCs w:val="10"/>
              </w:rPr>
              <w:t>18,00</w:t>
            </w:r>
          </w:p>
        </w:tc>
        <w:tc>
          <w:tcPr>
            <w:tcW w:w="0" w:type="auto"/>
            <w:shd w:val="clear" w:color="auto" w:fill="auto"/>
          </w:tcPr>
          <w:p w14:paraId="61E72228" w14:textId="77777777" w:rsidR="008C5CFA" w:rsidRPr="001C4484" w:rsidRDefault="00E82A60" w:rsidP="00300A01">
            <w:pPr>
              <w:spacing w:before="0" w:after="0"/>
              <w:jc w:val="right"/>
              <w:rPr>
                <w:sz w:val="10"/>
                <w:szCs w:val="10"/>
              </w:rPr>
            </w:pPr>
            <w:r w:rsidRPr="001C4484">
              <w:rPr>
                <w:noProof/>
                <w:sz w:val="10"/>
                <w:szCs w:val="10"/>
              </w:rPr>
              <w:t>13,00</w:t>
            </w:r>
          </w:p>
        </w:tc>
        <w:tc>
          <w:tcPr>
            <w:tcW w:w="0" w:type="auto"/>
            <w:shd w:val="clear" w:color="auto" w:fill="auto"/>
          </w:tcPr>
          <w:p w14:paraId="7B16561C" w14:textId="77777777" w:rsidR="008C5CFA" w:rsidRPr="001C4484" w:rsidRDefault="00E82A60" w:rsidP="00300A01">
            <w:pPr>
              <w:spacing w:before="0" w:after="0"/>
              <w:jc w:val="right"/>
              <w:rPr>
                <w:sz w:val="10"/>
                <w:szCs w:val="10"/>
                <w:lang w:val="fr-BE"/>
              </w:rPr>
            </w:pPr>
            <w:r w:rsidRPr="001C4484">
              <w:rPr>
                <w:noProof/>
                <w:sz w:val="10"/>
                <w:szCs w:val="10"/>
              </w:rPr>
              <w:t>5,00</w:t>
            </w:r>
          </w:p>
        </w:tc>
        <w:tc>
          <w:tcPr>
            <w:tcW w:w="0" w:type="auto"/>
          </w:tcPr>
          <w:p w14:paraId="22F25A7F"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46868A63"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3277C00C" w14:textId="77777777" w:rsidR="008C5CFA" w:rsidRPr="001C4484" w:rsidRDefault="00E82A60" w:rsidP="00300A01">
            <w:pPr>
              <w:spacing w:before="0" w:after="0"/>
              <w:jc w:val="right"/>
              <w:rPr>
                <w:sz w:val="10"/>
                <w:szCs w:val="10"/>
                <w:lang w:val="fr-BE"/>
              </w:rPr>
            </w:pPr>
            <w:r w:rsidRPr="001C4484">
              <w:rPr>
                <w:noProof/>
                <w:sz w:val="10"/>
                <w:szCs w:val="10"/>
                <w:lang w:val="fr-BE"/>
              </w:rPr>
              <w:t>0,00</w:t>
            </w:r>
          </w:p>
        </w:tc>
      </w:tr>
      <w:tr w:rsidR="006B2EC1" w14:paraId="31C936FB" w14:textId="77777777" w:rsidTr="0047688D">
        <w:tc>
          <w:tcPr>
            <w:tcW w:w="0" w:type="auto"/>
            <w:shd w:val="clear" w:color="auto" w:fill="auto"/>
          </w:tcPr>
          <w:p w14:paraId="634F5587" w14:textId="77777777" w:rsidR="008C5CFA" w:rsidRPr="001C4484" w:rsidRDefault="00E82A60" w:rsidP="00300A01">
            <w:pPr>
              <w:spacing w:before="0" w:after="0"/>
              <w:rPr>
                <w:sz w:val="10"/>
                <w:szCs w:val="10"/>
                <w:lang w:val="fr-BE"/>
              </w:rPr>
            </w:pPr>
            <w:r w:rsidRPr="001C4484">
              <w:rPr>
                <w:noProof/>
                <w:sz w:val="10"/>
                <w:szCs w:val="10"/>
                <w:lang w:val="fr-BE"/>
              </w:rPr>
              <w:t>CO07</w:t>
            </w:r>
          </w:p>
        </w:tc>
        <w:tc>
          <w:tcPr>
            <w:tcW w:w="0" w:type="auto"/>
            <w:shd w:val="clear" w:color="auto" w:fill="auto"/>
          </w:tcPr>
          <w:p w14:paraId="75910491" w14:textId="77777777" w:rsidR="008C5CFA" w:rsidRPr="001C4484" w:rsidRDefault="00E82A60" w:rsidP="00300A01">
            <w:pPr>
              <w:spacing w:before="0" w:after="0"/>
              <w:rPr>
                <w:sz w:val="10"/>
                <w:szCs w:val="10"/>
                <w:lang w:val="fr-BE"/>
              </w:rPr>
            </w:pPr>
            <w:r w:rsidRPr="001C4484">
              <w:rPr>
                <w:noProof/>
                <w:sz w:val="10"/>
                <w:szCs w:val="10"/>
                <w:lang w:val="fr-BE"/>
              </w:rPr>
              <w:t>osoby w wieku powyżej 54 lat</w:t>
            </w:r>
          </w:p>
        </w:tc>
        <w:tc>
          <w:tcPr>
            <w:tcW w:w="0" w:type="auto"/>
            <w:shd w:val="clear" w:color="auto" w:fill="auto"/>
          </w:tcPr>
          <w:p w14:paraId="5769176D"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75B48809"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29D3C080"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3B8CB276" w14:textId="77777777" w:rsidR="008C5CFA" w:rsidRPr="001C4484" w:rsidRDefault="00E82A60" w:rsidP="00300A01">
            <w:pPr>
              <w:spacing w:before="0" w:after="0"/>
              <w:jc w:val="right"/>
              <w:rPr>
                <w:sz w:val="10"/>
                <w:szCs w:val="10"/>
                <w:lang w:val="fr-BE"/>
              </w:rPr>
            </w:pPr>
            <w:r w:rsidRPr="001C4484">
              <w:rPr>
                <w:noProof/>
                <w:sz w:val="10"/>
                <w:szCs w:val="10"/>
              </w:rPr>
              <w:t>0,00</w:t>
            </w:r>
          </w:p>
        </w:tc>
        <w:tc>
          <w:tcPr>
            <w:tcW w:w="0" w:type="auto"/>
          </w:tcPr>
          <w:p w14:paraId="1FA7290B"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6ADE4C1B"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6D1AA217" w14:textId="77777777" w:rsidR="008C5CFA" w:rsidRPr="001C4484" w:rsidRDefault="00E82A60" w:rsidP="00300A01">
            <w:pPr>
              <w:spacing w:before="0" w:after="0"/>
              <w:jc w:val="right"/>
              <w:rPr>
                <w:sz w:val="10"/>
                <w:szCs w:val="10"/>
                <w:lang w:val="fr-BE"/>
              </w:rPr>
            </w:pPr>
            <w:r w:rsidRPr="001C4484">
              <w:rPr>
                <w:noProof/>
                <w:sz w:val="10"/>
                <w:szCs w:val="10"/>
                <w:lang w:val="fr-BE"/>
              </w:rPr>
              <w:t>0,00</w:t>
            </w:r>
          </w:p>
        </w:tc>
      </w:tr>
      <w:tr w:rsidR="006B2EC1" w14:paraId="13DF1933" w14:textId="77777777" w:rsidTr="0047688D">
        <w:tc>
          <w:tcPr>
            <w:tcW w:w="0" w:type="auto"/>
            <w:shd w:val="clear" w:color="auto" w:fill="auto"/>
          </w:tcPr>
          <w:p w14:paraId="0F4F00F2" w14:textId="77777777" w:rsidR="008C5CFA" w:rsidRPr="001C4484" w:rsidRDefault="00E82A60" w:rsidP="00300A01">
            <w:pPr>
              <w:spacing w:before="0" w:after="0"/>
              <w:rPr>
                <w:sz w:val="10"/>
                <w:szCs w:val="10"/>
                <w:lang w:val="fr-BE"/>
              </w:rPr>
            </w:pPr>
            <w:r w:rsidRPr="001C4484">
              <w:rPr>
                <w:noProof/>
                <w:sz w:val="10"/>
                <w:szCs w:val="10"/>
                <w:lang w:val="fr-BE"/>
              </w:rPr>
              <w:t>CO08</w:t>
            </w:r>
          </w:p>
        </w:tc>
        <w:tc>
          <w:tcPr>
            <w:tcW w:w="0" w:type="auto"/>
            <w:shd w:val="clear" w:color="auto" w:fill="auto"/>
          </w:tcPr>
          <w:p w14:paraId="64E3FB82" w14:textId="77777777" w:rsidR="008C5CFA" w:rsidRPr="001C4484" w:rsidRDefault="00E82A60" w:rsidP="00300A01">
            <w:pPr>
              <w:spacing w:before="0" w:after="0"/>
              <w:rPr>
                <w:sz w:val="10"/>
                <w:szCs w:val="10"/>
                <w:lang w:val="fr-BE"/>
              </w:rPr>
            </w:pPr>
            <w:r w:rsidRPr="001C4484">
              <w:rPr>
                <w:noProof/>
                <w:sz w:val="10"/>
                <w:szCs w:val="10"/>
                <w:lang w:val="fr-BE"/>
              </w:rPr>
              <w:t>osoby powyżej 54 lat, które są bezrobotne, łącznie z długotrwale bezrobotnymi, lub są bierne zawodowo i nie uczestniczą w kształceniu ani szkoleniu</w:t>
            </w:r>
          </w:p>
        </w:tc>
        <w:tc>
          <w:tcPr>
            <w:tcW w:w="0" w:type="auto"/>
            <w:shd w:val="clear" w:color="auto" w:fill="auto"/>
          </w:tcPr>
          <w:p w14:paraId="1934A1E4"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13335E61"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34B86BB5"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2208C8A3" w14:textId="77777777" w:rsidR="008C5CFA" w:rsidRPr="001C4484" w:rsidRDefault="00E82A60" w:rsidP="00300A01">
            <w:pPr>
              <w:spacing w:before="0" w:after="0"/>
              <w:jc w:val="right"/>
              <w:rPr>
                <w:sz w:val="10"/>
                <w:szCs w:val="10"/>
                <w:lang w:val="fr-BE"/>
              </w:rPr>
            </w:pPr>
            <w:r w:rsidRPr="001C4484">
              <w:rPr>
                <w:noProof/>
                <w:sz w:val="10"/>
                <w:szCs w:val="10"/>
              </w:rPr>
              <w:t>0,00</w:t>
            </w:r>
          </w:p>
        </w:tc>
        <w:tc>
          <w:tcPr>
            <w:tcW w:w="0" w:type="auto"/>
          </w:tcPr>
          <w:p w14:paraId="4605CC70"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6780B981"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50597B61" w14:textId="77777777" w:rsidR="008C5CFA" w:rsidRPr="001C4484" w:rsidRDefault="00E82A60" w:rsidP="00300A01">
            <w:pPr>
              <w:spacing w:before="0" w:after="0"/>
              <w:jc w:val="right"/>
              <w:rPr>
                <w:sz w:val="10"/>
                <w:szCs w:val="10"/>
                <w:lang w:val="fr-BE"/>
              </w:rPr>
            </w:pPr>
            <w:r w:rsidRPr="001C4484">
              <w:rPr>
                <w:noProof/>
                <w:sz w:val="10"/>
                <w:szCs w:val="10"/>
                <w:lang w:val="fr-BE"/>
              </w:rPr>
              <w:t>0,00</w:t>
            </w:r>
          </w:p>
        </w:tc>
      </w:tr>
      <w:tr w:rsidR="006B2EC1" w14:paraId="505058A6" w14:textId="77777777" w:rsidTr="0047688D">
        <w:tc>
          <w:tcPr>
            <w:tcW w:w="0" w:type="auto"/>
            <w:shd w:val="clear" w:color="auto" w:fill="auto"/>
          </w:tcPr>
          <w:p w14:paraId="70D66EA6" w14:textId="77777777" w:rsidR="008C5CFA" w:rsidRPr="001C4484" w:rsidRDefault="00E82A60" w:rsidP="00300A01">
            <w:pPr>
              <w:spacing w:before="0" w:after="0"/>
              <w:rPr>
                <w:sz w:val="10"/>
                <w:szCs w:val="10"/>
                <w:lang w:val="fr-BE"/>
              </w:rPr>
            </w:pPr>
            <w:r w:rsidRPr="001C4484">
              <w:rPr>
                <w:noProof/>
                <w:sz w:val="10"/>
                <w:szCs w:val="10"/>
                <w:lang w:val="fr-BE"/>
              </w:rPr>
              <w:t>CO09</w:t>
            </w:r>
          </w:p>
        </w:tc>
        <w:tc>
          <w:tcPr>
            <w:tcW w:w="0" w:type="auto"/>
            <w:shd w:val="clear" w:color="auto" w:fill="auto"/>
          </w:tcPr>
          <w:p w14:paraId="6D5FCE30" w14:textId="77777777" w:rsidR="008C5CFA" w:rsidRPr="001C4484" w:rsidRDefault="00E82A60" w:rsidP="00300A01">
            <w:pPr>
              <w:spacing w:before="0" w:after="0"/>
              <w:rPr>
                <w:sz w:val="10"/>
                <w:szCs w:val="10"/>
                <w:lang w:val="fr-BE"/>
              </w:rPr>
            </w:pPr>
            <w:r w:rsidRPr="001C4484">
              <w:rPr>
                <w:noProof/>
                <w:sz w:val="10"/>
                <w:szCs w:val="10"/>
                <w:lang w:val="fr-BE"/>
              </w:rPr>
              <w:t>osoby z wykształceniem podstawowym (ISCED 1) lub średnim I stopnia (ISCED 2)</w:t>
            </w:r>
          </w:p>
        </w:tc>
        <w:tc>
          <w:tcPr>
            <w:tcW w:w="0" w:type="auto"/>
            <w:shd w:val="clear" w:color="auto" w:fill="auto"/>
          </w:tcPr>
          <w:p w14:paraId="0F75F942"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3BE80928"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4FB41581"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4AA9C4C3" w14:textId="77777777" w:rsidR="008C5CFA" w:rsidRPr="001C4484" w:rsidRDefault="00E82A60" w:rsidP="00300A01">
            <w:pPr>
              <w:spacing w:before="0" w:after="0"/>
              <w:jc w:val="right"/>
              <w:rPr>
                <w:sz w:val="10"/>
                <w:szCs w:val="10"/>
                <w:lang w:val="fr-BE"/>
              </w:rPr>
            </w:pPr>
            <w:r w:rsidRPr="001C4484">
              <w:rPr>
                <w:noProof/>
                <w:sz w:val="10"/>
                <w:szCs w:val="10"/>
              </w:rPr>
              <w:t>0,00</w:t>
            </w:r>
          </w:p>
        </w:tc>
        <w:tc>
          <w:tcPr>
            <w:tcW w:w="0" w:type="auto"/>
          </w:tcPr>
          <w:p w14:paraId="6DEE50F1"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6AA4212A"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35992C96" w14:textId="77777777" w:rsidR="008C5CFA" w:rsidRPr="001C4484" w:rsidRDefault="00E82A60" w:rsidP="00300A01">
            <w:pPr>
              <w:spacing w:before="0" w:after="0"/>
              <w:jc w:val="right"/>
              <w:rPr>
                <w:sz w:val="10"/>
                <w:szCs w:val="10"/>
                <w:lang w:val="fr-BE"/>
              </w:rPr>
            </w:pPr>
            <w:r w:rsidRPr="001C4484">
              <w:rPr>
                <w:noProof/>
                <w:sz w:val="10"/>
                <w:szCs w:val="10"/>
                <w:lang w:val="fr-BE"/>
              </w:rPr>
              <w:t>0,00</w:t>
            </w:r>
          </w:p>
        </w:tc>
      </w:tr>
      <w:tr w:rsidR="006B2EC1" w14:paraId="7E908474" w14:textId="77777777" w:rsidTr="0047688D">
        <w:tc>
          <w:tcPr>
            <w:tcW w:w="0" w:type="auto"/>
            <w:shd w:val="clear" w:color="auto" w:fill="auto"/>
          </w:tcPr>
          <w:p w14:paraId="3565B032" w14:textId="77777777" w:rsidR="008C5CFA" w:rsidRPr="001C4484" w:rsidRDefault="00E82A60" w:rsidP="00300A01">
            <w:pPr>
              <w:spacing w:before="0" w:after="0"/>
              <w:rPr>
                <w:sz w:val="10"/>
                <w:szCs w:val="10"/>
                <w:lang w:val="fr-BE"/>
              </w:rPr>
            </w:pPr>
            <w:r w:rsidRPr="001C4484">
              <w:rPr>
                <w:noProof/>
                <w:sz w:val="10"/>
                <w:szCs w:val="10"/>
                <w:lang w:val="fr-BE"/>
              </w:rPr>
              <w:t>CO10</w:t>
            </w:r>
          </w:p>
        </w:tc>
        <w:tc>
          <w:tcPr>
            <w:tcW w:w="0" w:type="auto"/>
            <w:shd w:val="clear" w:color="auto" w:fill="auto"/>
          </w:tcPr>
          <w:p w14:paraId="19254A7A" w14:textId="77777777" w:rsidR="008C5CFA" w:rsidRPr="001C4484" w:rsidRDefault="00E82A60" w:rsidP="00300A01">
            <w:pPr>
              <w:spacing w:before="0" w:after="0"/>
              <w:rPr>
                <w:sz w:val="10"/>
                <w:szCs w:val="10"/>
                <w:lang w:val="fr-BE"/>
              </w:rPr>
            </w:pPr>
            <w:r w:rsidRPr="001C4484">
              <w:rPr>
                <w:noProof/>
                <w:sz w:val="10"/>
                <w:szCs w:val="10"/>
                <w:lang w:val="fr-BE"/>
              </w:rPr>
              <w:t>osoby z wykształceniem średnim II stopnia (ISCED 3) lub policealnym (ISCED 4)</w:t>
            </w:r>
          </w:p>
        </w:tc>
        <w:tc>
          <w:tcPr>
            <w:tcW w:w="0" w:type="auto"/>
            <w:shd w:val="clear" w:color="auto" w:fill="auto"/>
          </w:tcPr>
          <w:p w14:paraId="46A6FBC4"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0F15790E"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45D1C250"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1B1841B2" w14:textId="77777777" w:rsidR="008C5CFA" w:rsidRPr="001C4484" w:rsidRDefault="00E82A60" w:rsidP="00300A01">
            <w:pPr>
              <w:spacing w:before="0" w:after="0"/>
              <w:jc w:val="right"/>
              <w:rPr>
                <w:sz w:val="10"/>
                <w:szCs w:val="10"/>
                <w:lang w:val="fr-BE"/>
              </w:rPr>
            </w:pPr>
            <w:r w:rsidRPr="001C4484">
              <w:rPr>
                <w:noProof/>
                <w:sz w:val="10"/>
                <w:szCs w:val="10"/>
              </w:rPr>
              <w:t>0,00</w:t>
            </w:r>
          </w:p>
        </w:tc>
        <w:tc>
          <w:tcPr>
            <w:tcW w:w="0" w:type="auto"/>
          </w:tcPr>
          <w:p w14:paraId="0C9CF9D9"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7D29A570"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41BCAEF3" w14:textId="77777777" w:rsidR="008C5CFA" w:rsidRPr="001C4484" w:rsidRDefault="00E82A60" w:rsidP="00300A01">
            <w:pPr>
              <w:spacing w:before="0" w:after="0"/>
              <w:jc w:val="right"/>
              <w:rPr>
                <w:sz w:val="10"/>
                <w:szCs w:val="10"/>
                <w:lang w:val="fr-BE"/>
              </w:rPr>
            </w:pPr>
            <w:r w:rsidRPr="001C4484">
              <w:rPr>
                <w:noProof/>
                <w:sz w:val="10"/>
                <w:szCs w:val="10"/>
                <w:lang w:val="fr-BE"/>
              </w:rPr>
              <w:t>0,00</w:t>
            </w:r>
          </w:p>
        </w:tc>
      </w:tr>
      <w:tr w:rsidR="006B2EC1" w14:paraId="7F4DD5FC" w14:textId="77777777" w:rsidTr="0047688D">
        <w:tc>
          <w:tcPr>
            <w:tcW w:w="0" w:type="auto"/>
            <w:shd w:val="clear" w:color="auto" w:fill="auto"/>
          </w:tcPr>
          <w:p w14:paraId="093650BA" w14:textId="77777777" w:rsidR="008C5CFA" w:rsidRPr="001C4484" w:rsidRDefault="00E82A60" w:rsidP="00300A01">
            <w:pPr>
              <w:spacing w:before="0" w:after="0"/>
              <w:rPr>
                <w:sz w:val="10"/>
                <w:szCs w:val="10"/>
                <w:lang w:val="fr-BE"/>
              </w:rPr>
            </w:pPr>
            <w:r w:rsidRPr="001C4484">
              <w:rPr>
                <w:noProof/>
                <w:sz w:val="10"/>
                <w:szCs w:val="10"/>
                <w:lang w:val="fr-BE"/>
              </w:rPr>
              <w:t>CO11</w:t>
            </w:r>
          </w:p>
        </w:tc>
        <w:tc>
          <w:tcPr>
            <w:tcW w:w="0" w:type="auto"/>
            <w:shd w:val="clear" w:color="auto" w:fill="auto"/>
          </w:tcPr>
          <w:p w14:paraId="03C3A958" w14:textId="77777777" w:rsidR="008C5CFA" w:rsidRPr="001C4484" w:rsidRDefault="00E82A60" w:rsidP="00300A01">
            <w:pPr>
              <w:spacing w:before="0" w:after="0"/>
              <w:rPr>
                <w:sz w:val="10"/>
                <w:szCs w:val="10"/>
                <w:lang w:val="fr-BE"/>
              </w:rPr>
            </w:pPr>
            <w:r w:rsidRPr="001C4484">
              <w:rPr>
                <w:noProof/>
                <w:sz w:val="10"/>
                <w:szCs w:val="10"/>
                <w:lang w:val="fr-BE"/>
              </w:rPr>
              <w:t>osoby z wykształceniem wyższym (ISCED 5 do 8)</w:t>
            </w:r>
          </w:p>
        </w:tc>
        <w:tc>
          <w:tcPr>
            <w:tcW w:w="0" w:type="auto"/>
            <w:shd w:val="clear" w:color="auto" w:fill="auto"/>
          </w:tcPr>
          <w:p w14:paraId="04444A2C"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4ADE2C1C"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484F1BDE"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1DECEA7E" w14:textId="77777777" w:rsidR="008C5CFA" w:rsidRPr="001C4484" w:rsidRDefault="00E82A60" w:rsidP="00300A01">
            <w:pPr>
              <w:spacing w:before="0" w:after="0"/>
              <w:jc w:val="right"/>
              <w:rPr>
                <w:sz w:val="10"/>
                <w:szCs w:val="10"/>
                <w:lang w:val="fr-BE"/>
              </w:rPr>
            </w:pPr>
            <w:r w:rsidRPr="001C4484">
              <w:rPr>
                <w:noProof/>
                <w:sz w:val="10"/>
                <w:szCs w:val="10"/>
              </w:rPr>
              <w:t>0,00</w:t>
            </w:r>
          </w:p>
        </w:tc>
        <w:tc>
          <w:tcPr>
            <w:tcW w:w="0" w:type="auto"/>
          </w:tcPr>
          <w:p w14:paraId="24ECAB42"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2672C165"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1B71FEEF" w14:textId="77777777" w:rsidR="008C5CFA" w:rsidRPr="001C4484" w:rsidRDefault="00E82A60" w:rsidP="00300A01">
            <w:pPr>
              <w:spacing w:before="0" w:after="0"/>
              <w:jc w:val="right"/>
              <w:rPr>
                <w:sz w:val="10"/>
                <w:szCs w:val="10"/>
                <w:lang w:val="fr-BE"/>
              </w:rPr>
            </w:pPr>
            <w:r w:rsidRPr="001C4484">
              <w:rPr>
                <w:noProof/>
                <w:sz w:val="10"/>
                <w:szCs w:val="10"/>
                <w:lang w:val="fr-BE"/>
              </w:rPr>
              <w:t>0,00</w:t>
            </w:r>
          </w:p>
        </w:tc>
      </w:tr>
      <w:tr w:rsidR="006B2EC1" w14:paraId="6FB4A6E0" w14:textId="77777777" w:rsidTr="0047688D">
        <w:tc>
          <w:tcPr>
            <w:tcW w:w="0" w:type="auto"/>
            <w:shd w:val="clear" w:color="auto" w:fill="auto"/>
          </w:tcPr>
          <w:p w14:paraId="68172978" w14:textId="77777777" w:rsidR="008C5CFA" w:rsidRPr="001C4484" w:rsidRDefault="00E82A60" w:rsidP="00300A01">
            <w:pPr>
              <w:spacing w:before="0" w:after="0"/>
              <w:rPr>
                <w:sz w:val="10"/>
                <w:szCs w:val="10"/>
                <w:lang w:val="fr-BE"/>
              </w:rPr>
            </w:pPr>
            <w:r w:rsidRPr="001C4484">
              <w:rPr>
                <w:noProof/>
                <w:sz w:val="10"/>
                <w:szCs w:val="10"/>
                <w:lang w:val="fr-BE"/>
              </w:rPr>
              <w:t>CO15</w:t>
            </w:r>
          </w:p>
        </w:tc>
        <w:tc>
          <w:tcPr>
            <w:tcW w:w="0" w:type="auto"/>
            <w:shd w:val="clear" w:color="auto" w:fill="auto"/>
          </w:tcPr>
          <w:p w14:paraId="5B9EC36C" w14:textId="77777777" w:rsidR="008C5CFA" w:rsidRPr="001C4484" w:rsidRDefault="00E82A60" w:rsidP="00300A01">
            <w:pPr>
              <w:spacing w:before="0" w:after="0"/>
              <w:rPr>
                <w:sz w:val="10"/>
                <w:szCs w:val="10"/>
                <w:lang w:val="fr-BE"/>
              </w:rPr>
            </w:pPr>
            <w:r w:rsidRPr="001C4484">
              <w:rPr>
                <w:noProof/>
                <w:sz w:val="10"/>
                <w:szCs w:val="10"/>
                <w:lang w:val="fr-BE"/>
              </w:rPr>
              <w:t>migranci, uczestnicy obcego pochodzenia, mniejszości (w tym społeczności marginalizowane, takie jak Romowie)</w:t>
            </w:r>
          </w:p>
        </w:tc>
        <w:tc>
          <w:tcPr>
            <w:tcW w:w="0" w:type="auto"/>
            <w:shd w:val="clear" w:color="auto" w:fill="auto"/>
          </w:tcPr>
          <w:p w14:paraId="74BBF679"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69EB83E7"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0B30302E"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52B50078" w14:textId="77777777" w:rsidR="008C5CFA" w:rsidRPr="001C4484" w:rsidRDefault="00E82A60" w:rsidP="00300A01">
            <w:pPr>
              <w:spacing w:before="0" w:after="0"/>
              <w:jc w:val="right"/>
              <w:rPr>
                <w:sz w:val="10"/>
                <w:szCs w:val="10"/>
                <w:lang w:val="fr-BE"/>
              </w:rPr>
            </w:pPr>
            <w:r w:rsidRPr="001C4484">
              <w:rPr>
                <w:noProof/>
                <w:sz w:val="10"/>
                <w:szCs w:val="10"/>
              </w:rPr>
              <w:t>0,00</w:t>
            </w:r>
          </w:p>
        </w:tc>
        <w:tc>
          <w:tcPr>
            <w:tcW w:w="0" w:type="auto"/>
          </w:tcPr>
          <w:p w14:paraId="04DFD86F"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1A7ECFD3"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0DF79FA8" w14:textId="77777777" w:rsidR="008C5CFA" w:rsidRPr="001C4484" w:rsidRDefault="00E82A60" w:rsidP="00300A01">
            <w:pPr>
              <w:spacing w:before="0" w:after="0"/>
              <w:jc w:val="right"/>
              <w:rPr>
                <w:sz w:val="10"/>
                <w:szCs w:val="10"/>
                <w:lang w:val="fr-BE"/>
              </w:rPr>
            </w:pPr>
            <w:r w:rsidRPr="001C4484">
              <w:rPr>
                <w:noProof/>
                <w:sz w:val="10"/>
                <w:szCs w:val="10"/>
                <w:lang w:val="fr-BE"/>
              </w:rPr>
              <w:t>0,00</w:t>
            </w:r>
          </w:p>
        </w:tc>
      </w:tr>
      <w:tr w:rsidR="006B2EC1" w14:paraId="3A89FB3C" w14:textId="77777777" w:rsidTr="0047688D">
        <w:tc>
          <w:tcPr>
            <w:tcW w:w="0" w:type="auto"/>
            <w:shd w:val="clear" w:color="auto" w:fill="auto"/>
          </w:tcPr>
          <w:p w14:paraId="0072DE15" w14:textId="77777777" w:rsidR="008C5CFA" w:rsidRPr="001C4484" w:rsidRDefault="00E82A60" w:rsidP="00300A01">
            <w:pPr>
              <w:spacing w:before="0" w:after="0"/>
              <w:rPr>
                <w:sz w:val="10"/>
                <w:szCs w:val="10"/>
                <w:lang w:val="fr-BE"/>
              </w:rPr>
            </w:pPr>
            <w:r w:rsidRPr="001C4484">
              <w:rPr>
                <w:noProof/>
                <w:sz w:val="10"/>
                <w:szCs w:val="10"/>
                <w:lang w:val="fr-BE"/>
              </w:rPr>
              <w:t>CO16</w:t>
            </w:r>
          </w:p>
        </w:tc>
        <w:tc>
          <w:tcPr>
            <w:tcW w:w="0" w:type="auto"/>
            <w:shd w:val="clear" w:color="auto" w:fill="auto"/>
          </w:tcPr>
          <w:p w14:paraId="51BE8519" w14:textId="77777777" w:rsidR="008C5CFA" w:rsidRPr="001C4484" w:rsidRDefault="00E82A60" w:rsidP="00300A01">
            <w:pPr>
              <w:spacing w:before="0" w:after="0"/>
              <w:rPr>
                <w:sz w:val="10"/>
                <w:szCs w:val="10"/>
                <w:lang w:val="fr-BE"/>
              </w:rPr>
            </w:pPr>
            <w:r w:rsidRPr="001C4484">
              <w:rPr>
                <w:noProof/>
                <w:sz w:val="10"/>
                <w:szCs w:val="10"/>
                <w:lang w:val="fr-BE"/>
              </w:rPr>
              <w:t>uczestnicy z niepełnosprawnościami</w:t>
            </w:r>
          </w:p>
        </w:tc>
        <w:tc>
          <w:tcPr>
            <w:tcW w:w="0" w:type="auto"/>
            <w:shd w:val="clear" w:color="auto" w:fill="auto"/>
          </w:tcPr>
          <w:p w14:paraId="1504F623"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7A636AC9"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5304AB90"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7536879B" w14:textId="77777777" w:rsidR="008C5CFA" w:rsidRPr="001C4484" w:rsidRDefault="00E82A60" w:rsidP="00300A01">
            <w:pPr>
              <w:spacing w:before="0" w:after="0"/>
              <w:jc w:val="right"/>
              <w:rPr>
                <w:sz w:val="10"/>
                <w:szCs w:val="10"/>
                <w:lang w:val="fr-BE"/>
              </w:rPr>
            </w:pPr>
            <w:r w:rsidRPr="001C4484">
              <w:rPr>
                <w:noProof/>
                <w:sz w:val="10"/>
                <w:szCs w:val="10"/>
              </w:rPr>
              <w:t>0,00</w:t>
            </w:r>
          </w:p>
        </w:tc>
        <w:tc>
          <w:tcPr>
            <w:tcW w:w="0" w:type="auto"/>
          </w:tcPr>
          <w:p w14:paraId="47FD2C69"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569D8F96"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759A465B" w14:textId="77777777" w:rsidR="008C5CFA" w:rsidRPr="001C4484" w:rsidRDefault="00E82A60" w:rsidP="00300A01">
            <w:pPr>
              <w:spacing w:before="0" w:after="0"/>
              <w:jc w:val="right"/>
              <w:rPr>
                <w:sz w:val="10"/>
                <w:szCs w:val="10"/>
                <w:lang w:val="fr-BE"/>
              </w:rPr>
            </w:pPr>
            <w:r w:rsidRPr="001C4484">
              <w:rPr>
                <w:noProof/>
                <w:sz w:val="10"/>
                <w:szCs w:val="10"/>
                <w:lang w:val="fr-BE"/>
              </w:rPr>
              <w:t>0,00</w:t>
            </w:r>
          </w:p>
        </w:tc>
      </w:tr>
      <w:tr w:rsidR="006B2EC1" w14:paraId="37F3645B" w14:textId="77777777" w:rsidTr="0047688D">
        <w:tc>
          <w:tcPr>
            <w:tcW w:w="0" w:type="auto"/>
            <w:shd w:val="clear" w:color="auto" w:fill="auto"/>
          </w:tcPr>
          <w:p w14:paraId="5A77EF1B" w14:textId="77777777" w:rsidR="008C5CFA" w:rsidRPr="001C4484" w:rsidRDefault="00E82A60" w:rsidP="00300A01">
            <w:pPr>
              <w:spacing w:before="0" w:after="0"/>
              <w:rPr>
                <w:sz w:val="10"/>
                <w:szCs w:val="10"/>
                <w:lang w:val="fr-BE"/>
              </w:rPr>
            </w:pPr>
            <w:r w:rsidRPr="001C4484">
              <w:rPr>
                <w:noProof/>
                <w:sz w:val="10"/>
                <w:szCs w:val="10"/>
                <w:lang w:val="fr-BE"/>
              </w:rPr>
              <w:t>CO17</w:t>
            </w:r>
          </w:p>
        </w:tc>
        <w:tc>
          <w:tcPr>
            <w:tcW w:w="0" w:type="auto"/>
            <w:shd w:val="clear" w:color="auto" w:fill="auto"/>
          </w:tcPr>
          <w:p w14:paraId="461CD57F" w14:textId="77777777" w:rsidR="008C5CFA" w:rsidRPr="001C4484" w:rsidRDefault="00E82A60" w:rsidP="00300A01">
            <w:pPr>
              <w:spacing w:before="0" w:after="0"/>
              <w:rPr>
                <w:sz w:val="10"/>
                <w:szCs w:val="10"/>
                <w:lang w:val="fr-BE"/>
              </w:rPr>
            </w:pPr>
            <w:r w:rsidRPr="001C4484">
              <w:rPr>
                <w:noProof/>
                <w:sz w:val="10"/>
                <w:szCs w:val="10"/>
                <w:lang w:val="fr-BE"/>
              </w:rPr>
              <w:t>inne osoby w niekorzystnej sytuacji społecznej</w:t>
            </w:r>
          </w:p>
        </w:tc>
        <w:tc>
          <w:tcPr>
            <w:tcW w:w="0" w:type="auto"/>
            <w:shd w:val="clear" w:color="auto" w:fill="auto"/>
          </w:tcPr>
          <w:p w14:paraId="5B37382F"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7073551D"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139524E9"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5BB5BD5C" w14:textId="77777777" w:rsidR="008C5CFA" w:rsidRPr="001C4484" w:rsidRDefault="00E82A60" w:rsidP="00300A01">
            <w:pPr>
              <w:spacing w:before="0" w:after="0"/>
              <w:jc w:val="right"/>
              <w:rPr>
                <w:sz w:val="10"/>
                <w:szCs w:val="10"/>
                <w:lang w:val="fr-BE"/>
              </w:rPr>
            </w:pPr>
            <w:r w:rsidRPr="001C4484">
              <w:rPr>
                <w:noProof/>
                <w:sz w:val="10"/>
                <w:szCs w:val="10"/>
              </w:rPr>
              <w:t>0,00</w:t>
            </w:r>
          </w:p>
        </w:tc>
        <w:tc>
          <w:tcPr>
            <w:tcW w:w="0" w:type="auto"/>
          </w:tcPr>
          <w:p w14:paraId="662E4D88"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196155D1"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4625EC9F" w14:textId="77777777" w:rsidR="008C5CFA" w:rsidRPr="001C4484" w:rsidRDefault="00E82A60" w:rsidP="00300A01">
            <w:pPr>
              <w:spacing w:before="0" w:after="0"/>
              <w:jc w:val="right"/>
              <w:rPr>
                <w:sz w:val="10"/>
                <w:szCs w:val="10"/>
                <w:lang w:val="fr-BE"/>
              </w:rPr>
            </w:pPr>
            <w:r w:rsidRPr="001C4484">
              <w:rPr>
                <w:noProof/>
                <w:sz w:val="10"/>
                <w:szCs w:val="10"/>
                <w:lang w:val="fr-BE"/>
              </w:rPr>
              <w:t>0,00</w:t>
            </w:r>
          </w:p>
        </w:tc>
      </w:tr>
      <w:tr w:rsidR="006B2EC1" w14:paraId="36887538" w14:textId="77777777" w:rsidTr="0047688D">
        <w:tc>
          <w:tcPr>
            <w:tcW w:w="0" w:type="auto"/>
            <w:shd w:val="clear" w:color="auto" w:fill="auto"/>
          </w:tcPr>
          <w:p w14:paraId="0F5DD3AC" w14:textId="77777777" w:rsidR="008C5CFA" w:rsidRPr="001C4484" w:rsidRDefault="00E82A60" w:rsidP="00300A01">
            <w:pPr>
              <w:spacing w:before="0" w:after="0"/>
              <w:rPr>
                <w:sz w:val="10"/>
                <w:szCs w:val="10"/>
                <w:lang w:val="fr-BE"/>
              </w:rPr>
            </w:pPr>
            <w:r w:rsidRPr="001C4484">
              <w:rPr>
                <w:noProof/>
                <w:sz w:val="10"/>
                <w:szCs w:val="10"/>
                <w:lang w:val="fr-BE"/>
              </w:rPr>
              <w:t>CO18</w:t>
            </w:r>
          </w:p>
        </w:tc>
        <w:tc>
          <w:tcPr>
            <w:tcW w:w="0" w:type="auto"/>
            <w:shd w:val="clear" w:color="auto" w:fill="auto"/>
          </w:tcPr>
          <w:p w14:paraId="1D8E3472" w14:textId="77777777" w:rsidR="008C5CFA" w:rsidRPr="001C4484" w:rsidRDefault="00E82A60" w:rsidP="00300A01">
            <w:pPr>
              <w:spacing w:before="0" w:after="0"/>
              <w:rPr>
                <w:sz w:val="10"/>
                <w:szCs w:val="10"/>
                <w:lang w:val="fr-BE"/>
              </w:rPr>
            </w:pPr>
            <w:r w:rsidRPr="001C4484">
              <w:rPr>
                <w:noProof/>
                <w:sz w:val="10"/>
                <w:szCs w:val="10"/>
                <w:lang w:val="fr-BE"/>
              </w:rPr>
              <w:t>osoby bezdomne lub dotknięte wykluczeniem z dostępu do mieszkań</w:t>
            </w:r>
          </w:p>
        </w:tc>
        <w:tc>
          <w:tcPr>
            <w:tcW w:w="0" w:type="auto"/>
            <w:shd w:val="clear" w:color="auto" w:fill="auto"/>
          </w:tcPr>
          <w:p w14:paraId="737EAD69"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5DCF9798"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7FF78532"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55BDCD58" w14:textId="77777777" w:rsidR="008C5CFA" w:rsidRPr="001C4484" w:rsidRDefault="00E82A60" w:rsidP="00300A01">
            <w:pPr>
              <w:spacing w:before="0" w:after="0"/>
              <w:jc w:val="right"/>
              <w:rPr>
                <w:sz w:val="10"/>
                <w:szCs w:val="10"/>
                <w:lang w:val="fr-BE"/>
              </w:rPr>
            </w:pPr>
            <w:r w:rsidRPr="001C4484">
              <w:rPr>
                <w:noProof/>
                <w:sz w:val="10"/>
                <w:szCs w:val="10"/>
              </w:rPr>
              <w:t>0,00</w:t>
            </w:r>
          </w:p>
        </w:tc>
        <w:tc>
          <w:tcPr>
            <w:tcW w:w="0" w:type="auto"/>
          </w:tcPr>
          <w:p w14:paraId="6D7B7E4F"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35A998A2"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4651431C" w14:textId="77777777" w:rsidR="008C5CFA" w:rsidRPr="001C4484" w:rsidRDefault="00E82A60" w:rsidP="00300A01">
            <w:pPr>
              <w:spacing w:before="0" w:after="0"/>
              <w:jc w:val="right"/>
              <w:rPr>
                <w:sz w:val="10"/>
                <w:szCs w:val="10"/>
                <w:lang w:val="fr-BE"/>
              </w:rPr>
            </w:pPr>
            <w:r w:rsidRPr="001C4484">
              <w:rPr>
                <w:noProof/>
                <w:sz w:val="10"/>
                <w:szCs w:val="10"/>
                <w:lang w:val="fr-BE"/>
              </w:rPr>
              <w:t>0,00</w:t>
            </w:r>
          </w:p>
        </w:tc>
      </w:tr>
      <w:tr w:rsidR="006B2EC1" w14:paraId="5D6BAB73" w14:textId="77777777" w:rsidTr="0047688D">
        <w:tc>
          <w:tcPr>
            <w:tcW w:w="0" w:type="auto"/>
            <w:shd w:val="clear" w:color="auto" w:fill="auto"/>
          </w:tcPr>
          <w:p w14:paraId="2C05BC56" w14:textId="77777777" w:rsidR="008C5CFA" w:rsidRPr="001C4484" w:rsidRDefault="00E82A60" w:rsidP="00300A01">
            <w:pPr>
              <w:spacing w:before="0" w:after="0"/>
              <w:rPr>
                <w:sz w:val="10"/>
                <w:szCs w:val="10"/>
                <w:lang w:val="fr-BE"/>
              </w:rPr>
            </w:pPr>
            <w:r w:rsidRPr="001C4484">
              <w:rPr>
                <w:noProof/>
                <w:sz w:val="10"/>
                <w:szCs w:val="10"/>
                <w:lang w:val="fr-BE"/>
              </w:rPr>
              <w:t>CO19</w:t>
            </w:r>
          </w:p>
        </w:tc>
        <w:tc>
          <w:tcPr>
            <w:tcW w:w="0" w:type="auto"/>
            <w:shd w:val="clear" w:color="auto" w:fill="auto"/>
          </w:tcPr>
          <w:p w14:paraId="731704A8" w14:textId="77777777" w:rsidR="008C5CFA" w:rsidRPr="001C4484" w:rsidRDefault="00E82A60" w:rsidP="00300A01">
            <w:pPr>
              <w:spacing w:before="0" w:after="0"/>
              <w:rPr>
                <w:sz w:val="10"/>
                <w:szCs w:val="10"/>
                <w:lang w:val="fr-BE"/>
              </w:rPr>
            </w:pPr>
            <w:r w:rsidRPr="001C4484">
              <w:rPr>
                <w:noProof/>
                <w:sz w:val="10"/>
                <w:szCs w:val="10"/>
                <w:lang w:val="fr-BE"/>
              </w:rPr>
              <w:t>osoby pochodzące z obszarów wiejskich</w:t>
            </w:r>
          </w:p>
        </w:tc>
        <w:tc>
          <w:tcPr>
            <w:tcW w:w="0" w:type="auto"/>
            <w:shd w:val="clear" w:color="auto" w:fill="auto"/>
          </w:tcPr>
          <w:p w14:paraId="551AA3EE"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7A0FC7E2" w14:textId="77777777" w:rsidR="008C5CFA" w:rsidRPr="001C4484" w:rsidRDefault="00E82A60" w:rsidP="00300A01">
            <w:pPr>
              <w:spacing w:before="0" w:after="0"/>
              <w:jc w:val="right"/>
              <w:rPr>
                <w:sz w:val="10"/>
                <w:szCs w:val="10"/>
              </w:rPr>
            </w:pPr>
            <w:r>
              <w:rPr>
                <w:noProof/>
                <w:sz w:val="10"/>
                <w:szCs w:val="10"/>
              </w:rPr>
              <w:t>18,00</w:t>
            </w:r>
          </w:p>
        </w:tc>
        <w:tc>
          <w:tcPr>
            <w:tcW w:w="0" w:type="auto"/>
            <w:shd w:val="clear" w:color="auto" w:fill="auto"/>
          </w:tcPr>
          <w:p w14:paraId="4A7434EB" w14:textId="77777777" w:rsidR="008C5CFA" w:rsidRPr="001C4484" w:rsidRDefault="00E82A60" w:rsidP="00300A01">
            <w:pPr>
              <w:spacing w:before="0" w:after="0"/>
              <w:jc w:val="right"/>
              <w:rPr>
                <w:sz w:val="10"/>
                <w:szCs w:val="10"/>
              </w:rPr>
            </w:pPr>
            <w:r w:rsidRPr="001C4484">
              <w:rPr>
                <w:noProof/>
                <w:sz w:val="10"/>
                <w:szCs w:val="10"/>
              </w:rPr>
              <w:t>13,00</w:t>
            </w:r>
          </w:p>
        </w:tc>
        <w:tc>
          <w:tcPr>
            <w:tcW w:w="0" w:type="auto"/>
            <w:shd w:val="clear" w:color="auto" w:fill="auto"/>
          </w:tcPr>
          <w:p w14:paraId="671EF31C" w14:textId="77777777" w:rsidR="008C5CFA" w:rsidRPr="001C4484" w:rsidRDefault="00E82A60" w:rsidP="00300A01">
            <w:pPr>
              <w:spacing w:before="0" w:after="0"/>
              <w:jc w:val="right"/>
              <w:rPr>
                <w:sz w:val="10"/>
                <w:szCs w:val="10"/>
                <w:lang w:val="fr-BE"/>
              </w:rPr>
            </w:pPr>
            <w:r w:rsidRPr="001C4484">
              <w:rPr>
                <w:noProof/>
                <w:sz w:val="10"/>
                <w:szCs w:val="10"/>
              </w:rPr>
              <w:t>5,00</w:t>
            </w:r>
          </w:p>
        </w:tc>
        <w:tc>
          <w:tcPr>
            <w:tcW w:w="0" w:type="auto"/>
          </w:tcPr>
          <w:p w14:paraId="29616DE9"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19C25D56"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50836FFA" w14:textId="77777777" w:rsidR="008C5CFA" w:rsidRPr="001C4484" w:rsidRDefault="00E82A60" w:rsidP="00300A01">
            <w:pPr>
              <w:spacing w:before="0" w:after="0"/>
              <w:jc w:val="right"/>
              <w:rPr>
                <w:sz w:val="10"/>
                <w:szCs w:val="10"/>
                <w:lang w:val="fr-BE"/>
              </w:rPr>
            </w:pPr>
            <w:r w:rsidRPr="001C4484">
              <w:rPr>
                <w:noProof/>
                <w:sz w:val="10"/>
                <w:szCs w:val="10"/>
                <w:lang w:val="fr-BE"/>
              </w:rPr>
              <w:t>0,00</w:t>
            </w:r>
          </w:p>
        </w:tc>
      </w:tr>
      <w:tr w:rsidR="006B2EC1" w14:paraId="33E9B8E3" w14:textId="77777777" w:rsidTr="0047688D">
        <w:tc>
          <w:tcPr>
            <w:tcW w:w="0" w:type="auto"/>
            <w:shd w:val="clear" w:color="auto" w:fill="auto"/>
          </w:tcPr>
          <w:p w14:paraId="069D4E9F" w14:textId="77777777" w:rsidR="008C5CFA" w:rsidRPr="001C4484" w:rsidRDefault="00E82A60" w:rsidP="00300A01">
            <w:pPr>
              <w:spacing w:before="0" w:after="0"/>
              <w:rPr>
                <w:sz w:val="10"/>
                <w:szCs w:val="10"/>
                <w:lang w:val="fr-BE"/>
              </w:rPr>
            </w:pPr>
            <w:r w:rsidRPr="001C4484">
              <w:rPr>
                <w:noProof/>
                <w:sz w:val="10"/>
                <w:szCs w:val="10"/>
                <w:lang w:val="fr-BE"/>
              </w:rPr>
              <w:t>CO20</w:t>
            </w:r>
          </w:p>
        </w:tc>
        <w:tc>
          <w:tcPr>
            <w:tcW w:w="0" w:type="auto"/>
            <w:shd w:val="clear" w:color="auto" w:fill="auto"/>
          </w:tcPr>
          <w:p w14:paraId="5BDDD631" w14:textId="77777777" w:rsidR="008C5CFA" w:rsidRPr="001C4484" w:rsidRDefault="00E82A60" w:rsidP="00300A01">
            <w:pPr>
              <w:spacing w:before="0" w:after="0"/>
              <w:rPr>
                <w:sz w:val="10"/>
                <w:szCs w:val="10"/>
                <w:lang w:val="fr-BE"/>
              </w:rPr>
            </w:pPr>
            <w:r w:rsidRPr="001C4484">
              <w:rPr>
                <w:noProof/>
                <w:sz w:val="10"/>
                <w:szCs w:val="10"/>
                <w:lang w:val="fr-BE"/>
              </w:rPr>
              <w:t>liczba projektów zrealizowanych w pełni lub częściowo przez partnerów społecznych lub organizacje pozarządowe</w:t>
            </w:r>
          </w:p>
        </w:tc>
        <w:tc>
          <w:tcPr>
            <w:tcW w:w="0" w:type="auto"/>
            <w:shd w:val="clear" w:color="auto" w:fill="auto"/>
          </w:tcPr>
          <w:p w14:paraId="686F0AFD"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0705690D"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759BC2BB" w14:textId="77777777" w:rsidR="008C5CFA" w:rsidRPr="001C4484" w:rsidRDefault="008C5CFA" w:rsidP="00300A01">
            <w:pPr>
              <w:spacing w:before="0" w:after="0"/>
              <w:jc w:val="right"/>
              <w:rPr>
                <w:sz w:val="10"/>
                <w:szCs w:val="10"/>
              </w:rPr>
            </w:pPr>
          </w:p>
        </w:tc>
        <w:tc>
          <w:tcPr>
            <w:tcW w:w="0" w:type="auto"/>
            <w:shd w:val="clear" w:color="auto" w:fill="auto"/>
          </w:tcPr>
          <w:p w14:paraId="738A63CF" w14:textId="77777777" w:rsidR="008C5CFA" w:rsidRPr="001C4484" w:rsidRDefault="008C5CFA" w:rsidP="00300A01">
            <w:pPr>
              <w:spacing w:before="0" w:after="0"/>
              <w:jc w:val="right"/>
              <w:rPr>
                <w:sz w:val="10"/>
                <w:szCs w:val="10"/>
                <w:lang w:val="fr-BE"/>
              </w:rPr>
            </w:pPr>
          </w:p>
        </w:tc>
        <w:tc>
          <w:tcPr>
            <w:tcW w:w="0" w:type="auto"/>
          </w:tcPr>
          <w:p w14:paraId="1F240159"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435484A1" w14:textId="77777777" w:rsidR="008C5CFA" w:rsidRPr="001C4484" w:rsidRDefault="008C5CFA" w:rsidP="00300A01">
            <w:pPr>
              <w:spacing w:before="0" w:after="0"/>
              <w:jc w:val="right"/>
              <w:rPr>
                <w:sz w:val="10"/>
                <w:szCs w:val="10"/>
              </w:rPr>
            </w:pPr>
          </w:p>
        </w:tc>
        <w:tc>
          <w:tcPr>
            <w:tcW w:w="0" w:type="auto"/>
            <w:shd w:val="clear" w:color="auto" w:fill="auto"/>
          </w:tcPr>
          <w:p w14:paraId="1C70F167" w14:textId="77777777" w:rsidR="008C5CFA" w:rsidRPr="001C4484" w:rsidRDefault="008C5CFA" w:rsidP="00300A01">
            <w:pPr>
              <w:spacing w:before="0" w:after="0"/>
              <w:jc w:val="right"/>
              <w:rPr>
                <w:sz w:val="10"/>
                <w:szCs w:val="10"/>
                <w:lang w:val="fr-BE"/>
              </w:rPr>
            </w:pPr>
          </w:p>
        </w:tc>
      </w:tr>
      <w:tr w:rsidR="006B2EC1" w14:paraId="7C7C877F" w14:textId="77777777" w:rsidTr="0047688D">
        <w:tc>
          <w:tcPr>
            <w:tcW w:w="0" w:type="auto"/>
            <w:shd w:val="clear" w:color="auto" w:fill="auto"/>
          </w:tcPr>
          <w:p w14:paraId="2866A659" w14:textId="77777777" w:rsidR="008C5CFA" w:rsidRPr="001C4484" w:rsidRDefault="00E82A60" w:rsidP="00300A01">
            <w:pPr>
              <w:spacing w:before="0" w:after="0"/>
              <w:rPr>
                <w:sz w:val="10"/>
                <w:szCs w:val="10"/>
                <w:lang w:val="fr-BE"/>
              </w:rPr>
            </w:pPr>
            <w:r w:rsidRPr="001C4484">
              <w:rPr>
                <w:noProof/>
                <w:sz w:val="10"/>
                <w:szCs w:val="10"/>
                <w:lang w:val="fr-BE"/>
              </w:rPr>
              <w:t>CO21</w:t>
            </w:r>
          </w:p>
        </w:tc>
        <w:tc>
          <w:tcPr>
            <w:tcW w:w="0" w:type="auto"/>
            <w:shd w:val="clear" w:color="auto" w:fill="auto"/>
          </w:tcPr>
          <w:p w14:paraId="05085B8F" w14:textId="77777777" w:rsidR="008C5CFA" w:rsidRPr="001C4484" w:rsidRDefault="00E82A60" w:rsidP="00300A01">
            <w:pPr>
              <w:spacing w:before="0" w:after="0"/>
              <w:rPr>
                <w:sz w:val="10"/>
                <w:szCs w:val="10"/>
                <w:lang w:val="fr-BE"/>
              </w:rPr>
            </w:pPr>
            <w:r w:rsidRPr="001C4484">
              <w:rPr>
                <w:noProof/>
                <w:sz w:val="10"/>
                <w:szCs w:val="10"/>
                <w:lang w:val="fr-BE"/>
              </w:rPr>
              <w:t>liczba projektów ukierunkowanych na trwały udział kobiet w zatrudnieniu i rozwój ich kariery zawodowej</w:t>
            </w:r>
          </w:p>
        </w:tc>
        <w:tc>
          <w:tcPr>
            <w:tcW w:w="0" w:type="auto"/>
            <w:shd w:val="clear" w:color="auto" w:fill="auto"/>
          </w:tcPr>
          <w:p w14:paraId="2CAD2B68"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0A66FFF0"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2C7554C8" w14:textId="77777777" w:rsidR="008C5CFA" w:rsidRPr="001C4484" w:rsidRDefault="008C5CFA" w:rsidP="00300A01">
            <w:pPr>
              <w:spacing w:before="0" w:after="0"/>
              <w:jc w:val="right"/>
              <w:rPr>
                <w:sz w:val="10"/>
                <w:szCs w:val="10"/>
              </w:rPr>
            </w:pPr>
          </w:p>
        </w:tc>
        <w:tc>
          <w:tcPr>
            <w:tcW w:w="0" w:type="auto"/>
            <w:shd w:val="clear" w:color="auto" w:fill="auto"/>
          </w:tcPr>
          <w:p w14:paraId="2C425825" w14:textId="77777777" w:rsidR="008C5CFA" w:rsidRPr="001C4484" w:rsidRDefault="008C5CFA" w:rsidP="00300A01">
            <w:pPr>
              <w:spacing w:before="0" w:after="0"/>
              <w:jc w:val="right"/>
              <w:rPr>
                <w:sz w:val="10"/>
                <w:szCs w:val="10"/>
                <w:lang w:val="fr-BE"/>
              </w:rPr>
            </w:pPr>
          </w:p>
        </w:tc>
        <w:tc>
          <w:tcPr>
            <w:tcW w:w="0" w:type="auto"/>
          </w:tcPr>
          <w:p w14:paraId="083C54F8"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0D945330" w14:textId="77777777" w:rsidR="008C5CFA" w:rsidRPr="001C4484" w:rsidRDefault="008C5CFA" w:rsidP="00300A01">
            <w:pPr>
              <w:spacing w:before="0" w:after="0"/>
              <w:jc w:val="right"/>
              <w:rPr>
                <w:sz w:val="10"/>
                <w:szCs w:val="10"/>
              </w:rPr>
            </w:pPr>
          </w:p>
        </w:tc>
        <w:tc>
          <w:tcPr>
            <w:tcW w:w="0" w:type="auto"/>
            <w:shd w:val="clear" w:color="auto" w:fill="auto"/>
          </w:tcPr>
          <w:p w14:paraId="0E48088B" w14:textId="77777777" w:rsidR="008C5CFA" w:rsidRPr="001C4484" w:rsidRDefault="008C5CFA" w:rsidP="00300A01">
            <w:pPr>
              <w:spacing w:before="0" w:after="0"/>
              <w:jc w:val="right"/>
              <w:rPr>
                <w:sz w:val="10"/>
                <w:szCs w:val="10"/>
                <w:lang w:val="fr-BE"/>
              </w:rPr>
            </w:pPr>
          </w:p>
        </w:tc>
      </w:tr>
      <w:tr w:rsidR="006B2EC1" w14:paraId="50766BB1" w14:textId="77777777" w:rsidTr="0047688D">
        <w:tc>
          <w:tcPr>
            <w:tcW w:w="0" w:type="auto"/>
            <w:shd w:val="clear" w:color="auto" w:fill="auto"/>
          </w:tcPr>
          <w:p w14:paraId="50670C85" w14:textId="77777777" w:rsidR="008C5CFA" w:rsidRPr="001C4484" w:rsidRDefault="00E82A60" w:rsidP="00300A01">
            <w:pPr>
              <w:spacing w:before="0" w:after="0"/>
              <w:rPr>
                <w:sz w:val="10"/>
                <w:szCs w:val="10"/>
                <w:lang w:val="fr-BE"/>
              </w:rPr>
            </w:pPr>
            <w:r w:rsidRPr="001C4484">
              <w:rPr>
                <w:noProof/>
                <w:sz w:val="10"/>
                <w:szCs w:val="10"/>
                <w:lang w:val="fr-BE"/>
              </w:rPr>
              <w:t>CO22</w:t>
            </w:r>
          </w:p>
        </w:tc>
        <w:tc>
          <w:tcPr>
            <w:tcW w:w="0" w:type="auto"/>
            <w:shd w:val="clear" w:color="auto" w:fill="auto"/>
          </w:tcPr>
          <w:p w14:paraId="1C582E0C" w14:textId="77777777" w:rsidR="008C5CFA" w:rsidRPr="001C4484" w:rsidRDefault="00E82A60" w:rsidP="00300A01">
            <w:pPr>
              <w:spacing w:before="0" w:after="0"/>
              <w:rPr>
                <w:sz w:val="10"/>
                <w:szCs w:val="10"/>
                <w:lang w:val="fr-BE"/>
              </w:rPr>
            </w:pPr>
            <w:r w:rsidRPr="001C4484">
              <w:rPr>
                <w:noProof/>
                <w:sz w:val="10"/>
                <w:szCs w:val="10"/>
                <w:lang w:val="fr-BE"/>
              </w:rPr>
              <w:t>liczba projektów obejmujących administrację publiczną lub służby publiczne na szczeblu krajowym, regionalnym lub lokalnym</w:t>
            </w:r>
          </w:p>
        </w:tc>
        <w:tc>
          <w:tcPr>
            <w:tcW w:w="0" w:type="auto"/>
            <w:shd w:val="clear" w:color="auto" w:fill="auto"/>
          </w:tcPr>
          <w:p w14:paraId="7DEB5321"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47E111D9"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20768B39" w14:textId="77777777" w:rsidR="008C5CFA" w:rsidRPr="001C4484" w:rsidRDefault="008C5CFA" w:rsidP="00300A01">
            <w:pPr>
              <w:spacing w:before="0" w:after="0"/>
              <w:jc w:val="right"/>
              <w:rPr>
                <w:sz w:val="10"/>
                <w:szCs w:val="10"/>
              </w:rPr>
            </w:pPr>
          </w:p>
        </w:tc>
        <w:tc>
          <w:tcPr>
            <w:tcW w:w="0" w:type="auto"/>
            <w:shd w:val="clear" w:color="auto" w:fill="auto"/>
          </w:tcPr>
          <w:p w14:paraId="7EC7D7EE" w14:textId="77777777" w:rsidR="008C5CFA" w:rsidRPr="001C4484" w:rsidRDefault="008C5CFA" w:rsidP="00300A01">
            <w:pPr>
              <w:spacing w:before="0" w:after="0"/>
              <w:jc w:val="right"/>
              <w:rPr>
                <w:sz w:val="10"/>
                <w:szCs w:val="10"/>
                <w:lang w:val="fr-BE"/>
              </w:rPr>
            </w:pPr>
          </w:p>
        </w:tc>
        <w:tc>
          <w:tcPr>
            <w:tcW w:w="0" w:type="auto"/>
          </w:tcPr>
          <w:p w14:paraId="53B3B793"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309674D2" w14:textId="77777777" w:rsidR="008C5CFA" w:rsidRPr="001C4484" w:rsidRDefault="008C5CFA" w:rsidP="00300A01">
            <w:pPr>
              <w:spacing w:before="0" w:after="0"/>
              <w:jc w:val="right"/>
              <w:rPr>
                <w:sz w:val="10"/>
                <w:szCs w:val="10"/>
              </w:rPr>
            </w:pPr>
          </w:p>
        </w:tc>
        <w:tc>
          <w:tcPr>
            <w:tcW w:w="0" w:type="auto"/>
            <w:shd w:val="clear" w:color="auto" w:fill="auto"/>
          </w:tcPr>
          <w:p w14:paraId="170C5DC7" w14:textId="77777777" w:rsidR="008C5CFA" w:rsidRPr="001C4484" w:rsidRDefault="008C5CFA" w:rsidP="00300A01">
            <w:pPr>
              <w:spacing w:before="0" w:after="0"/>
              <w:jc w:val="right"/>
              <w:rPr>
                <w:sz w:val="10"/>
                <w:szCs w:val="10"/>
                <w:lang w:val="fr-BE"/>
              </w:rPr>
            </w:pPr>
          </w:p>
        </w:tc>
      </w:tr>
      <w:tr w:rsidR="006B2EC1" w14:paraId="25B91B61" w14:textId="77777777" w:rsidTr="0047688D">
        <w:tc>
          <w:tcPr>
            <w:tcW w:w="0" w:type="auto"/>
            <w:shd w:val="clear" w:color="auto" w:fill="auto"/>
          </w:tcPr>
          <w:p w14:paraId="6A0E3B51" w14:textId="77777777" w:rsidR="008C5CFA" w:rsidRPr="001C4484" w:rsidRDefault="00E82A60" w:rsidP="00300A01">
            <w:pPr>
              <w:spacing w:before="0" w:after="0"/>
              <w:rPr>
                <w:sz w:val="10"/>
                <w:szCs w:val="10"/>
                <w:lang w:val="fr-BE"/>
              </w:rPr>
            </w:pPr>
            <w:r w:rsidRPr="001C4484">
              <w:rPr>
                <w:noProof/>
                <w:sz w:val="10"/>
                <w:szCs w:val="10"/>
                <w:lang w:val="fr-BE"/>
              </w:rPr>
              <w:t>CO23</w:t>
            </w:r>
          </w:p>
        </w:tc>
        <w:tc>
          <w:tcPr>
            <w:tcW w:w="0" w:type="auto"/>
            <w:shd w:val="clear" w:color="auto" w:fill="auto"/>
          </w:tcPr>
          <w:p w14:paraId="3F068059" w14:textId="77777777" w:rsidR="008C5CFA" w:rsidRPr="001C4484" w:rsidRDefault="00E82A60" w:rsidP="00300A01">
            <w:pPr>
              <w:spacing w:before="0" w:after="0"/>
              <w:rPr>
                <w:sz w:val="10"/>
                <w:szCs w:val="10"/>
                <w:lang w:val="fr-BE"/>
              </w:rPr>
            </w:pPr>
            <w:r w:rsidRPr="001C4484">
              <w:rPr>
                <w:noProof/>
                <w:sz w:val="10"/>
                <w:szCs w:val="10"/>
                <w:lang w:val="fr-BE"/>
              </w:rPr>
              <w:t>liczba objętych wsparciem mikro-, małych i średnich przedsiębiorstw (w tym przedsiębiorstw spółdzielczych i przedsiębiorstw gospodarki społecznej)</w:t>
            </w:r>
          </w:p>
        </w:tc>
        <w:tc>
          <w:tcPr>
            <w:tcW w:w="0" w:type="auto"/>
            <w:shd w:val="clear" w:color="auto" w:fill="auto"/>
          </w:tcPr>
          <w:p w14:paraId="77769BB6"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1C409CF7"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75D26F57" w14:textId="77777777" w:rsidR="008C5CFA" w:rsidRPr="001C4484" w:rsidRDefault="008C5CFA" w:rsidP="00300A01">
            <w:pPr>
              <w:spacing w:before="0" w:after="0"/>
              <w:jc w:val="right"/>
              <w:rPr>
                <w:sz w:val="10"/>
                <w:szCs w:val="10"/>
              </w:rPr>
            </w:pPr>
          </w:p>
        </w:tc>
        <w:tc>
          <w:tcPr>
            <w:tcW w:w="0" w:type="auto"/>
            <w:shd w:val="clear" w:color="auto" w:fill="auto"/>
          </w:tcPr>
          <w:p w14:paraId="250664FA" w14:textId="77777777" w:rsidR="008C5CFA" w:rsidRPr="001C4484" w:rsidRDefault="008C5CFA" w:rsidP="00300A01">
            <w:pPr>
              <w:spacing w:before="0" w:after="0"/>
              <w:jc w:val="right"/>
              <w:rPr>
                <w:sz w:val="10"/>
                <w:szCs w:val="10"/>
                <w:lang w:val="fr-BE"/>
              </w:rPr>
            </w:pPr>
          </w:p>
        </w:tc>
        <w:tc>
          <w:tcPr>
            <w:tcW w:w="0" w:type="auto"/>
          </w:tcPr>
          <w:p w14:paraId="015C94C7"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57C4547B" w14:textId="77777777" w:rsidR="008C5CFA" w:rsidRPr="001C4484" w:rsidRDefault="008C5CFA" w:rsidP="00300A01">
            <w:pPr>
              <w:spacing w:before="0" w:after="0"/>
              <w:jc w:val="right"/>
              <w:rPr>
                <w:sz w:val="10"/>
                <w:szCs w:val="10"/>
              </w:rPr>
            </w:pPr>
          </w:p>
        </w:tc>
        <w:tc>
          <w:tcPr>
            <w:tcW w:w="0" w:type="auto"/>
            <w:shd w:val="clear" w:color="auto" w:fill="auto"/>
          </w:tcPr>
          <w:p w14:paraId="21E9E9BF" w14:textId="77777777" w:rsidR="008C5CFA" w:rsidRPr="001C4484" w:rsidRDefault="008C5CFA" w:rsidP="00300A01">
            <w:pPr>
              <w:spacing w:before="0" w:after="0"/>
              <w:jc w:val="right"/>
              <w:rPr>
                <w:sz w:val="10"/>
                <w:szCs w:val="10"/>
                <w:lang w:val="fr-BE"/>
              </w:rPr>
            </w:pPr>
          </w:p>
        </w:tc>
      </w:tr>
      <w:tr w:rsidR="006B2EC1" w14:paraId="1A3C08B4" w14:textId="77777777" w:rsidTr="0047688D">
        <w:tc>
          <w:tcPr>
            <w:tcW w:w="0" w:type="auto"/>
            <w:shd w:val="clear" w:color="auto" w:fill="auto"/>
          </w:tcPr>
          <w:p w14:paraId="495C2DA8" w14:textId="77777777" w:rsidR="008C5CFA" w:rsidRPr="001C4484" w:rsidRDefault="008C5CFA" w:rsidP="00300A01">
            <w:pPr>
              <w:spacing w:before="0" w:after="0"/>
              <w:rPr>
                <w:sz w:val="10"/>
                <w:szCs w:val="10"/>
                <w:lang w:val="fr-BE"/>
              </w:rPr>
            </w:pPr>
          </w:p>
        </w:tc>
        <w:tc>
          <w:tcPr>
            <w:tcW w:w="0" w:type="auto"/>
            <w:shd w:val="clear" w:color="auto" w:fill="auto"/>
          </w:tcPr>
          <w:p w14:paraId="70506291" w14:textId="77777777" w:rsidR="008C5CFA" w:rsidRPr="001C4484" w:rsidRDefault="00E82A60" w:rsidP="00300A01">
            <w:pPr>
              <w:spacing w:before="0" w:after="0"/>
              <w:rPr>
                <w:sz w:val="10"/>
                <w:szCs w:val="10"/>
                <w:lang w:val="fr-BE"/>
              </w:rPr>
            </w:pPr>
            <w:r w:rsidRPr="001C4484">
              <w:rPr>
                <w:noProof/>
                <w:sz w:val="10"/>
                <w:szCs w:val="10"/>
                <w:lang w:val="fr-BE"/>
              </w:rPr>
              <w:t>Całkowita łączna liczba uczestników</w:t>
            </w:r>
          </w:p>
        </w:tc>
        <w:tc>
          <w:tcPr>
            <w:tcW w:w="0" w:type="auto"/>
            <w:shd w:val="clear" w:color="auto" w:fill="auto"/>
          </w:tcPr>
          <w:p w14:paraId="56E23B07" w14:textId="77777777" w:rsidR="008C5CFA" w:rsidRPr="001C4484" w:rsidRDefault="008C5CFA" w:rsidP="00300A01">
            <w:pPr>
              <w:spacing w:before="0" w:after="0"/>
              <w:rPr>
                <w:sz w:val="10"/>
                <w:szCs w:val="10"/>
                <w:lang w:val="fr-BE"/>
              </w:rPr>
            </w:pPr>
          </w:p>
        </w:tc>
        <w:tc>
          <w:tcPr>
            <w:tcW w:w="0" w:type="auto"/>
          </w:tcPr>
          <w:p w14:paraId="3FFF5A2D" w14:textId="77777777" w:rsidR="008C5CFA" w:rsidRPr="001C4484" w:rsidRDefault="00E82A60" w:rsidP="00300A01">
            <w:pPr>
              <w:spacing w:before="0" w:after="0"/>
              <w:jc w:val="right"/>
              <w:rPr>
                <w:sz w:val="10"/>
                <w:szCs w:val="10"/>
              </w:rPr>
            </w:pPr>
            <w:r>
              <w:rPr>
                <w:noProof/>
                <w:sz w:val="10"/>
                <w:szCs w:val="10"/>
              </w:rPr>
              <w:t>18,00</w:t>
            </w:r>
          </w:p>
        </w:tc>
        <w:tc>
          <w:tcPr>
            <w:tcW w:w="0" w:type="auto"/>
            <w:shd w:val="clear" w:color="auto" w:fill="auto"/>
          </w:tcPr>
          <w:p w14:paraId="423359FF" w14:textId="77777777" w:rsidR="008C5CFA" w:rsidRPr="001C4484" w:rsidRDefault="008C5CFA" w:rsidP="00300A01">
            <w:pPr>
              <w:spacing w:before="0" w:after="0"/>
              <w:jc w:val="right"/>
              <w:rPr>
                <w:sz w:val="10"/>
                <w:szCs w:val="10"/>
              </w:rPr>
            </w:pPr>
          </w:p>
        </w:tc>
        <w:tc>
          <w:tcPr>
            <w:tcW w:w="0" w:type="auto"/>
            <w:shd w:val="clear" w:color="auto" w:fill="auto"/>
          </w:tcPr>
          <w:p w14:paraId="471069D2" w14:textId="77777777" w:rsidR="008C5CFA" w:rsidRPr="001C4484" w:rsidRDefault="008C5CFA" w:rsidP="00300A01">
            <w:pPr>
              <w:spacing w:before="0" w:after="0"/>
              <w:jc w:val="right"/>
              <w:rPr>
                <w:sz w:val="10"/>
                <w:szCs w:val="10"/>
                <w:lang w:val="fr-BE"/>
              </w:rPr>
            </w:pPr>
          </w:p>
        </w:tc>
        <w:tc>
          <w:tcPr>
            <w:tcW w:w="0" w:type="auto"/>
          </w:tcPr>
          <w:p w14:paraId="5BB8837D"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50994952" w14:textId="77777777" w:rsidR="008C5CFA" w:rsidRPr="001C4484" w:rsidRDefault="008C5CFA" w:rsidP="00300A01">
            <w:pPr>
              <w:spacing w:before="0" w:after="0"/>
              <w:jc w:val="right"/>
              <w:rPr>
                <w:sz w:val="10"/>
                <w:szCs w:val="10"/>
              </w:rPr>
            </w:pPr>
          </w:p>
        </w:tc>
        <w:tc>
          <w:tcPr>
            <w:tcW w:w="0" w:type="auto"/>
            <w:shd w:val="clear" w:color="auto" w:fill="auto"/>
          </w:tcPr>
          <w:p w14:paraId="239EB2BF" w14:textId="77777777" w:rsidR="008C5CFA" w:rsidRPr="001C4484" w:rsidRDefault="008C5CFA" w:rsidP="00300A01">
            <w:pPr>
              <w:spacing w:before="0" w:after="0"/>
              <w:jc w:val="right"/>
              <w:rPr>
                <w:sz w:val="10"/>
                <w:szCs w:val="10"/>
                <w:lang w:val="fr-BE"/>
              </w:rPr>
            </w:pPr>
          </w:p>
        </w:tc>
      </w:tr>
    </w:tbl>
    <w:p w14:paraId="0C26A787" w14:textId="77777777" w:rsidR="008C5CFA" w:rsidRDefault="00E82A60" w:rsidP="00300A01">
      <w:pPr>
        <w:spacing w:before="0" w:after="0"/>
        <w:rPr>
          <w:lang w:val="fr-BE"/>
        </w:rPr>
      </w:pPr>
      <w:r>
        <w:rPr>
          <w:lang w:val="fr-BE"/>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4"/>
        <w:gridCol w:w="13530"/>
      </w:tblGrid>
      <w:tr w:rsidR="006B2EC1" w14:paraId="076F966E" w14:textId="77777777" w:rsidTr="0047688D">
        <w:tc>
          <w:tcPr>
            <w:tcW w:w="0" w:type="auto"/>
            <w:shd w:val="clear" w:color="auto" w:fill="auto"/>
          </w:tcPr>
          <w:p w14:paraId="41F59A1E" w14:textId="77777777" w:rsidR="008C5CFA" w:rsidRPr="002124FC" w:rsidRDefault="00E82A60" w:rsidP="00300A01">
            <w:pPr>
              <w:spacing w:before="0" w:after="0"/>
              <w:rPr>
                <w:sz w:val="20"/>
                <w:szCs w:val="20"/>
                <w:lang w:val="fr-BE"/>
              </w:rPr>
            </w:pPr>
            <w:r>
              <w:rPr>
                <w:lang w:val="fr-BE"/>
              </w:rPr>
              <w:lastRenderedPageBreak/>
              <w:br w:type="page"/>
            </w:r>
            <w:r>
              <w:rPr>
                <w:lang w:val="fr-BE"/>
              </w:rPr>
              <w:br w:type="page"/>
            </w:r>
            <w:r w:rsidRPr="002124FC">
              <w:rPr>
                <w:noProof/>
                <w:sz w:val="20"/>
                <w:szCs w:val="20"/>
                <w:lang w:val="fr-BE"/>
              </w:rPr>
              <w:t>Oś priorytetowa</w:t>
            </w:r>
          </w:p>
        </w:tc>
        <w:tc>
          <w:tcPr>
            <w:tcW w:w="0" w:type="auto"/>
            <w:shd w:val="clear" w:color="auto" w:fill="auto"/>
          </w:tcPr>
          <w:p w14:paraId="062653F5" w14:textId="77777777" w:rsidR="008C5CFA" w:rsidRPr="002124FC" w:rsidRDefault="00E82A60" w:rsidP="00300A01">
            <w:pPr>
              <w:spacing w:before="0" w:after="0"/>
              <w:rPr>
                <w:sz w:val="20"/>
                <w:szCs w:val="20"/>
                <w:lang w:val="fr-BE"/>
              </w:rPr>
            </w:pPr>
            <w:r w:rsidRPr="002124FC">
              <w:rPr>
                <w:noProof/>
                <w:sz w:val="20"/>
                <w:szCs w:val="20"/>
                <w:lang w:val="fr-BE"/>
              </w:rPr>
              <w:t>8</w:t>
            </w:r>
            <w:r w:rsidRPr="002124FC">
              <w:rPr>
                <w:sz w:val="20"/>
                <w:szCs w:val="20"/>
                <w:lang w:val="fr-BE"/>
              </w:rPr>
              <w:t xml:space="preserve"> - </w:t>
            </w:r>
            <w:r w:rsidRPr="002124FC">
              <w:rPr>
                <w:noProof/>
                <w:sz w:val="20"/>
                <w:szCs w:val="20"/>
                <w:lang w:val="fr-BE"/>
              </w:rPr>
              <w:t>Rozwój edukacji i aktywne społeczeństwo</w:t>
            </w:r>
          </w:p>
        </w:tc>
      </w:tr>
      <w:tr w:rsidR="006B2EC1" w14:paraId="2B10D863" w14:textId="77777777" w:rsidTr="0047688D">
        <w:tc>
          <w:tcPr>
            <w:tcW w:w="0" w:type="auto"/>
            <w:shd w:val="clear" w:color="auto" w:fill="auto"/>
          </w:tcPr>
          <w:p w14:paraId="5EEAA4D2" w14:textId="77777777" w:rsidR="008C5CFA" w:rsidRPr="002124FC" w:rsidRDefault="00E82A60"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14:paraId="6AC1E23B" w14:textId="77777777" w:rsidR="008C5CFA" w:rsidRPr="002124FC" w:rsidRDefault="00E82A60" w:rsidP="00300A01">
            <w:pPr>
              <w:spacing w:before="0" w:after="0"/>
              <w:rPr>
                <w:sz w:val="20"/>
                <w:szCs w:val="20"/>
                <w:lang w:val="fr-BE"/>
              </w:rPr>
            </w:pPr>
            <w:r w:rsidRPr="002124FC">
              <w:rPr>
                <w:noProof/>
                <w:sz w:val="20"/>
                <w:szCs w:val="20"/>
                <w:lang w:val="fr-BE"/>
              </w:rPr>
              <w:t>10i</w:t>
            </w:r>
            <w:r w:rsidRPr="002124FC">
              <w:rPr>
                <w:sz w:val="20"/>
                <w:szCs w:val="20"/>
                <w:lang w:val="fr-BE"/>
              </w:rPr>
              <w:t xml:space="preserve"> - </w:t>
            </w:r>
            <w:r w:rsidRPr="002124FC">
              <w:rPr>
                <w:noProof/>
                <w:sz w:val="20"/>
                <w:szCs w:val="20"/>
                <w:lang w:val="fr-BE"/>
              </w:rPr>
              <w:t>Ograniczenie i zapobieganie przedwczesnemu kończeniu nauki szkolnej oraz zapewnianie równego dostępu do dobrej jakości wczesnej edukacji elementarnej oraz kształcenia podstawowego, gimnazjalnego i ponadgimnazjalnego, z uwzględnieniem formalnych, nieformalnych i pozaformalnych ścieżek kształcenia umożliwiających ponowne podjęcie kształcenia i szkolenia</w:t>
            </w:r>
          </w:p>
        </w:tc>
      </w:tr>
    </w:tbl>
    <w:p w14:paraId="404A1778" w14:textId="77777777" w:rsidR="008C5CFA" w:rsidRDefault="008C5CFA" w:rsidP="00300A01">
      <w:pPr>
        <w:spacing w:before="0" w:after="0"/>
      </w:pPr>
    </w:p>
    <w:p w14:paraId="757337B3" w14:textId="77777777" w:rsidR="008C5CFA" w:rsidRPr="008E457C" w:rsidRDefault="00E82A60" w:rsidP="00300A01">
      <w:pPr>
        <w:pStyle w:val="Nagwek2"/>
        <w:spacing w:before="0" w:after="0"/>
        <w:rPr>
          <w:b w:val="0"/>
        </w:rPr>
      </w:pPr>
      <w:bookmarkStart w:id="58" w:name="_Toc46391742"/>
      <w:r w:rsidRPr="008E457C">
        <w:rPr>
          <w:b w:val="0"/>
          <w:noProof/>
          <w:lang w:val="fr-BE"/>
        </w:rPr>
        <w:t>Tabela 4B Specyficzne dla programu wskaźniki produktu dla EFS oraz Inicjatywy na rzecz zatrudnienia ludzi młodych</w:t>
      </w:r>
      <w:r w:rsidR="009A51C8">
        <w:rPr>
          <w:b w:val="0"/>
        </w:rPr>
        <w:t xml:space="preserve"> - </w:t>
      </w:r>
      <w:r w:rsidR="009A51C8" w:rsidRPr="002124FC">
        <w:rPr>
          <w:noProof/>
          <w:sz w:val="20"/>
          <w:szCs w:val="20"/>
          <w:lang w:val="fr-BE"/>
        </w:rPr>
        <w:t>8</w:t>
      </w:r>
      <w:bookmarkEnd w:id="58"/>
    </w:p>
    <w:p w14:paraId="602CB773" w14:textId="77777777" w:rsidR="008C5CFA" w:rsidRDefault="008C5CFA" w:rsidP="00300A01">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97"/>
        <w:gridCol w:w="6155"/>
        <w:gridCol w:w="1011"/>
        <w:gridCol w:w="935"/>
        <w:gridCol w:w="580"/>
        <w:gridCol w:w="637"/>
        <w:gridCol w:w="512"/>
        <w:gridCol w:w="580"/>
        <w:gridCol w:w="637"/>
        <w:gridCol w:w="512"/>
        <w:gridCol w:w="506"/>
        <w:gridCol w:w="637"/>
        <w:gridCol w:w="512"/>
        <w:gridCol w:w="524"/>
        <w:gridCol w:w="637"/>
        <w:gridCol w:w="512"/>
      </w:tblGrid>
      <w:tr w:rsidR="006B2EC1" w14:paraId="400EB768" w14:textId="77777777" w:rsidTr="002A1502">
        <w:trPr>
          <w:tblHeader/>
        </w:trPr>
        <w:tc>
          <w:tcPr>
            <w:tcW w:w="0" w:type="auto"/>
            <w:shd w:val="clear" w:color="auto" w:fill="auto"/>
          </w:tcPr>
          <w:p w14:paraId="2E86A67F" w14:textId="77777777" w:rsidR="008C5CFA" w:rsidRPr="00A92B39" w:rsidRDefault="00E82A60" w:rsidP="00300A01">
            <w:pPr>
              <w:spacing w:before="0" w:after="0"/>
              <w:rPr>
                <w:b/>
                <w:sz w:val="10"/>
                <w:szCs w:val="10"/>
                <w:lang w:val="fr-BE"/>
              </w:rPr>
            </w:pPr>
            <w:r w:rsidRPr="00A92B39">
              <w:rPr>
                <w:b/>
                <w:noProof/>
                <w:sz w:val="10"/>
                <w:szCs w:val="10"/>
                <w:lang w:val="fr-BE"/>
              </w:rPr>
              <w:t>ID</w:t>
            </w:r>
          </w:p>
        </w:tc>
        <w:tc>
          <w:tcPr>
            <w:tcW w:w="0" w:type="auto"/>
            <w:shd w:val="clear" w:color="auto" w:fill="auto"/>
          </w:tcPr>
          <w:p w14:paraId="7EAE294E" w14:textId="77777777" w:rsidR="008C5CFA" w:rsidRPr="00A92B39" w:rsidRDefault="00E82A60" w:rsidP="00300A01">
            <w:pPr>
              <w:spacing w:before="0" w:after="0"/>
              <w:rPr>
                <w:b/>
                <w:sz w:val="10"/>
                <w:szCs w:val="10"/>
                <w:lang w:val="fr-BE"/>
              </w:rPr>
            </w:pPr>
            <w:r w:rsidRPr="00A92B39">
              <w:rPr>
                <w:b/>
                <w:noProof/>
                <w:sz w:val="10"/>
                <w:szCs w:val="10"/>
                <w:lang w:val="fr-BE"/>
              </w:rPr>
              <w:t>Wskaźnik</w:t>
            </w:r>
          </w:p>
        </w:tc>
        <w:tc>
          <w:tcPr>
            <w:tcW w:w="0" w:type="auto"/>
            <w:shd w:val="clear" w:color="auto" w:fill="auto"/>
          </w:tcPr>
          <w:p w14:paraId="7A738700" w14:textId="77777777" w:rsidR="008C5CFA" w:rsidRPr="00A92B39" w:rsidRDefault="00E82A60" w:rsidP="00300A01">
            <w:pPr>
              <w:spacing w:before="0" w:after="0"/>
              <w:rPr>
                <w:b/>
                <w:sz w:val="10"/>
                <w:szCs w:val="10"/>
                <w:lang w:val="fr-BE"/>
              </w:rPr>
            </w:pPr>
            <w:r w:rsidRPr="00A92B39">
              <w:rPr>
                <w:b/>
                <w:noProof/>
                <w:sz w:val="10"/>
                <w:szCs w:val="10"/>
                <w:lang w:val="fr-BE"/>
              </w:rPr>
              <w:t>Kategoria regionu</w:t>
            </w:r>
          </w:p>
        </w:tc>
        <w:tc>
          <w:tcPr>
            <w:tcW w:w="0" w:type="auto"/>
          </w:tcPr>
          <w:p w14:paraId="3D0EF9F8" w14:textId="77777777" w:rsidR="008C5CFA" w:rsidRPr="00A92B39" w:rsidRDefault="00E82A60" w:rsidP="00300A01">
            <w:pPr>
              <w:spacing w:before="0" w:after="0"/>
              <w:jc w:val="center"/>
              <w:rPr>
                <w:b/>
                <w:sz w:val="10"/>
                <w:szCs w:val="10"/>
                <w:lang w:val="fr-BE"/>
              </w:rPr>
            </w:pPr>
            <w:r w:rsidRPr="00A92B39">
              <w:rPr>
                <w:b/>
                <w:noProof/>
                <w:sz w:val="10"/>
                <w:szCs w:val="10"/>
                <w:lang w:val="fr-BE"/>
              </w:rPr>
              <w:t>Jednostka miary</w:t>
            </w:r>
          </w:p>
        </w:tc>
        <w:tc>
          <w:tcPr>
            <w:tcW w:w="0" w:type="auto"/>
            <w:gridSpan w:val="3"/>
            <w:shd w:val="clear" w:color="auto" w:fill="auto"/>
          </w:tcPr>
          <w:p w14:paraId="02987963" w14:textId="77777777" w:rsidR="008C5CFA" w:rsidRPr="00A92B39" w:rsidRDefault="00E82A60" w:rsidP="00300A01">
            <w:pPr>
              <w:spacing w:before="0" w:after="0"/>
              <w:jc w:val="center"/>
              <w:rPr>
                <w:b/>
                <w:sz w:val="10"/>
                <w:szCs w:val="10"/>
                <w:lang w:val="fr-BE"/>
              </w:rPr>
            </w:pPr>
            <w:r w:rsidRPr="00A92B39">
              <w:rPr>
                <w:b/>
                <w:noProof/>
                <w:sz w:val="10"/>
                <w:szCs w:val="10"/>
                <w:lang w:val="fr-BE"/>
              </w:rPr>
              <w:t>Wartość docelowa (2023)</w:t>
            </w:r>
          </w:p>
        </w:tc>
        <w:tc>
          <w:tcPr>
            <w:tcW w:w="0" w:type="auto"/>
            <w:gridSpan w:val="3"/>
            <w:shd w:val="clear" w:color="auto" w:fill="auto"/>
          </w:tcPr>
          <w:p w14:paraId="2E7579B9" w14:textId="77777777" w:rsidR="008C5CFA" w:rsidRPr="00A92B39" w:rsidRDefault="00E82A60" w:rsidP="00300A01">
            <w:pPr>
              <w:spacing w:before="0" w:after="0"/>
              <w:jc w:val="center"/>
              <w:rPr>
                <w:b/>
                <w:sz w:val="10"/>
                <w:szCs w:val="10"/>
                <w:lang w:val="fr-BE"/>
              </w:rPr>
            </w:pPr>
            <w:r w:rsidRPr="00A92B39">
              <w:rPr>
                <w:b/>
                <w:noProof/>
                <w:sz w:val="10"/>
                <w:szCs w:val="10"/>
                <w:lang w:val="fr-BE"/>
              </w:rPr>
              <w:t>Wartość skumulowana</w:t>
            </w:r>
          </w:p>
        </w:tc>
        <w:tc>
          <w:tcPr>
            <w:tcW w:w="0" w:type="auto"/>
            <w:gridSpan w:val="3"/>
            <w:shd w:val="clear" w:color="auto" w:fill="auto"/>
          </w:tcPr>
          <w:p w14:paraId="6BCB6EDF" w14:textId="77777777" w:rsidR="008C5CFA" w:rsidRPr="00A92B39" w:rsidRDefault="00E82A60" w:rsidP="00300A01">
            <w:pPr>
              <w:spacing w:before="0" w:after="0"/>
              <w:jc w:val="center"/>
              <w:rPr>
                <w:b/>
                <w:sz w:val="10"/>
                <w:szCs w:val="10"/>
                <w:lang w:val="fr-BE"/>
              </w:rPr>
            </w:pPr>
            <w:r w:rsidRPr="00A92B39">
              <w:rPr>
                <w:b/>
                <w:noProof/>
                <w:sz w:val="10"/>
                <w:szCs w:val="10"/>
                <w:lang w:val="fr-BE"/>
              </w:rPr>
              <w:t>Wskaźnik osiągnięć</w:t>
            </w:r>
          </w:p>
        </w:tc>
        <w:tc>
          <w:tcPr>
            <w:tcW w:w="0" w:type="auto"/>
            <w:gridSpan w:val="3"/>
          </w:tcPr>
          <w:p w14:paraId="7669487C" w14:textId="77777777" w:rsidR="008C5CFA" w:rsidRPr="00A92B39" w:rsidRDefault="00E82A60" w:rsidP="00300A01">
            <w:pPr>
              <w:spacing w:before="0" w:after="0"/>
              <w:jc w:val="center"/>
              <w:rPr>
                <w:b/>
                <w:sz w:val="10"/>
                <w:szCs w:val="10"/>
                <w:lang w:val="fr-BE"/>
              </w:rPr>
            </w:pPr>
            <w:r w:rsidRPr="00A92B39">
              <w:rPr>
                <w:bCs/>
                <w:sz w:val="10"/>
                <w:szCs w:val="10"/>
                <w:lang w:val="en-US"/>
              </w:rPr>
              <w:t>2019</w:t>
            </w:r>
          </w:p>
        </w:tc>
      </w:tr>
      <w:tr w:rsidR="006B2EC1" w14:paraId="33ADFC2C" w14:textId="77777777" w:rsidTr="002A1502">
        <w:trPr>
          <w:tblHeader/>
        </w:trPr>
        <w:tc>
          <w:tcPr>
            <w:tcW w:w="0" w:type="auto"/>
            <w:shd w:val="clear" w:color="auto" w:fill="auto"/>
          </w:tcPr>
          <w:p w14:paraId="0F9EDC16" w14:textId="77777777" w:rsidR="008C5CFA" w:rsidRPr="00A92B39" w:rsidRDefault="008C5CFA" w:rsidP="00300A01">
            <w:pPr>
              <w:spacing w:before="0" w:after="0"/>
              <w:rPr>
                <w:b/>
                <w:sz w:val="10"/>
                <w:szCs w:val="10"/>
                <w:lang w:val="fr-BE"/>
              </w:rPr>
            </w:pPr>
          </w:p>
        </w:tc>
        <w:tc>
          <w:tcPr>
            <w:tcW w:w="0" w:type="auto"/>
            <w:shd w:val="clear" w:color="auto" w:fill="auto"/>
          </w:tcPr>
          <w:p w14:paraId="5C6E0085" w14:textId="77777777" w:rsidR="008C5CFA" w:rsidRPr="00A92B39" w:rsidRDefault="008C5CFA" w:rsidP="00300A01">
            <w:pPr>
              <w:spacing w:before="0" w:after="0"/>
              <w:rPr>
                <w:b/>
                <w:sz w:val="10"/>
                <w:szCs w:val="10"/>
                <w:lang w:val="fr-BE"/>
              </w:rPr>
            </w:pPr>
          </w:p>
        </w:tc>
        <w:tc>
          <w:tcPr>
            <w:tcW w:w="0" w:type="auto"/>
            <w:shd w:val="clear" w:color="auto" w:fill="auto"/>
          </w:tcPr>
          <w:p w14:paraId="0316E7EE" w14:textId="77777777" w:rsidR="008C5CFA" w:rsidRPr="00A92B39" w:rsidRDefault="008C5CFA" w:rsidP="00300A01">
            <w:pPr>
              <w:spacing w:before="0" w:after="0"/>
              <w:rPr>
                <w:b/>
                <w:sz w:val="10"/>
                <w:szCs w:val="10"/>
                <w:lang w:val="fr-BE"/>
              </w:rPr>
            </w:pPr>
          </w:p>
        </w:tc>
        <w:tc>
          <w:tcPr>
            <w:tcW w:w="0" w:type="auto"/>
          </w:tcPr>
          <w:p w14:paraId="20CC415F" w14:textId="77777777" w:rsidR="008C5CFA" w:rsidRPr="00A92B39" w:rsidRDefault="008C5CFA" w:rsidP="00300A01">
            <w:pPr>
              <w:spacing w:before="0" w:after="0"/>
              <w:jc w:val="center"/>
              <w:rPr>
                <w:b/>
                <w:sz w:val="10"/>
                <w:szCs w:val="10"/>
                <w:lang w:val="fr-BE"/>
              </w:rPr>
            </w:pPr>
          </w:p>
        </w:tc>
        <w:tc>
          <w:tcPr>
            <w:tcW w:w="0" w:type="auto"/>
            <w:shd w:val="clear" w:color="auto" w:fill="auto"/>
          </w:tcPr>
          <w:p w14:paraId="56F49DEC" w14:textId="77777777" w:rsidR="008C5CFA" w:rsidRPr="00A92B39" w:rsidRDefault="00E82A60" w:rsidP="00300A01">
            <w:pPr>
              <w:spacing w:before="0" w:after="0"/>
              <w:jc w:val="center"/>
              <w:rPr>
                <w:b/>
                <w:sz w:val="10"/>
                <w:szCs w:val="10"/>
                <w:lang w:val="fr-BE"/>
              </w:rPr>
            </w:pPr>
            <w:r w:rsidRPr="00A92B39">
              <w:rPr>
                <w:b/>
                <w:noProof/>
                <w:sz w:val="10"/>
                <w:szCs w:val="10"/>
                <w:lang w:val="fr-BE"/>
              </w:rPr>
              <w:t>Ogółem</w:t>
            </w:r>
          </w:p>
        </w:tc>
        <w:tc>
          <w:tcPr>
            <w:tcW w:w="0" w:type="auto"/>
            <w:shd w:val="clear" w:color="auto" w:fill="auto"/>
          </w:tcPr>
          <w:p w14:paraId="015B515D" w14:textId="77777777" w:rsidR="008C5CFA" w:rsidRPr="00A92B39" w:rsidRDefault="00E82A60" w:rsidP="00300A01">
            <w:pPr>
              <w:spacing w:before="0" w:after="0"/>
              <w:jc w:val="center"/>
              <w:rPr>
                <w:b/>
                <w:sz w:val="10"/>
                <w:szCs w:val="10"/>
                <w:lang w:val="fr-BE"/>
              </w:rPr>
            </w:pPr>
            <w:r w:rsidRPr="00A92B39">
              <w:rPr>
                <w:b/>
                <w:noProof/>
                <w:sz w:val="10"/>
                <w:szCs w:val="10"/>
                <w:lang w:val="fr-BE"/>
              </w:rPr>
              <w:t>Mężczyźni</w:t>
            </w:r>
          </w:p>
        </w:tc>
        <w:tc>
          <w:tcPr>
            <w:tcW w:w="0" w:type="auto"/>
            <w:shd w:val="clear" w:color="auto" w:fill="auto"/>
          </w:tcPr>
          <w:p w14:paraId="274CFC1B" w14:textId="77777777" w:rsidR="008C5CFA" w:rsidRPr="00A92B39" w:rsidRDefault="00E82A60" w:rsidP="00300A01">
            <w:pPr>
              <w:spacing w:before="0" w:after="0"/>
              <w:jc w:val="center"/>
              <w:rPr>
                <w:b/>
                <w:sz w:val="10"/>
                <w:szCs w:val="10"/>
                <w:lang w:val="fr-BE"/>
              </w:rPr>
            </w:pPr>
            <w:r w:rsidRPr="00A92B39">
              <w:rPr>
                <w:b/>
                <w:noProof/>
                <w:sz w:val="10"/>
                <w:szCs w:val="10"/>
                <w:lang w:val="fr-BE"/>
              </w:rPr>
              <w:t>Kobiety</w:t>
            </w:r>
          </w:p>
        </w:tc>
        <w:tc>
          <w:tcPr>
            <w:tcW w:w="0" w:type="auto"/>
            <w:shd w:val="clear" w:color="auto" w:fill="auto"/>
          </w:tcPr>
          <w:p w14:paraId="4F706ECD" w14:textId="77777777" w:rsidR="008C5CFA" w:rsidRPr="00A92B39" w:rsidRDefault="00E82A60" w:rsidP="00300A01">
            <w:pPr>
              <w:spacing w:before="0" w:after="0"/>
              <w:jc w:val="center"/>
              <w:rPr>
                <w:b/>
                <w:sz w:val="10"/>
                <w:szCs w:val="10"/>
                <w:lang w:val="fr-BE"/>
              </w:rPr>
            </w:pPr>
            <w:r w:rsidRPr="00A92B39">
              <w:rPr>
                <w:b/>
                <w:noProof/>
                <w:sz w:val="10"/>
                <w:szCs w:val="10"/>
                <w:lang w:val="fr-BE"/>
              </w:rPr>
              <w:t>Ogółem</w:t>
            </w:r>
          </w:p>
        </w:tc>
        <w:tc>
          <w:tcPr>
            <w:tcW w:w="0" w:type="auto"/>
            <w:shd w:val="clear" w:color="auto" w:fill="auto"/>
          </w:tcPr>
          <w:p w14:paraId="27578F65" w14:textId="77777777" w:rsidR="008C5CFA" w:rsidRPr="00A92B39" w:rsidRDefault="00E82A60" w:rsidP="00300A01">
            <w:pPr>
              <w:spacing w:before="0" w:after="0"/>
              <w:jc w:val="center"/>
              <w:rPr>
                <w:b/>
                <w:sz w:val="10"/>
                <w:szCs w:val="10"/>
                <w:lang w:val="fr-BE"/>
              </w:rPr>
            </w:pPr>
            <w:r w:rsidRPr="00A92B39">
              <w:rPr>
                <w:b/>
                <w:noProof/>
                <w:sz w:val="10"/>
                <w:szCs w:val="10"/>
                <w:lang w:val="fr-BE"/>
              </w:rPr>
              <w:t>Mężczyźni</w:t>
            </w:r>
          </w:p>
        </w:tc>
        <w:tc>
          <w:tcPr>
            <w:tcW w:w="0" w:type="auto"/>
            <w:shd w:val="clear" w:color="auto" w:fill="auto"/>
          </w:tcPr>
          <w:p w14:paraId="6524DA79" w14:textId="77777777" w:rsidR="008C5CFA" w:rsidRPr="00A92B39" w:rsidRDefault="00E82A60" w:rsidP="00300A01">
            <w:pPr>
              <w:spacing w:before="0" w:after="0"/>
              <w:jc w:val="center"/>
              <w:rPr>
                <w:b/>
                <w:sz w:val="10"/>
                <w:szCs w:val="10"/>
                <w:lang w:val="fr-BE"/>
              </w:rPr>
            </w:pPr>
            <w:r w:rsidRPr="00A92B39">
              <w:rPr>
                <w:b/>
                <w:noProof/>
                <w:sz w:val="10"/>
                <w:szCs w:val="10"/>
                <w:lang w:val="fr-BE"/>
              </w:rPr>
              <w:t>Kobiety</w:t>
            </w:r>
          </w:p>
        </w:tc>
        <w:tc>
          <w:tcPr>
            <w:tcW w:w="0" w:type="auto"/>
            <w:shd w:val="clear" w:color="auto" w:fill="auto"/>
          </w:tcPr>
          <w:p w14:paraId="51DE4A6B" w14:textId="77777777" w:rsidR="008C5CFA" w:rsidRPr="00A92B39" w:rsidRDefault="00E82A60" w:rsidP="00300A01">
            <w:pPr>
              <w:spacing w:before="0" w:after="0"/>
              <w:jc w:val="center"/>
              <w:rPr>
                <w:b/>
                <w:sz w:val="10"/>
                <w:szCs w:val="10"/>
                <w:lang w:val="fr-BE"/>
              </w:rPr>
            </w:pPr>
            <w:r w:rsidRPr="00A92B39">
              <w:rPr>
                <w:b/>
                <w:noProof/>
                <w:sz w:val="10"/>
                <w:szCs w:val="10"/>
                <w:lang w:val="fr-BE"/>
              </w:rPr>
              <w:t>Ogółem</w:t>
            </w:r>
          </w:p>
        </w:tc>
        <w:tc>
          <w:tcPr>
            <w:tcW w:w="0" w:type="auto"/>
            <w:shd w:val="clear" w:color="auto" w:fill="auto"/>
          </w:tcPr>
          <w:p w14:paraId="57D9CB61" w14:textId="77777777" w:rsidR="008C5CFA" w:rsidRPr="00A92B39" w:rsidRDefault="00E82A60" w:rsidP="00300A01">
            <w:pPr>
              <w:spacing w:before="0" w:after="0"/>
              <w:jc w:val="center"/>
              <w:rPr>
                <w:b/>
                <w:sz w:val="10"/>
                <w:szCs w:val="10"/>
                <w:lang w:val="fr-BE"/>
              </w:rPr>
            </w:pPr>
            <w:r w:rsidRPr="00A92B39">
              <w:rPr>
                <w:b/>
                <w:noProof/>
                <w:sz w:val="10"/>
                <w:szCs w:val="10"/>
                <w:lang w:val="fr-BE"/>
              </w:rPr>
              <w:t>Mężczyźni</w:t>
            </w:r>
          </w:p>
        </w:tc>
        <w:tc>
          <w:tcPr>
            <w:tcW w:w="0" w:type="auto"/>
            <w:shd w:val="clear" w:color="auto" w:fill="auto"/>
          </w:tcPr>
          <w:p w14:paraId="595C2047" w14:textId="77777777" w:rsidR="008C5CFA" w:rsidRPr="00A92B39" w:rsidRDefault="00E82A60" w:rsidP="00300A01">
            <w:pPr>
              <w:spacing w:before="0" w:after="0"/>
              <w:jc w:val="center"/>
              <w:rPr>
                <w:b/>
                <w:sz w:val="10"/>
                <w:szCs w:val="10"/>
                <w:lang w:val="fr-BE"/>
              </w:rPr>
            </w:pPr>
            <w:r w:rsidRPr="00A92B39">
              <w:rPr>
                <w:b/>
                <w:noProof/>
                <w:sz w:val="10"/>
                <w:szCs w:val="10"/>
                <w:lang w:val="fr-BE"/>
              </w:rPr>
              <w:t>Kobiety</w:t>
            </w:r>
          </w:p>
        </w:tc>
        <w:tc>
          <w:tcPr>
            <w:tcW w:w="0" w:type="auto"/>
          </w:tcPr>
          <w:p w14:paraId="3E4F2E0B" w14:textId="77777777" w:rsidR="008C5CFA" w:rsidRPr="00A92B39" w:rsidRDefault="00E82A60" w:rsidP="00300A01">
            <w:pPr>
              <w:spacing w:before="0" w:after="0"/>
              <w:jc w:val="center"/>
              <w:rPr>
                <w:b/>
                <w:sz w:val="10"/>
                <w:szCs w:val="10"/>
                <w:lang w:val="fr-BE"/>
              </w:rPr>
            </w:pPr>
            <w:r w:rsidRPr="00A92B39">
              <w:rPr>
                <w:b/>
                <w:noProof/>
                <w:sz w:val="10"/>
                <w:szCs w:val="10"/>
                <w:lang w:val="fr-BE"/>
              </w:rPr>
              <w:t>Ogółem</w:t>
            </w:r>
          </w:p>
        </w:tc>
        <w:tc>
          <w:tcPr>
            <w:tcW w:w="0" w:type="auto"/>
            <w:shd w:val="clear" w:color="auto" w:fill="auto"/>
          </w:tcPr>
          <w:p w14:paraId="7EA62533" w14:textId="77777777" w:rsidR="008C5CFA" w:rsidRPr="00A92B39" w:rsidRDefault="00E82A60" w:rsidP="00300A01">
            <w:pPr>
              <w:spacing w:before="0" w:after="0"/>
              <w:jc w:val="center"/>
              <w:rPr>
                <w:b/>
                <w:sz w:val="10"/>
                <w:szCs w:val="10"/>
                <w:lang w:val="fr-BE"/>
              </w:rPr>
            </w:pPr>
            <w:r w:rsidRPr="00A92B39">
              <w:rPr>
                <w:b/>
                <w:noProof/>
                <w:sz w:val="10"/>
                <w:szCs w:val="10"/>
                <w:lang w:val="fr-BE"/>
              </w:rPr>
              <w:t>Mężczyźni</w:t>
            </w:r>
          </w:p>
        </w:tc>
        <w:tc>
          <w:tcPr>
            <w:tcW w:w="0" w:type="auto"/>
            <w:shd w:val="clear" w:color="auto" w:fill="auto"/>
          </w:tcPr>
          <w:p w14:paraId="46EE0120" w14:textId="77777777" w:rsidR="008C5CFA" w:rsidRPr="00A92B39" w:rsidRDefault="00E82A60" w:rsidP="00300A01">
            <w:pPr>
              <w:spacing w:before="0" w:after="0"/>
              <w:jc w:val="center"/>
              <w:rPr>
                <w:b/>
                <w:sz w:val="10"/>
                <w:szCs w:val="10"/>
                <w:lang w:val="fr-BE"/>
              </w:rPr>
            </w:pPr>
            <w:r w:rsidRPr="00A92B39">
              <w:rPr>
                <w:b/>
                <w:noProof/>
                <w:sz w:val="10"/>
                <w:szCs w:val="10"/>
                <w:lang w:val="fr-BE"/>
              </w:rPr>
              <w:t>Kobiety</w:t>
            </w:r>
          </w:p>
        </w:tc>
      </w:tr>
      <w:tr w:rsidR="006B2EC1" w14:paraId="1DC48264" w14:textId="77777777" w:rsidTr="002A1502">
        <w:tc>
          <w:tcPr>
            <w:tcW w:w="0" w:type="auto"/>
            <w:shd w:val="clear" w:color="auto" w:fill="auto"/>
          </w:tcPr>
          <w:p w14:paraId="34AFEBC4" w14:textId="77777777" w:rsidR="008C5CFA" w:rsidRPr="00A92B39" w:rsidRDefault="00E82A60" w:rsidP="00300A01">
            <w:pPr>
              <w:spacing w:before="0" w:after="0"/>
              <w:rPr>
                <w:sz w:val="10"/>
                <w:szCs w:val="10"/>
                <w:lang w:val="fr-BE"/>
              </w:rPr>
            </w:pPr>
            <w:r w:rsidRPr="00A92B39">
              <w:rPr>
                <w:noProof/>
                <w:sz w:val="10"/>
                <w:szCs w:val="10"/>
                <w:lang w:val="fr-BE"/>
              </w:rPr>
              <w:t>006</w:t>
            </w:r>
          </w:p>
        </w:tc>
        <w:tc>
          <w:tcPr>
            <w:tcW w:w="0" w:type="auto"/>
            <w:shd w:val="clear" w:color="auto" w:fill="auto"/>
          </w:tcPr>
          <w:p w14:paraId="5BF4987E" w14:textId="77777777" w:rsidR="008C5CFA" w:rsidRPr="00A92B39" w:rsidRDefault="00E82A60" w:rsidP="00300A01">
            <w:pPr>
              <w:spacing w:before="0" w:after="0"/>
              <w:rPr>
                <w:sz w:val="10"/>
                <w:szCs w:val="10"/>
                <w:lang w:val="fr-BE"/>
              </w:rPr>
            </w:pPr>
            <w:r w:rsidRPr="00A92B39">
              <w:rPr>
                <w:noProof/>
                <w:sz w:val="10"/>
                <w:szCs w:val="10"/>
                <w:lang w:val="fr-BE"/>
              </w:rPr>
              <w:t>Liczba nauczycieli objętych wsparciem w programie</w:t>
            </w:r>
          </w:p>
        </w:tc>
        <w:tc>
          <w:tcPr>
            <w:tcW w:w="0" w:type="auto"/>
            <w:shd w:val="clear" w:color="auto" w:fill="auto"/>
          </w:tcPr>
          <w:p w14:paraId="518AEEE4" w14:textId="77777777" w:rsidR="008C5CFA" w:rsidRPr="00A92B39" w:rsidRDefault="00E82A60" w:rsidP="00300A01">
            <w:pPr>
              <w:spacing w:before="0" w:after="0"/>
              <w:rPr>
                <w:sz w:val="10"/>
                <w:szCs w:val="10"/>
                <w:lang w:val="fr-BE"/>
              </w:rPr>
            </w:pPr>
            <w:r w:rsidRPr="00A92B39">
              <w:rPr>
                <w:noProof/>
                <w:sz w:val="10"/>
                <w:szCs w:val="10"/>
                <w:lang w:val="fr-BE"/>
              </w:rPr>
              <w:t>Słabiej rozwinięte</w:t>
            </w:r>
          </w:p>
        </w:tc>
        <w:tc>
          <w:tcPr>
            <w:tcW w:w="0" w:type="auto"/>
          </w:tcPr>
          <w:p w14:paraId="59FB87DA" w14:textId="77777777" w:rsidR="008C5CFA" w:rsidRPr="00A92B39" w:rsidRDefault="00E82A60" w:rsidP="00300A01">
            <w:pPr>
              <w:spacing w:before="0" w:after="0"/>
              <w:rPr>
                <w:sz w:val="10"/>
                <w:szCs w:val="10"/>
                <w:lang w:val="fr-BE"/>
              </w:rPr>
            </w:pPr>
            <w:r w:rsidRPr="00A92B39">
              <w:rPr>
                <w:noProof/>
                <w:sz w:val="10"/>
                <w:szCs w:val="10"/>
                <w:lang w:val="fr-BE"/>
              </w:rPr>
              <w:t>osoba</w:t>
            </w:r>
          </w:p>
        </w:tc>
        <w:tc>
          <w:tcPr>
            <w:tcW w:w="0" w:type="auto"/>
            <w:shd w:val="clear" w:color="auto" w:fill="auto"/>
          </w:tcPr>
          <w:p w14:paraId="2197AD09" w14:textId="77777777" w:rsidR="008C5CFA" w:rsidRPr="00A92B39" w:rsidRDefault="00E82A60" w:rsidP="00300A01">
            <w:pPr>
              <w:spacing w:before="0" w:after="0"/>
              <w:jc w:val="right"/>
              <w:rPr>
                <w:sz w:val="10"/>
                <w:szCs w:val="10"/>
                <w:lang w:val="fr-BE"/>
              </w:rPr>
            </w:pPr>
            <w:r w:rsidRPr="00A92B39">
              <w:rPr>
                <w:noProof/>
                <w:sz w:val="10"/>
                <w:szCs w:val="10"/>
                <w:lang w:val="fr-BE"/>
              </w:rPr>
              <w:t>2 667,00</w:t>
            </w:r>
          </w:p>
        </w:tc>
        <w:tc>
          <w:tcPr>
            <w:tcW w:w="0" w:type="auto"/>
            <w:shd w:val="clear" w:color="auto" w:fill="auto"/>
          </w:tcPr>
          <w:p w14:paraId="52D5E8E4" w14:textId="77777777" w:rsidR="008C5CFA" w:rsidRPr="00A92B39" w:rsidRDefault="008C5CFA" w:rsidP="00300A01">
            <w:pPr>
              <w:spacing w:before="0" w:after="0"/>
              <w:jc w:val="right"/>
              <w:rPr>
                <w:sz w:val="10"/>
                <w:szCs w:val="10"/>
                <w:lang w:val="fr-BE"/>
              </w:rPr>
            </w:pPr>
          </w:p>
        </w:tc>
        <w:tc>
          <w:tcPr>
            <w:tcW w:w="0" w:type="auto"/>
            <w:shd w:val="clear" w:color="auto" w:fill="auto"/>
          </w:tcPr>
          <w:p w14:paraId="73545CA0" w14:textId="77777777" w:rsidR="008C5CFA" w:rsidRPr="00A92B39" w:rsidRDefault="008C5CFA" w:rsidP="00300A01">
            <w:pPr>
              <w:spacing w:before="0" w:after="0"/>
              <w:jc w:val="right"/>
              <w:rPr>
                <w:sz w:val="10"/>
                <w:szCs w:val="10"/>
                <w:lang w:val="fr-BE"/>
              </w:rPr>
            </w:pPr>
          </w:p>
        </w:tc>
        <w:tc>
          <w:tcPr>
            <w:tcW w:w="0" w:type="auto"/>
            <w:shd w:val="clear" w:color="auto" w:fill="auto"/>
          </w:tcPr>
          <w:p w14:paraId="06725240" w14:textId="77777777" w:rsidR="008C5CFA" w:rsidRPr="00A92B39" w:rsidRDefault="00E82A60" w:rsidP="00300A01">
            <w:pPr>
              <w:spacing w:before="0" w:after="0"/>
              <w:jc w:val="right"/>
              <w:rPr>
                <w:sz w:val="10"/>
                <w:szCs w:val="10"/>
                <w:lang w:val="fr-BE"/>
              </w:rPr>
            </w:pPr>
            <w:r w:rsidRPr="00A92B39">
              <w:rPr>
                <w:noProof/>
                <w:sz w:val="10"/>
                <w:szCs w:val="10"/>
                <w:lang w:val="fr-BE"/>
              </w:rPr>
              <w:t>2 926,00</w:t>
            </w:r>
          </w:p>
        </w:tc>
        <w:tc>
          <w:tcPr>
            <w:tcW w:w="0" w:type="auto"/>
            <w:shd w:val="clear" w:color="auto" w:fill="auto"/>
          </w:tcPr>
          <w:p w14:paraId="6ACA18EB"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14:paraId="662AEDFF"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14:paraId="17F94EF1" w14:textId="77777777" w:rsidR="008C5CFA" w:rsidRPr="00A92B39" w:rsidRDefault="00E82A60" w:rsidP="00300A01">
            <w:pPr>
              <w:spacing w:before="0" w:after="0"/>
              <w:jc w:val="right"/>
              <w:rPr>
                <w:sz w:val="10"/>
                <w:szCs w:val="10"/>
                <w:lang w:val="fr-BE"/>
              </w:rPr>
            </w:pPr>
            <w:r>
              <w:rPr>
                <w:noProof/>
                <w:sz w:val="10"/>
                <w:szCs w:val="10"/>
                <w:lang w:val="fr-BE"/>
              </w:rPr>
              <w:t>1,10</w:t>
            </w:r>
          </w:p>
        </w:tc>
        <w:tc>
          <w:tcPr>
            <w:tcW w:w="0" w:type="auto"/>
            <w:shd w:val="clear" w:color="auto" w:fill="auto"/>
          </w:tcPr>
          <w:p w14:paraId="52563E54" w14:textId="77777777" w:rsidR="008C5CFA" w:rsidRPr="00A92B39" w:rsidRDefault="008C5CFA" w:rsidP="00300A01">
            <w:pPr>
              <w:spacing w:before="0" w:after="0"/>
              <w:jc w:val="right"/>
              <w:rPr>
                <w:sz w:val="10"/>
                <w:szCs w:val="10"/>
                <w:lang w:val="fr-BE"/>
              </w:rPr>
            </w:pPr>
          </w:p>
        </w:tc>
        <w:tc>
          <w:tcPr>
            <w:tcW w:w="0" w:type="auto"/>
            <w:shd w:val="clear" w:color="auto" w:fill="auto"/>
          </w:tcPr>
          <w:p w14:paraId="51A200FE" w14:textId="77777777" w:rsidR="008C5CFA" w:rsidRPr="00A92B39" w:rsidRDefault="008C5CFA" w:rsidP="00300A01">
            <w:pPr>
              <w:spacing w:before="0" w:after="0"/>
              <w:jc w:val="right"/>
              <w:rPr>
                <w:sz w:val="10"/>
                <w:szCs w:val="10"/>
                <w:lang w:val="fr-BE"/>
              </w:rPr>
            </w:pPr>
          </w:p>
        </w:tc>
        <w:tc>
          <w:tcPr>
            <w:tcW w:w="0" w:type="auto"/>
          </w:tcPr>
          <w:p w14:paraId="4F0D005E" w14:textId="77777777" w:rsidR="008C5CFA" w:rsidRPr="00A92B39" w:rsidRDefault="00E82A60" w:rsidP="00300A01">
            <w:pPr>
              <w:spacing w:before="0" w:after="0"/>
              <w:jc w:val="right"/>
              <w:rPr>
                <w:sz w:val="10"/>
                <w:szCs w:val="10"/>
                <w:lang w:val="fr-BE"/>
              </w:rPr>
            </w:pPr>
            <w:r w:rsidRPr="00A92B39">
              <w:rPr>
                <w:noProof/>
                <w:sz w:val="10"/>
                <w:szCs w:val="10"/>
                <w:lang w:val="fr-BE"/>
              </w:rPr>
              <w:t>1 593,00</w:t>
            </w:r>
          </w:p>
        </w:tc>
        <w:tc>
          <w:tcPr>
            <w:tcW w:w="0" w:type="auto"/>
            <w:shd w:val="clear" w:color="auto" w:fill="auto"/>
          </w:tcPr>
          <w:p w14:paraId="40D3E5CC"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14:paraId="1C23A02C"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r>
      <w:tr w:rsidR="006B2EC1" w14:paraId="56405C8C" w14:textId="77777777" w:rsidTr="002A1502">
        <w:tc>
          <w:tcPr>
            <w:tcW w:w="0" w:type="auto"/>
            <w:shd w:val="clear" w:color="auto" w:fill="auto"/>
          </w:tcPr>
          <w:p w14:paraId="16CAF7F8" w14:textId="77777777" w:rsidR="008C5CFA" w:rsidRPr="00A92B39" w:rsidRDefault="00E82A60" w:rsidP="00300A01">
            <w:pPr>
              <w:spacing w:before="0" w:after="0"/>
              <w:rPr>
                <w:sz w:val="10"/>
                <w:szCs w:val="10"/>
                <w:lang w:val="fr-BE"/>
              </w:rPr>
            </w:pPr>
            <w:r w:rsidRPr="00A92B39">
              <w:rPr>
                <w:noProof/>
                <w:sz w:val="10"/>
                <w:szCs w:val="10"/>
                <w:lang w:val="fr-BE"/>
              </w:rPr>
              <w:t>100</w:t>
            </w:r>
          </w:p>
        </w:tc>
        <w:tc>
          <w:tcPr>
            <w:tcW w:w="0" w:type="auto"/>
            <w:shd w:val="clear" w:color="auto" w:fill="auto"/>
          </w:tcPr>
          <w:p w14:paraId="03979D12" w14:textId="77777777" w:rsidR="008C5CFA" w:rsidRPr="00A92B39" w:rsidRDefault="00E82A60" w:rsidP="00300A01">
            <w:pPr>
              <w:spacing w:before="0" w:after="0"/>
              <w:rPr>
                <w:sz w:val="10"/>
                <w:szCs w:val="10"/>
                <w:lang w:val="fr-BE"/>
              </w:rPr>
            </w:pPr>
            <w:r w:rsidRPr="00A92B39">
              <w:rPr>
                <w:noProof/>
                <w:sz w:val="10"/>
                <w:szCs w:val="10"/>
                <w:lang w:val="fr-BE"/>
              </w:rPr>
              <w:t>Liczba szkół i placówek systemu oświaty wyposażonych w ramach programu w sprzęt TIK do prowadzenia zajęć edukacyjnych</w:t>
            </w:r>
          </w:p>
        </w:tc>
        <w:tc>
          <w:tcPr>
            <w:tcW w:w="0" w:type="auto"/>
            <w:shd w:val="clear" w:color="auto" w:fill="auto"/>
          </w:tcPr>
          <w:p w14:paraId="6A7162F3" w14:textId="77777777" w:rsidR="008C5CFA" w:rsidRPr="00A92B39" w:rsidRDefault="00E82A60" w:rsidP="00300A01">
            <w:pPr>
              <w:spacing w:before="0" w:after="0"/>
              <w:rPr>
                <w:sz w:val="10"/>
                <w:szCs w:val="10"/>
                <w:lang w:val="fr-BE"/>
              </w:rPr>
            </w:pPr>
            <w:r w:rsidRPr="00A92B39">
              <w:rPr>
                <w:noProof/>
                <w:sz w:val="10"/>
                <w:szCs w:val="10"/>
                <w:lang w:val="fr-BE"/>
              </w:rPr>
              <w:t>Słabiej rozwinięte</w:t>
            </w:r>
          </w:p>
        </w:tc>
        <w:tc>
          <w:tcPr>
            <w:tcW w:w="0" w:type="auto"/>
          </w:tcPr>
          <w:p w14:paraId="1AEDF2F3" w14:textId="77777777" w:rsidR="008C5CFA" w:rsidRPr="00A92B39" w:rsidRDefault="00E82A60" w:rsidP="00300A01">
            <w:pPr>
              <w:spacing w:before="0" w:after="0"/>
              <w:rPr>
                <w:sz w:val="10"/>
                <w:szCs w:val="10"/>
                <w:lang w:val="fr-BE"/>
              </w:rPr>
            </w:pPr>
            <w:r w:rsidRPr="00A92B39">
              <w:rPr>
                <w:noProof/>
                <w:sz w:val="10"/>
                <w:szCs w:val="10"/>
                <w:lang w:val="fr-BE"/>
              </w:rPr>
              <w:t>szt.</w:t>
            </w:r>
          </w:p>
        </w:tc>
        <w:tc>
          <w:tcPr>
            <w:tcW w:w="0" w:type="auto"/>
            <w:shd w:val="clear" w:color="auto" w:fill="auto"/>
          </w:tcPr>
          <w:p w14:paraId="358E129E" w14:textId="77777777" w:rsidR="008C5CFA" w:rsidRPr="00A92B39" w:rsidRDefault="00E82A60" w:rsidP="00300A01">
            <w:pPr>
              <w:spacing w:before="0" w:after="0"/>
              <w:jc w:val="right"/>
              <w:rPr>
                <w:sz w:val="10"/>
                <w:szCs w:val="10"/>
                <w:lang w:val="fr-BE"/>
              </w:rPr>
            </w:pPr>
            <w:r w:rsidRPr="00A92B39">
              <w:rPr>
                <w:noProof/>
                <w:sz w:val="10"/>
                <w:szCs w:val="10"/>
                <w:lang w:val="fr-BE"/>
              </w:rPr>
              <w:t>114,00</w:t>
            </w:r>
          </w:p>
        </w:tc>
        <w:tc>
          <w:tcPr>
            <w:tcW w:w="0" w:type="auto"/>
            <w:shd w:val="clear" w:color="auto" w:fill="auto"/>
          </w:tcPr>
          <w:p w14:paraId="266D1609" w14:textId="77777777" w:rsidR="008C5CFA" w:rsidRPr="00A92B39" w:rsidRDefault="008C5CFA" w:rsidP="00300A01">
            <w:pPr>
              <w:spacing w:before="0" w:after="0"/>
              <w:jc w:val="right"/>
              <w:rPr>
                <w:sz w:val="10"/>
                <w:szCs w:val="10"/>
                <w:lang w:val="fr-BE"/>
              </w:rPr>
            </w:pPr>
          </w:p>
        </w:tc>
        <w:tc>
          <w:tcPr>
            <w:tcW w:w="0" w:type="auto"/>
            <w:shd w:val="clear" w:color="auto" w:fill="auto"/>
          </w:tcPr>
          <w:p w14:paraId="41F31A8E" w14:textId="77777777" w:rsidR="008C5CFA" w:rsidRPr="00A92B39" w:rsidRDefault="008C5CFA" w:rsidP="00300A01">
            <w:pPr>
              <w:spacing w:before="0" w:after="0"/>
              <w:jc w:val="right"/>
              <w:rPr>
                <w:sz w:val="10"/>
                <w:szCs w:val="10"/>
                <w:lang w:val="fr-BE"/>
              </w:rPr>
            </w:pPr>
          </w:p>
        </w:tc>
        <w:tc>
          <w:tcPr>
            <w:tcW w:w="0" w:type="auto"/>
            <w:shd w:val="clear" w:color="auto" w:fill="auto"/>
          </w:tcPr>
          <w:p w14:paraId="264E97C6" w14:textId="77777777" w:rsidR="008C5CFA" w:rsidRPr="00A92B39" w:rsidRDefault="00E82A60" w:rsidP="00300A01">
            <w:pPr>
              <w:spacing w:before="0" w:after="0"/>
              <w:jc w:val="right"/>
              <w:rPr>
                <w:sz w:val="10"/>
                <w:szCs w:val="10"/>
                <w:lang w:val="fr-BE"/>
              </w:rPr>
            </w:pPr>
            <w:r w:rsidRPr="00A92B39">
              <w:rPr>
                <w:noProof/>
                <w:sz w:val="10"/>
                <w:szCs w:val="10"/>
                <w:lang w:val="fr-BE"/>
              </w:rPr>
              <w:t>222,00</w:t>
            </w:r>
          </w:p>
        </w:tc>
        <w:tc>
          <w:tcPr>
            <w:tcW w:w="0" w:type="auto"/>
            <w:shd w:val="clear" w:color="auto" w:fill="auto"/>
          </w:tcPr>
          <w:p w14:paraId="302146C5"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14:paraId="07A4C41E"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14:paraId="5704707D" w14:textId="77777777" w:rsidR="008C5CFA" w:rsidRPr="00A92B39" w:rsidRDefault="00E82A60" w:rsidP="00300A01">
            <w:pPr>
              <w:spacing w:before="0" w:after="0"/>
              <w:jc w:val="right"/>
              <w:rPr>
                <w:sz w:val="10"/>
                <w:szCs w:val="10"/>
                <w:lang w:val="fr-BE"/>
              </w:rPr>
            </w:pPr>
            <w:r>
              <w:rPr>
                <w:noProof/>
                <w:sz w:val="10"/>
                <w:szCs w:val="10"/>
                <w:lang w:val="fr-BE"/>
              </w:rPr>
              <w:t>1,95</w:t>
            </w:r>
          </w:p>
        </w:tc>
        <w:tc>
          <w:tcPr>
            <w:tcW w:w="0" w:type="auto"/>
            <w:shd w:val="clear" w:color="auto" w:fill="auto"/>
          </w:tcPr>
          <w:p w14:paraId="605C5116" w14:textId="77777777" w:rsidR="008C5CFA" w:rsidRPr="00A92B39" w:rsidRDefault="008C5CFA" w:rsidP="00300A01">
            <w:pPr>
              <w:spacing w:before="0" w:after="0"/>
              <w:jc w:val="right"/>
              <w:rPr>
                <w:sz w:val="10"/>
                <w:szCs w:val="10"/>
                <w:lang w:val="fr-BE"/>
              </w:rPr>
            </w:pPr>
          </w:p>
        </w:tc>
        <w:tc>
          <w:tcPr>
            <w:tcW w:w="0" w:type="auto"/>
            <w:shd w:val="clear" w:color="auto" w:fill="auto"/>
          </w:tcPr>
          <w:p w14:paraId="509FA57D" w14:textId="77777777" w:rsidR="008C5CFA" w:rsidRPr="00A92B39" w:rsidRDefault="008C5CFA" w:rsidP="00300A01">
            <w:pPr>
              <w:spacing w:before="0" w:after="0"/>
              <w:jc w:val="right"/>
              <w:rPr>
                <w:sz w:val="10"/>
                <w:szCs w:val="10"/>
                <w:lang w:val="fr-BE"/>
              </w:rPr>
            </w:pPr>
          </w:p>
        </w:tc>
        <w:tc>
          <w:tcPr>
            <w:tcW w:w="0" w:type="auto"/>
          </w:tcPr>
          <w:p w14:paraId="179C86DA" w14:textId="77777777" w:rsidR="008C5CFA" w:rsidRPr="00A92B39" w:rsidRDefault="00E82A60" w:rsidP="00300A01">
            <w:pPr>
              <w:spacing w:before="0" w:after="0"/>
              <w:jc w:val="right"/>
              <w:rPr>
                <w:sz w:val="10"/>
                <w:szCs w:val="10"/>
                <w:lang w:val="fr-BE"/>
              </w:rPr>
            </w:pPr>
            <w:r w:rsidRPr="00A92B39">
              <w:rPr>
                <w:noProof/>
                <w:sz w:val="10"/>
                <w:szCs w:val="10"/>
                <w:lang w:val="fr-BE"/>
              </w:rPr>
              <w:t>99,00</w:t>
            </w:r>
          </w:p>
        </w:tc>
        <w:tc>
          <w:tcPr>
            <w:tcW w:w="0" w:type="auto"/>
            <w:shd w:val="clear" w:color="auto" w:fill="auto"/>
          </w:tcPr>
          <w:p w14:paraId="6AEE15E3"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14:paraId="4ACA8440"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r>
      <w:tr w:rsidR="006B2EC1" w14:paraId="5434C057" w14:textId="77777777" w:rsidTr="002A1502">
        <w:tc>
          <w:tcPr>
            <w:tcW w:w="0" w:type="auto"/>
            <w:shd w:val="clear" w:color="auto" w:fill="auto"/>
          </w:tcPr>
          <w:p w14:paraId="7E2B43C4" w14:textId="77777777" w:rsidR="008C5CFA" w:rsidRPr="00A92B39" w:rsidRDefault="00E82A60" w:rsidP="00300A01">
            <w:pPr>
              <w:spacing w:before="0" w:after="0"/>
              <w:rPr>
                <w:sz w:val="10"/>
                <w:szCs w:val="10"/>
                <w:lang w:val="fr-BE"/>
              </w:rPr>
            </w:pPr>
            <w:r w:rsidRPr="00A92B39">
              <w:rPr>
                <w:noProof/>
                <w:sz w:val="10"/>
                <w:szCs w:val="10"/>
                <w:lang w:val="fr-BE"/>
              </w:rPr>
              <w:t>101</w:t>
            </w:r>
          </w:p>
        </w:tc>
        <w:tc>
          <w:tcPr>
            <w:tcW w:w="0" w:type="auto"/>
            <w:shd w:val="clear" w:color="auto" w:fill="auto"/>
          </w:tcPr>
          <w:p w14:paraId="5CD3BF65" w14:textId="77777777" w:rsidR="008C5CFA" w:rsidRPr="00A92B39" w:rsidRDefault="00E82A60" w:rsidP="00300A01">
            <w:pPr>
              <w:spacing w:before="0" w:after="0"/>
              <w:rPr>
                <w:sz w:val="10"/>
                <w:szCs w:val="10"/>
                <w:lang w:val="fr-BE"/>
              </w:rPr>
            </w:pPr>
            <w:r w:rsidRPr="00A92B39">
              <w:rPr>
                <w:noProof/>
                <w:sz w:val="10"/>
                <w:szCs w:val="10"/>
                <w:lang w:val="fr-BE"/>
              </w:rPr>
              <w:t>Liczba szkół, których pracownie przedmiotowe zostały doposażone w programie</w:t>
            </w:r>
          </w:p>
        </w:tc>
        <w:tc>
          <w:tcPr>
            <w:tcW w:w="0" w:type="auto"/>
            <w:shd w:val="clear" w:color="auto" w:fill="auto"/>
          </w:tcPr>
          <w:p w14:paraId="42627602" w14:textId="77777777" w:rsidR="008C5CFA" w:rsidRPr="00A92B39" w:rsidRDefault="00E82A60" w:rsidP="00300A01">
            <w:pPr>
              <w:spacing w:before="0" w:after="0"/>
              <w:rPr>
                <w:sz w:val="10"/>
                <w:szCs w:val="10"/>
                <w:lang w:val="fr-BE"/>
              </w:rPr>
            </w:pPr>
            <w:r w:rsidRPr="00A92B39">
              <w:rPr>
                <w:noProof/>
                <w:sz w:val="10"/>
                <w:szCs w:val="10"/>
                <w:lang w:val="fr-BE"/>
              </w:rPr>
              <w:t>Słabiej rozwinięte</w:t>
            </w:r>
          </w:p>
        </w:tc>
        <w:tc>
          <w:tcPr>
            <w:tcW w:w="0" w:type="auto"/>
          </w:tcPr>
          <w:p w14:paraId="56560F47" w14:textId="77777777" w:rsidR="008C5CFA" w:rsidRPr="00A92B39" w:rsidRDefault="00E82A60" w:rsidP="00300A01">
            <w:pPr>
              <w:spacing w:before="0" w:after="0"/>
              <w:rPr>
                <w:sz w:val="10"/>
                <w:szCs w:val="10"/>
                <w:lang w:val="fr-BE"/>
              </w:rPr>
            </w:pPr>
            <w:r w:rsidRPr="00A92B39">
              <w:rPr>
                <w:noProof/>
                <w:sz w:val="10"/>
                <w:szCs w:val="10"/>
                <w:lang w:val="fr-BE"/>
              </w:rPr>
              <w:t>szt.</w:t>
            </w:r>
          </w:p>
        </w:tc>
        <w:tc>
          <w:tcPr>
            <w:tcW w:w="0" w:type="auto"/>
            <w:shd w:val="clear" w:color="auto" w:fill="auto"/>
          </w:tcPr>
          <w:p w14:paraId="3E950DDB" w14:textId="77777777" w:rsidR="008C5CFA" w:rsidRPr="00A92B39" w:rsidRDefault="00E82A60" w:rsidP="00300A01">
            <w:pPr>
              <w:spacing w:before="0" w:after="0"/>
              <w:jc w:val="right"/>
              <w:rPr>
                <w:sz w:val="10"/>
                <w:szCs w:val="10"/>
                <w:lang w:val="fr-BE"/>
              </w:rPr>
            </w:pPr>
            <w:r w:rsidRPr="00A92B39">
              <w:rPr>
                <w:noProof/>
                <w:sz w:val="10"/>
                <w:szCs w:val="10"/>
                <w:lang w:val="fr-BE"/>
              </w:rPr>
              <w:t>102,00</w:t>
            </w:r>
          </w:p>
        </w:tc>
        <w:tc>
          <w:tcPr>
            <w:tcW w:w="0" w:type="auto"/>
            <w:shd w:val="clear" w:color="auto" w:fill="auto"/>
          </w:tcPr>
          <w:p w14:paraId="77415615" w14:textId="77777777" w:rsidR="008C5CFA" w:rsidRPr="00A92B39" w:rsidRDefault="008C5CFA" w:rsidP="00300A01">
            <w:pPr>
              <w:spacing w:before="0" w:after="0"/>
              <w:jc w:val="right"/>
              <w:rPr>
                <w:sz w:val="10"/>
                <w:szCs w:val="10"/>
                <w:lang w:val="fr-BE"/>
              </w:rPr>
            </w:pPr>
          </w:p>
        </w:tc>
        <w:tc>
          <w:tcPr>
            <w:tcW w:w="0" w:type="auto"/>
            <w:shd w:val="clear" w:color="auto" w:fill="auto"/>
          </w:tcPr>
          <w:p w14:paraId="2090676E" w14:textId="77777777" w:rsidR="008C5CFA" w:rsidRPr="00A92B39" w:rsidRDefault="008C5CFA" w:rsidP="00300A01">
            <w:pPr>
              <w:spacing w:before="0" w:after="0"/>
              <w:jc w:val="right"/>
              <w:rPr>
                <w:sz w:val="10"/>
                <w:szCs w:val="10"/>
                <w:lang w:val="fr-BE"/>
              </w:rPr>
            </w:pPr>
          </w:p>
        </w:tc>
        <w:tc>
          <w:tcPr>
            <w:tcW w:w="0" w:type="auto"/>
            <w:shd w:val="clear" w:color="auto" w:fill="auto"/>
          </w:tcPr>
          <w:p w14:paraId="5EDCADEB" w14:textId="77777777" w:rsidR="008C5CFA" w:rsidRPr="00A92B39" w:rsidRDefault="00E82A60" w:rsidP="00300A01">
            <w:pPr>
              <w:spacing w:before="0" w:after="0"/>
              <w:jc w:val="right"/>
              <w:rPr>
                <w:sz w:val="10"/>
                <w:szCs w:val="10"/>
                <w:lang w:val="fr-BE"/>
              </w:rPr>
            </w:pPr>
            <w:r w:rsidRPr="00A92B39">
              <w:rPr>
                <w:noProof/>
                <w:sz w:val="10"/>
                <w:szCs w:val="10"/>
                <w:lang w:val="fr-BE"/>
              </w:rPr>
              <w:t>155,00</w:t>
            </w:r>
          </w:p>
        </w:tc>
        <w:tc>
          <w:tcPr>
            <w:tcW w:w="0" w:type="auto"/>
            <w:shd w:val="clear" w:color="auto" w:fill="auto"/>
          </w:tcPr>
          <w:p w14:paraId="5308EABC"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14:paraId="18220A63"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14:paraId="6CF53481" w14:textId="77777777" w:rsidR="008C5CFA" w:rsidRPr="00A92B39" w:rsidRDefault="00E82A60" w:rsidP="00300A01">
            <w:pPr>
              <w:spacing w:before="0" w:after="0"/>
              <w:jc w:val="right"/>
              <w:rPr>
                <w:sz w:val="10"/>
                <w:szCs w:val="10"/>
                <w:lang w:val="fr-BE"/>
              </w:rPr>
            </w:pPr>
            <w:r>
              <w:rPr>
                <w:noProof/>
                <w:sz w:val="10"/>
                <w:szCs w:val="10"/>
                <w:lang w:val="fr-BE"/>
              </w:rPr>
              <w:t>1,52</w:t>
            </w:r>
          </w:p>
        </w:tc>
        <w:tc>
          <w:tcPr>
            <w:tcW w:w="0" w:type="auto"/>
            <w:shd w:val="clear" w:color="auto" w:fill="auto"/>
          </w:tcPr>
          <w:p w14:paraId="15EC3014" w14:textId="77777777" w:rsidR="008C5CFA" w:rsidRPr="00A92B39" w:rsidRDefault="008C5CFA" w:rsidP="00300A01">
            <w:pPr>
              <w:spacing w:before="0" w:after="0"/>
              <w:jc w:val="right"/>
              <w:rPr>
                <w:sz w:val="10"/>
                <w:szCs w:val="10"/>
                <w:lang w:val="fr-BE"/>
              </w:rPr>
            </w:pPr>
          </w:p>
        </w:tc>
        <w:tc>
          <w:tcPr>
            <w:tcW w:w="0" w:type="auto"/>
            <w:shd w:val="clear" w:color="auto" w:fill="auto"/>
          </w:tcPr>
          <w:p w14:paraId="20FD2272" w14:textId="77777777" w:rsidR="008C5CFA" w:rsidRPr="00A92B39" w:rsidRDefault="008C5CFA" w:rsidP="00300A01">
            <w:pPr>
              <w:spacing w:before="0" w:after="0"/>
              <w:jc w:val="right"/>
              <w:rPr>
                <w:sz w:val="10"/>
                <w:szCs w:val="10"/>
                <w:lang w:val="fr-BE"/>
              </w:rPr>
            </w:pPr>
          </w:p>
        </w:tc>
        <w:tc>
          <w:tcPr>
            <w:tcW w:w="0" w:type="auto"/>
          </w:tcPr>
          <w:p w14:paraId="2A1F2537" w14:textId="77777777" w:rsidR="008C5CFA" w:rsidRPr="00A92B39" w:rsidRDefault="00E82A60" w:rsidP="00300A01">
            <w:pPr>
              <w:spacing w:before="0" w:after="0"/>
              <w:jc w:val="right"/>
              <w:rPr>
                <w:sz w:val="10"/>
                <w:szCs w:val="10"/>
                <w:lang w:val="fr-BE"/>
              </w:rPr>
            </w:pPr>
            <w:r w:rsidRPr="00A92B39">
              <w:rPr>
                <w:noProof/>
                <w:sz w:val="10"/>
                <w:szCs w:val="10"/>
                <w:lang w:val="fr-BE"/>
              </w:rPr>
              <w:t>30,00</w:t>
            </w:r>
          </w:p>
        </w:tc>
        <w:tc>
          <w:tcPr>
            <w:tcW w:w="0" w:type="auto"/>
            <w:shd w:val="clear" w:color="auto" w:fill="auto"/>
          </w:tcPr>
          <w:p w14:paraId="07E3727F"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14:paraId="3BAC1880"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r>
      <w:tr w:rsidR="006B2EC1" w14:paraId="7E93AFE3" w14:textId="77777777" w:rsidTr="002A1502">
        <w:tc>
          <w:tcPr>
            <w:tcW w:w="0" w:type="auto"/>
            <w:shd w:val="clear" w:color="auto" w:fill="auto"/>
          </w:tcPr>
          <w:p w14:paraId="06C39B48" w14:textId="77777777" w:rsidR="008C5CFA" w:rsidRPr="00A92B39" w:rsidRDefault="00E82A60" w:rsidP="00300A01">
            <w:pPr>
              <w:spacing w:before="0" w:after="0"/>
              <w:rPr>
                <w:sz w:val="10"/>
                <w:szCs w:val="10"/>
                <w:lang w:val="fr-BE"/>
              </w:rPr>
            </w:pPr>
            <w:r w:rsidRPr="00A92B39">
              <w:rPr>
                <w:noProof/>
                <w:sz w:val="10"/>
                <w:szCs w:val="10"/>
                <w:lang w:val="fr-BE"/>
              </w:rPr>
              <w:t>103</w:t>
            </w:r>
          </w:p>
        </w:tc>
        <w:tc>
          <w:tcPr>
            <w:tcW w:w="0" w:type="auto"/>
            <w:shd w:val="clear" w:color="auto" w:fill="auto"/>
          </w:tcPr>
          <w:p w14:paraId="1928CC2F" w14:textId="77777777" w:rsidR="008C5CFA" w:rsidRPr="00A92B39" w:rsidRDefault="00E82A60" w:rsidP="00300A01">
            <w:pPr>
              <w:spacing w:before="0" w:after="0"/>
              <w:rPr>
                <w:sz w:val="10"/>
                <w:szCs w:val="10"/>
                <w:lang w:val="fr-BE"/>
              </w:rPr>
            </w:pPr>
            <w:r w:rsidRPr="00A92B39">
              <w:rPr>
                <w:noProof/>
                <w:sz w:val="10"/>
                <w:szCs w:val="10"/>
                <w:lang w:val="fr-BE"/>
              </w:rPr>
              <w:t>Liczba nauczycieli objętych wsparciem w zakresie TIK w ramach programu</w:t>
            </w:r>
          </w:p>
        </w:tc>
        <w:tc>
          <w:tcPr>
            <w:tcW w:w="0" w:type="auto"/>
            <w:shd w:val="clear" w:color="auto" w:fill="auto"/>
          </w:tcPr>
          <w:p w14:paraId="4D2DF54D" w14:textId="77777777" w:rsidR="008C5CFA" w:rsidRPr="00A92B39" w:rsidRDefault="00E82A60" w:rsidP="00300A01">
            <w:pPr>
              <w:spacing w:before="0" w:after="0"/>
              <w:rPr>
                <w:sz w:val="10"/>
                <w:szCs w:val="10"/>
                <w:lang w:val="fr-BE"/>
              </w:rPr>
            </w:pPr>
            <w:r w:rsidRPr="00A92B39">
              <w:rPr>
                <w:noProof/>
                <w:sz w:val="10"/>
                <w:szCs w:val="10"/>
                <w:lang w:val="fr-BE"/>
              </w:rPr>
              <w:t>Słabiej rozwinięte</w:t>
            </w:r>
          </w:p>
        </w:tc>
        <w:tc>
          <w:tcPr>
            <w:tcW w:w="0" w:type="auto"/>
          </w:tcPr>
          <w:p w14:paraId="772856B9" w14:textId="77777777" w:rsidR="008C5CFA" w:rsidRPr="00A92B39" w:rsidRDefault="00E82A60" w:rsidP="00300A01">
            <w:pPr>
              <w:spacing w:before="0" w:after="0"/>
              <w:rPr>
                <w:sz w:val="10"/>
                <w:szCs w:val="10"/>
                <w:lang w:val="fr-BE"/>
              </w:rPr>
            </w:pPr>
            <w:r w:rsidRPr="00A92B39">
              <w:rPr>
                <w:noProof/>
                <w:sz w:val="10"/>
                <w:szCs w:val="10"/>
                <w:lang w:val="fr-BE"/>
              </w:rPr>
              <w:t>osoba</w:t>
            </w:r>
          </w:p>
        </w:tc>
        <w:tc>
          <w:tcPr>
            <w:tcW w:w="0" w:type="auto"/>
            <w:shd w:val="clear" w:color="auto" w:fill="auto"/>
          </w:tcPr>
          <w:p w14:paraId="6193E98C" w14:textId="77777777" w:rsidR="008C5CFA" w:rsidRPr="00A92B39" w:rsidRDefault="00E82A60" w:rsidP="00300A01">
            <w:pPr>
              <w:spacing w:before="0" w:after="0"/>
              <w:jc w:val="right"/>
              <w:rPr>
                <w:sz w:val="10"/>
                <w:szCs w:val="10"/>
                <w:lang w:val="fr-BE"/>
              </w:rPr>
            </w:pPr>
            <w:r w:rsidRPr="00A92B39">
              <w:rPr>
                <w:noProof/>
                <w:sz w:val="10"/>
                <w:szCs w:val="10"/>
                <w:lang w:val="fr-BE"/>
              </w:rPr>
              <w:t>453,00</w:t>
            </w:r>
          </w:p>
        </w:tc>
        <w:tc>
          <w:tcPr>
            <w:tcW w:w="0" w:type="auto"/>
            <w:shd w:val="clear" w:color="auto" w:fill="auto"/>
          </w:tcPr>
          <w:p w14:paraId="027380E5" w14:textId="77777777" w:rsidR="008C5CFA" w:rsidRPr="00A92B39" w:rsidRDefault="008C5CFA" w:rsidP="00300A01">
            <w:pPr>
              <w:spacing w:before="0" w:after="0"/>
              <w:jc w:val="right"/>
              <w:rPr>
                <w:sz w:val="10"/>
                <w:szCs w:val="10"/>
                <w:lang w:val="fr-BE"/>
              </w:rPr>
            </w:pPr>
          </w:p>
        </w:tc>
        <w:tc>
          <w:tcPr>
            <w:tcW w:w="0" w:type="auto"/>
            <w:shd w:val="clear" w:color="auto" w:fill="auto"/>
          </w:tcPr>
          <w:p w14:paraId="24248D49" w14:textId="77777777" w:rsidR="008C5CFA" w:rsidRPr="00A92B39" w:rsidRDefault="008C5CFA" w:rsidP="00300A01">
            <w:pPr>
              <w:spacing w:before="0" w:after="0"/>
              <w:jc w:val="right"/>
              <w:rPr>
                <w:sz w:val="10"/>
                <w:szCs w:val="10"/>
                <w:lang w:val="fr-BE"/>
              </w:rPr>
            </w:pPr>
          </w:p>
        </w:tc>
        <w:tc>
          <w:tcPr>
            <w:tcW w:w="0" w:type="auto"/>
            <w:shd w:val="clear" w:color="auto" w:fill="auto"/>
          </w:tcPr>
          <w:p w14:paraId="294CF6ED" w14:textId="77777777" w:rsidR="008C5CFA" w:rsidRPr="00A92B39" w:rsidRDefault="00E82A60" w:rsidP="00300A01">
            <w:pPr>
              <w:spacing w:before="0" w:after="0"/>
              <w:jc w:val="right"/>
              <w:rPr>
                <w:sz w:val="10"/>
                <w:szCs w:val="10"/>
                <w:lang w:val="fr-BE"/>
              </w:rPr>
            </w:pPr>
            <w:r w:rsidRPr="00A92B39">
              <w:rPr>
                <w:noProof/>
                <w:sz w:val="10"/>
                <w:szCs w:val="10"/>
                <w:lang w:val="fr-BE"/>
              </w:rPr>
              <w:t>2 167,00</w:t>
            </w:r>
          </w:p>
        </w:tc>
        <w:tc>
          <w:tcPr>
            <w:tcW w:w="0" w:type="auto"/>
            <w:shd w:val="clear" w:color="auto" w:fill="auto"/>
          </w:tcPr>
          <w:p w14:paraId="08A99E92"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14:paraId="6E34EA8D"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14:paraId="7F17272B" w14:textId="77777777" w:rsidR="008C5CFA" w:rsidRPr="00A92B39" w:rsidRDefault="00E82A60" w:rsidP="00300A01">
            <w:pPr>
              <w:spacing w:before="0" w:after="0"/>
              <w:jc w:val="right"/>
              <w:rPr>
                <w:sz w:val="10"/>
                <w:szCs w:val="10"/>
                <w:lang w:val="fr-BE"/>
              </w:rPr>
            </w:pPr>
            <w:r>
              <w:rPr>
                <w:noProof/>
                <w:sz w:val="10"/>
                <w:szCs w:val="10"/>
                <w:lang w:val="fr-BE"/>
              </w:rPr>
              <w:t>4,78</w:t>
            </w:r>
          </w:p>
        </w:tc>
        <w:tc>
          <w:tcPr>
            <w:tcW w:w="0" w:type="auto"/>
            <w:shd w:val="clear" w:color="auto" w:fill="auto"/>
          </w:tcPr>
          <w:p w14:paraId="364697E1" w14:textId="77777777" w:rsidR="008C5CFA" w:rsidRPr="00A92B39" w:rsidRDefault="008C5CFA" w:rsidP="00300A01">
            <w:pPr>
              <w:spacing w:before="0" w:after="0"/>
              <w:jc w:val="right"/>
              <w:rPr>
                <w:sz w:val="10"/>
                <w:szCs w:val="10"/>
                <w:lang w:val="fr-BE"/>
              </w:rPr>
            </w:pPr>
          </w:p>
        </w:tc>
        <w:tc>
          <w:tcPr>
            <w:tcW w:w="0" w:type="auto"/>
            <w:shd w:val="clear" w:color="auto" w:fill="auto"/>
          </w:tcPr>
          <w:p w14:paraId="4D3D64EF" w14:textId="77777777" w:rsidR="008C5CFA" w:rsidRPr="00A92B39" w:rsidRDefault="008C5CFA" w:rsidP="00300A01">
            <w:pPr>
              <w:spacing w:before="0" w:after="0"/>
              <w:jc w:val="right"/>
              <w:rPr>
                <w:sz w:val="10"/>
                <w:szCs w:val="10"/>
                <w:lang w:val="fr-BE"/>
              </w:rPr>
            </w:pPr>
          </w:p>
        </w:tc>
        <w:tc>
          <w:tcPr>
            <w:tcW w:w="0" w:type="auto"/>
          </w:tcPr>
          <w:p w14:paraId="475608A1" w14:textId="77777777" w:rsidR="008C5CFA" w:rsidRPr="00A92B39" w:rsidRDefault="00E82A60" w:rsidP="00300A01">
            <w:pPr>
              <w:spacing w:before="0" w:after="0"/>
              <w:jc w:val="right"/>
              <w:rPr>
                <w:sz w:val="10"/>
                <w:szCs w:val="10"/>
                <w:lang w:val="fr-BE"/>
              </w:rPr>
            </w:pPr>
            <w:r w:rsidRPr="00A92B39">
              <w:rPr>
                <w:noProof/>
                <w:sz w:val="10"/>
                <w:szCs w:val="10"/>
                <w:lang w:val="fr-BE"/>
              </w:rPr>
              <w:t>1 325,00</w:t>
            </w:r>
          </w:p>
        </w:tc>
        <w:tc>
          <w:tcPr>
            <w:tcW w:w="0" w:type="auto"/>
            <w:shd w:val="clear" w:color="auto" w:fill="auto"/>
          </w:tcPr>
          <w:p w14:paraId="4A95E03B"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14:paraId="72C805CE"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r>
      <w:tr w:rsidR="006B2EC1" w14:paraId="4A83CDC9" w14:textId="77777777" w:rsidTr="002A1502">
        <w:tc>
          <w:tcPr>
            <w:tcW w:w="0" w:type="auto"/>
            <w:shd w:val="clear" w:color="auto" w:fill="auto"/>
          </w:tcPr>
          <w:p w14:paraId="02CF81A4" w14:textId="77777777" w:rsidR="008C5CFA" w:rsidRPr="00A92B39" w:rsidRDefault="00E82A60" w:rsidP="00300A01">
            <w:pPr>
              <w:spacing w:before="0" w:after="0"/>
              <w:rPr>
                <w:sz w:val="10"/>
                <w:szCs w:val="10"/>
                <w:lang w:val="fr-BE"/>
              </w:rPr>
            </w:pPr>
            <w:r w:rsidRPr="00A92B39">
              <w:rPr>
                <w:noProof/>
                <w:sz w:val="10"/>
                <w:szCs w:val="10"/>
                <w:lang w:val="fr-BE"/>
              </w:rPr>
              <w:t>142</w:t>
            </w:r>
          </w:p>
        </w:tc>
        <w:tc>
          <w:tcPr>
            <w:tcW w:w="0" w:type="auto"/>
            <w:shd w:val="clear" w:color="auto" w:fill="auto"/>
          </w:tcPr>
          <w:p w14:paraId="6DAD32E3" w14:textId="77777777" w:rsidR="008C5CFA" w:rsidRPr="00A92B39" w:rsidRDefault="00E82A60" w:rsidP="00300A01">
            <w:pPr>
              <w:spacing w:before="0" w:after="0"/>
              <w:rPr>
                <w:sz w:val="10"/>
                <w:szCs w:val="10"/>
                <w:lang w:val="fr-BE"/>
              </w:rPr>
            </w:pPr>
            <w:r w:rsidRPr="00A92B39">
              <w:rPr>
                <w:noProof/>
                <w:sz w:val="10"/>
                <w:szCs w:val="10"/>
                <w:lang w:val="fr-BE"/>
              </w:rPr>
              <w:t>Liczba uczniów objętych wsparciem w zakresie rozwijania kompetencji kluczowych lub umiejętności uniwersalnych w programie</w:t>
            </w:r>
          </w:p>
        </w:tc>
        <w:tc>
          <w:tcPr>
            <w:tcW w:w="0" w:type="auto"/>
            <w:shd w:val="clear" w:color="auto" w:fill="auto"/>
          </w:tcPr>
          <w:p w14:paraId="28862528" w14:textId="77777777" w:rsidR="008C5CFA" w:rsidRPr="00A92B39" w:rsidRDefault="00E82A60" w:rsidP="00300A01">
            <w:pPr>
              <w:spacing w:before="0" w:after="0"/>
              <w:rPr>
                <w:sz w:val="10"/>
                <w:szCs w:val="10"/>
                <w:lang w:val="fr-BE"/>
              </w:rPr>
            </w:pPr>
            <w:r w:rsidRPr="00A92B39">
              <w:rPr>
                <w:noProof/>
                <w:sz w:val="10"/>
                <w:szCs w:val="10"/>
                <w:lang w:val="fr-BE"/>
              </w:rPr>
              <w:t>Słabiej rozwinięte</w:t>
            </w:r>
          </w:p>
        </w:tc>
        <w:tc>
          <w:tcPr>
            <w:tcW w:w="0" w:type="auto"/>
          </w:tcPr>
          <w:p w14:paraId="3D4C2F4C" w14:textId="77777777" w:rsidR="008C5CFA" w:rsidRPr="00A92B39" w:rsidRDefault="00E82A60" w:rsidP="00300A01">
            <w:pPr>
              <w:spacing w:before="0" w:after="0"/>
              <w:rPr>
                <w:sz w:val="10"/>
                <w:szCs w:val="10"/>
                <w:lang w:val="fr-BE"/>
              </w:rPr>
            </w:pPr>
            <w:r w:rsidRPr="00A92B39">
              <w:rPr>
                <w:noProof/>
                <w:sz w:val="10"/>
                <w:szCs w:val="10"/>
                <w:lang w:val="fr-BE"/>
              </w:rPr>
              <w:t>osoba</w:t>
            </w:r>
          </w:p>
        </w:tc>
        <w:tc>
          <w:tcPr>
            <w:tcW w:w="0" w:type="auto"/>
            <w:shd w:val="clear" w:color="auto" w:fill="auto"/>
          </w:tcPr>
          <w:p w14:paraId="2EBF4031" w14:textId="77777777" w:rsidR="008C5CFA" w:rsidRPr="00A92B39" w:rsidRDefault="00E82A60" w:rsidP="00300A01">
            <w:pPr>
              <w:spacing w:before="0" w:after="0"/>
              <w:jc w:val="right"/>
              <w:rPr>
                <w:sz w:val="10"/>
                <w:szCs w:val="10"/>
                <w:lang w:val="fr-BE"/>
              </w:rPr>
            </w:pPr>
            <w:r w:rsidRPr="00A92B39">
              <w:rPr>
                <w:noProof/>
                <w:sz w:val="10"/>
                <w:szCs w:val="10"/>
                <w:lang w:val="fr-BE"/>
              </w:rPr>
              <w:t>19 573,00</w:t>
            </w:r>
          </w:p>
        </w:tc>
        <w:tc>
          <w:tcPr>
            <w:tcW w:w="0" w:type="auto"/>
            <w:shd w:val="clear" w:color="auto" w:fill="auto"/>
          </w:tcPr>
          <w:p w14:paraId="7A0E5982" w14:textId="77777777" w:rsidR="008C5CFA" w:rsidRPr="00A92B39" w:rsidRDefault="008C5CFA" w:rsidP="00300A01">
            <w:pPr>
              <w:spacing w:before="0" w:after="0"/>
              <w:jc w:val="right"/>
              <w:rPr>
                <w:sz w:val="10"/>
                <w:szCs w:val="10"/>
                <w:lang w:val="fr-BE"/>
              </w:rPr>
            </w:pPr>
          </w:p>
        </w:tc>
        <w:tc>
          <w:tcPr>
            <w:tcW w:w="0" w:type="auto"/>
            <w:shd w:val="clear" w:color="auto" w:fill="auto"/>
          </w:tcPr>
          <w:p w14:paraId="138CDBE5" w14:textId="77777777" w:rsidR="008C5CFA" w:rsidRPr="00A92B39" w:rsidRDefault="008C5CFA" w:rsidP="00300A01">
            <w:pPr>
              <w:spacing w:before="0" w:after="0"/>
              <w:jc w:val="right"/>
              <w:rPr>
                <w:sz w:val="10"/>
                <w:szCs w:val="10"/>
                <w:lang w:val="fr-BE"/>
              </w:rPr>
            </w:pPr>
          </w:p>
        </w:tc>
        <w:tc>
          <w:tcPr>
            <w:tcW w:w="0" w:type="auto"/>
            <w:shd w:val="clear" w:color="auto" w:fill="auto"/>
          </w:tcPr>
          <w:p w14:paraId="1DDCA9D9" w14:textId="77777777" w:rsidR="008C5CFA" w:rsidRPr="00A92B39" w:rsidRDefault="00E82A60" w:rsidP="00300A01">
            <w:pPr>
              <w:spacing w:before="0" w:after="0"/>
              <w:jc w:val="right"/>
              <w:rPr>
                <w:sz w:val="10"/>
                <w:szCs w:val="10"/>
                <w:lang w:val="fr-BE"/>
              </w:rPr>
            </w:pPr>
            <w:r w:rsidRPr="00A92B39">
              <w:rPr>
                <w:noProof/>
                <w:sz w:val="10"/>
                <w:szCs w:val="10"/>
                <w:lang w:val="fr-BE"/>
              </w:rPr>
              <w:t>23 960,00</w:t>
            </w:r>
          </w:p>
        </w:tc>
        <w:tc>
          <w:tcPr>
            <w:tcW w:w="0" w:type="auto"/>
            <w:shd w:val="clear" w:color="auto" w:fill="auto"/>
          </w:tcPr>
          <w:p w14:paraId="356CB283"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14:paraId="26092CC6"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14:paraId="490771F5" w14:textId="77777777" w:rsidR="008C5CFA" w:rsidRPr="00A92B39" w:rsidRDefault="00E82A60" w:rsidP="00300A01">
            <w:pPr>
              <w:spacing w:before="0" w:after="0"/>
              <w:jc w:val="right"/>
              <w:rPr>
                <w:sz w:val="10"/>
                <w:szCs w:val="10"/>
                <w:lang w:val="fr-BE"/>
              </w:rPr>
            </w:pPr>
            <w:r>
              <w:rPr>
                <w:noProof/>
                <w:sz w:val="10"/>
                <w:szCs w:val="10"/>
                <w:lang w:val="fr-BE"/>
              </w:rPr>
              <w:t>1,22</w:t>
            </w:r>
          </w:p>
        </w:tc>
        <w:tc>
          <w:tcPr>
            <w:tcW w:w="0" w:type="auto"/>
            <w:shd w:val="clear" w:color="auto" w:fill="auto"/>
          </w:tcPr>
          <w:p w14:paraId="3DABAF87" w14:textId="77777777" w:rsidR="008C5CFA" w:rsidRPr="00A92B39" w:rsidRDefault="008C5CFA" w:rsidP="00300A01">
            <w:pPr>
              <w:spacing w:before="0" w:after="0"/>
              <w:jc w:val="right"/>
              <w:rPr>
                <w:sz w:val="10"/>
                <w:szCs w:val="10"/>
                <w:lang w:val="fr-BE"/>
              </w:rPr>
            </w:pPr>
          </w:p>
        </w:tc>
        <w:tc>
          <w:tcPr>
            <w:tcW w:w="0" w:type="auto"/>
            <w:shd w:val="clear" w:color="auto" w:fill="auto"/>
          </w:tcPr>
          <w:p w14:paraId="7E799A9E" w14:textId="77777777" w:rsidR="008C5CFA" w:rsidRPr="00A92B39" w:rsidRDefault="008C5CFA" w:rsidP="00300A01">
            <w:pPr>
              <w:spacing w:before="0" w:after="0"/>
              <w:jc w:val="right"/>
              <w:rPr>
                <w:sz w:val="10"/>
                <w:szCs w:val="10"/>
                <w:lang w:val="fr-BE"/>
              </w:rPr>
            </w:pPr>
          </w:p>
        </w:tc>
        <w:tc>
          <w:tcPr>
            <w:tcW w:w="0" w:type="auto"/>
          </w:tcPr>
          <w:p w14:paraId="1A2D91AB" w14:textId="77777777" w:rsidR="008C5CFA" w:rsidRPr="00A92B39" w:rsidRDefault="00E82A60" w:rsidP="00300A01">
            <w:pPr>
              <w:spacing w:before="0" w:after="0"/>
              <w:jc w:val="right"/>
              <w:rPr>
                <w:sz w:val="10"/>
                <w:szCs w:val="10"/>
                <w:lang w:val="fr-BE"/>
              </w:rPr>
            </w:pPr>
            <w:r w:rsidRPr="00A92B39">
              <w:rPr>
                <w:noProof/>
                <w:sz w:val="10"/>
                <w:szCs w:val="10"/>
                <w:lang w:val="fr-BE"/>
              </w:rPr>
              <w:t>8 568,00</w:t>
            </w:r>
          </w:p>
        </w:tc>
        <w:tc>
          <w:tcPr>
            <w:tcW w:w="0" w:type="auto"/>
            <w:shd w:val="clear" w:color="auto" w:fill="auto"/>
          </w:tcPr>
          <w:p w14:paraId="613A00BF"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14:paraId="093B7F00"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r>
      <w:tr w:rsidR="006B2EC1" w14:paraId="6476CCE4" w14:textId="77777777" w:rsidTr="002A1502">
        <w:tc>
          <w:tcPr>
            <w:tcW w:w="0" w:type="auto"/>
            <w:shd w:val="clear" w:color="auto" w:fill="auto"/>
          </w:tcPr>
          <w:p w14:paraId="3D7A66FF" w14:textId="77777777" w:rsidR="008C5CFA" w:rsidRPr="00A92B39" w:rsidRDefault="00E82A60" w:rsidP="00300A01">
            <w:pPr>
              <w:spacing w:before="0" w:after="0"/>
              <w:rPr>
                <w:sz w:val="10"/>
                <w:szCs w:val="10"/>
                <w:lang w:val="fr-BE"/>
              </w:rPr>
            </w:pPr>
            <w:r w:rsidRPr="00A92B39">
              <w:rPr>
                <w:noProof/>
                <w:sz w:val="10"/>
                <w:szCs w:val="10"/>
                <w:lang w:val="fr-BE"/>
              </w:rPr>
              <w:t>98</w:t>
            </w:r>
          </w:p>
        </w:tc>
        <w:tc>
          <w:tcPr>
            <w:tcW w:w="0" w:type="auto"/>
            <w:shd w:val="clear" w:color="auto" w:fill="auto"/>
          </w:tcPr>
          <w:p w14:paraId="1BCE0959" w14:textId="77777777" w:rsidR="008C5CFA" w:rsidRPr="00A92B39" w:rsidRDefault="00E82A60" w:rsidP="00300A01">
            <w:pPr>
              <w:spacing w:before="0" w:after="0"/>
              <w:rPr>
                <w:sz w:val="10"/>
                <w:szCs w:val="10"/>
                <w:lang w:val="fr-BE"/>
              </w:rPr>
            </w:pPr>
            <w:r w:rsidRPr="00A92B39">
              <w:rPr>
                <w:noProof/>
                <w:sz w:val="10"/>
                <w:szCs w:val="10"/>
                <w:lang w:val="fr-BE"/>
              </w:rPr>
              <w:t>Liczba dzieci objętych w ramach programu dodatkowymi zajęciami zwiększającymi ich szanse edukacyjne w edukacji przedszkolnej</w:t>
            </w:r>
          </w:p>
        </w:tc>
        <w:tc>
          <w:tcPr>
            <w:tcW w:w="0" w:type="auto"/>
            <w:shd w:val="clear" w:color="auto" w:fill="auto"/>
          </w:tcPr>
          <w:p w14:paraId="4A496476" w14:textId="77777777" w:rsidR="008C5CFA" w:rsidRPr="00A92B39" w:rsidRDefault="00E82A60" w:rsidP="00300A01">
            <w:pPr>
              <w:spacing w:before="0" w:after="0"/>
              <w:rPr>
                <w:sz w:val="10"/>
                <w:szCs w:val="10"/>
                <w:lang w:val="fr-BE"/>
              </w:rPr>
            </w:pPr>
            <w:r w:rsidRPr="00A92B39">
              <w:rPr>
                <w:noProof/>
                <w:sz w:val="10"/>
                <w:szCs w:val="10"/>
                <w:lang w:val="fr-BE"/>
              </w:rPr>
              <w:t>Słabiej rozwinięte</w:t>
            </w:r>
          </w:p>
        </w:tc>
        <w:tc>
          <w:tcPr>
            <w:tcW w:w="0" w:type="auto"/>
          </w:tcPr>
          <w:p w14:paraId="7C9FE77E" w14:textId="77777777" w:rsidR="008C5CFA" w:rsidRPr="00A92B39" w:rsidRDefault="00E82A60" w:rsidP="00300A01">
            <w:pPr>
              <w:spacing w:before="0" w:after="0"/>
              <w:rPr>
                <w:sz w:val="10"/>
                <w:szCs w:val="10"/>
                <w:lang w:val="fr-BE"/>
              </w:rPr>
            </w:pPr>
            <w:r w:rsidRPr="00A92B39">
              <w:rPr>
                <w:noProof/>
                <w:sz w:val="10"/>
                <w:szCs w:val="10"/>
                <w:lang w:val="fr-BE"/>
              </w:rPr>
              <w:t>osoba</w:t>
            </w:r>
          </w:p>
        </w:tc>
        <w:tc>
          <w:tcPr>
            <w:tcW w:w="0" w:type="auto"/>
            <w:shd w:val="clear" w:color="auto" w:fill="auto"/>
          </w:tcPr>
          <w:p w14:paraId="1D80CACE" w14:textId="77777777" w:rsidR="008C5CFA" w:rsidRPr="00A92B39" w:rsidRDefault="00E82A60" w:rsidP="00300A01">
            <w:pPr>
              <w:spacing w:before="0" w:after="0"/>
              <w:jc w:val="right"/>
              <w:rPr>
                <w:sz w:val="10"/>
                <w:szCs w:val="10"/>
                <w:lang w:val="fr-BE"/>
              </w:rPr>
            </w:pPr>
            <w:r w:rsidRPr="00A92B39">
              <w:rPr>
                <w:noProof/>
                <w:sz w:val="10"/>
                <w:szCs w:val="10"/>
                <w:lang w:val="fr-BE"/>
              </w:rPr>
              <w:t>4 378,00</w:t>
            </w:r>
          </w:p>
        </w:tc>
        <w:tc>
          <w:tcPr>
            <w:tcW w:w="0" w:type="auto"/>
            <w:shd w:val="clear" w:color="auto" w:fill="auto"/>
          </w:tcPr>
          <w:p w14:paraId="70F10864" w14:textId="77777777" w:rsidR="008C5CFA" w:rsidRPr="00A92B39" w:rsidRDefault="008C5CFA" w:rsidP="00300A01">
            <w:pPr>
              <w:spacing w:before="0" w:after="0"/>
              <w:jc w:val="right"/>
              <w:rPr>
                <w:sz w:val="10"/>
                <w:szCs w:val="10"/>
                <w:lang w:val="fr-BE"/>
              </w:rPr>
            </w:pPr>
          </w:p>
        </w:tc>
        <w:tc>
          <w:tcPr>
            <w:tcW w:w="0" w:type="auto"/>
            <w:shd w:val="clear" w:color="auto" w:fill="auto"/>
          </w:tcPr>
          <w:p w14:paraId="69DBD013" w14:textId="77777777" w:rsidR="008C5CFA" w:rsidRPr="00A92B39" w:rsidRDefault="008C5CFA" w:rsidP="00300A01">
            <w:pPr>
              <w:spacing w:before="0" w:after="0"/>
              <w:jc w:val="right"/>
              <w:rPr>
                <w:sz w:val="10"/>
                <w:szCs w:val="10"/>
                <w:lang w:val="fr-BE"/>
              </w:rPr>
            </w:pPr>
          </w:p>
        </w:tc>
        <w:tc>
          <w:tcPr>
            <w:tcW w:w="0" w:type="auto"/>
            <w:shd w:val="clear" w:color="auto" w:fill="auto"/>
          </w:tcPr>
          <w:p w14:paraId="30CA4A89" w14:textId="77777777" w:rsidR="008C5CFA" w:rsidRPr="00A92B39" w:rsidRDefault="00E82A60" w:rsidP="00300A01">
            <w:pPr>
              <w:spacing w:before="0" w:after="0"/>
              <w:jc w:val="right"/>
              <w:rPr>
                <w:sz w:val="10"/>
                <w:szCs w:val="10"/>
                <w:lang w:val="fr-BE"/>
              </w:rPr>
            </w:pPr>
            <w:r w:rsidRPr="00A92B39">
              <w:rPr>
                <w:noProof/>
                <w:sz w:val="10"/>
                <w:szCs w:val="10"/>
                <w:lang w:val="fr-BE"/>
              </w:rPr>
              <w:t>4 464,00</w:t>
            </w:r>
          </w:p>
        </w:tc>
        <w:tc>
          <w:tcPr>
            <w:tcW w:w="0" w:type="auto"/>
            <w:shd w:val="clear" w:color="auto" w:fill="auto"/>
          </w:tcPr>
          <w:p w14:paraId="5B9A373E"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14:paraId="46463EAF"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14:paraId="0FDF8E67" w14:textId="77777777" w:rsidR="008C5CFA" w:rsidRPr="00A92B39" w:rsidRDefault="00E82A60" w:rsidP="00300A01">
            <w:pPr>
              <w:spacing w:before="0" w:after="0"/>
              <w:jc w:val="right"/>
              <w:rPr>
                <w:sz w:val="10"/>
                <w:szCs w:val="10"/>
                <w:lang w:val="fr-BE"/>
              </w:rPr>
            </w:pPr>
            <w:r>
              <w:rPr>
                <w:noProof/>
                <w:sz w:val="10"/>
                <w:szCs w:val="10"/>
                <w:lang w:val="fr-BE"/>
              </w:rPr>
              <w:t>1,02</w:t>
            </w:r>
          </w:p>
        </w:tc>
        <w:tc>
          <w:tcPr>
            <w:tcW w:w="0" w:type="auto"/>
            <w:shd w:val="clear" w:color="auto" w:fill="auto"/>
          </w:tcPr>
          <w:p w14:paraId="0E66BC32" w14:textId="77777777" w:rsidR="008C5CFA" w:rsidRPr="00A92B39" w:rsidRDefault="008C5CFA" w:rsidP="00300A01">
            <w:pPr>
              <w:spacing w:before="0" w:after="0"/>
              <w:jc w:val="right"/>
              <w:rPr>
                <w:sz w:val="10"/>
                <w:szCs w:val="10"/>
                <w:lang w:val="fr-BE"/>
              </w:rPr>
            </w:pPr>
          </w:p>
        </w:tc>
        <w:tc>
          <w:tcPr>
            <w:tcW w:w="0" w:type="auto"/>
            <w:shd w:val="clear" w:color="auto" w:fill="auto"/>
          </w:tcPr>
          <w:p w14:paraId="164E752D" w14:textId="77777777" w:rsidR="008C5CFA" w:rsidRPr="00A92B39" w:rsidRDefault="008C5CFA" w:rsidP="00300A01">
            <w:pPr>
              <w:spacing w:before="0" w:after="0"/>
              <w:jc w:val="right"/>
              <w:rPr>
                <w:sz w:val="10"/>
                <w:szCs w:val="10"/>
                <w:lang w:val="fr-BE"/>
              </w:rPr>
            </w:pPr>
          </w:p>
        </w:tc>
        <w:tc>
          <w:tcPr>
            <w:tcW w:w="0" w:type="auto"/>
          </w:tcPr>
          <w:p w14:paraId="5AF1FCDD" w14:textId="77777777" w:rsidR="008C5CFA" w:rsidRPr="00A92B39" w:rsidRDefault="00E82A60" w:rsidP="00300A01">
            <w:pPr>
              <w:spacing w:before="0" w:after="0"/>
              <w:jc w:val="right"/>
              <w:rPr>
                <w:sz w:val="10"/>
                <w:szCs w:val="10"/>
                <w:lang w:val="fr-BE"/>
              </w:rPr>
            </w:pPr>
            <w:r w:rsidRPr="00A92B39">
              <w:rPr>
                <w:noProof/>
                <w:sz w:val="10"/>
                <w:szCs w:val="10"/>
                <w:lang w:val="fr-BE"/>
              </w:rPr>
              <w:t>966,00</w:t>
            </w:r>
          </w:p>
        </w:tc>
        <w:tc>
          <w:tcPr>
            <w:tcW w:w="0" w:type="auto"/>
            <w:shd w:val="clear" w:color="auto" w:fill="auto"/>
          </w:tcPr>
          <w:p w14:paraId="107E88FF"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14:paraId="615A68E4"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r>
      <w:tr w:rsidR="006B2EC1" w14:paraId="02B76D8A" w14:textId="77777777" w:rsidTr="002A1502">
        <w:tc>
          <w:tcPr>
            <w:tcW w:w="0" w:type="auto"/>
            <w:shd w:val="clear" w:color="auto" w:fill="auto"/>
          </w:tcPr>
          <w:p w14:paraId="3C9F2D68" w14:textId="77777777" w:rsidR="008C5CFA" w:rsidRPr="00A92B39" w:rsidRDefault="00E82A60" w:rsidP="00300A01">
            <w:pPr>
              <w:spacing w:before="0" w:after="0"/>
              <w:rPr>
                <w:sz w:val="10"/>
                <w:szCs w:val="10"/>
                <w:lang w:val="fr-BE"/>
              </w:rPr>
            </w:pPr>
            <w:r w:rsidRPr="00A92B39">
              <w:rPr>
                <w:noProof/>
                <w:sz w:val="10"/>
                <w:szCs w:val="10"/>
                <w:lang w:val="fr-BE"/>
              </w:rPr>
              <w:t>99</w:t>
            </w:r>
          </w:p>
        </w:tc>
        <w:tc>
          <w:tcPr>
            <w:tcW w:w="0" w:type="auto"/>
            <w:shd w:val="clear" w:color="auto" w:fill="auto"/>
          </w:tcPr>
          <w:p w14:paraId="419DBBCF" w14:textId="77777777" w:rsidR="008C5CFA" w:rsidRPr="00A92B39" w:rsidRDefault="00E82A60" w:rsidP="00300A01">
            <w:pPr>
              <w:spacing w:before="0" w:after="0"/>
              <w:rPr>
                <w:sz w:val="10"/>
                <w:szCs w:val="10"/>
                <w:lang w:val="fr-BE"/>
              </w:rPr>
            </w:pPr>
            <w:r w:rsidRPr="00A92B39">
              <w:rPr>
                <w:noProof/>
                <w:sz w:val="10"/>
                <w:szCs w:val="10"/>
                <w:lang w:val="fr-BE"/>
              </w:rPr>
              <w:t>Liczba miejsc wychowania przedszkolnego dofinansowanych w programie</w:t>
            </w:r>
          </w:p>
        </w:tc>
        <w:tc>
          <w:tcPr>
            <w:tcW w:w="0" w:type="auto"/>
            <w:shd w:val="clear" w:color="auto" w:fill="auto"/>
          </w:tcPr>
          <w:p w14:paraId="5B3AC38C" w14:textId="77777777" w:rsidR="008C5CFA" w:rsidRPr="00A92B39" w:rsidRDefault="00E82A60" w:rsidP="00300A01">
            <w:pPr>
              <w:spacing w:before="0" w:after="0"/>
              <w:rPr>
                <w:sz w:val="10"/>
                <w:szCs w:val="10"/>
                <w:lang w:val="fr-BE"/>
              </w:rPr>
            </w:pPr>
            <w:r w:rsidRPr="00A92B39">
              <w:rPr>
                <w:noProof/>
                <w:sz w:val="10"/>
                <w:szCs w:val="10"/>
                <w:lang w:val="fr-BE"/>
              </w:rPr>
              <w:t>Słabiej rozwinięte</w:t>
            </w:r>
          </w:p>
        </w:tc>
        <w:tc>
          <w:tcPr>
            <w:tcW w:w="0" w:type="auto"/>
          </w:tcPr>
          <w:p w14:paraId="786CB968" w14:textId="77777777" w:rsidR="008C5CFA" w:rsidRPr="00A92B39" w:rsidRDefault="00E82A60" w:rsidP="00300A01">
            <w:pPr>
              <w:spacing w:before="0" w:after="0"/>
              <w:rPr>
                <w:sz w:val="10"/>
                <w:szCs w:val="10"/>
                <w:lang w:val="fr-BE"/>
              </w:rPr>
            </w:pPr>
            <w:r w:rsidRPr="00A92B39">
              <w:rPr>
                <w:noProof/>
                <w:sz w:val="10"/>
                <w:szCs w:val="10"/>
                <w:lang w:val="fr-BE"/>
              </w:rPr>
              <w:t>szt.</w:t>
            </w:r>
          </w:p>
        </w:tc>
        <w:tc>
          <w:tcPr>
            <w:tcW w:w="0" w:type="auto"/>
            <w:shd w:val="clear" w:color="auto" w:fill="auto"/>
          </w:tcPr>
          <w:p w14:paraId="7E11CC07" w14:textId="77777777" w:rsidR="008C5CFA" w:rsidRPr="00A92B39" w:rsidRDefault="00E82A60" w:rsidP="00300A01">
            <w:pPr>
              <w:spacing w:before="0" w:after="0"/>
              <w:jc w:val="right"/>
              <w:rPr>
                <w:sz w:val="10"/>
                <w:szCs w:val="10"/>
                <w:lang w:val="fr-BE"/>
              </w:rPr>
            </w:pPr>
            <w:r w:rsidRPr="00A92B39">
              <w:rPr>
                <w:noProof/>
                <w:sz w:val="10"/>
                <w:szCs w:val="10"/>
                <w:lang w:val="fr-BE"/>
              </w:rPr>
              <w:t>1 313,00</w:t>
            </w:r>
          </w:p>
        </w:tc>
        <w:tc>
          <w:tcPr>
            <w:tcW w:w="0" w:type="auto"/>
            <w:shd w:val="clear" w:color="auto" w:fill="auto"/>
          </w:tcPr>
          <w:p w14:paraId="0BCD357D" w14:textId="77777777" w:rsidR="008C5CFA" w:rsidRPr="00A92B39" w:rsidRDefault="008C5CFA" w:rsidP="00300A01">
            <w:pPr>
              <w:spacing w:before="0" w:after="0"/>
              <w:jc w:val="right"/>
              <w:rPr>
                <w:sz w:val="10"/>
                <w:szCs w:val="10"/>
                <w:lang w:val="fr-BE"/>
              </w:rPr>
            </w:pPr>
          </w:p>
        </w:tc>
        <w:tc>
          <w:tcPr>
            <w:tcW w:w="0" w:type="auto"/>
            <w:shd w:val="clear" w:color="auto" w:fill="auto"/>
          </w:tcPr>
          <w:p w14:paraId="5A89A326" w14:textId="77777777" w:rsidR="008C5CFA" w:rsidRPr="00A92B39" w:rsidRDefault="008C5CFA" w:rsidP="00300A01">
            <w:pPr>
              <w:spacing w:before="0" w:after="0"/>
              <w:jc w:val="right"/>
              <w:rPr>
                <w:sz w:val="10"/>
                <w:szCs w:val="10"/>
                <w:lang w:val="fr-BE"/>
              </w:rPr>
            </w:pPr>
          </w:p>
        </w:tc>
        <w:tc>
          <w:tcPr>
            <w:tcW w:w="0" w:type="auto"/>
            <w:shd w:val="clear" w:color="auto" w:fill="auto"/>
          </w:tcPr>
          <w:p w14:paraId="6D44BF1F" w14:textId="77777777" w:rsidR="008C5CFA" w:rsidRPr="00A92B39" w:rsidRDefault="00E82A60" w:rsidP="00300A01">
            <w:pPr>
              <w:spacing w:before="0" w:after="0"/>
              <w:jc w:val="right"/>
              <w:rPr>
                <w:sz w:val="10"/>
                <w:szCs w:val="10"/>
                <w:lang w:val="fr-BE"/>
              </w:rPr>
            </w:pPr>
            <w:r w:rsidRPr="00A92B39">
              <w:rPr>
                <w:noProof/>
                <w:sz w:val="10"/>
                <w:szCs w:val="10"/>
                <w:lang w:val="fr-BE"/>
              </w:rPr>
              <w:t>2 370,00</w:t>
            </w:r>
          </w:p>
        </w:tc>
        <w:tc>
          <w:tcPr>
            <w:tcW w:w="0" w:type="auto"/>
            <w:shd w:val="clear" w:color="auto" w:fill="auto"/>
          </w:tcPr>
          <w:p w14:paraId="0164EBB2"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14:paraId="17B2C0A4"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14:paraId="3F95172A" w14:textId="77777777" w:rsidR="008C5CFA" w:rsidRPr="00A92B39" w:rsidRDefault="00E82A60" w:rsidP="00300A01">
            <w:pPr>
              <w:spacing w:before="0" w:after="0"/>
              <w:jc w:val="right"/>
              <w:rPr>
                <w:sz w:val="10"/>
                <w:szCs w:val="10"/>
                <w:lang w:val="fr-BE"/>
              </w:rPr>
            </w:pPr>
            <w:r>
              <w:rPr>
                <w:noProof/>
                <w:sz w:val="10"/>
                <w:szCs w:val="10"/>
                <w:lang w:val="fr-BE"/>
              </w:rPr>
              <w:t>1,81</w:t>
            </w:r>
          </w:p>
        </w:tc>
        <w:tc>
          <w:tcPr>
            <w:tcW w:w="0" w:type="auto"/>
            <w:shd w:val="clear" w:color="auto" w:fill="auto"/>
          </w:tcPr>
          <w:p w14:paraId="55A68574" w14:textId="77777777" w:rsidR="008C5CFA" w:rsidRPr="00A92B39" w:rsidRDefault="008C5CFA" w:rsidP="00300A01">
            <w:pPr>
              <w:spacing w:before="0" w:after="0"/>
              <w:jc w:val="right"/>
              <w:rPr>
                <w:sz w:val="10"/>
                <w:szCs w:val="10"/>
                <w:lang w:val="fr-BE"/>
              </w:rPr>
            </w:pPr>
          </w:p>
        </w:tc>
        <w:tc>
          <w:tcPr>
            <w:tcW w:w="0" w:type="auto"/>
            <w:shd w:val="clear" w:color="auto" w:fill="auto"/>
          </w:tcPr>
          <w:p w14:paraId="705A978B" w14:textId="77777777" w:rsidR="008C5CFA" w:rsidRPr="00A92B39" w:rsidRDefault="008C5CFA" w:rsidP="00300A01">
            <w:pPr>
              <w:spacing w:before="0" w:after="0"/>
              <w:jc w:val="right"/>
              <w:rPr>
                <w:sz w:val="10"/>
                <w:szCs w:val="10"/>
                <w:lang w:val="fr-BE"/>
              </w:rPr>
            </w:pPr>
          </w:p>
        </w:tc>
        <w:tc>
          <w:tcPr>
            <w:tcW w:w="0" w:type="auto"/>
          </w:tcPr>
          <w:p w14:paraId="5E74989E" w14:textId="77777777" w:rsidR="008C5CFA" w:rsidRPr="00A92B39" w:rsidRDefault="00E82A60" w:rsidP="00300A01">
            <w:pPr>
              <w:spacing w:before="0" w:after="0"/>
              <w:jc w:val="right"/>
              <w:rPr>
                <w:sz w:val="10"/>
                <w:szCs w:val="10"/>
                <w:lang w:val="fr-BE"/>
              </w:rPr>
            </w:pPr>
            <w:r w:rsidRPr="00A92B39">
              <w:rPr>
                <w:noProof/>
                <w:sz w:val="10"/>
                <w:szCs w:val="10"/>
                <w:lang w:val="fr-BE"/>
              </w:rPr>
              <w:t>407,00</w:t>
            </w:r>
          </w:p>
        </w:tc>
        <w:tc>
          <w:tcPr>
            <w:tcW w:w="0" w:type="auto"/>
            <w:shd w:val="clear" w:color="auto" w:fill="auto"/>
          </w:tcPr>
          <w:p w14:paraId="3A0FDF9B"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14:paraId="0E0220F7"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r>
    </w:tbl>
    <w:p w14:paraId="51F1F763"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41"/>
        <w:gridCol w:w="6328"/>
        <w:gridCol w:w="981"/>
        <w:gridCol w:w="476"/>
        <w:gridCol w:w="594"/>
        <w:gridCol w:w="464"/>
        <w:gridCol w:w="476"/>
        <w:gridCol w:w="594"/>
        <w:gridCol w:w="464"/>
        <w:gridCol w:w="476"/>
        <w:gridCol w:w="594"/>
        <w:gridCol w:w="464"/>
        <w:gridCol w:w="458"/>
        <w:gridCol w:w="594"/>
        <w:gridCol w:w="464"/>
        <w:gridCol w:w="458"/>
        <w:gridCol w:w="594"/>
        <w:gridCol w:w="464"/>
      </w:tblGrid>
      <w:tr w:rsidR="006B2EC1" w14:paraId="51A759CC" w14:textId="77777777" w:rsidTr="0047688D">
        <w:trPr>
          <w:tblHeader/>
        </w:trPr>
        <w:tc>
          <w:tcPr>
            <w:tcW w:w="0" w:type="auto"/>
            <w:shd w:val="clear" w:color="auto" w:fill="auto"/>
          </w:tcPr>
          <w:p w14:paraId="4AAC69E8" w14:textId="77777777" w:rsidR="008C5CFA" w:rsidRPr="00A92B39" w:rsidRDefault="00E82A60" w:rsidP="00300A01">
            <w:pPr>
              <w:spacing w:before="0" w:after="0"/>
              <w:rPr>
                <w:b/>
                <w:sz w:val="10"/>
                <w:szCs w:val="10"/>
                <w:lang w:val="fr-BE"/>
              </w:rPr>
            </w:pPr>
            <w:r w:rsidRPr="00A92B39">
              <w:rPr>
                <w:b/>
                <w:noProof/>
                <w:sz w:val="10"/>
                <w:szCs w:val="10"/>
                <w:lang w:val="fr-BE"/>
              </w:rPr>
              <w:t>ID</w:t>
            </w:r>
          </w:p>
        </w:tc>
        <w:tc>
          <w:tcPr>
            <w:tcW w:w="0" w:type="auto"/>
            <w:shd w:val="clear" w:color="auto" w:fill="auto"/>
          </w:tcPr>
          <w:p w14:paraId="5367CB10" w14:textId="77777777" w:rsidR="008C5CFA" w:rsidRPr="00A92B39" w:rsidRDefault="00E82A60" w:rsidP="00300A01">
            <w:pPr>
              <w:spacing w:before="0" w:after="0"/>
              <w:rPr>
                <w:b/>
                <w:sz w:val="10"/>
                <w:szCs w:val="10"/>
                <w:lang w:val="fr-BE"/>
              </w:rPr>
            </w:pPr>
            <w:r w:rsidRPr="00A92B39">
              <w:rPr>
                <w:b/>
                <w:noProof/>
                <w:sz w:val="10"/>
                <w:szCs w:val="10"/>
                <w:lang w:val="fr-BE"/>
              </w:rPr>
              <w:t>Wskaźnik</w:t>
            </w:r>
          </w:p>
        </w:tc>
        <w:tc>
          <w:tcPr>
            <w:tcW w:w="0" w:type="auto"/>
            <w:shd w:val="clear" w:color="auto" w:fill="auto"/>
          </w:tcPr>
          <w:p w14:paraId="4FE60039" w14:textId="77777777" w:rsidR="008C5CFA" w:rsidRPr="00A92B39" w:rsidRDefault="00E82A60" w:rsidP="00300A01">
            <w:pPr>
              <w:spacing w:before="0" w:after="0"/>
              <w:rPr>
                <w:b/>
                <w:sz w:val="10"/>
                <w:szCs w:val="10"/>
                <w:lang w:val="fr-BE"/>
              </w:rPr>
            </w:pPr>
            <w:r w:rsidRPr="00A92B39">
              <w:rPr>
                <w:b/>
                <w:noProof/>
                <w:sz w:val="10"/>
                <w:szCs w:val="10"/>
                <w:lang w:val="fr-BE"/>
              </w:rPr>
              <w:t>Kategoria regionu</w:t>
            </w:r>
          </w:p>
        </w:tc>
        <w:tc>
          <w:tcPr>
            <w:tcW w:w="0" w:type="auto"/>
            <w:gridSpan w:val="3"/>
            <w:shd w:val="clear" w:color="auto" w:fill="auto"/>
          </w:tcPr>
          <w:p w14:paraId="45A37BA0" w14:textId="77777777" w:rsidR="008C5CFA" w:rsidRPr="00A92B39" w:rsidRDefault="00E82A60" w:rsidP="00300A01">
            <w:pPr>
              <w:spacing w:before="0" w:after="0"/>
              <w:jc w:val="center"/>
              <w:rPr>
                <w:b/>
                <w:sz w:val="10"/>
                <w:szCs w:val="10"/>
                <w:lang w:val="fr-BE"/>
              </w:rPr>
            </w:pPr>
            <w:r w:rsidRPr="00A92B39">
              <w:rPr>
                <w:b/>
                <w:sz w:val="10"/>
                <w:szCs w:val="10"/>
                <w:lang w:val="fr-BE"/>
              </w:rPr>
              <w:t>20</w:t>
            </w:r>
            <w:r>
              <w:rPr>
                <w:b/>
                <w:sz w:val="10"/>
                <w:szCs w:val="10"/>
                <w:lang w:val="fr-BE"/>
              </w:rPr>
              <w:t>18</w:t>
            </w:r>
          </w:p>
        </w:tc>
        <w:tc>
          <w:tcPr>
            <w:tcW w:w="0" w:type="auto"/>
            <w:gridSpan w:val="3"/>
          </w:tcPr>
          <w:p w14:paraId="2BCA78B3" w14:textId="77777777" w:rsidR="008C5CFA" w:rsidRPr="00A92B39" w:rsidRDefault="00E82A60" w:rsidP="00300A01">
            <w:pPr>
              <w:spacing w:before="0" w:after="0"/>
              <w:jc w:val="center"/>
              <w:rPr>
                <w:b/>
                <w:sz w:val="10"/>
                <w:szCs w:val="10"/>
                <w:lang w:val="fr-BE"/>
              </w:rPr>
            </w:pPr>
            <w:r>
              <w:rPr>
                <w:b/>
                <w:sz w:val="10"/>
                <w:szCs w:val="10"/>
                <w:lang w:val="fr-BE"/>
              </w:rPr>
              <w:t>2017</w:t>
            </w:r>
          </w:p>
        </w:tc>
        <w:tc>
          <w:tcPr>
            <w:tcW w:w="0" w:type="auto"/>
            <w:gridSpan w:val="3"/>
          </w:tcPr>
          <w:p w14:paraId="11854120" w14:textId="77777777" w:rsidR="008C5CFA" w:rsidRDefault="00E82A60" w:rsidP="00300A01">
            <w:pPr>
              <w:spacing w:before="0" w:after="0"/>
              <w:jc w:val="center"/>
              <w:rPr>
                <w:b/>
                <w:sz w:val="10"/>
                <w:szCs w:val="10"/>
                <w:lang w:val="fr-BE"/>
              </w:rPr>
            </w:pPr>
            <w:r>
              <w:rPr>
                <w:b/>
                <w:sz w:val="10"/>
                <w:szCs w:val="10"/>
                <w:lang w:val="fr-BE"/>
              </w:rPr>
              <w:t>2016</w:t>
            </w:r>
          </w:p>
        </w:tc>
        <w:tc>
          <w:tcPr>
            <w:tcW w:w="0" w:type="auto"/>
            <w:gridSpan w:val="3"/>
          </w:tcPr>
          <w:p w14:paraId="402010C9" w14:textId="77777777" w:rsidR="008C5CFA" w:rsidRDefault="00E82A60" w:rsidP="00300A01">
            <w:pPr>
              <w:spacing w:before="0" w:after="0"/>
              <w:jc w:val="center"/>
              <w:rPr>
                <w:b/>
                <w:sz w:val="10"/>
                <w:szCs w:val="10"/>
                <w:lang w:val="fr-BE"/>
              </w:rPr>
            </w:pPr>
            <w:r>
              <w:rPr>
                <w:b/>
                <w:sz w:val="10"/>
                <w:szCs w:val="10"/>
                <w:lang w:val="fr-BE"/>
              </w:rPr>
              <w:t>2015</w:t>
            </w:r>
          </w:p>
        </w:tc>
        <w:tc>
          <w:tcPr>
            <w:tcW w:w="0" w:type="auto"/>
            <w:gridSpan w:val="3"/>
          </w:tcPr>
          <w:p w14:paraId="2930D6A6" w14:textId="77777777" w:rsidR="008C5CFA" w:rsidRDefault="00E82A60" w:rsidP="00300A01">
            <w:pPr>
              <w:spacing w:before="0" w:after="0"/>
              <w:jc w:val="center"/>
              <w:rPr>
                <w:b/>
                <w:sz w:val="10"/>
                <w:szCs w:val="10"/>
                <w:lang w:val="fr-BE"/>
              </w:rPr>
            </w:pPr>
            <w:r>
              <w:rPr>
                <w:b/>
                <w:sz w:val="10"/>
                <w:szCs w:val="10"/>
                <w:lang w:val="fr-BE"/>
              </w:rPr>
              <w:t>2014</w:t>
            </w:r>
          </w:p>
        </w:tc>
      </w:tr>
      <w:tr w:rsidR="006B2EC1" w14:paraId="3DB3916F" w14:textId="77777777" w:rsidTr="0047688D">
        <w:trPr>
          <w:tblHeader/>
        </w:trPr>
        <w:tc>
          <w:tcPr>
            <w:tcW w:w="0" w:type="auto"/>
            <w:shd w:val="clear" w:color="auto" w:fill="auto"/>
          </w:tcPr>
          <w:p w14:paraId="1C2CC97E" w14:textId="77777777" w:rsidR="008C5CFA" w:rsidRPr="00A92B39" w:rsidRDefault="008C5CFA" w:rsidP="00300A01">
            <w:pPr>
              <w:spacing w:before="0" w:after="0"/>
              <w:rPr>
                <w:sz w:val="10"/>
                <w:szCs w:val="10"/>
                <w:lang w:val="fr-BE"/>
              </w:rPr>
            </w:pPr>
          </w:p>
        </w:tc>
        <w:tc>
          <w:tcPr>
            <w:tcW w:w="0" w:type="auto"/>
            <w:shd w:val="clear" w:color="auto" w:fill="auto"/>
          </w:tcPr>
          <w:p w14:paraId="7D3AAD34" w14:textId="77777777" w:rsidR="008C5CFA" w:rsidRPr="00A92B39" w:rsidRDefault="008C5CFA" w:rsidP="00300A01">
            <w:pPr>
              <w:spacing w:before="0" w:after="0"/>
              <w:rPr>
                <w:sz w:val="10"/>
                <w:szCs w:val="10"/>
                <w:lang w:val="fr-BE"/>
              </w:rPr>
            </w:pPr>
          </w:p>
        </w:tc>
        <w:tc>
          <w:tcPr>
            <w:tcW w:w="0" w:type="auto"/>
            <w:shd w:val="clear" w:color="auto" w:fill="auto"/>
          </w:tcPr>
          <w:p w14:paraId="4F139A34" w14:textId="77777777" w:rsidR="008C5CFA" w:rsidRPr="00A92B39" w:rsidRDefault="008C5CFA" w:rsidP="00300A01">
            <w:pPr>
              <w:spacing w:before="0" w:after="0"/>
              <w:rPr>
                <w:sz w:val="10"/>
                <w:szCs w:val="10"/>
                <w:lang w:val="fr-BE"/>
              </w:rPr>
            </w:pPr>
          </w:p>
        </w:tc>
        <w:tc>
          <w:tcPr>
            <w:tcW w:w="0" w:type="auto"/>
            <w:shd w:val="clear" w:color="auto" w:fill="auto"/>
          </w:tcPr>
          <w:p w14:paraId="3E0F8F89" w14:textId="77777777" w:rsidR="008C5CFA" w:rsidRPr="00A92B39" w:rsidRDefault="00E82A60" w:rsidP="00300A01">
            <w:pPr>
              <w:spacing w:before="0" w:after="0"/>
              <w:jc w:val="center"/>
              <w:rPr>
                <w:b/>
                <w:sz w:val="10"/>
                <w:szCs w:val="10"/>
                <w:lang w:val="fr-BE"/>
              </w:rPr>
            </w:pPr>
            <w:r w:rsidRPr="00A92B39">
              <w:rPr>
                <w:b/>
                <w:noProof/>
                <w:sz w:val="10"/>
                <w:szCs w:val="10"/>
                <w:lang w:val="fr-BE"/>
              </w:rPr>
              <w:t>Ogółem</w:t>
            </w:r>
          </w:p>
        </w:tc>
        <w:tc>
          <w:tcPr>
            <w:tcW w:w="0" w:type="auto"/>
            <w:shd w:val="clear" w:color="auto" w:fill="auto"/>
          </w:tcPr>
          <w:p w14:paraId="76026205" w14:textId="77777777" w:rsidR="008C5CFA" w:rsidRPr="00A92B39" w:rsidRDefault="00E82A60" w:rsidP="00300A01">
            <w:pPr>
              <w:spacing w:before="0" w:after="0"/>
              <w:jc w:val="center"/>
              <w:rPr>
                <w:b/>
                <w:sz w:val="10"/>
                <w:szCs w:val="10"/>
                <w:lang w:val="fr-BE"/>
              </w:rPr>
            </w:pPr>
            <w:r w:rsidRPr="00A92B39">
              <w:rPr>
                <w:b/>
                <w:noProof/>
                <w:sz w:val="10"/>
                <w:szCs w:val="10"/>
                <w:lang w:val="fr-BE"/>
              </w:rPr>
              <w:t>Mężczyźni</w:t>
            </w:r>
          </w:p>
        </w:tc>
        <w:tc>
          <w:tcPr>
            <w:tcW w:w="0" w:type="auto"/>
            <w:shd w:val="clear" w:color="auto" w:fill="auto"/>
          </w:tcPr>
          <w:p w14:paraId="54773F32" w14:textId="77777777" w:rsidR="008C5CFA" w:rsidRPr="00A92B39" w:rsidRDefault="00E82A60" w:rsidP="00300A01">
            <w:pPr>
              <w:spacing w:before="0" w:after="0"/>
              <w:jc w:val="center"/>
              <w:rPr>
                <w:b/>
                <w:sz w:val="10"/>
                <w:szCs w:val="10"/>
                <w:lang w:val="fr-BE"/>
              </w:rPr>
            </w:pPr>
            <w:r w:rsidRPr="00A92B39">
              <w:rPr>
                <w:b/>
                <w:noProof/>
                <w:sz w:val="10"/>
                <w:szCs w:val="10"/>
                <w:lang w:val="fr-BE"/>
              </w:rPr>
              <w:t>Kobiety</w:t>
            </w:r>
          </w:p>
        </w:tc>
        <w:tc>
          <w:tcPr>
            <w:tcW w:w="0" w:type="auto"/>
          </w:tcPr>
          <w:p w14:paraId="7DC031DC" w14:textId="77777777" w:rsidR="008C5CFA" w:rsidRPr="00A92B39" w:rsidRDefault="00E82A60" w:rsidP="00300A01">
            <w:pPr>
              <w:spacing w:before="0" w:after="0"/>
              <w:jc w:val="center"/>
              <w:rPr>
                <w:b/>
                <w:sz w:val="10"/>
                <w:szCs w:val="10"/>
                <w:lang w:val="fr-BE"/>
              </w:rPr>
            </w:pPr>
            <w:r w:rsidRPr="00A92B39">
              <w:rPr>
                <w:b/>
                <w:noProof/>
                <w:sz w:val="10"/>
                <w:szCs w:val="10"/>
                <w:lang w:val="fr-BE"/>
              </w:rPr>
              <w:t>Ogółem</w:t>
            </w:r>
          </w:p>
        </w:tc>
        <w:tc>
          <w:tcPr>
            <w:tcW w:w="0" w:type="auto"/>
          </w:tcPr>
          <w:p w14:paraId="5145B6D0" w14:textId="77777777" w:rsidR="008C5CFA" w:rsidRPr="00A92B39" w:rsidRDefault="00E82A60" w:rsidP="00300A01">
            <w:pPr>
              <w:spacing w:before="0" w:after="0"/>
              <w:jc w:val="center"/>
              <w:rPr>
                <w:b/>
                <w:sz w:val="10"/>
                <w:szCs w:val="10"/>
                <w:lang w:val="fr-BE"/>
              </w:rPr>
            </w:pPr>
            <w:r w:rsidRPr="00A92B39">
              <w:rPr>
                <w:b/>
                <w:noProof/>
                <w:sz w:val="10"/>
                <w:szCs w:val="10"/>
                <w:lang w:val="fr-BE"/>
              </w:rPr>
              <w:t>Mężczyźni</w:t>
            </w:r>
          </w:p>
        </w:tc>
        <w:tc>
          <w:tcPr>
            <w:tcW w:w="0" w:type="auto"/>
          </w:tcPr>
          <w:p w14:paraId="7A8326FF" w14:textId="77777777" w:rsidR="008C5CFA" w:rsidRPr="00A92B39" w:rsidRDefault="00E82A60" w:rsidP="00300A01">
            <w:pPr>
              <w:spacing w:before="0" w:after="0"/>
              <w:jc w:val="center"/>
              <w:rPr>
                <w:b/>
                <w:sz w:val="10"/>
                <w:szCs w:val="10"/>
                <w:lang w:val="fr-BE"/>
              </w:rPr>
            </w:pPr>
            <w:r w:rsidRPr="00A92B39">
              <w:rPr>
                <w:b/>
                <w:noProof/>
                <w:sz w:val="10"/>
                <w:szCs w:val="10"/>
                <w:lang w:val="fr-BE"/>
              </w:rPr>
              <w:t>Kobiety</w:t>
            </w:r>
          </w:p>
        </w:tc>
        <w:tc>
          <w:tcPr>
            <w:tcW w:w="0" w:type="auto"/>
          </w:tcPr>
          <w:p w14:paraId="147BF1E3" w14:textId="77777777" w:rsidR="008C5CFA" w:rsidRPr="00A92B39" w:rsidRDefault="00E82A60" w:rsidP="00300A01">
            <w:pPr>
              <w:spacing w:before="0" w:after="0"/>
              <w:jc w:val="center"/>
              <w:rPr>
                <w:b/>
                <w:sz w:val="10"/>
                <w:szCs w:val="10"/>
                <w:lang w:val="fr-BE"/>
              </w:rPr>
            </w:pPr>
            <w:r w:rsidRPr="00A92B39">
              <w:rPr>
                <w:b/>
                <w:noProof/>
                <w:sz w:val="10"/>
                <w:szCs w:val="10"/>
                <w:lang w:val="fr-BE"/>
              </w:rPr>
              <w:t>Ogółem</w:t>
            </w:r>
          </w:p>
        </w:tc>
        <w:tc>
          <w:tcPr>
            <w:tcW w:w="0" w:type="auto"/>
          </w:tcPr>
          <w:p w14:paraId="71FB3EA5" w14:textId="77777777" w:rsidR="008C5CFA" w:rsidRPr="00A92B39" w:rsidRDefault="00E82A60" w:rsidP="00300A01">
            <w:pPr>
              <w:spacing w:before="0" w:after="0"/>
              <w:jc w:val="center"/>
              <w:rPr>
                <w:b/>
                <w:sz w:val="10"/>
                <w:szCs w:val="10"/>
                <w:lang w:val="fr-BE"/>
              </w:rPr>
            </w:pPr>
            <w:r w:rsidRPr="00A92B39">
              <w:rPr>
                <w:b/>
                <w:noProof/>
                <w:sz w:val="10"/>
                <w:szCs w:val="10"/>
                <w:lang w:val="fr-BE"/>
              </w:rPr>
              <w:t>Mężczyźni</w:t>
            </w:r>
          </w:p>
        </w:tc>
        <w:tc>
          <w:tcPr>
            <w:tcW w:w="0" w:type="auto"/>
          </w:tcPr>
          <w:p w14:paraId="4E9F2E16" w14:textId="77777777" w:rsidR="008C5CFA" w:rsidRPr="00A92B39" w:rsidRDefault="00E82A60" w:rsidP="00300A01">
            <w:pPr>
              <w:spacing w:before="0" w:after="0"/>
              <w:jc w:val="center"/>
              <w:rPr>
                <w:b/>
                <w:sz w:val="10"/>
                <w:szCs w:val="10"/>
                <w:lang w:val="fr-BE"/>
              </w:rPr>
            </w:pPr>
            <w:r w:rsidRPr="00A92B39">
              <w:rPr>
                <w:b/>
                <w:noProof/>
                <w:sz w:val="10"/>
                <w:szCs w:val="10"/>
                <w:lang w:val="fr-BE"/>
              </w:rPr>
              <w:t>Kobiety</w:t>
            </w:r>
          </w:p>
        </w:tc>
        <w:tc>
          <w:tcPr>
            <w:tcW w:w="0" w:type="auto"/>
          </w:tcPr>
          <w:p w14:paraId="4BB7DC6E" w14:textId="77777777" w:rsidR="008C5CFA" w:rsidRPr="00A92B39" w:rsidRDefault="00E82A60" w:rsidP="00300A01">
            <w:pPr>
              <w:spacing w:before="0" w:after="0"/>
              <w:jc w:val="center"/>
              <w:rPr>
                <w:b/>
                <w:sz w:val="10"/>
                <w:szCs w:val="10"/>
                <w:lang w:val="fr-BE"/>
              </w:rPr>
            </w:pPr>
            <w:r w:rsidRPr="00A92B39">
              <w:rPr>
                <w:b/>
                <w:noProof/>
                <w:sz w:val="10"/>
                <w:szCs w:val="10"/>
                <w:lang w:val="fr-BE"/>
              </w:rPr>
              <w:t>Ogółem</w:t>
            </w:r>
          </w:p>
        </w:tc>
        <w:tc>
          <w:tcPr>
            <w:tcW w:w="0" w:type="auto"/>
          </w:tcPr>
          <w:p w14:paraId="67904B04" w14:textId="77777777" w:rsidR="008C5CFA" w:rsidRPr="00A92B39" w:rsidRDefault="00E82A60" w:rsidP="00300A01">
            <w:pPr>
              <w:spacing w:before="0" w:after="0"/>
              <w:jc w:val="center"/>
              <w:rPr>
                <w:b/>
                <w:sz w:val="10"/>
                <w:szCs w:val="10"/>
                <w:lang w:val="fr-BE"/>
              </w:rPr>
            </w:pPr>
            <w:r w:rsidRPr="00A92B39">
              <w:rPr>
                <w:b/>
                <w:noProof/>
                <w:sz w:val="10"/>
                <w:szCs w:val="10"/>
                <w:lang w:val="fr-BE"/>
              </w:rPr>
              <w:t>Mężczyźni</w:t>
            </w:r>
          </w:p>
        </w:tc>
        <w:tc>
          <w:tcPr>
            <w:tcW w:w="0" w:type="auto"/>
          </w:tcPr>
          <w:p w14:paraId="259AB73D" w14:textId="77777777" w:rsidR="008C5CFA" w:rsidRPr="00A92B39" w:rsidRDefault="00E82A60" w:rsidP="00300A01">
            <w:pPr>
              <w:spacing w:before="0" w:after="0"/>
              <w:jc w:val="center"/>
              <w:rPr>
                <w:b/>
                <w:sz w:val="10"/>
                <w:szCs w:val="10"/>
                <w:lang w:val="fr-BE"/>
              </w:rPr>
            </w:pPr>
            <w:r w:rsidRPr="00A92B39">
              <w:rPr>
                <w:b/>
                <w:noProof/>
                <w:sz w:val="10"/>
                <w:szCs w:val="10"/>
                <w:lang w:val="fr-BE"/>
              </w:rPr>
              <w:t>Kobiety</w:t>
            </w:r>
          </w:p>
        </w:tc>
        <w:tc>
          <w:tcPr>
            <w:tcW w:w="0" w:type="auto"/>
          </w:tcPr>
          <w:p w14:paraId="3B747062" w14:textId="77777777" w:rsidR="008C5CFA" w:rsidRPr="00A92B39" w:rsidRDefault="00E82A60" w:rsidP="00300A01">
            <w:pPr>
              <w:spacing w:before="0" w:after="0"/>
              <w:jc w:val="center"/>
              <w:rPr>
                <w:b/>
                <w:sz w:val="10"/>
                <w:szCs w:val="10"/>
                <w:lang w:val="fr-BE"/>
              </w:rPr>
            </w:pPr>
            <w:r w:rsidRPr="00A92B39">
              <w:rPr>
                <w:b/>
                <w:noProof/>
                <w:sz w:val="10"/>
                <w:szCs w:val="10"/>
                <w:lang w:val="fr-BE"/>
              </w:rPr>
              <w:t>Ogółem</w:t>
            </w:r>
          </w:p>
        </w:tc>
        <w:tc>
          <w:tcPr>
            <w:tcW w:w="0" w:type="auto"/>
          </w:tcPr>
          <w:p w14:paraId="7D08358A" w14:textId="77777777" w:rsidR="008C5CFA" w:rsidRPr="00A92B39" w:rsidRDefault="00E82A60" w:rsidP="00300A01">
            <w:pPr>
              <w:spacing w:before="0" w:after="0"/>
              <w:jc w:val="center"/>
              <w:rPr>
                <w:b/>
                <w:sz w:val="10"/>
                <w:szCs w:val="10"/>
                <w:lang w:val="fr-BE"/>
              </w:rPr>
            </w:pPr>
            <w:r w:rsidRPr="00A92B39">
              <w:rPr>
                <w:b/>
                <w:noProof/>
                <w:sz w:val="10"/>
                <w:szCs w:val="10"/>
                <w:lang w:val="fr-BE"/>
              </w:rPr>
              <w:t>Mężczyźni</w:t>
            </w:r>
          </w:p>
        </w:tc>
        <w:tc>
          <w:tcPr>
            <w:tcW w:w="0" w:type="auto"/>
          </w:tcPr>
          <w:p w14:paraId="3EFAFC73" w14:textId="77777777" w:rsidR="008C5CFA" w:rsidRPr="00A92B39" w:rsidRDefault="00E82A60" w:rsidP="00300A01">
            <w:pPr>
              <w:spacing w:before="0" w:after="0"/>
              <w:jc w:val="center"/>
              <w:rPr>
                <w:b/>
                <w:sz w:val="10"/>
                <w:szCs w:val="10"/>
                <w:lang w:val="fr-BE"/>
              </w:rPr>
            </w:pPr>
            <w:r w:rsidRPr="00A92B39">
              <w:rPr>
                <w:b/>
                <w:noProof/>
                <w:sz w:val="10"/>
                <w:szCs w:val="10"/>
                <w:lang w:val="fr-BE"/>
              </w:rPr>
              <w:t>Kobiety</w:t>
            </w:r>
          </w:p>
        </w:tc>
      </w:tr>
      <w:tr w:rsidR="006B2EC1" w14:paraId="503C004E" w14:textId="77777777" w:rsidTr="0047688D">
        <w:tc>
          <w:tcPr>
            <w:tcW w:w="0" w:type="auto"/>
            <w:shd w:val="clear" w:color="auto" w:fill="auto"/>
          </w:tcPr>
          <w:p w14:paraId="2CDF1802" w14:textId="77777777" w:rsidR="008C5CFA" w:rsidRPr="00A92B39" w:rsidRDefault="00E82A60" w:rsidP="00300A01">
            <w:pPr>
              <w:spacing w:before="0" w:after="0"/>
              <w:rPr>
                <w:sz w:val="10"/>
                <w:szCs w:val="10"/>
                <w:lang w:val="fr-BE"/>
              </w:rPr>
            </w:pPr>
            <w:r w:rsidRPr="00A92B39">
              <w:rPr>
                <w:noProof/>
                <w:sz w:val="10"/>
                <w:szCs w:val="10"/>
                <w:lang w:val="fr-BE"/>
              </w:rPr>
              <w:t>006</w:t>
            </w:r>
          </w:p>
        </w:tc>
        <w:tc>
          <w:tcPr>
            <w:tcW w:w="0" w:type="auto"/>
            <w:shd w:val="clear" w:color="auto" w:fill="auto"/>
          </w:tcPr>
          <w:p w14:paraId="05A8BF8D" w14:textId="77777777" w:rsidR="008C5CFA" w:rsidRPr="00A92B39" w:rsidRDefault="00E82A60" w:rsidP="00300A01">
            <w:pPr>
              <w:spacing w:before="0" w:after="0"/>
              <w:rPr>
                <w:sz w:val="10"/>
                <w:szCs w:val="10"/>
                <w:lang w:val="fr-BE"/>
              </w:rPr>
            </w:pPr>
            <w:r w:rsidRPr="00A92B39">
              <w:rPr>
                <w:noProof/>
                <w:sz w:val="10"/>
                <w:szCs w:val="10"/>
                <w:lang w:val="fr-BE"/>
              </w:rPr>
              <w:t>Liczba nauczycieli objętych wsparciem w programie</w:t>
            </w:r>
          </w:p>
        </w:tc>
        <w:tc>
          <w:tcPr>
            <w:tcW w:w="0" w:type="auto"/>
            <w:shd w:val="clear" w:color="auto" w:fill="auto"/>
          </w:tcPr>
          <w:p w14:paraId="35C927E4" w14:textId="77777777" w:rsidR="008C5CFA" w:rsidRPr="00A92B39" w:rsidRDefault="00E82A60" w:rsidP="00300A01">
            <w:pPr>
              <w:spacing w:before="0" w:after="0"/>
              <w:rPr>
                <w:sz w:val="10"/>
                <w:szCs w:val="10"/>
                <w:lang w:val="fr-BE"/>
              </w:rPr>
            </w:pPr>
            <w:r w:rsidRPr="00A92B39">
              <w:rPr>
                <w:noProof/>
                <w:sz w:val="10"/>
                <w:szCs w:val="10"/>
                <w:lang w:val="fr-BE"/>
              </w:rPr>
              <w:t>Słabiej rozwinięte</w:t>
            </w:r>
          </w:p>
        </w:tc>
        <w:tc>
          <w:tcPr>
            <w:tcW w:w="0" w:type="auto"/>
            <w:shd w:val="clear" w:color="auto" w:fill="auto"/>
          </w:tcPr>
          <w:p w14:paraId="010C1AFE" w14:textId="77777777" w:rsidR="008C5CFA" w:rsidRPr="00A92B39" w:rsidRDefault="00E82A60" w:rsidP="00300A01">
            <w:pPr>
              <w:spacing w:before="0" w:after="0"/>
              <w:jc w:val="right"/>
              <w:rPr>
                <w:sz w:val="10"/>
                <w:szCs w:val="10"/>
                <w:lang w:val="fr-BE"/>
              </w:rPr>
            </w:pPr>
            <w:r w:rsidRPr="00A92B39">
              <w:rPr>
                <w:noProof/>
                <w:sz w:val="10"/>
                <w:szCs w:val="10"/>
                <w:lang w:val="fr-BE"/>
              </w:rPr>
              <w:t>616,00</w:t>
            </w:r>
          </w:p>
        </w:tc>
        <w:tc>
          <w:tcPr>
            <w:tcW w:w="0" w:type="auto"/>
            <w:shd w:val="clear" w:color="auto" w:fill="auto"/>
          </w:tcPr>
          <w:p w14:paraId="4874287D"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14:paraId="2B420F51"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20525571" w14:textId="77777777" w:rsidR="008C5CFA" w:rsidRPr="00A92B39" w:rsidRDefault="00E82A60" w:rsidP="00300A01">
            <w:pPr>
              <w:spacing w:before="0" w:after="0"/>
              <w:jc w:val="right"/>
              <w:rPr>
                <w:sz w:val="10"/>
                <w:szCs w:val="10"/>
                <w:lang w:val="fr-BE"/>
              </w:rPr>
            </w:pPr>
            <w:r w:rsidRPr="00A92B39">
              <w:rPr>
                <w:noProof/>
                <w:sz w:val="10"/>
                <w:szCs w:val="10"/>
                <w:lang w:val="fr-BE"/>
              </w:rPr>
              <w:t>708,00</w:t>
            </w:r>
          </w:p>
        </w:tc>
        <w:tc>
          <w:tcPr>
            <w:tcW w:w="0" w:type="auto"/>
          </w:tcPr>
          <w:p w14:paraId="11A4A0AD"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73B4D167"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7AD26456" w14:textId="77777777" w:rsidR="008C5CFA" w:rsidRPr="00A92B39" w:rsidRDefault="00E82A60" w:rsidP="00300A01">
            <w:pPr>
              <w:spacing w:before="0" w:after="0"/>
              <w:jc w:val="right"/>
              <w:rPr>
                <w:sz w:val="10"/>
                <w:szCs w:val="10"/>
                <w:lang w:val="fr-BE"/>
              </w:rPr>
            </w:pPr>
            <w:r w:rsidRPr="00A92B39">
              <w:rPr>
                <w:noProof/>
                <w:sz w:val="10"/>
                <w:szCs w:val="10"/>
                <w:lang w:val="fr-BE"/>
              </w:rPr>
              <w:t>9,00</w:t>
            </w:r>
          </w:p>
        </w:tc>
        <w:tc>
          <w:tcPr>
            <w:tcW w:w="0" w:type="auto"/>
          </w:tcPr>
          <w:p w14:paraId="74602443"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275C0345"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0FF63B52"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744E76AD"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012BCC67"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084D4125"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16C8E4FD"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340573E6"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r>
      <w:tr w:rsidR="006B2EC1" w14:paraId="0EF8BB08" w14:textId="77777777" w:rsidTr="0047688D">
        <w:tc>
          <w:tcPr>
            <w:tcW w:w="0" w:type="auto"/>
            <w:shd w:val="clear" w:color="auto" w:fill="auto"/>
          </w:tcPr>
          <w:p w14:paraId="28E485F1" w14:textId="77777777" w:rsidR="008C5CFA" w:rsidRPr="00A92B39" w:rsidRDefault="00E82A60" w:rsidP="00300A01">
            <w:pPr>
              <w:spacing w:before="0" w:after="0"/>
              <w:rPr>
                <w:sz w:val="10"/>
                <w:szCs w:val="10"/>
                <w:lang w:val="fr-BE"/>
              </w:rPr>
            </w:pPr>
            <w:r w:rsidRPr="00A92B39">
              <w:rPr>
                <w:noProof/>
                <w:sz w:val="10"/>
                <w:szCs w:val="10"/>
                <w:lang w:val="fr-BE"/>
              </w:rPr>
              <w:t>100</w:t>
            </w:r>
          </w:p>
        </w:tc>
        <w:tc>
          <w:tcPr>
            <w:tcW w:w="0" w:type="auto"/>
            <w:shd w:val="clear" w:color="auto" w:fill="auto"/>
          </w:tcPr>
          <w:p w14:paraId="61F3495D" w14:textId="77777777" w:rsidR="008C5CFA" w:rsidRPr="00A92B39" w:rsidRDefault="00E82A60" w:rsidP="00300A01">
            <w:pPr>
              <w:spacing w:before="0" w:after="0"/>
              <w:rPr>
                <w:sz w:val="10"/>
                <w:szCs w:val="10"/>
                <w:lang w:val="fr-BE"/>
              </w:rPr>
            </w:pPr>
            <w:r w:rsidRPr="00A92B39">
              <w:rPr>
                <w:noProof/>
                <w:sz w:val="10"/>
                <w:szCs w:val="10"/>
                <w:lang w:val="fr-BE"/>
              </w:rPr>
              <w:t>Liczba szkół i placówek systemu oświaty wyposażonych w ramach programu w sprzęt TIK do prowadzenia zajęć edukacyjnych</w:t>
            </w:r>
          </w:p>
        </w:tc>
        <w:tc>
          <w:tcPr>
            <w:tcW w:w="0" w:type="auto"/>
            <w:shd w:val="clear" w:color="auto" w:fill="auto"/>
          </w:tcPr>
          <w:p w14:paraId="4D525451" w14:textId="77777777" w:rsidR="008C5CFA" w:rsidRPr="00A92B39" w:rsidRDefault="00E82A60" w:rsidP="00300A01">
            <w:pPr>
              <w:spacing w:before="0" w:after="0"/>
              <w:rPr>
                <w:sz w:val="10"/>
                <w:szCs w:val="10"/>
                <w:lang w:val="fr-BE"/>
              </w:rPr>
            </w:pPr>
            <w:r w:rsidRPr="00A92B39">
              <w:rPr>
                <w:noProof/>
                <w:sz w:val="10"/>
                <w:szCs w:val="10"/>
                <w:lang w:val="fr-BE"/>
              </w:rPr>
              <w:t>Słabiej rozwinięte</w:t>
            </w:r>
          </w:p>
        </w:tc>
        <w:tc>
          <w:tcPr>
            <w:tcW w:w="0" w:type="auto"/>
            <w:shd w:val="clear" w:color="auto" w:fill="auto"/>
          </w:tcPr>
          <w:p w14:paraId="6A7997F7" w14:textId="77777777" w:rsidR="008C5CFA" w:rsidRPr="00A92B39" w:rsidRDefault="00E82A60" w:rsidP="00300A01">
            <w:pPr>
              <w:spacing w:before="0" w:after="0"/>
              <w:jc w:val="right"/>
              <w:rPr>
                <w:sz w:val="10"/>
                <w:szCs w:val="10"/>
                <w:lang w:val="fr-BE"/>
              </w:rPr>
            </w:pPr>
            <w:r w:rsidRPr="00A92B39">
              <w:rPr>
                <w:noProof/>
                <w:sz w:val="10"/>
                <w:szCs w:val="10"/>
                <w:lang w:val="fr-BE"/>
              </w:rPr>
              <w:t>44,00</w:t>
            </w:r>
          </w:p>
        </w:tc>
        <w:tc>
          <w:tcPr>
            <w:tcW w:w="0" w:type="auto"/>
            <w:shd w:val="clear" w:color="auto" w:fill="auto"/>
          </w:tcPr>
          <w:p w14:paraId="55C7D830"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14:paraId="6EBD9422"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79E8CF5D" w14:textId="77777777" w:rsidR="008C5CFA" w:rsidRPr="00A92B39" w:rsidRDefault="00E82A60" w:rsidP="00300A01">
            <w:pPr>
              <w:spacing w:before="0" w:after="0"/>
              <w:jc w:val="right"/>
              <w:rPr>
                <w:sz w:val="10"/>
                <w:szCs w:val="10"/>
                <w:lang w:val="fr-BE"/>
              </w:rPr>
            </w:pPr>
            <w:r w:rsidRPr="00A92B39">
              <w:rPr>
                <w:noProof/>
                <w:sz w:val="10"/>
                <w:szCs w:val="10"/>
                <w:lang w:val="fr-BE"/>
              </w:rPr>
              <w:t>79,00</w:t>
            </w:r>
          </w:p>
        </w:tc>
        <w:tc>
          <w:tcPr>
            <w:tcW w:w="0" w:type="auto"/>
          </w:tcPr>
          <w:p w14:paraId="73681C17"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7C0AA18D"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3EE4A086"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63EF09B9"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6454DE43"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26DFAB4D"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6DBB5F38"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4840D4AA"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7A2B5831"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6BE35938"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0BE29848"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r>
      <w:tr w:rsidR="006B2EC1" w14:paraId="5B50DC0C" w14:textId="77777777" w:rsidTr="0047688D">
        <w:tc>
          <w:tcPr>
            <w:tcW w:w="0" w:type="auto"/>
            <w:shd w:val="clear" w:color="auto" w:fill="auto"/>
          </w:tcPr>
          <w:p w14:paraId="772BD035" w14:textId="77777777" w:rsidR="008C5CFA" w:rsidRPr="00A92B39" w:rsidRDefault="00E82A60" w:rsidP="00300A01">
            <w:pPr>
              <w:spacing w:before="0" w:after="0"/>
              <w:rPr>
                <w:sz w:val="10"/>
                <w:szCs w:val="10"/>
                <w:lang w:val="fr-BE"/>
              </w:rPr>
            </w:pPr>
            <w:r w:rsidRPr="00A92B39">
              <w:rPr>
                <w:noProof/>
                <w:sz w:val="10"/>
                <w:szCs w:val="10"/>
                <w:lang w:val="fr-BE"/>
              </w:rPr>
              <w:t>101</w:t>
            </w:r>
          </w:p>
        </w:tc>
        <w:tc>
          <w:tcPr>
            <w:tcW w:w="0" w:type="auto"/>
            <w:shd w:val="clear" w:color="auto" w:fill="auto"/>
          </w:tcPr>
          <w:p w14:paraId="66DF8B32" w14:textId="77777777" w:rsidR="008C5CFA" w:rsidRPr="00A92B39" w:rsidRDefault="00E82A60" w:rsidP="00300A01">
            <w:pPr>
              <w:spacing w:before="0" w:after="0"/>
              <w:rPr>
                <w:sz w:val="10"/>
                <w:szCs w:val="10"/>
                <w:lang w:val="fr-BE"/>
              </w:rPr>
            </w:pPr>
            <w:r w:rsidRPr="00A92B39">
              <w:rPr>
                <w:noProof/>
                <w:sz w:val="10"/>
                <w:szCs w:val="10"/>
                <w:lang w:val="fr-BE"/>
              </w:rPr>
              <w:t>Liczba szkół, których pracownie przedmiotowe zostały doposażone w programie</w:t>
            </w:r>
          </w:p>
        </w:tc>
        <w:tc>
          <w:tcPr>
            <w:tcW w:w="0" w:type="auto"/>
            <w:shd w:val="clear" w:color="auto" w:fill="auto"/>
          </w:tcPr>
          <w:p w14:paraId="28EBE671" w14:textId="77777777" w:rsidR="008C5CFA" w:rsidRPr="00A92B39" w:rsidRDefault="00E82A60" w:rsidP="00300A01">
            <w:pPr>
              <w:spacing w:before="0" w:after="0"/>
              <w:rPr>
                <w:sz w:val="10"/>
                <w:szCs w:val="10"/>
                <w:lang w:val="fr-BE"/>
              </w:rPr>
            </w:pPr>
            <w:r w:rsidRPr="00A92B39">
              <w:rPr>
                <w:noProof/>
                <w:sz w:val="10"/>
                <w:szCs w:val="10"/>
                <w:lang w:val="fr-BE"/>
              </w:rPr>
              <w:t>Słabiej rozwinięte</w:t>
            </w:r>
          </w:p>
        </w:tc>
        <w:tc>
          <w:tcPr>
            <w:tcW w:w="0" w:type="auto"/>
            <w:shd w:val="clear" w:color="auto" w:fill="auto"/>
          </w:tcPr>
          <w:p w14:paraId="7CF43864" w14:textId="77777777" w:rsidR="008C5CFA" w:rsidRPr="00A92B39" w:rsidRDefault="00E82A60" w:rsidP="00300A01">
            <w:pPr>
              <w:spacing w:before="0" w:after="0"/>
              <w:jc w:val="right"/>
              <w:rPr>
                <w:sz w:val="10"/>
                <w:szCs w:val="10"/>
                <w:lang w:val="fr-BE"/>
              </w:rPr>
            </w:pPr>
            <w:r w:rsidRPr="00A92B39">
              <w:rPr>
                <w:noProof/>
                <w:sz w:val="10"/>
                <w:szCs w:val="10"/>
                <w:lang w:val="fr-BE"/>
              </w:rPr>
              <w:t>44,00</w:t>
            </w:r>
          </w:p>
        </w:tc>
        <w:tc>
          <w:tcPr>
            <w:tcW w:w="0" w:type="auto"/>
            <w:shd w:val="clear" w:color="auto" w:fill="auto"/>
          </w:tcPr>
          <w:p w14:paraId="40244F23"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14:paraId="4BFCC077"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3A706B66" w14:textId="77777777" w:rsidR="008C5CFA" w:rsidRPr="00A92B39" w:rsidRDefault="00E82A60" w:rsidP="00300A01">
            <w:pPr>
              <w:spacing w:before="0" w:after="0"/>
              <w:jc w:val="right"/>
              <w:rPr>
                <w:sz w:val="10"/>
                <w:szCs w:val="10"/>
                <w:lang w:val="fr-BE"/>
              </w:rPr>
            </w:pPr>
            <w:r w:rsidRPr="00A92B39">
              <w:rPr>
                <w:noProof/>
                <w:sz w:val="10"/>
                <w:szCs w:val="10"/>
                <w:lang w:val="fr-BE"/>
              </w:rPr>
              <w:t>81,00</w:t>
            </w:r>
          </w:p>
        </w:tc>
        <w:tc>
          <w:tcPr>
            <w:tcW w:w="0" w:type="auto"/>
          </w:tcPr>
          <w:p w14:paraId="05D4FD8D"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570FC75D"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13601D05"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6946014F"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3DAD3241"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386DB970"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646FBEA6"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2DF1D2A7"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312B1D2C"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5E0AE5EB"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63234667"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r>
      <w:tr w:rsidR="006B2EC1" w14:paraId="4481DA96" w14:textId="77777777" w:rsidTr="0047688D">
        <w:tc>
          <w:tcPr>
            <w:tcW w:w="0" w:type="auto"/>
            <w:shd w:val="clear" w:color="auto" w:fill="auto"/>
          </w:tcPr>
          <w:p w14:paraId="48169126" w14:textId="77777777" w:rsidR="008C5CFA" w:rsidRPr="00A92B39" w:rsidRDefault="00E82A60" w:rsidP="00300A01">
            <w:pPr>
              <w:spacing w:before="0" w:after="0"/>
              <w:rPr>
                <w:sz w:val="10"/>
                <w:szCs w:val="10"/>
                <w:lang w:val="fr-BE"/>
              </w:rPr>
            </w:pPr>
            <w:r w:rsidRPr="00A92B39">
              <w:rPr>
                <w:noProof/>
                <w:sz w:val="10"/>
                <w:szCs w:val="10"/>
                <w:lang w:val="fr-BE"/>
              </w:rPr>
              <w:t>103</w:t>
            </w:r>
          </w:p>
        </w:tc>
        <w:tc>
          <w:tcPr>
            <w:tcW w:w="0" w:type="auto"/>
            <w:shd w:val="clear" w:color="auto" w:fill="auto"/>
          </w:tcPr>
          <w:p w14:paraId="24CB4203" w14:textId="77777777" w:rsidR="008C5CFA" w:rsidRPr="00A92B39" w:rsidRDefault="00E82A60" w:rsidP="00300A01">
            <w:pPr>
              <w:spacing w:before="0" w:after="0"/>
              <w:rPr>
                <w:sz w:val="10"/>
                <w:szCs w:val="10"/>
                <w:lang w:val="fr-BE"/>
              </w:rPr>
            </w:pPr>
            <w:r w:rsidRPr="00A92B39">
              <w:rPr>
                <w:noProof/>
                <w:sz w:val="10"/>
                <w:szCs w:val="10"/>
                <w:lang w:val="fr-BE"/>
              </w:rPr>
              <w:t>Liczba nauczycieli objętych wsparciem w zakresie TIK w ramach programu</w:t>
            </w:r>
          </w:p>
        </w:tc>
        <w:tc>
          <w:tcPr>
            <w:tcW w:w="0" w:type="auto"/>
            <w:shd w:val="clear" w:color="auto" w:fill="auto"/>
          </w:tcPr>
          <w:p w14:paraId="24B03373" w14:textId="77777777" w:rsidR="008C5CFA" w:rsidRPr="00A92B39" w:rsidRDefault="00E82A60" w:rsidP="00300A01">
            <w:pPr>
              <w:spacing w:before="0" w:after="0"/>
              <w:rPr>
                <w:sz w:val="10"/>
                <w:szCs w:val="10"/>
                <w:lang w:val="fr-BE"/>
              </w:rPr>
            </w:pPr>
            <w:r w:rsidRPr="00A92B39">
              <w:rPr>
                <w:noProof/>
                <w:sz w:val="10"/>
                <w:szCs w:val="10"/>
                <w:lang w:val="fr-BE"/>
              </w:rPr>
              <w:t>Słabiej rozwinięte</w:t>
            </w:r>
          </w:p>
        </w:tc>
        <w:tc>
          <w:tcPr>
            <w:tcW w:w="0" w:type="auto"/>
            <w:shd w:val="clear" w:color="auto" w:fill="auto"/>
          </w:tcPr>
          <w:p w14:paraId="16B28BC3" w14:textId="77777777" w:rsidR="008C5CFA" w:rsidRPr="00A92B39" w:rsidRDefault="00E82A60" w:rsidP="00300A01">
            <w:pPr>
              <w:spacing w:before="0" w:after="0"/>
              <w:jc w:val="right"/>
              <w:rPr>
                <w:sz w:val="10"/>
                <w:szCs w:val="10"/>
                <w:lang w:val="fr-BE"/>
              </w:rPr>
            </w:pPr>
            <w:r w:rsidRPr="00A92B39">
              <w:rPr>
                <w:noProof/>
                <w:sz w:val="10"/>
                <w:szCs w:val="10"/>
                <w:lang w:val="fr-BE"/>
              </w:rPr>
              <w:t>442,00</w:t>
            </w:r>
          </w:p>
        </w:tc>
        <w:tc>
          <w:tcPr>
            <w:tcW w:w="0" w:type="auto"/>
            <w:shd w:val="clear" w:color="auto" w:fill="auto"/>
          </w:tcPr>
          <w:p w14:paraId="5AA8682B"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14:paraId="09B11988"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6A2D3D10" w14:textId="77777777" w:rsidR="008C5CFA" w:rsidRPr="00A92B39" w:rsidRDefault="00E82A60" w:rsidP="00300A01">
            <w:pPr>
              <w:spacing w:before="0" w:after="0"/>
              <w:jc w:val="right"/>
              <w:rPr>
                <w:sz w:val="10"/>
                <w:szCs w:val="10"/>
                <w:lang w:val="fr-BE"/>
              </w:rPr>
            </w:pPr>
            <w:r w:rsidRPr="00A92B39">
              <w:rPr>
                <w:noProof/>
                <w:sz w:val="10"/>
                <w:szCs w:val="10"/>
                <w:lang w:val="fr-BE"/>
              </w:rPr>
              <w:t>391,00</w:t>
            </w:r>
          </w:p>
        </w:tc>
        <w:tc>
          <w:tcPr>
            <w:tcW w:w="0" w:type="auto"/>
          </w:tcPr>
          <w:p w14:paraId="648C73AA"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7B3E2D53"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1B5DD0ED" w14:textId="77777777" w:rsidR="008C5CFA" w:rsidRPr="00A92B39" w:rsidRDefault="00E82A60" w:rsidP="00300A01">
            <w:pPr>
              <w:spacing w:before="0" w:after="0"/>
              <w:jc w:val="right"/>
              <w:rPr>
                <w:sz w:val="10"/>
                <w:szCs w:val="10"/>
                <w:lang w:val="fr-BE"/>
              </w:rPr>
            </w:pPr>
            <w:r w:rsidRPr="00A92B39">
              <w:rPr>
                <w:noProof/>
                <w:sz w:val="10"/>
                <w:szCs w:val="10"/>
                <w:lang w:val="fr-BE"/>
              </w:rPr>
              <w:t>9,00</w:t>
            </w:r>
          </w:p>
        </w:tc>
        <w:tc>
          <w:tcPr>
            <w:tcW w:w="0" w:type="auto"/>
          </w:tcPr>
          <w:p w14:paraId="7924CCAA"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13CC9B48"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2B6DE702"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32440700"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76CD6B94"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41A51223"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74B5AED7"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79015E0C"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r>
      <w:tr w:rsidR="006B2EC1" w14:paraId="2922571B" w14:textId="77777777" w:rsidTr="0047688D">
        <w:tc>
          <w:tcPr>
            <w:tcW w:w="0" w:type="auto"/>
            <w:shd w:val="clear" w:color="auto" w:fill="auto"/>
          </w:tcPr>
          <w:p w14:paraId="44AB7972" w14:textId="77777777" w:rsidR="008C5CFA" w:rsidRPr="00A92B39" w:rsidRDefault="00E82A60" w:rsidP="00300A01">
            <w:pPr>
              <w:spacing w:before="0" w:after="0"/>
              <w:rPr>
                <w:sz w:val="10"/>
                <w:szCs w:val="10"/>
                <w:lang w:val="fr-BE"/>
              </w:rPr>
            </w:pPr>
            <w:r w:rsidRPr="00A92B39">
              <w:rPr>
                <w:noProof/>
                <w:sz w:val="10"/>
                <w:szCs w:val="10"/>
                <w:lang w:val="fr-BE"/>
              </w:rPr>
              <w:t>142</w:t>
            </w:r>
          </w:p>
        </w:tc>
        <w:tc>
          <w:tcPr>
            <w:tcW w:w="0" w:type="auto"/>
            <w:shd w:val="clear" w:color="auto" w:fill="auto"/>
          </w:tcPr>
          <w:p w14:paraId="015ED2CD" w14:textId="77777777" w:rsidR="008C5CFA" w:rsidRPr="00A92B39" w:rsidRDefault="00E82A60" w:rsidP="00300A01">
            <w:pPr>
              <w:spacing w:before="0" w:after="0"/>
              <w:rPr>
                <w:sz w:val="10"/>
                <w:szCs w:val="10"/>
                <w:lang w:val="fr-BE"/>
              </w:rPr>
            </w:pPr>
            <w:r w:rsidRPr="00A92B39">
              <w:rPr>
                <w:noProof/>
                <w:sz w:val="10"/>
                <w:szCs w:val="10"/>
                <w:lang w:val="fr-BE"/>
              </w:rPr>
              <w:t>Liczba uczniów objętych wsparciem w zakresie rozwijania kompetencji kluczowych lub umiejętności uniwersalnych w programie</w:t>
            </w:r>
          </w:p>
        </w:tc>
        <w:tc>
          <w:tcPr>
            <w:tcW w:w="0" w:type="auto"/>
            <w:shd w:val="clear" w:color="auto" w:fill="auto"/>
          </w:tcPr>
          <w:p w14:paraId="2DC9A16B" w14:textId="77777777" w:rsidR="008C5CFA" w:rsidRPr="00A92B39" w:rsidRDefault="00E82A60" w:rsidP="00300A01">
            <w:pPr>
              <w:spacing w:before="0" w:after="0"/>
              <w:rPr>
                <w:sz w:val="10"/>
                <w:szCs w:val="10"/>
                <w:lang w:val="fr-BE"/>
              </w:rPr>
            </w:pPr>
            <w:r w:rsidRPr="00A92B39">
              <w:rPr>
                <w:noProof/>
                <w:sz w:val="10"/>
                <w:szCs w:val="10"/>
                <w:lang w:val="fr-BE"/>
              </w:rPr>
              <w:t>Słabiej rozwinięte</w:t>
            </w:r>
          </w:p>
        </w:tc>
        <w:tc>
          <w:tcPr>
            <w:tcW w:w="0" w:type="auto"/>
            <w:shd w:val="clear" w:color="auto" w:fill="auto"/>
          </w:tcPr>
          <w:p w14:paraId="2B426063" w14:textId="77777777" w:rsidR="008C5CFA" w:rsidRPr="00A92B39" w:rsidRDefault="00E82A60" w:rsidP="00300A01">
            <w:pPr>
              <w:spacing w:before="0" w:after="0"/>
              <w:jc w:val="right"/>
              <w:rPr>
                <w:sz w:val="10"/>
                <w:szCs w:val="10"/>
                <w:lang w:val="fr-BE"/>
              </w:rPr>
            </w:pPr>
            <w:r w:rsidRPr="00A92B39">
              <w:rPr>
                <w:noProof/>
                <w:sz w:val="10"/>
                <w:szCs w:val="10"/>
                <w:lang w:val="fr-BE"/>
              </w:rPr>
              <w:t>7 425,00</w:t>
            </w:r>
          </w:p>
        </w:tc>
        <w:tc>
          <w:tcPr>
            <w:tcW w:w="0" w:type="auto"/>
            <w:shd w:val="clear" w:color="auto" w:fill="auto"/>
          </w:tcPr>
          <w:p w14:paraId="2C788521"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14:paraId="269805F0"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31289A33" w14:textId="77777777" w:rsidR="008C5CFA" w:rsidRPr="00A92B39" w:rsidRDefault="00E82A60" w:rsidP="00300A01">
            <w:pPr>
              <w:spacing w:before="0" w:after="0"/>
              <w:jc w:val="right"/>
              <w:rPr>
                <w:sz w:val="10"/>
                <w:szCs w:val="10"/>
                <w:lang w:val="fr-BE"/>
              </w:rPr>
            </w:pPr>
            <w:r w:rsidRPr="00A92B39">
              <w:rPr>
                <w:noProof/>
                <w:sz w:val="10"/>
                <w:szCs w:val="10"/>
                <w:lang w:val="fr-BE"/>
              </w:rPr>
              <w:t>6 938,00</w:t>
            </w:r>
          </w:p>
        </w:tc>
        <w:tc>
          <w:tcPr>
            <w:tcW w:w="0" w:type="auto"/>
          </w:tcPr>
          <w:p w14:paraId="7DB055BA"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70D5B5CB"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51AC20A9" w14:textId="77777777" w:rsidR="008C5CFA" w:rsidRPr="00A92B39" w:rsidRDefault="00E82A60" w:rsidP="00300A01">
            <w:pPr>
              <w:spacing w:before="0" w:after="0"/>
              <w:jc w:val="right"/>
              <w:rPr>
                <w:sz w:val="10"/>
                <w:szCs w:val="10"/>
                <w:lang w:val="fr-BE"/>
              </w:rPr>
            </w:pPr>
            <w:r w:rsidRPr="00A92B39">
              <w:rPr>
                <w:noProof/>
                <w:sz w:val="10"/>
                <w:szCs w:val="10"/>
                <w:lang w:val="fr-BE"/>
              </w:rPr>
              <w:t>1 029,00</w:t>
            </w:r>
          </w:p>
        </w:tc>
        <w:tc>
          <w:tcPr>
            <w:tcW w:w="0" w:type="auto"/>
          </w:tcPr>
          <w:p w14:paraId="536DCD3C"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36674878"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3353FCFC"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381D1DC6"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500C00AE"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7783058C"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7878D31A"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4E478767"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r>
      <w:tr w:rsidR="006B2EC1" w14:paraId="449FB907" w14:textId="77777777" w:rsidTr="0047688D">
        <w:tc>
          <w:tcPr>
            <w:tcW w:w="0" w:type="auto"/>
            <w:shd w:val="clear" w:color="auto" w:fill="auto"/>
          </w:tcPr>
          <w:p w14:paraId="257474BC" w14:textId="77777777" w:rsidR="008C5CFA" w:rsidRPr="00A92B39" w:rsidRDefault="00E82A60" w:rsidP="00300A01">
            <w:pPr>
              <w:spacing w:before="0" w:after="0"/>
              <w:rPr>
                <w:sz w:val="10"/>
                <w:szCs w:val="10"/>
                <w:lang w:val="fr-BE"/>
              </w:rPr>
            </w:pPr>
            <w:r w:rsidRPr="00A92B39">
              <w:rPr>
                <w:noProof/>
                <w:sz w:val="10"/>
                <w:szCs w:val="10"/>
                <w:lang w:val="fr-BE"/>
              </w:rPr>
              <w:t>98</w:t>
            </w:r>
          </w:p>
        </w:tc>
        <w:tc>
          <w:tcPr>
            <w:tcW w:w="0" w:type="auto"/>
            <w:shd w:val="clear" w:color="auto" w:fill="auto"/>
          </w:tcPr>
          <w:p w14:paraId="7FAF2689" w14:textId="77777777" w:rsidR="008C5CFA" w:rsidRPr="00A92B39" w:rsidRDefault="00E82A60" w:rsidP="00300A01">
            <w:pPr>
              <w:spacing w:before="0" w:after="0"/>
              <w:rPr>
                <w:sz w:val="10"/>
                <w:szCs w:val="10"/>
                <w:lang w:val="fr-BE"/>
              </w:rPr>
            </w:pPr>
            <w:r w:rsidRPr="00A92B39">
              <w:rPr>
                <w:noProof/>
                <w:sz w:val="10"/>
                <w:szCs w:val="10"/>
                <w:lang w:val="fr-BE"/>
              </w:rPr>
              <w:t>Liczba dzieci objętych w ramach programu dodatkowymi zajęciami zwiększającymi ich szanse edukacyjne w edukacji przedszkolnej</w:t>
            </w:r>
          </w:p>
        </w:tc>
        <w:tc>
          <w:tcPr>
            <w:tcW w:w="0" w:type="auto"/>
            <w:shd w:val="clear" w:color="auto" w:fill="auto"/>
          </w:tcPr>
          <w:p w14:paraId="7D665897" w14:textId="77777777" w:rsidR="008C5CFA" w:rsidRPr="00A92B39" w:rsidRDefault="00E82A60" w:rsidP="00300A01">
            <w:pPr>
              <w:spacing w:before="0" w:after="0"/>
              <w:rPr>
                <w:sz w:val="10"/>
                <w:szCs w:val="10"/>
                <w:lang w:val="fr-BE"/>
              </w:rPr>
            </w:pPr>
            <w:r w:rsidRPr="00A92B39">
              <w:rPr>
                <w:noProof/>
                <w:sz w:val="10"/>
                <w:szCs w:val="10"/>
                <w:lang w:val="fr-BE"/>
              </w:rPr>
              <w:t>Słabiej rozwinięte</w:t>
            </w:r>
          </w:p>
        </w:tc>
        <w:tc>
          <w:tcPr>
            <w:tcW w:w="0" w:type="auto"/>
            <w:shd w:val="clear" w:color="auto" w:fill="auto"/>
          </w:tcPr>
          <w:p w14:paraId="5A619EC0" w14:textId="77777777" w:rsidR="008C5CFA" w:rsidRPr="00A92B39" w:rsidRDefault="00E82A60" w:rsidP="00300A01">
            <w:pPr>
              <w:spacing w:before="0" w:after="0"/>
              <w:jc w:val="right"/>
              <w:rPr>
                <w:sz w:val="10"/>
                <w:szCs w:val="10"/>
                <w:lang w:val="fr-BE"/>
              </w:rPr>
            </w:pPr>
            <w:r w:rsidRPr="00A92B39">
              <w:rPr>
                <w:noProof/>
                <w:sz w:val="10"/>
                <w:szCs w:val="10"/>
                <w:lang w:val="fr-BE"/>
              </w:rPr>
              <w:t>1 243,00</w:t>
            </w:r>
          </w:p>
        </w:tc>
        <w:tc>
          <w:tcPr>
            <w:tcW w:w="0" w:type="auto"/>
            <w:shd w:val="clear" w:color="auto" w:fill="auto"/>
          </w:tcPr>
          <w:p w14:paraId="6E141C5D"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14:paraId="14911C37"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1DF42A59" w14:textId="77777777" w:rsidR="008C5CFA" w:rsidRPr="00A92B39" w:rsidRDefault="00E82A60" w:rsidP="00300A01">
            <w:pPr>
              <w:spacing w:before="0" w:after="0"/>
              <w:jc w:val="right"/>
              <w:rPr>
                <w:sz w:val="10"/>
                <w:szCs w:val="10"/>
                <w:lang w:val="fr-BE"/>
              </w:rPr>
            </w:pPr>
            <w:r w:rsidRPr="00A92B39">
              <w:rPr>
                <w:noProof/>
                <w:sz w:val="10"/>
                <w:szCs w:val="10"/>
                <w:lang w:val="fr-BE"/>
              </w:rPr>
              <w:t>1 643,00</w:t>
            </w:r>
          </w:p>
        </w:tc>
        <w:tc>
          <w:tcPr>
            <w:tcW w:w="0" w:type="auto"/>
          </w:tcPr>
          <w:p w14:paraId="3B094CEF"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6ED933EE"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1DAA19C3" w14:textId="77777777" w:rsidR="008C5CFA" w:rsidRPr="00A92B39" w:rsidRDefault="00E82A60" w:rsidP="00300A01">
            <w:pPr>
              <w:spacing w:before="0" w:after="0"/>
              <w:jc w:val="right"/>
              <w:rPr>
                <w:sz w:val="10"/>
                <w:szCs w:val="10"/>
                <w:lang w:val="fr-BE"/>
              </w:rPr>
            </w:pPr>
            <w:r w:rsidRPr="00A92B39">
              <w:rPr>
                <w:noProof/>
                <w:sz w:val="10"/>
                <w:szCs w:val="10"/>
                <w:lang w:val="fr-BE"/>
              </w:rPr>
              <w:t>612,00</w:t>
            </w:r>
          </w:p>
        </w:tc>
        <w:tc>
          <w:tcPr>
            <w:tcW w:w="0" w:type="auto"/>
          </w:tcPr>
          <w:p w14:paraId="21AB21B0"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3D381A3B"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2C53133D"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0A15E1C8"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0483683D"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40429093"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54B13BE1"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2E5316D5"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r>
      <w:tr w:rsidR="006B2EC1" w14:paraId="4F4D2A61" w14:textId="77777777" w:rsidTr="0047688D">
        <w:tc>
          <w:tcPr>
            <w:tcW w:w="0" w:type="auto"/>
            <w:shd w:val="clear" w:color="auto" w:fill="auto"/>
          </w:tcPr>
          <w:p w14:paraId="3E8A1E9B" w14:textId="77777777" w:rsidR="008C5CFA" w:rsidRPr="00A92B39" w:rsidRDefault="00E82A60" w:rsidP="00300A01">
            <w:pPr>
              <w:spacing w:before="0" w:after="0"/>
              <w:rPr>
                <w:sz w:val="10"/>
                <w:szCs w:val="10"/>
                <w:lang w:val="fr-BE"/>
              </w:rPr>
            </w:pPr>
            <w:r w:rsidRPr="00A92B39">
              <w:rPr>
                <w:noProof/>
                <w:sz w:val="10"/>
                <w:szCs w:val="10"/>
                <w:lang w:val="fr-BE"/>
              </w:rPr>
              <w:t>99</w:t>
            </w:r>
          </w:p>
        </w:tc>
        <w:tc>
          <w:tcPr>
            <w:tcW w:w="0" w:type="auto"/>
            <w:shd w:val="clear" w:color="auto" w:fill="auto"/>
          </w:tcPr>
          <w:p w14:paraId="53C4EAB6" w14:textId="77777777" w:rsidR="008C5CFA" w:rsidRPr="00A92B39" w:rsidRDefault="00E82A60" w:rsidP="00300A01">
            <w:pPr>
              <w:spacing w:before="0" w:after="0"/>
              <w:rPr>
                <w:sz w:val="10"/>
                <w:szCs w:val="10"/>
                <w:lang w:val="fr-BE"/>
              </w:rPr>
            </w:pPr>
            <w:r w:rsidRPr="00A92B39">
              <w:rPr>
                <w:noProof/>
                <w:sz w:val="10"/>
                <w:szCs w:val="10"/>
                <w:lang w:val="fr-BE"/>
              </w:rPr>
              <w:t>Liczba miejsc wychowania przedszkolnego dofinansowanych w programie</w:t>
            </w:r>
          </w:p>
        </w:tc>
        <w:tc>
          <w:tcPr>
            <w:tcW w:w="0" w:type="auto"/>
            <w:shd w:val="clear" w:color="auto" w:fill="auto"/>
          </w:tcPr>
          <w:p w14:paraId="446D301E" w14:textId="77777777" w:rsidR="008C5CFA" w:rsidRPr="00A92B39" w:rsidRDefault="00E82A60" w:rsidP="00300A01">
            <w:pPr>
              <w:spacing w:before="0" w:after="0"/>
              <w:rPr>
                <w:sz w:val="10"/>
                <w:szCs w:val="10"/>
                <w:lang w:val="fr-BE"/>
              </w:rPr>
            </w:pPr>
            <w:r w:rsidRPr="00A92B39">
              <w:rPr>
                <w:noProof/>
                <w:sz w:val="10"/>
                <w:szCs w:val="10"/>
                <w:lang w:val="fr-BE"/>
              </w:rPr>
              <w:t>Słabiej rozwinięte</w:t>
            </w:r>
          </w:p>
        </w:tc>
        <w:tc>
          <w:tcPr>
            <w:tcW w:w="0" w:type="auto"/>
            <w:shd w:val="clear" w:color="auto" w:fill="auto"/>
          </w:tcPr>
          <w:p w14:paraId="2BDBCD3C" w14:textId="77777777" w:rsidR="008C5CFA" w:rsidRPr="00A92B39" w:rsidRDefault="00E82A60" w:rsidP="00300A01">
            <w:pPr>
              <w:spacing w:before="0" w:after="0"/>
              <w:jc w:val="right"/>
              <w:rPr>
                <w:sz w:val="10"/>
                <w:szCs w:val="10"/>
                <w:lang w:val="fr-BE"/>
              </w:rPr>
            </w:pPr>
            <w:r w:rsidRPr="00A92B39">
              <w:rPr>
                <w:noProof/>
                <w:sz w:val="10"/>
                <w:szCs w:val="10"/>
                <w:lang w:val="fr-BE"/>
              </w:rPr>
              <w:t>488,00</w:t>
            </w:r>
          </w:p>
        </w:tc>
        <w:tc>
          <w:tcPr>
            <w:tcW w:w="0" w:type="auto"/>
            <w:shd w:val="clear" w:color="auto" w:fill="auto"/>
          </w:tcPr>
          <w:p w14:paraId="2A5D4493"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14:paraId="571C83B5"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7BF59B74" w14:textId="77777777" w:rsidR="008C5CFA" w:rsidRPr="00A92B39" w:rsidRDefault="00E82A60" w:rsidP="00300A01">
            <w:pPr>
              <w:spacing w:before="0" w:after="0"/>
              <w:jc w:val="right"/>
              <w:rPr>
                <w:sz w:val="10"/>
                <w:szCs w:val="10"/>
                <w:lang w:val="fr-BE"/>
              </w:rPr>
            </w:pPr>
            <w:r w:rsidRPr="00A92B39">
              <w:rPr>
                <w:noProof/>
                <w:sz w:val="10"/>
                <w:szCs w:val="10"/>
                <w:lang w:val="fr-BE"/>
              </w:rPr>
              <w:t>1 226,00</w:t>
            </w:r>
          </w:p>
        </w:tc>
        <w:tc>
          <w:tcPr>
            <w:tcW w:w="0" w:type="auto"/>
          </w:tcPr>
          <w:p w14:paraId="1859B624"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44AD4670"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46741BD7" w14:textId="77777777" w:rsidR="008C5CFA" w:rsidRPr="00A92B39" w:rsidRDefault="00E82A60" w:rsidP="00300A01">
            <w:pPr>
              <w:spacing w:before="0" w:after="0"/>
              <w:jc w:val="right"/>
              <w:rPr>
                <w:sz w:val="10"/>
                <w:szCs w:val="10"/>
                <w:lang w:val="fr-BE"/>
              </w:rPr>
            </w:pPr>
            <w:r w:rsidRPr="00A92B39">
              <w:rPr>
                <w:noProof/>
                <w:sz w:val="10"/>
                <w:szCs w:val="10"/>
                <w:lang w:val="fr-BE"/>
              </w:rPr>
              <w:t>249,00</w:t>
            </w:r>
          </w:p>
        </w:tc>
        <w:tc>
          <w:tcPr>
            <w:tcW w:w="0" w:type="auto"/>
          </w:tcPr>
          <w:p w14:paraId="6F5CE92F"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5A6AA75C"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48A354DB"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3CFB26A2"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0A05DCDC"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1DF6ACC1"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1B4E30DF"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21B59CCD"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r>
    </w:tbl>
    <w:p w14:paraId="5E5FB722" w14:textId="77777777" w:rsidR="008C5CFA" w:rsidRDefault="008C5CFA" w:rsidP="00300A01">
      <w:pPr>
        <w:spacing w:before="0" w:after="0"/>
        <w:rPr>
          <w:lang w:val="fr-BE"/>
        </w:rPr>
      </w:pPr>
    </w:p>
    <w:p w14:paraId="190182C6" w14:textId="77777777" w:rsidR="008C5CFA" w:rsidRDefault="00E82A60" w:rsidP="00300A01">
      <w:pPr>
        <w:spacing w:before="0" w:after="0"/>
        <w:rPr>
          <w:lang w:val="fr-BE"/>
        </w:rPr>
      </w:pPr>
      <w:r>
        <w:rPr>
          <w:lang w:val="fr-BE"/>
        </w:rPr>
        <w:br w:type="page"/>
      </w:r>
    </w:p>
    <w:p w14:paraId="6A029D39" w14:textId="77777777" w:rsidR="008C5CFA" w:rsidRPr="00B27C43" w:rsidRDefault="008C5CFA" w:rsidP="00300A01">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8"/>
        <w:gridCol w:w="13506"/>
      </w:tblGrid>
      <w:tr w:rsidR="006B2EC1" w14:paraId="68FF74F9" w14:textId="77777777" w:rsidTr="0047688D">
        <w:tc>
          <w:tcPr>
            <w:tcW w:w="0" w:type="auto"/>
            <w:shd w:val="clear" w:color="auto" w:fill="auto"/>
          </w:tcPr>
          <w:p w14:paraId="015695DD" w14:textId="77777777" w:rsidR="008C5CFA" w:rsidRPr="002124FC" w:rsidRDefault="00E82A60" w:rsidP="00300A01">
            <w:pPr>
              <w:spacing w:before="0" w:after="0"/>
              <w:rPr>
                <w:sz w:val="20"/>
                <w:szCs w:val="20"/>
                <w:lang w:val="fr-BE"/>
              </w:rPr>
            </w:pPr>
            <w:r w:rsidRPr="002124FC">
              <w:rPr>
                <w:noProof/>
                <w:sz w:val="20"/>
                <w:szCs w:val="20"/>
                <w:lang w:val="fr-BE"/>
              </w:rPr>
              <w:t>Oś priorytetowa</w:t>
            </w:r>
          </w:p>
        </w:tc>
        <w:tc>
          <w:tcPr>
            <w:tcW w:w="0" w:type="auto"/>
            <w:shd w:val="clear" w:color="auto" w:fill="auto"/>
          </w:tcPr>
          <w:p w14:paraId="71BFDFF4" w14:textId="77777777" w:rsidR="008C5CFA" w:rsidRPr="002124FC" w:rsidRDefault="00E82A60" w:rsidP="00300A01">
            <w:pPr>
              <w:spacing w:before="0" w:after="0"/>
              <w:rPr>
                <w:sz w:val="20"/>
                <w:szCs w:val="20"/>
                <w:lang w:val="fr-BE"/>
              </w:rPr>
            </w:pPr>
            <w:r w:rsidRPr="002124FC">
              <w:rPr>
                <w:noProof/>
                <w:sz w:val="20"/>
                <w:szCs w:val="20"/>
                <w:lang w:val="fr-BE"/>
              </w:rPr>
              <w:t>8</w:t>
            </w:r>
            <w:r w:rsidRPr="002124FC">
              <w:rPr>
                <w:sz w:val="20"/>
                <w:szCs w:val="20"/>
                <w:lang w:val="fr-BE"/>
              </w:rPr>
              <w:t xml:space="preserve"> - </w:t>
            </w:r>
            <w:r w:rsidRPr="002124FC">
              <w:rPr>
                <w:noProof/>
                <w:sz w:val="20"/>
                <w:szCs w:val="20"/>
                <w:lang w:val="fr-BE"/>
              </w:rPr>
              <w:t>Rozwój edukacji i aktywne społeczeństwo</w:t>
            </w:r>
          </w:p>
        </w:tc>
      </w:tr>
      <w:tr w:rsidR="006B2EC1" w14:paraId="7F84E854" w14:textId="77777777" w:rsidTr="0047688D">
        <w:tc>
          <w:tcPr>
            <w:tcW w:w="0" w:type="auto"/>
            <w:shd w:val="clear" w:color="auto" w:fill="auto"/>
          </w:tcPr>
          <w:p w14:paraId="2B37580A" w14:textId="77777777" w:rsidR="008C5CFA" w:rsidRPr="002124FC" w:rsidRDefault="00E82A60"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14:paraId="05393A79" w14:textId="77777777" w:rsidR="008C5CFA" w:rsidRPr="002124FC" w:rsidRDefault="00E82A60" w:rsidP="00300A01">
            <w:pPr>
              <w:spacing w:before="0" w:after="0"/>
              <w:rPr>
                <w:sz w:val="20"/>
                <w:szCs w:val="20"/>
                <w:lang w:val="fr-BE"/>
              </w:rPr>
            </w:pPr>
            <w:r w:rsidRPr="002124FC">
              <w:rPr>
                <w:noProof/>
                <w:sz w:val="20"/>
                <w:szCs w:val="20"/>
                <w:lang w:val="fr-BE"/>
              </w:rPr>
              <w:t>10iii</w:t>
            </w:r>
            <w:r w:rsidRPr="002124FC">
              <w:rPr>
                <w:sz w:val="20"/>
                <w:szCs w:val="20"/>
                <w:lang w:val="fr-BE"/>
              </w:rPr>
              <w:t xml:space="preserve"> - </w:t>
            </w:r>
            <w:r w:rsidRPr="002124FC">
              <w:rPr>
                <w:noProof/>
                <w:sz w:val="20"/>
                <w:szCs w:val="20"/>
                <w:lang w:val="fr-BE"/>
              </w:rPr>
              <w:t>Wyrównywanie dostępu do uczenia się przez całe życie o charakterze formalnym, nieformalnym i pozaformalnym wszystkich grup wiekowych, poszerzanie wiedzy, zwiększanie umiejętności i kompetencji siły roboczej oraz promowanie elastycznych ścieżek kształcenia, w tym poprzez doradztwo zawodowe i potwierdzanie nabytych kompetencji</w:t>
            </w:r>
          </w:p>
        </w:tc>
      </w:tr>
    </w:tbl>
    <w:p w14:paraId="28D1DD72" w14:textId="77777777" w:rsidR="008C5CFA" w:rsidRDefault="008C5CFA" w:rsidP="00300A01">
      <w:pPr>
        <w:spacing w:before="0" w:after="0"/>
        <w:ind w:left="113" w:hanging="113"/>
        <w:rPr>
          <w:sz w:val="20"/>
          <w:szCs w:val="20"/>
          <w:lang w:val="fr-BE"/>
        </w:rPr>
      </w:pPr>
    </w:p>
    <w:p w14:paraId="16292CDE" w14:textId="77777777" w:rsidR="008C5CFA" w:rsidRPr="008E457C" w:rsidRDefault="00E82A60" w:rsidP="00300A01">
      <w:pPr>
        <w:pStyle w:val="Nagwek2"/>
        <w:spacing w:before="0" w:after="0"/>
      </w:pPr>
      <w:bookmarkStart w:id="59" w:name="_Toc46391743"/>
      <w:r w:rsidRPr="008E457C">
        <w:rPr>
          <w:noProof/>
        </w:rPr>
        <w:t>Tabela 2A</w:t>
      </w:r>
      <w:r w:rsidRPr="008E457C">
        <w:t xml:space="preserve"> : </w:t>
      </w:r>
      <w:proofErr w:type="spellStart"/>
      <w:r w:rsidRPr="008E457C">
        <w:t>Wspólne</w:t>
      </w:r>
      <w:proofErr w:type="spellEnd"/>
      <w:r w:rsidRPr="008E457C">
        <w:t xml:space="preserve"> </w:t>
      </w:r>
      <w:proofErr w:type="spellStart"/>
      <w:r w:rsidRPr="008E457C">
        <w:t>wskaźniki</w:t>
      </w:r>
      <w:proofErr w:type="spellEnd"/>
      <w:r w:rsidRPr="008E457C">
        <w:t xml:space="preserve"> </w:t>
      </w:r>
      <w:proofErr w:type="spellStart"/>
      <w:r w:rsidRPr="008E457C">
        <w:t>rezultatu</w:t>
      </w:r>
      <w:proofErr w:type="spellEnd"/>
      <w:r w:rsidRPr="008E457C">
        <w:t xml:space="preserve"> </w:t>
      </w:r>
      <w:proofErr w:type="spellStart"/>
      <w:r w:rsidRPr="008E457C">
        <w:t>dla</w:t>
      </w:r>
      <w:proofErr w:type="spellEnd"/>
      <w:r w:rsidRPr="008E457C">
        <w:t xml:space="preserve"> EFS (z </w:t>
      </w:r>
      <w:proofErr w:type="spellStart"/>
      <w:r w:rsidRPr="008E457C">
        <w:t>podziałem</w:t>
      </w:r>
      <w:proofErr w:type="spellEnd"/>
      <w:r w:rsidRPr="008E457C">
        <w:t xml:space="preserve"> </w:t>
      </w:r>
      <w:proofErr w:type="spellStart"/>
      <w:r w:rsidRPr="008E457C">
        <w:t>na</w:t>
      </w:r>
      <w:proofErr w:type="spellEnd"/>
      <w:r w:rsidRPr="008E457C">
        <w:t xml:space="preserve"> </w:t>
      </w:r>
      <w:proofErr w:type="spellStart"/>
      <w:r w:rsidRPr="008E457C">
        <w:t>oś</w:t>
      </w:r>
      <w:proofErr w:type="spellEnd"/>
      <w:r w:rsidRPr="008E457C">
        <w:t xml:space="preserve"> </w:t>
      </w:r>
      <w:proofErr w:type="spellStart"/>
      <w:r w:rsidRPr="008E457C">
        <w:t>priorytetową</w:t>
      </w:r>
      <w:proofErr w:type="spellEnd"/>
      <w:r w:rsidRPr="008E457C">
        <w:t xml:space="preserve">, </w:t>
      </w:r>
      <w:proofErr w:type="spellStart"/>
      <w:r w:rsidRPr="008E457C">
        <w:t>priorytet</w:t>
      </w:r>
      <w:proofErr w:type="spellEnd"/>
      <w:r w:rsidRPr="008E457C">
        <w:t xml:space="preserve"> </w:t>
      </w:r>
      <w:proofErr w:type="spellStart"/>
      <w:r w:rsidRPr="008E457C">
        <w:t>inwestycyjny</w:t>
      </w:r>
      <w:proofErr w:type="spellEnd"/>
      <w:r w:rsidRPr="008E457C">
        <w:t xml:space="preserve"> i </w:t>
      </w:r>
      <w:proofErr w:type="spellStart"/>
      <w:r w:rsidRPr="008E457C">
        <w:t>kategorię</w:t>
      </w:r>
      <w:proofErr w:type="spellEnd"/>
      <w:r w:rsidRPr="008E457C">
        <w:t xml:space="preserve"> </w:t>
      </w:r>
      <w:proofErr w:type="spellStart"/>
      <w:r w:rsidRPr="008E457C">
        <w:t>regionu</w:t>
      </w:r>
      <w:proofErr w:type="spellEnd"/>
      <w:r w:rsidRPr="008E457C">
        <w:t xml:space="preserve">) Dane </w:t>
      </w:r>
      <w:proofErr w:type="spellStart"/>
      <w:r w:rsidRPr="008E457C">
        <w:t>na</w:t>
      </w:r>
      <w:proofErr w:type="spellEnd"/>
      <w:r w:rsidRPr="008E457C">
        <w:t xml:space="preserve"> </w:t>
      </w:r>
      <w:proofErr w:type="spellStart"/>
      <w:r w:rsidRPr="008E457C">
        <w:t>temat</w:t>
      </w:r>
      <w:proofErr w:type="spellEnd"/>
      <w:r w:rsidRPr="008E457C">
        <w:t xml:space="preserve"> </w:t>
      </w:r>
      <w:proofErr w:type="spellStart"/>
      <w:r w:rsidRPr="008E457C">
        <w:t>wszystkich</w:t>
      </w:r>
      <w:proofErr w:type="spellEnd"/>
      <w:r w:rsidRPr="008E457C">
        <w:t xml:space="preserve"> </w:t>
      </w:r>
      <w:proofErr w:type="spellStart"/>
      <w:r w:rsidRPr="008E457C">
        <w:t>wspólnych</w:t>
      </w:r>
      <w:proofErr w:type="spellEnd"/>
      <w:r w:rsidRPr="008E457C">
        <w:t xml:space="preserve"> </w:t>
      </w:r>
      <w:proofErr w:type="spellStart"/>
      <w:r w:rsidRPr="008E457C">
        <w:t>wskaźników</w:t>
      </w:r>
      <w:proofErr w:type="spellEnd"/>
      <w:r w:rsidRPr="008E457C">
        <w:t xml:space="preserve"> </w:t>
      </w:r>
      <w:proofErr w:type="spellStart"/>
      <w:r w:rsidRPr="008E457C">
        <w:t>rezultatu</w:t>
      </w:r>
      <w:proofErr w:type="spellEnd"/>
      <w:r w:rsidRPr="008E457C">
        <w:t xml:space="preserve"> </w:t>
      </w:r>
      <w:proofErr w:type="spellStart"/>
      <w:r w:rsidRPr="008E457C">
        <w:t>dla</w:t>
      </w:r>
      <w:proofErr w:type="spellEnd"/>
      <w:r w:rsidRPr="008E457C">
        <w:t xml:space="preserve"> EFS (z </w:t>
      </w:r>
      <w:proofErr w:type="spellStart"/>
      <w:r w:rsidRPr="008E457C">
        <w:t>wartością</w:t>
      </w:r>
      <w:proofErr w:type="spellEnd"/>
      <w:r w:rsidRPr="008E457C">
        <w:t xml:space="preserve"> </w:t>
      </w:r>
      <w:proofErr w:type="spellStart"/>
      <w:r w:rsidRPr="008E457C">
        <w:t>docelową</w:t>
      </w:r>
      <w:proofErr w:type="spellEnd"/>
      <w:r w:rsidRPr="008E457C">
        <w:t xml:space="preserve"> i bez) </w:t>
      </w:r>
      <w:proofErr w:type="spellStart"/>
      <w:r w:rsidRPr="008E457C">
        <w:t>przedstawia</w:t>
      </w:r>
      <w:proofErr w:type="spellEnd"/>
      <w:r w:rsidRPr="008E457C">
        <w:t xml:space="preserve"> </w:t>
      </w:r>
      <w:proofErr w:type="spellStart"/>
      <w:r w:rsidRPr="008E457C">
        <w:t>się</w:t>
      </w:r>
      <w:proofErr w:type="spellEnd"/>
      <w:r w:rsidRPr="008E457C">
        <w:t xml:space="preserve"> w </w:t>
      </w:r>
      <w:proofErr w:type="spellStart"/>
      <w:r w:rsidRPr="008E457C">
        <w:t>sprawozdaniu</w:t>
      </w:r>
      <w:proofErr w:type="spellEnd"/>
      <w:r w:rsidRPr="008E457C">
        <w:t xml:space="preserve"> w </w:t>
      </w:r>
      <w:proofErr w:type="spellStart"/>
      <w:r w:rsidRPr="008E457C">
        <w:t>podziale</w:t>
      </w:r>
      <w:proofErr w:type="spellEnd"/>
      <w:r w:rsidRPr="008E457C">
        <w:t xml:space="preserve"> </w:t>
      </w:r>
      <w:proofErr w:type="spellStart"/>
      <w:r w:rsidRPr="008E457C">
        <w:t>na</w:t>
      </w:r>
      <w:proofErr w:type="spellEnd"/>
      <w:r w:rsidRPr="008E457C">
        <w:t xml:space="preserve"> </w:t>
      </w:r>
      <w:proofErr w:type="spellStart"/>
      <w:r w:rsidRPr="008E457C">
        <w:t>płeć</w:t>
      </w:r>
      <w:proofErr w:type="spellEnd"/>
      <w:r w:rsidRPr="008E457C">
        <w:t xml:space="preserve">. W </w:t>
      </w:r>
      <w:proofErr w:type="spellStart"/>
      <w:r w:rsidRPr="008E457C">
        <w:t>przypadku</w:t>
      </w:r>
      <w:proofErr w:type="spellEnd"/>
      <w:r w:rsidRPr="008E457C">
        <w:t xml:space="preserve"> </w:t>
      </w:r>
      <w:proofErr w:type="spellStart"/>
      <w:r w:rsidRPr="008E457C">
        <w:t>osi</w:t>
      </w:r>
      <w:proofErr w:type="spellEnd"/>
      <w:r w:rsidRPr="008E457C">
        <w:t xml:space="preserve"> </w:t>
      </w:r>
      <w:proofErr w:type="spellStart"/>
      <w:r w:rsidRPr="008E457C">
        <w:t>priorytetowej</w:t>
      </w:r>
      <w:proofErr w:type="spellEnd"/>
      <w:r w:rsidRPr="008E457C">
        <w:t xml:space="preserve"> </w:t>
      </w:r>
      <w:r>
        <w:t>"</w:t>
      </w:r>
      <w:proofErr w:type="spellStart"/>
      <w:r w:rsidRPr="008E457C">
        <w:t>Pomoc</w:t>
      </w:r>
      <w:proofErr w:type="spellEnd"/>
      <w:r w:rsidRPr="008E457C">
        <w:t xml:space="preserve"> </w:t>
      </w:r>
      <w:proofErr w:type="spellStart"/>
      <w:r w:rsidRPr="008E457C">
        <w:t>techniczna</w:t>
      </w:r>
      <w:proofErr w:type="spellEnd"/>
      <w:r w:rsidRPr="008E457C">
        <w:t xml:space="preserve"> w </w:t>
      </w:r>
      <w:proofErr w:type="spellStart"/>
      <w:r w:rsidRPr="008E457C">
        <w:t>sprawozdaniu</w:t>
      </w:r>
      <w:proofErr w:type="spellEnd"/>
      <w:r w:rsidRPr="008E457C">
        <w:t xml:space="preserve"> </w:t>
      </w:r>
      <w:proofErr w:type="spellStart"/>
      <w:r w:rsidRPr="008E457C">
        <w:t>przedstawia</w:t>
      </w:r>
      <w:proofErr w:type="spellEnd"/>
      <w:r w:rsidRPr="008E457C">
        <w:t xml:space="preserve"> </w:t>
      </w:r>
      <w:proofErr w:type="spellStart"/>
      <w:r w:rsidRPr="008E457C">
        <w:t>się</w:t>
      </w:r>
      <w:proofErr w:type="spellEnd"/>
      <w:r w:rsidRPr="008E457C">
        <w:t xml:space="preserve"> </w:t>
      </w:r>
      <w:proofErr w:type="spellStart"/>
      <w:r w:rsidRPr="008E457C">
        <w:t>jedynie</w:t>
      </w:r>
      <w:proofErr w:type="spellEnd"/>
      <w:r w:rsidRPr="008E457C">
        <w:t xml:space="preserve"> </w:t>
      </w:r>
      <w:proofErr w:type="spellStart"/>
      <w:r w:rsidRPr="008E457C">
        <w:t>te</w:t>
      </w:r>
      <w:proofErr w:type="spellEnd"/>
      <w:r w:rsidRPr="008E457C">
        <w:t xml:space="preserve"> </w:t>
      </w:r>
      <w:proofErr w:type="spellStart"/>
      <w:r w:rsidRPr="008E457C">
        <w:t>wskaźniki</w:t>
      </w:r>
      <w:proofErr w:type="spellEnd"/>
      <w:r w:rsidRPr="008E457C">
        <w:t xml:space="preserve"> </w:t>
      </w:r>
      <w:proofErr w:type="spellStart"/>
      <w:r w:rsidRPr="008E457C">
        <w:t>wspólne</w:t>
      </w:r>
      <w:proofErr w:type="spellEnd"/>
      <w:r w:rsidRPr="008E457C">
        <w:t xml:space="preserve">, w </w:t>
      </w:r>
      <w:proofErr w:type="spellStart"/>
      <w:r w:rsidRPr="008E457C">
        <w:t>odniesieniu</w:t>
      </w:r>
      <w:proofErr w:type="spellEnd"/>
      <w:r w:rsidRPr="008E457C">
        <w:t xml:space="preserve"> do </w:t>
      </w:r>
      <w:proofErr w:type="spellStart"/>
      <w:r w:rsidRPr="008E457C">
        <w:t>których</w:t>
      </w:r>
      <w:proofErr w:type="spellEnd"/>
      <w:r w:rsidRPr="008E457C">
        <w:t xml:space="preserve"> </w:t>
      </w:r>
      <w:proofErr w:type="spellStart"/>
      <w:r w:rsidRPr="008E457C">
        <w:t>ustanowiono</w:t>
      </w:r>
      <w:proofErr w:type="spellEnd"/>
      <w:r w:rsidRPr="008E457C">
        <w:t xml:space="preserve"> </w:t>
      </w:r>
      <w:proofErr w:type="spellStart"/>
      <w:r w:rsidRPr="008E457C">
        <w:t>wartość</w:t>
      </w:r>
      <w:proofErr w:type="spellEnd"/>
      <w:r w:rsidRPr="008E457C">
        <w:t xml:space="preserve"> </w:t>
      </w:r>
      <w:proofErr w:type="spellStart"/>
      <w:r w:rsidRPr="008E457C">
        <w:t>docelową</w:t>
      </w:r>
      <w:proofErr w:type="spellEnd"/>
      <w:r w:rsidRPr="008E457C">
        <w:t>.</w:t>
      </w:r>
      <w:r w:rsidR="00501DA0">
        <w:t xml:space="preserve"> - </w:t>
      </w:r>
      <w:r w:rsidR="00501DA0" w:rsidRPr="002124FC">
        <w:rPr>
          <w:noProof/>
          <w:sz w:val="20"/>
          <w:szCs w:val="20"/>
          <w:lang w:val="fr-BE"/>
        </w:rPr>
        <w:t>8</w:t>
      </w:r>
      <w:r w:rsidR="00501DA0">
        <w:rPr>
          <w:sz w:val="20"/>
          <w:szCs w:val="20"/>
          <w:lang w:val="fr-BE"/>
        </w:rPr>
        <w:t xml:space="preserve"> / </w:t>
      </w:r>
      <w:r w:rsidR="00501DA0" w:rsidRPr="002124FC">
        <w:rPr>
          <w:noProof/>
          <w:sz w:val="20"/>
          <w:szCs w:val="20"/>
          <w:lang w:val="fr-BE"/>
        </w:rPr>
        <w:t>10iii</w:t>
      </w:r>
      <w:bookmarkEnd w:id="59"/>
    </w:p>
    <w:p w14:paraId="44AAFAF1" w14:textId="77777777" w:rsidR="008C5CFA" w:rsidRDefault="008C5CFA" w:rsidP="00300A01">
      <w:pPr>
        <w:keepNext/>
        <w:spacing w:before="0" w:after="0"/>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37"/>
        <w:gridCol w:w="5129"/>
        <w:gridCol w:w="744"/>
        <w:gridCol w:w="1855"/>
        <w:gridCol w:w="1469"/>
        <w:gridCol w:w="456"/>
        <w:gridCol w:w="596"/>
        <w:gridCol w:w="463"/>
        <w:gridCol w:w="476"/>
        <w:gridCol w:w="596"/>
        <w:gridCol w:w="476"/>
        <w:gridCol w:w="456"/>
        <w:gridCol w:w="596"/>
        <w:gridCol w:w="463"/>
        <w:gridCol w:w="596"/>
        <w:gridCol w:w="476"/>
      </w:tblGrid>
      <w:tr w:rsidR="006B2EC1" w14:paraId="09D12FAE" w14:textId="77777777" w:rsidTr="0047688D">
        <w:trPr>
          <w:tblHeader/>
        </w:trPr>
        <w:tc>
          <w:tcPr>
            <w:tcW w:w="0" w:type="auto"/>
            <w:shd w:val="clear" w:color="auto" w:fill="auto"/>
          </w:tcPr>
          <w:p w14:paraId="6E69D587" w14:textId="77777777" w:rsidR="008C5CFA" w:rsidRPr="00F53019" w:rsidRDefault="00E82A60" w:rsidP="00300A01">
            <w:pPr>
              <w:spacing w:before="0" w:after="0"/>
              <w:rPr>
                <w:b/>
                <w:sz w:val="12"/>
                <w:szCs w:val="12"/>
                <w:lang w:val="fr-BE"/>
              </w:rPr>
            </w:pPr>
            <w:r w:rsidRPr="00F53019">
              <w:rPr>
                <w:b/>
                <w:noProof/>
                <w:sz w:val="12"/>
                <w:szCs w:val="12"/>
                <w:lang w:val="fr-BE"/>
              </w:rPr>
              <w:t>ID</w:t>
            </w:r>
          </w:p>
        </w:tc>
        <w:tc>
          <w:tcPr>
            <w:tcW w:w="0" w:type="auto"/>
            <w:shd w:val="clear" w:color="auto" w:fill="auto"/>
          </w:tcPr>
          <w:p w14:paraId="6D317E0C" w14:textId="77777777" w:rsidR="008C5CFA" w:rsidRPr="00F53019" w:rsidRDefault="00E82A60" w:rsidP="00300A01">
            <w:pPr>
              <w:spacing w:before="0" w:after="0"/>
              <w:rPr>
                <w:b/>
                <w:sz w:val="12"/>
                <w:szCs w:val="12"/>
                <w:lang w:val="fr-BE"/>
              </w:rPr>
            </w:pPr>
            <w:r w:rsidRPr="00F53019">
              <w:rPr>
                <w:b/>
                <w:noProof/>
                <w:sz w:val="12"/>
                <w:szCs w:val="12"/>
                <w:lang w:val="fr-BE"/>
              </w:rPr>
              <w:t>Wskaźnik</w:t>
            </w:r>
          </w:p>
        </w:tc>
        <w:tc>
          <w:tcPr>
            <w:tcW w:w="0" w:type="auto"/>
            <w:shd w:val="clear" w:color="auto" w:fill="auto"/>
          </w:tcPr>
          <w:p w14:paraId="1EBD82AE" w14:textId="77777777" w:rsidR="008C5CFA" w:rsidRPr="00F53019" w:rsidRDefault="00E82A60" w:rsidP="00300A01">
            <w:pPr>
              <w:spacing w:before="0" w:after="0"/>
              <w:rPr>
                <w:b/>
                <w:sz w:val="12"/>
                <w:szCs w:val="12"/>
                <w:lang w:val="fr-BE"/>
              </w:rPr>
            </w:pPr>
            <w:r w:rsidRPr="00F53019">
              <w:rPr>
                <w:b/>
                <w:noProof/>
                <w:sz w:val="12"/>
                <w:szCs w:val="12"/>
                <w:lang w:val="fr-BE"/>
              </w:rPr>
              <w:t>Kategoria regionu</w:t>
            </w:r>
          </w:p>
        </w:tc>
        <w:tc>
          <w:tcPr>
            <w:tcW w:w="0" w:type="auto"/>
            <w:shd w:val="clear" w:color="auto" w:fill="auto"/>
          </w:tcPr>
          <w:p w14:paraId="674B0B79" w14:textId="77777777" w:rsidR="008C5CFA" w:rsidRPr="00F53019" w:rsidRDefault="00E82A60" w:rsidP="00300A01">
            <w:pPr>
              <w:spacing w:before="0" w:after="0"/>
              <w:rPr>
                <w:b/>
                <w:sz w:val="12"/>
                <w:szCs w:val="12"/>
                <w:lang w:val="fr-BE"/>
              </w:rPr>
            </w:pPr>
            <w:r w:rsidRPr="00F53019">
              <w:rPr>
                <w:b/>
                <w:noProof/>
                <w:sz w:val="12"/>
                <w:szCs w:val="12"/>
                <w:lang w:val="fr-BE"/>
              </w:rPr>
              <w:t>Wspólny wskaźnik produktu stosowany jako podstawa ustalania celów</w:t>
            </w:r>
          </w:p>
        </w:tc>
        <w:tc>
          <w:tcPr>
            <w:tcW w:w="0" w:type="auto"/>
            <w:shd w:val="clear" w:color="auto" w:fill="auto"/>
          </w:tcPr>
          <w:p w14:paraId="45041EFD" w14:textId="77777777" w:rsidR="008C5CFA" w:rsidRPr="00F53019" w:rsidRDefault="00E82A60" w:rsidP="00300A01">
            <w:pPr>
              <w:spacing w:before="0" w:after="0"/>
              <w:rPr>
                <w:b/>
                <w:sz w:val="12"/>
                <w:szCs w:val="12"/>
                <w:lang w:val="fr-BE"/>
              </w:rPr>
            </w:pPr>
            <w:r w:rsidRPr="00F53019">
              <w:rPr>
                <w:b/>
                <w:noProof/>
                <w:sz w:val="12"/>
                <w:szCs w:val="12"/>
                <w:lang w:val="fr-BE"/>
              </w:rPr>
              <w:t>Jednostka pomiaru dla wartości bazowej i docelowej</w:t>
            </w:r>
          </w:p>
        </w:tc>
        <w:tc>
          <w:tcPr>
            <w:tcW w:w="0" w:type="auto"/>
            <w:gridSpan w:val="3"/>
            <w:shd w:val="clear" w:color="auto" w:fill="auto"/>
          </w:tcPr>
          <w:p w14:paraId="4A259751" w14:textId="77777777" w:rsidR="008C5CFA" w:rsidRPr="00F53019" w:rsidRDefault="00E82A60" w:rsidP="00300A01">
            <w:pPr>
              <w:spacing w:before="0" w:after="0"/>
              <w:jc w:val="center"/>
              <w:rPr>
                <w:b/>
                <w:sz w:val="12"/>
                <w:szCs w:val="12"/>
                <w:lang w:val="fr-BE"/>
              </w:rPr>
            </w:pPr>
            <w:r w:rsidRPr="00F53019">
              <w:rPr>
                <w:b/>
                <w:noProof/>
                <w:sz w:val="12"/>
                <w:szCs w:val="12"/>
                <w:lang w:val="fr-BE"/>
              </w:rPr>
              <w:t>Wartość docelowa (2023)</w:t>
            </w:r>
          </w:p>
        </w:tc>
        <w:tc>
          <w:tcPr>
            <w:tcW w:w="0" w:type="auto"/>
            <w:gridSpan w:val="3"/>
            <w:shd w:val="clear" w:color="auto" w:fill="auto"/>
          </w:tcPr>
          <w:p w14:paraId="1F2ADC3D" w14:textId="77777777" w:rsidR="008C5CFA" w:rsidRPr="00F53019" w:rsidRDefault="00E82A60" w:rsidP="00300A01">
            <w:pPr>
              <w:spacing w:before="0" w:after="0"/>
              <w:jc w:val="center"/>
              <w:rPr>
                <w:b/>
                <w:sz w:val="12"/>
                <w:szCs w:val="12"/>
                <w:lang w:val="fr-BE"/>
              </w:rPr>
            </w:pPr>
            <w:r w:rsidRPr="00F53019">
              <w:rPr>
                <w:b/>
                <w:noProof/>
                <w:sz w:val="12"/>
                <w:szCs w:val="12"/>
                <w:lang w:val="fr-BE"/>
              </w:rPr>
              <w:t>Wartość skumulowana</w:t>
            </w:r>
          </w:p>
        </w:tc>
        <w:tc>
          <w:tcPr>
            <w:tcW w:w="0" w:type="auto"/>
            <w:gridSpan w:val="3"/>
            <w:shd w:val="clear" w:color="auto" w:fill="auto"/>
          </w:tcPr>
          <w:p w14:paraId="4A4FD385" w14:textId="77777777" w:rsidR="008C5CFA" w:rsidRPr="00F53019" w:rsidRDefault="00E82A60" w:rsidP="00300A01">
            <w:pPr>
              <w:spacing w:before="0" w:after="0"/>
              <w:jc w:val="center"/>
              <w:rPr>
                <w:b/>
                <w:sz w:val="12"/>
                <w:szCs w:val="12"/>
                <w:lang w:val="fr-BE"/>
              </w:rPr>
            </w:pPr>
            <w:r w:rsidRPr="00F53019">
              <w:rPr>
                <w:b/>
                <w:noProof/>
                <w:sz w:val="12"/>
                <w:szCs w:val="12"/>
                <w:lang w:val="fr-BE"/>
              </w:rPr>
              <w:t>Wskaźnik osiągnięć</w:t>
            </w:r>
          </w:p>
        </w:tc>
        <w:tc>
          <w:tcPr>
            <w:tcW w:w="0" w:type="auto"/>
            <w:gridSpan w:val="2"/>
            <w:shd w:val="clear" w:color="auto" w:fill="auto"/>
          </w:tcPr>
          <w:p w14:paraId="73727A77" w14:textId="77777777" w:rsidR="008C5CFA" w:rsidRPr="00F53019" w:rsidRDefault="00E82A60" w:rsidP="00300A01">
            <w:pPr>
              <w:spacing w:before="0" w:after="0"/>
              <w:jc w:val="center"/>
              <w:rPr>
                <w:b/>
                <w:sz w:val="12"/>
                <w:szCs w:val="12"/>
                <w:lang w:val="fr-BE"/>
              </w:rPr>
            </w:pPr>
            <w:r>
              <w:rPr>
                <w:b/>
                <w:sz w:val="12"/>
                <w:szCs w:val="12"/>
                <w:lang w:val="fr-BE"/>
              </w:rPr>
              <w:t>2019</w:t>
            </w:r>
          </w:p>
        </w:tc>
      </w:tr>
      <w:tr w:rsidR="006B2EC1" w14:paraId="699053B7" w14:textId="77777777" w:rsidTr="0047688D">
        <w:trPr>
          <w:tblHeader/>
        </w:trPr>
        <w:tc>
          <w:tcPr>
            <w:tcW w:w="0" w:type="auto"/>
            <w:shd w:val="clear" w:color="auto" w:fill="auto"/>
          </w:tcPr>
          <w:p w14:paraId="391ED0D9" w14:textId="77777777" w:rsidR="008C5CFA" w:rsidRPr="00F53019" w:rsidRDefault="008C5CFA" w:rsidP="00300A01">
            <w:pPr>
              <w:spacing w:before="0" w:after="0"/>
              <w:rPr>
                <w:b/>
                <w:sz w:val="12"/>
                <w:szCs w:val="12"/>
                <w:lang w:val="fr-BE"/>
              </w:rPr>
            </w:pPr>
          </w:p>
        </w:tc>
        <w:tc>
          <w:tcPr>
            <w:tcW w:w="0" w:type="auto"/>
            <w:shd w:val="clear" w:color="auto" w:fill="auto"/>
          </w:tcPr>
          <w:p w14:paraId="6E3ED5DE" w14:textId="77777777" w:rsidR="008C5CFA" w:rsidRPr="00F53019" w:rsidRDefault="008C5CFA" w:rsidP="00300A01">
            <w:pPr>
              <w:spacing w:before="0" w:after="0"/>
              <w:rPr>
                <w:b/>
                <w:sz w:val="12"/>
                <w:szCs w:val="12"/>
                <w:lang w:val="fr-BE"/>
              </w:rPr>
            </w:pPr>
          </w:p>
        </w:tc>
        <w:tc>
          <w:tcPr>
            <w:tcW w:w="0" w:type="auto"/>
            <w:shd w:val="clear" w:color="auto" w:fill="auto"/>
          </w:tcPr>
          <w:p w14:paraId="7B9F98F6" w14:textId="77777777" w:rsidR="008C5CFA" w:rsidRPr="00F53019" w:rsidRDefault="008C5CFA" w:rsidP="00300A01">
            <w:pPr>
              <w:spacing w:before="0" w:after="0"/>
              <w:rPr>
                <w:b/>
                <w:sz w:val="12"/>
                <w:szCs w:val="12"/>
                <w:lang w:val="fr-BE"/>
              </w:rPr>
            </w:pPr>
          </w:p>
        </w:tc>
        <w:tc>
          <w:tcPr>
            <w:tcW w:w="0" w:type="auto"/>
            <w:shd w:val="clear" w:color="auto" w:fill="auto"/>
          </w:tcPr>
          <w:p w14:paraId="34BC0430" w14:textId="77777777" w:rsidR="008C5CFA" w:rsidRPr="00F53019" w:rsidRDefault="008C5CFA" w:rsidP="00300A01">
            <w:pPr>
              <w:spacing w:before="0" w:after="0"/>
              <w:rPr>
                <w:b/>
                <w:sz w:val="12"/>
                <w:szCs w:val="12"/>
                <w:lang w:val="fr-BE"/>
              </w:rPr>
            </w:pPr>
          </w:p>
        </w:tc>
        <w:tc>
          <w:tcPr>
            <w:tcW w:w="0" w:type="auto"/>
            <w:shd w:val="clear" w:color="auto" w:fill="auto"/>
          </w:tcPr>
          <w:p w14:paraId="2BF971CA" w14:textId="77777777" w:rsidR="008C5CFA" w:rsidRPr="00F53019" w:rsidRDefault="008C5CFA" w:rsidP="00300A01">
            <w:pPr>
              <w:spacing w:before="0" w:after="0"/>
              <w:rPr>
                <w:b/>
                <w:sz w:val="12"/>
                <w:szCs w:val="12"/>
                <w:lang w:val="fr-BE"/>
              </w:rPr>
            </w:pPr>
          </w:p>
        </w:tc>
        <w:tc>
          <w:tcPr>
            <w:tcW w:w="0" w:type="auto"/>
            <w:shd w:val="clear" w:color="auto" w:fill="auto"/>
          </w:tcPr>
          <w:p w14:paraId="1B8F2FBF" w14:textId="77777777" w:rsidR="008C5CFA" w:rsidRPr="00F53019" w:rsidRDefault="00E82A60" w:rsidP="00300A01">
            <w:pPr>
              <w:spacing w:before="0" w:after="0"/>
              <w:jc w:val="center"/>
              <w:rPr>
                <w:b/>
                <w:sz w:val="12"/>
                <w:szCs w:val="12"/>
                <w:lang w:val="fr-BE"/>
              </w:rPr>
            </w:pPr>
            <w:r w:rsidRPr="00F53019">
              <w:rPr>
                <w:b/>
                <w:noProof/>
                <w:sz w:val="12"/>
                <w:szCs w:val="12"/>
                <w:lang w:val="fr-BE"/>
              </w:rPr>
              <w:t>Ogółem</w:t>
            </w:r>
          </w:p>
        </w:tc>
        <w:tc>
          <w:tcPr>
            <w:tcW w:w="0" w:type="auto"/>
            <w:shd w:val="clear" w:color="auto" w:fill="auto"/>
          </w:tcPr>
          <w:p w14:paraId="5F27724D" w14:textId="77777777" w:rsidR="008C5CFA" w:rsidRPr="00F53019" w:rsidRDefault="00E82A60"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14:paraId="0758CB7E" w14:textId="77777777" w:rsidR="008C5CFA" w:rsidRPr="00F53019" w:rsidRDefault="00E82A60" w:rsidP="00300A01">
            <w:pPr>
              <w:spacing w:before="0" w:after="0"/>
              <w:jc w:val="center"/>
              <w:rPr>
                <w:b/>
                <w:sz w:val="12"/>
                <w:szCs w:val="12"/>
                <w:lang w:val="fr-BE"/>
              </w:rPr>
            </w:pPr>
            <w:r w:rsidRPr="00F53019">
              <w:rPr>
                <w:b/>
                <w:noProof/>
                <w:sz w:val="12"/>
                <w:szCs w:val="12"/>
                <w:lang w:val="fr-BE"/>
              </w:rPr>
              <w:t>Kobiety</w:t>
            </w:r>
          </w:p>
        </w:tc>
        <w:tc>
          <w:tcPr>
            <w:tcW w:w="0" w:type="auto"/>
            <w:shd w:val="clear" w:color="auto" w:fill="auto"/>
          </w:tcPr>
          <w:p w14:paraId="74835A3E" w14:textId="77777777" w:rsidR="008C5CFA" w:rsidRPr="00F53019" w:rsidRDefault="00E82A60" w:rsidP="00300A01">
            <w:pPr>
              <w:spacing w:before="0" w:after="0"/>
              <w:jc w:val="center"/>
              <w:rPr>
                <w:b/>
                <w:sz w:val="12"/>
                <w:szCs w:val="12"/>
                <w:lang w:val="fr-BE"/>
              </w:rPr>
            </w:pPr>
            <w:r w:rsidRPr="00F53019">
              <w:rPr>
                <w:b/>
                <w:noProof/>
                <w:sz w:val="12"/>
                <w:szCs w:val="12"/>
                <w:lang w:val="fr-BE"/>
              </w:rPr>
              <w:t>Ogółem</w:t>
            </w:r>
          </w:p>
        </w:tc>
        <w:tc>
          <w:tcPr>
            <w:tcW w:w="0" w:type="auto"/>
            <w:shd w:val="clear" w:color="auto" w:fill="auto"/>
          </w:tcPr>
          <w:p w14:paraId="6E29E293" w14:textId="77777777" w:rsidR="008C5CFA" w:rsidRPr="00F53019" w:rsidRDefault="00E82A60"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14:paraId="57E60A87" w14:textId="77777777" w:rsidR="008C5CFA" w:rsidRPr="00F53019" w:rsidRDefault="00E82A60" w:rsidP="00300A01">
            <w:pPr>
              <w:spacing w:before="0" w:after="0"/>
              <w:jc w:val="center"/>
              <w:rPr>
                <w:b/>
                <w:sz w:val="12"/>
                <w:szCs w:val="12"/>
                <w:lang w:val="fr-BE"/>
              </w:rPr>
            </w:pPr>
            <w:r w:rsidRPr="00F53019">
              <w:rPr>
                <w:b/>
                <w:noProof/>
                <w:sz w:val="12"/>
                <w:szCs w:val="12"/>
                <w:lang w:val="fr-BE"/>
              </w:rPr>
              <w:t>Kobiety</w:t>
            </w:r>
          </w:p>
        </w:tc>
        <w:tc>
          <w:tcPr>
            <w:tcW w:w="0" w:type="auto"/>
            <w:shd w:val="clear" w:color="auto" w:fill="auto"/>
          </w:tcPr>
          <w:p w14:paraId="2F2EB0E4" w14:textId="77777777" w:rsidR="008C5CFA" w:rsidRPr="00F53019" w:rsidRDefault="00E82A60" w:rsidP="00300A01">
            <w:pPr>
              <w:spacing w:before="0" w:after="0"/>
              <w:jc w:val="center"/>
              <w:rPr>
                <w:b/>
                <w:sz w:val="12"/>
                <w:szCs w:val="12"/>
                <w:lang w:val="fr-BE"/>
              </w:rPr>
            </w:pPr>
            <w:r w:rsidRPr="00F53019">
              <w:rPr>
                <w:b/>
                <w:noProof/>
                <w:sz w:val="12"/>
                <w:szCs w:val="12"/>
                <w:lang w:val="fr-BE"/>
              </w:rPr>
              <w:t>Ogółem</w:t>
            </w:r>
          </w:p>
        </w:tc>
        <w:tc>
          <w:tcPr>
            <w:tcW w:w="0" w:type="auto"/>
            <w:shd w:val="clear" w:color="auto" w:fill="auto"/>
          </w:tcPr>
          <w:p w14:paraId="2D44D81F" w14:textId="77777777" w:rsidR="008C5CFA" w:rsidRPr="00F53019" w:rsidRDefault="00E82A60"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14:paraId="4523E711" w14:textId="77777777" w:rsidR="008C5CFA" w:rsidRPr="00F53019" w:rsidRDefault="00E82A60" w:rsidP="00300A01">
            <w:pPr>
              <w:spacing w:before="0" w:after="0"/>
              <w:jc w:val="center"/>
              <w:rPr>
                <w:b/>
                <w:sz w:val="12"/>
                <w:szCs w:val="12"/>
                <w:lang w:val="fr-BE"/>
              </w:rPr>
            </w:pPr>
            <w:r w:rsidRPr="00F53019">
              <w:rPr>
                <w:b/>
                <w:noProof/>
                <w:sz w:val="12"/>
                <w:szCs w:val="12"/>
                <w:lang w:val="fr-BE"/>
              </w:rPr>
              <w:t>Kobiety</w:t>
            </w:r>
          </w:p>
        </w:tc>
        <w:tc>
          <w:tcPr>
            <w:tcW w:w="0" w:type="auto"/>
            <w:shd w:val="clear" w:color="auto" w:fill="auto"/>
          </w:tcPr>
          <w:p w14:paraId="0D644DCC" w14:textId="77777777" w:rsidR="008C5CFA" w:rsidRPr="00F53019" w:rsidRDefault="00E82A60"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14:paraId="5C093DAF" w14:textId="77777777" w:rsidR="008C5CFA" w:rsidRPr="00F53019" w:rsidRDefault="00E82A60" w:rsidP="00300A01">
            <w:pPr>
              <w:spacing w:before="0" w:after="0"/>
              <w:jc w:val="center"/>
              <w:rPr>
                <w:b/>
                <w:sz w:val="12"/>
                <w:szCs w:val="12"/>
                <w:lang w:val="fr-BE"/>
              </w:rPr>
            </w:pPr>
            <w:r w:rsidRPr="00F53019">
              <w:rPr>
                <w:b/>
                <w:noProof/>
                <w:sz w:val="12"/>
                <w:szCs w:val="12"/>
                <w:lang w:val="fr-BE"/>
              </w:rPr>
              <w:t>Kobiety</w:t>
            </w:r>
          </w:p>
        </w:tc>
      </w:tr>
      <w:tr w:rsidR="006B2EC1" w14:paraId="7676E4A4" w14:textId="77777777" w:rsidTr="0047688D">
        <w:tc>
          <w:tcPr>
            <w:tcW w:w="0" w:type="auto"/>
            <w:shd w:val="clear" w:color="auto" w:fill="auto"/>
          </w:tcPr>
          <w:p w14:paraId="60E877F5" w14:textId="77777777" w:rsidR="008C5CFA" w:rsidRPr="00BA47B4" w:rsidRDefault="00E82A60" w:rsidP="00300A01">
            <w:pPr>
              <w:spacing w:before="0" w:after="0"/>
              <w:rPr>
                <w:sz w:val="12"/>
                <w:szCs w:val="12"/>
                <w:lang w:val="fr-BE"/>
              </w:rPr>
            </w:pPr>
            <w:r w:rsidRPr="00BA47B4">
              <w:rPr>
                <w:noProof/>
                <w:sz w:val="12"/>
                <w:szCs w:val="12"/>
                <w:lang w:val="fr-BE"/>
              </w:rPr>
              <w:t>CR01</w:t>
            </w:r>
          </w:p>
        </w:tc>
        <w:tc>
          <w:tcPr>
            <w:tcW w:w="0" w:type="auto"/>
            <w:shd w:val="clear" w:color="auto" w:fill="auto"/>
          </w:tcPr>
          <w:p w14:paraId="514EE219" w14:textId="77777777" w:rsidR="008C5CFA" w:rsidRPr="00BA47B4" w:rsidRDefault="00E82A60" w:rsidP="00300A01">
            <w:pPr>
              <w:spacing w:before="0" w:after="0"/>
              <w:rPr>
                <w:sz w:val="12"/>
                <w:szCs w:val="12"/>
                <w:lang w:val="fr-BE"/>
              </w:rPr>
            </w:pPr>
            <w:r w:rsidRPr="00BA47B4">
              <w:rPr>
                <w:noProof/>
                <w:sz w:val="12"/>
                <w:szCs w:val="12"/>
                <w:lang w:val="fr-BE"/>
              </w:rPr>
              <w:t>bierni zawodowo uczestnicy poszukujący pracy po opuszczeniu programu</w:t>
            </w:r>
          </w:p>
        </w:tc>
        <w:tc>
          <w:tcPr>
            <w:tcW w:w="0" w:type="auto"/>
            <w:shd w:val="clear" w:color="auto" w:fill="auto"/>
          </w:tcPr>
          <w:p w14:paraId="5A44A8BB" w14:textId="77777777" w:rsidR="008C5CFA" w:rsidRPr="00BA47B4" w:rsidRDefault="00E82A60" w:rsidP="00300A01">
            <w:pPr>
              <w:spacing w:before="0" w:after="0"/>
              <w:rPr>
                <w:sz w:val="12"/>
                <w:szCs w:val="12"/>
                <w:lang w:val="fr-BE"/>
              </w:rPr>
            </w:pPr>
            <w:r w:rsidRPr="00BA47B4">
              <w:rPr>
                <w:noProof/>
                <w:sz w:val="12"/>
                <w:szCs w:val="12"/>
                <w:lang w:val="fr-BE"/>
              </w:rPr>
              <w:t>Słabiej rozwinięte</w:t>
            </w:r>
          </w:p>
        </w:tc>
        <w:tc>
          <w:tcPr>
            <w:tcW w:w="0" w:type="auto"/>
            <w:shd w:val="clear" w:color="auto" w:fill="auto"/>
          </w:tcPr>
          <w:p w14:paraId="1709EAFF" w14:textId="77777777" w:rsidR="008C5CFA" w:rsidRPr="00BA47B4" w:rsidRDefault="00E82A60" w:rsidP="00300A01">
            <w:pPr>
              <w:spacing w:before="0" w:after="0"/>
              <w:rPr>
                <w:sz w:val="12"/>
                <w:szCs w:val="12"/>
                <w:lang w:val="fr-BE"/>
              </w:rPr>
            </w:pPr>
            <w:r w:rsidRPr="00BA47B4">
              <w:rPr>
                <w:sz w:val="12"/>
                <w:szCs w:val="12"/>
                <w:lang w:val="fr-BE"/>
              </w:rPr>
              <w:t xml:space="preserve"> </w:t>
            </w:r>
          </w:p>
        </w:tc>
        <w:tc>
          <w:tcPr>
            <w:tcW w:w="0" w:type="auto"/>
            <w:shd w:val="clear" w:color="auto" w:fill="auto"/>
          </w:tcPr>
          <w:p w14:paraId="7289030A" w14:textId="77777777" w:rsidR="008C5CFA" w:rsidRPr="00BA47B4" w:rsidRDefault="008C5CFA" w:rsidP="00300A01">
            <w:pPr>
              <w:spacing w:before="0" w:after="0"/>
              <w:jc w:val="center"/>
              <w:rPr>
                <w:sz w:val="12"/>
                <w:szCs w:val="12"/>
                <w:lang w:val="fr-BE"/>
              </w:rPr>
            </w:pPr>
          </w:p>
        </w:tc>
        <w:tc>
          <w:tcPr>
            <w:tcW w:w="0" w:type="auto"/>
            <w:shd w:val="clear" w:color="auto" w:fill="auto"/>
          </w:tcPr>
          <w:p w14:paraId="0D467EA3" w14:textId="77777777" w:rsidR="008C5CFA" w:rsidRPr="00BA47B4" w:rsidRDefault="008C5CFA" w:rsidP="00300A01">
            <w:pPr>
              <w:spacing w:before="0" w:after="0"/>
              <w:jc w:val="right"/>
              <w:rPr>
                <w:sz w:val="12"/>
                <w:szCs w:val="12"/>
                <w:lang w:val="fr-BE"/>
              </w:rPr>
            </w:pPr>
          </w:p>
        </w:tc>
        <w:tc>
          <w:tcPr>
            <w:tcW w:w="0" w:type="auto"/>
            <w:shd w:val="clear" w:color="auto" w:fill="auto"/>
          </w:tcPr>
          <w:p w14:paraId="6474EB2F" w14:textId="77777777" w:rsidR="008C5CFA" w:rsidRPr="00BA47B4" w:rsidRDefault="008C5CFA" w:rsidP="00300A01">
            <w:pPr>
              <w:spacing w:before="0" w:after="0"/>
              <w:jc w:val="right"/>
              <w:rPr>
                <w:sz w:val="12"/>
                <w:szCs w:val="12"/>
                <w:lang w:val="fr-BE"/>
              </w:rPr>
            </w:pPr>
          </w:p>
        </w:tc>
        <w:tc>
          <w:tcPr>
            <w:tcW w:w="0" w:type="auto"/>
            <w:shd w:val="clear" w:color="auto" w:fill="auto"/>
          </w:tcPr>
          <w:p w14:paraId="746F5E36" w14:textId="77777777" w:rsidR="008C5CFA" w:rsidRPr="00BA47B4" w:rsidRDefault="008C5CFA" w:rsidP="00300A01">
            <w:pPr>
              <w:spacing w:before="0" w:after="0"/>
              <w:jc w:val="right"/>
              <w:rPr>
                <w:sz w:val="12"/>
                <w:szCs w:val="12"/>
                <w:lang w:val="fr-BE"/>
              </w:rPr>
            </w:pPr>
          </w:p>
        </w:tc>
        <w:tc>
          <w:tcPr>
            <w:tcW w:w="0" w:type="auto"/>
            <w:shd w:val="clear" w:color="auto" w:fill="auto"/>
          </w:tcPr>
          <w:p w14:paraId="6F7E2C49"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5675D14C"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00EB364B"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5A8E7B04" w14:textId="77777777" w:rsidR="008C5CFA" w:rsidRPr="00BA47B4" w:rsidRDefault="008C5CFA" w:rsidP="00300A01">
            <w:pPr>
              <w:spacing w:before="0" w:after="0"/>
              <w:jc w:val="right"/>
              <w:rPr>
                <w:sz w:val="12"/>
                <w:szCs w:val="12"/>
                <w:lang w:val="fr-BE"/>
              </w:rPr>
            </w:pPr>
          </w:p>
        </w:tc>
        <w:tc>
          <w:tcPr>
            <w:tcW w:w="0" w:type="auto"/>
            <w:shd w:val="clear" w:color="auto" w:fill="auto"/>
          </w:tcPr>
          <w:p w14:paraId="271222E5" w14:textId="77777777" w:rsidR="008C5CFA" w:rsidRPr="00BA47B4" w:rsidRDefault="008C5CFA" w:rsidP="00300A01">
            <w:pPr>
              <w:spacing w:before="0" w:after="0"/>
              <w:jc w:val="right"/>
              <w:rPr>
                <w:sz w:val="12"/>
                <w:szCs w:val="12"/>
                <w:lang w:val="fr-BE"/>
              </w:rPr>
            </w:pPr>
          </w:p>
        </w:tc>
        <w:tc>
          <w:tcPr>
            <w:tcW w:w="0" w:type="auto"/>
            <w:shd w:val="clear" w:color="auto" w:fill="auto"/>
          </w:tcPr>
          <w:p w14:paraId="7DD17358" w14:textId="77777777" w:rsidR="008C5CFA" w:rsidRPr="00BA47B4" w:rsidRDefault="008C5CFA" w:rsidP="00300A01">
            <w:pPr>
              <w:spacing w:before="0" w:after="0"/>
              <w:jc w:val="right"/>
              <w:rPr>
                <w:sz w:val="12"/>
                <w:szCs w:val="12"/>
                <w:lang w:val="fr-BE"/>
              </w:rPr>
            </w:pPr>
          </w:p>
        </w:tc>
        <w:tc>
          <w:tcPr>
            <w:tcW w:w="0" w:type="auto"/>
            <w:shd w:val="clear" w:color="auto" w:fill="auto"/>
          </w:tcPr>
          <w:p w14:paraId="6742F419"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0E9B4A1D"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r>
      <w:tr w:rsidR="006B2EC1" w14:paraId="1EBABDF6" w14:textId="77777777" w:rsidTr="0047688D">
        <w:tc>
          <w:tcPr>
            <w:tcW w:w="0" w:type="auto"/>
            <w:shd w:val="clear" w:color="auto" w:fill="auto"/>
          </w:tcPr>
          <w:p w14:paraId="4A2E6AED" w14:textId="77777777" w:rsidR="008C5CFA" w:rsidRPr="00BA47B4" w:rsidRDefault="00E82A60" w:rsidP="00300A01">
            <w:pPr>
              <w:spacing w:before="0" w:after="0"/>
              <w:rPr>
                <w:sz w:val="12"/>
                <w:szCs w:val="12"/>
                <w:lang w:val="fr-BE"/>
              </w:rPr>
            </w:pPr>
            <w:r w:rsidRPr="00BA47B4">
              <w:rPr>
                <w:noProof/>
                <w:sz w:val="12"/>
                <w:szCs w:val="12"/>
                <w:lang w:val="fr-BE"/>
              </w:rPr>
              <w:t>CR02</w:t>
            </w:r>
          </w:p>
        </w:tc>
        <w:tc>
          <w:tcPr>
            <w:tcW w:w="0" w:type="auto"/>
            <w:shd w:val="clear" w:color="auto" w:fill="auto"/>
          </w:tcPr>
          <w:p w14:paraId="71C8EFF8" w14:textId="77777777" w:rsidR="008C5CFA" w:rsidRPr="00BA47B4" w:rsidRDefault="00E82A60" w:rsidP="00300A01">
            <w:pPr>
              <w:spacing w:before="0" w:after="0"/>
              <w:rPr>
                <w:sz w:val="12"/>
                <w:szCs w:val="12"/>
                <w:lang w:val="fr-BE"/>
              </w:rPr>
            </w:pPr>
            <w:r w:rsidRPr="00BA47B4">
              <w:rPr>
                <w:noProof/>
                <w:sz w:val="12"/>
                <w:szCs w:val="12"/>
                <w:lang w:val="fr-BE"/>
              </w:rPr>
              <w:t>uczestnicy kształcący lub szkolący się po opuszczeniu programu</w:t>
            </w:r>
          </w:p>
        </w:tc>
        <w:tc>
          <w:tcPr>
            <w:tcW w:w="0" w:type="auto"/>
            <w:shd w:val="clear" w:color="auto" w:fill="auto"/>
          </w:tcPr>
          <w:p w14:paraId="44AAF02F" w14:textId="77777777" w:rsidR="008C5CFA" w:rsidRPr="00BA47B4" w:rsidRDefault="00E82A60" w:rsidP="00300A01">
            <w:pPr>
              <w:spacing w:before="0" w:after="0"/>
              <w:rPr>
                <w:sz w:val="12"/>
                <w:szCs w:val="12"/>
                <w:lang w:val="fr-BE"/>
              </w:rPr>
            </w:pPr>
            <w:r w:rsidRPr="00BA47B4">
              <w:rPr>
                <w:noProof/>
                <w:sz w:val="12"/>
                <w:szCs w:val="12"/>
                <w:lang w:val="fr-BE"/>
              </w:rPr>
              <w:t>Słabiej rozwinięte</w:t>
            </w:r>
          </w:p>
        </w:tc>
        <w:tc>
          <w:tcPr>
            <w:tcW w:w="0" w:type="auto"/>
            <w:shd w:val="clear" w:color="auto" w:fill="auto"/>
          </w:tcPr>
          <w:p w14:paraId="6CCD14E9" w14:textId="77777777" w:rsidR="008C5CFA" w:rsidRPr="00BA47B4" w:rsidRDefault="00E82A60" w:rsidP="00300A01">
            <w:pPr>
              <w:spacing w:before="0" w:after="0"/>
              <w:rPr>
                <w:sz w:val="12"/>
                <w:szCs w:val="12"/>
                <w:lang w:val="fr-BE"/>
              </w:rPr>
            </w:pPr>
            <w:r w:rsidRPr="00BA47B4">
              <w:rPr>
                <w:sz w:val="12"/>
                <w:szCs w:val="12"/>
                <w:lang w:val="fr-BE"/>
              </w:rPr>
              <w:t xml:space="preserve"> </w:t>
            </w:r>
          </w:p>
        </w:tc>
        <w:tc>
          <w:tcPr>
            <w:tcW w:w="0" w:type="auto"/>
            <w:shd w:val="clear" w:color="auto" w:fill="auto"/>
          </w:tcPr>
          <w:p w14:paraId="12A826AF" w14:textId="77777777" w:rsidR="008C5CFA" w:rsidRPr="00BA47B4" w:rsidRDefault="008C5CFA" w:rsidP="00300A01">
            <w:pPr>
              <w:spacing w:before="0" w:after="0"/>
              <w:jc w:val="center"/>
              <w:rPr>
                <w:sz w:val="12"/>
                <w:szCs w:val="12"/>
                <w:lang w:val="fr-BE"/>
              </w:rPr>
            </w:pPr>
          </w:p>
        </w:tc>
        <w:tc>
          <w:tcPr>
            <w:tcW w:w="0" w:type="auto"/>
            <w:shd w:val="clear" w:color="auto" w:fill="auto"/>
          </w:tcPr>
          <w:p w14:paraId="57E0BAC0" w14:textId="77777777" w:rsidR="008C5CFA" w:rsidRPr="00BA47B4" w:rsidRDefault="008C5CFA" w:rsidP="00300A01">
            <w:pPr>
              <w:spacing w:before="0" w:after="0"/>
              <w:jc w:val="right"/>
              <w:rPr>
                <w:sz w:val="12"/>
                <w:szCs w:val="12"/>
                <w:lang w:val="fr-BE"/>
              </w:rPr>
            </w:pPr>
          </w:p>
        </w:tc>
        <w:tc>
          <w:tcPr>
            <w:tcW w:w="0" w:type="auto"/>
            <w:shd w:val="clear" w:color="auto" w:fill="auto"/>
          </w:tcPr>
          <w:p w14:paraId="636933E9" w14:textId="77777777" w:rsidR="008C5CFA" w:rsidRPr="00BA47B4" w:rsidRDefault="008C5CFA" w:rsidP="00300A01">
            <w:pPr>
              <w:spacing w:before="0" w:after="0"/>
              <w:jc w:val="right"/>
              <w:rPr>
                <w:sz w:val="12"/>
                <w:szCs w:val="12"/>
                <w:lang w:val="fr-BE"/>
              </w:rPr>
            </w:pPr>
          </w:p>
        </w:tc>
        <w:tc>
          <w:tcPr>
            <w:tcW w:w="0" w:type="auto"/>
            <w:shd w:val="clear" w:color="auto" w:fill="auto"/>
          </w:tcPr>
          <w:p w14:paraId="55F95B84" w14:textId="77777777" w:rsidR="008C5CFA" w:rsidRPr="00BA47B4" w:rsidRDefault="008C5CFA" w:rsidP="00300A01">
            <w:pPr>
              <w:spacing w:before="0" w:after="0"/>
              <w:jc w:val="right"/>
              <w:rPr>
                <w:sz w:val="12"/>
                <w:szCs w:val="12"/>
                <w:lang w:val="fr-BE"/>
              </w:rPr>
            </w:pPr>
          </w:p>
        </w:tc>
        <w:tc>
          <w:tcPr>
            <w:tcW w:w="0" w:type="auto"/>
            <w:shd w:val="clear" w:color="auto" w:fill="auto"/>
          </w:tcPr>
          <w:p w14:paraId="5A38CA0B"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4FABE1D6"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1003A06B"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762DDBE5" w14:textId="77777777" w:rsidR="008C5CFA" w:rsidRPr="00BA47B4" w:rsidRDefault="008C5CFA" w:rsidP="00300A01">
            <w:pPr>
              <w:spacing w:before="0" w:after="0"/>
              <w:jc w:val="right"/>
              <w:rPr>
                <w:sz w:val="12"/>
                <w:szCs w:val="12"/>
                <w:lang w:val="fr-BE"/>
              </w:rPr>
            </w:pPr>
          </w:p>
        </w:tc>
        <w:tc>
          <w:tcPr>
            <w:tcW w:w="0" w:type="auto"/>
            <w:shd w:val="clear" w:color="auto" w:fill="auto"/>
          </w:tcPr>
          <w:p w14:paraId="5859D4C7" w14:textId="77777777" w:rsidR="008C5CFA" w:rsidRPr="00BA47B4" w:rsidRDefault="008C5CFA" w:rsidP="00300A01">
            <w:pPr>
              <w:spacing w:before="0" w:after="0"/>
              <w:jc w:val="right"/>
              <w:rPr>
                <w:sz w:val="12"/>
                <w:szCs w:val="12"/>
                <w:lang w:val="fr-BE"/>
              </w:rPr>
            </w:pPr>
          </w:p>
        </w:tc>
        <w:tc>
          <w:tcPr>
            <w:tcW w:w="0" w:type="auto"/>
            <w:shd w:val="clear" w:color="auto" w:fill="auto"/>
          </w:tcPr>
          <w:p w14:paraId="0944C86A" w14:textId="77777777" w:rsidR="008C5CFA" w:rsidRPr="00BA47B4" w:rsidRDefault="008C5CFA" w:rsidP="00300A01">
            <w:pPr>
              <w:spacing w:before="0" w:after="0"/>
              <w:jc w:val="right"/>
              <w:rPr>
                <w:sz w:val="12"/>
                <w:szCs w:val="12"/>
                <w:lang w:val="fr-BE"/>
              </w:rPr>
            </w:pPr>
          </w:p>
        </w:tc>
        <w:tc>
          <w:tcPr>
            <w:tcW w:w="0" w:type="auto"/>
            <w:shd w:val="clear" w:color="auto" w:fill="auto"/>
          </w:tcPr>
          <w:p w14:paraId="2EC93020"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7747F624"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r>
      <w:tr w:rsidR="006B2EC1" w14:paraId="16CBCC4F" w14:textId="77777777" w:rsidTr="0047688D">
        <w:tc>
          <w:tcPr>
            <w:tcW w:w="0" w:type="auto"/>
            <w:shd w:val="clear" w:color="auto" w:fill="auto"/>
          </w:tcPr>
          <w:p w14:paraId="7D165C02" w14:textId="77777777" w:rsidR="008C5CFA" w:rsidRPr="00BA47B4" w:rsidRDefault="00E82A60" w:rsidP="00300A01">
            <w:pPr>
              <w:spacing w:before="0" w:after="0"/>
              <w:rPr>
                <w:sz w:val="12"/>
                <w:szCs w:val="12"/>
                <w:lang w:val="fr-BE"/>
              </w:rPr>
            </w:pPr>
            <w:r w:rsidRPr="00BA47B4">
              <w:rPr>
                <w:noProof/>
                <w:sz w:val="12"/>
                <w:szCs w:val="12"/>
                <w:lang w:val="fr-BE"/>
              </w:rPr>
              <w:t>CR03</w:t>
            </w:r>
          </w:p>
        </w:tc>
        <w:tc>
          <w:tcPr>
            <w:tcW w:w="0" w:type="auto"/>
            <w:shd w:val="clear" w:color="auto" w:fill="auto"/>
          </w:tcPr>
          <w:p w14:paraId="5DD4AA2B" w14:textId="77777777" w:rsidR="008C5CFA" w:rsidRPr="00BA47B4" w:rsidRDefault="00E82A60" w:rsidP="00300A01">
            <w:pPr>
              <w:spacing w:before="0" w:after="0"/>
              <w:rPr>
                <w:sz w:val="12"/>
                <w:szCs w:val="12"/>
                <w:lang w:val="fr-BE"/>
              </w:rPr>
            </w:pPr>
            <w:r w:rsidRPr="00BA47B4">
              <w:rPr>
                <w:noProof/>
                <w:sz w:val="12"/>
                <w:szCs w:val="12"/>
                <w:lang w:val="fr-BE"/>
              </w:rPr>
              <w:t>uczestnicy uzyskujący kwalifikacje po opuszczeniu programu</w:t>
            </w:r>
          </w:p>
        </w:tc>
        <w:tc>
          <w:tcPr>
            <w:tcW w:w="0" w:type="auto"/>
            <w:shd w:val="clear" w:color="auto" w:fill="auto"/>
          </w:tcPr>
          <w:p w14:paraId="42910DC3" w14:textId="77777777" w:rsidR="008C5CFA" w:rsidRPr="00BA47B4" w:rsidRDefault="00E82A60" w:rsidP="00300A01">
            <w:pPr>
              <w:spacing w:before="0" w:after="0"/>
              <w:rPr>
                <w:sz w:val="12"/>
                <w:szCs w:val="12"/>
                <w:lang w:val="fr-BE"/>
              </w:rPr>
            </w:pPr>
            <w:r w:rsidRPr="00BA47B4">
              <w:rPr>
                <w:noProof/>
                <w:sz w:val="12"/>
                <w:szCs w:val="12"/>
                <w:lang w:val="fr-BE"/>
              </w:rPr>
              <w:t>Słabiej rozwinięte</w:t>
            </w:r>
          </w:p>
        </w:tc>
        <w:tc>
          <w:tcPr>
            <w:tcW w:w="0" w:type="auto"/>
            <w:shd w:val="clear" w:color="auto" w:fill="auto"/>
          </w:tcPr>
          <w:p w14:paraId="51C9B905" w14:textId="77777777" w:rsidR="008C5CFA" w:rsidRPr="00BA47B4" w:rsidRDefault="00E82A60" w:rsidP="00300A01">
            <w:pPr>
              <w:spacing w:before="0" w:after="0"/>
              <w:rPr>
                <w:sz w:val="12"/>
                <w:szCs w:val="12"/>
                <w:lang w:val="fr-BE"/>
              </w:rPr>
            </w:pPr>
            <w:r w:rsidRPr="00BA47B4">
              <w:rPr>
                <w:sz w:val="12"/>
                <w:szCs w:val="12"/>
                <w:lang w:val="fr-BE"/>
              </w:rPr>
              <w:t xml:space="preserve"> </w:t>
            </w:r>
          </w:p>
        </w:tc>
        <w:tc>
          <w:tcPr>
            <w:tcW w:w="0" w:type="auto"/>
            <w:shd w:val="clear" w:color="auto" w:fill="auto"/>
          </w:tcPr>
          <w:p w14:paraId="42CBE416" w14:textId="77777777" w:rsidR="008C5CFA" w:rsidRPr="00BA47B4" w:rsidRDefault="008C5CFA" w:rsidP="00300A01">
            <w:pPr>
              <w:spacing w:before="0" w:after="0"/>
              <w:jc w:val="center"/>
              <w:rPr>
                <w:sz w:val="12"/>
                <w:szCs w:val="12"/>
                <w:lang w:val="fr-BE"/>
              </w:rPr>
            </w:pPr>
          </w:p>
        </w:tc>
        <w:tc>
          <w:tcPr>
            <w:tcW w:w="0" w:type="auto"/>
            <w:shd w:val="clear" w:color="auto" w:fill="auto"/>
          </w:tcPr>
          <w:p w14:paraId="22F9EFB8" w14:textId="77777777" w:rsidR="008C5CFA" w:rsidRPr="00BA47B4" w:rsidRDefault="008C5CFA" w:rsidP="00300A01">
            <w:pPr>
              <w:spacing w:before="0" w:after="0"/>
              <w:jc w:val="right"/>
              <w:rPr>
                <w:sz w:val="12"/>
                <w:szCs w:val="12"/>
                <w:lang w:val="fr-BE"/>
              </w:rPr>
            </w:pPr>
          </w:p>
        </w:tc>
        <w:tc>
          <w:tcPr>
            <w:tcW w:w="0" w:type="auto"/>
            <w:shd w:val="clear" w:color="auto" w:fill="auto"/>
          </w:tcPr>
          <w:p w14:paraId="696E2382" w14:textId="77777777" w:rsidR="008C5CFA" w:rsidRPr="00BA47B4" w:rsidRDefault="008C5CFA" w:rsidP="00300A01">
            <w:pPr>
              <w:spacing w:before="0" w:after="0"/>
              <w:jc w:val="right"/>
              <w:rPr>
                <w:sz w:val="12"/>
                <w:szCs w:val="12"/>
                <w:lang w:val="fr-BE"/>
              </w:rPr>
            </w:pPr>
          </w:p>
        </w:tc>
        <w:tc>
          <w:tcPr>
            <w:tcW w:w="0" w:type="auto"/>
            <w:shd w:val="clear" w:color="auto" w:fill="auto"/>
          </w:tcPr>
          <w:p w14:paraId="41551EDF" w14:textId="77777777" w:rsidR="008C5CFA" w:rsidRPr="00BA47B4" w:rsidRDefault="008C5CFA" w:rsidP="00300A01">
            <w:pPr>
              <w:spacing w:before="0" w:after="0"/>
              <w:jc w:val="right"/>
              <w:rPr>
                <w:sz w:val="12"/>
                <w:szCs w:val="12"/>
                <w:lang w:val="fr-BE"/>
              </w:rPr>
            </w:pPr>
          </w:p>
        </w:tc>
        <w:tc>
          <w:tcPr>
            <w:tcW w:w="0" w:type="auto"/>
            <w:shd w:val="clear" w:color="auto" w:fill="auto"/>
          </w:tcPr>
          <w:p w14:paraId="798E3962" w14:textId="77777777" w:rsidR="008C5CFA" w:rsidRPr="00BA47B4" w:rsidRDefault="00E82A60" w:rsidP="00300A01">
            <w:pPr>
              <w:spacing w:before="0" w:after="0"/>
              <w:jc w:val="right"/>
              <w:rPr>
                <w:sz w:val="12"/>
                <w:szCs w:val="12"/>
                <w:lang w:val="fr-BE"/>
              </w:rPr>
            </w:pPr>
            <w:r w:rsidRPr="00BA47B4">
              <w:rPr>
                <w:noProof/>
                <w:sz w:val="12"/>
                <w:szCs w:val="12"/>
                <w:lang w:val="fr-BE"/>
              </w:rPr>
              <w:t>5 180,00</w:t>
            </w:r>
          </w:p>
        </w:tc>
        <w:tc>
          <w:tcPr>
            <w:tcW w:w="0" w:type="auto"/>
            <w:shd w:val="clear" w:color="auto" w:fill="auto"/>
          </w:tcPr>
          <w:p w14:paraId="603C65C7" w14:textId="77777777" w:rsidR="008C5CFA" w:rsidRPr="00BA47B4" w:rsidRDefault="00E82A60" w:rsidP="00300A01">
            <w:pPr>
              <w:spacing w:before="0" w:after="0"/>
              <w:jc w:val="right"/>
              <w:rPr>
                <w:sz w:val="12"/>
                <w:szCs w:val="12"/>
                <w:lang w:val="fr-BE"/>
              </w:rPr>
            </w:pPr>
            <w:r w:rsidRPr="00BA47B4">
              <w:rPr>
                <w:noProof/>
                <w:sz w:val="12"/>
                <w:szCs w:val="12"/>
                <w:lang w:val="fr-BE"/>
              </w:rPr>
              <w:t>1 428,00</w:t>
            </w:r>
          </w:p>
        </w:tc>
        <w:tc>
          <w:tcPr>
            <w:tcW w:w="0" w:type="auto"/>
            <w:shd w:val="clear" w:color="auto" w:fill="auto"/>
          </w:tcPr>
          <w:p w14:paraId="081962D5" w14:textId="77777777" w:rsidR="008C5CFA" w:rsidRPr="00BA47B4" w:rsidRDefault="00E82A60" w:rsidP="00300A01">
            <w:pPr>
              <w:spacing w:before="0" w:after="0"/>
              <w:jc w:val="right"/>
              <w:rPr>
                <w:sz w:val="12"/>
                <w:szCs w:val="12"/>
                <w:lang w:val="fr-BE"/>
              </w:rPr>
            </w:pPr>
            <w:r w:rsidRPr="00BA47B4">
              <w:rPr>
                <w:noProof/>
                <w:sz w:val="12"/>
                <w:szCs w:val="12"/>
                <w:lang w:val="fr-BE"/>
              </w:rPr>
              <w:t>3 752,00</w:t>
            </w:r>
          </w:p>
        </w:tc>
        <w:tc>
          <w:tcPr>
            <w:tcW w:w="0" w:type="auto"/>
            <w:shd w:val="clear" w:color="auto" w:fill="auto"/>
          </w:tcPr>
          <w:p w14:paraId="50F12932" w14:textId="77777777" w:rsidR="008C5CFA" w:rsidRPr="00BA47B4" w:rsidRDefault="008C5CFA" w:rsidP="00300A01">
            <w:pPr>
              <w:spacing w:before="0" w:after="0"/>
              <w:jc w:val="right"/>
              <w:rPr>
                <w:sz w:val="12"/>
                <w:szCs w:val="12"/>
                <w:lang w:val="fr-BE"/>
              </w:rPr>
            </w:pPr>
          </w:p>
        </w:tc>
        <w:tc>
          <w:tcPr>
            <w:tcW w:w="0" w:type="auto"/>
            <w:shd w:val="clear" w:color="auto" w:fill="auto"/>
          </w:tcPr>
          <w:p w14:paraId="4EC63642" w14:textId="77777777" w:rsidR="008C5CFA" w:rsidRPr="00BA47B4" w:rsidRDefault="008C5CFA" w:rsidP="00300A01">
            <w:pPr>
              <w:spacing w:before="0" w:after="0"/>
              <w:jc w:val="right"/>
              <w:rPr>
                <w:sz w:val="12"/>
                <w:szCs w:val="12"/>
                <w:lang w:val="fr-BE"/>
              </w:rPr>
            </w:pPr>
          </w:p>
        </w:tc>
        <w:tc>
          <w:tcPr>
            <w:tcW w:w="0" w:type="auto"/>
            <w:shd w:val="clear" w:color="auto" w:fill="auto"/>
          </w:tcPr>
          <w:p w14:paraId="251C6CAD" w14:textId="77777777" w:rsidR="008C5CFA" w:rsidRPr="00BA47B4" w:rsidRDefault="008C5CFA" w:rsidP="00300A01">
            <w:pPr>
              <w:spacing w:before="0" w:after="0"/>
              <w:jc w:val="right"/>
              <w:rPr>
                <w:sz w:val="12"/>
                <w:szCs w:val="12"/>
                <w:lang w:val="fr-BE"/>
              </w:rPr>
            </w:pPr>
          </w:p>
        </w:tc>
        <w:tc>
          <w:tcPr>
            <w:tcW w:w="0" w:type="auto"/>
            <w:shd w:val="clear" w:color="auto" w:fill="auto"/>
          </w:tcPr>
          <w:p w14:paraId="4E81F580" w14:textId="77777777" w:rsidR="008C5CFA" w:rsidRPr="00BA47B4" w:rsidRDefault="00E82A60" w:rsidP="00300A01">
            <w:pPr>
              <w:spacing w:before="0" w:after="0"/>
              <w:jc w:val="right"/>
              <w:rPr>
                <w:sz w:val="12"/>
                <w:szCs w:val="12"/>
                <w:lang w:val="fr-BE"/>
              </w:rPr>
            </w:pPr>
            <w:r w:rsidRPr="00BA47B4">
              <w:rPr>
                <w:noProof/>
                <w:sz w:val="12"/>
                <w:szCs w:val="12"/>
                <w:lang w:val="fr-BE"/>
              </w:rPr>
              <w:t>1 171,00</w:t>
            </w:r>
          </w:p>
        </w:tc>
        <w:tc>
          <w:tcPr>
            <w:tcW w:w="0" w:type="auto"/>
            <w:shd w:val="clear" w:color="auto" w:fill="auto"/>
          </w:tcPr>
          <w:p w14:paraId="6AB4025E" w14:textId="77777777" w:rsidR="008C5CFA" w:rsidRPr="00BA47B4" w:rsidRDefault="00E82A60" w:rsidP="00300A01">
            <w:pPr>
              <w:spacing w:before="0" w:after="0"/>
              <w:jc w:val="right"/>
              <w:rPr>
                <w:sz w:val="12"/>
                <w:szCs w:val="12"/>
                <w:lang w:val="fr-BE"/>
              </w:rPr>
            </w:pPr>
            <w:r w:rsidRPr="00BA47B4">
              <w:rPr>
                <w:noProof/>
                <w:sz w:val="12"/>
                <w:szCs w:val="12"/>
                <w:lang w:val="fr-BE"/>
              </w:rPr>
              <w:t>3 051,00</w:t>
            </w:r>
          </w:p>
        </w:tc>
      </w:tr>
      <w:tr w:rsidR="006B2EC1" w14:paraId="4726C582" w14:textId="77777777" w:rsidTr="0047688D">
        <w:tc>
          <w:tcPr>
            <w:tcW w:w="0" w:type="auto"/>
            <w:shd w:val="clear" w:color="auto" w:fill="auto"/>
          </w:tcPr>
          <w:p w14:paraId="2369A55A" w14:textId="77777777" w:rsidR="008C5CFA" w:rsidRPr="00BA47B4" w:rsidRDefault="00E82A60" w:rsidP="00300A01">
            <w:pPr>
              <w:spacing w:before="0" w:after="0"/>
              <w:rPr>
                <w:sz w:val="12"/>
                <w:szCs w:val="12"/>
                <w:lang w:val="fr-BE"/>
              </w:rPr>
            </w:pPr>
            <w:r w:rsidRPr="00BA47B4">
              <w:rPr>
                <w:noProof/>
                <w:sz w:val="12"/>
                <w:szCs w:val="12"/>
                <w:lang w:val="fr-BE"/>
              </w:rPr>
              <w:t>CR04</w:t>
            </w:r>
          </w:p>
        </w:tc>
        <w:tc>
          <w:tcPr>
            <w:tcW w:w="0" w:type="auto"/>
            <w:shd w:val="clear" w:color="auto" w:fill="auto"/>
          </w:tcPr>
          <w:p w14:paraId="26F93F72" w14:textId="77777777" w:rsidR="008C5CFA" w:rsidRPr="00BA47B4" w:rsidRDefault="00E82A60" w:rsidP="00300A01">
            <w:pPr>
              <w:spacing w:before="0" w:after="0"/>
              <w:rPr>
                <w:sz w:val="12"/>
                <w:szCs w:val="12"/>
                <w:lang w:val="fr-BE"/>
              </w:rPr>
            </w:pPr>
            <w:r w:rsidRPr="00BA47B4">
              <w:rPr>
                <w:noProof/>
                <w:sz w:val="12"/>
                <w:szCs w:val="12"/>
                <w:lang w:val="fr-BE"/>
              </w:rPr>
              <w:t>uczestnicy pracujący, łącznie z prowadzącymi działalność na własny rachunek, po opuszczeniu programu</w:t>
            </w:r>
          </w:p>
        </w:tc>
        <w:tc>
          <w:tcPr>
            <w:tcW w:w="0" w:type="auto"/>
            <w:shd w:val="clear" w:color="auto" w:fill="auto"/>
          </w:tcPr>
          <w:p w14:paraId="4303B269" w14:textId="77777777" w:rsidR="008C5CFA" w:rsidRPr="00BA47B4" w:rsidRDefault="00E82A60" w:rsidP="00300A01">
            <w:pPr>
              <w:spacing w:before="0" w:after="0"/>
              <w:rPr>
                <w:sz w:val="12"/>
                <w:szCs w:val="12"/>
                <w:lang w:val="fr-BE"/>
              </w:rPr>
            </w:pPr>
            <w:r w:rsidRPr="00BA47B4">
              <w:rPr>
                <w:noProof/>
                <w:sz w:val="12"/>
                <w:szCs w:val="12"/>
                <w:lang w:val="fr-BE"/>
              </w:rPr>
              <w:t>Słabiej rozwinięte</w:t>
            </w:r>
          </w:p>
        </w:tc>
        <w:tc>
          <w:tcPr>
            <w:tcW w:w="0" w:type="auto"/>
            <w:shd w:val="clear" w:color="auto" w:fill="auto"/>
          </w:tcPr>
          <w:p w14:paraId="7FE0303F" w14:textId="77777777" w:rsidR="008C5CFA" w:rsidRPr="00BA47B4" w:rsidRDefault="00E82A60" w:rsidP="00300A01">
            <w:pPr>
              <w:spacing w:before="0" w:after="0"/>
              <w:rPr>
                <w:sz w:val="12"/>
                <w:szCs w:val="12"/>
                <w:lang w:val="fr-BE"/>
              </w:rPr>
            </w:pPr>
            <w:r w:rsidRPr="00BA47B4">
              <w:rPr>
                <w:sz w:val="12"/>
                <w:szCs w:val="12"/>
                <w:lang w:val="fr-BE"/>
              </w:rPr>
              <w:t xml:space="preserve"> </w:t>
            </w:r>
          </w:p>
        </w:tc>
        <w:tc>
          <w:tcPr>
            <w:tcW w:w="0" w:type="auto"/>
            <w:shd w:val="clear" w:color="auto" w:fill="auto"/>
          </w:tcPr>
          <w:p w14:paraId="56A7D360" w14:textId="77777777" w:rsidR="008C5CFA" w:rsidRPr="00BA47B4" w:rsidRDefault="008C5CFA" w:rsidP="00300A01">
            <w:pPr>
              <w:spacing w:before="0" w:after="0"/>
              <w:jc w:val="center"/>
              <w:rPr>
                <w:sz w:val="12"/>
                <w:szCs w:val="12"/>
                <w:lang w:val="fr-BE"/>
              </w:rPr>
            </w:pPr>
          </w:p>
        </w:tc>
        <w:tc>
          <w:tcPr>
            <w:tcW w:w="0" w:type="auto"/>
            <w:shd w:val="clear" w:color="auto" w:fill="auto"/>
          </w:tcPr>
          <w:p w14:paraId="7F64F8B1" w14:textId="77777777" w:rsidR="008C5CFA" w:rsidRPr="00BA47B4" w:rsidRDefault="008C5CFA" w:rsidP="00300A01">
            <w:pPr>
              <w:spacing w:before="0" w:after="0"/>
              <w:jc w:val="right"/>
              <w:rPr>
                <w:sz w:val="12"/>
                <w:szCs w:val="12"/>
                <w:lang w:val="fr-BE"/>
              </w:rPr>
            </w:pPr>
          </w:p>
        </w:tc>
        <w:tc>
          <w:tcPr>
            <w:tcW w:w="0" w:type="auto"/>
            <w:shd w:val="clear" w:color="auto" w:fill="auto"/>
          </w:tcPr>
          <w:p w14:paraId="5FA590F1" w14:textId="77777777" w:rsidR="008C5CFA" w:rsidRPr="00BA47B4" w:rsidRDefault="008C5CFA" w:rsidP="00300A01">
            <w:pPr>
              <w:spacing w:before="0" w:after="0"/>
              <w:jc w:val="right"/>
              <w:rPr>
                <w:sz w:val="12"/>
                <w:szCs w:val="12"/>
                <w:lang w:val="fr-BE"/>
              </w:rPr>
            </w:pPr>
          </w:p>
        </w:tc>
        <w:tc>
          <w:tcPr>
            <w:tcW w:w="0" w:type="auto"/>
            <w:shd w:val="clear" w:color="auto" w:fill="auto"/>
          </w:tcPr>
          <w:p w14:paraId="6DB64417" w14:textId="77777777" w:rsidR="008C5CFA" w:rsidRPr="00BA47B4" w:rsidRDefault="008C5CFA" w:rsidP="00300A01">
            <w:pPr>
              <w:spacing w:before="0" w:after="0"/>
              <w:jc w:val="right"/>
              <w:rPr>
                <w:sz w:val="12"/>
                <w:szCs w:val="12"/>
                <w:lang w:val="fr-BE"/>
              </w:rPr>
            </w:pPr>
          </w:p>
        </w:tc>
        <w:tc>
          <w:tcPr>
            <w:tcW w:w="0" w:type="auto"/>
            <w:shd w:val="clear" w:color="auto" w:fill="auto"/>
          </w:tcPr>
          <w:p w14:paraId="045F1EB2"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50293B59"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58D6B75F"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4045A2E2" w14:textId="77777777" w:rsidR="008C5CFA" w:rsidRPr="00BA47B4" w:rsidRDefault="008C5CFA" w:rsidP="00300A01">
            <w:pPr>
              <w:spacing w:before="0" w:after="0"/>
              <w:jc w:val="right"/>
              <w:rPr>
                <w:sz w:val="12"/>
                <w:szCs w:val="12"/>
                <w:lang w:val="fr-BE"/>
              </w:rPr>
            </w:pPr>
          </w:p>
        </w:tc>
        <w:tc>
          <w:tcPr>
            <w:tcW w:w="0" w:type="auto"/>
            <w:shd w:val="clear" w:color="auto" w:fill="auto"/>
          </w:tcPr>
          <w:p w14:paraId="4A869D1B" w14:textId="77777777" w:rsidR="008C5CFA" w:rsidRPr="00BA47B4" w:rsidRDefault="008C5CFA" w:rsidP="00300A01">
            <w:pPr>
              <w:spacing w:before="0" w:after="0"/>
              <w:jc w:val="right"/>
              <w:rPr>
                <w:sz w:val="12"/>
                <w:szCs w:val="12"/>
                <w:lang w:val="fr-BE"/>
              </w:rPr>
            </w:pPr>
          </w:p>
        </w:tc>
        <w:tc>
          <w:tcPr>
            <w:tcW w:w="0" w:type="auto"/>
            <w:shd w:val="clear" w:color="auto" w:fill="auto"/>
          </w:tcPr>
          <w:p w14:paraId="2945E8F4" w14:textId="77777777" w:rsidR="008C5CFA" w:rsidRPr="00BA47B4" w:rsidRDefault="008C5CFA" w:rsidP="00300A01">
            <w:pPr>
              <w:spacing w:before="0" w:after="0"/>
              <w:jc w:val="right"/>
              <w:rPr>
                <w:sz w:val="12"/>
                <w:szCs w:val="12"/>
                <w:lang w:val="fr-BE"/>
              </w:rPr>
            </w:pPr>
          </w:p>
        </w:tc>
        <w:tc>
          <w:tcPr>
            <w:tcW w:w="0" w:type="auto"/>
            <w:shd w:val="clear" w:color="auto" w:fill="auto"/>
          </w:tcPr>
          <w:p w14:paraId="7A06B1CD"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6DE00B84"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r>
      <w:tr w:rsidR="006B2EC1" w14:paraId="3C29BACB" w14:textId="77777777" w:rsidTr="0047688D">
        <w:tc>
          <w:tcPr>
            <w:tcW w:w="0" w:type="auto"/>
            <w:shd w:val="clear" w:color="auto" w:fill="auto"/>
          </w:tcPr>
          <w:p w14:paraId="3573DE20" w14:textId="77777777" w:rsidR="008C5CFA" w:rsidRPr="00BA47B4" w:rsidRDefault="00E82A60" w:rsidP="00300A01">
            <w:pPr>
              <w:spacing w:before="0" w:after="0"/>
              <w:rPr>
                <w:sz w:val="12"/>
                <w:szCs w:val="12"/>
                <w:lang w:val="fr-BE"/>
              </w:rPr>
            </w:pPr>
            <w:r w:rsidRPr="00BA47B4">
              <w:rPr>
                <w:noProof/>
                <w:sz w:val="12"/>
                <w:szCs w:val="12"/>
                <w:lang w:val="fr-BE"/>
              </w:rPr>
              <w:t>CR05</w:t>
            </w:r>
          </w:p>
        </w:tc>
        <w:tc>
          <w:tcPr>
            <w:tcW w:w="0" w:type="auto"/>
            <w:shd w:val="clear" w:color="auto" w:fill="auto"/>
          </w:tcPr>
          <w:p w14:paraId="391D398F" w14:textId="77777777" w:rsidR="008C5CFA" w:rsidRPr="00BA47B4" w:rsidRDefault="00E82A60" w:rsidP="00300A01">
            <w:pPr>
              <w:spacing w:before="0" w:after="0"/>
              <w:rPr>
                <w:sz w:val="12"/>
                <w:szCs w:val="12"/>
                <w:lang w:val="fr-BE"/>
              </w:rPr>
            </w:pPr>
            <w:r w:rsidRPr="00BA47B4">
              <w:rPr>
                <w:noProof/>
                <w:sz w:val="12"/>
                <w:szCs w:val="12"/>
                <w:lang w:val="fr-BE"/>
              </w:rPr>
              <w:t>uczestnicy w niekorzystnej sytuacji społecznej poszukujący pracy, uczestniczący w kształceniu lub szkoleniu, zdobywający kwalifikacje lub pracujący (łącznie z prowadzącymi działalność na własny rachunek) po opuszczeniu programu</w:t>
            </w:r>
          </w:p>
        </w:tc>
        <w:tc>
          <w:tcPr>
            <w:tcW w:w="0" w:type="auto"/>
            <w:shd w:val="clear" w:color="auto" w:fill="auto"/>
          </w:tcPr>
          <w:p w14:paraId="3135E4D0" w14:textId="77777777" w:rsidR="008C5CFA" w:rsidRPr="00BA47B4" w:rsidRDefault="00E82A60" w:rsidP="00300A01">
            <w:pPr>
              <w:spacing w:before="0" w:after="0"/>
              <w:rPr>
                <w:sz w:val="12"/>
                <w:szCs w:val="12"/>
                <w:lang w:val="fr-BE"/>
              </w:rPr>
            </w:pPr>
            <w:r w:rsidRPr="00BA47B4">
              <w:rPr>
                <w:noProof/>
                <w:sz w:val="12"/>
                <w:szCs w:val="12"/>
                <w:lang w:val="fr-BE"/>
              </w:rPr>
              <w:t>Słabiej rozwinięte</w:t>
            </w:r>
          </w:p>
        </w:tc>
        <w:tc>
          <w:tcPr>
            <w:tcW w:w="0" w:type="auto"/>
            <w:shd w:val="clear" w:color="auto" w:fill="auto"/>
          </w:tcPr>
          <w:p w14:paraId="7B97CC70" w14:textId="77777777" w:rsidR="008C5CFA" w:rsidRPr="00BA47B4" w:rsidRDefault="00E82A60" w:rsidP="00300A01">
            <w:pPr>
              <w:spacing w:before="0" w:after="0"/>
              <w:rPr>
                <w:sz w:val="12"/>
                <w:szCs w:val="12"/>
                <w:lang w:val="fr-BE"/>
              </w:rPr>
            </w:pPr>
            <w:r w:rsidRPr="00BA47B4">
              <w:rPr>
                <w:sz w:val="12"/>
                <w:szCs w:val="12"/>
                <w:lang w:val="fr-BE"/>
              </w:rPr>
              <w:t xml:space="preserve"> </w:t>
            </w:r>
          </w:p>
        </w:tc>
        <w:tc>
          <w:tcPr>
            <w:tcW w:w="0" w:type="auto"/>
            <w:shd w:val="clear" w:color="auto" w:fill="auto"/>
          </w:tcPr>
          <w:p w14:paraId="098ACC78" w14:textId="77777777" w:rsidR="008C5CFA" w:rsidRPr="00BA47B4" w:rsidRDefault="008C5CFA" w:rsidP="00300A01">
            <w:pPr>
              <w:spacing w:before="0" w:after="0"/>
              <w:jc w:val="center"/>
              <w:rPr>
                <w:sz w:val="12"/>
                <w:szCs w:val="12"/>
                <w:lang w:val="fr-BE"/>
              </w:rPr>
            </w:pPr>
          </w:p>
        </w:tc>
        <w:tc>
          <w:tcPr>
            <w:tcW w:w="0" w:type="auto"/>
            <w:shd w:val="clear" w:color="auto" w:fill="auto"/>
          </w:tcPr>
          <w:p w14:paraId="2CD2BABD" w14:textId="77777777" w:rsidR="008C5CFA" w:rsidRPr="00BA47B4" w:rsidRDefault="008C5CFA" w:rsidP="00300A01">
            <w:pPr>
              <w:spacing w:before="0" w:after="0"/>
              <w:jc w:val="right"/>
              <w:rPr>
                <w:sz w:val="12"/>
                <w:szCs w:val="12"/>
                <w:lang w:val="fr-BE"/>
              </w:rPr>
            </w:pPr>
          </w:p>
        </w:tc>
        <w:tc>
          <w:tcPr>
            <w:tcW w:w="0" w:type="auto"/>
            <w:shd w:val="clear" w:color="auto" w:fill="auto"/>
          </w:tcPr>
          <w:p w14:paraId="2B529F68" w14:textId="77777777" w:rsidR="008C5CFA" w:rsidRPr="00BA47B4" w:rsidRDefault="008C5CFA" w:rsidP="00300A01">
            <w:pPr>
              <w:spacing w:before="0" w:after="0"/>
              <w:jc w:val="right"/>
              <w:rPr>
                <w:sz w:val="12"/>
                <w:szCs w:val="12"/>
                <w:lang w:val="fr-BE"/>
              </w:rPr>
            </w:pPr>
          </w:p>
        </w:tc>
        <w:tc>
          <w:tcPr>
            <w:tcW w:w="0" w:type="auto"/>
            <w:shd w:val="clear" w:color="auto" w:fill="auto"/>
          </w:tcPr>
          <w:p w14:paraId="1BBA1BD8" w14:textId="77777777" w:rsidR="008C5CFA" w:rsidRPr="00BA47B4" w:rsidRDefault="008C5CFA" w:rsidP="00300A01">
            <w:pPr>
              <w:spacing w:before="0" w:after="0"/>
              <w:jc w:val="right"/>
              <w:rPr>
                <w:sz w:val="12"/>
                <w:szCs w:val="12"/>
                <w:lang w:val="fr-BE"/>
              </w:rPr>
            </w:pPr>
          </w:p>
        </w:tc>
        <w:tc>
          <w:tcPr>
            <w:tcW w:w="0" w:type="auto"/>
            <w:shd w:val="clear" w:color="auto" w:fill="auto"/>
          </w:tcPr>
          <w:p w14:paraId="4DCAF6C0" w14:textId="77777777" w:rsidR="008C5CFA" w:rsidRPr="00BA47B4" w:rsidRDefault="00E82A60" w:rsidP="00300A01">
            <w:pPr>
              <w:spacing w:before="0" w:after="0"/>
              <w:jc w:val="right"/>
              <w:rPr>
                <w:sz w:val="12"/>
                <w:szCs w:val="12"/>
                <w:lang w:val="fr-BE"/>
              </w:rPr>
            </w:pPr>
            <w:r w:rsidRPr="00BA47B4">
              <w:rPr>
                <w:noProof/>
                <w:sz w:val="12"/>
                <w:szCs w:val="12"/>
                <w:lang w:val="fr-BE"/>
              </w:rPr>
              <w:t>3 335,00</w:t>
            </w:r>
          </w:p>
        </w:tc>
        <w:tc>
          <w:tcPr>
            <w:tcW w:w="0" w:type="auto"/>
            <w:shd w:val="clear" w:color="auto" w:fill="auto"/>
          </w:tcPr>
          <w:p w14:paraId="7E68EFF3" w14:textId="77777777" w:rsidR="008C5CFA" w:rsidRPr="00BA47B4" w:rsidRDefault="00E82A60" w:rsidP="00300A01">
            <w:pPr>
              <w:spacing w:before="0" w:after="0"/>
              <w:jc w:val="right"/>
              <w:rPr>
                <w:sz w:val="12"/>
                <w:szCs w:val="12"/>
                <w:lang w:val="fr-BE"/>
              </w:rPr>
            </w:pPr>
            <w:r w:rsidRPr="00BA47B4">
              <w:rPr>
                <w:noProof/>
                <w:sz w:val="12"/>
                <w:szCs w:val="12"/>
                <w:lang w:val="fr-BE"/>
              </w:rPr>
              <w:t>971,00</w:t>
            </w:r>
          </w:p>
        </w:tc>
        <w:tc>
          <w:tcPr>
            <w:tcW w:w="0" w:type="auto"/>
            <w:shd w:val="clear" w:color="auto" w:fill="auto"/>
          </w:tcPr>
          <w:p w14:paraId="1ACA3311" w14:textId="77777777" w:rsidR="008C5CFA" w:rsidRPr="00BA47B4" w:rsidRDefault="00E82A60" w:rsidP="00300A01">
            <w:pPr>
              <w:spacing w:before="0" w:after="0"/>
              <w:jc w:val="right"/>
              <w:rPr>
                <w:sz w:val="12"/>
                <w:szCs w:val="12"/>
                <w:lang w:val="fr-BE"/>
              </w:rPr>
            </w:pPr>
            <w:r w:rsidRPr="00BA47B4">
              <w:rPr>
                <w:noProof/>
                <w:sz w:val="12"/>
                <w:szCs w:val="12"/>
                <w:lang w:val="fr-BE"/>
              </w:rPr>
              <w:t>2 364,00</w:t>
            </w:r>
          </w:p>
        </w:tc>
        <w:tc>
          <w:tcPr>
            <w:tcW w:w="0" w:type="auto"/>
            <w:shd w:val="clear" w:color="auto" w:fill="auto"/>
          </w:tcPr>
          <w:p w14:paraId="5A15DB55" w14:textId="77777777" w:rsidR="008C5CFA" w:rsidRPr="00BA47B4" w:rsidRDefault="008C5CFA" w:rsidP="00300A01">
            <w:pPr>
              <w:spacing w:before="0" w:after="0"/>
              <w:jc w:val="right"/>
              <w:rPr>
                <w:sz w:val="12"/>
                <w:szCs w:val="12"/>
                <w:lang w:val="fr-BE"/>
              </w:rPr>
            </w:pPr>
          </w:p>
        </w:tc>
        <w:tc>
          <w:tcPr>
            <w:tcW w:w="0" w:type="auto"/>
            <w:shd w:val="clear" w:color="auto" w:fill="auto"/>
          </w:tcPr>
          <w:p w14:paraId="138C22A6" w14:textId="77777777" w:rsidR="008C5CFA" w:rsidRPr="00BA47B4" w:rsidRDefault="008C5CFA" w:rsidP="00300A01">
            <w:pPr>
              <w:spacing w:before="0" w:after="0"/>
              <w:jc w:val="right"/>
              <w:rPr>
                <w:sz w:val="12"/>
                <w:szCs w:val="12"/>
                <w:lang w:val="fr-BE"/>
              </w:rPr>
            </w:pPr>
          </w:p>
        </w:tc>
        <w:tc>
          <w:tcPr>
            <w:tcW w:w="0" w:type="auto"/>
            <w:shd w:val="clear" w:color="auto" w:fill="auto"/>
          </w:tcPr>
          <w:p w14:paraId="0219FAD2" w14:textId="77777777" w:rsidR="008C5CFA" w:rsidRPr="00BA47B4" w:rsidRDefault="008C5CFA" w:rsidP="00300A01">
            <w:pPr>
              <w:spacing w:before="0" w:after="0"/>
              <w:jc w:val="right"/>
              <w:rPr>
                <w:sz w:val="12"/>
                <w:szCs w:val="12"/>
                <w:lang w:val="fr-BE"/>
              </w:rPr>
            </w:pPr>
          </w:p>
        </w:tc>
        <w:tc>
          <w:tcPr>
            <w:tcW w:w="0" w:type="auto"/>
            <w:shd w:val="clear" w:color="auto" w:fill="auto"/>
          </w:tcPr>
          <w:p w14:paraId="39B80CD3" w14:textId="77777777" w:rsidR="008C5CFA" w:rsidRPr="00BA47B4" w:rsidRDefault="00E82A60" w:rsidP="00300A01">
            <w:pPr>
              <w:spacing w:before="0" w:after="0"/>
              <w:jc w:val="right"/>
              <w:rPr>
                <w:sz w:val="12"/>
                <w:szCs w:val="12"/>
                <w:lang w:val="fr-BE"/>
              </w:rPr>
            </w:pPr>
            <w:r w:rsidRPr="00BA47B4">
              <w:rPr>
                <w:noProof/>
                <w:sz w:val="12"/>
                <w:szCs w:val="12"/>
                <w:lang w:val="fr-BE"/>
              </w:rPr>
              <w:t>816,00</w:t>
            </w:r>
          </w:p>
        </w:tc>
        <w:tc>
          <w:tcPr>
            <w:tcW w:w="0" w:type="auto"/>
            <w:shd w:val="clear" w:color="auto" w:fill="auto"/>
          </w:tcPr>
          <w:p w14:paraId="64D0DFE2" w14:textId="77777777" w:rsidR="008C5CFA" w:rsidRPr="00BA47B4" w:rsidRDefault="00E82A60" w:rsidP="00300A01">
            <w:pPr>
              <w:spacing w:before="0" w:after="0"/>
              <w:jc w:val="right"/>
              <w:rPr>
                <w:sz w:val="12"/>
                <w:szCs w:val="12"/>
                <w:lang w:val="fr-BE"/>
              </w:rPr>
            </w:pPr>
            <w:r w:rsidRPr="00BA47B4">
              <w:rPr>
                <w:noProof/>
                <w:sz w:val="12"/>
                <w:szCs w:val="12"/>
                <w:lang w:val="fr-BE"/>
              </w:rPr>
              <w:t>1 918,00</w:t>
            </w:r>
          </w:p>
        </w:tc>
      </w:tr>
      <w:tr w:rsidR="006B2EC1" w14:paraId="1FFB9EFD" w14:textId="77777777" w:rsidTr="0047688D">
        <w:tc>
          <w:tcPr>
            <w:tcW w:w="0" w:type="auto"/>
            <w:shd w:val="clear" w:color="auto" w:fill="auto"/>
          </w:tcPr>
          <w:p w14:paraId="27EFC17C" w14:textId="77777777" w:rsidR="008C5CFA" w:rsidRPr="00BA47B4" w:rsidRDefault="00E82A60" w:rsidP="00300A01">
            <w:pPr>
              <w:spacing w:before="0" w:after="0"/>
              <w:rPr>
                <w:sz w:val="12"/>
                <w:szCs w:val="12"/>
                <w:lang w:val="fr-BE"/>
              </w:rPr>
            </w:pPr>
            <w:r w:rsidRPr="00BA47B4">
              <w:rPr>
                <w:noProof/>
                <w:sz w:val="12"/>
                <w:szCs w:val="12"/>
                <w:lang w:val="fr-BE"/>
              </w:rPr>
              <w:t>CR06</w:t>
            </w:r>
          </w:p>
        </w:tc>
        <w:tc>
          <w:tcPr>
            <w:tcW w:w="0" w:type="auto"/>
            <w:shd w:val="clear" w:color="auto" w:fill="auto"/>
          </w:tcPr>
          <w:p w14:paraId="33DE6D51" w14:textId="77777777" w:rsidR="008C5CFA" w:rsidRPr="00BA47B4" w:rsidRDefault="00E82A60" w:rsidP="00300A01">
            <w:pPr>
              <w:spacing w:before="0" w:after="0"/>
              <w:rPr>
                <w:sz w:val="12"/>
                <w:szCs w:val="12"/>
                <w:lang w:val="fr-BE"/>
              </w:rPr>
            </w:pPr>
            <w:r w:rsidRPr="00BA47B4">
              <w:rPr>
                <w:noProof/>
                <w:sz w:val="12"/>
                <w:szCs w:val="12"/>
                <w:lang w:val="fr-BE"/>
              </w:rPr>
              <w:t>uczestnicy pracujący, łącznie z prowadzącymi działalność na własny rachunek, sześć miesięcy po opuszczeniu programu</w:t>
            </w:r>
          </w:p>
        </w:tc>
        <w:tc>
          <w:tcPr>
            <w:tcW w:w="0" w:type="auto"/>
            <w:shd w:val="clear" w:color="auto" w:fill="auto"/>
          </w:tcPr>
          <w:p w14:paraId="771489E6" w14:textId="77777777" w:rsidR="008C5CFA" w:rsidRPr="00BA47B4" w:rsidRDefault="00E82A60" w:rsidP="00300A01">
            <w:pPr>
              <w:spacing w:before="0" w:after="0"/>
              <w:rPr>
                <w:sz w:val="12"/>
                <w:szCs w:val="12"/>
                <w:lang w:val="fr-BE"/>
              </w:rPr>
            </w:pPr>
            <w:r w:rsidRPr="00BA47B4">
              <w:rPr>
                <w:noProof/>
                <w:sz w:val="12"/>
                <w:szCs w:val="12"/>
                <w:lang w:val="fr-BE"/>
              </w:rPr>
              <w:t>Słabiej rozwinięte</w:t>
            </w:r>
          </w:p>
        </w:tc>
        <w:tc>
          <w:tcPr>
            <w:tcW w:w="0" w:type="auto"/>
            <w:shd w:val="clear" w:color="auto" w:fill="auto"/>
          </w:tcPr>
          <w:p w14:paraId="69FB35B6" w14:textId="77777777" w:rsidR="008C5CFA" w:rsidRPr="00BA47B4" w:rsidRDefault="00E82A60" w:rsidP="00300A01">
            <w:pPr>
              <w:spacing w:before="0" w:after="0"/>
              <w:rPr>
                <w:sz w:val="12"/>
                <w:szCs w:val="12"/>
                <w:lang w:val="fr-BE"/>
              </w:rPr>
            </w:pPr>
            <w:r w:rsidRPr="00BA47B4">
              <w:rPr>
                <w:sz w:val="12"/>
                <w:szCs w:val="12"/>
                <w:lang w:val="fr-BE"/>
              </w:rPr>
              <w:t xml:space="preserve"> </w:t>
            </w:r>
          </w:p>
        </w:tc>
        <w:tc>
          <w:tcPr>
            <w:tcW w:w="0" w:type="auto"/>
            <w:shd w:val="clear" w:color="auto" w:fill="auto"/>
          </w:tcPr>
          <w:p w14:paraId="65487C61" w14:textId="77777777" w:rsidR="008C5CFA" w:rsidRPr="00BA47B4" w:rsidRDefault="008C5CFA" w:rsidP="00300A01">
            <w:pPr>
              <w:spacing w:before="0" w:after="0"/>
              <w:jc w:val="center"/>
              <w:rPr>
                <w:sz w:val="12"/>
                <w:szCs w:val="12"/>
                <w:lang w:val="fr-BE"/>
              </w:rPr>
            </w:pPr>
          </w:p>
        </w:tc>
        <w:tc>
          <w:tcPr>
            <w:tcW w:w="0" w:type="auto"/>
            <w:shd w:val="clear" w:color="auto" w:fill="auto"/>
          </w:tcPr>
          <w:p w14:paraId="28D87958" w14:textId="77777777" w:rsidR="008C5CFA" w:rsidRPr="00BA47B4" w:rsidRDefault="008C5CFA" w:rsidP="00300A01">
            <w:pPr>
              <w:spacing w:before="0" w:after="0"/>
              <w:jc w:val="right"/>
              <w:rPr>
                <w:sz w:val="12"/>
                <w:szCs w:val="12"/>
                <w:lang w:val="fr-BE"/>
              </w:rPr>
            </w:pPr>
          </w:p>
        </w:tc>
        <w:tc>
          <w:tcPr>
            <w:tcW w:w="0" w:type="auto"/>
            <w:shd w:val="clear" w:color="auto" w:fill="auto"/>
          </w:tcPr>
          <w:p w14:paraId="13B3F239" w14:textId="77777777" w:rsidR="008C5CFA" w:rsidRPr="00BA47B4" w:rsidRDefault="008C5CFA" w:rsidP="00300A01">
            <w:pPr>
              <w:spacing w:before="0" w:after="0"/>
              <w:jc w:val="right"/>
              <w:rPr>
                <w:sz w:val="12"/>
                <w:szCs w:val="12"/>
                <w:lang w:val="fr-BE"/>
              </w:rPr>
            </w:pPr>
          </w:p>
        </w:tc>
        <w:tc>
          <w:tcPr>
            <w:tcW w:w="0" w:type="auto"/>
            <w:shd w:val="clear" w:color="auto" w:fill="auto"/>
          </w:tcPr>
          <w:p w14:paraId="79603298" w14:textId="77777777" w:rsidR="008C5CFA" w:rsidRPr="00BA47B4" w:rsidRDefault="008C5CFA" w:rsidP="00300A01">
            <w:pPr>
              <w:spacing w:before="0" w:after="0"/>
              <w:jc w:val="right"/>
              <w:rPr>
                <w:sz w:val="12"/>
                <w:szCs w:val="12"/>
                <w:lang w:val="fr-BE"/>
              </w:rPr>
            </w:pPr>
          </w:p>
        </w:tc>
        <w:tc>
          <w:tcPr>
            <w:tcW w:w="0" w:type="auto"/>
            <w:shd w:val="clear" w:color="auto" w:fill="auto"/>
          </w:tcPr>
          <w:p w14:paraId="7A81F2C4" w14:textId="77777777" w:rsidR="008C5CFA" w:rsidRPr="00BA47B4" w:rsidRDefault="00E82A60" w:rsidP="00300A01">
            <w:pPr>
              <w:spacing w:before="0" w:after="0"/>
              <w:jc w:val="right"/>
              <w:rPr>
                <w:sz w:val="12"/>
                <w:szCs w:val="12"/>
                <w:lang w:val="fr-BE"/>
              </w:rPr>
            </w:pPr>
            <w:r w:rsidRPr="00BA47B4">
              <w:rPr>
                <w:noProof/>
                <w:sz w:val="12"/>
                <w:szCs w:val="12"/>
                <w:lang w:val="fr-BE"/>
              </w:rPr>
              <w:t>140,00</w:t>
            </w:r>
          </w:p>
        </w:tc>
        <w:tc>
          <w:tcPr>
            <w:tcW w:w="0" w:type="auto"/>
            <w:shd w:val="clear" w:color="auto" w:fill="auto"/>
          </w:tcPr>
          <w:p w14:paraId="664B4BA7" w14:textId="77777777" w:rsidR="008C5CFA" w:rsidRPr="00BA47B4" w:rsidRDefault="00E82A60" w:rsidP="00300A01">
            <w:pPr>
              <w:spacing w:before="0" w:after="0"/>
              <w:jc w:val="right"/>
              <w:rPr>
                <w:sz w:val="12"/>
                <w:szCs w:val="12"/>
                <w:lang w:val="fr-BE"/>
              </w:rPr>
            </w:pPr>
            <w:r w:rsidRPr="00BA47B4">
              <w:rPr>
                <w:noProof/>
                <w:sz w:val="12"/>
                <w:szCs w:val="12"/>
                <w:lang w:val="fr-BE"/>
              </w:rPr>
              <w:t>37,00</w:t>
            </w:r>
          </w:p>
        </w:tc>
        <w:tc>
          <w:tcPr>
            <w:tcW w:w="0" w:type="auto"/>
            <w:shd w:val="clear" w:color="auto" w:fill="auto"/>
          </w:tcPr>
          <w:p w14:paraId="71A228A5" w14:textId="77777777" w:rsidR="008C5CFA" w:rsidRPr="00BA47B4" w:rsidRDefault="00E82A60" w:rsidP="00300A01">
            <w:pPr>
              <w:spacing w:before="0" w:after="0"/>
              <w:jc w:val="right"/>
              <w:rPr>
                <w:sz w:val="12"/>
                <w:szCs w:val="12"/>
                <w:lang w:val="fr-BE"/>
              </w:rPr>
            </w:pPr>
            <w:r w:rsidRPr="00BA47B4">
              <w:rPr>
                <w:noProof/>
                <w:sz w:val="12"/>
                <w:szCs w:val="12"/>
                <w:lang w:val="fr-BE"/>
              </w:rPr>
              <w:t>103,00</w:t>
            </w:r>
          </w:p>
        </w:tc>
        <w:tc>
          <w:tcPr>
            <w:tcW w:w="0" w:type="auto"/>
            <w:shd w:val="clear" w:color="auto" w:fill="auto"/>
          </w:tcPr>
          <w:p w14:paraId="74FE401E" w14:textId="77777777" w:rsidR="008C5CFA" w:rsidRPr="00BA47B4" w:rsidRDefault="008C5CFA" w:rsidP="00300A01">
            <w:pPr>
              <w:spacing w:before="0" w:after="0"/>
              <w:jc w:val="right"/>
              <w:rPr>
                <w:sz w:val="12"/>
                <w:szCs w:val="12"/>
                <w:lang w:val="fr-BE"/>
              </w:rPr>
            </w:pPr>
          </w:p>
        </w:tc>
        <w:tc>
          <w:tcPr>
            <w:tcW w:w="0" w:type="auto"/>
            <w:shd w:val="clear" w:color="auto" w:fill="auto"/>
          </w:tcPr>
          <w:p w14:paraId="58EEBA9B" w14:textId="77777777" w:rsidR="008C5CFA" w:rsidRPr="00BA47B4" w:rsidRDefault="008C5CFA" w:rsidP="00300A01">
            <w:pPr>
              <w:spacing w:before="0" w:after="0"/>
              <w:jc w:val="right"/>
              <w:rPr>
                <w:sz w:val="12"/>
                <w:szCs w:val="12"/>
                <w:lang w:val="fr-BE"/>
              </w:rPr>
            </w:pPr>
          </w:p>
        </w:tc>
        <w:tc>
          <w:tcPr>
            <w:tcW w:w="0" w:type="auto"/>
            <w:shd w:val="clear" w:color="auto" w:fill="auto"/>
          </w:tcPr>
          <w:p w14:paraId="5979A1F3" w14:textId="77777777" w:rsidR="008C5CFA" w:rsidRPr="00BA47B4" w:rsidRDefault="008C5CFA" w:rsidP="00300A01">
            <w:pPr>
              <w:spacing w:before="0" w:after="0"/>
              <w:jc w:val="right"/>
              <w:rPr>
                <w:sz w:val="12"/>
                <w:szCs w:val="12"/>
                <w:lang w:val="fr-BE"/>
              </w:rPr>
            </w:pPr>
          </w:p>
        </w:tc>
        <w:tc>
          <w:tcPr>
            <w:tcW w:w="0" w:type="auto"/>
            <w:shd w:val="clear" w:color="auto" w:fill="auto"/>
          </w:tcPr>
          <w:p w14:paraId="2A46D8B8"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7AF4E4D4"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r>
      <w:tr w:rsidR="006B2EC1" w14:paraId="598AFB75" w14:textId="77777777" w:rsidTr="0047688D">
        <w:tc>
          <w:tcPr>
            <w:tcW w:w="0" w:type="auto"/>
            <w:shd w:val="clear" w:color="auto" w:fill="auto"/>
          </w:tcPr>
          <w:p w14:paraId="130F2110" w14:textId="77777777" w:rsidR="008C5CFA" w:rsidRPr="00BA47B4" w:rsidRDefault="00E82A60" w:rsidP="00300A01">
            <w:pPr>
              <w:spacing w:before="0" w:after="0"/>
              <w:rPr>
                <w:sz w:val="12"/>
                <w:szCs w:val="12"/>
                <w:lang w:val="fr-BE"/>
              </w:rPr>
            </w:pPr>
            <w:r w:rsidRPr="00BA47B4">
              <w:rPr>
                <w:noProof/>
                <w:sz w:val="12"/>
                <w:szCs w:val="12"/>
                <w:lang w:val="fr-BE"/>
              </w:rPr>
              <w:t>CR07</w:t>
            </w:r>
          </w:p>
        </w:tc>
        <w:tc>
          <w:tcPr>
            <w:tcW w:w="0" w:type="auto"/>
            <w:shd w:val="clear" w:color="auto" w:fill="auto"/>
          </w:tcPr>
          <w:p w14:paraId="46740B6C" w14:textId="77777777" w:rsidR="008C5CFA" w:rsidRPr="00BA47B4" w:rsidRDefault="00E82A60" w:rsidP="00300A01">
            <w:pPr>
              <w:spacing w:before="0" w:after="0"/>
              <w:rPr>
                <w:sz w:val="12"/>
                <w:szCs w:val="12"/>
                <w:lang w:val="fr-BE"/>
              </w:rPr>
            </w:pPr>
            <w:r w:rsidRPr="00BA47B4">
              <w:rPr>
                <w:noProof/>
                <w:sz w:val="12"/>
                <w:szCs w:val="12"/>
                <w:lang w:val="fr-BE"/>
              </w:rPr>
              <w:t>uczestnicy znajdujący się w lepszej sytuacji na rynku pracy sześć miesięcy po opuszczeniu programu</w:t>
            </w:r>
          </w:p>
        </w:tc>
        <w:tc>
          <w:tcPr>
            <w:tcW w:w="0" w:type="auto"/>
            <w:shd w:val="clear" w:color="auto" w:fill="auto"/>
          </w:tcPr>
          <w:p w14:paraId="6CE7194E" w14:textId="77777777" w:rsidR="008C5CFA" w:rsidRPr="00BA47B4" w:rsidRDefault="00E82A60" w:rsidP="00300A01">
            <w:pPr>
              <w:spacing w:before="0" w:after="0"/>
              <w:rPr>
                <w:sz w:val="12"/>
                <w:szCs w:val="12"/>
                <w:lang w:val="fr-BE"/>
              </w:rPr>
            </w:pPr>
            <w:r w:rsidRPr="00BA47B4">
              <w:rPr>
                <w:noProof/>
                <w:sz w:val="12"/>
                <w:szCs w:val="12"/>
                <w:lang w:val="fr-BE"/>
              </w:rPr>
              <w:t>Słabiej rozwinięte</w:t>
            </w:r>
          </w:p>
        </w:tc>
        <w:tc>
          <w:tcPr>
            <w:tcW w:w="0" w:type="auto"/>
            <w:shd w:val="clear" w:color="auto" w:fill="auto"/>
          </w:tcPr>
          <w:p w14:paraId="78C2B4D3" w14:textId="77777777" w:rsidR="008C5CFA" w:rsidRPr="00BA47B4" w:rsidRDefault="00E82A60" w:rsidP="00300A01">
            <w:pPr>
              <w:spacing w:before="0" w:after="0"/>
              <w:rPr>
                <w:sz w:val="12"/>
                <w:szCs w:val="12"/>
                <w:lang w:val="fr-BE"/>
              </w:rPr>
            </w:pPr>
            <w:r w:rsidRPr="00BA47B4">
              <w:rPr>
                <w:sz w:val="12"/>
                <w:szCs w:val="12"/>
                <w:lang w:val="fr-BE"/>
              </w:rPr>
              <w:t xml:space="preserve"> </w:t>
            </w:r>
          </w:p>
        </w:tc>
        <w:tc>
          <w:tcPr>
            <w:tcW w:w="0" w:type="auto"/>
            <w:shd w:val="clear" w:color="auto" w:fill="auto"/>
          </w:tcPr>
          <w:p w14:paraId="60A00DA5" w14:textId="77777777" w:rsidR="008C5CFA" w:rsidRPr="00BA47B4" w:rsidRDefault="008C5CFA" w:rsidP="00300A01">
            <w:pPr>
              <w:spacing w:before="0" w:after="0"/>
              <w:jc w:val="center"/>
              <w:rPr>
                <w:sz w:val="12"/>
                <w:szCs w:val="12"/>
                <w:lang w:val="fr-BE"/>
              </w:rPr>
            </w:pPr>
          </w:p>
        </w:tc>
        <w:tc>
          <w:tcPr>
            <w:tcW w:w="0" w:type="auto"/>
            <w:shd w:val="clear" w:color="auto" w:fill="auto"/>
          </w:tcPr>
          <w:p w14:paraId="77384AAE" w14:textId="77777777" w:rsidR="008C5CFA" w:rsidRPr="00BA47B4" w:rsidRDefault="008C5CFA" w:rsidP="00300A01">
            <w:pPr>
              <w:spacing w:before="0" w:after="0"/>
              <w:jc w:val="right"/>
              <w:rPr>
                <w:sz w:val="12"/>
                <w:szCs w:val="12"/>
                <w:lang w:val="fr-BE"/>
              </w:rPr>
            </w:pPr>
          </w:p>
        </w:tc>
        <w:tc>
          <w:tcPr>
            <w:tcW w:w="0" w:type="auto"/>
            <w:shd w:val="clear" w:color="auto" w:fill="auto"/>
          </w:tcPr>
          <w:p w14:paraId="4595E9F3" w14:textId="77777777" w:rsidR="008C5CFA" w:rsidRPr="00BA47B4" w:rsidRDefault="008C5CFA" w:rsidP="00300A01">
            <w:pPr>
              <w:spacing w:before="0" w:after="0"/>
              <w:jc w:val="right"/>
              <w:rPr>
                <w:sz w:val="12"/>
                <w:szCs w:val="12"/>
                <w:lang w:val="fr-BE"/>
              </w:rPr>
            </w:pPr>
          </w:p>
        </w:tc>
        <w:tc>
          <w:tcPr>
            <w:tcW w:w="0" w:type="auto"/>
            <w:shd w:val="clear" w:color="auto" w:fill="auto"/>
          </w:tcPr>
          <w:p w14:paraId="233CE91E" w14:textId="77777777" w:rsidR="008C5CFA" w:rsidRPr="00BA47B4" w:rsidRDefault="008C5CFA" w:rsidP="00300A01">
            <w:pPr>
              <w:spacing w:before="0" w:after="0"/>
              <w:jc w:val="right"/>
              <w:rPr>
                <w:sz w:val="12"/>
                <w:szCs w:val="12"/>
                <w:lang w:val="fr-BE"/>
              </w:rPr>
            </w:pPr>
          </w:p>
        </w:tc>
        <w:tc>
          <w:tcPr>
            <w:tcW w:w="0" w:type="auto"/>
            <w:shd w:val="clear" w:color="auto" w:fill="auto"/>
          </w:tcPr>
          <w:p w14:paraId="72C7F591" w14:textId="77777777" w:rsidR="008C5CFA" w:rsidRPr="00BA47B4" w:rsidRDefault="00E82A60" w:rsidP="00300A01">
            <w:pPr>
              <w:spacing w:before="0" w:after="0"/>
              <w:jc w:val="right"/>
              <w:rPr>
                <w:sz w:val="12"/>
                <w:szCs w:val="12"/>
                <w:lang w:val="fr-BE"/>
              </w:rPr>
            </w:pPr>
            <w:r w:rsidRPr="00BA47B4">
              <w:rPr>
                <w:noProof/>
                <w:sz w:val="12"/>
                <w:szCs w:val="12"/>
                <w:lang w:val="fr-BE"/>
              </w:rPr>
              <w:t>32,00</w:t>
            </w:r>
          </w:p>
        </w:tc>
        <w:tc>
          <w:tcPr>
            <w:tcW w:w="0" w:type="auto"/>
            <w:shd w:val="clear" w:color="auto" w:fill="auto"/>
          </w:tcPr>
          <w:p w14:paraId="7C24BB6D" w14:textId="77777777" w:rsidR="008C5CFA" w:rsidRPr="00BA47B4" w:rsidRDefault="00E82A60" w:rsidP="00300A01">
            <w:pPr>
              <w:spacing w:before="0" w:after="0"/>
              <w:jc w:val="right"/>
              <w:rPr>
                <w:sz w:val="12"/>
                <w:szCs w:val="12"/>
                <w:lang w:val="fr-BE"/>
              </w:rPr>
            </w:pPr>
            <w:r w:rsidRPr="00BA47B4">
              <w:rPr>
                <w:noProof/>
                <w:sz w:val="12"/>
                <w:szCs w:val="12"/>
                <w:lang w:val="fr-BE"/>
              </w:rPr>
              <w:t>9,00</w:t>
            </w:r>
          </w:p>
        </w:tc>
        <w:tc>
          <w:tcPr>
            <w:tcW w:w="0" w:type="auto"/>
            <w:shd w:val="clear" w:color="auto" w:fill="auto"/>
          </w:tcPr>
          <w:p w14:paraId="28373943" w14:textId="77777777" w:rsidR="008C5CFA" w:rsidRPr="00BA47B4" w:rsidRDefault="00E82A60" w:rsidP="00300A01">
            <w:pPr>
              <w:spacing w:before="0" w:after="0"/>
              <w:jc w:val="right"/>
              <w:rPr>
                <w:sz w:val="12"/>
                <w:szCs w:val="12"/>
                <w:lang w:val="fr-BE"/>
              </w:rPr>
            </w:pPr>
            <w:r w:rsidRPr="00BA47B4">
              <w:rPr>
                <w:noProof/>
                <w:sz w:val="12"/>
                <w:szCs w:val="12"/>
                <w:lang w:val="fr-BE"/>
              </w:rPr>
              <w:t>23,00</w:t>
            </w:r>
          </w:p>
        </w:tc>
        <w:tc>
          <w:tcPr>
            <w:tcW w:w="0" w:type="auto"/>
            <w:shd w:val="clear" w:color="auto" w:fill="auto"/>
          </w:tcPr>
          <w:p w14:paraId="699C9222" w14:textId="77777777" w:rsidR="008C5CFA" w:rsidRPr="00BA47B4" w:rsidRDefault="008C5CFA" w:rsidP="00300A01">
            <w:pPr>
              <w:spacing w:before="0" w:after="0"/>
              <w:jc w:val="right"/>
              <w:rPr>
                <w:sz w:val="12"/>
                <w:szCs w:val="12"/>
                <w:lang w:val="fr-BE"/>
              </w:rPr>
            </w:pPr>
          </w:p>
        </w:tc>
        <w:tc>
          <w:tcPr>
            <w:tcW w:w="0" w:type="auto"/>
            <w:shd w:val="clear" w:color="auto" w:fill="auto"/>
          </w:tcPr>
          <w:p w14:paraId="369F178A" w14:textId="77777777" w:rsidR="008C5CFA" w:rsidRPr="00BA47B4" w:rsidRDefault="008C5CFA" w:rsidP="00300A01">
            <w:pPr>
              <w:spacing w:before="0" w:after="0"/>
              <w:jc w:val="right"/>
              <w:rPr>
                <w:sz w:val="12"/>
                <w:szCs w:val="12"/>
                <w:lang w:val="fr-BE"/>
              </w:rPr>
            </w:pPr>
          </w:p>
        </w:tc>
        <w:tc>
          <w:tcPr>
            <w:tcW w:w="0" w:type="auto"/>
            <w:shd w:val="clear" w:color="auto" w:fill="auto"/>
          </w:tcPr>
          <w:p w14:paraId="1056E646" w14:textId="77777777" w:rsidR="008C5CFA" w:rsidRPr="00BA47B4" w:rsidRDefault="008C5CFA" w:rsidP="00300A01">
            <w:pPr>
              <w:spacing w:before="0" w:after="0"/>
              <w:jc w:val="right"/>
              <w:rPr>
                <w:sz w:val="12"/>
                <w:szCs w:val="12"/>
                <w:lang w:val="fr-BE"/>
              </w:rPr>
            </w:pPr>
          </w:p>
        </w:tc>
        <w:tc>
          <w:tcPr>
            <w:tcW w:w="0" w:type="auto"/>
            <w:shd w:val="clear" w:color="auto" w:fill="auto"/>
          </w:tcPr>
          <w:p w14:paraId="70CCB670"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787FCA90"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r>
      <w:tr w:rsidR="006B2EC1" w14:paraId="67EA5E89" w14:textId="77777777" w:rsidTr="0047688D">
        <w:tc>
          <w:tcPr>
            <w:tcW w:w="0" w:type="auto"/>
            <w:shd w:val="clear" w:color="auto" w:fill="auto"/>
          </w:tcPr>
          <w:p w14:paraId="43DDAF2A" w14:textId="77777777" w:rsidR="008C5CFA" w:rsidRPr="00BA47B4" w:rsidRDefault="00E82A60" w:rsidP="00300A01">
            <w:pPr>
              <w:spacing w:before="0" w:after="0"/>
              <w:rPr>
                <w:sz w:val="12"/>
                <w:szCs w:val="12"/>
                <w:lang w:val="fr-BE"/>
              </w:rPr>
            </w:pPr>
            <w:r w:rsidRPr="00BA47B4">
              <w:rPr>
                <w:noProof/>
                <w:sz w:val="12"/>
                <w:szCs w:val="12"/>
                <w:lang w:val="fr-BE"/>
              </w:rPr>
              <w:t>CR08</w:t>
            </w:r>
          </w:p>
        </w:tc>
        <w:tc>
          <w:tcPr>
            <w:tcW w:w="0" w:type="auto"/>
            <w:shd w:val="clear" w:color="auto" w:fill="auto"/>
          </w:tcPr>
          <w:p w14:paraId="2A95BB2C" w14:textId="77777777" w:rsidR="008C5CFA" w:rsidRPr="00BA47B4" w:rsidRDefault="00E82A60" w:rsidP="00300A01">
            <w:pPr>
              <w:spacing w:before="0" w:after="0"/>
              <w:rPr>
                <w:sz w:val="12"/>
                <w:szCs w:val="12"/>
                <w:lang w:val="fr-BE"/>
              </w:rPr>
            </w:pPr>
            <w:r w:rsidRPr="00BA47B4">
              <w:rPr>
                <w:noProof/>
                <w:sz w:val="12"/>
                <w:szCs w:val="12"/>
                <w:lang w:val="fr-BE"/>
              </w:rPr>
              <w:t>uczestnicy powyżej 54 roku życia, pracujący, łącznie z prowadzącymi działalność na własny rachunek, sześć miesięcy po opuszczeniu programu</w:t>
            </w:r>
          </w:p>
        </w:tc>
        <w:tc>
          <w:tcPr>
            <w:tcW w:w="0" w:type="auto"/>
            <w:shd w:val="clear" w:color="auto" w:fill="auto"/>
          </w:tcPr>
          <w:p w14:paraId="4D3A4373" w14:textId="77777777" w:rsidR="008C5CFA" w:rsidRPr="00BA47B4" w:rsidRDefault="00E82A60" w:rsidP="00300A01">
            <w:pPr>
              <w:spacing w:before="0" w:after="0"/>
              <w:rPr>
                <w:sz w:val="12"/>
                <w:szCs w:val="12"/>
                <w:lang w:val="fr-BE"/>
              </w:rPr>
            </w:pPr>
            <w:r w:rsidRPr="00BA47B4">
              <w:rPr>
                <w:noProof/>
                <w:sz w:val="12"/>
                <w:szCs w:val="12"/>
                <w:lang w:val="fr-BE"/>
              </w:rPr>
              <w:t>Słabiej rozwinięte</w:t>
            </w:r>
          </w:p>
        </w:tc>
        <w:tc>
          <w:tcPr>
            <w:tcW w:w="0" w:type="auto"/>
            <w:shd w:val="clear" w:color="auto" w:fill="auto"/>
          </w:tcPr>
          <w:p w14:paraId="4F3A8305" w14:textId="77777777" w:rsidR="008C5CFA" w:rsidRPr="00BA47B4" w:rsidRDefault="00E82A60" w:rsidP="00300A01">
            <w:pPr>
              <w:spacing w:before="0" w:after="0"/>
              <w:rPr>
                <w:sz w:val="12"/>
                <w:szCs w:val="12"/>
                <w:lang w:val="fr-BE"/>
              </w:rPr>
            </w:pPr>
            <w:r w:rsidRPr="00BA47B4">
              <w:rPr>
                <w:sz w:val="12"/>
                <w:szCs w:val="12"/>
                <w:lang w:val="fr-BE"/>
              </w:rPr>
              <w:t xml:space="preserve"> </w:t>
            </w:r>
          </w:p>
        </w:tc>
        <w:tc>
          <w:tcPr>
            <w:tcW w:w="0" w:type="auto"/>
            <w:shd w:val="clear" w:color="auto" w:fill="auto"/>
          </w:tcPr>
          <w:p w14:paraId="12C13468" w14:textId="77777777" w:rsidR="008C5CFA" w:rsidRPr="00BA47B4" w:rsidRDefault="008C5CFA" w:rsidP="00300A01">
            <w:pPr>
              <w:spacing w:before="0" w:after="0"/>
              <w:jc w:val="center"/>
              <w:rPr>
                <w:sz w:val="12"/>
                <w:szCs w:val="12"/>
                <w:lang w:val="fr-BE"/>
              </w:rPr>
            </w:pPr>
          </w:p>
        </w:tc>
        <w:tc>
          <w:tcPr>
            <w:tcW w:w="0" w:type="auto"/>
            <w:shd w:val="clear" w:color="auto" w:fill="auto"/>
          </w:tcPr>
          <w:p w14:paraId="1904283D" w14:textId="77777777" w:rsidR="008C5CFA" w:rsidRPr="00BA47B4" w:rsidRDefault="008C5CFA" w:rsidP="00300A01">
            <w:pPr>
              <w:spacing w:before="0" w:after="0"/>
              <w:jc w:val="right"/>
              <w:rPr>
                <w:sz w:val="12"/>
                <w:szCs w:val="12"/>
                <w:lang w:val="fr-BE"/>
              </w:rPr>
            </w:pPr>
          </w:p>
        </w:tc>
        <w:tc>
          <w:tcPr>
            <w:tcW w:w="0" w:type="auto"/>
            <w:shd w:val="clear" w:color="auto" w:fill="auto"/>
          </w:tcPr>
          <w:p w14:paraId="4F887750" w14:textId="77777777" w:rsidR="008C5CFA" w:rsidRPr="00BA47B4" w:rsidRDefault="008C5CFA" w:rsidP="00300A01">
            <w:pPr>
              <w:spacing w:before="0" w:after="0"/>
              <w:jc w:val="right"/>
              <w:rPr>
                <w:sz w:val="12"/>
                <w:szCs w:val="12"/>
                <w:lang w:val="fr-BE"/>
              </w:rPr>
            </w:pPr>
          </w:p>
        </w:tc>
        <w:tc>
          <w:tcPr>
            <w:tcW w:w="0" w:type="auto"/>
            <w:shd w:val="clear" w:color="auto" w:fill="auto"/>
          </w:tcPr>
          <w:p w14:paraId="41561905" w14:textId="77777777" w:rsidR="008C5CFA" w:rsidRPr="00BA47B4" w:rsidRDefault="008C5CFA" w:rsidP="00300A01">
            <w:pPr>
              <w:spacing w:before="0" w:after="0"/>
              <w:jc w:val="right"/>
              <w:rPr>
                <w:sz w:val="12"/>
                <w:szCs w:val="12"/>
                <w:lang w:val="fr-BE"/>
              </w:rPr>
            </w:pPr>
          </w:p>
        </w:tc>
        <w:tc>
          <w:tcPr>
            <w:tcW w:w="0" w:type="auto"/>
            <w:shd w:val="clear" w:color="auto" w:fill="auto"/>
          </w:tcPr>
          <w:p w14:paraId="1F0AB04E" w14:textId="77777777" w:rsidR="008C5CFA" w:rsidRPr="00BA47B4" w:rsidRDefault="00E82A60" w:rsidP="00300A01">
            <w:pPr>
              <w:spacing w:before="0" w:after="0"/>
              <w:jc w:val="right"/>
              <w:rPr>
                <w:sz w:val="12"/>
                <w:szCs w:val="12"/>
                <w:lang w:val="fr-BE"/>
              </w:rPr>
            </w:pPr>
            <w:r w:rsidRPr="00BA47B4">
              <w:rPr>
                <w:noProof/>
                <w:sz w:val="12"/>
                <w:szCs w:val="12"/>
                <w:lang w:val="fr-BE"/>
              </w:rPr>
              <w:t>7,00</w:t>
            </w:r>
          </w:p>
        </w:tc>
        <w:tc>
          <w:tcPr>
            <w:tcW w:w="0" w:type="auto"/>
            <w:shd w:val="clear" w:color="auto" w:fill="auto"/>
          </w:tcPr>
          <w:p w14:paraId="781A71DB" w14:textId="77777777" w:rsidR="008C5CFA" w:rsidRPr="00BA47B4" w:rsidRDefault="00E82A60" w:rsidP="00300A01">
            <w:pPr>
              <w:spacing w:before="0" w:after="0"/>
              <w:jc w:val="right"/>
              <w:rPr>
                <w:sz w:val="12"/>
                <w:szCs w:val="12"/>
                <w:lang w:val="fr-BE"/>
              </w:rPr>
            </w:pPr>
            <w:r w:rsidRPr="00BA47B4">
              <w:rPr>
                <w:noProof/>
                <w:sz w:val="12"/>
                <w:szCs w:val="12"/>
                <w:lang w:val="fr-BE"/>
              </w:rPr>
              <w:t>1,00</w:t>
            </w:r>
          </w:p>
        </w:tc>
        <w:tc>
          <w:tcPr>
            <w:tcW w:w="0" w:type="auto"/>
            <w:shd w:val="clear" w:color="auto" w:fill="auto"/>
          </w:tcPr>
          <w:p w14:paraId="298ED060" w14:textId="77777777" w:rsidR="008C5CFA" w:rsidRPr="00BA47B4" w:rsidRDefault="00E82A60" w:rsidP="00300A01">
            <w:pPr>
              <w:spacing w:before="0" w:after="0"/>
              <w:jc w:val="right"/>
              <w:rPr>
                <w:sz w:val="12"/>
                <w:szCs w:val="12"/>
                <w:lang w:val="fr-BE"/>
              </w:rPr>
            </w:pPr>
            <w:r w:rsidRPr="00BA47B4">
              <w:rPr>
                <w:noProof/>
                <w:sz w:val="12"/>
                <w:szCs w:val="12"/>
                <w:lang w:val="fr-BE"/>
              </w:rPr>
              <w:t>6,00</w:t>
            </w:r>
          </w:p>
        </w:tc>
        <w:tc>
          <w:tcPr>
            <w:tcW w:w="0" w:type="auto"/>
            <w:shd w:val="clear" w:color="auto" w:fill="auto"/>
          </w:tcPr>
          <w:p w14:paraId="66DCC96A" w14:textId="77777777" w:rsidR="008C5CFA" w:rsidRPr="00BA47B4" w:rsidRDefault="008C5CFA" w:rsidP="00300A01">
            <w:pPr>
              <w:spacing w:before="0" w:after="0"/>
              <w:jc w:val="right"/>
              <w:rPr>
                <w:sz w:val="12"/>
                <w:szCs w:val="12"/>
                <w:lang w:val="fr-BE"/>
              </w:rPr>
            </w:pPr>
          </w:p>
        </w:tc>
        <w:tc>
          <w:tcPr>
            <w:tcW w:w="0" w:type="auto"/>
            <w:shd w:val="clear" w:color="auto" w:fill="auto"/>
          </w:tcPr>
          <w:p w14:paraId="3F27DFD8" w14:textId="77777777" w:rsidR="008C5CFA" w:rsidRPr="00BA47B4" w:rsidRDefault="008C5CFA" w:rsidP="00300A01">
            <w:pPr>
              <w:spacing w:before="0" w:after="0"/>
              <w:jc w:val="right"/>
              <w:rPr>
                <w:sz w:val="12"/>
                <w:szCs w:val="12"/>
                <w:lang w:val="fr-BE"/>
              </w:rPr>
            </w:pPr>
          </w:p>
        </w:tc>
        <w:tc>
          <w:tcPr>
            <w:tcW w:w="0" w:type="auto"/>
            <w:shd w:val="clear" w:color="auto" w:fill="auto"/>
          </w:tcPr>
          <w:p w14:paraId="77C3305D" w14:textId="77777777" w:rsidR="008C5CFA" w:rsidRPr="00BA47B4" w:rsidRDefault="008C5CFA" w:rsidP="00300A01">
            <w:pPr>
              <w:spacing w:before="0" w:after="0"/>
              <w:jc w:val="right"/>
              <w:rPr>
                <w:sz w:val="12"/>
                <w:szCs w:val="12"/>
                <w:lang w:val="fr-BE"/>
              </w:rPr>
            </w:pPr>
          </w:p>
        </w:tc>
        <w:tc>
          <w:tcPr>
            <w:tcW w:w="0" w:type="auto"/>
            <w:shd w:val="clear" w:color="auto" w:fill="auto"/>
          </w:tcPr>
          <w:p w14:paraId="16236A41"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67B00CDD"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r>
      <w:tr w:rsidR="006B2EC1" w14:paraId="0F1172B0" w14:textId="77777777" w:rsidTr="0047688D">
        <w:tc>
          <w:tcPr>
            <w:tcW w:w="0" w:type="auto"/>
            <w:shd w:val="clear" w:color="auto" w:fill="auto"/>
          </w:tcPr>
          <w:p w14:paraId="2539AF53" w14:textId="77777777" w:rsidR="008C5CFA" w:rsidRPr="00BA47B4" w:rsidRDefault="00E82A60" w:rsidP="00300A01">
            <w:pPr>
              <w:spacing w:before="0" w:after="0"/>
              <w:rPr>
                <w:sz w:val="12"/>
                <w:szCs w:val="12"/>
                <w:lang w:val="fr-BE"/>
              </w:rPr>
            </w:pPr>
            <w:r w:rsidRPr="00BA47B4">
              <w:rPr>
                <w:noProof/>
                <w:sz w:val="12"/>
                <w:szCs w:val="12"/>
                <w:lang w:val="fr-BE"/>
              </w:rPr>
              <w:t>CR09</w:t>
            </w:r>
          </w:p>
        </w:tc>
        <w:tc>
          <w:tcPr>
            <w:tcW w:w="0" w:type="auto"/>
            <w:shd w:val="clear" w:color="auto" w:fill="auto"/>
          </w:tcPr>
          <w:p w14:paraId="3107B8CD" w14:textId="77777777" w:rsidR="008C5CFA" w:rsidRPr="00BA47B4" w:rsidRDefault="00E82A60" w:rsidP="00300A01">
            <w:pPr>
              <w:spacing w:before="0" w:after="0"/>
              <w:rPr>
                <w:sz w:val="12"/>
                <w:szCs w:val="12"/>
                <w:lang w:val="fr-BE"/>
              </w:rPr>
            </w:pPr>
            <w:r w:rsidRPr="00BA47B4">
              <w:rPr>
                <w:noProof/>
                <w:sz w:val="12"/>
                <w:szCs w:val="12"/>
                <w:lang w:val="fr-BE"/>
              </w:rPr>
              <w:t>uczestnicy w niekorzystnej sytuacji społecznej, pracujący, łącznie z prowadzącymi działalność na własny rachunek, sześć miesięcy po opuszczeniu programu</w:t>
            </w:r>
          </w:p>
        </w:tc>
        <w:tc>
          <w:tcPr>
            <w:tcW w:w="0" w:type="auto"/>
            <w:shd w:val="clear" w:color="auto" w:fill="auto"/>
          </w:tcPr>
          <w:p w14:paraId="10496C6A" w14:textId="77777777" w:rsidR="008C5CFA" w:rsidRPr="00BA47B4" w:rsidRDefault="00E82A60" w:rsidP="00300A01">
            <w:pPr>
              <w:spacing w:before="0" w:after="0"/>
              <w:rPr>
                <w:sz w:val="12"/>
                <w:szCs w:val="12"/>
                <w:lang w:val="fr-BE"/>
              </w:rPr>
            </w:pPr>
            <w:r w:rsidRPr="00BA47B4">
              <w:rPr>
                <w:noProof/>
                <w:sz w:val="12"/>
                <w:szCs w:val="12"/>
                <w:lang w:val="fr-BE"/>
              </w:rPr>
              <w:t>Słabiej rozwinięte</w:t>
            </w:r>
          </w:p>
        </w:tc>
        <w:tc>
          <w:tcPr>
            <w:tcW w:w="0" w:type="auto"/>
            <w:shd w:val="clear" w:color="auto" w:fill="auto"/>
          </w:tcPr>
          <w:p w14:paraId="6BD0CD1C" w14:textId="77777777" w:rsidR="008C5CFA" w:rsidRPr="00BA47B4" w:rsidRDefault="00E82A60" w:rsidP="00300A01">
            <w:pPr>
              <w:spacing w:before="0" w:after="0"/>
              <w:rPr>
                <w:sz w:val="12"/>
                <w:szCs w:val="12"/>
                <w:lang w:val="fr-BE"/>
              </w:rPr>
            </w:pPr>
            <w:r w:rsidRPr="00BA47B4">
              <w:rPr>
                <w:sz w:val="12"/>
                <w:szCs w:val="12"/>
                <w:lang w:val="fr-BE"/>
              </w:rPr>
              <w:t xml:space="preserve"> </w:t>
            </w:r>
          </w:p>
        </w:tc>
        <w:tc>
          <w:tcPr>
            <w:tcW w:w="0" w:type="auto"/>
            <w:shd w:val="clear" w:color="auto" w:fill="auto"/>
          </w:tcPr>
          <w:p w14:paraId="4459AAA0" w14:textId="77777777" w:rsidR="008C5CFA" w:rsidRPr="00BA47B4" w:rsidRDefault="008C5CFA" w:rsidP="00300A01">
            <w:pPr>
              <w:spacing w:before="0" w:after="0"/>
              <w:jc w:val="center"/>
              <w:rPr>
                <w:sz w:val="12"/>
                <w:szCs w:val="12"/>
                <w:lang w:val="fr-BE"/>
              </w:rPr>
            </w:pPr>
          </w:p>
        </w:tc>
        <w:tc>
          <w:tcPr>
            <w:tcW w:w="0" w:type="auto"/>
            <w:shd w:val="clear" w:color="auto" w:fill="auto"/>
          </w:tcPr>
          <w:p w14:paraId="3EF394EA" w14:textId="77777777" w:rsidR="008C5CFA" w:rsidRPr="00BA47B4" w:rsidRDefault="008C5CFA" w:rsidP="00300A01">
            <w:pPr>
              <w:spacing w:before="0" w:after="0"/>
              <w:jc w:val="right"/>
              <w:rPr>
                <w:sz w:val="12"/>
                <w:szCs w:val="12"/>
                <w:lang w:val="fr-BE"/>
              </w:rPr>
            </w:pPr>
          </w:p>
        </w:tc>
        <w:tc>
          <w:tcPr>
            <w:tcW w:w="0" w:type="auto"/>
            <w:shd w:val="clear" w:color="auto" w:fill="auto"/>
          </w:tcPr>
          <w:p w14:paraId="21A4B837" w14:textId="77777777" w:rsidR="008C5CFA" w:rsidRPr="00BA47B4" w:rsidRDefault="008C5CFA" w:rsidP="00300A01">
            <w:pPr>
              <w:spacing w:before="0" w:after="0"/>
              <w:jc w:val="right"/>
              <w:rPr>
                <w:sz w:val="12"/>
                <w:szCs w:val="12"/>
                <w:lang w:val="fr-BE"/>
              </w:rPr>
            </w:pPr>
          </w:p>
        </w:tc>
        <w:tc>
          <w:tcPr>
            <w:tcW w:w="0" w:type="auto"/>
            <w:shd w:val="clear" w:color="auto" w:fill="auto"/>
          </w:tcPr>
          <w:p w14:paraId="473BDC57" w14:textId="77777777" w:rsidR="008C5CFA" w:rsidRPr="00BA47B4" w:rsidRDefault="008C5CFA" w:rsidP="00300A01">
            <w:pPr>
              <w:spacing w:before="0" w:after="0"/>
              <w:jc w:val="right"/>
              <w:rPr>
                <w:sz w:val="12"/>
                <w:szCs w:val="12"/>
                <w:lang w:val="fr-BE"/>
              </w:rPr>
            </w:pPr>
          </w:p>
        </w:tc>
        <w:tc>
          <w:tcPr>
            <w:tcW w:w="0" w:type="auto"/>
            <w:shd w:val="clear" w:color="auto" w:fill="auto"/>
          </w:tcPr>
          <w:p w14:paraId="5E80BE96" w14:textId="77777777" w:rsidR="008C5CFA" w:rsidRPr="00BA47B4" w:rsidRDefault="00E82A60" w:rsidP="00300A01">
            <w:pPr>
              <w:spacing w:before="0" w:after="0"/>
              <w:jc w:val="right"/>
              <w:rPr>
                <w:sz w:val="12"/>
                <w:szCs w:val="12"/>
                <w:lang w:val="fr-BE"/>
              </w:rPr>
            </w:pPr>
            <w:r w:rsidRPr="00BA47B4">
              <w:rPr>
                <w:noProof/>
                <w:sz w:val="12"/>
                <w:szCs w:val="12"/>
                <w:lang w:val="fr-BE"/>
              </w:rPr>
              <w:t>22,00</w:t>
            </w:r>
          </w:p>
        </w:tc>
        <w:tc>
          <w:tcPr>
            <w:tcW w:w="0" w:type="auto"/>
            <w:shd w:val="clear" w:color="auto" w:fill="auto"/>
          </w:tcPr>
          <w:p w14:paraId="0C1C5730" w14:textId="77777777" w:rsidR="008C5CFA" w:rsidRPr="00BA47B4" w:rsidRDefault="00E82A60" w:rsidP="00300A01">
            <w:pPr>
              <w:spacing w:before="0" w:after="0"/>
              <w:jc w:val="right"/>
              <w:rPr>
                <w:sz w:val="12"/>
                <w:szCs w:val="12"/>
                <w:lang w:val="fr-BE"/>
              </w:rPr>
            </w:pPr>
            <w:r w:rsidRPr="00BA47B4">
              <w:rPr>
                <w:noProof/>
                <w:sz w:val="12"/>
                <w:szCs w:val="12"/>
                <w:lang w:val="fr-BE"/>
              </w:rPr>
              <w:t>2,00</w:t>
            </w:r>
          </w:p>
        </w:tc>
        <w:tc>
          <w:tcPr>
            <w:tcW w:w="0" w:type="auto"/>
            <w:shd w:val="clear" w:color="auto" w:fill="auto"/>
          </w:tcPr>
          <w:p w14:paraId="364985FC" w14:textId="77777777" w:rsidR="008C5CFA" w:rsidRPr="00BA47B4" w:rsidRDefault="00E82A60" w:rsidP="00300A01">
            <w:pPr>
              <w:spacing w:before="0" w:after="0"/>
              <w:jc w:val="right"/>
              <w:rPr>
                <w:sz w:val="12"/>
                <w:szCs w:val="12"/>
                <w:lang w:val="fr-BE"/>
              </w:rPr>
            </w:pPr>
            <w:r w:rsidRPr="00BA47B4">
              <w:rPr>
                <w:noProof/>
                <w:sz w:val="12"/>
                <w:szCs w:val="12"/>
                <w:lang w:val="fr-BE"/>
              </w:rPr>
              <w:t>20,00</w:t>
            </w:r>
          </w:p>
        </w:tc>
        <w:tc>
          <w:tcPr>
            <w:tcW w:w="0" w:type="auto"/>
            <w:shd w:val="clear" w:color="auto" w:fill="auto"/>
          </w:tcPr>
          <w:p w14:paraId="3DA5DB34" w14:textId="77777777" w:rsidR="008C5CFA" w:rsidRPr="00BA47B4" w:rsidRDefault="008C5CFA" w:rsidP="00300A01">
            <w:pPr>
              <w:spacing w:before="0" w:after="0"/>
              <w:jc w:val="right"/>
              <w:rPr>
                <w:sz w:val="12"/>
                <w:szCs w:val="12"/>
                <w:lang w:val="fr-BE"/>
              </w:rPr>
            </w:pPr>
          </w:p>
        </w:tc>
        <w:tc>
          <w:tcPr>
            <w:tcW w:w="0" w:type="auto"/>
            <w:shd w:val="clear" w:color="auto" w:fill="auto"/>
          </w:tcPr>
          <w:p w14:paraId="1ED73EBF" w14:textId="77777777" w:rsidR="008C5CFA" w:rsidRPr="00BA47B4" w:rsidRDefault="008C5CFA" w:rsidP="00300A01">
            <w:pPr>
              <w:spacing w:before="0" w:after="0"/>
              <w:jc w:val="right"/>
              <w:rPr>
                <w:sz w:val="12"/>
                <w:szCs w:val="12"/>
                <w:lang w:val="fr-BE"/>
              </w:rPr>
            </w:pPr>
          </w:p>
        </w:tc>
        <w:tc>
          <w:tcPr>
            <w:tcW w:w="0" w:type="auto"/>
            <w:shd w:val="clear" w:color="auto" w:fill="auto"/>
          </w:tcPr>
          <w:p w14:paraId="428EEB98" w14:textId="77777777" w:rsidR="008C5CFA" w:rsidRPr="00BA47B4" w:rsidRDefault="008C5CFA" w:rsidP="00300A01">
            <w:pPr>
              <w:spacing w:before="0" w:after="0"/>
              <w:jc w:val="right"/>
              <w:rPr>
                <w:sz w:val="12"/>
                <w:szCs w:val="12"/>
                <w:lang w:val="fr-BE"/>
              </w:rPr>
            </w:pPr>
          </w:p>
        </w:tc>
        <w:tc>
          <w:tcPr>
            <w:tcW w:w="0" w:type="auto"/>
            <w:shd w:val="clear" w:color="auto" w:fill="auto"/>
          </w:tcPr>
          <w:p w14:paraId="7FF1079F"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5CBE640F"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r>
    </w:tbl>
    <w:p w14:paraId="2B69783F" w14:textId="77777777" w:rsidR="008C5CFA" w:rsidRDefault="008C5CFA" w:rsidP="00300A01">
      <w:pPr>
        <w:keepNext/>
        <w:spacing w:before="0" w:after="0"/>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37"/>
        <w:gridCol w:w="8668"/>
        <w:gridCol w:w="884"/>
        <w:gridCol w:w="596"/>
        <w:gridCol w:w="463"/>
        <w:gridCol w:w="596"/>
        <w:gridCol w:w="463"/>
        <w:gridCol w:w="596"/>
        <w:gridCol w:w="463"/>
        <w:gridCol w:w="596"/>
        <w:gridCol w:w="463"/>
        <w:gridCol w:w="596"/>
        <w:gridCol w:w="463"/>
      </w:tblGrid>
      <w:tr w:rsidR="006B2EC1" w14:paraId="65E764C7" w14:textId="77777777" w:rsidTr="0047688D">
        <w:trPr>
          <w:tblHeader/>
        </w:trPr>
        <w:tc>
          <w:tcPr>
            <w:tcW w:w="0" w:type="auto"/>
            <w:shd w:val="clear" w:color="auto" w:fill="auto"/>
          </w:tcPr>
          <w:p w14:paraId="0836C61B" w14:textId="77777777" w:rsidR="008C5CFA" w:rsidRPr="00F53019" w:rsidRDefault="00E82A60" w:rsidP="00300A01">
            <w:pPr>
              <w:spacing w:before="0" w:after="0"/>
              <w:rPr>
                <w:b/>
                <w:sz w:val="12"/>
                <w:szCs w:val="12"/>
                <w:lang w:val="fr-BE"/>
              </w:rPr>
            </w:pPr>
            <w:r w:rsidRPr="00F53019">
              <w:rPr>
                <w:b/>
                <w:noProof/>
                <w:sz w:val="12"/>
                <w:szCs w:val="12"/>
                <w:lang w:val="fr-BE"/>
              </w:rPr>
              <w:t>ID</w:t>
            </w:r>
          </w:p>
        </w:tc>
        <w:tc>
          <w:tcPr>
            <w:tcW w:w="0" w:type="auto"/>
            <w:shd w:val="clear" w:color="auto" w:fill="auto"/>
          </w:tcPr>
          <w:p w14:paraId="385ABCA5" w14:textId="77777777" w:rsidR="008C5CFA" w:rsidRPr="00F53019" w:rsidRDefault="00E82A60" w:rsidP="00300A01">
            <w:pPr>
              <w:spacing w:before="0" w:after="0"/>
              <w:rPr>
                <w:b/>
                <w:sz w:val="12"/>
                <w:szCs w:val="12"/>
                <w:lang w:val="fr-BE"/>
              </w:rPr>
            </w:pPr>
            <w:r w:rsidRPr="00F53019">
              <w:rPr>
                <w:b/>
                <w:noProof/>
                <w:sz w:val="12"/>
                <w:szCs w:val="12"/>
                <w:lang w:val="fr-BE"/>
              </w:rPr>
              <w:t>Wskaźnik</w:t>
            </w:r>
          </w:p>
        </w:tc>
        <w:tc>
          <w:tcPr>
            <w:tcW w:w="0" w:type="auto"/>
            <w:shd w:val="clear" w:color="auto" w:fill="auto"/>
          </w:tcPr>
          <w:p w14:paraId="0C03E0AF" w14:textId="77777777" w:rsidR="008C5CFA" w:rsidRPr="00F53019" w:rsidRDefault="00E82A60" w:rsidP="00300A01">
            <w:pPr>
              <w:spacing w:before="0" w:after="0"/>
              <w:rPr>
                <w:b/>
                <w:sz w:val="12"/>
                <w:szCs w:val="12"/>
                <w:lang w:val="fr-BE"/>
              </w:rPr>
            </w:pPr>
            <w:r w:rsidRPr="00F53019">
              <w:rPr>
                <w:b/>
                <w:noProof/>
                <w:sz w:val="12"/>
                <w:szCs w:val="12"/>
                <w:lang w:val="fr-BE"/>
              </w:rPr>
              <w:t>Kategoria regionu</w:t>
            </w:r>
          </w:p>
        </w:tc>
        <w:tc>
          <w:tcPr>
            <w:tcW w:w="0" w:type="auto"/>
            <w:gridSpan w:val="2"/>
          </w:tcPr>
          <w:p w14:paraId="0BCF4BC8" w14:textId="77777777" w:rsidR="008C5CFA" w:rsidRPr="00F53019" w:rsidRDefault="00E82A60" w:rsidP="00300A01">
            <w:pPr>
              <w:spacing w:before="0" w:after="0"/>
              <w:jc w:val="center"/>
              <w:rPr>
                <w:b/>
                <w:sz w:val="12"/>
                <w:szCs w:val="12"/>
                <w:lang w:val="fr-BE"/>
              </w:rPr>
            </w:pPr>
            <w:r>
              <w:rPr>
                <w:b/>
                <w:sz w:val="12"/>
                <w:szCs w:val="12"/>
                <w:lang w:val="fr-BE"/>
              </w:rPr>
              <w:t>2018</w:t>
            </w:r>
          </w:p>
        </w:tc>
        <w:tc>
          <w:tcPr>
            <w:tcW w:w="0" w:type="auto"/>
            <w:gridSpan w:val="2"/>
          </w:tcPr>
          <w:p w14:paraId="2A9ADF98" w14:textId="77777777" w:rsidR="008C5CFA" w:rsidRPr="00F53019" w:rsidRDefault="00E82A60" w:rsidP="00300A01">
            <w:pPr>
              <w:spacing w:before="0" w:after="0"/>
              <w:jc w:val="center"/>
              <w:rPr>
                <w:b/>
                <w:sz w:val="12"/>
                <w:szCs w:val="12"/>
                <w:lang w:val="fr-BE"/>
              </w:rPr>
            </w:pPr>
            <w:r>
              <w:rPr>
                <w:b/>
                <w:sz w:val="12"/>
                <w:szCs w:val="12"/>
                <w:lang w:val="fr-BE"/>
              </w:rPr>
              <w:t>2017</w:t>
            </w:r>
          </w:p>
        </w:tc>
        <w:tc>
          <w:tcPr>
            <w:tcW w:w="0" w:type="auto"/>
            <w:gridSpan w:val="2"/>
          </w:tcPr>
          <w:p w14:paraId="12809CF1" w14:textId="77777777" w:rsidR="008C5CFA" w:rsidRPr="00F53019" w:rsidRDefault="00E82A60" w:rsidP="00300A01">
            <w:pPr>
              <w:spacing w:before="0" w:after="0"/>
              <w:jc w:val="center"/>
              <w:rPr>
                <w:b/>
                <w:sz w:val="12"/>
                <w:szCs w:val="12"/>
                <w:lang w:val="fr-BE"/>
              </w:rPr>
            </w:pPr>
            <w:r>
              <w:rPr>
                <w:b/>
                <w:sz w:val="12"/>
                <w:szCs w:val="12"/>
                <w:lang w:val="fr-BE"/>
              </w:rPr>
              <w:t>2016</w:t>
            </w:r>
          </w:p>
        </w:tc>
        <w:tc>
          <w:tcPr>
            <w:tcW w:w="0" w:type="auto"/>
            <w:gridSpan w:val="2"/>
          </w:tcPr>
          <w:p w14:paraId="6B119168" w14:textId="77777777" w:rsidR="008C5CFA" w:rsidRPr="00F53019" w:rsidRDefault="00E82A60" w:rsidP="00300A01">
            <w:pPr>
              <w:spacing w:before="0" w:after="0"/>
              <w:jc w:val="center"/>
              <w:rPr>
                <w:b/>
                <w:sz w:val="12"/>
                <w:szCs w:val="12"/>
                <w:lang w:val="fr-BE"/>
              </w:rPr>
            </w:pPr>
            <w:r>
              <w:rPr>
                <w:b/>
                <w:sz w:val="12"/>
                <w:szCs w:val="12"/>
                <w:lang w:val="fr-BE"/>
              </w:rPr>
              <w:t>2015</w:t>
            </w:r>
          </w:p>
        </w:tc>
        <w:tc>
          <w:tcPr>
            <w:tcW w:w="0" w:type="auto"/>
            <w:gridSpan w:val="2"/>
            <w:shd w:val="clear" w:color="auto" w:fill="auto"/>
          </w:tcPr>
          <w:p w14:paraId="1C04240A" w14:textId="77777777" w:rsidR="008C5CFA" w:rsidRPr="00F53019" w:rsidRDefault="00E82A60" w:rsidP="00300A01">
            <w:pPr>
              <w:spacing w:before="0" w:after="0"/>
              <w:jc w:val="center"/>
              <w:rPr>
                <w:b/>
                <w:sz w:val="12"/>
                <w:szCs w:val="12"/>
                <w:lang w:val="fr-BE"/>
              </w:rPr>
            </w:pPr>
            <w:r>
              <w:rPr>
                <w:b/>
                <w:sz w:val="12"/>
                <w:szCs w:val="12"/>
                <w:lang w:val="fr-BE"/>
              </w:rPr>
              <w:t>2014</w:t>
            </w:r>
          </w:p>
        </w:tc>
      </w:tr>
      <w:tr w:rsidR="006B2EC1" w14:paraId="5627698E" w14:textId="77777777" w:rsidTr="0047688D">
        <w:trPr>
          <w:tblHeader/>
        </w:trPr>
        <w:tc>
          <w:tcPr>
            <w:tcW w:w="0" w:type="auto"/>
            <w:shd w:val="clear" w:color="auto" w:fill="auto"/>
          </w:tcPr>
          <w:p w14:paraId="79121BA1" w14:textId="77777777" w:rsidR="008C5CFA" w:rsidRPr="00F53019" w:rsidRDefault="008C5CFA" w:rsidP="00300A01">
            <w:pPr>
              <w:spacing w:before="0" w:after="0"/>
              <w:rPr>
                <w:b/>
                <w:sz w:val="12"/>
                <w:szCs w:val="12"/>
                <w:lang w:val="fr-BE"/>
              </w:rPr>
            </w:pPr>
          </w:p>
        </w:tc>
        <w:tc>
          <w:tcPr>
            <w:tcW w:w="0" w:type="auto"/>
            <w:shd w:val="clear" w:color="auto" w:fill="auto"/>
          </w:tcPr>
          <w:p w14:paraId="46BADA90" w14:textId="77777777" w:rsidR="008C5CFA" w:rsidRPr="00F53019" w:rsidRDefault="008C5CFA" w:rsidP="00300A01">
            <w:pPr>
              <w:spacing w:before="0" w:after="0"/>
              <w:rPr>
                <w:b/>
                <w:sz w:val="12"/>
                <w:szCs w:val="12"/>
                <w:lang w:val="fr-BE"/>
              </w:rPr>
            </w:pPr>
          </w:p>
        </w:tc>
        <w:tc>
          <w:tcPr>
            <w:tcW w:w="0" w:type="auto"/>
            <w:shd w:val="clear" w:color="auto" w:fill="auto"/>
          </w:tcPr>
          <w:p w14:paraId="095F8F85" w14:textId="77777777" w:rsidR="008C5CFA" w:rsidRPr="00F53019" w:rsidRDefault="008C5CFA" w:rsidP="00300A01">
            <w:pPr>
              <w:spacing w:before="0" w:after="0"/>
              <w:rPr>
                <w:b/>
                <w:sz w:val="12"/>
                <w:szCs w:val="12"/>
                <w:lang w:val="fr-BE"/>
              </w:rPr>
            </w:pPr>
          </w:p>
        </w:tc>
        <w:tc>
          <w:tcPr>
            <w:tcW w:w="0" w:type="auto"/>
          </w:tcPr>
          <w:p w14:paraId="3211A68D" w14:textId="77777777" w:rsidR="008C5CFA" w:rsidRPr="00F53019" w:rsidRDefault="00E82A60" w:rsidP="00300A01">
            <w:pPr>
              <w:spacing w:before="0" w:after="0"/>
              <w:jc w:val="center"/>
              <w:rPr>
                <w:b/>
                <w:sz w:val="12"/>
                <w:szCs w:val="12"/>
                <w:lang w:val="fr-BE"/>
              </w:rPr>
            </w:pPr>
            <w:r w:rsidRPr="00F53019">
              <w:rPr>
                <w:b/>
                <w:noProof/>
                <w:sz w:val="12"/>
                <w:szCs w:val="12"/>
                <w:lang w:val="fr-BE"/>
              </w:rPr>
              <w:t>Mężczyźni</w:t>
            </w:r>
          </w:p>
        </w:tc>
        <w:tc>
          <w:tcPr>
            <w:tcW w:w="0" w:type="auto"/>
          </w:tcPr>
          <w:p w14:paraId="6A2F42C4" w14:textId="77777777" w:rsidR="008C5CFA" w:rsidRPr="00F53019" w:rsidRDefault="00E82A60" w:rsidP="00300A01">
            <w:pPr>
              <w:spacing w:before="0" w:after="0"/>
              <w:jc w:val="center"/>
              <w:rPr>
                <w:b/>
                <w:sz w:val="12"/>
                <w:szCs w:val="12"/>
                <w:lang w:val="fr-BE"/>
              </w:rPr>
            </w:pPr>
            <w:r w:rsidRPr="00F53019">
              <w:rPr>
                <w:b/>
                <w:noProof/>
                <w:sz w:val="12"/>
                <w:szCs w:val="12"/>
                <w:lang w:val="fr-BE"/>
              </w:rPr>
              <w:t>Kobiety</w:t>
            </w:r>
          </w:p>
        </w:tc>
        <w:tc>
          <w:tcPr>
            <w:tcW w:w="0" w:type="auto"/>
          </w:tcPr>
          <w:p w14:paraId="32214759" w14:textId="77777777" w:rsidR="008C5CFA" w:rsidRPr="00F53019" w:rsidRDefault="00E82A60" w:rsidP="00300A01">
            <w:pPr>
              <w:spacing w:before="0" w:after="0"/>
              <w:jc w:val="center"/>
              <w:rPr>
                <w:b/>
                <w:sz w:val="12"/>
                <w:szCs w:val="12"/>
                <w:lang w:val="fr-BE"/>
              </w:rPr>
            </w:pPr>
            <w:r w:rsidRPr="00F53019">
              <w:rPr>
                <w:b/>
                <w:noProof/>
                <w:sz w:val="12"/>
                <w:szCs w:val="12"/>
                <w:lang w:val="fr-BE"/>
              </w:rPr>
              <w:t>Mężczyźni</w:t>
            </w:r>
          </w:p>
        </w:tc>
        <w:tc>
          <w:tcPr>
            <w:tcW w:w="0" w:type="auto"/>
          </w:tcPr>
          <w:p w14:paraId="41BAFB9F" w14:textId="77777777" w:rsidR="008C5CFA" w:rsidRPr="00F53019" w:rsidRDefault="00E82A60" w:rsidP="00300A01">
            <w:pPr>
              <w:spacing w:before="0" w:after="0"/>
              <w:jc w:val="center"/>
              <w:rPr>
                <w:b/>
                <w:sz w:val="12"/>
                <w:szCs w:val="12"/>
                <w:lang w:val="fr-BE"/>
              </w:rPr>
            </w:pPr>
            <w:r w:rsidRPr="00F53019">
              <w:rPr>
                <w:b/>
                <w:noProof/>
                <w:sz w:val="12"/>
                <w:szCs w:val="12"/>
                <w:lang w:val="fr-BE"/>
              </w:rPr>
              <w:t>Kobiety</w:t>
            </w:r>
          </w:p>
        </w:tc>
        <w:tc>
          <w:tcPr>
            <w:tcW w:w="0" w:type="auto"/>
          </w:tcPr>
          <w:p w14:paraId="3D53D7E1" w14:textId="77777777" w:rsidR="008C5CFA" w:rsidRPr="00F53019" w:rsidRDefault="00E82A60" w:rsidP="00300A01">
            <w:pPr>
              <w:spacing w:before="0" w:after="0"/>
              <w:jc w:val="center"/>
              <w:rPr>
                <w:b/>
                <w:sz w:val="12"/>
                <w:szCs w:val="12"/>
                <w:lang w:val="fr-BE"/>
              </w:rPr>
            </w:pPr>
            <w:r w:rsidRPr="00F53019">
              <w:rPr>
                <w:b/>
                <w:noProof/>
                <w:sz w:val="12"/>
                <w:szCs w:val="12"/>
                <w:lang w:val="fr-BE"/>
              </w:rPr>
              <w:t>Mężczyźni</w:t>
            </w:r>
          </w:p>
        </w:tc>
        <w:tc>
          <w:tcPr>
            <w:tcW w:w="0" w:type="auto"/>
          </w:tcPr>
          <w:p w14:paraId="548DB9C4" w14:textId="77777777" w:rsidR="008C5CFA" w:rsidRPr="00F53019" w:rsidRDefault="00E82A60" w:rsidP="00300A01">
            <w:pPr>
              <w:spacing w:before="0" w:after="0"/>
              <w:jc w:val="center"/>
              <w:rPr>
                <w:b/>
                <w:sz w:val="12"/>
                <w:szCs w:val="12"/>
                <w:lang w:val="fr-BE"/>
              </w:rPr>
            </w:pPr>
            <w:r w:rsidRPr="00F53019">
              <w:rPr>
                <w:b/>
                <w:noProof/>
                <w:sz w:val="12"/>
                <w:szCs w:val="12"/>
                <w:lang w:val="fr-BE"/>
              </w:rPr>
              <w:t>Kobiety</w:t>
            </w:r>
          </w:p>
        </w:tc>
        <w:tc>
          <w:tcPr>
            <w:tcW w:w="0" w:type="auto"/>
          </w:tcPr>
          <w:p w14:paraId="5C1C64AD" w14:textId="77777777" w:rsidR="008C5CFA" w:rsidRPr="00F53019" w:rsidRDefault="00E82A60" w:rsidP="00300A01">
            <w:pPr>
              <w:spacing w:before="0" w:after="0"/>
              <w:jc w:val="center"/>
              <w:rPr>
                <w:b/>
                <w:sz w:val="12"/>
                <w:szCs w:val="12"/>
                <w:lang w:val="fr-BE"/>
              </w:rPr>
            </w:pPr>
            <w:r w:rsidRPr="00F53019">
              <w:rPr>
                <w:b/>
                <w:noProof/>
                <w:sz w:val="12"/>
                <w:szCs w:val="12"/>
                <w:lang w:val="fr-BE"/>
              </w:rPr>
              <w:t>Mężczyźni</w:t>
            </w:r>
          </w:p>
        </w:tc>
        <w:tc>
          <w:tcPr>
            <w:tcW w:w="0" w:type="auto"/>
          </w:tcPr>
          <w:p w14:paraId="484F1DD5" w14:textId="77777777" w:rsidR="008C5CFA" w:rsidRPr="00F53019" w:rsidRDefault="00E82A60" w:rsidP="00300A01">
            <w:pPr>
              <w:spacing w:before="0" w:after="0"/>
              <w:jc w:val="center"/>
              <w:rPr>
                <w:b/>
                <w:sz w:val="12"/>
                <w:szCs w:val="12"/>
                <w:lang w:val="fr-BE"/>
              </w:rPr>
            </w:pPr>
            <w:r w:rsidRPr="00F53019">
              <w:rPr>
                <w:b/>
                <w:noProof/>
                <w:sz w:val="12"/>
                <w:szCs w:val="12"/>
                <w:lang w:val="fr-BE"/>
              </w:rPr>
              <w:t>Kobiety</w:t>
            </w:r>
          </w:p>
        </w:tc>
        <w:tc>
          <w:tcPr>
            <w:tcW w:w="0" w:type="auto"/>
            <w:shd w:val="clear" w:color="auto" w:fill="auto"/>
          </w:tcPr>
          <w:p w14:paraId="1E385E2E" w14:textId="77777777" w:rsidR="008C5CFA" w:rsidRPr="00F53019" w:rsidRDefault="00E82A60"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14:paraId="7381D077" w14:textId="77777777" w:rsidR="008C5CFA" w:rsidRPr="00F53019" w:rsidRDefault="00E82A60" w:rsidP="00300A01">
            <w:pPr>
              <w:spacing w:before="0" w:after="0"/>
              <w:jc w:val="center"/>
              <w:rPr>
                <w:b/>
                <w:sz w:val="12"/>
                <w:szCs w:val="12"/>
                <w:lang w:val="fr-BE"/>
              </w:rPr>
            </w:pPr>
            <w:r w:rsidRPr="00F53019">
              <w:rPr>
                <w:b/>
                <w:noProof/>
                <w:sz w:val="12"/>
                <w:szCs w:val="12"/>
                <w:lang w:val="fr-BE"/>
              </w:rPr>
              <w:t>Kobiety</w:t>
            </w:r>
          </w:p>
        </w:tc>
      </w:tr>
      <w:tr w:rsidR="006B2EC1" w14:paraId="0CE0EBCB" w14:textId="77777777" w:rsidTr="0047688D">
        <w:tc>
          <w:tcPr>
            <w:tcW w:w="0" w:type="auto"/>
            <w:shd w:val="clear" w:color="auto" w:fill="auto"/>
          </w:tcPr>
          <w:p w14:paraId="41093E09" w14:textId="77777777" w:rsidR="008C5CFA" w:rsidRPr="00BA47B4" w:rsidRDefault="00E82A60" w:rsidP="00300A01">
            <w:pPr>
              <w:spacing w:before="0" w:after="0"/>
              <w:rPr>
                <w:sz w:val="12"/>
                <w:szCs w:val="12"/>
                <w:lang w:val="fr-BE"/>
              </w:rPr>
            </w:pPr>
            <w:r w:rsidRPr="00BA47B4">
              <w:rPr>
                <w:noProof/>
                <w:sz w:val="12"/>
                <w:szCs w:val="12"/>
                <w:lang w:val="fr-BE"/>
              </w:rPr>
              <w:t>CR01</w:t>
            </w:r>
          </w:p>
        </w:tc>
        <w:tc>
          <w:tcPr>
            <w:tcW w:w="0" w:type="auto"/>
            <w:shd w:val="clear" w:color="auto" w:fill="auto"/>
          </w:tcPr>
          <w:p w14:paraId="1A9DA3C2" w14:textId="77777777" w:rsidR="008C5CFA" w:rsidRPr="00BA47B4" w:rsidRDefault="00E82A60" w:rsidP="00300A01">
            <w:pPr>
              <w:spacing w:before="0" w:after="0"/>
              <w:rPr>
                <w:sz w:val="12"/>
                <w:szCs w:val="12"/>
                <w:lang w:val="fr-BE"/>
              </w:rPr>
            </w:pPr>
            <w:r w:rsidRPr="00BA47B4">
              <w:rPr>
                <w:noProof/>
                <w:sz w:val="12"/>
                <w:szCs w:val="12"/>
                <w:lang w:val="fr-BE"/>
              </w:rPr>
              <w:t>bierni zawodowo uczestnicy poszukujący pracy po opuszczeniu programu</w:t>
            </w:r>
          </w:p>
        </w:tc>
        <w:tc>
          <w:tcPr>
            <w:tcW w:w="0" w:type="auto"/>
            <w:shd w:val="clear" w:color="auto" w:fill="auto"/>
          </w:tcPr>
          <w:p w14:paraId="2C9FFDB4" w14:textId="77777777" w:rsidR="008C5CFA" w:rsidRPr="00BA47B4" w:rsidRDefault="00E82A60" w:rsidP="00300A01">
            <w:pPr>
              <w:spacing w:before="0" w:after="0"/>
              <w:rPr>
                <w:sz w:val="12"/>
                <w:szCs w:val="12"/>
                <w:lang w:val="fr-BE"/>
              </w:rPr>
            </w:pPr>
            <w:r w:rsidRPr="00BA47B4">
              <w:rPr>
                <w:noProof/>
                <w:sz w:val="12"/>
                <w:szCs w:val="12"/>
                <w:lang w:val="fr-BE"/>
              </w:rPr>
              <w:t>Słabiej rozwinięte</w:t>
            </w:r>
          </w:p>
        </w:tc>
        <w:tc>
          <w:tcPr>
            <w:tcW w:w="0" w:type="auto"/>
          </w:tcPr>
          <w:p w14:paraId="10D4AD06"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49FE6F5C"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4102EE65"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28806798"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6112EFF5"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2E8C7D9F"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5EBBFAA7"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6C8BB3DA"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467FB492"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2C3F20FA"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r>
      <w:tr w:rsidR="006B2EC1" w14:paraId="283ED593" w14:textId="77777777" w:rsidTr="0047688D">
        <w:tc>
          <w:tcPr>
            <w:tcW w:w="0" w:type="auto"/>
            <w:shd w:val="clear" w:color="auto" w:fill="auto"/>
          </w:tcPr>
          <w:p w14:paraId="2BC27D79" w14:textId="77777777" w:rsidR="008C5CFA" w:rsidRPr="00BA47B4" w:rsidRDefault="00E82A60" w:rsidP="00300A01">
            <w:pPr>
              <w:spacing w:before="0" w:after="0"/>
              <w:rPr>
                <w:sz w:val="12"/>
                <w:szCs w:val="12"/>
                <w:lang w:val="fr-BE"/>
              </w:rPr>
            </w:pPr>
            <w:r w:rsidRPr="00BA47B4">
              <w:rPr>
                <w:noProof/>
                <w:sz w:val="12"/>
                <w:szCs w:val="12"/>
                <w:lang w:val="fr-BE"/>
              </w:rPr>
              <w:t>CR02</w:t>
            </w:r>
          </w:p>
        </w:tc>
        <w:tc>
          <w:tcPr>
            <w:tcW w:w="0" w:type="auto"/>
            <w:shd w:val="clear" w:color="auto" w:fill="auto"/>
          </w:tcPr>
          <w:p w14:paraId="5F5463AC" w14:textId="77777777" w:rsidR="008C5CFA" w:rsidRPr="00BA47B4" w:rsidRDefault="00E82A60" w:rsidP="00300A01">
            <w:pPr>
              <w:spacing w:before="0" w:after="0"/>
              <w:rPr>
                <w:sz w:val="12"/>
                <w:szCs w:val="12"/>
                <w:lang w:val="fr-BE"/>
              </w:rPr>
            </w:pPr>
            <w:r w:rsidRPr="00BA47B4">
              <w:rPr>
                <w:noProof/>
                <w:sz w:val="12"/>
                <w:szCs w:val="12"/>
                <w:lang w:val="fr-BE"/>
              </w:rPr>
              <w:t>uczestnicy kształcący lub szkolący się po opuszczeniu programu</w:t>
            </w:r>
          </w:p>
        </w:tc>
        <w:tc>
          <w:tcPr>
            <w:tcW w:w="0" w:type="auto"/>
            <w:shd w:val="clear" w:color="auto" w:fill="auto"/>
          </w:tcPr>
          <w:p w14:paraId="438099B9" w14:textId="77777777" w:rsidR="008C5CFA" w:rsidRPr="00BA47B4" w:rsidRDefault="00E82A60" w:rsidP="00300A01">
            <w:pPr>
              <w:spacing w:before="0" w:after="0"/>
              <w:rPr>
                <w:sz w:val="12"/>
                <w:szCs w:val="12"/>
                <w:lang w:val="fr-BE"/>
              </w:rPr>
            </w:pPr>
            <w:r w:rsidRPr="00BA47B4">
              <w:rPr>
                <w:noProof/>
                <w:sz w:val="12"/>
                <w:szCs w:val="12"/>
                <w:lang w:val="fr-BE"/>
              </w:rPr>
              <w:t>Słabiej rozwinięte</w:t>
            </w:r>
          </w:p>
        </w:tc>
        <w:tc>
          <w:tcPr>
            <w:tcW w:w="0" w:type="auto"/>
          </w:tcPr>
          <w:p w14:paraId="379618B0"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143DE08C"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24DC0EB6"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292D2A45"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44BB5DDA"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630C444B"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68A4D1C0"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160FB128"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730C0F6A"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30B84514"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r>
      <w:tr w:rsidR="006B2EC1" w14:paraId="22223F92" w14:textId="77777777" w:rsidTr="0047688D">
        <w:tc>
          <w:tcPr>
            <w:tcW w:w="0" w:type="auto"/>
            <w:shd w:val="clear" w:color="auto" w:fill="auto"/>
          </w:tcPr>
          <w:p w14:paraId="0D9442EB" w14:textId="77777777" w:rsidR="008C5CFA" w:rsidRPr="00BA47B4" w:rsidRDefault="00E82A60" w:rsidP="00300A01">
            <w:pPr>
              <w:spacing w:before="0" w:after="0"/>
              <w:rPr>
                <w:sz w:val="12"/>
                <w:szCs w:val="12"/>
                <w:lang w:val="fr-BE"/>
              </w:rPr>
            </w:pPr>
            <w:r w:rsidRPr="00BA47B4">
              <w:rPr>
                <w:noProof/>
                <w:sz w:val="12"/>
                <w:szCs w:val="12"/>
                <w:lang w:val="fr-BE"/>
              </w:rPr>
              <w:t>CR03</w:t>
            </w:r>
          </w:p>
        </w:tc>
        <w:tc>
          <w:tcPr>
            <w:tcW w:w="0" w:type="auto"/>
            <w:shd w:val="clear" w:color="auto" w:fill="auto"/>
          </w:tcPr>
          <w:p w14:paraId="0BD7F509" w14:textId="77777777" w:rsidR="008C5CFA" w:rsidRPr="00BA47B4" w:rsidRDefault="00E82A60" w:rsidP="00300A01">
            <w:pPr>
              <w:spacing w:before="0" w:after="0"/>
              <w:rPr>
                <w:sz w:val="12"/>
                <w:szCs w:val="12"/>
                <w:lang w:val="fr-BE"/>
              </w:rPr>
            </w:pPr>
            <w:r w:rsidRPr="00BA47B4">
              <w:rPr>
                <w:noProof/>
                <w:sz w:val="12"/>
                <w:szCs w:val="12"/>
                <w:lang w:val="fr-BE"/>
              </w:rPr>
              <w:t>uczestnicy uzyskujący kwalifikacje po opuszczeniu programu</w:t>
            </w:r>
          </w:p>
        </w:tc>
        <w:tc>
          <w:tcPr>
            <w:tcW w:w="0" w:type="auto"/>
            <w:shd w:val="clear" w:color="auto" w:fill="auto"/>
          </w:tcPr>
          <w:p w14:paraId="76E00E91" w14:textId="77777777" w:rsidR="008C5CFA" w:rsidRPr="00BA47B4" w:rsidRDefault="00E82A60" w:rsidP="00300A01">
            <w:pPr>
              <w:spacing w:before="0" w:after="0"/>
              <w:rPr>
                <w:sz w:val="12"/>
                <w:szCs w:val="12"/>
                <w:lang w:val="fr-BE"/>
              </w:rPr>
            </w:pPr>
            <w:r w:rsidRPr="00BA47B4">
              <w:rPr>
                <w:noProof/>
                <w:sz w:val="12"/>
                <w:szCs w:val="12"/>
                <w:lang w:val="fr-BE"/>
              </w:rPr>
              <w:t>Słabiej rozwinięte</w:t>
            </w:r>
          </w:p>
        </w:tc>
        <w:tc>
          <w:tcPr>
            <w:tcW w:w="0" w:type="auto"/>
          </w:tcPr>
          <w:p w14:paraId="0C9BC8A4" w14:textId="77777777" w:rsidR="008C5CFA" w:rsidRPr="00BA47B4" w:rsidRDefault="00E82A60" w:rsidP="00300A01">
            <w:pPr>
              <w:spacing w:before="0" w:after="0"/>
              <w:jc w:val="right"/>
              <w:rPr>
                <w:sz w:val="12"/>
                <w:szCs w:val="12"/>
                <w:lang w:val="fr-BE"/>
              </w:rPr>
            </w:pPr>
            <w:r w:rsidRPr="00BA47B4">
              <w:rPr>
                <w:noProof/>
                <w:sz w:val="12"/>
                <w:szCs w:val="12"/>
                <w:lang w:val="fr-BE"/>
              </w:rPr>
              <w:t>244,00</w:t>
            </w:r>
          </w:p>
        </w:tc>
        <w:tc>
          <w:tcPr>
            <w:tcW w:w="0" w:type="auto"/>
          </w:tcPr>
          <w:p w14:paraId="4F6CE7B6" w14:textId="77777777" w:rsidR="008C5CFA" w:rsidRPr="00BA47B4" w:rsidRDefault="00E82A60" w:rsidP="00300A01">
            <w:pPr>
              <w:spacing w:before="0" w:after="0"/>
              <w:jc w:val="right"/>
              <w:rPr>
                <w:sz w:val="12"/>
                <w:szCs w:val="12"/>
                <w:lang w:val="fr-BE"/>
              </w:rPr>
            </w:pPr>
            <w:r w:rsidRPr="00BA47B4">
              <w:rPr>
                <w:noProof/>
                <w:sz w:val="12"/>
                <w:szCs w:val="12"/>
                <w:lang w:val="fr-BE"/>
              </w:rPr>
              <w:t>653,00</w:t>
            </w:r>
          </w:p>
        </w:tc>
        <w:tc>
          <w:tcPr>
            <w:tcW w:w="0" w:type="auto"/>
          </w:tcPr>
          <w:p w14:paraId="20020A6F" w14:textId="77777777" w:rsidR="008C5CFA" w:rsidRPr="00BA47B4" w:rsidRDefault="00E82A60" w:rsidP="00300A01">
            <w:pPr>
              <w:spacing w:before="0" w:after="0"/>
              <w:jc w:val="right"/>
              <w:rPr>
                <w:sz w:val="12"/>
                <w:szCs w:val="12"/>
                <w:lang w:val="fr-BE"/>
              </w:rPr>
            </w:pPr>
            <w:r w:rsidRPr="00BA47B4">
              <w:rPr>
                <w:noProof/>
                <w:sz w:val="12"/>
                <w:szCs w:val="12"/>
                <w:lang w:val="fr-BE"/>
              </w:rPr>
              <w:t>13,00</w:t>
            </w:r>
          </w:p>
        </w:tc>
        <w:tc>
          <w:tcPr>
            <w:tcW w:w="0" w:type="auto"/>
          </w:tcPr>
          <w:p w14:paraId="09570B96" w14:textId="77777777" w:rsidR="008C5CFA" w:rsidRPr="00BA47B4" w:rsidRDefault="00E82A60" w:rsidP="00300A01">
            <w:pPr>
              <w:spacing w:before="0" w:after="0"/>
              <w:jc w:val="right"/>
              <w:rPr>
                <w:sz w:val="12"/>
                <w:szCs w:val="12"/>
                <w:lang w:val="fr-BE"/>
              </w:rPr>
            </w:pPr>
            <w:r w:rsidRPr="00BA47B4">
              <w:rPr>
                <w:noProof/>
                <w:sz w:val="12"/>
                <w:szCs w:val="12"/>
                <w:lang w:val="fr-BE"/>
              </w:rPr>
              <w:t>48,00</w:t>
            </w:r>
          </w:p>
        </w:tc>
        <w:tc>
          <w:tcPr>
            <w:tcW w:w="0" w:type="auto"/>
          </w:tcPr>
          <w:p w14:paraId="6B642300"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7B9FA8F6"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3721F036"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2C09116C"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72EE32D9"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3721AE23"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r>
      <w:tr w:rsidR="006B2EC1" w14:paraId="3D456038" w14:textId="77777777" w:rsidTr="0047688D">
        <w:tc>
          <w:tcPr>
            <w:tcW w:w="0" w:type="auto"/>
            <w:shd w:val="clear" w:color="auto" w:fill="auto"/>
          </w:tcPr>
          <w:p w14:paraId="16ED8920" w14:textId="77777777" w:rsidR="008C5CFA" w:rsidRPr="00BA47B4" w:rsidRDefault="00E82A60" w:rsidP="00300A01">
            <w:pPr>
              <w:spacing w:before="0" w:after="0"/>
              <w:rPr>
                <w:sz w:val="12"/>
                <w:szCs w:val="12"/>
                <w:lang w:val="fr-BE"/>
              </w:rPr>
            </w:pPr>
            <w:r w:rsidRPr="00BA47B4">
              <w:rPr>
                <w:noProof/>
                <w:sz w:val="12"/>
                <w:szCs w:val="12"/>
                <w:lang w:val="fr-BE"/>
              </w:rPr>
              <w:t>CR04</w:t>
            </w:r>
          </w:p>
        </w:tc>
        <w:tc>
          <w:tcPr>
            <w:tcW w:w="0" w:type="auto"/>
            <w:shd w:val="clear" w:color="auto" w:fill="auto"/>
          </w:tcPr>
          <w:p w14:paraId="31B2563C" w14:textId="77777777" w:rsidR="008C5CFA" w:rsidRPr="00BA47B4" w:rsidRDefault="00E82A60" w:rsidP="00300A01">
            <w:pPr>
              <w:spacing w:before="0" w:after="0"/>
              <w:rPr>
                <w:sz w:val="12"/>
                <w:szCs w:val="12"/>
                <w:lang w:val="fr-BE"/>
              </w:rPr>
            </w:pPr>
            <w:r w:rsidRPr="00BA47B4">
              <w:rPr>
                <w:noProof/>
                <w:sz w:val="12"/>
                <w:szCs w:val="12"/>
                <w:lang w:val="fr-BE"/>
              </w:rPr>
              <w:t>uczestnicy pracujący, łącznie z prowadzącymi działalność na własny rachunek, po opuszczeniu programu</w:t>
            </w:r>
          </w:p>
        </w:tc>
        <w:tc>
          <w:tcPr>
            <w:tcW w:w="0" w:type="auto"/>
            <w:shd w:val="clear" w:color="auto" w:fill="auto"/>
          </w:tcPr>
          <w:p w14:paraId="21A30BD3" w14:textId="77777777" w:rsidR="008C5CFA" w:rsidRPr="00BA47B4" w:rsidRDefault="00E82A60" w:rsidP="00300A01">
            <w:pPr>
              <w:spacing w:before="0" w:after="0"/>
              <w:rPr>
                <w:sz w:val="12"/>
                <w:szCs w:val="12"/>
                <w:lang w:val="fr-BE"/>
              </w:rPr>
            </w:pPr>
            <w:r w:rsidRPr="00BA47B4">
              <w:rPr>
                <w:noProof/>
                <w:sz w:val="12"/>
                <w:szCs w:val="12"/>
                <w:lang w:val="fr-BE"/>
              </w:rPr>
              <w:t>Słabiej rozwinięte</w:t>
            </w:r>
          </w:p>
        </w:tc>
        <w:tc>
          <w:tcPr>
            <w:tcW w:w="0" w:type="auto"/>
          </w:tcPr>
          <w:p w14:paraId="070950D5"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0B6EB12E"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308FF539"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1DBF5870"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50B0742A"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1C6540EF"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7378C3D9"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7AFE506B"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09600AFE"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449257F6"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r>
      <w:tr w:rsidR="006B2EC1" w14:paraId="679430DD" w14:textId="77777777" w:rsidTr="0047688D">
        <w:tc>
          <w:tcPr>
            <w:tcW w:w="0" w:type="auto"/>
            <w:shd w:val="clear" w:color="auto" w:fill="auto"/>
          </w:tcPr>
          <w:p w14:paraId="298914BE" w14:textId="77777777" w:rsidR="008C5CFA" w:rsidRPr="00BA47B4" w:rsidRDefault="00E82A60" w:rsidP="00300A01">
            <w:pPr>
              <w:spacing w:before="0" w:after="0"/>
              <w:rPr>
                <w:sz w:val="12"/>
                <w:szCs w:val="12"/>
                <w:lang w:val="fr-BE"/>
              </w:rPr>
            </w:pPr>
            <w:r w:rsidRPr="00BA47B4">
              <w:rPr>
                <w:noProof/>
                <w:sz w:val="12"/>
                <w:szCs w:val="12"/>
                <w:lang w:val="fr-BE"/>
              </w:rPr>
              <w:t>CR05</w:t>
            </w:r>
          </w:p>
        </w:tc>
        <w:tc>
          <w:tcPr>
            <w:tcW w:w="0" w:type="auto"/>
            <w:shd w:val="clear" w:color="auto" w:fill="auto"/>
          </w:tcPr>
          <w:p w14:paraId="0AED930B" w14:textId="77777777" w:rsidR="008C5CFA" w:rsidRPr="00BA47B4" w:rsidRDefault="00E82A60" w:rsidP="00300A01">
            <w:pPr>
              <w:spacing w:before="0" w:after="0"/>
              <w:rPr>
                <w:sz w:val="12"/>
                <w:szCs w:val="12"/>
                <w:lang w:val="fr-BE"/>
              </w:rPr>
            </w:pPr>
            <w:r w:rsidRPr="00BA47B4">
              <w:rPr>
                <w:noProof/>
                <w:sz w:val="12"/>
                <w:szCs w:val="12"/>
                <w:lang w:val="fr-BE"/>
              </w:rPr>
              <w:t>uczestnicy w niekorzystnej sytuacji społecznej poszukujący pracy, uczestniczący w kształceniu lub szkoleniu, zdobywający kwalifikacje lub pracujący (łącznie z prowadzącymi działalność na własny rachunek) po opuszczeniu programu</w:t>
            </w:r>
          </w:p>
        </w:tc>
        <w:tc>
          <w:tcPr>
            <w:tcW w:w="0" w:type="auto"/>
            <w:shd w:val="clear" w:color="auto" w:fill="auto"/>
          </w:tcPr>
          <w:p w14:paraId="572ED48D" w14:textId="77777777" w:rsidR="008C5CFA" w:rsidRPr="00BA47B4" w:rsidRDefault="00E82A60" w:rsidP="00300A01">
            <w:pPr>
              <w:spacing w:before="0" w:after="0"/>
              <w:rPr>
                <w:sz w:val="12"/>
                <w:szCs w:val="12"/>
                <w:lang w:val="fr-BE"/>
              </w:rPr>
            </w:pPr>
            <w:r w:rsidRPr="00BA47B4">
              <w:rPr>
                <w:noProof/>
                <w:sz w:val="12"/>
                <w:szCs w:val="12"/>
                <w:lang w:val="fr-BE"/>
              </w:rPr>
              <w:t>Słabiej rozwinięte</w:t>
            </w:r>
          </w:p>
        </w:tc>
        <w:tc>
          <w:tcPr>
            <w:tcW w:w="0" w:type="auto"/>
          </w:tcPr>
          <w:p w14:paraId="3A9D10F8" w14:textId="77777777" w:rsidR="008C5CFA" w:rsidRPr="00BA47B4" w:rsidRDefault="00E82A60" w:rsidP="00300A01">
            <w:pPr>
              <w:spacing w:before="0" w:after="0"/>
              <w:jc w:val="right"/>
              <w:rPr>
                <w:sz w:val="12"/>
                <w:szCs w:val="12"/>
                <w:lang w:val="fr-BE"/>
              </w:rPr>
            </w:pPr>
            <w:r w:rsidRPr="00BA47B4">
              <w:rPr>
                <w:noProof/>
                <w:sz w:val="12"/>
                <w:szCs w:val="12"/>
                <w:lang w:val="fr-BE"/>
              </w:rPr>
              <w:t>148,00</w:t>
            </w:r>
          </w:p>
        </w:tc>
        <w:tc>
          <w:tcPr>
            <w:tcW w:w="0" w:type="auto"/>
          </w:tcPr>
          <w:p w14:paraId="36A0DB94" w14:textId="77777777" w:rsidR="008C5CFA" w:rsidRPr="00BA47B4" w:rsidRDefault="00E82A60" w:rsidP="00300A01">
            <w:pPr>
              <w:spacing w:before="0" w:after="0"/>
              <w:jc w:val="right"/>
              <w:rPr>
                <w:sz w:val="12"/>
                <w:szCs w:val="12"/>
                <w:lang w:val="fr-BE"/>
              </w:rPr>
            </w:pPr>
            <w:r w:rsidRPr="00BA47B4">
              <w:rPr>
                <w:noProof/>
                <w:sz w:val="12"/>
                <w:szCs w:val="12"/>
                <w:lang w:val="fr-BE"/>
              </w:rPr>
              <w:t>417,00</w:t>
            </w:r>
          </w:p>
        </w:tc>
        <w:tc>
          <w:tcPr>
            <w:tcW w:w="0" w:type="auto"/>
          </w:tcPr>
          <w:p w14:paraId="54147C4E" w14:textId="77777777" w:rsidR="008C5CFA" w:rsidRPr="00BA47B4" w:rsidRDefault="00E82A60" w:rsidP="00300A01">
            <w:pPr>
              <w:spacing w:before="0" w:after="0"/>
              <w:jc w:val="right"/>
              <w:rPr>
                <w:sz w:val="12"/>
                <w:szCs w:val="12"/>
                <w:lang w:val="fr-BE"/>
              </w:rPr>
            </w:pPr>
            <w:r w:rsidRPr="00BA47B4">
              <w:rPr>
                <w:noProof/>
                <w:sz w:val="12"/>
                <w:szCs w:val="12"/>
                <w:lang w:val="fr-BE"/>
              </w:rPr>
              <w:t>7,00</w:t>
            </w:r>
          </w:p>
        </w:tc>
        <w:tc>
          <w:tcPr>
            <w:tcW w:w="0" w:type="auto"/>
          </w:tcPr>
          <w:p w14:paraId="30F19760" w14:textId="77777777" w:rsidR="008C5CFA" w:rsidRPr="00BA47B4" w:rsidRDefault="00E82A60" w:rsidP="00300A01">
            <w:pPr>
              <w:spacing w:before="0" w:after="0"/>
              <w:jc w:val="right"/>
              <w:rPr>
                <w:sz w:val="12"/>
                <w:szCs w:val="12"/>
                <w:lang w:val="fr-BE"/>
              </w:rPr>
            </w:pPr>
            <w:r w:rsidRPr="00BA47B4">
              <w:rPr>
                <w:noProof/>
                <w:sz w:val="12"/>
                <w:szCs w:val="12"/>
                <w:lang w:val="fr-BE"/>
              </w:rPr>
              <w:t>29,00</w:t>
            </w:r>
          </w:p>
        </w:tc>
        <w:tc>
          <w:tcPr>
            <w:tcW w:w="0" w:type="auto"/>
          </w:tcPr>
          <w:p w14:paraId="3F490BF3"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705C4D74"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201455BA"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47297A57"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1D47372C"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501C451C"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r>
      <w:tr w:rsidR="006B2EC1" w14:paraId="339AB597" w14:textId="77777777" w:rsidTr="0047688D">
        <w:tc>
          <w:tcPr>
            <w:tcW w:w="0" w:type="auto"/>
            <w:shd w:val="clear" w:color="auto" w:fill="auto"/>
          </w:tcPr>
          <w:p w14:paraId="3B238B7E" w14:textId="77777777" w:rsidR="008C5CFA" w:rsidRPr="00BA47B4" w:rsidRDefault="00E82A60" w:rsidP="00300A01">
            <w:pPr>
              <w:spacing w:before="0" w:after="0"/>
              <w:rPr>
                <w:sz w:val="12"/>
                <w:szCs w:val="12"/>
                <w:lang w:val="fr-BE"/>
              </w:rPr>
            </w:pPr>
            <w:r w:rsidRPr="00BA47B4">
              <w:rPr>
                <w:noProof/>
                <w:sz w:val="12"/>
                <w:szCs w:val="12"/>
                <w:lang w:val="fr-BE"/>
              </w:rPr>
              <w:t>CR06</w:t>
            </w:r>
          </w:p>
        </w:tc>
        <w:tc>
          <w:tcPr>
            <w:tcW w:w="0" w:type="auto"/>
            <w:shd w:val="clear" w:color="auto" w:fill="auto"/>
          </w:tcPr>
          <w:p w14:paraId="5DAB2841" w14:textId="77777777" w:rsidR="008C5CFA" w:rsidRPr="00BA47B4" w:rsidRDefault="00E82A60" w:rsidP="00300A01">
            <w:pPr>
              <w:spacing w:before="0" w:after="0"/>
              <w:rPr>
                <w:sz w:val="12"/>
                <w:szCs w:val="12"/>
                <w:lang w:val="fr-BE"/>
              </w:rPr>
            </w:pPr>
            <w:r w:rsidRPr="00BA47B4">
              <w:rPr>
                <w:noProof/>
                <w:sz w:val="12"/>
                <w:szCs w:val="12"/>
                <w:lang w:val="fr-BE"/>
              </w:rPr>
              <w:t>uczestnicy pracujący, łącznie z prowadzącymi działalność na własny rachunek, sześć miesięcy po opuszczeniu programu</w:t>
            </w:r>
          </w:p>
        </w:tc>
        <w:tc>
          <w:tcPr>
            <w:tcW w:w="0" w:type="auto"/>
            <w:shd w:val="clear" w:color="auto" w:fill="auto"/>
          </w:tcPr>
          <w:p w14:paraId="0A342A65" w14:textId="77777777" w:rsidR="008C5CFA" w:rsidRPr="00BA47B4" w:rsidRDefault="00E82A60" w:rsidP="00300A01">
            <w:pPr>
              <w:spacing w:before="0" w:after="0"/>
              <w:rPr>
                <w:sz w:val="12"/>
                <w:szCs w:val="12"/>
                <w:lang w:val="fr-BE"/>
              </w:rPr>
            </w:pPr>
            <w:r w:rsidRPr="00BA47B4">
              <w:rPr>
                <w:noProof/>
                <w:sz w:val="12"/>
                <w:szCs w:val="12"/>
                <w:lang w:val="fr-BE"/>
              </w:rPr>
              <w:t>Słabiej rozwinięte</w:t>
            </w:r>
          </w:p>
        </w:tc>
        <w:tc>
          <w:tcPr>
            <w:tcW w:w="0" w:type="auto"/>
          </w:tcPr>
          <w:p w14:paraId="0E4B23EF" w14:textId="77777777" w:rsidR="008C5CFA" w:rsidRPr="00BA47B4" w:rsidRDefault="00E82A60" w:rsidP="00300A01">
            <w:pPr>
              <w:spacing w:before="0" w:after="0"/>
              <w:jc w:val="right"/>
              <w:rPr>
                <w:sz w:val="12"/>
                <w:szCs w:val="12"/>
                <w:lang w:val="fr-BE"/>
              </w:rPr>
            </w:pPr>
            <w:r w:rsidRPr="00BA47B4">
              <w:rPr>
                <w:noProof/>
                <w:sz w:val="12"/>
                <w:szCs w:val="12"/>
                <w:lang w:val="fr-BE"/>
              </w:rPr>
              <w:t>37,00</w:t>
            </w:r>
          </w:p>
        </w:tc>
        <w:tc>
          <w:tcPr>
            <w:tcW w:w="0" w:type="auto"/>
          </w:tcPr>
          <w:p w14:paraId="73AE46FC" w14:textId="77777777" w:rsidR="008C5CFA" w:rsidRPr="00BA47B4" w:rsidRDefault="00E82A60" w:rsidP="00300A01">
            <w:pPr>
              <w:spacing w:before="0" w:after="0"/>
              <w:jc w:val="right"/>
              <w:rPr>
                <w:sz w:val="12"/>
                <w:szCs w:val="12"/>
                <w:lang w:val="fr-BE"/>
              </w:rPr>
            </w:pPr>
            <w:r w:rsidRPr="00BA47B4">
              <w:rPr>
                <w:noProof/>
                <w:sz w:val="12"/>
                <w:szCs w:val="12"/>
                <w:lang w:val="fr-BE"/>
              </w:rPr>
              <w:t>103,00</w:t>
            </w:r>
          </w:p>
        </w:tc>
        <w:tc>
          <w:tcPr>
            <w:tcW w:w="0" w:type="auto"/>
          </w:tcPr>
          <w:p w14:paraId="7FE63677"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3DC47C6D"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35E62B8E"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5A21A4C6"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57BB36FD"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443979CD"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6C028AE8"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3897D387"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r>
      <w:tr w:rsidR="006B2EC1" w14:paraId="094F23FA" w14:textId="77777777" w:rsidTr="0047688D">
        <w:tc>
          <w:tcPr>
            <w:tcW w:w="0" w:type="auto"/>
            <w:shd w:val="clear" w:color="auto" w:fill="auto"/>
          </w:tcPr>
          <w:p w14:paraId="513529A3" w14:textId="77777777" w:rsidR="008C5CFA" w:rsidRPr="00BA47B4" w:rsidRDefault="00E82A60" w:rsidP="00300A01">
            <w:pPr>
              <w:spacing w:before="0" w:after="0"/>
              <w:rPr>
                <w:sz w:val="12"/>
                <w:szCs w:val="12"/>
                <w:lang w:val="fr-BE"/>
              </w:rPr>
            </w:pPr>
            <w:r w:rsidRPr="00BA47B4">
              <w:rPr>
                <w:noProof/>
                <w:sz w:val="12"/>
                <w:szCs w:val="12"/>
                <w:lang w:val="fr-BE"/>
              </w:rPr>
              <w:t>CR07</w:t>
            </w:r>
          </w:p>
        </w:tc>
        <w:tc>
          <w:tcPr>
            <w:tcW w:w="0" w:type="auto"/>
            <w:shd w:val="clear" w:color="auto" w:fill="auto"/>
          </w:tcPr>
          <w:p w14:paraId="7F8B2C80" w14:textId="77777777" w:rsidR="008C5CFA" w:rsidRPr="00BA47B4" w:rsidRDefault="00E82A60" w:rsidP="00300A01">
            <w:pPr>
              <w:spacing w:before="0" w:after="0"/>
              <w:rPr>
                <w:sz w:val="12"/>
                <w:szCs w:val="12"/>
                <w:lang w:val="fr-BE"/>
              </w:rPr>
            </w:pPr>
            <w:r w:rsidRPr="00BA47B4">
              <w:rPr>
                <w:noProof/>
                <w:sz w:val="12"/>
                <w:szCs w:val="12"/>
                <w:lang w:val="fr-BE"/>
              </w:rPr>
              <w:t>uczestnicy znajdujący się w lepszej sytuacji na rynku pracy sześć miesięcy po opuszczeniu programu</w:t>
            </w:r>
          </w:p>
        </w:tc>
        <w:tc>
          <w:tcPr>
            <w:tcW w:w="0" w:type="auto"/>
            <w:shd w:val="clear" w:color="auto" w:fill="auto"/>
          </w:tcPr>
          <w:p w14:paraId="193725FC" w14:textId="77777777" w:rsidR="008C5CFA" w:rsidRPr="00BA47B4" w:rsidRDefault="00E82A60" w:rsidP="00300A01">
            <w:pPr>
              <w:spacing w:before="0" w:after="0"/>
              <w:rPr>
                <w:sz w:val="12"/>
                <w:szCs w:val="12"/>
                <w:lang w:val="fr-BE"/>
              </w:rPr>
            </w:pPr>
            <w:r w:rsidRPr="00BA47B4">
              <w:rPr>
                <w:noProof/>
                <w:sz w:val="12"/>
                <w:szCs w:val="12"/>
                <w:lang w:val="fr-BE"/>
              </w:rPr>
              <w:t>Słabiej rozwinięte</w:t>
            </w:r>
          </w:p>
        </w:tc>
        <w:tc>
          <w:tcPr>
            <w:tcW w:w="0" w:type="auto"/>
          </w:tcPr>
          <w:p w14:paraId="73B8F535" w14:textId="77777777" w:rsidR="008C5CFA" w:rsidRPr="00BA47B4" w:rsidRDefault="00E82A60" w:rsidP="00300A01">
            <w:pPr>
              <w:spacing w:before="0" w:after="0"/>
              <w:jc w:val="right"/>
              <w:rPr>
                <w:sz w:val="12"/>
                <w:szCs w:val="12"/>
                <w:lang w:val="fr-BE"/>
              </w:rPr>
            </w:pPr>
            <w:r w:rsidRPr="00BA47B4">
              <w:rPr>
                <w:noProof/>
                <w:sz w:val="12"/>
                <w:szCs w:val="12"/>
                <w:lang w:val="fr-BE"/>
              </w:rPr>
              <w:t>9,00</w:t>
            </w:r>
          </w:p>
        </w:tc>
        <w:tc>
          <w:tcPr>
            <w:tcW w:w="0" w:type="auto"/>
          </w:tcPr>
          <w:p w14:paraId="19A3E918" w14:textId="77777777" w:rsidR="008C5CFA" w:rsidRPr="00BA47B4" w:rsidRDefault="00E82A60" w:rsidP="00300A01">
            <w:pPr>
              <w:spacing w:before="0" w:after="0"/>
              <w:jc w:val="right"/>
              <w:rPr>
                <w:sz w:val="12"/>
                <w:szCs w:val="12"/>
                <w:lang w:val="fr-BE"/>
              </w:rPr>
            </w:pPr>
            <w:r w:rsidRPr="00BA47B4">
              <w:rPr>
                <w:noProof/>
                <w:sz w:val="12"/>
                <w:szCs w:val="12"/>
                <w:lang w:val="fr-BE"/>
              </w:rPr>
              <w:t>23,00</w:t>
            </w:r>
          </w:p>
        </w:tc>
        <w:tc>
          <w:tcPr>
            <w:tcW w:w="0" w:type="auto"/>
          </w:tcPr>
          <w:p w14:paraId="4031F47E"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577D5725"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7E850A51"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50E9CA7F"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340A5AC1"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0C48782E"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53373CEC"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09291D21"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r>
      <w:tr w:rsidR="006B2EC1" w14:paraId="624F2939" w14:textId="77777777" w:rsidTr="0047688D">
        <w:tc>
          <w:tcPr>
            <w:tcW w:w="0" w:type="auto"/>
            <w:shd w:val="clear" w:color="auto" w:fill="auto"/>
          </w:tcPr>
          <w:p w14:paraId="3C23EF02" w14:textId="77777777" w:rsidR="008C5CFA" w:rsidRPr="00BA47B4" w:rsidRDefault="00E82A60" w:rsidP="00300A01">
            <w:pPr>
              <w:spacing w:before="0" w:after="0"/>
              <w:rPr>
                <w:sz w:val="12"/>
                <w:szCs w:val="12"/>
                <w:lang w:val="fr-BE"/>
              </w:rPr>
            </w:pPr>
            <w:r w:rsidRPr="00BA47B4">
              <w:rPr>
                <w:noProof/>
                <w:sz w:val="12"/>
                <w:szCs w:val="12"/>
                <w:lang w:val="fr-BE"/>
              </w:rPr>
              <w:t>CR08</w:t>
            </w:r>
          </w:p>
        </w:tc>
        <w:tc>
          <w:tcPr>
            <w:tcW w:w="0" w:type="auto"/>
            <w:shd w:val="clear" w:color="auto" w:fill="auto"/>
          </w:tcPr>
          <w:p w14:paraId="4994FA9D" w14:textId="77777777" w:rsidR="008C5CFA" w:rsidRPr="00BA47B4" w:rsidRDefault="00E82A60" w:rsidP="00300A01">
            <w:pPr>
              <w:spacing w:before="0" w:after="0"/>
              <w:rPr>
                <w:sz w:val="12"/>
                <w:szCs w:val="12"/>
                <w:lang w:val="fr-BE"/>
              </w:rPr>
            </w:pPr>
            <w:r w:rsidRPr="00BA47B4">
              <w:rPr>
                <w:noProof/>
                <w:sz w:val="12"/>
                <w:szCs w:val="12"/>
                <w:lang w:val="fr-BE"/>
              </w:rPr>
              <w:t>uczestnicy powyżej 54 roku życia, pracujący, łącznie z prowadzącymi działalność na własny rachunek, sześć miesięcy po opuszczeniu programu</w:t>
            </w:r>
          </w:p>
        </w:tc>
        <w:tc>
          <w:tcPr>
            <w:tcW w:w="0" w:type="auto"/>
            <w:shd w:val="clear" w:color="auto" w:fill="auto"/>
          </w:tcPr>
          <w:p w14:paraId="735F3F89" w14:textId="77777777" w:rsidR="008C5CFA" w:rsidRPr="00BA47B4" w:rsidRDefault="00E82A60" w:rsidP="00300A01">
            <w:pPr>
              <w:spacing w:before="0" w:after="0"/>
              <w:rPr>
                <w:sz w:val="12"/>
                <w:szCs w:val="12"/>
                <w:lang w:val="fr-BE"/>
              </w:rPr>
            </w:pPr>
            <w:r w:rsidRPr="00BA47B4">
              <w:rPr>
                <w:noProof/>
                <w:sz w:val="12"/>
                <w:szCs w:val="12"/>
                <w:lang w:val="fr-BE"/>
              </w:rPr>
              <w:t>Słabiej rozwinięte</w:t>
            </w:r>
          </w:p>
        </w:tc>
        <w:tc>
          <w:tcPr>
            <w:tcW w:w="0" w:type="auto"/>
          </w:tcPr>
          <w:p w14:paraId="28155731" w14:textId="77777777" w:rsidR="008C5CFA" w:rsidRPr="00BA47B4" w:rsidRDefault="00E82A60" w:rsidP="00300A01">
            <w:pPr>
              <w:spacing w:before="0" w:after="0"/>
              <w:jc w:val="right"/>
              <w:rPr>
                <w:sz w:val="12"/>
                <w:szCs w:val="12"/>
                <w:lang w:val="fr-BE"/>
              </w:rPr>
            </w:pPr>
            <w:r w:rsidRPr="00BA47B4">
              <w:rPr>
                <w:noProof/>
                <w:sz w:val="12"/>
                <w:szCs w:val="12"/>
                <w:lang w:val="fr-BE"/>
              </w:rPr>
              <w:t>1,00</w:t>
            </w:r>
          </w:p>
        </w:tc>
        <w:tc>
          <w:tcPr>
            <w:tcW w:w="0" w:type="auto"/>
          </w:tcPr>
          <w:p w14:paraId="55BEC658" w14:textId="77777777" w:rsidR="008C5CFA" w:rsidRPr="00BA47B4" w:rsidRDefault="00E82A60" w:rsidP="00300A01">
            <w:pPr>
              <w:spacing w:before="0" w:after="0"/>
              <w:jc w:val="right"/>
              <w:rPr>
                <w:sz w:val="12"/>
                <w:szCs w:val="12"/>
                <w:lang w:val="fr-BE"/>
              </w:rPr>
            </w:pPr>
            <w:r w:rsidRPr="00BA47B4">
              <w:rPr>
                <w:noProof/>
                <w:sz w:val="12"/>
                <w:szCs w:val="12"/>
                <w:lang w:val="fr-BE"/>
              </w:rPr>
              <w:t>6,00</w:t>
            </w:r>
          </w:p>
        </w:tc>
        <w:tc>
          <w:tcPr>
            <w:tcW w:w="0" w:type="auto"/>
          </w:tcPr>
          <w:p w14:paraId="12CC0C1E"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38F98ED3"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58E909C5"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7F28B197"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5731E4B1"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301F3770"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389E950F"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36C94454"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r>
      <w:tr w:rsidR="006B2EC1" w14:paraId="0460C4A4" w14:textId="77777777" w:rsidTr="0047688D">
        <w:tc>
          <w:tcPr>
            <w:tcW w:w="0" w:type="auto"/>
            <w:shd w:val="clear" w:color="auto" w:fill="auto"/>
          </w:tcPr>
          <w:p w14:paraId="11ED6054" w14:textId="77777777" w:rsidR="008C5CFA" w:rsidRPr="00BA47B4" w:rsidRDefault="00E82A60" w:rsidP="00300A01">
            <w:pPr>
              <w:spacing w:before="0" w:after="0"/>
              <w:rPr>
                <w:sz w:val="12"/>
                <w:szCs w:val="12"/>
                <w:lang w:val="fr-BE"/>
              </w:rPr>
            </w:pPr>
            <w:r w:rsidRPr="00BA47B4">
              <w:rPr>
                <w:noProof/>
                <w:sz w:val="12"/>
                <w:szCs w:val="12"/>
                <w:lang w:val="fr-BE"/>
              </w:rPr>
              <w:t>CR09</w:t>
            </w:r>
          </w:p>
        </w:tc>
        <w:tc>
          <w:tcPr>
            <w:tcW w:w="0" w:type="auto"/>
            <w:shd w:val="clear" w:color="auto" w:fill="auto"/>
          </w:tcPr>
          <w:p w14:paraId="5A952A37" w14:textId="77777777" w:rsidR="008C5CFA" w:rsidRPr="00BA47B4" w:rsidRDefault="00E82A60" w:rsidP="00300A01">
            <w:pPr>
              <w:spacing w:before="0" w:after="0"/>
              <w:rPr>
                <w:sz w:val="12"/>
                <w:szCs w:val="12"/>
                <w:lang w:val="fr-BE"/>
              </w:rPr>
            </w:pPr>
            <w:r w:rsidRPr="00BA47B4">
              <w:rPr>
                <w:noProof/>
                <w:sz w:val="12"/>
                <w:szCs w:val="12"/>
                <w:lang w:val="fr-BE"/>
              </w:rPr>
              <w:t>uczestnicy w niekorzystnej sytuacji społecznej, pracujący, łącznie z prowadzącymi działalność na własny rachunek, sześć miesięcy po opuszczeniu programu</w:t>
            </w:r>
          </w:p>
        </w:tc>
        <w:tc>
          <w:tcPr>
            <w:tcW w:w="0" w:type="auto"/>
            <w:shd w:val="clear" w:color="auto" w:fill="auto"/>
          </w:tcPr>
          <w:p w14:paraId="2781668F" w14:textId="77777777" w:rsidR="008C5CFA" w:rsidRPr="00BA47B4" w:rsidRDefault="00E82A60" w:rsidP="00300A01">
            <w:pPr>
              <w:spacing w:before="0" w:after="0"/>
              <w:rPr>
                <w:sz w:val="12"/>
                <w:szCs w:val="12"/>
                <w:lang w:val="fr-BE"/>
              </w:rPr>
            </w:pPr>
            <w:r w:rsidRPr="00BA47B4">
              <w:rPr>
                <w:noProof/>
                <w:sz w:val="12"/>
                <w:szCs w:val="12"/>
                <w:lang w:val="fr-BE"/>
              </w:rPr>
              <w:t>Słabiej rozwinięte</w:t>
            </w:r>
          </w:p>
        </w:tc>
        <w:tc>
          <w:tcPr>
            <w:tcW w:w="0" w:type="auto"/>
          </w:tcPr>
          <w:p w14:paraId="2A4848FA" w14:textId="77777777" w:rsidR="008C5CFA" w:rsidRPr="00BA47B4" w:rsidRDefault="00E82A60" w:rsidP="00300A01">
            <w:pPr>
              <w:spacing w:before="0" w:after="0"/>
              <w:jc w:val="right"/>
              <w:rPr>
                <w:sz w:val="12"/>
                <w:szCs w:val="12"/>
                <w:lang w:val="fr-BE"/>
              </w:rPr>
            </w:pPr>
            <w:r w:rsidRPr="00BA47B4">
              <w:rPr>
                <w:noProof/>
                <w:sz w:val="12"/>
                <w:szCs w:val="12"/>
                <w:lang w:val="fr-BE"/>
              </w:rPr>
              <w:t>2,00</w:t>
            </w:r>
          </w:p>
        </w:tc>
        <w:tc>
          <w:tcPr>
            <w:tcW w:w="0" w:type="auto"/>
          </w:tcPr>
          <w:p w14:paraId="32246E2C" w14:textId="77777777" w:rsidR="008C5CFA" w:rsidRPr="00BA47B4" w:rsidRDefault="00E82A60" w:rsidP="00300A01">
            <w:pPr>
              <w:spacing w:before="0" w:after="0"/>
              <w:jc w:val="right"/>
              <w:rPr>
                <w:sz w:val="12"/>
                <w:szCs w:val="12"/>
                <w:lang w:val="fr-BE"/>
              </w:rPr>
            </w:pPr>
            <w:r w:rsidRPr="00BA47B4">
              <w:rPr>
                <w:noProof/>
                <w:sz w:val="12"/>
                <w:szCs w:val="12"/>
                <w:lang w:val="fr-BE"/>
              </w:rPr>
              <w:t>20,00</w:t>
            </w:r>
          </w:p>
        </w:tc>
        <w:tc>
          <w:tcPr>
            <w:tcW w:w="0" w:type="auto"/>
          </w:tcPr>
          <w:p w14:paraId="3AA34F2C"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262125E0"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60B6C283"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5E510802"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65AD2E8F"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3FE00B20"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1117A90A"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53BC9303"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r>
    </w:tbl>
    <w:p w14:paraId="0F64864C" w14:textId="77777777" w:rsidR="008C5CFA" w:rsidRPr="00530285" w:rsidRDefault="008C5CFA" w:rsidP="00300A01">
      <w:pPr>
        <w:keepNext/>
        <w:spacing w:before="0" w:after="0"/>
        <w:rPr>
          <w:sz w:val="20"/>
          <w:szCs w:val="20"/>
        </w:rPr>
      </w:pPr>
    </w:p>
    <w:p w14:paraId="1E80C65C" w14:textId="77777777" w:rsidR="008C5CFA" w:rsidRDefault="00E82A60" w:rsidP="00300A01">
      <w:pPr>
        <w:spacing w:before="0" w:after="0"/>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8"/>
        <w:gridCol w:w="13506"/>
      </w:tblGrid>
      <w:tr w:rsidR="006B2EC1" w14:paraId="39DD987A" w14:textId="77777777" w:rsidTr="0047688D">
        <w:tc>
          <w:tcPr>
            <w:tcW w:w="0" w:type="auto"/>
            <w:shd w:val="clear" w:color="auto" w:fill="auto"/>
          </w:tcPr>
          <w:p w14:paraId="4D468C77" w14:textId="77777777" w:rsidR="008C5CFA" w:rsidRPr="002124FC" w:rsidRDefault="00E82A60" w:rsidP="00300A01">
            <w:pPr>
              <w:spacing w:before="0" w:after="0"/>
              <w:rPr>
                <w:sz w:val="20"/>
                <w:szCs w:val="20"/>
                <w:lang w:val="fr-BE"/>
              </w:rPr>
            </w:pPr>
            <w:r>
              <w:rPr>
                <w:lang w:val="fr-BE"/>
              </w:rPr>
              <w:lastRenderedPageBreak/>
              <w:br w:type="page"/>
            </w:r>
            <w:r>
              <w:rPr>
                <w:lang w:val="fr-BE"/>
              </w:rPr>
              <w:br w:type="page"/>
            </w:r>
            <w:r w:rsidRPr="002124FC">
              <w:rPr>
                <w:noProof/>
                <w:sz w:val="20"/>
                <w:szCs w:val="20"/>
                <w:lang w:val="fr-BE"/>
              </w:rPr>
              <w:t>Oś priorytetowa</w:t>
            </w:r>
          </w:p>
        </w:tc>
        <w:tc>
          <w:tcPr>
            <w:tcW w:w="0" w:type="auto"/>
            <w:shd w:val="clear" w:color="auto" w:fill="auto"/>
          </w:tcPr>
          <w:p w14:paraId="2687914A" w14:textId="77777777" w:rsidR="008C5CFA" w:rsidRPr="002124FC" w:rsidRDefault="00E82A60" w:rsidP="00300A01">
            <w:pPr>
              <w:spacing w:before="0" w:after="0"/>
              <w:rPr>
                <w:sz w:val="20"/>
                <w:szCs w:val="20"/>
                <w:lang w:val="fr-BE"/>
              </w:rPr>
            </w:pPr>
            <w:r w:rsidRPr="002124FC">
              <w:rPr>
                <w:noProof/>
                <w:sz w:val="20"/>
                <w:szCs w:val="20"/>
                <w:lang w:val="fr-BE"/>
              </w:rPr>
              <w:t>8</w:t>
            </w:r>
            <w:r w:rsidRPr="002124FC">
              <w:rPr>
                <w:sz w:val="20"/>
                <w:szCs w:val="20"/>
                <w:lang w:val="fr-BE"/>
              </w:rPr>
              <w:t xml:space="preserve"> - </w:t>
            </w:r>
            <w:r w:rsidRPr="002124FC">
              <w:rPr>
                <w:noProof/>
                <w:sz w:val="20"/>
                <w:szCs w:val="20"/>
                <w:lang w:val="fr-BE"/>
              </w:rPr>
              <w:t>Rozwój edukacji i aktywne społeczeństwo</w:t>
            </w:r>
          </w:p>
        </w:tc>
      </w:tr>
      <w:tr w:rsidR="006B2EC1" w14:paraId="5F56EA05" w14:textId="77777777" w:rsidTr="0047688D">
        <w:tc>
          <w:tcPr>
            <w:tcW w:w="0" w:type="auto"/>
            <w:shd w:val="clear" w:color="auto" w:fill="auto"/>
          </w:tcPr>
          <w:p w14:paraId="052F5CF0" w14:textId="77777777" w:rsidR="008C5CFA" w:rsidRPr="002124FC" w:rsidRDefault="00E82A60"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14:paraId="050D03C9" w14:textId="77777777" w:rsidR="008C5CFA" w:rsidRPr="002124FC" w:rsidRDefault="00E82A60" w:rsidP="00300A01">
            <w:pPr>
              <w:spacing w:before="0" w:after="0"/>
              <w:rPr>
                <w:sz w:val="20"/>
                <w:szCs w:val="20"/>
                <w:lang w:val="fr-BE"/>
              </w:rPr>
            </w:pPr>
            <w:r w:rsidRPr="002124FC">
              <w:rPr>
                <w:noProof/>
                <w:sz w:val="20"/>
                <w:szCs w:val="20"/>
                <w:lang w:val="fr-BE"/>
              </w:rPr>
              <w:t>10iii</w:t>
            </w:r>
            <w:r w:rsidRPr="002124FC">
              <w:rPr>
                <w:sz w:val="20"/>
                <w:szCs w:val="20"/>
                <w:lang w:val="fr-BE"/>
              </w:rPr>
              <w:t xml:space="preserve"> - </w:t>
            </w:r>
            <w:r w:rsidRPr="002124FC">
              <w:rPr>
                <w:noProof/>
                <w:sz w:val="20"/>
                <w:szCs w:val="20"/>
                <w:lang w:val="fr-BE"/>
              </w:rPr>
              <w:t>Wyrównywanie dostępu do uczenia się przez całe życie o charakterze formalnym, nieformalnym i pozaformalnym wszystkich grup wiekowych, poszerzanie wiedzy, zwiększanie umiejętności i kompetencji siły roboczej oraz promowanie elastycznych ścieżek kształcenia, w tym poprzez doradztwo zawodowe i potwierdzanie nabytych kompetencji</w:t>
            </w:r>
          </w:p>
        </w:tc>
      </w:tr>
    </w:tbl>
    <w:p w14:paraId="245C9DE8" w14:textId="77777777" w:rsidR="008C5CFA" w:rsidRPr="00920B4D" w:rsidRDefault="008C5CFA" w:rsidP="00300A01">
      <w:pPr>
        <w:spacing w:before="0" w:after="0"/>
        <w:rPr>
          <w:lang w:val="fr-BE"/>
        </w:rPr>
      </w:pPr>
    </w:p>
    <w:p w14:paraId="102289D4" w14:textId="77777777" w:rsidR="008C5CFA" w:rsidRPr="008E457C" w:rsidRDefault="00E82A60" w:rsidP="005272C2">
      <w:pPr>
        <w:pStyle w:val="Nagwek2"/>
        <w:spacing w:before="0" w:after="0"/>
        <w:rPr>
          <w:lang w:val="fr-BE"/>
        </w:rPr>
      </w:pPr>
      <w:bookmarkStart w:id="60" w:name="_Toc46391744"/>
      <w:r w:rsidRPr="008E457C">
        <w:rPr>
          <w:noProof/>
          <w:lang w:val="fr-BE"/>
        </w:rPr>
        <w:t>Tabela 2C</w:t>
      </w:r>
      <w:r w:rsidRPr="008E457C">
        <w:rPr>
          <w:lang w:val="fr-BE"/>
        </w:rPr>
        <w:t xml:space="preserve"> : </w:t>
      </w:r>
      <w:r w:rsidRPr="008E457C">
        <w:rPr>
          <w:noProof/>
          <w:lang w:val="fr-BE"/>
        </w:rPr>
        <w:t>Specyficzne dla programu wskaźniki rezultatu dla EFS oraz Inicjatywy na rzecz zatrudnienia ludzi młodych</w:t>
      </w:r>
      <w:bookmarkEnd w:id="60"/>
    </w:p>
    <w:p w14:paraId="180E3481"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65"/>
        <w:gridCol w:w="3076"/>
        <w:gridCol w:w="745"/>
        <w:gridCol w:w="1055"/>
        <w:gridCol w:w="1900"/>
        <w:gridCol w:w="1653"/>
        <w:gridCol w:w="448"/>
        <w:gridCol w:w="564"/>
        <w:gridCol w:w="453"/>
        <w:gridCol w:w="448"/>
        <w:gridCol w:w="564"/>
        <w:gridCol w:w="453"/>
        <w:gridCol w:w="464"/>
        <w:gridCol w:w="564"/>
        <w:gridCol w:w="453"/>
        <w:gridCol w:w="464"/>
        <w:gridCol w:w="564"/>
        <w:gridCol w:w="453"/>
        <w:gridCol w:w="598"/>
      </w:tblGrid>
      <w:tr w:rsidR="006B2EC1" w14:paraId="3EA711B4" w14:textId="77777777" w:rsidTr="0047688D">
        <w:trPr>
          <w:tblHeader/>
        </w:trPr>
        <w:tc>
          <w:tcPr>
            <w:tcW w:w="0" w:type="auto"/>
            <w:shd w:val="clear" w:color="auto" w:fill="auto"/>
          </w:tcPr>
          <w:p w14:paraId="7400EBF6" w14:textId="77777777" w:rsidR="008C5CFA" w:rsidRPr="00601E29" w:rsidRDefault="00E82A60" w:rsidP="00300A01">
            <w:pPr>
              <w:spacing w:before="0" w:after="0"/>
              <w:rPr>
                <w:b/>
                <w:sz w:val="10"/>
                <w:szCs w:val="10"/>
                <w:lang w:val="fr-BE"/>
              </w:rPr>
            </w:pPr>
            <w:r w:rsidRPr="00601E29">
              <w:rPr>
                <w:b/>
                <w:noProof/>
                <w:sz w:val="10"/>
                <w:szCs w:val="10"/>
                <w:lang w:val="fr-BE"/>
              </w:rPr>
              <w:t>ID</w:t>
            </w:r>
          </w:p>
        </w:tc>
        <w:tc>
          <w:tcPr>
            <w:tcW w:w="0" w:type="auto"/>
            <w:shd w:val="clear" w:color="auto" w:fill="auto"/>
          </w:tcPr>
          <w:p w14:paraId="626937EC" w14:textId="77777777" w:rsidR="008C5CFA" w:rsidRPr="00601E29" w:rsidRDefault="00E82A60" w:rsidP="00300A01">
            <w:pPr>
              <w:spacing w:before="0" w:after="0"/>
              <w:rPr>
                <w:b/>
                <w:sz w:val="10"/>
                <w:szCs w:val="10"/>
                <w:lang w:val="fr-BE"/>
              </w:rPr>
            </w:pPr>
            <w:r w:rsidRPr="00601E29">
              <w:rPr>
                <w:b/>
                <w:noProof/>
                <w:sz w:val="10"/>
                <w:szCs w:val="10"/>
                <w:lang w:val="fr-BE"/>
              </w:rPr>
              <w:t>Wskaźnik</w:t>
            </w:r>
          </w:p>
        </w:tc>
        <w:tc>
          <w:tcPr>
            <w:tcW w:w="0" w:type="auto"/>
            <w:shd w:val="clear" w:color="auto" w:fill="auto"/>
          </w:tcPr>
          <w:p w14:paraId="799346CD" w14:textId="77777777" w:rsidR="008C5CFA" w:rsidRPr="00601E29" w:rsidRDefault="00E82A60" w:rsidP="00300A01">
            <w:pPr>
              <w:spacing w:before="0" w:after="0"/>
              <w:rPr>
                <w:b/>
                <w:sz w:val="10"/>
                <w:szCs w:val="10"/>
                <w:lang w:val="fr-BE"/>
              </w:rPr>
            </w:pPr>
            <w:r w:rsidRPr="00601E29">
              <w:rPr>
                <w:b/>
                <w:noProof/>
                <w:sz w:val="10"/>
                <w:szCs w:val="10"/>
                <w:lang w:val="fr-BE"/>
              </w:rPr>
              <w:t>Kategoria regionu</w:t>
            </w:r>
          </w:p>
        </w:tc>
        <w:tc>
          <w:tcPr>
            <w:tcW w:w="0" w:type="auto"/>
            <w:shd w:val="clear" w:color="auto" w:fill="auto"/>
          </w:tcPr>
          <w:p w14:paraId="22102029" w14:textId="77777777" w:rsidR="008C5CFA" w:rsidRPr="00601E29" w:rsidRDefault="00E82A60" w:rsidP="00300A01">
            <w:pPr>
              <w:spacing w:before="0" w:after="0"/>
              <w:rPr>
                <w:b/>
                <w:sz w:val="10"/>
                <w:szCs w:val="10"/>
                <w:lang w:val="fr-BE"/>
              </w:rPr>
            </w:pPr>
            <w:r w:rsidRPr="00785F4A">
              <w:rPr>
                <w:b/>
                <w:noProof/>
                <w:sz w:val="10"/>
                <w:szCs w:val="10"/>
                <w:lang w:val="fr-BE"/>
              </w:rPr>
              <w:t>Jednostka pomiaru wskaźnika</w:t>
            </w:r>
          </w:p>
        </w:tc>
        <w:tc>
          <w:tcPr>
            <w:tcW w:w="0" w:type="auto"/>
            <w:shd w:val="clear" w:color="auto" w:fill="auto"/>
          </w:tcPr>
          <w:p w14:paraId="5FAE77C5" w14:textId="77777777" w:rsidR="008C5CFA" w:rsidRPr="00601E29" w:rsidRDefault="00E82A60" w:rsidP="00300A01">
            <w:pPr>
              <w:spacing w:before="0" w:after="0"/>
              <w:rPr>
                <w:b/>
                <w:sz w:val="10"/>
                <w:szCs w:val="10"/>
                <w:lang w:val="fr-BE"/>
              </w:rPr>
            </w:pPr>
            <w:r w:rsidRPr="00601E29">
              <w:rPr>
                <w:b/>
                <w:noProof/>
                <w:sz w:val="10"/>
                <w:szCs w:val="10"/>
                <w:lang w:val="fr-BE"/>
              </w:rPr>
              <w:t>Wskaźnik produktu stosowany jako podstawa do ustalania celów</w:t>
            </w:r>
          </w:p>
        </w:tc>
        <w:tc>
          <w:tcPr>
            <w:tcW w:w="0" w:type="auto"/>
            <w:shd w:val="clear" w:color="auto" w:fill="auto"/>
          </w:tcPr>
          <w:p w14:paraId="4335A738" w14:textId="77777777" w:rsidR="008C5CFA" w:rsidRPr="00601E29" w:rsidRDefault="00E82A60" w:rsidP="00300A01">
            <w:pPr>
              <w:spacing w:before="0" w:after="0"/>
              <w:rPr>
                <w:b/>
                <w:sz w:val="10"/>
                <w:szCs w:val="10"/>
                <w:lang w:val="fr-BE"/>
              </w:rPr>
            </w:pPr>
            <w:r w:rsidRPr="00601E29">
              <w:rPr>
                <w:b/>
                <w:noProof/>
                <w:sz w:val="10"/>
                <w:szCs w:val="10"/>
                <w:lang w:val="fr-BE"/>
              </w:rPr>
              <w:t>Jednostka pomiaru dla wartości bazowej i docelowej</w:t>
            </w:r>
          </w:p>
        </w:tc>
        <w:tc>
          <w:tcPr>
            <w:tcW w:w="0" w:type="auto"/>
            <w:gridSpan w:val="3"/>
            <w:shd w:val="clear" w:color="auto" w:fill="auto"/>
          </w:tcPr>
          <w:p w14:paraId="7C5CE356" w14:textId="77777777" w:rsidR="008C5CFA" w:rsidRPr="00601E29" w:rsidRDefault="00E82A60" w:rsidP="00300A01">
            <w:pPr>
              <w:spacing w:before="0" w:after="0"/>
              <w:jc w:val="center"/>
              <w:rPr>
                <w:b/>
                <w:sz w:val="10"/>
                <w:szCs w:val="10"/>
                <w:lang w:val="fr-BE"/>
              </w:rPr>
            </w:pPr>
            <w:r w:rsidRPr="00601E29">
              <w:rPr>
                <w:b/>
                <w:noProof/>
                <w:sz w:val="10"/>
                <w:szCs w:val="10"/>
                <w:lang w:val="fr-BE"/>
              </w:rPr>
              <w:t>Wartość docelowa (2023)</w:t>
            </w:r>
          </w:p>
        </w:tc>
        <w:tc>
          <w:tcPr>
            <w:tcW w:w="0" w:type="auto"/>
            <w:gridSpan w:val="3"/>
            <w:shd w:val="clear" w:color="auto" w:fill="auto"/>
          </w:tcPr>
          <w:p w14:paraId="128A4BD6" w14:textId="77777777" w:rsidR="008C5CFA" w:rsidRPr="00601E29" w:rsidRDefault="00E82A60" w:rsidP="00300A01">
            <w:pPr>
              <w:spacing w:before="0" w:after="0"/>
              <w:jc w:val="center"/>
              <w:rPr>
                <w:b/>
                <w:sz w:val="10"/>
                <w:szCs w:val="10"/>
                <w:lang w:val="fr-BE"/>
              </w:rPr>
            </w:pPr>
            <w:r w:rsidRPr="00601E29">
              <w:rPr>
                <w:b/>
                <w:noProof/>
                <w:sz w:val="10"/>
                <w:szCs w:val="10"/>
                <w:lang w:val="fr-BE"/>
              </w:rPr>
              <w:t>Wskaźnik osiągnięć</w:t>
            </w:r>
          </w:p>
        </w:tc>
        <w:tc>
          <w:tcPr>
            <w:tcW w:w="0" w:type="auto"/>
            <w:gridSpan w:val="7"/>
            <w:shd w:val="clear" w:color="auto" w:fill="auto"/>
          </w:tcPr>
          <w:p w14:paraId="5E8C124E" w14:textId="77777777" w:rsidR="008C5CFA" w:rsidRPr="00601E29" w:rsidRDefault="00E82A60" w:rsidP="00300A01">
            <w:pPr>
              <w:spacing w:before="0" w:after="0"/>
              <w:jc w:val="center"/>
              <w:rPr>
                <w:b/>
                <w:sz w:val="10"/>
                <w:szCs w:val="10"/>
                <w:lang w:val="fr-BE"/>
              </w:rPr>
            </w:pPr>
            <w:r>
              <w:rPr>
                <w:b/>
                <w:sz w:val="10"/>
                <w:szCs w:val="10"/>
                <w:lang w:val="fr-BE"/>
              </w:rPr>
              <w:t>2019</w:t>
            </w:r>
          </w:p>
        </w:tc>
      </w:tr>
      <w:tr w:rsidR="006B2EC1" w14:paraId="5E15265B" w14:textId="77777777" w:rsidTr="0047688D">
        <w:trPr>
          <w:tblHeader/>
        </w:trPr>
        <w:tc>
          <w:tcPr>
            <w:tcW w:w="0" w:type="auto"/>
            <w:shd w:val="clear" w:color="auto" w:fill="auto"/>
          </w:tcPr>
          <w:p w14:paraId="2A5EF84A" w14:textId="77777777" w:rsidR="008C5CFA" w:rsidRPr="00601E29" w:rsidRDefault="008C5CFA" w:rsidP="00300A01">
            <w:pPr>
              <w:spacing w:before="0" w:after="0"/>
              <w:rPr>
                <w:b/>
                <w:sz w:val="10"/>
                <w:szCs w:val="10"/>
                <w:lang w:val="fr-BE"/>
              </w:rPr>
            </w:pPr>
          </w:p>
        </w:tc>
        <w:tc>
          <w:tcPr>
            <w:tcW w:w="0" w:type="auto"/>
            <w:shd w:val="clear" w:color="auto" w:fill="auto"/>
          </w:tcPr>
          <w:p w14:paraId="1867F6D1" w14:textId="77777777" w:rsidR="008C5CFA" w:rsidRPr="00601E29" w:rsidRDefault="008C5CFA" w:rsidP="00300A01">
            <w:pPr>
              <w:spacing w:before="0" w:after="0"/>
              <w:rPr>
                <w:b/>
                <w:sz w:val="10"/>
                <w:szCs w:val="10"/>
                <w:lang w:val="fr-BE"/>
              </w:rPr>
            </w:pPr>
          </w:p>
        </w:tc>
        <w:tc>
          <w:tcPr>
            <w:tcW w:w="0" w:type="auto"/>
            <w:shd w:val="clear" w:color="auto" w:fill="auto"/>
          </w:tcPr>
          <w:p w14:paraId="677471C9" w14:textId="77777777" w:rsidR="008C5CFA" w:rsidRPr="00601E29" w:rsidRDefault="008C5CFA" w:rsidP="00300A01">
            <w:pPr>
              <w:spacing w:before="0" w:after="0"/>
              <w:rPr>
                <w:b/>
                <w:sz w:val="10"/>
                <w:szCs w:val="10"/>
                <w:lang w:val="fr-BE"/>
              </w:rPr>
            </w:pPr>
          </w:p>
        </w:tc>
        <w:tc>
          <w:tcPr>
            <w:tcW w:w="0" w:type="auto"/>
            <w:shd w:val="clear" w:color="auto" w:fill="auto"/>
          </w:tcPr>
          <w:p w14:paraId="793E1F42" w14:textId="77777777" w:rsidR="008C5CFA" w:rsidRPr="00601E29" w:rsidRDefault="008C5CFA" w:rsidP="00300A01">
            <w:pPr>
              <w:spacing w:before="0" w:after="0"/>
              <w:rPr>
                <w:b/>
                <w:sz w:val="10"/>
                <w:szCs w:val="10"/>
                <w:lang w:val="fr-BE"/>
              </w:rPr>
            </w:pPr>
          </w:p>
        </w:tc>
        <w:tc>
          <w:tcPr>
            <w:tcW w:w="0" w:type="auto"/>
            <w:shd w:val="clear" w:color="auto" w:fill="auto"/>
          </w:tcPr>
          <w:p w14:paraId="5F420EC0" w14:textId="77777777" w:rsidR="008C5CFA" w:rsidRPr="00601E29" w:rsidRDefault="008C5CFA" w:rsidP="00300A01">
            <w:pPr>
              <w:spacing w:before="0" w:after="0"/>
              <w:rPr>
                <w:b/>
                <w:sz w:val="10"/>
                <w:szCs w:val="10"/>
                <w:lang w:val="fr-BE"/>
              </w:rPr>
            </w:pPr>
          </w:p>
        </w:tc>
        <w:tc>
          <w:tcPr>
            <w:tcW w:w="0" w:type="auto"/>
            <w:shd w:val="clear" w:color="auto" w:fill="auto"/>
          </w:tcPr>
          <w:p w14:paraId="043CCB9F" w14:textId="77777777" w:rsidR="008C5CFA" w:rsidRPr="00601E29" w:rsidRDefault="008C5CFA" w:rsidP="00300A01">
            <w:pPr>
              <w:spacing w:before="0" w:after="0"/>
              <w:rPr>
                <w:b/>
                <w:sz w:val="10"/>
                <w:szCs w:val="10"/>
                <w:lang w:val="fr-BE"/>
              </w:rPr>
            </w:pPr>
          </w:p>
        </w:tc>
        <w:tc>
          <w:tcPr>
            <w:tcW w:w="0" w:type="auto"/>
            <w:shd w:val="clear" w:color="auto" w:fill="auto"/>
          </w:tcPr>
          <w:p w14:paraId="2B5C4D82" w14:textId="77777777" w:rsidR="008C5CFA" w:rsidRPr="00601E29" w:rsidRDefault="008C5CFA" w:rsidP="00300A01">
            <w:pPr>
              <w:spacing w:before="0" w:after="0"/>
              <w:jc w:val="center"/>
              <w:rPr>
                <w:b/>
                <w:sz w:val="10"/>
                <w:szCs w:val="10"/>
                <w:lang w:val="fr-BE"/>
              </w:rPr>
            </w:pPr>
          </w:p>
        </w:tc>
        <w:tc>
          <w:tcPr>
            <w:tcW w:w="0" w:type="auto"/>
            <w:shd w:val="clear" w:color="auto" w:fill="auto"/>
          </w:tcPr>
          <w:p w14:paraId="0F16374A" w14:textId="77777777" w:rsidR="008C5CFA" w:rsidRPr="00601E29" w:rsidRDefault="008C5CFA" w:rsidP="00300A01">
            <w:pPr>
              <w:spacing w:before="0" w:after="0"/>
              <w:jc w:val="center"/>
              <w:rPr>
                <w:b/>
                <w:sz w:val="10"/>
                <w:szCs w:val="10"/>
                <w:lang w:val="fr-BE"/>
              </w:rPr>
            </w:pPr>
          </w:p>
        </w:tc>
        <w:tc>
          <w:tcPr>
            <w:tcW w:w="0" w:type="auto"/>
            <w:shd w:val="clear" w:color="auto" w:fill="auto"/>
          </w:tcPr>
          <w:p w14:paraId="6253DB29" w14:textId="77777777" w:rsidR="008C5CFA" w:rsidRPr="00601E29" w:rsidRDefault="008C5CFA" w:rsidP="00300A01">
            <w:pPr>
              <w:spacing w:before="0" w:after="0"/>
              <w:jc w:val="center"/>
              <w:rPr>
                <w:b/>
                <w:sz w:val="10"/>
                <w:szCs w:val="10"/>
                <w:lang w:val="fr-BE"/>
              </w:rPr>
            </w:pPr>
          </w:p>
        </w:tc>
        <w:tc>
          <w:tcPr>
            <w:tcW w:w="0" w:type="auto"/>
            <w:shd w:val="clear" w:color="auto" w:fill="auto"/>
          </w:tcPr>
          <w:p w14:paraId="460BA676" w14:textId="77777777" w:rsidR="008C5CFA" w:rsidRPr="00601E29" w:rsidRDefault="008C5CFA" w:rsidP="00300A01">
            <w:pPr>
              <w:spacing w:before="0" w:after="0"/>
              <w:jc w:val="center"/>
              <w:rPr>
                <w:b/>
                <w:sz w:val="10"/>
                <w:szCs w:val="10"/>
                <w:lang w:val="fr-BE"/>
              </w:rPr>
            </w:pPr>
          </w:p>
        </w:tc>
        <w:tc>
          <w:tcPr>
            <w:tcW w:w="0" w:type="auto"/>
            <w:shd w:val="clear" w:color="auto" w:fill="auto"/>
          </w:tcPr>
          <w:p w14:paraId="47FDCC4B" w14:textId="77777777" w:rsidR="008C5CFA" w:rsidRPr="00601E29" w:rsidRDefault="008C5CFA" w:rsidP="00300A01">
            <w:pPr>
              <w:spacing w:before="0" w:after="0"/>
              <w:jc w:val="center"/>
              <w:rPr>
                <w:b/>
                <w:sz w:val="10"/>
                <w:szCs w:val="10"/>
                <w:lang w:val="fr-BE"/>
              </w:rPr>
            </w:pPr>
          </w:p>
        </w:tc>
        <w:tc>
          <w:tcPr>
            <w:tcW w:w="0" w:type="auto"/>
            <w:shd w:val="clear" w:color="auto" w:fill="auto"/>
          </w:tcPr>
          <w:p w14:paraId="6E932166" w14:textId="77777777" w:rsidR="008C5CFA" w:rsidRPr="00601E29" w:rsidRDefault="008C5CFA" w:rsidP="00300A01">
            <w:pPr>
              <w:spacing w:before="0" w:after="0"/>
              <w:jc w:val="center"/>
              <w:rPr>
                <w:b/>
                <w:sz w:val="10"/>
                <w:szCs w:val="10"/>
                <w:lang w:val="fr-BE"/>
              </w:rPr>
            </w:pPr>
          </w:p>
        </w:tc>
        <w:tc>
          <w:tcPr>
            <w:tcW w:w="0" w:type="auto"/>
            <w:gridSpan w:val="3"/>
            <w:shd w:val="clear" w:color="auto" w:fill="auto"/>
          </w:tcPr>
          <w:p w14:paraId="1D754330" w14:textId="77777777" w:rsidR="008C5CFA" w:rsidRPr="00601E29" w:rsidRDefault="00E82A60" w:rsidP="00300A01">
            <w:pPr>
              <w:spacing w:before="0" w:after="0"/>
              <w:jc w:val="center"/>
              <w:rPr>
                <w:b/>
                <w:sz w:val="10"/>
                <w:szCs w:val="10"/>
                <w:lang w:val="fr-BE"/>
              </w:rPr>
            </w:pPr>
            <w:r w:rsidRPr="00601E29">
              <w:rPr>
                <w:b/>
                <w:noProof/>
                <w:sz w:val="10"/>
                <w:szCs w:val="10"/>
                <w:lang w:val="fr-BE"/>
              </w:rPr>
              <w:t>Łącznie</w:t>
            </w:r>
          </w:p>
        </w:tc>
        <w:tc>
          <w:tcPr>
            <w:tcW w:w="0" w:type="auto"/>
            <w:gridSpan w:val="3"/>
          </w:tcPr>
          <w:p w14:paraId="369F491A" w14:textId="77777777" w:rsidR="008C5CFA" w:rsidRPr="00601E29" w:rsidRDefault="00E82A60" w:rsidP="00300A01">
            <w:pPr>
              <w:spacing w:before="0" w:after="0"/>
              <w:jc w:val="center"/>
              <w:rPr>
                <w:b/>
                <w:sz w:val="10"/>
                <w:szCs w:val="10"/>
                <w:lang w:val="fr-BE"/>
              </w:rPr>
            </w:pPr>
            <w:r w:rsidRPr="00601E29">
              <w:rPr>
                <w:b/>
                <w:noProof/>
                <w:sz w:val="10"/>
                <w:szCs w:val="10"/>
                <w:lang w:val="fr-BE"/>
              </w:rPr>
              <w:t>Łącznie w roku</w:t>
            </w:r>
          </w:p>
        </w:tc>
        <w:tc>
          <w:tcPr>
            <w:tcW w:w="0" w:type="auto"/>
          </w:tcPr>
          <w:p w14:paraId="17C43AEC" w14:textId="77777777" w:rsidR="008C5CFA" w:rsidRPr="00601E29" w:rsidRDefault="00E82A60" w:rsidP="00300A01">
            <w:pPr>
              <w:spacing w:before="0" w:after="0"/>
              <w:jc w:val="center"/>
              <w:rPr>
                <w:b/>
                <w:sz w:val="10"/>
                <w:szCs w:val="10"/>
                <w:lang w:val="fr-BE"/>
              </w:rPr>
            </w:pPr>
            <w:r w:rsidRPr="00601E29">
              <w:rPr>
                <w:b/>
                <w:noProof/>
                <w:sz w:val="10"/>
                <w:szCs w:val="10"/>
                <w:lang w:val="fr-BE"/>
              </w:rPr>
              <w:t>Jakościowe</w:t>
            </w:r>
          </w:p>
        </w:tc>
      </w:tr>
      <w:tr w:rsidR="006B2EC1" w14:paraId="3F0549C2" w14:textId="77777777" w:rsidTr="0047688D">
        <w:trPr>
          <w:tblHeader/>
        </w:trPr>
        <w:tc>
          <w:tcPr>
            <w:tcW w:w="0" w:type="auto"/>
            <w:shd w:val="clear" w:color="auto" w:fill="auto"/>
          </w:tcPr>
          <w:p w14:paraId="6C6D5ADB" w14:textId="77777777" w:rsidR="008C5CFA" w:rsidRPr="00601E29" w:rsidRDefault="008C5CFA" w:rsidP="00300A01">
            <w:pPr>
              <w:spacing w:before="0" w:after="0"/>
              <w:rPr>
                <w:b/>
                <w:sz w:val="10"/>
                <w:szCs w:val="10"/>
                <w:lang w:val="fr-BE"/>
              </w:rPr>
            </w:pPr>
          </w:p>
        </w:tc>
        <w:tc>
          <w:tcPr>
            <w:tcW w:w="0" w:type="auto"/>
            <w:shd w:val="clear" w:color="auto" w:fill="auto"/>
          </w:tcPr>
          <w:p w14:paraId="3A436FAE" w14:textId="77777777" w:rsidR="008C5CFA" w:rsidRPr="00601E29" w:rsidRDefault="008C5CFA" w:rsidP="00300A01">
            <w:pPr>
              <w:spacing w:before="0" w:after="0"/>
              <w:rPr>
                <w:b/>
                <w:sz w:val="10"/>
                <w:szCs w:val="10"/>
                <w:lang w:val="fr-BE"/>
              </w:rPr>
            </w:pPr>
          </w:p>
        </w:tc>
        <w:tc>
          <w:tcPr>
            <w:tcW w:w="0" w:type="auto"/>
            <w:shd w:val="clear" w:color="auto" w:fill="auto"/>
          </w:tcPr>
          <w:p w14:paraId="4820443F" w14:textId="77777777" w:rsidR="008C5CFA" w:rsidRPr="00601E29" w:rsidRDefault="008C5CFA" w:rsidP="00300A01">
            <w:pPr>
              <w:spacing w:before="0" w:after="0"/>
              <w:rPr>
                <w:b/>
                <w:sz w:val="10"/>
                <w:szCs w:val="10"/>
                <w:lang w:val="fr-BE"/>
              </w:rPr>
            </w:pPr>
          </w:p>
        </w:tc>
        <w:tc>
          <w:tcPr>
            <w:tcW w:w="0" w:type="auto"/>
            <w:shd w:val="clear" w:color="auto" w:fill="auto"/>
          </w:tcPr>
          <w:p w14:paraId="18E6FD28" w14:textId="77777777" w:rsidR="008C5CFA" w:rsidRPr="00601E29" w:rsidRDefault="008C5CFA" w:rsidP="00300A01">
            <w:pPr>
              <w:spacing w:before="0" w:after="0"/>
              <w:rPr>
                <w:b/>
                <w:sz w:val="10"/>
                <w:szCs w:val="10"/>
                <w:lang w:val="fr-BE"/>
              </w:rPr>
            </w:pPr>
          </w:p>
        </w:tc>
        <w:tc>
          <w:tcPr>
            <w:tcW w:w="0" w:type="auto"/>
            <w:shd w:val="clear" w:color="auto" w:fill="auto"/>
          </w:tcPr>
          <w:p w14:paraId="708A99F5" w14:textId="77777777" w:rsidR="008C5CFA" w:rsidRPr="00601E29" w:rsidRDefault="008C5CFA" w:rsidP="00300A01">
            <w:pPr>
              <w:spacing w:before="0" w:after="0"/>
              <w:rPr>
                <w:b/>
                <w:sz w:val="10"/>
                <w:szCs w:val="10"/>
                <w:lang w:val="fr-BE"/>
              </w:rPr>
            </w:pPr>
          </w:p>
        </w:tc>
        <w:tc>
          <w:tcPr>
            <w:tcW w:w="0" w:type="auto"/>
            <w:shd w:val="clear" w:color="auto" w:fill="auto"/>
          </w:tcPr>
          <w:p w14:paraId="10412F36" w14:textId="77777777" w:rsidR="008C5CFA" w:rsidRPr="00601E29" w:rsidRDefault="008C5CFA" w:rsidP="00300A01">
            <w:pPr>
              <w:spacing w:before="0" w:after="0"/>
              <w:rPr>
                <w:b/>
                <w:sz w:val="10"/>
                <w:szCs w:val="10"/>
                <w:lang w:val="fr-BE"/>
              </w:rPr>
            </w:pPr>
          </w:p>
        </w:tc>
        <w:tc>
          <w:tcPr>
            <w:tcW w:w="0" w:type="auto"/>
            <w:shd w:val="clear" w:color="auto" w:fill="auto"/>
          </w:tcPr>
          <w:p w14:paraId="2FBCF0FA" w14:textId="77777777" w:rsidR="008C5CFA" w:rsidRPr="00601E29" w:rsidRDefault="00E82A60" w:rsidP="00300A01">
            <w:pPr>
              <w:spacing w:before="0" w:after="0"/>
              <w:jc w:val="center"/>
              <w:rPr>
                <w:b/>
                <w:sz w:val="10"/>
                <w:szCs w:val="10"/>
                <w:lang w:val="fr-BE"/>
              </w:rPr>
            </w:pPr>
            <w:r w:rsidRPr="00601E29">
              <w:rPr>
                <w:b/>
                <w:noProof/>
                <w:sz w:val="10"/>
                <w:szCs w:val="10"/>
                <w:lang w:val="fr-BE"/>
              </w:rPr>
              <w:t>Ogółem</w:t>
            </w:r>
          </w:p>
        </w:tc>
        <w:tc>
          <w:tcPr>
            <w:tcW w:w="0" w:type="auto"/>
            <w:shd w:val="clear" w:color="auto" w:fill="auto"/>
          </w:tcPr>
          <w:p w14:paraId="7E756FCC" w14:textId="77777777" w:rsidR="008C5CFA" w:rsidRPr="00601E29" w:rsidRDefault="00E82A60" w:rsidP="00300A01">
            <w:pPr>
              <w:spacing w:before="0" w:after="0"/>
              <w:jc w:val="center"/>
              <w:rPr>
                <w:b/>
                <w:sz w:val="10"/>
                <w:szCs w:val="10"/>
                <w:lang w:val="fr-BE"/>
              </w:rPr>
            </w:pPr>
            <w:r w:rsidRPr="00601E29">
              <w:rPr>
                <w:b/>
                <w:noProof/>
                <w:sz w:val="10"/>
                <w:szCs w:val="10"/>
                <w:lang w:val="fr-BE"/>
              </w:rPr>
              <w:t>Mężczyźni</w:t>
            </w:r>
          </w:p>
        </w:tc>
        <w:tc>
          <w:tcPr>
            <w:tcW w:w="0" w:type="auto"/>
            <w:shd w:val="clear" w:color="auto" w:fill="auto"/>
          </w:tcPr>
          <w:p w14:paraId="7A4EE229" w14:textId="77777777" w:rsidR="008C5CFA" w:rsidRPr="00601E29" w:rsidRDefault="00E82A60" w:rsidP="00300A01">
            <w:pPr>
              <w:spacing w:before="0" w:after="0"/>
              <w:jc w:val="center"/>
              <w:rPr>
                <w:b/>
                <w:sz w:val="10"/>
                <w:szCs w:val="10"/>
                <w:lang w:val="fr-BE"/>
              </w:rPr>
            </w:pPr>
            <w:r w:rsidRPr="00601E29">
              <w:rPr>
                <w:b/>
                <w:noProof/>
                <w:sz w:val="10"/>
                <w:szCs w:val="10"/>
                <w:lang w:val="fr-BE"/>
              </w:rPr>
              <w:t>Kobiety</w:t>
            </w:r>
          </w:p>
        </w:tc>
        <w:tc>
          <w:tcPr>
            <w:tcW w:w="0" w:type="auto"/>
            <w:shd w:val="clear" w:color="auto" w:fill="auto"/>
          </w:tcPr>
          <w:p w14:paraId="3F47453E" w14:textId="77777777" w:rsidR="008C5CFA" w:rsidRPr="00601E29" w:rsidRDefault="00E82A60" w:rsidP="00300A01">
            <w:pPr>
              <w:spacing w:before="0" w:after="0"/>
              <w:jc w:val="center"/>
              <w:rPr>
                <w:b/>
                <w:sz w:val="10"/>
                <w:szCs w:val="10"/>
                <w:lang w:val="fr-BE"/>
              </w:rPr>
            </w:pPr>
            <w:r w:rsidRPr="00601E29">
              <w:rPr>
                <w:b/>
                <w:noProof/>
                <w:sz w:val="10"/>
                <w:szCs w:val="10"/>
                <w:lang w:val="fr-BE"/>
              </w:rPr>
              <w:t>Ogółem</w:t>
            </w:r>
          </w:p>
        </w:tc>
        <w:tc>
          <w:tcPr>
            <w:tcW w:w="0" w:type="auto"/>
            <w:shd w:val="clear" w:color="auto" w:fill="auto"/>
          </w:tcPr>
          <w:p w14:paraId="2C38293A" w14:textId="77777777" w:rsidR="008C5CFA" w:rsidRPr="00601E29" w:rsidRDefault="00E82A60" w:rsidP="00300A01">
            <w:pPr>
              <w:spacing w:before="0" w:after="0"/>
              <w:jc w:val="center"/>
              <w:rPr>
                <w:b/>
                <w:sz w:val="10"/>
                <w:szCs w:val="10"/>
                <w:lang w:val="fr-BE"/>
              </w:rPr>
            </w:pPr>
            <w:r w:rsidRPr="00601E29">
              <w:rPr>
                <w:b/>
                <w:noProof/>
                <w:sz w:val="10"/>
                <w:szCs w:val="10"/>
                <w:lang w:val="fr-BE"/>
              </w:rPr>
              <w:t>Mężczyźni</w:t>
            </w:r>
          </w:p>
        </w:tc>
        <w:tc>
          <w:tcPr>
            <w:tcW w:w="0" w:type="auto"/>
            <w:shd w:val="clear" w:color="auto" w:fill="auto"/>
          </w:tcPr>
          <w:p w14:paraId="01925769" w14:textId="77777777" w:rsidR="008C5CFA" w:rsidRPr="00601E29" w:rsidRDefault="00E82A60" w:rsidP="00300A01">
            <w:pPr>
              <w:spacing w:before="0" w:after="0"/>
              <w:jc w:val="center"/>
              <w:rPr>
                <w:b/>
                <w:sz w:val="10"/>
                <w:szCs w:val="10"/>
                <w:lang w:val="fr-BE"/>
              </w:rPr>
            </w:pPr>
            <w:r w:rsidRPr="00601E29">
              <w:rPr>
                <w:b/>
                <w:noProof/>
                <w:sz w:val="10"/>
                <w:szCs w:val="10"/>
                <w:lang w:val="fr-BE"/>
              </w:rPr>
              <w:t>Kobiety</w:t>
            </w:r>
          </w:p>
        </w:tc>
        <w:tc>
          <w:tcPr>
            <w:tcW w:w="0" w:type="auto"/>
            <w:shd w:val="clear" w:color="auto" w:fill="auto"/>
          </w:tcPr>
          <w:p w14:paraId="6630199B" w14:textId="77777777" w:rsidR="008C5CFA" w:rsidRPr="00601E29" w:rsidRDefault="00E82A60" w:rsidP="00300A01">
            <w:pPr>
              <w:spacing w:before="0" w:after="0"/>
              <w:jc w:val="center"/>
              <w:rPr>
                <w:b/>
                <w:sz w:val="10"/>
                <w:szCs w:val="10"/>
                <w:lang w:val="fr-BE"/>
              </w:rPr>
            </w:pPr>
            <w:r w:rsidRPr="00601E29">
              <w:rPr>
                <w:b/>
                <w:noProof/>
                <w:sz w:val="10"/>
                <w:szCs w:val="10"/>
                <w:lang w:val="fr-BE"/>
              </w:rPr>
              <w:t>Ogółem</w:t>
            </w:r>
          </w:p>
        </w:tc>
        <w:tc>
          <w:tcPr>
            <w:tcW w:w="0" w:type="auto"/>
            <w:shd w:val="clear" w:color="auto" w:fill="auto"/>
          </w:tcPr>
          <w:p w14:paraId="5E532D91" w14:textId="77777777" w:rsidR="008C5CFA" w:rsidRPr="00601E29" w:rsidRDefault="00E82A60" w:rsidP="00300A01">
            <w:pPr>
              <w:spacing w:before="0" w:after="0"/>
              <w:jc w:val="center"/>
              <w:rPr>
                <w:b/>
                <w:sz w:val="10"/>
                <w:szCs w:val="10"/>
                <w:lang w:val="fr-BE"/>
              </w:rPr>
            </w:pPr>
            <w:r w:rsidRPr="00601E29">
              <w:rPr>
                <w:b/>
                <w:noProof/>
                <w:sz w:val="10"/>
                <w:szCs w:val="10"/>
                <w:lang w:val="fr-BE"/>
              </w:rPr>
              <w:t>Mężczyźni</w:t>
            </w:r>
          </w:p>
        </w:tc>
        <w:tc>
          <w:tcPr>
            <w:tcW w:w="0" w:type="auto"/>
            <w:shd w:val="clear" w:color="auto" w:fill="auto"/>
          </w:tcPr>
          <w:p w14:paraId="38080C50" w14:textId="77777777" w:rsidR="008C5CFA" w:rsidRPr="00601E29" w:rsidRDefault="00E82A60" w:rsidP="00300A01">
            <w:pPr>
              <w:spacing w:before="0" w:after="0"/>
              <w:jc w:val="center"/>
              <w:rPr>
                <w:b/>
                <w:sz w:val="10"/>
                <w:szCs w:val="10"/>
                <w:lang w:val="fr-BE"/>
              </w:rPr>
            </w:pPr>
            <w:r w:rsidRPr="00601E29">
              <w:rPr>
                <w:b/>
                <w:noProof/>
                <w:sz w:val="10"/>
                <w:szCs w:val="10"/>
                <w:lang w:val="fr-BE"/>
              </w:rPr>
              <w:t>Kobiety</w:t>
            </w:r>
          </w:p>
        </w:tc>
        <w:tc>
          <w:tcPr>
            <w:tcW w:w="0" w:type="auto"/>
          </w:tcPr>
          <w:p w14:paraId="27CD1D79" w14:textId="77777777" w:rsidR="008C5CFA" w:rsidRPr="00601E29" w:rsidRDefault="00E82A60" w:rsidP="00300A01">
            <w:pPr>
              <w:spacing w:before="0" w:after="0"/>
              <w:jc w:val="center"/>
              <w:rPr>
                <w:b/>
                <w:sz w:val="10"/>
                <w:szCs w:val="10"/>
                <w:lang w:val="fr-BE"/>
              </w:rPr>
            </w:pPr>
            <w:r w:rsidRPr="00601E29">
              <w:rPr>
                <w:b/>
                <w:noProof/>
                <w:sz w:val="10"/>
                <w:szCs w:val="10"/>
                <w:lang w:val="fr-BE"/>
              </w:rPr>
              <w:t>Ogółem</w:t>
            </w:r>
          </w:p>
        </w:tc>
        <w:tc>
          <w:tcPr>
            <w:tcW w:w="0" w:type="auto"/>
            <w:shd w:val="clear" w:color="auto" w:fill="auto"/>
          </w:tcPr>
          <w:p w14:paraId="02F07E95" w14:textId="77777777" w:rsidR="008C5CFA" w:rsidRPr="00601E29" w:rsidRDefault="00E82A60" w:rsidP="00300A01">
            <w:pPr>
              <w:spacing w:before="0" w:after="0"/>
              <w:jc w:val="center"/>
              <w:rPr>
                <w:b/>
                <w:sz w:val="10"/>
                <w:szCs w:val="10"/>
                <w:lang w:val="fr-BE"/>
              </w:rPr>
            </w:pPr>
            <w:r w:rsidRPr="00601E29">
              <w:rPr>
                <w:b/>
                <w:noProof/>
                <w:sz w:val="10"/>
                <w:szCs w:val="10"/>
                <w:lang w:val="fr-BE"/>
              </w:rPr>
              <w:t>Mężczyźni</w:t>
            </w:r>
          </w:p>
        </w:tc>
        <w:tc>
          <w:tcPr>
            <w:tcW w:w="0" w:type="auto"/>
            <w:shd w:val="clear" w:color="auto" w:fill="auto"/>
          </w:tcPr>
          <w:p w14:paraId="5F34C284" w14:textId="77777777" w:rsidR="008C5CFA" w:rsidRPr="00601E29" w:rsidRDefault="00E82A60" w:rsidP="00300A01">
            <w:pPr>
              <w:spacing w:before="0" w:after="0"/>
              <w:jc w:val="center"/>
              <w:rPr>
                <w:b/>
                <w:sz w:val="10"/>
                <w:szCs w:val="10"/>
                <w:lang w:val="fr-BE"/>
              </w:rPr>
            </w:pPr>
            <w:r w:rsidRPr="00601E29">
              <w:rPr>
                <w:b/>
                <w:noProof/>
                <w:sz w:val="10"/>
                <w:szCs w:val="10"/>
                <w:lang w:val="fr-BE"/>
              </w:rPr>
              <w:t>Kobiety</w:t>
            </w:r>
          </w:p>
        </w:tc>
        <w:tc>
          <w:tcPr>
            <w:tcW w:w="0" w:type="auto"/>
          </w:tcPr>
          <w:p w14:paraId="06171820" w14:textId="77777777" w:rsidR="008C5CFA" w:rsidRPr="00601E29" w:rsidRDefault="008C5CFA" w:rsidP="00300A01">
            <w:pPr>
              <w:spacing w:before="0" w:after="0"/>
              <w:jc w:val="center"/>
              <w:rPr>
                <w:b/>
                <w:sz w:val="10"/>
                <w:szCs w:val="10"/>
                <w:lang w:val="fr-BE"/>
              </w:rPr>
            </w:pPr>
          </w:p>
        </w:tc>
      </w:tr>
      <w:tr w:rsidR="006B2EC1" w14:paraId="065E2B04" w14:textId="77777777" w:rsidTr="0047688D">
        <w:tc>
          <w:tcPr>
            <w:tcW w:w="0" w:type="auto"/>
            <w:shd w:val="clear" w:color="auto" w:fill="auto"/>
          </w:tcPr>
          <w:p w14:paraId="48EB71EA" w14:textId="77777777" w:rsidR="008C5CFA" w:rsidRPr="00601E29" w:rsidRDefault="00E82A60" w:rsidP="00300A01">
            <w:pPr>
              <w:spacing w:before="0" w:after="0"/>
              <w:rPr>
                <w:sz w:val="10"/>
                <w:szCs w:val="10"/>
                <w:lang w:val="fr-BE"/>
              </w:rPr>
            </w:pPr>
            <w:r w:rsidRPr="00601E29">
              <w:rPr>
                <w:noProof/>
                <w:sz w:val="10"/>
                <w:szCs w:val="10"/>
                <w:lang w:val="fr-BE"/>
              </w:rPr>
              <w:t>011</w:t>
            </w:r>
          </w:p>
        </w:tc>
        <w:tc>
          <w:tcPr>
            <w:tcW w:w="0" w:type="auto"/>
            <w:shd w:val="clear" w:color="auto" w:fill="auto"/>
          </w:tcPr>
          <w:p w14:paraId="0B7E0111" w14:textId="77777777" w:rsidR="008C5CFA" w:rsidRPr="00601E29" w:rsidRDefault="00E82A60" w:rsidP="00300A01">
            <w:pPr>
              <w:spacing w:before="0" w:after="0"/>
              <w:rPr>
                <w:sz w:val="10"/>
                <w:szCs w:val="10"/>
                <w:lang w:val="fr-BE"/>
              </w:rPr>
            </w:pPr>
            <w:r w:rsidRPr="00601E29">
              <w:rPr>
                <w:noProof/>
                <w:sz w:val="10"/>
                <w:szCs w:val="10"/>
                <w:lang w:val="fr-BE"/>
              </w:rPr>
              <w:t>Liczba osób o niskich kwalifikacjach, które uzyskały kwalifikacje lub nabyły kompetencje po opuszczeniu programu</w:t>
            </w:r>
          </w:p>
        </w:tc>
        <w:tc>
          <w:tcPr>
            <w:tcW w:w="0" w:type="auto"/>
            <w:shd w:val="clear" w:color="auto" w:fill="auto"/>
          </w:tcPr>
          <w:p w14:paraId="7BFBA198" w14:textId="77777777" w:rsidR="008C5CFA" w:rsidRPr="00601E29" w:rsidRDefault="00E82A60" w:rsidP="00300A01">
            <w:pPr>
              <w:spacing w:before="0" w:after="0"/>
              <w:rPr>
                <w:sz w:val="10"/>
                <w:szCs w:val="10"/>
                <w:lang w:val="fr-BE"/>
              </w:rPr>
            </w:pPr>
            <w:r w:rsidRPr="00601E29">
              <w:rPr>
                <w:noProof/>
                <w:sz w:val="10"/>
                <w:szCs w:val="10"/>
                <w:lang w:val="fr-BE"/>
              </w:rPr>
              <w:t>Słabiej rozwinięte</w:t>
            </w:r>
          </w:p>
        </w:tc>
        <w:tc>
          <w:tcPr>
            <w:tcW w:w="0" w:type="auto"/>
            <w:shd w:val="clear" w:color="auto" w:fill="auto"/>
          </w:tcPr>
          <w:p w14:paraId="7F733BCD" w14:textId="77777777" w:rsidR="008C5CFA" w:rsidRPr="00601E29" w:rsidRDefault="00E82A60" w:rsidP="00300A01">
            <w:pPr>
              <w:spacing w:before="0" w:after="0"/>
              <w:rPr>
                <w:sz w:val="10"/>
                <w:szCs w:val="10"/>
                <w:lang w:val="fr-BE"/>
              </w:rPr>
            </w:pPr>
            <w:r w:rsidRPr="00785F4A">
              <w:rPr>
                <w:noProof/>
                <w:sz w:val="10"/>
                <w:szCs w:val="10"/>
                <w:lang w:val="fr-BE"/>
              </w:rPr>
              <w:t>Liczba</w:t>
            </w:r>
            <w:r w:rsidR="00CE4603">
              <w:rPr>
                <w:sz w:val="10"/>
                <w:szCs w:val="10"/>
                <w:lang w:val="fr-BE"/>
              </w:rPr>
              <w:t xml:space="preserve"> </w:t>
            </w:r>
            <w:r w:rsidR="00CE4603">
              <w:rPr>
                <w:noProof/>
                <w:sz w:val="10"/>
                <w:szCs w:val="10"/>
                <w:lang w:val="fr-BE"/>
              </w:rPr>
              <w:t>(osoba)</w:t>
            </w:r>
          </w:p>
        </w:tc>
        <w:tc>
          <w:tcPr>
            <w:tcW w:w="0" w:type="auto"/>
            <w:shd w:val="clear" w:color="auto" w:fill="auto"/>
          </w:tcPr>
          <w:p w14:paraId="02CA23C8" w14:textId="77777777" w:rsidR="008C5CFA" w:rsidRPr="00601E29" w:rsidRDefault="00E82A60" w:rsidP="00300A01">
            <w:pPr>
              <w:spacing w:before="0" w:after="0"/>
              <w:rPr>
                <w:sz w:val="10"/>
                <w:szCs w:val="10"/>
                <w:lang w:val="fr-BE"/>
              </w:rPr>
            </w:pPr>
            <w:r w:rsidRPr="00601E29">
              <w:rPr>
                <w:sz w:val="10"/>
                <w:szCs w:val="10"/>
                <w:lang w:val="fr-BE"/>
              </w:rPr>
              <w:t xml:space="preserve"> </w:t>
            </w:r>
          </w:p>
        </w:tc>
        <w:tc>
          <w:tcPr>
            <w:tcW w:w="0" w:type="auto"/>
            <w:shd w:val="clear" w:color="auto" w:fill="auto"/>
          </w:tcPr>
          <w:p w14:paraId="1FCB7052" w14:textId="77777777" w:rsidR="008C5CFA" w:rsidRPr="00601E29" w:rsidRDefault="00E82A60" w:rsidP="00300A01">
            <w:pPr>
              <w:spacing w:before="0" w:after="0"/>
              <w:jc w:val="center"/>
              <w:rPr>
                <w:sz w:val="10"/>
                <w:szCs w:val="10"/>
                <w:lang w:val="fr-BE"/>
              </w:rPr>
            </w:pPr>
            <w:r w:rsidRPr="00601E29">
              <w:rPr>
                <w:noProof/>
                <w:sz w:val="10"/>
                <w:szCs w:val="10"/>
                <w:lang w:val="fr-BE"/>
              </w:rPr>
              <w:t>Współczynnik</w:t>
            </w:r>
          </w:p>
        </w:tc>
        <w:tc>
          <w:tcPr>
            <w:tcW w:w="0" w:type="auto"/>
            <w:shd w:val="clear" w:color="auto" w:fill="auto"/>
          </w:tcPr>
          <w:p w14:paraId="5AA0CA43" w14:textId="77777777" w:rsidR="008C5CFA" w:rsidRPr="00601E29" w:rsidRDefault="00E82A60" w:rsidP="00300A01">
            <w:pPr>
              <w:spacing w:before="0" w:after="0"/>
              <w:jc w:val="right"/>
              <w:rPr>
                <w:sz w:val="10"/>
                <w:szCs w:val="10"/>
                <w:lang w:val="fr-BE"/>
              </w:rPr>
            </w:pPr>
            <w:r w:rsidRPr="00601E29">
              <w:rPr>
                <w:noProof/>
                <w:sz w:val="10"/>
                <w:szCs w:val="10"/>
                <w:lang w:val="fr-BE"/>
              </w:rPr>
              <w:t>80,00</w:t>
            </w:r>
            <w:r>
              <w:rPr>
                <w:noProof/>
                <w:sz w:val="10"/>
                <w:szCs w:val="10"/>
                <w:lang w:val="fr-BE"/>
              </w:rPr>
              <w:t>%</w:t>
            </w:r>
          </w:p>
        </w:tc>
        <w:tc>
          <w:tcPr>
            <w:tcW w:w="0" w:type="auto"/>
            <w:shd w:val="clear" w:color="auto" w:fill="auto"/>
          </w:tcPr>
          <w:p w14:paraId="657C6054" w14:textId="77777777" w:rsidR="008C5CFA" w:rsidRPr="00601E29" w:rsidRDefault="008C5CFA" w:rsidP="00300A01">
            <w:pPr>
              <w:spacing w:before="0" w:after="0"/>
              <w:jc w:val="right"/>
              <w:rPr>
                <w:sz w:val="10"/>
                <w:szCs w:val="10"/>
                <w:lang w:val="fr-BE"/>
              </w:rPr>
            </w:pPr>
          </w:p>
        </w:tc>
        <w:tc>
          <w:tcPr>
            <w:tcW w:w="0" w:type="auto"/>
            <w:shd w:val="clear" w:color="auto" w:fill="auto"/>
          </w:tcPr>
          <w:p w14:paraId="6F88573F" w14:textId="77777777" w:rsidR="008C5CFA" w:rsidRPr="00601E29" w:rsidRDefault="008C5CFA" w:rsidP="00300A01">
            <w:pPr>
              <w:spacing w:before="0" w:after="0"/>
              <w:jc w:val="right"/>
              <w:rPr>
                <w:sz w:val="10"/>
                <w:szCs w:val="10"/>
                <w:lang w:val="fr-BE"/>
              </w:rPr>
            </w:pPr>
          </w:p>
        </w:tc>
        <w:tc>
          <w:tcPr>
            <w:tcW w:w="0" w:type="auto"/>
            <w:shd w:val="clear" w:color="auto" w:fill="auto"/>
          </w:tcPr>
          <w:p w14:paraId="5C87F8D5" w14:textId="77777777" w:rsidR="008C5CFA" w:rsidRPr="00601E29" w:rsidRDefault="00E82A60" w:rsidP="00300A01">
            <w:pPr>
              <w:spacing w:before="0" w:after="0"/>
              <w:jc w:val="right"/>
              <w:rPr>
                <w:sz w:val="10"/>
                <w:szCs w:val="10"/>
                <w:lang w:val="fr-BE"/>
              </w:rPr>
            </w:pPr>
            <w:r>
              <w:rPr>
                <w:noProof/>
                <w:sz w:val="10"/>
                <w:szCs w:val="10"/>
                <w:lang w:val="fr-BE"/>
              </w:rPr>
              <w:t>1,04</w:t>
            </w:r>
          </w:p>
        </w:tc>
        <w:tc>
          <w:tcPr>
            <w:tcW w:w="0" w:type="auto"/>
            <w:shd w:val="clear" w:color="auto" w:fill="auto"/>
          </w:tcPr>
          <w:p w14:paraId="6761E169" w14:textId="77777777" w:rsidR="008C5CFA" w:rsidRPr="00601E29" w:rsidRDefault="008C5CFA" w:rsidP="00300A01">
            <w:pPr>
              <w:spacing w:before="0" w:after="0"/>
              <w:jc w:val="right"/>
              <w:rPr>
                <w:sz w:val="10"/>
                <w:szCs w:val="10"/>
                <w:lang w:val="fr-BE"/>
              </w:rPr>
            </w:pPr>
          </w:p>
        </w:tc>
        <w:tc>
          <w:tcPr>
            <w:tcW w:w="0" w:type="auto"/>
            <w:shd w:val="clear" w:color="auto" w:fill="auto"/>
          </w:tcPr>
          <w:p w14:paraId="311177C6" w14:textId="77777777" w:rsidR="008C5CFA" w:rsidRPr="00601E29" w:rsidRDefault="008C5CFA" w:rsidP="00300A01">
            <w:pPr>
              <w:spacing w:before="0" w:after="0"/>
              <w:jc w:val="right"/>
              <w:rPr>
                <w:sz w:val="10"/>
                <w:szCs w:val="10"/>
                <w:lang w:val="fr-BE"/>
              </w:rPr>
            </w:pPr>
          </w:p>
        </w:tc>
        <w:tc>
          <w:tcPr>
            <w:tcW w:w="0" w:type="auto"/>
            <w:shd w:val="clear" w:color="auto" w:fill="auto"/>
          </w:tcPr>
          <w:p w14:paraId="062CBFB9" w14:textId="77777777" w:rsidR="008C5CFA" w:rsidRPr="00601E29" w:rsidRDefault="00E82A60" w:rsidP="00300A01">
            <w:pPr>
              <w:spacing w:before="0" w:after="0"/>
              <w:jc w:val="right"/>
              <w:rPr>
                <w:sz w:val="10"/>
                <w:szCs w:val="10"/>
                <w:lang w:val="fr-BE"/>
              </w:rPr>
            </w:pPr>
            <w:r w:rsidRPr="00601E29">
              <w:rPr>
                <w:noProof/>
                <w:sz w:val="10"/>
                <w:szCs w:val="10"/>
                <w:lang w:val="fr-BE"/>
              </w:rPr>
              <w:t>5 598,00</w:t>
            </w:r>
          </w:p>
        </w:tc>
        <w:tc>
          <w:tcPr>
            <w:tcW w:w="0" w:type="auto"/>
            <w:shd w:val="clear" w:color="auto" w:fill="auto"/>
          </w:tcPr>
          <w:p w14:paraId="7DC3D90C"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shd w:val="clear" w:color="auto" w:fill="auto"/>
          </w:tcPr>
          <w:p w14:paraId="5D6A8E14"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5BD984AF" w14:textId="77777777" w:rsidR="008C5CFA" w:rsidRPr="00601E29" w:rsidRDefault="00E82A60" w:rsidP="00300A01">
            <w:pPr>
              <w:spacing w:before="0" w:after="0"/>
              <w:jc w:val="right"/>
              <w:rPr>
                <w:sz w:val="10"/>
                <w:szCs w:val="10"/>
                <w:lang w:val="fr-BE"/>
              </w:rPr>
            </w:pPr>
            <w:r w:rsidRPr="00601E29">
              <w:rPr>
                <w:noProof/>
                <w:sz w:val="10"/>
                <w:szCs w:val="10"/>
                <w:lang w:val="fr-BE"/>
              </w:rPr>
              <w:t>4 879,00</w:t>
            </w:r>
          </w:p>
        </w:tc>
        <w:tc>
          <w:tcPr>
            <w:tcW w:w="0" w:type="auto"/>
            <w:shd w:val="clear" w:color="auto" w:fill="auto"/>
          </w:tcPr>
          <w:p w14:paraId="42C40B3C"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shd w:val="clear" w:color="auto" w:fill="auto"/>
          </w:tcPr>
          <w:p w14:paraId="75EFD895"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0D54B987" w14:textId="77777777" w:rsidR="008C5CFA" w:rsidRPr="00601E29" w:rsidRDefault="008C5CFA" w:rsidP="00300A01">
            <w:pPr>
              <w:spacing w:before="0" w:after="0"/>
              <w:jc w:val="right"/>
              <w:rPr>
                <w:sz w:val="10"/>
                <w:szCs w:val="10"/>
                <w:lang w:val="fr-BE"/>
              </w:rPr>
            </w:pPr>
          </w:p>
        </w:tc>
      </w:tr>
      <w:tr w:rsidR="006B2EC1" w14:paraId="0EF1EB04" w14:textId="77777777" w:rsidTr="0047688D">
        <w:tc>
          <w:tcPr>
            <w:tcW w:w="0" w:type="auto"/>
            <w:shd w:val="clear" w:color="auto" w:fill="auto"/>
          </w:tcPr>
          <w:p w14:paraId="65A4EA0E" w14:textId="77777777" w:rsidR="008C5CFA" w:rsidRPr="00601E29" w:rsidRDefault="00E82A60" w:rsidP="00300A01">
            <w:pPr>
              <w:spacing w:before="0" w:after="0"/>
              <w:rPr>
                <w:sz w:val="10"/>
                <w:szCs w:val="10"/>
                <w:lang w:val="fr-BE"/>
              </w:rPr>
            </w:pPr>
            <w:r w:rsidRPr="00601E29">
              <w:rPr>
                <w:noProof/>
                <w:sz w:val="10"/>
                <w:szCs w:val="10"/>
                <w:lang w:val="fr-BE"/>
              </w:rPr>
              <w:t>012</w:t>
            </w:r>
          </w:p>
        </w:tc>
        <w:tc>
          <w:tcPr>
            <w:tcW w:w="0" w:type="auto"/>
            <w:shd w:val="clear" w:color="auto" w:fill="auto"/>
          </w:tcPr>
          <w:p w14:paraId="02B3FE5F" w14:textId="77777777" w:rsidR="008C5CFA" w:rsidRPr="00601E29" w:rsidRDefault="00E82A60" w:rsidP="00300A01">
            <w:pPr>
              <w:spacing w:before="0" w:after="0"/>
              <w:rPr>
                <w:sz w:val="10"/>
                <w:szCs w:val="10"/>
                <w:lang w:val="fr-BE"/>
              </w:rPr>
            </w:pPr>
            <w:r w:rsidRPr="00601E29">
              <w:rPr>
                <w:noProof/>
                <w:sz w:val="10"/>
                <w:szCs w:val="10"/>
                <w:lang w:val="fr-BE"/>
              </w:rPr>
              <w:t>Liczba osób w wieku 50 lat i więcej, które uzyskały kwalifikacje lub nabyły kompetencje po opuszczeniu programu</w:t>
            </w:r>
          </w:p>
        </w:tc>
        <w:tc>
          <w:tcPr>
            <w:tcW w:w="0" w:type="auto"/>
            <w:shd w:val="clear" w:color="auto" w:fill="auto"/>
          </w:tcPr>
          <w:p w14:paraId="4E322979" w14:textId="77777777" w:rsidR="008C5CFA" w:rsidRPr="00601E29" w:rsidRDefault="00E82A60" w:rsidP="00300A01">
            <w:pPr>
              <w:spacing w:before="0" w:after="0"/>
              <w:rPr>
                <w:sz w:val="10"/>
                <w:szCs w:val="10"/>
                <w:lang w:val="fr-BE"/>
              </w:rPr>
            </w:pPr>
            <w:r w:rsidRPr="00601E29">
              <w:rPr>
                <w:noProof/>
                <w:sz w:val="10"/>
                <w:szCs w:val="10"/>
                <w:lang w:val="fr-BE"/>
              </w:rPr>
              <w:t>Słabiej rozwinięte</w:t>
            </w:r>
          </w:p>
        </w:tc>
        <w:tc>
          <w:tcPr>
            <w:tcW w:w="0" w:type="auto"/>
            <w:shd w:val="clear" w:color="auto" w:fill="auto"/>
          </w:tcPr>
          <w:p w14:paraId="756DF22E" w14:textId="77777777" w:rsidR="008C5CFA" w:rsidRPr="00601E29" w:rsidRDefault="00E82A60" w:rsidP="00300A01">
            <w:pPr>
              <w:spacing w:before="0" w:after="0"/>
              <w:rPr>
                <w:sz w:val="10"/>
                <w:szCs w:val="10"/>
                <w:lang w:val="fr-BE"/>
              </w:rPr>
            </w:pPr>
            <w:r w:rsidRPr="00785F4A">
              <w:rPr>
                <w:noProof/>
                <w:sz w:val="10"/>
                <w:szCs w:val="10"/>
                <w:lang w:val="fr-BE"/>
              </w:rPr>
              <w:t>Liczba</w:t>
            </w:r>
            <w:r w:rsidR="00CE4603">
              <w:rPr>
                <w:sz w:val="10"/>
                <w:szCs w:val="10"/>
                <w:lang w:val="fr-BE"/>
              </w:rPr>
              <w:t xml:space="preserve"> </w:t>
            </w:r>
            <w:r w:rsidR="00CE4603">
              <w:rPr>
                <w:noProof/>
                <w:sz w:val="10"/>
                <w:szCs w:val="10"/>
                <w:lang w:val="fr-BE"/>
              </w:rPr>
              <w:t>(osoba)</w:t>
            </w:r>
          </w:p>
        </w:tc>
        <w:tc>
          <w:tcPr>
            <w:tcW w:w="0" w:type="auto"/>
            <w:shd w:val="clear" w:color="auto" w:fill="auto"/>
          </w:tcPr>
          <w:p w14:paraId="15F0BCC9" w14:textId="77777777" w:rsidR="008C5CFA" w:rsidRPr="00601E29" w:rsidRDefault="00E82A60" w:rsidP="00300A01">
            <w:pPr>
              <w:spacing w:before="0" w:after="0"/>
              <w:rPr>
                <w:sz w:val="10"/>
                <w:szCs w:val="10"/>
                <w:lang w:val="fr-BE"/>
              </w:rPr>
            </w:pPr>
            <w:r w:rsidRPr="00601E29">
              <w:rPr>
                <w:sz w:val="10"/>
                <w:szCs w:val="10"/>
                <w:lang w:val="fr-BE"/>
              </w:rPr>
              <w:t xml:space="preserve"> </w:t>
            </w:r>
          </w:p>
        </w:tc>
        <w:tc>
          <w:tcPr>
            <w:tcW w:w="0" w:type="auto"/>
            <w:shd w:val="clear" w:color="auto" w:fill="auto"/>
          </w:tcPr>
          <w:p w14:paraId="4F87180D" w14:textId="77777777" w:rsidR="008C5CFA" w:rsidRPr="00601E29" w:rsidRDefault="00E82A60" w:rsidP="00300A01">
            <w:pPr>
              <w:spacing w:before="0" w:after="0"/>
              <w:jc w:val="center"/>
              <w:rPr>
                <w:sz w:val="10"/>
                <w:szCs w:val="10"/>
                <w:lang w:val="fr-BE"/>
              </w:rPr>
            </w:pPr>
            <w:r w:rsidRPr="00601E29">
              <w:rPr>
                <w:noProof/>
                <w:sz w:val="10"/>
                <w:szCs w:val="10"/>
                <w:lang w:val="fr-BE"/>
              </w:rPr>
              <w:t>Współczynnik</w:t>
            </w:r>
          </w:p>
        </w:tc>
        <w:tc>
          <w:tcPr>
            <w:tcW w:w="0" w:type="auto"/>
            <w:shd w:val="clear" w:color="auto" w:fill="auto"/>
          </w:tcPr>
          <w:p w14:paraId="0CB28AEF" w14:textId="77777777" w:rsidR="008C5CFA" w:rsidRPr="00601E29" w:rsidRDefault="00E82A60" w:rsidP="00300A01">
            <w:pPr>
              <w:spacing w:before="0" w:after="0"/>
              <w:jc w:val="right"/>
              <w:rPr>
                <w:sz w:val="10"/>
                <w:szCs w:val="10"/>
                <w:lang w:val="fr-BE"/>
              </w:rPr>
            </w:pPr>
            <w:r w:rsidRPr="00601E29">
              <w:rPr>
                <w:noProof/>
                <w:sz w:val="10"/>
                <w:szCs w:val="10"/>
                <w:lang w:val="fr-BE"/>
              </w:rPr>
              <w:t>80,00</w:t>
            </w:r>
            <w:r>
              <w:rPr>
                <w:noProof/>
                <w:sz w:val="10"/>
                <w:szCs w:val="10"/>
                <w:lang w:val="fr-BE"/>
              </w:rPr>
              <w:t>%</w:t>
            </w:r>
          </w:p>
        </w:tc>
        <w:tc>
          <w:tcPr>
            <w:tcW w:w="0" w:type="auto"/>
            <w:shd w:val="clear" w:color="auto" w:fill="auto"/>
          </w:tcPr>
          <w:p w14:paraId="3888AEFE" w14:textId="77777777" w:rsidR="008C5CFA" w:rsidRPr="00601E29" w:rsidRDefault="008C5CFA" w:rsidP="00300A01">
            <w:pPr>
              <w:spacing w:before="0" w:after="0"/>
              <w:jc w:val="right"/>
              <w:rPr>
                <w:sz w:val="10"/>
                <w:szCs w:val="10"/>
                <w:lang w:val="fr-BE"/>
              </w:rPr>
            </w:pPr>
          </w:p>
        </w:tc>
        <w:tc>
          <w:tcPr>
            <w:tcW w:w="0" w:type="auto"/>
            <w:shd w:val="clear" w:color="auto" w:fill="auto"/>
          </w:tcPr>
          <w:p w14:paraId="6EAE1AA4" w14:textId="77777777" w:rsidR="008C5CFA" w:rsidRPr="00601E29" w:rsidRDefault="008C5CFA" w:rsidP="00300A01">
            <w:pPr>
              <w:spacing w:before="0" w:after="0"/>
              <w:jc w:val="right"/>
              <w:rPr>
                <w:sz w:val="10"/>
                <w:szCs w:val="10"/>
                <w:lang w:val="fr-BE"/>
              </w:rPr>
            </w:pPr>
          </w:p>
        </w:tc>
        <w:tc>
          <w:tcPr>
            <w:tcW w:w="0" w:type="auto"/>
            <w:shd w:val="clear" w:color="auto" w:fill="auto"/>
          </w:tcPr>
          <w:p w14:paraId="2840F3A6" w14:textId="77777777" w:rsidR="008C5CFA" w:rsidRPr="00601E29" w:rsidRDefault="00E82A60" w:rsidP="00300A01">
            <w:pPr>
              <w:spacing w:before="0" w:after="0"/>
              <w:jc w:val="right"/>
              <w:rPr>
                <w:sz w:val="10"/>
                <w:szCs w:val="10"/>
                <w:lang w:val="fr-BE"/>
              </w:rPr>
            </w:pPr>
            <w:r>
              <w:rPr>
                <w:noProof/>
                <w:sz w:val="10"/>
                <w:szCs w:val="10"/>
                <w:lang w:val="fr-BE"/>
              </w:rPr>
              <w:t>1,04</w:t>
            </w:r>
          </w:p>
        </w:tc>
        <w:tc>
          <w:tcPr>
            <w:tcW w:w="0" w:type="auto"/>
            <w:shd w:val="clear" w:color="auto" w:fill="auto"/>
          </w:tcPr>
          <w:p w14:paraId="5ECFFAB3" w14:textId="77777777" w:rsidR="008C5CFA" w:rsidRPr="00601E29" w:rsidRDefault="008C5CFA" w:rsidP="00300A01">
            <w:pPr>
              <w:spacing w:before="0" w:after="0"/>
              <w:jc w:val="right"/>
              <w:rPr>
                <w:sz w:val="10"/>
                <w:szCs w:val="10"/>
                <w:lang w:val="fr-BE"/>
              </w:rPr>
            </w:pPr>
          </w:p>
        </w:tc>
        <w:tc>
          <w:tcPr>
            <w:tcW w:w="0" w:type="auto"/>
            <w:shd w:val="clear" w:color="auto" w:fill="auto"/>
          </w:tcPr>
          <w:p w14:paraId="6BD1853C" w14:textId="77777777" w:rsidR="008C5CFA" w:rsidRPr="00601E29" w:rsidRDefault="008C5CFA" w:rsidP="00300A01">
            <w:pPr>
              <w:spacing w:before="0" w:after="0"/>
              <w:jc w:val="right"/>
              <w:rPr>
                <w:sz w:val="10"/>
                <w:szCs w:val="10"/>
                <w:lang w:val="fr-BE"/>
              </w:rPr>
            </w:pPr>
          </w:p>
        </w:tc>
        <w:tc>
          <w:tcPr>
            <w:tcW w:w="0" w:type="auto"/>
            <w:shd w:val="clear" w:color="auto" w:fill="auto"/>
          </w:tcPr>
          <w:p w14:paraId="5FF13153" w14:textId="77777777" w:rsidR="008C5CFA" w:rsidRPr="00601E29" w:rsidRDefault="00E82A60" w:rsidP="00300A01">
            <w:pPr>
              <w:spacing w:before="0" w:after="0"/>
              <w:jc w:val="right"/>
              <w:rPr>
                <w:sz w:val="10"/>
                <w:szCs w:val="10"/>
                <w:lang w:val="fr-BE"/>
              </w:rPr>
            </w:pPr>
            <w:r w:rsidRPr="00601E29">
              <w:rPr>
                <w:noProof/>
                <w:sz w:val="10"/>
                <w:szCs w:val="10"/>
                <w:lang w:val="fr-BE"/>
              </w:rPr>
              <w:t>3 337,00</w:t>
            </w:r>
          </w:p>
        </w:tc>
        <w:tc>
          <w:tcPr>
            <w:tcW w:w="0" w:type="auto"/>
            <w:shd w:val="clear" w:color="auto" w:fill="auto"/>
          </w:tcPr>
          <w:p w14:paraId="42FE37F6"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shd w:val="clear" w:color="auto" w:fill="auto"/>
          </w:tcPr>
          <w:p w14:paraId="2DB5A70B"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2CD62032" w14:textId="77777777" w:rsidR="008C5CFA" w:rsidRPr="00601E29" w:rsidRDefault="00E82A60" w:rsidP="00300A01">
            <w:pPr>
              <w:spacing w:before="0" w:after="0"/>
              <w:jc w:val="right"/>
              <w:rPr>
                <w:sz w:val="10"/>
                <w:szCs w:val="10"/>
                <w:lang w:val="fr-BE"/>
              </w:rPr>
            </w:pPr>
            <w:r w:rsidRPr="00601E29">
              <w:rPr>
                <w:noProof/>
                <w:sz w:val="10"/>
                <w:szCs w:val="10"/>
                <w:lang w:val="fr-BE"/>
              </w:rPr>
              <w:t>2 855,00</w:t>
            </w:r>
          </w:p>
        </w:tc>
        <w:tc>
          <w:tcPr>
            <w:tcW w:w="0" w:type="auto"/>
            <w:shd w:val="clear" w:color="auto" w:fill="auto"/>
          </w:tcPr>
          <w:p w14:paraId="2D9DF7C8"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shd w:val="clear" w:color="auto" w:fill="auto"/>
          </w:tcPr>
          <w:p w14:paraId="2037706D"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09E0C4FE" w14:textId="77777777" w:rsidR="008C5CFA" w:rsidRPr="00601E29" w:rsidRDefault="008C5CFA" w:rsidP="00300A01">
            <w:pPr>
              <w:spacing w:before="0" w:after="0"/>
              <w:jc w:val="right"/>
              <w:rPr>
                <w:sz w:val="10"/>
                <w:szCs w:val="10"/>
                <w:lang w:val="fr-BE"/>
              </w:rPr>
            </w:pPr>
          </w:p>
        </w:tc>
      </w:tr>
      <w:tr w:rsidR="006B2EC1" w14:paraId="6F989F35" w14:textId="77777777" w:rsidTr="0047688D">
        <w:tc>
          <w:tcPr>
            <w:tcW w:w="0" w:type="auto"/>
            <w:shd w:val="clear" w:color="auto" w:fill="auto"/>
          </w:tcPr>
          <w:p w14:paraId="71D1A868" w14:textId="77777777" w:rsidR="008C5CFA" w:rsidRPr="00601E29" w:rsidRDefault="00E82A60" w:rsidP="00300A01">
            <w:pPr>
              <w:spacing w:before="0" w:after="0"/>
              <w:rPr>
                <w:sz w:val="10"/>
                <w:szCs w:val="10"/>
                <w:lang w:val="fr-BE"/>
              </w:rPr>
            </w:pPr>
            <w:r w:rsidRPr="00601E29">
              <w:rPr>
                <w:noProof/>
                <w:sz w:val="10"/>
                <w:szCs w:val="10"/>
                <w:lang w:val="fr-BE"/>
              </w:rPr>
              <w:t>013</w:t>
            </w:r>
          </w:p>
        </w:tc>
        <w:tc>
          <w:tcPr>
            <w:tcW w:w="0" w:type="auto"/>
            <w:shd w:val="clear" w:color="auto" w:fill="auto"/>
          </w:tcPr>
          <w:p w14:paraId="13368137" w14:textId="77777777" w:rsidR="008C5CFA" w:rsidRPr="00601E29" w:rsidRDefault="00E82A60" w:rsidP="00300A01">
            <w:pPr>
              <w:spacing w:before="0" w:after="0"/>
              <w:rPr>
                <w:sz w:val="10"/>
                <w:szCs w:val="10"/>
                <w:lang w:val="fr-BE"/>
              </w:rPr>
            </w:pPr>
            <w:r w:rsidRPr="00601E29">
              <w:rPr>
                <w:noProof/>
                <w:sz w:val="10"/>
                <w:szCs w:val="10"/>
                <w:lang w:val="fr-BE"/>
              </w:rPr>
              <w:t>Liczba osób w wieku 25 lat i więcej, które uzyskały kwalifikacje lub nabyły kompetencje po opuszczeniu programu</w:t>
            </w:r>
          </w:p>
        </w:tc>
        <w:tc>
          <w:tcPr>
            <w:tcW w:w="0" w:type="auto"/>
            <w:shd w:val="clear" w:color="auto" w:fill="auto"/>
          </w:tcPr>
          <w:p w14:paraId="2D07CFF5" w14:textId="77777777" w:rsidR="008C5CFA" w:rsidRPr="00601E29" w:rsidRDefault="00E82A60" w:rsidP="00300A01">
            <w:pPr>
              <w:spacing w:before="0" w:after="0"/>
              <w:rPr>
                <w:sz w:val="10"/>
                <w:szCs w:val="10"/>
                <w:lang w:val="fr-BE"/>
              </w:rPr>
            </w:pPr>
            <w:r w:rsidRPr="00601E29">
              <w:rPr>
                <w:noProof/>
                <w:sz w:val="10"/>
                <w:szCs w:val="10"/>
                <w:lang w:val="fr-BE"/>
              </w:rPr>
              <w:t>Słabiej rozwinięte</w:t>
            </w:r>
          </w:p>
        </w:tc>
        <w:tc>
          <w:tcPr>
            <w:tcW w:w="0" w:type="auto"/>
            <w:shd w:val="clear" w:color="auto" w:fill="auto"/>
          </w:tcPr>
          <w:p w14:paraId="1FC1AD97" w14:textId="77777777" w:rsidR="008C5CFA" w:rsidRPr="00601E29" w:rsidRDefault="00E82A60" w:rsidP="00300A01">
            <w:pPr>
              <w:spacing w:before="0" w:after="0"/>
              <w:rPr>
                <w:sz w:val="10"/>
                <w:szCs w:val="10"/>
                <w:lang w:val="fr-BE"/>
              </w:rPr>
            </w:pPr>
            <w:r w:rsidRPr="00785F4A">
              <w:rPr>
                <w:noProof/>
                <w:sz w:val="10"/>
                <w:szCs w:val="10"/>
                <w:lang w:val="fr-BE"/>
              </w:rPr>
              <w:t>Liczba</w:t>
            </w:r>
            <w:r w:rsidR="00CE4603">
              <w:rPr>
                <w:sz w:val="10"/>
                <w:szCs w:val="10"/>
                <w:lang w:val="fr-BE"/>
              </w:rPr>
              <w:t xml:space="preserve"> </w:t>
            </w:r>
            <w:r w:rsidR="00CE4603">
              <w:rPr>
                <w:noProof/>
                <w:sz w:val="10"/>
                <w:szCs w:val="10"/>
                <w:lang w:val="fr-BE"/>
              </w:rPr>
              <w:t>(osoba)</w:t>
            </w:r>
          </w:p>
        </w:tc>
        <w:tc>
          <w:tcPr>
            <w:tcW w:w="0" w:type="auto"/>
            <w:shd w:val="clear" w:color="auto" w:fill="auto"/>
          </w:tcPr>
          <w:p w14:paraId="642D4D8C" w14:textId="77777777" w:rsidR="008C5CFA" w:rsidRPr="00601E29" w:rsidRDefault="00E82A60" w:rsidP="00300A01">
            <w:pPr>
              <w:spacing w:before="0" w:after="0"/>
              <w:rPr>
                <w:sz w:val="10"/>
                <w:szCs w:val="10"/>
                <w:lang w:val="fr-BE"/>
              </w:rPr>
            </w:pPr>
            <w:r w:rsidRPr="00601E29">
              <w:rPr>
                <w:sz w:val="10"/>
                <w:szCs w:val="10"/>
                <w:lang w:val="fr-BE"/>
              </w:rPr>
              <w:t xml:space="preserve"> </w:t>
            </w:r>
          </w:p>
        </w:tc>
        <w:tc>
          <w:tcPr>
            <w:tcW w:w="0" w:type="auto"/>
            <w:shd w:val="clear" w:color="auto" w:fill="auto"/>
          </w:tcPr>
          <w:p w14:paraId="3904EFF1" w14:textId="77777777" w:rsidR="008C5CFA" w:rsidRPr="00601E29" w:rsidRDefault="00E82A60" w:rsidP="00300A01">
            <w:pPr>
              <w:spacing w:before="0" w:after="0"/>
              <w:jc w:val="center"/>
              <w:rPr>
                <w:sz w:val="10"/>
                <w:szCs w:val="10"/>
                <w:lang w:val="fr-BE"/>
              </w:rPr>
            </w:pPr>
            <w:r w:rsidRPr="00601E29">
              <w:rPr>
                <w:noProof/>
                <w:sz w:val="10"/>
                <w:szCs w:val="10"/>
                <w:lang w:val="fr-BE"/>
              </w:rPr>
              <w:t>Współczynnik</w:t>
            </w:r>
          </w:p>
        </w:tc>
        <w:tc>
          <w:tcPr>
            <w:tcW w:w="0" w:type="auto"/>
            <w:shd w:val="clear" w:color="auto" w:fill="auto"/>
          </w:tcPr>
          <w:p w14:paraId="0D75C29A" w14:textId="77777777" w:rsidR="008C5CFA" w:rsidRPr="00601E29" w:rsidRDefault="00E82A60" w:rsidP="00300A01">
            <w:pPr>
              <w:spacing w:before="0" w:after="0"/>
              <w:jc w:val="right"/>
              <w:rPr>
                <w:sz w:val="10"/>
                <w:szCs w:val="10"/>
                <w:lang w:val="fr-BE"/>
              </w:rPr>
            </w:pPr>
            <w:r w:rsidRPr="00601E29">
              <w:rPr>
                <w:noProof/>
                <w:sz w:val="10"/>
                <w:szCs w:val="10"/>
                <w:lang w:val="fr-BE"/>
              </w:rPr>
              <w:t>80,00</w:t>
            </w:r>
            <w:r>
              <w:rPr>
                <w:noProof/>
                <w:sz w:val="10"/>
                <w:szCs w:val="10"/>
                <w:lang w:val="fr-BE"/>
              </w:rPr>
              <w:t>%</w:t>
            </w:r>
          </w:p>
        </w:tc>
        <w:tc>
          <w:tcPr>
            <w:tcW w:w="0" w:type="auto"/>
            <w:shd w:val="clear" w:color="auto" w:fill="auto"/>
          </w:tcPr>
          <w:p w14:paraId="79B73D72" w14:textId="77777777" w:rsidR="008C5CFA" w:rsidRPr="00601E29" w:rsidRDefault="008C5CFA" w:rsidP="00300A01">
            <w:pPr>
              <w:spacing w:before="0" w:after="0"/>
              <w:jc w:val="right"/>
              <w:rPr>
                <w:sz w:val="10"/>
                <w:szCs w:val="10"/>
                <w:lang w:val="fr-BE"/>
              </w:rPr>
            </w:pPr>
          </w:p>
        </w:tc>
        <w:tc>
          <w:tcPr>
            <w:tcW w:w="0" w:type="auto"/>
            <w:shd w:val="clear" w:color="auto" w:fill="auto"/>
          </w:tcPr>
          <w:p w14:paraId="05BD44C4" w14:textId="77777777" w:rsidR="008C5CFA" w:rsidRPr="00601E29" w:rsidRDefault="008C5CFA" w:rsidP="00300A01">
            <w:pPr>
              <w:spacing w:before="0" w:after="0"/>
              <w:jc w:val="right"/>
              <w:rPr>
                <w:sz w:val="10"/>
                <w:szCs w:val="10"/>
                <w:lang w:val="fr-BE"/>
              </w:rPr>
            </w:pPr>
          </w:p>
        </w:tc>
        <w:tc>
          <w:tcPr>
            <w:tcW w:w="0" w:type="auto"/>
            <w:shd w:val="clear" w:color="auto" w:fill="auto"/>
          </w:tcPr>
          <w:p w14:paraId="4903BA8A" w14:textId="77777777" w:rsidR="008C5CFA" w:rsidRPr="00601E29" w:rsidRDefault="00E82A60" w:rsidP="00300A01">
            <w:pPr>
              <w:spacing w:before="0" w:after="0"/>
              <w:jc w:val="right"/>
              <w:rPr>
                <w:sz w:val="10"/>
                <w:szCs w:val="10"/>
                <w:lang w:val="fr-BE"/>
              </w:rPr>
            </w:pPr>
            <w:r>
              <w:rPr>
                <w:noProof/>
                <w:sz w:val="10"/>
                <w:szCs w:val="10"/>
                <w:lang w:val="fr-BE"/>
              </w:rPr>
              <w:t>1,02</w:t>
            </w:r>
          </w:p>
        </w:tc>
        <w:tc>
          <w:tcPr>
            <w:tcW w:w="0" w:type="auto"/>
            <w:shd w:val="clear" w:color="auto" w:fill="auto"/>
          </w:tcPr>
          <w:p w14:paraId="2F1827D6" w14:textId="77777777" w:rsidR="008C5CFA" w:rsidRPr="00601E29" w:rsidRDefault="008C5CFA" w:rsidP="00300A01">
            <w:pPr>
              <w:spacing w:before="0" w:after="0"/>
              <w:jc w:val="right"/>
              <w:rPr>
                <w:sz w:val="10"/>
                <w:szCs w:val="10"/>
                <w:lang w:val="fr-BE"/>
              </w:rPr>
            </w:pPr>
          </w:p>
        </w:tc>
        <w:tc>
          <w:tcPr>
            <w:tcW w:w="0" w:type="auto"/>
            <w:shd w:val="clear" w:color="auto" w:fill="auto"/>
          </w:tcPr>
          <w:p w14:paraId="4CBCFF34" w14:textId="77777777" w:rsidR="008C5CFA" w:rsidRPr="00601E29" w:rsidRDefault="008C5CFA" w:rsidP="00300A01">
            <w:pPr>
              <w:spacing w:before="0" w:after="0"/>
              <w:jc w:val="right"/>
              <w:rPr>
                <w:sz w:val="10"/>
                <w:szCs w:val="10"/>
                <w:lang w:val="fr-BE"/>
              </w:rPr>
            </w:pPr>
          </w:p>
        </w:tc>
        <w:tc>
          <w:tcPr>
            <w:tcW w:w="0" w:type="auto"/>
            <w:shd w:val="clear" w:color="auto" w:fill="auto"/>
          </w:tcPr>
          <w:p w14:paraId="09974C27" w14:textId="77777777" w:rsidR="008C5CFA" w:rsidRPr="00601E29" w:rsidRDefault="00E82A60" w:rsidP="00300A01">
            <w:pPr>
              <w:spacing w:before="0" w:after="0"/>
              <w:jc w:val="right"/>
              <w:rPr>
                <w:sz w:val="10"/>
                <w:szCs w:val="10"/>
                <w:lang w:val="fr-BE"/>
              </w:rPr>
            </w:pPr>
            <w:r w:rsidRPr="00601E29">
              <w:rPr>
                <w:noProof/>
                <w:sz w:val="10"/>
                <w:szCs w:val="10"/>
                <w:lang w:val="fr-BE"/>
              </w:rPr>
              <w:t>6 100,00</w:t>
            </w:r>
          </w:p>
        </w:tc>
        <w:tc>
          <w:tcPr>
            <w:tcW w:w="0" w:type="auto"/>
            <w:shd w:val="clear" w:color="auto" w:fill="auto"/>
          </w:tcPr>
          <w:p w14:paraId="0C513AFB"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shd w:val="clear" w:color="auto" w:fill="auto"/>
          </w:tcPr>
          <w:p w14:paraId="23505540"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5BE33637" w14:textId="77777777" w:rsidR="008C5CFA" w:rsidRPr="00601E29" w:rsidRDefault="00E82A60" w:rsidP="00300A01">
            <w:pPr>
              <w:spacing w:before="0" w:after="0"/>
              <w:jc w:val="right"/>
              <w:rPr>
                <w:sz w:val="10"/>
                <w:szCs w:val="10"/>
                <w:lang w:val="fr-BE"/>
              </w:rPr>
            </w:pPr>
            <w:r w:rsidRPr="00601E29">
              <w:rPr>
                <w:noProof/>
                <w:sz w:val="10"/>
                <w:szCs w:val="10"/>
                <w:lang w:val="fr-BE"/>
              </w:rPr>
              <w:t>5 327,00</w:t>
            </w:r>
          </w:p>
        </w:tc>
        <w:tc>
          <w:tcPr>
            <w:tcW w:w="0" w:type="auto"/>
            <w:shd w:val="clear" w:color="auto" w:fill="auto"/>
          </w:tcPr>
          <w:p w14:paraId="36A3BE23"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shd w:val="clear" w:color="auto" w:fill="auto"/>
          </w:tcPr>
          <w:p w14:paraId="42C21C9B"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2BD0429F" w14:textId="77777777" w:rsidR="008C5CFA" w:rsidRPr="00601E29" w:rsidRDefault="008C5CFA" w:rsidP="00300A01">
            <w:pPr>
              <w:spacing w:before="0" w:after="0"/>
              <w:jc w:val="right"/>
              <w:rPr>
                <w:sz w:val="10"/>
                <w:szCs w:val="10"/>
                <w:lang w:val="fr-BE"/>
              </w:rPr>
            </w:pPr>
          </w:p>
        </w:tc>
      </w:tr>
    </w:tbl>
    <w:p w14:paraId="4D209F1A"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07"/>
        <w:gridCol w:w="5601"/>
        <w:gridCol w:w="1044"/>
        <w:gridCol w:w="523"/>
        <w:gridCol w:w="658"/>
        <w:gridCol w:w="528"/>
        <w:gridCol w:w="523"/>
        <w:gridCol w:w="658"/>
        <w:gridCol w:w="528"/>
        <w:gridCol w:w="698"/>
        <w:gridCol w:w="523"/>
        <w:gridCol w:w="658"/>
        <w:gridCol w:w="528"/>
        <w:gridCol w:w="523"/>
        <w:gridCol w:w="658"/>
        <w:gridCol w:w="528"/>
        <w:gridCol w:w="698"/>
      </w:tblGrid>
      <w:tr w:rsidR="006B2EC1" w14:paraId="54B7F1DE" w14:textId="77777777" w:rsidTr="0047688D">
        <w:trPr>
          <w:tblHeader/>
        </w:trPr>
        <w:tc>
          <w:tcPr>
            <w:tcW w:w="0" w:type="auto"/>
            <w:shd w:val="clear" w:color="auto" w:fill="auto"/>
          </w:tcPr>
          <w:p w14:paraId="7784832E" w14:textId="77777777" w:rsidR="008C5CFA" w:rsidRPr="00601E29" w:rsidRDefault="00E82A60" w:rsidP="00300A01">
            <w:pPr>
              <w:spacing w:before="0" w:after="0"/>
              <w:rPr>
                <w:b/>
                <w:sz w:val="10"/>
                <w:szCs w:val="10"/>
                <w:lang w:val="fr-BE"/>
              </w:rPr>
            </w:pPr>
            <w:r w:rsidRPr="00601E29">
              <w:rPr>
                <w:b/>
                <w:noProof/>
                <w:sz w:val="10"/>
                <w:szCs w:val="10"/>
                <w:lang w:val="fr-BE"/>
              </w:rPr>
              <w:t>ID</w:t>
            </w:r>
          </w:p>
        </w:tc>
        <w:tc>
          <w:tcPr>
            <w:tcW w:w="0" w:type="auto"/>
            <w:shd w:val="clear" w:color="auto" w:fill="auto"/>
          </w:tcPr>
          <w:p w14:paraId="31A97AA4" w14:textId="77777777" w:rsidR="008C5CFA" w:rsidRPr="00601E29" w:rsidRDefault="00E82A60" w:rsidP="00300A01">
            <w:pPr>
              <w:spacing w:before="0" w:after="0"/>
              <w:rPr>
                <w:b/>
                <w:sz w:val="10"/>
                <w:szCs w:val="10"/>
                <w:lang w:val="fr-BE"/>
              </w:rPr>
            </w:pPr>
            <w:r w:rsidRPr="00601E29">
              <w:rPr>
                <w:b/>
                <w:noProof/>
                <w:sz w:val="10"/>
                <w:szCs w:val="10"/>
                <w:lang w:val="fr-BE"/>
              </w:rPr>
              <w:t>Wskaźnik</w:t>
            </w:r>
          </w:p>
        </w:tc>
        <w:tc>
          <w:tcPr>
            <w:tcW w:w="0" w:type="auto"/>
            <w:shd w:val="clear" w:color="auto" w:fill="auto"/>
          </w:tcPr>
          <w:p w14:paraId="4DD2B407" w14:textId="77777777" w:rsidR="008C5CFA" w:rsidRPr="00601E29" w:rsidRDefault="00E82A60" w:rsidP="00300A01">
            <w:pPr>
              <w:spacing w:before="0" w:after="0"/>
              <w:rPr>
                <w:b/>
                <w:sz w:val="10"/>
                <w:szCs w:val="10"/>
                <w:lang w:val="fr-BE"/>
              </w:rPr>
            </w:pPr>
            <w:r w:rsidRPr="00601E29">
              <w:rPr>
                <w:b/>
                <w:noProof/>
                <w:sz w:val="10"/>
                <w:szCs w:val="10"/>
                <w:lang w:val="fr-BE"/>
              </w:rPr>
              <w:t>Kategoria regionu</w:t>
            </w:r>
          </w:p>
        </w:tc>
        <w:tc>
          <w:tcPr>
            <w:tcW w:w="0" w:type="auto"/>
            <w:gridSpan w:val="7"/>
          </w:tcPr>
          <w:p w14:paraId="27515134" w14:textId="77777777" w:rsidR="008C5CFA" w:rsidRPr="00601E29" w:rsidRDefault="00E82A60" w:rsidP="00300A01">
            <w:pPr>
              <w:spacing w:before="0" w:after="0"/>
              <w:jc w:val="center"/>
              <w:rPr>
                <w:b/>
                <w:sz w:val="10"/>
                <w:szCs w:val="10"/>
                <w:lang w:val="fr-BE"/>
              </w:rPr>
            </w:pPr>
            <w:r>
              <w:rPr>
                <w:b/>
                <w:sz w:val="10"/>
                <w:szCs w:val="10"/>
                <w:lang w:val="fr-BE"/>
              </w:rPr>
              <w:t>2018</w:t>
            </w:r>
          </w:p>
        </w:tc>
        <w:tc>
          <w:tcPr>
            <w:tcW w:w="0" w:type="auto"/>
            <w:gridSpan w:val="7"/>
          </w:tcPr>
          <w:p w14:paraId="75A4F780" w14:textId="77777777" w:rsidR="008C5CFA" w:rsidRPr="00601E29" w:rsidRDefault="00E82A60" w:rsidP="00300A01">
            <w:pPr>
              <w:spacing w:before="0" w:after="0"/>
              <w:jc w:val="center"/>
              <w:rPr>
                <w:b/>
                <w:sz w:val="10"/>
                <w:szCs w:val="10"/>
                <w:lang w:val="fr-BE"/>
              </w:rPr>
            </w:pPr>
            <w:r>
              <w:rPr>
                <w:b/>
                <w:sz w:val="10"/>
                <w:szCs w:val="10"/>
                <w:lang w:val="fr-BE"/>
              </w:rPr>
              <w:t>2017</w:t>
            </w:r>
          </w:p>
        </w:tc>
      </w:tr>
      <w:tr w:rsidR="006B2EC1" w14:paraId="49B9A77D" w14:textId="77777777" w:rsidTr="0047688D">
        <w:trPr>
          <w:tblHeader/>
        </w:trPr>
        <w:tc>
          <w:tcPr>
            <w:tcW w:w="0" w:type="auto"/>
            <w:shd w:val="clear" w:color="auto" w:fill="auto"/>
          </w:tcPr>
          <w:p w14:paraId="2FC6C1F8" w14:textId="77777777" w:rsidR="008C5CFA" w:rsidRPr="00601E29" w:rsidRDefault="008C5CFA" w:rsidP="00300A01">
            <w:pPr>
              <w:spacing w:before="0" w:after="0"/>
              <w:rPr>
                <w:b/>
                <w:sz w:val="10"/>
                <w:szCs w:val="10"/>
                <w:lang w:val="fr-BE"/>
              </w:rPr>
            </w:pPr>
          </w:p>
        </w:tc>
        <w:tc>
          <w:tcPr>
            <w:tcW w:w="0" w:type="auto"/>
            <w:shd w:val="clear" w:color="auto" w:fill="auto"/>
          </w:tcPr>
          <w:p w14:paraId="770C0548" w14:textId="77777777" w:rsidR="008C5CFA" w:rsidRPr="00601E29" w:rsidRDefault="008C5CFA" w:rsidP="00300A01">
            <w:pPr>
              <w:spacing w:before="0" w:after="0"/>
              <w:rPr>
                <w:b/>
                <w:sz w:val="10"/>
                <w:szCs w:val="10"/>
                <w:lang w:val="fr-BE"/>
              </w:rPr>
            </w:pPr>
          </w:p>
        </w:tc>
        <w:tc>
          <w:tcPr>
            <w:tcW w:w="0" w:type="auto"/>
            <w:shd w:val="clear" w:color="auto" w:fill="auto"/>
          </w:tcPr>
          <w:p w14:paraId="23339238" w14:textId="77777777" w:rsidR="008C5CFA" w:rsidRPr="00601E29" w:rsidRDefault="008C5CFA" w:rsidP="00300A01">
            <w:pPr>
              <w:spacing w:before="0" w:after="0"/>
              <w:rPr>
                <w:b/>
                <w:sz w:val="10"/>
                <w:szCs w:val="10"/>
                <w:lang w:val="fr-BE"/>
              </w:rPr>
            </w:pPr>
          </w:p>
        </w:tc>
        <w:tc>
          <w:tcPr>
            <w:tcW w:w="0" w:type="auto"/>
            <w:gridSpan w:val="3"/>
          </w:tcPr>
          <w:p w14:paraId="0C7D39F3" w14:textId="77777777" w:rsidR="008C5CFA" w:rsidRPr="00601E29" w:rsidRDefault="00E82A60" w:rsidP="00300A01">
            <w:pPr>
              <w:spacing w:before="0" w:after="0"/>
              <w:jc w:val="center"/>
              <w:rPr>
                <w:b/>
                <w:sz w:val="10"/>
                <w:szCs w:val="10"/>
                <w:lang w:val="fr-BE"/>
              </w:rPr>
            </w:pPr>
            <w:r w:rsidRPr="00601E29">
              <w:rPr>
                <w:b/>
                <w:noProof/>
                <w:sz w:val="10"/>
                <w:szCs w:val="10"/>
                <w:lang w:val="fr-BE"/>
              </w:rPr>
              <w:t>Łącznie</w:t>
            </w:r>
          </w:p>
        </w:tc>
        <w:tc>
          <w:tcPr>
            <w:tcW w:w="0" w:type="auto"/>
            <w:gridSpan w:val="3"/>
          </w:tcPr>
          <w:p w14:paraId="3B24DD52" w14:textId="77777777" w:rsidR="008C5CFA" w:rsidRPr="00601E29" w:rsidRDefault="00E82A60" w:rsidP="00300A01">
            <w:pPr>
              <w:spacing w:before="0" w:after="0"/>
              <w:jc w:val="center"/>
              <w:rPr>
                <w:b/>
                <w:sz w:val="10"/>
                <w:szCs w:val="10"/>
                <w:lang w:val="fr-BE"/>
              </w:rPr>
            </w:pPr>
            <w:r w:rsidRPr="00601E29">
              <w:rPr>
                <w:b/>
                <w:noProof/>
                <w:sz w:val="10"/>
                <w:szCs w:val="10"/>
                <w:lang w:val="fr-BE"/>
              </w:rPr>
              <w:t>Łącznie w roku</w:t>
            </w:r>
          </w:p>
        </w:tc>
        <w:tc>
          <w:tcPr>
            <w:tcW w:w="0" w:type="auto"/>
          </w:tcPr>
          <w:p w14:paraId="104B558E" w14:textId="77777777" w:rsidR="008C5CFA" w:rsidRPr="00601E29" w:rsidRDefault="00E82A60" w:rsidP="00300A01">
            <w:pPr>
              <w:spacing w:before="0" w:after="0"/>
              <w:jc w:val="center"/>
              <w:rPr>
                <w:b/>
                <w:sz w:val="10"/>
                <w:szCs w:val="10"/>
                <w:lang w:val="fr-BE"/>
              </w:rPr>
            </w:pPr>
            <w:r w:rsidRPr="00601E29">
              <w:rPr>
                <w:b/>
                <w:noProof/>
                <w:sz w:val="10"/>
                <w:szCs w:val="10"/>
                <w:lang w:val="fr-BE"/>
              </w:rPr>
              <w:t>Jakościowe</w:t>
            </w:r>
          </w:p>
        </w:tc>
        <w:tc>
          <w:tcPr>
            <w:tcW w:w="0" w:type="auto"/>
            <w:gridSpan w:val="3"/>
          </w:tcPr>
          <w:p w14:paraId="351DD5FE" w14:textId="77777777" w:rsidR="008C5CFA" w:rsidRPr="00601E29" w:rsidRDefault="00E82A60" w:rsidP="00300A01">
            <w:pPr>
              <w:spacing w:before="0" w:after="0"/>
              <w:jc w:val="center"/>
              <w:rPr>
                <w:b/>
                <w:sz w:val="10"/>
                <w:szCs w:val="10"/>
                <w:lang w:val="fr-BE"/>
              </w:rPr>
            </w:pPr>
            <w:r w:rsidRPr="00601E29">
              <w:rPr>
                <w:b/>
                <w:noProof/>
                <w:sz w:val="10"/>
                <w:szCs w:val="10"/>
                <w:lang w:val="fr-BE"/>
              </w:rPr>
              <w:t>Łącznie</w:t>
            </w:r>
          </w:p>
        </w:tc>
        <w:tc>
          <w:tcPr>
            <w:tcW w:w="0" w:type="auto"/>
            <w:gridSpan w:val="3"/>
          </w:tcPr>
          <w:p w14:paraId="54A74DF5" w14:textId="77777777" w:rsidR="008C5CFA" w:rsidRPr="00601E29" w:rsidRDefault="00E82A60" w:rsidP="00300A01">
            <w:pPr>
              <w:spacing w:before="0" w:after="0"/>
              <w:jc w:val="center"/>
              <w:rPr>
                <w:b/>
                <w:sz w:val="10"/>
                <w:szCs w:val="10"/>
                <w:lang w:val="fr-BE"/>
              </w:rPr>
            </w:pPr>
            <w:r w:rsidRPr="00601E29">
              <w:rPr>
                <w:b/>
                <w:noProof/>
                <w:sz w:val="10"/>
                <w:szCs w:val="10"/>
                <w:lang w:val="fr-BE"/>
              </w:rPr>
              <w:t>Łącznie w roku</w:t>
            </w:r>
          </w:p>
        </w:tc>
        <w:tc>
          <w:tcPr>
            <w:tcW w:w="0" w:type="auto"/>
          </w:tcPr>
          <w:p w14:paraId="3166A44B" w14:textId="77777777" w:rsidR="008C5CFA" w:rsidRPr="00601E29" w:rsidRDefault="00E82A60" w:rsidP="00300A01">
            <w:pPr>
              <w:spacing w:before="0" w:after="0"/>
              <w:jc w:val="center"/>
              <w:rPr>
                <w:b/>
                <w:sz w:val="10"/>
                <w:szCs w:val="10"/>
                <w:lang w:val="fr-BE"/>
              </w:rPr>
            </w:pPr>
            <w:r w:rsidRPr="00601E29">
              <w:rPr>
                <w:b/>
                <w:noProof/>
                <w:sz w:val="10"/>
                <w:szCs w:val="10"/>
                <w:lang w:val="fr-BE"/>
              </w:rPr>
              <w:t>Jakościowe</w:t>
            </w:r>
          </w:p>
        </w:tc>
      </w:tr>
      <w:tr w:rsidR="006B2EC1" w14:paraId="7E7346CE" w14:textId="77777777" w:rsidTr="0047688D">
        <w:trPr>
          <w:tblHeader/>
        </w:trPr>
        <w:tc>
          <w:tcPr>
            <w:tcW w:w="0" w:type="auto"/>
            <w:shd w:val="clear" w:color="auto" w:fill="auto"/>
          </w:tcPr>
          <w:p w14:paraId="725B42DE" w14:textId="77777777" w:rsidR="008C5CFA" w:rsidRPr="00601E29" w:rsidRDefault="008C5CFA" w:rsidP="00300A01">
            <w:pPr>
              <w:spacing w:before="0" w:after="0"/>
              <w:rPr>
                <w:b/>
                <w:sz w:val="10"/>
                <w:szCs w:val="10"/>
                <w:lang w:val="fr-BE"/>
              </w:rPr>
            </w:pPr>
          </w:p>
        </w:tc>
        <w:tc>
          <w:tcPr>
            <w:tcW w:w="0" w:type="auto"/>
            <w:shd w:val="clear" w:color="auto" w:fill="auto"/>
          </w:tcPr>
          <w:p w14:paraId="32214466" w14:textId="77777777" w:rsidR="008C5CFA" w:rsidRPr="00601E29" w:rsidRDefault="008C5CFA" w:rsidP="00300A01">
            <w:pPr>
              <w:spacing w:before="0" w:after="0"/>
              <w:rPr>
                <w:b/>
                <w:sz w:val="10"/>
                <w:szCs w:val="10"/>
                <w:lang w:val="fr-BE"/>
              </w:rPr>
            </w:pPr>
          </w:p>
        </w:tc>
        <w:tc>
          <w:tcPr>
            <w:tcW w:w="0" w:type="auto"/>
            <w:shd w:val="clear" w:color="auto" w:fill="auto"/>
          </w:tcPr>
          <w:p w14:paraId="4149B95F" w14:textId="77777777" w:rsidR="008C5CFA" w:rsidRPr="00601E29" w:rsidRDefault="008C5CFA" w:rsidP="00300A01">
            <w:pPr>
              <w:spacing w:before="0" w:after="0"/>
              <w:rPr>
                <w:b/>
                <w:sz w:val="10"/>
                <w:szCs w:val="10"/>
                <w:lang w:val="fr-BE"/>
              </w:rPr>
            </w:pPr>
          </w:p>
        </w:tc>
        <w:tc>
          <w:tcPr>
            <w:tcW w:w="0" w:type="auto"/>
          </w:tcPr>
          <w:p w14:paraId="445953D1" w14:textId="77777777" w:rsidR="008C5CFA" w:rsidRPr="00601E29" w:rsidRDefault="00E82A60" w:rsidP="00300A01">
            <w:pPr>
              <w:spacing w:before="0" w:after="0"/>
              <w:jc w:val="center"/>
              <w:rPr>
                <w:b/>
                <w:sz w:val="10"/>
                <w:szCs w:val="10"/>
                <w:lang w:val="fr-BE"/>
              </w:rPr>
            </w:pPr>
            <w:r w:rsidRPr="00601E29">
              <w:rPr>
                <w:b/>
                <w:noProof/>
                <w:sz w:val="10"/>
                <w:szCs w:val="10"/>
                <w:lang w:val="fr-BE"/>
              </w:rPr>
              <w:t>Ogółem</w:t>
            </w:r>
          </w:p>
        </w:tc>
        <w:tc>
          <w:tcPr>
            <w:tcW w:w="0" w:type="auto"/>
          </w:tcPr>
          <w:p w14:paraId="31F15EC1" w14:textId="77777777" w:rsidR="008C5CFA" w:rsidRPr="00601E29" w:rsidRDefault="00E82A60" w:rsidP="00300A01">
            <w:pPr>
              <w:spacing w:before="0" w:after="0"/>
              <w:jc w:val="center"/>
              <w:rPr>
                <w:b/>
                <w:sz w:val="10"/>
                <w:szCs w:val="10"/>
                <w:lang w:val="fr-BE"/>
              </w:rPr>
            </w:pPr>
            <w:r w:rsidRPr="00601E29">
              <w:rPr>
                <w:b/>
                <w:noProof/>
                <w:sz w:val="10"/>
                <w:szCs w:val="10"/>
                <w:lang w:val="fr-BE"/>
              </w:rPr>
              <w:t>Mężczyźni</w:t>
            </w:r>
          </w:p>
        </w:tc>
        <w:tc>
          <w:tcPr>
            <w:tcW w:w="0" w:type="auto"/>
          </w:tcPr>
          <w:p w14:paraId="13CCE630" w14:textId="77777777" w:rsidR="008C5CFA" w:rsidRPr="00601E29" w:rsidRDefault="00E82A60" w:rsidP="00300A01">
            <w:pPr>
              <w:spacing w:before="0" w:after="0"/>
              <w:jc w:val="center"/>
              <w:rPr>
                <w:b/>
                <w:sz w:val="10"/>
                <w:szCs w:val="10"/>
                <w:lang w:val="fr-BE"/>
              </w:rPr>
            </w:pPr>
            <w:r w:rsidRPr="00601E29">
              <w:rPr>
                <w:b/>
                <w:noProof/>
                <w:sz w:val="10"/>
                <w:szCs w:val="10"/>
                <w:lang w:val="fr-BE"/>
              </w:rPr>
              <w:t>Kobiety</w:t>
            </w:r>
          </w:p>
        </w:tc>
        <w:tc>
          <w:tcPr>
            <w:tcW w:w="0" w:type="auto"/>
          </w:tcPr>
          <w:p w14:paraId="36A76B45" w14:textId="77777777" w:rsidR="008C5CFA" w:rsidRPr="00601E29" w:rsidRDefault="00E82A60" w:rsidP="00300A01">
            <w:pPr>
              <w:spacing w:before="0" w:after="0"/>
              <w:jc w:val="center"/>
              <w:rPr>
                <w:b/>
                <w:sz w:val="10"/>
                <w:szCs w:val="10"/>
                <w:lang w:val="fr-BE"/>
              </w:rPr>
            </w:pPr>
            <w:r w:rsidRPr="00601E29">
              <w:rPr>
                <w:b/>
                <w:noProof/>
                <w:sz w:val="10"/>
                <w:szCs w:val="10"/>
                <w:lang w:val="fr-BE"/>
              </w:rPr>
              <w:t>Ogółem</w:t>
            </w:r>
          </w:p>
        </w:tc>
        <w:tc>
          <w:tcPr>
            <w:tcW w:w="0" w:type="auto"/>
          </w:tcPr>
          <w:p w14:paraId="4FCB19DF" w14:textId="77777777" w:rsidR="008C5CFA" w:rsidRPr="00601E29" w:rsidRDefault="00E82A60" w:rsidP="00300A01">
            <w:pPr>
              <w:spacing w:before="0" w:after="0"/>
              <w:jc w:val="center"/>
              <w:rPr>
                <w:b/>
                <w:sz w:val="10"/>
                <w:szCs w:val="10"/>
                <w:lang w:val="fr-BE"/>
              </w:rPr>
            </w:pPr>
            <w:r w:rsidRPr="00601E29">
              <w:rPr>
                <w:b/>
                <w:noProof/>
                <w:sz w:val="10"/>
                <w:szCs w:val="10"/>
                <w:lang w:val="fr-BE"/>
              </w:rPr>
              <w:t>Mężczyźni</w:t>
            </w:r>
          </w:p>
        </w:tc>
        <w:tc>
          <w:tcPr>
            <w:tcW w:w="0" w:type="auto"/>
          </w:tcPr>
          <w:p w14:paraId="3DAC57C1" w14:textId="77777777" w:rsidR="008C5CFA" w:rsidRPr="00601E29" w:rsidRDefault="00E82A60" w:rsidP="00300A01">
            <w:pPr>
              <w:spacing w:before="0" w:after="0"/>
              <w:jc w:val="center"/>
              <w:rPr>
                <w:b/>
                <w:sz w:val="10"/>
                <w:szCs w:val="10"/>
                <w:lang w:val="fr-BE"/>
              </w:rPr>
            </w:pPr>
            <w:r w:rsidRPr="00601E29">
              <w:rPr>
                <w:b/>
                <w:noProof/>
                <w:sz w:val="10"/>
                <w:szCs w:val="10"/>
                <w:lang w:val="fr-BE"/>
              </w:rPr>
              <w:t>Kobiety</w:t>
            </w:r>
          </w:p>
        </w:tc>
        <w:tc>
          <w:tcPr>
            <w:tcW w:w="0" w:type="auto"/>
          </w:tcPr>
          <w:p w14:paraId="17AF557E" w14:textId="77777777" w:rsidR="008C5CFA" w:rsidRPr="00601E29" w:rsidRDefault="008C5CFA" w:rsidP="00300A01">
            <w:pPr>
              <w:spacing w:before="0" w:after="0"/>
              <w:jc w:val="center"/>
              <w:rPr>
                <w:b/>
                <w:sz w:val="10"/>
                <w:szCs w:val="10"/>
                <w:lang w:val="fr-BE"/>
              </w:rPr>
            </w:pPr>
          </w:p>
        </w:tc>
        <w:tc>
          <w:tcPr>
            <w:tcW w:w="0" w:type="auto"/>
          </w:tcPr>
          <w:p w14:paraId="3C6F761A" w14:textId="77777777" w:rsidR="008C5CFA" w:rsidRPr="00601E29" w:rsidRDefault="00E82A60" w:rsidP="00300A01">
            <w:pPr>
              <w:spacing w:before="0" w:after="0"/>
              <w:jc w:val="center"/>
              <w:rPr>
                <w:b/>
                <w:sz w:val="10"/>
                <w:szCs w:val="10"/>
                <w:lang w:val="fr-BE"/>
              </w:rPr>
            </w:pPr>
            <w:r w:rsidRPr="00601E29">
              <w:rPr>
                <w:b/>
                <w:noProof/>
                <w:sz w:val="10"/>
                <w:szCs w:val="10"/>
                <w:lang w:val="fr-BE"/>
              </w:rPr>
              <w:t>Ogółem</w:t>
            </w:r>
          </w:p>
        </w:tc>
        <w:tc>
          <w:tcPr>
            <w:tcW w:w="0" w:type="auto"/>
          </w:tcPr>
          <w:p w14:paraId="1B12872F" w14:textId="77777777" w:rsidR="008C5CFA" w:rsidRPr="00601E29" w:rsidRDefault="00E82A60" w:rsidP="00300A01">
            <w:pPr>
              <w:spacing w:before="0" w:after="0"/>
              <w:jc w:val="center"/>
              <w:rPr>
                <w:b/>
                <w:sz w:val="10"/>
                <w:szCs w:val="10"/>
                <w:lang w:val="fr-BE"/>
              </w:rPr>
            </w:pPr>
            <w:r w:rsidRPr="00601E29">
              <w:rPr>
                <w:b/>
                <w:noProof/>
                <w:sz w:val="10"/>
                <w:szCs w:val="10"/>
                <w:lang w:val="fr-BE"/>
              </w:rPr>
              <w:t>Mężczyźni</w:t>
            </w:r>
          </w:p>
        </w:tc>
        <w:tc>
          <w:tcPr>
            <w:tcW w:w="0" w:type="auto"/>
          </w:tcPr>
          <w:p w14:paraId="30D8D158" w14:textId="77777777" w:rsidR="008C5CFA" w:rsidRPr="00601E29" w:rsidRDefault="00E82A60" w:rsidP="00300A01">
            <w:pPr>
              <w:spacing w:before="0" w:after="0"/>
              <w:jc w:val="center"/>
              <w:rPr>
                <w:b/>
                <w:sz w:val="10"/>
                <w:szCs w:val="10"/>
                <w:lang w:val="fr-BE"/>
              </w:rPr>
            </w:pPr>
            <w:r w:rsidRPr="00601E29">
              <w:rPr>
                <w:b/>
                <w:noProof/>
                <w:sz w:val="10"/>
                <w:szCs w:val="10"/>
                <w:lang w:val="fr-BE"/>
              </w:rPr>
              <w:t>Kobiety</w:t>
            </w:r>
          </w:p>
        </w:tc>
        <w:tc>
          <w:tcPr>
            <w:tcW w:w="0" w:type="auto"/>
          </w:tcPr>
          <w:p w14:paraId="08E3EA73" w14:textId="77777777" w:rsidR="008C5CFA" w:rsidRPr="00601E29" w:rsidRDefault="00E82A60" w:rsidP="00300A01">
            <w:pPr>
              <w:spacing w:before="0" w:after="0"/>
              <w:jc w:val="center"/>
              <w:rPr>
                <w:b/>
                <w:sz w:val="10"/>
                <w:szCs w:val="10"/>
                <w:lang w:val="fr-BE"/>
              </w:rPr>
            </w:pPr>
            <w:r w:rsidRPr="00601E29">
              <w:rPr>
                <w:b/>
                <w:noProof/>
                <w:sz w:val="10"/>
                <w:szCs w:val="10"/>
                <w:lang w:val="fr-BE"/>
              </w:rPr>
              <w:t>Ogółem</w:t>
            </w:r>
          </w:p>
        </w:tc>
        <w:tc>
          <w:tcPr>
            <w:tcW w:w="0" w:type="auto"/>
          </w:tcPr>
          <w:p w14:paraId="2AA5EA36" w14:textId="77777777" w:rsidR="008C5CFA" w:rsidRPr="00601E29" w:rsidRDefault="00E82A60" w:rsidP="00300A01">
            <w:pPr>
              <w:spacing w:before="0" w:after="0"/>
              <w:jc w:val="center"/>
              <w:rPr>
                <w:b/>
                <w:sz w:val="10"/>
                <w:szCs w:val="10"/>
                <w:lang w:val="fr-BE"/>
              </w:rPr>
            </w:pPr>
            <w:r w:rsidRPr="00601E29">
              <w:rPr>
                <w:b/>
                <w:noProof/>
                <w:sz w:val="10"/>
                <w:szCs w:val="10"/>
                <w:lang w:val="fr-BE"/>
              </w:rPr>
              <w:t>Mężczyźni</w:t>
            </w:r>
          </w:p>
        </w:tc>
        <w:tc>
          <w:tcPr>
            <w:tcW w:w="0" w:type="auto"/>
          </w:tcPr>
          <w:p w14:paraId="3A16E871" w14:textId="77777777" w:rsidR="008C5CFA" w:rsidRPr="00601E29" w:rsidRDefault="00E82A60" w:rsidP="00300A01">
            <w:pPr>
              <w:spacing w:before="0" w:after="0"/>
              <w:jc w:val="center"/>
              <w:rPr>
                <w:b/>
                <w:sz w:val="10"/>
                <w:szCs w:val="10"/>
                <w:lang w:val="fr-BE"/>
              </w:rPr>
            </w:pPr>
            <w:r w:rsidRPr="00601E29">
              <w:rPr>
                <w:b/>
                <w:noProof/>
                <w:sz w:val="10"/>
                <w:szCs w:val="10"/>
                <w:lang w:val="fr-BE"/>
              </w:rPr>
              <w:t>Kobiety</w:t>
            </w:r>
          </w:p>
        </w:tc>
        <w:tc>
          <w:tcPr>
            <w:tcW w:w="0" w:type="auto"/>
          </w:tcPr>
          <w:p w14:paraId="1BE01430" w14:textId="77777777" w:rsidR="008C5CFA" w:rsidRPr="00601E29" w:rsidRDefault="008C5CFA" w:rsidP="00300A01">
            <w:pPr>
              <w:spacing w:before="0" w:after="0"/>
              <w:jc w:val="center"/>
              <w:rPr>
                <w:b/>
                <w:sz w:val="10"/>
                <w:szCs w:val="10"/>
                <w:lang w:val="fr-BE"/>
              </w:rPr>
            </w:pPr>
          </w:p>
        </w:tc>
      </w:tr>
      <w:tr w:rsidR="006B2EC1" w14:paraId="01228F10" w14:textId="77777777" w:rsidTr="0047688D">
        <w:tc>
          <w:tcPr>
            <w:tcW w:w="0" w:type="auto"/>
            <w:shd w:val="clear" w:color="auto" w:fill="auto"/>
          </w:tcPr>
          <w:p w14:paraId="27705715" w14:textId="77777777" w:rsidR="008C5CFA" w:rsidRPr="00601E29" w:rsidRDefault="00E82A60" w:rsidP="00300A01">
            <w:pPr>
              <w:spacing w:before="0" w:after="0"/>
              <w:rPr>
                <w:sz w:val="10"/>
                <w:szCs w:val="10"/>
                <w:lang w:val="fr-BE"/>
              </w:rPr>
            </w:pPr>
            <w:r w:rsidRPr="00601E29">
              <w:rPr>
                <w:noProof/>
                <w:sz w:val="10"/>
                <w:szCs w:val="10"/>
                <w:lang w:val="fr-BE"/>
              </w:rPr>
              <w:t>011</w:t>
            </w:r>
          </w:p>
        </w:tc>
        <w:tc>
          <w:tcPr>
            <w:tcW w:w="0" w:type="auto"/>
            <w:shd w:val="clear" w:color="auto" w:fill="auto"/>
          </w:tcPr>
          <w:p w14:paraId="1BC9790D" w14:textId="77777777" w:rsidR="008C5CFA" w:rsidRPr="00601E29" w:rsidRDefault="00E82A60" w:rsidP="00300A01">
            <w:pPr>
              <w:spacing w:before="0" w:after="0"/>
              <w:rPr>
                <w:sz w:val="10"/>
                <w:szCs w:val="10"/>
                <w:lang w:val="fr-BE"/>
              </w:rPr>
            </w:pPr>
            <w:r w:rsidRPr="00601E29">
              <w:rPr>
                <w:noProof/>
                <w:sz w:val="10"/>
                <w:szCs w:val="10"/>
                <w:lang w:val="fr-BE"/>
              </w:rPr>
              <w:t>Liczba osób o niskich kwalifikacjach, które uzyskały kwalifikacje lub nabyły kompetencje po opuszczeniu programu</w:t>
            </w:r>
          </w:p>
        </w:tc>
        <w:tc>
          <w:tcPr>
            <w:tcW w:w="0" w:type="auto"/>
            <w:shd w:val="clear" w:color="auto" w:fill="auto"/>
          </w:tcPr>
          <w:p w14:paraId="1B35B8F3" w14:textId="77777777" w:rsidR="008C5CFA" w:rsidRPr="00601E29" w:rsidRDefault="00E82A60" w:rsidP="00300A01">
            <w:pPr>
              <w:spacing w:before="0" w:after="0"/>
              <w:rPr>
                <w:sz w:val="10"/>
                <w:szCs w:val="10"/>
                <w:lang w:val="fr-BE"/>
              </w:rPr>
            </w:pPr>
            <w:r w:rsidRPr="00601E29">
              <w:rPr>
                <w:noProof/>
                <w:sz w:val="10"/>
                <w:szCs w:val="10"/>
                <w:lang w:val="fr-BE"/>
              </w:rPr>
              <w:t>Słabiej rozwinięte</w:t>
            </w:r>
          </w:p>
        </w:tc>
        <w:tc>
          <w:tcPr>
            <w:tcW w:w="0" w:type="auto"/>
          </w:tcPr>
          <w:p w14:paraId="7704F1DB" w14:textId="77777777" w:rsidR="008C5CFA" w:rsidRPr="00601E29" w:rsidRDefault="00E82A60" w:rsidP="00300A01">
            <w:pPr>
              <w:spacing w:before="0" w:after="0"/>
              <w:jc w:val="right"/>
              <w:rPr>
                <w:sz w:val="10"/>
                <w:szCs w:val="10"/>
                <w:lang w:val="fr-BE"/>
              </w:rPr>
            </w:pPr>
            <w:r w:rsidRPr="00601E29">
              <w:rPr>
                <w:noProof/>
                <w:sz w:val="10"/>
                <w:szCs w:val="10"/>
                <w:lang w:val="fr-BE"/>
              </w:rPr>
              <w:t>719,00</w:t>
            </w:r>
          </w:p>
        </w:tc>
        <w:tc>
          <w:tcPr>
            <w:tcW w:w="0" w:type="auto"/>
          </w:tcPr>
          <w:p w14:paraId="13BF4583"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2BDA7C3F"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77DD4590" w14:textId="77777777" w:rsidR="008C5CFA" w:rsidRPr="00601E29" w:rsidRDefault="00E82A60" w:rsidP="00300A01">
            <w:pPr>
              <w:spacing w:before="0" w:after="0"/>
              <w:jc w:val="right"/>
              <w:rPr>
                <w:sz w:val="10"/>
                <w:szCs w:val="10"/>
                <w:lang w:val="fr-BE"/>
              </w:rPr>
            </w:pPr>
            <w:r w:rsidRPr="00601E29">
              <w:rPr>
                <w:noProof/>
                <w:sz w:val="10"/>
                <w:szCs w:val="10"/>
                <w:lang w:val="fr-BE"/>
              </w:rPr>
              <w:t>719,00</w:t>
            </w:r>
          </w:p>
        </w:tc>
        <w:tc>
          <w:tcPr>
            <w:tcW w:w="0" w:type="auto"/>
          </w:tcPr>
          <w:p w14:paraId="7EC2ACDB"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0D6E3E08"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594E5EBE" w14:textId="77777777" w:rsidR="008C5CFA" w:rsidRPr="00601E29" w:rsidRDefault="008C5CFA" w:rsidP="00300A01">
            <w:pPr>
              <w:spacing w:before="0" w:after="0"/>
              <w:jc w:val="right"/>
              <w:rPr>
                <w:sz w:val="10"/>
                <w:szCs w:val="10"/>
                <w:lang w:val="fr-BE"/>
              </w:rPr>
            </w:pPr>
          </w:p>
        </w:tc>
        <w:tc>
          <w:tcPr>
            <w:tcW w:w="0" w:type="auto"/>
          </w:tcPr>
          <w:p w14:paraId="2E9594D0"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3B7AB7B8"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6DE6E49C"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4DDD1B8C"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3676B2D6"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02B78194"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54F2C954" w14:textId="77777777" w:rsidR="008C5CFA" w:rsidRPr="00601E29" w:rsidRDefault="008C5CFA" w:rsidP="00300A01">
            <w:pPr>
              <w:spacing w:before="0" w:after="0"/>
              <w:jc w:val="right"/>
              <w:rPr>
                <w:sz w:val="10"/>
                <w:szCs w:val="10"/>
                <w:lang w:val="fr-BE"/>
              </w:rPr>
            </w:pPr>
          </w:p>
        </w:tc>
      </w:tr>
      <w:tr w:rsidR="006B2EC1" w14:paraId="04821020" w14:textId="77777777" w:rsidTr="0047688D">
        <w:tc>
          <w:tcPr>
            <w:tcW w:w="0" w:type="auto"/>
            <w:shd w:val="clear" w:color="auto" w:fill="auto"/>
          </w:tcPr>
          <w:p w14:paraId="25D70060" w14:textId="77777777" w:rsidR="008C5CFA" w:rsidRPr="00601E29" w:rsidRDefault="00E82A60" w:rsidP="00300A01">
            <w:pPr>
              <w:spacing w:before="0" w:after="0"/>
              <w:rPr>
                <w:sz w:val="10"/>
                <w:szCs w:val="10"/>
                <w:lang w:val="fr-BE"/>
              </w:rPr>
            </w:pPr>
            <w:r w:rsidRPr="00601E29">
              <w:rPr>
                <w:noProof/>
                <w:sz w:val="10"/>
                <w:szCs w:val="10"/>
                <w:lang w:val="fr-BE"/>
              </w:rPr>
              <w:t>012</w:t>
            </w:r>
          </w:p>
        </w:tc>
        <w:tc>
          <w:tcPr>
            <w:tcW w:w="0" w:type="auto"/>
            <w:shd w:val="clear" w:color="auto" w:fill="auto"/>
          </w:tcPr>
          <w:p w14:paraId="4436391E" w14:textId="77777777" w:rsidR="008C5CFA" w:rsidRPr="00601E29" w:rsidRDefault="00E82A60" w:rsidP="00300A01">
            <w:pPr>
              <w:spacing w:before="0" w:after="0"/>
              <w:rPr>
                <w:sz w:val="10"/>
                <w:szCs w:val="10"/>
                <w:lang w:val="fr-BE"/>
              </w:rPr>
            </w:pPr>
            <w:r w:rsidRPr="00601E29">
              <w:rPr>
                <w:noProof/>
                <w:sz w:val="10"/>
                <w:szCs w:val="10"/>
                <w:lang w:val="fr-BE"/>
              </w:rPr>
              <w:t>Liczba osób w wieku 50 lat i więcej, które uzyskały kwalifikacje lub nabyły kompetencje po opuszczeniu programu</w:t>
            </w:r>
          </w:p>
        </w:tc>
        <w:tc>
          <w:tcPr>
            <w:tcW w:w="0" w:type="auto"/>
            <w:shd w:val="clear" w:color="auto" w:fill="auto"/>
          </w:tcPr>
          <w:p w14:paraId="6F3A1BDC" w14:textId="77777777" w:rsidR="008C5CFA" w:rsidRPr="00601E29" w:rsidRDefault="00E82A60" w:rsidP="00300A01">
            <w:pPr>
              <w:spacing w:before="0" w:after="0"/>
              <w:rPr>
                <w:sz w:val="10"/>
                <w:szCs w:val="10"/>
                <w:lang w:val="fr-BE"/>
              </w:rPr>
            </w:pPr>
            <w:r w:rsidRPr="00601E29">
              <w:rPr>
                <w:noProof/>
                <w:sz w:val="10"/>
                <w:szCs w:val="10"/>
                <w:lang w:val="fr-BE"/>
              </w:rPr>
              <w:t>Słabiej rozwinięte</w:t>
            </w:r>
          </w:p>
        </w:tc>
        <w:tc>
          <w:tcPr>
            <w:tcW w:w="0" w:type="auto"/>
          </w:tcPr>
          <w:p w14:paraId="234BB4EB" w14:textId="77777777" w:rsidR="008C5CFA" w:rsidRPr="00601E29" w:rsidRDefault="00E82A60" w:rsidP="00300A01">
            <w:pPr>
              <w:spacing w:before="0" w:after="0"/>
              <w:jc w:val="right"/>
              <w:rPr>
                <w:sz w:val="10"/>
                <w:szCs w:val="10"/>
                <w:lang w:val="fr-BE"/>
              </w:rPr>
            </w:pPr>
            <w:r w:rsidRPr="00601E29">
              <w:rPr>
                <w:noProof/>
                <w:sz w:val="10"/>
                <w:szCs w:val="10"/>
                <w:lang w:val="fr-BE"/>
              </w:rPr>
              <w:t>482,00</w:t>
            </w:r>
          </w:p>
        </w:tc>
        <w:tc>
          <w:tcPr>
            <w:tcW w:w="0" w:type="auto"/>
          </w:tcPr>
          <w:p w14:paraId="2A6867BA"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02600192"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3828FDF4" w14:textId="77777777" w:rsidR="008C5CFA" w:rsidRPr="00601E29" w:rsidRDefault="00E82A60" w:rsidP="00300A01">
            <w:pPr>
              <w:spacing w:before="0" w:after="0"/>
              <w:jc w:val="right"/>
              <w:rPr>
                <w:sz w:val="10"/>
                <w:szCs w:val="10"/>
                <w:lang w:val="fr-BE"/>
              </w:rPr>
            </w:pPr>
            <w:r w:rsidRPr="00601E29">
              <w:rPr>
                <w:noProof/>
                <w:sz w:val="10"/>
                <w:szCs w:val="10"/>
                <w:lang w:val="fr-BE"/>
              </w:rPr>
              <w:t>482,00</w:t>
            </w:r>
          </w:p>
        </w:tc>
        <w:tc>
          <w:tcPr>
            <w:tcW w:w="0" w:type="auto"/>
          </w:tcPr>
          <w:p w14:paraId="17A35129"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6F6D625D"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52638D22" w14:textId="77777777" w:rsidR="008C5CFA" w:rsidRPr="00601E29" w:rsidRDefault="008C5CFA" w:rsidP="00300A01">
            <w:pPr>
              <w:spacing w:before="0" w:after="0"/>
              <w:jc w:val="right"/>
              <w:rPr>
                <w:sz w:val="10"/>
                <w:szCs w:val="10"/>
                <w:lang w:val="fr-BE"/>
              </w:rPr>
            </w:pPr>
          </w:p>
        </w:tc>
        <w:tc>
          <w:tcPr>
            <w:tcW w:w="0" w:type="auto"/>
          </w:tcPr>
          <w:p w14:paraId="502A3B39"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7F2EECCB"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463F27F3"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7FEC6705"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2B39318A"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4C2E4563"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2628C108" w14:textId="77777777" w:rsidR="008C5CFA" w:rsidRPr="00601E29" w:rsidRDefault="008C5CFA" w:rsidP="00300A01">
            <w:pPr>
              <w:spacing w:before="0" w:after="0"/>
              <w:jc w:val="right"/>
              <w:rPr>
                <w:sz w:val="10"/>
                <w:szCs w:val="10"/>
                <w:lang w:val="fr-BE"/>
              </w:rPr>
            </w:pPr>
          </w:p>
        </w:tc>
      </w:tr>
      <w:tr w:rsidR="006B2EC1" w14:paraId="58C949D8" w14:textId="77777777" w:rsidTr="0047688D">
        <w:tc>
          <w:tcPr>
            <w:tcW w:w="0" w:type="auto"/>
            <w:shd w:val="clear" w:color="auto" w:fill="auto"/>
          </w:tcPr>
          <w:p w14:paraId="0CB1424B" w14:textId="77777777" w:rsidR="008C5CFA" w:rsidRPr="00601E29" w:rsidRDefault="00E82A60" w:rsidP="00300A01">
            <w:pPr>
              <w:spacing w:before="0" w:after="0"/>
              <w:rPr>
                <w:sz w:val="10"/>
                <w:szCs w:val="10"/>
                <w:lang w:val="fr-BE"/>
              </w:rPr>
            </w:pPr>
            <w:r w:rsidRPr="00601E29">
              <w:rPr>
                <w:noProof/>
                <w:sz w:val="10"/>
                <w:szCs w:val="10"/>
                <w:lang w:val="fr-BE"/>
              </w:rPr>
              <w:t>013</w:t>
            </w:r>
          </w:p>
        </w:tc>
        <w:tc>
          <w:tcPr>
            <w:tcW w:w="0" w:type="auto"/>
            <w:shd w:val="clear" w:color="auto" w:fill="auto"/>
          </w:tcPr>
          <w:p w14:paraId="0748E03C" w14:textId="77777777" w:rsidR="008C5CFA" w:rsidRPr="00601E29" w:rsidRDefault="00E82A60" w:rsidP="00300A01">
            <w:pPr>
              <w:spacing w:before="0" w:after="0"/>
              <w:rPr>
                <w:sz w:val="10"/>
                <w:szCs w:val="10"/>
                <w:lang w:val="fr-BE"/>
              </w:rPr>
            </w:pPr>
            <w:r w:rsidRPr="00601E29">
              <w:rPr>
                <w:noProof/>
                <w:sz w:val="10"/>
                <w:szCs w:val="10"/>
                <w:lang w:val="fr-BE"/>
              </w:rPr>
              <w:t>Liczba osób w wieku 25 lat i więcej, które uzyskały kwalifikacje lub nabyły kompetencje po opuszczeniu programu</w:t>
            </w:r>
          </w:p>
        </w:tc>
        <w:tc>
          <w:tcPr>
            <w:tcW w:w="0" w:type="auto"/>
            <w:shd w:val="clear" w:color="auto" w:fill="auto"/>
          </w:tcPr>
          <w:p w14:paraId="11CF1EFD" w14:textId="77777777" w:rsidR="008C5CFA" w:rsidRPr="00601E29" w:rsidRDefault="00E82A60" w:rsidP="00300A01">
            <w:pPr>
              <w:spacing w:before="0" w:after="0"/>
              <w:rPr>
                <w:sz w:val="10"/>
                <w:szCs w:val="10"/>
                <w:lang w:val="fr-BE"/>
              </w:rPr>
            </w:pPr>
            <w:r w:rsidRPr="00601E29">
              <w:rPr>
                <w:noProof/>
                <w:sz w:val="10"/>
                <w:szCs w:val="10"/>
                <w:lang w:val="fr-BE"/>
              </w:rPr>
              <w:t>Słabiej rozwinięte</w:t>
            </w:r>
          </w:p>
        </w:tc>
        <w:tc>
          <w:tcPr>
            <w:tcW w:w="0" w:type="auto"/>
          </w:tcPr>
          <w:p w14:paraId="51E4846F" w14:textId="77777777" w:rsidR="008C5CFA" w:rsidRPr="00601E29" w:rsidRDefault="00E82A60" w:rsidP="00300A01">
            <w:pPr>
              <w:spacing w:before="0" w:after="0"/>
              <w:jc w:val="right"/>
              <w:rPr>
                <w:sz w:val="10"/>
                <w:szCs w:val="10"/>
                <w:lang w:val="fr-BE"/>
              </w:rPr>
            </w:pPr>
            <w:r w:rsidRPr="00601E29">
              <w:rPr>
                <w:noProof/>
                <w:sz w:val="10"/>
                <w:szCs w:val="10"/>
                <w:lang w:val="fr-BE"/>
              </w:rPr>
              <w:t>773,00</w:t>
            </w:r>
          </w:p>
        </w:tc>
        <w:tc>
          <w:tcPr>
            <w:tcW w:w="0" w:type="auto"/>
          </w:tcPr>
          <w:p w14:paraId="46B97CD3"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54F69713"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130E8760" w14:textId="77777777" w:rsidR="008C5CFA" w:rsidRPr="00601E29" w:rsidRDefault="00E82A60" w:rsidP="00300A01">
            <w:pPr>
              <w:spacing w:before="0" w:after="0"/>
              <w:jc w:val="right"/>
              <w:rPr>
                <w:sz w:val="10"/>
                <w:szCs w:val="10"/>
                <w:lang w:val="fr-BE"/>
              </w:rPr>
            </w:pPr>
            <w:r w:rsidRPr="00601E29">
              <w:rPr>
                <w:noProof/>
                <w:sz w:val="10"/>
                <w:szCs w:val="10"/>
                <w:lang w:val="fr-BE"/>
              </w:rPr>
              <w:t>773,00</w:t>
            </w:r>
          </w:p>
        </w:tc>
        <w:tc>
          <w:tcPr>
            <w:tcW w:w="0" w:type="auto"/>
          </w:tcPr>
          <w:p w14:paraId="2F6C2EB0"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6447F458"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3775CF14" w14:textId="77777777" w:rsidR="008C5CFA" w:rsidRPr="00601E29" w:rsidRDefault="008C5CFA" w:rsidP="00300A01">
            <w:pPr>
              <w:spacing w:before="0" w:after="0"/>
              <w:jc w:val="right"/>
              <w:rPr>
                <w:sz w:val="10"/>
                <w:szCs w:val="10"/>
                <w:lang w:val="fr-BE"/>
              </w:rPr>
            </w:pPr>
          </w:p>
        </w:tc>
        <w:tc>
          <w:tcPr>
            <w:tcW w:w="0" w:type="auto"/>
          </w:tcPr>
          <w:p w14:paraId="3D95F673"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3D1C7EDB"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093B72AD"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48AB0587"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63FFEC19"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6C117609"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74EA3A3E" w14:textId="77777777" w:rsidR="008C5CFA" w:rsidRPr="00601E29" w:rsidRDefault="008C5CFA" w:rsidP="00300A01">
            <w:pPr>
              <w:spacing w:before="0" w:after="0"/>
              <w:jc w:val="right"/>
              <w:rPr>
                <w:sz w:val="10"/>
                <w:szCs w:val="10"/>
                <w:lang w:val="fr-BE"/>
              </w:rPr>
            </w:pPr>
          </w:p>
        </w:tc>
      </w:tr>
    </w:tbl>
    <w:p w14:paraId="3D22BDE8"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07"/>
        <w:gridCol w:w="5601"/>
        <w:gridCol w:w="1044"/>
        <w:gridCol w:w="523"/>
        <w:gridCol w:w="658"/>
        <w:gridCol w:w="528"/>
        <w:gridCol w:w="523"/>
        <w:gridCol w:w="658"/>
        <w:gridCol w:w="528"/>
        <w:gridCol w:w="698"/>
        <w:gridCol w:w="523"/>
        <w:gridCol w:w="658"/>
        <w:gridCol w:w="528"/>
        <w:gridCol w:w="523"/>
        <w:gridCol w:w="658"/>
        <w:gridCol w:w="528"/>
        <w:gridCol w:w="698"/>
      </w:tblGrid>
      <w:tr w:rsidR="006B2EC1" w14:paraId="08051D68" w14:textId="77777777" w:rsidTr="0047688D">
        <w:trPr>
          <w:tblHeader/>
        </w:trPr>
        <w:tc>
          <w:tcPr>
            <w:tcW w:w="0" w:type="auto"/>
            <w:shd w:val="clear" w:color="auto" w:fill="auto"/>
          </w:tcPr>
          <w:p w14:paraId="78DC5055" w14:textId="77777777" w:rsidR="008C5CFA" w:rsidRPr="00601E29" w:rsidRDefault="00E82A60" w:rsidP="00300A01">
            <w:pPr>
              <w:spacing w:before="0" w:after="0"/>
              <w:rPr>
                <w:b/>
                <w:sz w:val="10"/>
                <w:szCs w:val="10"/>
                <w:lang w:val="fr-BE"/>
              </w:rPr>
            </w:pPr>
            <w:r w:rsidRPr="00601E29">
              <w:rPr>
                <w:b/>
                <w:noProof/>
                <w:sz w:val="10"/>
                <w:szCs w:val="10"/>
                <w:lang w:val="fr-BE"/>
              </w:rPr>
              <w:t>ID</w:t>
            </w:r>
          </w:p>
        </w:tc>
        <w:tc>
          <w:tcPr>
            <w:tcW w:w="0" w:type="auto"/>
            <w:shd w:val="clear" w:color="auto" w:fill="auto"/>
          </w:tcPr>
          <w:p w14:paraId="3702D207" w14:textId="77777777" w:rsidR="008C5CFA" w:rsidRPr="00601E29" w:rsidRDefault="00E82A60" w:rsidP="00300A01">
            <w:pPr>
              <w:spacing w:before="0" w:after="0"/>
              <w:rPr>
                <w:b/>
                <w:sz w:val="10"/>
                <w:szCs w:val="10"/>
                <w:lang w:val="fr-BE"/>
              </w:rPr>
            </w:pPr>
            <w:r w:rsidRPr="00601E29">
              <w:rPr>
                <w:b/>
                <w:noProof/>
                <w:sz w:val="10"/>
                <w:szCs w:val="10"/>
                <w:lang w:val="fr-BE"/>
              </w:rPr>
              <w:t>Wskaźnik</w:t>
            </w:r>
          </w:p>
        </w:tc>
        <w:tc>
          <w:tcPr>
            <w:tcW w:w="0" w:type="auto"/>
            <w:shd w:val="clear" w:color="auto" w:fill="auto"/>
          </w:tcPr>
          <w:p w14:paraId="024027D8" w14:textId="77777777" w:rsidR="008C5CFA" w:rsidRPr="00601E29" w:rsidRDefault="00E82A60" w:rsidP="00300A01">
            <w:pPr>
              <w:spacing w:before="0" w:after="0"/>
              <w:rPr>
                <w:b/>
                <w:sz w:val="10"/>
                <w:szCs w:val="10"/>
                <w:lang w:val="fr-BE"/>
              </w:rPr>
            </w:pPr>
            <w:r w:rsidRPr="00601E29">
              <w:rPr>
                <w:b/>
                <w:noProof/>
                <w:sz w:val="10"/>
                <w:szCs w:val="10"/>
                <w:lang w:val="fr-BE"/>
              </w:rPr>
              <w:t>Kategoria regionu</w:t>
            </w:r>
          </w:p>
        </w:tc>
        <w:tc>
          <w:tcPr>
            <w:tcW w:w="0" w:type="auto"/>
            <w:gridSpan w:val="7"/>
          </w:tcPr>
          <w:p w14:paraId="72454004" w14:textId="77777777" w:rsidR="008C5CFA" w:rsidRPr="00601E29" w:rsidRDefault="00E82A60" w:rsidP="00300A01">
            <w:pPr>
              <w:spacing w:before="0" w:after="0"/>
              <w:jc w:val="center"/>
              <w:rPr>
                <w:b/>
                <w:sz w:val="10"/>
                <w:szCs w:val="10"/>
                <w:lang w:val="fr-BE"/>
              </w:rPr>
            </w:pPr>
            <w:r>
              <w:rPr>
                <w:b/>
                <w:sz w:val="10"/>
                <w:szCs w:val="10"/>
                <w:lang w:val="fr-BE"/>
              </w:rPr>
              <w:t>2016</w:t>
            </w:r>
          </w:p>
        </w:tc>
        <w:tc>
          <w:tcPr>
            <w:tcW w:w="0" w:type="auto"/>
            <w:gridSpan w:val="7"/>
          </w:tcPr>
          <w:p w14:paraId="65B5BC49" w14:textId="77777777" w:rsidR="008C5CFA" w:rsidRPr="00601E29" w:rsidRDefault="00E82A60" w:rsidP="00300A01">
            <w:pPr>
              <w:spacing w:before="0" w:after="0"/>
              <w:jc w:val="center"/>
              <w:rPr>
                <w:b/>
                <w:sz w:val="10"/>
                <w:szCs w:val="10"/>
                <w:lang w:val="fr-BE"/>
              </w:rPr>
            </w:pPr>
            <w:r>
              <w:rPr>
                <w:b/>
                <w:sz w:val="10"/>
                <w:szCs w:val="10"/>
                <w:lang w:val="fr-BE"/>
              </w:rPr>
              <w:t>2015</w:t>
            </w:r>
          </w:p>
        </w:tc>
      </w:tr>
      <w:tr w:rsidR="006B2EC1" w14:paraId="32D97BCC" w14:textId="77777777" w:rsidTr="0047688D">
        <w:trPr>
          <w:tblHeader/>
        </w:trPr>
        <w:tc>
          <w:tcPr>
            <w:tcW w:w="0" w:type="auto"/>
            <w:shd w:val="clear" w:color="auto" w:fill="auto"/>
          </w:tcPr>
          <w:p w14:paraId="4745CCF0" w14:textId="77777777" w:rsidR="008C5CFA" w:rsidRPr="00601E29" w:rsidRDefault="008C5CFA" w:rsidP="00300A01">
            <w:pPr>
              <w:spacing w:before="0" w:after="0"/>
              <w:rPr>
                <w:b/>
                <w:sz w:val="10"/>
                <w:szCs w:val="10"/>
                <w:lang w:val="fr-BE"/>
              </w:rPr>
            </w:pPr>
          </w:p>
        </w:tc>
        <w:tc>
          <w:tcPr>
            <w:tcW w:w="0" w:type="auto"/>
            <w:shd w:val="clear" w:color="auto" w:fill="auto"/>
          </w:tcPr>
          <w:p w14:paraId="5BD3E8D4" w14:textId="77777777" w:rsidR="008C5CFA" w:rsidRPr="00601E29" w:rsidRDefault="008C5CFA" w:rsidP="00300A01">
            <w:pPr>
              <w:spacing w:before="0" w:after="0"/>
              <w:rPr>
                <w:b/>
                <w:sz w:val="10"/>
                <w:szCs w:val="10"/>
                <w:lang w:val="fr-BE"/>
              </w:rPr>
            </w:pPr>
          </w:p>
        </w:tc>
        <w:tc>
          <w:tcPr>
            <w:tcW w:w="0" w:type="auto"/>
            <w:shd w:val="clear" w:color="auto" w:fill="auto"/>
          </w:tcPr>
          <w:p w14:paraId="6B97FE74" w14:textId="77777777" w:rsidR="008C5CFA" w:rsidRPr="00601E29" w:rsidRDefault="008C5CFA" w:rsidP="00300A01">
            <w:pPr>
              <w:spacing w:before="0" w:after="0"/>
              <w:rPr>
                <w:b/>
                <w:sz w:val="10"/>
                <w:szCs w:val="10"/>
                <w:lang w:val="fr-BE"/>
              </w:rPr>
            </w:pPr>
          </w:p>
        </w:tc>
        <w:tc>
          <w:tcPr>
            <w:tcW w:w="0" w:type="auto"/>
            <w:gridSpan w:val="3"/>
          </w:tcPr>
          <w:p w14:paraId="4109A87E" w14:textId="77777777" w:rsidR="008C5CFA" w:rsidRPr="00601E29" w:rsidRDefault="00E82A60" w:rsidP="00300A01">
            <w:pPr>
              <w:spacing w:before="0" w:after="0"/>
              <w:jc w:val="center"/>
              <w:rPr>
                <w:b/>
                <w:sz w:val="10"/>
                <w:szCs w:val="10"/>
                <w:lang w:val="fr-BE"/>
              </w:rPr>
            </w:pPr>
            <w:r w:rsidRPr="00601E29">
              <w:rPr>
                <w:b/>
                <w:noProof/>
                <w:sz w:val="10"/>
                <w:szCs w:val="10"/>
                <w:lang w:val="fr-BE"/>
              </w:rPr>
              <w:t>Łącznie</w:t>
            </w:r>
          </w:p>
        </w:tc>
        <w:tc>
          <w:tcPr>
            <w:tcW w:w="0" w:type="auto"/>
            <w:gridSpan w:val="3"/>
          </w:tcPr>
          <w:p w14:paraId="2A91C975" w14:textId="77777777" w:rsidR="008C5CFA" w:rsidRPr="00601E29" w:rsidRDefault="00E82A60" w:rsidP="00300A01">
            <w:pPr>
              <w:spacing w:before="0" w:after="0"/>
              <w:jc w:val="center"/>
              <w:rPr>
                <w:b/>
                <w:sz w:val="10"/>
                <w:szCs w:val="10"/>
                <w:lang w:val="fr-BE"/>
              </w:rPr>
            </w:pPr>
            <w:r w:rsidRPr="00601E29">
              <w:rPr>
                <w:b/>
                <w:noProof/>
                <w:sz w:val="10"/>
                <w:szCs w:val="10"/>
                <w:lang w:val="fr-BE"/>
              </w:rPr>
              <w:t>Łącznie w roku</w:t>
            </w:r>
          </w:p>
        </w:tc>
        <w:tc>
          <w:tcPr>
            <w:tcW w:w="0" w:type="auto"/>
          </w:tcPr>
          <w:p w14:paraId="35EA659F" w14:textId="77777777" w:rsidR="008C5CFA" w:rsidRPr="00601E29" w:rsidRDefault="00E82A60" w:rsidP="00300A01">
            <w:pPr>
              <w:spacing w:before="0" w:after="0"/>
              <w:jc w:val="center"/>
              <w:rPr>
                <w:b/>
                <w:sz w:val="10"/>
                <w:szCs w:val="10"/>
                <w:lang w:val="fr-BE"/>
              </w:rPr>
            </w:pPr>
            <w:r w:rsidRPr="00601E29">
              <w:rPr>
                <w:b/>
                <w:noProof/>
                <w:sz w:val="10"/>
                <w:szCs w:val="10"/>
                <w:lang w:val="fr-BE"/>
              </w:rPr>
              <w:t>Jakościowe</w:t>
            </w:r>
          </w:p>
        </w:tc>
        <w:tc>
          <w:tcPr>
            <w:tcW w:w="0" w:type="auto"/>
            <w:gridSpan w:val="3"/>
          </w:tcPr>
          <w:p w14:paraId="7C494F9D" w14:textId="77777777" w:rsidR="008C5CFA" w:rsidRPr="00601E29" w:rsidRDefault="00E82A60" w:rsidP="00300A01">
            <w:pPr>
              <w:spacing w:before="0" w:after="0"/>
              <w:jc w:val="center"/>
              <w:rPr>
                <w:b/>
                <w:sz w:val="10"/>
                <w:szCs w:val="10"/>
                <w:lang w:val="fr-BE"/>
              </w:rPr>
            </w:pPr>
            <w:r w:rsidRPr="00601E29">
              <w:rPr>
                <w:b/>
                <w:noProof/>
                <w:sz w:val="10"/>
                <w:szCs w:val="10"/>
                <w:lang w:val="fr-BE"/>
              </w:rPr>
              <w:t>Łącznie</w:t>
            </w:r>
          </w:p>
        </w:tc>
        <w:tc>
          <w:tcPr>
            <w:tcW w:w="0" w:type="auto"/>
            <w:gridSpan w:val="3"/>
          </w:tcPr>
          <w:p w14:paraId="2380257C" w14:textId="77777777" w:rsidR="008C5CFA" w:rsidRPr="00601E29" w:rsidRDefault="00E82A60" w:rsidP="00300A01">
            <w:pPr>
              <w:spacing w:before="0" w:after="0"/>
              <w:jc w:val="center"/>
              <w:rPr>
                <w:b/>
                <w:sz w:val="10"/>
                <w:szCs w:val="10"/>
                <w:lang w:val="fr-BE"/>
              </w:rPr>
            </w:pPr>
            <w:r w:rsidRPr="00601E29">
              <w:rPr>
                <w:b/>
                <w:noProof/>
                <w:sz w:val="10"/>
                <w:szCs w:val="10"/>
                <w:lang w:val="fr-BE"/>
              </w:rPr>
              <w:t>Łącznie w roku</w:t>
            </w:r>
          </w:p>
        </w:tc>
        <w:tc>
          <w:tcPr>
            <w:tcW w:w="0" w:type="auto"/>
          </w:tcPr>
          <w:p w14:paraId="062ACBCF" w14:textId="77777777" w:rsidR="008C5CFA" w:rsidRPr="00601E29" w:rsidRDefault="00E82A60" w:rsidP="00300A01">
            <w:pPr>
              <w:spacing w:before="0" w:after="0"/>
              <w:jc w:val="center"/>
              <w:rPr>
                <w:b/>
                <w:sz w:val="10"/>
                <w:szCs w:val="10"/>
                <w:lang w:val="fr-BE"/>
              </w:rPr>
            </w:pPr>
            <w:r w:rsidRPr="00601E29">
              <w:rPr>
                <w:b/>
                <w:noProof/>
                <w:sz w:val="10"/>
                <w:szCs w:val="10"/>
                <w:lang w:val="fr-BE"/>
              </w:rPr>
              <w:t>Jakościowe</w:t>
            </w:r>
          </w:p>
        </w:tc>
      </w:tr>
      <w:tr w:rsidR="006B2EC1" w14:paraId="037A1602" w14:textId="77777777" w:rsidTr="0047688D">
        <w:trPr>
          <w:tblHeader/>
        </w:trPr>
        <w:tc>
          <w:tcPr>
            <w:tcW w:w="0" w:type="auto"/>
            <w:shd w:val="clear" w:color="auto" w:fill="auto"/>
          </w:tcPr>
          <w:p w14:paraId="5C6F1268" w14:textId="77777777" w:rsidR="008C5CFA" w:rsidRPr="00601E29" w:rsidRDefault="008C5CFA" w:rsidP="00300A01">
            <w:pPr>
              <w:spacing w:before="0" w:after="0"/>
              <w:rPr>
                <w:b/>
                <w:sz w:val="10"/>
                <w:szCs w:val="10"/>
                <w:lang w:val="fr-BE"/>
              </w:rPr>
            </w:pPr>
          </w:p>
        </w:tc>
        <w:tc>
          <w:tcPr>
            <w:tcW w:w="0" w:type="auto"/>
            <w:shd w:val="clear" w:color="auto" w:fill="auto"/>
          </w:tcPr>
          <w:p w14:paraId="2C21FCB2" w14:textId="77777777" w:rsidR="008C5CFA" w:rsidRPr="00601E29" w:rsidRDefault="008C5CFA" w:rsidP="00300A01">
            <w:pPr>
              <w:spacing w:before="0" w:after="0"/>
              <w:rPr>
                <w:b/>
                <w:sz w:val="10"/>
                <w:szCs w:val="10"/>
                <w:lang w:val="fr-BE"/>
              </w:rPr>
            </w:pPr>
          </w:p>
        </w:tc>
        <w:tc>
          <w:tcPr>
            <w:tcW w:w="0" w:type="auto"/>
            <w:shd w:val="clear" w:color="auto" w:fill="auto"/>
          </w:tcPr>
          <w:p w14:paraId="2EE7F522" w14:textId="77777777" w:rsidR="008C5CFA" w:rsidRPr="00601E29" w:rsidRDefault="008C5CFA" w:rsidP="00300A01">
            <w:pPr>
              <w:spacing w:before="0" w:after="0"/>
              <w:rPr>
                <w:b/>
                <w:sz w:val="10"/>
                <w:szCs w:val="10"/>
                <w:lang w:val="fr-BE"/>
              </w:rPr>
            </w:pPr>
          </w:p>
        </w:tc>
        <w:tc>
          <w:tcPr>
            <w:tcW w:w="0" w:type="auto"/>
          </w:tcPr>
          <w:p w14:paraId="13B3E33C" w14:textId="77777777" w:rsidR="008C5CFA" w:rsidRPr="00601E29" w:rsidRDefault="00E82A60" w:rsidP="00300A01">
            <w:pPr>
              <w:spacing w:before="0" w:after="0"/>
              <w:jc w:val="center"/>
              <w:rPr>
                <w:b/>
                <w:sz w:val="10"/>
                <w:szCs w:val="10"/>
                <w:lang w:val="fr-BE"/>
              </w:rPr>
            </w:pPr>
            <w:r w:rsidRPr="00601E29">
              <w:rPr>
                <w:b/>
                <w:noProof/>
                <w:sz w:val="10"/>
                <w:szCs w:val="10"/>
                <w:lang w:val="fr-BE"/>
              </w:rPr>
              <w:t>Ogółem</w:t>
            </w:r>
          </w:p>
        </w:tc>
        <w:tc>
          <w:tcPr>
            <w:tcW w:w="0" w:type="auto"/>
          </w:tcPr>
          <w:p w14:paraId="77212C04" w14:textId="77777777" w:rsidR="008C5CFA" w:rsidRPr="00601E29" w:rsidRDefault="00E82A60" w:rsidP="00300A01">
            <w:pPr>
              <w:spacing w:before="0" w:after="0"/>
              <w:jc w:val="center"/>
              <w:rPr>
                <w:b/>
                <w:sz w:val="10"/>
                <w:szCs w:val="10"/>
                <w:lang w:val="fr-BE"/>
              </w:rPr>
            </w:pPr>
            <w:r w:rsidRPr="00601E29">
              <w:rPr>
                <w:b/>
                <w:noProof/>
                <w:sz w:val="10"/>
                <w:szCs w:val="10"/>
                <w:lang w:val="fr-BE"/>
              </w:rPr>
              <w:t>Mężczyźni</w:t>
            </w:r>
          </w:p>
        </w:tc>
        <w:tc>
          <w:tcPr>
            <w:tcW w:w="0" w:type="auto"/>
          </w:tcPr>
          <w:p w14:paraId="4EA290A2" w14:textId="77777777" w:rsidR="008C5CFA" w:rsidRPr="00601E29" w:rsidRDefault="00E82A60" w:rsidP="00300A01">
            <w:pPr>
              <w:spacing w:before="0" w:after="0"/>
              <w:jc w:val="center"/>
              <w:rPr>
                <w:b/>
                <w:sz w:val="10"/>
                <w:szCs w:val="10"/>
                <w:lang w:val="fr-BE"/>
              </w:rPr>
            </w:pPr>
            <w:r w:rsidRPr="00601E29">
              <w:rPr>
                <w:b/>
                <w:noProof/>
                <w:sz w:val="10"/>
                <w:szCs w:val="10"/>
                <w:lang w:val="fr-BE"/>
              </w:rPr>
              <w:t>Kobiety</w:t>
            </w:r>
          </w:p>
        </w:tc>
        <w:tc>
          <w:tcPr>
            <w:tcW w:w="0" w:type="auto"/>
          </w:tcPr>
          <w:p w14:paraId="4D93885E" w14:textId="77777777" w:rsidR="008C5CFA" w:rsidRPr="00601E29" w:rsidRDefault="00E82A60" w:rsidP="00300A01">
            <w:pPr>
              <w:spacing w:before="0" w:after="0"/>
              <w:jc w:val="center"/>
              <w:rPr>
                <w:b/>
                <w:sz w:val="10"/>
                <w:szCs w:val="10"/>
                <w:lang w:val="fr-BE"/>
              </w:rPr>
            </w:pPr>
            <w:r w:rsidRPr="00601E29">
              <w:rPr>
                <w:b/>
                <w:noProof/>
                <w:sz w:val="10"/>
                <w:szCs w:val="10"/>
                <w:lang w:val="fr-BE"/>
              </w:rPr>
              <w:t>Ogółem</w:t>
            </w:r>
          </w:p>
        </w:tc>
        <w:tc>
          <w:tcPr>
            <w:tcW w:w="0" w:type="auto"/>
          </w:tcPr>
          <w:p w14:paraId="2FE35F1B" w14:textId="77777777" w:rsidR="008C5CFA" w:rsidRPr="00601E29" w:rsidRDefault="00E82A60" w:rsidP="00300A01">
            <w:pPr>
              <w:spacing w:before="0" w:after="0"/>
              <w:jc w:val="center"/>
              <w:rPr>
                <w:b/>
                <w:sz w:val="10"/>
                <w:szCs w:val="10"/>
                <w:lang w:val="fr-BE"/>
              </w:rPr>
            </w:pPr>
            <w:r w:rsidRPr="00601E29">
              <w:rPr>
                <w:b/>
                <w:noProof/>
                <w:sz w:val="10"/>
                <w:szCs w:val="10"/>
                <w:lang w:val="fr-BE"/>
              </w:rPr>
              <w:t>Mężczyźni</w:t>
            </w:r>
          </w:p>
        </w:tc>
        <w:tc>
          <w:tcPr>
            <w:tcW w:w="0" w:type="auto"/>
          </w:tcPr>
          <w:p w14:paraId="40C46A4C" w14:textId="77777777" w:rsidR="008C5CFA" w:rsidRPr="00601E29" w:rsidRDefault="00E82A60" w:rsidP="00300A01">
            <w:pPr>
              <w:spacing w:before="0" w:after="0"/>
              <w:jc w:val="center"/>
              <w:rPr>
                <w:b/>
                <w:sz w:val="10"/>
                <w:szCs w:val="10"/>
                <w:lang w:val="fr-BE"/>
              </w:rPr>
            </w:pPr>
            <w:r w:rsidRPr="00601E29">
              <w:rPr>
                <w:b/>
                <w:noProof/>
                <w:sz w:val="10"/>
                <w:szCs w:val="10"/>
                <w:lang w:val="fr-BE"/>
              </w:rPr>
              <w:t>Kobiety</w:t>
            </w:r>
          </w:p>
        </w:tc>
        <w:tc>
          <w:tcPr>
            <w:tcW w:w="0" w:type="auto"/>
          </w:tcPr>
          <w:p w14:paraId="4A2EB722" w14:textId="77777777" w:rsidR="008C5CFA" w:rsidRPr="00601E29" w:rsidRDefault="008C5CFA" w:rsidP="00300A01">
            <w:pPr>
              <w:spacing w:before="0" w:after="0"/>
              <w:jc w:val="center"/>
              <w:rPr>
                <w:b/>
                <w:sz w:val="10"/>
                <w:szCs w:val="10"/>
                <w:lang w:val="fr-BE"/>
              </w:rPr>
            </w:pPr>
          </w:p>
        </w:tc>
        <w:tc>
          <w:tcPr>
            <w:tcW w:w="0" w:type="auto"/>
          </w:tcPr>
          <w:p w14:paraId="7D345ECD" w14:textId="77777777" w:rsidR="008C5CFA" w:rsidRPr="00601E29" w:rsidRDefault="00E82A60" w:rsidP="00300A01">
            <w:pPr>
              <w:spacing w:before="0" w:after="0"/>
              <w:jc w:val="center"/>
              <w:rPr>
                <w:b/>
                <w:sz w:val="10"/>
                <w:szCs w:val="10"/>
                <w:lang w:val="fr-BE"/>
              </w:rPr>
            </w:pPr>
            <w:r w:rsidRPr="00601E29">
              <w:rPr>
                <w:b/>
                <w:noProof/>
                <w:sz w:val="10"/>
                <w:szCs w:val="10"/>
                <w:lang w:val="fr-BE"/>
              </w:rPr>
              <w:t>Ogółem</w:t>
            </w:r>
          </w:p>
        </w:tc>
        <w:tc>
          <w:tcPr>
            <w:tcW w:w="0" w:type="auto"/>
          </w:tcPr>
          <w:p w14:paraId="5D25DB4D" w14:textId="77777777" w:rsidR="008C5CFA" w:rsidRPr="00601E29" w:rsidRDefault="00E82A60" w:rsidP="00300A01">
            <w:pPr>
              <w:spacing w:before="0" w:after="0"/>
              <w:jc w:val="center"/>
              <w:rPr>
                <w:b/>
                <w:sz w:val="10"/>
                <w:szCs w:val="10"/>
                <w:lang w:val="fr-BE"/>
              </w:rPr>
            </w:pPr>
            <w:r w:rsidRPr="00601E29">
              <w:rPr>
                <w:b/>
                <w:noProof/>
                <w:sz w:val="10"/>
                <w:szCs w:val="10"/>
                <w:lang w:val="fr-BE"/>
              </w:rPr>
              <w:t>Mężczyźni</w:t>
            </w:r>
          </w:p>
        </w:tc>
        <w:tc>
          <w:tcPr>
            <w:tcW w:w="0" w:type="auto"/>
          </w:tcPr>
          <w:p w14:paraId="105B0A7E" w14:textId="77777777" w:rsidR="008C5CFA" w:rsidRPr="00601E29" w:rsidRDefault="00E82A60" w:rsidP="00300A01">
            <w:pPr>
              <w:spacing w:before="0" w:after="0"/>
              <w:jc w:val="center"/>
              <w:rPr>
                <w:b/>
                <w:sz w:val="10"/>
                <w:szCs w:val="10"/>
                <w:lang w:val="fr-BE"/>
              </w:rPr>
            </w:pPr>
            <w:r w:rsidRPr="00601E29">
              <w:rPr>
                <w:b/>
                <w:noProof/>
                <w:sz w:val="10"/>
                <w:szCs w:val="10"/>
                <w:lang w:val="fr-BE"/>
              </w:rPr>
              <w:t>Kobiety</w:t>
            </w:r>
          </w:p>
        </w:tc>
        <w:tc>
          <w:tcPr>
            <w:tcW w:w="0" w:type="auto"/>
          </w:tcPr>
          <w:p w14:paraId="0FAE3E5F" w14:textId="77777777" w:rsidR="008C5CFA" w:rsidRPr="00601E29" w:rsidRDefault="00E82A60" w:rsidP="00300A01">
            <w:pPr>
              <w:spacing w:before="0" w:after="0"/>
              <w:jc w:val="center"/>
              <w:rPr>
                <w:b/>
                <w:sz w:val="10"/>
                <w:szCs w:val="10"/>
                <w:lang w:val="fr-BE"/>
              </w:rPr>
            </w:pPr>
            <w:r w:rsidRPr="00601E29">
              <w:rPr>
                <w:b/>
                <w:noProof/>
                <w:sz w:val="10"/>
                <w:szCs w:val="10"/>
                <w:lang w:val="fr-BE"/>
              </w:rPr>
              <w:t>Ogółem</w:t>
            </w:r>
          </w:p>
        </w:tc>
        <w:tc>
          <w:tcPr>
            <w:tcW w:w="0" w:type="auto"/>
          </w:tcPr>
          <w:p w14:paraId="2A9B77A3" w14:textId="77777777" w:rsidR="008C5CFA" w:rsidRPr="00601E29" w:rsidRDefault="00E82A60" w:rsidP="00300A01">
            <w:pPr>
              <w:spacing w:before="0" w:after="0"/>
              <w:jc w:val="center"/>
              <w:rPr>
                <w:b/>
                <w:sz w:val="10"/>
                <w:szCs w:val="10"/>
                <w:lang w:val="fr-BE"/>
              </w:rPr>
            </w:pPr>
            <w:r w:rsidRPr="00601E29">
              <w:rPr>
                <w:b/>
                <w:noProof/>
                <w:sz w:val="10"/>
                <w:szCs w:val="10"/>
                <w:lang w:val="fr-BE"/>
              </w:rPr>
              <w:t>Mężczyźni</w:t>
            </w:r>
          </w:p>
        </w:tc>
        <w:tc>
          <w:tcPr>
            <w:tcW w:w="0" w:type="auto"/>
          </w:tcPr>
          <w:p w14:paraId="294979BD" w14:textId="77777777" w:rsidR="008C5CFA" w:rsidRPr="00601E29" w:rsidRDefault="00E82A60" w:rsidP="00300A01">
            <w:pPr>
              <w:spacing w:before="0" w:after="0"/>
              <w:jc w:val="center"/>
              <w:rPr>
                <w:b/>
                <w:sz w:val="10"/>
                <w:szCs w:val="10"/>
                <w:lang w:val="fr-BE"/>
              </w:rPr>
            </w:pPr>
            <w:r w:rsidRPr="00601E29">
              <w:rPr>
                <w:b/>
                <w:noProof/>
                <w:sz w:val="10"/>
                <w:szCs w:val="10"/>
                <w:lang w:val="fr-BE"/>
              </w:rPr>
              <w:t>Kobiety</w:t>
            </w:r>
          </w:p>
        </w:tc>
        <w:tc>
          <w:tcPr>
            <w:tcW w:w="0" w:type="auto"/>
          </w:tcPr>
          <w:p w14:paraId="02D0131E" w14:textId="77777777" w:rsidR="008C5CFA" w:rsidRPr="00601E29" w:rsidRDefault="008C5CFA" w:rsidP="00300A01">
            <w:pPr>
              <w:spacing w:before="0" w:after="0"/>
              <w:jc w:val="center"/>
              <w:rPr>
                <w:b/>
                <w:sz w:val="10"/>
                <w:szCs w:val="10"/>
                <w:lang w:val="fr-BE"/>
              </w:rPr>
            </w:pPr>
          </w:p>
        </w:tc>
      </w:tr>
      <w:tr w:rsidR="006B2EC1" w14:paraId="01563498" w14:textId="77777777" w:rsidTr="0047688D">
        <w:tc>
          <w:tcPr>
            <w:tcW w:w="0" w:type="auto"/>
            <w:shd w:val="clear" w:color="auto" w:fill="auto"/>
          </w:tcPr>
          <w:p w14:paraId="7DAAEF5E" w14:textId="77777777" w:rsidR="008C5CFA" w:rsidRPr="00601E29" w:rsidRDefault="00E82A60" w:rsidP="00300A01">
            <w:pPr>
              <w:spacing w:before="0" w:after="0"/>
              <w:rPr>
                <w:sz w:val="10"/>
                <w:szCs w:val="10"/>
                <w:lang w:val="fr-BE"/>
              </w:rPr>
            </w:pPr>
            <w:r w:rsidRPr="00601E29">
              <w:rPr>
                <w:noProof/>
                <w:sz w:val="10"/>
                <w:szCs w:val="10"/>
                <w:lang w:val="fr-BE"/>
              </w:rPr>
              <w:t>011</w:t>
            </w:r>
          </w:p>
        </w:tc>
        <w:tc>
          <w:tcPr>
            <w:tcW w:w="0" w:type="auto"/>
            <w:shd w:val="clear" w:color="auto" w:fill="auto"/>
          </w:tcPr>
          <w:p w14:paraId="21ADD32A" w14:textId="77777777" w:rsidR="008C5CFA" w:rsidRPr="00601E29" w:rsidRDefault="00E82A60" w:rsidP="00300A01">
            <w:pPr>
              <w:spacing w:before="0" w:after="0"/>
              <w:rPr>
                <w:sz w:val="10"/>
                <w:szCs w:val="10"/>
                <w:lang w:val="fr-BE"/>
              </w:rPr>
            </w:pPr>
            <w:r w:rsidRPr="00601E29">
              <w:rPr>
                <w:noProof/>
                <w:sz w:val="10"/>
                <w:szCs w:val="10"/>
                <w:lang w:val="fr-BE"/>
              </w:rPr>
              <w:t>Liczba osób o niskich kwalifikacjach, które uzyskały kwalifikacje lub nabyły kompetencje po opuszczeniu programu</w:t>
            </w:r>
          </w:p>
        </w:tc>
        <w:tc>
          <w:tcPr>
            <w:tcW w:w="0" w:type="auto"/>
            <w:shd w:val="clear" w:color="auto" w:fill="auto"/>
          </w:tcPr>
          <w:p w14:paraId="248ABDB6" w14:textId="77777777" w:rsidR="008C5CFA" w:rsidRPr="00601E29" w:rsidRDefault="00E82A60" w:rsidP="00300A01">
            <w:pPr>
              <w:spacing w:before="0" w:after="0"/>
              <w:rPr>
                <w:sz w:val="10"/>
                <w:szCs w:val="10"/>
                <w:lang w:val="fr-BE"/>
              </w:rPr>
            </w:pPr>
            <w:r w:rsidRPr="00601E29">
              <w:rPr>
                <w:noProof/>
                <w:sz w:val="10"/>
                <w:szCs w:val="10"/>
                <w:lang w:val="fr-BE"/>
              </w:rPr>
              <w:t>Słabiej rozwinięte</w:t>
            </w:r>
          </w:p>
        </w:tc>
        <w:tc>
          <w:tcPr>
            <w:tcW w:w="0" w:type="auto"/>
          </w:tcPr>
          <w:p w14:paraId="799CC595"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0E54D680"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67B5993B"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3CC45722"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534F8001"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2BEE793C"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76ADC896" w14:textId="77777777" w:rsidR="008C5CFA" w:rsidRPr="00601E29" w:rsidRDefault="008C5CFA" w:rsidP="00300A01">
            <w:pPr>
              <w:spacing w:before="0" w:after="0"/>
              <w:jc w:val="right"/>
              <w:rPr>
                <w:sz w:val="10"/>
                <w:szCs w:val="10"/>
                <w:lang w:val="fr-BE"/>
              </w:rPr>
            </w:pPr>
          </w:p>
        </w:tc>
        <w:tc>
          <w:tcPr>
            <w:tcW w:w="0" w:type="auto"/>
          </w:tcPr>
          <w:p w14:paraId="03F521E0"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6E2139C2"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0BB1A7D6"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398086FF"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12C7BEB4"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13EBBF9B"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56226A55" w14:textId="77777777" w:rsidR="008C5CFA" w:rsidRPr="00601E29" w:rsidRDefault="008C5CFA" w:rsidP="00300A01">
            <w:pPr>
              <w:spacing w:before="0" w:after="0"/>
              <w:jc w:val="right"/>
              <w:rPr>
                <w:sz w:val="10"/>
                <w:szCs w:val="10"/>
                <w:lang w:val="fr-BE"/>
              </w:rPr>
            </w:pPr>
          </w:p>
        </w:tc>
      </w:tr>
      <w:tr w:rsidR="006B2EC1" w14:paraId="7D6BDA6C" w14:textId="77777777" w:rsidTr="0047688D">
        <w:tc>
          <w:tcPr>
            <w:tcW w:w="0" w:type="auto"/>
            <w:shd w:val="clear" w:color="auto" w:fill="auto"/>
          </w:tcPr>
          <w:p w14:paraId="632C6C68" w14:textId="77777777" w:rsidR="008C5CFA" w:rsidRPr="00601E29" w:rsidRDefault="00E82A60" w:rsidP="00300A01">
            <w:pPr>
              <w:spacing w:before="0" w:after="0"/>
              <w:rPr>
                <w:sz w:val="10"/>
                <w:szCs w:val="10"/>
                <w:lang w:val="fr-BE"/>
              </w:rPr>
            </w:pPr>
            <w:r w:rsidRPr="00601E29">
              <w:rPr>
                <w:noProof/>
                <w:sz w:val="10"/>
                <w:szCs w:val="10"/>
                <w:lang w:val="fr-BE"/>
              </w:rPr>
              <w:t>012</w:t>
            </w:r>
          </w:p>
        </w:tc>
        <w:tc>
          <w:tcPr>
            <w:tcW w:w="0" w:type="auto"/>
            <w:shd w:val="clear" w:color="auto" w:fill="auto"/>
          </w:tcPr>
          <w:p w14:paraId="3A47ACAC" w14:textId="77777777" w:rsidR="008C5CFA" w:rsidRPr="00601E29" w:rsidRDefault="00E82A60" w:rsidP="00300A01">
            <w:pPr>
              <w:spacing w:before="0" w:after="0"/>
              <w:rPr>
                <w:sz w:val="10"/>
                <w:szCs w:val="10"/>
                <w:lang w:val="fr-BE"/>
              </w:rPr>
            </w:pPr>
            <w:r w:rsidRPr="00601E29">
              <w:rPr>
                <w:noProof/>
                <w:sz w:val="10"/>
                <w:szCs w:val="10"/>
                <w:lang w:val="fr-BE"/>
              </w:rPr>
              <w:t>Liczba osób w wieku 50 lat i więcej, które uzyskały kwalifikacje lub nabyły kompetencje po opuszczeniu programu</w:t>
            </w:r>
          </w:p>
        </w:tc>
        <w:tc>
          <w:tcPr>
            <w:tcW w:w="0" w:type="auto"/>
            <w:shd w:val="clear" w:color="auto" w:fill="auto"/>
          </w:tcPr>
          <w:p w14:paraId="6AB80E16" w14:textId="77777777" w:rsidR="008C5CFA" w:rsidRPr="00601E29" w:rsidRDefault="00E82A60" w:rsidP="00300A01">
            <w:pPr>
              <w:spacing w:before="0" w:after="0"/>
              <w:rPr>
                <w:sz w:val="10"/>
                <w:szCs w:val="10"/>
                <w:lang w:val="fr-BE"/>
              </w:rPr>
            </w:pPr>
            <w:r w:rsidRPr="00601E29">
              <w:rPr>
                <w:noProof/>
                <w:sz w:val="10"/>
                <w:szCs w:val="10"/>
                <w:lang w:val="fr-BE"/>
              </w:rPr>
              <w:t>Słabiej rozwinięte</w:t>
            </w:r>
          </w:p>
        </w:tc>
        <w:tc>
          <w:tcPr>
            <w:tcW w:w="0" w:type="auto"/>
          </w:tcPr>
          <w:p w14:paraId="32014666"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75F679D0"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0BAC1AB3"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6488FB80"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7625395C"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0D1672CA"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313E664E" w14:textId="77777777" w:rsidR="008C5CFA" w:rsidRPr="00601E29" w:rsidRDefault="008C5CFA" w:rsidP="00300A01">
            <w:pPr>
              <w:spacing w:before="0" w:after="0"/>
              <w:jc w:val="right"/>
              <w:rPr>
                <w:sz w:val="10"/>
                <w:szCs w:val="10"/>
                <w:lang w:val="fr-BE"/>
              </w:rPr>
            </w:pPr>
          </w:p>
        </w:tc>
        <w:tc>
          <w:tcPr>
            <w:tcW w:w="0" w:type="auto"/>
          </w:tcPr>
          <w:p w14:paraId="41E79DA5"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6D979E94"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6CAB7339"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08703B6F"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54A4D030"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51D3AA7C"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40404A36" w14:textId="77777777" w:rsidR="008C5CFA" w:rsidRPr="00601E29" w:rsidRDefault="008C5CFA" w:rsidP="00300A01">
            <w:pPr>
              <w:spacing w:before="0" w:after="0"/>
              <w:jc w:val="right"/>
              <w:rPr>
                <w:sz w:val="10"/>
                <w:szCs w:val="10"/>
                <w:lang w:val="fr-BE"/>
              </w:rPr>
            </w:pPr>
          </w:p>
        </w:tc>
      </w:tr>
      <w:tr w:rsidR="006B2EC1" w14:paraId="1F9F69C7" w14:textId="77777777" w:rsidTr="0047688D">
        <w:tc>
          <w:tcPr>
            <w:tcW w:w="0" w:type="auto"/>
            <w:shd w:val="clear" w:color="auto" w:fill="auto"/>
          </w:tcPr>
          <w:p w14:paraId="2DA75526" w14:textId="77777777" w:rsidR="008C5CFA" w:rsidRPr="00601E29" w:rsidRDefault="00E82A60" w:rsidP="00300A01">
            <w:pPr>
              <w:spacing w:before="0" w:after="0"/>
              <w:rPr>
                <w:sz w:val="10"/>
                <w:szCs w:val="10"/>
                <w:lang w:val="fr-BE"/>
              </w:rPr>
            </w:pPr>
            <w:r w:rsidRPr="00601E29">
              <w:rPr>
                <w:noProof/>
                <w:sz w:val="10"/>
                <w:szCs w:val="10"/>
                <w:lang w:val="fr-BE"/>
              </w:rPr>
              <w:t>013</w:t>
            </w:r>
          </w:p>
        </w:tc>
        <w:tc>
          <w:tcPr>
            <w:tcW w:w="0" w:type="auto"/>
            <w:shd w:val="clear" w:color="auto" w:fill="auto"/>
          </w:tcPr>
          <w:p w14:paraId="077A6CA6" w14:textId="77777777" w:rsidR="008C5CFA" w:rsidRPr="00601E29" w:rsidRDefault="00E82A60" w:rsidP="00300A01">
            <w:pPr>
              <w:spacing w:before="0" w:after="0"/>
              <w:rPr>
                <w:sz w:val="10"/>
                <w:szCs w:val="10"/>
                <w:lang w:val="fr-BE"/>
              </w:rPr>
            </w:pPr>
            <w:r w:rsidRPr="00601E29">
              <w:rPr>
                <w:noProof/>
                <w:sz w:val="10"/>
                <w:szCs w:val="10"/>
                <w:lang w:val="fr-BE"/>
              </w:rPr>
              <w:t>Liczba osób w wieku 25 lat i więcej, które uzyskały kwalifikacje lub nabyły kompetencje po opuszczeniu programu</w:t>
            </w:r>
          </w:p>
        </w:tc>
        <w:tc>
          <w:tcPr>
            <w:tcW w:w="0" w:type="auto"/>
            <w:shd w:val="clear" w:color="auto" w:fill="auto"/>
          </w:tcPr>
          <w:p w14:paraId="7EA6C79C" w14:textId="77777777" w:rsidR="008C5CFA" w:rsidRPr="00601E29" w:rsidRDefault="00E82A60" w:rsidP="00300A01">
            <w:pPr>
              <w:spacing w:before="0" w:after="0"/>
              <w:rPr>
                <w:sz w:val="10"/>
                <w:szCs w:val="10"/>
                <w:lang w:val="fr-BE"/>
              </w:rPr>
            </w:pPr>
            <w:r w:rsidRPr="00601E29">
              <w:rPr>
                <w:noProof/>
                <w:sz w:val="10"/>
                <w:szCs w:val="10"/>
                <w:lang w:val="fr-BE"/>
              </w:rPr>
              <w:t>Słabiej rozwinięte</w:t>
            </w:r>
          </w:p>
        </w:tc>
        <w:tc>
          <w:tcPr>
            <w:tcW w:w="0" w:type="auto"/>
          </w:tcPr>
          <w:p w14:paraId="5F44AB6C"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687142E5"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5C204446"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5CE81FA6"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50130490"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04A2D950"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76779319" w14:textId="77777777" w:rsidR="008C5CFA" w:rsidRPr="00601E29" w:rsidRDefault="008C5CFA" w:rsidP="00300A01">
            <w:pPr>
              <w:spacing w:before="0" w:after="0"/>
              <w:jc w:val="right"/>
              <w:rPr>
                <w:sz w:val="10"/>
                <w:szCs w:val="10"/>
                <w:lang w:val="fr-BE"/>
              </w:rPr>
            </w:pPr>
          </w:p>
        </w:tc>
        <w:tc>
          <w:tcPr>
            <w:tcW w:w="0" w:type="auto"/>
          </w:tcPr>
          <w:p w14:paraId="64531965"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63022682"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648C3BDD"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72E18A0A"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51798C08"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3EFDE60C"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2D6F3DB7" w14:textId="77777777" w:rsidR="008C5CFA" w:rsidRPr="00601E29" w:rsidRDefault="008C5CFA" w:rsidP="00300A01">
            <w:pPr>
              <w:spacing w:before="0" w:after="0"/>
              <w:jc w:val="right"/>
              <w:rPr>
                <w:sz w:val="10"/>
                <w:szCs w:val="10"/>
                <w:lang w:val="fr-BE"/>
              </w:rPr>
            </w:pPr>
          </w:p>
        </w:tc>
      </w:tr>
    </w:tbl>
    <w:p w14:paraId="41A9B808"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23"/>
        <w:gridCol w:w="7684"/>
        <w:gridCol w:w="1432"/>
        <w:gridCol w:w="717"/>
        <w:gridCol w:w="902"/>
        <w:gridCol w:w="725"/>
        <w:gridCol w:w="717"/>
        <w:gridCol w:w="902"/>
        <w:gridCol w:w="725"/>
        <w:gridCol w:w="957"/>
      </w:tblGrid>
      <w:tr w:rsidR="006B2EC1" w14:paraId="6671FBD2" w14:textId="77777777" w:rsidTr="0047688D">
        <w:trPr>
          <w:tblHeader/>
        </w:trPr>
        <w:tc>
          <w:tcPr>
            <w:tcW w:w="0" w:type="auto"/>
            <w:shd w:val="clear" w:color="auto" w:fill="auto"/>
          </w:tcPr>
          <w:p w14:paraId="2705E259" w14:textId="77777777" w:rsidR="008C5CFA" w:rsidRPr="00601E29" w:rsidRDefault="00E82A60" w:rsidP="00300A01">
            <w:pPr>
              <w:spacing w:before="0" w:after="0"/>
              <w:rPr>
                <w:b/>
                <w:sz w:val="10"/>
                <w:szCs w:val="10"/>
                <w:lang w:val="fr-BE"/>
              </w:rPr>
            </w:pPr>
            <w:r w:rsidRPr="00601E29">
              <w:rPr>
                <w:b/>
                <w:noProof/>
                <w:sz w:val="10"/>
                <w:szCs w:val="10"/>
                <w:lang w:val="fr-BE"/>
              </w:rPr>
              <w:t>ID</w:t>
            </w:r>
          </w:p>
        </w:tc>
        <w:tc>
          <w:tcPr>
            <w:tcW w:w="0" w:type="auto"/>
            <w:shd w:val="clear" w:color="auto" w:fill="auto"/>
          </w:tcPr>
          <w:p w14:paraId="27C94933" w14:textId="77777777" w:rsidR="008C5CFA" w:rsidRPr="00601E29" w:rsidRDefault="00E82A60" w:rsidP="00300A01">
            <w:pPr>
              <w:spacing w:before="0" w:after="0"/>
              <w:rPr>
                <w:b/>
                <w:sz w:val="10"/>
                <w:szCs w:val="10"/>
                <w:lang w:val="fr-BE"/>
              </w:rPr>
            </w:pPr>
            <w:r w:rsidRPr="00601E29">
              <w:rPr>
                <w:b/>
                <w:noProof/>
                <w:sz w:val="10"/>
                <w:szCs w:val="10"/>
                <w:lang w:val="fr-BE"/>
              </w:rPr>
              <w:t>Wskaźnik</w:t>
            </w:r>
          </w:p>
        </w:tc>
        <w:tc>
          <w:tcPr>
            <w:tcW w:w="0" w:type="auto"/>
            <w:shd w:val="clear" w:color="auto" w:fill="auto"/>
          </w:tcPr>
          <w:p w14:paraId="7009ED56" w14:textId="77777777" w:rsidR="008C5CFA" w:rsidRPr="00601E29" w:rsidRDefault="00E82A60" w:rsidP="00300A01">
            <w:pPr>
              <w:spacing w:before="0" w:after="0"/>
              <w:rPr>
                <w:b/>
                <w:sz w:val="10"/>
                <w:szCs w:val="10"/>
                <w:lang w:val="fr-BE"/>
              </w:rPr>
            </w:pPr>
            <w:r w:rsidRPr="00601E29">
              <w:rPr>
                <w:b/>
                <w:noProof/>
                <w:sz w:val="10"/>
                <w:szCs w:val="10"/>
                <w:lang w:val="fr-BE"/>
              </w:rPr>
              <w:t>Kategoria regionu</w:t>
            </w:r>
          </w:p>
        </w:tc>
        <w:tc>
          <w:tcPr>
            <w:tcW w:w="0" w:type="auto"/>
            <w:gridSpan w:val="7"/>
          </w:tcPr>
          <w:p w14:paraId="47E2E4D8" w14:textId="77777777" w:rsidR="008C5CFA" w:rsidRPr="00601E29" w:rsidRDefault="00E82A60" w:rsidP="00300A01">
            <w:pPr>
              <w:spacing w:before="0" w:after="0"/>
              <w:jc w:val="center"/>
              <w:rPr>
                <w:b/>
                <w:sz w:val="10"/>
                <w:szCs w:val="10"/>
                <w:lang w:val="fr-BE"/>
              </w:rPr>
            </w:pPr>
            <w:r>
              <w:rPr>
                <w:b/>
                <w:sz w:val="10"/>
                <w:szCs w:val="10"/>
                <w:lang w:val="fr-BE"/>
              </w:rPr>
              <w:t>2014</w:t>
            </w:r>
          </w:p>
        </w:tc>
      </w:tr>
      <w:tr w:rsidR="006B2EC1" w14:paraId="2E655FB2" w14:textId="77777777" w:rsidTr="0047688D">
        <w:trPr>
          <w:tblHeader/>
        </w:trPr>
        <w:tc>
          <w:tcPr>
            <w:tcW w:w="0" w:type="auto"/>
            <w:shd w:val="clear" w:color="auto" w:fill="auto"/>
          </w:tcPr>
          <w:p w14:paraId="3DD6A0D3" w14:textId="77777777" w:rsidR="008C5CFA" w:rsidRPr="00601E29" w:rsidRDefault="008C5CFA" w:rsidP="00300A01">
            <w:pPr>
              <w:spacing w:before="0" w:after="0"/>
              <w:rPr>
                <w:b/>
                <w:sz w:val="10"/>
                <w:szCs w:val="10"/>
                <w:lang w:val="fr-BE"/>
              </w:rPr>
            </w:pPr>
          </w:p>
        </w:tc>
        <w:tc>
          <w:tcPr>
            <w:tcW w:w="0" w:type="auto"/>
            <w:shd w:val="clear" w:color="auto" w:fill="auto"/>
          </w:tcPr>
          <w:p w14:paraId="6DE489F4" w14:textId="77777777" w:rsidR="008C5CFA" w:rsidRPr="00601E29" w:rsidRDefault="008C5CFA" w:rsidP="00300A01">
            <w:pPr>
              <w:spacing w:before="0" w:after="0"/>
              <w:rPr>
                <w:b/>
                <w:sz w:val="10"/>
                <w:szCs w:val="10"/>
                <w:lang w:val="fr-BE"/>
              </w:rPr>
            </w:pPr>
          </w:p>
        </w:tc>
        <w:tc>
          <w:tcPr>
            <w:tcW w:w="0" w:type="auto"/>
            <w:shd w:val="clear" w:color="auto" w:fill="auto"/>
          </w:tcPr>
          <w:p w14:paraId="738D4488" w14:textId="77777777" w:rsidR="008C5CFA" w:rsidRPr="00601E29" w:rsidRDefault="008C5CFA" w:rsidP="00300A01">
            <w:pPr>
              <w:spacing w:before="0" w:after="0"/>
              <w:rPr>
                <w:b/>
                <w:sz w:val="10"/>
                <w:szCs w:val="10"/>
                <w:lang w:val="fr-BE"/>
              </w:rPr>
            </w:pPr>
          </w:p>
        </w:tc>
        <w:tc>
          <w:tcPr>
            <w:tcW w:w="0" w:type="auto"/>
            <w:gridSpan w:val="3"/>
          </w:tcPr>
          <w:p w14:paraId="0D8B0F05" w14:textId="77777777" w:rsidR="008C5CFA" w:rsidRPr="00601E29" w:rsidRDefault="00E82A60" w:rsidP="00300A01">
            <w:pPr>
              <w:spacing w:before="0" w:after="0"/>
              <w:jc w:val="center"/>
              <w:rPr>
                <w:b/>
                <w:sz w:val="10"/>
                <w:szCs w:val="10"/>
                <w:lang w:val="fr-BE"/>
              </w:rPr>
            </w:pPr>
            <w:r w:rsidRPr="00601E29">
              <w:rPr>
                <w:b/>
                <w:noProof/>
                <w:sz w:val="10"/>
                <w:szCs w:val="10"/>
                <w:lang w:val="fr-BE"/>
              </w:rPr>
              <w:t>Łącznie</w:t>
            </w:r>
          </w:p>
        </w:tc>
        <w:tc>
          <w:tcPr>
            <w:tcW w:w="0" w:type="auto"/>
            <w:gridSpan w:val="3"/>
          </w:tcPr>
          <w:p w14:paraId="2ACBDECD" w14:textId="77777777" w:rsidR="008C5CFA" w:rsidRPr="00601E29" w:rsidRDefault="00E82A60" w:rsidP="00300A01">
            <w:pPr>
              <w:spacing w:before="0" w:after="0"/>
              <w:jc w:val="center"/>
              <w:rPr>
                <w:b/>
                <w:sz w:val="10"/>
                <w:szCs w:val="10"/>
                <w:lang w:val="fr-BE"/>
              </w:rPr>
            </w:pPr>
            <w:r w:rsidRPr="00601E29">
              <w:rPr>
                <w:b/>
                <w:noProof/>
                <w:sz w:val="10"/>
                <w:szCs w:val="10"/>
                <w:lang w:val="fr-BE"/>
              </w:rPr>
              <w:t>Łącznie w roku</w:t>
            </w:r>
          </w:p>
        </w:tc>
        <w:tc>
          <w:tcPr>
            <w:tcW w:w="0" w:type="auto"/>
          </w:tcPr>
          <w:p w14:paraId="6A2F29D9" w14:textId="77777777" w:rsidR="008C5CFA" w:rsidRPr="00601E29" w:rsidRDefault="00E82A60" w:rsidP="00300A01">
            <w:pPr>
              <w:spacing w:before="0" w:after="0"/>
              <w:jc w:val="center"/>
              <w:rPr>
                <w:b/>
                <w:sz w:val="10"/>
                <w:szCs w:val="10"/>
                <w:lang w:val="fr-BE"/>
              </w:rPr>
            </w:pPr>
            <w:r w:rsidRPr="00601E29">
              <w:rPr>
                <w:b/>
                <w:noProof/>
                <w:sz w:val="10"/>
                <w:szCs w:val="10"/>
                <w:lang w:val="fr-BE"/>
              </w:rPr>
              <w:t>Jakościowe</w:t>
            </w:r>
          </w:p>
        </w:tc>
      </w:tr>
      <w:tr w:rsidR="006B2EC1" w14:paraId="46B13476" w14:textId="77777777" w:rsidTr="0047688D">
        <w:trPr>
          <w:tblHeader/>
        </w:trPr>
        <w:tc>
          <w:tcPr>
            <w:tcW w:w="0" w:type="auto"/>
            <w:shd w:val="clear" w:color="auto" w:fill="auto"/>
          </w:tcPr>
          <w:p w14:paraId="0214FECB" w14:textId="77777777" w:rsidR="008C5CFA" w:rsidRPr="00601E29" w:rsidRDefault="008C5CFA" w:rsidP="00300A01">
            <w:pPr>
              <w:spacing w:before="0" w:after="0"/>
              <w:rPr>
                <w:b/>
                <w:sz w:val="10"/>
                <w:szCs w:val="10"/>
                <w:lang w:val="fr-BE"/>
              </w:rPr>
            </w:pPr>
          </w:p>
        </w:tc>
        <w:tc>
          <w:tcPr>
            <w:tcW w:w="0" w:type="auto"/>
            <w:shd w:val="clear" w:color="auto" w:fill="auto"/>
          </w:tcPr>
          <w:p w14:paraId="7A7F5E07" w14:textId="77777777" w:rsidR="008C5CFA" w:rsidRPr="00601E29" w:rsidRDefault="008C5CFA" w:rsidP="00300A01">
            <w:pPr>
              <w:spacing w:before="0" w:after="0"/>
              <w:rPr>
                <w:b/>
                <w:sz w:val="10"/>
                <w:szCs w:val="10"/>
                <w:lang w:val="fr-BE"/>
              </w:rPr>
            </w:pPr>
          </w:p>
        </w:tc>
        <w:tc>
          <w:tcPr>
            <w:tcW w:w="0" w:type="auto"/>
            <w:shd w:val="clear" w:color="auto" w:fill="auto"/>
          </w:tcPr>
          <w:p w14:paraId="034719CD" w14:textId="77777777" w:rsidR="008C5CFA" w:rsidRPr="00601E29" w:rsidRDefault="008C5CFA" w:rsidP="00300A01">
            <w:pPr>
              <w:spacing w:before="0" w:after="0"/>
              <w:rPr>
                <w:b/>
                <w:sz w:val="10"/>
                <w:szCs w:val="10"/>
                <w:lang w:val="fr-BE"/>
              </w:rPr>
            </w:pPr>
          </w:p>
        </w:tc>
        <w:tc>
          <w:tcPr>
            <w:tcW w:w="0" w:type="auto"/>
          </w:tcPr>
          <w:p w14:paraId="59B57D33" w14:textId="77777777" w:rsidR="008C5CFA" w:rsidRPr="00601E29" w:rsidRDefault="00E82A60" w:rsidP="00300A01">
            <w:pPr>
              <w:spacing w:before="0" w:after="0"/>
              <w:jc w:val="center"/>
              <w:rPr>
                <w:b/>
                <w:sz w:val="10"/>
                <w:szCs w:val="10"/>
                <w:lang w:val="fr-BE"/>
              </w:rPr>
            </w:pPr>
            <w:r w:rsidRPr="00601E29">
              <w:rPr>
                <w:b/>
                <w:noProof/>
                <w:sz w:val="10"/>
                <w:szCs w:val="10"/>
                <w:lang w:val="fr-BE"/>
              </w:rPr>
              <w:t>Ogółem</w:t>
            </w:r>
          </w:p>
        </w:tc>
        <w:tc>
          <w:tcPr>
            <w:tcW w:w="0" w:type="auto"/>
          </w:tcPr>
          <w:p w14:paraId="2291026C" w14:textId="77777777" w:rsidR="008C5CFA" w:rsidRPr="00601E29" w:rsidRDefault="00E82A60" w:rsidP="00300A01">
            <w:pPr>
              <w:spacing w:before="0" w:after="0"/>
              <w:jc w:val="center"/>
              <w:rPr>
                <w:b/>
                <w:sz w:val="10"/>
                <w:szCs w:val="10"/>
                <w:lang w:val="fr-BE"/>
              </w:rPr>
            </w:pPr>
            <w:r w:rsidRPr="00601E29">
              <w:rPr>
                <w:b/>
                <w:noProof/>
                <w:sz w:val="10"/>
                <w:szCs w:val="10"/>
                <w:lang w:val="fr-BE"/>
              </w:rPr>
              <w:t>Mężczyźni</w:t>
            </w:r>
          </w:p>
        </w:tc>
        <w:tc>
          <w:tcPr>
            <w:tcW w:w="0" w:type="auto"/>
          </w:tcPr>
          <w:p w14:paraId="30169B23" w14:textId="77777777" w:rsidR="008C5CFA" w:rsidRPr="00601E29" w:rsidRDefault="00E82A60" w:rsidP="00300A01">
            <w:pPr>
              <w:spacing w:before="0" w:after="0"/>
              <w:jc w:val="center"/>
              <w:rPr>
                <w:b/>
                <w:sz w:val="10"/>
                <w:szCs w:val="10"/>
                <w:lang w:val="fr-BE"/>
              </w:rPr>
            </w:pPr>
            <w:r w:rsidRPr="00601E29">
              <w:rPr>
                <w:b/>
                <w:noProof/>
                <w:sz w:val="10"/>
                <w:szCs w:val="10"/>
                <w:lang w:val="fr-BE"/>
              </w:rPr>
              <w:t>Kobiety</w:t>
            </w:r>
          </w:p>
        </w:tc>
        <w:tc>
          <w:tcPr>
            <w:tcW w:w="0" w:type="auto"/>
          </w:tcPr>
          <w:p w14:paraId="6E4A6681" w14:textId="77777777" w:rsidR="008C5CFA" w:rsidRPr="00601E29" w:rsidRDefault="00E82A60" w:rsidP="00300A01">
            <w:pPr>
              <w:spacing w:before="0" w:after="0"/>
              <w:jc w:val="center"/>
              <w:rPr>
                <w:b/>
                <w:sz w:val="10"/>
                <w:szCs w:val="10"/>
                <w:lang w:val="fr-BE"/>
              </w:rPr>
            </w:pPr>
            <w:r w:rsidRPr="00601E29">
              <w:rPr>
                <w:b/>
                <w:noProof/>
                <w:sz w:val="10"/>
                <w:szCs w:val="10"/>
                <w:lang w:val="fr-BE"/>
              </w:rPr>
              <w:t>Ogółem</w:t>
            </w:r>
          </w:p>
        </w:tc>
        <w:tc>
          <w:tcPr>
            <w:tcW w:w="0" w:type="auto"/>
          </w:tcPr>
          <w:p w14:paraId="374B4612" w14:textId="77777777" w:rsidR="008C5CFA" w:rsidRPr="00601E29" w:rsidRDefault="00E82A60" w:rsidP="00300A01">
            <w:pPr>
              <w:spacing w:before="0" w:after="0"/>
              <w:jc w:val="center"/>
              <w:rPr>
                <w:b/>
                <w:sz w:val="10"/>
                <w:szCs w:val="10"/>
                <w:lang w:val="fr-BE"/>
              </w:rPr>
            </w:pPr>
            <w:r w:rsidRPr="00601E29">
              <w:rPr>
                <w:b/>
                <w:noProof/>
                <w:sz w:val="10"/>
                <w:szCs w:val="10"/>
                <w:lang w:val="fr-BE"/>
              </w:rPr>
              <w:t>Mężczyźni</w:t>
            </w:r>
          </w:p>
        </w:tc>
        <w:tc>
          <w:tcPr>
            <w:tcW w:w="0" w:type="auto"/>
          </w:tcPr>
          <w:p w14:paraId="5DCBE6E5" w14:textId="77777777" w:rsidR="008C5CFA" w:rsidRPr="00601E29" w:rsidRDefault="00E82A60" w:rsidP="00300A01">
            <w:pPr>
              <w:spacing w:before="0" w:after="0"/>
              <w:jc w:val="center"/>
              <w:rPr>
                <w:b/>
                <w:sz w:val="10"/>
                <w:szCs w:val="10"/>
                <w:lang w:val="fr-BE"/>
              </w:rPr>
            </w:pPr>
            <w:r w:rsidRPr="00601E29">
              <w:rPr>
                <w:b/>
                <w:noProof/>
                <w:sz w:val="10"/>
                <w:szCs w:val="10"/>
                <w:lang w:val="fr-BE"/>
              </w:rPr>
              <w:t>Kobiety</w:t>
            </w:r>
          </w:p>
        </w:tc>
        <w:tc>
          <w:tcPr>
            <w:tcW w:w="0" w:type="auto"/>
          </w:tcPr>
          <w:p w14:paraId="7265CE88" w14:textId="77777777" w:rsidR="008C5CFA" w:rsidRPr="00601E29" w:rsidRDefault="008C5CFA" w:rsidP="00300A01">
            <w:pPr>
              <w:spacing w:before="0" w:after="0"/>
              <w:jc w:val="center"/>
              <w:rPr>
                <w:b/>
                <w:sz w:val="10"/>
                <w:szCs w:val="10"/>
                <w:lang w:val="fr-BE"/>
              </w:rPr>
            </w:pPr>
          </w:p>
        </w:tc>
      </w:tr>
      <w:tr w:rsidR="006B2EC1" w14:paraId="44FAA3BC" w14:textId="77777777" w:rsidTr="0047688D">
        <w:tc>
          <w:tcPr>
            <w:tcW w:w="0" w:type="auto"/>
            <w:shd w:val="clear" w:color="auto" w:fill="auto"/>
          </w:tcPr>
          <w:p w14:paraId="173672DA" w14:textId="77777777" w:rsidR="008C5CFA" w:rsidRPr="00601E29" w:rsidRDefault="00E82A60" w:rsidP="00300A01">
            <w:pPr>
              <w:spacing w:before="0" w:after="0"/>
              <w:rPr>
                <w:sz w:val="10"/>
                <w:szCs w:val="10"/>
                <w:lang w:val="fr-BE"/>
              </w:rPr>
            </w:pPr>
            <w:r w:rsidRPr="00601E29">
              <w:rPr>
                <w:noProof/>
                <w:sz w:val="10"/>
                <w:szCs w:val="10"/>
                <w:lang w:val="fr-BE"/>
              </w:rPr>
              <w:t>011</w:t>
            </w:r>
          </w:p>
        </w:tc>
        <w:tc>
          <w:tcPr>
            <w:tcW w:w="0" w:type="auto"/>
            <w:shd w:val="clear" w:color="auto" w:fill="auto"/>
          </w:tcPr>
          <w:p w14:paraId="1EE0E2D3" w14:textId="77777777" w:rsidR="008C5CFA" w:rsidRPr="00601E29" w:rsidRDefault="00E82A60" w:rsidP="00300A01">
            <w:pPr>
              <w:spacing w:before="0" w:after="0"/>
              <w:rPr>
                <w:sz w:val="10"/>
                <w:szCs w:val="10"/>
                <w:lang w:val="fr-BE"/>
              </w:rPr>
            </w:pPr>
            <w:r w:rsidRPr="00601E29">
              <w:rPr>
                <w:noProof/>
                <w:sz w:val="10"/>
                <w:szCs w:val="10"/>
                <w:lang w:val="fr-BE"/>
              </w:rPr>
              <w:t>Liczba osób o niskich kwalifikacjach, które uzyskały kwalifikacje lub nabyły kompetencje po opuszczeniu programu</w:t>
            </w:r>
          </w:p>
        </w:tc>
        <w:tc>
          <w:tcPr>
            <w:tcW w:w="0" w:type="auto"/>
            <w:shd w:val="clear" w:color="auto" w:fill="auto"/>
          </w:tcPr>
          <w:p w14:paraId="346A7306" w14:textId="77777777" w:rsidR="008C5CFA" w:rsidRPr="00601E29" w:rsidRDefault="00E82A60" w:rsidP="00300A01">
            <w:pPr>
              <w:spacing w:before="0" w:after="0"/>
              <w:rPr>
                <w:sz w:val="10"/>
                <w:szCs w:val="10"/>
                <w:lang w:val="fr-BE"/>
              </w:rPr>
            </w:pPr>
            <w:r w:rsidRPr="00601E29">
              <w:rPr>
                <w:noProof/>
                <w:sz w:val="10"/>
                <w:szCs w:val="10"/>
                <w:lang w:val="fr-BE"/>
              </w:rPr>
              <w:t>Słabiej rozwinięte</w:t>
            </w:r>
          </w:p>
        </w:tc>
        <w:tc>
          <w:tcPr>
            <w:tcW w:w="0" w:type="auto"/>
          </w:tcPr>
          <w:p w14:paraId="72CB73C2"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0224DDBB"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5B5AF2F9"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4B282276"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5DBED7D7"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7D6B3E2D"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163D33D8" w14:textId="77777777" w:rsidR="008C5CFA" w:rsidRPr="00601E29" w:rsidRDefault="008C5CFA" w:rsidP="00300A01">
            <w:pPr>
              <w:spacing w:before="0" w:after="0"/>
              <w:jc w:val="right"/>
              <w:rPr>
                <w:sz w:val="10"/>
                <w:szCs w:val="10"/>
                <w:lang w:val="fr-BE"/>
              </w:rPr>
            </w:pPr>
          </w:p>
        </w:tc>
      </w:tr>
      <w:tr w:rsidR="006B2EC1" w14:paraId="686941D4" w14:textId="77777777" w:rsidTr="0047688D">
        <w:tc>
          <w:tcPr>
            <w:tcW w:w="0" w:type="auto"/>
            <w:shd w:val="clear" w:color="auto" w:fill="auto"/>
          </w:tcPr>
          <w:p w14:paraId="5E683AF6" w14:textId="77777777" w:rsidR="008C5CFA" w:rsidRPr="00601E29" w:rsidRDefault="00E82A60" w:rsidP="00300A01">
            <w:pPr>
              <w:spacing w:before="0" w:after="0"/>
              <w:rPr>
                <w:sz w:val="10"/>
                <w:szCs w:val="10"/>
                <w:lang w:val="fr-BE"/>
              </w:rPr>
            </w:pPr>
            <w:r w:rsidRPr="00601E29">
              <w:rPr>
                <w:noProof/>
                <w:sz w:val="10"/>
                <w:szCs w:val="10"/>
                <w:lang w:val="fr-BE"/>
              </w:rPr>
              <w:t>012</w:t>
            </w:r>
          </w:p>
        </w:tc>
        <w:tc>
          <w:tcPr>
            <w:tcW w:w="0" w:type="auto"/>
            <w:shd w:val="clear" w:color="auto" w:fill="auto"/>
          </w:tcPr>
          <w:p w14:paraId="5FAADD23" w14:textId="77777777" w:rsidR="008C5CFA" w:rsidRPr="00601E29" w:rsidRDefault="00E82A60" w:rsidP="00300A01">
            <w:pPr>
              <w:spacing w:before="0" w:after="0"/>
              <w:rPr>
                <w:sz w:val="10"/>
                <w:szCs w:val="10"/>
                <w:lang w:val="fr-BE"/>
              </w:rPr>
            </w:pPr>
            <w:r w:rsidRPr="00601E29">
              <w:rPr>
                <w:noProof/>
                <w:sz w:val="10"/>
                <w:szCs w:val="10"/>
                <w:lang w:val="fr-BE"/>
              </w:rPr>
              <w:t>Liczba osób w wieku 50 lat i więcej, które uzyskały kwalifikacje lub nabyły kompetencje po opuszczeniu programu</w:t>
            </w:r>
          </w:p>
        </w:tc>
        <w:tc>
          <w:tcPr>
            <w:tcW w:w="0" w:type="auto"/>
            <w:shd w:val="clear" w:color="auto" w:fill="auto"/>
          </w:tcPr>
          <w:p w14:paraId="38F26587" w14:textId="77777777" w:rsidR="008C5CFA" w:rsidRPr="00601E29" w:rsidRDefault="00E82A60" w:rsidP="00300A01">
            <w:pPr>
              <w:spacing w:before="0" w:after="0"/>
              <w:rPr>
                <w:sz w:val="10"/>
                <w:szCs w:val="10"/>
                <w:lang w:val="fr-BE"/>
              </w:rPr>
            </w:pPr>
            <w:r w:rsidRPr="00601E29">
              <w:rPr>
                <w:noProof/>
                <w:sz w:val="10"/>
                <w:szCs w:val="10"/>
                <w:lang w:val="fr-BE"/>
              </w:rPr>
              <w:t>Słabiej rozwinięte</w:t>
            </w:r>
          </w:p>
        </w:tc>
        <w:tc>
          <w:tcPr>
            <w:tcW w:w="0" w:type="auto"/>
          </w:tcPr>
          <w:p w14:paraId="462DAF67"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61AEE792"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0DF6AE20"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4B82AC2F"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6F146781"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7CD3B74C"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612BCD20" w14:textId="77777777" w:rsidR="008C5CFA" w:rsidRPr="00601E29" w:rsidRDefault="008C5CFA" w:rsidP="00300A01">
            <w:pPr>
              <w:spacing w:before="0" w:after="0"/>
              <w:jc w:val="right"/>
              <w:rPr>
                <w:sz w:val="10"/>
                <w:szCs w:val="10"/>
                <w:lang w:val="fr-BE"/>
              </w:rPr>
            </w:pPr>
          </w:p>
        </w:tc>
      </w:tr>
      <w:tr w:rsidR="006B2EC1" w14:paraId="23498D4D" w14:textId="77777777" w:rsidTr="0047688D">
        <w:tc>
          <w:tcPr>
            <w:tcW w:w="0" w:type="auto"/>
            <w:shd w:val="clear" w:color="auto" w:fill="auto"/>
          </w:tcPr>
          <w:p w14:paraId="290F4FDD" w14:textId="77777777" w:rsidR="008C5CFA" w:rsidRPr="00601E29" w:rsidRDefault="00E82A60" w:rsidP="00300A01">
            <w:pPr>
              <w:spacing w:before="0" w:after="0"/>
              <w:rPr>
                <w:sz w:val="10"/>
                <w:szCs w:val="10"/>
                <w:lang w:val="fr-BE"/>
              </w:rPr>
            </w:pPr>
            <w:r w:rsidRPr="00601E29">
              <w:rPr>
                <w:noProof/>
                <w:sz w:val="10"/>
                <w:szCs w:val="10"/>
                <w:lang w:val="fr-BE"/>
              </w:rPr>
              <w:t>013</w:t>
            </w:r>
          </w:p>
        </w:tc>
        <w:tc>
          <w:tcPr>
            <w:tcW w:w="0" w:type="auto"/>
            <w:shd w:val="clear" w:color="auto" w:fill="auto"/>
          </w:tcPr>
          <w:p w14:paraId="4B778FB3" w14:textId="77777777" w:rsidR="008C5CFA" w:rsidRPr="00601E29" w:rsidRDefault="00E82A60" w:rsidP="00300A01">
            <w:pPr>
              <w:spacing w:before="0" w:after="0"/>
              <w:rPr>
                <w:sz w:val="10"/>
                <w:szCs w:val="10"/>
                <w:lang w:val="fr-BE"/>
              </w:rPr>
            </w:pPr>
            <w:r w:rsidRPr="00601E29">
              <w:rPr>
                <w:noProof/>
                <w:sz w:val="10"/>
                <w:szCs w:val="10"/>
                <w:lang w:val="fr-BE"/>
              </w:rPr>
              <w:t>Liczba osób w wieku 25 lat i więcej, które uzyskały kwalifikacje lub nabyły kompetencje po opuszczeniu programu</w:t>
            </w:r>
          </w:p>
        </w:tc>
        <w:tc>
          <w:tcPr>
            <w:tcW w:w="0" w:type="auto"/>
            <w:shd w:val="clear" w:color="auto" w:fill="auto"/>
          </w:tcPr>
          <w:p w14:paraId="44D0ABA1" w14:textId="77777777" w:rsidR="008C5CFA" w:rsidRPr="00601E29" w:rsidRDefault="00E82A60" w:rsidP="00300A01">
            <w:pPr>
              <w:spacing w:before="0" w:after="0"/>
              <w:rPr>
                <w:sz w:val="10"/>
                <w:szCs w:val="10"/>
                <w:lang w:val="fr-BE"/>
              </w:rPr>
            </w:pPr>
            <w:r w:rsidRPr="00601E29">
              <w:rPr>
                <w:noProof/>
                <w:sz w:val="10"/>
                <w:szCs w:val="10"/>
                <w:lang w:val="fr-BE"/>
              </w:rPr>
              <w:t>Słabiej rozwinięte</w:t>
            </w:r>
          </w:p>
        </w:tc>
        <w:tc>
          <w:tcPr>
            <w:tcW w:w="0" w:type="auto"/>
          </w:tcPr>
          <w:p w14:paraId="14552505"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2179E904"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5CECFAC5"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0A5D39E0"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358205D7"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5826DD2D"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65FFD98B" w14:textId="77777777" w:rsidR="008C5CFA" w:rsidRPr="00601E29" w:rsidRDefault="008C5CFA" w:rsidP="00300A01">
            <w:pPr>
              <w:spacing w:before="0" w:after="0"/>
              <w:jc w:val="right"/>
              <w:rPr>
                <w:sz w:val="10"/>
                <w:szCs w:val="10"/>
                <w:lang w:val="fr-BE"/>
              </w:rPr>
            </w:pPr>
          </w:p>
        </w:tc>
      </w:tr>
    </w:tbl>
    <w:p w14:paraId="57BE9AB6" w14:textId="77777777" w:rsidR="008C5CFA" w:rsidRPr="007C3A6B" w:rsidRDefault="008C5CFA" w:rsidP="00300A01">
      <w:pPr>
        <w:spacing w:before="0" w:after="0"/>
        <w:rPr>
          <w:lang w:val="fr-BE"/>
        </w:rPr>
      </w:pPr>
    </w:p>
    <w:p w14:paraId="46422CDB" w14:textId="77777777" w:rsidR="008C5CFA" w:rsidRDefault="00E82A60" w:rsidP="00300A01">
      <w:pPr>
        <w:spacing w:before="0" w:after="0"/>
        <w:rPr>
          <w:lang w:val="fr-BE"/>
        </w:rPr>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8"/>
        <w:gridCol w:w="13506"/>
      </w:tblGrid>
      <w:tr w:rsidR="006B2EC1" w14:paraId="3C72762E" w14:textId="77777777" w:rsidTr="0047688D">
        <w:tc>
          <w:tcPr>
            <w:tcW w:w="0" w:type="auto"/>
            <w:shd w:val="clear" w:color="auto" w:fill="auto"/>
          </w:tcPr>
          <w:p w14:paraId="73BFA73F" w14:textId="77777777" w:rsidR="008C5CFA" w:rsidRPr="002124FC" w:rsidRDefault="00E82A60" w:rsidP="00300A01">
            <w:pPr>
              <w:spacing w:before="0" w:after="0"/>
              <w:rPr>
                <w:sz w:val="20"/>
                <w:szCs w:val="20"/>
                <w:lang w:val="fr-BE"/>
              </w:rPr>
            </w:pPr>
            <w:r>
              <w:rPr>
                <w:lang w:val="fr-BE"/>
              </w:rPr>
              <w:lastRenderedPageBreak/>
              <w:br w:type="page"/>
            </w:r>
            <w:r>
              <w:rPr>
                <w:lang w:val="fr-BE"/>
              </w:rPr>
              <w:br w:type="page"/>
            </w:r>
            <w:r w:rsidRPr="002124FC">
              <w:rPr>
                <w:noProof/>
                <w:sz w:val="20"/>
                <w:szCs w:val="20"/>
                <w:lang w:val="fr-BE"/>
              </w:rPr>
              <w:t>Oś priorytetowa</w:t>
            </w:r>
          </w:p>
        </w:tc>
        <w:tc>
          <w:tcPr>
            <w:tcW w:w="0" w:type="auto"/>
            <w:shd w:val="clear" w:color="auto" w:fill="auto"/>
          </w:tcPr>
          <w:p w14:paraId="1A8005FD" w14:textId="77777777" w:rsidR="008C5CFA" w:rsidRPr="002124FC" w:rsidRDefault="00E82A60" w:rsidP="00300A01">
            <w:pPr>
              <w:spacing w:before="0" w:after="0"/>
              <w:rPr>
                <w:sz w:val="20"/>
                <w:szCs w:val="20"/>
                <w:lang w:val="fr-BE"/>
              </w:rPr>
            </w:pPr>
            <w:r w:rsidRPr="002124FC">
              <w:rPr>
                <w:noProof/>
                <w:sz w:val="20"/>
                <w:szCs w:val="20"/>
                <w:lang w:val="fr-BE"/>
              </w:rPr>
              <w:t>8</w:t>
            </w:r>
            <w:r w:rsidRPr="002124FC">
              <w:rPr>
                <w:sz w:val="20"/>
                <w:szCs w:val="20"/>
                <w:lang w:val="fr-BE"/>
              </w:rPr>
              <w:t xml:space="preserve"> - </w:t>
            </w:r>
            <w:r w:rsidRPr="002124FC">
              <w:rPr>
                <w:noProof/>
                <w:sz w:val="20"/>
                <w:szCs w:val="20"/>
                <w:lang w:val="fr-BE"/>
              </w:rPr>
              <w:t>Rozwój edukacji i aktywne społeczeństwo</w:t>
            </w:r>
          </w:p>
        </w:tc>
      </w:tr>
      <w:tr w:rsidR="006B2EC1" w14:paraId="6140509F" w14:textId="77777777" w:rsidTr="0047688D">
        <w:tc>
          <w:tcPr>
            <w:tcW w:w="0" w:type="auto"/>
            <w:shd w:val="clear" w:color="auto" w:fill="auto"/>
          </w:tcPr>
          <w:p w14:paraId="0E2C9031" w14:textId="77777777" w:rsidR="008C5CFA" w:rsidRPr="002124FC" w:rsidRDefault="00E82A60"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14:paraId="5EA4543B" w14:textId="77777777" w:rsidR="008C5CFA" w:rsidRPr="002124FC" w:rsidRDefault="00E82A60" w:rsidP="00300A01">
            <w:pPr>
              <w:spacing w:before="0" w:after="0"/>
              <w:rPr>
                <w:sz w:val="20"/>
                <w:szCs w:val="20"/>
                <w:lang w:val="fr-BE"/>
              </w:rPr>
            </w:pPr>
            <w:r w:rsidRPr="002124FC">
              <w:rPr>
                <w:noProof/>
                <w:sz w:val="20"/>
                <w:szCs w:val="20"/>
                <w:lang w:val="fr-BE"/>
              </w:rPr>
              <w:t>10iii</w:t>
            </w:r>
            <w:r w:rsidRPr="002124FC">
              <w:rPr>
                <w:sz w:val="20"/>
                <w:szCs w:val="20"/>
                <w:lang w:val="fr-BE"/>
              </w:rPr>
              <w:t xml:space="preserve"> - </w:t>
            </w:r>
            <w:r w:rsidRPr="002124FC">
              <w:rPr>
                <w:noProof/>
                <w:sz w:val="20"/>
                <w:szCs w:val="20"/>
                <w:lang w:val="fr-BE"/>
              </w:rPr>
              <w:t>Wyrównywanie dostępu do uczenia się przez całe życie o charakterze formalnym, nieformalnym i pozaformalnym wszystkich grup wiekowych, poszerzanie wiedzy, zwiększanie umiejętności i kompetencji siły roboczej oraz promowanie elastycznych ścieżek kształcenia, w tym poprzez doradztwo zawodowe i potwierdzanie nabytych kompetencji</w:t>
            </w:r>
          </w:p>
        </w:tc>
      </w:tr>
    </w:tbl>
    <w:p w14:paraId="7B61C0E5" w14:textId="77777777" w:rsidR="008C5CFA" w:rsidRDefault="008C5CFA" w:rsidP="00300A01">
      <w:pPr>
        <w:spacing w:before="0" w:after="0"/>
      </w:pPr>
    </w:p>
    <w:p w14:paraId="703208ED" w14:textId="77777777" w:rsidR="008C5CFA" w:rsidRPr="008E457C" w:rsidRDefault="00E82A60" w:rsidP="00300A01">
      <w:pPr>
        <w:pStyle w:val="Nagwek2"/>
        <w:spacing w:before="0" w:after="0"/>
        <w:rPr>
          <w:b w:val="0"/>
        </w:rPr>
      </w:pPr>
      <w:bookmarkStart w:id="61" w:name="_Toc46391745"/>
      <w:r w:rsidRPr="008E457C">
        <w:rPr>
          <w:b w:val="0"/>
          <w:noProof/>
          <w:lang w:val="fr-BE"/>
        </w:rPr>
        <w:t>Tabela 4A</w:t>
      </w:r>
      <w:r w:rsidRPr="008E457C">
        <w:rPr>
          <w:b w:val="0"/>
        </w:rPr>
        <w:t xml:space="preserve"> : </w:t>
      </w:r>
      <w:r w:rsidRPr="008E457C">
        <w:rPr>
          <w:b w:val="0"/>
          <w:noProof/>
          <w:lang w:val="fr-BE"/>
        </w:rPr>
        <w:t>Wspólne wskaźniki produktu dla EFS oraz Inicjatywy na rzecz zatrudnienia ludzi młodych</w:t>
      </w:r>
      <w:r w:rsidR="00A11A16">
        <w:rPr>
          <w:b w:val="0"/>
        </w:rPr>
        <w:t xml:space="preserve"> - </w:t>
      </w:r>
      <w:r w:rsidR="00A11A16" w:rsidRPr="002124FC">
        <w:rPr>
          <w:noProof/>
          <w:sz w:val="20"/>
          <w:szCs w:val="20"/>
          <w:lang w:val="fr-BE"/>
        </w:rPr>
        <w:t>8</w:t>
      </w:r>
      <w:r w:rsidR="00A11A16">
        <w:rPr>
          <w:sz w:val="20"/>
          <w:szCs w:val="20"/>
          <w:lang w:val="fr-BE"/>
        </w:rPr>
        <w:t xml:space="preserve"> / </w:t>
      </w:r>
      <w:r w:rsidR="00A11A16" w:rsidRPr="002124FC">
        <w:rPr>
          <w:noProof/>
          <w:sz w:val="20"/>
          <w:szCs w:val="20"/>
          <w:lang w:val="fr-BE"/>
        </w:rPr>
        <w:t>10iii</w:t>
      </w:r>
      <w:bookmarkEnd w:id="61"/>
    </w:p>
    <w:p w14:paraId="4A8D5020" w14:textId="77777777" w:rsidR="008C5CFA" w:rsidRDefault="008C5CFA" w:rsidP="00300A01">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01"/>
        <w:gridCol w:w="6970"/>
        <w:gridCol w:w="1024"/>
        <w:gridCol w:w="514"/>
        <w:gridCol w:w="654"/>
        <w:gridCol w:w="521"/>
        <w:gridCol w:w="534"/>
        <w:gridCol w:w="654"/>
        <w:gridCol w:w="534"/>
        <w:gridCol w:w="514"/>
        <w:gridCol w:w="654"/>
        <w:gridCol w:w="521"/>
        <w:gridCol w:w="514"/>
        <w:gridCol w:w="654"/>
        <w:gridCol w:w="521"/>
      </w:tblGrid>
      <w:tr w:rsidR="006B2EC1" w14:paraId="20C001DE" w14:textId="77777777" w:rsidTr="0047688D">
        <w:trPr>
          <w:cantSplit/>
          <w:tblHeader/>
        </w:trPr>
        <w:tc>
          <w:tcPr>
            <w:tcW w:w="0" w:type="auto"/>
            <w:shd w:val="clear" w:color="auto" w:fill="auto"/>
          </w:tcPr>
          <w:p w14:paraId="2A47C859" w14:textId="77777777" w:rsidR="008C5CFA" w:rsidRPr="00F53019" w:rsidRDefault="00E82A60" w:rsidP="00300A01">
            <w:pPr>
              <w:spacing w:before="0" w:after="0"/>
              <w:rPr>
                <w:b/>
                <w:sz w:val="12"/>
                <w:szCs w:val="12"/>
                <w:lang w:val="fr-BE"/>
              </w:rPr>
            </w:pPr>
            <w:r w:rsidRPr="00F53019">
              <w:rPr>
                <w:b/>
                <w:noProof/>
                <w:sz w:val="12"/>
                <w:szCs w:val="12"/>
                <w:lang w:val="fr-BE"/>
              </w:rPr>
              <w:t>ID</w:t>
            </w:r>
          </w:p>
        </w:tc>
        <w:tc>
          <w:tcPr>
            <w:tcW w:w="0" w:type="auto"/>
            <w:shd w:val="clear" w:color="auto" w:fill="auto"/>
          </w:tcPr>
          <w:p w14:paraId="1EDDC751" w14:textId="77777777" w:rsidR="008C5CFA" w:rsidRPr="00F53019" w:rsidRDefault="00E82A60" w:rsidP="00300A01">
            <w:pPr>
              <w:spacing w:before="0" w:after="0"/>
              <w:rPr>
                <w:b/>
                <w:sz w:val="12"/>
                <w:szCs w:val="12"/>
                <w:lang w:val="fr-BE"/>
              </w:rPr>
            </w:pPr>
            <w:r w:rsidRPr="00F53019">
              <w:rPr>
                <w:b/>
                <w:noProof/>
                <w:sz w:val="12"/>
                <w:szCs w:val="12"/>
                <w:lang w:val="fr-BE"/>
              </w:rPr>
              <w:t>Wskaźnik</w:t>
            </w:r>
          </w:p>
        </w:tc>
        <w:tc>
          <w:tcPr>
            <w:tcW w:w="0" w:type="auto"/>
            <w:shd w:val="clear" w:color="auto" w:fill="auto"/>
          </w:tcPr>
          <w:p w14:paraId="3D341EC1" w14:textId="77777777" w:rsidR="008C5CFA" w:rsidRPr="00F53019" w:rsidRDefault="00E82A60" w:rsidP="00300A01">
            <w:pPr>
              <w:spacing w:before="0" w:after="0"/>
              <w:rPr>
                <w:b/>
                <w:sz w:val="12"/>
                <w:szCs w:val="12"/>
                <w:lang w:val="fr-BE"/>
              </w:rPr>
            </w:pPr>
            <w:r w:rsidRPr="00F53019">
              <w:rPr>
                <w:b/>
                <w:noProof/>
                <w:sz w:val="12"/>
                <w:szCs w:val="12"/>
                <w:lang w:val="fr-BE"/>
              </w:rPr>
              <w:t>Kategoria regionu</w:t>
            </w:r>
          </w:p>
        </w:tc>
        <w:tc>
          <w:tcPr>
            <w:tcW w:w="0" w:type="auto"/>
            <w:gridSpan w:val="3"/>
            <w:shd w:val="clear" w:color="auto" w:fill="auto"/>
          </w:tcPr>
          <w:p w14:paraId="138CB206" w14:textId="77777777" w:rsidR="008C5CFA" w:rsidRPr="00F53019" w:rsidRDefault="00E82A60" w:rsidP="00300A01">
            <w:pPr>
              <w:spacing w:before="0" w:after="0"/>
              <w:jc w:val="center"/>
              <w:rPr>
                <w:b/>
                <w:sz w:val="12"/>
                <w:szCs w:val="12"/>
                <w:lang w:val="fr-BE"/>
              </w:rPr>
            </w:pPr>
            <w:r w:rsidRPr="00F53019">
              <w:rPr>
                <w:b/>
                <w:noProof/>
                <w:sz w:val="12"/>
                <w:szCs w:val="12"/>
                <w:lang w:val="fr-BE"/>
              </w:rPr>
              <w:t>Wartość docelowa (2023)</w:t>
            </w:r>
          </w:p>
        </w:tc>
        <w:tc>
          <w:tcPr>
            <w:tcW w:w="0" w:type="auto"/>
            <w:gridSpan w:val="3"/>
            <w:shd w:val="clear" w:color="auto" w:fill="auto"/>
          </w:tcPr>
          <w:p w14:paraId="179656D7" w14:textId="77777777" w:rsidR="008C5CFA" w:rsidRPr="00F53019" w:rsidRDefault="00E82A60" w:rsidP="00300A01">
            <w:pPr>
              <w:spacing w:before="0" w:after="0"/>
              <w:jc w:val="center"/>
              <w:rPr>
                <w:b/>
                <w:sz w:val="12"/>
                <w:szCs w:val="12"/>
                <w:lang w:val="fr-BE"/>
              </w:rPr>
            </w:pPr>
            <w:r w:rsidRPr="00F53019">
              <w:rPr>
                <w:b/>
                <w:noProof/>
                <w:sz w:val="12"/>
                <w:szCs w:val="12"/>
                <w:lang w:val="fr-BE"/>
              </w:rPr>
              <w:t>Wartość skumulowana</w:t>
            </w:r>
          </w:p>
        </w:tc>
        <w:tc>
          <w:tcPr>
            <w:tcW w:w="0" w:type="auto"/>
            <w:gridSpan w:val="3"/>
            <w:shd w:val="clear" w:color="auto" w:fill="auto"/>
          </w:tcPr>
          <w:p w14:paraId="7D8E3498" w14:textId="77777777" w:rsidR="008C5CFA" w:rsidRPr="00F53019" w:rsidRDefault="00E82A60" w:rsidP="00300A01">
            <w:pPr>
              <w:spacing w:before="0" w:after="0"/>
              <w:jc w:val="center"/>
              <w:rPr>
                <w:b/>
                <w:sz w:val="12"/>
                <w:szCs w:val="12"/>
                <w:lang w:val="fr-BE"/>
              </w:rPr>
            </w:pPr>
            <w:r w:rsidRPr="00F53019">
              <w:rPr>
                <w:b/>
                <w:noProof/>
                <w:sz w:val="12"/>
                <w:szCs w:val="12"/>
                <w:lang w:val="fr-BE"/>
              </w:rPr>
              <w:t>Wskaźnik osiągnięć</w:t>
            </w:r>
          </w:p>
        </w:tc>
        <w:tc>
          <w:tcPr>
            <w:tcW w:w="0" w:type="auto"/>
            <w:gridSpan w:val="3"/>
          </w:tcPr>
          <w:p w14:paraId="538497CA" w14:textId="77777777" w:rsidR="008C5CFA" w:rsidRPr="00F53019" w:rsidRDefault="0047688D" w:rsidP="00300A01">
            <w:pPr>
              <w:spacing w:before="0" w:after="0"/>
              <w:jc w:val="center"/>
              <w:rPr>
                <w:b/>
                <w:sz w:val="12"/>
                <w:szCs w:val="12"/>
                <w:lang w:val="fr-BE"/>
              </w:rPr>
            </w:pPr>
            <w:r w:rsidRPr="008C2BD7">
              <w:rPr>
                <w:noProof/>
                <w:sz w:val="12"/>
                <w:szCs w:val="12"/>
              </w:rPr>
              <w:t>2019</w:t>
            </w:r>
          </w:p>
        </w:tc>
      </w:tr>
      <w:tr w:rsidR="006B2EC1" w14:paraId="4094F7CA" w14:textId="77777777" w:rsidTr="0047688D">
        <w:trPr>
          <w:cantSplit/>
          <w:tblHeader/>
        </w:trPr>
        <w:tc>
          <w:tcPr>
            <w:tcW w:w="0" w:type="auto"/>
            <w:shd w:val="clear" w:color="auto" w:fill="auto"/>
          </w:tcPr>
          <w:p w14:paraId="01146131" w14:textId="77777777" w:rsidR="008C5CFA" w:rsidRPr="00F53019" w:rsidRDefault="008C5CFA" w:rsidP="00300A01">
            <w:pPr>
              <w:spacing w:before="0" w:after="0"/>
              <w:rPr>
                <w:b/>
                <w:sz w:val="12"/>
                <w:szCs w:val="12"/>
                <w:lang w:val="fr-BE"/>
              </w:rPr>
            </w:pPr>
          </w:p>
        </w:tc>
        <w:tc>
          <w:tcPr>
            <w:tcW w:w="0" w:type="auto"/>
            <w:shd w:val="clear" w:color="auto" w:fill="auto"/>
          </w:tcPr>
          <w:p w14:paraId="05E1497B" w14:textId="77777777" w:rsidR="008C5CFA" w:rsidRPr="00F53019" w:rsidRDefault="008C5CFA" w:rsidP="00300A01">
            <w:pPr>
              <w:spacing w:before="0" w:after="0"/>
              <w:rPr>
                <w:b/>
                <w:sz w:val="12"/>
                <w:szCs w:val="12"/>
                <w:lang w:val="fr-BE"/>
              </w:rPr>
            </w:pPr>
          </w:p>
        </w:tc>
        <w:tc>
          <w:tcPr>
            <w:tcW w:w="0" w:type="auto"/>
            <w:shd w:val="clear" w:color="auto" w:fill="auto"/>
          </w:tcPr>
          <w:p w14:paraId="2ECC9B66" w14:textId="77777777" w:rsidR="008C5CFA" w:rsidRPr="00F53019" w:rsidRDefault="008C5CFA" w:rsidP="00300A01">
            <w:pPr>
              <w:spacing w:before="0" w:after="0"/>
              <w:rPr>
                <w:b/>
                <w:sz w:val="12"/>
                <w:szCs w:val="12"/>
                <w:lang w:val="fr-BE"/>
              </w:rPr>
            </w:pPr>
          </w:p>
        </w:tc>
        <w:tc>
          <w:tcPr>
            <w:tcW w:w="0" w:type="auto"/>
            <w:shd w:val="clear" w:color="auto" w:fill="auto"/>
          </w:tcPr>
          <w:p w14:paraId="7A72615D" w14:textId="77777777" w:rsidR="008C5CFA" w:rsidRPr="00F53019" w:rsidRDefault="00E82A60" w:rsidP="00300A01">
            <w:pPr>
              <w:spacing w:before="0" w:after="0"/>
              <w:jc w:val="center"/>
              <w:rPr>
                <w:b/>
                <w:sz w:val="12"/>
                <w:szCs w:val="12"/>
                <w:lang w:val="fr-BE"/>
              </w:rPr>
            </w:pPr>
            <w:r w:rsidRPr="00F53019">
              <w:rPr>
                <w:b/>
                <w:noProof/>
                <w:sz w:val="12"/>
                <w:szCs w:val="12"/>
                <w:lang w:val="fr-BE"/>
              </w:rPr>
              <w:t>Ogółem</w:t>
            </w:r>
          </w:p>
        </w:tc>
        <w:tc>
          <w:tcPr>
            <w:tcW w:w="0" w:type="auto"/>
            <w:shd w:val="clear" w:color="auto" w:fill="auto"/>
          </w:tcPr>
          <w:p w14:paraId="110E2E60" w14:textId="77777777" w:rsidR="008C5CFA" w:rsidRPr="00F53019" w:rsidRDefault="00E82A60"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14:paraId="6815E53A" w14:textId="77777777" w:rsidR="008C5CFA" w:rsidRPr="00F53019" w:rsidRDefault="00E82A60" w:rsidP="00300A01">
            <w:pPr>
              <w:spacing w:before="0" w:after="0"/>
              <w:jc w:val="center"/>
              <w:rPr>
                <w:b/>
                <w:sz w:val="12"/>
                <w:szCs w:val="12"/>
                <w:lang w:val="fr-BE"/>
              </w:rPr>
            </w:pPr>
            <w:r w:rsidRPr="00F53019">
              <w:rPr>
                <w:b/>
                <w:noProof/>
                <w:sz w:val="12"/>
                <w:szCs w:val="12"/>
                <w:lang w:val="fr-BE"/>
              </w:rPr>
              <w:t>Kobiety</w:t>
            </w:r>
          </w:p>
        </w:tc>
        <w:tc>
          <w:tcPr>
            <w:tcW w:w="0" w:type="auto"/>
            <w:shd w:val="clear" w:color="auto" w:fill="auto"/>
          </w:tcPr>
          <w:p w14:paraId="2B07BF6F" w14:textId="77777777" w:rsidR="008C5CFA" w:rsidRPr="00F53019" w:rsidRDefault="00E82A60" w:rsidP="00300A01">
            <w:pPr>
              <w:spacing w:before="0" w:after="0"/>
              <w:jc w:val="center"/>
              <w:rPr>
                <w:b/>
                <w:sz w:val="12"/>
                <w:szCs w:val="12"/>
                <w:lang w:val="fr-BE"/>
              </w:rPr>
            </w:pPr>
            <w:r w:rsidRPr="00F53019">
              <w:rPr>
                <w:b/>
                <w:noProof/>
                <w:sz w:val="12"/>
                <w:szCs w:val="12"/>
                <w:lang w:val="fr-BE"/>
              </w:rPr>
              <w:t>Ogółem</w:t>
            </w:r>
          </w:p>
        </w:tc>
        <w:tc>
          <w:tcPr>
            <w:tcW w:w="0" w:type="auto"/>
            <w:shd w:val="clear" w:color="auto" w:fill="auto"/>
          </w:tcPr>
          <w:p w14:paraId="6347C53C" w14:textId="77777777" w:rsidR="008C5CFA" w:rsidRPr="00F53019" w:rsidRDefault="00E82A60"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14:paraId="53668CAD" w14:textId="77777777" w:rsidR="008C5CFA" w:rsidRPr="00F53019" w:rsidRDefault="00E82A60" w:rsidP="00300A01">
            <w:pPr>
              <w:spacing w:before="0" w:after="0"/>
              <w:jc w:val="center"/>
              <w:rPr>
                <w:b/>
                <w:sz w:val="12"/>
                <w:szCs w:val="12"/>
                <w:lang w:val="fr-BE"/>
              </w:rPr>
            </w:pPr>
            <w:r w:rsidRPr="00F53019">
              <w:rPr>
                <w:b/>
                <w:noProof/>
                <w:sz w:val="12"/>
                <w:szCs w:val="12"/>
                <w:lang w:val="fr-BE"/>
              </w:rPr>
              <w:t>Kobiety</w:t>
            </w:r>
          </w:p>
        </w:tc>
        <w:tc>
          <w:tcPr>
            <w:tcW w:w="0" w:type="auto"/>
            <w:shd w:val="clear" w:color="auto" w:fill="auto"/>
          </w:tcPr>
          <w:p w14:paraId="202FA8AF" w14:textId="77777777" w:rsidR="008C5CFA" w:rsidRPr="00F53019" w:rsidRDefault="00E82A60" w:rsidP="00300A01">
            <w:pPr>
              <w:spacing w:before="0" w:after="0"/>
              <w:jc w:val="center"/>
              <w:rPr>
                <w:b/>
                <w:sz w:val="12"/>
                <w:szCs w:val="12"/>
                <w:lang w:val="fr-BE"/>
              </w:rPr>
            </w:pPr>
            <w:r w:rsidRPr="00F53019">
              <w:rPr>
                <w:b/>
                <w:noProof/>
                <w:sz w:val="12"/>
                <w:szCs w:val="12"/>
                <w:lang w:val="fr-BE"/>
              </w:rPr>
              <w:t>Ogółem</w:t>
            </w:r>
          </w:p>
        </w:tc>
        <w:tc>
          <w:tcPr>
            <w:tcW w:w="0" w:type="auto"/>
            <w:shd w:val="clear" w:color="auto" w:fill="auto"/>
          </w:tcPr>
          <w:p w14:paraId="5F670143" w14:textId="77777777" w:rsidR="008C5CFA" w:rsidRPr="00F53019" w:rsidRDefault="00E82A60"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14:paraId="0DA85051" w14:textId="77777777" w:rsidR="008C5CFA" w:rsidRPr="00F53019" w:rsidRDefault="00E82A60" w:rsidP="00300A01">
            <w:pPr>
              <w:spacing w:before="0" w:after="0"/>
              <w:jc w:val="center"/>
              <w:rPr>
                <w:b/>
                <w:sz w:val="12"/>
                <w:szCs w:val="12"/>
                <w:lang w:val="fr-BE"/>
              </w:rPr>
            </w:pPr>
            <w:r w:rsidRPr="00F53019">
              <w:rPr>
                <w:b/>
                <w:noProof/>
                <w:sz w:val="12"/>
                <w:szCs w:val="12"/>
                <w:lang w:val="fr-BE"/>
              </w:rPr>
              <w:t>Kobiety</w:t>
            </w:r>
          </w:p>
        </w:tc>
        <w:tc>
          <w:tcPr>
            <w:tcW w:w="0" w:type="auto"/>
          </w:tcPr>
          <w:p w14:paraId="0D1DF943" w14:textId="77777777" w:rsidR="008C5CFA" w:rsidRPr="00F53019" w:rsidRDefault="00E82A60" w:rsidP="00300A01">
            <w:pPr>
              <w:spacing w:before="0" w:after="0"/>
              <w:jc w:val="center"/>
              <w:rPr>
                <w:b/>
                <w:sz w:val="12"/>
                <w:szCs w:val="12"/>
                <w:lang w:val="fr-BE"/>
              </w:rPr>
            </w:pPr>
            <w:r w:rsidRPr="00F53019">
              <w:rPr>
                <w:b/>
                <w:noProof/>
                <w:sz w:val="12"/>
                <w:szCs w:val="12"/>
                <w:lang w:val="fr-BE"/>
              </w:rPr>
              <w:t>Ogółem</w:t>
            </w:r>
          </w:p>
        </w:tc>
        <w:tc>
          <w:tcPr>
            <w:tcW w:w="0" w:type="auto"/>
            <w:shd w:val="clear" w:color="auto" w:fill="auto"/>
          </w:tcPr>
          <w:p w14:paraId="51F03DE7" w14:textId="77777777" w:rsidR="008C5CFA" w:rsidRPr="00F53019" w:rsidRDefault="00E82A60"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14:paraId="0883BA76" w14:textId="77777777" w:rsidR="008C5CFA" w:rsidRPr="00F53019" w:rsidRDefault="00E82A60" w:rsidP="00300A01">
            <w:pPr>
              <w:spacing w:before="0" w:after="0"/>
              <w:jc w:val="center"/>
              <w:rPr>
                <w:b/>
                <w:sz w:val="12"/>
                <w:szCs w:val="12"/>
                <w:lang w:val="fr-BE"/>
              </w:rPr>
            </w:pPr>
            <w:r w:rsidRPr="00F53019">
              <w:rPr>
                <w:b/>
                <w:noProof/>
                <w:sz w:val="12"/>
                <w:szCs w:val="12"/>
                <w:lang w:val="fr-BE"/>
              </w:rPr>
              <w:t>Kobiety</w:t>
            </w:r>
          </w:p>
        </w:tc>
      </w:tr>
      <w:tr w:rsidR="006B2EC1" w14:paraId="05729A11" w14:textId="77777777" w:rsidTr="0047688D">
        <w:tc>
          <w:tcPr>
            <w:tcW w:w="0" w:type="auto"/>
            <w:shd w:val="clear" w:color="auto" w:fill="auto"/>
          </w:tcPr>
          <w:p w14:paraId="2DF2DFB1" w14:textId="77777777" w:rsidR="008C5CFA" w:rsidRPr="00BA47B4" w:rsidRDefault="00E82A60" w:rsidP="00300A01">
            <w:pPr>
              <w:spacing w:before="0" w:after="0"/>
              <w:rPr>
                <w:sz w:val="12"/>
                <w:szCs w:val="12"/>
                <w:lang w:val="fr-BE"/>
              </w:rPr>
            </w:pPr>
            <w:r>
              <w:rPr>
                <w:noProof/>
                <w:sz w:val="12"/>
                <w:szCs w:val="12"/>
                <w:lang w:val="fr-BE"/>
              </w:rPr>
              <w:t>CO01</w:t>
            </w:r>
          </w:p>
        </w:tc>
        <w:tc>
          <w:tcPr>
            <w:tcW w:w="0" w:type="auto"/>
            <w:shd w:val="clear" w:color="auto" w:fill="auto"/>
          </w:tcPr>
          <w:p w14:paraId="597C64F0" w14:textId="77777777" w:rsidR="008C5CFA" w:rsidRPr="00BA47B4" w:rsidRDefault="00E82A60" w:rsidP="00300A01">
            <w:pPr>
              <w:spacing w:before="0" w:after="0"/>
              <w:rPr>
                <w:sz w:val="12"/>
                <w:szCs w:val="12"/>
                <w:lang w:val="fr-BE"/>
              </w:rPr>
            </w:pPr>
            <w:r>
              <w:rPr>
                <w:noProof/>
                <w:sz w:val="12"/>
                <w:szCs w:val="12"/>
                <w:lang w:val="fr-BE"/>
              </w:rPr>
              <w:t>bezrobotni, w tym długotrwale bezrobotni</w:t>
            </w:r>
          </w:p>
        </w:tc>
        <w:tc>
          <w:tcPr>
            <w:tcW w:w="0" w:type="auto"/>
            <w:shd w:val="clear" w:color="auto" w:fill="auto"/>
          </w:tcPr>
          <w:p w14:paraId="14392AA6" w14:textId="77777777" w:rsidR="008C5CFA" w:rsidRPr="00BA47B4" w:rsidRDefault="00E82A60"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14:paraId="7025E583" w14:textId="77777777" w:rsidR="008C5CFA" w:rsidRPr="00BA47B4" w:rsidRDefault="008C5CFA" w:rsidP="00300A01">
            <w:pPr>
              <w:spacing w:before="0" w:after="0"/>
              <w:jc w:val="right"/>
              <w:rPr>
                <w:sz w:val="12"/>
                <w:szCs w:val="12"/>
                <w:lang w:val="fr-BE"/>
              </w:rPr>
            </w:pPr>
          </w:p>
        </w:tc>
        <w:tc>
          <w:tcPr>
            <w:tcW w:w="0" w:type="auto"/>
            <w:shd w:val="clear" w:color="auto" w:fill="auto"/>
          </w:tcPr>
          <w:p w14:paraId="78E2D02B" w14:textId="77777777" w:rsidR="008C5CFA" w:rsidRPr="00BA47B4" w:rsidRDefault="008C5CFA" w:rsidP="00300A01">
            <w:pPr>
              <w:spacing w:before="0" w:after="0"/>
              <w:jc w:val="right"/>
              <w:rPr>
                <w:sz w:val="12"/>
                <w:szCs w:val="12"/>
                <w:lang w:val="fr-BE"/>
              </w:rPr>
            </w:pPr>
          </w:p>
        </w:tc>
        <w:tc>
          <w:tcPr>
            <w:tcW w:w="0" w:type="auto"/>
            <w:shd w:val="clear" w:color="auto" w:fill="auto"/>
          </w:tcPr>
          <w:p w14:paraId="3058EBF2" w14:textId="77777777" w:rsidR="008C5CFA" w:rsidRPr="00BA47B4" w:rsidRDefault="008C5CFA" w:rsidP="00300A01">
            <w:pPr>
              <w:spacing w:before="0" w:after="0"/>
              <w:jc w:val="right"/>
              <w:rPr>
                <w:sz w:val="12"/>
                <w:szCs w:val="12"/>
                <w:lang w:val="fr-BE"/>
              </w:rPr>
            </w:pPr>
          </w:p>
        </w:tc>
        <w:tc>
          <w:tcPr>
            <w:tcW w:w="0" w:type="auto"/>
            <w:shd w:val="clear" w:color="auto" w:fill="auto"/>
          </w:tcPr>
          <w:p w14:paraId="5E607329" w14:textId="77777777" w:rsidR="008C5CFA" w:rsidRPr="00BA47B4" w:rsidRDefault="00E82A60" w:rsidP="00300A01">
            <w:pPr>
              <w:spacing w:before="0" w:after="0"/>
              <w:jc w:val="right"/>
              <w:rPr>
                <w:sz w:val="12"/>
                <w:szCs w:val="12"/>
                <w:lang w:val="fr-BE"/>
              </w:rPr>
            </w:pPr>
            <w:r w:rsidRPr="00BA47B4">
              <w:rPr>
                <w:noProof/>
                <w:sz w:val="12"/>
                <w:szCs w:val="12"/>
                <w:lang w:val="fr-BE"/>
              </w:rPr>
              <w:t>1 730,00</w:t>
            </w:r>
          </w:p>
        </w:tc>
        <w:tc>
          <w:tcPr>
            <w:tcW w:w="0" w:type="auto"/>
            <w:shd w:val="clear" w:color="auto" w:fill="auto"/>
          </w:tcPr>
          <w:p w14:paraId="352EDA57" w14:textId="77777777" w:rsidR="008C5CFA" w:rsidRPr="00BA47B4" w:rsidRDefault="00E82A60" w:rsidP="00300A01">
            <w:pPr>
              <w:spacing w:before="0" w:after="0"/>
              <w:jc w:val="right"/>
              <w:rPr>
                <w:sz w:val="12"/>
                <w:szCs w:val="12"/>
                <w:lang w:val="fr-BE"/>
              </w:rPr>
            </w:pPr>
            <w:r w:rsidRPr="00BA47B4">
              <w:rPr>
                <w:noProof/>
                <w:sz w:val="12"/>
                <w:szCs w:val="12"/>
                <w:lang w:val="fr-BE"/>
              </w:rPr>
              <w:t>468,00</w:t>
            </w:r>
          </w:p>
        </w:tc>
        <w:tc>
          <w:tcPr>
            <w:tcW w:w="0" w:type="auto"/>
            <w:shd w:val="clear" w:color="auto" w:fill="auto"/>
          </w:tcPr>
          <w:p w14:paraId="617B0B67" w14:textId="77777777" w:rsidR="008C5CFA" w:rsidRPr="00BA47B4" w:rsidRDefault="00E82A60" w:rsidP="00300A01">
            <w:pPr>
              <w:spacing w:before="0" w:after="0"/>
              <w:jc w:val="right"/>
              <w:rPr>
                <w:sz w:val="12"/>
                <w:szCs w:val="12"/>
                <w:lang w:val="fr-BE"/>
              </w:rPr>
            </w:pPr>
            <w:r w:rsidRPr="00BA47B4">
              <w:rPr>
                <w:noProof/>
                <w:sz w:val="12"/>
                <w:szCs w:val="12"/>
                <w:lang w:val="fr-BE"/>
              </w:rPr>
              <w:t>1 262,00</w:t>
            </w:r>
          </w:p>
        </w:tc>
        <w:tc>
          <w:tcPr>
            <w:tcW w:w="0" w:type="auto"/>
            <w:shd w:val="clear" w:color="auto" w:fill="auto"/>
          </w:tcPr>
          <w:p w14:paraId="4871596A" w14:textId="77777777" w:rsidR="008C5CFA" w:rsidRPr="00BA47B4" w:rsidRDefault="008C5CFA" w:rsidP="00300A01">
            <w:pPr>
              <w:spacing w:before="0" w:after="0"/>
              <w:jc w:val="right"/>
              <w:rPr>
                <w:sz w:val="12"/>
                <w:szCs w:val="12"/>
                <w:lang w:val="fr-BE"/>
              </w:rPr>
            </w:pPr>
          </w:p>
        </w:tc>
        <w:tc>
          <w:tcPr>
            <w:tcW w:w="0" w:type="auto"/>
            <w:shd w:val="clear" w:color="auto" w:fill="auto"/>
          </w:tcPr>
          <w:p w14:paraId="3F802008" w14:textId="77777777" w:rsidR="008C5CFA" w:rsidRPr="00BA47B4" w:rsidRDefault="008C5CFA" w:rsidP="00300A01">
            <w:pPr>
              <w:spacing w:before="0" w:after="0"/>
              <w:jc w:val="right"/>
              <w:rPr>
                <w:sz w:val="12"/>
                <w:szCs w:val="12"/>
                <w:lang w:val="fr-BE"/>
              </w:rPr>
            </w:pPr>
          </w:p>
        </w:tc>
        <w:tc>
          <w:tcPr>
            <w:tcW w:w="0" w:type="auto"/>
            <w:shd w:val="clear" w:color="auto" w:fill="auto"/>
          </w:tcPr>
          <w:p w14:paraId="3159BBA8" w14:textId="77777777" w:rsidR="008C5CFA" w:rsidRPr="00BA47B4" w:rsidRDefault="008C5CFA" w:rsidP="00300A01">
            <w:pPr>
              <w:spacing w:before="0" w:after="0"/>
              <w:jc w:val="right"/>
              <w:rPr>
                <w:sz w:val="12"/>
                <w:szCs w:val="12"/>
                <w:lang w:val="fr-BE"/>
              </w:rPr>
            </w:pPr>
          </w:p>
        </w:tc>
        <w:tc>
          <w:tcPr>
            <w:tcW w:w="0" w:type="auto"/>
          </w:tcPr>
          <w:p w14:paraId="5A80F352" w14:textId="77777777" w:rsidR="008C5CFA" w:rsidRPr="00A92B39" w:rsidRDefault="00E82A60" w:rsidP="00300A01">
            <w:pPr>
              <w:spacing w:before="0" w:after="0"/>
              <w:jc w:val="right"/>
              <w:rPr>
                <w:sz w:val="10"/>
                <w:szCs w:val="10"/>
                <w:lang w:val="fr-BE"/>
              </w:rPr>
            </w:pPr>
            <w:r w:rsidRPr="00A92B39">
              <w:rPr>
                <w:noProof/>
                <w:sz w:val="10"/>
                <w:szCs w:val="10"/>
                <w:lang w:val="fr-BE"/>
              </w:rPr>
              <w:t>1 024,00</w:t>
            </w:r>
          </w:p>
        </w:tc>
        <w:tc>
          <w:tcPr>
            <w:tcW w:w="0" w:type="auto"/>
            <w:shd w:val="clear" w:color="auto" w:fill="auto"/>
          </w:tcPr>
          <w:p w14:paraId="20038215" w14:textId="77777777" w:rsidR="008C5CFA" w:rsidRPr="00A92B39" w:rsidRDefault="00E82A60" w:rsidP="00300A01">
            <w:pPr>
              <w:spacing w:before="0" w:after="0"/>
              <w:jc w:val="right"/>
              <w:rPr>
                <w:sz w:val="10"/>
                <w:szCs w:val="10"/>
                <w:lang w:val="fr-BE"/>
              </w:rPr>
            </w:pPr>
            <w:r w:rsidRPr="00A92B39">
              <w:rPr>
                <w:noProof/>
                <w:sz w:val="10"/>
                <w:szCs w:val="10"/>
                <w:lang w:val="fr-BE"/>
              </w:rPr>
              <w:t>307,00</w:t>
            </w:r>
          </w:p>
        </w:tc>
        <w:tc>
          <w:tcPr>
            <w:tcW w:w="0" w:type="auto"/>
            <w:shd w:val="clear" w:color="auto" w:fill="auto"/>
          </w:tcPr>
          <w:p w14:paraId="41A22BAE" w14:textId="77777777" w:rsidR="008C5CFA" w:rsidRPr="00BA47B4" w:rsidRDefault="00E82A60" w:rsidP="00300A01">
            <w:pPr>
              <w:spacing w:before="0" w:after="0"/>
              <w:jc w:val="right"/>
              <w:rPr>
                <w:sz w:val="12"/>
                <w:szCs w:val="12"/>
                <w:lang w:val="fr-BE"/>
              </w:rPr>
            </w:pPr>
            <w:r w:rsidRPr="00A92B39">
              <w:rPr>
                <w:noProof/>
                <w:sz w:val="10"/>
                <w:szCs w:val="10"/>
                <w:lang w:val="fr-BE"/>
              </w:rPr>
              <w:t>717,00</w:t>
            </w:r>
          </w:p>
        </w:tc>
      </w:tr>
      <w:tr w:rsidR="006B2EC1" w14:paraId="28A568FE" w14:textId="77777777" w:rsidTr="0047688D">
        <w:tc>
          <w:tcPr>
            <w:tcW w:w="0" w:type="auto"/>
            <w:shd w:val="clear" w:color="auto" w:fill="auto"/>
          </w:tcPr>
          <w:p w14:paraId="188D2837" w14:textId="77777777" w:rsidR="008C5CFA" w:rsidRPr="00BA47B4" w:rsidRDefault="00E82A60" w:rsidP="00300A01">
            <w:pPr>
              <w:spacing w:before="0" w:after="0"/>
              <w:rPr>
                <w:sz w:val="12"/>
                <w:szCs w:val="12"/>
                <w:lang w:val="fr-BE"/>
              </w:rPr>
            </w:pPr>
            <w:r>
              <w:rPr>
                <w:noProof/>
                <w:sz w:val="12"/>
                <w:szCs w:val="12"/>
                <w:lang w:val="fr-BE"/>
              </w:rPr>
              <w:t>CO02</w:t>
            </w:r>
          </w:p>
        </w:tc>
        <w:tc>
          <w:tcPr>
            <w:tcW w:w="0" w:type="auto"/>
            <w:shd w:val="clear" w:color="auto" w:fill="auto"/>
          </w:tcPr>
          <w:p w14:paraId="7A4C75A2" w14:textId="77777777" w:rsidR="008C5CFA" w:rsidRPr="00BA47B4" w:rsidRDefault="00E82A60" w:rsidP="00300A01">
            <w:pPr>
              <w:spacing w:before="0" w:after="0"/>
              <w:rPr>
                <w:sz w:val="12"/>
                <w:szCs w:val="12"/>
                <w:lang w:val="fr-BE"/>
              </w:rPr>
            </w:pPr>
            <w:r>
              <w:rPr>
                <w:noProof/>
                <w:sz w:val="12"/>
                <w:szCs w:val="12"/>
                <w:lang w:val="fr-BE"/>
              </w:rPr>
              <w:t>długotrwale bezrobotni</w:t>
            </w:r>
          </w:p>
        </w:tc>
        <w:tc>
          <w:tcPr>
            <w:tcW w:w="0" w:type="auto"/>
            <w:shd w:val="clear" w:color="auto" w:fill="auto"/>
          </w:tcPr>
          <w:p w14:paraId="6249B5C5" w14:textId="77777777" w:rsidR="008C5CFA" w:rsidRPr="00BA47B4" w:rsidRDefault="00E82A60"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14:paraId="40CF3263" w14:textId="77777777" w:rsidR="008C5CFA" w:rsidRPr="00BA47B4" w:rsidRDefault="008C5CFA" w:rsidP="00300A01">
            <w:pPr>
              <w:spacing w:before="0" w:after="0"/>
              <w:jc w:val="right"/>
              <w:rPr>
                <w:sz w:val="12"/>
                <w:szCs w:val="12"/>
                <w:lang w:val="fr-BE"/>
              </w:rPr>
            </w:pPr>
          </w:p>
        </w:tc>
        <w:tc>
          <w:tcPr>
            <w:tcW w:w="0" w:type="auto"/>
            <w:shd w:val="clear" w:color="auto" w:fill="auto"/>
          </w:tcPr>
          <w:p w14:paraId="67CCE86A" w14:textId="77777777" w:rsidR="008C5CFA" w:rsidRPr="00BA47B4" w:rsidRDefault="008C5CFA" w:rsidP="00300A01">
            <w:pPr>
              <w:spacing w:before="0" w:after="0"/>
              <w:jc w:val="right"/>
              <w:rPr>
                <w:sz w:val="12"/>
                <w:szCs w:val="12"/>
                <w:lang w:val="fr-BE"/>
              </w:rPr>
            </w:pPr>
          </w:p>
        </w:tc>
        <w:tc>
          <w:tcPr>
            <w:tcW w:w="0" w:type="auto"/>
            <w:shd w:val="clear" w:color="auto" w:fill="auto"/>
          </w:tcPr>
          <w:p w14:paraId="3AFD0C4A" w14:textId="77777777" w:rsidR="008C5CFA" w:rsidRPr="00BA47B4" w:rsidRDefault="008C5CFA" w:rsidP="00300A01">
            <w:pPr>
              <w:spacing w:before="0" w:after="0"/>
              <w:jc w:val="right"/>
              <w:rPr>
                <w:sz w:val="12"/>
                <w:szCs w:val="12"/>
                <w:lang w:val="fr-BE"/>
              </w:rPr>
            </w:pPr>
          </w:p>
        </w:tc>
        <w:tc>
          <w:tcPr>
            <w:tcW w:w="0" w:type="auto"/>
            <w:shd w:val="clear" w:color="auto" w:fill="auto"/>
          </w:tcPr>
          <w:p w14:paraId="18CD4E4C" w14:textId="77777777" w:rsidR="008C5CFA" w:rsidRPr="00BA47B4" w:rsidRDefault="00E82A60" w:rsidP="00300A01">
            <w:pPr>
              <w:spacing w:before="0" w:after="0"/>
              <w:jc w:val="right"/>
              <w:rPr>
                <w:sz w:val="12"/>
                <w:szCs w:val="12"/>
                <w:lang w:val="fr-BE"/>
              </w:rPr>
            </w:pPr>
            <w:r w:rsidRPr="00BA47B4">
              <w:rPr>
                <w:noProof/>
                <w:sz w:val="12"/>
                <w:szCs w:val="12"/>
                <w:lang w:val="fr-BE"/>
              </w:rPr>
              <w:t>310,00</w:t>
            </w:r>
          </w:p>
        </w:tc>
        <w:tc>
          <w:tcPr>
            <w:tcW w:w="0" w:type="auto"/>
            <w:shd w:val="clear" w:color="auto" w:fill="auto"/>
          </w:tcPr>
          <w:p w14:paraId="1741842A" w14:textId="77777777" w:rsidR="008C5CFA" w:rsidRPr="00BA47B4" w:rsidRDefault="00E82A60" w:rsidP="00300A01">
            <w:pPr>
              <w:spacing w:before="0" w:after="0"/>
              <w:jc w:val="right"/>
              <w:rPr>
                <w:sz w:val="12"/>
                <w:szCs w:val="12"/>
                <w:lang w:val="fr-BE"/>
              </w:rPr>
            </w:pPr>
            <w:r w:rsidRPr="00BA47B4">
              <w:rPr>
                <w:noProof/>
                <w:sz w:val="12"/>
                <w:szCs w:val="12"/>
                <w:lang w:val="fr-BE"/>
              </w:rPr>
              <w:t>75,00</w:t>
            </w:r>
          </w:p>
        </w:tc>
        <w:tc>
          <w:tcPr>
            <w:tcW w:w="0" w:type="auto"/>
            <w:shd w:val="clear" w:color="auto" w:fill="auto"/>
          </w:tcPr>
          <w:p w14:paraId="47780ED5" w14:textId="77777777" w:rsidR="008C5CFA" w:rsidRPr="00BA47B4" w:rsidRDefault="00E82A60" w:rsidP="00300A01">
            <w:pPr>
              <w:spacing w:before="0" w:after="0"/>
              <w:jc w:val="right"/>
              <w:rPr>
                <w:sz w:val="12"/>
                <w:szCs w:val="12"/>
                <w:lang w:val="fr-BE"/>
              </w:rPr>
            </w:pPr>
            <w:r w:rsidRPr="00BA47B4">
              <w:rPr>
                <w:noProof/>
                <w:sz w:val="12"/>
                <w:szCs w:val="12"/>
                <w:lang w:val="fr-BE"/>
              </w:rPr>
              <w:t>235,00</w:t>
            </w:r>
          </w:p>
        </w:tc>
        <w:tc>
          <w:tcPr>
            <w:tcW w:w="0" w:type="auto"/>
            <w:shd w:val="clear" w:color="auto" w:fill="auto"/>
          </w:tcPr>
          <w:p w14:paraId="63DDD778" w14:textId="77777777" w:rsidR="008C5CFA" w:rsidRPr="00BA47B4" w:rsidRDefault="008C5CFA" w:rsidP="00300A01">
            <w:pPr>
              <w:spacing w:before="0" w:after="0"/>
              <w:jc w:val="right"/>
              <w:rPr>
                <w:sz w:val="12"/>
                <w:szCs w:val="12"/>
                <w:lang w:val="fr-BE"/>
              </w:rPr>
            </w:pPr>
          </w:p>
        </w:tc>
        <w:tc>
          <w:tcPr>
            <w:tcW w:w="0" w:type="auto"/>
            <w:shd w:val="clear" w:color="auto" w:fill="auto"/>
          </w:tcPr>
          <w:p w14:paraId="50A00B7B" w14:textId="77777777" w:rsidR="008C5CFA" w:rsidRPr="00BA47B4" w:rsidRDefault="008C5CFA" w:rsidP="00300A01">
            <w:pPr>
              <w:spacing w:before="0" w:after="0"/>
              <w:jc w:val="right"/>
              <w:rPr>
                <w:sz w:val="12"/>
                <w:szCs w:val="12"/>
                <w:lang w:val="fr-BE"/>
              </w:rPr>
            </w:pPr>
          </w:p>
        </w:tc>
        <w:tc>
          <w:tcPr>
            <w:tcW w:w="0" w:type="auto"/>
            <w:shd w:val="clear" w:color="auto" w:fill="auto"/>
          </w:tcPr>
          <w:p w14:paraId="26E55550" w14:textId="77777777" w:rsidR="008C5CFA" w:rsidRPr="00BA47B4" w:rsidRDefault="008C5CFA" w:rsidP="00300A01">
            <w:pPr>
              <w:spacing w:before="0" w:after="0"/>
              <w:jc w:val="right"/>
              <w:rPr>
                <w:sz w:val="12"/>
                <w:szCs w:val="12"/>
                <w:lang w:val="fr-BE"/>
              </w:rPr>
            </w:pPr>
          </w:p>
        </w:tc>
        <w:tc>
          <w:tcPr>
            <w:tcW w:w="0" w:type="auto"/>
          </w:tcPr>
          <w:p w14:paraId="4706998E" w14:textId="77777777" w:rsidR="008C5CFA" w:rsidRPr="00A92B39" w:rsidRDefault="00E82A60" w:rsidP="00300A01">
            <w:pPr>
              <w:spacing w:before="0" w:after="0"/>
              <w:jc w:val="right"/>
              <w:rPr>
                <w:sz w:val="10"/>
                <w:szCs w:val="10"/>
                <w:lang w:val="fr-BE"/>
              </w:rPr>
            </w:pPr>
            <w:r w:rsidRPr="00A92B39">
              <w:rPr>
                <w:noProof/>
                <w:sz w:val="10"/>
                <w:szCs w:val="10"/>
                <w:lang w:val="fr-BE"/>
              </w:rPr>
              <w:t>155,00</w:t>
            </w:r>
          </w:p>
        </w:tc>
        <w:tc>
          <w:tcPr>
            <w:tcW w:w="0" w:type="auto"/>
            <w:shd w:val="clear" w:color="auto" w:fill="auto"/>
          </w:tcPr>
          <w:p w14:paraId="633DBEF7" w14:textId="77777777" w:rsidR="008C5CFA" w:rsidRPr="00A92B39" w:rsidRDefault="00E82A60" w:rsidP="00300A01">
            <w:pPr>
              <w:spacing w:before="0" w:after="0"/>
              <w:jc w:val="right"/>
              <w:rPr>
                <w:sz w:val="10"/>
                <w:szCs w:val="10"/>
                <w:lang w:val="fr-BE"/>
              </w:rPr>
            </w:pPr>
            <w:r w:rsidRPr="00A92B39">
              <w:rPr>
                <w:noProof/>
                <w:sz w:val="10"/>
                <w:szCs w:val="10"/>
                <w:lang w:val="fr-BE"/>
              </w:rPr>
              <w:t>40,00</w:t>
            </w:r>
          </w:p>
        </w:tc>
        <w:tc>
          <w:tcPr>
            <w:tcW w:w="0" w:type="auto"/>
            <w:shd w:val="clear" w:color="auto" w:fill="auto"/>
          </w:tcPr>
          <w:p w14:paraId="52D3F687" w14:textId="77777777" w:rsidR="008C5CFA" w:rsidRPr="00BA47B4" w:rsidRDefault="00E82A60" w:rsidP="00300A01">
            <w:pPr>
              <w:spacing w:before="0" w:after="0"/>
              <w:jc w:val="right"/>
              <w:rPr>
                <w:sz w:val="12"/>
                <w:szCs w:val="12"/>
                <w:lang w:val="fr-BE"/>
              </w:rPr>
            </w:pPr>
            <w:r w:rsidRPr="00A92B39">
              <w:rPr>
                <w:noProof/>
                <w:sz w:val="10"/>
                <w:szCs w:val="10"/>
                <w:lang w:val="fr-BE"/>
              </w:rPr>
              <w:t>115,00</w:t>
            </w:r>
          </w:p>
        </w:tc>
      </w:tr>
      <w:tr w:rsidR="006B2EC1" w14:paraId="6B8E9D75" w14:textId="77777777" w:rsidTr="0047688D">
        <w:tc>
          <w:tcPr>
            <w:tcW w:w="0" w:type="auto"/>
            <w:shd w:val="clear" w:color="auto" w:fill="auto"/>
          </w:tcPr>
          <w:p w14:paraId="6CB9AAD8" w14:textId="77777777" w:rsidR="008C5CFA" w:rsidRPr="00BA47B4" w:rsidRDefault="00E82A60" w:rsidP="00300A01">
            <w:pPr>
              <w:spacing w:before="0" w:after="0"/>
              <w:rPr>
                <w:sz w:val="12"/>
                <w:szCs w:val="12"/>
                <w:lang w:val="fr-BE"/>
              </w:rPr>
            </w:pPr>
            <w:r>
              <w:rPr>
                <w:noProof/>
                <w:sz w:val="12"/>
                <w:szCs w:val="12"/>
                <w:lang w:val="fr-BE"/>
              </w:rPr>
              <w:t>CO03</w:t>
            </w:r>
          </w:p>
        </w:tc>
        <w:tc>
          <w:tcPr>
            <w:tcW w:w="0" w:type="auto"/>
            <w:shd w:val="clear" w:color="auto" w:fill="auto"/>
          </w:tcPr>
          <w:p w14:paraId="29DC00C1" w14:textId="77777777" w:rsidR="008C5CFA" w:rsidRPr="00BA47B4" w:rsidRDefault="00E82A60" w:rsidP="00300A01">
            <w:pPr>
              <w:spacing w:before="0" w:after="0"/>
              <w:rPr>
                <w:sz w:val="12"/>
                <w:szCs w:val="12"/>
                <w:lang w:val="fr-BE"/>
              </w:rPr>
            </w:pPr>
            <w:r>
              <w:rPr>
                <w:noProof/>
                <w:sz w:val="12"/>
                <w:szCs w:val="12"/>
                <w:lang w:val="fr-BE"/>
              </w:rPr>
              <w:t>osoby bierne zawodowo</w:t>
            </w:r>
          </w:p>
        </w:tc>
        <w:tc>
          <w:tcPr>
            <w:tcW w:w="0" w:type="auto"/>
            <w:shd w:val="clear" w:color="auto" w:fill="auto"/>
          </w:tcPr>
          <w:p w14:paraId="7815AF52" w14:textId="77777777" w:rsidR="008C5CFA" w:rsidRPr="00BA47B4" w:rsidRDefault="00E82A60"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14:paraId="72F3DA5E" w14:textId="77777777" w:rsidR="008C5CFA" w:rsidRPr="00BA47B4" w:rsidRDefault="008C5CFA" w:rsidP="00300A01">
            <w:pPr>
              <w:spacing w:before="0" w:after="0"/>
              <w:jc w:val="right"/>
              <w:rPr>
                <w:sz w:val="12"/>
                <w:szCs w:val="12"/>
                <w:lang w:val="fr-BE"/>
              </w:rPr>
            </w:pPr>
          </w:p>
        </w:tc>
        <w:tc>
          <w:tcPr>
            <w:tcW w:w="0" w:type="auto"/>
            <w:shd w:val="clear" w:color="auto" w:fill="auto"/>
          </w:tcPr>
          <w:p w14:paraId="100D327A" w14:textId="77777777" w:rsidR="008C5CFA" w:rsidRPr="00BA47B4" w:rsidRDefault="008C5CFA" w:rsidP="00300A01">
            <w:pPr>
              <w:spacing w:before="0" w:after="0"/>
              <w:jc w:val="right"/>
              <w:rPr>
                <w:sz w:val="12"/>
                <w:szCs w:val="12"/>
                <w:lang w:val="fr-BE"/>
              </w:rPr>
            </w:pPr>
          </w:p>
        </w:tc>
        <w:tc>
          <w:tcPr>
            <w:tcW w:w="0" w:type="auto"/>
            <w:shd w:val="clear" w:color="auto" w:fill="auto"/>
          </w:tcPr>
          <w:p w14:paraId="65561C34" w14:textId="77777777" w:rsidR="008C5CFA" w:rsidRPr="00BA47B4" w:rsidRDefault="008C5CFA" w:rsidP="00300A01">
            <w:pPr>
              <w:spacing w:before="0" w:after="0"/>
              <w:jc w:val="right"/>
              <w:rPr>
                <w:sz w:val="12"/>
                <w:szCs w:val="12"/>
                <w:lang w:val="fr-BE"/>
              </w:rPr>
            </w:pPr>
          </w:p>
        </w:tc>
        <w:tc>
          <w:tcPr>
            <w:tcW w:w="0" w:type="auto"/>
            <w:shd w:val="clear" w:color="auto" w:fill="auto"/>
          </w:tcPr>
          <w:p w14:paraId="3384E556" w14:textId="77777777" w:rsidR="008C5CFA" w:rsidRPr="00BA47B4" w:rsidRDefault="00E82A60" w:rsidP="00300A01">
            <w:pPr>
              <w:spacing w:before="0" w:after="0"/>
              <w:jc w:val="right"/>
              <w:rPr>
                <w:sz w:val="12"/>
                <w:szCs w:val="12"/>
                <w:lang w:val="fr-BE"/>
              </w:rPr>
            </w:pPr>
            <w:r w:rsidRPr="00BA47B4">
              <w:rPr>
                <w:noProof/>
                <w:sz w:val="12"/>
                <w:szCs w:val="12"/>
                <w:lang w:val="fr-BE"/>
              </w:rPr>
              <w:t>3 185,00</w:t>
            </w:r>
          </w:p>
        </w:tc>
        <w:tc>
          <w:tcPr>
            <w:tcW w:w="0" w:type="auto"/>
            <w:shd w:val="clear" w:color="auto" w:fill="auto"/>
          </w:tcPr>
          <w:p w14:paraId="0C5EE40B" w14:textId="77777777" w:rsidR="008C5CFA" w:rsidRPr="00BA47B4" w:rsidRDefault="00E82A60" w:rsidP="00300A01">
            <w:pPr>
              <w:spacing w:before="0" w:after="0"/>
              <w:jc w:val="right"/>
              <w:rPr>
                <w:sz w:val="12"/>
                <w:szCs w:val="12"/>
                <w:lang w:val="fr-BE"/>
              </w:rPr>
            </w:pPr>
            <w:r w:rsidRPr="00BA47B4">
              <w:rPr>
                <w:noProof/>
                <w:sz w:val="12"/>
                <w:szCs w:val="12"/>
                <w:lang w:val="fr-BE"/>
              </w:rPr>
              <w:t>876,00</w:t>
            </w:r>
          </w:p>
        </w:tc>
        <w:tc>
          <w:tcPr>
            <w:tcW w:w="0" w:type="auto"/>
            <w:shd w:val="clear" w:color="auto" w:fill="auto"/>
          </w:tcPr>
          <w:p w14:paraId="2F5F3EA2" w14:textId="77777777" w:rsidR="008C5CFA" w:rsidRPr="00BA47B4" w:rsidRDefault="00E82A60" w:rsidP="00300A01">
            <w:pPr>
              <w:spacing w:before="0" w:after="0"/>
              <w:jc w:val="right"/>
              <w:rPr>
                <w:sz w:val="12"/>
                <w:szCs w:val="12"/>
                <w:lang w:val="fr-BE"/>
              </w:rPr>
            </w:pPr>
            <w:r w:rsidRPr="00BA47B4">
              <w:rPr>
                <w:noProof/>
                <w:sz w:val="12"/>
                <w:szCs w:val="12"/>
                <w:lang w:val="fr-BE"/>
              </w:rPr>
              <w:t>2 309,00</w:t>
            </w:r>
          </w:p>
        </w:tc>
        <w:tc>
          <w:tcPr>
            <w:tcW w:w="0" w:type="auto"/>
            <w:shd w:val="clear" w:color="auto" w:fill="auto"/>
          </w:tcPr>
          <w:p w14:paraId="73F28F03" w14:textId="77777777" w:rsidR="008C5CFA" w:rsidRPr="00BA47B4" w:rsidRDefault="008C5CFA" w:rsidP="00300A01">
            <w:pPr>
              <w:spacing w:before="0" w:after="0"/>
              <w:jc w:val="right"/>
              <w:rPr>
                <w:sz w:val="12"/>
                <w:szCs w:val="12"/>
                <w:lang w:val="fr-BE"/>
              </w:rPr>
            </w:pPr>
          </w:p>
        </w:tc>
        <w:tc>
          <w:tcPr>
            <w:tcW w:w="0" w:type="auto"/>
            <w:shd w:val="clear" w:color="auto" w:fill="auto"/>
          </w:tcPr>
          <w:p w14:paraId="3B654ED7" w14:textId="77777777" w:rsidR="008C5CFA" w:rsidRPr="00BA47B4" w:rsidRDefault="008C5CFA" w:rsidP="00300A01">
            <w:pPr>
              <w:spacing w:before="0" w:after="0"/>
              <w:jc w:val="right"/>
              <w:rPr>
                <w:sz w:val="12"/>
                <w:szCs w:val="12"/>
                <w:lang w:val="fr-BE"/>
              </w:rPr>
            </w:pPr>
          </w:p>
        </w:tc>
        <w:tc>
          <w:tcPr>
            <w:tcW w:w="0" w:type="auto"/>
            <w:shd w:val="clear" w:color="auto" w:fill="auto"/>
          </w:tcPr>
          <w:p w14:paraId="388E658C" w14:textId="77777777" w:rsidR="008C5CFA" w:rsidRPr="00BA47B4" w:rsidRDefault="008C5CFA" w:rsidP="00300A01">
            <w:pPr>
              <w:spacing w:before="0" w:after="0"/>
              <w:jc w:val="right"/>
              <w:rPr>
                <w:sz w:val="12"/>
                <w:szCs w:val="12"/>
                <w:lang w:val="fr-BE"/>
              </w:rPr>
            </w:pPr>
          </w:p>
        </w:tc>
        <w:tc>
          <w:tcPr>
            <w:tcW w:w="0" w:type="auto"/>
          </w:tcPr>
          <w:p w14:paraId="49DA84B9" w14:textId="77777777" w:rsidR="008C5CFA" w:rsidRPr="00A92B39" w:rsidRDefault="00E82A60" w:rsidP="00300A01">
            <w:pPr>
              <w:spacing w:before="0" w:after="0"/>
              <w:jc w:val="right"/>
              <w:rPr>
                <w:sz w:val="10"/>
                <w:szCs w:val="10"/>
                <w:lang w:val="fr-BE"/>
              </w:rPr>
            </w:pPr>
            <w:r w:rsidRPr="00A92B39">
              <w:rPr>
                <w:noProof/>
                <w:sz w:val="10"/>
                <w:szCs w:val="10"/>
                <w:lang w:val="fr-BE"/>
              </w:rPr>
              <w:t>1 886,00</w:t>
            </w:r>
          </w:p>
        </w:tc>
        <w:tc>
          <w:tcPr>
            <w:tcW w:w="0" w:type="auto"/>
            <w:shd w:val="clear" w:color="auto" w:fill="auto"/>
          </w:tcPr>
          <w:p w14:paraId="5F229761" w14:textId="77777777" w:rsidR="008C5CFA" w:rsidRPr="00A92B39" w:rsidRDefault="00E82A60" w:rsidP="00300A01">
            <w:pPr>
              <w:spacing w:before="0" w:after="0"/>
              <w:jc w:val="right"/>
              <w:rPr>
                <w:sz w:val="10"/>
                <w:szCs w:val="10"/>
                <w:lang w:val="fr-BE"/>
              </w:rPr>
            </w:pPr>
            <w:r w:rsidRPr="00A92B39">
              <w:rPr>
                <w:noProof/>
                <w:sz w:val="10"/>
                <w:szCs w:val="10"/>
                <w:lang w:val="fr-BE"/>
              </w:rPr>
              <w:t>516,00</w:t>
            </w:r>
          </w:p>
        </w:tc>
        <w:tc>
          <w:tcPr>
            <w:tcW w:w="0" w:type="auto"/>
            <w:shd w:val="clear" w:color="auto" w:fill="auto"/>
          </w:tcPr>
          <w:p w14:paraId="4D164CD6" w14:textId="77777777" w:rsidR="008C5CFA" w:rsidRPr="00BA47B4" w:rsidRDefault="00E82A60" w:rsidP="00300A01">
            <w:pPr>
              <w:spacing w:before="0" w:after="0"/>
              <w:jc w:val="right"/>
              <w:rPr>
                <w:sz w:val="12"/>
                <w:szCs w:val="12"/>
                <w:lang w:val="fr-BE"/>
              </w:rPr>
            </w:pPr>
            <w:r w:rsidRPr="00A92B39">
              <w:rPr>
                <w:noProof/>
                <w:sz w:val="10"/>
                <w:szCs w:val="10"/>
                <w:lang w:val="fr-BE"/>
              </w:rPr>
              <w:t>1 370,00</w:t>
            </w:r>
          </w:p>
        </w:tc>
      </w:tr>
      <w:tr w:rsidR="006B2EC1" w14:paraId="7D9E9E29" w14:textId="77777777" w:rsidTr="0047688D">
        <w:tc>
          <w:tcPr>
            <w:tcW w:w="0" w:type="auto"/>
            <w:shd w:val="clear" w:color="auto" w:fill="auto"/>
          </w:tcPr>
          <w:p w14:paraId="593B8B09" w14:textId="77777777" w:rsidR="008C5CFA" w:rsidRPr="00BA47B4" w:rsidRDefault="00E82A60" w:rsidP="00300A01">
            <w:pPr>
              <w:spacing w:before="0" w:after="0"/>
              <w:rPr>
                <w:sz w:val="12"/>
                <w:szCs w:val="12"/>
                <w:lang w:val="fr-BE"/>
              </w:rPr>
            </w:pPr>
            <w:r>
              <w:rPr>
                <w:noProof/>
                <w:sz w:val="12"/>
                <w:szCs w:val="12"/>
                <w:lang w:val="fr-BE"/>
              </w:rPr>
              <w:t>CO04</w:t>
            </w:r>
          </w:p>
        </w:tc>
        <w:tc>
          <w:tcPr>
            <w:tcW w:w="0" w:type="auto"/>
            <w:shd w:val="clear" w:color="auto" w:fill="auto"/>
          </w:tcPr>
          <w:p w14:paraId="5C51CA16" w14:textId="77777777" w:rsidR="008C5CFA" w:rsidRPr="00BA47B4" w:rsidRDefault="00E82A60" w:rsidP="00300A01">
            <w:pPr>
              <w:spacing w:before="0" w:after="0"/>
              <w:rPr>
                <w:sz w:val="12"/>
                <w:szCs w:val="12"/>
                <w:lang w:val="fr-BE"/>
              </w:rPr>
            </w:pPr>
            <w:r>
              <w:rPr>
                <w:noProof/>
                <w:sz w:val="12"/>
                <w:szCs w:val="12"/>
                <w:lang w:val="fr-BE"/>
              </w:rPr>
              <w:t>osoby bierne zawodowo, nieuczestniczące w kształceniu ani szkoleniu</w:t>
            </w:r>
          </w:p>
        </w:tc>
        <w:tc>
          <w:tcPr>
            <w:tcW w:w="0" w:type="auto"/>
            <w:shd w:val="clear" w:color="auto" w:fill="auto"/>
          </w:tcPr>
          <w:p w14:paraId="48C28476" w14:textId="77777777" w:rsidR="008C5CFA" w:rsidRPr="00BA47B4" w:rsidRDefault="00E82A60"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14:paraId="69606DDE" w14:textId="77777777" w:rsidR="008C5CFA" w:rsidRPr="00BA47B4" w:rsidRDefault="008C5CFA" w:rsidP="00300A01">
            <w:pPr>
              <w:spacing w:before="0" w:after="0"/>
              <w:jc w:val="right"/>
              <w:rPr>
                <w:sz w:val="12"/>
                <w:szCs w:val="12"/>
                <w:lang w:val="fr-BE"/>
              </w:rPr>
            </w:pPr>
          </w:p>
        </w:tc>
        <w:tc>
          <w:tcPr>
            <w:tcW w:w="0" w:type="auto"/>
            <w:shd w:val="clear" w:color="auto" w:fill="auto"/>
          </w:tcPr>
          <w:p w14:paraId="3363D709" w14:textId="77777777" w:rsidR="008C5CFA" w:rsidRPr="00BA47B4" w:rsidRDefault="008C5CFA" w:rsidP="00300A01">
            <w:pPr>
              <w:spacing w:before="0" w:after="0"/>
              <w:jc w:val="right"/>
              <w:rPr>
                <w:sz w:val="12"/>
                <w:szCs w:val="12"/>
                <w:lang w:val="fr-BE"/>
              </w:rPr>
            </w:pPr>
          </w:p>
        </w:tc>
        <w:tc>
          <w:tcPr>
            <w:tcW w:w="0" w:type="auto"/>
            <w:shd w:val="clear" w:color="auto" w:fill="auto"/>
          </w:tcPr>
          <w:p w14:paraId="183D31A3" w14:textId="77777777" w:rsidR="008C5CFA" w:rsidRPr="00BA47B4" w:rsidRDefault="008C5CFA" w:rsidP="00300A01">
            <w:pPr>
              <w:spacing w:before="0" w:after="0"/>
              <w:jc w:val="right"/>
              <w:rPr>
                <w:sz w:val="12"/>
                <w:szCs w:val="12"/>
                <w:lang w:val="fr-BE"/>
              </w:rPr>
            </w:pPr>
          </w:p>
        </w:tc>
        <w:tc>
          <w:tcPr>
            <w:tcW w:w="0" w:type="auto"/>
            <w:shd w:val="clear" w:color="auto" w:fill="auto"/>
          </w:tcPr>
          <w:p w14:paraId="7EA60AFC" w14:textId="77777777" w:rsidR="008C5CFA" w:rsidRPr="00BA47B4" w:rsidRDefault="00E82A60" w:rsidP="00300A01">
            <w:pPr>
              <w:spacing w:before="0" w:after="0"/>
              <w:jc w:val="right"/>
              <w:rPr>
                <w:sz w:val="12"/>
                <w:szCs w:val="12"/>
                <w:lang w:val="fr-BE"/>
              </w:rPr>
            </w:pPr>
            <w:r w:rsidRPr="00BA47B4">
              <w:rPr>
                <w:noProof/>
                <w:sz w:val="12"/>
                <w:szCs w:val="12"/>
                <w:lang w:val="fr-BE"/>
              </w:rPr>
              <w:t>805,00</w:t>
            </w:r>
          </w:p>
        </w:tc>
        <w:tc>
          <w:tcPr>
            <w:tcW w:w="0" w:type="auto"/>
            <w:shd w:val="clear" w:color="auto" w:fill="auto"/>
          </w:tcPr>
          <w:p w14:paraId="43005E68" w14:textId="77777777" w:rsidR="008C5CFA" w:rsidRPr="00BA47B4" w:rsidRDefault="00E82A60" w:rsidP="00300A01">
            <w:pPr>
              <w:spacing w:before="0" w:after="0"/>
              <w:jc w:val="right"/>
              <w:rPr>
                <w:sz w:val="12"/>
                <w:szCs w:val="12"/>
                <w:lang w:val="fr-BE"/>
              </w:rPr>
            </w:pPr>
            <w:r w:rsidRPr="00BA47B4">
              <w:rPr>
                <w:noProof/>
                <w:sz w:val="12"/>
                <w:szCs w:val="12"/>
                <w:lang w:val="fr-BE"/>
              </w:rPr>
              <w:t>226,00</w:t>
            </w:r>
          </w:p>
        </w:tc>
        <w:tc>
          <w:tcPr>
            <w:tcW w:w="0" w:type="auto"/>
            <w:shd w:val="clear" w:color="auto" w:fill="auto"/>
          </w:tcPr>
          <w:p w14:paraId="0032952D" w14:textId="77777777" w:rsidR="008C5CFA" w:rsidRPr="00BA47B4" w:rsidRDefault="00E82A60" w:rsidP="00300A01">
            <w:pPr>
              <w:spacing w:before="0" w:after="0"/>
              <w:jc w:val="right"/>
              <w:rPr>
                <w:sz w:val="12"/>
                <w:szCs w:val="12"/>
                <w:lang w:val="fr-BE"/>
              </w:rPr>
            </w:pPr>
            <w:r w:rsidRPr="00BA47B4">
              <w:rPr>
                <w:noProof/>
                <w:sz w:val="12"/>
                <w:szCs w:val="12"/>
                <w:lang w:val="fr-BE"/>
              </w:rPr>
              <w:t>579,00</w:t>
            </w:r>
          </w:p>
        </w:tc>
        <w:tc>
          <w:tcPr>
            <w:tcW w:w="0" w:type="auto"/>
            <w:shd w:val="clear" w:color="auto" w:fill="auto"/>
          </w:tcPr>
          <w:p w14:paraId="2F918736" w14:textId="77777777" w:rsidR="008C5CFA" w:rsidRPr="00BA47B4" w:rsidRDefault="008C5CFA" w:rsidP="00300A01">
            <w:pPr>
              <w:spacing w:before="0" w:after="0"/>
              <w:jc w:val="right"/>
              <w:rPr>
                <w:sz w:val="12"/>
                <w:szCs w:val="12"/>
                <w:lang w:val="fr-BE"/>
              </w:rPr>
            </w:pPr>
          </w:p>
        </w:tc>
        <w:tc>
          <w:tcPr>
            <w:tcW w:w="0" w:type="auto"/>
            <w:shd w:val="clear" w:color="auto" w:fill="auto"/>
          </w:tcPr>
          <w:p w14:paraId="7CFCEE5E" w14:textId="77777777" w:rsidR="008C5CFA" w:rsidRPr="00BA47B4" w:rsidRDefault="008C5CFA" w:rsidP="00300A01">
            <w:pPr>
              <w:spacing w:before="0" w:after="0"/>
              <w:jc w:val="right"/>
              <w:rPr>
                <w:sz w:val="12"/>
                <w:szCs w:val="12"/>
                <w:lang w:val="fr-BE"/>
              </w:rPr>
            </w:pPr>
          </w:p>
        </w:tc>
        <w:tc>
          <w:tcPr>
            <w:tcW w:w="0" w:type="auto"/>
            <w:shd w:val="clear" w:color="auto" w:fill="auto"/>
          </w:tcPr>
          <w:p w14:paraId="0E518CE1" w14:textId="77777777" w:rsidR="008C5CFA" w:rsidRPr="00BA47B4" w:rsidRDefault="008C5CFA" w:rsidP="00300A01">
            <w:pPr>
              <w:spacing w:before="0" w:after="0"/>
              <w:jc w:val="right"/>
              <w:rPr>
                <w:sz w:val="12"/>
                <w:szCs w:val="12"/>
                <w:lang w:val="fr-BE"/>
              </w:rPr>
            </w:pPr>
          </w:p>
        </w:tc>
        <w:tc>
          <w:tcPr>
            <w:tcW w:w="0" w:type="auto"/>
          </w:tcPr>
          <w:p w14:paraId="6996499C" w14:textId="77777777" w:rsidR="008C5CFA" w:rsidRPr="00A92B39" w:rsidRDefault="00E82A60" w:rsidP="00300A01">
            <w:pPr>
              <w:spacing w:before="0" w:after="0"/>
              <w:jc w:val="right"/>
              <w:rPr>
                <w:sz w:val="10"/>
                <w:szCs w:val="10"/>
                <w:lang w:val="fr-BE"/>
              </w:rPr>
            </w:pPr>
            <w:r w:rsidRPr="00A92B39">
              <w:rPr>
                <w:noProof/>
                <w:sz w:val="10"/>
                <w:szCs w:val="10"/>
                <w:lang w:val="fr-BE"/>
              </w:rPr>
              <w:t>621,00</w:t>
            </w:r>
          </w:p>
        </w:tc>
        <w:tc>
          <w:tcPr>
            <w:tcW w:w="0" w:type="auto"/>
            <w:shd w:val="clear" w:color="auto" w:fill="auto"/>
          </w:tcPr>
          <w:p w14:paraId="4592D684" w14:textId="77777777" w:rsidR="008C5CFA" w:rsidRPr="00A92B39" w:rsidRDefault="00E82A60" w:rsidP="00300A01">
            <w:pPr>
              <w:spacing w:before="0" w:after="0"/>
              <w:jc w:val="right"/>
              <w:rPr>
                <w:sz w:val="10"/>
                <w:szCs w:val="10"/>
                <w:lang w:val="fr-BE"/>
              </w:rPr>
            </w:pPr>
            <w:r w:rsidRPr="00A92B39">
              <w:rPr>
                <w:noProof/>
                <w:sz w:val="10"/>
                <w:szCs w:val="10"/>
                <w:lang w:val="fr-BE"/>
              </w:rPr>
              <w:t>164,00</w:t>
            </w:r>
          </w:p>
        </w:tc>
        <w:tc>
          <w:tcPr>
            <w:tcW w:w="0" w:type="auto"/>
            <w:shd w:val="clear" w:color="auto" w:fill="auto"/>
          </w:tcPr>
          <w:p w14:paraId="2D3C4E8F" w14:textId="77777777" w:rsidR="008C5CFA" w:rsidRPr="00BA47B4" w:rsidRDefault="00E82A60" w:rsidP="00300A01">
            <w:pPr>
              <w:spacing w:before="0" w:after="0"/>
              <w:jc w:val="right"/>
              <w:rPr>
                <w:sz w:val="12"/>
                <w:szCs w:val="12"/>
                <w:lang w:val="fr-BE"/>
              </w:rPr>
            </w:pPr>
            <w:r w:rsidRPr="00A92B39">
              <w:rPr>
                <w:noProof/>
                <w:sz w:val="10"/>
                <w:szCs w:val="10"/>
                <w:lang w:val="fr-BE"/>
              </w:rPr>
              <w:t>457,00</w:t>
            </w:r>
          </w:p>
        </w:tc>
      </w:tr>
      <w:tr w:rsidR="006B2EC1" w14:paraId="7780B9AE" w14:textId="77777777" w:rsidTr="0047688D">
        <w:tc>
          <w:tcPr>
            <w:tcW w:w="0" w:type="auto"/>
            <w:shd w:val="clear" w:color="auto" w:fill="auto"/>
          </w:tcPr>
          <w:p w14:paraId="49267F68" w14:textId="77777777" w:rsidR="008C5CFA" w:rsidRPr="00BA47B4" w:rsidRDefault="00E82A60" w:rsidP="00300A01">
            <w:pPr>
              <w:spacing w:before="0" w:after="0"/>
              <w:rPr>
                <w:sz w:val="12"/>
                <w:szCs w:val="12"/>
                <w:lang w:val="fr-BE"/>
              </w:rPr>
            </w:pPr>
            <w:r>
              <w:rPr>
                <w:noProof/>
                <w:sz w:val="12"/>
                <w:szCs w:val="12"/>
                <w:lang w:val="fr-BE"/>
              </w:rPr>
              <w:t>CO05</w:t>
            </w:r>
          </w:p>
        </w:tc>
        <w:tc>
          <w:tcPr>
            <w:tcW w:w="0" w:type="auto"/>
            <w:shd w:val="clear" w:color="auto" w:fill="auto"/>
          </w:tcPr>
          <w:p w14:paraId="64F2A400" w14:textId="77777777" w:rsidR="008C5CFA" w:rsidRPr="00BA47B4" w:rsidRDefault="00E82A60" w:rsidP="00300A01">
            <w:pPr>
              <w:spacing w:before="0" w:after="0"/>
              <w:rPr>
                <w:sz w:val="12"/>
                <w:szCs w:val="12"/>
                <w:lang w:val="fr-BE"/>
              </w:rPr>
            </w:pPr>
            <w:r>
              <w:rPr>
                <w:noProof/>
                <w:sz w:val="12"/>
                <w:szCs w:val="12"/>
                <w:lang w:val="fr-BE"/>
              </w:rPr>
              <w:t>osoby pracujące, łącznie z prowadzącymi działalność na własny rachunek</w:t>
            </w:r>
          </w:p>
        </w:tc>
        <w:tc>
          <w:tcPr>
            <w:tcW w:w="0" w:type="auto"/>
            <w:shd w:val="clear" w:color="auto" w:fill="auto"/>
          </w:tcPr>
          <w:p w14:paraId="4B8A916E" w14:textId="77777777" w:rsidR="008C5CFA" w:rsidRPr="00BA47B4" w:rsidRDefault="00E82A60"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14:paraId="1DFA055A" w14:textId="77777777" w:rsidR="008C5CFA" w:rsidRPr="00BA47B4" w:rsidRDefault="008C5CFA" w:rsidP="00300A01">
            <w:pPr>
              <w:spacing w:before="0" w:after="0"/>
              <w:jc w:val="right"/>
              <w:rPr>
                <w:sz w:val="12"/>
                <w:szCs w:val="12"/>
                <w:lang w:val="fr-BE"/>
              </w:rPr>
            </w:pPr>
          </w:p>
        </w:tc>
        <w:tc>
          <w:tcPr>
            <w:tcW w:w="0" w:type="auto"/>
            <w:shd w:val="clear" w:color="auto" w:fill="auto"/>
          </w:tcPr>
          <w:p w14:paraId="1BABFFC0" w14:textId="77777777" w:rsidR="008C5CFA" w:rsidRPr="00BA47B4" w:rsidRDefault="008C5CFA" w:rsidP="00300A01">
            <w:pPr>
              <w:spacing w:before="0" w:after="0"/>
              <w:jc w:val="right"/>
              <w:rPr>
                <w:sz w:val="12"/>
                <w:szCs w:val="12"/>
                <w:lang w:val="fr-BE"/>
              </w:rPr>
            </w:pPr>
          </w:p>
        </w:tc>
        <w:tc>
          <w:tcPr>
            <w:tcW w:w="0" w:type="auto"/>
            <w:shd w:val="clear" w:color="auto" w:fill="auto"/>
          </w:tcPr>
          <w:p w14:paraId="307F291D" w14:textId="77777777" w:rsidR="008C5CFA" w:rsidRPr="00BA47B4" w:rsidRDefault="008C5CFA" w:rsidP="00300A01">
            <w:pPr>
              <w:spacing w:before="0" w:after="0"/>
              <w:jc w:val="right"/>
              <w:rPr>
                <w:sz w:val="12"/>
                <w:szCs w:val="12"/>
                <w:lang w:val="fr-BE"/>
              </w:rPr>
            </w:pPr>
          </w:p>
        </w:tc>
        <w:tc>
          <w:tcPr>
            <w:tcW w:w="0" w:type="auto"/>
            <w:shd w:val="clear" w:color="auto" w:fill="auto"/>
          </w:tcPr>
          <w:p w14:paraId="19591880" w14:textId="77777777" w:rsidR="008C5CFA" w:rsidRPr="00BA47B4" w:rsidRDefault="00E82A60" w:rsidP="00300A01">
            <w:pPr>
              <w:spacing w:before="0" w:after="0"/>
              <w:jc w:val="right"/>
              <w:rPr>
                <w:sz w:val="12"/>
                <w:szCs w:val="12"/>
                <w:lang w:val="fr-BE"/>
              </w:rPr>
            </w:pPr>
            <w:r w:rsidRPr="00BA47B4">
              <w:rPr>
                <w:noProof/>
                <w:sz w:val="12"/>
                <w:szCs w:val="12"/>
                <w:lang w:val="fr-BE"/>
              </w:rPr>
              <w:t>2 542,00</w:t>
            </w:r>
          </w:p>
        </w:tc>
        <w:tc>
          <w:tcPr>
            <w:tcW w:w="0" w:type="auto"/>
            <w:shd w:val="clear" w:color="auto" w:fill="auto"/>
          </w:tcPr>
          <w:p w14:paraId="0A0DAD9C" w14:textId="77777777" w:rsidR="008C5CFA" w:rsidRPr="00BA47B4" w:rsidRDefault="00E82A60" w:rsidP="00300A01">
            <w:pPr>
              <w:spacing w:before="0" w:after="0"/>
              <w:jc w:val="right"/>
              <w:rPr>
                <w:sz w:val="12"/>
                <w:szCs w:val="12"/>
                <w:lang w:val="fr-BE"/>
              </w:rPr>
            </w:pPr>
            <w:r w:rsidRPr="00BA47B4">
              <w:rPr>
                <w:noProof/>
                <w:sz w:val="12"/>
                <w:szCs w:val="12"/>
                <w:lang w:val="fr-BE"/>
              </w:rPr>
              <w:t>742,00</w:t>
            </w:r>
          </w:p>
        </w:tc>
        <w:tc>
          <w:tcPr>
            <w:tcW w:w="0" w:type="auto"/>
            <w:shd w:val="clear" w:color="auto" w:fill="auto"/>
          </w:tcPr>
          <w:p w14:paraId="49C9FB9C" w14:textId="77777777" w:rsidR="008C5CFA" w:rsidRPr="00BA47B4" w:rsidRDefault="00E82A60" w:rsidP="00300A01">
            <w:pPr>
              <w:spacing w:before="0" w:after="0"/>
              <w:jc w:val="right"/>
              <w:rPr>
                <w:sz w:val="12"/>
                <w:szCs w:val="12"/>
                <w:lang w:val="fr-BE"/>
              </w:rPr>
            </w:pPr>
            <w:r w:rsidRPr="00BA47B4">
              <w:rPr>
                <w:noProof/>
                <w:sz w:val="12"/>
                <w:szCs w:val="12"/>
                <w:lang w:val="fr-BE"/>
              </w:rPr>
              <w:t>1 800,00</w:t>
            </w:r>
          </w:p>
        </w:tc>
        <w:tc>
          <w:tcPr>
            <w:tcW w:w="0" w:type="auto"/>
            <w:shd w:val="clear" w:color="auto" w:fill="auto"/>
          </w:tcPr>
          <w:p w14:paraId="64C66384" w14:textId="77777777" w:rsidR="008C5CFA" w:rsidRPr="00BA47B4" w:rsidRDefault="008C5CFA" w:rsidP="00300A01">
            <w:pPr>
              <w:spacing w:before="0" w:after="0"/>
              <w:jc w:val="right"/>
              <w:rPr>
                <w:sz w:val="12"/>
                <w:szCs w:val="12"/>
                <w:lang w:val="fr-BE"/>
              </w:rPr>
            </w:pPr>
          </w:p>
        </w:tc>
        <w:tc>
          <w:tcPr>
            <w:tcW w:w="0" w:type="auto"/>
            <w:shd w:val="clear" w:color="auto" w:fill="auto"/>
          </w:tcPr>
          <w:p w14:paraId="29E4A29C" w14:textId="77777777" w:rsidR="008C5CFA" w:rsidRPr="00BA47B4" w:rsidRDefault="008C5CFA" w:rsidP="00300A01">
            <w:pPr>
              <w:spacing w:before="0" w:after="0"/>
              <w:jc w:val="right"/>
              <w:rPr>
                <w:sz w:val="12"/>
                <w:szCs w:val="12"/>
                <w:lang w:val="fr-BE"/>
              </w:rPr>
            </w:pPr>
          </w:p>
        </w:tc>
        <w:tc>
          <w:tcPr>
            <w:tcW w:w="0" w:type="auto"/>
            <w:shd w:val="clear" w:color="auto" w:fill="auto"/>
          </w:tcPr>
          <w:p w14:paraId="433F047A" w14:textId="77777777" w:rsidR="008C5CFA" w:rsidRPr="00BA47B4" w:rsidRDefault="008C5CFA" w:rsidP="00300A01">
            <w:pPr>
              <w:spacing w:before="0" w:after="0"/>
              <w:jc w:val="right"/>
              <w:rPr>
                <w:sz w:val="12"/>
                <w:szCs w:val="12"/>
                <w:lang w:val="fr-BE"/>
              </w:rPr>
            </w:pPr>
          </w:p>
        </w:tc>
        <w:tc>
          <w:tcPr>
            <w:tcW w:w="0" w:type="auto"/>
          </w:tcPr>
          <w:p w14:paraId="639B92F0" w14:textId="77777777" w:rsidR="008C5CFA" w:rsidRPr="00A92B39" w:rsidRDefault="00E82A60" w:rsidP="00300A01">
            <w:pPr>
              <w:spacing w:before="0" w:after="0"/>
              <w:jc w:val="right"/>
              <w:rPr>
                <w:sz w:val="10"/>
                <w:szCs w:val="10"/>
                <w:lang w:val="fr-BE"/>
              </w:rPr>
            </w:pPr>
            <w:r w:rsidRPr="00A92B39">
              <w:rPr>
                <w:noProof/>
                <w:sz w:val="10"/>
                <w:szCs w:val="10"/>
                <w:lang w:val="fr-BE"/>
              </w:rPr>
              <w:t>1 338,00</w:t>
            </w:r>
          </w:p>
        </w:tc>
        <w:tc>
          <w:tcPr>
            <w:tcW w:w="0" w:type="auto"/>
            <w:shd w:val="clear" w:color="auto" w:fill="auto"/>
          </w:tcPr>
          <w:p w14:paraId="6260DA20" w14:textId="77777777" w:rsidR="008C5CFA" w:rsidRPr="00A92B39" w:rsidRDefault="00E82A60" w:rsidP="00300A01">
            <w:pPr>
              <w:spacing w:before="0" w:after="0"/>
              <w:jc w:val="right"/>
              <w:rPr>
                <w:sz w:val="10"/>
                <w:szCs w:val="10"/>
                <w:lang w:val="fr-BE"/>
              </w:rPr>
            </w:pPr>
            <w:r w:rsidRPr="00A92B39">
              <w:rPr>
                <w:noProof/>
                <w:sz w:val="10"/>
                <w:szCs w:val="10"/>
                <w:lang w:val="fr-BE"/>
              </w:rPr>
              <w:t>394,00</w:t>
            </w:r>
          </w:p>
        </w:tc>
        <w:tc>
          <w:tcPr>
            <w:tcW w:w="0" w:type="auto"/>
            <w:shd w:val="clear" w:color="auto" w:fill="auto"/>
          </w:tcPr>
          <w:p w14:paraId="389CEEC4" w14:textId="77777777" w:rsidR="008C5CFA" w:rsidRPr="00BA47B4" w:rsidRDefault="00E82A60" w:rsidP="00300A01">
            <w:pPr>
              <w:spacing w:before="0" w:after="0"/>
              <w:jc w:val="right"/>
              <w:rPr>
                <w:sz w:val="12"/>
                <w:szCs w:val="12"/>
                <w:lang w:val="fr-BE"/>
              </w:rPr>
            </w:pPr>
            <w:r w:rsidRPr="00A92B39">
              <w:rPr>
                <w:noProof/>
                <w:sz w:val="10"/>
                <w:szCs w:val="10"/>
                <w:lang w:val="fr-BE"/>
              </w:rPr>
              <w:t>944,00</w:t>
            </w:r>
          </w:p>
        </w:tc>
      </w:tr>
      <w:tr w:rsidR="006B2EC1" w14:paraId="67309867" w14:textId="77777777" w:rsidTr="0047688D">
        <w:tc>
          <w:tcPr>
            <w:tcW w:w="0" w:type="auto"/>
            <w:shd w:val="clear" w:color="auto" w:fill="auto"/>
          </w:tcPr>
          <w:p w14:paraId="2060384E" w14:textId="77777777" w:rsidR="008C5CFA" w:rsidRPr="00BA47B4" w:rsidRDefault="00E82A60" w:rsidP="00300A01">
            <w:pPr>
              <w:spacing w:before="0" w:after="0"/>
              <w:rPr>
                <w:sz w:val="12"/>
                <w:szCs w:val="12"/>
                <w:lang w:val="fr-BE"/>
              </w:rPr>
            </w:pPr>
            <w:r>
              <w:rPr>
                <w:noProof/>
                <w:sz w:val="12"/>
                <w:szCs w:val="12"/>
                <w:lang w:val="fr-BE"/>
              </w:rPr>
              <w:t>CO06</w:t>
            </w:r>
          </w:p>
        </w:tc>
        <w:tc>
          <w:tcPr>
            <w:tcW w:w="0" w:type="auto"/>
            <w:shd w:val="clear" w:color="auto" w:fill="auto"/>
          </w:tcPr>
          <w:p w14:paraId="265CD7FD" w14:textId="77777777" w:rsidR="008C5CFA" w:rsidRPr="00BA47B4" w:rsidRDefault="00E82A60" w:rsidP="00300A01">
            <w:pPr>
              <w:spacing w:before="0" w:after="0"/>
              <w:rPr>
                <w:sz w:val="12"/>
                <w:szCs w:val="12"/>
                <w:lang w:val="fr-BE"/>
              </w:rPr>
            </w:pPr>
            <w:r>
              <w:rPr>
                <w:noProof/>
                <w:sz w:val="12"/>
                <w:szCs w:val="12"/>
                <w:lang w:val="fr-BE"/>
              </w:rPr>
              <w:t>osoby w wieku poniżej 25 lat</w:t>
            </w:r>
          </w:p>
        </w:tc>
        <w:tc>
          <w:tcPr>
            <w:tcW w:w="0" w:type="auto"/>
            <w:shd w:val="clear" w:color="auto" w:fill="auto"/>
          </w:tcPr>
          <w:p w14:paraId="52D6BB9B" w14:textId="77777777" w:rsidR="008C5CFA" w:rsidRPr="00BA47B4" w:rsidRDefault="00E82A60"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14:paraId="12E81A14" w14:textId="77777777" w:rsidR="008C5CFA" w:rsidRPr="00BA47B4" w:rsidRDefault="008C5CFA" w:rsidP="00300A01">
            <w:pPr>
              <w:spacing w:before="0" w:after="0"/>
              <w:jc w:val="right"/>
              <w:rPr>
                <w:sz w:val="12"/>
                <w:szCs w:val="12"/>
                <w:lang w:val="fr-BE"/>
              </w:rPr>
            </w:pPr>
          </w:p>
        </w:tc>
        <w:tc>
          <w:tcPr>
            <w:tcW w:w="0" w:type="auto"/>
            <w:shd w:val="clear" w:color="auto" w:fill="auto"/>
          </w:tcPr>
          <w:p w14:paraId="6D3D32E6" w14:textId="77777777" w:rsidR="008C5CFA" w:rsidRPr="00BA47B4" w:rsidRDefault="008C5CFA" w:rsidP="00300A01">
            <w:pPr>
              <w:spacing w:before="0" w:after="0"/>
              <w:jc w:val="right"/>
              <w:rPr>
                <w:sz w:val="12"/>
                <w:szCs w:val="12"/>
                <w:lang w:val="fr-BE"/>
              </w:rPr>
            </w:pPr>
          </w:p>
        </w:tc>
        <w:tc>
          <w:tcPr>
            <w:tcW w:w="0" w:type="auto"/>
            <w:shd w:val="clear" w:color="auto" w:fill="auto"/>
          </w:tcPr>
          <w:p w14:paraId="5FD6A640" w14:textId="77777777" w:rsidR="008C5CFA" w:rsidRPr="00BA47B4" w:rsidRDefault="008C5CFA" w:rsidP="00300A01">
            <w:pPr>
              <w:spacing w:before="0" w:after="0"/>
              <w:jc w:val="right"/>
              <w:rPr>
                <w:sz w:val="12"/>
                <w:szCs w:val="12"/>
                <w:lang w:val="fr-BE"/>
              </w:rPr>
            </w:pPr>
          </w:p>
        </w:tc>
        <w:tc>
          <w:tcPr>
            <w:tcW w:w="0" w:type="auto"/>
            <w:shd w:val="clear" w:color="auto" w:fill="auto"/>
          </w:tcPr>
          <w:p w14:paraId="48B4D977"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5D077981"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02CD2A73"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13E2366D" w14:textId="77777777" w:rsidR="008C5CFA" w:rsidRPr="00BA47B4" w:rsidRDefault="008C5CFA" w:rsidP="00300A01">
            <w:pPr>
              <w:spacing w:before="0" w:after="0"/>
              <w:jc w:val="right"/>
              <w:rPr>
                <w:sz w:val="12"/>
                <w:szCs w:val="12"/>
                <w:lang w:val="fr-BE"/>
              </w:rPr>
            </w:pPr>
          </w:p>
        </w:tc>
        <w:tc>
          <w:tcPr>
            <w:tcW w:w="0" w:type="auto"/>
            <w:shd w:val="clear" w:color="auto" w:fill="auto"/>
          </w:tcPr>
          <w:p w14:paraId="684EB35D" w14:textId="77777777" w:rsidR="008C5CFA" w:rsidRPr="00BA47B4" w:rsidRDefault="008C5CFA" w:rsidP="00300A01">
            <w:pPr>
              <w:spacing w:before="0" w:after="0"/>
              <w:jc w:val="right"/>
              <w:rPr>
                <w:sz w:val="12"/>
                <w:szCs w:val="12"/>
                <w:lang w:val="fr-BE"/>
              </w:rPr>
            </w:pPr>
          </w:p>
        </w:tc>
        <w:tc>
          <w:tcPr>
            <w:tcW w:w="0" w:type="auto"/>
            <w:shd w:val="clear" w:color="auto" w:fill="auto"/>
          </w:tcPr>
          <w:p w14:paraId="2E43D75E" w14:textId="77777777" w:rsidR="008C5CFA" w:rsidRPr="00BA47B4" w:rsidRDefault="008C5CFA" w:rsidP="00300A01">
            <w:pPr>
              <w:spacing w:before="0" w:after="0"/>
              <w:jc w:val="right"/>
              <w:rPr>
                <w:sz w:val="12"/>
                <w:szCs w:val="12"/>
                <w:lang w:val="fr-BE"/>
              </w:rPr>
            </w:pPr>
          </w:p>
        </w:tc>
        <w:tc>
          <w:tcPr>
            <w:tcW w:w="0" w:type="auto"/>
          </w:tcPr>
          <w:p w14:paraId="7BAA1027"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14:paraId="463AB4A9"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14:paraId="5531810C" w14:textId="77777777" w:rsidR="008C5CFA" w:rsidRPr="00BA47B4" w:rsidRDefault="00E82A60" w:rsidP="00300A01">
            <w:pPr>
              <w:spacing w:before="0" w:after="0"/>
              <w:jc w:val="right"/>
              <w:rPr>
                <w:sz w:val="12"/>
                <w:szCs w:val="12"/>
                <w:lang w:val="fr-BE"/>
              </w:rPr>
            </w:pPr>
            <w:r w:rsidRPr="00A92B39">
              <w:rPr>
                <w:noProof/>
                <w:sz w:val="10"/>
                <w:szCs w:val="10"/>
                <w:lang w:val="fr-BE"/>
              </w:rPr>
              <w:t>0,00</w:t>
            </w:r>
          </w:p>
        </w:tc>
      </w:tr>
      <w:tr w:rsidR="006B2EC1" w14:paraId="756A2C60" w14:textId="77777777" w:rsidTr="0047688D">
        <w:tc>
          <w:tcPr>
            <w:tcW w:w="0" w:type="auto"/>
            <w:shd w:val="clear" w:color="auto" w:fill="auto"/>
          </w:tcPr>
          <w:p w14:paraId="4E538899" w14:textId="77777777" w:rsidR="008C5CFA" w:rsidRPr="00BA47B4" w:rsidRDefault="00E82A60" w:rsidP="00300A01">
            <w:pPr>
              <w:spacing w:before="0" w:after="0"/>
              <w:rPr>
                <w:sz w:val="12"/>
                <w:szCs w:val="12"/>
                <w:lang w:val="fr-BE"/>
              </w:rPr>
            </w:pPr>
            <w:r>
              <w:rPr>
                <w:noProof/>
                <w:sz w:val="12"/>
                <w:szCs w:val="12"/>
                <w:lang w:val="fr-BE"/>
              </w:rPr>
              <w:t>CO07</w:t>
            </w:r>
          </w:p>
        </w:tc>
        <w:tc>
          <w:tcPr>
            <w:tcW w:w="0" w:type="auto"/>
            <w:shd w:val="clear" w:color="auto" w:fill="auto"/>
          </w:tcPr>
          <w:p w14:paraId="75AC45F9" w14:textId="77777777" w:rsidR="008C5CFA" w:rsidRPr="00BA47B4" w:rsidRDefault="00E82A60" w:rsidP="00300A01">
            <w:pPr>
              <w:spacing w:before="0" w:after="0"/>
              <w:rPr>
                <w:sz w:val="12"/>
                <w:szCs w:val="12"/>
                <w:lang w:val="fr-BE"/>
              </w:rPr>
            </w:pPr>
            <w:r>
              <w:rPr>
                <w:noProof/>
                <w:sz w:val="12"/>
                <w:szCs w:val="12"/>
                <w:lang w:val="fr-BE"/>
              </w:rPr>
              <w:t>osoby w wieku powyżej 54 lat</w:t>
            </w:r>
          </w:p>
        </w:tc>
        <w:tc>
          <w:tcPr>
            <w:tcW w:w="0" w:type="auto"/>
            <w:shd w:val="clear" w:color="auto" w:fill="auto"/>
          </w:tcPr>
          <w:p w14:paraId="6D054CFA" w14:textId="77777777" w:rsidR="008C5CFA" w:rsidRPr="00BA47B4" w:rsidRDefault="00E82A60"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14:paraId="7F6705D5" w14:textId="77777777" w:rsidR="008C5CFA" w:rsidRPr="00BA47B4" w:rsidRDefault="008C5CFA" w:rsidP="00300A01">
            <w:pPr>
              <w:spacing w:before="0" w:after="0"/>
              <w:jc w:val="right"/>
              <w:rPr>
                <w:sz w:val="12"/>
                <w:szCs w:val="12"/>
                <w:lang w:val="fr-BE"/>
              </w:rPr>
            </w:pPr>
          </w:p>
        </w:tc>
        <w:tc>
          <w:tcPr>
            <w:tcW w:w="0" w:type="auto"/>
            <w:shd w:val="clear" w:color="auto" w:fill="auto"/>
          </w:tcPr>
          <w:p w14:paraId="2E57B5B0" w14:textId="77777777" w:rsidR="008C5CFA" w:rsidRPr="00BA47B4" w:rsidRDefault="008C5CFA" w:rsidP="00300A01">
            <w:pPr>
              <w:spacing w:before="0" w:after="0"/>
              <w:jc w:val="right"/>
              <w:rPr>
                <w:sz w:val="12"/>
                <w:szCs w:val="12"/>
                <w:lang w:val="fr-BE"/>
              </w:rPr>
            </w:pPr>
          </w:p>
        </w:tc>
        <w:tc>
          <w:tcPr>
            <w:tcW w:w="0" w:type="auto"/>
            <w:shd w:val="clear" w:color="auto" w:fill="auto"/>
          </w:tcPr>
          <w:p w14:paraId="75E1FDC5" w14:textId="77777777" w:rsidR="008C5CFA" w:rsidRPr="00BA47B4" w:rsidRDefault="008C5CFA" w:rsidP="00300A01">
            <w:pPr>
              <w:spacing w:before="0" w:after="0"/>
              <w:jc w:val="right"/>
              <w:rPr>
                <w:sz w:val="12"/>
                <w:szCs w:val="12"/>
                <w:lang w:val="fr-BE"/>
              </w:rPr>
            </w:pPr>
          </w:p>
        </w:tc>
        <w:tc>
          <w:tcPr>
            <w:tcW w:w="0" w:type="auto"/>
            <w:shd w:val="clear" w:color="auto" w:fill="auto"/>
          </w:tcPr>
          <w:p w14:paraId="79D170CA" w14:textId="77777777" w:rsidR="008C5CFA" w:rsidRPr="00BA47B4" w:rsidRDefault="00E82A60" w:rsidP="00300A01">
            <w:pPr>
              <w:spacing w:before="0" w:after="0"/>
              <w:jc w:val="right"/>
              <w:rPr>
                <w:sz w:val="12"/>
                <w:szCs w:val="12"/>
                <w:lang w:val="fr-BE"/>
              </w:rPr>
            </w:pPr>
            <w:r w:rsidRPr="00BA47B4">
              <w:rPr>
                <w:noProof/>
                <w:sz w:val="12"/>
                <w:szCs w:val="12"/>
                <w:lang w:val="fr-BE"/>
              </w:rPr>
              <w:t>3 212,00</w:t>
            </w:r>
          </w:p>
        </w:tc>
        <w:tc>
          <w:tcPr>
            <w:tcW w:w="0" w:type="auto"/>
            <w:shd w:val="clear" w:color="auto" w:fill="auto"/>
          </w:tcPr>
          <w:p w14:paraId="72E0E9E5" w14:textId="77777777" w:rsidR="008C5CFA" w:rsidRPr="00BA47B4" w:rsidRDefault="00E82A60" w:rsidP="00300A01">
            <w:pPr>
              <w:spacing w:before="0" w:after="0"/>
              <w:jc w:val="right"/>
              <w:rPr>
                <w:sz w:val="12"/>
                <w:szCs w:val="12"/>
                <w:lang w:val="fr-BE"/>
              </w:rPr>
            </w:pPr>
            <w:r w:rsidRPr="00BA47B4">
              <w:rPr>
                <w:noProof/>
                <w:sz w:val="12"/>
                <w:szCs w:val="12"/>
                <w:lang w:val="fr-BE"/>
              </w:rPr>
              <w:t>936,00</w:t>
            </w:r>
          </w:p>
        </w:tc>
        <w:tc>
          <w:tcPr>
            <w:tcW w:w="0" w:type="auto"/>
            <w:shd w:val="clear" w:color="auto" w:fill="auto"/>
          </w:tcPr>
          <w:p w14:paraId="3979E16A" w14:textId="77777777" w:rsidR="008C5CFA" w:rsidRPr="00BA47B4" w:rsidRDefault="00E82A60" w:rsidP="00300A01">
            <w:pPr>
              <w:spacing w:before="0" w:after="0"/>
              <w:jc w:val="right"/>
              <w:rPr>
                <w:sz w:val="12"/>
                <w:szCs w:val="12"/>
                <w:lang w:val="fr-BE"/>
              </w:rPr>
            </w:pPr>
            <w:r w:rsidRPr="00BA47B4">
              <w:rPr>
                <w:noProof/>
                <w:sz w:val="12"/>
                <w:szCs w:val="12"/>
                <w:lang w:val="fr-BE"/>
              </w:rPr>
              <w:t>2 276,00</w:t>
            </w:r>
          </w:p>
        </w:tc>
        <w:tc>
          <w:tcPr>
            <w:tcW w:w="0" w:type="auto"/>
            <w:shd w:val="clear" w:color="auto" w:fill="auto"/>
          </w:tcPr>
          <w:p w14:paraId="13C976A7" w14:textId="77777777" w:rsidR="008C5CFA" w:rsidRPr="00BA47B4" w:rsidRDefault="008C5CFA" w:rsidP="00300A01">
            <w:pPr>
              <w:spacing w:before="0" w:after="0"/>
              <w:jc w:val="right"/>
              <w:rPr>
                <w:sz w:val="12"/>
                <w:szCs w:val="12"/>
                <w:lang w:val="fr-BE"/>
              </w:rPr>
            </w:pPr>
          </w:p>
        </w:tc>
        <w:tc>
          <w:tcPr>
            <w:tcW w:w="0" w:type="auto"/>
            <w:shd w:val="clear" w:color="auto" w:fill="auto"/>
          </w:tcPr>
          <w:p w14:paraId="32D9A1A9" w14:textId="77777777" w:rsidR="008C5CFA" w:rsidRPr="00BA47B4" w:rsidRDefault="008C5CFA" w:rsidP="00300A01">
            <w:pPr>
              <w:spacing w:before="0" w:after="0"/>
              <w:jc w:val="right"/>
              <w:rPr>
                <w:sz w:val="12"/>
                <w:szCs w:val="12"/>
                <w:lang w:val="fr-BE"/>
              </w:rPr>
            </w:pPr>
          </w:p>
        </w:tc>
        <w:tc>
          <w:tcPr>
            <w:tcW w:w="0" w:type="auto"/>
            <w:shd w:val="clear" w:color="auto" w:fill="auto"/>
          </w:tcPr>
          <w:p w14:paraId="621BA4B0" w14:textId="77777777" w:rsidR="008C5CFA" w:rsidRPr="00BA47B4" w:rsidRDefault="008C5CFA" w:rsidP="00300A01">
            <w:pPr>
              <w:spacing w:before="0" w:after="0"/>
              <w:jc w:val="right"/>
              <w:rPr>
                <w:sz w:val="12"/>
                <w:szCs w:val="12"/>
                <w:lang w:val="fr-BE"/>
              </w:rPr>
            </w:pPr>
          </w:p>
        </w:tc>
        <w:tc>
          <w:tcPr>
            <w:tcW w:w="0" w:type="auto"/>
          </w:tcPr>
          <w:p w14:paraId="5989DB0A" w14:textId="77777777" w:rsidR="008C5CFA" w:rsidRPr="00A92B39" w:rsidRDefault="00E82A60" w:rsidP="00300A01">
            <w:pPr>
              <w:spacing w:before="0" w:after="0"/>
              <w:jc w:val="right"/>
              <w:rPr>
                <w:sz w:val="10"/>
                <w:szCs w:val="10"/>
                <w:lang w:val="fr-BE"/>
              </w:rPr>
            </w:pPr>
            <w:r w:rsidRPr="00A92B39">
              <w:rPr>
                <w:noProof/>
                <w:sz w:val="10"/>
                <w:szCs w:val="10"/>
                <w:lang w:val="fr-BE"/>
              </w:rPr>
              <w:t>1 902,00</w:t>
            </w:r>
          </w:p>
        </w:tc>
        <w:tc>
          <w:tcPr>
            <w:tcW w:w="0" w:type="auto"/>
            <w:shd w:val="clear" w:color="auto" w:fill="auto"/>
          </w:tcPr>
          <w:p w14:paraId="18A4E614" w14:textId="77777777" w:rsidR="008C5CFA" w:rsidRPr="00A92B39" w:rsidRDefault="00E82A60" w:rsidP="00300A01">
            <w:pPr>
              <w:spacing w:before="0" w:after="0"/>
              <w:jc w:val="right"/>
              <w:rPr>
                <w:sz w:val="10"/>
                <w:szCs w:val="10"/>
                <w:lang w:val="fr-BE"/>
              </w:rPr>
            </w:pPr>
            <w:r w:rsidRPr="00A92B39">
              <w:rPr>
                <w:noProof/>
                <w:sz w:val="10"/>
                <w:szCs w:val="10"/>
                <w:lang w:val="fr-BE"/>
              </w:rPr>
              <w:t>562,00</w:t>
            </w:r>
          </w:p>
        </w:tc>
        <w:tc>
          <w:tcPr>
            <w:tcW w:w="0" w:type="auto"/>
            <w:shd w:val="clear" w:color="auto" w:fill="auto"/>
          </w:tcPr>
          <w:p w14:paraId="091B3FC5" w14:textId="77777777" w:rsidR="008C5CFA" w:rsidRPr="00BA47B4" w:rsidRDefault="00E82A60" w:rsidP="00300A01">
            <w:pPr>
              <w:spacing w:before="0" w:after="0"/>
              <w:jc w:val="right"/>
              <w:rPr>
                <w:sz w:val="12"/>
                <w:szCs w:val="12"/>
                <w:lang w:val="fr-BE"/>
              </w:rPr>
            </w:pPr>
            <w:r w:rsidRPr="00A92B39">
              <w:rPr>
                <w:noProof/>
                <w:sz w:val="10"/>
                <w:szCs w:val="10"/>
                <w:lang w:val="fr-BE"/>
              </w:rPr>
              <w:t>1 340,00</w:t>
            </w:r>
          </w:p>
        </w:tc>
      </w:tr>
      <w:tr w:rsidR="006B2EC1" w14:paraId="1B4DBA26" w14:textId="77777777" w:rsidTr="0047688D">
        <w:tc>
          <w:tcPr>
            <w:tcW w:w="0" w:type="auto"/>
            <w:shd w:val="clear" w:color="auto" w:fill="auto"/>
          </w:tcPr>
          <w:p w14:paraId="0535477B" w14:textId="77777777" w:rsidR="008C5CFA" w:rsidRPr="00BA47B4" w:rsidRDefault="00E82A60" w:rsidP="00300A01">
            <w:pPr>
              <w:spacing w:before="0" w:after="0"/>
              <w:rPr>
                <w:sz w:val="12"/>
                <w:szCs w:val="12"/>
                <w:lang w:val="fr-BE"/>
              </w:rPr>
            </w:pPr>
            <w:r>
              <w:rPr>
                <w:noProof/>
                <w:sz w:val="12"/>
                <w:szCs w:val="12"/>
                <w:lang w:val="fr-BE"/>
              </w:rPr>
              <w:t>CO08</w:t>
            </w:r>
          </w:p>
        </w:tc>
        <w:tc>
          <w:tcPr>
            <w:tcW w:w="0" w:type="auto"/>
            <w:shd w:val="clear" w:color="auto" w:fill="auto"/>
          </w:tcPr>
          <w:p w14:paraId="6803DCAC" w14:textId="77777777" w:rsidR="008C5CFA" w:rsidRPr="00BA47B4" w:rsidRDefault="00E82A60" w:rsidP="00300A01">
            <w:pPr>
              <w:spacing w:before="0" w:after="0"/>
              <w:rPr>
                <w:sz w:val="12"/>
                <w:szCs w:val="12"/>
                <w:lang w:val="fr-BE"/>
              </w:rPr>
            </w:pPr>
            <w:r>
              <w:rPr>
                <w:noProof/>
                <w:sz w:val="12"/>
                <w:szCs w:val="12"/>
                <w:lang w:val="fr-BE"/>
              </w:rPr>
              <w:t>osoby powyżej 54 lat, które są bezrobotne, łącznie z długotrwale bezrobotnymi, lub są bierne zawodowo i nie uczestniczą w kształceniu ani szkoleniu</w:t>
            </w:r>
          </w:p>
        </w:tc>
        <w:tc>
          <w:tcPr>
            <w:tcW w:w="0" w:type="auto"/>
            <w:shd w:val="clear" w:color="auto" w:fill="auto"/>
          </w:tcPr>
          <w:p w14:paraId="7735AC04" w14:textId="77777777" w:rsidR="008C5CFA" w:rsidRPr="00BA47B4" w:rsidRDefault="00E82A60"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14:paraId="6115071E" w14:textId="77777777" w:rsidR="008C5CFA" w:rsidRPr="00BA47B4" w:rsidRDefault="008C5CFA" w:rsidP="00300A01">
            <w:pPr>
              <w:spacing w:before="0" w:after="0"/>
              <w:jc w:val="right"/>
              <w:rPr>
                <w:sz w:val="12"/>
                <w:szCs w:val="12"/>
                <w:lang w:val="fr-BE"/>
              </w:rPr>
            </w:pPr>
          </w:p>
        </w:tc>
        <w:tc>
          <w:tcPr>
            <w:tcW w:w="0" w:type="auto"/>
            <w:shd w:val="clear" w:color="auto" w:fill="auto"/>
          </w:tcPr>
          <w:p w14:paraId="7EBEF8DD" w14:textId="77777777" w:rsidR="008C5CFA" w:rsidRPr="00BA47B4" w:rsidRDefault="008C5CFA" w:rsidP="00300A01">
            <w:pPr>
              <w:spacing w:before="0" w:after="0"/>
              <w:jc w:val="right"/>
              <w:rPr>
                <w:sz w:val="12"/>
                <w:szCs w:val="12"/>
                <w:lang w:val="fr-BE"/>
              </w:rPr>
            </w:pPr>
          </w:p>
        </w:tc>
        <w:tc>
          <w:tcPr>
            <w:tcW w:w="0" w:type="auto"/>
            <w:shd w:val="clear" w:color="auto" w:fill="auto"/>
          </w:tcPr>
          <w:p w14:paraId="7F5E36DC" w14:textId="77777777" w:rsidR="008C5CFA" w:rsidRPr="00BA47B4" w:rsidRDefault="008C5CFA" w:rsidP="00300A01">
            <w:pPr>
              <w:spacing w:before="0" w:after="0"/>
              <w:jc w:val="right"/>
              <w:rPr>
                <w:sz w:val="12"/>
                <w:szCs w:val="12"/>
                <w:lang w:val="fr-BE"/>
              </w:rPr>
            </w:pPr>
          </w:p>
        </w:tc>
        <w:tc>
          <w:tcPr>
            <w:tcW w:w="0" w:type="auto"/>
            <w:shd w:val="clear" w:color="auto" w:fill="auto"/>
          </w:tcPr>
          <w:p w14:paraId="5C6B8A6F" w14:textId="77777777" w:rsidR="008C5CFA" w:rsidRPr="00BA47B4" w:rsidRDefault="00E82A60" w:rsidP="00300A01">
            <w:pPr>
              <w:spacing w:before="0" w:after="0"/>
              <w:jc w:val="right"/>
              <w:rPr>
                <w:sz w:val="12"/>
                <w:szCs w:val="12"/>
                <w:lang w:val="fr-BE"/>
              </w:rPr>
            </w:pPr>
            <w:r w:rsidRPr="00BA47B4">
              <w:rPr>
                <w:noProof/>
                <w:sz w:val="12"/>
                <w:szCs w:val="12"/>
                <w:lang w:val="fr-BE"/>
              </w:rPr>
              <w:t>969,00</w:t>
            </w:r>
          </w:p>
        </w:tc>
        <w:tc>
          <w:tcPr>
            <w:tcW w:w="0" w:type="auto"/>
            <w:shd w:val="clear" w:color="auto" w:fill="auto"/>
          </w:tcPr>
          <w:p w14:paraId="24AAAF8C" w14:textId="77777777" w:rsidR="008C5CFA" w:rsidRPr="00BA47B4" w:rsidRDefault="00E82A60" w:rsidP="00300A01">
            <w:pPr>
              <w:spacing w:before="0" w:after="0"/>
              <w:jc w:val="right"/>
              <w:rPr>
                <w:sz w:val="12"/>
                <w:szCs w:val="12"/>
                <w:lang w:val="fr-BE"/>
              </w:rPr>
            </w:pPr>
            <w:r w:rsidRPr="00BA47B4">
              <w:rPr>
                <w:noProof/>
                <w:sz w:val="12"/>
                <w:szCs w:val="12"/>
                <w:lang w:val="fr-BE"/>
              </w:rPr>
              <w:t>308,00</w:t>
            </w:r>
          </w:p>
        </w:tc>
        <w:tc>
          <w:tcPr>
            <w:tcW w:w="0" w:type="auto"/>
            <w:shd w:val="clear" w:color="auto" w:fill="auto"/>
          </w:tcPr>
          <w:p w14:paraId="431D64ED" w14:textId="77777777" w:rsidR="008C5CFA" w:rsidRPr="00BA47B4" w:rsidRDefault="00E82A60" w:rsidP="00300A01">
            <w:pPr>
              <w:spacing w:before="0" w:after="0"/>
              <w:jc w:val="right"/>
              <w:rPr>
                <w:sz w:val="12"/>
                <w:szCs w:val="12"/>
                <w:lang w:val="fr-BE"/>
              </w:rPr>
            </w:pPr>
            <w:r w:rsidRPr="00BA47B4">
              <w:rPr>
                <w:noProof/>
                <w:sz w:val="12"/>
                <w:szCs w:val="12"/>
                <w:lang w:val="fr-BE"/>
              </w:rPr>
              <w:t>661,00</w:t>
            </w:r>
          </w:p>
        </w:tc>
        <w:tc>
          <w:tcPr>
            <w:tcW w:w="0" w:type="auto"/>
            <w:shd w:val="clear" w:color="auto" w:fill="auto"/>
          </w:tcPr>
          <w:p w14:paraId="59B5B47C" w14:textId="77777777" w:rsidR="008C5CFA" w:rsidRPr="00BA47B4" w:rsidRDefault="008C5CFA" w:rsidP="00300A01">
            <w:pPr>
              <w:spacing w:before="0" w:after="0"/>
              <w:jc w:val="right"/>
              <w:rPr>
                <w:sz w:val="12"/>
                <w:szCs w:val="12"/>
                <w:lang w:val="fr-BE"/>
              </w:rPr>
            </w:pPr>
          </w:p>
        </w:tc>
        <w:tc>
          <w:tcPr>
            <w:tcW w:w="0" w:type="auto"/>
            <w:shd w:val="clear" w:color="auto" w:fill="auto"/>
          </w:tcPr>
          <w:p w14:paraId="2AD9D177" w14:textId="77777777" w:rsidR="008C5CFA" w:rsidRPr="00BA47B4" w:rsidRDefault="008C5CFA" w:rsidP="00300A01">
            <w:pPr>
              <w:spacing w:before="0" w:after="0"/>
              <w:jc w:val="right"/>
              <w:rPr>
                <w:sz w:val="12"/>
                <w:szCs w:val="12"/>
                <w:lang w:val="fr-BE"/>
              </w:rPr>
            </w:pPr>
          </w:p>
        </w:tc>
        <w:tc>
          <w:tcPr>
            <w:tcW w:w="0" w:type="auto"/>
            <w:shd w:val="clear" w:color="auto" w:fill="auto"/>
          </w:tcPr>
          <w:p w14:paraId="01458299" w14:textId="77777777" w:rsidR="008C5CFA" w:rsidRPr="00BA47B4" w:rsidRDefault="008C5CFA" w:rsidP="00300A01">
            <w:pPr>
              <w:spacing w:before="0" w:after="0"/>
              <w:jc w:val="right"/>
              <w:rPr>
                <w:sz w:val="12"/>
                <w:szCs w:val="12"/>
                <w:lang w:val="fr-BE"/>
              </w:rPr>
            </w:pPr>
          </w:p>
        </w:tc>
        <w:tc>
          <w:tcPr>
            <w:tcW w:w="0" w:type="auto"/>
          </w:tcPr>
          <w:p w14:paraId="62AFDC2E" w14:textId="77777777" w:rsidR="008C5CFA" w:rsidRPr="00A92B39" w:rsidRDefault="00E82A60" w:rsidP="00300A01">
            <w:pPr>
              <w:spacing w:before="0" w:after="0"/>
              <w:jc w:val="right"/>
              <w:rPr>
                <w:sz w:val="10"/>
                <w:szCs w:val="10"/>
                <w:lang w:val="fr-BE"/>
              </w:rPr>
            </w:pPr>
            <w:r w:rsidRPr="00A92B39">
              <w:rPr>
                <w:noProof/>
                <w:sz w:val="10"/>
                <w:szCs w:val="10"/>
                <w:lang w:val="fr-BE"/>
              </w:rPr>
              <w:t>708,00</w:t>
            </w:r>
          </w:p>
        </w:tc>
        <w:tc>
          <w:tcPr>
            <w:tcW w:w="0" w:type="auto"/>
            <w:shd w:val="clear" w:color="auto" w:fill="auto"/>
          </w:tcPr>
          <w:p w14:paraId="0F9EBE30" w14:textId="77777777" w:rsidR="008C5CFA" w:rsidRPr="00A92B39" w:rsidRDefault="00E82A60" w:rsidP="00300A01">
            <w:pPr>
              <w:spacing w:before="0" w:after="0"/>
              <w:jc w:val="right"/>
              <w:rPr>
                <w:sz w:val="10"/>
                <w:szCs w:val="10"/>
                <w:lang w:val="fr-BE"/>
              </w:rPr>
            </w:pPr>
            <w:r w:rsidRPr="00A92B39">
              <w:rPr>
                <w:noProof/>
                <w:sz w:val="10"/>
                <w:szCs w:val="10"/>
                <w:lang w:val="fr-BE"/>
              </w:rPr>
              <w:t>229,00</w:t>
            </w:r>
          </w:p>
        </w:tc>
        <w:tc>
          <w:tcPr>
            <w:tcW w:w="0" w:type="auto"/>
            <w:shd w:val="clear" w:color="auto" w:fill="auto"/>
          </w:tcPr>
          <w:p w14:paraId="57F2DE79" w14:textId="77777777" w:rsidR="008C5CFA" w:rsidRPr="00BA47B4" w:rsidRDefault="00E82A60" w:rsidP="00300A01">
            <w:pPr>
              <w:spacing w:before="0" w:after="0"/>
              <w:jc w:val="right"/>
              <w:rPr>
                <w:sz w:val="12"/>
                <w:szCs w:val="12"/>
                <w:lang w:val="fr-BE"/>
              </w:rPr>
            </w:pPr>
            <w:r w:rsidRPr="00A92B39">
              <w:rPr>
                <w:noProof/>
                <w:sz w:val="10"/>
                <w:szCs w:val="10"/>
                <w:lang w:val="fr-BE"/>
              </w:rPr>
              <w:t>479,00</w:t>
            </w:r>
          </w:p>
        </w:tc>
      </w:tr>
      <w:tr w:rsidR="006B2EC1" w14:paraId="7E44A766" w14:textId="77777777" w:rsidTr="0047688D">
        <w:tc>
          <w:tcPr>
            <w:tcW w:w="0" w:type="auto"/>
            <w:shd w:val="clear" w:color="auto" w:fill="auto"/>
          </w:tcPr>
          <w:p w14:paraId="0FEB16C1" w14:textId="77777777" w:rsidR="008C5CFA" w:rsidRPr="00BA47B4" w:rsidRDefault="00E82A60" w:rsidP="00300A01">
            <w:pPr>
              <w:spacing w:before="0" w:after="0"/>
              <w:rPr>
                <w:sz w:val="12"/>
                <w:szCs w:val="12"/>
                <w:lang w:val="fr-BE"/>
              </w:rPr>
            </w:pPr>
            <w:r>
              <w:rPr>
                <w:noProof/>
                <w:sz w:val="12"/>
                <w:szCs w:val="12"/>
                <w:lang w:val="fr-BE"/>
              </w:rPr>
              <w:t>CO09</w:t>
            </w:r>
          </w:p>
        </w:tc>
        <w:tc>
          <w:tcPr>
            <w:tcW w:w="0" w:type="auto"/>
            <w:shd w:val="clear" w:color="auto" w:fill="auto"/>
          </w:tcPr>
          <w:p w14:paraId="48D4A083" w14:textId="77777777" w:rsidR="008C5CFA" w:rsidRPr="00BA47B4" w:rsidRDefault="00E82A60" w:rsidP="00300A01">
            <w:pPr>
              <w:spacing w:before="0" w:after="0"/>
              <w:rPr>
                <w:sz w:val="12"/>
                <w:szCs w:val="12"/>
                <w:lang w:val="fr-BE"/>
              </w:rPr>
            </w:pPr>
            <w:r>
              <w:rPr>
                <w:noProof/>
                <w:sz w:val="12"/>
                <w:szCs w:val="12"/>
                <w:lang w:val="fr-BE"/>
              </w:rPr>
              <w:t>osoby z wykształceniem podstawowym (ISCED 1) lub średnim I stopnia (ISCED 2)</w:t>
            </w:r>
          </w:p>
        </w:tc>
        <w:tc>
          <w:tcPr>
            <w:tcW w:w="0" w:type="auto"/>
            <w:shd w:val="clear" w:color="auto" w:fill="auto"/>
          </w:tcPr>
          <w:p w14:paraId="201E967C" w14:textId="77777777" w:rsidR="008C5CFA" w:rsidRPr="00BA47B4" w:rsidRDefault="00E82A60"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14:paraId="507FE52B" w14:textId="77777777" w:rsidR="008C5CFA" w:rsidRPr="00BA47B4" w:rsidRDefault="008C5CFA" w:rsidP="00300A01">
            <w:pPr>
              <w:spacing w:before="0" w:after="0"/>
              <w:jc w:val="right"/>
              <w:rPr>
                <w:sz w:val="12"/>
                <w:szCs w:val="12"/>
                <w:lang w:val="fr-BE"/>
              </w:rPr>
            </w:pPr>
          </w:p>
        </w:tc>
        <w:tc>
          <w:tcPr>
            <w:tcW w:w="0" w:type="auto"/>
            <w:shd w:val="clear" w:color="auto" w:fill="auto"/>
          </w:tcPr>
          <w:p w14:paraId="55877F75" w14:textId="77777777" w:rsidR="008C5CFA" w:rsidRPr="00BA47B4" w:rsidRDefault="008C5CFA" w:rsidP="00300A01">
            <w:pPr>
              <w:spacing w:before="0" w:after="0"/>
              <w:jc w:val="right"/>
              <w:rPr>
                <w:sz w:val="12"/>
                <w:szCs w:val="12"/>
                <w:lang w:val="fr-BE"/>
              </w:rPr>
            </w:pPr>
          </w:p>
        </w:tc>
        <w:tc>
          <w:tcPr>
            <w:tcW w:w="0" w:type="auto"/>
            <w:shd w:val="clear" w:color="auto" w:fill="auto"/>
          </w:tcPr>
          <w:p w14:paraId="4A31875E" w14:textId="77777777" w:rsidR="008C5CFA" w:rsidRPr="00BA47B4" w:rsidRDefault="008C5CFA" w:rsidP="00300A01">
            <w:pPr>
              <w:spacing w:before="0" w:after="0"/>
              <w:jc w:val="right"/>
              <w:rPr>
                <w:sz w:val="12"/>
                <w:szCs w:val="12"/>
                <w:lang w:val="fr-BE"/>
              </w:rPr>
            </w:pPr>
          </w:p>
        </w:tc>
        <w:tc>
          <w:tcPr>
            <w:tcW w:w="0" w:type="auto"/>
            <w:shd w:val="clear" w:color="auto" w:fill="auto"/>
          </w:tcPr>
          <w:p w14:paraId="6922EF26" w14:textId="77777777" w:rsidR="008C5CFA" w:rsidRPr="00BA47B4" w:rsidRDefault="00E82A60" w:rsidP="00300A01">
            <w:pPr>
              <w:spacing w:before="0" w:after="0"/>
              <w:jc w:val="right"/>
              <w:rPr>
                <w:sz w:val="12"/>
                <w:szCs w:val="12"/>
                <w:lang w:val="fr-BE"/>
              </w:rPr>
            </w:pPr>
            <w:r w:rsidRPr="00BA47B4">
              <w:rPr>
                <w:noProof/>
                <w:sz w:val="12"/>
                <w:szCs w:val="12"/>
                <w:lang w:val="fr-BE"/>
              </w:rPr>
              <w:t>858,00</w:t>
            </w:r>
          </w:p>
        </w:tc>
        <w:tc>
          <w:tcPr>
            <w:tcW w:w="0" w:type="auto"/>
            <w:shd w:val="clear" w:color="auto" w:fill="auto"/>
          </w:tcPr>
          <w:p w14:paraId="7C3D6203" w14:textId="77777777" w:rsidR="008C5CFA" w:rsidRPr="00BA47B4" w:rsidRDefault="00E82A60" w:rsidP="00300A01">
            <w:pPr>
              <w:spacing w:before="0" w:after="0"/>
              <w:jc w:val="right"/>
              <w:rPr>
                <w:sz w:val="12"/>
                <w:szCs w:val="12"/>
                <w:lang w:val="fr-BE"/>
              </w:rPr>
            </w:pPr>
            <w:r w:rsidRPr="00BA47B4">
              <w:rPr>
                <w:noProof/>
                <w:sz w:val="12"/>
                <w:szCs w:val="12"/>
                <w:lang w:val="fr-BE"/>
              </w:rPr>
              <w:t>332,00</w:t>
            </w:r>
          </w:p>
        </w:tc>
        <w:tc>
          <w:tcPr>
            <w:tcW w:w="0" w:type="auto"/>
            <w:shd w:val="clear" w:color="auto" w:fill="auto"/>
          </w:tcPr>
          <w:p w14:paraId="59E60BCB" w14:textId="77777777" w:rsidR="008C5CFA" w:rsidRPr="00BA47B4" w:rsidRDefault="00E82A60" w:rsidP="00300A01">
            <w:pPr>
              <w:spacing w:before="0" w:after="0"/>
              <w:jc w:val="right"/>
              <w:rPr>
                <w:sz w:val="12"/>
                <w:szCs w:val="12"/>
                <w:lang w:val="fr-BE"/>
              </w:rPr>
            </w:pPr>
            <w:r w:rsidRPr="00BA47B4">
              <w:rPr>
                <w:noProof/>
                <w:sz w:val="12"/>
                <w:szCs w:val="12"/>
                <w:lang w:val="fr-BE"/>
              </w:rPr>
              <w:t>526,00</w:t>
            </w:r>
          </w:p>
        </w:tc>
        <w:tc>
          <w:tcPr>
            <w:tcW w:w="0" w:type="auto"/>
            <w:shd w:val="clear" w:color="auto" w:fill="auto"/>
          </w:tcPr>
          <w:p w14:paraId="695F4A94" w14:textId="77777777" w:rsidR="008C5CFA" w:rsidRPr="00BA47B4" w:rsidRDefault="008C5CFA" w:rsidP="00300A01">
            <w:pPr>
              <w:spacing w:before="0" w:after="0"/>
              <w:jc w:val="right"/>
              <w:rPr>
                <w:sz w:val="12"/>
                <w:szCs w:val="12"/>
                <w:lang w:val="fr-BE"/>
              </w:rPr>
            </w:pPr>
          </w:p>
        </w:tc>
        <w:tc>
          <w:tcPr>
            <w:tcW w:w="0" w:type="auto"/>
            <w:shd w:val="clear" w:color="auto" w:fill="auto"/>
          </w:tcPr>
          <w:p w14:paraId="07BCF5D2" w14:textId="77777777" w:rsidR="008C5CFA" w:rsidRPr="00BA47B4" w:rsidRDefault="008C5CFA" w:rsidP="00300A01">
            <w:pPr>
              <w:spacing w:before="0" w:after="0"/>
              <w:jc w:val="right"/>
              <w:rPr>
                <w:sz w:val="12"/>
                <w:szCs w:val="12"/>
                <w:lang w:val="fr-BE"/>
              </w:rPr>
            </w:pPr>
          </w:p>
        </w:tc>
        <w:tc>
          <w:tcPr>
            <w:tcW w:w="0" w:type="auto"/>
            <w:shd w:val="clear" w:color="auto" w:fill="auto"/>
          </w:tcPr>
          <w:p w14:paraId="772F3BE6" w14:textId="77777777" w:rsidR="008C5CFA" w:rsidRPr="00BA47B4" w:rsidRDefault="008C5CFA" w:rsidP="00300A01">
            <w:pPr>
              <w:spacing w:before="0" w:after="0"/>
              <w:jc w:val="right"/>
              <w:rPr>
                <w:sz w:val="12"/>
                <w:szCs w:val="12"/>
                <w:lang w:val="fr-BE"/>
              </w:rPr>
            </w:pPr>
          </w:p>
        </w:tc>
        <w:tc>
          <w:tcPr>
            <w:tcW w:w="0" w:type="auto"/>
          </w:tcPr>
          <w:p w14:paraId="6A19D2C0" w14:textId="77777777" w:rsidR="008C5CFA" w:rsidRPr="00A92B39" w:rsidRDefault="00E82A60" w:rsidP="00300A01">
            <w:pPr>
              <w:spacing w:before="0" w:after="0"/>
              <w:jc w:val="right"/>
              <w:rPr>
                <w:sz w:val="10"/>
                <w:szCs w:val="10"/>
                <w:lang w:val="fr-BE"/>
              </w:rPr>
            </w:pPr>
            <w:r w:rsidRPr="00A92B39">
              <w:rPr>
                <w:noProof/>
                <w:sz w:val="10"/>
                <w:szCs w:val="10"/>
                <w:lang w:val="fr-BE"/>
              </w:rPr>
              <w:t>577,00</w:t>
            </w:r>
          </w:p>
        </w:tc>
        <w:tc>
          <w:tcPr>
            <w:tcW w:w="0" w:type="auto"/>
            <w:shd w:val="clear" w:color="auto" w:fill="auto"/>
          </w:tcPr>
          <w:p w14:paraId="7BB6F4AD" w14:textId="77777777" w:rsidR="008C5CFA" w:rsidRPr="00A92B39" w:rsidRDefault="00E82A60" w:rsidP="00300A01">
            <w:pPr>
              <w:spacing w:before="0" w:after="0"/>
              <w:jc w:val="right"/>
              <w:rPr>
                <w:sz w:val="10"/>
                <w:szCs w:val="10"/>
                <w:lang w:val="fr-BE"/>
              </w:rPr>
            </w:pPr>
            <w:r w:rsidRPr="00A92B39">
              <w:rPr>
                <w:noProof/>
                <w:sz w:val="10"/>
                <w:szCs w:val="10"/>
                <w:lang w:val="fr-BE"/>
              </w:rPr>
              <w:t>233,00</w:t>
            </w:r>
          </w:p>
        </w:tc>
        <w:tc>
          <w:tcPr>
            <w:tcW w:w="0" w:type="auto"/>
            <w:shd w:val="clear" w:color="auto" w:fill="auto"/>
          </w:tcPr>
          <w:p w14:paraId="34D58463" w14:textId="77777777" w:rsidR="008C5CFA" w:rsidRPr="00BA47B4" w:rsidRDefault="00E82A60" w:rsidP="00300A01">
            <w:pPr>
              <w:spacing w:before="0" w:after="0"/>
              <w:jc w:val="right"/>
              <w:rPr>
                <w:sz w:val="12"/>
                <w:szCs w:val="12"/>
                <w:lang w:val="fr-BE"/>
              </w:rPr>
            </w:pPr>
            <w:r w:rsidRPr="00A92B39">
              <w:rPr>
                <w:noProof/>
                <w:sz w:val="10"/>
                <w:szCs w:val="10"/>
                <w:lang w:val="fr-BE"/>
              </w:rPr>
              <w:t>344,00</w:t>
            </w:r>
          </w:p>
        </w:tc>
      </w:tr>
      <w:tr w:rsidR="006B2EC1" w14:paraId="6140975E" w14:textId="77777777" w:rsidTr="0047688D">
        <w:tc>
          <w:tcPr>
            <w:tcW w:w="0" w:type="auto"/>
            <w:shd w:val="clear" w:color="auto" w:fill="auto"/>
          </w:tcPr>
          <w:p w14:paraId="2AD6E14D" w14:textId="77777777" w:rsidR="008C5CFA" w:rsidRPr="00BA47B4" w:rsidRDefault="00E82A60" w:rsidP="00300A01">
            <w:pPr>
              <w:spacing w:before="0" w:after="0"/>
              <w:rPr>
                <w:sz w:val="12"/>
                <w:szCs w:val="12"/>
                <w:lang w:val="fr-BE"/>
              </w:rPr>
            </w:pPr>
            <w:r>
              <w:rPr>
                <w:noProof/>
                <w:sz w:val="12"/>
                <w:szCs w:val="12"/>
                <w:lang w:val="fr-BE"/>
              </w:rPr>
              <w:t>CO10</w:t>
            </w:r>
          </w:p>
        </w:tc>
        <w:tc>
          <w:tcPr>
            <w:tcW w:w="0" w:type="auto"/>
            <w:shd w:val="clear" w:color="auto" w:fill="auto"/>
          </w:tcPr>
          <w:p w14:paraId="108E1A85" w14:textId="77777777" w:rsidR="008C5CFA" w:rsidRPr="00BA47B4" w:rsidRDefault="00E82A60" w:rsidP="00300A01">
            <w:pPr>
              <w:spacing w:before="0" w:after="0"/>
              <w:rPr>
                <w:sz w:val="12"/>
                <w:szCs w:val="12"/>
                <w:lang w:val="fr-BE"/>
              </w:rPr>
            </w:pPr>
            <w:r>
              <w:rPr>
                <w:noProof/>
                <w:sz w:val="12"/>
                <w:szCs w:val="12"/>
                <w:lang w:val="fr-BE"/>
              </w:rPr>
              <w:t>osoby z wykształceniem średnim II stopnia (ISCED 3) lub policealnym (ISCED 4)</w:t>
            </w:r>
          </w:p>
        </w:tc>
        <w:tc>
          <w:tcPr>
            <w:tcW w:w="0" w:type="auto"/>
            <w:shd w:val="clear" w:color="auto" w:fill="auto"/>
          </w:tcPr>
          <w:p w14:paraId="369C2819" w14:textId="77777777" w:rsidR="008C5CFA" w:rsidRPr="00BA47B4" w:rsidRDefault="00E82A60"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14:paraId="1FBB215F" w14:textId="77777777" w:rsidR="008C5CFA" w:rsidRPr="00BA47B4" w:rsidRDefault="008C5CFA" w:rsidP="00300A01">
            <w:pPr>
              <w:spacing w:before="0" w:after="0"/>
              <w:jc w:val="right"/>
              <w:rPr>
                <w:sz w:val="12"/>
                <w:szCs w:val="12"/>
                <w:lang w:val="fr-BE"/>
              </w:rPr>
            </w:pPr>
          </w:p>
        </w:tc>
        <w:tc>
          <w:tcPr>
            <w:tcW w:w="0" w:type="auto"/>
            <w:shd w:val="clear" w:color="auto" w:fill="auto"/>
          </w:tcPr>
          <w:p w14:paraId="68FC0EA1" w14:textId="77777777" w:rsidR="008C5CFA" w:rsidRPr="00BA47B4" w:rsidRDefault="008C5CFA" w:rsidP="00300A01">
            <w:pPr>
              <w:spacing w:before="0" w:after="0"/>
              <w:jc w:val="right"/>
              <w:rPr>
                <w:sz w:val="12"/>
                <w:szCs w:val="12"/>
                <w:lang w:val="fr-BE"/>
              </w:rPr>
            </w:pPr>
          </w:p>
        </w:tc>
        <w:tc>
          <w:tcPr>
            <w:tcW w:w="0" w:type="auto"/>
            <w:shd w:val="clear" w:color="auto" w:fill="auto"/>
          </w:tcPr>
          <w:p w14:paraId="28CA1D84" w14:textId="77777777" w:rsidR="008C5CFA" w:rsidRPr="00BA47B4" w:rsidRDefault="008C5CFA" w:rsidP="00300A01">
            <w:pPr>
              <w:spacing w:before="0" w:after="0"/>
              <w:jc w:val="right"/>
              <w:rPr>
                <w:sz w:val="12"/>
                <w:szCs w:val="12"/>
                <w:lang w:val="fr-BE"/>
              </w:rPr>
            </w:pPr>
          </w:p>
        </w:tc>
        <w:tc>
          <w:tcPr>
            <w:tcW w:w="0" w:type="auto"/>
            <w:shd w:val="clear" w:color="auto" w:fill="auto"/>
          </w:tcPr>
          <w:p w14:paraId="6CDB216C" w14:textId="77777777" w:rsidR="008C5CFA" w:rsidRPr="00BA47B4" w:rsidRDefault="00E82A60" w:rsidP="00300A01">
            <w:pPr>
              <w:spacing w:before="0" w:after="0"/>
              <w:jc w:val="right"/>
              <w:rPr>
                <w:sz w:val="12"/>
                <w:szCs w:val="12"/>
                <w:lang w:val="fr-BE"/>
              </w:rPr>
            </w:pPr>
            <w:r w:rsidRPr="00BA47B4">
              <w:rPr>
                <w:noProof/>
                <w:sz w:val="12"/>
                <w:szCs w:val="12"/>
                <w:lang w:val="fr-BE"/>
              </w:rPr>
              <w:t>6 037,00</w:t>
            </w:r>
          </w:p>
        </w:tc>
        <w:tc>
          <w:tcPr>
            <w:tcW w:w="0" w:type="auto"/>
            <w:shd w:val="clear" w:color="auto" w:fill="auto"/>
          </w:tcPr>
          <w:p w14:paraId="2D9E2F96" w14:textId="77777777" w:rsidR="008C5CFA" w:rsidRPr="00BA47B4" w:rsidRDefault="00E82A60" w:rsidP="00300A01">
            <w:pPr>
              <w:spacing w:before="0" w:after="0"/>
              <w:jc w:val="right"/>
              <w:rPr>
                <w:sz w:val="12"/>
                <w:szCs w:val="12"/>
                <w:lang w:val="fr-BE"/>
              </w:rPr>
            </w:pPr>
            <w:r w:rsidRPr="00BA47B4">
              <w:rPr>
                <w:noProof/>
                <w:sz w:val="12"/>
                <w:szCs w:val="12"/>
                <w:lang w:val="fr-BE"/>
              </w:rPr>
              <w:t>1 624,00</w:t>
            </w:r>
          </w:p>
        </w:tc>
        <w:tc>
          <w:tcPr>
            <w:tcW w:w="0" w:type="auto"/>
            <w:shd w:val="clear" w:color="auto" w:fill="auto"/>
          </w:tcPr>
          <w:p w14:paraId="28945101" w14:textId="77777777" w:rsidR="008C5CFA" w:rsidRPr="00BA47B4" w:rsidRDefault="00E82A60" w:rsidP="00300A01">
            <w:pPr>
              <w:spacing w:before="0" w:after="0"/>
              <w:jc w:val="right"/>
              <w:rPr>
                <w:sz w:val="12"/>
                <w:szCs w:val="12"/>
                <w:lang w:val="fr-BE"/>
              </w:rPr>
            </w:pPr>
            <w:r w:rsidRPr="00BA47B4">
              <w:rPr>
                <w:noProof/>
                <w:sz w:val="12"/>
                <w:szCs w:val="12"/>
                <w:lang w:val="fr-BE"/>
              </w:rPr>
              <w:t>4 413,00</w:t>
            </w:r>
          </w:p>
        </w:tc>
        <w:tc>
          <w:tcPr>
            <w:tcW w:w="0" w:type="auto"/>
            <w:shd w:val="clear" w:color="auto" w:fill="auto"/>
          </w:tcPr>
          <w:p w14:paraId="5CF46017" w14:textId="77777777" w:rsidR="008C5CFA" w:rsidRPr="00BA47B4" w:rsidRDefault="008C5CFA" w:rsidP="00300A01">
            <w:pPr>
              <w:spacing w:before="0" w:after="0"/>
              <w:jc w:val="right"/>
              <w:rPr>
                <w:sz w:val="12"/>
                <w:szCs w:val="12"/>
                <w:lang w:val="fr-BE"/>
              </w:rPr>
            </w:pPr>
          </w:p>
        </w:tc>
        <w:tc>
          <w:tcPr>
            <w:tcW w:w="0" w:type="auto"/>
            <w:shd w:val="clear" w:color="auto" w:fill="auto"/>
          </w:tcPr>
          <w:p w14:paraId="26172C32" w14:textId="77777777" w:rsidR="008C5CFA" w:rsidRPr="00BA47B4" w:rsidRDefault="008C5CFA" w:rsidP="00300A01">
            <w:pPr>
              <w:spacing w:before="0" w:after="0"/>
              <w:jc w:val="right"/>
              <w:rPr>
                <w:sz w:val="12"/>
                <w:szCs w:val="12"/>
                <w:lang w:val="fr-BE"/>
              </w:rPr>
            </w:pPr>
          </w:p>
        </w:tc>
        <w:tc>
          <w:tcPr>
            <w:tcW w:w="0" w:type="auto"/>
            <w:shd w:val="clear" w:color="auto" w:fill="auto"/>
          </w:tcPr>
          <w:p w14:paraId="62074BD6" w14:textId="77777777" w:rsidR="008C5CFA" w:rsidRPr="00BA47B4" w:rsidRDefault="008C5CFA" w:rsidP="00300A01">
            <w:pPr>
              <w:spacing w:before="0" w:after="0"/>
              <w:jc w:val="right"/>
              <w:rPr>
                <w:sz w:val="12"/>
                <w:szCs w:val="12"/>
                <w:lang w:val="fr-BE"/>
              </w:rPr>
            </w:pPr>
          </w:p>
        </w:tc>
        <w:tc>
          <w:tcPr>
            <w:tcW w:w="0" w:type="auto"/>
          </w:tcPr>
          <w:p w14:paraId="4CF52A22" w14:textId="77777777" w:rsidR="008C5CFA" w:rsidRPr="00A92B39" w:rsidRDefault="00E82A60" w:rsidP="00300A01">
            <w:pPr>
              <w:spacing w:before="0" w:after="0"/>
              <w:jc w:val="right"/>
              <w:rPr>
                <w:sz w:val="10"/>
                <w:szCs w:val="10"/>
                <w:lang w:val="fr-BE"/>
              </w:rPr>
            </w:pPr>
            <w:r w:rsidRPr="00A92B39">
              <w:rPr>
                <w:noProof/>
                <w:sz w:val="10"/>
                <w:szCs w:val="10"/>
                <w:lang w:val="fr-BE"/>
              </w:rPr>
              <w:t>3 406,00</w:t>
            </w:r>
          </w:p>
        </w:tc>
        <w:tc>
          <w:tcPr>
            <w:tcW w:w="0" w:type="auto"/>
            <w:shd w:val="clear" w:color="auto" w:fill="auto"/>
          </w:tcPr>
          <w:p w14:paraId="745E2893" w14:textId="77777777" w:rsidR="008C5CFA" w:rsidRPr="00A92B39" w:rsidRDefault="00E82A60" w:rsidP="00300A01">
            <w:pPr>
              <w:spacing w:before="0" w:after="0"/>
              <w:jc w:val="right"/>
              <w:rPr>
                <w:sz w:val="10"/>
                <w:szCs w:val="10"/>
                <w:lang w:val="fr-BE"/>
              </w:rPr>
            </w:pPr>
            <w:r w:rsidRPr="00A92B39">
              <w:rPr>
                <w:noProof/>
                <w:sz w:val="10"/>
                <w:szCs w:val="10"/>
                <w:lang w:val="fr-BE"/>
              </w:rPr>
              <w:t>921,00</w:t>
            </w:r>
          </w:p>
        </w:tc>
        <w:tc>
          <w:tcPr>
            <w:tcW w:w="0" w:type="auto"/>
            <w:shd w:val="clear" w:color="auto" w:fill="auto"/>
          </w:tcPr>
          <w:p w14:paraId="5B478184" w14:textId="77777777" w:rsidR="008C5CFA" w:rsidRPr="00BA47B4" w:rsidRDefault="00E82A60" w:rsidP="00300A01">
            <w:pPr>
              <w:spacing w:before="0" w:after="0"/>
              <w:jc w:val="right"/>
              <w:rPr>
                <w:sz w:val="12"/>
                <w:szCs w:val="12"/>
                <w:lang w:val="fr-BE"/>
              </w:rPr>
            </w:pPr>
            <w:r w:rsidRPr="00A92B39">
              <w:rPr>
                <w:noProof/>
                <w:sz w:val="10"/>
                <w:szCs w:val="10"/>
                <w:lang w:val="fr-BE"/>
              </w:rPr>
              <w:t>2 485,00</w:t>
            </w:r>
          </w:p>
        </w:tc>
      </w:tr>
      <w:tr w:rsidR="006B2EC1" w14:paraId="2F652CE6" w14:textId="77777777" w:rsidTr="0047688D">
        <w:tc>
          <w:tcPr>
            <w:tcW w:w="0" w:type="auto"/>
            <w:shd w:val="clear" w:color="auto" w:fill="auto"/>
          </w:tcPr>
          <w:p w14:paraId="05FBD901" w14:textId="77777777" w:rsidR="008C5CFA" w:rsidRPr="00BA47B4" w:rsidRDefault="00E82A60" w:rsidP="00300A01">
            <w:pPr>
              <w:spacing w:before="0" w:after="0"/>
              <w:rPr>
                <w:sz w:val="12"/>
                <w:szCs w:val="12"/>
                <w:lang w:val="fr-BE"/>
              </w:rPr>
            </w:pPr>
            <w:r>
              <w:rPr>
                <w:noProof/>
                <w:sz w:val="12"/>
                <w:szCs w:val="12"/>
                <w:lang w:val="fr-BE"/>
              </w:rPr>
              <w:t>CO11</w:t>
            </w:r>
          </w:p>
        </w:tc>
        <w:tc>
          <w:tcPr>
            <w:tcW w:w="0" w:type="auto"/>
            <w:shd w:val="clear" w:color="auto" w:fill="auto"/>
          </w:tcPr>
          <w:p w14:paraId="29C0A566" w14:textId="77777777" w:rsidR="008C5CFA" w:rsidRPr="00BA47B4" w:rsidRDefault="00E82A60" w:rsidP="00300A01">
            <w:pPr>
              <w:spacing w:before="0" w:after="0"/>
              <w:rPr>
                <w:sz w:val="12"/>
                <w:szCs w:val="12"/>
                <w:lang w:val="fr-BE"/>
              </w:rPr>
            </w:pPr>
            <w:r>
              <w:rPr>
                <w:noProof/>
                <w:sz w:val="12"/>
                <w:szCs w:val="12"/>
                <w:lang w:val="fr-BE"/>
              </w:rPr>
              <w:t>osoby z wykształceniem wyższym (ISCED 5 do 8)</w:t>
            </w:r>
          </w:p>
        </w:tc>
        <w:tc>
          <w:tcPr>
            <w:tcW w:w="0" w:type="auto"/>
            <w:shd w:val="clear" w:color="auto" w:fill="auto"/>
          </w:tcPr>
          <w:p w14:paraId="5E961012" w14:textId="77777777" w:rsidR="008C5CFA" w:rsidRPr="00BA47B4" w:rsidRDefault="00E82A60"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14:paraId="3DF37076" w14:textId="77777777" w:rsidR="008C5CFA" w:rsidRPr="00BA47B4" w:rsidRDefault="008C5CFA" w:rsidP="00300A01">
            <w:pPr>
              <w:spacing w:before="0" w:after="0"/>
              <w:jc w:val="right"/>
              <w:rPr>
                <w:sz w:val="12"/>
                <w:szCs w:val="12"/>
                <w:lang w:val="fr-BE"/>
              </w:rPr>
            </w:pPr>
          </w:p>
        </w:tc>
        <w:tc>
          <w:tcPr>
            <w:tcW w:w="0" w:type="auto"/>
            <w:shd w:val="clear" w:color="auto" w:fill="auto"/>
          </w:tcPr>
          <w:p w14:paraId="3F2E2440" w14:textId="77777777" w:rsidR="008C5CFA" w:rsidRPr="00BA47B4" w:rsidRDefault="008C5CFA" w:rsidP="00300A01">
            <w:pPr>
              <w:spacing w:before="0" w:after="0"/>
              <w:jc w:val="right"/>
              <w:rPr>
                <w:sz w:val="12"/>
                <w:szCs w:val="12"/>
                <w:lang w:val="fr-BE"/>
              </w:rPr>
            </w:pPr>
          </w:p>
        </w:tc>
        <w:tc>
          <w:tcPr>
            <w:tcW w:w="0" w:type="auto"/>
            <w:shd w:val="clear" w:color="auto" w:fill="auto"/>
          </w:tcPr>
          <w:p w14:paraId="68318CBB" w14:textId="77777777" w:rsidR="008C5CFA" w:rsidRPr="00BA47B4" w:rsidRDefault="008C5CFA" w:rsidP="00300A01">
            <w:pPr>
              <w:spacing w:before="0" w:after="0"/>
              <w:jc w:val="right"/>
              <w:rPr>
                <w:sz w:val="12"/>
                <w:szCs w:val="12"/>
                <w:lang w:val="fr-BE"/>
              </w:rPr>
            </w:pPr>
          </w:p>
        </w:tc>
        <w:tc>
          <w:tcPr>
            <w:tcW w:w="0" w:type="auto"/>
            <w:shd w:val="clear" w:color="auto" w:fill="auto"/>
          </w:tcPr>
          <w:p w14:paraId="4FF0C7D6" w14:textId="77777777" w:rsidR="008C5CFA" w:rsidRPr="00BA47B4" w:rsidRDefault="00E82A60" w:rsidP="00300A01">
            <w:pPr>
              <w:spacing w:before="0" w:after="0"/>
              <w:jc w:val="right"/>
              <w:rPr>
                <w:sz w:val="12"/>
                <w:szCs w:val="12"/>
                <w:lang w:val="fr-BE"/>
              </w:rPr>
            </w:pPr>
            <w:r w:rsidRPr="00BA47B4">
              <w:rPr>
                <w:noProof/>
                <w:sz w:val="12"/>
                <w:szCs w:val="12"/>
                <w:lang w:val="fr-BE"/>
              </w:rPr>
              <w:t>514,00</w:t>
            </w:r>
          </w:p>
        </w:tc>
        <w:tc>
          <w:tcPr>
            <w:tcW w:w="0" w:type="auto"/>
            <w:shd w:val="clear" w:color="auto" w:fill="auto"/>
          </w:tcPr>
          <w:p w14:paraId="632F37C7" w14:textId="77777777" w:rsidR="008C5CFA" w:rsidRPr="00BA47B4" w:rsidRDefault="00E82A60" w:rsidP="00300A01">
            <w:pPr>
              <w:spacing w:before="0" w:after="0"/>
              <w:jc w:val="right"/>
              <w:rPr>
                <w:sz w:val="12"/>
                <w:szCs w:val="12"/>
                <w:lang w:val="fr-BE"/>
              </w:rPr>
            </w:pPr>
            <w:r w:rsidRPr="00BA47B4">
              <w:rPr>
                <w:noProof/>
                <w:sz w:val="12"/>
                <w:szCs w:val="12"/>
                <w:lang w:val="fr-BE"/>
              </w:rPr>
              <w:t>113,00</w:t>
            </w:r>
          </w:p>
        </w:tc>
        <w:tc>
          <w:tcPr>
            <w:tcW w:w="0" w:type="auto"/>
            <w:shd w:val="clear" w:color="auto" w:fill="auto"/>
          </w:tcPr>
          <w:p w14:paraId="257BC1BC" w14:textId="77777777" w:rsidR="008C5CFA" w:rsidRPr="00BA47B4" w:rsidRDefault="00E82A60" w:rsidP="00300A01">
            <w:pPr>
              <w:spacing w:before="0" w:after="0"/>
              <w:jc w:val="right"/>
              <w:rPr>
                <w:sz w:val="12"/>
                <w:szCs w:val="12"/>
                <w:lang w:val="fr-BE"/>
              </w:rPr>
            </w:pPr>
            <w:r w:rsidRPr="00BA47B4">
              <w:rPr>
                <w:noProof/>
                <w:sz w:val="12"/>
                <w:szCs w:val="12"/>
                <w:lang w:val="fr-BE"/>
              </w:rPr>
              <w:t>401,00</w:t>
            </w:r>
          </w:p>
        </w:tc>
        <w:tc>
          <w:tcPr>
            <w:tcW w:w="0" w:type="auto"/>
            <w:shd w:val="clear" w:color="auto" w:fill="auto"/>
          </w:tcPr>
          <w:p w14:paraId="17C4071E" w14:textId="77777777" w:rsidR="008C5CFA" w:rsidRPr="00BA47B4" w:rsidRDefault="008C5CFA" w:rsidP="00300A01">
            <w:pPr>
              <w:spacing w:before="0" w:after="0"/>
              <w:jc w:val="right"/>
              <w:rPr>
                <w:sz w:val="12"/>
                <w:szCs w:val="12"/>
                <w:lang w:val="fr-BE"/>
              </w:rPr>
            </w:pPr>
          </w:p>
        </w:tc>
        <w:tc>
          <w:tcPr>
            <w:tcW w:w="0" w:type="auto"/>
            <w:shd w:val="clear" w:color="auto" w:fill="auto"/>
          </w:tcPr>
          <w:p w14:paraId="5651B7C1" w14:textId="77777777" w:rsidR="008C5CFA" w:rsidRPr="00BA47B4" w:rsidRDefault="008C5CFA" w:rsidP="00300A01">
            <w:pPr>
              <w:spacing w:before="0" w:after="0"/>
              <w:jc w:val="right"/>
              <w:rPr>
                <w:sz w:val="12"/>
                <w:szCs w:val="12"/>
                <w:lang w:val="fr-BE"/>
              </w:rPr>
            </w:pPr>
          </w:p>
        </w:tc>
        <w:tc>
          <w:tcPr>
            <w:tcW w:w="0" w:type="auto"/>
            <w:shd w:val="clear" w:color="auto" w:fill="auto"/>
          </w:tcPr>
          <w:p w14:paraId="18034740" w14:textId="77777777" w:rsidR="008C5CFA" w:rsidRPr="00BA47B4" w:rsidRDefault="008C5CFA" w:rsidP="00300A01">
            <w:pPr>
              <w:spacing w:before="0" w:after="0"/>
              <w:jc w:val="right"/>
              <w:rPr>
                <w:sz w:val="12"/>
                <w:szCs w:val="12"/>
                <w:lang w:val="fr-BE"/>
              </w:rPr>
            </w:pPr>
          </w:p>
        </w:tc>
        <w:tc>
          <w:tcPr>
            <w:tcW w:w="0" w:type="auto"/>
          </w:tcPr>
          <w:p w14:paraId="50D11773" w14:textId="77777777" w:rsidR="008C5CFA" w:rsidRPr="00A92B39" w:rsidRDefault="00E82A60" w:rsidP="00300A01">
            <w:pPr>
              <w:spacing w:before="0" w:after="0"/>
              <w:jc w:val="right"/>
              <w:rPr>
                <w:sz w:val="10"/>
                <w:szCs w:val="10"/>
                <w:lang w:val="fr-BE"/>
              </w:rPr>
            </w:pPr>
            <w:r w:rsidRPr="00A92B39">
              <w:rPr>
                <w:noProof/>
                <w:sz w:val="10"/>
                <w:szCs w:val="10"/>
                <w:lang w:val="fr-BE"/>
              </w:rPr>
              <w:t>233,00</w:t>
            </w:r>
          </w:p>
        </w:tc>
        <w:tc>
          <w:tcPr>
            <w:tcW w:w="0" w:type="auto"/>
            <w:shd w:val="clear" w:color="auto" w:fill="auto"/>
          </w:tcPr>
          <w:p w14:paraId="007D6F46" w14:textId="77777777" w:rsidR="008C5CFA" w:rsidRPr="00A92B39" w:rsidRDefault="00E82A60" w:rsidP="00300A01">
            <w:pPr>
              <w:spacing w:before="0" w:after="0"/>
              <w:jc w:val="right"/>
              <w:rPr>
                <w:sz w:val="10"/>
                <w:szCs w:val="10"/>
                <w:lang w:val="fr-BE"/>
              </w:rPr>
            </w:pPr>
            <w:r w:rsidRPr="00A92B39">
              <w:rPr>
                <w:noProof/>
                <w:sz w:val="10"/>
                <w:szCs w:val="10"/>
                <w:lang w:val="fr-BE"/>
              </w:rPr>
              <w:t>52,00</w:t>
            </w:r>
          </w:p>
        </w:tc>
        <w:tc>
          <w:tcPr>
            <w:tcW w:w="0" w:type="auto"/>
            <w:shd w:val="clear" w:color="auto" w:fill="auto"/>
          </w:tcPr>
          <w:p w14:paraId="67227165" w14:textId="77777777" w:rsidR="008C5CFA" w:rsidRPr="00BA47B4" w:rsidRDefault="00E82A60" w:rsidP="00300A01">
            <w:pPr>
              <w:spacing w:before="0" w:after="0"/>
              <w:jc w:val="right"/>
              <w:rPr>
                <w:sz w:val="12"/>
                <w:szCs w:val="12"/>
                <w:lang w:val="fr-BE"/>
              </w:rPr>
            </w:pPr>
            <w:r w:rsidRPr="00A92B39">
              <w:rPr>
                <w:noProof/>
                <w:sz w:val="10"/>
                <w:szCs w:val="10"/>
                <w:lang w:val="fr-BE"/>
              </w:rPr>
              <w:t>181,00</w:t>
            </w:r>
          </w:p>
        </w:tc>
      </w:tr>
      <w:tr w:rsidR="006B2EC1" w14:paraId="4912FD0C" w14:textId="77777777" w:rsidTr="0047688D">
        <w:tc>
          <w:tcPr>
            <w:tcW w:w="0" w:type="auto"/>
            <w:shd w:val="clear" w:color="auto" w:fill="auto"/>
          </w:tcPr>
          <w:p w14:paraId="57784680" w14:textId="77777777" w:rsidR="008C5CFA" w:rsidRPr="00BA47B4" w:rsidRDefault="00E82A60" w:rsidP="00300A01">
            <w:pPr>
              <w:spacing w:before="0" w:after="0"/>
              <w:rPr>
                <w:sz w:val="12"/>
                <w:szCs w:val="12"/>
                <w:lang w:val="fr-BE"/>
              </w:rPr>
            </w:pPr>
            <w:r>
              <w:rPr>
                <w:noProof/>
                <w:sz w:val="12"/>
                <w:szCs w:val="12"/>
                <w:lang w:val="fr-BE"/>
              </w:rPr>
              <w:t>CO15</w:t>
            </w:r>
          </w:p>
        </w:tc>
        <w:tc>
          <w:tcPr>
            <w:tcW w:w="0" w:type="auto"/>
            <w:shd w:val="clear" w:color="auto" w:fill="auto"/>
          </w:tcPr>
          <w:p w14:paraId="3C357943" w14:textId="77777777" w:rsidR="008C5CFA" w:rsidRPr="00BA47B4" w:rsidRDefault="00E82A60" w:rsidP="00300A01">
            <w:pPr>
              <w:spacing w:before="0" w:after="0"/>
              <w:rPr>
                <w:sz w:val="12"/>
                <w:szCs w:val="12"/>
                <w:lang w:val="fr-BE"/>
              </w:rPr>
            </w:pPr>
            <w:r>
              <w:rPr>
                <w:noProof/>
                <w:sz w:val="12"/>
                <w:szCs w:val="12"/>
                <w:lang w:val="fr-BE"/>
              </w:rPr>
              <w:t>migranci, uczestnicy obcego pochodzenia, mniejszości (w tym społeczności marginalizowane, takie jak Romowie)</w:t>
            </w:r>
          </w:p>
        </w:tc>
        <w:tc>
          <w:tcPr>
            <w:tcW w:w="0" w:type="auto"/>
            <w:shd w:val="clear" w:color="auto" w:fill="auto"/>
          </w:tcPr>
          <w:p w14:paraId="6A79D43B" w14:textId="77777777" w:rsidR="008C5CFA" w:rsidRPr="00BA47B4" w:rsidRDefault="00E82A60"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14:paraId="5ECFD3EB" w14:textId="77777777" w:rsidR="008C5CFA" w:rsidRPr="00BA47B4" w:rsidRDefault="008C5CFA" w:rsidP="00300A01">
            <w:pPr>
              <w:spacing w:before="0" w:after="0"/>
              <w:jc w:val="right"/>
              <w:rPr>
                <w:sz w:val="12"/>
                <w:szCs w:val="12"/>
                <w:lang w:val="fr-BE"/>
              </w:rPr>
            </w:pPr>
          </w:p>
        </w:tc>
        <w:tc>
          <w:tcPr>
            <w:tcW w:w="0" w:type="auto"/>
            <w:shd w:val="clear" w:color="auto" w:fill="auto"/>
          </w:tcPr>
          <w:p w14:paraId="6601BB35" w14:textId="77777777" w:rsidR="008C5CFA" w:rsidRPr="00BA47B4" w:rsidRDefault="008C5CFA" w:rsidP="00300A01">
            <w:pPr>
              <w:spacing w:before="0" w:after="0"/>
              <w:jc w:val="right"/>
              <w:rPr>
                <w:sz w:val="12"/>
                <w:szCs w:val="12"/>
                <w:lang w:val="fr-BE"/>
              </w:rPr>
            </w:pPr>
          </w:p>
        </w:tc>
        <w:tc>
          <w:tcPr>
            <w:tcW w:w="0" w:type="auto"/>
            <w:shd w:val="clear" w:color="auto" w:fill="auto"/>
          </w:tcPr>
          <w:p w14:paraId="6B77BC1D" w14:textId="77777777" w:rsidR="008C5CFA" w:rsidRPr="00BA47B4" w:rsidRDefault="008C5CFA" w:rsidP="00300A01">
            <w:pPr>
              <w:spacing w:before="0" w:after="0"/>
              <w:jc w:val="right"/>
              <w:rPr>
                <w:sz w:val="12"/>
                <w:szCs w:val="12"/>
                <w:lang w:val="fr-BE"/>
              </w:rPr>
            </w:pPr>
          </w:p>
        </w:tc>
        <w:tc>
          <w:tcPr>
            <w:tcW w:w="0" w:type="auto"/>
            <w:shd w:val="clear" w:color="auto" w:fill="auto"/>
          </w:tcPr>
          <w:p w14:paraId="6B7898E5" w14:textId="77777777" w:rsidR="008C5CFA" w:rsidRPr="00BA47B4" w:rsidRDefault="00E82A60" w:rsidP="00300A01">
            <w:pPr>
              <w:spacing w:before="0" w:after="0"/>
              <w:jc w:val="right"/>
              <w:rPr>
                <w:sz w:val="12"/>
                <w:szCs w:val="12"/>
                <w:lang w:val="fr-BE"/>
              </w:rPr>
            </w:pPr>
            <w:r w:rsidRPr="00BA47B4">
              <w:rPr>
                <w:noProof/>
                <w:sz w:val="12"/>
                <w:szCs w:val="12"/>
                <w:lang w:val="fr-BE"/>
              </w:rPr>
              <w:t>13,00</w:t>
            </w:r>
          </w:p>
        </w:tc>
        <w:tc>
          <w:tcPr>
            <w:tcW w:w="0" w:type="auto"/>
            <w:shd w:val="clear" w:color="auto" w:fill="auto"/>
          </w:tcPr>
          <w:p w14:paraId="0C8E8CD8" w14:textId="77777777" w:rsidR="008C5CFA" w:rsidRPr="00BA47B4" w:rsidRDefault="00E82A60" w:rsidP="00300A01">
            <w:pPr>
              <w:spacing w:before="0" w:after="0"/>
              <w:jc w:val="right"/>
              <w:rPr>
                <w:sz w:val="12"/>
                <w:szCs w:val="12"/>
                <w:lang w:val="fr-BE"/>
              </w:rPr>
            </w:pPr>
            <w:r w:rsidRPr="00BA47B4">
              <w:rPr>
                <w:noProof/>
                <w:sz w:val="12"/>
                <w:szCs w:val="12"/>
                <w:lang w:val="fr-BE"/>
              </w:rPr>
              <w:t>5,00</w:t>
            </w:r>
          </w:p>
        </w:tc>
        <w:tc>
          <w:tcPr>
            <w:tcW w:w="0" w:type="auto"/>
            <w:shd w:val="clear" w:color="auto" w:fill="auto"/>
          </w:tcPr>
          <w:p w14:paraId="53BDF37D" w14:textId="77777777" w:rsidR="008C5CFA" w:rsidRPr="00BA47B4" w:rsidRDefault="00E82A60" w:rsidP="00300A01">
            <w:pPr>
              <w:spacing w:before="0" w:after="0"/>
              <w:jc w:val="right"/>
              <w:rPr>
                <w:sz w:val="12"/>
                <w:szCs w:val="12"/>
                <w:lang w:val="fr-BE"/>
              </w:rPr>
            </w:pPr>
            <w:r w:rsidRPr="00BA47B4">
              <w:rPr>
                <w:noProof/>
                <w:sz w:val="12"/>
                <w:szCs w:val="12"/>
                <w:lang w:val="fr-BE"/>
              </w:rPr>
              <w:t>8,00</w:t>
            </w:r>
          </w:p>
        </w:tc>
        <w:tc>
          <w:tcPr>
            <w:tcW w:w="0" w:type="auto"/>
            <w:shd w:val="clear" w:color="auto" w:fill="auto"/>
          </w:tcPr>
          <w:p w14:paraId="3932E504" w14:textId="77777777" w:rsidR="008C5CFA" w:rsidRPr="00BA47B4" w:rsidRDefault="008C5CFA" w:rsidP="00300A01">
            <w:pPr>
              <w:spacing w:before="0" w:after="0"/>
              <w:jc w:val="right"/>
              <w:rPr>
                <w:sz w:val="12"/>
                <w:szCs w:val="12"/>
                <w:lang w:val="fr-BE"/>
              </w:rPr>
            </w:pPr>
          </w:p>
        </w:tc>
        <w:tc>
          <w:tcPr>
            <w:tcW w:w="0" w:type="auto"/>
            <w:shd w:val="clear" w:color="auto" w:fill="auto"/>
          </w:tcPr>
          <w:p w14:paraId="7088A5CA" w14:textId="77777777" w:rsidR="008C5CFA" w:rsidRPr="00BA47B4" w:rsidRDefault="008C5CFA" w:rsidP="00300A01">
            <w:pPr>
              <w:spacing w:before="0" w:after="0"/>
              <w:jc w:val="right"/>
              <w:rPr>
                <w:sz w:val="12"/>
                <w:szCs w:val="12"/>
                <w:lang w:val="fr-BE"/>
              </w:rPr>
            </w:pPr>
          </w:p>
        </w:tc>
        <w:tc>
          <w:tcPr>
            <w:tcW w:w="0" w:type="auto"/>
            <w:shd w:val="clear" w:color="auto" w:fill="auto"/>
          </w:tcPr>
          <w:p w14:paraId="454D2055" w14:textId="77777777" w:rsidR="008C5CFA" w:rsidRPr="00BA47B4" w:rsidRDefault="008C5CFA" w:rsidP="00300A01">
            <w:pPr>
              <w:spacing w:before="0" w:after="0"/>
              <w:jc w:val="right"/>
              <w:rPr>
                <w:sz w:val="12"/>
                <w:szCs w:val="12"/>
                <w:lang w:val="fr-BE"/>
              </w:rPr>
            </w:pPr>
          </w:p>
        </w:tc>
        <w:tc>
          <w:tcPr>
            <w:tcW w:w="0" w:type="auto"/>
          </w:tcPr>
          <w:p w14:paraId="3ADE30B9" w14:textId="77777777" w:rsidR="008C5CFA" w:rsidRPr="00A92B39" w:rsidRDefault="00E82A60" w:rsidP="00300A01">
            <w:pPr>
              <w:spacing w:before="0" w:after="0"/>
              <w:jc w:val="right"/>
              <w:rPr>
                <w:sz w:val="10"/>
                <w:szCs w:val="10"/>
                <w:lang w:val="fr-BE"/>
              </w:rPr>
            </w:pPr>
            <w:r w:rsidRPr="00A92B39">
              <w:rPr>
                <w:noProof/>
                <w:sz w:val="10"/>
                <w:szCs w:val="10"/>
                <w:lang w:val="fr-BE"/>
              </w:rPr>
              <w:t>10,00</w:t>
            </w:r>
          </w:p>
        </w:tc>
        <w:tc>
          <w:tcPr>
            <w:tcW w:w="0" w:type="auto"/>
            <w:shd w:val="clear" w:color="auto" w:fill="auto"/>
          </w:tcPr>
          <w:p w14:paraId="79000CDC" w14:textId="77777777" w:rsidR="008C5CFA" w:rsidRPr="00A92B39" w:rsidRDefault="00E82A60" w:rsidP="00300A01">
            <w:pPr>
              <w:spacing w:before="0" w:after="0"/>
              <w:jc w:val="right"/>
              <w:rPr>
                <w:sz w:val="10"/>
                <w:szCs w:val="10"/>
                <w:lang w:val="fr-BE"/>
              </w:rPr>
            </w:pPr>
            <w:r w:rsidRPr="00A92B39">
              <w:rPr>
                <w:noProof/>
                <w:sz w:val="10"/>
                <w:szCs w:val="10"/>
                <w:lang w:val="fr-BE"/>
              </w:rPr>
              <w:t>4,00</w:t>
            </w:r>
          </w:p>
        </w:tc>
        <w:tc>
          <w:tcPr>
            <w:tcW w:w="0" w:type="auto"/>
            <w:shd w:val="clear" w:color="auto" w:fill="auto"/>
          </w:tcPr>
          <w:p w14:paraId="11FA4418" w14:textId="77777777" w:rsidR="008C5CFA" w:rsidRPr="00BA47B4" w:rsidRDefault="00E82A60" w:rsidP="00300A01">
            <w:pPr>
              <w:spacing w:before="0" w:after="0"/>
              <w:jc w:val="right"/>
              <w:rPr>
                <w:sz w:val="12"/>
                <w:szCs w:val="12"/>
                <w:lang w:val="fr-BE"/>
              </w:rPr>
            </w:pPr>
            <w:r w:rsidRPr="00A92B39">
              <w:rPr>
                <w:noProof/>
                <w:sz w:val="10"/>
                <w:szCs w:val="10"/>
                <w:lang w:val="fr-BE"/>
              </w:rPr>
              <w:t>6,00</w:t>
            </w:r>
          </w:p>
        </w:tc>
      </w:tr>
      <w:tr w:rsidR="006B2EC1" w14:paraId="6E93EE60" w14:textId="77777777" w:rsidTr="0047688D">
        <w:tc>
          <w:tcPr>
            <w:tcW w:w="0" w:type="auto"/>
            <w:shd w:val="clear" w:color="auto" w:fill="auto"/>
          </w:tcPr>
          <w:p w14:paraId="78829544" w14:textId="77777777" w:rsidR="008C5CFA" w:rsidRPr="00BA47B4" w:rsidRDefault="00E82A60" w:rsidP="00300A01">
            <w:pPr>
              <w:spacing w:before="0" w:after="0"/>
              <w:rPr>
                <w:sz w:val="12"/>
                <w:szCs w:val="12"/>
                <w:lang w:val="fr-BE"/>
              </w:rPr>
            </w:pPr>
            <w:r>
              <w:rPr>
                <w:noProof/>
                <w:sz w:val="12"/>
                <w:szCs w:val="12"/>
                <w:lang w:val="fr-BE"/>
              </w:rPr>
              <w:t>CO16</w:t>
            </w:r>
          </w:p>
        </w:tc>
        <w:tc>
          <w:tcPr>
            <w:tcW w:w="0" w:type="auto"/>
            <w:shd w:val="clear" w:color="auto" w:fill="auto"/>
          </w:tcPr>
          <w:p w14:paraId="44A53EB9" w14:textId="77777777" w:rsidR="008C5CFA" w:rsidRPr="00BA47B4" w:rsidRDefault="00E82A60" w:rsidP="00300A01">
            <w:pPr>
              <w:spacing w:before="0" w:after="0"/>
              <w:rPr>
                <w:sz w:val="12"/>
                <w:szCs w:val="12"/>
                <w:lang w:val="fr-BE"/>
              </w:rPr>
            </w:pPr>
            <w:r>
              <w:rPr>
                <w:noProof/>
                <w:sz w:val="12"/>
                <w:szCs w:val="12"/>
                <w:lang w:val="fr-BE"/>
              </w:rPr>
              <w:t>uczestnicy z niepełnosprawnościami</w:t>
            </w:r>
          </w:p>
        </w:tc>
        <w:tc>
          <w:tcPr>
            <w:tcW w:w="0" w:type="auto"/>
            <w:shd w:val="clear" w:color="auto" w:fill="auto"/>
          </w:tcPr>
          <w:p w14:paraId="12642423" w14:textId="77777777" w:rsidR="008C5CFA" w:rsidRPr="00BA47B4" w:rsidRDefault="00E82A60"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14:paraId="26CB1FE5" w14:textId="77777777" w:rsidR="008C5CFA" w:rsidRPr="00BA47B4" w:rsidRDefault="008C5CFA" w:rsidP="00300A01">
            <w:pPr>
              <w:spacing w:before="0" w:after="0"/>
              <w:jc w:val="right"/>
              <w:rPr>
                <w:sz w:val="12"/>
                <w:szCs w:val="12"/>
                <w:lang w:val="fr-BE"/>
              </w:rPr>
            </w:pPr>
          </w:p>
        </w:tc>
        <w:tc>
          <w:tcPr>
            <w:tcW w:w="0" w:type="auto"/>
            <w:shd w:val="clear" w:color="auto" w:fill="auto"/>
          </w:tcPr>
          <w:p w14:paraId="59934B1D" w14:textId="77777777" w:rsidR="008C5CFA" w:rsidRPr="00BA47B4" w:rsidRDefault="008C5CFA" w:rsidP="00300A01">
            <w:pPr>
              <w:spacing w:before="0" w:after="0"/>
              <w:jc w:val="right"/>
              <w:rPr>
                <w:sz w:val="12"/>
                <w:szCs w:val="12"/>
                <w:lang w:val="fr-BE"/>
              </w:rPr>
            </w:pPr>
          </w:p>
        </w:tc>
        <w:tc>
          <w:tcPr>
            <w:tcW w:w="0" w:type="auto"/>
            <w:shd w:val="clear" w:color="auto" w:fill="auto"/>
          </w:tcPr>
          <w:p w14:paraId="02B576D9" w14:textId="77777777" w:rsidR="008C5CFA" w:rsidRPr="00BA47B4" w:rsidRDefault="008C5CFA" w:rsidP="00300A01">
            <w:pPr>
              <w:spacing w:before="0" w:after="0"/>
              <w:jc w:val="right"/>
              <w:rPr>
                <w:sz w:val="12"/>
                <w:szCs w:val="12"/>
                <w:lang w:val="fr-BE"/>
              </w:rPr>
            </w:pPr>
          </w:p>
        </w:tc>
        <w:tc>
          <w:tcPr>
            <w:tcW w:w="0" w:type="auto"/>
            <w:shd w:val="clear" w:color="auto" w:fill="auto"/>
          </w:tcPr>
          <w:p w14:paraId="069D181C" w14:textId="77777777" w:rsidR="008C5CFA" w:rsidRPr="00BA47B4" w:rsidRDefault="00E82A60" w:rsidP="00300A01">
            <w:pPr>
              <w:spacing w:before="0" w:after="0"/>
              <w:jc w:val="right"/>
              <w:rPr>
                <w:sz w:val="12"/>
                <w:szCs w:val="12"/>
                <w:lang w:val="fr-BE"/>
              </w:rPr>
            </w:pPr>
            <w:r w:rsidRPr="00BA47B4">
              <w:rPr>
                <w:noProof/>
                <w:sz w:val="12"/>
                <w:szCs w:val="12"/>
                <w:lang w:val="fr-BE"/>
              </w:rPr>
              <w:t>1 748,00</w:t>
            </w:r>
          </w:p>
        </w:tc>
        <w:tc>
          <w:tcPr>
            <w:tcW w:w="0" w:type="auto"/>
            <w:shd w:val="clear" w:color="auto" w:fill="auto"/>
          </w:tcPr>
          <w:p w14:paraId="53B2A345" w14:textId="77777777" w:rsidR="008C5CFA" w:rsidRPr="00BA47B4" w:rsidRDefault="00E82A60" w:rsidP="00300A01">
            <w:pPr>
              <w:spacing w:before="0" w:after="0"/>
              <w:jc w:val="right"/>
              <w:rPr>
                <w:sz w:val="12"/>
                <w:szCs w:val="12"/>
                <w:lang w:val="fr-BE"/>
              </w:rPr>
            </w:pPr>
            <w:r w:rsidRPr="00BA47B4">
              <w:rPr>
                <w:noProof/>
                <w:sz w:val="12"/>
                <w:szCs w:val="12"/>
                <w:lang w:val="fr-BE"/>
              </w:rPr>
              <w:t>698,00</w:t>
            </w:r>
          </w:p>
        </w:tc>
        <w:tc>
          <w:tcPr>
            <w:tcW w:w="0" w:type="auto"/>
            <w:shd w:val="clear" w:color="auto" w:fill="auto"/>
          </w:tcPr>
          <w:p w14:paraId="072E6846" w14:textId="77777777" w:rsidR="008C5CFA" w:rsidRPr="00BA47B4" w:rsidRDefault="00E82A60" w:rsidP="00300A01">
            <w:pPr>
              <w:spacing w:before="0" w:after="0"/>
              <w:jc w:val="right"/>
              <w:rPr>
                <w:sz w:val="12"/>
                <w:szCs w:val="12"/>
                <w:lang w:val="fr-BE"/>
              </w:rPr>
            </w:pPr>
            <w:r w:rsidRPr="00BA47B4">
              <w:rPr>
                <w:noProof/>
                <w:sz w:val="12"/>
                <w:szCs w:val="12"/>
                <w:lang w:val="fr-BE"/>
              </w:rPr>
              <w:t>1 050,00</w:t>
            </w:r>
          </w:p>
        </w:tc>
        <w:tc>
          <w:tcPr>
            <w:tcW w:w="0" w:type="auto"/>
            <w:shd w:val="clear" w:color="auto" w:fill="auto"/>
          </w:tcPr>
          <w:p w14:paraId="1A63044C" w14:textId="77777777" w:rsidR="008C5CFA" w:rsidRPr="00BA47B4" w:rsidRDefault="008C5CFA" w:rsidP="00300A01">
            <w:pPr>
              <w:spacing w:before="0" w:after="0"/>
              <w:jc w:val="right"/>
              <w:rPr>
                <w:sz w:val="12"/>
                <w:szCs w:val="12"/>
                <w:lang w:val="fr-BE"/>
              </w:rPr>
            </w:pPr>
          </w:p>
        </w:tc>
        <w:tc>
          <w:tcPr>
            <w:tcW w:w="0" w:type="auto"/>
            <w:shd w:val="clear" w:color="auto" w:fill="auto"/>
          </w:tcPr>
          <w:p w14:paraId="63A89A4B" w14:textId="77777777" w:rsidR="008C5CFA" w:rsidRPr="00BA47B4" w:rsidRDefault="008C5CFA" w:rsidP="00300A01">
            <w:pPr>
              <w:spacing w:before="0" w:after="0"/>
              <w:jc w:val="right"/>
              <w:rPr>
                <w:sz w:val="12"/>
                <w:szCs w:val="12"/>
                <w:lang w:val="fr-BE"/>
              </w:rPr>
            </w:pPr>
          </w:p>
        </w:tc>
        <w:tc>
          <w:tcPr>
            <w:tcW w:w="0" w:type="auto"/>
            <w:shd w:val="clear" w:color="auto" w:fill="auto"/>
          </w:tcPr>
          <w:p w14:paraId="56342269" w14:textId="77777777" w:rsidR="008C5CFA" w:rsidRPr="00BA47B4" w:rsidRDefault="008C5CFA" w:rsidP="00300A01">
            <w:pPr>
              <w:spacing w:before="0" w:after="0"/>
              <w:jc w:val="right"/>
              <w:rPr>
                <w:sz w:val="12"/>
                <w:szCs w:val="12"/>
                <w:lang w:val="fr-BE"/>
              </w:rPr>
            </w:pPr>
          </w:p>
        </w:tc>
        <w:tc>
          <w:tcPr>
            <w:tcW w:w="0" w:type="auto"/>
          </w:tcPr>
          <w:p w14:paraId="2918F6F4" w14:textId="77777777" w:rsidR="008C5CFA" w:rsidRPr="00A92B39" w:rsidRDefault="00E82A60" w:rsidP="00300A01">
            <w:pPr>
              <w:spacing w:before="0" w:after="0"/>
              <w:jc w:val="right"/>
              <w:rPr>
                <w:sz w:val="10"/>
                <w:szCs w:val="10"/>
                <w:lang w:val="fr-BE"/>
              </w:rPr>
            </w:pPr>
            <w:r w:rsidRPr="00A92B39">
              <w:rPr>
                <w:noProof/>
                <w:sz w:val="10"/>
                <w:szCs w:val="10"/>
                <w:lang w:val="fr-BE"/>
              </w:rPr>
              <w:t>1 014,00</w:t>
            </w:r>
          </w:p>
        </w:tc>
        <w:tc>
          <w:tcPr>
            <w:tcW w:w="0" w:type="auto"/>
            <w:shd w:val="clear" w:color="auto" w:fill="auto"/>
          </w:tcPr>
          <w:p w14:paraId="3DC6BC31" w14:textId="77777777" w:rsidR="008C5CFA" w:rsidRPr="00A92B39" w:rsidRDefault="00E82A60" w:rsidP="00300A01">
            <w:pPr>
              <w:spacing w:before="0" w:after="0"/>
              <w:jc w:val="right"/>
              <w:rPr>
                <w:sz w:val="10"/>
                <w:szCs w:val="10"/>
                <w:lang w:val="fr-BE"/>
              </w:rPr>
            </w:pPr>
            <w:r w:rsidRPr="00A92B39">
              <w:rPr>
                <w:noProof/>
                <w:sz w:val="10"/>
                <w:szCs w:val="10"/>
                <w:lang w:val="fr-BE"/>
              </w:rPr>
              <w:t>441,00</w:t>
            </w:r>
          </w:p>
        </w:tc>
        <w:tc>
          <w:tcPr>
            <w:tcW w:w="0" w:type="auto"/>
            <w:shd w:val="clear" w:color="auto" w:fill="auto"/>
          </w:tcPr>
          <w:p w14:paraId="0C2E7D92" w14:textId="77777777" w:rsidR="008C5CFA" w:rsidRPr="00BA47B4" w:rsidRDefault="00E82A60" w:rsidP="00300A01">
            <w:pPr>
              <w:spacing w:before="0" w:after="0"/>
              <w:jc w:val="right"/>
              <w:rPr>
                <w:sz w:val="12"/>
                <w:szCs w:val="12"/>
                <w:lang w:val="fr-BE"/>
              </w:rPr>
            </w:pPr>
            <w:r w:rsidRPr="00A92B39">
              <w:rPr>
                <w:noProof/>
                <w:sz w:val="10"/>
                <w:szCs w:val="10"/>
                <w:lang w:val="fr-BE"/>
              </w:rPr>
              <w:t>573,00</w:t>
            </w:r>
          </w:p>
        </w:tc>
      </w:tr>
      <w:tr w:rsidR="006B2EC1" w14:paraId="3F18D871" w14:textId="77777777" w:rsidTr="0047688D">
        <w:tc>
          <w:tcPr>
            <w:tcW w:w="0" w:type="auto"/>
            <w:shd w:val="clear" w:color="auto" w:fill="auto"/>
          </w:tcPr>
          <w:p w14:paraId="3C2CDCC0" w14:textId="77777777" w:rsidR="008C5CFA" w:rsidRPr="00BA47B4" w:rsidRDefault="00E82A60" w:rsidP="00300A01">
            <w:pPr>
              <w:spacing w:before="0" w:after="0"/>
              <w:rPr>
                <w:sz w:val="12"/>
                <w:szCs w:val="12"/>
                <w:lang w:val="fr-BE"/>
              </w:rPr>
            </w:pPr>
            <w:r>
              <w:rPr>
                <w:noProof/>
                <w:sz w:val="12"/>
                <w:szCs w:val="12"/>
                <w:lang w:val="fr-BE"/>
              </w:rPr>
              <w:t>CO17</w:t>
            </w:r>
          </w:p>
        </w:tc>
        <w:tc>
          <w:tcPr>
            <w:tcW w:w="0" w:type="auto"/>
            <w:shd w:val="clear" w:color="auto" w:fill="auto"/>
          </w:tcPr>
          <w:p w14:paraId="201D7F9A" w14:textId="77777777" w:rsidR="008C5CFA" w:rsidRPr="00BA47B4" w:rsidRDefault="00E82A60" w:rsidP="00300A01">
            <w:pPr>
              <w:spacing w:before="0" w:after="0"/>
              <w:rPr>
                <w:sz w:val="12"/>
                <w:szCs w:val="12"/>
                <w:lang w:val="fr-BE"/>
              </w:rPr>
            </w:pPr>
            <w:r>
              <w:rPr>
                <w:noProof/>
                <w:sz w:val="12"/>
                <w:szCs w:val="12"/>
                <w:lang w:val="fr-BE"/>
              </w:rPr>
              <w:t>inne osoby w niekorzystnej sytuacji społecznej</w:t>
            </w:r>
          </w:p>
        </w:tc>
        <w:tc>
          <w:tcPr>
            <w:tcW w:w="0" w:type="auto"/>
            <w:shd w:val="clear" w:color="auto" w:fill="auto"/>
          </w:tcPr>
          <w:p w14:paraId="26B50639" w14:textId="77777777" w:rsidR="008C5CFA" w:rsidRPr="00BA47B4" w:rsidRDefault="00E82A60"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14:paraId="09BC72EE" w14:textId="77777777" w:rsidR="008C5CFA" w:rsidRPr="00BA47B4" w:rsidRDefault="008C5CFA" w:rsidP="00300A01">
            <w:pPr>
              <w:spacing w:before="0" w:after="0"/>
              <w:jc w:val="right"/>
              <w:rPr>
                <w:sz w:val="12"/>
                <w:szCs w:val="12"/>
                <w:lang w:val="fr-BE"/>
              </w:rPr>
            </w:pPr>
          </w:p>
        </w:tc>
        <w:tc>
          <w:tcPr>
            <w:tcW w:w="0" w:type="auto"/>
            <w:shd w:val="clear" w:color="auto" w:fill="auto"/>
          </w:tcPr>
          <w:p w14:paraId="1D91CD1C" w14:textId="77777777" w:rsidR="008C5CFA" w:rsidRPr="00BA47B4" w:rsidRDefault="008C5CFA" w:rsidP="00300A01">
            <w:pPr>
              <w:spacing w:before="0" w:after="0"/>
              <w:jc w:val="right"/>
              <w:rPr>
                <w:sz w:val="12"/>
                <w:szCs w:val="12"/>
                <w:lang w:val="fr-BE"/>
              </w:rPr>
            </w:pPr>
          </w:p>
        </w:tc>
        <w:tc>
          <w:tcPr>
            <w:tcW w:w="0" w:type="auto"/>
            <w:shd w:val="clear" w:color="auto" w:fill="auto"/>
          </w:tcPr>
          <w:p w14:paraId="7D766AEF" w14:textId="77777777" w:rsidR="008C5CFA" w:rsidRPr="00BA47B4" w:rsidRDefault="008C5CFA" w:rsidP="00300A01">
            <w:pPr>
              <w:spacing w:before="0" w:after="0"/>
              <w:jc w:val="right"/>
              <w:rPr>
                <w:sz w:val="12"/>
                <w:szCs w:val="12"/>
                <w:lang w:val="fr-BE"/>
              </w:rPr>
            </w:pPr>
          </w:p>
        </w:tc>
        <w:tc>
          <w:tcPr>
            <w:tcW w:w="0" w:type="auto"/>
            <w:shd w:val="clear" w:color="auto" w:fill="auto"/>
          </w:tcPr>
          <w:p w14:paraId="42F142C4" w14:textId="77777777" w:rsidR="008C5CFA" w:rsidRPr="00BA47B4" w:rsidRDefault="00E82A60" w:rsidP="00300A01">
            <w:pPr>
              <w:spacing w:before="0" w:after="0"/>
              <w:jc w:val="right"/>
              <w:rPr>
                <w:sz w:val="12"/>
                <w:szCs w:val="12"/>
                <w:lang w:val="fr-BE"/>
              </w:rPr>
            </w:pPr>
            <w:r w:rsidRPr="00BA47B4">
              <w:rPr>
                <w:noProof/>
                <w:sz w:val="12"/>
                <w:szCs w:val="12"/>
                <w:lang w:val="fr-BE"/>
              </w:rPr>
              <w:t>4 130,00</w:t>
            </w:r>
          </w:p>
        </w:tc>
        <w:tc>
          <w:tcPr>
            <w:tcW w:w="0" w:type="auto"/>
            <w:shd w:val="clear" w:color="auto" w:fill="auto"/>
          </w:tcPr>
          <w:p w14:paraId="3C9B416E" w14:textId="77777777" w:rsidR="008C5CFA" w:rsidRPr="00BA47B4" w:rsidRDefault="00E82A60" w:rsidP="00300A01">
            <w:pPr>
              <w:spacing w:before="0" w:after="0"/>
              <w:jc w:val="right"/>
              <w:rPr>
                <w:sz w:val="12"/>
                <w:szCs w:val="12"/>
                <w:lang w:val="fr-BE"/>
              </w:rPr>
            </w:pPr>
            <w:r w:rsidRPr="00BA47B4">
              <w:rPr>
                <w:noProof/>
                <w:sz w:val="12"/>
                <w:szCs w:val="12"/>
                <w:lang w:val="fr-BE"/>
              </w:rPr>
              <w:t>1 116,00</w:t>
            </w:r>
          </w:p>
        </w:tc>
        <w:tc>
          <w:tcPr>
            <w:tcW w:w="0" w:type="auto"/>
            <w:shd w:val="clear" w:color="auto" w:fill="auto"/>
          </w:tcPr>
          <w:p w14:paraId="2B29E5D7" w14:textId="77777777" w:rsidR="008C5CFA" w:rsidRPr="00BA47B4" w:rsidRDefault="00E82A60" w:rsidP="00300A01">
            <w:pPr>
              <w:spacing w:before="0" w:after="0"/>
              <w:jc w:val="right"/>
              <w:rPr>
                <w:sz w:val="12"/>
                <w:szCs w:val="12"/>
                <w:lang w:val="fr-BE"/>
              </w:rPr>
            </w:pPr>
            <w:r w:rsidRPr="00BA47B4">
              <w:rPr>
                <w:noProof/>
                <w:sz w:val="12"/>
                <w:szCs w:val="12"/>
                <w:lang w:val="fr-BE"/>
              </w:rPr>
              <w:t>3 014,00</w:t>
            </w:r>
          </w:p>
        </w:tc>
        <w:tc>
          <w:tcPr>
            <w:tcW w:w="0" w:type="auto"/>
            <w:shd w:val="clear" w:color="auto" w:fill="auto"/>
          </w:tcPr>
          <w:p w14:paraId="01632A86" w14:textId="77777777" w:rsidR="008C5CFA" w:rsidRPr="00BA47B4" w:rsidRDefault="008C5CFA" w:rsidP="00300A01">
            <w:pPr>
              <w:spacing w:before="0" w:after="0"/>
              <w:jc w:val="right"/>
              <w:rPr>
                <w:sz w:val="12"/>
                <w:szCs w:val="12"/>
                <w:lang w:val="fr-BE"/>
              </w:rPr>
            </w:pPr>
          </w:p>
        </w:tc>
        <w:tc>
          <w:tcPr>
            <w:tcW w:w="0" w:type="auto"/>
            <w:shd w:val="clear" w:color="auto" w:fill="auto"/>
          </w:tcPr>
          <w:p w14:paraId="5462F9BF" w14:textId="77777777" w:rsidR="008C5CFA" w:rsidRPr="00BA47B4" w:rsidRDefault="008C5CFA" w:rsidP="00300A01">
            <w:pPr>
              <w:spacing w:before="0" w:after="0"/>
              <w:jc w:val="right"/>
              <w:rPr>
                <w:sz w:val="12"/>
                <w:szCs w:val="12"/>
                <w:lang w:val="fr-BE"/>
              </w:rPr>
            </w:pPr>
          </w:p>
        </w:tc>
        <w:tc>
          <w:tcPr>
            <w:tcW w:w="0" w:type="auto"/>
            <w:shd w:val="clear" w:color="auto" w:fill="auto"/>
          </w:tcPr>
          <w:p w14:paraId="7413EE86" w14:textId="77777777" w:rsidR="008C5CFA" w:rsidRPr="00BA47B4" w:rsidRDefault="008C5CFA" w:rsidP="00300A01">
            <w:pPr>
              <w:spacing w:before="0" w:after="0"/>
              <w:jc w:val="right"/>
              <w:rPr>
                <w:sz w:val="12"/>
                <w:szCs w:val="12"/>
                <w:lang w:val="fr-BE"/>
              </w:rPr>
            </w:pPr>
          </w:p>
        </w:tc>
        <w:tc>
          <w:tcPr>
            <w:tcW w:w="0" w:type="auto"/>
          </w:tcPr>
          <w:p w14:paraId="3BB283B1" w14:textId="77777777" w:rsidR="008C5CFA" w:rsidRPr="00A92B39" w:rsidRDefault="00E82A60" w:rsidP="00300A01">
            <w:pPr>
              <w:spacing w:before="0" w:after="0"/>
              <w:jc w:val="right"/>
              <w:rPr>
                <w:sz w:val="10"/>
                <w:szCs w:val="10"/>
                <w:lang w:val="fr-BE"/>
              </w:rPr>
            </w:pPr>
            <w:r w:rsidRPr="00A92B39">
              <w:rPr>
                <w:noProof/>
                <w:sz w:val="10"/>
                <w:szCs w:val="10"/>
                <w:lang w:val="fr-BE"/>
              </w:rPr>
              <w:t>2 649,00</w:t>
            </w:r>
          </w:p>
        </w:tc>
        <w:tc>
          <w:tcPr>
            <w:tcW w:w="0" w:type="auto"/>
            <w:shd w:val="clear" w:color="auto" w:fill="auto"/>
          </w:tcPr>
          <w:p w14:paraId="4A72DE43" w14:textId="77777777" w:rsidR="008C5CFA" w:rsidRPr="00A92B39" w:rsidRDefault="00E82A60" w:rsidP="00300A01">
            <w:pPr>
              <w:spacing w:before="0" w:after="0"/>
              <w:jc w:val="right"/>
              <w:rPr>
                <w:sz w:val="10"/>
                <w:szCs w:val="10"/>
                <w:lang w:val="fr-BE"/>
              </w:rPr>
            </w:pPr>
            <w:r w:rsidRPr="00A92B39">
              <w:rPr>
                <w:noProof/>
                <w:sz w:val="10"/>
                <w:szCs w:val="10"/>
                <w:lang w:val="fr-BE"/>
              </w:rPr>
              <w:t>727,00</w:t>
            </w:r>
          </w:p>
        </w:tc>
        <w:tc>
          <w:tcPr>
            <w:tcW w:w="0" w:type="auto"/>
            <w:shd w:val="clear" w:color="auto" w:fill="auto"/>
          </w:tcPr>
          <w:p w14:paraId="33C59CB0" w14:textId="77777777" w:rsidR="008C5CFA" w:rsidRPr="00BA47B4" w:rsidRDefault="00E82A60" w:rsidP="00300A01">
            <w:pPr>
              <w:spacing w:before="0" w:after="0"/>
              <w:jc w:val="right"/>
              <w:rPr>
                <w:sz w:val="12"/>
                <w:szCs w:val="12"/>
                <w:lang w:val="fr-BE"/>
              </w:rPr>
            </w:pPr>
            <w:r w:rsidRPr="00A92B39">
              <w:rPr>
                <w:noProof/>
                <w:sz w:val="10"/>
                <w:szCs w:val="10"/>
                <w:lang w:val="fr-BE"/>
              </w:rPr>
              <w:t>1 922,00</w:t>
            </w:r>
          </w:p>
        </w:tc>
      </w:tr>
      <w:tr w:rsidR="006B2EC1" w14:paraId="5B2B937D" w14:textId="77777777" w:rsidTr="0047688D">
        <w:tc>
          <w:tcPr>
            <w:tcW w:w="0" w:type="auto"/>
            <w:shd w:val="clear" w:color="auto" w:fill="auto"/>
          </w:tcPr>
          <w:p w14:paraId="37342BFC" w14:textId="77777777" w:rsidR="008C5CFA" w:rsidRPr="00BA47B4" w:rsidRDefault="00E82A60" w:rsidP="00300A01">
            <w:pPr>
              <w:spacing w:before="0" w:after="0"/>
              <w:rPr>
                <w:sz w:val="12"/>
                <w:szCs w:val="12"/>
                <w:lang w:val="fr-BE"/>
              </w:rPr>
            </w:pPr>
            <w:r>
              <w:rPr>
                <w:noProof/>
                <w:sz w:val="12"/>
                <w:szCs w:val="12"/>
                <w:lang w:val="fr-BE"/>
              </w:rPr>
              <w:t>CO18</w:t>
            </w:r>
          </w:p>
        </w:tc>
        <w:tc>
          <w:tcPr>
            <w:tcW w:w="0" w:type="auto"/>
            <w:shd w:val="clear" w:color="auto" w:fill="auto"/>
          </w:tcPr>
          <w:p w14:paraId="67884094" w14:textId="77777777" w:rsidR="008C5CFA" w:rsidRPr="00BA47B4" w:rsidRDefault="00E82A60" w:rsidP="00300A01">
            <w:pPr>
              <w:spacing w:before="0" w:after="0"/>
              <w:rPr>
                <w:sz w:val="12"/>
                <w:szCs w:val="12"/>
                <w:lang w:val="fr-BE"/>
              </w:rPr>
            </w:pPr>
            <w:r>
              <w:rPr>
                <w:noProof/>
                <w:sz w:val="12"/>
                <w:szCs w:val="12"/>
                <w:lang w:val="fr-BE"/>
              </w:rPr>
              <w:t>osoby bezdomne lub dotknięte wykluczeniem z dostępu do mieszkań</w:t>
            </w:r>
          </w:p>
        </w:tc>
        <w:tc>
          <w:tcPr>
            <w:tcW w:w="0" w:type="auto"/>
            <w:shd w:val="clear" w:color="auto" w:fill="auto"/>
          </w:tcPr>
          <w:p w14:paraId="71226C64" w14:textId="77777777" w:rsidR="008C5CFA" w:rsidRPr="00BA47B4" w:rsidRDefault="00E82A60"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14:paraId="50A5377B" w14:textId="77777777" w:rsidR="008C5CFA" w:rsidRPr="00BA47B4" w:rsidRDefault="008C5CFA" w:rsidP="00300A01">
            <w:pPr>
              <w:spacing w:before="0" w:after="0"/>
              <w:jc w:val="right"/>
              <w:rPr>
                <w:sz w:val="12"/>
                <w:szCs w:val="12"/>
                <w:lang w:val="fr-BE"/>
              </w:rPr>
            </w:pPr>
          </w:p>
        </w:tc>
        <w:tc>
          <w:tcPr>
            <w:tcW w:w="0" w:type="auto"/>
            <w:shd w:val="clear" w:color="auto" w:fill="auto"/>
          </w:tcPr>
          <w:p w14:paraId="6D4E4CF6" w14:textId="77777777" w:rsidR="008C5CFA" w:rsidRPr="00BA47B4" w:rsidRDefault="008C5CFA" w:rsidP="00300A01">
            <w:pPr>
              <w:spacing w:before="0" w:after="0"/>
              <w:jc w:val="right"/>
              <w:rPr>
                <w:sz w:val="12"/>
                <w:szCs w:val="12"/>
                <w:lang w:val="fr-BE"/>
              </w:rPr>
            </w:pPr>
          </w:p>
        </w:tc>
        <w:tc>
          <w:tcPr>
            <w:tcW w:w="0" w:type="auto"/>
            <w:shd w:val="clear" w:color="auto" w:fill="auto"/>
          </w:tcPr>
          <w:p w14:paraId="6FEB6D0E" w14:textId="77777777" w:rsidR="008C5CFA" w:rsidRPr="00BA47B4" w:rsidRDefault="008C5CFA" w:rsidP="00300A01">
            <w:pPr>
              <w:spacing w:before="0" w:after="0"/>
              <w:jc w:val="right"/>
              <w:rPr>
                <w:sz w:val="12"/>
                <w:szCs w:val="12"/>
                <w:lang w:val="fr-BE"/>
              </w:rPr>
            </w:pPr>
          </w:p>
        </w:tc>
        <w:tc>
          <w:tcPr>
            <w:tcW w:w="0" w:type="auto"/>
            <w:shd w:val="clear" w:color="auto" w:fill="auto"/>
          </w:tcPr>
          <w:p w14:paraId="35C39D4F" w14:textId="77777777" w:rsidR="008C5CFA" w:rsidRPr="00BA47B4" w:rsidRDefault="00E82A60" w:rsidP="00300A01">
            <w:pPr>
              <w:spacing w:before="0" w:after="0"/>
              <w:jc w:val="right"/>
              <w:rPr>
                <w:sz w:val="12"/>
                <w:szCs w:val="12"/>
                <w:lang w:val="fr-BE"/>
              </w:rPr>
            </w:pPr>
            <w:r w:rsidRPr="00BA47B4">
              <w:rPr>
                <w:noProof/>
                <w:sz w:val="12"/>
                <w:szCs w:val="12"/>
                <w:lang w:val="fr-BE"/>
              </w:rPr>
              <w:t>15,00</w:t>
            </w:r>
          </w:p>
        </w:tc>
        <w:tc>
          <w:tcPr>
            <w:tcW w:w="0" w:type="auto"/>
            <w:shd w:val="clear" w:color="auto" w:fill="auto"/>
          </w:tcPr>
          <w:p w14:paraId="2C76B6D8" w14:textId="77777777" w:rsidR="008C5CFA" w:rsidRPr="00BA47B4" w:rsidRDefault="00E82A60" w:rsidP="00300A01">
            <w:pPr>
              <w:spacing w:before="0" w:after="0"/>
              <w:jc w:val="right"/>
              <w:rPr>
                <w:sz w:val="12"/>
                <w:szCs w:val="12"/>
                <w:lang w:val="fr-BE"/>
              </w:rPr>
            </w:pPr>
            <w:r w:rsidRPr="00BA47B4">
              <w:rPr>
                <w:noProof/>
                <w:sz w:val="12"/>
                <w:szCs w:val="12"/>
                <w:lang w:val="fr-BE"/>
              </w:rPr>
              <w:t>11,00</w:t>
            </w:r>
          </w:p>
        </w:tc>
        <w:tc>
          <w:tcPr>
            <w:tcW w:w="0" w:type="auto"/>
            <w:shd w:val="clear" w:color="auto" w:fill="auto"/>
          </w:tcPr>
          <w:p w14:paraId="61513975" w14:textId="77777777" w:rsidR="008C5CFA" w:rsidRPr="00BA47B4" w:rsidRDefault="00E82A60" w:rsidP="00300A01">
            <w:pPr>
              <w:spacing w:before="0" w:after="0"/>
              <w:jc w:val="right"/>
              <w:rPr>
                <w:sz w:val="12"/>
                <w:szCs w:val="12"/>
                <w:lang w:val="fr-BE"/>
              </w:rPr>
            </w:pPr>
            <w:r w:rsidRPr="00BA47B4">
              <w:rPr>
                <w:noProof/>
                <w:sz w:val="12"/>
                <w:szCs w:val="12"/>
                <w:lang w:val="fr-BE"/>
              </w:rPr>
              <w:t>4,00</w:t>
            </w:r>
          </w:p>
        </w:tc>
        <w:tc>
          <w:tcPr>
            <w:tcW w:w="0" w:type="auto"/>
            <w:shd w:val="clear" w:color="auto" w:fill="auto"/>
          </w:tcPr>
          <w:p w14:paraId="0416382A" w14:textId="77777777" w:rsidR="008C5CFA" w:rsidRPr="00BA47B4" w:rsidRDefault="008C5CFA" w:rsidP="00300A01">
            <w:pPr>
              <w:spacing w:before="0" w:after="0"/>
              <w:jc w:val="right"/>
              <w:rPr>
                <w:sz w:val="12"/>
                <w:szCs w:val="12"/>
                <w:lang w:val="fr-BE"/>
              </w:rPr>
            </w:pPr>
          </w:p>
        </w:tc>
        <w:tc>
          <w:tcPr>
            <w:tcW w:w="0" w:type="auto"/>
            <w:shd w:val="clear" w:color="auto" w:fill="auto"/>
          </w:tcPr>
          <w:p w14:paraId="637563FE" w14:textId="77777777" w:rsidR="008C5CFA" w:rsidRPr="00BA47B4" w:rsidRDefault="008C5CFA" w:rsidP="00300A01">
            <w:pPr>
              <w:spacing w:before="0" w:after="0"/>
              <w:jc w:val="right"/>
              <w:rPr>
                <w:sz w:val="12"/>
                <w:szCs w:val="12"/>
                <w:lang w:val="fr-BE"/>
              </w:rPr>
            </w:pPr>
          </w:p>
        </w:tc>
        <w:tc>
          <w:tcPr>
            <w:tcW w:w="0" w:type="auto"/>
            <w:shd w:val="clear" w:color="auto" w:fill="auto"/>
          </w:tcPr>
          <w:p w14:paraId="298A0514" w14:textId="77777777" w:rsidR="008C5CFA" w:rsidRPr="00BA47B4" w:rsidRDefault="008C5CFA" w:rsidP="00300A01">
            <w:pPr>
              <w:spacing w:before="0" w:after="0"/>
              <w:jc w:val="right"/>
              <w:rPr>
                <w:sz w:val="12"/>
                <w:szCs w:val="12"/>
                <w:lang w:val="fr-BE"/>
              </w:rPr>
            </w:pPr>
          </w:p>
        </w:tc>
        <w:tc>
          <w:tcPr>
            <w:tcW w:w="0" w:type="auto"/>
          </w:tcPr>
          <w:p w14:paraId="2EF1A922" w14:textId="77777777" w:rsidR="008C5CFA" w:rsidRPr="00A92B39" w:rsidRDefault="00E82A60" w:rsidP="00300A01">
            <w:pPr>
              <w:spacing w:before="0" w:after="0"/>
              <w:jc w:val="right"/>
              <w:rPr>
                <w:sz w:val="10"/>
                <w:szCs w:val="10"/>
                <w:lang w:val="fr-BE"/>
              </w:rPr>
            </w:pPr>
            <w:r w:rsidRPr="00A92B39">
              <w:rPr>
                <w:noProof/>
                <w:sz w:val="10"/>
                <w:szCs w:val="10"/>
                <w:lang w:val="fr-BE"/>
              </w:rPr>
              <w:t>10,00</w:t>
            </w:r>
          </w:p>
        </w:tc>
        <w:tc>
          <w:tcPr>
            <w:tcW w:w="0" w:type="auto"/>
            <w:shd w:val="clear" w:color="auto" w:fill="auto"/>
          </w:tcPr>
          <w:p w14:paraId="07F2412A" w14:textId="77777777" w:rsidR="008C5CFA" w:rsidRPr="00A92B39" w:rsidRDefault="00E82A60" w:rsidP="00300A01">
            <w:pPr>
              <w:spacing w:before="0" w:after="0"/>
              <w:jc w:val="right"/>
              <w:rPr>
                <w:sz w:val="10"/>
                <w:szCs w:val="10"/>
                <w:lang w:val="fr-BE"/>
              </w:rPr>
            </w:pPr>
            <w:r w:rsidRPr="00A92B39">
              <w:rPr>
                <w:noProof/>
                <w:sz w:val="10"/>
                <w:szCs w:val="10"/>
                <w:lang w:val="fr-BE"/>
              </w:rPr>
              <w:t>9,00</w:t>
            </w:r>
          </w:p>
        </w:tc>
        <w:tc>
          <w:tcPr>
            <w:tcW w:w="0" w:type="auto"/>
            <w:shd w:val="clear" w:color="auto" w:fill="auto"/>
          </w:tcPr>
          <w:p w14:paraId="73BAAA7E" w14:textId="77777777" w:rsidR="008C5CFA" w:rsidRPr="00BA47B4" w:rsidRDefault="00E82A60" w:rsidP="00300A01">
            <w:pPr>
              <w:spacing w:before="0" w:after="0"/>
              <w:jc w:val="right"/>
              <w:rPr>
                <w:sz w:val="12"/>
                <w:szCs w:val="12"/>
                <w:lang w:val="fr-BE"/>
              </w:rPr>
            </w:pPr>
            <w:r w:rsidRPr="00A92B39">
              <w:rPr>
                <w:noProof/>
                <w:sz w:val="10"/>
                <w:szCs w:val="10"/>
                <w:lang w:val="fr-BE"/>
              </w:rPr>
              <w:t>1,00</w:t>
            </w:r>
          </w:p>
        </w:tc>
      </w:tr>
      <w:tr w:rsidR="006B2EC1" w14:paraId="1D0FB868" w14:textId="77777777" w:rsidTr="0047688D">
        <w:tc>
          <w:tcPr>
            <w:tcW w:w="0" w:type="auto"/>
            <w:shd w:val="clear" w:color="auto" w:fill="auto"/>
          </w:tcPr>
          <w:p w14:paraId="31C61C05" w14:textId="77777777" w:rsidR="008C5CFA" w:rsidRPr="00BA47B4" w:rsidRDefault="00E82A60" w:rsidP="00300A01">
            <w:pPr>
              <w:spacing w:before="0" w:after="0"/>
              <w:rPr>
                <w:sz w:val="12"/>
                <w:szCs w:val="12"/>
                <w:lang w:val="fr-BE"/>
              </w:rPr>
            </w:pPr>
            <w:r>
              <w:rPr>
                <w:noProof/>
                <w:sz w:val="12"/>
                <w:szCs w:val="12"/>
                <w:lang w:val="fr-BE"/>
              </w:rPr>
              <w:t>CO19</w:t>
            </w:r>
          </w:p>
        </w:tc>
        <w:tc>
          <w:tcPr>
            <w:tcW w:w="0" w:type="auto"/>
            <w:shd w:val="clear" w:color="auto" w:fill="auto"/>
          </w:tcPr>
          <w:p w14:paraId="182DBE17" w14:textId="77777777" w:rsidR="008C5CFA" w:rsidRPr="00BA47B4" w:rsidRDefault="00E82A60" w:rsidP="00300A01">
            <w:pPr>
              <w:spacing w:before="0" w:after="0"/>
              <w:rPr>
                <w:sz w:val="12"/>
                <w:szCs w:val="12"/>
                <w:lang w:val="fr-BE"/>
              </w:rPr>
            </w:pPr>
            <w:r>
              <w:rPr>
                <w:noProof/>
                <w:sz w:val="12"/>
                <w:szCs w:val="12"/>
                <w:lang w:val="fr-BE"/>
              </w:rPr>
              <w:t>osoby pochodzące z obszarów wiejskich</w:t>
            </w:r>
          </w:p>
        </w:tc>
        <w:tc>
          <w:tcPr>
            <w:tcW w:w="0" w:type="auto"/>
            <w:shd w:val="clear" w:color="auto" w:fill="auto"/>
          </w:tcPr>
          <w:p w14:paraId="2DE23CC4" w14:textId="77777777" w:rsidR="008C5CFA" w:rsidRPr="00BA47B4" w:rsidRDefault="00E82A60"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14:paraId="5B41FED2" w14:textId="77777777" w:rsidR="008C5CFA" w:rsidRPr="00BA47B4" w:rsidRDefault="008C5CFA" w:rsidP="00300A01">
            <w:pPr>
              <w:spacing w:before="0" w:after="0"/>
              <w:jc w:val="right"/>
              <w:rPr>
                <w:sz w:val="12"/>
                <w:szCs w:val="12"/>
                <w:lang w:val="fr-BE"/>
              </w:rPr>
            </w:pPr>
          </w:p>
        </w:tc>
        <w:tc>
          <w:tcPr>
            <w:tcW w:w="0" w:type="auto"/>
            <w:shd w:val="clear" w:color="auto" w:fill="auto"/>
          </w:tcPr>
          <w:p w14:paraId="0DD9B368" w14:textId="77777777" w:rsidR="008C5CFA" w:rsidRPr="00BA47B4" w:rsidRDefault="008C5CFA" w:rsidP="00300A01">
            <w:pPr>
              <w:spacing w:before="0" w:after="0"/>
              <w:jc w:val="right"/>
              <w:rPr>
                <w:sz w:val="12"/>
                <w:szCs w:val="12"/>
                <w:lang w:val="fr-BE"/>
              </w:rPr>
            </w:pPr>
          </w:p>
        </w:tc>
        <w:tc>
          <w:tcPr>
            <w:tcW w:w="0" w:type="auto"/>
            <w:shd w:val="clear" w:color="auto" w:fill="auto"/>
          </w:tcPr>
          <w:p w14:paraId="73C44C95" w14:textId="77777777" w:rsidR="008C5CFA" w:rsidRPr="00BA47B4" w:rsidRDefault="008C5CFA" w:rsidP="00300A01">
            <w:pPr>
              <w:spacing w:before="0" w:after="0"/>
              <w:jc w:val="right"/>
              <w:rPr>
                <w:sz w:val="12"/>
                <w:szCs w:val="12"/>
                <w:lang w:val="fr-BE"/>
              </w:rPr>
            </w:pPr>
          </w:p>
        </w:tc>
        <w:tc>
          <w:tcPr>
            <w:tcW w:w="0" w:type="auto"/>
            <w:shd w:val="clear" w:color="auto" w:fill="auto"/>
          </w:tcPr>
          <w:p w14:paraId="4CBAEBFC" w14:textId="77777777" w:rsidR="008C5CFA" w:rsidRPr="00BA47B4" w:rsidRDefault="00E82A60" w:rsidP="00300A01">
            <w:pPr>
              <w:spacing w:before="0" w:after="0"/>
              <w:jc w:val="right"/>
              <w:rPr>
                <w:sz w:val="12"/>
                <w:szCs w:val="12"/>
                <w:lang w:val="fr-BE"/>
              </w:rPr>
            </w:pPr>
            <w:r w:rsidRPr="00BA47B4">
              <w:rPr>
                <w:noProof/>
                <w:sz w:val="12"/>
                <w:szCs w:val="12"/>
                <w:lang w:val="fr-BE"/>
              </w:rPr>
              <w:t>4 911,00</w:t>
            </w:r>
          </w:p>
        </w:tc>
        <w:tc>
          <w:tcPr>
            <w:tcW w:w="0" w:type="auto"/>
            <w:shd w:val="clear" w:color="auto" w:fill="auto"/>
          </w:tcPr>
          <w:p w14:paraId="39FC0621" w14:textId="77777777" w:rsidR="008C5CFA" w:rsidRPr="00BA47B4" w:rsidRDefault="00E82A60" w:rsidP="00300A01">
            <w:pPr>
              <w:spacing w:before="0" w:after="0"/>
              <w:jc w:val="right"/>
              <w:rPr>
                <w:sz w:val="12"/>
                <w:szCs w:val="12"/>
                <w:lang w:val="fr-BE"/>
              </w:rPr>
            </w:pPr>
            <w:r w:rsidRPr="00BA47B4">
              <w:rPr>
                <w:noProof/>
                <w:sz w:val="12"/>
                <w:szCs w:val="12"/>
                <w:lang w:val="fr-BE"/>
              </w:rPr>
              <w:t>1 292,00</w:t>
            </w:r>
          </w:p>
        </w:tc>
        <w:tc>
          <w:tcPr>
            <w:tcW w:w="0" w:type="auto"/>
            <w:shd w:val="clear" w:color="auto" w:fill="auto"/>
          </w:tcPr>
          <w:p w14:paraId="1483E2D4" w14:textId="77777777" w:rsidR="008C5CFA" w:rsidRPr="00BA47B4" w:rsidRDefault="00E82A60" w:rsidP="00300A01">
            <w:pPr>
              <w:spacing w:before="0" w:after="0"/>
              <w:jc w:val="right"/>
              <w:rPr>
                <w:sz w:val="12"/>
                <w:szCs w:val="12"/>
                <w:lang w:val="fr-BE"/>
              </w:rPr>
            </w:pPr>
            <w:r w:rsidRPr="00BA47B4">
              <w:rPr>
                <w:noProof/>
                <w:sz w:val="12"/>
                <w:szCs w:val="12"/>
                <w:lang w:val="fr-BE"/>
              </w:rPr>
              <w:t>3 619,00</w:t>
            </w:r>
          </w:p>
        </w:tc>
        <w:tc>
          <w:tcPr>
            <w:tcW w:w="0" w:type="auto"/>
            <w:shd w:val="clear" w:color="auto" w:fill="auto"/>
          </w:tcPr>
          <w:p w14:paraId="22A19365" w14:textId="77777777" w:rsidR="008C5CFA" w:rsidRPr="00BA47B4" w:rsidRDefault="008C5CFA" w:rsidP="00300A01">
            <w:pPr>
              <w:spacing w:before="0" w:after="0"/>
              <w:jc w:val="right"/>
              <w:rPr>
                <w:sz w:val="12"/>
                <w:szCs w:val="12"/>
                <w:lang w:val="fr-BE"/>
              </w:rPr>
            </w:pPr>
          </w:p>
        </w:tc>
        <w:tc>
          <w:tcPr>
            <w:tcW w:w="0" w:type="auto"/>
            <w:shd w:val="clear" w:color="auto" w:fill="auto"/>
          </w:tcPr>
          <w:p w14:paraId="2BA03BE5" w14:textId="77777777" w:rsidR="008C5CFA" w:rsidRPr="00BA47B4" w:rsidRDefault="008C5CFA" w:rsidP="00300A01">
            <w:pPr>
              <w:spacing w:before="0" w:after="0"/>
              <w:jc w:val="right"/>
              <w:rPr>
                <w:sz w:val="12"/>
                <w:szCs w:val="12"/>
                <w:lang w:val="fr-BE"/>
              </w:rPr>
            </w:pPr>
          </w:p>
        </w:tc>
        <w:tc>
          <w:tcPr>
            <w:tcW w:w="0" w:type="auto"/>
            <w:shd w:val="clear" w:color="auto" w:fill="auto"/>
          </w:tcPr>
          <w:p w14:paraId="3D268E7E" w14:textId="77777777" w:rsidR="008C5CFA" w:rsidRPr="00BA47B4" w:rsidRDefault="008C5CFA" w:rsidP="00300A01">
            <w:pPr>
              <w:spacing w:before="0" w:after="0"/>
              <w:jc w:val="right"/>
              <w:rPr>
                <w:sz w:val="12"/>
                <w:szCs w:val="12"/>
                <w:lang w:val="fr-BE"/>
              </w:rPr>
            </w:pPr>
          </w:p>
        </w:tc>
        <w:tc>
          <w:tcPr>
            <w:tcW w:w="0" w:type="auto"/>
          </w:tcPr>
          <w:p w14:paraId="0B354A7F" w14:textId="77777777" w:rsidR="008C5CFA" w:rsidRPr="00A92B39" w:rsidRDefault="00E82A60" w:rsidP="00300A01">
            <w:pPr>
              <w:spacing w:before="0" w:after="0"/>
              <w:jc w:val="right"/>
              <w:rPr>
                <w:sz w:val="10"/>
                <w:szCs w:val="10"/>
                <w:lang w:val="fr-BE"/>
              </w:rPr>
            </w:pPr>
            <w:r w:rsidRPr="00A92B39">
              <w:rPr>
                <w:noProof/>
                <w:sz w:val="10"/>
                <w:szCs w:val="10"/>
                <w:lang w:val="fr-BE"/>
              </w:rPr>
              <w:t>3 188,00</w:t>
            </w:r>
          </w:p>
        </w:tc>
        <w:tc>
          <w:tcPr>
            <w:tcW w:w="0" w:type="auto"/>
            <w:shd w:val="clear" w:color="auto" w:fill="auto"/>
          </w:tcPr>
          <w:p w14:paraId="1677B1FF" w14:textId="77777777" w:rsidR="008C5CFA" w:rsidRPr="00A92B39" w:rsidRDefault="00E82A60" w:rsidP="00300A01">
            <w:pPr>
              <w:spacing w:before="0" w:after="0"/>
              <w:jc w:val="right"/>
              <w:rPr>
                <w:sz w:val="10"/>
                <w:szCs w:val="10"/>
                <w:lang w:val="fr-BE"/>
              </w:rPr>
            </w:pPr>
            <w:r w:rsidRPr="00A92B39">
              <w:rPr>
                <w:noProof/>
                <w:sz w:val="10"/>
                <w:szCs w:val="10"/>
                <w:lang w:val="fr-BE"/>
              </w:rPr>
              <w:t>847,00</w:t>
            </w:r>
          </w:p>
        </w:tc>
        <w:tc>
          <w:tcPr>
            <w:tcW w:w="0" w:type="auto"/>
            <w:shd w:val="clear" w:color="auto" w:fill="auto"/>
          </w:tcPr>
          <w:p w14:paraId="08F43E89" w14:textId="77777777" w:rsidR="008C5CFA" w:rsidRPr="00BA47B4" w:rsidRDefault="00E82A60" w:rsidP="00300A01">
            <w:pPr>
              <w:spacing w:before="0" w:after="0"/>
              <w:jc w:val="right"/>
              <w:rPr>
                <w:sz w:val="12"/>
                <w:szCs w:val="12"/>
                <w:lang w:val="fr-BE"/>
              </w:rPr>
            </w:pPr>
            <w:r w:rsidRPr="00A92B39">
              <w:rPr>
                <w:noProof/>
                <w:sz w:val="10"/>
                <w:szCs w:val="10"/>
                <w:lang w:val="fr-BE"/>
              </w:rPr>
              <w:t>2 341,00</w:t>
            </w:r>
          </w:p>
        </w:tc>
      </w:tr>
      <w:tr w:rsidR="006B2EC1" w14:paraId="267FE671" w14:textId="77777777" w:rsidTr="0047688D">
        <w:tc>
          <w:tcPr>
            <w:tcW w:w="0" w:type="auto"/>
            <w:shd w:val="clear" w:color="auto" w:fill="auto"/>
          </w:tcPr>
          <w:p w14:paraId="7F222ED1" w14:textId="77777777" w:rsidR="008C5CFA" w:rsidRPr="00BA47B4" w:rsidRDefault="00E82A60" w:rsidP="00300A01">
            <w:pPr>
              <w:spacing w:before="0" w:after="0"/>
              <w:rPr>
                <w:sz w:val="12"/>
                <w:szCs w:val="12"/>
                <w:lang w:val="fr-BE"/>
              </w:rPr>
            </w:pPr>
            <w:r>
              <w:rPr>
                <w:noProof/>
                <w:sz w:val="12"/>
                <w:szCs w:val="12"/>
                <w:lang w:val="fr-BE"/>
              </w:rPr>
              <w:t>CO20</w:t>
            </w:r>
          </w:p>
        </w:tc>
        <w:tc>
          <w:tcPr>
            <w:tcW w:w="0" w:type="auto"/>
            <w:shd w:val="clear" w:color="auto" w:fill="auto"/>
          </w:tcPr>
          <w:p w14:paraId="5D6AFB3D" w14:textId="77777777" w:rsidR="008C5CFA" w:rsidRPr="00BA47B4" w:rsidRDefault="00E82A60" w:rsidP="00300A01">
            <w:pPr>
              <w:spacing w:before="0" w:after="0"/>
              <w:rPr>
                <w:sz w:val="12"/>
                <w:szCs w:val="12"/>
                <w:lang w:val="fr-BE"/>
              </w:rPr>
            </w:pPr>
            <w:r>
              <w:rPr>
                <w:noProof/>
                <w:sz w:val="12"/>
                <w:szCs w:val="12"/>
                <w:lang w:val="fr-BE"/>
              </w:rPr>
              <w:t>liczba projektów zrealizowanych w pełni lub częściowo przez partnerów społecznych lub organizacje pozarządowe</w:t>
            </w:r>
          </w:p>
        </w:tc>
        <w:tc>
          <w:tcPr>
            <w:tcW w:w="0" w:type="auto"/>
            <w:shd w:val="clear" w:color="auto" w:fill="auto"/>
          </w:tcPr>
          <w:p w14:paraId="6C3541FA" w14:textId="77777777" w:rsidR="008C5CFA" w:rsidRPr="00BA47B4" w:rsidRDefault="00E82A60"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14:paraId="52310676" w14:textId="77777777" w:rsidR="008C5CFA" w:rsidRPr="00BA47B4" w:rsidRDefault="008C5CFA" w:rsidP="00300A01">
            <w:pPr>
              <w:spacing w:before="0" w:after="0"/>
              <w:jc w:val="right"/>
              <w:rPr>
                <w:sz w:val="12"/>
                <w:szCs w:val="12"/>
                <w:lang w:val="fr-BE"/>
              </w:rPr>
            </w:pPr>
          </w:p>
        </w:tc>
        <w:tc>
          <w:tcPr>
            <w:tcW w:w="0" w:type="auto"/>
            <w:shd w:val="clear" w:color="auto" w:fill="auto"/>
          </w:tcPr>
          <w:p w14:paraId="3DD1B369" w14:textId="77777777" w:rsidR="008C5CFA" w:rsidRPr="00BA47B4" w:rsidRDefault="008C5CFA" w:rsidP="00300A01">
            <w:pPr>
              <w:spacing w:before="0" w:after="0"/>
              <w:jc w:val="right"/>
              <w:rPr>
                <w:sz w:val="12"/>
                <w:szCs w:val="12"/>
                <w:lang w:val="fr-BE"/>
              </w:rPr>
            </w:pPr>
          </w:p>
        </w:tc>
        <w:tc>
          <w:tcPr>
            <w:tcW w:w="0" w:type="auto"/>
            <w:shd w:val="clear" w:color="auto" w:fill="auto"/>
          </w:tcPr>
          <w:p w14:paraId="30DC951E" w14:textId="77777777" w:rsidR="008C5CFA" w:rsidRPr="00BA47B4" w:rsidRDefault="008C5CFA" w:rsidP="00300A01">
            <w:pPr>
              <w:spacing w:before="0" w:after="0"/>
              <w:jc w:val="right"/>
              <w:rPr>
                <w:sz w:val="12"/>
                <w:szCs w:val="12"/>
                <w:lang w:val="fr-BE"/>
              </w:rPr>
            </w:pPr>
          </w:p>
        </w:tc>
        <w:tc>
          <w:tcPr>
            <w:tcW w:w="0" w:type="auto"/>
            <w:shd w:val="clear" w:color="auto" w:fill="auto"/>
          </w:tcPr>
          <w:p w14:paraId="19516ECD" w14:textId="77777777" w:rsidR="008C5CFA" w:rsidRPr="00BA47B4" w:rsidRDefault="00E82A60" w:rsidP="00300A01">
            <w:pPr>
              <w:spacing w:before="0" w:after="0"/>
              <w:jc w:val="right"/>
              <w:rPr>
                <w:sz w:val="12"/>
                <w:szCs w:val="12"/>
                <w:lang w:val="fr-BE"/>
              </w:rPr>
            </w:pPr>
            <w:r w:rsidRPr="00BA47B4">
              <w:rPr>
                <w:noProof/>
                <w:sz w:val="12"/>
                <w:szCs w:val="12"/>
                <w:lang w:val="fr-BE"/>
              </w:rPr>
              <w:t>1,00</w:t>
            </w:r>
          </w:p>
        </w:tc>
        <w:tc>
          <w:tcPr>
            <w:tcW w:w="0" w:type="auto"/>
            <w:shd w:val="clear" w:color="auto" w:fill="auto"/>
          </w:tcPr>
          <w:p w14:paraId="64146C36" w14:textId="77777777" w:rsidR="008C5CFA" w:rsidRPr="00BA47B4" w:rsidRDefault="008C5CFA" w:rsidP="00300A01">
            <w:pPr>
              <w:spacing w:before="0" w:after="0"/>
              <w:jc w:val="right"/>
              <w:rPr>
                <w:sz w:val="12"/>
                <w:szCs w:val="12"/>
                <w:lang w:val="fr-BE"/>
              </w:rPr>
            </w:pPr>
          </w:p>
        </w:tc>
        <w:tc>
          <w:tcPr>
            <w:tcW w:w="0" w:type="auto"/>
            <w:shd w:val="clear" w:color="auto" w:fill="auto"/>
          </w:tcPr>
          <w:p w14:paraId="7E88473A" w14:textId="77777777" w:rsidR="008C5CFA" w:rsidRPr="00BA47B4" w:rsidRDefault="008C5CFA" w:rsidP="00300A01">
            <w:pPr>
              <w:spacing w:before="0" w:after="0"/>
              <w:jc w:val="right"/>
              <w:rPr>
                <w:sz w:val="12"/>
                <w:szCs w:val="12"/>
                <w:lang w:val="fr-BE"/>
              </w:rPr>
            </w:pPr>
          </w:p>
        </w:tc>
        <w:tc>
          <w:tcPr>
            <w:tcW w:w="0" w:type="auto"/>
            <w:shd w:val="clear" w:color="auto" w:fill="auto"/>
          </w:tcPr>
          <w:p w14:paraId="4D2186B0" w14:textId="77777777" w:rsidR="008C5CFA" w:rsidRPr="00BA47B4" w:rsidRDefault="008C5CFA" w:rsidP="00300A01">
            <w:pPr>
              <w:spacing w:before="0" w:after="0"/>
              <w:jc w:val="right"/>
              <w:rPr>
                <w:sz w:val="12"/>
                <w:szCs w:val="12"/>
                <w:lang w:val="fr-BE"/>
              </w:rPr>
            </w:pPr>
          </w:p>
        </w:tc>
        <w:tc>
          <w:tcPr>
            <w:tcW w:w="0" w:type="auto"/>
            <w:shd w:val="clear" w:color="auto" w:fill="auto"/>
          </w:tcPr>
          <w:p w14:paraId="1A38E947" w14:textId="77777777" w:rsidR="008C5CFA" w:rsidRPr="00BA47B4" w:rsidRDefault="008C5CFA" w:rsidP="00300A01">
            <w:pPr>
              <w:spacing w:before="0" w:after="0"/>
              <w:jc w:val="right"/>
              <w:rPr>
                <w:sz w:val="12"/>
                <w:szCs w:val="12"/>
                <w:lang w:val="fr-BE"/>
              </w:rPr>
            </w:pPr>
          </w:p>
        </w:tc>
        <w:tc>
          <w:tcPr>
            <w:tcW w:w="0" w:type="auto"/>
            <w:shd w:val="clear" w:color="auto" w:fill="auto"/>
          </w:tcPr>
          <w:p w14:paraId="145A0C62" w14:textId="77777777" w:rsidR="008C5CFA" w:rsidRPr="00BA47B4" w:rsidRDefault="008C5CFA" w:rsidP="00300A01">
            <w:pPr>
              <w:spacing w:before="0" w:after="0"/>
              <w:jc w:val="right"/>
              <w:rPr>
                <w:sz w:val="12"/>
                <w:szCs w:val="12"/>
                <w:lang w:val="fr-BE"/>
              </w:rPr>
            </w:pPr>
          </w:p>
        </w:tc>
        <w:tc>
          <w:tcPr>
            <w:tcW w:w="0" w:type="auto"/>
          </w:tcPr>
          <w:p w14:paraId="5D99B8EF"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14:paraId="6D587E8A" w14:textId="77777777" w:rsidR="008C5CFA" w:rsidRPr="00A92B39" w:rsidRDefault="008C5CFA" w:rsidP="00300A01">
            <w:pPr>
              <w:spacing w:before="0" w:after="0"/>
              <w:jc w:val="right"/>
              <w:rPr>
                <w:sz w:val="10"/>
                <w:szCs w:val="10"/>
                <w:lang w:val="fr-BE"/>
              </w:rPr>
            </w:pPr>
          </w:p>
        </w:tc>
        <w:tc>
          <w:tcPr>
            <w:tcW w:w="0" w:type="auto"/>
            <w:shd w:val="clear" w:color="auto" w:fill="auto"/>
          </w:tcPr>
          <w:p w14:paraId="76FB6C8A" w14:textId="77777777" w:rsidR="008C5CFA" w:rsidRPr="00BA47B4" w:rsidRDefault="008C5CFA" w:rsidP="00300A01">
            <w:pPr>
              <w:spacing w:before="0" w:after="0"/>
              <w:jc w:val="right"/>
              <w:rPr>
                <w:sz w:val="12"/>
                <w:szCs w:val="12"/>
                <w:lang w:val="fr-BE"/>
              </w:rPr>
            </w:pPr>
          </w:p>
        </w:tc>
      </w:tr>
      <w:tr w:rsidR="006B2EC1" w14:paraId="3CA0B4CF" w14:textId="77777777" w:rsidTr="0047688D">
        <w:tc>
          <w:tcPr>
            <w:tcW w:w="0" w:type="auto"/>
            <w:shd w:val="clear" w:color="auto" w:fill="auto"/>
          </w:tcPr>
          <w:p w14:paraId="13B83DB8" w14:textId="77777777" w:rsidR="008C5CFA" w:rsidRPr="00BA47B4" w:rsidRDefault="00E82A60" w:rsidP="00300A01">
            <w:pPr>
              <w:spacing w:before="0" w:after="0"/>
              <w:rPr>
                <w:sz w:val="12"/>
                <w:szCs w:val="12"/>
                <w:lang w:val="fr-BE"/>
              </w:rPr>
            </w:pPr>
            <w:r>
              <w:rPr>
                <w:noProof/>
                <w:sz w:val="12"/>
                <w:szCs w:val="12"/>
                <w:lang w:val="fr-BE"/>
              </w:rPr>
              <w:t>CO21</w:t>
            </w:r>
          </w:p>
        </w:tc>
        <w:tc>
          <w:tcPr>
            <w:tcW w:w="0" w:type="auto"/>
            <w:shd w:val="clear" w:color="auto" w:fill="auto"/>
          </w:tcPr>
          <w:p w14:paraId="1E2465F5" w14:textId="77777777" w:rsidR="008C5CFA" w:rsidRPr="00BA47B4" w:rsidRDefault="00E82A60" w:rsidP="00300A01">
            <w:pPr>
              <w:spacing w:before="0" w:after="0"/>
              <w:rPr>
                <w:sz w:val="12"/>
                <w:szCs w:val="12"/>
                <w:lang w:val="fr-BE"/>
              </w:rPr>
            </w:pPr>
            <w:r>
              <w:rPr>
                <w:noProof/>
                <w:sz w:val="12"/>
                <w:szCs w:val="12"/>
                <w:lang w:val="fr-BE"/>
              </w:rPr>
              <w:t>liczba projektów ukierunkowanych na trwały udział kobiet w zatrudnieniu i rozwój ich kariery zawodowej</w:t>
            </w:r>
          </w:p>
        </w:tc>
        <w:tc>
          <w:tcPr>
            <w:tcW w:w="0" w:type="auto"/>
            <w:shd w:val="clear" w:color="auto" w:fill="auto"/>
          </w:tcPr>
          <w:p w14:paraId="75681EA0" w14:textId="77777777" w:rsidR="008C5CFA" w:rsidRPr="00BA47B4" w:rsidRDefault="00E82A60"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14:paraId="366BC9ED" w14:textId="77777777" w:rsidR="008C5CFA" w:rsidRPr="00BA47B4" w:rsidRDefault="008C5CFA" w:rsidP="00300A01">
            <w:pPr>
              <w:spacing w:before="0" w:after="0"/>
              <w:jc w:val="right"/>
              <w:rPr>
                <w:sz w:val="12"/>
                <w:szCs w:val="12"/>
                <w:lang w:val="fr-BE"/>
              </w:rPr>
            </w:pPr>
          </w:p>
        </w:tc>
        <w:tc>
          <w:tcPr>
            <w:tcW w:w="0" w:type="auto"/>
            <w:shd w:val="clear" w:color="auto" w:fill="auto"/>
          </w:tcPr>
          <w:p w14:paraId="602E4EDB" w14:textId="77777777" w:rsidR="008C5CFA" w:rsidRPr="00BA47B4" w:rsidRDefault="008C5CFA" w:rsidP="00300A01">
            <w:pPr>
              <w:spacing w:before="0" w:after="0"/>
              <w:jc w:val="right"/>
              <w:rPr>
                <w:sz w:val="12"/>
                <w:szCs w:val="12"/>
                <w:lang w:val="fr-BE"/>
              </w:rPr>
            </w:pPr>
          </w:p>
        </w:tc>
        <w:tc>
          <w:tcPr>
            <w:tcW w:w="0" w:type="auto"/>
            <w:shd w:val="clear" w:color="auto" w:fill="auto"/>
          </w:tcPr>
          <w:p w14:paraId="6B940584" w14:textId="77777777" w:rsidR="008C5CFA" w:rsidRPr="00BA47B4" w:rsidRDefault="008C5CFA" w:rsidP="00300A01">
            <w:pPr>
              <w:spacing w:before="0" w:after="0"/>
              <w:jc w:val="right"/>
              <w:rPr>
                <w:sz w:val="12"/>
                <w:szCs w:val="12"/>
                <w:lang w:val="fr-BE"/>
              </w:rPr>
            </w:pPr>
          </w:p>
        </w:tc>
        <w:tc>
          <w:tcPr>
            <w:tcW w:w="0" w:type="auto"/>
            <w:shd w:val="clear" w:color="auto" w:fill="auto"/>
          </w:tcPr>
          <w:p w14:paraId="28A4909E" w14:textId="77777777" w:rsidR="008C5CFA" w:rsidRPr="00BA47B4" w:rsidRDefault="00E82A60" w:rsidP="00300A01">
            <w:pPr>
              <w:spacing w:before="0" w:after="0"/>
              <w:jc w:val="right"/>
              <w:rPr>
                <w:sz w:val="12"/>
                <w:szCs w:val="12"/>
                <w:lang w:val="fr-BE"/>
              </w:rPr>
            </w:pPr>
            <w:r w:rsidRPr="00BA47B4">
              <w:rPr>
                <w:noProof/>
                <w:sz w:val="12"/>
                <w:szCs w:val="12"/>
                <w:lang w:val="fr-BE"/>
              </w:rPr>
              <w:t>13,00</w:t>
            </w:r>
          </w:p>
        </w:tc>
        <w:tc>
          <w:tcPr>
            <w:tcW w:w="0" w:type="auto"/>
            <w:shd w:val="clear" w:color="auto" w:fill="auto"/>
          </w:tcPr>
          <w:p w14:paraId="4C4CB405" w14:textId="77777777" w:rsidR="008C5CFA" w:rsidRPr="00BA47B4" w:rsidRDefault="008C5CFA" w:rsidP="00300A01">
            <w:pPr>
              <w:spacing w:before="0" w:after="0"/>
              <w:jc w:val="right"/>
              <w:rPr>
                <w:sz w:val="12"/>
                <w:szCs w:val="12"/>
                <w:lang w:val="fr-BE"/>
              </w:rPr>
            </w:pPr>
          </w:p>
        </w:tc>
        <w:tc>
          <w:tcPr>
            <w:tcW w:w="0" w:type="auto"/>
            <w:shd w:val="clear" w:color="auto" w:fill="auto"/>
          </w:tcPr>
          <w:p w14:paraId="35A30D9E" w14:textId="77777777" w:rsidR="008C5CFA" w:rsidRPr="00BA47B4" w:rsidRDefault="008C5CFA" w:rsidP="00300A01">
            <w:pPr>
              <w:spacing w:before="0" w:after="0"/>
              <w:jc w:val="right"/>
              <w:rPr>
                <w:sz w:val="12"/>
                <w:szCs w:val="12"/>
                <w:lang w:val="fr-BE"/>
              </w:rPr>
            </w:pPr>
          </w:p>
        </w:tc>
        <w:tc>
          <w:tcPr>
            <w:tcW w:w="0" w:type="auto"/>
            <w:shd w:val="clear" w:color="auto" w:fill="auto"/>
          </w:tcPr>
          <w:p w14:paraId="4B4E2C28" w14:textId="77777777" w:rsidR="008C5CFA" w:rsidRPr="00BA47B4" w:rsidRDefault="008C5CFA" w:rsidP="00300A01">
            <w:pPr>
              <w:spacing w:before="0" w:after="0"/>
              <w:jc w:val="right"/>
              <w:rPr>
                <w:sz w:val="12"/>
                <w:szCs w:val="12"/>
                <w:lang w:val="fr-BE"/>
              </w:rPr>
            </w:pPr>
          </w:p>
        </w:tc>
        <w:tc>
          <w:tcPr>
            <w:tcW w:w="0" w:type="auto"/>
            <w:shd w:val="clear" w:color="auto" w:fill="auto"/>
          </w:tcPr>
          <w:p w14:paraId="1100D87F" w14:textId="77777777" w:rsidR="008C5CFA" w:rsidRPr="00BA47B4" w:rsidRDefault="008C5CFA" w:rsidP="00300A01">
            <w:pPr>
              <w:spacing w:before="0" w:after="0"/>
              <w:jc w:val="right"/>
              <w:rPr>
                <w:sz w:val="12"/>
                <w:szCs w:val="12"/>
                <w:lang w:val="fr-BE"/>
              </w:rPr>
            </w:pPr>
          </w:p>
        </w:tc>
        <w:tc>
          <w:tcPr>
            <w:tcW w:w="0" w:type="auto"/>
            <w:shd w:val="clear" w:color="auto" w:fill="auto"/>
          </w:tcPr>
          <w:p w14:paraId="687E2B12" w14:textId="77777777" w:rsidR="008C5CFA" w:rsidRPr="00BA47B4" w:rsidRDefault="008C5CFA" w:rsidP="00300A01">
            <w:pPr>
              <w:spacing w:before="0" w:after="0"/>
              <w:jc w:val="right"/>
              <w:rPr>
                <w:sz w:val="12"/>
                <w:szCs w:val="12"/>
                <w:lang w:val="fr-BE"/>
              </w:rPr>
            </w:pPr>
          </w:p>
        </w:tc>
        <w:tc>
          <w:tcPr>
            <w:tcW w:w="0" w:type="auto"/>
          </w:tcPr>
          <w:p w14:paraId="4B472E73" w14:textId="77777777" w:rsidR="008C5CFA" w:rsidRPr="00A92B39" w:rsidRDefault="00E82A60" w:rsidP="00300A01">
            <w:pPr>
              <w:spacing w:before="0" w:after="0"/>
              <w:jc w:val="right"/>
              <w:rPr>
                <w:sz w:val="10"/>
                <w:szCs w:val="10"/>
                <w:lang w:val="fr-BE"/>
              </w:rPr>
            </w:pPr>
            <w:r w:rsidRPr="00A92B39">
              <w:rPr>
                <w:noProof/>
                <w:sz w:val="10"/>
                <w:szCs w:val="10"/>
                <w:lang w:val="fr-BE"/>
              </w:rPr>
              <w:t>3,00</w:t>
            </w:r>
          </w:p>
        </w:tc>
        <w:tc>
          <w:tcPr>
            <w:tcW w:w="0" w:type="auto"/>
            <w:shd w:val="clear" w:color="auto" w:fill="auto"/>
          </w:tcPr>
          <w:p w14:paraId="04CDD49D" w14:textId="77777777" w:rsidR="008C5CFA" w:rsidRPr="00A92B39" w:rsidRDefault="008C5CFA" w:rsidP="00300A01">
            <w:pPr>
              <w:spacing w:before="0" w:after="0"/>
              <w:jc w:val="right"/>
              <w:rPr>
                <w:sz w:val="10"/>
                <w:szCs w:val="10"/>
                <w:lang w:val="fr-BE"/>
              </w:rPr>
            </w:pPr>
          </w:p>
        </w:tc>
        <w:tc>
          <w:tcPr>
            <w:tcW w:w="0" w:type="auto"/>
            <w:shd w:val="clear" w:color="auto" w:fill="auto"/>
          </w:tcPr>
          <w:p w14:paraId="67622E8D" w14:textId="77777777" w:rsidR="008C5CFA" w:rsidRPr="00BA47B4" w:rsidRDefault="008C5CFA" w:rsidP="00300A01">
            <w:pPr>
              <w:spacing w:before="0" w:after="0"/>
              <w:jc w:val="right"/>
              <w:rPr>
                <w:sz w:val="12"/>
                <w:szCs w:val="12"/>
                <w:lang w:val="fr-BE"/>
              </w:rPr>
            </w:pPr>
          </w:p>
        </w:tc>
      </w:tr>
      <w:tr w:rsidR="006B2EC1" w14:paraId="7A5DBFD3" w14:textId="77777777" w:rsidTr="0047688D">
        <w:tc>
          <w:tcPr>
            <w:tcW w:w="0" w:type="auto"/>
            <w:shd w:val="clear" w:color="auto" w:fill="auto"/>
          </w:tcPr>
          <w:p w14:paraId="7C453E04" w14:textId="77777777" w:rsidR="008C5CFA" w:rsidRPr="00BA47B4" w:rsidRDefault="00E82A60" w:rsidP="00300A01">
            <w:pPr>
              <w:spacing w:before="0" w:after="0"/>
              <w:rPr>
                <w:sz w:val="12"/>
                <w:szCs w:val="12"/>
                <w:lang w:val="fr-BE"/>
              </w:rPr>
            </w:pPr>
            <w:r>
              <w:rPr>
                <w:noProof/>
                <w:sz w:val="12"/>
                <w:szCs w:val="12"/>
                <w:lang w:val="fr-BE"/>
              </w:rPr>
              <w:t>CO22</w:t>
            </w:r>
          </w:p>
        </w:tc>
        <w:tc>
          <w:tcPr>
            <w:tcW w:w="0" w:type="auto"/>
            <w:shd w:val="clear" w:color="auto" w:fill="auto"/>
          </w:tcPr>
          <w:p w14:paraId="076910F9" w14:textId="77777777" w:rsidR="008C5CFA" w:rsidRPr="00BA47B4" w:rsidRDefault="00E82A60" w:rsidP="00300A01">
            <w:pPr>
              <w:spacing w:before="0" w:after="0"/>
              <w:rPr>
                <w:sz w:val="12"/>
                <w:szCs w:val="12"/>
                <w:lang w:val="fr-BE"/>
              </w:rPr>
            </w:pPr>
            <w:r>
              <w:rPr>
                <w:noProof/>
                <w:sz w:val="12"/>
                <w:szCs w:val="12"/>
                <w:lang w:val="fr-BE"/>
              </w:rPr>
              <w:t>liczba projektów obejmujących administrację publiczną lub służby publiczne na szczeblu krajowym, regionalnym lub lokalnym</w:t>
            </w:r>
          </w:p>
        </w:tc>
        <w:tc>
          <w:tcPr>
            <w:tcW w:w="0" w:type="auto"/>
            <w:shd w:val="clear" w:color="auto" w:fill="auto"/>
          </w:tcPr>
          <w:p w14:paraId="64BCDB20" w14:textId="77777777" w:rsidR="008C5CFA" w:rsidRPr="00BA47B4" w:rsidRDefault="00E82A60"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14:paraId="3C2F3D15" w14:textId="77777777" w:rsidR="008C5CFA" w:rsidRPr="00BA47B4" w:rsidRDefault="008C5CFA" w:rsidP="00300A01">
            <w:pPr>
              <w:spacing w:before="0" w:after="0"/>
              <w:jc w:val="right"/>
              <w:rPr>
                <w:sz w:val="12"/>
                <w:szCs w:val="12"/>
                <w:lang w:val="fr-BE"/>
              </w:rPr>
            </w:pPr>
          </w:p>
        </w:tc>
        <w:tc>
          <w:tcPr>
            <w:tcW w:w="0" w:type="auto"/>
            <w:shd w:val="clear" w:color="auto" w:fill="auto"/>
          </w:tcPr>
          <w:p w14:paraId="7B471C07" w14:textId="77777777" w:rsidR="008C5CFA" w:rsidRPr="00BA47B4" w:rsidRDefault="008C5CFA" w:rsidP="00300A01">
            <w:pPr>
              <w:spacing w:before="0" w:after="0"/>
              <w:jc w:val="right"/>
              <w:rPr>
                <w:sz w:val="12"/>
                <w:szCs w:val="12"/>
                <w:lang w:val="fr-BE"/>
              </w:rPr>
            </w:pPr>
          </w:p>
        </w:tc>
        <w:tc>
          <w:tcPr>
            <w:tcW w:w="0" w:type="auto"/>
            <w:shd w:val="clear" w:color="auto" w:fill="auto"/>
          </w:tcPr>
          <w:p w14:paraId="720B2ABB" w14:textId="77777777" w:rsidR="008C5CFA" w:rsidRPr="00BA47B4" w:rsidRDefault="008C5CFA" w:rsidP="00300A01">
            <w:pPr>
              <w:spacing w:before="0" w:after="0"/>
              <w:jc w:val="right"/>
              <w:rPr>
                <w:sz w:val="12"/>
                <w:szCs w:val="12"/>
                <w:lang w:val="fr-BE"/>
              </w:rPr>
            </w:pPr>
          </w:p>
        </w:tc>
        <w:tc>
          <w:tcPr>
            <w:tcW w:w="0" w:type="auto"/>
            <w:shd w:val="clear" w:color="auto" w:fill="auto"/>
          </w:tcPr>
          <w:p w14:paraId="3173413E"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2D9AC45C" w14:textId="77777777" w:rsidR="008C5CFA" w:rsidRPr="00BA47B4" w:rsidRDefault="008C5CFA" w:rsidP="00300A01">
            <w:pPr>
              <w:spacing w:before="0" w:after="0"/>
              <w:jc w:val="right"/>
              <w:rPr>
                <w:sz w:val="12"/>
                <w:szCs w:val="12"/>
                <w:lang w:val="fr-BE"/>
              </w:rPr>
            </w:pPr>
          </w:p>
        </w:tc>
        <w:tc>
          <w:tcPr>
            <w:tcW w:w="0" w:type="auto"/>
            <w:shd w:val="clear" w:color="auto" w:fill="auto"/>
          </w:tcPr>
          <w:p w14:paraId="256BD949" w14:textId="77777777" w:rsidR="008C5CFA" w:rsidRPr="00BA47B4" w:rsidRDefault="008C5CFA" w:rsidP="00300A01">
            <w:pPr>
              <w:spacing w:before="0" w:after="0"/>
              <w:jc w:val="right"/>
              <w:rPr>
                <w:sz w:val="12"/>
                <w:szCs w:val="12"/>
                <w:lang w:val="fr-BE"/>
              </w:rPr>
            </w:pPr>
          </w:p>
        </w:tc>
        <w:tc>
          <w:tcPr>
            <w:tcW w:w="0" w:type="auto"/>
            <w:shd w:val="clear" w:color="auto" w:fill="auto"/>
          </w:tcPr>
          <w:p w14:paraId="357B9385" w14:textId="77777777" w:rsidR="008C5CFA" w:rsidRPr="00BA47B4" w:rsidRDefault="008C5CFA" w:rsidP="00300A01">
            <w:pPr>
              <w:spacing w:before="0" w:after="0"/>
              <w:jc w:val="right"/>
              <w:rPr>
                <w:sz w:val="12"/>
                <w:szCs w:val="12"/>
                <w:lang w:val="fr-BE"/>
              </w:rPr>
            </w:pPr>
          </w:p>
        </w:tc>
        <w:tc>
          <w:tcPr>
            <w:tcW w:w="0" w:type="auto"/>
            <w:shd w:val="clear" w:color="auto" w:fill="auto"/>
          </w:tcPr>
          <w:p w14:paraId="60D73287" w14:textId="77777777" w:rsidR="008C5CFA" w:rsidRPr="00BA47B4" w:rsidRDefault="008C5CFA" w:rsidP="00300A01">
            <w:pPr>
              <w:spacing w:before="0" w:after="0"/>
              <w:jc w:val="right"/>
              <w:rPr>
                <w:sz w:val="12"/>
                <w:szCs w:val="12"/>
                <w:lang w:val="fr-BE"/>
              </w:rPr>
            </w:pPr>
          </w:p>
        </w:tc>
        <w:tc>
          <w:tcPr>
            <w:tcW w:w="0" w:type="auto"/>
            <w:shd w:val="clear" w:color="auto" w:fill="auto"/>
          </w:tcPr>
          <w:p w14:paraId="3ABA3D62" w14:textId="77777777" w:rsidR="008C5CFA" w:rsidRPr="00BA47B4" w:rsidRDefault="008C5CFA" w:rsidP="00300A01">
            <w:pPr>
              <w:spacing w:before="0" w:after="0"/>
              <w:jc w:val="right"/>
              <w:rPr>
                <w:sz w:val="12"/>
                <w:szCs w:val="12"/>
                <w:lang w:val="fr-BE"/>
              </w:rPr>
            </w:pPr>
          </w:p>
        </w:tc>
        <w:tc>
          <w:tcPr>
            <w:tcW w:w="0" w:type="auto"/>
          </w:tcPr>
          <w:p w14:paraId="15D1B85D"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14:paraId="299A8082" w14:textId="77777777" w:rsidR="008C5CFA" w:rsidRPr="00A92B39" w:rsidRDefault="008C5CFA" w:rsidP="00300A01">
            <w:pPr>
              <w:spacing w:before="0" w:after="0"/>
              <w:jc w:val="right"/>
              <w:rPr>
                <w:sz w:val="10"/>
                <w:szCs w:val="10"/>
                <w:lang w:val="fr-BE"/>
              </w:rPr>
            </w:pPr>
          </w:p>
        </w:tc>
        <w:tc>
          <w:tcPr>
            <w:tcW w:w="0" w:type="auto"/>
            <w:shd w:val="clear" w:color="auto" w:fill="auto"/>
          </w:tcPr>
          <w:p w14:paraId="2740C1F6" w14:textId="77777777" w:rsidR="008C5CFA" w:rsidRPr="00BA47B4" w:rsidRDefault="008C5CFA" w:rsidP="00300A01">
            <w:pPr>
              <w:spacing w:before="0" w:after="0"/>
              <w:jc w:val="right"/>
              <w:rPr>
                <w:sz w:val="12"/>
                <w:szCs w:val="12"/>
                <w:lang w:val="fr-BE"/>
              </w:rPr>
            </w:pPr>
          </w:p>
        </w:tc>
      </w:tr>
      <w:tr w:rsidR="006B2EC1" w14:paraId="39F68EE0" w14:textId="77777777" w:rsidTr="0047688D">
        <w:tc>
          <w:tcPr>
            <w:tcW w:w="0" w:type="auto"/>
            <w:shd w:val="clear" w:color="auto" w:fill="auto"/>
          </w:tcPr>
          <w:p w14:paraId="7994EA19" w14:textId="77777777" w:rsidR="008C5CFA" w:rsidRPr="00BA47B4" w:rsidRDefault="00E82A60" w:rsidP="00300A01">
            <w:pPr>
              <w:spacing w:before="0" w:after="0"/>
              <w:rPr>
                <w:sz w:val="12"/>
                <w:szCs w:val="12"/>
                <w:lang w:val="fr-BE"/>
              </w:rPr>
            </w:pPr>
            <w:r>
              <w:rPr>
                <w:noProof/>
                <w:sz w:val="12"/>
                <w:szCs w:val="12"/>
                <w:lang w:val="fr-BE"/>
              </w:rPr>
              <w:t>CO23</w:t>
            </w:r>
          </w:p>
        </w:tc>
        <w:tc>
          <w:tcPr>
            <w:tcW w:w="0" w:type="auto"/>
            <w:shd w:val="clear" w:color="auto" w:fill="auto"/>
          </w:tcPr>
          <w:p w14:paraId="60E5C960" w14:textId="77777777" w:rsidR="008C5CFA" w:rsidRPr="00BA47B4" w:rsidRDefault="00E82A60" w:rsidP="00300A01">
            <w:pPr>
              <w:spacing w:before="0" w:after="0"/>
              <w:rPr>
                <w:sz w:val="12"/>
                <w:szCs w:val="12"/>
                <w:lang w:val="fr-BE"/>
              </w:rPr>
            </w:pPr>
            <w:r>
              <w:rPr>
                <w:noProof/>
                <w:sz w:val="12"/>
                <w:szCs w:val="12"/>
                <w:lang w:val="fr-BE"/>
              </w:rPr>
              <w:t>liczba objętych wsparciem mikro-, małych i średnich przedsiębiorstw (w tym przedsiębiorstw spółdzielczych i przedsiębiorstw gospodarki społecznej)</w:t>
            </w:r>
          </w:p>
        </w:tc>
        <w:tc>
          <w:tcPr>
            <w:tcW w:w="0" w:type="auto"/>
            <w:shd w:val="clear" w:color="auto" w:fill="auto"/>
          </w:tcPr>
          <w:p w14:paraId="6A6B514C" w14:textId="77777777" w:rsidR="008C5CFA" w:rsidRPr="00BA47B4" w:rsidRDefault="00E82A60"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14:paraId="321AC041" w14:textId="77777777" w:rsidR="008C5CFA" w:rsidRPr="00BA47B4" w:rsidRDefault="008C5CFA" w:rsidP="00300A01">
            <w:pPr>
              <w:spacing w:before="0" w:after="0"/>
              <w:jc w:val="right"/>
              <w:rPr>
                <w:sz w:val="12"/>
                <w:szCs w:val="12"/>
                <w:lang w:val="fr-BE"/>
              </w:rPr>
            </w:pPr>
          </w:p>
        </w:tc>
        <w:tc>
          <w:tcPr>
            <w:tcW w:w="0" w:type="auto"/>
            <w:shd w:val="clear" w:color="auto" w:fill="auto"/>
          </w:tcPr>
          <w:p w14:paraId="474E49D1" w14:textId="77777777" w:rsidR="008C5CFA" w:rsidRPr="00BA47B4" w:rsidRDefault="008C5CFA" w:rsidP="00300A01">
            <w:pPr>
              <w:spacing w:before="0" w:after="0"/>
              <w:jc w:val="right"/>
              <w:rPr>
                <w:sz w:val="12"/>
                <w:szCs w:val="12"/>
                <w:lang w:val="fr-BE"/>
              </w:rPr>
            </w:pPr>
          </w:p>
        </w:tc>
        <w:tc>
          <w:tcPr>
            <w:tcW w:w="0" w:type="auto"/>
            <w:shd w:val="clear" w:color="auto" w:fill="auto"/>
          </w:tcPr>
          <w:p w14:paraId="2172A65A" w14:textId="77777777" w:rsidR="008C5CFA" w:rsidRPr="00BA47B4" w:rsidRDefault="008C5CFA" w:rsidP="00300A01">
            <w:pPr>
              <w:spacing w:before="0" w:after="0"/>
              <w:jc w:val="right"/>
              <w:rPr>
                <w:sz w:val="12"/>
                <w:szCs w:val="12"/>
                <w:lang w:val="fr-BE"/>
              </w:rPr>
            </w:pPr>
          </w:p>
        </w:tc>
        <w:tc>
          <w:tcPr>
            <w:tcW w:w="0" w:type="auto"/>
            <w:shd w:val="clear" w:color="auto" w:fill="auto"/>
          </w:tcPr>
          <w:p w14:paraId="466492DA"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1B628BF7" w14:textId="77777777" w:rsidR="008C5CFA" w:rsidRPr="00BA47B4" w:rsidRDefault="008C5CFA" w:rsidP="00300A01">
            <w:pPr>
              <w:spacing w:before="0" w:after="0"/>
              <w:jc w:val="right"/>
              <w:rPr>
                <w:sz w:val="12"/>
                <w:szCs w:val="12"/>
                <w:lang w:val="fr-BE"/>
              </w:rPr>
            </w:pPr>
          </w:p>
        </w:tc>
        <w:tc>
          <w:tcPr>
            <w:tcW w:w="0" w:type="auto"/>
            <w:shd w:val="clear" w:color="auto" w:fill="auto"/>
          </w:tcPr>
          <w:p w14:paraId="2EA0433F" w14:textId="77777777" w:rsidR="008C5CFA" w:rsidRPr="00BA47B4" w:rsidRDefault="008C5CFA" w:rsidP="00300A01">
            <w:pPr>
              <w:spacing w:before="0" w:after="0"/>
              <w:jc w:val="right"/>
              <w:rPr>
                <w:sz w:val="12"/>
                <w:szCs w:val="12"/>
                <w:lang w:val="fr-BE"/>
              </w:rPr>
            </w:pPr>
          </w:p>
        </w:tc>
        <w:tc>
          <w:tcPr>
            <w:tcW w:w="0" w:type="auto"/>
            <w:shd w:val="clear" w:color="auto" w:fill="auto"/>
          </w:tcPr>
          <w:p w14:paraId="55408A6C" w14:textId="77777777" w:rsidR="008C5CFA" w:rsidRPr="00BA47B4" w:rsidRDefault="008C5CFA" w:rsidP="00300A01">
            <w:pPr>
              <w:spacing w:before="0" w:after="0"/>
              <w:jc w:val="right"/>
              <w:rPr>
                <w:sz w:val="12"/>
                <w:szCs w:val="12"/>
                <w:lang w:val="fr-BE"/>
              </w:rPr>
            </w:pPr>
          </w:p>
        </w:tc>
        <w:tc>
          <w:tcPr>
            <w:tcW w:w="0" w:type="auto"/>
            <w:shd w:val="clear" w:color="auto" w:fill="auto"/>
          </w:tcPr>
          <w:p w14:paraId="280B3677" w14:textId="77777777" w:rsidR="008C5CFA" w:rsidRPr="00BA47B4" w:rsidRDefault="008C5CFA" w:rsidP="00300A01">
            <w:pPr>
              <w:spacing w:before="0" w:after="0"/>
              <w:jc w:val="right"/>
              <w:rPr>
                <w:sz w:val="12"/>
                <w:szCs w:val="12"/>
                <w:lang w:val="fr-BE"/>
              </w:rPr>
            </w:pPr>
          </w:p>
        </w:tc>
        <w:tc>
          <w:tcPr>
            <w:tcW w:w="0" w:type="auto"/>
            <w:shd w:val="clear" w:color="auto" w:fill="auto"/>
          </w:tcPr>
          <w:p w14:paraId="513535EA" w14:textId="77777777" w:rsidR="008C5CFA" w:rsidRPr="00BA47B4" w:rsidRDefault="008C5CFA" w:rsidP="00300A01">
            <w:pPr>
              <w:spacing w:before="0" w:after="0"/>
              <w:jc w:val="right"/>
              <w:rPr>
                <w:sz w:val="12"/>
                <w:szCs w:val="12"/>
                <w:lang w:val="fr-BE"/>
              </w:rPr>
            </w:pPr>
          </w:p>
        </w:tc>
        <w:tc>
          <w:tcPr>
            <w:tcW w:w="0" w:type="auto"/>
          </w:tcPr>
          <w:p w14:paraId="0162452D"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14:paraId="320489CB" w14:textId="77777777" w:rsidR="008C5CFA" w:rsidRPr="00A92B39" w:rsidRDefault="008C5CFA" w:rsidP="00300A01">
            <w:pPr>
              <w:spacing w:before="0" w:after="0"/>
              <w:jc w:val="right"/>
              <w:rPr>
                <w:sz w:val="10"/>
                <w:szCs w:val="10"/>
                <w:lang w:val="fr-BE"/>
              </w:rPr>
            </w:pPr>
          </w:p>
        </w:tc>
        <w:tc>
          <w:tcPr>
            <w:tcW w:w="0" w:type="auto"/>
            <w:shd w:val="clear" w:color="auto" w:fill="auto"/>
          </w:tcPr>
          <w:p w14:paraId="7326FE4C" w14:textId="77777777" w:rsidR="008C5CFA" w:rsidRPr="00BA47B4" w:rsidRDefault="008C5CFA" w:rsidP="00300A01">
            <w:pPr>
              <w:spacing w:before="0" w:after="0"/>
              <w:jc w:val="right"/>
              <w:rPr>
                <w:sz w:val="12"/>
                <w:szCs w:val="12"/>
                <w:lang w:val="fr-BE"/>
              </w:rPr>
            </w:pPr>
          </w:p>
        </w:tc>
      </w:tr>
      <w:tr w:rsidR="006B2EC1" w14:paraId="06C745E5" w14:textId="77777777" w:rsidTr="0047688D">
        <w:tc>
          <w:tcPr>
            <w:tcW w:w="0" w:type="auto"/>
            <w:shd w:val="clear" w:color="auto" w:fill="auto"/>
          </w:tcPr>
          <w:p w14:paraId="42D400C4" w14:textId="77777777" w:rsidR="008C5CFA" w:rsidRPr="00BA47B4" w:rsidRDefault="008C5CFA" w:rsidP="00300A01">
            <w:pPr>
              <w:spacing w:before="0" w:after="0"/>
              <w:rPr>
                <w:sz w:val="12"/>
                <w:szCs w:val="12"/>
                <w:lang w:val="fr-BE"/>
              </w:rPr>
            </w:pPr>
          </w:p>
        </w:tc>
        <w:tc>
          <w:tcPr>
            <w:tcW w:w="0" w:type="auto"/>
            <w:shd w:val="clear" w:color="auto" w:fill="auto"/>
          </w:tcPr>
          <w:p w14:paraId="5A2E2D6D" w14:textId="77777777" w:rsidR="008C5CFA" w:rsidRPr="00BA47B4" w:rsidRDefault="00E82A60" w:rsidP="00300A01">
            <w:pPr>
              <w:spacing w:before="0" w:after="0"/>
              <w:rPr>
                <w:sz w:val="12"/>
                <w:szCs w:val="12"/>
                <w:lang w:val="fr-BE"/>
              </w:rPr>
            </w:pPr>
            <w:r>
              <w:rPr>
                <w:noProof/>
                <w:sz w:val="12"/>
                <w:szCs w:val="12"/>
                <w:lang w:val="fr-BE"/>
              </w:rPr>
              <w:t>Całkowita łączna liczba uczestników</w:t>
            </w:r>
          </w:p>
        </w:tc>
        <w:tc>
          <w:tcPr>
            <w:tcW w:w="0" w:type="auto"/>
            <w:shd w:val="clear" w:color="auto" w:fill="auto"/>
          </w:tcPr>
          <w:p w14:paraId="3891A0B7" w14:textId="77777777" w:rsidR="008C5CFA" w:rsidRPr="00BA47B4" w:rsidRDefault="008C5CFA" w:rsidP="00300A01">
            <w:pPr>
              <w:spacing w:before="0" w:after="0"/>
              <w:rPr>
                <w:sz w:val="12"/>
                <w:szCs w:val="12"/>
                <w:lang w:val="fr-BE"/>
              </w:rPr>
            </w:pPr>
          </w:p>
        </w:tc>
        <w:tc>
          <w:tcPr>
            <w:tcW w:w="0" w:type="auto"/>
            <w:shd w:val="clear" w:color="auto" w:fill="auto"/>
          </w:tcPr>
          <w:p w14:paraId="45CF5875" w14:textId="77777777" w:rsidR="008C5CFA" w:rsidRPr="00BA47B4" w:rsidRDefault="008C5CFA" w:rsidP="00300A01">
            <w:pPr>
              <w:spacing w:before="0" w:after="0"/>
              <w:jc w:val="right"/>
              <w:rPr>
                <w:sz w:val="12"/>
                <w:szCs w:val="12"/>
                <w:lang w:val="fr-BE"/>
              </w:rPr>
            </w:pPr>
          </w:p>
        </w:tc>
        <w:tc>
          <w:tcPr>
            <w:tcW w:w="0" w:type="auto"/>
            <w:shd w:val="clear" w:color="auto" w:fill="auto"/>
          </w:tcPr>
          <w:p w14:paraId="3E816163" w14:textId="77777777" w:rsidR="008C5CFA" w:rsidRPr="00BA47B4" w:rsidRDefault="008C5CFA" w:rsidP="00300A01">
            <w:pPr>
              <w:spacing w:before="0" w:after="0"/>
              <w:jc w:val="right"/>
              <w:rPr>
                <w:sz w:val="12"/>
                <w:szCs w:val="12"/>
                <w:lang w:val="fr-BE"/>
              </w:rPr>
            </w:pPr>
          </w:p>
        </w:tc>
        <w:tc>
          <w:tcPr>
            <w:tcW w:w="0" w:type="auto"/>
            <w:shd w:val="clear" w:color="auto" w:fill="auto"/>
          </w:tcPr>
          <w:p w14:paraId="0481E77D" w14:textId="77777777" w:rsidR="008C5CFA" w:rsidRPr="00BA47B4" w:rsidRDefault="008C5CFA" w:rsidP="00300A01">
            <w:pPr>
              <w:spacing w:before="0" w:after="0"/>
              <w:jc w:val="right"/>
              <w:rPr>
                <w:sz w:val="12"/>
                <w:szCs w:val="12"/>
                <w:lang w:val="fr-BE"/>
              </w:rPr>
            </w:pPr>
          </w:p>
        </w:tc>
        <w:tc>
          <w:tcPr>
            <w:tcW w:w="0" w:type="auto"/>
            <w:shd w:val="clear" w:color="auto" w:fill="auto"/>
          </w:tcPr>
          <w:p w14:paraId="069A55B2" w14:textId="77777777" w:rsidR="008C5CFA" w:rsidRPr="00BA47B4" w:rsidRDefault="00E82A60" w:rsidP="00300A01">
            <w:pPr>
              <w:spacing w:before="0" w:after="0"/>
              <w:jc w:val="right"/>
              <w:rPr>
                <w:sz w:val="12"/>
                <w:szCs w:val="12"/>
                <w:lang w:val="fr-BE"/>
              </w:rPr>
            </w:pPr>
            <w:r w:rsidRPr="00BA47B4">
              <w:rPr>
                <w:noProof/>
                <w:sz w:val="12"/>
                <w:szCs w:val="12"/>
                <w:lang w:val="fr-BE"/>
              </w:rPr>
              <w:t>7 457,00</w:t>
            </w:r>
          </w:p>
        </w:tc>
        <w:tc>
          <w:tcPr>
            <w:tcW w:w="0" w:type="auto"/>
            <w:shd w:val="clear" w:color="auto" w:fill="auto"/>
          </w:tcPr>
          <w:p w14:paraId="69D63260" w14:textId="77777777" w:rsidR="008C5CFA" w:rsidRPr="00BA47B4" w:rsidRDefault="008C5CFA" w:rsidP="00300A01">
            <w:pPr>
              <w:spacing w:before="0" w:after="0"/>
              <w:jc w:val="right"/>
              <w:rPr>
                <w:sz w:val="12"/>
                <w:szCs w:val="12"/>
                <w:lang w:val="fr-BE"/>
              </w:rPr>
            </w:pPr>
          </w:p>
        </w:tc>
        <w:tc>
          <w:tcPr>
            <w:tcW w:w="0" w:type="auto"/>
            <w:shd w:val="clear" w:color="auto" w:fill="auto"/>
          </w:tcPr>
          <w:p w14:paraId="59578D3A" w14:textId="77777777" w:rsidR="008C5CFA" w:rsidRPr="00BA47B4" w:rsidRDefault="008C5CFA" w:rsidP="00300A01">
            <w:pPr>
              <w:spacing w:before="0" w:after="0"/>
              <w:jc w:val="right"/>
              <w:rPr>
                <w:sz w:val="12"/>
                <w:szCs w:val="12"/>
                <w:lang w:val="fr-BE"/>
              </w:rPr>
            </w:pPr>
          </w:p>
        </w:tc>
        <w:tc>
          <w:tcPr>
            <w:tcW w:w="0" w:type="auto"/>
            <w:shd w:val="clear" w:color="auto" w:fill="auto"/>
          </w:tcPr>
          <w:p w14:paraId="0ED1C9AF" w14:textId="77777777" w:rsidR="008C5CFA" w:rsidRPr="00BA47B4" w:rsidRDefault="008C5CFA" w:rsidP="00300A01">
            <w:pPr>
              <w:spacing w:before="0" w:after="0"/>
              <w:jc w:val="right"/>
              <w:rPr>
                <w:sz w:val="12"/>
                <w:szCs w:val="12"/>
                <w:lang w:val="fr-BE"/>
              </w:rPr>
            </w:pPr>
          </w:p>
        </w:tc>
        <w:tc>
          <w:tcPr>
            <w:tcW w:w="0" w:type="auto"/>
            <w:shd w:val="clear" w:color="auto" w:fill="auto"/>
          </w:tcPr>
          <w:p w14:paraId="2132E95C" w14:textId="77777777" w:rsidR="008C5CFA" w:rsidRPr="00BA47B4" w:rsidRDefault="008C5CFA" w:rsidP="00300A01">
            <w:pPr>
              <w:spacing w:before="0" w:after="0"/>
              <w:jc w:val="right"/>
              <w:rPr>
                <w:sz w:val="12"/>
                <w:szCs w:val="12"/>
                <w:lang w:val="fr-BE"/>
              </w:rPr>
            </w:pPr>
          </w:p>
        </w:tc>
        <w:tc>
          <w:tcPr>
            <w:tcW w:w="0" w:type="auto"/>
            <w:shd w:val="clear" w:color="auto" w:fill="auto"/>
          </w:tcPr>
          <w:p w14:paraId="392F3D66" w14:textId="77777777" w:rsidR="008C5CFA" w:rsidRPr="00BA47B4" w:rsidRDefault="008C5CFA" w:rsidP="00300A01">
            <w:pPr>
              <w:spacing w:before="0" w:after="0"/>
              <w:jc w:val="right"/>
              <w:rPr>
                <w:sz w:val="12"/>
                <w:szCs w:val="12"/>
                <w:lang w:val="fr-BE"/>
              </w:rPr>
            </w:pPr>
          </w:p>
        </w:tc>
        <w:tc>
          <w:tcPr>
            <w:tcW w:w="0" w:type="auto"/>
          </w:tcPr>
          <w:p w14:paraId="645336C3" w14:textId="77777777" w:rsidR="008C5CFA" w:rsidRPr="00A92B39" w:rsidRDefault="00E82A60" w:rsidP="00300A01">
            <w:pPr>
              <w:spacing w:before="0" w:after="0"/>
              <w:jc w:val="right"/>
              <w:rPr>
                <w:sz w:val="10"/>
                <w:szCs w:val="10"/>
                <w:lang w:val="fr-BE"/>
              </w:rPr>
            </w:pPr>
            <w:r w:rsidRPr="00A92B39">
              <w:rPr>
                <w:noProof/>
                <w:sz w:val="10"/>
                <w:szCs w:val="10"/>
                <w:lang w:val="fr-BE"/>
              </w:rPr>
              <w:t>4 248,00</w:t>
            </w:r>
          </w:p>
        </w:tc>
        <w:tc>
          <w:tcPr>
            <w:tcW w:w="0" w:type="auto"/>
            <w:shd w:val="clear" w:color="auto" w:fill="auto"/>
          </w:tcPr>
          <w:p w14:paraId="6768C655" w14:textId="77777777" w:rsidR="008C5CFA" w:rsidRPr="00A92B39" w:rsidRDefault="008C5CFA" w:rsidP="00300A01">
            <w:pPr>
              <w:spacing w:before="0" w:after="0"/>
              <w:jc w:val="right"/>
              <w:rPr>
                <w:sz w:val="10"/>
                <w:szCs w:val="10"/>
                <w:lang w:val="fr-BE"/>
              </w:rPr>
            </w:pPr>
          </w:p>
        </w:tc>
        <w:tc>
          <w:tcPr>
            <w:tcW w:w="0" w:type="auto"/>
            <w:shd w:val="clear" w:color="auto" w:fill="auto"/>
          </w:tcPr>
          <w:p w14:paraId="398D8F82" w14:textId="77777777" w:rsidR="008C5CFA" w:rsidRPr="00BA47B4" w:rsidRDefault="008C5CFA" w:rsidP="00300A01">
            <w:pPr>
              <w:spacing w:before="0" w:after="0"/>
              <w:jc w:val="right"/>
              <w:rPr>
                <w:sz w:val="12"/>
                <w:szCs w:val="12"/>
                <w:lang w:val="fr-BE"/>
              </w:rPr>
            </w:pPr>
          </w:p>
        </w:tc>
      </w:tr>
    </w:tbl>
    <w:p w14:paraId="25D1299A"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52"/>
        <w:gridCol w:w="7853"/>
        <w:gridCol w:w="1343"/>
        <w:gridCol w:w="593"/>
        <w:gridCol w:w="706"/>
        <w:gridCol w:w="593"/>
        <w:gridCol w:w="558"/>
        <w:gridCol w:w="706"/>
        <w:gridCol w:w="558"/>
        <w:gridCol w:w="558"/>
        <w:gridCol w:w="706"/>
        <w:gridCol w:w="558"/>
      </w:tblGrid>
      <w:tr w:rsidR="006B2EC1" w14:paraId="37290763" w14:textId="77777777" w:rsidTr="0047688D">
        <w:tc>
          <w:tcPr>
            <w:tcW w:w="0" w:type="auto"/>
            <w:shd w:val="clear" w:color="auto" w:fill="auto"/>
          </w:tcPr>
          <w:p w14:paraId="6435B064" w14:textId="77777777" w:rsidR="008C5CFA" w:rsidRPr="001C4484" w:rsidRDefault="00E82A60" w:rsidP="00300A01">
            <w:pPr>
              <w:spacing w:before="0" w:after="0"/>
              <w:rPr>
                <w:sz w:val="10"/>
                <w:szCs w:val="10"/>
              </w:rPr>
            </w:pPr>
            <w:r w:rsidRPr="001C4484">
              <w:rPr>
                <w:b/>
                <w:noProof/>
                <w:sz w:val="12"/>
                <w:szCs w:val="12"/>
                <w:lang w:val="fr-BE"/>
              </w:rPr>
              <w:t>ID</w:t>
            </w:r>
          </w:p>
        </w:tc>
        <w:tc>
          <w:tcPr>
            <w:tcW w:w="0" w:type="auto"/>
            <w:shd w:val="clear" w:color="auto" w:fill="auto"/>
          </w:tcPr>
          <w:p w14:paraId="7ABCD60C" w14:textId="77777777" w:rsidR="008C5CFA" w:rsidRPr="001C4484" w:rsidRDefault="00E82A60" w:rsidP="00300A01">
            <w:pPr>
              <w:spacing w:before="0" w:after="0"/>
              <w:rPr>
                <w:sz w:val="10"/>
                <w:szCs w:val="10"/>
              </w:rPr>
            </w:pPr>
            <w:r w:rsidRPr="001C4484">
              <w:rPr>
                <w:b/>
                <w:noProof/>
                <w:sz w:val="12"/>
                <w:szCs w:val="12"/>
                <w:lang w:val="fr-BE"/>
              </w:rPr>
              <w:t>Wskaźnik</w:t>
            </w:r>
          </w:p>
        </w:tc>
        <w:tc>
          <w:tcPr>
            <w:tcW w:w="0" w:type="auto"/>
            <w:shd w:val="clear" w:color="auto" w:fill="auto"/>
          </w:tcPr>
          <w:p w14:paraId="396C95E0" w14:textId="77777777" w:rsidR="008C5CFA" w:rsidRPr="001C4484" w:rsidRDefault="00E82A60" w:rsidP="00300A01">
            <w:pPr>
              <w:spacing w:before="0" w:after="0"/>
              <w:rPr>
                <w:sz w:val="10"/>
                <w:szCs w:val="10"/>
              </w:rPr>
            </w:pPr>
            <w:r w:rsidRPr="001C4484">
              <w:rPr>
                <w:b/>
                <w:noProof/>
                <w:sz w:val="12"/>
                <w:szCs w:val="12"/>
                <w:lang w:val="fr-BE"/>
              </w:rPr>
              <w:t>Kategoria regionu</w:t>
            </w:r>
          </w:p>
        </w:tc>
        <w:tc>
          <w:tcPr>
            <w:tcW w:w="0" w:type="auto"/>
            <w:gridSpan w:val="3"/>
          </w:tcPr>
          <w:p w14:paraId="15BE949C" w14:textId="77777777" w:rsidR="008C5CFA" w:rsidRPr="001C4484" w:rsidRDefault="00E82A60" w:rsidP="00300A01">
            <w:pPr>
              <w:spacing w:before="0" w:after="0"/>
              <w:jc w:val="center"/>
              <w:rPr>
                <w:sz w:val="10"/>
                <w:szCs w:val="10"/>
              </w:rPr>
            </w:pPr>
            <w:r w:rsidRPr="001C4484">
              <w:rPr>
                <w:sz w:val="10"/>
                <w:szCs w:val="10"/>
              </w:rPr>
              <w:t>2018</w:t>
            </w:r>
          </w:p>
        </w:tc>
        <w:tc>
          <w:tcPr>
            <w:tcW w:w="0" w:type="auto"/>
            <w:gridSpan w:val="3"/>
          </w:tcPr>
          <w:p w14:paraId="4B57DD2B" w14:textId="77777777" w:rsidR="008C5CFA" w:rsidRPr="001C4484" w:rsidRDefault="00E82A60" w:rsidP="00300A01">
            <w:pPr>
              <w:spacing w:before="0" w:after="0"/>
              <w:jc w:val="center"/>
              <w:rPr>
                <w:sz w:val="10"/>
                <w:szCs w:val="10"/>
              </w:rPr>
            </w:pPr>
            <w:r w:rsidRPr="001C4484">
              <w:rPr>
                <w:sz w:val="10"/>
                <w:szCs w:val="10"/>
              </w:rPr>
              <w:t>2017</w:t>
            </w:r>
          </w:p>
        </w:tc>
        <w:tc>
          <w:tcPr>
            <w:tcW w:w="0" w:type="auto"/>
            <w:gridSpan w:val="3"/>
          </w:tcPr>
          <w:p w14:paraId="04CC92D1" w14:textId="77777777" w:rsidR="008C5CFA" w:rsidRPr="001C4484" w:rsidRDefault="00E82A60" w:rsidP="00300A01">
            <w:pPr>
              <w:spacing w:before="0" w:after="0"/>
              <w:jc w:val="center"/>
              <w:rPr>
                <w:sz w:val="10"/>
                <w:szCs w:val="10"/>
              </w:rPr>
            </w:pPr>
            <w:r w:rsidRPr="001C4484">
              <w:rPr>
                <w:sz w:val="10"/>
                <w:szCs w:val="10"/>
              </w:rPr>
              <w:t>2016</w:t>
            </w:r>
          </w:p>
        </w:tc>
      </w:tr>
      <w:tr w:rsidR="006B2EC1" w14:paraId="32107DDD" w14:textId="77777777" w:rsidTr="0047688D">
        <w:tc>
          <w:tcPr>
            <w:tcW w:w="0" w:type="auto"/>
            <w:shd w:val="clear" w:color="auto" w:fill="auto"/>
          </w:tcPr>
          <w:p w14:paraId="3C0D21EE" w14:textId="77777777" w:rsidR="008C5CFA" w:rsidRPr="001C4484" w:rsidRDefault="008C5CFA" w:rsidP="00300A01">
            <w:pPr>
              <w:spacing w:before="0" w:after="0"/>
              <w:rPr>
                <w:sz w:val="10"/>
                <w:szCs w:val="10"/>
              </w:rPr>
            </w:pPr>
          </w:p>
        </w:tc>
        <w:tc>
          <w:tcPr>
            <w:tcW w:w="0" w:type="auto"/>
            <w:shd w:val="clear" w:color="auto" w:fill="auto"/>
          </w:tcPr>
          <w:p w14:paraId="5EDB6D71" w14:textId="77777777" w:rsidR="008C5CFA" w:rsidRPr="001C4484" w:rsidRDefault="008C5CFA" w:rsidP="00300A01">
            <w:pPr>
              <w:spacing w:before="0" w:after="0"/>
              <w:rPr>
                <w:sz w:val="10"/>
                <w:szCs w:val="10"/>
              </w:rPr>
            </w:pPr>
          </w:p>
        </w:tc>
        <w:tc>
          <w:tcPr>
            <w:tcW w:w="0" w:type="auto"/>
            <w:shd w:val="clear" w:color="auto" w:fill="auto"/>
          </w:tcPr>
          <w:p w14:paraId="23027AEB" w14:textId="77777777" w:rsidR="008C5CFA" w:rsidRPr="001C4484" w:rsidRDefault="008C5CFA" w:rsidP="00300A01">
            <w:pPr>
              <w:spacing w:before="0" w:after="0"/>
              <w:rPr>
                <w:sz w:val="10"/>
                <w:szCs w:val="10"/>
              </w:rPr>
            </w:pPr>
          </w:p>
        </w:tc>
        <w:tc>
          <w:tcPr>
            <w:tcW w:w="0" w:type="auto"/>
          </w:tcPr>
          <w:p w14:paraId="31324E4E" w14:textId="77777777" w:rsidR="008C5CFA" w:rsidRPr="001C4484" w:rsidRDefault="00E82A60" w:rsidP="00300A01">
            <w:pPr>
              <w:spacing w:before="0" w:after="0"/>
              <w:jc w:val="center"/>
              <w:rPr>
                <w:sz w:val="10"/>
                <w:szCs w:val="10"/>
              </w:rPr>
            </w:pPr>
            <w:r>
              <w:rPr>
                <w:noProof/>
                <w:sz w:val="10"/>
                <w:szCs w:val="10"/>
              </w:rPr>
              <w:t>Ogółem</w:t>
            </w:r>
          </w:p>
        </w:tc>
        <w:tc>
          <w:tcPr>
            <w:tcW w:w="0" w:type="auto"/>
            <w:shd w:val="clear" w:color="auto" w:fill="auto"/>
          </w:tcPr>
          <w:p w14:paraId="71F2E45E" w14:textId="77777777" w:rsidR="008C5CFA" w:rsidRPr="001C4484" w:rsidRDefault="00E82A60" w:rsidP="00300A01">
            <w:pPr>
              <w:spacing w:before="0" w:after="0"/>
              <w:jc w:val="center"/>
              <w:rPr>
                <w:sz w:val="10"/>
                <w:szCs w:val="10"/>
              </w:rPr>
            </w:pPr>
            <w:r w:rsidRPr="001C4484">
              <w:rPr>
                <w:noProof/>
                <w:sz w:val="10"/>
                <w:szCs w:val="10"/>
              </w:rPr>
              <w:t>Mężczyźni</w:t>
            </w:r>
          </w:p>
        </w:tc>
        <w:tc>
          <w:tcPr>
            <w:tcW w:w="0" w:type="auto"/>
            <w:shd w:val="clear" w:color="auto" w:fill="auto"/>
          </w:tcPr>
          <w:p w14:paraId="0E2FE8C8" w14:textId="77777777" w:rsidR="008C5CFA" w:rsidRPr="001C4484" w:rsidRDefault="00E82A60" w:rsidP="00300A01">
            <w:pPr>
              <w:spacing w:before="0" w:after="0"/>
              <w:jc w:val="center"/>
              <w:rPr>
                <w:sz w:val="10"/>
                <w:szCs w:val="10"/>
              </w:rPr>
            </w:pPr>
            <w:r w:rsidRPr="001C4484">
              <w:rPr>
                <w:noProof/>
                <w:sz w:val="10"/>
                <w:szCs w:val="10"/>
              </w:rPr>
              <w:t>Kobiety</w:t>
            </w:r>
          </w:p>
        </w:tc>
        <w:tc>
          <w:tcPr>
            <w:tcW w:w="0" w:type="auto"/>
          </w:tcPr>
          <w:p w14:paraId="5F01F33B" w14:textId="77777777" w:rsidR="008C5CFA" w:rsidRPr="001C4484" w:rsidRDefault="00E82A60" w:rsidP="00300A01">
            <w:pPr>
              <w:spacing w:before="0" w:after="0"/>
              <w:jc w:val="center"/>
              <w:rPr>
                <w:sz w:val="10"/>
                <w:szCs w:val="10"/>
              </w:rPr>
            </w:pPr>
            <w:r>
              <w:rPr>
                <w:noProof/>
                <w:sz w:val="10"/>
                <w:szCs w:val="10"/>
              </w:rPr>
              <w:t>Ogółem</w:t>
            </w:r>
          </w:p>
        </w:tc>
        <w:tc>
          <w:tcPr>
            <w:tcW w:w="0" w:type="auto"/>
            <w:shd w:val="clear" w:color="auto" w:fill="auto"/>
          </w:tcPr>
          <w:p w14:paraId="68DD0F93" w14:textId="77777777" w:rsidR="008C5CFA" w:rsidRPr="001C4484" w:rsidRDefault="00E82A60" w:rsidP="00300A01">
            <w:pPr>
              <w:spacing w:before="0" w:after="0"/>
              <w:jc w:val="center"/>
              <w:rPr>
                <w:sz w:val="10"/>
                <w:szCs w:val="10"/>
              </w:rPr>
            </w:pPr>
            <w:r w:rsidRPr="001C4484">
              <w:rPr>
                <w:noProof/>
                <w:sz w:val="10"/>
                <w:szCs w:val="10"/>
              </w:rPr>
              <w:t>Mężczyźni</w:t>
            </w:r>
          </w:p>
        </w:tc>
        <w:tc>
          <w:tcPr>
            <w:tcW w:w="0" w:type="auto"/>
            <w:shd w:val="clear" w:color="auto" w:fill="auto"/>
          </w:tcPr>
          <w:p w14:paraId="03AB5EE3" w14:textId="77777777" w:rsidR="008C5CFA" w:rsidRPr="001C4484" w:rsidRDefault="00E82A60" w:rsidP="00300A01">
            <w:pPr>
              <w:spacing w:before="0" w:after="0"/>
              <w:jc w:val="center"/>
              <w:rPr>
                <w:sz w:val="10"/>
                <w:szCs w:val="10"/>
              </w:rPr>
            </w:pPr>
            <w:r w:rsidRPr="001C4484">
              <w:rPr>
                <w:noProof/>
                <w:sz w:val="10"/>
                <w:szCs w:val="10"/>
              </w:rPr>
              <w:t>Kobiety</w:t>
            </w:r>
          </w:p>
        </w:tc>
        <w:tc>
          <w:tcPr>
            <w:tcW w:w="0" w:type="auto"/>
          </w:tcPr>
          <w:p w14:paraId="6063CDD4" w14:textId="77777777" w:rsidR="008C5CFA" w:rsidRPr="001C4484" w:rsidRDefault="00E82A60" w:rsidP="00300A01">
            <w:pPr>
              <w:spacing w:before="0" w:after="0"/>
              <w:jc w:val="center"/>
              <w:rPr>
                <w:sz w:val="10"/>
                <w:szCs w:val="10"/>
              </w:rPr>
            </w:pPr>
            <w:r>
              <w:rPr>
                <w:noProof/>
                <w:sz w:val="10"/>
                <w:szCs w:val="10"/>
              </w:rPr>
              <w:t>Ogółem</w:t>
            </w:r>
          </w:p>
        </w:tc>
        <w:tc>
          <w:tcPr>
            <w:tcW w:w="0" w:type="auto"/>
            <w:shd w:val="clear" w:color="auto" w:fill="auto"/>
          </w:tcPr>
          <w:p w14:paraId="6FDC3406" w14:textId="77777777" w:rsidR="008C5CFA" w:rsidRPr="001C4484" w:rsidRDefault="00E82A60" w:rsidP="00300A01">
            <w:pPr>
              <w:spacing w:before="0" w:after="0"/>
              <w:jc w:val="center"/>
              <w:rPr>
                <w:sz w:val="10"/>
                <w:szCs w:val="10"/>
              </w:rPr>
            </w:pPr>
            <w:r w:rsidRPr="001C4484">
              <w:rPr>
                <w:noProof/>
                <w:sz w:val="10"/>
                <w:szCs w:val="10"/>
              </w:rPr>
              <w:t>Mężczyźni</w:t>
            </w:r>
          </w:p>
        </w:tc>
        <w:tc>
          <w:tcPr>
            <w:tcW w:w="0" w:type="auto"/>
            <w:shd w:val="clear" w:color="auto" w:fill="auto"/>
          </w:tcPr>
          <w:p w14:paraId="6DC4CD9A" w14:textId="77777777" w:rsidR="008C5CFA" w:rsidRPr="001C4484" w:rsidRDefault="00E82A60" w:rsidP="00300A01">
            <w:pPr>
              <w:spacing w:before="0" w:after="0"/>
              <w:jc w:val="center"/>
              <w:rPr>
                <w:sz w:val="10"/>
                <w:szCs w:val="10"/>
              </w:rPr>
            </w:pPr>
            <w:r w:rsidRPr="001C4484">
              <w:rPr>
                <w:noProof/>
                <w:sz w:val="10"/>
                <w:szCs w:val="10"/>
              </w:rPr>
              <w:t>Kobiety</w:t>
            </w:r>
          </w:p>
        </w:tc>
      </w:tr>
      <w:tr w:rsidR="006B2EC1" w14:paraId="757BEA81" w14:textId="77777777" w:rsidTr="0047688D">
        <w:tc>
          <w:tcPr>
            <w:tcW w:w="0" w:type="auto"/>
            <w:shd w:val="clear" w:color="auto" w:fill="auto"/>
          </w:tcPr>
          <w:p w14:paraId="3DB956EF" w14:textId="77777777" w:rsidR="008C5CFA" w:rsidRPr="001C4484" w:rsidRDefault="00E82A60" w:rsidP="00300A01">
            <w:pPr>
              <w:spacing w:before="0" w:after="0"/>
              <w:rPr>
                <w:sz w:val="10"/>
                <w:szCs w:val="10"/>
                <w:lang w:val="fr-BE"/>
              </w:rPr>
            </w:pPr>
            <w:r w:rsidRPr="001C4484">
              <w:rPr>
                <w:noProof/>
                <w:sz w:val="10"/>
                <w:szCs w:val="10"/>
                <w:lang w:val="fr-BE"/>
              </w:rPr>
              <w:t>CO01</w:t>
            </w:r>
          </w:p>
        </w:tc>
        <w:tc>
          <w:tcPr>
            <w:tcW w:w="0" w:type="auto"/>
            <w:shd w:val="clear" w:color="auto" w:fill="auto"/>
          </w:tcPr>
          <w:p w14:paraId="0A48EBE4" w14:textId="77777777" w:rsidR="008C5CFA" w:rsidRPr="001C4484" w:rsidRDefault="00E82A60" w:rsidP="00300A01">
            <w:pPr>
              <w:spacing w:before="0" w:after="0"/>
              <w:rPr>
                <w:sz w:val="10"/>
                <w:szCs w:val="10"/>
                <w:lang w:val="fr-BE"/>
              </w:rPr>
            </w:pPr>
            <w:r w:rsidRPr="001C4484">
              <w:rPr>
                <w:noProof/>
                <w:sz w:val="10"/>
                <w:szCs w:val="10"/>
                <w:lang w:val="fr-BE"/>
              </w:rPr>
              <w:t>bezrobotni, w tym długotrwale bezrobotni</w:t>
            </w:r>
          </w:p>
        </w:tc>
        <w:tc>
          <w:tcPr>
            <w:tcW w:w="0" w:type="auto"/>
            <w:shd w:val="clear" w:color="auto" w:fill="auto"/>
          </w:tcPr>
          <w:p w14:paraId="2A8E2DDF"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2B8285A7" w14:textId="77777777" w:rsidR="008C5CFA" w:rsidRPr="001C4484" w:rsidRDefault="00E82A60" w:rsidP="00300A01">
            <w:pPr>
              <w:spacing w:before="0" w:after="0"/>
              <w:jc w:val="right"/>
              <w:rPr>
                <w:sz w:val="10"/>
                <w:szCs w:val="10"/>
              </w:rPr>
            </w:pPr>
            <w:r>
              <w:rPr>
                <w:noProof/>
                <w:sz w:val="10"/>
                <w:szCs w:val="10"/>
              </w:rPr>
              <w:t>603,00</w:t>
            </w:r>
          </w:p>
        </w:tc>
        <w:tc>
          <w:tcPr>
            <w:tcW w:w="0" w:type="auto"/>
            <w:shd w:val="clear" w:color="auto" w:fill="auto"/>
          </w:tcPr>
          <w:p w14:paraId="494E0FA4" w14:textId="77777777" w:rsidR="008C5CFA" w:rsidRPr="001C4484" w:rsidRDefault="00E82A60" w:rsidP="00300A01">
            <w:pPr>
              <w:spacing w:before="0" w:after="0"/>
              <w:jc w:val="right"/>
              <w:rPr>
                <w:sz w:val="10"/>
                <w:szCs w:val="10"/>
              </w:rPr>
            </w:pPr>
            <w:r w:rsidRPr="001C4484">
              <w:rPr>
                <w:noProof/>
                <w:sz w:val="10"/>
                <w:szCs w:val="10"/>
              </w:rPr>
              <w:t>149,00</w:t>
            </w:r>
          </w:p>
        </w:tc>
        <w:tc>
          <w:tcPr>
            <w:tcW w:w="0" w:type="auto"/>
            <w:shd w:val="clear" w:color="auto" w:fill="auto"/>
          </w:tcPr>
          <w:p w14:paraId="52BAD45A" w14:textId="77777777" w:rsidR="008C5CFA" w:rsidRPr="001C4484" w:rsidRDefault="00E82A60" w:rsidP="00300A01">
            <w:pPr>
              <w:spacing w:before="0" w:after="0"/>
              <w:jc w:val="right"/>
              <w:rPr>
                <w:sz w:val="10"/>
                <w:szCs w:val="10"/>
                <w:lang w:val="fr-BE"/>
              </w:rPr>
            </w:pPr>
            <w:r w:rsidRPr="001C4484">
              <w:rPr>
                <w:noProof/>
                <w:sz w:val="10"/>
                <w:szCs w:val="10"/>
              </w:rPr>
              <w:t>454,00</w:t>
            </w:r>
          </w:p>
        </w:tc>
        <w:tc>
          <w:tcPr>
            <w:tcW w:w="0" w:type="auto"/>
          </w:tcPr>
          <w:p w14:paraId="64716F5D" w14:textId="77777777" w:rsidR="008C5CFA" w:rsidRPr="001C4484" w:rsidRDefault="00E82A60" w:rsidP="00300A01">
            <w:pPr>
              <w:spacing w:before="0" w:after="0"/>
              <w:jc w:val="right"/>
              <w:rPr>
                <w:sz w:val="10"/>
                <w:szCs w:val="10"/>
              </w:rPr>
            </w:pPr>
            <w:r>
              <w:rPr>
                <w:noProof/>
                <w:sz w:val="10"/>
                <w:szCs w:val="10"/>
              </w:rPr>
              <w:t>103,00</w:t>
            </w:r>
          </w:p>
        </w:tc>
        <w:tc>
          <w:tcPr>
            <w:tcW w:w="0" w:type="auto"/>
            <w:shd w:val="clear" w:color="auto" w:fill="auto"/>
          </w:tcPr>
          <w:p w14:paraId="6ECA277C" w14:textId="77777777" w:rsidR="008C5CFA" w:rsidRPr="001C4484" w:rsidRDefault="00E82A60" w:rsidP="00300A01">
            <w:pPr>
              <w:spacing w:before="0" w:after="0"/>
              <w:jc w:val="right"/>
              <w:rPr>
                <w:sz w:val="10"/>
                <w:szCs w:val="10"/>
              </w:rPr>
            </w:pPr>
            <w:r w:rsidRPr="001C4484">
              <w:rPr>
                <w:noProof/>
                <w:sz w:val="10"/>
                <w:szCs w:val="10"/>
              </w:rPr>
              <w:t>12,00</w:t>
            </w:r>
          </w:p>
        </w:tc>
        <w:tc>
          <w:tcPr>
            <w:tcW w:w="0" w:type="auto"/>
            <w:shd w:val="clear" w:color="auto" w:fill="auto"/>
          </w:tcPr>
          <w:p w14:paraId="5C59C50B" w14:textId="77777777" w:rsidR="008C5CFA" w:rsidRPr="001C4484" w:rsidRDefault="00E82A60" w:rsidP="00300A01">
            <w:pPr>
              <w:spacing w:before="0" w:after="0"/>
              <w:jc w:val="right"/>
              <w:rPr>
                <w:sz w:val="10"/>
                <w:szCs w:val="10"/>
                <w:lang w:val="fr-BE"/>
              </w:rPr>
            </w:pPr>
            <w:r w:rsidRPr="001C4484">
              <w:rPr>
                <w:noProof/>
                <w:sz w:val="10"/>
                <w:szCs w:val="10"/>
              </w:rPr>
              <w:t>91,00</w:t>
            </w:r>
          </w:p>
        </w:tc>
        <w:tc>
          <w:tcPr>
            <w:tcW w:w="0" w:type="auto"/>
          </w:tcPr>
          <w:p w14:paraId="7AE920B7"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5C9917FF"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783A73DD" w14:textId="77777777" w:rsidR="008C5CFA" w:rsidRPr="001C4484" w:rsidRDefault="00E82A60" w:rsidP="00300A01">
            <w:pPr>
              <w:spacing w:before="0" w:after="0"/>
              <w:jc w:val="right"/>
              <w:rPr>
                <w:sz w:val="10"/>
                <w:szCs w:val="10"/>
                <w:lang w:val="fr-BE"/>
              </w:rPr>
            </w:pPr>
            <w:r w:rsidRPr="001C4484">
              <w:rPr>
                <w:noProof/>
                <w:sz w:val="10"/>
                <w:szCs w:val="10"/>
              </w:rPr>
              <w:t>0,00</w:t>
            </w:r>
          </w:p>
        </w:tc>
      </w:tr>
      <w:tr w:rsidR="006B2EC1" w14:paraId="44D94AA0" w14:textId="77777777" w:rsidTr="0047688D">
        <w:tc>
          <w:tcPr>
            <w:tcW w:w="0" w:type="auto"/>
            <w:shd w:val="clear" w:color="auto" w:fill="auto"/>
          </w:tcPr>
          <w:p w14:paraId="2DE05592" w14:textId="77777777" w:rsidR="008C5CFA" w:rsidRPr="001C4484" w:rsidRDefault="00E82A60" w:rsidP="00300A01">
            <w:pPr>
              <w:spacing w:before="0" w:after="0"/>
              <w:rPr>
                <w:sz w:val="10"/>
                <w:szCs w:val="10"/>
                <w:lang w:val="fr-BE"/>
              </w:rPr>
            </w:pPr>
            <w:r w:rsidRPr="001C4484">
              <w:rPr>
                <w:noProof/>
                <w:sz w:val="10"/>
                <w:szCs w:val="10"/>
                <w:lang w:val="fr-BE"/>
              </w:rPr>
              <w:t>CO02</w:t>
            </w:r>
          </w:p>
        </w:tc>
        <w:tc>
          <w:tcPr>
            <w:tcW w:w="0" w:type="auto"/>
            <w:shd w:val="clear" w:color="auto" w:fill="auto"/>
          </w:tcPr>
          <w:p w14:paraId="123F7B83" w14:textId="77777777" w:rsidR="008C5CFA" w:rsidRPr="001C4484" w:rsidRDefault="00E82A60" w:rsidP="00300A01">
            <w:pPr>
              <w:spacing w:before="0" w:after="0"/>
              <w:rPr>
                <w:sz w:val="10"/>
                <w:szCs w:val="10"/>
                <w:lang w:val="fr-BE"/>
              </w:rPr>
            </w:pPr>
            <w:r w:rsidRPr="001C4484">
              <w:rPr>
                <w:noProof/>
                <w:sz w:val="10"/>
                <w:szCs w:val="10"/>
                <w:lang w:val="fr-BE"/>
              </w:rPr>
              <w:t>długotrwale bezrobotni</w:t>
            </w:r>
          </w:p>
        </w:tc>
        <w:tc>
          <w:tcPr>
            <w:tcW w:w="0" w:type="auto"/>
            <w:shd w:val="clear" w:color="auto" w:fill="auto"/>
          </w:tcPr>
          <w:p w14:paraId="28721048"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3AE75CC5" w14:textId="77777777" w:rsidR="008C5CFA" w:rsidRPr="001C4484" w:rsidRDefault="00E82A60" w:rsidP="00300A01">
            <w:pPr>
              <w:spacing w:before="0" w:after="0"/>
              <w:jc w:val="right"/>
              <w:rPr>
                <w:sz w:val="10"/>
                <w:szCs w:val="10"/>
              </w:rPr>
            </w:pPr>
            <w:r>
              <w:rPr>
                <w:noProof/>
                <w:sz w:val="10"/>
                <w:szCs w:val="10"/>
              </w:rPr>
              <w:t>124,00</w:t>
            </w:r>
          </w:p>
        </w:tc>
        <w:tc>
          <w:tcPr>
            <w:tcW w:w="0" w:type="auto"/>
            <w:shd w:val="clear" w:color="auto" w:fill="auto"/>
          </w:tcPr>
          <w:p w14:paraId="58DEB766" w14:textId="77777777" w:rsidR="008C5CFA" w:rsidRPr="001C4484" w:rsidRDefault="00E82A60" w:rsidP="00300A01">
            <w:pPr>
              <w:spacing w:before="0" w:after="0"/>
              <w:jc w:val="right"/>
              <w:rPr>
                <w:sz w:val="10"/>
                <w:szCs w:val="10"/>
              </w:rPr>
            </w:pPr>
            <w:r w:rsidRPr="001C4484">
              <w:rPr>
                <w:noProof/>
                <w:sz w:val="10"/>
                <w:szCs w:val="10"/>
              </w:rPr>
              <w:t>33,00</w:t>
            </w:r>
          </w:p>
        </w:tc>
        <w:tc>
          <w:tcPr>
            <w:tcW w:w="0" w:type="auto"/>
            <w:shd w:val="clear" w:color="auto" w:fill="auto"/>
          </w:tcPr>
          <w:p w14:paraId="732EA8FB" w14:textId="77777777" w:rsidR="008C5CFA" w:rsidRPr="001C4484" w:rsidRDefault="00E82A60" w:rsidP="00300A01">
            <w:pPr>
              <w:spacing w:before="0" w:after="0"/>
              <w:jc w:val="right"/>
              <w:rPr>
                <w:sz w:val="10"/>
                <w:szCs w:val="10"/>
                <w:lang w:val="fr-BE"/>
              </w:rPr>
            </w:pPr>
            <w:r w:rsidRPr="001C4484">
              <w:rPr>
                <w:noProof/>
                <w:sz w:val="10"/>
                <w:szCs w:val="10"/>
              </w:rPr>
              <w:t>91,00</w:t>
            </w:r>
          </w:p>
        </w:tc>
        <w:tc>
          <w:tcPr>
            <w:tcW w:w="0" w:type="auto"/>
          </w:tcPr>
          <w:p w14:paraId="601598B9" w14:textId="77777777" w:rsidR="008C5CFA" w:rsidRPr="001C4484" w:rsidRDefault="00E82A60" w:rsidP="00300A01">
            <w:pPr>
              <w:spacing w:before="0" w:after="0"/>
              <w:jc w:val="right"/>
              <w:rPr>
                <w:sz w:val="10"/>
                <w:szCs w:val="10"/>
              </w:rPr>
            </w:pPr>
            <w:r>
              <w:rPr>
                <w:noProof/>
                <w:sz w:val="10"/>
                <w:szCs w:val="10"/>
              </w:rPr>
              <w:t>31,00</w:t>
            </w:r>
          </w:p>
        </w:tc>
        <w:tc>
          <w:tcPr>
            <w:tcW w:w="0" w:type="auto"/>
            <w:shd w:val="clear" w:color="auto" w:fill="auto"/>
          </w:tcPr>
          <w:p w14:paraId="3790CEA5" w14:textId="77777777" w:rsidR="008C5CFA" w:rsidRPr="001C4484" w:rsidRDefault="00E82A60" w:rsidP="00300A01">
            <w:pPr>
              <w:spacing w:before="0" w:after="0"/>
              <w:jc w:val="right"/>
              <w:rPr>
                <w:sz w:val="10"/>
                <w:szCs w:val="10"/>
              </w:rPr>
            </w:pPr>
            <w:r w:rsidRPr="001C4484">
              <w:rPr>
                <w:noProof/>
                <w:sz w:val="10"/>
                <w:szCs w:val="10"/>
              </w:rPr>
              <w:t>2,00</w:t>
            </w:r>
          </w:p>
        </w:tc>
        <w:tc>
          <w:tcPr>
            <w:tcW w:w="0" w:type="auto"/>
            <w:shd w:val="clear" w:color="auto" w:fill="auto"/>
          </w:tcPr>
          <w:p w14:paraId="495456D3" w14:textId="77777777" w:rsidR="008C5CFA" w:rsidRPr="001C4484" w:rsidRDefault="00E82A60" w:rsidP="00300A01">
            <w:pPr>
              <w:spacing w:before="0" w:after="0"/>
              <w:jc w:val="right"/>
              <w:rPr>
                <w:sz w:val="10"/>
                <w:szCs w:val="10"/>
                <w:lang w:val="fr-BE"/>
              </w:rPr>
            </w:pPr>
            <w:r w:rsidRPr="001C4484">
              <w:rPr>
                <w:noProof/>
                <w:sz w:val="10"/>
                <w:szCs w:val="10"/>
              </w:rPr>
              <w:t>29,00</w:t>
            </w:r>
          </w:p>
        </w:tc>
        <w:tc>
          <w:tcPr>
            <w:tcW w:w="0" w:type="auto"/>
          </w:tcPr>
          <w:p w14:paraId="4393B00C"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13D59C92"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04E44936" w14:textId="77777777" w:rsidR="008C5CFA" w:rsidRPr="001C4484" w:rsidRDefault="00E82A60" w:rsidP="00300A01">
            <w:pPr>
              <w:spacing w:before="0" w:after="0"/>
              <w:jc w:val="right"/>
              <w:rPr>
                <w:sz w:val="10"/>
                <w:szCs w:val="10"/>
                <w:lang w:val="fr-BE"/>
              </w:rPr>
            </w:pPr>
            <w:r w:rsidRPr="001C4484">
              <w:rPr>
                <w:noProof/>
                <w:sz w:val="10"/>
                <w:szCs w:val="10"/>
              </w:rPr>
              <w:t>0,00</w:t>
            </w:r>
          </w:p>
        </w:tc>
      </w:tr>
      <w:tr w:rsidR="006B2EC1" w14:paraId="78648CD7" w14:textId="77777777" w:rsidTr="0047688D">
        <w:tc>
          <w:tcPr>
            <w:tcW w:w="0" w:type="auto"/>
            <w:shd w:val="clear" w:color="auto" w:fill="auto"/>
          </w:tcPr>
          <w:p w14:paraId="5F10A3D4" w14:textId="77777777" w:rsidR="008C5CFA" w:rsidRPr="001C4484" w:rsidRDefault="00E82A60" w:rsidP="00300A01">
            <w:pPr>
              <w:spacing w:before="0" w:after="0"/>
              <w:rPr>
                <w:sz w:val="10"/>
                <w:szCs w:val="10"/>
                <w:lang w:val="fr-BE"/>
              </w:rPr>
            </w:pPr>
            <w:r w:rsidRPr="001C4484">
              <w:rPr>
                <w:noProof/>
                <w:sz w:val="10"/>
                <w:szCs w:val="10"/>
                <w:lang w:val="fr-BE"/>
              </w:rPr>
              <w:t>CO03</w:t>
            </w:r>
          </w:p>
        </w:tc>
        <w:tc>
          <w:tcPr>
            <w:tcW w:w="0" w:type="auto"/>
            <w:shd w:val="clear" w:color="auto" w:fill="auto"/>
          </w:tcPr>
          <w:p w14:paraId="1C69F5B4" w14:textId="77777777" w:rsidR="008C5CFA" w:rsidRPr="001C4484" w:rsidRDefault="00E82A60" w:rsidP="00300A01">
            <w:pPr>
              <w:spacing w:before="0" w:after="0"/>
              <w:rPr>
                <w:sz w:val="10"/>
                <w:szCs w:val="10"/>
                <w:lang w:val="fr-BE"/>
              </w:rPr>
            </w:pPr>
            <w:r w:rsidRPr="001C4484">
              <w:rPr>
                <w:noProof/>
                <w:sz w:val="10"/>
                <w:szCs w:val="10"/>
                <w:lang w:val="fr-BE"/>
              </w:rPr>
              <w:t>osoby bierne zawodowo</w:t>
            </w:r>
          </w:p>
        </w:tc>
        <w:tc>
          <w:tcPr>
            <w:tcW w:w="0" w:type="auto"/>
            <w:shd w:val="clear" w:color="auto" w:fill="auto"/>
          </w:tcPr>
          <w:p w14:paraId="2803AD45"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301AF05B" w14:textId="77777777" w:rsidR="008C5CFA" w:rsidRPr="001C4484" w:rsidRDefault="00E82A60" w:rsidP="00300A01">
            <w:pPr>
              <w:spacing w:before="0" w:after="0"/>
              <w:jc w:val="right"/>
              <w:rPr>
                <w:sz w:val="10"/>
                <w:szCs w:val="10"/>
              </w:rPr>
            </w:pPr>
            <w:r>
              <w:rPr>
                <w:noProof/>
                <w:sz w:val="10"/>
                <w:szCs w:val="10"/>
              </w:rPr>
              <w:t>1 193,00</w:t>
            </w:r>
          </w:p>
        </w:tc>
        <w:tc>
          <w:tcPr>
            <w:tcW w:w="0" w:type="auto"/>
            <w:shd w:val="clear" w:color="auto" w:fill="auto"/>
          </w:tcPr>
          <w:p w14:paraId="1483A70E" w14:textId="77777777" w:rsidR="008C5CFA" w:rsidRPr="001C4484" w:rsidRDefault="00E82A60" w:rsidP="00300A01">
            <w:pPr>
              <w:spacing w:before="0" w:after="0"/>
              <w:jc w:val="right"/>
              <w:rPr>
                <w:sz w:val="10"/>
                <w:szCs w:val="10"/>
              </w:rPr>
            </w:pPr>
            <w:r w:rsidRPr="001C4484">
              <w:rPr>
                <w:noProof/>
                <w:sz w:val="10"/>
                <w:szCs w:val="10"/>
              </w:rPr>
              <w:t>335,00</w:t>
            </w:r>
          </w:p>
        </w:tc>
        <w:tc>
          <w:tcPr>
            <w:tcW w:w="0" w:type="auto"/>
            <w:shd w:val="clear" w:color="auto" w:fill="auto"/>
          </w:tcPr>
          <w:p w14:paraId="19AC8F51" w14:textId="77777777" w:rsidR="008C5CFA" w:rsidRPr="001C4484" w:rsidRDefault="00E82A60" w:rsidP="00300A01">
            <w:pPr>
              <w:spacing w:before="0" w:after="0"/>
              <w:jc w:val="right"/>
              <w:rPr>
                <w:sz w:val="10"/>
                <w:szCs w:val="10"/>
                <w:lang w:val="fr-BE"/>
              </w:rPr>
            </w:pPr>
            <w:r w:rsidRPr="001C4484">
              <w:rPr>
                <w:noProof/>
                <w:sz w:val="10"/>
                <w:szCs w:val="10"/>
              </w:rPr>
              <w:t>858,00</w:t>
            </w:r>
          </w:p>
        </w:tc>
        <w:tc>
          <w:tcPr>
            <w:tcW w:w="0" w:type="auto"/>
          </w:tcPr>
          <w:p w14:paraId="0C02D7FE" w14:textId="77777777" w:rsidR="008C5CFA" w:rsidRPr="001C4484" w:rsidRDefault="00E82A60" w:rsidP="00300A01">
            <w:pPr>
              <w:spacing w:before="0" w:after="0"/>
              <w:jc w:val="right"/>
              <w:rPr>
                <w:sz w:val="10"/>
                <w:szCs w:val="10"/>
              </w:rPr>
            </w:pPr>
            <w:r>
              <w:rPr>
                <w:noProof/>
                <w:sz w:val="10"/>
                <w:szCs w:val="10"/>
              </w:rPr>
              <w:t>106,00</w:t>
            </w:r>
          </w:p>
        </w:tc>
        <w:tc>
          <w:tcPr>
            <w:tcW w:w="0" w:type="auto"/>
            <w:shd w:val="clear" w:color="auto" w:fill="auto"/>
          </w:tcPr>
          <w:p w14:paraId="6424DC46" w14:textId="77777777" w:rsidR="008C5CFA" w:rsidRPr="001C4484" w:rsidRDefault="00E82A60" w:rsidP="00300A01">
            <w:pPr>
              <w:spacing w:before="0" w:after="0"/>
              <w:jc w:val="right"/>
              <w:rPr>
                <w:sz w:val="10"/>
                <w:szCs w:val="10"/>
              </w:rPr>
            </w:pPr>
            <w:r w:rsidRPr="001C4484">
              <w:rPr>
                <w:noProof/>
                <w:sz w:val="10"/>
                <w:szCs w:val="10"/>
              </w:rPr>
              <w:t>25,00</w:t>
            </w:r>
          </w:p>
        </w:tc>
        <w:tc>
          <w:tcPr>
            <w:tcW w:w="0" w:type="auto"/>
            <w:shd w:val="clear" w:color="auto" w:fill="auto"/>
          </w:tcPr>
          <w:p w14:paraId="752361B0" w14:textId="77777777" w:rsidR="008C5CFA" w:rsidRPr="001C4484" w:rsidRDefault="00E82A60" w:rsidP="00300A01">
            <w:pPr>
              <w:spacing w:before="0" w:after="0"/>
              <w:jc w:val="right"/>
              <w:rPr>
                <w:sz w:val="10"/>
                <w:szCs w:val="10"/>
                <w:lang w:val="fr-BE"/>
              </w:rPr>
            </w:pPr>
            <w:r w:rsidRPr="001C4484">
              <w:rPr>
                <w:noProof/>
                <w:sz w:val="10"/>
                <w:szCs w:val="10"/>
              </w:rPr>
              <w:t>81,00</w:t>
            </w:r>
          </w:p>
        </w:tc>
        <w:tc>
          <w:tcPr>
            <w:tcW w:w="0" w:type="auto"/>
          </w:tcPr>
          <w:p w14:paraId="69678B3B"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44553EA9"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1551A646" w14:textId="77777777" w:rsidR="008C5CFA" w:rsidRPr="001C4484" w:rsidRDefault="00E82A60" w:rsidP="00300A01">
            <w:pPr>
              <w:spacing w:before="0" w:after="0"/>
              <w:jc w:val="right"/>
              <w:rPr>
                <w:sz w:val="10"/>
                <w:szCs w:val="10"/>
                <w:lang w:val="fr-BE"/>
              </w:rPr>
            </w:pPr>
            <w:r w:rsidRPr="001C4484">
              <w:rPr>
                <w:noProof/>
                <w:sz w:val="10"/>
                <w:szCs w:val="10"/>
              </w:rPr>
              <w:t>0,00</w:t>
            </w:r>
          </w:p>
        </w:tc>
      </w:tr>
      <w:tr w:rsidR="006B2EC1" w14:paraId="4DDFC81C" w14:textId="77777777" w:rsidTr="0047688D">
        <w:tc>
          <w:tcPr>
            <w:tcW w:w="0" w:type="auto"/>
            <w:shd w:val="clear" w:color="auto" w:fill="auto"/>
          </w:tcPr>
          <w:p w14:paraId="447C03E6" w14:textId="77777777" w:rsidR="008C5CFA" w:rsidRPr="001C4484" w:rsidRDefault="00E82A60" w:rsidP="00300A01">
            <w:pPr>
              <w:spacing w:before="0" w:after="0"/>
              <w:rPr>
                <w:sz w:val="10"/>
                <w:szCs w:val="10"/>
                <w:lang w:val="fr-BE"/>
              </w:rPr>
            </w:pPr>
            <w:r w:rsidRPr="001C4484">
              <w:rPr>
                <w:noProof/>
                <w:sz w:val="10"/>
                <w:szCs w:val="10"/>
                <w:lang w:val="fr-BE"/>
              </w:rPr>
              <w:t>CO04</w:t>
            </w:r>
          </w:p>
        </w:tc>
        <w:tc>
          <w:tcPr>
            <w:tcW w:w="0" w:type="auto"/>
            <w:shd w:val="clear" w:color="auto" w:fill="auto"/>
          </w:tcPr>
          <w:p w14:paraId="64AE68B1" w14:textId="77777777" w:rsidR="008C5CFA" w:rsidRPr="001C4484" w:rsidRDefault="00E82A60" w:rsidP="00300A01">
            <w:pPr>
              <w:spacing w:before="0" w:after="0"/>
              <w:rPr>
                <w:sz w:val="10"/>
                <w:szCs w:val="10"/>
                <w:lang w:val="fr-BE"/>
              </w:rPr>
            </w:pPr>
            <w:r w:rsidRPr="001C4484">
              <w:rPr>
                <w:noProof/>
                <w:sz w:val="10"/>
                <w:szCs w:val="10"/>
                <w:lang w:val="fr-BE"/>
              </w:rPr>
              <w:t>osoby bierne zawodowo, nieuczestniczące w kształceniu ani szkoleniu</w:t>
            </w:r>
          </w:p>
        </w:tc>
        <w:tc>
          <w:tcPr>
            <w:tcW w:w="0" w:type="auto"/>
            <w:shd w:val="clear" w:color="auto" w:fill="auto"/>
          </w:tcPr>
          <w:p w14:paraId="11F33BD9"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3B4BBCBD" w14:textId="77777777" w:rsidR="008C5CFA" w:rsidRPr="001C4484" w:rsidRDefault="00E82A60" w:rsidP="00300A01">
            <w:pPr>
              <w:spacing w:before="0" w:after="0"/>
              <w:jc w:val="right"/>
              <w:rPr>
                <w:sz w:val="10"/>
                <w:szCs w:val="10"/>
              </w:rPr>
            </w:pPr>
            <w:r>
              <w:rPr>
                <w:noProof/>
                <w:sz w:val="10"/>
                <w:szCs w:val="10"/>
              </w:rPr>
              <w:t>181,00</w:t>
            </w:r>
          </w:p>
        </w:tc>
        <w:tc>
          <w:tcPr>
            <w:tcW w:w="0" w:type="auto"/>
            <w:shd w:val="clear" w:color="auto" w:fill="auto"/>
          </w:tcPr>
          <w:p w14:paraId="63946E62" w14:textId="77777777" w:rsidR="008C5CFA" w:rsidRPr="001C4484" w:rsidRDefault="00E82A60" w:rsidP="00300A01">
            <w:pPr>
              <w:spacing w:before="0" w:after="0"/>
              <w:jc w:val="right"/>
              <w:rPr>
                <w:sz w:val="10"/>
                <w:szCs w:val="10"/>
              </w:rPr>
            </w:pPr>
            <w:r w:rsidRPr="001C4484">
              <w:rPr>
                <w:noProof/>
                <w:sz w:val="10"/>
                <w:szCs w:val="10"/>
              </w:rPr>
              <w:t>62,00</w:t>
            </w:r>
          </w:p>
        </w:tc>
        <w:tc>
          <w:tcPr>
            <w:tcW w:w="0" w:type="auto"/>
            <w:shd w:val="clear" w:color="auto" w:fill="auto"/>
          </w:tcPr>
          <w:p w14:paraId="505B89A1" w14:textId="77777777" w:rsidR="008C5CFA" w:rsidRPr="001C4484" w:rsidRDefault="00E82A60" w:rsidP="00300A01">
            <w:pPr>
              <w:spacing w:before="0" w:after="0"/>
              <w:jc w:val="right"/>
              <w:rPr>
                <w:sz w:val="10"/>
                <w:szCs w:val="10"/>
                <w:lang w:val="fr-BE"/>
              </w:rPr>
            </w:pPr>
            <w:r w:rsidRPr="001C4484">
              <w:rPr>
                <w:noProof/>
                <w:sz w:val="10"/>
                <w:szCs w:val="10"/>
              </w:rPr>
              <w:t>119,00</w:t>
            </w:r>
          </w:p>
        </w:tc>
        <w:tc>
          <w:tcPr>
            <w:tcW w:w="0" w:type="auto"/>
          </w:tcPr>
          <w:p w14:paraId="62BBD222" w14:textId="77777777" w:rsidR="008C5CFA" w:rsidRPr="001C4484" w:rsidRDefault="00E82A60" w:rsidP="00300A01">
            <w:pPr>
              <w:spacing w:before="0" w:after="0"/>
              <w:jc w:val="right"/>
              <w:rPr>
                <w:sz w:val="10"/>
                <w:szCs w:val="10"/>
              </w:rPr>
            </w:pPr>
            <w:r>
              <w:rPr>
                <w:noProof/>
                <w:sz w:val="10"/>
                <w:szCs w:val="10"/>
              </w:rPr>
              <w:t>3,00</w:t>
            </w:r>
          </w:p>
        </w:tc>
        <w:tc>
          <w:tcPr>
            <w:tcW w:w="0" w:type="auto"/>
            <w:shd w:val="clear" w:color="auto" w:fill="auto"/>
          </w:tcPr>
          <w:p w14:paraId="5A794ABA"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7A349C61" w14:textId="77777777" w:rsidR="008C5CFA" w:rsidRPr="001C4484" w:rsidRDefault="00E82A60" w:rsidP="00300A01">
            <w:pPr>
              <w:spacing w:before="0" w:after="0"/>
              <w:jc w:val="right"/>
              <w:rPr>
                <w:sz w:val="10"/>
                <w:szCs w:val="10"/>
                <w:lang w:val="fr-BE"/>
              </w:rPr>
            </w:pPr>
            <w:r w:rsidRPr="001C4484">
              <w:rPr>
                <w:noProof/>
                <w:sz w:val="10"/>
                <w:szCs w:val="10"/>
              </w:rPr>
              <w:t>3,00</w:t>
            </w:r>
          </w:p>
        </w:tc>
        <w:tc>
          <w:tcPr>
            <w:tcW w:w="0" w:type="auto"/>
          </w:tcPr>
          <w:p w14:paraId="4F603B22"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39C977F8"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010C3F29" w14:textId="77777777" w:rsidR="008C5CFA" w:rsidRPr="001C4484" w:rsidRDefault="00E82A60" w:rsidP="00300A01">
            <w:pPr>
              <w:spacing w:before="0" w:after="0"/>
              <w:jc w:val="right"/>
              <w:rPr>
                <w:sz w:val="10"/>
                <w:szCs w:val="10"/>
                <w:lang w:val="fr-BE"/>
              </w:rPr>
            </w:pPr>
            <w:r w:rsidRPr="001C4484">
              <w:rPr>
                <w:noProof/>
                <w:sz w:val="10"/>
                <w:szCs w:val="10"/>
              </w:rPr>
              <w:t>0,00</w:t>
            </w:r>
          </w:p>
        </w:tc>
      </w:tr>
      <w:tr w:rsidR="006B2EC1" w14:paraId="31CF28EF" w14:textId="77777777" w:rsidTr="0047688D">
        <w:tc>
          <w:tcPr>
            <w:tcW w:w="0" w:type="auto"/>
            <w:shd w:val="clear" w:color="auto" w:fill="auto"/>
          </w:tcPr>
          <w:p w14:paraId="1D0CA734" w14:textId="77777777" w:rsidR="008C5CFA" w:rsidRPr="001C4484" w:rsidRDefault="00E82A60" w:rsidP="00300A01">
            <w:pPr>
              <w:spacing w:before="0" w:after="0"/>
              <w:rPr>
                <w:sz w:val="10"/>
                <w:szCs w:val="10"/>
                <w:lang w:val="fr-BE"/>
              </w:rPr>
            </w:pPr>
            <w:r w:rsidRPr="001C4484">
              <w:rPr>
                <w:noProof/>
                <w:sz w:val="10"/>
                <w:szCs w:val="10"/>
                <w:lang w:val="fr-BE"/>
              </w:rPr>
              <w:t>CO05</w:t>
            </w:r>
          </w:p>
        </w:tc>
        <w:tc>
          <w:tcPr>
            <w:tcW w:w="0" w:type="auto"/>
            <w:shd w:val="clear" w:color="auto" w:fill="auto"/>
          </w:tcPr>
          <w:p w14:paraId="09772A58" w14:textId="77777777" w:rsidR="008C5CFA" w:rsidRPr="001C4484" w:rsidRDefault="00E82A60" w:rsidP="00300A01">
            <w:pPr>
              <w:spacing w:before="0" w:after="0"/>
              <w:rPr>
                <w:sz w:val="10"/>
                <w:szCs w:val="10"/>
                <w:lang w:val="fr-BE"/>
              </w:rPr>
            </w:pPr>
            <w:r w:rsidRPr="001C4484">
              <w:rPr>
                <w:noProof/>
                <w:sz w:val="10"/>
                <w:szCs w:val="10"/>
                <w:lang w:val="fr-BE"/>
              </w:rPr>
              <w:t>osoby pracujące, łącznie z prowadzącymi działalność na własny rachunek</w:t>
            </w:r>
          </w:p>
        </w:tc>
        <w:tc>
          <w:tcPr>
            <w:tcW w:w="0" w:type="auto"/>
            <w:shd w:val="clear" w:color="auto" w:fill="auto"/>
          </w:tcPr>
          <w:p w14:paraId="3BA02B24"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0AA3CE43" w14:textId="77777777" w:rsidR="008C5CFA" w:rsidRPr="001C4484" w:rsidRDefault="00E82A60" w:rsidP="00300A01">
            <w:pPr>
              <w:spacing w:before="0" w:after="0"/>
              <w:jc w:val="right"/>
              <w:rPr>
                <w:sz w:val="10"/>
                <w:szCs w:val="10"/>
              </w:rPr>
            </w:pPr>
            <w:r>
              <w:rPr>
                <w:noProof/>
                <w:sz w:val="10"/>
                <w:szCs w:val="10"/>
              </w:rPr>
              <w:t>1 076,00</w:t>
            </w:r>
          </w:p>
        </w:tc>
        <w:tc>
          <w:tcPr>
            <w:tcW w:w="0" w:type="auto"/>
            <w:shd w:val="clear" w:color="auto" w:fill="auto"/>
          </w:tcPr>
          <w:p w14:paraId="492C8D12" w14:textId="77777777" w:rsidR="008C5CFA" w:rsidRPr="001C4484" w:rsidRDefault="00E82A60" w:rsidP="00300A01">
            <w:pPr>
              <w:spacing w:before="0" w:after="0"/>
              <w:jc w:val="right"/>
              <w:rPr>
                <w:sz w:val="10"/>
                <w:szCs w:val="10"/>
              </w:rPr>
            </w:pPr>
            <w:r w:rsidRPr="001C4484">
              <w:rPr>
                <w:noProof/>
                <w:sz w:val="10"/>
                <w:szCs w:val="10"/>
              </w:rPr>
              <w:t>319,00</w:t>
            </w:r>
          </w:p>
        </w:tc>
        <w:tc>
          <w:tcPr>
            <w:tcW w:w="0" w:type="auto"/>
            <w:shd w:val="clear" w:color="auto" w:fill="auto"/>
          </w:tcPr>
          <w:p w14:paraId="4D2CD63D" w14:textId="77777777" w:rsidR="008C5CFA" w:rsidRPr="001C4484" w:rsidRDefault="00E82A60" w:rsidP="00300A01">
            <w:pPr>
              <w:spacing w:before="0" w:after="0"/>
              <w:jc w:val="right"/>
              <w:rPr>
                <w:sz w:val="10"/>
                <w:szCs w:val="10"/>
                <w:lang w:val="fr-BE"/>
              </w:rPr>
            </w:pPr>
            <w:r w:rsidRPr="001C4484">
              <w:rPr>
                <w:noProof/>
                <w:sz w:val="10"/>
                <w:szCs w:val="10"/>
              </w:rPr>
              <w:t>757,00</w:t>
            </w:r>
          </w:p>
        </w:tc>
        <w:tc>
          <w:tcPr>
            <w:tcW w:w="0" w:type="auto"/>
          </w:tcPr>
          <w:p w14:paraId="4C23AED0" w14:textId="77777777" w:rsidR="008C5CFA" w:rsidRPr="001C4484" w:rsidRDefault="00E82A60" w:rsidP="00300A01">
            <w:pPr>
              <w:spacing w:before="0" w:after="0"/>
              <w:jc w:val="right"/>
              <w:rPr>
                <w:sz w:val="10"/>
                <w:szCs w:val="10"/>
              </w:rPr>
            </w:pPr>
            <w:r>
              <w:rPr>
                <w:noProof/>
                <w:sz w:val="10"/>
                <w:szCs w:val="10"/>
              </w:rPr>
              <w:t>128,00</w:t>
            </w:r>
          </w:p>
        </w:tc>
        <w:tc>
          <w:tcPr>
            <w:tcW w:w="0" w:type="auto"/>
            <w:shd w:val="clear" w:color="auto" w:fill="auto"/>
          </w:tcPr>
          <w:p w14:paraId="0FF63470" w14:textId="77777777" w:rsidR="008C5CFA" w:rsidRPr="001C4484" w:rsidRDefault="00E82A60" w:rsidP="00300A01">
            <w:pPr>
              <w:spacing w:before="0" w:after="0"/>
              <w:jc w:val="right"/>
              <w:rPr>
                <w:sz w:val="10"/>
                <w:szCs w:val="10"/>
              </w:rPr>
            </w:pPr>
            <w:r w:rsidRPr="001C4484">
              <w:rPr>
                <w:noProof/>
                <w:sz w:val="10"/>
                <w:szCs w:val="10"/>
              </w:rPr>
              <w:t>29,00</w:t>
            </w:r>
          </w:p>
        </w:tc>
        <w:tc>
          <w:tcPr>
            <w:tcW w:w="0" w:type="auto"/>
            <w:shd w:val="clear" w:color="auto" w:fill="auto"/>
          </w:tcPr>
          <w:p w14:paraId="73465C1D" w14:textId="77777777" w:rsidR="008C5CFA" w:rsidRPr="001C4484" w:rsidRDefault="00E82A60" w:rsidP="00300A01">
            <w:pPr>
              <w:spacing w:before="0" w:after="0"/>
              <w:jc w:val="right"/>
              <w:rPr>
                <w:sz w:val="10"/>
                <w:szCs w:val="10"/>
                <w:lang w:val="fr-BE"/>
              </w:rPr>
            </w:pPr>
            <w:r w:rsidRPr="001C4484">
              <w:rPr>
                <w:noProof/>
                <w:sz w:val="10"/>
                <w:szCs w:val="10"/>
              </w:rPr>
              <w:t>99,00</w:t>
            </w:r>
          </w:p>
        </w:tc>
        <w:tc>
          <w:tcPr>
            <w:tcW w:w="0" w:type="auto"/>
          </w:tcPr>
          <w:p w14:paraId="6D48C3E9"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1B90B9C2"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1A33018C" w14:textId="77777777" w:rsidR="008C5CFA" w:rsidRPr="001C4484" w:rsidRDefault="00E82A60" w:rsidP="00300A01">
            <w:pPr>
              <w:spacing w:before="0" w:after="0"/>
              <w:jc w:val="right"/>
              <w:rPr>
                <w:sz w:val="10"/>
                <w:szCs w:val="10"/>
                <w:lang w:val="fr-BE"/>
              </w:rPr>
            </w:pPr>
            <w:r w:rsidRPr="001C4484">
              <w:rPr>
                <w:noProof/>
                <w:sz w:val="10"/>
                <w:szCs w:val="10"/>
              </w:rPr>
              <w:t>0,00</w:t>
            </w:r>
          </w:p>
        </w:tc>
      </w:tr>
      <w:tr w:rsidR="006B2EC1" w14:paraId="1D5AEE5A" w14:textId="77777777" w:rsidTr="0047688D">
        <w:tc>
          <w:tcPr>
            <w:tcW w:w="0" w:type="auto"/>
            <w:shd w:val="clear" w:color="auto" w:fill="auto"/>
          </w:tcPr>
          <w:p w14:paraId="736220D4" w14:textId="77777777" w:rsidR="008C5CFA" w:rsidRPr="001C4484" w:rsidRDefault="00E82A60" w:rsidP="00300A01">
            <w:pPr>
              <w:spacing w:before="0" w:after="0"/>
              <w:rPr>
                <w:sz w:val="10"/>
                <w:szCs w:val="10"/>
                <w:lang w:val="fr-BE"/>
              </w:rPr>
            </w:pPr>
            <w:r w:rsidRPr="001C4484">
              <w:rPr>
                <w:noProof/>
                <w:sz w:val="10"/>
                <w:szCs w:val="10"/>
                <w:lang w:val="fr-BE"/>
              </w:rPr>
              <w:t>CO06</w:t>
            </w:r>
          </w:p>
        </w:tc>
        <w:tc>
          <w:tcPr>
            <w:tcW w:w="0" w:type="auto"/>
            <w:shd w:val="clear" w:color="auto" w:fill="auto"/>
          </w:tcPr>
          <w:p w14:paraId="16925436" w14:textId="77777777" w:rsidR="008C5CFA" w:rsidRPr="001C4484" w:rsidRDefault="00E82A60" w:rsidP="00300A01">
            <w:pPr>
              <w:spacing w:before="0" w:after="0"/>
              <w:rPr>
                <w:sz w:val="10"/>
                <w:szCs w:val="10"/>
                <w:lang w:val="fr-BE"/>
              </w:rPr>
            </w:pPr>
            <w:r w:rsidRPr="001C4484">
              <w:rPr>
                <w:noProof/>
                <w:sz w:val="10"/>
                <w:szCs w:val="10"/>
                <w:lang w:val="fr-BE"/>
              </w:rPr>
              <w:t>osoby w wieku poniżej 25 lat</w:t>
            </w:r>
          </w:p>
        </w:tc>
        <w:tc>
          <w:tcPr>
            <w:tcW w:w="0" w:type="auto"/>
            <w:shd w:val="clear" w:color="auto" w:fill="auto"/>
          </w:tcPr>
          <w:p w14:paraId="06B56460"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77D878A9"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4699D7AA"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16F380BB" w14:textId="77777777" w:rsidR="008C5CFA" w:rsidRPr="001C4484" w:rsidRDefault="00E82A60" w:rsidP="00300A01">
            <w:pPr>
              <w:spacing w:before="0" w:after="0"/>
              <w:jc w:val="right"/>
              <w:rPr>
                <w:sz w:val="10"/>
                <w:szCs w:val="10"/>
                <w:lang w:val="fr-BE"/>
              </w:rPr>
            </w:pPr>
            <w:r w:rsidRPr="001C4484">
              <w:rPr>
                <w:noProof/>
                <w:sz w:val="10"/>
                <w:szCs w:val="10"/>
              </w:rPr>
              <w:t>0,00</w:t>
            </w:r>
          </w:p>
        </w:tc>
        <w:tc>
          <w:tcPr>
            <w:tcW w:w="0" w:type="auto"/>
          </w:tcPr>
          <w:p w14:paraId="169E55F6"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5354718B"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6994BDA8" w14:textId="77777777" w:rsidR="008C5CFA" w:rsidRPr="001C4484" w:rsidRDefault="00E82A60" w:rsidP="00300A01">
            <w:pPr>
              <w:spacing w:before="0" w:after="0"/>
              <w:jc w:val="right"/>
              <w:rPr>
                <w:sz w:val="10"/>
                <w:szCs w:val="10"/>
                <w:lang w:val="fr-BE"/>
              </w:rPr>
            </w:pPr>
            <w:r w:rsidRPr="001C4484">
              <w:rPr>
                <w:noProof/>
                <w:sz w:val="10"/>
                <w:szCs w:val="10"/>
              </w:rPr>
              <w:t>0,00</w:t>
            </w:r>
          </w:p>
        </w:tc>
        <w:tc>
          <w:tcPr>
            <w:tcW w:w="0" w:type="auto"/>
          </w:tcPr>
          <w:p w14:paraId="0A3CBFE9"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579AF402"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6E8FCA90" w14:textId="77777777" w:rsidR="008C5CFA" w:rsidRPr="001C4484" w:rsidRDefault="00E82A60" w:rsidP="00300A01">
            <w:pPr>
              <w:spacing w:before="0" w:after="0"/>
              <w:jc w:val="right"/>
              <w:rPr>
                <w:sz w:val="10"/>
                <w:szCs w:val="10"/>
                <w:lang w:val="fr-BE"/>
              </w:rPr>
            </w:pPr>
            <w:r w:rsidRPr="001C4484">
              <w:rPr>
                <w:noProof/>
                <w:sz w:val="10"/>
                <w:szCs w:val="10"/>
              </w:rPr>
              <w:t>0,00</w:t>
            </w:r>
          </w:p>
        </w:tc>
      </w:tr>
      <w:tr w:rsidR="006B2EC1" w14:paraId="292AC2B2" w14:textId="77777777" w:rsidTr="0047688D">
        <w:tc>
          <w:tcPr>
            <w:tcW w:w="0" w:type="auto"/>
            <w:shd w:val="clear" w:color="auto" w:fill="auto"/>
          </w:tcPr>
          <w:p w14:paraId="4476A5DF" w14:textId="77777777" w:rsidR="008C5CFA" w:rsidRPr="001C4484" w:rsidRDefault="00E82A60" w:rsidP="00300A01">
            <w:pPr>
              <w:spacing w:before="0" w:after="0"/>
              <w:rPr>
                <w:sz w:val="10"/>
                <w:szCs w:val="10"/>
                <w:lang w:val="fr-BE"/>
              </w:rPr>
            </w:pPr>
            <w:r w:rsidRPr="001C4484">
              <w:rPr>
                <w:noProof/>
                <w:sz w:val="10"/>
                <w:szCs w:val="10"/>
                <w:lang w:val="fr-BE"/>
              </w:rPr>
              <w:t>CO07</w:t>
            </w:r>
          </w:p>
        </w:tc>
        <w:tc>
          <w:tcPr>
            <w:tcW w:w="0" w:type="auto"/>
            <w:shd w:val="clear" w:color="auto" w:fill="auto"/>
          </w:tcPr>
          <w:p w14:paraId="16C6382D" w14:textId="77777777" w:rsidR="008C5CFA" w:rsidRPr="001C4484" w:rsidRDefault="00E82A60" w:rsidP="00300A01">
            <w:pPr>
              <w:spacing w:before="0" w:after="0"/>
              <w:rPr>
                <w:sz w:val="10"/>
                <w:szCs w:val="10"/>
                <w:lang w:val="fr-BE"/>
              </w:rPr>
            </w:pPr>
            <w:r w:rsidRPr="001C4484">
              <w:rPr>
                <w:noProof/>
                <w:sz w:val="10"/>
                <w:szCs w:val="10"/>
                <w:lang w:val="fr-BE"/>
              </w:rPr>
              <w:t>osoby w wieku powyżej 54 lat</w:t>
            </w:r>
          </w:p>
        </w:tc>
        <w:tc>
          <w:tcPr>
            <w:tcW w:w="0" w:type="auto"/>
            <w:shd w:val="clear" w:color="auto" w:fill="auto"/>
          </w:tcPr>
          <w:p w14:paraId="4D65D9DC"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576399A6" w14:textId="77777777" w:rsidR="008C5CFA" w:rsidRPr="001C4484" w:rsidRDefault="00E82A60" w:rsidP="00300A01">
            <w:pPr>
              <w:spacing w:before="0" w:after="0"/>
              <w:jc w:val="right"/>
              <w:rPr>
                <w:sz w:val="10"/>
                <w:szCs w:val="10"/>
              </w:rPr>
            </w:pPr>
            <w:r>
              <w:rPr>
                <w:noProof/>
                <w:sz w:val="10"/>
                <w:szCs w:val="10"/>
              </w:rPr>
              <w:t>1 188,00</w:t>
            </w:r>
          </w:p>
        </w:tc>
        <w:tc>
          <w:tcPr>
            <w:tcW w:w="0" w:type="auto"/>
            <w:shd w:val="clear" w:color="auto" w:fill="auto"/>
          </w:tcPr>
          <w:p w14:paraId="230A4F25" w14:textId="77777777" w:rsidR="008C5CFA" w:rsidRPr="001C4484" w:rsidRDefault="00E82A60" w:rsidP="00300A01">
            <w:pPr>
              <w:spacing w:before="0" w:after="0"/>
              <w:jc w:val="right"/>
              <w:rPr>
                <w:sz w:val="10"/>
                <w:szCs w:val="10"/>
              </w:rPr>
            </w:pPr>
            <w:r w:rsidRPr="001C4484">
              <w:rPr>
                <w:noProof/>
                <w:sz w:val="10"/>
                <w:szCs w:val="10"/>
              </w:rPr>
              <w:t>345,00</w:t>
            </w:r>
          </w:p>
        </w:tc>
        <w:tc>
          <w:tcPr>
            <w:tcW w:w="0" w:type="auto"/>
            <w:shd w:val="clear" w:color="auto" w:fill="auto"/>
          </w:tcPr>
          <w:p w14:paraId="5D8B101D" w14:textId="77777777" w:rsidR="008C5CFA" w:rsidRPr="001C4484" w:rsidRDefault="00E82A60" w:rsidP="00300A01">
            <w:pPr>
              <w:spacing w:before="0" w:after="0"/>
              <w:jc w:val="right"/>
              <w:rPr>
                <w:sz w:val="10"/>
                <w:szCs w:val="10"/>
                <w:lang w:val="fr-BE"/>
              </w:rPr>
            </w:pPr>
            <w:r w:rsidRPr="001C4484">
              <w:rPr>
                <w:noProof/>
                <w:sz w:val="10"/>
                <w:szCs w:val="10"/>
              </w:rPr>
              <w:t>843,00</w:t>
            </w:r>
          </w:p>
        </w:tc>
        <w:tc>
          <w:tcPr>
            <w:tcW w:w="0" w:type="auto"/>
          </w:tcPr>
          <w:p w14:paraId="3AF601ED" w14:textId="77777777" w:rsidR="008C5CFA" w:rsidRPr="001C4484" w:rsidRDefault="00E82A60" w:rsidP="00300A01">
            <w:pPr>
              <w:spacing w:before="0" w:after="0"/>
              <w:jc w:val="right"/>
              <w:rPr>
                <w:sz w:val="10"/>
                <w:szCs w:val="10"/>
              </w:rPr>
            </w:pPr>
            <w:r>
              <w:rPr>
                <w:noProof/>
                <w:sz w:val="10"/>
                <w:szCs w:val="10"/>
              </w:rPr>
              <w:t>122,00</w:t>
            </w:r>
          </w:p>
        </w:tc>
        <w:tc>
          <w:tcPr>
            <w:tcW w:w="0" w:type="auto"/>
            <w:shd w:val="clear" w:color="auto" w:fill="auto"/>
          </w:tcPr>
          <w:p w14:paraId="0AB4AF54" w14:textId="77777777" w:rsidR="008C5CFA" w:rsidRPr="001C4484" w:rsidRDefault="00E82A60" w:rsidP="00300A01">
            <w:pPr>
              <w:spacing w:before="0" w:after="0"/>
              <w:jc w:val="right"/>
              <w:rPr>
                <w:sz w:val="10"/>
                <w:szCs w:val="10"/>
              </w:rPr>
            </w:pPr>
            <w:r w:rsidRPr="001C4484">
              <w:rPr>
                <w:noProof/>
                <w:sz w:val="10"/>
                <w:szCs w:val="10"/>
              </w:rPr>
              <w:t>29,00</w:t>
            </w:r>
          </w:p>
        </w:tc>
        <w:tc>
          <w:tcPr>
            <w:tcW w:w="0" w:type="auto"/>
            <w:shd w:val="clear" w:color="auto" w:fill="auto"/>
          </w:tcPr>
          <w:p w14:paraId="50B6CEE7" w14:textId="77777777" w:rsidR="008C5CFA" w:rsidRPr="001C4484" w:rsidRDefault="00E82A60" w:rsidP="00300A01">
            <w:pPr>
              <w:spacing w:before="0" w:after="0"/>
              <w:jc w:val="right"/>
              <w:rPr>
                <w:sz w:val="10"/>
                <w:szCs w:val="10"/>
                <w:lang w:val="fr-BE"/>
              </w:rPr>
            </w:pPr>
            <w:r w:rsidRPr="001C4484">
              <w:rPr>
                <w:noProof/>
                <w:sz w:val="10"/>
                <w:szCs w:val="10"/>
              </w:rPr>
              <w:t>93,00</w:t>
            </w:r>
          </w:p>
        </w:tc>
        <w:tc>
          <w:tcPr>
            <w:tcW w:w="0" w:type="auto"/>
          </w:tcPr>
          <w:p w14:paraId="102C6643"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125BD2DD"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67B51670" w14:textId="77777777" w:rsidR="008C5CFA" w:rsidRPr="001C4484" w:rsidRDefault="00E82A60" w:rsidP="00300A01">
            <w:pPr>
              <w:spacing w:before="0" w:after="0"/>
              <w:jc w:val="right"/>
              <w:rPr>
                <w:sz w:val="10"/>
                <w:szCs w:val="10"/>
                <w:lang w:val="fr-BE"/>
              </w:rPr>
            </w:pPr>
            <w:r w:rsidRPr="001C4484">
              <w:rPr>
                <w:noProof/>
                <w:sz w:val="10"/>
                <w:szCs w:val="10"/>
              </w:rPr>
              <w:t>0,00</w:t>
            </w:r>
          </w:p>
        </w:tc>
      </w:tr>
      <w:tr w:rsidR="006B2EC1" w14:paraId="7565CDB9" w14:textId="77777777" w:rsidTr="0047688D">
        <w:tc>
          <w:tcPr>
            <w:tcW w:w="0" w:type="auto"/>
            <w:shd w:val="clear" w:color="auto" w:fill="auto"/>
          </w:tcPr>
          <w:p w14:paraId="687BF1BD" w14:textId="77777777" w:rsidR="008C5CFA" w:rsidRPr="001C4484" w:rsidRDefault="00E82A60" w:rsidP="00300A01">
            <w:pPr>
              <w:spacing w:before="0" w:after="0"/>
              <w:rPr>
                <w:sz w:val="10"/>
                <w:szCs w:val="10"/>
                <w:lang w:val="fr-BE"/>
              </w:rPr>
            </w:pPr>
            <w:r w:rsidRPr="001C4484">
              <w:rPr>
                <w:noProof/>
                <w:sz w:val="10"/>
                <w:szCs w:val="10"/>
                <w:lang w:val="fr-BE"/>
              </w:rPr>
              <w:t>CO08</w:t>
            </w:r>
          </w:p>
        </w:tc>
        <w:tc>
          <w:tcPr>
            <w:tcW w:w="0" w:type="auto"/>
            <w:shd w:val="clear" w:color="auto" w:fill="auto"/>
          </w:tcPr>
          <w:p w14:paraId="75F5E002" w14:textId="77777777" w:rsidR="008C5CFA" w:rsidRPr="001C4484" w:rsidRDefault="00E82A60" w:rsidP="00300A01">
            <w:pPr>
              <w:spacing w:before="0" w:after="0"/>
              <w:rPr>
                <w:sz w:val="10"/>
                <w:szCs w:val="10"/>
                <w:lang w:val="fr-BE"/>
              </w:rPr>
            </w:pPr>
            <w:r w:rsidRPr="001C4484">
              <w:rPr>
                <w:noProof/>
                <w:sz w:val="10"/>
                <w:szCs w:val="10"/>
                <w:lang w:val="fr-BE"/>
              </w:rPr>
              <w:t>osoby powyżej 54 lat, które są bezrobotne, łącznie z długotrwale bezrobotnymi, lub są bierne zawodowo i nie uczestniczą w kształceniu ani szkoleniu</w:t>
            </w:r>
          </w:p>
        </w:tc>
        <w:tc>
          <w:tcPr>
            <w:tcW w:w="0" w:type="auto"/>
            <w:shd w:val="clear" w:color="auto" w:fill="auto"/>
          </w:tcPr>
          <w:p w14:paraId="749FB2B2"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2D974E2D" w14:textId="77777777" w:rsidR="008C5CFA" w:rsidRPr="001C4484" w:rsidRDefault="00E82A60" w:rsidP="00300A01">
            <w:pPr>
              <w:spacing w:before="0" w:after="0"/>
              <w:jc w:val="right"/>
              <w:rPr>
                <w:sz w:val="10"/>
                <w:szCs w:val="10"/>
              </w:rPr>
            </w:pPr>
            <w:r>
              <w:rPr>
                <w:noProof/>
                <w:sz w:val="10"/>
                <w:szCs w:val="10"/>
              </w:rPr>
              <w:t>240,00</w:t>
            </w:r>
          </w:p>
        </w:tc>
        <w:tc>
          <w:tcPr>
            <w:tcW w:w="0" w:type="auto"/>
            <w:shd w:val="clear" w:color="auto" w:fill="auto"/>
          </w:tcPr>
          <w:p w14:paraId="209EE366" w14:textId="77777777" w:rsidR="008C5CFA" w:rsidRPr="001C4484" w:rsidRDefault="00E82A60" w:rsidP="00300A01">
            <w:pPr>
              <w:spacing w:before="0" w:after="0"/>
              <w:jc w:val="right"/>
              <w:rPr>
                <w:sz w:val="10"/>
                <w:szCs w:val="10"/>
              </w:rPr>
            </w:pPr>
            <w:r w:rsidRPr="001C4484">
              <w:rPr>
                <w:noProof/>
                <w:sz w:val="10"/>
                <w:szCs w:val="10"/>
              </w:rPr>
              <w:t>76,00</w:t>
            </w:r>
          </w:p>
        </w:tc>
        <w:tc>
          <w:tcPr>
            <w:tcW w:w="0" w:type="auto"/>
            <w:shd w:val="clear" w:color="auto" w:fill="auto"/>
          </w:tcPr>
          <w:p w14:paraId="0A868BBC" w14:textId="77777777" w:rsidR="008C5CFA" w:rsidRPr="001C4484" w:rsidRDefault="00E82A60" w:rsidP="00300A01">
            <w:pPr>
              <w:spacing w:before="0" w:after="0"/>
              <w:jc w:val="right"/>
              <w:rPr>
                <w:sz w:val="10"/>
                <w:szCs w:val="10"/>
                <w:lang w:val="fr-BE"/>
              </w:rPr>
            </w:pPr>
            <w:r w:rsidRPr="001C4484">
              <w:rPr>
                <w:noProof/>
                <w:sz w:val="10"/>
                <w:szCs w:val="10"/>
              </w:rPr>
              <w:t>164,00</w:t>
            </w:r>
          </w:p>
        </w:tc>
        <w:tc>
          <w:tcPr>
            <w:tcW w:w="0" w:type="auto"/>
          </w:tcPr>
          <w:p w14:paraId="66AB704E" w14:textId="77777777" w:rsidR="008C5CFA" w:rsidRPr="001C4484" w:rsidRDefault="00E82A60" w:rsidP="00300A01">
            <w:pPr>
              <w:spacing w:before="0" w:after="0"/>
              <w:jc w:val="right"/>
              <w:rPr>
                <w:sz w:val="10"/>
                <w:szCs w:val="10"/>
              </w:rPr>
            </w:pPr>
            <w:r>
              <w:rPr>
                <w:noProof/>
                <w:sz w:val="10"/>
                <w:szCs w:val="10"/>
              </w:rPr>
              <w:t>21,00</w:t>
            </w:r>
          </w:p>
        </w:tc>
        <w:tc>
          <w:tcPr>
            <w:tcW w:w="0" w:type="auto"/>
            <w:shd w:val="clear" w:color="auto" w:fill="auto"/>
          </w:tcPr>
          <w:p w14:paraId="5A004557" w14:textId="77777777" w:rsidR="008C5CFA" w:rsidRPr="001C4484" w:rsidRDefault="00E82A60" w:rsidP="00300A01">
            <w:pPr>
              <w:spacing w:before="0" w:after="0"/>
              <w:jc w:val="right"/>
              <w:rPr>
                <w:sz w:val="10"/>
                <w:szCs w:val="10"/>
              </w:rPr>
            </w:pPr>
            <w:r w:rsidRPr="001C4484">
              <w:rPr>
                <w:noProof/>
                <w:sz w:val="10"/>
                <w:szCs w:val="10"/>
              </w:rPr>
              <w:t>3,00</w:t>
            </w:r>
          </w:p>
        </w:tc>
        <w:tc>
          <w:tcPr>
            <w:tcW w:w="0" w:type="auto"/>
            <w:shd w:val="clear" w:color="auto" w:fill="auto"/>
          </w:tcPr>
          <w:p w14:paraId="5770EEC0" w14:textId="77777777" w:rsidR="008C5CFA" w:rsidRPr="001C4484" w:rsidRDefault="00E82A60" w:rsidP="00300A01">
            <w:pPr>
              <w:spacing w:before="0" w:after="0"/>
              <w:jc w:val="right"/>
              <w:rPr>
                <w:sz w:val="10"/>
                <w:szCs w:val="10"/>
                <w:lang w:val="fr-BE"/>
              </w:rPr>
            </w:pPr>
            <w:r w:rsidRPr="001C4484">
              <w:rPr>
                <w:noProof/>
                <w:sz w:val="10"/>
                <w:szCs w:val="10"/>
              </w:rPr>
              <w:t>18,00</w:t>
            </w:r>
          </w:p>
        </w:tc>
        <w:tc>
          <w:tcPr>
            <w:tcW w:w="0" w:type="auto"/>
          </w:tcPr>
          <w:p w14:paraId="228414EB"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402334B1"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21A9426B" w14:textId="77777777" w:rsidR="008C5CFA" w:rsidRPr="001C4484" w:rsidRDefault="00E82A60" w:rsidP="00300A01">
            <w:pPr>
              <w:spacing w:before="0" w:after="0"/>
              <w:jc w:val="right"/>
              <w:rPr>
                <w:sz w:val="10"/>
                <w:szCs w:val="10"/>
                <w:lang w:val="fr-BE"/>
              </w:rPr>
            </w:pPr>
            <w:r w:rsidRPr="001C4484">
              <w:rPr>
                <w:noProof/>
                <w:sz w:val="10"/>
                <w:szCs w:val="10"/>
              </w:rPr>
              <w:t>0,00</w:t>
            </w:r>
          </w:p>
        </w:tc>
      </w:tr>
      <w:tr w:rsidR="006B2EC1" w14:paraId="75CDA05D" w14:textId="77777777" w:rsidTr="0047688D">
        <w:tc>
          <w:tcPr>
            <w:tcW w:w="0" w:type="auto"/>
            <w:shd w:val="clear" w:color="auto" w:fill="auto"/>
          </w:tcPr>
          <w:p w14:paraId="5D921DA7" w14:textId="77777777" w:rsidR="008C5CFA" w:rsidRPr="001C4484" w:rsidRDefault="00E82A60" w:rsidP="00300A01">
            <w:pPr>
              <w:spacing w:before="0" w:after="0"/>
              <w:rPr>
                <w:sz w:val="10"/>
                <w:szCs w:val="10"/>
                <w:lang w:val="fr-BE"/>
              </w:rPr>
            </w:pPr>
            <w:r w:rsidRPr="001C4484">
              <w:rPr>
                <w:noProof/>
                <w:sz w:val="10"/>
                <w:szCs w:val="10"/>
                <w:lang w:val="fr-BE"/>
              </w:rPr>
              <w:t>CO09</w:t>
            </w:r>
          </w:p>
        </w:tc>
        <w:tc>
          <w:tcPr>
            <w:tcW w:w="0" w:type="auto"/>
            <w:shd w:val="clear" w:color="auto" w:fill="auto"/>
          </w:tcPr>
          <w:p w14:paraId="49887BCA" w14:textId="77777777" w:rsidR="008C5CFA" w:rsidRPr="001C4484" w:rsidRDefault="00E82A60" w:rsidP="00300A01">
            <w:pPr>
              <w:spacing w:before="0" w:after="0"/>
              <w:rPr>
                <w:sz w:val="10"/>
                <w:szCs w:val="10"/>
                <w:lang w:val="fr-BE"/>
              </w:rPr>
            </w:pPr>
            <w:r w:rsidRPr="001C4484">
              <w:rPr>
                <w:noProof/>
                <w:sz w:val="10"/>
                <w:szCs w:val="10"/>
                <w:lang w:val="fr-BE"/>
              </w:rPr>
              <w:t>osoby z wykształceniem podstawowym (ISCED 1) lub średnim I stopnia (ISCED 2)</w:t>
            </w:r>
          </w:p>
        </w:tc>
        <w:tc>
          <w:tcPr>
            <w:tcW w:w="0" w:type="auto"/>
            <w:shd w:val="clear" w:color="auto" w:fill="auto"/>
          </w:tcPr>
          <w:p w14:paraId="1401D259"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24EF4B45" w14:textId="77777777" w:rsidR="008C5CFA" w:rsidRPr="001C4484" w:rsidRDefault="00E82A60" w:rsidP="00300A01">
            <w:pPr>
              <w:spacing w:before="0" w:after="0"/>
              <w:jc w:val="right"/>
              <w:rPr>
                <w:sz w:val="10"/>
                <w:szCs w:val="10"/>
              </w:rPr>
            </w:pPr>
            <w:r>
              <w:rPr>
                <w:noProof/>
                <w:sz w:val="10"/>
                <w:szCs w:val="10"/>
              </w:rPr>
              <w:t>261,00</w:t>
            </w:r>
          </w:p>
        </w:tc>
        <w:tc>
          <w:tcPr>
            <w:tcW w:w="0" w:type="auto"/>
            <w:shd w:val="clear" w:color="auto" w:fill="auto"/>
          </w:tcPr>
          <w:p w14:paraId="0B274C9E" w14:textId="77777777" w:rsidR="008C5CFA" w:rsidRPr="001C4484" w:rsidRDefault="00E82A60" w:rsidP="00300A01">
            <w:pPr>
              <w:spacing w:before="0" w:after="0"/>
              <w:jc w:val="right"/>
              <w:rPr>
                <w:sz w:val="10"/>
                <w:szCs w:val="10"/>
              </w:rPr>
            </w:pPr>
            <w:r w:rsidRPr="001C4484">
              <w:rPr>
                <w:noProof/>
                <w:sz w:val="10"/>
                <w:szCs w:val="10"/>
              </w:rPr>
              <w:t>91,00</w:t>
            </w:r>
          </w:p>
        </w:tc>
        <w:tc>
          <w:tcPr>
            <w:tcW w:w="0" w:type="auto"/>
            <w:shd w:val="clear" w:color="auto" w:fill="auto"/>
          </w:tcPr>
          <w:p w14:paraId="7DB305DD" w14:textId="77777777" w:rsidR="008C5CFA" w:rsidRPr="001C4484" w:rsidRDefault="00E82A60" w:rsidP="00300A01">
            <w:pPr>
              <w:spacing w:before="0" w:after="0"/>
              <w:jc w:val="right"/>
              <w:rPr>
                <w:sz w:val="10"/>
                <w:szCs w:val="10"/>
                <w:lang w:val="fr-BE"/>
              </w:rPr>
            </w:pPr>
            <w:r w:rsidRPr="001C4484">
              <w:rPr>
                <w:noProof/>
                <w:sz w:val="10"/>
                <w:szCs w:val="10"/>
              </w:rPr>
              <w:t>170,00</w:t>
            </w:r>
          </w:p>
        </w:tc>
        <w:tc>
          <w:tcPr>
            <w:tcW w:w="0" w:type="auto"/>
          </w:tcPr>
          <w:p w14:paraId="57F4DF87" w14:textId="77777777" w:rsidR="008C5CFA" w:rsidRPr="001C4484" w:rsidRDefault="00E82A60" w:rsidP="00300A01">
            <w:pPr>
              <w:spacing w:before="0" w:after="0"/>
              <w:jc w:val="right"/>
              <w:rPr>
                <w:sz w:val="10"/>
                <w:szCs w:val="10"/>
              </w:rPr>
            </w:pPr>
            <w:r>
              <w:rPr>
                <w:noProof/>
                <w:sz w:val="10"/>
                <w:szCs w:val="10"/>
              </w:rPr>
              <w:t>20,00</w:t>
            </w:r>
          </w:p>
        </w:tc>
        <w:tc>
          <w:tcPr>
            <w:tcW w:w="0" w:type="auto"/>
            <w:shd w:val="clear" w:color="auto" w:fill="auto"/>
          </w:tcPr>
          <w:p w14:paraId="68301BC7" w14:textId="77777777" w:rsidR="008C5CFA" w:rsidRPr="001C4484" w:rsidRDefault="00E82A60" w:rsidP="00300A01">
            <w:pPr>
              <w:spacing w:before="0" w:after="0"/>
              <w:jc w:val="right"/>
              <w:rPr>
                <w:sz w:val="10"/>
                <w:szCs w:val="10"/>
              </w:rPr>
            </w:pPr>
            <w:r w:rsidRPr="001C4484">
              <w:rPr>
                <w:noProof/>
                <w:sz w:val="10"/>
                <w:szCs w:val="10"/>
              </w:rPr>
              <w:t>8,00</w:t>
            </w:r>
          </w:p>
        </w:tc>
        <w:tc>
          <w:tcPr>
            <w:tcW w:w="0" w:type="auto"/>
            <w:shd w:val="clear" w:color="auto" w:fill="auto"/>
          </w:tcPr>
          <w:p w14:paraId="18A6840D" w14:textId="77777777" w:rsidR="008C5CFA" w:rsidRPr="001C4484" w:rsidRDefault="00E82A60" w:rsidP="00300A01">
            <w:pPr>
              <w:spacing w:before="0" w:after="0"/>
              <w:jc w:val="right"/>
              <w:rPr>
                <w:sz w:val="10"/>
                <w:szCs w:val="10"/>
                <w:lang w:val="fr-BE"/>
              </w:rPr>
            </w:pPr>
            <w:r w:rsidRPr="001C4484">
              <w:rPr>
                <w:noProof/>
                <w:sz w:val="10"/>
                <w:szCs w:val="10"/>
              </w:rPr>
              <w:t>12,00</w:t>
            </w:r>
          </w:p>
        </w:tc>
        <w:tc>
          <w:tcPr>
            <w:tcW w:w="0" w:type="auto"/>
          </w:tcPr>
          <w:p w14:paraId="4724A9A2"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648C8D8E"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7F1F7B64" w14:textId="77777777" w:rsidR="008C5CFA" w:rsidRPr="001C4484" w:rsidRDefault="00E82A60" w:rsidP="00300A01">
            <w:pPr>
              <w:spacing w:before="0" w:after="0"/>
              <w:jc w:val="right"/>
              <w:rPr>
                <w:sz w:val="10"/>
                <w:szCs w:val="10"/>
                <w:lang w:val="fr-BE"/>
              </w:rPr>
            </w:pPr>
            <w:r w:rsidRPr="001C4484">
              <w:rPr>
                <w:noProof/>
                <w:sz w:val="10"/>
                <w:szCs w:val="10"/>
              </w:rPr>
              <w:t>0,00</w:t>
            </w:r>
          </w:p>
        </w:tc>
      </w:tr>
      <w:tr w:rsidR="006B2EC1" w14:paraId="60DE6ADE" w14:textId="77777777" w:rsidTr="0047688D">
        <w:tc>
          <w:tcPr>
            <w:tcW w:w="0" w:type="auto"/>
            <w:shd w:val="clear" w:color="auto" w:fill="auto"/>
          </w:tcPr>
          <w:p w14:paraId="6C8E057F" w14:textId="77777777" w:rsidR="008C5CFA" w:rsidRPr="001C4484" w:rsidRDefault="00E82A60" w:rsidP="00300A01">
            <w:pPr>
              <w:spacing w:before="0" w:after="0"/>
              <w:rPr>
                <w:sz w:val="10"/>
                <w:szCs w:val="10"/>
                <w:lang w:val="fr-BE"/>
              </w:rPr>
            </w:pPr>
            <w:r w:rsidRPr="001C4484">
              <w:rPr>
                <w:noProof/>
                <w:sz w:val="10"/>
                <w:szCs w:val="10"/>
                <w:lang w:val="fr-BE"/>
              </w:rPr>
              <w:t>CO10</w:t>
            </w:r>
          </w:p>
        </w:tc>
        <w:tc>
          <w:tcPr>
            <w:tcW w:w="0" w:type="auto"/>
            <w:shd w:val="clear" w:color="auto" w:fill="auto"/>
          </w:tcPr>
          <w:p w14:paraId="1F75C0C4" w14:textId="77777777" w:rsidR="008C5CFA" w:rsidRPr="001C4484" w:rsidRDefault="00E82A60" w:rsidP="00300A01">
            <w:pPr>
              <w:spacing w:before="0" w:after="0"/>
              <w:rPr>
                <w:sz w:val="10"/>
                <w:szCs w:val="10"/>
                <w:lang w:val="fr-BE"/>
              </w:rPr>
            </w:pPr>
            <w:r w:rsidRPr="001C4484">
              <w:rPr>
                <w:noProof/>
                <w:sz w:val="10"/>
                <w:szCs w:val="10"/>
                <w:lang w:val="fr-BE"/>
              </w:rPr>
              <w:t>osoby z wykształceniem średnim II stopnia (ISCED 3) lub policealnym (ISCED 4)</w:t>
            </w:r>
          </w:p>
        </w:tc>
        <w:tc>
          <w:tcPr>
            <w:tcW w:w="0" w:type="auto"/>
            <w:shd w:val="clear" w:color="auto" w:fill="auto"/>
          </w:tcPr>
          <w:p w14:paraId="0370DAC6"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1B85A0EB" w14:textId="77777777" w:rsidR="008C5CFA" w:rsidRPr="001C4484" w:rsidRDefault="00E82A60" w:rsidP="00300A01">
            <w:pPr>
              <w:spacing w:before="0" w:after="0"/>
              <w:jc w:val="right"/>
              <w:rPr>
                <w:sz w:val="10"/>
                <w:szCs w:val="10"/>
              </w:rPr>
            </w:pPr>
            <w:r>
              <w:rPr>
                <w:noProof/>
                <w:sz w:val="10"/>
                <w:szCs w:val="10"/>
              </w:rPr>
              <w:t>2 314,00</w:t>
            </w:r>
          </w:p>
        </w:tc>
        <w:tc>
          <w:tcPr>
            <w:tcW w:w="0" w:type="auto"/>
            <w:shd w:val="clear" w:color="auto" w:fill="auto"/>
          </w:tcPr>
          <w:p w14:paraId="707B19AE" w14:textId="77777777" w:rsidR="008C5CFA" w:rsidRPr="001C4484" w:rsidRDefault="00E82A60" w:rsidP="00300A01">
            <w:pPr>
              <w:spacing w:before="0" w:after="0"/>
              <w:jc w:val="right"/>
              <w:rPr>
                <w:sz w:val="10"/>
                <w:szCs w:val="10"/>
              </w:rPr>
            </w:pPr>
            <w:r w:rsidRPr="001C4484">
              <w:rPr>
                <w:noProof/>
                <w:sz w:val="10"/>
                <w:szCs w:val="10"/>
              </w:rPr>
              <w:t>645,00</w:t>
            </w:r>
          </w:p>
        </w:tc>
        <w:tc>
          <w:tcPr>
            <w:tcW w:w="0" w:type="auto"/>
            <w:shd w:val="clear" w:color="auto" w:fill="auto"/>
          </w:tcPr>
          <w:p w14:paraId="3D951EE6" w14:textId="77777777" w:rsidR="008C5CFA" w:rsidRPr="001C4484" w:rsidRDefault="00E82A60" w:rsidP="00300A01">
            <w:pPr>
              <w:spacing w:before="0" w:after="0"/>
              <w:jc w:val="right"/>
              <w:rPr>
                <w:sz w:val="10"/>
                <w:szCs w:val="10"/>
                <w:lang w:val="fr-BE"/>
              </w:rPr>
            </w:pPr>
            <w:r w:rsidRPr="001C4484">
              <w:rPr>
                <w:noProof/>
                <w:sz w:val="10"/>
                <w:szCs w:val="10"/>
              </w:rPr>
              <w:t>1 669,00</w:t>
            </w:r>
          </w:p>
        </w:tc>
        <w:tc>
          <w:tcPr>
            <w:tcW w:w="0" w:type="auto"/>
          </w:tcPr>
          <w:p w14:paraId="1CCF2C9B" w14:textId="77777777" w:rsidR="008C5CFA" w:rsidRPr="001C4484" w:rsidRDefault="00E82A60" w:rsidP="00300A01">
            <w:pPr>
              <w:spacing w:before="0" w:after="0"/>
              <w:jc w:val="right"/>
              <w:rPr>
                <w:sz w:val="10"/>
                <w:szCs w:val="10"/>
              </w:rPr>
            </w:pPr>
            <w:r>
              <w:rPr>
                <w:noProof/>
                <w:sz w:val="10"/>
                <w:szCs w:val="10"/>
              </w:rPr>
              <w:t>317,00</w:t>
            </w:r>
          </w:p>
        </w:tc>
        <w:tc>
          <w:tcPr>
            <w:tcW w:w="0" w:type="auto"/>
            <w:shd w:val="clear" w:color="auto" w:fill="auto"/>
          </w:tcPr>
          <w:p w14:paraId="52EF01FC" w14:textId="77777777" w:rsidR="008C5CFA" w:rsidRPr="001C4484" w:rsidRDefault="00E82A60" w:rsidP="00300A01">
            <w:pPr>
              <w:spacing w:before="0" w:after="0"/>
              <w:jc w:val="right"/>
              <w:rPr>
                <w:sz w:val="10"/>
                <w:szCs w:val="10"/>
              </w:rPr>
            </w:pPr>
            <w:r w:rsidRPr="001C4484">
              <w:rPr>
                <w:noProof/>
                <w:sz w:val="10"/>
                <w:szCs w:val="10"/>
              </w:rPr>
              <w:t>58,00</w:t>
            </w:r>
          </w:p>
        </w:tc>
        <w:tc>
          <w:tcPr>
            <w:tcW w:w="0" w:type="auto"/>
            <w:shd w:val="clear" w:color="auto" w:fill="auto"/>
          </w:tcPr>
          <w:p w14:paraId="362C0BEC" w14:textId="77777777" w:rsidR="008C5CFA" w:rsidRPr="001C4484" w:rsidRDefault="00E82A60" w:rsidP="00300A01">
            <w:pPr>
              <w:spacing w:before="0" w:after="0"/>
              <w:jc w:val="right"/>
              <w:rPr>
                <w:sz w:val="10"/>
                <w:szCs w:val="10"/>
                <w:lang w:val="fr-BE"/>
              </w:rPr>
            </w:pPr>
            <w:r w:rsidRPr="001C4484">
              <w:rPr>
                <w:noProof/>
                <w:sz w:val="10"/>
                <w:szCs w:val="10"/>
              </w:rPr>
              <w:t>259,00</w:t>
            </w:r>
          </w:p>
        </w:tc>
        <w:tc>
          <w:tcPr>
            <w:tcW w:w="0" w:type="auto"/>
          </w:tcPr>
          <w:p w14:paraId="52D21B60"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61710605"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4800C6FB" w14:textId="77777777" w:rsidR="008C5CFA" w:rsidRPr="001C4484" w:rsidRDefault="00E82A60" w:rsidP="00300A01">
            <w:pPr>
              <w:spacing w:before="0" w:after="0"/>
              <w:jc w:val="right"/>
              <w:rPr>
                <w:sz w:val="10"/>
                <w:szCs w:val="10"/>
                <w:lang w:val="fr-BE"/>
              </w:rPr>
            </w:pPr>
            <w:r w:rsidRPr="001C4484">
              <w:rPr>
                <w:noProof/>
                <w:sz w:val="10"/>
                <w:szCs w:val="10"/>
              </w:rPr>
              <w:t>0,00</w:t>
            </w:r>
          </w:p>
        </w:tc>
      </w:tr>
      <w:tr w:rsidR="006B2EC1" w14:paraId="2564697D" w14:textId="77777777" w:rsidTr="0047688D">
        <w:tc>
          <w:tcPr>
            <w:tcW w:w="0" w:type="auto"/>
            <w:shd w:val="clear" w:color="auto" w:fill="auto"/>
          </w:tcPr>
          <w:p w14:paraId="4FB69EC3" w14:textId="77777777" w:rsidR="008C5CFA" w:rsidRPr="001C4484" w:rsidRDefault="00E82A60" w:rsidP="00300A01">
            <w:pPr>
              <w:spacing w:before="0" w:after="0"/>
              <w:rPr>
                <w:sz w:val="10"/>
                <w:szCs w:val="10"/>
                <w:lang w:val="fr-BE"/>
              </w:rPr>
            </w:pPr>
            <w:r w:rsidRPr="001C4484">
              <w:rPr>
                <w:noProof/>
                <w:sz w:val="10"/>
                <w:szCs w:val="10"/>
                <w:lang w:val="fr-BE"/>
              </w:rPr>
              <w:t>CO11</w:t>
            </w:r>
          </w:p>
        </w:tc>
        <w:tc>
          <w:tcPr>
            <w:tcW w:w="0" w:type="auto"/>
            <w:shd w:val="clear" w:color="auto" w:fill="auto"/>
          </w:tcPr>
          <w:p w14:paraId="2BF5900F" w14:textId="77777777" w:rsidR="008C5CFA" w:rsidRPr="001C4484" w:rsidRDefault="00E82A60" w:rsidP="00300A01">
            <w:pPr>
              <w:spacing w:before="0" w:after="0"/>
              <w:rPr>
                <w:sz w:val="10"/>
                <w:szCs w:val="10"/>
                <w:lang w:val="fr-BE"/>
              </w:rPr>
            </w:pPr>
            <w:r w:rsidRPr="001C4484">
              <w:rPr>
                <w:noProof/>
                <w:sz w:val="10"/>
                <w:szCs w:val="10"/>
                <w:lang w:val="fr-BE"/>
              </w:rPr>
              <w:t>osoby z wykształceniem wyższym (ISCED 5 do 8)</w:t>
            </w:r>
          </w:p>
        </w:tc>
        <w:tc>
          <w:tcPr>
            <w:tcW w:w="0" w:type="auto"/>
            <w:shd w:val="clear" w:color="auto" w:fill="auto"/>
          </w:tcPr>
          <w:p w14:paraId="06A45489"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694BD160" w14:textId="77777777" w:rsidR="008C5CFA" w:rsidRPr="001C4484" w:rsidRDefault="00E82A60" w:rsidP="00300A01">
            <w:pPr>
              <w:spacing w:before="0" w:after="0"/>
              <w:jc w:val="right"/>
              <w:rPr>
                <w:sz w:val="10"/>
                <w:szCs w:val="10"/>
              </w:rPr>
            </w:pPr>
            <w:r>
              <w:rPr>
                <w:noProof/>
                <w:sz w:val="10"/>
                <w:szCs w:val="10"/>
              </w:rPr>
              <w:t>281,00</w:t>
            </w:r>
          </w:p>
        </w:tc>
        <w:tc>
          <w:tcPr>
            <w:tcW w:w="0" w:type="auto"/>
            <w:shd w:val="clear" w:color="auto" w:fill="auto"/>
          </w:tcPr>
          <w:p w14:paraId="1CAC4644" w14:textId="77777777" w:rsidR="008C5CFA" w:rsidRPr="001C4484" w:rsidRDefault="00E82A60" w:rsidP="00300A01">
            <w:pPr>
              <w:spacing w:before="0" w:after="0"/>
              <w:jc w:val="right"/>
              <w:rPr>
                <w:sz w:val="10"/>
                <w:szCs w:val="10"/>
              </w:rPr>
            </w:pPr>
            <w:r w:rsidRPr="001C4484">
              <w:rPr>
                <w:noProof/>
                <w:sz w:val="10"/>
                <w:szCs w:val="10"/>
              </w:rPr>
              <w:t>61,00</w:t>
            </w:r>
          </w:p>
        </w:tc>
        <w:tc>
          <w:tcPr>
            <w:tcW w:w="0" w:type="auto"/>
            <w:shd w:val="clear" w:color="auto" w:fill="auto"/>
          </w:tcPr>
          <w:p w14:paraId="181051E2" w14:textId="77777777" w:rsidR="008C5CFA" w:rsidRPr="001C4484" w:rsidRDefault="00E82A60" w:rsidP="00300A01">
            <w:pPr>
              <w:spacing w:before="0" w:after="0"/>
              <w:jc w:val="right"/>
              <w:rPr>
                <w:sz w:val="10"/>
                <w:szCs w:val="10"/>
                <w:lang w:val="fr-BE"/>
              </w:rPr>
            </w:pPr>
            <w:r w:rsidRPr="001C4484">
              <w:rPr>
                <w:noProof/>
                <w:sz w:val="10"/>
                <w:szCs w:val="10"/>
              </w:rPr>
              <w:t>220,00</w:t>
            </w:r>
          </w:p>
        </w:tc>
        <w:tc>
          <w:tcPr>
            <w:tcW w:w="0" w:type="auto"/>
          </w:tcPr>
          <w:p w14:paraId="452200E6"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4489616E"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656B85B0" w14:textId="77777777" w:rsidR="008C5CFA" w:rsidRPr="001C4484" w:rsidRDefault="00E82A60" w:rsidP="00300A01">
            <w:pPr>
              <w:spacing w:before="0" w:after="0"/>
              <w:jc w:val="right"/>
              <w:rPr>
                <w:sz w:val="10"/>
                <w:szCs w:val="10"/>
                <w:lang w:val="fr-BE"/>
              </w:rPr>
            </w:pPr>
            <w:r w:rsidRPr="001C4484">
              <w:rPr>
                <w:noProof/>
                <w:sz w:val="10"/>
                <w:szCs w:val="10"/>
              </w:rPr>
              <w:t>0,00</w:t>
            </w:r>
          </w:p>
        </w:tc>
        <w:tc>
          <w:tcPr>
            <w:tcW w:w="0" w:type="auto"/>
          </w:tcPr>
          <w:p w14:paraId="68F48AC6"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087CC5F8"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35C36E1F" w14:textId="77777777" w:rsidR="008C5CFA" w:rsidRPr="001C4484" w:rsidRDefault="00E82A60" w:rsidP="00300A01">
            <w:pPr>
              <w:spacing w:before="0" w:after="0"/>
              <w:jc w:val="right"/>
              <w:rPr>
                <w:sz w:val="10"/>
                <w:szCs w:val="10"/>
                <w:lang w:val="fr-BE"/>
              </w:rPr>
            </w:pPr>
            <w:r w:rsidRPr="001C4484">
              <w:rPr>
                <w:noProof/>
                <w:sz w:val="10"/>
                <w:szCs w:val="10"/>
              </w:rPr>
              <w:t>0,00</w:t>
            </w:r>
          </w:p>
        </w:tc>
      </w:tr>
      <w:tr w:rsidR="006B2EC1" w14:paraId="1BB12FD2" w14:textId="77777777" w:rsidTr="0047688D">
        <w:tc>
          <w:tcPr>
            <w:tcW w:w="0" w:type="auto"/>
            <w:shd w:val="clear" w:color="auto" w:fill="auto"/>
          </w:tcPr>
          <w:p w14:paraId="182FAC2A" w14:textId="77777777" w:rsidR="008C5CFA" w:rsidRPr="001C4484" w:rsidRDefault="00E82A60" w:rsidP="00300A01">
            <w:pPr>
              <w:spacing w:before="0" w:after="0"/>
              <w:rPr>
                <w:sz w:val="10"/>
                <w:szCs w:val="10"/>
                <w:lang w:val="fr-BE"/>
              </w:rPr>
            </w:pPr>
            <w:r w:rsidRPr="001C4484">
              <w:rPr>
                <w:noProof/>
                <w:sz w:val="10"/>
                <w:szCs w:val="10"/>
                <w:lang w:val="fr-BE"/>
              </w:rPr>
              <w:t>CO15</w:t>
            </w:r>
          </w:p>
        </w:tc>
        <w:tc>
          <w:tcPr>
            <w:tcW w:w="0" w:type="auto"/>
            <w:shd w:val="clear" w:color="auto" w:fill="auto"/>
          </w:tcPr>
          <w:p w14:paraId="77EC933B" w14:textId="77777777" w:rsidR="008C5CFA" w:rsidRPr="001C4484" w:rsidRDefault="00E82A60" w:rsidP="00300A01">
            <w:pPr>
              <w:spacing w:before="0" w:after="0"/>
              <w:rPr>
                <w:sz w:val="10"/>
                <w:szCs w:val="10"/>
                <w:lang w:val="fr-BE"/>
              </w:rPr>
            </w:pPr>
            <w:r w:rsidRPr="001C4484">
              <w:rPr>
                <w:noProof/>
                <w:sz w:val="10"/>
                <w:szCs w:val="10"/>
                <w:lang w:val="fr-BE"/>
              </w:rPr>
              <w:t>migranci, uczestnicy obcego pochodzenia, mniejszości (w tym społeczności marginalizowane, takie jak Romowie)</w:t>
            </w:r>
          </w:p>
        </w:tc>
        <w:tc>
          <w:tcPr>
            <w:tcW w:w="0" w:type="auto"/>
            <w:shd w:val="clear" w:color="auto" w:fill="auto"/>
          </w:tcPr>
          <w:p w14:paraId="49D945AE"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2F52F8CE" w14:textId="77777777" w:rsidR="008C5CFA" w:rsidRPr="001C4484" w:rsidRDefault="00E82A60" w:rsidP="00300A01">
            <w:pPr>
              <w:spacing w:before="0" w:after="0"/>
              <w:jc w:val="right"/>
              <w:rPr>
                <w:sz w:val="10"/>
                <w:szCs w:val="10"/>
              </w:rPr>
            </w:pPr>
            <w:r>
              <w:rPr>
                <w:noProof/>
                <w:sz w:val="10"/>
                <w:szCs w:val="10"/>
              </w:rPr>
              <w:t>3,00</w:t>
            </w:r>
          </w:p>
        </w:tc>
        <w:tc>
          <w:tcPr>
            <w:tcW w:w="0" w:type="auto"/>
            <w:shd w:val="clear" w:color="auto" w:fill="auto"/>
          </w:tcPr>
          <w:p w14:paraId="1D1FD373" w14:textId="77777777" w:rsidR="008C5CFA" w:rsidRPr="001C4484" w:rsidRDefault="00E82A60" w:rsidP="00300A01">
            <w:pPr>
              <w:spacing w:before="0" w:after="0"/>
              <w:jc w:val="right"/>
              <w:rPr>
                <w:sz w:val="10"/>
                <w:szCs w:val="10"/>
              </w:rPr>
            </w:pPr>
            <w:r w:rsidRPr="001C4484">
              <w:rPr>
                <w:noProof/>
                <w:sz w:val="10"/>
                <w:szCs w:val="10"/>
              </w:rPr>
              <w:t>1,00</w:t>
            </w:r>
          </w:p>
        </w:tc>
        <w:tc>
          <w:tcPr>
            <w:tcW w:w="0" w:type="auto"/>
            <w:shd w:val="clear" w:color="auto" w:fill="auto"/>
          </w:tcPr>
          <w:p w14:paraId="68FFA9BB" w14:textId="77777777" w:rsidR="008C5CFA" w:rsidRPr="001C4484" w:rsidRDefault="00E82A60" w:rsidP="00300A01">
            <w:pPr>
              <w:spacing w:before="0" w:after="0"/>
              <w:jc w:val="right"/>
              <w:rPr>
                <w:sz w:val="10"/>
                <w:szCs w:val="10"/>
                <w:lang w:val="fr-BE"/>
              </w:rPr>
            </w:pPr>
            <w:r w:rsidRPr="001C4484">
              <w:rPr>
                <w:noProof/>
                <w:sz w:val="10"/>
                <w:szCs w:val="10"/>
              </w:rPr>
              <w:t>2,00</w:t>
            </w:r>
          </w:p>
        </w:tc>
        <w:tc>
          <w:tcPr>
            <w:tcW w:w="0" w:type="auto"/>
          </w:tcPr>
          <w:p w14:paraId="331F6BA9"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57720E7B"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4DA26797" w14:textId="77777777" w:rsidR="008C5CFA" w:rsidRPr="001C4484" w:rsidRDefault="00E82A60" w:rsidP="00300A01">
            <w:pPr>
              <w:spacing w:before="0" w:after="0"/>
              <w:jc w:val="right"/>
              <w:rPr>
                <w:sz w:val="10"/>
                <w:szCs w:val="10"/>
                <w:lang w:val="fr-BE"/>
              </w:rPr>
            </w:pPr>
            <w:r w:rsidRPr="001C4484">
              <w:rPr>
                <w:noProof/>
                <w:sz w:val="10"/>
                <w:szCs w:val="10"/>
              </w:rPr>
              <w:t>0,00</w:t>
            </w:r>
          </w:p>
        </w:tc>
        <w:tc>
          <w:tcPr>
            <w:tcW w:w="0" w:type="auto"/>
          </w:tcPr>
          <w:p w14:paraId="6A6CDCB3"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6D5BBEDA"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73B5ACC0" w14:textId="77777777" w:rsidR="008C5CFA" w:rsidRPr="001C4484" w:rsidRDefault="00E82A60" w:rsidP="00300A01">
            <w:pPr>
              <w:spacing w:before="0" w:after="0"/>
              <w:jc w:val="right"/>
              <w:rPr>
                <w:sz w:val="10"/>
                <w:szCs w:val="10"/>
                <w:lang w:val="fr-BE"/>
              </w:rPr>
            </w:pPr>
            <w:r w:rsidRPr="001C4484">
              <w:rPr>
                <w:noProof/>
                <w:sz w:val="10"/>
                <w:szCs w:val="10"/>
              </w:rPr>
              <w:t>0,00</w:t>
            </w:r>
          </w:p>
        </w:tc>
      </w:tr>
      <w:tr w:rsidR="006B2EC1" w14:paraId="2443693D" w14:textId="77777777" w:rsidTr="0047688D">
        <w:tc>
          <w:tcPr>
            <w:tcW w:w="0" w:type="auto"/>
            <w:shd w:val="clear" w:color="auto" w:fill="auto"/>
          </w:tcPr>
          <w:p w14:paraId="77845EAE" w14:textId="77777777" w:rsidR="008C5CFA" w:rsidRPr="001C4484" w:rsidRDefault="00E82A60" w:rsidP="00300A01">
            <w:pPr>
              <w:spacing w:before="0" w:after="0"/>
              <w:rPr>
                <w:sz w:val="10"/>
                <w:szCs w:val="10"/>
                <w:lang w:val="fr-BE"/>
              </w:rPr>
            </w:pPr>
            <w:r w:rsidRPr="001C4484">
              <w:rPr>
                <w:noProof/>
                <w:sz w:val="10"/>
                <w:szCs w:val="10"/>
                <w:lang w:val="fr-BE"/>
              </w:rPr>
              <w:t>CO16</w:t>
            </w:r>
          </w:p>
        </w:tc>
        <w:tc>
          <w:tcPr>
            <w:tcW w:w="0" w:type="auto"/>
            <w:shd w:val="clear" w:color="auto" w:fill="auto"/>
          </w:tcPr>
          <w:p w14:paraId="2C313FC9" w14:textId="77777777" w:rsidR="008C5CFA" w:rsidRPr="001C4484" w:rsidRDefault="00E82A60" w:rsidP="00300A01">
            <w:pPr>
              <w:spacing w:before="0" w:after="0"/>
              <w:rPr>
                <w:sz w:val="10"/>
                <w:szCs w:val="10"/>
                <w:lang w:val="fr-BE"/>
              </w:rPr>
            </w:pPr>
            <w:r w:rsidRPr="001C4484">
              <w:rPr>
                <w:noProof/>
                <w:sz w:val="10"/>
                <w:szCs w:val="10"/>
                <w:lang w:val="fr-BE"/>
              </w:rPr>
              <w:t>uczestnicy z niepełnosprawnościami</w:t>
            </w:r>
          </w:p>
        </w:tc>
        <w:tc>
          <w:tcPr>
            <w:tcW w:w="0" w:type="auto"/>
            <w:shd w:val="clear" w:color="auto" w:fill="auto"/>
          </w:tcPr>
          <w:p w14:paraId="7868BE2F"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65550BCE" w14:textId="77777777" w:rsidR="008C5CFA" w:rsidRPr="001C4484" w:rsidRDefault="00E82A60" w:rsidP="00300A01">
            <w:pPr>
              <w:spacing w:before="0" w:after="0"/>
              <w:jc w:val="right"/>
              <w:rPr>
                <w:sz w:val="10"/>
                <w:szCs w:val="10"/>
              </w:rPr>
            </w:pPr>
            <w:r>
              <w:rPr>
                <w:noProof/>
                <w:sz w:val="10"/>
                <w:szCs w:val="10"/>
              </w:rPr>
              <w:t>668,00</w:t>
            </w:r>
          </w:p>
        </w:tc>
        <w:tc>
          <w:tcPr>
            <w:tcW w:w="0" w:type="auto"/>
            <w:shd w:val="clear" w:color="auto" w:fill="auto"/>
          </w:tcPr>
          <w:p w14:paraId="0AB2CC0F" w14:textId="77777777" w:rsidR="008C5CFA" w:rsidRPr="001C4484" w:rsidRDefault="00E82A60" w:rsidP="00300A01">
            <w:pPr>
              <w:spacing w:before="0" w:after="0"/>
              <w:jc w:val="right"/>
              <w:rPr>
                <w:sz w:val="10"/>
                <w:szCs w:val="10"/>
              </w:rPr>
            </w:pPr>
            <w:r w:rsidRPr="001C4484">
              <w:rPr>
                <w:noProof/>
                <w:sz w:val="10"/>
                <w:szCs w:val="10"/>
              </w:rPr>
              <w:t>241,00</w:t>
            </w:r>
          </w:p>
        </w:tc>
        <w:tc>
          <w:tcPr>
            <w:tcW w:w="0" w:type="auto"/>
            <w:shd w:val="clear" w:color="auto" w:fill="auto"/>
          </w:tcPr>
          <w:p w14:paraId="084B1659" w14:textId="77777777" w:rsidR="008C5CFA" w:rsidRPr="001C4484" w:rsidRDefault="00E82A60" w:rsidP="00300A01">
            <w:pPr>
              <w:spacing w:before="0" w:after="0"/>
              <w:jc w:val="right"/>
              <w:rPr>
                <w:sz w:val="10"/>
                <w:szCs w:val="10"/>
                <w:lang w:val="fr-BE"/>
              </w:rPr>
            </w:pPr>
            <w:r w:rsidRPr="001C4484">
              <w:rPr>
                <w:noProof/>
                <w:sz w:val="10"/>
                <w:szCs w:val="10"/>
              </w:rPr>
              <w:t>427,00</w:t>
            </w:r>
          </w:p>
        </w:tc>
        <w:tc>
          <w:tcPr>
            <w:tcW w:w="0" w:type="auto"/>
          </w:tcPr>
          <w:p w14:paraId="43A4FEF7" w14:textId="77777777" w:rsidR="008C5CFA" w:rsidRPr="001C4484" w:rsidRDefault="00E82A60" w:rsidP="00300A01">
            <w:pPr>
              <w:spacing w:before="0" w:after="0"/>
              <w:jc w:val="right"/>
              <w:rPr>
                <w:sz w:val="10"/>
                <w:szCs w:val="10"/>
              </w:rPr>
            </w:pPr>
            <w:r>
              <w:rPr>
                <w:noProof/>
                <w:sz w:val="10"/>
                <w:szCs w:val="10"/>
              </w:rPr>
              <w:t>66,00</w:t>
            </w:r>
          </w:p>
        </w:tc>
        <w:tc>
          <w:tcPr>
            <w:tcW w:w="0" w:type="auto"/>
            <w:shd w:val="clear" w:color="auto" w:fill="auto"/>
          </w:tcPr>
          <w:p w14:paraId="2BD63122" w14:textId="77777777" w:rsidR="008C5CFA" w:rsidRPr="001C4484" w:rsidRDefault="00E82A60" w:rsidP="00300A01">
            <w:pPr>
              <w:spacing w:before="0" w:after="0"/>
              <w:jc w:val="right"/>
              <w:rPr>
                <w:sz w:val="10"/>
                <w:szCs w:val="10"/>
              </w:rPr>
            </w:pPr>
            <w:r w:rsidRPr="001C4484">
              <w:rPr>
                <w:noProof/>
                <w:sz w:val="10"/>
                <w:szCs w:val="10"/>
              </w:rPr>
              <w:t>16,00</w:t>
            </w:r>
          </w:p>
        </w:tc>
        <w:tc>
          <w:tcPr>
            <w:tcW w:w="0" w:type="auto"/>
            <w:shd w:val="clear" w:color="auto" w:fill="auto"/>
          </w:tcPr>
          <w:p w14:paraId="5327B24D" w14:textId="77777777" w:rsidR="008C5CFA" w:rsidRPr="001C4484" w:rsidRDefault="00E82A60" w:rsidP="00300A01">
            <w:pPr>
              <w:spacing w:before="0" w:after="0"/>
              <w:jc w:val="right"/>
              <w:rPr>
                <w:sz w:val="10"/>
                <w:szCs w:val="10"/>
                <w:lang w:val="fr-BE"/>
              </w:rPr>
            </w:pPr>
            <w:r w:rsidRPr="001C4484">
              <w:rPr>
                <w:noProof/>
                <w:sz w:val="10"/>
                <w:szCs w:val="10"/>
              </w:rPr>
              <w:t>50,00</w:t>
            </w:r>
          </w:p>
        </w:tc>
        <w:tc>
          <w:tcPr>
            <w:tcW w:w="0" w:type="auto"/>
          </w:tcPr>
          <w:p w14:paraId="34F022B8"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7B70B226"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2D6F5CAF" w14:textId="77777777" w:rsidR="008C5CFA" w:rsidRPr="001C4484" w:rsidRDefault="00E82A60" w:rsidP="00300A01">
            <w:pPr>
              <w:spacing w:before="0" w:after="0"/>
              <w:jc w:val="right"/>
              <w:rPr>
                <w:sz w:val="10"/>
                <w:szCs w:val="10"/>
                <w:lang w:val="fr-BE"/>
              </w:rPr>
            </w:pPr>
            <w:r w:rsidRPr="001C4484">
              <w:rPr>
                <w:noProof/>
                <w:sz w:val="10"/>
                <w:szCs w:val="10"/>
              </w:rPr>
              <w:t>0,00</w:t>
            </w:r>
          </w:p>
        </w:tc>
      </w:tr>
      <w:tr w:rsidR="006B2EC1" w14:paraId="78B2D668" w14:textId="77777777" w:rsidTr="0047688D">
        <w:tc>
          <w:tcPr>
            <w:tcW w:w="0" w:type="auto"/>
            <w:shd w:val="clear" w:color="auto" w:fill="auto"/>
          </w:tcPr>
          <w:p w14:paraId="4928FD76" w14:textId="77777777" w:rsidR="008C5CFA" w:rsidRPr="001C4484" w:rsidRDefault="00E82A60" w:rsidP="00300A01">
            <w:pPr>
              <w:spacing w:before="0" w:after="0"/>
              <w:rPr>
                <w:sz w:val="10"/>
                <w:szCs w:val="10"/>
                <w:lang w:val="fr-BE"/>
              </w:rPr>
            </w:pPr>
            <w:r w:rsidRPr="001C4484">
              <w:rPr>
                <w:noProof/>
                <w:sz w:val="10"/>
                <w:szCs w:val="10"/>
                <w:lang w:val="fr-BE"/>
              </w:rPr>
              <w:t>CO17</w:t>
            </w:r>
          </w:p>
        </w:tc>
        <w:tc>
          <w:tcPr>
            <w:tcW w:w="0" w:type="auto"/>
            <w:shd w:val="clear" w:color="auto" w:fill="auto"/>
          </w:tcPr>
          <w:p w14:paraId="44906977" w14:textId="77777777" w:rsidR="008C5CFA" w:rsidRPr="001C4484" w:rsidRDefault="00E82A60" w:rsidP="00300A01">
            <w:pPr>
              <w:spacing w:before="0" w:after="0"/>
              <w:rPr>
                <w:sz w:val="10"/>
                <w:szCs w:val="10"/>
                <w:lang w:val="fr-BE"/>
              </w:rPr>
            </w:pPr>
            <w:r w:rsidRPr="001C4484">
              <w:rPr>
                <w:noProof/>
                <w:sz w:val="10"/>
                <w:szCs w:val="10"/>
                <w:lang w:val="fr-BE"/>
              </w:rPr>
              <w:t>inne osoby w niekorzystnej sytuacji społecznej</w:t>
            </w:r>
          </w:p>
        </w:tc>
        <w:tc>
          <w:tcPr>
            <w:tcW w:w="0" w:type="auto"/>
            <w:shd w:val="clear" w:color="auto" w:fill="auto"/>
          </w:tcPr>
          <w:p w14:paraId="732ACCA6"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4BF9F504" w14:textId="77777777" w:rsidR="008C5CFA" w:rsidRPr="001C4484" w:rsidRDefault="00E82A60" w:rsidP="00300A01">
            <w:pPr>
              <w:spacing w:before="0" w:after="0"/>
              <w:jc w:val="right"/>
              <w:rPr>
                <w:sz w:val="10"/>
                <w:szCs w:val="10"/>
              </w:rPr>
            </w:pPr>
            <w:r>
              <w:rPr>
                <w:noProof/>
                <w:sz w:val="10"/>
                <w:szCs w:val="10"/>
              </w:rPr>
              <w:t>1 276,00</w:t>
            </w:r>
          </w:p>
        </w:tc>
        <w:tc>
          <w:tcPr>
            <w:tcW w:w="0" w:type="auto"/>
            <w:shd w:val="clear" w:color="auto" w:fill="auto"/>
          </w:tcPr>
          <w:p w14:paraId="4F3965E8" w14:textId="77777777" w:rsidR="008C5CFA" w:rsidRPr="001C4484" w:rsidRDefault="00E82A60" w:rsidP="00300A01">
            <w:pPr>
              <w:spacing w:before="0" w:after="0"/>
              <w:jc w:val="right"/>
              <w:rPr>
                <w:sz w:val="10"/>
                <w:szCs w:val="10"/>
              </w:rPr>
            </w:pPr>
            <w:r w:rsidRPr="001C4484">
              <w:rPr>
                <w:noProof/>
                <w:sz w:val="10"/>
                <w:szCs w:val="10"/>
              </w:rPr>
              <w:t>354,00</w:t>
            </w:r>
          </w:p>
        </w:tc>
        <w:tc>
          <w:tcPr>
            <w:tcW w:w="0" w:type="auto"/>
            <w:shd w:val="clear" w:color="auto" w:fill="auto"/>
          </w:tcPr>
          <w:p w14:paraId="68074BBF" w14:textId="77777777" w:rsidR="008C5CFA" w:rsidRPr="001C4484" w:rsidRDefault="00E82A60" w:rsidP="00300A01">
            <w:pPr>
              <w:spacing w:before="0" w:after="0"/>
              <w:jc w:val="right"/>
              <w:rPr>
                <w:sz w:val="10"/>
                <w:szCs w:val="10"/>
                <w:lang w:val="fr-BE"/>
              </w:rPr>
            </w:pPr>
            <w:r w:rsidRPr="001C4484">
              <w:rPr>
                <w:noProof/>
                <w:sz w:val="10"/>
                <w:szCs w:val="10"/>
              </w:rPr>
              <w:t>922,00</w:t>
            </w:r>
          </w:p>
        </w:tc>
        <w:tc>
          <w:tcPr>
            <w:tcW w:w="0" w:type="auto"/>
          </w:tcPr>
          <w:p w14:paraId="7AF1CFC0" w14:textId="77777777" w:rsidR="008C5CFA" w:rsidRPr="001C4484" w:rsidRDefault="00E82A60" w:rsidP="00300A01">
            <w:pPr>
              <w:spacing w:before="0" w:after="0"/>
              <w:jc w:val="right"/>
              <w:rPr>
                <w:sz w:val="10"/>
                <w:szCs w:val="10"/>
              </w:rPr>
            </w:pPr>
            <w:r>
              <w:rPr>
                <w:noProof/>
                <w:sz w:val="10"/>
                <w:szCs w:val="10"/>
              </w:rPr>
              <w:t>205,00</w:t>
            </w:r>
          </w:p>
        </w:tc>
        <w:tc>
          <w:tcPr>
            <w:tcW w:w="0" w:type="auto"/>
            <w:shd w:val="clear" w:color="auto" w:fill="auto"/>
          </w:tcPr>
          <w:p w14:paraId="29BBF223" w14:textId="77777777" w:rsidR="008C5CFA" w:rsidRPr="001C4484" w:rsidRDefault="00E82A60" w:rsidP="00300A01">
            <w:pPr>
              <w:spacing w:before="0" w:after="0"/>
              <w:jc w:val="right"/>
              <w:rPr>
                <w:sz w:val="10"/>
                <w:szCs w:val="10"/>
              </w:rPr>
            </w:pPr>
            <w:r w:rsidRPr="001C4484">
              <w:rPr>
                <w:noProof/>
                <w:sz w:val="10"/>
                <w:szCs w:val="10"/>
              </w:rPr>
              <w:t>35,00</w:t>
            </w:r>
          </w:p>
        </w:tc>
        <w:tc>
          <w:tcPr>
            <w:tcW w:w="0" w:type="auto"/>
            <w:shd w:val="clear" w:color="auto" w:fill="auto"/>
          </w:tcPr>
          <w:p w14:paraId="2A44E615" w14:textId="77777777" w:rsidR="008C5CFA" w:rsidRPr="001C4484" w:rsidRDefault="00E82A60" w:rsidP="00300A01">
            <w:pPr>
              <w:spacing w:before="0" w:after="0"/>
              <w:jc w:val="right"/>
              <w:rPr>
                <w:sz w:val="10"/>
                <w:szCs w:val="10"/>
                <w:lang w:val="fr-BE"/>
              </w:rPr>
            </w:pPr>
            <w:r w:rsidRPr="001C4484">
              <w:rPr>
                <w:noProof/>
                <w:sz w:val="10"/>
                <w:szCs w:val="10"/>
              </w:rPr>
              <w:t>170,00</w:t>
            </w:r>
          </w:p>
        </w:tc>
        <w:tc>
          <w:tcPr>
            <w:tcW w:w="0" w:type="auto"/>
          </w:tcPr>
          <w:p w14:paraId="303B8467"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765335E9"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71482B52" w14:textId="77777777" w:rsidR="008C5CFA" w:rsidRPr="001C4484" w:rsidRDefault="00E82A60" w:rsidP="00300A01">
            <w:pPr>
              <w:spacing w:before="0" w:after="0"/>
              <w:jc w:val="right"/>
              <w:rPr>
                <w:sz w:val="10"/>
                <w:szCs w:val="10"/>
                <w:lang w:val="fr-BE"/>
              </w:rPr>
            </w:pPr>
            <w:r w:rsidRPr="001C4484">
              <w:rPr>
                <w:noProof/>
                <w:sz w:val="10"/>
                <w:szCs w:val="10"/>
              </w:rPr>
              <w:t>0,00</w:t>
            </w:r>
          </w:p>
        </w:tc>
      </w:tr>
      <w:tr w:rsidR="006B2EC1" w14:paraId="6F7B9000" w14:textId="77777777" w:rsidTr="0047688D">
        <w:tc>
          <w:tcPr>
            <w:tcW w:w="0" w:type="auto"/>
            <w:shd w:val="clear" w:color="auto" w:fill="auto"/>
          </w:tcPr>
          <w:p w14:paraId="7FD84A17" w14:textId="77777777" w:rsidR="008C5CFA" w:rsidRPr="001C4484" w:rsidRDefault="00E82A60" w:rsidP="00300A01">
            <w:pPr>
              <w:spacing w:before="0" w:after="0"/>
              <w:rPr>
                <w:sz w:val="10"/>
                <w:szCs w:val="10"/>
                <w:lang w:val="fr-BE"/>
              </w:rPr>
            </w:pPr>
            <w:r w:rsidRPr="001C4484">
              <w:rPr>
                <w:noProof/>
                <w:sz w:val="10"/>
                <w:szCs w:val="10"/>
                <w:lang w:val="fr-BE"/>
              </w:rPr>
              <w:t>CO18</w:t>
            </w:r>
          </w:p>
        </w:tc>
        <w:tc>
          <w:tcPr>
            <w:tcW w:w="0" w:type="auto"/>
            <w:shd w:val="clear" w:color="auto" w:fill="auto"/>
          </w:tcPr>
          <w:p w14:paraId="279F4D5E" w14:textId="77777777" w:rsidR="008C5CFA" w:rsidRPr="001C4484" w:rsidRDefault="00E82A60" w:rsidP="00300A01">
            <w:pPr>
              <w:spacing w:before="0" w:after="0"/>
              <w:rPr>
                <w:sz w:val="10"/>
                <w:szCs w:val="10"/>
                <w:lang w:val="fr-BE"/>
              </w:rPr>
            </w:pPr>
            <w:r w:rsidRPr="001C4484">
              <w:rPr>
                <w:noProof/>
                <w:sz w:val="10"/>
                <w:szCs w:val="10"/>
                <w:lang w:val="fr-BE"/>
              </w:rPr>
              <w:t>osoby bezdomne lub dotknięte wykluczeniem z dostępu do mieszkań</w:t>
            </w:r>
          </w:p>
        </w:tc>
        <w:tc>
          <w:tcPr>
            <w:tcW w:w="0" w:type="auto"/>
            <w:shd w:val="clear" w:color="auto" w:fill="auto"/>
          </w:tcPr>
          <w:p w14:paraId="2567D01D"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1AA7AE85" w14:textId="77777777" w:rsidR="008C5CFA" w:rsidRPr="001C4484" w:rsidRDefault="00E82A60" w:rsidP="00300A01">
            <w:pPr>
              <w:spacing w:before="0" w:after="0"/>
              <w:jc w:val="right"/>
              <w:rPr>
                <w:sz w:val="10"/>
                <w:szCs w:val="10"/>
              </w:rPr>
            </w:pPr>
            <w:r>
              <w:rPr>
                <w:noProof/>
                <w:sz w:val="10"/>
                <w:szCs w:val="10"/>
              </w:rPr>
              <w:t>5,00</w:t>
            </w:r>
          </w:p>
        </w:tc>
        <w:tc>
          <w:tcPr>
            <w:tcW w:w="0" w:type="auto"/>
            <w:shd w:val="clear" w:color="auto" w:fill="auto"/>
          </w:tcPr>
          <w:p w14:paraId="2DDEF0D2" w14:textId="77777777" w:rsidR="008C5CFA" w:rsidRPr="001C4484" w:rsidRDefault="00E82A60" w:rsidP="00300A01">
            <w:pPr>
              <w:spacing w:before="0" w:after="0"/>
              <w:jc w:val="right"/>
              <w:rPr>
                <w:sz w:val="10"/>
                <w:szCs w:val="10"/>
              </w:rPr>
            </w:pPr>
            <w:r w:rsidRPr="001C4484">
              <w:rPr>
                <w:noProof/>
                <w:sz w:val="10"/>
                <w:szCs w:val="10"/>
              </w:rPr>
              <w:t>2,00</w:t>
            </w:r>
          </w:p>
        </w:tc>
        <w:tc>
          <w:tcPr>
            <w:tcW w:w="0" w:type="auto"/>
            <w:shd w:val="clear" w:color="auto" w:fill="auto"/>
          </w:tcPr>
          <w:p w14:paraId="5CC96D39" w14:textId="77777777" w:rsidR="008C5CFA" w:rsidRPr="001C4484" w:rsidRDefault="00E82A60" w:rsidP="00300A01">
            <w:pPr>
              <w:spacing w:before="0" w:after="0"/>
              <w:jc w:val="right"/>
              <w:rPr>
                <w:sz w:val="10"/>
                <w:szCs w:val="10"/>
                <w:lang w:val="fr-BE"/>
              </w:rPr>
            </w:pPr>
            <w:r w:rsidRPr="001C4484">
              <w:rPr>
                <w:noProof/>
                <w:sz w:val="10"/>
                <w:szCs w:val="10"/>
              </w:rPr>
              <w:t>3,00</w:t>
            </w:r>
          </w:p>
        </w:tc>
        <w:tc>
          <w:tcPr>
            <w:tcW w:w="0" w:type="auto"/>
          </w:tcPr>
          <w:p w14:paraId="367001BE"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01FFAE4B"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48CE25AC" w14:textId="77777777" w:rsidR="008C5CFA" w:rsidRPr="001C4484" w:rsidRDefault="00E82A60" w:rsidP="00300A01">
            <w:pPr>
              <w:spacing w:before="0" w:after="0"/>
              <w:jc w:val="right"/>
              <w:rPr>
                <w:sz w:val="10"/>
                <w:szCs w:val="10"/>
                <w:lang w:val="fr-BE"/>
              </w:rPr>
            </w:pPr>
            <w:r w:rsidRPr="001C4484">
              <w:rPr>
                <w:noProof/>
                <w:sz w:val="10"/>
                <w:szCs w:val="10"/>
              </w:rPr>
              <w:t>0,00</w:t>
            </w:r>
          </w:p>
        </w:tc>
        <w:tc>
          <w:tcPr>
            <w:tcW w:w="0" w:type="auto"/>
          </w:tcPr>
          <w:p w14:paraId="27881AB2"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2B74D5AA"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3C359AAC" w14:textId="77777777" w:rsidR="008C5CFA" w:rsidRPr="001C4484" w:rsidRDefault="00E82A60" w:rsidP="00300A01">
            <w:pPr>
              <w:spacing w:before="0" w:after="0"/>
              <w:jc w:val="right"/>
              <w:rPr>
                <w:sz w:val="10"/>
                <w:szCs w:val="10"/>
                <w:lang w:val="fr-BE"/>
              </w:rPr>
            </w:pPr>
            <w:r w:rsidRPr="001C4484">
              <w:rPr>
                <w:noProof/>
                <w:sz w:val="10"/>
                <w:szCs w:val="10"/>
              </w:rPr>
              <w:t>0,00</w:t>
            </w:r>
          </w:p>
        </w:tc>
      </w:tr>
      <w:tr w:rsidR="006B2EC1" w14:paraId="7A7A2C7B" w14:textId="77777777" w:rsidTr="0047688D">
        <w:tc>
          <w:tcPr>
            <w:tcW w:w="0" w:type="auto"/>
            <w:shd w:val="clear" w:color="auto" w:fill="auto"/>
          </w:tcPr>
          <w:p w14:paraId="72502FD5" w14:textId="77777777" w:rsidR="008C5CFA" w:rsidRPr="001C4484" w:rsidRDefault="00E82A60" w:rsidP="00300A01">
            <w:pPr>
              <w:spacing w:before="0" w:after="0"/>
              <w:rPr>
                <w:sz w:val="10"/>
                <w:szCs w:val="10"/>
                <w:lang w:val="fr-BE"/>
              </w:rPr>
            </w:pPr>
            <w:r w:rsidRPr="001C4484">
              <w:rPr>
                <w:noProof/>
                <w:sz w:val="10"/>
                <w:szCs w:val="10"/>
                <w:lang w:val="fr-BE"/>
              </w:rPr>
              <w:t>CO19</w:t>
            </w:r>
          </w:p>
        </w:tc>
        <w:tc>
          <w:tcPr>
            <w:tcW w:w="0" w:type="auto"/>
            <w:shd w:val="clear" w:color="auto" w:fill="auto"/>
          </w:tcPr>
          <w:p w14:paraId="0947E483" w14:textId="77777777" w:rsidR="008C5CFA" w:rsidRPr="001C4484" w:rsidRDefault="00E82A60" w:rsidP="00300A01">
            <w:pPr>
              <w:spacing w:before="0" w:after="0"/>
              <w:rPr>
                <w:sz w:val="10"/>
                <w:szCs w:val="10"/>
                <w:lang w:val="fr-BE"/>
              </w:rPr>
            </w:pPr>
            <w:r w:rsidRPr="001C4484">
              <w:rPr>
                <w:noProof/>
                <w:sz w:val="10"/>
                <w:szCs w:val="10"/>
                <w:lang w:val="fr-BE"/>
              </w:rPr>
              <w:t>osoby pochodzące z obszarów wiejskich</w:t>
            </w:r>
          </w:p>
        </w:tc>
        <w:tc>
          <w:tcPr>
            <w:tcW w:w="0" w:type="auto"/>
            <w:shd w:val="clear" w:color="auto" w:fill="auto"/>
          </w:tcPr>
          <w:p w14:paraId="261618E2"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38C55EC8" w14:textId="77777777" w:rsidR="008C5CFA" w:rsidRPr="001C4484" w:rsidRDefault="00E82A60" w:rsidP="00300A01">
            <w:pPr>
              <w:spacing w:before="0" w:after="0"/>
              <w:jc w:val="right"/>
              <w:rPr>
                <w:sz w:val="10"/>
                <w:szCs w:val="10"/>
              </w:rPr>
            </w:pPr>
            <w:r>
              <w:rPr>
                <w:noProof/>
                <w:sz w:val="10"/>
                <w:szCs w:val="10"/>
              </w:rPr>
              <w:t>1 510,00</w:t>
            </w:r>
          </w:p>
        </w:tc>
        <w:tc>
          <w:tcPr>
            <w:tcW w:w="0" w:type="auto"/>
            <w:shd w:val="clear" w:color="auto" w:fill="auto"/>
          </w:tcPr>
          <w:p w14:paraId="06D1FFD8" w14:textId="77777777" w:rsidR="008C5CFA" w:rsidRPr="001C4484" w:rsidRDefault="00E82A60" w:rsidP="00300A01">
            <w:pPr>
              <w:spacing w:before="0" w:after="0"/>
              <w:jc w:val="right"/>
              <w:rPr>
                <w:sz w:val="10"/>
                <w:szCs w:val="10"/>
              </w:rPr>
            </w:pPr>
            <w:r w:rsidRPr="001C4484">
              <w:rPr>
                <w:noProof/>
                <w:sz w:val="10"/>
                <w:szCs w:val="10"/>
              </w:rPr>
              <w:t>407,00</w:t>
            </w:r>
          </w:p>
        </w:tc>
        <w:tc>
          <w:tcPr>
            <w:tcW w:w="0" w:type="auto"/>
            <w:shd w:val="clear" w:color="auto" w:fill="auto"/>
          </w:tcPr>
          <w:p w14:paraId="4150A523" w14:textId="77777777" w:rsidR="008C5CFA" w:rsidRPr="001C4484" w:rsidRDefault="00E82A60" w:rsidP="00300A01">
            <w:pPr>
              <w:spacing w:before="0" w:after="0"/>
              <w:jc w:val="right"/>
              <w:rPr>
                <w:sz w:val="10"/>
                <w:szCs w:val="10"/>
                <w:lang w:val="fr-BE"/>
              </w:rPr>
            </w:pPr>
            <w:r w:rsidRPr="001C4484">
              <w:rPr>
                <w:noProof/>
                <w:sz w:val="10"/>
                <w:szCs w:val="10"/>
              </w:rPr>
              <w:t>1 103,00</w:t>
            </w:r>
          </w:p>
        </w:tc>
        <w:tc>
          <w:tcPr>
            <w:tcW w:w="0" w:type="auto"/>
          </w:tcPr>
          <w:p w14:paraId="4DDBF4E0" w14:textId="77777777" w:rsidR="008C5CFA" w:rsidRPr="001C4484" w:rsidRDefault="00E82A60" w:rsidP="00300A01">
            <w:pPr>
              <w:spacing w:before="0" w:after="0"/>
              <w:jc w:val="right"/>
              <w:rPr>
                <w:sz w:val="10"/>
                <w:szCs w:val="10"/>
              </w:rPr>
            </w:pPr>
            <w:r>
              <w:rPr>
                <w:noProof/>
                <w:sz w:val="10"/>
                <w:szCs w:val="10"/>
              </w:rPr>
              <w:t>213,00</w:t>
            </w:r>
          </w:p>
        </w:tc>
        <w:tc>
          <w:tcPr>
            <w:tcW w:w="0" w:type="auto"/>
            <w:shd w:val="clear" w:color="auto" w:fill="auto"/>
          </w:tcPr>
          <w:p w14:paraId="0A4E01F5" w14:textId="77777777" w:rsidR="008C5CFA" w:rsidRPr="001C4484" w:rsidRDefault="00E82A60" w:rsidP="00300A01">
            <w:pPr>
              <w:spacing w:before="0" w:after="0"/>
              <w:jc w:val="right"/>
              <w:rPr>
                <w:sz w:val="10"/>
                <w:szCs w:val="10"/>
              </w:rPr>
            </w:pPr>
            <w:r w:rsidRPr="001C4484">
              <w:rPr>
                <w:noProof/>
                <w:sz w:val="10"/>
                <w:szCs w:val="10"/>
              </w:rPr>
              <w:t>38,00</w:t>
            </w:r>
          </w:p>
        </w:tc>
        <w:tc>
          <w:tcPr>
            <w:tcW w:w="0" w:type="auto"/>
            <w:shd w:val="clear" w:color="auto" w:fill="auto"/>
          </w:tcPr>
          <w:p w14:paraId="6DADB98A" w14:textId="77777777" w:rsidR="008C5CFA" w:rsidRPr="001C4484" w:rsidRDefault="00E82A60" w:rsidP="00300A01">
            <w:pPr>
              <w:spacing w:before="0" w:after="0"/>
              <w:jc w:val="right"/>
              <w:rPr>
                <w:sz w:val="10"/>
                <w:szCs w:val="10"/>
                <w:lang w:val="fr-BE"/>
              </w:rPr>
            </w:pPr>
            <w:r w:rsidRPr="001C4484">
              <w:rPr>
                <w:noProof/>
                <w:sz w:val="10"/>
                <w:szCs w:val="10"/>
              </w:rPr>
              <w:t>175,00</w:t>
            </w:r>
          </w:p>
        </w:tc>
        <w:tc>
          <w:tcPr>
            <w:tcW w:w="0" w:type="auto"/>
          </w:tcPr>
          <w:p w14:paraId="3CB3E369"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5C280BC9"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0758F34B" w14:textId="77777777" w:rsidR="008C5CFA" w:rsidRPr="001C4484" w:rsidRDefault="00E82A60" w:rsidP="00300A01">
            <w:pPr>
              <w:spacing w:before="0" w:after="0"/>
              <w:jc w:val="right"/>
              <w:rPr>
                <w:sz w:val="10"/>
                <w:szCs w:val="10"/>
                <w:lang w:val="fr-BE"/>
              </w:rPr>
            </w:pPr>
            <w:r w:rsidRPr="001C4484">
              <w:rPr>
                <w:noProof/>
                <w:sz w:val="10"/>
                <w:szCs w:val="10"/>
              </w:rPr>
              <w:t>0,00</w:t>
            </w:r>
          </w:p>
        </w:tc>
      </w:tr>
      <w:tr w:rsidR="006B2EC1" w14:paraId="2B884F4A" w14:textId="77777777" w:rsidTr="0047688D">
        <w:tc>
          <w:tcPr>
            <w:tcW w:w="0" w:type="auto"/>
            <w:shd w:val="clear" w:color="auto" w:fill="auto"/>
          </w:tcPr>
          <w:p w14:paraId="3C095947" w14:textId="77777777" w:rsidR="008C5CFA" w:rsidRPr="001C4484" w:rsidRDefault="00E82A60" w:rsidP="00300A01">
            <w:pPr>
              <w:spacing w:before="0" w:after="0"/>
              <w:rPr>
                <w:sz w:val="10"/>
                <w:szCs w:val="10"/>
                <w:lang w:val="fr-BE"/>
              </w:rPr>
            </w:pPr>
            <w:r w:rsidRPr="001C4484">
              <w:rPr>
                <w:noProof/>
                <w:sz w:val="10"/>
                <w:szCs w:val="10"/>
                <w:lang w:val="fr-BE"/>
              </w:rPr>
              <w:t>CO20</w:t>
            </w:r>
          </w:p>
        </w:tc>
        <w:tc>
          <w:tcPr>
            <w:tcW w:w="0" w:type="auto"/>
            <w:shd w:val="clear" w:color="auto" w:fill="auto"/>
          </w:tcPr>
          <w:p w14:paraId="4DB2D687" w14:textId="77777777" w:rsidR="008C5CFA" w:rsidRPr="001C4484" w:rsidRDefault="00E82A60" w:rsidP="00300A01">
            <w:pPr>
              <w:spacing w:before="0" w:after="0"/>
              <w:rPr>
                <w:sz w:val="10"/>
                <w:szCs w:val="10"/>
                <w:lang w:val="fr-BE"/>
              </w:rPr>
            </w:pPr>
            <w:r w:rsidRPr="001C4484">
              <w:rPr>
                <w:noProof/>
                <w:sz w:val="10"/>
                <w:szCs w:val="10"/>
                <w:lang w:val="fr-BE"/>
              </w:rPr>
              <w:t>liczba projektów zrealizowanych w pełni lub częściowo przez partnerów społecznych lub organizacje pozarządowe</w:t>
            </w:r>
          </w:p>
        </w:tc>
        <w:tc>
          <w:tcPr>
            <w:tcW w:w="0" w:type="auto"/>
            <w:shd w:val="clear" w:color="auto" w:fill="auto"/>
          </w:tcPr>
          <w:p w14:paraId="60DCDBCC"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13E90A63" w14:textId="77777777" w:rsidR="008C5CFA" w:rsidRPr="001C4484" w:rsidRDefault="00E82A60" w:rsidP="00300A01">
            <w:pPr>
              <w:spacing w:before="0" w:after="0"/>
              <w:jc w:val="right"/>
              <w:rPr>
                <w:sz w:val="10"/>
                <w:szCs w:val="10"/>
              </w:rPr>
            </w:pPr>
            <w:r>
              <w:rPr>
                <w:noProof/>
                <w:sz w:val="10"/>
                <w:szCs w:val="10"/>
              </w:rPr>
              <w:t>1,00</w:t>
            </w:r>
          </w:p>
        </w:tc>
        <w:tc>
          <w:tcPr>
            <w:tcW w:w="0" w:type="auto"/>
            <w:shd w:val="clear" w:color="auto" w:fill="auto"/>
          </w:tcPr>
          <w:p w14:paraId="6E40334E" w14:textId="77777777" w:rsidR="008C5CFA" w:rsidRPr="001C4484" w:rsidRDefault="008C5CFA" w:rsidP="00300A01">
            <w:pPr>
              <w:spacing w:before="0" w:after="0"/>
              <w:jc w:val="right"/>
              <w:rPr>
                <w:sz w:val="10"/>
                <w:szCs w:val="10"/>
              </w:rPr>
            </w:pPr>
          </w:p>
        </w:tc>
        <w:tc>
          <w:tcPr>
            <w:tcW w:w="0" w:type="auto"/>
            <w:shd w:val="clear" w:color="auto" w:fill="auto"/>
          </w:tcPr>
          <w:p w14:paraId="2FFD3225" w14:textId="77777777" w:rsidR="008C5CFA" w:rsidRPr="001C4484" w:rsidRDefault="008C5CFA" w:rsidP="00300A01">
            <w:pPr>
              <w:spacing w:before="0" w:after="0"/>
              <w:jc w:val="right"/>
              <w:rPr>
                <w:sz w:val="10"/>
                <w:szCs w:val="10"/>
                <w:lang w:val="fr-BE"/>
              </w:rPr>
            </w:pPr>
          </w:p>
        </w:tc>
        <w:tc>
          <w:tcPr>
            <w:tcW w:w="0" w:type="auto"/>
          </w:tcPr>
          <w:p w14:paraId="1F798431"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13D121F9" w14:textId="77777777" w:rsidR="008C5CFA" w:rsidRPr="001C4484" w:rsidRDefault="008C5CFA" w:rsidP="00300A01">
            <w:pPr>
              <w:spacing w:before="0" w:after="0"/>
              <w:jc w:val="right"/>
              <w:rPr>
                <w:sz w:val="10"/>
                <w:szCs w:val="10"/>
              </w:rPr>
            </w:pPr>
          </w:p>
        </w:tc>
        <w:tc>
          <w:tcPr>
            <w:tcW w:w="0" w:type="auto"/>
            <w:shd w:val="clear" w:color="auto" w:fill="auto"/>
          </w:tcPr>
          <w:p w14:paraId="5910FC96" w14:textId="77777777" w:rsidR="008C5CFA" w:rsidRPr="001C4484" w:rsidRDefault="008C5CFA" w:rsidP="00300A01">
            <w:pPr>
              <w:spacing w:before="0" w:after="0"/>
              <w:jc w:val="right"/>
              <w:rPr>
                <w:sz w:val="10"/>
                <w:szCs w:val="10"/>
                <w:lang w:val="fr-BE"/>
              </w:rPr>
            </w:pPr>
          </w:p>
        </w:tc>
        <w:tc>
          <w:tcPr>
            <w:tcW w:w="0" w:type="auto"/>
          </w:tcPr>
          <w:p w14:paraId="7BB6E9FE"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333BBDDE" w14:textId="77777777" w:rsidR="008C5CFA" w:rsidRPr="001C4484" w:rsidRDefault="008C5CFA" w:rsidP="00300A01">
            <w:pPr>
              <w:spacing w:before="0" w:after="0"/>
              <w:jc w:val="right"/>
              <w:rPr>
                <w:sz w:val="10"/>
                <w:szCs w:val="10"/>
              </w:rPr>
            </w:pPr>
          </w:p>
        </w:tc>
        <w:tc>
          <w:tcPr>
            <w:tcW w:w="0" w:type="auto"/>
            <w:shd w:val="clear" w:color="auto" w:fill="auto"/>
          </w:tcPr>
          <w:p w14:paraId="15EFCC96" w14:textId="77777777" w:rsidR="008C5CFA" w:rsidRPr="001C4484" w:rsidRDefault="008C5CFA" w:rsidP="00300A01">
            <w:pPr>
              <w:spacing w:before="0" w:after="0"/>
              <w:jc w:val="right"/>
              <w:rPr>
                <w:sz w:val="10"/>
                <w:szCs w:val="10"/>
                <w:lang w:val="fr-BE"/>
              </w:rPr>
            </w:pPr>
          </w:p>
        </w:tc>
      </w:tr>
      <w:tr w:rsidR="006B2EC1" w14:paraId="67AB31D1" w14:textId="77777777" w:rsidTr="0047688D">
        <w:tc>
          <w:tcPr>
            <w:tcW w:w="0" w:type="auto"/>
            <w:shd w:val="clear" w:color="auto" w:fill="auto"/>
          </w:tcPr>
          <w:p w14:paraId="27569796" w14:textId="77777777" w:rsidR="008C5CFA" w:rsidRPr="001C4484" w:rsidRDefault="00E82A60" w:rsidP="00300A01">
            <w:pPr>
              <w:spacing w:before="0" w:after="0"/>
              <w:rPr>
                <w:sz w:val="10"/>
                <w:szCs w:val="10"/>
                <w:lang w:val="fr-BE"/>
              </w:rPr>
            </w:pPr>
            <w:r w:rsidRPr="001C4484">
              <w:rPr>
                <w:noProof/>
                <w:sz w:val="10"/>
                <w:szCs w:val="10"/>
                <w:lang w:val="fr-BE"/>
              </w:rPr>
              <w:t>CO21</w:t>
            </w:r>
          </w:p>
        </w:tc>
        <w:tc>
          <w:tcPr>
            <w:tcW w:w="0" w:type="auto"/>
            <w:shd w:val="clear" w:color="auto" w:fill="auto"/>
          </w:tcPr>
          <w:p w14:paraId="400216D4" w14:textId="77777777" w:rsidR="008C5CFA" w:rsidRPr="001C4484" w:rsidRDefault="00E82A60" w:rsidP="00300A01">
            <w:pPr>
              <w:spacing w:before="0" w:after="0"/>
              <w:rPr>
                <w:sz w:val="10"/>
                <w:szCs w:val="10"/>
                <w:lang w:val="fr-BE"/>
              </w:rPr>
            </w:pPr>
            <w:r w:rsidRPr="001C4484">
              <w:rPr>
                <w:noProof/>
                <w:sz w:val="10"/>
                <w:szCs w:val="10"/>
                <w:lang w:val="fr-BE"/>
              </w:rPr>
              <w:t>liczba projektów ukierunkowanych na trwały udział kobiet w zatrudnieniu i rozwój ich kariery zawodowej</w:t>
            </w:r>
          </w:p>
        </w:tc>
        <w:tc>
          <w:tcPr>
            <w:tcW w:w="0" w:type="auto"/>
            <w:shd w:val="clear" w:color="auto" w:fill="auto"/>
          </w:tcPr>
          <w:p w14:paraId="2B32ABD8"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51F7355D" w14:textId="77777777" w:rsidR="008C5CFA" w:rsidRPr="001C4484" w:rsidRDefault="00E82A60" w:rsidP="00300A01">
            <w:pPr>
              <w:spacing w:before="0" w:after="0"/>
              <w:jc w:val="right"/>
              <w:rPr>
                <w:sz w:val="10"/>
                <w:szCs w:val="10"/>
              </w:rPr>
            </w:pPr>
            <w:r>
              <w:rPr>
                <w:noProof/>
                <w:sz w:val="10"/>
                <w:szCs w:val="10"/>
              </w:rPr>
              <w:t>8,00</w:t>
            </w:r>
          </w:p>
        </w:tc>
        <w:tc>
          <w:tcPr>
            <w:tcW w:w="0" w:type="auto"/>
            <w:shd w:val="clear" w:color="auto" w:fill="auto"/>
          </w:tcPr>
          <w:p w14:paraId="13C71DF5" w14:textId="77777777" w:rsidR="008C5CFA" w:rsidRPr="001C4484" w:rsidRDefault="008C5CFA" w:rsidP="00300A01">
            <w:pPr>
              <w:spacing w:before="0" w:after="0"/>
              <w:jc w:val="right"/>
              <w:rPr>
                <w:sz w:val="10"/>
                <w:szCs w:val="10"/>
              </w:rPr>
            </w:pPr>
          </w:p>
        </w:tc>
        <w:tc>
          <w:tcPr>
            <w:tcW w:w="0" w:type="auto"/>
            <w:shd w:val="clear" w:color="auto" w:fill="auto"/>
          </w:tcPr>
          <w:p w14:paraId="58D50C6E" w14:textId="77777777" w:rsidR="008C5CFA" w:rsidRPr="001C4484" w:rsidRDefault="008C5CFA" w:rsidP="00300A01">
            <w:pPr>
              <w:spacing w:before="0" w:after="0"/>
              <w:jc w:val="right"/>
              <w:rPr>
                <w:sz w:val="10"/>
                <w:szCs w:val="10"/>
                <w:lang w:val="fr-BE"/>
              </w:rPr>
            </w:pPr>
          </w:p>
        </w:tc>
        <w:tc>
          <w:tcPr>
            <w:tcW w:w="0" w:type="auto"/>
          </w:tcPr>
          <w:p w14:paraId="004ABC4B" w14:textId="77777777" w:rsidR="008C5CFA" w:rsidRPr="001C4484" w:rsidRDefault="00E82A60" w:rsidP="00300A01">
            <w:pPr>
              <w:spacing w:before="0" w:after="0"/>
              <w:jc w:val="right"/>
              <w:rPr>
                <w:sz w:val="10"/>
                <w:szCs w:val="10"/>
              </w:rPr>
            </w:pPr>
            <w:r>
              <w:rPr>
                <w:noProof/>
                <w:sz w:val="10"/>
                <w:szCs w:val="10"/>
              </w:rPr>
              <w:t>2,00</w:t>
            </w:r>
          </w:p>
        </w:tc>
        <w:tc>
          <w:tcPr>
            <w:tcW w:w="0" w:type="auto"/>
            <w:shd w:val="clear" w:color="auto" w:fill="auto"/>
          </w:tcPr>
          <w:p w14:paraId="4E26450A" w14:textId="77777777" w:rsidR="008C5CFA" w:rsidRPr="001C4484" w:rsidRDefault="008C5CFA" w:rsidP="00300A01">
            <w:pPr>
              <w:spacing w:before="0" w:after="0"/>
              <w:jc w:val="right"/>
              <w:rPr>
                <w:sz w:val="10"/>
                <w:szCs w:val="10"/>
              </w:rPr>
            </w:pPr>
          </w:p>
        </w:tc>
        <w:tc>
          <w:tcPr>
            <w:tcW w:w="0" w:type="auto"/>
            <w:shd w:val="clear" w:color="auto" w:fill="auto"/>
          </w:tcPr>
          <w:p w14:paraId="2D336887" w14:textId="77777777" w:rsidR="008C5CFA" w:rsidRPr="001C4484" w:rsidRDefault="008C5CFA" w:rsidP="00300A01">
            <w:pPr>
              <w:spacing w:before="0" w:after="0"/>
              <w:jc w:val="right"/>
              <w:rPr>
                <w:sz w:val="10"/>
                <w:szCs w:val="10"/>
                <w:lang w:val="fr-BE"/>
              </w:rPr>
            </w:pPr>
          </w:p>
        </w:tc>
        <w:tc>
          <w:tcPr>
            <w:tcW w:w="0" w:type="auto"/>
          </w:tcPr>
          <w:p w14:paraId="283DC761"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6516A0E3" w14:textId="77777777" w:rsidR="008C5CFA" w:rsidRPr="001C4484" w:rsidRDefault="008C5CFA" w:rsidP="00300A01">
            <w:pPr>
              <w:spacing w:before="0" w:after="0"/>
              <w:jc w:val="right"/>
              <w:rPr>
                <w:sz w:val="10"/>
                <w:szCs w:val="10"/>
              </w:rPr>
            </w:pPr>
          </w:p>
        </w:tc>
        <w:tc>
          <w:tcPr>
            <w:tcW w:w="0" w:type="auto"/>
            <w:shd w:val="clear" w:color="auto" w:fill="auto"/>
          </w:tcPr>
          <w:p w14:paraId="30271DB3" w14:textId="77777777" w:rsidR="008C5CFA" w:rsidRPr="001C4484" w:rsidRDefault="008C5CFA" w:rsidP="00300A01">
            <w:pPr>
              <w:spacing w:before="0" w:after="0"/>
              <w:jc w:val="right"/>
              <w:rPr>
                <w:sz w:val="10"/>
                <w:szCs w:val="10"/>
                <w:lang w:val="fr-BE"/>
              </w:rPr>
            </w:pPr>
          </w:p>
        </w:tc>
      </w:tr>
      <w:tr w:rsidR="006B2EC1" w14:paraId="61724297" w14:textId="77777777" w:rsidTr="0047688D">
        <w:tc>
          <w:tcPr>
            <w:tcW w:w="0" w:type="auto"/>
            <w:shd w:val="clear" w:color="auto" w:fill="auto"/>
          </w:tcPr>
          <w:p w14:paraId="2DA31E4E" w14:textId="77777777" w:rsidR="008C5CFA" w:rsidRPr="001C4484" w:rsidRDefault="00E82A60" w:rsidP="00300A01">
            <w:pPr>
              <w:spacing w:before="0" w:after="0"/>
              <w:rPr>
                <w:sz w:val="10"/>
                <w:szCs w:val="10"/>
                <w:lang w:val="fr-BE"/>
              </w:rPr>
            </w:pPr>
            <w:r w:rsidRPr="001C4484">
              <w:rPr>
                <w:noProof/>
                <w:sz w:val="10"/>
                <w:szCs w:val="10"/>
                <w:lang w:val="fr-BE"/>
              </w:rPr>
              <w:t>CO22</w:t>
            </w:r>
          </w:p>
        </w:tc>
        <w:tc>
          <w:tcPr>
            <w:tcW w:w="0" w:type="auto"/>
            <w:shd w:val="clear" w:color="auto" w:fill="auto"/>
          </w:tcPr>
          <w:p w14:paraId="65CE6815" w14:textId="77777777" w:rsidR="008C5CFA" w:rsidRPr="001C4484" w:rsidRDefault="00E82A60" w:rsidP="00300A01">
            <w:pPr>
              <w:spacing w:before="0" w:after="0"/>
              <w:rPr>
                <w:sz w:val="10"/>
                <w:szCs w:val="10"/>
                <w:lang w:val="fr-BE"/>
              </w:rPr>
            </w:pPr>
            <w:r w:rsidRPr="001C4484">
              <w:rPr>
                <w:noProof/>
                <w:sz w:val="10"/>
                <w:szCs w:val="10"/>
                <w:lang w:val="fr-BE"/>
              </w:rPr>
              <w:t>liczba projektów obejmujących administrację publiczną lub służby publiczne na szczeblu krajowym, regionalnym lub lokalnym</w:t>
            </w:r>
          </w:p>
        </w:tc>
        <w:tc>
          <w:tcPr>
            <w:tcW w:w="0" w:type="auto"/>
            <w:shd w:val="clear" w:color="auto" w:fill="auto"/>
          </w:tcPr>
          <w:p w14:paraId="3A7BCDFD"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3A9A2D04"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47BDBE95" w14:textId="77777777" w:rsidR="008C5CFA" w:rsidRPr="001C4484" w:rsidRDefault="008C5CFA" w:rsidP="00300A01">
            <w:pPr>
              <w:spacing w:before="0" w:after="0"/>
              <w:jc w:val="right"/>
              <w:rPr>
                <w:sz w:val="10"/>
                <w:szCs w:val="10"/>
              </w:rPr>
            </w:pPr>
          </w:p>
        </w:tc>
        <w:tc>
          <w:tcPr>
            <w:tcW w:w="0" w:type="auto"/>
            <w:shd w:val="clear" w:color="auto" w:fill="auto"/>
          </w:tcPr>
          <w:p w14:paraId="55452295" w14:textId="77777777" w:rsidR="008C5CFA" w:rsidRPr="001C4484" w:rsidRDefault="008C5CFA" w:rsidP="00300A01">
            <w:pPr>
              <w:spacing w:before="0" w:after="0"/>
              <w:jc w:val="right"/>
              <w:rPr>
                <w:sz w:val="10"/>
                <w:szCs w:val="10"/>
                <w:lang w:val="fr-BE"/>
              </w:rPr>
            </w:pPr>
          </w:p>
        </w:tc>
        <w:tc>
          <w:tcPr>
            <w:tcW w:w="0" w:type="auto"/>
          </w:tcPr>
          <w:p w14:paraId="584CA0C5"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0EC07BF6" w14:textId="77777777" w:rsidR="008C5CFA" w:rsidRPr="001C4484" w:rsidRDefault="008C5CFA" w:rsidP="00300A01">
            <w:pPr>
              <w:spacing w:before="0" w:after="0"/>
              <w:jc w:val="right"/>
              <w:rPr>
                <w:sz w:val="10"/>
                <w:szCs w:val="10"/>
              </w:rPr>
            </w:pPr>
          </w:p>
        </w:tc>
        <w:tc>
          <w:tcPr>
            <w:tcW w:w="0" w:type="auto"/>
            <w:shd w:val="clear" w:color="auto" w:fill="auto"/>
          </w:tcPr>
          <w:p w14:paraId="09605068" w14:textId="77777777" w:rsidR="008C5CFA" w:rsidRPr="001C4484" w:rsidRDefault="008C5CFA" w:rsidP="00300A01">
            <w:pPr>
              <w:spacing w:before="0" w:after="0"/>
              <w:jc w:val="right"/>
              <w:rPr>
                <w:sz w:val="10"/>
                <w:szCs w:val="10"/>
                <w:lang w:val="fr-BE"/>
              </w:rPr>
            </w:pPr>
          </w:p>
        </w:tc>
        <w:tc>
          <w:tcPr>
            <w:tcW w:w="0" w:type="auto"/>
          </w:tcPr>
          <w:p w14:paraId="4EF9568F"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4E7A8F4E" w14:textId="77777777" w:rsidR="008C5CFA" w:rsidRPr="001C4484" w:rsidRDefault="008C5CFA" w:rsidP="00300A01">
            <w:pPr>
              <w:spacing w:before="0" w:after="0"/>
              <w:jc w:val="right"/>
              <w:rPr>
                <w:sz w:val="10"/>
                <w:szCs w:val="10"/>
              </w:rPr>
            </w:pPr>
          </w:p>
        </w:tc>
        <w:tc>
          <w:tcPr>
            <w:tcW w:w="0" w:type="auto"/>
            <w:shd w:val="clear" w:color="auto" w:fill="auto"/>
          </w:tcPr>
          <w:p w14:paraId="4ED877A1" w14:textId="77777777" w:rsidR="008C5CFA" w:rsidRPr="001C4484" w:rsidRDefault="008C5CFA" w:rsidP="00300A01">
            <w:pPr>
              <w:spacing w:before="0" w:after="0"/>
              <w:jc w:val="right"/>
              <w:rPr>
                <w:sz w:val="10"/>
                <w:szCs w:val="10"/>
                <w:lang w:val="fr-BE"/>
              </w:rPr>
            </w:pPr>
          </w:p>
        </w:tc>
      </w:tr>
      <w:tr w:rsidR="006B2EC1" w14:paraId="432C1DF0" w14:textId="77777777" w:rsidTr="0047688D">
        <w:tc>
          <w:tcPr>
            <w:tcW w:w="0" w:type="auto"/>
            <w:shd w:val="clear" w:color="auto" w:fill="auto"/>
          </w:tcPr>
          <w:p w14:paraId="7771724B" w14:textId="77777777" w:rsidR="008C5CFA" w:rsidRPr="001C4484" w:rsidRDefault="00E82A60" w:rsidP="00300A01">
            <w:pPr>
              <w:spacing w:before="0" w:after="0"/>
              <w:rPr>
                <w:sz w:val="10"/>
                <w:szCs w:val="10"/>
                <w:lang w:val="fr-BE"/>
              </w:rPr>
            </w:pPr>
            <w:r w:rsidRPr="001C4484">
              <w:rPr>
                <w:noProof/>
                <w:sz w:val="10"/>
                <w:szCs w:val="10"/>
                <w:lang w:val="fr-BE"/>
              </w:rPr>
              <w:t>CO23</w:t>
            </w:r>
          </w:p>
        </w:tc>
        <w:tc>
          <w:tcPr>
            <w:tcW w:w="0" w:type="auto"/>
            <w:shd w:val="clear" w:color="auto" w:fill="auto"/>
          </w:tcPr>
          <w:p w14:paraId="563AA679" w14:textId="77777777" w:rsidR="008C5CFA" w:rsidRPr="001C4484" w:rsidRDefault="00E82A60" w:rsidP="00300A01">
            <w:pPr>
              <w:spacing w:before="0" w:after="0"/>
              <w:rPr>
                <w:sz w:val="10"/>
                <w:szCs w:val="10"/>
                <w:lang w:val="fr-BE"/>
              </w:rPr>
            </w:pPr>
            <w:r w:rsidRPr="001C4484">
              <w:rPr>
                <w:noProof/>
                <w:sz w:val="10"/>
                <w:szCs w:val="10"/>
                <w:lang w:val="fr-BE"/>
              </w:rPr>
              <w:t>liczba objętych wsparciem mikro-, małych i średnich przedsiębiorstw (w tym przedsiębiorstw spółdzielczych i przedsiębiorstw gospodarki społecznej)</w:t>
            </w:r>
          </w:p>
        </w:tc>
        <w:tc>
          <w:tcPr>
            <w:tcW w:w="0" w:type="auto"/>
            <w:shd w:val="clear" w:color="auto" w:fill="auto"/>
          </w:tcPr>
          <w:p w14:paraId="23115A48"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6BC14C54"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719A19FD" w14:textId="77777777" w:rsidR="008C5CFA" w:rsidRPr="001C4484" w:rsidRDefault="008C5CFA" w:rsidP="00300A01">
            <w:pPr>
              <w:spacing w:before="0" w:after="0"/>
              <w:jc w:val="right"/>
              <w:rPr>
                <w:sz w:val="10"/>
                <w:szCs w:val="10"/>
              </w:rPr>
            </w:pPr>
          </w:p>
        </w:tc>
        <w:tc>
          <w:tcPr>
            <w:tcW w:w="0" w:type="auto"/>
            <w:shd w:val="clear" w:color="auto" w:fill="auto"/>
          </w:tcPr>
          <w:p w14:paraId="3FE3F945" w14:textId="77777777" w:rsidR="008C5CFA" w:rsidRPr="001C4484" w:rsidRDefault="008C5CFA" w:rsidP="00300A01">
            <w:pPr>
              <w:spacing w:before="0" w:after="0"/>
              <w:jc w:val="right"/>
              <w:rPr>
                <w:sz w:val="10"/>
                <w:szCs w:val="10"/>
                <w:lang w:val="fr-BE"/>
              </w:rPr>
            </w:pPr>
          </w:p>
        </w:tc>
        <w:tc>
          <w:tcPr>
            <w:tcW w:w="0" w:type="auto"/>
          </w:tcPr>
          <w:p w14:paraId="27DE975F"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2161E00B" w14:textId="77777777" w:rsidR="008C5CFA" w:rsidRPr="001C4484" w:rsidRDefault="008C5CFA" w:rsidP="00300A01">
            <w:pPr>
              <w:spacing w:before="0" w:after="0"/>
              <w:jc w:val="right"/>
              <w:rPr>
                <w:sz w:val="10"/>
                <w:szCs w:val="10"/>
              </w:rPr>
            </w:pPr>
          </w:p>
        </w:tc>
        <w:tc>
          <w:tcPr>
            <w:tcW w:w="0" w:type="auto"/>
            <w:shd w:val="clear" w:color="auto" w:fill="auto"/>
          </w:tcPr>
          <w:p w14:paraId="42DCD93E" w14:textId="77777777" w:rsidR="008C5CFA" w:rsidRPr="001C4484" w:rsidRDefault="008C5CFA" w:rsidP="00300A01">
            <w:pPr>
              <w:spacing w:before="0" w:after="0"/>
              <w:jc w:val="right"/>
              <w:rPr>
                <w:sz w:val="10"/>
                <w:szCs w:val="10"/>
                <w:lang w:val="fr-BE"/>
              </w:rPr>
            </w:pPr>
          </w:p>
        </w:tc>
        <w:tc>
          <w:tcPr>
            <w:tcW w:w="0" w:type="auto"/>
          </w:tcPr>
          <w:p w14:paraId="2D86F1CC"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2CF6E385" w14:textId="77777777" w:rsidR="008C5CFA" w:rsidRPr="001C4484" w:rsidRDefault="008C5CFA" w:rsidP="00300A01">
            <w:pPr>
              <w:spacing w:before="0" w:after="0"/>
              <w:jc w:val="right"/>
              <w:rPr>
                <w:sz w:val="10"/>
                <w:szCs w:val="10"/>
              </w:rPr>
            </w:pPr>
          </w:p>
        </w:tc>
        <w:tc>
          <w:tcPr>
            <w:tcW w:w="0" w:type="auto"/>
            <w:shd w:val="clear" w:color="auto" w:fill="auto"/>
          </w:tcPr>
          <w:p w14:paraId="168338F0" w14:textId="77777777" w:rsidR="008C5CFA" w:rsidRPr="001C4484" w:rsidRDefault="008C5CFA" w:rsidP="00300A01">
            <w:pPr>
              <w:spacing w:before="0" w:after="0"/>
              <w:jc w:val="right"/>
              <w:rPr>
                <w:sz w:val="10"/>
                <w:szCs w:val="10"/>
                <w:lang w:val="fr-BE"/>
              </w:rPr>
            </w:pPr>
          </w:p>
        </w:tc>
      </w:tr>
      <w:tr w:rsidR="006B2EC1" w14:paraId="675E3C98" w14:textId="77777777" w:rsidTr="0047688D">
        <w:tc>
          <w:tcPr>
            <w:tcW w:w="0" w:type="auto"/>
            <w:shd w:val="clear" w:color="auto" w:fill="auto"/>
          </w:tcPr>
          <w:p w14:paraId="0E85565C" w14:textId="77777777" w:rsidR="008C5CFA" w:rsidRPr="001C4484" w:rsidRDefault="008C5CFA" w:rsidP="00300A01">
            <w:pPr>
              <w:spacing w:before="0" w:after="0"/>
              <w:rPr>
                <w:sz w:val="10"/>
                <w:szCs w:val="10"/>
                <w:lang w:val="fr-BE"/>
              </w:rPr>
            </w:pPr>
          </w:p>
        </w:tc>
        <w:tc>
          <w:tcPr>
            <w:tcW w:w="0" w:type="auto"/>
            <w:shd w:val="clear" w:color="auto" w:fill="auto"/>
          </w:tcPr>
          <w:p w14:paraId="2C4EB68E" w14:textId="77777777" w:rsidR="008C5CFA" w:rsidRPr="001C4484" w:rsidRDefault="00E82A60" w:rsidP="00300A01">
            <w:pPr>
              <w:spacing w:before="0" w:after="0"/>
              <w:rPr>
                <w:sz w:val="10"/>
                <w:szCs w:val="10"/>
                <w:lang w:val="fr-BE"/>
              </w:rPr>
            </w:pPr>
            <w:r w:rsidRPr="001C4484">
              <w:rPr>
                <w:noProof/>
                <w:sz w:val="10"/>
                <w:szCs w:val="10"/>
                <w:lang w:val="fr-BE"/>
              </w:rPr>
              <w:t>Całkowita łączna liczba uczestników</w:t>
            </w:r>
          </w:p>
        </w:tc>
        <w:tc>
          <w:tcPr>
            <w:tcW w:w="0" w:type="auto"/>
            <w:shd w:val="clear" w:color="auto" w:fill="auto"/>
          </w:tcPr>
          <w:p w14:paraId="62BE22BA" w14:textId="77777777" w:rsidR="008C5CFA" w:rsidRPr="001C4484" w:rsidRDefault="008C5CFA" w:rsidP="00300A01">
            <w:pPr>
              <w:spacing w:before="0" w:after="0"/>
              <w:rPr>
                <w:sz w:val="10"/>
                <w:szCs w:val="10"/>
                <w:lang w:val="fr-BE"/>
              </w:rPr>
            </w:pPr>
          </w:p>
        </w:tc>
        <w:tc>
          <w:tcPr>
            <w:tcW w:w="0" w:type="auto"/>
          </w:tcPr>
          <w:p w14:paraId="33471BCD" w14:textId="77777777" w:rsidR="008C5CFA" w:rsidRPr="001C4484" w:rsidRDefault="00E82A60" w:rsidP="00300A01">
            <w:pPr>
              <w:spacing w:before="0" w:after="0"/>
              <w:jc w:val="right"/>
              <w:rPr>
                <w:sz w:val="10"/>
                <w:szCs w:val="10"/>
              </w:rPr>
            </w:pPr>
            <w:r>
              <w:rPr>
                <w:noProof/>
                <w:sz w:val="10"/>
                <w:szCs w:val="10"/>
              </w:rPr>
              <w:t>2 872,00</w:t>
            </w:r>
          </w:p>
        </w:tc>
        <w:tc>
          <w:tcPr>
            <w:tcW w:w="0" w:type="auto"/>
            <w:shd w:val="clear" w:color="auto" w:fill="auto"/>
          </w:tcPr>
          <w:p w14:paraId="4A026655" w14:textId="77777777" w:rsidR="008C5CFA" w:rsidRPr="001C4484" w:rsidRDefault="008C5CFA" w:rsidP="00300A01">
            <w:pPr>
              <w:spacing w:before="0" w:after="0"/>
              <w:jc w:val="right"/>
              <w:rPr>
                <w:sz w:val="10"/>
                <w:szCs w:val="10"/>
              </w:rPr>
            </w:pPr>
          </w:p>
        </w:tc>
        <w:tc>
          <w:tcPr>
            <w:tcW w:w="0" w:type="auto"/>
            <w:shd w:val="clear" w:color="auto" w:fill="auto"/>
          </w:tcPr>
          <w:p w14:paraId="591CA311" w14:textId="77777777" w:rsidR="008C5CFA" w:rsidRPr="001C4484" w:rsidRDefault="008C5CFA" w:rsidP="00300A01">
            <w:pPr>
              <w:spacing w:before="0" w:after="0"/>
              <w:jc w:val="right"/>
              <w:rPr>
                <w:sz w:val="10"/>
                <w:szCs w:val="10"/>
                <w:lang w:val="fr-BE"/>
              </w:rPr>
            </w:pPr>
          </w:p>
        </w:tc>
        <w:tc>
          <w:tcPr>
            <w:tcW w:w="0" w:type="auto"/>
          </w:tcPr>
          <w:p w14:paraId="3AA8BB5D" w14:textId="77777777" w:rsidR="008C5CFA" w:rsidRPr="001C4484" w:rsidRDefault="00E82A60" w:rsidP="00300A01">
            <w:pPr>
              <w:spacing w:before="0" w:after="0"/>
              <w:jc w:val="right"/>
              <w:rPr>
                <w:sz w:val="10"/>
                <w:szCs w:val="10"/>
              </w:rPr>
            </w:pPr>
            <w:r>
              <w:rPr>
                <w:noProof/>
                <w:sz w:val="10"/>
                <w:szCs w:val="10"/>
              </w:rPr>
              <w:t>337,00</w:t>
            </w:r>
          </w:p>
        </w:tc>
        <w:tc>
          <w:tcPr>
            <w:tcW w:w="0" w:type="auto"/>
            <w:shd w:val="clear" w:color="auto" w:fill="auto"/>
          </w:tcPr>
          <w:p w14:paraId="76289FBF" w14:textId="77777777" w:rsidR="008C5CFA" w:rsidRPr="001C4484" w:rsidRDefault="008C5CFA" w:rsidP="00300A01">
            <w:pPr>
              <w:spacing w:before="0" w:after="0"/>
              <w:jc w:val="right"/>
              <w:rPr>
                <w:sz w:val="10"/>
                <w:szCs w:val="10"/>
              </w:rPr>
            </w:pPr>
          </w:p>
        </w:tc>
        <w:tc>
          <w:tcPr>
            <w:tcW w:w="0" w:type="auto"/>
            <w:shd w:val="clear" w:color="auto" w:fill="auto"/>
          </w:tcPr>
          <w:p w14:paraId="0F854EBC" w14:textId="77777777" w:rsidR="008C5CFA" w:rsidRPr="001C4484" w:rsidRDefault="008C5CFA" w:rsidP="00300A01">
            <w:pPr>
              <w:spacing w:before="0" w:after="0"/>
              <w:jc w:val="right"/>
              <w:rPr>
                <w:sz w:val="10"/>
                <w:szCs w:val="10"/>
                <w:lang w:val="fr-BE"/>
              </w:rPr>
            </w:pPr>
          </w:p>
        </w:tc>
        <w:tc>
          <w:tcPr>
            <w:tcW w:w="0" w:type="auto"/>
          </w:tcPr>
          <w:p w14:paraId="082A4EF4"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5A239326" w14:textId="77777777" w:rsidR="008C5CFA" w:rsidRPr="001C4484" w:rsidRDefault="008C5CFA" w:rsidP="00300A01">
            <w:pPr>
              <w:spacing w:before="0" w:after="0"/>
              <w:jc w:val="right"/>
              <w:rPr>
                <w:sz w:val="10"/>
                <w:szCs w:val="10"/>
              </w:rPr>
            </w:pPr>
          </w:p>
        </w:tc>
        <w:tc>
          <w:tcPr>
            <w:tcW w:w="0" w:type="auto"/>
            <w:shd w:val="clear" w:color="auto" w:fill="auto"/>
          </w:tcPr>
          <w:p w14:paraId="21D0EE9A" w14:textId="77777777" w:rsidR="008C5CFA" w:rsidRPr="001C4484" w:rsidRDefault="008C5CFA" w:rsidP="00300A01">
            <w:pPr>
              <w:spacing w:before="0" w:after="0"/>
              <w:jc w:val="right"/>
              <w:rPr>
                <w:sz w:val="10"/>
                <w:szCs w:val="10"/>
                <w:lang w:val="fr-BE"/>
              </w:rPr>
            </w:pPr>
          </w:p>
        </w:tc>
      </w:tr>
    </w:tbl>
    <w:p w14:paraId="25478B55"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514"/>
        <w:gridCol w:w="8970"/>
        <w:gridCol w:w="1534"/>
        <w:gridCol w:w="638"/>
        <w:gridCol w:w="807"/>
        <w:gridCol w:w="638"/>
        <w:gridCol w:w="638"/>
        <w:gridCol w:w="807"/>
        <w:gridCol w:w="638"/>
      </w:tblGrid>
      <w:tr w:rsidR="006B2EC1" w14:paraId="31F31D1D" w14:textId="77777777" w:rsidTr="0047688D">
        <w:tc>
          <w:tcPr>
            <w:tcW w:w="0" w:type="auto"/>
            <w:shd w:val="clear" w:color="auto" w:fill="auto"/>
          </w:tcPr>
          <w:p w14:paraId="44B8F5E0" w14:textId="77777777" w:rsidR="008C5CFA" w:rsidRPr="001C4484" w:rsidRDefault="00E82A60" w:rsidP="00300A01">
            <w:pPr>
              <w:spacing w:before="0" w:after="0"/>
              <w:rPr>
                <w:sz w:val="10"/>
                <w:szCs w:val="10"/>
              </w:rPr>
            </w:pPr>
            <w:r w:rsidRPr="001C4484">
              <w:rPr>
                <w:b/>
                <w:noProof/>
                <w:sz w:val="12"/>
                <w:szCs w:val="12"/>
                <w:lang w:val="fr-BE"/>
              </w:rPr>
              <w:t>ID</w:t>
            </w:r>
          </w:p>
        </w:tc>
        <w:tc>
          <w:tcPr>
            <w:tcW w:w="0" w:type="auto"/>
            <w:shd w:val="clear" w:color="auto" w:fill="auto"/>
          </w:tcPr>
          <w:p w14:paraId="06BD5C7C" w14:textId="77777777" w:rsidR="008C5CFA" w:rsidRPr="001C4484" w:rsidRDefault="00E82A60" w:rsidP="00300A01">
            <w:pPr>
              <w:spacing w:before="0" w:after="0"/>
              <w:rPr>
                <w:sz w:val="10"/>
                <w:szCs w:val="10"/>
              </w:rPr>
            </w:pPr>
            <w:r w:rsidRPr="001C4484">
              <w:rPr>
                <w:b/>
                <w:noProof/>
                <w:sz w:val="12"/>
                <w:szCs w:val="12"/>
                <w:lang w:val="fr-BE"/>
              </w:rPr>
              <w:t>Wskaźnik</w:t>
            </w:r>
          </w:p>
        </w:tc>
        <w:tc>
          <w:tcPr>
            <w:tcW w:w="0" w:type="auto"/>
            <w:shd w:val="clear" w:color="auto" w:fill="auto"/>
          </w:tcPr>
          <w:p w14:paraId="2991A6D0" w14:textId="77777777" w:rsidR="008C5CFA" w:rsidRPr="001C4484" w:rsidRDefault="00E82A60" w:rsidP="00300A01">
            <w:pPr>
              <w:spacing w:before="0" w:after="0"/>
              <w:rPr>
                <w:sz w:val="10"/>
                <w:szCs w:val="10"/>
              </w:rPr>
            </w:pPr>
            <w:r w:rsidRPr="001C4484">
              <w:rPr>
                <w:b/>
                <w:noProof/>
                <w:sz w:val="12"/>
                <w:szCs w:val="12"/>
                <w:lang w:val="fr-BE"/>
              </w:rPr>
              <w:t>Kategoria regionu</w:t>
            </w:r>
          </w:p>
        </w:tc>
        <w:tc>
          <w:tcPr>
            <w:tcW w:w="0" w:type="auto"/>
            <w:gridSpan w:val="3"/>
          </w:tcPr>
          <w:p w14:paraId="53B94204" w14:textId="77777777" w:rsidR="008C5CFA" w:rsidRPr="001C4484" w:rsidRDefault="00E82A60" w:rsidP="00300A01">
            <w:pPr>
              <w:spacing w:before="0" w:after="0"/>
              <w:jc w:val="center"/>
              <w:rPr>
                <w:sz w:val="10"/>
                <w:szCs w:val="10"/>
              </w:rPr>
            </w:pPr>
            <w:r w:rsidRPr="001C4484">
              <w:rPr>
                <w:sz w:val="10"/>
                <w:szCs w:val="10"/>
              </w:rPr>
              <w:t>2015</w:t>
            </w:r>
          </w:p>
        </w:tc>
        <w:tc>
          <w:tcPr>
            <w:tcW w:w="0" w:type="auto"/>
            <w:gridSpan w:val="3"/>
          </w:tcPr>
          <w:p w14:paraId="05268619" w14:textId="77777777" w:rsidR="008C5CFA" w:rsidRPr="001C4484" w:rsidRDefault="00E82A60" w:rsidP="00300A01">
            <w:pPr>
              <w:spacing w:before="0" w:after="0"/>
              <w:jc w:val="center"/>
              <w:rPr>
                <w:sz w:val="10"/>
                <w:szCs w:val="10"/>
              </w:rPr>
            </w:pPr>
            <w:r w:rsidRPr="001C4484">
              <w:rPr>
                <w:sz w:val="10"/>
                <w:szCs w:val="10"/>
              </w:rPr>
              <w:t>2014</w:t>
            </w:r>
          </w:p>
        </w:tc>
      </w:tr>
      <w:tr w:rsidR="006B2EC1" w14:paraId="23F16435" w14:textId="77777777" w:rsidTr="0047688D">
        <w:tc>
          <w:tcPr>
            <w:tcW w:w="0" w:type="auto"/>
            <w:shd w:val="clear" w:color="auto" w:fill="auto"/>
          </w:tcPr>
          <w:p w14:paraId="56B0A592" w14:textId="77777777" w:rsidR="008C5CFA" w:rsidRPr="001C4484" w:rsidRDefault="008C5CFA" w:rsidP="00300A01">
            <w:pPr>
              <w:spacing w:before="0" w:after="0"/>
              <w:rPr>
                <w:sz w:val="10"/>
                <w:szCs w:val="10"/>
              </w:rPr>
            </w:pPr>
          </w:p>
        </w:tc>
        <w:tc>
          <w:tcPr>
            <w:tcW w:w="0" w:type="auto"/>
            <w:shd w:val="clear" w:color="auto" w:fill="auto"/>
          </w:tcPr>
          <w:p w14:paraId="51CCA92E" w14:textId="77777777" w:rsidR="008C5CFA" w:rsidRPr="001C4484" w:rsidRDefault="008C5CFA" w:rsidP="00300A01">
            <w:pPr>
              <w:spacing w:before="0" w:after="0"/>
              <w:rPr>
                <w:sz w:val="10"/>
                <w:szCs w:val="10"/>
              </w:rPr>
            </w:pPr>
          </w:p>
        </w:tc>
        <w:tc>
          <w:tcPr>
            <w:tcW w:w="0" w:type="auto"/>
            <w:shd w:val="clear" w:color="auto" w:fill="auto"/>
          </w:tcPr>
          <w:p w14:paraId="33832D11" w14:textId="77777777" w:rsidR="008C5CFA" w:rsidRPr="001C4484" w:rsidRDefault="008C5CFA" w:rsidP="00300A01">
            <w:pPr>
              <w:spacing w:before="0" w:after="0"/>
              <w:rPr>
                <w:sz w:val="10"/>
                <w:szCs w:val="10"/>
              </w:rPr>
            </w:pPr>
          </w:p>
        </w:tc>
        <w:tc>
          <w:tcPr>
            <w:tcW w:w="0" w:type="auto"/>
          </w:tcPr>
          <w:p w14:paraId="4A64B978" w14:textId="77777777" w:rsidR="008C5CFA" w:rsidRPr="001C4484" w:rsidRDefault="00E82A60" w:rsidP="00300A01">
            <w:pPr>
              <w:spacing w:before="0" w:after="0"/>
              <w:jc w:val="center"/>
              <w:rPr>
                <w:sz w:val="10"/>
                <w:szCs w:val="10"/>
              </w:rPr>
            </w:pPr>
            <w:r>
              <w:rPr>
                <w:noProof/>
                <w:sz w:val="10"/>
                <w:szCs w:val="10"/>
              </w:rPr>
              <w:t>Ogółem</w:t>
            </w:r>
          </w:p>
        </w:tc>
        <w:tc>
          <w:tcPr>
            <w:tcW w:w="0" w:type="auto"/>
            <w:shd w:val="clear" w:color="auto" w:fill="auto"/>
          </w:tcPr>
          <w:p w14:paraId="152C17B3" w14:textId="77777777" w:rsidR="008C5CFA" w:rsidRPr="001C4484" w:rsidRDefault="00E82A60" w:rsidP="00300A01">
            <w:pPr>
              <w:spacing w:before="0" w:after="0"/>
              <w:jc w:val="center"/>
              <w:rPr>
                <w:sz w:val="10"/>
                <w:szCs w:val="10"/>
              </w:rPr>
            </w:pPr>
            <w:r w:rsidRPr="001C4484">
              <w:rPr>
                <w:noProof/>
                <w:sz w:val="10"/>
                <w:szCs w:val="10"/>
              </w:rPr>
              <w:t>Mężczyźni</w:t>
            </w:r>
          </w:p>
        </w:tc>
        <w:tc>
          <w:tcPr>
            <w:tcW w:w="0" w:type="auto"/>
            <w:shd w:val="clear" w:color="auto" w:fill="auto"/>
          </w:tcPr>
          <w:p w14:paraId="5795DF1B" w14:textId="77777777" w:rsidR="008C5CFA" w:rsidRPr="001C4484" w:rsidRDefault="00E82A60" w:rsidP="00300A01">
            <w:pPr>
              <w:spacing w:before="0" w:after="0"/>
              <w:jc w:val="center"/>
              <w:rPr>
                <w:sz w:val="10"/>
                <w:szCs w:val="10"/>
              </w:rPr>
            </w:pPr>
            <w:r w:rsidRPr="001C4484">
              <w:rPr>
                <w:noProof/>
                <w:sz w:val="10"/>
                <w:szCs w:val="10"/>
              </w:rPr>
              <w:t>Kobiety</w:t>
            </w:r>
          </w:p>
        </w:tc>
        <w:tc>
          <w:tcPr>
            <w:tcW w:w="0" w:type="auto"/>
          </w:tcPr>
          <w:p w14:paraId="2B9CE7AD" w14:textId="77777777" w:rsidR="008C5CFA" w:rsidRPr="001C4484" w:rsidRDefault="00E82A60" w:rsidP="00300A01">
            <w:pPr>
              <w:spacing w:before="0" w:after="0"/>
              <w:jc w:val="center"/>
              <w:rPr>
                <w:sz w:val="10"/>
                <w:szCs w:val="10"/>
              </w:rPr>
            </w:pPr>
            <w:r>
              <w:rPr>
                <w:noProof/>
                <w:sz w:val="10"/>
                <w:szCs w:val="10"/>
              </w:rPr>
              <w:t>Ogółem</w:t>
            </w:r>
          </w:p>
        </w:tc>
        <w:tc>
          <w:tcPr>
            <w:tcW w:w="0" w:type="auto"/>
            <w:shd w:val="clear" w:color="auto" w:fill="auto"/>
          </w:tcPr>
          <w:p w14:paraId="3D709BA9" w14:textId="77777777" w:rsidR="008C5CFA" w:rsidRPr="001C4484" w:rsidRDefault="00E82A60" w:rsidP="00300A01">
            <w:pPr>
              <w:spacing w:before="0" w:after="0"/>
              <w:jc w:val="center"/>
              <w:rPr>
                <w:sz w:val="10"/>
                <w:szCs w:val="10"/>
              </w:rPr>
            </w:pPr>
            <w:r w:rsidRPr="001C4484">
              <w:rPr>
                <w:noProof/>
                <w:sz w:val="10"/>
                <w:szCs w:val="10"/>
              </w:rPr>
              <w:t>Mężczyźni</w:t>
            </w:r>
          </w:p>
        </w:tc>
        <w:tc>
          <w:tcPr>
            <w:tcW w:w="0" w:type="auto"/>
            <w:shd w:val="clear" w:color="auto" w:fill="auto"/>
          </w:tcPr>
          <w:p w14:paraId="241064A2" w14:textId="77777777" w:rsidR="008C5CFA" w:rsidRPr="001C4484" w:rsidRDefault="00E82A60" w:rsidP="00300A01">
            <w:pPr>
              <w:spacing w:before="0" w:after="0"/>
              <w:jc w:val="center"/>
              <w:rPr>
                <w:sz w:val="10"/>
                <w:szCs w:val="10"/>
              </w:rPr>
            </w:pPr>
            <w:r w:rsidRPr="001C4484">
              <w:rPr>
                <w:noProof/>
                <w:sz w:val="10"/>
                <w:szCs w:val="10"/>
              </w:rPr>
              <w:t>Kobiety</w:t>
            </w:r>
          </w:p>
        </w:tc>
      </w:tr>
      <w:tr w:rsidR="006B2EC1" w14:paraId="41648194" w14:textId="77777777" w:rsidTr="0047688D">
        <w:tc>
          <w:tcPr>
            <w:tcW w:w="0" w:type="auto"/>
            <w:shd w:val="clear" w:color="auto" w:fill="auto"/>
          </w:tcPr>
          <w:p w14:paraId="7E9E186C" w14:textId="77777777" w:rsidR="008C5CFA" w:rsidRPr="001C4484" w:rsidRDefault="00E82A60" w:rsidP="00300A01">
            <w:pPr>
              <w:spacing w:before="0" w:after="0"/>
              <w:rPr>
                <w:sz w:val="10"/>
                <w:szCs w:val="10"/>
                <w:lang w:val="fr-BE"/>
              </w:rPr>
            </w:pPr>
            <w:r w:rsidRPr="001C4484">
              <w:rPr>
                <w:noProof/>
                <w:sz w:val="10"/>
                <w:szCs w:val="10"/>
                <w:lang w:val="fr-BE"/>
              </w:rPr>
              <w:t>CO01</w:t>
            </w:r>
          </w:p>
        </w:tc>
        <w:tc>
          <w:tcPr>
            <w:tcW w:w="0" w:type="auto"/>
            <w:shd w:val="clear" w:color="auto" w:fill="auto"/>
          </w:tcPr>
          <w:p w14:paraId="121BD8E7" w14:textId="77777777" w:rsidR="008C5CFA" w:rsidRPr="001C4484" w:rsidRDefault="00E82A60" w:rsidP="00300A01">
            <w:pPr>
              <w:spacing w:before="0" w:after="0"/>
              <w:rPr>
                <w:sz w:val="10"/>
                <w:szCs w:val="10"/>
                <w:lang w:val="fr-BE"/>
              </w:rPr>
            </w:pPr>
            <w:r w:rsidRPr="001C4484">
              <w:rPr>
                <w:noProof/>
                <w:sz w:val="10"/>
                <w:szCs w:val="10"/>
                <w:lang w:val="fr-BE"/>
              </w:rPr>
              <w:t>bezrobotni, w tym długotrwale bezrobotni</w:t>
            </w:r>
          </w:p>
        </w:tc>
        <w:tc>
          <w:tcPr>
            <w:tcW w:w="0" w:type="auto"/>
            <w:shd w:val="clear" w:color="auto" w:fill="auto"/>
          </w:tcPr>
          <w:p w14:paraId="515CDE86"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72D194E4"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6D49E357"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46A36BD4" w14:textId="77777777" w:rsidR="008C5CFA" w:rsidRPr="001C4484" w:rsidRDefault="00E82A60" w:rsidP="00300A01">
            <w:pPr>
              <w:spacing w:before="0" w:after="0"/>
              <w:jc w:val="right"/>
              <w:rPr>
                <w:sz w:val="10"/>
                <w:szCs w:val="10"/>
                <w:lang w:val="fr-BE"/>
              </w:rPr>
            </w:pPr>
            <w:r w:rsidRPr="001C4484">
              <w:rPr>
                <w:noProof/>
                <w:sz w:val="10"/>
                <w:szCs w:val="10"/>
              </w:rPr>
              <w:t>0,00</w:t>
            </w:r>
          </w:p>
        </w:tc>
        <w:tc>
          <w:tcPr>
            <w:tcW w:w="0" w:type="auto"/>
          </w:tcPr>
          <w:p w14:paraId="066C7B29"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0ABD90E4"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256C28C3" w14:textId="77777777" w:rsidR="008C5CFA" w:rsidRPr="001C4484" w:rsidRDefault="00E82A60" w:rsidP="00300A01">
            <w:pPr>
              <w:spacing w:before="0" w:after="0"/>
              <w:jc w:val="right"/>
              <w:rPr>
                <w:sz w:val="10"/>
                <w:szCs w:val="10"/>
                <w:lang w:val="fr-BE"/>
              </w:rPr>
            </w:pPr>
            <w:r w:rsidRPr="001C4484">
              <w:rPr>
                <w:noProof/>
                <w:sz w:val="10"/>
                <w:szCs w:val="10"/>
                <w:lang w:val="fr-BE"/>
              </w:rPr>
              <w:t>0,00</w:t>
            </w:r>
          </w:p>
        </w:tc>
      </w:tr>
      <w:tr w:rsidR="006B2EC1" w14:paraId="15ED2D4E" w14:textId="77777777" w:rsidTr="0047688D">
        <w:tc>
          <w:tcPr>
            <w:tcW w:w="0" w:type="auto"/>
            <w:shd w:val="clear" w:color="auto" w:fill="auto"/>
          </w:tcPr>
          <w:p w14:paraId="47CBE235" w14:textId="77777777" w:rsidR="008C5CFA" w:rsidRPr="001C4484" w:rsidRDefault="00E82A60" w:rsidP="00300A01">
            <w:pPr>
              <w:spacing w:before="0" w:after="0"/>
              <w:rPr>
                <w:sz w:val="10"/>
                <w:szCs w:val="10"/>
                <w:lang w:val="fr-BE"/>
              </w:rPr>
            </w:pPr>
            <w:r w:rsidRPr="001C4484">
              <w:rPr>
                <w:noProof/>
                <w:sz w:val="10"/>
                <w:szCs w:val="10"/>
                <w:lang w:val="fr-BE"/>
              </w:rPr>
              <w:t>CO02</w:t>
            </w:r>
          </w:p>
        </w:tc>
        <w:tc>
          <w:tcPr>
            <w:tcW w:w="0" w:type="auto"/>
            <w:shd w:val="clear" w:color="auto" w:fill="auto"/>
          </w:tcPr>
          <w:p w14:paraId="73B1E41E" w14:textId="77777777" w:rsidR="008C5CFA" w:rsidRPr="001C4484" w:rsidRDefault="00E82A60" w:rsidP="00300A01">
            <w:pPr>
              <w:spacing w:before="0" w:after="0"/>
              <w:rPr>
                <w:sz w:val="10"/>
                <w:szCs w:val="10"/>
                <w:lang w:val="fr-BE"/>
              </w:rPr>
            </w:pPr>
            <w:r w:rsidRPr="001C4484">
              <w:rPr>
                <w:noProof/>
                <w:sz w:val="10"/>
                <w:szCs w:val="10"/>
                <w:lang w:val="fr-BE"/>
              </w:rPr>
              <w:t>długotrwale bezrobotni</w:t>
            </w:r>
          </w:p>
        </w:tc>
        <w:tc>
          <w:tcPr>
            <w:tcW w:w="0" w:type="auto"/>
            <w:shd w:val="clear" w:color="auto" w:fill="auto"/>
          </w:tcPr>
          <w:p w14:paraId="0A893D13"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4DF8C437"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5B8C424D"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2ED87963" w14:textId="77777777" w:rsidR="008C5CFA" w:rsidRPr="001C4484" w:rsidRDefault="00E82A60" w:rsidP="00300A01">
            <w:pPr>
              <w:spacing w:before="0" w:after="0"/>
              <w:jc w:val="right"/>
              <w:rPr>
                <w:sz w:val="10"/>
                <w:szCs w:val="10"/>
                <w:lang w:val="fr-BE"/>
              </w:rPr>
            </w:pPr>
            <w:r w:rsidRPr="001C4484">
              <w:rPr>
                <w:noProof/>
                <w:sz w:val="10"/>
                <w:szCs w:val="10"/>
              </w:rPr>
              <w:t>0,00</w:t>
            </w:r>
          </w:p>
        </w:tc>
        <w:tc>
          <w:tcPr>
            <w:tcW w:w="0" w:type="auto"/>
          </w:tcPr>
          <w:p w14:paraId="41B596A5"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6E60FCF3"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19D4DB49" w14:textId="77777777" w:rsidR="008C5CFA" w:rsidRPr="001C4484" w:rsidRDefault="00E82A60" w:rsidP="00300A01">
            <w:pPr>
              <w:spacing w:before="0" w:after="0"/>
              <w:jc w:val="right"/>
              <w:rPr>
                <w:sz w:val="10"/>
                <w:szCs w:val="10"/>
                <w:lang w:val="fr-BE"/>
              </w:rPr>
            </w:pPr>
            <w:r w:rsidRPr="001C4484">
              <w:rPr>
                <w:noProof/>
                <w:sz w:val="10"/>
                <w:szCs w:val="10"/>
                <w:lang w:val="fr-BE"/>
              </w:rPr>
              <w:t>0,00</w:t>
            </w:r>
          </w:p>
        </w:tc>
      </w:tr>
      <w:tr w:rsidR="006B2EC1" w14:paraId="6F7ED5F5" w14:textId="77777777" w:rsidTr="0047688D">
        <w:tc>
          <w:tcPr>
            <w:tcW w:w="0" w:type="auto"/>
            <w:shd w:val="clear" w:color="auto" w:fill="auto"/>
          </w:tcPr>
          <w:p w14:paraId="46EFBC23" w14:textId="77777777" w:rsidR="008C5CFA" w:rsidRPr="001C4484" w:rsidRDefault="00E82A60" w:rsidP="00300A01">
            <w:pPr>
              <w:spacing w:before="0" w:after="0"/>
              <w:rPr>
                <w:sz w:val="10"/>
                <w:szCs w:val="10"/>
                <w:lang w:val="fr-BE"/>
              </w:rPr>
            </w:pPr>
            <w:r w:rsidRPr="001C4484">
              <w:rPr>
                <w:noProof/>
                <w:sz w:val="10"/>
                <w:szCs w:val="10"/>
                <w:lang w:val="fr-BE"/>
              </w:rPr>
              <w:t>CO03</w:t>
            </w:r>
          </w:p>
        </w:tc>
        <w:tc>
          <w:tcPr>
            <w:tcW w:w="0" w:type="auto"/>
            <w:shd w:val="clear" w:color="auto" w:fill="auto"/>
          </w:tcPr>
          <w:p w14:paraId="76116A65" w14:textId="77777777" w:rsidR="008C5CFA" w:rsidRPr="001C4484" w:rsidRDefault="00E82A60" w:rsidP="00300A01">
            <w:pPr>
              <w:spacing w:before="0" w:after="0"/>
              <w:rPr>
                <w:sz w:val="10"/>
                <w:szCs w:val="10"/>
                <w:lang w:val="fr-BE"/>
              </w:rPr>
            </w:pPr>
            <w:r w:rsidRPr="001C4484">
              <w:rPr>
                <w:noProof/>
                <w:sz w:val="10"/>
                <w:szCs w:val="10"/>
                <w:lang w:val="fr-BE"/>
              </w:rPr>
              <w:t>osoby bierne zawodowo</w:t>
            </w:r>
          </w:p>
        </w:tc>
        <w:tc>
          <w:tcPr>
            <w:tcW w:w="0" w:type="auto"/>
            <w:shd w:val="clear" w:color="auto" w:fill="auto"/>
          </w:tcPr>
          <w:p w14:paraId="152BA32C"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461F99D6"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455D9230"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31BE2769" w14:textId="77777777" w:rsidR="008C5CFA" w:rsidRPr="001C4484" w:rsidRDefault="00E82A60" w:rsidP="00300A01">
            <w:pPr>
              <w:spacing w:before="0" w:after="0"/>
              <w:jc w:val="right"/>
              <w:rPr>
                <w:sz w:val="10"/>
                <w:szCs w:val="10"/>
                <w:lang w:val="fr-BE"/>
              </w:rPr>
            </w:pPr>
            <w:r w:rsidRPr="001C4484">
              <w:rPr>
                <w:noProof/>
                <w:sz w:val="10"/>
                <w:szCs w:val="10"/>
              </w:rPr>
              <w:t>0,00</w:t>
            </w:r>
          </w:p>
        </w:tc>
        <w:tc>
          <w:tcPr>
            <w:tcW w:w="0" w:type="auto"/>
          </w:tcPr>
          <w:p w14:paraId="66FAB72A"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3B51C629"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4B2BEF0E" w14:textId="77777777" w:rsidR="008C5CFA" w:rsidRPr="001C4484" w:rsidRDefault="00E82A60" w:rsidP="00300A01">
            <w:pPr>
              <w:spacing w:before="0" w:after="0"/>
              <w:jc w:val="right"/>
              <w:rPr>
                <w:sz w:val="10"/>
                <w:szCs w:val="10"/>
                <w:lang w:val="fr-BE"/>
              </w:rPr>
            </w:pPr>
            <w:r w:rsidRPr="001C4484">
              <w:rPr>
                <w:noProof/>
                <w:sz w:val="10"/>
                <w:szCs w:val="10"/>
                <w:lang w:val="fr-BE"/>
              </w:rPr>
              <w:t>0,00</w:t>
            </w:r>
          </w:p>
        </w:tc>
      </w:tr>
      <w:tr w:rsidR="006B2EC1" w14:paraId="684B446F" w14:textId="77777777" w:rsidTr="0047688D">
        <w:tc>
          <w:tcPr>
            <w:tcW w:w="0" w:type="auto"/>
            <w:shd w:val="clear" w:color="auto" w:fill="auto"/>
          </w:tcPr>
          <w:p w14:paraId="6FE30B17" w14:textId="77777777" w:rsidR="008C5CFA" w:rsidRPr="001C4484" w:rsidRDefault="00E82A60" w:rsidP="00300A01">
            <w:pPr>
              <w:spacing w:before="0" w:after="0"/>
              <w:rPr>
                <w:sz w:val="10"/>
                <w:szCs w:val="10"/>
                <w:lang w:val="fr-BE"/>
              </w:rPr>
            </w:pPr>
            <w:r w:rsidRPr="001C4484">
              <w:rPr>
                <w:noProof/>
                <w:sz w:val="10"/>
                <w:szCs w:val="10"/>
                <w:lang w:val="fr-BE"/>
              </w:rPr>
              <w:t>CO04</w:t>
            </w:r>
          </w:p>
        </w:tc>
        <w:tc>
          <w:tcPr>
            <w:tcW w:w="0" w:type="auto"/>
            <w:shd w:val="clear" w:color="auto" w:fill="auto"/>
          </w:tcPr>
          <w:p w14:paraId="742D718E" w14:textId="77777777" w:rsidR="008C5CFA" w:rsidRPr="001C4484" w:rsidRDefault="00E82A60" w:rsidP="00300A01">
            <w:pPr>
              <w:spacing w:before="0" w:after="0"/>
              <w:rPr>
                <w:sz w:val="10"/>
                <w:szCs w:val="10"/>
                <w:lang w:val="fr-BE"/>
              </w:rPr>
            </w:pPr>
            <w:r w:rsidRPr="001C4484">
              <w:rPr>
                <w:noProof/>
                <w:sz w:val="10"/>
                <w:szCs w:val="10"/>
                <w:lang w:val="fr-BE"/>
              </w:rPr>
              <w:t>osoby bierne zawodowo, nieuczestniczące w kształceniu ani szkoleniu</w:t>
            </w:r>
          </w:p>
        </w:tc>
        <w:tc>
          <w:tcPr>
            <w:tcW w:w="0" w:type="auto"/>
            <w:shd w:val="clear" w:color="auto" w:fill="auto"/>
          </w:tcPr>
          <w:p w14:paraId="0E6A4CB3"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1F0D2919"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56EE7527"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1511478A" w14:textId="77777777" w:rsidR="008C5CFA" w:rsidRPr="001C4484" w:rsidRDefault="00E82A60" w:rsidP="00300A01">
            <w:pPr>
              <w:spacing w:before="0" w:after="0"/>
              <w:jc w:val="right"/>
              <w:rPr>
                <w:sz w:val="10"/>
                <w:szCs w:val="10"/>
                <w:lang w:val="fr-BE"/>
              </w:rPr>
            </w:pPr>
            <w:r w:rsidRPr="001C4484">
              <w:rPr>
                <w:noProof/>
                <w:sz w:val="10"/>
                <w:szCs w:val="10"/>
              </w:rPr>
              <w:t>0,00</w:t>
            </w:r>
          </w:p>
        </w:tc>
        <w:tc>
          <w:tcPr>
            <w:tcW w:w="0" w:type="auto"/>
          </w:tcPr>
          <w:p w14:paraId="52F241F6"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32D9697D"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59B0A232" w14:textId="77777777" w:rsidR="008C5CFA" w:rsidRPr="001C4484" w:rsidRDefault="00E82A60" w:rsidP="00300A01">
            <w:pPr>
              <w:spacing w:before="0" w:after="0"/>
              <w:jc w:val="right"/>
              <w:rPr>
                <w:sz w:val="10"/>
                <w:szCs w:val="10"/>
                <w:lang w:val="fr-BE"/>
              </w:rPr>
            </w:pPr>
            <w:r w:rsidRPr="001C4484">
              <w:rPr>
                <w:noProof/>
                <w:sz w:val="10"/>
                <w:szCs w:val="10"/>
                <w:lang w:val="fr-BE"/>
              </w:rPr>
              <w:t>0,00</w:t>
            </w:r>
          </w:p>
        </w:tc>
      </w:tr>
      <w:tr w:rsidR="006B2EC1" w14:paraId="1C557F22" w14:textId="77777777" w:rsidTr="0047688D">
        <w:tc>
          <w:tcPr>
            <w:tcW w:w="0" w:type="auto"/>
            <w:shd w:val="clear" w:color="auto" w:fill="auto"/>
          </w:tcPr>
          <w:p w14:paraId="2A8D4239" w14:textId="77777777" w:rsidR="008C5CFA" w:rsidRPr="001C4484" w:rsidRDefault="00E82A60" w:rsidP="00300A01">
            <w:pPr>
              <w:spacing w:before="0" w:after="0"/>
              <w:rPr>
                <w:sz w:val="10"/>
                <w:szCs w:val="10"/>
                <w:lang w:val="fr-BE"/>
              </w:rPr>
            </w:pPr>
            <w:r w:rsidRPr="001C4484">
              <w:rPr>
                <w:noProof/>
                <w:sz w:val="10"/>
                <w:szCs w:val="10"/>
                <w:lang w:val="fr-BE"/>
              </w:rPr>
              <w:lastRenderedPageBreak/>
              <w:t>CO05</w:t>
            </w:r>
          </w:p>
        </w:tc>
        <w:tc>
          <w:tcPr>
            <w:tcW w:w="0" w:type="auto"/>
            <w:shd w:val="clear" w:color="auto" w:fill="auto"/>
          </w:tcPr>
          <w:p w14:paraId="08324DC4" w14:textId="77777777" w:rsidR="008C5CFA" w:rsidRPr="001C4484" w:rsidRDefault="00E82A60" w:rsidP="00300A01">
            <w:pPr>
              <w:spacing w:before="0" w:after="0"/>
              <w:rPr>
                <w:sz w:val="10"/>
                <w:szCs w:val="10"/>
                <w:lang w:val="fr-BE"/>
              </w:rPr>
            </w:pPr>
            <w:r w:rsidRPr="001C4484">
              <w:rPr>
                <w:noProof/>
                <w:sz w:val="10"/>
                <w:szCs w:val="10"/>
                <w:lang w:val="fr-BE"/>
              </w:rPr>
              <w:t>osoby pracujące, łącznie z prowadzącymi działalność na własny rachunek</w:t>
            </w:r>
          </w:p>
        </w:tc>
        <w:tc>
          <w:tcPr>
            <w:tcW w:w="0" w:type="auto"/>
            <w:shd w:val="clear" w:color="auto" w:fill="auto"/>
          </w:tcPr>
          <w:p w14:paraId="0CDE0F81"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3E057D4A"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73A446E9"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00416058" w14:textId="77777777" w:rsidR="008C5CFA" w:rsidRPr="001C4484" w:rsidRDefault="00E82A60" w:rsidP="00300A01">
            <w:pPr>
              <w:spacing w:before="0" w:after="0"/>
              <w:jc w:val="right"/>
              <w:rPr>
                <w:sz w:val="10"/>
                <w:szCs w:val="10"/>
                <w:lang w:val="fr-BE"/>
              </w:rPr>
            </w:pPr>
            <w:r w:rsidRPr="001C4484">
              <w:rPr>
                <w:noProof/>
                <w:sz w:val="10"/>
                <w:szCs w:val="10"/>
              </w:rPr>
              <w:t>0,00</w:t>
            </w:r>
          </w:p>
        </w:tc>
        <w:tc>
          <w:tcPr>
            <w:tcW w:w="0" w:type="auto"/>
          </w:tcPr>
          <w:p w14:paraId="6719C1A5"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6226C130"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03CE4C65" w14:textId="77777777" w:rsidR="008C5CFA" w:rsidRPr="001C4484" w:rsidRDefault="00E82A60" w:rsidP="00300A01">
            <w:pPr>
              <w:spacing w:before="0" w:after="0"/>
              <w:jc w:val="right"/>
              <w:rPr>
                <w:sz w:val="10"/>
                <w:szCs w:val="10"/>
                <w:lang w:val="fr-BE"/>
              </w:rPr>
            </w:pPr>
            <w:r w:rsidRPr="001C4484">
              <w:rPr>
                <w:noProof/>
                <w:sz w:val="10"/>
                <w:szCs w:val="10"/>
                <w:lang w:val="fr-BE"/>
              </w:rPr>
              <w:t>0,00</w:t>
            </w:r>
          </w:p>
        </w:tc>
      </w:tr>
      <w:tr w:rsidR="006B2EC1" w14:paraId="13E50490" w14:textId="77777777" w:rsidTr="0047688D">
        <w:tc>
          <w:tcPr>
            <w:tcW w:w="0" w:type="auto"/>
            <w:shd w:val="clear" w:color="auto" w:fill="auto"/>
          </w:tcPr>
          <w:p w14:paraId="16FAF6EC" w14:textId="77777777" w:rsidR="008C5CFA" w:rsidRPr="001C4484" w:rsidRDefault="00E82A60" w:rsidP="00300A01">
            <w:pPr>
              <w:spacing w:before="0" w:after="0"/>
              <w:rPr>
                <w:sz w:val="10"/>
                <w:szCs w:val="10"/>
                <w:lang w:val="fr-BE"/>
              </w:rPr>
            </w:pPr>
            <w:r w:rsidRPr="001C4484">
              <w:rPr>
                <w:noProof/>
                <w:sz w:val="10"/>
                <w:szCs w:val="10"/>
                <w:lang w:val="fr-BE"/>
              </w:rPr>
              <w:t>CO06</w:t>
            </w:r>
          </w:p>
        </w:tc>
        <w:tc>
          <w:tcPr>
            <w:tcW w:w="0" w:type="auto"/>
            <w:shd w:val="clear" w:color="auto" w:fill="auto"/>
          </w:tcPr>
          <w:p w14:paraId="34DF7EB9" w14:textId="77777777" w:rsidR="008C5CFA" w:rsidRPr="001C4484" w:rsidRDefault="00E82A60" w:rsidP="00300A01">
            <w:pPr>
              <w:spacing w:before="0" w:after="0"/>
              <w:rPr>
                <w:sz w:val="10"/>
                <w:szCs w:val="10"/>
                <w:lang w:val="fr-BE"/>
              </w:rPr>
            </w:pPr>
            <w:r w:rsidRPr="001C4484">
              <w:rPr>
                <w:noProof/>
                <w:sz w:val="10"/>
                <w:szCs w:val="10"/>
                <w:lang w:val="fr-BE"/>
              </w:rPr>
              <w:t>osoby w wieku poniżej 25 lat</w:t>
            </w:r>
          </w:p>
        </w:tc>
        <w:tc>
          <w:tcPr>
            <w:tcW w:w="0" w:type="auto"/>
            <w:shd w:val="clear" w:color="auto" w:fill="auto"/>
          </w:tcPr>
          <w:p w14:paraId="7D0D4184"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00975BA5"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49A371A1"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1E4AF92B" w14:textId="77777777" w:rsidR="008C5CFA" w:rsidRPr="001C4484" w:rsidRDefault="00E82A60" w:rsidP="00300A01">
            <w:pPr>
              <w:spacing w:before="0" w:after="0"/>
              <w:jc w:val="right"/>
              <w:rPr>
                <w:sz w:val="10"/>
                <w:szCs w:val="10"/>
                <w:lang w:val="fr-BE"/>
              </w:rPr>
            </w:pPr>
            <w:r w:rsidRPr="001C4484">
              <w:rPr>
                <w:noProof/>
                <w:sz w:val="10"/>
                <w:szCs w:val="10"/>
              </w:rPr>
              <w:t>0,00</w:t>
            </w:r>
          </w:p>
        </w:tc>
        <w:tc>
          <w:tcPr>
            <w:tcW w:w="0" w:type="auto"/>
          </w:tcPr>
          <w:p w14:paraId="3D45B718"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368DF0B5"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7E581330" w14:textId="77777777" w:rsidR="008C5CFA" w:rsidRPr="001C4484" w:rsidRDefault="00E82A60" w:rsidP="00300A01">
            <w:pPr>
              <w:spacing w:before="0" w:after="0"/>
              <w:jc w:val="right"/>
              <w:rPr>
                <w:sz w:val="10"/>
                <w:szCs w:val="10"/>
                <w:lang w:val="fr-BE"/>
              </w:rPr>
            </w:pPr>
            <w:r w:rsidRPr="001C4484">
              <w:rPr>
                <w:noProof/>
                <w:sz w:val="10"/>
                <w:szCs w:val="10"/>
                <w:lang w:val="fr-BE"/>
              </w:rPr>
              <w:t>0,00</w:t>
            </w:r>
          </w:p>
        </w:tc>
      </w:tr>
      <w:tr w:rsidR="006B2EC1" w14:paraId="7378B101" w14:textId="77777777" w:rsidTr="0047688D">
        <w:tc>
          <w:tcPr>
            <w:tcW w:w="0" w:type="auto"/>
            <w:shd w:val="clear" w:color="auto" w:fill="auto"/>
          </w:tcPr>
          <w:p w14:paraId="53ECBFFC" w14:textId="77777777" w:rsidR="008C5CFA" w:rsidRPr="001C4484" w:rsidRDefault="00E82A60" w:rsidP="00300A01">
            <w:pPr>
              <w:spacing w:before="0" w:after="0"/>
              <w:rPr>
                <w:sz w:val="10"/>
                <w:szCs w:val="10"/>
                <w:lang w:val="fr-BE"/>
              </w:rPr>
            </w:pPr>
            <w:r w:rsidRPr="001C4484">
              <w:rPr>
                <w:noProof/>
                <w:sz w:val="10"/>
                <w:szCs w:val="10"/>
                <w:lang w:val="fr-BE"/>
              </w:rPr>
              <w:t>CO07</w:t>
            </w:r>
          </w:p>
        </w:tc>
        <w:tc>
          <w:tcPr>
            <w:tcW w:w="0" w:type="auto"/>
            <w:shd w:val="clear" w:color="auto" w:fill="auto"/>
          </w:tcPr>
          <w:p w14:paraId="3C8DFED0" w14:textId="77777777" w:rsidR="008C5CFA" w:rsidRPr="001C4484" w:rsidRDefault="00E82A60" w:rsidP="00300A01">
            <w:pPr>
              <w:spacing w:before="0" w:after="0"/>
              <w:rPr>
                <w:sz w:val="10"/>
                <w:szCs w:val="10"/>
                <w:lang w:val="fr-BE"/>
              </w:rPr>
            </w:pPr>
            <w:r w:rsidRPr="001C4484">
              <w:rPr>
                <w:noProof/>
                <w:sz w:val="10"/>
                <w:szCs w:val="10"/>
                <w:lang w:val="fr-BE"/>
              </w:rPr>
              <w:t>osoby w wieku powyżej 54 lat</w:t>
            </w:r>
          </w:p>
        </w:tc>
        <w:tc>
          <w:tcPr>
            <w:tcW w:w="0" w:type="auto"/>
            <w:shd w:val="clear" w:color="auto" w:fill="auto"/>
          </w:tcPr>
          <w:p w14:paraId="2E754A5B"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64B241E6"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25970147"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2D18C9C6" w14:textId="77777777" w:rsidR="008C5CFA" w:rsidRPr="001C4484" w:rsidRDefault="00E82A60" w:rsidP="00300A01">
            <w:pPr>
              <w:spacing w:before="0" w:after="0"/>
              <w:jc w:val="right"/>
              <w:rPr>
                <w:sz w:val="10"/>
                <w:szCs w:val="10"/>
                <w:lang w:val="fr-BE"/>
              </w:rPr>
            </w:pPr>
            <w:r w:rsidRPr="001C4484">
              <w:rPr>
                <w:noProof/>
                <w:sz w:val="10"/>
                <w:szCs w:val="10"/>
              </w:rPr>
              <w:t>0,00</w:t>
            </w:r>
          </w:p>
        </w:tc>
        <w:tc>
          <w:tcPr>
            <w:tcW w:w="0" w:type="auto"/>
          </w:tcPr>
          <w:p w14:paraId="2B0187A0"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74BCBEAB"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07EB9325" w14:textId="77777777" w:rsidR="008C5CFA" w:rsidRPr="001C4484" w:rsidRDefault="00E82A60" w:rsidP="00300A01">
            <w:pPr>
              <w:spacing w:before="0" w:after="0"/>
              <w:jc w:val="right"/>
              <w:rPr>
                <w:sz w:val="10"/>
                <w:szCs w:val="10"/>
                <w:lang w:val="fr-BE"/>
              </w:rPr>
            </w:pPr>
            <w:r w:rsidRPr="001C4484">
              <w:rPr>
                <w:noProof/>
                <w:sz w:val="10"/>
                <w:szCs w:val="10"/>
                <w:lang w:val="fr-BE"/>
              </w:rPr>
              <w:t>0,00</w:t>
            </w:r>
          </w:p>
        </w:tc>
      </w:tr>
      <w:tr w:rsidR="006B2EC1" w14:paraId="649E56A6" w14:textId="77777777" w:rsidTr="0047688D">
        <w:tc>
          <w:tcPr>
            <w:tcW w:w="0" w:type="auto"/>
            <w:shd w:val="clear" w:color="auto" w:fill="auto"/>
          </w:tcPr>
          <w:p w14:paraId="782B66E6" w14:textId="77777777" w:rsidR="008C5CFA" w:rsidRPr="001C4484" w:rsidRDefault="00E82A60" w:rsidP="00300A01">
            <w:pPr>
              <w:spacing w:before="0" w:after="0"/>
              <w:rPr>
                <w:sz w:val="10"/>
                <w:szCs w:val="10"/>
                <w:lang w:val="fr-BE"/>
              </w:rPr>
            </w:pPr>
            <w:r w:rsidRPr="001C4484">
              <w:rPr>
                <w:noProof/>
                <w:sz w:val="10"/>
                <w:szCs w:val="10"/>
                <w:lang w:val="fr-BE"/>
              </w:rPr>
              <w:t>CO08</w:t>
            </w:r>
          </w:p>
        </w:tc>
        <w:tc>
          <w:tcPr>
            <w:tcW w:w="0" w:type="auto"/>
            <w:shd w:val="clear" w:color="auto" w:fill="auto"/>
          </w:tcPr>
          <w:p w14:paraId="3417895B" w14:textId="77777777" w:rsidR="008C5CFA" w:rsidRPr="001C4484" w:rsidRDefault="00E82A60" w:rsidP="00300A01">
            <w:pPr>
              <w:spacing w:before="0" w:after="0"/>
              <w:rPr>
                <w:sz w:val="10"/>
                <w:szCs w:val="10"/>
                <w:lang w:val="fr-BE"/>
              </w:rPr>
            </w:pPr>
            <w:r w:rsidRPr="001C4484">
              <w:rPr>
                <w:noProof/>
                <w:sz w:val="10"/>
                <w:szCs w:val="10"/>
                <w:lang w:val="fr-BE"/>
              </w:rPr>
              <w:t>osoby powyżej 54 lat, które są bezrobotne, łącznie z długotrwale bezrobotnymi, lub są bierne zawodowo i nie uczestniczą w kształceniu ani szkoleniu</w:t>
            </w:r>
          </w:p>
        </w:tc>
        <w:tc>
          <w:tcPr>
            <w:tcW w:w="0" w:type="auto"/>
            <w:shd w:val="clear" w:color="auto" w:fill="auto"/>
          </w:tcPr>
          <w:p w14:paraId="05FD2F05"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5D0186D1"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1E9DDC04"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290E41FF" w14:textId="77777777" w:rsidR="008C5CFA" w:rsidRPr="001C4484" w:rsidRDefault="00E82A60" w:rsidP="00300A01">
            <w:pPr>
              <w:spacing w:before="0" w:after="0"/>
              <w:jc w:val="right"/>
              <w:rPr>
                <w:sz w:val="10"/>
                <w:szCs w:val="10"/>
                <w:lang w:val="fr-BE"/>
              </w:rPr>
            </w:pPr>
            <w:r w:rsidRPr="001C4484">
              <w:rPr>
                <w:noProof/>
                <w:sz w:val="10"/>
                <w:szCs w:val="10"/>
              </w:rPr>
              <w:t>0,00</w:t>
            </w:r>
          </w:p>
        </w:tc>
        <w:tc>
          <w:tcPr>
            <w:tcW w:w="0" w:type="auto"/>
          </w:tcPr>
          <w:p w14:paraId="2306A47D"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50E10283"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632A30C8" w14:textId="77777777" w:rsidR="008C5CFA" w:rsidRPr="001C4484" w:rsidRDefault="00E82A60" w:rsidP="00300A01">
            <w:pPr>
              <w:spacing w:before="0" w:after="0"/>
              <w:jc w:val="right"/>
              <w:rPr>
                <w:sz w:val="10"/>
                <w:szCs w:val="10"/>
                <w:lang w:val="fr-BE"/>
              </w:rPr>
            </w:pPr>
            <w:r w:rsidRPr="001C4484">
              <w:rPr>
                <w:noProof/>
                <w:sz w:val="10"/>
                <w:szCs w:val="10"/>
                <w:lang w:val="fr-BE"/>
              </w:rPr>
              <w:t>0,00</w:t>
            </w:r>
          </w:p>
        </w:tc>
      </w:tr>
      <w:tr w:rsidR="006B2EC1" w14:paraId="5007A494" w14:textId="77777777" w:rsidTr="0047688D">
        <w:tc>
          <w:tcPr>
            <w:tcW w:w="0" w:type="auto"/>
            <w:shd w:val="clear" w:color="auto" w:fill="auto"/>
          </w:tcPr>
          <w:p w14:paraId="296F1106" w14:textId="77777777" w:rsidR="008C5CFA" w:rsidRPr="001C4484" w:rsidRDefault="00E82A60" w:rsidP="00300A01">
            <w:pPr>
              <w:spacing w:before="0" w:after="0"/>
              <w:rPr>
                <w:sz w:val="10"/>
                <w:szCs w:val="10"/>
                <w:lang w:val="fr-BE"/>
              </w:rPr>
            </w:pPr>
            <w:r w:rsidRPr="001C4484">
              <w:rPr>
                <w:noProof/>
                <w:sz w:val="10"/>
                <w:szCs w:val="10"/>
                <w:lang w:val="fr-BE"/>
              </w:rPr>
              <w:t>CO09</w:t>
            </w:r>
          </w:p>
        </w:tc>
        <w:tc>
          <w:tcPr>
            <w:tcW w:w="0" w:type="auto"/>
            <w:shd w:val="clear" w:color="auto" w:fill="auto"/>
          </w:tcPr>
          <w:p w14:paraId="24ECCA2E" w14:textId="77777777" w:rsidR="008C5CFA" w:rsidRPr="001C4484" w:rsidRDefault="00E82A60" w:rsidP="00300A01">
            <w:pPr>
              <w:spacing w:before="0" w:after="0"/>
              <w:rPr>
                <w:sz w:val="10"/>
                <w:szCs w:val="10"/>
                <w:lang w:val="fr-BE"/>
              </w:rPr>
            </w:pPr>
            <w:r w:rsidRPr="001C4484">
              <w:rPr>
                <w:noProof/>
                <w:sz w:val="10"/>
                <w:szCs w:val="10"/>
                <w:lang w:val="fr-BE"/>
              </w:rPr>
              <w:t>osoby z wykształceniem podstawowym (ISCED 1) lub średnim I stopnia (ISCED 2)</w:t>
            </w:r>
          </w:p>
        </w:tc>
        <w:tc>
          <w:tcPr>
            <w:tcW w:w="0" w:type="auto"/>
            <w:shd w:val="clear" w:color="auto" w:fill="auto"/>
          </w:tcPr>
          <w:p w14:paraId="2B1506A0"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60ABFFA4"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417B1669"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2A17A033" w14:textId="77777777" w:rsidR="008C5CFA" w:rsidRPr="001C4484" w:rsidRDefault="00E82A60" w:rsidP="00300A01">
            <w:pPr>
              <w:spacing w:before="0" w:after="0"/>
              <w:jc w:val="right"/>
              <w:rPr>
                <w:sz w:val="10"/>
                <w:szCs w:val="10"/>
                <w:lang w:val="fr-BE"/>
              </w:rPr>
            </w:pPr>
            <w:r w:rsidRPr="001C4484">
              <w:rPr>
                <w:noProof/>
                <w:sz w:val="10"/>
                <w:szCs w:val="10"/>
              </w:rPr>
              <w:t>0,00</w:t>
            </w:r>
          </w:p>
        </w:tc>
        <w:tc>
          <w:tcPr>
            <w:tcW w:w="0" w:type="auto"/>
          </w:tcPr>
          <w:p w14:paraId="67698723"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567235E9"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768B1092" w14:textId="77777777" w:rsidR="008C5CFA" w:rsidRPr="001C4484" w:rsidRDefault="00E82A60" w:rsidP="00300A01">
            <w:pPr>
              <w:spacing w:before="0" w:after="0"/>
              <w:jc w:val="right"/>
              <w:rPr>
                <w:sz w:val="10"/>
                <w:szCs w:val="10"/>
                <w:lang w:val="fr-BE"/>
              </w:rPr>
            </w:pPr>
            <w:r w:rsidRPr="001C4484">
              <w:rPr>
                <w:noProof/>
                <w:sz w:val="10"/>
                <w:szCs w:val="10"/>
                <w:lang w:val="fr-BE"/>
              </w:rPr>
              <w:t>0,00</w:t>
            </w:r>
          </w:p>
        </w:tc>
      </w:tr>
      <w:tr w:rsidR="006B2EC1" w14:paraId="5F4C3800" w14:textId="77777777" w:rsidTr="0047688D">
        <w:tc>
          <w:tcPr>
            <w:tcW w:w="0" w:type="auto"/>
            <w:shd w:val="clear" w:color="auto" w:fill="auto"/>
          </w:tcPr>
          <w:p w14:paraId="50419F33" w14:textId="77777777" w:rsidR="008C5CFA" w:rsidRPr="001C4484" w:rsidRDefault="00E82A60" w:rsidP="00300A01">
            <w:pPr>
              <w:spacing w:before="0" w:after="0"/>
              <w:rPr>
                <w:sz w:val="10"/>
                <w:szCs w:val="10"/>
                <w:lang w:val="fr-BE"/>
              </w:rPr>
            </w:pPr>
            <w:r w:rsidRPr="001C4484">
              <w:rPr>
                <w:noProof/>
                <w:sz w:val="10"/>
                <w:szCs w:val="10"/>
                <w:lang w:val="fr-BE"/>
              </w:rPr>
              <w:t>CO10</w:t>
            </w:r>
          </w:p>
        </w:tc>
        <w:tc>
          <w:tcPr>
            <w:tcW w:w="0" w:type="auto"/>
            <w:shd w:val="clear" w:color="auto" w:fill="auto"/>
          </w:tcPr>
          <w:p w14:paraId="008554C7" w14:textId="77777777" w:rsidR="008C5CFA" w:rsidRPr="001C4484" w:rsidRDefault="00E82A60" w:rsidP="00300A01">
            <w:pPr>
              <w:spacing w:before="0" w:after="0"/>
              <w:rPr>
                <w:sz w:val="10"/>
                <w:szCs w:val="10"/>
                <w:lang w:val="fr-BE"/>
              </w:rPr>
            </w:pPr>
            <w:r w:rsidRPr="001C4484">
              <w:rPr>
                <w:noProof/>
                <w:sz w:val="10"/>
                <w:szCs w:val="10"/>
                <w:lang w:val="fr-BE"/>
              </w:rPr>
              <w:t>osoby z wykształceniem średnim II stopnia (ISCED 3) lub policealnym (ISCED 4)</w:t>
            </w:r>
          </w:p>
        </w:tc>
        <w:tc>
          <w:tcPr>
            <w:tcW w:w="0" w:type="auto"/>
            <w:shd w:val="clear" w:color="auto" w:fill="auto"/>
          </w:tcPr>
          <w:p w14:paraId="16120354"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4C16675C"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12882275"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0B9E9F33" w14:textId="77777777" w:rsidR="008C5CFA" w:rsidRPr="001C4484" w:rsidRDefault="00E82A60" w:rsidP="00300A01">
            <w:pPr>
              <w:spacing w:before="0" w:after="0"/>
              <w:jc w:val="right"/>
              <w:rPr>
                <w:sz w:val="10"/>
                <w:szCs w:val="10"/>
                <w:lang w:val="fr-BE"/>
              </w:rPr>
            </w:pPr>
            <w:r w:rsidRPr="001C4484">
              <w:rPr>
                <w:noProof/>
                <w:sz w:val="10"/>
                <w:szCs w:val="10"/>
              </w:rPr>
              <w:t>0,00</w:t>
            </w:r>
          </w:p>
        </w:tc>
        <w:tc>
          <w:tcPr>
            <w:tcW w:w="0" w:type="auto"/>
          </w:tcPr>
          <w:p w14:paraId="5F4E1FF2"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532C7E80"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6CFDCA71" w14:textId="77777777" w:rsidR="008C5CFA" w:rsidRPr="001C4484" w:rsidRDefault="00E82A60" w:rsidP="00300A01">
            <w:pPr>
              <w:spacing w:before="0" w:after="0"/>
              <w:jc w:val="right"/>
              <w:rPr>
                <w:sz w:val="10"/>
                <w:szCs w:val="10"/>
                <w:lang w:val="fr-BE"/>
              </w:rPr>
            </w:pPr>
            <w:r w:rsidRPr="001C4484">
              <w:rPr>
                <w:noProof/>
                <w:sz w:val="10"/>
                <w:szCs w:val="10"/>
                <w:lang w:val="fr-BE"/>
              </w:rPr>
              <w:t>0,00</w:t>
            </w:r>
          </w:p>
        </w:tc>
      </w:tr>
      <w:tr w:rsidR="006B2EC1" w14:paraId="46C8BF61" w14:textId="77777777" w:rsidTr="0047688D">
        <w:tc>
          <w:tcPr>
            <w:tcW w:w="0" w:type="auto"/>
            <w:shd w:val="clear" w:color="auto" w:fill="auto"/>
          </w:tcPr>
          <w:p w14:paraId="0A0D4805" w14:textId="77777777" w:rsidR="008C5CFA" w:rsidRPr="001C4484" w:rsidRDefault="00E82A60" w:rsidP="00300A01">
            <w:pPr>
              <w:spacing w:before="0" w:after="0"/>
              <w:rPr>
                <w:sz w:val="10"/>
                <w:szCs w:val="10"/>
                <w:lang w:val="fr-BE"/>
              </w:rPr>
            </w:pPr>
            <w:r w:rsidRPr="001C4484">
              <w:rPr>
                <w:noProof/>
                <w:sz w:val="10"/>
                <w:szCs w:val="10"/>
                <w:lang w:val="fr-BE"/>
              </w:rPr>
              <w:t>CO11</w:t>
            </w:r>
          </w:p>
        </w:tc>
        <w:tc>
          <w:tcPr>
            <w:tcW w:w="0" w:type="auto"/>
            <w:shd w:val="clear" w:color="auto" w:fill="auto"/>
          </w:tcPr>
          <w:p w14:paraId="3A90B07F" w14:textId="77777777" w:rsidR="008C5CFA" w:rsidRPr="001C4484" w:rsidRDefault="00E82A60" w:rsidP="00300A01">
            <w:pPr>
              <w:spacing w:before="0" w:after="0"/>
              <w:rPr>
                <w:sz w:val="10"/>
                <w:szCs w:val="10"/>
                <w:lang w:val="fr-BE"/>
              </w:rPr>
            </w:pPr>
            <w:r w:rsidRPr="001C4484">
              <w:rPr>
                <w:noProof/>
                <w:sz w:val="10"/>
                <w:szCs w:val="10"/>
                <w:lang w:val="fr-BE"/>
              </w:rPr>
              <w:t>osoby z wykształceniem wyższym (ISCED 5 do 8)</w:t>
            </w:r>
          </w:p>
        </w:tc>
        <w:tc>
          <w:tcPr>
            <w:tcW w:w="0" w:type="auto"/>
            <w:shd w:val="clear" w:color="auto" w:fill="auto"/>
          </w:tcPr>
          <w:p w14:paraId="5BCFD951"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4FD0E8D1"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1C808573"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098C595C" w14:textId="77777777" w:rsidR="008C5CFA" w:rsidRPr="001C4484" w:rsidRDefault="00E82A60" w:rsidP="00300A01">
            <w:pPr>
              <w:spacing w:before="0" w:after="0"/>
              <w:jc w:val="right"/>
              <w:rPr>
                <w:sz w:val="10"/>
                <w:szCs w:val="10"/>
                <w:lang w:val="fr-BE"/>
              </w:rPr>
            </w:pPr>
            <w:r w:rsidRPr="001C4484">
              <w:rPr>
                <w:noProof/>
                <w:sz w:val="10"/>
                <w:szCs w:val="10"/>
              </w:rPr>
              <w:t>0,00</w:t>
            </w:r>
          </w:p>
        </w:tc>
        <w:tc>
          <w:tcPr>
            <w:tcW w:w="0" w:type="auto"/>
          </w:tcPr>
          <w:p w14:paraId="684CC3F5"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64068E47"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6A8D38CB" w14:textId="77777777" w:rsidR="008C5CFA" w:rsidRPr="001C4484" w:rsidRDefault="00E82A60" w:rsidP="00300A01">
            <w:pPr>
              <w:spacing w:before="0" w:after="0"/>
              <w:jc w:val="right"/>
              <w:rPr>
                <w:sz w:val="10"/>
                <w:szCs w:val="10"/>
                <w:lang w:val="fr-BE"/>
              </w:rPr>
            </w:pPr>
            <w:r w:rsidRPr="001C4484">
              <w:rPr>
                <w:noProof/>
                <w:sz w:val="10"/>
                <w:szCs w:val="10"/>
                <w:lang w:val="fr-BE"/>
              </w:rPr>
              <w:t>0,00</w:t>
            </w:r>
          </w:p>
        </w:tc>
      </w:tr>
      <w:tr w:rsidR="006B2EC1" w14:paraId="2D071D22" w14:textId="77777777" w:rsidTr="0047688D">
        <w:tc>
          <w:tcPr>
            <w:tcW w:w="0" w:type="auto"/>
            <w:shd w:val="clear" w:color="auto" w:fill="auto"/>
          </w:tcPr>
          <w:p w14:paraId="1E62BAD7" w14:textId="77777777" w:rsidR="008C5CFA" w:rsidRPr="001C4484" w:rsidRDefault="00E82A60" w:rsidP="00300A01">
            <w:pPr>
              <w:spacing w:before="0" w:after="0"/>
              <w:rPr>
                <w:sz w:val="10"/>
                <w:szCs w:val="10"/>
                <w:lang w:val="fr-BE"/>
              </w:rPr>
            </w:pPr>
            <w:r w:rsidRPr="001C4484">
              <w:rPr>
                <w:noProof/>
                <w:sz w:val="10"/>
                <w:szCs w:val="10"/>
                <w:lang w:val="fr-BE"/>
              </w:rPr>
              <w:t>CO15</w:t>
            </w:r>
          </w:p>
        </w:tc>
        <w:tc>
          <w:tcPr>
            <w:tcW w:w="0" w:type="auto"/>
            <w:shd w:val="clear" w:color="auto" w:fill="auto"/>
          </w:tcPr>
          <w:p w14:paraId="4CA69256" w14:textId="77777777" w:rsidR="008C5CFA" w:rsidRPr="001C4484" w:rsidRDefault="00E82A60" w:rsidP="00300A01">
            <w:pPr>
              <w:spacing w:before="0" w:after="0"/>
              <w:rPr>
                <w:sz w:val="10"/>
                <w:szCs w:val="10"/>
                <w:lang w:val="fr-BE"/>
              </w:rPr>
            </w:pPr>
            <w:r w:rsidRPr="001C4484">
              <w:rPr>
                <w:noProof/>
                <w:sz w:val="10"/>
                <w:szCs w:val="10"/>
                <w:lang w:val="fr-BE"/>
              </w:rPr>
              <w:t>migranci, uczestnicy obcego pochodzenia, mniejszości (w tym społeczności marginalizowane, takie jak Romowie)</w:t>
            </w:r>
          </w:p>
        </w:tc>
        <w:tc>
          <w:tcPr>
            <w:tcW w:w="0" w:type="auto"/>
            <w:shd w:val="clear" w:color="auto" w:fill="auto"/>
          </w:tcPr>
          <w:p w14:paraId="2D48CAFB"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5C9FBB93"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76EBDFAC"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51F0D18E" w14:textId="77777777" w:rsidR="008C5CFA" w:rsidRPr="001C4484" w:rsidRDefault="00E82A60" w:rsidP="00300A01">
            <w:pPr>
              <w:spacing w:before="0" w:after="0"/>
              <w:jc w:val="right"/>
              <w:rPr>
                <w:sz w:val="10"/>
                <w:szCs w:val="10"/>
                <w:lang w:val="fr-BE"/>
              </w:rPr>
            </w:pPr>
            <w:r w:rsidRPr="001C4484">
              <w:rPr>
                <w:noProof/>
                <w:sz w:val="10"/>
                <w:szCs w:val="10"/>
              </w:rPr>
              <w:t>0,00</w:t>
            </w:r>
          </w:p>
        </w:tc>
        <w:tc>
          <w:tcPr>
            <w:tcW w:w="0" w:type="auto"/>
          </w:tcPr>
          <w:p w14:paraId="1EA40908"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15FB4695"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63CF9154" w14:textId="77777777" w:rsidR="008C5CFA" w:rsidRPr="001C4484" w:rsidRDefault="00E82A60" w:rsidP="00300A01">
            <w:pPr>
              <w:spacing w:before="0" w:after="0"/>
              <w:jc w:val="right"/>
              <w:rPr>
                <w:sz w:val="10"/>
                <w:szCs w:val="10"/>
                <w:lang w:val="fr-BE"/>
              </w:rPr>
            </w:pPr>
            <w:r w:rsidRPr="001C4484">
              <w:rPr>
                <w:noProof/>
                <w:sz w:val="10"/>
                <w:szCs w:val="10"/>
                <w:lang w:val="fr-BE"/>
              </w:rPr>
              <w:t>0,00</w:t>
            </w:r>
          </w:p>
        </w:tc>
      </w:tr>
      <w:tr w:rsidR="006B2EC1" w14:paraId="21724B8D" w14:textId="77777777" w:rsidTr="0047688D">
        <w:tc>
          <w:tcPr>
            <w:tcW w:w="0" w:type="auto"/>
            <w:shd w:val="clear" w:color="auto" w:fill="auto"/>
          </w:tcPr>
          <w:p w14:paraId="04F55E1F" w14:textId="77777777" w:rsidR="008C5CFA" w:rsidRPr="001C4484" w:rsidRDefault="00E82A60" w:rsidP="00300A01">
            <w:pPr>
              <w:spacing w:before="0" w:after="0"/>
              <w:rPr>
                <w:sz w:val="10"/>
                <w:szCs w:val="10"/>
                <w:lang w:val="fr-BE"/>
              </w:rPr>
            </w:pPr>
            <w:r w:rsidRPr="001C4484">
              <w:rPr>
                <w:noProof/>
                <w:sz w:val="10"/>
                <w:szCs w:val="10"/>
                <w:lang w:val="fr-BE"/>
              </w:rPr>
              <w:t>CO16</w:t>
            </w:r>
          </w:p>
        </w:tc>
        <w:tc>
          <w:tcPr>
            <w:tcW w:w="0" w:type="auto"/>
            <w:shd w:val="clear" w:color="auto" w:fill="auto"/>
          </w:tcPr>
          <w:p w14:paraId="54288AA6" w14:textId="77777777" w:rsidR="008C5CFA" w:rsidRPr="001C4484" w:rsidRDefault="00E82A60" w:rsidP="00300A01">
            <w:pPr>
              <w:spacing w:before="0" w:after="0"/>
              <w:rPr>
                <w:sz w:val="10"/>
                <w:szCs w:val="10"/>
                <w:lang w:val="fr-BE"/>
              </w:rPr>
            </w:pPr>
            <w:r w:rsidRPr="001C4484">
              <w:rPr>
                <w:noProof/>
                <w:sz w:val="10"/>
                <w:szCs w:val="10"/>
                <w:lang w:val="fr-BE"/>
              </w:rPr>
              <w:t>uczestnicy z niepełnosprawnościami</w:t>
            </w:r>
          </w:p>
        </w:tc>
        <w:tc>
          <w:tcPr>
            <w:tcW w:w="0" w:type="auto"/>
            <w:shd w:val="clear" w:color="auto" w:fill="auto"/>
          </w:tcPr>
          <w:p w14:paraId="325BF5C5"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0CF05CE3"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7C282D87"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2C6795AC" w14:textId="77777777" w:rsidR="008C5CFA" w:rsidRPr="001C4484" w:rsidRDefault="00E82A60" w:rsidP="00300A01">
            <w:pPr>
              <w:spacing w:before="0" w:after="0"/>
              <w:jc w:val="right"/>
              <w:rPr>
                <w:sz w:val="10"/>
                <w:szCs w:val="10"/>
                <w:lang w:val="fr-BE"/>
              </w:rPr>
            </w:pPr>
            <w:r w:rsidRPr="001C4484">
              <w:rPr>
                <w:noProof/>
                <w:sz w:val="10"/>
                <w:szCs w:val="10"/>
              </w:rPr>
              <w:t>0,00</w:t>
            </w:r>
          </w:p>
        </w:tc>
        <w:tc>
          <w:tcPr>
            <w:tcW w:w="0" w:type="auto"/>
          </w:tcPr>
          <w:p w14:paraId="1CE5A441"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30DB1101"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5F282077" w14:textId="77777777" w:rsidR="008C5CFA" w:rsidRPr="001C4484" w:rsidRDefault="00E82A60" w:rsidP="00300A01">
            <w:pPr>
              <w:spacing w:before="0" w:after="0"/>
              <w:jc w:val="right"/>
              <w:rPr>
                <w:sz w:val="10"/>
                <w:szCs w:val="10"/>
                <w:lang w:val="fr-BE"/>
              </w:rPr>
            </w:pPr>
            <w:r w:rsidRPr="001C4484">
              <w:rPr>
                <w:noProof/>
                <w:sz w:val="10"/>
                <w:szCs w:val="10"/>
                <w:lang w:val="fr-BE"/>
              </w:rPr>
              <w:t>0,00</w:t>
            </w:r>
          </w:p>
        </w:tc>
      </w:tr>
      <w:tr w:rsidR="006B2EC1" w14:paraId="33D68EEF" w14:textId="77777777" w:rsidTr="0047688D">
        <w:tc>
          <w:tcPr>
            <w:tcW w:w="0" w:type="auto"/>
            <w:shd w:val="clear" w:color="auto" w:fill="auto"/>
          </w:tcPr>
          <w:p w14:paraId="38C91D4A" w14:textId="77777777" w:rsidR="008C5CFA" w:rsidRPr="001C4484" w:rsidRDefault="00E82A60" w:rsidP="00300A01">
            <w:pPr>
              <w:spacing w:before="0" w:after="0"/>
              <w:rPr>
                <w:sz w:val="10"/>
                <w:szCs w:val="10"/>
                <w:lang w:val="fr-BE"/>
              </w:rPr>
            </w:pPr>
            <w:r w:rsidRPr="001C4484">
              <w:rPr>
                <w:noProof/>
                <w:sz w:val="10"/>
                <w:szCs w:val="10"/>
                <w:lang w:val="fr-BE"/>
              </w:rPr>
              <w:t>CO17</w:t>
            </w:r>
          </w:p>
        </w:tc>
        <w:tc>
          <w:tcPr>
            <w:tcW w:w="0" w:type="auto"/>
            <w:shd w:val="clear" w:color="auto" w:fill="auto"/>
          </w:tcPr>
          <w:p w14:paraId="16757B26" w14:textId="77777777" w:rsidR="008C5CFA" w:rsidRPr="001C4484" w:rsidRDefault="00E82A60" w:rsidP="00300A01">
            <w:pPr>
              <w:spacing w:before="0" w:after="0"/>
              <w:rPr>
                <w:sz w:val="10"/>
                <w:szCs w:val="10"/>
                <w:lang w:val="fr-BE"/>
              </w:rPr>
            </w:pPr>
            <w:r w:rsidRPr="001C4484">
              <w:rPr>
                <w:noProof/>
                <w:sz w:val="10"/>
                <w:szCs w:val="10"/>
                <w:lang w:val="fr-BE"/>
              </w:rPr>
              <w:t>inne osoby w niekorzystnej sytuacji społecznej</w:t>
            </w:r>
          </w:p>
        </w:tc>
        <w:tc>
          <w:tcPr>
            <w:tcW w:w="0" w:type="auto"/>
            <w:shd w:val="clear" w:color="auto" w:fill="auto"/>
          </w:tcPr>
          <w:p w14:paraId="34021D6C"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502F900D"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4BB61811"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23C619BF" w14:textId="77777777" w:rsidR="008C5CFA" w:rsidRPr="001C4484" w:rsidRDefault="00E82A60" w:rsidP="00300A01">
            <w:pPr>
              <w:spacing w:before="0" w:after="0"/>
              <w:jc w:val="right"/>
              <w:rPr>
                <w:sz w:val="10"/>
                <w:szCs w:val="10"/>
                <w:lang w:val="fr-BE"/>
              </w:rPr>
            </w:pPr>
            <w:r w:rsidRPr="001C4484">
              <w:rPr>
                <w:noProof/>
                <w:sz w:val="10"/>
                <w:szCs w:val="10"/>
              </w:rPr>
              <w:t>0,00</w:t>
            </w:r>
          </w:p>
        </w:tc>
        <w:tc>
          <w:tcPr>
            <w:tcW w:w="0" w:type="auto"/>
          </w:tcPr>
          <w:p w14:paraId="01D67880"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1BD97E40"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01CD1621" w14:textId="77777777" w:rsidR="008C5CFA" w:rsidRPr="001C4484" w:rsidRDefault="00E82A60" w:rsidP="00300A01">
            <w:pPr>
              <w:spacing w:before="0" w:after="0"/>
              <w:jc w:val="right"/>
              <w:rPr>
                <w:sz w:val="10"/>
                <w:szCs w:val="10"/>
                <w:lang w:val="fr-BE"/>
              </w:rPr>
            </w:pPr>
            <w:r w:rsidRPr="001C4484">
              <w:rPr>
                <w:noProof/>
                <w:sz w:val="10"/>
                <w:szCs w:val="10"/>
                <w:lang w:val="fr-BE"/>
              </w:rPr>
              <w:t>0,00</w:t>
            </w:r>
          </w:p>
        </w:tc>
      </w:tr>
      <w:tr w:rsidR="006B2EC1" w14:paraId="3EF09BE5" w14:textId="77777777" w:rsidTr="0047688D">
        <w:tc>
          <w:tcPr>
            <w:tcW w:w="0" w:type="auto"/>
            <w:shd w:val="clear" w:color="auto" w:fill="auto"/>
          </w:tcPr>
          <w:p w14:paraId="49364157" w14:textId="77777777" w:rsidR="008C5CFA" w:rsidRPr="001C4484" w:rsidRDefault="00E82A60" w:rsidP="00300A01">
            <w:pPr>
              <w:spacing w:before="0" w:after="0"/>
              <w:rPr>
                <w:sz w:val="10"/>
                <w:szCs w:val="10"/>
                <w:lang w:val="fr-BE"/>
              </w:rPr>
            </w:pPr>
            <w:r w:rsidRPr="001C4484">
              <w:rPr>
                <w:noProof/>
                <w:sz w:val="10"/>
                <w:szCs w:val="10"/>
                <w:lang w:val="fr-BE"/>
              </w:rPr>
              <w:t>CO18</w:t>
            </w:r>
          </w:p>
        </w:tc>
        <w:tc>
          <w:tcPr>
            <w:tcW w:w="0" w:type="auto"/>
            <w:shd w:val="clear" w:color="auto" w:fill="auto"/>
          </w:tcPr>
          <w:p w14:paraId="41758145" w14:textId="77777777" w:rsidR="008C5CFA" w:rsidRPr="001C4484" w:rsidRDefault="00E82A60" w:rsidP="00300A01">
            <w:pPr>
              <w:spacing w:before="0" w:after="0"/>
              <w:rPr>
                <w:sz w:val="10"/>
                <w:szCs w:val="10"/>
                <w:lang w:val="fr-BE"/>
              </w:rPr>
            </w:pPr>
            <w:r w:rsidRPr="001C4484">
              <w:rPr>
                <w:noProof/>
                <w:sz w:val="10"/>
                <w:szCs w:val="10"/>
                <w:lang w:val="fr-BE"/>
              </w:rPr>
              <w:t>osoby bezdomne lub dotknięte wykluczeniem z dostępu do mieszkań</w:t>
            </w:r>
          </w:p>
        </w:tc>
        <w:tc>
          <w:tcPr>
            <w:tcW w:w="0" w:type="auto"/>
            <w:shd w:val="clear" w:color="auto" w:fill="auto"/>
          </w:tcPr>
          <w:p w14:paraId="53ED05AA"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46FF1D2E"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440F400F"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18194AD4" w14:textId="77777777" w:rsidR="008C5CFA" w:rsidRPr="001C4484" w:rsidRDefault="00E82A60" w:rsidP="00300A01">
            <w:pPr>
              <w:spacing w:before="0" w:after="0"/>
              <w:jc w:val="right"/>
              <w:rPr>
                <w:sz w:val="10"/>
                <w:szCs w:val="10"/>
                <w:lang w:val="fr-BE"/>
              </w:rPr>
            </w:pPr>
            <w:r w:rsidRPr="001C4484">
              <w:rPr>
                <w:noProof/>
                <w:sz w:val="10"/>
                <w:szCs w:val="10"/>
              </w:rPr>
              <w:t>0,00</w:t>
            </w:r>
          </w:p>
        </w:tc>
        <w:tc>
          <w:tcPr>
            <w:tcW w:w="0" w:type="auto"/>
          </w:tcPr>
          <w:p w14:paraId="1D587684"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65C77513"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2FE352EA" w14:textId="77777777" w:rsidR="008C5CFA" w:rsidRPr="001C4484" w:rsidRDefault="00E82A60" w:rsidP="00300A01">
            <w:pPr>
              <w:spacing w:before="0" w:after="0"/>
              <w:jc w:val="right"/>
              <w:rPr>
                <w:sz w:val="10"/>
                <w:szCs w:val="10"/>
                <w:lang w:val="fr-BE"/>
              </w:rPr>
            </w:pPr>
            <w:r w:rsidRPr="001C4484">
              <w:rPr>
                <w:noProof/>
                <w:sz w:val="10"/>
                <w:szCs w:val="10"/>
                <w:lang w:val="fr-BE"/>
              </w:rPr>
              <w:t>0,00</w:t>
            </w:r>
          </w:p>
        </w:tc>
      </w:tr>
      <w:tr w:rsidR="006B2EC1" w14:paraId="2B14ABCC" w14:textId="77777777" w:rsidTr="0047688D">
        <w:tc>
          <w:tcPr>
            <w:tcW w:w="0" w:type="auto"/>
            <w:shd w:val="clear" w:color="auto" w:fill="auto"/>
          </w:tcPr>
          <w:p w14:paraId="2F998592" w14:textId="77777777" w:rsidR="008C5CFA" w:rsidRPr="001C4484" w:rsidRDefault="00E82A60" w:rsidP="00300A01">
            <w:pPr>
              <w:spacing w:before="0" w:after="0"/>
              <w:rPr>
                <w:sz w:val="10"/>
                <w:szCs w:val="10"/>
                <w:lang w:val="fr-BE"/>
              </w:rPr>
            </w:pPr>
            <w:r w:rsidRPr="001C4484">
              <w:rPr>
                <w:noProof/>
                <w:sz w:val="10"/>
                <w:szCs w:val="10"/>
                <w:lang w:val="fr-BE"/>
              </w:rPr>
              <w:t>CO19</w:t>
            </w:r>
          </w:p>
        </w:tc>
        <w:tc>
          <w:tcPr>
            <w:tcW w:w="0" w:type="auto"/>
            <w:shd w:val="clear" w:color="auto" w:fill="auto"/>
          </w:tcPr>
          <w:p w14:paraId="2FA602AA" w14:textId="77777777" w:rsidR="008C5CFA" w:rsidRPr="001C4484" w:rsidRDefault="00E82A60" w:rsidP="00300A01">
            <w:pPr>
              <w:spacing w:before="0" w:after="0"/>
              <w:rPr>
                <w:sz w:val="10"/>
                <w:szCs w:val="10"/>
                <w:lang w:val="fr-BE"/>
              </w:rPr>
            </w:pPr>
            <w:r w:rsidRPr="001C4484">
              <w:rPr>
                <w:noProof/>
                <w:sz w:val="10"/>
                <w:szCs w:val="10"/>
                <w:lang w:val="fr-BE"/>
              </w:rPr>
              <w:t>osoby pochodzące z obszarów wiejskich</w:t>
            </w:r>
          </w:p>
        </w:tc>
        <w:tc>
          <w:tcPr>
            <w:tcW w:w="0" w:type="auto"/>
            <w:shd w:val="clear" w:color="auto" w:fill="auto"/>
          </w:tcPr>
          <w:p w14:paraId="0EC0F852"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1C031CFC"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3E7BB60E"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2B040E01" w14:textId="77777777" w:rsidR="008C5CFA" w:rsidRPr="001C4484" w:rsidRDefault="00E82A60" w:rsidP="00300A01">
            <w:pPr>
              <w:spacing w:before="0" w:after="0"/>
              <w:jc w:val="right"/>
              <w:rPr>
                <w:sz w:val="10"/>
                <w:szCs w:val="10"/>
                <w:lang w:val="fr-BE"/>
              </w:rPr>
            </w:pPr>
            <w:r w:rsidRPr="001C4484">
              <w:rPr>
                <w:noProof/>
                <w:sz w:val="10"/>
                <w:szCs w:val="10"/>
              </w:rPr>
              <w:t>0,00</w:t>
            </w:r>
          </w:p>
        </w:tc>
        <w:tc>
          <w:tcPr>
            <w:tcW w:w="0" w:type="auto"/>
          </w:tcPr>
          <w:p w14:paraId="559A0AD0"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119DAE39"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69318052" w14:textId="77777777" w:rsidR="008C5CFA" w:rsidRPr="001C4484" w:rsidRDefault="00E82A60" w:rsidP="00300A01">
            <w:pPr>
              <w:spacing w:before="0" w:after="0"/>
              <w:jc w:val="right"/>
              <w:rPr>
                <w:sz w:val="10"/>
                <w:szCs w:val="10"/>
                <w:lang w:val="fr-BE"/>
              </w:rPr>
            </w:pPr>
            <w:r w:rsidRPr="001C4484">
              <w:rPr>
                <w:noProof/>
                <w:sz w:val="10"/>
                <w:szCs w:val="10"/>
                <w:lang w:val="fr-BE"/>
              </w:rPr>
              <w:t>0,00</w:t>
            </w:r>
          </w:p>
        </w:tc>
      </w:tr>
      <w:tr w:rsidR="006B2EC1" w14:paraId="0EE1208B" w14:textId="77777777" w:rsidTr="0047688D">
        <w:tc>
          <w:tcPr>
            <w:tcW w:w="0" w:type="auto"/>
            <w:shd w:val="clear" w:color="auto" w:fill="auto"/>
          </w:tcPr>
          <w:p w14:paraId="530F7B10" w14:textId="77777777" w:rsidR="008C5CFA" w:rsidRPr="001C4484" w:rsidRDefault="00E82A60" w:rsidP="00300A01">
            <w:pPr>
              <w:spacing w:before="0" w:after="0"/>
              <w:rPr>
                <w:sz w:val="10"/>
                <w:szCs w:val="10"/>
                <w:lang w:val="fr-BE"/>
              </w:rPr>
            </w:pPr>
            <w:r w:rsidRPr="001C4484">
              <w:rPr>
                <w:noProof/>
                <w:sz w:val="10"/>
                <w:szCs w:val="10"/>
                <w:lang w:val="fr-BE"/>
              </w:rPr>
              <w:t>CO20</w:t>
            </w:r>
          </w:p>
        </w:tc>
        <w:tc>
          <w:tcPr>
            <w:tcW w:w="0" w:type="auto"/>
            <w:shd w:val="clear" w:color="auto" w:fill="auto"/>
          </w:tcPr>
          <w:p w14:paraId="13F0F95F" w14:textId="77777777" w:rsidR="008C5CFA" w:rsidRPr="001C4484" w:rsidRDefault="00E82A60" w:rsidP="00300A01">
            <w:pPr>
              <w:spacing w:before="0" w:after="0"/>
              <w:rPr>
                <w:sz w:val="10"/>
                <w:szCs w:val="10"/>
                <w:lang w:val="fr-BE"/>
              </w:rPr>
            </w:pPr>
            <w:r w:rsidRPr="001C4484">
              <w:rPr>
                <w:noProof/>
                <w:sz w:val="10"/>
                <w:szCs w:val="10"/>
                <w:lang w:val="fr-BE"/>
              </w:rPr>
              <w:t>liczba projektów zrealizowanych w pełni lub częściowo przez partnerów społecznych lub organizacje pozarządowe</w:t>
            </w:r>
          </w:p>
        </w:tc>
        <w:tc>
          <w:tcPr>
            <w:tcW w:w="0" w:type="auto"/>
            <w:shd w:val="clear" w:color="auto" w:fill="auto"/>
          </w:tcPr>
          <w:p w14:paraId="1E9B5BD9"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491F5F5C"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539A29DB" w14:textId="77777777" w:rsidR="008C5CFA" w:rsidRPr="001C4484" w:rsidRDefault="008C5CFA" w:rsidP="00300A01">
            <w:pPr>
              <w:spacing w:before="0" w:after="0"/>
              <w:jc w:val="right"/>
              <w:rPr>
                <w:sz w:val="10"/>
                <w:szCs w:val="10"/>
              </w:rPr>
            </w:pPr>
          </w:p>
        </w:tc>
        <w:tc>
          <w:tcPr>
            <w:tcW w:w="0" w:type="auto"/>
            <w:shd w:val="clear" w:color="auto" w:fill="auto"/>
          </w:tcPr>
          <w:p w14:paraId="5C44A3CD" w14:textId="77777777" w:rsidR="008C5CFA" w:rsidRPr="001C4484" w:rsidRDefault="008C5CFA" w:rsidP="00300A01">
            <w:pPr>
              <w:spacing w:before="0" w:after="0"/>
              <w:jc w:val="right"/>
              <w:rPr>
                <w:sz w:val="10"/>
                <w:szCs w:val="10"/>
                <w:lang w:val="fr-BE"/>
              </w:rPr>
            </w:pPr>
          </w:p>
        </w:tc>
        <w:tc>
          <w:tcPr>
            <w:tcW w:w="0" w:type="auto"/>
          </w:tcPr>
          <w:p w14:paraId="504CE93B"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319C5CA5" w14:textId="77777777" w:rsidR="008C5CFA" w:rsidRPr="001C4484" w:rsidRDefault="008C5CFA" w:rsidP="00300A01">
            <w:pPr>
              <w:spacing w:before="0" w:after="0"/>
              <w:jc w:val="right"/>
              <w:rPr>
                <w:sz w:val="10"/>
                <w:szCs w:val="10"/>
              </w:rPr>
            </w:pPr>
          </w:p>
        </w:tc>
        <w:tc>
          <w:tcPr>
            <w:tcW w:w="0" w:type="auto"/>
            <w:shd w:val="clear" w:color="auto" w:fill="auto"/>
          </w:tcPr>
          <w:p w14:paraId="569AE21C" w14:textId="77777777" w:rsidR="008C5CFA" w:rsidRPr="001C4484" w:rsidRDefault="008C5CFA" w:rsidP="00300A01">
            <w:pPr>
              <w:spacing w:before="0" w:after="0"/>
              <w:jc w:val="right"/>
              <w:rPr>
                <w:sz w:val="10"/>
                <w:szCs w:val="10"/>
                <w:lang w:val="fr-BE"/>
              </w:rPr>
            </w:pPr>
          </w:p>
        </w:tc>
      </w:tr>
      <w:tr w:rsidR="006B2EC1" w14:paraId="2F04D812" w14:textId="77777777" w:rsidTr="0047688D">
        <w:tc>
          <w:tcPr>
            <w:tcW w:w="0" w:type="auto"/>
            <w:shd w:val="clear" w:color="auto" w:fill="auto"/>
          </w:tcPr>
          <w:p w14:paraId="6DAA3C33" w14:textId="77777777" w:rsidR="008C5CFA" w:rsidRPr="001C4484" w:rsidRDefault="00E82A60" w:rsidP="00300A01">
            <w:pPr>
              <w:spacing w:before="0" w:after="0"/>
              <w:rPr>
                <w:sz w:val="10"/>
                <w:szCs w:val="10"/>
                <w:lang w:val="fr-BE"/>
              </w:rPr>
            </w:pPr>
            <w:r w:rsidRPr="001C4484">
              <w:rPr>
                <w:noProof/>
                <w:sz w:val="10"/>
                <w:szCs w:val="10"/>
                <w:lang w:val="fr-BE"/>
              </w:rPr>
              <w:t>CO21</w:t>
            </w:r>
          </w:p>
        </w:tc>
        <w:tc>
          <w:tcPr>
            <w:tcW w:w="0" w:type="auto"/>
            <w:shd w:val="clear" w:color="auto" w:fill="auto"/>
          </w:tcPr>
          <w:p w14:paraId="36D46A36" w14:textId="77777777" w:rsidR="008C5CFA" w:rsidRPr="001C4484" w:rsidRDefault="00E82A60" w:rsidP="00300A01">
            <w:pPr>
              <w:spacing w:before="0" w:after="0"/>
              <w:rPr>
                <w:sz w:val="10"/>
                <w:szCs w:val="10"/>
                <w:lang w:val="fr-BE"/>
              </w:rPr>
            </w:pPr>
            <w:r w:rsidRPr="001C4484">
              <w:rPr>
                <w:noProof/>
                <w:sz w:val="10"/>
                <w:szCs w:val="10"/>
                <w:lang w:val="fr-BE"/>
              </w:rPr>
              <w:t>liczba projektów ukierunkowanych na trwały udział kobiet w zatrudnieniu i rozwój ich kariery zawodowej</w:t>
            </w:r>
          </w:p>
        </w:tc>
        <w:tc>
          <w:tcPr>
            <w:tcW w:w="0" w:type="auto"/>
            <w:shd w:val="clear" w:color="auto" w:fill="auto"/>
          </w:tcPr>
          <w:p w14:paraId="0DFB72DC"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02722237"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6F97459C" w14:textId="77777777" w:rsidR="008C5CFA" w:rsidRPr="001C4484" w:rsidRDefault="008C5CFA" w:rsidP="00300A01">
            <w:pPr>
              <w:spacing w:before="0" w:after="0"/>
              <w:jc w:val="right"/>
              <w:rPr>
                <w:sz w:val="10"/>
                <w:szCs w:val="10"/>
              </w:rPr>
            </w:pPr>
          </w:p>
        </w:tc>
        <w:tc>
          <w:tcPr>
            <w:tcW w:w="0" w:type="auto"/>
            <w:shd w:val="clear" w:color="auto" w:fill="auto"/>
          </w:tcPr>
          <w:p w14:paraId="19566345" w14:textId="77777777" w:rsidR="008C5CFA" w:rsidRPr="001C4484" w:rsidRDefault="008C5CFA" w:rsidP="00300A01">
            <w:pPr>
              <w:spacing w:before="0" w:after="0"/>
              <w:jc w:val="right"/>
              <w:rPr>
                <w:sz w:val="10"/>
                <w:szCs w:val="10"/>
                <w:lang w:val="fr-BE"/>
              </w:rPr>
            </w:pPr>
          </w:p>
        </w:tc>
        <w:tc>
          <w:tcPr>
            <w:tcW w:w="0" w:type="auto"/>
          </w:tcPr>
          <w:p w14:paraId="222B0058"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66B9053C" w14:textId="77777777" w:rsidR="008C5CFA" w:rsidRPr="001C4484" w:rsidRDefault="008C5CFA" w:rsidP="00300A01">
            <w:pPr>
              <w:spacing w:before="0" w:after="0"/>
              <w:jc w:val="right"/>
              <w:rPr>
                <w:sz w:val="10"/>
                <w:szCs w:val="10"/>
              </w:rPr>
            </w:pPr>
          </w:p>
        </w:tc>
        <w:tc>
          <w:tcPr>
            <w:tcW w:w="0" w:type="auto"/>
            <w:shd w:val="clear" w:color="auto" w:fill="auto"/>
          </w:tcPr>
          <w:p w14:paraId="630AC3C2" w14:textId="77777777" w:rsidR="008C5CFA" w:rsidRPr="001C4484" w:rsidRDefault="008C5CFA" w:rsidP="00300A01">
            <w:pPr>
              <w:spacing w:before="0" w:after="0"/>
              <w:jc w:val="right"/>
              <w:rPr>
                <w:sz w:val="10"/>
                <w:szCs w:val="10"/>
                <w:lang w:val="fr-BE"/>
              </w:rPr>
            </w:pPr>
          </w:p>
        </w:tc>
      </w:tr>
      <w:tr w:rsidR="006B2EC1" w14:paraId="74A498C2" w14:textId="77777777" w:rsidTr="0047688D">
        <w:tc>
          <w:tcPr>
            <w:tcW w:w="0" w:type="auto"/>
            <w:shd w:val="clear" w:color="auto" w:fill="auto"/>
          </w:tcPr>
          <w:p w14:paraId="67E20846" w14:textId="77777777" w:rsidR="008C5CFA" w:rsidRPr="001C4484" w:rsidRDefault="00E82A60" w:rsidP="00300A01">
            <w:pPr>
              <w:spacing w:before="0" w:after="0"/>
              <w:rPr>
                <w:sz w:val="10"/>
                <w:szCs w:val="10"/>
                <w:lang w:val="fr-BE"/>
              </w:rPr>
            </w:pPr>
            <w:r w:rsidRPr="001C4484">
              <w:rPr>
                <w:noProof/>
                <w:sz w:val="10"/>
                <w:szCs w:val="10"/>
                <w:lang w:val="fr-BE"/>
              </w:rPr>
              <w:t>CO22</w:t>
            </w:r>
          </w:p>
        </w:tc>
        <w:tc>
          <w:tcPr>
            <w:tcW w:w="0" w:type="auto"/>
            <w:shd w:val="clear" w:color="auto" w:fill="auto"/>
          </w:tcPr>
          <w:p w14:paraId="6564482F" w14:textId="77777777" w:rsidR="008C5CFA" w:rsidRPr="001C4484" w:rsidRDefault="00E82A60" w:rsidP="00300A01">
            <w:pPr>
              <w:spacing w:before="0" w:after="0"/>
              <w:rPr>
                <w:sz w:val="10"/>
                <w:szCs w:val="10"/>
                <w:lang w:val="fr-BE"/>
              </w:rPr>
            </w:pPr>
            <w:r w:rsidRPr="001C4484">
              <w:rPr>
                <w:noProof/>
                <w:sz w:val="10"/>
                <w:szCs w:val="10"/>
                <w:lang w:val="fr-BE"/>
              </w:rPr>
              <w:t>liczba projektów obejmujących administrację publiczną lub służby publiczne na szczeblu krajowym, regionalnym lub lokalnym</w:t>
            </w:r>
          </w:p>
        </w:tc>
        <w:tc>
          <w:tcPr>
            <w:tcW w:w="0" w:type="auto"/>
            <w:shd w:val="clear" w:color="auto" w:fill="auto"/>
          </w:tcPr>
          <w:p w14:paraId="53321C59"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4476640A"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0CE8A815" w14:textId="77777777" w:rsidR="008C5CFA" w:rsidRPr="001C4484" w:rsidRDefault="008C5CFA" w:rsidP="00300A01">
            <w:pPr>
              <w:spacing w:before="0" w:after="0"/>
              <w:jc w:val="right"/>
              <w:rPr>
                <w:sz w:val="10"/>
                <w:szCs w:val="10"/>
              </w:rPr>
            </w:pPr>
          </w:p>
        </w:tc>
        <w:tc>
          <w:tcPr>
            <w:tcW w:w="0" w:type="auto"/>
            <w:shd w:val="clear" w:color="auto" w:fill="auto"/>
          </w:tcPr>
          <w:p w14:paraId="5484D5F0" w14:textId="77777777" w:rsidR="008C5CFA" w:rsidRPr="001C4484" w:rsidRDefault="008C5CFA" w:rsidP="00300A01">
            <w:pPr>
              <w:spacing w:before="0" w:after="0"/>
              <w:jc w:val="right"/>
              <w:rPr>
                <w:sz w:val="10"/>
                <w:szCs w:val="10"/>
                <w:lang w:val="fr-BE"/>
              </w:rPr>
            </w:pPr>
          </w:p>
        </w:tc>
        <w:tc>
          <w:tcPr>
            <w:tcW w:w="0" w:type="auto"/>
          </w:tcPr>
          <w:p w14:paraId="07104DC1"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1783985E" w14:textId="77777777" w:rsidR="008C5CFA" w:rsidRPr="001C4484" w:rsidRDefault="008C5CFA" w:rsidP="00300A01">
            <w:pPr>
              <w:spacing w:before="0" w:after="0"/>
              <w:jc w:val="right"/>
              <w:rPr>
                <w:sz w:val="10"/>
                <w:szCs w:val="10"/>
              </w:rPr>
            </w:pPr>
          </w:p>
        </w:tc>
        <w:tc>
          <w:tcPr>
            <w:tcW w:w="0" w:type="auto"/>
            <w:shd w:val="clear" w:color="auto" w:fill="auto"/>
          </w:tcPr>
          <w:p w14:paraId="2E790AEB" w14:textId="77777777" w:rsidR="008C5CFA" w:rsidRPr="001C4484" w:rsidRDefault="008C5CFA" w:rsidP="00300A01">
            <w:pPr>
              <w:spacing w:before="0" w:after="0"/>
              <w:jc w:val="right"/>
              <w:rPr>
                <w:sz w:val="10"/>
                <w:szCs w:val="10"/>
                <w:lang w:val="fr-BE"/>
              </w:rPr>
            </w:pPr>
          </w:p>
        </w:tc>
      </w:tr>
      <w:tr w:rsidR="006B2EC1" w14:paraId="4E089C3C" w14:textId="77777777" w:rsidTr="0047688D">
        <w:tc>
          <w:tcPr>
            <w:tcW w:w="0" w:type="auto"/>
            <w:shd w:val="clear" w:color="auto" w:fill="auto"/>
          </w:tcPr>
          <w:p w14:paraId="69853DF0" w14:textId="77777777" w:rsidR="008C5CFA" w:rsidRPr="001C4484" w:rsidRDefault="00E82A60" w:rsidP="00300A01">
            <w:pPr>
              <w:spacing w:before="0" w:after="0"/>
              <w:rPr>
                <w:sz w:val="10"/>
                <w:szCs w:val="10"/>
                <w:lang w:val="fr-BE"/>
              </w:rPr>
            </w:pPr>
            <w:r w:rsidRPr="001C4484">
              <w:rPr>
                <w:noProof/>
                <w:sz w:val="10"/>
                <w:szCs w:val="10"/>
                <w:lang w:val="fr-BE"/>
              </w:rPr>
              <w:t>CO23</w:t>
            </w:r>
          </w:p>
        </w:tc>
        <w:tc>
          <w:tcPr>
            <w:tcW w:w="0" w:type="auto"/>
            <w:shd w:val="clear" w:color="auto" w:fill="auto"/>
          </w:tcPr>
          <w:p w14:paraId="37A61CF2" w14:textId="77777777" w:rsidR="008C5CFA" w:rsidRPr="001C4484" w:rsidRDefault="00E82A60" w:rsidP="00300A01">
            <w:pPr>
              <w:spacing w:before="0" w:after="0"/>
              <w:rPr>
                <w:sz w:val="10"/>
                <w:szCs w:val="10"/>
                <w:lang w:val="fr-BE"/>
              </w:rPr>
            </w:pPr>
            <w:r w:rsidRPr="001C4484">
              <w:rPr>
                <w:noProof/>
                <w:sz w:val="10"/>
                <w:szCs w:val="10"/>
                <w:lang w:val="fr-BE"/>
              </w:rPr>
              <w:t>liczba objętych wsparciem mikro-, małych i średnich przedsiębiorstw (w tym przedsiębiorstw spółdzielczych i przedsiębiorstw gospodarki społecznej)</w:t>
            </w:r>
          </w:p>
        </w:tc>
        <w:tc>
          <w:tcPr>
            <w:tcW w:w="0" w:type="auto"/>
            <w:shd w:val="clear" w:color="auto" w:fill="auto"/>
          </w:tcPr>
          <w:p w14:paraId="7AB133F2"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7B22C86A"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006F944E" w14:textId="77777777" w:rsidR="008C5CFA" w:rsidRPr="001C4484" w:rsidRDefault="008C5CFA" w:rsidP="00300A01">
            <w:pPr>
              <w:spacing w:before="0" w:after="0"/>
              <w:jc w:val="right"/>
              <w:rPr>
                <w:sz w:val="10"/>
                <w:szCs w:val="10"/>
              </w:rPr>
            </w:pPr>
          </w:p>
        </w:tc>
        <w:tc>
          <w:tcPr>
            <w:tcW w:w="0" w:type="auto"/>
            <w:shd w:val="clear" w:color="auto" w:fill="auto"/>
          </w:tcPr>
          <w:p w14:paraId="5399294F" w14:textId="77777777" w:rsidR="008C5CFA" w:rsidRPr="001C4484" w:rsidRDefault="008C5CFA" w:rsidP="00300A01">
            <w:pPr>
              <w:spacing w:before="0" w:after="0"/>
              <w:jc w:val="right"/>
              <w:rPr>
                <w:sz w:val="10"/>
                <w:szCs w:val="10"/>
                <w:lang w:val="fr-BE"/>
              </w:rPr>
            </w:pPr>
          </w:p>
        </w:tc>
        <w:tc>
          <w:tcPr>
            <w:tcW w:w="0" w:type="auto"/>
          </w:tcPr>
          <w:p w14:paraId="35D2A5A6"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6D29B076" w14:textId="77777777" w:rsidR="008C5CFA" w:rsidRPr="001C4484" w:rsidRDefault="008C5CFA" w:rsidP="00300A01">
            <w:pPr>
              <w:spacing w:before="0" w:after="0"/>
              <w:jc w:val="right"/>
              <w:rPr>
                <w:sz w:val="10"/>
                <w:szCs w:val="10"/>
              </w:rPr>
            </w:pPr>
          </w:p>
        </w:tc>
        <w:tc>
          <w:tcPr>
            <w:tcW w:w="0" w:type="auto"/>
            <w:shd w:val="clear" w:color="auto" w:fill="auto"/>
          </w:tcPr>
          <w:p w14:paraId="736392EE" w14:textId="77777777" w:rsidR="008C5CFA" w:rsidRPr="001C4484" w:rsidRDefault="008C5CFA" w:rsidP="00300A01">
            <w:pPr>
              <w:spacing w:before="0" w:after="0"/>
              <w:jc w:val="right"/>
              <w:rPr>
                <w:sz w:val="10"/>
                <w:szCs w:val="10"/>
                <w:lang w:val="fr-BE"/>
              </w:rPr>
            </w:pPr>
          </w:p>
        </w:tc>
      </w:tr>
      <w:tr w:rsidR="006B2EC1" w14:paraId="251B370A" w14:textId="77777777" w:rsidTr="0047688D">
        <w:tc>
          <w:tcPr>
            <w:tcW w:w="0" w:type="auto"/>
            <w:shd w:val="clear" w:color="auto" w:fill="auto"/>
          </w:tcPr>
          <w:p w14:paraId="3B5E99AA" w14:textId="77777777" w:rsidR="008C5CFA" w:rsidRPr="001C4484" w:rsidRDefault="008C5CFA" w:rsidP="00300A01">
            <w:pPr>
              <w:spacing w:before="0" w:after="0"/>
              <w:rPr>
                <w:sz w:val="10"/>
                <w:szCs w:val="10"/>
                <w:lang w:val="fr-BE"/>
              </w:rPr>
            </w:pPr>
          </w:p>
        </w:tc>
        <w:tc>
          <w:tcPr>
            <w:tcW w:w="0" w:type="auto"/>
            <w:shd w:val="clear" w:color="auto" w:fill="auto"/>
          </w:tcPr>
          <w:p w14:paraId="3739EFDE" w14:textId="77777777" w:rsidR="008C5CFA" w:rsidRPr="001C4484" w:rsidRDefault="00E82A60" w:rsidP="00300A01">
            <w:pPr>
              <w:spacing w:before="0" w:after="0"/>
              <w:rPr>
                <w:sz w:val="10"/>
                <w:szCs w:val="10"/>
                <w:lang w:val="fr-BE"/>
              </w:rPr>
            </w:pPr>
            <w:r w:rsidRPr="001C4484">
              <w:rPr>
                <w:noProof/>
                <w:sz w:val="10"/>
                <w:szCs w:val="10"/>
                <w:lang w:val="fr-BE"/>
              </w:rPr>
              <w:t>Całkowita łączna liczba uczestników</w:t>
            </w:r>
          </w:p>
        </w:tc>
        <w:tc>
          <w:tcPr>
            <w:tcW w:w="0" w:type="auto"/>
            <w:shd w:val="clear" w:color="auto" w:fill="auto"/>
          </w:tcPr>
          <w:p w14:paraId="44B3DAB6" w14:textId="77777777" w:rsidR="008C5CFA" w:rsidRPr="001C4484" w:rsidRDefault="008C5CFA" w:rsidP="00300A01">
            <w:pPr>
              <w:spacing w:before="0" w:after="0"/>
              <w:rPr>
                <w:sz w:val="10"/>
                <w:szCs w:val="10"/>
                <w:lang w:val="fr-BE"/>
              </w:rPr>
            </w:pPr>
          </w:p>
        </w:tc>
        <w:tc>
          <w:tcPr>
            <w:tcW w:w="0" w:type="auto"/>
          </w:tcPr>
          <w:p w14:paraId="42DA4166"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4A0BB242" w14:textId="77777777" w:rsidR="008C5CFA" w:rsidRPr="001C4484" w:rsidRDefault="008C5CFA" w:rsidP="00300A01">
            <w:pPr>
              <w:spacing w:before="0" w:after="0"/>
              <w:jc w:val="right"/>
              <w:rPr>
                <w:sz w:val="10"/>
                <w:szCs w:val="10"/>
              </w:rPr>
            </w:pPr>
          </w:p>
        </w:tc>
        <w:tc>
          <w:tcPr>
            <w:tcW w:w="0" w:type="auto"/>
            <w:shd w:val="clear" w:color="auto" w:fill="auto"/>
          </w:tcPr>
          <w:p w14:paraId="3DC25D67" w14:textId="77777777" w:rsidR="008C5CFA" w:rsidRPr="001C4484" w:rsidRDefault="008C5CFA" w:rsidP="00300A01">
            <w:pPr>
              <w:spacing w:before="0" w:after="0"/>
              <w:jc w:val="right"/>
              <w:rPr>
                <w:sz w:val="10"/>
                <w:szCs w:val="10"/>
                <w:lang w:val="fr-BE"/>
              </w:rPr>
            </w:pPr>
          </w:p>
        </w:tc>
        <w:tc>
          <w:tcPr>
            <w:tcW w:w="0" w:type="auto"/>
          </w:tcPr>
          <w:p w14:paraId="64860092"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03D0DE2C" w14:textId="77777777" w:rsidR="008C5CFA" w:rsidRPr="001C4484" w:rsidRDefault="008C5CFA" w:rsidP="00300A01">
            <w:pPr>
              <w:spacing w:before="0" w:after="0"/>
              <w:jc w:val="right"/>
              <w:rPr>
                <w:sz w:val="10"/>
                <w:szCs w:val="10"/>
              </w:rPr>
            </w:pPr>
          </w:p>
        </w:tc>
        <w:tc>
          <w:tcPr>
            <w:tcW w:w="0" w:type="auto"/>
            <w:shd w:val="clear" w:color="auto" w:fill="auto"/>
          </w:tcPr>
          <w:p w14:paraId="7EE7FE7E" w14:textId="77777777" w:rsidR="008C5CFA" w:rsidRPr="001C4484" w:rsidRDefault="008C5CFA" w:rsidP="00300A01">
            <w:pPr>
              <w:spacing w:before="0" w:after="0"/>
              <w:jc w:val="right"/>
              <w:rPr>
                <w:sz w:val="10"/>
                <w:szCs w:val="10"/>
                <w:lang w:val="fr-BE"/>
              </w:rPr>
            </w:pPr>
          </w:p>
        </w:tc>
      </w:tr>
    </w:tbl>
    <w:p w14:paraId="201B3980" w14:textId="77777777" w:rsidR="008C5CFA" w:rsidRDefault="00E82A60" w:rsidP="00300A01">
      <w:pPr>
        <w:spacing w:before="0" w:after="0"/>
        <w:rPr>
          <w:lang w:val="fr-BE"/>
        </w:rPr>
      </w:pPr>
      <w:r>
        <w:rPr>
          <w:lang w:val="fr-BE"/>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8"/>
        <w:gridCol w:w="13506"/>
      </w:tblGrid>
      <w:tr w:rsidR="006B2EC1" w14:paraId="791EA0F7" w14:textId="77777777" w:rsidTr="0047688D">
        <w:tc>
          <w:tcPr>
            <w:tcW w:w="0" w:type="auto"/>
            <w:shd w:val="clear" w:color="auto" w:fill="auto"/>
          </w:tcPr>
          <w:p w14:paraId="4F79A630" w14:textId="77777777" w:rsidR="008C5CFA" w:rsidRPr="002124FC" w:rsidRDefault="00E82A60" w:rsidP="00300A01">
            <w:pPr>
              <w:spacing w:before="0" w:after="0"/>
              <w:rPr>
                <w:sz w:val="20"/>
                <w:szCs w:val="20"/>
                <w:lang w:val="fr-BE"/>
              </w:rPr>
            </w:pPr>
            <w:r>
              <w:rPr>
                <w:lang w:val="fr-BE"/>
              </w:rPr>
              <w:lastRenderedPageBreak/>
              <w:br w:type="page"/>
            </w:r>
            <w:r>
              <w:rPr>
                <w:lang w:val="fr-BE"/>
              </w:rPr>
              <w:br w:type="page"/>
            </w:r>
            <w:r w:rsidRPr="002124FC">
              <w:rPr>
                <w:noProof/>
                <w:sz w:val="20"/>
                <w:szCs w:val="20"/>
                <w:lang w:val="fr-BE"/>
              </w:rPr>
              <w:t>Oś priorytetowa</w:t>
            </w:r>
          </w:p>
        </w:tc>
        <w:tc>
          <w:tcPr>
            <w:tcW w:w="0" w:type="auto"/>
            <w:shd w:val="clear" w:color="auto" w:fill="auto"/>
          </w:tcPr>
          <w:p w14:paraId="08E94C3E" w14:textId="77777777" w:rsidR="008C5CFA" w:rsidRPr="002124FC" w:rsidRDefault="00E82A60" w:rsidP="00300A01">
            <w:pPr>
              <w:spacing w:before="0" w:after="0"/>
              <w:rPr>
                <w:sz w:val="20"/>
                <w:szCs w:val="20"/>
                <w:lang w:val="fr-BE"/>
              </w:rPr>
            </w:pPr>
            <w:r w:rsidRPr="002124FC">
              <w:rPr>
                <w:noProof/>
                <w:sz w:val="20"/>
                <w:szCs w:val="20"/>
                <w:lang w:val="fr-BE"/>
              </w:rPr>
              <w:t>8</w:t>
            </w:r>
            <w:r w:rsidRPr="002124FC">
              <w:rPr>
                <w:sz w:val="20"/>
                <w:szCs w:val="20"/>
                <w:lang w:val="fr-BE"/>
              </w:rPr>
              <w:t xml:space="preserve"> - </w:t>
            </w:r>
            <w:r w:rsidRPr="002124FC">
              <w:rPr>
                <w:noProof/>
                <w:sz w:val="20"/>
                <w:szCs w:val="20"/>
                <w:lang w:val="fr-BE"/>
              </w:rPr>
              <w:t>Rozwój edukacji i aktywne społeczeństwo</w:t>
            </w:r>
          </w:p>
        </w:tc>
      </w:tr>
      <w:tr w:rsidR="006B2EC1" w14:paraId="3CD24054" w14:textId="77777777" w:rsidTr="0047688D">
        <w:tc>
          <w:tcPr>
            <w:tcW w:w="0" w:type="auto"/>
            <w:shd w:val="clear" w:color="auto" w:fill="auto"/>
          </w:tcPr>
          <w:p w14:paraId="271217A5" w14:textId="77777777" w:rsidR="008C5CFA" w:rsidRPr="002124FC" w:rsidRDefault="00E82A60"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14:paraId="7C21EEC7" w14:textId="77777777" w:rsidR="008C5CFA" w:rsidRPr="002124FC" w:rsidRDefault="00E82A60" w:rsidP="00300A01">
            <w:pPr>
              <w:spacing w:before="0" w:after="0"/>
              <w:rPr>
                <w:sz w:val="20"/>
                <w:szCs w:val="20"/>
                <w:lang w:val="fr-BE"/>
              </w:rPr>
            </w:pPr>
            <w:r w:rsidRPr="002124FC">
              <w:rPr>
                <w:noProof/>
                <w:sz w:val="20"/>
                <w:szCs w:val="20"/>
                <w:lang w:val="fr-BE"/>
              </w:rPr>
              <w:t>10iii</w:t>
            </w:r>
            <w:r w:rsidRPr="002124FC">
              <w:rPr>
                <w:sz w:val="20"/>
                <w:szCs w:val="20"/>
                <w:lang w:val="fr-BE"/>
              </w:rPr>
              <w:t xml:space="preserve"> - </w:t>
            </w:r>
            <w:r w:rsidRPr="002124FC">
              <w:rPr>
                <w:noProof/>
                <w:sz w:val="20"/>
                <w:szCs w:val="20"/>
                <w:lang w:val="fr-BE"/>
              </w:rPr>
              <w:t>Wyrównywanie dostępu do uczenia się przez całe życie o charakterze formalnym, nieformalnym i pozaformalnym wszystkich grup wiekowych, poszerzanie wiedzy, zwiększanie umiejętności i kompetencji siły roboczej oraz promowanie elastycznych ścieżek kształcenia, w tym poprzez doradztwo zawodowe i potwierdzanie nabytych kompetencji</w:t>
            </w:r>
          </w:p>
        </w:tc>
      </w:tr>
    </w:tbl>
    <w:p w14:paraId="68FAB00E" w14:textId="77777777" w:rsidR="008C5CFA" w:rsidRDefault="008C5CFA" w:rsidP="00300A01">
      <w:pPr>
        <w:spacing w:before="0" w:after="0"/>
      </w:pPr>
    </w:p>
    <w:p w14:paraId="7440E53F" w14:textId="77777777" w:rsidR="008C5CFA" w:rsidRPr="008E457C" w:rsidRDefault="00E82A60" w:rsidP="00300A01">
      <w:pPr>
        <w:pStyle w:val="Nagwek2"/>
        <w:spacing w:before="0" w:after="0"/>
        <w:rPr>
          <w:b w:val="0"/>
        </w:rPr>
      </w:pPr>
      <w:bookmarkStart w:id="62" w:name="_Toc46391746"/>
      <w:r w:rsidRPr="008E457C">
        <w:rPr>
          <w:b w:val="0"/>
          <w:noProof/>
          <w:lang w:val="fr-BE"/>
        </w:rPr>
        <w:t>Tabela 4B Specyficzne dla programu wskaźniki produktu dla EFS oraz Inicjatywy na rzecz zatrudnienia ludzi młodych</w:t>
      </w:r>
      <w:r w:rsidR="009A51C8">
        <w:rPr>
          <w:b w:val="0"/>
        </w:rPr>
        <w:t xml:space="preserve"> - </w:t>
      </w:r>
      <w:r w:rsidR="009A51C8" w:rsidRPr="002124FC">
        <w:rPr>
          <w:noProof/>
          <w:sz w:val="20"/>
          <w:szCs w:val="20"/>
          <w:lang w:val="fr-BE"/>
        </w:rPr>
        <w:t>8</w:t>
      </w:r>
      <w:bookmarkEnd w:id="62"/>
    </w:p>
    <w:p w14:paraId="78A78BC2" w14:textId="77777777" w:rsidR="008C5CFA" w:rsidRDefault="008C5CFA" w:rsidP="00300A01">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66"/>
        <w:gridCol w:w="4176"/>
        <w:gridCol w:w="1240"/>
        <w:gridCol w:w="1147"/>
        <w:gridCol w:w="712"/>
        <w:gridCol w:w="781"/>
        <w:gridCol w:w="628"/>
        <w:gridCol w:w="643"/>
        <w:gridCol w:w="781"/>
        <w:gridCol w:w="628"/>
        <w:gridCol w:w="621"/>
        <w:gridCol w:w="781"/>
        <w:gridCol w:w="628"/>
        <w:gridCol w:w="643"/>
        <w:gridCol w:w="781"/>
        <w:gridCol w:w="628"/>
      </w:tblGrid>
      <w:tr w:rsidR="006B2EC1" w14:paraId="50315A1B" w14:textId="77777777" w:rsidTr="002A1502">
        <w:trPr>
          <w:tblHeader/>
        </w:trPr>
        <w:tc>
          <w:tcPr>
            <w:tcW w:w="0" w:type="auto"/>
            <w:shd w:val="clear" w:color="auto" w:fill="auto"/>
          </w:tcPr>
          <w:p w14:paraId="4EA984A4" w14:textId="77777777" w:rsidR="008C5CFA" w:rsidRPr="00A92B39" w:rsidRDefault="00E82A60" w:rsidP="00300A01">
            <w:pPr>
              <w:spacing w:before="0" w:after="0"/>
              <w:rPr>
                <w:b/>
                <w:sz w:val="10"/>
                <w:szCs w:val="10"/>
                <w:lang w:val="fr-BE"/>
              </w:rPr>
            </w:pPr>
            <w:r w:rsidRPr="00A92B39">
              <w:rPr>
                <w:b/>
                <w:noProof/>
                <w:sz w:val="10"/>
                <w:szCs w:val="10"/>
                <w:lang w:val="fr-BE"/>
              </w:rPr>
              <w:t>ID</w:t>
            </w:r>
          </w:p>
        </w:tc>
        <w:tc>
          <w:tcPr>
            <w:tcW w:w="0" w:type="auto"/>
            <w:shd w:val="clear" w:color="auto" w:fill="auto"/>
          </w:tcPr>
          <w:p w14:paraId="58526876" w14:textId="77777777" w:rsidR="008C5CFA" w:rsidRPr="00A92B39" w:rsidRDefault="00E82A60" w:rsidP="00300A01">
            <w:pPr>
              <w:spacing w:before="0" w:after="0"/>
              <w:rPr>
                <w:b/>
                <w:sz w:val="10"/>
                <w:szCs w:val="10"/>
                <w:lang w:val="fr-BE"/>
              </w:rPr>
            </w:pPr>
            <w:r w:rsidRPr="00A92B39">
              <w:rPr>
                <w:b/>
                <w:noProof/>
                <w:sz w:val="10"/>
                <w:szCs w:val="10"/>
                <w:lang w:val="fr-BE"/>
              </w:rPr>
              <w:t>Wskaźnik</w:t>
            </w:r>
          </w:p>
        </w:tc>
        <w:tc>
          <w:tcPr>
            <w:tcW w:w="0" w:type="auto"/>
            <w:shd w:val="clear" w:color="auto" w:fill="auto"/>
          </w:tcPr>
          <w:p w14:paraId="6C7E4B62" w14:textId="77777777" w:rsidR="008C5CFA" w:rsidRPr="00A92B39" w:rsidRDefault="00E82A60" w:rsidP="00300A01">
            <w:pPr>
              <w:spacing w:before="0" w:after="0"/>
              <w:rPr>
                <w:b/>
                <w:sz w:val="10"/>
                <w:szCs w:val="10"/>
                <w:lang w:val="fr-BE"/>
              </w:rPr>
            </w:pPr>
            <w:r w:rsidRPr="00A92B39">
              <w:rPr>
                <w:b/>
                <w:noProof/>
                <w:sz w:val="10"/>
                <w:szCs w:val="10"/>
                <w:lang w:val="fr-BE"/>
              </w:rPr>
              <w:t>Kategoria regionu</w:t>
            </w:r>
          </w:p>
        </w:tc>
        <w:tc>
          <w:tcPr>
            <w:tcW w:w="0" w:type="auto"/>
          </w:tcPr>
          <w:p w14:paraId="441EEA9C" w14:textId="77777777" w:rsidR="008C5CFA" w:rsidRPr="00A92B39" w:rsidRDefault="00E82A60" w:rsidP="00300A01">
            <w:pPr>
              <w:spacing w:before="0" w:after="0"/>
              <w:jc w:val="center"/>
              <w:rPr>
                <w:b/>
                <w:sz w:val="10"/>
                <w:szCs w:val="10"/>
                <w:lang w:val="fr-BE"/>
              </w:rPr>
            </w:pPr>
            <w:r w:rsidRPr="00A92B39">
              <w:rPr>
                <w:b/>
                <w:noProof/>
                <w:sz w:val="10"/>
                <w:szCs w:val="10"/>
                <w:lang w:val="fr-BE"/>
              </w:rPr>
              <w:t>Jednostka miary</w:t>
            </w:r>
          </w:p>
        </w:tc>
        <w:tc>
          <w:tcPr>
            <w:tcW w:w="0" w:type="auto"/>
            <w:gridSpan w:val="3"/>
            <w:shd w:val="clear" w:color="auto" w:fill="auto"/>
          </w:tcPr>
          <w:p w14:paraId="711B2DD3" w14:textId="77777777" w:rsidR="008C5CFA" w:rsidRPr="00A92B39" w:rsidRDefault="00E82A60" w:rsidP="00300A01">
            <w:pPr>
              <w:spacing w:before="0" w:after="0"/>
              <w:jc w:val="center"/>
              <w:rPr>
                <w:b/>
                <w:sz w:val="10"/>
                <w:szCs w:val="10"/>
                <w:lang w:val="fr-BE"/>
              </w:rPr>
            </w:pPr>
            <w:r w:rsidRPr="00A92B39">
              <w:rPr>
                <w:b/>
                <w:noProof/>
                <w:sz w:val="10"/>
                <w:szCs w:val="10"/>
                <w:lang w:val="fr-BE"/>
              </w:rPr>
              <w:t>Wartość docelowa (2023)</w:t>
            </w:r>
          </w:p>
        </w:tc>
        <w:tc>
          <w:tcPr>
            <w:tcW w:w="0" w:type="auto"/>
            <w:gridSpan w:val="3"/>
            <w:shd w:val="clear" w:color="auto" w:fill="auto"/>
          </w:tcPr>
          <w:p w14:paraId="3AB9D89C" w14:textId="77777777" w:rsidR="008C5CFA" w:rsidRPr="00A92B39" w:rsidRDefault="00E82A60" w:rsidP="00300A01">
            <w:pPr>
              <w:spacing w:before="0" w:after="0"/>
              <w:jc w:val="center"/>
              <w:rPr>
                <w:b/>
                <w:sz w:val="10"/>
                <w:szCs w:val="10"/>
                <w:lang w:val="fr-BE"/>
              </w:rPr>
            </w:pPr>
            <w:r w:rsidRPr="00A92B39">
              <w:rPr>
                <w:b/>
                <w:noProof/>
                <w:sz w:val="10"/>
                <w:szCs w:val="10"/>
                <w:lang w:val="fr-BE"/>
              </w:rPr>
              <w:t>Wartość skumulowana</w:t>
            </w:r>
          </w:p>
        </w:tc>
        <w:tc>
          <w:tcPr>
            <w:tcW w:w="0" w:type="auto"/>
            <w:gridSpan w:val="3"/>
            <w:shd w:val="clear" w:color="auto" w:fill="auto"/>
          </w:tcPr>
          <w:p w14:paraId="06B7B450" w14:textId="77777777" w:rsidR="008C5CFA" w:rsidRPr="00A92B39" w:rsidRDefault="00E82A60" w:rsidP="00300A01">
            <w:pPr>
              <w:spacing w:before="0" w:after="0"/>
              <w:jc w:val="center"/>
              <w:rPr>
                <w:b/>
                <w:sz w:val="10"/>
                <w:szCs w:val="10"/>
                <w:lang w:val="fr-BE"/>
              </w:rPr>
            </w:pPr>
            <w:r w:rsidRPr="00A92B39">
              <w:rPr>
                <w:b/>
                <w:noProof/>
                <w:sz w:val="10"/>
                <w:szCs w:val="10"/>
                <w:lang w:val="fr-BE"/>
              </w:rPr>
              <w:t>Wskaźnik osiągnięć</w:t>
            </w:r>
          </w:p>
        </w:tc>
        <w:tc>
          <w:tcPr>
            <w:tcW w:w="0" w:type="auto"/>
            <w:gridSpan w:val="3"/>
          </w:tcPr>
          <w:p w14:paraId="508D1A28" w14:textId="77777777" w:rsidR="008C5CFA" w:rsidRPr="00A92B39" w:rsidRDefault="00E82A60" w:rsidP="00300A01">
            <w:pPr>
              <w:spacing w:before="0" w:after="0"/>
              <w:jc w:val="center"/>
              <w:rPr>
                <w:b/>
                <w:sz w:val="10"/>
                <w:szCs w:val="10"/>
                <w:lang w:val="fr-BE"/>
              </w:rPr>
            </w:pPr>
            <w:r w:rsidRPr="00A92B39">
              <w:rPr>
                <w:bCs/>
                <w:sz w:val="10"/>
                <w:szCs w:val="10"/>
                <w:lang w:val="en-US"/>
              </w:rPr>
              <w:t>2019</w:t>
            </w:r>
          </w:p>
        </w:tc>
      </w:tr>
      <w:tr w:rsidR="006B2EC1" w14:paraId="3A73CF44" w14:textId="77777777" w:rsidTr="002A1502">
        <w:trPr>
          <w:tblHeader/>
        </w:trPr>
        <w:tc>
          <w:tcPr>
            <w:tcW w:w="0" w:type="auto"/>
            <w:shd w:val="clear" w:color="auto" w:fill="auto"/>
          </w:tcPr>
          <w:p w14:paraId="105A9507" w14:textId="77777777" w:rsidR="008C5CFA" w:rsidRPr="00A92B39" w:rsidRDefault="008C5CFA" w:rsidP="00300A01">
            <w:pPr>
              <w:spacing w:before="0" w:after="0"/>
              <w:rPr>
                <w:b/>
                <w:sz w:val="10"/>
                <w:szCs w:val="10"/>
                <w:lang w:val="fr-BE"/>
              </w:rPr>
            </w:pPr>
          </w:p>
        </w:tc>
        <w:tc>
          <w:tcPr>
            <w:tcW w:w="0" w:type="auto"/>
            <w:shd w:val="clear" w:color="auto" w:fill="auto"/>
          </w:tcPr>
          <w:p w14:paraId="7E13F180" w14:textId="77777777" w:rsidR="008C5CFA" w:rsidRPr="00A92B39" w:rsidRDefault="008C5CFA" w:rsidP="00300A01">
            <w:pPr>
              <w:spacing w:before="0" w:after="0"/>
              <w:rPr>
                <w:b/>
                <w:sz w:val="10"/>
                <w:szCs w:val="10"/>
                <w:lang w:val="fr-BE"/>
              </w:rPr>
            </w:pPr>
          </w:p>
        </w:tc>
        <w:tc>
          <w:tcPr>
            <w:tcW w:w="0" w:type="auto"/>
            <w:shd w:val="clear" w:color="auto" w:fill="auto"/>
          </w:tcPr>
          <w:p w14:paraId="5E24B209" w14:textId="77777777" w:rsidR="008C5CFA" w:rsidRPr="00A92B39" w:rsidRDefault="008C5CFA" w:rsidP="00300A01">
            <w:pPr>
              <w:spacing w:before="0" w:after="0"/>
              <w:rPr>
                <w:b/>
                <w:sz w:val="10"/>
                <w:szCs w:val="10"/>
                <w:lang w:val="fr-BE"/>
              </w:rPr>
            </w:pPr>
          </w:p>
        </w:tc>
        <w:tc>
          <w:tcPr>
            <w:tcW w:w="0" w:type="auto"/>
          </w:tcPr>
          <w:p w14:paraId="40CEEAE5" w14:textId="77777777" w:rsidR="008C5CFA" w:rsidRPr="00A92B39" w:rsidRDefault="008C5CFA" w:rsidP="00300A01">
            <w:pPr>
              <w:spacing w:before="0" w:after="0"/>
              <w:jc w:val="center"/>
              <w:rPr>
                <w:b/>
                <w:sz w:val="10"/>
                <w:szCs w:val="10"/>
                <w:lang w:val="fr-BE"/>
              </w:rPr>
            </w:pPr>
          </w:p>
        </w:tc>
        <w:tc>
          <w:tcPr>
            <w:tcW w:w="0" w:type="auto"/>
            <w:shd w:val="clear" w:color="auto" w:fill="auto"/>
          </w:tcPr>
          <w:p w14:paraId="5D16350C" w14:textId="77777777" w:rsidR="008C5CFA" w:rsidRPr="00A92B39" w:rsidRDefault="00E82A60" w:rsidP="00300A01">
            <w:pPr>
              <w:spacing w:before="0" w:after="0"/>
              <w:jc w:val="center"/>
              <w:rPr>
                <w:b/>
                <w:sz w:val="10"/>
                <w:szCs w:val="10"/>
                <w:lang w:val="fr-BE"/>
              </w:rPr>
            </w:pPr>
            <w:r w:rsidRPr="00A92B39">
              <w:rPr>
                <w:b/>
                <w:noProof/>
                <w:sz w:val="10"/>
                <w:szCs w:val="10"/>
                <w:lang w:val="fr-BE"/>
              </w:rPr>
              <w:t>Ogółem</w:t>
            </w:r>
          </w:p>
        </w:tc>
        <w:tc>
          <w:tcPr>
            <w:tcW w:w="0" w:type="auto"/>
            <w:shd w:val="clear" w:color="auto" w:fill="auto"/>
          </w:tcPr>
          <w:p w14:paraId="37FDEFBE" w14:textId="77777777" w:rsidR="008C5CFA" w:rsidRPr="00A92B39" w:rsidRDefault="00E82A60" w:rsidP="00300A01">
            <w:pPr>
              <w:spacing w:before="0" w:after="0"/>
              <w:jc w:val="center"/>
              <w:rPr>
                <w:b/>
                <w:sz w:val="10"/>
                <w:szCs w:val="10"/>
                <w:lang w:val="fr-BE"/>
              </w:rPr>
            </w:pPr>
            <w:r w:rsidRPr="00A92B39">
              <w:rPr>
                <w:b/>
                <w:noProof/>
                <w:sz w:val="10"/>
                <w:szCs w:val="10"/>
                <w:lang w:val="fr-BE"/>
              </w:rPr>
              <w:t>Mężczyźni</w:t>
            </w:r>
          </w:p>
        </w:tc>
        <w:tc>
          <w:tcPr>
            <w:tcW w:w="0" w:type="auto"/>
            <w:shd w:val="clear" w:color="auto" w:fill="auto"/>
          </w:tcPr>
          <w:p w14:paraId="23E31275" w14:textId="77777777" w:rsidR="008C5CFA" w:rsidRPr="00A92B39" w:rsidRDefault="00E82A60" w:rsidP="00300A01">
            <w:pPr>
              <w:spacing w:before="0" w:after="0"/>
              <w:jc w:val="center"/>
              <w:rPr>
                <w:b/>
                <w:sz w:val="10"/>
                <w:szCs w:val="10"/>
                <w:lang w:val="fr-BE"/>
              </w:rPr>
            </w:pPr>
            <w:r w:rsidRPr="00A92B39">
              <w:rPr>
                <w:b/>
                <w:noProof/>
                <w:sz w:val="10"/>
                <w:szCs w:val="10"/>
                <w:lang w:val="fr-BE"/>
              </w:rPr>
              <w:t>Kobiety</w:t>
            </w:r>
          </w:p>
        </w:tc>
        <w:tc>
          <w:tcPr>
            <w:tcW w:w="0" w:type="auto"/>
            <w:shd w:val="clear" w:color="auto" w:fill="auto"/>
          </w:tcPr>
          <w:p w14:paraId="5947E274" w14:textId="77777777" w:rsidR="008C5CFA" w:rsidRPr="00A92B39" w:rsidRDefault="00E82A60" w:rsidP="00300A01">
            <w:pPr>
              <w:spacing w:before="0" w:after="0"/>
              <w:jc w:val="center"/>
              <w:rPr>
                <w:b/>
                <w:sz w:val="10"/>
                <w:szCs w:val="10"/>
                <w:lang w:val="fr-BE"/>
              </w:rPr>
            </w:pPr>
            <w:r w:rsidRPr="00A92B39">
              <w:rPr>
                <w:b/>
                <w:noProof/>
                <w:sz w:val="10"/>
                <w:szCs w:val="10"/>
                <w:lang w:val="fr-BE"/>
              </w:rPr>
              <w:t>Ogółem</w:t>
            </w:r>
          </w:p>
        </w:tc>
        <w:tc>
          <w:tcPr>
            <w:tcW w:w="0" w:type="auto"/>
            <w:shd w:val="clear" w:color="auto" w:fill="auto"/>
          </w:tcPr>
          <w:p w14:paraId="35C74EB6" w14:textId="77777777" w:rsidR="008C5CFA" w:rsidRPr="00A92B39" w:rsidRDefault="00E82A60" w:rsidP="00300A01">
            <w:pPr>
              <w:spacing w:before="0" w:after="0"/>
              <w:jc w:val="center"/>
              <w:rPr>
                <w:b/>
                <w:sz w:val="10"/>
                <w:szCs w:val="10"/>
                <w:lang w:val="fr-BE"/>
              </w:rPr>
            </w:pPr>
            <w:r w:rsidRPr="00A92B39">
              <w:rPr>
                <w:b/>
                <w:noProof/>
                <w:sz w:val="10"/>
                <w:szCs w:val="10"/>
                <w:lang w:val="fr-BE"/>
              </w:rPr>
              <w:t>Mężczyźni</w:t>
            </w:r>
          </w:p>
        </w:tc>
        <w:tc>
          <w:tcPr>
            <w:tcW w:w="0" w:type="auto"/>
            <w:shd w:val="clear" w:color="auto" w:fill="auto"/>
          </w:tcPr>
          <w:p w14:paraId="3A237C67" w14:textId="77777777" w:rsidR="008C5CFA" w:rsidRPr="00A92B39" w:rsidRDefault="00E82A60" w:rsidP="00300A01">
            <w:pPr>
              <w:spacing w:before="0" w:after="0"/>
              <w:jc w:val="center"/>
              <w:rPr>
                <w:b/>
                <w:sz w:val="10"/>
                <w:szCs w:val="10"/>
                <w:lang w:val="fr-BE"/>
              </w:rPr>
            </w:pPr>
            <w:r w:rsidRPr="00A92B39">
              <w:rPr>
                <w:b/>
                <w:noProof/>
                <w:sz w:val="10"/>
                <w:szCs w:val="10"/>
                <w:lang w:val="fr-BE"/>
              </w:rPr>
              <w:t>Kobiety</w:t>
            </w:r>
          </w:p>
        </w:tc>
        <w:tc>
          <w:tcPr>
            <w:tcW w:w="0" w:type="auto"/>
            <w:shd w:val="clear" w:color="auto" w:fill="auto"/>
          </w:tcPr>
          <w:p w14:paraId="7E683E8D" w14:textId="77777777" w:rsidR="008C5CFA" w:rsidRPr="00A92B39" w:rsidRDefault="00E82A60" w:rsidP="00300A01">
            <w:pPr>
              <w:spacing w:before="0" w:after="0"/>
              <w:jc w:val="center"/>
              <w:rPr>
                <w:b/>
                <w:sz w:val="10"/>
                <w:szCs w:val="10"/>
                <w:lang w:val="fr-BE"/>
              </w:rPr>
            </w:pPr>
            <w:r w:rsidRPr="00A92B39">
              <w:rPr>
                <w:b/>
                <w:noProof/>
                <w:sz w:val="10"/>
                <w:szCs w:val="10"/>
                <w:lang w:val="fr-BE"/>
              </w:rPr>
              <w:t>Ogółem</w:t>
            </w:r>
          </w:p>
        </w:tc>
        <w:tc>
          <w:tcPr>
            <w:tcW w:w="0" w:type="auto"/>
            <w:shd w:val="clear" w:color="auto" w:fill="auto"/>
          </w:tcPr>
          <w:p w14:paraId="00349DD7" w14:textId="77777777" w:rsidR="008C5CFA" w:rsidRPr="00A92B39" w:rsidRDefault="00E82A60" w:rsidP="00300A01">
            <w:pPr>
              <w:spacing w:before="0" w:after="0"/>
              <w:jc w:val="center"/>
              <w:rPr>
                <w:b/>
                <w:sz w:val="10"/>
                <w:szCs w:val="10"/>
                <w:lang w:val="fr-BE"/>
              </w:rPr>
            </w:pPr>
            <w:r w:rsidRPr="00A92B39">
              <w:rPr>
                <w:b/>
                <w:noProof/>
                <w:sz w:val="10"/>
                <w:szCs w:val="10"/>
                <w:lang w:val="fr-BE"/>
              </w:rPr>
              <w:t>Mężczyźni</w:t>
            </w:r>
          </w:p>
        </w:tc>
        <w:tc>
          <w:tcPr>
            <w:tcW w:w="0" w:type="auto"/>
            <w:shd w:val="clear" w:color="auto" w:fill="auto"/>
          </w:tcPr>
          <w:p w14:paraId="7D97E2E5" w14:textId="77777777" w:rsidR="008C5CFA" w:rsidRPr="00A92B39" w:rsidRDefault="00E82A60" w:rsidP="00300A01">
            <w:pPr>
              <w:spacing w:before="0" w:after="0"/>
              <w:jc w:val="center"/>
              <w:rPr>
                <w:b/>
                <w:sz w:val="10"/>
                <w:szCs w:val="10"/>
                <w:lang w:val="fr-BE"/>
              </w:rPr>
            </w:pPr>
            <w:r w:rsidRPr="00A92B39">
              <w:rPr>
                <w:b/>
                <w:noProof/>
                <w:sz w:val="10"/>
                <w:szCs w:val="10"/>
                <w:lang w:val="fr-BE"/>
              </w:rPr>
              <w:t>Kobiety</w:t>
            </w:r>
          </w:p>
        </w:tc>
        <w:tc>
          <w:tcPr>
            <w:tcW w:w="0" w:type="auto"/>
          </w:tcPr>
          <w:p w14:paraId="46E86853" w14:textId="77777777" w:rsidR="008C5CFA" w:rsidRPr="00A92B39" w:rsidRDefault="00E82A60" w:rsidP="00300A01">
            <w:pPr>
              <w:spacing w:before="0" w:after="0"/>
              <w:jc w:val="center"/>
              <w:rPr>
                <w:b/>
                <w:sz w:val="10"/>
                <w:szCs w:val="10"/>
                <w:lang w:val="fr-BE"/>
              </w:rPr>
            </w:pPr>
            <w:r w:rsidRPr="00A92B39">
              <w:rPr>
                <w:b/>
                <w:noProof/>
                <w:sz w:val="10"/>
                <w:szCs w:val="10"/>
                <w:lang w:val="fr-BE"/>
              </w:rPr>
              <w:t>Ogółem</w:t>
            </w:r>
          </w:p>
        </w:tc>
        <w:tc>
          <w:tcPr>
            <w:tcW w:w="0" w:type="auto"/>
            <w:shd w:val="clear" w:color="auto" w:fill="auto"/>
          </w:tcPr>
          <w:p w14:paraId="5CF7070D" w14:textId="77777777" w:rsidR="008C5CFA" w:rsidRPr="00A92B39" w:rsidRDefault="00E82A60" w:rsidP="00300A01">
            <w:pPr>
              <w:spacing w:before="0" w:after="0"/>
              <w:jc w:val="center"/>
              <w:rPr>
                <w:b/>
                <w:sz w:val="10"/>
                <w:szCs w:val="10"/>
                <w:lang w:val="fr-BE"/>
              </w:rPr>
            </w:pPr>
            <w:r w:rsidRPr="00A92B39">
              <w:rPr>
                <w:b/>
                <w:noProof/>
                <w:sz w:val="10"/>
                <w:szCs w:val="10"/>
                <w:lang w:val="fr-BE"/>
              </w:rPr>
              <w:t>Mężczyźni</w:t>
            </w:r>
          </w:p>
        </w:tc>
        <w:tc>
          <w:tcPr>
            <w:tcW w:w="0" w:type="auto"/>
            <w:shd w:val="clear" w:color="auto" w:fill="auto"/>
          </w:tcPr>
          <w:p w14:paraId="0BD661D5" w14:textId="77777777" w:rsidR="008C5CFA" w:rsidRPr="00A92B39" w:rsidRDefault="00E82A60" w:rsidP="00300A01">
            <w:pPr>
              <w:spacing w:before="0" w:after="0"/>
              <w:jc w:val="center"/>
              <w:rPr>
                <w:b/>
                <w:sz w:val="10"/>
                <w:szCs w:val="10"/>
                <w:lang w:val="fr-BE"/>
              </w:rPr>
            </w:pPr>
            <w:r w:rsidRPr="00A92B39">
              <w:rPr>
                <w:b/>
                <w:noProof/>
                <w:sz w:val="10"/>
                <w:szCs w:val="10"/>
                <w:lang w:val="fr-BE"/>
              </w:rPr>
              <w:t>Kobiety</w:t>
            </w:r>
          </w:p>
        </w:tc>
      </w:tr>
      <w:tr w:rsidR="006B2EC1" w14:paraId="7A1AED96" w14:textId="77777777" w:rsidTr="002A1502">
        <w:tc>
          <w:tcPr>
            <w:tcW w:w="0" w:type="auto"/>
            <w:shd w:val="clear" w:color="auto" w:fill="auto"/>
          </w:tcPr>
          <w:p w14:paraId="07E347F6" w14:textId="77777777" w:rsidR="008C5CFA" w:rsidRPr="00A92B39" w:rsidRDefault="00E82A60" w:rsidP="00300A01">
            <w:pPr>
              <w:spacing w:before="0" w:after="0"/>
              <w:rPr>
                <w:sz w:val="10"/>
                <w:szCs w:val="10"/>
                <w:lang w:val="fr-BE"/>
              </w:rPr>
            </w:pPr>
            <w:r w:rsidRPr="00A92B39">
              <w:rPr>
                <w:noProof/>
                <w:sz w:val="10"/>
                <w:szCs w:val="10"/>
                <w:lang w:val="fr-BE"/>
              </w:rPr>
              <w:t>007</w:t>
            </w:r>
          </w:p>
        </w:tc>
        <w:tc>
          <w:tcPr>
            <w:tcW w:w="0" w:type="auto"/>
            <w:shd w:val="clear" w:color="auto" w:fill="auto"/>
          </w:tcPr>
          <w:p w14:paraId="354C5D31" w14:textId="77777777" w:rsidR="008C5CFA" w:rsidRPr="00A92B39" w:rsidRDefault="00E82A60" w:rsidP="00300A01">
            <w:pPr>
              <w:spacing w:before="0" w:after="0"/>
              <w:rPr>
                <w:sz w:val="10"/>
                <w:szCs w:val="10"/>
                <w:lang w:val="fr-BE"/>
              </w:rPr>
            </w:pPr>
            <w:r w:rsidRPr="00A92B39">
              <w:rPr>
                <w:noProof/>
                <w:sz w:val="10"/>
                <w:szCs w:val="10"/>
                <w:lang w:val="fr-BE"/>
              </w:rPr>
              <w:t>Liczba osób o niskich kwalifikacjach, objętych wsparciem  w programie</w:t>
            </w:r>
          </w:p>
        </w:tc>
        <w:tc>
          <w:tcPr>
            <w:tcW w:w="0" w:type="auto"/>
            <w:shd w:val="clear" w:color="auto" w:fill="auto"/>
          </w:tcPr>
          <w:p w14:paraId="4D9FFCD0" w14:textId="77777777" w:rsidR="008C5CFA" w:rsidRPr="00A92B39" w:rsidRDefault="00E82A60" w:rsidP="00300A01">
            <w:pPr>
              <w:spacing w:before="0" w:after="0"/>
              <w:rPr>
                <w:sz w:val="10"/>
                <w:szCs w:val="10"/>
                <w:lang w:val="fr-BE"/>
              </w:rPr>
            </w:pPr>
            <w:r w:rsidRPr="00A92B39">
              <w:rPr>
                <w:noProof/>
                <w:sz w:val="10"/>
                <w:szCs w:val="10"/>
                <w:lang w:val="fr-BE"/>
              </w:rPr>
              <w:t>Słabiej rozwinięte</w:t>
            </w:r>
          </w:p>
        </w:tc>
        <w:tc>
          <w:tcPr>
            <w:tcW w:w="0" w:type="auto"/>
          </w:tcPr>
          <w:p w14:paraId="0DB29381" w14:textId="77777777" w:rsidR="008C5CFA" w:rsidRPr="00A92B39" w:rsidRDefault="00E82A60" w:rsidP="00300A01">
            <w:pPr>
              <w:spacing w:before="0" w:after="0"/>
              <w:rPr>
                <w:sz w:val="10"/>
                <w:szCs w:val="10"/>
                <w:lang w:val="fr-BE"/>
              </w:rPr>
            </w:pPr>
            <w:r w:rsidRPr="00A92B39">
              <w:rPr>
                <w:noProof/>
                <w:sz w:val="10"/>
                <w:szCs w:val="10"/>
                <w:lang w:val="fr-BE"/>
              </w:rPr>
              <w:t>osoba</w:t>
            </w:r>
          </w:p>
        </w:tc>
        <w:tc>
          <w:tcPr>
            <w:tcW w:w="0" w:type="auto"/>
            <w:shd w:val="clear" w:color="auto" w:fill="auto"/>
          </w:tcPr>
          <w:p w14:paraId="16D16A79" w14:textId="77777777" w:rsidR="008C5CFA" w:rsidRPr="00A92B39" w:rsidRDefault="00E82A60" w:rsidP="00300A01">
            <w:pPr>
              <w:spacing w:before="0" w:after="0"/>
              <w:jc w:val="right"/>
              <w:rPr>
                <w:sz w:val="10"/>
                <w:szCs w:val="10"/>
                <w:lang w:val="fr-BE"/>
              </w:rPr>
            </w:pPr>
            <w:r w:rsidRPr="00A92B39">
              <w:rPr>
                <w:noProof/>
                <w:sz w:val="10"/>
                <w:szCs w:val="10"/>
                <w:lang w:val="fr-BE"/>
              </w:rPr>
              <w:t>3 661,00</w:t>
            </w:r>
          </w:p>
        </w:tc>
        <w:tc>
          <w:tcPr>
            <w:tcW w:w="0" w:type="auto"/>
            <w:shd w:val="clear" w:color="auto" w:fill="auto"/>
          </w:tcPr>
          <w:p w14:paraId="7AEE56AE" w14:textId="77777777" w:rsidR="008C5CFA" w:rsidRPr="00A92B39" w:rsidRDefault="008C5CFA" w:rsidP="00300A01">
            <w:pPr>
              <w:spacing w:before="0" w:after="0"/>
              <w:jc w:val="right"/>
              <w:rPr>
                <w:sz w:val="10"/>
                <w:szCs w:val="10"/>
                <w:lang w:val="fr-BE"/>
              </w:rPr>
            </w:pPr>
          </w:p>
        </w:tc>
        <w:tc>
          <w:tcPr>
            <w:tcW w:w="0" w:type="auto"/>
            <w:shd w:val="clear" w:color="auto" w:fill="auto"/>
          </w:tcPr>
          <w:p w14:paraId="2480504B" w14:textId="77777777" w:rsidR="008C5CFA" w:rsidRPr="00A92B39" w:rsidRDefault="008C5CFA" w:rsidP="00300A01">
            <w:pPr>
              <w:spacing w:before="0" w:after="0"/>
              <w:jc w:val="right"/>
              <w:rPr>
                <w:sz w:val="10"/>
                <w:szCs w:val="10"/>
                <w:lang w:val="fr-BE"/>
              </w:rPr>
            </w:pPr>
          </w:p>
        </w:tc>
        <w:tc>
          <w:tcPr>
            <w:tcW w:w="0" w:type="auto"/>
            <w:shd w:val="clear" w:color="auto" w:fill="auto"/>
          </w:tcPr>
          <w:p w14:paraId="6995031E" w14:textId="77777777" w:rsidR="008C5CFA" w:rsidRPr="00A92B39" w:rsidRDefault="00E82A60" w:rsidP="00300A01">
            <w:pPr>
              <w:spacing w:before="0" w:after="0"/>
              <w:jc w:val="right"/>
              <w:rPr>
                <w:sz w:val="10"/>
                <w:szCs w:val="10"/>
                <w:lang w:val="fr-BE"/>
              </w:rPr>
            </w:pPr>
            <w:r w:rsidRPr="00A92B39">
              <w:rPr>
                <w:noProof/>
                <w:sz w:val="10"/>
                <w:szCs w:val="10"/>
                <w:lang w:val="fr-BE"/>
              </w:rPr>
              <w:t>6 760,00</w:t>
            </w:r>
          </w:p>
        </w:tc>
        <w:tc>
          <w:tcPr>
            <w:tcW w:w="0" w:type="auto"/>
            <w:shd w:val="clear" w:color="auto" w:fill="auto"/>
          </w:tcPr>
          <w:p w14:paraId="14A586BE"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14:paraId="2D2EEFA1"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14:paraId="7CABCDB3" w14:textId="77777777" w:rsidR="008C5CFA" w:rsidRPr="00A92B39" w:rsidRDefault="00E82A60" w:rsidP="00300A01">
            <w:pPr>
              <w:spacing w:before="0" w:after="0"/>
              <w:jc w:val="right"/>
              <w:rPr>
                <w:sz w:val="10"/>
                <w:szCs w:val="10"/>
                <w:lang w:val="fr-BE"/>
              </w:rPr>
            </w:pPr>
            <w:r>
              <w:rPr>
                <w:noProof/>
                <w:sz w:val="10"/>
                <w:szCs w:val="10"/>
                <w:lang w:val="fr-BE"/>
              </w:rPr>
              <w:t>1,85</w:t>
            </w:r>
          </w:p>
        </w:tc>
        <w:tc>
          <w:tcPr>
            <w:tcW w:w="0" w:type="auto"/>
            <w:shd w:val="clear" w:color="auto" w:fill="auto"/>
          </w:tcPr>
          <w:p w14:paraId="65FF408A" w14:textId="77777777" w:rsidR="008C5CFA" w:rsidRPr="00A92B39" w:rsidRDefault="008C5CFA" w:rsidP="00300A01">
            <w:pPr>
              <w:spacing w:before="0" w:after="0"/>
              <w:jc w:val="right"/>
              <w:rPr>
                <w:sz w:val="10"/>
                <w:szCs w:val="10"/>
                <w:lang w:val="fr-BE"/>
              </w:rPr>
            </w:pPr>
          </w:p>
        </w:tc>
        <w:tc>
          <w:tcPr>
            <w:tcW w:w="0" w:type="auto"/>
            <w:shd w:val="clear" w:color="auto" w:fill="auto"/>
          </w:tcPr>
          <w:p w14:paraId="0C5BD95C" w14:textId="77777777" w:rsidR="008C5CFA" w:rsidRPr="00A92B39" w:rsidRDefault="008C5CFA" w:rsidP="00300A01">
            <w:pPr>
              <w:spacing w:before="0" w:after="0"/>
              <w:jc w:val="right"/>
              <w:rPr>
                <w:sz w:val="10"/>
                <w:szCs w:val="10"/>
                <w:lang w:val="fr-BE"/>
              </w:rPr>
            </w:pPr>
          </w:p>
        </w:tc>
        <w:tc>
          <w:tcPr>
            <w:tcW w:w="0" w:type="auto"/>
          </w:tcPr>
          <w:p w14:paraId="3AAE4F20" w14:textId="77777777" w:rsidR="008C5CFA" w:rsidRPr="00A92B39" w:rsidRDefault="00E82A60" w:rsidP="00300A01">
            <w:pPr>
              <w:spacing w:before="0" w:after="0"/>
              <w:jc w:val="right"/>
              <w:rPr>
                <w:sz w:val="10"/>
                <w:szCs w:val="10"/>
                <w:lang w:val="fr-BE"/>
              </w:rPr>
            </w:pPr>
            <w:r w:rsidRPr="00A92B39">
              <w:rPr>
                <w:noProof/>
                <w:sz w:val="10"/>
                <w:szCs w:val="10"/>
                <w:lang w:val="fr-BE"/>
              </w:rPr>
              <w:t>5 452,00</w:t>
            </w:r>
          </w:p>
        </w:tc>
        <w:tc>
          <w:tcPr>
            <w:tcW w:w="0" w:type="auto"/>
            <w:shd w:val="clear" w:color="auto" w:fill="auto"/>
          </w:tcPr>
          <w:p w14:paraId="4C1E5B03"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14:paraId="43965A81"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r>
      <w:tr w:rsidR="006B2EC1" w14:paraId="0602EF73" w14:textId="77777777" w:rsidTr="002A1502">
        <w:tc>
          <w:tcPr>
            <w:tcW w:w="0" w:type="auto"/>
            <w:shd w:val="clear" w:color="auto" w:fill="auto"/>
          </w:tcPr>
          <w:p w14:paraId="761994D1" w14:textId="77777777" w:rsidR="008C5CFA" w:rsidRPr="00A92B39" w:rsidRDefault="00E82A60" w:rsidP="00300A01">
            <w:pPr>
              <w:spacing w:before="0" w:after="0"/>
              <w:rPr>
                <w:sz w:val="10"/>
                <w:szCs w:val="10"/>
                <w:lang w:val="fr-BE"/>
              </w:rPr>
            </w:pPr>
            <w:r w:rsidRPr="00A92B39">
              <w:rPr>
                <w:noProof/>
                <w:sz w:val="10"/>
                <w:szCs w:val="10"/>
                <w:lang w:val="fr-BE"/>
              </w:rPr>
              <w:t>008</w:t>
            </w:r>
          </w:p>
        </w:tc>
        <w:tc>
          <w:tcPr>
            <w:tcW w:w="0" w:type="auto"/>
            <w:shd w:val="clear" w:color="auto" w:fill="auto"/>
          </w:tcPr>
          <w:p w14:paraId="4E6F038C" w14:textId="77777777" w:rsidR="008C5CFA" w:rsidRPr="00A92B39" w:rsidRDefault="00E82A60" w:rsidP="00300A01">
            <w:pPr>
              <w:spacing w:before="0" w:after="0"/>
              <w:rPr>
                <w:sz w:val="10"/>
                <w:szCs w:val="10"/>
                <w:lang w:val="fr-BE"/>
              </w:rPr>
            </w:pPr>
            <w:r w:rsidRPr="00A92B39">
              <w:rPr>
                <w:noProof/>
                <w:sz w:val="10"/>
                <w:szCs w:val="10"/>
                <w:lang w:val="fr-BE"/>
              </w:rPr>
              <w:t>Liczba osób w wieku 50 lat i więcej objętych wsparciem  w programie</w:t>
            </w:r>
          </w:p>
        </w:tc>
        <w:tc>
          <w:tcPr>
            <w:tcW w:w="0" w:type="auto"/>
            <w:shd w:val="clear" w:color="auto" w:fill="auto"/>
          </w:tcPr>
          <w:p w14:paraId="13E7E1D0" w14:textId="77777777" w:rsidR="008C5CFA" w:rsidRPr="00A92B39" w:rsidRDefault="00E82A60" w:rsidP="00300A01">
            <w:pPr>
              <w:spacing w:before="0" w:after="0"/>
              <w:rPr>
                <w:sz w:val="10"/>
                <w:szCs w:val="10"/>
                <w:lang w:val="fr-BE"/>
              </w:rPr>
            </w:pPr>
            <w:r w:rsidRPr="00A92B39">
              <w:rPr>
                <w:noProof/>
                <w:sz w:val="10"/>
                <w:szCs w:val="10"/>
                <w:lang w:val="fr-BE"/>
              </w:rPr>
              <w:t>Słabiej rozwinięte</w:t>
            </w:r>
          </w:p>
        </w:tc>
        <w:tc>
          <w:tcPr>
            <w:tcW w:w="0" w:type="auto"/>
          </w:tcPr>
          <w:p w14:paraId="41CE94C5" w14:textId="77777777" w:rsidR="008C5CFA" w:rsidRPr="00A92B39" w:rsidRDefault="00E82A60" w:rsidP="00300A01">
            <w:pPr>
              <w:spacing w:before="0" w:after="0"/>
              <w:rPr>
                <w:sz w:val="10"/>
                <w:szCs w:val="10"/>
                <w:lang w:val="fr-BE"/>
              </w:rPr>
            </w:pPr>
            <w:r w:rsidRPr="00A92B39">
              <w:rPr>
                <w:noProof/>
                <w:sz w:val="10"/>
                <w:szCs w:val="10"/>
                <w:lang w:val="fr-BE"/>
              </w:rPr>
              <w:t>osoba</w:t>
            </w:r>
          </w:p>
        </w:tc>
        <w:tc>
          <w:tcPr>
            <w:tcW w:w="0" w:type="auto"/>
            <w:shd w:val="clear" w:color="auto" w:fill="auto"/>
          </w:tcPr>
          <w:p w14:paraId="2D2E29DA" w14:textId="77777777" w:rsidR="008C5CFA" w:rsidRPr="00A92B39" w:rsidRDefault="00E82A60" w:rsidP="00300A01">
            <w:pPr>
              <w:spacing w:before="0" w:after="0"/>
              <w:jc w:val="right"/>
              <w:rPr>
                <w:sz w:val="10"/>
                <w:szCs w:val="10"/>
                <w:lang w:val="fr-BE"/>
              </w:rPr>
            </w:pPr>
            <w:r w:rsidRPr="00A92B39">
              <w:rPr>
                <w:noProof/>
                <w:sz w:val="10"/>
                <w:szCs w:val="10"/>
                <w:lang w:val="fr-BE"/>
              </w:rPr>
              <w:t>3 661,00</w:t>
            </w:r>
          </w:p>
        </w:tc>
        <w:tc>
          <w:tcPr>
            <w:tcW w:w="0" w:type="auto"/>
            <w:shd w:val="clear" w:color="auto" w:fill="auto"/>
          </w:tcPr>
          <w:p w14:paraId="5F085354" w14:textId="77777777" w:rsidR="008C5CFA" w:rsidRPr="00A92B39" w:rsidRDefault="008C5CFA" w:rsidP="00300A01">
            <w:pPr>
              <w:spacing w:before="0" w:after="0"/>
              <w:jc w:val="right"/>
              <w:rPr>
                <w:sz w:val="10"/>
                <w:szCs w:val="10"/>
                <w:lang w:val="fr-BE"/>
              </w:rPr>
            </w:pPr>
          </w:p>
        </w:tc>
        <w:tc>
          <w:tcPr>
            <w:tcW w:w="0" w:type="auto"/>
            <w:shd w:val="clear" w:color="auto" w:fill="auto"/>
          </w:tcPr>
          <w:p w14:paraId="5D71B420" w14:textId="77777777" w:rsidR="008C5CFA" w:rsidRPr="00A92B39" w:rsidRDefault="008C5CFA" w:rsidP="00300A01">
            <w:pPr>
              <w:spacing w:before="0" w:after="0"/>
              <w:jc w:val="right"/>
              <w:rPr>
                <w:sz w:val="10"/>
                <w:szCs w:val="10"/>
                <w:lang w:val="fr-BE"/>
              </w:rPr>
            </w:pPr>
          </w:p>
        </w:tc>
        <w:tc>
          <w:tcPr>
            <w:tcW w:w="0" w:type="auto"/>
            <w:shd w:val="clear" w:color="auto" w:fill="auto"/>
          </w:tcPr>
          <w:p w14:paraId="6E181E11" w14:textId="77777777" w:rsidR="008C5CFA" w:rsidRPr="00A92B39" w:rsidRDefault="00E82A60" w:rsidP="00300A01">
            <w:pPr>
              <w:spacing w:before="0" w:after="0"/>
              <w:jc w:val="right"/>
              <w:rPr>
                <w:sz w:val="10"/>
                <w:szCs w:val="10"/>
                <w:lang w:val="fr-BE"/>
              </w:rPr>
            </w:pPr>
            <w:r w:rsidRPr="00A92B39">
              <w:rPr>
                <w:noProof/>
                <w:sz w:val="10"/>
                <w:szCs w:val="10"/>
                <w:lang w:val="fr-BE"/>
              </w:rPr>
              <w:t>4 011,00</w:t>
            </w:r>
          </w:p>
        </w:tc>
        <w:tc>
          <w:tcPr>
            <w:tcW w:w="0" w:type="auto"/>
            <w:shd w:val="clear" w:color="auto" w:fill="auto"/>
          </w:tcPr>
          <w:p w14:paraId="2E466857"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14:paraId="5E1D9650"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14:paraId="301C6A8F" w14:textId="77777777" w:rsidR="008C5CFA" w:rsidRPr="00A92B39" w:rsidRDefault="00E82A60" w:rsidP="00300A01">
            <w:pPr>
              <w:spacing w:before="0" w:after="0"/>
              <w:jc w:val="right"/>
              <w:rPr>
                <w:sz w:val="10"/>
                <w:szCs w:val="10"/>
                <w:lang w:val="fr-BE"/>
              </w:rPr>
            </w:pPr>
            <w:r>
              <w:rPr>
                <w:noProof/>
                <w:sz w:val="10"/>
                <w:szCs w:val="10"/>
                <w:lang w:val="fr-BE"/>
              </w:rPr>
              <w:t>1,10</w:t>
            </w:r>
          </w:p>
        </w:tc>
        <w:tc>
          <w:tcPr>
            <w:tcW w:w="0" w:type="auto"/>
            <w:shd w:val="clear" w:color="auto" w:fill="auto"/>
          </w:tcPr>
          <w:p w14:paraId="4D30AE37" w14:textId="77777777" w:rsidR="008C5CFA" w:rsidRPr="00A92B39" w:rsidRDefault="008C5CFA" w:rsidP="00300A01">
            <w:pPr>
              <w:spacing w:before="0" w:after="0"/>
              <w:jc w:val="right"/>
              <w:rPr>
                <w:sz w:val="10"/>
                <w:szCs w:val="10"/>
                <w:lang w:val="fr-BE"/>
              </w:rPr>
            </w:pPr>
          </w:p>
        </w:tc>
        <w:tc>
          <w:tcPr>
            <w:tcW w:w="0" w:type="auto"/>
            <w:shd w:val="clear" w:color="auto" w:fill="auto"/>
          </w:tcPr>
          <w:p w14:paraId="5F984BA5" w14:textId="77777777" w:rsidR="008C5CFA" w:rsidRPr="00A92B39" w:rsidRDefault="008C5CFA" w:rsidP="00300A01">
            <w:pPr>
              <w:spacing w:before="0" w:after="0"/>
              <w:jc w:val="right"/>
              <w:rPr>
                <w:sz w:val="10"/>
                <w:szCs w:val="10"/>
                <w:lang w:val="fr-BE"/>
              </w:rPr>
            </w:pPr>
          </w:p>
        </w:tc>
        <w:tc>
          <w:tcPr>
            <w:tcW w:w="0" w:type="auto"/>
          </w:tcPr>
          <w:p w14:paraId="709AE6B5" w14:textId="77777777" w:rsidR="008C5CFA" w:rsidRPr="00A92B39" w:rsidRDefault="00E82A60" w:rsidP="00300A01">
            <w:pPr>
              <w:spacing w:before="0" w:after="0"/>
              <w:jc w:val="right"/>
              <w:rPr>
                <w:sz w:val="10"/>
                <w:szCs w:val="10"/>
                <w:lang w:val="fr-BE"/>
              </w:rPr>
            </w:pPr>
            <w:r w:rsidRPr="00A92B39">
              <w:rPr>
                <w:noProof/>
                <w:sz w:val="10"/>
                <w:szCs w:val="10"/>
                <w:lang w:val="fr-BE"/>
              </w:rPr>
              <w:t>3 116,00</w:t>
            </w:r>
          </w:p>
        </w:tc>
        <w:tc>
          <w:tcPr>
            <w:tcW w:w="0" w:type="auto"/>
            <w:shd w:val="clear" w:color="auto" w:fill="auto"/>
          </w:tcPr>
          <w:p w14:paraId="0191B1EE"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14:paraId="4D63BAD2"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r>
      <w:tr w:rsidR="006B2EC1" w14:paraId="6CDEEAF9" w14:textId="77777777" w:rsidTr="002A1502">
        <w:tc>
          <w:tcPr>
            <w:tcW w:w="0" w:type="auto"/>
            <w:shd w:val="clear" w:color="auto" w:fill="auto"/>
          </w:tcPr>
          <w:p w14:paraId="39A8AF99" w14:textId="77777777" w:rsidR="008C5CFA" w:rsidRPr="00A92B39" w:rsidRDefault="00E82A60" w:rsidP="00300A01">
            <w:pPr>
              <w:spacing w:before="0" w:after="0"/>
              <w:rPr>
                <w:sz w:val="10"/>
                <w:szCs w:val="10"/>
                <w:lang w:val="fr-BE"/>
              </w:rPr>
            </w:pPr>
            <w:r w:rsidRPr="00A92B39">
              <w:rPr>
                <w:noProof/>
                <w:sz w:val="10"/>
                <w:szCs w:val="10"/>
                <w:lang w:val="fr-BE"/>
              </w:rPr>
              <w:t>009</w:t>
            </w:r>
          </w:p>
        </w:tc>
        <w:tc>
          <w:tcPr>
            <w:tcW w:w="0" w:type="auto"/>
            <w:shd w:val="clear" w:color="auto" w:fill="auto"/>
          </w:tcPr>
          <w:p w14:paraId="1765497D" w14:textId="77777777" w:rsidR="008C5CFA" w:rsidRPr="00A92B39" w:rsidRDefault="00E82A60" w:rsidP="00300A01">
            <w:pPr>
              <w:spacing w:before="0" w:after="0"/>
              <w:rPr>
                <w:sz w:val="10"/>
                <w:szCs w:val="10"/>
                <w:lang w:val="fr-BE"/>
              </w:rPr>
            </w:pPr>
            <w:r w:rsidRPr="00A92B39">
              <w:rPr>
                <w:noProof/>
                <w:sz w:val="10"/>
                <w:szCs w:val="10"/>
                <w:lang w:val="fr-BE"/>
              </w:rPr>
              <w:t>Liczba osób w wieku 25 lat i więcej objętych wsparciem w programie</w:t>
            </w:r>
          </w:p>
        </w:tc>
        <w:tc>
          <w:tcPr>
            <w:tcW w:w="0" w:type="auto"/>
            <w:shd w:val="clear" w:color="auto" w:fill="auto"/>
          </w:tcPr>
          <w:p w14:paraId="23C11023" w14:textId="77777777" w:rsidR="008C5CFA" w:rsidRPr="00A92B39" w:rsidRDefault="00E82A60" w:rsidP="00300A01">
            <w:pPr>
              <w:spacing w:before="0" w:after="0"/>
              <w:rPr>
                <w:sz w:val="10"/>
                <w:szCs w:val="10"/>
                <w:lang w:val="fr-BE"/>
              </w:rPr>
            </w:pPr>
            <w:r w:rsidRPr="00A92B39">
              <w:rPr>
                <w:noProof/>
                <w:sz w:val="10"/>
                <w:szCs w:val="10"/>
                <w:lang w:val="fr-BE"/>
              </w:rPr>
              <w:t>Słabiej rozwinięte</w:t>
            </w:r>
          </w:p>
        </w:tc>
        <w:tc>
          <w:tcPr>
            <w:tcW w:w="0" w:type="auto"/>
          </w:tcPr>
          <w:p w14:paraId="4094CC62" w14:textId="77777777" w:rsidR="008C5CFA" w:rsidRPr="00A92B39" w:rsidRDefault="00E82A60" w:rsidP="00300A01">
            <w:pPr>
              <w:spacing w:before="0" w:after="0"/>
              <w:rPr>
                <w:sz w:val="10"/>
                <w:szCs w:val="10"/>
                <w:lang w:val="fr-BE"/>
              </w:rPr>
            </w:pPr>
            <w:r w:rsidRPr="00A92B39">
              <w:rPr>
                <w:noProof/>
                <w:sz w:val="10"/>
                <w:szCs w:val="10"/>
                <w:lang w:val="fr-BE"/>
              </w:rPr>
              <w:t>osoba</w:t>
            </w:r>
          </w:p>
        </w:tc>
        <w:tc>
          <w:tcPr>
            <w:tcW w:w="0" w:type="auto"/>
            <w:shd w:val="clear" w:color="auto" w:fill="auto"/>
          </w:tcPr>
          <w:p w14:paraId="277191E3" w14:textId="77777777" w:rsidR="008C5CFA" w:rsidRPr="00A92B39" w:rsidRDefault="00E82A60" w:rsidP="00300A01">
            <w:pPr>
              <w:spacing w:before="0" w:after="0"/>
              <w:jc w:val="right"/>
              <w:rPr>
                <w:sz w:val="10"/>
                <w:szCs w:val="10"/>
                <w:lang w:val="fr-BE"/>
              </w:rPr>
            </w:pPr>
            <w:r w:rsidRPr="00A92B39">
              <w:rPr>
                <w:noProof/>
                <w:sz w:val="10"/>
                <w:szCs w:val="10"/>
                <w:lang w:val="fr-BE"/>
              </w:rPr>
              <w:t>12 204,00</w:t>
            </w:r>
          </w:p>
        </w:tc>
        <w:tc>
          <w:tcPr>
            <w:tcW w:w="0" w:type="auto"/>
            <w:shd w:val="clear" w:color="auto" w:fill="auto"/>
          </w:tcPr>
          <w:p w14:paraId="4AF6737A" w14:textId="77777777" w:rsidR="008C5CFA" w:rsidRPr="00A92B39" w:rsidRDefault="008C5CFA" w:rsidP="00300A01">
            <w:pPr>
              <w:spacing w:before="0" w:after="0"/>
              <w:jc w:val="right"/>
              <w:rPr>
                <w:sz w:val="10"/>
                <w:szCs w:val="10"/>
                <w:lang w:val="fr-BE"/>
              </w:rPr>
            </w:pPr>
          </w:p>
        </w:tc>
        <w:tc>
          <w:tcPr>
            <w:tcW w:w="0" w:type="auto"/>
            <w:shd w:val="clear" w:color="auto" w:fill="auto"/>
          </w:tcPr>
          <w:p w14:paraId="6BB8EA22" w14:textId="77777777" w:rsidR="008C5CFA" w:rsidRPr="00A92B39" w:rsidRDefault="008C5CFA" w:rsidP="00300A01">
            <w:pPr>
              <w:spacing w:before="0" w:after="0"/>
              <w:jc w:val="right"/>
              <w:rPr>
                <w:sz w:val="10"/>
                <w:szCs w:val="10"/>
                <w:lang w:val="fr-BE"/>
              </w:rPr>
            </w:pPr>
          </w:p>
        </w:tc>
        <w:tc>
          <w:tcPr>
            <w:tcW w:w="0" w:type="auto"/>
            <w:shd w:val="clear" w:color="auto" w:fill="auto"/>
          </w:tcPr>
          <w:p w14:paraId="2FFAF9E3" w14:textId="77777777" w:rsidR="008C5CFA" w:rsidRPr="00A92B39" w:rsidRDefault="00E82A60" w:rsidP="00300A01">
            <w:pPr>
              <w:spacing w:before="0" w:after="0"/>
              <w:jc w:val="right"/>
              <w:rPr>
                <w:sz w:val="10"/>
                <w:szCs w:val="10"/>
                <w:lang w:val="fr-BE"/>
              </w:rPr>
            </w:pPr>
            <w:r w:rsidRPr="00A92B39">
              <w:rPr>
                <w:noProof/>
                <w:sz w:val="10"/>
                <w:szCs w:val="10"/>
                <w:lang w:val="fr-BE"/>
              </w:rPr>
              <w:t>7 457,00</w:t>
            </w:r>
          </w:p>
        </w:tc>
        <w:tc>
          <w:tcPr>
            <w:tcW w:w="0" w:type="auto"/>
            <w:shd w:val="clear" w:color="auto" w:fill="auto"/>
          </w:tcPr>
          <w:p w14:paraId="4A5143B8"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14:paraId="2A9FC3E9"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14:paraId="4E2B81DC" w14:textId="77777777" w:rsidR="008C5CFA" w:rsidRPr="00A92B39" w:rsidRDefault="00E82A60" w:rsidP="00300A01">
            <w:pPr>
              <w:spacing w:before="0" w:after="0"/>
              <w:jc w:val="right"/>
              <w:rPr>
                <w:sz w:val="10"/>
                <w:szCs w:val="10"/>
                <w:lang w:val="fr-BE"/>
              </w:rPr>
            </w:pPr>
            <w:r>
              <w:rPr>
                <w:noProof/>
                <w:sz w:val="10"/>
                <w:szCs w:val="10"/>
                <w:lang w:val="fr-BE"/>
              </w:rPr>
              <w:t>0,61</w:t>
            </w:r>
          </w:p>
        </w:tc>
        <w:tc>
          <w:tcPr>
            <w:tcW w:w="0" w:type="auto"/>
            <w:shd w:val="clear" w:color="auto" w:fill="auto"/>
          </w:tcPr>
          <w:p w14:paraId="7621A1F2" w14:textId="77777777" w:rsidR="008C5CFA" w:rsidRPr="00A92B39" w:rsidRDefault="008C5CFA" w:rsidP="00300A01">
            <w:pPr>
              <w:spacing w:before="0" w:after="0"/>
              <w:jc w:val="right"/>
              <w:rPr>
                <w:sz w:val="10"/>
                <w:szCs w:val="10"/>
                <w:lang w:val="fr-BE"/>
              </w:rPr>
            </w:pPr>
          </w:p>
        </w:tc>
        <w:tc>
          <w:tcPr>
            <w:tcW w:w="0" w:type="auto"/>
            <w:shd w:val="clear" w:color="auto" w:fill="auto"/>
          </w:tcPr>
          <w:p w14:paraId="034EB6A1" w14:textId="77777777" w:rsidR="008C5CFA" w:rsidRPr="00A92B39" w:rsidRDefault="008C5CFA" w:rsidP="00300A01">
            <w:pPr>
              <w:spacing w:before="0" w:after="0"/>
              <w:jc w:val="right"/>
              <w:rPr>
                <w:sz w:val="10"/>
                <w:szCs w:val="10"/>
                <w:lang w:val="fr-BE"/>
              </w:rPr>
            </w:pPr>
          </w:p>
        </w:tc>
        <w:tc>
          <w:tcPr>
            <w:tcW w:w="0" w:type="auto"/>
          </w:tcPr>
          <w:p w14:paraId="7DC0FFBF" w14:textId="77777777" w:rsidR="008C5CFA" w:rsidRPr="00A92B39" w:rsidRDefault="00E82A60" w:rsidP="00300A01">
            <w:pPr>
              <w:spacing w:before="0" w:after="0"/>
              <w:jc w:val="right"/>
              <w:rPr>
                <w:sz w:val="10"/>
                <w:szCs w:val="10"/>
                <w:lang w:val="fr-BE"/>
              </w:rPr>
            </w:pPr>
            <w:r w:rsidRPr="00A92B39">
              <w:rPr>
                <w:noProof/>
                <w:sz w:val="10"/>
                <w:szCs w:val="10"/>
                <w:lang w:val="fr-BE"/>
              </w:rPr>
              <w:t>5 966,00</w:t>
            </w:r>
          </w:p>
        </w:tc>
        <w:tc>
          <w:tcPr>
            <w:tcW w:w="0" w:type="auto"/>
            <w:shd w:val="clear" w:color="auto" w:fill="auto"/>
          </w:tcPr>
          <w:p w14:paraId="70204A9B"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14:paraId="21DB15C5"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r>
    </w:tbl>
    <w:p w14:paraId="3EE94C71"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98"/>
        <w:gridCol w:w="4286"/>
        <w:gridCol w:w="1213"/>
        <w:gridCol w:w="588"/>
        <w:gridCol w:w="734"/>
        <w:gridCol w:w="573"/>
        <w:gridCol w:w="566"/>
        <w:gridCol w:w="734"/>
        <w:gridCol w:w="573"/>
        <w:gridCol w:w="566"/>
        <w:gridCol w:w="734"/>
        <w:gridCol w:w="573"/>
        <w:gridCol w:w="566"/>
        <w:gridCol w:w="734"/>
        <w:gridCol w:w="573"/>
        <w:gridCol w:w="566"/>
        <w:gridCol w:w="734"/>
        <w:gridCol w:w="573"/>
      </w:tblGrid>
      <w:tr w:rsidR="006B2EC1" w14:paraId="7BDFBDBC" w14:textId="77777777" w:rsidTr="0047688D">
        <w:trPr>
          <w:tblHeader/>
        </w:trPr>
        <w:tc>
          <w:tcPr>
            <w:tcW w:w="0" w:type="auto"/>
            <w:shd w:val="clear" w:color="auto" w:fill="auto"/>
          </w:tcPr>
          <w:p w14:paraId="172659CE" w14:textId="77777777" w:rsidR="008C5CFA" w:rsidRPr="00A92B39" w:rsidRDefault="00E82A60" w:rsidP="00300A01">
            <w:pPr>
              <w:spacing w:before="0" w:after="0"/>
              <w:rPr>
                <w:b/>
                <w:sz w:val="10"/>
                <w:szCs w:val="10"/>
                <w:lang w:val="fr-BE"/>
              </w:rPr>
            </w:pPr>
            <w:r w:rsidRPr="00A92B39">
              <w:rPr>
                <w:b/>
                <w:noProof/>
                <w:sz w:val="10"/>
                <w:szCs w:val="10"/>
                <w:lang w:val="fr-BE"/>
              </w:rPr>
              <w:t>ID</w:t>
            </w:r>
          </w:p>
        </w:tc>
        <w:tc>
          <w:tcPr>
            <w:tcW w:w="0" w:type="auto"/>
            <w:shd w:val="clear" w:color="auto" w:fill="auto"/>
          </w:tcPr>
          <w:p w14:paraId="354FE3A4" w14:textId="77777777" w:rsidR="008C5CFA" w:rsidRPr="00A92B39" w:rsidRDefault="00E82A60" w:rsidP="00300A01">
            <w:pPr>
              <w:spacing w:before="0" w:after="0"/>
              <w:rPr>
                <w:b/>
                <w:sz w:val="10"/>
                <w:szCs w:val="10"/>
                <w:lang w:val="fr-BE"/>
              </w:rPr>
            </w:pPr>
            <w:r w:rsidRPr="00A92B39">
              <w:rPr>
                <w:b/>
                <w:noProof/>
                <w:sz w:val="10"/>
                <w:szCs w:val="10"/>
                <w:lang w:val="fr-BE"/>
              </w:rPr>
              <w:t>Wskaźnik</w:t>
            </w:r>
          </w:p>
        </w:tc>
        <w:tc>
          <w:tcPr>
            <w:tcW w:w="0" w:type="auto"/>
            <w:shd w:val="clear" w:color="auto" w:fill="auto"/>
          </w:tcPr>
          <w:p w14:paraId="54DCE012" w14:textId="77777777" w:rsidR="008C5CFA" w:rsidRPr="00A92B39" w:rsidRDefault="00E82A60" w:rsidP="00300A01">
            <w:pPr>
              <w:spacing w:before="0" w:after="0"/>
              <w:rPr>
                <w:b/>
                <w:sz w:val="10"/>
                <w:szCs w:val="10"/>
                <w:lang w:val="fr-BE"/>
              </w:rPr>
            </w:pPr>
            <w:r w:rsidRPr="00A92B39">
              <w:rPr>
                <w:b/>
                <w:noProof/>
                <w:sz w:val="10"/>
                <w:szCs w:val="10"/>
                <w:lang w:val="fr-BE"/>
              </w:rPr>
              <w:t>Kategoria regionu</w:t>
            </w:r>
          </w:p>
        </w:tc>
        <w:tc>
          <w:tcPr>
            <w:tcW w:w="0" w:type="auto"/>
            <w:gridSpan w:val="3"/>
            <w:shd w:val="clear" w:color="auto" w:fill="auto"/>
          </w:tcPr>
          <w:p w14:paraId="388CF60B" w14:textId="77777777" w:rsidR="008C5CFA" w:rsidRPr="00A92B39" w:rsidRDefault="00E82A60" w:rsidP="00300A01">
            <w:pPr>
              <w:spacing w:before="0" w:after="0"/>
              <w:jc w:val="center"/>
              <w:rPr>
                <w:b/>
                <w:sz w:val="10"/>
                <w:szCs w:val="10"/>
                <w:lang w:val="fr-BE"/>
              </w:rPr>
            </w:pPr>
            <w:r w:rsidRPr="00A92B39">
              <w:rPr>
                <w:b/>
                <w:sz w:val="10"/>
                <w:szCs w:val="10"/>
                <w:lang w:val="fr-BE"/>
              </w:rPr>
              <w:t>20</w:t>
            </w:r>
            <w:r>
              <w:rPr>
                <w:b/>
                <w:sz w:val="10"/>
                <w:szCs w:val="10"/>
                <w:lang w:val="fr-BE"/>
              </w:rPr>
              <w:t>18</w:t>
            </w:r>
          </w:p>
        </w:tc>
        <w:tc>
          <w:tcPr>
            <w:tcW w:w="0" w:type="auto"/>
            <w:gridSpan w:val="3"/>
          </w:tcPr>
          <w:p w14:paraId="12C7E63B" w14:textId="77777777" w:rsidR="008C5CFA" w:rsidRPr="00A92B39" w:rsidRDefault="00E82A60" w:rsidP="00300A01">
            <w:pPr>
              <w:spacing w:before="0" w:after="0"/>
              <w:jc w:val="center"/>
              <w:rPr>
                <w:b/>
                <w:sz w:val="10"/>
                <w:szCs w:val="10"/>
                <w:lang w:val="fr-BE"/>
              </w:rPr>
            </w:pPr>
            <w:r>
              <w:rPr>
                <w:b/>
                <w:sz w:val="10"/>
                <w:szCs w:val="10"/>
                <w:lang w:val="fr-BE"/>
              </w:rPr>
              <w:t>2017</w:t>
            </w:r>
          </w:p>
        </w:tc>
        <w:tc>
          <w:tcPr>
            <w:tcW w:w="0" w:type="auto"/>
            <w:gridSpan w:val="3"/>
          </w:tcPr>
          <w:p w14:paraId="19D81DEF" w14:textId="77777777" w:rsidR="008C5CFA" w:rsidRDefault="00E82A60" w:rsidP="00300A01">
            <w:pPr>
              <w:spacing w:before="0" w:after="0"/>
              <w:jc w:val="center"/>
              <w:rPr>
                <w:b/>
                <w:sz w:val="10"/>
                <w:szCs w:val="10"/>
                <w:lang w:val="fr-BE"/>
              </w:rPr>
            </w:pPr>
            <w:r>
              <w:rPr>
                <w:b/>
                <w:sz w:val="10"/>
                <w:szCs w:val="10"/>
                <w:lang w:val="fr-BE"/>
              </w:rPr>
              <w:t>2016</w:t>
            </w:r>
          </w:p>
        </w:tc>
        <w:tc>
          <w:tcPr>
            <w:tcW w:w="0" w:type="auto"/>
            <w:gridSpan w:val="3"/>
          </w:tcPr>
          <w:p w14:paraId="13010BA8" w14:textId="77777777" w:rsidR="008C5CFA" w:rsidRDefault="00E82A60" w:rsidP="00300A01">
            <w:pPr>
              <w:spacing w:before="0" w:after="0"/>
              <w:jc w:val="center"/>
              <w:rPr>
                <w:b/>
                <w:sz w:val="10"/>
                <w:szCs w:val="10"/>
                <w:lang w:val="fr-BE"/>
              </w:rPr>
            </w:pPr>
            <w:r>
              <w:rPr>
                <w:b/>
                <w:sz w:val="10"/>
                <w:szCs w:val="10"/>
                <w:lang w:val="fr-BE"/>
              </w:rPr>
              <w:t>2015</w:t>
            </w:r>
          </w:p>
        </w:tc>
        <w:tc>
          <w:tcPr>
            <w:tcW w:w="0" w:type="auto"/>
            <w:gridSpan w:val="3"/>
          </w:tcPr>
          <w:p w14:paraId="2A28D77E" w14:textId="77777777" w:rsidR="008C5CFA" w:rsidRDefault="00E82A60" w:rsidP="00300A01">
            <w:pPr>
              <w:spacing w:before="0" w:after="0"/>
              <w:jc w:val="center"/>
              <w:rPr>
                <w:b/>
                <w:sz w:val="10"/>
                <w:szCs w:val="10"/>
                <w:lang w:val="fr-BE"/>
              </w:rPr>
            </w:pPr>
            <w:r>
              <w:rPr>
                <w:b/>
                <w:sz w:val="10"/>
                <w:szCs w:val="10"/>
                <w:lang w:val="fr-BE"/>
              </w:rPr>
              <w:t>2014</w:t>
            </w:r>
          </w:p>
        </w:tc>
      </w:tr>
      <w:tr w:rsidR="006B2EC1" w14:paraId="776B66DD" w14:textId="77777777" w:rsidTr="0047688D">
        <w:trPr>
          <w:tblHeader/>
        </w:trPr>
        <w:tc>
          <w:tcPr>
            <w:tcW w:w="0" w:type="auto"/>
            <w:shd w:val="clear" w:color="auto" w:fill="auto"/>
          </w:tcPr>
          <w:p w14:paraId="517EC1A4" w14:textId="77777777" w:rsidR="008C5CFA" w:rsidRPr="00A92B39" w:rsidRDefault="008C5CFA" w:rsidP="00300A01">
            <w:pPr>
              <w:spacing w:before="0" w:after="0"/>
              <w:rPr>
                <w:sz w:val="10"/>
                <w:szCs w:val="10"/>
                <w:lang w:val="fr-BE"/>
              </w:rPr>
            </w:pPr>
          </w:p>
        </w:tc>
        <w:tc>
          <w:tcPr>
            <w:tcW w:w="0" w:type="auto"/>
            <w:shd w:val="clear" w:color="auto" w:fill="auto"/>
          </w:tcPr>
          <w:p w14:paraId="06D7A399" w14:textId="77777777" w:rsidR="008C5CFA" w:rsidRPr="00A92B39" w:rsidRDefault="008C5CFA" w:rsidP="00300A01">
            <w:pPr>
              <w:spacing w:before="0" w:after="0"/>
              <w:rPr>
                <w:sz w:val="10"/>
                <w:szCs w:val="10"/>
                <w:lang w:val="fr-BE"/>
              </w:rPr>
            </w:pPr>
          </w:p>
        </w:tc>
        <w:tc>
          <w:tcPr>
            <w:tcW w:w="0" w:type="auto"/>
            <w:shd w:val="clear" w:color="auto" w:fill="auto"/>
          </w:tcPr>
          <w:p w14:paraId="19ABD118" w14:textId="77777777" w:rsidR="008C5CFA" w:rsidRPr="00A92B39" w:rsidRDefault="008C5CFA" w:rsidP="00300A01">
            <w:pPr>
              <w:spacing w:before="0" w:after="0"/>
              <w:rPr>
                <w:sz w:val="10"/>
                <w:szCs w:val="10"/>
                <w:lang w:val="fr-BE"/>
              </w:rPr>
            </w:pPr>
          </w:p>
        </w:tc>
        <w:tc>
          <w:tcPr>
            <w:tcW w:w="0" w:type="auto"/>
            <w:shd w:val="clear" w:color="auto" w:fill="auto"/>
          </w:tcPr>
          <w:p w14:paraId="6F813525" w14:textId="77777777" w:rsidR="008C5CFA" w:rsidRPr="00A92B39" w:rsidRDefault="00E82A60" w:rsidP="00300A01">
            <w:pPr>
              <w:spacing w:before="0" w:after="0"/>
              <w:jc w:val="center"/>
              <w:rPr>
                <w:b/>
                <w:sz w:val="10"/>
                <w:szCs w:val="10"/>
                <w:lang w:val="fr-BE"/>
              </w:rPr>
            </w:pPr>
            <w:r w:rsidRPr="00A92B39">
              <w:rPr>
                <w:b/>
                <w:noProof/>
                <w:sz w:val="10"/>
                <w:szCs w:val="10"/>
                <w:lang w:val="fr-BE"/>
              </w:rPr>
              <w:t>Ogółem</w:t>
            </w:r>
          </w:p>
        </w:tc>
        <w:tc>
          <w:tcPr>
            <w:tcW w:w="0" w:type="auto"/>
            <w:shd w:val="clear" w:color="auto" w:fill="auto"/>
          </w:tcPr>
          <w:p w14:paraId="4AE0CBD2" w14:textId="77777777" w:rsidR="008C5CFA" w:rsidRPr="00A92B39" w:rsidRDefault="00E82A60" w:rsidP="00300A01">
            <w:pPr>
              <w:spacing w:before="0" w:after="0"/>
              <w:jc w:val="center"/>
              <w:rPr>
                <w:b/>
                <w:sz w:val="10"/>
                <w:szCs w:val="10"/>
                <w:lang w:val="fr-BE"/>
              </w:rPr>
            </w:pPr>
            <w:r w:rsidRPr="00A92B39">
              <w:rPr>
                <w:b/>
                <w:noProof/>
                <w:sz w:val="10"/>
                <w:szCs w:val="10"/>
                <w:lang w:val="fr-BE"/>
              </w:rPr>
              <w:t>Mężczyźni</w:t>
            </w:r>
          </w:p>
        </w:tc>
        <w:tc>
          <w:tcPr>
            <w:tcW w:w="0" w:type="auto"/>
            <w:shd w:val="clear" w:color="auto" w:fill="auto"/>
          </w:tcPr>
          <w:p w14:paraId="2CF8090A" w14:textId="77777777" w:rsidR="008C5CFA" w:rsidRPr="00A92B39" w:rsidRDefault="00E82A60" w:rsidP="00300A01">
            <w:pPr>
              <w:spacing w:before="0" w:after="0"/>
              <w:jc w:val="center"/>
              <w:rPr>
                <w:b/>
                <w:sz w:val="10"/>
                <w:szCs w:val="10"/>
                <w:lang w:val="fr-BE"/>
              </w:rPr>
            </w:pPr>
            <w:r w:rsidRPr="00A92B39">
              <w:rPr>
                <w:b/>
                <w:noProof/>
                <w:sz w:val="10"/>
                <w:szCs w:val="10"/>
                <w:lang w:val="fr-BE"/>
              </w:rPr>
              <w:t>Kobiety</w:t>
            </w:r>
          </w:p>
        </w:tc>
        <w:tc>
          <w:tcPr>
            <w:tcW w:w="0" w:type="auto"/>
          </w:tcPr>
          <w:p w14:paraId="427F7EA1" w14:textId="77777777" w:rsidR="008C5CFA" w:rsidRPr="00A92B39" w:rsidRDefault="00E82A60" w:rsidP="00300A01">
            <w:pPr>
              <w:spacing w:before="0" w:after="0"/>
              <w:jc w:val="center"/>
              <w:rPr>
                <w:b/>
                <w:sz w:val="10"/>
                <w:szCs w:val="10"/>
                <w:lang w:val="fr-BE"/>
              </w:rPr>
            </w:pPr>
            <w:r w:rsidRPr="00A92B39">
              <w:rPr>
                <w:b/>
                <w:noProof/>
                <w:sz w:val="10"/>
                <w:szCs w:val="10"/>
                <w:lang w:val="fr-BE"/>
              </w:rPr>
              <w:t>Ogółem</w:t>
            </w:r>
          </w:p>
        </w:tc>
        <w:tc>
          <w:tcPr>
            <w:tcW w:w="0" w:type="auto"/>
          </w:tcPr>
          <w:p w14:paraId="3029B098" w14:textId="77777777" w:rsidR="008C5CFA" w:rsidRPr="00A92B39" w:rsidRDefault="00E82A60" w:rsidP="00300A01">
            <w:pPr>
              <w:spacing w:before="0" w:after="0"/>
              <w:jc w:val="center"/>
              <w:rPr>
                <w:b/>
                <w:sz w:val="10"/>
                <w:szCs w:val="10"/>
                <w:lang w:val="fr-BE"/>
              </w:rPr>
            </w:pPr>
            <w:r w:rsidRPr="00A92B39">
              <w:rPr>
                <w:b/>
                <w:noProof/>
                <w:sz w:val="10"/>
                <w:szCs w:val="10"/>
                <w:lang w:val="fr-BE"/>
              </w:rPr>
              <w:t>Mężczyźni</w:t>
            </w:r>
          </w:p>
        </w:tc>
        <w:tc>
          <w:tcPr>
            <w:tcW w:w="0" w:type="auto"/>
          </w:tcPr>
          <w:p w14:paraId="4A688358" w14:textId="77777777" w:rsidR="008C5CFA" w:rsidRPr="00A92B39" w:rsidRDefault="00E82A60" w:rsidP="00300A01">
            <w:pPr>
              <w:spacing w:before="0" w:after="0"/>
              <w:jc w:val="center"/>
              <w:rPr>
                <w:b/>
                <w:sz w:val="10"/>
                <w:szCs w:val="10"/>
                <w:lang w:val="fr-BE"/>
              </w:rPr>
            </w:pPr>
            <w:r w:rsidRPr="00A92B39">
              <w:rPr>
                <w:b/>
                <w:noProof/>
                <w:sz w:val="10"/>
                <w:szCs w:val="10"/>
                <w:lang w:val="fr-BE"/>
              </w:rPr>
              <w:t>Kobiety</w:t>
            </w:r>
          </w:p>
        </w:tc>
        <w:tc>
          <w:tcPr>
            <w:tcW w:w="0" w:type="auto"/>
          </w:tcPr>
          <w:p w14:paraId="2683B5CA" w14:textId="77777777" w:rsidR="008C5CFA" w:rsidRPr="00A92B39" w:rsidRDefault="00E82A60" w:rsidP="00300A01">
            <w:pPr>
              <w:spacing w:before="0" w:after="0"/>
              <w:jc w:val="center"/>
              <w:rPr>
                <w:b/>
                <w:sz w:val="10"/>
                <w:szCs w:val="10"/>
                <w:lang w:val="fr-BE"/>
              </w:rPr>
            </w:pPr>
            <w:r w:rsidRPr="00A92B39">
              <w:rPr>
                <w:b/>
                <w:noProof/>
                <w:sz w:val="10"/>
                <w:szCs w:val="10"/>
                <w:lang w:val="fr-BE"/>
              </w:rPr>
              <w:t>Ogółem</w:t>
            </w:r>
          </w:p>
        </w:tc>
        <w:tc>
          <w:tcPr>
            <w:tcW w:w="0" w:type="auto"/>
          </w:tcPr>
          <w:p w14:paraId="25E1D2A9" w14:textId="77777777" w:rsidR="008C5CFA" w:rsidRPr="00A92B39" w:rsidRDefault="00E82A60" w:rsidP="00300A01">
            <w:pPr>
              <w:spacing w:before="0" w:after="0"/>
              <w:jc w:val="center"/>
              <w:rPr>
                <w:b/>
                <w:sz w:val="10"/>
                <w:szCs w:val="10"/>
                <w:lang w:val="fr-BE"/>
              </w:rPr>
            </w:pPr>
            <w:r w:rsidRPr="00A92B39">
              <w:rPr>
                <w:b/>
                <w:noProof/>
                <w:sz w:val="10"/>
                <w:szCs w:val="10"/>
                <w:lang w:val="fr-BE"/>
              </w:rPr>
              <w:t>Mężczyźni</w:t>
            </w:r>
          </w:p>
        </w:tc>
        <w:tc>
          <w:tcPr>
            <w:tcW w:w="0" w:type="auto"/>
          </w:tcPr>
          <w:p w14:paraId="635B73C9" w14:textId="77777777" w:rsidR="008C5CFA" w:rsidRPr="00A92B39" w:rsidRDefault="00E82A60" w:rsidP="00300A01">
            <w:pPr>
              <w:spacing w:before="0" w:after="0"/>
              <w:jc w:val="center"/>
              <w:rPr>
                <w:b/>
                <w:sz w:val="10"/>
                <w:szCs w:val="10"/>
                <w:lang w:val="fr-BE"/>
              </w:rPr>
            </w:pPr>
            <w:r w:rsidRPr="00A92B39">
              <w:rPr>
                <w:b/>
                <w:noProof/>
                <w:sz w:val="10"/>
                <w:szCs w:val="10"/>
                <w:lang w:val="fr-BE"/>
              </w:rPr>
              <w:t>Kobiety</w:t>
            </w:r>
          </w:p>
        </w:tc>
        <w:tc>
          <w:tcPr>
            <w:tcW w:w="0" w:type="auto"/>
          </w:tcPr>
          <w:p w14:paraId="4675D06B" w14:textId="77777777" w:rsidR="008C5CFA" w:rsidRPr="00A92B39" w:rsidRDefault="00E82A60" w:rsidP="00300A01">
            <w:pPr>
              <w:spacing w:before="0" w:after="0"/>
              <w:jc w:val="center"/>
              <w:rPr>
                <w:b/>
                <w:sz w:val="10"/>
                <w:szCs w:val="10"/>
                <w:lang w:val="fr-BE"/>
              </w:rPr>
            </w:pPr>
            <w:r w:rsidRPr="00A92B39">
              <w:rPr>
                <w:b/>
                <w:noProof/>
                <w:sz w:val="10"/>
                <w:szCs w:val="10"/>
                <w:lang w:val="fr-BE"/>
              </w:rPr>
              <w:t>Ogółem</w:t>
            </w:r>
          </w:p>
        </w:tc>
        <w:tc>
          <w:tcPr>
            <w:tcW w:w="0" w:type="auto"/>
          </w:tcPr>
          <w:p w14:paraId="30C97004" w14:textId="77777777" w:rsidR="008C5CFA" w:rsidRPr="00A92B39" w:rsidRDefault="00E82A60" w:rsidP="00300A01">
            <w:pPr>
              <w:spacing w:before="0" w:after="0"/>
              <w:jc w:val="center"/>
              <w:rPr>
                <w:b/>
                <w:sz w:val="10"/>
                <w:szCs w:val="10"/>
                <w:lang w:val="fr-BE"/>
              </w:rPr>
            </w:pPr>
            <w:r w:rsidRPr="00A92B39">
              <w:rPr>
                <w:b/>
                <w:noProof/>
                <w:sz w:val="10"/>
                <w:szCs w:val="10"/>
                <w:lang w:val="fr-BE"/>
              </w:rPr>
              <w:t>Mężczyźni</w:t>
            </w:r>
          </w:p>
        </w:tc>
        <w:tc>
          <w:tcPr>
            <w:tcW w:w="0" w:type="auto"/>
          </w:tcPr>
          <w:p w14:paraId="3ADB0672" w14:textId="77777777" w:rsidR="008C5CFA" w:rsidRPr="00A92B39" w:rsidRDefault="00E82A60" w:rsidP="00300A01">
            <w:pPr>
              <w:spacing w:before="0" w:after="0"/>
              <w:jc w:val="center"/>
              <w:rPr>
                <w:b/>
                <w:sz w:val="10"/>
                <w:szCs w:val="10"/>
                <w:lang w:val="fr-BE"/>
              </w:rPr>
            </w:pPr>
            <w:r w:rsidRPr="00A92B39">
              <w:rPr>
                <w:b/>
                <w:noProof/>
                <w:sz w:val="10"/>
                <w:szCs w:val="10"/>
                <w:lang w:val="fr-BE"/>
              </w:rPr>
              <w:t>Kobiety</w:t>
            </w:r>
          </w:p>
        </w:tc>
        <w:tc>
          <w:tcPr>
            <w:tcW w:w="0" w:type="auto"/>
          </w:tcPr>
          <w:p w14:paraId="7F9317B4" w14:textId="77777777" w:rsidR="008C5CFA" w:rsidRPr="00A92B39" w:rsidRDefault="00E82A60" w:rsidP="00300A01">
            <w:pPr>
              <w:spacing w:before="0" w:after="0"/>
              <w:jc w:val="center"/>
              <w:rPr>
                <w:b/>
                <w:sz w:val="10"/>
                <w:szCs w:val="10"/>
                <w:lang w:val="fr-BE"/>
              </w:rPr>
            </w:pPr>
            <w:r w:rsidRPr="00A92B39">
              <w:rPr>
                <w:b/>
                <w:noProof/>
                <w:sz w:val="10"/>
                <w:szCs w:val="10"/>
                <w:lang w:val="fr-BE"/>
              </w:rPr>
              <w:t>Ogółem</w:t>
            </w:r>
          </w:p>
        </w:tc>
        <w:tc>
          <w:tcPr>
            <w:tcW w:w="0" w:type="auto"/>
          </w:tcPr>
          <w:p w14:paraId="490161DB" w14:textId="77777777" w:rsidR="008C5CFA" w:rsidRPr="00A92B39" w:rsidRDefault="00E82A60" w:rsidP="00300A01">
            <w:pPr>
              <w:spacing w:before="0" w:after="0"/>
              <w:jc w:val="center"/>
              <w:rPr>
                <w:b/>
                <w:sz w:val="10"/>
                <w:szCs w:val="10"/>
                <w:lang w:val="fr-BE"/>
              </w:rPr>
            </w:pPr>
            <w:r w:rsidRPr="00A92B39">
              <w:rPr>
                <w:b/>
                <w:noProof/>
                <w:sz w:val="10"/>
                <w:szCs w:val="10"/>
                <w:lang w:val="fr-BE"/>
              </w:rPr>
              <w:t>Mężczyźni</w:t>
            </w:r>
          </w:p>
        </w:tc>
        <w:tc>
          <w:tcPr>
            <w:tcW w:w="0" w:type="auto"/>
          </w:tcPr>
          <w:p w14:paraId="5513E600" w14:textId="77777777" w:rsidR="008C5CFA" w:rsidRPr="00A92B39" w:rsidRDefault="00E82A60" w:rsidP="00300A01">
            <w:pPr>
              <w:spacing w:before="0" w:after="0"/>
              <w:jc w:val="center"/>
              <w:rPr>
                <w:b/>
                <w:sz w:val="10"/>
                <w:szCs w:val="10"/>
                <w:lang w:val="fr-BE"/>
              </w:rPr>
            </w:pPr>
            <w:r w:rsidRPr="00A92B39">
              <w:rPr>
                <w:b/>
                <w:noProof/>
                <w:sz w:val="10"/>
                <w:szCs w:val="10"/>
                <w:lang w:val="fr-BE"/>
              </w:rPr>
              <w:t>Kobiety</w:t>
            </w:r>
          </w:p>
        </w:tc>
      </w:tr>
      <w:tr w:rsidR="006B2EC1" w14:paraId="2A2423AC" w14:textId="77777777" w:rsidTr="0047688D">
        <w:tc>
          <w:tcPr>
            <w:tcW w:w="0" w:type="auto"/>
            <w:shd w:val="clear" w:color="auto" w:fill="auto"/>
          </w:tcPr>
          <w:p w14:paraId="6E561675" w14:textId="77777777" w:rsidR="008C5CFA" w:rsidRPr="00A92B39" w:rsidRDefault="00E82A60" w:rsidP="00300A01">
            <w:pPr>
              <w:spacing w:before="0" w:after="0"/>
              <w:rPr>
                <w:sz w:val="10"/>
                <w:szCs w:val="10"/>
                <w:lang w:val="fr-BE"/>
              </w:rPr>
            </w:pPr>
            <w:r w:rsidRPr="00A92B39">
              <w:rPr>
                <w:noProof/>
                <w:sz w:val="10"/>
                <w:szCs w:val="10"/>
                <w:lang w:val="fr-BE"/>
              </w:rPr>
              <w:t>007</w:t>
            </w:r>
          </w:p>
        </w:tc>
        <w:tc>
          <w:tcPr>
            <w:tcW w:w="0" w:type="auto"/>
            <w:shd w:val="clear" w:color="auto" w:fill="auto"/>
          </w:tcPr>
          <w:p w14:paraId="77A86F2D" w14:textId="77777777" w:rsidR="008C5CFA" w:rsidRPr="00A92B39" w:rsidRDefault="00E82A60" w:rsidP="00300A01">
            <w:pPr>
              <w:spacing w:before="0" w:after="0"/>
              <w:rPr>
                <w:sz w:val="10"/>
                <w:szCs w:val="10"/>
                <w:lang w:val="fr-BE"/>
              </w:rPr>
            </w:pPr>
            <w:r w:rsidRPr="00A92B39">
              <w:rPr>
                <w:noProof/>
                <w:sz w:val="10"/>
                <w:szCs w:val="10"/>
                <w:lang w:val="fr-BE"/>
              </w:rPr>
              <w:t>Liczba osób o niskich kwalifikacjach, objętych wsparciem  w programie</w:t>
            </w:r>
          </w:p>
        </w:tc>
        <w:tc>
          <w:tcPr>
            <w:tcW w:w="0" w:type="auto"/>
            <w:shd w:val="clear" w:color="auto" w:fill="auto"/>
          </w:tcPr>
          <w:p w14:paraId="13BE081D" w14:textId="77777777" w:rsidR="008C5CFA" w:rsidRPr="00A92B39" w:rsidRDefault="00E82A60" w:rsidP="00300A01">
            <w:pPr>
              <w:spacing w:before="0" w:after="0"/>
              <w:rPr>
                <w:sz w:val="10"/>
                <w:szCs w:val="10"/>
                <w:lang w:val="fr-BE"/>
              </w:rPr>
            </w:pPr>
            <w:r w:rsidRPr="00A92B39">
              <w:rPr>
                <w:noProof/>
                <w:sz w:val="10"/>
                <w:szCs w:val="10"/>
                <w:lang w:val="fr-BE"/>
              </w:rPr>
              <w:t>Słabiej rozwinięte</w:t>
            </w:r>
          </w:p>
        </w:tc>
        <w:tc>
          <w:tcPr>
            <w:tcW w:w="0" w:type="auto"/>
            <w:shd w:val="clear" w:color="auto" w:fill="auto"/>
          </w:tcPr>
          <w:p w14:paraId="7C49F043" w14:textId="77777777" w:rsidR="008C5CFA" w:rsidRPr="00A92B39" w:rsidRDefault="00E82A60" w:rsidP="00300A01">
            <w:pPr>
              <w:spacing w:before="0" w:after="0"/>
              <w:jc w:val="right"/>
              <w:rPr>
                <w:sz w:val="10"/>
                <w:szCs w:val="10"/>
                <w:lang w:val="fr-BE"/>
              </w:rPr>
            </w:pPr>
            <w:r w:rsidRPr="00A92B39">
              <w:rPr>
                <w:noProof/>
                <w:sz w:val="10"/>
                <w:szCs w:val="10"/>
                <w:lang w:val="fr-BE"/>
              </w:rPr>
              <w:t>1 260,00</w:t>
            </w:r>
          </w:p>
        </w:tc>
        <w:tc>
          <w:tcPr>
            <w:tcW w:w="0" w:type="auto"/>
            <w:shd w:val="clear" w:color="auto" w:fill="auto"/>
          </w:tcPr>
          <w:p w14:paraId="3B932F3B"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14:paraId="1887ABB3"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27D2AD86" w14:textId="77777777" w:rsidR="008C5CFA" w:rsidRPr="00A92B39" w:rsidRDefault="00E82A60" w:rsidP="00300A01">
            <w:pPr>
              <w:spacing w:before="0" w:after="0"/>
              <w:jc w:val="right"/>
              <w:rPr>
                <w:sz w:val="10"/>
                <w:szCs w:val="10"/>
                <w:lang w:val="fr-BE"/>
              </w:rPr>
            </w:pPr>
            <w:r w:rsidRPr="00A92B39">
              <w:rPr>
                <w:noProof/>
                <w:sz w:val="10"/>
                <w:szCs w:val="10"/>
                <w:lang w:val="fr-BE"/>
              </w:rPr>
              <w:t>48,00</w:t>
            </w:r>
          </w:p>
        </w:tc>
        <w:tc>
          <w:tcPr>
            <w:tcW w:w="0" w:type="auto"/>
          </w:tcPr>
          <w:p w14:paraId="5857A9B2"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3615FE76"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04CFC4D2"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31BE587F"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6E55E06B"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6F8F525E"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6857D6C2"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0CD6BF00"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256A1368"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71773D4B"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06774F26"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r>
      <w:tr w:rsidR="006B2EC1" w14:paraId="7FB12BA0" w14:textId="77777777" w:rsidTr="0047688D">
        <w:tc>
          <w:tcPr>
            <w:tcW w:w="0" w:type="auto"/>
            <w:shd w:val="clear" w:color="auto" w:fill="auto"/>
          </w:tcPr>
          <w:p w14:paraId="4779402C" w14:textId="77777777" w:rsidR="008C5CFA" w:rsidRPr="00A92B39" w:rsidRDefault="00E82A60" w:rsidP="00300A01">
            <w:pPr>
              <w:spacing w:before="0" w:after="0"/>
              <w:rPr>
                <w:sz w:val="10"/>
                <w:szCs w:val="10"/>
                <w:lang w:val="fr-BE"/>
              </w:rPr>
            </w:pPr>
            <w:r w:rsidRPr="00A92B39">
              <w:rPr>
                <w:noProof/>
                <w:sz w:val="10"/>
                <w:szCs w:val="10"/>
                <w:lang w:val="fr-BE"/>
              </w:rPr>
              <w:t>008</w:t>
            </w:r>
          </w:p>
        </w:tc>
        <w:tc>
          <w:tcPr>
            <w:tcW w:w="0" w:type="auto"/>
            <w:shd w:val="clear" w:color="auto" w:fill="auto"/>
          </w:tcPr>
          <w:p w14:paraId="119FA4CA" w14:textId="77777777" w:rsidR="008C5CFA" w:rsidRPr="00A92B39" w:rsidRDefault="00E82A60" w:rsidP="00300A01">
            <w:pPr>
              <w:spacing w:before="0" w:after="0"/>
              <w:rPr>
                <w:sz w:val="10"/>
                <w:szCs w:val="10"/>
                <w:lang w:val="fr-BE"/>
              </w:rPr>
            </w:pPr>
            <w:r w:rsidRPr="00A92B39">
              <w:rPr>
                <w:noProof/>
                <w:sz w:val="10"/>
                <w:szCs w:val="10"/>
                <w:lang w:val="fr-BE"/>
              </w:rPr>
              <w:t>Liczba osób w wieku 50 lat i więcej objętych wsparciem  w programie</w:t>
            </w:r>
          </w:p>
        </w:tc>
        <w:tc>
          <w:tcPr>
            <w:tcW w:w="0" w:type="auto"/>
            <w:shd w:val="clear" w:color="auto" w:fill="auto"/>
          </w:tcPr>
          <w:p w14:paraId="348193D4" w14:textId="77777777" w:rsidR="008C5CFA" w:rsidRPr="00A92B39" w:rsidRDefault="00E82A60" w:rsidP="00300A01">
            <w:pPr>
              <w:spacing w:before="0" w:after="0"/>
              <w:rPr>
                <w:sz w:val="10"/>
                <w:szCs w:val="10"/>
                <w:lang w:val="fr-BE"/>
              </w:rPr>
            </w:pPr>
            <w:r w:rsidRPr="00A92B39">
              <w:rPr>
                <w:noProof/>
                <w:sz w:val="10"/>
                <w:szCs w:val="10"/>
                <w:lang w:val="fr-BE"/>
              </w:rPr>
              <w:t>Słabiej rozwinięte</w:t>
            </w:r>
          </w:p>
        </w:tc>
        <w:tc>
          <w:tcPr>
            <w:tcW w:w="0" w:type="auto"/>
            <w:shd w:val="clear" w:color="auto" w:fill="auto"/>
          </w:tcPr>
          <w:p w14:paraId="6A10F990" w14:textId="77777777" w:rsidR="008C5CFA" w:rsidRPr="00A92B39" w:rsidRDefault="00E82A60" w:rsidP="00300A01">
            <w:pPr>
              <w:spacing w:before="0" w:after="0"/>
              <w:jc w:val="right"/>
              <w:rPr>
                <w:sz w:val="10"/>
                <w:szCs w:val="10"/>
                <w:lang w:val="fr-BE"/>
              </w:rPr>
            </w:pPr>
            <w:r w:rsidRPr="00A92B39">
              <w:rPr>
                <w:noProof/>
                <w:sz w:val="10"/>
                <w:szCs w:val="10"/>
                <w:lang w:val="fr-BE"/>
              </w:rPr>
              <w:t>882,00</w:t>
            </w:r>
          </w:p>
        </w:tc>
        <w:tc>
          <w:tcPr>
            <w:tcW w:w="0" w:type="auto"/>
            <w:shd w:val="clear" w:color="auto" w:fill="auto"/>
          </w:tcPr>
          <w:p w14:paraId="28430971"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14:paraId="2ECDFEC1"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2FB30FA0" w14:textId="77777777" w:rsidR="008C5CFA" w:rsidRPr="00A92B39" w:rsidRDefault="00E82A60" w:rsidP="00300A01">
            <w:pPr>
              <w:spacing w:before="0" w:after="0"/>
              <w:jc w:val="right"/>
              <w:rPr>
                <w:sz w:val="10"/>
                <w:szCs w:val="10"/>
                <w:lang w:val="fr-BE"/>
              </w:rPr>
            </w:pPr>
            <w:r w:rsidRPr="00A92B39">
              <w:rPr>
                <w:noProof/>
                <w:sz w:val="10"/>
                <w:szCs w:val="10"/>
                <w:lang w:val="fr-BE"/>
              </w:rPr>
              <w:t>13,00</w:t>
            </w:r>
          </w:p>
        </w:tc>
        <w:tc>
          <w:tcPr>
            <w:tcW w:w="0" w:type="auto"/>
          </w:tcPr>
          <w:p w14:paraId="036B3AFB"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43C25818"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11BA714E"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389975FC"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7250044F"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02C23AA5"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70508DCD"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5D5CE4B7"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4FBF18F8"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712DCFC9"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05894F3B"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r>
      <w:tr w:rsidR="006B2EC1" w14:paraId="7DF3A972" w14:textId="77777777" w:rsidTr="0047688D">
        <w:tc>
          <w:tcPr>
            <w:tcW w:w="0" w:type="auto"/>
            <w:shd w:val="clear" w:color="auto" w:fill="auto"/>
          </w:tcPr>
          <w:p w14:paraId="4AE384DF" w14:textId="77777777" w:rsidR="008C5CFA" w:rsidRPr="00A92B39" w:rsidRDefault="00E82A60" w:rsidP="00300A01">
            <w:pPr>
              <w:spacing w:before="0" w:after="0"/>
              <w:rPr>
                <w:sz w:val="10"/>
                <w:szCs w:val="10"/>
                <w:lang w:val="fr-BE"/>
              </w:rPr>
            </w:pPr>
            <w:r w:rsidRPr="00A92B39">
              <w:rPr>
                <w:noProof/>
                <w:sz w:val="10"/>
                <w:szCs w:val="10"/>
                <w:lang w:val="fr-BE"/>
              </w:rPr>
              <w:t>009</w:t>
            </w:r>
          </w:p>
        </w:tc>
        <w:tc>
          <w:tcPr>
            <w:tcW w:w="0" w:type="auto"/>
            <w:shd w:val="clear" w:color="auto" w:fill="auto"/>
          </w:tcPr>
          <w:p w14:paraId="156D40A5" w14:textId="77777777" w:rsidR="008C5CFA" w:rsidRPr="00A92B39" w:rsidRDefault="00E82A60" w:rsidP="00300A01">
            <w:pPr>
              <w:spacing w:before="0" w:after="0"/>
              <w:rPr>
                <w:sz w:val="10"/>
                <w:szCs w:val="10"/>
                <w:lang w:val="fr-BE"/>
              </w:rPr>
            </w:pPr>
            <w:r w:rsidRPr="00A92B39">
              <w:rPr>
                <w:noProof/>
                <w:sz w:val="10"/>
                <w:szCs w:val="10"/>
                <w:lang w:val="fr-BE"/>
              </w:rPr>
              <w:t>Liczba osób w wieku 25 lat i więcej objętych wsparciem w programie</w:t>
            </w:r>
          </w:p>
        </w:tc>
        <w:tc>
          <w:tcPr>
            <w:tcW w:w="0" w:type="auto"/>
            <w:shd w:val="clear" w:color="auto" w:fill="auto"/>
          </w:tcPr>
          <w:p w14:paraId="1B55C76B" w14:textId="77777777" w:rsidR="008C5CFA" w:rsidRPr="00A92B39" w:rsidRDefault="00E82A60" w:rsidP="00300A01">
            <w:pPr>
              <w:spacing w:before="0" w:after="0"/>
              <w:rPr>
                <w:sz w:val="10"/>
                <w:szCs w:val="10"/>
                <w:lang w:val="fr-BE"/>
              </w:rPr>
            </w:pPr>
            <w:r w:rsidRPr="00A92B39">
              <w:rPr>
                <w:noProof/>
                <w:sz w:val="10"/>
                <w:szCs w:val="10"/>
                <w:lang w:val="fr-BE"/>
              </w:rPr>
              <w:t>Słabiej rozwinięte</w:t>
            </w:r>
          </w:p>
        </w:tc>
        <w:tc>
          <w:tcPr>
            <w:tcW w:w="0" w:type="auto"/>
            <w:shd w:val="clear" w:color="auto" w:fill="auto"/>
          </w:tcPr>
          <w:p w14:paraId="44D026AB" w14:textId="77777777" w:rsidR="008C5CFA" w:rsidRPr="00A92B39" w:rsidRDefault="00E82A60" w:rsidP="00300A01">
            <w:pPr>
              <w:spacing w:before="0" w:after="0"/>
              <w:jc w:val="right"/>
              <w:rPr>
                <w:sz w:val="10"/>
                <w:szCs w:val="10"/>
                <w:lang w:val="fr-BE"/>
              </w:rPr>
            </w:pPr>
            <w:r w:rsidRPr="00A92B39">
              <w:rPr>
                <w:noProof/>
                <w:sz w:val="10"/>
                <w:szCs w:val="10"/>
                <w:lang w:val="fr-BE"/>
              </w:rPr>
              <w:t>1 443,00</w:t>
            </w:r>
          </w:p>
        </w:tc>
        <w:tc>
          <w:tcPr>
            <w:tcW w:w="0" w:type="auto"/>
            <w:shd w:val="clear" w:color="auto" w:fill="auto"/>
          </w:tcPr>
          <w:p w14:paraId="00683CF3"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14:paraId="39F6ED0D"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50F0DD18" w14:textId="77777777" w:rsidR="008C5CFA" w:rsidRPr="00A92B39" w:rsidRDefault="00E82A60" w:rsidP="00300A01">
            <w:pPr>
              <w:spacing w:before="0" w:after="0"/>
              <w:jc w:val="right"/>
              <w:rPr>
                <w:sz w:val="10"/>
                <w:szCs w:val="10"/>
                <w:lang w:val="fr-BE"/>
              </w:rPr>
            </w:pPr>
            <w:r w:rsidRPr="00A92B39">
              <w:rPr>
                <w:noProof/>
                <w:sz w:val="10"/>
                <w:szCs w:val="10"/>
                <w:lang w:val="fr-BE"/>
              </w:rPr>
              <w:t>48,00</w:t>
            </w:r>
          </w:p>
        </w:tc>
        <w:tc>
          <w:tcPr>
            <w:tcW w:w="0" w:type="auto"/>
          </w:tcPr>
          <w:p w14:paraId="435ED3FC"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27F74476"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540A3B82"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2799BF7F"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505439BC"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4A37CFE4"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5A2F3B90"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610CE611"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46E30373"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0E08347D"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6BD24D7D"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r>
    </w:tbl>
    <w:p w14:paraId="07B87021" w14:textId="77777777" w:rsidR="008C5CFA" w:rsidRDefault="008C5CFA" w:rsidP="00300A01">
      <w:pPr>
        <w:spacing w:before="0" w:after="0"/>
        <w:rPr>
          <w:lang w:val="fr-BE"/>
        </w:rPr>
      </w:pPr>
    </w:p>
    <w:p w14:paraId="49B26340" w14:textId="77777777" w:rsidR="008C5CFA" w:rsidRDefault="00E82A60" w:rsidP="00300A01">
      <w:pPr>
        <w:spacing w:before="0" w:after="0"/>
        <w:rPr>
          <w:lang w:val="fr-BE"/>
        </w:rPr>
      </w:pPr>
      <w:r>
        <w:rPr>
          <w:lang w:val="fr-BE"/>
        </w:rPr>
        <w:br w:type="page"/>
      </w:r>
    </w:p>
    <w:p w14:paraId="5B96701B" w14:textId="77777777" w:rsidR="008C5CFA" w:rsidRPr="00B27C43" w:rsidRDefault="008C5CFA" w:rsidP="00300A01">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13533"/>
      </w:tblGrid>
      <w:tr w:rsidR="006B2EC1" w14:paraId="6149C1BE" w14:textId="77777777" w:rsidTr="0047688D">
        <w:tc>
          <w:tcPr>
            <w:tcW w:w="0" w:type="auto"/>
            <w:shd w:val="clear" w:color="auto" w:fill="auto"/>
          </w:tcPr>
          <w:p w14:paraId="35579E31" w14:textId="77777777" w:rsidR="008C5CFA" w:rsidRPr="002124FC" w:rsidRDefault="00E82A60" w:rsidP="00300A01">
            <w:pPr>
              <w:spacing w:before="0" w:after="0"/>
              <w:rPr>
                <w:sz w:val="20"/>
                <w:szCs w:val="20"/>
                <w:lang w:val="fr-BE"/>
              </w:rPr>
            </w:pPr>
            <w:r w:rsidRPr="002124FC">
              <w:rPr>
                <w:noProof/>
                <w:sz w:val="20"/>
                <w:szCs w:val="20"/>
                <w:lang w:val="fr-BE"/>
              </w:rPr>
              <w:t>Oś priorytetowa</w:t>
            </w:r>
          </w:p>
        </w:tc>
        <w:tc>
          <w:tcPr>
            <w:tcW w:w="0" w:type="auto"/>
            <w:shd w:val="clear" w:color="auto" w:fill="auto"/>
          </w:tcPr>
          <w:p w14:paraId="7D5C843B" w14:textId="77777777" w:rsidR="008C5CFA" w:rsidRPr="002124FC" w:rsidRDefault="00E82A60" w:rsidP="00300A01">
            <w:pPr>
              <w:spacing w:before="0" w:after="0"/>
              <w:rPr>
                <w:sz w:val="20"/>
                <w:szCs w:val="20"/>
                <w:lang w:val="fr-BE"/>
              </w:rPr>
            </w:pPr>
            <w:r w:rsidRPr="002124FC">
              <w:rPr>
                <w:noProof/>
                <w:sz w:val="20"/>
                <w:szCs w:val="20"/>
                <w:lang w:val="fr-BE"/>
              </w:rPr>
              <w:t>8</w:t>
            </w:r>
            <w:r w:rsidRPr="002124FC">
              <w:rPr>
                <w:sz w:val="20"/>
                <w:szCs w:val="20"/>
                <w:lang w:val="fr-BE"/>
              </w:rPr>
              <w:t xml:space="preserve"> - </w:t>
            </w:r>
            <w:r w:rsidRPr="002124FC">
              <w:rPr>
                <w:noProof/>
                <w:sz w:val="20"/>
                <w:szCs w:val="20"/>
                <w:lang w:val="fr-BE"/>
              </w:rPr>
              <w:t>Rozwój edukacji i aktywne społeczeństwo</w:t>
            </w:r>
          </w:p>
        </w:tc>
      </w:tr>
      <w:tr w:rsidR="006B2EC1" w14:paraId="19FB9CE9" w14:textId="77777777" w:rsidTr="0047688D">
        <w:tc>
          <w:tcPr>
            <w:tcW w:w="0" w:type="auto"/>
            <w:shd w:val="clear" w:color="auto" w:fill="auto"/>
          </w:tcPr>
          <w:p w14:paraId="659A8F08" w14:textId="77777777" w:rsidR="008C5CFA" w:rsidRPr="002124FC" w:rsidRDefault="00E82A60"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14:paraId="756E0D28" w14:textId="77777777" w:rsidR="008C5CFA" w:rsidRPr="002124FC" w:rsidRDefault="00E82A60" w:rsidP="00300A01">
            <w:pPr>
              <w:spacing w:before="0" w:after="0"/>
              <w:rPr>
                <w:sz w:val="20"/>
                <w:szCs w:val="20"/>
                <w:lang w:val="fr-BE"/>
              </w:rPr>
            </w:pPr>
            <w:r w:rsidRPr="002124FC">
              <w:rPr>
                <w:noProof/>
                <w:sz w:val="20"/>
                <w:szCs w:val="20"/>
                <w:lang w:val="fr-BE"/>
              </w:rPr>
              <w:t>10iv</w:t>
            </w:r>
            <w:r w:rsidRPr="002124FC">
              <w:rPr>
                <w:sz w:val="20"/>
                <w:szCs w:val="20"/>
                <w:lang w:val="fr-BE"/>
              </w:rPr>
              <w:t xml:space="preserve"> - </w:t>
            </w:r>
            <w:r w:rsidRPr="002124FC">
              <w:rPr>
                <w:noProof/>
                <w:sz w:val="20"/>
                <w:szCs w:val="20"/>
                <w:lang w:val="fr-BE"/>
              </w:rPr>
              <w:t>Lepsze dostosowanie systemów kształcenia i szkolenia do potrzeb rynku pracy, ułatwianie przechodzenia z etapu kształcenia do etapu zatrudnienia oraz wzmacnianie systemów kształcenia i szkolenia zawodowego i ich jakości, w tym poprzez mechanizmy prognozowania umiejętności, dostosowania programów nauczania oraz tworzenia i rozwoju systemów uczenia się poprzez praktyczną naukę zawodu realizowaną w ścisłej współpracy z pracodawcami</w:t>
            </w:r>
          </w:p>
        </w:tc>
      </w:tr>
    </w:tbl>
    <w:p w14:paraId="64BF6757" w14:textId="77777777" w:rsidR="008C5CFA" w:rsidRDefault="008C5CFA" w:rsidP="00300A01">
      <w:pPr>
        <w:spacing w:before="0" w:after="0"/>
        <w:ind w:left="113" w:hanging="113"/>
        <w:rPr>
          <w:sz w:val="20"/>
          <w:szCs w:val="20"/>
          <w:lang w:val="fr-BE"/>
        </w:rPr>
      </w:pPr>
    </w:p>
    <w:p w14:paraId="1DEC6680" w14:textId="77777777" w:rsidR="008C5CFA" w:rsidRPr="008E457C" w:rsidRDefault="00E82A60" w:rsidP="00300A01">
      <w:pPr>
        <w:pStyle w:val="Nagwek2"/>
        <w:spacing w:before="0" w:after="0"/>
      </w:pPr>
      <w:bookmarkStart w:id="63" w:name="_Toc46391747"/>
      <w:r w:rsidRPr="008E457C">
        <w:rPr>
          <w:noProof/>
        </w:rPr>
        <w:t>Tabela 2A</w:t>
      </w:r>
      <w:r w:rsidRPr="008E457C">
        <w:t xml:space="preserve"> : </w:t>
      </w:r>
      <w:proofErr w:type="spellStart"/>
      <w:r w:rsidRPr="008E457C">
        <w:t>Wspólne</w:t>
      </w:r>
      <w:proofErr w:type="spellEnd"/>
      <w:r w:rsidRPr="008E457C">
        <w:t xml:space="preserve"> </w:t>
      </w:r>
      <w:proofErr w:type="spellStart"/>
      <w:r w:rsidRPr="008E457C">
        <w:t>wskaźniki</w:t>
      </w:r>
      <w:proofErr w:type="spellEnd"/>
      <w:r w:rsidRPr="008E457C">
        <w:t xml:space="preserve"> </w:t>
      </w:r>
      <w:proofErr w:type="spellStart"/>
      <w:r w:rsidRPr="008E457C">
        <w:t>rezultatu</w:t>
      </w:r>
      <w:proofErr w:type="spellEnd"/>
      <w:r w:rsidRPr="008E457C">
        <w:t xml:space="preserve"> </w:t>
      </w:r>
      <w:proofErr w:type="spellStart"/>
      <w:r w:rsidRPr="008E457C">
        <w:t>dla</w:t>
      </w:r>
      <w:proofErr w:type="spellEnd"/>
      <w:r w:rsidRPr="008E457C">
        <w:t xml:space="preserve"> EFS (z </w:t>
      </w:r>
      <w:proofErr w:type="spellStart"/>
      <w:r w:rsidRPr="008E457C">
        <w:t>podziałem</w:t>
      </w:r>
      <w:proofErr w:type="spellEnd"/>
      <w:r w:rsidRPr="008E457C">
        <w:t xml:space="preserve"> </w:t>
      </w:r>
      <w:proofErr w:type="spellStart"/>
      <w:r w:rsidRPr="008E457C">
        <w:t>na</w:t>
      </w:r>
      <w:proofErr w:type="spellEnd"/>
      <w:r w:rsidRPr="008E457C">
        <w:t xml:space="preserve"> </w:t>
      </w:r>
      <w:proofErr w:type="spellStart"/>
      <w:r w:rsidRPr="008E457C">
        <w:t>oś</w:t>
      </w:r>
      <w:proofErr w:type="spellEnd"/>
      <w:r w:rsidRPr="008E457C">
        <w:t xml:space="preserve"> </w:t>
      </w:r>
      <w:proofErr w:type="spellStart"/>
      <w:r w:rsidRPr="008E457C">
        <w:t>priorytetową</w:t>
      </w:r>
      <w:proofErr w:type="spellEnd"/>
      <w:r w:rsidRPr="008E457C">
        <w:t xml:space="preserve">, </w:t>
      </w:r>
      <w:proofErr w:type="spellStart"/>
      <w:r w:rsidRPr="008E457C">
        <w:t>priorytet</w:t>
      </w:r>
      <w:proofErr w:type="spellEnd"/>
      <w:r w:rsidRPr="008E457C">
        <w:t xml:space="preserve"> </w:t>
      </w:r>
      <w:proofErr w:type="spellStart"/>
      <w:r w:rsidRPr="008E457C">
        <w:t>inwestycyjny</w:t>
      </w:r>
      <w:proofErr w:type="spellEnd"/>
      <w:r w:rsidRPr="008E457C">
        <w:t xml:space="preserve"> i </w:t>
      </w:r>
      <w:proofErr w:type="spellStart"/>
      <w:r w:rsidRPr="008E457C">
        <w:t>kategorię</w:t>
      </w:r>
      <w:proofErr w:type="spellEnd"/>
      <w:r w:rsidRPr="008E457C">
        <w:t xml:space="preserve"> </w:t>
      </w:r>
      <w:proofErr w:type="spellStart"/>
      <w:r w:rsidRPr="008E457C">
        <w:t>regionu</w:t>
      </w:r>
      <w:proofErr w:type="spellEnd"/>
      <w:r w:rsidRPr="008E457C">
        <w:t xml:space="preserve">) Dane </w:t>
      </w:r>
      <w:proofErr w:type="spellStart"/>
      <w:r w:rsidRPr="008E457C">
        <w:t>na</w:t>
      </w:r>
      <w:proofErr w:type="spellEnd"/>
      <w:r w:rsidRPr="008E457C">
        <w:t xml:space="preserve"> </w:t>
      </w:r>
      <w:proofErr w:type="spellStart"/>
      <w:r w:rsidRPr="008E457C">
        <w:t>temat</w:t>
      </w:r>
      <w:proofErr w:type="spellEnd"/>
      <w:r w:rsidRPr="008E457C">
        <w:t xml:space="preserve"> </w:t>
      </w:r>
      <w:proofErr w:type="spellStart"/>
      <w:r w:rsidRPr="008E457C">
        <w:t>wszystkich</w:t>
      </w:r>
      <w:proofErr w:type="spellEnd"/>
      <w:r w:rsidRPr="008E457C">
        <w:t xml:space="preserve"> </w:t>
      </w:r>
      <w:proofErr w:type="spellStart"/>
      <w:r w:rsidRPr="008E457C">
        <w:t>wspólnych</w:t>
      </w:r>
      <w:proofErr w:type="spellEnd"/>
      <w:r w:rsidRPr="008E457C">
        <w:t xml:space="preserve"> </w:t>
      </w:r>
      <w:proofErr w:type="spellStart"/>
      <w:r w:rsidRPr="008E457C">
        <w:t>wskaźników</w:t>
      </w:r>
      <w:proofErr w:type="spellEnd"/>
      <w:r w:rsidRPr="008E457C">
        <w:t xml:space="preserve"> </w:t>
      </w:r>
      <w:proofErr w:type="spellStart"/>
      <w:r w:rsidRPr="008E457C">
        <w:t>rezultatu</w:t>
      </w:r>
      <w:proofErr w:type="spellEnd"/>
      <w:r w:rsidRPr="008E457C">
        <w:t xml:space="preserve"> </w:t>
      </w:r>
      <w:proofErr w:type="spellStart"/>
      <w:r w:rsidRPr="008E457C">
        <w:t>dla</w:t>
      </w:r>
      <w:proofErr w:type="spellEnd"/>
      <w:r w:rsidRPr="008E457C">
        <w:t xml:space="preserve"> EFS (z </w:t>
      </w:r>
      <w:proofErr w:type="spellStart"/>
      <w:r w:rsidRPr="008E457C">
        <w:t>wartością</w:t>
      </w:r>
      <w:proofErr w:type="spellEnd"/>
      <w:r w:rsidRPr="008E457C">
        <w:t xml:space="preserve"> </w:t>
      </w:r>
      <w:proofErr w:type="spellStart"/>
      <w:r w:rsidRPr="008E457C">
        <w:t>docelową</w:t>
      </w:r>
      <w:proofErr w:type="spellEnd"/>
      <w:r w:rsidRPr="008E457C">
        <w:t xml:space="preserve"> i bez) </w:t>
      </w:r>
      <w:proofErr w:type="spellStart"/>
      <w:r w:rsidRPr="008E457C">
        <w:t>przedstawia</w:t>
      </w:r>
      <w:proofErr w:type="spellEnd"/>
      <w:r w:rsidRPr="008E457C">
        <w:t xml:space="preserve"> </w:t>
      </w:r>
      <w:proofErr w:type="spellStart"/>
      <w:r w:rsidRPr="008E457C">
        <w:t>się</w:t>
      </w:r>
      <w:proofErr w:type="spellEnd"/>
      <w:r w:rsidRPr="008E457C">
        <w:t xml:space="preserve"> w </w:t>
      </w:r>
      <w:proofErr w:type="spellStart"/>
      <w:r w:rsidRPr="008E457C">
        <w:t>sprawozdaniu</w:t>
      </w:r>
      <w:proofErr w:type="spellEnd"/>
      <w:r w:rsidRPr="008E457C">
        <w:t xml:space="preserve"> w </w:t>
      </w:r>
      <w:proofErr w:type="spellStart"/>
      <w:r w:rsidRPr="008E457C">
        <w:t>podziale</w:t>
      </w:r>
      <w:proofErr w:type="spellEnd"/>
      <w:r w:rsidRPr="008E457C">
        <w:t xml:space="preserve"> </w:t>
      </w:r>
      <w:proofErr w:type="spellStart"/>
      <w:r w:rsidRPr="008E457C">
        <w:t>na</w:t>
      </w:r>
      <w:proofErr w:type="spellEnd"/>
      <w:r w:rsidRPr="008E457C">
        <w:t xml:space="preserve"> </w:t>
      </w:r>
      <w:proofErr w:type="spellStart"/>
      <w:r w:rsidRPr="008E457C">
        <w:t>płeć</w:t>
      </w:r>
      <w:proofErr w:type="spellEnd"/>
      <w:r w:rsidRPr="008E457C">
        <w:t xml:space="preserve">. W </w:t>
      </w:r>
      <w:proofErr w:type="spellStart"/>
      <w:r w:rsidRPr="008E457C">
        <w:t>przypadku</w:t>
      </w:r>
      <w:proofErr w:type="spellEnd"/>
      <w:r w:rsidRPr="008E457C">
        <w:t xml:space="preserve"> </w:t>
      </w:r>
      <w:proofErr w:type="spellStart"/>
      <w:r w:rsidRPr="008E457C">
        <w:t>osi</w:t>
      </w:r>
      <w:proofErr w:type="spellEnd"/>
      <w:r w:rsidRPr="008E457C">
        <w:t xml:space="preserve"> </w:t>
      </w:r>
      <w:proofErr w:type="spellStart"/>
      <w:r w:rsidRPr="008E457C">
        <w:t>priorytetowej</w:t>
      </w:r>
      <w:proofErr w:type="spellEnd"/>
      <w:r w:rsidRPr="008E457C">
        <w:t xml:space="preserve"> </w:t>
      </w:r>
      <w:r>
        <w:t>"</w:t>
      </w:r>
      <w:proofErr w:type="spellStart"/>
      <w:r w:rsidRPr="008E457C">
        <w:t>Pomoc</w:t>
      </w:r>
      <w:proofErr w:type="spellEnd"/>
      <w:r w:rsidRPr="008E457C">
        <w:t xml:space="preserve"> </w:t>
      </w:r>
      <w:proofErr w:type="spellStart"/>
      <w:r w:rsidRPr="008E457C">
        <w:t>techniczna</w:t>
      </w:r>
      <w:proofErr w:type="spellEnd"/>
      <w:r w:rsidRPr="008E457C">
        <w:t xml:space="preserve"> w </w:t>
      </w:r>
      <w:proofErr w:type="spellStart"/>
      <w:r w:rsidRPr="008E457C">
        <w:t>sprawozdaniu</w:t>
      </w:r>
      <w:proofErr w:type="spellEnd"/>
      <w:r w:rsidRPr="008E457C">
        <w:t xml:space="preserve"> </w:t>
      </w:r>
      <w:proofErr w:type="spellStart"/>
      <w:r w:rsidRPr="008E457C">
        <w:t>przedstawia</w:t>
      </w:r>
      <w:proofErr w:type="spellEnd"/>
      <w:r w:rsidRPr="008E457C">
        <w:t xml:space="preserve"> </w:t>
      </w:r>
      <w:proofErr w:type="spellStart"/>
      <w:r w:rsidRPr="008E457C">
        <w:t>się</w:t>
      </w:r>
      <w:proofErr w:type="spellEnd"/>
      <w:r w:rsidRPr="008E457C">
        <w:t xml:space="preserve"> </w:t>
      </w:r>
      <w:proofErr w:type="spellStart"/>
      <w:r w:rsidRPr="008E457C">
        <w:t>jedynie</w:t>
      </w:r>
      <w:proofErr w:type="spellEnd"/>
      <w:r w:rsidRPr="008E457C">
        <w:t xml:space="preserve"> </w:t>
      </w:r>
      <w:proofErr w:type="spellStart"/>
      <w:r w:rsidRPr="008E457C">
        <w:t>te</w:t>
      </w:r>
      <w:proofErr w:type="spellEnd"/>
      <w:r w:rsidRPr="008E457C">
        <w:t xml:space="preserve"> </w:t>
      </w:r>
      <w:proofErr w:type="spellStart"/>
      <w:r w:rsidRPr="008E457C">
        <w:t>wskaźniki</w:t>
      </w:r>
      <w:proofErr w:type="spellEnd"/>
      <w:r w:rsidRPr="008E457C">
        <w:t xml:space="preserve"> </w:t>
      </w:r>
      <w:proofErr w:type="spellStart"/>
      <w:r w:rsidRPr="008E457C">
        <w:t>wspólne</w:t>
      </w:r>
      <w:proofErr w:type="spellEnd"/>
      <w:r w:rsidRPr="008E457C">
        <w:t xml:space="preserve">, w </w:t>
      </w:r>
      <w:proofErr w:type="spellStart"/>
      <w:r w:rsidRPr="008E457C">
        <w:t>odniesieniu</w:t>
      </w:r>
      <w:proofErr w:type="spellEnd"/>
      <w:r w:rsidRPr="008E457C">
        <w:t xml:space="preserve"> do </w:t>
      </w:r>
      <w:proofErr w:type="spellStart"/>
      <w:r w:rsidRPr="008E457C">
        <w:t>których</w:t>
      </w:r>
      <w:proofErr w:type="spellEnd"/>
      <w:r w:rsidRPr="008E457C">
        <w:t xml:space="preserve"> </w:t>
      </w:r>
      <w:proofErr w:type="spellStart"/>
      <w:r w:rsidRPr="008E457C">
        <w:t>ustanowiono</w:t>
      </w:r>
      <w:proofErr w:type="spellEnd"/>
      <w:r w:rsidRPr="008E457C">
        <w:t xml:space="preserve"> </w:t>
      </w:r>
      <w:proofErr w:type="spellStart"/>
      <w:r w:rsidRPr="008E457C">
        <w:t>wartość</w:t>
      </w:r>
      <w:proofErr w:type="spellEnd"/>
      <w:r w:rsidRPr="008E457C">
        <w:t xml:space="preserve"> </w:t>
      </w:r>
      <w:proofErr w:type="spellStart"/>
      <w:r w:rsidRPr="008E457C">
        <w:t>docelową</w:t>
      </w:r>
      <w:proofErr w:type="spellEnd"/>
      <w:r w:rsidRPr="008E457C">
        <w:t>.</w:t>
      </w:r>
      <w:r w:rsidR="00501DA0">
        <w:t xml:space="preserve"> - </w:t>
      </w:r>
      <w:r w:rsidR="00501DA0" w:rsidRPr="002124FC">
        <w:rPr>
          <w:noProof/>
          <w:sz w:val="20"/>
          <w:szCs w:val="20"/>
          <w:lang w:val="fr-BE"/>
        </w:rPr>
        <w:t>8</w:t>
      </w:r>
      <w:r w:rsidR="00501DA0">
        <w:rPr>
          <w:sz w:val="20"/>
          <w:szCs w:val="20"/>
          <w:lang w:val="fr-BE"/>
        </w:rPr>
        <w:t xml:space="preserve"> / </w:t>
      </w:r>
      <w:r w:rsidR="00501DA0" w:rsidRPr="002124FC">
        <w:rPr>
          <w:noProof/>
          <w:sz w:val="20"/>
          <w:szCs w:val="20"/>
          <w:lang w:val="fr-BE"/>
        </w:rPr>
        <w:t>10iv</w:t>
      </w:r>
      <w:bookmarkEnd w:id="63"/>
    </w:p>
    <w:p w14:paraId="1124F393" w14:textId="77777777" w:rsidR="008C5CFA" w:rsidRDefault="008C5CFA" w:rsidP="00300A01">
      <w:pPr>
        <w:keepNext/>
        <w:spacing w:before="0" w:after="0"/>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37"/>
        <w:gridCol w:w="5146"/>
        <w:gridCol w:w="744"/>
        <w:gridCol w:w="1860"/>
        <w:gridCol w:w="1473"/>
        <w:gridCol w:w="456"/>
        <w:gridCol w:w="596"/>
        <w:gridCol w:w="463"/>
        <w:gridCol w:w="476"/>
        <w:gridCol w:w="596"/>
        <w:gridCol w:w="463"/>
        <w:gridCol w:w="456"/>
        <w:gridCol w:w="596"/>
        <w:gridCol w:w="463"/>
        <w:gridCol w:w="596"/>
        <w:gridCol w:w="463"/>
      </w:tblGrid>
      <w:tr w:rsidR="006B2EC1" w14:paraId="00A4B6AD" w14:textId="77777777" w:rsidTr="0047688D">
        <w:trPr>
          <w:tblHeader/>
        </w:trPr>
        <w:tc>
          <w:tcPr>
            <w:tcW w:w="0" w:type="auto"/>
            <w:shd w:val="clear" w:color="auto" w:fill="auto"/>
          </w:tcPr>
          <w:p w14:paraId="51A11549" w14:textId="77777777" w:rsidR="008C5CFA" w:rsidRPr="00F53019" w:rsidRDefault="00E82A60" w:rsidP="00300A01">
            <w:pPr>
              <w:spacing w:before="0" w:after="0"/>
              <w:rPr>
                <w:b/>
                <w:sz w:val="12"/>
                <w:szCs w:val="12"/>
                <w:lang w:val="fr-BE"/>
              </w:rPr>
            </w:pPr>
            <w:r w:rsidRPr="00F53019">
              <w:rPr>
                <w:b/>
                <w:noProof/>
                <w:sz w:val="12"/>
                <w:szCs w:val="12"/>
                <w:lang w:val="fr-BE"/>
              </w:rPr>
              <w:t>ID</w:t>
            </w:r>
          </w:p>
        </w:tc>
        <w:tc>
          <w:tcPr>
            <w:tcW w:w="0" w:type="auto"/>
            <w:shd w:val="clear" w:color="auto" w:fill="auto"/>
          </w:tcPr>
          <w:p w14:paraId="2BBA64EB" w14:textId="77777777" w:rsidR="008C5CFA" w:rsidRPr="00F53019" w:rsidRDefault="00E82A60" w:rsidP="00300A01">
            <w:pPr>
              <w:spacing w:before="0" w:after="0"/>
              <w:rPr>
                <w:b/>
                <w:sz w:val="12"/>
                <w:szCs w:val="12"/>
                <w:lang w:val="fr-BE"/>
              </w:rPr>
            </w:pPr>
            <w:r w:rsidRPr="00F53019">
              <w:rPr>
                <w:b/>
                <w:noProof/>
                <w:sz w:val="12"/>
                <w:szCs w:val="12"/>
                <w:lang w:val="fr-BE"/>
              </w:rPr>
              <w:t>Wskaźnik</w:t>
            </w:r>
          </w:p>
        </w:tc>
        <w:tc>
          <w:tcPr>
            <w:tcW w:w="0" w:type="auto"/>
            <w:shd w:val="clear" w:color="auto" w:fill="auto"/>
          </w:tcPr>
          <w:p w14:paraId="28BE4538" w14:textId="77777777" w:rsidR="008C5CFA" w:rsidRPr="00F53019" w:rsidRDefault="00E82A60" w:rsidP="00300A01">
            <w:pPr>
              <w:spacing w:before="0" w:after="0"/>
              <w:rPr>
                <w:b/>
                <w:sz w:val="12"/>
                <w:szCs w:val="12"/>
                <w:lang w:val="fr-BE"/>
              </w:rPr>
            </w:pPr>
            <w:r w:rsidRPr="00F53019">
              <w:rPr>
                <w:b/>
                <w:noProof/>
                <w:sz w:val="12"/>
                <w:szCs w:val="12"/>
                <w:lang w:val="fr-BE"/>
              </w:rPr>
              <w:t>Kategoria regionu</w:t>
            </w:r>
          </w:p>
        </w:tc>
        <w:tc>
          <w:tcPr>
            <w:tcW w:w="0" w:type="auto"/>
            <w:shd w:val="clear" w:color="auto" w:fill="auto"/>
          </w:tcPr>
          <w:p w14:paraId="26723183" w14:textId="77777777" w:rsidR="008C5CFA" w:rsidRPr="00F53019" w:rsidRDefault="00E82A60" w:rsidP="00300A01">
            <w:pPr>
              <w:spacing w:before="0" w:after="0"/>
              <w:rPr>
                <w:b/>
                <w:sz w:val="12"/>
                <w:szCs w:val="12"/>
                <w:lang w:val="fr-BE"/>
              </w:rPr>
            </w:pPr>
            <w:r w:rsidRPr="00F53019">
              <w:rPr>
                <w:b/>
                <w:noProof/>
                <w:sz w:val="12"/>
                <w:szCs w:val="12"/>
                <w:lang w:val="fr-BE"/>
              </w:rPr>
              <w:t>Wspólny wskaźnik produktu stosowany jako podstawa ustalania celów</w:t>
            </w:r>
          </w:p>
        </w:tc>
        <w:tc>
          <w:tcPr>
            <w:tcW w:w="0" w:type="auto"/>
            <w:shd w:val="clear" w:color="auto" w:fill="auto"/>
          </w:tcPr>
          <w:p w14:paraId="05E242F7" w14:textId="77777777" w:rsidR="008C5CFA" w:rsidRPr="00F53019" w:rsidRDefault="00E82A60" w:rsidP="00300A01">
            <w:pPr>
              <w:spacing w:before="0" w:after="0"/>
              <w:rPr>
                <w:b/>
                <w:sz w:val="12"/>
                <w:szCs w:val="12"/>
                <w:lang w:val="fr-BE"/>
              </w:rPr>
            </w:pPr>
            <w:r w:rsidRPr="00F53019">
              <w:rPr>
                <w:b/>
                <w:noProof/>
                <w:sz w:val="12"/>
                <w:szCs w:val="12"/>
                <w:lang w:val="fr-BE"/>
              </w:rPr>
              <w:t>Jednostka pomiaru dla wartości bazowej i docelowej</w:t>
            </w:r>
          </w:p>
        </w:tc>
        <w:tc>
          <w:tcPr>
            <w:tcW w:w="0" w:type="auto"/>
            <w:gridSpan w:val="3"/>
            <w:shd w:val="clear" w:color="auto" w:fill="auto"/>
          </w:tcPr>
          <w:p w14:paraId="542F9F13" w14:textId="77777777" w:rsidR="008C5CFA" w:rsidRPr="00F53019" w:rsidRDefault="00E82A60" w:rsidP="00300A01">
            <w:pPr>
              <w:spacing w:before="0" w:after="0"/>
              <w:jc w:val="center"/>
              <w:rPr>
                <w:b/>
                <w:sz w:val="12"/>
                <w:szCs w:val="12"/>
                <w:lang w:val="fr-BE"/>
              </w:rPr>
            </w:pPr>
            <w:r w:rsidRPr="00F53019">
              <w:rPr>
                <w:b/>
                <w:noProof/>
                <w:sz w:val="12"/>
                <w:szCs w:val="12"/>
                <w:lang w:val="fr-BE"/>
              </w:rPr>
              <w:t>Wartość docelowa (2023)</w:t>
            </w:r>
          </w:p>
        </w:tc>
        <w:tc>
          <w:tcPr>
            <w:tcW w:w="0" w:type="auto"/>
            <w:gridSpan w:val="3"/>
            <w:shd w:val="clear" w:color="auto" w:fill="auto"/>
          </w:tcPr>
          <w:p w14:paraId="41F66F39" w14:textId="77777777" w:rsidR="008C5CFA" w:rsidRPr="00F53019" w:rsidRDefault="00E82A60" w:rsidP="00300A01">
            <w:pPr>
              <w:spacing w:before="0" w:after="0"/>
              <w:jc w:val="center"/>
              <w:rPr>
                <w:b/>
                <w:sz w:val="12"/>
                <w:szCs w:val="12"/>
                <w:lang w:val="fr-BE"/>
              </w:rPr>
            </w:pPr>
            <w:r w:rsidRPr="00F53019">
              <w:rPr>
                <w:b/>
                <w:noProof/>
                <w:sz w:val="12"/>
                <w:szCs w:val="12"/>
                <w:lang w:val="fr-BE"/>
              </w:rPr>
              <w:t>Wartość skumulowana</w:t>
            </w:r>
          </w:p>
        </w:tc>
        <w:tc>
          <w:tcPr>
            <w:tcW w:w="0" w:type="auto"/>
            <w:gridSpan w:val="3"/>
            <w:shd w:val="clear" w:color="auto" w:fill="auto"/>
          </w:tcPr>
          <w:p w14:paraId="2615B6F3" w14:textId="77777777" w:rsidR="008C5CFA" w:rsidRPr="00F53019" w:rsidRDefault="00E82A60" w:rsidP="00300A01">
            <w:pPr>
              <w:spacing w:before="0" w:after="0"/>
              <w:jc w:val="center"/>
              <w:rPr>
                <w:b/>
                <w:sz w:val="12"/>
                <w:szCs w:val="12"/>
                <w:lang w:val="fr-BE"/>
              </w:rPr>
            </w:pPr>
            <w:r w:rsidRPr="00F53019">
              <w:rPr>
                <w:b/>
                <w:noProof/>
                <w:sz w:val="12"/>
                <w:szCs w:val="12"/>
                <w:lang w:val="fr-BE"/>
              </w:rPr>
              <w:t>Wskaźnik osiągnięć</w:t>
            </w:r>
          </w:p>
        </w:tc>
        <w:tc>
          <w:tcPr>
            <w:tcW w:w="0" w:type="auto"/>
            <w:gridSpan w:val="2"/>
            <w:shd w:val="clear" w:color="auto" w:fill="auto"/>
          </w:tcPr>
          <w:p w14:paraId="2A184891" w14:textId="77777777" w:rsidR="008C5CFA" w:rsidRPr="00F53019" w:rsidRDefault="00E82A60" w:rsidP="00300A01">
            <w:pPr>
              <w:spacing w:before="0" w:after="0"/>
              <w:jc w:val="center"/>
              <w:rPr>
                <w:b/>
                <w:sz w:val="12"/>
                <w:szCs w:val="12"/>
                <w:lang w:val="fr-BE"/>
              </w:rPr>
            </w:pPr>
            <w:r>
              <w:rPr>
                <w:b/>
                <w:sz w:val="12"/>
                <w:szCs w:val="12"/>
                <w:lang w:val="fr-BE"/>
              </w:rPr>
              <w:t>2019</w:t>
            </w:r>
          </w:p>
        </w:tc>
      </w:tr>
      <w:tr w:rsidR="006B2EC1" w14:paraId="3EAC81BF" w14:textId="77777777" w:rsidTr="0047688D">
        <w:trPr>
          <w:tblHeader/>
        </w:trPr>
        <w:tc>
          <w:tcPr>
            <w:tcW w:w="0" w:type="auto"/>
            <w:shd w:val="clear" w:color="auto" w:fill="auto"/>
          </w:tcPr>
          <w:p w14:paraId="4A00AFB6" w14:textId="77777777" w:rsidR="008C5CFA" w:rsidRPr="00F53019" w:rsidRDefault="008C5CFA" w:rsidP="00300A01">
            <w:pPr>
              <w:spacing w:before="0" w:after="0"/>
              <w:rPr>
                <w:b/>
                <w:sz w:val="12"/>
                <w:szCs w:val="12"/>
                <w:lang w:val="fr-BE"/>
              </w:rPr>
            </w:pPr>
          </w:p>
        </w:tc>
        <w:tc>
          <w:tcPr>
            <w:tcW w:w="0" w:type="auto"/>
            <w:shd w:val="clear" w:color="auto" w:fill="auto"/>
          </w:tcPr>
          <w:p w14:paraId="1761C10C" w14:textId="77777777" w:rsidR="008C5CFA" w:rsidRPr="00F53019" w:rsidRDefault="008C5CFA" w:rsidP="00300A01">
            <w:pPr>
              <w:spacing w:before="0" w:after="0"/>
              <w:rPr>
                <w:b/>
                <w:sz w:val="12"/>
                <w:szCs w:val="12"/>
                <w:lang w:val="fr-BE"/>
              </w:rPr>
            </w:pPr>
          </w:p>
        </w:tc>
        <w:tc>
          <w:tcPr>
            <w:tcW w:w="0" w:type="auto"/>
            <w:shd w:val="clear" w:color="auto" w:fill="auto"/>
          </w:tcPr>
          <w:p w14:paraId="1C37A5D4" w14:textId="77777777" w:rsidR="008C5CFA" w:rsidRPr="00F53019" w:rsidRDefault="008C5CFA" w:rsidP="00300A01">
            <w:pPr>
              <w:spacing w:before="0" w:after="0"/>
              <w:rPr>
                <w:b/>
                <w:sz w:val="12"/>
                <w:szCs w:val="12"/>
                <w:lang w:val="fr-BE"/>
              </w:rPr>
            </w:pPr>
          </w:p>
        </w:tc>
        <w:tc>
          <w:tcPr>
            <w:tcW w:w="0" w:type="auto"/>
            <w:shd w:val="clear" w:color="auto" w:fill="auto"/>
          </w:tcPr>
          <w:p w14:paraId="1DE17FE6" w14:textId="77777777" w:rsidR="008C5CFA" w:rsidRPr="00F53019" w:rsidRDefault="008C5CFA" w:rsidP="00300A01">
            <w:pPr>
              <w:spacing w:before="0" w:after="0"/>
              <w:rPr>
                <w:b/>
                <w:sz w:val="12"/>
                <w:szCs w:val="12"/>
                <w:lang w:val="fr-BE"/>
              </w:rPr>
            </w:pPr>
          </w:p>
        </w:tc>
        <w:tc>
          <w:tcPr>
            <w:tcW w:w="0" w:type="auto"/>
            <w:shd w:val="clear" w:color="auto" w:fill="auto"/>
          </w:tcPr>
          <w:p w14:paraId="6EF451C6" w14:textId="77777777" w:rsidR="008C5CFA" w:rsidRPr="00F53019" w:rsidRDefault="008C5CFA" w:rsidP="00300A01">
            <w:pPr>
              <w:spacing w:before="0" w:after="0"/>
              <w:rPr>
                <w:b/>
                <w:sz w:val="12"/>
                <w:szCs w:val="12"/>
                <w:lang w:val="fr-BE"/>
              </w:rPr>
            </w:pPr>
          </w:p>
        </w:tc>
        <w:tc>
          <w:tcPr>
            <w:tcW w:w="0" w:type="auto"/>
            <w:shd w:val="clear" w:color="auto" w:fill="auto"/>
          </w:tcPr>
          <w:p w14:paraId="2DF2141D" w14:textId="77777777" w:rsidR="008C5CFA" w:rsidRPr="00F53019" w:rsidRDefault="00E82A60" w:rsidP="00300A01">
            <w:pPr>
              <w:spacing w:before="0" w:after="0"/>
              <w:jc w:val="center"/>
              <w:rPr>
                <w:b/>
                <w:sz w:val="12"/>
                <w:szCs w:val="12"/>
                <w:lang w:val="fr-BE"/>
              </w:rPr>
            </w:pPr>
            <w:r w:rsidRPr="00F53019">
              <w:rPr>
                <w:b/>
                <w:noProof/>
                <w:sz w:val="12"/>
                <w:szCs w:val="12"/>
                <w:lang w:val="fr-BE"/>
              </w:rPr>
              <w:t>Ogółem</w:t>
            </w:r>
          </w:p>
        </w:tc>
        <w:tc>
          <w:tcPr>
            <w:tcW w:w="0" w:type="auto"/>
            <w:shd w:val="clear" w:color="auto" w:fill="auto"/>
          </w:tcPr>
          <w:p w14:paraId="3AFA67B0" w14:textId="77777777" w:rsidR="008C5CFA" w:rsidRPr="00F53019" w:rsidRDefault="00E82A60"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14:paraId="3368ABE5" w14:textId="77777777" w:rsidR="008C5CFA" w:rsidRPr="00F53019" w:rsidRDefault="00E82A60" w:rsidP="00300A01">
            <w:pPr>
              <w:spacing w:before="0" w:after="0"/>
              <w:jc w:val="center"/>
              <w:rPr>
                <w:b/>
                <w:sz w:val="12"/>
                <w:szCs w:val="12"/>
                <w:lang w:val="fr-BE"/>
              </w:rPr>
            </w:pPr>
            <w:r w:rsidRPr="00F53019">
              <w:rPr>
                <w:b/>
                <w:noProof/>
                <w:sz w:val="12"/>
                <w:szCs w:val="12"/>
                <w:lang w:val="fr-BE"/>
              </w:rPr>
              <w:t>Kobiety</w:t>
            </w:r>
          </w:p>
        </w:tc>
        <w:tc>
          <w:tcPr>
            <w:tcW w:w="0" w:type="auto"/>
            <w:shd w:val="clear" w:color="auto" w:fill="auto"/>
          </w:tcPr>
          <w:p w14:paraId="51974BAE" w14:textId="77777777" w:rsidR="008C5CFA" w:rsidRPr="00F53019" w:rsidRDefault="00E82A60" w:rsidP="00300A01">
            <w:pPr>
              <w:spacing w:before="0" w:after="0"/>
              <w:jc w:val="center"/>
              <w:rPr>
                <w:b/>
                <w:sz w:val="12"/>
                <w:szCs w:val="12"/>
                <w:lang w:val="fr-BE"/>
              </w:rPr>
            </w:pPr>
            <w:r w:rsidRPr="00F53019">
              <w:rPr>
                <w:b/>
                <w:noProof/>
                <w:sz w:val="12"/>
                <w:szCs w:val="12"/>
                <w:lang w:val="fr-BE"/>
              </w:rPr>
              <w:t>Ogółem</w:t>
            </w:r>
          </w:p>
        </w:tc>
        <w:tc>
          <w:tcPr>
            <w:tcW w:w="0" w:type="auto"/>
            <w:shd w:val="clear" w:color="auto" w:fill="auto"/>
          </w:tcPr>
          <w:p w14:paraId="343F23BC" w14:textId="77777777" w:rsidR="008C5CFA" w:rsidRPr="00F53019" w:rsidRDefault="00E82A60"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14:paraId="754AAEBF" w14:textId="77777777" w:rsidR="008C5CFA" w:rsidRPr="00F53019" w:rsidRDefault="00E82A60" w:rsidP="00300A01">
            <w:pPr>
              <w:spacing w:before="0" w:after="0"/>
              <w:jc w:val="center"/>
              <w:rPr>
                <w:b/>
                <w:sz w:val="12"/>
                <w:szCs w:val="12"/>
                <w:lang w:val="fr-BE"/>
              </w:rPr>
            </w:pPr>
            <w:r w:rsidRPr="00F53019">
              <w:rPr>
                <w:b/>
                <w:noProof/>
                <w:sz w:val="12"/>
                <w:szCs w:val="12"/>
                <w:lang w:val="fr-BE"/>
              </w:rPr>
              <w:t>Kobiety</w:t>
            </w:r>
          </w:p>
        </w:tc>
        <w:tc>
          <w:tcPr>
            <w:tcW w:w="0" w:type="auto"/>
            <w:shd w:val="clear" w:color="auto" w:fill="auto"/>
          </w:tcPr>
          <w:p w14:paraId="4D1ED237" w14:textId="77777777" w:rsidR="008C5CFA" w:rsidRPr="00F53019" w:rsidRDefault="00E82A60" w:rsidP="00300A01">
            <w:pPr>
              <w:spacing w:before="0" w:after="0"/>
              <w:jc w:val="center"/>
              <w:rPr>
                <w:b/>
                <w:sz w:val="12"/>
                <w:szCs w:val="12"/>
                <w:lang w:val="fr-BE"/>
              </w:rPr>
            </w:pPr>
            <w:r w:rsidRPr="00F53019">
              <w:rPr>
                <w:b/>
                <w:noProof/>
                <w:sz w:val="12"/>
                <w:szCs w:val="12"/>
                <w:lang w:val="fr-BE"/>
              </w:rPr>
              <w:t>Ogółem</w:t>
            </w:r>
          </w:p>
        </w:tc>
        <w:tc>
          <w:tcPr>
            <w:tcW w:w="0" w:type="auto"/>
            <w:shd w:val="clear" w:color="auto" w:fill="auto"/>
          </w:tcPr>
          <w:p w14:paraId="3273797F" w14:textId="77777777" w:rsidR="008C5CFA" w:rsidRPr="00F53019" w:rsidRDefault="00E82A60"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14:paraId="1308DE19" w14:textId="77777777" w:rsidR="008C5CFA" w:rsidRPr="00F53019" w:rsidRDefault="00E82A60" w:rsidP="00300A01">
            <w:pPr>
              <w:spacing w:before="0" w:after="0"/>
              <w:jc w:val="center"/>
              <w:rPr>
                <w:b/>
                <w:sz w:val="12"/>
                <w:szCs w:val="12"/>
                <w:lang w:val="fr-BE"/>
              </w:rPr>
            </w:pPr>
            <w:r w:rsidRPr="00F53019">
              <w:rPr>
                <w:b/>
                <w:noProof/>
                <w:sz w:val="12"/>
                <w:szCs w:val="12"/>
                <w:lang w:val="fr-BE"/>
              </w:rPr>
              <w:t>Kobiety</w:t>
            </w:r>
          </w:p>
        </w:tc>
        <w:tc>
          <w:tcPr>
            <w:tcW w:w="0" w:type="auto"/>
            <w:shd w:val="clear" w:color="auto" w:fill="auto"/>
          </w:tcPr>
          <w:p w14:paraId="563D1A35" w14:textId="77777777" w:rsidR="008C5CFA" w:rsidRPr="00F53019" w:rsidRDefault="00E82A60"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14:paraId="012334C8" w14:textId="77777777" w:rsidR="008C5CFA" w:rsidRPr="00F53019" w:rsidRDefault="00E82A60" w:rsidP="00300A01">
            <w:pPr>
              <w:spacing w:before="0" w:after="0"/>
              <w:jc w:val="center"/>
              <w:rPr>
                <w:b/>
                <w:sz w:val="12"/>
                <w:szCs w:val="12"/>
                <w:lang w:val="fr-BE"/>
              </w:rPr>
            </w:pPr>
            <w:r w:rsidRPr="00F53019">
              <w:rPr>
                <w:b/>
                <w:noProof/>
                <w:sz w:val="12"/>
                <w:szCs w:val="12"/>
                <w:lang w:val="fr-BE"/>
              </w:rPr>
              <w:t>Kobiety</w:t>
            </w:r>
          </w:p>
        </w:tc>
      </w:tr>
      <w:tr w:rsidR="006B2EC1" w14:paraId="339BA914" w14:textId="77777777" w:rsidTr="0047688D">
        <w:tc>
          <w:tcPr>
            <w:tcW w:w="0" w:type="auto"/>
            <w:shd w:val="clear" w:color="auto" w:fill="auto"/>
          </w:tcPr>
          <w:p w14:paraId="7AFA52DA" w14:textId="77777777" w:rsidR="008C5CFA" w:rsidRPr="00BA47B4" w:rsidRDefault="00E82A60" w:rsidP="00300A01">
            <w:pPr>
              <w:spacing w:before="0" w:after="0"/>
              <w:rPr>
                <w:sz w:val="12"/>
                <w:szCs w:val="12"/>
                <w:lang w:val="fr-BE"/>
              </w:rPr>
            </w:pPr>
            <w:r w:rsidRPr="00BA47B4">
              <w:rPr>
                <w:noProof/>
                <w:sz w:val="12"/>
                <w:szCs w:val="12"/>
                <w:lang w:val="fr-BE"/>
              </w:rPr>
              <w:t>CR01</w:t>
            </w:r>
          </w:p>
        </w:tc>
        <w:tc>
          <w:tcPr>
            <w:tcW w:w="0" w:type="auto"/>
            <w:shd w:val="clear" w:color="auto" w:fill="auto"/>
          </w:tcPr>
          <w:p w14:paraId="70497206" w14:textId="77777777" w:rsidR="008C5CFA" w:rsidRPr="00BA47B4" w:rsidRDefault="00E82A60" w:rsidP="00300A01">
            <w:pPr>
              <w:spacing w:before="0" w:after="0"/>
              <w:rPr>
                <w:sz w:val="12"/>
                <w:szCs w:val="12"/>
                <w:lang w:val="fr-BE"/>
              </w:rPr>
            </w:pPr>
            <w:r w:rsidRPr="00BA47B4">
              <w:rPr>
                <w:noProof/>
                <w:sz w:val="12"/>
                <w:szCs w:val="12"/>
                <w:lang w:val="fr-BE"/>
              </w:rPr>
              <w:t>bierni zawodowo uczestnicy poszukujący pracy po opuszczeniu programu</w:t>
            </w:r>
          </w:p>
        </w:tc>
        <w:tc>
          <w:tcPr>
            <w:tcW w:w="0" w:type="auto"/>
            <w:shd w:val="clear" w:color="auto" w:fill="auto"/>
          </w:tcPr>
          <w:p w14:paraId="4CA841B2" w14:textId="77777777" w:rsidR="008C5CFA" w:rsidRPr="00BA47B4" w:rsidRDefault="00E82A60" w:rsidP="00300A01">
            <w:pPr>
              <w:spacing w:before="0" w:after="0"/>
              <w:rPr>
                <w:sz w:val="12"/>
                <w:szCs w:val="12"/>
                <w:lang w:val="fr-BE"/>
              </w:rPr>
            </w:pPr>
            <w:r w:rsidRPr="00BA47B4">
              <w:rPr>
                <w:noProof/>
                <w:sz w:val="12"/>
                <w:szCs w:val="12"/>
                <w:lang w:val="fr-BE"/>
              </w:rPr>
              <w:t>Słabiej rozwinięte</w:t>
            </w:r>
          </w:p>
        </w:tc>
        <w:tc>
          <w:tcPr>
            <w:tcW w:w="0" w:type="auto"/>
            <w:shd w:val="clear" w:color="auto" w:fill="auto"/>
          </w:tcPr>
          <w:p w14:paraId="6DED2AB2" w14:textId="77777777" w:rsidR="008C5CFA" w:rsidRPr="00BA47B4" w:rsidRDefault="00E82A60" w:rsidP="00300A01">
            <w:pPr>
              <w:spacing w:before="0" w:after="0"/>
              <w:rPr>
                <w:sz w:val="12"/>
                <w:szCs w:val="12"/>
                <w:lang w:val="fr-BE"/>
              </w:rPr>
            </w:pPr>
            <w:r w:rsidRPr="00BA47B4">
              <w:rPr>
                <w:sz w:val="12"/>
                <w:szCs w:val="12"/>
                <w:lang w:val="fr-BE"/>
              </w:rPr>
              <w:t xml:space="preserve"> </w:t>
            </w:r>
          </w:p>
        </w:tc>
        <w:tc>
          <w:tcPr>
            <w:tcW w:w="0" w:type="auto"/>
            <w:shd w:val="clear" w:color="auto" w:fill="auto"/>
          </w:tcPr>
          <w:p w14:paraId="3E8BD11F" w14:textId="77777777" w:rsidR="008C5CFA" w:rsidRPr="00BA47B4" w:rsidRDefault="008C5CFA" w:rsidP="00300A01">
            <w:pPr>
              <w:spacing w:before="0" w:after="0"/>
              <w:jc w:val="center"/>
              <w:rPr>
                <w:sz w:val="12"/>
                <w:szCs w:val="12"/>
                <w:lang w:val="fr-BE"/>
              </w:rPr>
            </w:pPr>
          </w:p>
        </w:tc>
        <w:tc>
          <w:tcPr>
            <w:tcW w:w="0" w:type="auto"/>
            <w:shd w:val="clear" w:color="auto" w:fill="auto"/>
          </w:tcPr>
          <w:p w14:paraId="14E25FD1" w14:textId="77777777" w:rsidR="008C5CFA" w:rsidRPr="00BA47B4" w:rsidRDefault="008C5CFA" w:rsidP="00300A01">
            <w:pPr>
              <w:spacing w:before="0" w:after="0"/>
              <w:jc w:val="right"/>
              <w:rPr>
                <w:sz w:val="12"/>
                <w:szCs w:val="12"/>
                <w:lang w:val="fr-BE"/>
              </w:rPr>
            </w:pPr>
          </w:p>
        </w:tc>
        <w:tc>
          <w:tcPr>
            <w:tcW w:w="0" w:type="auto"/>
            <w:shd w:val="clear" w:color="auto" w:fill="auto"/>
          </w:tcPr>
          <w:p w14:paraId="4B828854" w14:textId="77777777" w:rsidR="008C5CFA" w:rsidRPr="00BA47B4" w:rsidRDefault="008C5CFA" w:rsidP="00300A01">
            <w:pPr>
              <w:spacing w:before="0" w:after="0"/>
              <w:jc w:val="right"/>
              <w:rPr>
                <w:sz w:val="12"/>
                <w:szCs w:val="12"/>
                <w:lang w:val="fr-BE"/>
              </w:rPr>
            </w:pPr>
          </w:p>
        </w:tc>
        <w:tc>
          <w:tcPr>
            <w:tcW w:w="0" w:type="auto"/>
            <w:shd w:val="clear" w:color="auto" w:fill="auto"/>
          </w:tcPr>
          <w:p w14:paraId="69B4C938" w14:textId="77777777" w:rsidR="008C5CFA" w:rsidRPr="00BA47B4" w:rsidRDefault="008C5CFA" w:rsidP="00300A01">
            <w:pPr>
              <w:spacing w:before="0" w:after="0"/>
              <w:jc w:val="right"/>
              <w:rPr>
                <w:sz w:val="12"/>
                <w:szCs w:val="12"/>
                <w:lang w:val="fr-BE"/>
              </w:rPr>
            </w:pPr>
          </w:p>
        </w:tc>
        <w:tc>
          <w:tcPr>
            <w:tcW w:w="0" w:type="auto"/>
            <w:shd w:val="clear" w:color="auto" w:fill="auto"/>
          </w:tcPr>
          <w:p w14:paraId="579846DA" w14:textId="77777777" w:rsidR="008C5CFA" w:rsidRPr="00BA47B4" w:rsidRDefault="00E82A60" w:rsidP="00300A01">
            <w:pPr>
              <w:spacing w:before="0" w:after="0"/>
              <w:jc w:val="right"/>
              <w:rPr>
                <w:sz w:val="12"/>
                <w:szCs w:val="12"/>
                <w:lang w:val="fr-BE"/>
              </w:rPr>
            </w:pPr>
            <w:r w:rsidRPr="00BA47B4">
              <w:rPr>
                <w:noProof/>
                <w:sz w:val="12"/>
                <w:szCs w:val="12"/>
                <w:lang w:val="fr-BE"/>
              </w:rPr>
              <w:t>25,00</w:t>
            </w:r>
          </w:p>
        </w:tc>
        <w:tc>
          <w:tcPr>
            <w:tcW w:w="0" w:type="auto"/>
            <w:shd w:val="clear" w:color="auto" w:fill="auto"/>
          </w:tcPr>
          <w:p w14:paraId="07E30D6A" w14:textId="77777777" w:rsidR="008C5CFA" w:rsidRPr="00BA47B4" w:rsidRDefault="00E82A60" w:rsidP="00300A01">
            <w:pPr>
              <w:spacing w:before="0" w:after="0"/>
              <w:jc w:val="right"/>
              <w:rPr>
                <w:sz w:val="12"/>
                <w:szCs w:val="12"/>
                <w:lang w:val="fr-BE"/>
              </w:rPr>
            </w:pPr>
            <w:r w:rsidRPr="00BA47B4">
              <w:rPr>
                <w:noProof/>
                <w:sz w:val="12"/>
                <w:szCs w:val="12"/>
                <w:lang w:val="fr-BE"/>
              </w:rPr>
              <w:t>18,00</w:t>
            </w:r>
          </w:p>
        </w:tc>
        <w:tc>
          <w:tcPr>
            <w:tcW w:w="0" w:type="auto"/>
            <w:shd w:val="clear" w:color="auto" w:fill="auto"/>
          </w:tcPr>
          <w:p w14:paraId="2C86446C" w14:textId="77777777" w:rsidR="008C5CFA" w:rsidRPr="00BA47B4" w:rsidRDefault="00E82A60" w:rsidP="00300A01">
            <w:pPr>
              <w:spacing w:before="0" w:after="0"/>
              <w:jc w:val="right"/>
              <w:rPr>
                <w:sz w:val="12"/>
                <w:szCs w:val="12"/>
                <w:lang w:val="fr-BE"/>
              </w:rPr>
            </w:pPr>
            <w:r w:rsidRPr="00BA47B4">
              <w:rPr>
                <w:noProof/>
                <w:sz w:val="12"/>
                <w:szCs w:val="12"/>
                <w:lang w:val="fr-BE"/>
              </w:rPr>
              <w:t>7,00</w:t>
            </w:r>
          </w:p>
        </w:tc>
        <w:tc>
          <w:tcPr>
            <w:tcW w:w="0" w:type="auto"/>
            <w:shd w:val="clear" w:color="auto" w:fill="auto"/>
          </w:tcPr>
          <w:p w14:paraId="35FB9D74" w14:textId="77777777" w:rsidR="008C5CFA" w:rsidRPr="00BA47B4" w:rsidRDefault="008C5CFA" w:rsidP="00300A01">
            <w:pPr>
              <w:spacing w:before="0" w:after="0"/>
              <w:jc w:val="right"/>
              <w:rPr>
                <w:sz w:val="12"/>
                <w:szCs w:val="12"/>
                <w:lang w:val="fr-BE"/>
              </w:rPr>
            </w:pPr>
          </w:p>
        </w:tc>
        <w:tc>
          <w:tcPr>
            <w:tcW w:w="0" w:type="auto"/>
            <w:shd w:val="clear" w:color="auto" w:fill="auto"/>
          </w:tcPr>
          <w:p w14:paraId="10D44A27" w14:textId="77777777" w:rsidR="008C5CFA" w:rsidRPr="00BA47B4" w:rsidRDefault="008C5CFA" w:rsidP="00300A01">
            <w:pPr>
              <w:spacing w:before="0" w:after="0"/>
              <w:jc w:val="right"/>
              <w:rPr>
                <w:sz w:val="12"/>
                <w:szCs w:val="12"/>
                <w:lang w:val="fr-BE"/>
              </w:rPr>
            </w:pPr>
          </w:p>
        </w:tc>
        <w:tc>
          <w:tcPr>
            <w:tcW w:w="0" w:type="auto"/>
            <w:shd w:val="clear" w:color="auto" w:fill="auto"/>
          </w:tcPr>
          <w:p w14:paraId="3B2D79EF" w14:textId="77777777" w:rsidR="008C5CFA" w:rsidRPr="00BA47B4" w:rsidRDefault="008C5CFA" w:rsidP="00300A01">
            <w:pPr>
              <w:spacing w:before="0" w:after="0"/>
              <w:jc w:val="right"/>
              <w:rPr>
                <w:sz w:val="12"/>
                <w:szCs w:val="12"/>
                <w:lang w:val="fr-BE"/>
              </w:rPr>
            </w:pPr>
          </w:p>
        </w:tc>
        <w:tc>
          <w:tcPr>
            <w:tcW w:w="0" w:type="auto"/>
            <w:shd w:val="clear" w:color="auto" w:fill="auto"/>
          </w:tcPr>
          <w:p w14:paraId="5AAB8F67"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02A94A7F"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r>
      <w:tr w:rsidR="006B2EC1" w14:paraId="331A8A64" w14:textId="77777777" w:rsidTr="0047688D">
        <w:tc>
          <w:tcPr>
            <w:tcW w:w="0" w:type="auto"/>
            <w:shd w:val="clear" w:color="auto" w:fill="auto"/>
          </w:tcPr>
          <w:p w14:paraId="75B22DEB" w14:textId="77777777" w:rsidR="008C5CFA" w:rsidRPr="00BA47B4" w:rsidRDefault="00E82A60" w:rsidP="00300A01">
            <w:pPr>
              <w:spacing w:before="0" w:after="0"/>
              <w:rPr>
                <w:sz w:val="12"/>
                <w:szCs w:val="12"/>
                <w:lang w:val="fr-BE"/>
              </w:rPr>
            </w:pPr>
            <w:r w:rsidRPr="00BA47B4">
              <w:rPr>
                <w:noProof/>
                <w:sz w:val="12"/>
                <w:szCs w:val="12"/>
                <w:lang w:val="fr-BE"/>
              </w:rPr>
              <w:t>CR02</w:t>
            </w:r>
          </w:p>
        </w:tc>
        <w:tc>
          <w:tcPr>
            <w:tcW w:w="0" w:type="auto"/>
            <w:shd w:val="clear" w:color="auto" w:fill="auto"/>
          </w:tcPr>
          <w:p w14:paraId="4F98966B" w14:textId="77777777" w:rsidR="008C5CFA" w:rsidRPr="00BA47B4" w:rsidRDefault="00E82A60" w:rsidP="00300A01">
            <w:pPr>
              <w:spacing w:before="0" w:after="0"/>
              <w:rPr>
                <w:sz w:val="12"/>
                <w:szCs w:val="12"/>
                <w:lang w:val="fr-BE"/>
              </w:rPr>
            </w:pPr>
            <w:r w:rsidRPr="00BA47B4">
              <w:rPr>
                <w:noProof/>
                <w:sz w:val="12"/>
                <w:szCs w:val="12"/>
                <w:lang w:val="fr-BE"/>
              </w:rPr>
              <w:t>uczestnicy kształcący lub szkolący się po opuszczeniu programu</w:t>
            </w:r>
          </w:p>
        </w:tc>
        <w:tc>
          <w:tcPr>
            <w:tcW w:w="0" w:type="auto"/>
            <w:shd w:val="clear" w:color="auto" w:fill="auto"/>
          </w:tcPr>
          <w:p w14:paraId="2BCF5F10" w14:textId="77777777" w:rsidR="008C5CFA" w:rsidRPr="00BA47B4" w:rsidRDefault="00E82A60" w:rsidP="00300A01">
            <w:pPr>
              <w:spacing w:before="0" w:after="0"/>
              <w:rPr>
                <w:sz w:val="12"/>
                <w:szCs w:val="12"/>
                <w:lang w:val="fr-BE"/>
              </w:rPr>
            </w:pPr>
            <w:r w:rsidRPr="00BA47B4">
              <w:rPr>
                <w:noProof/>
                <w:sz w:val="12"/>
                <w:szCs w:val="12"/>
                <w:lang w:val="fr-BE"/>
              </w:rPr>
              <w:t>Słabiej rozwinięte</w:t>
            </w:r>
          </w:p>
        </w:tc>
        <w:tc>
          <w:tcPr>
            <w:tcW w:w="0" w:type="auto"/>
            <w:shd w:val="clear" w:color="auto" w:fill="auto"/>
          </w:tcPr>
          <w:p w14:paraId="4D7EBAA2" w14:textId="77777777" w:rsidR="008C5CFA" w:rsidRPr="00BA47B4" w:rsidRDefault="00E82A60" w:rsidP="00300A01">
            <w:pPr>
              <w:spacing w:before="0" w:after="0"/>
              <w:rPr>
                <w:sz w:val="12"/>
                <w:szCs w:val="12"/>
                <w:lang w:val="fr-BE"/>
              </w:rPr>
            </w:pPr>
            <w:r w:rsidRPr="00BA47B4">
              <w:rPr>
                <w:sz w:val="12"/>
                <w:szCs w:val="12"/>
                <w:lang w:val="fr-BE"/>
              </w:rPr>
              <w:t xml:space="preserve"> </w:t>
            </w:r>
          </w:p>
        </w:tc>
        <w:tc>
          <w:tcPr>
            <w:tcW w:w="0" w:type="auto"/>
            <w:shd w:val="clear" w:color="auto" w:fill="auto"/>
          </w:tcPr>
          <w:p w14:paraId="11CAC02E" w14:textId="77777777" w:rsidR="008C5CFA" w:rsidRPr="00BA47B4" w:rsidRDefault="008C5CFA" w:rsidP="00300A01">
            <w:pPr>
              <w:spacing w:before="0" w:after="0"/>
              <w:jc w:val="center"/>
              <w:rPr>
                <w:sz w:val="12"/>
                <w:szCs w:val="12"/>
                <w:lang w:val="fr-BE"/>
              </w:rPr>
            </w:pPr>
          </w:p>
        </w:tc>
        <w:tc>
          <w:tcPr>
            <w:tcW w:w="0" w:type="auto"/>
            <w:shd w:val="clear" w:color="auto" w:fill="auto"/>
          </w:tcPr>
          <w:p w14:paraId="2A3B6AB2" w14:textId="77777777" w:rsidR="008C5CFA" w:rsidRPr="00BA47B4" w:rsidRDefault="008C5CFA" w:rsidP="00300A01">
            <w:pPr>
              <w:spacing w:before="0" w:after="0"/>
              <w:jc w:val="right"/>
              <w:rPr>
                <w:sz w:val="12"/>
                <w:szCs w:val="12"/>
                <w:lang w:val="fr-BE"/>
              </w:rPr>
            </w:pPr>
          </w:p>
        </w:tc>
        <w:tc>
          <w:tcPr>
            <w:tcW w:w="0" w:type="auto"/>
            <w:shd w:val="clear" w:color="auto" w:fill="auto"/>
          </w:tcPr>
          <w:p w14:paraId="4478FB2A" w14:textId="77777777" w:rsidR="008C5CFA" w:rsidRPr="00BA47B4" w:rsidRDefault="008C5CFA" w:rsidP="00300A01">
            <w:pPr>
              <w:spacing w:before="0" w:after="0"/>
              <w:jc w:val="right"/>
              <w:rPr>
                <w:sz w:val="12"/>
                <w:szCs w:val="12"/>
                <w:lang w:val="fr-BE"/>
              </w:rPr>
            </w:pPr>
          </w:p>
        </w:tc>
        <w:tc>
          <w:tcPr>
            <w:tcW w:w="0" w:type="auto"/>
            <w:shd w:val="clear" w:color="auto" w:fill="auto"/>
          </w:tcPr>
          <w:p w14:paraId="7048658D" w14:textId="77777777" w:rsidR="008C5CFA" w:rsidRPr="00BA47B4" w:rsidRDefault="008C5CFA" w:rsidP="00300A01">
            <w:pPr>
              <w:spacing w:before="0" w:after="0"/>
              <w:jc w:val="right"/>
              <w:rPr>
                <w:sz w:val="12"/>
                <w:szCs w:val="12"/>
                <w:lang w:val="fr-BE"/>
              </w:rPr>
            </w:pPr>
          </w:p>
        </w:tc>
        <w:tc>
          <w:tcPr>
            <w:tcW w:w="0" w:type="auto"/>
            <w:shd w:val="clear" w:color="auto" w:fill="auto"/>
          </w:tcPr>
          <w:p w14:paraId="246CD69F" w14:textId="77777777" w:rsidR="008C5CFA" w:rsidRPr="00BA47B4" w:rsidRDefault="00E82A60" w:rsidP="00300A01">
            <w:pPr>
              <w:spacing w:before="0" w:after="0"/>
              <w:jc w:val="right"/>
              <w:rPr>
                <w:sz w:val="12"/>
                <w:szCs w:val="12"/>
                <w:lang w:val="fr-BE"/>
              </w:rPr>
            </w:pPr>
            <w:r w:rsidRPr="00BA47B4">
              <w:rPr>
                <w:noProof/>
                <w:sz w:val="12"/>
                <w:szCs w:val="12"/>
                <w:lang w:val="fr-BE"/>
              </w:rPr>
              <w:t>6,00</w:t>
            </w:r>
          </w:p>
        </w:tc>
        <w:tc>
          <w:tcPr>
            <w:tcW w:w="0" w:type="auto"/>
            <w:shd w:val="clear" w:color="auto" w:fill="auto"/>
          </w:tcPr>
          <w:p w14:paraId="7E726A19" w14:textId="77777777" w:rsidR="008C5CFA" w:rsidRPr="00BA47B4" w:rsidRDefault="00E82A60" w:rsidP="00300A01">
            <w:pPr>
              <w:spacing w:before="0" w:after="0"/>
              <w:jc w:val="right"/>
              <w:rPr>
                <w:sz w:val="12"/>
                <w:szCs w:val="12"/>
                <w:lang w:val="fr-BE"/>
              </w:rPr>
            </w:pPr>
            <w:r w:rsidRPr="00BA47B4">
              <w:rPr>
                <w:noProof/>
                <w:sz w:val="12"/>
                <w:szCs w:val="12"/>
                <w:lang w:val="fr-BE"/>
              </w:rPr>
              <w:t>6,00</w:t>
            </w:r>
          </w:p>
        </w:tc>
        <w:tc>
          <w:tcPr>
            <w:tcW w:w="0" w:type="auto"/>
            <w:shd w:val="clear" w:color="auto" w:fill="auto"/>
          </w:tcPr>
          <w:p w14:paraId="065D4735"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43817520" w14:textId="77777777" w:rsidR="008C5CFA" w:rsidRPr="00BA47B4" w:rsidRDefault="008C5CFA" w:rsidP="00300A01">
            <w:pPr>
              <w:spacing w:before="0" w:after="0"/>
              <w:jc w:val="right"/>
              <w:rPr>
                <w:sz w:val="12"/>
                <w:szCs w:val="12"/>
                <w:lang w:val="fr-BE"/>
              </w:rPr>
            </w:pPr>
          </w:p>
        </w:tc>
        <w:tc>
          <w:tcPr>
            <w:tcW w:w="0" w:type="auto"/>
            <w:shd w:val="clear" w:color="auto" w:fill="auto"/>
          </w:tcPr>
          <w:p w14:paraId="5877214B" w14:textId="77777777" w:rsidR="008C5CFA" w:rsidRPr="00BA47B4" w:rsidRDefault="008C5CFA" w:rsidP="00300A01">
            <w:pPr>
              <w:spacing w:before="0" w:after="0"/>
              <w:jc w:val="right"/>
              <w:rPr>
                <w:sz w:val="12"/>
                <w:szCs w:val="12"/>
                <w:lang w:val="fr-BE"/>
              </w:rPr>
            </w:pPr>
          </w:p>
        </w:tc>
        <w:tc>
          <w:tcPr>
            <w:tcW w:w="0" w:type="auto"/>
            <w:shd w:val="clear" w:color="auto" w:fill="auto"/>
          </w:tcPr>
          <w:p w14:paraId="6D451DD3" w14:textId="77777777" w:rsidR="008C5CFA" w:rsidRPr="00BA47B4" w:rsidRDefault="008C5CFA" w:rsidP="00300A01">
            <w:pPr>
              <w:spacing w:before="0" w:after="0"/>
              <w:jc w:val="right"/>
              <w:rPr>
                <w:sz w:val="12"/>
                <w:szCs w:val="12"/>
                <w:lang w:val="fr-BE"/>
              </w:rPr>
            </w:pPr>
          </w:p>
        </w:tc>
        <w:tc>
          <w:tcPr>
            <w:tcW w:w="0" w:type="auto"/>
            <w:shd w:val="clear" w:color="auto" w:fill="auto"/>
          </w:tcPr>
          <w:p w14:paraId="0F9610DB" w14:textId="77777777" w:rsidR="008C5CFA" w:rsidRPr="00BA47B4" w:rsidRDefault="00E82A60" w:rsidP="00300A01">
            <w:pPr>
              <w:spacing w:before="0" w:after="0"/>
              <w:jc w:val="right"/>
              <w:rPr>
                <w:sz w:val="12"/>
                <w:szCs w:val="12"/>
                <w:lang w:val="fr-BE"/>
              </w:rPr>
            </w:pPr>
            <w:r w:rsidRPr="00BA47B4">
              <w:rPr>
                <w:noProof/>
                <w:sz w:val="12"/>
                <w:szCs w:val="12"/>
                <w:lang w:val="fr-BE"/>
              </w:rPr>
              <w:t>1,00</w:t>
            </w:r>
          </w:p>
        </w:tc>
        <w:tc>
          <w:tcPr>
            <w:tcW w:w="0" w:type="auto"/>
            <w:shd w:val="clear" w:color="auto" w:fill="auto"/>
          </w:tcPr>
          <w:p w14:paraId="0B1155F0"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r>
      <w:tr w:rsidR="006B2EC1" w14:paraId="7A7192FA" w14:textId="77777777" w:rsidTr="0047688D">
        <w:tc>
          <w:tcPr>
            <w:tcW w:w="0" w:type="auto"/>
            <w:shd w:val="clear" w:color="auto" w:fill="auto"/>
          </w:tcPr>
          <w:p w14:paraId="1C3BECA1" w14:textId="77777777" w:rsidR="008C5CFA" w:rsidRPr="00BA47B4" w:rsidRDefault="00E82A60" w:rsidP="00300A01">
            <w:pPr>
              <w:spacing w:before="0" w:after="0"/>
              <w:rPr>
                <w:sz w:val="12"/>
                <w:szCs w:val="12"/>
                <w:lang w:val="fr-BE"/>
              </w:rPr>
            </w:pPr>
            <w:r w:rsidRPr="00BA47B4">
              <w:rPr>
                <w:noProof/>
                <w:sz w:val="12"/>
                <w:szCs w:val="12"/>
                <w:lang w:val="fr-BE"/>
              </w:rPr>
              <w:t>CR03</w:t>
            </w:r>
          </w:p>
        </w:tc>
        <w:tc>
          <w:tcPr>
            <w:tcW w:w="0" w:type="auto"/>
            <w:shd w:val="clear" w:color="auto" w:fill="auto"/>
          </w:tcPr>
          <w:p w14:paraId="41F1AF36" w14:textId="77777777" w:rsidR="008C5CFA" w:rsidRPr="00BA47B4" w:rsidRDefault="00E82A60" w:rsidP="00300A01">
            <w:pPr>
              <w:spacing w:before="0" w:after="0"/>
              <w:rPr>
                <w:sz w:val="12"/>
                <w:szCs w:val="12"/>
                <w:lang w:val="fr-BE"/>
              </w:rPr>
            </w:pPr>
            <w:r w:rsidRPr="00BA47B4">
              <w:rPr>
                <w:noProof/>
                <w:sz w:val="12"/>
                <w:szCs w:val="12"/>
                <w:lang w:val="fr-BE"/>
              </w:rPr>
              <w:t>uczestnicy uzyskujący kwalifikacje po opuszczeniu programu</w:t>
            </w:r>
          </w:p>
        </w:tc>
        <w:tc>
          <w:tcPr>
            <w:tcW w:w="0" w:type="auto"/>
            <w:shd w:val="clear" w:color="auto" w:fill="auto"/>
          </w:tcPr>
          <w:p w14:paraId="6FDB7279" w14:textId="77777777" w:rsidR="008C5CFA" w:rsidRPr="00BA47B4" w:rsidRDefault="00E82A60" w:rsidP="00300A01">
            <w:pPr>
              <w:spacing w:before="0" w:after="0"/>
              <w:rPr>
                <w:sz w:val="12"/>
                <w:szCs w:val="12"/>
                <w:lang w:val="fr-BE"/>
              </w:rPr>
            </w:pPr>
            <w:r w:rsidRPr="00BA47B4">
              <w:rPr>
                <w:noProof/>
                <w:sz w:val="12"/>
                <w:szCs w:val="12"/>
                <w:lang w:val="fr-BE"/>
              </w:rPr>
              <w:t>Słabiej rozwinięte</w:t>
            </w:r>
          </w:p>
        </w:tc>
        <w:tc>
          <w:tcPr>
            <w:tcW w:w="0" w:type="auto"/>
            <w:shd w:val="clear" w:color="auto" w:fill="auto"/>
          </w:tcPr>
          <w:p w14:paraId="50C36D37" w14:textId="77777777" w:rsidR="008C5CFA" w:rsidRPr="00BA47B4" w:rsidRDefault="00E82A60" w:rsidP="00300A01">
            <w:pPr>
              <w:spacing w:before="0" w:after="0"/>
              <w:rPr>
                <w:sz w:val="12"/>
                <w:szCs w:val="12"/>
                <w:lang w:val="fr-BE"/>
              </w:rPr>
            </w:pPr>
            <w:r w:rsidRPr="00BA47B4">
              <w:rPr>
                <w:sz w:val="12"/>
                <w:szCs w:val="12"/>
                <w:lang w:val="fr-BE"/>
              </w:rPr>
              <w:t xml:space="preserve"> </w:t>
            </w:r>
          </w:p>
        </w:tc>
        <w:tc>
          <w:tcPr>
            <w:tcW w:w="0" w:type="auto"/>
            <w:shd w:val="clear" w:color="auto" w:fill="auto"/>
          </w:tcPr>
          <w:p w14:paraId="7441A820" w14:textId="77777777" w:rsidR="008C5CFA" w:rsidRPr="00BA47B4" w:rsidRDefault="008C5CFA" w:rsidP="00300A01">
            <w:pPr>
              <w:spacing w:before="0" w:after="0"/>
              <w:jc w:val="center"/>
              <w:rPr>
                <w:sz w:val="12"/>
                <w:szCs w:val="12"/>
                <w:lang w:val="fr-BE"/>
              </w:rPr>
            </w:pPr>
          </w:p>
        </w:tc>
        <w:tc>
          <w:tcPr>
            <w:tcW w:w="0" w:type="auto"/>
            <w:shd w:val="clear" w:color="auto" w:fill="auto"/>
          </w:tcPr>
          <w:p w14:paraId="15DBC8F7" w14:textId="77777777" w:rsidR="008C5CFA" w:rsidRPr="00BA47B4" w:rsidRDefault="008C5CFA" w:rsidP="00300A01">
            <w:pPr>
              <w:spacing w:before="0" w:after="0"/>
              <w:jc w:val="right"/>
              <w:rPr>
                <w:sz w:val="12"/>
                <w:szCs w:val="12"/>
                <w:lang w:val="fr-BE"/>
              </w:rPr>
            </w:pPr>
          </w:p>
        </w:tc>
        <w:tc>
          <w:tcPr>
            <w:tcW w:w="0" w:type="auto"/>
            <w:shd w:val="clear" w:color="auto" w:fill="auto"/>
          </w:tcPr>
          <w:p w14:paraId="2BB97097" w14:textId="77777777" w:rsidR="008C5CFA" w:rsidRPr="00BA47B4" w:rsidRDefault="008C5CFA" w:rsidP="00300A01">
            <w:pPr>
              <w:spacing w:before="0" w:after="0"/>
              <w:jc w:val="right"/>
              <w:rPr>
                <w:sz w:val="12"/>
                <w:szCs w:val="12"/>
                <w:lang w:val="fr-BE"/>
              </w:rPr>
            </w:pPr>
          </w:p>
        </w:tc>
        <w:tc>
          <w:tcPr>
            <w:tcW w:w="0" w:type="auto"/>
            <w:shd w:val="clear" w:color="auto" w:fill="auto"/>
          </w:tcPr>
          <w:p w14:paraId="042127ED" w14:textId="77777777" w:rsidR="008C5CFA" w:rsidRPr="00BA47B4" w:rsidRDefault="008C5CFA" w:rsidP="00300A01">
            <w:pPr>
              <w:spacing w:before="0" w:after="0"/>
              <w:jc w:val="right"/>
              <w:rPr>
                <w:sz w:val="12"/>
                <w:szCs w:val="12"/>
                <w:lang w:val="fr-BE"/>
              </w:rPr>
            </w:pPr>
          </w:p>
        </w:tc>
        <w:tc>
          <w:tcPr>
            <w:tcW w:w="0" w:type="auto"/>
            <w:shd w:val="clear" w:color="auto" w:fill="auto"/>
          </w:tcPr>
          <w:p w14:paraId="07056520" w14:textId="77777777" w:rsidR="008C5CFA" w:rsidRPr="00BA47B4" w:rsidRDefault="00E82A60" w:rsidP="00300A01">
            <w:pPr>
              <w:spacing w:before="0" w:after="0"/>
              <w:jc w:val="right"/>
              <w:rPr>
                <w:sz w:val="12"/>
                <w:szCs w:val="12"/>
                <w:lang w:val="fr-BE"/>
              </w:rPr>
            </w:pPr>
            <w:r w:rsidRPr="00BA47B4">
              <w:rPr>
                <w:noProof/>
                <w:sz w:val="12"/>
                <w:szCs w:val="12"/>
                <w:lang w:val="fr-BE"/>
              </w:rPr>
              <w:t>2 349,00</w:t>
            </w:r>
          </w:p>
        </w:tc>
        <w:tc>
          <w:tcPr>
            <w:tcW w:w="0" w:type="auto"/>
            <w:shd w:val="clear" w:color="auto" w:fill="auto"/>
          </w:tcPr>
          <w:p w14:paraId="75052EAD" w14:textId="77777777" w:rsidR="008C5CFA" w:rsidRPr="00BA47B4" w:rsidRDefault="00E82A60" w:rsidP="00300A01">
            <w:pPr>
              <w:spacing w:before="0" w:after="0"/>
              <w:jc w:val="right"/>
              <w:rPr>
                <w:sz w:val="12"/>
                <w:szCs w:val="12"/>
                <w:lang w:val="fr-BE"/>
              </w:rPr>
            </w:pPr>
            <w:r w:rsidRPr="00BA47B4">
              <w:rPr>
                <w:noProof/>
                <w:sz w:val="12"/>
                <w:szCs w:val="12"/>
                <w:lang w:val="fr-BE"/>
              </w:rPr>
              <w:t>1 638,00</w:t>
            </w:r>
          </w:p>
        </w:tc>
        <w:tc>
          <w:tcPr>
            <w:tcW w:w="0" w:type="auto"/>
            <w:shd w:val="clear" w:color="auto" w:fill="auto"/>
          </w:tcPr>
          <w:p w14:paraId="62DC8993" w14:textId="77777777" w:rsidR="008C5CFA" w:rsidRPr="00BA47B4" w:rsidRDefault="00E82A60" w:rsidP="00300A01">
            <w:pPr>
              <w:spacing w:before="0" w:after="0"/>
              <w:jc w:val="right"/>
              <w:rPr>
                <w:sz w:val="12"/>
                <w:szCs w:val="12"/>
                <w:lang w:val="fr-BE"/>
              </w:rPr>
            </w:pPr>
            <w:r w:rsidRPr="00BA47B4">
              <w:rPr>
                <w:noProof/>
                <w:sz w:val="12"/>
                <w:szCs w:val="12"/>
                <w:lang w:val="fr-BE"/>
              </w:rPr>
              <w:t>711,00</w:t>
            </w:r>
          </w:p>
        </w:tc>
        <w:tc>
          <w:tcPr>
            <w:tcW w:w="0" w:type="auto"/>
            <w:shd w:val="clear" w:color="auto" w:fill="auto"/>
          </w:tcPr>
          <w:p w14:paraId="4196A771" w14:textId="77777777" w:rsidR="008C5CFA" w:rsidRPr="00BA47B4" w:rsidRDefault="008C5CFA" w:rsidP="00300A01">
            <w:pPr>
              <w:spacing w:before="0" w:after="0"/>
              <w:jc w:val="right"/>
              <w:rPr>
                <w:sz w:val="12"/>
                <w:szCs w:val="12"/>
                <w:lang w:val="fr-BE"/>
              </w:rPr>
            </w:pPr>
          </w:p>
        </w:tc>
        <w:tc>
          <w:tcPr>
            <w:tcW w:w="0" w:type="auto"/>
            <w:shd w:val="clear" w:color="auto" w:fill="auto"/>
          </w:tcPr>
          <w:p w14:paraId="4BA26820" w14:textId="77777777" w:rsidR="008C5CFA" w:rsidRPr="00BA47B4" w:rsidRDefault="008C5CFA" w:rsidP="00300A01">
            <w:pPr>
              <w:spacing w:before="0" w:after="0"/>
              <w:jc w:val="right"/>
              <w:rPr>
                <w:sz w:val="12"/>
                <w:szCs w:val="12"/>
                <w:lang w:val="fr-BE"/>
              </w:rPr>
            </w:pPr>
          </w:p>
        </w:tc>
        <w:tc>
          <w:tcPr>
            <w:tcW w:w="0" w:type="auto"/>
            <w:shd w:val="clear" w:color="auto" w:fill="auto"/>
          </w:tcPr>
          <w:p w14:paraId="308177CE" w14:textId="77777777" w:rsidR="008C5CFA" w:rsidRPr="00BA47B4" w:rsidRDefault="008C5CFA" w:rsidP="00300A01">
            <w:pPr>
              <w:spacing w:before="0" w:after="0"/>
              <w:jc w:val="right"/>
              <w:rPr>
                <w:sz w:val="12"/>
                <w:szCs w:val="12"/>
                <w:lang w:val="fr-BE"/>
              </w:rPr>
            </w:pPr>
          </w:p>
        </w:tc>
        <w:tc>
          <w:tcPr>
            <w:tcW w:w="0" w:type="auto"/>
            <w:shd w:val="clear" w:color="auto" w:fill="auto"/>
          </w:tcPr>
          <w:p w14:paraId="71DDEE0D" w14:textId="77777777" w:rsidR="008C5CFA" w:rsidRPr="00BA47B4" w:rsidRDefault="00E82A60" w:rsidP="00300A01">
            <w:pPr>
              <w:spacing w:before="0" w:after="0"/>
              <w:jc w:val="right"/>
              <w:rPr>
                <w:sz w:val="12"/>
                <w:szCs w:val="12"/>
                <w:lang w:val="fr-BE"/>
              </w:rPr>
            </w:pPr>
            <w:r w:rsidRPr="00BA47B4">
              <w:rPr>
                <w:noProof/>
                <w:sz w:val="12"/>
                <w:szCs w:val="12"/>
                <w:lang w:val="fr-BE"/>
              </w:rPr>
              <w:t>903,00</w:t>
            </w:r>
          </w:p>
        </w:tc>
        <w:tc>
          <w:tcPr>
            <w:tcW w:w="0" w:type="auto"/>
            <w:shd w:val="clear" w:color="auto" w:fill="auto"/>
          </w:tcPr>
          <w:p w14:paraId="6A026F37" w14:textId="77777777" w:rsidR="008C5CFA" w:rsidRPr="00BA47B4" w:rsidRDefault="00E82A60" w:rsidP="00300A01">
            <w:pPr>
              <w:spacing w:before="0" w:after="0"/>
              <w:jc w:val="right"/>
              <w:rPr>
                <w:sz w:val="12"/>
                <w:szCs w:val="12"/>
                <w:lang w:val="fr-BE"/>
              </w:rPr>
            </w:pPr>
            <w:r w:rsidRPr="00BA47B4">
              <w:rPr>
                <w:noProof/>
                <w:sz w:val="12"/>
                <w:szCs w:val="12"/>
                <w:lang w:val="fr-BE"/>
              </w:rPr>
              <w:t>389,00</w:t>
            </w:r>
          </w:p>
        </w:tc>
      </w:tr>
      <w:tr w:rsidR="006B2EC1" w14:paraId="11718EE3" w14:textId="77777777" w:rsidTr="0047688D">
        <w:tc>
          <w:tcPr>
            <w:tcW w:w="0" w:type="auto"/>
            <w:shd w:val="clear" w:color="auto" w:fill="auto"/>
          </w:tcPr>
          <w:p w14:paraId="722086A4" w14:textId="77777777" w:rsidR="008C5CFA" w:rsidRPr="00BA47B4" w:rsidRDefault="00E82A60" w:rsidP="00300A01">
            <w:pPr>
              <w:spacing w:before="0" w:after="0"/>
              <w:rPr>
                <w:sz w:val="12"/>
                <w:szCs w:val="12"/>
                <w:lang w:val="fr-BE"/>
              </w:rPr>
            </w:pPr>
            <w:r w:rsidRPr="00BA47B4">
              <w:rPr>
                <w:noProof/>
                <w:sz w:val="12"/>
                <w:szCs w:val="12"/>
                <w:lang w:val="fr-BE"/>
              </w:rPr>
              <w:t>CR04</w:t>
            </w:r>
          </w:p>
        </w:tc>
        <w:tc>
          <w:tcPr>
            <w:tcW w:w="0" w:type="auto"/>
            <w:shd w:val="clear" w:color="auto" w:fill="auto"/>
          </w:tcPr>
          <w:p w14:paraId="64DA2B4D" w14:textId="77777777" w:rsidR="008C5CFA" w:rsidRPr="00BA47B4" w:rsidRDefault="00E82A60" w:rsidP="00300A01">
            <w:pPr>
              <w:spacing w:before="0" w:after="0"/>
              <w:rPr>
                <w:sz w:val="12"/>
                <w:szCs w:val="12"/>
                <w:lang w:val="fr-BE"/>
              </w:rPr>
            </w:pPr>
            <w:r w:rsidRPr="00BA47B4">
              <w:rPr>
                <w:noProof/>
                <w:sz w:val="12"/>
                <w:szCs w:val="12"/>
                <w:lang w:val="fr-BE"/>
              </w:rPr>
              <w:t>uczestnicy pracujący, łącznie z prowadzącymi działalność na własny rachunek, po opuszczeniu programu</w:t>
            </w:r>
          </w:p>
        </w:tc>
        <w:tc>
          <w:tcPr>
            <w:tcW w:w="0" w:type="auto"/>
            <w:shd w:val="clear" w:color="auto" w:fill="auto"/>
          </w:tcPr>
          <w:p w14:paraId="20BC0E34" w14:textId="77777777" w:rsidR="008C5CFA" w:rsidRPr="00BA47B4" w:rsidRDefault="00E82A60" w:rsidP="00300A01">
            <w:pPr>
              <w:spacing w:before="0" w:after="0"/>
              <w:rPr>
                <w:sz w:val="12"/>
                <w:szCs w:val="12"/>
                <w:lang w:val="fr-BE"/>
              </w:rPr>
            </w:pPr>
            <w:r w:rsidRPr="00BA47B4">
              <w:rPr>
                <w:noProof/>
                <w:sz w:val="12"/>
                <w:szCs w:val="12"/>
                <w:lang w:val="fr-BE"/>
              </w:rPr>
              <w:t>Słabiej rozwinięte</w:t>
            </w:r>
          </w:p>
        </w:tc>
        <w:tc>
          <w:tcPr>
            <w:tcW w:w="0" w:type="auto"/>
            <w:shd w:val="clear" w:color="auto" w:fill="auto"/>
          </w:tcPr>
          <w:p w14:paraId="6979A393" w14:textId="77777777" w:rsidR="008C5CFA" w:rsidRPr="00BA47B4" w:rsidRDefault="00E82A60" w:rsidP="00300A01">
            <w:pPr>
              <w:spacing w:before="0" w:after="0"/>
              <w:rPr>
                <w:sz w:val="12"/>
                <w:szCs w:val="12"/>
                <w:lang w:val="fr-BE"/>
              </w:rPr>
            </w:pPr>
            <w:r w:rsidRPr="00BA47B4">
              <w:rPr>
                <w:sz w:val="12"/>
                <w:szCs w:val="12"/>
                <w:lang w:val="fr-BE"/>
              </w:rPr>
              <w:t xml:space="preserve"> </w:t>
            </w:r>
          </w:p>
        </w:tc>
        <w:tc>
          <w:tcPr>
            <w:tcW w:w="0" w:type="auto"/>
            <w:shd w:val="clear" w:color="auto" w:fill="auto"/>
          </w:tcPr>
          <w:p w14:paraId="7A853190" w14:textId="77777777" w:rsidR="008C5CFA" w:rsidRPr="00BA47B4" w:rsidRDefault="008C5CFA" w:rsidP="00300A01">
            <w:pPr>
              <w:spacing w:before="0" w:after="0"/>
              <w:jc w:val="center"/>
              <w:rPr>
                <w:sz w:val="12"/>
                <w:szCs w:val="12"/>
                <w:lang w:val="fr-BE"/>
              </w:rPr>
            </w:pPr>
          </w:p>
        </w:tc>
        <w:tc>
          <w:tcPr>
            <w:tcW w:w="0" w:type="auto"/>
            <w:shd w:val="clear" w:color="auto" w:fill="auto"/>
          </w:tcPr>
          <w:p w14:paraId="62CB687B" w14:textId="77777777" w:rsidR="008C5CFA" w:rsidRPr="00BA47B4" w:rsidRDefault="008C5CFA" w:rsidP="00300A01">
            <w:pPr>
              <w:spacing w:before="0" w:after="0"/>
              <w:jc w:val="right"/>
              <w:rPr>
                <w:sz w:val="12"/>
                <w:szCs w:val="12"/>
                <w:lang w:val="fr-BE"/>
              </w:rPr>
            </w:pPr>
          </w:p>
        </w:tc>
        <w:tc>
          <w:tcPr>
            <w:tcW w:w="0" w:type="auto"/>
            <w:shd w:val="clear" w:color="auto" w:fill="auto"/>
          </w:tcPr>
          <w:p w14:paraId="30742A99" w14:textId="77777777" w:rsidR="008C5CFA" w:rsidRPr="00BA47B4" w:rsidRDefault="008C5CFA" w:rsidP="00300A01">
            <w:pPr>
              <w:spacing w:before="0" w:after="0"/>
              <w:jc w:val="right"/>
              <w:rPr>
                <w:sz w:val="12"/>
                <w:szCs w:val="12"/>
                <w:lang w:val="fr-BE"/>
              </w:rPr>
            </w:pPr>
          </w:p>
        </w:tc>
        <w:tc>
          <w:tcPr>
            <w:tcW w:w="0" w:type="auto"/>
            <w:shd w:val="clear" w:color="auto" w:fill="auto"/>
          </w:tcPr>
          <w:p w14:paraId="73930958" w14:textId="77777777" w:rsidR="008C5CFA" w:rsidRPr="00BA47B4" w:rsidRDefault="008C5CFA" w:rsidP="00300A01">
            <w:pPr>
              <w:spacing w:before="0" w:after="0"/>
              <w:jc w:val="right"/>
              <w:rPr>
                <w:sz w:val="12"/>
                <w:szCs w:val="12"/>
                <w:lang w:val="fr-BE"/>
              </w:rPr>
            </w:pPr>
          </w:p>
        </w:tc>
        <w:tc>
          <w:tcPr>
            <w:tcW w:w="0" w:type="auto"/>
            <w:shd w:val="clear" w:color="auto" w:fill="auto"/>
          </w:tcPr>
          <w:p w14:paraId="6ADA6609" w14:textId="77777777" w:rsidR="008C5CFA" w:rsidRPr="00BA47B4" w:rsidRDefault="00E82A60" w:rsidP="00300A01">
            <w:pPr>
              <w:spacing w:before="0" w:after="0"/>
              <w:jc w:val="right"/>
              <w:rPr>
                <w:sz w:val="12"/>
                <w:szCs w:val="12"/>
                <w:lang w:val="fr-BE"/>
              </w:rPr>
            </w:pPr>
            <w:r w:rsidRPr="00BA47B4">
              <w:rPr>
                <w:noProof/>
                <w:sz w:val="12"/>
                <w:szCs w:val="12"/>
                <w:lang w:val="fr-BE"/>
              </w:rPr>
              <w:t>42,00</w:t>
            </w:r>
          </w:p>
        </w:tc>
        <w:tc>
          <w:tcPr>
            <w:tcW w:w="0" w:type="auto"/>
            <w:shd w:val="clear" w:color="auto" w:fill="auto"/>
          </w:tcPr>
          <w:p w14:paraId="578944DB" w14:textId="77777777" w:rsidR="008C5CFA" w:rsidRPr="00BA47B4" w:rsidRDefault="00E82A60" w:rsidP="00300A01">
            <w:pPr>
              <w:spacing w:before="0" w:after="0"/>
              <w:jc w:val="right"/>
              <w:rPr>
                <w:sz w:val="12"/>
                <w:szCs w:val="12"/>
                <w:lang w:val="fr-BE"/>
              </w:rPr>
            </w:pPr>
            <w:r w:rsidRPr="00BA47B4">
              <w:rPr>
                <w:noProof/>
                <w:sz w:val="12"/>
                <w:szCs w:val="12"/>
                <w:lang w:val="fr-BE"/>
              </w:rPr>
              <w:t>35,00</w:t>
            </w:r>
          </w:p>
        </w:tc>
        <w:tc>
          <w:tcPr>
            <w:tcW w:w="0" w:type="auto"/>
            <w:shd w:val="clear" w:color="auto" w:fill="auto"/>
          </w:tcPr>
          <w:p w14:paraId="48235A74" w14:textId="77777777" w:rsidR="008C5CFA" w:rsidRPr="00BA47B4" w:rsidRDefault="00E82A60" w:rsidP="00300A01">
            <w:pPr>
              <w:spacing w:before="0" w:after="0"/>
              <w:jc w:val="right"/>
              <w:rPr>
                <w:sz w:val="12"/>
                <w:szCs w:val="12"/>
                <w:lang w:val="fr-BE"/>
              </w:rPr>
            </w:pPr>
            <w:r w:rsidRPr="00BA47B4">
              <w:rPr>
                <w:noProof/>
                <w:sz w:val="12"/>
                <w:szCs w:val="12"/>
                <w:lang w:val="fr-BE"/>
              </w:rPr>
              <w:t>7,00</w:t>
            </w:r>
          </w:p>
        </w:tc>
        <w:tc>
          <w:tcPr>
            <w:tcW w:w="0" w:type="auto"/>
            <w:shd w:val="clear" w:color="auto" w:fill="auto"/>
          </w:tcPr>
          <w:p w14:paraId="0F51E644" w14:textId="77777777" w:rsidR="008C5CFA" w:rsidRPr="00BA47B4" w:rsidRDefault="008C5CFA" w:rsidP="00300A01">
            <w:pPr>
              <w:spacing w:before="0" w:after="0"/>
              <w:jc w:val="right"/>
              <w:rPr>
                <w:sz w:val="12"/>
                <w:szCs w:val="12"/>
                <w:lang w:val="fr-BE"/>
              </w:rPr>
            </w:pPr>
          </w:p>
        </w:tc>
        <w:tc>
          <w:tcPr>
            <w:tcW w:w="0" w:type="auto"/>
            <w:shd w:val="clear" w:color="auto" w:fill="auto"/>
          </w:tcPr>
          <w:p w14:paraId="53FB752D" w14:textId="77777777" w:rsidR="008C5CFA" w:rsidRPr="00BA47B4" w:rsidRDefault="008C5CFA" w:rsidP="00300A01">
            <w:pPr>
              <w:spacing w:before="0" w:after="0"/>
              <w:jc w:val="right"/>
              <w:rPr>
                <w:sz w:val="12"/>
                <w:szCs w:val="12"/>
                <w:lang w:val="fr-BE"/>
              </w:rPr>
            </w:pPr>
          </w:p>
        </w:tc>
        <w:tc>
          <w:tcPr>
            <w:tcW w:w="0" w:type="auto"/>
            <w:shd w:val="clear" w:color="auto" w:fill="auto"/>
          </w:tcPr>
          <w:p w14:paraId="70CB1B35" w14:textId="77777777" w:rsidR="008C5CFA" w:rsidRPr="00BA47B4" w:rsidRDefault="008C5CFA" w:rsidP="00300A01">
            <w:pPr>
              <w:spacing w:before="0" w:after="0"/>
              <w:jc w:val="right"/>
              <w:rPr>
                <w:sz w:val="12"/>
                <w:szCs w:val="12"/>
                <w:lang w:val="fr-BE"/>
              </w:rPr>
            </w:pPr>
          </w:p>
        </w:tc>
        <w:tc>
          <w:tcPr>
            <w:tcW w:w="0" w:type="auto"/>
            <w:shd w:val="clear" w:color="auto" w:fill="auto"/>
          </w:tcPr>
          <w:p w14:paraId="3ADFB49E" w14:textId="77777777" w:rsidR="008C5CFA" w:rsidRPr="00BA47B4" w:rsidRDefault="00E82A60" w:rsidP="00300A01">
            <w:pPr>
              <w:spacing w:before="0" w:after="0"/>
              <w:jc w:val="right"/>
              <w:rPr>
                <w:sz w:val="12"/>
                <w:szCs w:val="12"/>
                <w:lang w:val="fr-BE"/>
              </w:rPr>
            </w:pPr>
            <w:r w:rsidRPr="00BA47B4">
              <w:rPr>
                <w:noProof/>
                <w:sz w:val="12"/>
                <w:szCs w:val="12"/>
                <w:lang w:val="fr-BE"/>
              </w:rPr>
              <w:t>9,00</w:t>
            </w:r>
          </w:p>
        </w:tc>
        <w:tc>
          <w:tcPr>
            <w:tcW w:w="0" w:type="auto"/>
            <w:shd w:val="clear" w:color="auto" w:fill="auto"/>
          </w:tcPr>
          <w:p w14:paraId="3320EEAF" w14:textId="77777777" w:rsidR="008C5CFA" w:rsidRPr="00BA47B4" w:rsidRDefault="00E82A60" w:rsidP="00300A01">
            <w:pPr>
              <w:spacing w:before="0" w:after="0"/>
              <w:jc w:val="right"/>
              <w:rPr>
                <w:sz w:val="12"/>
                <w:szCs w:val="12"/>
                <w:lang w:val="fr-BE"/>
              </w:rPr>
            </w:pPr>
            <w:r w:rsidRPr="00BA47B4">
              <w:rPr>
                <w:noProof/>
                <w:sz w:val="12"/>
                <w:szCs w:val="12"/>
                <w:lang w:val="fr-BE"/>
              </w:rPr>
              <w:t>7,00</w:t>
            </w:r>
          </w:p>
        </w:tc>
      </w:tr>
      <w:tr w:rsidR="006B2EC1" w14:paraId="7D4D535D" w14:textId="77777777" w:rsidTr="0047688D">
        <w:tc>
          <w:tcPr>
            <w:tcW w:w="0" w:type="auto"/>
            <w:shd w:val="clear" w:color="auto" w:fill="auto"/>
          </w:tcPr>
          <w:p w14:paraId="4C834FBD" w14:textId="77777777" w:rsidR="008C5CFA" w:rsidRPr="00BA47B4" w:rsidRDefault="00E82A60" w:rsidP="00300A01">
            <w:pPr>
              <w:spacing w:before="0" w:after="0"/>
              <w:rPr>
                <w:sz w:val="12"/>
                <w:szCs w:val="12"/>
                <w:lang w:val="fr-BE"/>
              </w:rPr>
            </w:pPr>
            <w:r w:rsidRPr="00BA47B4">
              <w:rPr>
                <w:noProof/>
                <w:sz w:val="12"/>
                <w:szCs w:val="12"/>
                <w:lang w:val="fr-BE"/>
              </w:rPr>
              <w:t>CR05</w:t>
            </w:r>
          </w:p>
        </w:tc>
        <w:tc>
          <w:tcPr>
            <w:tcW w:w="0" w:type="auto"/>
            <w:shd w:val="clear" w:color="auto" w:fill="auto"/>
          </w:tcPr>
          <w:p w14:paraId="6496E51E" w14:textId="77777777" w:rsidR="008C5CFA" w:rsidRPr="00BA47B4" w:rsidRDefault="00E82A60" w:rsidP="00300A01">
            <w:pPr>
              <w:spacing w:before="0" w:after="0"/>
              <w:rPr>
                <w:sz w:val="12"/>
                <w:szCs w:val="12"/>
                <w:lang w:val="fr-BE"/>
              </w:rPr>
            </w:pPr>
            <w:r w:rsidRPr="00BA47B4">
              <w:rPr>
                <w:noProof/>
                <w:sz w:val="12"/>
                <w:szCs w:val="12"/>
                <w:lang w:val="fr-BE"/>
              </w:rPr>
              <w:t>uczestnicy w niekorzystnej sytuacji społecznej poszukujący pracy, uczestniczący w kształceniu lub szkoleniu, zdobywający kwalifikacje lub pracujący (łącznie z prowadzącymi działalność na własny rachunek) po opuszczeniu programu</w:t>
            </w:r>
          </w:p>
        </w:tc>
        <w:tc>
          <w:tcPr>
            <w:tcW w:w="0" w:type="auto"/>
            <w:shd w:val="clear" w:color="auto" w:fill="auto"/>
          </w:tcPr>
          <w:p w14:paraId="0BE0997A" w14:textId="77777777" w:rsidR="008C5CFA" w:rsidRPr="00BA47B4" w:rsidRDefault="00E82A60" w:rsidP="00300A01">
            <w:pPr>
              <w:spacing w:before="0" w:after="0"/>
              <w:rPr>
                <w:sz w:val="12"/>
                <w:szCs w:val="12"/>
                <w:lang w:val="fr-BE"/>
              </w:rPr>
            </w:pPr>
            <w:r w:rsidRPr="00BA47B4">
              <w:rPr>
                <w:noProof/>
                <w:sz w:val="12"/>
                <w:szCs w:val="12"/>
                <w:lang w:val="fr-BE"/>
              </w:rPr>
              <w:t>Słabiej rozwinięte</w:t>
            </w:r>
          </w:p>
        </w:tc>
        <w:tc>
          <w:tcPr>
            <w:tcW w:w="0" w:type="auto"/>
            <w:shd w:val="clear" w:color="auto" w:fill="auto"/>
          </w:tcPr>
          <w:p w14:paraId="426C8E2C" w14:textId="77777777" w:rsidR="008C5CFA" w:rsidRPr="00BA47B4" w:rsidRDefault="00E82A60" w:rsidP="00300A01">
            <w:pPr>
              <w:spacing w:before="0" w:after="0"/>
              <w:rPr>
                <w:sz w:val="12"/>
                <w:szCs w:val="12"/>
                <w:lang w:val="fr-BE"/>
              </w:rPr>
            </w:pPr>
            <w:r w:rsidRPr="00BA47B4">
              <w:rPr>
                <w:sz w:val="12"/>
                <w:szCs w:val="12"/>
                <w:lang w:val="fr-BE"/>
              </w:rPr>
              <w:t xml:space="preserve"> </w:t>
            </w:r>
          </w:p>
        </w:tc>
        <w:tc>
          <w:tcPr>
            <w:tcW w:w="0" w:type="auto"/>
            <w:shd w:val="clear" w:color="auto" w:fill="auto"/>
          </w:tcPr>
          <w:p w14:paraId="5997184E" w14:textId="77777777" w:rsidR="008C5CFA" w:rsidRPr="00BA47B4" w:rsidRDefault="008C5CFA" w:rsidP="00300A01">
            <w:pPr>
              <w:spacing w:before="0" w:after="0"/>
              <w:jc w:val="center"/>
              <w:rPr>
                <w:sz w:val="12"/>
                <w:szCs w:val="12"/>
                <w:lang w:val="fr-BE"/>
              </w:rPr>
            </w:pPr>
          </w:p>
        </w:tc>
        <w:tc>
          <w:tcPr>
            <w:tcW w:w="0" w:type="auto"/>
            <w:shd w:val="clear" w:color="auto" w:fill="auto"/>
          </w:tcPr>
          <w:p w14:paraId="148C5EE0" w14:textId="77777777" w:rsidR="008C5CFA" w:rsidRPr="00BA47B4" w:rsidRDefault="008C5CFA" w:rsidP="00300A01">
            <w:pPr>
              <w:spacing w:before="0" w:after="0"/>
              <w:jc w:val="right"/>
              <w:rPr>
                <w:sz w:val="12"/>
                <w:szCs w:val="12"/>
                <w:lang w:val="fr-BE"/>
              </w:rPr>
            </w:pPr>
          </w:p>
        </w:tc>
        <w:tc>
          <w:tcPr>
            <w:tcW w:w="0" w:type="auto"/>
            <w:shd w:val="clear" w:color="auto" w:fill="auto"/>
          </w:tcPr>
          <w:p w14:paraId="6820787C" w14:textId="77777777" w:rsidR="008C5CFA" w:rsidRPr="00BA47B4" w:rsidRDefault="008C5CFA" w:rsidP="00300A01">
            <w:pPr>
              <w:spacing w:before="0" w:after="0"/>
              <w:jc w:val="right"/>
              <w:rPr>
                <w:sz w:val="12"/>
                <w:szCs w:val="12"/>
                <w:lang w:val="fr-BE"/>
              </w:rPr>
            </w:pPr>
          </w:p>
        </w:tc>
        <w:tc>
          <w:tcPr>
            <w:tcW w:w="0" w:type="auto"/>
            <w:shd w:val="clear" w:color="auto" w:fill="auto"/>
          </w:tcPr>
          <w:p w14:paraId="40BB2755" w14:textId="77777777" w:rsidR="008C5CFA" w:rsidRPr="00BA47B4" w:rsidRDefault="008C5CFA" w:rsidP="00300A01">
            <w:pPr>
              <w:spacing w:before="0" w:after="0"/>
              <w:jc w:val="right"/>
              <w:rPr>
                <w:sz w:val="12"/>
                <w:szCs w:val="12"/>
                <w:lang w:val="fr-BE"/>
              </w:rPr>
            </w:pPr>
          </w:p>
        </w:tc>
        <w:tc>
          <w:tcPr>
            <w:tcW w:w="0" w:type="auto"/>
            <w:shd w:val="clear" w:color="auto" w:fill="auto"/>
          </w:tcPr>
          <w:p w14:paraId="66E0AC23" w14:textId="77777777" w:rsidR="008C5CFA" w:rsidRPr="00BA47B4" w:rsidRDefault="00E82A60" w:rsidP="00300A01">
            <w:pPr>
              <w:spacing w:before="0" w:after="0"/>
              <w:jc w:val="right"/>
              <w:rPr>
                <w:sz w:val="12"/>
                <w:szCs w:val="12"/>
                <w:lang w:val="fr-BE"/>
              </w:rPr>
            </w:pPr>
            <w:r w:rsidRPr="00BA47B4">
              <w:rPr>
                <w:noProof/>
                <w:sz w:val="12"/>
                <w:szCs w:val="12"/>
                <w:lang w:val="fr-BE"/>
              </w:rPr>
              <w:t>572,00</w:t>
            </w:r>
          </w:p>
        </w:tc>
        <w:tc>
          <w:tcPr>
            <w:tcW w:w="0" w:type="auto"/>
            <w:shd w:val="clear" w:color="auto" w:fill="auto"/>
          </w:tcPr>
          <w:p w14:paraId="5438A6C3" w14:textId="77777777" w:rsidR="008C5CFA" w:rsidRPr="00BA47B4" w:rsidRDefault="00E82A60" w:rsidP="00300A01">
            <w:pPr>
              <w:spacing w:before="0" w:after="0"/>
              <w:jc w:val="right"/>
              <w:rPr>
                <w:sz w:val="12"/>
                <w:szCs w:val="12"/>
                <w:lang w:val="fr-BE"/>
              </w:rPr>
            </w:pPr>
            <w:r w:rsidRPr="00BA47B4">
              <w:rPr>
                <w:noProof/>
                <w:sz w:val="12"/>
                <w:szCs w:val="12"/>
                <w:lang w:val="fr-BE"/>
              </w:rPr>
              <w:t>364,00</w:t>
            </w:r>
          </w:p>
        </w:tc>
        <w:tc>
          <w:tcPr>
            <w:tcW w:w="0" w:type="auto"/>
            <w:shd w:val="clear" w:color="auto" w:fill="auto"/>
          </w:tcPr>
          <w:p w14:paraId="1C625DD6" w14:textId="77777777" w:rsidR="008C5CFA" w:rsidRPr="00BA47B4" w:rsidRDefault="00E82A60" w:rsidP="00300A01">
            <w:pPr>
              <w:spacing w:before="0" w:after="0"/>
              <w:jc w:val="right"/>
              <w:rPr>
                <w:sz w:val="12"/>
                <w:szCs w:val="12"/>
                <w:lang w:val="fr-BE"/>
              </w:rPr>
            </w:pPr>
            <w:r w:rsidRPr="00BA47B4">
              <w:rPr>
                <w:noProof/>
                <w:sz w:val="12"/>
                <w:szCs w:val="12"/>
                <w:lang w:val="fr-BE"/>
              </w:rPr>
              <w:t>208,00</w:t>
            </w:r>
          </w:p>
        </w:tc>
        <w:tc>
          <w:tcPr>
            <w:tcW w:w="0" w:type="auto"/>
            <w:shd w:val="clear" w:color="auto" w:fill="auto"/>
          </w:tcPr>
          <w:p w14:paraId="04B689CD" w14:textId="77777777" w:rsidR="008C5CFA" w:rsidRPr="00BA47B4" w:rsidRDefault="008C5CFA" w:rsidP="00300A01">
            <w:pPr>
              <w:spacing w:before="0" w:after="0"/>
              <w:jc w:val="right"/>
              <w:rPr>
                <w:sz w:val="12"/>
                <w:szCs w:val="12"/>
                <w:lang w:val="fr-BE"/>
              </w:rPr>
            </w:pPr>
          </w:p>
        </w:tc>
        <w:tc>
          <w:tcPr>
            <w:tcW w:w="0" w:type="auto"/>
            <w:shd w:val="clear" w:color="auto" w:fill="auto"/>
          </w:tcPr>
          <w:p w14:paraId="69D133A5" w14:textId="77777777" w:rsidR="008C5CFA" w:rsidRPr="00BA47B4" w:rsidRDefault="008C5CFA" w:rsidP="00300A01">
            <w:pPr>
              <w:spacing w:before="0" w:after="0"/>
              <w:jc w:val="right"/>
              <w:rPr>
                <w:sz w:val="12"/>
                <w:szCs w:val="12"/>
                <w:lang w:val="fr-BE"/>
              </w:rPr>
            </w:pPr>
          </w:p>
        </w:tc>
        <w:tc>
          <w:tcPr>
            <w:tcW w:w="0" w:type="auto"/>
            <w:shd w:val="clear" w:color="auto" w:fill="auto"/>
          </w:tcPr>
          <w:p w14:paraId="19B7274C" w14:textId="77777777" w:rsidR="008C5CFA" w:rsidRPr="00BA47B4" w:rsidRDefault="008C5CFA" w:rsidP="00300A01">
            <w:pPr>
              <w:spacing w:before="0" w:after="0"/>
              <w:jc w:val="right"/>
              <w:rPr>
                <w:sz w:val="12"/>
                <w:szCs w:val="12"/>
                <w:lang w:val="fr-BE"/>
              </w:rPr>
            </w:pPr>
          </w:p>
        </w:tc>
        <w:tc>
          <w:tcPr>
            <w:tcW w:w="0" w:type="auto"/>
            <w:shd w:val="clear" w:color="auto" w:fill="auto"/>
          </w:tcPr>
          <w:p w14:paraId="226B46BC" w14:textId="77777777" w:rsidR="008C5CFA" w:rsidRPr="00BA47B4" w:rsidRDefault="00E82A60" w:rsidP="00300A01">
            <w:pPr>
              <w:spacing w:before="0" w:after="0"/>
              <w:jc w:val="right"/>
              <w:rPr>
                <w:sz w:val="12"/>
                <w:szCs w:val="12"/>
                <w:lang w:val="fr-BE"/>
              </w:rPr>
            </w:pPr>
            <w:r w:rsidRPr="00BA47B4">
              <w:rPr>
                <w:noProof/>
                <w:sz w:val="12"/>
                <w:szCs w:val="12"/>
                <w:lang w:val="fr-BE"/>
              </w:rPr>
              <w:t>196,00</w:t>
            </w:r>
          </w:p>
        </w:tc>
        <w:tc>
          <w:tcPr>
            <w:tcW w:w="0" w:type="auto"/>
            <w:shd w:val="clear" w:color="auto" w:fill="auto"/>
          </w:tcPr>
          <w:p w14:paraId="08854FA6" w14:textId="77777777" w:rsidR="008C5CFA" w:rsidRPr="00BA47B4" w:rsidRDefault="00E82A60" w:rsidP="00300A01">
            <w:pPr>
              <w:spacing w:before="0" w:after="0"/>
              <w:jc w:val="right"/>
              <w:rPr>
                <w:sz w:val="12"/>
                <w:szCs w:val="12"/>
                <w:lang w:val="fr-BE"/>
              </w:rPr>
            </w:pPr>
            <w:r w:rsidRPr="00BA47B4">
              <w:rPr>
                <w:noProof/>
                <w:sz w:val="12"/>
                <w:szCs w:val="12"/>
                <w:lang w:val="fr-BE"/>
              </w:rPr>
              <w:t>146,00</w:t>
            </w:r>
          </w:p>
        </w:tc>
      </w:tr>
      <w:tr w:rsidR="006B2EC1" w14:paraId="11689D1A" w14:textId="77777777" w:rsidTr="0047688D">
        <w:tc>
          <w:tcPr>
            <w:tcW w:w="0" w:type="auto"/>
            <w:shd w:val="clear" w:color="auto" w:fill="auto"/>
          </w:tcPr>
          <w:p w14:paraId="1A84229B" w14:textId="77777777" w:rsidR="008C5CFA" w:rsidRPr="00BA47B4" w:rsidRDefault="00E82A60" w:rsidP="00300A01">
            <w:pPr>
              <w:spacing w:before="0" w:after="0"/>
              <w:rPr>
                <w:sz w:val="12"/>
                <w:szCs w:val="12"/>
                <w:lang w:val="fr-BE"/>
              </w:rPr>
            </w:pPr>
            <w:r w:rsidRPr="00BA47B4">
              <w:rPr>
                <w:noProof/>
                <w:sz w:val="12"/>
                <w:szCs w:val="12"/>
                <w:lang w:val="fr-BE"/>
              </w:rPr>
              <w:t>CR06</w:t>
            </w:r>
          </w:p>
        </w:tc>
        <w:tc>
          <w:tcPr>
            <w:tcW w:w="0" w:type="auto"/>
            <w:shd w:val="clear" w:color="auto" w:fill="auto"/>
          </w:tcPr>
          <w:p w14:paraId="5A3045AF" w14:textId="77777777" w:rsidR="008C5CFA" w:rsidRPr="00BA47B4" w:rsidRDefault="00E82A60" w:rsidP="00300A01">
            <w:pPr>
              <w:spacing w:before="0" w:after="0"/>
              <w:rPr>
                <w:sz w:val="12"/>
                <w:szCs w:val="12"/>
                <w:lang w:val="fr-BE"/>
              </w:rPr>
            </w:pPr>
            <w:r w:rsidRPr="00BA47B4">
              <w:rPr>
                <w:noProof/>
                <w:sz w:val="12"/>
                <w:szCs w:val="12"/>
                <w:lang w:val="fr-BE"/>
              </w:rPr>
              <w:t>uczestnicy pracujący, łącznie z prowadzącymi działalność na własny rachunek, sześć miesięcy po opuszczeniu programu</w:t>
            </w:r>
          </w:p>
        </w:tc>
        <w:tc>
          <w:tcPr>
            <w:tcW w:w="0" w:type="auto"/>
            <w:shd w:val="clear" w:color="auto" w:fill="auto"/>
          </w:tcPr>
          <w:p w14:paraId="08EE3F51" w14:textId="77777777" w:rsidR="008C5CFA" w:rsidRPr="00BA47B4" w:rsidRDefault="00E82A60" w:rsidP="00300A01">
            <w:pPr>
              <w:spacing w:before="0" w:after="0"/>
              <w:rPr>
                <w:sz w:val="12"/>
                <w:szCs w:val="12"/>
                <w:lang w:val="fr-BE"/>
              </w:rPr>
            </w:pPr>
            <w:r w:rsidRPr="00BA47B4">
              <w:rPr>
                <w:noProof/>
                <w:sz w:val="12"/>
                <w:szCs w:val="12"/>
                <w:lang w:val="fr-BE"/>
              </w:rPr>
              <w:t>Słabiej rozwinięte</w:t>
            </w:r>
          </w:p>
        </w:tc>
        <w:tc>
          <w:tcPr>
            <w:tcW w:w="0" w:type="auto"/>
            <w:shd w:val="clear" w:color="auto" w:fill="auto"/>
          </w:tcPr>
          <w:p w14:paraId="36FFB9C1" w14:textId="77777777" w:rsidR="008C5CFA" w:rsidRPr="00BA47B4" w:rsidRDefault="00E82A60" w:rsidP="00300A01">
            <w:pPr>
              <w:spacing w:before="0" w:after="0"/>
              <w:rPr>
                <w:sz w:val="12"/>
                <w:szCs w:val="12"/>
                <w:lang w:val="fr-BE"/>
              </w:rPr>
            </w:pPr>
            <w:r w:rsidRPr="00BA47B4">
              <w:rPr>
                <w:sz w:val="12"/>
                <w:szCs w:val="12"/>
                <w:lang w:val="fr-BE"/>
              </w:rPr>
              <w:t xml:space="preserve"> </w:t>
            </w:r>
          </w:p>
        </w:tc>
        <w:tc>
          <w:tcPr>
            <w:tcW w:w="0" w:type="auto"/>
            <w:shd w:val="clear" w:color="auto" w:fill="auto"/>
          </w:tcPr>
          <w:p w14:paraId="0B85E4DA" w14:textId="77777777" w:rsidR="008C5CFA" w:rsidRPr="00BA47B4" w:rsidRDefault="008C5CFA" w:rsidP="00300A01">
            <w:pPr>
              <w:spacing w:before="0" w:after="0"/>
              <w:jc w:val="center"/>
              <w:rPr>
                <w:sz w:val="12"/>
                <w:szCs w:val="12"/>
                <w:lang w:val="fr-BE"/>
              </w:rPr>
            </w:pPr>
          </w:p>
        </w:tc>
        <w:tc>
          <w:tcPr>
            <w:tcW w:w="0" w:type="auto"/>
            <w:shd w:val="clear" w:color="auto" w:fill="auto"/>
          </w:tcPr>
          <w:p w14:paraId="2AA93A77" w14:textId="77777777" w:rsidR="008C5CFA" w:rsidRPr="00BA47B4" w:rsidRDefault="008C5CFA" w:rsidP="00300A01">
            <w:pPr>
              <w:spacing w:before="0" w:after="0"/>
              <w:jc w:val="right"/>
              <w:rPr>
                <w:sz w:val="12"/>
                <w:szCs w:val="12"/>
                <w:lang w:val="fr-BE"/>
              </w:rPr>
            </w:pPr>
          </w:p>
        </w:tc>
        <w:tc>
          <w:tcPr>
            <w:tcW w:w="0" w:type="auto"/>
            <w:shd w:val="clear" w:color="auto" w:fill="auto"/>
          </w:tcPr>
          <w:p w14:paraId="3934B4B5" w14:textId="77777777" w:rsidR="008C5CFA" w:rsidRPr="00BA47B4" w:rsidRDefault="008C5CFA" w:rsidP="00300A01">
            <w:pPr>
              <w:spacing w:before="0" w:after="0"/>
              <w:jc w:val="right"/>
              <w:rPr>
                <w:sz w:val="12"/>
                <w:szCs w:val="12"/>
                <w:lang w:val="fr-BE"/>
              </w:rPr>
            </w:pPr>
          </w:p>
        </w:tc>
        <w:tc>
          <w:tcPr>
            <w:tcW w:w="0" w:type="auto"/>
            <w:shd w:val="clear" w:color="auto" w:fill="auto"/>
          </w:tcPr>
          <w:p w14:paraId="3605568D" w14:textId="77777777" w:rsidR="008C5CFA" w:rsidRPr="00BA47B4" w:rsidRDefault="008C5CFA" w:rsidP="00300A01">
            <w:pPr>
              <w:spacing w:before="0" w:after="0"/>
              <w:jc w:val="right"/>
              <w:rPr>
                <w:sz w:val="12"/>
                <w:szCs w:val="12"/>
                <w:lang w:val="fr-BE"/>
              </w:rPr>
            </w:pPr>
          </w:p>
        </w:tc>
        <w:tc>
          <w:tcPr>
            <w:tcW w:w="0" w:type="auto"/>
            <w:shd w:val="clear" w:color="auto" w:fill="auto"/>
          </w:tcPr>
          <w:p w14:paraId="05D62E0D" w14:textId="77777777" w:rsidR="008C5CFA" w:rsidRPr="00BA47B4" w:rsidRDefault="00E82A60" w:rsidP="00300A01">
            <w:pPr>
              <w:spacing w:before="0" w:after="0"/>
              <w:jc w:val="right"/>
              <w:rPr>
                <w:sz w:val="12"/>
                <w:szCs w:val="12"/>
                <w:lang w:val="fr-BE"/>
              </w:rPr>
            </w:pPr>
            <w:r w:rsidRPr="00BA47B4">
              <w:rPr>
                <w:noProof/>
                <w:sz w:val="12"/>
                <w:szCs w:val="12"/>
                <w:lang w:val="fr-BE"/>
              </w:rPr>
              <w:t>192,00</w:t>
            </w:r>
          </w:p>
        </w:tc>
        <w:tc>
          <w:tcPr>
            <w:tcW w:w="0" w:type="auto"/>
            <w:shd w:val="clear" w:color="auto" w:fill="auto"/>
          </w:tcPr>
          <w:p w14:paraId="04B15F80" w14:textId="77777777" w:rsidR="008C5CFA" w:rsidRPr="00BA47B4" w:rsidRDefault="00E82A60" w:rsidP="00300A01">
            <w:pPr>
              <w:spacing w:before="0" w:after="0"/>
              <w:jc w:val="right"/>
              <w:rPr>
                <w:sz w:val="12"/>
                <w:szCs w:val="12"/>
                <w:lang w:val="fr-BE"/>
              </w:rPr>
            </w:pPr>
            <w:r w:rsidRPr="00BA47B4">
              <w:rPr>
                <w:noProof/>
                <w:sz w:val="12"/>
                <w:szCs w:val="12"/>
                <w:lang w:val="fr-BE"/>
              </w:rPr>
              <w:t>103,00</w:t>
            </w:r>
          </w:p>
        </w:tc>
        <w:tc>
          <w:tcPr>
            <w:tcW w:w="0" w:type="auto"/>
            <w:shd w:val="clear" w:color="auto" w:fill="auto"/>
          </w:tcPr>
          <w:p w14:paraId="23A95C83" w14:textId="77777777" w:rsidR="008C5CFA" w:rsidRPr="00BA47B4" w:rsidRDefault="00E82A60" w:rsidP="00300A01">
            <w:pPr>
              <w:spacing w:before="0" w:after="0"/>
              <w:jc w:val="right"/>
              <w:rPr>
                <w:sz w:val="12"/>
                <w:szCs w:val="12"/>
                <w:lang w:val="fr-BE"/>
              </w:rPr>
            </w:pPr>
            <w:r w:rsidRPr="00BA47B4">
              <w:rPr>
                <w:noProof/>
                <w:sz w:val="12"/>
                <w:szCs w:val="12"/>
                <w:lang w:val="fr-BE"/>
              </w:rPr>
              <w:t>89,00</w:t>
            </w:r>
          </w:p>
        </w:tc>
        <w:tc>
          <w:tcPr>
            <w:tcW w:w="0" w:type="auto"/>
            <w:shd w:val="clear" w:color="auto" w:fill="auto"/>
          </w:tcPr>
          <w:p w14:paraId="334ECB1B" w14:textId="77777777" w:rsidR="008C5CFA" w:rsidRPr="00BA47B4" w:rsidRDefault="008C5CFA" w:rsidP="00300A01">
            <w:pPr>
              <w:spacing w:before="0" w:after="0"/>
              <w:jc w:val="right"/>
              <w:rPr>
                <w:sz w:val="12"/>
                <w:szCs w:val="12"/>
                <w:lang w:val="fr-BE"/>
              </w:rPr>
            </w:pPr>
          </w:p>
        </w:tc>
        <w:tc>
          <w:tcPr>
            <w:tcW w:w="0" w:type="auto"/>
            <w:shd w:val="clear" w:color="auto" w:fill="auto"/>
          </w:tcPr>
          <w:p w14:paraId="70D2A984" w14:textId="77777777" w:rsidR="008C5CFA" w:rsidRPr="00BA47B4" w:rsidRDefault="008C5CFA" w:rsidP="00300A01">
            <w:pPr>
              <w:spacing w:before="0" w:after="0"/>
              <w:jc w:val="right"/>
              <w:rPr>
                <w:sz w:val="12"/>
                <w:szCs w:val="12"/>
                <w:lang w:val="fr-BE"/>
              </w:rPr>
            </w:pPr>
          </w:p>
        </w:tc>
        <w:tc>
          <w:tcPr>
            <w:tcW w:w="0" w:type="auto"/>
            <w:shd w:val="clear" w:color="auto" w:fill="auto"/>
          </w:tcPr>
          <w:p w14:paraId="5CBE1D92" w14:textId="77777777" w:rsidR="008C5CFA" w:rsidRPr="00BA47B4" w:rsidRDefault="008C5CFA" w:rsidP="00300A01">
            <w:pPr>
              <w:spacing w:before="0" w:after="0"/>
              <w:jc w:val="right"/>
              <w:rPr>
                <w:sz w:val="12"/>
                <w:szCs w:val="12"/>
                <w:lang w:val="fr-BE"/>
              </w:rPr>
            </w:pPr>
          </w:p>
        </w:tc>
        <w:tc>
          <w:tcPr>
            <w:tcW w:w="0" w:type="auto"/>
            <w:shd w:val="clear" w:color="auto" w:fill="auto"/>
          </w:tcPr>
          <w:p w14:paraId="0481442F"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6E215FE4"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r>
      <w:tr w:rsidR="006B2EC1" w14:paraId="2BF30F8C" w14:textId="77777777" w:rsidTr="0047688D">
        <w:tc>
          <w:tcPr>
            <w:tcW w:w="0" w:type="auto"/>
            <w:shd w:val="clear" w:color="auto" w:fill="auto"/>
          </w:tcPr>
          <w:p w14:paraId="755F97E1" w14:textId="77777777" w:rsidR="008C5CFA" w:rsidRPr="00BA47B4" w:rsidRDefault="00E82A60" w:rsidP="00300A01">
            <w:pPr>
              <w:spacing w:before="0" w:after="0"/>
              <w:rPr>
                <w:sz w:val="12"/>
                <w:szCs w:val="12"/>
                <w:lang w:val="fr-BE"/>
              </w:rPr>
            </w:pPr>
            <w:r w:rsidRPr="00BA47B4">
              <w:rPr>
                <w:noProof/>
                <w:sz w:val="12"/>
                <w:szCs w:val="12"/>
                <w:lang w:val="fr-BE"/>
              </w:rPr>
              <w:t>CR07</w:t>
            </w:r>
          </w:p>
        </w:tc>
        <w:tc>
          <w:tcPr>
            <w:tcW w:w="0" w:type="auto"/>
            <w:shd w:val="clear" w:color="auto" w:fill="auto"/>
          </w:tcPr>
          <w:p w14:paraId="6F527DBC" w14:textId="77777777" w:rsidR="008C5CFA" w:rsidRPr="00BA47B4" w:rsidRDefault="00E82A60" w:rsidP="00300A01">
            <w:pPr>
              <w:spacing w:before="0" w:after="0"/>
              <w:rPr>
                <w:sz w:val="12"/>
                <w:szCs w:val="12"/>
                <w:lang w:val="fr-BE"/>
              </w:rPr>
            </w:pPr>
            <w:r w:rsidRPr="00BA47B4">
              <w:rPr>
                <w:noProof/>
                <w:sz w:val="12"/>
                <w:szCs w:val="12"/>
                <w:lang w:val="fr-BE"/>
              </w:rPr>
              <w:t>uczestnicy znajdujący się w lepszej sytuacji na rynku pracy sześć miesięcy po opuszczeniu programu</w:t>
            </w:r>
          </w:p>
        </w:tc>
        <w:tc>
          <w:tcPr>
            <w:tcW w:w="0" w:type="auto"/>
            <w:shd w:val="clear" w:color="auto" w:fill="auto"/>
          </w:tcPr>
          <w:p w14:paraId="4AAE7DD2" w14:textId="77777777" w:rsidR="008C5CFA" w:rsidRPr="00BA47B4" w:rsidRDefault="00E82A60" w:rsidP="00300A01">
            <w:pPr>
              <w:spacing w:before="0" w:after="0"/>
              <w:rPr>
                <w:sz w:val="12"/>
                <w:szCs w:val="12"/>
                <w:lang w:val="fr-BE"/>
              </w:rPr>
            </w:pPr>
            <w:r w:rsidRPr="00BA47B4">
              <w:rPr>
                <w:noProof/>
                <w:sz w:val="12"/>
                <w:szCs w:val="12"/>
                <w:lang w:val="fr-BE"/>
              </w:rPr>
              <w:t>Słabiej rozwinięte</w:t>
            </w:r>
          </w:p>
        </w:tc>
        <w:tc>
          <w:tcPr>
            <w:tcW w:w="0" w:type="auto"/>
            <w:shd w:val="clear" w:color="auto" w:fill="auto"/>
          </w:tcPr>
          <w:p w14:paraId="231DCA1E" w14:textId="77777777" w:rsidR="008C5CFA" w:rsidRPr="00BA47B4" w:rsidRDefault="00E82A60" w:rsidP="00300A01">
            <w:pPr>
              <w:spacing w:before="0" w:after="0"/>
              <w:rPr>
                <w:sz w:val="12"/>
                <w:szCs w:val="12"/>
                <w:lang w:val="fr-BE"/>
              </w:rPr>
            </w:pPr>
            <w:r w:rsidRPr="00BA47B4">
              <w:rPr>
                <w:sz w:val="12"/>
                <w:szCs w:val="12"/>
                <w:lang w:val="fr-BE"/>
              </w:rPr>
              <w:t xml:space="preserve"> </w:t>
            </w:r>
          </w:p>
        </w:tc>
        <w:tc>
          <w:tcPr>
            <w:tcW w:w="0" w:type="auto"/>
            <w:shd w:val="clear" w:color="auto" w:fill="auto"/>
          </w:tcPr>
          <w:p w14:paraId="48DF98CB" w14:textId="77777777" w:rsidR="008C5CFA" w:rsidRPr="00BA47B4" w:rsidRDefault="008C5CFA" w:rsidP="00300A01">
            <w:pPr>
              <w:spacing w:before="0" w:after="0"/>
              <w:jc w:val="center"/>
              <w:rPr>
                <w:sz w:val="12"/>
                <w:szCs w:val="12"/>
                <w:lang w:val="fr-BE"/>
              </w:rPr>
            </w:pPr>
          </w:p>
        </w:tc>
        <w:tc>
          <w:tcPr>
            <w:tcW w:w="0" w:type="auto"/>
            <w:shd w:val="clear" w:color="auto" w:fill="auto"/>
          </w:tcPr>
          <w:p w14:paraId="44F590EB" w14:textId="77777777" w:rsidR="008C5CFA" w:rsidRPr="00BA47B4" w:rsidRDefault="008C5CFA" w:rsidP="00300A01">
            <w:pPr>
              <w:spacing w:before="0" w:after="0"/>
              <w:jc w:val="right"/>
              <w:rPr>
                <w:sz w:val="12"/>
                <w:szCs w:val="12"/>
                <w:lang w:val="fr-BE"/>
              </w:rPr>
            </w:pPr>
          </w:p>
        </w:tc>
        <w:tc>
          <w:tcPr>
            <w:tcW w:w="0" w:type="auto"/>
            <w:shd w:val="clear" w:color="auto" w:fill="auto"/>
          </w:tcPr>
          <w:p w14:paraId="1BC553CD" w14:textId="77777777" w:rsidR="008C5CFA" w:rsidRPr="00BA47B4" w:rsidRDefault="008C5CFA" w:rsidP="00300A01">
            <w:pPr>
              <w:spacing w:before="0" w:after="0"/>
              <w:jc w:val="right"/>
              <w:rPr>
                <w:sz w:val="12"/>
                <w:szCs w:val="12"/>
                <w:lang w:val="fr-BE"/>
              </w:rPr>
            </w:pPr>
          </w:p>
        </w:tc>
        <w:tc>
          <w:tcPr>
            <w:tcW w:w="0" w:type="auto"/>
            <w:shd w:val="clear" w:color="auto" w:fill="auto"/>
          </w:tcPr>
          <w:p w14:paraId="7C2C9D6F" w14:textId="77777777" w:rsidR="008C5CFA" w:rsidRPr="00BA47B4" w:rsidRDefault="008C5CFA" w:rsidP="00300A01">
            <w:pPr>
              <w:spacing w:before="0" w:after="0"/>
              <w:jc w:val="right"/>
              <w:rPr>
                <w:sz w:val="12"/>
                <w:szCs w:val="12"/>
                <w:lang w:val="fr-BE"/>
              </w:rPr>
            </w:pPr>
          </w:p>
        </w:tc>
        <w:tc>
          <w:tcPr>
            <w:tcW w:w="0" w:type="auto"/>
            <w:shd w:val="clear" w:color="auto" w:fill="auto"/>
          </w:tcPr>
          <w:p w14:paraId="56A0B3D8" w14:textId="77777777" w:rsidR="008C5CFA" w:rsidRPr="00BA47B4" w:rsidRDefault="00E82A60" w:rsidP="00300A01">
            <w:pPr>
              <w:spacing w:before="0" w:after="0"/>
              <w:jc w:val="right"/>
              <w:rPr>
                <w:sz w:val="12"/>
                <w:szCs w:val="12"/>
                <w:lang w:val="fr-BE"/>
              </w:rPr>
            </w:pPr>
            <w:r w:rsidRPr="00BA47B4">
              <w:rPr>
                <w:noProof/>
                <w:sz w:val="12"/>
                <w:szCs w:val="12"/>
                <w:lang w:val="fr-BE"/>
              </w:rPr>
              <w:t>110,00</w:t>
            </w:r>
          </w:p>
        </w:tc>
        <w:tc>
          <w:tcPr>
            <w:tcW w:w="0" w:type="auto"/>
            <w:shd w:val="clear" w:color="auto" w:fill="auto"/>
          </w:tcPr>
          <w:p w14:paraId="6E203D82" w14:textId="77777777" w:rsidR="008C5CFA" w:rsidRPr="00BA47B4" w:rsidRDefault="00E82A60" w:rsidP="00300A01">
            <w:pPr>
              <w:spacing w:before="0" w:after="0"/>
              <w:jc w:val="right"/>
              <w:rPr>
                <w:sz w:val="12"/>
                <w:szCs w:val="12"/>
                <w:lang w:val="fr-BE"/>
              </w:rPr>
            </w:pPr>
            <w:r w:rsidRPr="00BA47B4">
              <w:rPr>
                <w:noProof/>
                <w:sz w:val="12"/>
                <w:szCs w:val="12"/>
                <w:lang w:val="fr-BE"/>
              </w:rPr>
              <w:t>64,00</w:t>
            </w:r>
          </w:p>
        </w:tc>
        <w:tc>
          <w:tcPr>
            <w:tcW w:w="0" w:type="auto"/>
            <w:shd w:val="clear" w:color="auto" w:fill="auto"/>
          </w:tcPr>
          <w:p w14:paraId="65E48E79" w14:textId="77777777" w:rsidR="008C5CFA" w:rsidRPr="00BA47B4" w:rsidRDefault="00E82A60" w:rsidP="00300A01">
            <w:pPr>
              <w:spacing w:before="0" w:after="0"/>
              <w:jc w:val="right"/>
              <w:rPr>
                <w:sz w:val="12"/>
                <w:szCs w:val="12"/>
                <w:lang w:val="fr-BE"/>
              </w:rPr>
            </w:pPr>
            <w:r w:rsidRPr="00BA47B4">
              <w:rPr>
                <w:noProof/>
                <w:sz w:val="12"/>
                <w:szCs w:val="12"/>
                <w:lang w:val="fr-BE"/>
              </w:rPr>
              <w:t>46,00</w:t>
            </w:r>
          </w:p>
        </w:tc>
        <w:tc>
          <w:tcPr>
            <w:tcW w:w="0" w:type="auto"/>
            <w:shd w:val="clear" w:color="auto" w:fill="auto"/>
          </w:tcPr>
          <w:p w14:paraId="0C3AA7AE" w14:textId="77777777" w:rsidR="008C5CFA" w:rsidRPr="00BA47B4" w:rsidRDefault="008C5CFA" w:rsidP="00300A01">
            <w:pPr>
              <w:spacing w:before="0" w:after="0"/>
              <w:jc w:val="right"/>
              <w:rPr>
                <w:sz w:val="12"/>
                <w:szCs w:val="12"/>
                <w:lang w:val="fr-BE"/>
              </w:rPr>
            </w:pPr>
          </w:p>
        </w:tc>
        <w:tc>
          <w:tcPr>
            <w:tcW w:w="0" w:type="auto"/>
            <w:shd w:val="clear" w:color="auto" w:fill="auto"/>
          </w:tcPr>
          <w:p w14:paraId="413F6B05" w14:textId="77777777" w:rsidR="008C5CFA" w:rsidRPr="00BA47B4" w:rsidRDefault="008C5CFA" w:rsidP="00300A01">
            <w:pPr>
              <w:spacing w:before="0" w:after="0"/>
              <w:jc w:val="right"/>
              <w:rPr>
                <w:sz w:val="12"/>
                <w:szCs w:val="12"/>
                <w:lang w:val="fr-BE"/>
              </w:rPr>
            </w:pPr>
          </w:p>
        </w:tc>
        <w:tc>
          <w:tcPr>
            <w:tcW w:w="0" w:type="auto"/>
            <w:shd w:val="clear" w:color="auto" w:fill="auto"/>
          </w:tcPr>
          <w:p w14:paraId="38F96A1F" w14:textId="77777777" w:rsidR="008C5CFA" w:rsidRPr="00BA47B4" w:rsidRDefault="008C5CFA" w:rsidP="00300A01">
            <w:pPr>
              <w:spacing w:before="0" w:after="0"/>
              <w:jc w:val="right"/>
              <w:rPr>
                <w:sz w:val="12"/>
                <w:szCs w:val="12"/>
                <w:lang w:val="fr-BE"/>
              </w:rPr>
            </w:pPr>
          </w:p>
        </w:tc>
        <w:tc>
          <w:tcPr>
            <w:tcW w:w="0" w:type="auto"/>
            <w:shd w:val="clear" w:color="auto" w:fill="auto"/>
          </w:tcPr>
          <w:p w14:paraId="5368EFCB"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7BC411FD"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r>
      <w:tr w:rsidR="006B2EC1" w14:paraId="7CCBA494" w14:textId="77777777" w:rsidTr="0047688D">
        <w:tc>
          <w:tcPr>
            <w:tcW w:w="0" w:type="auto"/>
            <w:shd w:val="clear" w:color="auto" w:fill="auto"/>
          </w:tcPr>
          <w:p w14:paraId="26A8326C" w14:textId="77777777" w:rsidR="008C5CFA" w:rsidRPr="00BA47B4" w:rsidRDefault="00E82A60" w:rsidP="00300A01">
            <w:pPr>
              <w:spacing w:before="0" w:after="0"/>
              <w:rPr>
                <w:sz w:val="12"/>
                <w:szCs w:val="12"/>
                <w:lang w:val="fr-BE"/>
              </w:rPr>
            </w:pPr>
            <w:r w:rsidRPr="00BA47B4">
              <w:rPr>
                <w:noProof/>
                <w:sz w:val="12"/>
                <w:szCs w:val="12"/>
                <w:lang w:val="fr-BE"/>
              </w:rPr>
              <w:t>CR08</w:t>
            </w:r>
          </w:p>
        </w:tc>
        <w:tc>
          <w:tcPr>
            <w:tcW w:w="0" w:type="auto"/>
            <w:shd w:val="clear" w:color="auto" w:fill="auto"/>
          </w:tcPr>
          <w:p w14:paraId="1DA3146E" w14:textId="77777777" w:rsidR="008C5CFA" w:rsidRPr="00BA47B4" w:rsidRDefault="00E82A60" w:rsidP="00300A01">
            <w:pPr>
              <w:spacing w:before="0" w:after="0"/>
              <w:rPr>
                <w:sz w:val="12"/>
                <w:szCs w:val="12"/>
                <w:lang w:val="fr-BE"/>
              </w:rPr>
            </w:pPr>
            <w:r w:rsidRPr="00BA47B4">
              <w:rPr>
                <w:noProof/>
                <w:sz w:val="12"/>
                <w:szCs w:val="12"/>
                <w:lang w:val="fr-BE"/>
              </w:rPr>
              <w:t>uczestnicy powyżej 54 roku życia, pracujący, łącznie z prowadzącymi działalność na własny rachunek, sześć miesięcy po opuszczeniu programu</w:t>
            </w:r>
          </w:p>
        </w:tc>
        <w:tc>
          <w:tcPr>
            <w:tcW w:w="0" w:type="auto"/>
            <w:shd w:val="clear" w:color="auto" w:fill="auto"/>
          </w:tcPr>
          <w:p w14:paraId="14538679" w14:textId="77777777" w:rsidR="008C5CFA" w:rsidRPr="00BA47B4" w:rsidRDefault="00E82A60" w:rsidP="00300A01">
            <w:pPr>
              <w:spacing w:before="0" w:after="0"/>
              <w:rPr>
                <w:sz w:val="12"/>
                <w:szCs w:val="12"/>
                <w:lang w:val="fr-BE"/>
              </w:rPr>
            </w:pPr>
            <w:r w:rsidRPr="00BA47B4">
              <w:rPr>
                <w:noProof/>
                <w:sz w:val="12"/>
                <w:szCs w:val="12"/>
                <w:lang w:val="fr-BE"/>
              </w:rPr>
              <w:t>Słabiej rozwinięte</w:t>
            </w:r>
          </w:p>
        </w:tc>
        <w:tc>
          <w:tcPr>
            <w:tcW w:w="0" w:type="auto"/>
            <w:shd w:val="clear" w:color="auto" w:fill="auto"/>
          </w:tcPr>
          <w:p w14:paraId="635A8082" w14:textId="77777777" w:rsidR="008C5CFA" w:rsidRPr="00BA47B4" w:rsidRDefault="00E82A60" w:rsidP="00300A01">
            <w:pPr>
              <w:spacing w:before="0" w:after="0"/>
              <w:rPr>
                <w:sz w:val="12"/>
                <w:szCs w:val="12"/>
                <w:lang w:val="fr-BE"/>
              </w:rPr>
            </w:pPr>
            <w:r w:rsidRPr="00BA47B4">
              <w:rPr>
                <w:sz w:val="12"/>
                <w:szCs w:val="12"/>
                <w:lang w:val="fr-BE"/>
              </w:rPr>
              <w:t xml:space="preserve"> </w:t>
            </w:r>
          </w:p>
        </w:tc>
        <w:tc>
          <w:tcPr>
            <w:tcW w:w="0" w:type="auto"/>
            <w:shd w:val="clear" w:color="auto" w:fill="auto"/>
          </w:tcPr>
          <w:p w14:paraId="2200F00B" w14:textId="77777777" w:rsidR="008C5CFA" w:rsidRPr="00BA47B4" w:rsidRDefault="008C5CFA" w:rsidP="00300A01">
            <w:pPr>
              <w:spacing w:before="0" w:after="0"/>
              <w:jc w:val="center"/>
              <w:rPr>
                <w:sz w:val="12"/>
                <w:szCs w:val="12"/>
                <w:lang w:val="fr-BE"/>
              </w:rPr>
            </w:pPr>
          </w:p>
        </w:tc>
        <w:tc>
          <w:tcPr>
            <w:tcW w:w="0" w:type="auto"/>
            <w:shd w:val="clear" w:color="auto" w:fill="auto"/>
          </w:tcPr>
          <w:p w14:paraId="1905904B" w14:textId="77777777" w:rsidR="008C5CFA" w:rsidRPr="00BA47B4" w:rsidRDefault="008C5CFA" w:rsidP="00300A01">
            <w:pPr>
              <w:spacing w:before="0" w:after="0"/>
              <w:jc w:val="right"/>
              <w:rPr>
                <w:sz w:val="12"/>
                <w:szCs w:val="12"/>
                <w:lang w:val="fr-BE"/>
              </w:rPr>
            </w:pPr>
          </w:p>
        </w:tc>
        <w:tc>
          <w:tcPr>
            <w:tcW w:w="0" w:type="auto"/>
            <w:shd w:val="clear" w:color="auto" w:fill="auto"/>
          </w:tcPr>
          <w:p w14:paraId="057D4CDD" w14:textId="77777777" w:rsidR="008C5CFA" w:rsidRPr="00BA47B4" w:rsidRDefault="008C5CFA" w:rsidP="00300A01">
            <w:pPr>
              <w:spacing w:before="0" w:after="0"/>
              <w:jc w:val="right"/>
              <w:rPr>
                <w:sz w:val="12"/>
                <w:szCs w:val="12"/>
                <w:lang w:val="fr-BE"/>
              </w:rPr>
            </w:pPr>
          </w:p>
        </w:tc>
        <w:tc>
          <w:tcPr>
            <w:tcW w:w="0" w:type="auto"/>
            <w:shd w:val="clear" w:color="auto" w:fill="auto"/>
          </w:tcPr>
          <w:p w14:paraId="32FA75EE" w14:textId="77777777" w:rsidR="008C5CFA" w:rsidRPr="00BA47B4" w:rsidRDefault="008C5CFA" w:rsidP="00300A01">
            <w:pPr>
              <w:spacing w:before="0" w:after="0"/>
              <w:jc w:val="right"/>
              <w:rPr>
                <w:sz w:val="12"/>
                <w:szCs w:val="12"/>
                <w:lang w:val="fr-BE"/>
              </w:rPr>
            </w:pPr>
          </w:p>
        </w:tc>
        <w:tc>
          <w:tcPr>
            <w:tcW w:w="0" w:type="auto"/>
            <w:shd w:val="clear" w:color="auto" w:fill="auto"/>
          </w:tcPr>
          <w:p w14:paraId="4D8AF56A" w14:textId="77777777" w:rsidR="008C5CFA" w:rsidRPr="00BA47B4" w:rsidRDefault="00E82A60" w:rsidP="00300A01">
            <w:pPr>
              <w:spacing w:before="0" w:after="0"/>
              <w:jc w:val="right"/>
              <w:rPr>
                <w:sz w:val="12"/>
                <w:szCs w:val="12"/>
                <w:lang w:val="fr-BE"/>
              </w:rPr>
            </w:pPr>
            <w:r w:rsidRPr="00BA47B4">
              <w:rPr>
                <w:noProof/>
                <w:sz w:val="12"/>
                <w:szCs w:val="12"/>
                <w:lang w:val="fr-BE"/>
              </w:rPr>
              <w:t>1,00</w:t>
            </w:r>
          </w:p>
        </w:tc>
        <w:tc>
          <w:tcPr>
            <w:tcW w:w="0" w:type="auto"/>
            <w:shd w:val="clear" w:color="auto" w:fill="auto"/>
          </w:tcPr>
          <w:p w14:paraId="66F5C80F" w14:textId="77777777" w:rsidR="008C5CFA" w:rsidRPr="00BA47B4" w:rsidRDefault="00E82A60" w:rsidP="00300A01">
            <w:pPr>
              <w:spacing w:before="0" w:after="0"/>
              <w:jc w:val="right"/>
              <w:rPr>
                <w:sz w:val="12"/>
                <w:szCs w:val="12"/>
                <w:lang w:val="fr-BE"/>
              </w:rPr>
            </w:pPr>
            <w:r w:rsidRPr="00BA47B4">
              <w:rPr>
                <w:noProof/>
                <w:sz w:val="12"/>
                <w:szCs w:val="12"/>
                <w:lang w:val="fr-BE"/>
              </w:rPr>
              <w:t>1,00</w:t>
            </w:r>
          </w:p>
        </w:tc>
        <w:tc>
          <w:tcPr>
            <w:tcW w:w="0" w:type="auto"/>
            <w:shd w:val="clear" w:color="auto" w:fill="auto"/>
          </w:tcPr>
          <w:p w14:paraId="7E08DE82"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354D131E" w14:textId="77777777" w:rsidR="008C5CFA" w:rsidRPr="00BA47B4" w:rsidRDefault="008C5CFA" w:rsidP="00300A01">
            <w:pPr>
              <w:spacing w:before="0" w:after="0"/>
              <w:jc w:val="right"/>
              <w:rPr>
                <w:sz w:val="12"/>
                <w:szCs w:val="12"/>
                <w:lang w:val="fr-BE"/>
              </w:rPr>
            </w:pPr>
          </w:p>
        </w:tc>
        <w:tc>
          <w:tcPr>
            <w:tcW w:w="0" w:type="auto"/>
            <w:shd w:val="clear" w:color="auto" w:fill="auto"/>
          </w:tcPr>
          <w:p w14:paraId="68E34355" w14:textId="77777777" w:rsidR="008C5CFA" w:rsidRPr="00BA47B4" w:rsidRDefault="008C5CFA" w:rsidP="00300A01">
            <w:pPr>
              <w:spacing w:before="0" w:after="0"/>
              <w:jc w:val="right"/>
              <w:rPr>
                <w:sz w:val="12"/>
                <w:szCs w:val="12"/>
                <w:lang w:val="fr-BE"/>
              </w:rPr>
            </w:pPr>
          </w:p>
        </w:tc>
        <w:tc>
          <w:tcPr>
            <w:tcW w:w="0" w:type="auto"/>
            <w:shd w:val="clear" w:color="auto" w:fill="auto"/>
          </w:tcPr>
          <w:p w14:paraId="719B011F" w14:textId="77777777" w:rsidR="008C5CFA" w:rsidRPr="00BA47B4" w:rsidRDefault="008C5CFA" w:rsidP="00300A01">
            <w:pPr>
              <w:spacing w:before="0" w:after="0"/>
              <w:jc w:val="right"/>
              <w:rPr>
                <w:sz w:val="12"/>
                <w:szCs w:val="12"/>
                <w:lang w:val="fr-BE"/>
              </w:rPr>
            </w:pPr>
          </w:p>
        </w:tc>
        <w:tc>
          <w:tcPr>
            <w:tcW w:w="0" w:type="auto"/>
            <w:shd w:val="clear" w:color="auto" w:fill="auto"/>
          </w:tcPr>
          <w:p w14:paraId="6286FC05"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6F7F2C19"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r>
      <w:tr w:rsidR="006B2EC1" w14:paraId="5E0EA378" w14:textId="77777777" w:rsidTr="0047688D">
        <w:tc>
          <w:tcPr>
            <w:tcW w:w="0" w:type="auto"/>
            <w:shd w:val="clear" w:color="auto" w:fill="auto"/>
          </w:tcPr>
          <w:p w14:paraId="2B75B861" w14:textId="77777777" w:rsidR="008C5CFA" w:rsidRPr="00BA47B4" w:rsidRDefault="00E82A60" w:rsidP="00300A01">
            <w:pPr>
              <w:spacing w:before="0" w:after="0"/>
              <w:rPr>
                <w:sz w:val="12"/>
                <w:szCs w:val="12"/>
                <w:lang w:val="fr-BE"/>
              </w:rPr>
            </w:pPr>
            <w:r w:rsidRPr="00BA47B4">
              <w:rPr>
                <w:noProof/>
                <w:sz w:val="12"/>
                <w:szCs w:val="12"/>
                <w:lang w:val="fr-BE"/>
              </w:rPr>
              <w:t>CR09</w:t>
            </w:r>
          </w:p>
        </w:tc>
        <w:tc>
          <w:tcPr>
            <w:tcW w:w="0" w:type="auto"/>
            <w:shd w:val="clear" w:color="auto" w:fill="auto"/>
          </w:tcPr>
          <w:p w14:paraId="5E2F2965" w14:textId="77777777" w:rsidR="008C5CFA" w:rsidRPr="00BA47B4" w:rsidRDefault="00E82A60" w:rsidP="00300A01">
            <w:pPr>
              <w:spacing w:before="0" w:after="0"/>
              <w:rPr>
                <w:sz w:val="12"/>
                <w:szCs w:val="12"/>
                <w:lang w:val="fr-BE"/>
              </w:rPr>
            </w:pPr>
            <w:r w:rsidRPr="00BA47B4">
              <w:rPr>
                <w:noProof/>
                <w:sz w:val="12"/>
                <w:szCs w:val="12"/>
                <w:lang w:val="fr-BE"/>
              </w:rPr>
              <w:t>uczestnicy w niekorzystnej sytuacji społecznej, pracujący, łącznie z prowadzącymi działalność na własny rachunek, sześć miesięcy po opuszczeniu programu</w:t>
            </w:r>
          </w:p>
        </w:tc>
        <w:tc>
          <w:tcPr>
            <w:tcW w:w="0" w:type="auto"/>
            <w:shd w:val="clear" w:color="auto" w:fill="auto"/>
          </w:tcPr>
          <w:p w14:paraId="5253DE75" w14:textId="77777777" w:rsidR="008C5CFA" w:rsidRPr="00BA47B4" w:rsidRDefault="00E82A60" w:rsidP="00300A01">
            <w:pPr>
              <w:spacing w:before="0" w:after="0"/>
              <w:rPr>
                <w:sz w:val="12"/>
                <w:szCs w:val="12"/>
                <w:lang w:val="fr-BE"/>
              </w:rPr>
            </w:pPr>
            <w:r w:rsidRPr="00BA47B4">
              <w:rPr>
                <w:noProof/>
                <w:sz w:val="12"/>
                <w:szCs w:val="12"/>
                <w:lang w:val="fr-BE"/>
              </w:rPr>
              <w:t>Słabiej rozwinięte</w:t>
            </w:r>
          </w:p>
        </w:tc>
        <w:tc>
          <w:tcPr>
            <w:tcW w:w="0" w:type="auto"/>
            <w:shd w:val="clear" w:color="auto" w:fill="auto"/>
          </w:tcPr>
          <w:p w14:paraId="768A1561" w14:textId="77777777" w:rsidR="008C5CFA" w:rsidRPr="00BA47B4" w:rsidRDefault="00E82A60" w:rsidP="00300A01">
            <w:pPr>
              <w:spacing w:before="0" w:after="0"/>
              <w:rPr>
                <w:sz w:val="12"/>
                <w:szCs w:val="12"/>
                <w:lang w:val="fr-BE"/>
              </w:rPr>
            </w:pPr>
            <w:r w:rsidRPr="00BA47B4">
              <w:rPr>
                <w:sz w:val="12"/>
                <w:szCs w:val="12"/>
                <w:lang w:val="fr-BE"/>
              </w:rPr>
              <w:t xml:space="preserve"> </w:t>
            </w:r>
          </w:p>
        </w:tc>
        <w:tc>
          <w:tcPr>
            <w:tcW w:w="0" w:type="auto"/>
            <w:shd w:val="clear" w:color="auto" w:fill="auto"/>
          </w:tcPr>
          <w:p w14:paraId="2A631324" w14:textId="77777777" w:rsidR="008C5CFA" w:rsidRPr="00BA47B4" w:rsidRDefault="008C5CFA" w:rsidP="00300A01">
            <w:pPr>
              <w:spacing w:before="0" w:after="0"/>
              <w:jc w:val="center"/>
              <w:rPr>
                <w:sz w:val="12"/>
                <w:szCs w:val="12"/>
                <w:lang w:val="fr-BE"/>
              </w:rPr>
            </w:pPr>
          </w:p>
        </w:tc>
        <w:tc>
          <w:tcPr>
            <w:tcW w:w="0" w:type="auto"/>
            <w:shd w:val="clear" w:color="auto" w:fill="auto"/>
          </w:tcPr>
          <w:p w14:paraId="35E20AF2" w14:textId="77777777" w:rsidR="008C5CFA" w:rsidRPr="00BA47B4" w:rsidRDefault="008C5CFA" w:rsidP="00300A01">
            <w:pPr>
              <w:spacing w:before="0" w:after="0"/>
              <w:jc w:val="right"/>
              <w:rPr>
                <w:sz w:val="12"/>
                <w:szCs w:val="12"/>
                <w:lang w:val="fr-BE"/>
              </w:rPr>
            </w:pPr>
          </w:p>
        </w:tc>
        <w:tc>
          <w:tcPr>
            <w:tcW w:w="0" w:type="auto"/>
            <w:shd w:val="clear" w:color="auto" w:fill="auto"/>
          </w:tcPr>
          <w:p w14:paraId="3BCAA89A" w14:textId="77777777" w:rsidR="008C5CFA" w:rsidRPr="00BA47B4" w:rsidRDefault="008C5CFA" w:rsidP="00300A01">
            <w:pPr>
              <w:spacing w:before="0" w:after="0"/>
              <w:jc w:val="right"/>
              <w:rPr>
                <w:sz w:val="12"/>
                <w:szCs w:val="12"/>
                <w:lang w:val="fr-BE"/>
              </w:rPr>
            </w:pPr>
          </w:p>
        </w:tc>
        <w:tc>
          <w:tcPr>
            <w:tcW w:w="0" w:type="auto"/>
            <w:shd w:val="clear" w:color="auto" w:fill="auto"/>
          </w:tcPr>
          <w:p w14:paraId="68B2E8BF" w14:textId="77777777" w:rsidR="008C5CFA" w:rsidRPr="00BA47B4" w:rsidRDefault="008C5CFA" w:rsidP="00300A01">
            <w:pPr>
              <w:spacing w:before="0" w:after="0"/>
              <w:jc w:val="right"/>
              <w:rPr>
                <w:sz w:val="12"/>
                <w:szCs w:val="12"/>
                <w:lang w:val="fr-BE"/>
              </w:rPr>
            </w:pPr>
          </w:p>
        </w:tc>
        <w:tc>
          <w:tcPr>
            <w:tcW w:w="0" w:type="auto"/>
            <w:shd w:val="clear" w:color="auto" w:fill="auto"/>
          </w:tcPr>
          <w:p w14:paraId="3297C832" w14:textId="77777777" w:rsidR="008C5CFA" w:rsidRPr="00BA47B4" w:rsidRDefault="00E82A60" w:rsidP="00300A01">
            <w:pPr>
              <w:spacing w:before="0" w:after="0"/>
              <w:jc w:val="right"/>
              <w:rPr>
                <w:sz w:val="12"/>
                <w:szCs w:val="12"/>
                <w:lang w:val="fr-BE"/>
              </w:rPr>
            </w:pPr>
            <w:r w:rsidRPr="00BA47B4">
              <w:rPr>
                <w:noProof/>
                <w:sz w:val="12"/>
                <w:szCs w:val="12"/>
                <w:lang w:val="fr-BE"/>
              </w:rPr>
              <w:t>7,00</w:t>
            </w:r>
          </w:p>
        </w:tc>
        <w:tc>
          <w:tcPr>
            <w:tcW w:w="0" w:type="auto"/>
            <w:shd w:val="clear" w:color="auto" w:fill="auto"/>
          </w:tcPr>
          <w:p w14:paraId="03E7F3B8" w14:textId="77777777" w:rsidR="008C5CFA" w:rsidRPr="00BA47B4" w:rsidRDefault="00E82A60" w:rsidP="00300A01">
            <w:pPr>
              <w:spacing w:before="0" w:after="0"/>
              <w:jc w:val="right"/>
              <w:rPr>
                <w:sz w:val="12"/>
                <w:szCs w:val="12"/>
                <w:lang w:val="fr-BE"/>
              </w:rPr>
            </w:pPr>
            <w:r w:rsidRPr="00BA47B4">
              <w:rPr>
                <w:noProof/>
                <w:sz w:val="12"/>
                <w:szCs w:val="12"/>
                <w:lang w:val="fr-BE"/>
              </w:rPr>
              <w:t>6,00</w:t>
            </w:r>
          </w:p>
        </w:tc>
        <w:tc>
          <w:tcPr>
            <w:tcW w:w="0" w:type="auto"/>
            <w:shd w:val="clear" w:color="auto" w:fill="auto"/>
          </w:tcPr>
          <w:p w14:paraId="747D8D3E" w14:textId="77777777" w:rsidR="008C5CFA" w:rsidRPr="00BA47B4" w:rsidRDefault="00E82A60" w:rsidP="00300A01">
            <w:pPr>
              <w:spacing w:before="0" w:after="0"/>
              <w:jc w:val="right"/>
              <w:rPr>
                <w:sz w:val="12"/>
                <w:szCs w:val="12"/>
                <w:lang w:val="fr-BE"/>
              </w:rPr>
            </w:pPr>
            <w:r w:rsidRPr="00BA47B4">
              <w:rPr>
                <w:noProof/>
                <w:sz w:val="12"/>
                <w:szCs w:val="12"/>
                <w:lang w:val="fr-BE"/>
              </w:rPr>
              <w:t>1,00</w:t>
            </w:r>
          </w:p>
        </w:tc>
        <w:tc>
          <w:tcPr>
            <w:tcW w:w="0" w:type="auto"/>
            <w:shd w:val="clear" w:color="auto" w:fill="auto"/>
          </w:tcPr>
          <w:p w14:paraId="0FA07498" w14:textId="77777777" w:rsidR="008C5CFA" w:rsidRPr="00BA47B4" w:rsidRDefault="008C5CFA" w:rsidP="00300A01">
            <w:pPr>
              <w:spacing w:before="0" w:after="0"/>
              <w:jc w:val="right"/>
              <w:rPr>
                <w:sz w:val="12"/>
                <w:szCs w:val="12"/>
                <w:lang w:val="fr-BE"/>
              </w:rPr>
            </w:pPr>
          </w:p>
        </w:tc>
        <w:tc>
          <w:tcPr>
            <w:tcW w:w="0" w:type="auto"/>
            <w:shd w:val="clear" w:color="auto" w:fill="auto"/>
          </w:tcPr>
          <w:p w14:paraId="19A5A272" w14:textId="77777777" w:rsidR="008C5CFA" w:rsidRPr="00BA47B4" w:rsidRDefault="008C5CFA" w:rsidP="00300A01">
            <w:pPr>
              <w:spacing w:before="0" w:after="0"/>
              <w:jc w:val="right"/>
              <w:rPr>
                <w:sz w:val="12"/>
                <w:szCs w:val="12"/>
                <w:lang w:val="fr-BE"/>
              </w:rPr>
            </w:pPr>
          </w:p>
        </w:tc>
        <w:tc>
          <w:tcPr>
            <w:tcW w:w="0" w:type="auto"/>
            <w:shd w:val="clear" w:color="auto" w:fill="auto"/>
          </w:tcPr>
          <w:p w14:paraId="02559DE0" w14:textId="77777777" w:rsidR="008C5CFA" w:rsidRPr="00BA47B4" w:rsidRDefault="008C5CFA" w:rsidP="00300A01">
            <w:pPr>
              <w:spacing w:before="0" w:after="0"/>
              <w:jc w:val="right"/>
              <w:rPr>
                <w:sz w:val="12"/>
                <w:szCs w:val="12"/>
                <w:lang w:val="fr-BE"/>
              </w:rPr>
            </w:pPr>
          </w:p>
        </w:tc>
        <w:tc>
          <w:tcPr>
            <w:tcW w:w="0" w:type="auto"/>
            <w:shd w:val="clear" w:color="auto" w:fill="auto"/>
          </w:tcPr>
          <w:p w14:paraId="29963F2B"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04020F39"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r>
    </w:tbl>
    <w:p w14:paraId="72A22169" w14:textId="77777777" w:rsidR="008C5CFA" w:rsidRDefault="008C5CFA" w:rsidP="00300A01">
      <w:pPr>
        <w:keepNext/>
        <w:spacing w:before="0" w:after="0"/>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37"/>
        <w:gridCol w:w="8668"/>
        <w:gridCol w:w="884"/>
        <w:gridCol w:w="596"/>
        <w:gridCol w:w="463"/>
        <w:gridCol w:w="596"/>
        <w:gridCol w:w="463"/>
        <w:gridCol w:w="596"/>
        <w:gridCol w:w="463"/>
        <w:gridCol w:w="596"/>
        <w:gridCol w:w="463"/>
        <w:gridCol w:w="596"/>
        <w:gridCol w:w="463"/>
      </w:tblGrid>
      <w:tr w:rsidR="006B2EC1" w14:paraId="402C4DE9" w14:textId="77777777" w:rsidTr="0047688D">
        <w:trPr>
          <w:tblHeader/>
        </w:trPr>
        <w:tc>
          <w:tcPr>
            <w:tcW w:w="0" w:type="auto"/>
            <w:shd w:val="clear" w:color="auto" w:fill="auto"/>
          </w:tcPr>
          <w:p w14:paraId="50E8ABC9" w14:textId="77777777" w:rsidR="008C5CFA" w:rsidRPr="00F53019" w:rsidRDefault="00E82A60" w:rsidP="00300A01">
            <w:pPr>
              <w:spacing w:before="0" w:after="0"/>
              <w:rPr>
                <w:b/>
                <w:sz w:val="12"/>
                <w:szCs w:val="12"/>
                <w:lang w:val="fr-BE"/>
              </w:rPr>
            </w:pPr>
            <w:r w:rsidRPr="00F53019">
              <w:rPr>
                <w:b/>
                <w:noProof/>
                <w:sz w:val="12"/>
                <w:szCs w:val="12"/>
                <w:lang w:val="fr-BE"/>
              </w:rPr>
              <w:t>ID</w:t>
            </w:r>
          </w:p>
        </w:tc>
        <w:tc>
          <w:tcPr>
            <w:tcW w:w="0" w:type="auto"/>
            <w:shd w:val="clear" w:color="auto" w:fill="auto"/>
          </w:tcPr>
          <w:p w14:paraId="09131491" w14:textId="77777777" w:rsidR="008C5CFA" w:rsidRPr="00F53019" w:rsidRDefault="00E82A60" w:rsidP="00300A01">
            <w:pPr>
              <w:spacing w:before="0" w:after="0"/>
              <w:rPr>
                <w:b/>
                <w:sz w:val="12"/>
                <w:szCs w:val="12"/>
                <w:lang w:val="fr-BE"/>
              </w:rPr>
            </w:pPr>
            <w:r w:rsidRPr="00F53019">
              <w:rPr>
                <w:b/>
                <w:noProof/>
                <w:sz w:val="12"/>
                <w:szCs w:val="12"/>
                <w:lang w:val="fr-BE"/>
              </w:rPr>
              <w:t>Wskaźnik</w:t>
            </w:r>
          </w:p>
        </w:tc>
        <w:tc>
          <w:tcPr>
            <w:tcW w:w="0" w:type="auto"/>
            <w:shd w:val="clear" w:color="auto" w:fill="auto"/>
          </w:tcPr>
          <w:p w14:paraId="3C08AA49" w14:textId="77777777" w:rsidR="008C5CFA" w:rsidRPr="00F53019" w:rsidRDefault="00E82A60" w:rsidP="00300A01">
            <w:pPr>
              <w:spacing w:before="0" w:after="0"/>
              <w:rPr>
                <w:b/>
                <w:sz w:val="12"/>
                <w:szCs w:val="12"/>
                <w:lang w:val="fr-BE"/>
              </w:rPr>
            </w:pPr>
            <w:r w:rsidRPr="00F53019">
              <w:rPr>
                <w:b/>
                <w:noProof/>
                <w:sz w:val="12"/>
                <w:szCs w:val="12"/>
                <w:lang w:val="fr-BE"/>
              </w:rPr>
              <w:t>Kategoria regionu</w:t>
            </w:r>
          </w:p>
        </w:tc>
        <w:tc>
          <w:tcPr>
            <w:tcW w:w="0" w:type="auto"/>
            <w:gridSpan w:val="2"/>
          </w:tcPr>
          <w:p w14:paraId="3379816C" w14:textId="77777777" w:rsidR="008C5CFA" w:rsidRPr="00F53019" w:rsidRDefault="00E82A60" w:rsidP="00300A01">
            <w:pPr>
              <w:spacing w:before="0" w:after="0"/>
              <w:jc w:val="center"/>
              <w:rPr>
                <w:b/>
                <w:sz w:val="12"/>
                <w:szCs w:val="12"/>
                <w:lang w:val="fr-BE"/>
              </w:rPr>
            </w:pPr>
            <w:r>
              <w:rPr>
                <w:b/>
                <w:sz w:val="12"/>
                <w:szCs w:val="12"/>
                <w:lang w:val="fr-BE"/>
              </w:rPr>
              <w:t>2018</w:t>
            </w:r>
          </w:p>
        </w:tc>
        <w:tc>
          <w:tcPr>
            <w:tcW w:w="0" w:type="auto"/>
            <w:gridSpan w:val="2"/>
          </w:tcPr>
          <w:p w14:paraId="5766C9F9" w14:textId="77777777" w:rsidR="008C5CFA" w:rsidRPr="00F53019" w:rsidRDefault="00E82A60" w:rsidP="00300A01">
            <w:pPr>
              <w:spacing w:before="0" w:after="0"/>
              <w:jc w:val="center"/>
              <w:rPr>
                <w:b/>
                <w:sz w:val="12"/>
                <w:szCs w:val="12"/>
                <w:lang w:val="fr-BE"/>
              </w:rPr>
            </w:pPr>
            <w:r>
              <w:rPr>
                <w:b/>
                <w:sz w:val="12"/>
                <w:szCs w:val="12"/>
                <w:lang w:val="fr-BE"/>
              </w:rPr>
              <w:t>2017</w:t>
            </w:r>
          </w:p>
        </w:tc>
        <w:tc>
          <w:tcPr>
            <w:tcW w:w="0" w:type="auto"/>
            <w:gridSpan w:val="2"/>
          </w:tcPr>
          <w:p w14:paraId="1D5F4913" w14:textId="77777777" w:rsidR="008C5CFA" w:rsidRPr="00F53019" w:rsidRDefault="00E82A60" w:rsidP="00300A01">
            <w:pPr>
              <w:spacing w:before="0" w:after="0"/>
              <w:jc w:val="center"/>
              <w:rPr>
                <w:b/>
                <w:sz w:val="12"/>
                <w:szCs w:val="12"/>
                <w:lang w:val="fr-BE"/>
              </w:rPr>
            </w:pPr>
            <w:r>
              <w:rPr>
                <w:b/>
                <w:sz w:val="12"/>
                <w:szCs w:val="12"/>
                <w:lang w:val="fr-BE"/>
              </w:rPr>
              <w:t>2016</w:t>
            </w:r>
          </w:p>
        </w:tc>
        <w:tc>
          <w:tcPr>
            <w:tcW w:w="0" w:type="auto"/>
            <w:gridSpan w:val="2"/>
          </w:tcPr>
          <w:p w14:paraId="6B831BCA" w14:textId="77777777" w:rsidR="008C5CFA" w:rsidRPr="00F53019" w:rsidRDefault="00E82A60" w:rsidP="00300A01">
            <w:pPr>
              <w:spacing w:before="0" w:after="0"/>
              <w:jc w:val="center"/>
              <w:rPr>
                <w:b/>
                <w:sz w:val="12"/>
                <w:szCs w:val="12"/>
                <w:lang w:val="fr-BE"/>
              </w:rPr>
            </w:pPr>
            <w:r>
              <w:rPr>
                <w:b/>
                <w:sz w:val="12"/>
                <w:szCs w:val="12"/>
                <w:lang w:val="fr-BE"/>
              </w:rPr>
              <w:t>2015</w:t>
            </w:r>
          </w:p>
        </w:tc>
        <w:tc>
          <w:tcPr>
            <w:tcW w:w="0" w:type="auto"/>
            <w:gridSpan w:val="2"/>
            <w:shd w:val="clear" w:color="auto" w:fill="auto"/>
          </w:tcPr>
          <w:p w14:paraId="1FCE15F0" w14:textId="77777777" w:rsidR="008C5CFA" w:rsidRPr="00F53019" w:rsidRDefault="00E82A60" w:rsidP="00300A01">
            <w:pPr>
              <w:spacing w:before="0" w:after="0"/>
              <w:jc w:val="center"/>
              <w:rPr>
                <w:b/>
                <w:sz w:val="12"/>
                <w:szCs w:val="12"/>
                <w:lang w:val="fr-BE"/>
              </w:rPr>
            </w:pPr>
            <w:r>
              <w:rPr>
                <w:b/>
                <w:sz w:val="12"/>
                <w:szCs w:val="12"/>
                <w:lang w:val="fr-BE"/>
              </w:rPr>
              <w:t>2014</w:t>
            </w:r>
          </w:p>
        </w:tc>
      </w:tr>
      <w:tr w:rsidR="006B2EC1" w14:paraId="0C2BDB1B" w14:textId="77777777" w:rsidTr="0047688D">
        <w:trPr>
          <w:tblHeader/>
        </w:trPr>
        <w:tc>
          <w:tcPr>
            <w:tcW w:w="0" w:type="auto"/>
            <w:shd w:val="clear" w:color="auto" w:fill="auto"/>
          </w:tcPr>
          <w:p w14:paraId="7EB5C68C" w14:textId="77777777" w:rsidR="008C5CFA" w:rsidRPr="00F53019" w:rsidRDefault="008C5CFA" w:rsidP="00300A01">
            <w:pPr>
              <w:spacing w:before="0" w:after="0"/>
              <w:rPr>
                <w:b/>
                <w:sz w:val="12"/>
                <w:szCs w:val="12"/>
                <w:lang w:val="fr-BE"/>
              </w:rPr>
            </w:pPr>
          </w:p>
        </w:tc>
        <w:tc>
          <w:tcPr>
            <w:tcW w:w="0" w:type="auto"/>
            <w:shd w:val="clear" w:color="auto" w:fill="auto"/>
          </w:tcPr>
          <w:p w14:paraId="1E8EE013" w14:textId="77777777" w:rsidR="008C5CFA" w:rsidRPr="00F53019" w:rsidRDefault="008C5CFA" w:rsidP="00300A01">
            <w:pPr>
              <w:spacing w:before="0" w:after="0"/>
              <w:rPr>
                <w:b/>
                <w:sz w:val="12"/>
                <w:szCs w:val="12"/>
                <w:lang w:val="fr-BE"/>
              </w:rPr>
            </w:pPr>
          </w:p>
        </w:tc>
        <w:tc>
          <w:tcPr>
            <w:tcW w:w="0" w:type="auto"/>
            <w:shd w:val="clear" w:color="auto" w:fill="auto"/>
          </w:tcPr>
          <w:p w14:paraId="6A36EC13" w14:textId="77777777" w:rsidR="008C5CFA" w:rsidRPr="00F53019" w:rsidRDefault="008C5CFA" w:rsidP="00300A01">
            <w:pPr>
              <w:spacing w:before="0" w:after="0"/>
              <w:rPr>
                <w:b/>
                <w:sz w:val="12"/>
                <w:szCs w:val="12"/>
                <w:lang w:val="fr-BE"/>
              </w:rPr>
            </w:pPr>
          </w:p>
        </w:tc>
        <w:tc>
          <w:tcPr>
            <w:tcW w:w="0" w:type="auto"/>
          </w:tcPr>
          <w:p w14:paraId="580B976D" w14:textId="77777777" w:rsidR="008C5CFA" w:rsidRPr="00F53019" w:rsidRDefault="00E82A60" w:rsidP="00300A01">
            <w:pPr>
              <w:spacing w:before="0" w:after="0"/>
              <w:jc w:val="center"/>
              <w:rPr>
                <w:b/>
                <w:sz w:val="12"/>
                <w:szCs w:val="12"/>
                <w:lang w:val="fr-BE"/>
              </w:rPr>
            </w:pPr>
            <w:r w:rsidRPr="00F53019">
              <w:rPr>
                <w:b/>
                <w:noProof/>
                <w:sz w:val="12"/>
                <w:szCs w:val="12"/>
                <w:lang w:val="fr-BE"/>
              </w:rPr>
              <w:t>Mężczyźni</w:t>
            </w:r>
          </w:p>
        </w:tc>
        <w:tc>
          <w:tcPr>
            <w:tcW w:w="0" w:type="auto"/>
          </w:tcPr>
          <w:p w14:paraId="4FBD1A78" w14:textId="77777777" w:rsidR="008C5CFA" w:rsidRPr="00F53019" w:rsidRDefault="00E82A60" w:rsidP="00300A01">
            <w:pPr>
              <w:spacing w:before="0" w:after="0"/>
              <w:jc w:val="center"/>
              <w:rPr>
                <w:b/>
                <w:sz w:val="12"/>
                <w:szCs w:val="12"/>
                <w:lang w:val="fr-BE"/>
              </w:rPr>
            </w:pPr>
            <w:r w:rsidRPr="00F53019">
              <w:rPr>
                <w:b/>
                <w:noProof/>
                <w:sz w:val="12"/>
                <w:szCs w:val="12"/>
                <w:lang w:val="fr-BE"/>
              </w:rPr>
              <w:t>Kobiety</w:t>
            </w:r>
          </w:p>
        </w:tc>
        <w:tc>
          <w:tcPr>
            <w:tcW w:w="0" w:type="auto"/>
          </w:tcPr>
          <w:p w14:paraId="24AD60B0" w14:textId="77777777" w:rsidR="008C5CFA" w:rsidRPr="00F53019" w:rsidRDefault="00E82A60" w:rsidP="00300A01">
            <w:pPr>
              <w:spacing w:before="0" w:after="0"/>
              <w:jc w:val="center"/>
              <w:rPr>
                <w:b/>
                <w:sz w:val="12"/>
                <w:szCs w:val="12"/>
                <w:lang w:val="fr-BE"/>
              </w:rPr>
            </w:pPr>
            <w:r w:rsidRPr="00F53019">
              <w:rPr>
                <w:b/>
                <w:noProof/>
                <w:sz w:val="12"/>
                <w:szCs w:val="12"/>
                <w:lang w:val="fr-BE"/>
              </w:rPr>
              <w:t>Mężczyźni</w:t>
            </w:r>
          </w:p>
        </w:tc>
        <w:tc>
          <w:tcPr>
            <w:tcW w:w="0" w:type="auto"/>
          </w:tcPr>
          <w:p w14:paraId="2A62F36A" w14:textId="77777777" w:rsidR="008C5CFA" w:rsidRPr="00F53019" w:rsidRDefault="00E82A60" w:rsidP="00300A01">
            <w:pPr>
              <w:spacing w:before="0" w:after="0"/>
              <w:jc w:val="center"/>
              <w:rPr>
                <w:b/>
                <w:sz w:val="12"/>
                <w:szCs w:val="12"/>
                <w:lang w:val="fr-BE"/>
              </w:rPr>
            </w:pPr>
            <w:r w:rsidRPr="00F53019">
              <w:rPr>
                <w:b/>
                <w:noProof/>
                <w:sz w:val="12"/>
                <w:szCs w:val="12"/>
                <w:lang w:val="fr-BE"/>
              </w:rPr>
              <w:t>Kobiety</w:t>
            </w:r>
          </w:p>
        </w:tc>
        <w:tc>
          <w:tcPr>
            <w:tcW w:w="0" w:type="auto"/>
          </w:tcPr>
          <w:p w14:paraId="3120FB2E" w14:textId="77777777" w:rsidR="008C5CFA" w:rsidRPr="00F53019" w:rsidRDefault="00E82A60" w:rsidP="00300A01">
            <w:pPr>
              <w:spacing w:before="0" w:after="0"/>
              <w:jc w:val="center"/>
              <w:rPr>
                <w:b/>
                <w:sz w:val="12"/>
                <w:szCs w:val="12"/>
                <w:lang w:val="fr-BE"/>
              </w:rPr>
            </w:pPr>
            <w:r w:rsidRPr="00F53019">
              <w:rPr>
                <w:b/>
                <w:noProof/>
                <w:sz w:val="12"/>
                <w:szCs w:val="12"/>
                <w:lang w:val="fr-BE"/>
              </w:rPr>
              <w:t>Mężczyźni</w:t>
            </w:r>
          </w:p>
        </w:tc>
        <w:tc>
          <w:tcPr>
            <w:tcW w:w="0" w:type="auto"/>
          </w:tcPr>
          <w:p w14:paraId="5950ED19" w14:textId="77777777" w:rsidR="008C5CFA" w:rsidRPr="00F53019" w:rsidRDefault="00E82A60" w:rsidP="00300A01">
            <w:pPr>
              <w:spacing w:before="0" w:after="0"/>
              <w:jc w:val="center"/>
              <w:rPr>
                <w:b/>
                <w:sz w:val="12"/>
                <w:szCs w:val="12"/>
                <w:lang w:val="fr-BE"/>
              </w:rPr>
            </w:pPr>
            <w:r w:rsidRPr="00F53019">
              <w:rPr>
                <w:b/>
                <w:noProof/>
                <w:sz w:val="12"/>
                <w:szCs w:val="12"/>
                <w:lang w:val="fr-BE"/>
              </w:rPr>
              <w:t>Kobiety</w:t>
            </w:r>
          </w:p>
        </w:tc>
        <w:tc>
          <w:tcPr>
            <w:tcW w:w="0" w:type="auto"/>
          </w:tcPr>
          <w:p w14:paraId="10A4CCAC" w14:textId="77777777" w:rsidR="008C5CFA" w:rsidRPr="00F53019" w:rsidRDefault="00E82A60" w:rsidP="00300A01">
            <w:pPr>
              <w:spacing w:before="0" w:after="0"/>
              <w:jc w:val="center"/>
              <w:rPr>
                <w:b/>
                <w:sz w:val="12"/>
                <w:szCs w:val="12"/>
                <w:lang w:val="fr-BE"/>
              </w:rPr>
            </w:pPr>
            <w:r w:rsidRPr="00F53019">
              <w:rPr>
                <w:b/>
                <w:noProof/>
                <w:sz w:val="12"/>
                <w:szCs w:val="12"/>
                <w:lang w:val="fr-BE"/>
              </w:rPr>
              <w:t>Mężczyźni</w:t>
            </w:r>
          </w:p>
        </w:tc>
        <w:tc>
          <w:tcPr>
            <w:tcW w:w="0" w:type="auto"/>
          </w:tcPr>
          <w:p w14:paraId="1D4CAE3D" w14:textId="77777777" w:rsidR="008C5CFA" w:rsidRPr="00F53019" w:rsidRDefault="00E82A60" w:rsidP="00300A01">
            <w:pPr>
              <w:spacing w:before="0" w:after="0"/>
              <w:jc w:val="center"/>
              <w:rPr>
                <w:b/>
                <w:sz w:val="12"/>
                <w:szCs w:val="12"/>
                <w:lang w:val="fr-BE"/>
              </w:rPr>
            </w:pPr>
            <w:r w:rsidRPr="00F53019">
              <w:rPr>
                <w:b/>
                <w:noProof/>
                <w:sz w:val="12"/>
                <w:szCs w:val="12"/>
                <w:lang w:val="fr-BE"/>
              </w:rPr>
              <w:t>Kobiety</w:t>
            </w:r>
          </w:p>
        </w:tc>
        <w:tc>
          <w:tcPr>
            <w:tcW w:w="0" w:type="auto"/>
            <w:shd w:val="clear" w:color="auto" w:fill="auto"/>
          </w:tcPr>
          <w:p w14:paraId="21C52624" w14:textId="77777777" w:rsidR="008C5CFA" w:rsidRPr="00F53019" w:rsidRDefault="00E82A60"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14:paraId="2354ED99" w14:textId="77777777" w:rsidR="008C5CFA" w:rsidRPr="00F53019" w:rsidRDefault="00E82A60" w:rsidP="00300A01">
            <w:pPr>
              <w:spacing w:before="0" w:after="0"/>
              <w:jc w:val="center"/>
              <w:rPr>
                <w:b/>
                <w:sz w:val="12"/>
                <w:szCs w:val="12"/>
                <w:lang w:val="fr-BE"/>
              </w:rPr>
            </w:pPr>
            <w:r w:rsidRPr="00F53019">
              <w:rPr>
                <w:b/>
                <w:noProof/>
                <w:sz w:val="12"/>
                <w:szCs w:val="12"/>
                <w:lang w:val="fr-BE"/>
              </w:rPr>
              <w:t>Kobiety</w:t>
            </w:r>
          </w:p>
        </w:tc>
      </w:tr>
      <w:tr w:rsidR="006B2EC1" w14:paraId="1031EC6E" w14:textId="77777777" w:rsidTr="0047688D">
        <w:tc>
          <w:tcPr>
            <w:tcW w:w="0" w:type="auto"/>
            <w:shd w:val="clear" w:color="auto" w:fill="auto"/>
          </w:tcPr>
          <w:p w14:paraId="09814A18" w14:textId="77777777" w:rsidR="008C5CFA" w:rsidRPr="00BA47B4" w:rsidRDefault="00E82A60" w:rsidP="00300A01">
            <w:pPr>
              <w:spacing w:before="0" w:after="0"/>
              <w:rPr>
                <w:sz w:val="12"/>
                <w:szCs w:val="12"/>
                <w:lang w:val="fr-BE"/>
              </w:rPr>
            </w:pPr>
            <w:r w:rsidRPr="00BA47B4">
              <w:rPr>
                <w:noProof/>
                <w:sz w:val="12"/>
                <w:szCs w:val="12"/>
                <w:lang w:val="fr-BE"/>
              </w:rPr>
              <w:t>CR01</w:t>
            </w:r>
          </w:p>
        </w:tc>
        <w:tc>
          <w:tcPr>
            <w:tcW w:w="0" w:type="auto"/>
            <w:shd w:val="clear" w:color="auto" w:fill="auto"/>
          </w:tcPr>
          <w:p w14:paraId="40041F6F" w14:textId="77777777" w:rsidR="008C5CFA" w:rsidRPr="00BA47B4" w:rsidRDefault="00E82A60" w:rsidP="00300A01">
            <w:pPr>
              <w:spacing w:before="0" w:after="0"/>
              <w:rPr>
                <w:sz w:val="12"/>
                <w:szCs w:val="12"/>
                <w:lang w:val="fr-BE"/>
              </w:rPr>
            </w:pPr>
            <w:r w:rsidRPr="00BA47B4">
              <w:rPr>
                <w:noProof/>
                <w:sz w:val="12"/>
                <w:szCs w:val="12"/>
                <w:lang w:val="fr-BE"/>
              </w:rPr>
              <w:t>bierni zawodowo uczestnicy poszukujący pracy po opuszczeniu programu</w:t>
            </w:r>
          </w:p>
        </w:tc>
        <w:tc>
          <w:tcPr>
            <w:tcW w:w="0" w:type="auto"/>
            <w:shd w:val="clear" w:color="auto" w:fill="auto"/>
          </w:tcPr>
          <w:p w14:paraId="7936BF4F" w14:textId="77777777" w:rsidR="008C5CFA" w:rsidRPr="00BA47B4" w:rsidRDefault="00E82A60" w:rsidP="00300A01">
            <w:pPr>
              <w:spacing w:before="0" w:after="0"/>
              <w:rPr>
                <w:sz w:val="12"/>
                <w:szCs w:val="12"/>
                <w:lang w:val="fr-BE"/>
              </w:rPr>
            </w:pPr>
            <w:r w:rsidRPr="00BA47B4">
              <w:rPr>
                <w:noProof/>
                <w:sz w:val="12"/>
                <w:szCs w:val="12"/>
                <w:lang w:val="fr-BE"/>
              </w:rPr>
              <w:t>Słabiej rozwinięte</w:t>
            </w:r>
          </w:p>
        </w:tc>
        <w:tc>
          <w:tcPr>
            <w:tcW w:w="0" w:type="auto"/>
          </w:tcPr>
          <w:p w14:paraId="44563FAC" w14:textId="77777777" w:rsidR="008C5CFA" w:rsidRPr="00BA47B4" w:rsidRDefault="00E82A60" w:rsidP="00300A01">
            <w:pPr>
              <w:spacing w:before="0" w:after="0"/>
              <w:jc w:val="right"/>
              <w:rPr>
                <w:sz w:val="12"/>
                <w:szCs w:val="12"/>
                <w:lang w:val="fr-BE"/>
              </w:rPr>
            </w:pPr>
            <w:r w:rsidRPr="00BA47B4">
              <w:rPr>
                <w:noProof/>
                <w:sz w:val="12"/>
                <w:szCs w:val="12"/>
                <w:lang w:val="fr-BE"/>
              </w:rPr>
              <w:t>14,00</w:t>
            </w:r>
          </w:p>
        </w:tc>
        <w:tc>
          <w:tcPr>
            <w:tcW w:w="0" w:type="auto"/>
          </w:tcPr>
          <w:p w14:paraId="3BD57AA2" w14:textId="77777777" w:rsidR="008C5CFA" w:rsidRPr="00BA47B4" w:rsidRDefault="00E82A60" w:rsidP="00300A01">
            <w:pPr>
              <w:spacing w:before="0" w:after="0"/>
              <w:jc w:val="right"/>
              <w:rPr>
                <w:sz w:val="12"/>
                <w:szCs w:val="12"/>
                <w:lang w:val="fr-BE"/>
              </w:rPr>
            </w:pPr>
            <w:r w:rsidRPr="00BA47B4">
              <w:rPr>
                <w:noProof/>
                <w:sz w:val="12"/>
                <w:szCs w:val="12"/>
                <w:lang w:val="fr-BE"/>
              </w:rPr>
              <w:t>1,00</w:t>
            </w:r>
          </w:p>
        </w:tc>
        <w:tc>
          <w:tcPr>
            <w:tcW w:w="0" w:type="auto"/>
          </w:tcPr>
          <w:p w14:paraId="07CE67D4" w14:textId="77777777" w:rsidR="008C5CFA" w:rsidRPr="00BA47B4" w:rsidRDefault="00E82A60" w:rsidP="00300A01">
            <w:pPr>
              <w:spacing w:before="0" w:after="0"/>
              <w:jc w:val="right"/>
              <w:rPr>
                <w:sz w:val="12"/>
                <w:szCs w:val="12"/>
                <w:lang w:val="fr-BE"/>
              </w:rPr>
            </w:pPr>
            <w:r w:rsidRPr="00BA47B4">
              <w:rPr>
                <w:noProof/>
                <w:sz w:val="12"/>
                <w:szCs w:val="12"/>
                <w:lang w:val="fr-BE"/>
              </w:rPr>
              <w:t>4,00</w:t>
            </w:r>
          </w:p>
        </w:tc>
        <w:tc>
          <w:tcPr>
            <w:tcW w:w="0" w:type="auto"/>
          </w:tcPr>
          <w:p w14:paraId="1471F4BA" w14:textId="77777777" w:rsidR="008C5CFA" w:rsidRPr="00BA47B4" w:rsidRDefault="00E82A60" w:rsidP="00300A01">
            <w:pPr>
              <w:spacing w:before="0" w:after="0"/>
              <w:jc w:val="right"/>
              <w:rPr>
                <w:sz w:val="12"/>
                <w:szCs w:val="12"/>
                <w:lang w:val="fr-BE"/>
              </w:rPr>
            </w:pPr>
            <w:r w:rsidRPr="00BA47B4">
              <w:rPr>
                <w:noProof/>
                <w:sz w:val="12"/>
                <w:szCs w:val="12"/>
                <w:lang w:val="fr-BE"/>
              </w:rPr>
              <w:t>6,00</w:t>
            </w:r>
          </w:p>
        </w:tc>
        <w:tc>
          <w:tcPr>
            <w:tcW w:w="0" w:type="auto"/>
          </w:tcPr>
          <w:p w14:paraId="72C64CB3"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3C7953A8"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158B2BC6"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171B194F"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05A69F07"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642F9347"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r>
      <w:tr w:rsidR="006B2EC1" w14:paraId="554810F8" w14:textId="77777777" w:rsidTr="0047688D">
        <w:tc>
          <w:tcPr>
            <w:tcW w:w="0" w:type="auto"/>
            <w:shd w:val="clear" w:color="auto" w:fill="auto"/>
          </w:tcPr>
          <w:p w14:paraId="6647DF12" w14:textId="77777777" w:rsidR="008C5CFA" w:rsidRPr="00BA47B4" w:rsidRDefault="00E82A60" w:rsidP="00300A01">
            <w:pPr>
              <w:spacing w:before="0" w:after="0"/>
              <w:rPr>
                <w:sz w:val="12"/>
                <w:szCs w:val="12"/>
                <w:lang w:val="fr-BE"/>
              </w:rPr>
            </w:pPr>
            <w:r w:rsidRPr="00BA47B4">
              <w:rPr>
                <w:noProof/>
                <w:sz w:val="12"/>
                <w:szCs w:val="12"/>
                <w:lang w:val="fr-BE"/>
              </w:rPr>
              <w:t>CR02</w:t>
            </w:r>
          </w:p>
        </w:tc>
        <w:tc>
          <w:tcPr>
            <w:tcW w:w="0" w:type="auto"/>
            <w:shd w:val="clear" w:color="auto" w:fill="auto"/>
          </w:tcPr>
          <w:p w14:paraId="6E45AEB2" w14:textId="77777777" w:rsidR="008C5CFA" w:rsidRPr="00BA47B4" w:rsidRDefault="00E82A60" w:rsidP="00300A01">
            <w:pPr>
              <w:spacing w:before="0" w:after="0"/>
              <w:rPr>
                <w:sz w:val="12"/>
                <w:szCs w:val="12"/>
                <w:lang w:val="fr-BE"/>
              </w:rPr>
            </w:pPr>
            <w:r w:rsidRPr="00BA47B4">
              <w:rPr>
                <w:noProof/>
                <w:sz w:val="12"/>
                <w:szCs w:val="12"/>
                <w:lang w:val="fr-BE"/>
              </w:rPr>
              <w:t>uczestnicy kształcący lub szkolący się po opuszczeniu programu</w:t>
            </w:r>
          </w:p>
        </w:tc>
        <w:tc>
          <w:tcPr>
            <w:tcW w:w="0" w:type="auto"/>
            <w:shd w:val="clear" w:color="auto" w:fill="auto"/>
          </w:tcPr>
          <w:p w14:paraId="024BD7DB" w14:textId="77777777" w:rsidR="008C5CFA" w:rsidRPr="00BA47B4" w:rsidRDefault="00E82A60" w:rsidP="00300A01">
            <w:pPr>
              <w:spacing w:before="0" w:after="0"/>
              <w:rPr>
                <w:sz w:val="12"/>
                <w:szCs w:val="12"/>
                <w:lang w:val="fr-BE"/>
              </w:rPr>
            </w:pPr>
            <w:r w:rsidRPr="00BA47B4">
              <w:rPr>
                <w:noProof/>
                <w:sz w:val="12"/>
                <w:szCs w:val="12"/>
                <w:lang w:val="fr-BE"/>
              </w:rPr>
              <w:t>Słabiej rozwinięte</w:t>
            </w:r>
          </w:p>
        </w:tc>
        <w:tc>
          <w:tcPr>
            <w:tcW w:w="0" w:type="auto"/>
          </w:tcPr>
          <w:p w14:paraId="32A4A355" w14:textId="77777777" w:rsidR="008C5CFA" w:rsidRPr="00BA47B4" w:rsidRDefault="00E82A60" w:rsidP="00300A01">
            <w:pPr>
              <w:spacing w:before="0" w:after="0"/>
              <w:jc w:val="right"/>
              <w:rPr>
                <w:sz w:val="12"/>
                <w:szCs w:val="12"/>
                <w:lang w:val="fr-BE"/>
              </w:rPr>
            </w:pPr>
            <w:r w:rsidRPr="00BA47B4">
              <w:rPr>
                <w:noProof/>
                <w:sz w:val="12"/>
                <w:szCs w:val="12"/>
                <w:lang w:val="fr-BE"/>
              </w:rPr>
              <w:t>4,00</w:t>
            </w:r>
          </w:p>
        </w:tc>
        <w:tc>
          <w:tcPr>
            <w:tcW w:w="0" w:type="auto"/>
          </w:tcPr>
          <w:p w14:paraId="711AC540"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2B0E2322" w14:textId="77777777" w:rsidR="008C5CFA" w:rsidRPr="00BA47B4" w:rsidRDefault="00E82A60" w:rsidP="00300A01">
            <w:pPr>
              <w:spacing w:before="0" w:after="0"/>
              <w:jc w:val="right"/>
              <w:rPr>
                <w:sz w:val="12"/>
                <w:szCs w:val="12"/>
                <w:lang w:val="fr-BE"/>
              </w:rPr>
            </w:pPr>
            <w:r w:rsidRPr="00BA47B4">
              <w:rPr>
                <w:noProof/>
                <w:sz w:val="12"/>
                <w:szCs w:val="12"/>
                <w:lang w:val="fr-BE"/>
              </w:rPr>
              <w:t>1,00</w:t>
            </w:r>
          </w:p>
        </w:tc>
        <w:tc>
          <w:tcPr>
            <w:tcW w:w="0" w:type="auto"/>
          </w:tcPr>
          <w:p w14:paraId="5866A4FE"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74D495B6"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1A806779"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4B0E4647"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7DAAE9E8"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20DC5A80"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4088A5A9"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r>
      <w:tr w:rsidR="006B2EC1" w14:paraId="11FE20FF" w14:textId="77777777" w:rsidTr="0047688D">
        <w:tc>
          <w:tcPr>
            <w:tcW w:w="0" w:type="auto"/>
            <w:shd w:val="clear" w:color="auto" w:fill="auto"/>
          </w:tcPr>
          <w:p w14:paraId="48BFEC5C" w14:textId="77777777" w:rsidR="008C5CFA" w:rsidRPr="00BA47B4" w:rsidRDefault="00E82A60" w:rsidP="00300A01">
            <w:pPr>
              <w:spacing w:before="0" w:after="0"/>
              <w:rPr>
                <w:sz w:val="12"/>
                <w:szCs w:val="12"/>
                <w:lang w:val="fr-BE"/>
              </w:rPr>
            </w:pPr>
            <w:r w:rsidRPr="00BA47B4">
              <w:rPr>
                <w:noProof/>
                <w:sz w:val="12"/>
                <w:szCs w:val="12"/>
                <w:lang w:val="fr-BE"/>
              </w:rPr>
              <w:t>CR03</w:t>
            </w:r>
          </w:p>
        </w:tc>
        <w:tc>
          <w:tcPr>
            <w:tcW w:w="0" w:type="auto"/>
            <w:shd w:val="clear" w:color="auto" w:fill="auto"/>
          </w:tcPr>
          <w:p w14:paraId="05DB5F57" w14:textId="77777777" w:rsidR="008C5CFA" w:rsidRPr="00BA47B4" w:rsidRDefault="00E82A60" w:rsidP="00300A01">
            <w:pPr>
              <w:spacing w:before="0" w:after="0"/>
              <w:rPr>
                <w:sz w:val="12"/>
                <w:szCs w:val="12"/>
                <w:lang w:val="fr-BE"/>
              </w:rPr>
            </w:pPr>
            <w:r w:rsidRPr="00BA47B4">
              <w:rPr>
                <w:noProof/>
                <w:sz w:val="12"/>
                <w:szCs w:val="12"/>
                <w:lang w:val="fr-BE"/>
              </w:rPr>
              <w:t>uczestnicy uzyskujący kwalifikacje po opuszczeniu programu</w:t>
            </w:r>
          </w:p>
        </w:tc>
        <w:tc>
          <w:tcPr>
            <w:tcW w:w="0" w:type="auto"/>
            <w:shd w:val="clear" w:color="auto" w:fill="auto"/>
          </w:tcPr>
          <w:p w14:paraId="4BE53EE2" w14:textId="77777777" w:rsidR="008C5CFA" w:rsidRPr="00BA47B4" w:rsidRDefault="00E82A60" w:rsidP="00300A01">
            <w:pPr>
              <w:spacing w:before="0" w:after="0"/>
              <w:rPr>
                <w:sz w:val="12"/>
                <w:szCs w:val="12"/>
                <w:lang w:val="fr-BE"/>
              </w:rPr>
            </w:pPr>
            <w:r w:rsidRPr="00BA47B4">
              <w:rPr>
                <w:noProof/>
                <w:sz w:val="12"/>
                <w:szCs w:val="12"/>
                <w:lang w:val="fr-BE"/>
              </w:rPr>
              <w:t>Słabiej rozwinięte</w:t>
            </w:r>
          </w:p>
        </w:tc>
        <w:tc>
          <w:tcPr>
            <w:tcW w:w="0" w:type="auto"/>
          </w:tcPr>
          <w:p w14:paraId="34AA395F" w14:textId="77777777" w:rsidR="008C5CFA" w:rsidRPr="00BA47B4" w:rsidRDefault="00E82A60" w:rsidP="00300A01">
            <w:pPr>
              <w:spacing w:before="0" w:after="0"/>
              <w:jc w:val="right"/>
              <w:rPr>
                <w:sz w:val="12"/>
                <w:szCs w:val="12"/>
                <w:lang w:val="fr-BE"/>
              </w:rPr>
            </w:pPr>
            <w:r w:rsidRPr="00BA47B4">
              <w:rPr>
                <w:noProof/>
                <w:sz w:val="12"/>
                <w:szCs w:val="12"/>
                <w:lang w:val="fr-BE"/>
              </w:rPr>
              <w:t>600,00</w:t>
            </w:r>
          </w:p>
        </w:tc>
        <w:tc>
          <w:tcPr>
            <w:tcW w:w="0" w:type="auto"/>
          </w:tcPr>
          <w:p w14:paraId="0167C01E" w14:textId="77777777" w:rsidR="008C5CFA" w:rsidRPr="00BA47B4" w:rsidRDefault="00E82A60" w:rsidP="00300A01">
            <w:pPr>
              <w:spacing w:before="0" w:after="0"/>
              <w:jc w:val="right"/>
              <w:rPr>
                <w:sz w:val="12"/>
                <w:szCs w:val="12"/>
                <w:lang w:val="fr-BE"/>
              </w:rPr>
            </w:pPr>
            <w:r w:rsidRPr="00BA47B4">
              <w:rPr>
                <w:noProof/>
                <w:sz w:val="12"/>
                <w:szCs w:val="12"/>
                <w:lang w:val="fr-BE"/>
              </w:rPr>
              <w:t>183,00</w:t>
            </w:r>
          </w:p>
        </w:tc>
        <w:tc>
          <w:tcPr>
            <w:tcW w:w="0" w:type="auto"/>
          </w:tcPr>
          <w:p w14:paraId="0441E0C5" w14:textId="77777777" w:rsidR="008C5CFA" w:rsidRPr="00BA47B4" w:rsidRDefault="00E82A60" w:rsidP="00300A01">
            <w:pPr>
              <w:spacing w:before="0" w:after="0"/>
              <w:jc w:val="right"/>
              <w:rPr>
                <w:sz w:val="12"/>
                <w:szCs w:val="12"/>
                <w:lang w:val="fr-BE"/>
              </w:rPr>
            </w:pPr>
            <w:r w:rsidRPr="00BA47B4">
              <w:rPr>
                <w:noProof/>
                <w:sz w:val="12"/>
                <w:szCs w:val="12"/>
                <w:lang w:val="fr-BE"/>
              </w:rPr>
              <w:t>135,00</w:t>
            </w:r>
          </w:p>
        </w:tc>
        <w:tc>
          <w:tcPr>
            <w:tcW w:w="0" w:type="auto"/>
          </w:tcPr>
          <w:p w14:paraId="6E589CF0" w14:textId="77777777" w:rsidR="008C5CFA" w:rsidRPr="00BA47B4" w:rsidRDefault="00E82A60" w:rsidP="00300A01">
            <w:pPr>
              <w:spacing w:before="0" w:after="0"/>
              <w:jc w:val="right"/>
              <w:rPr>
                <w:sz w:val="12"/>
                <w:szCs w:val="12"/>
                <w:lang w:val="fr-BE"/>
              </w:rPr>
            </w:pPr>
            <w:r w:rsidRPr="00BA47B4">
              <w:rPr>
                <w:noProof/>
                <w:sz w:val="12"/>
                <w:szCs w:val="12"/>
                <w:lang w:val="fr-BE"/>
              </w:rPr>
              <w:t>139,00</w:t>
            </w:r>
          </w:p>
        </w:tc>
        <w:tc>
          <w:tcPr>
            <w:tcW w:w="0" w:type="auto"/>
          </w:tcPr>
          <w:p w14:paraId="58899170"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309D6602"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215F18EB"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584BC011"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6D143E10"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3C9DEF9D"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r>
      <w:tr w:rsidR="006B2EC1" w14:paraId="28493A2E" w14:textId="77777777" w:rsidTr="0047688D">
        <w:tc>
          <w:tcPr>
            <w:tcW w:w="0" w:type="auto"/>
            <w:shd w:val="clear" w:color="auto" w:fill="auto"/>
          </w:tcPr>
          <w:p w14:paraId="5D448AA3" w14:textId="77777777" w:rsidR="008C5CFA" w:rsidRPr="00BA47B4" w:rsidRDefault="00E82A60" w:rsidP="00300A01">
            <w:pPr>
              <w:spacing w:before="0" w:after="0"/>
              <w:rPr>
                <w:sz w:val="12"/>
                <w:szCs w:val="12"/>
                <w:lang w:val="fr-BE"/>
              </w:rPr>
            </w:pPr>
            <w:r w:rsidRPr="00BA47B4">
              <w:rPr>
                <w:noProof/>
                <w:sz w:val="12"/>
                <w:szCs w:val="12"/>
                <w:lang w:val="fr-BE"/>
              </w:rPr>
              <w:t>CR04</w:t>
            </w:r>
          </w:p>
        </w:tc>
        <w:tc>
          <w:tcPr>
            <w:tcW w:w="0" w:type="auto"/>
            <w:shd w:val="clear" w:color="auto" w:fill="auto"/>
          </w:tcPr>
          <w:p w14:paraId="29876B4E" w14:textId="77777777" w:rsidR="008C5CFA" w:rsidRPr="00BA47B4" w:rsidRDefault="00E82A60" w:rsidP="00300A01">
            <w:pPr>
              <w:spacing w:before="0" w:after="0"/>
              <w:rPr>
                <w:sz w:val="12"/>
                <w:szCs w:val="12"/>
                <w:lang w:val="fr-BE"/>
              </w:rPr>
            </w:pPr>
            <w:r w:rsidRPr="00BA47B4">
              <w:rPr>
                <w:noProof/>
                <w:sz w:val="12"/>
                <w:szCs w:val="12"/>
                <w:lang w:val="fr-BE"/>
              </w:rPr>
              <w:t>uczestnicy pracujący, łącznie z prowadzącymi działalność na własny rachunek, po opuszczeniu programu</w:t>
            </w:r>
          </w:p>
        </w:tc>
        <w:tc>
          <w:tcPr>
            <w:tcW w:w="0" w:type="auto"/>
            <w:shd w:val="clear" w:color="auto" w:fill="auto"/>
          </w:tcPr>
          <w:p w14:paraId="4B2C4BE1" w14:textId="77777777" w:rsidR="008C5CFA" w:rsidRPr="00BA47B4" w:rsidRDefault="00E82A60" w:rsidP="00300A01">
            <w:pPr>
              <w:spacing w:before="0" w:after="0"/>
              <w:rPr>
                <w:sz w:val="12"/>
                <w:szCs w:val="12"/>
                <w:lang w:val="fr-BE"/>
              </w:rPr>
            </w:pPr>
            <w:r w:rsidRPr="00BA47B4">
              <w:rPr>
                <w:noProof/>
                <w:sz w:val="12"/>
                <w:szCs w:val="12"/>
                <w:lang w:val="fr-BE"/>
              </w:rPr>
              <w:t>Słabiej rozwinięte</w:t>
            </w:r>
          </w:p>
        </w:tc>
        <w:tc>
          <w:tcPr>
            <w:tcW w:w="0" w:type="auto"/>
          </w:tcPr>
          <w:p w14:paraId="7D67C795" w14:textId="77777777" w:rsidR="008C5CFA" w:rsidRPr="00BA47B4" w:rsidRDefault="00E82A60" w:rsidP="00300A01">
            <w:pPr>
              <w:spacing w:before="0" w:after="0"/>
              <w:jc w:val="right"/>
              <w:rPr>
                <w:sz w:val="12"/>
                <w:szCs w:val="12"/>
                <w:lang w:val="fr-BE"/>
              </w:rPr>
            </w:pPr>
            <w:r w:rsidRPr="00BA47B4">
              <w:rPr>
                <w:noProof/>
                <w:sz w:val="12"/>
                <w:szCs w:val="12"/>
                <w:lang w:val="fr-BE"/>
              </w:rPr>
              <w:t>26,00</w:t>
            </w:r>
          </w:p>
        </w:tc>
        <w:tc>
          <w:tcPr>
            <w:tcW w:w="0" w:type="auto"/>
          </w:tcPr>
          <w:p w14:paraId="11609EF6"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42BEF259"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326415E7"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44A90307"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22E601A8"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6CDA42E6"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0C456C97"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5E639A38"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2E204D7B"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r>
      <w:tr w:rsidR="006B2EC1" w14:paraId="36B11CB8" w14:textId="77777777" w:rsidTr="0047688D">
        <w:tc>
          <w:tcPr>
            <w:tcW w:w="0" w:type="auto"/>
            <w:shd w:val="clear" w:color="auto" w:fill="auto"/>
          </w:tcPr>
          <w:p w14:paraId="1C49D007" w14:textId="77777777" w:rsidR="008C5CFA" w:rsidRPr="00BA47B4" w:rsidRDefault="00E82A60" w:rsidP="00300A01">
            <w:pPr>
              <w:spacing w:before="0" w:after="0"/>
              <w:rPr>
                <w:sz w:val="12"/>
                <w:szCs w:val="12"/>
                <w:lang w:val="fr-BE"/>
              </w:rPr>
            </w:pPr>
            <w:r w:rsidRPr="00BA47B4">
              <w:rPr>
                <w:noProof/>
                <w:sz w:val="12"/>
                <w:szCs w:val="12"/>
                <w:lang w:val="fr-BE"/>
              </w:rPr>
              <w:t>CR05</w:t>
            </w:r>
          </w:p>
        </w:tc>
        <w:tc>
          <w:tcPr>
            <w:tcW w:w="0" w:type="auto"/>
            <w:shd w:val="clear" w:color="auto" w:fill="auto"/>
          </w:tcPr>
          <w:p w14:paraId="56BE63CC" w14:textId="77777777" w:rsidR="008C5CFA" w:rsidRPr="00BA47B4" w:rsidRDefault="00E82A60" w:rsidP="00300A01">
            <w:pPr>
              <w:spacing w:before="0" w:after="0"/>
              <w:rPr>
                <w:sz w:val="12"/>
                <w:szCs w:val="12"/>
                <w:lang w:val="fr-BE"/>
              </w:rPr>
            </w:pPr>
            <w:r w:rsidRPr="00BA47B4">
              <w:rPr>
                <w:noProof/>
                <w:sz w:val="12"/>
                <w:szCs w:val="12"/>
                <w:lang w:val="fr-BE"/>
              </w:rPr>
              <w:t>uczestnicy w niekorzystnej sytuacji społecznej poszukujący pracy, uczestniczący w kształceniu lub szkoleniu, zdobywający kwalifikacje lub pracujący (łącznie z prowadzącymi działalność na własny rachunek) po opuszczeniu programu</w:t>
            </w:r>
          </w:p>
        </w:tc>
        <w:tc>
          <w:tcPr>
            <w:tcW w:w="0" w:type="auto"/>
            <w:shd w:val="clear" w:color="auto" w:fill="auto"/>
          </w:tcPr>
          <w:p w14:paraId="61077F58" w14:textId="77777777" w:rsidR="008C5CFA" w:rsidRPr="00BA47B4" w:rsidRDefault="00E82A60" w:rsidP="00300A01">
            <w:pPr>
              <w:spacing w:before="0" w:after="0"/>
              <w:rPr>
                <w:sz w:val="12"/>
                <w:szCs w:val="12"/>
                <w:lang w:val="fr-BE"/>
              </w:rPr>
            </w:pPr>
            <w:r w:rsidRPr="00BA47B4">
              <w:rPr>
                <w:noProof/>
                <w:sz w:val="12"/>
                <w:szCs w:val="12"/>
                <w:lang w:val="fr-BE"/>
              </w:rPr>
              <w:t>Słabiej rozwinięte</w:t>
            </w:r>
          </w:p>
        </w:tc>
        <w:tc>
          <w:tcPr>
            <w:tcW w:w="0" w:type="auto"/>
          </w:tcPr>
          <w:p w14:paraId="77AD44EE" w14:textId="77777777" w:rsidR="008C5CFA" w:rsidRPr="00BA47B4" w:rsidRDefault="00E82A60" w:rsidP="00300A01">
            <w:pPr>
              <w:spacing w:before="0" w:after="0"/>
              <w:jc w:val="right"/>
              <w:rPr>
                <w:sz w:val="12"/>
                <w:szCs w:val="12"/>
                <w:lang w:val="fr-BE"/>
              </w:rPr>
            </w:pPr>
            <w:r w:rsidRPr="00BA47B4">
              <w:rPr>
                <w:noProof/>
                <w:sz w:val="12"/>
                <w:szCs w:val="12"/>
                <w:lang w:val="fr-BE"/>
              </w:rPr>
              <w:t>158,00</w:t>
            </w:r>
          </w:p>
        </w:tc>
        <w:tc>
          <w:tcPr>
            <w:tcW w:w="0" w:type="auto"/>
          </w:tcPr>
          <w:p w14:paraId="4D3A693A" w14:textId="77777777" w:rsidR="008C5CFA" w:rsidRPr="00BA47B4" w:rsidRDefault="00E82A60" w:rsidP="00300A01">
            <w:pPr>
              <w:spacing w:before="0" w:after="0"/>
              <w:jc w:val="right"/>
              <w:rPr>
                <w:sz w:val="12"/>
                <w:szCs w:val="12"/>
                <w:lang w:val="fr-BE"/>
              </w:rPr>
            </w:pPr>
            <w:r w:rsidRPr="00BA47B4">
              <w:rPr>
                <w:noProof/>
                <w:sz w:val="12"/>
                <w:szCs w:val="12"/>
                <w:lang w:val="fr-BE"/>
              </w:rPr>
              <w:t>45,00</w:t>
            </w:r>
          </w:p>
        </w:tc>
        <w:tc>
          <w:tcPr>
            <w:tcW w:w="0" w:type="auto"/>
          </w:tcPr>
          <w:p w14:paraId="54E3BF32" w14:textId="77777777" w:rsidR="008C5CFA" w:rsidRPr="00BA47B4" w:rsidRDefault="00E82A60" w:rsidP="00300A01">
            <w:pPr>
              <w:spacing w:before="0" w:after="0"/>
              <w:jc w:val="right"/>
              <w:rPr>
                <w:sz w:val="12"/>
                <w:szCs w:val="12"/>
                <w:lang w:val="fr-BE"/>
              </w:rPr>
            </w:pPr>
            <w:r w:rsidRPr="00BA47B4">
              <w:rPr>
                <w:noProof/>
                <w:sz w:val="12"/>
                <w:szCs w:val="12"/>
                <w:lang w:val="fr-BE"/>
              </w:rPr>
              <w:t>10,00</w:t>
            </w:r>
          </w:p>
        </w:tc>
        <w:tc>
          <w:tcPr>
            <w:tcW w:w="0" w:type="auto"/>
          </w:tcPr>
          <w:p w14:paraId="402AB4EF" w14:textId="77777777" w:rsidR="008C5CFA" w:rsidRPr="00BA47B4" w:rsidRDefault="00E82A60" w:rsidP="00300A01">
            <w:pPr>
              <w:spacing w:before="0" w:after="0"/>
              <w:jc w:val="right"/>
              <w:rPr>
                <w:sz w:val="12"/>
                <w:szCs w:val="12"/>
                <w:lang w:val="fr-BE"/>
              </w:rPr>
            </w:pPr>
            <w:r w:rsidRPr="00BA47B4">
              <w:rPr>
                <w:noProof/>
                <w:sz w:val="12"/>
                <w:szCs w:val="12"/>
                <w:lang w:val="fr-BE"/>
              </w:rPr>
              <w:t>17,00</w:t>
            </w:r>
          </w:p>
        </w:tc>
        <w:tc>
          <w:tcPr>
            <w:tcW w:w="0" w:type="auto"/>
          </w:tcPr>
          <w:p w14:paraId="416C1183"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69E89C83"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1BC94A33"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14303CA1"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1992A583"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29E44ED5"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r>
      <w:tr w:rsidR="006B2EC1" w14:paraId="2F135C0E" w14:textId="77777777" w:rsidTr="0047688D">
        <w:tc>
          <w:tcPr>
            <w:tcW w:w="0" w:type="auto"/>
            <w:shd w:val="clear" w:color="auto" w:fill="auto"/>
          </w:tcPr>
          <w:p w14:paraId="43A7826E" w14:textId="77777777" w:rsidR="008C5CFA" w:rsidRPr="00BA47B4" w:rsidRDefault="00E82A60" w:rsidP="00300A01">
            <w:pPr>
              <w:spacing w:before="0" w:after="0"/>
              <w:rPr>
                <w:sz w:val="12"/>
                <w:szCs w:val="12"/>
                <w:lang w:val="fr-BE"/>
              </w:rPr>
            </w:pPr>
            <w:r w:rsidRPr="00BA47B4">
              <w:rPr>
                <w:noProof/>
                <w:sz w:val="12"/>
                <w:szCs w:val="12"/>
                <w:lang w:val="fr-BE"/>
              </w:rPr>
              <w:t>CR06</w:t>
            </w:r>
          </w:p>
        </w:tc>
        <w:tc>
          <w:tcPr>
            <w:tcW w:w="0" w:type="auto"/>
            <w:shd w:val="clear" w:color="auto" w:fill="auto"/>
          </w:tcPr>
          <w:p w14:paraId="0C4389A9" w14:textId="77777777" w:rsidR="008C5CFA" w:rsidRPr="00BA47B4" w:rsidRDefault="00E82A60" w:rsidP="00300A01">
            <w:pPr>
              <w:spacing w:before="0" w:after="0"/>
              <w:rPr>
                <w:sz w:val="12"/>
                <w:szCs w:val="12"/>
                <w:lang w:val="fr-BE"/>
              </w:rPr>
            </w:pPr>
            <w:r w:rsidRPr="00BA47B4">
              <w:rPr>
                <w:noProof/>
                <w:sz w:val="12"/>
                <w:szCs w:val="12"/>
                <w:lang w:val="fr-BE"/>
              </w:rPr>
              <w:t>uczestnicy pracujący, łącznie z prowadzącymi działalność na własny rachunek, sześć miesięcy po opuszczeniu programu</w:t>
            </w:r>
          </w:p>
        </w:tc>
        <w:tc>
          <w:tcPr>
            <w:tcW w:w="0" w:type="auto"/>
            <w:shd w:val="clear" w:color="auto" w:fill="auto"/>
          </w:tcPr>
          <w:p w14:paraId="1604C7C1" w14:textId="77777777" w:rsidR="008C5CFA" w:rsidRPr="00BA47B4" w:rsidRDefault="00E82A60" w:rsidP="00300A01">
            <w:pPr>
              <w:spacing w:before="0" w:after="0"/>
              <w:rPr>
                <w:sz w:val="12"/>
                <w:szCs w:val="12"/>
                <w:lang w:val="fr-BE"/>
              </w:rPr>
            </w:pPr>
            <w:r w:rsidRPr="00BA47B4">
              <w:rPr>
                <w:noProof/>
                <w:sz w:val="12"/>
                <w:szCs w:val="12"/>
                <w:lang w:val="fr-BE"/>
              </w:rPr>
              <w:t>Słabiej rozwinięte</w:t>
            </w:r>
          </w:p>
        </w:tc>
        <w:tc>
          <w:tcPr>
            <w:tcW w:w="0" w:type="auto"/>
          </w:tcPr>
          <w:p w14:paraId="506FE2CC" w14:textId="77777777" w:rsidR="008C5CFA" w:rsidRPr="00BA47B4" w:rsidRDefault="00E82A60" w:rsidP="00300A01">
            <w:pPr>
              <w:spacing w:before="0" w:after="0"/>
              <w:jc w:val="right"/>
              <w:rPr>
                <w:sz w:val="12"/>
                <w:szCs w:val="12"/>
                <w:lang w:val="fr-BE"/>
              </w:rPr>
            </w:pPr>
            <w:r w:rsidRPr="00BA47B4">
              <w:rPr>
                <w:noProof/>
                <w:sz w:val="12"/>
                <w:szCs w:val="12"/>
                <w:lang w:val="fr-BE"/>
              </w:rPr>
              <w:t>103,00</w:t>
            </w:r>
          </w:p>
        </w:tc>
        <w:tc>
          <w:tcPr>
            <w:tcW w:w="0" w:type="auto"/>
          </w:tcPr>
          <w:p w14:paraId="6F5C81FA" w14:textId="77777777" w:rsidR="008C5CFA" w:rsidRPr="00BA47B4" w:rsidRDefault="00E82A60" w:rsidP="00300A01">
            <w:pPr>
              <w:spacing w:before="0" w:after="0"/>
              <w:jc w:val="right"/>
              <w:rPr>
                <w:sz w:val="12"/>
                <w:szCs w:val="12"/>
                <w:lang w:val="fr-BE"/>
              </w:rPr>
            </w:pPr>
            <w:r w:rsidRPr="00BA47B4">
              <w:rPr>
                <w:noProof/>
                <w:sz w:val="12"/>
                <w:szCs w:val="12"/>
                <w:lang w:val="fr-BE"/>
              </w:rPr>
              <w:t>89,00</w:t>
            </w:r>
          </w:p>
        </w:tc>
        <w:tc>
          <w:tcPr>
            <w:tcW w:w="0" w:type="auto"/>
          </w:tcPr>
          <w:p w14:paraId="4AF333CE"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6F173389"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6820F678"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539C426B"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2CACE122"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7F459C28"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2C849D53"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7694371D"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r>
      <w:tr w:rsidR="006B2EC1" w14:paraId="4F63C23B" w14:textId="77777777" w:rsidTr="0047688D">
        <w:tc>
          <w:tcPr>
            <w:tcW w:w="0" w:type="auto"/>
            <w:shd w:val="clear" w:color="auto" w:fill="auto"/>
          </w:tcPr>
          <w:p w14:paraId="14BF5D21" w14:textId="77777777" w:rsidR="008C5CFA" w:rsidRPr="00BA47B4" w:rsidRDefault="00E82A60" w:rsidP="00300A01">
            <w:pPr>
              <w:spacing w:before="0" w:after="0"/>
              <w:rPr>
                <w:sz w:val="12"/>
                <w:szCs w:val="12"/>
                <w:lang w:val="fr-BE"/>
              </w:rPr>
            </w:pPr>
            <w:r w:rsidRPr="00BA47B4">
              <w:rPr>
                <w:noProof/>
                <w:sz w:val="12"/>
                <w:szCs w:val="12"/>
                <w:lang w:val="fr-BE"/>
              </w:rPr>
              <w:t>CR07</w:t>
            </w:r>
          </w:p>
        </w:tc>
        <w:tc>
          <w:tcPr>
            <w:tcW w:w="0" w:type="auto"/>
            <w:shd w:val="clear" w:color="auto" w:fill="auto"/>
          </w:tcPr>
          <w:p w14:paraId="0C647EE0" w14:textId="77777777" w:rsidR="008C5CFA" w:rsidRPr="00BA47B4" w:rsidRDefault="00E82A60" w:rsidP="00300A01">
            <w:pPr>
              <w:spacing w:before="0" w:after="0"/>
              <w:rPr>
                <w:sz w:val="12"/>
                <w:szCs w:val="12"/>
                <w:lang w:val="fr-BE"/>
              </w:rPr>
            </w:pPr>
            <w:r w:rsidRPr="00BA47B4">
              <w:rPr>
                <w:noProof/>
                <w:sz w:val="12"/>
                <w:szCs w:val="12"/>
                <w:lang w:val="fr-BE"/>
              </w:rPr>
              <w:t>uczestnicy znajdujący się w lepszej sytuacji na rynku pracy sześć miesięcy po opuszczeniu programu</w:t>
            </w:r>
          </w:p>
        </w:tc>
        <w:tc>
          <w:tcPr>
            <w:tcW w:w="0" w:type="auto"/>
            <w:shd w:val="clear" w:color="auto" w:fill="auto"/>
          </w:tcPr>
          <w:p w14:paraId="06642095" w14:textId="77777777" w:rsidR="008C5CFA" w:rsidRPr="00BA47B4" w:rsidRDefault="00E82A60" w:rsidP="00300A01">
            <w:pPr>
              <w:spacing w:before="0" w:after="0"/>
              <w:rPr>
                <w:sz w:val="12"/>
                <w:szCs w:val="12"/>
                <w:lang w:val="fr-BE"/>
              </w:rPr>
            </w:pPr>
            <w:r w:rsidRPr="00BA47B4">
              <w:rPr>
                <w:noProof/>
                <w:sz w:val="12"/>
                <w:szCs w:val="12"/>
                <w:lang w:val="fr-BE"/>
              </w:rPr>
              <w:t>Słabiej rozwinięte</w:t>
            </w:r>
          </w:p>
        </w:tc>
        <w:tc>
          <w:tcPr>
            <w:tcW w:w="0" w:type="auto"/>
          </w:tcPr>
          <w:p w14:paraId="4A42B95D" w14:textId="77777777" w:rsidR="008C5CFA" w:rsidRPr="00BA47B4" w:rsidRDefault="00E82A60" w:rsidP="00300A01">
            <w:pPr>
              <w:spacing w:before="0" w:after="0"/>
              <w:jc w:val="right"/>
              <w:rPr>
                <w:sz w:val="12"/>
                <w:szCs w:val="12"/>
                <w:lang w:val="fr-BE"/>
              </w:rPr>
            </w:pPr>
            <w:r w:rsidRPr="00BA47B4">
              <w:rPr>
                <w:noProof/>
                <w:sz w:val="12"/>
                <w:szCs w:val="12"/>
                <w:lang w:val="fr-BE"/>
              </w:rPr>
              <w:t>64,00</w:t>
            </w:r>
          </w:p>
        </w:tc>
        <w:tc>
          <w:tcPr>
            <w:tcW w:w="0" w:type="auto"/>
          </w:tcPr>
          <w:p w14:paraId="7CCDF854" w14:textId="77777777" w:rsidR="008C5CFA" w:rsidRPr="00BA47B4" w:rsidRDefault="00E82A60" w:rsidP="00300A01">
            <w:pPr>
              <w:spacing w:before="0" w:after="0"/>
              <w:jc w:val="right"/>
              <w:rPr>
                <w:sz w:val="12"/>
                <w:szCs w:val="12"/>
                <w:lang w:val="fr-BE"/>
              </w:rPr>
            </w:pPr>
            <w:r w:rsidRPr="00BA47B4">
              <w:rPr>
                <w:noProof/>
                <w:sz w:val="12"/>
                <w:szCs w:val="12"/>
                <w:lang w:val="fr-BE"/>
              </w:rPr>
              <w:t>46,00</w:t>
            </w:r>
          </w:p>
        </w:tc>
        <w:tc>
          <w:tcPr>
            <w:tcW w:w="0" w:type="auto"/>
          </w:tcPr>
          <w:p w14:paraId="04BC9CAA"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52D2D9D5"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7DFBA36E"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39B9B81C"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24D8DB79"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2E686782"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7657A2B1"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1B09508C"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r>
      <w:tr w:rsidR="006B2EC1" w14:paraId="6558D4AB" w14:textId="77777777" w:rsidTr="0047688D">
        <w:tc>
          <w:tcPr>
            <w:tcW w:w="0" w:type="auto"/>
            <w:shd w:val="clear" w:color="auto" w:fill="auto"/>
          </w:tcPr>
          <w:p w14:paraId="411F3430" w14:textId="77777777" w:rsidR="008C5CFA" w:rsidRPr="00BA47B4" w:rsidRDefault="00E82A60" w:rsidP="00300A01">
            <w:pPr>
              <w:spacing w:before="0" w:after="0"/>
              <w:rPr>
                <w:sz w:val="12"/>
                <w:szCs w:val="12"/>
                <w:lang w:val="fr-BE"/>
              </w:rPr>
            </w:pPr>
            <w:r w:rsidRPr="00BA47B4">
              <w:rPr>
                <w:noProof/>
                <w:sz w:val="12"/>
                <w:szCs w:val="12"/>
                <w:lang w:val="fr-BE"/>
              </w:rPr>
              <w:t>CR08</w:t>
            </w:r>
          </w:p>
        </w:tc>
        <w:tc>
          <w:tcPr>
            <w:tcW w:w="0" w:type="auto"/>
            <w:shd w:val="clear" w:color="auto" w:fill="auto"/>
          </w:tcPr>
          <w:p w14:paraId="6521FEB6" w14:textId="77777777" w:rsidR="008C5CFA" w:rsidRPr="00BA47B4" w:rsidRDefault="00E82A60" w:rsidP="00300A01">
            <w:pPr>
              <w:spacing w:before="0" w:after="0"/>
              <w:rPr>
                <w:sz w:val="12"/>
                <w:szCs w:val="12"/>
                <w:lang w:val="fr-BE"/>
              </w:rPr>
            </w:pPr>
            <w:r w:rsidRPr="00BA47B4">
              <w:rPr>
                <w:noProof/>
                <w:sz w:val="12"/>
                <w:szCs w:val="12"/>
                <w:lang w:val="fr-BE"/>
              </w:rPr>
              <w:t>uczestnicy powyżej 54 roku życia, pracujący, łącznie z prowadzącymi działalność na własny rachunek, sześć miesięcy po opuszczeniu programu</w:t>
            </w:r>
          </w:p>
        </w:tc>
        <w:tc>
          <w:tcPr>
            <w:tcW w:w="0" w:type="auto"/>
            <w:shd w:val="clear" w:color="auto" w:fill="auto"/>
          </w:tcPr>
          <w:p w14:paraId="64356DD2" w14:textId="77777777" w:rsidR="008C5CFA" w:rsidRPr="00BA47B4" w:rsidRDefault="00E82A60" w:rsidP="00300A01">
            <w:pPr>
              <w:spacing w:before="0" w:after="0"/>
              <w:rPr>
                <w:sz w:val="12"/>
                <w:szCs w:val="12"/>
                <w:lang w:val="fr-BE"/>
              </w:rPr>
            </w:pPr>
            <w:r w:rsidRPr="00BA47B4">
              <w:rPr>
                <w:noProof/>
                <w:sz w:val="12"/>
                <w:szCs w:val="12"/>
                <w:lang w:val="fr-BE"/>
              </w:rPr>
              <w:t>Słabiej rozwinięte</w:t>
            </w:r>
          </w:p>
        </w:tc>
        <w:tc>
          <w:tcPr>
            <w:tcW w:w="0" w:type="auto"/>
          </w:tcPr>
          <w:p w14:paraId="70C30C18" w14:textId="77777777" w:rsidR="008C5CFA" w:rsidRPr="00BA47B4" w:rsidRDefault="00E82A60" w:rsidP="00300A01">
            <w:pPr>
              <w:spacing w:before="0" w:after="0"/>
              <w:jc w:val="right"/>
              <w:rPr>
                <w:sz w:val="12"/>
                <w:szCs w:val="12"/>
                <w:lang w:val="fr-BE"/>
              </w:rPr>
            </w:pPr>
            <w:r w:rsidRPr="00BA47B4">
              <w:rPr>
                <w:noProof/>
                <w:sz w:val="12"/>
                <w:szCs w:val="12"/>
                <w:lang w:val="fr-BE"/>
              </w:rPr>
              <w:t>1,00</w:t>
            </w:r>
          </w:p>
        </w:tc>
        <w:tc>
          <w:tcPr>
            <w:tcW w:w="0" w:type="auto"/>
          </w:tcPr>
          <w:p w14:paraId="05B3E9C3"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621B86D3"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55103434"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69AF89C7"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0E457DCC"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1AF7C12B"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2DBA6218"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6251F388"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7CF886D0"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r>
      <w:tr w:rsidR="006B2EC1" w14:paraId="060BE8E3" w14:textId="77777777" w:rsidTr="0047688D">
        <w:tc>
          <w:tcPr>
            <w:tcW w:w="0" w:type="auto"/>
            <w:shd w:val="clear" w:color="auto" w:fill="auto"/>
          </w:tcPr>
          <w:p w14:paraId="1BE38EBF" w14:textId="77777777" w:rsidR="008C5CFA" w:rsidRPr="00BA47B4" w:rsidRDefault="00E82A60" w:rsidP="00300A01">
            <w:pPr>
              <w:spacing w:before="0" w:after="0"/>
              <w:rPr>
                <w:sz w:val="12"/>
                <w:szCs w:val="12"/>
                <w:lang w:val="fr-BE"/>
              </w:rPr>
            </w:pPr>
            <w:r w:rsidRPr="00BA47B4">
              <w:rPr>
                <w:noProof/>
                <w:sz w:val="12"/>
                <w:szCs w:val="12"/>
                <w:lang w:val="fr-BE"/>
              </w:rPr>
              <w:t>CR09</w:t>
            </w:r>
          </w:p>
        </w:tc>
        <w:tc>
          <w:tcPr>
            <w:tcW w:w="0" w:type="auto"/>
            <w:shd w:val="clear" w:color="auto" w:fill="auto"/>
          </w:tcPr>
          <w:p w14:paraId="03E7FB13" w14:textId="77777777" w:rsidR="008C5CFA" w:rsidRPr="00BA47B4" w:rsidRDefault="00E82A60" w:rsidP="00300A01">
            <w:pPr>
              <w:spacing w:before="0" w:after="0"/>
              <w:rPr>
                <w:sz w:val="12"/>
                <w:szCs w:val="12"/>
                <w:lang w:val="fr-BE"/>
              </w:rPr>
            </w:pPr>
            <w:r w:rsidRPr="00BA47B4">
              <w:rPr>
                <w:noProof/>
                <w:sz w:val="12"/>
                <w:szCs w:val="12"/>
                <w:lang w:val="fr-BE"/>
              </w:rPr>
              <w:t>uczestnicy w niekorzystnej sytuacji społecznej, pracujący, łącznie z prowadzącymi działalność na własny rachunek, sześć miesięcy po opuszczeniu programu</w:t>
            </w:r>
          </w:p>
        </w:tc>
        <w:tc>
          <w:tcPr>
            <w:tcW w:w="0" w:type="auto"/>
            <w:shd w:val="clear" w:color="auto" w:fill="auto"/>
          </w:tcPr>
          <w:p w14:paraId="7597B887" w14:textId="77777777" w:rsidR="008C5CFA" w:rsidRPr="00BA47B4" w:rsidRDefault="00E82A60" w:rsidP="00300A01">
            <w:pPr>
              <w:spacing w:before="0" w:after="0"/>
              <w:rPr>
                <w:sz w:val="12"/>
                <w:szCs w:val="12"/>
                <w:lang w:val="fr-BE"/>
              </w:rPr>
            </w:pPr>
            <w:r w:rsidRPr="00BA47B4">
              <w:rPr>
                <w:noProof/>
                <w:sz w:val="12"/>
                <w:szCs w:val="12"/>
                <w:lang w:val="fr-BE"/>
              </w:rPr>
              <w:t>Słabiej rozwinięte</w:t>
            </w:r>
          </w:p>
        </w:tc>
        <w:tc>
          <w:tcPr>
            <w:tcW w:w="0" w:type="auto"/>
          </w:tcPr>
          <w:p w14:paraId="588F0ED3" w14:textId="77777777" w:rsidR="008C5CFA" w:rsidRPr="00BA47B4" w:rsidRDefault="00E82A60" w:rsidP="00300A01">
            <w:pPr>
              <w:spacing w:before="0" w:after="0"/>
              <w:jc w:val="right"/>
              <w:rPr>
                <w:sz w:val="12"/>
                <w:szCs w:val="12"/>
                <w:lang w:val="fr-BE"/>
              </w:rPr>
            </w:pPr>
            <w:r w:rsidRPr="00BA47B4">
              <w:rPr>
                <w:noProof/>
                <w:sz w:val="12"/>
                <w:szCs w:val="12"/>
                <w:lang w:val="fr-BE"/>
              </w:rPr>
              <w:t>6,00</w:t>
            </w:r>
          </w:p>
        </w:tc>
        <w:tc>
          <w:tcPr>
            <w:tcW w:w="0" w:type="auto"/>
          </w:tcPr>
          <w:p w14:paraId="03389131" w14:textId="77777777" w:rsidR="008C5CFA" w:rsidRPr="00BA47B4" w:rsidRDefault="00E82A60" w:rsidP="00300A01">
            <w:pPr>
              <w:spacing w:before="0" w:after="0"/>
              <w:jc w:val="right"/>
              <w:rPr>
                <w:sz w:val="12"/>
                <w:szCs w:val="12"/>
                <w:lang w:val="fr-BE"/>
              </w:rPr>
            </w:pPr>
            <w:r w:rsidRPr="00BA47B4">
              <w:rPr>
                <w:noProof/>
                <w:sz w:val="12"/>
                <w:szCs w:val="12"/>
                <w:lang w:val="fr-BE"/>
              </w:rPr>
              <w:t>1,00</w:t>
            </w:r>
          </w:p>
        </w:tc>
        <w:tc>
          <w:tcPr>
            <w:tcW w:w="0" w:type="auto"/>
          </w:tcPr>
          <w:p w14:paraId="2C26C4CB"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665857DE"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662FD25D"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53A61725"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25D2CCB8"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2304865D"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7FA35740"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38573EAB"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r>
    </w:tbl>
    <w:p w14:paraId="11F1F9E0" w14:textId="77777777" w:rsidR="008C5CFA" w:rsidRPr="00530285" w:rsidRDefault="008C5CFA" w:rsidP="00300A01">
      <w:pPr>
        <w:keepNext/>
        <w:spacing w:before="0" w:after="0"/>
        <w:rPr>
          <w:sz w:val="20"/>
          <w:szCs w:val="20"/>
        </w:rPr>
      </w:pPr>
    </w:p>
    <w:p w14:paraId="0B0BBCB4" w14:textId="77777777" w:rsidR="008C5CFA" w:rsidRDefault="00E82A60" w:rsidP="00300A01">
      <w:pPr>
        <w:spacing w:before="0" w:after="0"/>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13533"/>
      </w:tblGrid>
      <w:tr w:rsidR="006B2EC1" w14:paraId="1A9C1491" w14:textId="77777777" w:rsidTr="0047688D">
        <w:tc>
          <w:tcPr>
            <w:tcW w:w="0" w:type="auto"/>
            <w:shd w:val="clear" w:color="auto" w:fill="auto"/>
          </w:tcPr>
          <w:p w14:paraId="5C52ECF4" w14:textId="77777777" w:rsidR="008C5CFA" w:rsidRPr="002124FC" w:rsidRDefault="00E82A60" w:rsidP="00300A01">
            <w:pPr>
              <w:spacing w:before="0" w:after="0"/>
              <w:rPr>
                <w:sz w:val="20"/>
                <w:szCs w:val="20"/>
                <w:lang w:val="fr-BE"/>
              </w:rPr>
            </w:pPr>
            <w:r>
              <w:rPr>
                <w:lang w:val="fr-BE"/>
              </w:rPr>
              <w:lastRenderedPageBreak/>
              <w:br w:type="page"/>
            </w:r>
            <w:r>
              <w:rPr>
                <w:lang w:val="fr-BE"/>
              </w:rPr>
              <w:br w:type="page"/>
            </w:r>
            <w:r w:rsidRPr="002124FC">
              <w:rPr>
                <w:noProof/>
                <w:sz w:val="20"/>
                <w:szCs w:val="20"/>
                <w:lang w:val="fr-BE"/>
              </w:rPr>
              <w:t>Oś priorytetowa</w:t>
            </w:r>
          </w:p>
        </w:tc>
        <w:tc>
          <w:tcPr>
            <w:tcW w:w="0" w:type="auto"/>
            <w:shd w:val="clear" w:color="auto" w:fill="auto"/>
          </w:tcPr>
          <w:p w14:paraId="745922E1" w14:textId="77777777" w:rsidR="008C5CFA" w:rsidRPr="002124FC" w:rsidRDefault="00E82A60" w:rsidP="00300A01">
            <w:pPr>
              <w:spacing w:before="0" w:after="0"/>
              <w:rPr>
                <w:sz w:val="20"/>
                <w:szCs w:val="20"/>
                <w:lang w:val="fr-BE"/>
              </w:rPr>
            </w:pPr>
            <w:r w:rsidRPr="002124FC">
              <w:rPr>
                <w:noProof/>
                <w:sz w:val="20"/>
                <w:szCs w:val="20"/>
                <w:lang w:val="fr-BE"/>
              </w:rPr>
              <w:t>8</w:t>
            </w:r>
            <w:r w:rsidRPr="002124FC">
              <w:rPr>
                <w:sz w:val="20"/>
                <w:szCs w:val="20"/>
                <w:lang w:val="fr-BE"/>
              </w:rPr>
              <w:t xml:space="preserve"> - </w:t>
            </w:r>
            <w:r w:rsidRPr="002124FC">
              <w:rPr>
                <w:noProof/>
                <w:sz w:val="20"/>
                <w:szCs w:val="20"/>
                <w:lang w:val="fr-BE"/>
              </w:rPr>
              <w:t>Rozwój edukacji i aktywne społeczeństwo</w:t>
            </w:r>
          </w:p>
        </w:tc>
      </w:tr>
      <w:tr w:rsidR="006B2EC1" w14:paraId="2EDCA856" w14:textId="77777777" w:rsidTr="0047688D">
        <w:tc>
          <w:tcPr>
            <w:tcW w:w="0" w:type="auto"/>
            <w:shd w:val="clear" w:color="auto" w:fill="auto"/>
          </w:tcPr>
          <w:p w14:paraId="70CDB7D8" w14:textId="77777777" w:rsidR="008C5CFA" w:rsidRPr="002124FC" w:rsidRDefault="00E82A60"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14:paraId="1F12CA03" w14:textId="77777777" w:rsidR="008C5CFA" w:rsidRPr="002124FC" w:rsidRDefault="00E82A60" w:rsidP="00300A01">
            <w:pPr>
              <w:spacing w:before="0" w:after="0"/>
              <w:rPr>
                <w:sz w:val="20"/>
                <w:szCs w:val="20"/>
                <w:lang w:val="fr-BE"/>
              </w:rPr>
            </w:pPr>
            <w:r w:rsidRPr="002124FC">
              <w:rPr>
                <w:noProof/>
                <w:sz w:val="20"/>
                <w:szCs w:val="20"/>
                <w:lang w:val="fr-BE"/>
              </w:rPr>
              <w:t>10iv</w:t>
            </w:r>
            <w:r w:rsidRPr="002124FC">
              <w:rPr>
                <w:sz w:val="20"/>
                <w:szCs w:val="20"/>
                <w:lang w:val="fr-BE"/>
              </w:rPr>
              <w:t xml:space="preserve"> - </w:t>
            </w:r>
            <w:r w:rsidRPr="002124FC">
              <w:rPr>
                <w:noProof/>
                <w:sz w:val="20"/>
                <w:szCs w:val="20"/>
                <w:lang w:val="fr-BE"/>
              </w:rPr>
              <w:t>Lepsze dostosowanie systemów kształcenia i szkolenia do potrzeb rynku pracy, ułatwianie przechodzenia z etapu kształcenia do etapu zatrudnienia oraz wzmacnianie systemów kształcenia i szkolenia zawodowego i ich jakości, w tym poprzez mechanizmy prognozowania umiejętności, dostosowania programów nauczania oraz tworzenia i rozwoju systemów uczenia się poprzez praktyczną naukę zawodu realizowaną w ścisłej współpracy z pracodawcami</w:t>
            </w:r>
          </w:p>
        </w:tc>
      </w:tr>
    </w:tbl>
    <w:p w14:paraId="6232BD83" w14:textId="77777777" w:rsidR="008C5CFA" w:rsidRPr="00920B4D" w:rsidRDefault="008C5CFA" w:rsidP="00300A01">
      <w:pPr>
        <w:spacing w:before="0" w:after="0"/>
        <w:rPr>
          <w:lang w:val="fr-BE"/>
        </w:rPr>
      </w:pPr>
    </w:p>
    <w:p w14:paraId="4F9D355D" w14:textId="77777777" w:rsidR="008C5CFA" w:rsidRPr="008E457C" w:rsidRDefault="00E82A60" w:rsidP="005272C2">
      <w:pPr>
        <w:pStyle w:val="Nagwek2"/>
        <w:spacing w:before="0" w:after="0"/>
        <w:rPr>
          <w:lang w:val="fr-BE"/>
        </w:rPr>
      </w:pPr>
      <w:bookmarkStart w:id="64" w:name="_Toc46391748"/>
      <w:r w:rsidRPr="008E457C">
        <w:rPr>
          <w:noProof/>
          <w:lang w:val="fr-BE"/>
        </w:rPr>
        <w:t>Tabela 2C</w:t>
      </w:r>
      <w:r w:rsidRPr="008E457C">
        <w:rPr>
          <w:lang w:val="fr-BE"/>
        </w:rPr>
        <w:t xml:space="preserve"> : </w:t>
      </w:r>
      <w:r w:rsidRPr="008E457C">
        <w:rPr>
          <w:noProof/>
          <w:lang w:val="fr-BE"/>
        </w:rPr>
        <w:t>Specyficzne dla programu wskaźniki rezultatu dla EFS oraz Inicjatywy na rzecz zatrudnienia ludzi młodych</w:t>
      </w:r>
      <w:bookmarkEnd w:id="64"/>
    </w:p>
    <w:p w14:paraId="5D150467"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64"/>
        <w:gridCol w:w="3738"/>
        <w:gridCol w:w="701"/>
        <w:gridCol w:w="947"/>
        <w:gridCol w:w="1603"/>
        <w:gridCol w:w="1441"/>
        <w:gridCol w:w="448"/>
        <w:gridCol w:w="564"/>
        <w:gridCol w:w="453"/>
        <w:gridCol w:w="448"/>
        <w:gridCol w:w="564"/>
        <w:gridCol w:w="453"/>
        <w:gridCol w:w="464"/>
        <w:gridCol w:w="564"/>
        <w:gridCol w:w="453"/>
        <w:gridCol w:w="464"/>
        <w:gridCol w:w="564"/>
        <w:gridCol w:w="453"/>
        <w:gridCol w:w="598"/>
      </w:tblGrid>
      <w:tr w:rsidR="006B2EC1" w14:paraId="6AFB14D7" w14:textId="77777777" w:rsidTr="0047688D">
        <w:trPr>
          <w:tblHeader/>
        </w:trPr>
        <w:tc>
          <w:tcPr>
            <w:tcW w:w="0" w:type="auto"/>
            <w:shd w:val="clear" w:color="auto" w:fill="auto"/>
          </w:tcPr>
          <w:p w14:paraId="0A56D889" w14:textId="77777777" w:rsidR="008C5CFA" w:rsidRPr="00601E29" w:rsidRDefault="00E82A60" w:rsidP="00300A01">
            <w:pPr>
              <w:spacing w:before="0" w:after="0"/>
              <w:rPr>
                <w:b/>
                <w:sz w:val="10"/>
                <w:szCs w:val="10"/>
                <w:lang w:val="fr-BE"/>
              </w:rPr>
            </w:pPr>
            <w:r w:rsidRPr="00601E29">
              <w:rPr>
                <w:b/>
                <w:noProof/>
                <w:sz w:val="10"/>
                <w:szCs w:val="10"/>
                <w:lang w:val="fr-BE"/>
              </w:rPr>
              <w:t>ID</w:t>
            </w:r>
          </w:p>
        </w:tc>
        <w:tc>
          <w:tcPr>
            <w:tcW w:w="0" w:type="auto"/>
            <w:shd w:val="clear" w:color="auto" w:fill="auto"/>
          </w:tcPr>
          <w:p w14:paraId="40BDAF93" w14:textId="77777777" w:rsidR="008C5CFA" w:rsidRPr="00601E29" w:rsidRDefault="00E82A60" w:rsidP="00300A01">
            <w:pPr>
              <w:spacing w:before="0" w:after="0"/>
              <w:rPr>
                <w:b/>
                <w:sz w:val="10"/>
                <w:szCs w:val="10"/>
                <w:lang w:val="fr-BE"/>
              </w:rPr>
            </w:pPr>
            <w:r w:rsidRPr="00601E29">
              <w:rPr>
                <w:b/>
                <w:noProof/>
                <w:sz w:val="10"/>
                <w:szCs w:val="10"/>
                <w:lang w:val="fr-BE"/>
              </w:rPr>
              <w:t>Wskaźnik</w:t>
            </w:r>
          </w:p>
        </w:tc>
        <w:tc>
          <w:tcPr>
            <w:tcW w:w="0" w:type="auto"/>
            <w:shd w:val="clear" w:color="auto" w:fill="auto"/>
          </w:tcPr>
          <w:p w14:paraId="48056FE5" w14:textId="77777777" w:rsidR="008C5CFA" w:rsidRPr="00601E29" w:rsidRDefault="00E82A60" w:rsidP="00300A01">
            <w:pPr>
              <w:spacing w:before="0" w:after="0"/>
              <w:rPr>
                <w:b/>
                <w:sz w:val="10"/>
                <w:szCs w:val="10"/>
                <w:lang w:val="fr-BE"/>
              </w:rPr>
            </w:pPr>
            <w:r w:rsidRPr="00601E29">
              <w:rPr>
                <w:b/>
                <w:noProof/>
                <w:sz w:val="10"/>
                <w:szCs w:val="10"/>
                <w:lang w:val="fr-BE"/>
              </w:rPr>
              <w:t>Kategoria regionu</w:t>
            </w:r>
          </w:p>
        </w:tc>
        <w:tc>
          <w:tcPr>
            <w:tcW w:w="0" w:type="auto"/>
            <w:shd w:val="clear" w:color="auto" w:fill="auto"/>
          </w:tcPr>
          <w:p w14:paraId="13A287B3" w14:textId="77777777" w:rsidR="008C5CFA" w:rsidRPr="00601E29" w:rsidRDefault="00E82A60" w:rsidP="00300A01">
            <w:pPr>
              <w:spacing w:before="0" w:after="0"/>
              <w:rPr>
                <w:b/>
                <w:sz w:val="10"/>
                <w:szCs w:val="10"/>
                <w:lang w:val="fr-BE"/>
              </w:rPr>
            </w:pPr>
            <w:r w:rsidRPr="00785F4A">
              <w:rPr>
                <w:b/>
                <w:noProof/>
                <w:sz w:val="10"/>
                <w:szCs w:val="10"/>
                <w:lang w:val="fr-BE"/>
              </w:rPr>
              <w:t>Jednostka pomiaru wskaźnika</w:t>
            </w:r>
          </w:p>
        </w:tc>
        <w:tc>
          <w:tcPr>
            <w:tcW w:w="0" w:type="auto"/>
            <w:shd w:val="clear" w:color="auto" w:fill="auto"/>
          </w:tcPr>
          <w:p w14:paraId="5D3C99E5" w14:textId="77777777" w:rsidR="008C5CFA" w:rsidRPr="00601E29" w:rsidRDefault="00E82A60" w:rsidP="00300A01">
            <w:pPr>
              <w:spacing w:before="0" w:after="0"/>
              <w:rPr>
                <w:b/>
                <w:sz w:val="10"/>
                <w:szCs w:val="10"/>
                <w:lang w:val="fr-BE"/>
              </w:rPr>
            </w:pPr>
            <w:r w:rsidRPr="00601E29">
              <w:rPr>
                <w:b/>
                <w:noProof/>
                <w:sz w:val="10"/>
                <w:szCs w:val="10"/>
                <w:lang w:val="fr-BE"/>
              </w:rPr>
              <w:t>Wskaźnik produktu stosowany jako podstawa do ustalania celów</w:t>
            </w:r>
          </w:p>
        </w:tc>
        <w:tc>
          <w:tcPr>
            <w:tcW w:w="0" w:type="auto"/>
            <w:shd w:val="clear" w:color="auto" w:fill="auto"/>
          </w:tcPr>
          <w:p w14:paraId="78E8C50C" w14:textId="77777777" w:rsidR="008C5CFA" w:rsidRPr="00601E29" w:rsidRDefault="00E82A60" w:rsidP="00300A01">
            <w:pPr>
              <w:spacing w:before="0" w:after="0"/>
              <w:rPr>
                <w:b/>
                <w:sz w:val="10"/>
                <w:szCs w:val="10"/>
                <w:lang w:val="fr-BE"/>
              </w:rPr>
            </w:pPr>
            <w:r w:rsidRPr="00601E29">
              <w:rPr>
                <w:b/>
                <w:noProof/>
                <w:sz w:val="10"/>
                <w:szCs w:val="10"/>
                <w:lang w:val="fr-BE"/>
              </w:rPr>
              <w:t>Jednostka pomiaru dla wartości bazowej i docelowej</w:t>
            </w:r>
          </w:p>
        </w:tc>
        <w:tc>
          <w:tcPr>
            <w:tcW w:w="0" w:type="auto"/>
            <w:gridSpan w:val="3"/>
            <w:shd w:val="clear" w:color="auto" w:fill="auto"/>
          </w:tcPr>
          <w:p w14:paraId="14DC5BEB" w14:textId="77777777" w:rsidR="008C5CFA" w:rsidRPr="00601E29" w:rsidRDefault="00E82A60" w:rsidP="00300A01">
            <w:pPr>
              <w:spacing w:before="0" w:after="0"/>
              <w:jc w:val="center"/>
              <w:rPr>
                <w:b/>
                <w:sz w:val="10"/>
                <w:szCs w:val="10"/>
                <w:lang w:val="fr-BE"/>
              </w:rPr>
            </w:pPr>
            <w:r w:rsidRPr="00601E29">
              <w:rPr>
                <w:b/>
                <w:noProof/>
                <w:sz w:val="10"/>
                <w:szCs w:val="10"/>
                <w:lang w:val="fr-BE"/>
              </w:rPr>
              <w:t>Wartość docelowa (2023)</w:t>
            </w:r>
          </w:p>
        </w:tc>
        <w:tc>
          <w:tcPr>
            <w:tcW w:w="0" w:type="auto"/>
            <w:gridSpan w:val="3"/>
            <w:shd w:val="clear" w:color="auto" w:fill="auto"/>
          </w:tcPr>
          <w:p w14:paraId="64BEF1E7" w14:textId="77777777" w:rsidR="008C5CFA" w:rsidRPr="00601E29" w:rsidRDefault="00E82A60" w:rsidP="00300A01">
            <w:pPr>
              <w:spacing w:before="0" w:after="0"/>
              <w:jc w:val="center"/>
              <w:rPr>
                <w:b/>
                <w:sz w:val="10"/>
                <w:szCs w:val="10"/>
                <w:lang w:val="fr-BE"/>
              </w:rPr>
            </w:pPr>
            <w:r w:rsidRPr="00601E29">
              <w:rPr>
                <w:b/>
                <w:noProof/>
                <w:sz w:val="10"/>
                <w:szCs w:val="10"/>
                <w:lang w:val="fr-BE"/>
              </w:rPr>
              <w:t>Wskaźnik osiągnięć</w:t>
            </w:r>
          </w:p>
        </w:tc>
        <w:tc>
          <w:tcPr>
            <w:tcW w:w="0" w:type="auto"/>
            <w:gridSpan w:val="7"/>
            <w:shd w:val="clear" w:color="auto" w:fill="auto"/>
          </w:tcPr>
          <w:p w14:paraId="0C531937" w14:textId="77777777" w:rsidR="008C5CFA" w:rsidRPr="00601E29" w:rsidRDefault="00E82A60" w:rsidP="00300A01">
            <w:pPr>
              <w:spacing w:before="0" w:after="0"/>
              <w:jc w:val="center"/>
              <w:rPr>
                <w:b/>
                <w:sz w:val="10"/>
                <w:szCs w:val="10"/>
                <w:lang w:val="fr-BE"/>
              </w:rPr>
            </w:pPr>
            <w:r>
              <w:rPr>
                <w:b/>
                <w:sz w:val="10"/>
                <w:szCs w:val="10"/>
                <w:lang w:val="fr-BE"/>
              </w:rPr>
              <w:t>2019</w:t>
            </w:r>
          </w:p>
        </w:tc>
      </w:tr>
      <w:tr w:rsidR="006B2EC1" w14:paraId="3420AB18" w14:textId="77777777" w:rsidTr="0047688D">
        <w:trPr>
          <w:tblHeader/>
        </w:trPr>
        <w:tc>
          <w:tcPr>
            <w:tcW w:w="0" w:type="auto"/>
            <w:shd w:val="clear" w:color="auto" w:fill="auto"/>
          </w:tcPr>
          <w:p w14:paraId="3D5B6F58" w14:textId="77777777" w:rsidR="008C5CFA" w:rsidRPr="00601E29" w:rsidRDefault="008C5CFA" w:rsidP="00300A01">
            <w:pPr>
              <w:spacing w:before="0" w:after="0"/>
              <w:rPr>
                <w:b/>
                <w:sz w:val="10"/>
                <w:szCs w:val="10"/>
                <w:lang w:val="fr-BE"/>
              </w:rPr>
            </w:pPr>
          </w:p>
        </w:tc>
        <w:tc>
          <w:tcPr>
            <w:tcW w:w="0" w:type="auto"/>
            <w:shd w:val="clear" w:color="auto" w:fill="auto"/>
          </w:tcPr>
          <w:p w14:paraId="77CB6AE4" w14:textId="77777777" w:rsidR="008C5CFA" w:rsidRPr="00601E29" w:rsidRDefault="008C5CFA" w:rsidP="00300A01">
            <w:pPr>
              <w:spacing w:before="0" w:after="0"/>
              <w:rPr>
                <w:b/>
                <w:sz w:val="10"/>
                <w:szCs w:val="10"/>
                <w:lang w:val="fr-BE"/>
              </w:rPr>
            </w:pPr>
          </w:p>
        </w:tc>
        <w:tc>
          <w:tcPr>
            <w:tcW w:w="0" w:type="auto"/>
            <w:shd w:val="clear" w:color="auto" w:fill="auto"/>
          </w:tcPr>
          <w:p w14:paraId="51D0AA8F" w14:textId="77777777" w:rsidR="008C5CFA" w:rsidRPr="00601E29" w:rsidRDefault="008C5CFA" w:rsidP="00300A01">
            <w:pPr>
              <w:spacing w:before="0" w:after="0"/>
              <w:rPr>
                <w:b/>
                <w:sz w:val="10"/>
                <w:szCs w:val="10"/>
                <w:lang w:val="fr-BE"/>
              </w:rPr>
            </w:pPr>
          </w:p>
        </w:tc>
        <w:tc>
          <w:tcPr>
            <w:tcW w:w="0" w:type="auto"/>
            <w:shd w:val="clear" w:color="auto" w:fill="auto"/>
          </w:tcPr>
          <w:p w14:paraId="4D2C01FF" w14:textId="77777777" w:rsidR="008C5CFA" w:rsidRPr="00601E29" w:rsidRDefault="008C5CFA" w:rsidP="00300A01">
            <w:pPr>
              <w:spacing w:before="0" w:after="0"/>
              <w:rPr>
                <w:b/>
                <w:sz w:val="10"/>
                <w:szCs w:val="10"/>
                <w:lang w:val="fr-BE"/>
              </w:rPr>
            </w:pPr>
          </w:p>
        </w:tc>
        <w:tc>
          <w:tcPr>
            <w:tcW w:w="0" w:type="auto"/>
            <w:shd w:val="clear" w:color="auto" w:fill="auto"/>
          </w:tcPr>
          <w:p w14:paraId="2C556982" w14:textId="77777777" w:rsidR="008C5CFA" w:rsidRPr="00601E29" w:rsidRDefault="008C5CFA" w:rsidP="00300A01">
            <w:pPr>
              <w:spacing w:before="0" w:after="0"/>
              <w:rPr>
                <w:b/>
                <w:sz w:val="10"/>
                <w:szCs w:val="10"/>
                <w:lang w:val="fr-BE"/>
              </w:rPr>
            </w:pPr>
          </w:p>
        </w:tc>
        <w:tc>
          <w:tcPr>
            <w:tcW w:w="0" w:type="auto"/>
            <w:shd w:val="clear" w:color="auto" w:fill="auto"/>
          </w:tcPr>
          <w:p w14:paraId="63BD59D8" w14:textId="77777777" w:rsidR="008C5CFA" w:rsidRPr="00601E29" w:rsidRDefault="008C5CFA" w:rsidP="00300A01">
            <w:pPr>
              <w:spacing w:before="0" w:after="0"/>
              <w:rPr>
                <w:b/>
                <w:sz w:val="10"/>
                <w:szCs w:val="10"/>
                <w:lang w:val="fr-BE"/>
              </w:rPr>
            </w:pPr>
          </w:p>
        </w:tc>
        <w:tc>
          <w:tcPr>
            <w:tcW w:w="0" w:type="auto"/>
            <w:shd w:val="clear" w:color="auto" w:fill="auto"/>
          </w:tcPr>
          <w:p w14:paraId="722CA774" w14:textId="77777777" w:rsidR="008C5CFA" w:rsidRPr="00601E29" w:rsidRDefault="008C5CFA" w:rsidP="00300A01">
            <w:pPr>
              <w:spacing w:before="0" w:after="0"/>
              <w:jc w:val="center"/>
              <w:rPr>
                <w:b/>
                <w:sz w:val="10"/>
                <w:szCs w:val="10"/>
                <w:lang w:val="fr-BE"/>
              </w:rPr>
            </w:pPr>
          </w:p>
        </w:tc>
        <w:tc>
          <w:tcPr>
            <w:tcW w:w="0" w:type="auto"/>
            <w:shd w:val="clear" w:color="auto" w:fill="auto"/>
          </w:tcPr>
          <w:p w14:paraId="3621143D" w14:textId="77777777" w:rsidR="008C5CFA" w:rsidRPr="00601E29" w:rsidRDefault="008C5CFA" w:rsidP="00300A01">
            <w:pPr>
              <w:spacing w:before="0" w:after="0"/>
              <w:jc w:val="center"/>
              <w:rPr>
                <w:b/>
                <w:sz w:val="10"/>
                <w:szCs w:val="10"/>
                <w:lang w:val="fr-BE"/>
              </w:rPr>
            </w:pPr>
          </w:p>
        </w:tc>
        <w:tc>
          <w:tcPr>
            <w:tcW w:w="0" w:type="auto"/>
            <w:shd w:val="clear" w:color="auto" w:fill="auto"/>
          </w:tcPr>
          <w:p w14:paraId="2E122ED2" w14:textId="77777777" w:rsidR="008C5CFA" w:rsidRPr="00601E29" w:rsidRDefault="008C5CFA" w:rsidP="00300A01">
            <w:pPr>
              <w:spacing w:before="0" w:after="0"/>
              <w:jc w:val="center"/>
              <w:rPr>
                <w:b/>
                <w:sz w:val="10"/>
                <w:szCs w:val="10"/>
                <w:lang w:val="fr-BE"/>
              </w:rPr>
            </w:pPr>
          </w:p>
        </w:tc>
        <w:tc>
          <w:tcPr>
            <w:tcW w:w="0" w:type="auto"/>
            <w:shd w:val="clear" w:color="auto" w:fill="auto"/>
          </w:tcPr>
          <w:p w14:paraId="0A9AECC8" w14:textId="77777777" w:rsidR="008C5CFA" w:rsidRPr="00601E29" w:rsidRDefault="008C5CFA" w:rsidP="00300A01">
            <w:pPr>
              <w:spacing w:before="0" w:after="0"/>
              <w:jc w:val="center"/>
              <w:rPr>
                <w:b/>
                <w:sz w:val="10"/>
                <w:szCs w:val="10"/>
                <w:lang w:val="fr-BE"/>
              </w:rPr>
            </w:pPr>
          </w:p>
        </w:tc>
        <w:tc>
          <w:tcPr>
            <w:tcW w:w="0" w:type="auto"/>
            <w:shd w:val="clear" w:color="auto" w:fill="auto"/>
          </w:tcPr>
          <w:p w14:paraId="747A7ADC" w14:textId="77777777" w:rsidR="008C5CFA" w:rsidRPr="00601E29" w:rsidRDefault="008C5CFA" w:rsidP="00300A01">
            <w:pPr>
              <w:spacing w:before="0" w:after="0"/>
              <w:jc w:val="center"/>
              <w:rPr>
                <w:b/>
                <w:sz w:val="10"/>
                <w:szCs w:val="10"/>
                <w:lang w:val="fr-BE"/>
              </w:rPr>
            </w:pPr>
          </w:p>
        </w:tc>
        <w:tc>
          <w:tcPr>
            <w:tcW w:w="0" w:type="auto"/>
            <w:shd w:val="clear" w:color="auto" w:fill="auto"/>
          </w:tcPr>
          <w:p w14:paraId="19C851B2" w14:textId="77777777" w:rsidR="008C5CFA" w:rsidRPr="00601E29" w:rsidRDefault="008C5CFA" w:rsidP="00300A01">
            <w:pPr>
              <w:spacing w:before="0" w:after="0"/>
              <w:jc w:val="center"/>
              <w:rPr>
                <w:b/>
                <w:sz w:val="10"/>
                <w:szCs w:val="10"/>
                <w:lang w:val="fr-BE"/>
              </w:rPr>
            </w:pPr>
          </w:p>
        </w:tc>
        <w:tc>
          <w:tcPr>
            <w:tcW w:w="0" w:type="auto"/>
            <w:gridSpan w:val="3"/>
            <w:shd w:val="clear" w:color="auto" w:fill="auto"/>
          </w:tcPr>
          <w:p w14:paraId="34F2D23C" w14:textId="77777777" w:rsidR="008C5CFA" w:rsidRPr="00601E29" w:rsidRDefault="00E82A60" w:rsidP="00300A01">
            <w:pPr>
              <w:spacing w:before="0" w:after="0"/>
              <w:jc w:val="center"/>
              <w:rPr>
                <w:b/>
                <w:sz w:val="10"/>
                <w:szCs w:val="10"/>
                <w:lang w:val="fr-BE"/>
              </w:rPr>
            </w:pPr>
            <w:r w:rsidRPr="00601E29">
              <w:rPr>
                <w:b/>
                <w:noProof/>
                <w:sz w:val="10"/>
                <w:szCs w:val="10"/>
                <w:lang w:val="fr-BE"/>
              </w:rPr>
              <w:t>Łącznie</w:t>
            </w:r>
          </w:p>
        </w:tc>
        <w:tc>
          <w:tcPr>
            <w:tcW w:w="0" w:type="auto"/>
            <w:gridSpan w:val="3"/>
          </w:tcPr>
          <w:p w14:paraId="627826F4" w14:textId="77777777" w:rsidR="008C5CFA" w:rsidRPr="00601E29" w:rsidRDefault="00E82A60" w:rsidP="00300A01">
            <w:pPr>
              <w:spacing w:before="0" w:after="0"/>
              <w:jc w:val="center"/>
              <w:rPr>
                <w:b/>
                <w:sz w:val="10"/>
                <w:szCs w:val="10"/>
                <w:lang w:val="fr-BE"/>
              </w:rPr>
            </w:pPr>
            <w:r w:rsidRPr="00601E29">
              <w:rPr>
                <w:b/>
                <w:noProof/>
                <w:sz w:val="10"/>
                <w:szCs w:val="10"/>
                <w:lang w:val="fr-BE"/>
              </w:rPr>
              <w:t>Łącznie w roku</w:t>
            </w:r>
          </w:p>
        </w:tc>
        <w:tc>
          <w:tcPr>
            <w:tcW w:w="0" w:type="auto"/>
          </w:tcPr>
          <w:p w14:paraId="367B52B5" w14:textId="77777777" w:rsidR="008C5CFA" w:rsidRPr="00601E29" w:rsidRDefault="00E82A60" w:rsidP="00300A01">
            <w:pPr>
              <w:spacing w:before="0" w:after="0"/>
              <w:jc w:val="center"/>
              <w:rPr>
                <w:b/>
                <w:sz w:val="10"/>
                <w:szCs w:val="10"/>
                <w:lang w:val="fr-BE"/>
              </w:rPr>
            </w:pPr>
            <w:r w:rsidRPr="00601E29">
              <w:rPr>
                <w:b/>
                <w:noProof/>
                <w:sz w:val="10"/>
                <w:szCs w:val="10"/>
                <w:lang w:val="fr-BE"/>
              </w:rPr>
              <w:t>Jakościowe</w:t>
            </w:r>
          </w:p>
        </w:tc>
      </w:tr>
      <w:tr w:rsidR="006B2EC1" w14:paraId="1B5B5EEE" w14:textId="77777777" w:rsidTr="0047688D">
        <w:trPr>
          <w:tblHeader/>
        </w:trPr>
        <w:tc>
          <w:tcPr>
            <w:tcW w:w="0" w:type="auto"/>
            <w:shd w:val="clear" w:color="auto" w:fill="auto"/>
          </w:tcPr>
          <w:p w14:paraId="64507A2E" w14:textId="77777777" w:rsidR="008C5CFA" w:rsidRPr="00601E29" w:rsidRDefault="008C5CFA" w:rsidP="00300A01">
            <w:pPr>
              <w:spacing w:before="0" w:after="0"/>
              <w:rPr>
                <w:b/>
                <w:sz w:val="10"/>
                <w:szCs w:val="10"/>
                <w:lang w:val="fr-BE"/>
              </w:rPr>
            </w:pPr>
          </w:p>
        </w:tc>
        <w:tc>
          <w:tcPr>
            <w:tcW w:w="0" w:type="auto"/>
            <w:shd w:val="clear" w:color="auto" w:fill="auto"/>
          </w:tcPr>
          <w:p w14:paraId="7E6C14F8" w14:textId="77777777" w:rsidR="008C5CFA" w:rsidRPr="00601E29" w:rsidRDefault="008C5CFA" w:rsidP="00300A01">
            <w:pPr>
              <w:spacing w:before="0" w:after="0"/>
              <w:rPr>
                <w:b/>
                <w:sz w:val="10"/>
                <w:szCs w:val="10"/>
                <w:lang w:val="fr-BE"/>
              </w:rPr>
            </w:pPr>
          </w:p>
        </w:tc>
        <w:tc>
          <w:tcPr>
            <w:tcW w:w="0" w:type="auto"/>
            <w:shd w:val="clear" w:color="auto" w:fill="auto"/>
          </w:tcPr>
          <w:p w14:paraId="136D5B44" w14:textId="77777777" w:rsidR="008C5CFA" w:rsidRPr="00601E29" w:rsidRDefault="008C5CFA" w:rsidP="00300A01">
            <w:pPr>
              <w:spacing w:before="0" w:after="0"/>
              <w:rPr>
                <w:b/>
                <w:sz w:val="10"/>
                <w:szCs w:val="10"/>
                <w:lang w:val="fr-BE"/>
              </w:rPr>
            </w:pPr>
          </w:p>
        </w:tc>
        <w:tc>
          <w:tcPr>
            <w:tcW w:w="0" w:type="auto"/>
            <w:shd w:val="clear" w:color="auto" w:fill="auto"/>
          </w:tcPr>
          <w:p w14:paraId="65530C34" w14:textId="77777777" w:rsidR="008C5CFA" w:rsidRPr="00601E29" w:rsidRDefault="008C5CFA" w:rsidP="00300A01">
            <w:pPr>
              <w:spacing w:before="0" w:after="0"/>
              <w:rPr>
                <w:b/>
                <w:sz w:val="10"/>
                <w:szCs w:val="10"/>
                <w:lang w:val="fr-BE"/>
              </w:rPr>
            </w:pPr>
          </w:p>
        </w:tc>
        <w:tc>
          <w:tcPr>
            <w:tcW w:w="0" w:type="auto"/>
            <w:shd w:val="clear" w:color="auto" w:fill="auto"/>
          </w:tcPr>
          <w:p w14:paraId="3E081230" w14:textId="77777777" w:rsidR="008C5CFA" w:rsidRPr="00601E29" w:rsidRDefault="008C5CFA" w:rsidP="00300A01">
            <w:pPr>
              <w:spacing w:before="0" w:after="0"/>
              <w:rPr>
                <w:b/>
                <w:sz w:val="10"/>
                <w:szCs w:val="10"/>
                <w:lang w:val="fr-BE"/>
              </w:rPr>
            </w:pPr>
          </w:p>
        </w:tc>
        <w:tc>
          <w:tcPr>
            <w:tcW w:w="0" w:type="auto"/>
            <w:shd w:val="clear" w:color="auto" w:fill="auto"/>
          </w:tcPr>
          <w:p w14:paraId="56AE9979" w14:textId="77777777" w:rsidR="008C5CFA" w:rsidRPr="00601E29" w:rsidRDefault="008C5CFA" w:rsidP="00300A01">
            <w:pPr>
              <w:spacing w:before="0" w:after="0"/>
              <w:rPr>
                <w:b/>
                <w:sz w:val="10"/>
                <w:szCs w:val="10"/>
                <w:lang w:val="fr-BE"/>
              </w:rPr>
            </w:pPr>
          </w:p>
        </w:tc>
        <w:tc>
          <w:tcPr>
            <w:tcW w:w="0" w:type="auto"/>
            <w:shd w:val="clear" w:color="auto" w:fill="auto"/>
          </w:tcPr>
          <w:p w14:paraId="03428F3A" w14:textId="77777777" w:rsidR="008C5CFA" w:rsidRPr="00601E29" w:rsidRDefault="00E82A60" w:rsidP="00300A01">
            <w:pPr>
              <w:spacing w:before="0" w:after="0"/>
              <w:jc w:val="center"/>
              <w:rPr>
                <w:b/>
                <w:sz w:val="10"/>
                <w:szCs w:val="10"/>
                <w:lang w:val="fr-BE"/>
              </w:rPr>
            </w:pPr>
            <w:r w:rsidRPr="00601E29">
              <w:rPr>
                <w:b/>
                <w:noProof/>
                <w:sz w:val="10"/>
                <w:szCs w:val="10"/>
                <w:lang w:val="fr-BE"/>
              </w:rPr>
              <w:t>Ogółem</w:t>
            </w:r>
          </w:p>
        </w:tc>
        <w:tc>
          <w:tcPr>
            <w:tcW w:w="0" w:type="auto"/>
            <w:shd w:val="clear" w:color="auto" w:fill="auto"/>
          </w:tcPr>
          <w:p w14:paraId="2B7D5680" w14:textId="77777777" w:rsidR="008C5CFA" w:rsidRPr="00601E29" w:rsidRDefault="00E82A60" w:rsidP="00300A01">
            <w:pPr>
              <w:spacing w:before="0" w:after="0"/>
              <w:jc w:val="center"/>
              <w:rPr>
                <w:b/>
                <w:sz w:val="10"/>
                <w:szCs w:val="10"/>
                <w:lang w:val="fr-BE"/>
              </w:rPr>
            </w:pPr>
            <w:r w:rsidRPr="00601E29">
              <w:rPr>
                <w:b/>
                <w:noProof/>
                <w:sz w:val="10"/>
                <w:szCs w:val="10"/>
                <w:lang w:val="fr-BE"/>
              </w:rPr>
              <w:t>Mężczyźni</w:t>
            </w:r>
          </w:p>
        </w:tc>
        <w:tc>
          <w:tcPr>
            <w:tcW w:w="0" w:type="auto"/>
            <w:shd w:val="clear" w:color="auto" w:fill="auto"/>
          </w:tcPr>
          <w:p w14:paraId="026C2959" w14:textId="77777777" w:rsidR="008C5CFA" w:rsidRPr="00601E29" w:rsidRDefault="00E82A60" w:rsidP="00300A01">
            <w:pPr>
              <w:spacing w:before="0" w:after="0"/>
              <w:jc w:val="center"/>
              <w:rPr>
                <w:b/>
                <w:sz w:val="10"/>
                <w:szCs w:val="10"/>
                <w:lang w:val="fr-BE"/>
              </w:rPr>
            </w:pPr>
            <w:r w:rsidRPr="00601E29">
              <w:rPr>
                <w:b/>
                <w:noProof/>
                <w:sz w:val="10"/>
                <w:szCs w:val="10"/>
                <w:lang w:val="fr-BE"/>
              </w:rPr>
              <w:t>Kobiety</w:t>
            </w:r>
          </w:p>
        </w:tc>
        <w:tc>
          <w:tcPr>
            <w:tcW w:w="0" w:type="auto"/>
            <w:shd w:val="clear" w:color="auto" w:fill="auto"/>
          </w:tcPr>
          <w:p w14:paraId="0A7AF255" w14:textId="77777777" w:rsidR="008C5CFA" w:rsidRPr="00601E29" w:rsidRDefault="00E82A60" w:rsidP="00300A01">
            <w:pPr>
              <w:spacing w:before="0" w:after="0"/>
              <w:jc w:val="center"/>
              <w:rPr>
                <w:b/>
                <w:sz w:val="10"/>
                <w:szCs w:val="10"/>
                <w:lang w:val="fr-BE"/>
              </w:rPr>
            </w:pPr>
            <w:r w:rsidRPr="00601E29">
              <w:rPr>
                <w:b/>
                <w:noProof/>
                <w:sz w:val="10"/>
                <w:szCs w:val="10"/>
                <w:lang w:val="fr-BE"/>
              </w:rPr>
              <w:t>Ogółem</w:t>
            </w:r>
          </w:p>
        </w:tc>
        <w:tc>
          <w:tcPr>
            <w:tcW w:w="0" w:type="auto"/>
            <w:shd w:val="clear" w:color="auto" w:fill="auto"/>
          </w:tcPr>
          <w:p w14:paraId="29AF66CC" w14:textId="77777777" w:rsidR="008C5CFA" w:rsidRPr="00601E29" w:rsidRDefault="00E82A60" w:rsidP="00300A01">
            <w:pPr>
              <w:spacing w:before="0" w:after="0"/>
              <w:jc w:val="center"/>
              <w:rPr>
                <w:b/>
                <w:sz w:val="10"/>
                <w:szCs w:val="10"/>
                <w:lang w:val="fr-BE"/>
              </w:rPr>
            </w:pPr>
            <w:r w:rsidRPr="00601E29">
              <w:rPr>
                <w:b/>
                <w:noProof/>
                <w:sz w:val="10"/>
                <w:szCs w:val="10"/>
                <w:lang w:val="fr-BE"/>
              </w:rPr>
              <w:t>Mężczyźni</w:t>
            </w:r>
          </w:p>
        </w:tc>
        <w:tc>
          <w:tcPr>
            <w:tcW w:w="0" w:type="auto"/>
            <w:shd w:val="clear" w:color="auto" w:fill="auto"/>
          </w:tcPr>
          <w:p w14:paraId="49076841" w14:textId="77777777" w:rsidR="008C5CFA" w:rsidRPr="00601E29" w:rsidRDefault="00E82A60" w:rsidP="00300A01">
            <w:pPr>
              <w:spacing w:before="0" w:after="0"/>
              <w:jc w:val="center"/>
              <w:rPr>
                <w:b/>
                <w:sz w:val="10"/>
                <w:szCs w:val="10"/>
                <w:lang w:val="fr-BE"/>
              </w:rPr>
            </w:pPr>
            <w:r w:rsidRPr="00601E29">
              <w:rPr>
                <w:b/>
                <w:noProof/>
                <w:sz w:val="10"/>
                <w:szCs w:val="10"/>
                <w:lang w:val="fr-BE"/>
              </w:rPr>
              <w:t>Kobiety</w:t>
            </w:r>
          </w:p>
        </w:tc>
        <w:tc>
          <w:tcPr>
            <w:tcW w:w="0" w:type="auto"/>
            <w:shd w:val="clear" w:color="auto" w:fill="auto"/>
          </w:tcPr>
          <w:p w14:paraId="3C37737F" w14:textId="77777777" w:rsidR="008C5CFA" w:rsidRPr="00601E29" w:rsidRDefault="00E82A60" w:rsidP="00300A01">
            <w:pPr>
              <w:spacing w:before="0" w:after="0"/>
              <w:jc w:val="center"/>
              <w:rPr>
                <w:b/>
                <w:sz w:val="10"/>
                <w:szCs w:val="10"/>
                <w:lang w:val="fr-BE"/>
              </w:rPr>
            </w:pPr>
            <w:r w:rsidRPr="00601E29">
              <w:rPr>
                <w:b/>
                <w:noProof/>
                <w:sz w:val="10"/>
                <w:szCs w:val="10"/>
                <w:lang w:val="fr-BE"/>
              </w:rPr>
              <w:t>Ogółem</w:t>
            </w:r>
          </w:p>
        </w:tc>
        <w:tc>
          <w:tcPr>
            <w:tcW w:w="0" w:type="auto"/>
            <w:shd w:val="clear" w:color="auto" w:fill="auto"/>
          </w:tcPr>
          <w:p w14:paraId="3656A442" w14:textId="77777777" w:rsidR="008C5CFA" w:rsidRPr="00601E29" w:rsidRDefault="00E82A60" w:rsidP="00300A01">
            <w:pPr>
              <w:spacing w:before="0" w:after="0"/>
              <w:jc w:val="center"/>
              <w:rPr>
                <w:b/>
                <w:sz w:val="10"/>
                <w:szCs w:val="10"/>
                <w:lang w:val="fr-BE"/>
              </w:rPr>
            </w:pPr>
            <w:r w:rsidRPr="00601E29">
              <w:rPr>
                <w:b/>
                <w:noProof/>
                <w:sz w:val="10"/>
                <w:szCs w:val="10"/>
                <w:lang w:val="fr-BE"/>
              </w:rPr>
              <w:t>Mężczyźni</w:t>
            </w:r>
          </w:p>
        </w:tc>
        <w:tc>
          <w:tcPr>
            <w:tcW w:w="0" w:type="auto"/>
            <w:shd w:val="clear" w:color="auto" w:fill="auto"/>
          </w:tcPr>
          <w:p w14:paraId="34E838A4" w14:textId="77777777" w:rsidR="008C5CFA" w:rsidRPr="00601E29" w:rsidRDefault="00E82A60" w:rsidP="00300A01">
            <w:pPr>
              <w:spacing w:before="0" w:after="0"/>
              <w:jc w:val="center"/>
              <w:rPr>
                <w:b/>
                <w:sz w:val="10"/>
                <w:szCs w:val="10"/>
                <w:lang w:val="fr-BE"/>
              </w:rPr>
            </w:pPr>
            <w:r w:rsidRPr="00601E29">
              <w:rPr>
                <w:b/>
                <w:noProof/>
                <w:sz w:val="10"/>
                <w:szCs w:val="10"/>
                <w:lang w:val="fr-BE"/>
              </w:rPr>
              <w:t>Kobiety</w:t>
            </w:r>
          </w:p>
        </w:tc>
        <w:tc>
          <w:tcPr>
            <w:tcW w:w="0" w:type="auto"/>
          </w:tcPr>
          <w:p w14:paraId="4BD1BC0D" w14:textId="77777777" w:rsidR="008C5CFA" w:rsidRPr="00601E29" w:rsidRDefault="00E82A60" w:rsidP="00300A01">
            <w:pPr>
              <w:spacing w:before="0" w:after="0"/>
              <w:jc w:val="center"/>
              <w:rPr>
                <w:b/>
                <w:sz w:val="10"/>
                <w:szCs w:val="10"/>
                <w:lang w:val="fr-BE"/>
              </w:rPr>
            </w:pPr>
            <w:r w:rsidRPr="00601E29">
              <w:rPr>
                <w:b/>
                <w:noProof/>
                <w:sz w:val="10"/>
                <w:szCs w:val="10"/>
                <w:lang w:val="fr-BE"/>
              </w:rPr>
              <w:t>Ogółem</w:t>
            </w:r>
          </w:p>
        </w:tc>
        <w:tc>
          <w:tcPr>
            <w:tcW w:w="0" w:type="auto"/>
            <w:shd w:val="clear" w:color="auto" w:fill="auto"/>
          </w:tcPr>
          <w:p w14:paraId="48281BB5" w14:textId="77777777" w:rsidR="008C5CFA" w:rsidRPr="00601E29" w:rsidRDefault="00E82A60" w:rsidP="00300A01">
            <w:pPr>
              <w:spacing w:before="0" w:after="0"/>
              <w:jc w:val="center"/>
              <w:rPr>
                <w:b/>
                <w:sz w:val="10"/>
                <w:szCs w:val="10"/>
                <w:lang w:val="fr-BE"/>
              </w:rPr>
            </w:pPr>
            <w:r w:rsidRPr="00601E29">
              <w:rPr>
                <w:b/>
                <w:noProof/>
                <w:sz w:val="10"/>
                <w:szCs w:val="10"/>
                <w:lang w:val="fr-BE"/>
              </w:rPr>
              <w:t>Mężczyźni</w:t>
            </w:r>
          </w:p>
        </w:tc>
        <w:tc>
          <w:tcPr>
            <w:tcW w:w="0" w:type="auto"/>
            <w:shd w:val="clear" w:color="auto" w:fill="auto"/>
          </w:tcPr>
          <w:p w14:paraId="45BBD88D" w14:textId="77777777" w:rsidR="008C5CFA" w:rsidRPr="00601E29" w:rsidRDefault="00E82A60" w:rsidP="00300A01">
            <w:pPr>
              <w:spacing w:before="0" w:after="0"/>
              <w:jc w:val="center"/>
              <w:rPr>
                <w:b/>
                <w:sz w:val="10"/>
                <w:szCs w:val="10"/>
                <w:lang w:val="fr-BE"/>
              </w:rPr>
            </w:pPr>
            <w:r w:rsidRPr="00601E29">
              <w:rPr>
                <w:b/>
                <w:noProof/>
                <w:sz w:val="10"/>
                <w:szCs w:val="10"/>
                <w:lang w:val="fr-BE"/>
              </w:rPr>
              <w:t>Kobiety</w:t>
            </w:r>
          </w:p>
        </w:tc>
        <w:tc>
          <w:tcPr>
            <w:tcW w:w="0" w:type="auto"/>
          </w:tcPr>
          <w:p w14:paraId="526F8558" w14:textId="77777777" w:rsidR="008C5CFA" w:rsidRPr="00601E29" w:rsidRDefault="008C5CFA" w:rsidP="00300A01">
            <w:pPr>
              <w:spacing w:before="0" w:after="0"/>
              <w:jc w:val="center"/>
              <w:rPr>
                <w:b/>
                <w:sz w:val="10"/>
                <w:szCs w:val="10"/>
                <w:lang w:val="fr-BE"/>
              </w:rPr>
            </w:pPr>
          </w:p>
        </w:tc>
      </w:tr>
      <w:tr w:rsidR="006B2EC1" w14:paraId="633D9B7A" w14:textId="77777777" w:rsidTr="0047688D">
        <w:tc>
          <w:tcPr>
            <w:tcW w:w="0" w:type="auto"/>
            <w:shd w:val="clear" w:color="auto" w:fill="auto"/>
          </w:tcPr>
          <w:p w14:paraId="1B55A1C3" w14:textId="77777777" w:rsidR="008C5CFA" w:rsidRPr="00601E29" w:rsidRDefault="00E82A60" w:rsidP="00300A01">
            <w:pPr>
              <w:spacing w:before="0" w:after="0"/>
              <w:rPr>
                <w:sz w:val="10"/>
                <w:szCs w:val="10"/>
                <w:lang w:val="fr-BE"/>
              </w:rPr>
            </w:pPr>
            <w:r w:rsidRPr="00601E29">
              <w:rPr>
                <w:noProof/>
                <w:sz w:val="10"/>
                <w:szCs w:val="10"/>
                <w:lang w:val="fr-BE"/>
              </w:rPr>
              <w:t>014</w:t>
            </w:r>
          </w:p>
        </w:tc>
        <w:tc>
          <w:tcPr>
            <w:tcW w:w="0" w:type="auto"/>
            <w:shd w:val="clear" w:color="auto" w:fill="auto"/>
          </w:tcPr>
          <w:p w14:paraId="3F2B6C63" w14:textId="77777777" w:rsidR="008C5CFA" w:rsidRPr="00601E29" w:rsidRDefault="00E82A60" w:rsidP="00300A01">
            <w:pPr>
              <w:spacing w:before="0" w:after="0"/>
              <w:rPr>
                <w:sz w:val="10"/>
                <w:szCs w:val="10"/>
                <w:lang w:val="fr-BE"/>
              </w:rPr>
            </w:pPr>
            <w:r w:rsidRPr="00601E29">
              <w:rPr>
                <w:noProof/>
                <w:sz w:val="10"/>
                <w:szCs w:val="10"/>
                <w:lang w:val="fr-BE"/>
              </w:rPr>
              <w:t>Liczba nauczycieli kształcenia zawodowego oraz instruktorów praktycznej nauki zawodu, którzy uzyskali kwalifikacje lub nabyli kompetencje po opuszczeniu programu</w:t>
            </w:r>
          </w:p>
        </w:tc>
        <w:tc>
          <w:tcPr>
            <w:tcW w:w="0" w:type="auto"/>
            <w:shd w:val="clear" w:color="auto" w:fill="auto"/>
          </w:tcPr>
          <w:p w14:paraId="7FE9F4CB" w14:textId="77777777" w:rsidR="008C5CFA" w:rsidRPr="00601E29" w:rsidRDefault="00E82A60" w:rsidP="00300A01">
            <w:pPr>
              <w:spacing w:before="0" w:after="0"/>
              <w:rPr>
                <w:sz w:val="10"/>
                <w:szCs w:val="10"/>
                <w:lang w:val="fr-BE"/>
              </w:rPr>
            </w:pPr>
            <w:r w:rsidRPr="00601E29">
              <w:rPr>
                <w:noProof/>
                <w:sz w:val="10"/>
                <w:szCs w:val="10"/>
                <w:lang w:val="fr-BE"/>
              </w:rPr>
              <w:t>Słabiej rozwinięte</w:t>
            </w:r>
          </w:p>
        </w:tc>
        <w:tc>
          <w:tcPr>
            <w:tcW w:w="0" w:type="auto"/>
            <w:shd w:val="clear" w:color="auto" w:fill="auto"/>
          </w:tcPr>
          <w:p w14:paraId="4D60FFFD" w14:textId="77777777" w:rsidR="008C5CFA" w:rsidRPr="00601E29" w:rsidRDefault="00E82A60" w:rsidP="00300A01">
            <w:pPr>
              <w:spacing w:before="0" w:after="0"/>
              <w:rPr>
                <w:sz w:val="10"/>
                <w:szCs w:val="10"/>
                <w:lang w:val="fr-BE"/>
              </w:rPr>
            </w:pPr>
            <w:r w:rsidRPr="00785F4A">
              <w:rPr>
                <w:noProof/>
                <w:sz w:val="10"/>
                <w:szCs w:val="10"/>
                <w:lang w:val="fr-BE"/>
              </w:rPr>
              <w:t>Liczba</w:t>
            </w:r>
            <w:r w:rsidR="00CE4603">
              <w:rPr>
                <w:sz w:val="10"/>
                <w:szCs w:val="10"/>
                <w:lang w:val="fr-BE"/>
              </w:rPr>
              <w:t xml:space="preserve"> </w:t>
            </w:r>
            <w:r w:rsidR="00CE4603">
              <w:rPr>
                <w:noProof/>
                <w:sz w:val="10"/>
                <w:szCs w:val="10"/>
                <w:lang w:val="fr-BE"/>
              </w:rPr>
              <w:t>(osoba)</w:t>
            </w:r>
          </w:p>
        </w:tc>
        <w:tc>
          <w:tcPr>
            <w:tcW w:w="0" w:type="auto"/>
            <w:shd w:val="clear" w:color="auto" w:fill="auto"/>
          </w:tcPr>
          <w:p w14:paraId="1D496AA6" w14:textId="77777777" w:rsidR="008C5CFA" w:rsidRPr="00601E29" w:rsidRDefault="00E82A60" w:rsidP="00300A01">
            <w:pPr>
              <w:spacing w:before="0" w:after="0"/>
              <w:rPr>
                <w:sz w:val="10"/>
                <w:szCs w:val="10"/>
                <w:lang w:val="fr-BE"/>
              </w:rPr>
            </w:pPr>
            <w:r w:rsidRPr="00601E29">
              <w:rPr>
                <w:sz w:val="10"/>
                <w:szCs w:val="10"/>
                <w:lang w:val="fr-BE"/>
              </w:rPr>
              <w:t xml:space="preserve"> </w:t>
            </w:r>
          </w:p>
        </w:tc>
        <w:tc>
          <w:tcPr>
            <w:tcW w:w="0" w:type="auto"/>
            <w:shd w:val="clear" w:color="auto" w:fill="auto"/>
          </w:tcPr>
          <w:p w14:paraId="248D1EB3" w14:textId="77777777" w:rsidR="008C5CFA" w:rsidRPr="00601E29" w:rsidRDefault="00E82A60" w:rsidP="00300A01">
            <w:pPr>
              <w:spacing w:before="0" w:after="0"/>
              <w:jc w:val="center"/>
              <w:rPr>
                <w:sz w:val="10"/>
                <w:szCs w:val="10"/>
                <w:lang w:val="fr-BE"/>
              </w:rPr>
            </w:pPr>
            <w:r w:rsidRPr="00601E29">
              <w:rPr>
                <w:noProof/>
                <w:sz w:val="10"/>
                <w:szCs w:val="10"/>
                <w:lang w:val="fr-BE"/>
              </w:rPr>
              <w:t>Współczynnik</w:t>
            </w:r>
          </w:p>
        </w:tc>
        <w:tc>
          <w:tcPr>
            <w:tcW w:w="0" w:type="auto"/>
            <w:shd w:val="clear" w:color="auto" w:fill="auto"/>
          </w:tcPr>
          <w:p w14:paraId="54DF7BF0" w14:textId="77777777" w:rsidR="008C5CFA" w:rsidRPr="00601E29" w:rsidRDefault="00E82A60" w:rsidP="00300A01">
            <w:pPr>
              <w:spacing w:before="0" w:after="0"/>
              <w:jc w:val="right"/>
              <w:rPr>
                <w:sz w:val="10"/>
                <w:szCs w:val="10"/>
                <w:lang w:val="fr-BE"/>
              </w:rPr>
            </w:pPr>
            <w:r w:rsidRPr="00601E29">
              <w:rPr>
                <w:noProof/>
                <w:sz w:val="10"/>
                <w:szCs w:val="10"/>
                <w:lang w:val="fr-BE"/>
              </w:rPr>
              <w:t>80,00</w:t>
            </w:r>
            <w:r>
              <w:rPr>
                <w:noProof/>
                <w:sz w:val="10"/>
                <w:szCs w:val="10"/>
                <w:lang w:val="fr-BE"/>
              </w:rPr>
              <w:t>%</w:t>
            </w:r>
          </w:p>
        </w:tc>
        <w:tc>
          <w:tcPr>
            <w:tcW w:w="0" w:type="auto"/>
            <w:shd w:val="clear" w:color="auto" w:fill="auto"/>
          </w:tcPr>
          <w:p w14:paraId="1CA287E5" w14:textId="77777777" w:rsidR="008C5CFA" w:rsidRPr="00601E29" w:rsidRDefault="008C5CFA" w:rsidP="00300A01">
            <w:pPr>
              <w:spacing w:before="0" w:after="0"/>
              <w:jc w:val="right"/>
              <w:rPr>
                <w:sz w:val="10"/>
                <w:szCs w:val="10"/>
                <w:lang w:val="fr-BE"/>
              </w:rPr>
            </w:pPr>
          </w:p>
        </w:tc>
        <w:tc>
          <w:tcPr>
            <w:tcW w:w="0" w:type="auto"/>
            <w:shd w:val="clear" w:color="auto" w:fill="auto"/>
          </w:tcPr>
          <w:p w14:paraId="224430A3" w14:textId="77777777" w:rsidR="008C5CFA" w:rsidRPr="00601E29" w:rsidRDefault="008C5CFA" w:rsidP="00300A01">
            <w:pPr>
              <w:spacing w:before="0" w:after="0"/>
              <w:jc w:val="right"/>
              <w:rPr>
                <w:sz w:val="10"/>
                <w:szCs w:val="10"/>
                <w:lang w:val="fr-BE"/>
              </w:rPr>
            </w:pPr>
          </w:p>
        </w:tc>
        <w:tc>
          <w:tcPr>
            <w:tcW w:w="0" w:type="auto"/>
            <w:shd w:val="clear" w:color="auto" w:fill="auto"/>
          </w:tcPr>
          <w:p w14:paraId="2D0AABE4" w14:textId="77777777" w:rsidR="008C5CFA" w:rsidRPr="00601E29" w:rsidRDefault="00E82A60" w:rsidP="00300A01">
            <w:pPr>
              <w:spacing w:before="0" w:after="0"/>
              <w:jc w:val="right"/>
              <w:rPr>
                <w:sz w:val="10"/>
                <w:szCs w:val="10"/>
                <w:lang w:val="fr-BE"/>
              </w:rPr>
            </w:pPr>
            <w:r>
              <w:rPr>
                <w:noProof/>
                <w:sz w:val="10"/>
                <w:szCs w:val="10"/>
                <w:lang w:val="fr-BE"/>
              </w:rPr>
              <w:t>0,91</w:t>
            </w:r>
          </w:p>
        </w:tc>
        <w:tc>
          <w:tcPr>
            <w:tcW w:w="0" w:type="auto"/>
            <w:shd w:val="clear" w:color="auto" w:fill="auto"/>
          </w:tcPr>
          <w:p w14:paraId="0D711908" w14:textId="77777777" w:rsidR="008C5CFA" w:rsidRPr="00601E29" w:rsidRDefault="008C5CFA" w:rsidP="00300A01">
            <w:pPr>
              <w:spacing w:before="0" w:after="0"/>
              <w:jc w:val="right"/>
              <w:rPr>
                <w:sz w:val="10"/>
                <w:szCs w:val="10"/>
                <w:lang w:val="fr-BE"/>
              </w:rPr>
            </w:pPr>
          </w:p>
        </w:tc>
        <w:tc>
          <w:tcPr>
            <w:tcW w:w="0" w:type="auto"/>
            <w:shd w:val="clear" w:color="auto" w:fill="auto"/>
          </w:tcPr>
          <w:p w14:paraId="46D9FB28" w14:textId="77777777" w:rsidR="008C5CFA" w:rsidRPr="00601E29" w:rsidRDefault="008C5CFA" w:rsidP="00300A01">
            <w:pPr>
              <w:spacing w:before="0" w:after="0"/>
              <w:jc w:val="right"/>
              <w:rPr>
                <w:sz w:val="10"/>
                <w:szCs w:val="10"/>
                <w:lang w:val="fr-BE"/>
              </w:rPr>
            </w:pPr>
          </w:p>
        </w:tc>
        <w:tc>
          <w:tcPr>
            <w:tcW w:w="0" w:type="auto"/>
            <w:shd w:val="clear" w:color="auto" w:fill="auto"/>
          </w:tcPr>
          <w:p w14:paraId="338510AA" w14:textId="77777777" w:rsidR="008C5CFA" w:rsidRPr="00601E29" w:rsidRDefault="00E82A60" w:rsidP="00300A01">
            <w:pPr>
              <w:spacing w:before="0" w:after="0"/>
              <w:jc w:val="right"/>
              <w:rPr>
                <w:sz w:val="10"/>
                <w:szCs w:val="10"/>
                <w:lang w:val="fr-BE"/>
              </w:rPr>
            </w:pPr>
            <w:r w:rsidRPr="00601E29">
              <w:rPr>
                <w:noProof/>
                <w:sz w:val="10"/>
                <w:szCs w:val="10"/>
                <w:lang w:val="fr-BE"/>
              </w:rPr>
              <w:t>401,00</w:t>
            </w:r>
          </w:p>
        </w:tc>
        <w:tc>
          <w:tcPr>
            <w:tcW w:w="0" w:type="auto"/>
            <w:shd w:val="clear" w:color="auto" w:fill="auto"/>
          </w:tcPr>
          <w:p w14:paraId="12DD0926"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shd w:val="clear" w:color="auto" w:fill="auto"/>
          </w:tcPr>
          <w:p w14:paraId="44B4C3E8"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65CC7199" w14:textId="77777777" w:rsidR="008C5CFA" w:rsidRPr="00601E29" w:rsidRDefault="00E82A60" w:rsidP="00300A01">
            <w:pPr>
              <w:spacing w:before="0" w:after="0"/>
              <w:jc w:val="right"/>
              <w:rPr>
                <w:sz w:val="10"/>
                <w:szCs w:val="10"/>
                <w:lang w:val="fr-BE"/>
              </w:rPr>
            </w:pPr>
            <w:r w:rsidRPr="00601E29">
              <w:rPr>
                <w:noProof/>
                <w:sz w:val="10"/>
                <w:szCs w:val="10"/>
                <w:lang w:val="fr-BE"/>
              </w:rPr>
              <w:t>303,00</w:t>
            </w:r>
          </w:p>
        </w:tc>
        <w:tc>
          <w:tcPr>
            <w:tcW w:w="0" w:type="auto"/>
            <w:shd w:val="clear" w:color="auto" w:fill="auto"/>
          </w:tcPr>
          <w:p w14:paraId="6F2EDE02"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shd w:val="clear" w:color="auto" w:fill="auto"/>
          </w:tcPr>
          <w:p w14:paraId="7407F45A"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703603D3" w14:textId="77777777" w:rsidR="008C5CFA" w:rsidRPr="00601E29" w:rsidRDefault="008C5CFA" w:rsidP="00300A01">
            <w:pPr>
              <w:spacing w:before="0" w:after="0"/>
              <w:jc w:val="right"/>
              <w:rPr>
                <w:sz w:val="10"/>
                <w:szCs w:val="10"/>
                <w:lang w:val="fr-BE"/>
              </w:rPr>
            </w:pPr>
          </w:p>
        </w:tc>
      </w:tr>
      <w:tr w:rsidR="006B2EC1" w14:paraId="3DAEB9C6" w14:textId="77777777" w:rsidTr="0047688D">
        <w:tc>
          <w:tcPr>
            <w:tcW w:w="0" w:type="auto"/>
            <w:shd w:val="clear" w:color="auto" w:fill="auto"/>
          </w:tcPr>
          <w:p w14:paraId="4D8291D4" w14:textId="77777777" w:rsidR="008C5CFA" w:rsidRPr="00601E29" w:rsidRDefault="00E82A60" w:rsidP="00300A01">
            <w:pPr>
              <w:spacing w:before="0" w:after="0"/>
              <w:rPr>
                <w:sz w:val="10"/>
                <w:szCs w:val="10"/>
                <w:lang w:val="fr-BE"/>
              </w:rPr>
            </w:pPr>
            <w:r w:rsidRPr="00601E29">
              <w:rPr>
                <w:noProof/>
                <w:sz w:val="10"/>
                <w:szCs w:val="10"/>
                <w:lang w:val="fr-BE"/>
              </w:rPr>
              <w:t>106</w:t>
            </w:r>
          </w:p>
        </w:tc>
        <w:tc>
          <w:tcPr>
            <w:tcW w:w="0" w:type="auto"/>
            <w:shd w:val="clear" w:color="auto" w:fill="auto"/>
          </w:tcPr>
          <w:p w14:paraId="25214B2F" w14:textId="77777777" w:rsidR="008C5CFA" w:rsidRPr="00601E29" w:rsidRDefault="00E82A60" w:rsidP="00300A01">
            <w:pPr>
              <w:spacing w:before="0" w:after="0"/>
              <w:rPr>
                <w:sz w:val="10"/>
                <w:szCs w:val="10"/>
                <w:lang w:val="fr-BE"/>
              </w:rPr>
            </w:pPr>
            <w:r w:rsidRPr="00601E29">
              <w:rPr>
                <w:noProof/>
                <w:sz w:val="10"/>
                <w:szCs w:val="10"/>
                <w:lang w:val="fr-BE"/>
              </w:rPr>
              <w:t>Liczba uczniów szkół i placówek kształcenia zawodowego objętych wsparciem w programie, uczestniczących w kształceniu lub pracujących po 6 miesiącach po ukończeniu nauki</w:t>
            </w:r>
          </w:p>
        </w:tc>
        <w:tc>
          <w:tcPr>
            <w:tcW w:w="0" w:type="auto"/>
            <w:shd w:val="clear" w:color="auto" w:fill="auto"/>
          </w:tcPr>
          <w:p w14:paraId="094E0366" w14:textId="77777777" w:rsidR="008C5CFA" w:rsidRPr="00601E29" w:rsidRDefault="00E82A60" w:rsidP="00300A01">
            <w:pPr>
              <w:spacing w:before="0" w:after="0"/>
              <w:rPr>
                <w:sz w:val="10"/>
                <w:szCs w:val="10"/>
                <w:lang w:val="fr-BE"/>
              </w:rPr>
            </w:pPr>
            <w:r w:rsidRPr="00601E29">
              <w:rPr>
                <w:noProof/>
                <w:sz w:val="10"/>
                <w:szCs w:val="10"/>
                <w:lang w:val="fr-BE"/>
              </w:rPr>
              <w:t>Słabiej rozwinięte</w:t>
            </w:r>
          </w:p>
        </w:tc>
        <w:tc>
          <w:tcPr>
            <w:tcW w:w="0" w:type="auto"/>
            <w:shd w:val="clear" w:color="auto" w:fill="auto"/>
          </w:tcPr>
          <w:p w14:paraId="10E511CF" w14:textId="77777777" w:rsidR="008C5CFA" w:rsidRPr="00601E29" w:rsidRDefault="00E82A60" w:rsidP="00300A01">
            <w:pPr>
              <w:spacing w:before="0" w:after="0"/>
              <w:rPr>
                <w:sz w:val="10"/>
                <w:szCs w:val="10"/>
                <w:lang w:val="fr-BE"/>
              </w:rPr>
            </w:pPr>
            <w:r w:rsidRPr="00785F4A">
              <w:rPr>
                <w:noProof/>
                <w:sz w:val="10"/>
                <w:szCs w:val="10"/>
                <w:lang w:val="fr-BE"/>
              </w:rPr>
              <w:t>Liczba</w:t>
            </w:r>
            <w:r w:rsidR="00CE4603">
              <w:rPr>
                <w:sz w:val="10"/>
                <w:szCs w:val="10"/>
                <w:lang w:val="fr-BE"/>
              </w:rPr>
              <w:t xml:space="preserve"> </w:t>
            </w:r>
            <w:r w:rsidR="00CE4603">
              <w:rPr>
                <w:noProof/>
                <w:sz w:val="10"/>
                <w:szCs w:val="10"/>
                <w:lang w:val="fr-BE"/>
              </w:rPr>
              <w:t>(osoba)</w:t>
            </w:r>
          </w:p>
        </w:tc>
        <w:tc>
          <w:tcPr>
            <w:tcW w:w="0" w:type="auto"/>
            <w:shd w:val="clear" w:color="auto" w:fill="auto"/>
          </w:tcPr>
          <w:p w14:paraId="3EE8FD0E" w14:textId="77777777" w:rsidR="008C5CFA" w:rsidRPr="00601E29" w:rsidRDefault="00E82A60" w:rsidP="00300A01">
            <w:pPr>
              <w:spacing w:before="0" w:after="0"/>
              <w:rPr>
                <w:sz w:val="10"/>
                <w:szCs w:val="10"/>
                <w:lang w:val="fr-BE"/>
              </w:rPr>
            </w:pPr>
            <w:r w:rsidRPr="00601E29">
              <w:rPr>
                <w:sz w:val="10"/>
                <w:szCs w:val="10"/>
                <w:lang w:val="fr-BE"/>
              </w:rPr>
              <w:t xml:space="preserve"> </w:t>
            </w:r>
          </w:p>
        </w:tc>
        <w:tc>
          <w:tcPr>
            <w:tcW w:w="0" w:type="auto"/>
            <w:shd w:val="clear" w:color="auto" w:fill="auto"/>
          </w:tcPr>
          <w:p w14:paraId="0B40C72C" w14:textId="77777777" w:rsidR="008C5CFA" w:rsidRPr="00601E29" w:rsidRDefault="00E82A60" w:rsidP="00300A01">
            <w:pPr>
              <w:spacing w:before="0" w:after="0"/>
              <w:jc w:val="center"/>
              <w:rPr>
                <w:sz w:val="10"/>
                <w:szCs w:val="10"/>
                <w:lang w:val="fr-BE"/>
              </w:rPr>
            </w:pPr>
            <w:r w:rsidRPr="00601E29">
              <w:rPr>
                <w:noProof/>
                <w:sz w:val="10"/>
                <w:szCs w:val="10"/>
                <w:lang w:val="fr-BE"/>
              </w:rPr>
              <w:t>Współczynnik</w:t>
            </w:r>
          </w:p>
        </w:tc>
        <w:tc>
          <w:tcPr>
            <w:tcW w:w="0" w:type="auto"/>
            <w:shd w:val="clear" w:color="auto" w:fill="auto"/>
          </w:tcPr>
          <w:p w14:paraId="4F25A898" w14:textId="77777777" w:rsidR="008C5CFA" w:rsidRPr="00601E29" w:rsidRDefault="00E82A60" w:rsidP="00300A01">
            <w:pPr>
              <w:spacing w:before="0" w:after="0"/>
              <w:jc w:val="right"/>
              <w:rPr>
                <w:sz w:val="10"/>
                <w:szCs w:val="10"/>
                <w:lang w:val="fr-BE"/>
              </w:rPr>
            </w:pPr>
            <w:r w:rsidRPr="00601E29">
              <w:rPr>
                <w:noProof/>
                <w:sz w:val="10"/>
                <w:szCs w:val="10"/>
                <w:lang w:val="fr-BE"/>
              </w:rPr>
              <w:t>55,00</w:t>
            </w:r>
            <w:r>
              <w:rPr>
                <w:noProof/>
                <w:sz w:val="10"/>
                <w:szCs w:val="10"/>
                <w:lang w:val="fr-BE"/>
              </w:rPr>
              <w:t>%</w:t>
            </w:r>
          </w:p>
        </w:tc>
        <w:tc>
          <w:tcPr>
            <w:tcW w:w="0" w:type="auto"/>
            <w:shd w:val="clear" w:color="auto" w:fill="auto"/>
          </w:tcPr>
          <w:p w14:paraId="72C19F3D" w14:textId="77777777" w:rsidR="008C5CFA" w:rsidRPr="00601E29" w:rsidRDefault="008C5CFA" w:rsidP="00300A01">
            <w:pPr>
              <w:spacing w:before="0" w:after="0"/>
              <w:jc w:val="right"/>
              <w:rPr>
                <w:sz w:val="10"/>
                <w:szCs w:val="10"/>
                <w:lang w:val="fr-BE"/>
              </w:rPr>
            </w:pPr>
          </w:p>
        </w:tc>
        <w:tc>
          <w:tcPr>
            <w:tcW w:w="0" w:type="auto"/>
            <w:shd w:val="clear" w:color="auto" w:fill="auto"/>
          </w:tcPr>
          <w:p w14:paraId="0906E711" w14:textId="77777777" w:rsidR="008C5CFA" w:rsidRPr="00601E29" w:rsidRDefault="008C5CFA" w:rsidP="00300A01">
            <w:pPr>
              <w:spacing w:before="0" w:after="0"/>
              <w:jc w:val="right"/>
              <w:rPr>
                <w:sz w:val="10"/>
                <w:szCs w:val="10"/>
                <w:lang w:val="fr-BE"/>
              </w:rPr>
            </w:pPr>
          </w:p>
        </w:tc>
        <w:tc>
          <w:tcPr>
            <w:tcW w:w="0" w:type="auto"/>
            <w:shd w:val="clear" w:color="auto" w:fill="auto"/>
          </w:tcPr>
          <w:p w14:paraId="68DB2D0C" w14:textId="77777777" w:rsidR="008C5CFA" w:rsidRPr="00601E29" w:rsidRDefault="00E82A60" w:rsidP="00300A01">
            <w:pPr>
              <w:spacing w:before="0" w:after="0"/>
              <w:jc w:val="right"/>
              <w:rPr>
                <w:sz w:val="10"/>
                <w:szCs w:val="10"/>
                <w:lang w:val="fr-BE"/>
              </w:rPr>
            </w:pPr>
            <w:r>
              <w:rPr>
                <w:noProof/>
                <w:sz w:val="10"/>
                <w:szCs w:val="10"/>
                <w:lang w:val="fr-BE"/>
              </w:rPr>
              <w:t>0,62</w:t>
            </w:r>
          </w:p>
        </w:tc>
        <w:tc>
          <w:tcPr>
            <w:tcW w:w="0" w:type="auto"/>
            <w:shd w:val="clear" w:color="auto" w:fill="auto"/>
          </w:tcPr>
          <w:p w14:paraId="3B5C1634" w14:textId="77777777" w:rsidR="008C5CFA" w:rsidRPr="00601E29" w:rsidRDefault="008C5CFA" w:rsidP="00300A01">
            <w:pPr>
              <w:spacing w:before="0" w:after="0"/>
              <w:jc w:val="right"/>
              <w:rPr>
                <w:sz w:val="10"/>
                <w:szCs w:val="10"/>
                <w:lang w:val="fr-BE"/>
              </w:rPr>
            </w:pPr>
          </w:p>
        </w:tc>
        <w:tc>
          <w:tcPr>
            <w:tcW w:w="0" w:type="auto"/>
            <w:shd w:val="clear" w:color="auto" w:fill="auto"/>
          </w:tcPr>
          <w:p w14:paraId="56CC917F" w14:textId="77777777" w:rsidR="008C5CFA" w:rsidRPr="00601E29" w:rsidRDefault="008C5CFA" w:rsidP="00300A01">
            <w:pPr>
              <w:spacing w:before="0" w:after="0"/>
              <w:jc w:val="right"/>
              <w:rPr>
                <w:sz w:val="10"/>
                <w:szCs w:val="10"/>
                <w:lang w:val="fr-BE"/>
              </w:rPr>
            </w:pPr>
          </w:p>
        </w:tc>
        <w:tc>
          <w:tcPr>
            <w:tcW w:w="0" w:type="auto"/>
            <w:shd w:val="clear" w:color="auto" w:fill="auto"/>
          </w:tcPr>
          <w:p w14:paraId="00F68F5B" w14:textId="77777777" w:rsidR="008C5CFA" w:rsidRPr="00601E29" w:rsidRDefault="00E82A60" w:rsidP="00300A01">
            <w:pPr>
              <w:spacing w:before="0" w:after="0"/>
              <w:jc w:val="right"/>
              <w:rPr>
                <w:sz w:val="10"/>
                <w:szCs w:val="10"/>
                <w:lang w:val="fr-BE"/>
              </w:rPr>
            </w:pPr>
            <w:r w:rsidRPr="00601E29">
              <w:rPr>
                <w:noProof/>
                <w:sz w:val="10"/>
                <w:szCs w:val="10"/>
                <w:lang w:val="fr-BE"/>
              </w:rPr>
              <w:t>1 335,00</w:t>
            </w:r>
          </w:p>
        </w:tc>
        <w:tc>
          <w:tcPr>
            <w:tcW w:w="0" w:type="auto"/>
            <w:shd w:val="clear" w:color="auto" w:fill="auto"/>
          </w:tcPr>
          <w:p w14:paraId="0DE63DD9"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shd w:val="clear" w:color="auto" w:fill="auto"/>
          </w:tcPr>
          <w:p w14:paraId="54DF729E"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1B3CF300"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shd w:val="clear" w:color="auto" w:fill="auto"/>
          </w:tcPr>
          <w:p w14:paraId="0C430FD5"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shd w:val="clear" w:color="auto" w:fill="auto"/>
          </w:tcPr>
          <w:p w14:paraId="03C32723"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70C12B80" w14:textId="77777777" w:rsidR="008C5CFA" w:rsidRPr="00601E29" w:rsidRDefault="008C5CFA" w:rsidP="00300A01">
            <w:pPr>
              <w:spacing w:before="0" w:after="0"/>
              <w:jc w:val="right"/>
              <w:rPr>
                <w:sz w:val="10"/>
                <w:szCs w:val="10"/>
                <w:lang w:val="fr-BE"/>
              </w:rPr>
            </w:pPr>
          </w:p>
        </w:tc>
      </w:tr>
      <w:tr w:rsidR="006B2EC1" w14:paraId="19D91392" w14:textId="77777777" w:rsidTr="0047688D">
        <w:tc>
          <w:tcPr>
            <w:tcW w:w="0" w:type="auto"/>
            <w:shd w:val="clear" w:color="auto" w:fill="auto"/>
          </w:tcPr>
          <w:p w14:paraId="7319A689" w14:textId="77777777" w:rsidR="008C5CFA" w:rsidRPr="00601E29" w:rsidRDefault="00E82A60" w:rsidP="00300A01">
            <w:pPr>
              <w:spacing w:before="0" w:after="0"/>
              <w:rPr>
                <w:sz w:val="10"/>
                <w:szCs w:val="10"/>
                <w:lang w:val="fr-BE"/>
              </w:rPr>
            </w:pPr>
            <w:r w:rsidRPr="00601E29">
              <w:rPr>
                <w:noProof/>
                <w:sz w:val="10"/>
                <w:szCs w:val="10"/>
                <w:lang w:val="fr-BE"/>
              </w:rPr>
              <w:t>015</w:t>
            </w:r>
          </w:p>
        </w:tc>
        <w:tc>
          <w:tcPr>
            <w:tcW w:w="0" w:type="auto"/>
            <w:shd w:val="clear" w:color="auto" w:fill="auto"/>
          </w:tcPr>
          <w:p w14:paraId="3A16CC28" w14:textId="77777777" w:rsidR="008C5CFA" w:rsidRPr="00601E29" w:rsidRDefault="00E82A60" w:rsidP="00300A01">
            <w:pPr>
              <w:spacing w:before="0" w:after="0"/>
              <w:rPr>
                <w:sz w:val="10"/>
                <w:szCs w:val="10"/>
                <w:lang w:val="fr-BE"/>
              </w:rPr>
            </w:pPr>
            <w:r w:rsidRPr="00601E29">
              <w:rPr>
                <w:noProof/>
                <w:sz w:val="10"/>
                <w:szCs w:val="10"/>
                <w:lang w:val="fr-BE"/>
              </w:rPr>
              <w:t>Liczba szkół i placówek kształcenia zawodowego wykorzystujących doposażenie zakupione dzięki EFS</w:t>
            </w:r>
          </w:p>
        </w:tc>
        <w:tc>
          <w:tcPr>
            <w:tcW w:w="0" w:type="auto"/>
            <w:shd w:val="clear" w:color="auto" w:fill="auto"/>
          </w:tcPr>
          <w:p w14:paraId="17A2F413" w14:textId="77777777" w:rsidR="008C5CFA" w:rsidRPr="00601E29" w:rsidRDefault="00E82A60" w:rsidP="00300A01">
            <w:pPr>
              <w:spacing w:before="0" w:after="0"/>
              <w:rPr>
                <w:sz w:val="10"/>
                <w:szCs w:val="10"/>
                <w:lang w:val="fr-BE"/>
              </w:rPr>
            </w:pPr>
            <w:r w:rsidRPr="00601E29">
              <w:rPr>
                <w:noProof/>
                <w:sz w:val="10"/>
                <w:szCs w:val="10"/>
                <w:lang w:val="fr-BE"/>
              </w:rPr>
              <w:t>Słabiej rozwinięte</w:t>
            </w:r>
          </w:p>
        </w:tc>
        <w:tc>
          <w:tcPr>
            <w:tcW w:w="0" w:type="auto"/>
            <w:shd w:val="clear" w:color="auto" w:fill="auto"/>
          </w:tcPr>
          <w:p w14:paraId="617A32B3" w14:textId="77777777" w:rsidR="008C5CFA" w:rsidRPr="00601E29" w:rsidRDefault="00E82A60" w:rsidP="00300A01">
            <w:pPr>
              <w:spacing w:before="0" w:after="0"/>
              <w:rPr>
                <w:sz w:val="10"/>
                <w:szCs w:val="10"/>
                <w:lang w:val="fr-BE"/>
              </w:rPr>
            </w:pPr>
            <w:r w:rsidRPr="00785F4A">
              <w:rPr>
                <w:noProof/>
                <w:sz w:val="10"/>
                <w:szCs w:val="10"/>
                <w:lang w:val="fr-BE"/>
              </w:rPr>
              <w:t>Liczba</w:t>
            </w:r>
            <w:r w:rsidR="00CE4603">
              <w:rPr>
                <w:sz w:val="10"/>
                <w:szCs w:val="10"/>
                <w:lang w:val="fr-BE"/>
              </w:rPr>
              <w:t xml:space="preserve"> </w:t>
            </w:r>
            <w:r w:rsidR="00CE4603">
              <w:rPr>
                <w:noProof/>
                <w:sz w:val="10"/>
                <w:szCs w:val="10"/>
                <w:lang w:val="fr-BE"/>
              </w:rPr>
              <w:t>(sztuka)</w:t>
            </w:r>
          </w:p>
        </w:tc>
        <w:tc>
          <w:tcPr>
            <w:tcW w:w="0" w:type="auto"/>
            <w:shd w:val="clear" w:color="auto" w:fill="auto"/>
          </w:tcPr>
          <w:p w14:paraId="27F7E6E7" w14:textId="77777777" w:rsidR="008C5CFA" w:rsidRPr="00601E29" w:rsidRDefault="00E82A60" w:rsidP="00300A01">
            <w:pPr>
              <w:spacing w:before="0" w:after="0"/>
              <w:rPr>
                <w:sz w:val="10"/>
                <w:szCs w:val="10"/>
                <w:lang w:val="fr-BE"/>
              </w:rPr>
            </w:pPr>
            <w:r w:rsidRPr="00601E29">
              <w:rPr>
                <w:sz w:val="10"/>
                <w:szCs w:val="10"/>
                <w:lang w:val="fr-BE"/>
              </w:rPr>
              <w:t xml:space="preserve"> </w:t>
            </w:r>
          </w:p>
        </w:tc>
        <w:tc>
          <w:tcPr>
            <w:tcW w:w="0" w:type="auto"/>
            <w:shd w:val="clear" w:color="auto" w:fill="auto"/>
          </w:tcPr>
          <w:p w14:paraId="6C61F8A4" w14:textId="77777777" w:rsidR="008C5CFA" w:rsidRPr="00601E29" w:rsidRDefault="00E82A60" w:rsidP="00300A01">
            <w:pPr>
              <w:spacing w:before="0" w:after="0"/>
              <w:jc w:val="center"/>
              <w:rPr>
                <w:sz w:val="10"/>
                <w:szCs w:val="10"/>
                <w:lang w:val="fr-BE"/>
              </w:rPr>
            </w:pPr>
            <w:r w:rsidRPr="00601E29">
              <w:rPr>
                <w:noProof/>
                <w:sz w:val="10"/>
                <w:szCs w:val="10"/>
                <w:lang w:val="fr-BE"/>
              </w:rPr>
              <w:t>Współczynnik</w:t>
            </w:r>
          </w:p>
        </w:tc>
        <w:tc>
          <w:tcPr>
            <w:tcW w:w="0" w:type="auto"/>
            <w:shd w:val="clear" w:color="auto" w:fill="auto"/>
          </w:tcPr>
          <w:p w14:paraId="058CABC9" w14:textId="77777777" w:rsidR="008C5CFA" w:rsidRPr="00601E29" w:rsidRDefault="00E82A60" w:rsidP="00300A01">
            <w:pPr>
              <w:spacing w:before="0" w:after="0"/>
              <w:jc w:val="right"/>
              <w:rPr>
                <w:sz w:val="10"/>
                <w:szCs w:val="10"/>
                <w:lang w:val="fr-BE"/>
              </w:rPr>
            </w:pPr>
            <w:r w:rsidRPr="00601E29">
              <w:rPr>
                <w:noProof/>
                <w:sz w:val="10"/>
                <w:szCs w:val="10"/>
                <w:lang w:val="fr-BE"/>
              </w:rPr>
              <w:t>97,00</w:t>
            </w:r>
            <w:r>
              <w:rPr>
                <w:noProof/>
                <w:sz w:val="10"/>
                <w:szCs w:val="10"/>
                <w:lang w:val="fr-BE"/>
              </w:rPr>
              <w:t>%</w:t>
            </w:r>
          </w:p>
        </w:tc>
        <w:tc>
          <w:tcPr>
            <w:tcW w:w="0" w:type="auto"/>
            <w:shd w:val="clear" w:color="auto" w:fill="auto"/>
          </w:tcPr>
          <w:p w14:paraId="00A6E968" w14:textId="77777777" w:rsidR="008C5CFA" w:rsidRPr="00601E29" w:rsidRDefault="008C5CFA" w:rsidP="00300A01">
            <w:pPr>
              <w:spacing w:before="0" w:after="0"/>
              <w:jc w:val="right"/>
              <w:rPr>
                <w:sz w:val="10"/>
                <w:szCs w:val="10"/>
                <w:lang w:val="fr-BE"/>
              </w:rPr>
            </w:pPr>
          </w:p>
        </w:tc>
        <w:tc>
          <w:tcPr>
            <w:tcW w:w="0" w:type="auto"/>
            <w:shd w:val="clear" w:color="auto" w:fill="auto"/>
          </w:tcPr>
          <w:p w14:paraId="1E54F4C7" w14:textId="77777777" w:rsidR="008C5CFA" w:rsidRPr="00601E29" w:rsidRDefault="008C5CFA" w:rsidP="00300A01">
            <w:pPr>
              <w:spacing w:before="0" w:after="0"/>
              <w:jc w:val="right"/>
              <w:rPr>
                <w:sz w:val="10"/>
                <w:szCs w:val="10"/>
                <w:lang w:val="fr-BE"/>
              </w:rPr>
            </w:pPr>
          </w:p>
        </w:tc>
        <w:tc>
          <w:tcPr>
            <w:tcW w:w="0" w:type="auto"/>
            <w:shd w:val="clear" w:color="auto" w:fill="auto"/>
          </w:tcPr>
          <w:p w14:paraId="3C3F4066" w14:textId="77777777" w:rsidR="008C5CFA" w:rsidRPr="00601E29" w:rsidRDefault="00E82A60" w:rsidP="00300A01">
            <w:pPr>
              <w:spacing w:before="0" w:after="0"/>
              <w:jc w:val="right"/>
              <w:rPr>
                <w:sz w:val="10"/>
                <w:szCs w:val="10"/>
                <w:lang w:val="fr-BE"/>
              </w:rPr>
            </w:pPr>
            <w:r>
              <w:rPr>
                <w:noProof/>
                <w:sz w:val="10"/>
                <w:szCs w:val="10"/>
                <w:lang w:val="fr-BE"/>
              </w:rPr>
              <w:t>0,87</w:t>
            </w:r>
          </w:p>
        </w:tc>
        <w:tc>
          <w:tcPr>
            <w:tcW w:w="0" w:type="auto"/>
            <w:shd w:val="clear" w:color="auto" w:fill="auto"/>
          </w:tcPr>
          <w:p w14:paraId="619660AE" w14:textId="77777777" w:rsidR="008C5CFA" w:rsidRPr="00601E29" w:rsidRDefault="008C5CFA" w:rsidP="00300A01">
            <w:pPr>
              <w:spacing w:before="0" w:after="0"/>
              <w:jc w:val="right"/>
              <w:rPr>
                <w:sz w:val="10"/>
                <w:szCs w:val="10"/>
                <w:lang w:val="fr-BE"/>
              </w:rPr>
            </w:pPr>
          </w:p>
        </w:tc>
        <w:tc>
          <w:tcPr>
            <w:tcW w:w="0" w:type="auto"/>
            <w:shd w:val="clear" w:color="auto" w:fill="auto"/>
          </w:tcPr>
          <w:p w14:paraId="6107F0A4" w14:textId="77777777" w:rsidR="008C5CFA" w:rsidRPr="00601E29" w:rsidRDefault="008C5CFA" w:rsidP="00300A01">
            <w:pPr>
              <w:spacing w:before="0" w:after="0"/>
              <w:jc w:val="right"/>
              <w:rPr>
                <w:sz w:val="10"/>
                <w:szCs w:val="10"/>
                <w:lang w:val="fr-BE"/>
              </w:rPr>
            </w:pPr>
          </w:p>
        </w:tc>
        <w:tc>
          <w:tcPr>
            <w:tcW w:w="0" w:type="auto"/>
            <w:shd w:val="clear" w:color="auto" w:fill="auto"/>
          </w:tcPr>
          <w:p w14:paraId="08A79FF8" w14:textId="77777777" w:rsidR="008C5CFA" w:rsidRPr="00601E29" w:rsidRDefault="00E82A60" w:rsidP="00300A01">
            <w:pPr>
              <w:spacing w:before="0" w:after="0"/>
              <w:jc w:val="right"/>
              <w:rPr>
                <w:sz w:val="10"/>
                <w:szCs w:val="10"/>
                <w:lang w:val="fr-BE"/>
              </w:rPr>
            </w:pPr>
            <w:r w:rsidRPr="00601E29">
              <w:rPr>
                <w:noProof/>
                <w:sz w:val="10"/>
                <w:szCs w:val="10"/>
                <w:lang w:val="fr-BE"/>
              </w:rPr>
              <w:t>118,00</w:t>
            </w:r>
          </w:p>
        </w:tc>
        <w:tc>
          <w:tcPr>
            <w:tcW w:w="0" w:type="auto"/>
            <w:shd w:val="clear" w:color="auto" w:fill="auto"/>
          </w:tcPr>
          <w:p w14:paraId="21B09F26"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shd w:val="clear" w:color="auto" w:fill="auto"/>
          </w:tcPr>
          <w:p w14:paraId="0FD6352C"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27C28D96" w14:textId="77777777" w:rsidR="008C5CFA" w:rsidRPr="00601E29" w:rsidRDefault="00E82A60" w:rsidP="00300A01">
            <w:pPr>
              <w:spacing w:before="0" w:after="0"/>
              <w:jc w:val="right"/>
              <w:rPr>
                <w:sz w:val="10"/>
                <w:szCs w:val="10"/>
                <w:lang w:val="fr-BE"/>
              </w:rPr>
            </w:pPr>
            <w:r w:rsidRPr="00601E29">
              <w:rPr>
                <w:noProof/>
                <w:sz w:val="10"/>
                <w:szCs w:val="10"/>
                <w:lang w:val="fr-BE"/>
              </w:rPr>
              <w:t>61,00</w:t>
            </w:r>
          </w:p>
        </w:tc>
        <w:tc>
          <w:tcPr>
            <w:tcW w:w="0" w:type="auto"/>
            <w:shd w:val="clear" w:color="auto" w:fill="auto"/>
          </w:tcPr>
          <w:p w14:paraId="6DBE7A99"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shd w:val="clear" w:color="auto" w:fill="auto"/>
          </w:tcPr>
          <w:p w14:paraId="3F7227E2"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1970DCF3" w14:textId="77777777" w:rsidR="008C5CFA" w:rsidRPr="00601E29" w:rsidRDefault="008C5CFA" w:rsidP="00300A01">
            <w:pPr>
              <w:spacing w:before="0" w:after="0"/>
              <w:jc w:val="right"/>
              <w:rPr>
                <w:sz w:val="10"/>
                <w:szCs w:val="10"/>
                <w:lang w:val="fr-BE"/>
              </w:rPr>
            </w:pPr>
          </w:p>
        </w:tc>
      </w:tr>
      <w:tr w:rsidR="006B2EC1" w14:paraId="65573D1B" w14:textId="77777777" w:rsidTr="0047688D">
        <w:tc>
          <w:tcPr>
            <w:tcW w:w="0" w:type="auto"/>
            <w:shd w:val="clear" w:color="auto" w:fill="auto"/>
          </w:tcPr>
          <w:p w14:paraId="37D091D8" w14:textId="77777777" w:rsidR="008C5CFA" w:rsidRPr="00601E29" w:rsidRDefault="00E82A60" w:rsidP="00300A01">
            <w:pPr>
              <w:spacing w:before="0" w:after="0"/>
              <w:rPr>
                <w:sz w:val="10"/>
                <w:szCs w:val="10"/>
                <w:lang w:val="fr-BE"/>
              </w:rPr>
            </w:pPr>
            <w:r w:rsidRPr="00601E29">
              <w:rPr>
                <w:noProof/>
                <w:sz w:val="10"/>
                <w:szCs w:val="10"/>
                <w:lang w:val="fr-BE"/>
              </w:rPr>
              <w:t>016</w:t>
            </w:r>
          </w:p>
        </w:tc>
        <w:tc>
          <w:tcPr>
            <w:tcW w:w="0" w:type="auto"/>
            <w:shd w:val="clear" w:color="auto" w:fill="auto"/>
          </w:tcPr>
          <w:p w14:paraId="5777E216" w14:textId="77777777" w:rsidR="008C5CFA" w:rsidRPr="00601E29" w:rsidRDefault="00E82A60" w:rsidP="00300A01">
            <w:pPr>
              <w:spacing w:before="0" w:after="0"/>
              <w:rPr>
                <w:sz w:val="10"/>
                <w:szCs w:val="10"/>
                <w:lang w:val="fr-BE"/>
              </w:rPr>
            </w:pPr>
            <w:r w:rsidRPr="00601E29">
              <w:rPr>
                <w:noProof/>
                <w:sz w:val="10"/>
                <w:szCs w:val="10"/>
                <w:lang w:val="fr-BE"/>
              </w:rPr>
              <w:t>Liczba osób, które uzyskały kwalifikacje w ramach pozaszkolnych form kształcenia</w:t>
            </w:r>
          </w:p>
        </w:tc>
        <w:tc>
          <w:tcPr>
            <w:tcW w:w="0" w:type="auto"/>
            <w:shd w:val="clear" w:color="auto" w:fill="auto"/>
          </w:tcPr>
          <w:p w14:paraId="2D293EEF" w14:textId="77777777" w:rsidR="008C5CFA" w:rsidRPr="00601E29" w:rsidRDefault="00E82A60" w:rsidP="00300A01">
            <w:pPr>
              <w:spacing w:before="0" w:after="0"/>
              <w:rPr>
                <w:sz w:val="10"/>
                <w:szCs w:val="10"/>
                <w:lang w:val="fr-BE"/>
              </w:rPr>
            </w:pPr>
            <w:r w:rsidRPr="00601E29">
              <w:rPr>
                <w:noProof/>
                <w:sz w:val="10"/>
                <w:szCs w:val="10"/>
                <w:lang w:val="fr-BE"/>
              </w:rPr>
              <w:t>Słabiej rozwinięte</w:t>
            </w:r>
          </w:p>
        </w:tc>
        <w:tc>
          <w:tcPr>
            <w:tcW w:w="0" w:type="auto"/>
            <w:shd w:val="clear" w:color="auto" w:fill="auto"/>
          </w:tcPr>
          <w:p w14:paraId="2260219B" w14:textId="77777777" w:rsidR="008C5CFA" w:rsidRPr="00601E29" w:rsidRDefault="00E82A60" w:rsidP="00300A01">
            <w:pPr>
              <w:spacing w:before="0" w:after="0"/>
              <w:rPr>
                <w:sz w:val="10"/>
                <w:szCs w:val="10"/>
                <w:lang w:val="fr-BE"/>
              </w:rPr>
            </w:pPr>
            <w:r w:rsidRPr="00785F4A">
              <w:rPr>
                <w:noProof/>
                <w:sz w:val="10"/>
                <w:szCs w:val="10"/>
                <w:lang w:val="fr-BE"/>
              </w:rPr>
              <w:t>Liczba</w:t>
            </w:r>
            <w:r w:rsidR="00CE4603">
              <w:rPr>
                <w:sz w:val="10"/>
                <w:szCs w:val="10"/>
                <w:lang w:val="fr-BE"/>
              </w:rPr>
              <w:t xml:space="preserve"> </w:t>
            </w:r>
            <w:r w:rsidR="00CE4603">
              <w:rPr>
                <w:noProof/>
                <w:sz w:val="10"/>
                <w:szCs w:val="10"/>
                <w:lang w:val="fr-BE"/>
              </w:rPr>
              <w:t>(osoba)</w:t>
            </w:r>
          </w:p>
        </w:tc>
        <w:tc>
          <w:tcPr>
            <w:tcW w:w="0" w:type="auto"/>
            <w:shd w:val="clear" w:color="auto" w:fill="auto"/>
          </w:tcPr>
          <w:p w14:paraId="5CF5F56C" w14:textId="77777777" w:rsidR="008C5CFA" w:rsidRPr="00601E29" w:rsidRDefault="00E82A60" w:rsidP="00300A01">
            <w:pPr>
              <w:spacing w:before="0" w:after="0"/>
              <w:rPr>
                <w:sz w:val="10"/>
                <w:szCs w:val="10"/>
                <w:lang w:val="fr-BE"/>
              </w:rPr>
            </w:pPr>
            <w:r w:rsidRPr="00601E29">
              <w:rPr>
                <w:sz w:val="10"/>
                <w:szCs w:val="10"/>
                <w:lang w:val="fr-BE"/>
              </w:rPr>
              <w:t xml:space="preserve"> </w:t>
            </w:r>
          </w:p>
        </w:tc>
        <w:tc>
          <w:tcPr>
            <w:tcW w:w="0" w:type="auto"/>
            <w:shd w:val="clear" w:color="auto" w:fill="auto"/>
          </w:tcPr>
          <w:p w14:paraId="62D52053" w14:textId="77777777" w:rsidR="008C5CFA" w:rsidRPr="00601E29" w:rsidRDefault="00E82A60" w:rsidP="00300A01">
            <w:pPr>
              <w:spacing w:before="0" w:after="0"/>
              <w:jc w:val="center"/>
              <w:rPr>
                <w:sz w:val="10"/>
                <w:szCs w:val="10"/>
                <w:lang w:val="fr-BE"/>
              </w:rPr>
            </w:pPr>
            <w:r w:rsidRPr="00601E29">
              <w:rPr>
                <w:noProof/>
                <w:sz w:val="10"/>
                <w:szCs w:val="10"/>
                <w:lang w:val="fr-BE"/>
              </w:rPr>
              <w:t>Współczynnik</w:t>
            </w:r>
          </w:p>
        </w:tc>
        <w:tc>
          <w:tcPr>
            <w:tcW w:w="0" w:type="auto"/>
            <w:shd w:val="clear" w:color="auto" w:fill="auto"/>
          </w:tcPr>
          <w:p w14:paraId="2546062B" w14:textId="77777777" w:rsidR="008C5CFA" w:rsidRPr="00601E29" w:rsidRDefault="00E82A60" w:rsidP="00300A01">
            <w:pPr>
              <w:spacing w:before="0" w:after="0"/>
              <w:jc w:val="right"/>
              <w:rPr>
                <w:sz w:val="10"/>
                <w:szCs w:val="10"/>
                <w:lang w:val="fr-BE"/>
              </w:rPr>
            </w:pPr>
            <w:r w:rsidRPr="00601E29">
              <w:rPr>
                <w:noProof/>
                <w:sz w:val="10"/>
                <w:szCs w:val="10"/>
                <w:lang w:val="fr-BE"/>
              </w:rPr>
              <w:t>80,00</w:t>
            </w:r>
            <w:r>
              <w:rPr>
                <w:noProof/>
                <w:sz w:val="10"/>
                <w:szCs w:val="10"/>
                <w:lang w:val="fr-BE"/>
              </w:rPr>
              <w:t>%</w:t>
            </w:r>
          </w:p>
        </w:tc>
        <w:tc>
          <w:tcPr>
            <w:tcW w:w="0" w:type="auto"/>
            <w:shd w:val="clear" w:color="auto" w:fill="auto"/>
          </w:tcPr>
          <w:p w14:paraId="0A675653" w14:textId="77777777" w:rsidR="008C5CFA" w:rsidRPr="00601E29" w:rsidRDefault="008C5CFA" w:rsidP="00300A01">
            <w:pPr>
              <w:spacing w:before="0" w:after="0"/>
              <w:jc w:val="right"/>
              <w:rPr>
                <w:sz w:val="10"/>
                <w:szCs w:val="10"/>
                <w:lang w:val="fr-BE"/>
              </w:rPr>
            </w:pPr>
          </w:p>
        </w:tc>
        <w:tc>
          <w:tcPr>
            <w:tcW w:w="0" w:type="auto"/>
            <w:shd w:val="clear" w:color="auto" w:fill="auto"/>
          </w:tcPr>
          <w:p w14:paraId="39675232" w14:textId="77777777" w:rsidR="008C5CFA" w:rsidRPr="00601E29" w:rsidRDefault="008C5CFA" w:rsidP="00300A01">
            <w:pPr>
              <w:spacing w:before="0" w:after="0"/>
              <w:jc w:val="right"/>
              <w:rPr>
                <w:sz w:val="10"/>
                <w:szCs w:val="10"/>
                <w:lang w:val="fr-BE"/>
              </w:rPr>
            </w:pPr>
          </w:p>
        </w:tc>
        <w:tc>
          <w:tcPr>
            <w:tcW w:w="0" w:type="auto"/>
            <w:shd w:val="clear" w:color="auto" w:fill="auto"/>
          </w:tcPr>
          <w:p w14:paraId="4BC909CD" w14:textId="77777777" w:rsidR="008C5CFA" w:rsidRPr="00601E29" w:rsidRDefault="00E82A60" w:rsidP="00300A01">
            <w:pPr>
              <w:spacing w:before="0" w:after="0"/>
              <w:jc w:val="right"/>
              <w:rPr>
                <w:sz w:val="10"/>
                <w:szCs w:val="10"/>
                <w:lang w:val="fr-BE"/>
              </w:rPr>
            </w:pPr>
            <w:r>
              <w:rPr>
                <w:noProof/>
                <w:sz w:val="10"/>
                <w:szCs w:val="10"/>
                <w:lang w:val="fr-BE"/>
              </w:rPr>
              <w:t>0,61</w:t>
            </w:r>
          </w:p>
        </w:tc>
        <w:tc>
          <w:tcPr>
            <w:tcW w:w="0" w:type="auto"/>
            <w:shd w:val="clear" w:color="auto" w:fill="auto"/>
          </w:tcPr>
          <w:p w14:paraId="7A89DBCE" w14:textId="77777777" w:rsidR="008C5CFA" w:rsidRPr="00601E29" w:rsidRDefault="008C5CFA" w:rsidP="00300A01">
            <w:pPr>
              <w:spacing w:before="0" w:after="0"/>
              <w:jc w:val="right"/>
              <w:rPr>
                <w:sz w:val="10"/>
                <w:szCs w:val="10"/>
                <w:lang w:val="fr-BE"/>
              </w:rPr>
            </w:pPr>
          </w:p>
        </w:tc>
        <w:tc>
          <w:tcPr>
            <w:tcW w:w="0" w:type="auto"/>
            <w:shd w:val="clear" w:color="auto" w:fill="auto"/>
          </w:tcPr>
          <w:p w14:paraId="15C261FA" w14:textId="77777777" w:rsidR="008C5CFA" w:rsidRPr="00601E29" w:rsidRDefault="008C5CFA" w:rsidP="00300A01">
            <w:pPr>
              <w:spacing w:before="0" w:after="0"/>
              <w:jc w:val="right"/>
              <w:rPr>
                <w:sz w:val="10"/>
                <w:szCs w:val="10"/>
                <w:lang w:val="fr-BE"/>
              </w:rPr>
            </w:pPr>
          </w:p>
        </w:tc>
        <w:tc>
          <w:tcPr>
            <w:tcW w:w="0" w:type="auto"/>
            <w:shd w:val="clear" w:color="auto" w:fill="auto"/>
          </w:tcPr>
          <w:p w14:paraId="5D357C46" w14:textId="77777777" w:rsidR="008C5CFA" w:rsidRPr="00601E29" w:rsidRDefault="00E82A60" w:rsidP="00300A01">
            <w:pPr>
              <w:spacing w:before="0" w:after="0"/>
              <w:jc w:val="right"/>
              <w:rPr>
                <w:sz w:val="10"/>
                <w:szCs w:val="10"/>
                <w:lang w:val="fr-BE"/>
              </w:rPr>
            </w:pPr>
            <w:r w:rsidRPr="00601E29">
              <w:rPr>
                <w:noProof/>
                <w:sz w:val="10"/>
                <w:szCs w:val="10"/>
                <w:lang w:val="fr-BE"/>
              </w:rPr>
              <w:t>1 813,00</w:t>
            </w:r>
          </w:p>
        </w:tc>
        <w:tc>
          <w:tcPr>
            <w:tcW w:w="0" w:type="auto"/>
            <w:shd w:val="clear" w:color="auto" w:fill="auto"/>
          </w:tcPr>
          <w:p w14:paraId="67ED7C11"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shd w:val="clear" w:color="auto" w:fill="auto"/>
          </w:tcPr>
          <w:p w14:paraId="1CBD94EF"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300758DC" w14:textId="77777777" w:rsidR="008C5CFA" w:rsidRPr="00601E29" w:rsidRDefault="00E82A60" w:rsidP="00300A01">
            <w:pPr>
              <w:spacing w:before="0" w:after="0"/>
              <w:jc w:val="right"/>
              <w:rPr>
                <w:sz w:val="10"/>
                <w:szCs w:val="10"/>
                <w:lang w:val="fr-BE"/>
              </w:rPr>
            </w:pPr>
            <w:r w:rsidRPr="00601E29">
              <w:rPr>
                <w:noProof/>
                <w:sz w:val="10"/>
                <w:szCs w:val="10"/>
                <w:lang w:val="fr-BE"/>
              </w:rPr>
              <w:t>1 347,00</w:t>
            </w:r>
          </w:p>
        </w:tc>
        <w:tc>
          <w:tcPr>
            <w:tcW w:w="0" w:type="auto"/>
            <w:shd w:val="clear" w:color="auto" w:fill="auto"/>
          </w:tcPr>
          <w:p w14:paraId="24E8C711"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shd w:val="clear" w:color="auto" w:fill="auto"/>
          </w:tcPr>
          <w:p w14:paraId="1129942C"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032609EB" w14:textId="77777777" w:rsidR="008C5CFA" w:rsidRPr="00601E29" w:rsidRDefault="008C5CFA" w:rsidP="00300A01">
            <w:pPr>
              <w:spacing w:before="0" w:after="0"/>
              <w:jc w:val="right"/>
              <w:rPr>
                <w:sz w:val="10"/>
                <w:szCs w:val="10"/>
                <w:lang w:val="fr-BE"/>
              </w:rPr>
            </w:pPr>
          </w:p>
        </w:tc>
      </w:tr>
    </w:tbl>
    <w:p w14:paraId="5ED0329D"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64"/>
        <w:gridCol w:w="6955"/>
        <w:gridCol w:w="877"/>
        <w:gridCol w:w="464"/>
        <w:gridCol w:w="564"/>
        <w:gridCol w:w="453"/>
        <w:gridCol w:w="464"/>
        <w:gridCol w:w="564"/>
        <w:gridCol w:w="453"/>
        <w:gridCol w:w="598"/>
        <w:gridCol w:w="448"/>
        <w:gridCol w:w="564"/>
        <w:gridCol w:w="453"/>
        <w:gridCol w:w="448"/>
        <w:gridCol w:w="564"/>
        <w:gridCol w:w="453"/>
        <w:gridCol w:w="598"/>
      </w:tblGrid>
      <w:tr w:rsidR="006B2EC1" w14:paraId="77D3DCDF" w14:textId="77777777" w:rsidTr="0047688D">
        <w:trPr>
          <w:tblHeader/>
        </w:trPr>
        <w:tc>
          <w:tcPr>
            <w:tcW w:w="0" w:type="auto"/>
            <w:shd w:val="clear" w:color="auto" w:fill="auto"/>
          </w:tcPr>
          <w:p w14:paraId="7432A0E6" w14:textId="77777777" w:rsidR="008C5CFA" w:rsidRPr="00601E29" w:rsidRDefault="00E82A60" w:rsidP="00300A01">
            <w:pPr>
              <w:spacing w:before="0" w:after="0"/>
              <w:rPr>
                <w:b/>
                <w:sz w:val="10"/>
                <w:szCs w:val="10"/>
                <w:lang w:val="fr-BE"/>
              </w:rPr>
            </w:pPr>
            <w:r w:rsidRPr="00601E29">
              <w:rPr>
                <w:b/>
                <w:noProof/>
                <w:sz w:val="10"/>
                <w:szCs w:val="10"/>
                <w:lang w:val="fr-BE"/>
              </w:rPr>
              <w:t>ID</w:t>
            </w:r>
          </w:p>
        </w:tc>
        <w:tc>
          <w:tcPr>
            <w:tcW w:w="0" w:type="auto"/>
            <w:shd w:val="clear" w:color="auto" w:fill="auto"/>
          </w:tcPr>
          <w:p w14:paraId="55539F06" w14:textId="77777777" w:rsidR="008C5CFA" w:rsidRPr="00601E29" w:rsidRDefault="00E82A60" w:rsidP="00300A01">
            <w:pPr>
              <w:spacing w:before="0" w:after="0"/>
              <w:rPr>
                <w:b/>
                <w:sz w:val="10"/>
                <w:szCs w:val="10"/>
                <w:lang w:val="fr-BE"/>
              </w:rPr>
            </w:pPr>
            <w:r w:rsidRPr="00601E29">
              <w:rPr>
                <w:b/>
                <w:noProof/>
                <w:sz w:val="10"/>
                <w:szCs w:val="10"/>
                <w:lang w:val="fr-BE"/>
              </w:rPr>
              <w:t>Wskaźnik</w:t>
            </w:r>
          </w:p>
        </w:tc>
        <w:tc>
          <w:tcPr>
            <w:tcW w:w="0" w:type="auto"/>
            <w:shd w:val="clear" w:color="auto" w:fill="auto"/>
          </w:tcPr>
          <w:p w14:paraId="0408929C" w14:textId="77777777" w:rsidR="008C5CFA" w:rsidRPr="00601E29" w:rsidRDefault="00E82A60" w:rsidP="00300A01">
            <w:pPr>
              <w:spacing w:before="0" w:after="0"/>
              <w:rPr>
                <w:b/>
                <w:sz w:val="10"/>
                <w:szCs w:val="10"/>
                <w:lang w:val="fr-BE"/>
              </w:rPr>
            </w:pPr>
            <w:r w:rsidRPr="00601E29">
              <w:rPr>
                <w:b/>
                <w:noProof/>
                <w:sz w:val="10"/>
                <w:szCs w:val="10"/>
                <w:lang w:val="fr-BE"/>
              </w:rPr>
              <w:t>Kategoria regionu</w:t>
            </w:r>
          </w:p>
        </w:tc>
        <w:tc>
          <w:tcPr>
            <w:tcW w:w="0" w:type="auto"/>
            <w:gridSpan w:val="7"/>
          </w:tcPr>
          <w:p w14:paraId="57ED0D96" w14:textId="77777777" w:rsidR="008C5CFA" w:rsidRPr="00601E29" w:rsidRDefault="00E82A60" w:rsidP="00300A01">
            <w:pPr>
              <w:spacing w:before="0" w:after="0"/>
              <w:jc w:val="center"/>
              <w:rPr>
                <w:b/>
                <w:sz w:val="10"/>
                <w:szCs w:val="10"/>
                <w:lang w:val="fr-BE"/>
              </w:rPr>
            </w:pPr>
            <w:r>
              <w:rPr>
                <w:b/>
                <w:sz w:val="10"/>
                <w:szCs w:val="10"/>
                <w:lang w:val="fr-BE"/>
              </w:rPr>
              <w:t>2018</w:t>
            </w:r>
          </w:p>
        </w:tc>
        <w:tc>
          <w:tcPr>
            <w:tcW w:w="0" w:type="auto"/>
            <w:gridSpan w:val="7"/>
          </w:tcPr>
          <w:p w14:paraId="3C2F260F" w14:textId="77777777" w:rsidR="008C5CFA" w:rsidRPr="00601E29" w:rsidRDefault="00E82A60" w:rsidP="00300A01">
            <w:pPr>
              <w:spacing w:before="0" w:after="0"/>
              <w:jc w:val="center"/>
              <w:rPr>
                <w:b/>
                <w:sz w:val="10"/>
                <w:szCs w:val="10"/>
                <w:lang w:val="fr-BE"/>
              </w:rPr>
            </w:pPr>
            <w:r>
              <w:rPr>
                <w:b/>
                <w:sz w:val="10"/>
                <w:szCs w:val="10"/>
                <w:lang w:val="fr-BE"/>
              </w:rPr>
              <w:t>2017</w:t>
            </w:r>
          </w:p>
        </w:tc>
      </w:tr>
      <w:tr w:rsidR="006B2EC1" w14:paraId="26AD7871" w14:textId="77777777" w:rsidTr="0047688D">
        <w:trPr>
          <w:tblHeader/>
        </w:trPr>
        <w:tc>
          <w:tcPr>
            <w:tcW w:w="0" w:type="auto"/>
            <w:shd w:val="clear" w:color="auto" w:fill="auto"/>
          </w:tcPr>
          <w:p w14:paraId="15CD4589" w14:textId="77777777" w:rsidR="008C5CFA" w:rsidRPr="00601E29" w:rsidRDefault="008C5CFA" w:rsidP="00300A01">
            <w:pPr>
              <w:spacing w:before="0" w:after="0"/>
              <w:rPr>
                <w:b/>
                <w:sz w:val="10"/>
                <w:szCs w:val="10"/>
                <w:lang w:val="fr-BE"/>
              </w:rPr>
            </w:pPr>
          </w:p>
        </w:tc>
        <w:tc>
          <w:tcPr>
            <w:tcW w:w="0" w:type="auto"/>
            <w:shd w:val="clear" w:color="auto" w:fill="auto"/>
          </w:tcPr>
          <w:p w14:paraId="7EF1493F" w14:textId="77777777" w:rsidR="008C5CFA" w:rsidRPr="00601E29" w:rsidRDefault="008C5CFA" w:rsidP="00300A01">
            <w:pPr>
              <w:spacing w:before="0" w:after="0"/>
              <w:rPr>
                <w:b/>
                <w:sz w:val="10"/>
                <w:szCs w:val="10"/>
                <w:lang w:val="fr-BE"/>
              </w:rPr>
            </w:pPr>
          </w:p>
        </w:tc>
        <w:tc>
          <w:tcPr>
            <w:tcW w:w="0" w:type="auto"/>
            <w:shd w:val="clear" w:color="auto" w:fill="auto"/>
          </w:tcPr>
          <w:p w14:paraId="0993E3BC" w14:textId="77777777" w:rsidR="008C5CFA" w:rsidRPr="00601E29" w:rsidRDefault="008C5CFA" w:rsidP="00300A01">
            <w:pPr>
              <w:spacing w:before="0" w:after="0"/>
              <w:rPr>
                <w:b/>
                <w:sz w:val="10"/>
                <w:szCs w:val="10"/>
                <w:lang w:val="fr-BE"/>
              </w:rPr>
            </w:pPr>
          </w:p>
        </w:tc>
        <w:tc>
          <w:tcPr>
            <w:tcW w:w="0" w:type="auto"/>
            <w:gridSpan w:val="3"/>
          </w:tcPr>
          <w:p w14:paraId="099461DE" w14:textId="77777777" w:rsidR="008C5CFA" w:rsidRPr="00601E29" w:rsidRDefault="00E82A60" w:rsidP="00300A01">
            <w:pPr>
              <w:spacing w:before="0" w:after="0"/>
              <w:jc w:val="center"/>
              <w:rPr>
                <w:b/>
                <w:sz w:val="10"/>
                <w:szCs w:val="10"/>
                <w:lang w:val="fr-BE"/>
              </w:rPr>
            </w:pPr>
            <w:r w:rsidRPr="00601E29">
              <w:rPr>
                <w:b/>
                <w:noProof/>
                <w:sz w:val="10"/>
                <w:szCs w:val="10"/>
                <w:lang w:val="fr-BE"/>
              </w:rPr>
              <w:t>Łącznie</w:t>
            </w:r>
          </w:p>
        </w:tc>
        <w:tc>
          <w:tcPr>
            <w:tcW w:w="0" w:type="auto"/>
            <w:gridSpan w:val="3"/>
          </w:tcPr>
          <w:p w14:paraId="1C7B2877" w14:textId="77777777" w:rsidR="008C5CFA" w:rsidRPr="00601E29" w:rsidRDefault="00E82A60" w:rsidP="00300A01">
            <w:pPr>
              <w:spacing w:before="0" w:after="0"/>
              <w:jc w:val="center"/>
              <w:rPr>
                <w:b/>
                <w:sz w:val="10"/>
                <w:szCs w:val="10"/>
                <w:lang w:val="fr-BE"/>
              </w:rPr>
            </w:pPr>
            <w:r w:rsidRPr="00601E29">
              <w:rPr>
                <w:b/>
                <w:noProof/>
                <w:sz w:val="10"/>
                <w:szCs w:val="10"/>
                <w:lang w:val="fr-BE"/>
              </w:rPr>
              <w:t>Łącznie w roku</w:t>
            </w:r>
          </w:p>
        </w:tc>
        <w:tc>
          <w:tcPr>
            <w:tcW w:w="0" w:type="auto"/>
          </w:tcPr>
          <w:p w14:paraId="3BCC1427" w14:textId="77777777" w:rsidR="008C5CFA" w:rsidRPr="00601E29" w:rsidRDefault="00E82A60" w:rsidP="00300A01">
            <w:pPr>
              <w:spacing w:before="0" w:after="0"/>
              <w:jc w:val="center"/>
              <w:rPr>
                <w:b/>
                <w:sz w:val="10"/>
                <w:szCs w:val="10"/>
                <w:lang w:val="fr-BE"/>
              </w:rPr>
            </w:pPr>
            <w:r w:rsidRPr="00601E29">
              <w:rPr>
                <w:b/>
                <w:noProof/>
                <w:sz w:val="10"/>
                <w:szCs w:val="10"/>
                <w:lang w:val="fr-BE"/>
              </w:rPr>
              <w:t>Jakościowe</w:t>
            </w:r>
          </w:p>
        </w:tc>
        <w:tc>
          <w:tcPr>
            <w:tcW w:w="0" w:type="auto"/>
            <w:gridSpan w:val="3"/>
          </w:tcPr>
          <w:p w14:paraId="1F2DFB7B" w14:textId="77777777" w:rsidR="008C5CFA" w:rsidRPr="00601E29" w:rsidRDefault="00E82A60" w:rsidP="00300A01">
            <w:pPr>
              <w:spacing w:before="0" w:after="0"/>
              <w:jc w:val="center"/>
              <w:rPr>
                <w:b/>
                <w:sz w:val="10"/>
                <w:szCs w:val="10"/>
                <w:lang w:val="fr-BE"/>
              </w:rPr>
            </w:pPr>
            <w:r w:rsidRPr="00601E29">
              <w:rPr>
                <w:b/>
                <w:noProof/>
                <w:sz w:val="10"/>
                <w:szCs w:val="10"/>
                <w:lang w:val="fr-BE"/>
              </w:rPr>
              <w:t>Łącznie</w:t>
            </w:r>
          </w:p>
        </w:tc>
        <w:tc>
          <w:tcPr>
            <w:tcW w:w="0" w:type="auto"/>
            <w:gridSpan w:val="3"/>
          </w:tcPr>
          <w:p w14:paraId="421552F5" w14:textId="77777777" w:rsidR="008C5CFA" w:rsidRPr="00601E29" w:rsidRDefault="00E82A60" w:rsidP="00300A01">
            <w:pPr>
              <w:spacing w:before="0" w:after="0"/>
              <w:jc w:val="center"/>
              <w:rPr>
                <w:b/>
                <w:sz w:val="10"/>
                <w:szCs w:val="10"/>
                <w:lang w:val="fr-BE"/>
              </w:rPr>
            </w:pPr>
            <w:r w:rsidRPr="00601E29">
              <w:rPr>
                <w:b/>
                <w:noProof/>
                <w:sz w:val="10"/>
                <w:szCs w:val="10"/>
                <w:lang w:val="fr-BE"/>
              </w:rPr>
              <w:t>Łącznie w roku</w:t>
            </w:r>
          </w:p>
        </w:tc>
        <w:tc>
          <w:tcPr>
            <w:tcW w:w="0" w:type="auto"/>
          </w:tcPr>
          <w:p w14:paraId="471C6076" w14:textId="77777777" w:rsidR="008C5CFA" w:rsidRPr="00601E29" w:rsidRDefault="00E82A60" w:rsidP="00300A01">
            <w:pPr>
              <w:spacing w:before="0" w:after="0"/>
              <w:jc w:val="center"/>
              <w:rPr>
                <w:b/>
                <w:sz w:val="10"/>
                <w:szCs w:val="10"/>
                <w:lang w:val="fr-BE"/>
              </w:rPr>
            </w:pPr>
            <w:r w:rsidRPr="00601E29">
              <w:rPr>
                <w:b/>
                <w:noProof/>
                <w:sz w:val="10"/>
                <w:szCs w:val="10"/>
                <w:lang w:val="fr-BE"/>
              </w:rPr>
              <w:t>Jakościowe</w:t>
            </w:r>
          </w:p>
        </w:tc>
      </w:tr>
      <w:tr w:rsidR="006B2EC1" w14:paraId="69347E53" w14:textId="77777777" w:rsidTr="0047688D">
        <w:trPr>
          <w:tblHeader/>
        </w:trPr>
        <w:tc>
          <w:tcPr>
            <w:tcW w:w="0" w:type="auto"/>
            <w:shd w:val="clear" w:color="auto" w:fill="auto"/>
          </w:tcPr>
          <w:p w14:paraId="67F25E44" w14:textId="77777777" w:rsidR="008C5CFA" w:rsidRPr="00601E29" w:rsidRDefault="008C5CFA" w:rsidP="00300A01">
            <w:pPr>
              <w:spacing w:before="0" w:after="0"/>
              <w:rPr>
                <w:b/>
                <w:sz w:val="10"/>
                <w:szCs w:val="10"/>
                <w:lang w:val="fr-BE"/>
              </w:rPr>
            </w:pPr>
          </w:p>
        </w:tc>
        <w:tc>
          <w:tcPr>
            <w:tcW w:w="0" w:type="auto"/>
            <w:shd w:val="clear" w:color="auto" w:fill="auto"/>
          </w:tcPr>
          <w:p w14:paraId="58174106" w14:textId="77777777" w:rsidR="008C5CFA" w:rsidRPr="00601E29" w:rsidRDefault="008C5CFA" w:rsidP="00300A01">
            <w:pPr>
              <w:spacing w:before="0" w:after="0"/>
              <w:rPr>
                <w:b/>
                <w:sz w:val="10"/>
                <w:szCs w:val="10"/>
                <w:lang w:val="fr-BE"/>
              </w:rPr>
            </w:pPr>
          </w:p>
        </w:tc>
        <w:tc>
          <w:tcPr>
            <w:tcW w:w="0" w:type="auto"/>
            <w:shd w:val="clear" w:color="auto" w:fill="auto"/>
          </w:tcPr>
          <w:p w14:paraId="0F2679B8" w14:textId="77777777" w:rsidR="008C5CFA" w:rsidRPr="00601E29" w:rsidRDefault="008C5CFA" w:rsidP="00300A01">
            <w:pPr>
              <w:spacing w:before="0" w:after="0"/>
              <w:rPr>
                <w:b/>
                <w:sz w:val="10"/>
                <w:szCs w:val="10"/>
                <w:lang w:val="fr-BE"/>
              </w:rPr>
            </w:pPr>
          </w:p>
        </w:tc>
        <w:tc>
          <w:tcPr>
            <w:tcW w:w="0" w:type="auto"/>
          </w:tcPr>
          <w:p w14:paraId="521848F5" w14:textId="77777777" w:rsidR="008C5CFA" w:rsidRPr="00601E29" w:rsidRDefault="00E82A60" w:rsidP="00300A01">
            <w:pPr>
              <w:spacing w:before="0" w:after="0"/>
              <w:jc w:val="center"/>
              <w:rPr>
                <w:b/>
                <w:sz w:val="10"/>
                <w:szCs w:val="10"/>
                <w:lang w:val="fr-BE"/>
              </w:rPr>
            </w:pPr>
            <w:r w:rsidRPr="00601E29">
              <w:rPr>
                <w:b/>
                <w:noProof/>
                <w:sz w:val="10"/>
                <w:szCs w:val="10"/>
                <w:lang w:val="fr-BE"/>
              </w:rPr>
              <w:t>Ogółem</w:t>
            </w:r>
          </w:p>
        </w:tc>
        <w:tc>
          <w:tcPr>
            <w:tcW w:w="0" w:type="auto"/>
          </w:tcPr>
          <w:p w14:paraId="08B3B2ED" w14:textId="77777777" w:rsidR="008C5CFA" w:rsidRPr="00601E29" w:rsidRDefault="00E82A60" w:rsidP="00300A01">
            <w:pPr>
              <w:spacing w:before="0" w:after="0"/>
              <w:jc w:val="center"/>
              <w:rPr>
                <w:b/>
                <w:sz w:val="10"/>
                <w:szCs w:val="10"/>
                <w:lang w:val="fr-BE"/>
              </w:rPr>
            </w:pPr>
            <w:r w:rsidRPr="00601E29">
              <w:rPr>
                <w:b/>
                <w:noProof/>
                <w:sz w:val="10"/>
                <w:szCs w:val="10"/>
                <w:lang w:val="fr-BE"/>
              </w:rPr>
              <w:t>Mężczyźni</w:t>
            </w:r>
          </w:p>
        </w:tc>
        <w:tc>
          <w:tcPr>
            <w:tcW w:w="0" w:type="auto"/>
          </w:tcPr>
          <w:p w14:paraId="70E3F25B" w14:textId="77777777" w:rsidR="008C5CFA" w:rsidRPr="00601E29" w:rsidRDefault="00E82A60" w:rsidP="00300A01">
            <w:pPr>
              <w:spacing w:before="0" w:after="0"/>
              <w:jc w:val="center"/>
              <w:rPr>
                <w:b/>
                <w:sz w:val="10"/>
                <w:szCs w:val="10"/>
                <w:lang w:val="fr-BE"/>
              </w:rPr>
            </w:pPr>
            <w:r w:rsidRPr="00601E29">
              <w:rPr>
                <w:b/>
                <w:noProof/>
                <w:sz w:val="10"/>
                <w:szCs w:val="10"/>
                <w:lang w:val="fr-BE"/>
              </w:rPr>
              <w:t>Kobiety</w:t>
            </w:r>
          </w:p>
        </w:tc>
        <w:tc>
          <w:tcPr>
            <w:tcW w:w="0" w:type="auto"/>
          </w:tcPr>
          <w:p w14:paraId="73D5791A" w14:textId="77777777" w:rsidR="008C5CFA" w:rsidRPr="00601E29" w:rsidRDefault="00E82A60" w:rsidP="00300A01">
            <w:pPr>
              <w:spacing w:before="0" w:after="0"/>
              <w:jc w:val="center"/>
              <w:rPr>
                <w:b/>
                <w:sz w:val="10"/>
                <w:szCs w:val="10"/>
                <w:lang w:val="fr-BE"/>
              </w:rPr>
            </w:pPr>
            <w:r w:rsidRPr="00601E29">
              <w:rPr>
                <w:b/>
                <w:noProof/>
                <w:sz w:val="10"/>
                <w:szCs w:val="10"/>
                <w:lang w:val="fr-BE"/>
              </w:rPr>
              <w:t>Ogółem</w:t>
            </w:r>
          </w:p>
        </w:tc>
        <w:tc>
          <w:tcPr>
            <w:tcW w:w="0" w:type="auto"/>
          </w:tcPr>
          <w:p w14:paraId="5F93D7F3" w14:textId="77777777" w:rsidR="008C5CFA" w:rsidRPr="00601E29" w:rsidRDefault="00E82A60" w:rsidP="00300A01">
            <w:pPr>
              <w:spacing w:before="0" w:after="0"/>
              <w:jc w:val="center"/>
              <w:rPr>
                <w:b/>
                <w:sz w:val="10"/>
                <w:szCs w:val="10"/>
                <w:lang w:val="fr-BE"/>
              </w:rPr>
            </w:pPr>
            <w:r w:rsidRPr="00601E29">
              <w:rPr>
                <w:b/>
                <w:noProof/>
                <w:sz w:val="10"/>
                <w:szCs w:val="10"/>
                <w:lang w:val="fr-BE"/>
              </w:rPr>
              <w:t>Mężczyźni</w:t>
            </w:r>
          </w:p>
        </w:tc>
        <w:tc>
          <w:tcPr>
            <w:tcW w:w="0" w:type="auto"/>
          </w:tcPr>
          <w:p w14:paraId="45D068B5" w14:textId="77777777" w:rsidR="008C5CFA" w:rsidRPr="00601E29" w:rsidRDefault="00E82A60" w:rsidP="00300A01">
            <w:pPr>
              <w:spacing w:before="0" w:after="0"/>
              <w:jc w:val="center"/>
              <w:rPr>
                <w:b/>
                <w:sz w:val="10"/>
                <w:szCs w:val="10"/>
                <w:lang w:val="fr-BE"/>
              </w:rPr>
            </w:pPr>
            <w:r w:rsidRPr="00601E29">
              <w:rPr>
                <w:b/>
                <w:noProof/>
                <w:sz w:val="10"/>
                <w:szCs w:val="10"/>
                <w:lang w:val="fr-BE"/>
              </w:rPr>
              <w:t>Kobiety</w:t>
            </w:r>
          </w:p>
        </w:tc>
        <w:tc>
          <w:tcPr>
            <w:tcW w:w="0" w:type="auto"/>
          </w:tcPr>
          <w:p w14:paraId="674DC304" w14:textId="77777777" w:rsidR="008C5CFA" w:rsidRPr="00601E29" w:rsidRDefault="008C5CFA" w:rsidP="00300A01">
            <w:pPr>
              <w:spacing w:before="0" w:after="0"/>
              <w:jc w:val="center"/>
              <w:rPr>
                <w:b/>
                <w:sz w:val="10"/>
                <w:szCs w:val="10"/>
                <w:lang w:val="fr-BE"/>
              </w:rPr>
            </w:pPr>
          </w:p>
        </w:tc>
        <w:tc>
          <w:tcPr>
            <w:tcW w:w="0" w:type="auto"/>
          </w:tcPr>
          <w:p w14:paraId="2D3F536F" w14:textId="77777777" w:rsidR="008C5CFA" w:rsidRPr="00601E29" w:rsidRDefault="00E82A60" w:rsidP="00300A01">
            <w:pPr>
              <w:spacing w:before="0" w:after="0"/>
              <w:jc w:val="center"/>
              <w:rPr>
                <w:b/>
                <w:sz w:val="10"/>
                <w:szCs w:val="10"/>
                <w:lang w:val="fr-BE"/>
              </w:rPr>
            </w:pPr>
            <w:r w:rsidRPr="00601E29">
              <w:rPr>
                <w:b/>
                <w:noProof/>
                <w:sz w:val="10"/>
                <w:szCs w:val="10"/>
                <w:lang w:val="fr-BE"/>
              </w:rPr>
              <w:t>Ogółem</w:t>
            </w:r>
          </w:p>
        </w:tc>
        <w:tc>
          <w:tcPr>
            <w:tcW w:w="0" w:type="auto"/>
          </w:tcPr>
          <w:p w14:paraId="7170A123" w14:textId="77777777" w:rsidR="008C5CFA" w:rsidRPr="00601E29" w:rsidRDefault="00E82A60" w:rsidP="00300A01">
            <w:pPr>
              <w:spacing w:before="0" w:after="0"/>
              <w:jc w:val="center"/>
              <w:rPr>
                <w:b/>
                <w:sz w:val="10"/>
                <w:szCs w:val="10"/>
                <w:lang w:val="fr-BE"/>
              </w:rPr>
            </w:pPr>
            <w:r w:rsidRPr="00601E29">
              <w:rPr>
                <w:b/>
                <w:noProof/>
                <w:sz w:val="10"/>
                <w:szCs w:val="10"/>
                <w:lang w:val="fr-BE"/>
              </w:rPr>
              <w:t>Mężczyźni</w:t>
            </w:r>
          </w:p>
        </w:tc>
        <w:tc>
          <w:tcPr>
            <w:tcW w:w="0" w:type="auto"/>
          </w:tcPr>
          <w:p w14:paraId="08E2B76D" w14:textId="77777777" w:rsidR="008C5CFA" w:rsidRPr="00601E29" w:rsidRDefault="00E82A60" w:rsidP="00300A01">
            <w:pPr>
              <w:spacing w:before="0" w:after="0"/>
              <w:jc w:val="center"/>
              <w:rPr>
                <w:b/>
                <w:sz w:val="10"/>
                <w:szCs w:val="10"/>
                <w:lang w:val="fr-BE"/>
              </w:rPr>
            </w:pPr>
            <w:r w:rsidRPr="00601E29">
              <w:rPr>
                <w:b/>
                <w:noProof/>
                <w:sz w:val="10"/>
                <w:szCs w:val="10"/>
                <w:lang w:val="fr-BE"/>
              </w:rPr>
              <w:t>Kobiety</w:t>
            </w:r>
          </w:p>
        </w:tc>
        <w:tc>
          <w:tcPr>
            <w:tcW w:w="0" w:type="auto"/>
          </w:tcPr>
          <w:p w14:paraId="7CA37FE0" w14:textId="77777777" w:rsidR="008C5CFA" w:rsidRPr="00601E29" w:rsidRDefault="00E82A60" w:rsidP="00300A01">
            <w:pPr>
              <w:spacing w:before="0" w:after="0"/>
              <w:jc w:val="center"/>
              <w:rPr>
                <w:b/>
                <w:sz w:val="10"/>
                <w:szCs w:val="10"/>
                <w:lang w:val="fr-BE"/>
              </w:rPr>
            </w:pPr>
            <w:r w:rsidRPr="00601E29">
              <w:rPr>
                <w:b/>
                <w:noProof/>
                <w:sz w:val="10"/>
                <w:szCs w:val="10"/>
                <w:lang w:val="fr-BE"/>
              </w:rPr>
              <w:t>Ogółem</w:t>
            </w:r>
          </w:p>
        </w:tc>
        <w:tc>
          <w:tcPr>
            <w:tcW w:w="0" w:type="auto"/>
          </w:tcPr>
          <w:p w14:paraId="276DA5D1" w14:textId="77777777" w:rsidR="008C5CFA" w:rsidRPr="00601E29" w:rsidRDefault="00E82A60" w:rsidP="00300A01">
            <w:pPr>
              <w:spacing w:before="0" w:after="0"/>
              <w:jc w:val="center"/>
              <w:rPr>
                <w:b/>
                <w:sz w:val="10"/>
                <w:szCs w:val="10"/>
                <w:lang w:val="fr-BE"/>
              </w:rPr>
            </w:pPr>
            <w:r w:rsidRPr="00601E29">
              <w:rPr>
                <w:b/>
                <w:noProof/>
                <w:sz w:val="10"/>
                <w:szCs w:val="10"/>
                <w:lang w:val="fr-BE"/>
              </w:rPr>
              <w:t>Mężczyźni</w:t>
            </w:r>
          </w:p>
        </w:tc>
        <w:tc>
          <w:tcPr>
            <w:tcW w:w="0" w:type="auto"/>
          </w:tcPr>
          <w:p w14:paraId="347F1D11" w14:textId="77777777" w:rsidR="008C5CFA" w:rsidRPr="00601E29" w:rsidRDefault="00E82A60" w:rsidP="00300A01">
            <w:pPr>
              <w:spacing w:before="0" w:after="0"/>
              <w:jc w:val="center"/>
              <w:rPr>
                <w:b/>
                <w:sz w:val="10"/>
                <w:szCs w:val="10"/>
                <w:lang w:val="fr-BE"/>
              </w:rPr>
            </w:pPr>
            <w:r w:rsidRPr="00601E29">
              <w:rPr>
                <w:b/>
                <w:noProof/>
                <w:sz w:val="10"/>
                <w:szCs w:val="10"/>
                <w:lang w:val="fr-BE"/>
              </w:rPr>
              <w:t>Kobiety</w:t>
            </w:r>
          </w:p>
        </w:tc>
        <w:tc>
          <w:tcPr>
            <w:tcW w:w="0" w:type="auto"/>
          </w:tcPr>
          <w:p w14:paraId="0B8ADC5C" w14:textId="77777777" w:rsidR="008C5CFA" w:rsidRPr="00601E29" w:rsidRDefault="008C5CFA" w:rsidP="00300A01">
            <w:pPr>
              <w:spacing w:before="0" w:after="0"/>
              <w:jc w:val="center"/>
              <w:rPr>
                <w:b/>
                <w:sz w:val="10"/>
                <w:szCs w:val="10"/>
                <w:lang w:val="fr-BE"/>
              </w:rPr>
            </w:pPr>
          </w:p>
        </w:tc>
      </w:tr>
      <w:tr w:rsidR="006B2EC1" w14:paraId="4E77C2E2" w14:textId="77777777" w:rsidTr="0047688D">
        <w:tc>
          <w:tcPr>
            <w:tcW w:w="0" w:type="auto"/>
            <w:shd w:val="clear" w:color="auto" w:fill="auto"/>
          </w:tcPr>
          <w:p w14:paraId="1DDF2C3E" w14:textId="77777777" w:rsidR="008C5CFA" w:rsidRPr="00601E29" w:rsidRDefault="00E82A60" w:rsidP="00300A01">
            <w:pPr>
              <w:spacing w:before="0" w:after="0"/>
              <w:rPr>
                <w:sz w:val="10"/>
                <w:szCs w:val="10"/>
                <w:lang w:val="fr-BE"/>
              </w:rPr>
            </w:pPr>
            <w:r w:rsidRPr="00601E29">
              <w:rPr>
                <w:noProof/>
                <w:sz w:val="10"/>
                <w:szCs w:val="10"/>
                <w:lang w:val="fr-BE"/>
              </w:rPr>
              <w:t>014</w:t>
            </w:r>
          </w:p>
        </w:tc>
        <w:tc>
          <w:tcPr>
            <w:tcW w:w="0" w:type="auto"/>
            <w:shd w:val="clear" w:color="auto" w:fill="auto"/>
          </w:tcPr>
          <w:p w14:paraId="15B10431" w14:textId="77777777" w:rsidR="008C5CFA" w:rsidRPr="00601E29" w:rsidRDefault="00E82A60" w:rsidP="00300A01">
            <w:pPr>
              <w:spacing w:before="0" w:after="0"/>
              <w:rPr>
                <w:sz w:val="10"/>
                <w:szCs w:val="10"/>
                <w:lang w:val="fr-BE"/>
              </w:rPr>
            </w:pPr>
            <w:r w:rsidRPr="00601E29">
              <w:rPr>
                <w:noProof/>
                <w:sz w:val="10"/>
                <w:szCs w:val="10"/>
                <w:lang w:val="fr-BE"/>
              </w:rPr>
              <w:t>Liczba nauczycieli kształcenia zawodowego oraz instruktorów praktycznej nauki zawodu, którzy uzyskali kwalifikacje lub nabyli kompetencje po opuszczeniu programu</w:t>
            </w:r>
          </w:p>
        </w:tc>
        <w:tc>
          <w:tcPr>
            <w:tcW w:w="0" w:type="auto"/>
            <w:shd w:val="clear" w:color="auto" w:fill="auto"/>
          </w:tcPr>
          <w:p w14:paraId="42FA9215" w14:textId="77777777" w:rsidR="008C5CFA" w:rsidRPr="00601E29" w:rsidRDefault="00E82A60" w:rsidP="00300A01">
            <w:pPr>
              <w:spacing w:before="0" w:after="0"/>
              <w:rPr>
                <w:sz w:val="10"/>
                <w:szCs w:val="10"/>
                <w:lang w:val="fr-BE"/>
              </w:rPr>
            </w:pPr>
            <w:r w:rsidRPr="00601E29">
              <w:rPr>
                <w:noProof/>
                <w:sz w:val="10"/>
                <w:szCs w:val="10"/>
                <w:lang w:val="fr-BE"/>
              </w:rPr>
              <w:t>Słabiej rozwinięte</w:t>
            </w:r>
          </w:p>
        </w:tc>
        <w:tc>
          <w:tcPr>
            <w:tcW w:w="0" w:type="auto"/>
          </w:tcPr>
          <w:p w14:paraId="21C31802" w14:textId="77777777" w:rsidR="008C5CFA" w:rsidRPr="00601E29" w:rsidRDefault="00E82A60" w:rsidP="00300A01">
            <w:pPr>
              <w:spacing w:before="0" w:after="0"/>
              <w:jc w:val="right"/>
              <w:rPr>
                <w:sz w:val="10"/>
                <w:szCs w:val="10"/>
                <w:lang w:val="fr-BE"/>
              </w:rPr>
            </w:pPr>
            <w:r w:rsidRPr="00601E29">
              <w:rPr>
                <w:noProof/>
                <w:sz w:val="10"/>
                <w:szCs w:val="10"/>
                <w:lang w:val="fr-BE"/>
              </w:rPr>
              <w:t>98,00</w:t>
            </w:r>
          </w:p>
        </w:tc>
        <w:tc>
          <w:tcPr>
            <w:tcW w:w="0" w:type="auto"/>
          </w:tcPr>
          <w:p w14:paraId="547CB92D"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4FD8D2E1"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4C1EF248" w14:textId="77777777" w:rsidR="008C5CFA" w:rsidRPr="00601E29" w:rsidRDefault="00E82A60" w:rsidP="00300A01">
            <w:pPr>
              <w:spacing w:before="0" w:after="0"/>
              <w:jc w:val="right"/>
              <w:rPr>
                <w:sz w:val="10"/>
                <w:szCs w:val="10"/>
                <w:lang w:val="fr-BE"/>
              </w:rPr>
            </w:pPr>
            <w:r w:rsidRPr="00601E29">
              <w:rPr>
                <w:noProof/>
                <w:sz w:val="10"/>
                <w:szCs w:val="10"/>
                <w:lang w:val="fr-BE"/>
              </w:rPr>
              <w:t>72,00</w:t>
            </w:r>
          </w:p>
        </w:tc>
        <w:tc>
          <w:tcPr>
            <w:tcW w:w="0" w:type="auto"/>
          </w:tcPr>
          <w:p w14:paraId="5A418740"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1EEE8CF3"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40A212EE" w14:textId="77777777" w:rsidR="008C5CFA" w:rsidRPr="00601E29" w:rsidRDefault="008C5CFA" w:rsidP="00300A01">
            <w:pPr>
              <w:spacing w:before="0" w:after="0"/>
              <w:jc w:val="right"/>
              <w:rPr>
                <w:sz w:val="10"/>
                <w:szCs w:val="10"/>
                <w:lang w:val="fr-BE"/>
              </w:rPr>
            </w:pPr>
          </w:p>
        </w:tc>
        <w:tc>
          <w:tcPr>
            <w:tcW w:w="0" w:type="auto"/>
          </w:tcPr>
          <w:p w14:paraId="24BD0755" w14:textId="77777777" w:rsidR="008C5CFA" w:rsidRPr="00601E29" w:rsidRDefault="00E82A60" w:rsidP="00300A01">
            <w:pPr>
              <w:spacing w:before="0" w:after="0"/>
              <w:jc w:val="right"/>
              <w:rPr>
                <w:sz w:val="10"/>
                <w:szCs w:val="10"/>
                <w:lang w:val="fr-BE"/>
              </w:rPr>
            </w:pPr>
            <w:r w:rsidRPr="00601E29">
              <w:rPr>
                <w:noProof/>
                <w:sz w:val="10"/>
                <w:szCs w:val="10"/>
                <w:lang w:val="fr-BE"/>
              </w:rPr>
              <w:t>26,00</w:t>
            </w:r>
          </w:p>
        </w:tc>
        <w:tc>
          <w:tcPr>
            <w:tcW w:w="0" w:type="auto"/>
          </w:tcPr>
          <w:p w14:paraId="02CF1DAD"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5EB2287F"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73C8883F" w14:textId="77777777" w:rsidR="008C5CFA" w:rsidRPr="00601E29" w:rsidRDefault="00E82A60" w:rsidP="00300A01">
            <w:pPr>
              <w:spacing w:before="0" w:after="0"/>
              <w:jc w:val="right"/>
              <w:rPr>
                <w:sz w:val="10"/>
                <w:szCs w:val="10"/>
                <w:lang w:val="fr-BE"/>
              </w:rPr>
            </w:pPr>
            <w:r w:rsidRPr="00601E29">
              <w:rPr>
                <w:noProof/>
                <w:sz w:val="10"/>
                <w:szCs w:val="10"/>
                <w:lang w:val="fr-BE"/>
              </w:rPr>
              <w:t>26,00</w:t>
            </w:r>
          </w:p>
        </w:tc>
        <w:tc>
          <w:tcPr>
            <w:tcW w:w="0" w:type="auto"/>
          </w:tcPr>
          <w:p w14:paraId="6F1FD03F"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3284E85D"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2FD30BC8" w14:textId="77777777" w:rsidR="008C5CFA" w:rsidRPr="00601E29" w:rsidRDefault="008C5CFA" w:rsidP="00300A01">
            <w:pPr>
              <w:spacing w:before="0" w:after="0"/>
              <w:jc w:val="right"/>
              <w:rPr>
                <w:sz w:val="10"/>
                <w:szCs w:val="10"/>
                <w:lang w:val="fr-BE"/>
              </w:rPr>
            </w:pPr>
          </w:p>
        </w:tc>
      </w:tr>
      <w:tr w:rsidR="006B2EC1" w14:paraId="4DFA84AB" w14:textId="77777777" w:rsidTr="0047688D">
        <w:tc>
          <w:tcPr>
            <w:tcW w:w="0" w:type="auto"/>
            <w:shd w:val="clear" w:color="auto" w:fill="auto"/>
          </w:tcPr>
          <w:p w14:paraId="637C4006" w14:textId="77777777" w:rsidR="008C5CFA" w:rsidRPr="00601E29" w:rsidRDefault="00E82A60" w:rsidP="00300A01">
            <w:pPr>
              <w:spacing w:before="0" w:after="0"/>
              <w:rPr>
                <w:sz w:val="10"/>
                <w:szCs w:val="10"/>
                <w:lang w:val="fr-BE"/>
              </w:rPr>
            </w:pPr>
            <w:r w:rsidRPr="00601E29">
              <w:rPr>
                <w:noProof/>
                <w:sz w:val="10"/>
                <w:szCs w:val="10"/>
                <w:lang w:val="fr-BE"/>
              </w:rPr>
              <w:t>106</w:t>
            </w:r>
          </w:p>
        </w:tc>
        <w:tc>
          <w:tcPr>
            <w:tcW w:w="0" w:type="auto"/>
            <w:shd w:val="clear" w:color="auto" w:fill="auto"/>
          </w:tcPr>
          <w:p w14:paraId="30B123E9" w14:textId="77777777" w:rsidR="008C5CFA" w:rsidRPr="00601E29" w:rsidRDefault="00E82A60" w:rsidP="00300A01">
            <w:pPr>
              <w:spacing w:before="0" w:after="0"/>
              <w:rPr>
                <w:sz w:val="10"/>
                <w:szCs w:val="10"/>
                <w:lang w:val="fr-BE"/>
              </w:rPr>
            </w:pPr>
            <w:r w:rsidRPr="00601E29">
              <w:rPr>
                <w:noProof/>
                <w:sz w:val="10"/>
                <w:szCs w:val="10"/>
                <w:lang w:val="fr-BE"/>
              </w:rPr>
              <w:t>Liczba uczniów szkół i placówek kształcenia zawodowego objętych wsparciem w programie, uczestniczących w kształceniu lub pracujących po 6 miesiącach po ukończeniu nauki</w:t>
            </w:r>
          </w:p>
        </w:tc>
        <w:tc>
          <w:tcPr>
            <w:tcW w:w="0" w:type="auto"/>
            <w:shd w:val="clear" w:color="auto" w:fill="auto"/>
          </w:tcPr>
          <w:p w14:paraId="16BB738B" w14:textId="77777777" w:rsidR="008C5CFA" w:rsidRPr="00601E29" w:rsidRDefault="00E82A60" w:rsidP="00300A01">
            <w:pPr>
              <w:spacing w:before="0" w:after="0"/>
              <w:rPr>
                <w:sz w:val="10"/>
                <w:szCs w:val="10"/>
                <w:lang w:val="fr-BE"/>
              </w:rPr>
            </w:pPr>
            <w:r w:rsidRPr="00601E29">
              <w:rPr>
                <w:noProof/>
                <w:sz w:val="10"/>
                <w:szCs w:val="10"/>
                <w:lang w:val="fr-BE"/>
              </w:rPr>
              <w:t>Słabiej rozwinięte</w:t>
            </w:r>
          </w:p>
        </w:tc>
        <w:tc>
          <w:tcPr>
            <w:tcW w:w="0" w:type="auto"/>
          </w:tcPr>
          <w:p w14:paraId="304C636E" w14:textId="77777777" w:rsidR="008C5CFA" w:rsidRPr="00601E29" w:rsidRDefault="00E82A60" w:rsidP="00300A01">
            <w:pPr>
              <w:spacing w:before="0" w:after="0"/>
              <w:jc w:val="right"/>
              <w:rPr>
                <w:sz w:val="10"/>
                <w:szCs w:val="10"/>
                <w:lang w:val="fr-BE"/>
              </w:rPr>
            </w:pPr>
            <w:r w:rsidRPr="00601E29">
              <w:rPr>
                <w:noProof/>
                <w:sz w:val="10"/>
                <w:szCs w:val="10"/>
                <w:lang w:val="fr-BE"/>
              </w:rPr>
              <w:t>1 335,00</w:t>
            </w:r>
          </w:p>
        </w:tc>
        <w:tc>
          <w:tcPr>
            <w:tcW w:w="0" w:type="auto"/>
          </w:tcPr>
          <w:p w14:paraId="7D8F34D2"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79EA4F87"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2CF9D5F8" w14:textId="77777777" w:rsidR="008C5CFA" w:rsidRPr="00601E29" w:rsidRDefault="00E82A60" w:rsidP="00300A01">
            <w:pPr>
              <w:spacing w:before="0" w:after="0"/>
              <w:jc w:val="right"/>
              <w:rPr>
                <w:sz w:val="10"/>
                <w:szCs w:val="10"/>
                <w:lang w:val="fr-BE"/>
              </w:rPr>
            </w:pPr>
            <w:r w:rsidRPr="00601E29">
              <w:rPr>
                <w:noProof/>
                <w:sz w:val="10"/>
                <w:szCs w:val="10"/>
                <w:lang w:val="fr-BE"/>
              </w:rPr>
              <w:t>1 335,00</w:t>
            </w:r>
          </w:p>
        </w:tc>
        <w:tc>
          <w:tcPr>
            <w:tcW w:w="0" w:type="auto"/>
          </w:tcPr>
          <w:p w14:paraId="0792628A"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15DAFAA3"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0CCE0307" w14:textId="77777777" w:rsidR="008C5CFA" w:rsidRPr="00601E29" w:rsidRDefault="008C5CFA" w:rsidP="00300A01">
            <w:pPr>
              <w:spacing w:before="0" w:after="0"/>
              <w:jc w:val="right"/>
              <w:rPr>
                <w:sz w:val="10"/>
                <w:szCs w:val="10"/>
                <w:lang w:val="fr-BE"/>
              </w:rPr>
            </w:pPr>
          </w:p>
        </w:tc>
        <w:tc>
          <w:tcPr>
            <w:tcW w:w="0" w:type="auto"/>
          </w:tcPr>
          <w:p w14:paraId="5656E5C7"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5EB9F302"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1EAC8D43"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5CB40EA4"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02A2987A"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32C02D34"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1192F62B" w14:textId="77777777" w:rsidR="008C5CFA" w:rsidRPr="00601E29" w:rsidRDefault="008C5CFA" w:rsidP="00300A01">
            <w:pPr>
              <w:spacing w:before="0" w:after="0"/>
              <w:jc w:val="right"/>
              <w:rPr>
                <w:sz w:val="10"/>
                <w:szCs w:val="10"/>
                <w:lang w:val="fr-BE"/>
              </w:rPr>
            </w:pPr>
          </w:p>
        </w:tc>
      </w:tr>
      <w:tr w:rsidR="006B2EC1" w14:paraId="1A5DC5BC" w14:textId="77777777" w:rsidTr="0047688D">
        <w:tc>
          <w:tcPr>
            <w:tcW w:w="0" w:type="auto"/>
            <w:shd w:val="clear" w:color="auto" w:fill="auto"/>
          </w:tcPr>
          <w:p w14:paraId="1EC0850A" w14:textId="77777777" w:rsidR="008C5CFA" w:rsidRPr="00601E29" w:rsidRDefault="00E82A60" w:rsidP="00300A01">
            <w:pPr>
              <w:spacing w:before="0" w:after="0"/>
              <w:rPr>
                <w:sz w:val="10"/>
                <w:szCs w:val="10"/>
                <w:lang w:val="fr-BE"/>
              </w:rPr>
            </w:pPr>
            <w:r w:rsidRPr="00601E29">
              <w:rPr>
                <w:noProof/>
                <w:sz w:val="10"/>
                <w:szCs w:val="10"/>
                <w:lang w:val="fr-BE"/>
              </w:rPr>
              <w:t>015</w:t>
            </w:r>
          </w:p>
        </w:tc>
        <w:tc>
          <w:tcPr>
            <w:tcW w:w="0" w:type="auto"/>
            <w:shd w:val="clear" w:color="auto" w:fill="auto"/>
          </w:tcPr>
          <w:p w14:paraId="5ABCA035" w14:textId="77777777" w:rsidR="008C5CFA" w:rsidRPr="00601E29" w:rsidRDefault="00E82A60" w:rsidP="00300A01">
            <w:pPr>
              <w:spacing w:before="0" w:after="0"/>
              <w:rPr>
                <w:sz w:val="10"/>
                <w:szCs w:val="10"/>
                <w:lang w:val="fr-BE"/>
              </w:rPr>
            </w:pPr>
            <w:r w:rsidRPr="00601E29">
              <w:rPr>
                <w:noProof/>
                <w:sz w:val="10"/>
                <w:szCs w:val="10"/>
                <w:lang w:val="fr-BE"/>
              </w:rPr>
              <w:t>Liczba szkół i placówek kształcenia zawodowego wykorzystujących doposażenie zakupione dzięki EFS</w:t>
            </w:r>
          </w:p>
        </w:tc>
        <w:tc>
          <w:tcPr>
            <w:tcW w:w="0" w:type="auto"/>
            <w:shd w:val="clear" w:color="auto" w:fill="auto"/>
          </w:tcPr>
          <w:p w14:paraId="115AE75A" w14:textId="77777777" w:rsidR="008C5CFA" w:rsidRPr="00601E29" w:rsidRDefault="00E82A60" w:rsidP="00300A01">
            <w:pPr>
              <w:spacing w:before="0" w:after="0"/>
              <w:rPr>
                <w:sz w:val="10"/>
                <w:szCs w:val="10"/>
                <w:lang w:val="fr-BE"/>
              </w:rPr>
            </w:pPr>
            <w:r w:rsidRPr="00601E29">
              <w:rPr>
                <w:noProof/>
                <w:sz w:val="10"/>
                <w:szCs w:val="10"/>
                <w:lang w:val="fr-BE"/>
              </w:rPr>
              <w:t>Słabiej rozwinięte</w:t>
            </w:r>
          </w:p>
        </w:tc>
        <w:tc>
          <w:tcPr>
            <w:tcW w:w="0" w:type="auto"/>
          </w:tcPr>
          <w:p w14:paraId="676A0FDB" w14:textId="77777777" w:rsidR="008C5CFA" w:rsidRPr="00601E29" w:rsidRDefault="00E82A60" w:rsidP="00300A01">
            <w:pPr>
              <w:spacing w:before="0" w:after="0"/>
              <w:jc w:val="right"/>
              <w:rPr>
                <w:sz w:val="10"/>
                <w:szCs w:val="10"/>
                <w:lang w:val="fr-BE"/>
              </w:rPr>
            </w:pPr>
            <w:r w:rsidRPr="00601E29">
              <w:rPr>
                <w:noProof/>
                <w:sz w:val="10"/>
                <w:szCs w:val="10"/>
                <w:lang w:val="fr-BE"/>
              </w:rPr>
              <w:t>57,00</w:t>
            </w:r>
          </w:p>
        </w:tc>
        <w:tc>
          <w:tcPr>
            <w:tcW w:w="0" w:type="auto"/>
          </w:tcPr>
          <w:p w14:paraId="6AEF2C2F"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747EE8ED"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43BAD4FE" w14:textId="77777777" w:rsidR="008C5CFA" w:rsidRPr="00601E29" w:rsidRDefault="00E82A60" w:rsidP="00300A01">
            <w:pPr>
              <w:spacing w:before="0" w:after="0"/>
              <w:jc w:val="right"/>
              <w:rPr>
                <w:sz w:val="10"/>
                <w:szCs w:val="10"/>
                <w:lang w:val="fr-BE"/>
              </w:rPr>
            </w:pPr>
            <w:r w:rsidRPr="00601E29">
              <w:rPr>
                <w:noProof/>
                <w:sz w:val="10"/>
                <w:szCs w:val="10"/>
                <w:lang w:val="fr-BE"/>
              </w:rPr>
              <w:t>37,00</w:t>
            </w:r>
          </w:p>
        </w:tc>
        <w:tc>
          <w:tcPr>
            <w:tcW w:w="0" w:type="auto"/>
          </w:tcPr>
          <w:p w14:paraId="7189E8B7"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52B1A985"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04C122AB" w14:textId="77777777" w:rsidR="008C5CFA" w:rsidRPr="00601E29" w:rsidRDefault="008C5CFA" w:rsidP="00300A01">
            <w:pPr>
              <w:spacing w:before="0" w:after="0"/>
              <w:jc w:val="right"/>
              <w:rPr>
                <w:sz w:val="10"/>
                <w:szCs w:val="10"/>
                <w:lang w:val="fr-BE"/>
              </w:rPr>
            </w:pPr>
          </w:p>
        </w:tc>
        <w:tc>
          <w:tcPr>
            <w:tcW w:w="0" w:type="auto"/>
          </w:tcPr>
          <w:p w14:paraId="005BBB50" w14:textId="77777777" w:rsidR="008C5CFA" w:rsidRPr="00601E29" w:rsidRDefault="00E82A60" w:rsidP="00300A01">
            <w:pPr>
              <w:spacing w:before="0" w:after="0"/>
              <w:jc w:val="right"/>
              <w:rPr>
                <w:sz w:val="10"/>
                <w:szCs w:val="10"/>
                <w:lang w:val="fr-BE"/>
              </w:rPr>
            </w:pPr>
            <w:r w:rsidRPr="00601E29">
              <w:rPr>
                <w:noProof/>
                <w:sz w:val="10"/>
                <w:szCs w:val="10"/>
                <w:lang w:val="fr-BE"/>
              </w:rPr>
              <w:t>20,00</w:t>
            </w:r>
          </w:p>
        </w:tc>
        <w:tc>
          <w:tcPr>
            <w:tcW w:w="0" w:type="auto"/>
          </w:tcPr>
          <w:p w14:paraId="5A2DA096"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237680FF"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143F8B15" w14:textId="77777777" w:rsidR="008C5CFA" w:rsidRPr="00601E29" w:rsidRDefault="00E82A60" w:rsidP="00300A01">
            <w:pPr>
              <w:spacing w:before="0" w:after="0"/>
              <w:jc w:val="right"/>
              <w:rPr>
                <w:sz w:val="10"/>
                <w:szCs w:val="10"/>
                <w:lang w:val="fr-BE"/>
              </w:rPr>
            </w:pPr>
            <w:r w:rsidRPr="00601E29">
              <w:rPr>
                <w:noProof/>
                <w:sz w:val="10"/>
                <w:szCs w:val="10"/>
                <w:lang w:val="fr-BE"/>
              </w:rPr>
              <w:t>20,00</w:t>
            </w:r>
          </w:p>
        </w:tc>
        <w:tc>
          <w:tcPr>
            <w:tcW w:w="0" w:type="auto"/>
          </w:tcPr>
          <w:p w14:paraId="64C7734D"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529F4689"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4361CF62" w14:textId="77777777" w:rsidR="008C5CFA" w:rsidRPr="00601E29" w:rsidRDefault="008C5CFA" w:rsidP="00300A01">
            <w:pPr>
              <w:spacing w:before="0" w:after="0"/>
              <w:jc w:val="right"/>
              <w:rPr>
                <w:sz w:val="10"/>
                <w:szCs w:val="10"/>
                <w:lang w:val="fr-BE"/>
              </w:rPr>
            </w:pPr>
          </w:p>
        </w:tc>
      </w:tr>
      <w:tr w:rsidR="006B2EC1" w14:paraId="1D528990" w14:textId="77777777" w:rsidTr="0047688D">
        <w:tc>
          <w:tcPr>
            <w:tcW w:w="0" w:type="auto"/>
            <w:shd w:val="clear" w:color="auto" w:fill="auto"/>
          </w:tcPr>
          <w:p w14:paraId="1A777CB0" w14:textId="77777777" w:rsidR="008C5CFA" w:rsidRPr="00601E29" w:rsidRDefault="00E82A60" w:rsidP="00300A01">
            <w:pPr>
              <w:spacing w:before="0" w:after="0"/>
              <w:rPr>
                <w:sz w:val="10"/>
                <w:szCs w:val="10"/>
                <w:lang w:val="fr-BE"/>
              </w:rPr>
            </w:pPr>
            <w:r w:rsidRPr="00601E29">
              <w:rPr>
                <w:noProof/>
                <w:sz w:val="10"/>
                <w:szCs w:val="10"/>
                <w:lang w:val="fr-BE"/>
              </w:rPr>
              <w:t>016</w:t>
            </w:r>
          </w:p>
        </w:tc>
        <w:tc>
          <w:tcPr>
            <w:tcW w:w="0" w:type="auto"/>
            <w:shd w:val="clear" w:color="auto" w:fill="auto"/>
          </w:tcPr>
          <w:p w14:paraId="74F73909" w14:textId="77777777" w:rsidR="008C5CFA" w:rsidRPr="00601E29" w:rsidRDefault="00E82A60" w:rsidP="00300A01">
            <w:pPr>
              <w:spacing w:before="0" w:after="0"/>
              <w:rPr>
                <w:sz w:val="10"/>
                <w:szCs w:val="10"/>
                <w:lang w:val="fr-BE"/>
              </w:rPr>
            </w:pPr>
            <w:r w:rsidRPr="00601E29">
              <w:rPr>
                <w:noProof/>
                <w:sz w:val="10"/>
                <w:szCs w:val="10"/>
                <w:lang w:val="fr-BE"/>
              </w:rPr>
              <w:t>Liczba osób, które uzyskały kwalifikacje w ramach pozaszkolnych form kształcenia</w:t>
            </w:r>
          </w:p>
        </w:tc>
        <w:tc>
          <w:tcPr>
            <w:tcW w:w="0" w:type="auto"/>
            <w:shd w:val="clear" w:color="auto" w:fill="auto"/>
          </w:tcPr>
          <w:p w14:paraId="4B540AF3" w14:textId="77777777" w:rsidR="008C5CFA" w:rsidRPr="00601E29" w:rsidRDefault="00E82A60" w:rsidP="00300A01">
            <w:pPr>
              <w:spacing w:before="0" w:after="0"/>
              <w:rPr>
                <w:sz w:val="10"/>
                <w:szCs w:val="10"/>
                <w:lang w:val="fr-BE"/>
              </w:rPr>
            </w:pPr>
            <w:r w:rsidRPr="00601E29">
              <w:rPr>
                <w:noProof/>
                <w:sz w:val="10"/>
                <w:szCs w:val="10"/>
                <w:lang w:val="fr-BE"/>
              </w:rPr>
              <w:t>Słabiej rozwinięte</w:t>
            </w:r>
          </w:p>
        </w:tc>
        <w:tc>
          <w:tcPr>
            <w:tcW w:w="0" w:type="auto"/>
          </w:tcPr>
          <w:p w14:paraId="7234EFB4" w14:textId="77777777" w:rsidR="008C5CFA" w:rsidRPr="00601E29" w:rsidRDefault="00E82A60" w:rsidP="00300A01">
            <w:pPr>
              <w:spacing w:before="0" w:after="0"/>
              <w:jc w:val="right"/>
              <w:rPr>
                <w:sz w:val="10"/>
                <w:szCs w:val="10"/>
                <w:lang w:val="fr-BE"/>
              </w:rPr>
            </w:pPr>
            <w:r w:rsidRPr="00601E29">
              <w:rPr>
                <w:noProof/>
                <w:sz w:val="10"/>
                <w:szCs w:val="10"/>
                <w:lang w:val="fr-BE"/>
              </w:rPr>
              <w:t>466,00</w:t>
            </w:r>
          </w:p>
        </w:tc>
        <w:tc>
          <w:tcPr>
            <w:tcW w:w="0" w:type="auto"/>
          </w:tcPr>
          <w:p w14:paraId="73DCCE04"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78D85295"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1DE503F5" w14:textId="77777777" w:rsidR="008C5CFA" w:rsidRPr="00601E29" w:rsidRDefault="00E82A60" w:rsidP="00300A01">
            <w:pPr>
              <w:spacing w:before="0" w:after="0"/>
              <w:jc w:val="right"/>
              <w:rPr>
                <w:sz w:val="10"/>
                <w:szCs w:val="10"/>
                <w:lang w:val="fr-BE"/>
              </w:rPr>
            </w:pPr>
            <w:r w:rsidRPr="00601E29">
              <w:rPr>
                <w:noProof/>
                <w:sz w:val="10"/>
                <w:szCs w:val="10"/>
                <w:lang w:val="fr-BE"/>
              </w:rPr>
              <w:t>386,00</w:t>
            </w:r>
          </w:p>
        </w:tc>
        <w:tc>
          <w:tcPr>
            <w:tcW w:w="0" w:type="auto"/>
          </w:tcPr>
          <w:p w14:paraId="75D5A225"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1FBA64F9"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4CC05DED" w14:textId="77777777" w:rsidR="008C5CFA" w:rsidRPr="00601E29" w:rsidRDefault="008C5CFA" w:rsidP="00300A01">
            <w:pPr>
              <w:spacing w:before="0" w:after="0"/>
              <w:jc w:val="right"/>
              <w:rPr>
                <w:sz w:val="10"/>
                <w:szCs w:val="10"/>
                <w:lang w:val="fr-BE"/>
              </w:rPr>
            </w:pPr>
          </w:p>
        </w:tc>
        <w:tc>
          <w:tcPr>
            <w:tcW w:w="0" w:type="auto"/>
          </w:tcPr>
          <w:p w14:paraId="0AE03327" w14:textId="77777777" w:rsidR="008C5CFA" w:rsidRPr="00601E29" w:rsidRDefault="00E82A60" w:rsidP="00300A01">
            <w:pPr>
              <w:spacing w:before="0" w:after="0"/>
              <w:jc w:val="right"/>
              <w:rPr>
                <w:sz w:val="10"/>
                <w:szCs w:val="10"/>
                <w:lang w:val="fr-BE"/>
              </w:rPr>
            </w:pPr>
            <w:r w:rsidRPr="00601E29">
              <w:rPr>
                <w:noProof/>
                <w:sz w:val="10"/>
                <w:szCs w:val="10"/>
                <w:lang w:val="fr-BE"/>
              </w:rPr>
              <w:t>80,00</w:t>
            </w:r>
          </w:p>
        </w:tc>
        <w:tc>
          <w:tcPr>
            <w:tcW w:w="0" w:type="auto"/>
          </w:tcPr>
          <w:p w14:paraId="561721C7"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5077BB7D"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1C608F57" w14:textId="77777777" w:rsidR="008C5CFA" w:rsidRPr="00601E29" w:rsidRDefault="00E82A60" w:rsidP="00300A01">
            <w:pPr>
              <w:spacing w:before="0" w:after="0"/>
              <w:jc w:val="right"/>
              <w:rPr>
                <w:sz w:val="10"/>
                <w:szCs w:val="10"/>
                <w:lang w:val="fr-BE"/>
              </w:rPr>
            </w:pPr>
            <w:r w:rsidRPr="00601E29">
              <w:rPr>
                <w:noProof/>
                <w:sz w:val="10"/>
                <w:szCs w:val="10"/>
                <w:lang w:val="fr-BE"/>
              </w:rPr>
              <w:t>80,00</w:t>
            </w:r>
          </w:p>
        </w:tc>
        <w:tc>
          <w:tcPr>
            <w:tcW w:w="0" w:type="auto"/>
          </w:tcPr>
          <w:p w14:paraId="3F67C9C8"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0BB4DAF2"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34402EDC" w14:textId="77777777" w:rsidR="008C5CFA" w:rsidRPr="00601E29" w:rsidRDefault="008C5CFA" w:rsidP="00300A01">
            <w:pPr>
              <w:spacing w:before="0" w:after="0"/>
              <w:jc w:val="right"/>
              <w:rPr>
                <w:sz w:val="10"/>
                <w:szCs w:val="10"/>
                <w:lang w:val="fr-BE"/>
              </w:rPr>
            </w:pPr>
          </w:p>
        </w:tc>
      </w:tr>
    </w:tbl>
    <w:p w14:paraId="02741269"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64"/>
        <w:gridCol w:w="6986"/>
        <w:gridCol w:w="878"/>
        <w:gridCol w:w="448"/>
        <w:gridCol w:w="564"/>
        <w:gridCol w:w="453"/>
        <w:gridCol w:w="448"/>
        <w:gridCol w:w="564"/>
        <w:gridCol w:w="453"/>
        <w:gridCol w:w="598"/>
        <w:gridCol w:w="448"/>
        <w:gridCol w:w="564"/>
        <w:gridCol w:w="453"/>
        <w:gridCol w:w="448"/>
        <w:gridCol w:w="564"/>
        <w:gridCol w:w="453"/>
        <w:gridCol w:w="598"/>
      </w:tblGrid>
      <w:tr w:rsidR="006B2EC1" w14:paraId="5416E1CE" w14:textId="77777777" w:rsidTr="0047688D">
        <w:trPr>
          <w:tblHeader/>
        </w:trPr>
        <w:tc>
          <w:tcPr>
            <w:tcW w:w="0" w:type="auto"/>
            <w:shd w:val="clear" w:color="auto" w:fill="auto"/>
          </w:tcPr>
          <w:p w14:paraId="39F3095B" w14:textId="77777777" w:rsidR="008C5CFA" w:rsidRPr="00601E29" w:rsidRDefault="00E82A60" w:rsidP="00300A01">
            <w:pPr>
              <w:spacing w:before="0" w:after="0"/>
              <w:rPr>
                <w:b/>
                <w:sz w:val="10"/>
                <w:szCs w:val="10"/>
                <w:lang w:val="fr-BE"/>
              </w:rPr>
            </w:pPr>
            <w:r w:rsidRPr="00601E29">
              <w:rPr>
                <w:b/>
                <w:noProof/>
                <w:sz w:val="10"/>
                <w:szCs w:val="10"/>
                <w:lang w:val="fr-BE"/>
              </w:rPr>
              <w:t>ID</w:t>
            </w:r>
          </w:p>
        </w:tc>
        <w:tc>
          <w:tcPr>
            <w:tcW w:w="0" w:type="auto"/>
            <w:shd w:val="clear" w:color="auto" w:fill="auto"/>
          </w:tcPr>
          <w:p w14:paraId="3BBABF47" w14:textId="77777777" w:rsidR="008C5CFA" w:rsidRPr="00601E29" w:rsidRDefault="00E82A60" w:rsidP="00300A01">
            <w:pPr>
              <w:spacing w:before="0" w:after="0"/>
              <w:rPr>
                <w:b/>
                <w:sz w:val="10"/>
                <w:szCs w:val="10"/>
                <w:lang w:val="fr-BE"/>
              </w:rPr>
            </w:pPr>
            <w:r w:rsidRPr="00601E29">
              <w:rPr>
                <w:b/>
                <w:noProof/>
                <w:sz w:val="10"/>
                <w:szCs w:val="10"/>
                <w:lang w:val="fr-BE"/>
              </w:rPr>
              <w:t>Wskaźnik</w:t>
            </w:r>
          </w:p>
        </w:tc>
        <w:tc>
          <w:tcPr>
            <w:tcW w:w="0" w:type="auto"/>
            <w:shd w:val="clear" w:color="auto" w:fill="auto"/>
          </w:tcPr>
          <w:p w14:paraId="0648E1C2" w14:textId="77777777" w:rsidR="008C5CFA" w:rsidRPr="00601E29" w:rsidRDefault="00E82A60" w:rsidP="00300A01">
            <w:pPr>
              <w:spacing w:before="0" w:after="0"/>
              <w:rPr>
                <w:b/>
                <w:sz w:val="10"/>
                <w:szCs w:val="10"/>
                <w:lang w:val="fr-BE"/>
              </w:rPr>
            </w:pPr>
            <w:r w:rsidRPr="00601E29">
              <w:rPr>
                <w:b/>
                <w:noProof/>
                <w:sz w:val="10"/>
                <w:szCs w:val="10"/>
                <w:lang w:val="fr-BE"/>
              </w:rPr>
              <w:t>Kategoria regionu</w:t>
            </w:r>
          </w:p>
        </w:tc>
        <w:tc>
          <w:tcPr>
            <w:tcW w:w="0" w:type="auto"/>
            <w:gridSpan w:val="7"/>
          </w:tcPr>
          <w:p w14:paraId="35099696" w14:textId="77777777" w:rsidR="008C5CFA" w:rsidRPr="00601E29" w:rsidRDefault="00E82A60" w:rsidP="00300A01">
            <w:pPr>
              <w:spacing w:before="0" w:after="0"/>
              <w:jc w:val="center"/>
              <w:rPr>
                <w:b/>
                <w:sz w:val="10"/>
                <w:szCs w:val="10"/>
                <w:lang w:val="fr-BE"/>
              </w:rPr>
            </w:pPr>
            <w:r>
              <w:rPr>
                <w:b/>
                <w:sz w:val="10"/>
                <w:szCs w:val="10"/>
                <w:lang w:val="fr-BE"/>
              </w:rPr>
              <w:t>2016</w:t>
            </w:r>
          </w:p>
        </w:tc>
        <w:tc>
          <w:tcPr>
            <w:tcW w:w="0" w:type="auto"/>
            <w:gridSpan w:val="7"/>
          </w:tcPr>
          <w:p w14:paraId="4BE2BA6E" w14:textId="77777777" w:rsidR="008C5CFA" w:rsidRPr="00601E29" w:rsidRDefault="00E82A60" w:rsidP="00300A01">
            <w:pPr>
              <w:spacing w:before="0" w:after="0"/>
              <w:jc w:val="center"/>
              <w:rPr>
                <w:b/>
                <w:sz w:val="10"/>
                <w:szCs w:val="10"/>
                <w:lang w:val="fr-BE"/>
              </w:rPr>
            </w:pPr>
            <w:r>
              <w:rPr>
                <w:b/>
                <w:sz w:val="10"/>
                <w:szCs w:val="10"/>
                <w:lang w:val="fr-BE"/>
              </w:rPr>
              <w:t>2015</w:t>
            </w:r>
          </w:p>
        </w:tc>
      </w:tr>
      <w:tr w:rsidR="006B2EC1" w14:paraId="63041975" w14:textId="77777777" w:rsidTr="0047688D">
        <w:trPr>
          <w:tblHeader/>
        </w:trPr>
        <w:tc>
          <w:tcPr>
            <w:tcW w:w="0" w:type="auto"/>
            <w:shd w:val="clear" w:color="auto" w:fill="auto"/>
          </w:tcPr>
          <w:p w14:paraId="0CE17F7E" w14:textId="77777777" w:rsidR="008C5CFA" w:rsidRPr="00601E29" w:rsidRDefault="008C5CFA" w:rsidP="00300A01">
            <w:pPr>
              <w:spacing w:before="0" w:after="0"/>
              <w:rPr>
                <w:b/>
                <w:sz w:val="10"/>
                <w:szCs w:val="10"/>
                <w:lang w:val="fr-BE"/>
              </w:rPr>
            </w:pPr>
          </w:p>
        </w:tc>
        <w:tc>
          <w:tcPr>
            <w:tcW w:w="0" w:type="auto"/>
            <w:shd w:val="clear" w:color="auto" w:fill="auto"/>
          </w:tcPr>
          <w:p w14:paraId="41E4CE94" w14:textId="77777777" w:rsidR="008C5CFA" w:rsidRPr="00601E29" w:rsidRDefault="008C5CFA" w:rsidP="00300A01">
            <w:pPr>
              <w:spacing w:before="0" w:after="0"/>
              <w:rPr>
                <w:b/>
                <w:sz w:val="10"/>
                <w:szCs w:val="10"/>
                <w:lang w:val="fr-BE"/>
              </w:rPr>
            </w:pPr>
          </w:p>
        </w:tc>
        <w:tc>
          <w:tcPr>
            <w:tcW w:w="0" w:type="auto"/>
            <w:shd w:val="clear" w:color="auto" w:fill="auto"/>
          </w:tcPr>
          <w:p w14:paraId="01D5DA63" w14:textId="77777777" w:rsidR="008C5CFA" w:rsidRPr="00601E29" w:rsidRDefault="008C5CFA" w:rsidP="00300A01">
            <w:pPr>
              <w:spacing w:before="0" w:after="0"/>
              <w:rPr>
                <w:b/>
                <w:sz w:val="10"/>
                <w:szCs w:val="10"/>
                <w:lang w:val="fr-BE"/>
              </w:rPr>
            </w:pPr>
          </w:p>
        </w:tc>
        <w:tc>
          <w:tcPr>
            <w:tcW w:w="0" w:type="auto"/>
            <w:gridSpan w:val="3"/>
          </w:tcPr>
          <w:p w14:paraId="0427BA8C" w14:textId="77777777" w:rsidR="008C5CFA" w:rsidRPr="00601E29" w:rsidRDefault="00E82A60" w:rsidP="00300A01">
            <w:pPr>
              <w:spacing w:before="0" w:after="0"/>
              <w:jc w:val="center"/>
              <w:rPr>
                <w:b/>
                <w:sz w:val="10"/>
                <w:szCs w:val="10"/>
                <w:lang w:val="fr-BE"/>
              </w:rPr>
            </w:pPr>
            <w:r w:rsidRPr="00601E29">
              <w:rPr>
                <w:b/>
                <w:noProof/>
                <w:sz w:val="10"/>
                <w:szCs w:val="10"/>
                <w:lang w:val="fr-BE"/>
              </w:rPr>
              <w:t>Łącznie</w:t>
            </w:r>
          </w:p>
        </w:tc>
        <w:tc>
          <w:tcPr>
            <w:tcW w:w="0" w:type="auto"/>
            <w:gridSpan w:val="3"/>
          </w:tcPr>
          <w:p w14:paraId="032C3148" w14:textId="77777777" w:rsidR="008C5CFA" w:rsidRPr="00601E29" w:rsidRDefault="00E82A60" w:rsidP="00300A01">
            <w:pPr>
              <w:spacing w:before="0" w:after="0"/>
              <w:jc w:val="center"/>
              <w:rPr>
                <w:b/>
                <w:sz w:val="10"/>
                <w:szCs w:val="10"/>
                <w:lang w:val="fr-BE"/>
              </w:rPr>
            </w:pPr>
            <w:r w:rsidRPr="00601E29">
              <w:rPr>
                <w:b/>
                <w:noProof/>
                <w:sz w:val="10"/>
                <w:szCs w:val="10"/>
                <w:lang w:val="fr-BE"/>
              </w:rPr>
              <w:t>Łącznie w roku</w:t>
            </w:r>
          </w:p>
        </w:tc>
        <w:tc>
          <w:tcPr>
            <w:tcW w:w="0" w:type="auto"/>
          </w:tcPr>
          <w:p w14:paraId="516B45E7" w14:textId="77777777" w:rsidR="008C5CFA" w:rsidRPr="00601E29" w:rsidRDefault="00E82A60" w:rsidP="00300A01">
            <w:pPr>
              <w:spacing w:before="0" w:after="0"/>
              <w:jc w:val="center"/>
              <w:rPr>
                <w:b/>
                <w:sz w:val="10"/>
                <w:szCs w:val="10"/>
                <w:lang w:val="fr-BE"/>
              </w:rPr>
            </w:pPr>
            <w:r w:rsidRPr="00601E29">
              <w:rPr>
                <w:b/>
                <w:noProof/>
                <w:sz w:val="10"/>
                <w:szCs w:val="10"/>
                <w:lang w:val="fr-BE"/>
              </w:rPr>
              <w:t>Jakościowe</w:t>
            </w:r>
          </w:p>
        </w:tc>
        <w:tc>
          <w:tcPr>
            <w:tcW w:w="0" w:type="auto"/>
            <w:gridSpan w:val="3"/>
          </w:tcPr>
          <w:p w14:paraId="1B6586B1" w14:textId="77777777" w:rsidR="008C5CFA" w:rsidRPr="00601E29" w:rsidRDefault="00E82A60" w:rsidP="00300A01">
            <w:pPr>
              <w:spacing w:before="0" w:after="0"/>
              <w:jc w:val="center"/>
              <w:rPr>
                <w:b/>
                <w:sz w:val="10"/>
                <w:szCs w:val="10"/>
                <w:lang w:val="fr-BE"/>
              </w:rPr>
            </w:pPr>
            <w:r w:rsidRPr="00601E29">
              <w:rPr>
                <w:b/>
                <w:noProof/>
                <w:sz w:val="10"/>
                <w:szCs w:val="10"/>
                <w:lang w:val="fr-BE"/>
              </w:rPr>
              <w:t>Łącznie</w:t>
            </w:r>
          </w:p>
        </w:tc>
        <w:tc>
          <w:tcPr>
            <w:tcW w:w="0" w:type="auto"/>
            <w:gridSpan w:val="3"/>
          </w:tcPr>
          <w:p w14:paraId="20ECFABC" w14:textId="77777777" w:rsidR="008C5CFA" w:rsidRPr="00601E29" w:rsidRDefault="00E82A60" w:rsidP="00300A01">
            <w:pPr>
              <w:spacing w:before="0" w:after="0"/>
              <w:jc w:val="center"/>
              <w:rPr>
                <w:b/>
                <w:sz w:val="10"/>
                <w:szCs w:val="10"/>
                <w:lang w:val="fr-BE"/>
              </w:rPr>
            </w:pPr>
            <w:r w:rsidRPr="00601E29">
              <w:rPr>
                <w:b/>
                <w:noProof/>
                <w:sz w:val="10"/>
                <w:szCs w:val="10"/>
                <w:lang w:val="fr-BE"/>
              </w:rPr>
              <w:t>Łącznie w roku</w:t>
            </w:r>
          </w:p>
        </w:tc>
        <w:tc>
          <w:tcPr>
            <w:tcW w:w="0" w:type="auto"/>
          </w:tcPr>
          <w:p w14:paraId="3E5BCE3F" w14:textId="77777777" w:rsidR="008C5CFA" w:rsidRPr="00601E29" w:rsidRDefault="00E82A60" w:rsidP="00300A01">
            <w:pPr>
              <w:spacing w:before="0" w:after="0"/>
              <w:jc w:val="center"/>
              <w:rPr>
                <w:b/>
                <w:sz w:val="10"/>
                <w:szCs w:val="10"/>
                <w:lang w:val="fr-BE"/>
              </w:rPr>
            </w:pPr>
            <w:r w:rsidRPr="00601E29">
              <w:rPr>
                <w:b/>
                <w:noProof/>
                <w:sz w:val="10"/>
                <w:szCs w:val="10"/>
                <w:lang w:val="fr-BE"/>
              </w:rPr>
              <w:t>Jakościowe</w:t>
            </w:r>
          </w:p>
        </w:tc>
      </w:tr>
      <w:tr w:rsidR="006B2EC1" w14:paraId="6209C299" w14:textId="77777777" w:rsidTr="0047688D">
        <w:trPr>
          <w:tblHeader/>
        </w:trPr>
        <w:tc>
          <w:tcPr>
            <w:tcW w:w="0" w:type="auto"/>
            <w:shd w:val="clear" w:color="auto" w:fill="auto"/>
          </w:tcPr>
          <w:p w14:paraId="2F517DCA" w14:textId="77777777" w:rsidR="008C5CFA" w:rsidRPr="00601E29" w:rsidRDefault="008C5CFA" w:rsidP="00300A01">
            <w:pPr>
              <w:spacing w:before="0" w:after="0"/>
              <w:rPr>
                <w:b/>
                <w:sz w:val="10"/>
                <w:szCs w:val="10"/>
                <w:lang w:val="fr-BE"/>
              </w:rPr>
            </w:pPr>
          </w:p>
        </w:tc>
        <w:tc>
          <w:tcPr>
            <w:tcW w:w="0" w:type="auto"/>
            <w:shd w:val="clear" w:color="auto" w:fill="auto"/>
          </w:tcPr>
          <w:p w14:paraId="64537184" w14:textId="77777777" w:rsidR="008C5CFA" w:rsidRPr="00601E29" w:rsidRDefault="008C5CFA" w:rsidP="00300A01">
            <w:pPr>
              <w:spacing w:before="0" w:after="0"/>
              <w:rPr>
                <w:b/>
                <w:sz w:val="10"/>
                <w:szCs w:val="10"/>
                <w:lang w:val="fr-BE"/>
              </w:rPr>
            </w:pPr>
          </w:p>
        </w:tc>
        <w:tc>
          <w:tcPr>
            <w:tcW w:w="0" w:type="auto"/>
            <w:shd w:val="clear" w:color="auto" w:fill="auto"/>
          </w:tcPr>
          <w:p w14:paraId="7036CB90" w14:textId="77777777" w:rsidR="008C5CFA" w:rsidRPr="00601E29" w:rsidRDefault="008C5CFA" w:rsidP="00300A01">
            <w:pPr>
              <w:spacing w:before="0" w:after="0"/>
              <w:rPr>
                <w:b/>
                <w:sz w:val="10"/>
                <w:szCs w:val="10"/>
                <w:lang w:val="fr-BE"/>
              </w:rPr>
            </w:pPr>
          </w:p>
        </w:tc>
        <w:tc>
          <w:tcPr>
            <w:tcW w:w="0" w:type="auto"/>
          </w:tcPr>
          <w:p w14:paraId="012C41C3" w14:textId="77777777" w:rsidR="008C5CFA" w:rsidRPr="00601E29" w:rsidRDefault="00E82A60" w:rsidP="00300A01">
            <w:pPr>
              <w:spacing w:before="0" w:after="0"/>
              <w:jc w:val="center"/>
              <w:rPr>
                <w:b/>
                <w:sz w:val="10"/>
                <w:szCs w:val="10"/>
                <w:lang w:val="fr-BE"/>
              </w:rPr>
            </w:pPr>
            <w:r w:rsidRPr="00601E29">
              <w:rPr>
                <w:b/>
                <w:noProof/>
                <w:sz w:val="10"/>
                <w:szCs w:val="10"/>
                <w:lang w:val="fr-BE"/>
              </w:rPr>
              <w:t>Ogółem</w:t>
            </w:r>
          </w:p>
        </w:tc>
        <w:tc>
          <w:tcPr>
            <w:tcW w:w="0" w:type="auto"/>
          </w:tcPr>
          <w:p w14:paraId="19E37F6D" w14:textId="77777777" w:rsidR="008C5CFA" w:rsidRPr="00601E29" w:rsidRDefault="00E82A60" w:rsidP="00300A01">
            <w:pPr>
              <w:spacing w:before="0" w:after="0"/>
              <w:jc w:val="center"/>
              <w:rPr>
                <w:b/>
                <w:sz w:val="10"/>
                <w:szCs w:val="10"/>
                <w:lang w:val="fr-BE"/>
              </w:rPr>
            </w:pPr>
            <w:r w:rsidRPr="00601E29">
              <w:rPr>
                <w:b/>
                <w:noProof/>
                <w:sz w:val="10"/>
                <w:szCs w:val="10"/>
                <w:lang w:val="fr-BE"/>
              </w:rPr>
              <w:t>Mężczyźni</w:t>
            </w:r>
          </w:p>
        </w:tc>
        <w:tc>
          <w:tcPr>
            <w:tcW w:w="0" w:type="auto"/>
          </w:tcPr>
          <w:p w14:paraId="479C4B2B" w14:textId="77777777" w:rsidR="008C5CFA" w:rsidRPr="00601E29" w:rsidRDefault="00E82A60" w:rsidP="00300A01">
            <w:pPr>
              <w:spacing w:before="0" w:after="0"/>
              <w:jc w:val="center"/>
              <w:rPr>
                <w:b/>
                <w:sz w:val="10"/>
                <w:szCs w:val="10"/>
                <w:lang w:val="fr-BE"/>
              </w:rPr>
            </w:pPr>
            <w:r w:rsidRPr="00601E29">
              <w:rPr>
                <w:b/>
                <w:noProof/>
                <w:sz w:val="10"/>
                <w:szCs w:val="10"/>
                <w:lang w:val="fr-BE"/>
              </w:rPr>
              <w:t>Kobiety</w:t>
            </w:r>
          </w:p>
        </w:tc>
        <w:tc>
          <w:tcPr>
            <w:tcW w:w="0" w:type="auto"/>
          </w:tcPr>
          <w:p w14:paraId="51FC9C68" w14:textId="77777777" w:rsidR="008C5CFA" w:rsidRPr="00601E29" w:rsidRDefault="00E82A60" w:rsidP="00300A01">
            <w:pPr>
              <w:spacing w:before="0" w:after="0"/>
              <w:jc w:val="center"/>
              <w:rPr>
                <w:b/>
                <w:sz w:val="10"/>
                <w:szCs w:val="10"/>
                <w:lang w:val="fr-BE"/>
              </w:rPr>
            </w:pPr>
            <w:r w:rsidRPr="00601E29">
              <w:rPr>
                <w:b/>
                <w:noProof/>
                <w:sz w:val="10"/>
                <w:szCs w:val="10"/>
                <w:lang w:val="fr-BE"/>
              </w:rPr>
              <w:t>Ogółem</w:t>
            </w:r>
          </w:p>
        </w:tc>
        <w:tc>
          <w:tcPr>
            <w:tcW w:w="0" w:type="auto"/>
          </w:tcPr>
          <w:p w14:paraId="6309139A" w14:textId="77777777" w:rsidR="008C5CFA" w:rsidRPr="00601E29" w:rsidRDefault="00E82A60" w:rsidP="00300A01">
            <w:pPr>
              <w:spacing w:before="0" w:after="0"/>
              <w:jc w:val="center"/>
              <w:rPr>
                <w:b/>
                <w:sz w:val="10"/>
                <w:szCs w:val="10"/>
                <w:lang w:val="fr-BE"/>
              </w:rPr>
            </w:pPr>
            <w:r w:rsidRPr="00601E29">
              <w:rPr>
                <w:b/>
                <w:noProof/>
                <w:sz w:val="10"/>
                <w:szCs w:val="10"/>
                <w:lang w:val="fr-BE"/>
              </w:rPr>
              <w:t>Mężczyźni</w:t>
            </w:r>
          </w:p>
        </w:tc>
        <w:tc>
          <w:tcPr>
            <w:tcW w:w="0" w:type="auto"/>
          </w:tcPr>
          <w:p w14:paraId="6E41E245" w14:textId="77777777" w:rsidR="008C5CFA" w:rsidRPr="00601E29" w:rsidRDefault="00E82A60" w:rsidP="00300A01">
            <w:pPr>
              <w:spacing w:before="0" w:after="0"/>
              <w:jc w:val="center"/>
              <w:rPr>
                <w:b/>
                <w:sz w:val="10"/>
                <w:szCs w:val="10"/>
                <w:lang w:val="fr-BE"/>
              </w:rPr>
            </w:pPr>
            <w:r w:rsidRPr="00601E29">
              <w:rPr>
                <w:b/>
                <w:noProof/>
                <w:sz w:val="10"/>
                <w:szCs w:val="10"/>
                <w:lang w:val="fr-BE"/>
              </w:rPr>
              <w:t>Kobiety</w:t>
            </w:r>
          </w:p>
        </w:tc>
        <w:tc>
          <w:tcPr>
            <w:tcW w:w="0" w:type="auto"/>
          </w:tcPr>
          <w:p w14:paraId="70925D69" w14:textId="77777777" w:rsidR="008C5CFA" w:rsidRPr="00601E29" w:rsidRDefault="008C5CFA" w:rsidP="00300A01">
            <w:pPr>
              <w:spacing w:before="0" w:after="0"/>
              <w:jc w:val="center"/>
              <w:rPr>
                <w:b/>
                <w:sz w:val="10"/>
                <w:szCs w:val="10"/>
                <w:lang w:val="fr-BE"/>
              </w:rPr>
            </w:pPr>
          </w:p>
        </w:tc>
        <w:tc>
          <w:tcPr>
            <w:tcW w:w="0" w:type="auto"/>
          </w:tcPr>
          <w:p w14:paraId="3A167829" w14:textId="77777777" w:rsidR="008C5CFA" w:rsidRPr="00601E29" w:rsidRDefault="00E82A60" w:rsidP="00300A01">
            <w:pPr>
              <w:spacing w:before="0" w:after="0"/>
              <w:jc w:val="center"/>
              <w:rPr>
                <w:b/>
                <w:sz w:val="10"/>
                <w:szCs w:val="10"/>
                <w:lang w:val="fr-BE"/>
              </w:rPr>
            </w:pPr>
            <w:r w:rsidRPr="00601E29">
              <w:rPr>
                <w:b/>
                <w:noProof/>
                <w:sz w:val="10"/>
                <w:szCs w:val="10"/>
                <w:lang w:val="fr-BE"/>
              </w:rPr>
              <w:t>Ogółem</w:t>
            </w:r>
          </w:p>
        </w:tc>
        <w:tc>
          <w:tcPr>
            <w:tcW w:w="0" w:type="auto"/>
          </w:tcPr>
          <w:p w14:paraId="0B0C8FD8" w14:textId="77777777" w:rsidR="008C5CFA" w:rsidRPr="00601E29" w:rsidRDefault="00E82A60" w:rsidP="00300A01">
            <w:pPr>
              <w:spacing w:before="0" w:after="0"/>
              <w:jc w:val="center"/>
              <w:rPr>
                <w:b/>
                <w:sz w:val="10"/>
                <w:szCs w:val="10"/>
                <w:lang w:val="fr-BE"/>
              </w:rPr>
            </w:pPr>
            <w:r w:rsidRPr="00601E29">
              <w:rPr>
                <w:b/>
                <w:noProof/>
                <w:sz w:val="10"/>
                <w:szCs w:val="10"/>
                <w:lang w:val="fr-BE"/>
              </w:rPr>
              <w:t>Mężczyźni</w:t>
            </w:r>
          </w:p>
        </w:tc>
        <w:tc>
          <w:tcPr>
            <w:tcW w:w="0" w:type="auto"/>
          </w:tcPr>
          <w:p w14:paraId="7BF707DD" w14:textId="77777777" w:rsidR="008C5CFA" w:rsidRPr="00601E29" w:rsidRDefault="00E82A60" w:rsidP="00300A01">
            <w:pPr>
              <w:spacing w:before="0" w:after="0"/>
              <w:jc w:val="center"/>
              <w:rPr>
                <w:b/>
                <w:sz w:val="10"/>
                <w:szCs w:val="10"/>
                <w:lang w:val="fr-BE"/>
              </w:rPr>
            </w:pPr>
            <w:r w:rsidRPr="00601E29">
              <w:rPr>
                <w:b/>
                <w:noProof/>
                <w:sz w:val="10"/>
                <w:szCs w:val="10"/>
                <w:lang w:val="fr-BE"/>
              </w:rPr>
              <w:t>Kobiety</w:t>
            </w:r>
          </w:p>
        </w:tc>
        <w:tc>
          <w:tcPr>
            <w:tcW w:w="0" w:type="auto"/>
          </w:tcPr>
          <w:p w14:paraId="4EF5A48B" w14:textId="77777777" w:rsidR="008C5CFA" w:rsidRPr="00601E29" w:rsidRDefault="00E82A60" w:rsidP="00300A01">
            <w:pPr>
              <w:spacing w:before="0" w:after="0"/>
              <w:jc w:val="center"/>
              <w:rPr>
                <w:b/>
                <w:sz w:val="10"/>
                <w:szCs w:val="10"/>
                <w:lang w:val="fr-BE"/>
              </w:rPr>
            </w:pPr>
            <w:r w:rsidRPr="00601E29">
              <w:rPr>
                <w:b/>
                <w:noProof/>
                <w:sz w:val="10"/>
                <w:szCs w:val="10"/>
                <w:lang w:val="fr-BE"/>
              </w:rPr>
              <w:t>Ogółem</w:t>
            </w:r>
          </w:p>
        </w:tc>
        <w:tc>
          <w:tcPr>
            <w:tcW w:w="0" w:type="auto"/>
          </w:tcPr>
          <w:p w14:paraId="40B63AB1" w14:textId="77777777" w:rsidR="008C5CFA" w:rsidRPr="00601E29" w:rsidRDefault="00E82A60" w:rsidP="00300A01">
            <w:pPr>
              <w:spacing w:before="0" w:after="0"/>
              <w:jc w:val="center"/>
              <w:rPr>
                <w:b/>
                <w:sz w:val="10"/>
                <w:szCs w:val="10"/>
                <w:lang w:val="fr-BE"/>
              </w:rPr>
            </w:pPr>
            <w:r w:rsidRPr="00601E29">
              <w:rPr>
                <w:b/>
                <w:noProof/>
                <w:sz w:val="10"/>
                <w:szCs w:val="10"/>
                <w:lang w:val="fr-BE"/>
              </w:rPr>
              <w:t>Mężczyźni</w:t>
            </w:r>
          </w:p>
        </w:tc>
        <w:tc>
          <w:tcPr>
            <w:tcW w:w="0" w:type="auto"/>
          </w:tcPr>
          <w:p w14:paraId="29F67C1B" w14:textId="77777777" w:rsidR="008C5CFA" w:rsidRPr="00601E29" w:rsidRDefault="00E82A60" w:rsidP="00300A01">
            <w:pPr>
              <w:spacing w:before="0" w:after="0"/>
              <w:jc w:val="center"/>
              <w:rPr>
                <w:b/>
                <w:sz w:val="10"/>
                <w:szCs w:val="10"/>
                <w:lang w:val="fr-BE"/>
              </w:rPr>
            </w:pPr>
            <w:r w:rsidRPr="00601E29">
              <w:rPr>
                <w:b/>
                <w:noProof/>
                <w:sz w:val="10"/>
                <w:szCs w:val="10"/>
                <w:lang w:val="fr-BE"/>
              </w:rPr>
              <w:t>Kobiety</w:t>
            </w:r>
          </w:p>
        </w:tc>
        <w:tc>
          <w:tcPr>
            <w:tcW w:w="0" w:type="auto"/>
          </w:tcPr>
          <w:p w14:paraId="7003EF8C" w14:textId="77777777" w:rsidR="008C5CFA" w:rsidRPr="00601E29" w:rsidRDefault="008C5CFA" w:rsidP="00300A01">
            <w:pPr>
              <w:spacing w:before="0" w:after="0"/>
              <w:jc w:val="center"/>
              <w:rPr>
                <w:b/>
                <w:sz w:val="10"/>
                <w:szCs w:val="10"/>
                <w:lang w:val="fr-BE"/>
              </w:rPr>
            </w:pPr>
          </w:p>
        </w:tc>
      </w:tr>
      <w:tr w:rsidR="006B2EC1" w14:paraId="39094B78" w14:textId="77777777" w:rsidTr="0047688D">
        <w:tc>
          <w:tcPr>
            <w:tcW w:w="0" w:type="auto"/>
            <w:shd w:val="clear" w:color="auto" w:fill="auto"/>
          </w:tcPr>
          <w:p w14:paraId="2B7B416C" w14:textId="77777777" w:rsidR="008C5CFA" w:rsidRPr="00601E29" w:rsidRDefault="00E82A60" w:rsidP="00300A01">
            <w:pPr>
              <w:spacing w:before="0" w:after="0"/>
              <w:rPr>
                <w:sz w:val="10"/>
                <w:szCs w:val="10"/>
                <w:lang w:val="fr-BE"/>
              </w:rPr>
            </w:pPr>
            <w:r w:rsidRPr="00601E29">
              <w:rPr>
                <w:noProof/>
                <w:sz w:val="10"/>
                <w:szCs w:val="10"/>
                <w:lang w:val="fr-BE"/>
              </w:rPr>
              <w:t>014</w:t>
            </w:r>
          </w:p>
        </w:tc>
        <w:tc>
          <w:tcPr>
            <w:tcW w:w="0" w:type="auto"/>
            <w:shd w:val="clear" w:color="auto" w:fill="auto"/>
          </w:tcPr>
          <w:p w14:paraId="32899DE8" w14:textId="77777777" w:rsidR="008C5CFA" w:rsidRPr="00601E29" w:rsidRDefault="00E82A60" w:rsidP="00300A01">
            <w:pPr>
              <w:spacing w:before="0" w:after="0"/>
              <w:rPr>
                <w:sz w:val="10"/>
                <w:szCs w:val="10"/>
                <w:lang w:val="fr-BE"/>
              </w:rPr>
            </w:pPr>
            <w:r w:rsidRPr="00601E29">
              <w:rPr>
                <w:noProof/>
                <w:sz w:val="10"/>
                <w:szCs w:val="10"/>
                <w:lang w:val="fr-BE"/>
              </w:rPr>
              <w:t>Liczba nauczycieli kształcenia zawodowego oraz instruktorów praktycznej nauki zawodu, którzy uzyskali kwalifikacje lub nabyli kompetencje po opuszczeniu programu</w:t>
            </w:r>
          </w:p>
        </w:tc>
        <w:tc>
          <w:tcPr>
            <w:tcW w:w="0" w:type="auto"/>
            <w:shd w:val="clear" w:color="auto" w:fill="auto"/>
          </w:tcPr>
          <w:p w14:paraId="647BA6AB" w14:textId="77777777" w:rsidR="008C5CFA" w:rsidRPr="00601E29" w:rsidRDefault="00E82A60" w:rsidP="00300A01">
            <w:pPr>
              <w:spacing w:before="0" w:after="0"/>
              <w:rPr>
                <w:sz w:val="10"/>
                <w:szCs w:val="10"/>
                <w:lang w:val="fr-BE"/>
              </w:rPr>
            </w:pPr>
            <w:r w:rsidRPr="00601E29">
              <w:rPr>
                <w:noProof/>
                <w:sz w:val="10"/>
                <w:szCs w:val="10"/>
                <w:lang w:val="fr-BE"/>
              </w:rPr>
              <w:t>Słabiej rozwinięte</w:t>
            </w:r>
          </w:p>
        </w:tc>
        <w:tc>
          <w:tcPr>
            <w:tcW w:w="0" w:type="auto"/>
          </w:tcPr>
          <w:p w14:paraId="76B5E2B5"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3AC72BDF"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05EAD611"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1D230BAA"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64834927"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1B9A598D"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0B6A3DC8" w14:textId="77777777" w:rsidR="008C5CFA" w:rsidRPr="00601E29" w:rsidRDefault="008C5CFA" w:rsidP="00300A01">
            <w:pPr>
              <w:spacing w:before="0" w:after="0"/>
              <w:jc w:val="right"/>
              <w:rPr>
                <w:sz w:val="10"/>
                <w:szCs w:val="10"/>
                <w:lang w:val="fr-BE"/>
              </w:rPr>
            </w:pPr>
          </w:p>
        </w:tc>
        <w:tc>
          <w:tcPr>
            <w:tcW w:w="0" w:type="auto"/>
          </w:tcPr>
          <w:p w14:paraId="05D0E70B"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3A3C4C1D"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3640DA70"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7108D5B9"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7AFC0EA4"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32CAB446"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25729D4D" w14:textId="77777777" w:rsidR="008C5CFA" w:rsidRPr="00601E29" w:rsidRDefault="008C5CFA" w:rsidP="00300A01">
            <w:pPr>
              <w:spacing w:before="0" w:after="0"/>
              <w:jc w:val="right"/>
              <w:rPr>
                <w:sz w:val="10"/>
                <w:szCs w:val="10"/>
                <w:lang w:val="fr-BE"/>
              </w:rPr>
            </w:pPr>
          </w:p>
        </w:tc>
      </w:tr>
      <w:tr w:rsidR="006B2EC1" w14:paraId="62127425" w14:textId="77777777" w:rsidTr="0047688D">
        <w:tc>
          <w:tcPr>
            <w:tcW w:w="0" w:type="auto"/>
            <w:shd w:val="clear" w:color="auto" w:fill="auto"/>
          </w:tcPr>
          <w:p w14:paraId="34A112C9" w14:textId="77777777" w:rsidR="008C5CFA" w:rsidRPr="00601E29" w:rsidRDefault="00E82A60" w:rsidP="00300A01">
            <w:pPr>
              <w:spacing w:before="0" w:after="0"/>
              <w:rPr>
                <w:sz w:val="10"/>
                <w:szCs w:val="10"/>
                <w:lang w:val="fr-BE"/>
              </w:rPr>
            </w:pPr>
            <w:r w:rsidRPr="00601E29">
              <w:rPr>
                <w:noProof/>
                <w:sz w:val="10"/>
                <w:szCs w:val="10"/>
                <w:lang w:val="fr-BE"/>
              </w:rPr>
              <w:t>106</w:t>
            </w:r>
          </w:p>
        </w:tc>
        <w:tc>
          <w:tcPr>
            <w:tcW w:w="0" w:type="auto"/>
            <w:shd w:val="clear" w:color="auto" w:fill="auto"/>
          </w:tcPr>
          <w:p w14:paraId="225A7AD8" w14:textId="77777777" w:rsidR="008C5CFA" w:rsidRPr="00601E29" w:rsidRDefault="00E82A60" w:rsidP="00300A01">
            <w:pPr>
              <w:spacing w:before="0" w:after="0"/>
              <w:rPr>
                <w:sz w:val="10"/>
                <w:szCs w:val="10"/>
                <w:lang w:val="fr-BE"/>
              </w:rPr>
            </w:pPr>
            <w:r w:rsidRPr="00601E29">
              <w:rPr>
                <w:noProof/>
                <w:sz w:val="10"/>
                <w:szCs w:val="10"/>
                <w:lang w:val="fr-BE"/>
              </w:rPr>
              <w:t>Liczba uczniów szkół i placówek kształcenia zawodowego objętych wsparciem w programie, uczestniczących w kształceniu lub pracujących po 6 miesiącach po ukończeniu nauki</w:t>
            </w:r>
          </w:p>
        </w:tc>
        <w:tc>
          <w:tcPr>
            <w:tcW w:w="0" w:type="auto"/>
            <w:shd w:val="clear" w:color="auto" w:fill="auto"/>
          </w:tcPr>
          <w:p w14:paraId="04277170" w14:textId="77777777" w:rsidR="008C5CFA" w:rsidRPr="00601E29" w:rsidRDefault="00E82A60" w:rsidP="00300A01">
            <w:pPr>
              <w:spacing w:before="0" w:after="0"/>
              <w:rPr>
                <w:sz w:val="10"/>
                <w:szCs w:val="10"/>
                <w:lang w:val="fr-BE"/>
              </w:rPr>
            </w:pPr>
            <w:r w:rsidRPr="00601E29">
              <w:rPr>
                <w:noProof/>
                <w:sz w:val="10"/>
                <w:szCs w:val="10"/>
                <w:lang w:val="fr-BE"/>
              </w:rPr>
              <w:t>Słabiej rozwinięte</w:t>
            </w:r>
          </w:p>
        </w:tc>
        <w:tc>
          <w:tcPr>
            <w:tcW w:w="0" w:type="auto"/>
          </w:tcPr>
          <w:p w14:paraId="7837754E"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029C2435"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3B25A3E6"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2E0D9390"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59E2C018"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6AF04F2E"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201A7839" w14:textId="77777777" w:rsidR="008C5CFA" w:rsidRPr="00601E29" w:rsidRDefault="008C5CFA" w:rsidP="00300A01">
            <w:pPr>
              <w:spacing w:before="0" w:after="0"/>
              <w:jc w:val="right"/>
              <w:rPr>
                <w:sz w:val="10"/>
                <w:szCs w:val="10"/>
                <w:lang w:val="fr-BE"/>
              </w:rPr>
            </w:pPr>
          </w:p>
        </w:tc>
        <w:tc>
          <w:tcPr>
            <w:tcW w:w="0" w:type="auto"/>
          </w:tcPr>
          <w:p w14:paraId="3282D463"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601A9DD9"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78267D66"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77A59DA6"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279DE337"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6F227CD6"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191BFF00" w14:textId="77777777" w:rsidR="008C5CFA" w:rsidRPr="00601E29" w:rsidRDefault="008C5CFA" w:rsidP="00300A01">
            <w:pPr>
              <w:spacing w:before="0" w:after="0"/>
              <w:jc w:val="right"/>
              <w:rPr>
                <w:sz w:val="10"/>
                <w:szCs w:val="10"/>
                <w:lang w:val="fr-BE"/>
              </w:rPr>
            </w:pPr>
          </w:p>
        </w:tc>
      </w:tr>
      <w:tr w:rsidR="006B2EC1" w14:paraId="7AD2DD12" w14:textId="77777777" w:rsidTr="0047688D">
        <w:tc>
          <w:tcPr>
            <w:tcW w:w="0" w:type="auto"/>
            <w:shd w:val="clear" w:color="auto" w:fill="auto"/>
          </w:tcPr>
          <w:p w14:paraId="78FEA4C7" w14:textId="77777777" w:rsidR="008C5CFA" w:rsidRPr="00601E29" w:rsidRDefault="00E82A60" w:rsidP="00300A01">
            <w:pPr>
              <w:spacing w:before="0" w:after="0"/>
              <w:rPr>
                <w:sz w:val="10"/>
                <w:szCs w:val="10"/>
                <w:lang w:val="fr-BE"/>
              </w:rPr>
            </w:pPr>
            <w:r w:rsidRPr="00601E29">
              <w:rPr>
                <w:noProof/>
                <w:sz w:val="10"/>
                <w:szCs w:val="10"/>
                <w:lang w:val="fr-BE"/>
              </w:rPr>
              <w:t>015</w:t>
            </w:r>
          </w:p>
        </w:tc>
        <w:tc>
          <w:tcPr>
            <w:tcW w:w="0" w:type="auto"/>
            <w:shd w:val="clear" w:color="auto" w:fill="auto"/>
          </w:tcPr>
          <w:p w14:paraId="5C04515D" w14:textId="77777777" w:rsidR="008C5CFA" w:rsidRPr="00601E29" w:rsidRDefault="00E82A60" w:rsidP="00300A01">
            <w:pPr>
              <w:spacing w:before="0" w:after="0"/>
              <w:rPr>
                <w:sz w:val="10"/>
                <w:szCs w:val="10"/>
                <w:lang w:val="fr-BE"/>
              </w:rPr>
            </w:pPr>
            <w:r w:rsidRPr="00601E29">
              <w:rPr>
                <w:noProof/>
                <w:sz w:val="10"/>
                <w:szCs w:val="10"/>
                <w:lang w:val="fr-BE"/>
              </w:rPr>
              <w:t>Liczba szkół i placówek kształcenia zawodowego wykorzystujących doposażenie zakupione dzięki EFS</w:t>
            </w:r>
          </w:p>
        </w:tc>
        <w:tc>
          <w:tcPr>
            <w:tcW w:w="0" w:type="auto"/>
            <w:shd w:val="clear" w:color="auto" w:fill="auto"/>
          </w:tcPr>
          <w:p w14:paraId="2CB24C5B" w14:textId="77777777" w:rsidR="008C5CFA" w:rsidRPr="00601E29" w:rsidRDefault="00E82A60" w:rsidP="00300A01">
            <w:pPr>
              <w:spacing w:before="0" w:after="0"/>
              <w:rPr>
                <w:sz w:val="10"/>
                <w:szCs w:val="10"/>
                <w:lang w:val="fr-BE"/>
              </w:rPr>
            </w:pPr>
            <w:r w:rsidRPr="00601E29">
              <w:rPr>
                <w:noProof/>
                <w:sz w:val="10"/>
                <w:szCs w:val="10"/>
                <w:lang w:val="fr-BE"/>
              </w:rPr>
              <w:t>Słabiej rozwinięte</w:t>
            </w:r>
          </w:p>
        </w:tc>
        <w:tc>
          <w:tcPr>
            <w:tcW w:w="0" w:type="auto"/>
          </w:tcPr>
          <w:p w14:paraId="4F28044B"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4D3984CA"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32A82787"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78014054"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630DD1FF"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243E0AAA"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7B2BEC3A" w14:textId="77777777" w:rsidR="008C5CFA" w:rsidRPr="00601E29" w:rsidRDefault="008C5CFA" w:rsidP="00300A01">
            <w:pPr>
              <w:spacing w:before="0" w:after="0"/>
              <w:jc w:val="right"/>
              <w:rPr>
                <w:sz w:val="10"/>
                <w:szCs w:val="10"/>
                <w:lang w:val="fr-BE"/>
              </w:rPr>
            </w:pPr>
          </w:p>
        </w:tc>
        <w:tc>
          <w:tcPr>
            <w:tcW w:w="0" w:type="auto"/>
          </w:tcPr>
          <w:p w14:paraId="5F12706B"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616FA2BE"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12C3461E"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6865A05F"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1DC6548D"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5CA6583F"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74945D79" w14:textId="77777777" w:rsidR="008C5CFA" w:rsidRPr="00601E29" w:rsidRDefault="008C5CFA" w:rsidP="00300A01">
            <w:pPr>
              <w:spacing w:before="0" w:after="0"/>
              <w:jc w:val="right"/>
              <w:rPr>
                <w:sz w:val="10"/>
                <w:szCs w:val="10"/>
                <w:lang w:val="fr-BE"/>
              </w:rPr>
            </w:pPr>
          </w:p>
        </w:tc>
      </w:tr>
      <w:tr w:rsidR="006B2EC1" w14:paraId="0069E4EC" w14:textId="77777777" w:rsidTr="0047688D">
        <w:tc>
          <w:tcPr>
            <w:tcW w:w="0" w:type="auto"/>
            <w:shd w:val="clear" w:color="auto" w:fill="auto"/>
          </w:tcPr>
          <w:p w14:paraId="0677EDF5" w14:textId="77777777" w:rsidR="008C5CFA" w:rsidRPr="00601E29" w:rsidRDefault="00E82A60" w:rsidP="00300A01">
            <w:pPr>
              <w:spacing w:before="0" w:after="0"/>
              <w:rPr>
                <w:sz w:val="10"/>
                <w:szCs w:val="10"/>
                <w:lang w:val="fr-BE"/>
              </w:rPr>
            </w:pPr>
            <w:r w:rsidRPr="00601E29">
              <w:rPr>
                <w:noProof/>
                <w:sz w:val="10"/>
                <w:szCs w:val="10"/>
                <w:lang w:val="fr-BE"/>
              </w:rPr>
              <w:t>016</w:t>
            </w:r>
          </w:p>
        </w:tc>
        <w:tc>
          <w:tcPr>
            <w:tcW w:w="0" w:type="auto"/>
            <w:shd w:val="clear" w:color="auto" w:fill="auto"/>
          </w:tcPr>
          <w:p w14:paraId="41F09191" w14:textId="77777777" w:rsidR="008C5CFA" w:rsidRPr="00601E29" w:rsidRDefault="00E82A60" w:rsidP="00300A01">
            <w:pPr>
              <w:spacing w:before="0" w:after="0"/>
              <w:rPr>
                <w:sz w:val="10"/>
                <w:szCs w:val="10"/>
                <w:lang w:val="fr-BE"/>
              </w:rPr>
            </w:pPr>
            <w:r w:rsidRPr="00601E29">
              <w:rPr>
                <w:noProof/>
                <w:sz w:val="10"/>
                <w:szCs w:val="10"/>
                <w:lang w:val="fr-BE"/>
              </w:rPr>
              <w:t>Liczba osób, które uzyskały kwalifikacje w ramach pozaszkolnych form kształcenia</w:t>
            </w:r>
          </w:p>
        </w:tc>
        <w:tc>
          <w:tcPr>
            <w:tcW w:w="0" w:type="auto"/>
            <w:shd w:val="clear" w:color="auto" w:fill="auto"/>
          </w:tcPr>
          <w:p w14:paraId="450D3F0B" w14:textId="77777777" w:rsidR="008C5CFA" w:rsidRPr="00601E29" w:rsidRDefault="00E82A60" w:rsidP="00300A01">
            <w:pPr>
              <w:spacing w:before="0" w:after="0"/>
              <w:rPr>
                <w:sz w:val="10"/>
                <w:szCs w:val="10"/>
                <w:lang w:val="fr-BE"/>
              </w:rPr>
            </w:pPr>
            <w:r w:rsidRPr="00601E29">
              <w:rPr>
                <w:noProof/>
                <w:sz w:val="10"/>
                <w:szCs w:val="10"/>
                <w:lang w:val="fr-BE"/>
              </w:rPr>
              <w:t>Słabiej rozwinięte</w:t>
            </w:r>
          </w:p>
        </w:tc>
        <w:tc>
          <w:tcPr>
            <w:tcW w:w="0" w:type="auto"/>
          </w:tcPr>
          <w:p w14:paraId="28385AE5"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1503CB20"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4D944C7D"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4D472449"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3D47EC4C"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0B40E90B"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5438FEC5" w14:textId="77777777" w:rsidR="008C5CFA" w:rsidRPr="00601E29" w:rsidRDefault="008C5CFA" w:rsidP="00300A01">
            <w:pPr>
              <w:spacing w:before="0" w:after="0"/>
              <w:jc w:val="right"/>
              <w:rPr>
                <w:sz w:val="10"/>
                <w:szCs w:val="10"/>
                <w:lang w:val="fr-BE"/>
              </w:rPr>
            </w:pPr>
          </w:p>
        </w:tc>
        <w:tc>
          <w:tcPr>
            <w:tcW w:w="0" w:type="auto"/>
          </w:tcPr>
          <w:p w14:paraId="2992B91D"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7CD45670"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7904FCC5"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4F621BF5"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01D772BB"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4159128D"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112981EC" w14:textId="77777777" w:rsidR="008C5CFA" w:rsidRPr="00601E29" w:rsidRDefault="008C5CFA" w:rsidP="00300A01">
            <w:pPr>
              <w:spacing w:before="0" w:after="0"/>
              <w:jc w:val="right"/>
              <w:rPr>
                <w:sz w:val="10"/>
                <w:szCs w:val="10"/>
                <w:lang w:val="fr-BE"/>
              </w:rPr>
            </w:pPr>
          </w:p>
        </w:tc>
      </w:tr>
    </w:tbl>
    <w:p w14:paraId="797FEF52"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36"/>
        <w:gridCol w:w="9241"/>
        <w:gridCol w:w="1135"/>
        <w:gridCol w:w="568"/>
        <w:gridCol w:w="715"/>
        <w:gridCol w:w="574"/>
        <w:gridCol w:w="568"/>
        <w:gridCol w:w="715"/>
        <w:gridCol w:w="574"/>
        <w:gridCol w:w="758"/>
      </w:tblGrid>
      <w:tr w:rsidR="006B2EC1" w14:paraId="70408F7F" w14:textId="77777777" w:rsidTr="0047688D">
        <w:trPr>
          <w:tblHeader/>
        </w:trPr>
        <w:tc>
          <w:tcPr>
            <w:tcW w:w="0" w:type="auto"/>
            <w:shd w:val="clear" w:color="auto" w:fill="auto"/>
          </w:tcPr>
          <w:p w14:paraId="3C0D28D5" w14:textId="77777777" w:rsidR="008C5CFA" w:rsidRPr="00601E29" w:rsidRDefault="00E82A60" w:rsidP="00300A01">
            <w:pPr>
              <w:spacing w:before="0" w:after="0"/>
              <w:rPr>
                <w:b/>
                <w:sz w:val="10"/>
                <w:szCs w:val="10"/>
                <w:lang w:val="fr-BE"/>
              </w:rPr>
            </w:pPr>
            <w:r w:rsidRPr="00601E29">
              <w:rPr>
                <w:b/>
                <w:noProof/>
                <w:sz w:val="10"/>
                <w:szCs w:val="10"/>
                <w:lang w:val="fr-BE"/>
              </w:rPr>
              <w:t>ID</w:t>
            </w:r>
          </w:p>
        </w:tc>
        <w:tc>
          <w:tcPr>
            <w:tcW w:w="0" w:type="auto"/>
            <w:shd w:val="clear" w:color="auto" w:fill="auto"/>
          </w:tcPr>
          <w:p w14:paraId="5FE447F9" w14:textId="77777777" w:rsidR="008C5CFA" w:rsidRPr="00601E29" w:rsidRDefault="00E82A60" w:rsidP="00300A01">
            <w:pPr>
              <w:spacing w:before="0" w:after="0"/>
              <w:rPr>
                <w:b/>
                <w:sz w:val="10"/>
                <w:szCs w:val="10"/>
                <w:lang w:val="fr-BE"/>
              </w:rPr>
            </w:pPr>
            <w:r w:rsidRPr="00601E29">
              <w:rPr>
                <w:b/>
                <w:noProof/>
                <w:sz w:val="10"/>
                <w:szCs w:val="10"/>
                <w:lang w:val="fr-BE"/>
              </w:rPr>
              <w:t>Wskaźnik</w:t>
            </w:r>
          </w:p>
        </w:tc>
        <w:tc>
          <w:tcPr>
            <w:tcW w:w="0" w:type="auto"/>
            <w:shd w:val="clear" w:color="auto" w:fill="auto"/>
          </w:tcPr>
          <w:p w14:paraId="53A9F811" w14:textId="77777777" w:rsidR="008C5CFA" w:rsidRPr="00601E29" w:rsidRDefault="00E82A60" w:rsidP="00300A01">
            <w:pPr>
              <w:spacing w:before="0" w:after="0"/>
              <w:rPr>
                <w:b/>
                <w:sz w:val="10"/>
                <w:szCs w:val="10"/>
                <w:lang w:val="fr-BE"/>
              </w:rPr>
            </w:pPr>
            <w:r w:rsidRPr="00601E29">
              <w:rPr>
                <w:b/>
                <w:noProof/>
                <w:sz w:val="10"/>
                <w:szCs w:val="10"/>
                <w:lang w:val="fr-BE"/>
              </w:rPr>
              <w:t>Kategoria regionu</w:t>
            </w:r>
          </w:p>
        </w:tc>
        <w:tc>
          <w:tcPr>
            <w:tcW w:w="0" w:type="auto"/>
            <w:gridSpan w:val="7"/>
          </w:tcPr>
          <w:p w14:paraId="3A9E917F" w14:textId="77777777" w:rsidR="008C5CFA" w:rsidRPr="00601E29" w:rsidRDefault="00E82A60" w:rsidP="00300A01">
            <w:pPr>
              <w:spacing w:before="0" w:after="0"/>
              <w:jc w:val="center"/>
              <w:rPr>
                <w:b/>
                <w:sz w:val="10"/>
                <w:szCs w:val="10"/>
                <w:lang w:val="fr-BE"/>
              </w:rPr>
            </w:pPr>
            <w:r>
              <w:rPr>
                <w:b/>
                <w:sz w:val="10"/>
                <w:szCs w:val="10"/>
                <w:lang w:val="fr-BE"/>
              </w:rPr>
              <w:t>2014</w:t>
            </w:r>
          </w:p>
        </w:tc>
      </w:tr>
      <w:tr w:rsidR="006B2EC1" w14:paraId="5ECFE2A6" w14:textId="77777777" w:rsidTr="0047688D">
        <w:trPr>
          <w:tblHeader/>
        </w:trPr>
        <w:tc>
          <w:tcPr>
            <w:tcW w:w="0" w:type="auto"/>
            <w:shd w:val="clear" w:color="auto" w:fill="auto"/>
          </w:tcPr>
          <w:p w14:paraId="77CDFD95" w14:textId="77777777" w:rsidR="008C5CFA" w:rsidRPr="00601E29" w:rsidRDefault="008C5CFA" w:rsidP="00300A01">
            <w:pPr>
              <w:spacing w:before="0" w:after="0"/>
              <w:rPr>
                <w:b/>
                <w:sz w:val="10"/>
                <w:szCs w:val="10"/>
                <w:lang w:val="fr-BE"/>
              </w:rPr>
            </w:pPr>
          </w:p>
        </w:tc>
        <w:tc>
          <w:tcPr>
            <w:tcW w:w="0" w:type="auto"/>
            <w:shd w:val="clear" w:color="auto" w:fill="auto"/>
          </w:tcPr>
          <w:p w14:paraId="34864679" w14:textId="77777777" w:rsidR="008C5CFA" w:rsidRPr="00601E29" w:rsidRDefault="008C5CFA" w:rsidP="00300A01">
            <w:pPr>
              <w:spacing w:before="0" w:after="0"/>
              <w:rPr>
                <w:b/>
                <w:sz w:val="10"/>
                <w:szCs w:val="10"/>
                <w:lang w:val="fr-BE"/>
              </w:rPr>
            </w:pPr>
          </w:p>
        </w:tc>
        <w:tc>
          <w:tcPr>
            <w:tcW w:w="0" w:type="auto"/>
            <w:shd w:val="clear" w:color="auto" w:fill="auto"/>
          </w:tcPr>
          <w:p w14:paraId="1E4A67DA" w14:textId="77777777" w:rsidR="008C5CFA" w:rsidRPr="00601E29" w:rsidRDefault="008C5CFA" w:rsidP="00300A01">
            <w:pPr>
              <w:spacing w:before="0" w:after="0"/>
              <w:rPr>
                <w:b/>
                <w:sz w:val="10"/>
                <w:szCs w:val="10"/>
                <w:lang w:val="fr-BE"/>
              </w:rPr>
            </w:pPr>
          </w:p>
        </w:tc>
        <w:tc>
          <w:tcPr>
            <w:tcW w:w="0" w:type="auto"/>
            <w:gridSpan w:val="3"/>
          </w:tcPr>
          <w:p w14:paraId="277ECC25" w14:textId="77777777" w:rsidR="008C5CFA" w:rsidRPr="00601E29" w:rsidRDefault="00E82A60" w:rsidP="00300A01">
            <w:pPr>
              <w:spacing w:before="0" w:after="0"/>
              <w:jc w:val="center"/>
              <w:rPr>
                <w:b/>
                <w:sz w:val="10"/>
                <w:szCs w:val="10"/>
                <w:lang w:val="fr-BE"/>
              </w:rPr>
            </w:pPr>
            <w:r w:rsidRPr="00601E29">
              <w:rPr>
                <w:b/>
                <w:noProof/>
                <w:sz w:val="10"/>
                <w:szCs w:val="10"/>
                <w:lang w:val="fr-BE"/>
              </w:rPr>
              <w:t>Łącznie</w:t>
            </w:r>
          </w:p>
        </w:tc>
        <w:tc>
          <w:tcPr>
            <w:tcW w:w="0" w:type="auto"/>
            <w:gridSpan w:val="3"/>
          </w:tcPr>
          <w:p w14:paraId="466A78E3" w14:textId="77777777" w:rsidR="008C5CFA" w:rsidRPr="00601E29" w:rsidRDefault="00E82A60" w:rsidP="00300A01">
            <w:pPr>
              <w:spacing w:before="0" w:after="0"/>
              <w:jc w:val="center"/>
              <w:rPr>
                <w:b/>
                <w:sz w:val="10"/>
                <w:szCs w:val="10"/>
                <w:lang w:val="fr-BE"/>
              </w:rPr>
            </w:pPr>
            <w:r w:rsidRPr="00601E29">
              <w:rPr>
                <w:b/>
                <w:noProof/>
                <w:sz w:val="10"/>
                <w:szCs w:val="10"/>
                <w:lang w:val="fr-BE"/>
              </w:rPr>
              <w:t>Łącznie w roku</w:t>
            </w:r>
          </w:p>
        </w:tc>
        <w:tc>
          <w:tcPr>
            <w:tcW w:w="0" w:type="auto"/>
          </w:tcPr>
          <w:p w14:paraId="7DAC874F" w14:textId="77777777" w:rsidR="008C5CFA" w:rsidRPr="00601E29" w:rsidRDefault="00E82A60" w:rsidP="00300A01">
            <w:pPr>
              <w:spacing w:before="0" w:after="0"/>
              <w:jc w:val="center"/>
              <w:rPr>
                <w:b/>
                <w:sz w:val="10"/>
                <w:szCs w:val="10"/>
                <w:lang w:val="fr-BE"/>
              </w:rPr>
            </w:pPr>
            <w:r w:rsidRPr="00601E29">
              <w:rPr>
                <w:b/>
                <w:noProof/>
                <w:sz w:val="10"/>
                <w:szCs w:val="10"/>
                <w:lang w:val="fr-BE"/>
              </w:rPr>
              <w:t>Jakościowe</w:t>
            </w:r>
          </w:p>
        </w:tc>
      </w:tr>
      <w:tr w:rsidR="006B2EC1" w14:paraId="07A534EC" w14:textId="77777777" w:rsidTr="0047688D">
        <w:trPr>
          <w:tblHeader/>
        </w:trPr>
        <w:tc>
          <w:tcPr>
            <w:tcW w:w="0" w:type="auto"/>
            <w:shd w:val="clear" w:color="auto" w:fill="auto"/>
          </w:tcPr>
          <w:p w14:paraId="6836EB5F" w14:textId="77777777" w:rsidR="008C5CFA" w:rsidRPr="00601E29" w:rsidRDefault="008C5CFA" w:rsidP="00300A01">
            <w:pPr>
              <w:spacing w:before="0" w:after="0"/>
              <w:rPr>
                <w:b/>
                <w:sz w:val="10"/>
                <w:szCs w:val="10"/>
                <w:lang w:val="fr-BE"/>
              </w:rPr>
            </w:pPr>
          </w:p>
        </w:tc>
        <w:tc>
          <w:tcPr>
            <w:tcW w:w="0" w:type="auto"/>
            <w:shd w:val="clear" w:color="auto" w:fill="auto"/>
          </w:tcPr>
          <w:p w14:paraId="1DF07906" w14:textId="77777777" w:rsidR="008C5CFA" w:rsidRPr="00601E29" w:rsidRDefault="008C5CFA" w:rsidP="00300A01">
            <w:pPr>
              <w:spacing w:before="0" w:after="0"/>
              <w:rPr>
                <w:b/>
                <w:sz w:val="10"/>
                <w:szCs w:val="10"/>
                <w:lang w:val="fr-BE"/>
              </w:rPr>
            </w:pPr>
          </w:p>
        </w:tc>
        <w:tc>
          <w:tcPr>
            <w:tcW w:w="0" w:type="auto"/>
            <w:shd w:val="clear" w:color="auto" w:fill="auto"/>
          </w:tcPr>
          <w:p w14:paraId="2D5FA908" w14:textId="77777777" w:rsidR="008C5CFA" w:rsidRPr="00601E29" w:rsidRDefault="008C5CFA" w:rsidP="00300A01">
            <w:pPr>
              <w:spacing w:before="0" w:after="0"/>
              <w:rPr>
                <w:b/>
                <w:sz w:val="10"/>
                <w:szCs w:val="10"/>
                <w:lang w:val="fr-BE"/>
              </w:rPr>
            </w:pPr>
          </w:p>
        </w:tc>
        <w:tc>
          <w:tcPr>
            <w:tcW w:w="0" w:type="auto"/>
          </w:tcPr>
          <w:p w14:paraId="49E4672E" w14:textId="77777777" w:rsidR="008C5CFA" w:rsidRPr="00601E29" w:rsidRDefault="00E82A60" w:rsidP="00300A01">
            <w:pPr>
              <w:spacing w:before="0" w:after="0"/>
              <w:jc w:val="center"/>
              <w:rPr>
                <w:b/>
                <w:sz w:val="10"/>
                <w:szCs w:val="10"/>
                <w:lang w:val="fr-BE"/>
              </w:rPr>
            </w:pPr>
            <w:r w:rsidRPr="00601E29">
              <w:rPr>
                <w:b/>
                <w:noProof/>
                <w:sz w:val="10"/>
                <w:szCs w:val="10"/>
                <w:lang w:val="fr-BE"/>
              </w:rPr>
              <w:t>Ogółem</w:t>
            </w:r>
          </w:p>
        </w:tc>
        <w:tc>
          <w:tcPr>
            <w:tcW w:w="0" w:type="auto"/>
          </w:tcPr>
          <w:p w14:paraId="5A57304B" w14:textId="77777777" w:rsidR="008C5CFA" w:rsidRPr="00601E29" w:rsidRDefault="00E82A60" w:rsidP="00300A01">
            <w:pPr>
              <w:spacing w:before="0" w:after="0"/>
              <w:jc w:val="center"/>
              <w:rPr>
                <w:b/>
                <w:sz w:val="10"/>
                <w:szCs w:val="10"/>
                <w:lang w:val="fr-BE"/>
              </w:rPr>
            </w:pPr>
            <w:r w:rsidRPr="00601E29">
              <w:rPr>
                <w:b/>
                <w:noProof/>
                <w:sz w:val="10"/>
                <w:szCs w:val="10"/>
                <w:lang w:val="fr-BE"/>
              </w:rPr>
              <w:t>Mężczyźni</w:t>
            </w:r>
          </w:p>
        </w:tc>
        <w:tc>
          <w:tcPr>
            <w:tcW w:w="0" w:type="auto"/>
          </w:tcPr>
          <w:p w14:paraId="5DE48C41" w14:textId="77777777" w:rsidR="008C5CFA" w:rsidRPr="00601E29" w:rsidRDefault="00E82A60" w:rsidP="00300A01">
            <w:pPr>
              <w:spacing w:before="0" w:after="0"/>
              <w:jc w:val="center"/>
              <w:rPr>
                <w:b/>
                <w:sz w:val="10"/>
                <w:szCs w:val="10"/>
                <w:lang w:val="fr-BE"/>
              </w:rPr>
            </w:pPr>
            <w:r w:rsidRPr="00601E29">
              <w:rPr>
                <w:b/>
                <w:noProof/>
                <w:sz w:val="10"/>
                <w:szCs w:val="10"/>
                <w:lang w:val="fr-BE"/>
              </w:rPr>
              <w:t>Kobiety</w:t>
            </w:r>
          </w:p>
        </w:tc>
        <w:tc>
          <w:tcPr>
            <w:tcW w:w="0" w:type="auto"/>
          </w:tcPr>
          <w:p w14:paraId="23E57FBE" w14:textId="77777777" w:rsidR="008C5CFA" w:rsidRPr="00601E29" w:rsidRDefault="00E82A60" w:rsidP="00300A01">
            <w:pPr>
              <w:spacing w:before="0" w:after="0"/>
              <w:jc w:val="center"/>
              <w:rPr>
                <w:b/>
                <w:sz w:val="10"/>
                <w:szCs w:val="10"/>
                <w:lang w:val="fr-BE"/>
              </w:rPr>
            </w:pPr>
            <w:r w:rsidRPr="00601E29">
              <w:rPr>
                <w:b/>
                <w:noProof/>
                <w:sz w:val="10"/>
                <w:szCs w:val="10"/>
                <w:lang w:val="fr-BE"/>
              </w:rPr>
              <w:t>Ogółem</w:t>
            </w:r>
          </w:p>
        </w:tc>
        <w:tc>
          <w:tcPr>
            <w:tcW w:w="0" w:type="auto"/>
          </w:tcPr>
          <w:p w14:paraId="3662659B" w14:textId="77777777" w:rsidR="008C5CFA" w:rsidRPr="00601E29" w:rsidRDefault="00E82A60" w:rsidP="00300A01">
            <w:pPr>
              <w:spacing w:before="0" w:after="0"/>
              <w:jc w:val="center"/>
              <w:rPr>
                <w:b/>
                <w:sz w:val="10"/>
                <w:szCs w:val="10"/>
                <w:lang w:val="fr-BE"/>
              </w:rPr>
            </w:pPr>
            <w:r w:rsidRPr="00601E29">
              <w:rPr>
                <w:b/>
                <w:noProof/>
                <w:sz w:val="10"/>
                <w:szCs w:val="10"/>
                <w:lang w:val="fr-BE"/>
              </w:rPr>
              <w:t>Mężczyźni</w:t>
            </w:r>
          </w:p>
        </w:tc>
        <w:tc>
          <w:tcPr>
            <w:tcW w:w="0" w:type="auto"/>
          </w:tcPr>
          <w:p w14:paraId="77E0AD05" w14:textId="77777777" w:rsidR="008C5CFA" w:rsidRPr="00601E29" w:rsidRDefault="00E82A60" w:rsidP="00300A01">
            <w:pPr>
              <w:spacing w:before="0" w:after="0"/>
              <w:jc w:val="center"/>
              <w:rPr>
                <w:b/>
                <w:sz w:val="10"/>
                <w:szCs w:val="10"/>
                <w:lang w:val="fr-BE"/>
              </w:rPr>
            </w:pPr>
            <w:r w:rsidRPr="00601E29">
              <w:rPr>
                <w:b/>
                <w:noProof/>
                <w:sz w:val="10"/>
                <w:szCs w:val="10"/>
                <w:lang w:val="fr-BE"/>
              </w:rPr>
              <w:t>Kobiety</w:t>
            </w:r>
          </w:p>
        </w:tc>
        <w:tc>
          <w:tcPr>
            <w:tcW w:w="0" w:type="auto"/>
          </w:tcPr>
          <w:p w14:paraId="015A7E20" w14:textId="77777777" w:rsidR="008C5CFA" w:rsidRPr="00601E29" w:rsidRDefault="008C5CFA" w:rsidP="00300A01">
            <w:pPr>
              <w:spacing w:before="0" w:after="0"/>
              <w:jc w:val="center"/>
              <w:rPr>
                <w:b/>
                <w:sz w:val="10"/>
                <w:szCs w:val="10"/>
                <w:lang w:val="fr-BE"/>
              </w:rPr>
            </w:pPr>
          </w:p>
        </w:tc>
      </w:tr>
      <w:tr w:rsidR="006B2EC1" w14:paraId="05CD6F2C" w14:textId="77777777" w:rsidTr="0047688D">
        <w:tc>
          <w:tcPr>
            <w:tcW w:w="0" w:type="auto"/>
            <w:shd w:val="clear" w:color="auto" w:fill="auto"/>
          </w:tcPr>
          <w:p w14:paraId="67EBE40D" w14:textId="77777777" w:rsidR="008C5CFA" w:rsidRPr="00601E29" w:rsidRDefault="00E82A60" w:rsidP="00300A01">
            <w:pPr>
              <w:spacing w:before="0" w:after="0"/>
              <w:rPr>
                <w:sz w:val="10"/>
                <w:szCs w:val="10"/>
                <w:lang w:val="fr-BE"/>
              </w:rPr>
            </w:pPr>
            <w:r w:rsidRPr="00601E29">
              <w:rPr>
                <w:noProof/>
                <w:sz w:val="10"/>
                <w:szCs w:val="10"/>
                <w:lang w:val="fr-BE"/>
              </w:rPr>
              <w:t>014</w:t>
            </w:r>
          </w:p>
        </w:tc>
        <w:tc>
          <w:tcPr>
            <w:tcW w:w="0" w:type="auto"/>
            <w:shd w:val="clear" w:color="auto" w:fill="auto"/>
          </w:tcPr>
          <w:p w14:paraId="5F98B368" w14:textId="77777777" w:rsidR="008C5CFA" w:rsidRPr="00601E29" w:rsidRDefault="00E82A60" w:rsidP="00300A01">
            <w:pPr>
              <w:spacing w:before="0" w:after="0"/>
              <w:rPr>
                <w:sz w:val="10"/>
                <w:szCs w:val="10"/>
                <w:lang w:val="fr-BE"/>
              </w:rPr>
            </w:pPr>
            <w:r w:rsidRPr="00601E29">
              <w:rPr>
                <w:noProof/>
                <w:sz w:val="10"/>
                <w:szCs w:val="10"/>
                <w:lang w:val="fr-BE"/>
              </w:rPr>
              <w:t>Liczba nauczycieli kształcenia zawodowego oraz instruktorów praktycznej nauki zawodu, którzy uzyskali kwalifikacje lub nabyli kompetencje po opuszczeniu programu</w:t>
            </w:r>
          </w:p>
        </w:tc>
        <w:tc>
          <w:tcPr>
            <w:tcW w:w="0" w:type="auto"/>
            <w:shd w:val="clear" w:color="auto" w:fill="auto"/>
          </w:tcPr>
          <w:p w14:paraId="00277580" w14:textId="77777777" w:rsidR="008C5CFA" w:rsidRPr="00601E29" w:rsidRDefault="00E82A60" w:rsidP="00300A01">
            <w:pPr>
              <w:spacing w:before="0" w:after="0"/>
              <w:rPr>
                <w:sz w:val="10"/>
                <w:szCs w:val="10"/>
                <w:lang w:val="fr-BE"/>
              </w:rPr>
            </w:pPr>
            <w:r w:rsidRPr="00601E29">
              <w:rPr>
                <w:noProof/>
                <w:sz w:val="10"/>
                <w:szCs w:val="10"/>
                <w:lang w:val="fr-BE"/>
              </w:rPr>
              <w:t>Słabiej rozwinięte</w:t>
            </w:r>
          </w:p>
        </w:tc>
        <w:tc>
          <w:tcPr>
            <w:tcW w:w="0" w:type="auto"/>
          </w:tcPr>
          <w:p w14:paraId="04D36561"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3CE4DE5B"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3333200A"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4B60DE33"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5E3917B4"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4F4F31AD"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2C319928" w14:textId="77777777" w:rsidR="008C5CFA" w:rsidRPr="00601E29" w:rsidRDefault="008C5CFA" w:rsidP="00300A01">
            <w:pPr>
              <w:spacing w:before="0" w:after="0"/>
              <w:jc w:val="right"/>
              <w:rPr>
                <w:sz w:val="10"/>
                <w:szCs w:val="10"/>
                <w:lang w:val="fr-BE"/>
              </w:rPr>
            </w:pPr>
          </w:p>
        </w:tc>
      </w:tr>
      <w:tr w:rsidR="006B2EC1" w14:paraId="59475EB2" w14:textId="77777777" w:rsidTr="0047688D">
        <w:tc>
          <w:tcPr>
            <w:tcW w:w="0" w:type="auto"/>
            <w:shd w:val="clear" w:color="auto" w:fill="auto"/>
          </w:tcPr>
          <w:p w14:paraId="352EA415" w14:textId="77777777" w:rsidR="008C5CFA" w:rsidRPr="00601E29" w:rsidRDefault="00E82A60" w:rsidP="00300A01">
            <w:pPr>
              <w:spacing w:before="0" w:after="0"/>
              <w:rPr>
                <w:sz w:val="10"/>
                <w:szCs w:val="10"/>
                <w:lang w:val="fr-BE"/>
              </w:rPr>
            </w:pPr>
            <w:r w:rsidRPr="00601E29">
              <w:rPr>
                <w:noProof/>
                <w:sz w:val="10"/>
                <w:szCs w:val="10"/>
                <w:lang w:val="fr-BE"/>
              </w:rPr>
              <w:t>106</w:t>
            </w:r>
          </w:p>
        </w:tc>
        <w:tc>
          <w:tcPr>
            <w:tcW w:w="0" w:type="auto"/>
            <w:shd w:val="clear" w:color="auto" w:fill="auto"/>
          </w:tcPr>
          <w:p w14:paraId="59597CD7" w14:textId="77777777" w:rsidR="008C5CFA" w:rsidRPr="00601E29" w:rsidRDefault="00E82A60" w:rsidP="00300A01">
            <w:pPr>
              <w:spacing w:before="0" w:after="0"/>
              <w:rPr>
                <w:sz w:val="10"/>
                <w:szCs w:val="10"/>
                <w:lang w:val="fr-BE"/>
              </w:rPr>
            </w:pPr>
            <w:r w:rsidRPr="00601E29">
              <w:rPr>
                <w:noProof/>
                <w:sz w:val="10"/>
                <w:szCs w:val="10"/>
                <w:lang w:val="fr-BE"/>
              </w:rPr>
              <w:t>Liczba uczniów szkół i placówek kształcenia zawodowego objętych wsparciem w programie, uczestniczących w kształceniu lub pracujących po 6 miesiącach po ukończeniu nauki</w:t>
            </w:r>
          </w:p>
        </w:tc>
        <w:tc>
          <w:tcPr>
            <w:tcW w:w="0" w:type="auto"/>
            <w:shd w:val="clear" w:color="auto" w:fill="auto"/>
          </w:tcPr>
          <w:p w14:paraId="59171B52" w14:textId="77777777" w:rsidR="008C5CFA" w:rsidRPr="00601E29" w:rsidRDefault="00E82A60" w:rsidP="00300A01">
            <w:pPr>
              <w:spacing w:before="0" w:after="0"/>
              <w:rPr>
                <w:sz w:val="10"/>
                <w:szCs w:val="10"/>
                <w:lang w:val="fr-BE"/>
              </w:rPr>
            </w:pPr>
            <w:r w:rsidRPr="00601E29">
              <w:rPr>
                <w:noProof/>
                <w:sz w:val="10"/>
                <w:szCs w:val="10"/>
                <w:lang w:val="fr-BE"/>
              </w:rPr>
              <w:t>Słabiej rozwinięte</w:t>
            </w:r>
          </w:p>
        </w:tc>
        <w:tc>
          <w:tcPr>
            <w:tcW w:w="0" w:type="auto"/>
          </w:tcPr>
          <w:p w14:paraId="6680031C"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58043FB5"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360CEA3B"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2882AD5B"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38414052"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3A4D4F79"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42EEABF3" w14:textId="77777777" w:rsidR="008C5CFA" w:rsidRPr="00601E29" w:rsidRDefault="008C5CFA" w:rsidP="00300A01">
            <w:pPr>
              <w:spacing w:before="0" w:after="0"/>
              <w:jc w:val="right"/>
              <w:rPr>
                <w:sz w:val="10"/>
                <w:szCs w:val="10"/>
                <w:lang w:val="fr-BE"/>
              </w:rPr>
            </w:pPr>
          </w:p>
        </w:tc>
      </w:tr>
      <w:tr w:rsidR="006B2EC1" w14:paraId="03BFE649" w14:textId="77777777" w:rsidTr="0047688D">
        <w:tc>
          <w:tcPr>
            <w:tcW w:w="0" w:type="auto"/>
            <w:shd w:val="clear" w:color="auto" w:fill="auto"/>
          </w:tcPr>
          <w:p w14:paraId="2208AF34" w14:textId="77777777" w:rsidR="008C5CFA" w:rsidRPr="00601E29" w:rsidRDefault="00E82A60" w:rsidP="00300A01">
            <w:pPr>
              <w:spacing w:before="0" w:after="0"/>
              <w:rPr>
                <w:sz w:val="10"/>
                <w:szCs w:val="10"/>
                <w:lang w:val="fr-BE"/>
              </w:rPr>
            </w:pPr>
            <w:r w:rsidRPr="00601E29">
              <w:rPr>
                <w:noProof/>
                <w:sz w:val="10"/>
                <w:szCs w:val="10"/>
                <w:lang w:val="fr-BE"/>
              </w:rPr>
              <w:t>015</w:t>
            </w:r>
          </w:p>
        </w:tc>
        <w:tc>
          <w:tcPr>
            <w:tcW w:w="0" w:type="auto"/>
            <w:shd w:val="clear" w:color="auto" w:fill="auto"/>
          </w:tcPr>
          <w:p w14:paraId="42361DE1" w14:textId="77777777" w:rsidR="008C5CFA" w:rsidRPr="00601E29" w:rsidRDefault="00E82A60" w:rsidP="00300A01">
            <w:pPr>
              <w:spacing w:before="0" w:after="0"/>
              <w:rPr>
                <w:sz w:val="10"/>
                <w:szCs w:val="10"/>
                <w:lang w:val="fr-BE"/>
              </w:rPr>
            </w:pPr>
            <w:r w:rsidRPr="00601E29">
              <w:rPr>
                <w:noProof/>
                <w:sz w:val="10"/>
                <w:szCs w:val="10"/>
                <w:lang w:val="fr-BE"/>
              </w:rPr>
              <w:t>Liczba szkół i placówek kształcenia zawodowego wykorzystujących doposażenie zakupione dzięki EFS</w:t>
            </w:r>
          </w:p>
        </w:tc>
        <w:tc>
          <w:tcPr>
            <w:tcW w:w="0" w:type="auto"/>
            <w:shd w:val="clear" w:color="auto" w:fill="auto"/>
          </w:tcPr>
          <w:p w14:paraId="31251F39" w14:textId="77777777" w:rsidR="008C5CFA" w:rsidRPr="00601E29" w:rsidRDefault="00E82A60" w:rsidP="00300A01">
            <w:pPr>
              <w:spacing w:before="0" w:after="0"/>
              <w:rPr>
                <w:sz w:val="10"/>
                <w:szCs w:val="10"/>
                <w:lang w:val="fr-BE"/>
              </w:rPr>
            </w:pPr>
            <w:r w:rsidRPr="00601E29">
              <w:rPr>
                <w:noProof/>
                <w:sz w:val="10"/>
                <w:szCs w:val="10"/>
                <w:lang w:val="fr-BE"/>
              </w:rPr>
              <w:t>Słabiej rozwinięte</w:t>
            </w:r>
          </w:p>
        </w:tc>
        <w:tc>
          <w:tcPr>
            <w:tcW w:w="0" w:type="auto"/>
          </w:tcPr>
          <w:p w14:paraId="782BA96B"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3E0F544C"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6D21CD23"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44C79646"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37DCDE43"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2F477A38"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642893ED" w14:textId="77777777" w:rsidR="008C5CFA" w:rsidRPr="00601E29" w:rsidRDefault="008C5CFA" w:rsidP="00300A01">
            <w:pPr>
              <w:spacing w:before="0" w:after="0"/>
              <w:jc w:val="right"/>
              <w:rPr>
                <w:sz w:val="10"/>
                <w:szCs w:val="10"/>
                <w:lang w:val="fr-BE"/>
              </w:rPr>
            </w:pPr>
          </w:p>
        </w:tc>
      </w:tr>
      <w:tr w:rsidR="006B2EC1" w14:paraId="3EAC8277" w14:textId="77777777" w:rsidTr="0047688D">
        <w:tc>
          <w:tcPr>
            <w:tcW w:w="0" w:type="auto"/>
            <w:shd w:val="clear" w:color="auto" w:fill="auto"/>
          </w:tcPr>
          <w:p w14:paraId="73F2234E" w14:textId="77777777" w:rsidR="008C5CFA" w:rsidRPr="00601E29" w:rsidRDefault="00E82A60" w:rsidP="00300A01">
            <w:pPr>
              <w:spacing w:before="0" w:after="0"/>
              <w:rPr>
                <w:sz w:val="10"/>
                <w:szCs w:val="10"/>
                <w:lang w:val="fr-BE"/>
              </w:rPr>
            </w:pPr>
            <w:r w:rsidRPr="00601E29">
              <w:rPr>
                <w:noProof/>
                <w:sz w:val="10"/>
                <w:szCs w:val="10"/>
                <w:lang w:val="fr-BE"/>
              </w:rPr>
              <w:t>016</w:t>
            </w:r>
          </w:p>
        </w:tc>
        <w:tc>
          <w:tcPr>
            <w:tcW w:w="0" w:type="auto"/>
            <w:shd w:val="clear" w:color="auto" w:fill="auto"/>
          </w:tcPr>
          <w:p w14:paraId="2B416EA8" w14:textId="77777777" w:rsidR="008C5CFA" w:rsidRPr="00601E29" w:rsidRDefault="00E82A60" w:rsidP="00300A01">
            <w:pPr>
              <w:spacing w:before="0" w:after="0"/>
              <w:rPr>
                <w:sz w:val="10"/>
                <w:szCs w:val="10"/>
                <w:lang w:val="fr-BE"/>
              </w:rPr>
            </w:pPr>
            <w:r w:rsidRPr="00601E29">
              <w:rPr>
                <w:noProof/>
                <w:sz w:val="10"/>
                <w:szCs w:val="10"/>
                <w:lang w:val="fr-BE"/>
              </w:rPr>
              <w:t>Liczba osób, które uzyskały kwalifikacje w ramach pozaszkolnych form kształcenia</w:t>
            </w:r>
          </w:p>
        </w:tc>
        <w:tc>
          <w:tcPr>
            <w:tcW w:w="0" w:type="auto"/>
            <w:shd w:val="clear" w:color="auto" w:fill="auto"/>
          </w:tcPr>
          <w:p w14:paraId="083EFEAC" w14:textId="77777777" w:rsidR="008C5CFA" w:rsidRPr="00601E29" w:rsidRDefault="00E82A60" w:rsidP="00300A01">
            <w:pPr>
              <w:spacing w:before="0" w:after="0"/>
              <w:rPr>
                <w:sz w:val="10"/>
                <w:szCs w:val="10"/>
                <w:lang w:val="fr-BE"/>
              </w:rPr>
            </w:pPr>
            <w:r w:rsidRPr="00601E29">
              <w:rPr>
                <w:noProof/>
                <w:sz w:val="10"/>
                <w:szCs w:val="10"/>
                <w:lang w:val="fr-BE"/>
              </w:rPr>
              <w:t>Słabiej rozwinięte</w:t>
            </w:r>
          </w:p>
        </w:tc>
        <w:tc>
          <w:tcPr>
            <w:tcW w:w="0" w:type="auto"/>
          </w:tcPr>
          <w:p w14:paraId="73BCC594"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2BF4A857"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63EAE8E5"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45F58A7C"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77CE8319"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48883DEF"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2DBCCA60" w14:textId="77777777" w:rsidR="008C5CFA" w:rsidRPr="00601E29" w:rsidRDefault="008C5CFA" w:rsidP="00300A01">
            <w:pPr>
              <w:spacing w:before="0" w:after="0"/>
              <w:jc w:val="right"/>
              <w:rPr>
                <w:sz w:val="10"/>
                <w:szCs w:val="10"/>
                <w:lang w:val="fr-BE"/>
              </w:rPr>
            </w:pPr>
          </w:p>
        </w:tc>
      </w:tr>
    </w:tbl>
    <w:p w14:paraId="7B15F4E8" w14:textId="77777777" w:rsidR="008C5CFA" w:rsidRPr="007C3A6B" w:rsidRDefault="008C5CFA" w:rsidP="00300A01">
      <w:pPr>
        <w:spacing w:before="0" w:after="0"/>
        <w:rPr>
          <w:lang w:val="fr-BE"/>
        </w:rPr>
      </w:pPr>
    </w:p>
    <w:p w14:paraId="146154C8" w14:textId="77777777" w:rsidR="008C5CFA" w:rsidRDefault="00E82A60" w:rsidP="00300A01">
      <w:pPr>
        <w:spacing w:before="0" w:after="0"/>
        <w:rPr>
          <w:lang w:val="fr-BE"/>
        </w:rPr>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13533"/>
      </w:tblGrid>
      <w:tr w:rsidR="006B2EC1" w14:paraId="6082C0D8" w14:textId="77777777" w:rsidTr="0047688D">
        <w:tc>
          <w:tcPr>
            <w:tcW w:w="0" w:type="auto"/>
            <w:shd w:val="clear" w:color="auto" w:fill="auto"/>
          </w:tcPr>
          <w:p w14:paraId="74FE30BA" w14:textId="77777777" w:rsidR="008C5CFA" w:rsidRPr="002124FC" w:rsidRDefault="00E82A60" w:rsidP="00300A01">
            <w:pPr>
              <w:spacing w:before="0" w:after="0"/>
              <w:rPr>
                <w:sz w:val="20"/>
                <w:szCs w:val="20"/>
                <w:lang w:val="fr-BE"/>
              </w:rPr>
            </w:pPr>
            <w:r>
              <w:rPr>
                <w:lang w:val="fr-BE"/>
              </w:rPr>
              <w:lastRenderedPageBreak/>
              <w:br w:type="page"/>
            </w:r>
            <w:r>
              <w:rPr>
                <w:lang w:val="fr-BE"/>
              </w:rPr>
              <w:br w:type="page"/>
            </w:r>
            <w:r w:rsidRPr="002124FC">
              <w:rPr>
                <w:noProof/>
                <w:sz w:val="20"/>
                <w:szCs w:val="20"/>
                <w:lang w:val="fr-BE"/>
              </w:rPr>
              <w:t>Oś priorytetowa</w:t>
            </w:r>
          </w:p>
        </w:tc>
        <w:tc>
          <w:tcPr>
            <w:tcW w:w="0" w:type="auto"/>
            <w:shd w:val="clear" w:color="auto" w:fill="auto"/>
          </w:tcPr>
          <w:p w14:paraId="56A058FD" w14:textId="77777777" w:rsidR="008C5CFA" w:rsidRPr="002124FC" w:rsidRDefault="00E82A60" w:rsidP="00300A01">
            <w:pPr>
              <w:spacing w:before="0" w:after="0"/>
              <w:rPr>
                <w:sz w:val="20"/>
                <w:szCs w:val="20"/>
                <w:lang w:val="fr-BE"/>
              </w:rPr>
            </w:pPr>
            <w:r w:rsidRPr="002124FC">
              <w:rPr>
                <w:noProof/>
                <w:sz w:val="20"/>
                <w:szCs w:val="20"/>
                <w:lang w:val="fr-BE"/>
              </w:rPr>
              <w:t>8</w:t>
            </w:r>
            <w:r w:rsidRPr="002124FC">
              <w:rPr>
                <w:sz w:val="20"/>
                <w:szCs w:val="20"/>
                <w:lang w:val="fr-BE"/>
              </w:rPr>
              <w:t xml:space="preserve"> - </w:t>
            </w:r>
            <w:r w:rsidRPr="002124FC">
              <w:rPr>
                <w:noProof/>
                <w:sz w:val="20"/>
                <w:szCs w:val="20"/>
                <w:lang w:val="fr-BE"/>
              </w:rPr>
              <w:t>Rozwój edukacji i aktywne społeczeństwo</w:t>
            </w:r>
          </w:p>
        </w:tc>
      </w:tr>
      <w:tr w:rsidR="006B2EC1" w14:paraId="7AEE3423" w14:textId="77777777" w:rsidTr="0047688D">
        <w:tc>
          <w:tcPr>
            <w:tcW w:w="0" w:type="auto"/>
            <w:shd w:val="clear" w:color="auto" w:fill="auto"/>
          </w:tcPr>
          <w:p w14:paraId="132CFDA1" w14:textId="77777777" w:rsidR="008C5CFA" w:rsidRPr="002124FC" w:rsidRDefault="00E82A60"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14:paraId="400AD730" w14:textId="77777777" w:rsidR="008C5CFA" w:rsidRPr="002124FC" w:rsidRDefault="00E82A60" w:rsidP="00300A01">
            <w:pPr>
              <w:spacing w:before="0" w:after="0"/>
              <w:rPr>
                <w:sz w:val="20"/>
                <w:szCs w:val="20"/>
                <w:lang w:val="fr-BE"/>
              </w:rPr>
            </w:pPr>
            <w:r w:rsidRPr="002124FC">
              <w:rPr>
                <w:noProof/>
                <w:sz w:val="20"/>
                <w:szCs w:val="20"/>
                <w:lang w:val="fr-BE"/>
              </w:rPr>
              <w:t>10iv</w:t>
            </w:r>
            <w:r w:rsidRPr="002124FC">
              <w:rPr>
                <w:sz w:val="20"/>
                <w:szCs w:val="20"/>
                <w:lang w:val="fr-BE"/>
              </w:rPr>
              <w:t xml:space="preserve"> - </w:t>
            </w:r>
            <w:r w:rsidRPr="002124FC">
              <w:rPr>
                <w:noProof/>
                <w:sz w:val="20"/>
                <w:szCs w:val="20"/>
                <w:lang w:val="fr-BE"/>
              </w:rPr>
              <w:t>Lepsze dostosowanie systemów kształcenia i szkolenia do potrzeb rynku pracy, ułatwianie przechodzenia z etapu kształcenia do etapu zatrudnienia oraz wzmacnianie systemów kształcenia i szkolenia zawodowego i ich jakości, w tym poprzez mechanizmy prognozowania umiejętności, dostosowania programów nauczania oraz tworzenia i rozwoju systemów uczenia się poprzez praktyczną naukę zawodu realizowaną w ścisłej współpracy z pracodawcami</w:t>
            </w:r>
          </w:p>
        </w:tc>
      </w:tr>
    </w:tbl>
    <w:p w14:paraId="1F530B8B" w14:textId="77777777" w:rsidR="008C5CFA" w:rsidRDefault="008C5CFA" w:rsidP="00300A01">
      <w:pPr>
        <w:spacing w:before="0" w:after="0"/>
      </w:pPr>
    </w:p>
    <w:p w14:paraId="4FEE8B78" w14:textId="77777777" w:rsidR="008C5CFA" w:rsidRPr="008E457C" w:rsidRDefault="00E82A60" w:rsidP="00300A01">
      <w:pPr>
        <w:pStyle w:val="Nagwek2"/>
        <w:spacing w:before="0" w:after="0"/>
        <w:rPr>
          <w:b w:val="0"/>
        </w:rPr>
      </w:pPr>
      <w:bookmarkStart w:id="65" w:name="_Toc46391749"/>
      <w:r w:rsidRPr="008E457C">
        <w:rPr>
          <w:b w:val="0"/>
          <w:noProof/>
          <w:lang w:val="fr-BE"/>
        </w:rPr>
        <w:t>Tabela 4A</w:t>
      </w:r>
      <w:r w:rsidRPr="008E457C">
        <w:rPr>
          <w:b w:val="0"/>
        </w:rPr>
        <w:t xml:space="preserve"> : </w:t>
      </w:r>
      <w:r w:rsidRPr="008E457C">
        <w:rPr>
          <w:b w:val="0"/>
          <w:noProof/>
          <w:lang w:val="fr-BE"/>
        </w:rPr>
        <w:t>Wspólne wskaźniki produktu dla EFS oraz Inicjatywy na rzecz zatrudnienia ludzi młodych</w:t>
      </w:r>
      <w:r w:rsidR="00A11A16">
        <w:rPr>
          <w:b w:val="0"/>
        </w:rPr>
        <w:t xml:space="preserve"> - </w:t>
      </w:r>
      <w:r w:rsidR="00A11A16" w:rsidRPr="002124FC">
        <w:rPr>
          <w:noProof/>
          <w:sz w:val="20"/>
          <w:szCs w:val="20"/>
          <w:lang w:val="fr-BE"/>
        </w:rPr>
        <w:t>8</w:t>
      </w:r>
      <w:r w:rsidR="00A11A16">
        <w:rPr>
          <w:sz w:val="20"/>
          <w:szCs w:val="20"/>
          <w:lang w:val="fr-BE"/>
        </w:rPr>
        <w:t xml:space="preserve"> / </w:t>
      </w:r>
      <w:r w:rsidR="00A11A16" w:rsidRPr="002124FC">
        <w:rPr>
          <w:noProof/>
          <w:sz w:val="20"/>
          <w:szCs w:val="20"/>
          <w:lang w:val="fr-BE"/>
        </w:rPr>
        <w:t>10iv</w:t>
      </w:r>
      <w:bookmarkEnd w:id="65"/>
    </w:p>
    <w:p w14:paraId="0D69485F" w14:textId="77777777" w:rsidR="008C5CFA" w:rsidRDefault="008C5CFA" w:rsidP="00300A01">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01"/>
        <w:gridCol w:w="6913"/>
        <w:gridCol w:w="1021"/>
        <w:gridCol w:w="514"/>
        <w:gridCol w:w="654"/>
        <w:gridCol w:w="521"/>
        <w:gridCol w:w="594"/>
        <w:gridCol w:w="654"/>
        <w:gridCol w:w="534"/>
        <w:gridCol w:w="514"/>
        <w:gridCol w:w="654"/>
        <w:gridCol w:w="521"/>
        <w:gridCol w:w="514"/>
        <w:gridCol w:w="654"/>
        <w:gridCol w:w="521"/>
      </w:tblGrid>
      <w:tr w:rsidR="006B2EC1" w14:paraId="18DEABEF" w14:textId="77777777" w:rsidTr="0047688D">
        <w:trPr>
          <w:cantSplit/>
          <w:tblHeader/>
        </w:trPr>
        <w:tc>
          <w:tcPr>
            <w:tcW w:w="0" w:type="auto"/>
            <w:shd w:val="clear" w:color="auto" w:fill="auto"/>
          </w:tcPr>
          <w:p w14:paraId="1B0A2CD2" w14:textId="77777777" w:rsidR="008C5CFA" w:rsidRPr="00F53019" w:rsidRDefault="00E82A60" w:rsidP="00300A01">
            <w:pPr>
              <w:spacing w:before="0" w:after="0"/>
              <w:rPr>
                <w:b/>
                <w:sz w:val="12"/>
                <w:szCs w:val="12"/>
                <w:lang w:val="fr-BE"/>
              </w:rPr>
            </w:pPr>
            <w:r w:rsidRPr="00F53019">
              <w:rPr>
                <w:b/>
                <w:noProof/>
                <w:sz w:val="12"/>
                <w:szCs w:val="12"/>
                <w:lang w:val="fr-BE"/>
              </w:rPr>
              <w:t>ID</w:t>
            </w:r>
          </w:p>
        </w:tc>
        <w:tc>
          <w:tcPr>
            <w:tcW w:w="0" w:type="auto"/>
            <w:shd w:val="clear" w:color="auto" w:fill="auto"/>
          </w:tcPr>
          <w:p w14:paraId="706632A0" w14:textId="77777777" w:rsidR="008C5CFA" w:rsidRPr="00F53019" w:rsidRDefault="00E82A60" w:rsidP="00300A01">
            <w:pPr>
              <w:spacing w:before="0" w:after="0"/>
              <w:rPr>
                <w:b/>
                <w:sz w:val="12"/>
                <w:szCs w:val="12"/>
                <w:lang w:val="fr-BE"/>
              </w:rPr>
            </w:pPr>
            <w:r w:rsidRPr="00F53019">
              <w:rPr>
                <w:b/>
                <w:noProof/>
                <w:sz w:val="12"/>
                <w:szCs w:val="12"/>
                <w:lang w:val="fr-BE"/>
              </w:rPr>
              <w:t>Wskaźnik</w:t>
            </w:r>
          </w:p>
        </w:tc>
        <w:tc>
          <w:tcPr>
            <w:tcW w:w="0" w:type="auto"/>
            <w:shd w:val="clear" w:color="auto" w:fill="auto"/>
          </w:tcPr>
          <w:p w14:paraId="1BB12920" w14:textId="77777777" w:rsidR="008C5CFA" w:rsidRPr="00F53019" w:rsidRDefault="00E82A60" w:rsidP="00300A01">
            <w:pPr>
              <w:spacing w:before="0" w:after="0"/>
              <w:rPr>
                <w:b/>
                <w:sz w:val="12"/>
                <w:szCs w:val="12"/>
                <w:lang w:val="fr-BE"/>
              </w:rPr>
            </w:pPr>
            <w:r w:rsidRPr="00F53019">
              <w:rPr>
                <w:b/>
                <w:noProof/>
                <w:sz w:val="12"/>
                <w:szCs w:val="12"/>
                <w:lang w:val="fr-BE"/>
              </w:rPr>
              <w:t>Kategoria regionu</w:t>
            </w:r>
          </w:p>
        </w:tc>
        <w:tc>
          <w:tcPr>
            <w:tcW w:w="0" w:type="auto"/>
            <w:gridSpan w:val="3"/>
            <w:shd w:val="clear" w:color="auto" w:fill="auto"/>
          </w:tcPr>
          <w:p w14:paraId="768373FC" w14:textId="77777777" w:rsidR="008C5CFA" w:rsidRPr="00F53019" w:rsidRDefault="00E82A60" w:rsidP="00300A01">
            <w:pPr>
              <w:spacing w:before="0" w:after="0"/>
              <w:jc w:val="center"/>
              <w:rPr>
                <w:b/>
                <w:sz w:val="12"/>
                <w:szCs w:val="12"/>
                <w:lang w:val="fr-BE"/>
              </w:rPr>
            </w:pPr>
            <w:r w:rsidRPr="00F53019">
              <w:rPr>
                <w:b/>
                <w:noProof/>
                <w:sz w:val="12"/>
                <w:szCs w:val="12"/>
                <w:lang w:val="fr-BE"/>
              </w:rPr>
              <w:t>Wartość docelowa (2023)</w:t>
            </w:r>
          </w:p>
        </w:tc>
        <w:tc>
          <w:tcPr>
            <w:tcW w:w="0" w:type="auto"/>
            <w:gridSpan w:val="3"/>
            <w:shd w:val="clear" w:color="auto" w:fill="auto"/>
          </w:tcPr>
          <w:p w14:paraId="2C056FB4" w14:textId="77777777" w:rsidR="008C5CFA" w:rsidRPr="00F53019" w:rsidRDefault="00E82A60" w:rsidP="00300A01">
            <w:pPr>
              <w:spacing w:before="0" w:after="0"/>
              <w:jc w:val="center"/>
              <w:rPr>
                <w:b/>
                <w:sz w:val="12"/>
                <w:szCs w:val="12"/>
                <w:lang w:val="fr-BE"/>
              </w:rPr>
            </w:pPr>
            <w:r w:rsidRPr="00F53019">
              <w:rPr>
                <w:b/>
                <w:noProof/>
                <w:sz w:val="12"/>
                <w:szCs w:val="12"/>
                <w:lang w:val="fr-BE"/>
              </w:rPr>
              <w:t>Wartość skumulowana</w:t>
            </w:r>
          </w:p>
        </w:tc>
        <w:tc>
          <w:tcPr>
            <w:tcW w:w="0" w:type="auto"/>
            <w:gridSpan w:val="3"/>
            <w:shd w:val="clear" w:color="auto" w:fill="auto"/>
          </w:tcPr>
          <w:p w14:paraId="679B0842" w14:textId="77777777" w:rsidR="008C5CFA" w:rsidRPr="00F53019" w:rsidRDefault="00E82A60" w:rsidP="00300A01">
            <w:pPr>
              <w:spacing w:before="0" w:after="0"/>
              <w:jc w:val="center"/>
              <w:rPr>
                <w:b/>
                <w:sz w:val="12"/>
                <w:szCs w:val="12"/>
                <w:lang w:val="fr-BE"/>
              </w:rPr>
            </w:pPr>
            <w:r w:rsidRPr="00F53019">
              <w:rPr>
                <w:b/>
                <w:noProof/>
                <w:sz w:val="12"/>
                <w:szCs w:val="12"/>
                <w:lang w:val="fr-BE"/>
              </w:rPr>
              <w:t>Wskaźnik osiągnięć</w:t>
            </w:r>
          </w:p>
        </w:tc>
        <w:tc>
          <w:tcPr>
            <w:tcW w:w="0" w:type="auto"/>
            <w:gridSpan w:val="3"/>
          </w:tcPr>
          <w:p w14:paraId="4198AAD6" w14:textId="77777777" w:rsidR="008C5CFA" w:rsidRPr="00F53019" w:rsidRDefault="0047688D" w:rsidP="00300A01">
            <w:pPr>
              <w:spacing w:before="0" w:after="0"/>
              <w:jc w:val="center"/>
              <w:rPr>
                <w:b/>
                <w:sz w:val="12"/>
                <w:szCs w:val="12"/>
                <w:lang w:val="fr-BE"/>
              </w:rPr>
            </w:pPr>
            <w:r w:rsidRPr="008C2BD7">
              <w:rPr>
                <w:noProof/>
                <w:sz w:val="12"/>
                <w:szCs w:val="12"/>
              </w:rPr>
              <w:t>2019</w:t>
            </w:r>
          </w:p>
        </w:tc>
      </w:tr>
      <w:tr w:rsidR="006B2EC1" w14:paraId="0E0CEC85" w14:textId="77777777" w:rsidTr="0047688D">
        <w:trPr>
          <w:cantSplit/>
          <w:tblHeader/>
        </w:trPr>
        <w:tc>
          <w:tcPr>
            <w:tcW w:w="0" w:type="auto"/>
            <w:shd w:val="clear" w:color="auto" w:fill="auto"/>
          </w:tcPr>
          <w:p w14:paraId="3176C1A6" w14:textId="77777777" w:rsidR="008C5CFA" w:rsidRPr="00F53019" w:rsidRDefault="008C5CFA" w:rsidP="00300A01">
            <w:pPr>
              <w:spacing w:before="0" w:after="0"/>
              <w:rPr>
                <w:b/>
                <w:sz w:val="12"/>
                <w:szCs w:val="12"/>
                <w:lang w:val="fr-BE"/>
              </w:rPr>
            </w:pPr>
          </w:p>
        </w:tc>
        <w:tc>
          <w:tcPr>
            <w:tcW w:w="0" w:type="auto"/>
            <w:shd w:val="clear" w:color="auto" w:fill="auto"/>
          </w:tcPr>
          <w:p w14:paraId="33EFBE45" w14:textId="77777777" w:rsidR="008C5CFA" w:rsidRPr="00F53019" w:rsidRDefault="008C5CFA" w:rsidP="00300A01">
            <w:pPr>
              <w:spacing w:before="0" w:after="0"/>
              <w:rPr>
                <w:b/>
                <w:sz w:val="12"/>
                <w:szCs w:val="12"/>
                <w:lang w:val="fr-BE"/>
              </w:rPr>
            </w:pPr>
          </w:p>
        </w:tc>
        <w:tc>
          <w:tcPr>
            <w:tcW w:w="0" w:type="auto"/>
            <w:shd w:val="clear" w:color="auto" w:fill="auto"/>
          </w:tcPr>
          <w:p w14:paraId="0F63230D" w14:textId="77777777" w:rsidR="008C5CFA" w:rsidRPr="00F53019" w:rsidRDefault="008C5CFA" w:rsidP="00300A01">
            <w:pPr>
              <w:spacing w:before="0" w:after="0"/>
              <w:rPr>
                <w:b/>
                <w:sz w:val="12"/>
                <w:szCs w:val="12"/>
                <w:lang w:val="fr-BE"/>
              </w:rPr>
            </w:pPr>
          </w:p>
        </w:tc>
        <w:tc>
          <w:tcPr>
            <w:tcW w:w="0" w:type="auto"/>
            <w:shd w:val="clear" w:color="auto" w:fill="auto"/>
          </w:tcPr>
          <w:p w14:paraId="69447639" w14:textId="77777777" w:rsidR="008C5CFA" w:rsidRPr="00F53019" w:rsidRDefault="00E82A60" w:rsidP="00300A01">
            <w:pPr>
              <w:spacing w:before="0" w:after="0"/>
              <w:jc w:val="center"/>
              <w:rPr>
                <w:b/>
                <w:sz w:val="12"/>
                <w:szCs w:val="12"/>
                <w:lang w:val="fr-BE"/>
              </w:rPr>
            </w:pPr>
            <w:r w:rsidRPr="00F53019">
              <w:rPr>
                <w:b/>
                <w:noProof/>
                <w:sz w:val="12"/>
                <w:szCs w:val="12"/>
                <w:lang w:val="fr-BE"/>
              </w:rPr>
              <w:t>Ogółem</w:t>
            </w:r>
          </w:p>
        </w:tc>
        <w:tc>
          <w:tcPr>
            <w:tcW w:w="0" w:type="auto"/>
            <w:shd w:val="clear" w:color="auto" w:fill="auto"/>
          </w:tcPr>
          <w:p w14:paraId="02785402" w14:textId="77777777" w:rsidR="008C5CFA" w:rsidRPr="00F53019" w:rsidRDefault="00E82A60"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14:paraId="5D3B8866" w14:textId="77777777" w:rsidR="008C5CFA" w:rsidRPr="00F53019" w:rsidRDefault="00E82A60" w:rsidP="00300A01">
            <w:pPr>
              <w:spacing w:before="0" w:after="0"/>
              <w:jc w:val="center"/>
              <w:rPr>
                <w:b/>
                <w:sz w:val="12"/>
                <w:szCs w:val="12"/>
                <w:lang w:val="fr-BE"/>
              </w:rPr>
            </w:pPr>
            <w:r w:rsidRPr="00F53019">
              <w:rPr>
                <w:b/>
                <w:noProof/>
                <w:sz w:val="12"/>
                <w:szCs w:val="12"/>
                <w:lang w:val="fr-BE"/>
              </w:rPr>
              <w:t>Kobiety</w:t>
            </w:r>
          </w:p>
        </w:tc>
        <w:tc>
          <w:tcPr>
            <w:tcW w:w="0" w:type="auto"/>
            <w:shd w:val="clear" w:color="auto" w:fill="auto"/>
          </w:tcPr>
          <w:p w14:paraId="4FEC8952" w14:textId="77777777" w:rsidR="008C5CFA" w:rsidRPr="00F53019" w:rsidRDefault="00E82A60" w:rsidP="00300A01">
            <w:pPr>
              <w:spacing w:before="0" w:after="0"/>
              <w:jc w:val="center"/>
              <w:rPr>
                <w:b/>
                <w:sz w:val="12"/>
                <w:szCs w:val="12"/>
                <w:lang w:val="fr-BE"/>
              </w:rPr>
            </w:pPr>
            <w:r w:rsidRPr="00F53019">
              <w:rPr>
                <w:b/>
                <w:noProof/>
                <w:sz w:val="12"/>
                <w:szCs w:val="12"/>
                <w:lang w:val="fr-BE"/>
              </w:rPr>
              <w:t>Ogółem</w:t>
            </w:r>
          </w:p>
        </w:tc>
        <w:tc>
          <w:tcPr>
            <w:tcW w:w="0" w:type="auto"/>
            <w:shd w:val="clear" w:color="auto" w:fill="auto"/>
          </w:tcPr>
          <w:p w14:paraId="405CFE95" w14:textId="77777777" w:rsidR="008C5CFA" w:rsidRPr="00F53019" w:rsidRDefault="00E82A60"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14:paraId="4A9F7444" w14:textId="77777777" w:rsidR="008C5CFA" w:rsidRPr="00F53019" w:rsidRDefault="00E82A60" w:rsidP="00300A01">
            <w:pPr>
              <w:spacing w:before="0" w:after="0"/>
              <w:jc w:val="center"/>
              <w:rPr>
                <w:b/>
                <w:sz w:val="12"/>
                <w:szCs w:val="12"/>
                <w:lang w:val="fr-BE"/>
              </w:rPr>
            </w:pPr>
            <w:r w:rsidRPr="00F53019">
              <w:rPr>
                <w:b/>
                <w:noProof/>
                <w:sz w:val="12"/>
                <w:szCs w:val="12"/>
                <w:lang w:val="fr-BE"/>
              </w:rPr>
              <w:t>Kobiety</w:t>
            </w:r>
          </w:p>
        </w:tc>
        <w:tc>
          <w:tcPr>
            <w:tcW w:w="0" w:type="auto"/>
            <w:shd w:val="clear" w:color="auto" w:fill="auto"/>
          </w:tcPr>
          <w:p w14:paraId="623C423F" w14:textId="77777777" w:rsidR="008C5CFA" w:rsidRPr="00F53019" w:rsidRDefault="00E82A60" w:rsidP="00300A01">
            <w:pPr>
              <w:spacing w:before="0" w:after="0"/>
              <w:jc w:val="center"/>
              <w:rPr>
                <w:b/>
                <w:sz w:val="12"/>
                <w:szCs w:val="12"/>
                <w:lang w:val="fr-BE"/>
              </w:rPr>
            </w:pPr>
            <w:r w:rsidRPr="00F53019">
              <w:rPr>
                <w:b/>
                <w:noProof/>
                <w:sz w:val="12"/>
                <w:szCs w:val="12"/>
                <w:lang w:val="fr-BE"/>
              </w:rPr>
              <w:t>Ogółem</w:t>
            </w:r>
          </w:p>
        </w:tc>
        <w:tc>
          <w:tcPr>
            <w:tcW w:w="0" w:type="auto"/>
            <w:shd w:val="clear" w:color="auto" w:fill="auto"/>
          </w:tcPr>
          <w:p w14:paraId="3CC65A28" w14:textId="77777777" w:rsidR="008C5CFA" w:rsidRPr="00F53019" w:rsidRDefault="00E82A60"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14:paraId="207D8042" w14:textId="77777777" w:rsidR="008C5CFA" w:rsidRPr="00F53019" w:rsidRDefault="00E82A60" w:rsidP="00300A01">
            <w:pPr>
              <w:spacing w:before="0" w:after="0"/>
              <w:jc w:val="center"/>
              <w:rPr>
                <w:b/>
                <w:sz w:val="12"/>
                <w:szCs w:val="12"/>
                <w:lang w:val="fr-BE"/>
              </w:rPr>
            </w:pPr>
            <w:r w:rsidRPr="00F53019">
              <w:rPr>
                <w:b/>
                <w:noProof/>
                <w:sz w:val="12"/>
                <w:szCs w:val="12"/>
                <w:lang w:val="fr-BE"/>
              </w:rPr>
              <w:t>Kobiety</w:t>
            </w:r>
          </w:p>
        </w:tc>
        <w:tc>
          <w:tcPr>
            <w:tcW w:w="0" w:type="auto"/>
          </w:tcPr>
          <w:p w14:paraId="09AE21A5" w14:textId="77777777" w:rsidR="008C5CFA" w:rsidRPr="00F53019" w:rsidRDefault="00E82A60" w:rsidP="00300A01">
            <w:pPr>
              <w:spacing w:before="0" w:after="0"/>
              <w:jc w:val="center"/>
              <w:rPr>
                <w:b/>
                <w:sz w:val="12"/>
                <w:szCs w:val="12"/>
                <w:lang w:val="fr-BE"/>
              </w:rPr>
            </w:pPr>
            <w:r w:rsidRPr="00F53019">
              <w:rPr>
                <w:b/>
                <w:noProof/>
                <w:sz w:val="12"/>
                <w:szCs w:val="12"/>
                <w:lang w:val="fr-BE"/>
              </w:rPr>
              <w:t>Ogółem</w:t>
            </w:r>
          </w:p>
        </w:tc>
        <w:tc>
          <w:tcPr>
            <w:tcW w:w="0" w:type="auto"/>
            <w:shd w:val="clear" w:color="auto" w:fill="auto"/>
          </w:tcPr>
          <w:p w14:paraId="784D7D39" w14:textId="77777777" w:rsidR="008C5CFA" w:rsidRPr="00F53019" w:rsidRDefault="00E82A60"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14:paraId="4FC9DC15" w14:textId="77777777" w:rsidR="008C5CFA" w:rsidRPr="00F53019" w:rsidRDefault="00E82A60" w:rsidP="00300A01">
            <w:pPr>
              <w:spacing w:before="0" w:after="0"/>
              <w:jc w:val="center"/>
              <w:rPr>
                <w:b/>
                <w:sz w:val="12"/>
                <w:szCs w:val="12"/>
                <w:lang w:val="fr-BE"/>
              </w:rPr>
            </w:pPr>
            <w:r w:rsidRPr="00F53019">
              <w:rPr>
                <w:b/>
                <w:noProof/>
                <w:sz w:val="12"/>
                <w:szCs w:val="12"/>
                <w:lang w:val="fr-BE"/>
              </w:rPr>
              <w:t>Kobiety</w:t>
            </w:r>
          </w:p>
        </w:tc>
      </w:tr>
      <w:tr w:rsidR="006B2EC1" w14:paraId="1458C90C" w14:textId="77777777" w:rsidTr="0047688D">
        <w:tc>
          <w:tcPr>
            <w:tcW w:w="0" w:type="auto"/>
            <w:shd w:val="clear" w:color="auto" w:fill="auto"/>
          </w:tcPr>
          <w:p w14:paraId="20DA6A75" w14:textId="77777777" w:rsidR="008C5CFA" w:rsidRPr="00BA47B4" w:rsidRDefault="00E82A60" w:rsidP="00300A01">
            <w:pPr>
              <w:spacing w:before="0" w:after="0"/>
              <w:rPr>
                <w:sz w:val="12"/>
                <w:szCs w:val="12"/>
                <w:lang w:val="fr-BE"/>
              </w:rPr>
            </w:pPr>
            <w:r>
              <w:rPr>
                <w:noProof/>
                <w:sz w:val="12"/>
                <w:szCs w:val="12"/>
                <w:lang w:val="fr-BE"/>
              </w:rPr>
              <w:t>CO01</w:t>
            </w:r>
          </w:p>
        </w:tc>
        <w:tc>
          <w:tcPr>
            <w:tcW w:w="0" w:type="auto"/>
            <w:shd w:val="clear" w:color="auto" w:fill="auto"/>
          </w:tcPr>
          <w:p w14:paraId="7632D08F" w14:textId="77777777" w:rsidR="008C5CFA" w:rsidRPr="00BA47B4" w:rsidRDefault="00E82A60" w:rsidP="00300A01">
            <w:pPr>
              <w:spacing w:before="0" w:after="0"/>
              <w:rPr>
                <w:sz w:val="12"/>
                <w:szCs w:val="12"/>
                <w:lang w:val="fr-BE"/>
              </w:rPr>
            </w:pPr>
            <w:r>
              <w:rPr>
                <w:noProof/>
                <w:sz w:val="12"/>
                <w:szCs w:val="12"/>
                <w:lang w:val="fr-BE"/>
              </w:rPr>
              <w:t>bezrobotni, w tym długotrwale bezrobotni</w:t>
            </w:r>
          </w:p>
        </w:tc>
        <w:tc>
          <w:tcPr>
            <w:tcW w:w="0" w:type="auto"/>
            <w:shd w:val="clear" w:color="auto" w:fill="auto"/>
          </w:tcPr>
          <w:p w14:paraId="1677F7C9" w14:textId="77777777" w:rsidR="008C5CFA" w:rsidRPr="00BA47B4" w:rsidRDefault="00E82A60"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14:paraId="13699AFC" w14:textId="77777777" w:rsidR="008C5CFA" w:rsidRPr="00BA47B4" w:rsidRDefault="008C5CFA" w:rsidP="00300A01">
            <w:pPr>
              <w:spacing w:before="0" w:after="0"/>
              <w:jc w:val="right"/>
              <w:rPr>
                <w:sz w:val="12"/>
                <w:szCs w:val="12"/>
                <w:lang w:val="fr-BE"/>
              </w:rPr>
            </w:pPr>
          </w:p>
        </w:tc>
        <w:tc>
          <w:tcPr>
            <w:tcW w:w="0" w:type="auto"/>
            <w:shd w:val="clear" w:color="auto" w:fill="auto"/>
          </w:tcPr>
          <w:p w14:paraId="556B7B87" w14:textId="77777777" w:rsidR="008C5CFA" w:rsidRPr="00BA47B4" w:rsidRDefault="008C5CFA" w:rsidP="00300A01">
            <w:pPr>
              <w:spacing w:before="0" w:after="0"/>
              <w:jc w:val="right"/>
              <w:rPr>
                <w:sz w:val="12"/>
                <w:szCs w:val="12"/>
                <w:lang w:val="fr-BE"/>
              </w:rPr>
            </w:pPr>
          </w:p>
        </w:tc>
        <w:tc>
          <w:tcPr>
            <w:tcW w:w="0" w:type="auto"/>
            <w:shd w:val="clear" w:color="auto" w:fill="auto"/>
          </w:tcPr>
          <w:p w14:paraId="176EDCE9" w14:textId="77777777" w:rsidR="008C5CFA" w:rsidRPr="00BA47B4" w:rsidRDefault="008C5CFA" w:rsidP="00300A01">
            <w:pPr>
              <w:spacing w:before="0" w:after="0"/>
              <w:jc w:val="right"/>
              <w:rPr>
                <w:sz w:val="12"/>
                <w:szCs w:val="12"/>
                <w:lang w:val="fr-BE"/>
              </w:rPr>
            </w:pPr>
          </w:p>
        </w:tc>
        <w:tc>
          <w:tcPr>
            <w:tcW w:w="0" w:type="auto"/>
            <w:shd w:val="clear" w:color="auto" w:fill="auto"/>
          </w:tcPr>
          <w:p w14:paraId="131D9B95" w14:textId="77777777" w:rsidR="008C5CFA" w:rsidRPr="00BA47B4" w:rsidRDefault="00E82A60" w:rsidP="00300A01">
            <w:pPr>
              <w:spacing w:before="0" w:after="0"/>
              <w:jc w:val="right"/>
              <w:rPr>
                <w:sz w:val="12"/>
                <w:szCs w:val="12"/>
                <w:lang w:val="fr-BE"/>
              </w:rPr>
            </w:pPr>
            <w:r w:rsidRPr="00BA47B4">
              <w:rPr>
                <w:noProof/>
                <w:sz w:val="12"/>
                <w:szCs w:val="12"/>
                <w:lang w:val="fr-BE"/>
              </w:rPr>
              <w:t>582,00</w:t>
            </w:r>
          </w:p>
        </w:tc>
        <w:tc>
          <w:tcPr>
            <w:tcW w:w="0" w:type="auto"/>
            <w:shd w:val="clear" w:color="auto" w:fill="auto"/>
          </w:tcPr>
          <w:p w14:paraId="71E65ACC" w14:textId="77777777" w:rsidR="008C5CFA" w:rsidRPr="00BA47B4" w:rsidRDefault="00E82A60" w:rsidP="00300A01">
            <w:pPr>
              <w:spacing w:before="0" w:after="0"/>
              <w:jc w:val="right"/>
              <w:rPr>
                <w:sz w:val="12"/>
                <w:szCs w:val="12"/>
                <w:lang w:val="fr-BE"/>
              </w:rPr>
            </w:pPr>
            <w:r w:rsidRPr="00BA47B4">
              <w:rPr>
                <w:noProof/>
                <w:sz w:val="12"/>
                <w:szCs w:val="12"/>
                <w:lang w:val="fr-BE"/>
              </w:rPr>
              <w:t>349,00</w:t>
            </w:r>
          </w:p>
        </w:tc>
        <w:tc>
          <w:tcPr>
            <w:tcW w:w="0" w:type="auto"/>
            <w:shd w:val="clear" w:color="auto" w:fill="auto"/>
          </w:tcPr>
          <w:p w14:paraId="2D3642BD" w14:textId="77777777" w:rsidR="008C5CFA" w:rsidRPr="00BA47B4" w:rsidRDefault="00E82A60" w:rsidP="00300A01">
            <w:pPr>
              <w:spacing w:before="0" w:after="0"/>
              <w:jc w:val="right"/>
              <w:rPr>
                <w:sz w:val="12"/>
                <w:szCs w:val="12"/>
                <w:lang w:val="fr-BE"/>
              </w:rPr>
            </w:pPr>
            <w:r w:rsidRPr="00BA47B4">
              <w:rPr>
                <w:noProof/>
                <w:sz w:val="12"/>
                <w:szCs w:val="12"/>
                <w:lang w:val="fr-BE"/>
              </w:rPr>
              <w:t>233,00</w:t>
            </w:r>
          </w:p>
        </w:tc>
        <w:tc>
          <w:tcPr>
            <w:tcW w:w="0" w:type="auto"/>
            <w:shd w:val="clear" w:color="auto" w:fill="auto"/>
          </w:tcPr>
          <w:p w14:paraId="15AB259A" w14:textId="77777777" w:rsidR="008C5CFA" w:rsidRPr="00BA47B4" w:rsidRDefault="008C5CFA" w:rsidP="00300A01">
            <w:pPr>
              <w:spacing w:before="0" w:after="0"/>
              <w:jc w:val="right"/>
              <w:rPr>
                <w:sz w:val="12"/>
                <w:szCs w:val="12"/>
                <w:lang w:val="fr-BE"/>
              </w:rPr>
            </w:pPr>
          </w:p>
        </w:tc>
        <w:tc>
          <w:tcPr>
            <w:tcW w:w="0" w:type="auto"/>
            <w:shd w:val="clear" w:color="auto" w:fill="auto"/>
          </w:tcPr>
          <w:p w14:paraId="61CE4FB9" w14:textId="77777777" w:rsidR="008C5CFA" w:rsidRPr="00BA47B4" w:rsidRDefault="008C5CFA" w:rsidP="00300A01">
            <w:pPr>
              <w:spacing w:before="0" w:after="0"/>
              <w:jc w:val="right"/>
              <w:rPr>
                <w:sz w:val="12"/>
                <w:szCs w:val="12"/>
                <w:lang w:val="fr-BE"/>
              </w:rPr>
            </w:pPr>
          </w:p>
        </w:tc>
        <w:tc>
          <w:tcPr>
            <w:tcW w:w="0" w:type="auto"/>
            <w:shd w:val="clear" w:color="auto" w:fill="auto"/>
          </w:tcPr>
          <w:p w14:paraId="42D550B0" w14:textId="77777777" w:rsidR="008C5CFA" w:rsidRPr="00BA47B4" w:rsidRDefault="008C5CFA" w:rsidP="00300A01">
            <w:pPr>
              <w:spacing w:before="0" w:after="0"/>
              <w:jc w:val="right"/>
              <w:rPr>
                <w:sz w:val="12"/>
                <w:szCs w:val="12"/>
                <w:lang w:val="fr-BE"/>
              </w:rPr>
            </w:pPr>
          </w:p>
        </w:tc>
        <w:tc>
          <w:tcPr>
            <w:tcW w:w="0" w:type="auto"/>
          </w:tcPr>
          <w:p w14:paraId="0C8539AC" w14:textId="77777777" w:rsidR="008C5CFA" w:rsidRPr="00A92B39" w:rsidRDefault="00E82A60" w:rsidP="00300A01">
            <w:pPr>
              <w:spacing w:before="0" w:after="0"/>
              <w:jc w:val="right"/>
              <w:rPr>
                <w:sz w:val="10"/>
                <w:szCs w:val="10"/>
                <w:lang w:val="fr-BE"/>
              </w:rPr>
            </w:pPr>
            <w:r w:rsidRPr="00A92B39">
              <w:rPr>
                <w:noProof/>
                <w:sz w:val="10"/>
                <w:szCs w:val="10"/>
                <w:lang w:val="fr-BE"/>
              </w:rPr>
              <w:t>300,00</w:t>
            </w:r>
          </w:p>
        </w:tc>
        <w:tc>
          <w:tcPr>
            <w:tcW w:w="0" w:type="auto"/>
            <w:shd w:val="clear" w:color="auto" w:fill="auto"/>
          </w:tcPr>
          <w:p w14:paraId="6E0224C4" w14:textId="77777777" w:rsidR="008C5CFA" w:rsidRPr="00A92B39" w:rsidRDefault="00E82A60" w:rsidP="00300A01">
            <w:pPr>
              <w:spacing w:before="0" w:after="0"/>
              <w:jc w:val="right"/>
              <w:rPr>
                <w:sz w:val="10"/>
                <w:szCs w:val="10"/>
                <w:lang w:val="fr-BE"/>
              </w:rPr>
            </w:pPr>
            <w:r w:rsidRPr="00A92B39">
              <w:rPr>
                <w:noProof/>
                <w:sz w:val="10"/>
                <w:szCs w:val="10"/>
                <w:lang w:val="fr-BE"/>
              </w:rPr>
              <w:t>172,00</w:t>
            </w:r>
          </w:p>
        </w:tc>
        <w:tc>
          <w:tcPr>
            <w:tcW w:w="0" w:type="auto"/>
            <w:shd w:val="clear" w:color="auto" w:fill="auto"/>
          </w:tcPr>
          <w:p w14:paraId="634976A0" w14:textId="77777777" w:rsidR="008C5CFA" w:rsidRPr="00BA47B4" w:rsidRDefault="00E82A60" w:rsidP="00300A01">
            <w:pPr>
              <w:spacing w:before="0" w:after="0"/>
              <w:jc w:val="right"/>
              <w:rPr>
                <w:sz w:val="12"/>
                <w:szCs w:val="12"/>
                <w:lang w:val="fr-BE"/>
              </w:rPr>
            </w:pPr>
            <w:r w:rsidRPr="00A92B39">
              <w:rPr>
                <w:noProof/>
                <w:sz w:val="10"/>
                <w:szCs w:val="10"/>
                <w:lang w:val="fr-BE"/>
              </w:rPr>
              <w:t>128,00</w:t>
            </w:r>
          </w:p>
        </w:tc>
      </w:tr>
      <w:tr w:rsidR="006B2EC1" w14:paraId="7843295F" w14:textId="77777777" w:rsidTr="0047688D">
        <w:tc>
          <w:tcPr>
            <w:tcW w:w="0" w:type="auto"/>
            <w:shd w:val="clear" w:color="auto" w:fill="auto"/>
          </w:tcPr>
          <w:p w14:paraId="2D257A92" w14:textId="77777777" w:rsidR="008C5CFA" w:rsidRPr="00BA47B4" w:rsidRDefault="00E82A60" w:rsidP="00300A01">
            <w:pPr>
              <w:spacing w:before="0" w:after="0"/>
              <w:rPr>
                <w:sz w:val="12"/>
                <w:szCs w:val="12"/>
                <w:lang w:val="fr-BE"/>
              </w:rPr>
            </w:pPr>
            <w:r>
              <w:rPr>
                <w:noProof/>
                <w:sz w:val="12"/>
                <w:szCs w:val="12"/>
                <w:lang w:val="fr-BE"/>
              </w:rPr>
              <w:t>CO02</w:t>
            </w:r>
          </w:p>
        </w:tc>
        <w:tc>
          <w:tcPr>
            <w:tcW w:w="0" w:type="auto"/>
            <w:shd w:val="clear" w:color="auto" w:fill="auto"/>
          </w:tcPr>
          <w:p w14:paraId="11DC0923" w14:textId="77777777" w:rsidR="008C5CFA" w:rsidRPr="00BA47B4" w:rsidRDefault="00E82A60" w:rsidP="00300A01">
            <w:pPr>
              <w:spacing w:before="0" w:after="0"/>
              <w:rPr>
                <w:sz w:val="12"/>
                <w:szCs w:val="12"/>
                <w:lang w:val="fr-BE"/>
              </w:rPr>
            </w:pPr>
            <w:r>
              <w:rPr>
                <w:noProof/>
                <w:sz w:val="12"/>
                <w:szCs w:val="12"/>
                <w:lang w:val="fr-BE"/>
              </w:rPr>
              <w:t>długotrwale bezrobotni</w:t>
            </w:r>
          </w:p>
        </w:tc>
        <w:tc>
          <w:tcPr>
            <w:tcW w:w="0" w:type="auto"/>
            <w:shd w:val="clear" w:color="auto" w:fill="auto"/>
          </w:tcPr>
          <w:p w14:paraId="41572BE0" w14:textId="77777777" w:rsidR="008C5CFA" w:rsidRPr="00BA47B4" w:rsidRDefault="00E82A60"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14:paraId="483B1800" w14:textId="77777777" w:rsidR="008C5CFA" w:rsidRPr="00BA47B4" w:rsidRDefault="008C5CFA" w:rsidP="00300A01">
            <w:pPr>
              <w:spacing w:before="0" w:after="0"/>
              <w:jc w:val="right"/>
              <w:rPr>
                <w:sz w:val="12"/>
                <w:szCs w:val="12"/>
                <w:lang w:val="fr-BE"/>
              </w:rPr>
            </w:pPr>
          </w:p>
        </w:tc>
        <w:tc>
          <w:tcPr>
            <w:tcW w:w="0" w:type="auto"/>
            <w:shd w:val="clear" w:color="auto" w:fill="auto"/>
          </w:tcPr>
          <w:p w14:paraId="1E1499DC" w14:textId="77777777" w:rsidR="008C5CFA" w:rsidRPr="00BA47B4" w:rsidRDefault="008C5CFA" w:rsidP="00300A01">
            <w:pPr>
              <w:spacing w:before="0" w:after="0"/>
              <w:jc w:val="right"/>
              <w:rPr>
                <w:sz w:val="12"/>
                <w:szCs w:val="12"/>
                <w:lang w:val="fr-BE"/>
              </w:rPr>
            </w:pPr>
          </w:p>
        </w:tc>
        <w:tc>
          <w:tcPr>
            <w:tcW w:w="0" w:type="auto"/>
            <w:shd w:val="clear" w:color="auto" w:fill="auto"/>
          </w:tcPr>
          <w:p w14:paraId="175F48F1" w14:textId="77777777" w:rsidR="008C5CFA" w:rsidRPr="00BA47B4" w:rsidRDefault="008C5CFA" w:rsidP="00300A01">
            <w:pPr>
              <w:spacing w:before="0" w:after="0"/>
              <w:jc w:val="right"/>
              <w:rPr>
                <w:sz w:val="12"/>
                <w:szCs w:val="12"/>
                <w:lang w:val="fr-BE"/>
              </w:rPr>
            </w:pPr>
          </w:p>
        </w:tc>
        <w:tc>
          <w:tcPr>
            <w:tcW w:w="0" w:type="auto"/>
            <w:shd w:val="clear" w:color="auto" w:fill="auto"/>
          </w:tcPr>
          <w:p w14:paraId="3D7E0BFC" w14:textId="77777777" w:rsidR="008C5CFA" w:rsidRPr="00BA47B4" w:rsidRDefault="00E82A60" w:rsidP="00300A01">
            <w:pPr>
              <w:spacing w:before="0" w:after="0"/>
              <w:jc w:val="right"/>
              <w:rPr>
                <w:sz w:val="12"/>
                <w:szCs w:val="12"/>
                <w:lang w:val="fr-BE"/>
              </w:rPr>
            </w:pPr>
            <w:r w:rsidRPr="00BA47B4">
              <w:rPr>
                <w:noProof/>
                <w:sz w:val="12"/>
                <w:szCs w:val="12"/>
                <w:lang w:val="fr-BE"/>
              </w:rPr>
              <w:t>126,00</w:t>
            </w:r>
          </w:p>
        </w:tc>
        <w:tc>
          <w:tcPr>
            <w:tcW w:w="0" w:type="auto"/>
            <w:shd w:val="clear" w:color="auto" w:fill="auto"/>
          </w:tcPr>
          <w:p w14:paraId="279E927F" w14:textId="77777777" w:rsidR="008C5CFA" w:rsidRPr="00BA47B4" w:rsidRDefault="00E82A60" w:rsidP="00300A01">
            <w:pPr>
              <w:spacing w:before="0" w:after="0"/>
              <w:jc w:val="right"/>
              <w:rPr>
                <w:sz w:val="12"/>
                <w:szCs w:val="12"/>
                <w:lang w:val="fr-BE"/>
              </w:rPr>
            </w:pPr>
            <w:r w:rsidRPr="00BA47B4">
              <w:rPr>
                <w:noProof/>
                <w:sz w:val="12"/>
                <w:szCs w:val="12"/>
                <w:lang w:val="fr-BE"/>
              </w:rPr>
              <w:t>54,00</w:t>
            </w:r>
          </w:p>
        </w:tc>
        <w:tc>
          <w:tcPr>
            <w:tcW w:w="0" w:type="auto"/>
            <w:shd w:val="clear" w:color="auto" w:fill="auto"/>
          </w:tcPr>
          <w:p w14:paraId="0966E4B6" w14:textId="77777777" w:rsidR="008C5CFA" w:rsidRPr="00BA47B4" w:rsidRDefault="00E82A60" w:rsidP="00300A01">
            <w:pPr>
              <w:spacing w:before="0" w:after="0"/>
              <w:jc w:val="right"/>
              <w:rPr>
                <w:sz w:val="12"/>
                <w:szCs w:val="12"/>
                <w:lang w:val="fr-BE"/>
              </w:rPr>
            </w:pPr>
            <w:r w:rsidRPr="00BA47B4">
              <w:rPr>
                <w:noProof/>
                <w:sz w:val="12"/>
                <w:szCs w:val="12"/>
                <w:lang w:val="fr-BE"/>
              </w:rPr>
              <w:t>72,00</w:t>
            </w:r>
          </w:p>
        </w:tc>
        <w:tc>
          <w:tcPr>
            <w:tcW w:w="0" w:type="auto"/>
            <w:shd w:val="clear" w:color="auto" w:fill="auto"/>
          </w:tcPr>
          <w:p w14:paraId="4B60D409" w14:textId="77777777" w:rsidR="008C5CFA" w:rsidRPr="00BA47B4" w:rsidRDefault="008C5CFA" w:rsidP="00300A01">
            <w:pPr>
              <w:spacing w:before="0" w:after="0"/>
              <w:jc w:val="right"/>
              <w:rPr>
                <w:sz w:val="12"/>
                <w:szCs w:val="12"/>
                <w:lang w:val="fr-BE"/>
              </w:rPr>
            </w:pPr>
          </w:p>
        </w:tc>
        <w:tc>
          <w:tcPr>
            <w:tcW w:w="0" w:type="auto"/>
            <w:shd w:val="clear" w:color="auto" w:fill="auto"/>
          </w:tcPr>
          <w:p w14:paraId="5CB346C4" w14:textId="77777777" w:rsidR="008C5CFA" w:rsidRPr="00BA47B4" w:rsidRDefault="008C5CFA" w:rsidP="00300A01">
            <w:pPr>
              <w:spacing w:before="0" w:after="0"/>
              <w:jc w:val="right"/>
              <w:rPr>
                <w:sz w:val="12"/>
                <w:szCs w:val="12"/>
                <w:lang w:val="fr-BE"/>
              </w:rPr>
            </w:pPr>
          </w:p>
        </w:tc>
        <w:tc>
          <w:tcPr>
            <w:tcW w:w="0" w:type="auto"/>
            <w:shd w:val="clear" w:color="auto" w:fill="auto"/>
          </w:tcPr>
          <w:p w14:paraId="64AEC3D0" w14:textId="77777777" w:rsidR="008C5CFA" w:rsidRPr="00BA47B4" w:rsidRDefault="008C5CFA" w:rsidP="00300A01">
            <w:pPr>
              <w:spacing w:before="0" w:after="0"/>
              <w:jc w:val="right"/>
              <w:rPr>
                <w:sz w:val="12"/>
                <w:szCs w:val="12"/>
                <w:lang w:val="fr-BE"/>
              </w:rPr>
            </w:pPr>
          </w:p>
        </w:tc>
        <w:tc>
          <w:tcPr>
            <w:tcW w:w="0" w:type="auto"/>
          </w:tcPr>
          <w:p w14:paraId="1F9AF102" w14:textId="77777777" w:rsidR="008C5CFA" w:rsidRPr="00A92B39" w:rsidRDefault="00E82A60" w:rsidP="00300A01">
            <w:pPr>
              <w:spacing w:before="0" w:after="0"/>
              <w:jc w:val="right"/>
              <w:rPr>
                <w:sz w:val="10"/>
                <w:szCs w:val="10"/>
                <w:lang w:val="fr-BE"/>
              </w:rPr>
            </w:pPr>
            <w:r w:rsidRPr="00A92B39">
              <w:rPr>
                <w:noProof/>
                <w:sz w:val="10"/>
                <w:szCs w:val="10"/>
                <w:lang w:val="fr-BE"/>
              </w:rPr>
              <w:t>72,00</w:t>
            </w:r>
          </w:p>
        </w:tc>
        <w:tc>
          <w:tcPr>
            <w:tcW w:w="0" w:type="auto"/>
            <w:shd w:val="clear" w:color="auto" w:fill="auto"/>
          </w:tcPr>
          <w:p w14:paraId="161CA987" w14:textId="77777777" w:rsidR="008C5CFA" w:rsidRPr="00A92B39" w:rsidRDefault="00E82A60" w:rsidP="00300A01">
            <w:pPr>
              <w:spacing w:before="0" w:after="0"/>
              <w:jc w:val="right"/>
              <w:rPr>
                <w:sz w:val="10"/>
                <w:szCs w:val="10"/>
                <w:lang w:val="fr-BE"/>
              </w:rPr>
            </w:pPr>
            <w:r w:rsidRPr="00A92B39">
              <w:rPr>
                <w:noProof/>
                <w:sz w:val="10"/>
                <w:szCs w:val="10"/>
                <w:lang w:val="fr-BE"/>
              </w:rPr>
              <w:t>31,00</w:t>
            </w:r>
          </w:p>
        </w:tc>
        <w:tc>
          <w:tcPr>
            <w:tcW w:w="0" w:type="auto"/>
            <w:shd w:val="clear" w:color="auto" w:fill="auto"/>
          </w:tcPr>
          <w:p w14:paraId="64A064AD" w14:textId="77777777" w:rsidR="008C5CFA" w:rsidRPr="00BA47B4" w:rsidRDefault="00E82A60" w:rsidP="00300A01">
            <w:pPr>
              <w:spacing w:before="0" w:after="0"/>
              <w:jc w:val="right"/>
              <w:rPr>
                <w:sz w:val="12"/>
                <w:szCs w:val="12"/>
                <w:lang w:val="fr-BE"/>
              </w:rPr>
            </w:pPr>
            <w:r w:rsidRPr="00A92B39">
              <w:rPr>
                <w:noProof/>
                <w:sz w:val="10"/>
                <w:szCs w:val="10"/>
                <w:lang w:val="fr-BE"/>
              </w:rPr>
              <w:t>41,00</w:t>
            </w:r>
          </w:p>
        </w:tc>
      </w:tr>
      <w:tr w:rsidR="006B2EC1" w14:paraId="56BD4606" w14:textId="77777777" w:rsidTr="0047688D">
        <w:tc>
          <w:tcPr>
            <w:tcW w:w="0" w:type="auto"/>
            <w:shd w:val="clear" w:color="auto" w:fill="auto"/>
          </w:tcPr>
          <w:p w14:paraId="43970A43" w14:textId="77777777" w:rsidR="008C5CFA" w:rsidRPr="00BA47B4" w:rsidRDefault="00E82A60" w:rsidP="00300A01">
            <w:pPr>
              <w:spacing w:before="0" w:after="0"/>
              <w:rPr>
                <w:sz w:val="12"/>
                <w:szCs w:val="12"/>
                <w:lang w:val="fr-BE"/>
              </w:rPr>
            </w:pPr>
            <w:r>
              <w:rPr>
                <w:noProof/>
                <w:sz w:val="12"/>
                <w:szCs w:val="12"/>
                <w:lang w:val="fr-BE"/>
              </w:rPr>
              <w:t>CO03</w:t>
            </w:r>
          </w:p>
        </w:tc>
        <w:tc>
          <w:tcPr>
            <w:tcW w:w="0" w:type="auto"/>
            <w:shd w:val="clear" w:color="auto" w:fill="auto"/>
          </w:tcPr>
          <w:p w14:paraId="147183C9" w14:textId="77777777" w:rsidR="008C5CFA" w:rsidRPr="00BA47B4" w:rsidRDefault="00E82A60" w:rsidP="00300A01">
            <w:pPr>
              <w:spacing w:before="0" w:after="0"/>
              <w:rPr>
                <w:sz w:val="12"/>
                <w:szCs w:val="12"/>
                <w:lang w:val="fr-BE"/>
              </w:rPr>
            </w:pPr>
            <w:r>
              <w:rPr>
                <w:noProof/>
                <w:sz w:val="12"/>
                <w:szCs w:val="12"/>
                <w:lang w:val="fr-BE"/>
              </w:rPr>
              <w:t>osoby bierne zawodowo</w:t>
            </w:r>
          </w:p>
        </w:tc>
        <w:tc>
          <w:tcPr>
            <w:tcW w:w="0" w:type="auto"/>
            <w:shd w:val="clear" w:color="auto" w:fill="auto"/>
          </w:tcPr>
          <w:p w14:paraId="61D96885" w14:textId="77777777" w:rsidR="008C5CFA" w:rsidRPr="00BA47B4" w:rsidRDefault="00E82A60"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14:paraId="6C8BA07D" w14:textId="77777777" w:rsidR="008C5CFA" w:rsidRPr="00BA47B4" w:rsidRDefault="008C5CFA" w:rsidP="00300A01">
            <w:pPr>
              <w:spacing w:before="0" w:after="0"/>
              <w:jc w:val="right"/>
              <w:rPr>
                <w:sz w:val="12"/>
                <w:szCs w:val="12"/>
                <w:lang w:val="fr-BE"/>
              </w:rPr>
            </w:pPr>
          </w:p>
        </w:tc>
        <w:tc>
          <w:tcPr>
            <w:tcW w:w="0" w:type="auto"/>
            <w:shd w:val="clear" w:color="auto" w:fill="auto"/>
          </w:tcPr>
          <w:p w14:paraId="4398C403" w14:textId="77777777" w:rsidR="008C5CFA" w:rsidRPr="00BA47B4" w:rsidRDefault="008C5CFA" w:rsidP="00300A01">
            <w:pPr>
              <w:spacing w:before="0" w:after="0"/>
              <w:jc w:val="right"/>
              <w:rPr>
                <w:sz w:val="12"/>
                <w:szCs w:val="12"/>
                <w:lang w:val="fr-BE"/>
              </w:rPr>
            </w:pPr>
          </w:p>
        </w:tc>
        <w:tc>
          <w:tcPr>
            <w:tcW w:w="0" w:type="auto"/>
            <w:shd w:val="clear" w:color="auto" w:fill="auto"/>
          </w:tcPr>
          <w:p w14:paraId="56A47072" w14:textId="77777777" w:rsidR="008C5CFA" w:rsidRPr="00BA47B4" w:rsidRDefault="008C5CFA" w:rsidP="00300A01">
            <w:pPr>
              <w:spacing w:before="0" w:after="0"/>
              <w:jc w:val="right"/>
              <w:rPr>
                <w:sz w:val="12"/>
                <w:szCs w:val="12"/>
                <w:lang w:val="fr-BE"/>
              </w:rPr>
            </w:pPr>
          </w:p>
        </w:tc>
        <w:tc>
          <w:tcPr>
            <w:tcW w:w="0" w:type="auto"/>
            <w:shd w:val="clear" w:color="auto" w:fill="auto"/>
          </w:tcPr>
          <w:p w14:paraId="7D7A9895" w14:textId="77777777" w:rsidR="008C5CFA" w:rsidRPr="00BA47B4" w:rsidRDefault="00E82A60" w:rsidP="00300A01">
            <w:pPr>
              <w:spacing w:before="0" w:after="0"/>
              <w:jc w:val="right"/>
              <w:rPr>
                <w:sz w:val="12"/>
                <w:szCs w:val="12"/>
                <w:lang w:val="fr-BE"/>
              </w:rPr>
            </w:pPr>
            <w:r w:rsidRPr="00BA47B4">
              <w:rPr>
                <w:noProof/>
                <w:sz w:val="12"/>
                <w:szCs w:val="12"/>
                <w:lang w:val="fr-BE"/>
              </w:rPr>
              <w:t>8 965,00</w:t>
            </w:r>
          </w:p>
        </w:tc>
        <w:tc>
          <w:tcPr>
            <w:tcW w:w="0" w:type="auto"/>
            <w:shd w:val="clear" w:color="auto" w:fill="auto"/>
          </w:tcPr>
          <w:p w14:paraId="633C7DCB" w14:textId="77777777" w:rsidR="008C5CFA" w:rsidRPr="00BA47B4" w:rsidRDefault="00E82A60" w:rsidP="00300A01">
            <w:pPr>
              <w:spacing w:before="0" w:after="0"/>
              <w:jc w:val="right"/>
              <w:rPr>
                <w:sz w:val="12"/>
                <w:szCs w:val="12"/>
                <w:lang w:val="fr-BE"/>
              </w:rPr>
            </w:pPr>
            <w:r w:rsidRPr="00BA47B4">
              <w:rPr>
                <w:noProof/>
                <w:sz w:val="12"/>
                <w:szCs w:val="12"/>
                <w:lang w:val="fr-BE"/>
              </w:rPr>
              <w:t>4 892,00</w:t>
            </w:r>
          </w:p>
        </w:tc>
        <w:tc>
          <w:tcPr>
            <w:tcW w:w="0" w:type="auto"/>
            <w:shd w:val="clear" w:color="auto" w:fill="auto"/>
          </w:tcPr>
          <w:p w14:paraId="22B2C3B8" w14:textId="77777777" w:rsidR="008C5CFA" w:rsidRPr="00BA47B4" w:rsidRDefault="00E82A60" w:rsidP="00300A01">
            <w:pPr>
              <w:spacing w:before="0" w:after="0"/>
              <w:jc w:val="right"/>
              <w:rPr>
                <w:sz w:val="12"/>
                <w:szCs w:val="12"/>
                <w:lang w:val="fr-BE"/>
              </w:rPr>
            </w:pPr>
            <w:r w:rsidRPr="00BA47B4">
              <w:rPr>
                <w:noProof/>
                <w:sz w:val="12"/>
                <w:szCs w:val="12"/>
                <w:lang w:val="fr-BE"/>
              </w:rPr>
              <w:t>4 073,00</w:t>
            </w:r>
          </w:p>
        </w:tc>
        <w:tc>
          <w:tcPr>
            <w:tcW w:w="0" w:type="auto"/>
            <w:shd w:val="clear" w:color="auto" w:fill="auto"/>
          </w:tcPr>
          <w:p w14:paraId="3F0B1DB2" w14:textId="77777777" w:rsidR="008C5CFA" w:rsidRPr="00BA47B4" w:rsidRDefault="008C5CFA" w:rsidP="00300A01">
            <w:pPr>
              <w:spacing w:before="0" w:after="0"/>
              <w:jc w:val="right"/>
              <w:rPr>
                <w:sz w:val="12"/>
                <w:szCs w:val="12"/>
                <w:lang w:val="fr-BE"/>
              </w:rPr>
            </w:pPr>
          </w:p>
        </w:tc>
        <w:tc>
          <w:tcPr>
            <w:tcW w:w="0" w:type="auto"/>
            <w:shd w:val="clear" w:color="auto" w:fill="auto"/>
          </w:tcPr>
          <w:p w14:paraId="287F03D1" w14:textId="77777777" w:rsidR="008C5CFA" w:rsidRPr="00BA47B4" w:rsidRDefault="008C5CFA" w:rsidP="00300A01">
            <w:pPr>
              <w:spacing w:before="0" w:after="0"/>
              <w:jc w:val="right"/>
              <w:rPr>
                <w:sz w:val="12"/>
                <w:szCs w:val="12"/>
                <w:lang w:val="fr-BE"/>
              </w:rPr>
            </w:pPr>
          </w:p>
        </w:tc>
        <w:tc>
          <w:tcPr>
            <w:tcW w:w="0" w:type="auto"/>
            <w:shd w:val="clear" w:color="auto" w:fill="auto"/>
          </w:tcPr>
          <w:p w14:paraId="2BC22DB6" w14:textId="77777777" w:rsidR="008C5CFA" w:rsidRPr="00BA47B4" w:rsidRDefault="008C5CFA" w:rsidP="00300A01">
            <w:pPr>
              <w:spacing w:before="0" w:after="0"/>
              <w:jc w:val="right"/>
              <w:rPr>
                <w:sz w:val="12"/>
                <w:szCs w:val="12"/>
                <w:lang w:val="fr-BE"/>
              </w:rPr>
            </w:pPr>
          </w:p>
        </w:tc>
        <w:tc>
          <w:tcPr>
            <w:tcW w:w="0" w:type="auto"/>
          </w:tcPr>
          <w:p w14:paraId="53606F37" w14:textId="77777777" w:rsidR="008C5CFA" w:rsidRPr="00A92B39" w:rsidRDefault="00E82A60" w:rsidP="00300A01">
            <w:pPr>
              <w:spacing w:before="0" w:after="0"/>
              <w:jc w:val="right"/>
              <w:rPr>
                <w:sz w:val="10"/>
                <w:szCs w:val="10"/>
                <w:lang w:val="fr-BE"/>
              </w:rPr>
            </w:pPr>
            <w:r w:rsidRPr="00A92B39">
              <w:rPr>
                <w:noProof/>
                <w:sz w:val="10"/>
                <w:szCs w:val="10"/>
                <w:lang w:val="fr-BE"/>
              </w:rPr>
              <w:t>1 719,00</w:t>
            </w:r>
          </w:p>
        </w:tc>
        <w:tc>
          <w:tcPr>
            <w:tcW w:w="0" w:type="auto"/>
            <w:shd w:val="clear" w:color="auto" w:fill="auto"/>
          </w:tcPr>
          <w:p w14:paraId="3597717D" w14:textId="77777777" w:rsidR="008C5CFA" w:rsidRPr="00A92B39" w:rsidRDefault="00E82A60" w:rsidP="00300A01">
            <w:pPr>
              <w:spacing w:before="0" w:after="0"/>
              <w:jc w:val="right"/>
              <w:rPr>
                <w:sz w:val="10"/>
                <w:szCs w:val="10"/>
                <w:lang w:val="fr-BE"/>
              </w:rPr>
            </w:pPr>
            <w:r w:rsidRPr="00A92B39">
              <w:rPr>
                <w:noProof/>
                <w:sz w:val="10"/>
                <w:szCs w:val="10"/>
                <w:lang w:val="fr-BE"/>
              </w:rPr>
              <w:t>946,00</w:t>
            </w:r>
          </w:p>
        </w:tc>
        <w:tc>
          <w:tcPr>
            <w:tcW w:w="0" w:type="auto"/>
            <w:shd w:val="clear" w:color="auto" w:fill="auto"/>
          </w:tcPr>
          <w:p w14:paraId="0DE9A074" w14:textId="77777777" w:rsidR="008C5CFA" w:rsidRPr="00BA47B4" w:rsidRDefault="00E82A60" w:rsidP="00300A01">
            <w:pPr>
              <w:spacing w:before="0" w:after="0"/>
              <w:jc w:val="right"/>
              <w:rPr>
                <w:sz w:val="12"/>
                <w:szCs w:val="12"/>
                <w:lang w:val="fr-BE"/>
              </w:rPr>
            </w:pPr>
            <w:r w:rsidRPr="00A92B39">
              <w:rPr>
                <w:noProof/>
                <w:sz w:val="10"/>
                <w:szCs w:val="10"/>
                <w:lang w:val="fr-BE"/>
              </w:rPr>
              <w:t>773,00</w:t>
            </w:r>
          </w:p>
        </w:tc>
      </w:tr>
      <w:tr w:rsidR="006B2EC1" w14:paraId="21070E93" w14:textId="77777777" w:rsidTr="0047688D">
        <w:tc>
          <w:tcPr>
            <w:tcW w:w="0" w:type="auto"/>
            <w:shd w:val="clear" w:color="auto" w:fill="auto"/>
          </w:tcPr>
          <w:p w14:paraId="363443C0" w14:textId="77777777" w:rsidR="008C5CFA" w:rsidRPr="00BA47B4" w:rsidRDefault="00E82A60" w:rsidP="00300A01">
            <w:pPr>
              <w:spacing w:before="0" w:after="0"/>
              <w:rPr>
                <w:sz w:val="12"/>
                <w:szCs w:val="12"/>
                <w:lang w:val="fr-BE"/>
              </w:rPr>
            </w:pPr>
            <w:r>
              <w:rPr>
                <w:noProof/>
                <w:sz w:val="12"/>
                <w:szCs w:val="12"/>
                <w:lang w:val="fr-BE"/>
              </w:rPr>
              <w:t>CO04</w:t>
            </w:r>
          </w:p>
        </w:tc>
        <w:tc>
          <w:tcPr>
            <w:tcW w:w="0" w:type="auto"/>
            <w:shd w:val="clear" w:color="auto" w:fill="auto"/>
          </w:tcPr>
          <w:p w14:paraId="0E17E1FD" w14:textId="77777777" w:rsidR="008C5CFA" w:rsidRPr="00BA47B4" w:rsidRDefault="00E82A60" w:rsidP="00300A01">
            <w:pPr>
              <w:spacing w:before="0" w:after="0"/>
              <w:rPr>
                <w:sz w:val="12"/>
                <w:szCs w:val="12"/>
                <w:lang w:val="fr-BE"/>
              </w:rPr>
            </w:pPr>
            <w:r>
              <w:rPr>
                <w:noProof/>
                <w:sz w:val="12"/>
                <w:szCs w:val="12"/>
                <w:lang w:val="fr-BE"/>
              </w:rPr>
              <w:t>osoby bierne zawodowo, nieuczestniczące w kształceniu ani szkoleniu</w:t>
            </w:r>
          </w:p>
        </w:tc>
        <w:tc>
          <w:tcPr>
            <w:tcW w:w="0" w:type="auto"/>
            <w:shd w:val="clear" w:color="auto" w:fill="auto"/>
          </w:tcPr>
          <w:p w14:paraId="45455418" w14:textId="77777777" w:rsidR="008C5CFA" w:rsidRPr="00BA47B4" w:rsidRDefault="00E82A60"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14:paraId="0FB7E481" w14:textId="77777777" w:rsidR="008C5CFA" w:rsidRPr="00BA47B4" w:rsidRDefault="008C5CFA" w:rsidP="00300A01">
            <w:pPr>
              <w:spacing w:before="0" w:after="0"/>
              <w:jc w:val="right"/>
              <w:rPr>
                <w:sz w:val="12"/>
                <w:szCs w:val="12"/>
                <w:lang w:val="fr-BE"/>
              </w:rPr>
            </w:pPr>
          </w:p>
        </w:tc>
        <w:tc>
          <w:tcPr>
            <w:tcW w:w="0" w:type="auto"/>
            <w:shd w:val="clear" w:color="auto" w:fill="auto"/>
          </w:tcPr>
          <w:p w14:paraId="1CC5DCCB" w14:textId="77777777" w:rsidR="008C5CFA" w:rsidRPr="00BA47B4" w:rsidRDefault="008C5CFA" w:rsidP="00300A01">
            <w:pPr>
              <w:spacing w:before="0" w:after="0"/>
              <w:jc w:val="right"/>
              <w:rPr>
                <w:sz w:val="12"/>
                <w:szCs w:val="12"/>
                <w:lang w:val="fr-BE"/>
              </w:rPr>
            </w:pPr>
          </w:p>
        </w:tc>
        <w:tc>
          <w:tcPr>
            <w:tcW w:w="0" w:type="auto"/>
            <w:shd w:val="clear" w:color="auto" w:fill="auto"/>
          </w:tcPr>
          <w:p w14:paraId="6DB40680" w14:textId="77777777" w:rsidR="008C5CFA" w:rsidRPr="00BA47B4" w:rsidRDefault="008C5CFA" w:rsidP="00300A01">
            <w:pPr>
              <w:spacing w:before="0" w:after="0"/>
              <w:jc w:val="right"/>
              <w:rPr>
                <w:sz w:val="12"/>
                <w:szCs w:val="12"/>
                <w:lang w:val="fr-BE"/>
              </w:rPr>
            </w:pPr>
          </w:p>
        </w:tc>
        <w:tc>
          <w:tcPr>
            <w:tcW w:w="0" w:type="auto"/>
            <w:shd w:val="clear" w:color="auto" w:fill="auto"/>
          </w:tcPr>
          <w:p w14:paraId="2E6A4387" w14:textId="77777777" w:rsidR="008C5CFA" w:rsidRPr="00BA47B4" w:rsidRDefault="00E82A60" w:rsidP="00300A01">
            <w:pPr>
              <w:spacing w:before="0" w:after="0"/>
              <w:jc w:val="right"/>
              <w:rPr>
                <w:sz w:val="12"/>
                <w:szCs w:val="12"/>
                <w:lang w:val="fr-BE"/>
              </w:rPr>
            </w:pPr>
            <w:r w:rsidRPr="00BA47B4">
              <w:rPr>
                <w:noProof/>
                <w:sz w:val="12"/>
                <w:szCs w:val="12"/>
                <w:lang w:val="fr-BE"/>
              </w:rPr>
              <w:t>76,00</w:t>
            </w:r>
          </w:p>
        </w:tc>
        <w:tc>
          <w:tcPr>
            <w:tcW w:w="0" w:type="auto"/>
            <w:shd w:val="clear" w:color="auto" w:fill="auto"/>
          </w:tcPr>
          <w:p w14:paraId="3DAD6297" w14:textId="77777777" w:rsidR="008C5CFA" w:rsidRPr="00BA47B4" w:rsidRDefault="00E82A60" w:rsidP="00300A01">
            <w:pPr>
              <w:spacing w:before="0" w:after="0"/>
              <w:jc w:val="right"/>
              <w:rPr>
                <w:sz w:val="12"/>
                <w:szCs w:val="12"/>
                <w:lang w:val="fr-BE"/>
              </w:rPr>
            </w:pPr>
            <w:r w:rsidRPr="00BA47B4">
              <w:rPr>
                <w:noProof/>
                <w:sz w:val="12"/>
                <w:szCs w:val="12"/>
                <w:lang w:val="fr-BE"/>
              </w:rPr>
              <w:t>21,00</w:t>
            </w:r>
          </w:p>
        </w:tc>
        <w:tc>
          <w:tcPr>
            <w:tcW w:w="0" w:type="auto"/>
            <w:shd w:val="clear" w:color="auto" w:fill="auto"/>
          </w:tcPr>
          <w:p w14:paraId="3FAC1ECF" w14:textId="77777777" w:rsidR="008C5CFA" w:rsidRPr="00BA47B4" w:rsidRDefault="00E82A60" w:rsidP="00300A01">
            <w:pPr>
              <w:spacing w:before="0" w:after="0"/>
              <w:jc w:val="right"/>
              <w:rPr>
                <w:sz w:val="12"/>
                <w:szCs w:val="12"/>
                <w:lang w:val="fr-BE"/>
              </w:rPr>
            </w:pPr>
            <w:r w:rsidRPr="00BA47B4">
              <w:rPr>
                <w:noProof/>
                <w:sz w:val="12"/>
                <w:szCs w:val="12"/>
                <w:lang w:val="fr-BE"/>
              </w:rPr>
              <w:t>55,00</w:t>
            </w:r>
          </w:p>
        </w:tc>
        <w:tc>
          <w:tcPr>
            <w:tcW w:w="0" w:type="auto"/>
            <w:shd w:val="clear" w:color="auto" w:fill="auto"/>
          </w:tcPr>
          <w:p w14:paraId="4926D0E0" w14:textId="77777777" w:rsidR="008C5CFA" w:rsidRPr="00BA47B4" w:rsidRDefault="008C5CFA" w:rsidP="00300A01">
            <w:pPr>
              <w:spacing w:before="0" w:after="0"/>
              <w:jc w:val="right"/>
              <w:rPr>
                <w:sz w:val="12"/>
                <w:szCs w:val="12"/>
                <w:lang w:val="fr-BE"/>
              </w:rPr>
            </w:pPr>
          </w:p>
        </w:tc>
        <w:tc>
          <w:tcPr>
            <w:tcW w:w="0" w:type="auto"/>
            <w:shd w:val="clear" w:color="auto" w:fill="auto"/>
          </w:tcPr>
          <w:p w14:paraId="71280DDE" w14:textId="77777777" w:rsidR="008C5CFA" w:rsidRPr="00BA47B4" w:rsidRDefault="008C5CFA" w:rsidP="00300A01">
            <w:pPr>
              <w:spacing w:before="0" w:after="0"/>
              <w:jc w:val="right"/>
              <w:rPr>
                <w:sz w:val="12"/>
                <w:szCs w:val="12"/>
                <w:lang w:val="fr-BE"/>
              </w:rPr>
            </w:pPr>
          </w:p>
        </w:tc>
        <w:tc>
          <w:tcPr>
            <w:tcW w:w="0" w:type="auto"/>
            <w:shd w:val="clear" w:color="auto" w:fill="auto"/>
          </w:tcPr>
          <w:p w14:paraId="28A8FE74" w14:textId="77777777" w:rsidR="008C5CFA" w:rsidRPr="00BA47B4" w:rsidRDefault="008C5CFA" w:rsidP="00300A01">
            <w:pPr>
              <w:spacing w:before="0" w:after="0"/>
              <w:jc w:val="right"/>
              <w:rPr>
                <w:sz w:val="12"/>
                <w:szCs w:val="12"/>
                <w:lang w:val="fr-BE"/>
              </w:rPr>
            </w:pPr>
          </w:p>
        </w:tc>
        <w:tc>
          <w:tcPr>
            <w:tcW w:w="0" w:type="auto"/>
          </w:tcPr>
          <w:p w14:paraId="763664E8" w14:textId="77777777" w:rsidR="008C5CFA" w:rsidRPr="00A92B39" w:rsidRDefault="00E82A60" w:rsidP="00300A01">
            <w:pPr>
              <w:spacing w:before="0" w:after="0"/>
              <w:jc w:val="right"/>
              <w:rPr>
                <w:sz w:val="10"/>
                <w:szCs w:val="10"/>
                <w:lang w:val="fr-BE"/>
              </w:rPr>
            </w:pPr>
            <w:r w:rsidRPr="00A92B39">
              <w:rPr>
                <w:noProof/>
                <w:sz w:val="10"/>
                <w:szCs w:val="10"/>
                <w:lang w:val="fr-BE"/>
              </w:rPr>
              <w:t>37,00</w:t>
            </w:r>
          </w:p>
        </w:tc>
        <w:tc>
          <w:tcPr>
            <w:tcW w:w="0" w:type="auto"/>
            <w:shd w:val="clear" w:color="auto" w:fill="auto"/>
          </w:tcPr>
          <w:p w14:paraId="1FC9FE09" w14:textId="77777777" w:rsidR="008C5CFA" w:rsidRPr="00A92B39" w:rsidRDefault="00E82A60" w:rsidP="00300A01">
            <w:pPr>
              <w:spacing w:before="0" w:after="0"/>
              <w:jc w:val="right"/>
              <w:rPr>
                <w:sz w:val="10"/>
                <w:szCs w:val="10"/>
                <w:lang w:val="fr-BE"/>
              </w:rPr>
            </w:pPr>
            <w:r w:rsidRPr="00A92B39">
              <w:rPr>
                <w:noProof/>
                <w:sz w:val="10"/>
                <w:szCs w:val="10"/>
                <w:lang w:val="fr-BE"/>
              </w:rPr>
              <w:t>15,00</w:t>
            </w:r>
          </w:p>
        </w:tc>
        <w:tc>
          <w:tcPr>
            <w:tcW w:w="0" w:type="auto"/>
            <w:shd w:val="clear" w:color="auto" w:fill="auto"/>
          </w:tcPr>
          <w:p w14:paraId="23236C86" w14:textId="77777777" w:rsidR="008C5CFA" w:rsidRPr="00BA47B4" w:rsidRDefault="00E82A60" w:rsidP="00300A01">
            <w:pPr>
              <w:spacing w:before="0" w:after="0"/>
              <w:jc w:val="right"/>
              <w:rPr>
                <w:sz w:val="12"/>
                <w:szCs w:val="12"/>
                <w:lang w:val="fr-BE"/>
              </w:rPr>
            </w:pPr>
            <w:r w:rsidRPr="00A92B39">
              <w:rPr>
                <w:noProof/>
                <w:sz w:val="10"/>
                <w:szCs w:val="10"/>
                <w:lang w:val="fr-BE"/>
              </w:rPr>
              <w:t>22,00</w:t>
            </w:r>
          </w:p>
        </w:tc>
      </w:tr>
      <w:tr w:rsidR="006B2EC1" w14:paraId="7DC0F7CD" w14:textId="77777777" w:rsidTr="0047688D">
        <w:tc>
          <w:tcPr>
            <w:tcW w:w="0" w:type="auto"/>
            <w:shd w:val="clear" w:color="auto" w:fill="auto"/>
          </w:tcPr>
          <w:p w14:paraId="26C6D23B" w14:textId="77777777" w:rsidR="008C5CFA" w:rsidRPr="00BA47B4" w:rsidRDefault="00E82A60" w:rsidP="00300A01">
            <w:pPr>
              <w:spacing w:before="0" w:after="0"/>
              <w:rPr>
                <w:sz w:val="12"/>
                <w:szCs w:val="12"/>
                <w:lang w:val="fr-BE"/>
              </w:rPr>
            </w:pPr>
            <w:r>
              <w:rPr>
                <w:noProof/>
                <w:sz w:val="12"/>
                <w:szCs w:val="12"/>
                <w:lang w:val="fr-BE"/>
              </w:rPr>
              <w:t>CO05</w:t>
            </w:r>
          </w:p>
        </w:tc>
        <w:tc>
          <w:tcPr>
            <w:tcW w:w="0" w:type="auto"/>
            <w:shd w:val="clear" w:color="auto" w:fill="auto"/>
          </w:tcPr>
          <w:p w14:paraId="347BD715" w14:textId="77777777" w:rsidR="008C5CFA" w:rsidRPr="00BA47B4" w:rsidRDefault="00E82A60" w:rsidP="00300A01">
            <w:pPr>
              <w:spacing w:before="0" w:after="0"/>
              <w:rPr>
                <w:sz w:val="12"/>
                <w:szCs w:val="12"/>
                <w:lang w:val="fr-BE"/>
              </w:rPr>
            </w:pPr>
            <w:r>
              <w:rPr>
                <w:noProof/>
                <w:sz w:val="12"/>
                <w:szCs w:val="12"/>
                <w:lang w:val="fr-BE"/>
              </w:rPr>
              <w:t>osoby pracujące, łącznie z prowadzącymi działalność na własny rachunek</w:t>
            </w:r>
          </w:p>
        </w:tc>
        <w:tc>
          <w:tcPr>
            <w:tcW w:w="0" w:type="auto"/>
            <w:shd w:val="clear" w:color="auto" w:fill="auto"/>
          </w:tcPr>
          <w:p w14:paraId="0DF71C92" w14:textId="77777777" w:rsidR="008C5CFA" w:rsidRPr="00BA47B4" w:rsidRDefault="00E82A60"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14:paraId="5C0FBBA5" w14:textId="77777777" w:rsidR="008C5CFA" w:rsidRPr="00BA47B4" w:rsidRDefault="008C5CFA" w:rsidP="00300A01">
            <w:pPr>
              <w:spacing w:before="0" w:after="0"/>
              <w:jc w:val="right"/>
              <w:rPr>
                <w:sz w:val="12"/>
                <w:szCs w:val="12"/>
                <w:lang w:val="fr-BE"/>
              </w:rPr>
            </w:pPr>
          </w:p>
        </w:tc>
        <w:tc>
          <w:tcPr>
            <w:tcW w:w="0" w:type="auto"/>
            <w:shd w:val="clear" w:color="auto" w:fill="auto"/>
          </w:tcPr>
          <w:p w14:paraId="629E8208" w14:textId="77777777" w:rsidR="008C5CFA" w:rsidRPr="00BA47B4" w:rsidRDefault="008C5CFA" w:rsidP="00300A01">
            <w:pPr>
              <w:spacing w:before="0" w:after="0"/>
              <w:jc w:val="right"/>
              <w:rPr>
                <w:sz w:val="12"/>
                <w:szCs w:val="12"/>
                <w:lang w:val="fr-BE"/>
              </w:rPr>
            </w:pPr>
          </w:p>
        </w:tc>
        <w:tc>
          <w:tcPr>
            <w:tcW w:w="0" w:type="auto"/>
            <w:shd w:val="clear" w:color="auto" w:fill="auto"/>
          </w:tcPr>
          <w:p w14:paraId="75EF459E" w14:textId="77777777" w:rsidR="008C5CFA" w:rsidRPr="00BA47B4" w:rsidRDefault="008C5CFA" w:rsidP="00300A01">
            <w:pPr>
              <w:spacing w:before="0" w:after="0"/>
              <w:jc w:val="right"/>
              <w:rPr>
                <w:sz w:val="12"/>
                <w:szCs w:val="12"/>
                <w:lang w:val="fr-BE"/>
              </w:rPr>
            </w:pPr>
          </w:p>
        </w:tc>
        <w:tc>
          <w:tcPr>
            <w:tcW w:w="0" w:type="auto"/>
            <w:shd w:val="clear" w:color="auto" w:fill="auto"/>
          </w:tcPr>
          <w:p w14:paraId="774EC0FF" w14:textId="77777777" w:rsidR="008C5CFA" w:rsidRPr="00BA47B4" w:rsidRDefault="00E82A60" w:rsidP="00300A01">
            <w:pPr>
              <w:spacing w:before="0" w:after="0"/>
              <w:jc w:val="right"/>
              <w:rPr>
                <w:sz w:val="12"/>
                <w:szCs w:val="12"/>
                <w:lang w:val="fr-BE"/>
              </w:rPr>
            </w:pPr>
            <w:r w:rsidRPr="00BA47B4">
              <w:rPr>
                <w:noProof/>
                <w:sz w:val="12"/>
                <w:szCs w:val="12"/>
                <w:lang w:val="fr-BE"/>
              </w:rPr>
              <w:t>2 235,00</w:t>
            </w:r>
          </w:p>
        </w:tc>
        <w:tc>
          <w:tcPr>
            <w:tcW w:w="0" w:type="auto"/>
            <w:shd w:val="clear" w:color="auto" w:fill="auto"/>
          </w:tcPr>
          <w:p w14:paraId="234EE78E" w14:textId="77777777" w:rsidR="008C5CFA" w:rsidRPr="00BA47B4" w:rsidRDefault="00E82A60" w:rsidP="00300A01">
            <w:pPr>
              <w:spacing w:before="0" w:after="0"/>
              <w:jc w:val="right"/>
              <w:rPr>
                <w:sz w:val="12"/>
                <w:szCs w:val="12"/>
                <w:lang w:val="fr-BE"/>
              </w:rPr>
            </w:pPr>
            <w:r w:rsidRPr="00BA47B4">
              <w:rPr>
                <w:noProof/>
                <w:sz w:val="12"/>
                <w:szCs w:val="12"/>
                <w:lang w:val="fr-BE"/>
              </w:rPr>
              <w:t>1 306,00</w:t>
            </w:r>
          </w:p>
        </w:tc>
        <w:tc>
          <w:tcPr>
            <w:tcW w:w="0" w:type="auto"/>
            <w:shd w:val="clear" w:color="auto" w:fill="auto"/>
          </w:tcPr>
          <w:p w14:paraId="2516023D" w14:textId="77777777" w:rsidR="008C5CFA" w:rsidRPr="00BA47B4" w:rsidRDefault="00E82A60" w:rsidP="00300A01">
            <w:pPr>
              <w:spacing w:before="0" w:after="0"/>
              <w:jc w:val="right"/>
              <w:rPr>
                <w:sz w:val="12"/>
                <w:szCs w:val="12"/>
                <w:lang w:val="fr-BE"/>
              </w:rPr>
            </w:pPr>
            <w:r w:rsidRPr="00BA47B4">
              <w:rPr>
                <w:noProof/>
                <w:sz w:val="12"/>
                <w:szCs w:val="12"/>
                <w:lang w:val="fr-BE"/>
              </w:rPr>
              <w:t>929,00</w:t>
            </w:r>
          </w:p>
        </w:tc>
        <w:tc>
          <w:tcPr>
            <w:tcW w:w="0" w:type="auto"/>
            <w:shd w:val="clear" w:color="auto" w:fill="auto"/>
          </w:tcPr>
          <w:p w14:paraId="586094DB" w14:textId="77777777" w:rsidR="008C5CFA" w:rsidRPr="00BA47B4" w:rsidRDefault="008C5CFA" w:rsidP="00300A01">
            <w:pPr>
              <w:spacing w:before="0" w:after="0"/>
              <w:jc w:val="right"/>
              <w:rPr>
                <w:sz w:val="12"/>
                <w:szCs w:val="12"/>
                <w:lang w:val="fr-BE"/>
              </w:rPr>
            </w:pPr>
          </w:p>
        </w:tc>
        <w:tc>
          <w:tcPr>
            <w:tcW w:w="0" w:type="auto"/>
            <w:shd w:val="clear" w:color="auto" w:fill="auto"/>
          </w:tcPr>
          <w:p w14:paraId="0C3B8654" w14:textId="77777777" w:rsidR="008C5CFA" w:rsidRPr="00BA47B4" w:rsidRDefault="008C5CFA" w:rsidP="00300A01">
            <w:pPr>
              <w:spacing w:before="0" w:after="0"/>
              <w:jc w:val="right"/>
              <w:rPr>
                <w:sz w:val="12"/>
                <w:szCs w:val="12"/>
                <w:lang w:val="fr-BE"/>
              </w:rPr>
            </w:pPr>
          </w:p>
        </w:tc>
        <w:tc>
          <w:tcPr>
            <w:tcW w:w="0" w:type="auto"/>
            <w:shd w:val="clear" w:color="auto" w:fill="auto"/>
          </w:tcPr>
          <w:p w14:paraId="629D0627" w14:textId="77777777" w:rsidR="008C5CFA" w:rsidRPr="00BA47B4" w:rsidRDefault="008C5CFA" w:rsidP="00300A01">
            <w:pPr>
              <w:spacing w:before="0" w:after="0"/>
              <w:jc w:val="right"/>
              <w:rPr>
                <w:sz w:val="12"/>
                <w:szCs w:val="12"/>
                <w:lang w:val="fr-BE"/>
              </w:rPr>
            </w:pPr>
          </w:p>
        </w:tc>
        <w:tc>
          <w:tcPr>
            <w:tcW w:w="0" w:type="auto"/>
          </w:tcPr>
          <w:p w14:paraId="3D01E481" w14:textId="77777777" w:rsidR="008C5CFA" w:rsidRPr="00A92B39" w:rsidRDefault="00E82A60" w:rsidP="00300A01">
            <w:pPr>
              <w:spacing w:before="0" w:after="0"/>
              <w:jc w:val="right"/>
              <w:rPr>
                <w:sz w:val="10"/>
                <w:szCs w:val="10"/>
                <w:lang w:val="fr-BE"/>
              </w:rPr>
            </w:pPr>
            <w:r w:rsidRPr="00A92B39">
              <w:rPr>
                <w:noProof/>
                <w:sz w:val="10"/>
                <w:szCs w:val="10"/>
                <w:lang w:val="fr-BE"/>
              </w:rPr>
              <w:t>960,00</w:t>
            </w:r>
          </w:p>
        </w:tc>
        <w:tc>
          <w:tcPr>
            <w:tcW w:w="0" w:type="auto"/>
            <w:shd w:val="clear" w:color="auto" w:fill="auto"/>
          </w:tcPr>
          <w:p w14:paraId="0CA7F6A4" w14:textId="77777777" w:rsidR="008C5CFA" w:rsidRPr="00A92B39" w:rsidRDefault="00E82A60" w:rsidP="00300A01">
            <w:pPr>
              <w:spacing w:before="0" w:after="0"/>
              <w:jc w:val="right"/>
              <w:rPr>
                <w:sz w:val="10"/>
                <w:szCs w:val="10"/>
                <w:lang w:val="fr-BE"/>
              </w:rPr>
            </w:pPr>
            <w:r w:rsidRPr="00A92B39">
              <w:rPr>
                <w:noProof/>
                <w:sz w:val="10"/>
                <w:szCs w:val="10"/>
                <w:lang w:val="fr-BE"/>
              </w:rPr>
              <w:t>582,00</w:t>
            </w:r>
          </w:p>
        </w:tc>
        <w:tc>
          <w:tcPr>
            <w:tcW w:w="0" w:type="auto"/>
            <w:shd w:val="clear" w:color="auto" w:fill="auto"/>
          </w:tcPr>
          <w:p w14:paraId="22ADB9E3" w14:textId="77777777" w:rsidR="008C5CFA" w:rsidRPr="00BA47B4" w:rsidRDefault="00E82A60" w:rsidP="00300A01">
            <w:pPr>
              <w:spacing w:before="0" w:after="0"/>
              <w:jc w:val="right"/>
              <w:rPr>
                <w:sz w:val="12"/>
                <w:szCs w:val="12"/>
                <w:lang w:val="fr-BE"/>
              </w:rPr>
            </w:pPr>
            <w:r w:rsidRPr="00A92B39">
              <w:rPr>
                <w:noProof/>
                <w:sz w:val="10"/>
                <w:szCs w:val="10"/>
                <w:lang w:val="fr-BE"/>
              </w:rPr>
              <w:t>378,00</w:t>
            </w:r>
          </w:p>
        </w:tc>
      </w:tr>
      <w:tr w:rsidR="006B2EC1" w14:paraId="787436CD" w14:textId="77777777" w:rsidTr="0047688D">
        <w:tc>
          <w:tcPr>
            <w:tcW w:w="0" w:type="auto"/>
            <w:shd w:val="clear" w:color="auto" w:fill="auto"/>
          </w:tcPr>
          <w:p w14:paraId="6EEF7878" w14:textId="77777777" w:rsidR="008C5CFA" w:rsidRPr="00BA47B4" w:rsidRDefault="00E82A60" w:rsidP="00300A01">
            <w:pPr>
              <w:spacing w:before="0" w:after="0"/>
              <w:rPr>
                <w:sz w:val="12"/>
                <w:szCs w:val="12"/>
                <w:lang w:val="fr-BE"/>
              </w:rPr>
            </w:pPr>
            <w:r>
              <w:rPr>
                <w:noProof/>
                <w:sz w:val="12"/>
                <w:szCs w:val="12"/>
                <w:lang w:val="fr-BE"/>
              </w:rPr>
              <w:t>CO06</w:t>
            </w:r>
          </w:p>
        </w:tc>
        <w:tc>
          <w:tcPr>
            <w:tcW w:w="0" w:type="auto"/>
            <w:shd w:val="clear" w:color="auto" w:fill="auto"/>
          </w:tcPr>
          <w:p w14:paraId="73ED7D51" w14:textId="77777777" w:rsidR="008C5CFA" w:rsidRPr="00BA47B4" w:rsidRDefault="00E82A60" w:rsidP="00300A01">
            <w:pPr>
              <w:spacing w:before="0" w:after="0"/>
              <w:rPr>
                <w:sz w:val="12"/>
                <w:szCs w:val="12"/>
                <w:lang w:val="fr-BE"/>
              </w:rPr>
            </w:pPr>
            <w:r>
              <w:rPr>
                <w:noProof/>
                <w:sz w:val="12"/>
                <w:szCs w:val="12"/>
                <w:lang w:val="fr-BE"/>
              </w:rPr>
              <w:t>osoby w wieku poniżej 25 lat</w:t>
            </w:r>
          </w:p>
        </w:tc>
        <w:tc>
          <w:tcPr>
            <w:tcW w:w="0" w:type="auto"/>
            <w:shd w:val="clear" w:color="auto" w:fill="auto"/>
          </w:tcPr>
          <w:p w14:paraId="78ED71A7" w14:textId="77777777" w:rsidR="008C5CFA" w:rsidRPr="00BA47B4" w:rsidRDefault="00E82A60"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14:paraId="482DFCCB" w14:textId="77777777" w:rsidR="008C5CFA" w:rsidRPr="00BA47B4" w:rsidRDefault="008C5CFA" w:rsidP="00300A01">
            <w:pPr>
              <w:spacing w:before="0" w:after="0"/>
              <w:jc w:val="right"/>
              <w:rPr>
                <w:sz w:val="12"/>
                <w:szCs w:val="12"/>
                <w:lang w:val="fr-BE"/>
              </w:rPr>
            </w:pPr>
          </w:p>
        </w:tc>
        <w:tc>
          <w:tcPr>
            <w:tcW w:w="0" w:type="auto"/>
            <w:shd w:val="clear" w:color="auto" w:fill="auto"/>
          </w:tcPr>
          <w:p w14:paraId="2747CB98" w14:textId="77777777" w:rsidR="008C5CFA" w:rsidRPr="00BA47B4" w:rsidRDefault="008C5CFA" w:rsidP="00300A01">
            <w:pPr>
              <w:spacing w:before="0" w:after="0"/>
              <w:jc w:val="right"/>
              <w:rPr>
                <w:sz w:val="12"/>
                <w:szCs w:val="12"/>
                <w:lang w:val="fr-BE"/>
              </w:rPr>
            </w:pPr>
          </w:p>
        </w:tc>
        <w:tc>
          <w:tcPr>
            <w:tcW w:w="0" w:type="auto"/>
            <w:shd w:val="clear" w:color="auto" w:fill="auto"/>
          </w:tcPr>
          <w:p w14:paraId="085A4384" w14:textId="77777777" w:rsidR="008C5CFA" w:rsidRPr="00BA47B4" w:rsidRDefault="008C5CFA" w:rsidP="00300A01">
            <w:pPr>
              <w:spacing w:before="0" w:after="0"/>
              <w:jc w:val="right"/>
              <w:rPr>
                <w:sz w:val="12"/>
                <w:szCs w:val="12"/>
                <w:lang w:val="fr-BE"/>
              </w:rPr>
            </w:pPr>
          </w:p>
        </w:tc>
        <w:tc>
          <w:tcPr>
            <w:tcW w:w="0" w:type="auto"/>
            <w:shd w:val="clear" w:color="auto" w:fill="auto"/>
          </w:tcPr>
          <w:p w14:paraId="09DCC266" w14:textId="77777777" w:rsidR="008C5CFA" w:rsidRPr="00BA47B4" w:rsidRDefault="00E82A60" w:rsidP="00300A01">
            <w:pPr>
              <w:spacing w:before="0" w:after="0"/>
              <w:jc w:val="right"/>
              <w:rPr>
                <w:sz w:val="12"/>
                <w:szCs w:val="12"/>
                <w:lang w:val="fr-BE"/>
              </w:rPr>
            </w:pPr>
            <w:r w:rsidRPr="00BA47B4">
              <w:rPr>
                <w:noProof/>
                <w:sz w:val="12"/>
                <w:szCs w:val="12"/>
                <w:lang w:val="fr-BE"/>
              </w:rPr>
              <w:t>9 207,00</w:t>
            </w:r>
          </w:p>
        </w:tc>
        <w:tc>
          <w:tcPr>
            <w:tcW w:w="0" w:type="auto"/>
            <w:shd w:val="clear" w:color="auto" w:fill="auto"/>
          </w:tcPr>
          <w:p w14:paraId="751A734E" w14:textId="77777777" w:rsidR="008C5CFA" w:rsidRPr="00BA47B4" w:rsidRDefault="00E82A60" w:rsidP="00300A01">
            <w:pPr>
              <w:spacing w:before="0" w:after="0"/>
              <w:jc w:val="right"/>
              <w:rPr>
                <w:sz w:val="12"/>
                <w:szCs w:val="12"/>
                <w:lang w:val="fr-BE"/>
              </w:rPr>
            </w:pPr>
            <w:r w:rsidRPr="00BA47B4">
              <w:rPr>
                <w:noProof/>
                <w:sz w:val="12"/>
                <w:szCs w:val="12"/>
                <w:lang w:val="fr-BE"/>
              </w:rPr>
              <w:t>5 109,00</w:t>
            </w:r>
          </w:p>
        </w:tc>
        <w:tc>
          <w:tcPr>
            <w:tcW w:w="0" w:type="auto"/>
            <w:shd w:val="clear" w:color="auto" w:fill="auto"/>
          </w:tcPr>
          <w:p w14:paraId="12C676A4" w14:textId="77777777" w:rsidR="008C5CFA" w:rsidRPr="00BA47B4" w:rsidRDefault="00E82A60" w:rsidP="00300A01">
            <w:pPr>
              <w:spacing w:before="0" w:after="0"/>
              <w:jc w:val="right"/>
              <w:rPr>
                <w:sz w:val="12"/>
                <w:szCs w:val="12"/>
                <w:lang w:val="fr-BE"/>
              </w:rPr>
            </w:pPr>
            <w:r w:rsidRPr="00BA47B4">
              <w:rPr>
                <w:noProof/>
                <w:sz w:val="12"/>
                <w:szCs w:val="12"/>
                <w:lang w:val="fr-BE"/>
              </w:rPr>
              <w:t>4 098,00</w:t>
            </w:r>
          </w:p>
        </w:tc>
        <w:tc>
          <w:tcPr>
            <w:tcW w:w="0" w:type="auto"/>
            <w:shd w:val="clear" w:color="auto" w:fill="auto"/>
          </w:tcPr>
          <w:p w14:paraId="62C23C6E" w14:textId="77777777" w:rsidR="008C5CFA" w:rsidRPr="00BA47B4" w:rsidRDefault="008C5CFA" w:rsidP="00300A01">
            <w:pPr>
              <w:spacing w:before="0" w:after="0"/>
              <w:jc w:val="right"/>
              <w:rPr>
                <w:sz w:val="12"/>
                <w:szCs w:val="12"/>
                <w:lang w:val="fr-BE"/>
              </w:rPr>
            </w:pPr>
          </w:p>
        </w:tc>
        <w:tc>
          <w:tcPr>
            <w:tcW w:w="0" w:type="auto"/>
            <w:shd w:val="clear" w:color="auto" w:fill="auto"/>
          </w:tcPr>
          <w:p w14:paraId="50953368" w14:textId="77777777" w:rsidR="008C5CFA" w:rsidRPr="00BA47B4" w:rsidRDefault="008C5CFA" w:rsidP="00300A01">
            <w:pPr>
              <w:spacing w:before="0" w:after="0"/>
              <w:jc w:val="right"/>
              <w:rPr>
                <w:sz w:val="12"/>
                <w:szCs w:val="12"/>
                <w:lang w:val="fr-BE"/>
              </w:rPr>
            </w:pPr>
          </w:p>
        </w:tc>
        <w:tc>
          <w:tcPr>
            <w:tcW w:w="0" w:type="auto"/>
            <w:shd w:val="clear" w:color="auto" w:fill="auto"/>
          </w:tcPr>
          <w:p w14:paraId="06E208C2" w14:textId="77777777" w:rsidR="008C5CFA" w:rsidRPr="00BA47B4" w:rsidRDefault="008C5CFA" w:rsidP="00300A01">
            <w:pPr>
              <w:spacing w:before="0" w:after="0"/>
              <w:jc w:val="right"/>
              <w:rPr>
                <w:sz w:val="12"/>
                <w:szCs w:val="12"/>
                <w:lang w:val="fr-BE"/>
              </w:rPr>
            </w:pPr>
          </w:p>
        </w:tc>
        <w:tc>
          <w:tcPr>
            <w:tcW w:w="0" w:type="auto"/>
          </w:tcPr>
          <w:p w14:paraId="2876A423" w14:textId="77777777" w:rsidR="008C5CFA" w:rsidRPr="00A92B39" w:rsidRDefault="00E82A60" w:rsidP="00300A01">
            <w:pPr>
              <w:spacing w:before="0" w:after="0"/>
              <w:jc w:val="right"/>
              <w:rPr>
                <w:sz w:val="10"/>
                <w:szCs w:val="10"/>
                <w:lang w:val="fr-BE"/>
              </w:rPr>
            </w:pPr>
            <w:r w:rsidRPr="00A92B39">
              <w:rPr>
                <w:noProof/>
                <w:sz w:val="10"/>
                <w:szCs w:val="10"/>
                <w:lang w:val="fr-BE"/>
              </w:rPr>
              <w:t>1 849,00</w:t>
            </w:r>
          </w:p>
        </w:tc>
        <w:tc>
          <w:tcPr>
            <w:tcW w:w="0" w:type="auto"/>
            <w:shd w:val="clear" w:color="auto" w:fill="auto"/>
          </w:tcPr>
          <w:p w14:paraId="6A83AC40" w14:textId="77777777" w:rsidR="008C5CFA" w:rsidRPr="00A92B39" w:rsidRDefault="00E82A60" w:rsidP="00300A01">
            <w:pPr>
              <w:spacing w:before="0" w:after="0"/>
              <w:jc w:val="right"/>
              <w:rPr>
                <w:sz w:val="10"/>
                <w:szCs w:val="10"/>
                <w:lang w:val="fr-BE"/>
              </w:rPr>
            </w:pPr>
            <w:r w:rsidRPr="00A92B39">
              <w:rPr>
                <w:noProof/>
                <w:sz w:val="10"/>
                <w:szCs w:val="10"/>
                <w:lang w:val="fr-BE"/>
              </w:rPr>
              <w:t>1 053,00</w:t>
            </w:r>
          </w:p>
        </w:tc>
        <w:tc>
          <w:tcPr>
            <w:tcW w:w="0" w:type="auto"/>
            <w:shd w:val="clear" w:color="auto" w:fill="auto"/>
          </w:tcPr>
          <w:p w14:paraId="587415C6" w14:textId="77777777" w:rsidR="008C5CFA" w:rsidRPr="00BA47B4" w:rsidRDefault="00E82A60" w:rsidP="00300A01">
            <w:pPr>
              <w:spacing w:before="0" w:after="0"/>
              <w:jc w:val="right"/>
              <w:rPr>
                <w:sz w:val="12"/>
                <w:szCs w:val="12"/>
                <w:lang w:val="fr-BE"/>
              </w:rPr>
            </w:pPr>
            <w:r w:rsidRPr="00A92B39">
              <w:rPr>
                <w:noProof/>
                <w:sz w:val="10"/>
                <w:szCs w:val="10"/>
                <w:lang w:val="fr-BE"/>
              </w:rPr>
              <w:t>796,00</w:t>
            </w:r>
          </w:p>
        </w:tc>
      </w:tr>
      <w:tr w:rsidR="006B2EC1" w14:paraId="772FFF2D" w14:textId="77777777" w:rsidTr="0047688D">
        <w:tc>
          <w:tcPr>
            <w:tcW w:w="0" w:type="auto"/>
            <w:shd w:val="clear" w:color="auto" w:fill="auto"/>
          </w:tcPr>
          <w:p w14:paraId="1D674991" w14:textId="77777777" w:rsidR="008C5CFA" w:rsidRPr="00BA47B4" w:rsidRDefault="00E82A60" w:rsidP="00300A01">
            <w:pPr>
              <w:spacing w:before="0" w:after="0"/>
              <w:rPr>
                <w:sz w:val="12"/>
                <w:szCs w:val="12"/>
                <w:lang w:val="fr-BE"/>
              </w:rPr>
            </w:pPr>
            <w:r>
              <w:rPr>
                <w:noProof/>
                <w:sz w:val="12"/>
                <w:szCs w:val="12"/>
                <w:lang w:val="fr-BE"/>
              </w:rPr>
              <w:t>CO07</w:t>
            </w:r>
          </w:p>
        </w:tc>
        <w:tc>
          <w:tcPr>
            <w:tcW w:w="0" w:type="auto"/>
            <w:shd w:val="clear" w:color="auto" w:fill="auto"/>
          </w:tcPr>
          <w:p w14:paraId="1E7DF327" w14:textId="77777777" w:rsidR="008C5CFA" w:rsidRPr="00BA47B4" w:rsidRDefault="00E82A60" w:rsidP="00300A01">
            <w:pPr>
              <w:spacing w:before="0" w:after="0"/>
              <w:rPr>
                <w:sz w:val="12"/>
                <w:szCs w:val="12"/>
                <w:lang w:val="fr-BE"/>
              </w:rPr>
            </w:pPr>
            <w:r>
              <w:rPr>
                <w:noProof/>
                <w:sz w:val="12"/>
                <w:szCs w:val="12"/>
                <w:lang w:val="fr-BE"/>
              </w:rPr>
              <w:t>osoby w wieku powyżej 54 lat</w:t>
            </w:r>
          </w:p>
        </w:tc>
        <w:tc>
          <w:tcPr>
            <w:tcW w:w="0" w:type="auto"/>
            <w:shd w:val="clear" w:color="auto" w:fill="auto"/>
          </w:tcPr>
          <w:p w14:paraId="60E5F0D7" w14:textId="77777777" w:rsidR="008C5CFA" w:rsidRPr="00BA47B4" w:rsidRDefault="00E82A60"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14:paraId="7055417E" w14:textId="77777777" w:rsidR="008C5CFA" w:rsidRPr="00BA47B4" w:rsidRDefault="008C5CFA" w:rsidP="00300A01">
            <w:pPr>
              <w:spacing w:before="0" w:after="0"/>
              <w:jc w:val="right"/>
              <w:rPr>
                <w:sz w:val="12"/>
                <w:szCs w:val="12"/>
                <w:lang w:val="fr-BE"/>
              </w:rPr>
            </w:pPr>
          </w:p>
        </w:tc>
        <w:tc>
          <w:tcPr>
            <w:tcW w:w="0" w:type="auto"/>
            <w:shd w:val="clear" w:color="auto" w:fill="auto"/>
          </w:tcPr>
          <w:p w14:paraId="11BE735D" w14:textId="77777777" w:rsidR="008C5CFA" w:rsidRPr="00BA47B4" w:rsidRDefault="008C5CFA" w:rsidP="00300A01">
            <w:pPr>
              <w:spacing w:before="0" w:after="0"/>
              <w:jc w:val="right"/>
              <w:rPr>
                <w:sz w:val="12"/>
                <w:szCs w:val="12"/>
                <w:lang w:val="fr-BE"/>
              </w:rPr>
            </w:pPr>
          </w:p>
        </w:tc>
        <w:tc>
          <w:tcPr>
            <w:tcW w:w="0" w:type="auto"/>
            <w:shd w:val="clear" w:color="auto" w:fill="auto"/>
          </w:tcPr>
          <w:p w14:paraId="525C8289" w14:textId="77777777" w:rsidR="008C5CFA" w:rsidRPr="00BA47B4" w:rsidRDefault="008C5CFA" w:rsidP="00300A01">
            <w:pPr>
              <w:spacing w:before="0" w:after="0"/>
              <w:jc w:val="right"/>
              <w:rPr>
                <w:sz w:val="12"/>
                <w:szCs w:val="12"/>
                <w:lang w:val="fr-BE"/>
              </w:rPr>
            </w:pPr>
          </w:p>
        </w:tc>
        <w:tc>
          <w:tcPr>
            <w:tcW w:w="0" w:type="auto"/>
            <w:shd w:val="clear" w:color="auto" w:fill="auto"/>
          </w:tcPr>
          <w:p w14:paraId="4208B41C" w14:textId="77777777" w:rsidR="008C5CFA" w:rsidRPr="00BA47B4" w:rsidRDefault="00E82A60" w:rsidP="00300A01">
            <w:pPr>
              <w:spacing w:before="0" w:after="0"/>
              <w:jc w:val="right"/>
              <w:rPr>
                <w:sz w:val="12"/>
                <w:szCs w:val="12"/>
                <w:lang w:val="fr-BE"/>
              </w:rPr>
            </w:pPr>
            <w:r w:rsidRPr="00BA47B4">
              <w:rPr>
                <w:noProof/>
                <w:sz w:val="12"/>
                <w:szCs w:val="12"/>
                <w:lang w:val="fr-BE"/>
              </w:rPr>
              <w:t>337,00</w:t>
            </w:r>
          </w:p>
        </w:tc>
        <w:tc>
          <w:tcPr>
            <w:tcW w:w="0" w:type="auto"/>
            <w:shd w:val="clear" w:color="auto" w:fill="auto"/>
          </w:tcPr>
          <w:p w14:paraId="62F2770D" w14:textId="77777777" w:rsidR="008C5CFA" w:rsidRPr="00BA47B4" w:rsidRDefault="00E82A60" w:rsidP="00300A01">
            <w:pPr>
              <w:spacing w:before="0" w:after="0"/>
              <w:jc w:val="right"/>
              <w:rPr>
                <w:sz w:val="12"/>
                <w:szCs w:val="12"/>
                <w:lang w:val="fr-BE"/>
              </w:rPr>
            </w:pPr>
            <w:r w:rsidRPr="00BA47B4">
              <w:rPr>
                <w:noProof/>
                <w:sz w:val="12"/>
                <w:szCs w:val="12"/>
                <w:lang w:val="fr-BE"/>
              </w:rPr>
              <w:t>177,00</w:t>
            </w:r>
          </w:p>
        </w:tc>
        <w:tc>
          <w:tcPr>
            <w:tcW w:w="0" w:type="auto"/>
            <w:shd w:val="clear" w:color="auto" w:fill="auto"/>
          </w:tcPr>
          <w:p w14:paraId="0ACE289C" w14:textId="77777777" w:rsidR="008C5CFA" w:rsidRPr="00BA47B4" w:rsidRDefault="00E82A60" w:rsidP="00300A01">
            <w:pPr>
              <w:spacing w:before="0" w:after="0"/>
              <w:jc w:val="right"/>
              <w:rPr>
                <w:sz w:val="12"/>
                <w:szCs w:val="12"/>
                <w:lang w:val="fr-BE"/>
              </w:rPr>
            </w:pPr>
            <w:r w:rsidRPr="00BA47B4">
              <w:rPr>
                <w:noProof/>
                <w:sz w:val="12"/>
                <w:szCs w:val="12"/>
                <w:lang w:val="fr-BE"/>
              </w:rPr>
              <w:t>160,00</w:t>
            </w:r>
          </w:p>
        </w:tc>
        <w:tc>
          <w:tcPr>
            <w:tcW w:w="0" w:type="auto"/>
            <w:shd w:val="clear" w:color="auto" w:fill="auto"/>
          </w:tcPr>
          <w:p w14:paraId="21F897F4" w14:textId="77777777" w:rsidR="008C5CFA" w:rsidRPr="00BA47B4" w:rsidRDefault="008C5CFA" w:rsidP="00300A01">
            <w:pPr>
              <w:spacing w:before="0" w:after="0"/>
              <w:jc w:val="right"/>
              <w:rPr>
                <w:sz w:val="12"/>
                <w:szCs w:val="12"/>
                <w:lang w:val="fr-BE"/>
              </w:rPr>
            </w:pPr>
          </w:p>
        </w:tc>
        <w:tc>
          <w:tcPr>
            <w:tcW w:w="0" w:type="auto"/>
            <w:shd w:val="clear" w:color="auto" w:fill="auto"/>
          </w:tcPr>
          <w:p w14:paraId="58EA36B8" w14:textId="77777777" w:rsidR="008C5CFA" w:rsidRPr="00BA47B4" w:rsidRDefault="008C5CFA" w:rsidP="00300A01">
            <w:pPr>
              <w:spacing w:before="0" w:after="0"/>
              <w:jc w:val="right"/>
              <w:rPr>
                <w:sz w:val="12"/>
                <w:szCs w:val="12"/>
                <w:lang w:val="fr-BE"/>
              </w:rPr>
            </w:pPr>
          </w:p>
        </w:tc>
        <w:tc>
          <w:tcPr>
            <w:tcW w:w="0" w:type="auto"/>
            <w:shd w:val="clear" w:color="auto" w:fill="auto"/>
          </w:tcPr>
          <w:p w14:paraId="2C420AD6" w14:textId="77777777" w:rsidR="008C5CFA" w:rsidRPr="00BA47B4" w:rsidRDefault="008C5CFA" w:rsidP="00300A01">
            <w:pPr>
              <w:spacing w:before="0" w:after="0"/>
              <w:jc w:val="right"/>
              <w:rPr>
                <w:sz w:val="12"/>
                <w:szCs w:val="12"/>
                <w:lang w:val="fr-BE"/>
              </w:rPr>
            </w:pPr>
          </w:p>
        </w:tc>
        <w:tc>
          <w:tcPr>
            <w:tcW w:w="0" w:type="auto"/>
          </w:tcPr>
          <w:p w14:paraId="7CA66CFC" w14:textId="77777777" w:rsidR="008C5CFA" w:rsidRPr="00A92B39" w:rsidRDefault="00E82A60" w:rsidP="00300A01">
            <w:pPr>
              <w:spacing w:before="0" w:after="0"/>
              <w:jc w:val="right"/>
              <w:rPr>
                <w:sz w:val="10"/>
                <w:szCs w:val="10"/>
                <w:lang w:val="fr-BE"/>
              </w:rPr>
            </w:pPr>
            <w:r w:rsidRPr="00A92B39">
              <w:rPr>
                <w:noProof/>
                <w:sz w:val="10"/>
                <w:szCs w:val="10"/>
                <w:lang w:val="fr-BE"/>
              </w:rPr>
              <w:t>148,00</w:t>
            </w:r>
          </w:p>
        </w:tc>
        <w:tc>
          <w:tcPr>
            <w:tcW w:w="0" w:type="auto"/>
            <w:shd w:val="clear" w:color="auto" w:fill="auto"/>
          </w:tcPr>
          <w:p w14:paraId="17AFF70F" w14:textId="77777777" w:rsidR="008C5CFA" w:rsidRPr="00A92B39" w:rsidRDefault="00E82A60" w:rsidP="00300A01">
            <w:pPr>
              <w:spacing w:before="0" w:after="0"/>
              <w:jc w:val="right"/>
              <w:rPr>
                <w:sz w:val="10"/>
                <w:szCs w:val="10"/>
                <w:lang w:val="fr-BE"/>
              </w:rPr>
            </w:pPr>
            <w:r w:rsidRPr="00A92B39">
              <w:rPr>
                <w:noProof/>
                <w:sz w:val="10"/>
                <w:szCs w:val="10"/>
                <w:lang w:val="fr-BE"/>
              </w:rPr>
              <w:t>85,00</w:t>
            </w:r>
          </w:p>
        </w:tc>
        <w:tc>
          <w:tcPr>
            <w:tcW w:w="0" w:type="auto"/>
            <w:shd w:val="clear" w:color="auto" w:fill="auto"/>
          </w:tcPr>
          <w:p w14:paraId="54A5C97F" w14:textId="77777777" w:rsidR="008C5CFA" w:rsidRPr="00BA47B4" w:rsidRDefault="00E82A60" w:rsidP="00300A01">
            <w:pPr>
              <w:spacing w:before="0" w:after="0"/>
              <w:jc w:val="right"/>
              <w:rPr>
                <w:sz w:val="12"/>
                <w:szCs w:val="12"/>
                <w:lang w:val="fr-BE"/>
              </w:rPr>
            </w:pPr>
            <w:r w:rsidRPr="00A92B39">
              <w:rPr>
                <w:noProof/>
                <w:sz w:val="10"/>
                <w:szCs w:val="10"/>
                <w:lang w:val="fr-BE"/>
              </w:rPr>
              <w:t>63,00</w:t>
            </w:r>
          </w:p>
        </w:tc>
      </w:tr>
      <w:tr w:rsidR="006B2EC1" w14:paraId="7F6D0772" w14:textId="77777777" w:rsidTr="0047688D">
        <w:tc>
          <w:tcPr>
            <w:tcW w:w="0" w:type="auto"/>
            <w:shd w:val="clear" w:color="auto" w:fill="auto"/>
          </w:tcPr>
          <w:p w14:paraId="075D4CB9" w14:textId="77777777" w:rsidR="008C5CFA" w:rsidRPr="00BA47B4" w:rsidRDefault="00E82A60" w:rsidP="00300A01">
            <w:pPr>
              <w:spacing w:before="0" w:after="0"/>
              <w:rPr>
                <w:sz w:val="12"/>
                <w:szCs w:val="12"/>
                <w:lang w:val="fr-BE"/>
              </w:rPr>
            </w:pPr>
            <w:r>
              <w:rPr>
                <w:noProof/>
                <w:sz w:val="12"/>
                <w:szCs w:val="12"/>
                <w:lang w:val="fr-BE"/>
              </w:rPr>
              <w:t>CO08</w:t>
            </w:r>
          </w:p>
        </w:tc>
        <w:tc>
          <w:tcPr>
            <w:tcW w:w="0" w:type="auto"/>
            <w:shd w:val="clear" w:color="auto" w:fill="auto"/>
          </w:tcPr>
          <w:p w14:paraId="215513ED" w14:textId="77777777" w:rsidR="008C5CFA" w:rsidRPr="00BA47B4" w:rsidRDefault="00E82A60" w:rsidP="00300A01">
            <w:pPr>
              <w:spacing w:before="0" w:after="0"/>
              <w:rPr>
                <w:sz w:val="12"/>
                <w:szCs w:val="12"/>
                <w:lang w:val="fr-BE"/>
              </w:rPr>
            </w:pPr>
            <w:r>
              <w:rPr>
                <w:noProof/>
                <w:sz w:val="12"/>
                <w:szCs w:val="12"/>
                <w:lang w:val="fr-BE"/>
              </w:rPr>
              <w:t>osoby powyżej 54 lat, które są bezrobotne, łącznie z długotrwale bezrobotnymi, lub są bierne zawodowo i nie uczestniczą w kształceniu ani szkoleniu</w:t>
            </w:r>
          </w:p>
        </w:tc>
        <w:tc>
          <w:tcPr>
            <w:tcW w:w="0" w:type="auto"/>
            <w:shd w:val="clear" w:color="auto" w:fill="auto"/>
          </w:tcPr>
          <w:p w14:paraId="57EA1FD9" w14:textId="77777777" w:rsidR="008C5CFA" w:rsidRPr="00BA47B4" w:rsidRDefault="00E82A60"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14:paraId="4BD49CE0" w14:textId="77777777" w:rsidR="008C5CFA" w:rsidRPr="00BA47B4" w:rsidRDefault="008C5CFA" w:rsidP="00300A01">
            <w:pPr>
              <w:spacing w:before="0" w:after="0"/>
              <w:jc w:val="right"/>
              <w:rPr>
                <w:sz w:val="12"/>
                <w:szCs w:val="12"/>
                <w:lang w:val="fr-BE"/>
              </w:rPr>
            </w:pPr>
          </w:p>
        </w:tc>
        <w:tc>
          <w:tcPr>
            <w:tcW w:w="0" w:type="auto"/>
            <w:shd w:val="clear" w:color="auto" w:fill="auto"/>
          </w:tcPr>
          <w:p w14:paraId="36931D6F" w14:textId="77777777" w:rsidR="008C5CFA" w:rsidRPr="00BA47B4" w:rsidRDefault="008C5CFA" w:rsidP="00300A01">
            <w:pPr>
              <w:spacing w:before="0" w:after="0"/>
              <w:jc w:val="right"/>
              <w:rPr>
                <w:sz w:val="12"/>
                <w:szCs w:val="12"/>
                <w:lang w:val="fr-BE"/>
              </w:rPr>
            </w:pPr>
          </w:p>
        </w:tc>
        <w:tc>
          <w:tcPr>
            <w:tcW w:w="0" w:type="auto"/>
            <w:shd w:val="clear" w:color="auto" w:fill="auto"/>
          </w:tcPr>
          <w:p w14:paraId="44DCFFEB" w14:textId="77777777" w:rsidR="008C5CFA" w:rsidRPr="00BA47B4" w:rsidRDefault="008C5CFA" w:rsidP="00300A01">
            <w:pPr>
              <w:spacing w:before="0" w:after="0"/>
              <w:jc w:val="right"/>
              <w:rPr>
                <w:sz w:val="12"/>
                <w:szCs w:val="12"/>
                <w:lang w:val="fr-BE"/>
              </w:rPr>
            </w:pPr>
          </w:p>
        </w:tc>
        <w:tc>
          <w:tcPr>
            <w:tcW w:w="0" w:type="auto"/>
            <w:shd w:val="clear" w:color="auto" w:fill="auto"/>
          </w:tcPr>
          <w:p w14:paraId="6D52B6FB" w14:textId="77777777" w:rsidR="008C5CFA" w:rsidRPr="00BA47B4" w:rsidRDefault="00E82A60" w:rsidP="00300A01">
            <w:pPr>
              <w:spacing w:before="0" w:after="0"/>
              <w:jc w:val="right"/>
              <w:rPr>
                <w:sz w:val="12"/>
                <w:szCs w:val="12"/>
                <w:lang w:val="fr-BE"/>
              </w:rPr>
            </w:pPr>
            <w:r w:rsidRPr="00BA47B4">
              <w:rPr>
                <w:noProof/>
                <w:sz w:val="12"/>
                <w:szCs w:val="12"/>
                <w:lang w:val="fr-BE"/>
              </w:rPr>
              <w:t>91,00</w:t>
            </w:r>
          </w:p>
        </w:tc>
        <w:tc>
          <w:tcPr>
            <w:tcW w:w="0" w:type="auto"/>
            <w:shd w:val="clear" w:color="auto" w:fill="auto"/>
          </w:tcPr>
          <w:p w14:paraId="1942A882" w14:textId="77777777" w:rsidR="008C5CFA" w:rsidRPr="00BA47B4" w:rsidRDefault="00E82A60" w:rsidP="00300A01">
            <w:pPr>
              <w:spacing w:before="0" w:after="0"/>
              <w:jc w:val="right"/>
              <w:rPr>
                <w:sz w:val="12"/>
                <w:szCs w:val="12"/>
                <w:lang w:val="fr-BE"/>
              </w:rPr>
            </w:pPr>
            <w:r w:rsidRPr="00BA47B4">
              <w:rPr>
                <w:noProof/>
                <w:sz w:val="12"/>
                <w:szCs w:val="12"/>
                <w:lang w:val="fr-BE"/>
              </w:rPr>
              <w:t>48,00</w:t>
            </w:r>
          </w:p>
        </w:tc>
        <w:tc>
          <w:tcPr>
            <w:tcW w:w="0" w:type="auto"/>
            <w:shd w:val="clear" w:color="auto" w:fill="auto"/>
          </w:tcPr>
          <w:p w14:paraId="2D47374E" w14:textId="77777777" w:rsidR="008C5CFA" w:rsidRPr="00BA47B4" w:rsidRDefault="00E82A60" w:rsidP="00300A01">
            <w:pPr>
              <w:spacing w:before="0" w:after="0"/>
              <w:jc w:val="right"/>
              <w:rPr>
                <w:sz w:val="12"/>
                <w:szCs w:val="12"/>
                <w:lang w:val="fr-BE"/>
              </w:rPr>
            </w:pPr>
            <w:r w:rsidRPr="00BA47B4">
              <w:rPr>
                <w:noProof/>
                <w:sz w:val="12"/>
                <w:szCs w:val="12"/>
                <w:lang w:val="fr-BE"/>
              </w:rPr>
              <w:t>43,00</w:t>
            </w:r>
          </w:p>
        </w:tc>
        <w:tc>
          <w:tcPr>
            <w:tcW w:w="0" w:type="auto"/>
            <w:shd w:val="clear" w:color="auto" w:fill="auto"/>
          </w:tcPr>
          <w:p w14:paraId="20216808" w14:textId="77777777" w:rsidR="008C5CFA" w:rsidRPr="00BA47B4" w:rsidRDefault="008C5CFA" w:rsidP="00300A01">
            <w:pPr>
              <w:spacing w:before="0" w:after="0"/>
              <w:jc w:val="right"/>
              <w:rPr>
                <w:sz w:val="12"/>
                <w:szCs w:val="12"/>
                <w:lang w:val="fr-BE"/>
              </w:rPr>
            </w:pPr>
          </w:p>
        </w:tc>
        <w:tc>
          <w:tcPr>
            <w:tcW w:w="0" w:type="auto"/>
            <w:shd w:val="clear" w:color="auto" w:fill="auto"/>
          </w:tcPr>
          <w:p w14:paraId="3CA0B354" w14:textId="77777777" w:rsidR="008C5CFA" w:rsidRPr="00BA47B4" w:rsidRDefault="008C5CFA" w:rsidP="00300A01">
            <w:pPr>
              <w:spacing w:before="0" w:after="0"/>
              <w:jc w:val="right"/>
              <w:rPr>
                <w:sz w:val="12"/>
                <w:szCs w:val="12"/>
                <w:lang w:val="fr-BE"/>
              </w:rPr>
            </w:pPr>
          </w:p>
        </w:tc>
        <w:tc>
          <w:tcPr>
            <w:tcW w:w="0" w:type="auto"/>
            <w:shd w:val="clear" w:color="auto" w:fill="auto"/>
          </w:tcPr>
          <w:p w14:paraId="7C0C6EBC" w14:textId="77777777" w:rsidR="008C5CFA" w:rsidRPr="00BA47B4" w:rsidRDefault="008C5CFA" w:rsidP="00300A01">
            <w:pPr>
              <w:spacing w:before="0" w:after="0"/>
              <w:jc w:val="right"/>
              <w:rPr>
                <w:sz w:val="12"/>
                <w:szCs w:val="12"/>
                <w:lang w:val="fr-BE"/>
              </w:rPr>
            </w:pPr>
          </w:p>
        </w:tc>
        <w:tc>
          <w:tcPr>
            <w:tcW w:w="0" w:type="auto"/>
          </w:tcPr>
          <w:p w14:paraId="04011E9B" w14:textId="77777777" w:rsidR="008C5CFA" w:rsidRPr="00A92B39" w:rsidRDefault="00E82A60" w:rsidP="00300A01">
            <w:pPr>
              <w:spacing w:before="0" w:after="0"/>
              <w:jc w:val="right"/>
              <w:rPr>
                <w:sz w:val="10"/>
                <w:szCs w:val="10"/>
                <w:lang w:val="fr-BE"/>
              </w:rPr>
            </w:pPr>
            <w:r w:rsidRPr="00A92B39">
              <w:rPr>
                <w:noProof/>
                <w:sz w:val="10"/>
                <w:szCs w:val="10"/>
                <w:lang w:val="fr-BE"/>
              </w:rPr>
              <w:t>53,00</w:t>
            </w:r>
          </w:p>
        </w:tc>
        <w:tc>
          <w:tcPr>
            <w:tcW w:w="0" w:type="auto"/>
            <w:shd w:val="clear" w:color="auto" w:fill="auto"/>
          </w:tcPr>
          <w:p w14:paraId="39FFE0F9" w14:textId="77777777" w:rsidR="008C5CFA" w:rsidRPr="00A92B39" w:rsidRDefault="00E82A60" w:rsidP="00300A01">
            <w:pPr>
              <w:spacing w:before="0" w:after="0"/>
              <w:jc w:val="right"/>
              <w:rPr>
                <w:sz w:val="10"/>
                <w:szCs w:val="10"/>
                <w:lang w:val="fr-BE"/>
              </w:rPr>
            </w:pPr>
            <w:r w:rsidRPr="00A92B39">
              <w:rPr>
                <w:noProof/>
                <w:sz w:val="10"/>
                <w:szCs w:val="10"/>
                <w:lang w:val="fr-BE"/>
              </w:rPr>
              <w:t>27,00</w:t>
            </w:r>
          </w:p>
        </w:tc>
        <w:tc>
          <w:tcPr>
            <w:tcW w:w="0" w:type="auto"/>
            <w:shd w:val="clear" w:color="auto" w:fill="auto"/>
          </w:tcPr>
          <w:p w14:paraId="286680EF" w14:textId="77777777" w:rsidR="008C5CFA" w:rsidRPr="00BA47B4" w:rsidRDefault="00E82A60" w:rsidP="00300A01">
            <w:pPr>
              <w:spacing w:before="0" w:after="0"/>
              <w:jc w:val="right"/>
              <w:rPr>
                <w:sz w:val="12"/>
                <w:szCs w:val="12"/>
                <w:lang w:val="fr-BE"/>
              </w:rPr>
            </w:pPr>
            <w:r w:rsidRPr="00A92B39">
              <w:rPr>
                <w:noProof/>
                <w:sz w:val="10"/>
                <w:szCs w:val="10"/>
                <w:lang w:val="fr-BE"/>
              </w:rPr>
              <w:t>26,00</w:t>
            </w:r>
          </w:p>
        </w:tc>
      </w:tr>
      <w:tr w:rsidR="006B2EC1" w14:paraId="6E87E4F2" w14:textId="77777777" w:rsidTr="0047688D">
        <w:tc>
          <w:tcPr>
            <w:tcW w:w="0" w:type="auto"/>
            <w:shd w:val="clear" w:color="auto" w:fill="auto"/>
          </w:tcPr>
          <w:p w14:paraId="14C38A37" w14:textId="77777777" w:rsidR="008C5CFA" w:rsidRPr="00BA47B4" w:rsidRDefault="00E82A60" w:rsidP="00300A01">
            <w:pPr>
              <w:spacing w:before="0" w:after="0"/>
              <w:rPr>
                <w:sz w:val="12"/>
                <w:szCs w:val="12"/>
                <w:lang w:val="fr-BE"/>
              </w:rPr>
            </w:pPr>
            <w:r>
              <w:rPr>
                <w:noProof/>
                <w:sz w:val="12"/>
                <w:szCs w:val="12"/>
                <w:lang w:val="fr-BE"/>
              </w:rPr>
              <w:t>CO09</w:t>
            </w:r>
          </w:p>
        </w:tc>
        <w:tc>
          <w:tcPr>
            <w:tcW w:w="0" w:type="auto"/>
            <w:shd w:val="clear" w:color="auto" w:fill="auto"/>
          </w:tcPr>
          <w:p w14:paraId="2C9A25BD" w14:textId="77777777" w:rsidR="008C5CFA" w:rsidRPr="00BA47B4" w:rsidRDefault="00E82A60" w:rsidP="00300A01">
            <w:pPr>
              <w:spacing w:before="0" w:after="0"/>
              <w:rPr>
                <w:sz w:val="12"/>
                <w:szCs w:val="12"/>
                <w:lang w:val="fr-BE"/>
              </w:rPr>
            </w:pPr>
            <w:r>
              <w:rPr>
                <w:noProof/>
                <w:sz w:val="12"/>
                <w:szCs w:val="12"/>
                <w:lang w:val="fr-BE"/>
              </w:rPr>
              <w:t>osoby z wykształceniem podstawowym (ISCED 1) lub średnim I stopnia (ISCED 2)</w:t>
            </w:r>
          </w:p>
        </w:tc>
        <w:tc>
          <w:tcPr>
            <w:tcW w:w="0" w:type="auto"/>
            <w:shd w:val="clear" w:color="auto" w:fill="auto"/>
          </w:tcPr>
          <w:p w14:paraId="30A6A19F" w14:textId="77777777" w:rsidR="008C5CFA" w:rsidRPr="00BA47B4" w:rsidRDefault="00E82A60"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14:paraId="03932210" w14:textId="77777777" w:rsidR="008C5CFA" w:rsidRPr="00BA47B4" w:rsidRDefault="008C5CFA" w:rsidP="00300A01">
            <w:pPr>
              <w:spacing w:before="0" w:after="0"/>
              <w:jc w:val="right"/>
              <w:rPr>
                <w:sz w:val="12"/>
                <w:szCs w:val="12"/>
                <w:lang w:val="fr-BE"/>
              </w:rPr>
            </w:pPr>
          </w:p>
        </w:tc>
        <w:tc>
          <w:tcPr>
            <w:tcW w:w="0" w:type="auto"/>
            <w:shd w:val="clear" w:color="auto" w:fill="auto"/>
          </w:tcPr>
          <w:p w14:paraId="3E8E765C" w14:textId="77777777" w:rsidR="008C5CFA" w:rsidRPr="00BA47B4" w:rsidRDefault="008C5CFA" w:rsidP="00300A01">
            <w:pPr>
              <w:spacing w:before="0" w:after="0"/>
              <w:jc w:val="right"/>
              <w:rPr>
                <w:sz w:val="12"/>
                <w:szCs w:val="12"/>
                <w:lang w:val="fr-BE"/>
              </w:rPr>
            </w:pPr>
          </w:p>
        </w:tc>
        <w:tc>
          <w:tcPr>
            <w:tcW w:w="0" w:type="auto"/>
            <w:shd w:val="clear" w:color="auto" w:fill="auto"/>
          </w:tcPr>
          <w:p w14:paraId="7A5F8A40" w14:textId="77777777" w:rsidR="008C5CFA" w:rsidRPr="00BA47B4" w:rsidRDefault="008C5CFA" w:rsidP="00300A01">
            <w:pPr>
              <w:spacing w:before="0" w:after="0"/>
              <w:jc w:val="right"/>
              <w:rPr>
                <w:sz w:val="12"/>
                <w:szCs w:val="12"/>
                <w:lang w:val="fr-BE"/>
              </w:rPr>
            </w:pPr>
          </w:p>
        </w:tc>
        <w:tc>
          <w:tcPr>
            <w:tcW w:w="0" w:type="auto"/>
            <w:shd w:val="clear" w:color="auto" w:fill="auto"/>
          </w:tcPr>
          <w:p w14:paraId="3E47A97E" w14:textId="77777777" w:rsidR="008C5CFA" w:rsidRPr="00BA47B4" w:rsidRDefault="00E82A60" w:rsidP="00300A01">
            <w:pPr>
              <w:spacing w:before="0" w:after="0"/>
              <w:jc w:val="right"/>
              <w:rPr>
                <w:sz w:val="12"/>
                <w:szCs w:val="12"/>
                <w:lang w:val="fr-BE"/>
              </w:rPr>
            </w:pPr>
            <w:r w:rsidRPr="00BA47B4">
              <w:rPr>
                <w:noProof/>
                <w:sz w:val="12"/>
                <w:szCs w:val="12"/>
                <w:lang w:val="fr-BE"/>
              </w:rPr>
              <w:t>9 132,00</w:t>
            </w:r>
          </w:p>
        </w:tc>
        <w:tc>
          <w:tcPr>
            <w:tcW w:w="0" w:type="auto"/>
            <w:shd w:val="clear" w:color="auto" w:fill="auto"/>
          </w:tcPr>
          <w:p w14:paraId="5E3E2482" w14:textId="77777777" w:rsidR="008C5CFA" w:rsidRPr="00BA47B4" w:rsidRDefault="00E82A60" w:rsidP="00300A01">
            <w:pPr>
              <w:spacing w:before="0" w:after="0"/>
              <w:jc w:val="right"/>
              <w:rPr>
                <w:sz w:val="12"/>
                <w:szCs w:val="12"/>
                <w:lang w:val="fr-BE"/>
              </w:rPr>
            </w:pPr>
            <w:r w:rsidRPr="00BA47B4">
              <w:rPr>
                <w:noProof/>
                <w:sz w:val="12"/>
                <w:szCs w:val="12"/>
                <w:lang w:val="fr-BE"/>
              </w:rPr>
              <w:t>5 097,00</w:t>
            </w:r>
          </w:p>
        </w:tc>
        <w:tc>
          <w:tcPr>
            <w:tcW w:w="0" w:type="auto"/>
            <w:shd w:val="clear" w:color="auto" w:fill="auto"/>
          </w:tcPr>
          <w:p w14:paraId="110B71FC" w14:textId="77777777" w:rsidR="008C5CFA" w:rsidRPr="00BA47B4" w:rsidRDefault="00E82A60" w:rsidP="00300A01">
            <w:pPr>
              <w:spacing w:before="0" w:after="0"/>
              <w:jc w:val="right"/>
              <w:rPr>
                <w:sz w:val="12"/>
                <w:szCs w:val="12"/>
                <w:lang w:val="fr-BE"/>
              </w:rPr>
            </w:pPr>
            <w:r w:rsidRPr="00BA47B4">
              <w:rPr>
                <w:noProof/>
                <w:sz w:val="12"/>
                <w:szCs w:val="12"/>
                <w:lang w:val="fr-BE"/>
              </w:rPr>
              <w:t>4 035,00</w:t>
            </w:r>
          </w:p>
        </w:tc>
        <w:tc>
          <w:tcPr>
            <w:tcW w:w="0" w:type="auto"/>
            <w:shd w:val="clear" w:color="auto" w:fill="auto"/>
          </w:tcPr>
          <w:p w14:paraId="7F209374" w14:textId="77777777" w:rsidR="008C5CFA" w:rsidRPr="00BA47B4" w:rsidRDefault="008C5CFA" w:rsidP="00300A01">
            <w:pPr>
              <w:spacing w:before="0" w:after="0"/>
              <w:jc w:val="right"/>
              <w:rPr>
                <w:sz w:val="12"/>
                <w:szCs w:val="12"/>
                <w:lang w:val="fr-BE"/>
              </w:rPr>
            </w:pPr>
          </w:p>
        </w:tc>
        <w:tc>
          <w:tcPr>
            <w:tcW w:w="0" w:type="auto"/>
            <w:shd w:val="clear" w:color="auto" w:fill="auto"/>
          </w:tcPr>
          <w:p w14:paraId="1FC5D136" w14:textId="77777777" w:rsidR="008C5CFA" w:rsidRPr="00BA47B4" w:rsidRDefault="008C5CFA" w:rsidP="00300A01">
            <w:pPr>
              <w:spacing w:before="0" w:after="0"/>
              <w:jc w:val="right"/>
              <w:rPr>
                <w:sz w:val="12"/>
                <w:szCs w:val="12"/>
                <w:lang w:val="fr-BE"/>
              </w:rPr>
            </w:pPr>
          </w:p>
        </w:tc>
        <w:tc>
          <w:tcPr>
            <w:tcW w:w="0" w:type="auto"/>
            <w:shd w:val="clear" w:color="auto" w:fill="auto"/>
          </w:tcPr>
          <w:p w14:paraId="02F7D911" w14:textId="77777777" w:rsidR="008C5CFA" w:rsidRPr="00BA47B4" w:rsidRDefault="008C5CFA" w:rsidP="00300A01">
            <w:pPr>
              <w:spacing w:before="0" w:after="0"/>
              <w:jc w:val="right"/>
              <w:rPr>
                <w:sz w:val="12"/>
                <w:szCs w:val="12"/>
                <w:lang w:val="fr-BE"/>
              </w:rPr>
            </w:pPr>
          </w:p>
        </w:tc>
        <w:tc>
          <w:tcPr>
            <w:tcW w:w="0" w:type="auto"/>
          </w:tcPr>
          <w:p w14:paraId="794F097C" w14:textId="77777777" w:rsidR="008C5CFA" w:rsidRPr="00A92B39" w:rsidRDefault="00E82A60" w:rsidP="00300A01">
            <w:pPr>
              <w:spacing w:before="0" w:after="0"/>
              <w:jc w:val="right"/>
              <w:rPr>
                <w:sz w:val="10"/>
                <w:szCs w:val="10"/>
                <w:lang w:val="fr-BE"/>
              </w:rPr>
            </w:pPr>
            <w:r w:rsidRPr="00A92B39">
              <w:rPr>
                <w:noProof/>
                <w:sz w:val="10"/>
                <w:szCs w:val="10"/>
                <w:lang w:val="fr-BE"/>
              </w:rPr>
              <w:t>1 814,00</w:t>
            </w:r>
          </w:p>
        </w:tc>
        <w:tc>
          <w:tcPr>
            <w:tcW w:w="0" w:type="auto"/>
            <w:shd w:val="clear" w:color="auto" w:fill="auto"/>
          </w:tcPr>
          <w:p w14:paraId="682BCF9C" w14:textId="77777777" w:rsidR="008C5CFA" w:rsidRPr="00A92B39" w:rsidRDefault="00E82A60" w:rsidP="00300A01">
            <w:pPr>
              <w:spacing w:before="0" w:after="0"/>
              <w:jc w:val="right"/>
              <w:rPr>
                <w:sz w:val="10"/>
                <w:szCs w:val="10"/>
                <w:lang w:val="fr-BE"/>
              </w:rPr>
            </w:pPr>
            <w:r w:rsidRPr="00A92B39">
              <w:rPr>
                <w:noProof/>
                <w:sz w:val="10"/>
                <w:szCs w:val="10"/>
                <w:lang w:val="fr-BE"/>
              </w:rPr>
              <w:t>1 060,00</w:t>
            </w:r>
          </w:p>
        </w:tc>
        <w:tc>
          <w:tcPr>
            <w:tcW w:w="0" w:type="auto"/>
            <w:shd w:val="clear" w:color="auto" w:fill="auto"/>
          </w:tcPr>
          <w:p w14:paraId="73C88449" w14:textId="77777777" w:rsidR="008C5CFA" w:rsidRPr="00BA47B4" w:rsidRDefault="00E82A60" w:rsidP="00300A01">
            <w:pPr>
              <w:spacing w:before="0" w:after="0"/>
              <w:jc w:val="right"/>
              <w:rPr>
                <w:sz w:val="12"/>
                <w:szCs w:val="12"/>
                <w:lang w:val="fr-BE"/>
              </w:rPr>
            </w:pPr>
            <w:r w:rsidRPr="00A92B39">
              <w:rPr>
                <w:noProof/>
                <w:sz w:val="10"/>
                <w:szCs w:val="10"/>
                <w:lang w:val="fr-BE"/>
              </w:rPr>
              <w:t>754,00</w:t>
            </w:r>
          </w:p>
        </w:tc>
      </w:tr>
      <w:tr w:rsidR="006B2EC1" w14:paraId="55D923FA" w14:textId="77777777" w:rsidTr="0047688D">
        <w:tc>
          <w:tcPr>
            <w:tcW w:w="0" w:type="auto"/>
            <w:shd w:val="clear" w:color="auto" w:fill="auto"/>
          </w:tcPr>
          <w:p w14:paraId="6E66FEA3" w14:textId="77777777" w:rsidR="008C5CFA" w:rsidRPr="00BA47B4" w:rsidRDefault="00E82A60" w:rsidP="00300A01">
            <w:pPr>
              <w:spacing w:before="0" w:after="0"/>
              <w:rPr>
                <w:sz w:val="12"/>
                <w:szCs w:val="12"/>
                <w:lang w:val="fr-BE"/>
              </w:rPr>
            </w:pPr>
            <w:r>
              <w:rPr>
                <w:noProof/>
                <w:sz w:val="12"/>
                <w:szCs w:val="12"/>
                <w:lang w:val="fr-BE"/>
              </w:rPr>
              <w:t>CO10</w:t>
            </w:r>
          </w:p>
        </w:tc>
        <w:tc>
          <w:tcPr>
            <w:tcW w:w="0" w:type="auto"/>
            <w:shd w:val="clear" w:color="auto" w:fill="auto"/>
          </w:tcPr>
          <w:p w14:paraId="0043B49F" w14:textId="77777777" w:rsidR="008C5CFA" w:rsidRPr="00BA47B4" w:rsidRDefault="00E82A60" w:rsidP="00300A01">
            <w:pPr>
              <w:spacing w:before="0" w:after="0"/>
              <w:rPr>
                <w:sz w:val="12"/>
                <w:szCs w:val="12"/>
                <w:lang w:val="fr-BE"/>
              </w:rPr>
            </w:pPr>
            <w:r>
              <w:rPr>
                <w:noProof/>
                <w:sz w:val="12"/>
                <w:szCs w:val="12"/>
                <w:lang w:val="fr-BE"/>
              </w:rPr>
              <w:t>osoby z wykształceniem średnim II stopnia (ISCED 3) lub policealnym (ISCED 4)</w:t>
            </w:r>
          </w:p>
        </w:tc>
        <w:tc>
          <w:tcPr>
            <w:tcW w:w="0" w:type="auto"/>
            <w:shd w:val="clear" w:color="auto" w:fill="auto"/>
          </w:tcPr>
          <w:p w14:paraId="4074DF8D" w14:textId="77777777" w:rsidR="008C5CFA" w:rsidRPr="00BA47B4" w:rsidRDefault="00E82A60"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14:paraId="5EB0E902" w14:textId="77777777" w:rsidR="008C5CFA" w:rsidRPr="00BA47B4" w:rsidRDefault="008C5CFA" w:rsidP="00300A01">
            <w:pPr>
              <w:spacing w:before="0" w:after="0"/>
              <w:jc w:val="right"/>
              <w:rPr>
                <w:sz w:val="12"/>
                <w:szCs w:val="12"/>
                <w:lang w:val="fr-BE"/>
              </w:rPr>
            </w:pPr>
          </w:p>
        </w:tc>
        <w:tc>
          <w:tcPr>
            <w:tcW w:w="0" w:type="auto"/>
            <w:shd w:val="clear" w:color="auto" w:fill="auto"/>
          </w:tcPr>
          <w:p w14:paraId="43E7D036" w14:textId="77777777" w:rsidR="008C5CFA" w:rsidRPr="00BA47B4" w:rsidRDefault="008C5CFA" w:rsidP="00300A01">
            <w:pPr>
              <w:spacing w:before="0" w:after="0"/>
              <w:jc w:val="right"/>
              <w:rPr>
                <w:sz w:val="12"/>
                <w:szCs w:val="12"/>
                <w:lang w:val="fr-BE"/>
              </w:rPr>
            </w:pPr>
          </w:p>
        </w:tc>
        <w:tc>
          <w:tcPr>
            <w:tcW w:w="0" w:type="auto"/>
            <w:shd w:val="clear" w:color="auto" w:fill="auto"/>
          </w:tcPr>
          <w:p w14:paraId="2F2B8355" w14:textId="77777777" w:rsidR="008C5CFA" w:rsidRPr="00BA47B4" w:rsidRDefault="008C5CFA" w:rsidP="00300A01">
            <w:pPr>
              <w:spacing w:before="0" w:after="0"/>
              <w:jc w:val="right"/>
              <w:rPr>
                <w:sz w:val="12"/>
                <w:szCs w:val="12"/>
                <w:lang w:val="fr-BE"/>
              </w:rPr>
            </w:pPr>
          </w:p>
        </w:tc>
        <w:tc>
          <w:tcPr>
            <w:tcW w:w="0" w:type="auto"/>
            <w:shd w:val="clear" w:color="auto" w:fill="auto"/>
          </w:tcPr>
          <w:p w14:paraId="335A13F2" w14:textId="77777777" w:rsidR="008C5CFA" w:rsidRPr="00BA47B4" w:rsidRDefault="00E82A60" w:rsidP="00300A01">
            <w:pPr>
              <w:spacing w:before="0" w:after="0"/>
              <w:jc w:val="right"/>
              <w:rPr>
                <w:sz w:val="12"/>
                <w:szCs w:val="12"/>
                <w:lang w:val="fr-BE"/>
              </w:rPr>
            </w:pPr>
            <w:r w:rsidRPr="00BA47B4">
              <w:rPr>
                <w:noProof/>
                <w:sz w:val="12"/>
                <w:szCs w:val="12"/>
                <w:lang w:val="fr-BE"/>
              </w:rPr>
              <w:t>1 387,00</w:t>
            </w:r>
          </w:p>
        </w:tc>
        <w:tc>
          <w:tcPr>
            <w:tcW w:w="0" w:type="auto"/>
            <w:shd w:val="clear" w:color="auto" w:fill="auto"/>
          </w:tcPr>
          <w:p w14:paraId="21BBEA02" w14:textId="77777777" w:rsidR="008C5CFA" w:rsidRPr="00BA47B4" w:rsidRDefault="00E82A60" w:rsidP="00300A01">
            <w:pPr>
              <w:spacing w:before="0" w:after="0"/>
              <w:jc w:val="right"/>
              <w:rPr>
                <w:sz w:val="12"/>
                <w:szCs w:val="12"/>
                <w:lang w:val="fr-BE"/>
              </w:rPr>
            </w:pPr>
            <w:r w:rsidRPr="00BA47B4">
              <w:rPr>
                <w:noProof/>
                <w:sz w:val="12"/>
                <w:szCs w:val="12"/>
                <w:lang w:val="fr-BE"/>
              </w:rPr>
              <w:t>910,00</w:t>
            </w:r>
          </w:p>
        </w:tc>
        <w:tc>
          <w:tcPr>
            <w:tcW w:w="0" w:type="auto"/>
            <w:shd w:val="clear" w:color="auto" w:fill="auto"/>
          </w:tcPr>
          <w:p w14:paraId="410CFFF4" w14:textId="77777777" w:rsidR="008C5CFA" w:rsidRPr="00BA47B4" w:rsidRDefault="00E82A60" w:rsidP="00300A01">
            <w:pPr>
              <w:spacing w:before="0" w:after="0"/>
              <w:jc w:val="right"/>
              <w:rPr>
                <w:sz w:val="12"/>
                <w:szCs w:val="12"/>
                <w:lang w:val="fr-BE"/>
              </w:rPr>
            </w:pPr>
            <w:r w:rsidRPr="00BA47B4">
              <w:rPr>
                <w:noProof/>
                <w:sz w:val="12"/>
                <w:szCs w:val="12"/>
                <w:lang w:val="fr-BE"/>
              </w:rPr>
              <w:t>477,00</w:t>
            </w:r>
          </w:p>
        </w:tc>
        <w:tc>
          <w:tcPr>
            <w:tcW w:w="0" w:type="auto"/>
            <w:shd w:val="clear" w:color="auto" w:fill="auto"/>
          </w:tcPr>
          <w:p w14:paraId="2AC41A72" w14:textId="77777777" w:rsidR="008C5CFA" w:rsidRPr="00BA47B4" w:rsidRDefault="008C5CFA" w:rsidP="00300A01">
            <w:pPr>
              <w:spacing w:before="0" w:after="0"/>
              <w:jc w:val="right"/>
              <w:rPr>
                <w:sz w:val="12"/>
                <w:szCs w:val="12"/>
                <w:lang w:val="fr-BE"/>
              </w:rPr>
            </w:pPr>
          </w:p>
        </w:tc>
        <w:tc>
          <w:tcPr>
            <w:tcW w:w="0" w:type="auto"/>
            <w:shd w:val="clear" w:color="auto" w:fill="auto"/>
          </w:tcPr>
          <w:p w14:paraId="403742FB" w14:textId="77777777" w:rsidR="008C5CFA" w:rsidRPr="00BA47B4" w:rsidRDefault="008C5CFA" w:rsidP="00300A01">
            <w:pPr>
              <w:spacing w:before="0" w:after="0"/>
              <w:jc w:val="right"/>
              <w:rPr>
                <w:sz w:val="12"/>
                <w:szCs w:val="12"/>
                <w:lang w:val="fr-BE"/>
              </w:rPr>
            </w:pPr>
          </w:p>
        </w:tc>
        <w:tc>
          <w:tcPr>
            <w:tcW w:w="0" w:type="auto"/>
            <w:shd w:val="clear" w:color="auto" w:fill="auto"/>
          </w:tcPr>
          <w:p w14:paraId="23118089" w14:textId="77777777" w:rsidR="008C5CFA" w:rsidRPr="00BA47B4" w:rsidRDefault="008C5CFA" w:rsidP="00300A01">
            <w:pPr>
              <w:spacing w:before="0" w:after="0"/>
              <w:jc w:val="right"/>
              <w:rPr>
                <w:sz w:val="12"/>
                <w:szCs w:val="12"/>
                <w:lang w:val="fr-BE"/>
              </w:rPr>
            </w:pPr>
          </w:p>
        </w:tc>
        <w:tc>
          <w:tcPr>
            <w:tcW w:w="0" w:type="auto"/>
          </w:tcPr>
          <w:p w14:paraId="717CCA14" w14:textId="77777777" w:rsidR="008C5CFA" w:rsidRPr="00A92B39" w:rsidRDefault="00E82A60" w:rsidP="00300A01">
            <w:pPr>
              <w:spacing w:before="0" w:after="0"/>
              <w:jc w:val="right"/>
              <w:rPr>
                <w:sz w:val="10"/>
                <w:szCs w:val="10"/>
                <w:lang w:val="fr-BE"/>
              </w:rPr>
            </w:pPr>
            <w:r w:rsidRPr="00A92B39">
              <w:rPr>
                <w:noProof/>
                <w:sz w:val="10"/>
                <w:szCs w:val="10"/>
                <w:lang w:val="fr-BE"/>
              </w:rPr>
              <w:t>725,00</w:t>
            </w:r>
          </w:p>
        </w:tc>
        <w:tc>
          <w:tcPr>
            <w:tcW w:w="0" w:type="auto"/>
            <w:shd w:val="clear" w:color="auto" w:fill="auto"/>
          </w:tcPr>
          <w:p w14:paraId="5B6157F3" w14:textId="77777777" w:rsidR="008C5CFA" w:rsidRPr="00A92B39" w:rsidRDefault="00E82A60" w:rsidP="00300A01">
            <w:pPr>
              <w:spacing w:before="0" w:after="0"/>
              <w:jc w:val="right"/>
              <w:rPr>
                <w:sz w:val="10"/>
                <w:szCs w:val="10"/>
                <w:lang w:val="fr-BE"/>
              </w:rPr>
            </w:pPr>
            <w:r w:rsidRPr="00A92B39">
              <w:rPr>
                <w:noProof/>
                <w:sz w:val="10"/>
                <w:szCs w:val="10"/>
                <w:lang w:val="fr-BE"/>
              </w:rPr>
              <w:t>447,00</w:t>
            </w:r>
          </w:p>
        </w:tc>
        <w:tc>
          <w:tcPr>
            <w:tcW w:w="0" w:type="auto"/>
            <w:shd w:val="clear" w:color="auto" w:fill="auto"/>
          </w:tcPr>
          <w:p w14:paraId="4077FAB1" w14:textId="77777777" w:rsidR="008C5CFA" w:rsidRPr="00BA47B4" w:rsidRDefault="00E82A60" w:rsidP="00300A01">
            <w:pPr>
              <w:spacing w:before="0" w:after="0"/>
              <w:jc w:val="right"/>
              <w:rPr>
                <w:sz w:val="12"/>
                <w:szCs w:val="12"/>
                <w:lang w:val="fr-BE"/>
              </w:rPr>
            </w:pPr>
            <w:r w:rsidRPr="00A92B39">
              <w:rPr>
                <w:noProof/>
                <w:sz w:val="10"/>
                <w:szCs w:val="10"/>
                <w:lang w:val="fr-BE"/>
              </w:rPr>
              <w:t>278,00</w:t>
            </w:r>
          </w:p>
        </w:tc>
      </w:tr>
      <w:tr w:rsidR="006B2EC1" w14:paraId="3B689677" w14:textId="77777777" w:rsidTr="0047688D">
        <w:tc>
          <w:tcPr>
            <w:tcW w:w="0" w:type="auto"/>
            <w:shd w:val="clear" w:color="auto" w:fill="auto"/>
          </w:tcPr>
          <w:p w14:paraId="06461932" w14:textId="77777777" w:rsidR="008C5CFA" w:rsidRPr="00BA47B4" w:rsidRDefault="00E82A60" w:rsidP="00300A01">
            <w:pPr>
              <w:spacing w:before="0" w:after="0"/>
              <w:rPr>
                <w:sz w:val="12"/>
                <w:szCs w:val="12"/>
                <w:lang w:val="fr-BE"/>
              </w:rPr>
            </w:pPr>
            <w:r>
              <w:rPr>
                <w:noProof/>
                <w:sz w:val="12"/>
                <w:szCs w:val="12"/>
                <w:lang w:val="fr-BE"/>
              </w:rPr>
              <w:t>CO11</w:t>
            </w:r>
          </w:p>
        </w:tc>
        <w:tc>
          <w:tcPr>
            <w:tcW w:w="0" w:type="auto"/>
            <w:shd w:val="clear" w:color="auto" w:fill="auto"/>
          </w:tcPr>
          <w:p w14:paraId="4A4151CE" w14:textId="77777777" w:rsidR="008C5CFA" w:rsidRPr="00BA47B4" w:rsidRDefault="00E82A60" w:rsidP="00300A01">
            <w:pPr>
              <w:spacing w:before="0" w:after="0"/>
              <w:rPr>
                <w:sz w:val="12"/>
                <w:szCs w:val="12"/>
                <w:lang w:val="fr-BE"/>
              </w:rPr>
            </w:pPr>
            <w:r>
              <w:rPr>
                <w:noProof/>
                <w:sz w:val="12"/>
                <w:szCs w:val="12"/>
                <w:lang w:val="fr-BE"/>
              </w:rPr>
              <w:t>osoby z wykształceniem wyższym (ISCED 5 do 8)</w:t>
            </w:r>
          </w:p>
        </w:tc>
        <w:tc>
          <w:tcPr>
            <w:tcW w:w="0" w:type="auto"/>
            <w:shd w:val="clear" w:color="auto" w:fill="auto"/>
          </w:tcPr>
          <w:p w14:paraId="46EC1FFB" w14:textId="77777777" w:rsidR="008C5CFA" w:rsidRPr="00BA47B4" w:rsidRDefault="00E82A60"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14:paraId="6B93B959" w14:textId="77777777" w:rsidR="008C5CFA" w:rsidRPr="00BA47B4" w:rsidRDefault="008C5CFA" w:rsidP="00300A01">
            <w:pPr>
              <w:spacing w:before="0" w:after="0"/>
              <w:jc w:val="right"/>
              <w:rPr>
                <w:sz w:val="12"/>
                <w:szCs w:val="12"/>
                <w:lang w:val="fr-BE"/>
              </w:rPr>
            </w:pPr>
          </w:p>
        </w:tc>
        <w:tc>
          <w:tcPr>
            <w:tcW w:w="0" w:type="auto"/>
            <w:shd w:val="clear" w:color="auto" w:fill="auto"/>
          </w:tcPr>
          <w:p w14:paraId="1D3A6B05" w14:textId="77777777" w:rsidR="008C5CFA" w:rsidRPr="00BA47B4" w:rsidRDefault="008C5CFA" w:rsidP="00300A01">
            <w:pPr>
              <w:spacing w:before="0" w:after="0"/>
              <w:jc w:val="right"/>
              <w:rPr>
                <w:sz w:val="12"/>
                <w:szCs w:val="12"/>
                <w:lang w:val="fr-BE"/>
              </w:rPr>
            </w:pPr>
          </w:p>
        </w:tc>
        <w:tc>
          <w:tcPr>
            <w:tcW w:w="0" w:type="auto"/>
            <w:shd w:val="clear" w:color="auto" w:fill="auto"/>
          </w:tcPr>
          <w:p w14:paraId="652850A4" w14:textId="77777777" w:rsidR="008C5CFA" w:rsidRPr="00BA47B4" w:rsidRDefault="008C5CFA" w:rsidP="00300A01">
            <w:pPr>
              <w:spacing w:before="0" w:after="0"/>
              <w:jc w:val="right"/>
              <w:rPr>
                <w:sz w:val="12"/>
                <w:szCs w:val="12"/>
                <w:lang w:val="fr-BE"/>
              </w:rPr>
            </w:pPr>
          </w:p>
        </w:tc>
        <w:tc>
          <w:tcPr>
            <w:tcW w:w="0" w:type="auto"/>
            <w:shd w:val="clear" w:color="auto" w:fill="auto"/>
          </w:tcPr>
          <w:p w14:paraId="56AA9BC3" w14:textId="77777777" w:rsidR="008C5CFA" w:rsidRPr="00BA47B4" w:rsidRDefault="00E82A60" w:rsidP="00300A01">
            <w:pPr>
              <w:spacing w:before="0" w:after="0"/>
              <w:jc w:val="right"/>
              <w:rPr>
                <w:sz w:val="12"/>
                <w:szCs w:val="12"/>
                <w:lang w:val="fr-BE"/>
              </w:rPr>
            </w:pPr>
            <w:r w:rsidRPr="00BA47B4">
              <w:rPr>
                <w:noProof/>
                <w:sz w:val="12"/>
                <w:szCs w:val="12"/>
                <w:lang w:val="fr-BE"/>
              </w:rPr>
              <w:t>1 263,00</w:t>
            </w:r>
          </w:p>
        </w:tc>
        <w:tc>
          <w:tcPr>
            <w:tcW w:w="0" w:type="auto"/>
            <w:shd w:val="clear" w:color="auto" w:fill="auto"/>
          </w:tcPr>
          <w:p w14:paraId="6A266F2A" w14:textId="77777777" w:rsidR="008C5CFA" w:rsidRPr="00BA47B4" w:rsidRDefault="00E82A60" w:rsidP="00300A01">
            <w:pPr>
              <w:spacing w:before="0" w:after="0"/>
              <w:jc w:val="right"/>
              <w:rPr>
                <w:sz w:val="12"/>
                <w:szCs w:val="12"/>
                <w:lang w:val="fr-BE"/>
              </w:rPr>
            </w:pPr>
            <w:r w:rsidRPr="00BA47B4">
              <w:rPr>
                <w:noProof/>
                <w:sz w:val="12"/>
                <w:szCs w:val="12"/>
                <w:lang w:val="fr-BE"/>
              </w:rPr>
              <w:t>540,00</w:t>
            </w:r>
          </w:p>
        </w:tc>
        <w:tc>
          <w:tcPr>
            <w:tcW w:w="0" w:type="auto"/>
            <w:shd w:val="clear" w:color="auto" w:fill="auto"/>
          </w:tcPr>
          <w:p w14:paraId="5F838A9A" w14:textId="77777777" w:rsidR="008C5CFA" w:rsidRPr="00BA47B4" w:rsidRDefault="00E82A60" w:rsidP="00300A01">
            <w:pPr>
              <w:spacing w:before="0" w:after="0"/>
              <w:jc w:val="right"/>
              <w:rPr>
                <w:sz w:val="12"/>
                <w:szCs w:val="12"/>
                <w:lang w:val="fr-BE"/>
              </w:rPr>
            </w:pPr>
            <w:r w:rsidRPr="00BA47B4">
              <w:rPr>
                <w:noProof/>
                <w:sz w:val="12"/>
                <w:szCs w:val="12"/>
                <w:lang w:val="fr-BE"/>
              </w:rPr>
              <w:t>723,00</w:t>
            </w:r>
          </w:p>
        </w:tc>
        <w:tc>
          <w:tcPr>
            <w:tcW w:w="0" w:type="auto"/>
            <w:shd w:val="clear" w:color="auto" w:fill="auto"/>
          </w:tcPr>
          <w:p w14:paraId="546928CF" w14:textId="77777777" w:rsidR="008C5CFA" w:rsidRPr="00BA47B4" w:rsidRDefault="008C5CFA" w:rsidP="00300A01">
            <w:pPr>
              <w:spacing w:before="0" w:after="0"/>
              <w:jc w:val="right"/>
              <w:rPr>
                <w:sz w:val="12"/>
                <w:szCs w:val="12"/>
                <w:lang w:val="fr-BE"/>
              </w:rPr>
            </w:pPr>
          </w:p>
        </w:tc>
        <w:tc>
          <w:tcPr>
            <w:tcW w:w="0" w:type="auto"/>
            <w:shd w:val="clear" w:color="auto" w:fill="auto"/>
          </w:tcPr>
          <w:p w14:paraId="614F787F" w14:textId="77777777" w:rsidR="008C5CFA" w:rsidRPr="00BA47B4" w:rsidRDefault="008C5CFA" w:rsidP="00300A01">
            <w:pPr>
              <w:spacing w:before="0" w:after="0"/>
              <w:jc w:val="right"/>
              <w:rPr>
                <w:sz w:val="12"/>
                <w:szCs w:val="12"/>
                <w:lang w:val="fr-BE"/>
              </w:rPr>
            </w:pPr>
          </w:p>
        </w:tc>
        <w:tc>
          <w:tcPr>
            <w:tcW w:w="0" w:type="auto"/>
            <w:shd w:val="clear" w:color="auto" w:fill="auto"/>
          </w:tcPr>
          <w:p w14:paraId="40CE7E2C" w14:textId="77777777" w:rsidR="008C5CFA" w:rsidRPr="00BA47B4" w:rsidRDefault="008C5CFA" w:rsidP="00300A01">
            <w:pPr>
              <w:spacing w:before="0" w:after="0"/>
              <w:jc w:val="right"/>
              <w:rPr>
                <w:sz w:val="12"/>
                <w:szCs w:val="12"/>
                <w:lang w:val="fr-BE"/>
              </w:rPr>
            </w:pPr>
          </w:p>
        </w:tc>
        <w:tc>
          <w:tcPr>
            <w:tcW w:w="0" w:type="auto"/>
          </w:tcPr>
          <w:p w14:paraId="4CCB3640" w14:textId="77777777" w:rsidR="008C5CFA" w:rsidRPr="00A92B39" w:rsidRDefault="00E82A60" w:rsidP="00300A01">
            <w:pPr>
              <w:spacing w:before="0" w:after="0"/>
              <w:jc w:val="right"/>
              <w:rPr>
                <w:sz w:val="10"/>
                <w:szCs w:val="10"/>
                <w:lang w:val="fr-BE"/>
              </w:rPr>
            </w:pPr>
            <w:r w:rsidRPr="00A92B39">
              <w:rPr>
                <w:noProof/>
                <w:sz w:val="10"/>
                <w:szCs w:val="10"/>
                <w:lang w:val="fr-BE"/>
              </w:rPr>
              <w:t>440,00</w:t>
            </w:r>
          </w:p>
        </w:tc>
        <w:tc>
          <w:tcPr>
            <w:tcW w:w="0" w:type="auto"/>
            <w:shd w:val="clear" w:color="auto" w:fill="auto"/>
          </w:tcPr>
          <w:p w14:paraId="2AED0E0B" w14:textId="77777777" w:rsidR="008C5CFA" w:rsidRPr="00A92B39" w:rsidRDefault="00E82A60" w:rsidP="00300A01">
            <w:pPr>
              <w:spacing w:before="0" w:after="0"/>
              <w:jc w:val="right"/>
              <w:rPr>
                <w:sz w:val="10"/>
                <w:szCs w:val="10"/>
                <w:lang w:val="fr-BE"/>
              </w:rPr>
            </w:pPr>
            <w:r w:rsidRPr="00A92B39">
              <w:rPr>
                <w:noProof/>
                <w:sz w:val="10"/>
                <w:szCs w:val="10"/>
                <w:lang w:val="fr-BE"/>
              </w:rPr>
              <w:t>193,00</w:t>
            </w:r>
          </w:p>
        </w:tc>
        <w:tc>
          <w:tcPr>
            <w:tcW w:w="0" w:type="auto"/>
            <w:shd w:val="clear" w:color="auto" w:fill="auto"/>
          </w:tcPr>
          <w:p w14:paraId="634078D6" w14:textId="77777777" w:rsidR="008C5CFA" w:rsidRPr="00BA47B4" w:rsidRDefault="00E82A60" w:rsidP="00300A01">
            <w:pPr>
              <w:spacing w:before="0" w:after="0"/>
              <w:jc w:val="right"/>
              <w:rPr>
                <w:sz w:val="12"/>
                <w:szCs w:val="12"/>
                <w:lang w:val="fr-BE"/>
              </w:rPr>
            </w:pPr>
            <w:r w:rsidRPr="00A92B39">
              <w:rPr>
                <w:noProof/>
                <w:sz w:val="10"/>
                <w:szCs w:val="10"/>
                <w:lang w:val="fr-BE"/>
              </w:rPr>
              <w:t>247,00</w:t>
            </w:r>
          </w:p>
        </w:tc>
      </w:tr>
      <w:tr w:rsidR="006B2EC1" w14:paraId="0E50D225" w14:textId="77777777" w:rsidTr="0047688D">
        <w:tc>
          <w:tcPr>
            <w:tcW w:w="0" w:type="auto"/>
            <w:shd w:val="clear" w:color="auto" w:fill="auto"/>
          </w:tcPr>
          <w:p w14:paraId="36611C36" w14:textId="77777777" w:rsidR="008C5CFA" w:rsidRPr="00BA47B4" w:rsidRDefault="00E82A60" w:rsidP="00300A01">
            <w:pPr>
              <w:spacing w:before="0" w:after="0"/>
              <w:rPr>
                <w:sz w:val="12"/>
                <w:szCs w:val="12"/>
                <w:lang w:val="fr-BE"/>
              </w:rPr>
            </w:pPr>
            <w:r>
              <w:rPr>
                <w:noProof/>
                <w:sz w:val="12"/>
                <w:szCs w:val="12"/>
                <w:lang w:val="fr-BE"/>
              </w:rPr>
              <w:t>CO15</w:t>
            </w:r>
          </w:p>
        </w:tc>
        <w:tc>
          <w:tcPr>
            <w:tcW w:w="0" w:type="auto"/>
            <w:shd w:val="clear" w:color="auto" w:fill="auto"/>
          </w:tcPr>
          <w:p w14:paraId="46841A4F" w14:textId="77777777" w:rsidR="008C5CFA" w:rsidRPr="00BA47B4" w:rsidRDefault="00E82A60" w:rsidP="00300A01">
            <w:pPr>
              <w:spacing w:before="0" w:after="0"/>
              <w:rPr>
                <w:sz w:val="12"/>
                <w:szCs w:val="12"/>
                <w:lang w:val="fr-BE"/>
              </w:rPr>
            </w:pPr>
            <w:r>
              <w:rPr>
                <w:noProof/>
                <w:sz w:val="12"/>
                <w:szCs w:val="12"/>
                <w:lang w:val="fr-BE"/>
              </w:rPr>
              <w:t>migranci, uczestnicy obcego pochodzenia, mniejszości (w tym społeczności marginalizowane, takie jak Romowie)</w:t>
            </w:r>
          </w:p>
        </w:tc>
        <w:tc>
          <w:tcPr>
            <w:tcW w:w="0" w:type="auto"/>
            <w:shd w:val="clear" w:color="auto" w:fill="auto"/>
          </w:tcPr>
          <w:p w14:paraId="54F2289B" w14:textId="77777777" w:rsidR="008C5CFA" w:rsidRPr="00BA47B4" w:rsidRDefault="00E82A60"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14:paraId="690CAF54" w14:textId="77777777" w:rsidR="008C5CFA" w:rsidRPr="00BA47B4" w:rsidRDefault="008C5CFA" w:rsidP="00300A01">
            <w:pPr>
              <w:spacing w:before="0" w:after="0"/>
              <w:jc w:val="right"/>
              <w:rPr>
                <w:sz w:val="12"/>
                <w:szCs w:val="12"/>
                <w:lang w:val="fr-BE"/>
              </w:rPr>
            </w:pPr>
          </w:p>
        </w:tc>
        <w:tc>
          <w:tcPr>
            <w:tcW w:w="0" w:type="auto"/>
            <w:shd w:val="clear" w:color="auto" w:fill="auto"/>
          </w:tcPr>
          <w:p w14:paraId="26AF0E5F" w14:textId="77777777" w:rsidR="008C5CFA" w:rsidRPr="00BA47B4" w:rsidRDefault="008C5CFA" w:rsidP="00300A01">
            <w:pPr>
              <w:spacing w:before="0" w:after="0"/>
              <w:jc w:val="right"/>
              <w:rPr>
                <w:sz w:val="12"/>
                <w:szCs w:val="12"/>
                <w:lang w:val="fr-BE"/>
              </w:rPr>
            </w:pPr>
          </w:p>
        </w:tc>
        <w:tc>
          <w:tcPr>
            <w:tcW w:w="0" w:type="auto"/>
            <w:shd w:val="clear" w:color="auto" w:fill="auto"/>
          </w:tcPr>
          <w:p w14:paraId="24C718B9" w14:textId="77777777" w:rsidR="008C5CFA" w:rsidRPr="00BA47B4" w:rsidRDefault="008C5CFA" w:rsidP="00300A01">
            <w:pPr>
              <w:spacing w:before="0" w:after="0"/>
              <w:jc w:val="right"/>
              <w:rPr>
                <w:sz w:val="12"/>
                <w:szCs w:val="12"/>
                <w:lang w:val="fr-BE"/>
              </w:rPr>
            </w:pPr>
          </w:p>
        </w:tc>
        <w:tc>
          <w:tcPr>
            <w:tcW w:w="0" w:type="auto"/>
            <w:shd w:val="clear" w:color="auto" w:fill="auto"/>
          </w:tcPr>
          <w:p w14:paraId="050C2C41" w14:textId="77777777" w:rsidR="008C5CFA" w:rsidRPr="00BA47B4" w:rsidRDefault="00E82A60" w:rsidP="00300A01">
            <w:pPr>
              <w:spacing w:before="0" w:after="0"/>
              <w:jc w:val="right"/>
              <w:rPr>
                <w:sz w:val="12"/>
                <w:szCs w:val="12"/>
                <w:lang w:val="fr-BE"/>
              </w:rPr>
            </w:pPr>
            <w:r w:rsidRPr="00BA47B4">
              <w:rPr>
                <w:noProof/>
                <w:sz w:val="12"/>
                <w:szCs w:val="12"/>
                <w:lang w:val="fr-BE"/>
              </w:rPr>
              <w:t>100,00</w:t>
            </w:r>
          </w:p>
        </w:tc>
        <w:tc>
          <w:tcPr>
            <w:tcW w:w="0" w:type="auto"/>
            <w:shd w:val="clear" w:color="auto" w:fill="auto"/>
          </w:tcPr>
          <w:p w14:paraId="3F0A722F" w14:textId="77777777" w:rsidR="008C5CFA" w:rsidRPr="00BA47B4" w:rsidRDefault="00E82A60" w:rsidP="00300A01">
            <w:pPr>
              <w:spacing w:before="0" w:after="0"/>
              <w:jc w:val="right"/>
              <w:rPr>
                <w:sz w:val="12"/>
                <w:szCs w:val="12"/>
                <w:lang w:val="fr-BE"/>
              </w:rPr>
            </w:pPr>
            <w:r w:rsidRPr="00BA47B4">
              <w:rPr>
                <w:noProof/>
                <w:sz w:val="12"/>
                <w:szCs w:val="12"/>
                <w:lang w:val="fr-BE"/>
              </w:rPr>
              <w:t>30,00</w:t>
            </w:r>
          </w:p>
        </w:tc>
        <w:tc>
          <w:tcPr>
            <w:tcW w:w="0" w:type="auto"/>
            <w:shd w:val="clear" w:color="auto" w:fill="auto"/>
          </w:tcPr>
          <w:p w14:paraId="0ECB543D" w14:textId="77777777" w:rsidR="008C5CFA" w:rsidRPr="00BA47B4" w:rsidRDefault="00E82A60" w:rsidP="00300A01">
            <w:pPr>
              <w:spacing w:before="0" w:after="0"/>
              <w:jc w:val="right"/>
              <w:rPr>
                <w:sz w:val="12"/>
                <w:szCs w:val="12"/>
                <w:lang w:val="fr-BE"/>
              </w:rPr>
            </w:pPr>
            <w:r w:rsidRPr="00BA47B4">
              <w:rPr>
                <w:noProof/>
                <w:sz w:val="12"/>
                <w:szCs w:val="12"/>
                <w:lang w:val="fr-BE"/>
              </w:rPr>
              <w:t>70,00</w:t>
            </w:r>
          </w:p>
        </w:tc>
        <w:tc>
          <w:tcPr>
            <w:tcW w:w="0" w:type="auto"/>
            <w:shd w:val="clear" w:color="auto" w:fill="auto"/>
          </w:tcPr>
          <w:p w14:paraId="296B4F80" w14:textId="77777777" w:rsidR="008C5CFA" w:rsidRPr="00BA47B4" w:rsidRDefault="008C5CFA" w:rsidP="00300A01">
            <w:pPr>
              <w:spacing w:before="0" w:after="0"/>
              <w:jc w:val="right"/>
              <w:rPr>
                <w:sz w:val="12"/>
                <w:szCs w:val="12"/>
                <w:lang w:val="fr-BE"/>
              </w:rPr>
            </w:pPr>
          </w:p>
        </w:tc>
        <w:tc>
          <w:tcPr>
            <w:tcW w:w="0" w:type="auto"/>
            <w:shd w:val="clear" w:color="auto" w:fill="auto"/>
          </w:tcPr>
          <w:p w14:paraId="14D5A2D7" w14:textId="77777777" w:rsidR="008C5CFA" w:rsidRPr="00BA47B4" w:rsidRDefault="008C5CFA" w:rsidP="00300A01">
            <w:pPr>
              <w:spacing w:before="0" w:after="0"/>
              <w:jc w:val="right"/>
              <w:rPr>
                <w:sz w:val="12"/>
                <w:szCs w:val="12"/>
                <w:lang w:val="fr-BE"/>
              </w:rPr>
            </w:pPr>
          </w:p>
        </w:tc>
        <w:tc>
          <w:tcPr>
            <w:tcW w:w="0" w:type="auto"/>
            <w:shd w:val="clear" w:color="auto" w:fill="auto"/>
          </w:tcPr>
          <w:p w14:paraId="62D4D491" w14:textId="77777777" w:rsidR="008C5CFA" w:rsidRPr="00BA47B4" w:rsidRDefault="008C5CFA" w:rsidP="00300A01">
            <w:pPr>
              <w:spacing w:before="0" w:after="0"/>
              <w:jc w:val="right"/>
              <w:rPr>
                <w:sz w:val="12"/>
                <w:szCs w:val="12"/>
                <w:lang w:val="fr-BE"/>
              </w:rPr>
            </w:pPr>
          </w:p>
        </w:tc>
        <w:tc>
          <w:tcPr>
            <w:tcW w:w="0" w:type="auto"/>
          </w:tcPr>
          <w:p w14:paraId="19EB9CF0" w14:textId="77777777" w:rsidR="008C5CFA" w:rsidRPr="00A92B39" w:rsidRDefault="00E82A60" w:rsidP="00300A01">
            <w:pPr>
              <w:spacing w:before="0" w:after="0"/>
              <w:jc w:val="right"/>
              <w:rPr>
                <w:sz w:val="10"/>
                <w:szCs w:val="10"/>
                <w:lang w:val="fr-BE"/>
              </w:rPr>
            </w:pPr>
            <w:r w:rsidRPr="00A92B39">
              <w:rPr>
                <w:noProof/>
                <w:sz w:val="10"/>
                <w:szCs w:val="10"/>
                <w:lang w:val="fr-BE"/>
              </w:rPr>
              <w:t>37,00</w:t>
            </w:r>
          </w:p>
        </w:tc>
        <w:tc>
          <w:tcPr>
            <w:tcW w:w="0" w:type="auto"/>
            <w:shd w:val="clear" w:color="auto" w:fill="auto"/>
          </w:tcPr>
          <w:p w14:paraId="7EF069FE" w14:textId="77777777" w:rsidR="008C5CFA" w:rsidRPr="00A92B39" w:rsidRDefault="00E82A60" w:rsidP="00300A01">
            <w:pPr>
              <w:spacing w:before="0" w:after="0"/>
              <w:jc w:val="right"/>
              <w:rPr>
                <w:sz w:val="10"/>
                <w:szCs w:val="10"/>
                <w:lang w:val="fr-BE"/>
              </w:rPr>
            </w:pPr>
            <w:r w:rsidRPr="00A92B39">
              <w:rPr>
                <w:noProof/>
                <w:sz w:val="10"/>
                <w:szCs w:val="10"/>
                <w:lang w:val="fr-BE"/>
              </w:rPr>
              <w:t>16,00</w:t>
            </w:r>
          </w:p>
        </w:tc>
        <w:tc>
          <w:tcPr>
            <w:tcW w:w="0" w:type="auto"/>
            <w:shd w:val="clear" w:color="auto" w:fill="auto"/>
          </w:tcPr>
          <w:p w14:paraId="681F2810" w14:textId="77777777" w:rsidR="008C5CFA" w:rsidRPr="00BA47B4" w:rsidRDefault="00E82A60" w:rsidP="00300A01">
            <w:pPr>
              <w:spacing w:before="0" w:after="0"/>
              <w:jc w:val="right"/>
              <w:rPr>
                <w:sz w:val="12"/>
                <w:szCs w:val="12"/>
                <w:lang w:val="fr-BE"/>
              </w:rPr>
            </w:pPr>
            <w:r w:rsidRPr="00A92B39">
              <w:rPr>
                <w:noProof/>
                <w:sz w:val="10"/>
                <w:szCs w:val="10"/>
                <w:lang w:val="fr-BE"/>
              </w:rPr>
              <w:t>21,00</w:t>
            </w:r>
          </w:p>
        </w:tc>
      </w:tr>
      <w:tr w:rsidR="006B2EC1" w14:paraId="6BBD67F5" w14:textId="77777777" w:rsidTr="0047688D">
        <w:tc>
          <w:tcPr>
            <w:tcW w:w="0" w:type="auto"/>
            <w:shd w:val="clear" w:color="auto" w:fill="auto"/>
          </w:tcPr>
          <w:p w14:paraId="4D9A913C" w14:textId="77777777" w:rsidR="008C5CFA" w:rsidRPr="00BA47B4" w:rsidRDefault="00E82A60" w:rsidP="00300A01">
            <w:pPr>
              <w:spacing w:before="0" w:after="0"/>
              <w:rPr>
                <w:sz w:val="12"/>
                <w:szCs w:val="12"/>
                <w:lang w:val="fr-BE"/>
              </w:rPr>
            </w:pPr>
            <w:r>
              <w:rPr>
                <w:noProof/>
                <w:sz w:val="12"/>
                <w:szCs w:val="12"/>
                <w:lang w:val="fr-BE"/>
              </w:rPr>
              <w:t>CO16</w:t>
            </w:r>
          </w:p>
        </w:tc>
        <w:tc>
          <w:tcPr>
            <w:tcW w:w="0" w:type="auto"/>
            <w:shd w:val="clear" w:color="auto" w:fill="auto"/>
          </w:tcPr>
          <w:p w14:paraId="3DC282B0" w14:textId="77777777" w:rsidR="008C5CFA" w:rsidRPr="00BA47B4" w:rsidRDefault="00E82A60" w:rsidP="00300A01">
            <w:pPr>
              <w:spacing w:before="0" w:after="0"/>
              <w:rPr>
                <w:sz w:val="12"/>
                <w:szCs w:val="12"/>
                <w:lang w:val="fr-BE"/>
              </w:rPr>
            </w:pPr>
            <w:r>
              <w:rPr>
                <w:noProof/>
                <w:sz w:val="12"/>
                <w:szCs w:val="12"/>
                <w:lang w:val="fr-BE"/>
              </w:rPr>
              <w:t>uczestnicy z niepełnosprawnościami</w:t>
            </w:r>
          </w:p>
        </w:tc>
        <w:tc>
          <w:tcPr>
            <w:tcW w:w="0" w:type="auto"/>
            <w:shd w:val="clear" w:color="auto" w:fill="auto"/>
          </w:tcPr>
          <w:p w14:paraId="6A1C763F" w14:textId="77777777" w:rsidR="008C5CFA" w:rsidRPr="00BA47B4" w:rsidRDefault="00E82A60"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14:paraId="60F146B2" w14:textId="77777777" w:rsidR="008C5CFA" w:rsidRPr="00BA47B4" w:rsidRDefault="008C5CFA" w:rsidP="00300A01">
            <w:pPr>
              <w:spacing w:before="0" w:after="0"/>
              <w:jc w:val="right"/>
              <w:rPr>
                <w:sz w:val="12"/>
                <w:szCs w:val="12"/>
                <w:lang w:val="fr-BE"/>
              </w:rPr>
            </w:pPr>
          </w:p>
        </w:tc>
        <w:tc>
          <w:tcPr>
            <w:tcW w:w="0" w:type="auto"/>
            <w:shd w:val="clear" w:color="auto" w:fill="auto"/>
          </w:tcPr>
          <w:p w14:paraId="23320584" w14:textId="77777777" w:rsidR="008C5CFA" w:rsidRPr="00BA47B4" w:rsidRDefault="008C5CFA" w:rsidP="00300A01">
            <w:pPr>
              <w:spacing w:before="0" w:after="0"/>
              <w:jc w:val="right"/>
              <w:rPr>
                <w:sz w:val="12"/>
                <w:szCs w:val="12"/>
                <w:lang w:val="fr-BE"/>
              </w:rPr>
            </w:pPr>
          </w:p>
        </w:tc>
        <w:tc>
          <w:tcPr>
            <w:tcW w:w="0" w:type="auto"/>
            <w:shd w:val="clear" w:color="auto" w:fill="auto"/>
          </w:tcPr>
          <w:p w14:paraId="510A4D2D" w14:textId="77777777" w:rsidR="008C5CFA" w:rsidRPr="00BA47B4" w:rsidRDefault="008C5CFA" w:rsidP="00300A01">
            <w:pPr>
              <w:spacing w:before="0" w:after="0"/>
              <w:jc w:val="right"/>
              <w:rPr>
                <w:sz w:val="12"/>
                <w:szCs w:val="12"/>
                <w:lang w:val="fr-BE"/>
              </w:rPr>
            </w:pPr>
          </w:p>
        </w:tc>
        <w:tc>
          <w:tcPr>
            <w:tcW w:w="0" w:type="auto"/>
            <w:shd w:val="clear" w:color="auto" w:fill="auto"/>
          </w:tcPr>
          <w:p w14:paraId="133FA858" w14:textId="77777777" w:rsidR="008C5CFA" w:rsidRPr="00BA47B4" w:rsidRDefault="00E82A60" w:rsidP="00300A01">
            <w:pPr>
              <w:spacing w:before="0" w:after="0"/>
              <w:jc w:val="right"/>
              <w:rPr>
                <w:sz w:val="12"/>
                <w:szCs w:val="12"/>
                <w:lang w:val="fr-BE"/>
              </w:rPr>
            </w:pPr>
            <w:r w:rsidRPr="00BA47B4">
              <w:rPr>
                <w:noProof/>
                <w:sz w:val="12"/>
                <w:szCs w:val="12"/>
                <w:lang w:val="fr-BE"/>
              </w:rPr>
              <w:t>600,00</w:t>
            </w:r>
          </w:p>
        </w:tc>
        <w:tc>
          <w:tcPr>
            <w:tcW w:w="0" w:type="auto"/>
            <w:shd w:val="clear" w:color="auto" w:fill="auto"/>
          </w:tcPr>
          <w:p w14:paraId="0C29E827" w14:textId="77777777" w:rsidR="008C5CFA" w:rsidRPr="00BA47B4" w:rsidRDefault="00E82A60" w:rsidP="00300A01">
            <w:pPr>
              <w:spacing w:before="0" w:after="0"/>
              <w:jc w:val="right"/>
              <w:rPr>
                <w:sz w:val="12"/>
                <w:szCs w:val="12"/>
                <w:lang w:val="fr-BE"/>
              </w:rPr>
            </w:pPr>
            <w:r w:rsidRPr="00BA47B4">
              <w:rPr>
                <w:noProof/>
                <w:sz w:val="12"/>
                <w:szCs w:val="12"/>
                <w:lang w:val="fr-BE"/>
              </w:rPr>
              <w:t>352,00</w:t>
            </w:r>
          </w:p>
        </w:tc>
        <w:tc>
          <w:tcPr>
            <w:tcW w:w="0" w:type="auto"/>
            <w:shd w:val="clear" w:color="auto" w:fill="auto"/>
          </w:tcPr>
          <w:p w14:paraId="3EBBCBC7" w14:textId="77777777" w:rsidR="008C5CFA" w:rsidRPr="00BA47B4" w:rsidRDefault="00E82A60" w:rsidP="00300A01">
            <w:pPr>
              <w:spacing w:before="0" w:after="0"/>
              <w:jc w:val="right"/>
              <w:rPr>
                <w:sz w:val="12"/>
                <w:szCs w:val="12"/>
                <w:lang w:val="fr-BE"/>
              </w:rPr>
            </w:pPr>
            <w:r w:rsidRPr="00BA47B4">
              <w:rPr>
                <w:noProof/>
                <w:sz w:val="12"/>
                <w:szCs w:val="12"/>
                <w:lang w:val="fr-BE"/>
              </w:rPr>
              <w:t>248,00</w:t>
            </w:r>
          </w:p>
        </w:tc>
        <w:tc>
          <w:tcPr>
            <w:tcW w:w="0" w:type="auto"/>
            <w:shd w:val="clear" w:color="auto" w:fill="auto"/>
          </w:tcPr>
          <w:p w14:paraId="45856031" w14:textId="77777777" w:rsidR="008C5CFA" w:rsidRPr="00BA47B4" w:rsidRDefault="008C5CFA" w:rsidP="00300A01">
            <w:pPr>
              <w:spacing w:before="0" w:after="0"/>
              <w:jc w:val="right"/>
              <w:rPr>
                <w:sz w:val="12"/>
                <w:szCs w:val="12"/>
                <w:lang w:val="fr-BE"/>
              </w:rPr>
            </w:pPr>
          </w:p>
        </w:tc>
        <w:tc>
          <w:tcPr>
            <w:tcW w:w="0" w:type="auto"/>
            <w:shd w:val="clear" w:color="auto" w:fill="auto"/>
          </w:tcPr>
          <w:p w14:paraId="28C81BE8" w14:textId="77777777" w:rsidR="008C5CFA" w:rsidRPr="00BA47B4" w:rsidRDefault="008C5CFA" w:rsidP="00300A01">
            <w:pPr>
              <w:spacing w:before="0" w:after="0"/>
              <w:jc w:val="right"/>
              <w:rPr>
                <w:sz w:val="12"/>
                <w:szCs w:val="12"/>
                <w:lang w:val="fr-BE"/>
              </w:rPr>
            </w:pPr>
          </w:p>
        </w:tc>
        <w:tc>
          <w:tcPr>
            <w:tcW w:w="0" w:type="auto"/>
            <w:shd w:val="clear" w:color="auto" w:fill="auto"/>
          </w:tcPr>
          <w:p w14:paraId="1FE36089" w14:textId="77777777" w:rsidR="008C5CFA" w:rsidRPr="00BA47B4" w:rsidRDefault="008C5CFA" w:rsidP="00300A01">
            <w:pPr>
              <w:spacing w:before="0" w:after="0"/>
              <w:jc w:val="right"/>
              <w:rPr>
                <w:sz w:val="12"/>
                <w:szCs w:val="12"/>
                <w:lang w:val="fr-BE"/>
              </w:rPr>
            </w:pPr>
          </w:p>
        </w:tc>
        <w:tc>
          <w:tcPr>
            <w:tcW w:w="0" w:type="auto"/>
          </w:tcPr>
          <w:p w14:paraId="70FB25A8" w14:textId="77777777" w:rsidR="008C5CFA" w:rsidRPr="00A92B39" w:rsidRDefault="00E82A60" w:rsidP="00300A01">
            <w:pPr>
              <w:spacing w:before="0" w:after="0"/>
              <w:jc w:val="right"/>
              <w:rPr>
                <w:sz w:val="10"/>
                <w:szCs w:val="10"/>
                <w:lang w:val="fr-BE"/>
              </w:rPr>
            </w:pPr>
            <w:r w:rsidRPr="00A92B39">
              <w:rPr>
                <w:noProof/>
                <w:sz w:val="10"/>
                <w:szCs w:val="10"/>
                <w:lang w:val="fr-BE"/>
              </w:rPr>
              <w:t>202,00</w:t>
            </w:r>
          </w:p>
        </w:tc>
        <w:tc>
          <w:tcPr>
            <w:tcW w:w="0" w:type="auto"/>
            <w:shd w:val="clear" w:color="auto" w:fill="auto"/>
          </w:tcPr>
          <w:p w14:paraId="6DE09F94" w14:textId="77777777" w:rsidR="008C5CFA" w:rsidRPr="00A92B39" w:rsidRDefault="00E82A60" w:rsidP="00300A01">
            <w:pPr>
              <w:spacing w:before="0" w:after="0"/>
              <w:jc w:val="right"/>
              <w:rPr>
                <w:sz w:val="10"/>
                <w:szCs w:val="10"/>
                <w:lang w:val="fr-BE"/>
              </w:rPr>
            </w:pPr>
            <w:r w:rsidRPr="00A92B39">
              <w:rPr>
                <w:noProof/>
                <w:sz w:val="10"/>
                <w:szCs w:val="10"/>
                <w:lang w:val="fr-BE"/>
              </w:rPr>
              <w:t>126,00</w:t>
            </w:r>
          </w:p>
        </w:tc>
        <w:tc>
          <w:tcPr>
            <w:tcW w:w="0" w:type="auto"/>
            <w:shd w:val="clear" w:color="auto" w:fill="auto"/>
          </w:tcPr>
          <w:p w14:paraId="5D56F337" w14:textId="77777777" w:rsidR="008C5CFA" w:rsidRPr="00BA47B4" w:rsidRDefault="00E82A60" w:rsidP="00300A01">
            <w:pPr>
              <w:spacing w:before="0" w:after="0"/>
              <w:jc w:val="right"/>
              <w:rPr>
                <w:sz w:val="12"/>
                <w:szCs w:val="12"/>
                <w:lang w:val="fr-BE"/>
              </w:rPr>
            </w:pPr>
            <w:r w:rsidRPr="00A92B39">
              <w:rPr>
                <w:noProof/>
                <w:sz w:val="10"/>
                <w:szCs w:val="10"/>
                <w:lang w:val="fr-BE"/>
              </w:rPr>
              <w:t>76,00</w:t>
            </w:r>
          </w:p>
        </w:tc>
      </w:tr>
      <w:tr w:rsidR="006B2EC1" w14:paraId="10B24E15" w14:textId="77777777" w:rsidTr="0047688D">
        <w:tc>
          <w:tcPr>
            <w:tcW w:w="0" w:type="auto"/>
            <w:shd w:val="clear" w:color="auto" w:fill="auto"/>
          </w:tcPr>
          <w:p w14:paraId="5C4A202F" w14:textId="77777777" w:rsidR="008C5CFA" w:rsidRPr="00BA47B4" w:rsidRDefault="00E82A60" w:rsidP="00300A01">
            <w:pPr>
              <w:spacing w:before="0" w:after="0"/>
              <w:rPr>
                <w:sz w:val="12"/>
                <w:szCs w:val="12"/>
                <w:lang w:val="fr-BE"/>
              </w:rPr>
            </w:pPr>
            <w:r>
              <w:rPr>
                <w:noProof/>
                <w:sz w:val="12"/>
                <w:szCs w:val="12"/>
                <w:lang w:val="fr-BE"/>
              </w:rPr>
              <w:t>CO17</w:t>
            </w:r>
          </w:p>
        </w:tc>
        <w:tc>
          <w:tcPr>
            <w:tcW w:w="0" w:type="auto"/>
            <w:shd w:val="clear" w:color="auto" w:fill="auto"/>
          </w:tcPr>
          <w:p w14:paraId="22C1806B" w14:textId="77777777" w:rsidR="008C5CFA" w:rsidRPr="00BA47B4" w:rsidRDefault="00E82A60" w:rsidP="00300A01">
            <w:pPr>
              <w:spacing w:before="0" w:after="0"/>
              <w:rPr>
                <w:sz w:val="12"/>
                <w:szCs w:val="12"/>
                <w:lang w:val="fr-BE"/>
              </w:rPr>
            </w:pPr>
            <w:r>
              <w:rPr>
                <w:noProof/>
                <w:sz w:val="12"/>
                <w:szCs w:val="12"/>
                <w:lang w:val="fr-BE"/>
              </w:rPr>
              <w:t>inne osoby w niekorzystnej sytuacji społecznej</w:t>
            </w:r>
          </w:p>
        </w:tc>
        <w:tc>
          <w:tcPr>
            <w:tcW w:w="0" w:type="auto"/>
            <w:shd w:val="clear" w:color="auto" w:fill="auto"/>
          </w:tcPr>
          <w:p w14:paraId="74685E70" w14:textId="77777777" w:rsidR="008C5CFA" w:rsidRPr="00BA47B4" w:rsidRDefault="00E82A60"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14:paraId="62FBD929" w14:textId="77777777" w:rsidR="008C5CFA" w:rsidRPr="00BA47B4" w:rsidRDefault="008C5CFA" w:rsidP="00300A01">
            <w:pPr>
              <w:spacing w:before="0" w:after="0"/>
              <w:jc w:val="right"/>
              <w:rPr>
                <w:sz w:val="12"/>
                <w:szCs w:val="12"/>
                <w:lang w:val="fr-BE"/>
              </w:rPr>
            </w:pPr>
          </w:p>
        </w:tc>
        <w:tc>
          <w:tcPr>
            <w:tcW w:w="0" w:type="auto"/>
            <w:shd w:val="clear" w:color="auto" w:fill="auto"/>
          </w:tcPr>
          <w:p w14:paraId="72C6D814" w14:textId="77777777" w:rsidR="008C5CFA" w:rsidRPr="00BA47B4" w:rsidRDefault="008C5CFA" w:rsidP="00300A01">
            <w:pPr>
              <w:spacing w:before="0" w:after="0"/>
              <w:jc w:val="right"/>
              <w:rPr>
                <w:sz w:val="12"/>
                <w:szCs w:val="12"/>
                <w:lang w:val="fr-BE"/>
              </w:rPr>
            </w:pPr>
          </w:p>
        </w:tc>
        <w:tc>
          <w:tcPr>
            <w:tcW w:w="0" w:type="auto"/>
            <w:shd w:val="clear" w:color="auto" w:fill="auto"/>
          </w:tcPr>
          <w:p w14:paraId="515C5D78" w14:textId="77777777" w:rsidR="008C5CFA" w:rsidRPr="00BA47B4" w:rsidRDefault="008C5CFA" w:rsidP="00300A01">
            <w:pPr>
              <w:spacing w:before="0" w:after="0"/>
              <w:jc w:val="right"/>
              <w:rPr>
                <w:sz w:val="12"/>
                <w:szCs w:val="12"/>
                <w:lang w:val="fr-BE"/>
              </w:rPr>
            </w:pPr>
          </w:p>
        </w:tc>
        <w:tc>
          <w:tcPr>
            <w:tcW w:w="0" w:type="auto"/>
            <w:shd w:val="clear" w:color="auto" w:fill="auto"/>
          </w:tcPr>
          <w:p w14:paraId="5F7A9524" w14:textId="77777777" w:rsidR="008C5CFA" w:rsidRPr="00BA47B4" w:rsidRDefault="00E82A60" w:rsidP="00300A01">
            <w:pPr>
              <w:spacing w:before="0" w:after="0"/>
              <w:jc w:val="right"/>
              <w:rPr>
                <w:sz w:val="12"/>
                <w:szCs w:val="12"/>
                <w:lang w:val="fr-BE"/>
              </w:rPr>
            </w:pPr>
            <w:r w:rsidRPr="00BA47B4">
              <w:rPr>
                <w:noProof/>
                <w:sz w:val="12"/>
                <w:szCs w:val="12"/>
                <w:lang w:val="fr-BE"/>
              </w:rPr>
              <w:t>1 565,00</w:t>
            </w:r>
          </w:p>
        </w:tc>
        <w:tc>
          <w:tcPr>
            <w:tcW w:w="0" w:type="auto"/>
            <w:shd w:val="clear" w:color="auto" w:fill="auto"/>
          </w:tcPr>
          <w:p w14:paraId="7CB86A07" w14:textId="77777777" w:rsidR="008C5CFA" w:rsidRPr="00BA47B4" w:rsidRDefault="00E82A60" w:rsidP="00300A01">
            <w:pPr>
              <w:spacing w:before="0" w:after="0"/>
              <w:jc w:val="right"/>
              <w:rPr>
                <w:sz w:val="12"/>
                <w:szCs w:val="12"/>
                <w:lang w:val="fr-BE"/>
              </w:rPr>
            </w:pPr>
            <w:r w:rsidRPr="00BA47B4">
              <w:rPr>
                <w:noProof/>
                <w:sz w:val="12"/>
                <w:szCs w:val="12"/>
                <w:lang w:val="fr-BE"/>
              </w:rPr>
              <w:t>912,00</w:t>
            </w:r>
          </w:p>
        </w:tc>
        <w:tc>
          <w:tcPr>
            <w:tcW w:w="0" w:type="auto"/>
            <w:shd w:val="clear" w:color="auto" w:fill="auto"/>
          </w:tcPr>
          <w:p w14:paraId="49C89A95" w14:textId="77777777" w:rsidR="008C5CFA" w:rsidRPr="00BA47B4" w:rsidRDefault="00E82A60" w:rsidP="00300A01">
            <w:pPr>
              <w:spacing w:before="0" w:after="0"/>
              <w:jc w:val="right"/>
              <w:rPr>
                <w:sz w:val="12"/>
                <w:szCs w:val="12"/>
                <w:lang w:val="fr-BE"/>
              </w:rPr>
            </w:pPr>
            <w:r w:rsidRPr="00BA47B4">
              <w:rPr>
                <w:noProof/>
                <w:sz w:val="12"/>
                <w:szCs w:val="12"/>
                <w:lang w:val="fr-BE"/>
              </w:rPr>
              <w:t>653,00</w:t>
            </w:r>
          </w:p>
        </w:tc>
        <w:tc>
          <w:tcPr>
            <w:tcW w:w="0" w:type="auto"/>
            <w:shd w:val="clear" w:color="auto" w:fill="auto"/>
          </w:tcPr>
          <w:p w14:paraId="2FDF32B4" w14:textId="77777777" w:rsidR="008C5CFA" w:rsidRPr="00BA47B4" w:rsidRDefault="008C5CFA" w:rsidP="00300A01">
            <w:pPr>
              <w:spacing w:before="0" w:after="0"/>
              <w:jc w:val="right"/>
              <w:rPr>
                <w:sz w:val="12"/>
                <w:szCs w:val="12"/>
                <w:lang w:val="fr-BE"/>
              </w:rPr>
            </w:pPr>
          </w:p>
        </w:tc>
        <w:tc>
          <w:tcPr>
            <w:tcW w:w="0" w:type="auto"/>
            <w:shd w:val="clear" w:color="auto" w:fill="auto"/>
          </w:tcPr>
          <w:p w14:paraId="20A8DE70" w14:textId="77777777" w:rsidR="008C5CFA" w:rsidRPr="00BA47B4" w:rsidRDefault="008C5CFA" w:rsidP="00300A01">
            <w:pPr>
              <w:spacing w:before="0" w:after="0"/>
              <w:jc w:val="right"/>
              <w:rPr>
                <w:sz w:val="12"/>
                <w:szCs w:val="12"/>
                <w:lang w:val="fr-BE"/>
              </w:rPr>
            </w:pPr>
          </w:p>
        </w:tc>
        <w:tc>
          <w:tcPr>
            <w:tcW w:w="0" w:type="auto"/>
            <w:shd w:val="clear" w:color="auto" w:fill="auto"/>
          </w:tcPr>
          <w:p w14:paraId="096A2743" w14:textId="77777777" w:rsidR="008C5CFA" w:rsidRPr="00BA47B4" w:rsidRDefault="008C5CFA" w:rsidP="00300A01">
            <w:pPr>
              <w:spacing w:before="0" w:after="0"/>
              <w:jc w:val="right"/>
              <w:rPr>
                <w:sz w:val="12"/>
                <w:szCs w:val="12"/>
                <w:lang w:val="fr-BE"/>
              </w:rPr>
            </w:pPr>
          </w:p>
        </w:tc>
        <w:tc>
          <w:tcPr>
            <w:tcW w:w="0" w:type="auto"/>
          </w:tcPr>
          <w:p w14:paraId="4870EE23" w14:textId="77777777" w:rsidR="008C5CFA" w:rsidRPr="00A92B39" w:rsidRDefault="00E82A60" w:rsidP="00300A01">
            <w:pPr>
              <w:spacing w:before="0" w:after="0"/>
              <w:jc w:val="right"/>
              <w:rPr>
                <w:sz w:val="10"/>
                <w:szCs w:val="10"/>
                <w:lang w:val="fr-BE"/>
              </w:rPr>
            </w:pPr>
            <w:r w:rsidRPr="00A92B39">
              <w:rPr>
                <w:noProof/>
                <w:sz w:val="10"/>
                <w:szCs w:val="10"/>
                <w:lang w:val="fr-BE"/>
              </w:rPr>
              <w:t>534,00</w:t>
            </w:r>
          </w:p>
        </w:tc>
        <w:tc>
          <w:tcPr>
            <w:tcW w:w="0" w:type="auto"/>
            <w:shd w:val="clear" w:color="auto" w:fill="auto"/>
          </w:tcPr>
          <w:p w14:paraId="2F6C826B" w14:textId="77777777" w:rsidR="008C5CFA" w:rsidRPr="00A92B39" w:rsidRDefault="00E82A60" w:rsidP="00300A01">
            <w:pPr>
              <w:spacing w:before="0" w:after="0"/>
              <w:jc w:val="right"/>
              <w:rPr>
                <w:sz w:val="10"/>
                <w:szCs w:val="10"/>
                <w:lang w:val="fr-BE"/>
              </w:rPr>
            </w:pPr>
            <w:r w:rsidRPr="00A92B39">
              <w:rPr>
                <w:noProof/>
                <w:sz w:val="10"/>
                <w:szCs w:val="10"/>
                <w:lang w:val="fr-BE"/>
              </w:rPr>
              <w:t>286,00</w:t>
            </w:r>
          </w:p>
        </w:tc>
        <w:tc>
          <w:tcPr>
            <w:tcW w:w="0" w:type="auto"/>
            <w:shd w:val="clear" w:color="auto" w:fill="auto"/>
          </w:tcPr>
          <w:p w14:paraId="70D40435" w14:textId="77777777" w:rsidR="008C5CFA" w:rsidRPr="00BA47B4" w:rsidRDefault="00E82A60" w:rsidP="00300A01">
            <w:pPr>
              <w:spacing w:before="0" w:after="0"/>
              <w:jc w:val="right"/>
              <w:rPr>
                <w:sz w:val="12"/>
                <w:szCs w:val="12"/>
                <w:lang w:val="fr-BE"/>
              </w:rPr>
            </w:pPr>
            <w:r w:rsidRPr="00A92B39">
              <w:rPr>
                <w:noProof/>
                <w:sz w:val="10"/>
                <w:szCs w:val="10"/>
                <w:lang w:val="fr-BE"/>
              </w:rPr>
              <w:t>248,00</w:t>
            </w:r>
          </w:p>
        </w:tc>
      </w:tr>
      <w:tr w:rsidR="006B2EC1" w14:paraId="30E480A2" w14:textId="77777777" w:rsidTr="0047688D">
        <w:tc>
          <w:tcPr>
            <w:tcW w:w="0" w:type="auto"/>
            <w:shd w:val="clear" w:color="auto" w:fill="auto"/>
          </w:tcPr>
          <w:p w14:paraId="236A339A" w14:textId="77777777" w:rsidR="008C5CFA" w:rsidRPr="00BA47B4" w:rsidRDefault="00E82A60" w:rsidP="00300A01">
            <w:pPr>
              <w:spacing w:before="0" w:after="0"/>
              <w:rPr>
                <w:sz w:val="12"/>
                <w:szCs w:val="12"/>
                <w:lang w:val="fr-BE"/>
              </w:rPr>
            </w:pPr>
            <w:r>
              <w:rPr>
                <w:noProof/>
                <w:sz w:val="12"/>
                <w:szCs w:val="12"/>
                <w:lang w:val="fr-BE"/>
              </w:rPr>
              <w:t>CO18</w:t>
            </w:r>
          </w:p>
        </w:tc>
        <w:tc>
          <w:tcPr>
            <w:tcW w:w="0" w:type="auto"/>
            <w:shd w:val="clear" w:color="auto" w:fill="auto"/>
          </w:tcPr>
          <w:p w14:paraId="3C4A68B9" w14:textId="77777777" w:rsidR="008C5CFA" w:rsidRPr="00BA47B4" w:rsidRDefault="00E82A60" w:rsidP="00300A01">
            <w:pPr>
              <w:spacing w:before="0" w:after="0"/>
              <w:rPr>
                <w:sz w:val="12"/>
                <w:szCs w:val="12"/>
                <w:lang w:val="fr-BE"/>
              </w:rPr>
            </w:pPr>
            <w:r>
              <w:rPr>
                <w:noProof/>
                <w:sz w:val="12"/>
                <w:szCs w:val="12"/>
                <w:lang w:val="fr-BE"/>
              </w:rPr>
              <w:t>osoby bezdomne lub dotknięte wykluczeniem z dostępu do mieszkań</w:t>
            </w:r>
          </w:p>
        </w:tc>
        <w:tc>
          <w:tcPr>
            <w:tcW w:w="0" w:type="auto"/>
            <w:shd w:val="clear" w:color="auto" w:fill="auto"/>
          </w:tcPr>
          <w:p w14:paraId="0DA04984" w14:textId="77777777" w:rsidR="008C5CFA" w:rsidRPr="00BA47B4" w:rsidRDefault="00E82A60"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14:paraId="59310B4B" w14:textId="77777777" w:rsidR="008C5CFA" w:rsidRPr="00BA47B4" w:rsidRDefault="008C5CFA" w:rsidP="00300A01">
            <w:pPr>
              <w:spacing w:before="0" w:after="0"/>
              <w:jc w:val="right"/>
              <w:rPr>
                <w:sz w:val="12"/>
                <w:szCs w:val="12"/>
                <w:lang w:val="fr-BE"/>
              </w:rPr>
            </w:pPr>
          </w:p>
        </w:tc>
        <w:tc>
          <w:tcPr>
            <w:tcW w:w="0" w:type="auto"/>
            <w:shd w:val="clear" w:color="auto" w:fill="auto"/>
          </w:tcPr>
          <w:p w14:paraId="498B1AE1" w14:textId="77777777" w:rsidR="008C5CFA" w:rsidRPr="00BA47B4" w:rsidRDefault="008C5CFA" w:rsidP="00300A01">
            <w:pPr>
              <w:spacing w:before="0" w:after="0"/>
              <w:jc w:val="right"/>
              <w:rPr>
                <w:sz w:val="12"/>
                <w:szCs w:val="12"/>
                <w:lang w:val="fr-BE"/>
              </w:rPr>
            </w:pPr>
          </w:p>
        </w:tc>
        <w:tc>
          <w:tcPr>
            <w:tcW w:w="0" w:type="auto"/>
            <w:shd w:val="clear" w:color="auto" w:fill="auto"/>
          </w:tcPr>
          <w:p w14:paraId="78931362" w14:textId="77777777" w:rsidR="008C5CFA" w:rsidRPr="00BA47B4" w:rsidRDefault="008C5CFA" w:rsidP="00300A01">
            <w:pPr>
              <w:spacing w:before="0" w:after="0"/>
              <w:jc w:val="right"/>
              <w:rPr>
                <w:sz w:val="12"/>
                <w:szCs w:val="12"/>
                <w:lang w:val="fr-BE"/>
              </w:rPr>
            </w:pPr>
          </w:p>
        </w:tc>
        <w:tc>
          <w:tcPr>
            <w:tcW w:w="0" w:type="auto"/>
            <w:shd w:val="clear" w:color="auto" w:fill="auto"/>
          </w:tcPr>
          <w:p w14:paraId="3D5B9B26" w14:textId="77777777" w:rsidR="008C5CFA" w:rsidRPr="00BA47B4" w:rsidRDefault="00E82A60" w:rsidP="00300A01">
            <w:pPr>
              <w:spacing w:before="0" w:after="0"/>
              <w:jc w:val="right"/>
              <w:rPr>
                <w:sz w:val="12"/>
                <w:szCs w:val="12"/>
                <w:lang w:val="fr-BE"/>
              </w:rPr>
            </w:pPr>
            <w:r w:rsidRPr="00BA47B4">
              <w:rPr>
                <w:noProof/>
                <w:sz w:val="12"/>
                <w:szCs w:val="12"/>
                <w:lang w:val="fr-BE"/>
              </w:rPr>
              <w:t>8,00</w:t>
            </w:r>
          </w:p>
        </w:tc>
        <w:tc>
          <w:tcPr>
            <w:tcW w:w="0" w:type="auto"/>
            <w:shd w:val="clear" w:color="auto" w:fill="auto"/>
          </w:tcPr>
          <w:p w14:paraId="7E5BE714" w14:textId="77777777" w:rsidR="008C5CFA" w:rsidRPr="00BA47B4" w:rsidRDefault="00E82A60" w:rsidP="00300A01">
            <w:pPr>
              <w:spacing w:before="0" w:after="0"/>
              <w:jc w:val="right"/>
              <w:rPr>
                <w:sz w:val="12"/>
                <w:szCs w:val="12"/>
                <w:lang w:val="fr-BE"/>
              </w:rPr>
            </w:pPr>
            <w:r w:rsidRPr="00BA47B4">
              <w:rPr>
                <w:noProof/>
                <w:sz w:val="12"/>
                <w:szCs w:val="12"/>
                <w:lang w:val="fr-BE"/>
              </w:rPr>
              <w:t>5,00</w:t>
            </w:r>
          </w:p>
        </w:tc>
        <w:tc>
          <w:tcPr>
            <w:tcW w:w="0" w:type="auto"/>
            <w:shd w:val="clear" w:color="auto" w:fill="auto"/>
          </w:tcPr>
          <w:p w14:paraId="26BCE826" w14:textId="77777777" w:rsidR="008C5CFA" w:rsidRPr="00BA47B4" w:rsidRDefault="00E82A60" w:rsidP="00300A01">
            <w:pPr>
              <w:spacing w:before="0" w:after="0"/>
              <w:jc w:val="right"/>
              <w:rPr>
                <w:sz w:val="12"/>
                <w:szCs w:val="12"/>
                <w:lang w:val="fr-BE"/>
              </w:rPr>
            </w:pPr>
            <w:r w:rsidRPr="00BA47B4">
              <w:rPr>
                <w:noProof/>
                <w:sz w:val="12"/>
                <w:szCs w:val="12"/>
                <w:lang w:val="fr-BE"/>
              </w:rPr>
              <w:t>3,00</w:t>
            </w:r>
          </w:p>
        </w:tc>
        <w:tc>
          <w:tcPr>
            <w:tcW w:w="0" w:type="auto"/>
            <w:shd w:val="clear" w:color="auto" w:fill="auto"/>
          </w:tcPr>
          <w:p w14:paraId="3822B347" w14:textId="77777777" w:rsidR="008C5CFA" w:rsidRPr="00BA47B4" w:rsidRDefault="008C5CFA" w:rsidP="00300A01">
            <w:pPr>
              <w:spacing w:before="0" w:after="0"/>
              <w:jc w:val="right"/>
              <w:rPr>
                <w:sz w:val="12"/>
                <w:szCs w:val="12"/>
                <w:lang w:val="fr-BE"/>
              </w:rPr>
            </w:pPr>
          </w:p>
        </w:tc>
        <w:tc>
          <w:tcPr>
            <w:tcW w:w="0" w:type="auto"/>
            <w:shd w:val="clear" w:color="auto" w:fill="auto"/>
          </w:tcPr>
          <w:p w14:paraId="26446A7C" w14:textId="77777777" w:rsidR="008C5CFA" w:rsidRPr="00BA47B4" w:rsidRDefault="008C5CFA" w:rsidP="00300A01">
            <w:pPr>
              <w:spacing w:before="0" w:after="0"/>
              <w:jc w:val="right"/>
              <w:rPr>
                <w:sz w:val="12"/>
                <w:szCs w:val="12"/>
                <w:lang w:val="fr-BE"/>
              </w:rPr>
            </w:pPr>
          </w:p>
        </w:tc>
        <w:tc>
          <w:tcPr>
            <w:tcW w:w="0" w:type="auto"/>
            <w:shd w:val="clear" w:color="auto" w:fill="auto"/>
          </w:tcPr>
          <w:p w14:paraId="29B5D9A9" w14:textId="77777777" w:rsidR="008C5CFA" w:rsidRPr="00BA47B4" w:rsidRDefault="008C5CFA" w:rsidP="00300A01">
            <w:pPr>
              <w:spacing w:before="0" w:after="0"/>
              <w:jc w:val="right"/>
              <w:rPr>
                <w:sz w:val="12"/>
                <w:szCs w:val="12"/>
                <w:lang w:val="fr-BE"/>
              </w:rPr>
            </w:pPr>
          </w:p>
        </w:tc>
        <w:tc>
          <w:tcPr>
            <w:tcW w:w="0" w:type="auto"/>
          </w:tcPr>
          <w:p w14:paraId="406BEE3A" w14:textId="77777777" w:rsidR="008C5CFA" w:rsidRPr="00A92B39" w:rsidRDefault="00E82A60" w:rsidP="00300A01">
            <w:pPr>
              <w:spacing w:before="0" w:after="0"/>
              <w:jc w:val="right"/>
              <w:rPr>
                <w:sz w:val="10"/>
                <w:szCs w:val="10"/>
                <w:lang w:val="fr-BE"/>
              </w:rPr>
            </w:pPr>
            <w:r w:rsidRPr="00A92B39">
              <w:rPr>
                <w:noProof/>
                <w:sz w:val="10"/>
                <w:szCs w:val="10"/>
                <w:lang w:val="fr-BE"/>
              </w:rPr>
              <w:t>2,00</w:t>
            </w:r>
          </w:p>
        </w:tc>
        <w:tc>
          <w:tcPr>
            <w:tcW w:w="0" w:type="auto"/>
            <w:shd w:val="clear" w:color="auto" w:fill="auto"/>
          </w:tcPr>
          <w:p w14:paraId="079F0C01" w14:textId="77777777" w:rsidR="008C5CFA" w:rsidRPr="00A92B39" w:rsidRDefault="00E82A60" w:rsidP="00300A01">
            <w:pPr>
              <w:spacing w:before="0" w:after="0"/>
              <w:jc w:val="right"/>
              <w:rPr>
                <w:sz w:val="10"/>
                <w:szCs w:val="10"/>
                <w:lang w:val="fr-BE"/>
              </w:rPr>
            </w:pPr>
            <w:r w:rsidRPr="00A92B39">
              <w:rPr>
                <w:noProof/>
                <w:sz w:val="10"/>
                <w:szCs w:val="10"/>
                <w:lang w:val="fr-BE"/>
              </w:rPr>
              <w:t>2,00</w:t>
            </w:r>
          </w:p>
        </w:tc>
        <w:tc>
          <w:tcPr>
            <w:tcW w:w="0" w:type="auto"/>
            <w:shd w:val="clear" w:color="auto" w:fill="auto"/>
          </w:tcPr>
          <w:p w14:paraId="7B9C292C" w14:textId="77777777" w:rsidR="008C5CFA" w:rsidRPr="00BA47B4" w:rsidRDefault="00E82A60" w:rsidP="00300A01">
            <w:pPr>
              <w:spacing w:before="0" w:after="0"/>
              <w:jc w:val="right"/>
              <w:rPr>
                <w:sz w:val="12"/>
                <w:szCs w:val="12"/>
                <w:lang w:val="fr-BE"/>
              </w:rPr>
            </w:pPr>
            <w:r w:rsidRPr="00A92B39">
              <w:rPr>
                <w:noProof/>
                <w:sz w:val="10"/>
                <w:szCs w:val="10"/>
                <w:lang w:val="fr-BE"/>
              </w:rPr>
              <w:t>0,00</w:t>
            </w:r>
          </w:p>
        </w:tc>
      </w:tr>
      <w:tr w:rsidR="006B2EC1" w14:paraId="68903E7A" w14:textId="77777777" w:rsidTr="0047688D">
        <w:tc>
          <w:tcPr>
            <w:tcW w:w="0" w:type="auto"/>
            <w:shd w:val="clear" w:color="auto" w:fill="auto"/>
          </w:tcPr>
          <w:p w14:paraId="4927A63C" w14:textId="77777777" w:rsidR="008C5CFA" w:rsidRPr="00BA47B4" w:rsidRDefault="00E82A60" w:rsidP="00300A01">
            <w:pPr>
              <w:spacing w:before="0" w:after="0"/>
              <w:rPr>
                <w:sz w:val="12"/>
                <w:szCs w:val="12"/>
                <w:lang w:val="fr-BE"/>
              </w:rPr>
            </w:pPr>
            <w:r>
              <w:rPr>
                <w:noProof/>
                <w:sz w:val="12"/>
                <w:szCs w:val="12"/>
                <w:lang w:val="fr-BE"/>
              </w:rPr>
              <w:t>CO19</w:t>
            </w:r>
          </w:p>
        </w:tc>
        <w:tc>
          <w:tcPr>
            <w:tcW w:w="0" w:type="auto"/>
            <w:shd w:val="clear" w:color="auto" w:fill="auto"/>
          </w:tcPr>
          <w:p w14:paraId="11212E68" w14:textId="77777777" w:rsidR="008C5CFA" w:rsidRPr="00BA47B4" w:rsidRDefault="00E82A60" w:rsidP="00300A01">
            <w:pPr>
              <w:spacing w:before="0" w:after="0"/>
              <w:rPr>
                <w:sz w:val="12"/>
                <w:szCs w:val="12"/>
                <w:lang w:val="fr-BE"/>
              </w:rPr>
            </w:pPr>
            <w:r>
              <w:rPr>
                <w:noProof/>
                <w:sz w:val="12"/>
                <w:szCs w:val="12"/>
                <w:lang w:val="fr-BE"/>
              </w:rPr>
              <w:t>osoby pochodzące z obszarów wiejskich</w:t>
            </w:r>
          </w:p>
        </w:tc>
        <w:tc>
          <w:tcPr>
            <w:tcW w:w="0" w:type="auto"/>
            <w:shd w:val="clear" w:color="auto" w:fill="auto"/>
          </w:tcPr>
          <w:p w14:paraId="40FE00C1" w14:textId="77777777" w:rsidR="008C5CFA" w:rsidRPr="00BA47B4" w:rsidRDefault="00E82A60"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14:paraId="6B6FD60F" w14:textId="77777777" w:rsidR="008C5CFA" w:rsidRPr="00BA47B4" w:rsidRDefault="008C5CFA" w:rsidP="00300A01">
            <w:pPr>
              <w:spacing w:before="0" w:after="0"/>
              <w:jc w:val="right"/>
              <w:rPr>
                <w:sz w:val="12"/>
                <w:szCs w:val="12"/>
                <w:lang w:val="fr-BE"/>
              </w:rPr>
            </w:pPr>
          </w:p>
        </w:tc>
        <w:tc>
          <w:tcPr>
            <w:tcW w:w="0" w:type="auto"/>
            <w:shd w:val="clear" w:color="auto" w:fill="auto"/>
          </w:tcPr>
          <w:p w14:paraId="3C73F782" w14:textId="77777777" w:rsidR="008C5CFA" w:rsidRPr="00BA47B4" w:rsidRDefault="008C5CFA" w:rsidP="00300A01">
            <w:pPr>
              <w:spacing w:before="0" w:after="0"/>
              <w:jc w:val="right"/>
              <w:rPr>
                <w:sz w:val="12"/>
                <w:szCs w:val="12"/>
                <w:lang w:val="fr-BE"/>
              </w:rPr>
            </w:pPr>
          </w:p>
        </w:tc>
        <w:tc>
          <w:tcPr>
            <w:tcW w:w="0" w:type="auto"/>
            <w:shd w:val="clear" w:color="auto" w:fill="auto"/>
          </w:tcPr>
          <w:p w14:paraId="47EB0C05" w14:textId="77777777" w:rsidR="008C5CFA" w:rsidRPr="00BA47B4" w:rsidRDefault="008C5CFA" w:rsidP="00300A01">
            <w:pPr>
              <w:spacing w:before="0" w:after="0"/>
              <w:jc w:val="right"/>
              <w:rPr>
                <w:sz w:val="12"/>
                <w:szCs w:val="12"/>
                <w:lang w:val="fr-BE"/>
              </w:rPr>
            </w:pPr>
          </w:p>
        </w:tc>
        <w:tc>
          <w:tcPr>
            <w:tcW w:w="0" w:type="auto"/>
            <w:shd w:val="clear" w:color="auto" w:fill="auto"/>
          </w:tcPr>
          <w:p w14:paraId="1F38F4D5" w14:textId="77777777" w:rsidR="008C5CFA" w:rsidRPr="00BA47B4" w:rsidRDefault="00E82A60" w:rsidP="00300A01">
            <w:pPr>
              <w:spacing w:before="0" w:after="0"/>
              <w:jc w:val="right"/>
              <w:rPr>
                <w:sz w:val="12"/>
                <w:szCs w:val="12"/>
                <w:lang w:val="fr-BE"/>
              </w:rPr>
            </w:pPr>
            <w:r w:rsidRPr="00BA47B4">
              <w:rPr>
                <w:noProof/>
                <w:sz w:val="12"/>
                <w:szCs w:val="12"/>
                <w:lang w:val="fr-BE"/>
              </w:rPr>
              <w:t>7 539,00</w:t>
            </w:r>
          </w:p>
        </w:tc>
        <w:tc>
          <w:tcPr>
            <w:tcW w:w="0" w:type="auto"/>
            <w:shd w:val="clear" w:color="auto" w:fill="auto"/>
          </w:tcPr>
          <w:p w14:paraId="67156120" w14:textId="77777777" w:rsidR="008C5CFA" w:rsidRPr="00BA47B4" w:rsidRDefault="00E82A60" w:rsidP="00300A01">
            <w:pPr>
              <w:spacing w:before="0" w:after="0"/>
              <w:jc w:val="right"/>
              <w:rPr>
                <w:sz w:val="12"/>
                <w:szCs w:val="12"/>
                <w:lang w:val="fr-BE"/>
              </w:rPr>
            </w:pPr>
            <w:r w:rsidRPr="00BA47B4">
              <w:rPr>
                <w:noProof/>
                <w:sz w:val="12"/>
                <w:szCs w:val="12"/>
                <w:lang w:val="fr-BE"/>
              </w:rPr>
              <w:t>4 169,00</w:t>
            </w:r>
          </w:p>
        </w:tc>
        <w:tc>
          <w:tcPr>
            <w:tcW w:w="0" w:type="auto"/>
            <w:shd w:val="clear" w:color="auto" w:fill="auto"/>
          </w:tcPr>
          <w:p w14:paraId="3A3BE8FC" w14:textId="77777777" w:rsidR="008C5CFA" w:rsidRPr="00BA47B4" w:rsidRDefault="00E82A60" w:rsidP="00300A01">
            <w:pPr>
              <w:spacing w:before="0" w:after="0"/>
              <w:jc w:val="right"/>
              <w:rPr>
                <w:sz w:val="12"/>
                <w:szCs w:val="12"/>
                <w:lang w:val="fr-BE"/>
              </w:rPr>
            </w:pPr>
            <w:r w:rsidRPr="00BA47B4">
              <w:rPr>
                <w:noProof/>
                <w:sz w:val="12"/>
                <w:szCs w:val="12"/>
                <w:lang w:val="fr-BE"/>
              </w:rPr>
              <w:t>3 370,00</w:t>
            </w:r>
          </w:p>
        </w:tc>
        <w:tc>
          <w:tcPr>
            <w:tcW w:w="0" w:type="auto"/>
            <w:shd w:val="clear" w:color="auto" w:fill="auto"/>
          </w:tcPr>
          <w:p w14:paraId="2765D5A7" w14:textId="77777777" w:rsidR="008C5CFA" w:rsidRPr="00BA47B4" w:rsidRDefault="008C5CFA" w:rsidP="00300A01">
            <w:pPr>
              <w:spacing w:before="0" w:after="0"/>
              <w:jc w:val="right"/>
              <w:rPr>
                <w:sz w:val="12"/>
                <w:szCs w:val="12"/>
                <w:lang w:val="fr-BE"/>
              </w:rPr>
            </w:pPr>
          </w:p>
        </w:tc>
        <w:tc>
          <w:tcPr>
            <w:tcW w:w="0" w:type="auto"/>
            <w:shd w:val="clear" w:color="auto" w:fill="auto"/>
          </w:tcPr>
          <w:p w14:paraId="08C233CC" w14:textId="77777777" w:rsidR="008C5CFA" w:rsidRPr="00BA47B4" w:rsidRDefault="008C5CFA" w:rsidP="00300A01">
            <w:pPr>
              <w:spacing w:before="0" w:after="0"/>
              <w:jc w:val="right"/>
              <w:rPr>
                <w:sz w:val="12"/>
                <w:szCs w:val="12"/>
                <w:lang w:val="fr-BE"/>
              </w:rPr>
            </w:pPr>
          </w:p>
        </w:tc>
        <w:tc>
          <w:tcPr>
            <w:tcW w:w="0" w:type="auto"/>
            <w:shd w:val="clear" w:color="auto" w:fill="auto"/>
          </w:tcPr>
          <w:p w14:paraId="1D49E191" w14:textId="77777777" w:rsidR="008C5CFA" w:rsidRPr="00BA47B4" w:rsidRDefault="008C5CFA" w:rsidP="00300A01">
            <w:pPr>
              <w:spacing w:before="0" w:after="0"/>
              <w:jc w:val="right"/>
              <w:rPr>
                <w:sz w:val="12"/>
                <w:szCs w:val="12"/>
                <w:lang w:val="fr-BE"/>
              </w:rPr>
            </w:pPr>
          </w:p>
        </w:tc>
        <w:tc>
          <w:tcPr>
            <w:tcW w:w="0" w:type="auto"/>
          </w:tcPr>
          <w:p w14:paraId="365F43F4" w14:textId="77777777" w:rsidR="008C5CFA" w:rsidRPr="00A92B39" w:rsidRDefault="00E82A60" w:rsidP="00300A01">
            <w:pPr>
              <w:spacing w:before="0" w:after="0"/>
              <w:jc w:val="right"/>
              <w:rPr>
                <w:sz w:val="10"/>
                <w:szCs w:val="10"/>
                <w:lang w:val="fr-BE"/>
              </w:rPr>
            </w:pPr>
            <w:r w:rsidRPr="00A92B39">
              <w:rPr>
                <w:noProof/>
                <w:sz w:val="10"/>
                <w:szCs w:val="10"/>
                <w:lang w:val="fr-BE"/>
              </w:rPr>
              <w:t>1 724,00</w:t>
            </w:r>
          </w:p>
        </w:tc>
        <w:tc>
          <w:tcPr>
            <w:tcW w:w="0" w:type="auto"/>
            <w:shd w:val="clear" w:color="auto" w:fill="auto"/>
          </w:tcPr>
          <w:p w14:paraId="7FBEBE08" w14:textId="77777777" w:rsidR="008C5CFA" w:rsidRPr="00A92B39" w:rsidRDefault="00E82A60" w:rsidP="00300A01">
            <w:pPr>
              <w:spacing w:before="0" w:after="0"/>
              <w:jc w:val="right"/>
              <w:rPr>
                <w:sz w:val="10"/>
                <w:szCs w:val="10"/>
                <w:lang w:val="fr-BE"/>
              </w:rPr>
            </w:pPr>
            <w:r w:rsidRPr="00A92B39">
              <w:rPr>
                <w:noProof/>
                <w:sz w:val="10"/>
                <w:szCs w:val="10"/>
                <w:lang w:val="fr-BE"/>
              </w:rPr>
              <w:t>975,00</w:t>
            </w:r>
          </w:p>
        </w:tc>
        <w:tc>
          <w:tcPr>
            <w:tcW w:w="0" w:type="auto"/>
            <w:shd w:val="clear" w:color="auto" w:fill="auto"/>
          </w:tcPr>
          <w:p w14:paraId="538D234E" w14:textId="77777777" w:rsidR="008C5CFA" w:rsidRPr="00BA47B4" w:rsidRDefault="00E82A60" w:rsidP="00300A01">
            <w:pPr>
              <w:spacing w:before="0" w:after="0"/>
              <w:jc w:val="right"/>
              <w:rPr>
                <w:sz w:val="12"/>
                <w:szCs w:val="12"/>
                <w:lang w:val="fr-BE"/>
              </w:rPr>
            </w:pPr>
            <w:r w:rsidRPr="00A92B39">
              <w:rPr>
                <w:noProof/>
                <w:sz w:val="10"/>
                <w:szCs w:val="10"/>
                <w:lang w:val="fr-BE"/>
              </w:rPr>
              <w:t>749,00</w:t>
            </w:r>
          </w:p>
        </w:tc>
      </w:tr>
      <w:tr w:rsidR="006B2EC1" w14:paraId="06F4334F" w14:textId="77777777" w:rsidTr="0047688D">
        <w:tc>
          <w:tcPr>
            <w:tcW w:w="0" w:type="auto"/>
            <w:shd w:val="clear" w:color="auto" w:fill="auto"/>
          </w:tcPr>
          <w:p w14:paraId="00B9B1AE" w14:textId="77777777" w:rsidR="008C5CFA" w:rsidRPr="00BA47B4" w:rsidRDefault="00E82A60" w:rsidP="00300A01">
            <w:pPr>
              <w:spacing w:before="0" w:after="0"/>
              <w:rPr>
                <w:sz w:val="12"/>
                <w:szCs w:val="12"/>
                <w:lang w:val="fr-BE"/>
              </w:rPr>
            </w:pPr>
            <w:r>
              <w:rPr>
                <w:noProof/>
                <w:sz w:val="12"/>
                <w:szCs w:val="12"/>
                <w:lang w:val="fr-BE"/>
              </w:rPr>
              <w:t>CO20</w:t>
            </w:r>
          </w:p>
        </w:tc>
        <w:tc>
          <w:tcPr>
            <w:tcW w:w="0" w:type="auto"/>
            <w:shd w:val="clear" w:color="auto" w:fill="auto"/>
          </w:tcPr>
          <w:p w14:paraId="6EE20E24" w14:textId="77777777" w:rsidR="008C5CFA" w:rsidRPr="00BA47B4" w:rsidRDefault="00E82A60" w:rsidP="00300A01">
            <w:pPr>
              <w:spacing w:before="0" w:after="0"/>
              <w:rPr>
                <w:sz w:val="12"/>
                <w:szCs w:val="12"/>
                <w:lang w:val="fr-BE"/>
              </w:rPr>
            </w:pPr>
            <w:r>
              <w:rPr>
                <w:noProof/>
                <w:sz w:val="12"/>
                <w:szCs w:val="12"/>
                <w:lang w:val="fr-BE"/>
              </w:rPr>
              <w:t>liczba projektów zrealizowanych w pełni lub częściowo przez partnerów społecznych lub organizacje pozarządowe</w:t>
            </w:r>
          </w:p>
        </w:tc>
        <w:tc>
          <w:tcPr>
            <w:tcW w:w="0" w:type="auto"/>
            <w:shd w:val="clear" w:color="auto" w:fill="auto"/>
          </w:tcPr>
          <w:p w14:paraId="7145622E" w14:textId="77777777" w:rsidR="008C5CFA" w:rsidRPr="00BA47B4" w:rsidRDefault="00E82A60"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14:paraId="0DD461B2" w14:textId="77777777" w:rsidR="008C5CFA" w:rsidRPr="00BA47B4" w:rsidRDefault="008C5CFA" w:rsidP="00300A01">
            <w:pPr>
              <w:spacing w:before="0" w:after="0"/>
              <w:jc w:val="right"/>
              <w:rPr>
                <w:sz w:val="12"/>
                <w:szCs w:val="12"/>
                <w:lang w:val="fr-BE"/>
              </w:rPr>
            </w:pPr>
          </w:p>
        </w:tc>
        <w:tc>
          <w:tcPr>
            <w:tcW w:w="0" w:type="auto"/>
            <w:shd w:val="clear" w:color="auto" w:fill="auto"/>
          </w:tcPr>
          <w:p w14:paraId="27B49B32" w14:textId="77777777" w:rsidR="008C5CFA" w:rsidRPr="00BA47B4" w:rsidRDefault="008C5CFA" w:rsidP="00300A01">
            <w:pPr>
              <w:spacing w:before="0" w:after="0"/>
              <w:jc w:val="right"/>
              <w:rPr>
                <w:sz w:val="12"/>
                <w:szCs w:val="12"/>
                <w:lang w:val="fr-BE"/>
              </w:rPr>
            </w:pPr>
          </w:p>
        </w:tc>
        <w:tc>
          <w:tcPr>
            <w:tcW w:w="0" w:type="auto"/>
            <w:shd w:val="clear" w:color="auto" w:fill="auto"/>
          </w:tcPr>
          <w:p w14:paraId="56B2831D" w14:textId="77777777" w:rsidR="008C5CFA" w:rsidRPr="00BA47B4" w:rsidRDefault="008C5CFA" w:rsidP="00300A01">
            <w:pPr>
              <w:spacing w:before="0" w:after="0"/>
              <w:jc w:val="right"/>
              <w:rPr>
                <w:sz w:val="12"/>
                <w:szCs w:val="12"/>
                <w:lang w:val="fr-BE"/>
              </w:rPr>
            </w:pPr>
          </w:p>
        </w:tc>
        <w:tc>
          <w:tcPr>
            <w:tcW w:w="0" w:type="auto"/>
            <w:shd w:val="clear" w:color="auto" w:fill="auto"/>
          </w:tcPr>
          <w:p w14:paraId="195CC0FC" w14:textId="77777777" w:rsidR="008C5CFA" w:rsidRPr="00BA47B4" w:rsidRDefault="00E82A60" w:rsidP="00300A01">
            <w:pPr>
              <w:spacing w:before="0" w:after="0"/>
              <w:jc w:val="right"/>
              <w:rPr>
                <w:sz w:val="12"/>
                <w:szCs w:val="12"/>
                <w:lang w:val="fr-BE"/>
              </w:rPr>
            </w:pPr>
            <w:r w:rsidRPr="00BA47B4">
              <w:rPr>
                <w:noProof/>
                <w:sz w:val="12"/>
                <w:szCs w:val="12"/>
                <w:lang w:val="fr-BE"/>
              </w:rPr>
              <w:t>10,00</w:t>
            </w:r>
          </w:p>
        </w:tc>
        <w:tc>
          <w:tcPr>
            <w:tcW w:w="0" w:type="auto"/>
            <w:shd w:val="clear" w:color="auto" w:fill="auto"/>
          </w:tcPr>
          <w:p w14:paraId="16644809" w14:textId="77777777" w:rsidR="008C5CFA" w:rsidRPr="00BA47B4" w:rsidRDefault="008C5CFA" w:rsidP="00300A01">
            <w:pPr>
              <w:spacing w:before="0" w:after="0"/>
              <w:jc w:val="right"/>
              <w:rPr>
                <w:sz w:val="12"/>
                <w:szCs w:val="12"/>
                <w:lang w:val="fr-BE"/>
              </w:rPr>
            </w:pPr>
          </w:p>
        </w:tc>
        <w:tc>
          <w:tcPr>
            <w:tcW w:w="0" w:type="auto"/>
            <w:shd w:val="clear" w:color="auto" w:fill="auto"/>
          </w:tcPr>
          <w:p w14:paraId="202C357F" w14:textId="77777777" w:rsidR="008C5CFA" w:rsidRPr="00BA47B4" w:rsidRDefault="008C5CFA" w:rsidP="00300A01">
            <w:pPr>
              <w:spacing w:before="0" w:after="0"/>
              <w:jc w:val="right"/>
              <w:rPr>
                <w:sz w:val="12"/>
                <w:szCs w:val="12"/>
                <w:lang w:val="fr-BE"/>
              </w:rPr>
            </w:pPr>
          </w:p>
        </w:tc>
        <w:tc>
          <w:tcPr>
            <w:tcW w:w="0" w:type="auto"/>
            <w:shd w:val="clear" w:color="auto" w:fill="auto"/>
          </w:tcPr>
          <w:p w14:paraId="5B0D13C4" w14:textId="77777777" w:rsidR="008C5CFA" w:rsidRPr="00BA47B4" w:rsidRDefault="008C5CFA" w:rsidP="00300A01">
            <w:pPr>
              <w:spacing w:before="0" w:after="0"/>
              <w:jc w:val="right"/>
              <w:rPr>
                <w:sz w:val="12"/>
                <w:szCs w:val="12"/>
                <w:lang w:val="fr-BE"/>
              </w:rPr>
            </w:pPr>
          </w:p>
        </w:tc>
        <w:tc>
          <w:tcPr>
            <w:tcW w:w="0" w:type="auto"/>
            <w:shd w:val="clear" w:color="auto" w:fill="auto"/>
          </w:tcPr>
          <w:p w14:paraId="1FBC1CBF" w14:textId="77777777" w:rsidR="008C5CFA" w:rsidRPr="00BA47B4" w:rsidRDefault="008C5CFA" w:rsidP="00300A01">
            <w:pPr>
              <w:spacing w:before="0" w:after="0"/>
              <w:jc w:val="right"/>
              <w:rPr>
                <w:sz w:val="12"/>
                <w:szCs w:val="12"/>
                <w:lang w:val="fr-BE"/>
              </w:rPr>
            </w:pPr>
          </w:p>
        </w:tc>
        <w:tc>
          <w:tcPr>
            <w:tcW w:w="0" w:type="auto"/>
            <w:shd w:val="clear" w:color="auto" w:fill="auto"/>
          </w:tcPr>
          <w:p w14:paraId="0EA79D5D" w14:textId="77777777" w:rsidR="008C5CFA" w:rsidRPr="00BA47B4" w:rsidRDefault="008C5CFA" w:rsidP="00300A01">
            <w:pPr>
              <w:spacing w:before="0" w:after="0"/>
              <w:jc w:val="right"/>
              <w:rPr>
                <w:sz w:val="12"/>
                <w:szCs w:val="12"/>
                <w:lang w:val="fr-BE"/>
              </w:rPr>
            </w:pPr>
          </w:p>
        </w:tc>
        <w:tc>
          <w:tcPr>
            <w:tcW w:w="0" w:type="auto"/>
          </w:tcPr>
          <w:p w14:paraId="4F4CA152" w14:textId="77777777" w:rsidR="008C5CFA" w:rsidRPr="00A92B39" w:rsidRDefault="00E82A60" w:rsidP="00300A01">
            <w:pPr>
              <w:spacing w:before="0" w:after="0"/>
              <w:jc w:val="right"/>
              <w:rPr>
                <w:sz w:val="10"/>
                <w:szCs w:val="10"/>
                <w:lang w:val="fr-BE"/>
              </w:rPr>
            </w:pPr>
            <w:r w:rsidRPr="00A92B39">
              <w:rPr>
                <w:noProof/>
                <w:sz w:val="10"/>
                <w:szCs w:val="10"/>
                <w:lang w:val="fr-BE"/>
              </w:rPr>
              <w:t>2,00</w:t>
            </w:r>
          </w:p>
        </w:tc>
        <w:tc>
          <w:tcPr>
            <w:tcW w:w="0" w:type="auto"/>
            <w:shd w:val="clear" w:color="auto" w:fill="auto"/>
          </w:tcPr>
          <w:p w14:paraId="49D5AAE5" w14:textId="77777777" w:rsidR="008C5CFA" w:rsidRPr="00A92B39" w:rsidRDefault="008C5CFA" w:rsidP="00300A01">
            <w:pPr>
              <w:spacing w:before="0" w:after="0"/>
              <w:jc w:val="right"/>
              <w:rPr>
                <w:sz w:val="10"/>
                <w:szCs w:val="10"/>
                <w:lang w:val="fr-BE"/>
              </w:rPr>
            </w:pPr>
          </w:p>
        </w:tc>
        <w:tc>
          <w:tcPr>
            <w:tcW w:w="0" w:type="auto"/>
            <w:shd w:val="clear" w:color="auto" w:fill="auto"/>
          </w:tcPr>
          <w:p w14:paraId="2509E072" w14:textId="77777777" w:rsidR="008C5CFA" w:rsidRPr="00BA47B4" w:rsidRDefault="008C5CFA" w:rsidP="00300A01">
            <w:pPr>
              <w:spacing w:before="0" w:after="0"/>
              <w:jc w:val="right"/>
              <w:rPr>
                <w:sz w:val="12"/>
                <w:szCs w:val="12"/>
                <w:lang w:val="fr-BE"/>
              </w:rPr>
            </w:pPr>
          </w:p>
        </w:tc>
      </w:tr>
      <w:tr w:rsidR="006B2EC1" w14:paraId="5D4D7D0F" w14:textId="77777777" w:rsidTr="0047688D">
        <w:tc>
          <w:tcPr>
            <w:tcW w:w="0" w:type="auto"/>
            <w:shd w:val="clear" w:color="auto" w:fill="auto"/>
          </w:tcPr>
          <w:p w14:paraId="61611286" w14:textId="77777777" w:rsidR="008C5CFA" w:rsidRPr="00BA47B4" w:rsidRDefault="00E82A60" w:rsidP="00300A01">
            <w:pPr>
              <w:spacing w:before="0" w:after="0"/>
              <w:rPr>
                <w:sz w:val="12"/>
                <w:szCs w:val="12"/>
                <w:lang w:val="fr-BE"/>
              </w:rPr>
            </w:pPr>
            <w:r>
              <w:rPr>
                <w:noProof/>
                <w:sz w:val="12"/>
                <w:szCs w:val="12"/>
                <w:lang w:val="fr-BE"/>
              </w:rPr>
              <w:t>CO21</w:t>
            </w:r>
          </w:p>
        </w:tc>
        <w:tc>
          <w:tcPr>
            <w:tcW w:w="0" w:type="auto"/>
            <w:shd w:val="clear" w:color="auto" w:fill="auto"/>
          </w:tcPr>
          <w:p w14:paraId="64107AB1" w14:textId="77777777" w:rsidR="008C5CFA" w:rsidRPr="00BA47B4" w:rsidRDefault="00E82A60" w:rsidP="00300A01">
            <w:pPr>
              <w:spacing w:before="0" w:after="0"/>
              <w:rPr>
                <w:sz w:val="12"/>
                <w:szCs w:val="12"/>
                <w:lang w:val="fr-BE"/>
              </w:rPr>
            </w:pPr>
            <w:r>
              <w:rPr>
                <w:noProof/>
                <w:sz w:val="12"/>
                <w:szCs w:val="12"/>
                <w:lang w:val="fr-BE"/>
              </w:rPr>
              <w:t>liczba projektów ukierunkowanych na trwały udział kobiet w zatrudnieniu i rozwój ich kariery zawodowej</w:t>
            </w:r>
          </w:p>
        </w:tc>
        <w:tc>
          <w:tcPr>
            <w:tcW w:w="0" w:type="auto"/>
            <w:shd w:val="clear" w:color="auto" w:fill="auto"/>
          </w:tcPr>
          <w:p w14:paraId="673FB43C" w14:textId="77777777" w:rsidR="008C5CFA" w:rsidRPr="00BA47B4" w:rsidRDefault="00E82A60"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14:paraId="11F25D22" w14:textId="77777777" w:rsidR="008C5CFA" w:rsidRPr="00BA47B4" w:rsidRDefault="008C5CFA" w:rsidP="00300A01">
            <w:pPr>
              <w:spacing w:before="0" w:after="0"/>
              <w:jc w:val="right"/>
              <w:rPr>
                <w:sz w:val="12"/>
                <w:szCs w:val="12"/>
                <w:lang w:val="fr-BE"/>
              </w:rPr>
            </w:pPr>
          </w:p>
        </w:tc>
        <w:tc>
          <w:tcPr>
            <w:tcW w:w="0" w:type="auto"/>
            <w:shd w:val="clear" w:color="auto" w:fill="auto"/>
          </w:tcPr>
          <w:p w14:paraId="19EB9415" w14:textId="77777777" w:rsidR="008C5CFA" w:rsidRPr="00BA47B4" w:rsidRDefault="008C5CFA" w:rsidP="00300A01">
            <w:pPr>
              <w:spacing w:before="0" w:after="0"/>
              <w:jc w:val="right"/>
              <w:rPr>
                <w:sz w:val="12"/>
                <w:szCs w:val="12"/>
                <w:lang w:val="fr-BE"/>
              </w:rPr>
            </w:pPr>
          </w:p>
        </w:tc>
        <w:tc>
          <w:tcPr>
            <w:tcW w:w="0" w:type="auto"/>
            <w:shd w:val="clear" w:color="auto" w:fill="auto"/>
          </w:tcPr>
          <w:p w14:paraId="7D9C9BFA" w14:textId="77777777" w:rsidR="008C5CFA" w:rsidRPr="00BA47B4" w:rsidRDefault="008C5CFA" w:rsidP="00300A01">
            <w:pPr>
              <w:spacing w:before="0" w:after="0"/>
              <w:jc w:val="right"/>
              <w:rPr>
                <w:sz w:val="12"/>
                <w:szCs w:val="12"/>
                <w:lang w:val="fr-BE"/>
              </w:rPr>
            </w:pPr>
          </w:p>
        </w:tc>
        <w:tc>
          <w:tcPr>
            <w:tcW w:w="0" w:type="auto"/>
            <w:shd w:val="clear" w:color="auto" w:fill="auto"/>
          </w:tcPr>
          <w:p w14:paraId="7C18C86B" w14:textId="77777777" w:rsidR="008C5CFA" w:rsidRPr="00BA47B4" w:rsidRDefault="00E82A60" w:rsidP="00300A01">
            <w:pPr>
              <w:spacing w:before="0" w:after="0"/>
              <w:jc w:val="right"/>
              <w:rPr>
                <w:sz w:val="12"/>
                <w:szCs w:val="12"/>
                <w:lang w:val="fr-BE"/>
              </w:rPr>
            </w:pPr>
            <w:r w:rsidRPr="00BA47B4">
              <w:rPr>
                <w:noProof/>
                <w:sz w:val="12"/>
                <w:szCs w:val="12"/>
                <w:lang w:val="fr-BE"/>
              </w:rPr>
              <w:t>1,00</w:t>
            </w:r>
          </w:p>
        </w:tc>
        <w:tc>
          <w:tcPr>
            <w:tcW w:w="0" w:type="auto"/>
            <w:shd w:val="clear" w:color="auto" w:fill="auto"/>
          </w:tcPr>
          <w:p w14:paraId="5DCDA1C9" w14:textId="77777777" w:rsidR="008C5CFA" w:rsidRPr="00BA47B4" w:rsidRDefault="008C5CFA" w:rsidP="00300A01">
            <w:pPr>
              <w:spacing w:before="0" w:after="0"/>
              <w:jc w:val="right"/>
              <w:rPr>
                <w:sz w:val="12"/>
                <w:szCs w:val="12"/>
                <w:lang w:val="fr-BE"/>
              </w:rPr>
            </w:pPr>
          </w:p>
        </w:tc>
        <w:tc>
          <w:tcPr>
            <w:tcW w:w="0" w:type="auto"/>
            <w:shd w:val="clear" w:color="auto" w:fill="auto"/>
          </w:tcPr>
          <w:p w14:paraId="34C49208" w14:textId="77777777" w:rsidR="008C5CFA" w:rsidRPr="00BA47B4" w:rsidRDefault="008C5CFA" w:rsidP="00300A01">
            <w:pPr>
              <w:spacing w:before="0" w:after="0"/>
              <w:jc w:val="right"/>
              <w:rPr>
                <w:sz w:val="12"/>
                <w:szCs w:val="12"/>
                <w:lang w:val="fr-BE"/>
              </w:rPr>
            </w:pPr>
          </w:p>
        </w:tc>
        <w:tc>
          <w:tcPr>
            <w:tcW w:w="0" w:type="auto"/>
            <w:shd w:val="clear" w:color="auto" w:fill="auto"/>
          </w:tcPr>
          <w:p w14:paraId="742319F7" w14:textId="77777777" w:rsidR="008C5CFA" w:rsidRPr="00BA47B4" w:rsidRDefault="008C5CFA" w:rsidP="00300A01">
            <w:pPr>
              <w:spacing w:before="0" w:after="0"/>
              <w:jc w:val="right"/>
              <w:rPr>
                <w:sz w:val="12"/>
                <w:szCs w:val="12"/>
                <w:lang w:val="fr-BE"/>
              </w:rPr>
            </w:pPr>
          </w:p>
        </w:tc>
        <w:tc>
          <w:tcPr>
            <w:tcW w:w="0" w:type="auto"/>
            <w:shd w:val="clear" w:color="auto" w:fill="auto"/>
          </w:tcPr>
          <w:p w14:paraId="01A80980" w14:textId="77777777" w:rsidR="008C5CFA" w:rsidRPr="00BA47B4" w:rsidRDefault="008C5CFA" w:rsidP="00300A01">
            <w:pPr>
              <w:spacing w:before="0" w:after="0"/>
              <w:jc w:val="right"/>
              <w:rPr>
                <w:sz w:val="12"/>
                <w:szCs w:val="12"/>
                <w:lang w:val="fr-BE"/>
              </w:rPr>
            </w:pPr>
          </w:p>
        </w:tc>
        <w:tc>
          <w:tcPr>
            <w:tcW w:w="0" w:type="auto"/>
            <w:shd w:val="clear" w:color="auto" w:fill="auto"/>
          </w:tcPr>
          <w:p w14:paraId="26813537" w14:textId="77777777" w:rsidR="008C5CFA" w:rsidRPr="00BA47B4" w:rsidRDefault="008C5CFA" w:rsidP="00300A01">
            <w:pPr>
              <w:spacing w:before="0" w:after="0"/>
              <w:jc w:val="right"/>
              <w:rPr>
                <w:sz w:val="12"/>
                <w:szCs w:val="12"/>
                <w:lang w:val="fr-BE"/>
              </w:rPr>
            </w:pPr>
          </w:p>
        </w:tc>
        <w:tc>
          <w:tcPr>
            <w:tcW w:w="0" w:type="auto"/>
          </w:tcPr>
          <w:p w14:paraId="45E33DEC"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14:paraId="39CB5BE4" w14:textId="77777777" w:rsidR="008C5CFA" w:rsidRPr="00A92B39" w:rsidRDefault="008C5CFA" w:rsidP="00300A01">
            <w:pPr>
              <w:spacing w:before="0" w:after="0"/>
              <w:jc w:val="right"/>
              <w:rPr>
                <w:sz w:val="10"/>
                <w:szCs w:val="10"/>
                <w:lang w:val="fr-BE"/>
              </w:rPr>
            </w:pPr>
          </w:p>
        </w:tc>
        <w:tc>
          <w:tcPr>
            <w:tcW w:w="0" w:type="auto"/>
            <w:shd w:val="clear" w:color="auto" w:fill="auto"/>
          </w:tcPr>
          <w:p w14:paraId="49911132" w14:textId="77777777" w:rsidR="008C5CFA" w:rsidRPr="00BA47B4" w:rsidRDefault="008C5CFA" w:rsidP="00300A01">
            <w:pPr>
              <w:spacing w:before="0" w:after="0"/>
              <w:jc w:val="right"/>
              <w:rPr>
                <w:sz w:val="12"/>
                <w:szCs w:val="12"/>
                <w:lang w:val="fr-BE"/>
              </w:rPr>
            </w:pPr>
          </w:p>
        </w:tc>
      </w:tr>
      <w:tr w:rsidR="006B2EC1" w14:paraId="1D32CF62" w14:textId="77777777" w:rsidTr="0047688D">
        <w:tc>
          <w:tcPr>
            <w:tcW w:w="0" w:type="auto"/>
            <w:shd w:val="clear" w:color="auto" w:fill="auto"/>
          </w:tcPr>
          <w:p w14:paraId="00C396BF" w14:textId="77777777" w:rsidR="008C5CFA" w:rsidRPr="00BA47B4" w:rsidRDefault="00E82A60" w:rsidP="00300A01">
            <w:pPr>
              <w:spacing w:before="0" w:after="0"/>
              <w:rPr>
                <w:sz w:val="12"/>
                <w:szCs w:val="12"/>
                <w:lang w:val="fr-BE"/>
              </w:rPr>
            </w:pPr>
            <w:r>
              <w:rPr>
                <w:noProof/>
                <w:sz w:val="12"/>
                <w:szCs w:val="12"/>
                <w:lang w:val="fr-BE"/>
              </w:rPr>
              <w:t>CO22</w:t>
            </w:r>
          </w:p>
        </w:tc>
        <w:tc>
          <w:tcPr>
            <w:tcW w:w="0" w:type="auto"/>
            <w:shd w:val="clear" w:color="auto" w:fill="auto"/>
          </w:tcPr>
          <w:p w14:paraId="6A7ADF3F" w14:textId="77777777" w:rsidR="008C5CFA" w:rsidRPr="00BA47B4" w:rsidRDefault="00E82A60" w:rsidP="00300A01">
            <w:pPr>
              <w:spacing w:before="0" w:after="0"/>
              <w:rPr>
                <w:sz w:val="12"/>
                <w:szCs w:val="12"/>
                <w:lang w:val="fr-BE"/>
              </w:rPr>
            </w:pPr>
            <w:r>
              <w:rPr>
                <w:noProof/>
                <w:sz w:val="12"/>
                <w:szCs w:val="12"/>
                <w:lang w:val="fr-BE"/>
              </w:rPr>
              <w:t>liczba projektów obejmujących administrację publiczną lub służby publiczne na szczeblu krajowym, regionalnym lub lokalnym</w:t>
            </w:r>
          </w:p>
        </w:tc>
        <w:tc>
          <w:tcPr>
            <w:tcW w:w="0" w:type="auto"/>
            <w:shd w:val="clear" w:color="auto" w:fill="auto"/>
          </w:tcPr>
          <w:p w14:paraId="06D36722" w14:textId="77777777" w:rsidR="008C5CFA" w:rsidRPr="00BA47B4" w:rsidRDefault="00E82A60"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14:paraId="772829DD" w14:textId="77777777" w:rsidR="008C5CFA" w:rsidRPr="00BA47B4" w:rsidRDefault="008C5CFA" w:rsidP="00300A01">
            <w:pPr>
              <w:spacing w:before="0" w:after="0"/>
              <w:jc w:val="right"/>
              <w:rPr>
                <w:sz w:val="12"/>
                <w:szCs w:val="12"/>
                <w:lang w:val="fr-BE"/>
              </w:rPr>
            </w:pPr>
          </w:p>
        </w:tc>
        <w:tc>
          <w:tcPr>
            <w:tcW w:w="0" w:type="auto"/>
            <w:shd w:val="clear" w:color="auto" w:fill="auto"/>
          </w:tcPr>
          <w:p w14:paraId="5ADAEB0F" w14:textId="77777777" w:rsidR="008C5CFA" w:rsidRPr="00BA47B4" w:rsidRDefault="008C5CFA" w:rsidP="00300A01">
            <w:pPr>
              <w:spacing w:before="0" w:after="0"/>
              <w:jc w:val="right"/>
              <w:rPr>
                <w:sz w:val="12"/>
                <w:szCs w:val="12"/>
                <w:lang w:val="fr-BE"/>
              </w:rPr>
            </w:pPr>
          </w:p>
        </w:tc>
        <w:tc>
          <w:tcPr>
            <w:tcW w:w="0" w:type="auto"/>
            <w:shd w:val="clear" w:color="auto" w:fill="auto"/>
          </w:tcPr>
          <w:p w14:paraId="1B788E52" w14:textId="77777777" w:rsidR="008C5CFA" w:rsidRPr="00BA47B4" w:rsidRDefault="008C5CFA" w:rsidP="00300A01">
            <w:pPr>
              <w:spacing w:before="0" w:after="0"/>
              <w:jc w:val="right"/>
              <w:rPr>
                <w:sz w:val="12"/>
                <w:szCs w:val="12"/>
                <w:lang w:val="fr-BE"/>
              </w:rPr>
            </w:pPr>
          </w:p>
        </w:tc>
        <w:tc>
          <w:tcPr>
            <w:tcW w:w="0" w:type="auto"/>
            <w:shd w:val="clear" w:color="auto" w:fill="auto"/>
          </w:tcPr>
          <w:p w14:paraId="7AF89A88" w14:textId="77777777" w:rsidR="008C5CFA" w:rsidRPr="00BA47B4" w:rsidRDefault="00E82A60" w:rsidP="00300A01">
            <w:pPr>
              <w:spacing w:before="0" w:after="0"/>
              <w:jc w:val="right"/>
              <w:rPr>
                <w:sz w:val="12"/>
                <w:szCs w:val="12"/>
                <w:lang w:val="fr-BE"/>
              </w:rPr>
            </w:pPr>
            <w:r w:rsidRPr="00BA47B4">
              <w:rPr>
                <w:noProof/>
                <w:sz w:val="12"/>
                <w:szCs w:val="12"/>
                <w:lang w:val="fr-BE"/>
              </w:rPr>
              <w:t>3,00</w:t>
            </w:r>
          </w:p>
        </w:tc>
        <w:tc>
          <w:tcPr>
            <w:tcW w:w="0" w:type="auto"/>
            <w:shd w:val="clear" w:color="auto" w:fill="auto"/>
          </w:tcPr>
          <w:p w14:paraId="2E4D3CD5" w14:textId="77777777" w:rsidR="008C5CFA" w:rsidRPr="00BA47B4" w:rsidRDefault="008C5CFA" w:rsidP="00300A01">
            <w:pPr>
              <w:spacing w:before="0" w:after="0"/>
              <w:jc w:val="right"/>
              <w:rPr>
                <w:sz w:val="12"/>
                <w:szCs w:val="12"/>
                <w:lang w:val="fr-BE"/>
              </w:rPr>
            </w:pPr>
          </w:p>
        </w:tc>
        <w:tc>
          <w:tcPr>
            <w:tcW w:w="0" w:type="auto"/>
            <w:shd w:val="clear" w:color="auto" w:fill="auto"/>
          </w:tcPr>
          <w:p w14:paraId="642380BB" w14:textId="77777777" w:rsidR="008C5CFA" w:rsidRPr="00BA47B4" w:rsidRDefault="008C5CFA" w:rsidP="00300A01">
            <w:pPr>
              <w:spacing w:before="0" w:after="0"/>
              <w:jc w:val="right"/>
              <w:rPr>
                <w:sz w:val="12"/>
                <w:szCs w:val="12"/>
                <w:lang w:val="fr-BE"/>
              </w:rPr>
            </w:pPr>
          </w:p>
        </w:tc>
        <w:tc>
          <w:tcPr>
            <w:tcW w:w="0" w:type="auto"/>
            <w:shd w:val="clear" w:color="auto" w:fill="auto"/>
          </w:tcPr>
          <w:p w14:paraId="410E7F78" w14:textId="77777777" w:rsidR="008C5CFA" w:rsidRPr="00BA47B4" w:rsidRDefault="008C5CFA" w:rsidP="00300A01">
            <w:pPr>
              <w:spacing w:before="0" w:after="0"/>
              <w:jc w:val="right"/>
              <w:rPr>
                <w:sz w:val="12"/>
                <w:szCs w:val="12"/>
                <w:lang w:val="fr-BE"/>
              </w:rPr>
            </w:pPr>
          </w:p>
        </w:tc>
        <w:tc>
          <w:tcPr>
            <w:tcW w:w="0" w:type="auto"/>
            <w:shd w:val="clear" w:color="auto" w:fill="auto"/>
          </w:tcPr>
          <w:p w14:paraId="643CE9E5" w14:textId="77777777" w:rsidR="008C5CFA" w:rsidRPr="00BA47B4" w:rsidRDefault="008C5CFA" w:rsidP="00300A01">
            <w:pPr>
              <w:spacing w:before="0" w:after="0"/>
              <w:jc w:val="right"/>
              <w:rPr>
                <w:sz w:val="12"/>
                <w:szCs w:val="12"/>
                <w:lang w:val="fr-BE"/>
              </w:rPr>
            </w:pPr>
          </w:p>
        </w:tc>
        <w:tc>
          <w:tcPr>
            <w:tcW w:w="0" w:type="auto"/>
            <w:shd w:val="clear" w:color="auto" w:fill="auto"/>
          </w:tcPr>
          <w:p w14:paraId="0FE5E517" w14:textId="77777777" w:rsidR="008C5CFA" w:rsidRPr="00BA47B4" w:rsidRDefault="008C5CFA" w:rsidP="00300A01">
            <w:pPr>
              <w:spacing w:before="0" w:after="0"/>
              <w:jc w:val="right"/>
              <w:rPr>
                <w:sz w:val="12"/>
                <w:szCs w:val="12"/>
                <w:lang w:val="fr-BE"/>
              </w:rPr>
            </w:pPr>
          </w:p>
        </w:tc>
        <w:tc>
          <w:tcPr>
            <w:tcW w:w="0" w:type="auto"/>
          </w:tcPr>
          <w:p w14:paraId="0192503E" w14:textId="77777777" w:rsidR="008C5CFA" w:rsidRPr="00A92B39" w:rsidRDefault="00E82A60" w:rsidP="00300A01">
            <w:pPr>
              <w:spacing w:before="0" w:after="0"/>
              <w:jc w:val="right"/>
              <w:rPr>
                <w:sz w:val="10"/>
                <w:szCs w:val="10"/>
                <w:lang w:val="fr-BE"/>
              </w:rPr>
            </w:pPr>
            <w:r w:rsidRPr="00A92B39">
              <w:rPr>
                <w:noProof/>
                <w:sz w:val="10"/>
                <w:szCs w:val="10"/>
                <w:lang w:val="fr-BE"/>
              </w:rPr>
              <w:t>1,00</w:t>
            </w:r>
          </w:p>
        </w:tc>
        <w:tc>
          <w:tcPr>
            <w:tcW w:w="0" w:type="auto"/>
            <w:shd w:val="clear" w:color="auto" w:fill="auto"/>
          </w:tcPr>
          <w:p w14:paraId="651D066E" w14:textId="77777777" w:rsidR="008C5CFA" w:rsidRPr="00A92B39" w:rsidRDefault="008C5CFA" w:rsidP="00300A01">
            <w:pPr>
              <w:spacing w:before="0" w:after="0"/>
              <w:jc w:val="right"/>
              <w:rPr>
                <w:sz w:val="10"/>
                <w:szCs w:val="10"/>
                <w:lang w:val="fr-BE"/>
              </w:rPr>
            </w:pPr>
          </w:p>
        </w:tc>
        <w:tc>
          <w:tcPr>
            <w:tcW w:w="0" w:type="auto"/>
            <w:shd w:val="clear" w:color="auto" w:fill="auto"/>
          </w:tcPr>
          <w:p w14:paraId="258C94BD" w14:textId="77777777" w:rsidR="008C5CFA" w:rsidRPr="00BA47B4" w:rsidRDefault="008C5CFA" w:rsidP="00300A01">
            <w:pPr>
              <w:spacing w:before="0" w:after="0"/>
              <w:jc w:val="right"/>
              <w:rPr>
                <w:sz w:val="12"/>
                <w:szCs w:val="12"/>
                <w:lang w:val="fr-BE"/>
              </w:rPr>
            </w:pPr>
          </w:p>
        </w:tc>
      </w:tr>
      <w:tr w:rsidR="006B2EC1" w14:paraId="6B51F078" w14:textId="77777777" w:rsidTr="0047688D">
        <w:tc>
          <w:tcPr>
            <w:tcW w:w="0" w:type="auto"/>
            <w:shd w:val="clear" w:color="auto" w:fill="auto"/>
          </w:tcPr>
          <w:p w14:paraId="414AA956" w14:textId="77777777" w:rsidR="008C5CFA" w:rsidRPr="00BA47B4" w:rsidRDefault="00E82A60" w:rsidP="00300A01">
            <w:pPr>
              <w:spacing w:before="0" w:after="0"/>
              <w:rPr>
                <w:sz w:val="12"/>
                <w:szCs w:val="12"/>
                <w:lang w:val="fr-BE"/>
              </w:rPr>
            </w:pPr>
            <w:r>
              <w:rPr>
                <w:noProof/>
                <w:sz w:val="12"/>
                <w:szCs w:val="12"/>
                <w:lang w:val="fr-BE"/>
              </w:rPr>
              <w:t>CO23</w:t>
            </w:r>
          </w:p>
        </w:tc>
        <w:tc>
          <w:tcPr>
            <w:tcW w:w="0" w:type="auto"/>
            <w:shd w:val="clear" w:color="auto" w:fill="auto"/>
          </w:tcPr>
          <w:p w14:paraId="684F0DB3" w14:textId="77777777" w:rsidR="008C5CFA" w:rsidRPr="00BA47B4" w:rsidRDefault="00E82A60" w:rsidP="00300A01">
            <w:pPr>
              <w:spacing w:before="0" w:after="0"/>
              <w:rPr>
                <w:sz w:val="12"/>
                <w:szCs w:val="12"/>
                <w:lang w:val="fr-BE"/>
              </w:rPr>
            </w:pPr>
            <w:r>
              <w:rPr>
                <w:noProof/>
                <w:sz w:val="12"/>
                <w:szCs w:val="12"/>
                <w:lang w:val="fr-BE"/>
              </w:rPr>
              <w:t>liczba objętych wsparciem mikro-, małych i średnich przedsiębiorstw (w tym przedsiębiorstw spółdzielczych i przedsiębiorstw gospodarki społecznej)</w:t>
            </w:r>
          </w:p>
        </w:tc>
        <w:tc>
          <w:tcPr>
            <w:tcW w:w="0" w:type="auto"/>
            <w:shd w:val="clear" w:color="auto" w:fill="auto"/>
          </w:tcPr>
          <w:p w14:paraId="3BCD747A" w14:textId="77777777" w:rsidR="008C5CFA" w:rsidRPr="00BA47B4" w:rsidRDefault="00E82A60"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14:paraId="53FA4E1A" w14:textId="77777777" w:rsidR="008C5CFA" w:rsidRPr="00BA47B4" w:rsidRDefault="008C5CFA" w:rsidP="00300A01">
            <w:pPr>
              <w:spacing w:before="0" w:after="0"/>
              <w:jc w:val="right"/>
              <w:rPr>
                <w:sz w:val="12"/>
                <w:szCs w:val="12"/>
                <w:lang w:val="fr-BE"/>
              </w:rPr>
            </w:pPr>
          </w:p>
        </w:tc>
        <w:tc>
          <w:tcPr>
            <w:tcW w:w="0" w:type="auto"/>
            <w:shd w:val="clear" w:color="auto" w:fill="auto"/>
          </w:tcPr>
          <w:p w14:paraId="449316DC" w14:textId="77777777" w:rsidR="008C5CFA" w:rsidRPr="00BA47B4" w:rsidRDefault="008C5CFA" w:rsidP="00300A01">
            <w:pPr>
              <w:spacing w:before="0" w:after="0"/>
              <w:jc w:val="right"/>
              <w:rPr>
                <w:sz w:val="12"/>
                <w:szCs w:val="12"/>
                <w:lang w:val="fr-BE"/>
              </w:rPr>
            </w:pPr>
          </w:p>
        </w:tc>
        <w:tc>
          <w:tcPr>
            <w:tcW w:w="0" w:type="auto"/>
            <w:shd w:val="clear" w:color="auto" w:fill="auto"/>
          </w:tcPr>
          <w:p w14:paraId="59E0C079" w14:textId="77777777" w:rsidR="008C5CFA" w:rsidRPr="00BA47B4" w:rsidRDefault="008C5CFA" w:rsidP="00300A01">
            <w:pPr>
              <w:spacing w:before="0" w:after="0"/>
              <w:jc w:val="right"/>
              <w:rPr>
                <w:sz w:val="12"/>
                <w:szCs w:val="12"/>
                <w:lang w:val="fr-BE"/>
              </w:rPr>
            </w:pPr>
          </w:p>
        </w:tc>
        <w:tc>
          <w:tcPr>
            <w:tcW w:w="0" w:type="auto"/>
            <w:shd w:val="clear" w:color="auto" w:fill="auto"/>
          </w:tcPr>
          <w:p w14:paraId="1E44D7E6"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521B4249" w14:textId="77777777" w:rsidR="008C5CFA" w:rsidRPr="00BA47B4" w:rsidRDefault="008C5CFA" w:rsidP="00300A01">
            <w:pPr>
              <w:spacing w:before="0" w:after="0"/>
              <w:jc w:val="right"/>
              <w:rPr>
                <w:sz w:val="12"/>
                <w:szCs w:val="12"/>
                <w:lang w:val="fr-BE"/>
              </w:rPr>
            </w:pPr>
          </w:p>
        </w:tc>
        <w:tc>
          <w:tcPr>
            <w:tcW w:w="0" w:type="auto"/>
            <w:shd w:val="clear" w:color="auto" w:fill="auto"/>
          </w:tcPr>
          <w:p w14:paraId="7ACAB90B" w14:textId="77777777" w:rsidR="008C5CFA" w:rsidRPr="00BA47B4" w:rsidRDefault="008C5CFA" w:rsidP="00300A01">
            <w:pPr>
              <w:spacing w:before="0" w:after="0"/>
              <w:jc w:val="right"/>
              <w:rPr>
                <w:sz w:val="12"/>
                <w:szCs w:val="12"/>
                <w:lang w:val="fr-BE"/>
              </w:rPr>
            </w:pPr>
          </w:p>
        </w:tc>
        <w:tc>
          <w:tcPr>
            <w:tcW w:w="0" w:type="auto"/>
            <w:shd w:val="clear" w:color="auto" w:fill="auto"/>
          </w:tcPr>
          <w:p w14:paraId="4E29C29F" w14:textId="77777777" w:rsidR="008C5CFA" w:rsidRPr="00BA47B4" w:rsidRDefault="008C5CFA" w:rsidP="00300A01">
            <w:pPr>
              <w:spacing w:before="0" w:after="0"/>
              <w:jc w:val="right"/>
              <w:rPr>
                <w:sz w:val="12"/>
                <w:szCs w:val="12"/>
                <w:lang w:val="fr-BE"/>
              </w:rPr>
            </w:pPr>
          </w:p>
        </w:tc>
        <w:tc>
          <w:tcPr>
            <w:tcW w:w="0" w:type="auto"/>
            <w:shd w:val="clear" w:color="auto" w:fill="auto"/>
          </w:tcPr>
          <w:p w14:paraId="331C2FB2" w14:textId="77777777" w:rsidR="008C5CFA" w:rsidRPr="00BA47B4" w:rsidRDefault="008C5CFA" w:rsidP="00300A01">
            <w:pPr>
              <w:spacing w:before="0" w:after="0"/>
              <w:jc w:val="right"/>
              <w:rPr>
                <w:sz w:val="12"/>
                <w:szCs w:val="12"/>
                <w:lang w:val="fr-BE"/>
              </w:rPr>
            </w:pPr>
          </w:p>
        </w:tc>
        <w:tc>
          <w:tcPr>
            <w:tcW w:w="0" w:type="auto"/>
            <w:shd w:val="clear" w:color="auto" w:fill="auto"/>
          </w:tcPr>
          <w:p w14:paraId="5B5E82A6" w14:textId="77777777" w:rsidR="008C5CFA" w:rsidRPr="00BA47B4" w:rsidRDefault="008C5CFA" w:rsidP="00300A01">
            <w:pPr>
              <w:spacing w:before="0" w:after="0"/>
              <w:jc w:val="right"/>
              <w:rPr>
                <w:sz w:val="12"/>
                <w:szCs w:val="12"/>
                <w:lang w:val="fr-BE"/>
              </w:rPr>
            </w:pPr>
          </w:p>
        </w:tc>
        <w:tc>
          <w:tcPr>
            <w:tcW w:w="0" w:type="auto"/>
          </w:tcPr>
          <w:p w14:paraId="53C702FB"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14:paraId="14CA2782" w14:textId="77777777" w:rsidR="008C5CFA" w:rsidRPr="00A92B39" w:rsidRDefault="008C5CFA" w:rsidP="00300A01">
            <w:pPr>
              <w:spacing w:before="0" w:after="0"/>
              <w:jc w:val="right"/>
              <w:rPr>
                <w:sz w:val="10"/>
                <w:szCs w:val="10"/>
                <w:lang w:val="fr-BE"/>
              </w:rPr>
            </w:pPr>
          </w:p>
        </w:tc>
        <w:tc>
          <w:tcPr>
            <w:tcW w:w="0" w:type="auto"/>
            <w:shd w:val="clear" w:color="auto" w:fill="auto"/>
          </w:tcPr>
          <w:p w14:paraId="2A5A7547" w14:textId="77777777" w:rsidR="008C5CFA" w:rsidRPr="00BA47B4" w:rsidRDefault="008C5CFA" w:rsidP="00300A01">
            <w:pPr>
              <w:spacing w:before="0" w:after="0"/>
              <w:jc w:val="right"/>
              <w:rPr>
                <w:sz w:val="12"/>
                <w:szCs w:val="12"/>
                <w:lang w:val="fr-BE"/>
              </w:rPr>
            </w:pPr>
          </w:p>
        </w:tc>
      </w:tr>
      <w:tr w:rsidR="006B2EC1" w14:paraId="27D93B8C" w14:textId="77777777" w:rsidTr="0047688D">
        <w:tc>
          <w:tcPr>
            <w:tcW w:w="0" w:type="auto"/>
            <w:shd w:val="clear" w:color="auto" w:fill="auto"/>
          </w:tcPr>
          <w:p w14:paraId="418316F7" w14:textId="77777777" w:rsidR="008C5CFA" w:rsidRPr="00BA47B4" w:rsidRDefault="008C5CFA" w:rsidP="00300A01">
            <w:pPr>
              <w:spacing w:before="0" w:after="0"/>
              <w:rPr>
                <w:sz w:val="12"/>
                <w:szCs w:val="12"/>
                <w:lang w:val="fr-BE"/>
              </w:rPr>
            </w:pPr>
          </w:p>
        </w:tc>
        <w:tc>
          <w:tcPr>
            <w:tcW w:w="0" w:type="auto"/>
            <w:shd w:val="clear" w:color="auto" w:fill="auto"/>
          </w:tcPr>
          <w:p w14:paraId="5D14E6CF" w14:textId="77777777" w:rsidR="008C5CFA" w:rsidRPr="00BA47B4" w:rsidRDefault="00E82A60" w:rsidP="00300A01">
            <w:pPr>
              <w:spacing w:before="0" w:after="0"/>
              <w:rPr>
                <w:sz w:val="12"/>
                <w:szCs w:val="12"/>
                <w:lang w:val="fr-BE"/>
              </w:rPr>
            </w:pPr>
            <w:r>
              <w:rPr>
                <w:noProof/>
                <w:sz w:val="12"/>
                <w:szCs w:val="12"/>
                <w:lang w:val="fr-BE"/>
              </w:rPr>
              <w:t>Całkowita łączna liczba uczestników</w:t>
            </w:r>
          </w:p>
        </w:tc>
        <w:tc>
          <w:tcPr>
            <w:tcW w:w="0" w:type="auto"/>
            <w:shd w:val="clear" w:color="auto" w:fill="auto"/>
          </w:tcPr>
          <w:p w14:paraId="05E76E51" w14:textId="77777777" w:rsidR="008C5CFA" w:rsidRPr="00BA47B4" w:rsidRDefault="008C5CFA" w:rsidP="00300A01">
            <w:pPr>
              <w:spacing w:before="0" w:after="0"/>
              <w:rPr>
                <w:sz w:val="12"/>
                <w:szCs w:val="12"/>
                <w:lang w:val="fr-BE"/>
              </w:rPr>
            </w:pPr>
          </w:p>
        </w:tc>
        <w:tc>
          <w:tcPr>
            <w:tcW w:w="0" w:type="auto"/>
            <w:shd w:val="clear" w:color="auto" w:fill="auto"/>
          </w:tcPr>
          <w:p w14:paraId="1A7FC81C" w14:textId="77777777" w:rsidR="008C5CFA" w:rsidRPr="00BA47B4" w:rsidRDefault="008C5CFA" w:rsidP="00300A01">
            <w:pPr>
              <w:spacing w:before="0" w:after="0"/>
              <w:jc w:val="right"/>
              <w:rPr>
                <w:sz w:val="12"/>
                <w:szCs w:val="12"/>
                <w:lang w:val="fr-BE"/>
              </w:rPr>
            </w:pPr>
          </w:p>
        </w:tc>
        <w:tc>
          <w:tcPr>
            <w:tcW w:w="0" w:type="auto"/>
            <w:shd w:val="clear" w:color="auto" w:fill="auto"/>
          </w:tcPr>
          <w:p w14:paraId="332C93DE" w14:textId="77777777" w:rsidR="008C5CFA" w:rsidRPr="00BA47B4" w:rsidRDefault="008C5CFA" w:rsidP="00300A01">
            <w:pPr>
              <w:spacing w:before="0" w:after="0"/>
              <w:jc w:val="right"/>
              <w:rPr>
                <w:sz w:val="12"/>
                <w:szCs w:val="12"/>
                <w:lang w:val="fr-BE"/>
              </w:rPr>
            </w:pPr>
          </w:p>
        </w:tc>
        <w:tc>
          <w:tcPr>
            <w:tcW w:w="0" w:type="auto"/>
            <w:shd w:val="clear" w:color="auto" w:fill="auto"/>
          </w:tcPr>
          <w:p w14:paraId="5031803E" w14:textId="77777777" w:rsidR="008C5CFA" w:rsidRPr="00BA47B4" w:rsidRDefault="008C5CFA" w:rsidP="00300A01">
            <w:pPr>
              <w:spacing w:before="0" w:after="0"/>
              <w:jc w:val="right"/>
              <w:rPr>
                <w:sz w:val="12"/>
                <w:szCs w:val="12"/>
                <w:lang w:val="fr-BE"/>
              </w:rPr>
            </w:pPr>
          </w:p>
        </w:tc>
        <w:tc>
          <w:tcPr>
            <w:tcW w:w="0" w:type="auto"/>
            <w:shd w:val="clear" w:color="auto" w:fill="auto"/>
          </w:tcPr>
          <w:p w14:paraId="1611A723" w14:textId="77777777" w:rsidR="008C5CFA" w:rsidRPr="00BA47B4" w:rsidRDefault="00E82A60" w:rsidP="00300A01">
            <w:pPr>
              <w:spacing w:before="0" w:after="0"/>
              <w:jc w:val="right"/>
              <w:rPr>
                <w:sz w:val="12"/>
                <w:szCs w:val="12"/>
                <w:lang w:val="fr-BE"/>
              </w:rPr>
            </w:pPr>
            <w:r w:rsidRPr="00BA47B4">
              <w:rPr>
                <w:noProof/>
                <w:sz w:val="12"/>
                <w:szCs w:val="12"/>
                <w:lang w:val="fr-BE"/>
              </w:rPr>
              <w:t>11 782,00</w:t>
            </w:r>
          </w:p>
        </w:tc>
        <w:tc>
          <w:tcPr>
            <w:tcW w:w="0" w:type="auto"/>
            <w:shd w:val="clear" w:color="auto" w:fill="auto"/>
          </w:tcPr>
          <w:p w14:paraId="3E45B0AC" w14:textId="77777777" w:rsidR="008C5CFA" w:rsidRPr="00BA47B4" w:rsidRDefault="008C5CFA" w:rsidP="00300A01">
            <w:pPr>
              <w:spacing w:before="0" w:after="0"/>
              <w:jc w:val="right"/>
              <w:rPr>
                <w:sz w:val="12"/>
                <w:szCs w:val="12"/>
                <w:lang w:val="fr-BE"/>
              </w:rPr>
            </w:pPr>
          </w:p>
        </w:tc>
        <w:tc>
          <w:tcPr>
            <w:tcW w:w="0" w:type="auto"/>
            <w:shd w:val="clear" w:color="auto" w:fill="auto"/>
          </w:tcPr>
          <w:p w14:paraId="129790DA" w14:textId="77777777" w:rsidR="008C5CFA" w:rsidRPr="00BA47B4" w:rsidRDefault="008C5CFA" w:rsidP="00300A01">
            <w:pPr>
              <w:spacing w:before="0" w:after="0"/>
              <w:jc w:val="right"/>
              <w:rPr>
                <w:sz w:val="12"/>
                <w:szCs w:val="12"/>
                <w:lang w:val="fr-BE"/>
              </w:rPr>
            </w:pPr>
          </w:p>
        </w:tc>
        <w:tc>
          <w:tcPr>
            <w:tcW w:w="0" w:type="auto"/>
            <w:shd w:val="clear" w:color="auto" w:fill="auto"/>
          </w:tcPr>
          <w:p w14:paraId="5B9CB0EB" w14:textId="77777777" w:rsidR="008C5CFA" w:rsidRPr="00BA47B4" w:rsidRDefault="008C5CFA" w:rsidP="00300A01">
            <w:pPr>
              <w:spacing w:before="0" w:after="0"/>
              <w:jc w:val="right"/>
              <w:rPr>
                <w:sz w:val="12"/>
                <w:szCs w:val="12"/>
                <w:lang w:val="fr-BE"/>
              </w:rPr>
            </w:pPr>
          </w:p>
        </w:tc>
        <w:tc>
          <w:tcPr>
            <w:tcW w:w="0" w:type="auto"/>
            <w:shd w:val="clear" w:color="auto" w:fill="auto"/>
          </w:tcPr>
          <w:p w14:paraId="253C0A47" w14:textId="77777777" w:rsidR="008C5CFA" w:rsidRPr="00BA47B4" w:rsidRDefault="008C5CFA" w:rsidP="00300A01">
            <w:pPr>
              <w:spacing w:before="0" w:after="0"/>
              <w:jc w:val="right"/>
              <w:rPr>
                <w:sz w:val="12"/>
                <w:szCs w:val="12"/>
                <w:lang w:val="fr-BE"/>
              </w:rPr>
            </w:pPr>
          </w:p>
        </w:tc>
        <w:tc>
          <w:tcPr>
            <w:tcW w:w="0" w:type="auto"/>
            <w:shd w:val="clear" w:color="auto" w:fill="auto"/>
          </w:tcPr>
          <w:p w14:paraId="0B6316A5" w14:textId="77777777" w:rsidR="008C5CFA" w:rsidRPr="00BA47B4" w:rsidRDefault="008C5CFA" w:rsidP="00300A01">
            <w:pPr>
              <w:spacing w:before="0" w:after="0"/>
              <w:jc w:val="right"/>
              <w:rPr>
                <w:sz w:val="12"/>
                <w:szCs w:val="12"/>
                <w:lang w:val="fr-BE"/>
              </w:rPr>
            </w:pPr>
          </w:p>
        </w:tc>
        <w:tc>
          <w:tcPr>
            <w:tcW w:w="0" w:type="auto"/>
          </w:tcPr>
          <w:p w14:paraId="73686B0A" w14:textId="77777777" w:rsidR="008C5CFA" w:rsidRPr="00A92B39" w:rsidRDefault="00E82A60" w:rsidP="00300A01">
            <w:pPr>
              <w:spacing w:before="0" w:after="0"/>
              <w:jc w:val="right"/>
              <w:rPr>
                <w:sz w:val="10"/>
                <w:szCs w:val="10"/>
                <w:lang w:val="fr-BE"/>
              </w:rPr>
            </w:pPr>
            <w:r w:rsidRPr="00A92B39">
              <w:rPr>
                <w:noProof/>
                <w:sz w:val="10"/>
                <w:szCs w:val="10"/>
                <w:lang w:val="fr-BE"/>
              </w:rPr>
              <w:t>2 979,00</w:t>
            </w:r>
          </w:p>
        </w:tc>
        <w:tc>
          <w:tcPr>
            <w:tcW w:w="0" w:type="auto"/>
            <w:shd w:val="clear" w:color="auto" w:fill="auto"/>
          </w:tcPr>
          <w:p w14:paraId="07DF5A31" w14:textId="77777777" w:rsidR="008C5CFA" w:rsidRPr="00A92B39" w:rsidRDefault="008C5CFA" w:rsidP="00300A01">
            <w:pPr>
              <w:spacing w:before="0" w:after="0"/>
              <w:jc w:val="right"/>
              <w:rPr>
                <w:sz w:val="10"/>
                <w:szCs w:val="10"/>
                <w:lang w:val="fr-BE"/>
              </w:rPr>
            </w:pPr>
          </w:p>
        </w:tc>
        <w:tc>
          <w:tcPr>
            <w:tcW w:w="0" w:type="auto"/>
            <w:shd w:val="clear" w:color="auto" w:fill="auto"/>
          </w:tcPr>
          <w:p w14:paraId="1E93D182" w14:textId="77777777" w:rsidR="008C5CFA" w:rsidRPr="00BA47B4" w:rsidRDefault="008C5CFA" w:rsidP="00300A01">
            <w:pPr>
              <w:spacing w:before="0" w:after="0"/>
              <w:jc w:val="right"/>
              <w:rPr>
                <w:sz w:val="12"/>
                <w:szCs w:val="12"/>
                <w:lang w:val="fr-BE"/>
              </w:rPr>
            </w:pPr>
          </w:p>
        </w:tc>
      </w:tr>
    </w:tbl>
    <w:p w14:paraId="53CE4319"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47"/>
        <w:gridCol w:w="7798"/>
        <w:gridCol w:w="1333"/>
        <w:gridCol w:w="589"/>
        <w:gridCol w:w="702"/>
        <w:gridCol w:w="589"/>
        <w:gridCol w:w="589"/>
        <w:gridCol w:w="702"/>
        <w:gridCol w:w="589"/>
        <w:gridCol w:w="589"/>
        <w:gridCol w:w="702"/>
        <w:gridCol w:w="555"/>
      </w:tblGrid>
      <w:tr w:rsidR="006B2EC1" w14:paraId="0CC85073" w14:textId="77777777" w:rsidTr="0047688D">
        <w:tc>
          <w:tcPr>
            <w:tcW w:w="0" w:type="auto"/>
            <w:shd w:val="clear" w:color="auto" w:fill="auto"/>
          </w:tcPr>
          <w:p w14:paraId="2AF0FCBC" w14:textId="77777777" w:rsidR="008C5CFA" w:rsidRPr="001C4484" w:rsidRDefault="00E82A60" w:rsidP="00300A01">
            <w:pPr>
              <w:spacing w:before="0" w:after="0"/>
              <w:rPr>
                <w:sz w:val="10"/>
                <w:szCs w:val="10"/>
              </w:rPr>
            </w:pPr>
            <w:r w:rsidRPr="001C4484">
              <w:rPr>
                <w:b/>
                <w:noProof/>
                <w:sz w:val="12"/>
                <w:szCs w:val="12"/>
                <w:lang w:val="fr-BE"/>
              </w:rPr>
              <w:t>ID</w:t>
            </w:r>
          </w:p>
        </w:tc>
        <w:tc>
          <w:tcPr>
            <w:tcW w:w="0" w:type="auto"/>
            <w:shd w:val="clear" w:color="auto" w:fill="auto"/>
          </w:tcPr>
          <w:p w14:paraId="7A1C8C4A" w14:textId="77777777" w:rsidR="008C5CFA" w:rsidRPr="001C4484" w:rsidRDefault="00E82A60" w:rsidP="00300A01">
            <w:pPr>
              <w:spacing w:before="0" w:after="0"/>
              <w:rPr>
                <w:sz w:val="10"/>
                <w:szCs w:val="10"/>
              </w:rPr>
            </w:pPr>
            <w:r w:rsidRPr="001C4484">
              <w:rPr>
                <w:b/>
                <w:noProof/>
                <w:sz w:val="12"/>
                <w:szCs w:val="12"/>
                <w:lang w:val="fr-BE"/>
              </w:rPr>
              <w:t>Wskaźnik</w:t>
            </w:r>
          </w:p>
        </w:tc>
        <w:tc>
          <w:tcPr>
            <w:tcW w:w="0" w:type="auto"/>
            <w:shd w:val="clear" w:color="auto" w:fill="auto"/>
          </w:tcPr>
          <w:p w14:paraId="343EE47A" w14:textId="77777777" w:rsidR="008C5CFA" w:rsidRPr="001C4484" w:rsidRDefault="00E82A60" w:rsidP="00300A01">
            <w:pPr>
              <w:spacing w:before="0" w:after="0"/>
              <w:rPr>
                <w:sz w:val="10"/>
                <w:szCs w:val="10"/>
              </w:rPr>
            </w:pPr>
            <w:r w:rsidRPr="001C4484">
              <w:rPr>
                <w:b/>
                <w:noProof/>
                <w:sz w:val="12"/>
                <w:szCs w:val="12"/>
                <w:lang w:val="fr-BE"/>
              </w:rPr>
              <w:t>Kategoria regionu</w:t>
            </w:r>
          </w:p>
        </w:tc>
        <w:tc>
          <w:tcPr>
            <w:tcW w:w="0" w:type="auto"/>
            <w:gridSpan w:val="3"/>
          </w:tcPr>
          <w:p w14:paraId="6BCFDDE1" w14:textId="77777777" w:rsidR="008C5CFA" w:rsidRPr="001C4484" w:rsidRDefault="00E82A60" w:rsidP="00300A01">
            <w:pPr>
              <w:spacing w:before="0" w:after="0"/>
              <w:jc w:val="center"/>
              <w:rPr>
                <w:sz w:val="10"/>
                <w:szCs w:val="10"/>
              </w:rPr>
            </w:pPr>
            <w:r w:rsidRPr="001C4484">
              <w:rPr>
                <w:sz w:val="10"/>
                <w:szCs w:val="10"/>
              </w:rPr>
              <w:t>2018</w:t>
            </w:r>
          </w:p>
        </w:tc>
        <w:tc>
          <w:tcPr>
            <w:tcW w:w="0" w:type="auto"/>
            <w:gridSpan w:val="3"/>
          </w:tcPr>
          <w:p w14:paraId="207FFE78" w14:textId="77777777" w:rsidR="008C5CFA" w:rsidRPr="001C4484" w:rsidRDefault="00E82A60" w:rsidP="00300A01">
            <w:pPr>
              <w:spacing w:before="0" w:after="0"/>
              <w:jc w:val="center"/>
              <w:rPr>
                <w:sz w:val="10"/>
                <w:szCs w:val="10"/>
              </w:rPr>
            </w:pPr>
            <w:r w:rsidRPr="001C4484">
              <w:rPr>
                <w:sz w:val="10"/>
                <w:szCs w:val="10"/>
              </w:rPr>
              <w:t>2017</w:t>
            </w:r>
          </w:p>
        </w:tc>
        <w:tc>
          <w:tcPr>
            <w:tcW w:w="0" w:type="auto"/>
            <w:gridSpan w:val="3"/>
          </w:tcPr>
          <w:p w14:paraId="695213A3" w14:textId="77777777" w:rsidR="008C5CFA" w:rsidRPr="001C4484" w:rsidRDefault="00E82A60" w:rsidP="00300A01">
            <w:pPr>
              <w:spacing w:before="0" w:after="0"/>
              <w:jc w:val="center"/>
              <w:rPr>
                <w:sz w:val="10"/>
                <w:szCs w:val="10"/>
              </w:rPr>
            </w:pPr>
            <w:r w:rsidRPr="001C4484">
              <w:rPr>
                <w:sz w:val="10"/>
                <w:szCs w:val="10"/>
              </w:rPr>
              <w:t>2016</w:t>
            </w:r>
          </w:p>
        </w:tc>
      </w:tr>
      <w:tr w:rsidR="006B2EC1" w14:paraId="57BBCB18" w14:textId="77777777" w:rsidTr="0047688D">
        <w:tc>
          <w:tcPr>
            <w:tcW w:w="0" w:type="auto"/>
            <w:shd w:val="clear" w:color="auto" w:fill="auto"/>
          </w:tcPr>
          <w:p w14:paraId="7BC30565" w14:textId="77777777" w:rsidR="008C5CFA" w:rsidRPr="001C4484" w:rsidRDefault="008C5CFA" w:rsidP="00300A01">
            <w:pPr>
              <w:spacing w:before="0" w:after="0"/>
              <w:rPr>
                <w:sz w:val="10"/>
                <w:szCs w:val="10"/>
              </w:rPr>
            </w:pPr>
          </w:p>
        </w:tc>
        <w:tc>
          <w:tcPr>
            <w:tcW w:w="0" w:type="auto"/>
            <w:shd w:val="clear" w:color="auto" w:fill="auto"/>
          </w:tcPr>
          <w:p w14:paraId="03B2E7AF" w14:textId="77777777" w:rsidR="008C5CFA" w:rsidRPr="001C4484" w:rsidRDefault="008C5CFA" w:rsidP="00300A01">
            <w:pPr>
              <w:spacing w:before="0" w:after="0"/>
              <w:rPr>
                <w:sz w:val="10"/>
                <w:szCs w:val="10"/>
              </w:rPr>
            </w:pPr>
          </w:p>
        </w:tc>
        <w:tc>
          <w:tcPr>
            <w:tcW w:w="0" w:type="auto"/>
            <w:shd w:val="clear" w:color="auto" w:fill="auto"/>
          </w:tcPr>
          <w:p w14:paraId="016EDEF3" w14:textId="77777777" w:rsidR="008C5CFA" w:rsidRPr="001C4484" w:rsidRDefault="008C5CFA" w:rsidP="00300A01">
            <w:pPr>
              <w:spacing w:before="0" w:after="0"/>
              <w:rPr>
                <w:sz w:val="10"/>
                <w:szCs w:val="10"/>
              </w:rPr>
            </w:pPr>
          </w:p>
        </w:tc>
        <w:tc>
          <w:tcPr>
            <w:tcW w:w="0" w:type="auto"/>
          </w:tcPr>
          <w:p w14:paraId="156BB080" w14:textId="77777777" w:rsidR="008C5CFA" w:rsidRPr="001C4484" w:rsidRDefault="00E82A60" w:rsidP="00300A01">
            <w:pPr>
              <w:spacing w:before="0" w:after="0"/>
              <w:jc w:val="center"/>
              <w:rPr>
                <w:sz w:val="10"/>
                <w:szCs w:val="10"/>
              </w:rPr>
            </w:pPr>
            <w:r>
              <w:rPr>
                <w:noProof/>
                <w:sz w:val="10"/>
                <w:szCs w:val="10"/>
              </w:rPr>
              <w:t>Ogółem</w:t>
            </w:r>
          </w:p>
        </w:tc>
        <w:tc>
          <w:tcPr>
            <w:tcW w:w="0" w:type="auto"/>
            <w:shd w:val="clear" w:color="auto" w:fill="auto"/>
          </w:tcPr>
          <w:p w14:paraId="5F5ED605" w14:textId="77777777" w:rsidR="008C5CFA" w:rsidRPr="001C4484" w:rsidRDefault="00E82A60" w:rsidP="00300A01">
            <w:pPr>
              <w:spacing w:before="0" w:after="0"/>
              <w:jc w:val="center"/>
              <w:rPr>
                <w:sz w:val="10"/>
                <w:szCs w:val="10"/>
              </w:rPr>
            </w:pPr>
            <w:r w:rsidRPr="001C4484">
              <w:rPr>
                <w:noProof/>
                <w:sz w:val="10"/>
                <w:szCs w:val="10"/>
              </w:rPr>
              <w:t>Mężczyźni</w:t>
            </w:r>
          </w:p>
        </w:tc>
        <w:tc>
          <w:tcPr>
            <w:tcW w:w="0" w:type="auto"/>
            <w:shd w:val="clear" w:color="auto" w:fill="auto"/>
          </w:tcPr>
          <w:p w14:paraId="54457A02" w14:textId="77777777" w:rsidR="008C5CFA" w:rsidRPr="001C4484" w:rsidRDefault="00E82A60" w:rsidP="00300A01">
            <w:pPr>
              <w:spacing w:before="0" w:after="0"/>
              <w:jc w:val="center"/>
              <w:rPr>
                <w:sz w:val="10"/>
                <w:szCs w:val="10"/>
              </w:rPr>
            </w:pPr>
            <w:r w:rsidRPr="001C4484">
              <w:rPr>
                <w:noProof/>
                <w:sz w:val="10"/>
                <w:szCs w:val="10"/>
              </w:rPr>
              <w:t>Kobiety</w:t>
            </w:r>
          </w:p>
        </w:tc>
        <w:tc>
          <w:tcPr>
            <w:tcW w:w="0" w:type="auto"/>
          </w:tcPr>
          <w:p w14:paraId="08668E60" w14:textId="77777777" w:rsidR="008C5CFA" w:rsidRPr="001C4484" w:rsidRDefault="00E82A60" w:rsidP="00300A01">
            <w:pPr>
              <w:spacing w:before="0" w:after="0"/>
              <w:jc w:val="center"/>
              <w:rPr>
                <w:sz w:val="10"/>
                <w:szCs w:val="10"/>
              </w:rPr>
            </w:pPr>
            <w:r>
              <w:rPr>
                <w:noProof/>
                <w:sz w:val="10"/>
                <w:szCs w:val="10"/>
              </w:rPr>
              <w:t>Ogółem</w:t>
            </w:r>
          </w:p>
        </w:tc>
        <w:tc>
          <w:tcPr>
            <w:tcW w:w="0" w:type="auto"/>
            <w:shd w:val="clear" w:color="auto" w:fill="auto"/>
          </w:tcPr>
          <w:p w14:paraId="61709EB6" w14:textId="77777777" w:rsidR="008C5CFA" w:rsidRPr="001C4484" w:rsidRDefault="00E82A60" w:rsidP="00300A01">
            <w:pPr>
              <w:spacing w:before="0" w:after="0"/>
              <w:jc w:val="center"/>
              <w:rPr>
                <w:sz w:val="10"/>
                <w:szCs w:val="10"/>
              </w:rPr>
            </w:pPr>
            <w:r w:rsidRPr="001C4484">
              <w:rPr>
                <w:noProof/>
                <w:sz w:val="10"/>
                <w:szCs w:val="10"/>
              </w:rPr>
              <w:t>Mężczyźni</w:t>
            </w:r>
          </w:p>
        </w:tc>
        <w:tc>
          <w:tcPr>
            <w:tcW w:w="0" w:type="auto"/>
            <w:shd w:val="clear" w:color="auto" w:fill="auto"/>
          </w:tcPr>
          <w:p w14:paraId="3885A1E8" w14:textId="77777777" w:rsidR="008C5CFA" w:rsidRPr="001C4484" w:rsidRDefault="00E82A60" w:rsidP="00300A01">
            <w:pPr>
              <w:spacing w:before="0" w:after="0"/>
              <w:jc w:val="center"/>
              <w:rPr>
                <w:sz w:val="10"/>
                <w:szCs w:val="10"/>
              </w:rPr>
            </w:pPr>
            <w:r w:rsidRPr="001C4484">
              <w:rPr>
                <w:noProof/>
                <w:sz w:val="10"/>
                <w:szCs w:val="10"/>
              </w:rPr>
              <w:t>Kobiety</w:t>
            </w:r>
          </w:p>
        </w:tc>
        <w:tc>
          <w:tcPr>
            <w:tcW w:w="0" w:type="auto"/>
          </w:tcPr>
          <w:p w14:paraId="79A1096F" w14:textId="77777777" w:rsidR="008C5CFA" w:rsidRPr="001C4484" w:rsidRDefault="00E82A60" w:rsidP="00300A01">
            <w:pPr>
              <w:spacing w:before="0" w:after="0"/>
              <w:jc w:val="center"/>
              <w:rPr>
                <w:sz w:val="10"/>
                <w:szCs w:val="10"/>
              </w:rPr>
            </w:pPr>
            <w:r>
              <w:rPr>
                <w:noProof/>
                <w:sz w:val="10"/>
                <w:szCs w:val="10"/>
              </w:rPr>
              <w:t>Ogółem</w:t>
            </w:r>
          </w:p>
        </w:tc>
        <w:tc>
          <w:tcPr>
            <w:tcW w:w="0" w:type="auto"/>
            <w:shd w:val="clear" w:color="auto" w:fill="auto"/>
          </w:tcPr>
          <w:p w14:paraId="31F3E475" w14:textId="77777777" w:rsidR="008C5CFA" w:rsidRPr="001C4484" w:rsidRDefault="00E82A60" w:rsidP="00300A01">
            <w:pPr>
              <w:spacing w:before="0" w:after="0"/>
              <w:jc w:val="center"/>
              <w:rPr>
                <w:sz w:val="10"/>
                <w:szCs w:val="10"/>
              </w:rPr>
            </w:pPr>
            <w:r w:rsidRPr="001C4484">
              <w:rPr>
                <w:noProof/>
                <w:sz w:val="10"/>
                <w:szCs w:val="10"/>
              </w:rPr>
              <w:t>Mężczyźni</w:t>
            </w:r>
          </w:p>
        </w:tc>
        <w:tc>
          <w:tcPr>
            <w:tcW w:w="0" w:type="auto"/>
            <w:shd w:val="clear" w:color="auto" w:fill="auto"/>
          </w:tcPr>
          <w:p w14:paraId="74901D2A" w14:textId="77777777" w:rsidR="008C5CFA" w:rsidRPr="001C4484" w:rsidRDefault="00E82A60" w:rsidP="00300A01">
            <w:pPr>
              <w:spacing w:before="0" w:after="0"/>
              <w:jc w:val="center"/>
              <w:rPr>
                <w:sz w:val="10"/>
                <w:szCs w:val="10"/>
              </w:rPr>
            </w:pPr>
            <w:r w:rsidRPr="001C4484">
              <w:rPr>
                <w:noProof/>
                <w:sz w:val="10"/>
                <w:szCs w:val="10"/>
              </w:rPr>
              <w:t>Kobiety</w:t>
            </w:r>
          </w:p>
        </w:tc>
      </w:tr>
      <w:tr w:rsidR="006B2EC1" w14:paraId="43201E89" w14:textId="77777777" w:rsidTr="0047688D">
        <w:tc>
          <w:tcPr>
            <w:tcW w:w="0" w:type="auto"/>
            <w:shd w:val="clear" w:color="auto" w:fill="auto"/>
          </w:tcPr>
          <w:p w14:paraId="5A6B34DA" w14:textId="77777777" w:rsidR="008C5CFA" w:rsidRPr="001C4484" w:rsidRDefault="00E82A60" w:rsidP="00300A01">
            <w:pPr>
              <w:spacing w:before="0" w:after="0"/>
              <w:rPr>
                <w:sz w:val="10"/>
                <w:szCs w:val="10"/>
                <w:lang w:val="fr-BE"/>
              </w:rPr>
            </w:pPr>
            <w:r w:rsidRPr="001C4484">
              <w:rPr>
                <w:noProof/>
                <w:sz w:val="10"/>
                <w:szCs w:val="10"/>
                <w:lang w:val="fr-BE"/>
              </w:rPr>
              <w:t>CO01</w:t>
            </w:r>
          </w:p>
        </w:tc>
        <w:tc>
          <w:tcPr>
            <w:tcW w:w="0" w:type="auto"/>
            <w:shd w:val="clear" w:color="auto" w:fill="auto"/>
          </w:tcPr>
          <w:p w14:paraId="5DD786EE" w14:textId="77777777" w:rsidR="008C5CFA" w:rsidRPr="001C4484" w:rsidRDefault="00E82A60" w:rsidP="00300A01">
            <w:pPr>
              <w:spacing w:before="0" w:after="0"/>
              <w:rPr>
                <w:sz w:val="10"/>
                <w:szCs w:val="10"/>
                <w:lang w:val="fr-BE"/>
              </w:rPr>
            </w:pPr>
            <w:r w:rsidRPr="001C4484">
              <w:rPr>
                <w:noProof/>
                <w:sz w:val="10"/>
                <w:szCs w:val="10"/>
                <w:lang w:val="fr-BE"/>
              </w:rPr>
              <w:t>bezrobotni, w tym długotrwale bezrobotni</w:t>
            </w:r>
          </w:p>
        </w:tc>
        <w:tc>
          <w:tcPr>
            <w:tcW w:w="0" w:type="auto"/>
            <w:shd w:val="clear" w:color="auto" w:fill="auto"/>
          </w:tcPr>
          <w:p w14:paraId="30603C57"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76F7B450" w14:textId="77777777" w:rsidR="008C5CFA" w:rsidRPr="001C4484" w:rsidRDefault="00E82A60" w:rsidP="00300A01">
            <w:pPr>
              <w:spacing w:before="0" w:after="0"/>
              <w:jc w:val="right"/>
              <w:rPr>
                <w:sz w:val="10"/>
                <w:szCs w:val="10"/>
              </w:rPr>
            </w:pPr>
            <w:r>
              <w:rPr>
                <w:noProof/>
                <w:sz w:val="10"/>
                <w:szCs w:val="10"/>
              </w:rPr>
              <w:t>282,00</w:t>
            </w:r>
          </w:p>
        </w:tc>
        <w:tc>
          <w:tcPr>
            <w:tcW w:w="0" w:type="auto"/>
            <w:shd w:val="clear" w:color="auto" w:fill="auto"/>
          </w:tcPr>
          <w:p w14:paraId="17CD51AF" w14:textId="77777777" w:rsidR="008C5CFA" w:rsidRPr="001C4484" w:rsidRDefault="00E82A60" w:rsidP="00300A01">
            <w:pPr>
              <w:spacing w:before="0" w:after="0"/>
              <w:jc w:val="right"/>
              <w:rPr>
                <w:sz w:val="10"/>
                <w:szCs w:val="10"/>
              </w:rPr>
            </w:pPr>
            <w:r w:rsidRPr="001C4484">
              <w:rPr>
                <w:noProof/>
                <w:sz w:val="10"/>
                <w:szCs w:val="10"/>
              </w:rPr>
              <w:t>177,00</w:t>
            </w:r>
          </w:p>
        </w:tc>
        <w:tc>
          <w:tcPr>
            <w:tcW w:w="0" w:type="auto"/>
            <w:shd w:val="clear" w:color="auto" w:fill="auto"/>
          </w:tcPr>
          <w:p w14:paraId="3AC35A5A" w14:textId="77777777" w:rsidR="008C5CFA" w:rsidRPr="001C4484" w:rsidRDefault="00E82A60" w:rsidP="00300A01">
            <w:pPr>
              <w:spacing w:before="0" w:after="0"/>
              <w:jc w:val="right"/>
              <w:rPr>
                <w:sz w:val="10"/>
                <w:szCs w:val="10"/>
                <w:lang w:val="fr-BE"/>
              </w:rPr>
            </w:pPr>
            <w:r w:rsidRPr="001C4484">
              <w:rPr>
                <w:noProof/>
                <w:sz w:val="10"/>
                <w:szCs w:val="10"/>
              </w:rPr>
              <w:t>105,00</w:t>
            </w:r>
          </w:p>
        </w:tc>
        <w:tc>
          <w:tcPr>
            <w:tcW w:w="0" w:type="auto"/>
          </w:tcPr>
          <w:p w14:paraId="736DF5E0"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5C7E81A4"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7C4066BD" w14:textId="77777777" w:rsidR="008C5CFA" w:rsidRPr="001C4484" w:rsidRDefault="00E82A60" w:rsidP="00300A01">
            <w:pPr>
              <w:spacing w:before="0" w:after="0"/>
              <w:jc w:val="right"/>
              <w:rPr>
                <w:sz w:val="10"/>
                <w:szCs w:val="10"/>
                <w:lang w:val="fr-BE"/>
              </w:rPr>
            </w:pPr>
            <w:r w:rsidRPr="001C4484">
              <w:rPr>
                <w:noProof/>
                <w:sz w:val="10"/>
                <w:szCs w:val="10"/>
              </w:rPr>
              <w:t>0,00</w:t>
            </w:r>
          </w:p>
        </w:tc>
        <w:tc>
          <w:tcPr>
            <w:tcW w:w="0" w:type="auto"/>
          </w:tcPr>
          <w:p w14:paraId="4DB24BA8"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4C0D548E"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3671B456" w14:textId="77777777" w:rsidR="008C5CFA" w:rsidRPr="001C4484" w:rsidRDefault="00E82A60" w:rsidP="00300A01">
            <w:pPr>
              <w:spacing w:before="0" w:after="0"/>
              <w:jc w:val="right"/>
              <w:rPr>
                <w:sz w:val="10"/>
                <w:szCs w:val="10"/>
                <w:lang w:val="fr-BE"/>
              </w:rPr>
            </w:pPr>
            <w:r w:rsidRPr="001C4484">
              <w:rPr>
                <w:noProof/>
                <w:sz w:val="10"/>
                <w:szCs w:val="10"/>
              </w:rPr>
              <w:t>0,00</w:t>
            </w:r>
          </w:p>
        </w:tc>
      </w:tr>
      <w:tr w:rsidR="006B2EC1" w14:paraId="1C21AF10" w14:textId="77777777" w:rsidTr="0047688D">
        <w:tc>
          <w:tcPr>
            <w:tcW w:w="0" w:type="auto"/>
            <w:shd w:val="clear" w:color="auto" w:fill="auto"/>
          </w:tcPr>
          <w:p w14:paraId="424038B3" w14:textId="77777777" w:rsidR="008C5CFA" w:rsidRPr="001C4484" w:rsidRDefault="00E82A60" w:rsidP="00300A01">
            <w:pPr>
              <w:spacing w:before="0" w:after="0"/>
              <w:rPr>
                <w:sz w:val="10"/>
                <w:szCs w:val="10"/>
                <w:lang w:val="fr-BE"/>
              </w:rPr>
            </w:pPr>
            <w:r w:rsidRPr="001C4484">
              <w:rPr>
                <w:noProof/>
                <w:sz w:val="10"/>
                <w:szCs w:val="10"/>
                <w:lang w:val="fr-BE"/>
              </w:rPr>
              <w:t>CO02</w:t>
            </w:r>
          </w:p>
        </w:tc>
        <w:tc>
          <w:tcPr>
            <w:tcW w:w="0" w:type="auto"/>
            <w:shd w:val="clear" w:color="auto" w:fill="auto"/>
          </w:tcPr>
          <w:p w14:paraId="34CBF715" w14:textId="77777777" w:rsidR="008C5CFA" w:rsidRPr="001C4484" w:rsidRDefault="00E82A60" w:rsidP="00300A01">
            <w:pPr>
              <w:spacing w:before="0" w:after="0"/>
              <w:rPr>
                <w:sz w:val="10"/>
                <w:szCs w:val="10"/>
                <w:lang w:val="fr-BE"/>
              </w:rPr>
            </w:pPr>
            <w:r w:rsidRPr="001C4484">
              <w:rPr>
                <w:noProof/>
                <w:sz w:val="10"/>
                <w:szCs w:val="10"/>
                <w:lang w:val="fr-BE"/>
              </w:rPr>
              <w:t>długotrwale bezrobotni</w:t>
            </w:r>
          </w:p>
        </w:tc>
        <w:tc>
          <w:tcPr>
            <w:tcW w:w="0" w:type="auto"/>
            <w:shd w:val="clear" w:color="auto" w:fill="auto"/>
          </w:tcPr>
          <w:p w14:paraId="0FD2A21F"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1EA2294D" w14:textId="77777777" w:rsidR="008C5CFA" w:rsidRPr="001C4484" w:rsidRDefault="00E82A60" w:rsidP="00300A01">
            <w:pPr>
              <w:spacing w:before="0" w:after="0"/>
              <w:jc w:val="right"/>
              <w:rPr>
                <w:sz w:val="10"/>
                <w:szCs w:val="10"/>
              </w:rPr>
            </w:pPr>
            <w:r>
              <w:rPr>
                <w:noProof/>
                <w:sz w:val="10"/>
                <w:szCs w:val="10"/>
              </w:rPr>
              <w:t>54,00</w:t>
            </w:r>
          </w:p>
        </w:tc>
        <w:tc>
          <w:tcPr>
            <w:tcW w:w="0" w:type="auto"/>
            <w:shd w:val="clear" w:color="auto" w:fill="auto"/>
          </w:tcPr>
          <w:p w14:paraId="4E171EA0" w14:textId="77777777" w:rsidR="008C5CFA" w:rsidRPr="001C4484" w:rsidRDefault="00E82A60" w:rsidP="00300A01">
            <w:pPr>
              <w:spacing w:before="0" w:after="0"/>
              <w:jc w:val="right"/>
              <w:rPr>
                <w:sz w:val="10"/>
                <w:szCs w:val="10"/>
              </w:rPr>
            </w:pPr>
            <w:r w:rsidRPr="001C4484">
              <w:rPr>
                <w:noProof/>
                <w:sz w:val="10"/>
                <w:szCs w:val="10"/>
              </w:rPr>
              <w:t>23,00</w:t>
            </w:r>
          </w:p>
        </w:tc>
        <w:tc>
          <w:tcPr>
            <w:tcW w:w="0" w:type="auto"/>
            <w:shd w:val="clear" w:color="auto" w:fill="auto"/>
          </w:tcPr>
          <w:p w14:paraId="67FECE0B" w14:textId="77777777" w:rsidR="008C5CFA" w:rsidRPr="001C4484" w:rsidRDefault="00E82A60" w:rsidP="00300A01">
            <w:pPr>
              <w:spacing w:before="0" w:after="0"/>
              <w:jc w:val="right"/>
              <w:rPr>
                <w:sz w:val="10"/>
                <w:szCs w:val="10"/>
                <w:lang w:val="fr-BE"/>
              </w:rPr>
            </w:pPr>
            <w:r w:rsidRPr="001C4484">
              <w:rPr>
                <w:noProof/>
                <w:sz w:val="10"/>
                <w:szCs w:val="10"/>
              </w:rPr>
              <w:t>31,00</w:t>
            </w:r>
          </w:p>
        </w:tc>
        <w:tc>
          <w:tcPr>
            <w:tcW w:w="0" w:type="auto"/>
          </w:tcPr>
          <w:p w14:paraId="353367BE"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101FC582"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2DE8CBC4" w14:textId="77777777" w:rsidR="008C5CFA" w:rsidRPr="001C4484" w:rsidRDefault="00E82A60" w:rsidP="00300A01">
            <w:pPr>
              <w:spacing w:before="0" w:after="0"/>
              <w:jc w:val="right"/>
              <w:rPr>
                <w:sz w:val="10"/>
                <w:szCs w:val="10"/>
                <w:lang w:val="fr-BE"/>
              </w:rPr>
            </w:pPr>
            <w:r w:rsidRPr="001C4484">
              <w:rPr>
                <w:noProof/>
                <w:sz w:val="10"/>
                <w:szCs w:val="10"/>
              </w:rPr>
              <w:t>0,00</w:t>
            </w:r>
          </w:p>
        </w:tc>
        <w:tc>
          <w:tcPr>
            <w:tcW w:w="0" w:type="auto"/>
          </w:tcPr>
          <w:p w14:paraId="56DDF93D"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1CAF8D9A"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15D80AC4" w14:textId="77777777" w:rsidR="008C5CFA" w:rsidRPr="001C4484" w:rsidRDefault="00E82A60" w:rsidP="00300A01">
            <w:pPr>
              <w:spacing w:before="0" w:after="0"/>
              <w:jc w:val="right"/>
              <w:rPr>
                <w:sz w:val="10"/>
                <w:szCs w:val="10"/>
                <w:lang w:val="fr-BE"/>
              </w:rPr>
            </w:pPr>
            <w:r w:rsidRPr="001C4484">
              <w:rPr>
                <w:noProof/>
                <w:sz w:val="10"/>
                <w:szCs w:val="10"/>
              </w:rPr>
              <w:t>0,00</w:t>
            </w:r>
          </w:p>
        </w:tc>
      </w:tr>
      <w:tr w:rsidR="006B2EC1" w14:paraId="39FE6D92" w14:textId="77777777" w:rsidTr="0047688D">
        <w:tc>
          <w:tcPr>
            <w:tcW w:w="0" w:type="auto"/>
            <w:shd w:val="clear" w:color="auto" w:fill="auto"/>
          </w:tcPr>
          <w:p w14:paraId="5345B295" w14:textId="77777777" w:rsidR="008C5CFA" w:rsidRPr="001C4484" w:rsidRDefault="00E82A60" w:rsidP="00300A01">
            <w:pPr>
              <w:spacing w:before="0" w:after="0"/>
              <w:rPr>
                <w:sz w:val="10"/>
                <w:szCs w:val="10"/>
                <w:lang w:val="fr-BE"/>
              </w:rPr>
            </w:pPr>
            <w:r w:rsidRPr="001C4484">
              <w:rPr>
                <w:noProof/>
                <w:sz w:val="10"/>
                <w:szCs w:val="10"/>
                <w:lang w:val="fr-BE"/>
              </w:rPr>
              <w:t>CO03</w:t>
            </w:r>
          </w:p>
        </w:tc>
        <w:tc>
          <w:tcPr>
            <w:tcW w:w="0" w:type="auto"/>
            <w:shd w:val="clear" w:color="auto" w:fill="auto"/>
          </w:tcPr>
          <w:p w14:paraId="33E0D9B1" w14:textId="77777777" w:rsidR="008C5CFA" w:rsidRPr="001C4484" w:rsidRDefault="00E82A60" w:rsidP="00300A01">
            <w:pPr>
              <w:spacing w:before="0" w:after="0"/>
              <w:rPr>
                <w:sz w:val="10"/>
                <w:szCs w:val="10"/>
                <w:lang w:val="fr-BE"/>
              </w:rPr>
            </w:pPr>
            <w:r w:rsidRPr="001C4484">
              <w:rPr>
                <w:noProof/>
                <w:sz w:val="10"/>
                <w:szCs w:val="10"/>
                <w:lang w:val="fr-BE"/>
              </w:rPr>
              <w:t>osoby bierne zawodowo</w:t>
            </w:r>
          </w:p>
        </w:tc>
        <w:tc>
          <w:tcPr>
            <w:tcW w:w="0" w:type="auto"/>
            <w:shd w:val="clear" w:color="auto" w:fill="auto"/>
          </w:tcPr>
          <w:p w14:paraId="540C33CA"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732BBA13" w14:textId="77777777" w:rsidR="008C5CFA" w:rsidRPr="001C4484" w:rsidRDefault="00E82A60" w:rsidP="00300A01">
            <w:pPr>
              <w:spacing w:before="0" w:after="0"/>
              <w:jc w:val="right"/>
              <w:rPr>
                <w:sz w:val="10"/>
                <w:szCs w:val="10"/>
              </w:rPr>
            </w:pPr>
            <w:r>
              <w:rPr>
                <w:noProof/>
                <w:sz w:val="10"/>
                <w:szCs w:val="10"/>
              </w:rPr>
              <w:t>3 258,00</w:t>
            </w:r>
          </w:p>
        </w:tc>
        <w:tc>
          <w:tcPr>
            <w:tcW w:w="0" w:type="auto"/>
            <w:shd w:val="clear" w:color="auto" w:fill="auto"/>
          </w:tcPr>
          <w:p w14:paraId="6F8E681B" w14:textId="77777777" w:rsidR="008C5CFA" w:rsidRPr="001C4484" w:rsidRDefault="00E82A60" w:rsidP="00300A01">
            <w:pPr>
              <w:spacing w:before="0" w:after="0"/>
              <w:jc w:val="right"/>
              <w:rPr>
                <w:sz w:val="10"/>
                <w:szCs w:val="10"/>
              </w:rPr>
            </w:pPr>
            <w:r w:rsidRPr="001C4484">
              <w:rPr>
                <w:noProof/>
                <w:sz w:val="10"/>
                <w:szCs w:val="10"/>
              </w:rPr>
              <w:t>1 790,00</w:t>
            </w:r>
          </w:p>
        </w:tc>
        <w:tc>
          <w:tcPr>
            <w:tcW w:w="0" w:type="auto"/>
            <w:shd w:val="clear" w:color="auto" w:fill="auto"/>
          </w:tcPr>
          <w:p w14:paraId="453CC1BA" w14:textId="77777777" w:rsidR="008C5CFA" w:rsidRPr="001C4484" w:rsidRDefault="00E82A60" w:rsidP="00300A01">
            <w:pPr>
              <w:spacing w:before="0" w:after="0"/>
              <w:jc w:val="right"/>
              <w:rPr>
                <w:sz w:val="10"/>
                <w:szCs w:val="10"/>
                <w:lang w:val="fr-BE"/>
              </w:rPr>
            </w:pPr>
            <w:r w:rsidRPr="001C4484">
              <w:rPr>
                <w:noProof/>
                <w:sz w:val="10"/>
                <w:szCs w:val="10"/>
              </w:rPr>
              <w:t>1 468,00</w:t>
            </w:r>
          </w:p>
        </w:tc>
        <w:tc>
          <w:tcPr>
            <w:tcW w:w="0" w:type="auto"/>
          </w:tcPr>
          <w:p w14:paraId="46E0E864" w14:textId="77777777" w:rsidR="008C5CFA" w:rsidRPr="001C4484" w:rsidRDefault="00E82A60" w:rsidP="00300A01">
            <w:pPr>
              <w:spacing w:before="0" w:after="0"/>
              <w:jc w:val="right"/>
              <w:rPr>
                <w:sz w:val="10"/>
                <w:szCs w:val="10"/>
              </w:rPr>
            </w:pPr>
            <w:r>
              <w:rPr>
                <w:noProof/>
                <w:sz w:val="10"/>
                <w:szCs w:val="10"/>
              </w:rPr>
              <w:t>2 346,00</w:t>
            </w:r>
          </w:p>
        </w:tc>
        <w:tc>
          <w:tcPr>
            <w:tcW w:w="0" w:type="auto"/>
            <w:shd w:val="clear" w:color="auto" w:fill="auto"/>
          </w:tcPr>
          <w:p w14:paraId="3D402CC7" w14:textId="77777777" w:rsidR="008C5CFA" w:rsidRPr="001C4484" w:rsidRDefault="00E82A60" w:rsidP="00300A01">
            <w:pPr>
              <w:spacing w:before="0" w:after="0"/>
              <w:jc w:val="right"/>
              <w:rPr>
                <w:sz w:val="10"/>
                <w:szCs w:val="10"/>
              </w:rPr>
            </w:pPr>
            <w:r w:rsidRPr="001C4484">
              <w:rPr>
                <w:noProof/>
                <w:sz w:val="10"/>
                <w:szCs w:val="10"/>
              </w:rPr>
              <w:t>1 167,00</w:t>
            </w:r>
          </w:p>
        </w:tc>
        <w:tc>
          <w:tcPr>
            <w:tcW w:w="0" w:type="auto"/>
            <w:shd w:val="clear" w:color="auto" w:fill="auto"/>
          </w:tcPr>
          <w:p w14:paraId="6202B013" w14:textId="77777777" w:rsidR="008C5CFA" w:rsidRPr="001C4484" w:rsidRDefault="00E82A60" w:rsidP="00300A01">
            <w:pPr>
              <w:spacing w:before="0" w:after="0"/>
              <w:jc w:val="right"/>
              <w:rPr>
                <w:sz w:val="10"/>
                <w:szCs w:val="10"/>
                <w:lang w:val="fr-BE"/>
              </w:rPr>
            </w:pPr>
            <w:r w:rsidRPr="001C4484">
              <w:rPr>
                <w:noProof/>
                <w:sz w:val="10"/>
                <w:szCs w:val="10"/>
              </w:rPr>
              <w:t>1 179,00</w:t>
            </w:r>
          </w:p>
        </w:tc>
        <w:tc>
          <w:tcPr>
            <w:tcW w:w="0" w:type="auto"/>
          </w:tcPr>
          <w:p w14:paraId="1C29A451" w14:textId="77777777" w:rsidR="008C5CFA" w:rsidRPr="001C4484" w:rsidRDefault="00E82A60" w:rsidP="00300A01">
            <w:pPr>
              <w:spacing w:before="0" w:after="0"/>
              <w:jc w:val="right"/>
              <w:rPr>
                <w:sz w:val="10"/>
                <w:szCs w:val="10"/>
              </w:rPr>
            </w:pPr>
            <w:r>
              <w:rPr>
                <w:noProof/>
                <w:sz w:val="10"/>
                <w:szCs w:val="10"/>
              </w:rPr>
              <w:t>1 642,00</w:t>
            </w:r>
          </w:p>
        </w:tc>
        <w:tc>
          <w:tcPr>
            <w:tcW w:w="0" w:type="auto"/>
            <w:shd w:val="clear" w:color="auto" w:fill="auto"/>
          </w:tcPr>
          <w:p w14:paraId="049181FC" w14:textId="77777777" w:rsidR="008C5CFA" w:rsidRPr="001C4484" w:rsidRDefault="00E82A60" w:rsidP="00300A01">
            <w:pPr>
              <w:spacing w:before="0" w:after="0"/>
              <w:jc w:val="right"/>
              <w:rPr>
                <w:sz w:val="10"/>
                <w:szCs w:val="10"/>
              </w:rPr>
            </w:pPr>
            <w:r w:rsidRPr="001C4484">
              <w:rPr>
                <w:noProof/>
                <w:sz w:val="10"/>
                <w:szCs w:val="10"/>
              </w:rPr>
              <w:t>989,00</w:t>
            </w:r>
          </w:p>
        </w:tc>
        <w:tc>
          <w:tcPr>
            <w:tcW w:w="0" w:type="auto"/>
            <w:shd w:val="clear" w:color="auto" w:fill="auto"/>
          </w:tcPr>
          <w:p w14:paraId="5D3449C2" w14:textId="77777777" w:rsidR="008C5CFA" w:rsidRPr="001C4484" w:rsidRDefault="00E82A60" w:rsidP="00300A01">
            <w:pPr>
              <w:spacing w:before="0" w:after="0"/>
              <w:jc w:val="right"/>
              <w:rPr>
                <w:sz w:val="10"/>
                <w:szCs w:val="10"/>
                <w:lang w:val="fr-BE"/>
              </w:rPr>
            </w:pPr>
            <w:r w:rsidRPr="001C4484">
              <w:rPr>
                <w:noProof/>
                <w:sz w:val="10"/>
                <w:szCs w:val="10"/>
              </w:rPr>
              <w:t>653,00</w:t>
            </w:r>
          </w:p>
        </w:tc>
      </w:tr>
      <w:tr w:rsidR="006B2EC1" w14:paraId="5134DE2F" w14:textId="77777777" w:rsidTr="0047688D">
        <w:tc>
          <w:tcPr>
            <w:tcW w:w="0" w:type="auto"/>
            <w:shd w:val="clear" w:color="auto" w:fill="auto"/>
          </w:tcPr>
          <w:p w14:paraId="70BE4890" w14:textId="77777777" w:rsidR="008C5CFA" w:rsidRPr="001C4484" w:rsidRDefault="00E82A60" w:rsidP="00300A01">
            <w:pPr>
              <w:spacing w:before="0" w:after="0"/>
              <w:rPr>
                <w:sz w:val="10"/>
                <w:szCs w:val="10"/>
                <w:lang w:val="fr-BE"/>
              </w:rPr>
            </w:pPr>
            <w:r w:rsidRPr="001C4484">
              <w:rPr>
                <w:noProof/>
                <w:sz w:val="10"/>
                <w:szCs w:val="10"/>
                <w:lang w:val="fr-BE"/>
              </w:rPr>
              <w:t>CO04</w:t>
            </w:r>
          </w:p>
        </w:tc>
        <w:tc>
          <w:tcPr>
            <w:tcW w:w="0" w:type="auto"/>
            <w:shd w:val="clear" w:color="auto" w:fill="auto"/>
          </w:tcPr>
          <w:p w14:paraId="4EF2A3F0" w14:textId="77777777" w:rsidR="008C5CFA" w:rsidRPr="001C4484" w:rsidRDefault="00E82A60" w:rsidP="00300A01">
            <w:pPr>
              <w:spacing w:before="0" w:after="0"/>
              <w:rPr>
                <w:sz w:val="10"/>
                <w:szCs w:val="10"/>
                <w:lang w:val="fr-BE"/>
              </w:rPr>
            </w:pPr>
            <w:r w:rsidRPr="001C4484">
              <w:rPr>
                <w:noProof/>
                <w:sz w:val="10"/>
                <w:szCs w:val="10"/>
                <w:lang w:val="fr-BE"/>
              </w:rPr>
              <w:t>osoby bierne zawodowo, nieuczestniczące w kształceniu ani szkoleniu</w:t>
            </w:r>
          </w:p>
        </w:tc>
        <w:tc>
          <w:tcPr>
            <w:tcW w:w="0" w:type="auto"/>
            <w:shd w:val="clear" w:color="auto" w:fill="auto"/>
          </w:tcPr>
          <w:p w14:paraId="4D88101E"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77DF383F" w14:textId="77777777" w:rsidR="008C5CFA" w:rsidRPr="001C4484" w:rsidRDefault="00E82A60" w:rsidP="00300A01">
            <w:pPr>
              <w:spacing w:before="0" w:after="0"/>
              <w:jc w:val="right"/>
              <w:rPr>
                <w:sz w:val="10"/>
                <w:szCs w:val="10"/>
              </w:rPr>
            </w:pPr>
            <w:r>
              <w:rPr>
                <w:noProof/>
                <w:sz w:val="10"/>
                <w:szCs w:val="10"/>
              </w:rPr>
              <w:t>39,00</w:t>
            </w:r>
          </w:p>
        </w:tc>
        <w:tc>
          <w:tcPr>
            <w:tcW w:w="0" w:type="auto"/>
            <w:shd w:val="clear" w:color="auto" w:fill="auto"/>
          </w:tcPr>
          <w:p w14:paraId="497DB190" w14:textId="77777777" w:rsidR="008C5CFA" w:rsidRPr="001C4484" w:rsidRDefault="00E82A60" w:rsidP="00300A01">
            <w:pPr>
              <w:spacing w:before="0" w:after="0"/>
              <w:jc w:val="right"/>
              <w:rPr>
                <w:sz w:val="10"/>
                <w:szCs w:val="10"/>
              </w:rPr>
            </w:pPr>
            <w:r w:rsidRPr="001C4484">
              <w:rPr>
                <w:noProof/>
                <w:sz w:val="10"/>
                <w:szCs w:val="10"/>
              </w:rPr>
              <w:t>6,00</w:t>
            </w:r>
          </w:p>
        </w:tc>
        <w:tc>
          <w:tcPr>
            <w:tcW w:w="0" w:type="auto"/>
            <w:shd w:val="clear" w:color="auto" w:fill="auto"/>
          </w:tcPr>
          <w:p w14:paraId="7611B1B5" w14:textId="77777777" w:rsidR="008C5CFA" w:rsidRPr="001C4484" w:rsidRDefault="00E82A60" w:rsidP="00300A01">
            <w:pPr>
              <w:spacing w:before="0" w:after="0"/>
              <w:jc w:val="right"/>
              <w:rPr>
                <w:sz w:val="10"/>
                <w:szCs w:val="10"/>
                <w:lang w:val="fr-BE"/>
              </w:rPr>
            </w:pPr>
            <w:r w:rsidRPr="001C4484">
              <w:rPr>
                <w:noProof/>
                <w:sz w:val="10"/>
                <w:szCs w:val="10"/>
              </w:rPr>
              <w:t>33,00</w:t>
            </w:r>
          </w:p>
        </w:tc>
        <w:tc>
          <w:tcPr>
            <w:tcW w:w="0" w:type="auto"/>
          </w:tcPr>
          <w:p w14:paraId="1FDB6923"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3F5D2B46"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7451E1CF" w14:textId="77777777" w:rsidR="008C5CFA" w:rsidRPr="001C4484" w:rsidRDefault="00E82A60" w:rsidP="00300A01">
            <w:pPr>
              <w:spacing w:before="0" w:after="0"/>
              <w:jc w:val="right"/>
              <w:rPr>
                <w:sz w:val="10"/>
                <w:szCs w:val="10"/>
                <w:lang w:val="fr-BE"/>
              </w:rPr>
            </w:pPr>
            <w:r w:rsidRPr="001C4484">
              <w:rPr>
                <w:noProof/>
                <w:sz w:val="10"/>
                <w:szCs w:val="10"/>
              </w:rPr>
              <w:t>0,00</w:t>
            </w:r>
          </w:p>
        </w:tc>
        <w:tc>
          <w:tcPr>
            <w:tcW w:w="0" w:type="auto"/>
          </w:tcPr>
          <w:p w14:paraId="0450CA0C"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2A63EDFA"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56AD4B76" w14:textId="77777777" w:rsidR="008C5CFA" w:rsidRPr="001C4484" w:rsidRDefault="00E82A60" w:rsidP="00300A01">
            <w:pPr>
              <w:spacing w:before="0" w:after="0"/>
              <w:jc w:val="right"/>
              <w:rPr>
                <w:sz w:val="10"/>
                <w:szCs w:val="10"/>
                <w:lang w:val="fr-BE"/>
              </w:rPr>
            </w:pPr>
            <w:r w:rsidRPr="001C4484">
              <w:rPr>
                <w:noProof/>
                <w:sz w:val="10"/>
                <w:szCs w:val="10"/>
              </w:rPr>
              <w:t>0,00</w:t>
            </w:r>
          </w:p>
        </w:tc>
      </w:tr>
      <w:tr w:rsidR="006B2EC1" w14:paraId="35D0BAAA" w14:textId="77777777" w:rsidTr="0047688D">
        <w:tc>
          <w:tcPr>
            <w:tcW w:w="0" w:type="auto"/>
            <w:shd w:val="clear" w:color="auto" w:fill="auto"/>
          </w:tcPr>
          <w:p w14:paraId="743C95A0" w14:textId="77777777" w:rsidR="008C5CFA" w:rsidRPr="001C4484" w:rsidRDefault="00E82A60" w:rsidP="00300A01">
            <w:pPr>
              <w:spacing w:before="0" w:after="0"/>
              <w:rPr>
                <w:sz w:val="10"/>
                <w:szCs w:val="10"/>
                <w:lang w:val="fr-BE"/>
              </w:rPr>
            </w:pPr>
            <w:r w:rsidRPr="001C4484">
              <w:rPr>
                <w:noProof/>
                <w:sz w:val="10"/>
                <w:szCs w:val="10"/>
                <w:lang w:val="fr-BE"/>
              </w:rPr>
              <w:t>CO05</w:t>
            </w:r>
          </w:p>
        </w:tc>
        <w:tc>
          <w:tcPr>
            <w:tcW w:w="0" w:type="auto"/>
            <w:shd w:val="clear" w:color="auto" w:fill="auto"/>
          </w:tcPr>
          <w:p w14:paraId="5345122F" w14:textId="77777777" w:rsidR="008C5CFA" w:rsidRPr="001C4484" w:rsidRDefault="00E82A60" w:rsidP="00300A01">
            <w:pPr>
              <w:spacing w:before="0" w:after="0"/>
              <w:rPr>
                <w:sz w:val="10"/>
                <w:szCs w:val="10"/>
                <w:lang w:val="fr-BE"/>
              </w:rPr>
            </w:pPr>
            <w:r w:rsidRPr="001C4484">
              <w:rPr>
                <w:noProof/>
                <w:sz w:val="10"/>
                <w:szCs w:val="10"/>
                <w:lang w:val="fr-BE"/>
              </w:rPr>
              <w:t>osoby pracujące, łącznie z prowadzącymi działalność na własny rachunek</w:t>
            </w:r>
          </w:p>
        </w:tc>
        <w:tc>
          <w:tcPr>
            <w:tcW w:w="0" w:type="auto"/>
            <w:shd w:val="clear" w:color="auto" w:fill="auto"/>
          </w:tcPr>
          <w:p w14:paraId="1BD7870B"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36646F0A" w14:textId="77777777" w:rsidR="008C5CFA" w:rsidRPr="001C4484" w:rsidRDefault="00E82A60" w:rsidP="00300A01">
            <w:pPr>
              <w:spacing w:before="0" w:after="0"/>
              <w:jc w:val="right"/>
              <w:rPr>
                <w:sz w:val="10"/>
                <w:szCs w:val="10"/>
              </w:rPr>
            </w:pPr>
            <w:r>
              <w:rPr>
                <w:noProof/>
                <w:sz w:val="10"/>
                <w:szCs w:val="10"/>
              </w:rPr>
              <w:t>1 111,00</w:t>
            </w:r>
          </w:p>
        </w:tc>
        <w:tc>
          <w:tcPr>
            <w:tcW w:w="0" w:type="auto"/>
            <w:shd w:val="clear" w:color="auto" w:fill="auto"/>
          </w:tcPr>
          <w:p w14:paraId="46049565" w14:textId="77777777" w:rsidR="008C5CFA" w:rsidRPr="001C4484" w:rsidRDefault="00E82A60" w:rsidP="00300A01">
            <w:pPr>
              <w:spacing w:before="0" w:after="0"/>
              <w:jc w:val="right"/>
              <w:rPr>
                <w:sz w:val="10"/>
                <w:szCs w:val="10"/>
              </w:rPr>
            </w:pPr>
            <w:r w:rsidRPr="001C4484">
              <w:rPr>
                <w:noProof/>
                <w:sz w:val="10"/>
                <w:szCs w:val="10"/>
              </w:rPr>
              <w:t>664,00</w:t>
            </w:r>
          </w:p>
        </w:tc>
        <w:tc>
          <w:tcPr>
            <w:tcW w:w="0" w:type="auto"/>
            <w:shd w:val="clear" w:color="auto" w:fill="auto"/>
          </w:tcPr>
          <w:p w14:paraId="38E41776" w14:textId="77777777" w:rsidR="008C5CFA" w:rsidRPr="001C4484" w:rsidRDefault="00E82A60" w:rsidP="00300A01">
            <w:pPr>
              <w:spacing w:before="0" w:after="0"/>
              <w:jc w:val="right"/>
              <w:rPr>
                <w:sz w:val="10"/>
                <w:szCs w:val="10"/>
                <w:lang w:val="fr-BE"/>
              </w:rPr>
            </w:pPr>
            <w:r w:rsidRPr="001C4484">
              <w:rPr>
                <w:noProof/>
                <w:sz w:val="10"/>
                <w:szCs w:val="10"/>
              </w:rPr>
              <w:t>447,00</w:t>
            </w:r>
          </w:p>
        </w:tc>
        <w:tc>
          <w:tcPr>
            <w:tcW w:w="0" w:type="auto"/>
          </w:tcPr>
          <w:p w14:paraId="2164E68E" w14:textId="77777777" w:rsidR="008C5CFA" w:rsidRPr="001C4484" w:rsidRDefault="00E82A60" w:rsidP="00300A01">
            <w:pPr>
              <w:spacing w:before="0" w:after="0"/>
              <w:jc w:val="right"/>
              <w:rPr>
                <w:sz w:val="10"/>
                <w:szCs w:val="10"/>
              </w:rPr>
            </w:pPr>
            <w:r>
              <w:rPr>
                <w:noProof/>
                <w:sz w:val="10"/>
                <w:szCs w:val="10"/>
              </w:rPr>
              <w:t>103,00</w:t>
            </w:r>
          </w:p>
        </w:tc>
        <w:tc>
          <w:tcPr>
            <w:tcW w:w="0" w:type="auto"/>
            <w:shd w:val="clear" w:color="auto" w:fill="auto"/>
          </w:tcPr>
          <w:p w14:paraId="36EDA383" w14:textId="77777777" w:rsidR="008C5CFA" w:rsidRPr="001C4484" w:rsidRDefault="00E82A60" w:rsidP="00300A01">
            <w:pPr>
              <w:spacing w:before="0" w:after="0"/>
              <w:jc w:val="right"/>
              <w:rPr>
                <w:sz w:val="10"/>
                <w:szCs w:val="10"/>
              </w:rPr>
            </w:pPr>
            <w:r w:rsidRPr="001C4484">
              <w:rPr>
                <w:noProof/>
                <w:sz w:val="10"/>
                <w:szCs w:val="10"/>
              </w:rPr>
              <w:t>34,00</w:t>
            </w:r>
          </w:p>
        </w:tc>
        <w:tc>
          <w:tcPr>
            <w:tcW w:w="0" w:type="auto"/>
            <w:shd w:val="clear" w:color="auto" w:fill="auto"/>
          </w:tcPr>
          <w:p w14:paraId="55A6AED5" w14:textId="77777777" w:rsidR="008C5CFA" w:rsidRPr="001C4484" w:rsidRDefault="00E82A60" w:rsidP="00300A01">
            <w:pPr>
              <w:spacing w:before="0" w:after="0"/>
              <w:jc w:val="right"/>
              <w:rPr>
                <w:sz w:val="10"/>
                <w:szCs w:val="10"/>
                <w:lang w:val="fr-BE"/>
              </w:rPr>
            </w:pPr>
            <w:r w:rsidRPr="001C4484">
              <w:rPr>
                <w:noProof/>
                <w:sz w:val="10"/>
                <w:szCs w:val="10"/>
              </w:rPr>
              <w:t>69,00</w:t>
            </w:r>
          </w:p>
        </w:tc>
        <w:tc>
          <w:tcPr>
            <w:tcW w:w="0" w:type="auto"/>
          </w:tcPr>
          <w:p w14:paraId="768DFDD6" w14:textId="77777777" w:rsidR="008C5CFA" w:rsidRPr="001C4484" w:rsidRDefault="00E82A60" w:rsidP="00300A01">
            <w:pPr>
              <w:spacing w:before="0" w:after="0"/>
              <w:jc w:val="right"/>
              <w:rPr>
                <w:sz w:val="10"/>
                <w:szCs w:val="10"/>
              </w:rPr>
            </w:pPr>
            <w:r>
              <w:rPr>
                <w:noProof/>
                <w:sz w:val="10"/>
                <w:szCs w:val="10"/>
              </w:rPr>
              <w:t>61,00</w:t>
            </w:r>
          </w:p>
        </w:tc>
        <w:tc>
          <w:tcPr>
            <w:tcW w:w="0" w:type="auto"/>
            <w:shd w:val="clear" w:color="auto" w:fill="auto"/>
          </w:tcPr>
          <w:p w14:paraId="4050007D" w14:textId="77777777" w:rsidR="008C5CFA" w:rsidRPr="001C4484" w:rsidRDefault="00E82A60" w:rsidP="00300A01">
            <w:pPr>
              <w:spacing w:before="0" w:after="0"/>
              <w:jc w:val="right"/>
              <w:rPr>
                <w:sz w:val="10"/>
                <w:szCs w:val="10"/>
              </w:rPr>
            </w:pPr>
            <w:r w:rsidRPr="001C4484">
              <w:rPr>
                <w:noProof/>
                <w:sz w:val="10"/>
                <w:szCs w:val="10"/>
              </w:rPr>
              <w:t>26,00</w:t>
            </w:r>
          </w:p>
        </w:tc>
        <w:tc>
          <w:tcPr>
            <w:tcW w:w="0" w:type="auto"/>
            <w:shd w:val="clear" w:color="auto" w:fill="auto"/>
          </w:tcPr>
          <w:p w14:paraId="582F9E17" w14:textId="77777777" w:rsidR="008C5CFA" w:rsidRPr="001C4484" w:rsidRDefault="00E82A60" w:rsidP="00300A01">
            <w:pPr>
              <w:spacing w:before="0" w:after="0"/>
              <w:jc w:val="right"/>
              <w:rPr>
                <w:sz w:val="10"/>
                <w:szCs w:val="10"/>
                <w:lang w:val="fr-BE"/>
              </w:rPr>
            </w:pPr>
            <w:r w:rsidRPr="001C4484">
              <w:rPr>
                <w:noProof/>
                <w:sz w:val="10"/>
                <w:szCs w:val="10"/>
              </w:rPr>
              <w:t>35,00</w:t>
            </w:r>
          </w:p>
        </w:tc>
      </w:tr>
      <w:tr w:rsidR="006B2EC1" w14:paraId="6207E527" w14:textId="77777777" w:rsidTr="0047688D">
        <w:tc>
          <w:tcPr>
            <w:tcW w:w="0" w:type="auto"/>
            <w:shd w:val="clear" w:color="auto" w:fill="auto"/>
          </w:tcPr>
          <w:p w14:paraId="2395CB39" w14:textId="77777777" w:rsidR="008C5CFA" w:rsidRPr="001C4484" w:rsidRDefault="00E82A60" w:rsidP="00300A01">
            <w:pPr>
              <w:spacing w:before="0" w:after="0"/>
              <w:rPr>
                <w:sz w:val="10"/>
                <w:szCs w:val="10"/>
                <w:lang w:val="fr-BE"/>
              </w:rPr>
            </w:pPr>
            <w:r w:rsidRPr="001C4484">
              <w:rPr>
                <w:noProof/>
                <w:sz w:val="10"/>
                <w:szCs w:val="10"/>
                <w:lang w:val="fr-BE"/>
              </w:rPr>
              <w:t>CO06</w:t>
            </w:r>
          </w:p>
        </w:tc>
        <w:tc>
          <w:tcPr>
            <w:tcW w:w="0" w:type="auto"/>
            <w:shd w:val="clear" w:color="auto" w:fill="auto"/>
          </w:tcPr>
          <w:p w14:paraId="44A21DC7" w14:textId="77777777" w:rsidR="008C5CFA" w:rsidRPr="001C4484" w:rsidRDefault="00E82A60" w:rsidP="00300A01">
            <w:pPr>
              <w:spacing w:before="0" w:after="0"/>
              <w:rPr>
                <w:sz w:val="10"/>
                <w:szCs w:val="10"/>
                <w:lang w:val="fr-BE"/>
              </w:rPr>
            </w:pPr>
            <w:r w:rsidRPr="001C4484">
              <w:rPr>
                <w:noProof/>
                <w:sz w:val="10"/>
                <w:szCs w:val="10"/>
                <w:lang w:val="fr-BE"/>
              </w:rPr>
              <w:t>osoby w wieku poniżej 25 lat</w:t>
            </w:r>
          </w:p>
        </w:tc>
        <w:tc>
          <w:tcPr>
            <w:tcW w:w="0" w:type="auto"/>
            <w:shd w:val="clear" w:color="auto" w:fill="auto"/>
          </w:tcPr>
          <w:p w14:paraId="1A5D2D7E"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03A6F838" w14:textId="77777777" w:rsidR="008C5CFA" w:rsidRPr="001C4484" w:rsidRDefault="00E82A60" w:rsidP="00300A01">
            <w:pPr>
              <w:spacing w:before="0" w:after="0"/>
              <w:jc w:val="right"/>
              <w:rPr>
                <w:sz w:val="10"/>
                <w:szCs w:val="10"/>
              </w:rPr>
            </w:pPr>
            <w:r>
              <w:rPr>
                <w:noProof/>
                <w:sz w:val="10"/>
                <w:szCs w:val="10"/>
              </w:rPr>
              <w:t>3 378,00</w:t>
            </w:r>
          </w:p>
        </w:tc>
        <w:tc>
          <w:tcPr>
            <w:tcW w:w="0" w:type="auto"/>
            <w:shd w:val="clear" w:color="auto" w:fill="auto"/>
          </w:tcPr>
          <w:p w14:paraId="378D2DB9" w14:textId="77777777" w:rsidR="008C5CFA" w:rsidRPr="001C4484" w:rsidRDefault="00E82A60" w:rsidP="00300A01">
            <w:pPr>
              <w:spacing w:before="0" w:after="0"/>
              <w:jc w:val="right"/>
              <w:rPr>
                <w:sz w:val="10"/>
                <w:szCs w:val="10"/>
              </w:rPr>
            </w:pPr>
            <w:r w:rsidRPr="001C4484">
              <w:rPr>
                <w:noProof/>
                <w:sz w:val="10"/>
                <w:szCs w:val="10"/>
              </w:rPr>
              <w:t>1 899,00</w:t>
            </w:r>
          </w:p>
        </w:tc>
        <w:tc>
          <w:tcPr>
            <w:tcW w:w="0" w:type="auto"/>
            <w:shd w:val="clear" w:color="auto" w:fill="auto"/>
          </w:tcPr>
          <w:p w14:paraId="3E1FE095" w14:textId="77777777" w:rsidR="008C5CFA" w:rsidRPr="001C4484" w:rsidRDefault="00E82A60" w:rsidP="00300A01">
            <w:pPr>
              <w:spacing w:before="0" w:after="0"/>
              <w:jc w:val="right"/>
              <w:rPr>
                <w:sz w:val="10"/>
                <w:szCs w:val="10"/>
                <w:lang w:val="fr-BE"/>
              </w:rPr>
            </w:pPr>
            <w:r w:rsidRPr="001C4484">
              <w:rPr>
                <w:noProof/>
                <w:sz w:val="10"/>
                <w:szCs w:val="10"/>
              </w:rPr>
              <w:t>1 479,00</w:t>
            </w:r>
          </w:p>
        </w:tc>
        <w:tc>
          <w:tcPr>
            <w:tcW w:w="0" w:type="auto"/>
          </w:tcPr>
          <w:p w14:paraId="67F78DD1" w14:textId="77777777" w:rsidR="008C5CFA" w:rsidRPr="001C4484" w:rsidRDefault="00E82A60" w:rsidP="00300A01">
            <w:pPr>
              <w:spacing w:before="0" w:after="0"/>
              <w:jc w:val="right"/>
              <w:rPr>
                <w:sz w:val="10"/>
                <w:szCs w:val="10"/>
              </w:rPr>
            </w:pPr>
            <w:r>
              <w:rPr>
                <w:noProof/>
                <w:sz w:val="10"/>
                <w:szCs w:val="10"/>
              </w:rPr>
              <w:t>2 342,00</w:t>
            </w:r>
          </w:p>
        </w:tc>
        <w:tc>
          <w:tcPr>
            <w:tcW w:w="0" w:type="auto"/>
            <w:shd w:val="clear" w:color="auto" w:fill="auto"/>
          </w:tcPr>
          <w:p w14:paraId="1F087507" w14:textId="77777777" w:rsidR="008C5CFA" w:rsidRPr="001C4484" w:rsidRDefault="00E82A60" w:rsidP="00300A01">
            <w:pPr>
              <w:spacing w:before="0" w:after="0"/>
              <w:jc w:val="right"/>
              <w:rPr>
                <w:sz w:val="10"/>
                <w:szCs w:val="10"/>
              </w:rPr>
            </w:pPr>
            <w:r w:rsidRPr="001C4484">
              <w:rPr>
                <w:noProof/>
                <w:sz w:val="10"/>
                <w:szCs w:val="10"/>
              </w:rPr>
              <w:t>1 168,00</w:t>
            </w:r>
          </w:p>
        </w:tc>
        <w:tc>
          <w:tcPr>
            <w:tcW w:w="0" w:type="auto"/>
            <w:shd w:val="clear" w:color="auto" w:fill="auto"/>
          </w:tcPr>
          <w:p w14:paraId="227E48D0" w14:textId="77777777" w:rsidR="008C5CFA" w:rsidRPr="001C4484" w:rsidRDefault="00E82A60" w:rsidP="00300A01">
            <w:pPr>
              <w:spacing w:before="0" w:after="0"/>
              <w:jc w:val="right"/>
              <w:rPr>
                <w:sz w:val="10"/>
                <w:szCs w:val="10"/>
                <w:lang w:val="fr-BE"/>
              </w:rPr>
            </w:pPr>
            <w:r w:rsidRPr="001C4484">
              <w:rPr>
                <w:noProof/>
                <w:sz w:val="10"/>
                <w:szCs w:val="10"/>
              </w:rPr>
              <w:t>1 174,00</w:t>
            </w:r>
          </w:p>
        </w:tc>
        <w:tc>
          <w:tcPr>
            <w:tcW w:w="0" w:type="auto"/>
          </w:tcPr>
          <w:p w14:paraId="61BC2109" w14:textId="77777777" w:rsidR="008C5CFA" w:rsidRPr="001C4484" w:rsidRDefault="00E82A60" w:rsidP="00300A01">
            <w:pPr>
              <w:spacing w:before="0" w:after="0"/>
              <w:jc w:val="right"/>
              <w:rPr>
                <w:sz w:val="10"/>
                <w:szCs w:val="10"/>
              </w:rPr>
            </w:pPr>
            <w:r>
              <w:rPr>
                <w:noProof/>
                <w:sz w:val="10"/>
                <w:szCs w:val="10"/>
              </w:rPr>
              <w:t>1 638,00</w:t>
            </w:r>
          </w:p>
        </w:tc>
        <w:tc>
          <w:tcPr>
            <w:tcW w:w="0" w:type="auto"/>
            <w:shd w:val="clear" w:color="auto" w:fill="auto"/>
          </w:tcPr>
          <w:p w14:paraId="094C4F6F" w14:textId="77777777" w:rsidR="008C5CFA" w:rsidRPr="001C4484" w:rsidRDefault="00E82A60" w:rsidP="00300A01">
            <w:pPr>
              <w:spacing w:before="0" w:after="0"/>
              <w:jc w:val="right"/>
              <w:rPr>
                <w:sz w:val="10"/>
                <w:szCs w:val="10"/>
              </w:rPr>
            </w:pPr>
            <w:r w:rsidRPr="001C4484">
              <w:rPr>
                <w:noProof/>
                <w:sz w:val="10"/>
                <w:szCs w:val="10"/>
              </w:rPr>
              <w:t>989,00</w:t>
            </w:r>
          </w:p>
        </w:tc>
        <w:tc>
          <w:tcPr>
            <w:tcW w:w="0" w:type="auto"/>
            <w:shd w:val="clear" w:color="auto" w:fill="auto"/>
          </w:tcPr>
          <w:p w14:paraId="4F8FFDC9" w14:textId="77777777" w:rsidR="008C5CFA" w:rsidRPr="001C4484" w:rsidRDefault="00E82A60" w:rsidP="00300A01">
            <w:pPr>
              <w:spacing w:before="0" w:after="0"/>
              <w:jc w:val="right"/>
              <w:rPr>
                <w:sz w:val="10"/>
                <w:szCs w:val="10"/>
                <w:lang w:val="fr-BE"/>
              </w:rPr>
            </w:pPr>
            <w:r w:rsidRPr="001C4484">
              <w:rPr>
                <w:noProof/>
                <w:sz w:val="10"/>
                <w:szCs w:val="10"/>
              </w:rPr>
              <w:t>649,00</w:t>
            </w:r>
          </w:p>
        </w:tc>
      </w:tr>
      <w:tr w:rsidR="006B2EC1" w14:paraId="52250B7F" w14:textId="77777777" w:rsidTr="0047688D">
        <w:tc>
          <w:tcPr>
            <w:tcW w:w="0" w:type="auto"/>
            <w:shd w:val="clear" w:color="auto" w:fill="auto"/>
          </w:tcPr>
          <w:p w14:paraId="63EF00E7" w14:textId="77777777" w:rsidR="008C5CFA" w:rsidRPr="001C4484" w:rsidRDefault="00E82A60" w:rsidP="00300A01">
            <w:pPr>
              <w:spacing w:before="0" w:after="0"/>
              <w:rPr>
                <w:sz w:val="10"/>
                <w:szCs w:val="10"/>
                <w:lang w:val="fr-BE"/>
              </w:rPr>
            </w:pPr>
            <w:r w:rsidRPr="001C4484">
              <w:rPr>
                <w:noProof/>
                <w:sz w:val="10"/>
                <w:szCs w:val="10"/>
                <w:lang w:val="fr-BE"/>
              </w:rPr>
              <w:t>CO07</w:t>
            </w:r>
          </w:p>
        </w:tc>
        <w:tc>
          <w:tcPr>
            <w:tcW w:w="0" w:type="auto"/>
            <w:shd w:val="clear" w:color="auto" w:fill="auto"/>
          </w:tcPr>
          <w:p w14:paraId="630281CC" w14:textId="77777777" w:rsidR="008C5CFA" w:rsidRPr="001C4484" w:rsidRDefault="00E82A60" w:rsidP="00300A01">
            <w:pPr>
              <w:spacing w:before="0" w:after="0"/>
              <w:rPr>
                <w:sz w:val="10"/>
                <w:szCs w:val="10"/>
                <w:lang w:val="fr-BE"/>
              </w:rPr>
            </w:pPr>
            <w:r w:rsidRPr="001C4484">
              <w:rPr>
                <w:noProof/>
                <w:sz w:val="10"/>
                <w:szCs w:val="10"/>
                <w:lang w:val="fr-BE"/>
              </w:rPr>
              <w:t>osoby w wieku powyżej 54 lat</w:t>
            </w:r>
          </w:p>
        </w:tc>
        <w:tc>
          <w:tcPr>
            <w:tcW w:w="0" w:type="auto"/>
            <w:shd w:val="clear" w:color="auto" w:fill="auto"/>
          </w:tcPr>
          <w:p w14:paraId="723A4DD1"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41C83B8B" w14:textId="77777777" w:rsidR="008C5CFA" w:rsidRPr="001C4484" w:rsidRDefault="00E82A60" w:rsidP="00300A01">
            <w:pPr>
              <w:spacing w:before="0" w:after="0"/>
              <w:jc w:val="right"/>
              <w:rPr>
                <w:sz w:val="10"/>
                <w:szCs w:val="10"/>
              </w:rPr>
            </w:pPr>
            <w:r>
              <w:rPr>
                <w:noProof/>
                <w:sz w:val="10"/>
                <w:szCs w:val="10"/>
              </w:rPr>
              <w:t>173,00</w:t>
            </w:r>
          </w:p>
        </w:tc>
        <w:tc>
          <w:tcPr>
            <w:tcW w:w="0" w:type="auto"/>
            <w:shd w:val="clear" w:color="auto" w:fill="auto"/>
          </w:tcPr>
          <w:p w14:paraId="39A11DA3" w14:textId="77777777" w:rsidR="008C5CFA" w:rsidRPr="001C4484" w:rsidRDefault="00E82A60" w:rsidP="00300A01">
            <w:pPr>
              <w:spacing w:before="0" w:after="0"/>
              <w:jc w:val="right"/>
              <w:rPr>
                <w:sz w:val="10"/>
                <w:szCs w:val="10"/>
              </w:rPr>
            </w:pPr>
            <w:r w:rsidRPr="001C4484">
              <w:rPr>
                <w:noProof/>
                <w:sz w:val="10"/>
                <w:szCs w:val="10"/>
              </w:rPr>
              <w:t>87,00</w:t>
            </w:r>
          </w:p>
        </w:tc>
        <w:tc>
          <w:tcPr>
            <w:tcW w:w="0" w:type="auto"/>
            <w:shd w:val="clear" w:color="auto" w:fill="auto"/>
          </w:tcPr>
          <w:p w14:paraId="74FABD65" w14:textId="77777777" w:rsidR="008C5CFA" w:rsidRPr="001C4484" w:rsidRDefault="00E82A60" w:rsidP="00300A01">
            <w:pPr>
              <w:spacing w:before="0" w:after="0"/>
              <w:jc w:val="right"/>
              <w:rPr>
                <w:sz w:val="10"/>
                <w:szCs w:val="10"/>
                <w:lang w:val="fr-BE"/>
              </w:rPr>
            </w:pPr>
            <w:r w:rsidRPr="001C4484">
              <w:rPr>
                <w:noProof/>
                <w:sz w:val="10"/>
                <w:szCs w:val="10"/>
              </w:rPr>
              <w:t>86,00</w:t>
            </w:r>
          </w:p>
        </w:tc>
        <w:tc>
          <w:tcPr>
            <w:tcW w:w="0" w:type="auto"/>
          </w:tcPr>
          <w:p w14:paraId="5240BAF6" w14:textId="77777777" w:rsidR="008C5CFA" w:rsidRPr="001C4484" w:rsidRDefault="00E82A60" w:rsidP="00300A01">
            <w:pPr>
              <w:spacing w:before="0" w:after="0"/>
              <w:jc w:val="right"/>
              <w:rPr>
                <w:sz w:val="10"/>
                <w:szCs w:val="10"/>
              </w:rPr>
            </w:pPr>
            <w:r>
              <w:rPr>
                <w:noProof/>
                <w:sz w:val="10"/>
                <w:szCs w:val="10"/>
              </w:rPr>
              <w:t>9,00</w:t>
            </w:r>
          </w:p>
        </w:tc>
        <w:tc>
          <w:tcPr>
            <w:tcW w:w="0" w:type="auto"/>
            <w:shd w:val="clear" w:color="auto" w:fill="auto"/>
          </w:tcPr>
          <w:p w14:paraId="18513F2B" w14:textId="77777777" w:rsidR="008C5CFA" w:rsidRPr="001C4484" w:rsidRDefault="00E82A60" w:rsidP="00300A01">
            <w:pPr>
              <w:spacing w:before="0" w:after="0"/>
              <w:jc w:val="right"/>
              <w:rPr>
                <w:sz w:val="10"/>
                <w:szCs w:val="10"/>
              </w:rPr>
            </w:pPr>
            <w:r w:rsidRPr="001C4484">
              <w:rPr>
                <w:noProof/>
                <w:sz w:val="10"/>
                <w:szCs w:val="10"/>
              </w:rPr>
              <w:t>2,00</w:t>
            </w:r>
          </w:p>
        </w:tc>
        <w:tc>
          <w:tcPr>
            <w:tcW w:w="0" w:type="auto"/>
            <w:shd w:val="clear" w:color="auto" w:fill="auto"/>
          </w:tcPr>
          <w:p w14:paraId="7FF11940" w14:textId="77777777" w:rsidR="008C5CFA" w:rsidRPr="001C4484" w:rsidRDefault="00E82A60" w:rsidP="00300A01">
            <w:pPr>
              <w:spacing w:before="0" w:after="0"/>
              <w:jc w:val="right"/>
              <w:rPr>
                <w:sz w:val="10"/>
                <w:szCs w:val="10"/>
                <w:lang w:val="fr-BE"/>
              </w:rPr>
            </w:pPr>
            <w:r w:rsidRPr="001C4484">
              <w:rPr>
                <w:noProof/>
                <w:sz w:val="10"/>
                <w:szCs w:val="10"/>
              </w:rPr>
              <w:t>7,00</w:t>
            </w:r>
          </w:p>
        </w:tc>
        <w:tc>
          <w:tcPr>
            <w:tcW w:w="0" w:type="auto"/>
          </w:tcPr>
          <w:p w14:paraId="5F62BB23" w14:textId="77777777" w:rsidR="008C5CFA" w:rsidRPr="001C4484" w:rsidRDefault="00E82A60" w:rsidP="00300A01">
            <w:pPr>
              <w:spacing w:before="0" w:after="0"/>
              <w:jc w:val="right"/>
              <w:rPr>
                <w:sz w:val="10"/>
                <w:szCs w:val="10"/>
              </w:rPr>
            </w:pPr>
            <w:r>
              <w:rPr>
                <w:noProof/>
                <w:sz w:val="10"/>
                <w:szCs w:val="10"/>
              </w:rPr>
              <w:t>7,00</w:t>
            </w:r>
          </w:p>
        </w:tc>
        <w:tc>
          <w:tcPr>
            <w:tcW w:w="0" w:type="auto"/>
            <w:shd w:val="clear" w:color="auto" w:fill="auto"/>
          </w:tcPr>
          <w:p w14:paraId="69B2168A" w14:textId="77777777" w:rsidR="008C5CFA" w:rsidRPr="001C4484" w:rsidRDefault="00E82A60" w:rsidP="00300A01">
            <w:pPr>
              <w:spacing w:before="0" w:after="0"/>
              <w:jc w:val="right"/>
              <w:rPr>
                <w:sz w:val="10"/>
                <w:szCs w:val="10"/>
              </w:rPr>
            </w:pPr>
            <w:r w:rsidRPr="001C4484">
              <w:rPr>
                <w:noProof/>
                <w:sz w:val="10"/>
                <w:szCs w:val="10"/>
              </w:rPr>
              <w:t>3,00</w:t>
            </w:r>
          </w:p>
        </w:tc>
        <w:tc>
          <w:tcPr>
            <w:tcW w:w="0" w:type="auto"/>
            <w:shd w:val="clear" w:color="auto" w:fill="auto"/>
          </w:tcPr>
          <w:p w14:paraId="70178A64" w14:textId="77777777" w:rsidR="008C5CFA" w:rsidRPr="001C4484" w:rsidRDefault="00E82A60" w:rsidP="00300A01">
            <w:pPr>
              <w:spacing w:before="0" w:after="0"/>
              <w:jc w:val="right"/>
              <w:rPr>
                <w:sz w:val="10"/>
                <w:szCs w:val="10"/>
                <w:lang w:val="fr-BE"/>
              </w:rPr>
            </w:pPr>
            <w:r w:rsidRPr="001C4484">
              <w:rPr>
                <w:noProof/>
                <w:sz w:val="10"/>
                <w:szCs w:val="10"/>
              </w:rPr>
              <w:t>4,00</w:t>
            </w:r>
          </w:p>
        </w:tc>
      </w:tr>
      <w:tr w:rsidR="006B2EC1" w14:paraId="1E83715A" w14:textId="77777777" w:rsidTr="0047688D">
        <w:tc>
          <w:tcPr>
            <w:tcW w:w="0" w:type="auto"/>
            <w:shd w:val="clear" w:color="auto" w:fill="auto"/>
          </w:tcPr>
          <w:p w14:paraId="7236FA00" w14:textId="77777777" w:rsidR="008C5CFA" w:rsidRPr="001C4484" w:rsidRDefault="00E82A60" w:rsidP="00300A01">
            <w:pPr>
              <w:spacing w:before="0" w:after="0"/>
              <w:rPr>
                <w:sz w:val="10"/>
                <w:szCs w:val="10"/>
                <w:lang w:val="fr-BE"/>
              </w:rPr>
            </w:pPr>
            <w:r w:rsidRPr="001C4484">
              <w:rPr>
                <w:noProof/>
                <w:sz w:val="10"/>
                <w:szCs w:val="10"/>
                <w:lang w:val="fr-BE"/>
              </w:rPr>
              <w:t>CO08</w:t>
            </w:r>
          </w:p>
        </w:tc>
        <w:tc>
          <w:tcPr>
            <w:tcW w:w="0" w:type="auto"/>
            <w:shd w:val="clear" w:color="auto" w:fill="auto"/>
          </w:tcPr>
          <w:p w14:paraId="4221BD4C" w14:textId="77777777" w:rsidR="008C5CFA" w:rsidRPr="001C4484" w:rsidRDefault="00E82A60" w:rsidP="00300A01">
            <w:pPr>
              <w:spacing w:before="0" w:after="0"/>
              <w:rPr>
                <w:sz w:val="10"/>
                <w:szCs w:val="10"/>
                <w:lang w:val="fr-BE"/>
              </w:rPr>
            </w:pPr>
            <w:r w:rsidRPr="001C4484">
              <w:rPr>
                <w:noProof/>
                <w:sz w:val="10"/>
                <w:szCs w:val="10"/>
                <w:lang w:val="fr-BE"/>
              </w:rPr>
              <w:t>osoby powyżej 54 lat, które są bezrobotne, łącznie z długotrwale bezrobotnymi, lub są bierne zawodowo i nie uczestniczą w kształceniu ani szkoleniu</w:t>
            </w:r>
          </w:p>
        </w:tc>
        <w:tc>
          <w:tcPr>
            <w:tcW w:w="0" w:type="auto"/>
            <w:shd w:val="clear" w:color="auto" w:fill="auto"/>
          </w:tcPr>
          <w:p w14:paraId="2367EAA5"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64A19434" w14:textId="77777777" w:rsidR="008C5CFA" w:rsidRPr="001C4484" w:rsidRDefault="00E82A60" w:rsidP="00300A01">
            <w:pPr>
              <w:spacing w:before="0" w:after="0"/>
              <w:jc w:val="right"/>
              <w:rPr>
                <w:sz w:val="10"/>
                <w:szCs w:val="10"/>
              </w:rPr>
            </w:pPr>
            <w:r>
              <w:rPr>
                <w:noProof/>
                <w:sz w:val="10"/>
                <w:szCs w:val="10"/>
              </w:rPr>
              <w:t>38,00</w:t>
            </w:r>
          </w:p>
        </w:tc>
        <w:tc>
          <w:tcPr>
            <w:tcW w:w="0" w:type="auto"/>
            <w:shd w:val="clear" w:color="auto" w:fill="auto"/>
          </w:tcPr>
          <w:p w14:paraId="25BF8E0C" w14:textId="77777777" w:rsidR="008C5CFA" w:rsidRPr="001C4484" w:rsidRDefault="00E82A60" w:rsidP="00300A01">
            <w:pPr>
              <w:spacing w:before="0" w:after="0"/>
              <w:jc w:val="right"/>
              <w:rPr>
                <w:sz w:val="10"/>
                <w:szCs w:val="10"/>
              </w:rPr>
            </w:pPr>
            <w:r w:rsidRPr="001C4484">
              <w:rPr>
                <w:noProof/>
                <w:sz w:val="10"/>
                <w:szCs w:val="10"/>
              </w:rPr>
              <w:t>21,00</w:t>
            </w:r>
          </w:p>
        </w:tc>
        <w:tc>
          <w:tcPr>
            <w:tcW w:w="0" w:type="auto"/>
            <w:shd w:val="clear" w:color="auto" w:fill="auto"/>
          </w:tcPr>
          <w:p w14:paraId="40B91F34" w14:textId="77777777" w:rsidR="008C5CFA" w:rsidRPr="001C4484" w:rsidRDefault="00E82A60" w:rsidP="00300A01">
            <w:pPr>
              <w:spacing w:before="0" w:after="0"/>
              <w:jc w:val="right"/>
              <w:rPr>
                <w:sz w:val="10"/>
                <w:szCs w:val="10"/>
                <w:lang w:val="fr-BE"/>
              </w:rPr>
            </w:pPr>
            <w:r w:rsidRPr="001C4484">
              <w:rPr>
                <w:noProof/>
                <w:sz w:val="10"/>
                <w:szCs w:val="10"/>
              </w:rPr>
              <w:t>17,00</w:t>
            </w:r>
          </w:p>
        </w:tc>
        <w:tc>
          <w:tcPr>
            <w:tcW w:w="0" w:type="auto"/>
          </w:tcPr>
          <w:p w14:paraId="18EED440"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1D51643C"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567F0220" w14:textId="77777777" w:rsidR="008C5CFA" w:rsidRPr="001C4484" w:rsidRDefault="00E82A60" w:rsidP="00300A01">
            <w:pPr>
              <w:spacing w:before="0" w:after="0"/>
              <w:jc w:val="right"/>
              <w:rPr>
                <w:sz w:val="10"/>
                <w:szCs w:val="10"/>
                <w:lang w:val="fr-BE"/>
              </w:rPr>
            </w:pPr>
            <w:r w:rsidRPr="001C4484">
              <w:rPr>
                <w:noProof/>
                <w:sz w:val="10"/>
                <w:szCs w:val="10"/>
              </w:rPr>
              <w:t>0,00</w:t>
            </w:r>
          </w:p>
        </w:tc>
        <w:tc>
          <w:tcPr>
            <w:tcW w:w="0" w:type="auto"/>
          </w:tcPr>
          <w:p w14:paraId="61816588"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3C20FF6D"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58F3DD73" w14:textId="77777777" w:rsidR="008C5CFA" w:rsidRPr="001C4484" w:rsidRDefault="00E82A60" w:rsidP="00300A01">
            <w:pPr>
              <w:spacing w:before="0" w:after="0"/>
              <w:jc w:val="right"/>
              <w:rPr>
                <w:sz w:val="10"/>
                <w:szCs w:val="10"/>
                <w:lang w:val="fr-BE"/>
              </w:rPr>
            </w:pPr>
            <w:r w:rsidRPr="001C4484">
              <w:rPr>
                <w:noProof/>
                <w:sz w:val="10"/>
                <w:szCs w:val="10"/>
              </w:rPr>
              <w:t>0,00</w:t>
            </w:r>
          </w:p>
        </w:tc>
      </w:tr>
      <w:tr w:rsidR="006B2EC1" w14:paraId="409A1F2B" w14:textId="77777777" w:rsidTr="0047688D">
        <w:tc>
          <w:tcPr>
            <w:tcW w:w="0" w:type="auto"/>
            <w:shd w:val="clear" w:color="auto" w:fill="auto"/>
          </w:tcPr>
          <w:p w14:paraId="33A044BD" w14:textId="77777777" w:rsidR="008C5CFA" w:rsidRPr="001C4484" w:rsidRDefault="00E82A60" w:rsidP="00300A01">
            <w:pPr>
              <w:spacing w:before="0" w:after="0"/>
              <w:rPr>
                <w:sz w:val="10"/>
                <w:szCs w:val="10"/>
                <w:lang w:val="fr-BE"/>
              </w:rPr>
            </w:pPr>
            <w:r w:rsidRPr="001C4484">
              <w:rPr>
                <w:noProof/>
                <w:sz w:val="10"/>
                <w:szCs w:val="10"/>
                <w:lang w:val="fr-BE"/>
              </w:rPr>
              <w:t>CO09</w:t>
            </w:r>
          </w:p>
        </w:tc>
        <w:tc>
          <w:tcPr>
            <w:tcW w:w="0" w:type="auto"/>
            <w:shd w:val="clear" w:color="auto" w:fill="auto"/>
          </w:tcPr>
          <w:p w14:paraId="2679E599" w14:textId="77777777" w:rsidR="008C5CFA" w:rsidRPr="001C4484" w:rsidRDefault="00E82A60" w:rsidP="00300A01">
            <w:pPr>
              <w:spacing w:before="0" w:after="0"/>
              <w:rPr>
                <w:sz w:val="10"/>
                <w:szCs w:val="10"/>
                <w:lang w:val="fr-BE"/>
              </w:rPr>
            </w:pPr>
            <w:r w:rsidRPr="001C4484">
              <w:rPr>
                <w:noProof/>
                <w:sz w:val="10"/>
                <w:szCs w:val="10"/>
                <w:lang w:val="fr-BE"/>
              </w:rPr>
              <w:t>osoby z wykształceniem podstawowym (ISCED 1) lub średnim I stopnia (ISCED 2)</w:t>
            </w:r>
          </w:p>
        </w:tc>
        <w:tc>
          <w:tcPr>
            <w:tcW w:w="0" w:type="auto"/>
            <w:shd w:val="clear" w:color="auto" w:fill="auto"/>
          </w:tcPr>
          <w:p w14:paraId="2D69D761"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507871F0" w14:textId="77777777" w:rsidR="008C5CFA" w:rsidRPr="001C4484" w:rsidRDefault="00E82A60" w:rsidP="00300A01">
            <w:pPr>
              <w:spacing w:before="0" w:after="0"/>
              <w:jc w:val="right"/>
              <w:rPr>
                <w:sz w:val="10"/>
                <w:szCs w:val="10"/>
              </w:rPr>
            </w:pPr>
            <w:r>
              <w:rPr>
                <w:noProof/>
                <w:sz w:val="10"/>
                <w:szCs w:val="10"/>
              </w:rPr>
              <w:t>3 360,00</w:t>
            </w:r>
          </w:p>
        </w:tc>
        <w:tc>
          <w:tcPr>
            <w:tcW w:w="0" w:type="auto"/>
            <w:shd w:val="clear" w:color="auto" w:fill="auto"/>
          </w:tcPr>
          <w:p w14:paraId="37B7EBE4" w14:textId="77777777" w:rsidR="008C5CFA" w:rsidRPr="001C4484" w:rsidRDefault="00E82A60" w:rsidP="00300A01">
            <w:pPr>
              <w:spacing w:before="0" w:after="0"/>
              <w:jc w:val="right"/>
              <w:rPr>
                <w:sz w:val="10"/>
                <w:szCs w:val="10"/>
              </w:rPr>
            </w:pPr>
            <w:r w:rsidRPr="001C4484">
              <w:rPr>
                <w:noProof/>
                <w:sz w:val="10"/>
                <w:szCs w:val="10"/>
              </w:rPr>
              <w:t>1 888,00</w:t>
            </w:r>
          </w:p>
        </w:tc>
        <w:tc>
          <w:tcPr>
            <w:tcW w:w="0" w:type="auto"/>
            <w:shd w:val="clear" w:color="auto" w:fill="auto"/>
          </w:tcPr>
          <w:p w14:paraId="25E14C4B" w14:textId="77777777" w:rsidR="008C5CFA" w:rsidRPr="001C4484" w:rsidRDefault="00E82A60" w:rsidP="00300A01">
            <w:pPr>
              <w:spacing w:before="0" w:after="0"/>
              <w:jc w:val="right"/>
              <w:rPr>
                <w:sz w:val="10"/>
                <w:szCs w:val="10"/>
                <w:lang w:val="fr-BE"/>
              </w:rPr>
            </w:pPr>
            <w:r w:rsidRPr="001C4484">
              <w:rPr>
                <w:noProof/>
                <w:sz w:val="10"/>
                <w:szCs w:val="10"/>
              </w:rPr>
              <w:t>1 472,00</w:t>
            </w:r>
          </w:p>
        </w:tc>
        <w:tc>
          <w:tcPr>
            <w:tcW w:w="0" w:type="auto"/>
          </w:tcPr>
          <w:p w14:paraId="4F389124" w14:textId="77777777" w:rsidR="008C5CFA" w:rsidRPr="001C4484" w:rsidRDefault="00E82A60" w:rsidP="00300A01">
            <w:pPr>
              <w:spacing w:before="0" w:after="0"/>
              <w:jc w:val="right"/>
              <w:rPr>
                <w:sz w:val="10"/>
                <w:szCs w:val="10"/>
              </w:rPr>
            </w:pPr>
            <w:r>
              <w:rPr>
                <w:noProof/>
                <w:sz w:val="10"/>
                <w:szCs w:val="10"/>
              </w:rPr>
              <w:t>2 323,00</w:t>
            </w:r>
          </w:p>
        </w:tc>
        <w:tc>
          <w:tcPr>
            <w:tcW w:w="0" w:type="auto"/>
            <w:shd w:val="clear" w:color="auto" w:fill="auto"/>
          </w:tcPr>
          <w:p w14:paraId="4824FF40" w14:textId="77777777" w:rsidR="008C5CFA" w:rsidRPr="001C4484" w:rsidRDefault="00E82A60" w:rsidP="00300A01">
            <w:pPr>
              <w:spacing w:before="0" w:after="0"/>
              <w:jc w:val="right"/>
              <w:rPr>
                <w:sz w:val="10"/>
                <w:szCs w:val="10"/>
              </w:rPr>
            </w:pPr>
            <w:r w:rsidRPr="001C4484">
              <w:rPr>
                <w:noProof/>
                <w:sz w:val="10"/>
                <w:szCs w:val="10"/>
              </w:rPr>
              <w:t>1 160,00</w:t>
            </w:r>
          </w:p>
        </w:tc>
        <w:tc>
          <w:tcPr>
            <w:tcW w:w="0" w:type="auto"/>
            <w:shd w:val="clear" w:color="auto" w:fill="auto"/>
          </w:tcPr>
          <w:p w14:paraId="4E6106AD" w14:textId="77777777" w:rsidR="008C5CFA" w:rsidRPr="001C4484" w:rsidRDefault="00E82A60" w:rsidP="00300A01">
            <w:pPr>
              <w:spacing w:before="0" w:after="0"/>
              <w:jc w:val="right"/>
              <w:rPr>
                <w:sz w:val="10"/>
                <w:szCs w:val="10"/>
                <w:lang w:val="fr-BE"/>
              </w:rPr>
            </w:pPr>
            <w:r w:rsidRPr="001C4484">
              <w:rPr>
                <w:noProof/>
                <w:sz w:val="10"/>
                <w:szCs w:val="10"/>
              </w:rPr>
              <w:t>1 163,00</w:t>
            </w:r>
          </w:p>
        </w:tc>
        <w:tc>
          <w:tcPr>
            <w:tcW w:w="0" w:type="auto"/>
          </w:tcPr>
          <w:p w14:paraId="7B49FF2C" w14:textId="77777777" w:rsidR="008C5CFA" w:rsidRPr="001C4484" w:rsidRDefault="00E82A60" w:rsidP="00300A01">
            <w:pPr>
              <w:spacing w:before="0" w:after="0"/>
              <w:jc w:val="right"/>
              <w:rPr>
                <w:sz w:val="10"/>
                <w:szCs w:val="10"/>
              </w:rPr>
            </w:pPr>
            <w:r>
              <w:rPr>
                <w:noProof/>
                <w:sz w:val="10"/>
                <w:szCs w:val="10"/>
              </w:rPr>
              <w:t>1 635,00</w:t>
            </w:r>
          </w:p>
        </w:tc>
        <w:tc>
          <w:tcPr>
            <w:tcW w:w="0" w:type="auto"/>
            <w:shd w:val="clear" w:color="auto" w:fill="auto"/>
          </w:tcPr>
          <w:p w14:paraId="60CF4381" w14:textId="77777777" w:rsidR="008C5CFA" w:rsidRPr="001C4484" w:rsidRDefault="00E82A60" w:rsidP="00300A01">
            <w:pPr>
              <w:spacing w:before="0" w:after="0"/>
              <w:jc w:val="right"/>
              <w:rPr>
                <w:sz w:val="10"/>
                <w:szCs w:val="10"/>
              </w:rPr>
            </w:pPr>
            <w:r w:rsidRPr="001C4484">
              <w:rPr>
                <w:noProof/>
                <w:sz w:val="10"/>
                <w:szCs w:val="10"/>
              </w:rPr>
              <w:t>989,00</w:t>
            </w:r>
          </w:p>
        </w:tc>
        <w:tc>
          <w:tcPr>
            <w:tcW w:w="0" w:type="auto"/>
            <w:shd w:val="clear" w:color="auto" w:fill="auto"/>
          </w:tcPr>
          <w:p w14:paraId="0A5D83E8" w14:textId="77777777" w:rsidR="008C5CFA" w:rsidRPr="001C4484" w:rsidRDefault="00E82A60" w:rsidP="00300A01">
            <w:pPr>
              <w:spacing w:before="0" w:after="0"/>
              <w:jc w:val="right"/>
              <w:rPr>
                <w:sz w:val="10"/>
                <w:szCs w:val="10"/>
                <w:lang w:val="fr-BE"/>
              </w:rPr>
            </w:pPr>
            <w:r w:rsidRPr="001C4484">
              <w:rPr>
                <w:noProof/>
                <w:sz w:val="10"/>
                <w:szCs w:val="10"/>
              </w:rPr>
              <w:t>646,00</w:t>
            </w:r>
          </w:p>
        </w:tc>
      </w:tr>
      <w:tr w:rsidR="006B2EC1" w14:paraId="2C639314" w14:textId="77777777" w:rsidTr="0047688D">
        <w:tc>
          <w:tcPr>
            <w:tcW w:w="0" w:type="auto"/>
            <w:shd w:val="clear" w:color="auto" w:fill="auto"/>
          </w:tcPr>
          <w:p w14:paraId="73AA7DD3" w14:textId="77777777" w:rsidR="008C5CFA" w:rsidRPr="001C4484" w:rsidRDefault="00E82A60" w:rsidP="00300A01">
            <w:pPr>
              <w:spacing w:before="0" w:after="0"/>
              <w:rPr>
                <w:sz w:val="10"/>
                <w:szCs w:val="10"/>
                <w:lang w:val="fr-BE"/>
              </w:rPr>
            </w:pPr>
            <w:r w:rsidRPr="001C4484">
              <w:rPr>
                <w:noProof/>
                <w:sz w:val="10"/>
                <w:szCs w:val="10"/>
                <w:lang w:val="fr-BE"/>
              </w:rPr>
              <w:t>CO10</w:t>
            </w:r>
          </w:p>
        </w:tc>
        <w:tc>
          <w:tcPr>
            <w:tcW w:w="0" w:type="auto"/>
            <w:shd w:val="clear" w:color="auto" w:fill="auto"/>
          </w:tcPr>
          <w:p w14:paraId="6EA9F33F" w14:textId="77777777" w:rsidR="008C5CFA" w:rsidRPr="001C4484" w:rsidRDefault="00E82A60" w:rsidP="00300A01">
            <w:pPr>
              <w:spacing w:before="0" w:after="0"/>
              <w:rPr>
                <w:sz w:val="10"/>
                <w:szCs w:val="10"/>
                <w:lang w:val="fr-BE"/>
              </w:rPr>
            </w:pPr>
            <w:r w:rsidRPr="001C4484">
              <w:rPr>
                <w:noProof/>
                <w:sz w:val="10"/>
                <w:szCs w:val="10"/>
                <w:lang w:val="fr-BE"/>
              </w:rPr>
              <w:t>osoby z wykształceniem średnim II stopnia (ISCED 3) lub policealnym (ISCED 4)</w:t>
            </w:r>
          </w:p>
        </w:tc>
        <w:tc>
          <w:tcPr>
            <w:tcW w:w="0" w:type="auto"/>
            <w:shd w:val="clear" w:color="auto" w:fill="auto"/>
          </w:tcPr>
          <w:p w14:paraId="08E5B1CC"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6EE2A6F7" w14:textId="77777777" w:rsidR="008C5CFA" w:rsidRPr="001C4484" w:rsidRDefault="00E82A60" w:rsidP="00300A01">
            <w:pPr>
              <w:spacing w:before="0" w:after="0"/>
              <w:jc w:val="right"/>
              <w:rPr>
                <w:sz w:val="10"/>
                <w:szCs w:val="10"/>
              </w:rPr>
            </w:pPr>
            <w:r>
              <w:rPr>
                <w:noProof/>
                <w:sz w:val="10"/>
                <w:szCs w:val="10"/>
              </w:rPr>
              <w:t>628,00</w:t>
            </w:r>
          </w:p>
        </w:tc>
        <w:tc>
          <w:tcPr>
            <w:tcW w:w="0" w:type="auto"/>
            <w:shd w:val="clear" w:color="auto" w:fill="auto"/>
          </w:tcPr>
          <w:p w14:paraId="082C32FE" w14:textId="77777777" w:rsidR="008C5CFA" w:rsidRPr="001C4484" w:rsidRDefault="00E82A60" w:rsidP="00300A01">
            <w:pPr>
              <w:spacing w:before="0" w:after="0"/>
              <w:jc w:val="right"/>
              <w:rPr>
                <w:sz w:val="10"/>
                <w:szCs w:val="10"/>
              </w:rPr>
            </w:pPr>
            <w:r w:rsidRPr="001C4484">
              <w:rPr>
                <w:noProof/>
                <w:sz w:val="10"/>
                <w:szCs w:val="10"/>
              </w:rPr>
              <w:t>452,00</w:t>
            </w:r>
          </w:p>
        </w:tc>
        <w:tc>
          <w:tcPr>
            <w:tcW w:w="0" w:type="auto"/>
            <w:shd w:val="clear" w:color="auto" w:fill="auto"/>
          </w:tcPr>
          <w:p w14:paraId="22ACE50F" w14:textId="77777777" w:rsidR="008C5CFA" w:rsidRPr="001C4484" w:rsidRDefault="00E82A60" w:rsidP="00300A01">
            <w:pPr>
              <w:spacing w:before="0" w:after="0"/>
              <w:jc w:val="right"/>
              <w:rPr>
                <w:sz w:val="10"/>
                <w:szCs w:val="10"/>
                <w:lang w:val="fr-BE"/>
              </w:rPr>
            </w:pPr>
            <w:r w:rsidRPr="001C4484">
              <w:rPr>
                <w:noProof/>
                <w:sz w:val="10"/>
                <w:szCs w:val="10"/>
              </w:rPr>
              <w:t>176,00</w:t>
            </w:r>
          </w:p>
        </w:tc>
        <w:tc>
          <w:tcPr>
            <w:tcW w:w="0" w:type="auto"/>
          </w:tcPr>
          <w:p w14:paraId="5DDC3F6C" w14:textId="77777777" w:rsidR="008C5CFA" w:rsidRPr="001C4484" w:rsidRDefault="00E82A60" w:rsidP="00300A01">
            <w:pPr>
              <w:spacing w:before="0" w:after="0"/>
              <w:jc w:val="right"/>
              <w:rPr>
                <w:sz w:val="10"/>
                <w:szCs w:val="10"/>
              </w:rPr>
            </w:pPr>
            <w:r>
              <w:rPr>
                <w:noProof/>
                <w:sz w:val="10"/>
                <w:szCs w:val="10"/>
              </w:rPr>
              <w:t>27,00</w:t>
            </w:r>
          </w:p>
        </w:tc>
        <w:tc>
          <w:tcPr>
            <w:tcW w:w="0" w:type="auto"/>
            <w:shd w:val="clear" w:color="auto" w:fill="auto"/>
          </w:tcPr>
          <w:p w14:paraId="6579FD4E" w14:textId="77777777" w:rsidR="008C5CFA" w:rsidRPr="001C4484" w:rsidRDefault="00E82A60" w:rsidP="00300A01">
            <w:pPr>
              <w:spacing w:before="0" w:after="0"/>
              <w:jc w:val="right"/>
              <w:rPr>
                <w:sz w:val="10"/>
                <w:szCs w:val="10"/>
              </w:rPr>
            </w:pPr>
            <w:r w:rsidRPr="001C4484">
              <w:rPr>
                <w:noProof/>
                <w:sz w:val="10"/>
                <w:szCs w:val="10"/>
              </w:rPr>
              <w:t>11,00</w:t>
            </w:r>
          </w:p>
        </w:tc>
        <w:tc>
          <w:tcPr>
            <w:tcW w:w="0" w:type="auto"/>
            <w:shd w:val="clear" w:color="auto" w:fill="auto"/>
          </w:tcPr>
          <w:p w14:paraId="13F788D5" w14:textId="77777777" w:rsidR="008C5CFA" w:rsidRPr="001C4484" w:rsidRDefault="00E82A60" w:rsidP="00300A01">
            <w:pPr>
              <w:spacing w:before="0" w:after="0"/>
              <w:jc w:val="right"/>
              <w:rPr>
                <w:sz w:val="10"/>
                <w:szCs w:val="10"/>
                <w:lang w:val="fr-BE"/>
              </w:rPr>
            </w:pPr>
            <w:r w:rsidRPr="001C4484">
              <w:rPr>
                <w:noProof/>
                <w:sz w:val="10"/>
                <w:szCs w:val="10"/>
              </w:rPr>
              <w:t>16,00</w:t>
            </w:r>
          </w:p>
        </w:tc>
        <w:tc>
          <w:tcPr>
            <w:tcW w:w="0" w:type="auto"/>
          </w:tcPr>
          <w:p w14:paraId="1A4911A6" w14:textId="77777777" w:rsidR="008C5CFA" w:rsidRPr="001C4484" w:rsidRDefault="00E82A60" w:rsidP="00300A01">
            <w:pPr>
              <w:spacing w:before="0" w:after="0"/>
              <w:jc w:val="right"/>
              <w:rPr>
                <w:sz w:val="10"/>
                <w:szCs w:val="10"/>
              </w:rPr>
            </w:pPr>
            <w:r>
              <w:rPr>
                <w:noProof/>
                <w:sz w:val="10"/>
                <w:szCs w:val="10"/>
              </w:rPr>
              <w:t>7,00</w:t>
            </w:r>
          </w:p>
        </w:tc>
        <w:tc>
          <w:tcPr>
            <w:tcW w:w="0" w:type="auto"/>
            <w:shd w:val="clear" w:color="auto" w:fill="auto"/>
          </w:tcPr>
          <w:p w14:paraId="0036BE9D"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4F3B2E14" w14:textId="77777777" w:rsidR="008C5CFA" w:rsidRPr="001C4484" w:rsidRDefault="00E82A60" w:rsidP="00300A01">
            <w:pPr>
              <w:spacing w:before="0" w:after="0"/>
              <w:jc w:val="right"/>
              <w:rPr>
                <w:sz w:val="10"/>
                <w:szCs w:val="10"/>
                <w:lang w:val="fr-BE"/>
              </w:rPr>
            </w:pPr>
            <w:r w:rsidRPr="001C4484">
              <w:rPr>
                <w:noProof/>
                <w:sz w:val="10"/>
                <w:szCs w:val="10"/>
              </w:rPr>
              <w:t>7,00</w:t>
            </w:r>
          </w:p>
        </w:tc>
      </w:tr>
      <w:tr w:rsidR="006B2EC1" w14:paraId="28AC5624" w14:textId="77777777" w:rsidTr="0047688D">
        <w:tc>
          <w:tcPr>
            <w:tcW w:w="0" w:type="auto"/>
            <w:shd w:val="clear" w:color="auto" w:fill="auto"/>
          </w:tcPr>
          <w:p w14:paraId="030E3804" w14:textId="77777777" w:rsidR="008C5CFA" w:rsidRPr="001C4484" w:rsidRDefault="00E82A60" w:rsidP="00300A01">
            <w:pPr>
              <w:spacing w:before="0" w:after="0"/>
              <w:rPr>
                <w:sz w:val="10"/>
                <w:szCs w:val="10"/>
                <w:lang w:val="fr-BE"/>
              </w:rPr>
            </w:pPr>
            <w:r w:rsidRPr="001C4484">
              <w:rPr>
                <w:noProof/>
                <w:sz w:val="10"/>
                <w:szCs w:val="10"/>
                <w:lang w:val="fr-BE"/>
              </w:rPr>
              <w:t>CO11</w:t>
            </w:r>
          </w:p>
        </w:tc>
        <w:tc>
          <w:tcPr>
            <w:tcW w:w="0" w:type="auto"/>
            <w:shd w:val="clear" w:color="auto" w:fill="auto"/>
          </w:tcPr>
          <w:p w14:paraId="5387AB72" w14:textId="77777777" w:rsidR="008C5CFA" w:rsidRPr="001C4484" w:rsidRDefault="00E82A60" w:rsidP="00300A01">
            <w:pPr>
              <w:spacing w:before="0" w:after="0"/>
              <w:rPr>
                <w:sz w:val="10"/>
                <w:szCs w:val="10"/>
                <w:lang w:val="fr-BE"/>
              </w:rPr>
            </w:pPr>
            <w:r w:rsidRPr="001C4484">
              <w:rPr>
                <w:noProof/>
                <w:sz w:val="10"/>
                <w:szCs w:val="10"/>
                <w:lang w:val="fr-BE"/>
              </w:rPr>
              <w:t>osoby z wykształceniem wyższym (ISCED 5 do 8)</w:t>
            </w:r>
          </w:p>
        </w:tc>
        <w:tc>
          <w:tcPr>
            <w:tcW w:w="0" w:type="auto"/>
            <w:shd w:val="clear" w:color="auto" w:fill="auto"/>
          </w:tcPr>
          <w:p w14:paraId="16C924E3"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3D98D53B" w14:textId="77777777" w:rsidR="008C5CFA" w:rsidRPr="001C4484" w:rsidRDefault="00E82A60" w:rsidP="00300A01">
            <w:pPr>
              <w:spacing w:before="0" w:after="0"/>
              <w:jc w:val="right"/>
              <w:rPr>
                <w:sz w:val="10"/>
                <w:szCs w:val="10"/>
              </w:rPr>
            </w:pPr>
            <w:r>
              <w:rPr>
                <w:noProof/>
                <w:sz w:val="10"/>
                <w:szCs w:val="10"/>
              </w:rPr>
              <w:t>663,00</w:t>
            </w:r>
          </w:p>
        </w:tc>
        <w:tc>
          <w:tcPr>
            <w:tcW w:w="0" w:type="auto"/>
            <w:shd w:val="clear" w:color="auto" w:fill="auto"/>
          </w:tcPr>
          <w:p w14:paraId="2B391E30" w14:textId="77777777" w:rsidR="008C5CFA" w:rsidRPr="001C4484" w:rsidRDefault="00E82A60" w:rsidP="00300A01">
            <w:pPr>
              <w:spacing w:before="0" w:after="0"/>
              <w:jc w:val="right"/>
              <w:rPr>
                <w:sz w:val="10"/>
                <w:szCs w:val="10"/>
              </w:rPr>
            </w:pPr>
            <w:r w:rsidRPr="001C4484">
              <w:rPr>
                <w:noProof/>
                <w:sz w:val="10"/>
                <w:szCs w:val="10"/>
              </w:rPr>
              <w:t>291,00</w:t>
            </w:r>
          </w:p>
        </w:tc>
        <w:tc>
          <w:tcPr>
            <w:tcW w:w="0" w:type="auto"/>
            <w:shd w:val="clear" w:color="auto" w:fill="auto"/>
          </w:tcPr>
          <w:p w14:paraId="4947E48A" w14:textId="77777777" w:rsidR="008C5CFA" w:rsidRPr="001C4484" w:rsidRDefault="00E82A60" w:rsidP="00300A01">
            <w:pPr>
              <w:spacing w:before="0" w:after="0"/>
              <w:jc w:val="right"/>
              <w:rPr>
                <w:sz w:val="10"/>
                <w:szCs w:val="10"/>
                <w:lang w:val="fr-BE"/>
              </w:rPr>
            </w:pPr>
            <w:r w:rsidRPr="001C4484">
              <w:rPr>
                <w:noProof/>
                <w:sz w:val="10"/>
                <w:szCs w:val="10"/>
              </w:rPr>
              <w:t>372,00</w:t>
            </w:r>
          </w:p>
        </w:tc>
        <w:tc>
          <w:tcPr>
            <w:tcW w:w="0" w:type="auto"/>
          </w:tcPr>
          <w:p w14:paraId="66175873" w14:textId="77777777" w:rsidR="008C5CFA" w:rsidRPr="001C4484" w:rsidRDefault="00E82A60" w:rsidP="00300A01">
            <w:pPr>
              <w:spacing w:before="0" w:after="0"/>
              <w:jc w:val="right"/>
              <w:rPr>
                <w:sz w:val="10"/>
                <w:szCs w:val="10"/>
              </w:rPr>
            </w:pPr>
            <w:r>
              <w:rPr>
                <w:noProof/>
                <w:sz w:val="10"/>
                <w:szCs w:val="10"/>
              </w:rPr>
              <w:t>99,00</w:t>
            </w:r>
          </w:p>
        </w:tc>
        <w:tc>
          <w:tcPr>
            <w:tcW w:w="0" w:type="auto"/>
            <w:shd w:val="clear" w:color="auto" w:fill="auto"/>
          </w:tcPr>
          <w:p w14:paraId="28A91735" w14:textId="77777777" w:rsidR="008C5CFA" w:rsidRPr="001C4484" w:rsidRDefault="00E82A60" w:rsidP="00300A01">
            <w:pPr>
              <w:spacing w:before="0" w:after="0"/>
              <w:jc w:val="right"/>
              <w:rPr>
                <w:sz w:val="10"/>
                <w:szCs w:val="10"/>
              </w:rPr>
            </w:pPr>
            <w:r w:rsidRPr="001C4484">
              <w:rPr>
                <w:noProof/>
                <w:sz w:val="10"/>
                <w:szCs w:val="10"/>
              </w:rPr>
              <w:t>30,00</w:t>
            </w:r>
          </w:p>
        </w:tc>
        <w:tc>
          <w:tcPr>
            <w:tcW w:w="0" w:type="auto"/>
            <w:shd w:val="clear" w:color="auto" w:fill="auto"/>
          </w:tcPr>
          <w:p w14:paraId="79EC2783" w14:textId="77777777" w:rsidR="008C5CFA" w:rsidRPr="001C4484" w:rsidRDefault="00E82A60" w:rsidP="00300A01">
            <w:pPr>
              <w:spacing w:before="0" w:after="0"/>
              <w:jc w:val="right"/>
              <w:rPr>
                <w:sz w:val="10"/>
                <w:szCs w:val="10"/>
                <w:lang w:val="fr-BE"/>
              </w:rPr>
            </w:pPr>
            <w:r w:rsidRPr="001C4484">
              <w:rPr>
                <w:noProof/>
                <w:sz w:val="10"/>
                <w:szCs w:val="10"/>
              </w:rPr>
              <w:t>69,00</w:t>
            </w:r>
          </w:p>
        </w:tc>
        <w:tc>
          <w:tcPr>
            <w:tcW w:w="0" w:type="auto"/>
          </w:tcPr>
          <w:p w14:paraId="73B4D5EE" w14:textId="77777777" w:rsidR="008C5CFA" w:rsidRPr="001C4484" w:rsidRDefault="00E82A60" w:rsidP="00300A01">
            <w:pPr>
              <w:spacing w:before="0" w:after="0"/>
              <w:jc w:val="right"/>
              <w:rPr>
                <w:sz w:val="10"/>
                <w:szCs w:val="10"/>
              </w:rPr>
            </w:pPr>
            <w:r>
              <w:rPr>
                <w:noProof/>
                <w:sz w:val="10"/>
                <w:szCs w:val="10"/>
              </w:rPr>
              <w:t>61,00</w:t>
            </w:r>
          </w:p>
        </w:tc>
        <w:tc>
          <w:tcPr>
            <w:tcW w:w="0" w:type="auto"/>
            <w:shd w:val="clear" w:color="auto" w:fill="auto"/>
          </w:tcPr>
          <w:p w14:paraId="7B8009B6" w14:textId="77777777" w:rsidR="008C5CFA" w:rsidRPr="001C4484" w:rsidRDefault="00E82A60" w:rsidP="00300A01">
            <w:pPr>
              <w:spacing w:before="0" w:after="0"/>
              <w:jc w:val="right"/>
              <w:rPr>
                <w:sz w:val="10"/>
                <w:szCs w:val="10"/>
              </w:rPr>
            </w:pPr>
            <w:r w:rsidRPr="001C4484">
              <w:rPr>
                <w:noProof/>
                <w:sz w:val="10"/>
                <w:szCs w:val="10"/>
              </w:rPr>
              <w:t>26,00</w:t>
            </w:r>
          </w:p>
        </w:tc>
        <w:tc>
          <w:tcPr>
            <w:tcW w:w="0" w:type="auto"/>
            <w:shd w:val="clear" w:color="auto" w:fill="auto"/>
          </w:tcPr>
          <w:p w14:paraId="7A018DDD" w14:textId="77777777" w:rsidR="008C5CFA" w:rsidRPr="001C4484" w:rsidRDefault="00E82A60" w:rsidP="00300A01">
            <w:pPr>
              <w:spacing w:before="0" w:after="0"/>
              <w:jc w:val="right"/>
              <w:rPr>
                <w:sz w:val="10"/>
                <w:szCs w:val="10"/>
                <w:lang w:val="fr-BE"/>
              </w:rPr>
            </w:pPr>
            <w:r w:rsidRPr="001C4484">
              <w:rPr>
                <w:noProof/>
                <w:sz w:val="10"/>
                <w:szCs w:val="10"/>
              </w:rPr>
              <w:t>35,00</w:t>
            </w:r>
          </w:p>
        </w:tc>
      </w:tr>
      <w:tr w:rsidR="006B2EC1" w14:paraId="48F0E92E" w14:textId="77777777" w:rsidTr="0047688D">
        <w:tc>
          <w:tcPr>
            <w:tcW w:w="0" w:type="auto"/>
            <w:shd w:val="clear" w:color="auto" w:fill="auto"/>
          </w:tcPr>
          <w:p w14:paraId="76716A7B" w14:textId="77777777" w:rsidR="008C5CFA" w:rsidRPr="001C4484" w:rsidRDefault="00E82A60" w:rsidP="00300A01">
            <w:pPr>
              <w:spacing w:before="0" w:after="0"/>
              <w:rPr>
                <w:sz w:val="10"/>
                <w:szCs w:val="10"/>
                <w:lang w:val="fr-BE"/>
              </w:rPr>
            </w:pPr>
            <w:r w:rsidRPr="001C4484">
              <w:rPr>
                <w:noProof/>
                <w:sz w:val="10"/>
                <w:szCs w:val="10"/>
                <w:lang w:val="fr-BE"/>
              </w:rPr>
              <w:t>CO15</w:t>
            </w:r>
          </w:p>
        </w:tc>
        <w:tc>
          <w:tcPr>
            <w:tcW w:w="0" w:type="auto"/>
            <w:shd w:val="clear" w:color="auto" w:fill="auto"/>
          </w:tcPr>
          <w:p w14:paraId="780EF4DB" w14:textId="77777777" w:rsidR="008C5CFA" w:rsidRPr="001C4484" w:rsidRDefault="00E82A60" w:rsidP="00300A01">
            <w:pPr>
              <w:spacing w:before="0" w:after="0"/>
              <w:rPr>
                <w:sz w:val="10"/>
                <w:szCs w:val="10"/>
                <w:lang w:val="fr-BE"/>
              </w:rPr>
            </w:pPr>
            <w:r w:rsidRPr="001C4484">
              <w:rPr>
                <w:noProof/>
                <w:sz w:val="10"/>
                <w:szCs w:val="10"/>
                <w:lang w:val="fr-BE"/>
              </w:rPr>
              <w:t>migranci, uczestnicy obcego pochodzenia, mniejszości (w tym społeczności marginalizowane, takie jak Romowie)</w:t>
            </w:r>
          </w:p>
        </w:tc>
        <w:tc>
          <w:tcPr>
            <w:tcW w:w="0" w:type="auto"/>
            <w:shd w:val="clear" w:color="auto" w:fill="auto"/>
          </w:tcPr>
          <w:p w14:paraId="70D45F48"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1E583263" w14:textId="77777777" w:rsidR="008C5CFA" w:rsidRPr="001C4484" w:rsidRDefault="00E82A60" w:rsidP="00300A01">
            <w:pPr>
              <w:spacing w:before="0" w:after="0"/>
              <w:jc w:val="right"/>
              <w:rPr>
                <w:sz w:val="10"/>
                <w:szCs w:val="10"/>
              </w:rPr>
            </w:pPr>
            <w:r>
              <w:rPr>
                <w:noProof/>
                <w:sz w:val="10"/>
                <w:szCs w:val="10"/>
              </w:rPr>
              <w:t>26,00</w:t>
            </w:r>
          </w:p>
        </w:tc>
        <w:tc>
          <w:tcPr>
            <w:tcW w:w="0" w:type="auto"/>
            <w:shd w:val="clear" w:color="auto" w:fill="auto"/>
          </w:tcPr>
          <w:p w14:paraId="3891C2BA" w14:textId="77777777" w:rsidR="008C5CFA" w:rsidRPr="001C4484" w:rsidRDefault="00E82A60" w:rsidP="00300A01">
            <w:pPr>
              <w:spacing w:before="0" w:after="0"/>
              <w:jc w:val="right"/>
              <w:rPr>
                <w:sz w:val="10"/>
                <w:szCs w:val="10"/>
              </w:rPr>
            </w:pPr>
            <w:r w:rsidRPr="001C4484">
              <w:rPr>
                <w:noProof/>
                <w:sz w:val="10"/>
                <w:szCs w:val="10"/>
              </w:rPr>
              <w:t>7,00</w:t>
            </w:r>
          </w:p>
        </w:tc>
        <w:tc>
          <w:tcPr>
            <w:tcW w:w="0" w:type="auto"/>
            <w:shd w:val="clear" w:color="auto" w:fill="auto"/>
          </w:tcPr>
          <w:p w14:paraId="4AE82D57" w14:textId="77777777" w:rsidR="008C5CFA" w:rsidRPr="001C4484" w:rsidRDefault="00E82A60" w:rsidP="00300A01">
            <w:pPr>
              <w:spacing w:before="0" w:after="0"/>
              <w:jc w:val="right"/>
              <w:rPr>
                <w:sz w:val="10"/>
                <w:szCs w:val="10"/>
                <w:lang w:val="fr-BE"/>
              </w:rPr>
            </w:pPr>
            <w:r w:rsidRPr="001C4484">
              <w:rPr>
                <w:noProof/>
                <w:sz w:val="10"/>
                <w:szCs w:val="10"/>
              </w:rPr>
              <w:t>19,00</w:t>
            </w:r>
          </w:p>
        </w:tc>
        <w:tc>
          <w:tcPr>
            <w:tcW w:w="0" w:type="auto"/>
          </w:tcPr>
          <w:p w14:paraId="48203F4B" w14:textId="77777777" w:rsidR="008C5CFA" w:rsidRPr="001C4484" w:rsidRDefault="00E82A60" w:rsidP="00300A01">
            <w:pPr>
              <w:spacing w:before="0" w:after="0"/>
              <w:jc w:val="right"/>
              <w:rPr>
                <w:sz w:val="10"/>
                <w:szCs w:val="10"/>
              </w:rPr>
            </w:pPr>
            <w:r>
              <w:rPr>
                <w:noProof/>
                <w:sz w:val="10"/>
                <w:szCs w:val="10"/>
              </w:rPr>
              <w:t>31,00</w:t>
            </w:r>
          </w:p>
        </w:tc>
        <w:tc>
          <w:tcPr>
            <w:tcW w:w="0" w:type="auto"/>
            <w:shd w:val="clear" w:color="auto" w:fill="auto"/>
          </w:tcPr>
          <w:p w14:paraId="1828EE2D" w14:textId="77777777" w:rsidR="008C5CFA" w:rsidRPr="001C4484" w:rsidRDefault="00E82A60" w:rsidP="00300A01">
            <w:pPr>
              <w:spacing w:before="0" w:after="0"/>
              <w:jc w:val="right"/>
              <w:rPr>
                <w:sz w:val="10"/>
                <w:szCs w:val="10"/>
              </w:rPr>
            </w:pPr>
            <w:r w:rsidRPr="001C4484">
              <w:rPr>
                <w:noProof/>
                <w:sz w:val="10"/>
                <w:szCs w:val="10"/>
              </w:rPr>
              <w:t>5,00</w:t>
            </w:r>
          </w:p>
        </w:tc>
        <w:tc>
          <w:tcPr>
            <w:tcW w:w="0" w:type="auto"/>
            <w:shd w:val="clear" w:color="auto" w:fill="auto"/>
          </w:tcPr>
          <w:p w14:paraId="7545E439" w14:textId="77777777" w:rsidR="008C5CFA" w:rsidRPr="001C4484" w:rsidRDefault="00E82A60" w:rsidP="00300A01">
            <w:pPr>
              <w:spacing w:before="0" w:after="0"/>
              <w:jc w:val="right"/>
              <w:rPr>
                <w:sz w:val="10"/>
                <w:szCs w:val="10"/>
                <w:lang w:val="fr-BE"/>
              </w:rPr>
            </w:pPr>
            <w:r w:rsidRPr="001C4484">
              <w:rPr>
                <w:noProof/>
                <w:sz w:val="10"/>
                <w:szCs w:val="10"/>
              </w:rPr>
              <w:t>26,00</w:t>
            </w:r>
          </w:p>
        </w:tc>
        <w:tc>
          <w:tcPr>
            <w:tcW w:w="0" w:type="auto"/>
          </w:tcPr>
          <w:p w14:paraId="15516189" w14:textId="77777777" w:rsidR="008C5CFA" w:rsidRPr="001C4484" w:rsidRDefault="00E82A60" w:rsidP="00300A01">
            <w:pPr>
              <w:spacing w:before="0" w:after="0"/>
              <w:jc w:val="right"/>
              <w:rPr>
                <w:sz w:val="10"/>
                <w:szCs w:val="10"/>
              </w:rPr>
            </w:pPr>
            <w:r>
              <w:rPr>
                <w:noProof/>
                <w:sz w:val="10"/>
                <w:szCs w:val="10"/>
              </w:rPr>
              <w:t>6,00</w:t>
            </w:r>
          </w:p>
        </w:tc>
        <w:tc>
          <w:tcPr>
            <w:tcW w:w="0" w:type="auto"/>
            <w:shd w:val="clear" w:color="auto" w:fill="auto"/>
          </w:tcPr>
          <w:p w14:paraId="6E177DF0" w14:textId="77777777" w:rsidR="008C5CFA" w:rsidRPr="001C4484" w:rsidRDefault="00E82A60" w:rsidP="00300A01">
            <w:pPr>
              <w:spacing w:before="0" w:after="0"/>
              <w:jc w:val="right"/>
              <w:rPr>
                <w:sz w:val="10"/>
                <w:szCs w:val="10"/>
              </w:rPr>
            </w:pPr>
            <w:r w:rsidRPr="001C4484">
              <w:rPr>
                <w:noProof/>
                <w:sz w:val="10"/>
                <w:szCs w:val="10"/>
              </w:rPr>
              <w:t>2,00</w:t>
            </w:r>
          </w:p>
        </w:tc>
        <w:tc>
          <w:tcPr>
            <w:tcW w:w="0" w:type="auto"/>
            <w:shd w:val="clear" w:color="auto" w:fill="auto"/>
          </w:tcPr>
          <w:p w14:paraId="164750BC" w14:textId="77777777" w:rsidR="008C5CFA" w:rsidRPr="001C4484" w:rsidRDefault="00E82A60" w:rsidP="00300A01">
            <w:pPr>
              <w:spacing w:before="0" w:after="0"/>
              <w:jc w:val="right"/>
              <w:rPr>
                <w:sz w:val="10"/>
                <w:szCs w:val="10"/>
                <w:lang w:val="fr-BE"/>
              </w:rPr>
            </w:pPr>
            <w:r w:rsidRPr="001C4484">
              <w:rPr>
                <w:noProof/>
                <w:sz w:val="10"/>
                <w:szCs w:val="10"/>
              </w:rPr>
              <w:t>4,00</w:t>
            </w:r>
          </w:p>
        </w:tc>
      </w:tr>
      <w:tr w:rsidR="006B2EC1" w14:paraId="3A9E654A" w14:textId="77777777" w:rsidTr="0047688D">
        <w:tc>
          <w:tcPr>
            <w:tcW w:w="0" w:type="auto"/>
            <w:shd w:val="clear" w:color="auto" w:fill="auto"/>
          </w:tcPr>
          <w:p w14:paraId="5D2E5BFB" w14:textId="77777777" w:rsidR="008C5CFA" w:rsidRPr="001C4484" w:rsidRDefault="00E82A60" w:rsidP="00300A01">
            <w:pPr>
              <w:spacing w:before="0" w:after="0"/>
              <w:rPr>
                <w:sz w:val="10"/>
                <w:szCs w:val="10"/>
                <w:lang w:val="fr-BE"/>
              </w:rPr>
            </w:pPr>
            <w:r w:rsidRPr="001C4484">
              <w:rPr>
                <w:noProof/>
                <w:sz w:val="10"/>
                <w:szCs w:val="10"/>
                <w:lang w:val="fr-BE"/>
              </w:rPr>
              <w:t>CO16</w:t>
            </w:r>
          </w:p>
        </w:tc>
        <w:tc>
          <w:tcPr>
            <w:tcW w:w="0" w:type="auto"/>
            <w:shd w:val="clear" w:color="auto" w:fill="auto"/>
          </w:tcPr>
          <w:p w14:paraId="568B96F5" w14:textId="77777777" w:rsidR="008C5CFA" w:rsidRPr="001C4484" w:rsidRDefault="00E82A60" w:rsidP="00300A01">
            <w:pPr>
              <w:spacing w:before="0" w:after="0"/>
              <w:rPr>
                <w:sz w:val="10"/>
                <w:szCs w:val="10"/>
                <w:lang w:val="fr-BE"/>
              </w:rPr>
            </w:pPr>
            <w:r w:rsidRPr="001C4484">
              <w:rPr>
                <w:noProof/>
                <w:sz w:val="10"/>
                <w:szCs w:val="10"/>
                <w:lang w:val="fr-BE"/>
              </w:rPr>
              <w:t>uczestnicy z niepełnosprawnościami</w:t>
            </w:r>
          </w:p>
        </w:tc>
        <w:tc>
          <w:tcPr>
            <w:tcW w:w="0" w:type="auto"/>
            <w:shd w:val="clear" w:color="auto" w:fill="auto"/>
          </w:tcPr>
          <w:p w14:paraId="442B08A0"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41F6B0E0" w14:textId="77777777" w:rsidR="008C5CFA" w:rsidRPr="001C4484" w:rsidRDefault="00E82A60" w:rsidP="00300A01">
            <w:pPr>
              <w:spacing w:before="0" w:after="0"/>
              <w:jc w:val="right"/>
              <w:rPr>
                <w:sz w:val="10"/>
                <w:szCs w:val="10"/>
              </w:rPr>
            </w:pPr>
            <w:r>
              <w:rPr>
                <w:noProof/>
                <w:sz w:val="10"/>
                <w:szCs w:val="10"/>
              </w:rPr>
              <w:t>277,00</w:t>
            </w:r>
          </w:p>
        </w:tc>
        <w:tc>
          <w:tcPr>
            <w:tcW w:w="0" w:type="auto"/>
            <w:shd w:val="clear" w:color="auto" w:fill="auto"/>
          </w:tcPr>
          <w:p w14:paraId="2FEC578B" w14:textId="77777777" w:rsidR="008C5CFA" w:rsidRPr="001C4484" w:rsidRDefault="00E82A60" w:rsidP="00300A01">
            <w:pPr>
              <w:spacing w:before="0" w:after="0"/>
              <w:jc w:val="right"/>
              <w:rPr>
                <w:sz w:val="10"/>
                <w:szCs w:val="10"/>
              </w:rPr>
            </w:pPr>
            <w:r w:rsidRPr="001C4484">
              <w:rPr>
                <w:noProof/>
                <w:sz w:val="10"/>
                <w:szCs w:val="10"/>
              </w:rPr>
              <w:t>157,00</w:t>
            </w:r>
          </w:p>
        </w:tc>
        <w:tc>
          <w:tcPr>
            <w:tcW w:w="0" w:type="auto"/>
            <w:shd w:val="clear" w:color="auto" w:fill="auto"/>
          </w:tcPr>
          <w:p w14:paraId="18E744FE" w14:textId="77777777" w:rsidR="008C5CFA" w:rsidRPr="001C4484" w:rsidRDefault="00E82A60" w:rsidP="00300A01">
            <w:pPr>
              <w:spacing w:before="0" w:after="0"/>
              <w:jc w:val="right"/>
              <w:rPr>
                <w:sz w:val="10"/>
                <w:szCs w:val="10"/>
                <w:lang w:val="fr-BE"/>
              </w:rPr>
            </w:pPr>
            <w:r w:rsidRPr="001C4484">
              <w:rPr>
                <w:noProof/>
                <w:sz w:val="10"/>
                <w:szCs w:val="10"/>
              </w:rPr>
              <w:t>120,00</w:t>
            </w:r>
          </w:p>
        </w:tc>
        <w:tc>
          <w:tcPr>
            <w:tcW w:w="0" w:type="auto"/>
          </w:tcPr>
          <w:p w14:paraId="7B4E8169" w14:textId="77777777" w:rsidR="008C5CFA" w:rsidRPr="001C4484" w:rsidRDefault="00E82A60" w:rsidP="00300A01">
            <w:pPr>
              <w:spacing w:before="0" w:after="0"/>
              <w:jc w:val="right"/>
              <w:rPr>
                <w:sz w:val="10"/>
                <w:szCs w:val="10"/>
              </w:rPr>
            </w:pPr>
            <w:r>
              <w:rPr>
                <w:noProof/>
                <w:sz w:val="10"/>
                <w:szCs w:val="10"/>
              </w:rPr>
              <w:t>96,00</w:t>
            </w:r>
          </w:p>
        </w:tc>
        <w:tc>
          <w:tcPr>
            <w:tcW w:w="0" w:type="auto"/>
            <w:shd w:val="clear" w:color="auto" w:fill="auto"/>
          </w:tcPr>
          <w:p w14:paraId="0DC7A1BE" w14:textId="77777777" w:rsidR="008C5CFA" w:rsidRPr="001C4484" w:rsidRDefault="00E82A60" w:rsidP="00300A01">
            <w:pPr>
              <w:spacing w:before="0" w:after="0"/>
              <w:jc w:val="right"/>
              <w:rPr>
                <w:sz w:val="10"/>
                <w:szCs w:val="10"/>
              </w:rPr>
            </w:pPr>
            <w:r w:rsidRPr="001C4484">
              <w:rPr>
                <w:noProof/>
                <w:sz w:val="10"/>
                <w:szCs w:val="10"/>
              </w:rPr>
              <w:t>49,00</w:t>
            </w:r>
          </w:p>
        </w:tc>
        <w:tc>
          <w:tcPr>
            <w:tcW w:w="0" w:type="auto"/>
            <w:shd w:val="clear" w:color="auto" w:fill="auto"/>
          </w:tcPr>
          <w:p w14:paraId="3E94AE98" w14:textId="77777777" w:rsidR="008C5CFA" w:rsidRPr="001C4484" w:rsidRDefault="00E82A60" w:rsidP="00300A01">
            <w:pPr>
              <w:spacing w:before="0" w:after="0"/>
              <w:jc w:val="right"/>
              <w:rPr>
                <w:sz w:val="10"/>
                <w:szCs w:val="10"/>
                <w:lang w:val="fr-BE"/>
              </w:rPr>
            </w:pPr>
            <w:r w:rsidRPr="001C4484">
              <w:rPr>
                <w:noProof/>
                <w:sz w:val="10"/>
                <w:szCs w:val="10"/>
              </w:rPr>
              <w:t>47,00</w:t>
            </w:r>
          </w:p>
        </w:tc>
        <w:tc>
          <w:tcPr>
            <w:tcW w:w="0" w:type="auto"/>
          </w:tcPr>
          <w:p w14:paraId="68FADC60" w14:textId="77777777" w:rsidR="008C5CFA" w:rsidRPr="001C4484" w:rsidRDefault="00E82A60" w:rsidP="00300A01">
            <w:pPr>
              <w:spacing w:before="0" w:after="0"/>
              <w:jc w:val="right"/>
              <w:rPr>
                <w:sz w:val="10"/>
                <w:szCs w:val="10"/>
              </w:rPr>
            </w:pPr>
            <w:r>
              <w:rPr>
                <w:noProof/>
                <w:sz w:val="10"/>
                <w:szCs w:val="10"/>
              </w:rPr>
              <w:t>25,00</w:t>
            </w:r>
          </w:p>
        </w:tc>
        <w:tc>
          <w:tcPr>
            <w:tcW w:w="0" w:type="auto"/>
            <w:shd w:val="clear" w:color="auto" w:fill="auto"/>
          </w:tcPr>
          <w:p w14:paraId="7AE542F0" w14:textId="77777777" w:rsidR="008C5CFA" w:rsidRPr="001C4484" w:rsidRDefault="00E82A60" w:rsidP="00300A01">
            <w:pPr>
              <w:spacing w:before="0" w:after="0"/>
              <w:jc w:val="right"/>
              <w:rPr>
                <w:sz w:val="10"/>
                <w:szCs w:val="10"/>
              </w:rPr>
            </w:pPr>
            <w:r w:rsidRPr="001C4484">
              <w:rPr>
                <w:noProof/>
                <w:sz w:val="10"/>
                <w:szCs w:val="10"/>
              </w:rPr>
              <w:t>20,00</w:t>
            </w:r>
          </w:p>
        </w:tc>
        <w:tc>
          <w:tcPr>
            <w:tcW w:w="0" w:type="auto"/>
            <w:shd w:val="clear" w:color="auto" w:fill="auto"/>
          </w:tcPr>
          <w:p w14:paraId="4845D8E3" w14:textId="77777777" w:rsidR="008C5CFA" w:rsidRPr="001C4484" w:rsidRDefault="00E82A60" w:rsidP="00300A01">
            <w:pPr>
              <w:spacing w:before="0" w:after="0"/>
              <w:jc w:val="right"/>
              <w:rPr>
                <w:sz w:val="10"/>
                <w:szCs w:val="10"/>
                <w:lang w:val="fr-BE"/>
              </w:rPr>
            </w:pPr>
            <w:r w:rsidRPr="001C4484">
              <w:rPr>
                <w:noProof/>
                <w:sz w:val="10"/>
                <w:szCs w:val="10"/>
              </w:rPr>
              <w:t>5,00</w:t>
            </w:r>
          </w:p>
        </w:tc>
      </w:tr>
      <w:tr w:rsidR="006B2EC1" w14:paraId="68972653" w14:textId="77777777" w:rsidTr="0047688D">
        <w:tc>
          <w:tcPr>
            <w:tcW w:w="0" w:type="auto"/>
            <w:shd w:val="clear" w:color="auto" w:fill="auto"/>
          </w:tcPr>
          <w:p w14:paraId="69A0A624" w14:textId="77777777" w:rsidR="008C5CFA" w:rsidRPr="001C4484" w:rsidRDefault="00E82A60" w:rsidP="00300A01">
            <w:pPr>
              <w:spacing w:before="0" w:after="0"/>
              <w:rPr>
                <w:sz w:val="10"/>
                <w:szCs w:val="10"/>
                <w:lang w:val="fr-BE"/>
              </w:rPr>
            </w:pPr>
            <w:r w:rsidRPr="001C4484">
              <w:rPr>
                <w:noProof/>
                <w:sz w:val="10"/>
                <w:szCs w:val="10"/>
                <w:lang w:val="fr-BE"/>
              </w:rPr>
              <w:t>CO17</w:t>
            </w:r>
          </w:p>
        </w:tc>
        <w:tc>
          <w:tcPr>
            <w:tcW w:w="0" w:type="auto"/>
            <w:shd w:val="clear" w:color="auto" w:fill="auto"/>
          </w:tcPr>
          <w:p w14:paraId="5312A03F" w14:textId="77777777" w:rsidR="008C5CFA" w:rsidRPr="001C4484" w:rsidRDefault="00E82A60" w:rsidP="00300A01">
            <w:pPr>
              <w:spacing w:before="0" w:after="0"/>
              <w:rPr>
                <w:sz w:val="10"/>
                <w:szCs w:val="10"/>
                <w:lang w:val="fr-BE"/>
              </w:rPr>
            </w:pPr>
            <w:r w:rsidRPr="001C4484">
              <w:rPr>
                <w:noProof/>
                <w:sz w:val="10"/>
                <w:szCs w:val="10"/>
                <w:lang w:val="fr-BE"/>
              </w:rPr>
              <w:t>inne osoby w niekorzystnej sytuacji społecznej</w:t>
            </w:r>
          </w:p>
        </w:tc>
        <w:tc>
          <w:tcPr>
            <w:tcW w:w="0" w:type="auto"/>
            <w:shd w:val="clear" w:color="auto" w:fill="auto"/>
          </w:tcPr>
          <w:p w14:paraId="0C9A83AE"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1EBA682E" w14:textId="77777777" w:rsidR="008C5CFA" w:rsidRPr="001C4484" w:rsidRDefault="00E82A60" w:rsidP="00300A01">
            <w:pPr>
              <w:spacing w:before="0" w:after="0"/>
              <w:jc w:val="right"/>
              <w:rPr>
                <w:sz w:val="10"/>
                <w:szCs w:val="10"/>
              </w:rPr>
            </w:pPr>
            <w:r>
              <w:rPr>
                <w:noProof/>
                <w:sz w:val="10"/>
                <w:szCs w:val="10"/>
              </w:rPr>
              <w:t>836,00</w:t>
            </w:r>
          </w:p>
        </w:tc>
        <w:tc>
          <w:tcPr>
            <w:tcW w:w="0" w:type="auto"/>
            <w:shd w:val="clear" w:color="auto" w:fill="auto"/>
          </w:tcPr>
          <w:p w14:paraId="703B6880" w14:textId="77777777" w:rsidR="008C5CFA" w:rsidRPr="001C4484" w:rsidRDefault="00E82A60" w:rsidP="00300A01">
            <w:pPr>
              <w:spacing w:before="0" w:after="0"/>
              <w:jc w:val="right"/>
              <w:rPr>
                <w:sz w:val="10"/>
                <w:szCs w:val="10"/>
              </w:rPr>
            </w:pPr>
            <w:r w:rsidRPr="001C4484">
              <w:rPr>
                <w:noProof/>
                <w:sz w:val="10"/>
                <w:szCs w:val="10"/>
              </w:rPr>
              <w:t>493,00</w:t>
            </w:r>
          </w:p>
        </w:tc>
        <w:tc>
          <w:tcPr>
            <w:tcW w:w="0" w:type="auto"/>
            <w:shd w:val="clear" w:color="auto" w:fill="auto"/>
          </w:tcPr>
          <w:p w14:paraId="3224F4C1" w14:textId="77777777" w:rsidR="008C5CFA" w:rsidRPr="001C4484" w:rsidRDefault="00E82A60" w:rsidP="00300A01">
            <w:pPr>
              <w:spacing w:before="0" w:after="0"/>
              <w:jc w:val="right"/>
              <w:rPr>
                <w:sz w:val="10"/>
                <w:szCs w:val="10"/>
                <w:lang w:val="fr-BE"/>
              </w:rPr>
            </w:pPr>
            <w:r w:rsidRPr="001C4484">
              <w:rPr>
                <w:noProof/>
                <w:sz w:val="10"/>
                <w:szCs w:val="10"/>
              </w:rPr>
              <w:t>343,00</w:t>
            </w:r>
          </w:p>
        </w:tc>
        <w:tc>
          <w:tcPr>
            <w:tcW w:w="0" w:type="auto"/>
          </w:tcPr>
          <w:p w14:paraId="4ECE6C80" w14:textId="77777777" w:rsidR="008C5CFA" w:rsidRPr="001C4484" w:rsidRDefault="00E82A60" w:rsidP="00300A01">
            <w:pPr>
              <w:spacing w:before="0" w:after="0"/>
              <w:jc w:val="right"/>
              <w:rPr>
                <w:sz w:val="10"/>
                <w:szCs w:val="10"/>
              </w:rPr>
            </w:pPr>
            <w:r>
              <w:rPr>
                <w:noProof/>
                <w:sz w:val="10"/>
                <w:szCs w:val="10"/>
              </w:rPr>
              <w:t>124,00</w:t>
            </w:r>
          </w:p>
        </w:tc>
        <w:tc>
          <w:tcPr>
            <w:tcW w:w="0" w:type="auto"/>
            <w:shd w:val="clear" w:color="auto" w:fill="auto"/>
          </w:tcPr>
          <w:p w14:paraId="602542EA" w14:textId="77777777" w:rsidR="008C5CFA" w:rsidRPr="001C4484" w:rsidRDefault="00E82A60" w:rsidP="00300A01">
            <w:pPr>
              <w:spacing w:before="0" w:after="0"/>
              <w:jc w:val="right"/>
              <w:rPr>
                <w:sz w:val="10"/>
                <w:szCs w:val="10"/>
              </w:rPr>
            </w:pPr>
            <w:r w:rsidRPr="001C4484">
              <w:rPr>
                <w:noProof/>
                <w:sz w:val="10"/>
                <w:szCs w:val="10"/>
              </w:rPr>
              <w:t>97,00</w:t>
            </w:r>
          </w:p>
        </w:tc>
        <w:tc>
          <w:tcPr>
            <w:tcW w:w="0" w:type="auto"/>
            <w:shd w:val="clear" w:color="auto" w:fill="auto"/>
          </w:tcPr>
          <w:p w14:paraId="1084F1BD" w14:textId="77777777" w:rsidR="008C5CFA" w:rsidRPr="001C4484" w:rsidRDefault="00E82A60" w:rsidP="00300A01">
            <w:pPr>
              <w:spacing w:before="0" w:after="0"/>
              <w:jc w:val="right"/>
              <w:rPr>
                <w:sz w:val="10"/>
                <w:szCs w:val="10"/>
                <w:lang w:val="fr-BE"/>
              </w:rPr>
            </w:pPr>
            <w:r w:rsidRPr="001C4484">
              <w:rPr>
                <w:noProof/>
                <w:sz w:val="10"/>
                <w:szCs w:val="10"/>
              </w:rPr>
              <w:t>27,00</w:t>
            </w:r>
          </w:p>
        </w:tc>
        <w:tc>
          <w:tcPr>
            <w:tcW w:w="0" w:type="auto"/>
          </w:tcPr>
          <w:p w14:paraId="573A9442" w14:textId="77777777" w:rsidR="008C5CFA" w:rsidRPr="001C4484" w:rsidRDefault="00E82A60" w:rsidP="00300A01">
            <w:pPr>
              <w:spacing w:before="0" w:after="0"/>
              <w:jc w:val="right"/>
              <w:rPr>
                <w:sz w:val="10"/>
                <w:szCs w:val="10"/>
              </w:rPr>
            </w:pPr>
            <w:r>
              <w:rPr>
                <w:noProof/>
                <w:sz w:val="10"/>
                <w:szCs w:val="10"/>
              </w:rPr>
              <w:t>71,00</w:t>
            </w:r>
          </w:p>
        </w:tc>
        <w:tc>
          <w:tcPr>
            <w:tcW w:w="0" w:type="auto"/>
            <w:shd w:val="clear" w:color="auto" w:fill="auto"/>
          </w:tcPr>
          <w:p w14:paraId="7D569572" w14:textId="77777777" w:rsidR="008C5CFA" w:rsidRPr="001C4484" w:rsidRDefault="00E82A60" w:rsidP="00300A01">
            <w:pPr>
              <w:spacing w:before="0" w:after="0"/>
              <w:jc w:val="right"/>
              <w:rPr>
                <w:sz w:val="10"/>
                <w:szCs w:val="10"/>
              </w:rPr>
            </w:pPr>
            <w:r w:rsidRPr="001C4484">
              <w:rPr>
                <w:noProof/>
                <w:sz w:val="10"/>
                <w:szCs w:val="10"/>
              </w:rPr>
              <w:t>36,00</w:t>
            </w:r>
          </w:p>
        </w:tc>
        <w:tc>
          <w:tcPr>
            <w:tcW w:w="0" w:type="auto"/>
            <w:shd w:val="clear" w:color="auto" w:fill="auto"/>
          </w:tcPr>
          <w:p w14:paraId="7DB01EB6" w14:textId="77777777" w:rsidR="008C5CFA" w:rsidRPr="001C4484" w:rsidRDefault="00E82A60" w:rsidP="00300A01">
            <w:pPr>
              <w:spacing w:before="0" w:after="0"/>
              <w:jc w:val="right"/>
              <w:rPr>
                <w:sz w:val="10"/>
                <w:szCs w:val="10"/>
                <w:lang w:val="fr-BE"/>
              </w:rPr>
            </w:pPr>
            <w:r w:rsidRPr="001C4484">
              <w:rPr>
                <w:noProof/>
                <w:sz w:val="10"/>
                <w:szCs w:val="10"/>
              </w:rPr>
              <w:t>35,00</w:t>
            </w:r>
          </w:p>
        </w:tc>
      </w:tr>
      <w:tr w:rsidR="006B2EC1" w14:paraId="45721DCC" w14:textId="77777777" w:rsidTr="0047688D">
        <w:tc>
          <w:tcPr>
            <w:tcW w:w="0" w:type="auto"/>
            <w:shd w:val="clear" w:color="auto" w:fill="auto"/>
          </w:tcPr>
          <w:p w14:paraId="09A621E3" w14:textId="77777777" w:rsidR="008C5CFA" w:rsidRPr="001C4484" w:rsidRDefault="00E82A60" w:rsidP="00300A01">
            <w:pPr>
              <w:spacing w:before="0" w:after="0"/>
              <w:rPr>
                <w:sz w:val="10"/>
                <w:szCs w:val="10"/>
                <w:lang w:val="fr-BE"/>
              </w:rPr>
            </w:pPr>
            <w:r w:rsidRPr="001C4484">
              <w:rPr>
                <w:noProof/>
                <w:sz w:val="10"/>
                <w:szCs w:val="10"/>
                <w:lang w:val="fr-BE"/>
              </w:rPr>
              <w:t>CO18</w:t>
            </w:r>
          </w:p>
        </w:tc>
        <w:tc>
          <w:tcPr>
            <w:tcW w:w="0" w:type="auto"/>
            <w:shd w:val="clear" w:color="auto" w:fill="auto"/>
          </w:tcPr>
          <w:p w14:paraId="456EABE0" w14:textId="77777777" w:rsidR="008C5CFA" w:rsidRPr="001C4484" w:rsidRDefault="00E82A60" w:rsidP="00300A01">
            <w:pPr>
              <w:spacing w:before="0" w:after="0"/>
              <w:rPr>
                <w:sz w:val="10"/>
                <w:szCs w:val="10"/>
                <w:lang w:val="fr-BE"/>
              </w:rPr>
            </w:pPr>
            <w:r w:rsidRPr="001C4484">
              <w:rPr>
                <w:noProof/>
                <w:sz w:val="10"/>
                <w:szCs w:val="10"/>
                <w:lang w:val="fr-BE"/>
              </w:rPr>
              <w:t>osoby bezdomne lub dotknięte wykluczeniem z dostępu do mieszkań</w:t>
            </w:r>
          </w:p>
        </w:tc>
        <w:tc>
          <w:tcPr>
            <w:tcW w:w="0" w:type="auto"/>
            <w:shd w:val="clear" w:color="auto" w:fill="auto"/>
          </w:tcPr>
          <w:p w14:paraId="41C482DF"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2ADD7E54" w14:textId="77777777" w:rsidR="008C5CFA" w:rsidRPr="001C4484" w:rsidRDefault="00E82A60" w:rsidP="00300A01">
            <w:pPr>
              <w:spacing w:before="0" w:after="0"/>
              <w:jc w:val="right"/>
              <w:rPr>
                <w:sz w:val="10"/>
                <w:szCs w:val="10"/>
              </w:rPr>
            </w:pPr>
            <w:r>
              <w:rPr>
                <w:noProof/>
                <w:sz w:val="10"/>
                <w:szCs w:val="10"/>
              </w:rPr>
              <w:t>4,00</w:t>
            </w:r>
          </w:p>
        </w:tc>
        <w:tc>
          <w:tcPr>
            <w:tcW w:w="0" w:type="auto"/>
            <w:shd w:val="clear" w:color="auto" w:fill="auto"/>
          </w:tcPr>
          <w:p w14:paraId="0E4423C7" w14:textId="77777777" w:rsidR="008C5CFA" w:rsidRPr="001C4484" w:rsidRDefault="00E82A60" w:rsidP="00300A01">
            <w:pPr>
              <w:spacing w:before="0" w:after="0"/>
              <w:jc w:val="right"/>
              <w:rPr>
                <w:sz w:val="10"/>
                <w:szCs w:val="10"/>
              </w:rPr>
            </w:pPr>
            <w:r w:rsidRPr="001C4484">
              <w:rPr>
                <w:noProof/>
                <w:sz w:val="10"/>
                <w:szCs w:val="10"/>
              </w:rPr>
              <w:t>2,00</w:t>
            </w:r>
          </w:p>
        </w:tc>
        <w:tc>
          <w:tcPr>
            <w:tcW w:w="0" w:type="auto"/>
            <w:shd w:val="clear" w:color="auto" w:fill="auto"/>
          </w:tcPr>
          <w:p w14:paraId="671D32CD" w14:textId="77777777" w:rsidR="008C5CFA" w:rsidRPr="001C4484" w:rsidRDefault="00E82A60" w:rsidP="00300A01">
            <w:pPr>
              <w:spacing w:before="0" w:after="0"/>
              <w:jc w:val="right"/>
              <w:rPr>
                <w:sz w:val="10"/>
                <w:szCs w:val="10"/>
                <w:lang w:val="fr-BE"/>
              </w:rPr>
            </w:pPr>
            <w:r w:rsidRPr="001C4484">
              <w:rPr>
                <w:noProof/>
                <w:sz w:val="10"/>
                <w:szCs w:val="10"/>
              </w:rPr>
              <w:t>2,00</w:t>
            </w:r>
          </w:p>
        </w:tc>
        <w:tc>
          <w:tcPr>
            <w:tcW w:w="0" w:type="auto"/>
          </w:tcPr>
          <w:p w14:paraId="6632D470" w14:textId="77777777" w:rsidR="008C5CFA" w:rsidRPr="001C4484" w:rsidRDefault="00E82A60" w:rsidP="00300A01">
            <w:pPr>
              <w:spacing w:before="0" w:after="0"/>
              <w:jc w:val="right"/>
              <w:rPr>
                <w:sz w:val="10"/>
                <w:szCs w:val="10"/>
              </w:rPr>
            </w:pPr>
            <w:r>
              <w:rPr>
                <w:noProof/>
                <w:sz w:val="10"/>
                <w:szCs w:val="10"/>
              </w:rPr>
              <w:t>1,00</w:t>
            </w:r>
          </w:p>
        </w:tc>
        <w:tc>
          <w:tcPr>
            <w:tcW w:w="0" w:type="auto"/>
            <w:shd w:val="clear" w:color="auto" w:fill="auto"/>
          </w:tcPr>
          <w:p w14:paraId="470CB117"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4CF2A87B" w14:textId="77777777" w:rsidR="008C5CFA" w:rsidRPr="001C4484" w:rsidRDefault="00E82A60" w:rsidP="00300A01">
            <w:pPr>
              <w:spacing w:before="0" w:after="0"/>
              <w:jc w:val="right"/>
              <w:rPr>
                <w:sz w:val="10"/>
                <w:szCs w:val="10"/>
                <w:lang w:val="fr-BE"/>
              </w:rPr>
            </w:pPr>
            <w:r w:rsidRPr="001C4484">
              <w:rPr>
                <w:noProof/>
                <w:sz w:val="10"/>
                <w:szCs w:val="10"/>
              </w:rPr>
              <w:t>1,00</w:t>
            </w:r>
          </w:p>
        </w:tc>
        <w:tc>
          <w:tcPr>
            <w:tcW w:w="0" w:type="auto"/>
          </w:tcPr>
          <w:p w14:paraId="14364A75" w14:textId="77777777" w:rsidR="008C5CFA" w:rsidRPr="001C4484" w:rsidRDefault="00E82A60" w:rsidP="00300A01">
            <w:pPr>
              <w:spacing w:before="0" w:after="0"/>
              <w:jc w:val="right"/>
              <w:rPr>
                <w:sz w:val="10"/>
                <w:szCs w:val="10"/>
              </w:rPr>
            </w:pPr>
            <w:r>
              <w:rPr>
                <w:noProof/>
                <w:sz w:val="10"/>
                <w:szCs w:val="10"/>
              </w:rPr>
              <w:t>1,00</w:t>
            </w:r>
          </w:p>
        </w:tc>
        <w:tc>
          <w:tcPr>
            <w:tcW w:w="0" w:type="auto"/>
            <w:shd w:val="clear" w:color="auto" w:fill="auto"/>
          </w:tcPr>
          <w:p w14:paraId="01D320D5" w14:textId="77777777" w:rsidR="008C5CFA" w:rsidRPr="001C4484" w:rsidRDefault="00E82A60" w:rsidP="00300A01">
            <w:pPr>
              <w:spacing w:before="0" w:after="0"/>
              <w:jc w:val="right"/>
              <w:rPr>
                <w:sz w:val="10"/>
                <w:szCs w:val="10"/>
              </w:rPr>
            </w:pPr>
            <w:r w:rsidRPr="001C4484">
              <w:rPr>
                <w:noProof/>
                <w:sz w:val="10"/>
                <w:szCs w:val="10"/>
              </w:rPr>
              <w:t>1,00</w:t>
            </w:r>
          </w:p>
        </w:tc>
        <w:tc>
          <w:tcPr>
            <w:tcW w:w="0" w:type="auto"/>
            <w:shd w:val="clear" w:color="auto" w:fill="auto"/>
          </w:tcPr>
          <w:p w14:paraId="1B9F32F2" w14:textId="77777777" w:rsidR="008C5CFA" w:rsidRPr="001C4484" w:rsidRDefault="00E82A60" w:rsidP="00300A01">
            <w:pPr>
              <w:spacing w:before="0" w:after="0"/>
              <w:jc w:val="right"/>
              <w:rPr>
                <w:sz w:val="10"/>
                <w:szCs w:val="10"/>
                <w:lang w:val="fr-BE"/>
              </w:rPr>
            </w:pPr>
            <w:r w:rsidRPr="001C4484">
              <w:rPr>
                <w:noProof/>
                <w:sz w:val="10"/>
                <w:szCs w:val="10"/>
              </w:rPr>
              <w:t>0,00</w:t>
            </w:r>
          </w:p>
        </w:tc>
      </w:tr>
      <w:tr w:rsidR="006B2EC1" w14:paraId="5A7E2C61" w14:textId="77777777" w:rsidTr="0047688D">
        <w:tc>
          <w:tcPr>
            <w:tcW w:w="0" w:type="auto"/>
            <w:shd w:val="clear" w:color="auto" w:fill="auto"/>
          </w:tcPr>
          <w:p w14:paraId="45EDE836" w14:textId="77777777" w:rsidR="008C5CFA" w:rsidRPr="001C4484" w:rsidRDefault="00E82A60" w:rsidP="00300A01">
            <w:pPr>
              <w:spacing w:before="0" w:after="0"/>
              <w:rPr>
                <w:sz w:val="10"/>
                <w:szCs w:val="10"/>
                <w:lang w:val="fr-BE"/>
              </w:rPr>
            </w:pPr>
            <w:r w:rsidRPr="001C4484">
              <w:rPr>
                <w:noProof/>
                <w:sz w:val="10"/>
                <w:szCs w:val="10"/>
                <w:lang w:val="fr-BE"/>
              </w:rPr>
              <w:t>CO19</w:t>
            </w:r>
          </w:p>
        </w:tc>
        <w:tc>
          <w:tcPr>
            <w:tcW w:w="0" w:type="auto"/>
            <w:shd w:val="clear" w:color="auto" w:fill="auto"/>
          </w:tcPr>
          <w:p w14:paraId="52F235EF" w14:textId="77777777" w:rsidR="008C5CFA" w:rsidRPr="001C4484" w:rsidRDefault="00E82A60" w:rsidP="00300A01">
            <w:pPr>
              <w:spacing w:before="0" w:after="0"/>
              <w:rPr>
                <w:sz w:val="10"/>
                <w:szCs w:val="10"/>
                <w:lang w:val="fr-BE"/>
              </w:rPr>
            </w:pPr>
            <w:r w:rsidRPr="001C4484">
              <w:rPr>
                <w:noProof/>
                <w:sz w:val="10"/>
                <w:szCs w:val="10"/>
                <w:lang w:val="fr-BE"/>
              </w:rPr>
              <w:t>osoby pochodzące z obszarów wiejskich</w:t>
            </w:r>
          </w:p>
        </w:tc>
        <w:tc>
          <w:tcPr>
            <w:tcW w:w="0" w:type="auto"/>
            <w:shd w:val="clear" w:color="auto" w:fill="auto"/>
          </w:tcPr>
          <w:p w14:paraId="310BF541"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32CC99E1" w14:textId="77777777" w:rsidR="008C5CFA" w:rsidRPr="001C4484" w:rsidRDefault="00E82A60" w:rsidP="00300A01">
            <w:pPr>
              <w:spacing w:before="0" w:after="0"/>
              <w:jc w:val="right"/>
              <w:rPr>
                <w:sz w:val="10"/>
                <w:szCs w:val="10"/>
              </w:rPr>
            </w:pPr>
            <w:r>
              <w:rPr>
                <w:noProof/>
                <w:sz w:val="10"/>
                <w:szCs w:val="10"/>
              </w:rPr>
              <w:t>2 771,00</w:t>
            </w:r>
          </w:p>
        </w:tc>
        <w:tc>
          <w:tcPr>
            <w:tcW w:w="0" w:type="auto"/>
            <w:shd w:val="clear" w:color="auto" w:fill="auto"/>
          </w:tcPr>
          <w:p w14:paraId="6E38095A" w14:textId="77777777" w:rsidR="008C5CFA" w:rsidRPr="001C4484" w:rsidRDefault="00E82A60" w:rsidP="00300A01">
            <w:pPr>
              <w:spacing w:before="0" w:after="0"/>
              <w:jc w:val="right"/>
              <w:rPr>
                <w:sz w:val="10"/>
                <w:szCs w:val="10"/>
              </w:rPr>
            </w:pPr>
            <w:r w:rsidRPr="001C4484">
              <w:rPr>
                <w:noProof/>
                <w:sz w:val="10"/>
                <w:szCs w:val="10"/>
              </w:rPr>
              <w:t>1 571,00</w:t>
            </w:r>
          </w:p>
        </w:tc>
        <w:tc>
          <w:tcPr>
            <w:tcW w:w="0" w:type="auto"/>
            <w:shd w:val="clear" w:color="auto" w:fill="auto"/>
          </w:tcPr>
          <w:p w14:paraId="76CBBFDF" w14:textId="77777777" w:rsidR="008C5CFA" w:rsidRPr="001C4484" w:rsidRDefault="00E82A60" w:rsidP="00300A01">
            <w:pPr>
              <w:spacing w:before="0" w:after="0"/>
              <w:jc w:val="right"/>
              <w:rPr>
                <w:sz w:val="10"/>
                <w:szCs w:val="10"/>
                <w:lang w:val="fr-BE"/>
              </w:rPr>
            </w:pPr>
            <w:r w:rsidRPr="001C4484">
              <w:rPr>
                <w:noProof/>
                <w:sz w:val="10"/>
                <w:szCs w:val="10"/>
              </w:rPr>
              <w:t>1 200,00</w:t>
            </w:r>
          </w:p>
        </w:tc>
        <w:tc>
          <w:tcPr>
            <w:tcW w:w="0" w:type="auto"/>
          </w:tcPr>
          <w:p w14:paraId="018CC9B9" w14:textId="77777777" w:rsidR="008C5CFA" w:rsidRPr="001C4484" w:rsidRDefault="00E82A60" w:rsidP="00300A01">
            <w:pPr>
              <w:spacing w:before="0" w:after="0"/>
              <w:jc w:val="right"/>
              <w:rPr>
                <w:sz w:val="10"/>
                <w:szCs w:val="10"/>
              </w:rPr>
            </w:pPr>
            <w:r>
              <w:rPr>
                <w:noProof/>
                <w:sz w:val="10"/>
                <w:szCs w:val="10"/>
              </w:rPr>
              <w:t>1 828,00</w:t>
            </w:r>
          </w:p>
        </w:tc>
        <w:tc>
          <w:tcPr>
            <w:tcW w:w="0" w:type="auto"/>
            <w:shd w:val="clear" w:color="auto" w:fill="auto"/>
          </w:tcPr>
          <w:p w14:paraId="11236D7D" w14:textId="77777777" w:rsidR="008C5CFA" w:rsidRPr="001C4484" w:rsidRDefault="00E82A60" w:rsidP="00300A01">
            <w:pPr>
              <w:spacing w:before="0" w:after="0"/>
              <w:jc w:val="right"/>
              <w:rPr>
                <w:sz w:val="10"/>
                <w:szCs w:val="10"/>
              </w:rPr>
            </w:pPr>
            <w:r w:rsidRPr="001C4484">
              <w:rPr>
                <w:noProof/>
                <w:sz w:val="10"/>
                <w:szCs w:val="10"/>
              </w:rPr>
              <w:t>906,00</w:t>
            </w:r>
          </w:p>
        </w:tc>
        <w:tc>
          <w:tcPr>
            <w:tcW w:w="0" w:type="auto"/>
            <w:shd w:val="clear" w:color="auto" w:fill="auto"/>
          </w:tcPr>
          <w:p w14:paraId="172C1F7E" w14:textId="77777777" w:rsidR="008C5CFA" w:rsidRPr="001C4484" w:rsidRDefault="00E82A60" w:rsidP="00300A01">
            <w:pPr>
              <w:spacing w:before="0" w:after="0"/>
              <w:jc w:val="right"/>
              <w:rPr>
                <w:sz w:val="10"/>
                <w:szCs w:val="10"/>
                <w:lang w:val="fr-BE"/>
              </w:rPr>
            </w:pPr>
            <w:r w:rsidRPr="001C4484">
              <w:rPr>
                <w:noProof/>
                <w:sz w:val="10"/>
                <w:szCs w:val="10"/>
              </w:rPr>
              <w:t>922,00</w:t>
            </w:r>
          </w:p>
        </w:tc>
        <w:tc>
          <w:tcPr>
            <w:tcW w:w="0" w:type="auto"/>
          </w:tcPr>
          <w:p w14:paraId="12C0E3E7" w14:textId="77777777" w:rsidR="008C5CFA" w:rsidRPr="001C4484" w:rsidRDefault="00E82A60" w:rsidP="00300A01">
            <w:pPr>
              <w:spacing w:before="0" w:after="0"/>
              <w:jc w:val="right"/>
              <w:rPr>
                <w:sz w:val="10"/>
                <w:szCs w:val="10"/>
              </w:rPr>
            </w:pPr>
            <w:r>
              <w:rPr>
                <w:noProof/>
                <w:sz w:val="10"/>
                <w:szCs w:val="10"/>
              </w:rPr>
              <w:t>1 216,00</w:t>
            </w:r>
          </w:p>
        </w:tc>
        <w:tc>
          <w:tcPr>
            <w:tcW w:w="0" w:type="auto"/>
            <w:shd w:val="clear" w:color="auto" w:fill="auto"/>
          </w:tcPr>
          <w:p w14:paraId="0CF3DCD1" w14:textId="77777777" w:rsidR="008C5CFA" w:rsidRPr="001C4484" w:rsidRDefault="00E82A60" w:rsidP="00300A01">
            <w:pPr>
              <w:spacing w:before="0" w:after="0"/>
              <w:jc w:val="right"/>
              <w:rPr>
                <w:sz w:val="10"/>
                <w:szCs w:val="10"/>
              </w:rPr>
            </w:pPr>
            <w:r w:rsidRPr="001C4484">
              <w:rPr>
                <w:noProof/>
                <w:sz w:val="10"/>
                <w:szCs w:val="10"/>
              </w:rPr>
              <w:t>717,00</w:t>
            </w:r>
          </w:p>
        </w:tc>
        <w:tc>
          <w:tcPr>
            <w:tcW w:w="0" w:type="auto"/>
            <w:shd w:val="clear" w:color="auto" w:fill="auto"/>
          </w:tcPr>
          <w:p w14:paraId="026AE920" w14:textId="77777777" w:rsidR="008C5CFA" w:rsidRPr="001C4484" w:rsidRDefault="00E82A60" w:rsidP="00300A01">
            <w:pPr>
              <w:spacing w:before="0" w:after="0"/>
              <w:jc w:val="right"/>
              <w:rPr>
                <w:sz w:val="10"/>
                <w:szCs w:val="10"/>
                <w:lang w:val="fr-BE"/>
              </w:rPr>
            </w:pPr>
            <w:r w:rsidRPr="001C4484">
              <w:rPr>
                <w:noProof/>
                <w:sz w:val="10"/>
                <w:szCs w:val="10"/>
              </w:rPr>
              <w:t>499,00</w:t>
            </w:r>
          </w:p>
        </w:tc>
      </w:tr>
      <w:tr w:rsidR="006B2EC1" w14:paraId="36130839" w14:textId="77777777" w:rsidTr="0047688D">
        <w:tc>
          <w:tcPr>
            <w:tcW w:w="0" w:type="auto"/>
            <w:shd w:val="clear" w:color="auto" w:fill="auto"/>
          </w:tcPr>
          <w:p w14:paraId="35796CD4" w14:textId="77777777" w:rsidR="008C5CFA" w:rsidRPr="001C4484" w:rsidRDefault="00E82A60" w:rsidP="00300A01">
            <w:pPr>
              <w:spacing w:before="0" w:after="0"/>
              <w:rPr>
                <w:sz w:val="10"/>
                <w:szCs w:val="10"/>
                <w:lang w:val="fr-BE"/>
              </w:rPr>
            </w:pPr>
            <w:r w:rsidRPr="001C4484">
              <w:rPr>
                <w:noProof/>
                <w:sz w:val="10"/>
                <w:szCs w:val="10"/>
                <w:lang w:val="fr-BE"/>
              </w:rPr>
              <w:t>CO20</w:t>
            </w:r>
          </w:p>
        </w:tc>
        <w:tc>
          <w:tcPr>
            <w:tcW w:w="0" w:type="auto"/>
            <w:shd w:val="clear" w:color="auto" w:fill="auto"/>
          </w:tcPr>
          <w:p w14:paraId="0E50E32D" w14:textId="77777777" w:rsidR="008C5CFA" w:rsidRPr="001C4484" w:rsidRDefault="00E82A60" w:rsidP="00300A01">
            <w:pPr>
              <w:spacing w:before="0" w:after="0"/>
              <w:rPr>
                <w:sz w:val="10"/>
                <w:szCs w:val="10"/>
                <w:lang w:val="fr-BE"/>
              </w:rPr>
            </w:pPr>
            <w:r w:rsidRPr="001C4484">
              <w:rPr>
                <w:noProof/>
                <w:sz w:val="10"/>
                <w:szCs w:val="10"/>
                <w:lang w:val="fr-BE"/>
              </w:rPr>
              <w:t>liczba projektów zrealizowanych w pełni lub częściowo przez partnerów społecznych lub organizacje pozarządowe</w:t>
            </w:r>
          </w:p>
        </w:tc>
        <w:tc>
          <w:tcPr>
            <w:tcW w:w="0" w:type="auto"/>
            <w:shd w:val="clear" w:color="auto" w:fill="auto"/>
          </w:tcPr>
          <w:p w14:paraId="5027E6E0"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25D0FBB0"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5D546062" w14:textId="77777777" w:rsidR="008C5CFA" w:rsidRPr="001C4484" w:rsidRDefault="008C5CFA" w:rsidP="00300A01">
            <w:pPr>
              <w:spacing w:before="0" w:after="0"/>
              <w:jc w:val="right"/>
              <w:rPr>
                <w:sz w:val="10"/>
                <w:szCs w:val="10"/>
              </w:rPr>
            </w:pPr>
          </w:p>
        </w:tc>
        <w:tc>
          <w:tcPr>
            <w:tcW w:w="0" w:type="auto"/>
            <w:shd w:val="clear" w:color="auto" w:fill="auto"/>
          </w:tcPr>
          <w:p w14:paraId="09027A74" w14:textId="77777777" w:rsidR="008C5CFA" w:rsidRPr="001C4484" w:rsidRDefault="008C5CFA" w:rsidP="00300A01">
            <w:pPr>
              <w:spacing w:before="0" w:after="0"/>
              <w:jc w:val="right"/>
              <w:rPr>
                <w:sz w:val="10"/>
                <w:szCs w:val="10"/>
                <w:lang w:val="fr-BE"/>
              </w:rPr>
            </w:pPr>
          </w:p>
        </w:tc>
        <w:tc>
          <w:tcPr>
            <w:tcW w:w="0" w:type="auto"/>
          </w:tcPr>
          <w:p w14:paraId="3F20685E" w14:textId="77777777" w:rsidR="008C5CFA" w:rsidRPr="001C4484" w:rsidRDefault="00E82A60" w:rsidP="00300A01">
            <w:pPr>
              <w:spacing w:before="0" w:after="0"/>
              <w:jc w:val="right"/>
              <w:rPr>
                <w:sz w:val="10"/>
                <w:szCs w:val="10"/>
              </w:rPr>
            </w:pPr>
            <w:r>
              <w:rPr>
                <w:noProof/>
                <w:sz w:val="10"/>
                <w:szCs w:val="10"/>
              </w:rPr>
              <w:t>4,00</w:t>
            </w:r>
          </w:p>
        </w:tc>
        <w:tc>
          <w:tcPr>
            <w:tcW w:w="0" w:type="auto"/>
            <w:shd w:val="clear" w:color="auto" w:fill="auto"/>
          </w:tcPr>
          <w:p w14:paraId="5950A8C7" w14:textId="77777777" w:rsidR="008C5CFA" w:rsidRPr="001C4484" w:rsidRDefault="008C5CFA" w:rsidP="00300A01">
            <w:pPr>
              <w:spacing w:before="0" w:after="0"/>
              <w:jc w:val="right"/>
              <w:rPr>
                <w:sz w:val="10"/>
                <w:szCs w:val="10"/>
              </w:rPr>
            </w:pPr>
          </w:p>
        </w:tc>
        <w:tc>
          <w:tcPr>
            <w:tcW w:w="0" w:type="auto"/>
            <w:shd w:val="clear" w:color="auto" w:fill="auto"/>
          </w:tcPr>
          <w:p w14:paraId="0667B0D7" w14:textId="77777777" w:rsidR="008C5CFA" w:rsidRPr="001C4484" w:rsidRDefault="008C5CFA" w:rsidP="00300A01">
            <w:pPr>
              <w:spacing w:before="0" w:after="0"/>
              <w:jc w:val="right"/>
              <w:rPr>
                <w:sz w:val="10"/>
                <w:szCs w:val="10"/>
                <w:lang w:val="fr-BE"/>
              </w:rPr>
            </w:pPr>
          </w:p>
        </w:tc>
        <w:tc>
          <w:tcPr>
            <w:tcW w:w="0" w:type="auto"/>
          </w:tcPr>
          <w:p w14:paraId="52F7D3B7" w14:textId="77777777" w:rsidR="008C5CFA" w:rsidRPr="001C4484" w:rsidRDefault="00E82A60" w:rsidP="00300A01">
            <w:pPr>
              <w:spacing w:before="0" w:after="0"/>
              <w:jc w:val="right"/>
              <w:rPr>
                <w:sz w:val="10"/>
                <w:szCs w:val="10"/>
              </w:rPr>
            </w:pPr>
            <w:r>
              <w:rPr>
                <w:noProof/>
                <w:sz w:val="10"/>
                <w:szCs w:val="10"/>
              </w:rPr>
              <w:t>4,00</w:t>
            </w:r>
          </w:p>
        </w:tc>
        <w:tc>
          <w:tcPr>
            <w:tcW w:w="0" w:type="auto"/>
            <w:shd w:val="clear" w:color="auto" w:fill="auto"/>
          </w:tcPr>
          <w:p w14:paraId="0881E262" w14:textId="77777777" w:rsidR="008C5CFA" w:rsidRPr="001C4484" w:rsidRDefault="008C5CFA" w:rsidP="00300A01">
            <w:pPr>
              <w:spacing w:before="0" w:after="0"/>
              <w:jc w:val="right"/>
              <w:rPr>
                <w:sz w:val="10"/>
                <w:szCs w:val="10"/>
              </w:rPr>
            </w:pPr>
          </w:p>
        </w:tc>
        <w:tc>
          <w:tcPr>
            <w:tcW w:w="0" w:type="auto"/>
            <w:shd w:val="clear" w:color="auto" w:fill="auto"/>
          </w:tcPr>
          <w:p w14:paraId="79D68757" w14:textId="77777777" w:rsidR="008C5CFA" w:rsidRPr="001C4484" w:rsidRDefault="008C5CFA" w:rsidP="00300A01">
            <w:pPr>
              <w:spacing w:before="0" w:after="0"/>
              <w:jc w:val="right"/>
              <w:rPr>
                <w:sz w:val="10"/>
                <w:szCs w:val="10"/>
                <w:lang w:val="fr-BE"/>
              </w:rPr>
            </w:pPr>
          </w:p>
        </w:tc>
      </w:tr>
      <w:tr w:rsidR="006B2EC1" w14:paraId="63ED2A90" w14:textId="77777777" w:rsidTr="0047688D">
        <w:tc>
          <w:tcPr>
            <w:tcW w:w="0" w:type="auto"/>
            <w:shd w:val="clear" w:color="auto" w:fill="auto"/>
          </w:tcPr>
          <w:p w14:paraId="132F30AD" w14:textId="77777777" w:rsidR="008C5CFA" w:rsidRPr="001C4484" w:rsidRDefault="00E82A60" w:rsidP="00300A01">
            <w:pPr>
              <w:spacing w:before="0" w:after="0"/>
              <w:rPr>
                <w:sz w:val="10"/>
                <w:szCs w:val="10"/>
                <w:lang w:val="fr-BE"/>
              </w:rPr>
            </w:pPr>
            <w:r w:rsidRPr="001C4484">
              <w:rPr>
                <w:noProof/>
                <w:sz w:val="10"/>
                <w:szCs w:val="10"/>
                <w:lang w:val="fr-BE"/>
              </w:rPr>
              <w:t>CO21</w:t>
            </w:r>
          </w:p>
        </w:tc>
        <w:tc>
          <w:tcPr>
            <w:tcW w:w="0" w:type="auto"/>
            <w:shd w:val="clear" w:color="auto" w:fill="auto"/>
          </w:tcPr>
          <w:p w14:paraId="146B18A5" w14:textId="77777777" w:rsidR="008C5CFA" w:rsidRPr="001C4484" w:rsidRDefault="00E82A60" w:rsidP="00300A01">
            <w:pPr>
              <w:spacing w:before="0" w:after="0"/>
              <w:rPr>
                <w:sz w:val="10"/>
                <w:szCs w:val="10"/>
                <w:lang w:val="fr-BE"/>
              </w:rPr>
            </w:pPr>
            <w:r w:rsidRPr="001C4484">
              <w:rPr>
                <w:noProof/>
                <w:sz w:val="10"/>
                <w:szCs w:val="10"/>
                <w:lang w:val="fr-BE"/>
              </w:rPr>
              <w:t>liczba projektów ukierunkowanych na trwały udział kobiet w zatrudnieniu i rozwój ich kariery zawodowej</w:t>
            </w:r>
          </w:p>
        </w:tc>
        <w:tc>
          <w:tcPr>
            <w:tcW w:w="0" w:type="auto"/>
            <w:shd w:val="clear" w:color="auto" w:fill="auto"/>
          </w:tcPr>
          <w:p w14:paraId="6B9D2377"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06668EE9" w14:textId="77777777" w:rsidR="008C5CFA" w:rsidRPr="001C4484" w:rsidRDefault="00E82A60" w:rsidP="00300A01">
            <w:pPr>
              <w:spacing w:before="0" w:after="0"/>
              <w:jc w:val="right"/>
              <w:rPr>
                <w:sz w:val="10"/>
                <w:szCs w:val="10"/>
              </w:rPr>
            </w:pPr>
            <w:r>
              <w:rPr>
                <w:noProof/>
                <w:sz w:val="10"/>
                <w:szCs w:val="10"/>
              </w:rPr>
              <w:t>1,00</w:t>
            </w:r>
          </w:p>
        </w:tc>
        <w:tc>
          <w:tcPr>
            <w:tcW w:w="0" w:type="auto"/>
            <w:shd w:val="clear" w:color="auto" w:fill="auto"/>
          </w:tcPr>
          <w:p w14:paraId="27852BBB" w14:textId="77777777" w:rsidR="008C5CFA" w:rsidRPr="001C4484" w:rsidRDefault="008C5CFA" w:rsidP="00300A01">
            <w:pPr>
              <w:spacing w:before="0" w:after="0"/>
              <w:jc w:val="right"/>
              <w:rPr>
                <w:sz w:val="10"/>
                <w:szCs w:val="10"/>
              </w:rPr>
            </w:pPr>
          </w:p>
        </w:tc>
        <w:tc>
          <w:tcPr>
            <w:tcW w:w="0" w:type="auto"/>
            <w:shd w:val="clear" w:color="auto" w:fill="auto"/>
          </w:tcPr>
          <w:p w14:paraId="3AEB696B" w14:textId="77777777" w:rsidR="008C5CFA" w:rsidRPr="001C4484" w:rsidRDefault="008C5CFA" w:rsidP="00300A01">
            <w:pPr>
              <w:spacing w:before="0" w:after="0"/>
              <w:jc w:val="right"/>
              <w:rPr>
                <w:sz w:val="10"/>
                <w:szCs w:val="10"/>
                <w:lang w:val="fr-BE"/>
              </w:rPr>
            </w:pPr>
          </w:p>
        </w:tc>
        <w:tc>
          <w:tcPr>
            <w:tcW w:w="0" w:type="auto"/>
          </w:tcPr>
          <w:p w14:paraId="74380875"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24A9617F" w14:textId="77777777" w:rsidR="008C5CFA" w:rsidRPr="001C4484" w:rsidRDefault="008C5CFA" w:rsidP="00300A01">
            <w:pPr>
              <w:spacing w:before="0" w:after="0"/>
              <w:jc w:val="right"/>
              <w:rPr>
                <w:sz w:val="10"/>
                <w:szCs w:val="10"/>
              </w:rPr>
            </w:pPr>
          </w:p>
        </w:tc>
        <w:tc>
          <w:tcPr>
            <w:tcW w:w="0" w:type="auto"/>
            <w:shd w:val="clear" w:color="auto" w:fill="auto"/>
          </w:tcPr>
          <w:p w14:paraId="110E1BAF" w14:textId="77777777" w:rsidR="008C5CFA" w:rsidRPr="001C4484" w:rsidRDefault="008C5CFA" w:rsidP="00300A01">
            <w:pPr>
              <w:spacing w:before="0" w:after="0"/>
              <w:jc w:val="right"/>
              <w:rPr>
                <w:sz w:val="10"/>
                <w:szCs w:val="10"/>
                <w:lang w:val="fr-BE"/>
              </w:rPr>
            </w:pPr>
          </w:p>
        </w:tc>
        <w:tc>
          <w:tcPr>
            <w:tcW w:w="0" w:type="auto"/>
          </w:tcPr>
          <w:p w14:paraId="6548B42E"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31353DFA" w14:textId="77777777" w:rsidR="008C5CFA" w:rsidRPr="001C4484" w:rsidRDefault="008C5CFA" w:rsidP="00300A01">
            <w:pPr>
              <w:spacing w:before="0" w:after="0"/>
              <w:jc w:val="right"/>
              <w:rPr>
                <w:sz w:val="10"/>
                <w:szCs w:val="10"/>
              </w:rPr>
            </w:pPr>
          </w:p>
        </w:tc>
        <w:tc>
          <w:tcPr>
            <w:tcW w:w="0" w:type="auto"/>
            <w:shd w:val="clear" w:color="auto" w:fill="auto"/>
          </w:tcPr>
          <w:p w14:paraId="62975D8F" w14:textId="77777777" w:rsidR="008C5CFA" w:rsidRPr="001C4484" w:rsidRDefault="008C5CFA" w:rsidP="00300A01">
            <w:pPr>
              <w:spacing w:before="0" w:after="0"/>
              <w:jc w:val="right"/>
              <w:rPr>
                <w:sz w:val="10"/>
                <w:szCs w:val="10"/>
                <w:lang w:val="fr-BE"/>
              </w:rPr>
            </w:pPr>
          </w:p>
        </w:tc>
      </w:tr>
      <w:tr w:rsidR="006B2EC1" w14:paraId="54F72203" w14:textId="77777777" w:rsidTr="0047688D">
        <w:tc>
          <w:tcPr>
            <w:tcW w:w="0" w:type="auto"/>
            <w:shd w:val="clear" w:color="auto" w:fill="auto"/>
          </w:tcPr>
          <w:p w14:paraId="1C86BA92" w14:textId="77777777" w:rsidR="008C5CFA" w:rsidRPr="001C4484" w:rsidRDefault="00E82A60" w:rsidP="00300A01">
            <w:pPr>
              <w:spacing w:before="0" w:after="0"/>
              <w:rPr>
                <w:sz w:val="10"/>
                <w:szCs w:val="10"/>
                <w:lang w:val="fr-BE"/>
              </w:rPr>
            </w:pPr>
            <w:r w:rsidRPr="001C4484">
              <w:rPr>
                <w:noProof/>
                <w:sz w:val="10"/>
                <w:szCs w:val="10"/>
                <w:lang w:val="fr-BE"/>
              </w:rPr>
              <w:t>CO22</w:t>
            </w:r>
          </w:p>
        </w:tc>
        <w:tc>
          <w:tcPr>
            <w:tcW w:w="0" w:type="auto"/>
            <w:shd w:val="clear" w:color="auto" w:fill="auto"/>
          </w:tcPr>
          <w:p w14:paraId="77B027DC" w14:textId="77777777" w:rsidR="008C5CFA" w:rsidRPr="001C4484" w:rsidRDefault="00E82A60" w:rsidP="00300A01">
            <w:pPr>
              <w:spacing w:before="0" w:after="0"/>
              <w:rPr>
                <w:sz w:val="10"/>
                <w:szCs w:val="10"/>
                <w:lang w:val="fr-BE"/>
              </w:rPr>
            </w:pPr>
            <w:r w:rsidRPr="001C4484">
              <w:rPr>
                <w:noProof/>
                <w:sz w:val="10"/>
                <w:szCs w:val="10"/>
                <w:lang w:val="fr-BE"/>
              </w:rPr>
              <w:t>liczba projektów obejmujących administrację publiczną lub służby publiczne na szczeblu krajowym, regionalnym lub lokalnym</w:t>
            </w:r>
          </w:p>
        </w:tc>
        <w:tc>
          <w:tcPr>
            <w:tcW w:w="0" w:type="auto"/>
            <w:shd w:val="clear" w:color="auto" w:fill="auto"/>
          </w:tcPr>
          <w:p w14:paraId="3BF6254C"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6D01B08B"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74DEBFD3" w14:textId="77777777" w:rsidR="008C5CFA" w:rsidRPr="001C4484" w:rsidRDefault="008C5CFA" w:rsidP="00300A01">
            <w:pPr>
              <w:spacing w:before="0" w:after="0"/>
              <w:jc w:val="right"/>
              <w:rPr>
                <w:sz w:val="10"/>
                <w:szCs w:val="10"/>
              </w:rPr>
            </w:pPr>
          </w:p>
        </w:tc>
        <w:tc>
          <w:tcPr>
            <w:tcW w:w="0" w:type="auto"/>
            <w:shd w:val="clear" w:color="auto" w:fill="auto"/>
          </w:tcPr>
          <w:p w14:paraId="20720142" w14:textId="77777777" w:rsidR="008C5CFA" w:rsidRPr="001C4484" w:rsidRDefault="008C5CFA" w:rsidP="00300A01">
            <w:pPr>
              <w:spacing w:before="0" w:after="0"/>
              <w:jc w:val="right"/>
              <w:rPr>
                <w:sz w:val="10"/>
                <w:szCs w:val="10"/>
                <w:lang w:val="fr-BE"/>
              </w:rPr>
            </w:pPr>
          </w:p>
        </w:tc>
        <w:tc>
          <w:tcPr>
            <w:tcW w:w="0" w:type="auto"/>
          </w:tcPr>
          <w:p w14:paraId="50A70157" w14:textId="77777777" w:rsidR="008C5CFA" w:rsidRPr="001C4484" w:rsidRDefault="00E82A60" w:rsidP="00300A01">
            <w:pPr>
              <w:spacing w:before="0" w:after="0"/>
              <w:jc w:val="right"/>
              <w:rPr>
                <w:sz w:val="10"/>
                <w:szCs w:val="10"/>
              </w:rPr>
            </w:pPr>
            <w:r>
              <w:rPr>
                <w:noProof/>
                <w:sz w:val="10"/>
                <w:szCs w:val="10"/>
              </w:rPr>
              <w:t>2,00</w:t>
            </w:r>
          </w:p>
        </w:tc>
        <w:tc>
          <w:tcPr>
            <w:tcW w:w="0" w:type="auto"/>
            <w:shd w:val="clear" w:color="auto" w:fill="auto"/>
          </w:tcPr>
          <w:p w14:paraId="31EB4192" w14:textId="77777777" w:rsidR="008C5CFA" w:rsidRPr="001C4484" w:rsidRDefault="008C5CFA" w:rsidP="00300A01">
            <w:pPr>
              <w:spacing w:before="0" w:after="0"/>
              <w:jc w:val="right"/>
              <w:rPr>
                <w:sz w:val="10"/>
                <w:szCs w:val="10"/>
              </w:rPr>
            </w:pPr>
          </w:p>
        </w:tc>
        <w:tc>
          <w:tcPr>
            <w:tcW w:w="0" w:type="auto"/>
            <w:shd w:val="clear" w:color="auto" w:fill="auto"/>
          </w:tcPr>
          <w:p w14:paraId="293F4526" w14:textId="77777777" w:rsidR="008C5CFA" w:rsidRPr="001C4484" w:rsidRDefault="008C5CFA" w:rsidP="00300A01">
            <w:pPr>
              <w:spacing w:before="0" w:after="0"/>
              <w:jc w:val="right"/>
              <w:rPr>
                <w:sz w:val="10"/>
                <w:szCs w:val="10"/>
                <w:lang w:val="fr-BE"/>
              </w:rPr>
            </w:pPr>
          </w:p>
        </w:tc>
        <w:tc>
          <w:tcPr>
            <w:tcW w:w="0" w:type="auto"/>
          </w:tcPr>
          <w:p w14:paraId="7B4C84BD"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418D40DE" w14:textId="77777777" w:rsidR="008C5CFA" w:rsidRPr="001C4484" w:rsidRDefault="008C5CFA" w:rsidP="00300A01">
            <w:pPr>
              <w:spacing w:before="0" w:after="0"/>
              <w:jc w:val="right"/>
              <w:rPr>
                <w:sz w:val="10"/>
                <w:szCs w:val="10"/>
              </w:rPr>
            </w:pPr>
          </w:p>
        </w:tc>
        <w:tc>
          <w:tcPr>
            <w:tcW w:w="0" w:type="auto"/>
            <w:shd w:val="clear" w:color="auto" w:fill="auto"/>
          </w:tcPr>
          <w:p w14:paraId="62FE6860" w14:textId="77777777" w:rsidR="008C5CFA" w:rsidRPr="001C4484" w:rsidRDefault="008C5CFA" w:rsidP="00300A01">
            <w:pPr>
              <w:spacing w:before="0" w:after="0"/>
              <w:jc w:val="right"/>
              <w:rPr>
                <w:sz w:val="10"/>
                <w:szCs w:val="10"/>
                <w:lang w:val="fr-BE"/>
              </w:rPr>
            </w:pPr>
          </w:p>
        </w:tc>
      </w:tr>
      <w:tr w:rsidR="006B2EC1" w14:paraId="659DCAA2" w14:textId="77777777" w:rsidTr="0047688D">
        <w:tc>
          <w:tcPr>
            <w:tcW w:w="0" w:type="auto"/>
            <w:shd w:val="clear" w:color="auto" w:fill="auto"/>
          </w:tcPr>
          <w:p w14:paraId="27E09F96" w14:textId="77777777" w:rsidR="008C5CFA" w:rsidRPr="001C4484" w:rsidRDefault="00E82A60" w:rsidP="00300A01">
            <w:pPr>
              <w:spacing w:before="0" w:after="0"/>
              <w:rPr>
                <w:sz w:val="10"/>
                <w:szCs w:val="10"/>
                <w:lang w:val="fr-BE"/>
              </w:rPr>
            </w:pPr>
            <w:r w:rsidRPr="001C4484">
              <w:rPr>
                <w:noProof/>
                <w:sz w:val="10"/>
                <w:szCs w:val="10"/>
                <w:lang w:val="fr-BE"/>
              </w:rPr>
              <w:t>CO23</w:t>
            </w:r>
          </w:p>
        </w:tc>
        <w:tc>
          <w:tcPr>
            <w:tcW w:w="0" w:type="auto"/>
            <w:shd w:val="clear" w:color="auto" w:fill="auto"/>
          </w:tcPr>
          <w:p w14:paraId="6F5716CE" w14:textId="77777777" w:rsidR="008C5CFA" w:rsidRPr="001C4484" w:rsidRDefault="00E82A60" w:rsidP="00300A01">
            <w:pPr>
              <w:spacing w:before="0" w:after="0"/>
              <w:rPr>
                <w:sz w:val="10"/>
                <w:szCs w:val="10"/>
                <w:lang w:val="fr-BE"/>
              </w:rPr>
            </w:pPr>
            <w:r w:rsidRPr="001C4484">
              <w:rPr>
                <w:noProof/>
                <w:sz w:val="10"/>
                <w:szCs w:val="10"/>
                <w:lang w:val="fr-BE"/>
              </w:rPr>
              <w:t>liczba objętych wsparciem mikro-, małych i średnich przedsiębiorstw (w tym przedsiębiorstw spółdzielczych i przedsiębiorstw gospodarki społecznej)</w:t>
            </w:r>
          </w:p>
        </w:tc>
        <w:tc>
          <w:tcPr>
            <w:tcW w:w="0" w:type="auto"/>
            <w:shd w:val="clear" w:color="auto" w:fill="auto"/>
          </w:tcPr>
          <w:p w14:paraId="7B12CA74"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1AEDBA74"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2D16C6CA" w14:textId="77777777" w:rsidR="008C5CFA" w:rsidRPr="001C4484" w:rsidRDefault="008C5CFA" w:rsidP="00300A01">
            <w:pPr>
              <w:spacing w:before="0" w:after="0"/>
              <w:jc w:val="right"/>
              <w:rPr>
                <w:sz w:val="10"/>
                <w:szCs w:val="10"/>
              </w:rPr>
            </w:pPr>
          </w:p>
        </w:tc>
        <w:tc>
          <w:tcPr>
            <w:tcW w:w="0" w:type="auto"/>
            <w:shd w:val="clear" w:color="auto" w:fill="auto"/>
          </w:tcPr>
          <w:p w14:paraId="5DD4F445" w14:textId="77777777" w:rsidR="008C5CFA" w:rsidRPr="001C4484" w:rsidRDefault="008C5CFA" w:rsidP="00300A01">
            <w:pPr>
              <w:spacing w:before="0" w:after="0"/>
              <w:jc w:val="right"/>
              <w:rPr>
                <w:sz w:val="10"/>
                <w:szCs w:val="10"/>
                <w:lang w:val="fr-BE"/>
              </w:rPr>
            </w:pPr>
          </w:p>
        </w:tc>
        <w:tc>
          <w:tcPr>
            <w:tcW w:w="0" w:type="auto"/>
          </w:tcPr>
          <w:p w14:paraId="4DABE072"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55CE4609" w14:textId="77777777" w:rsidR="008C5CFA" w:rsidRPr="001C4484" w:rsidRDefault="008C5CFA" w:rsidP="00300A01">
            <w:pPr>
              <w:spacing w:before="0" w:after="0"/>
              <w:jc w:val="right"/>
              <w:rPr>
                <w:sz w:val="10"/>
                <w:szCs w:val="10"/>
              </w:rPr>
            </w:pPr>
          </w:p>
        </w:tc>
        <w:tc>
          <w:tcPr>
            <w:tcW w:w="0" w:type="auto"/>
            <w:shd w:val="clear" w:color="auto" w:fill="auto"/>
          </w:tcPr>
          <w:p w14:paraId="6561B231" w14:textId="77777777" w:rsidR="008C5CFA" w:rsidRPr="001C4484" w:rsidRDefault="008C5CFA" w:rsidP="00300A01">
            <w:pPr>
              <w:spacing w:before="0" w:after="0"/>
              <w:jc w:val="right"/>
              <w:rPr>
                <w:sz w:val="10"/>
                <w:szCs w:val="10"/>
                <w:lang w:val="fr-BE"/>
              </w:rPr>
            </w:pPr>
          </w:p>
        </w:tc>
        <w:tc>
          <w:tcPr>
            <w:tcW w:w="0" w:type="auto"/>
          </w:tcPr>
          <w:p w14:paraId="6FFDE35B"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7A0806ED" w14:textId="77777777" w:rsidR="008C5CFA" w:rsidRPr="001C4484" w:rsidRDefault="008C5CFA" w:rsidP="00300A01">
            <w:pPr>
              <w:spacing w:before="0" w:after="0"/>
              <w:jc w:val="right"/>
              <w:rPr>
                <w:sz w:val="10"/>
                <w:szCs w:val="10"/>
              </w:rPr>
            </w:pPr>
          </w:p>
        </w:tc>
        <w:tc>
          <w:tcPr>
            <w:tcW w:w="0" w:type="auto"/>
            <w:shd w:val="clear" w:color="auto" w:fill="auto"/>
          </w:tcPr>
          <w:p w14:paraId="20FEAF74" w14:textId="77777777" w:rsidR="008C5CFA" w:rsidRPr="001C4484" w:rsidRDefault="008C5CFA" w:rsidP="00300A01">
            <w:pPr>
              <w:spacing w:before="0" w:after="0"/>
              <w:jc w:val="right"/>
              <w:rPr>
                <w:sz w:val="10"/>
                <w:szCs w:val="10"/>
                <w:lang w:val="fr-BE"/>
              </w:rPr>
            </w:pPr>
          </w:p>
        </w:tc>
      </w:tr>
      <w:tr w:rsidR="006B2EC1" w14:paraId="19D3576B" w14:textId="77777777" w:rsidTr="0047688D">
        <w:tc>
          <w:tcPr>
            <w:tcW w:w="0" w:type="auto"/>
            <w:shd w:val="clear" w:color="auto" w:fill="auto"/>
          </w:tcPr>
          <w:p w14:paraId="71738C5B" w14:textId="77777777" w:rsidR="008C5CFA" w:rsidRPr="001C4484" w:rsidRDefault="008C5CFA" w:rsidP="00300A01">
            <w:pPr>
              <w:spacing w:before="0" w:after="0"/>
              <w:rPr>
                <w:sz w:val="10"/>
                <w:szCs w:val="10"/>
                <w:lang w:val="fr-BE"/>
              </w:rPr>
            </w:pPr>
          </w:p>
        </w:tc>
        <w:tc>
          <w:tcPr>
            <w:tcW w:w="0" w:type="auto"/>
            <w:shd w:val="clear" w:color="auto" w:fill="auto"/>
          </w:tcPr>
          <w:p w14:paraId="78DC6149" w14:textId="77777777" w:rsidR="008C5CFA" w:rsidRPr="001C4484" w:rsidRDefault="00E82A60" w:rsidP="00300A01">
            <w:pPr>
              <w:spacing w:before="0" w:after="0"/>
              <w:rPr>
                <w:sz w:val="10"/>
                <w:szCs w:val="10"/>
                <w:lang w:val="fr-BE"/>
              </w:rPr>
            </w:pPr>
            <w:r w:rsidRPr="001C4484">
              <w:rPr>
                <w:noProof/>
                <w:sz w:val="10"/>
                <w:szCs w:val="10"/>
                <w:lang w:val="fr-BE"/>
              </w:rPr>
              <w:t>Całkowita łączna liczba uczestników</w:t>
            </w:r>
          </w:p>
        </w:tc>
        <w:tc>
          <w:tcPr>
            <w:tcW w:w="0" w:type="auto"/>
            <w:shd w:val="clear" w:color="auto" w:fill="auto"/>
          </w:tcPr>
          <w:p w14:paraId="398D32D1" w14:textId="77777777" w:rsidR="008C5CFA" w:rsidRPr="001C4484" w:rsidRDefault="008C5CFA" w:rsidP="00300A01">
            <w:pPr>
              <w:spacing w:before="0" w:after="0"/>
              <w:rPr>
                <w:sz w:val="10"/>
                <w:szCs w:val="10"/>
                <w:lang w:val="fr-BE"/>
              </w:rPr>
            </w:pPr>
          </w:p>
        </w:tc>
        <w:tc>
          <w:tcPr>
            <w:tcW w:w="0" w:type="auto"/>
          </w:tcPr>
          <w:p w14:paraId="78E35B28" w14:textId="77777777" w:rsidR="008C5CFA" w:rsidRPr="001C4484" w:rsidRDefault="00E82A60" w:rsidP="00300A01">
            <w:pPr>
              <w:spacing w:before="0" w:after="0"/>
              <w:jc w:val="right"/>
              <w:rPr>
                <w:sz w:val="10"/>
                <w:szCs w:val="10"/>
              </w:rPr>
            </w:pPr>
            <w:r>
              <w:rPr>
                <w:noProof/>
                <w:sz w:val="10"/>
                <w:szCs w:val="10"/>
              </w:rPr>
              <w:t>4 651,00</w:t>
            </w:r>
          </w:p>
        </w:tc>
        <w:tc>
          <w:tcPr>
            <w:tcW w:w="0" w:type="auto"/>
            <w:shd w:val="clear" w:color="auto" w:fill="auto"/>
          </w:tcPr>
          <w:p w14:paraId="452D0890" w14:textId="77777777" w:rsidR="008C5CFA" w:rsidRPr="001C4484" w:rsidRDefault="008C5CFA" w:rsidP="00300A01">
            <w:pPr>
              <w:spacing w:before="0" w:after="0"/>
              <w:jc w:val="right"/>
              <w:rPr>
                <w:sz w:val="10"/>
                <w:szCs w:val="10"/>
              </w:rPr>
            </w:pPr>
          </w:p>
        </w:tc>
        <w:tc>
          <w:tcPr>
            <w:tcW w:w="0" w:type="auto"/>
            <w:shd w:val="clear" w:color="auto" w:fill="auto"/>
          </w:tcPr>
          <w:p w14:paraId="6BAE600A" w14:textId="77777777" w:rsidR="008C5CFA" w:rsidRPr="001C4484" w:rsidRDefault="008C5CFA" w:rsidP="00300A01">
            <w:pPr>
              <w:spacing w:before="0" w:after="0"/>
              <w:jc w:val="right"/>
              <w:rPr>
                <w:sz w:val="10"/>
                <w:szCs w:val="10"/>
                <w:lang w:val="fr-BE"/>
              </w:rPr>
            </w:pPr>
          </w:p>
        </w:tc>
        <w:tc>
          <w:tcPr>
            <w:tcW w:w="0" w:type="auto"/>
          </w:tcPr>
          <w:p w14:paraId="1BA756C5" w14:textId="77777777" w:rsidR="008C5CFA" w:rsidRPr="001C4484" w:rsidRDefault="00E82A60" w:rsidP="00300A01">
            <w:pPr>
              <w:spacing w:before="0" w:after="0"/>
              <w:jc w:val="right"/>
              <w:rPr>
                <w:sz w:val="10"/>
                <w:szCs w:val="10"/>
              </w:rPr>
            </w:pPr>
            <w:r>
              <w:rPr>
                <w:noProof/>
                <w:sz w:val="10"/>
                <w:szCs w:val="10"/>
              </w:rPr>
              <w:t>2 449,00</w:t>
            </w:r>
          </w:p>
        </w:tc>
        <w:tc>
          <w:tcPr>
            <w:tcW w:w="0" w:type="auto"/>
            <w:shd w:val="clear" w:color="auto" w:fill="auto"/>
          </w:tcPr>
          <w:p w14:paraId="7DB89635" w14:textId="77777777" w:rsidR="008C5CFA" w:rsidRPr="001C4484" w:rsidRDefault="008C5CFA" w:rsidP="00300A01">
            <w:pPr>
              <w:spacing w:before="0" w:after="0"/>
              <w:jc w:val="right"/>
              <w:rPr>
                <w:sz w:val="10"/>
                <w:szCs w:val="10"/>
              </w:rPr>
            </w:pPr>
          </w:p>
        </w:tc>
        <w:tc>
          <w:tcPr>
            <w:tcW w:w="0" w:type="auto"/>
            <w:shd w:val="clear" w:color="auto" w:fill="auto"/>
          </w:tcPr>
          <w:p w14:paraId="2D677CDF" w14:textId="77777777" w:rsidR="008C5CFA" w:rsidRPr="001C4484" w:rsidRDefault="008C5CFA" w:rsidP="00300A01">
            <w:pPr>
              <w:spacing w:before="0" w:after="0"/>
              <w:jc w:val="right"/>
              <w:rPr>
                <w:sz w:val="10"/>
                <w:szCs w:val="10"/>
                <w:lang w:val="fr-BE"/>
              </w:rPr>
            </w:pPr>
          </w:p>
        </w:tc>
        <w:tc>
          <w:tcPr>
            <w:tcW w:w="0" w:type="auto"/>
          </w:tcPr>
          <w:p w14:paraId="762E362C" w14:textId="77777777" w:rsidR="008C5CFA" w:rsidRPr="001C4484" w:rsidRDefault="00E82A60" w:rsidP="00300A01">
            <w:pPr>
              <w:spacing w:before="0" w:after="0"/>
              <w:jc w:val="right"/>
              <w:rPr>
                <w:sz w:val="10"/>
                <w:szCs w:val="10"/>
              </w:rPr>
            </w:pPr>
            <w:r>
              <w:rPr>
                <w:noProof/>
                <w:sz w:val="10"/>
                <w:szCs w:val="10"/>
              </w:rPr>
              <w:t>1 703,00</w:t>
            </w:r>
          </w:p>
        </w:tc>
        <w:tc>
          <w:tcPr>
            <w:tcW w:w="0" w:type="auto"/>
            <w:shd w:val="clear" w:color="auto" w:fill="auto"/>
          </w:tcPr>
          <w:p w14:paraId="65E13AE8" w14:textId="77777777" w:rsidR="008C5CFA" w:rsidRPr="001C4484" w:rsidRDefault="008C5CFA" w:rsidP="00300A01">
            <w:pPr>
              <w:spacing w:before="0" w:after="0"/>
              <w:jc w:val="right"/>
              <w:rPr>
                <w:sz w:val="10"/>
                <w:szCs w:val="10"/>
              </w:rPr>
            </w:pPr>
          </w:p>
        </w:tc>
        <w:tc>
          <w:tcPr>
            <w:tcW w:w="0" w:type="auto"/>
            <w:shd w:val="clear" w:color="auto" w:fill="auto"/>
          </w:tcPr>
          <w:p w14:paraId="0C9DB91D" w14:textId="77777777" w:rsidR="008C5CFA" w:rsidRPr="001C4484" w:rsidRDefault="008C5CFA" w:rsidP="00300A01">
            <w:pPr>
              <w:spacing w:before="0" w:after="0"/>
              <w:jc w:val="right"/>
              <w:rPr>
                <w:sz w:val="10"/>
                <w:szCs w:val="10"/>
                <w:lang w:val="fr-BE"/>
              </w:rPr>
            </w:pPr>
          </w:p>
        </w:tc>
      </w:tr>
    </w:tbl>
    <w:p w14:paraId="5BCD5B18"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514"/>
        <w:gridCol w:w="8970"/>
        <w:gridCol w:w="1534"/>
        <w:gridCol w:w="638"/>
        <w:gridCol w:w="807"/>
        <w:gridCol w:w="638"/>
        <w:gridCol w:w="638"/>
        <w:gridCol w:w="807"/>
        <w:gridCol w:w="638"/>
      </w:tblGrid>
      <w:tr w:rsidR="006B2EC1" w14:paraId="42B621E7" w14:textId="77777777" w:rsidTr="0047688D">
        <w:tc>
          <w:tcPr>
            <w:tcW w:w="0" w:type="auto"/>
            <w:shd w:val="clear" w:color="auto" w:fill="auto"/>
          </w:tcPr>
          <w:p w14:paraId="702C7C89" w14:textId="77777777" w:rsidR="008C5CFA" w:rsidRPr="001C4484" w:rsidRDefault="00E82A60" w:rsidP="00300A01">
            <w:pPr>
              <w:spacing w:before="0" w:after="0"/>
              <w:rPr>
                <w:sz w:val="10"/>
                <w:szCs w:val="10"/>
              </w:rPr>
            </w:pPr>
            <w:r w:rsidRPr="001C4484">
              <w:rPr>
                <w:b/>
                <w:noProof/>
                <w:sz w:val="12"/>
                <w:szCs w:val="12"/>
                <w:lang w:val="fr-BE"/>
              </w:rPr>
              <w:t>ID</w:t>
            </w:r>
          </w:p>
        </w:tc>
        <w:tc>
          <w:tcPr>
            <w:tcW w:w="0" w:type="auto"/>
            <w:shd w:val="clear" w:color="auto" w:fill="auto"/>
          </w:tcPr>
          <w:p w14:paraId="75B28548" w14:textId="77777777" w:rsidR="008C5CFA" w:rsidRPr="001C4484" w:rsidRDefault="00E82A60" w:rsidP="00300A01">
            <w:pPr>
              <w:spacing w:before="0" w:after="0"/>
              <w:rPr>
                <w:sz w:val="10"/>
                <w:szCs w:val="10"/>
              </w:rPr>
            </w:pPr>
            <w:r w:rsidRPr="001C4484">
              <w:rPr>
                <w:b/>
                <w:noProof/>
                <w:sz w:val="12"/>
                <w:szCs w:val="12"/>
                <w:lang w:val="fr-BE"/>
              </w:rPr>
              <w:t>Wskaźnik</w:t>
            </w:r>
          </w:p>
        </w:tc>
        <w:tc>
          <w:tcPr>
            <w:tcW w:w="0" w:type="auto"/>
            <w:shd w:val="clear" w:color="auto" w:fill="auto"/>
          </w:tcPr>
          <w:p w14:paraId="5CB0228D" w14:textId="77777777" w:rsidR="008C5CFA" w:rsidRPr="001C4484" w:rsidRDefault="00E82A60" w:rsidP="00300A01">
            <w:pPr>
              <w:spacing w:before="0" w:after="0"/>
              <w:rPr>
                <w:sz w:val="10"/>
                <w:szCs w:val="10"/>
              </w:rPr>
            </w:pPr>
            <w:r w:rsidRPr="001C4484">
              <w:rPr>
                <w:b/>
                <w:noProof/>
                <w:sz w:val="12"/>
                <w:szCs w:val="12"/>
                <w:lang w:val="fr-BE"/>
              </w:rPr>
              <w:t>Kategoria regionu</w:t>
            </w:r>
          </w:p>
        </w:tc>
        <w:tc>
          <w:tcPr>
            <w:tcW w:w="0" w:type="auto"/>
            <w:gridSpan w:val="3"/>
          </w:tcPr>
          <w:p w14:paraId="6C2A5DC0" w14:textId="77777777" w:rsidR="008C5CFA" w:rsidRPr="001C4484" w:rsidRDefault="00E82A60" w:rsidP="00300A01">
            <w:pPr>
              <w:spacing w:before="0" w:after="0"/>
              <w:jc w:val="center"/>
              <w:rPr>
                <w:sz w:val="10"/>
                <w:szCs w:val="10"/>
              </w:rPr>
            </w:pPr>
            <w:r w:rsidRPr="001C4484">
              <w:rPr>
                <w:sz w:val="10"/>
                <w:szCs w:val="10"/>
              </w:rPr>
              <w:t>2015</w:t>
            </w:r>
          </w:p>
        </w:tc>
        <w:tc>
          <w:tcPr>
            <w:tcW w:w="0" w:type="auto"/>
            <w:gridSpan w:val="3"/>
          </w:tcPr>
          <w:p w14:paraId="305B897C" w14:textId="77777777" w:rsidR="008C5CFA" w:rsidRPr="001C4484" w:rsidRDefault="00E82A60" w:rsidP="00300A01">
            <w:pPr>
              <w:spacing w:before="0" w:after="0"/>
              <w:jc w:val="center"/>
              <w:rPr>
                <w:sz w:val="10"/>
                <w:szCs w:val="10"/>
              </w:rPr>
            </w:pPr>
            <w:r w:rsidRPr="001C4484">
              <w:rPr>
                <w:sz w:val="10"/>
                <w:szCs w:val="10"/>
              </w:rPr>
              <w:t>2014</w:t>
            </w:r>
          </w:p>
        </w:tc>
      </w:tr>
      <w:tr w:rsidR="006B2EC1" w14:paraId="038FEAAD" w14:textId="77777777" w:rsidTr="0047688D">
        <w:tc>
          <w:tcPr>
            <w:tcW w:w="0" w:type="auto"/>
            <w:shd w:val="clear" w:color="auto" w:fill="auto"/>
          </w:tcPr>
          <w:p w14:paraId="603F7C2C" w14:textId="77777777" w:rsidR="008C5CFA" w:rsidRPr="001C4484" w:rsidRDefault="008C5CFA" w:rsidP="00300A01">
            <w:pPr>
              <w:spacing w:before="0" w:after="0"/>
              <w:rPr>
                <w:sz w:val="10"/>
                <w:szCs w:val="10"/>
              </w:rPr>
            </w:pPr>
          </w:p>
        </w:tc>
        <w:tc>
          <w:tcPr>
            <w:tcW w:w="0" w:type="auto"/>
            <w:shd w:val="clear" w:color="auto" w:fill="auto"/>
          </w:tcPr>
          <w:p w14:paraId="7E8B9B57" w14:textId="77777777" w:rsidR="008C5CFA" w:rsidRPr="001C4484" w:rsidRDefault="008C5CFA" w:rsidP="00300A01">
            <w:pPr>
              <w:spacing w:before="0" w:after="0"/>
              <w:rPr>
                <w:sz w:val="10"/>
                <w:szCs w:val="10"/>
              </w:rPr>
            </w:pPr>
          </w:p>
        </w:tc>
        <w:tc>
          <w:tcPr>
            <w:tcW w:w="0" w:type="auto"/>
            <w:shd w:val="clear" w:color="auto" w:fill="auto"/>
          </w:tcPr>
          <w:p w14:paraId="4CD3665F" w14:textId="77777777" w:rsidR="008C5CFA" w:rsidRPr="001C4484" w:rsidRDefault="008C5CFA" w:rsidP="00300A01">
            <w:pPr>
              <w:spacing w:before="0" w:after="0"/>
              <w:rPr>
                <w:sz w:val="10"/>
                <w:szCs w:val="10"/>
              </w:rPr>
            </w:pPr>
          </w:p>
        </w:tc>
        <w:tc>
          <w:tcPr>
            <w:tcW w:w="0" w:type="auto"/>
          </w:tcPr>
          <w:p w14:paraId="650B1776" w14:textId="77777777" w:rsidR="008C5CFA" w:rsidRPr="001C4484" w:rsidRDefault="00E82A60" w:rsidP="00300A01">
            <w:pPr>
              <w:spacing w:before="0" w:after="0"/>
              <w:jc w:val="center"/>
              <w:rPr>
                <w:sz w:val="10"/>
                <w:szCs w:val="10"/>
              </w:rPr>
            </w:pPr>
            <w:r>
              <w:rPr>
                <w:noProof/>
                <w:sz w:val="10"/>
                <w:szCs w:val="10"/>
              </w:rPr>
              <w:t>Ogółem</w:t>
            </w:r>
          </w:p>
        </w:tc>
        <w:tc>
          <w:tcPr>
            <w:tcW w:w="0" w:type="auto"/>
            <w:shd w:val="clear" w:color="auto" w:fill="auto"/>
          </w:tcPr>
          <w:p w14:paraId="758FF89C" w14:textId="77777777" w:rsidR="008C5CFA" w:rsidRPr="001C4484" w:rsidRDefault="00E82A60" w:rsidP="00300A01">
            <w:pPr>
              <w:spacing w:before="0" w:after="0"/>
              <w:jc w:val="center"/>
              <w:rPr>
                <w:sz w:val="10"/>
                <w:szCs w:val="10"/>
              </w:rPr>
            </w:pPr>
            <w:r w:rsidRPr="001C4484">
              <w:rPr>
                <w:noProof/>
                <w:sz w:val="10"/>
                <w:szCs w:val="10"/>
              </w:rPr>
              <w:t>Mężczyźni</w:t>
            </w:r>
          </w:p>
        </w:tc>
        <w:tc>
          <w:tcPr>
            <w:tcW w:w="0" w:type="auto"/>
            <w:shd w:val="clear" w:color="auto" w:fill="auto"/>
          </w:tcPr>
          <w:p w14:paraId="2F416458" w14:textId="77777777" w:rsidR="008C5CFA" w:rsidRPr="001C4484" w:rsidRDefault="00E82A60" w:rsidP="00300A01">
            <w:pPr>
              <w:spacing w:before="0" w:after="0"/>
              <w:jc w:val="center"/>
              <w:rPr>
                <w:sz w:val="10"/>
                <w:szCs w:val="10"/>
              </w:rPr>
            </w:pPr>
            <w:r w:rsidRPr="001C4484">
              <w:rPr>
                <w:noProof/>
                <w:sz w:val="10"/>
                <w:szCs w:val="10"/>
              </w:rPr>
              <w:t>Kobiety</w:t>
            </w:r>
          </w:p>
        </w:tc>
        <w:tc>
          <w:tcPr>
            <w:tcW w:w="0" w:type="auto"/>
          </w:tcPr>
          <w:p w14:paraId="7AB35E8E" w14:textId="77777777" w:rsidR="008C5CFA" w:rsidRPr="001C4484" w:rsidRDefault="00E82A60" w:rsidP="00300A01">
            <w:pPr>
              <w:spacing w:before="0" w:after="0"/>
              <w:jc w:val="center"/>
              <w:rPr>
                <w:sz w:val="10"/>
                <w:szCs w:val="10"/>
              </w:rPr>
            </w:pPr>
            <w:r>
              <w:rPr>
                <w:noProof/>
                <w:sz w:val="10"/>
                <w:szCs w:val="10"/>
              </w:rPr>
              <w:t>Ogółem</w:t>
            </w:r>
          </w:p>
        </w:tc>
        <w:tc>
          <w:tcPr>
            <w:tcW w:w="0" w:type="auto"/>
            <w:shd w:val="clear" w:color="auto" w:fill="auto"/>
          </w:tcPr>
          <w:p w14:paraId="4E3F5E94" w14:textId="77777777" w:rsidR="008C5CFA" w:rsidRPr="001C4484" w:rsidRDefault="00E82A60" w:rsidP="00300A01">
            <w:pPr>
              <w:spacing w:before="0" w:after="0"/>
              <w:jc w:val="center"/>
              <w:rPr>
                <w:sz w:val="10"/>
                <w:szCs w:val="10"/>
              </w:rPr>
            </w:pPr>
            <w:r w:rsidRPr="001C4484">
              <w:rPr>
                <w:noProof/>
                <w:sz w:val="10"/>
                <w:szCs w:val="10"/>
              </w:rPr>
              <w:t>Mężczyźni</w:t>
            </w:r>
          </w:p>
        </w:tc>
        <w:tc>
          <w:tcPr>
            <w:tcW w:w="0" w:type="auto"/>
            <w:shd w:val="clear" w:color="auto" w:fill="auto"/>
          </w:tcPr>
          <w:p w14:paraId="701C2A4E" w14:textId="77777777" w:rsidR="008C5CFA" w:rsidRPr="001C4484" w:rsidRDefault="00E82A60" w:rsidP="00300A01">
            <w:pPr>
              <w:spacing w:before="0" w:after="0"/>
              <w:jc w:val="center"/>
              <w:rPr>
                <w:sz w:val="10"/>
                <w:szCs w:val="10"/>
              </w:rPr>
            </w:pPr>
            <w:r w:rsidRPr="001C4484">
              <w:rPr>
                <w:noProof/>
                <w:sz w:val="10"/>
                <w:szCs w:val="10"/>
              </w:rPr>
              <w:t>Kobiety</w:t>
            </w:r>
          </w:p>
        </w:tc>
      </w:tr>
      <w:tr w:rsidR="006B2EC1" w14:paraId="517EDABE" w14:textId="77777777" w:rsidTr="0047688D">
        <w:tc>
          <w:tcPr>
            <w:tcW w:w="0" w:type="auto"/>
            <w:shd w:val="clear" w:color="auto" w:fill="auto"/>
          </w:tcPr>
          <w:p w14:paraId="432A9789" w14:textId="77777777" w:rsidR="008C5CFA" w:rsidRPr="001C4484" w:rsidRDefault="00E82A60" w:rsidP="00300A01">
            <w:pPr>
              <w:spacing w:before="0" w:after="0"/>
              <w:rPr>
                <w:sz w:val="10"/>
                <w:szCs w:val="10"/>
                <w:lang w:val="fr-BE"/>
              </w:rPr>
            </w:pPr>
            <w:r w:rsidRPr="001C4484">
              <w:rPr>
                <w:noProof/>
                <w:sz w:val="10"/>
                <w:szCs w:val="10"/>
                <w:lang w:val="fr-BE"/>
              </w:rPr>
              <w:t>CO01</w:t>
            </w:r>
          </w:p>
        </w:tc>
        <w:tc>
          <w:tcPr>
            <w:tcW w:w="0" w:type="auto"/>
            <w:shd w:val="clear" w:color="auto" w:fill="auto"/>
          </w:tcPr>
          <w:p w14:paraId="54042E72" w14:textId="77777777" w:rsidR="008C5CFA" w:rsidRPr="001C4484" w:rsidRDefault="00E82A60" w:rsidP="00300A01">
            <w:pPr>
              <w:spacing w:before="0" w:after="0"/>
              <w:rPr>
                <w:sz w:val="10"/>
                <w:szCs w:val="10"/>
                <w:lang w:val="fr-BE"/>
              </w:rPr>
            </w:pPr>
            <w:r w:rsidRPr="001C4484">
              <w:rPr>
                <w:noProof/>
                <w:sz w:val="10"/>
                <w:szCs w:val="10"/>
                <w:lang w:val="fr-BE"/>
              </w:rPr>
              <w:t>bezrobotni, w tym długotrwale bezrobotni</w:t>
            </w:r>
          </w:p>
        </w:tc>
        <w:tc>
          <w:tcPr>
            <w:tcW w:w="0" w:type="auto"/>
            <w:shd w:val="clear" w:color="auto" w:fill="auto"/>
          </w:tcPr>
          <w:p w14:paraId="3F76B6C9"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484F2206"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1ED91454"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08ED8D52" w14:textId="77777777" w:rsidR="008C5CFA" w:rsidRPr="001C4484" w:rsidRDefault="00E82A60" w:rsidP="00300A01">
            <w:pPr>
              <w:spacing w:before="0" w:after="0"/>
              <w:jc w:val="right"/>
              <w:rPr>
                <w:sz w:val="10"/>
                <w:szCs w:val="10"/>
                <w:lang w:val="fr-BE"/>
              </w:rPr>
            </w:pPr>
            <w:r w:rsidRPr="001C4484">
              <w:rPr>
                <w:noProof/>
                <w:sz w:val="10"/>
                <w:szCs w:val="10"/>
              </w:rPr>
              <w:t>0,00</w:t>
            </w:r>
          </w:p>
        </w:tc>
        <w:tc>
          <w:tcPr>
            <w:tcW w:w="0" w:type="auto"/>
          </w:tcPr>
          <w:p w14:paraId="1C533C1D"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4035D64A"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6C6A9FBC" w14:textId="77777777" w:rsidR="008C5CFA" w:rsidRPr="001C4484" w:rsidRDefault="00E82A60" w:rsidP="00300A01">
            <w:pPr>
              <w:spacing w:before="0" w:after="0"/>
              <w:jc w:val="right"/>
              <w:rPr>
                <w:sz w:val="10"/>
                <w:szCs w:val="10"/>
                <w:lang w:val="fr-BE"/>
              </w:rPr>
            </w:pPr>
            <w:r w:rsidRPr="001C4484">
              <w:rPr>
                <w:noProof/>
                <w:sz w:val="10"/>
                <w:szCs w:val="10"/>
                <w:lang w:val="fr-BE"/>
              </w:rPr>
              <w:t>0,00</w:t>
            </w:r>
          </w:p>
        </w:tc>
      </w:tr>
      <w:tr w:rsidR="006B2EC1" w14:paraId="58325096" w14:textId="77777777" w:rsidTr="0047688D">
        <w:tc>
          <w:tcPr>
            <w:tcW w:w="0" w:type="auto"/>
            <w:shd w:val="clear" w:color="auto" w:fill="auto"/>
          </w:tcPr>
          <w:p w14:paraId="0A9A9726" w14:textId="77777777" w:rsidR="008C5CFA" w:rsidRPr="001C4484" w:rsidRDefault="00E82A60" w:rsidP="00300A01">
            <w:pPr>
              <w:spacing w:before="0" w:after="0"/>
              <w:rPr>
                <w:sz w:val="10"/>
                <w:szCs w:val="10"/>
                <w:lang w:val="fr-BE"/>
              </w:rPr>
            </w:pPr>
            <w:r w:rsidRPr="001C4484">
              <w:rPr>
                <w:noProof/>
                <w:sz w:val="10"/>
                <w:szCs w:val="10"/>
                <w:lang w:val="fr-BE"/>
              </w:rPr>
              <w:t>CO02</w:t>
            </w:r>
          </w:p>
        </w:tc>
        <w:tc>
          <w:tcPr>
            <w:tcW w:w="0" w:type="auto"/>
            <w:shd w:val="clear" w:color="auto" w:fill="auto"/>
          </w:tcPr>
          <w:p w14:paraId="67A54466" w14:textId="77777777" w:rsidR="008C5CFA" w:rsidRPr="001C4484" w:rsidRDefault="00E82A60" w:rsidP="00300A01">
            <w:pPr>
              <w:spacing w:before="0" w:after="0"/>
              <w:rPr>
                <w:sz w:val="10"/>
                <w:szCs w:val="10"/>
                <w:lang w:val="fr-BE"/>
              </w:rPr>
            </w:pPr>
            <w:r w:rsidRPr="001C4484">
              <w:rPr>
                <w:noProof/>
                <w:sz w:val="10"/>
                <w:szCs w:val="10"/>
                <w:lang w:val="fr-BE"/>
              </w:rPr>
              <w:t>długotrwale bezrobotni</w:t>
            </w:r>
          </w:p>
        </w:tc>
        <w:tc>
          <w:tcPr>
            <w:tcW w:w="0" w:type="auto"/>
            <w:shd w:val="clear" w:color="auto" w:fill="auto"/>
          </w:tcPr>
          <w:p w14:paraId="4A3DF4B7"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45E1ED64"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075CF82A"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14A906C7" w14:textId="77777777" w:rsidR="008C5CFA" w:rsidRPr="001C4484" w:rsidRDefault="00E82A60" w:rsidP="00300A01">
            <w:pPr>
              <w:spacing w:before="0" w:after="0"/>
              <w:jc w:val="right"/>
              <w:rPr>
                <w:sz w:val="10"/>
                <w:szCs w:val="10"/>
                <w:lang w:val="fr-BE"/>
              </w:rPr>
            </w:pPr>
            <w:r w:rsidRPr="001C4484">
              <w:rPr>
                <w:noProof/>
                <w:sz w:val="10"/>
                <w:szCs w:val="10"/>
              </w:rPr>
              <w:t>0,00</w:t>
            </w:r>
          </w:p>
        </w:tc>
        <w:tc>
          <w:tcPr>
            <w:tcW w:w="0" w:type="auto"/>
          </w:tcPr>
          <w:p w14:paraId="3375B784"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460E17C6"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25B2D216" w14:textId="77777777" w:rsidR="008C5CFA" w:rsidRPr="001C4484" w:rsidRDefault="00E82A60" w:rsidP="00300A01">
            <w:pPr>
              <w:spacing w:before="0" w:after="0"/>
              <w:jc w:val="right"/>
              <w:rPr>
                <w:sz w:val="10"/>
                <w:szCs w:val="10"/>
                <w:lang w:val="fr-BE"/>
              </w:rPr>
            </w:pPr>
            <w:r w:rsidRPr="001C4484">
              <w:rPr>
                <w:noProof/>
                <w:sz w:val="10"/>
                <w:szCs w:val="10"/>
                <w:lang w:val="fr-BE"/>
              </w:rPr>
              <w:t>0,00</w:t>
            </w:r>
          </w:p>
        </w:tc>
      </w:tr>
      <w:tr w:rsidR="006B2EC1" w14:paraId="3EEF3402" w14:textId="77777777" w:rsidTr="0047688D">
        <w:tc>
          <w:tcPr>
            <w:tcW w:w="0" w:type="auto"/>
            <w:shd w:val="clear" w:color="auto" w:fill="auto"/>
          </w:tcPr>
          <w:p w14:paraId="1D4A65FB" w14:textId="77777777" w:rsidR="008C5CFA" w:rsidRPr="001C4484" w:rsidRDefault="00E82A60" w:rsidP="00300A01">
            <w:pPr>
              <w:spacing w:before="0" w:after="0"/>
              <w:rPr>
                <w:sz w:val="10"/>
                <w:szCs w:val="10"/>
                <w:lang w:val="fr-BE"/>
              </w:rPr>
            </w:pPr>
            <w:r w:rsidRPr="001C4484">
              <w:rPr>
                <w:noProof/>
                <w:sz w:val="10"/>
                <w:szCs w:val="10"/>
                <w:lang w:val="fr-BE"/>
              </w:rPr>
              <w:t>CO03</w:t>
            </w:r>
          </w:p>
        </w:tc>
        <w:tc>
          <w:tcPr>
            <w:tcW w:w="0" w:type="auto"/>
            <w:shd w:val="clear" w:color="auto" w:fill="auto"/>
          </w:tcPr>
          <w:p w14:paraId="4A371FB5" w14:textId="77777777" w:rsidR="008C5CFA" w:rsidRPr="001C4484" w:rsidRDefault="00E82A60" w:rsidP="00300A01">
            <w:pPr>
              <w:spacing w:before="0" w:after="0"/>
              <w:rPr>
                <w:sz w:val="10"/>
                <w:szCs w:val="10"/>
                <w:lang w:val="fr-BE"/>
              </w:rPr>
            </w:pPr>
            <w:r w:rsidRPr="001C4484">
              <w:rPr>
                <w:noProof/>
                <w:sz w:val="10"/>
                <w:szCs w:val="10"/>
                <w:lang w:val="fr-BE"/>
              </w:rPr>
              <w:t>osoby bierne zawodowo</w:t>
            </w:r>
          </w:p>
        </w:tc>
        <w:tc>
          <w:tcPr>
            <w:tcW w:w="0" w:type="auto"/>
            <w:shd w:val="clear" w:color="auto" w:fill="auto"/>
          </w:tcPr>
          <w:p w14:paraId="3FC82E35"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7DA17DB8"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3760ED36"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1C7903B7" w14:textId="77777777" w:rsidR="008C5CFA" w:rsidRPr="001C4484" w:rsidRDefault="00E82A60" w:rsidP="00300A01">
            <w:pPr>
              <w:spacing w:before="0" w:after="0"/>
              <w:jc w:val="right"/>
              <w:rPr>
                <w:sz w:val="10"/>
                <w:szCs w:val="10"/>
                <w:lang w:val="fr-BE"/>
              </w:rPr>
            </w:pPr>
            <w:r w:rsidRPr="001C4484">
              <w:rPr>
                <w:noProof/>
                <w:sz w:val="10"/>
                <w:szCs w:val="10"/>
              </w:rPr>
              <w:t>0,00</w:t>
            </w:r>
          </w:p>
        </w:tc>
        <w:tc>
          <w:tcPr>
            <w:tcW w:w="0" w:type="auto"/>
          </w:tcPr>
          <w:p w14:paraId="699047D0"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5F1FE993"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6650A5A2" w14:textId="77777777" w:rsidR="008C5CFA" w:rsidRPr="001C4484" w:rsidRDefault="00E82A60" w:rsidP="00300A01">
            <w:pPr>
              <w:spacing w:before="0" w:after="0"/>
              <w:jc w:val="right"/>
              <w:rPr>
                <w:sz w:val="10"/>
                <w:szCs w:val="10"/>
                <w:lang w:val="fr-BE"/>
              </w:rPr>
            </w:pPr>
            <w:r w:rsidRPr="001C4484">
              <w:rPr>
                <w:noProof/>
                <w:sz w:val="10"/>
                <w:szCs w:val="10"/>
                <w:lang w:val="fr-BE"/>
              </w:rPr>
              <w:t>0,00</w:t>
            </w:r>
          </w:p>
        </w:tc>
      </w:tr>
      <w:tr w:rsidR="006B2EC1" w14:paraId="12F3F178" w14:textId="77777777" w:rsidTr="0047688D">
        <w:tc>
          <w:tcPr>
            <w:tcW w:w="0" w:type="auto"/>
            <w:shd w:val="clear" w:color="auto" w:fill="auto"/>
          </w:tcPr>
          <w:p w14:paraId="79AB09BD" w14:textId="77777777" w:rsidR="008C5CFA" w:rsidRPr="001C4484" w:rsidRDefault="00E82A60" w:rsidP="00300A01">
            <w:pPr>
              <w:spacing w:before="0" w:after="0"/>
              <w:rPr>
                <w:sz w:val="10"/>
                <w:szCs w:val="10"/>
                <w:lang w:val="fr-BE"/>
              </w:rPr>
            </w:pPr>
            <w:r w:rsidRPr="001C4484">
              <w:rPr>
                <w:noProof/>
                <w:sz w:val="10"/>
                <w:szCs w:val="10"/>
                <w:lang w:val="fr-BE"/>
              </w:rPr>
              <w:t>CO04</w:t>
            </w:r>
          </w:p>
        </w:tc>
        <w:tc>
          <w:tcPr>
            <w:tcW w:w="0" w:type="auto"/>
            <w:shd w:val="clear" w:color="auto" w:fill="auto"/>
          </w:tcPr>
          <w:p w14:paraId="31A18FC5" w14:textId="77777777" w:rsidR="008C5CFA" w:rsidRPr="001C4484" w:rsidRDefault="00E82A60" w:rsidP="00300A01">
            <w:pPr>
              <w:spacing w:before="0" w:after="0"/>
              <w:rPr>
                <w:sz w:val="10"/>
                <w:szCs w:val="10"/>
                <w:lang w:val="fr-BE"/>
              </w:rPr>
            </w:pPr>
            <w:r w:rsidRPr="001C4484">
              <w:rPr>
                <w:noProof/>
                <w:sz w:val="10"/>
                <w:szCs w:val="10"/>
                <w:lang w:val="fr-BE"/>
              </w:rPr>
              <w:t>osoby bierne zawodowo, nieuczestniczące w kształceniu ani szkoleniu</w:t>
            </w:r>
          </w:p>
        </w:tc>
        <w:tc>
          <w:tcPr>
            <w:tcW w:w="0" w:type="auto"/>
            <w:shd w:val="clear" w:color="auto" w:fill="auto"/>
          </w:tcPr>
          <w:p w14:paraId="1E155900"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34042613"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1E356EE9"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02ECA97B" w14:textId="77777777" w:rsidR="008C5CFA" w:rsidRPr="001C4484" w:rsidRDefault="00E82A60" w:rsidP="00300A01">
            <w:pPr>
              <w:spacing w:before="0" w:after="0"/>
              <w:jc w:val="right"/>
              <w:rPr>
                <w:sz w:val="10"/>
                <w:szCs w:val="10"/>
                <w:lang w:val="fr-BE"/>
              </w:rPr>
            </w:pPr>
            <w:r w:rsidRPr="001C4484">
              <w:rPr>
                <w:noProof/>
                <w:sz w:val="10"/>
                <w:szCs w:val="10"/>
              </w:rPr>
              <w:t>0,00</w:t>
            </w:r>
          </w:p>
        </w:tc>
        <w:tc>
          <w:tcPr>
            <w:tcW w:w="0" w:type="auto"/>
          </w:tcPr>
          <w:p w14:paraId="4C2E7613"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2D749F0E"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6E06B8FF" w14:textId="77777777" w:rsidR="008C5CFA" w:rsidRPr="001C4484" w:rsidRDefault="00E82A60" w:rsidP="00300A01">
            <w:pPr>
              <w:spacing w:before="0" w:after="0"/>
              <w:jc w:val="right"/>
              <w:rPr>
                <w:sz w:val="10"/>
                <w:szCs w:val="10"/>
                <w:lang w:val="fr-BE"/>
              </w:rPr>
            </w:pPr>
            <w:r w:rsidRPr="001C4484">
              <w:rPr>
                <w:noProof/>
                <w:sz w:val="10"/>
                <w:szCs w:val="10"/>
                <w:lang w:val="fr-BE"/>
              </w:rPr>
              <w:t>0,00</w:t>
            </w:r>
          </w:p>
        </w:tc>
      </w:tr>
      <w:tr w:rsidR="006B2EC1" w14:paraId="714F9891" w14:textId="77777777" w:rsidTr="0047688D">
        <w:tc>
          <w:tcPr>
            <w:tcW w:w="0" w:type="auto"/>
            <w:shd w:val="clear" w:color="auto" w:fill="auto"/>
          </w:tcPr>
          <w:p w14:paraId="3383528D" w14:textId="77777777" w:rsidR="008C5CFA" w:rsidRPr="001C4484" w:rsidRDefault="00E82A60" w:rsidP="00300A01">
            <w:pPr>
              <w:spacing w:before="0" w:after="0"/>
              <w:rPr>
                <w:sz w:val="10"/>
                <w:szCs w:val="10"/>
                <w:lang w:val="fr-BE"/>
              </w:rPr>
            </w:pPr>
            <w:r w:rsidRPr="001C4484">
              <w:rPr>
                <w:noProof/>
                <w:sz w:val="10"/>
                <w:szCs w:val="10"/>
                <w:lang w:val="fr-BE"/>
              </w:rPr>
              <w:lastRenderedPageBreak/>
              <w:t>CO05</w:t>
            </w:r>
          </w:p>
        </w:tc>
        <w:tc>
          <w:tcPr>
            <w:tcW w:w="0" w:type="auto"/>
            <w:shd w:val="clear" w:color="auto" w:fill="auto"/>
          </w:tcPr>
          <w:p w14:paraId="5002A96A" w14:textId="77777777" w:rsidR="008C5CFA" w:rsidRPr="001C4484" w:rsidRDefault="00E82A60" w:rsidP="00300A01">
            <w:pPr>
              <w:spacing w:before="0" w:after="0"/>
              <w:rPr>
                <w:sz w:val="10"/>
                <w:szCs w:val="10"/>
                <w:lang w:val="fr-BE"/>
              </w:rPr>
            </w:pPr>
            <w:r w:rsidRPr="001C4484">
              <w:rPr>
                <w:noProof/>
                <w:sz w:val="10"/>
                <w:szCs w:val="10"/>
                <w:lang w:val="fr-BE"/>
              </w:rPr>
              <w:t>osoby pracujące, łącznie z prowadzącymi działalność na własny rachunek</w:t>
            </w:r>
          </w:p>
        </w:tc>
        <w:tc>
          <w:tcPr>
            <w:tcW w:w="0" w:type="auto"/>
            <w:shd w:val="clear" w:color="auto" w:fill="auto"/>
          </w:tcPr>
          <w:p w14:paraId="112A1835"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16EF74C9"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7B5FFA17"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2C0A319A" w14:textId="77777777" w:rsidR="008C5CFA" w:rsidRPr="001C4484" w:rsidRDefault="00E82A60" w:rsidP="00300A01">
            <w:pPr>
              <w:spacing w:before="0" w:after="0"/>
              <w:jc w:val="right"/>
              <w:rPr>
                <w:sz w:val="10"/>
                <w:szCs w:val="10"/>
                <w:lang w:val="fr-BE"/>
              </w:rPr>
            </w:pPr>
            <w:r w:rsidRPr="001C4484">
              <w:rPr>
                <w:noProof/>
                <w:sz w:val="10"/>
                <w:szCs w:val="10"/>
              </w:rPr>
              <w:t>0,00</w:t>
            </w:r>
          </w:p>
        </w:tc>
        <w:tc>
          <w:tcPr>
            <w:tcW w:w="0" w:type="auto"/>
          </w:tcPr>
          <w:p w14:paraId="1E1DB47E"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74A20D8D"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07EEDAE1" w14:textId="77777777" w:rsidR="008C5CFA" w:rsidRPr="001C4484" w:rsidRDefault="00E82A60" w:rsidP="00300A01">
            <w:pPr>
              <w:spacing w:before="0" w:after="0"/>
              <w:jc w:val="right"/>
              <w:rPr>
                <w:sz w:val="10"/>
                <w:szCs w:val="10"/>
                <w:lang w:val="fr-BE"/>
              </w:rPr>
            </w:pPr>
            <w:r w:rsidRPr="001C4484">
              <w:rPr>
                <w:noProof/>
                <w:sz w:val="10"/>
                <w:szCs w:val="10"/>
                <w:lang w:val="fr-BE"/>
              </w:rPr>
              <w:t>0,00</w:t>
            </w:r>
          </w:p>
        </w:tc>
      </w:tr>
      <w:tr w:rsidR="006B2EC1" w14:paraId="13C14CE3" w14:textId="77777777" w:rsidTr="0047688D">
        <w:tc>
          <w:tcPr>
            <w:tcW w:w="0" w:type="auto"/>
            <w:shd w:val="clear" w:color="auto" w:fill="auto"/>
          </w:tcPr>
          <w:p w14:paraId="159CE0AC" w14:textId="77777777" w:rsidR="008C5CFA" w:rsidRPr="001C4484" w:rsidRDefault="00E82A60" w:rsidP="00300A01">
            <w:pPr>
              <w:spacing w:before="0" w:after="0"/>
              <w:rPr>
                <w:sz w:val="10"/>
                <w:szCs w:val="10"/>
                <w:lang w:val="fr-BE"/>
              </w:rPr>
            </w:pPr>
            <w:r w:rsidRPr="001C4484">
              <w:rPr>
                <w:noProof/>
                <w:sz w:val="10"/>
                <w:szCs w:val="10"/>
                <w:lang w:val="fr-BE"/>
              </w:rPr>
              <w:t>CO06</w:t>
            </w:r>
          </w:p>
        </w:tc>
        <w:tc>
          <w:tcPr>
            <w:tcW w:w="0" w:type="auto"/>
            <w:shd w:val="clear" w:color="auto" w:fill="auto"/>
          </w:tcPr>
          <w:p w14:paraId="3E63F2D6" w14:textId="77777777" w:rsidR="008C5CFA" w:rsidRPr="001C4484" w:rsidRDefault="00E82A60" w:rsidP="00300A01">
            <w:pPr>
              <w:spacing w:before="0" w:after="0"/>
              <w:rPr>
                <w:sz w:val="10"/>
                <w:szCs w:val="10"/>
                <w:lang w:val="fr-BE"/>
              </w:rPr>
            </w:pPr>
            <w:r w:rsidRPr="001C4484">
              <w:rPr>
                <w:noProof/>
                <w:sz w:val="10"/>
                <w:szCs w:val="10"/>
                <w:lang w:val="fr-BE"/>
              </w:rPr>
              <w:t>osoby w wieku poniżej 25 lat</w:t>
            </w:r>
          </w:p>
        </w:tc>
        <w:tc>
          <w:tcPr>
            <w:tcW w:w="0" w:type="auto"/>
            <w:shd w:val="clear" w:color="auto" w:fill="auto"/>
          </w:tcPr>
          <w:p w14:paraId="1B67D91B"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7A00A0B8"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0522B0BA"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1EE2890B" w14:textId="77777777" w:rsidR="008C5CFA" w:rsidRPr="001C4484" w:rsidRDefault="00E82A60" w:rsidP="00300A01">
            <w:pPr>
              <w:spacing w:before="0" w:after="0"/>
              <w:jc w:val="right"/>
              <w:rPr>
                <w:sz w:val="10"/>
                <w:szCs w:val="10"/>
                <w:lang w:val="fr-BE"/>
              </w:rPr>
            </w:pPr>
            <w:r w:rsidRPr="001C4484">
              <w:rPr>
                <w:noProof/>
                <w:sz w:val="10"/>
                <w:szCs w:val="10"/>
              </w:rPr>
              <w:t>0,00</w:t>
            </w:r>
          </w:p>
        </w:tc>
        <w:tc>
          <w:tcPr>
            <w:tcW w:w="0" w:type="auto"/>
          </w:tcPr>
          <w:p w14:paraId="73B02AAF"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4862648C"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01B83B23" w14:textId="77777777" w:rsidR="008C5CFA" w:rsidRPr="001C4484" w:rsidRDefault="00E82A60" w:rsidP="00300A01">
            <w:pPr>
              <w:spacing w:before="0" w:after="0"/>
              <w:jc w:val="right"/>
              <w:rPr>
                <w:sz w:val="10"/>
                <w:szCs w:val="10"/>
                <w:lang w:val="fr-BE"/>
              </w:rPr>
            </w:pPr>
            <w:r w:rsidRPr="001C4484">
              <w:rPr>
                <w:noProof/>
                <w:sz w:val="10"/>
                <w:szCs w:val="10"/>
                <w:lang w:val="fr-BE"/>
              </w:rPr>
              <w:t>0,00</w:t>
            </w:r>
          </w:p>
        </w:tc>
      </w:tr>
      <w:tr w:rsidR="006B2EC1" w14:paraId="33B2FCE4" w14:textId="77777777" w:rsidTr="0047688D">
        <w:tc>
          <w:tcPr>
            <w:tcW w:w="0" w:type="auto"/>
            <w:shd w:val="clear" w:color="auto" w:fill="auto"/>
          </w:tcPr>
          <w:p w14:paraId="79AF6985" w14:textId="77777777" w:rsidR="008C5CFA" w:rsidRPr="001C4484" w:rsidRDefault="00E82A60" w:rsidP="00300A01">
            <w:pPr>
              <w:spacing w:before="0" w:after="0"/>
              <w:rPr>
                <w:sz w:val="10"/>
                <w:szCs w:val="10"/>
                <w:lang w:val="fr-BE"/>
              </w:rPr>
            </w:pPr>
            <w:r w:rsidRPr="001C4484">
              <w:rPr>
                <w:noProof/>
                <w:sz w:val="10"/>
                <w:szCs w:val="10"/>
                <w:lang w:val="fr-BE"/>
              </w:rPr>
              <w:t>CO07</w:t>
            </w:r>
          </w:p>
        </w:tc>
        <w:tc>
          <w:tcPr>
            <w:tcW w:w="0" w:type="auto"/>
            <w:shd w:val="clear" w:color="auto" w:fill="auto"/>
          </w:tcPr>
          <w:p w14:paraId="597007FB" w14:textId="77777777" w:rsidR="008C5CFA" w:rsidRPr="001C4484" w:rsidRDefault="00E82A60" w:rsidP="00300A01">
            <w:pPr>
              <w:spacing w:before="0" w:after="0"/>
              <w:rPr>
                <w:sz w:val="10"/>
                <w:szCs w:val="10"/>
                <w:lang w:val="fr-BE"/>
              </w:rPr>
            </w:pPr>
            <w:r w:rsidRPr="001C4484">
              <w:rPr>
                <w:noProof/>
                <w:sz w:val="10"/>
                <w:szCs w:val="10"/>
                <w:lang w:val="fr-BE"/>
              </w:rPr>
              <w:t>osoby w wieku powyżej 54 lat</w:t>
            </w:r>
          </w:p>
        </w:tc>
        <w:tc>
          <w:tcPr>
            <w:tcW w:w="0" w:type="auto"/>
            <w:shd w:val="clear" w:color="auto" w:fill="auto"/>
          </w:tcPr>
          <w:p w14:paraId="39EEFAFB"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201F3E03"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699AAFDC"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6E5982A8" w14:textId="77777777" w:rsidR="008C5CFA" w:rsidRPr="001C4484" w:rsidRDefault="00E82A60" w:rsidP="00300A01">
            <w:pPr>
              <w:spacing w:before="0" w:after="0"/>
              <w:jc w:val="right"/>
              <w:rPr>
                <w:sz w:val="10"/>
                <w:szCs w:val="10"/>
                <w:lang w:val="fr-BE"/>
              </w:rPr>
            </w:pPr>
            <w:r w:rsidRPr="001C4484">
              <w:rPr>
                <w:noProof/>
                <w:sz w:val="10"/>
                <w:szCs w:val="10"/>
              </w:rPr>
              <w:t>0,00</w:t>
            </w:r>
          </w:p>
        </w:tc>
        <w:tc>
          <w:tcPr>
            <w:tcW w:w="0" w:type="auto"/>
          </w:tcPr>
          <w:p w14:paraId="7AF64AE8"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55A4AB6E"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29516C43" w14:textId="77777777" w:rsidR="008C5CFA" w:rsidRPr="001C4484" w:rsidRDefault="00E82A60" w:rsidP="00300A01">
            <w:pPr>
              <w:spacing w:before="0" w:after="0"/>
              <w:jc w:val="right"/>
              <w:rPr>
                <w:sz w:val="10"/>
                <w:szCs w:val="10"/>
                <w:lang w:val="fr-BE"/>
              </w:rPr>
            </w:pPr>
            <w:r w:rsidRPr="001C4484">
              <w:rPr>
                <w:noProof/>
                <w:sz w:val="10"/>
                <w:szCs w:val="10"/>
                <w:lang w:val="fr-BE"/>
              </w:rPr>
              <w:t>0,00</w:t>
            </w:r>
          </w:p>
        </w:tc>
      </w:tr>
      <w:tr w:rsidR="006B2EC1" w14:paraId="0C9DBFA9" w14:textId="77777777" w:rsidTr="0047688D">
        <w:tc>
          <w:tcPr>
            <w:tcW w:w="0" w:type="auto"/>
            <w:shd w:val="clear" w:color="auto" w:fill="auto"/>
          </w:tcPr>
          <w:p w14:paraId="749C734B" w14:textId="77777777" w:rsidR="008C5CFA" w:rsidRPr="001C4484" w:rsidRDefault="00E82A60" w:rsidP="00300A01">
            <w:pPr>
              <w:spacing w:before="0" w:after="0"/>
              <w:rPr>
                <w:sz w:val="10"/>
                <w:szCs w:val="10"/>
                <w:lang w:val="fr-BE"/>
              </w:rPr>
            </w:pPr>
            <w:r w:rsidRPr="001C4484">
              <w:rPr>
                <w:noProof/>
                <w:sz w:val="10"/>
                <w:szCs w:val="10"/>
                <w:lang w:val="fr-BE"/>
              </w:rPr>
              <w:t>CO08</w:t>
            </w:r>
          </w:p>
        </w:tc>
        <w:tc>
          <w:tcPr>
            <w:tcW w:w="0" w:type="auto"/>
            <w:shd w:val="clear" w:color="auto" w:fill="auto"/>
          </w:tcPr>
          <w:p w14:paraId="30FFF47D" w14:textId="77777777" w:rsidR="008C5CFA" w:rsidRPr="001C4484" w:rsidRDefault="00E82A60" w:rsidP="00300A01">
            <w:pPr>
              <w:spacing w:before="0" w:after="0"/>
              <w:rPr>
                <w:sz w:val="10"/>
                <w:szCs w:val="10"/>
                <w:lang w:val="fr-BE"/>
              </w:rPr>
            </w:pPr>
            <w:r w:rsidRPr="001C4484">
              <w:rPr>
                <w:noProof/>
                <w:sz w:val="10"/>
                <w:szCs w:val="10"/>
                <w:lang w:val="fr-BE"/>
              </w:rPr>
              <w:t>osoby powyżej 54 lat, które są bezrobotne, łącznie z długotrwale bezrobotnymi, lub są bierne zawodowo i nie uczestniczą w kształceniu ani szkoleniu</w:t>
            </w:r>
          </w:p>
        </w:tc>
        <w:tc>
          <w:tcPr>
            <w:tcW w:w="0" w:type="auto"/>
            <w:shd w:val="clear" w:color="auto" w:fill="auto"/>
          </w:tcPr>
          <w:p w14:paraId="66533D25"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225D9733"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7B7E426F"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35C7A465" w14:textId="77777777" w:rsidR="008C5CFA" w:rsidRPr="001C4484" w:rsidRDefault="00E82A60" w:rsidP="00300A01">
            <w:pPr>
              <w:spacing w:before="0" w:after="0"/>
              <w:jc w:val="right"/>
              <w:rPr>
                <w:sz w:val="10"/>
                <w:szCs w:val="10"/>
                <w:lang w:val="fr-BE"/>
              </w:rPr>
            </w:pPr>
            <w:r w:rsidRPr="001C4484">
              <w:rPr>
                <w:noProof/>
                <w:sz w:val="10"/>
                <w:szCs w:val="10"/>
              </w:rPr>
              <w:t>0,00</w:t>
            </w:r>
          </w:p>
        </w:tc>
        <w:tc>
          <w:tcPr>
            <w:tcW w:w="0" w:type="auto"/>
          </w:tcPr>
          <w:p w14:paraId="46FA8B23"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14B88C64"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06EEA788" w14:textId="77777777" w:rsidR="008C5CFA" w:rsidRPr="001C4484" w:rsidRDefault="00E82A60" w:rsidP="00300A01">
            <w:pPr>
              <w:spacing w:before="0" w:after="0"/>
              <w:jc w:val="right"/>
              <w:rPr>
                <w:sz w:val="10"/>
                <w:szCs w:val="10"/>
                <w:lang w:val="fr-BE"/>
              </w:rPr>
            </w:pPr>
            <w:r w:rsidRPr="001C4484">
              <w:rPr>
                <w:noProof/>
                <w:sz w:val="10"/>
                <w:szCs w:val="10"/>
                <w:lang w:val="fr-BE"/>
              </w:rPr>
              <w:t>0,00</w:t>
            </w:r>
          </w:p>
        </w:tc>
      </w:tr>
      <w:tr w:rsidR="006B2EC1" w14:paraId="482539AB" w14:textId="77777777" w:rsidTr="0047688D">
        <w:tc>
          <w:tcPr>
            <w:tcW w:w="0" w:type="auto"/>
            <w:shd w:val="clear" w:color="auto" w:fill="auto"/>
          </w:tcPr>
          <w:p w14:paraId="1ACE732A" w14:textId="77777777" w:rsidR="008C5CFA" w:rsidRPr="001C4484" w:rsidRDefault="00E82A60" w:rsidP="00300A01">
            <w:pPr>
              <w:spacing w:before="0" w:after="0"/>
              <w:rPr>
                <w:sz w:val="10"/>
                <w:szCs w:val="10"/>
                <w:lang w:val="fr-BE"/>
              </w:rPr>
            </w:pPr>
            <w:r w:rsidRPr="001C4484">
              <w:rPr>
                <w:noProof/>
                <w:sz w:val="10"/>
                <w:szCs w:val="10"/>
                <w:lang w:val="fr-BE"/>
              </w:rPr>
              <w:t>CO09</w:t>
            </w:r>
          </w:p>
        </w:tc>
        <w:tc>
          <w:tcPr>
            <w:tcW w:w="0" w:type="auto"/>
            <w:shd w:val="clear" w:color="auto" w:fill="auto"/>
          </w:tcPr>
          <w:p w14:paraId="7D24D1A5" w14:textId="77777777" w:rsidR="008C5CFA" w:rsidRPr="001C4484" w:rsidRDefault="00E82A60" w:rsidP="00300A01">
            <w:pPr>
              <w:spacing w:before="0" w:after="0"/>
              <w:rPr>
                <w:sz w:val="10"/>
                <w:szCs w:val="10"/>
                <w:lang w:val="fr-BE"/>
              </w:rPr>
            </w:pPr>
            <w:r w:rsidRPr="001C4484">
              <w:rPr>
                <w:noProof/>
                <w:sz w:val="10"/>
                <w:szCs w:val="10"/>
                <w:lang w:val="fr-BE"/>
              </w:rPr>
              <w:t>osoby z wykształceniem podstawowym (ISCED 1) lub średnim I stopnia (ISCED 2)</w:t>
            </w:r>
          </w:p>
        </w:tc>
        <w:tc>
          <w:tcPr>
            <w:tcW w:w="0" w:type="auto"/>
            <w:shd w:val="clear" w:color="auto" w:fill="auto"/>
          </w:tcPr>
          <w:p w14:paraId="088B9A69"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6EAF5E2C"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58BCA862"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58948EBE" w14:textId="77777777" w:rsidR="008C5CFA" w:rsidRPr="001C4484" w:rsidRDefault="00E82A60" w:rsidP="00300A01">
            <w:pPr>
              <w:spacing w:before="0" w:after="0"/>
              <w:jc w:val="right"/>
              <w:rPr>
                <w:sz w:val="10"/>
                <w:szCs w:val="10"/>
                <w:lang w:val="fr-BE"/>
              </w:rPr>
            </w:pPr>
            <w:r w:rsidRPr="001C4484">
              <w:rPr>
                <w:noProof/>
                <w:sz w:val="10"/>
                <w:szCs w:val="10"/>
              </w:rPr>
              <w:t>0,00</w:t>
            </w:r>
          </w:p>
        </w:tc>
        <w:tc>
          <w:tcPr>
            <w:tcW w:w="0" w:type="auto"/>
          </w:tcPr>
          <w:p w14:paraId="5634F261"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48434788"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581C1382" w14:textId="77777777" w:rsidR="008C5CFA" w:rsidRPr="001C4484" w:rsidRDefault="00E82A60" w:rsidP="00300A01">
            <w:pPr>
              <w:spacing w:before="0" w:after="0"/>
              <w:jc w:val="right"/>
              <w:rPr>
                <w:sz w:val="10"/>
                <w:szCs w:val="10"/>
                <w:lang w:val="fr-BE"/>
              </w:rPr>
            </w:pPr>
            <w:r w:rsidRPr="001C4484">
              <w:rPr>
                <w:noProof/>
                <w:sz w:val="10"/>
                <w:szCs w:val="10"/>
                <w:lang w:val="fr-BE"/>
              </w:rPr>
              <w:t>0,00</w:t>
            </w:r>
          </w:p>
        </w:tc>
      </w:tr>
      <w:tr w:rsidR="006B2EC1" w14:paraId="3699F09D" w14:textId="77777777" w:rsidTr="0047688D">
        <w:tc>
          <w:tcPr>
            <w:tcW w:w="0" w:type="auto"/>
            <w:shd w:val="clear" w:color="auto" w:fill="auto"/>
          </w:tcPr>
          <w:p w14:paraId="57222DFC" w14:textId="77777777" w:rsidR="008C5CFA" w:rsidRPr="001C4484" w:rsidRDefault="00E82A60" w:rsidP="00300A01">
            <w:pPr>
              <w:spacing w:before="0" w:after="0"/>
              <w:rPr>
                <w:sz w:val="10"/>
                <w:szCs w:val="10"/>
                <w:lang w:val="fr-BE"/>
              </w:rPr>
            </w:pPr>
            <w:r w:rsidRPr="001C4484">
              <w:rPr>
                <w:noProof/>
                <w:sz w:val="10"/>
                <w:szCs w:val="10"/>
                <w:lang w:val="fr-BE"/>
              </w:rPr>
              <w:t>CO10</w:t>
            </w:r>
          </w:p>
        </w:tc>
        <w:tc>
          <w:tcPr>
            <w:tcW w:w="0" w:type="auto"/>
            <w:shd w:val="clear" w:color="auto" w:fill="auto"/>
          </w:tcPr>
          <w:p w14:paraId="554B06B8" w14:textId="77777777" w:rsidR="008C5CFA" w:rsidRPr="001C4484" w:rsidRDefault="00E82A60" w:rsidP="00300A01">
            <w:pPr>
              <w:spacing w:before="0" w:after="0"/>
              <w:rPr>
                <w:sz w:val="10"/>
                <w:szCs w:val="10"/>
                <w:lang w:val="fr-BE"/>
              </w:rPr>
            </w:pPr>
            <w:r w:rsidRPr="001C4484">
              <w:rPr>
                <w:noProof/>
                <w:sz w:val="10"/>
                <w:szCs w:val="10"/>
                <w:lang w:val="fr-BE"/>
              </w:rPr>
              <w:t>osoby z wykształceniem średnim II stopnia (ISCED 3) lub policealnym (ISCED 4)</w:t>
            </w:r>
          </w:p>
        </w:tc>
        <w:tc>
          <w:tcPr>
            <w:tcW w:w="0" w:type="auto"/>
            <w:shd w:val="clear" w:color="auto" w:fill="auto"/>
          </w:tcPr>
          <w:p w14:paraId="3A4DA972"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506A43C5"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17B6AFBD"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5680B0F6" w14:textId="77777777" w:rsidR="008C5CFA" w:rsidRPr="001C4484" w:rsidRDefault="00E82A60" w:rsidP="00300A01">
            <w:pPr>
              <w:spacing w:before="0" w:after="0"/>
              <w:jc w:val="right"/>
              <w:rPr>
                <w:sz w:val="10"/>
                <w:szCs w:val="10"/>
                <w:lang w:val="fr-BE"/>
              </w:rPr>
            </w:pPr>
            <w:r w:rsidRPr="001C4484">
              <w:rPr>
                <w:noProof/>
                <w:sz w:val="10"/>
                <w:szCs w:val="10"/>
              </w:rPr>
              <w:t>0,00</w:t>
            </w:r>
          </w:p>
        </w:tc>
        <w:tc>
          <w:tcPr>
            <w:tcW w:w="0" w:type="auto"/>
          </w:tcPr>
          <w:p w14:paraId="2211BC43"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1D702996"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72F831C3" w14:textId="77777777" w:rsidR="008C5CFA" w:rsidRPr="001C4484" w:rsidRDefault="00E82A60" w:rsidP="00300A01">
            <w:pPr>
              <w:spacing w:before="0" w:after="0"/>
              <w:jc w:val="right"/>
              <w:rPr>
                <w:sz w:val="10"/>
                <w:szCs w:val="10"/>
                <w:lang w:val="fr-BE"/>
              </w:rPr>
            </w:pPr>
            <w:r w:rsidRPr="001C4484">
              <w:rPr>
                <w:noProof/>
                <w:sz w:val="10"/>
                <w:szCs w:val="10"/>
                <w:lang w:val="fr-BE"/>
              </w:rPr>
              <w:t>0,00</w:t>
            </w:r>
          </w:p>
        </w:tc>
      </w:tr>
      <w:tr w:rsidR="006B2EC1" w14:paraId="050D9622" w14:textId="77777777" w:rsidTr="0047688D">
        <w:tc>
          <w:tcPr>
            <w:tcW w:w="0" w:type="auto"/>
            <w:shd w:val="clear" w:color="auto" w:fill="auto"/>
          </w:tcPr>
          <w:p w14:paraId="4AB08ABB" w14:textId="77777777" w:rsidR="008C5CFA" w:rsidRPr="001C4484" w:rsidRDefault="00E82A60" w:rsidP="00300A01">
            <w:pPr>
              <w:spacing w:before="0" w:after="0"/>
              <w:rPr>
                <w:sz w:val="10"/>
                <w:szCs w:val="10"/>
                <w:lang w:val="fr-BE"/>
              </w:rPr>
            </w:pPr>
            <w:r w:rsidRPr="001C4484">
              <w:rPr>
                <w:noProof/>
                <w:sz w:val="10"/>
                <w:szCs w:val="10"/>
                <w:lang w:val="fr-BE"/>
              </w:rPr>
              <w:t>CO11</w:t>
            </w:r>
          </w:p>
        </w:tc>
        <w:tc>
          <w:tcPr>
            <w:tcW w:w="0" w:type="auto"/>
            <w:shd w:val="clear" w:color="auto" w:fill="auto"/>
          </w:tcPr>
          <w:p w14:paraId="71C6FDA6" w14:textId="77777777" w:rsidR="008C5CFA" w:rsidRPr="001C4484" w:rsidRDefault="00E82A60" w:rsidP="00300A01">
            <w:pPr>
              <w:spacing w:before="0" w:after="0"/>
              <w:rPr>
                <w:sz w:val="10"/>
                <w:szCs w:val="10"/>
                <w:lang w:val="fr-BE"/>
              </w:rPr>
            </w:pPr>
            <w:r w:rsidRPr="001C4484">
              <w:rPr>
                <w:noProof/>
                <w:sz w:val="10"/>
                <w:szCs w:val="10"/>
                <w:lang w:val="fr-BE"/>
              </w:rPr>
              <w:t>osoby z wykształceniem wyższym (ISCED 5 do 8)</w:t>
            </w:r>
          </w:p>
        </w:tc>
        <w:tc>
          <w:tcPr>
            <w:tcW w:w="0" w:type="auto"/>
            <w:shd w:val="clear" w:color="auto" w:fill="auto"/>
          </w:tcPr>
          <w:p w14:paraId="79FDC1B6"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16FD5F6D"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11429944"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42FE6FD0" w14:textId="77777777" w:rsidR="008C5CFA" w:rsidRPr="001C4484" w:rsidRDefault="00E82A60" w:rsidP="00300A01">
            <w:pPr>
              <w:spacing w:before="0" w:after="0"/>
              <w:jc w:val="right"/>
              <w:rPr>
                <w:sz w:val="10"/>
                <w:szCs w:val="10"/>
                <w:lang w:val="fr-BE"/>
              </w:rPr>
            </w:pPr>
            <w:r w:rsidRPr="001C4484">
              <w:rPr>
                <w:noProof/>
                <w:sz w:val="10"/>
                <w:szCs w:val="10"/>
              </w:rPr>
              <w:t>0,00</w:t>
            </w:r>
          </w:p>
        </w:tc>
        <w:tc>
          <w:tcPr>
            <w:tcW w:w="0" w:type="auto"/>
          </w:tcPr>
          <w:p w14:paraId="36145B8D"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4608F3A8"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60786027" w14:textId="77777777" w:rsidR="008C5CFA" w:rsidRPr="001C4484" w:rsidRDefault="00E82A60" w:rsidP="00300A01">
            <w:pPr>
              <w:spacing w:before="0" w:after="0"/>
              <w:jc w:val="right"/>
              <w:rPr>
                <w:sz w:val="10"/>
                <w:szCs w:val="10"/>
                <w:lang w:val="fr-BE"/>
              </w:rPr>
            </w:pPr>
            <w:r w:rsidRPr="001C4484">
              <w:rPr>
                <w:noProof/>
                <w:sz w:val="10"/>
                <w:szCs w:val="10"/>
                <w:lang w:val="fr-BE"/>
              </w:rPr>
              <w:t>0,00</w:t>
            </w:r>
          </w:p>
        </w:tc>
      </w:tr>
      <w:tr w:rsidR="006B2EC1" w14:paraId="571BD305" w14:textId="77777777" w:rsidTr="0047688D">
        <w:tc>
          <w:tcPr>
            <w:tcW w:w="0" w:type="auto"/>
            <w:shd w:val="clear" w:color="auto" w:fill="auto"/>
          </w:tcPr>
          <w:p w14:paraId="75454148" w14:textId="77777777" w:rsidR="008C5CFA" w:rsidRPr="001C4484" w:rsidRDefault="00E82A60" w:rsidP="00300A01">
            <w:pPr>
              <w:spacing w:before="0" w:after="0"/>
              <w:rPr>
                <w:sz w:val="10"/>
                <w:szCs w:val="10"/>
                <w:lang w:val="fr-BE"/>
              </w:rPr>
            </w:pPr>
            <w:r w:rsidRPr="001C4484">
              <w:rPr>
                <w:noProof/>
                <w:sz w:val="10"/>
                <w:szCs w:val="10"/>
                <w:lang w:val="fr-BE"/>
              </w:rPr>
              <w:t>CO15</w:t>
            </w:r>
          </w:p>
        </w:tc>
        <w:tc>
          <w:tcPr>
            <w:tcW w:w="0" w:type="auto"/>
            <w:shd w:val="clear" w:color="auto" w:fill="auto"/>
          </w:tcPr>
          <w:p w14:paraId="7CE66A6D" w14:textId="77777777" w:rsidR="008C5CFA" w:rsidRPr="001C4484" w:rsidRDefault="00E82A60" w:rsidP="00300A01">
            <w:pPr>
              <w:spacing w:before="0" w:after="0"/>
              <w:rPr>
                <w:sz w:val="10"/>
                <w:szCs w:val="10"/>
                <w:lang w:val="fr-BE"/>
              </w:rPr>
            </w:pPr>
            <w:r w:rsidRPr="001C4484">
              <w:rPr>
                <w:noProof/>
                <w:sz w:val="10"/>
                <w:szCs w:val="10"/>
                <w:lang w:val="fr-BE"/>
              </w:rPr>
              <w:t>migranci, uczestnicy obcego pochodzenia, mniejszości (w tym społeczności marginalizowane, takie jak Romowie)</w:t>
            </w:r>
          </w:p>
        </w:tc>
        <w:tc>
          <w:tcPr>
            <w:tcW w:w="0" w:type="auto"/>
            <w:shd w:val="clear" w:color="auto" w:fill="auto"/>
          </w:tcPr>
          <w:p w14:paraId="2E8DE0CB"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13F595B4"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4F7CD895"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038D9CD5" w14:textId="77777777" w:rsidR="008C5CFA" w:rsidRPr="001C4484" w:rsidRDefault="00E82A60" w:rsidP="00300A01">
            <w:pPr>
              <w:spacing w:before="0" w:after="0"/>
              <w:jc w:val="right"/>
              <w:rPr>
                <w:sz w:val="10"/>
                <w:szCs w:val="10"/>
                <w:lang w:val="fr-BE"/>
              </w:rPr>
            </w:pPr>
            <w:r w:rsidRPr="001C4484">
              <w:rPr>
                <w:noProof/>
                <w:sz w:val="10"/>
                <w:szCs w:val="10"/>
              </w:rPr>
              <w:t>0,00</w:t>
            </w:r>
          </w:p>
        </w:tc>
        <w:tc>
          <w:tcPr>
            <w:tcW w:w="0" w:type="auto"/>
          </w:tcPr>
          <w:p w14:paraId="6AC63C8B"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520D7DEE"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6AA500C7" w14:textId="77777777" w:rsidR="008C5CFA" w:rsidRPr="001C4484" w:rsidRDefault="00E82A60" w:rsidP="00300A01">
            <w:pPr>
              <w:spacing w:before="0" w:after="0"/>
              <w:jc w:val="right"/>
              <w:rPr>
                <w:sz w:val="10"/>
                <w:szCs w:val="10"/>
                <w:lang w:val="fr-BE"/>
              </w:rPr>
            </w:pPr>
            <w:r w:rsidRPr="001C4484">
              <w:rPr>
                <w:noProof/>
                <w:sz w:val="10"/>
                <w:szCs w:val="10"/>
                <w:lang w:val="fr-BE"/>
              </w:rPr>
              <w:t>0,00</w:t>
            </w:r>
          </w:p>
        </w:tc>
      </w:tr>
      <w:tr w:rsidR="006B2EC1" w14:paraId="56AA9CF8" w14:textId="77777777" w:rsidTr="0047688D">
        <w:tc>
          <w:tcPr>
            <w:tcW w:w="0" w:type="auto"/>
            <w:shd w:val="clear" w:color="auto" w:fill="auto"/>
          </w:tcPr>
          <w:p w14:paraId="617B42E7" w14:textId="77777777" w:rsidR="008C5CFA" w:rsidRPr="001C4484" w:rsidRDefault="00E82A60" w:rsidP="00300A01">
            <w:pPr>
              <w:spacing w:before="0" w:after="0"/>
              <w:rPr>
                <w:sz w:val="10"/>
                <w:szCs w:val="10"/>
                <w:lang w:val="fr-BE"/>
              </w:rPr>
            </w:pPr>
            <w:r w:rsidRPr="001C4484">
              <w:rPr>
                <w:noProof/>
                <w:sz w:val="10"/>
                <w:szCs w:val="10"/>
                <w:lang w:val="fr-BE"/>
              </w:rPr>
              <w:t>CO16</w:t>
            </w:r>
          </w:p>
        </w:tc>
        <w:tc>
          <w:tcPr>
            <w:tcW w:w="0" w:type="auto"/>
            <w:shd w:val="clear" w:color="auto" w:fill="auto"/>
          </w:tcPr>
          <w:p w14:paraId="50C27AD3" w14:textId="77777777" w:rsidR="008C5CFA" w:rsidRPr="001C4484" w:rsidRDefault="00E82A60" w:rsidP="00300A01">
            <w:pPr>
              <w:spacing w:before="0" w:after="0"/>
              <w:rPr>
                <w:sz w:val="10"/>
                <w:szCs w:val="10"/>
                <w:lang w:val="fr-BE"/>
              </w:rPr>
            </w:pPr>
            <w:r w:rsidRPr="001C4484">
              <w:rPr>
                <w:noProof/>
                <w:sz w:val="10"/>
                <w:szCs w:val="10"/>
                <w:lang w:val="fr-BE"/>
              </w:rPr>
              <w:t>uczestnicy z niepełnosprawnościami</w:t>
            </w:r>
          </w:p>
        </w:tc>
        <w:tc>
          <w:tcPr>
            <w:tcW w:w="0" w:type="auto"/>
            <w:shd w:val="clear" w:color="auto" w:fill="auto"/>
          </w:tcPr>
          <w:p w14:paraId="4FEEC180"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158224F8"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3CD0ECED"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361E07BB" w14:textId="77777777" w:rsidR="008C5CFA" w:rsidRPr="001C4484" w:rsidRDefault="00E82A60" w:rsidP="00300A01">
            <w:pPr>
              <w:spacing w:before="0" w:after="0"/>
              <w:jc w:val="right"/>
              <w:rPr>
                <w:sz w:val="10"/>
                <w:szCs w:val="10"/>
                <w:lang w:val="fr-BE"/>
              </w:rPr>
            </w:pPr>
            <w:r w:rsidRPr="001C4484">
              <w:rPr>
                <w:noProof/>
                <w:sz w:val="10"/>
                <w:szCs w:val="10"/>
              </w:rPr>
              <w:t>0,00</w:t>
            </w:r>
          </w:p>
        </w:tc>
        <w:tc>
          <w:tcPr>
            <w:tcW w:w="0" w:type="auto"/>
          </w:tcPr>
          <w:p w14:paraId="391B5D49"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69D696E1"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68671C03" w14:textId="77777777" w:rsidR="008C5CFA" w:rsidRPr="001C4484" w:rsidRDefault="00E82A60" w:rsidP="00300A01">
            <w:pPr>
              <w:spacing w:before="0" w:after="0"/>
              <w:jc w:val="right"/>
              <w:rPr>
                <w:sz w:val="10"/>
                <w:szCs w:val="10"/>
                <w:lang w:val="fr-BE"/>
              </w:rPr>
            </w:pPr>
            <w:r w:rsidRPr="001C4484">
              <w:rPr>
                <w:noProof/>
                <w:sz w:val="10"/>
                <w:szCs w:val="10"/>
                <w:lang w:val="fr-BE"/>
              </w:rPr>
              <w:t>0,00</w:t>
            </w:r>
          </w:p>
        </w:tc>
      </w:tr>
      <w:tr w:rsidR="006B2EC1" w14:paraId="56BBAAD0" w14:textId="77777777" w:rsidTr="0047688D">
        <w:tc>
          <w:tcPr>
            <w:tcW w:w="0" w:type="auto"/>
            <w:shd w:val="clear" w:color="auto" w:fill="auto"/>
          </w:tcPr>
          <w:p w14:paraId="6A54B5ED" w14:textId="77777777" w:rsidR="008C5CFA" w:rsidRPr="001C4484" w:rsidRDefault="00E82A60" w:rsidP="00300A01">
            <w:pPr>
              <w:spacing w:before="0" w:after="0"/>
              <w:rPr>
                <w:sz w:val="10"/>
                <w:szCs w:val="10"/>
                <w:lang w:val="fr-BE"/>
              </w:rPr>
            </w:pPr>
            <w:r w:rsidRPr="001C4484">
              <w:rPr>
                <w:noProof/>
                <w:sz w:val="10"/>
                <w:szCs w:val="10"/>
                <w:lang w:val="fr-BE"/>
              </w:rPr>
              <w:t>CO17</w:t>
            </w:r>
          </w:p>
        </w:tc>
        <w:tc>
          <w:tcPr>
            <w:tcW w:w="0" w:type="auto"/>
            <w:shd w:val="clear" w:color="auto" w:fill="auto"/>
          </w:tcPr>
          <w:p w14:paraId="4ED42B26" w14:textId="77777777" w:rsidR="008C5CFA" w:rsidRPr="001C4484" w:rsidRDefault="00E82A60" w:rsidP="00300A01">
            <w:pPr>
              <w:spacing w:before="0" w:after="0"/>
              <w:rPr>
                <w:sz w:val="10"/>
                <w:szCs w:val="10"/>
                <w:lang w:val="fr-BE"/>
              </w:rPr>
            </w:pPr>
            <w:r w:rsidRPr="001C4484">
              <w:rPr>
                <w:noProof/>
                <w:sz w:val="10"/>
                <w:szCs w:val="10"/>
                <w:lang w:val="fr-BE"/>
              </w:rPr>
              <w:t>inne osoby w niekorzystnej sytuacji społecznej</w:t>
            </w:r>
          </w:p>
        </w:tc>
        <w:tc>
          <w:tcPr>
            <w:tcW w:w="0" w:type="auto"/>
            <w:shd w:val="clear" w:color="auto" w:fill="auto"/>
          </w:tcPr>
          <w:p w14:paraId="3C8839C8"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511D737D"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71E46756"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625D41C8" w14:textId="77777777" w:rsidR="008C5CFA" w:rsidRPr="001C4484" w:rsidRDefault="00E82A60" w:rsidP="00300A01">
            <w:pPr>
              <w:spacing w:before="0" w:after="0"/>
              <w:jc w:val="right"/>
              <w:rPr>
                <w:sz w:val="10"/>
                <w:szCs w:val="10"/>
                <w:lang w:val="fr-BE"/>
              </w:rPr>
            </w:pPr>
            <w:r w:rsidRPr="001C4484">
              <w:rPr>
                <w:noProof/>
                <w:sz w:val="10"/>
                <w:szCs w:val="10"/>
              </w:rPr>
              <w:t>0,00</w:t>
            </w:r>
          </w:p>
        </w:tc>
        <w:tc>
          <w:tcPr>
            <w:tcW w:w="0" w:type="auto"/>
          </w:tcPr>
          <w:p w14:paraId="2EB17318"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68992699"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566AB557" w14:textId="77777777" w:rsidR="008C5CFA" w:rsidRPr="001C4484" w:rsidRDefault="00E82A60" w:rsidP="00300A01">
            <w:pPr>
              <w:spacing w:before="0" w:after="0"/>
              <w:jc w:val="right"/>
              <w:rPr>
                <w:sz w:val="10"/>
                <w:szCs w:val="10"/>
                <w:lang w:val="fr-BE"/>
              </w:rPr>
            </w:pPr>
            <w:r w:rsidRPr="001C4484">
              <w:rPr>
                <w:noProof/>
                <w:sz w:val="10"/>
                <w:szCs w:val="10"/>
                <w:lang w:val="fr-BE"/>
              </w:rPr>
              <w:t>0,00</w:t>
            </w:r>
          </w:p>
        </w:tc>
      </w:tr>
      <w:tr w:rsidR="006B2EC1" w14:paraId="43A29B44" w14:textId="77777777" w:rsidTr="0047688D">
        <w:tc>
          <w:tcPr>
            <w:tcW w:w="0" w:type="auto"/>
            <w:shd w:val="clear" w:color="auto" w:fill="auto"/>
          </w:tcPr>
          <w:p w14:paraId="7894D017" w14:textId="77777777" w:rsidR="008C5CFA" w:rsidRPr="001C4484" w:rsidRDefault="00E82A60" w:rsidP="00300A01">
            <w:pPr>
              <w:spacing w:before="0" w:after="0"/>
              <w:rPr>
                <w:sz w:val="10"/>
                <w:szCs w:val="10"/>
                <w:lang w:val="fr-BE"/>
              </w:rPr>
            </w:pPr>
            <w:r w:rsidRPr="001C4484">
              <w:rPr>
                <w:noProof/>
                <w:sz w:val="10"/>
                <w:szCs w:val="10"/>
                <w:lang w:val="fr-BE"/>
              </w:rPr>
              <w:t>CO18</w:t>
            </w:r>
          </w:p>
        </w:tc>
        <w:tc>
          <w:tcPr>
            <w:tcW w:w="0" w:type="auto"/>
            <w:shd w:val="clear" w:color="auto" w:fill="auto"/>
          </w:tcPr>
          <w:p w14:paraId="7FFFFD16" w14:textId="77777777" w:rsidR="008C5CFA" w:rsidRPr="001C4484" w:rsidRDefault="00E82A60" w:rsidP="00300A01">
            <w:pPr>
              <w:spacing w:before="0" w:after="0"/>
              <w:rPr>
                <w:sz w:val="10"/>
                <w:szCs w:val="10"/>
                <w:lang w:val="fr-BE"/>
              </w:rPr>
            </w:pPr>
            <w:r w:rsidRPr="001C4484">
              <w:rPr>
                <w:noProof/>
                <w:sz w:val="10"/>
                <w:szCs w:val="10"/>
                <w:lang w:val="fr-BE"/>
              </w:rPr>
              <w:t>osoby bezdomne lub dotknięte wykluczeniem z dostępu do mieszkań</w:t>
            </w:r>
          </w:p>
        </w:tc>
        <w:tc>
          <w:tcPr>
            <w:tcW w:w="0" w:type="auto"/>
            <w:shd w:val="clear" w:color="auto" w:fill="auto"/>
          </w:tcPr>
          <w:p w14:paraId="1A9D2337"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195CAFF4"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13D6D53F"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33BF8ECE" w14:textId="77777777" w:rsidR="008C5CFA" w:rsidRPr="001C4484" w:rsidRDefault="00E82A60" w:rsidP="00300A01">
            <w:pPr>
              <w:spacing w:before="0" w:after="0"/>
              <w:jc w:val="right"/>
              <w:rPr>
                <w:sz w:val="10"/>
                <w:szCs w:val="10"/>
                <w:lang w:val="fr-BE"/>
              </w:rPr>
            </w:pPr>
            <w:r w:rsidRPr="001C4484">
              <w:rPr>
                <w:noProof/>
                <w:sz w:val="10"/>
                <w:szCs w:val="10"/>
              </w:rPr>
              <w:t>0,00</w:t>
            </w:r>
          </w:p>
        </w:tc>
        <w:tc>
          <w:tcPr>
            <w:tcW w:w="0" w:type="auto"/>
          </w:tcPr>
          <w:p w14:paraId="56D64229"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74B50A1D"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6051F7F7" w14:textId="77777777" w:rsidR="008C5CFA" w:rsidRPr="001C4484" w:rsidRDefault="00E82A60" w:rsidP="00300A01">
            <w:pPr>
              <w:spacing w:before="0" w:after="0"/>
              <w:jc w:val="right"/>
              <w:rPr>
                <w:sz w:val="10"/>
                <w:szCs w:val="10"/>
                <w:lang w:val="fr-BE"/>
              </w:rPr>
            </w:pPr>
            <w:r w:rsidRPr="001C4484">
              <w:rPr>
                <w:noProof/>
                <w:sz w:val="10"/>
                <w:szCs w:val="10"/>
                <w:lang w:val="fr-BE"/>
              </w:rPr>
              <w:t>0,00</w:t>
            </w:r>
          </w:p>
        </w:tc>
      </w:tr>
      <w:tr w:rsidR="006B2EC1" w14:paraId="690EF8F0" w14:textId="77777777" w:rsidTr="0047688D">
        <w:tc>
          <w:tcPr>
            <w:tcW w:w="0" w:type="auto"/>
            <w:shd w:val="clear" w:color="auto" w:fill="auto"/>
          </w:tcPr>
          <w:p w14:paraId="502B660E" w14:textId="77777777" w:rsidR="008C5CFA" w:rsidRPr="001C4484" w:rsidRDefault="00E82A60" w:rsidP="00300A01">
            <w:pPr>
              <w:spacing w:before="0" w:after="0"/>
              <w:rPr>
                <w:sz w:val="10"/>
                <w:szCs w:val="10"/>
                <w:lang w:val="fr-BE"/>
              </w:rPr>
            </w:pPr>
            <w:r w:rsidRPr="001C4484">
              <w:rPr>
                <w:noProof/>
                <w:sz w:val="10"/>
                <w:szCs w:val="10"/>
                <w:lang w:val="fr-BE"/>
              </w:rPr>
              <w:t>CO19</w:t>
            </w:r>
          </w:p>
        </w:tc>
        <w:tc>
          <w:tcPr>
            <w:tcW w:w="0" w:type="auto"/>
            <w:shd w:val="clear" w:color="auto" w:fill="auto"/>
          </w:tcPr>
          <w:p w14:paraId="2BF70592" w14:textId="77777777" w:rsidR="008C5CFA" w:rsidRPr="001C4484" w:rsidRDefault="00E82A60" w:rsidP="00300A01">
            <w:pPr>
              <w:spacing w:before="0" w:after="0"/>
              <w:rPr>
                <w:sz w:val="10"/>
                <w:szCs w:val="10"/>
                <w:lang w:val="fr-BE"/>
              </w:rPr>
            </w:pPr>
            <w:r w:rsidRPr="001C4484">
              <w:rPr>
                <w:noProof/>
                <w:sz w:val="10"/>
                <w:szCs w:val="10"/>
                <w:lang w:val="fr-BE"/>
              </w:rPr>
              <w:t>osoby pochodzące z obszarów wiejskich</w:t>
            </w:r>
          </w:p>
        </w:tc>
        <w:tc>
          <w:tcPr>
            <w:tcW w:w="0" w:type="auto"/>
            <w:shd w:val="clear" w:color="auto" w:fill="auto"/>
          </w:tcPr>
          <w:p w14:paraId="3E9D8DC0"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3D53E52D"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568BD4CD"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4D6F9410" w14:textId="77777777" w:rsidR="008C5CFA" w:rsidRPr="001C4484" w:rsidRDefault="00E82A60" w:rsidP="00300A01">
            <w:pPr>
              <w:spacing w:before="0" w:after="0"/>
              <w:jc w:val="right"/>
              <w:rPr>
                <w:sz w:val="10"/>
                <w:szCs w:val="10"/>
                <w:lang w:val="fr-BE"/>
              </w:rPr>
            </w:pPr>
            <w:r w:rsidRPr="001C4484">
              <w:rPr>
                <w:noProof/>
                <w:sz w:val="10"/>
                <w:szCs w:val="10"/>
              </w:rPr>
              <w:t>0,00</w:t>
            </w:r>
          </w:p>
        </w:tc>
        <w:tc>
          <w:tcPr>
            <w:tcW w:w="0" w:type="auto"/>
          </w:tcPr>
          <w:p w14:paraId="4C90109D"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4DDA38F7"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47C84514" w14:textId="77777777" w:rsidR="008C5CFA" w:rsidRPr="001C4484" w:rsidRDefault="00E82A60" w:rsidP="00300A01">
            <w:pPr>
              <w:spacing w:before="0" w:after="0"/>
              <w:jc w:val="right"/>
              <w:rPr>
                <w:sz w:val="10"/>
                <w:szCs w:val="10"/>
                <w:lang w:val="fr-BE"/>
              </w:rPr>
            </w:pPr>
            <w:r w:rsidRPr="001C4484">
              <w:rPr>
                <w:noProof/>
                <w:sz w:val="10"/>
                <w:szCs w:val="10"/>
                <w:lang w:val="fr-BE"/>
              </w:rPr>
              <w:t>0,00</w:t>
            </w:r>
          </w:p>
        </w:tc>
      </w:tr>
      <w:tr w:rsidR="006B2EC1" w14:paraId="05C7750E" w14:textId="77777777" w:rsidTr="0047688D">
        <w:tc>
          <w:tcPr>
            <w:tcW w:w="0" w:type="auto"/>
            <w:shd w:val="clear" w:color="auto" w:fill="auto"/>
          </w:tcPr>
          <w:p w14:paraId="7E7105DF" w14:textId="77777777" w:rsidR="008C5CFA" w:rsidRPr="001C4484" w:rsidRDefault="00E82A60" w:rsidP="00300A01">
            <w:pPr>
              <w:spacing w:before="0" w:after="0"/>
              <w:rPr>
                <w:sz w:val="10"/>
                <w:szCs w:val="10"/>
                <w:lang w:val="fr-BE"/>
              </w:rPr>
            </w:pPr>
            <w:r w:rsidRPr="001C4484">
              <w:rPr>
                <w:noProof/>
                <w:sz w:val="10"/>
                <w:szCs w:val="10"/>
                <w:lang w:val="fr-BE"/>
              </w:rPr>
              <w:t>CO20</w:t>
            </w:r>
          </w:p>
        </w:tc>
        <w:tc>
          <w:tcPr>
            <w:tcW w:w="0" w:type="auto"/>
            <w:shd w:val="clear" w:color="auto" w:fill="auto"/>
          </w:tcPr>
          <w:p w14:paraId="50FB316C" w14:textId="77777777" w:rsidR="008C5CFA" w:rsidRPr="001C4484" w:rsidRDefault="00E82A60" w:rsidP="00300A01">
            <w:pPr>
              <w:spacing w:before="0" w:after="0"/>
              <w:rPr>
                <w:sz w:val="10"/>
                <w:szCs w:val="10"/>
                <w:lang w:val="fr-BE"/>
              </w:rPr>
            </w:pPr>
            <w:r w:rsidRPr="001C4484">
              <w:rPr>
                <w:noProof/>
                <w:sz w:val="10"/>
                <w:szCs w:val="10"/>
                <w:lang w:val="fr-BE"/>
              </w:rPr>
              <w:t>liczba projektów zrealizowanych w pełni lub częściowo przez partnerów społecznych lub organizacje pozarządowe</w:t>
            </w:r>
          </w:p>
        </w:tc>
        <w:tc>
          <w:tcPr>
            <w:tcW w:w="0" w:type="auto"/>
            <w:shd w:val="clear" w:color="auto" w:fill="auto"/>
          </w:tcPr>
          <w:p w14:paraId="4FA3EE59"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5EFBBEAC"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7ACEAD5D" w14:textId="77777777" w:rsidR="008C5CFA" w:rsidRPr="001C4484" w:rsidRDefault="008C5CFA" w:rsidP="00300A01">
            <w:pPr>
              <w:spacing w:before="0" w:after="0"/>
              <w:jc w:val="right"/>
              <w:rPr>
                <w:sz w:val="10"/>
                <w:szCs w:val="10"/>
              </w:rPr>
            </w:pPr>
          </w:p>
        </w:tc>
        <w:tc>
          <w:tcPr>
            <w:tcW w:w="0" w:type="auto"/>
            <w:shd w:val="clear" w:color="auto" w:fill="auto"/>
          </w:tcPr>
          <w:p w14:paraId="65DDC3AA" w14:textId="77777777" w:rsidR="008C5CFA" w:rsidRPr="001C4484" w:rsidRDefault="008C5CFA" w:rsidP="00300A01">
            <w:pPr>
              <w:spacing w:before="0" w:after="0"/>
              <w:jc w:val="right"/>
              <w:rPr>
                <w:sz w:val="10"/>
                <w:szCs w:val="10"/>
                <w:lang w:val="fr-BE"/>
              </w:rPr>
            </w:pPr>
          </w:p>
        </w:tc>
        <w:tc>
          <w:tcPr>
            <w:tcW w:w="0" w:type="auto"/>
          </w:tcPr>
          <w:p w14:paraId="07A84CC5"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5E95C648" w14:textId="77777777" w:rsidR="008C5CFA" w:rsidRPr="001C4484" w:rsidRDefault="008C5CFA" w:rsidP="00300A01">
            <w:pPr>
              <w:spacing w:before="0" w:after="0"/>
              <w:jc w:val="right"/>
              <w:rPr>
                <w:sz w:val="10"/>
                <w:szCs w:val="10"/>
              </w:rPr>
            </w:pPr>
          </w:p>
        </w:tc>
        <w:tc>
          <w:tcPr>
            <w:tcW w:w="0" w:type="auto"/>
            <w:shd w:val="clear" w:color="auto" w:fill="auto"/>
          </w:tcPr>
          <w:p w14:paraId="32E49225" w14:textId="77777777" w:rsidR="008C5CFA" w:rsidRPr="001C4484" w:rsidRDefault="008C5CFA" w:rsidP="00300A01">
            <w:pPr>
              <w:spacing w:before="0" w:after="0"/>
              <w:jc w:val="right"/>
              <w:rPr>
                <w:sz w:val="10"/>
                <w:szCs w:val="10"/>
                <w:lang w:val="fr-BE"/>
              </w:rPr>
            </w:pPr>
          </w:p>
        </w:tc>
      </w:tr>
      <w:tr w:rsidR="006B2EC1" w14:paraId="4D8976BB" w14:textId="77777777" w:rsidTr="0047688D">
        <w:tc>
          <w:tcPr>
            <w:tcW w:w="0" w:type="auto"/>
            <w:shd w:val="clear" w:color="auto" w:fill="auto"/>
          </w:tcPr>
          <w:p w14:paraId="4FE244DF" w14:textId="77777777" w:rsidR="008C5CFA" w:rsidRPr="001C4484" w:rsidRDefault="00E82A60" w:rsidP="00300A01">
            <w:pPr>
              <w:spacing w:before="0" w:after="0"/>
              <w:rPr>
                <w:sz w:val="10"/>
                <w:szCs w:val="10"/>
                <w:lang w:val="fr-BE"/>
              </w:rPr>
            </w:pPr>
            <w:r w:rsidRPr="001C4484">
              <w:rPr>
                <w:noProof/>
                <w:sz w:val="10"/>
                <w:szCs w:val="10"/>
                <w:lang w:val="fr-BE"/>
              </w:rPr>
              <w:t>CO21</w:t>
            </w:r>
          </w:p>
        </w:tc>
        <w:tc>
          <w:tcPr>
            <w:tcW w:w="0" w:type="auto"/>
            <w:shd w:val="clear" w:color="auto" w:fill="auto"/>
          </w:tcPr>
          <w:p w14:paraId="3678EDFD" w14:textId="77777777" w:rsidR="008C5CFA" w:rsidRPr="001C4484" w:rsidRDefault="00E82A60" w:rsidP="00300A01">
            <w:pPr>
              <w:spacing w:before="0" w:after="0"/>
              <w:rPr>
                <w:sz w:val="10"/>
                <w:szCs w:val="10"/>
                <w:lang w:val="fr-BE"/>
              </w:rPr>
            </w:pPr>
            <w:r w:rsidRPr="001C4484">
              <w:rPr>
                <w:noProof/>
                <w:sz w:val="10"/>
                <w:szCs w:val="10"/>
                <w:lang w:val="fr-BE"/>
              </w:rPr>
              <w:t>liczba projektów ukierunkowanych na trwały udział kobiet w zatrudnieniu i rozwój ich kariery zawodowej</w:t>
            </w:r>
          </w:p>
        </w:tc>
        <w:tc>
          <w:tcPr>
            <w:tcW w:w="0" w:type="auto"/>
            <w:shd w:val="clear" w:color="auto" w:fill="auto"/>
          </w:tcPr>
          <w:p w14:paraId="584EC79E"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614CE7E4"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5E68FA75" w14:textId="77777777" w:rsidR="008C5CFA" w:rsidRPr="001C4484" w:rsidRDefault="008C5CFA" w:rsidP="00300A01">
            <w:pPr>
              <w:spacing w:before="0" w:after="0"/>
              <w:jc w:val="right"/>
              <w:rPr>
                <w:sz w:val="10"/>
                <w:szCs w:val="10"/>
              </w:rPr>
            </w:pPr>
          </w:p>
        </w:tc>
        <w:tc>
          <w:tcPr>
            <w:tcW w:w="0" w:type="auto"/>
            <w:shd w:val="clear" w:color="auto" w:fill="auto"/>
          </w:tcPr>
          <w:p w14:paraId="7C5D322B" w14:textId="77777777" w:rsidR="008C5CFA" w:rsidRPr="001C4484" w:rsidRDefault="008C5CFA" w:rsidP="00300A01">
            <w:pPr>
              <w:spacing w:before="0" w:after="0"/>
              <w:jc w:val="right"/>
              <w:rPr>
                <w:sz w:val="10"/>
                <w:szCs w:val="10"/>
                <w:lang w:val="fr-BE"/>
              </w:rPr>
            </w:pPr>
          </w:p>
        </w:tc>
        <w:tc>
          <w:tcPr>
            <w:tcW w:w="0" w:type="auto"/>
          </w:tcPr>
          <w:p w14:paraId="1E5A8965"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12559F37" w14:textId="77777777" w:rsidR="008C5CFA" w:rsidRPr="001C4484" w:rsidRDefault="008C5CFA" w:rsidP="00300A01">
            <w:pPr>
              <w:spacing w:before="0" w:after="0"/>
              <w:jc w:val="right"/>
              <w:rPr>
                <w:sz w:val="10"/>
                <w:szCs w:val="10"/>
              </w:rPr>
            </w:pPr>
          </w:p>
        </w:tc>
        <w:tc>
          <w:tcPr>
            <w:tcW w:w="0" w:type="auto"/>
            <w:shd w:val="clear" w:color="auto" w:fill="auto"/>
          </w:tcPr>
          <w:p w14:paraId="79C9CB4E" w14:textId="77777777" w:rsidR="008C5CFA" w:rsidRPr="001C4484" w:rsidRDefault="008C5CFA" w:rsidP="00300A01">
            <w:pPr>
              <w:spacing w:before="0" w:after="0"/>
              <w:jc w:val="right"/>
              <w:rPr>
                <w:sz w:val="10"/>
                <w:szCs w:val="10"/>
                <w:lang w:val="fr-BE"/>
              </w:rPr>
            </w:pPr>
          </w:p>
        </w:tc>
      </w:tr>
      <w:tr w:rsidR="006B2EC1" w14:paraId="5103F5A8" w14:textId="77777777" w:rsidTr="0047688D">
        <w:tc>
          <w:tcPr>
            <w:tcW w:w="0" w:type="auto"/>
            <w:shd w:val="clear" w:color="auto" w:fill="auto"/>
          </w:tcPr>
          <w:p w14:paraId="2D9CC677" w14:textId="77777777" w:rsidR="008C5CFA" w:rsidRPr="001C4484" w:rsidRDefault="00E82A60" w:rsidP="00300A01">
            <w:pPr>
              <w:spacing w:before="0" w:after="0"/>
              <w:rPr>
                <w:sz w:val="10"/>
                <w:szCs w:val="10"/>
                <w:lang w:val="fr-BE"/>
              </w:rPr>
            </w:pPr>
            <w:r w:rsidRPr="001C4484">
              <w:rPr>
                <w:noProof/>
                <w:sz w:val="10"/>
                <w:szCs w:val="10"/>
                <w:lang w:val="fr-BE"/>
              </w:rPr>
              <w:t>CO22</w:t>
            </w:r>
          </w:p>
        </w:tc>
        <w:tc>
          <w:tcPr>
            <w:tcW w:w="0" w:type="auto"/>
            <w:shd w:val="clear" w:color="auto" w:fill="auto"/>
          </w:tcPr>
          <w:p w14:paraId="72769799" w14:textId="77777777" w:rsidR="008C5CFA" w:rsidRPr="001C4484" w:rsidRDefault="00E82A60" w:rsidP="00300A01">
            <w:pPr>
              <w:spacing w:before="0" w:after="0"/>
              <w:rPr>
                <w:sz w:val="10"/>
                <w:szCs w:val="10"/>
                <w:lang w:val="fr-BE"/>
              </w:rPr>
            </w:pPr>
            <w:r w:rsidRPr="001C4484">
              <w:rPr>
                <w:noProof/>
                <w:sz w:val="10"/>
                <w:szCs w:val="10"/>
                <w:lang w:val="fr-BE"/>
              </w:rPr>
              <w:t>liczba projektów obejmujących administrację publiczną lub służby publiczne na szczeblu krajowym, regionalnym lub lokalnym</w:t>
            </w:r>
          </w:p>
        </w:tc>
        <w:tc>
          <w:tcPr>
            <w:tcW w:w="0" w:type="auto"/>
            <w:shd w:val="clear" w:color="auto" w:fill="auto"/>
          </w:tcPr>
          <w:p w14:paraId="4AA2B6A7"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5F45F810"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1A4A5E06" w14:textId="77777777" w:rsidR="008C5CFA" w:rsidRPr="001C4484" w:rsidRDefault="008C5CFA" w:rsidP="00300A01">
            <w:pPr>
              <w:spacing w:before="0" w:after="0"/>
              <w:jc w:val="right"/>
              <w:rPr>
                <w:sz w:val="10"/>
                <w:szCs w:val="10"/>
              </w:rPr>
            </w:pPr>
          </w:p>
        </w:tc>
        <w:tc>
          <w:tcPr>
            <w:tcW w:w="0" w:type="auto"/>
            <w:shd w:val="clear" w:color="auto" w:fill="auto"/>
          </w:tcPr>
          <w:p w14:paraId="3205C859" w14:textId="77777777" w:rsidR="008C5CFA" w:rsidRPr="001C4484" w:rsidRDefault="008C5CFA" w:rsidP="00300A01">
            <w:pPr>
              <w:spacing w:before="0" w:after="0"/>
              <w:jc w:val="right"/>
              <w:rPr>
                <w:sz w:val="10"/>
                <w:szCs w:val="10"/>
                <w:lang w:val="fr-BE"/>
              </w:rPr>
            </w:pPr>
          </w:p>
        </w:tc>
        <w:tc>
          <w:tcPr>
            <w:tcW w:w="0" w:type="auto"/>
          </w:tcPr>
          <w:p w14:paraId="22E3D2B4"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19170B1A" w14:textId="77777777" w:rsidR="008C5CFA" w:rsidRPr="001C4484" w:rsidRDefault="008C5CFA" w:rsidP="00300A01">
            <w:pPr>
              <w:spacing w:before="0" w:after="0"/>
              <w:jc w:val="right"/>
              <w:rPr>
                <w:sz w:val="10"/>
                <w:szCs w:val="10"/>
              </w:rPr>
            </w:pPr>
          </w:p>
        </w:tc>
        <w:tc>
          <w:tcPr>
            <w:tcW w:w="0" w:type="auto"/>
            <w:shd w:val="clear" w:color="auto" w:fill="auto"/>
          </w:tcPr>
          <w:p w14:paraId="24119168" w14:textId="77777777" w:rsidR="008C5CFA" w:rsidRPr="001C4484" w:rsidRDefault="008C5CFA" w:rsidP="00300A01">
            <w:pPr>
              <w:spacing w:before="0" w:after="0"/>
              <w:jc w:val="right"/>
              <w:rPr>
                <w:sz w:val="10"/>
                <w:szCs w:val="10"/>
                <w:lang w:val="fr-BE"/>
              </w:rPr>
            </w:pPr>
          </w:p>
        </w:tc>
      </w:tr>
      <w:tr w:rsidR="006B2EC1" w14:paraId="3C45E228" w14:textId="77777777" w:rsidTr="0047688D">
        <w:tc>
          <w:tcPr>
            <w:tcW w:w="0" w:type="auto"/>
            <w:shd w:val="clear" w:color="auto" w:fill="auto"/>
          </w:tcPr>
          <w:p w14:paraId="1FF414AF" w14:textId="77777777" w:rsidR="008C5CFA" w:rsidRPr="001C4484" w:rsidRDefault="00E82A60" w:rsidP="00300A01">
            <w:pPr>
              <w:spacing w:before="0" w:after="0"/>
              <w:rPr>
                <w:sz w:val="10"/>
                <w:szCs w:val="10"/>
                <w:lang w:val="fr-BE"/>
              </w:rPr>
            </w:pPr>
            <w:r w:rsidRPr="001C4484">
              <w:rPr>
                <w:noProof/>
                <w:sz w:val="10"/>
                <w:szCs w:val="10"/>
                <w:lang w:val="fr-BE"/>
              </w:rPr>
              <w:t>CO23</w:t>
            </w:r>
          </w:p>
        </w:tc>
        <w:tc>
          <w:tcPr>
            <w:tcW w:w="0" w:type="auto"/>
            <w:shd w:val="clear" w:color="auto" w:fill="auto"/>
          </w:tcPr>
          <w:p w14:paraId="71CA5191" w14:textId="77777777" w:rsidR="008C5CFA" w:rsidRPr="001C4484" w:rsidRDefault="00E82A60" w:rsidP="00300A01">
            <w:pPr>
              <w:spacing w:before="0" w:after="0"/>
              <w:rPr>
                <w:sz w:val="10"/>
                <w:szCs w:val="10"/>
                <w:lang w:val="fr-BE"/>
              </w:rPr>
            </w:pPr>
            <w:r w:rsidRPr="001C4484">
              <w:rPr>
                <w:noProof/>
                <w:sz w:val="10"/>
                <w:szCs w:val="10"/>
                <w:lang w:val="fr-BE"/>
              </w:rPr>
              <w:t>liczba objętych wsparciem mikro-, małych i średnich przedsiębiorstw (w tym przedsiębiorstw spółdzielczych i przedsiębiorstw gospodarki społecznej)</w:t>
            </w:r>
          </w:p>
        </w:tc>
        <w:tc>
          <w:tcPr>
            <w:tcW w:w="0" w:type="auto"/>
            <w:shd w:val="clear" w:color="auto" w:fill="auto"/>
          </w:tcPr>
          <w:p w14:paraId="79A81944"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40DE2DA1"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268950EE" w14:textId="77777777" w:rsidR="008C5CFA" w:rsidRPr="001C4484" w:rsidRDefault="008C5CFA" w:rsidP="00300A01">
            <w:pPr>
              <w:spacing w:before="0" w:after="0"/>
              <w:jc w:val="right"/>
              <w:rPr>
                <w:sz w:val="10"/>
                <w:szCs w:val="10"/>
              </w:rPr>
            </w:pPr>
          </w:p>
        </w:tc>
        <w:tc>
          <w:tcPr>
            <w:tcW w:w="0" w:type="auto"/>
            <w:shd w:val="clear" w:color="auto" w:fill="auto"/>
          </w:tcPr>
          <w:p w14:paraId="7CF29353" w14:textId="77777777" w:rsidR="008C5CFA" w:rsidRPr="001C4484" w:rsidRDefault="008C5CFA" w:rsidP="00300A01">
            <w:pPr>
              <w:spacing w:before="0" w:after="0"/>
              <w:jc w:val="right"/>
              <w:rPr>
                <w:sz w:val="10"/>
                <w:szCs w:val="10"/>
                <w:lang w:val="fr-BE"/>
              </w:rPr>
            </w:pPr>
          </w:p>
        </w:tc>
        <w:tc>
          <w:tcPr>
            <w:tcW w:w="0" w:type="auto"/>
          </w:tcPr>
          <w:p w14:paraId="010AC154"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14A775D5" w14:textId="77777777" w:rsidR="008C5CFA" w:rsidRPr="001C4484" w:rsidRDefault="008C5CFA" w:rsidP="00300A01">
            <w:pPr>
              <w:spacing w:before="0" w:after="0"/>
              <w:jc w:val="right"/>
              <w:rPr>
                <w:sz w:val="10"/>
                <w:szCs w:val="10"/>
              </w:rPr>
            </w:pPr>
          </w:p>
        </w:tc>
        <w:tc>
          <w:tcPr>
            <w:tcW w:w="0" w:type="auto"/>
            <w:shd w:val="clear" w:color="auto" w:fill="auto"/>
          </w:tcPr>
          <w:p w14:paraId="77601656" w14:textId="77777777" w:rsidR="008C5CFA" w:rsidRPr="001C4484" w:rsidRDefault="008C5CFA" w:rsidP="00300A01">
            <w:pPr>
              <w:spacing w:before="0" w:after="0"/>
              <w:jc w:val="right"/>
              <w:rPr>
                <w:sz w:val="10"/>
                <w:szCs w:val="10"/>
                <w:lang w:val="fr-BE"/>
              </w:rPr>
            </w:pPr>
          </w:p>
        </w:tc>
      </w:tr>
      <w:tr w:rsidR="006B2EC1" w14:paraId="2E2D78DE" w14:textId="77777777" w:rsidTr="0047688D">
        <w:tc>
          <w:tcPr>
            <w:tcW w:w="0" w:type="auto"/>
            <w:shd w:val="clear" w:color="auto" w:fill="auto"/>
          </w:tcPr>
          <w:p w14:paraId="6001F2F8" w14:textId="77777777" w:rsidR="008C5CFA" w:rsidRPr="001C4484" w:rsidRDefault="008C5CFA" w:rsidP="00300A01">
            <w:pPr>
              <w:spacing w:before="0" w:after="0"/>
              <w:rPr>
                <w:sz w:val="10"/>
                <w:szCs w:val="10"/>
                <w:lang w:val="fr-BE"/>
              </w:rPr>
            </w:pPr>
          </w:p>
        </w:tc>
        <w:tc>
          <w:tcPr>
            <w:tcW w:w="0" w:type="auto"/>
            <w:shd w:val="clear" w:color="auto" w:fill="auto"/>
          </w:tcPr>
          <w:p w14:paraId="45D2F726" w14:textId="77777777" w:rsidR="008C5CFA" w:rsidRPr="001C4484" w:rsidRDefault="00E82A60" w:rsidP="00300A01">
            <w:pPr>
              <w:spacing w:before="0" w:after="0"/>
              <w:rPr>
                <w:sz w:val="10"/>
                <w:szCs w:val="10"/>
                <w:lang w:val="fr-BE"/>
              </w:rPr>
            </w:pPr>
            <w:r w:rsidRPr="001C4484">
              <w:rPr>
                <w:noProof/>
                <w:sz w:val="10"/>
                <w:szCs w:val="10"/>
                <w:lang w:val="fr-BE"/>
              </w:rPr>
              <w:t>Całkowita łączna liczba uczestników</w:t>
            </w:r>
          </w:p>
        </w:tc>
        <w:tc>
          <w:tcPr>
            <w:tcW w:w="0" w:type="auto"/>
            <w:shd w:val="clear" w:color="auto" w:fill="auto"/>
          </w:tcPr>
          <w:p w14:paraId="49604B97" w14:textId="77777777" w:rsidR="008C5CFA" w:rsidRPr="001C4484" w:rsidRDefault="008C5CFA" w:rsidP="00300A01">
            <w:pPr>
              <w:spacing w:before="0" w:after="0"/>
              <w:rPr>
                <w:sz w:val="10"/>
                <w:szCs w:val="10"/>
                <w:lang w:val="fr-BE"/>
              </w:rPr>
            </w:pPr>
          </w:p>
        </w:tc>
        <w:tc>
          <w:tcPr>
            <w:tcW w:w="0" w:type="auto"/>
          </w:tcPr>
          <w:p w14:paraId="0E40B115"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62D62235" w14:textId="77777777" w:rsidR="008C5CFA" w:rsidRPr="001C4484" w:rsidRDefault="008C5CFA" w:rsidP="00300A01">
            <w:pPr>
              <w:spacing w:before="0" w:after="0"/>
              <w:jc w:val="right"/>
              <w:rPr>
                <w:sz w:val="10"/>
                <w:szCs w:val="10"/>
              </w:rPr>
            </w:pPr>
          </w:p>
        </w:tc>
        <w:tc>
          <w:tcPr>
            <w:tcW w:w="0" w:type="auto"/>
            <w:shd w:val="clear" w:color="auto" w:fill="auto"/>
          </w:tcPr>
          <w:p w14:paraId="4BEB3234" w14:textId="77777777" w:rsidR="008C5CFA" w:rsidRPr="001C4484" w:rsidRDefault="008C5CFA" w:rsidP="00300A01">
            <w:pPr>
              <w:spacing w:before="0" w:after="0"/>
              <w:jc w:val="right"/>
              <w:rPr>
                <w:sz w:val="10"/>
                <w:szCs w:val="10"/>
                <w:lang w:val="fr-BE"/>
              </w:rPr>
            </w:pPr>
          </w:p>
        </w:tc>
        <w:tc>
          <w:tcPr>
            <w:tcW w:w="0" w:type="auto"/>
          </w:tcPr>
          <w:p w14:paraId="18F1E4C3"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12E1C796" w14:textId="77777777" w:rsidR="008C5CFA" w:rsidRPr="001C4484" w:rsidRDefault="008C5CFA" w:rsidP="00300A01">
            <w:pPr>
              <w:spacing w:before="0" w:after="0"/>
              <w:jc w:val="right"/>
              <w:rPr>
                <w:sz w:val="10"/>
                <w:szCs w:val="10"/>
              </w:rPr>
            </w:pPr>
          </w:p>
        </w:tc>
        <w:tc>
          <w:tcPr>
            <w:tcW w:w="0" w:type="auto"/>
            <w:shd w:val="clear" w:color="auto" w:fill="auto"/>
          </w:tcPr>
          <w:p w14:paraId="7AB2888D" w14:textId="77777777" w:rsidR="008C5CFA" w:rsidRPr="001C4484" w:rsidRDefault="008C5CFA" w:rsidP="00300A01">
            <w:pPr>
              <w:spacing w:before="0" w:after="0"/>
              <w:jc w:val="right"/>
              <w:rPr>
                <w:sz w:val="10"/>
                <w:szCs w:val="10"/>
                <w:lang w:val="fr-BE"/>
              </w:rPr>
            </w:pPr>
          </w:p>
        </w:tc>
      </w:tr>
    </w:tbl>
    <w:p w14:paraId="2182A901" w14:textId="77777777" w:rsidR="008C5CFA" w:rsidRDefault="00E82A60" w:rsidP="00300A01">
      <w:pPr>
        <w:spacing w:before="0" w:after="0"/>
        <w:rPr>
          <w:lang w:val="fr-BE"/>
        </w:rPr>
      </w:pPr>
      <w:r>
        <w:rPr>
          <w:lang w:val="fr-BE"/>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13533"/>
      </w:tblGrid>
      <w:tr w:rsidR="006B2EC1" w14:paraId="0FAB0F8C" w14:textId="77777777" w:rsidTr="0047688D">
        <w:tc>
          <w:tcPr>
            <w:tcW w:w="0" w:type="auto"/>
            <w:shd w:val="clear" w:color="auto" w:fill="auto"/>
          </w:tcPr>
          <w:p w14:paraId="2C9A425D" w14:textId="77777777" w:rsidR="008C5CFA" w:rsidRPr="002124FC" w:rsidRDefault="00E82A60" w:rsidP="00300A01">
            <w:pPr>
              <w:spacing w:before="0" w:after="0"/>
              <w:rPr>
                <w:sz w:val="20"/>
                <w:szCs w:val="20"/>
                <w:lang w:val="fr-BE"/>
              </w:rPr>
            </w:pPr>
            <w:r>
              <w:rPr>
                <w:lang w:val="fr-BE"/>
              </w:rPr>
              <w:lastRenderedPageBreak/>
              <w:br w:type="page"/>
            </w:r>
            <w:r>
              <w:rPr>
                <w:lang w:val="fr-BE"/>
              </w:rPr>
              <w:br w:type="page"/>
            </w:r>
            <w:r w:rsidRPr="002124FC">
              <w:rPr>
                <w:noProof/>
                <w:sz w:val="20"/>
                <w:szCs w:val="20"/>
                <w:lang w:val="fr-BE"/>
              </w:rPr>
              <w:t>Oś priorytetowa</w:t>
            </w:r>
          </w:p>
        </w:tc>
        <w:tc>
          <w:tcPr>
            <w:tcW w:w="0" w:type="auto"/>
            <w:shd w:val="clear" w:color="auto" w:fill="auto"/>
          </w:tcPr>
          <w:p w14:paraId="34F0A9B3" w14:textId="77777777" w:rsidR="008C5CFA" w:rsidRPr="002124FC" w:rsidRDefault="00E82A60" w:rsidP="00300A01">
            <w:pPr>
              <w:spacing w:before="0" w:after="0"/>
              <w:rPr>
                <w:sz w:val="20"/>
                <w:szCs w:val="20"/>
                <w:lang w:val="fr-BE"/>
              </w:rPr>
            </w:pPr>
            <w:r w:rsidRPr="002124FC">
              <w:rPr>
                <w:noProof/>
                <w:sz w:val="20"/>
                <w:szCs w:val="20"/>
                <w:lang w:val="fr-BE"/>
              </w:rPr>
              <w:t>8</w:t>
            </w:r>
            <w:r w:rsidRPr="002124FC">
              <w:rPr>
                <w:sz w:val="20"/>
                <w:szCs w:val="20"/>
                <w:lang w:val="fr-BE"/>
              </w:rPr>
              <w:t xml:space="preserve"> - </w:t>
            </w:r>
            <w:r w:rsidRPr="002124FC">
              <w:rPr>
                <w:noProof/>
                <w:sz w:val="20"/>
                <w:szCs w:val="20"/>
                <w:lang w:val="fr-BE"/>
              </w:rPr>
              <w:t>Rozwój edukacji i aktywne społeczeństwo</w:t>
            </w:r>
          </w:p>
        </w:tc>
      </w:tr>
      <w:tr w:rsidR="006B2EC1" w14:paraId="06364EA7" w14:textId="77777777" w:rsidTr="0047688D">
        <w:tc>
          <w:tcPr>
            <w:tcW w:w="0" w:type="auto"/>
            <w:shd w:val="clear" w:color="auto" w:fill="auto"/>
          </w:tcPr>
          <w:p w14:paraId="30802755" w14:textId="77777777" w:rsidR="008C5CFA" w:rsidRPr="002124FC" w:rsidRDefault="00E82A60"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14:paraId="3F71A791" w14:textId="77777777" w:rsidR="008C5CFA" w:rsidRPr="002124FC" w:rsidRDefault="00E82A60" w:rsidP="00300A01">
            <w:pPr>
              <w:spacing w:before="0" w:after="0"/>
              <w:rPr>
                <w:sz w:val="20"/>
                <w:szCs w:val="20"/>
                <w:lang w:val="fr-BE"/>
              </w:rPr>
            </w:pPr>
            <w:r w:rsidRPr="002124FC">
              <w:rPr>
                <w:noProof/>
                <w:sz w:val="20"/>
                <w:szCs w:val="20"/>
                <w:lang w:val="fr-BE"/>
              </w:rPr>
              <w:t>10iv</w:t>
            </w:r>
            <w:r w:rsidRPr="002124FC">
              <w:rPr>
                <w:sz w:val="20"/>
                <w:szCs w:val="20"/>
                <w:lang w:val="fr-BE"/>
              </w:rPr>
              <w:t xml:space="preserve"> - </w:t>
            </w:r>
            <w:r w:rsidRPr="002124FC">
              <w:rPr>
                <w:noProof/>
                <w:sz w:val="20"/>
                <w:szCs w:val="20"/>
                <w:lang w:val="fr-BE"/>
              </w:rPr>
              <w:t>Lepsze dostosowanie systemów kształcenia i szkolenia do potrzeb rynku pracy, ułatwianie przechodzenia z etapu kształcenia do etapu zatrudnienia oraz wzmacnianie systemów kształcenia i szkolenia zawodowego i ich jakości, w tym poprzez mechanizmy prognozowania umiejętności, dostosowania programów nauczania oraz tworzenia i rozwoju systemów uczenia się poprzez praktyczną naukę zawodu realizowaną w ścisłej współpracy z pracodawcami</w:t>
            </w:r>
          </w:p>
        </w:tc>
      </w:tr>
    </w:tbl>
    <w:p w14:paraId="6C742280" w14:textId="77777777" w:rsidR="008C5CFA" w:rsidRDefault="008C5CFA" w:rsidP="00300A01">
      <w:pPr>
        <w:spacing w:before="0" w:after="0"/>
      </w:pPr>
    </w:p>
    <w:p w14:paraId="3E5C6D6E" w14:textId="77777777" w:rsidR="008C5CFA" w:rsidRPr="008E457C" w:rsidRDefault="00E82A60" w:rsidP="00300A01">
      <w:pPr>
        <w:pStyle w:val="Nagwek2"/>
        <w:spacing w:before="0" w:after="0"/>
        <w:rPr>
          <w:b w:val="0"/>
        </w:rPr>
      </w:pPr>
      <w:bookmarkStart w:id="66" w:name="_Toc46391750"/>
      <w:r w:rsidRPr="008E457C">
        <w:rPr>
          <w:b w:val="0"/>
          <w:noProof/>
          <w:lang w:val="fr-BE"/>
        </w:rPr>
        <w:t>Tabela 4B Specyficzne dla programu wskaźniki produktu dla EFS oraz Inicjatywy na rzecz zatrudnienia ludzi młodych</w:t>
      </w:r>
      <w:r w:rsidR="009A51C8">
        <w:rPr>
          <w:b w:val="0"/>
        </w:rPr>
        <w:t xml:space="preserve"> - </w:t>
      </w:r>
      <w:r w:rsidR="009A51C8" w:rsidRPr="002124FC">
        <w:rPr>
          <w:noProof/>
          <w:sz w:val="20"/>
          <w:szCs w:val="20"/>
          <w:lang w:val="fr-BE"/>
        </w:rPr>
        <w:t>8</w:t>
      </w:r>
      <w:bookmarkEnd w:id="66"/>
    </w:p>
    <w:p w14:paraId="7ADEE235" w14:textId="77777777" w:rsidR="008C5CFA" w:rsidRDefault="008C5CFA" w:rsidP="00300A01">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87"/>
        <w:gridCol w:w="6544"/>
        <w:gridCol w:w="973"/>
        <w:gridCol w:w="900"/>
        <w:gridCol w:w="559"/>
        <w:gridCol w:w="613"/>
        <w:gridCol w:w="493"/>
        <w:gridCol w:w="505"/>
        <w:gridCol w:w="613"/>
        <w:gridCol w:w="493"/>
        <w:gridCol w:w="487"/>
        <w:gridCol w:w="613"/>
        <w:gridCol w:w="493"/>
        <w:gridCol w:w="505"/>
        <w:gridCol w:w="613"/>
        <w:gridCol w:w="493"/>
      </w:tblGrid>
      <w:tr w:rsidR="006B2EC1" w14:paraId="1A32E7C2" w14:textId="77777777" w:rsidTr="002A1502">
        <w:trPr>
          <w:tblHeader/>
        </w:trPr>
        <w:tc>
          <w:tcPr>
            <w:tcW w:w="0" w:type="auto"/>
            <w:shd w:val="clear" w:color="auto" w:fill="auto"/>
          </w:tcPr>
          <w:p w14:paraId="539915DF" w14:textId="77777777" w:rsidR="008C5CFA" w:rsidRPr="00A92B39" w:rsidRDefault="00E82A60" w:rsidP="00300A01">
            <w:pPr>
              <w:spacing w:before="0" w:after="0"/>
              <w:rPr>
                <w:b/>
                <w:sz w:val="10"/>
                <w:szCs w:val="10"/>
                <w:lang w:val="fr-BE"/>
              </w:rPr>
            </w:pPr>
            <w:r w:rsidRPr="00A92B39">
              <w:rPr>
                <w:b/>
                <w:noProof/>
                <w:sz w:val="10"/>
                <w:szCs w:val="10"/>
                <w:lang w:val="fr-BE"/>
              </w:rPr>
              <w:t>ID</w:t>
            </w:r>
          </w:p>
        </w:tc>
        <w:tc>
          <w:tcPr>
            <w:tcW w:w="0" w:type="auto"/>
            <w:shd w:val="clear" w:color="auto" w:fill="auto"/>
          </w:tcPr>
          <w:p w14:paraId="32E8E75A" w14:textId="77777777" w:rsidR="008C5CFA" w:rsidRPr="00A92B39" w:rsidRDefault="00E82A60" w:rsidP="00300A01">
            <w:pPr>
              <w:spacing w:before="0" w:after="0"/>
              <w:rPr>
                <w:b/>
                <w:sz w:val="10"/>
                <w:szCs w:val="10"/>
                <w:lang w:val="fr-BE"/>
              </w:rPr>
            </w:pPr>
            <w:r w:rsidRPr="00A92B39">
              <w:rPr>
                <w:b/>
                <w:noProof/>
                <w:sz w:val="10"/>
                <w:szCs w:val="10"/>
                <w:lang w:val="fr-BE"/>
              </w:rPr>
              <w:t>Wskaźnik</w:t>
            </w:r>
          </w:p>
        </w:tc>
        <w:tc>
          <w:tcPr>
            <w:tcW w:w="0" w:type="auto"/>
            <w:shd w:val="clear" w:color="auto" w:fill="auto"/>
          </w:tcPr>
          <w:p w14:paraId="2C002B48" w14:textId="77777777" w:rsidR="008C5CFA" w:rsidRPr="00A92B39" w:rsidRDefault="00E82A60" w:rsidP="00300A01">
            <w:pPr>
              <w:spacing w:before="0" w:after="0"/>
              <w:rPr>
                <w:b/>
                <w:sz w:val="10"/>
                <w:szCs w:val="10"/>
                <w:lang w:val="fr-BE"/>
              </w:rPr>
            </w:pPr>
            <w:r w:rsidRPr="00A92B39">
              <w:rPr>
                <w:b/>
                <w:noProof/>
                <w:sz w:val="10"/>
                <w:szCs w:val="10"/>
                <w:lang w:val="fr-BE"/>
              </w:rPr>
              <w:t>Kategoria regionu</w:t>
            </w:r>
          </w:p>
        </w:tc>
        <w:tc>
          <w:tcPr>
            <w:tcW w:w="0" w:type="auto"/>
          </w:tcPr>
          <w:p w14:paraId="1D893CDB" w14:textId="77777777" w:rsidR="008C5CFA" w:rsidRPr="00A92B39" w:rsidRDefault="00E82A60" w:rsidP="00300A01">
            <w:pPr>
              <w:spacing w:before="0" w:after="0"/>
              <w:jc w:val="center"/>
              <w:rPr>
                <w:b/>
                <w:sz w:val="10"/>
                <w:szCs w:val="10"/>
                <w:lang w:val="fr-BE"/>
              </w:rPr>
            </w:pPr>
            <w:r w:rsidRPr="00A92B39">
              <w:rPr>
                <w:b/>
                <w:noProof/>
                <w:sz w:val="10"/>
                <w:szCs w:val="10"/>
                <w:lang w:val="fr-BE"/>
              </w:rPr>
              <w:t>Jednostka miary</w:t>
            </w:r>
          </w:p>
        </w:tc>
        <w:tc>
          <w:tcPr>
            <w:tcW w:w="0" w:type="auto"/>
            <w:gridSpan w:val="3"/>
            <w:shd w:val="clear" w:color="auto" w:fill="auto"/>
          </w:tcPr>
          <w:p w14:paraId="34F04CEA" w14:textId="77777777" w:rsidR="008C5CFA" w:rsidRPr="00A92B39" w:rsidRDefault="00E82A60" w:rsidP="00300A01">
            <w:pPr>
              <w:spacing w:before="0" w:after="0"/>
              <w:jc w:val="center"/>
              <w:rPr>
                <w:b/>
                <w:sz w:val="10"/>
                <w:szCs w:val="10"/>
                <w:lang w:val="fr-BE"/>
              </w:rPr>
            </w:pPr>
            <w:r w:rsidRPr="00A92B39">
              <w:rPr>
                <w:b/>
                <w:noProof/>
                <w:sz w:val="10"/>
                <w:szCs w:val="10"/>
                <w:lang w:val="fr-BE"/>
              </w:rPr>
              <w:t>Wartość docelowa (2023)</w:t>
            </w:r>
          </w:p>
        </w:tc>
        <w:tc>
          <w:tcPr>
            <w:tcW w:w="0" w:type="auto"/>
            <w:gridSpan w:val="3"/>
            <w:shd w:val="clear" w:color="auto" w:fill="auto"/>
          </w:tcPr>
          <w:p w14:paraId="01C37F0F" w14:textId="77777777" w:rsidR="008C5CFA" w:rsidRPr="00A92B39" w:rsidRDefault="00E82A60" w:rsidP="00300A01">
            <w:pPr>
              <w:spacing w:before="0" w:after="0"/>
              <w:jc w:val="center"/>
              <w:rPr>
                <w:b/>
                <w:sz w:val="10"/>
                <w:szCs w:val="10"/>
                <w:lang w:val="fr-BE"/>
              </w:rPr>
            </w:pPr>
            <w:r w:rsidRPr="00A92B39">
              <w:rPr>
                <w:b/>
                <w:noProof/>
                <w:sz w:val="10"/>
                <w:szCs w:val="10"/>
                <w:lang w:val="fr-BE"/>
              </w:rPr>
              <w:t>Wartość skumulowana</w:t>
            </w:r>
          </w:p>
        </w:tc>
        <w:tc>
          <w:tcPr>
            <w:tcW w:w="0" w:type="auto"/>
            <w:gridSpan w:val="3"/>
            <w:shd w:val="clear" w:color="auto" w:fill="auto"/>
          </w:tcPr>
          <w:p w14:paraId="43EE11F4" w14:textId="77777777" w:rsidR="008C5CFA" w:rsidRPr="00A92B39" w:rsidRDefault="00E82A60" w:rsidP="00300A01">
            <w:pPr>
              <w:spacing w:before="0" w:after="0"/>
              <w:jc w:val="center"/>
              <w:rPr>
                <w:b/>
                <w:sz w:val="10"/>
                <w:szCs w:val="10"/>
                <w:lang w:val="fr-BE"/>
              </w:rPr>
            </w:pPr>
            <w:r w:rsidRPr="00A92B39">
              <w:rPr>
                <w:b/>
                <w:noProof/>
                <w:sz w:val="10"/>
                <w:szCs w:val="10"/>
                <w:lang w:val="fr-BE"/>
              </w:rPr>
              <w:t>Wskaźnik osiągnięć</w:t>
            </w:r>
          </w:p>
        </w:tc>
        <w:tc>
          <w:tcPr>
            <w:tcW w:w="0" w:type="auto"/>
            <w:gridSpan w:val="3"/>
          </w:tcPr>
          <w:p w14:paraId="1F339DA1" w14:textId="77777777" w:rsidR="008C5CFA" w:rsidRPr="00A92B39" w:rsidRDefault="00E82A60" w:rsidP="00300A01">
            <w:pPr>
              <w:spacing w:before="0" w:after="0"/>
              <w:jc w:val="center"/>
              <w:rPr>
                <w:b/>
                <w:sz w:val="10"/>
                <w:szCs w:val="10"/>
                <w:lang w:val="fr-BE"/>
              </w:rPr>
            </w:pPr>
            <w:r w:rsidRPr="00A92B39">
              <w:rPr>
                <w:bCs/>
                <w:sz w:val="10"/>
                <w:szCs w:val="10"/>
                <w:lang w:val="en-US"/>
              </w:rPr>
              <w:t>2019</w:t>
            </w:r>
          </w:p>
        </w:tc>
      </w:tr>
      <w:tr w:rsidR="006B2EC1" w14:paraId="57197644" w14:textId="77777777" w:rsidTr="002A1502">
        <w:trPr>
          <w:tblHeader/>
        </w:trPr>
        <w:tc>
          <w:tcPr>
            <w:tcW w:w="0" w:type="auto"/>
            <w:shd w:val="clear" w:color="auto" w:fill="auto"/>
          </w:tcPr>
          <w:p w14:paraId="2DF1AEC8" w14:textId="77777777" w:rsidR="008C5CFA" w:rsidRPr="00A92B39" w:rsidRDefault="008C5CFA" w:rsidP="00300A01">
            <w:pPr>
              <w:spacing w:before="0" w:after="0"/>
              <w:rPr>
                <w:b/>
                <w:sz w:val="10"/>
                <w:szCs w:val="10"/>
                <w:lang w:val="fr-BE"/>
              </w:rPr>
            </w:pPr>
          </w:p>
        </w:tc>
        <w:tc>
          <w:tcPr>
            <w:tcW w:w="0" w:type="auto"/>
            <w:shd w:val="clear" w:color="auto" w:fill="auto"/>
          </w:tcPr>
          <w:p w14:paraId="2BCAF611" w14:textId="77777777" w:rsidR="008C5CFA" w:rsidRPr="00A92B39" w:rsidRDefault="008C5CFA" w:rsidP="00300A01">
            <w:pPr>
              <w:spacing w:before="0" w:after="0"/>
              <w:rPr>
                <w:b/>
                <w:sz w:val="10"/>
                <w:szCs w:val="10"/>
                <w:lang w:val="fr-BE"/>
              </w:rPr>
            </w:pPr>
          </w:p>
        </w:tc>
        <w:tc>
          <w:tcPr>
            <w:tcW w:w="0" w:type="auto"/>
            <w:shd w:val="clear" w:color="auto" w:fill="auto"/>
          </w:tcPr>
          <w:p w14:paraId="244EA1A0" w14:textId="77777777" w:rsidR="008C5CFA" w:rsidRPr="00A92B39" w:rsidRDefault="008C5CFA" w:rsidP="00300A01">
            <w:pPr>
              <w:spacing w:before="0" w:after="0"/>
              <w:rPr>
                <w:b/>
                <w:sz w:val="10"/>
                <w:szCs w:val="10"/>
                <w:lang w:val="fr-BE"/>
              </w:rPr>
            </w:pPr>
          </w:p>
        </w:tc>
        <w:tc>
          <w:tcPr>
            <w:tcW w:w="0" w:type="auto"/>
          </w:tcPr>
          <w:p w14:paraId="779B3A7C" w14:textId="77777777" w:rsidR="008C5CFA" w:rsidRPr="00A92B39" w:rsidRDefault="008C5CFA" w:rsidP="00300A01">
            <w:pPr>
              <w:spacing w:before="0" w:after="0"/>
              <w:jc w:val="center"/>
              <w:rPr>
                <w:b/>
                <w:sz w:val="10"/>
                <w:szCs w:val="10"/>
                <w:lang w:val="fr-BE"/>
              </w:rPr>
            </w:pPr>
          </w:p>
        </w:tc>
        <w:tc>
          <w:tcPr>
            <w:tcW w:w="0" w:type="auto"/>
            <w:shd w:val="clear" w:color="auto" w:fill="auto"/>
          </w:tcPr>
          <w:p w14:paraId="191F8C34" w14:textId="77777777" w:rsidR="008C5CFA" w:rsidRPr="00A92B39" w:rsidRDefault="00E82A60" w:rsidP="00300A01">
            <w:pPr>
              <w:spacing w:before="0" w:after="0"/>
              <w:jc w:val="center"/>
              <w:rPr>
                <w:b/>
                <w:sz w:val="10"/>
                <w:szCs w:val="10"/>
                <w:lang w:val="fr-BE"/>
              </w:rPr>
            </w:pPr>
            <w:r w:rsidRPr="00A92B39">
              <w:rPr>
                <w:b/>
                <w:noProof/>
                <w:sz w:val="10"/>
                <w:szCs w:val="10"/>
                <w:lang w:val="fr-BE"/>
              </w:rPr>
              <w:t>Ogółem</w:t>
            </w:r>
          </w:p>
        </w:tc>
        <w:tc>
          <w:tcPr>
            <w:tcW w:w="0" w:type="auto"/>
            <w:shd w:val="clear" w:color="auto" w:fill="auto"/>
          </w:tcPr>
          <w:p w14:paraId="6A5262C2" w14:textId="77777777" w:rsidR="008C5CFA" w:rsidRPr="00A92B39" w:rsidRDefault="00E82A60" w:rsidP="00300A01">
            <w:pPr>
              <w:spacing w:before="0" w:after="0"/>
              <w:jc w:val="center"/>
              <w:rPr>
                <w:b/>
                <w:sz w:val="10"/>
                <w:szCs w:val="10"/>
                <w:lang w:val="fr-BE"/>
              </w:rPr>
            </w:pPr>
            <w:r w:rsidRPr="00A92B39">
              <w:rPr>
                <w:b/>
                <w:noProof/>
                <w:sz w:val="10"/>
                <w:szCs w:val="10"/>
                <w:lang w:val="fr-BE"/>
              </w:rPr>
              <w:t>Mężczyźni</w:t>
            </w:r>
          </w:p>
        </w:tc>
        <w:tc>
          <w:tcPr>
            <w:tcW w:w="0" w:type="auto"/>
            <w:shd w:val="clear" w:color="auto" w:fill="auto"/>
          </w:tcPr>
          <w:p w14:paraId="75A38B55" w14:textId="77777777" w:rsidR="008C5CFA" w:rsidRPr="00A92B39" w:rsidRDefault="00E82A60" w:rsidP="00300A01">
            <w:pPr>
              <w:spacing w:before="0" w:after="0"/>
              <w:jc w:val="center"/>
              <w:rPr>
                <w:b/>
                <w:sz w:val="10"/>
                <w:szCs w:val="10"/>
                <w:lang w:val="fr-BE"/>
              </w:rPr>
            </w:pPr>
            <w:r w:rsidRPr="00A92B39">
              <w:rPr>
                <w:b/>
                <w:noProof/>
                <w:sz w:val="10"/>
                <w:szCs w:val="10"/>
                <w:lang w:val="fr-BE"/>
              </w:rPr>
              <w:t>Kobiety</w:t>
            </w:r>
          </w:p>
        </w:tc>
        <w:tc>
          <w:tcPr>
            <w:tcW w:w="0" w:type="auto"/>
            <w:shd w:val="clear" w:color="auto" w:fill="auto"/>
          </w:tcPr>
          <w:p w14:paraId="1E253A6F" w14:textId="77777777" w:rsidR="008C5CFA" w:rsidRPr="00A92B39" w:rsidRDefault="00E82A60" w:rsidP="00300A01">
            <w:pPr>
              <w:spacing w:before="0" w:after="0"/>
              <w:jc w:val="center"/>
              <w:rPr>
                <w:b/>
                <w:sz w:val="10"/>
                <w:szCs w:val="10"/>
                <w:lang w:val="fr-BE"/>
              </w:rPr>
            </w:pPr>
            <w:r w:rsidRPr="00A92B39">
              <w:rPr>
                <w:b/>
                <w:noProof/>
                <w:sz w:val="10"/>
                <w:szCs w:val="10"/>
                <w:lang w:val="fr-BE"/>
              </w:rPr>
              <w:t>Ogółem</w:t>
            </w:r>
          </w:p>
        </w:tc>
        <w:tc>
          <w:tcPr>
            <w:tcW w:w="0" w:type="auto"/>
            <w:shd w:val="clear" w:color="auto" w:fill="auto"/>
          </w:tcPr>
          <w:p w14:paraId="153F8639" w14:textId="77777777" w:rsidR="008C5CFA" w:rsidRPr="00A92B39" w:rsidRDefault="00E82A60" w:rsidP="00300A01">
            <w:pPr>
              <w:spacing w:before="0" w:after="0"/>
              <w:jc w:val="center"/>
              <w:rPr>
                <w:b/>
                <w:sz w:val="10"/>
                <w:szCs w:val="10"/>
                <w:lang w:val="fr-BE"/>
              </w:rPr>
            </w:pPr>
            <w:r w:rsidRPr="00A92B39">
              <w:rPr>
                <w:b/>
                <w:noProof/>
                <w:sz w:val="10"/>
                <w:szCs w:val="10"/>
                <w:lang w:val="fr-BE"/>
              </w:rPr>
              <w:t>Mężczyźni</w:t>
            </w:r>
          </w:p>
        </w:tc>
        <w:tc>
          <w:tcPr>
            <w:tcW w:w="0" w:type="auto"/>
            <w:shd w:val="clear" w:color="auto" w:fill="auto"/>
          </w:tcPr>
          <w:p w14:paraId="410D00A3" w14:textId="77777777" w:rsidR="008C5CFA" w:rsidRPr="00A92B39" w:rsidRDefault="00E82A60" w:rsidP="00300A01">
            <w:pPr>
              <w:spacing w:before="0" w:after="0"/>
              <w:jc w:val="center"/>
              <w:rPr>
                <w:b/>
                <w:sz w:val="10"/>
                <w:szCs w:val="10"/>
                <w:lang w:val="fr-BE"/>
              </w:rPr>
            </w:pPr>
            <w:r w:rsidRPr="00A92B39">
              <w:rPr>
                <w:b/>
                <w:noProof/>
                <w:sz w:val="10"/>
                <w:szCs w:val="10"/>
                <w:lang w:val="fr-BE"/>
              </w:rPr>
              <w:t>Kobiety</w:t>
            </w:r>
          </w:p>
        </w:tc>
        <w:tc>
          <w:tcPr>
            <w:tcW w:w="0" w:type="auto"/>
            <w:shd w:val="clear" w:color="auto" w:fill="auto"/>
          </w:tcPr>
          <w:p w14:paraId="2ADE5571" w14:textId="77777777" w:rsidR="008C5CFA" w:rsidRPr="00A92B39" w:rsidRDefault="00E82A60" w:rsidP="00300A01">
            <w:pPr>
              <w:spacing w:before="0" w:after="0"/>
              <w:jc w:val="center"/>
              <w:rPr>
                <w:b/>
                <w:sz w:val="10"/>
                <w:szCs w:val="10"/>
                <w:lang w:val="fr-BE"/>
              </w:rPr>
            </w:pPr>
            <w:r w:rsidRPr="00A92B39">
              <w:rPr>
                <w:b/>
                <w:noProof/>
                <w:sz w:val="10"/>
                <w:szCs w:val="10"/>
                <w:lang w:val="fr-BE"/>
              </w:rPr>
              <w:t>Ogółem</w:t>
            </w:r>
          </w:p>
        </w:tc>
        <w:tc>
          <w:tcPr>
            <w:tcW w:w="0" w:type="auto"/>
            <w:shd w:val="clear" w:color="auto" w:fill="auto"/>
          </w:tcPr>
          <w:p w14:paraId="2E809CEE" w14:textId="77777777" w:rsidR="008C5CFA" w:rsidRPr="00A92B39" w:rsidRDefault="00E82A60" w:rsidP="00300A01">
            <w:pPr>
              <w:spacing w:before="0" w:after="0"/>
              <w:jc w:val="center"/>
              <w:rPr>
                <w:b/>
                <w:sz w:val="10"/>
                <w:szCs w:val="10"/>
                <w:lang w:val="fr-BE"/>
              </w:rPr>
            </w:pPr>
            <w:r w:rsidRPr="00A92B39">
              <w:rPr>
                <w:b/>
                <w:noProof/>
                <w:sz w:val="10"/>
                <w:szCs w:val="10"/>
                <w:lang w:val="fr-BE"/>
              </w:rPr>
              <w:t>Mężczyźni</w:t>
            </w:r>
          </w:p>
        </w:tc>
        <w:tc>
          <w:tcPr>
            <w:tcW w:w="0" w:type="auto"/>
            <w:shd w:val="clear" w:color="auto" w:fill="auto"/>
          </w:tcPr>
          <w:p w14:paraId="171117E0" w14:textId="77777777" w:rsidR="008C5CFA" w:rsidRPr="00A92B39" w:rsidRDefault="00E82A60" w:rsidP="00300A01">
            <w:pPr>
              <w:spacing w:before="0" w:after="0"/>
              <w:jc w:val="center"/>
              <w:rPr>
                <w:b/>
                <w:sz w:val="10"/>
                <w:szCs w:val="10"/>
                <w:lang w:val="fr-BE"/>
              </w:rPr>
            </w:pPr>
            <w:r w:rsidRPr="00A92B39">
              <w:rPr>
                <w:b/>
                <w:noProof/>
                <w:sz w:val="10"/>
                <w:szCs w:val="10"/>
                <w:lang w:val="fr-BE"/>
              </w:rPr>
              <w:t>Kobiety</w:t>
            </w:r>
          </w:p>
        </w:tc>
        <w:tc>
          <w:tcPr>
            <w:tcW w:w="0" w:type="auto"/>
          </w:tcPr>
          <w:p w14:paraId="05CDB5CF" w14:textId="77777777" w:rsidR="008C5CFA" w:rsidRPr="00A92B39" w:rsidRDefault="00E82A60" w:rsidP="00300A01">
            <w:pPr>
              <w:spacing w:before="0" w:after="0"/>
              <w:jc w:val="center"/>
              <w:rPr>
                <w:b/>
                <w:sz w:val="10"/>
                <w:szCs w:val="10"/>
                <w:lang w:val="fr-BE"/>
              </w:rPr>
            </w:pPr>
            <w:r w:rsidRPr="00A92B39">
              <w:rPr>
                <w:b/>
                <w:noProof/>
                <w:sz w:val="10"/>
                <w:szCs w:val="10"/>
                <w:lang w:val="fr-BE"/>
              </w:rPr>
              <w:t>Ogółem</w:t>
            </w:r>
          </w:p>
        </w:tc>
        <w:tc>
          <w:tcPr>
            <w:tcW w:w="0" w:type="auto"/>
            <w:shd w:val="clear" w:color="auto" w:fill="auto"/>
          </w:tcPr>
          <w:p w14:paraId="3FC479FA" w14:textId="77777777" w:rsidR="008C5CFA" w:rsidRPr="00A92B39" w:rsidRDefault="00E82A60" w:rsidP="00300A01">
            <w:pPr>
              <w:spacing w:before="0" w:after="0"/>
              <w:jc w:val="center"/>
              <w:rPr>
                <w:b/>
                <w:sz w:val="10"/>
                <w:szCs w:val="10"/>
                <w:lang w:val="fr-BE"/>
              </w:rPr>
            </w:pPr>
            <w:r w:rsidRPr="00A92B39">
              <w:rPr>
                <w:b/>
                <w:noProof/>
                <w:sz w:val="10"/>
                <w:szCs w:val="10"/>
                <w:lang w:val="fr-BE"/>
              </w:rPr>
              <w:t>Mężczyźni</w:t>
            </w:r>
          </w:p>
        </w:tc>
        <w:tc>
          <w:tcPr>
            <w:tcW w:w="0" w:type="auto"/>
            <w:shd w:val="clear" w:color="auto" w:fill="auto"/>
          </w:tcPr>
          <w:p w14:paraId="6F883300" w14:textId="77777777" w:rsidR="008C5CFA" w:rsidRPr="00A92B39" w:rsidRDefault="00E82A60" w:rsidP="00300A01">
            <w:pPr>
              <w:spacing w:before="0" w:after="0"/>
              <w:jc w:val="center"/>
              <w:rPr>
                <w:b/>
                <w:sz w:val="10"/>
                <w:szCs w:val="10"/>
                <w:lang w:val="fr-BE"/>
              </w:rPr>
            </w:pPr>
            <w:r w:rsidRPr="00A92B39">
              <w:rPr>
                <w:b/>
                <w:noProof/>
                <w:sz w:val="10"/>
                <w:szCs w:val="10"/>
                <w:lang w:val="fr-BE"/>
              </w:rPr>
              <w:t>Kobiety</w:t>
            </w:r>
          </w:p>
        </w:tc>
      </w:tr>
      <w:tr w:rsidR="006B2EC1" w14:paraId="5A52D0E3" w14:textId="77777777" w:rsidTr="002A1502">
        <w:tc>
          <w:tcPr>
            <w:tcW w:w="0" w:type="auto"/>
            <w:shd w:val="clear" w:color="auto" w:fill="auto"/>
          </w:tcPr>
          <w:p w14:paraId="06DB04DE" w14:textId="77777777" w:rsidR="008C5CFA" w:rsidRPr="00A92B39" w:rsidRDefault="00E82A60" w:rsidP="00300A01">
            <w:pPr>
              <w:spacing w:before="0" w:after="0"/>
              <w:rPr>
                <w:sz w:val="10"/>
                <w:szCs w:val="10"/>
                <w:lang w:val="fr-BE"/>
              </w:rPr>
            </w:pPr>
            <w:r w:rsidRPr="00A92B39">
              <w:rPr>
                <w:noProof/>
                <w:sz w:val="10"/>
                <w:szCs w:val="10"/>
                <w:lang w:val="fr-BE"/>
              </w:rPr>
              <w:t>011</w:t>
            </w:r>
          </w:p>
        </w:tc>
        <w:tc>
          <w:tcPr>
            <w:tcW w:w="0" w:type="auto"/>
            <w:shd w:val="clear" w:color="auto" w:fill="auto"/>
          </w:tcPr>
          <w:p w14:paraId="1B567D49" w14:textId="77777777" w:rsidR="008C5CFA" w:rsidRPr="00A92B39" w:rsidRDefault="00E82A60" w:rsidP="00300A01">
            <w:pPr>
              <w:spacing w:before="0" w:after="0"/>
              <w:rPr>
                <w:sz w:val="10"/>
                <w:szCs w:val="10"/>
                <w:lang w:val="fr-BE"/>
              </w:rPr>
            </w:pPr>
            <w:r w:rsidRPr="00A92B39">
              <w:rPr>
                <w:noProof/>
                <w:sz w:val="10"/>
                <w:szCs w:val="10"/>
                <w:lang w:val="fr-BE"/>
              </w:rPr>
              <w:t>Liczba osób uczestniczących w pozaszkolnych formach kształcenia w programie</w:t>
            </w:r>
          </w:p>
        </w:tc>
        <w:tc>
          <w:tcPr>
            <w:tcW w:w="0" w:type="auto"/>
            <w:shd w:val="clear" w:color="auto" w:fill="auto"/>
          </w:tcPr>
          <w:p w14:paraId="60111BAE" w14:textId="77777777" w:rsidR="008C5CFA" w:rsidRPr="00A92B39" w:rsidRDefault="00E82A60" w:rsidP="00300A01">
            <w:pPr>
              <w:spacing w:before="0" w:after="0"/>
              <w:rPr>
                <w:sz w:val="10"/>
                <w:szCs w:val="10"/>
                <w:lang w:val="fr-BE"/>
              </w:rPr>
            </w:pPr>
            <w:r w:rsidRPr="00A92B39">
              <w:rPr>
                <w:noProof/>
                <w:sz w:val="10"/>
                <w:szCs w:val="10"/>
                <w:lang w:val="fr-BE"/>
              </w:rPr>
              <w:t>Słabiej rozwinięte</w:t>
            </w:r>
          </w:p>
        </w:tc>
        <w:tc>
          <w:tcPr>
            <w:tcW w:w="0" w:type="auto"/>
          </w:tcPr>
          <w:p w14:paraId="0B5FCAF7" w14:textId="77777777" w:rsidR="008C5CFA" w:rsidRPr="00A92B39" w:rsidRDefault="00E82A60" w:rsidP="00300A01">
            <w:pPr>
              <w:spacing w:before="0" w:after="0"/>
              <w:rPr>
                <w:sz w:val="10"/>
                <w:szCs w:val="10"/>
                <w:lang w:val="fr-BE"/>
              </w:rPr>
            </w:pPr>
            <w:r w:rsidRPr="00A92B39">
              <w:rPr>
                <w:noProof/>
                <w:sz w:val="10"/>
                <w:szCs w:val="10"/>
                <w:lang w:val="fr-BE"/>
              </w:rPr>
              <w:t>osoba</w:t>
            </w:r>
          </w:p>
        </w:tc>
        <w:tc>
          <w:tcPr>
            <w:tcW w:w="0" w:type="auto"/>
            <w:shd w:val="clear" w:color="auto" w:fill="auto"/>
          </w:tcPr>
          <w:p w14:paraId="74FA16A8" w14:textId="77777777" w:rsidR="008C5CFA" w:rsidRPr="00A92B39" w:rsidRDefault="00E82A60" w:rsidP="00300A01">
            <w:pPr>
              <w:spacing w:before="0" w:after="0"/>
              <w:jc w:val="right"/>
              <w:rPr>
                <w:sz w:val="10"/>
                <w:szCs w:val="10"/>
                <w:lang w:val="fr-BE"/>
              </w:rPr>
            </w:pPr>
            <w:r w:rsidRPr="00A92B39">
              <w:rPr>
                <w:noProof/>
                <w:sz w:val="10"/>
                <w:szCs w:val="10"/>
                <w:lang w:val="fr-BE"/>
              </w:rPr>
              <w:t>18 538,00</w:t>
            </w:r>
          </w:p>
        </w:tc>
        <w:tc>
          <w:tcPr>
            <w:tcW w:w="0" w:type="auto"/>
            <w:shd w:val="clear" w:color="auto" w:fill="auto"/>
          </w:tcPr>
          <w:p w14:paraId="39441C53" w14:textId="77777777" w:rsidR="008C5CFA" w:rsidRPr="00A92B39" w:rsidRDefault="008C5CFA" w:rsidP="00300A01">
            <w:pPr>
              <w:spacing w:before="0" w:after="0"/>
              <w:jc w:val="right"/>
              <w:rPr>
                <w:sz w:val="10"/>
                <w:szCs w:val="10"/>
                <w:lang w:val="fr-BE"/>
              </w:rPr>
            </w:pPr>
          </w:p>
        </w:tc>
        <w:tc>
          <w:tcPr>
            <w:tcW w:w="0" w:type="auto"/>
            <w:shd w:val="clear" w:color="auto" w:fill="auto"/>
          </w:tcPr>
          <w:p w14:paraId="04FF6835" w14:textId="77777777" w:rsidR="008C5CFA" w:rsidRPr="00A92B39" w:rsidRDefault="008C5CFA" w:rsidP="00300A01">
            <w:pPr>
              <w:spacing w:before="0" w:after="0"/>
              <w:jc w:val="right"/>
              <w:rPr>
                <w:sz w:val="10"/>
                <w:szCs w:val="10"/>
                <w:lang w:val="fr-BE"/>
              </w:rPr>
            </w:pPr>
          </w:p>
        </w:tc>
        <w:tc>
          <w:tcPr>
            <w:tcW w:w="0" w:type="auto"/>
            <w:shd w:val="clear" w:color="auto" w:fill="auto"/>
          </w:tcPr>
          <w:p w14:paraId="554D7ABE" w14:textId="77777777" w:rsidR="008C5CFA" w:rsidRPr="00A92B39" w:rsidRDefault="00E82A60" w:rsidP="00300A01">
            <w:pPr>
              <w:spacing w:before="0" w:after="0"/>
              <w:jc w:val="right"/>
              <w:rPr>
                <w:sz w:val="10"/>
                <w:szCs w:val="10"/>
                <w:lang w:val="fr-BE"/>
              </w:rPr>
            </w:pPr>
            <w:r w:rsidRPr="00A92B39">
              <w:rPr>
                <w:noProof/>
                <w:sz w:val="10"/>
                <w:szCs w:val="10"/>
                <w:lang w:val="fr-BE"/>
              </w:rPr>
              <w:t>3 725,00</w:t>
            </w:r>
          </w:p>
        </w:tc>
        <w:tc>
          <w:tcPr>
            <w:tcW w:w="0" w:type="auto"/>
            <w:shd w:val="clear" w:color="auto" w:fill="auto"/>
          </w:tcPr>
          <w:p w14:paraId="186A9B6D"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14:paraId="4CD95440"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14:paraId="4882092B" w14:textId="77777777" w:rsidR="008C5CFA" w:rsidRPr="00A92B39" w:rsidRDefault="00E82A60" w:rsidP="00300A01">
            <w:pPr>
              <w:spacing w:before="0" w:after="0"/>
              <w:jc w:val="right"/>
              <w:rPr>
                <w:sz w:val="10"/>
                <w:szCs w:val="10"/>
                <w:lang w:val="fr-BE"/>
              </w:rPr>
            </w:pPr>
            <w:r>
              <w:rPr>
                <w:noProof/>
                <w:sz w:val="10"/>
                <w:szCs w:val="10"/>
                <w:lang w:val="fr-BE"/>
              </w:rPr>
              <w:t>0,20</w:t>
            </w:r>
          </w:p>
        </w:tc>
        <w:tc>
          <w:tcPr>
            <w:tcW w:w="0" w:type="auto"/>
            <w:shd w:val="clear" w:color="auto" w:fill="auto"/>
          </w:tcPr>
          <w:p w14:paraId="3FA6A25E" w14:textId="77777777" w:rsidR="008C5CFA" w:rsidRPr="00A92B39" w:rsidRDefault="008C5CFA" w:rsidP="00300A01">
            <w:pPr>
              <w:spacing w:before="0" w:after="0"/>
              <w:jc w:val="right"/>
              <w:rPr>
                <w:sz w:val="10"/>
                <w:szCs w:val="10"/>
                <w:lang w:val="fr-BE"/>
              </w:rPr>
            </w:pPr>
          </w:p>
        </w:tc>
        <w:tc>
          <w:tcPr>
            <w:tcW w:w="0" w:type="auto"/>
            <w:shd w:val="clear" w:color="auto" w:fill="auto"/>
          </w:tcPr>
          <w:p w14:paraId="76AFD1A1" w14:textId="77777777" w:rsidR="008C5CFA" w:rsidRPr="00A92B39" w:rsidRDefault="008C5CFA" w:rsidP="00300A01">
            <w:pPr>
              <w:spacing w:before="0" w:after="0"/>
              <w:jc w:val="right"/>
              <w:rPr>
                <w:sz w:val="10"/>
                <w:szCs w:val="10"/>
                <w:lang w:val="fr-BE"/>
              </w:rPr>
            </w:pPr>
          </w:p>
        </w:tc>
        <w:tc>
          <w:tcPr>
            <w:tcW w:w="0" w:type="auto"/>
          </w:tcPr>
          <w:p w14:paraId="5209F364" w14:textId="77777777" w:rsidR="008C5CFA" w:rsidRPr="00A92B39" w:rsidRDefault="00E82A60" w:rsidP="00300A01">
            <w:pPr>
              <w:spacing w:before="0" w:after="0"/>
              <w:jc w:val="right"/>
              <w:rPr>
                <w:sz w:val="10"/>
                <w:szCs w:val="10"/>
                <w:lang w:val="fr-BE"/>
              </w:rPr>
            </w:pPr>
            <w:r w:rsidRPr="00A92B39">
              <w:rPr>
                <w:noProof/>
                <w:sz w:val="10"/>
                <w:szCs w:val="10"/>
                <w:lang w:val="fr-BE"/>
              </w:rPr>
              <w:t>2 599,00</w:t>
            </w:r>
          </w:p>
        </w:tc>
        <w:tc>
          <w:tcPr>
            <w:tcW w:w="0" w:type="auto"/>
            <w:shd w:val="clear" w:color="auto" w:fill="auto"/>
          </w:tcPr>
          <w:p w14:paraId="62CB1E5D"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14:paraId="2558CA3A"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r>
      <w:tr w:rsidR="006B2EC1" w14:paraId="6A0111FC" w14:textId="77777777" w:rsidTr="002A1502">
        <w:tc>
          <w:tcPr>
            <w:tcW w:w="0" w:type="auto"/>
            <w:shd w:val="clear" w:color="auto" w:fill="auto"/>
          </w:tcPr>
          <w:p w14:paraId="362468AF" w14:textId="77777777" w:rsidR="008C5CFA" w:rsidRPr="00A92B39" w:rsidRDefault="00E82A60" w:rsidP="00300A01">
            <w:pPr>
              <w:spacing w:before="0" w:after="0"/>
              <w:rPr>
                <w:sz w:val="10"/>
                <w:szCs w:val="10"/>
                <w:lang w:val="fr-BE"/>
              </w:rPr>
            </w:pPr>
            <w:r w:rsidRPr="00A92B39">
              <w:rPr>
                <w:noProof/>
                <w:sz w:val="10"/>
                <w:szCs w:val="10"/>
                <w:lang w:val="fr-BE"/>
              </w:rPr>
              <w:t>012</w:t>
            </w:r>
          </w:p>
        </w:tc>
        <w:tc>
          <w:tcPr>
            <w:tcW w:w="0" w:type="auto"/>
            <w:shd w:val="clear" w:color="auto" w:fill="auto"/>
          </w:tcPr>
          <w:p w14:paraId="2DD0E1B5" w14:textId="77777777" w:rsidR="008C5CFA" w:rsidRPr="00A92B39" w:rsidRDefault="00E82A60" w:rsidP="00300A01">
            <w:pPr>
              <w:spacing w:before="0" w:after="0"/>
              <w:rPr>
                <w:sz w:val="10"/>
                <w:szCs w:val="10"/>
                <w:lang w:val="fr-BE"/>
              </w:rPr>
            </w:pPr>
            <w:r w:rsidRPr="00A92B39">
              <w:rPr>
                <w:noProof/>
                <w:sz w:val="10"/>
                <w:szCs w:val="10"/>
                <w:lang w:val="fr-BE"/>
              </w:rPr>
              <w:t>Liczba nauczycieli kształcenia zawodowego oraz instruktorów praktycznej nauki zawodu objętych wsparciem w programie</w:t>
            </w:r>
          </w:p>
        </w:tc>
        <w:tc>
          <w:tcPr>
            <w:tcW w:w="0" w:type="auto"/>
            <w:shd w:val="clear" w:color="auto" w:fill="auto"/>
          </w:tcPr>
          <w:p w14:paraId="416FB851" w14:textId="77777777" w:rsidR="008C5CFA" w:rsidRPr="00A92B39" w:rsidRDefault="00E82A60" w:rsidP="00300A01">
            <w:pPr>
              <w:spacing w:before="0" w:after="0"/>
              <w:rPr>
                <w:sz w:val="10"/>
                <w:szCs w:val="10"/>
                <w:lang w:val="fr-BE"/>
              </w:rPr>
            </w:pPr>
            <w:r w:rsidRPr="00A92B39">
              <w:rPr>
                <w:noProof/>
                <w:sz w:val="10"/>
                <w:szCs w:val="10"/>
                <w:lang w:val="fr-BE"/>
              </w:rPr>
              <w:t>Słabiej rozwinięte</w:t>
            </w:r>
          </w:p>
        </w:tc>
        <w:tc>
          <w:tcPr>
            <w:tcW w:w="0" w:type="auto"/>
          </w:tcPr>
          <w:p w14:paraId="75FED3EA" w14:textId="77777777" w:rsidR="008C5CFA" w:rsidRPr="00A92B39" w:rsidRDefault="00E82A60" w:rsidP="00300A01">
            <w:pPr>
              <w:spacing w:before="0" w:after="0"/>
              <w:rPr>
                <w:sz w:val="10"/>
                <w:szCs w:val="10"/>
                <w:lang w:val="fr-BE"/>
              </w:rPr>
            </w:pPr>
            <w:r w:rsidRPr="00A92B39">
              <w:rPr>
                <w:noProof/>
                <w:sz w:val="10"/>
                <w:szCs w:val="10"/>
                <w:lang w:val="fr-BE"/>
              </w:rPr>
              <w:t>osoba</w:t>
            </w:r>
          </w:p>
        </w:tc>
        <w:tc>
          <w:tcPr>
            <w:tcW w:w="0" w:type="auto"/>
            <w:shd w:val="clear" w:color="auto" w:fill="auto"/>
          </w:tcPr>
          <w:p w14:paraId="4C14A5B4" w14:textId="77777777" w:rsidR="008C5CFA" w:rsidRPr="00A92B39" w:rsidRDefault="00E82A60" w:rsidP="00300A01">
            <w:pPr>
              <w:spacing w:before="0" w:after="0"/>
              <w:jc w:val="right"/>
              <w:rPr>
                <w:sz w:val="10"/>
                <w:szCs w:val="10"/>
                <w:lang w:val="fr-BE"/>
              </w:rPr>
            </w:pPr>
            <w:r w:rsidRPr="00A92B39">
              <w:rPr>
                <w:noProof/>
                <w:sz w:val="10"/>
                <w:szCs w:val="10"/>
                <w:lang w:val="fr-BE"/>
              </w:rPr>
              <w:t>729,00</w:t>
            </w:r>
          </w:p>
        </w:tc>
        <w:tc>
          <w:tcPr>
            <w:tcW w:w="0" w:type="auto"/>
            <w:shd w:val="clear" w:color="auto" w:fill="auto"/>
          </w:tcPr>
          <w:p w14:paraId="4F25C13B" w14:textId="77777777" w:rsidR="008C5CFA" w:rsidRPr="00A92B39" w:rsidRDefault="008C5CFA" w:rsidP="00300A01">
            <w:pPr>
              <w:spacing w:before="0" w:after="0"/>
              <w:jc w:val="right"/>
              <w:rPr>
                <w:sz w:val="10"/>
                <w:szCs w:val="10"/>
                <w:lang w:val="fr-BE"/>
              </w:rPr>
            </w:pPr>
          </w:p>
        </w:tc>
        <w:tc>
          <w:tcPr>
            <w:tcW w:w="0" w:type="auto"/>
            <w:shd w:val="clear" w:color="auto" w:fill="auto"/>
          </w:tcPr>
          <w:p w14:paraId="7672E247" w14:textId="77777777" w:rsidR="008C5CFA" w:rsidRPr="00A92B39" w:rsidRDefault="008C5CFA" w:rsidP="00300A01">
            <w:pPr>
              <w:spacing w:before="0" w:after="0"/>
              <w:jc w:val="right"/>
              <w:rPr>
                <w:sz w:val="10"/>
                <w:szCs w:val="10"/>
                <w:lang w:val="fr-BE"/>
              </w:rPr>
            </w:pPr>
          </w:p>
        </w:tc>
        <w:tc>
          <w:tcPr>
            <w:tcW w:w="0" w:type="auto"/>
            <w:shd w:val="clear" w:color="auto" w:fill="auto"/>
          </w:tcPr>
          <w:p w14:paraId="305FA293" w14:textId="77777777" w:rsidR="008C5CFA" w:rsidRPr="00A92B39" w:rsidRDefault="00E82A60" w:rsidP="00300A01">
            <w:pPr>
              <w:spacing w:before="0" w:after="0"/>
              <w:jc w:val="right"/>
              <w:rPr>
                <w:sz w:val="10"/>
                <w:szCs w:val="10"/>
                <w:lang w:val="fr-BE"/>
              </w:rPr>
            </w:pPr>
            <w:r w:rsidRPr="00A92B39">
              <w:rPr>
                <w:noProof/>
                <w:sz w:val="10"/>
                <w:szCs w:val="10"/>
                <w:lang w:val="fr-BE"/>
              </w:rPr>
              <w:t>552,00</w:t>
            </w:r>
          </w:p>
        </w:tc>
        <w:tc>
          <w:tcPr>
            <w:tcW w:w="0" w:type="auto"/>
            <w:shd w:val="clear" w:color="auto" w:fill="auto"/>
          </w:tcPr>
          <w:p w14:paraId="5FECA0B7"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14:paraId="13DE78FB"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14:paraId="58D3E942" w14:textId="77777777" w:rsidR="008C5CFA" w:rsidRPr="00A92B39" w:rsidRDefault="00E82A60" w:rsidP="00300A01">
            <w:pPr>
              <w:spacing w:before="0" w:after="0"/>
              <w:jc w:val="right"/>
              <w:rPr>
                <w:sz w:val="10"/>
                <w:szCs w:val="10"/>
                <w:lang w:val="fr-BE"/>
              </w:rPr>
            </w:pPr>
            <w:r>
              <w:rPr>
                <w:noProof/>
                <w:sz w:val="10"/>
                <w:szCs w:val="10"/>
                <w:lang w:val="fr-BE"/>
              </w:rPr>
              <w:t>0,76</w:t>
            </w:r>
          </w:p>
        </w:tc>
        <w:tc>
          <w:tcPr>
            <w:tcW w:w="0" w:type="auto"/>
            <w:shd w:val="clear" w:color="auto" w:fill="auto"/>
          </w:tcPr>
          <w:p w14:paraId="54A86C08" w14:textId="77777777" w:rsidR="008C5CFA" w:rsidRPr="00A92B39" w:rsidRDefault="008C5CFA" w:rsidP="00300A01">
            <w:pPr>
              <w:spacing w:before="0" w:after="0"/>
              <w:jc w:val="right"/>
              <w:rPr>
                <w:sz w:val="10"/>
                <w:szCs w:val="10"/>
                <w:lang w:val="fr-BE"/>
              </w:rPr>
            </w:pPr>
          </w:p>
        </w:tc>
        <w:tc>
          <w:tcPr>
            <w:tcW w:w="0" w:type="auto"/>
            <w:shd w:val="clear" w:color="auto" w:fill="auto"/>
          </w:tcPr>
          <w:p w14:paraId="5C454DB0" w14:textId="77777777" w:rsidR="008C5CFA" w:rsidRPr="00A92B39" w:rsidRDefault="008C5CFA" w:rsidP="00300A01">
            <w:pPr>
              <w:spacing w:before="0" w:after="0"/>
              <w:jc w:val="right"/>
              <w:rPr>
                <w:sz w:val="10"/>
                <w:szCs w:val="10"/>
                <w:lang w:val="fr-BE"/>
              </w:rPr>
            </w:pPr>
          </w:p>
        </w:tc>
        <w:tc>
          <w:tcPr>
            <w:tcW w:w="0" w:type="auto"/>
          </w:tcPr>
          <w:p w14:paraId="69C25085" w14:textId="77777777" w:rsidR="008C5CFA" w:rsidRPr="00A92B39" w:rsidRDefault="00E82A60" w:rsidP="00300A01">
            <w:pPr>
              <w:spacing w:before="0" w:after="0"/>
              <w:jc w:val="right"/>
              <w:rPr>
                <w:sz w:val="10"/>
                <w:szCs w:val="10"/>
                <w:lang w:val="fr-BE"/>
              </w:rPr>
            </w:pPr>
            <w:r w:rsidRPr="00A92B39">
              <w:rPr>
                <w:noProof/>
                <w:sz w:val="10"/>
                <w:szCs w:val="10"/>
                <w:lang w:val="fr-BE"/>
              </w:rPr>
              <w:t>220,00</w:t>
            </w:r>
          </w:p>
        </w:tc>
        <w:tc>
          <w:tcPr>
            <w:tcW w:w="0" w:type="auto"/>
            <w:shd w:val="clear" w:color="auto" w:fill="auto"/>
          </w:tcPr>
          <w:p w14:paraId="5E97FA9F"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14:paraId="07768CB8"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r>
      <w:tr w:rsidR="006B2EC1" w14:paraId="11A82C4E" w14:textId="77777777" w:rsidTr="002A1502">
        <w:tc>
          <w:tcPr>
            <w:tcW w:w="0" w:type="auto"/>
            <w:shd w:val="clear" w:color="auto" w:fill="auto"/>
          </w:tcPr>
          <w:p w14:paraId="461BD1A7" w14:textId="77777777" w:rsidR="008C5CFA" w:rsidRPr="00A92B39" w:rsidRDefault="00E82A60" w:rsidP="00300A01">
            <w:pPr>
              <w:spacing w:before="0" w:after="0"/>
              <w:rPr>
                <w:sz w:val="10"/>
                <w:szCs w:val="10"/>
                <w:lang w:val="fr-BE"/>
              </w:rPr>
            </w:pPr>
            <w:r w:rsidRPr="00A92B39">
              <w:rPr>
                <w:noProof/>
                <w:sz w:val="10"/>
                <w:szCs w:val="10"/>
                <w:lang w:val="fr-BE"/>
              </w:rPr>
              <w:t>013</w:t>
            </w:r>
          </w:p>
        </w:tc>
        <w:tc>
          <w:tcPr>
            <w:tcW w:w="0" w:type="auto"/>
            <w:shd w:val="clear" w:color="auto" w:fill="auto"/>
          </w:tcPr>
          <w:p w14:paraId="3446DD18" w14:textId="77777777" w:rsidR="008C5CFA" w:rsidRPr="00A92B39" w:rsidRDefault="00E82A60" w:rsidP="00300A01">
            <w:pPr>
              <w:spacing w:before="0" w:after="0"/>
              <w:rPr>
                <w:sz w:val="10"/>
                <w:szCs w:val="10"/>
                <w:lang w:val="fr-BE"/>
              </w:rPr>
            </w:pPr>
            <w:r w:rsidRPr="00A92B39">
              <w:rPr>
                <w:noProof/>
                <w:sz w:val="10"/>
                <w:szCs w:val="10"/>
                <w:lang w:val="fr-BE"/>
              </w:rPr>
              <w:t>Liczba podmiotów realizujących zadania centrum kształcenia zawodowego i ustawicznego objętych wsparciem w programie</w:t>
            </w:r>
          </w:p>
        </w:tc>
        <w:tc>
          <w:tcPr>
            <w:tcW w:w="0" w:type="auto"/>
            <w:shd w:val="clear" w:color="auto" w:fill="auto"/>
          </w:tcPr>
          <w:p w14:paraId="1D9CAB00" w14:textId="77777777" w:rsidR="008C5CFA" w:rsidRPr="00A92B39" w:rsidRDefault="00E82A60" w:rsidP="00300A01">
            <w:pPr>
              <w:spacing w:before="0" w:after="0"/>
              <w:rPr>
                <w:sz w:val="10"/>
                <w:szCs w:val="10"/>
                <w:lang w:val="fr-BE"/>
              </w:rPr>
            </w:pPr>
            <w:r w:rsidRPr="00A92B39">
              <w:rPr>
                <w:noProof/>
                <w:sz w:val="10"/>
                <w:szCs w:val="10"/>
                <w:lang w:val="fr-BE"/>
              </w:rPr>
              <w:t>Słabiej rozwinięte</w:t>
            </w:r>
          </w:p>
        </w:tc>
        <w:tc>
          <w:tcPr>
            <w:tcW w:w="0" w:type="auto"/>
          </w:tcPr>
          <w:p w14:paraId="1E58EB34" w14:textId="77777777" w:rsidR="008C5CFA" w:rsidRPr="00A92B39" w:rsidRDefault="00E82A60" w:rsidP="00300A01">
            <w:pPr>
              <w:spacing w:before="0" w:after="0"/>
              <w:rPr>
                <w:sz w:val="10"/>
                <w:szCs w:val="10"/>
                <w:lang w:val="fr-BE"/>
              </w:rPr>
            </w:pPr>
            <w:r w:rsidRPr="00A92B39">
              <w:rPr>
                <w:noProof/>
                <w:sz w:val="10"/>
                <w:szCs w:val="10"/>
                <w:lang w:val="fr-BE"/>
              </w:rPr>
              <w:t>sztuka</w:t>
            </w:r>
          </w:p>
        </w:tc>
        <w:tc>
          <w:tcPr>
            <w:tcW w:w="0" w:type="auto"/>
            <w:shd w:val="clear" w:color="auto" w:fill="auto"/>
          </w:tcPr>
          <w:p w14:paraId="5443F950" w14:textId="77777777" w:rsidR="008C5CFA" w:rsidRPr="00A92B39" w:rsidRDefault="00E82A60" w:rsidP="00300A01">
            <w:pPr>
              <w:spacing w:before="0" w:after="0"/>
              <w:jc w:val="right"/>
              <w:rPr>
                <w:sz w:val="10"/>
                <w:szCs w:val="10"/>
                <w:lang w:val="fr-BE"/>
              </w:rPr>
            </w:pPr>
            <w:r w:rsidRPr="00A92B39">
              <w:rPr>
                <w:noProof/>
                <w:sz w:val="10"/>
                <w:szCs w:val="10"/>
                <w:lang w:val="fr-BE"/>
              </w:rPr>
              <w:t>3,00</w:t>
            </w:r>
          </w:p>
        </w:tc>
        <w:tc>
          <w:tcPr>
            <w:tcW w:w="0" w:type="auto"/>
            <w:shd w:val="clear" w:color="auto" w:fill="auto"/>
          </w:tcPr>
          <w:p w14:paraId="4EC06095" w14:textId="77777777" w:rsidR="008C5CFA" w:rsidRPr="00A92B39" w:rsidRDefault="008C5CFA" w:rsidP="00300A01">
            <w:pPr>
              <w:spacing w:before="0" w:after="0"/>
              <w:jc w:val="right"/>
              <w:rPr>
                <w:sz w:val="10"/>
                <w:szCs w:val="10"/>
                <w:lang w:val="fr-BE"/>
              </w:rPr>
            </w:pPr>
          </w:p>
        </w:tc>
        <w:tc>
          <w:tcPr>
            <w:tcW w:w="0" w:type="auto"/>
            <w:shd w:val="clear" w:color="auto" w:fill="auto"/>
          </w:tcPr>
          <w:p w14:paraId="45460AE5" w14:textId="77777777" w:rsidR="008C5CFA" w:rsidRPr="00A92B39" w:rsidRDefault="008C5CFA" w:rsidP="00300A01">
            <w:pPr>
              <w:spacing w:before="0" w:after="0"/>
              <w:jc w:val="right"/>
              <w:rPr>
                <w:sz w:val="10"/>
                <w:szCs w:val="10"/>
                <w:lang w:val="fr-BE"/>
              </w:rPr>
            </w:pPr>
          </w:p>
        </w:tc>
        <w:tc>
          <w:tcPr>
            <w:tcW w:w="0" w:type="auto"/>
            <w:shd w:val="clear" w:color="auto" w:fill="auto"/>
          </w:tcPr>
          <w:p w14:paraId="2B1CDA12" w14:textId="77777777" w:rsidR="008C5CFA" w:rsidRPr="00A92B39" w:rsidRDefault="00E82A60" w:rsidP="00300A01">
            <w:pPr>
              <w:spacing w:before="0" w:after="0"/>
              <w:jc w:val="right"/>
              <w:rPr>
                <w:sz w:val="10"/>
                <w:szCs w:val="10"/>
                <w:lang w:val="fr-BE"/>
              </w:rPr>
            </w:pPr>
            <w:r w:rsidRPr="00A92B39">
              <w:rPr>
                <w:noProof/>
                <w:sz w:val="10"/>
                <w:szCs w:val="10"/>
                <w:lang w:val="fr-BE"/>
              </w:rPr>
              <w:t>5,00</w:t>
            </w:r>
          </w:p>
        </w:tc>
        <w:tc>
          <w:tcPr>
            <w:tcW w:w="0" w:type="auto"/>
            <w:shd w:val="clear" w:color="auto" w:fill="auto"/>
          </w:tcPr>
          <w:p w14:paraId="0CE6A714"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14:paraId="07A46922"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14:paraId="4962000A" w14:textId="77777777" w:rsidR="008C5CFA" w:rsidRPr="00A92B39" w:rsidRDefault="00E82A60" w:rsidP="00300A01">
            <w:pPr>
              <w:spacing w:before="0" w:after="0"/>
              <w:jc w:val="right"/>
              <w:rPr>
                <w:sz w:val="10"/>
                <w:szCs w:val="10"/>
                <w:lang w:val="fr-BE"/>
              </w:rPr>
            </w:pPr>
            <w:r>
              <w:rPr>
                <w:noProof/>
                <w:sz w:val="10"/>
                <w:szCs w:val="10"/>
                <w:lang w:val="fr-BE"/>
              </w:rPr>
              <w:t>1,67</w:t>
            </w:r>
          </w:p>
        </w:tc>
        <w:tc>
          <w:tcPr>
            <w:tcW w:w="0" w:type="auto"/>
            <w:shd w:val="clear" w:color="auto" w:fill="auto"/>
          </w:tcPr>
          <w:p w14:paraId="4FA84C6F" w14:textId="77777777" w:rsidR="008C5CFA" w:rsidRPr="00A92B39" w:rsidRDefault="008C5CFA" w:rsidP="00300A01">
            <w:pPr>
              <w:spacing w:before="0" w:after="0"/>
              <w:jc w:val="right"/>
              <w:rPr>
                <w:sz w:val="10"/>
                <w:szCs w:val="10"/>
                <w:lang w:val="fr-BE"/>
              </w:rPr>
            </w:pPr>
          </w:p>
        </w:tc>
        <w:tc>
          <w:tcPr>
            <w:tcW w:w="0" w:type="auto"/>
            <w:shd w:val="clear" w:color="auto" w:fill="auto"/>
          </w:tcPr>
          <w:p w14:paraId="06891F23" w14:textId="77777777" w:rsidR="008C5CFA" w:rsidRPr="00A92B39" w:rsidRDefault="008C5CFA" w:rsidP="00300A01">
            <w:pPr>
              <w:spacing w:before="0" w:after="0"/>
              <w:jc w:val="right"/>
              <w:rPr>
                <w:sz w:val="10"/>
                <w:szCs w:val="10"/>
                <w:lang w:val="fr-BE"/>
              </w:rPr>
            </w:pPr>
          </w:p>
        </w:tc>
        <w:tc>
          <w:tcPr>
            <w:tcW w:w="0" w:type="auto"/>
          </w:tcPr>
          <w:p w14:paraId="557C28E7" w14:textId="77777777" w:rsidR="008C5CFA" w:rsidRPr="00A92B39" w:rsidRDefault="00E82A60" w:rsidP="00300A01">
            <w:pPr>
              <w:spacing w:before="0" w:after="0"/>
              <w:jc w:val="right"/>
              <w:rPr>
                <w:sz w:val="10"/>
                <w:szCs w:val="10"/>
                <w:lang w:val="fr-BE"/>
              </w:rPr>
            </w:pPr>
            <w:r w:rsidRPr="00A92B39">
              <w:rPr>
                <w:noProof/>
                <w:sz w:val="10"/>
                <w:szCs w:val="10"/>
                <w:lang w:val="fr-BE"/>
              </w:rPr>
              <w:t>1,00</w:t>
            </w:r>
          </w:p>
        </w:tc>
        <w:tc>
          <w:tcPr>
            <w:tcW w:w="0" w:type="auto"/>
            <w:shd w:val="clear" w:color="auto" w:fill="auto"/>
          </w:tcPr>
          <w:p w14:paraId="1739FFAF"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14:paraId="2712A748"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r>
      <w:tr w:rsidR="006B2EC1" w14:paraId="0050180B" w14:textId="77777777" w:rsidTr="002A1502">
        <w:tc>
          <w:tcPr>
            <w:tcW w:w="0" w:type="auto"/>
            <w:shd w:val="clear" w:color="auto" w:fill="auto"/>
          </w:tcPr>
          <w:p w14:paraId="7BB87A2F" w14:textId="77777777" w:rsidR="008C5CFA" w:rsidRPr="00A92B39" w:rsidRDefault="00E82A60" w:rsidP="00300A01">
            <w:pPr>
              <w:spacing w:before="0" w:after="0"/>
              <w:rPr>
                <w:sz w:val="10"/>
                <w:szCs w:val="10"/>
                <w:lang w:val="fr-BE"/>
              </w:rPr>
            </w:pPr>
            <w:r w:rsidRPr="00A92B39">
              <w:rPr>
                <w:noProof/>
                <w:sz w:val="10"/>
                <w:szCs w:val="10"/>
                <w:lang w:val="fr-BE"/>
              </w:rPr>
              <w:t>108</w:t>
            </w:r>
          </w:p>
        </w:tc>
        <w:tc>
          <w:tcPr>
            <w:tcW w:w="0" w:type="auto"/>
            <w:shd w:val="clear" w:color="auto" w:fill="auto"/>
          </w:tcPr>
          <w:p w14:paraId="6F3452B6" w14:textId="77777777" w:rsidR="008C5CFA" w:rsidRPr="00A92B39" w:rsidRDefault="00E82A60" w:rsidP="00300A01">
            <w:pPr>
              <w:spacing w:before="0" w:after="0"/>
              <w:rPr>
                <w:sz w:val="10"/>
                <w:szCs w:val="10"/>
                <w:lang w:val="fr-BE"/>
              </w:rPr>
            </w:pPr>
            <w:r w:rsidRPr="00A92B39">
              <w:rPr>
                <w:noProof/>
                <w:sz w:val="10"/>
                <w:szCs w:val="10"/>
                <w:lang w:val="fr-BE"/>
              </w:rPr>
              <w:t>Liczba szkół i placówek kształcenia zawodowego doposażonych w sprzęt i materiały dydaktyczne niezbędne do realizacji kształcenia zawodowego</w:t>
            </w:r>
          </w:p>
        </w:tc>
        <w:tc>
          <w:tcPr>
            <w:tcW w:w="0" w:type="auto"/>
            <w:shd w:val="clear" w:color="auto" w:fill="auto"/>
          </w:tcPr>
          <w:p w14:paraId="4555F0DA" w14:textId="77777777" w:rsidR="008C5CFA" w:rsidRPr="00A92B39" w:rsidRDefault="00E82A60" w:rsidP="00300A01">
            <w:pPr>
              <w:spacing w:before="0" w:after="0"/>
              <w:rPr>
                <w:sz w:val="10"/>
                <w:szCs w:val="10"/>
                <w:lang w:val="fr-BE"/>
              </w:rPr>
            </w:pPr>
            <w:r w:rsidRPr="00A92B39">
              <w:rPr>
                <w:noProof/>
                <w:sz w:val="10"/>
                <w:szCs w:val="10"/>
                <w:lang w:val="fr-BE"/>
              </w:rPr>
              <w:t>Słabiej rozwinięte</w:t>
            </w:r>
          </w:p>
        </w:tc>
        <w:tc>
          <w:tcPr>
            <w:tcW w:w="0" w:type="auto"/>
          </w:tcPr>
          <w:p w14:paraId="0D05A1DB" w14:textId="77777777" w:rsidR="008C5CFA" w:rsidRPr="00A92B39" w:rsidRDefault="00E82A60" w:rsidP="00300A01">
            <w:pPr>
              <w:spacing w:before="0" w:after="0"/>
              <w:rPr>
                <w:sz w:val="10"/>
                <w:szCs w:val="10"/>
                <w:lang w:val="fr-BE"/>
              </w:rPr>
            </w:pPr>
            <w:r w:rsidRPr="00A92B39">
              <w:rPr>
                <w:noProof/>
                <w:sz w:val="10"/>
                <w:szCs w:val="10"/>
                <w:lang w:val="fr-BE"/>
              </w:rPr>
              <w:t>szt.</w:t>
            </w:r>
          </w:p>
        </w:tc>
        <w:tc>
          <w:tcPr>
            <w:tcW w:w="0" w:type="auto"/>
            <w:shd w:val="clear" w:color="auto" w:fill="auto"/>
          </w:tcPr>
          <w:p w14:paraId="2C1F0D0D" w14:textId="77777777" w:rsidR="008C5CFA" w:rsidRPr="00A92B39" w:rsidRDefault="00E82A60" w:rsidP="00300A01">
            <w:pPr>
              <w:spacing w:before="0" w:after="0"/>
              <w:jc w:val="right"/>
              <w:rPr>
                <w:sz w:val="10"/>
                <w:szCs w:val="10"/>
                <w:lang w:val="fr-BE"/>
              </w:rPr>
            </w:pPr>
            <w:r w:rsidRPr="00A92B39">
              <w:rPr>
                <w:noProof/>
                <w:sz w:val="10"/>
                <w:szCs w:val="10"/>
                <w:lang w:val="fr-BE"/>
              </w:rPr>
              <w:t>156,00</w:t>
            </w:r>
          </w:p>
        </w:tc>
        <w:tc>
          <w:tcPr>
            <w:tcW w:w="0" w:type="auto"/>
            <w:shd w:val="clear" w:color="auto" w:fill="auto"/>
          </w:tcPr>
          <w:p w14:paraId="3E4471EE" w14:textId="77777777" w:rsidR="008C5CFA" w:rsidRPr="00A92B39" w:rsidRDefault="008C5CFA" w:rsidP="00300A01">
            <w:pPr>
              <w:spacing w:before="0" w:after="0"/>
              <w:jc w:val="right"/>
              <w:rPr>
                <w:sz w:val="10"/>
                <w:szCs w:val="10"/>
                <w:lang w:val="fr-BE"/>
              </w:rPr>
            </w:pPr>
          </w:p>
        </w:tc>
        <w:tc>
          <w:tcPr>
            <w:tcW w:w="0" w:type="auto"/>
            <w:shd w:val="clear" w:color="auto" w:fill="auto"/>
          </w:tcPr>
          <w:p w14:paraId="62D398DE" w14:textId="77777777" w:rsidR="008C5CFA" w:rsidRPr="00A92B39" w:rsidRDefault="008C5CFA" w:rsidP="00300A01">
            <w:pPr>
              <w:spacing w:before="0" w:after="0"/>
              <w:jc w:val="right"/>
              <w:rPr>
                <w:sz w:val="10"/>
                <w:szCs w:val="10"/>
                <w:lang w:val="fr-BE"/>
              </w:rPr>
            </w:pPr>
          </w:p>
        </w:tc>
        <w:tc>
          <w:tcPr>
            <w:tcW w:w="0" w:type="auto"/>
            <w:shd w:val="clear" w:color="auto" w:fill="auto"/>
          </w:tcPr>
          <w:p w14:paraId="6A9C5B95" w14:textId="77777777" w:rsidR="008C5CFA" w:rsidRPr="00A92B39" w:rsidRDefault="00E82A60" w:rsidP="00300A01">
            <w:pPr>
              <w:spacing w:before="0" w:after="0"/>
              <w:jc w:val="right"/>
              <w:rPr>
                <w:sz w:val="10"/>
                <w:szCs w:val="10"/>
                <w:lang w:val="fr-BE"/>
              </w:rPr>
            </w:pPr>
            <w:r w:rsidRPr="00A92B39">
              <w:rPr>
                <w:noProof/>
                <w:sz w:val="10"/>
                <w:szCs w:val="10"/>
                <w:lang w:val="fr-BE"/>
              </w:rPr>
              <w:t>140,00</w:t>
            </w:r>
          </w:p>
        </w:tc>
        <w:tc>
          <w:tcPr>
            <w:tcW w:w="0" w:type="auto"/>
            <w:shd w:val="clear" w:color="auto" w:fill="auto"/>
          </w:tcPr>
          <w:p w14:paraId="0B72424B"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14:paraId="3965DE96"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14:paraId="1418E1D5" w14:textId="77777777" w:rsidR="008C5CFA" w:rsidRPr="00A92B39" w:rsidRDefault="00E82A60" w:rsidP="00300A01">
            <w:pPr>
              <w:spacing w:before="0" w:after="0"/>
              <w:jc w:val="right"/>
              <w:rPr>
                <w:sz w:val="10"/>
                <w:szCs w:val="10"/>
                <w:lang w:val="fr-BE"/>
              </w:rPr>
            </w:pPr>
            <w:r>
              <w:rPr>
                <w:noProof/>
                <w:sz w:val="10"/>
                <w:szCs w:val="10"/>
                <w:lang w:val="fr-BE"/>
              </w:rPr>
              <w:t>0,90</w:t>
            </w:r>
          </w:p>
        </w:tc>
        <w:tc>
          <w:tcPr>
            <w:tcW w:w="0" w:type="auto"/>
            <w:shd w:val="clear" w:color="auto" w:fill="auto"/>
          </w:tcPr>
          <w:p w14:paraId="199C6AD8" w14:textId="77777777" w:rsidR="008C5CFA" w:rsidRPr="00A92B39" w:rsidRDefault="008C5CFA" w:rsidP="00300A01">
            <w:pPr>
              <w:spacing w:before="0" w:after="0"/>
              <w:jc w:val="right"/>
              <w:rPr>
                <w:sz w:val="10"/>
                <w:szCs w:val="10"/>
                <w:lang w:val="fr-BE"/>
              </w:rPr>
            </w:pPr>
          </w:p>
        </w:tc>
        <w:tc>
          <w:tcPr>
            <w:tcW w:w="0" w:type="auto"/>
            <w:shd w:val="clear" w:color="auto" w:fill="auto"/>
          </w:tcPr>
          <w:p w14:paraId="20BB985E" w14:textId="77777777" w:rsidR="008C5CFA" w:rsidRPr="00A92B39" w:rsidRDefault="008C5CFA" w:rsidP="00300A01">
            <w:pPr>
              <w:spacing w:before="0" w:after="0"/>
              <w:jc w:val="right"/>
              <w:rPr>
                <w:sz w:val="10"/>
                <w:szCs w:val="10"/>
                <w:lang w:val="fr-BE"/>
              </w:rPr>
            </w:pPr>
          </w:p>
        </w:tc>
        <w:tc>
          <w:tcPr>
            <w:tcW w:w="0" w:type="auto"/>
          </w:tcPr>
          <w:p w14:paraId="57D114F4" w14:textId="77777777" w:rsidR="008C5CFA" w:rsidRPr="00A92B39" w:rsidRDefault="00E82A60" w:rsidP="00300A01">
            <w:pPr>
              <w:spacing w:before="0" w:after="0"/>
              <w:jc w:val="right"/>
              <w:rPr>
                <w:sz w:val="10"/>
                <w:szCs w:val="10"/>
                <w:lang w:val="fr-BE"/>
              </w:rPr>
            </w:pPr>
            <w:r w:rsidRPr="00A92B39">
              <w:rPr>
                <w:noProof/>
                <w:sz w:val="10"/>
                <w:szCs w:val="10"/>
                <w:lang w:val="fr-BE"/>
              </w:rPr>
              <w:t>30,00</w:t>
            </w:r>
          </w:p>
        </w:tc>
        <w:tc>
          <w:tcPr>
            <w:tcW w:w="0" w:type="auto"/>
            <w:shd w:val="clear" w:color="auto" w:fill="auto"/>
          </w:tcPr>
          <w:p w14:paraId="0B1DC76F"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14:paraId="1078AB4B"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r>
      <w:tr w:rsidR="006B2EC1" w14:paraId="5468446A" w14:textId="77777777" w:rsidTr="002A1502">
        <w:tc>
          <w:tcPr>
            <w:tcW w:w="0" w:type="auto"/>
            <w:shd w:val="clear" w:color="auto" w:fill="auto"/>
          </w:tcPr>
          <w:p w14:paraId="1BB70F87" w14:textId="77777777" w:rsidR="008C5CFA" w:rsidRPr="00A92B39" w:rsidRDefault="00E82A60" w:rsidP="00300A01">
            <w:pPr>
              <w:spacing w:before="0" w:after="0"/>
              <w:rPr>
                <w:sz w:val="10"/>
                <w:szCs w:val="10"/>
                <w:lang w:val="fr-BE"/>
              </w:rPr>
            </w:pPr>
            <w:r w:rsidRPr="00A92B39">
              <w:rPr>
                <w:noProof/>
                <w:sz w:val="10"/>
                <w:szCs w:val="10"/>
                <w:lang w:val="fr-BE"/>
              </w:rPr>
              <w:t>109</w:t>
            </w:r>
          </w:p>
        </w:tc>
        <w:tc>
          <w:tcPr>
            <w:tcW w:w="0" w:type="auto"/>
            <w:shd w:val="clear" w:color="auto" w:fill="auto"/>
          </w:tcPr>
          <w:p w14:paraId="58DB63FE" w14:textId="77777777" w:rsidR="008C5CFA" w:rsidRPr="00A92B39" w:rsidRDefault="00E82A60" w:rsidP="00300A01">
            <w:pPr>
              <w:spacing w:before="0" w:after="0"/>
              <w:rPr>
                <w:sz w:val="10"/>
                <w:szCs w:val="10"/>
                <w:lang w:val="fr-BE"/>
              </w:rPr>
            </w:pPr>
            <w:r w:rsidRPr="00A92B39">
              <w:rPr>
                <w:noProof/>
                <w:sz w:val="10"/>
                <w:szCs w:val="10"/>
                <w:lang w:val="fr-BE"/>
              </w:rPr>
              <w:t>Liczba uczniów szkół i placówek kształcenia zawodowego uczestniczących w stażach i praktykach u pracodawcy</w:t>
            </w:r>
          </w:p>
        </w:tc>
        <w:tc>
          <w:tcPr>
            <w:tcW w:w="0" w:type="auto"/>
            <w:shd w:val="clear" w:color="auto" w:fill="auto"/>
          </w:tcPr>
          <w:p w14:paraId="7397E71B" w14:textId="77777777" w:rsidR="008C5CFA" w:rsidRPr="00A92B39" w:rsidRDefault="00E82A60" w:rsidP="00300A01">
            <w:pPr>
              <w:spacing w:before="0" w:after="0"/>
              <w:rPr>
                <w:sz w:val="10"/>
                <w:szCs w:val="10"/>
                <w:lang w:val="fr-BE"/>
              </w:rPr>
            </w:pPr>
            <w:r w:rsidRPr="00A92B39">
              <w:rPr>
                <w:noProof/>
                <w:sz w:val="10"/>
                <w:szCs w:val="10"/>
                <w:lang w:val="fr-BE"/>
              </w:rPr>
              <w:t>Słabiej rozwinięte</w:t>
            </w:r>
          </w:p>
        </w:tc>
        <w:tc>
          <w:tcPr>
            <w:tcW w:w="0" w:type="auto"/>
          </w:tcPr>
          <w:p w14:paraId="2589DCDD" w14:textId="77777777" w:rsidR="008C5CFA" w:rsidRPr="00A92B39" w:rsidRDefault="00E82A60" w:rsidP="00300A01">
            <w:pPr>
              <w:spacing w:before="0" w:after="0"/>
              <w:rPr>
                <w:sz w:val="10"/>
                <w:szCs w:val="10"/>
                <w:lang w:val="fr-BE"/>
              </w:rPr>
            </w:pPr>
            <w:r w:rsidRPr="00A92B39">
              <w:rPr>
                <w:noProof/>
                <w:sz w:val="10"/>
                <w:szCs w:val="10"/>
                <w:lang w:val="fr-BE"/>
              </w:rPr>
              <w:t>osoba</w:t>
            </w:r>
          </w:p>
        </w:tc>
        <w:tc>
          <w:tcPr>
            <w:tcW w:w="0" w:type="auto"/>
            <w:shd w:val="clear" w:color="auto" w:fill="auto"/>
          </w:tcPr>
          <w:p w14:paraId="34EACD0C" w14:textId="77777777" w:rsidR="008C5CFA" w:rsidRPr="00A92B39" w:rsidRDefault="00E82A60" w:rsidP="00300A01">
            <w:pPr>
              <w:spacing w:before="0" w:after="0"/>
              <w:jc w:val="right"/>
              <w:rPr>
                <w:sz w:val="10"/>
                <w:szCs w:val="10"/>
                <w:lang w:val="fr-BE"/>
              </w:rPr>
            </w:pPr>
            <w:r w:rsidRPr="00A92B39">
              <w:rPr>
                <w:noProof/>
                <w:sz w:val="10"/>
                <w:szCs w:val="10"/>
                <w:lang w:val="fr-BE"/>
              </w:rPr>
              <w:t>3 487,00</w:t>
            </w:r>
          </w:p>
        </w:tc>
        <w:tc>
          <w:tcPr>
            <w:tcW w:w="0" w:type="auto"/>
            <w:shd w:val="clear" w:color="auto" w:fill="auto"/>
          </w:tcPr>
          <w:p w14:paraId="2EC91921" w14:textId="77777777" w:rsidR="008C5CFA" w:rsidRPr="00A92B39" w:rsidRDefault="008C5CFA" w:rsidP="00300A01">
            <w:pPr>
              <w:spacing w:before="0" w:after="0"/>
              <w:jc w:val="right"/>
              <w:rPr>
                <w:sz w:val="10"/>
                <w:szCs w:val="10"/>
                <w:lang w:val="fr-BE"/>
              </w:rPr>
            </w:pPr>
          </w:p>
        </w:tc>
        <w:tc>
          <w:tcPr>
            <w:tcW w:w="0" w:type="auto"/>
            <w:shd w:val="clear" w:color="auto" w:fill="auto"/>
          </w:tcPr>
          <w:p w14:paraId="73D5E3AC" w14:textId="77777777" w:rsidR="008C5CFA" w:rsidRPr="00A92B39" w:rsidRDefault="008C5CFA" w:rsidP="00300A01">
            <w:pPr>
              <w:spacing w:before="0" w:after="0"/>
              <w:jc w:val="right"/>
              <w:rPr>
                <w:sz w:val="10"/>
                <w:szCs w:val="10"/>
                <w:lang w:val="fr-BE"/>
              </w:rPr>
            </w:pPr>
          </w:p>
        </w:tc>
        <w:tc>
          <w:tcPr>
            <w:tcW w:w="0" w:type="auto"/>
            <w:shd w:val="clear" w:color="auto" w:fill="auto"/>
          </w:tcPr>
          <w:p w14:paraId="6F8C31C5" w14:textId="77777777" w:rsidR="008C5CFA" w:rsidRPr="00A92B39" w:rsidRDefault="00E82A60" w:rsidP="00300A01">
            <w:pPr>
              <w:spacing w:before="0" w:after="0"/>
              <w:jc w:val="right"/>
              <w:rPr>
                <w:sz w:val="10"/>
                <w:szCs w:val="10"/>
                <w:lang w:val="fr-BE"/>
              </w:rPr>
            </w:pPr>
            <w:r w:rsidRPr="00A92B39">
              <w:rPr>
                <w:noProof/>
                <w:sz w:val="10"/>
                <w:szCs w:val="10"/>
                <w:lang w:val="fr-BE"/>
              </w:rPr>
              <w:t>3 895,00</w:t>
            </w:r>
          </w:p>
        </w:tc>
        <w:tc>
          <w:tcPr>
            <w:tcW w:w="0" w:type="auto"/>
            <w:shd w:val="clear" w:color="auto" w:fill="auto"/>
          </w:tcPr>
          <w:p w14:paraId="705E4F2B"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14:paraId="6D102785"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14:paraId="1FC8FFBF" w14:textId="77777777" w:rsidR="008C5CFA" w:rsidRPr="00A92B39" w:rsidRDefault="00E82A60" w:rsidP="00300A01">
            <w:pPr>
              <w:spacing w:before="0" w:after="0"/>
              <w:jc w:val="right"/>
              <w:rPr>
                <w:sz w:val="10"/>
                <w:szCs w:val="10"/>
                <w:lang w:val="fr-BE"/>
              </w:rPr>
            </w:pPr>
            <w:r>
              <w:rPr>
                <w:noProof/>
                <w:sz w:val="10"/>
                <w:szCs w:val="10"/>
                <w:lang w:val="fr-BE"/>
              </w:rPr>
              <w:t>1,12</w:t>
            </w:r>
          </w:p>
        </w:tc>
        <w:tc>
          <w:tcPr>
            <w:tcW w:w="0" w:type="auto"/>
            <w:shd w:val="clear" w:color="auto" w:fill="auto"/>
          </w:tcPr>
          <w:p w14:paraId="7D08018C" w14:textId="77777777" w:rsidR="008C5CFA" w:rsidRPr="00A92B39" w:rsidRDefault="008C5CFA" w:rsidP="00300A01">
            <w:pPr>
              <w:spacing w:before="0" w:after="0"/>
              <w:jc w:val="right"/>
              <w:rPr>
                <w:sz w:val="10"/>
                <w:szCs w:val="10"/>
                <w:lang w:val="fr-BE"/>
              </w:rPr>
            </w:pPr>
          </w:p>
        </w:tc>
        <w:tc>
          <w:tcPr>
            <w:tcW w:w="0" w:type="auto"/>
            <w:shd w:val="clear" w:color="auto" w:fill="auto"/>
          </w:tcPr>
          <w:p w14:paraId="37305CC8" w14:textId="77777777" w:rsidR="008C5CFA" w:rsidRPr="00A92B39" w:rsidRDefault="008C5CFA" w:rsidP="00300A01">
            <w:pPr>
              <w:spacing w:before="0" w:after="0"/>
              <w:jc w:val="right"/>
              <w:rPr>
                <w:sz w:val="10"/>
                <w:szCs w:val="10"/>
                <w:lang w:val="fr-BE"/>
              </w:rPr>
            </w:pPr>
          </w:p>
        </w:tc>
        <w:tc>
          <w:tcPr>
            <w:tcW w:w="0" w:type="auto"/>
          </w:tcPr>
          <w:p w14:paraId="5564477C" w14:textId="77777777" w:rsidR="008C5CFA" w:rsidRPr="00A92B39" w:rsidRDefault="00E82A60" w:rsidP="00300A01">
            <w:pPr>
              <w:spacing w:before="0" w:after="0"/>
              <w:jc w:val="right"/>
              <w:rPr>
                <w:sz w:val="10"/>
                <w:szCs w:val="10"/>
                <w:lang w:val="fr-BE"/>
              </w:rPr>
            </w:pPr>
            <w:r w:rsidRPr="00A92B39">
              <w:rPr>
                <w:noProof/>
                <w:sz w:val="10"/>
                <w:szCs w:val="10"/>
                <w:lang w:val="fr-BE"/>
              </w:rPr>
              <w:t>1 707,00</w:t>
            </w:r>
          </w:p>
        </w:tc>
        <w:tc>
          <w:tcPr>
            <w:tcW w:w="0" w:type="auto"/>
            <w:shd w:val="clear" w:color="auto" w:fill="auto"/>
          </w:tcPr>
          <w:p w14:paraId="0317504B"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14:paraId="30700478"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r>
    </w:tbl>
    <w:p w14:paraId="3F1578AA"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33"/>
        <w:gridCol w:w="6717"/>
        <w:gridCol w:w="944"/>
        <w:gridCol w:w="459"/>
        <w:gridCol w:w="570"/>
        <w:gridCol w:w="445"/>
        <w:gridCol w:w="439"/>
        <w:gridCol w:w="570"/>
        <w:gridCol w:w="445"/>
        <w:gridCol w:w="439"/>
        <w:gridCol w:w="570"/>
        <w:gridCol w:w="445"/>
        <w:gridCol w:w="439"/>
        <w:gridCol w:w="570"/>
        <w:gridCol w:w="445"/>
        <w:gridCol w:w="439"/>
        <w:gridCol w:w="570"/>
        <w:gridCol w:w="445"/>
      </w:tblGrid>
      <w:tr w:rsidR="006B2EC1" w14:paraId="2A2BB0E8" w14:textId="77777777" w:rsidTr="0047688D">
        <w:trPr>
          <w:tblHeader/>
        </w:trPr>
        <w:tc>
          <w:tcPr>
            <w:tcW w:w="0" w:type="auto"/>
            <w:shd w:val="clear" w:color="auto" w:fill="auto"/>
          </w:tcPr>
          <w:p w14:paraId="35C2E9A6" w14:textId="77777777" w:rsidR="008C5CFA" w:rsidRPr="00A92B39" w:rsidRDefault="00E82A60" w:rsidP="00300A01">
            <w:pPr>
              <w:spacing w:before="0" w:after="0"/>
              <w:rPr>
                <w:b/>
                <w:sz w:val="10"/>
                <w:szCs w:val="10"/>
                <w:lang w:val="fr-BE"/>
              </w:rPr>
            </w:pPr>
            <w:r w:rsidRPr="00A92B39">
              <w:rPr>
                <w:b/>
                <w:noProof/>
                <w:sz w:val="10"/>
                <w:szCs w:val="10"/>
                <w:lang w:val="fr-BE"/>
              </w:rPr>
              <w:t>ID</w:t>
            </w:r>
          </w:p>
        </w:tc>
        <w:tc>
          <w:tcPr>
            <w:tcW w:w="0" w:type="auto"/>
            <w:shd w:val="clear" w:color="auto" w:fill="auto"/>
          </w:tcPr>
          <w:p w14:paraId="118A619F" w14:textId="77777777" w:rsidR="008C5CFA" w:rsidRPr="00A92B39" w:rsidRDefault="00E82A60" w:rsidP="00300A01">
            <w:pPr>
              <w:spacing w:before="0" w:after="0"/>
              <w:rPr>
                <w:b/>
                <w:sz w:val="10"/>
                <w:szCs w:val="10"/>
                <w:lang w:val="fr-BE"/>
              </w:rPr>
            </w:pPr>
            <w:r w:rsidRPr="00A92B39">
              <w:rPr>
                <w:b/>
                <w:noProof/>
                <w:sz w:val="10"/>
                <w:szCs w:val="10"/>
                <w:lang w:val="fr-BE"/>
              </w:rPr>
              <w:t>Wskaźnik</w:t>
            </w:r>
          </w:p>
        </w:tc>
        <w:tc>
          <w:tcPr>
            <w:tcW w:w="0" w:type="auto"/>
            <w:shd w:val="clear" w:color="auto" w:fill="auto"/>
          </w:tcPr>
          <w:p w14:paraId="04CFBBD9" w14:textId="77777777" w:rsidR="008C5CFA" w:rsidRPr="00A92B39" w:rsidRDefault="00E82A60" w:rsidP="00300A01">
            <w:pPr>
              <w:spacing w:before="0" w:after="0"/>
              <w:rPr>
                <w:b/>
                <w:sz w:val="10"/>
                <w:szCs w:val="10"/>
                <w:lang w:val="fr-BE"/>
              </w:rPr>
            </w:pPr>
            <w:r w:rsidRPr="00A92B39">
              <w:rPr>
                <w:b/>
                <w:noProof/>
                <w:sz w:val="10"/>
                <w:szCs w:val="10"/>
                <w:lang w:val="fr-BE"/>
              </w:rPr>
              <w:t>Kategoria regionu</w:t>
            </w:r>
          </w:p>
        </w:tc>
        <w:tc>
          <w:tcPr>
            <w:tcW w:w="0" w:type="auto"/>
            <w:gridSpan w:val="3"/>
            <w:shd w:val="clear" w:color="auto" w:fill="auto"/>
          </w:tcPr>
          <w:p w14:paraId="30663851" w14:textId="77777777" w:rsidR="008C5CFA" w:rsidRPr="00A92B39" w:rsidRDefault="00E82A60" w:rsidP="00300A01">
            <w:pPr>
              <w:spacing w:before="0" w:after="0"/>
              <w:jc w:val="center"/>
              <w:rPr>
                <w:b/>
                <w:sz w:val="10"/>
                <w:szCs w:val="10"/>
                <w:lang w:val="fr-BE"/>
              </w:rPr>
            </w:pPr>
            <w:r w:rsidRPr="00A92B39">
              <w:rPr>
                <w:b/>
                <w:sz w:val="10"/>
                <w:szCs w:val="10"/>
                <w:lang w:val="fr-BE"/>
              </w:rPr>
              <w:t>20</w:t>
            </w:r>
            <w:r>
              <w:rPr>
                <w:b/>
                <w:sz w:val="10"/>
                <w:szCs w:val="10"/>
                <w:lang w:val="fr-BE"/>
              </w:rPr>
              <w:t>18</w:t>
            </w:r>
          </w:p>
        </w:tc>
        <w:tc>
          <w:tcPr>
            <w:tcW w:w="0" w:type="auto"/>
            <w:gridSpan w:val="3"/>
          </w:tcPr>
          <w:p w14:paraId="5C8B5603" w14:textId="77777777" w:rsidR="008C5CFA" w:rsidRPr="00A92B39" w:rsidRDefault="00E82A60" w:rsidP="00300A01">
            <w:pPr>
              <w:spacing w:before="0" w:after="0"/>
              <w:jc w:val="center"/>
              <w:rPr>
                <w:b/>
                <w:sz w:val="10"/>
                <w:szCs w:val="10"/>
                <w:lang w:val="fr-BE"/>
              </w:rPr>
            </w:pPr>
            <w:r>
              <w:rPr>
                <w:b/>
                <w:sz w:val="10"/>
                <w:szCs w:val="10"/>
                <w:lang w:val="fr-BE"/>
              </w:rPr>
              <w:t>2017</w:t>
            </w:r>
          </w:p>
        </w:tc>
        <w:tc>
          <w:tcPr>
            <w:tcW w:w="0" w:type="auto"/>
            <w:gridSpan w:val="3"/>
          </w:tcPr>
          <w:p w14:paraId="686FA214" w14:textId="77777777" w:rsidR="008C5CFA" w:rsidRDefault="00E82A60" w:rsidP="00300A01">
            <w:pPr>
              <w:spacing w:before="0" w:after="0"/>
              <w:jc w:val="center"/>
              <w:rPr>
                <w:b/>
                <w:sz w:val="10"/>
                <w:szCs w:val="10"/>
                <w:lang w:val="fr-BE"/>
              </w:rPr>
            </w:pPr>
            <w:r>
              <w:rPr>
                <w:b/>
                <w:sz w:val="10"/>
                <w:szCs w:val="10"/>
                <w:lang w:val="fr-BE"/>
              </w:rPr>
              <w:t>2016</w:t>
            </w:r>
          </w:p>
        </w:tc>
        <w:tc>
          <w:tcPr>
            <w:tcW w:w="0" w:type="auto"/>
            <w:gridSpan w:val="3"/>
          </w:tcPr>
          <w:p w14:paraId="1DA9D62C" w14:textId="77777777" w:rsidR="008C5CFA" w:rsidRDefault="00E82A60" w:rsidP="00300A01">
            <w:pPr>
              <w:spacing w:before="0" w:after="0"/>
              <w:jc w:val="center"/>
              <w:rPr>
                <w:b/>
                <w:sz w:val="10"/>
                <w:szCs w:val="10"/>
                <w:lang w:val="fr-BE"/>
              </w:rPr>
            </w:pPr>
            <w:r>
              <w:rPr>
                <w:b/>
                <w:sz w:val="10"/>
                <w:szCs w:val="10"/>
                <w:lang w:val="fr-BE"/>
              </w:rPr>
              <w:t>2015</w:t>
            </w:r>
          </w:p>
        </w:tc>
        <w:tc>
          <w:tcPr>
            <w:tcW w:w="0" w:type="auto"/>
            <w:gridSpan w:val="3"/>
          </w:tcPr>
          <w:p w14:paraId="178A27F5" w14:textId="77777777" w:rsidR="008C5CFA" w:rsidRDefault="00E82A60" w:rsidP="00300A01">
            <w:pPr>
              <w:spacing w:before="0" w:after="0"/>
              <w:jc w:val="center"/>
              <w:rPr>
                <w:b/>
                <w:sz w:val="10"/>
                <w:szCs w:val="10"/>
                <w:lang w:val="fr-BE"/>
              </w:rPr>
            </w:pPr>
            <w:r>
              <w:rPr>
                <w:b/>
                <w:sz w:val="10"/>
                <w:szCs w:val="10"/>
                <w:lang w:val="fr-BE"/>
              </w:rPr>
              <w:t>2014</w:t>
            </w:r>
          </w:p>
        </w:tc>
      </w:tr>
      <w:tr w:rsidR="006B2EC1" w14:paraId="164EDBDF" w14:textId="77777777" w:rsidTr="0047688D">
        <w:trPr>
          <w:tblHeader/>
        </w:trPr>
        <w:tc>
          <w:tcPr>
            <w:tcW w:w="0" w:type="auto"/>
            <w:shd w:val="clear" w:color="auto" w:fill="auto"/>
          </w:tcPr>
          <w:p w14:paraId="692E7205" w14:textId="77777777" w:rsidR="008C5CFA" w:rsidRPr="00A92B39" w:rsidRDefault="008C5CFA" w:rsidP="00300A01">
            <w:pPr>
              <w:spacing w:before="0" w:after="0"/>
              <w:rPr>
                <w:sz w:val="10"/>
                <w:szCs w:val="10"/>
                <w:lang w:val="fr-BE"/>
              </w:rPr>
            </w:pPr>
          </w:p>
        </w:tc>
        <w:tc>
          <w:tcPr>
            <w:tcW w:w="0" w:type="auto"/>
            <w:shd w:val="clear" w:color="auto" w:fill="auto"/>
          </w:tcPr>
          <w:p w14:paraId="35D91D6F" w14:textId="77777777" w:rsidR="008C5CFA" w:rsidRPr="00A92B39" w:rsidRDefault="008C5CFA" w:rsidP="00300A01">
            <w:pPr>
              <w:spacing w:before="0" w:after="0"/>
              <w:rPr>
                <w:sz w:val="10"/>
                <w:szCs w:val="10"/>
                <w:lang w:val="fr-BE"/>
              </w:rPr>
            </w:pPr>
          </w:p>
        </w:tc>
        <w:tc>
          <w:tcPr>
            <w:tcW w:w="0" w:type="auto"/>
            <w:shd w:val="clear" w:color="auto" w:fill="auto"/>
          </w:tcPr>
          <w:p w14:paraId="654AE937" w14:textId="77777777" w:rsidR="008C5CFA" w:rsidRPr="00A92B39" w:rsidRDefault="008C5CFA" w:rsidP="00300A01">
            <w:pPr>
              <w:spacing w:before="0" w:after="0"/>
              <w:rPr>
                <w:sz w:val="10"/>
                <w:szCs w:val="10"/>
                <w:lang w:val="fr-BE"/>
              </w:rPr>
            </w:pPr>
          </w:p>
        </w:tc>
        <w:tc>
          <w:tcPr>
            <w:tcW w:w="0" w:type="auto"/>
            <w:shd w:val="clear" w:color="auto" w:fill="auto"/>
          </w:tcPr>
          <w:p w14:paraId="05E1BE2C" w14:textId="77777777" w:rsidR="008C5CFA" w:rsidRPr="00A92B39" w:rsidRDefault="00E82A60" w:rsidP="00300A01">
            <w:pPr>
              <w:spacing w:before="0" w:after="0"/>
              <w:jc w:val="center"/>
              <w:rPr>
                <w:b/>
                <w:sz w:val="10"/>
                <w:szCs w:val="10"/>
                <w:lang w:val="fr-BE"/>
              </w:rPr>
            </w:pPr>
            <w:r w:rsidRPr="00A92B39">
              <w:rPr>
                <w:b/>
                <w:noProof/>
                <w:sz w:val="10"/>
                <w:szCs w:val="10"/>
                <w:lang w:val="fr-BE"/>
              </w:rPr>
              <w:t>Ogółem</w:t>
            </w:r>
          </w:p>
        </w:tc>
        <w:tc>
          <w:tcPr>
            <w:tcW w:w="0" w:type="auto"/>
            <w:shd w:val="clear" w:color="auto" w:fill="auto"/>
          </w:tcPr>
          <w:p w14:paraId="404953A2" w14:textId="77777777" w:rsidR="008C5CFA" w:rsidRPr="00A92B39" w:rsidRDefault="00E82A60" w:rsidP="00300A01">
            <w:pPr>
              <w:spacing w:before="0" w:after="0"/>
              <w:jc w:val="center"/>
              <w:rPr>
                <w:b/>
                <w:sz w:val="10"/>
                <w:szCs w:val="10"/>
                <w:lang w:val="fr-BE"/>
              </w:rPr>
            </w:pPr>
            <w:r w:rsidRPr="00A92B39">
              <w:rPr>
                <w:b/>
                <w:noProof/>
                <w:sz w:val="10"/>
                <w:szCs w:val="10"/>
                <w:lang w:val="fr-BE"/>
              </w:rPr>
              <w:t>Mężczyźni</w:t>
            </w:r>
          </w:p>
        </w:tc>
        <w:tc>
          <w:tcPr>
            <w:tcW w:w="0" w:type="auto"/>
            <w:shd w:val="clear" w:color="auto" w:fill="auto"/>
          </w:tcPr>
          <w:p w14:paraId="581A49CA" w14:textId="77777777" w:rsidR="008C5CFA" w:rsidRPr="00A92B39" w:rsidRDefault="00E82A60" w:rsidP="00300A01">
            <w:pPr>
              <w:spacing w:before="0" w:after="0"/>
              <w:jc w:val="center"/>
              <w:rPr>
                <w:b/>
                <w:sz w:val="10"/>
                <w:szCs w:val="10"/>
                <w:lang w:val="fr-BE"/>
              </w:rPr>
            </w:pPr>
            <w:r w:rsidRPr="00A92B39">
              <w:rPr>
                <w:b/>
                <w:noProof/>
                <w:sz w:val="10"/>
                <w:szCs w:val="10"/>
                <w:lang w:val="fr-BE"/>
              </w:rPr>
              <w:t>Kobiety</w:t>
            </w:r>
          </w:p>
        </w:tc>
        <w:tc>
          <w:tcPr>
            <w:tcW w:w="0" w:type="auto"/>
          </w:tcPr>
          <w:p w14:paraId="038D9F5B" w14:textId="77777777" w:rsidR="008C5CFA" w:rsidRPr="00A92B39" w:rsidRDefault="00E82A60" w:rsidP="00300A01">
            <w:pPr>
              <w:spacing w:before="0" w:after="0"/>
              <w:jc w:val="center"/>
              <w:rPr>
                <w:b/>
                <w:sz w:val="10"/>
                <w:szCs w:val="10"/>
                <w:lang w:val="fr-BE"/>
              </w:rPr>
            </w:pPr>
            <w:r w:rsidRPr="00A92B39">
              <w:rPr>
                <w:b/>
                <w:noProof/>
                <w:sz w:val="10"/>
                <w:szCs w:val="10"/>
                <w:lang w:val="fr-BE"/>
              </w:rPr>
              <w:t>Ogółem</w:t>
            </w:r>
          </w:p>
        </w:tc>
        <w:tc>
          <w:tcPr>
            <w:tcW w:w="0" w:type="auto"/>
          </w:tcPr>
          <w:p w14:paraId="6B2718C8" w14:textId="77777777" w:rsidR="008C5CFA" w:rsidRPr="00A92B39" w:rsidRDefault="00E82A60" w:rsidP="00300A01">
            <w:pPr>
              <w:spacing w:before="0" w:after="0"/>
              <w:jc w:val="center"/>
              <w:rPr>
                <w:b/>
                <w:sz w:val="10"/>
                <w:szCs w:val="10"/>
                <w:lang w:val="fr-BE"/>
              </w:rPr>
            </w:pPr>
            <w:r w:rsidRPr="00A92B39">
              <w:rPr>
                <w:b/>
                <w:noProof/>
                <w:sz w:val="10"/>
                <w:szCs w:val="10"/>
                <w:lang w:val="fr-BE"/>
              </w:rPr>
              <w:t>Mężczyźni</w:t>
            </w:r>
          </w:p>
        </w:tc>
        <w:tc>
          <w:tcPr>
            <w:tcW w:w="0" w:type="auto"/>
          </w:tcPr>
          <w:p w14:paraId="55EEAFBC" w14:textId="77777777" w:rsidR="008C5CFA" w:rsidRPr="00A92B39" w:rsidRDefault="00E82A60" w:rsidP="00300A01">
            <w:pPr>
              <w:spacing w:before="0" w:after="0"/>
              <w:jc w:val="center"/>
              <w:rPr>
                <w:b/>
                <w:sz w:val="10"/>
                <w:szCs w:val="10"/>
                <w:lang w:val="fr-BE"/>
              </w:rPr>
            </w:pPr>
            <w:r w:rsidRPr="00A92B39">
              <w:rPr>
                <w:b/>
                <w:noProof/>
                <w:sz w:val="10"/>
                <w:szCs w:val="10"/>
                <w:lang w:val="fr-BE"/>
              </w:rPr>
              <w:t>Kobiety</w:t>
            </w:r>
          </w:p>
        </w:tc>
        <w:tc>
          <w:tcPr>
            <w:tcW w:w="0" w:type="auto"/>
          </w:tcPr>
          <w:p w14:paraId="40D89B89" w14:textId="77777777" w:rsidR="008C5CFA" w:rsidRPr="00A92B39" w:rsidRDefault="00E82A60" w:rsidP="00300A01">
            <w:pPr>
              <w:spacing w:before="0" w:after="0"/>
              <w:jc w:val="center"/>
              <w:rPr>
                <w:b/>
                <w:sz w:val="10"/>
                <w:szCs w:val="10"/>
                <w:lang w:val="fr-BE"/>
              </w:rPr>
            </w:pPr>
            <w:r w:rsidRPr="00A92B39">
              <w:rPr>
                <w:b/>
                <w:noProof/>
                <w:sz w:val="10"/>
                <w:szCs w:val="10"/>
                <w:lang w:val="fr-BE"/>
              </w:rPr>
              <w:t>Ogółem</w:t>
            </w:r>
          </w:p>
        </w:tc>
        <w:tc>
          <w:tcPr>
            <w:tcW w:w="0" w:type="auto"/>
          </w:tcPr>
          <w:p w14:paraId="50D3A13F" w14:textId="77777777" w:rsidR="008C5CFA" w:rsidRPr="00A92B39" w:rsidRDefault="00E82A60" w:rsidP="00300A01">
            <w:pPr>
              <w:spacing w:before="0" w:after="0"/>
              <w:jc w:val="center"/>
              <w:rPr>
                <w:b/>
                <w:sz w:val="10"/>
                <w:szCs w:val="10"/>
                <w:lang w:val="fr-BE"/>
              </w:rPr>
            </w:pPr>
            <w:r w:rsidRPr="00A92B39">
              <w:rPr>
                <w:b/>
                <w:noProof/>
                <w:sz w:val="10"/>
                <w:szCs w:val="10"/>
                <w:lang w:val="fr-BE"/>
              </w:rPr>
              <w:t>Mężczyźni</w:t>
            </w:r>
          </w:p>
        </w:tc>
        <w:tc>
          <w:tcPr>
            <w:tcW w:w="0" w:type="auto"/>
          </w:tcPr>
          <w:p w14:paraId="61DDDCDB" w14:textId="77777777" w:rsidR="008C5CFA" w:rsidRPr="00A92B39" w:rsidRDefault="00E82A60" w:rsidP="00300A01">
            <w:pPr>
              <w:spacing w:before="0" w:after="0"/>
              <w:jc w:val="center"/>
              <w:rPr>
                <w:b/>
                <w:sz w:val="10"/>
                <w:szCs w:val="10"/>
                <w:lang w:val="fr-BE"/>
              </w:rPr>
            </w:pPr>
            <w:r w:rsidRPr="00A92B39">
              <w:rPr>
                <w:b/>
                <w:noProof/>
                <w:sz w:val="10"/>
                <w:szCs w:val="10"/>
                <w:lang w:val="fr-BE"/>
              </w:rPr>
              <w:t>Kobiety</w:t>
            </w:r>
          </w:p>
        </w:tc>
        <w:tc>
          <w:tcPr>
            <w:tcW w:w="0" w:type="auto"/>
          </w:tcPr>
          <w:p w14:paraId="176E97C6" w14:textId="77777777" w:rsidR="008C5CFA" w:rsidRPr="00A92B39" w:rsidRDefault="00E82A60" w:rsidP="00300A01">
            <w:pPr>
              <w:spacing w:before="0" w:after="0"/>
              <w:jc w:val="center"/>
              <w:rPr>
                <w:b/>
                <w:sz w:val="10"/>
                <w:szCs w:val="10"/>
                <w:lang w:val="fr-BE"/>
              </w:rPr>
            </w:pPr>
            <w:r w:rsidRPr="00A92B39">
              <w:rPr>
                <w:b/>
                <w:noProof/>
                <w:sz w:val="10"/>
                <w:szCs w:val="10"/>
                <w:lang w:val="fr-BE"/>
              </w:rPr>
              <w:t>Ogółem</w:t>
            </w:r>
          </w:p>
        </w:tc>
        <w:tc>
          <w:tcPr>
            <w:tcW w:w="0" w:type="auto"/>
          </w:tcPr>
          <w:p w14:paraId="08C15515" w14:textId="77777777" w:rsidR="008C5CFA" w:rsidRPr="00A92B39" w:rsidRDefault="00E82A60" w:rsidP="00300A01">
            <w:pPr>
              <w:spacing w:before="0" w:after="0"/>
              <w:jc w:val="center"/>
              <w:rPr>
                <w:b/>
                <w:sz w:val="10"/>
                <w:szCs w:val="10"/>
                <w:lang w:val="fr-BE"/>
              </w:rPr>
            </w:pPr>
            <w:r w:rsidRPr="00A92B39">
              <w:rPr>
                <w:b/>
                <w:noProof/>
                <w:sz w:val="10"/>
                <w:szCs w:val="10"/>
                <w:lang w:val="fr-BE"/>
              </w:rPr>
              <w:t>Mężczyźni</w:t>
            </w:r>
          </w:p>
        </w:tc>
        <w:tc>
          <w:tcPr>
            <w:tcW w:w="0" w:type="auto"/>
          </w:tcPr>
          <w:p w14:paraId="7BE9CB69" w14:textId="77777777" w:rsidR="008C5CFA" w:rsidRPr="00A92B39" w:rsidRDefault="00E82A60" w:rsidP="00300A01">
            <w:pPr>
              <w:spacing w:before="0" w:after="0"/>
              <w:jc w:val="center"/>
              <w:rPr>
                <w:b/>
                <w:sz w:val="10"/>
                <w:szCs w:val="10"/>
                <w:lang w:val="fr-BE"/>
              </w:rPr>
            </w:pPr>
            <w:r w:rsidRPr="00A92B39">
              <w:rPr>
                <w:b/>
                <w:noProof/>
                <w:sz w:val="10"/>
                <w:szCs w:val="10"/>
                <w:lang w:val="fr-BE"/>
              </w:rPr>
              <w:t>Kobiety</w:t>
            </w:r>
          </w:p>
        </w:tc>
        <w:tc>
          <w:tcPr>
            <w:tcW w:w="0" w:type="auto"/>
          </w:tcPr>
          <w:p w14:paraId="532D719B" w14:textId="77777777" w:rsidR="008C5CFA" w:rsidRPr="00A92B39" w:rsidRDefault="00E82A60" w:rsidP="00300A01">
            <w:pPr>
              <w:spacing w:before="0" w:after="0"/>
              <w:jc w:val="center"/>
              <w:rPr>
                <w:b/>
                <w:sz w:val="10"/>
                <w:szCs w:val="10"/>
                <w:lang w:val="fr-BE"/>
              </w:rPr>
            </w:pPr>
            <w:r w:rsidRPr="00A92B39">
              <w:rPr>
                <w:b/>
                <w:noProof/>
                <w:sz w:val="10"/>
                <w:szCs w:val="10"/>
                <w:lang w:val="fr-BE"/>
              </w:rPr>
              <w:t>Ogółem</w:t>
            </w:r>
          </w:p>
        </w:tc>
        <w:tc>
          <w:tcPr>
            <w:tcW w:w="0" w:type="auto"/>
          </w:tcPr>
          <w:p w14:paraId="116C27E5" w14:textId="77777777" w:rsidR="008C5CFA" w:rsidRPr="00A92B39" w:rsidRDefault="00E82A60" w:rsidP="00300A01">
            <w:pPr>
              <w:spacing w:before="0" w:after="0"/>
              <w:jc w:val="center"/>
              <w:rPr>
                <w:b/>
                <w:sz w:val="10"/>
                <w:szCs w:val="10"/>
                <w:lang w:val="fr-BE"/>
              </w:rPr>
            </w:pPr>
            <w:r w:rsidRPr="00A92B39">
              <w:rPr>
                <w:b/>
                <w:noProof/>
                <w:sz w:val="10"/>
                <w:szCs w:val="10"/>
                <w:lang w:val="fr-BE"/>
              </w:rPr>
              <w:t>Mężczyźni</w:t>
            </w:r>
          </w:p>
        </w:tc>
        <w:tc>
          <w:tcPr>
            <w:tcW w:w="0" w:type="auto"/>
          </w:tcPr>
          <w:p w14:paraId="7D4334D5" w14:textId="77777777" w:rsidR="008C5CFA" w:rsidRPr="00A92B39" w:rsidRDefault="00E82A60" w:rsidP="00300A01">
            <w:pPr>
              <w:spacing w:before="0" w:after="0"/>
              <w:jc w:val="center"/>
              <w:rPr>
                <w:b/>
                <w:sz w:val="10"/>
                <w:szCs w:val="10"/>
                <w:lang w:val="fr-BE"/>
              </w:rPr>
            </w:pPr>
            <w:r w:rsidRPr="00A92B39">
              <w:rPr>
                <w:b/>
                <w:noProof/>
                <w:sz w:val="10"/>
                <w:szCs w:val="10"/>
                <w:lang w:val="fr-BE"/>
              </w:rPr>
              <w:t>Kobiety</w:t>
            </w:r>
          </w:p>
        </w:tc>
      </w:tr>
      <w:tr w:rsidR="006B2EC1" w14:paraId="50844915" w14:textId="77777777" w:rsidTr="0047688D">
        <w:tc>
          <w:tcPr>
            <w:tcW w:w="0" w:type="auto"/>
            <w:shd w:val="clear" w:color="auto" w:fill="auto"/>
          </w:tcPr>
          <w:p w14:paraId="6A55C3AA" w14:textId="77777777" w:rsidR="008C5CFA" w:rsidRPr="00A92B39" w:rsidRDefault="00E82A60" w:rsidP="00300A01">
            <w:pPr>
              <w:spacing w:before="0" w:after="0"/>
              <w:rPr>
                <w:sz w:val="10"/>
                <w:szCs w:val="10"/>
                <w:lang w:val="fr-BE"/>
              </w:rPr>
            </w:pPr>
            <w:r w:rsidRPr="00A92B39">
              <w:rPr>
                <w:noProof/>
                <w:sz w:val="10"/>
                <w:szCs w:val="10"/>
                <w:lang w:val="fr-BE"/>
              </w:rPr>
              <w:t>011</w:t>
            </w:r>
          </w:p>
        </w:tc>
        <w:tc>
          <w:tcPr>
            <w:tcW w:w="0" w:type="auto"/>
            <w:shd w:val="clear" w:color="auto" w:fill="auto"/>
          </w:tcPr>
          <w:p w14:paraId="77403FCC" w14:textId="77777777" w:rsidR="008C5CFA" w:rsidRPr="00A92B39" w:rsidRDefault="00E82A60" w:rsidP="00300A01">
            <w:pPr>
              <w:spacing w:before="0" w:after="0"/>
              <w:rPr>
                <w:sz w:val="10"/>
                <w:szCs w:val="10"/>
                <w:lang w:val="fr-BE"/>
              </w:rPr>
            </w:pPr>
            <w:r w:rsidRPr="00A92B39">
              <w:rPr>
                <w:noProof/>
                <w:sz w:val="10"/>
                <w:szCs w:val="10"/>
                <w:lang w:val="fr-BE"/>
              </w:rPr>
              <w:t>Liczba osób uczestniczących w pozaszkolnych formach kształcenia w programie</w:t>
            </w:r>
          </w:p>
        </w:tc>
        <w:tc>
          <w:tcPr>
            <w:tcW w:w="0" w:type="auto"/>
            <w:shd w:val="clear" w:color="auto" w:fill="auto"/>
          </w:tcPr>
          <w:p w14:paraId="76DC7CA7" w14:textId="77777777" w:rsidR="008C5CFA" w:rsidRPr="00A92B39" w:rsidRDefault="00E82A60" w:rsidP="00300A01">
            <w:pPr>
              <w:spacing w:before="0" w:after="0"/>
              <w:rPr>
                <w:sz w:val="10"/>
                <w:szCs w:val="10"/>
                <w:lang w:val="fr-BE"/>
              </w:rPr>
            </w:pPr>
            <w:r w:rsidRPr="00A92B39">
              <w:rPr>
                <w:noProof/>
                <w:sz w:val="10"/>
                <w:szCs w:val="10"/>
                <w:lang w:val="fr-BE"/>
              </w:rPr>
              <w:t>Słabiej rozwinięte</w:t>
            </w:r>
          </w:p>
        </w:tc>
        <w:tc>
          <w:tcPr>
            <w:tcW w:w="0" w:type="auto"/>
            <w:shd w:val="clear" w:color="auto" w:fill="auto"/>
          </w:tcPr>
          <w:p w14:paraId="03A70324" w14:textId="77777777" w:rsidR="008C5CFA" w:rsidRPr="00A92B39" w:rsidRDefault="00E82A60" w:rsidP="00300A01">
            <w:pPr>
              <w:spacing w:before="0" w:after="0"/>
              <w:jc w:val="right"/>
              <w:rPr>
                <w:sz w:val="10"/>
                <w:szCs w:val="10"/>
                <w:lang w:val="fr-BE"/>
              </w:rPr>
            </w:pPr>
            <w:r w:rsidRPr="00A92B39">
              <w:rPr>
                <w:noProof/>
                <w:sz w:val="10"/>
                <w:szCs w:val="10"/>
                <w:lang w:val="fr-BE"/>
              </w:rPr>
              <w:t>846,00</w:t>
            </w:r>
          </w:p>
        </w:tc>
        <w:tc>
          <w:tcPr>
            <w:tcW w:w="0" w:type="auto"/>
            <w:shd w:val="clear" w:color="auto" w:fill="auto"/>
          </w:tcPr>
          <w:p w14:paraId="393021EB"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14:paraId="069203CD"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2AA87144" w14:textId="77777777" w:rsidR="008C5CFA" w:rsidRPr="00A92B39" w:rsidRDefault="00E82A60" w:rsidP="00300A01">
            <w:pPr>
              <w:spacing w:before="0" w:after="0"/>
              <w:jc w:val="right"/>
              <w:rPr>
                <w:sz w:val="10"/>
                <w:szCs w:val="10"/>
                <w:lang w:val="fr-BE"/>
              </w:rPr>
            </w:pPr>
            <w:r w:rsidRPr="00A92B39">
              <w:rPr>
                <w:noProof/>
                <w:sz w:val="10"/>
                <w:szCs w:val="10"/>
                <w:lang w:val="fr-BE"/>
              </w:rPr>
              <w:t>207,00</w:t>
            </w:r>
          </w:p>
        </w:tc>
        <w:tc>
          <w:tcPr>
            <w:tcW w:w="0" w:type="auto"/>
          </w:tcPr>
          <w:p w14:paraId="1B0E1479"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06342679"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19B4B27F" w14:textId="77777777" w:rsidR="008C5CFA" w:rsidRPr="00A92B39" w:rsidRDefault="00E82A60" w:rsidP="00300A01">
            <w:pPr>
              <w:spacing w:before="0" w:after="0"/>
              <w:jc w:val="right"/>
              <w:rPr>
                <w:sz w:val="10"/>
                <w:szCs w:val="10"/>
                <w:lang w:val="fr-BE"/>
              </w:rPr>
            </w:pPr>
            <w:r w:rsidRPr="00A92B39">
              <w:rPr>
                <w:noProof/>
                <w:sz w:val="10"/>
                <w:szCs w:val="10"/>
                <w:lang w:val="fr-BE"/>
              </w:rPr>
              <w:t>73,00</w:t>
            </w:r>
          </w:p>
        </w:tc>
        <w:tc>
          <w:tcPr>
            <w:tcW w:w="0" w:type="auto"/>
          </w:tcPr>
          <w:p w14:paraId="44307100"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116BF60D"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75CB1D85"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0C387E7E"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6E594EF5"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73370D21"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21FF9C35"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66186269"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r>
      <w:tr w:rsidR="006B2EC1" w14:paraId="5DA55DA1" w14:textId="77777777" w:rsidTr="0047688D">
        <w:tc>
          <w:tcPr>
            <w:tcW w:w="0" w:type="auto"/>
            <w:shd w:val="clear" w:color="auto" w:fill="auto"/>
          </w:tcPr>
          <w:p w14:paraId="7DF49CE4" w14:textId="77777777" w:rsidR="008C5CFA" w:rsidRPr="00A92B39" w:rsidRDefault="00E82A60" w:rsidP="00300A01">
            <w:pPr>
              <w:spacing w:before="0" w:after="0"/>
              <w:rPr>
                <w:sz w:val="10"/>
                <w:szCs w:val="10"/>
                <w:lang w:val="fr-BE"/>
              </w:rPr>
            </w:pPr>
            <w:r w:rsidRPr="00A92B39">
              <w:rPr>
                <w:noProof/>
                <w:sz w:val="10"/>
                <w:szCs w:val="10"/>
                <w:lang w:val="fr-BE"/>
              </w:rPr>
              <w:t>012</w:t>
            </w:r>
          </w:p>
        </w:tc>
        <w:tc>
          <w:tcPr>
            <w:tcW w:w="0" w:type="auto"/>
            <w:shd w:val="clear" w:color="auto" w:fill="auto"/>
          </w:tcPr>
          <w:p w14:paraId="2C33D71B" w14:textId="77777777" w:rsidR="008C5CFA" w:rsidRPr="00A92B39" w:rsidRDefault="00E82A60" w:rsidP="00300A01">
            <w:pPr>
              <w:spacing w:before="0" w:after="0"/>
              <w:rPr>
                <w:sz w:val="10"/>
                <w:szCs w:val="10"/>
                <w:lang w:val="fr-BE"/>
              </w:rPr>
            </w:pPr>
            <w:r w:rsidRPr="00A92B39">
              <w:rPr>
                <w:noProof/>
                <w:sz w:val="10"/>
                <w:szCs w:val="10"/>
                <w:lang w:val="fr-BE"/>
              </w:rPr>
              <w:t>Liczba nauczycieli kształcenia zawodowego oraz instruktorów praktycznej nauki zawodu objętych wsparciem w programie</w:t>
            </w:r>
          </w:p>
        </w:tc>
        <w:tc>
          <w:tcPr>
            <w:tcW w:w="0" w:type="auto"/>
            <w:shd w:val="clear" w:color="auto" w:fill="auto"/>
          </w:tcPr>
          <w:p w14:paraId="5BCFFF73" w14:textId="77777777" w:rsidR="008C5CFA" w:rsidRPr="00A92B39" w:rsidRDefault="00E82A60" w:rsidP="00300A01">
            <w:pPr>
              <w:spacing w:before="0" w:after="0"/>
              <w:rPr>
                <w:sz w:val="10"/>
                <w:szCs w:val="10"/>
                <w:lang w:val="fr-BE"/>
              </w:rPr>
            </w:pPr>
            <w:r w:rsidRPr="00A92B39">
              <w:rPr>
                <w:noProof/>
                <w:sz w:val="10"/>
                <w:szCs w:val="10"/>
                <w:lang w:val="fr-BE"/>
              </w:rPr>
              <w:t>Słabiej rozwinięte</w:t>
            </w:r>
          </w:p>
        </w:tc>
        <w:tc>
          <w:tcPr>
            <w:tcW w:w="0" w:type="auto"/>
            <w:shd w:val="clear" w:color="auto" w:fill="auto"/>
          </w:tcPr>
          <w:p w14:paraId="5587B40B" w14:textId="77777777" w:rsidR="008C5CFA" w:rsidRPr="00A92B39" w:rsidRDefault="00E82A60" w:rsidP="00300A01">
            <w:pPr>
              <w:spacing w:before="0" w:after="0"/>
              <w:jc w:val="right"/>
              <w:rPr>
                <w:sz w:val="10"/>
                <w:szCs w:val="10"/>
                <w:lang w:val="fr-BE"/>
              </w:rPr>
            </w:pPr>
            <w:r w:rsidRPr="00A92B39">
              <w:rPr>
                <w:noProof/>
                <w:sz w:val="10"/>
                <w:szCs w:val="10"/>
                <w:lang w:val="fr-BE"/>
              </w:rPr>
              <w:t>201,00</w:t>
            </w:r>
          </w:p>
        </w:tc>
        <w:tc>
          <w:tcPr>
            <w:tcW w:w="0" w:type="auto"/>
            <w:shd w:val="clear" w:color="auto" w:fill="auto"/>
          </w:tcPr>
          <w:p w14:paraId="5212FEF5"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14:paraId="3DCBEB99"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531A2A51" w14:textId="77777777" w:rsidR="008C5CFA" w:rsidRPr="00A92B39" w:rsidRDefault="00E82A60" w:rsidP="00300A01">
            <w:pPr>
              <w:spacing w:before="0" w:after="0"/>
              <w:jc w:val="right"/>
              <w:rPr>
                <w:sz w:val="10"/>
                <w:szCs w:val="10"/>
                <w:lang w:val="fr-BE"/>
              </w:rPr>
            </w:pPr>
            <w:r w:rsidRPr="00A92B39">
              <w:rPr>
                <w:noProof/>
                <w:sz w:val="10"/>
                <w:szCs w:val="10"/>
                <w:lang w:val="fr-BE"/>
              </w:rPr>
              <w:t>108,00</w:t>
            </w:r>
          </w:p>
        </w:tc>
        <w:tc>
          <w:tcPr>
            <w:tcW w:w="0" w:type="auto"/>
          </w:tcPr>
          <w:p w14:paraId="2DD6482F"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109BF5FD"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4A38A641" w14:textId="77777777" w:rsidR="008C5CFA" w:rsidRPr="00A92B39" w:rsidRDefault="00E82A60" w:rsidP="00300A01">
            <w:pPr>
              <w:spacing w:before="0" w:after="0"/>
              <w:jc w:val="right"/>
              <w:rPr>
                <w:sz w:val="10"/>
                <w:szCs w:val="10"/>
                <w:lang w:val="fr-BE"/>
              </w:rPr>
            </w:pPr>
            <w:r w:rsidRPr="00A92B39">
              <w:rPr>
                <w:noProof/>
                <w:sz w:val="10"/>
                <w:szCs w:val="10"/>
                <w:lang w:val="fr-BE"/>
              </w:rPr>
              <w:t>23,00</w:t>
            </w:r>
          </w:p>
        </w:tc>
        <w:tc>
          <w:tcPr>
            <w:tcW w:w="0" w:type="auto"/>
          </w:tcPr>
          <w:p w14:paraId="7A4EE00E"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3EF66E20"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0EEB90FA"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7E258801"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00DF8F9E"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1B95609D"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4CA83410"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6BE224A9"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r>
      <w:tr w:rsidR="006B2EC1" w14:paraId="0090613D" w14:textId="77777777" w:rsidTr="0047688D">
        <w:tc>
          <w:tcPr>
            <w:tcW w:w="0" w:type="auto"/>
            <w:shd w:val="clear" w:color="auto" w:fill="auto"/>
          </w:tcPr>
          <w:p w14:paraId="2C05DB9B" w14:textId="77777777" w:rsidR="008C5CFA" w:rsidRPr="00A92B39" w:rsidRDefault="00E82A60" w:rsidP="00300A01">
            <w:pPr>
              <w:spacing w:before="0" w:after="0"/>
              <w:rPr>
                <w:sz w:val="10"/>
                <w:szCs w:val="10"/>
                <w:lang w:val="fr-BE"/>
              </w:rPr>
            </w:pPr>
            <w:r w:rsidRPr="00A92B39">
              <w:rPr>
                <w:noProof/>
                <w:sz w:val="10"/>
                <w:szCs w:val="10"/>
                <w:lang w:val="fr-BE"/>
              </w:rPr>
              <w:t>013</w:t>
            </w:r>
          </w:p>
        </w:tc>
        <w:tc>
          <w:tcPr>
            <w:tcW w:w="0" w:type="auto"/>
            <w:shd w:val="clear" w:color="auto" w:fill="auto"/>
          </w:tcPr>
          <w:p w14:paraId="77C69548" w14:textId="77777777" w:rsidR="008C5CFA" w:rsidRPr="00A92B39" w:rsidRDefault="00E82A60" w:rsidP="00300A01">
            <w:pPr>
              <w:spacing w:before="0" w:after="0"/>
              <w:rPr>
                <w:sz w:val="10"/>
                <w:szCs w:val="10"/>
                <w:lang w:val="fr-BE"/>
              </w:rPr>
            </w:pPr>
            <w:r w:rsidRPr="00A92B39">
              <w:rPr>
                <w:noProof/>
                <w:sz w:val="10"/>
                <w:szCs w:val="10"/>
                <w:lang w:val="fr-BE"/>
              </w:rPr>
              <w:t>Liczba podmiotów realizujących zadania centrum kształcenia zawodowego i ustawicznego objętych wsparciem w programie</w:t>
            </w:r>
          </w:p>
        </w:tc>
        <w:tc>
          <w:tcPr>
            <w:tcW w:w="0" w:type="auto"/>
            <w:shd w:val="clear" w:color="auto" w:fill="auto"/>
          </w:tcPr>
          <w:p w14:paraId="1859F268" w14:textId="77777777" w:rsidR="008C5CFA" w:rsidRPr="00A92B39" w:rsidRDefault="00E82A60" w:rsidP="00300A01">
            <w:pPr>
              <w:spacing w:before="0" w:after="0"/>
              <w:rPr>
                <w:sz w:val="10"/>
                <w:szCs w:val="10"/>
                <w:lang w:val="fr-BE"/>
              </w:rPr>
            </w:pPr>
            <w:r w:rsidRPr="00A92B39">
              <w:rPr>
                <w:noProof/>
                <w:sz w:val="10"/>
                <w:szCs w:val="10"/>
                <w:lang w:val="fr-BE"/>
              </w:rPr>
              <w:t>Słabiej rozwinięte</w:t>
            </w:r>
          </w:p>
        </w:tc>
        <w:tc>
          <w:tcPr>
            <w:tcW w:w="0" w:type="auto"/>
            <w:shd w:val="clear" w:color="auto" w:fill="auto"/>
          </w:tcPr>
          <w:p w14:paraId="4DB52E03" w14:textId="77777777" w:rsidR="008C5CFA" w:rsidRPr="00A92B39" w:rsidRDefault="00E82A60" w:rsidP="00300A01">
            <w:pPr>
              <w:spacing w:before="0" w:after="0"/>
              <w:jc w:val="right"/>
              <w:rPr>
                <w:sz w:val="10"/>
                <w:szCs w:val="10"/>
                <w:lang w:val="fr-BE"/>
              </w:rPr>
            </w:pPr>
            <w:r w:rsidRPr="00A92B39">
              <w:rPr>
                <w:noProof/>
                <w:sz w:val="10"/>
                <w:szCs w:val="10"/>
                <w:lang w:val="fr-BE"/>
              </w:rPr>
              <w:t>2,00</w:t>
            </w:r>
          </w:p>
        </w:tc>
        <w:tc>
          <w:tcPr>
            <w:tcW w:w="0" w:type="auto"/>
            <w:shd w:val="clear" w:color="auto" w:fill="auto"/>
          </w:tcPr>
          <w:p w14:paraId="3AB305B4"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14:paraId="00EE915A"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5B4ADDB2" w14:textId="77777777" w:rsidR="008C5CFA" w:rsidRPr="00A92B39" w:rsidRDefault="00E82A60" w:rsidP="00300A01">
            <w:pPr>
              <w:spacing w:before="0" w:after="0"/>
              <w:jc w:val="right"/>
              <w:rPr>
                <w:sz w:val="10"/>
                <w:szCs w:val="10"/>
                <w:lang w:val="fr-BE"/>
              </w:rPr>
            </w:pPr>
            <w:r w:rsidRPr="00A92B39">
              <w:rPr>
                <w:noProof/>
                <w:sz w:val="10"/>
                <w:szCs w:val="10"/>
                <w:lang w:val="fr-BE"/>
              </w:rPr>
              <w:t>2,00</w:t>
            </w:r>
          </w:p>
        </w:tc>
        <w:tc>
          <w:tcPr>
            <w:tcW w:w="0" w:type="auto"/>
          </w:tcPr>
          <w:p w14:paraId="6227D1C0"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2CA6A11F"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0F7FEB18"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396AC07A"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4F66CA1B"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35645A15"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65E09D29"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74FA1D4F"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3A4363B9"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46558C25"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5AEE3C69"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r>
      <w:tr w:rsidR="006B2EC1" w14:paraId="08A6C590" w14:textId="77777777" w:rsidTr="0047688D">
        <w:tc>
          <w:tcPr>
            <w:tcW w:w="0" w:type="auto"/>
            <w:shd w:val="clear" w:color="auto" w:fill="auto"/>
          </w:tcPr>
          <w:p w14:paraId="3DEF1383" w14:textId="77777777" w:rsidR="008C5CFA" w:rsidRPr="00A92B39" w:rsidRDefault="00E82A60" w:rsidP="00300A01">
            <w:pPr>
              <w:spacing w:before="0" w:after="0"/>
              <w:rPr>
                <w:sz w:val="10"/>
                <w:szCs w:val="10"/>
                <w:lang w:val="fr-BE"/>
              </w:rPr>
            </w:pPr>
            <w:r w:rsidRPr="00A92B39">
              <w:rPr>
                <w:noProof/>
                <w:sz w:val="10"/>
                <w:szCs w:val="10"/>
                <w:lang w:val="fr-BE"/>
              </w:rPr>
              <w:t>108</w:t>
            </w:r>
          </w:p>
        </w:tc>
        <w:tc>
          <w:tcPr>
            <w:tcW w:w="0" w:type="auto"/>
            <w:shd w:val="clear" w:color="auto" w:fill="auto"/>
          </w:tcPr>
          <w:p w14:paraId="17CC64D5" w14:textId="77777777" w:rsidR="008C5CFA" w:rsidRPr="00A92B39" w:rsidRDefault="00E82A60" w:rsidP="00300A01">
            <w:pPr>
              <w:spacing w:before="0" w:after="0"/>
              <w:rPr>
                <w:sz w:val="10"/>
                <w:szCs w:val="10"/>
                <w:lang w:val="fr-BE"/>
              </w:rPr>
            </w:pPr>
            <w:r w:rsidRPr="00A92B39">
              <w:rPr>
                <w:noProof/>
                <w:sz w:val="10"/>
                <w:szCs w:val="10"/>
                <w:lang w:val="fr-BE"/>
              </w:rPr>
              <w:t>Liczba szkół i placówek kształcenia zawodowego doposażonych w sprzęt i materiały dydaktyczne niezbędne do realizacji kształcenia zawodowego</w:t>
            </w:r>
          </w:p>
        </w:tc>
        <w:tc>
          <w:tcPr>
            <w:tcW w:w="0" w:type="auto"/>
            <w:shd w:val="clear" w:color="auto" w:fill="auto"/>
          </w:tcPr>
          <w:p w14:paraId="1744EEF6" w14:textId="77777777" w:rsidR="008C5CFA" w:rsidRPr="00A92B39" w:rsidRDefault="00E82A60" w:rsidP="00300A01">
            <w:pPr>
              <w:spacing w:before="0" w:after="0"/>
              <w:rPr>
                <w:sz w:val="10"/>
                <w:szCs w:val="10"/>
                <w:lang w:val="fr-BE"/>
              </w:rPr>
            </w:pPr>
            <w:r w:rsidRPr="00A92B39">
              <w:rPr>
                <w:noProof/>
                <w:sz w:val="10"/>
                <w:szCs w:val="10"/>
                <w:lang w:val="fr-BE"/>
              </w:rPr>
              <w:t>Słabiej rozwinięte</w:t>
            </w:r>
          </w:p>
        </w:tc>
        <w:tc>
          <w:tcPr>
            <w:tcW w:w="0" w:type="auto"/>
            <w:shd w:val="clear" w:color="auto" w:fill="auto"/>
          </w:tcPr>
          <w:p w14:paraId="4A9013F4" w14:textId="77777777" w:rsidR="008C5CFA" w:rsidRPr="00A92B39" w:rsidRDefault="00E82A60" w:rsidP="00300A01">
            <w:pPr>
              <w:spacing w:before="0" w:after="0"/>
              <w:jc w:val="right"/>
              <w:rPr>
                <w:sz w:val="10"/>
                <w:szCs w:val="10"/>
                <w:lang w:val="fr-BE"/>
              </w:rPr>
            </w:pPr>
            <w:r w:rsidRPr="00A92B39">
              <w:rPr>
                <w:noProof/>
                <w:sz w:val="10"/>
                <w:szCs w:val="10"/>
                <w:lang w:val="fr-BE"/>
              </w:rPr>
              <w:t>44,00</w:t>
            </w:r>
          </w:p>
        </w:tc>
        <w:tc>
          <w:tcPr>
            <w:tcW w:w="0" w:type="auto"/>
            <w:shd w:val="clear" w:color="auto" w:fill="auto"/>
          </w:tcPr>
          <w:p w14:paraId="145A6783"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14:paraId="6B41C755"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5588F14D" w14:textId="77777777" w:rsidR="008C5CFA" w:rsidRPr="00A92B39" w:rsidRDefault="00E82A60" w:rsidP="00300A01">
            <w:pPr>
              <w:spacing w:before="0" w:after="0"/>
              <w:jc w:val="right"/>
              <w:rPr>
                <w:sz w:val="10"/>
                <w:szCs w:val="10"/>
                <w:lang w:val="fr-BE"/>
              </w:rPr>
            </w:pPr>
            <w:r w:rsidRPr="00A92B39">
              <w:rPr>
                <w:noProof/>
                <w:sz w:val="10"/>
                <w:szCs w:val="10"/>
                <w:lang w:val="fr-BE"/>
              </w:rPr>
              <w:t>66,00</w:t>
            </w:r>
          </w:p>
        </w:tc>
        <w:tc>
          <w:tcPr>
            <w:tcW w:w="0" w:type="auto"/>
          </w:tcPr>
          <w:p w14:paraId="019E06B2"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26738779"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3920F843"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40E0F65F"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11587C5F"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0AA80488"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6AC29BD6"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46E1570E"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4DD586A8"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139BBB51"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586DD58F"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r>
      <w:tr w:rsidR="006B2EC1" w14:paraId="6706CE7A" w14:textId="77777777" w:rsidTr="0047688D">
        <w:tc>
          <w:tcPr>
            <w:tcW w:w="0" w:type="auto"/>
            <w:shd w:val="clear" w:color="auto" w:fill="auto"/>
          </w:tcPr>
          <w:p w14:paraId="00F5ED66" w14:textId="77777777" w:rsidR="008C5CFA" w:rsidRPr="00A92B39" w:rsidRDefault="00E82A60" w:rsidP="00300A01">
            <w:pPr>
              <w:spacing w:before="0" w:after="0"/>
              <w:rPr>
                <w:sz w:val="10"/>
                <w:szCs w:val="10"/>
                <w:lang w:val="fr-BE"/>
              </w:rPr>
            </w:pPr>
            <w:r w:rsidRPr="00A92B39">
              <w:rPr>
                <w:noProof/>
                <w:sz w:val="10"/>
                <w:szCs w:val="10"/>
                <w:lang w:val="fr-BE"/>
              </w:rPr>
              <w:t>109</w:t>
            </w:r>
          </w:p>
        </w:tc>
        <w:tc>
          <w:tcPr>
            <w:tcW w:w="0" w:type="auto"/>
            <w:shd w:val="clear" w:color="auto" w:fill="auto"/>
          </w:tcPr>
          <w:p w14:paraId="75A10B7D" w14:textId="77777777" w:rsidR="008C5CFA" w:rsidRPr="00A92B39" w:rsidRDefault="00E82A60" w:rsidP="00300A01">
            <w:pPr>
              <w:spacing w:before="0" w:after="0"/>
              <w:rPr>
                <w:sz w:val="10"/>
                <w:szCs w:val="10"/>
                <w:lang w:val="fr-BE"/>
              </w:rPr>
            </w:pPr>
            <w:r w:rsidRPr="00A92B39">
              <w:rPr>
                <w:noProof/>
                <w:sz w:val="10"/>
                <w:szCs w:val="10"/>
                <w:lang w:val="fr-BE"/>
              </w:rPr>
              <w:t>Liczba uczniów szkół i placówek kształcenia zawodowego uczestniczących w stażach i praktykach u pracodawcy</w:t>
            </w:r>
          </w:p>
        </w:tc>
        <w:tc>
          <w:tcPr>
            <w:tcW w:w="0" w:type="auto"/>
            <w:shd w:val="clear" w:color="auto" w:fill="auto"/>
          </w:tcPr>
          <w:p w14:paraId="3E42A569" w14:textId="77777777" w:rsidR="008C5CFA" w:rsidRPr="00A92B39" w:rsidRDefault="00E82A60" w:rsidP="00300A01">
            <w:pPr>
              <w:spacing w:before="0" w:after="0"/>
              <w:rPr>
                <w:sz w:val="10"/>
                <w:szCs w:val="10"/>
                <w:lang w:val="fr-BE"/>
              </w:rPr>
            </w:pPr>
            <w:r w:rsidRPr="00A92B39">
              <w:rPr>
                <w:noProof/>
                <w:sz w:val="10"/>
                <w:szCs w:val="10"/>
                <w:lang w:val="fr-BE"/>
              </w:rPr>
              <w:t>Słabiej rozwinięte</w:t>
            </w:r>
          </w:p>
        </w:tc>
        <w:tc>
          <w:tcPr>
            <w:tcW w:w="0" w:type="auto"/>
            <w:shd w:val="clear" w:color="auto" w:fill="auto"/>
          </w:tcPr>
          <w:p w14:paraId="1DD07AD9" w14:textId="77777777" w:rsidR="008C5CFA" w:rsidRPr="00A92B39" w:rsidRDefault="00E82A60" w:rsidP="00300A01">
            <w:pPr>
              <w:spacing w:before="0" w:after="0"/>
              <w:jc w:val="right"/>
              <w:rPr>
                <w:sz w:val="10"/>
                <w:szCs w:val="10"/>
                <w:lang w:val="fr-BE"/>
              </w:rPr>
            </w:pPr>
            <w:r w:rsidRPr="00A92B39">
              <w:rPr>
                <w:noProof/>
                <w:sz w:val="10"/>
                <w:szCs w:val="10"/>
                <w:lang w:val="fr-BE"/>
              </w:rPr>
              <w:t>1 068,00</w:t>
            </w:r>
          </w:p>
        </w:tc>
        <w:tc>
          <w:tcPr>
            <w:tcW w:w="0" w:type="auto"/>
            <w:shd w:val="clear" w:color="auto" w:fill="auto"/>
          </w:tcPr>
          <w:p w14:paraId="6205982B"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14:paraId="0BAB9273"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501DFDAC" w14:textId="77777777" w:rsidR="008C5CFA" w:rsidRPr="00A92B39" w:rsidRDefault="00E82A60" w:rsidP="00300A01">
            <w:pPr>
              <w:spacing w:before="0" w:after="0"/>
              <w:jc w:val="right"/>
              <w:rPr>
                <w:sz w:val="10"/>
                <w:szCs w:val="10"/>
                <w:lang w:val="fr-BE"/>
              </w:rPr>
            </w:pPr>
            <w:r w:rsidRPr="00A92B39">
              <w:rPr>
                <w:noProof/>
                <w:sz w:val="10"/>
                <w:szCs w:val="10"/>
                <w:lang w:val="fr-BE"/>
              </w:rPr>
              <w:t>896,00</w:t>
            </w:r>
          </w:p>
        </w:tc>
        <w:tc>
          <w:tcPr>
            <w:tcW w:w="0" w:type="auto"/>
          </w:tcPr>
          <w:p w14:paraId="29999CA8"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051BA576"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10A75DD6" w14:textId="77777777" w:rsidR="008C5CFA" w:rsidRPr="00A92B39" w:rsidRDefault="00E82A60" w:rsidP="00300A01">
            <w:pPr>
              <w:spacing w:before="0" w:after="0"/>
              <w:jc w:val="right"/>
              <w:rPr>
                <w:sz w:val="10"/>
                <w:szCs w:val="10"/>
                <w:lang w:val="fr-BE"/>
              </w:rPr>
            </w:pPr>
            <w:r w:rsidRPr="00A92B39">
              <w:rPr>
                <w:noProof/>
                <w:sz w:val="10"/>
                <w:szCs w:val="10"/>
                <w:lang w:val="fr-BE"/>
              </w:rPr>
              <w:t>224,00</w:t>
            </w:r>
          </w:p>
        </w:tc>
        <w:tc>
          <w:tcPr>
            <w:tcW w:w="0" w:type="auto"/>
          </w:tcPr>
          <w:p w14:paraId="7FC79688"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26E6DDAA"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01D278C9"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02706913"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2D7BBE45"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7F3F28A9"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3507DE85"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09F0695D"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r>
    </w:tbl>
    <w:p w14:paraId="0B2C1948" w14:textId="77777777" w:rsidR="008C5CFA" w:rsidRDefault="008C5CFA" w:rsidP="00300A01">
      <w:pPr>
        <w:spacing w:before="0" w:after="0"/>
        <w:rPr>
          <w:lang w:val="fr-BE"/>
        </w:rPr>
      </w:pPr>
    </w:p>
    <w:p w14:paraId="35D29568" w14:textId="77777777" w:rsidR="008C5CFA" w:rsidRDefault="00E82A60" w:rsidP="00300A01">
      <w:pPr>
        <w:spacing w:before="0" w:after="0"/>
        <w:rPr>
          <w:lang w:val="fr-BE"/>
        </w:rPr>
      </w:pPr>
      <w:r>
        <w:rPr>
          <w:lang w:val="fr-BE"/>
        </w:rPr>
        <w:br w:type="page"/>
      </w:r>
    </w:p>
    <w:p w14:paraId="6ABA7DBC" w14:textId="77777777" w:rsidR="008C5CFA" w:rsidRPr="00B27C43" w:rsidRDefault="008C5CFA" w:rsidP="00300A01">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2"/>
        <w:gridCol w:w="12842"/>
      </w:tblGrid>
      <w:tr w:rsidR="006B2EC1" w14:paraId="14BC539D" w14:textId="77777777" w:rsidTr="0047688D">
        <w:tc>
          <w:tcPr>
            <w:tcW w:w="0" w:type="auto"/>
            <w:shd w:val="clear" w:color="auto" w:fill="auto"/>
          </w:tcPr>
          <w:p w14:paraId="0F769607" w14:textId="77777777" w:rsidR="008C5CFA" w:rsidRPr="002124FC" w:rsidRDefault="00E82A60" w:rsidP="00300A01">
            <w:pPr>
              <w:spacing w:before="0" w:after="0"/>
              <w:rPr>
                <w:sz w:val="20"/>
                <w:szCs w:val="20"/>
                <w:lang w:val="fr-BE"/>
              </w:rPr>
            </w:pPr>
            <w:r w:rsidRPr="002124FC">
              <w:rPr>
                <w:noProof/>
                <w:sz w:val="20"/>
                <w:szCs w:val="20"/>
                <w:lang w:val="fr-BE"/>
              </w:rPr>
              <w:t>Oś priorytetowa</w:t>
            </w:r>
          </w:p>
        </w:tc>
        <w:tc>
          <w:tcPr>
            <w:tcW w:w="0" w:type="auto"/>
            <w:shd w:val="clear" w:color="auto" w:fill="auto"/>
          </w:tcPr>
          <w:p w14:paraId="53664044" w14:textId="77777777" w:rsidR="008C5CFA" w:rsidRPr="002124FC" w:rsidRDefault="00E82A60" w:rsidP="00300A01">
            <w:pPr>
              <w:spacing w:before="0" w:after="0"/>
              <w:rPr>
                <w:sz w:val="20"/>
                <w:szCs w:val="20"/>
                <w:lang w:val="fr-BE"/>
              </w:rPr>
            </w:pPr>
            <w:r w:rsidRPr="002124FC">
              <w:rPr>
                <w:noProof/>
                <w:sz w:val="20"/>
                <w:szCs w:val="20"/>
                <w:lang w:val="fr-BE"/>
              </w:rPr>
              <w:t>9</w:t>
            </w:r>
            <w:r w:rsidRPr="002124FC">
              <w:rPr>
                <w:sz w:val="20"/>
                <w:szCs w:val="20"/>
                <w:lang w:val="fr-BE"/>
              </w:rPr>
              <w:t xml:space="preserve"> - </w:t>
            </w:r>
            <w:r w:rsidRPr="002124FC">
              <w:rPr>
                <w:noProof/>
                <w:sz w:val="20"/>
                <w:szCs w:val="20"/>
                <w:lang w:val="fr-BE"/>
              </w:rPr>
              <w:t>Włączenie społeczne i walka z ubóstwem</w:t>
            </w:r>
          </w:p>
        </w:tc>
      </w:tr>
      <w:tr w:rsidR="006B2EC1" w14:paraId="5BBA30D9" w14:textId="77777777" w:rsidTr="0047688D">
        <w:tc>
          <w:tcPr>
            <w:tcW w:w="0" w:type="auto"/>
            <w:shd w:val="clear" w:color="auto" w:fill="auto"/>
          </w:tcPr>
          <w:p w14:paraId="17E05886" w14:textId="77777777" w:rsidR="008C5CFA" w:rsidRPr="002124FC" w:rsidRDefault="00E82A60"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14:paraId="14B0BFC9" w14:textId="77777777" w:rsidR="008C5CFA" w:rsidRPr="002124FC" w:rsidRDefault="00E82A60" w:rsidP="00300A01">
            <w:pPr>
              <w:spacing w:before="0" w:after="0"/>
              <w:rPr>
                <w:sz w:val="20"/>
                <w:szCs w:val="20"/>
                <w:lang w:val="fr-BE"/>
              </w:rPr>
            </w:pPr>
            <w:r w:rsidRPr="002124FC">
              <w:rPr>
                <w:noProof/>
                <w:sz w:val="20"/>
                <w:szCs w:val="20"/>
                <w:lang w:val="fr-BE"/>
              </w:rPr>
              <w:t>9i</w:t>
            </w:r>
            <w:r w:rsidRPr="002124FC">
              <w:rPr>
                <w:sz w:val="20"/>
                <w:szCs w:val="20"/>
                <w:lang w:val="fr-BE"/>
              </w:rPr>
              <w:t xml:space="preserve"> - </w:t>
            </w:r>
            <w:r w:rsidRPr="002124FC">
              <w:rPr>
                <w:noProof/>
                <w:sz w:val="20"/>
                <w:szCs w:val="20"/>
                <w:lang w:val="fr-BE"/>
              </w:rPr>
              <w:t>Aktywne włączenie, w tym z myślą o promowaniu równych szans oraz aktywnego uczestnictwa i zwiększaniu szans na zatrudnienie</w:t>
            </w:r>
          </w:p>
        </w:tc>
      </w:tr>
    </w:tbl>
    <w:p w14:paraId="10F0E2D4" w14:textId="77777777" w:rsidR="008C5CFA" w:rsidRDefault="008C5CFA" w:rsidP="00300A01">
      <w:pPr>
        <w:spacing w:before="0" w:after="0"/>
        <w:ind w:left="113" w:hanging="113"/>
        <w:rPr>
          <w:sz w:val="20"/>
          <w:szCs w:val="20"/>
          <w:lang w:val="fr-BE"/>
        </w:rPr>
      </w:pPr>
    </w:p>
    <w:p w14:paraId="043AAB5F" w14:textId="77777777" w:rsidR="008C5CFA" w:rsidRPr="008E457C" w:rsidRDefault="00E82A60" w:rsidP="00300A01">
      <w:pPr>
        <w:pStyle w:val="Nagwek2"/>
        <w:spacing w:before="0" w:after="0"/>
      </w:pPr>
      <w:bookmarkStart w:id="67" w:name="_Toc46391751"/>
      <w:r w:rsidRPr="008E457C">
        <w:rPr>
          <w:noProof/>
        </w:rPr>
        <w:t>Tabela 2A</w:t>
      </w:r>
      <w:r w:rsidRPr="008E457C">
        <w:t xml:space="preserve"> : </w:t>
      </w:r>
      <w:proofErr w:type="spellStart"/>
      <w:r w:rsidRPr="008E457C">
        <w:t>Wspólne</w:t>
      </w:r>
      <w:proofErr w:type="spellEnd"/>
      <w:r w:rsidRPr="008E457C">
        <w:t xml:space="preserve"> </w:t>
      </w:r>
      <w:proofErr w:type="spellStart"/>
      <w:r w:rsidRPr="008E457C">
        <w:t>wskaźniki</w:t>
      </w:r>
      <w:proofErr w:type="spellEnd"/>
      <w:r w:rsidRPr="008E457C">
        <w:t xml:space="preserve"> </w:t>
      </w:r>
      <w:proofErr w:type="spellStart"/>
      <w:r w:rsidRPr="008E457C">
        <w:t>rezultatu</w:t>
      </w:r>
      <w:proofErr w:type="spellEnd"/>
      <w:r w:rsidRPr="008E457C">
        <w:t xml:space="preserve"> </w:t>
      </w:r>
      <w:proofErr w:type="spellStart"/>
      <w:r w:rsidRPr="008E457C">
        <w:t>dla</w:t>
      </w:r>
      <w:proofErr w:type="spellEnd"/>
      <w:r w:rsidRPr="008E457C">
        <w:t xml:space="preserve"> EFS (z </w:t>
      </w:r>
      <w:proofErr w:type="spellStart"/>
      <w:r w:rsidRPr="008E457C">
        <w:t>podziałem</w:t>
      </w:r>
      <w:proofErr w:type="spellEnd"/>
      <w:r w:rsidRPr="008E457C">
        <w:t xml:space="preserve"> </w:t>
      </w:r>
      <w:proofErr w:type="spellStart"/>
      <w:r w:rsidRPr="008E457C">
        <w:t>na</w:t>
      </w:r>
      <w:proofErr w:type="spellEnd"/>
      <w:r w:rsidRPr="008E457C">
        <w:t xml:space="preserve"> </w:t>
      </w:r>
      <w:proofErr w:type="spellStart"/>
      <w:r w:rsidRPr="008E457C">
        <w:t>oś</w:t>
      </w:r>
      <w:proofErr w:type="spellEnd"/>
      <w:r w:rsidRPr="008E457C">
        <w:t xml:space="preserve"> </w:t>
      </w:r>
      <w:proofErr w:type="spellStart"/>
      <w:r w:rsidRPr="008E457C">
        <w:t>priorytetową</w:t>
      </w:r>
      <w:proofErr w:type="spellEnd"/>
      <w:r w:rsidRPr="008E457C">
        <w:t xml:space="preserve">, </w:t>
      </w:r>
      <w:proofErr w:type="spellStart"/>
      <w:r w:rsidRPr="008E457C">
        <w:t>priorytet</w:t>
      </w:r>
      <w:proofErr w:type="spellEnd"/>
      <w:r w:rsidRPr="008E457C">
        <w:t xml:space="preserve"> </w:t>
      </w:r>
      <w:proofErr w:type="spellStart"/>
      <w:r w:rsidRPr="008E457C">
        <w:t>inwestycyjny</w:t>
      </w:r>
      <w:proofErr w:type="spellEnd"/>
      <w:r w:rsidRPr="008E457C">
        <w:t xml:space="preserve"> i </w:t>
      </w:r>
      <w:proofErr w:type="spellStart"/>
      <w:r w:rsidRPr="008E457C">
        <w:t>kategorię</w:t>
      </w:r>
      <w:proofErr w:type="spellEnd"/>
      <w:r w:rsidRPr="008E457C">
        <w:t xml:space="preserve"> </w:t>
      </w:r>
      <w:proofErr w:type="spellStart"/>
      <w:r w:rsidRPr="008E457C">
        <w:t>regionu</w:t>
      </w:r>
      <w:proofErr w:type="spellEnd"/>
      <w:r w:rsidRPr="008E457C">
        <w:t xml:space="preserve">) Dane </w:t>
      </w:r>
      <w:proofErr w:type="spellStart"/>
      <w:r w:rsidRPr="008E457C">
        <w:t>na</w:t>
      </w:r>
      <w:proofErr w:type="spellEnd"/>
      <w:r w:rsidRPr="008E457C">
        <w:t xml:space="preserve"> </w:t>
      </w:r>
      <w:proofErr w:type="spellStart"/>
      <w:r w:rsidRPr="008E457C">
        <w:t>temat</w:t>
      </w:r>
      <w:proofErr w:type="spellEnd"/>
      <w:r w:rsidRPr="008E457C">
        <w:t xml:space="preserve"> </w:t>
      </w:r>
      <w:proofErr w:type="spellStart"/>
      <w:r w:rsidRPr="008E457C">
        <w:t>wszystkich</w:t>
      </w:r>
      <w:proofErr w:type="spellEnd"/>
      <w:r w:rsidRPr="008E457C">
        <w:t xml:space="preserve"> </w:t>
      </w:r>
      <w:proofErr w:type="spellStart"/>
      <w:r w:rsidRPr="008E457C">
        <w:t>wspólnych</w:t>
      </w:r>
      <w:proofErr w:type="spellEnd"/>
      <w:r w:rsidRPr="008E457C">
        <w:t xml:space="preserve"> </w:t>
      </w:r>
      <w:proofErr w:type="spellStart"/>
      <w:r w:rsidRPr="008E457C">
        <w:t>wskaźników</w:t>
      </w:r>
      <w:proofErr w:type="spellEnd"/>
      <w:r w:rsidRPr="008E457C">
        <w:t xml:space="preserve"> </w:t>
      </w:r>
      <w:proofErr w:type="spellStart"/>
      <w:r w:rsidRPr="008E457C">
        <w:t>rezultatu</w:t>
      </w:r>
      <w:proofErr w:type="spellEnd"/>
      <w:r w:rsidRPr="008E457C">
        <w:t xml:space="preserve"> </w:t>
      </w:r>
      <w:proofErr w:type="spellStart"/>
      <w:r w:rsidRPr="008E457C">
        <w:t>dla</w:t>
      </w:r>
      <w:proofErr w:type="spellEnd"/>
      <w:r w:rsidRPr="008E457C">
        <w:t xml:space="preserve"> EFS (z </w:t>
      </w:r>
      <w:proofErr w:type="spellStart"/>
      <w:r w:rsidRPr="008E457C">
        <w:t>wartością</w:t>
      </w:r>
      <w:proofErr w:type="spellEnd"/>
      <w:r w:rsidRPr="008E457C">
        <w:t xml:space="preserve"> </w:t>
      </w:r>
      <w:proofErr w:type="spellStart"/>
      <w:r w:rsidRPr="008E457C">
        <w:t>docelową</w:t>
      </w:r>
      <w:proofErr w:type="spellEnd"/>
      <w:r w:rsidRPr="008E457C">
        <w:t xml:space="preserve"> i bez) </w:t>
      </w:r>
      <w:proofErr w:type="spellStart"/>
      <w:r w:rsidRPr="008E457C">
        <w:t>przedstawia</w:t>
      </w:r>
      <w:proofErr w:type="spellEnd"/>
      <w:r w:rsidRPr="008E457C">
        <w:t xml:space="preserve"> </w:t>
      </w:r>
      <w:proofErr w:type="spellStart"/>
      <w:r w:rsidRPr="008E457C">
        <w:t>się</w:t>
      </w:r>
      <w:proofErr w:type="spellEnd"/>
      <w:r w:rsidRPr="008E457C">
        <w:t xml:space="preserve"> w </w:t>
      </w:r>
      <w:proofErr w:type="spellStart"/>
      <w:r w:rsidRPr="008E457C">
        <w:t>sprawozdaniu</w:t>
      </w:r>
      <w:proofErr w:type="spellEnd"/>
      <w:r w:rsidRPr="008E457C">
        <w:t xml:space="preserve"> w </w:t>
      </w:r>
      <w:proofErr w:type="spellStart"/>
      <w:r w:rsidRPr="008E457C">
        <w:t>podziale</w:t>
      </w:r>
      <w:proofErr w:type="spellEnd"/>
      <w:r w:rsidRPr="008E457C">
        <w:t xml:space="preserve"> </w:t>
      </w:r>
      <w:proofErr w:type="spellStart"/>
      <w:r w:rsidRPr="008E457C">
        <w:t>na</w:t>
      </w:r>
      <w:proofErr w:type="spellEnd"/>
      <w:r w:rsidRPr="008E457C">
        <w:t xml:space="preserve"> </w:t>
      </w:r>
      <w:proofErr w:type="spellStart"/>
      <w:r w:rsidRPr="008E457C">
        <w:t>płeć</w:t>
      </w:r>
      <w:proofErr w:type="spellEnd"/>
      <w:r w:rsidRPr="008E457C">
        <w:t xml:space="preserve">. W </w:t>
      </w:r>
      <w:proofErr w:type="spellStart"/>
      <w:r w:rsidRPr="008E457C">
        <w:t>przypadku</w:t>
      </w:r>
      <w:proofErr w:type="spellEnd"/>
      <w:r w:rsidRPr="008E457C">
        <w:t xml:space="preserve"> </w:t>
      </w:r>
      <w:proofErr w:type="spellStart"/>
      <w:r w:rsidRPr="008E457C">
        <w:t>osi</w:t>
      </w:r>
      <w:proofErr w:type="spellEnd"/>
      <w:r w:rsidRPr="008E457C">
        <w:t xml:space="preserve"> </w:t>
      </w:r>
      <w:proofErr w:type="spellStart"/>
      <w:r w:rsidRPr="008E457C">
        <w:t>priorytetowej</w:t>
      </w:r>
      <w:proofErr w:type="spellEnd"/>
      <w:r w:rsidRPr="008E457C">
        <w:t xml:space="preserve"> </w:t>
      </w:r>
      <w:r>
        <w:t>"</w:t>
      </w:r>
      <w:proofErr w:type="spellStart"/>
      <w:r w:rsidRPr="008E457C">
        <w:t>Pomoc</w:t>
      </w:r>
      <w:proofErr w:type="spellEnd"/>
      <w:r w:rsidRPr="008E457C">
        <w:t xml:space="preserve"> </w:t>
      </w:r>
      <w:proofErr w:type="spellStart"/>
      <w:r w:rsidRPr="008E457C">
        <w:t>techniczna</w:t>
      </w:r>
      <w:proofErr w:type="spellEnd"/>
      <w:r w:rsidRPr="008E457C">
        <w:t xml:space="preserve"> w </w:t>
      </w:r>
      <w:proofErr w:type="spellStart"/>
      <w:r w:rsidRPr="008E457C">
        <w:t>sprawozdaniu</w:t>
      </w:r>
      <w:proofErr w:type="spellEnd"/>
      <w:r w:rsidRPr="008E457C">
        <w:t xml:space="preserve"> </w:t>
      </w:r>
      <w:proofErr w:type="spellStart"/>
      <w:r w:rsidRPr="008E457C">
        <w:t>przedstawia</w:t>
      </w:r>
      <w:proofErr w:type="spellEnd"/>
      <w:r w:rsidRPr="008E457C">
        <w:t xml:space="preserve"> </w:t>
      </w:r>
      <w:proofErr w:type="spellStart"/>
      <w:r w:rsidRPr="008E457C">
        <w:t>się</w:t>
      </w:r>
      <w:proofErr w:type="spellEnd"/>
      <w:r w:rsidRPr="008E457C">
        <w:t xml:space="preserve"> </w:t>
      </w:r>
      <w:proofErr w:type="spellStart"/>
      <w:r w:rsidRPr="008E457C">
        <w:t>jedynie</w:t>
      </w:r>
      <w:proofErr w:type="spellEnd"/>
      <w:r w:rsidRPr="008E457C">
        <w:t xml:space="preserve"> </w:t>
      </w:r>
      <w:proofErr w:type="spellStart"/>
      <w:r w:rsidRPr="008E457C">
        <w:t>te</w:t>
      </w:r>
      <w:proofErr w:type="spellEnd"/>
      <w:r w:rsidRPr="008E457C">
        <w:t xml:space="preserve"> </w:t>
      </w:r>
      <w:proofErr w:type="spellStart"/>
      <w:r w:rsidRPr="008E457C">
        <w:t>wskaźniki</w:t>
      </w:r>
      <w:proofErr w:type="spellEnd"/>
      <w:r w:rsidRPr="008E457C">
        <w:t xml:space="preserve"> </w:t>
      </w:r>
      <w:proofErr w:type="spellStart"/>
      <w:r w:rsidRPr="008E457C">
        <w:t>wspólne</w:t>
      </w:r>
      <w:proofErr w:type="spellEnd"/>
      <w:r w:rsidRPr="008E457C">
        <w:t xml:space="preserve">, w </w:t>
      </w:r>
      <w:proofErr w:type="spellStart"/>
      <w:r w:rsidRPr="008E457C">
        <w:t>odniesieniu</w:t>
      </w:r>
      <w:proofErr w:type="spellEnd"/>
      <w:r w:rsidRPr="008E457C">
        <w:t xml:space="preserve"> do </w:t>
      </w:r>
      <w:proofErr w:type="spellStart"/>
      <w:r w:rsidRPr="008E457C">
        <w:t>których</w:t>
      </w:r>
      <w:proofErr w:type="spellEnd"/>
      <w:r w:rsidRPr="008E457C">
        <w:t xml:space="preserve"> </w:t>
      </w:r>
      <w:proofErr w:type="spellStart"/>
      <w:r w:rsidRPr="008E457C">
        <w:t>ustanowiono</w:t>
      </w:r>
      <w:proofErr w:type="spellEnd"/>
      <w:r w:rsidRPr="008E457C">
        <w:t xml:space="preserve"> </w:t>
      </w:r>
      <w:proofErr w:type="spellStart"/>
      <w:r w:rsidRPr="008E457C">
        <w:t>wartość</w:t>
      </w:r>
      <w:proofErr w:type="spellEnd"/>
      <w:r w:rsidRPr="008E457C">
        <w:t xml:space="preserve"> </w:t>
      </w:r>
      <w:proofErr w:type="spellStart"/>
      <w:r w:rsidRPr="008E457C">
        <w:t>docelową</w:t>
      </w:r>
      <w:proofErr w:type="spellEnd"/>
      <w:r w:rsidRPr="008E457C">
        <w:t>.</w:t>
      </w:r>
      <w:r w:rsidR="00501DA0">
        <w:t xml:space="preserve"> - </w:t>
      </w:r>
      <w:r w:rsidR="00501DA0" w:rsidRPr="002124FC">
        <w:rPr>
          <w:noProof/>
          <w:sz w:val="20"/>
          <w:szCs w:val="20"/>
          <w:lang w:val="fr-BE"/>
        </w:rPr>
        <w:t>9</w:t>
      </w:r>
      <w:r w:rsidR="00501DA0">
        <w:rPr>
          <w:sz w:val="20"/>
          <w:szCs w:val="20"/>
          <w:lang w:val="fr-BE"/>
        </w:rPr>
        <w:t xml:space="preserve"> / </w:t>
      </w:r>
      <w:r w:rsidR="00501DA0" w:rsidRPr="002124FC">
        <w:rPr>
          <w:noProof/>
          <w:sz w:val="20"/>
          <w:szCs w:val="20"/>
          <w:lang w:val="fr-BE"/>
        </w:rPr>
        <w:t>9i</w:t>
      </w:r>
      <w:bookmarkEnd w:id="67"/>
    </w:p>
    <w:p w14:paraId="59CD1282" w14:textId="77777777" w:rsidR="008C5CFA" w:rsidRDefault="008C5CFA" w:rsidP="00300A01">
      <w:pPr>
        <w:keepNext/>
        <w:spacing w:before="0" w:after="0"/>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37"/>
        <w:gridCol w:w="5137"/>
        <w:gridCol w:w="744"/>
        <w:gridCol w:w="1858"/>
        <w:gridCol w:w="1471"/>
        <w:gridCol w:w="456"/>
        <w:gridCol w:w="596"/>
        <w:gridCol w:w="463"/>
        <w:gridCol w:w="476"/>
        <w:gridCol w:w="596"/>
        <w:gridCol w:w="476"/>
        <w:gridCol w:w="456"/>
        <w:gridCol w:w="596"/>
        <w:gridCol w:w="463"/>
        <w:gridCol w:w="596"/>
        <w:gridCol w:w="463"/>
      </w:tblGrid>
      <w:tr w:rsidR="006B2EC1" w14:paraId="4A9DEEE5" w14:textId="77777777" w:rsidTr="0047688D">
        <w:trPr>
          <w:tblHeader/>
        </w:trPr>
        <w:tc>
          <w:tcPr>
            <w:tcW w:w="0" w:type="auto"/>
            <w:shd w:val="clear" w:color="auto" w:fill="auto"/>
          </w:tcPr>
          <w:p w14:paraId="2B4BEB81" w14:textId="77777777" w:rsidR="008C5CFA" w:rsidRPr="00F53019" w:rsidRDefault="00E82A60" w:rsidP="00300A01">
            <w:pPr>
              <w:spacing w:before="0" w:after="0"/>
              <w:rPr>
                <w:b/>
                <w:sz w:val="12"/>
                <w:szCs w:val="12"/>
                <w:lang w:val="fr-BE"/>
              </w:rPr>
            </w:pPr>
            <w:r w:rsidRPr="00F53019">
              <w:rPr>
                <w:b/>
                <w:noProof/>
                <w:sz w:val="12"/>
                <w:szCs w:val="12"/>
                <w:lang w:val="fr-BE"/>
              </w:rPr>
              <w:t>ID</w:t>
            </w:r>
          </w:p>
        </w:tc>
        <w:tc>
          <w:tcPr>
            <w:tcW w:w="0" w:type="auto"/>
            <w:shd w:val="clear" w:color="auto" w:fill="auto"/>
          </w:tcPr>
          <w:p w14:paraId="1A968B62" w14:textId="77777777" w:rsidR="008C5CFA" w:rsidRPr="00F53019" w:rsidRDefault="00E82A60" w:rsidP="00300A01">
            <w:pPr>
              <w:spacing w:before="0" w:after="0"/>
              <w:rPr>
                <w:b/>
                <w:sz w:val="12"/>
                <w:szCs w:val="12"/>
                <w:lang w:val="fr-BE"/>
              </w:rPr>
            </w:pPr>
            <w:r w:rsidRPr="00F53019">
              <w:rPr>
                <w:b/>
                <w:noProof/>
                <w:sz w:val="12"/>
                <w:szCs w:val="12"/>
                <w:lang w:val="fr-BE"/>
              </w:rPr>
              <w:t>Wskaźnik</w:t>
            </w:r>
          </w:p>
        </w:tc>
        <w:tc>
          <w:tcPr>
            <w:tcW w:w="0" w:type="auto"/>
            <w:shd w:val="clear" w:color="auto" w:fill="auto"/>
          </w:tcPr>
          <w:p w14:paraId="1C6DE813" w14:textId="77777777" w:rsidR="008C5CFA" w:rsidRPr="00F53019" w:rsidRDefault="00E82A60" w:rsidP="00300A01">
            <w:pPr>
              <w:spacing w:before="0" w:after="0"/>
              <w:rPr>
                <w:b/>
                <w:sz w:val="12"/>
                <w:szCs w:val="12"/>
                <w:lang w:val="fr-BE"/>
              </w:rPr>
            </w:pPr>
            <w:r w:rsidRPr="00F53019">
              <w:rPr>
                <w:b/>
                <w:noProof/>
                <w:sz w:val="12"/>
                <w:szCs w:val="12"/>
                <w:lang w:val="fr-BE"/>
              </w:rPr>
              <w:t>Kategoria regionu</w:t>
            </w:r>
          </w:p>
        </w:tc>
        <w:tc>
          <w:tcPr>
            <w:tcW w:w="0" w:type="auto"/>
            <w:shd w:val="clear" w:color="auto" w:fill="auto"/>
          </w:tcPr>
          <w:p w14:paraId="3F6CE097" w14:textId="77777777" w:rsidR="008C5CFA" w:rsidRPr="00F53019" w:rsidRDefault="00E82A60" w:rsidP="00300A01">
            <w:pPr>
              <w:spacing w:before="0" w:after="0"/>
              <w:rPr>
                <w:b/>
                <w:sz w:val="12"/>
                <w:szCs w:val="12"/>
                <w:lang w:val="fr-BE"/>
              </w:rPr>
            </w:pPr>
            <w:r w:rsidRPr="00F53019">
              <w:rPr>
                <w:b/>
                <w:noProof/>
                <w:sz w:val="12"/>
                <w:szCs w:val="12"/>
                <w:lang w:val="fr-BE"/>
              </w:rPr>
              <w:t>Wspólny wskaźnik produktu stosowany jako podstawa ustalania celów</w:t>
            </w:r>
          </w:p>
        </w:tc>
        <w:tc>
          <w:tcPr>
            <w:tcW w:w="0" w:type="auto"/>
            <w:shd w:val="clear" w:color="auto" w:fill="auto"/>
          </w:tcPr>
          <w:p w14:paraId="4EF0E9D4" w14:textId="77777777" w:rsidR="008C5CFA" w:rsidRPr="00F53019" w:rsidRDefault="00E82A60" w:rsidP="00300A01">
            <w:pPr>
              <w:spacing w:before="0" w:after="0"/>
              <w:rPr>
                <w:b/>
                <w:sz w:val="12"/>
                <w:szCs w:val="12"/>
                <w:lang w:val="fr-BE"/>
              </w:rPr>
            </w:pPr>
            <w:r w:rsidRPr="00F53019">
              <w:rPr>
                <w:b/>
                <w:noProof/>
                <w:sz w:val="12"/>
                <w:szCs w:val="12"/>
                <w:lang w:val="fr-BE"/>
              </w:rPr>
              <w:t>Jednostka pomiaru dla wartości bazowej i docelowej</w:t>
            </w:r>
          </w:p>
        </w:tc>
        <w:tc>
          <w:tcPr>
            <w:tcW w:w="0" w:type="auto"/>
            <w:gridSpan w:val="3"/>
            <w:shd w:val="clear" w:color="auto" w:fill="auto"/>
          </w:tcPr>
          <w:p w14:paraId="0B475637" w14:textId="77777777" w:rsidR="008C5CFA" w:rsidRPr="00F53019" w:rsidRDefault="00E82A60" w:rsidP="00300A01">
            <w:pPr>
              <w:spacing w:before="0" w:after="0"/>
              <w:jc w:val="center"/>
              <w:rPr>
                <w:b/>
                <w:sz w:val="12"/>
                <w:szCs w:val="12"/>
                <w:lang w:val="fr-BE"/>
              </w:rPr>
            </w:pPr>
            <w:r w:rsidRPr="00F53019">
              <w:rPr>
                <w:b/>
                <w:noProof/>
                <w:sz w:val="12"/>
                <w:szCs w:val="12"/>
                <w:lang w:val="fr-BE"/>
              </w:rPr>
              <w:t>Wartość docelowa (2023)</w:t>
            </w:r>
          </w:p>
        </w:tc>
        <w:tc>
          <w:tcPr>
            <w:tcW w:w="0" w:type="auto"/>
            <w:gridSpan w:val="3"/>
            <w:shd w:val="clear" w:color="auto" w:fill="auto"/>
          </w:tcPr>
          <w:p w14:paraId="4AC33A8C" w14:textId="77777777" w:rsidR="008C5CFA" w:rsidRPr="00F53019" w:rsidRDefault="00E82A60" w:rsidP="00300A01">
            <w:pPr>
              <w:spacing w:before="0" w:after="0"/>
              <w:jc w:val="center"/>
              <w:rPr>
                <w:b/>
                <w:sz w:val="12"/>
                <w:szCs w:val="12"/>
                <w:lang w:val="fr-BE"/>
              </w:rPr>
            </w:pPr>
            <w:r w:rsidRPr="00F53019">
              <w:rPr>
                <w:b/>
                <w:noProof/>
                <w:sz w:val="12"/>
                <w:szCs w:val="12"/>
                <w:lang w:val="fr-BE"/>
              </w:rPr>
              <w:t>Wartość skumulowana</w:t>
            </w:r>
          </w:p>
        </w:tc>
        <w:tc>
          <w:tcPr>
            <w:tcW w:w="0" w:type="auto"/>
            <w:gridSpan w:val="3"/>
            <w:shd w:val="clear" w:color="auto" w:fill="auto"/>
          </w:tcPr>
          <w:p w14:paraId="3EA9DA09" w14:textId="77777777" w:rsidR="008C5CFA" w:rsidRPr="00F53019" w:rsidRDefault="00E82A60" w:rsidP="00300A01">
            <w:pPr>
              <w:spacing w:before="0" w:after="0"/>
              <w:jc w:val="center"/>
              <w:rPr>
                <w:b/>
                <w:sz w:val="12"/>
                <w:szCs w:val="12"/>
                <w:lang w:val="fr-BE"/>
              </w:rPr>
            </w:pPr>
            <w:r w:rsidRPr="00F53019">
              <w:rPr>
                <w:b/>
                <w:noProof/>
                <w:sz w:val="12"/>
                <w:szCs w:val="12"/>
                <w:lang w:val="fr-BE"/>
              </w:rPr>
              <w:t>Wskaźnik osiągnięć</w:t>
            </w:r>
          </w:p>
        </w:tc>
        <w:tc>
          <w:tcPr>
            <w:tcW w:w="0" w:type="auto"/>
            <w:gridSpan w:val="2"/>
            <w:shd w:val="clear" w:color="auto" w:fill="auto"/>
          </w:tcPr>
          <w:p w14:paraId="151E688F" w14:textId="77777777" w:rsidR="008C5CFA" w:rsidRPr="00F53019" w:rsidRDefault="00E82A60" w:rsidP="00300A01">
            <w:pPr>
              <w:spacing w:before="0" w:after="0"/>
              <w:jc w:val="center"/>
              <w:rPr>
                <w:b/>
                <w:sz w:val="12"/>
                <w:szCs w:val="12"/>
                <w:lang w:val="fr-BE"/>
              </w:rPr>
            </w:pPr>
            <w:r>
              <w:rPr>
                <w:b/>
                <w:sz w:val="12"/>
                <w:szCs w:val="12"/>
                <w:lang w:val="fr-BE"/>
              </w:rPr>
              <w:t>2019</w:t>
            </w:r>
          </w:p>
        </w:tc>
      </w:tr>
      <w:tr w:rsidR="006B2EC1" w14:paraId="78971EBE" w14:textId="77777777" w:rsidTr="0047688D">
        <w:trPr>
          <w:tblHeader/>
        </w:trPr>
        <w:tc>
          <w:tcPr>
            <w:tcW w:w="0" w:type="auto"/>
            <w:shd w:val="clear" w:color="auto" w:fill="auto"/>
          </w:tcPr>
          <w:p w14:paraId="27E2A2D5" w14:textId="77777777" w:rsidR="008C5CFA" w:rsidRPr="00F53019" w:rsidRDefault="008C5CFA" w:rsidP="00300A01">
            <w:pPr>
              <w:spacing w:before="0" w:after="0"/>
              <w:rPr>
                <w:b/>
                <w:sz w:val="12"/>
                <w:szCs w:val="12"/>
                <w:lang w:val="fr-BE"/>
              </w:rPr>
            </w:pPr>
          </w:p>
        </w:tc>
        <w:tc>
          <w:tcPr>
            <w:tcW w:w="0" w:type="auto"/>
            <w:shd w:val="clear" w:color="auto" w:fill="auto"/>
          </w:tcPr>
          <w:p w14:paraId="3C8D7E7A" w14:textId="77777777" w:rsidR="008C5CFA" w:rsidRPr="00F53019" w:rsidRDefault="008C5CFA" w:rsidP="00300A01">
            <w:pPr>
              <w:spacing w:before="0" w:after="0"/>
              <w:rPr>
                <w:b/>
                <w:sz w:val="12"/>
                <w:szCs w:val="12"/>
                <w:lang w:val="fr-BE"/>
              </w:rPr>
            </w:pPr>
          </w:p>
        </w:tc>
        <w:tc>
          <w:tcPr>
            <w:tcW w:w="0" w:type="auto"/>
            <w:shd w:val="clear" w:color="auto" w:fill="auto"/>
          </w:tcPr>
          <w:p w14:paraId="1B39D189" w14:textId="77777777" w:rsidR="008C5CFA" w:rsidRPr="00F53019" w:rsidRDefault="008C5CFA" w:rsidP="00300A01">
            <w:pPr>
              <w:spacing w:before="0" w:after="0"/>
              <w:rPr>
                <w:b/>
                <w:sz w:val="12"/>
                <w:szCs w:val="12"/>
                <w:lang w:val="fr-BE"/>
              </w:rPr>
            </w:pPr>
          </w:p>
        </w:tc>
        <w:tc>
          <w:tcPr>
            <w:tcW w:w="0" w:type="auto"/>
            <w:shd w:val="clear" w:color="auto" w:fill="auto"/>
          </w:tcPr>
          <w:p w14:paraId="142825A0" w14:textId="77777777" w:rsidR="008C5CFA" w:rsidRPr="00F53019" w:rsidRDefault="008C5CFA" w:rsidP="00300A01">
            <w:pPr>
              <w:spacing w:before="0" w:after="0"/>
              <w:rPr>
                <w:b/>
                <w:sz w:val="12"/>
                <w:szCs w:val="12"/>
                <w:lang w:val="fr-BE"/>
              </w:rPr>
            </w:pPr>
          </w:p>
        </w:tc>
        <w:tc>
          <w:tcPr>
            <w:tcW w:w="0" w:type="auto"/>
            <w:shd w:val="clear" w:color="auto" w:fill="auto"/>
          </w:tcPr>
          <w:p w14:paraId="63382F15" w14:textId="77777777" w:rsidR="008C5CFA" w:rsidRPr="00F53019" w:rsidRDefault="008C5CFA" w:rsidP="00300A01">
            <w:pPr>
              <w:spacing w:before="0" w:after="0"/>
              <w:rPr>
                <w:b/>
                <w:sz w:val="12"/>
                <w:szCs w:val="12"/>
                <w:lang w:val="fr-BE"/>
              </w:rPr>
            </w:pPr>
          </w:p>
        </w:tc>
        <w:tc>
          <w:tcPr>
            <w:tcW w:w="0" w:type="auto"/>
            <w:shd w:val="clear" w:color="auto" w:fill="auto"/>
          </w:tcPr>
          <w:p w14:paraId="7D732F29" w14:textId="77777777" w:rsidR="008C5CFA" w:rsidRPr="00F53019" w:rsidRDefault="00E82A60" w:rsidP="00300A01">
            <w:pPr>
              <w:spacing w:before="0" w:after="0"/>
              <w:jc w:val="center"/>
              <w:rPr>
                <w:b/>
                <w:sz w:val="12"/>
                <w:szCs w:val="12"/>
                <w:lang w:val="fr-BE"/>
              </w:rPr>
            </w:pPr>
            <w:r w:rsidRPr="00F53019">
              <w:rPr>
                <w:b/>
                <w:noProof/>
                <w:sz w:val="12"/>
                <w:szCs w:val="12"/>
                <w:lang w:val="fr-BE"/>
              </w:rPr>
              <w:t>Ogółem</w:t>
            </w:r>
          </w:p>
        </w:tc>
        <w:tc>
          <w:tcPr>
            <w:tcW w:w="0" w:type="auto"/>
            <w:shd w:val="clear" w:color="auto" w:fill="auto"/>
          </w:tcPr>
          <w:p w14:paraId="46E545BC" w14:textId="77777777" w:rsidR="008C5CFA" w:rsidRPr="00F53019" w:rsidRDefault="00E82A60"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14:paraId="64B1114A" w14:textId="77777777" w:rsidR="008C5CFA" w:rsidRPr="00F53019" w:rsidRDefault="00E82A60" w:rsidP="00300A01">
            <w:pPr>
              <w:spacing w:before="0" w:after="0"/>
              <w:jc w:val="center"/>
              <w:rPr>
                <w:b/>
                <w:sz w:val="12"/>
                <w:szCs w:val="12"/>
                <w:lang w:val="fr-BE"/>
              </w:rPr>
            </w:pPr>
            <w:r w:rsidRPr="00F53019">
              <w:rPr>
                <w:b/>
                <w:noProof/>
                <w:sz w:val="12"/>
                <w:szCs w:val="12"/>
                <w:lang w:val="fr-BE"/>
              </w:rPr>
              <w:t>Kobiety</w:t>
            </w:r>
          </w:p>
        </w:tc>
        <w:tc>
          <w:tcPr>
            <w:tcW w:w="0" w:type="auto"/>
            <w:shd w:val="clear" w:color="auto" w:fill="auto"/>
          </w:tcPr>
          <w:p w14:paraId="77F13579" w14:textId="77777777" w:rsidR="008C5CFA" w:rsidRPr="00F53019" w:rsidRDefault="00E82A60" w:rsidP="00300A01">
            <w:pPr>
              <w:spacing w:before="0" w:after="0"/>
              <w:jc w:val="center"/>
              <w:rPr>
                <w:b/>
                <w:sz w:val="12"/>
                <w:szCs w:val="12"/>
                <w:lang w:val="fr-BE"/>
              </w:rPr>
            </w:pPr>
            <w:r w:rsidRPr="00F53019">
              <w:rPr>
                <w:b/>
                <w:noProof/>
                <w:sz w:val="12"/>
                <w:szCs w:val="12"/>
                <w:lang w:val="fr-BE"/>
              </w:rPr>
              <w:t>Ogółem</w:t>
            </w:r>
          </w:p>
        </w:tc>
        <w:tc>
          <w:tcPr>
            <w:tcW w:w="0" w:type="auto"/>
            <w:shd w:val="clear" w:color="auto" w:fill="auto"/>
          </w:tcPr>
          <w:p w14:paraId="7B9D4AE1" w14:textId="77777777" w:rsidR="008C5CFA" w:rsidRPr="00F53019" w:rsidRDefault="00E82A60"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14:paraId="5C4E978B" w14:textId="77777777" w:rsidR="008C5CFA" w:rsidRPr="00F53019" w:rsidRDefault="00E82A60" w:rsidP="00300A01">
            <w:pPr>
              <w:spacing w:before="0" w:after="0"/>
              <w:jc w:val="center"/>
              <w:rPr>
                <w:b/>
                <w:sz w:val="12"/>
                <w:szCs w:val="12"/>
                <w:lang w:val="fr-BE"/>
              </w:rPr>
            </w:pPr>
            <w:r w:rsidRPr="00F53019">
              <w:rPr>
                <w:b/>
                <w:noProof/>
                <w:sz w:val="12"/>
                <w:szCs w:val="12"/>
                <w:lang w:val="fr-BE"/>
              </w:rPr>
              <w:t>Kobiety</w:t>
            </w:r>
          </w:p>
        </w:tc>
        <w:tc>
          <w:tcPr>
            <w:tcW w:w="0" w:type="auto"/>
            <w:shd w:val="clear" w:color="auto" w:fill="auto"/>
          </w:tcPr>
          <w:p w14:paraId="4E18886F" w14:textId="77777777" w:rsidR="008C5CFA" w:rsidRPr="00F53019" w:rsidRDefault="00E82A60" w:rsidP="00300A01">
            <w:pPr>
              <w:spacing w:before="0" w:after="0"/>
              <w:jc w:val="center"/>
              <w:rPr>
                <w:b/>
                <w:sz w:val="12"/>
                <w:szCs w:val="12"/>
                <w:lang w:val="fr-BE"/>
              </w:rPr>
            </w:pPr>
            <w:r w:rsidRPr="00F53019">
              <w:rPr>
                <w:b/>
                <w:noProof/>
                <w:sz w:val="12"/>
                <w:szCs w:val="12"/>
                <w:lang w:val="fr-BE"/>
              </w:rPr>
              <w:t>Ogółem</w:t>
            </w:r>
          </w:p>
        </w:tc>
        <w:tc>
          <w:tcPr>
            <w:tcW w:w="0" w:type="auto"/>
            <w:shd w:val="clear" w:color="auto" w:fill="auto"/>
          </w:tcPr>
          <w:p w14:paraId="1E36FB78" w14:textId="77777777" w:rsidR="008C5CFA" w:rsidRPr="00F53019" w:rsidRDefault="00E82A60"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14:paraId="3E59E8B6" w14:textId="77777777" w:rsidR="008C5CFA" w:rsidRPr="00F53019" w:rsidRDefault="00E82A60" w:rsidP="00300A01">
            <w:pPr>
              <w:spacing w:before="0" w:after="0"/>
              <w:jc w:val="center"/>
              <w:rPr>
                <w:b/>
                <w:sz w:val="12"/>
                <w:szCs w:val="12"/>
                <w:lang w:val="fr-BE"/>
              </w:rPr>
            </w:pPr>
            <w:r w:rsidRPr="00F53019">
              <w:rPr>
                <w:b/>
                <w:noProof/>
                <w:sz w:val="12"/>
                <w:szCs w:val="12"/>
                <w:lang w:val="fr-BE"/>
              </w:rPr>
              <w:t>Kobiety</w:t>
            </w:r>
          </w:p>
        </w:tc>
        <w:tc>
          <w:tcPr>
            <w:tcW w:w="0" w:type="auto"/>
            <w:shd w:val="clear" w:color="auto" w:fill="auto"/>
          </w:tcPr>
          <w:p w14:paraId="1A4157D9" w14:textId="77777777" w:rsidR="008C5CFA" w:rsidRPr="00F53019" w:rsidRDefault="00E82A60"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14:paraId="57D3EF7B" w14:textId="77777777" w:rsidR="008C5CFA" w:rsidRPr="00F53019" w:rsidRDefault="00E82A60" w:rsidP="00300A01">
            <w:pPr>
              <w:spacing w:before="0" w:after="0"/>
              <w:jc w:val="center"/>
              <w:rPr>
                <w:b/>
                <w:sz w:val="12"/>
                <w:szCs w:val="12"/>
                <w:lang w:val="fr-BE"/>
              </w:rPr>
            </w:pPr>
            <w:r w:rsidRPr="00F53019">
              <w:rPr>
                <w:b/>
                <w:noProof/>
                <w:sz w:val="12"/>
                <w:szCs w:val="12"/>
                <w:lang w:val="fr-BE"/>
              </w:rPr>
              <w:t>Kobiety</w:t>
            </w:r>
          </w:p>
        </w:tc>
      </w:tr>
      <w:tr w:rsidR="006B2EC1" w14:paraId="198DE21C" w14:textId="77777777" w:rsidTr="0047688D">
        <w:tc>
          <w:tcPr>
            <w:tcW w:w="0" w:type="auto"/>
            <w:shd w:val="clear" w:color="auto" w:fill="auto"/>
          </w:tcPr>
          <w:p w14:paraId="58834FCA" w14:textId="77777777" w:rsidR="008C5CFA" w:rsidRPr="00BA47B4" w:rsidRDefault="00E82A60" w:rsidP="00300A01">
            <w:pPr>
              <w:spacing w:before="0" w:after="0"/>
              <w:rPr>
                <w:sz w:val="12"/>
                <w:szCs w:val="12"/>
                <w:lang w:val="fr-BE"/>
              </w:rPr>
            </w:pPr>
            <w:r w:rsidRPr="00BA47B4">
              <w:rPr>
                <w:noProof/>
                <w:sz w:val="12"/>
                <w:szCs w:val="12"/>
                <w:lang w:val="fr-BE"/>
              </w:rPr>
              <w:t>CR01</w:t>
            </w:r>
          </w:p>
        </w:tc>
        <w:tc>
          <w:tcPr>
            <w:tcW w:w="0" w:type="auto"/>
            <w:shd w:val="clear" w:color="auto" w:fill="auto"/>
          </w:tcPr>
          <w:p w14:paraId="4098E075" w14:textId="77777777" w:rsidR="008C5CFA" w:rsidRPr="00BA47B4" w:rsidRDefault="00E82A60" w:rsidP="00300A01">
            <w:pPr>
              <w:spacing w:before="0" w:after="0"/>
              <w:rPr>
                <w:sz w:val="12"/>
                <w:szCs w:val="12"/>
                <w:lang w:val="fr-BE"/>
              </w:rPr>
            </w:pPr>
            <w:r w:rsidRPr="00BA47B4">
              <w:rPr>
                <w:noProof/>
                <w:sz w:val="12"/>
                <w:szCs w:val="12"/>
                <w:lang w:val="fr-BE"/>
              </w:rPr>
              <w:t>bierni zawodowo uczestnicy poszukujący pracy po opuszczeniu programu</w:t>
            </w:r>
          </w:p>
        </w:tc>
        <w:tc>
          <w:tcPr>
            <w:tcW w:w="0" w:type="auto"/>
            <w:shd w:val="clear" w:color="auto" w:fill="auto"/>
          </w:tcPr>
          <w:p w14:paraId="43E7CDCF" w14:textId="77777777" w:rsidR="008C5CFA" w:rsidRPr="00BA47B4" w:rsidRDefault="00E82A60" w:rsidP="00300A01">
            <w:pPr>
              <w:spacing w:before="0" w:after="0"/>
              <w:rPr>
                <w:sz w:val="12"/>
                <w:szCs w:val="12"/>
                <w:lang w:val="fr-BE"/>
              </w:rPr>
            </w:pPr>
            <w:r w:rsidRPr="00BA47B4">
              <w:rPr>
                <w:noProof/>
                <w:sz w:val="12"/>
                <w:szCs w:val="12"/>
                <w:lang w:val="fr-BE"/>
              </w:rPr>
              <w:t>Słabiej rozwinięte</w:t>
            </w:r>
          </w:p>
        </w:tc>
        <w:tc>
          <w:tcPr>
            <w:tcW w:w="0" w:type="auto"/>
            <w:shd w:val="clear" w:color="auto" w:fill="auto"/>
          </w:tcPr>
          <w:p w14:paraId="2ECF47DB" w14:textId="77777777" w:rsidR="008C5CFA" w:rsidRPr="00BA47B4" w:rsidRDefault="00E82A60" w:rsidP="00300A01">
            <w:pPr>
              <w:spacing w:before="0" w:after="0"/>
              <w:rPr>
                <w:sz w:val="12"/>
                <w:szCs w:val="12"/>
                <w:lang w:val="fr-BE"/>
              </w:rPr>
            </w:pPr>
            <w:r w:rsidRPr="00BA47B4">
              <w:rPr>
                <w:sz w:val="12"/>
                <w:szCs w:val="12"/>
                <w:lang w:val="fr-BE"/>
              </w:rPr>
              <w:t xml:space="preserve"> </w:t>
            </w:r>
          </w:p>
        </w:tc>
        <w:tc>
          <w:tcPr>
            <w:tcW w:w="0" w:type="auto"/>
            <w:shd w:val="clear" w:color="auto" w:fill="auto"/>
          </w:tcPr>
          <w:p w14:paraId="6104653D" w14:textId="77777777" w:rsidR="008C5CFA" w:rsidRPr="00BA47B4" w:rsidRDefault="008C5CFA" w:rsidP="00300A01">
            <w:pPr>
              <w:spacing w:before="0" w:after="0"/>
              <w:jc w:val="center"/>
              <w:rPr>
                <w:sz w:val="12"/>
                <w:szCs w:val="12"/>
                <w:lang w:val="fr-BE"/>
              </w:rPr>
            </w:pPr>
          </w:p>
        </w:tc>
        <w:tc>
          <w:tcPr>
            <w:tcW w:w="0" w:type="auto"/>
            <w:shd w:val="clear" w:color="auto" w:fill="auto"/>
          </w:tcPr>
          <w:p w14:paraId="00ACB659" w14:textId="77777777" w:rsidR="008C5CFA" w:rsidRPr="00BA47B4" w:rsidRDefault="008C5CFA" w:rsidP="00300A01">
            <w:pPr>
              <w:spacing w:before="0" w:after="0"/>
              <w:jc w:val="right"/>
              <w:rPr>
                <w:sz w:val="12"/>
                <w:szCs w:val="12"/>
                <w:lang w:val="fr-BE"/>
              </w:rPr>
            </w:pPr>
          </w:p>
        </w:tc>
        <w:tc>
          <w:tcPr>
            <w:tcW w:w="0" w:type="auto"/>
            <w:shd w:val="clear" w:color="auto" w:fill="auto"/>
          </w:tcPr>
          <w:p w14:paraId="7CDC17FF" w14:textId="77777777" w:rsidR="008C5CFA" w:rsidRPr="00BA47B4" w:rsidRDefault="008C5CFA" w:rsidP="00300A01">
            <w:pPr>
              <w:spacing w:before="0" w:after="0"/>
              <w:jc w:val="right"/>
              <w:rPr>
                <w:sz w:val="12"/>
                <w:szCs w:val="12"/>
                <w:lang w:val="fr-BE"/>
              </w:rPr>
            </w:pPr>
          </w:p>
        </w:tc>
        <w:tc>
          <w:tcPr>
            <w:tcW w:w="0" w:type="auto"/>
            <w:shd w:val="clear" w:color="auto" w:fill="auto"/>
          </w:tcPr>
          <w:p w14:paraId="22917D2A" w14:textId="77777777" w:rsidR="008C5CFA" w:rsidRPr="00BA47B4" w:rsidRDefault="008C5CFA" w:rsidP="00300A01">
            <w:pPr>
              <w:spacing w:before="0" w:after="0"/>
              <w:jc w:val="right"/>
              <w:rPr>
                <w:sz w:val="12"/>
                <w:szCs w:val="12"/>
                <w:lang w:val="fr-BE"/>
              </w:rPr>
            </w:pPr>
          </w:p>
        </w:tc>
        <w:tc>
          <w:tcPr>
            <w:tcW w:w="0" w:type="auto"/>
            <w:shd w:val="clear" w:color="auto" w:fill="auto"/>
          </w:tcPr>
          <w:p w14:paraId="427B6616" w14:textId="77777777" w:rsidR="008C5CFA" w:rsidRPr="00BA47B4" w:rsidRDefault="00E82A60" w:rsidP="00300A01">
            <w:pPr>
              <w:spacing w:before="0" w:after="0"/>
              <w:jc w:val="right"/>
              <w:rPr>
                <w:sz w:val="12"/>
                <w:szCs w:val="12"/>
                <w:lang w:val="fr-BE"/>
              </w:rPr>
            </w:pPr>
            <w:r w:rsidRPr="00BA47B4">
              <w:rPr>
                <w:noProof/>
                <w:sz w:val="12"/>
                <w:szCs w:val="12"/>
                <w:lang w:val="fr-BE"/>
              </w:rPr>
              <w:t>695,00</w:t>
            </w:r>
          </w:p>
        </w:tc>
        <w:tc>
          <w:tcPr>
            <w:tcW w:w="0" w:type="auto"/>
            <w:shd w:val="clear" w:color="auto" w:fill="auto"/>
          </w:tcPr>
          <w:p w14:paraId="13082BD1" w14:textId="77777777" w:rsidR="008C5CFA" w:rsidRPr="00BA47B4" w:rsidRDefault="00E82A60" w:rsidP="00300A01">
            <w:pPr>
              <w:spacing w:before="0" w:after="0"/>
              <w:jc w:val="right"/>
              <w:rPr>
                <w:sz w:val="12"/>
                <w:szCs w:val="12"/>
                <w:lang w:val="fr-BE"/>
              </w:rPr>
            </w:pPr>
            <w:r w:rsidRPr="00BA47B4">
              <w:rPr>
                <w:noProof/>
                <w:sz w:val="12"/>
                <w:szCs w:val="12"/>
                <w:lang w:val="fr-BE"/>
              </w:rPr>
              <w:t>197,00</w:t>
            </w:r>
          </w:p>
        </w:tc>
        <w:tc>
          <w:tcPr>
            <w:tcW w:w="0" w:type="auto"/>
            <w:shd w:val="clear" w:color="auto" w:fill="auto"/>
          </w:tcPr>
          <w:p w14:paraId="3B85B1E4" w14:textId="77777777" w:rsidR="008C5CFA" w:rsidRPr="00BA47B4" w:rsidRDefault="00E82A60" w:rsidP="00300A01">
            <w:pPr>
              <w:spacing w:before="0" w:after="0"/>
              <w:jc w:val="right"/>
              <w:rPr>
                <w:sz w:val="12"/>
                <w:szCs w:val="12"/>
                <w:lang w:val="fr-BE"/>
              </w:rPr>
            </w:pPr>
            <w:r w:rsidRPr="00BA47B4">
              <w:rPr>
                <w:noProof/>
                <w:sz w:val="12"/>
                <w:szCs w:val="12"/>
                <w:lang w:val="fr-BE"/>
              </w:rPr>
              <w:t>498,00</w:t>
            </w:r>
          </w:p>
        </w:tc>
        <w:tc>
          <w:tcPr>
            <w:tcW w:w="0" w:type="auto"/>
            <w:shd w:val="clear" w:color="auto" w:fill="auto"/>
          </w:tcPr>
          <w:p w14:paraId="13063DD0" w14:textId="77777777" w:rsidR="008C5CFA" w:rsidRPr="00BA47B4" w:rsidRDefault="008C5CFA" w:rsidP="00300A01">
            <w:pPr>
              <w:spacing w:before="0" w:after="0"/>
              <w:jc w:val="right"/>
              <w:rPr>
                <w:sz w:val="12"/>
                <w:szCs w:val="12"/>
                <w:lang w:val="fr-BE"/>
              </w:rPr>
            </w:pPr>
          </w:p>
        </w:tc>
        <w:tc>
          <w:tcPr>
            <w:tcW w:w="0" w:type="auto"/>
            <w:shd w:val="clear" w:color="auto" w:fill="auto"/>
          </w:tcPr>
          <w:p w14:paraId="717E2110" w14:textId="77777777" w:rsidR="008C5CFA" w:rsidRPr="00BA47B4" w:rsidRDefault="008C5CFA" w:rsidP="00300A01">
            <w:pPr>
              <w:spacing w:before="0" w:after="0"/>
              <w:jc w:val="right"/>
              <w:rPr>
                <w:sz w:val="12"/>
                <w:szCs w:val="12"/>
                <w:lang w:val="fr-BE"/>
              </w:rPr>
            </w:pPr>
          </w:p>
        </w:tc>
        <w:tc>
          <w:tcPr>
            <w:tcW w:w="0" w:type="auto"/>
            <w:shd w:val="clear" w:color="auto" w:fill="auto"/>
          </w:tcPr>
          <w:p w14:paraId="0EC74E1D" w14:textId="77777777" w:rsidR="008C5CFA" w:rsidRPr="00BA47B4" w:rsidRDefault="008C5CFA" w:rsidP="00300A01">
            <w:pPr>
              <w:spacing w:before="0" w:after="0"/>
              <w:jc w:val="right"/>
              <w:rPr>
                <w:sz w:val="12"/>
                <w:szCs w:val="12"/>
                <w:lang w:val="fr-BE"/>
              </w:rPr>
            </w:pPr>
          </w:p>
        </w:tc>
        <w:tc>
          <w:tcPr>
            <w:tcW w:w="0" w:type="auto"/>
            <w:shd w:val="clear" w:color="auto" w:fill="auto"/>
          </w:tcPr>
          <w:p w14:paraId="0F0C6636" w14:textId="77777777" w:rsidR="008C5CFA" w:rsidRPr="00BA47B4" w:rsidRDefault="00E82A60" w:rsidP="00300A01">
            <w:pPr>
              <w:spacing w:before="0" w:after="0"/>
              <w:jc w:val="right"/>
              <w:rPr>
                <w:sz w:val="12"/>
                <w:szCs w:val="12"/>
                <w:lang w:val="fr-BE"/>
              </w:rPr>
            </w:pPr>
            <w:r w:rsidRPr="00BA47B4">
              <w:rPr>
                <w:noProof/>
                <w:sz w:val="12"/>
                <w:szCs w:val="12"/>
                <w:lang w:val="fr-BE"/>
              </w:rPr>
              <w:t>119,00</w:t>
            </w:r>
          </w:p>
        </w:tc>
        <w:tc>
          <w:tcPr>
            <w:tcW w:w="0" w:type="auto"/>
            <w:shd w:val="clear" w:color="auto" w:fill="auto"/>
          </w:tcPr>
          <w:p w14:paraId="69B9D784" w14:textId="77777777" w:rsidR="008C5CFA" w:rsidRPr="00BA47B4" w:rsidRDefault="00E82A60" w:rsidP="00300A01">
            <w:pPr>
              <w:spacing w:before="0" w:after="0"/>
              <w:jc w:val="right"/>
              <w:rPr>
                <w:sz w:val="12"/>
                <w:szCs w:val="12"/>
                <w:lang w:val="fr-BE"/>
              </w:rPr>
            </w:pPr>
            <w:r w:rsidRPr="00BA47B4">
              <w:rPr>
                <w:noProof/>
                <w:sz w:val="12"/>
                <w:szCs w:val="12"/>
                <w:lang w:val="fr-BE"/>
              </w:rPr>
              <w:t>340,00</w:t>
            </w:r>
          </w:p>
        </w:tc>
      </w:tr>
      <w:tr w:rsidR="006B2EC1" w14:paraId="1149F265" w14:textId="77777777" w:rsidTr="0047688D">
        <w:tc>
          <w:tcPr>
            <w:tcW w:w="0" w:type="auto"/>
            <w:shd w:val="clear" w:color="auto" w:fill="auto"/>
          </w:tcPr>
          <w:p w14:paraId="73280903" w14:textId="77777777" w:rsidR="008C5CFA" w:rsidRPr="00BA47B4" w:rsidRDefault="00E82A60" w:rsidP="00300A01">
            <w:pPr>
              <w:spacing w:before="0" w:after="0"/>
              <w:rPr>
                <w:sz w:val="12"/>
                <w:szCs w:val="12"/>
                <w:lang w:val="fr-BE"/>
              </w:rPr>
            </w:pPr>
            <w:r w:rsidRPr="00BA47B4">
              <w:rPr>
                <w:noProof/>
                <w:sz w:val="12"/>
                <w:szCs w:val="12"/>
                <w:lang w:val="fr-BE"/>
              </w:rPr>
              <w:t>CR02</w:t>
            </w:r>
          </w:p>
        </w:tc>
        <w:tc>
          <w:tcPr>
            <w:tcW w:w="0" w:type="auto"/>
            <w:shd w:val="clear" w:color="auto" w:fill="auto"/>
          </w:tcPr>
          <w:p w14:paraId="61EEA4CF" w14:textId="77777777" w:rsidR="008C5CFA" w:rsidRPr="00BA47B4" w:rsidRDefault="00E82A60" w:rsidP="00300A01">
            <w:pPr>
              <w:spacing w:before="0" w:after="0"/>
              <w:rPr>
                <w:sz w:val="12"/>
                <w:szCs w:val="12"/>
                <w:lang w:val="fr-BE"/>
              </w:rPr>
            </w:pPr>
            <w:r w:rsidRPr="00BA47B4">
              <w:rPr>
                <w:noProof/>
                <w:sz w:val="12"/>
                <w:szCs w:val="12"/>
                <w:lang w:val="fr-BE"/>
              </w:rPr>
              <w:t>uczestnicy kształcący lub szkolący się po opuszczeniu programu</w:t>
            </w:r>
          </w:p>
        </w:tc>
        <w:tc>
          <w:tcPr>
            <w:tcW w:w="0" w:type="auto"/>
            <w:shd w:val="clear" w:color="auto" w:fill="auto"/>
          </w:tcPr>
          <w:p w14:paraId="1B35889F" w14:textId="77777777" w:rsidR="008C5CFA" w:rsidRPr="00BA47B4" w:rsidRDefault="00E82A60" w:rsidP="00300A01">
            <w:pPr>
              <w:spacing w:before="0" w:after="0"/>
              <w:rPr>
                <w:sz w:val="12"/>
                <w:szCs w:val="12"/>
                <w:lang w:val="fr-BE"/>
              </w:rPr>
            </w:pPr>
            <w:r w:rsidRPr="00BA47B4">
              <w:rPr>
                <w:noProof/>
                <w:sz w:val="12"/>
                <w:szCs w:val="12"/>
                <w:lang w:val="fr-BE"/>
              </w:rPr>
              <w:t>Słabiej rozwinięte</w:t>
            </w:r>
          </w:p>
        </w:tc>
        <w:tc>
          <w:tcPr>
            <w:tcW w:w="0" w:type="auto"/>
            <w:shd w:val="clear" w:color="auto" w:fill="auto"/>
          </w:tcPr>
          <w:p w14:paraId="6FC6F30E" w14:textId="77777777" w:rsidR="008C5CFA" w:rsidRPr="00BA47B4" w:rsidRDefault="00E82A60" w:rsidP="00300A01">
            <w:pPr>
              <w:spacing w:before="0" w:after="0"/>
              <w:rPr>
                <w:sz w:val="12"/>
                <w:szCs w:val="12"/>
                <w:lang w:val="fr-BE"/>
              </w:rPr>
            </w:pPr>
            <w:r w:rsidRPr="00BA47B4">
              <w:rPr>
                <w:sz w:val="12"/>
                <w:szCs w:val="12"/>
                <w:lang w:val="fr-BE"/>
              </w:rPr>
              <w:t xml:space="preserve"> </w:t>
            </w:r>
          </w:p>
        </w:tc>
        <w:tc>
          <w:tcPr>
            <w:tcW w:w="0" w:type="auto"/>
            <w:shd w:val="clear" w:color="auto" w:fill="auto"/>
          </w:tcPr>
          <w:p w14:paraId="3E67623D" w14:textId="77777777" w:rsidR="008C5CFA" w:rsidRPr="00BA47B4" w:rsidRDefault="008C5CFA" w:rsidP="00300A01">
            <w:pPr>
              <w:spacing w:before="0" w:after="0"/>
              <w:jc w:val="center"/>
              <w:rPr>
                <w:sz w:val="12"/>
                <w:szCs w:val="12"/>
                <w:lang w:val="fr-BE"/>
              </w:rPr>
            </w:pPr>
          </w:p>
        </w:tc>
        <w:tc>
          <w:tcPr>
            <w:tcW w:w="0" w:type="auto"/>
            <w:shd w:val="clear" w:color="auto" w:fill="auto"/>
          </w:tcPr>
          <w:p w14:paraId="1F308545" w14:textId="77777777" w:rsidR="008C5CFA" w:rsidRPr="00BA47B4" w:rsidRDefault="008C5CFA" w:rsidP="00300A01">
            <w:pPr>
              <w:spacing w:before="0" w:after="0"/>
              <w:jc w:val="right"/>
              <w:rPr>
                <w:sz w:val="12"/>
                <w:szCs w:val="12"/>
                <w:lang w:val="fr-BE"/>
              </w:rPr>
            </w:pPr>
          </w:p>
        </w:tc>
        <w:tc>
          <w:tcPr>
            <w:tcW w:w="0" w:type="auto"/>
            <w:shd w:val="clear" w:color="auto" w:fill="auto"/>
          </w:tcPr>
          <w:p w14:paraId="23756A01" w14:textId="77777777" w:rsidR="008C5CFA" w:rsidRPr="00BA47B4" w:rsidRDefault="008C5CFA" w:rsidP="00300A01">
            <w:pPr>
              <w:spacing w:before="0" w:after="0"/>
              <w:jc w:val="right"/>
              <w:rPr>
                <w:sz w:val="12"/>
                <w:szCs w:val="12"/>
                <w:lang w:val="fr-BE"/>
              </w:rPr>
            </w:pPr>
          </w:p>
        </w:tc>
        <w:tc>
          <w:tcPr>
            <w:tcW w:w="0" w:type="auto"/>
            <w:shd w:val="clear" w:color="auto" w:fill="auto"/>
          </w:tcPr>
          <w:p w14:paraId="6A707C35" w14:textId="77777777" w:rsidR="008C5CFA" w:rsidRPr="00BA47B4" w:rsidRDefault="008C5CFA" w:rsidP="00300A01">
            <w:pPr>
              <w:spacing w:before="0" w:after="0"/>
              <w:jc w:val="right"/>
              <w:rPr>
                <w:sz w:val="12"/>
                <w:szCs w:val="12"/>
                <w:lang w:val="fr-BE"/>
              </w:rPr>
            </w:pPr>
          </w:p>
        </w:tc>
        <w:tc>
          <w:tcPr>
            <w:tcW w:w="0" w:type="auto"/>
            <w:shd w:val="clear" w:color="auto" w:fill="auto"/>
          </w:tcPr>
          <w:p w14:paraId="7859E0E8" w14:textId="77777777" w:rsidR="008C5CFA" w:rsidRPr="00BA47B4" w:rsidRDefault="00E82A60" w:rsidP="00300A01">
            <w:pPr>
              <w:spacing w:before="0" w:after="0"/>
              <w:jc w:val="right"/>
              <w:rPr>
                <w:sz w:val="12"/>
                <w:szCs w:val="12"/>
                <w:lang w:val="fr-BE"/>
              </w:rPr>
            </w:pPr>
            <w:r w:rsidRPr="00BA47B4">
              <w:rPr>
                <w:noProof/>
                <w:sz w:val="12"/>
                <w:szCs w:val="12"/>
                <w:lang w:val="fr-BE"/>
              </w:rPr>
              <w:t>20,00</w:t>
            </w:r>
          </w:p>
        </w:tc>
        <w:tc>
          <w:tcPr>
            <w:tcW w:w="0" w:type="auto"/>
            <w:shd w:val="clear" w:color="auto" w:fill="auto"/>
          </w:tcPr>
          <w:p w14:paraId="2B161473" w14:textId="77777777" w:rsidR="008C5CFA" w:rsidRPr="00BA47B4" w:rsidRDefault="00E82A60" w:rsidP="00300A01">
            <w:pPr>
              <w:spacing w:before="0" w:after="0"/>
              <w:jc w:val="right"/>
              <w:rPr>
                <w:sz w:val="12"/>
                <w:szCs w:val="12"/>
                <w:lang w:val="fr-BE"/>
              </w:rPr>
            </w:pPr>
            <w:r w:rsidRPr="00BA47B4">
              <w:rPr>
                <w:noProof/>
                <w:sz w:val="12"/>
                <w:szCs w:val="12"/>
                <w:lang w:val="fr-BE"/>
              </w:rPr>
              <w:t>10,00</w:t>
            </w:r>
          </w:p>
        </w:tc>
        <w:tc>
          <w:tcPr>
            <w:tcW w:w="0" w:type="auto"/>
            <w:shd w:val="clear" w:color="auto" w:fill="auto"/>
          </w:tcPr>
          <w:p w14:paraId="091B5679" w14:textId="77777777" w:rsidR="008C5CFA" w:rsidRPr="00BA47B4" w:rsidRDefault="00E82A60" w:rsidP="00300A01">
            <w:pPr>
              <w:spacing w:before="0" w:after="0"/>
              <w:jc w:val="right"/>
              <w:rPr>
                <w:sz w:val="12"/>
                <w:szCs w:val="12"/>
                <w:lang w:val="fr-BE"/>
              </w:rPr>
            </w:pPr>
            <w:r w:rsidRPr="00BA47B4">
              <w:rPr>
                <w:noProof/>
                <w:sz w:val="12"/>
                <w:szCs w:val="12"/>
                <w:lang w:val="fr-BE"/>
              </w:rPr>
              <w:t>10,00</w:t>
            </w:r>
          </w:p>
        </w:tc>
        <w:tc>
          <w:tcPr>
            <w:tcW w:w="0" w:type="auto"/>
            <w:shd w:val="clear" w:color="auto" w:fill="auto"/>
          </w:tcPr>
          <w:p w14:paraId="78D11980" w14:textId="77777777" w:rsidR="008C5CFA" w:rsidRPr="00BA47B4" w:rsidRDefault="008C5CFA" w:rsidP="00300A01">
            <w:pPr>
              <w:spacing w:before="0" w:after="0"/>
              <w:jc w:val="right"/>
              <w:rPr>
                <w:sz w:val="12"/>
                <w:szCs w:val="12"/>
                <w:lang w:val="fr-BE"/>
              </w:rPr>
            </w:pPr>
          </w:p>
        </w:tc>
        <w:tc>
          <w:tcPr>
            <w:tcW w:w="0" w:type="auto"/>
            <w:shd w:val="clear" w:color="auto" w:fill="auto"/>
          </w:tcPr>
          <w:p w14:paraId="08CC3086" w14:textId="77777777" w:rsidR="008C5CFA" w:rsidRPr="00BA47B4" w:rsidRDefault="008C5CFA" w:rsidP="00300A01">
            <w:pPr>
              <w:spacing w:before="0" w:after="0"/>
              <w:jc w:val="right"/>
              <w:rPr>
                <w:sz w:val="12"/>
                <w:szCs w:val="12"/>
                <w:lang w:val="fr-BE"/>
              </w:rPr>
            </w:pPr>
          </w:p>
        </w:tc>
        <w:tc>
          <w:tcPr>
            <w:tcW w:w="0" w:type="auto"/>
            <w:shd w:val="clear" w:color="auto" w:fill="auto"/>
          </w:tcPr>
          <w:p w14:paraId="1C6E433F" w14:textId="77777777" w:rsidR="008C5CFA" w:rsidRPr="00BA47B4" w:rsidRDefault="008C5CFA" w:rsidP="00300A01">
            <w:pPr>
              <w:spacing w:before="0" w:after="0"/>
              <w:jc w:val="right"/>
              <w:rPr>
                <w:sz w:val="12"/>
                <w:szCs w:val="12"/>
                <w:lang w:val="fr-BE"/>
              </w:rPr>
            </w:pPr>
          </w:p>
        </w:tc>
        <w:tc>
          <w:tcPr>
            <w:tcW w:w="0" w:type="auto"/>
            <w:shd w:val="clear" w:color="auto" w:fill="auto"/>
          </w:tcPr>
          <w:p w14:paraId="4D169510"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76616418" w14:textId="77777777" w:rsidR="008C5CFA" w:rsidRPr="00BA47B4" w:rsidRDefault="00E82A60" w:rsidP="00300A01">
            <w:pPr>
              <w:spacing w:before="0" w:after="0"/>
              <w:jc w:val="right"/>
              <w:rPr>
                <w:sz w:val="12"/>
                <w:szCs w:val="12"/>
                <w:lang w:val="fr-BE"/>
              </w:rPr>
            </w:pPr>
            <w:r w:rsidRPr="00BA47B4">
              <w:rPr>
                <w:noProof/>
                <w:sz w:val="12"/>
                <w:szCs w:val="12"/>
                <w:lang w:val="fr-BE"/>
              </w:rPr>
              <w:t>2,00</w:t>
            </w:r>
          </w:p>
        </w:tc>
      </w:tr>
      <w:tr w:rsidR="006B2EC1" w14:paraId="5960F60A" w14:textId="77777777" w:rsidTr="0047688D">
        <w:tc>
          <w:tcPr>
            <w:tcW w:w="0" w:type="auto"/>
            <w:shd w:val="clear" w:color="auto" w:fill="auto"/>
          </w:tcPr>
          <w:p w14:paraId="5CE4C1F7" w14:textId="77777777" w:rsidR="008C5CFA" w:rsidRPr="00BA47B4" w:rsidRDefault="00E82A60" w:rsidP="00300A01">
            <w:pPr>
              <w:spacing w:before="0" w:after="0"/>
              <w:rPr>
                <w:sz w:val="12"/>
                <w:szCs w:val="12"/>
                <w:lang w:val="fr-BE"/>
              </w:rPr>
            </w:pPr>
            <w:r w:rsidRPr="00BA47B4">
              <w:rPr>
                <w:noProof/>
                <w:sz w:val="12"/>
                <w:szCs w:val="12"/>
                <w:lang w:val="fr-BE"/>
              </w:rPr>
              <w:t>CR03</w:t>
            </w:r>
          </w:p>
        </w:tc>
        <w:tc>
          <w:tcPr>
            <w:tcW w:w="0" w:type="auto"/>
            <w:shd w:val="clear" w:color="auto" w:fill="auto"/>
          </w:tcPr>
          <w:p w14:paraId="4EF20030" w14:textId="77777777" w:rsidR="008C5CFA" w:rsidRPr="00BA47B4" w:rsidRDefault="00E82A60" w:rsidP="00300A01">
            <w:pPr>
              <w:spacing w:before="0" w:after="0"/>
              <w:rPr>
                <w:sz w:val="12"/>
                <w:szCs w:val="12"/>
                <w:lang w:val="fr-BE"/>
              </w:rPr>
            </w:pPr>
            <w:r w:rsidRPr="00BA47B4">
              <w:rPr>
                <w:noProof/>
                <w:sz w:val="12"/>
                <w:szCs w:val="12"/>
                <w:lang w:val="fr-BE"/>
              </w:rPr>
              <w:t>uczestnicy uzyskujący kwalifikacje po opuszczeniu programu</w:t>
            </w:r>
          </w:p>
        </w:tc>
        <w:tc>
          <w:tcPr>
            <w:tcW w:w="0" w:type="auto"/>
            <w:shd w:val="clear" w:color="auto" w:fill="auto"/>
          </w:tcPr>
          <w:p w14:paraId="34FE1B03" w14:textId="77777777" w:rsidR="008C5CFA" w:rsidRPr="00BA47B4" w:rsidRDefault="00E82A60" w:rsidP="00300A01">
            <w:pPr>
              <w:spacing w:before="0" w:after="0"/>
              <w:rPr>
                <w:sz w:val="12"/>
                <w:szCs w:val="12"/>
                <w:lang w:val="fr-BE"/>
              </w:rPr>
            </w:pPr>
            <w:r w:rsidRPr="00BA47B4">
              <w:rPr>
                <w:noProof/>
                <w:sz w:val="12"/>
                <w:szCs w:val="12"/>
                <w:lang w:val="fr-BE"/>
              </w:rPr>
              <w:t>Słabiej rozwinięte</w:t>
            </w:r>
          </w:p>
        </w:tc>
        <w:tc>
          <w:tcPr>
            <w:tcW w:w="0" w:type="auto"/>
            <w:shd w:val="clear" w:color="auto" w:fill="auto"/>
          </w:tcPr>
          <w:p w14:paraId="135F194F" w14:textId="77777777" w:rsidR="008C5CFA" w:rsidRPr="00BA47B4" w:rsidRDefault="00E82A60" w:rsidP="00300A01">
            <w:pPr>
              <w:spacing w:before="0" w:after="0"/>
              <w:rPr>
                <w:sz w:val="12"/>
                <w:szCs w:val="12"/>
                <w:lang w:val="fr-BE"/>
              </w:rPr>
            </w:pPr>
            <w:r w:rsidRPr="00BA47B4">
              <w:rPr>
                <w:sz w:val="12"/>
                <w:szCs w:val="12"/>
                <w:lang w:val="fr-BE"/>
              </w:rPr>
              <w:t xml:space="preserve"> </w:t>
            </w:r>
          </w:p>
        </w:tc>
        <w:tc>
          <w:tcPr>
            <w:tcW w:w="0" w:type="auto"/>
            <w:shd w:val="clear" w:color="auto" w:fill="auto"/>
          </w:tcPr>
          <w:p w14:paraId="425AAFA9" w14:textId="77777777" w:rsidR="008C5CFA" w:rsidRPr="00BA47B4" w:rsidRDefault="008C5CFA" w:rsidP="00300A01">
            <w:pPr>
              <w:spacing w:before="0" w:after="0"/>
              <w:jc w:val="center"/>
              <w:rPr>
                <w:sz w:val="12"/>
                <w:szCs w:val="12"/>
                <w:lang w:val="fr-BE"/>
              </w:rPr>
            </w:pPr>
          </w:p>
        </w:tc>
        <w:tc>
          <w:tcPr>
            <w:tcW w:w="0" w:type="auto"/>
            <w:shd w:val="clear" w:color="auto" w:fill="auto"/>
          </w:tcPr>
          <w:p w14:paraId="2C11B692" w14:textId="77777777" w:rsidR="008C5CFA" w:rsidRPr="00BA47B4" w:rsidRDefault="008C5CFA" w:rsidP="00300A01">
            <w:pPr>
              <w:spacing w:before="0" w:after="0"/>
              <w:jc w:val="right"/>
              <w:rPr>
                <w:sz w:val="12"/>
                <w:szCs w:val="12"/>
                <w:lang w:val="fr-BE"/>
              </w:rPr>
            </w:pPr>
          </w:p>
        </w:tc>
        <w:tc>
          <w:tcPr>
            <w:tcW w:w="0" w:type="auto"/>
            <w:shd w:val="clear" w:color="auto" w:fill="auto"/>
          </w:tcPr>
          <w:p w14:paraId="3E95C027" w14:textId="77777777" w:rsidR="008C5CFA" w:rsidRPr="00BA47B4" w:rsidRDefault="008C5CFA" w:rsidP="00300A01">
            <w:pPr>
              <w:spacing w:before="0" w:after="0"/>
              <w:jc w:val="right"/>
              <w:rPr>
                <w:sz w:val="12"/>
                <w:szCs w:val="12"/>
                <w:lang w:val="fr-BE"/>
              </w:rPr>
            </w:pPr>
          </w:p>
        </w:tc>
        <w:tc>
          <w:tcPr>
            <w:tcW w:w="0" w:type="auto"/>
            <w:shd w:val="clear" w:color="auto" w:fill="auto"/>
          </w:tcPr>
          <w:p w14:paraId="11F96C17" w14:textId="77777777" w:rsidR="008C5CFA" w:rsidRPr="00BA47B4" w:rsidRDefault="008C5CFA" w:rsidP="00300A01">
            <w:pPr>
              <w:spacing w:before="0" w:after="0"/>
              <w:jc w:val="right"/>
              <w:rPr>
                <w:sz w:val="12"/>
                <w:szCs w:val="12"/>
                <w:lang w:val="fr-BE"/>
              </w:rPr>
            </w:pPr>
          </w:p>
        </w:tc>
        <w:tc>
          <w:tcPr>
            <w:tcW w:w="0" w:type="auto"/>
            <w:shd w:val="clear" w:color="auto" w:fill="auto"/>
          </w:tcPr>
          <w:p w14:paraId="28B4729E" w14:textId="77777777" w:rsidR="008C5CFA" w:rsidRPr="00BA47B4" w:rsidRDefault="00E82A60" w:rsidP="00300A01">
            <w:pPr>
              <w:spacing w:before="0" w:after="0"/>
              <w:jc w:val="right"/>
              <w:rPr>
                <w:sz w:val="12"/>
                <w:szCs w:val="12"/>
                <w:lang w:val="fr-BE"/>
              </w:rPr>
            </w:pPr>
            <w:r w:rsidRPr="00BA47B4">
              <w:rPr>
                <w:noProof/>
                <w:sz w:val="12"/>
                <w:szCs w:val="12"/>
                <w:lang w:val="fr-BE"/>
              </w:rPr>
              <w:t>1 688,00</w:t>
            </w:r>
          </w:p>
        </w:tc>
        <w:tc>
          <w:tcPr>
            <w:tcW w:w="0" w:type="auto"/>
            <w:shd w:val="clear" w:color="auto" w:fill="auto"/>
          </w:tcPr>
          <w:p w14:paraId="2D9DDD15" w14:textId="77777777" w:rsidR="008C5CFA" w:rsidRPr="00BA47B4" w:rsidRDefault="00E82A60" w:rsidP="00300A01">
            <w:pPr>
              <w:spacing w:before="0" w:after="0"/>
              <w:jc w:val="right"/>
              <w:rPr>
                <w:sz w:val="12"/>
                <w:szCs w:val="12"/>
                <w:lang w:val="fr-BE"/>
              </w:rPr>
            </w:pPr>
            <w:r w:rsidRPr="00BA47B4">
              <w:rPr>
                <w:noProof/>
                <w:sz w:val="12"/>
                <w:szCs w:val="12"/>
                <w:lang w:val="fr-BE"/>
              </w:rPr>
              <w:t>612,00</w:t>
            </w:r>
          </w:p>
        </w:tc>
        <w:tc>
          <w:tcPr>
            <w:tcW w:w="0" w:type="auto"/>
            <w:shd w:val="clear" w:color="auto" w:fill="auto"/>
          </w:tcPr>
          <w:p w14:paraId="1C3745A0" w14:textId="77777777" w:rsidR="008C5CFA" w:rsidRPr="00BA47B4" w:rsidRDefault="00E82A60" w:rsidP="00300A01">
            <w:pPr>
              <w:spacing w:before="0" w:after="0"/>
              <w:jc w:val="right"/>
              <w:rPr>
                <w:sz w:val="12"/>
                <w:szCs w:val="12"/>
                <w:lang w:val="fr-BE"/>
              </w:rPr>
            </w:pPr>
            <w:r w:rsidRPr="00BA47B4">
              <w:rPr>
                <w:noProof/>
                <w:sz w:val="12"/>
                <w:szCs w:val="12"/>
                <w:lang w:val="fr-BE"/>
              </w:rPr>
              <w:t>1 076,00</w:t>
            </w:r>
          </w:p>
        </w:tc>
        <w:tc>
          <w:tcPr>
            <w:tcW w:w="0" w:type="auto"/>
            <w:shd w:val="clear" w:color="auto" w:fill="auto"/>
          </w:tcPr>
          <w:p w14:paraId="0F76BA2F" w14:textId="77777777" w:rsidR="008C5CFA" w:rsidRPr="00BA47B4" w:rsidRDefault="008C5CFA" w:rsidP="00300A01">
            <w:pPr>
              <w:spacing w:before="0" w:after="0"/>
              <w:jc w:val="right"/>
              <w:rPr>
                <w:sz w:val="12"/>
                <w:szCs w:val="12"/>
                <w:lang w:val="fr-BE"/>
              </w:rPr>
            </w:pPr>
          </w:p>
        </w:tc>
        <w:tc>
          <w:tcPr>
            <w:tcW w:w="0" w:type="auto"/>
            <w:shd w:val="clear" w:color="auto" w:fill="auto"/>
          </w:tcPr>
          <w:p w14:paraId="58D1533F" w14:textId="77777777" w:rsidR="008C5CFA" w:rsidRPr="00BA47B4" w:rsidRDefault="008C5CFA" w:rsidP="00300A01">
            <w:pPr>
              <w:spacing w:before="0" w:after="0"/>
              <w:jc w:val="right"/>
              <w:rPr>
                <w:sz w:val="12"/>
                <w:szCs w:val="12"/>
                <w:lang w:val="fr-BE"/>
              </w:rPr>
            </w:pPr>
          </w:p>
        </w:tc>
        <w:tc>
          <w:tcPr>
            <w:tcW w:w="0" w:type="auto"/>
            <w:shd w:val="clear" w:color="auto" w:fill="auto"/>
          </w:tcPr>
          <w:p w14:paraId="71737E3C" w14:textId="77777777" w:rsidR="008C5CFA" w:rsidRPr="00BA47B4" w:rsidRDefault="008C5CFA" w:rsidP="00300A01">
            <w:pPr>
              <w:spacing w:before="0" w:after="0"/>
              <w:jc w:val="right"/>
              <w:rPr>
                <w:sz w:val="12"/>
                <w:szCs w:val="12"/>
                <w:lang w:val="fr-BE"/>
              </w:rPr>
            </w:pPr>
          </w:p>
        </w:tc>
        <w:tc>
          <w:tcPr>
            <w:tcW w:w="0" w:type="auto"/>
            <w:shd w:val="clear" w:color="auto" w:fill="auto"/>
          </w:tcPr>
          <w:p w14:paraId="76BEC8A4" w14:textId="77777777" w:rsidR="008C5CFA" w:rsidRPr="00BA47B4" w:rsidRDefault="00E82A60" w:rsidP="00300A01">
            <w:pPr>
              <w:spacing w:before="0" w:after="0"/>
              <w:jc w:val="right"/>
              <w:rPr>
                <w:sz w:val="12"/>
                <w:szCs w:val="12"/>
                <w:lang w:val="fr-BE"/>
              </w:rPr>
            </w:pPr>
            <w:r w:rsidRPr="00BA47B4">
              <w:rPr>
                <w:noProof/>
                <w:sz w:val="12"/>
                <w:szCs w:val="12"/>
                <w:lang w:val="fr-BE"/>
              </w:rPr>
              <w:t>338,00</w:t>
            </w:r>
          </w:p>
        </w:tc>
        <w:tc>
          <w:tcPr>
            <w:tcW w:w="0" w:type="auto"/>
            <w:shd w:val="clear" w:color="auto" w:fill="auto"/>
          </w:tcPr>
          <w:p w14:paraId="10243DBB" w14:textId="77777777" w:rsidR="008C5CFA" w:rsidRPr="00BA47B4" w:rsidRDefault="00E82A60" w:rsidP="00300A01">
            <w:pPr>
              <w:spacing w:before="0" w:after="0"/>
              <w:jc w:val="right"/>
              <w:rPr>
                <w:sz w:val="12"/>
                <w:szCs w:val="12"/>
                <w:lang w:val="fr-BE"/>
              </w:rPr>
            </w:pPr>
            <w:r w:rsidRPr="00BA47B4">
              <w:rPr>
                <w:noProof/>
                <w:sz w:val="12"/>
                <w:szCs w:val="12"/>
                <w:lang w:val="fr-BE"/>
              </w:rPr>
              <w:t>729,00</w:t>
            </w:r>
          </w:p>
        </w:tc>
      </w:tr>
      <w:tr w:rsidR="006B2EC1" w14:paraId="70902DD6" w14:textId="77777777" w:rsidTr="0047688D">
        <w:tc>
          <w:tcPr>
            <w:tcW w:w="0" w:type="auto"/>
            <w:shd w:val="clear" w:color="auto" w:fill="auto"/>
          </w:tcPr>
          <w:p w14:paraId="77CBC5EE" w14:textId="77777777" w:rsidR="008C5CFA" w:rsidRPr="00BA47B4" w:rsidRDefault="00E82A60" w:rsidP="00300A01">
            <w:pPr>
              <w:spacing w:before="0" w:after="0"/>
              <w:rPr>
                <w:sz w:val="12"/>
                <w:szCs w:val="12"/>
                <w:lang w:val="fr-BE"/>
              </w:rPr>
            </w:pPr>
            <w:r w:rsidRPr="00BA47B4">
              <w:rPr>
                <w:noProof/>
                <w:sz w:val="12"/>
                <w:szCs w:val="12"/>
                <w:lang w:val="fr-BE"/>
              </w:rPr>
              <w:t>CR04</w:t>
            </w:r>
          </w:p>
        </w:tc>
        <w:tc>
          <w:tcPr>
            <w:tcW w:w="0" w:type="auto"/>
            <w:shd w:val="clear" w:color="auto" w:fill="auto"/>
          </w:tcPr>
          <w:p w14:paraId="5F7535AB" w14:textId="77777777" w:rsidR="008C5CFA" w:rsidRPr="00BA47B4" w:rsidRDefault="00E82A60" w:rsidP="00300A01">
            <w:pPr>
              <w:spacing w:before="0" w:after="0"/>
              <w:rPr>
                <w:sz w:val="12"/>
                <w:szCs w:val="12"/>
                <w:lang w:val="fr-BE"/>
              </w:rPr>
            </w:pPr>
            <w:r w:rsidRPr="00BA47B4">
              <w:rPr>
                <w:noProof/>
                <w:sz w:val="12"/>
                <w:szCs w:val="12"/>
                <w:lang w:val="fr-BE"/>
              </w:rPr>
              <w:t>uczestnicy pracujący, łącznie z prowadzącymi działalność na własny rachunek, po opuszczeniu programu</w:t>
            </w:r>
          </w:p>
        </w:tc>
        <w:tc>
          <w:tcPr>
            <w:tcW w:w="0" w:type="auto"/>
            <w:shd w:val="clear" w:color="auto" w:fill="auto"/>
          </w:tcPr>
          <w:p w14:paraId="2E98C4DA" w14:textId="77777777" w:rsidR="008C5CFA" w:rsidRPr="00BA47B4" w:rsidRDefault="00E82A60" w:rsidP="00300A01">
            <w:pPr>
              <w:spacing w:before="0" w:after="0"/>
              <w:rPr>
                <w:sz w:val="12"/>
                <w:szCs w:val="12"/>
                <w:lang w:val="fr-BE"/>
              </w:rPr>
            </w:pPr>
            <w:r w:rsidRPr="00BA47B4">
              <w:rPr>
                <w:noProof/>
                <w:sz w:val="12"/>
                <w:szCs w:val="12"/>
                <w:lang w:val="fr-BE"/>
              </w:rPr>
              <w:t>Słabiej rozwinięte</w:t>
            </w:r>
          </w:p>
        </w:tc>
        <w:tc>
          <w:tcPr>
            <w:tcW w:w="0" w:type="auto"/>
            <w:shd w:val="clear" w:color="auto" w:fill="auto"/>
          </w:tcPr>
          <w:p w14:paraId="35C4AFF8" w14:textId="77777777" w:rsidR="008C5CFA" w:rsidRPr="00BA47B4" w:rsidRDefault="00E82A60" w:rsidP="00300A01">
            <w:pPr>
              <w:spacing w:before="0" w:after="0"/>
              <w:rPr>
                <w:sz w:val="12"/>
                <w:szCs w:val="12"/>
                <w:lang w:val="fr-BE"/>
              </w:rPr>
            </w:pPr>
            <w:r w:rsidRPr="00BA47B4">
              <w:rPr>
                <w:sz w:val="12"/>
                <w:szCs w:val="12"/>
                <w:lang w:val="fr-BE"/>
              </w:rPr>
              <w:t xml:space="preserve"> </w:t>
            </w:r>
          </w:p>
        </w:tc>
        <w:tc>
          <w:tcPr>
            <w:tcW w:w="0" w:type="auto"/>
            <w:shd w:val="clear" w:color="auto" w:fill="auto"/>
          </w:tcPr>
          <w:p w14:paraId="559F8F97" w14:textId="77777777" w:rsidR="008C5CFA" w:rsidRPr="00BA47B4" w:rsidRDefault="008C5CFA" w:rsidP="00300A01">
            <w:pPr>
              <w:spacing w:before="0" w:after="0"/>
              <w:jc w:val="center"/>
              <w:rPr>
                <w:sz w:val="12"/>
                <w:szCs w:val="12"/>
                <w:lang w:val="fr-BE"/>
              </w:rPr>
            </w:pPr>
          </w:p>
        </w:tc>
        <w:tc>
          <w:tcPr>
            <w:tcW w:w="0" w:type="auto"/>
            <w:shd w:val="clear" w:color="auto" w:fill="auto"/>
          </w:tcPr>
          <w:p w14:paraId="65546D2B" w14:textId="77777777" w:rsidR="008C5CFA" w:rsidRPr="00BA47B4" w:rsidRDefault="008C5CFA" w:rsidP="00300A01">
            <w:pPr>
              <w:spacing w:before="0" w:after="0"/>
              <w:jc w:val="right"/>
              <w:rPr>
                <w:sz w:val="12"/>
                <w:szCs w:val="12"/>
                <w:lang w:val="fr-BE"/>
              </w:rPr>
            </w:pPr>
          </w:p>
        </w:tc>
        <w:tc>
          <w:tcPr>
            <w:tcW w:w="0" w:type="auto"/>
            <w:shd w:val="clear" w:color="auto" w:fill="auto"/>
          </w:tcPr>
          <w:p w14:paraId="72ECF83D" w14:textId="77777777" w:rsidR="008C5CFA" w:rsidRPr="00BA47B4" w:rsidRDefault="008C5CFA" w:rsidP="00300A01">
            <w:pPr>
              <w:spacing w:before="0" w:after="0"/>
              <w:jc w:val="right"/>
              <w:rPr>
                <w:sz w:val="12"/>
                <w:szCs w:val="12"/>
                <w:lang w:val="fr-BE"/>
              </w:rPr>
            </w:pPr>
          </w:p>
        </w:tc>
        <w:tc>
          <w:tcPr>
            <w:tcW w:w="0" w:type="auto"/>
            <w:shd w:val="clear" w:color="auto" w:fill="auto"/>
          </w:tcPr>
          <w:p w14:paraId="07FC3267" w14:textId="77777777" w:rsidR="008C5CFA" w:rsidRPr="00BA47B4" w:rsidRDefault="008C5CFA" w:rsidP="00300A01">
            <w:pPr>
              <w:spacing w:before="0" w:after="0"/>
              <w:jc w:val="right"/>
              <w:rPr>
                <w:sz w:val="12"/>
                <w:szCs w:val="12"/>
                <w:lang w:val="fr-BE"/>
              </w:rPr>
            </w:pPr>
          </w:p>
        </w:tc>
        <w:tc>
          <w:tcPr>
            <w:tcW w:w="0" w:type="auto"/>
            <w:shd w:val="clear" w:color="auto" w:fill="auto"/>
          </w:tcPr>
          <w:p w14:paraId="71263ECE" w14:textId="77777777" w:rsidR="008C5CFA" w:rsidRPr="00BA47B4" w:rsidRDefault="00E82A60" w:rsidP="00300A01">
            <w:pPr>
              <w:spacing w:before="0" w:after="0"/>
              <w:jc w:val="right"/>
              <w:rPr>
                <w:sz w:val="12"/>
                <w:szCs w:val="12"/>
                <w:lang w:val="fr-BE"/>
              </w:rPr>
            </w:pPr>
            <w:r w:rsidRPr="00BA47B4">
              <w:rPr>
                <w:noProof/>
                <w:sz w:val="12"/>
                <w:szCs w:val="12"/>
                <w:lang w:val="fr-BE"/>
              </w:rPr>
              <w:t>896,00</w:t>
            </w:r>
          </w:p>
        </w:tc>
        <w:tc>
          <w:tcPr>
            <w:tcW w:w="0" w:type="auto"/>
            <w:shd w:val="clear" w:color="auto" w:fill="auto"/>
          </w:tcPr>
          <w:p w14:paraId="6344572D" w14:textId="77777777" w:rsidR="008C5CFA" w:rsidRPr="00BA47B4" w:rsidRDefault="00E82A60" w:rsidP="00300A01">
            <w:pPr>
              <w:spacing w:before="0" w:after="0"/>
              <w:jc w:val="right"/>
              <w:rPr>
                <w:sz w:val="12"/>
                <w:szCs w:val="12"/>
                <w:lang w:val="fr-BE"/>
              </w:rPr>
            </w:pPr>
            <w:r w:rsidRPr="00BA47B4">
              <w:rPr>
                <w:noProof/>
                <w:sz w:val="12"/>
                <w:szCs w:val="12"/>
                <w:lang w:val="fr-BE"/>
              </w:rPr>
              <w:t>312,00</w:t>
            </w:r>
          </w:p>
        </w:tc>
        <w:tc>
          <w:tcPr>
            <w:tcW w:w="0" w:type="auto"/>
            <w:shd w:val="clear" w:color="auto" w:fill="auto"/>
          </w:tcPr>
          <w:p w14:paraId="4FD13A61" w14:textId="77777777" w:rsidR="008C5CFA" w:rsidRPr="00BA47B4" w:rsidRDefault="00E82A60" w:rsidP="00300A01">
            <w:pPr>
              <w:spacing w:before="0" w:after="0"/>
              <w:jc w:val="right"/>
              <w:rPr>
                <w:sz w:val="12"/>
                <w:szCs w:val="12"/>
                <w:lang w:val="fr-BE"/>
              </w:rPr>
            </w:pPr>
            <w:r w:rsidRPr="00BA47B4">
              <w:rPr>
                <w:noProof/>
                <w:sz w:val="12"/>
                <w:szCs w:val="12"/>
                <w:lang w:val="fr-BE"/>
              </w:rPr>
              <w:t>584,00</w:t>
            </w:r>
          </w:p>
        </w:tc>
        <w:tc>
          <w:tcPr>
            <w:tcW w:w="0" w:type="auto"/>
            <w:shd w:val="clear" w:color="auto" w:fill="auto"/>
          </w:tcPr>
          <w:p w14:paraId="28B97DB2" w14:textId="77777777" w:rsidR="008C5CFA" w:rsidRPr="00BA47B4" w:rsidRDefault="008C5CFA" w:rsidP="00300A01">
            <w:pPr>
              <w:spacing w:before="0" w:after="0"/>
              <w:jc w:val="right"/>
              <w:rPr>
                <w:sz w:val="12"/>
                <w:szCs w:val="12"/>
                <w:lang w:val="fr-BE"/>
              </w:rPr>
            </w:pPr>
          </w:p>
        </w:tc>
        <w:tc>
          <w:tcPr>
            <w:tcW w:w="0" w:type="auto"/>
            <w:shd w:val="clear" w:color="auto" w:fill="auto"/>
          </w:tcPr>
          <w:p w14:paraId="6F17E310" w14:textId="77777777" w:rsidR="008C5CFA" w:rsidRPr="00BA47B4" w:rsidRDefault="008C5CFA" w:rsidP="00300A01">
            <w:pPr>
              <w:spacing w:before="0" w:after="0"/>
              <w:jc w:val="right"/>
              <w:rPr>
                <w:sz w:val="12"/>
                <w:szCs w:val="12"/>
                <w:lang w:val="fr-BE"/>
              </w:rPr>
            </w:pPr>
          </w:p>
        </w:tc>
        <w:tc>
          <w:tcPr>
            <w:tcW w:w="0" w:type="auto"/>
            <w:shd w:val="clear" w:color="auto" w:fill="auto"/>
          </w:tcPr>
          <w:p w14:paraId="026ECF02" w14:textId="77777777" w:rsidR="008C5CFA" w:rsidRPr="00BA47B4" w:rsidRDefault="008C5CFA" w:rsidP="00300A01">
            <w:pPr>
              <w:spacing w:before="0" w:after="0"/>
              <w:jc w:val="right"/>
              <w:rPr>
                <w:sz w:val="12"/>
                <w:szCs w:val="12"/>
                <w:lang w:val="fr-BE"/>
              </w:rPr>
            </w:pPr>
          </w:p>
        </w:tc>
        <w:tc>
          <w:tcPr>
            <w:tcW w:w="0" w:type="auto"/>
            <w:shd w:val="clear" w:color="auto" w:fill="auto"/>
          </w:tcPr>
          <w:p w14:paraId="70082C4E" w14:textId="77777777" w:rsidR="008C5CFA" w:rsidRPr="00BA47B4" w:rsidRDefault="00E82A60" w:rsidP="00300A01">
            <w:pPr>
              <w:spacing w:before="0" w:after="0"/>
              <w:jc w:val="right"/>
              <w:rPr>
                <w:sz w:val="12"/>
                <w:szCs w:val="12"/>
                <w:lang w:val="fr-BE"/>
              </w:rPr>
            </w:pPr>
            <w:r w:rsidRPr="00BA47B4">
              <w:rPr>
                <w:noProof/>
                <w:sz w:val="12"/>
                <w:szCs w:val="12"/>
                <w:lang w:val="fr-BE"/>
              </w:rPr>
              <w:t>151,00</w:t>
            </w:r>
          </w:p>
        </w:tc>
        <w:tc>
          <w:tcPr>
            <w:tcW w:w="0" w:type="auto"/>
            <w:shd w:val="clear" w:color="auto" w:fill="auto"/>
          </w:tcPr>
          <w:p w14:paraId="0498AF77" w14:textId="77777777" w:rsidR="008C5CFA" w:rsidRPr="00BA47B4" w:rsidRDefault="00E82A60" w:rsidP="00300A01">
            <w:pPr>
              <w:spacing w:before="0" w:after="0"/>
              <w:jc w:val="right"/>
              <w:rPr>
                <w:sz w:val="12"/>
                <w:szCs w:val="12"/>
                <w:lang w:val="fr-BE"/>
              </w:rPr>
            </w:pPr>
            <w:r w:rsidRPr="00BA47B4">
              <w:rPr>
                <w:noProof/>
                <w:sz w:val="12"/>
                <w:szCs w:val="12"/>
                <w:lang w:val="fr-BE"/>
              </w:rPr>
              <w:t>292,00</w:t>
            </w:r>
          </w:p>
        </w:tc>
      </w:tr>
      <w:tr w:rsidR="006B2EC1" w14:paraId="4CDDA985" w14:textId="77777777" w:rsidTr="0047688D">
        <w:tc>
          <w:tcPr>
            <w:tcW w:w="0" w:type="auto"/>
            <w:shd w:val="clear" w:color="auto" w:fill="auto"/>
          </w:tcPr>
          <w:p w14:paraId="663B6120" w14:textId="77777777" w:rsidR="008C5CFA" w:rsidRPr="00BA47B4" w:rsidRDefault="00E82A60" w:rsidP="00300A01">
            <w:pPr>
              <w:spacing w:before="0" w:after="0"/>
              <w:rPr>
                <w:sz w:val="12"/>
                <w:szCs w:val="12"/>
                <w:lang w:val="fr-BE"/>
              </w:rPr>
            </w:pPr>
            <w:r w:rsidRPr="00BA47B4">
              <w:rPr>
                <w:noProof/>
                <w:sz w:val="12"/>
                <w:szCs w:val="12"/>
                <w:lang w:val="fr-BE"/>
              </w:rPr>
              <w:t>CR05</w:t>
            </w:r>
          </w:p>
        </w:tc>
        <w:tc>
          <w:tcPr>
            <w:tcW w:w="0" w:type="auto"/>
            <w:shd w:val="clear" w:color="auto" w:fill="auto"/>
          </w:tcPr>
          <w:p w14:paraId="0F0A0888" w14:textId="77777777" w:rsidR="008C5CFA" w:rsidRPr="00BA47B4" w:rsidRDefault="00E82A60" w:rsidP="00300A01">
            <w:pPr>
              <w:spacing w:before="0" w:after="0"/>
              <w:rPr>
                <w:sz w:val="12"/>
                <w:szCs w:val="12"/>
                <w:lang w:val="fr-BE"/>
              </w:rPr>
            </w:pPr>
            <w:r w:rsidRPr="00BA47B4">
              <w:rPr>
                <w:noProof/>
                <w:sz w:val="12"/>
                <w:szCs w:val="12"/>
                <w:lang w:val="fr-BE"/>
              </w:rPr>
              <w:t>uczestnicy w niekorzystnej sytuacji społecznej poszukujący pracy, uczestniczący w kształceniu lub szkoleniu, zdobywający kwalifikacje lub pracujący (łącznie z prowadzącymi działalność na własny rachunek) po opuszczeniu programu</w:t>
            </w:r>
          </w:p>
        </w:tc>
        <w:tc>
          <w:tcPr>
            <w:tcW w:w="0" w:type="auto"/>
            <w:shd w:val="clear" w:color="auto" w:fill="auto"/>
          </w:tcPr>
          <w:p w14:paraId="0EF5FF35" w14:textId="77777777" w:rsidR="008C5CFA" w:rsidRPr="00BA47B4" w:rsidRDefault="00E82A60" w:rsidP="00300A01">
            <w:pPr>
              <w:spacing w:before="0" w:after="0"/>
              <w:rPr>
                <w:sz w:val="12"/>
                <w:szCs w:val="12"/>
                <w:lang w:val="fr-BE"/>
              </w:rPr>
            </w:pPr>
            <w:r w:rsidRPr="00BA47B4">
              <w:rPr>
                <w:noProof/>
                <w:sz w:val="12"/>
                <w:szCs w:val="12"/>
                <w:lang w:val="fr-BE"/>
              </w:rPr>
              <w:t>Słabiej rozwinięte</w:t>
            </w:r>
          </w:p>
        </w:tc>
        <w:tc>
          <w:tcPr>
            <w:tcW w:w="0" w:type="auto"/>
            <w:shd w:val="clear" w:color="auto" w:fill="auto"/>
          </w:tcPr>
          <w:p w14:paraId="0E4C57C5" w14:textId="77777777" w:rsidR="008C5CFA" w:rsidRPr="00BA47B4" w:rsidRDefault="00E82A60" w:rsidP="00300A01">
            <w:pPr>
              <w:spacing w:before="0" w:after="0"/>
              <w:rPr>
                <w:sz w:val="12"/>
                <w:szCs w:val="12"/>
                <w:lang w:val="fr-BE"/>
              </w:rPr>
            </w:pPr>
            <w:r w:rsidRPr="00BA47B4">
              <w:rPr>
                <w:sz w:val="12"/>
                <w:szCs w:val="12"/>
                <w:lang w:val="fr-BE"/>
              </w:rPr>
              <w:t xml:space="preserve"> </w:t>
            </w:r>
          </w:p>
        </w:tc>
        <w:tc>
          <w:tcPr>
            <w:tcW w:w="0" w:type="auto"/>
            <w:shd w:val="clear" w:color="auto" w:fill="auto"/>
          </w:tcPr>
          <w:p w14:paraId="21CFC6EF" w14:textId="77777777" w:rsidR="008C5CFA" w:rsidRPr="00BA47B4" w:rsidRDefault="008C5CFA" w:rsidP="00300A01">
            <w:pPr>
              <w:spacing w:before="0" w:after="0"/>
              <w:jc w:val="center"/>
              <w:rPr>
                <w:sz w:val="12"/>
                <w:szCs w:val="12"/>
                <w:lang w:val="fr-BE"/>
              </w:rPr>
            </w:pPr>
          </w:p>
        </w:tc>
        <w:tc>
          <w:tcPr>
            <w:tcW w:w="0" w:type="auto"/>
            <w:shd w:val="clear" w:color="auto" w:fill="auto"/>
          </w:tcPr>
          <w:p w14:paraId="3B0F724D" w14:textId="77777777" w:rsidR="008C5CFA" w:rsidRPr="00BA47B4" w:rsidRDefault="008C5CFA" w:rsidP="00300A01">
            <w:pPr>
              <w:spacing w:before="0" w:after="0"/>
              <w:jc w:val="right"/>
              <w:rPr>
                <w:sz w:val="12"/>
                <w:szCs w:val="12"/>
                <w:lang w:val="fr-BE"/>
              </w:rPr>
            </w:pPr>
          </w:p>
        </w:tc>
        <w:tc>
          <w:tcPr>
            <w:tcW w:w="0" w:type="auto"/>
            <w:shd w:val="clear" w:color="auto" w:fill="auto"/>
          </w:tcPr>
          <w:p w14:paraId="5AA0C5A5" w14:textId="77777777" w:rsidR="008C5CFA" w:rsidRPr="00BA47B4" w:rsidRDefault="008C5CFA" w:rsidP="00300A01">
            <w:pPr>
              <w:spacing w:before="0" w:after="0"/>
              <w:jc w:val="right"/>
              <w:rPr>
                <w:sz w:val="12"/>
                <w:szCs w:val="12"/>
                <w:lang w:val="fr-BE"/>
              </w:rPr>
            </w:pPr>
          </w:p>
        </w:tc>
        <w:tc>
          <w:tcPr>
            <w:tcW w:w="0" w:type="auto"/>
            <w:shd w:val="clear" w:color="auto" w:fill="auto"/>
          </w:tcPr>
          <w:p w14:paraId="64CB2454" w14:textId="77777777" w:rsidR="008C5CFA" w:rsidRPr="00BA47B4" w:rsidRDefault="008C5CFA" w:rsidP="00300A01">
            <w:pPr>
              <w:spacing w:before="0" w:after="0"/>
              <w:jc w:val="right"/>
              <w:rPr>
                <w:sz w:val="12"/>
                <w:szCs w:val="12"/>
                <w:lang w:val="fr-BE"/>
              </w:rPr>
            </w:pPr>
          </w:p>
        </w:tc>
        <w:tc>
          <w:tcPr>
            <w:tcW w:w="0" w:type="auto"/>
            <w:shd w:val="clear" w:color="auto" w:fill="auto"/>
          </w:tcPr>
          <w:p w14:paraId="603D9F1A" w14:textId="77777777" w:rsidR="008C5CFA" w:rsidRPr="00BA47B4" w:rsidRDefault="00E82A60" w:rsidP="00300A01">
            <w:pPr>
              <w:spacing w:before="0" w:after="0"/>
              <w:jc w:val="right"/>
              <w:rPr>
                <w:sz w:val="12"/>
                <w:szCs w:val="12"/>
                <w:lang w:val="fr-BE"/>
              </w:rPr>
            </w:pPr>
            <w:r w:rsidRPr="00BA47B4">
              <w:rPr>
                <w:noProof/>
                <w:sz w:val="12"/>
                <w:szCs w:val="12"/>
                <w:lang w:val="fr-BE"/>
              </w:rPr>
              <w:t>1 655,00</w:t>
            </w:r>
          </w:p>
        </w:tc>
        <w:tc>
          <w:tcPr>
            <w:tcW w:w="0" w:type="auto"/>
            <w:shd w:val="clear" w:color="auto" w:fill="auto"/>
          </w:tcPr>
          <w:p w14:paraId="370D9A90" w14:textId="77777777" w:rsidR="008C5CFA" w:rsidRPr="00BA47B4" w:rsidRDefault="00E82A60" w:rsidP="00300A01">
            <w:pPr>
              <w:spacing w:before="0" w:after="0"/>
              <w:jc w:val="right"/>
              <w:rPr>
                <w:sz w:val="12"/>
                <w:szCs w:val="12"/>
                <w:lang w:val="fr-BE"/>
              </w:rPr>
            </w:pPr>
            <w:r w:rsidRPr="00BA47B4">
              <w:rPr>
                <w:noProof/>
                <w:sz w:val="12"/>
                <w:szCs w:val="12"/>
                <w:lang w:val="fr-BE"/>
              </w:rPr>
              <w:t>562,00</w:t>
            </w:r>
          </w:p>
        </w:tc>
        <w:tc>
          <w:tcPr>
            <w:tcW w:w="0" w:type="auto"/>
            <w:shd w:val="clear" w:color="auto" w:fill="auto"/>
          </w:tcPr>
          <w:p w14:paraId="1FEF524B" w14:textId="77777777" w:rsidR="008C5CFA" w:rsidRPr="00BA47B4" w:rsidRDefault="00E82A60" w:rsidP="00300A01">
            <w:pPr>
              <w:spacing w:before="0" w:after="0"/>
              <w:jc w:val="right"/>
              <w:rPr>
                <w:sz w:val="12"/>
                <w:szCs w:val="12"/>
                <w:lang w:val="fr-BE"/>
              </w:rPr>
            </w:pPr>
            <w:r w:rsidRPr="00BA47B4">
              <w:rPr>
                <w:noProof/>
                <w:sz w:val="12"/>
                <w:szCs w:val="12"/>
                <w:lang w:val="fr-BE"/>
              </w:rPr>
              <w:t>1 093,00</w:t>
            </w:r>
          </w:p>
        </w:tc>
        <w:tc>
          <w:tcPr>
            <w:tcW w:w="0" w:type="auto"/>
            <w:shd w:val="clear" w:color="auto" w:fill="auto"/>
          </w:tcPr>
          <w:p w14:paraId="3B34C1C4" w14:textId="77777777" w:rsidR="008C5CFA" w:rsidRPr="00BA47B4" w:rsidRDefault="008C5CFA" w:rsidP="00300A01">
            <w:pPr>
              <w:spacing w:before="0" w:after="0"/>
              <w:jc w:val="right"/>
              <w:rPr>
                <w:sz w:val="12"/>
                <w:szCs w:val="12"/>
                <w:lang w:val="fr-BE"/>
              </w:rPr>
            </w:pPr>
          </w:p>
        </w:tc>
        <w:tc>
          <w:tcPr>
            <w:tcW w:w="0" w:type="auto"/>
            <w:shd w:val="clear" w:color="auto" w:fill="auto"/>
          </w:tcPr>
          <w:p w14:paraId="71FA50B8" w14:textId="77777777" w:rsidR="008C5CFA" w:rsidRPr="00BA47B4" w:rsidRDefault="008C5CFA" w:rsidP="00300A01">
            <w:pPr>
              <w:spacing w:before="0" w:after="0"/>
              <w:jc w:val="right"/>
              <w:rPr>
                <w:sz w:val="12"/>
                <w:szCs w:val="12"/>
                <w:lang w:val="fr-BE"/>
              </w:rPr>
            </w:pPr>
          </w:p>
        </w:tc>
        <w:tc>
          <w:tcPr>
            <w:tcW w:w="0" w:type="auto"/>
            <w:shd w:val="clear" w:color="auto" w:fill="auto"/>
          </w:tcPr>
          <w:p w14:paraId="2AF79EDA" w14:textId="77777777" w:rsidR="008C5CFA" w:rsidRPr="00BA47B4" w:rsidRDefault="008C5CFA" w:rsidP="00300A01">
            <w:pPr>
              <w:spacing w:before="0" w:after="0"/>
              <w:jc w:val="right"/>
              <w:rPr>
                <w:sz w:val="12"/>
                <w:szCs w:val="12"/>
                <w:lang w:val="fr-BE"/>
              </w:rPr>
            </w:pPr>
          </w:p>
        </w:tc>
        <w:tc>
          <w:tcPr>
            <w:tcW w:w="0" w:type="auto"/>
            <w:shd w:val="clear" w:color="auto" w:fill="auto"/>
          </w:tcPr>
          <w:p w14:paraId="7895DC58" w14:textId="77777777" w:rsidR="008C5CFA" w:rsidRPr="00BA47B4" w:rsidRDefault="00E82A60" w:rsidP="00300A01">
            <w:pPr>
              <w:spacing w:before="0" w:after="0"/>
              <w:jc w:val="right"/>
              <w:rPr>
                <w:sz w:val="12"/>
                <w:szCs w:val="12"/>
                <w:lang w:val="fr-BE"/>
              </w:rPr>
            </w:pPr>
            <w:r w:rsidRPr="00BA47B4">
              <w:rPr>
                <w:noProof/>
                <w:sz w:val="12"/>
                <w:szCs w:val="12"/>
                <w:lang w:val="fr-BE"/>
              </w:rPr>
              <w:t>325,00</w:t>
            </w:r>
          </w:p>
        </w:tc>
        <w:tc>
          <w:tcPr>
            <w:tcW w:w="0" w:type="auto"/>
            <w:shd w:val="clear" w:color="auto" w:fill="auto"/>
          </w:tcPr>
          <w:p w14:paraId="2833234B" w14:textId="77777777" w:rsidR="008C5CFA" w:rsidRPr="00BA47B4" w:rsidRDefault="00E82A60" w:rsidP="00300A01">
            <w:pPr>
              <w:spacing w:before="0" w:after="0"/>
              <w:jc w:val="right"/>
              <w:rPr>
                <w:sz w:val="12"/>
                <w:szCs w:val="12"/>
                <w:lang w:val="fr-BE"/>
              </w:rPr>
            </w:pPr>
            <w:r w:rsidRPr="00BA47B4">
              <w:rPr>
                <w:noProof/>
                <w:sz w:val="12"/>
                <w:szCs w:val="12"/>
                <w:lang w:val="fr-BE"/>
              </w:rPr>
              <w:t>710,00</w:t>
            </w:r>
          </w:p>
        </w:tc>
      </w:tr>
      <w:tr w:rsidR="006B2EC1" w14:paraId="6FC68E79" w14:textId="77777777" w:rsidTr="0047688D">
        <w:tc>
          <w:tcPr>
            <w:tcW w:w="0" w:type="auto"/>
            <w:shd w:val="clear" w:color="auto" w:fill="auto"/>
          </w:tcPr>
          <w:p w14:paraId="6EBD32C6" w14:textId="77777777" w:rsidR="008C5CFA" w:rsidRPr="00BA47B4" w:rsidRDefault="00E82A60" w:rsidP="00300A01">
            <w:pPr>
              <w:spacing w:before="0" w:after="0"/>
              <w:rPr>
                <w:sz w:val="12"/>
                <w:szCs w:val="12"/>
                <w:lang w:val="fr-BE"/>
              </w:rPr>
            </w:pPr>
            <w:r w:rsidRPr="00BA47B4">
              <w:rPr>
                <w:noProof/>
                <w:sz w:val="12"/>
                <w:szCs w:val="12"/>
                <w:lang w:val="fr-BE"/>
              </w:rPr>
              <w:t>CR06</w:t>
            </w:r>
          </w:p>
        </w:tc>
        <w:tc>
          <w:tcPr>
            <w:tcW w:w="0" w:type="auto"/>
            <w:shd w:val="clear" w:color="auto" w:fill="auto"/>
          </w:tcPr>
          <w:p w14:paraId="6B51BF80" w14:textId="77777777" w:rsidR="008C5CFA" w:rsidRPr="00BA47B4" w:rsidRDefault="00E82A60" w:rsidP="00300A01">
            <w:pPr>
              <w:spacing w:before="0" w:after="0"/>
              <w:rPr>
                <w:sz w:val="12"/>
                <w:szCs w:val="12"/>
                <w:lang w:val="fr-BE"/>
              </w:rPr>
            </w:pPr>
            <w:r w:rsidRPr="00BA47B4">
              <w:rPr>
                <w:noProof/>
                <w:sz w:val="12"/>
                <w:szCs w:val="12"/>
                <w:lang w:val="fr-BE"/>
              </w:rPr>
              <w:t>uczestnicy pracujący, łącznie z prowadzącymi działalność na własny rachunek, sześć miesięcy po opuszczeniu programu</w:t>
            </w:r>
          </w:p>
        </w:tc>
        <w:tc>
          <w:tcPr>
            <w:tcW w:w="0" w:type="auto"/>
            <w:shd w:val="clear" w:color="auto" w:fill="auto"/>
          </w:tcPr>
          <w:p w14:paraId="3A2C8F28" w14:textId="77777777" w:rsidR="008C5CFA" w:rsidRPr="00BA47B4" w:rsidRDefault="00E82A60" w:rsidP="00300A01">
            <w:pPr>
              <w:spacing w:before="0" w:after="0"/>
              <w:rPr>
                <w:sz w:val="12"/>
                <w:szCs w:val="12"/>
                <w:lang w:val="fr-BE"/>
              </w:rPr>
            </w:pPr>
            <w:r w:rsidRPr="00BA47B4">
              <w:rPr>
                <w:noProof/>
                <w:sz w:val="12"/>
                <w:szCs w:val="12"/>
                <w:lang w:val="fr-BE"/>
              </w:rPr>
              <w:t>Słabiej rozwinięte</w:t>
            </w:r>
          </w:p>
        </w:tc>
        <w:tc>
          <w:tcPr>
            <w:tcW w:w="0" w:type="auto"/>
            <w:shd w:val="clear" w:color="auto" w:fill="auto"/>
          </w:tcPr>
          <w:p w14:paraId="5A7CBC88" w14:textId="77777777" w:rsidR="008C5CFA" w:rsidRPr="00BA47B4" w:rsidRDefault="00E82A60" w:rsidP="00300A01">
            <w:pPr>
              <w:spacing w:before="0" w:after="0"/>
              <w:rPr>
                <w:sz w:val="12"/>
                <w:szCs w:val="12"/>
                <w:lang w:val="fr-BE"/>
              </w:rPr>
            </w:pPr>
            <w:r w:rsidRPr="00BA47B4">
              <w:rPr>
                <w:sz w:val="12"/>
                <w:szCs w:val="12"/>
                <w:lang w:val="fr-BE"/>
              </w:rPr>
              <w:t xml:space="preserve"> </w:t>
            </w:r>
          </w:p>
        </w:tc>
        <w:tc>
          <w:tcPr>
            <w:tcW w:w="0" w:type="auto"/>
            <w:shd w:val="clear" w:color="auto" w:fill="auto"/>
          </w:tcPr>
          <w:p w14:paraId="7E59A6C9" w14:textId="77777777" w:rsidR="008C5CFA" w:rsidRPr="00BA47B4" w:rsidRDefault="008C5CFA" w:rsidP="00300A01">
            <w:pPr>
              <w:spacing w:before="0" w:after="0"/>
              <w:jc w:val="center"/>
              <w:rPr>
                <w:sz w:val="12"/>
                <w:szCs w:val="12"/>
                <w:lang w:val="fr-BE"/>
              </w:rPr>
            </w:pPr>
          </w:p>
        </w:tc>
        <w:tc>
          <w:tcPr>
            <w:tcW w:w="0" w:type="auto"/>
            <w:shd w:val="clear" w:color="auto" w:fill="auto"/>
          </w:tcPr>
          <w:p w14:paraId="5060771D" w14:textId="77777777" w:rsidR="008C5CFA" w:rsidRPr="00BA47B4" w:rsidRDefault="008C5CFA" w:rsidP="00300A01">
            <w:pPr>
              <w:spacing w:before="0" w:after="0"/>
              <w:jc w:val="right"/>
              <w:rPr>
                <w:sz w:val="12"/>
                <w:szCs w:val="12"/>
                <w:lang w:val="fr-BE"/>
              </w:rPr>
            </w:pPr>
          </w:p>
        </w:tc>
        <w:tc>
          <w:tcPr>
            <w:tcW w:w="0" w:type="auto"/>
            <w:shd w:val="clear" w:color="auto" w:fill="auto"/>
          </w:tcPr>
          <w:p w14:paraId="1FC66463" w14:textId="77777777" w:rsidR="008C5CFA" w:rsidRPr="00BA47B4" w:rsidRDefault="008C5CFA" w:rsidP="00300A01">
            <w:pPr>
              <w:spacing w:before="0" w:after="0"/>
              <w:jc w:val="right"/>
              <w:rPr>
                <w:sz w:val="12"/>
                <w:szCs w:val="12"/>
                <w:lang w:val="fr-BE"/>
              </w:rPr>
            </w:pPr>
          </w:p>
        </w:tc>
        <w:tc>
          <w:tcPr>
            <w:tcW w:w="0" w:type="auto"/>
            <w:shd w:val="clear" w:color="auto" w:fill="auto"/>
          </w:tcPr>
          <w:p w14:paraId="1905DD12" w14:textId="77777777" w:rsidR="008C5CFA" w:rsidRPr="00BA47B4" w:rsidRDefault="008C5CFA" w:rsidP="00300A01">
            <w:pPr>
              <w:spacing w:before="0" w:after="0"/>
              <w:jc w:val="right"/>
              <w:rPr>
                <w:sz w:val="12"/>
                <w:szCs w:val="12"/>
                <w:lang w:val="fr-BE"/>
              </w:rPr>
            </w:pPr>
          </w:p>
        </w:tc>
        <w:tc>
          <w:tcPr>
            <w:tcW w:w="0" w:type="auto"/>
            <w:shd w:val="clear" w:color="auto" w:fill="auto"/>
          </w:tcPr>
          <w:p w14:paraId="10FEAA5F" w14:textId="77777777" w:rsidR="008C5CFA" w:rsidRPr="00BA47B4" w:rsidRDefault="00E82A60" w:rsidP="00300A01">
            <w:pPr>
              <w:spacing w:before="0" w:after="0"/>
              <w:jc w:val="right"/>
              <w:rPr>
                <w:sz w:val="12"/>
                <w:szCs w:val="12"/>
                <w:lang w:val="fr-BE"/>
              </w:rPr>
            </w:pPr>
            <w:r w:rsidRPr="00BA47B4">
              <w:rPr>
                <w:noProof/>
                <w:sz w:val="12"/>
                <w:szCs w:val="12"/>
                <w:lang w:val="fr-BE"/>
              </w:rPr>
              <w:t>454,00</w:t>
            </w:r>
          </w:p>
        </w:tc>
        <w:tc>
          <w:tcPr>
            <w:tcW w:w="0" w:type="auto"/>
            <w:shd w:val="clear" w:color="auto" w:fill="auto"/>
          </w:tcPr>
          <w:p w14:paraId="14DAC625" w14:textId="77777777" w:rsidR="008C5CFA" w:rsidRPr="00BA47B4" w:rsidRDefault="00E82A60" w:rsidP="00300A01">
            <w:pPr>
              <w:spacing w:before="0" w:after="0"/>
              <w:jc w:val="right"/>
              <w:rPr>
                <w:sz w:val="12"/>
                <w:szCs w:val="12"/>
                <w:lang w:val="fr-BE"/>
              </w:rPr>
            </w:pPr>
            <w:r w:rsidRPr="00BA47B4">
              <w:rPr>
                <w:noProof/>
                <w:sz w:val="12"/>
                <w:szCs w:val="12"/>
                <w:lang w:val="fr-BE"/>
              </w:rPr>
              <w:t>180,00</w:t>
            </w:r>
          </w:p>
        </w:tc>
        <w:tc>
          <w:tcPr>
            <w:tcW w:w="0" w:type="auto"/>
            <w:shd w:val="clear" w:color="auto" w:fill="auto"/>
          </w:tcPr>
          <w:p w14:paraId="27F045CC" w14:textId="77777777" w:rsidR="008C5CFA" w:rsidRPr="00BA47B4" w:rsidRDefault="00E82A60" w:rsidP="00300A01">
            <w:pPr>
              <w:spacing w:before="0" w:after="0"/>
              <w:jc w:val="right"/>
              <w:rPr>
                <w:sz w:val="12"/>
                <w:szCs w:val="12"/>
                <w:lang w:val="fr-BE"/>
              </w:rPr>
            </w:pPr>
            <w:r w:rsidRPr="00BA47B4">
              <w:rPr>
                <w:noProof/>
                <w:sz w:val="12"/>
                <w:szCs w:val="12"/>
                <w:lang w:val="fr-BE"/>
              </w:rPr>
              <w:t>274,00</w:t>
            </w:r>
          </w:p>
        </w:tc>
        <w:tc>
          <w:tcPr>
            <w:tcW w:w="0" w:type="auto"/>
            <w:shd w:val="clear" w:color="auto" w:fill="auto"/>
          </w:tcPr>
          <w:p w14:paraId="47B25A1B" w14:textId="77777777" w:rsidR="008C5CFA" w:rsidRPr="00BA47B4" w:rsidRDefault="008C5CFA" w:rsidP="00300A01">
            <w:pPr>
              <w:spacing w:before="0" w:after="0"/>
              <w:jc w:val="right"/>
              <w:rPr>
                <w:sz w:val="12"/>
                <w:szCs w:val="12"/>
                <w:lang w:val="fr-BE"/>
              </w:rPr>
            </w:pPr>
          </w:p>
        </w:tc>
        <w:tc>
          <w:tcPr>
            <w:tcW w:w="0" w:type="auto"/>
            <w:shd w:val="clear" w:color="auto" w:fill="auto"/>
          </w:tcPr>
          <w:p w14:paraId="2037A417" w14:textId="77777777" w:rsidR="008C5CFA" w:rsidRPr="00BA47B4" w:rsidRDefault="008C5CFA" w:rsidP="00300A01">
            <w:pPr>
              <w:spacing w:before="0" w:after="0"/>
              <w:jc w:val="right"/>
              <w:rPr>
                <w:sz w:val="12"/>
                <w:szCs w:val="12"/>
                <w:lang w:val="fr-BE"/>
              </w:rPr>
            </w:pPr>
          </w:p>
        </w:tc>
        <w:tc>
          <w:tcPr>
            <w:tcW w:w="0" w:type="auto"/>
            <w:shd w:val="clear" w:color="auto" w:fill="auto"/>
          </w:tcPr>
          <w:p w14:paraId="119EB783" w14:textId="77777777" w:rsidR="008C5CFA" w:rsidRPr="00BA47B4" w:rsidRDefault="008C5CFA" w:rsidP="00300A01">
            <w:pPr>
              <w:spacing w:before="0" w:after="0"/>
              <w:jc w:val="right"/>
              <w:rPr>
                <w:sz w:val="12"/>
                <w:szCs w:val="12"/>
                <w:lang w:val="fr-BE"/>
              </w:rPr>
            </w:pPr>
          </w:p>
        </w:tc>
        <w:tc>
          <w:tcPr>
            <w:tcW w:w="0" w:type="auto"/>
            <w:shd w:val="clear" w:color="auto" w:fill="auto"/>
          </w:tcPr>
          <w:p w14:paraId="10F2D610"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4F0AE380"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r>
      <w:tr w:rsidR="006B2EC1" w14:paraId="71B4D0A1" w14:textId="77777777" w:rsidTr="0047688D">
        <w:tc>
          <w:tcPr>
            <w:tcW w:w="0" w:type="auto"/>
            <w:shd w:val="clear" w:color="auto" w:fill="auto"/>
          </w:tcPr>
          <w:p w14:paraId="2F54A428" w14:textId="77777777" w:rsidR="008C5CFA" w:rsidRPr="00BA47B4" w:rsidRDefault="00E82A60" w:rsidP="00300A01">
            <w:pPr>
              <w:spacing w:before="0" w:after="0"/>
              <w:rPr>
                <w:sz w:val="12"/>
                <w:szCs w:val="12"/>
                <w:lang w:val="fr-BE"/>
              </w:rPr>
            </w:pPr>
            <w:r w:rsidRPr="00BA47B4">
              <w:rPr>
                <w:noProof/>
                <w:sz w:val="12"/>
                <w:szCs w:val="12"/>
                <w:lang w:val="fr-BE"/>
              </w:rPr>
              <w:t>CR07</w:t>
            </w:r>
          </w:p>
        </w:tc>
        <w:tc>
          <w:tcPr>
            <w:tcW w:w="0" w:type="auto"/>
            <w:shd w:val="clear" w:color="auto" w:fill="auto"/>
          </w:tcPr>
          <w:p w14:paraId="5D2A5118" w14:textId="77777777" w:rsidR="008C5CFA" w:rsidRPr="00BA47B4" w:rsidRDefault="00E82A60" w:rsidP="00300A01">
            <w:pPr>
              <w:spacing w:before="0" w:after="0"/>
              <w:rPr>
                <w:sz w:val="12"/>
                <w:szCs w:val="12"/>
                <w:lang w:val="fr-BE"/>
              </w:rPr>
            </w:pPr>
            <w:r w:rsidRPr="00BA47B4">
              <w:rPr>
                <w:noProof/>
                <w:sz w:val="12"/>
                <w:szCs w:val="12"/>
                <w:lang w:val="fr-BE"/>
              </w:rPr>
              <w:t>uczestnicy znajdujący się w lepszej sytuacji na rynku pracy sześć miesięcy po opuszczeniu programu</w:t>
            </w:r>
          </w:p>
        </w:tc>
        <w:tc>
          <w:tcPr>
            <w:tcW w:w="0" w:type="auto"/>
            <w:shd w:val="clear" w:color="auto" w:fill="auto"/>
          </w:tcPr>
          <w:p w14:paraId="3B75F942" w14:textId="77777777" w:rsidR="008C5CFA" w:rsidRPr="00BA47B4" w:rsidRDefault="00E82A60" w:rsidP="00300A01">
            <w:pPr>
              <w:spacing w:before="0" w:after="0"/>
              <w:rPr>
                <w:sz w:val="12"/>
                <w:szCs w:val="12"/>
                <w:lang w:val="fr-BE"/>
              </w:rPr>
            </w:pPr>
            <w:r w:rsidRPr="00BA47B4">
              <w:rPr>
                <w:noProof/>
                <w:sz w:val="12"/>
                <w:szCs w:val="12"/>
                <w:lang w:val="fr-BE"/>
              </w:rPr>
              <w:t>Słabiej rozwinięte</w:t>
            </w:r>
          </w:p>
        </w:tc>
        <w:tc>
          <w:tcPr>
            <w:tcW w:w="0" w:type="auto"/>
            <w:shd w:val="clear" w:color="auto" w:fill="auto"/>
          </w:tcPr>
          <w:p w14:paraId="37E83643" w14:textId="77777777" w:rsidR="008C5CFA" w:rsidRPr="00BA47B4" w:rsidRDefault="00E82A60" w:rsidP="00300A01">
            <w:pPr>
              <w:spacing w:before="0" w:after="0"/>
              <w:rPr>
                <w:sz w:val="12"/>
                <w:szCs w:val="12"/>
                <w:lang w:val="fr-BE"/>
              </w:rPr>
            </w:pPr>
            <w:r w:rsidRPr="00BA47B4">
              <w:rPr>
                <w:sz w:val="12"/>
                <w:szCs w:val="12"/>
                <w:lang w:val="fr-BE"/>
              </w:rPr>
              <w:t xml:space="preserve"> </w:t>
            </w:r>
          </w:p>
        </w:tc>
        <w:tc>
          <w:tcPr>
            <w:tcW w:w="0" w:type="auto"/>
            <w:shd w:val="clear" w:color="auto" w:fill="auto"/>
          </w:tcPr>
          <w:p w14:paraId="627687A6" w14:textId="77777777" w:rsidR="008C5CFA" w:rsidRPr="00BA47B4" w:rsidRDefault="008C5CFA" w:rsidP="00300A01">
            <w:pPr>
              <w:spacing w:before="0" w:after="0"/>
              <w:jc w:val="center"/>
              <w:rPr>
                <w:sz w:val="12"/>
                <w:szCs w:val="12"/>
                <w:lang w:val="fr-BE"/>
              </w:rPr>
            </w:pPr>
          </w:p>
        </w:tc>
        <w:tc>
          <w:tcPr>
            <w:tcW w:w="0" w:type="auto"/>
            <w:shd w:val="clear" w:color="auto" w:fill="auto"/>
          </w:tcPr>
          <w:p w14:paraId="783EC6F0" w14:textId="77777777" w:rsidR="008C5CFA" w:rsidRPr="00BA47B4" w:rsidRDefault="008C5CFA" w:rsidP="00300A01">
            <w:pPr>
              <w:spacing w:before="0" w:after="0"/>
              <w:jc w:val="right"/>
              <w:rPr>
                <w:sz w:val="12"/>
                <w:szCs w:val="12"/>
                <w:lang w:val="fr-BE"/>
              </w:rPr>
            </w:pPr>
          </w:p>
        </w:tc>
        <w:tc>
          <w:tcPr>
            <w:tcW w:w="0" w:type="auto"/>
            <w:shd w:val="clear" w:color="auto" w:fill="auto"/>
          </w:tcPr>
          <w:p w14:paraId="1B62EB03" w14:textId="77777777" w:rsidR="008C5CFA" w:rsidRPr="00BA47B4" w:rsidRDefault="008C5CFA" w:rsidP="00300A01">
            <w:pPr>
              <w:spacing w:before="0" w:after="0"/>
              <w:jc w:val="right"/>
              <w:rPr>
                <w:sz w:val="12"/>
                <w:szCs w:val="12"/>
                <w:lang w:val="fr-BE"/>
              </w:rPr>
            </w:pPr>
          </w:p>
        </w:tc>
        <w:tc>
          <w:tcPr>
            <w:tcW w:w="0" w:type="auto"/>
            <w:shd w:val="clear" w:color="auto" w:fill="auto"/>
          </w:tcPr>
          <w:p w14:paraId="3CDE9573" w14:textId="77777777" w:rsidR="008C5CFA" w:rsidRPr="00BA47B4" w:rsidRDefault="008C5CFA" w:rsidP="00300A01">
            <w:pPr>
              <w:spacing w:before="0" w:after="0"/>
              <w:jc w:val="right"/>
              <w:rPr>
                <w:sz w:val="12"/>
                <w:szCs w:val="12"/>
                <w:lang w:val="fr-BE"/>
              </w:rPr>
            </w:pPr>
          </w:p>
        </w:tc>
        <w:tc>
          <w:tcPr>
            <w:tcW w:w="0" w:type="auto"/>
            <w:shd w:val="clear" w:color="auto" w:fill="auto"/>
          </w:tcPr>
          <w:p w14:paraId="421841EE" w14:textId="77777777" w:rsidR="008C5CFA" w:rsidRPr="00BA47B4" w:rsidRDefault="00E82A60" w:rsidP="00300A01">
            <w:pPr>
              <w:spacing w:before="0" w:after="0"/>
              <w:jc w:val="right"/>
              <w:rPr>
                <w:sz w:val="12"/>
                <w:szCs w:val="12"/>
                <w:lang w:val="fr-BE"/>
              </w:rPr>
            </w:pPr>
            <w:r w:rsidRPr="00BA47B4">
              <w:rPr>
                <w:noProof/>
                <w:sz w:val="12"/>
                <w:szCs w:val="12"/>
                <w:lang w:val="fr-BE"/>
              </w:rPr>
              <w:t>4,00</w:t>
            </w:r>
          </w:p>
        </w:tc>
        <w:tc>
          <w:tcPr>
            <w:tcW w:w="0" w:type="auto"/>
            <w:shd w:val="clear" w:color="auto" w:fill="auto"/>
          </w:tcPr>
          <w:p w14:paraId="37A6298B" w14:textId="77777777" w:rsidR="008C5CFA" w:rsidRPr="00BA47B4" w:rsidRDefault="00E82A60" w:rsidP="00300A01">
            <w:pPr>
              <w:spacing w:before="0" w:after="0"/>
              <w:jc w:val="right"/>
              <w:rPr>
                <w:sz w:val="12"/>
                <w:szCs w:val="12"/>
                <w:lang w:val="fr-BE"/>
              </w:rPr>
            </w:pPr>
            <w:r w:rsidRPr="00BA47B4">
              <w:rPr>
                <w:noProof/>
                <w:sz w:val="12"/>
                <w:szCs w:val="12"/>
                <w:lang w:val="fr-BE"/>
              </w:rPr>
              <w:t>1,00</w:t>
            </w:r>
          </w:p>
        </w:tc>
        <w:tc>
          <w:tcPr>
            <w:tcW w:w="0" w:type="auto"/>
            <w:shd w:val="clear" w:color="auto" w:fill="auto"/>
          </w:tcPr>
          <w:p w14:paraId="7C948A6A" w14:textId="77777777" w:rsidR="008C5CFA" w:rsidRPr="00BA47B4" w:rsidRDefault="00E82A60" w:rsidP="00300A01">
            <w:pPr>
              <w:spacing w:before="0" w:after="0"/>
              <w:jc w:val="right"/>
              <w:rPr>
                <w:sz w:val="12"/>
                <w:szCs w:val="12"/>
                <w:lang w:val="fr-BE"/>
              </w:rPr>
            </w:pPr>
            <w:r w:rsidRPr="00BA47B4">
              <w:rPr>
                <w:noProof/>
                <w:sz w:val="12"/>
                <w:szCs w:val="12"/>
                <w:lang w:val="fr-BE"/>
              </w:rPr>
              <w:t>3,00</w:t>
            </w:r>
          </w:p>
        </w:tc>
        <w:tc>
          <w:tcPr>
            <w:tcW w:w="0" w:type="auto"/>
            <w:shd w:val="clear" w:color="auto" w:fill="auto"/>
          </w:tcPr>
          <w:p w14:paraId="698F0B4D" w14:textId="77777777" w:rsidR="008C5CFA" w:rsidRPr="00BA47B4" w:rsidRDefault="008C5CFA" w:rsidP="00300A01">
            <w:pPr>
              <w:spacing w:before="0" w:after="0"/>
              <w:jc w:val="right"/>
              <w:rPr>
                <w:sz w:val="12"/>
                <w:szCs w:val="12"/>
                <w:lang w:val="fr-BE"/>
              </w:rPr>
            </w:pPr>
          </w:p>
        </w:tc>
        <w:tc>
          <w:tcPr>
            <w:tcW w:w="0" w:type="auto"/>
            <w:shd w:val="clear" w:color="auto" w:fill="auto"/>
          </w:tcPr>
          <w:p w14:paraId="2FB1807C" w14:textId="77777777" w:rsidR="008C5CFA" w:rsidRPr="00BA47B4" w:rsidRDefault="008C5CFA" w:rsidP="00300A01">
            <w:pPr>
              <w:spacing w:before="0" w:after="0"/>
              <w:jc w:val="right"/>
              <w:rPr>
                <w:sz w:val="12"/>
                <w:szCs w:val="12"/>
                <w:lang w:val="fr-BE"/>
              </w:rPr>
            </w:pPr>
          </w:p>
        </w:tc>
        <w:tc>
          <w:tcPr>
            <w:tcW w:w="0" w:type="auto"/>
            <w:shd w:val="clear" w:color="auto" w:fill="auto"/>
          </w:tcPr>
          <w:p w14:paraId="479AE405" w14:textId="77777777" w:rsidR="008C5CFA" w:rsidRPr="00BA47B4" w:rsidRDefault="008C5CFA" w:rsidP="00300A01">
            <w:pPr>
              <w:spacing w:before="0" w:after="0"/>
              <w:jc w:val="right"/>
              <w:rPr>
                <w:sz w:val="12"/>
                <w:szCs w:val="12"/>
                <w:lang w:val="fr-BE"/>
              </w:rPr>
            </w:pPr>
          </w:p>
        </w:tc>
        <w:tc>
          <w:tcPr>
            <w:tcW w:w="0" w:type="auto"/>
            <w:shd w:val="clear" w:color="auto" w:fill="auto"/>
          </w:tcPr>
          <w:p w14:paraId="1C2A7EE4"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2552B9F6"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r>
      <w:tr w:rsidR="006B2EC1" w14:paraId="49A8E6E2" w14:textId="77777777" w:rsidTr="0047688D">
        <w:tc>
          <w:tcPr>
            <w:tcW w:w="0" w:type="auto"/>
            <w:shd w:val="clear" w:color="auto" w:fill="auto"/>
          </w:tcPr>
          <w:p w14:paraId="40B4AE85" w14:textId="77777777" w:rsidR="008C5CFA" w:rsidRPr="00BA47B4" w:rsidRDefault="00E82A60" w:rsidP="00300A01">
            <w:pPr>
              <w:spacing w:before="0" w:after="0"/>
              <w:rPr>
                <w:sz w:val="12"/>
                <w:szCs w:val="12"/>
                <w:lang w:val="fr-BE"/>
              </w:rPr>
            </w:pPr>
            <w:r w:rsidRPr="00BA47B4">
              <w:rPr>
                <w:noProof/>
                <w:sz w:val="12"/>
                <w:szCs w:val="12"/>
                <w:lang w:val="fr-BE"/>
              </w:rPr>
              <w:t>CR08</w:t>
            </w:r>
          </w:p>
        </w:tc>
        <w:tc>
          <w:tcPr>
            <w:tcW w:w="0" w:type="auto"/>
            <w:shd w:val="clear" w:color="auto" w:fill="auto"/>
          </w:tcPr>
          <w:p w14:paraId="6E97EBDF" w14:textId="77777777" w:rsidR="008C5CFA" w:rsidRPr="00BA47B4" w:rsidRDefault="00E82A60" w:rsidP="00300A01">
            <w:pPr>
              <w:spacing w:before="0" w:after="0"/>
              <w:rPr>
                <w:sz w:val="12"/>
                <w:szCs w:val="12"/>
                <w:lang w:val="fr-BE"/>
              </w:rPr>
            </w:pPr>
            <w:r w:rsidRPr="00BA47B4">
              <w:rPr>
                <w:noProof/>
                <w:sz w:val="12"/>
                <w:szCs w:val="12"/>
                <w:lang w:val="fr-BE"/>
              </w:rPr>
              <w:t>uczestnicy powyżej 54 roku życia, pracujący, łącznie z prowadzącymi działalność na własny rachunek, sześć miesięcy po opuszczeniu programu</w:t>
            </w:r>
          </w:p>
        </w:tc>
        <w:tc>
          <w:tcPr>
            <w:tcW w:w="0" w:type="auto"/>
            <w:shd w:val="clear" w:color="auto" w:fill="auto"/>
          </w:tcPr>
          <w:p w14:paraId="5540B5C2" w14:textId="77777777" w:rsidR="008C5CFA" w:rsidRPr="00BA47B4" w:rsidRDefault="00E82A60" w:rsidP="00300A01">
            <w:pPr>
              <w:spacing w:before="0" w:after="0"/>
              <w:rPr>
                <w:sz w:val="12"/>
                <w:szCs w:val="12"/>
                <w:lang w:val="fr-BE"/>
              </w:rPr>
            </w:pPr>
            <w:r w:rsidRPr="00BA47B4">
              <w:rPr>
                <w:noProof/>
                <w:sz w:val="12"/>
                <w:szCs w:val="12"/>
                <w:lang w:val="fr-BE"/>
              </w:rPr>
              <w:t>Słabiej rozwinięte</w:t>
            </w:r>
          </w:p>
        </w:tc>
        <w:tc>
          <w:tcPr>
            <w:tcW w:w="0" w:type="auto"/>
            <w:shd w:val="clear" w:color="auto" w:fill="auto"/>
          </w:tcPr>
          <w:p w14:paraId="2E89B51C" w14:textId="77777777" w:rsidR="008C5CFA" w:rsidRPr="00BA47B4" w:rsidRDefault="00E82A60" w:rsidP="00300A01">
            <w:pPr>
              <w:spacing w:before="0" w:after="0"/>
              <w:rPr>
                <w:sz w:val="12"/>
                <w:szCs w:val="12"/>
                <w:lang w:val="fr-BE"/>
              </w:rPr>
            </w:pPr>
            <w:r w:rsidRPr="00BA47B4">
              <w:rPr>
                <w:sz w:val="12"/>
                <w:szCs w:val="12"/>
                <w:lang w:val="fr-BE"/>
              </w:rPr>
              <w:t xml:space="preserve"> </w:t>
            </w:r>
          </w:p>
        </w:tc>
        <w:tc>
          <w:tcPr>
            <w:tcW w:w="0" w:type="auto"/>
            <w:shd w:val="clear" w:color="auto" w:fill="auto"/>
          </w:tcPr>
          <w:p w14:paraId="73F5C0A5" w14:textId="77777777" w:rsidR="008C5CFA" w:rsidRPr="00BA47B4" w:rsidRDefault="008C5CFA" w:rsidP="00300A01">
            <w:pPr>
              <w:spacing w:before="0" w:after="0"/>
              <w:jc w:val="center"/>
              <w:rPr>
                <w:sz w:val="12"/>
                <w:szCs w:val="12"/>
                <w:lang w:val="fr-BE"/>
              </w:rPr>
            </w:pPr>
          </w:p>
        </w:tc>
        <w:tc>
          <w:tcPr>
            <w:tcW w:w="0" w:type="auto"/>
            <w:shd w:val="clear" w:color="auto" w:fill="auto"/>
          </w:tcPr>
          <w:p w14:paraId="35EC731A" w14:textId="77777777" w:rsidR="008C5CFA" w:rsidRPr="00BA47B4" w:rsidRDefault="008C5CFA" w:rsidP="00300A01">
            <w:pPr>
              <w:spacing w:before="0" w:after="0"/>
              <w:jc w:val="right"/>
              <w:rPr>
                <w:sz w:val="12"/>
                <w:szCs w:val="12"/>
                <w:lang w:val="fr-BE"/>
              </w:rPr>
            </w:pPr>
          </w:p>
        </w:tc>
        <w:tc>
          <w:tcPr>
            <w:tcW w:w="0" w:type="auto"/>
            <w:shd w:val="clear" w:color="auto" w:fill="auto"/>
          </w:tcPr>
          <w:p w14:paraId="4B087B58" w14:textId="77777777" w:rsidR="008C5CFA" w:rsidRPr="00BA47B4" w:rsidRDefault="008C5CFA" w:rsidP="00300A01">
            <w:pPr>
              <w:spacing w:before="0" w:after="0"/>
              <w:jc w:val="right"/>
              <w:rPr>
                <w:sz w:val="12"/>
                <w:szCs w:val="12"/>
                <w:lang w:val="fr-BE"/>
              </w:rPr>
            </w:pPr>
          </w:p>
        </w:tc>
        <w:tc>
          <w:tcPr>
            <w:tcW w:w="0" w:type="auto"/>
            <w:shd w:val="clear" w:color="auto" w:fill="auto"/>
          </w:tcPr>
          <w:p w14:paraId="1F70C313" w14:textId="77777777" w:rsidR="008C5CFA" w:rsidRPr="00BA47B4" w:rsidRDefault="008C5CFA" w:rsidP="00300A01">
            <w:pPr>
              <w:spacing w:before="0" w:after="0"/>
              <w:jc w:val="right"/>
              <w:rPr>
                <w:sz w:val="12"/>
                <w:szCs w:val="12"/>
                <w:lang w:val="fr-BE"/>
              </w:rPr>
            </w:pPr>
          </w:p>
        </w:tc>
        <w:tc>
          <w:tcPr>
            <w:tcW w:w="0" w:type="auto"/>
            <w:shd w:val="clear" w:color="auto" w:fill="auto"/>
          </w:tcPr>
          <w:p w14:paraId="43F87D27" w14:textId="77777777" w:rsidR="008C5CFA" w:rsidRPr="00BA47B4" w:rsidRDefault="00E82A60" w:rsidP="00300A01">
            <w:pPr>
              <w:spacing w:before="0" w:after="0"/>
              <w:jc w:val="right"/>
              <w:rPr>
                <w:sz w:val="12"/>
                <w:szCs w:val="12"/>
                <w:lang w:val="fr-BE"/>
              </w:rPr>
            </w:pPr>
            <w:r w:rsidRPr="00BA47B4">
              <w:rPr>
                <w:noProof/>
                <w:sz w:val="12"/>
                <w:szCs w:val="12"/>
                <w:lang w:val="fr-BE"/>
              </w:rPr>
              <w:t>22,00</w:t>
            </w:r>
          </w:p>
        </w:tc>
        <w:tc>
          <w:tcPr>
            <w:tcW w:w="0" w:type="auto"/>
            <w:shd w:val="clear" w:color="auto" w:fill="auto"/>
          </w:tcPr>
          <w:p w14:paraId="2EE6256C" w14:textId="77777777" w:rsidR="008C5CFA" w:rsidRPr="00BA47B4" w:rsidRDefault="00E82A60" w:rsidP="00300A01">
            <w:pPr>
              <w:spacing w:before="0" w:after="0"/>
              <w:jc w:val="right"/>
              <w:rPr>
                <w:sz w:val="12"/>
                <w:szCs w:val="12"/>
                <w:lang w:val="fr-BE"/>
              </w:rPr>
            </w:pPr>
            <w:r w:rsidRPr="00BA47B4">
              <w:rPr>
                <w:noProof/>
                <w:sz w:val="12"/>
                <w:szCs w:val="12"/>
                <w:lang w:val="fr-BE"/>
              </w:rPr>
              <w:t>11,00</w:t>
            </w:r>
          </w:p>
        </w:tc>
        <w:tc>
          <w:tcPr>
            <w:tcW w:w="0" w:type="auto"/>
            <w:shd w:val="clear" w:color="auto" w:fill="auto"/>
          </w:tcPr>
          <w:p w14:paraId="4E367B6C" w14:textId="77777777" w:rsidR="008C5CFA" w:rsidRPr="00BA47B4" w:rsidRDefault="00E82A60" w:rsidP="00300A01">
            <w:pPr>
              <w:spacing w:before="0" w:after="0"/>
              <w:jc w:val="right"/>
              <w:rPr>
                <w:sz w:val="12"/>
                <w:szCs w:val="12"/>
                <w:lang w:val="fr-BE"/>
              </w:rPr>
            </w:pPr>
            <w:r w:rsidRPr="00BA47B4">
              <w:rPr>
                <w:noProof/>
                <w:sz w:val="12"/>
                <w:szCs w:val="12"/>
                <w:lang w:val="fr-BE"/>
              </w:rPr>
              <w:t>11,00</w:t>
            </w:r>
          </w:p>
        </w:tc>
        <w:tc>
          <w:tcPr>
            <w:tcW w:w="0" w:type="auto"/>
            <w:shd w:val="clear" w:color="auto" w:fill="auto"/>
          </w:tcPr>
          <w:p w14:paraId="1B29BA40" w14:textId="77777777" w:rsidR="008C5CFA" w:rsidRPr="00BA47B4" w:rsidRDefault="008C5CFA" w:rsidP="00300A01">
            <w:pPr>
              <w:spacing w:before="0" w:after="0"/>
              <w:jc w:val="right"/>
              <w:rPr>
                <w:sz w:val="12"/>
                <w:szCs w:val="12"/>
                <w:lang w:val="fr-BE"/>
              </w:rPr>
            </w:pPr>
          </w:p>
        </w:tc>
        <w:tc>
          <w:tcPr>
            <w:tcW w:w="0" w:type="auto"/>
            <w:shd w:val="clear" w:color="auto" w:fill="auto"/>
          </w:tcPr>
          <w:p w14:paraId="2ADADED3" w14:textId="77777777" w:rsidR="008C5CFA" w:rsidRPr="00BA47B4" w:rsidRDefault="008C5CFA" w:rsidP="00300A01">
            <w:pPr>
              <w:spacing w:before="0" w:after="0"/>
              <w:jc w:val="right"/>
              <w:rPr>
                <w:sz w:val="12"/>
                <w:szCs w:val="12"/>
                <w:lang w:val="fr-BE"/>
              </w:rPr>
            </w:pPr>
          </w:p>
        </w:tc>
        <w:tc>
          <w:tcPr>
            <w:tcW w:w="0" w:type="auto"/>
            <w:shd w:val="clear" w:color="auto" w:fill="auto"/>
          </w:tcPr>
          <w:p w14:paraId="29A3199F" w14:textId="77777777" w:rsidR="008C5CFA" w:rsidRPr="00BA47B4" w:rsidRDefault="008C5CFA" w:rsidP="00300A01">
            <w:pPr>
              <w:spacing w:before="0" w:after="0"/>
              <w:jc w:val="right"/>
              <w:rPr>
                <w:sz w:val="12"/>
                <w:szCs w:val="12"/>
                <w:lang w:val="fr-BE"/>
              </w:rPr>
            </w:pPr>
          </w:p>
        </w:tc>
        <w:tc>
          <w:tcPr>
            <w:tcW w:w="0" w:type="auto"/>
            <w:shd w:val="clear" w:color="auto" w:fill="auto"/>
          </w:tcPr>
          <w:p w14:paraId="711AC1D9"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2A8BA0E9"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r>
      <w:tr w:rsidR="006B2EC1" w14:paraId="215BF11C" w14:textId="77777777" w:rsidTr="0047688D">
        <w:tc>
          <w:tcPr>
            <w:tcW w:w="0" w:type="auto"/>
            <w:shd w:val="clear" w:color="auto" w:fill="auto"/>
          </w:tcPr>
          <w:p w14:paraId="6FAE3694" w14:textId="77777777" w:rsidR="008C5CFA" w:rsidRPr="00BA47B4" w:rsidRDefault="00E82A60" w:rsidP="00300A01">
            <w:pPr>
              <w:spacing w:before="0" w:after="0"/>
              <w:rPr>
                <w:sz w:val="12"/>
                <w:szCs w:val="12"/>
                <w:lang w:val="fr-BE"/>
              </w:rPr>
            </w:pPr>
            <w:r w:rsidRPr="00BA47B4">
              <w:rPr>
                <w:noProof/>
                <w:sz w:val="12"/>
                <w:szCs w:val="12"/>
                <w:lang w:val="fr-BE"/>
              </w:rPr>
              <w:t>CR09</w:t>
            </w:r>
          </w:p>
        </w:tc>
        <w:tc>
          <w:tcPr>
            <w:tcW w:w="0" w:type="auto"/>
            <w:shd w:val="clear" w:color="auto" w:fill="auto"/>
          </w:tcPr>
          <w:p w14:paraId="0970BABD" w14:textId="77777777" w:rsidR="008C5CFA" w:rsidRPr="00BA47B4" w:rsidRDefault="00E82A60" w:rsidP="00300A01">
            <w:pPr>
              <w:spacing w:before="0" w:after="0"/>
              <w:rPr>
                <w:sz w:val="12"/>
                <w:szCs w:val="12"/>
                <w:lang w:val="fr-BE"/>
              </w:rPr>
            </w:pPr>
            <w:r w:rsidRPr="00BA47B4">
              <w:rPr>
                <w:noProof/>
                <w:sz w:val="12"/>
                <w:szCs w:val="12"/>
                <w:lang w:val="fr-BE"/>
              </w:rPr>
              <w:t>uczestnicy w niekorzystnej sytuacji społecznej, pracujący, łącznie z prowadzącymi działalność na własny rachunek, sześć miesięcy po opuszczeniu programu</w:t>
            </w:r>
          </w:p>
        </w:tc>
        <w:tc>
          <w:tcPr>
            <w:tcW w:w="0" w:type="auto"/>
            <w:shd w:val="clear" w:color="auto" w:fill="auto"/>
          </w:tcPr>
          <w:p w14:paraId="44B89896" w14:textId="77777777" w:rsidR="008C5CFA" w:rsidRPr="00BA47B4" w:rsidRDefault="00E82A60" w:rsidP="00300A01">
            <w:pPr>
              <w:spacing w:before="0" w:after="0"/>
              <w:rPr>
                <w:sz w:val="12"/>
                <w:szCs w:val="12"/>
                <w:lang w:val="fr-BE"/>
              </w:rPr>
            </w:pPr>
            <w:r w:rsidRPr="00BA47B4">
              <w:rPr>
                <w:noProof/>
                <w:sz w:val="12"/>
                <w:szCs w:val="12"/>
                <w:lang w:val="fr-BE"/>
              </w:rPr>
              <w:t>Słabiej rozwinięte</w:t>
            </w:r>
          </w:p>
        </w:tc>
        <w:tc>
          <w:tcPr>
            <w:tcW w:w="0" w:type="auto"/>
            <w:shd w:val="clear" w:color="auto" w:fill="auto"/>
          </w:tcPr>
          <w:p w14:paraId="78C2879C" w14:textId="77777777" w:rsidR="008C5CFA" w:rsidRPr="00BA47B4" w:rsidRDefault="00E82A60" w:rsidP="00300A01">
            <w:pPr>
              <w:spacing w:before="0" w:after="0"/>
              <w:rPr>
                <w:sz w:val="12"/>
                <w:szCs w:val="12"/>
                <w:lang w:val="fr-BE"/>
              </w:rPr>
            </w:pPr>
            <w:r w:rsidRPr="00BA47B4">
              <w:rPr>
                <w:sz w:val="12"/>
                <w:szCs w:val="12"/>
                <w:lang w:val="fr-BE"/>
              </w:rPr>
              <w:t xml:space="preserve"> </w:t>
            </w:r>
          </w:p>
        </w:tc>
        <w:tc>
          <w:tcPr>
            <w:tcW w:w="0" w:type="auto"/>
            <w:shd w:val="clear" w:color="auto" w:fill="auto"/>
          </w:tcPr>
          <w:p w14:paraId="59D952B2" w14:textId="77777777" w:rsidR="008C5CFA" w:rsidRPr="00BA47B4" w:rsidRDefault="008C5CFA" w:rsidP="00300A01">
            <w:pPr>
              <w:spacing w:before="0" w:after="0"/>
              <w:jc w:val="center"/>
              <w:rPr>
                <w:sz w:val="12"/>
                <w:szCs w:val="12"/>
                <w:lang w:val="fr-BE"/>
              </w:rPr>
            </w:pPr>
          </w:p>
        </w:tc>
        <w:tc>
          <w:tcPr>
            <w:tcW w:w="0" w:type="auto"/>
            <w:shd w:val="clear" w:color="auto" w:fill="auto"/>
          </w:tcPr>
          <w:p w14:paraId="01466D94" w14:textId="77777777" w:rsidR="008C5CFA" w:rsidRPr="00BA47B4" w:rsidRDefault="008C5CFA" w:rsidP="00300A01">
            <w:pPr>
              <w:spacing w:before="0" w:after="0"/>
              <w:jc w:val="right"/>
              <w:rPr>
                <w:sz w:val="12"/>
                <w:szCs w:val="12"/>
                <w:lang w:val="fr-BE"/>
              </w:rPr>
            </w:pPr>
          </w:p>
        </w:tc>
        <w:tc>
          <w:tcPr>
            <w:tcW w:w="0" w:type="auto"/>
            <w:shd w:val="clear" w:color="auto" w:fill="auto"/>
          </w:tcPr>
          <w:p w14:paraId="05E6845C" w14:textId="77777777" w:rsidR="008C5CFA" w:rsidRPr="00BA47B4" w:rsidRDefault="008C5CFA" w:rsidP="00300A01">
            <w:pPr>
              <w:spacing w:before="0" w:after="0"/>
              <w:jc w:val="right"/>
              <w:rPr>
                <w:sz w:val="12"/>
                <w:szCs w:val="12"/>
                <w:lang w:val="fr-BE"/>
              </w:rPr>
            </w:pPr>
          </w:p>
        </w:tc>
        <w:tc>
          <w:tcPr>
            <w:tcW w:w="0" w:type="auto"/>
            <w:shd w:val="clear" w:color="auto" w:fill="auto"/>
          </w:tcPr>
          <w:p w14:paraId="77707CBC" w14:textId="77777777" w:rsidR="008C5CFA" w:rsidRPr="00BA47B4" w:rsidRDefault="008C5CFA" w:rsidP="00300A01">
            <w:pPr>
              <w:spacing w:before="0" w:after="0"/>
              <w:jc w:val="right"/>
              <w:rPr>
                <w:sz w:val="12"/>
                <w:szCs w:val="12"/>
                <w:lang w:val="fr-BE"/>
              </w:rPr>
            </w:pPr>
          </w:p>
        </w:tc>
        <w:tc>
          <w:tcPr>
            <w:tcW w:w="0" w:type="auto"/>
            <w:shd w:val="clear" w:color="auto" w:fill="auto"/>
          </w:tcPr>
          <w:p w14:paraId="316E304B" w14:textId="77777777" w:rsidR="008C5CFA" w:rsidRPr="00BA47B4" w:rsidRDefault="00E82A60" w:rsidP="00300A01">
            <w:pPr>
              <w:spacing w:before="0" w:after="0"/>
              <w:jc w:val="right"/>
              <w:rPr>
                <w:sz w:val="12"/>
                <w:szCs w:val="12"/>
                <w:lang w:val="fr-BE"/>
              </w:rPr>
            </w:pPr>
            <w:r w:rsidRPr="00BA47B4">
              <w:rPr>
                <w:noProof/>
                <w:sz w:val="12"/>
                <w:szCs w:val="12"/>
                <w:lang w:val="fr-BE"/>
              </w:rPr>
              <w:t>134,00</w:t>
            </w:r>
          </w:p>
        </w:tc>
        <w:tc>
          <w:tcPr>
            <w:tcW w:w="0" w:type="auto"/>
            <w:shd w:val="clear" w:color="auto" w:fill="auto"/>
          </w:tcPr>
          <w:p w14:paraId="6B3F685D" w14:textId="77777777" w:rsidR="008C5CFA" w:rsidRPr="00BA47B4" w:rsidRDefault="00E82A60" w:rsidP="00300A01">
            <w:pPr>
              <w:spacing w:before="0" w:after="0"/>
              <w:jc w:val="right"/>
              <w:rPr>
                <w:sz w:val="12"/>
                <w:szCs w:val="12"/>
                <w:lang w:val="fr-BE"/>
              </w:rPr>
            </w:pPr>
            <w:r w:rsidRPr="00BA47B4">
              <w:rPr>
                <w:noProof/>
                <w:sz w:val="12"/>
                <w:szCs w:val="12"/>
                <w:lang w:val="fr-BE"/>
              </w:rPr>
              <w:t>45,00</w:t>
            </w:r>
          </w:p>
        </w:tc>
        <w:tc>
          <w:tcPr>
            <w:tcW w:w="0" w:type="auto"/>
            <w:shd w:val="clear" w:color="auto" w:fill="auto"/>
          </w:tcPr>
          <w:p w14:paraId="7A939DAF" w14:textId="77777777" w:rsidR="008C5CFA" w:rsidRPr="00BA47B4" w:rsidRDefault="00E82A60" w:rsidP="00300A01">
            <w:pPr>
              <w:spacing w:before="0" w:after="0"/>
              <w:jc w:val="right"/>
              <w:rPr>
                <w:sz w:val="12"/>
                <w:szCs w:val="12"/>
                <w:lang w:val="fr-BE"/>
              </w:rPr>
            </w:pPr>
            <w:r w:rsidRPr="00BA47B4">
              <w:rPr>
                <w:noProof/>
                <w:sz w:val="12"/>
                <w:szCs w:val="12"/>
                <w:lang w:val="fr-BE"/>
              </w:rPr>
              <w:t>89,00</w:t>
            </w:r>
          </w:p>
        </w:tc>
        <w:tc>
          <w:tcPr>
            <w:tcW w:w="0" w:type="auto"/>
            <w:shd w:val="clear" w:color="auto" w:fill="auto"/>
          </w:tcPr>
          <w:p w14:paraId="0C1543FB" w14:textId="77777777" w:rsidR="008C5CFA" w:rsidRPr="00BA47B4" w:rsidRDefault="008C5CFA" w:rsidP="00300A01">
            <w:pPr>
              <w:spacing w:before="0" w:after="0"/>
              <w:jc w:val="right"/>
              <w:rPr>
                <w:sz w:val="12"/>
                <w:szCs w:val="12"/>
                <w:lang w:val="fr-BE"/>
              </w:rPr>
            </w:pPr>
          </w:p>
        </w:tc>
        <w:tc>
          <w:tcPr>
            <w:tcW w:w="0" w:type="auto"/>
            <w:shd w:val="clear" w:color="auto" w:fill="auto"/>
          </w:tcPr>
          <w:p w14:paraId="26DD9BF9" w14:textId="77777777" w:rsidR="008C5CFA" w:rsidRPr="00BA47B4" w:rsidRDefault="008C5CFA" w:rsidP="00300A01">
            <w:pPr>
              <w:spacing w:before="0" w:after="0"/>
              <w:jc w:val="right"/>
              <w:rPr>
                <w:sz w:val="12"/>
                <w:szCs w:val="12"/>
                <w:lang w:val="fr-BE"/>
              </w:rPr>
            </w:pPr>
          </w:p>
        </w:tc>
        <w:tc>
          <w:tcPr>
            <w:tcW w:w="0" w:type="auto"/>
            <w:shd w:val="clear" w:color="auto" w:fill="auto"/>
          </w:tcPr>
          <w:p w14:paraId="1EB5643E" w14:textId="77777777" w:rsidR="008C5CFA" w:rsidRPr="00BA47B4" w:rsidRDefault="008C5CFA" w:rsidP="00300A01">
            <w:pPr>
              <w:spacing w:before="0" w:after="0"/>
              <w:jc w:val="right"/>
              <w:rPr>
                <w:sz w:val="12"/>
                <w:szCs w:val="12"/>
                <w:lang w:val="fr-BE"/>
              </w:rPr>
            </w:pPr>
          </w:p>
        </w:tc>
        <w:tc>
          <w:tcPr>
            <w:tcW w:w="0" w:type="auto"/>
            <w:shd w:val="clear" w:color="auto" w:fill="auto"/>
          </w:tcPr>
          <w:p w14:paraId="2FD36EA0"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5D47AA45"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r>
    </w:tbl>
    <w:p w14:paraId="5F3D830E" w14:textId="77777777" w:rsidR="008C5CFA" w:rsidRDefault="008C5CFA" w:rsidP="00300A01">
      <w:pPr>
        <w:keepNext/>
        <w:spacing w:before="0" w:after="0"/>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37"/>
        <w:gridCol w:w="8668"/>
        <w:gridCol w:w="884"/>
        <w:gridCol w:w="596"/>
        <w:gridCol w:w="463"/>
        <w:gridCol w:w="596"/>
        <w:gridCol w:w="463"/>
        <w:gridCol w:w="596"/>
        <w:gridCol w:w="463"/>
        <w:gridCol w:w="596"/>
        <w:gridCol w:w="463"/>
        <w:gridCol w:w="596"/>
        <w:gridCol w:w="463"/>
      </w:tblGrid>
      <w:tr w:rsidR="006B2EC1" w14:paraId="3B281C0C" w14:textId="77777777" w:rsidTr="0047688D">
        <w:trPr>
          <w:tblHeader/>
        </w:trPr>
        <w:tc>
          <w:tcPr>
            <w:tcW w:w="0" w:type="auto"/>
            <w:shd w:val="clear" w:color="auto" w:fill="auto"/>
          </w:tcPr>
          <w:p w14:paraId="55D99FA7" w14:textId="77777777" w:rsidR="008C5CFA" w:rsidRPr="00F53019" w:rsidRDefault="00E82A60" w:rsidP="00300A01">
            <w:pPr>
              <w:spacing w:before="0" w:after="0"/>
              <w:rPr>
                <w:b/>
                <w:sz w:val="12"/>
                <w:szCs w:val="12"/>
                <w:lang w:val="fr-BE"/>
              </w:rPr>
            </w:pPr>
            <w:r w:rsidRPr="00F53019">
              <w:rPr>
                <w:b/>
                <w:noProof/>
                <w:sz w:val="12"/>
                <w:szCs w:val="12"/>
                <w:lang w:val="fr-BE"/>
              </w:rPr>
              <w:t>ID</w:t>
            </w:r>
          </w:p>
        </w:tc>
        <w:tc>
          <w:tcPr>
            <w:tcW w:w="0" w:type="auto"/>
            <w:shd w:val="clear" w:color="auto" w:fill="auto"/>
          </w:tcPr>
          <w:p w14:paraId="18CEB545" w14:textId="77777777" w:rsidR="008C5CFA" w:rsidRPr="00F53019" w:rsidRDefault="00E82A60" w:rsidP="00300A01">
            <w:pPr>
              <w:spacing w:before="0" w:after="0"/>
              <w:rPr>
                <w:b/>
                <w:sz w:val="12"/>
                <w:szCs w:val="12"/>
                <w:lang w:val="fr-BE"/>
              </w:rPr>
            </w:pPr>
            <w:r w:rsidRPr="00F53019">
              <w:rPr>
                <w:b/>
                <w:noProof/>
                <w:sz w:val="12"/>
                <w:szCs w:val="12"/>
                <w:lang w:val="fr-BE"/>
              </w:rPr>
              <w:t>Wskaźnik</w:t>
            </w:r>
          </w:p>
        </w:tc>
        <w:tc>
          <w:tcPr>
            <w:tcW w:w="0" w:type="auto"/>
            <w:shd w:val="clear" w:color="auto" w:fill="auto"/>
          </w:tcPr>
          <w:p w14:paraId="4D0CC53F" w14:textId="77777777" w:rsidR="008C5CFA" w:rsidRPr="00F53019" w:rsidRDefault="00E82A60" w:rsidP="00300A01">
            <w:pPr>
              <w:spacing w:before="0" w:after="0"/>
              <w:rPr>
                <w:b/>
                <w:sz w:val="12"/>
                <w:szCs w:val="12"/>
                <w:lang w:val="fr-BE"/>
              </w:rPr>
            </w:pPr>
            <w:r w:rsidRPr="00F53019">
              <w:rPr>
                <w:b/>
                <w:noProof/>
                <w:sz w:val="12"/>
                <w:szCs w:val="12"/>
                <w:lang w:val="fr-BE"/>
              </w:rPr>
              <w:t>Kategoria regionu</w:t>
            </w:r>
          </w:p>
        </w:tc>
        <w:tc>
          <w:tcPr>
            <w:tcW w:w="0" w:type="auto"/>
            <w:gridSpan w:val="2"/>
          </w:tcPr>
          <w:p w14:paraId="7DF7F007" w14:textId="77777777" w:rsidR="008C5CFA" w:rsidRPr="00F53019" w:rsidRDefault="00E82A60" w:rsidP="00300A01">
            <w:pPr>
              <w:spacing w:before="0" w:after="0"/>
              <w:jc w:val="center"/>
              <w:rPr>
                <w:b/>
                <w:sz w:val="12"/>
                <w:szCs w:val="12"/>
                <w:lang w:val="fr-BE"/>
              </w:rPr>
            </w:pPr>
            <w:r>
              <w:rPr>
                <w:b/>
                <w:sz w:val="12"/>
                <w:szCs w:val="12"/>
                <w:lang w:val="fr-BE"/>
              </w:rPr>
              <w:t>2018</w:t>
            </w:r>
          </w:p>
        </w:tc>
        <w:tc>
          <w:tcPr>
            <w:tcW w:w="0" w:type="auto"/>
            <w:gridSpan w:val="2"/>
          </w:tcPr>
          <w:p w14:paraId="2BC03D32" w14:textId="77777777" w:rsidR="008C5CFA" w:rsidRPr="00F53019" w:rsidRDefault="00E82A60" w:rsidP="00300A01">
            <w:pPr>
              <w:spacing w:before="0" w:after="0"/>
              <w:jc w:val="center"/>
              <w:rPr>
                <w:b/>
                <w:sz w:val="12"/>
                <w:szCs w:val="12"/>
                <w:lang w:val="fr-BE"/>
              </w:rPr>
            </w:pPr>
            <w:r>
              <w:rPr>
                <w:b/>
                <w:sz w:val="12"/>
                <w:szCs w:val="12"/>
                <w:lang w:val="fr-BE"/>
              </w:rPr>
              <w:t>2017</w:t>
            </w:r>
          </w:p>
        </w:tc>
        <w:tc>
          <w:tcPr>
            <w:tcW w:w="0" w:type="auto"/>
            <w:gridSpan w:val="2"/>
          </w:tcPr>
          <w:p w14:paraId="08F87C5C" w14:textId="77777777" w:rsidR="008C5CFA" w:rsidRPr="00F53019" w:rsidRDefault="00E82A60" w:rsidP="00300A01">
            <w:pPr>
              <w:spacing w:before="0" w:after="0"/>
              <w:jc w:val="center"/>
              <w:rPr>
                <w:b/>
                <w:sz w:val="12"/>
                <w:szCs w:val="12"/>
                <w:lang w:val="fr-BE"/>
              </w:rPr>
            </w:pPr>
            <w:r>
              <w:rPr>
                <w:b/>
                <w:sz w:val="12"/>
                <w:szCs w:val="12"/>
                <w:lang w:val="fr-BE"/>
              </w:rPr>
              <w:t>2016</w:t>
            </w:r>
          </w:p>
        </w:tc>
        <w:tc>
          <w:tcPr>
            <w:tcW w:w="0" w:type="auto"/>
            <w:gridSpan w:val="2"/>
          </w:tcPr>
          <w:p w14:paraId="3FC79D0E" w14:textId="77777777" w:rsidR="008C5CFA" w:rsidRPr="00F53019" w:rsidRDefault="00E82A60" w:rsidP="00300A01">
            <w:pPr>
              <w:spacing w:before="0" w:after="0"/>
              <w:jc w:val="center"/>
              <w:rPr>
                <w:b/>
                <w:sz w:val="12"/>
                <w:szCs w:val="12"/>
                <w:lang w:val="fr-BE"/>
              </w:rPr>
            </w:pPr>
            <w:r>
              <w:rPr>
                <w:b/>
                <w:sz w:val="12"/>
                <w:szCs w:val="12"/>
                <w:lang w:val="fr-BE"/>
              </w:rPr>
              <w:t>2015</w:t>
            </w:r>
          </w:p>
        </w:tc>
        <w:tc>
          <w:tcPr>
            <w:tcW w:w="0" w:type="auto"/>
            <w:gridSpan w:val="2"/>
            <w:shd w:val="clear" w:color="auto" w:fill="auto"/>
          </w:tcPr>
          <w:p w14:paraId="67E0EE70" w14:textId="77777777" w:rsidR="008C5CFA" w:rsidRPr="00F53019" w:rsidRDefault="00E82A60" w:rsidP="00300A01">
            <w:pPr>
              <w:spacing w:before="0" w:after="0"/>
              <w:jc w:val="center"/>
              <w:rPr>
                <w:b/>
                <w:sz w:val="12"/>
                <w:szCs w:val="12"/>
                <w:lang w:val="fr-BE"/>
              </w:rPr>
            </w:pPr>
            <w:r>
              <w:rPr>
                <w:b/>
                <w:sz w:val="12"/>
                <w:szCs w:val="12"/>
                <w:lang w:val="fr-BE"/>
              </w:rPr>
              <w:t>2014</w:t>
            </w:r>
          </w:p>
        </w:tc>
      </w:tr>
      <w:tr w:rsidR="006B2EC1" w14:paraId="7A415D3C" w14:textId="77777777" w:rsidTr="0047688D">
        <w:trPr>
          <w:tblHeader/>
        </w:trPr>
        <w:tc>
          <w:tcPr>
            <w:tcW w:w="0" w:type="auto"/>
            <w:shd w:val="clear" w:color="auto" w:fill="auto"/>
          </w:tcPr>
          <w:p w14:paraId="0CC8DEA4" w14:textId="77777777" w:rsidR="008C5CFA" w:rsidRPr="00F53019" w:rsidRDefault="008C5CFA" w:rsidP="00300A01">
            <w:pPr>
              <w:spacing w:before="0" w:after="0"/>
              <w:rPr>
                <w:b/>
                <w:sz w:val="12"/>
                <w:szCs w:val="12"/>
                <w:lang w:val="fr-BE"/>
              </w:rPr>
            </w:pPr>
          </w:p>
        </w:tc>
        <w:tc>
          <w:tcPr>
            <w:tcW w:w="0" w:type="auto"/>
            <w:shd w:val="clear" w:color="auto" w:fill="auto"/>
          </w:tcPr>
          <w:p w14:paraId="1111EABC" w14:textId="77777777" w:rsidR="008C5CFA" w:rsidRPr="00F53019" w:rsidRDefault="008C5CFA" w:rsidP="00300A01">
            <w:pPr>
              <w:spacing w:before="0" w:after="0"/>
              <w:rPr>
                <w:b/>
                <w:sz w:val="12"/>
                <w:szCs w:val="12"/>
                <w:lang w:val="fr-BE"/>
              </w:rPr>
            </w:pPr>
          </w:p>
        </w:tc>
        <w:tc>
          <w:tcPr>
            <w:tcW w:w="0" w:type="auto"/>
            <w:shd w:val="clear" w:color="auto" w:fill="auto"/>
          </w:tcPr>
          <w:p w14:paraId="7766E7C4" w14:textId="77777777" w:rsidR="008C5CFA" w:rsidRPr="00F53019" w:rsidRDefault="008C5CFA" w:rsidP="00300A01">
            <w:pPr>
              <w:spacing w:before="0" w:after="0"/>
              <w:rPr>
                <w:b/>
                <w:sz w:val="12"/>
                <w:szCs w:val="12"/>
                <w:lang w:val="fr-BE"/>
              </w:rPr>
            </w:pPr>
          </w:p>
        </w:tc>
        <w:tc>
          <w:tcPr>
            <w:tcW w:w="0" w:type="auto"/>
          </w:tcPr>
          <w:p w14:paraId="41D63041" w14:textId="77777777" w:rsidR="008C5CFA" w:rsidRPr="00F53019" w:rsidRDefault="00E82A60" w:rsidP="00300A01">
            <w:pPr>
              <w:spacing w:before="0" w:after="0"/>
              <w:jc w:val="center"/>
              <w:rPr>
                <w:b/>
                <w:sz w:val="12"/>
                <w:szCs w:val="12"/>
                <w:lang w:val="fr-BE"/>
              </w:rPr>
            </w:pPr>
            <w:r w:rsidRPr="00F53019">
              <w:rPr>
                <w:b/>
                <w:noProof/>
                <w:sz w:val="12"/>
                <w:szCs w:val="12"/>
                <w:lang w:val="fr-BE"/>
              </w:rPr>
              <w:t>Mężczyźni</w:t>
            </w:r>
          </w:p>
        </w:tc>
        <w:tc>
          <w:tcPr>
            <w:tcW w:w="0" w:type="auto"/>
          </w:tcPr>
          <w:p w14:paraId="510616BD" w14:textId="77777777" w:rsidR="008C5CFA" w:rsidRPr="00F53019" w:rsidRDefault="00E82A60" w:rsidP="00300A01">
            <w:pPr>
              <w:spacing w:before="0" w:after="0"/>
              <w:jc w:val="center"/>
              <w:rPr>
                <w:b/>
                <w:sz w:val="12"/>
                <w:szCs w:val="12"/>
                <w:lang w:val="fr-BE"/>
              </w:rPr>
            </w:pPr>
            <w:r w:rsidRPr="00F53019">
              <w:rPr>
                <w:b/>
                <w:noProof/>
                <w:sz w:val="12"/>
                <w:szCs w:val="12"/>
                <w:lang w:val="fr-BE"/>
              </w:rPr>
              <w:t>Kobiety</w:t>
            </w:r>
          </w:p>
        </w:tc>
        <w:tc>
          <w:tcPr>
            <w:tcW w:w="0" w:type="auto"/>
          </w:tcPr>
          <w:p w14:paraId="71A3246D" w14:textId="77777777" w:rsidR="008C5CFA" w:rsidRPr="00F53019" w:rsidRDefault="00E82A60" w:rsidP="00300A01">
            <w:pPr>
              <w:spacing w:before="0" w:after="0"/>
              <w:jc w:val="center"/>
              <w:rPr>
                <w:b/>
                <w:sz w:val="12"/>
                <w:szCs w:val="12"/>
                <w:lang w:val="fr-BE"/>
              </w:rPr>
            </w:pPr>
            <w:r w:rsidRPr="00F53019">
              <w:rPr>
                <w:b/>
                <w:noProof/>
                <w:sz w:val="12"/>
                <w:szCs w:val="12"/>
                <w:lang w:val="fr-BE"/>
              </w:rPr>
              <w:t>Mężczyźni</w:t>
            </w:r>
          </w:p>
        </w:tc>
        <w:tc>
          <w:tcPr>
            <w:tcW w:w="0" w:type="auto"/>
          </w:tcPr>
          <w:p w14:paraId="1AB96CA6" w14:textId="77777777" w:rsidR="008C5CFA" w:rsidRPr="00F53019" w:rsidRDefault="00E82A60" w:rsidP="00300A01">
            <w:pPr>
              <w:spacing w:before="0" w:after="0"/>
              <w:jc w:val="center"/>
              <w:rPr>
                <w:b/>
                <w:sz w:val="12"/>
                <w:szCs w:val="12"/>
                <w:lang w:val="fr-BE"/>
              </w:rPr>
            </w:pPr>
            <w:r w:rsidRPr="00F53019">
              <w:rPr>
                <w:b/>
                <w:noProof/>
                <w:sz w:val="12"/>
                <w:szCs w:val="12"/>
                <w:lang w:val="fr-BE"/>
              </w:rPr>
              <w:t>Kobiety</w:t>
            </w:r>
          </w:p>
        </w:tc>
        <w:tc>
          <w:tcPr>
            <w:tcW w:w="0" w:type="auto"/>
          </w:tcPr>
          <w:p w14:paraId="5689EA4E" w14:textId="77777777" w:rsidR="008C5CFA" w:rsidRPr="00F53019" w:rsidRDefault="00E82A60" w:rsidP="00300A01">
            <w:pPr>
              <w:spacing w:before="0" w:after="0"/>
              <w:jc w:val="center"/>
              <w:rPr>
                <w:b/>
                <w:sz w:val="12"/>
                <w:szCs w:val="12"/>
                <w:lang w:val="fr-BE"/>
              </w:rPr>
            </w:pPr>
            <w:r w:rsidRPr="00F53019">
              <w:rPr>
                <w:b/>
                <w:noProof/>
                <w:sz w:val="12"/>
                <w:szCs w:val="12"/>
                <w:lang w:val="fr-BE"/>
              </w:rPr>
              <w:t>Mężczyźni</w:t>
            </w:r>
          </w:p>
        </w:tc>
        <w:tc>
          <w:tcPr>
            <w:tcW w:w="0" w:type="auto"/>
          </w:tcPr>
          <w:p w14:paraId="03EE8F8D" w14:textId="77777777" w:rsidR="008C5CFA" w:rsidRPr="00F53019" w:rsidRDefault="00E82A60" w:rsidP="00300A01">
            <w:pPr>
              <w:spacing w:before="0" w:after="0"/>
              <w:jc w:val="center"/>
              <w:rPr>
                <w:b/>
                <w:sz w:val="12"/>
                <w:szCs w:val="12"/>
                <w:lang w:val="fr-BE"/>
              </w:rPr>
            </w:pPr>
            <w:r w:rsidRPr="00F53019">
              <w:rPr>
                <w:b/>
                <w:noProof/>
                <w:sz w:val="12"/>
                <w:szCs w:val="12"/>
                <w:lang w:val="fr-BE"/>
              </w:rPr>
              <w:t>Kobiety</w:t>
            </w:r>
          </w:p>
        </w:tc>
        <w:tc>
          <w:tcPr>
            <w:tcW w:w="0" w:type="auto"/>
          </w:tcPr>
          <w:p w14:paraId="7205C632" w14:textId="77777777" w:rsidR="008C5CFA" w:rsidRPr="00F53019" w:rsidRDefault="00E82A60" w:rsidP="00300A01">
            <w:pPr>
              <w:spacing w:before="0" w:after="0"/>
              <w:jc w:val="center"/>
              <w:rPr>
                <w:b/>
                <w:sz w:val="12"/>
                <w:szCs w:val="12"/>
                <w:lang w:val="fr-BE"/>
              </w:rPr>
            </w:pPr>
            <w:r w:rsidRPr="00F53019">
              <w:rPr>
                <w:b/>
                <w:noProof/>
                <w:sz w:val="12"/>
                <w:szCs w:val="12"/>
                <w:lang w:val="fr-BE"/>
              </w:rPr>
              <w:t>Mężczyźni</w:t>
            </w:r>
          </w:p>
        </w:tc>
        <w:tc>
          <w:tcPr>
            <w:tcW w:w="0" w:type="auto"/>
          </w:tcPr>
          <w:p w14:paraId="62917249" w14:textId="77777777" w:rsidR="008C5CFA" w:rsidRPr="00F53019" w:rsidRDefault="00E82A60" w:rsidP="00300A01">
            <w:pPr>
              <w:spacing w:before="0" w:after="0"/>
              <w:jc w:val="center"/>
              <w:rPr>
                <w:b/>
                <w:sz w:val="12"/>
                <w:szCs w:val="12"/>
                <w:lang w:val="fr-BE"/>
              </w:rPr>
            </w:pPr>
            <w:r w:rsidRPr="00F53019">
              <w:rPr>
                <w:b/>
                <w:noProof/>
                <w:sz w:val="12"/>
                <w:szCs w:val="12"/>
                <w:lang w:val="fr-BE"/>
              </w:rPr>
              <w:t>Kobiety</w:t>
            </w:r>
          </w:p>
        </w:tc>
        <w:tc>
          <w:tcPr>
            <w:tcW w:w="0" w:type="auto"/>
            <w:shd w:val="clear" w:color="auto" w:fill="auto"/>
          </w:tcPr>
          <w:p w14:paraId="00DA39C2" w14:textId="77777777" w:rsidR="008C5CFA" w:rsidRPr="00F53019" w:rsidRDefault="00E82A60"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14:paraId="4EE675C8" w14:textId="77777777" w:rsidR="008C5CFA" w:rsidRPr="00F53019" w:rsidRDefault="00E82A60" w:rsidP="00300A01">
            <w:pPr>
              <w:spacing w:before="0" w:after="0"/>
              <w:jc w:val="center"/>
              <w:rPr>
                <w:b/>
                <w:sz w:val="12"/>
                <w:szCs w:val="12"/>
                <w:lang w:val="fr-BE"/>
              </w:rPr>
            </w:pPr>
            <w:r w:rsidRPr="00F53019">
              <w:rPr>
                <w:b/>
                <w:noProof/>
                <w:sz w:val="12"/>
                <w:szCs w:val="12"/>
                <w:lang w:val="fr-BE"/>
              </w:rPr>
              <w:t>Kobiety</w:t>
            </w:r>
          </w:p>
        </w:tc>
      </w:tr>
      <w:tr w:rsidR="006B2EC1" w14:paraId="7A56B1D3" w14:textId="77777777" w:rsidTr="0047688D">
        <w:tc>
          <w:tcPr>
            <w:tcW w:w="0" w:type="auto"/>
            <w:shd w:val="clear" w:color="auto" w:fill="auto"/>
          </w:tcPr>
          <w:p w14:paraId="38A2BB76" w14:textId="77777777" w:rsidR="008C5CFA" w:rsidRPr="00BA47B4" w:rsidRDefault="00E82A60" w:rsidP="00300A01">
            <w:pPr>
              <w:spacing w:before="0" w:after="0"/>
              <w:rPr>
                <w:sz w:val="12"/>
                <w:szCs w:val="12"/>
                <w:lang w:val="fr-BE"/>
              </w:rPr>
            </w:pPr>
            <w:r w:rsidRPr="00BA47B4">
              <w:rPr>
                <w:noProof/>
                <w:sz w:val="12"/>
                <w:szCs w:val="12"/>
                <w:lang w:val="fr-BE"/>
              </w:rPr>
              <w:t>CR01</w:t>
            </w:r>
          </w:p>
        </w:tc>
        <w:tc>
          <w:tcPr>
            <w:tcW w:w="0" w:type="auto"/>
            <w:shd w:val="clear" w:color="auto" w:fill="auto"/>
          </w:tcPr>
          <w:p w14:paraId="55FE70A9" w14:textId="77777777" w:rsidR="008C5CFA" w:rsidRPr="00BA47B4" w:rsidRDefault="00E82A60" w:rsidP="00300A01">
            <w:pPr>
              <w:spacing w:before="0" w:after="0"/>
              <w:rPr>
                <w:sz w:val="12"/>
                <w:szCs w:val="12"/>
                <w:lang w:val="fr-BE"/>
              </w:rPr>
            </w:pPr>
            <w:r w:rsidRPr="00BA47B4">
              <w:rPr>
                <w:noProof/>
                <w:sz w:val="12"/>
                <w:szCs w:val="12"/>
                <w:lang w:val="fr-BE"/>
              </w:rPr>
              <w:t>bierni zawodowo uczestnicy poszukujący pracy po opuszczeniu programu</w:t>
            </w:r>
          </w:p>
        </w:tc>
        <w:tc>
          <w:tcPr>
            <w:tcW w:w="0" w:type="auto"/>
            <w:shd w:val="clear" w:color="auto" w:fill="auto"/>
          </w:tcPr>
          <w:p w14:paraId="1D34F896" w14:textId="77777777" w:rsidR="008C5CFA" w:rsidRPr="00BA47B4" w:rsidRDefault="00E82A60" w:rsidP="00300A01">
            <w:pPr>
              <w:spacing w:before="0" w:after="0"/>
              <w:rPr>
                <w:sz w:val="12"/>
                <w:szCs w:val="12"/>
                <w:lang w:val="fr-BE"/>
              </w:rPr>
            </w:pPr>
            <w:r w:rsidRPr="00BA47B4">
              <w:rPr>
                <w:noProof/>
                <w:sz w:val="12"/>
                <w:szCs w:val="12"/>
                <w:lang w:val="fr-BE"/>
              </w:rPr>
              <w:t>Słabiej rozwinięte</w:t>
            </w:r>
          </w:p>
        </w:tc>
        <w:tc>
          <w:tcPr>
            <w:tcW w:w="0" w:type="auto"/>
          </w:tcPr>
          <w:p w14:paraId="14314945" w14:textId="77777777" w:rsidR="008C5CFA" w:rsidRPr="00BA47B4" w:rsidRDefault="00E82A60" w:rsidP="00300A01">
            <w:pPr>
              <w:spacing w:before="0" w:after="0"/>
              <w:jc w:val="right"/>
              <w:rPr>
                <w:sz w:val="12"/>
                <w:szCs w:val="12"/>
                <w:lang w:val="fr-BE"/>
              </w:rPr>
            </w:pPr>
            <w:r w:rsidRPr="00BA47B4">
              <w:rPr>
                <w:noProof/>
                <w:sz w:val="12"/>
                <w:szCs w:val="12"/>
                <w:lang w:val="fr-BE"/>
              </w:rPr>
              <w:t>45,00</w:t>
            </w:r>
          </w:p>
        </w:tc>
        <w:tc>
          <w:tcPr>
            <w:tcW w:w="0" w:type="auto"/>
          </w:tcPr>
          <w:p w14:paraId="41D48713" w14:textId="77777777" w:rsidR="008C5CFA" w:rsidRPr="00BA47B4" w:rsidRDefault="00E82A60" w:rsidP="00300A01">
            <w:pPr>
              <w:spacing w:before="0" w:after="0"/>
              <w:jc w:val="right"/>
              <w:rPr>
                <w:sz w:val="12"/>
                <w:szCs w:val="12"/>
                <w:lang w:val="fr-BE"/>
              </w:rPr>
            </w:pPr>
            <w:r w:rsidRPr="00BA47B4">
              <w:rPr>
                <w:noProof/>
                <w:sz w:val="12"/>
                <w:szCs w:val="12"/>
                <w:lang w:val="fr-BE"/>
              </w:rPr>
              <w:t>110,00</w:t>
            </w:r>
          </w:p>
        </w:tc>
        <w:tc>
          <w:tcPr>
            <w:tcW w:w="0" w:type="auto"/>
          </w:tcPr>
          <w:p w14:paraId="114EC7C9" w14:textId="77777777" w:rsidR="008C5CFA" w:rsidRPr="00BA47B4" w:rsidRDefault="00E82A60" w:rsidP="00300A01">
            <w:pPr>
              <w:spacing w:before="0" w:after="0"/>
              <w:jc w:val="right"/>
              <w:rPr>
                <w:sz w:val="12"/>
                <w:szCs w:val="12"/>
                <w:lang w:val="fr-BE"/>
              </w:rPr>
            </w:pPr>
            <w:r w:rsidRPr="00BA47B4">
              <w:rPr>
                <w:noProof/>
                <w:sz w:val="12"/>
                <w:szCs w:val="12"/>
                <w:lang w:val="fr-BE"/>
              </w:rPr>
              <w:t>33,00</w:t>
            </w:r>
          </w:p>
        </w:tc>
        <w:tc>
          <w:tcPr>
            <w:tcW w:w="0" w:type="auto"/>
          </w:tcPr>
          <w:p w14:paraId="1653225E" w14:textId="77777777" w:rsidR="008C5CFA" w:rsidRPr="00BA47B4" w:rsidRDefault="00E82A60" w:rsidP="00300A01">
            <w:pPr>
              <w:spacing w:before="0" w:after="0"/>
              <w:jc w:val="right"/>
              <w:rPr>
                <w:sz w:val="12"/>
                <w:szCs w:val="12"/>
                <w:lang w:val="fr-BE"/>
              </w:rPr>
            </w:pPr>
            <w:r w:rsidRPr="00BA47B4">
              <w:rPr>
                <w:noProof/>
                <w:sz w:val="12"/>
                <w:szCs w:val="12"/>
                <w:lang w:val="fr-BE"/>
              </w:rPr>
              <w:t>48,00</w:t>
            </w:r>
          </w:p>
        </w:tc>
        <w:tc>
          <w:tcPr>
            <w:tcW w:w="0" w:type="auto"/>
          </w:tcPr>
          <w:p w14:paraId="0E5A3A68"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367F5B7C"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4EE56443"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51442B5E"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3F40847F"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2927E3B0"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r>
      <w:tr w:rsidR="006B2EC1" w14:paraId="17CF8E52" w14:textId="77777777" w:rsidTr="0047688D">
        <w:tc>
          <w:tcPr>
            <w:tcW w:w="0" w:type="auto"/>
            <w:shd w:val="clear" w:color="auto" w:fill="auto"/>
          </w:tcPr>
          <w:p w14:paraId="6AF0D227" w14:textId="77777777" w:rsidR="008C5CFA" w:rsidRPr="00BA47B4" w:rsidRDefault="00E82A60" w:rsidP="00300A01">
            <w:pPr>
              <w:spacing w:before="0" w:after="0"/>
              <w:rPr>
                <w:sz w:val="12"/>
                <w:szCs w:val="12"/>
                <w:lang w:val="fr-BE"/>
              </w:rPr>
            </w:pPr>
            <w:r w:rsidRPr="00BA47B4">
              <w:rPr>
                <w:noProof/>
                <w:sz w:val="12"/>
                <w:szCs w:val="12"/>
                <w:lang w:val="fr-BE"/>
              </w:rPr>
              <w:t>CR02</w:t>
            </w:r>
          </w:p>
        </w:tc>
        <w:tc>
          <w:tcPr>
            <w:tcW w:w="0" w:type="auto"/>
            <w:shd w:val="clear" w:color="auto" w:fill="auto"/>
          </w:tcPr>
          <w:p w14:paraId="33BB0E97" w14:textId="77777777" w:rsidR="008C5CFA" w:rsidRPr="00BA47B4" w:rsidRDefault="00E82A60" w:rsidP="00300A01">
            <w:pPr>
              <w:spacing w:before="0" w:after="0"/>
              <w:rPr>
                <w:sz w:val="12"/>
                <w:szCs w:val="12"/>
                <w:lang w:val="fr-BE"/>
              </w:rPr>
            </w:pPr>
            <w:r w:rsidRPr="00BA47B4">
              <w:rPr>
                <w:noProof/>
                <w:sz w:val="12"/>
                <w:szCs w:val="12"/>
                <w:lang w:val="fr-BE"/>
              </w:rPr>
              <w:t>uczestnicy kształcący lub szkolący się po opuszczeniu programu</w:t>
            </w:r>
          </w:p>
        </w:tc>
        <w:tc>
          <w:tcPr>
            <w:tcW w:w="0" w:type="auto"/>
            <w:shd w:val="clear" w:color="auto" w:fill="auto"/>
          </w:tcPr>
          <w:p w14:paraId="2A2B8A67" w14:textId="77777777" w:rsidR="008C5CFA" w:rsidRPr="00BA47B4" w:rsidRDefault="00E82A60" w:rsidP="00300A01">
            <w:pPr>
              <w:spacing w:before="0" w:after="0"/>
              <w:rPr>
                <w:sz w:val="12"/>
                <w:szCs w:val="12"/>
                <w:lang w:val="fr-BE"/>
              </w:rPr>
            </w:pPr>
            <w:r w:rsidRPr="00BA47B4">
              <w:rPr>
                <w:noProof/>
                <w:sz w:val="12"/>
                <w:szCs w:val="12"/>
                <w:lang w:val="fr-BE"/>
              </w:rPr>
              <w:t>Słabiej rozwinięte</w:t>
            </w:r>
          </w:p>
        </w:tc>
        <w:tc>
          <w:tcPr>
            <w:tcW w:w="0" w:type="auto"/>
          </w:tcPr>
          <w:p w14:paraId="63695933" w14:textId="77777777" w:rsidR="008C5CFA" w:rsidRPr="00BA47B4" w:rsidRDefault="00E82A60" w:rsidP="00300A01">
            <w:pPr>
              <w:spacing w:before="0" w:after="0"/>
              <w:jc w:val="right"/>
              <w:rPr>
                <w:sz w:val="12"/>
                <w:szCs w:val="12"/>
                <w:lang w:val="fr-BE"/>
              </w:rPr>
            </w:pPr>
            <w:r w:rsidRPr="00BA47B4">
              <w:rPr>
                <w:noProof/>
                <w:sz w:val="12"/>
                <w:szCs w:val="12"/>
                <w:lang w:val="fr-BE"/>
              </w:rPr>
              <w:t>7,00</w:t>
            </w:r>
          </w:p>
        </w:tc>
        <w:tc>
          <w:tcPr>
            <w:tcW w:w="0" w:type="auto"/>
          </w:tcPr>
          <w:p w14:paraId="5B8FD3D1" w14:textId="77777777" w:rsidR="008C5CFA" w:rsidRPr="00BA47B4" w:rsidRDefault="00E82A60" w:rsidP="00300A01">
            <w:pPr>
              <w:spacing w:before="0" w:after="0"/>
              <w:jc w:val="right"/>
              <w:rPr>
                <w:sz w:val="12"/>
                <w:szCs w:val="12"/>
                <w:lang w:val="fr-BE"/>
              </w:rPr>
            </w:pPr>
            <w:r w:rsidRPr="00BA47B4">
              <w:rPr>
                <w:noProof/>
                <w:sz w:val="12"/>
                <w:szCs w:val="12"/>
                <w:lang w:val="fr-BE"/>
              </w:rPr>
              <w:t>5,00</w:t>
            </w:r>
          </w:p>
        </w:tc>
        <w:tc>
          <w:tcPr>
            <w:tcW w:w="0" w:type="auto"/>
          </w:tcPr>
          <w:p w14:paraId="37BDCE0C" w14:textId="77777777" w:rsidR="008C5CFA" w:rsidRPr="00BA47B4" w:rsidRDefault="00E82A60" w:rsidP="00300A01">
            <w:pPr>
              <w:spacing w:before="0" w:after="0"/>
              <w:jc w:val="right"/>
              <w:rPr>
                <w:sz w:val="12"/>
                <w:szCs w:val="12"/>
                <w:lang w:val="fr-BE"/>
              </w:rPr>
            </w:pPr>
            <w:r w:rsidRPr="00BA47B4">
              <w:rPr>
                <w:noProof/>
                <w:sz w:val="12"/>
                <w:szCs w:val="12"/>
                <w:lang w:val="fr-BE"/>
              </w:rPr>
              <w:t>3,00</w:t>
            </w:r>
          </w:p>
        </w:tc>
        <w:tc>
          <w:tcPr>
            <w:tcW w:w="0" w:type="auto"/>
          </w:tcPr>
          <w:p w14:paraId="07966307" w14:textId="77777777" w:rsidR="008C5CFA" w:rsidRPr="00BA47B4" w:rsidRDefault="00E82A60" w:rsidP="00300A01">
            <w:pPr>
              <w:spacing w:before="0" w:after="0"/>
              <w:jc w:val="right"/>
              <w:rPr>
                <w:sz w:val="12"/>
                <w:szCs w:val="12"/>
                <w:lang w:val="fr-BE"/>
              </w:rPr>
            </w:pPr>
            <w:r w:rsidRPr="00BA47B4">
              <w:rPr>
                <w:noProof/>
                <w:sz w:val="12"/>
                <w:szCs w:val="12"/>
                <w:lang w:val="fr-BE"/>
              </w:rPr>
              <w:t>3,00</w:t>
            </w:r>
          </w:p>
        </w:tc>
        <w:tc>
          <w:tcPr>
            <w:tcW w:w="0" w:type="auto"/>
          </w:tcPr>
          <w:p w14:paraId="2F61ADA7"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514FBCA7"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7B053C77"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12ED8D5B"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3E5493BB"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4DB44533"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r>
      <w:tr w:rsidR="006B2EC1" w14:paraId="1A8A2327" w14:textId="77777777" w:rsidTr="0047688D">
        <w:tc>
          <w:tcPr>
            <w:tcW w:w="0" w:type="auto"/>
            <w:shd w:val="clear" w:color="auto" w:fill="auto"/>
          </w:tcPr>
          <w:p w14:paraId="10939CA2" w14:textId="77777777" w:rsidR="008C5CFA" w:rsidRPr="00BA47B4" w:rsidRDefault="00E82A60" w:rsidP="00300A01">
            <w:pPr>
              <w:spacing w:before="0" w:after="0"/>
              <w:rPr>
                <w:sz w:val="12"/>
                <w:szCs w:val="12"/>
                <w:lang w:val="fr-BE"/>
              </w:rPr>
            </w:pPr>
            <w:r w:rsidRPr="00BA47B4">
              <w:rPr>
                <w:noProof/>
                <w:sz w:val="12"/>
                <w:szCs w:val="12"/>
                <w:lang w:val="fr-BE"/>
              </w:rPr>
              <w:t>CR03</w:t>
            </w:r>
          </w:p>
        </w:tc>
        <w:tc>
          <w:tcPr>
            <w:tcW w:w="0" w:type="auto"/>
            <w:shd w:val="clear" w:color="auto" w:fill="auto"/>
          </w:tcPr>
          <w:p w14:paraId="09ECB936" w14:textId="77777777" w:rsidR="008C5CFA" w:rsidRPr="00BA47B4" w:rsidRDefault="00E82A60" w:rsidP="00300A01">
            <w:pPr>
              <w:spacing w:before="0" w:after="0"/>
              <w:rPr>
                <w:sz w:val="12"/>
                <w:szCs w:val="12"/>
                <w:lang w:val="fr-BE"/>
              </w:rPr>
            </w:pPr>
            <w:r w:rsidRPr="00BA47B4">
              <w:rPr>
                <w:noProof/>
                <w:sz w:val="12"/>
                <w:szCs w:val="12"/>
                <w:lang w:val="fr-BE"/>
              </w:rPr>
              <w:t>uczestnicy uzyskujący kwalifikacje po opuszczeniu programu</w:t>
            </w:r>
          </w:p>
        </w:tc>
        <w:tc>
          <w:tcPr>
            <w:tcW w:w="0" w:type="auto"/>
            <w:shd w:val="clear" w:color="auto" w:fill="auto"/>
          </w:tcPr>
          <w:p w14:paraId="598A1599" w14:textId="77777777" w:rsidR="008C5CFA" w:rsidRPr="00BA47B4" w:rsidRDefault="00E82A60" w:rsidP="00300A01">
            <w:pPr>
              <w:spacing w:before="0" w:after="0"/>
              <w:rPr>
                <w:sz w:val="12"/>
                <w:szCs w:val="12"/>
                <w:lang w:val="fr-BE"/>
              </w:rPr>
            </w:pPr>
            <w:r w:rsidRPr="00BA47B4">
              <w:rPr>
                <w:noProof/>
                <w:sz w:val="12"/>
                <w:szCs w:val="12"/>
                <w:lang w:val="fr-BE"/>
              </w:rPr>
              <w:t>Słabiej rozwinięte</w:t>
            </w:r>
          </w:p>
        </w:tc>
        <w:tc>
          <w:tcPr>
            <w:tcW w:w="0" w:type="auto"/>
          </w:tcPr>
          <w:p w14:paraId="216B6547" w14:textId="77777777" w:rsidR="008C5CFA" w:rsidRPr="00BA47B4" w:rsidRDefault="00E82A60" w:rsidP="00300A01">
            <w:pPr>
              <w:spacing w:before="0" w:after="0"/>
              <w:jc w:val="right"/>
              <w:rPr>
                <w:sz w:val="12"/>
                <w:szCs w:val="12"/>
                <w:lang w:val="fr-BE"/>
              </w:rPr>
            </w:pPr>
            <w:r w:rsidRPr="00BA47B4">
              <w:rPr>
                <w:noProof/>
                <w:sz w:val="12"/>
                <w:szCs w:val="12"/>
                <w:lang w:val="fr-BE"/>
              </w:rPr>
              <w:t>154,00</w:t>
            </w:r>
          </w:p>
        </w:tc>
        <w:tc>
          <w:tcPr>
            <w:tcW w:w="0" w:type="auto"/>
          </w:tcPr>
          <w:p w14:paraId="30190E57" w14:textId="77777777" w:rsidR="008C5CFA" w:rsidRPr="00BA47B4" w:rsidRDefault="00E82A60" w:rsidP="00300A01">
            <w:pPr>
              <w:spacing w:before="0" w:after="0"/>
              <w:jc w:val="right"/>
              <w:rPr>
                <w:sz w:val="12"/>
                <w:szCs w:val="12"/>
                <w:lang w:val="fr-BE"/>
              </w:rPr>
            </w:pPr>
            <w:r w:rsidRPr="00BA47B4">
              <w:rPr>
                <w:noProof/>
                <w:sz w:val="12"/>
                <w:szCs w:val="12"/>
                <w:lang w:val="fr-BE"/>
              </w:rPr>
              <w:t>188,00</w:t>
            </w:r>
          </w:p>
        </w:tc>
        <w:tc>
          <w:tcPr>
            <w:tcW w:w="0" w:type="auto"/>
          </w:tcPr>
          <w:p w14:paraId="4C47E643" w14:textId="77777777" w:rsidR="008C5CFA" w:rsidRPr="00BA47B4" w:rsidRDefault="00E82A60" w:rsidP="00300A01">
            <w:pPr>
              <w:spacing w:before="0" w:after="0"/>
              <w:jc w:val="right"/>
              <w:rPr>
                <w:sz w:val="12"/>
                <w:szCs w:val="12"/>
                <w:lang w:val="fr-BE"/>
              </w:rPr>
            </w:pPr>
            <w:r w:rsidRPr="00BA47B4">
              <w:rPr>
                <w:noProof/>
                <w:sz w:val="12"/>
                <w:szCs w:val="12"/>
                <w:lang w:val="fr-BE"/>
              </w:rPr>
              <w:t>119,00</w:t>
            </w:r>
          </w:p>
        </w:tc>
        <w:tc>
          <w:tcPr>
            <w:tcW w:w="0" w:type="auto"/>
          </w:tcPr>
          <w:p w14:paraId="7D597D31" w14:textId="77777777" w:rsidR="008C5CFA" w:rsidRPr="00BA47B4" w:rsidRDefault="00E82A60" w:rsidP="00300A01">
            <w:pPr>
              <w:spacing w:before="0" w:after="0"/>
              <w:jc w:val="right"/>
              <w:rPr>
                <w:sz w:val="12"/>
                <w:szCs w:val="12"/>
                <w:lang w:val="fr-BE"/>
              </w:rPr>
            </w:pPr>
            <w:r w:rsidRPr="00BA47B4">
              <w:rPr>
                <w:noProof/>
                <w:sz w:val="12"/>
                <w:szCs w:val="12"/>
                <w:lang w:val="fr-BE"/>
              </w:rPr>
              <w:t>159,00</w:t>
            </w:r>
          </w:p>
        </w:tc>
        <w:tc>
          <w:tcPr>
            <w:tcW w:w="0" w:type="auto"/>
          </w:tcPr>
          <w:p w14:paraId="6D24AD5F" w14:textId="77777777" w:rsidR="008C5CFA" w:rsidRPr="00BA47B4" w:rsidRDefault="00E82A60" w:rsidP="00300A01">
            <w:pPr>
              <w:spacing w:before="0" w:after="0"/>
              <w:jc w:val="right"/>
              <w:rPr>
                <w:sz w:val="12"/>
                <w:szCs w:val="12"/>
                <w:lang w:val="fr-BE"/>
              </w:rPr>
            </w:pPr>
            <w:r w:rsidRPr="00BA47B4">
              <w:rPr>
                <w:noProof/>
                <w:sz w:val="12"/>
                <w:szCs w:val="12"/>
                <w:lang w:val="fr-BE"/>
              </w:rPr>
              <w:t>1,00</w:t>
            </w:r>
          </w:p>
        </w:tc>
        <w:tc>
          <w:tcPr>
            <w:tcW w:w="0" w:type="auto"/>
          </w:tcPr>
          <w:p w14:paraId="331BF6FF"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52DF5440"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5CAFFD41"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669396EE"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47120D04"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r>
      <w:tr w:rsidR="006B2EC1" w14:paraId="523B32A2" w14:textId="77777777" w:rsidTr="0047688D">
        <w:tc>
          <w:tcPr>
            <w:tcW w:w="0" w:type="auto"/>
            <w:shd w:val="clear" w:color="auto" w:fill="auto"/>
          </w:tcPr>
          <w:p w14:paraId="40735AB2" w14:textId="77777777" w:rsidR="008C5CFA" w:rsidRPr="00BA47B4" w:rsidRDefault="00E82A60" w:rsidP="00300A01">
            <w:pPr>
              <w:spacing w:before="0" w:after="0"/>
              <w:rPr>
                <w:sz w:val="12"/>
                <w:szCs w:val="12"/>
                <w:lang w:val="fr-BE"/>
              </w:rPr>
            </w:pPr>
            <w:r w:rsidRPr="00BA47B4">
              <w:rPr>
                <w:noProof/>
                <w:sz w:val="12"/>
                <w:szCs w:val="12"/>
                <w:lang w:val="fr-BE"/>
              </w:rPr>
              <w:t>CR04</w:t>
            </w:r>
          </w:p>
        </w:tc>
        <w:tc>
          <w:tcPr>
            <w:tcW w:w="0" w:type="auto"/>
            <w:shd w:val="clear" w:color="auto" w:fill="auto"/>
          </w:tcPr>
          <w:p w14:paraId="246B3C1A" w14:textId="77777777" w:rsidR="008C5CFA" w:rsidRPr="00BA47B4" w:rsidRDefault="00E82A60" w:rsidP="00300A01">
            <w:pPr>
              <w:spacing w:before="0" w:after="0"/>
              <w:rPr>
                <w:sz w:val="12"/>
                <w:szCs w:val="12"/>
                <w:lang w:val="fr-BE"/>
              </w:rPr>
            </w:pPr>
            <w:r w:rsidRPr="00BA47B4">
              <w:rPr>
                <w:noProof/>
                <w:sz w:val="12"/>
                <w:szCs w:val="12"/>
                <w:lang w:val="fr-BE"/>
              </w:rPr>
              <w:t>uczestnicy pracujący, łącznie z prowadzącymi działalność na własny rachunek, po opuszczeniu programu</w:t>
            </w:r>
          </w:p>
        </w:tc>
        <w:tc>
          <w:tcPr>
            <w:tcW w:w="0" w:type="auto"/>
            <w:shd w:val="clear" w:color="auto" w:fill="auto"/>
          </w:tcPr>
          <w:p w14:paraId="40ED7854" w14:textId="77777777" w:rsidR="008C5CFA" w:rsidRPr="00BA47B4" w:rsidRDefault="00E82A60" w:rsidP="00300A01">
            <w:pPr>
              <w:spacing w:before="0" w:after="0"/>
              <w:rPr>
                <w:sz w:val="12"/>
                <w:szCs w:val="12"/>
                <w:lang w:val="fr-BE"/>
              </w:rPr>
            </w:pPr>
            <w:r w:rsidRPr="00BA47B4">
              <w:rPr>
                <w:noProof/>
                <w:sz w:val="12"/>
                <w:szCs w:val="12"/>
                <w:lang w:val="fr-BE"/>
              </w:rPr>
              <w:t>Słabiej rozwinięte</w:t>
            </w:r>
          </w:p>
        </w:tc>
        <w:tc>
          <w:tcPr>
            <w:tcW w:w="0" w:type="auto"/>
          </w:tcPr>
          <w:p w14:paraId="712E01E8" w14:textId="77777777" w:rsidR="008C5CFA" w:rsidRPr="00BA47B4" w:rsidRDefault="00E82A60" w:rsidP="00300A01">
            <w:pPr>
              <w:spacing w:before="0" w:after="0"/>
              <w:jc w:val="right"/>
              <w:rPr>
                <w:sz w:val="12"/>
                <w:szCs w:val="12"/>
                <w:lang w:val="fr-BE"/>
              </w:rPr>
            </w:pPr>
            <w:r w:rsidRPr="00BA47B4">
              <w:rPr>
                <w:noProof/>
                <w:sz w:val="12"/>
                <w:szCs w:val="12"/>
                <w:lang w:val="fr-BE"/>
              </w:rPr>
              <w:t>109,00</w:t>
            </w:r>
          </w:p>
        </w:tc>
        <w:tc>
          <w:tcPr>
            <w:tcW w:w="0" w:type="auto"/>
          </w:tcPr>
          <w:p w14:paraId="0D0C27DB" w14:textId="77777777" w:rsidR="008C5CFA" w:rsidRPr="00BA47B4" w:rsidRDefault="00E82A60" w:rsidP="00300A01">
            <w:pPr>
              <w:spacing w:before="0" w:after="0"/>
              <w:jc w:val="right"/>
              <w:rPr>
                <w:sz w:val="12"/>
                <w:szCs w:val="12"/>
                <w:lang w:val="fr-BE"/>
              </w:rPr>
            </w:pPr>
            <w:r w:rsidRPr="00BA47B4">
              <w:rPr>
                <w:noProof/>
                <w:sz w:val="12"/>
                <w:szCs w:val="12"/>
                <w:lang w:val="fr-BE"/>
              </w:rPr>
              <w:t>206,00</w:t>
            </w:r>
          </w:p>
        </w:tc>
        <w:tc>
          <w:tcPr>
            <w:tcW w:w="0" w:type="auto"/>
          </w:tcPr>
          <w:p w14:paraId="2661B8BA" w14:textId="77777777" w:rsidR="008C5CFA" w:rsidRPr="00BA47B4" w:rsidRDefault="00E82A60" w:rsidP="00300A01">
            <w:pPr>
              <w:spacing w:before="0" w:after="0"/>
              <w:jc w:val="right"/>
              <w:rPr>
                <w:sz w:val="12"/>
                <w:szCs w:val="12"/>
                <w:lang w:val="fr-BE"/>
              </w:rPr>
            </w:pPr>
            <w:r w:rsidRPr="00BA47B4">
              <w:rPr>
                <w:noProof/>
                <w:sz w:val="12"/>
                <w:szCs w:val="12"/>
                <w:lang w:val="fr-BE"/>
              </w:rPr>
              <w:t>50,00</w:t>
            </w:r>
          </w:p>
        </w:tc>
        <w:tc>
          <w:tcPr>
            <w:tcW w:w="0" w:type="auto"/>
          </w:tcPr>
          <w:p w14:paraId="0DF88BF1" w14:textId="77777777" w:rsidR="008C5CFA" w:rsidRPr="00BA47B4" w:rsidRDefault="00E82A60" w:rsidP="00300A01">
            <w:pPr>
              <w:spacing w:before="0" w:after="0"/>
              <w:jc w:val="right"/>
              <w:rPr>
                <w:sz w:val="12"/>
                <w:szCs w:val="12"/>
                <w:lang w:val="fr-BE"/>
              </w:rPr>
            </w:pPr>
            <w:r w:rsidRPr="00BA47B4">
              <w:rPr>
                <w:noProof/>
                <w:sz w:val="12"/>
                <w:szCs w:val="12"/>
                <w:lang w:val="fr-BE"/>
              </w:rPr>
              <w:t>84,00</w:t>
            </w:r>
          </w:p>
        </w:tc>
        <w:tc>
          <w:tcPr>
            <w:tcW w:w="0" w:type="auto"/>
          </w:tcPr>
          <w:p w14:paraId="131D6443" w14:textId="77777777" w:rsidR="008C5CFA" w:rsidRPr="00BA47B4" w:rsidRDefault="00E82A60" w:rsidP="00300A01">
            <w:pPr>
              <w:spacing w:before="0" w:after="0"/>
              <w:jc w:val="right"/>
              <w:rPr>
                <w:sz w:val="12"/>
                <w:szCs w:val="12"/>
                <w:lang w:val="fr-BE"/>
              </w:rPr>
            </w:pPr>
            <w:r w:rsidRPr="00BA47B4">
              <w:rPr>
                <w:noProof/>
                <w:sz w:val="12"/>
                <w:szCs w:val="12"/>
                <w:lang w:val="fr-BE"/>
              </w:rPr>
              <w:t>2,00</w:t>
            </w:r>
          </w:p>
        </w:tc>
        <w:tc>
          <w:tcPr>
            <w:tcW w:w="0" w:type="auto"/>
          </w:tcPr>
          <w:p w14:paraId="699C0B4B" w14:textId="77777777" w:rsidR="008C5CFA" w:rsidRPr="00BA47B4" w:rsidRDefault="00E82A60" w:rsidP="00300A01">
            <w:pPr>
              <w:spacing w:before="0" w:after="0"/>
              <w:jc w:val="right"/>
              <w:rPr>
                <w:sz w:val="12"/>
                <w:szCs w:val="12"/>
                <w:lang w:val="fr-BE"/>
              </w:rPr>
            </w:pPr>
            <w:r w:rsidRPr="00BA47B4">
              <w:rPr>
                <w:noProof/>
                <w:sz w:val="12"/>
                <w:szCs w:val="12"/>
                <w:lang w:val="fr-BE"/>
              </w:rPr>
              <w:t>2,00</w:t>
            </w:r>
          </w:p>
        </w:tc>
        <w:tc>
          <w:tcPr>
            <w:tcW w:w="0" w:type="auto"/>
          </w:tcPr>
          <w:p w14:paraId="226A3BDA"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6086DA7B"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30789B0B"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1DE0C03A"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r>
      <w:tr w:rsidR="006B2EC1" w14:paraId="3EF8ABE3" w14:textId="77777777" w:rsidTr="0047688D">
        <w:tc>
          <w:tcPr>
            <w:tcW w:w="0" w:type="auto"/>
            <w:shd w:val="clear" w:color="auto" w:fill="auto"/>
          </w:tcPr>
          <w:p w14:paraId="44124838" w14:textId="77777777" w:rsidR="008C5CFA" w:rsidRPr="00BA47B4" w:rsidRDefault="00E82A60" w:rsidP="00300A01">
            <w:pPr>
              <w:spacing w:before="0" w:after="0"/>
              <w:rPr>
                <w:sz w:val="12"/>
                <w:szCs w:val="12"/>
                <w:lang w:val="fr-BE"/>
              </w:rPr>
            </w:pPr>
            <w:r w:rsidRPr="00BA47B4">
              <w:rPr>
                <w:noProof/>
                <w:sz w:val="12"/>
                <w:szCs w:val="12"/>
                <w:lang w:val="fr-BE"/>
              </w:rPr>
              <w:t>CR05</w:t>
            </w:r>
          </w:p>
        </w:tc>
        <w:tc>
          <w:tcPr>
            <w:tcW w:w="0" w:type="auto"/>
            <w:shd w:val="clear" w:color="auto" w:fill="auto"/>
          </w:tcPr>
          <w:p w14:paraId="0C695E3E" w14:textId="77777777" w:rsidR="008C5CFA" w:rsidRPr="00BA47B4" w:rsidRDefault="00E82A60" w:rsidP="00300A01">
            <w:pPr>
              <w:spacing w:before="0" w:after="0"/>
              <w:rPr>
                <w:sz w:val="12"/>
                <w:szCs w:val="12"/>
                <w:lang w:val="fr-BE"/>
              </w:rPr>
            </w:pPr>
            <w:r w:rsidRPr="00BA47B4">
              <w:rPr>
                <w:noProof/>
                <w:sz w:val="12"/>
                <w:szCs w:val="12"/>
                <w:lang w:val="fr-BE"/>
              </w:rPr>
              <w:t>uczestnicy w niekorzystnej sytuacji społecznej poszukujący pracy, uczestniczący w kształceniu lub szkoleniu, zdobywający kwalifikacje lub pracujący (łącznie z prowadzącymi działalność na własny rachunek) po opuszczeniu programu</w:t>
            </w:r>
          </w:p>
        </w:tc>
        <w:tc>
          <w:tcPr>
            <w:tcW w:w="0" w:type="auto"/>
            <w:shd w:val="clear" w:color="auto" w:fill="auto"/>
          </w:tcPr>
          <w:p w14:paraId="41513874" w14:textId="77777777" w:rsidR="008C5CFA" w:rsidRPr="00BA47B4" w:rsidRDefault="00E82A60" w:rsidP="00300A01">
            <w:pPr>
              <w:spacing w:before="0" w:after="0"/>
              <w:rPr>
                <w:sz w:val="12"/>
                <w:szCs w:val="12"/>
                <w:lang w:val="fr-BE"/>
              </w:rPr>
            </w:pPr>
            <w:r w:rsidRPr="00BA47B4">
              <w:rPr>
                <w:noProof/>
                <w:sz w:val="12"/>
                <w:szCs w:val="12"/>
                <w:lang w:val="fr-BE"/>
              </w:rPr>
              <w:t>Słabiej rozwinięte</w:t>
            </w:r>
          </w:p>
        </w:tc>
        <w:tc>
          <w:tcPr>
            <w:tcW w:w="0" w:type="auto"/>
          </w:tcPr>
          <w:p w14:paraId="63EFA25D" w14:textId="77777777" w:rsidR="008C5CFA" w:rsidRPr="00BA47B4" w:rsidRDefault="00E82A60" w:rsidP="00300A01">
            <w:pPr>
              <w:spacing w:before="0" w:after="0"/>
              <w:jc w:val="right"/>
              <w:rPr>
                <w:sz w:val="12"/>
                <w:szCs w:val="12"/>
                <w:lang w:val="fr-BE"/>
              </w:rPr>
            </w:pPr>
            <w:r w:rsidRPr="00BA47B4">
              <w:rPr>
                <w:noProof/>
                <w:sz w:val="12"/>
                <w:szCs w:val="12"/>
                <w:lang w:val="fr-BE"/>
              </w:rPr>
              <w:t>145,00</w:t>
            </w:r>
          </w:p>
        </w:tc>
        <w:tc>
          <w:tcPr>
            <w:tcW w:w="0" w:type="auto"/>
          </w:tcPr>
          <w:p w14:paraId="7B34BD06" w14:textId="77777777" w:rsidR="008C5CFA" w:rsidRPr="00BA47B4" w:rsidRDefault="00E82A60" w:rsidP="00300A01">
            <w:pPr>
              <w:spacing w:before="0" w:after="0"/>
              <w:jc w:val="right"/>
              <w:rPr>
                <w:sz w:val="12"/>
                <w:szCs w:val="12"/>
                <w:lang w:val="fr-BE"/>
              </w:rPr>
            </w:pPr>
            <w:r w:rsidRPr="00BA47B4">
              <w:rPr>
                <w:noProof/>
                <w:sz w:val="12"/>
                <w:szCs w:val="12"/>
                <w:lang w:val="fr-BE"/>
              </w:rPr>
              <w:t>266,00</w:t>
            </w:r>
          </w:p>
        </w:tc>
        <w:tc>
          <w:tcPr>
            <w:tcW w:w="0" w:type="auto"/>
          </w:tcPr>
          <w:p w14:paraId="314476F5" w14:textId="77777777" w:rsidR="008C5CFA" w:rsidRPr="00BA47B4" w:rsidRDefault="00E82A60" w:rsidP="00300A01">
            <w:pPr>
              <w:spacing w:before="0" w:after="0"/>
              <w:jc w:val="right"/>
              <w:rPr>
                <w:sz w:val="12"/>
                <w:szCs w:val="12"/>
                <w:lang w:val="fr-BE"/>
              </w:rPr>
            </w:pPr>
            <w:r w:rsidRPr="00BA47B4">
              <w:rPr>
                <w:noProof/>
                <w:sz w:val="12"/>
                <w:szCs w:val="12"/>
                <w:lang w:val="fr-BE"/>
              </w:rPr>
              <w:t>91,00</w:t>
            </w:r>
          </w:p>
        </w:tc>
        <w:tc>
          <w:tcPr>
            <w:tcW w:w="0" w:type="auto"/>
          </w:tcPr>
          <w:p w14:paraId="2A945E83" w14:textId="77777777" w:rsidR="008C5CFA" w:rsidRPr="00BA47B4" w:rsidRDefault="00E82A60" w:rsidP="00300A01">
            <w:pPr>
              <w:spacing w:before="0" w:after="0"/>
              <w:jc w:val="right"/>
              <w:rPr>
                <w:sz w:val="12"/>
                <w:szCs w:val="12"/>
                <w:lang w:val="fr-BE"/>
              </w:rPr>
            </w:pPr>
            <w:r w:rsidRPr="00BA47B4">
              <w:rPr>
                <w:noProof/>
                <w:sz w:val="12"/>
                <w:szCs w:val="12"/>
                <w:lang w:val="fr-BE"/>
              </w:rPr>
              <w:t>117,00</w:t>
            </w:r>
          </w:p>
        </w:tc>
        <w:tc>
          <w:tcPr>
            <w:tcW w:w="0" w:type="auto"/>
          </w:tcPr>
          <w:p w14:paraId="18FA8256" w14:textId="77777777" w:rsidR="008C5CFA" w:rsidRPr="00BA47B4" w:rsidRDefault="00E82A60" w:rsidP="00300A01">
            <w:pPr>
              <w:spacing w:before="0" w:after="0"/>
              <w:jc w:val="right"/>
              <w:rPr>
                <w:sz w:val="12"/>
                <w:szCs w:val="12"/>
                <w:lang w:val="fr-BE"/>
              </w:rPr>
            </w:pPr>
            <w:r w:rsidRPr="00BA47B4">
              <w:rPr>
                <w:noProof/>
                <w:sz w:val="12"/>
                <w:szCs w:val="12"/>
                <w:lang w:val="fr-BE"/>
              </w:rPr>
              <w:t>1,00</w:t>
            </w:r>
          </w:p>
        </w:tc>
        <w:tc>
          <w:tcPr>
            <w:tcW w:w="0" w:type="auto"/>
          </w:tcPr>
          <w:p w14:paraId="5D66E04D"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4EB7D99E"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7E244E99"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51E8395E"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54EDB9AB"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r>
      <w:tr w:rsidR="006B2EC1" w14:paraId="278A206A" w14:textId="77777777" w:rsidTr="0047688D">
        <w:tc>
          <w:tcPr>
            <w:tcW w:w="0" w:type="auto"/>
            <w:shd w:val="clear" w:color="auto" w:fill="auto"/>
          </w:tcPr>
          <w:p w14:paraId="64E70A57" w14:textId="77777777" w:rsidR="008C5CFA" w:rsidRPr="00BA47B4" w:rsidRDefault="00E82A60" w:rsidP="00300A01">
            <w:pPr>
              <w:spacing w:before="0" w:after="0"/>
              <w:rPr>
                <w:sz w:val="12"/>
                <w:szCs w:val="12"/>
                <w:lang w:val="fr-BE"/>
              </w:rPr>
            </w:pPr>
            <w:r w:rsidRPr="00BA47B4">
              <w:rPr>
                <w:noProof/>
                <w:sz w:val="12"/>
                <w:szCs w:val="12"/>
                <w:lang w:val="fr-BE"/>
              </w:rPr>
              <w:t>CR06</w:t>
            </w:r>
          </w:p>
        </w:tc>
        <w:tc>
          <w:tcPr>
            <w:tcW w:w="0" w:type="auto"/>
            <w:shd w:val="clear" w:color="auto" w:fill="auto"/>
          </w:tcPr>
          <w:p w14:paraId="0E849482" w14:textId="77777777" w:rsidR="008C5CFA" w:rsidRPr="00BA47B4" w:rsidRDefault="00E82A60" w:rsidP="00300A01">
            <w:pPr>
              <w:spacing w:before="0" w:after="0"/>
              <w:rPr>
                <w:sz w:val="12"/>
                <w:szCs w:val="12"/>
                <w:lang w:val="fr-BE"/>
              </w:rPr>
            </w:pPr>
            <w:r w:rsidRPr="00BA47B4">
              <w:rPr>
                <w:noProof/>
                <w:sz w:val="12"/>
                <w:szCs w:val="12"/>
                <w:lang w:val="fr-BE"/>
              </w:rPr>
              <w:t>uczestnicy pracujący, łącznie z prowadzącymi działalność na własny rachunek, sześć miesięcy po opuszczeniu programu</w:t>
            </w:r>
          </w:p>
        </w:tc>
        <w:tc>
          <w:tcPr>
            <w:tcW w:w="0" w:type="auto"/>
            <w:shd w:val="clear" w:color="auto" w:fill="auto"/>
          </w:tcPr>
          <w:p w14:paraId="0F41FE18" w14:textId="77777777" w:rsidR="008C5CFA" w:rsidRPr="00BA47B4" w:rsidRDefault="00E82A60" w:rsidP="00300A01">
            <w:pPr>
              <w:spacing w:before="0" w:after="0"/>
              <w:rPr>
                <w:sz w:val="12"/>
                <w:szCs w:val="12"/>
                <w:lang w:val="fr-BE"/>
              </w:rPr>
            </w:pPr>
            <w:r w:rsidRPr="00BA47B4">
              <w:rPr>
                <w:noProof/>
                <w:sz w:val="12"/>
                <w:szCs w:val="12"/>
                <w:lang w:val="fr-BE"/>
              </w:rPr>
              <w:t>Słabiej rozwinięte</w:t>
            </w:r>
          </w:p>
        </w:tc>
        <w:tc>
          <w:tcPr>
            <w:tcW w:w="0" w:type="auto"/>
          </w:tcPr>
          <w:p w14:paraId="71BDA167" w14:textId="77777777" w:rsidR="008C5CFA" w:rsidRPr="00BA47B4" w:rsidRDefault="00E82A60" w:rsidP="00300A01">
            <w:pPr>
              <w:spacing w:before="0" w:after="0"/>
              <w:jc w:val="right"/>
              <w:rPr>
                <w:sz w:val="12"/>
                <w:szCs w:val="12"/>
                <w:lang w:val="fr-BE"/>
              </w:rPr>
            </w:pPr>
            <w:r w:rsidRPr="00BA47B4">
              <w:rPr>
                <w:noProof/>
                <w:sz w:val="12"/>
                <w:szCs w:val="12"/>
                <w:lang w:val="fr-BE"/>
              </w:rPr>
              <w:t>180,00</w:t>
            </w:r>
          </w:p>
        </w:tc>
        <w:tc>
          <w:tcPr>
            <w:tcW w:w="0" w:type="auto"/>
          </w:tcPr>
          <w:p w14:paraId="12E5DF96" w14:textId="77777777" w:rsidR="008C5CFA" w:rsidRPr="00BA47B4" w:rsidRDefault="00E82A60" w:rsidP="00300A01">
            <w:pPr>
              <w:spacing w:before="0" w:after="0"/>
              <w:jc w:val="right"/>
              <w:rPr>
                <w:sz w:val="12"/>
                <w:szCs w:val="12"/>
                <w:lang w:val="fr-BE"/>
              </w:rPr>
            </w:pPr>
            <w:r w:rsidRPr="00BA47B4">
              <w:rPr>
                <w:noProof/>
                <w:sz w:val="12"/>
                <w:szCs w:val="12"/>
                <w:lang w:val="fr-BE"/>
              </w:rPr>
              <w:t>274,00</w:t>
            </w:r>
          </w:p>
        </w:tc>
        <w:tc>
          <w:tcPr>
            <w:tcW w:w="0" w:type="auto"/>
          </w:tcPr>
          <w:p w14:paraId="17BF3804"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1DD49F9D"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00FBF952"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5D986381"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3A2E25DB"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176F0745"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1976AB33"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789281CA"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r>
      <w:tr w:rsidR="006B2EC1" w14:paraId="570B538B" w14:textId="77777777" w:rsidTr="0047688D">
        <w:tc>
          <w:tcPr>
            <w:tcW w:w="0" w:type="auto"/>
            <w:shd w:val="clear" w:color="auto" w:fill="auto"/>
          </w:tcPr>
          <w:p w14:paraId="790A4A10" w14:textId="77777777" w:rsidR="008C5CFA" w:rsidRPr="00BA47B4" w:rsidRDefault="00E82A60" w:rsidP="00300A01">
            <w:pPr>
              <w:spacing w:before="0" w:after="0"/>
              <w:rPr>
                <w:sz w:val="12"/>
                <w:szCs w:val="12"/>
                <w:lang w:val="fr-BE"/>
              </w:rPr>
            </w:pPr>
            <w:r w:rsidRPr="00BA47B4">
              <w:rPr>
                <w:noProof/>
                <w:sz w:val="12"/>
                <w:szCs w:val="12"/>
                <w:lang w:val="fr-BE"/>
              </w:rPr>
              <w:t>CR07</w:t>
            </w:r>
          </w:p>
        </w:tc>
        <w:tc>
          <w:tcPr>
            <w:tcW w:w="0" w:type="auto"/>
            <w:shd w:val="clear" w:color="auto" w:fill="auto"/>
          </w:tcPr>
          <w:p w14:paraId="1AC83390" w14:textId="77777777" w:rsidR="008C5CFA" w:rsidRPr="00BA47B4" w:rsidRDefault="00E82A60" w:rsidP="00300A01">
            <w:pPr>
              <w:spacing w:before="0" w:after="0"/>
              <w:rPr>
                <w:sz w:val="12"/>
                <w:szCs w:val="12"/>
                <w:lang w:val="fr-BE"/>
              </w:rPr>
            </w:pPr>
            <w:r w:rsidRPr="00BA47B4">
              <w:rPr>
                <w:noProof/>
                <w:sz w:val="12"/>
                <w:szCs w:val="12"/>
                <w:lang w:val="fr-BE"/>
              </w:rPr>
              <w:t>uczestnicy znajdujący się w lepszej sytuacji na rynku pracy sześć miesięcy po opuszczeniu programu</w:t>
            </w:r>
          </w:p>
        </w:tc>
        <w:tc>
          <w:tcPr>
            <w:tcW w:w="0" w:type="auto"/>
            <w:shd w:val="clear" w:color="auto" w:fill="auto"/>
          </w:tcPr>
          <w:p w14:paraId="0D6ED696" w14:textId="77777777" w:rsidR="008C5CFA" w:rsidRPr="00BA47B4" w:rsidRDefault="00E82A60" w:rsidP="00300A01">
            <w:pPr>
              <w:spacing w:before="0" w:after="0"/>
              <w:rPr>
                <w:sz w:val="12"/>
                <w:szCs w:val="12"/>
                <w:lang w:val="fr-BE"/>
              </w:rPr>
            </w:pPr>
            <w:r w:rsidRPr="00BA47B4">
              <w:rPr>
                <w:noProof/>
                <w:sz w:val="12"/>
                <w:szCs w:val="12"/>
                <w:lang w:val="fr-BE"/>
              </w:rPr>
              <w:t>Słabiej rozwinięte</w:t>
            </w:r>
          </w:p>
        </w:tc>
        <w:tc>
          <w:tcPr>
            <w:tcW w:w="0" w:type="auto"/>
          </w:tcPr>
          <w:p w14:paraId="702ADF9A" w14:textId="77777777" w:rsidR="008C5CFA" w:rsidRPr="00BA47B4" w:rsidRDefault="00E82A60" w:rsidP="00300A01">
            <w:pPr>
              <w:spacing w:before="0" w:after="0"/>
              <w:jc w:val="right"/>
              <w:rPr>
                <w:sz w:val="12"/>
                <w:szCs w:val="12"/>
                <w:lang w:val="fr-BE"/>
              </w:rPr>
            </w:pPr>
            <w:r w:rsidRPr="00BA47B4">
              <w:rPr>
                <w:noProof/>
                <w:sz w:val="12"/>
                <w:szCs w:val="12"/>
                <w:lang w:val="fr-BE"/>
              </w:rPr>
              <w:t>1,00</w:t>
            </w:r>
          </w:p>
        </w:tc>
        <w:tc>
          <w:tcPr>
            <w:tcW w:w="0" w:type="auto"/>
          </w:tcPr>
          <w:p w14:paraId="37D1101B" w14:textId="77777777" w:rsidR="008C5CFA" w:rsidRPr="00BA47B4" w:rsidRDefault="00E82A60" w:rsidP="00300A01">
            <w:pPr>
              <w:spacing w:before="0" w:after="0"/>
              <w:jc w:val="right"/>
              <w:rPr>
                <w:sz w:val="12"/>
                <w:szCs w:val="12"/>
                <w:lang w:val="fr-BE"/>
              </w:rPr>
            </w:pPr>
            <w:r w:rsidRPr="00BA47B4">
              <w:rPr>
                <w:noProof/>
                <w:sz w:val="12"/>
                <w:szCs w:val="12"/>
                <w:lang w:val="fr-BE"/>
              </w:rPr>
              <w:t>3,00</w:t>
            </w:r>
          </w:p>
        </w:tc>
        <w:tc>
          <w:tcPr>
            <w:tcW w:w="0" w:type="auto"/>
          </w:tcPr>
          <w:p w14:paraId="6A63AAB5"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0C98C5DD"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5BEB562C"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6E55BA3C"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69D69158"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6792DF6B"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0891EEC8"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61821924"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r>
      <w:tr w:rsidR="006B2EC1" w14:paraId="4F6D341B" w14:textId="77777777" w:rsidTr="0047688D">
        <w:tc>
          <w:tcPr>
            <w:tcW w:w="0" w:type="auto"/>
            <w:shd w:val="clear" w:color="auto" w:fill="auto"/>
          </w:tcPr>
          <w:p w14:paraId="6890D0B0" w14:textId="77777777" w:rsidR="008C5CFA" w:rsidRPr="00BA47B4" w:rsidRDefault="00E82A60" w:rsidP="00300A01">
            <w:pPr>
              <w:spacing w:before="0" w:after="0"/>
              <w:rPr>
                <w:sz w:val="12"/>
                <w:szCs w:val="12"/>
                <w:lang w:val="fr-BE"/>
              </w:rPr>
            </w:pPr>
            <w:r w:rsidRPr="00BA47B4">
              <w:rPr>
                <w:noProof/>
                <w:sz w:val="12"/>
                <w:szCs w:val="12"/>
                <w:lang w:val="fr-BE"/>
              </w:rPr>
              <w:t>CR08</w:t>
            </w:r>
          </w:p>
        </w:tc>
        <w:tc>
          <w:tcPr>
            <w:tcW w:w="0" w:type="auto"/>
            <w:shd w:val="clear" w:color="auto" w:fill="auto"/>
          </w:tcPr>
          <w:p w14:paraId="16A2DDEF" w14:textId="77777777" w:rsidR="008C5CFA" w:rsidRPr="00BA47B4" w:rsidRDefault="00E82A60" w:rsidP="00300A01">
            <w:pPr>
              <w:spacing w:before="0" w:after="0"/>
              <w:rPr>
                <w:sz w:val="12"/>
                <w:szCs w:val="12"/>
                <w:lang w:val="fr-BE"/>
              </w:rPr>
            </w:pPr>
            <w:r w:rsidRPr="00BA47B4">
              <w:rPr>
                <w:noProof/>
                <w:sz w:val="12"/>
                <w:szCs w:val="12"/>
                <w:lang w:val="fr-BE"/>
              </w:rPr>
              <w:t>uczestnicy powyżej 54 roku życia, pracujący, łącznie z prowadzącymi działalność na własny rachunek, sześć miesięcy po opuszczeniu programu</w:t>
            </w:r>
          </w:p>
        </w:tc>
        <w:tc>
          <w:tcPr>
            <w:tcW w:w="0" w:type="auto"/>
            <w:shd w:val="clear" w:color="auto" w:fill="auto"/>
          </w:tcPr>
          <w:p w14:paraId="0128E62E" w14:textId="77777777" w:rsidR="008C5CFA" w:rsidRPr="00BA47B4" w:rsidRDefault="00E82A60" w:rsidP="00300A01">
            <w:pPr>
              <w:spacing w:before="0" w:after="0"/>
              <w:rPr>
                <w:sz w:val="12"/>
                <w:szCs w:val="12"/>
                <w:lang w:val="fr-BE"/>
              </w:rPr>
            </w:pPr>
            <w:r w:rsidRPr="00BA47B4">
              <w:rPr>
                <w:noProof/>
                <w:sz w:val="12"/>
                <w:szCs w:val="12"/>
                <w:lang w:val="fr-BE"/>
              </w:rPr>
              <w:t>Słabiej rozwinięte</w:t>
            </w:r>
          </w:p>
        </w:tc>
        <w:tc>
          <w:tcPr>
            <w:tcW w:w="0" w:type="auto"/>
          </w:tcPr>
          <w:p w14:paraId="191329B6" w14:textId="77777777" w:rsidR="008C5CFA" w:rsidRPr="00BA47B4" w:rsidRDefault="00E82A60" w:rsidP="00300A01">
            <w:pPr>
              <w:spacing w:before="0" w:after="0"/>
              <w:jc w:val="right"/>
              <w:rPr>
                <w:sz w:val="12"/>
                <w:szCs w:val="12"/>
                <w:lang w:val="fr-BE"/>
              </w:rPr>
            </w:pPr>
            <w:r w:rsidRPr="00BA47B4">
              <w:rPr>
                <w:noProof/>
                <w:sz w:val="12"/>
                <w:szCs w:val="12"/>
                <w:lang w:val="fr-BE"/>
              </w:rPr>
              <w:t>11,00</w:t>
            </w:r>
          </w:p>
        </w:tc>
        <w:tc>
          <w:tcPr>
            <w:tcW w:w="0" w:type="auto"/>
          </w:tcPr>
          <w:p w14:paraId="0F33EB09" w14:textId="77777777" w:rsidR="008C5CFA" w:rsidRPr="00BA47B4" w:rsidRDefault="00E82A60" w:rsidP="00300A01">
            <w:pPr>
              <w:spacing w:before="0" w:after="0"/>
              <w:jc w:val="right"/>
              <w:rPr>
                <w:sz w:val="12"/>
                <w:szCs w:val="12"/>
                <w:lang w:val="fr-BE"/>
              </w:rPr>
            </w:pPr>
            <w:r w:rsidRPr="00BA47B4">
              <w:rPr>
                <w:noProof/>
                <w:sz w:val="12"/>
                <w:szCs w:val="12"/>
                <w:lang w:val="fr-BE"/>
              </w:rPr>
              <w:t>11,00</w:t>
            </w:r>
          </w:p>
        </w:tc>
        <w:tc>
          <w:tcPr>
            <w:tcW w:w="0" w:type="auto"/>
          </w:tcPr>
          <w:p w14:paraId="55CC74EC"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1FAE7038"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0213D47D"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4DCB5F1B"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0E0C6249"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0C233BFA"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3EC094CD"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7D19520A"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r>
      <w:tr w:rsidR="006B2EC1" w14:paraId="72B39A16" w14:textId="77777777" w:rsidTr="0047688D">
        <w:tc>
          <w:tcPr>
            <w:tcW w:w="0" w:type="auto"/>
            <w:shd w:val="clear" w:color="auto" w:fill="auto"/>
          </w:tcPr>
          <w:p w14:paraId="2B74CDFF" w14:textId="77777777" w:rsidR="008C5CFA" w:rsidRPr="00BA47B4" w:rsidRDefault="00E82A60" w:rsidP="00300A01">
            <w:pPr>
              <w:spacing w:before="0" w:after="0"/>
              <w:rPr>
                <w:sz w:val="12"/>
                <w:szCs w:val="12"/>
                <w:lang w:val="fr-BE"/>
              </w:rPr>
            </w:pPr>
            <w:r w:rsidRPr="00BA47B4">
              <w:rPr>
                <w:noProof/>
                <w:sz w:val="12"/>
                <w:szCs w:val="12"/>
                <w:lang w:val="fr-BE"/>
              </w:rPr>
              <w:t>CR09</w:t>
            </w:r>
          </w:p>
        </w:tc>
        <w:tc>
          <w:tcPr>
            <w:tcW w:w="0" w:type="auto"/>
            <w:shd w:val="clear" w:color="auto" w:fill="auto"/>
          </w:tcPr>
          <w:p w14:paraId="3B0F6F7A" w14:textId="77777777" w:rsidR="008C5CFA" w:rsidRPr="00BA47B4" w:rsidRDefault="00E82A60" w:rsidP="00300A01">
            <w:pPr>
              <w:spacing w:before="0" w:after="0"/>
              <w:rPr>
                <w:sz w:val="12"/>
                <w:szCs w:val="12"/>
                <w:lang w:val="fr-BE"/>
              </w:rPr>
            </w:pPr>
            <w:r w:rsidRPr="00BA47B4">
              <w:rPr>
                <w:noProof/>
                <w:sz w:val="12"/>
                <w:szCs w:val="12"/>
                <w:lang w:val="fr-BE"/>
              </w:rPr>
              <w:t>uczestnicy w niekorzystnej sytuacji społecznej, pracujący, łącznie z prowadzącymi działalność na własny rachunek, sześć miesięcy po opuszczeniu programu</w:t>
            </w:r>
          </w:p>
        </w:tc>
        <w:tc>
          <w:tcPr>
            <w:tcW w:w="0" w:type="auto"/>
            <w:shd w:val="clear" w:color="auto" w:fill="auto"/>
          </w:tcPr>
          <w:p w14:paraId="5A346BDE" w14:textId="77777777" w:rsidR="008C5CFA" w:rsidRPr="00BA47B4" w:rsidRDefault="00E82A60" w:rsidP="00300A01">
            <w:pPr>
              <w:spacing w:before="0" w:after="0"/>
              <w:rPr>
                <w:sz w:val="12"/>
                <w:szCs w:val="12"/>
                <w:lang w:val="fr-BE"/>
              </w:rPr>
            </w:pPr>
            <w:r w:rsidRPr="00BA47B4">
              <w:rPr>
                <w:noProof/>
                <w:sz w:val="12"/>
                <w:szCs w:val="12"/>
                <w:lang w:val="fr-BE"/>
              </w:rPr>
              <w:t>Słabiej rozwinięte</w:t>
            </w:r>
          </w:p>
        </w:tc>
        <w:tc>
          <w:tcPr>
            <w:tcW w:w="0" w:type="auto"/>
          </w:tcPr>
          <w:p w14:paraId="281B079B" w14:textId="77777777" w:rsidR="008C5CFA" w:rsidRPr="00BA47B4" w:rsidRDefault="00E82A60" w:rsidP="00300A01">
            <w:pPr>
              <w:spacing w:before="0" w:after="0"/>
              <w:jc w:val="right"/>
              <w:rPr>
                <w:sz w:val="12"/>
                <w:szCs w:val="12"/>
                <w:lang w:val="fr-BE"/>
              </w:rPr>
            </w:pPr>
            <w:r w:rsidRPr="00BA47B4">
              <w:rPr>
                <w:noProof/>
                <w:sz w:val="12"/>
                <w:szCs w:val="12"/>
                <w:lang w:val="fr-BE"/>
              </w:rPr>
              <w:t>45,00</w:t>
            </w:r>
          </w:p>
        </w:tc>
        <w:tc>
          <w:tcPr>
            <w:tcW w:w="0" w:type="auto"/>
          </w:tcPr>
          <w:p w14:paraId="2FFF84A0" w14:textId="77777777" w:rsidR="008C5CFA" w:rsidRPr="00BA47B4" w:rsidRDefault="00E82A60" w:rsidP="00300A01">
            <w:pPr>
              <w:spacing w:before="0" w:after="0"/>
              <w:jc w:val="right"/>
              <w:rPr>
                <w:sz w:val="12"/>
                <w:szCs w:val="12"/>
                <w:lang w:val="fr-BE"/>
              </w:rPr>
            </w:pPr>
            <w:r w:rsidRPr="00BA47B4">
              <w:rPr>
                <w:noProof/>
                <w:sz w:val="12"/>
                <w:szCs w:val="12"/>
                <w:lang w:val="fr-BE"/>
              </w:rPr>
              <w:t>89,00</w:t>
            </w:r>
          </w:p>
        </w:tc>
        <w:tc>
          <w:tcPr>
            <w:tcW w:w="0" w:type="auto"/>
          </w:tcPr>
          <w:p w14:paraId="788FB441"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3C03226A"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5F4C1FA3"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066695F9"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28941832"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54710C7B"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0FF8AE1E"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523C69CC"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r>
    </w:tbl>
    <w:p w14:paraId="6F2B3C2B" w14:textId="77777777" w:rsidR="008C5CFA" w:rsidRPr="00530285" w:rsidRDefault="008C5CFA" w:rsidP="00300A01">
      <w:pPr>
        <w:keepNext/>
        <w:spacing w:before="0" w:after="0"/>
        <w:rPr>
          <w:sz w:val="20"/>
          <w:szCs w:val="20"/>
        </w:rPr>
      </w:pPr>
    </w:p>
    <w:p w14:paraId="68B03953" w14:textId="77777777" w:rsidR="008C5CFA" w:rsidRDefault="00E82A60" w:rsidP="00300A01">
      <w:pPr>
        <w:spacing w:before="0" w:after="0"/>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2"/>
        <w:gridCol w:w="12842"/>
      </w:tblGrid>
      <w:tr w:rsidR="006B2EC1" w14:paraId="1337E673" w14:textId="77777777" w:rsidTr="0047688D">
        <w:tc>
          <w:tcPr>
            <w:tcW w:w="0" w:type="auto"/>
            <w:shd w:val="clear" w:color="auto" w:fill="auto"/>
          </w:tcPr>
          <w:p w14:paraId="4B942129" w14:textId="77777777" w:rsidR="008C5CFA" w:rsidRPr="002124FC" w:rsidRDefault="00E82A60" w:rsidP="00300A01">
            <w:pPr>
              <w:spacing w:before="0" w:after="0"/>
              <w:rPr>
                <w:sz w:val="20"/>
                <w:szCs w:val="20"/>
                <w:lang w:val="fr-BE"/>
              </w:rPr>
            </w:pPr>
            <w:r>
              <w:rPr>
                <w:lang w:val="fr-BE"/>
              </w:rPr>
              <w:lastRenderedPageBreak/>
              <w:br w:type="page"/>
            </w:r>
            <w:r>
              <w:rPr>
                <w:lang w:val="fr-BE"/>
              </w:rPr>
              <w:br w:type="page"/>
            </w:r>
            <w:r w:rsidRPr="002124FC">
              <w:rPr>
                <w:noProof/>
                <w:sz w:val="20"/>
                <w:szCs w:val="20"/>
                <w:lang w:val="fr-BE"/>
              </w:rPr>
              <w:t>Oś priorytetowa</w:t>
            </w:r>
          </w:p>
        </w:tc>
        <w:tc>
          <w:tcPr>
            <w:tcW w:w="0" w:type="auto"/>
            <w:shd w:val="clear" w:color="auto" w:fill="auto"/>
          </w:tcPr>
          <w:p w14:paraId="0CC8ECFA" w14:textId="77777777" w:rsidR="008C5CFA" w:rsidRPr="002124FC" w:rsidRDefault="00E82A60" w:rsidP="00300A01">
            <w:pPr>
              <w:spacing w:before="0" w:after="0"/>
              <w:rPr>
                <w:sz w:val="20"/>
                <w:szCs w:val="20"/>
                <w:lang w:val="fr-BE"/>
              </w:rPr>
            </w:pPr>
            <w:r w:rsidRPr="002124FC">
              <w:rPr>
                <w:noProof/>
                <w:sz w:val="20"/>
                <w:szCs w:val="20"/>
                <w:lang w:val="fr-BE"/>
              </w:rPr>
              <w:t>9</w:t>
            </w:r>
            <w:r w:rsidRPr="002124FC">
              <w:rPr>
                <w:sz w:val="20"/>
                <w:szCs w:val="20"/>
                <w:lang w:val="fr-BE"/>
              </w:rPr>
              <w:t xml:space="preserve"> - </w:t>
            </w:r>
            <w:r w:rsidRPr="002124FC">
              <w:rPr>
                <w:noProof/>
                <w:sz w:val="20"/>
                <w:szCs w:val="20"/>
                <w:lang w:val="fr-BE"/>
              </w:rPr>
              <w:t>Włączenie społeczne i walka z ubóstwem</w:t>
            </w:r>
          </w:p>
        </w:tc>
      </w:tr>
      <w:tr w:rsidR="006B2EC1" w14:paraId="496CBB7D" w14:textId="77777777" w:rsidTr="0047688D">
        <w:tc>
          <w:tcPr>
            <w:tcW w:w="0" w:type="auto"/>
            <w:shd w:val="clear" w:color="auto" w:fill="auto"/>
          </w:tcPr>
          <w:p w14:paraId="62908305" w14:textId="77777777" w:rsidR="008C5CFA" w:rsidRPr="002124FC" w:rsidRDefault="00E82A60"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14:paraId="5CFF4E53" w14:textId="77777777" w:rsidR="008C5CFA" w:rsidRPr="002124FC" w:rsidRDefault="00E82A60" w:rsidP="00300A01">
            <w:pPr>
              <w:spacing w:before="0" w:after="0"/>
              <w:rPr>
                <w:sz w:val="20"/>
                <w:szCs w:val="20"/>
                <w:lang w:val="fr-BE"/>
              </w:rPr>
            </w:pPr>
            <w:r w:rsidRPr="002124FC">
              <w:rPr>
                <w:noProof/>
                <w:sz w:val="20"/>
                <w:szCs w:val="20"/>
                <w:lang w:val="fr-BE"/>
              </w:rPr>
              <w:t>9i</w:t>
            </w:r>
            <w:r w:rsidRPr="002124FC">
              <w:rPr>
                <w:sz w:val="20"/>
                <w:szCs w:val="20"/>
                <w:lang w:val="fr-BE"/>
              </w:rPr>
              <w:t xml:space="preserve"> - </w:t>
            </w:r>
            <w:r w:rsidRPr="002124FC">
              <w:rPr>
                <w:noProof/>
                <w:sz w:val="20"/>
                <w:szCs w:val="20"/>
                <w:lang w:val="fr-BE"/>
              </w:rPr>
              <w:t>Aktywne włączenie, w tym z myślą o promowaniu równych szans oraz aktywnego uczestnictwa i zwiększaniu szans na zatrudnienie</w:t>
            </w:r>
          </w:p>
        </w:tc>
      </w:tr>
    </w:tbl>
    <w:p w14:paraId="6B61957B" w14:textId="77777777" w:rsidR="008C5CFA" w:rsidRPr="00920B4D" w:rsidRDefault="008C5CFA" w:rsidP="00300A01">
      <w:pPr>
        <w:spacing w:before="0" w:after="0"/>
        <w:rPr>
          <w:lang w:val="fr-BE"/>
        </w:rPr>
      </w:pPr>
    </w:p>
    <w:p w14:paraId="19B07F2E" w14:textId="77777777" w:rsidR="008C5CFA" w:rsidRPr="008E457C" w:rsidRDefault="00E82A60" w:rsidP="005272C2">
      <w:pPr>
        <w:pStyle w:val="Nagwek2"/>
        <w:spacing w:before="0" w:after="0"/>
        <w:rPr>
          <w:lang w:val="fr-BE"/>
        </w:rPr>
      </w:pPr>
      <w:bookmarkStart w:id="68" w:name="_Toc46391752"/>
      <w:r w:rsidRPr="008E457C">
        <w:rPr>
          <w:noProof/>
          <w:lang w:val="fr-BE"/>
        </w:rPr>
        <w:t>Tabela 2C</w:t>
      </w:r>
      <w:r w:rsidRPr="008E457C">
        <w:rPr>
          <w:lang w:val="fr-BE"/>
        </w:rPr>
        <w:t xml:space="preserve"> : </w:t>
      </w:r>
      <w:r w:rsidRPr="008E457C">
        <w:rPr>
          <w:noProof/>
          <w:lang w:val="fr-BE"/>
        </w:rPr>
        <w:t>Specyficzne dla programu wskaźniki rezultatu dla EFS oraz Inicjatywy na rzecz zatrudnienia ludzi młodych</w:t>
      </w:r>
      <w:bookmarkEnd w:id="68"/>
    </w:p>
    <w:p w14:paraId="230BC5FA"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64"/>
        <w:gridCol w:w="3567"/>
        <w:gridCol w:w="712"/>
        <w:gridCol w:w="975"/>
        <w:gridCol w:w="1680"/>
        <w:gridCol w:w="1496"/>
        <w:gridCol w:w="448"/>
        <w:gridCol w:w="564"/>
        <w:gridCol w:w="453"/>
        <w:gridCol w:w="448"/>
        <w:gridCol w:w="564"/>
        <w:gridCol w:w="453"/>
        <w:gridCol w:w="464"/>
        <w:gridCol w:w="564"/>
        <w:gridCol w:w="453"/>
        <w:gridCol w:w="464"/>
        <w:gridCol w:w="564"/>
        <w:gridCol w:w="453"/>
        <w:gridCol w:w="598"/>
      </w:tblGrid>
      <w:tr w:rsidR="006B2EC1" w14:paraId="6083B28E" w14:textId="77777777" w:rsidTr="0047688D">
        <w:trPr>
          <w:tblHeader/>
        </w:trPr>
        <w:tc>
          <w:tcPr>
            <w:tcW w:w="0" w:type="auto"/>
            <w:shd w:val="clear" w:color="auto" w:fill="auto"/>
          </w:tcPr>
          <w:p w14:paraId="15B6DF7D" w14:textId="77777777" w:rsidR="008C5CFA" w:rsidRPr="00601E29" w:rsidRDefault="00E82A60" w:rsidP="00300A01">
            <w:pPr>
              <w:spacing w:before="0" w:after="0"/>
              <w:rPr>
                <w:b/>
                <w:sz w:val="10"/>
                <w:szCs w:val="10"/>
                <w:lang w:val="fr-BE"/>
              </w:rPr>
            </w:pPr>
            <w:r w:rsidRPr="00601E29">
              <w:rPr>
                <w:b/>
                <w:noProof/>
                <w:sz w:val="10"/>
                <w:szCs w:val="10"/>
                <w:lang w:val="fr-BE"/>
              </w:rPr>
              <w:t>ID</w:t>
            </w:r>
          </w:p>
        </w:tc>
        <w:tc>
          <w:tcPr>
            <w:tcW w:w="0" w:type="auto"/>
            <w:shd w:val="clear" w:color="auto" w:fill="auto"/>
          </w:tcPr>
          <w:p w14:paraId="23A885D2" w14:textId="77777777" w:rsidR="008C5CFA" w:rsidRPr="00601E29" w:rsidRDefault="00E82A60" w:rsidP="00300A01">
            <w:pPr>
              <w:spacing w:before="0" w:after="0"/>
              <w:rPr>
                <w:b/>
                <w:sz w:val="10"/>
                <w:szCs w:val="10"/>
                <w:lang w:val="fr-BE"/>
              </w:rPr>
            </w:pPr>
            <w:r w:rsidRPr="00601E29">
              <w:rPr>
                <w:b/>
                <w:noProof/>
                <w:sz w:val="10"/>
                <w:szCs w:val="10"/>
                <w:lang w:val="fr-BE"/>
              </w:rPr>
              <w:t>Wskaźnik</w:t>
            </w:r>
          </w:p>
        </w:tc>
        <w:tc>
          <w:tcPr>
            <w:tcW w:w="0" w:type="auto"/>
            <w:shd w:val="clear" w:color="auto" w:fill="auto"/>
          </w:tcPr>
          <w:p w14:paraId="132280BD" w14:textId="77777777" w:rsidR="008C5CFA" w:rsidRPr="00601E29" w:rsidRDefault="00E82A60" w:rsidP="00300A01">
            <w:pPr>
              <w:spacing w:before="0" w:after="0"/>
              <w:rPr>
                <w:b/>
                <w:sz w:val="10"/>
                <w:szCs w:val="10"/>
                <w:lang w:val="fr-BE"/>
              </w:rPr>
            </w:pPr>
            <w:r w:rsidRPr="00601E29">
              <w:rPr>
                <w:b/>
                <w:noProof/>
                <w:sz w:val="10"/>
                <w:szCs w:val="10"/>
                <w:lang w:val="fr-BE"/>
              </w:rPr>
              <w:t>Kategoria regionu</w:t>
            </w:r>
          </w:p>
        </w:tc>
        <w:tc>
          <w:tcPr>
            <w:tcW w:w="0" w:type="auto"/>
            <w:shd w:val="clear" w:color="auto" w:fill="auto"/>
          </w:tcPr>
          <w:p w14:paraId="2DB19606" w14:textId="77777777" w:rsidR="008C5CFA" w:rsidRPr="00601E29" w:rsidRDefault="00E82A60" w:rsidP="00300A01">
            <w:pPr>
              <w:spacing w:before="0" w:after="0"/>
              <w:rPr>
                <w:b/>
                <w:sz w:val="10"/>
                <w:szCs w:val="10"/>
                <w:lang w:val="fr-BE"/>
              </w:rPr>
            </w:pPr>
            <w:r w:rsidRPr="00785F4A">
              <w:rPr>
                <w:b/>
                <w:noProof/>
                <w:sz w:val="10"/>
                <w:szCs w:val="10"/>
                <w:lang w:val="fr-BE"/>
              </w:rPr>
              <w:t>Jednostka pomiaru wskaźnika</w:t>
            </w:r>
          </w:p>
        </w:tc>
        <w:tc>
          <w:tcPr>
            <w:tcW w:w="0" w:type="auto"/>
            <w:shd w:val="clear" w:color="auto" w:fill="auto"/>
          </w:tcPr>
          <w:p w14:paraId="10D522F9" w14:textId="77777777" w:rsidR="008C5CFA" w:rsidRPr="00601E29" w:rsidRDefault="00E82A60" w:rsidP="00300A01">
            <w:pPr>
              <w:spacing w:before="0" w:after="0"/>
              <w:rPr>
                <w:b/>
                <w:sz w:val="10"/>
                <w:szCs w:val="10"/>
                <w:lang w:val="fr-BE"/>
              </w:rPr>
            </w:pPr>
            <w:r w:rsidRPr="00601E29">
              <w:rPr>
                <w:b/>
                <w:noProof/>
                <w:sz w:val="10"/>
                <w:szCs w:val="10"/>
                <w:lang w:val="fr-BE"/>
              </w:rPr>
              <w:t>Wskaźnik produktu stosowany jako podstawa do ustalania celów</w:t>
            </w:r>
          </w:p>
        </w:tc>
        <w:tc>
          <w:tcPr>
            <w:tcW w:w="0" w:type="auto"/>
            <w:shd w:val="clear" w:color="auto" w:fill="auto"/>
          </w:tcPr>
          <w:p w14:paraId="5BAB662C" w14:textId="77777777" w:rsidR="008C5CFA" w:rsidRPr="00601E29" w:rsidRDefault="00E82A60" w:rsidP="00300A01">
            <w:pPr>
              <w:spacing w:before="0" w:after="0"/>
              <w:rPr>
                <w:b/>
                <w:sz w:val="10"/>
                <w:szCs w:val="10"/>
                <w:lang w:val="fr-BE"/>
              </w:rPr>
            </w:pPr>
            <w:r w:rsidRPr="00601E29">
              <w:rPr>
                <w:b/>
                <w:noProof/>
                <w:sz w:val="10"/>
                <w:szCs w:val="10"/>
                <w:lang w:val="fr-BE"/>
              </w:rPr>
              <w:t>Jednostka pomiaru dla wartości bazowej i docelowej</w:t>
            </w:r>
          </w:p>
        </w:tc>
        <w:tc>
          <w:tcPr>
            <w:tcW w:w="0" w:type="auto"/>
            <w:gridSpan w:val="3"/>
            <w:shd w:val="clear" w:color="auto" w:fill="auto"/>
          </w:tcPr>
          <w:p w14:paraId="597B9D45" w14:textId="77777777" w:rsidR="008C5CFA" w:rsidRPr="00601E29" w:rsidRDefault="00E82A60" w:rsidP="00300A01">
            <w:pPr>
              <w:spacing w:before="0" w:after="0"/>
              <w:jc w:val="center"/>
              <w:rPr>
                <w:b/>
                <w:sz w:val="10"/>
                <w:szCs w:val="10"/>
                <w:lang w:val="fr-BE"/>
              </w:rPr>
            </w:pPr>
            <w:r w:rsidRPr="00601E29">
              <w:rPr>
                <w:b/>
                <w:noProof/>
                <w:sz w:val="10"/>
                <w:szCs w:val="10"/>
                <w:lang w:val="fr-BE"/>
              </w:rPr>
              <w:t>Wartość docelowa (2023)</w:t>
            </w:r>
          </w:p>
        </w:tc>
        <w:tc>
          <w:tcPr>
            <w:tcW w:w="0" w:type="auto"/>
            <w:gridSpan w:val="3"/>
            <w:shd w:val="clear" w:color="auto" w:fill="auto"/>
          </w:tcPr>
          <w:p w14:paraId="764D407F" w14:textId="77777777" w:rsidR="008C5CFA" w:rsidRPr="00601E29" w:rsidRDefault="00E82A60" w:rsidP="00300A01">
            <w:pPr>
              <w:spacing w:before="0" w:after="0"/>
              <w:jc w:val="center"/>
              <w:rPr>
                <w:b/>
                <w:sz w:val="10"/>
                <w:szCs w:val="10"/>
                <w:lang w:val="fr-BE"/>
              </w:rPr>
            </w:pPr>
            <w:r w:rsidRPr="00601E29">
              <w:rPr>
                <w:b/>
                <w:noProof/>
                <w:sz w:val="10"/>
                <w:szCs w:val="10"/>
                <w:lang w:val="fr-BE"/>
              </w:rPr>
              <w:t>Wskaźnik osiągnięć</w:t>
            </w:r>
          </w:p>
        </w:tc>
        <w:tc>
          <w:tcPr>
            <w:tcW w:w="0" w:type="auto"/>
            <w:gridSpan w:val="7"/>
            <w:shd w:val="clear" w:color="auto" w:fill="auto"/>
          </w:tcPr>
          <w:p w14:paraId="0CB03F93" w14:textId="77777777" w:rsidR="008C5CFA" w:rsidRPr="00601E29" w:rsidRDefault="00E82A60" w:rsidP="00300A01">
            <w:pPr>
              <w:spacing w:before="0" w:after="0"/>
              <w:jc w:val="center"/>
              <w:rPr>
                <w:b/>
                <w:sz w:val="10"/>
                <w:szCs w:val="10"/>
                <w:lang w:val="fr-BE"/>
              </w:rPr>
            </w:pPr>
            <w:r>
              <w:rPr>
                <w:b/>
                <w:sz w:val="10"/>
                <w:szCs w:val="10"/>
                <w:lang w:val="fr-BE"/>
              </w:rPr>
              <w:t>2019</w:t>
            </w:r>
          </w:p>
        </w:tc>
      </w:tr>
      <w:tr w:rsidR="006B2EC1" w14:paraId="58E17FA7" w14:textId="77777777" w:rsidTr="0047688D">
        <w:trPr>
          <w:tblHeader/>
        </w:trPr>
        <w:tc>
          <w:tcPr>
            <w:tcW w:w="0" w:type="auto"/>
            <w:shd w:val="clear" w:color="auto" w:fill="auto"/>
          </w:tcPr>
          <w:p w14:paraId="3765EEB8" w14:textId="77777777" w:rsidR="008C5CFA" w:rsidRPr="00601E29" w:rsidRDefault="008C5CFA" w:rsidP="00300A01">
            <w:pPr>
              <w:spacing w:before="0" w:after="0"/>
              <w:rPr>
                <w:b/>
                <w:sz w:val="10"/>
                <w:szCs w:val="10"/>
                <w:lang w:val="fr-BE"/>
              </w:rPr>
            </w:pPr>
          </w:p>
        </w:tc>
        <w:tc>
          <w:tcPr>
            <w:tcW w:w="0" w:type="auto"/>
            <w:shd w:val="clear" w:color="auto" w:fill="auto"/>
          </w:tcPr>
          <w:p w14:paraId="5C83C95B" w14:textId="77777777" w:rsidR="008C5CFA" w:rsidRPr="00601E29" w:rsidRDefault="008C5CFA" w:rsidP="00300A01">
            <w:pPr>
              <w:spacing w:before="0" w:after="0"/>
              <w:rPr>
                <w:b/>
                <w:sz w:val="10"/>
                <w:szCs w:val="10"/>
                <w:lang w:val="fr-BE"/>
              </w:rPr>
            </w:pPr>
          </w:p>
        </w:tc>
        <w:tc>
          <w:tcPr>
            <w:tcW w:w="0" w:type="auto"/>
            <w:shd w:val="clear" w:color="auto" w:fill="auto"/>
          </w:tcPr>
          <w:p w14:paraId="46D090F5" w14:textId="77777777" w:rsidR="008C5CFA" w:rsidRPr="00601E29" w:rsidRDefault="008C5CFA" w:rsidP="00300A01">
            <w:pPr>
              <w:spacing w:before="0" w:after="0"/>
              <w:rPr>
                <w:b/>
                <w:sz w:val="10"/>
                <w:szCs w:val="10"/>
                <w:lang w:val="fr-BE"/>
              </w:rPr>
            </w:pPr>
          </w:p>
        </w:tc>
        <w:tc>
          <w:tcPr>
            <w:tcW w:w="0" w:type="auto"/>
            <w:shd w:val="clear" w:color="auto" w:fill="auto"/>
          </w:tcPr>
          <w:p w14:paraId="4A55EC3B" w14:textId="77777777" w:rsidR="008C5CFA" w:rsidRPr="00601E29" w:rsidRDefault="008C5CFA" w:rsidP="00300A01">
            <w:pPr>
              <w:spacing w:before="0" w:after="0"/>
              <w:rPr>
                <w:b/>
                <w:sz w:val="10"/>
                <w:szCs w:val="10"/>
                <w:lang w:val="fr-BE"/>
              </w:rPr>
            </w:pPr>
          </w:p>
        </w:tc>
        <w:tc>
          <w:tcPr>
            <w:tcW w:w="0" w:type="auto"/>
            <w:shd w:val="clear" w:color="auto" w:fill="auto"/>
          </w:tcPr>
          <w:p w14:paraId="5D547C7B" w14:textId="77777777" w:rsidR="008C5CFA" w:rsidRPr="00601E29" w:rsidRDefault="008C5CFA" w:rsidP="00300A01">
            <w:pPr>
              <w:spacing w:before="0" w:after="0"/>
              <w:rPr>
                <w:b/>
                <w:sz w:val="10"/>
                <w:szCs w:val="10"/>
                <w:lang w:val="fr-BE"/>
              </w:rPr>
            </w:pPr>
          </w:p>
        </w:tc>
        <w:tc>
          <w:tcPr>
            <w:tcW w:w="0" w:type="auto"/>
            <w:shd w:val="clear" w:color="auto" w:fill="auto"/>
          </w:tcPr>
          <w:p w14:paraId="0D386DDA" w14:textId="77777777" w:rsidR="008C5CFA" w:rsidRPr="00601E29" w:rsidRDefault="008C5CFA" w:rsidP="00300A01">
            <w:pPr>
              <w:spacing w:before="0" w:after="0"/>
              <w:rPr>
                <w:b/>
                <w:sz w:val="10"/>
                <w:szCs w:val="10"/>
                <w:lang w:val="fr-BE"/>
              </w:rPr>
            </w:pPr>
          </w:p>
        </w:tc>
        <w:tc>
          <w:tcPr>
            <w:tcW w:w="0" w:type="auto"/>
            <w:shd w:val="clear" w:color="auto" w:fill="auto"/>
          </w:tcPr>
          <w:p w14:paraId="48DAFEA4" w14:textId="77777777" w:rsidR="008C5CFA" w:rsidRPr="00601E29" w:rsidRDefault="008C5CFA" w:rsidP="00300A01">
            <w:pPr>
              <w:spacing w:before="0" w:after="0"/>
              <w:jc w:val="center"/>
              <w:rPr>
                <w:b/>
                <w:sz w:val="10"/>
                <w:szCs w:val="10"/>
                <w:lang w:val="fr-BE"/>
              </w:rPr>
            </w:pPr>
          </w:p>
        </w:tc>
        <w:tc>
          <w:tcPr>
            <w:tcW w:w="0" w:type="auto"/>
            <w:shd w:val="clear" w:color="auto" w:fill="auto"/>
          </w:tcPr>
          <w:p w14:paraId="1467A722" w14:textId="77777777" w:rsidR="008C5CFA" w:rsidRPr="00601E29" w:rsidRDefault="008C5CFA" w:rsidP="00300A01">
            <w:pPr>
              <w:spacing w:before="0" w:after="0"/>
              <w:jc w:val="center"/>
              <w:rPr>
                <w:b/>
                <w:sz w:val="10"/>
                <w:szCs w:val="10"/>
                <w:lang w:val="fr-BE"/>
              </w:rPr>
            </w:pPr>
          </w:p>
        </w:tc>
        <w:tc>
          <w:tcPr>
            <w:tcW w:w="0" w:type="auto"/>
            <w:shd w:val="clear" w:color="auto" w:fill="auto"/>
          </w:tcPr>
          <w:p w14:paraId="678376C0" w14:textId="77777777" w:rsidR="008C5CFA" w:rsidRPr="00601E29" w:rsidRDefault="008C5CFA" w:rsidP="00300A01">
            <w:pPr>
              <w:spacing w:before="0" w:after="0"/>
              <w:jc w:val="center"/>
              <w:rPr>
                <w:b/>
                <w:sz w:val="10"/>
                <w:szCs w:val="10"/>
                <w:lang w:val="fr-BE"/>
              </w:rPr>
            </w:pPr>
          </w:p>
        </w:tc>
        <w:tc>
          <w:tcPr>
            <w:tcW w:w="0" w:type="auto"/>
            <w:shd w:val="clear" w:color="auto" w:fill="auto"/>
          </w:tcPr>
          <w:p w14:paraId="396F94D1" w14:textId="77777777" w:rsidR="008C5CFA" w:rsidRPr="00601E29" w:rsidRDefault="008C5CFA" w:rsidP="00300A01">
            <w:pPr>
              <w:spacing w:before="0" w:after="0"/>
              <w:jc w:val="center"/>
              <w:rPr>
                <w:b/>
                <w:sz w:val="10"/>
                <w:szCs w:val="10"/>
                <w:lang w:val="fr-BE"/>
              </w:rPr>
            </w:pPr>
          </w:p>
        </w:tc>
        <w:tc>
          <w:tcPr>
            <w:tcW w:w="0" w:type="auto"/>
            <w:shd w:val="clear" w:color="auto" w:fill="auto"/>
          </w:tcPr>
          <w:p w14:paraId="08ACF371" w14:textId="77777777" w:rsidR="008C5CFA" w:rsidRPr="00601E29" w:rsidRDefault="008C5CFA" w:rsidP="00300A01">
            <w:pPr>
              <w:spacing w:before="0" w:after="0"/>
              <w:jc w:val="center"/>
              <w:rPr>
                <w:b/>
                <w:sz w:val="10"/>
                <w:szCs w:val="10"/>
                <w:lang w:val="fr-BE"/>
              </w:rPr>
            </w:pPr>
          </w:p>
        </w:tc>
        <w:tc>
          <w:tcPr>
            <w:tcW w:w="0" w:type="auto"/>
            <w:shd w:val="clear" w:color="auto" w:fill="auto"/>
          </w:tcPr>
          <w:p w14:paraId="6E03DD89" w14:textId="77777777" w:rsidR="008C5CFA" w:rsidRPr="00601E29" w:rsidRDefault="008C5CFA" w:rsidP="00300A01">
            <w:pPr>
              <w:spacing w:before="0" w:after="0"/>
              <w:jc w:val="center"/>
              <w:rPr>
                <w:b/>
                <w:sz w:val="10"/>
                <w:szCs w:val="10"/>
                <w:lang w:val="fr-BE"/>
              </w:rPr>
            </w:pPr>
          </w:p>
        </w:tc>
        <w:tc>
          <w:tcPr>
            <w:tcW w:w="0" w:type="auto"/>
            <w:gridSpan w:val="3"/>
            <w:shd w:val="clear" w:color="auto" w:fill="auto"/>
          </w:tcPr>
          <w:p w14:paraId="2556C669" w14:textId="77777777" w:rsidR="008C5CFA" w:rsidRPr="00601E29" w:rsidRDefault="00E82A60" w:rsidP="00300A01">
            <w:pPr>
              <w:spacing w:before="0" w:after="0"/>
              <w:jc w:val="center"/>
              <w:rPr>
                <w:b/>
                <w:sz w:val="10"/>
                <w:szCs w:val="10"/>
                <w:lang w:val="fr-BE"/>
              </w:rPr>
            </w:pPr>
            <w:r w:rsidRPr="00601E29">
              <w:rPr>
                <w:b/>
                <w:noProof/>
                <w:sz w:val="10"/>
                <w:szCs w:val="10"/>
                <w:lang w:val="fr-BE"/>
              </w:rPr>
              <w:t>Łącznie</w:t>
            </w:r>
          </w:p>
        </w:tc>
        <w:tc>
          <w:tcPr>
            <w:tcW w:w="0" w:type="auto"/>
            <w:gridSpan w:val="3"/>
          </w:tcPr>
          <w:p w14:paraId="0D066484" w14:textId="77777777" w:rsidR="008C5CFA" w:rsidRPr="00601E29" w:rsidRDefault="00E82A60" w:rsidP="00300A01">
            <w:pPr>
              <w:spacing w:before="0" w:after="0"/>
              <w:jc w:val="center"/>
              <w:rPr>
                <w:b/>
                <w:sz w:val="10"/>
                <w:szCs w:val="10"/>
                <w:lang w:val="fr-BE"/>
              </w:rPr>
            </w:pPr>
            <w:r w:rsidRPr="00601E29">
              <w:rPr>
                <w:b/>
                <w:noProof/>
                <w:sz w:val="10"/>
                <w:szCs w:val="10"/>
                <w:lang w:val="fr-BE"/>
              </w:rPr>
              <w:t>Łącznie w roku</w:t>
            </w:r>
          </w:p>
        </w:tc>
        <w:tc>
          <w:tcPr>
            <w:tcW w:w="0" w:type="auto"/>
          </w:tcPr>
          <w:p w14:paraId="494AE289" w14:textId="77777777" w:rsidR="008C5CFA" w:rsidRPr="00601E29" w:rsidRDefault="00E82A60" w:rsidP="00300A01">
            <w:pPr>
              <w:spacing w:before="0" w:after="0"/>
              <w:jc w:val="center"/>
              <w:rPr>
                <w:b/>
                <w:sz w:val="10"/>
                <w:szCs w:val="10"/>
                <w:lang w:val="fr-BE"/>
              </w:rPr>
            </w:pPr>
            <w:r w:rsidRPr="00601E29">
              <w:rPr>
                <w:b/>
                <w:noProof/>
                <w:sz w:val="10"/>
                <w:szCs w:val="10"/>
                <w:lang w:val="fr-BE"/>
              </w:rPr>
              <w:t>Jakościowe</w:t>
            </w:r>
          </w:p>
        </w:tc>
      </w:tr>
      <w:tr w:rsidR="006B2EC1" w14:paraId="4B44B2C3" w14:textId="77777777" w:rsidTr="0047688D">
        <w:trPr>
          <w:tblHeader/>
        </w:trPr>
        <w:tc>
          <w:tcPr>
            <w:tcW w:w="0" w:type="auto"/>
            <w:shd w:val="clear" w:color="auto" w:fill="auto"/>
          </w:tcPr>
          <w:p w14:paraId="5DEB1A5C" w14:textId="77777777" w:rsidR="008C5CFA" w:rsidRPr="00601E29" w:rsidRDefault="008C5CFA" w:rsidP="00300A01">
            <w:pPr>
              <w:spacing w:before="0" w:after="0"/>
              <w:rPr>
                <w:b/>
                <w:sz w:val="10"/>
                <w:szCs w:val="10"/>
                <w:lang w:val="fr-BE"/>
              </w:rPr>
            </w:pPr>
          </w:p>
        </w:tc>
        <w:tc>
          <w:tcPr>
            <w:tcW w:w="0" w:type="auto"/>
            <w:shd w:val="clear" w:color="auto" w:fill="auto"/>
          </w:tcPr>
          <w:p w14:paraId="1F5F1C75" w14:textId="77777777" w:rsidR="008C5CFA" w:rsidRPr="00601E29" w:rsidRDefault="008C5CFA" w:rsidP="00300A01">
            <w:pPr>
              <w:spacing w:before="0" w:after="0"/>
              <w:rPr>
                <w:b/>
                <w:sz w:val="10"/>
                <w:szCs w:val="10"/>
                <w:lang w:val="fr-BE"/>
              </w:rPr>
            </w:pPr>
          </w:p>
        </w:tc>
        <w:tc>
          <w:tcPr>
            <w:tcW w:w="0" w:type="auto"/>
            <w:shd w:val="clear" w:color="auto" w:fill="auto"/>
          </w:tcPr>
          <w:p w14:paraId="1ED37099" w14:textId="77777777" w:rsidR="008C5CFA" w:rsidRPr="00601E29" w:rsidRDefault="008C5CFA" w:rsidP="00300A01">
            <w:pPr>
              <w:spacing w:before="0" w:after="0"/>
              <w:rPr>
                <w:b/>
                <w:sz w:val="10"/>
                <w:szCs w:val="10"/>
                <w:lang w:val="fr-BE"/>
              </w:rPr>
            </w:pPr>
          </w:p>
        </w:tc>
        <w:tc>
          <w:tcPr>
            <w:tcW w:w="0" w:type="auto"/>
            <w:shd w:val="clear" w:color="auto" w:fill="auto"/>
          </w:tcPr>
          <w:p w14:paraId="30936AFC" w14:textId="77777777" w:rsidR="008C5CFA" w:rsidRPr="00601E29" w:rsidRDefault="008C5CFA" w:rsidP="00300A01">
            <w:pPr>
              <w:spacing w:before="0" w:after="0"/>
              <w:rPr>
                <w:b/>
                <w:sz w:val="10"/>
                <w:szCs w:val="10"/>
                <w:lang w:val="fr-BE"/>
              </w:rPr>
            </w:pPr>
          </w:p>
        </w:tc>
        <w:tc>
          <w:tcPr>
            <w:tcW w:w="0" w:type="auto"/>
            <w:shd w:val="clear" w:color="auto" w:fill="auto"/>
          </w:tcPr>
          <w:p w14:paraId="227C1160" w14:textId="77777777" w:rsidR="008C5CFA" w:rsidRPr="00601E29" w:rsidRDefault="008C5CFA" w:rsidP="00300A01">
            <w:pPr>
              <w:spacing w:before="0" w:after="0"/>
              <w:rPr>
                <w:b/>
                <w:sz w:val="10"/>
                <w:szCs w:val="10"/>
                <w:lang w:val="fr-BE"/>
              </w:rPr>
            </w:pPr>
          </w:p>
        </w:tc>
        <w:tc>
          <w:tcPr>
            <w:tcW w:w="0" w:type="auto"/>
            <w:shd w:val="clear" w:color="auto" w:fill="auto"/>
          </w:tcPr>
          <w:p w14:paraId="0CB362D3" w14:textId="77777777" w:rsidR="008C5CFA" w:rsidRPr="00601E29" w:rsidRDefault="008C5CFA" w:rsidP="00300A01">
            <w:pPr>
              <w:spacing w:before="0" w:after="0"/>
              <w:rPr>
                <w:b/>
                <w:sz w:val="10"/>
                <w:szCs w:val="10"/>
                <w:lang w:val="fr-BE"/>
              </w:rPr>
            </w:pPr>
          </w:p>
        </w:tc>
        <w:tc>
          <w:tcPr>
            <w:tcW w:w="0" w:type="auto"/>
            <w:shd w:val="clear" w:color="auto" w:fill="auto"/>
          </w:tcPr>
          <w:p w14:paraId="58E2EF0D" w14:textId="77777777" w:rsidR="008C5CFA" w:rsidRPr="00601E29" w:rsidRDefault="00E82A60" w:rsidP="00300A01">
            <w:pPr>
              <w:spacing w:before="0" w:after="0"/>
              <w:jc w:val="center"/>
              <w:rPr>
                <w:b/>
                <w:sz w:val="10"/>
                <w:szCs w:val="10"/>
                <w:lang w:val="fr-BE"/>
              </w:rPr>
            </w:pPr>
            <w:r w:rsidRPr="00601E29">
              <w:rPr>
                <w:b/>
                <w:noProof/>
                <w:sz w:val="10"/>
                <w:szCs w:val="10"/>
                <w:lang w:val="fr-BE"/>
              </w:rPr>
              <w:t>Ogółem</w:t>
            </w:r>
          </w:p>
        </w:tc>
        <w:tc>
          <w:tcPr>
            <w:tcW w:w="0" w:type="auto"/>
            <w:shd w:val="clear" w:color="auto" w:fill="auto"/>
          </w:tcPr>
          <w:p w14:paraId="14F99A9F" w14:textId="77777777" w:rsidR="008C5CFA" w:rsidRPr="00601E29" w:rsidRDefault="00E82A60" w:rsidP="00300A01">
            <w:pPr>
              <w:spacing w:before="0" w:after="0"/>
              <w:jc w:val="center"/>
              <w:rPr>
                <w:b/>
                <w:sz w:val="10"/>
                <w:szCs w:val="10"/>
                <w:lang w:val="fr-BE"/>
              </w:rPr>
            </w:pPr>
            <w:r w:rsidRPr="00601E29">
              <w:rPr>
                <w:b/>
                <w:noProof/>
                <w:sz w:val="10"/>
                <w:szCs w:val="10"/>
                <w:lang w:val="fr-BE"/>
              </w:rPr>
              <w:t>Mężczyźni</w:t>
            </w:r>
          </w:p>
        </w:tc>
        <w:tc>
          <w:tcPr>
            <w:tcW w:w="0" w:type="auto"/>
            <w:shd w:val="clear" w:color="auto" w:fill="auto"/>
          </w:tcPr>
          <w:p w14:paraId="46AD7185" w14:textId="77777777" w:rsidR="008C5CFA" w:rsidRPr="00601E29" w:rsidRDefault="00E82A60" w:rsidP="00300A01">
            <w:pPr>
              <w:spacing w:before="0" w:after="0"/>
              <w:jc w:val="center"/>
              <w:rPr>
                <w:b/>
                <w:sz w:val="10"/>
                <w:szCs w:val="10"/>
                <w:lang w:val="fr-BE"/>
              </w:rPr>
            </w:pPr>
            <w:r w:rsidRPr="00601E29">
              <w:rPr>
                <w:b/>
                <w:noProof/>
                <w:sz w:val="10"/>
                <w:szCs w:val="10"/>
                <w:lang w:val="fr-BE"/>
              </w:rPr>
              <w:t>Kobiety</w:t>
            </w:r>
          </w:p>
        </w:tc>
        <w:tc>
          <w:tcPr>
            <w:tcW w:w="0" w:type="auto"/>
            <w:shd w:val="clear" w:color="auto" w:fill="auto"/>
          </w:tcPr>
          <w:p w14:paraId="06E8D828" w14:textId="77777777" w:rsidR="008C5CFA" w:rsidRPr="00601E29" w:rsidRDefault="00E82A60" w:rsidP="00300A01">
            <w:pPr>
              <w:spacing w:before="0" w:after="0"/>
              <w:jc w:val="center"/>
              <w:rPr>
                <w:b/>
                <w:sz w:val="10"/>
                <w:szCs w:val="10"/>
                <w:lang w:val="fr-BE"/>
              </w:rPr>
            </w:pPr>
            <w:r w:rsidRPr="00601E29">
              <w:rPr>
                <w:b/>
                <w:noProof/>
                <w:sz w:val="10"/>
                <w:szCs w:val="10"/>
                <w:lang w:val="fr-BE"/>
              </w:rPr>
              <w:t>Ogółem</w:t>
            </w:r>
          </w:p>
        </w:tc>
        <w:tc>
          <w:tcPr>
            <w:tcW w:w="0" w:type="auto"/>
            <w:shd w:val="clear" w:color="auto" w:fill="auto"/>
          </w:tcPr>
          <w:p w14:paraId="2DB92C08" w14:textId="77777777" w:rsidR="008C5CFA" w:rsidRPr="00601E29" w:rsidRDefault="00E82A60" w:rsidP="00300A01">
            <w:pPr>
              <w:spacing w:before="0" w:after="0"/>
              <w:jc w:val="center"/>
              <w:rPr>
                <w:b/>
                <w:sz w:val="10"/>
                <w:szCs w:val="10"/>
                <w:lang w:val="fr-BE"/>
              </w:rPr>
            </w:pPr>
            <w:r w:rsidRPr="00601E29">
              <w:rPr>
                <w:b/>
                <w:noProof/>
                <w:sz w:val="10"/>
                <w:szCs w:val="10"/>
                <w:lang w:val="fr-BE"/>
              </w:rPr>
              <w:t>Mężczyźni</w:t>
            </w:r>
          </w:p>
        </w:tc>
        <w:tc>
          <w:tcPr>
            <w:tcW w:w="0" w:type="auto"/>
            <w:shd w:val="clear" w:color="auto" w:fill="auto"/>
          </w:tcPr>
          <w:p w14:paraId="33DAFCE8" w14:textId="77777777" w:rsidR="008C5CFA" w:rsidRPr="00601E29" w:rsidRDefault="00E82A60" w:rsidP="00300A01">
            <w:pPr>
              <w:spacing w:before="0" w:after="0"/>
              <w:jc w:val="center"/>
              <w:rPr>
                <w:b/>
                <w:sz w:val="10"/>
                <w:szCs w:val="10"/>
                <w:lang w:val="fr-BE"/>
              </w:rPr>
            </w:pPr>
            <w:r w:rsidRPr="00601E29">
              <w:rPr>
                <w:b/>
                <w:noProof/>
                <w:sz w:val="10"/>
                <w:szCs w:val="10"/>
                <w:lang w:val="fr-BE"/>
              </w:rPr>
              <w:t>Kobiety</w:t>
            </w:r>
          </w:p>
        </w:tc>
        <w:tc>
          <w:tcPr>
            <w:tcW w:w="0" w:type="auto"/>
            <w:shd w:val="clear" w:color="auto" w:fill="auto"/>
          </w:tcPr>
          <w:p w14:paraId="73252D7D" w14:textId="77777777" w:rsidR="008C5CFA" w:rsidRPr="00601E29" w:rsidRDefault="00E82A60" w:rsidP="00300A01">
            <w:pPr>
              <w:spacing w:before="0" w:after="0"/>
              <w:jc w:val="center"/>
              <w:rPr>
                <w:b/>
                <w:sz w:val="10"/>
                <w:szCs w:val="10"/>
                <w:lang w:val="fr-BE"/>
              </w:rPr>
            </w:pPr>
            <w:r w:rsidRPr="00601E29">
              <w:rPr>
                <w:b/>
                <w:noProof/>
                <w:sz w:val="10"/>
                <w:szCs w:val="10"/>
                <w:lang w:val="fr-BE"/>
              </w:rPr>
              <w:t>Ogółem</w:t>
            </w:r>
          </w:p>
        </w:tc>
        <w:tc>
          <w:tcPr>
            <w:tcW w:w="0" w:type="auto"/>
            <w:shd w:val="clear" w:color="auto" w:fill="auto"/>
          </w:tcPr>
          <w:p w14:paraId="744F131C" w14:textId="77777777" w:rsidR="008C5CFA" w:rsidRPr="00601E29" w:rsidRDefault="00E82A60" w:rsidP="00300A01">
            <w:pPr>
              <w:spacing w:before="0" w:after="0"/>
              <w:jc w:val="center"/>
              <w:rPr>
                <w:b/>
                <w:sz w:val="10"/>
                <w:szCs w:val="10"/>
                <w:lang w:val="fr-BE"/>
              </w:rPr>
            </w:pPr>
            <w:r w:rsidRPr="00601E29">
              <w:rPr>
                <w:b/>
                <w:noProof/>
                <w:sz w:val="10"/>
                <w:szCs w:val="10"/>
                <w:lang w:val="fr-BE"/>
              </w:rPr>
              <w:t>Mężczyźni</w:t>
            </w:r>
          </w:p>
        </w:tc>
        <w:tc>
          <w:tcPr>
            <w:tcW w:w="0" w:type="auto"/>
            <w:shd w:val="clear" w:color="auto" w:fill="auto"/>
          </w:tcPr>
          <w:p w14:paraId="189D1F5F" w14:textId="77777777" w:rsidR="008C5CFA" w:rsidRPr="00601E29" w:rsidRDefault="00E82A60" w:rsidP="00300A01">
            <w:pPr>
              <w:spacing w:before="0" w:after="0"/>
              <w:jc w:val="center"/>
              <w:rPr>
                <w:b/>
                <w:sz w:val="10"/>
                <w:szCs w:val="10"/>
                <w:lang w:val="fr-BE"/>
              </w:rPr>
            </w:pPr>
            <w:r w:rsidRPr="00601E29">
              <w:rPr>
                <w:b/>
                <w:noProof/>
                <w:sz w:val="10"/>
                <w:szCs w:val="10"/>
                <w:lang w:val="fr-BE"/>
              </w:rPr>
              <w:t>Kobiety</w:t>
            </w:r>
          </w:p>
        </w:tc>
        <w:tc>
          <w:tcPr>
            <w:tcW w:w="0" w:type="auto"/>
          </w:tcPr>
          <w:p w14:paraId="5EC93F46" w14:textId="77777777" w:rsidR="008C5CFA" w:rsidRPr="00601E29" w:rsidRDefault="00E82A60" w:rsidP="00300A01">
            <w:pPr>
              <w:spacing w:before="0" w:after="0"/>
              <w:jc w:val="center"/>
              <w:rPr>
                <w:b/>
                <w:sz w:val="10"/>
                <w:szCs w:val="10"/>
                <w:lang w:val="fr-BE"/>
              </w:rPr>
            </w:pPr>
            <w:r w:rsidRPr="00601E29">
              <w:rPr>
                <w:b/>
                <w:noProof/>
                <w:sz w:val="10"/>
                <w:szCs w:val="10"/>
                <w:lang w:val="fr-BE"/>
              </w:rPr>
              <w:t>Ogółem</w:t>
            </w:r>
          </w:p>
        </w:tc>
        <w:tc>
          <w:tcPr>
            <w:tcW w:w="0" w:type="auto"/>
            <w:shd w:val="clear" w:color="auto" w:fill="auto"/>
          </w:tcPr>
          <w:p w14:paraId="698D505F" w14:textId="77777777" w:rsidR="008C5CFA" w:rsidRPr="00601E29" w:rsidRDefault="00E82A60" w:rsidP="00300A01">
            <w:pPr>
              <w:spacing w:before="0" w:after="0"/>
              <w:jc w:val="center"/>
              <w:rPr>
                <w:b/>
                <w:sz w:val="10"/>
                <w:szCs w:val="10"/>
                <w:lang w:val="fr-BE"/>
              </w:rPr>
            </w:pPr>
            <w:r w:rsidRPr="00601E29">
              <w:rPr>
                <w:b/>
                <w:noProof/>
                <w:sz w:val="10"/>
                <w:szCs w:val="10"/>
                <w:lang w:val="fr-BE"/>
              </w:rPr>
              <w:t>Mężczyźni</w:t>
            </w:r>
          </w:p>
        </w:tc>
        <w:tc>
          <w:tcPr>
            <w:tcW w:w="0" w:type="auto"/>
            <w:shd w:val="clear" w:color="auto" w:fill="auto"/>
          </w:tcPr>
          <w:p w14:paraId="6D513496" w14:textId="77777777" w:rsidR="008C5CFA" w:rsidRPr="00601E29" w:rsidRDefault="00E82A60" w:rsidP="00300A01">
            <w:pPr>
              <w:spacing w:before="0" w:after="0"/>
              <w:jc w:val="center"/>
              <w:rPr>
                <w:b/>
                <w:sz w:val="10"/>
                <w:szCs w:val="10"/>
                <w:lang w:val="fr-BE"/>
              </w:rPr>
            </w:pPr>
            <w:r w:rsidRPr="00601E29">
              <w:rPr>
                <w:b/>
                <w:noProof/>
                <w:sz w:val="10"/>
                <w:szCs w:val="10"/>
                <w:lang w:val="fr-BE"/>
              </w:rPr>
              <w:t>Kobiety</w:t>
            </w:r>
          </w:p>
        </w:tc>
        <w:tc>
          <w:tcPr>
            <w:tcW w:w="0" w:type="auto"/>
          </w:tcPr>
          <w:p w14:paraId="5F5B43CB" w14:textId="77777777" w:rsidR="008C5CFA" w:rsidRPr="00601E29" w:rsidRDefault="008C5CFA" w:rsidP="00300A01">
            <w:pPr>
              <w:spacing w:before="0" w:after="0"/>
              <w:jc w:val="center"/>
              <w:rPr>
                <w:b/>
                <w:sz w:val="10"/>
                <w:szCs w:val="10"/>
                <w:lang w:val="fr-BE"/>
              </w:rPr>
            </w:pPr>
          </w:p>
        </w:tc>
      </w:tr>
      <w:tr w:rsidR="006B2EC1" w14:paraId="5AB465D0" w14:textId="77777777" w:rsidTr="0047688D">
        <w:tc>
          <w:tcPr>
            <w:tcW w:w="0" w:type="auto"/>
            <w:shd w:val="clear" w:color="auto" w:fill="auto"/>
          </w:tcPr>
          <w:p w14:paraId="258AD1E3" w14:textId="77777777" w:rsidR="008C5CFA" w:rsidRPr="00601E29" w:rsidRDefault="00E82A60" w:rsidP="00300A01">
            <w:pPr>
              <w:spacing w:before="0" w:after="0"/>
              <w:rPr>
                <w:sz w:val="10"/>
                <w:szCs w:val="10"/>
                <w:lang w:val="fr-BE"/>
              </w:rPr>
            </w:pPr>
            <w:r w:rsidRPr="00601E29">
              <w:rPr>
                <w:noProof/>
                <w:sz w:val="10"/>
                <w:szCs w:val="10"/>
                <w:lang w:val="fr-BE"/>
              </w:rPr>
              <w:t>144</w:t>
            </w:r>
          </w:p>
        </w:tc>
        <w:tc>
          <w:tcPr>
            <w:tcW w:w="0" w:type="auto"/>
            <w:shd w:val="clear" w:color="auto" w:fill="auto"/>
          </w:tcPr>
          <w:p w14:paraId="59A2AC48" w14:textId="77777777" w:rsidR="008C5CFA" w:rsidRPr="00601E29" w:rsidRDefault="00E82A60" w:rsidP="00300A01">
            <w:pPr>
              <w:spacing w:before="0" w:after="0"/>
              <w:rPr>
                <w:sz w:val="10"/>
                <w:szCs w:val="10"/>
                <w:lang w:val="fr-BE"/>
              </w:rPr>
            </w:pPr>
            <w:r w:rsidRPr="00601E29">
              <w:rPr>
                <w:noProof/>
                <w:sz w:val="10"/>
                <w:szCs w:val="10"/>
                <w:lang w:val="fr-BE"/>
              </w:rPr>
              <w:t>Liczba osób zagrożonych ubóstwem lub wykluczeniem społecznym, które uzyskały kwalifikacje lub nabyły kompetencje po opuszczeniu programu</w:t>
            </w:r>
          </w:p>
        </w:tc>
        <w:tc>
          <w:tcPr>
            <w:tcW w:w="0" w:type="auto"/>
            <w:shd w:val="clear" w:color="auto" w:fill="auto"/>
          </w:tcPr>
          <w:p w14:paraId="50B8368C" w14:textId="77777777" w:rsidR="008C5CFA" w:rsidRPr="00601E29" w:rsidRDefault="00E82A60" w:rsidP="00300A01">
            <w:pPr>
              <w:spacing w:before="0" w:after="0"/>
              <w:rPr>
                <w:sz w:val="10"/>
                <w:szCs w:val="10"/>
                <w:lang w:val="fr-BE"/>
              </w:rPr>
            </w:pPr>
            <w:r w:rsidRPr="00601E29">
              <w:rPr>
                <w:noProof/>
                <w:sz w:val="10"/>
                <w:szCs w:val="10"/>
                <w:lang w:val="fr-BE"/>
              </w:rPr>
              <w:t>Słabiej rozwinięte</w:t>
            </w:r>
          </w:p>
        </w:tc>
        <w:tc>
          <w:tcPr>
            <w:tcW w:w="0" w:type="auto"/>
            <w:shd w:val="clear" w:color="auto" w:fill="auto"/>
          </w:tcPr>
          <w:p w14:paraId="46118462" w14:textId="77777777" w:rsidR="008C5CFA" w:rsidRPr="00601E29" w:rsidRDefault="00E82A60" w:rsidP="00300A01">
            <w:pPr>
              <w:spacing w:before="0" w:after="0"/>
              <w:rPr>
                <w:sz w:val="10"/>
                <w:szCs w:val="10"/>
                <w:lang w:val="fr-BE"/>
              </w:rPr>
            </w:pPr>
            <w:r w:rsidRPr="00785F4A">
              <w:rPr>
                <w:noProof/>
                <w:sz w:val="10"/>
                <w:szCs w:val="10"/>
                <w:lang w:val="fr-BE"/>
              </w:rPr>
              <w:t>Liczba</w:t>
            </w:r>
            <w:r w:rsidR="00CE4603">
              <w:rPr>
                <w:sz w:val="10"/>
                <w:szCs w:val="10"/>
                <w:lang w:val="fr-BE"/>
              </w:rPr>
              <w:t xml:space="preserve"> </w:t>
            </w:r>
            <w:r w:rsidR="00CE4603">
              <w:rPr>
                <w:noProof/>
                <w:sz w:val="10"/>
                <w:szCs w:val="10"/>
                <w:lang w:val="fr-BE"/>
              </w:rPr>
              <w:t>(osoba)</w:t>
            </w:r>
          </w:p>
        </w:tc>
        <w:tc>
          <w:tcPr>
            <w:tcW w:w="0" w:type="auto"/>
            <w:shd w:val="clear" w:color="auto" w:fill="auto"/>
          </w:tcPr>
          <w:p w14:paraId="2910702E" w14:textId="77777777" w:rsidR="008C5CFA" w:rsidRPr="00601E29" w:rsidRDefault="00E82A60" w:rsidP="00300A01">
            <w:pPr>
              <w:spacing w:before="0" w:after="0"/>
              <w:rPr>
                <w:sz w:val="10"/>
                <w:szCs w:val="10"/>
                <w:lang w:val="fr-BE"/>
              </w:rPr>
            </w:pPr>
            <w:r w:rsidRPr="00601E29">
              <w:rPr>
                <w:sz w:val="10"/>
                <w:szCs w:val="10"/>
                <w:lang w:val="fr-BE"/>
              </w:rPr>
              <w:t xml:space="preserve"> </w:t>
            </w:r>
          </w:p>
        </w:tc>
        <w:tc>
          <w:tcPr>
            <w:tcW w:w="0" w:type="auto"/>
            <w:shd w:val="clear" w:color="auto" w:fill="auto"/>
          </w:tcPr>
          <w:p w14:paraId="76AC609C" w14:textId="77777777" w:rsidR="008C5CFA" w:rsidRPr="00601E29" w:rsidRDefault="00E82A60" w:rsidP="00300A01">
            <w:pPr>
              <w:spacing w:before="0" w:after="0"/>
              <w:jc w:val="center"/>
              <w:rPr>
                <w:sz w:val="10"/>
                <w:szCs w:val="10"/>
                <w:lang w:val="fr-BE"/>
              </w:rPr>
            </w:pPr>
            <w:r w:rsidRPr="00601E29">
              <w:rPr>
                <w:noProof/>
                <w:sz w:val="10"/>
                <w:szCs w:val="10"/>
                <w:lang w:val="fr-BE"/>
              </w:rPr>
              <w:t>Współczynnik</w:t>
            </w:r>
          </w:p>
        </w:tc>
        <w:tc>
          <w:tcPr>
            <w:tcW w:w="0" w:type="auto"/>
            <w:shd w:val="clear" w:color="auto" w:fill="auto"/>
          </w:tcPr>
          <w:p w14:paraId="4E0340F3" w14:textId="77777777" w:rsidR="008C5CFA" w:rsidRPr="00601E29" w:rsidRDefault="00E82A60" w:rsidP="00300A01">
            <w:pPr>
              <w:spacing w:before="0" w:after="0"/>
              <w:jc w:val="right"/>
              <w:rPr>
                <w:sz w:val="10"/>
                <w:szCs w:val="10"/>
                <w:lang w:val="fr-BE"/>
              </w:rPr>
            </w:pPr>
            <w:r w:rsidRPr="00601E29">
              <w:rPr>
                <w:noProof/>
                <w:sz w:val="10"/>
                <w:szCs w:val="10"/>
                <w:lang w:val="fr-BE"/>
              </w:rPr>
              <w:t>34,00</w:t>
            </w:r>
            <w:r>
              <w:rPr>
                <w:noProof/>
                <w:sz w:val="10"/>
                <w:szCs w:val="10"/>
                <w:lang w:val="fr-BE"/>
              </w:rPr>
              <w:t>%</w:t>
            </w:r>
          </w:p>
        </w:tc>
        <w:tc>
          <w:tcPr>
            <w:tcW w:w="0" w:type="auto"/>
            <w:shd w:val="clear" w:color="auto" w:fill="auto"/>
          </w:tcPr>
          <w:p w14:paraId="6DDF82EA" w14:textId="77777777" w:rsidR="008C5CFA" w:rsidRPr="00601E29" w:rsidRDefault="008C5CFA" w:rsidP="00300A01">
            <w:pPr>
              <w:spacing w:before="0" w:after="0"/>
              <w:jc w:val="right"/>
              <w:rPr>
                <w:sz w:val="10"/>
                <w:szCs w:val="10"/>
                <w:lang w:val="fr-BE"/>
              </w:rPr>
            </w:pPr>
          </w:p>
        </w:tc>
        <w:tc>
          <w:tcPr>
            <w:tcW w:w="0" w:type="auto"/>
            <w:shd w:val="clear" w:color="auto" w:fill="auto"/>
          </w:tcPr>
          <w:p w14:paraId="32AE46A4" w14:textId="77777777" w:rsidR="008C5CFA" w:rsidRPr="00601E29" w:rsidRDefault="008C5CFA" w:rsidP="00300A01">
            <w:pPr>
              <w:spacing w:before="0" w:after="0"/>
              <w:jc w:val="right"/>
              <w:rPr>
                <w:sz w:val="10"/>
                <w:szCs w:val="10"/>
                <w:lang w:val="fr-BE"/>
              </w:rPr>
            </w:pPr>
          </w:p>
        </w:tc>
        <w:tc>
          <w:tcPr>
            <w:tcW w:w="0" w:type="auto"/>
            <w:shd w:val="clear" w:color="auto" w:fill="auto"/>
          </w:tcPr>
          <w:p w14:paraId="62D8D053" w14:textId="77777777" w:rsidR="008C5CFA" w:rsidRPr="00601E29" w:rsidRDefault="00E82A60" w:rsidP="00300A01">
            <w:pPr>
              <w:spacing w:before="0" w:after="0"/>
              <w:jc w:val="right"/>
              <w:rPr>
                <w:sz w:val="10"/>
                <w:szCs w:val="10"/>
                <w:lang w:val="fr-BE"/>
              </w:rPr>
            </w:pPr>
            <w:r>
              <w:rPr>
                <w:noProof/>
                <w:sz w:val="10"/>
                <w:szCs w:val="10"/>
                <w:lang w:val="fr-BE"/>
              </w:rPr>
              <w:t>1,41</w:t>
            </w:r>
          </w:p>
        </w:tc>
        <w:tc>
          <w:tcPr>
            <w:tcW w:w="0" w:type="auto"/>
            <w:shd w:val="clear" w:color="auto" w:fill="auto"/>
          </w:tcPr>
          <w:p w14:paraId="32BCFCAF" w14:textId="77777777" w:rsidR="008C5CFA" w:rsidRPr="00601E29" w:rsidRDefault="008C5CFA" w:rsidP="00300A01">
            <w:pPr>
              <w:spacing w:before="0" w:after="0"/>
              <w:jc w:val="right"/>
              <w:rPr>
                <w:sz w:val="10"/>
                <w:szCs w:val="10"/>
                <w:lang w:val="fr-BE"/>
              </w:rPr>
            </w:pPr>
          </w:p>
        </w:tc>
        <w:tc>
          <w:tcPr>
            <w:tcW w:w="0" w:type="auto"/>
            <w:shd w:val="clear" w:color="auto" w:fill="auto"/>
          </w:tcPr>
          <w:p w14:paraId="17369B12" w14:textId="77777777" w:rsidR="008C5CFA" w:rsidRPr="00601E29" w:rsidRDefault="008C5CFA" w:rsidP="00300A01">
            <w:pPr>
              <w:spacing w:before="0" w:after="0"/>
              <w:jc w:val="right"/>
              <w:rPr>
                <w:sz w:val="10"/>
                <w:szCs w:val="10"/>
                <w:lang w:val="fr-BE"/>
              </w:rPr>
            </w:pPr>
          </w:p>
        </w:tc>
        <w:tc>
          <w:tcPr>
            <w:tcW w:w="0" w:type="auto"/>
            <w:shd w:val="clear" w:color="auto" w:fill="auto"/>
          </w:tcPr>
          <w:p w14:paraId="24E7BEAF" w14:textId="77777777" w:rsidR="008C5CFA" w:rsidRPr="00601E29" w:rsidRDefault="00E82A60" w:rsidP="00300A01">
            <w:pPr>
              <w:spacing w:before="0" w:after="0"/>
              <w:jc w:val="right"/>
              <w:rPr>
                <w:sz w:val="10"/>
                <w:szCs w:val="10"/>
                <w:lang w:val="fr-BE"/>
              </w:rPr>
            </w:pPr>
            <w:r w:rsidRPr="00601E29">
              <w:rPr>
                <w:noProof/>
                <w:sz w:val="10"/>
                <w:szCs w:val="10"/>
                <w:lang w:val="fr-BE"/>
              </w:rPr>
              <w:t>1 688,00</w:t>
            </w:r>
          </w:p>
        </w:tc>
        <w:tc>
          <w:tcPr>
            <w:tcW w:w="0" w:type="auto"/>
            <w:shd w:val="clear" w:color="auto" w:fill="auto"/>
          </w:tcPr>
          <w:p w14:paraId="698AFB71"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shd w:val="clear" w:color="auto" w:fill="auto"/>
          </w:tcPr>
          <w:p w14:paraId="13DCFCEA"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1FDF4ED6" w14:textId="77777777" w:rsidR="008C5CFA" w:rsidRPr="00601E29" w:rsidRDefault="00E82A60" w:rsidP="00300A01">
            <w:pPr>
              <w:spacing w:before="0" w:after="0"/>
              <w:jc w:val="right"/>
              <w:rPr>
                <w:sz w:val="10"/>
                <w:szCs w:val="10"/>
                <w:lang w:val="fr-BE"/>
              </w:rPr>
            </w:pPr>
            <w:r w:rsidRPr="00601E29">
              <w:rPr>
                <w:noProof/>
                <w:sz w:val="10"/>
                <w:szCs w:val="10"/>
                <w:lang w:val="fr-BE"/>
              </w:rPr>
              <w:t>1 152,00</w:t>
            </w:r>
          </w:p>
        </w:tc>
        <w:tc>
          <w:tcPr>
            <w:tcW w:w="0" w:type="auto"/>
            <w:shd w:val="clear" w:color="auto" w:fill="auto"/>
          </w:tcPr>
          <w:p w14:paraId="54E03990"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shd w:val="clear" w:color="auto" w:fill="auto"/>
          </w:tcPr>
          <w:p w14:paraId="390D30A4"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4A0FC990" w14:textId="77777777" w:rsidR="008C5CFA" w:rsidRPr="00601E29" w:rsidRDefault="008C5CFA" w:rsidP="00300A01">
            <w:pPr>
              <w:spacing w:before="0" w:after="0"/>
              <w:jc w:val="right"/>
              <w:rPr>
                <w:sz w:val="10"/>
                <w:szCs w:val="10"/>
                <w:lang w:val="fr-BE"/>
              </w:rPr>
            </w:pPr>
          </w:p>
        </w:tc>
      </w:tr>
      <w:tr w:rsidR="006B2EC1" w14:paraId="3C190A1A" w14:textId="77777777" w:rsidTr="0047688D">
        <w:tc>
          <w:tcPr>
            <w:tcW w:w="0" w:type="auto"/>
            <w:shd w:val="clear" w:color="auto" w:fill="auto"/>
          </w:tcPr>
          <w:p w14:paraId="55B2C7DC" w14:textId="77777777" w:rsidR="008C5CFA" w:rsidRPr="00601E29" w:rsidRDefault="00E82A60" w:rsidP="00300A01">
            <w:pPr>
              <w:spacing w:before="0" w:after="0"/>
              <w:rPr>
                <w:sz w:val="10"/>
                <w:szCs w:val="10"/>
                <w:lang w:val="fr-BE"/>
              </w:rPr>
            </w:pPr>
            <w:r w:rsidRPr="00601E29">
              <w:rPr>
                <w:noProof/>
                <w:sz w:val="10"/>
                <w:szCs w:val="10"/>
                <w:lang w:val="fr-BE"/>
              </w:rPr>
              <w:t>018</w:t>
            </w:r>
          </w:p>
        </w:tc>
        <w:tc>
          <w:tcPr>
            <w:tcW w:w="0" w:type="auto"/>
            <w:shd w:val="clear" w:color="auto" w:fill="auto"/>
          </w:tcPr>
          <w:p w14:paraId="46AA20F5" w14:textId="77777777" w:rsidR="008C5CFA" w:rsidRPr="00601E29" w:rsidRDefault="00E82A60" w:rsidP="00300A01">
            <w:pPr>
              <w:spacing w:before="0" w:after="0"/>
              <w:rPr>
                <w:sz w:val="10"/>
                <w:szCs w:val="10"/>
                <w:lang w:val="fr-BE"/>
              </w:rPr>
            </w:pPr>
            <w:r w:rsidRPr="00601E29">
              <w:rPr>
                <w:noProof/>
                <w:sz w:val="10"/>
                <w:szCs w:val="10"/>
                <w:lang w:val="fr-BE"/>
              </w:rPr>
              <w:t>Liczba osób zagrożonych ubóstwem lub wykluczeniem społecznym poszukujących pracy po opuszczeniu programu</w:t>
            </w:r>
          </w:p>
        </w:tc>
        <w:tc>
          <w:tcPr>
            <w:tcW w:w="0" w:type="auto"/>
            <w:shd w:val="clear" w:color="auto" w:fill="auto"/>
          </w:tcPr>
          <w:p w14:paraId="07BF2F46" w14:textId="77777777" w:rsidR="008C5CFA" w:rsidRPr="00601E29" w:rsidRDefault="00E82A60" w:rsidP="00300A01">
            <w:pPr>
              <w:spacing w:before="0" w:after="0"/>
              <w:rPr>
                <w:sz w:val="10"/>
                <w:szCs w:val="10"/>
                <w:lang w:val="fr-BE"/>
              </w:rPr>
            </w:pPr>
            <w:r w:rsidRPr="00601E29">
              <w:rPr>
                <w:noProof/>
                <w:sz w:val="10"/>
                <w:szCs w:val="10"/>
                <w:lang w:val="fr-BE"/>
              </w:rPr>
              <w:t>Słabiej rozwinięte</w:t>
            </w:r>
          </w:p>
        </w:tc>
        <w:tc>
          <w:tcPr>
            <w:tcW w:w="0" w:type="auto"/>
            <w:shd w:val="clear" w:color="auto" w:fill="auto"/>
          </w:tcPr>
          <w:p w14:paraId="4C8542DB" w14:textId="77777777" w:rsidR="008C5CFA" w:rsidRPr="00601E29" w:rsidRDefault="00E82A60" w:rsidP="00300A01">
            <w:pPr>
              <w:spacing w:before="0" w:after="0"/>
              <w:rPr>
                <w:sz w:val="10"/>
                <w:szCs w:val="10"/>
                <w:lang w:val="fr-BE"/>
              </w:rPr>
            </w:pPr>
            <w:r w:rsidRPr="00785F4A">
              <w:rPr>
                <w:noProof/>
                <w:sz w:val="10"/>
                <w:szCs w:val="10"/>
                <w:lang w:val="fr-BE"/>
              </w:rPr>
              <w:t>Liczba</w:t>
            </w:r>
            <w:r w:rsidR="00CE4603">
              <w:rPr>
                <w:sz w:val="10"/>
                <w:szCs w:val="10"/>
                <w:lang w:val="fr-BE"/>
              </w:rPr>
              <w:t xml:space="preserve"> </w:t>
            </w:r>
            <w:r w:rsidR="00CE4603">
              <w:rPr>
                <w:noProof/>
                <w:sz w:val="10"/>
                <w:szCs w:val="10"/>
                <w:lang w:val="fr-BE"/>
              </w:rPr>
              <w:t>(osoba)</w:t>
            </w:r>
          </w:p>
        </w:tc>
        <w:tc>
          <w:tcPr>
            <w:tcW w:w="0" w:type="auto"/>
            <w:shd w:val="clear" w:color="auto" w:fill="auto"/>
          </w:tcPr>
          <w:p w14:paraId="2F62AEC4" w14:textId="77777777" w:rsidR="008C5CFA" w:rsidRPr="00601E29" w:rsidRDefault="00E82A60" w:rsidP="00300A01">
            <w:pPr>
              <w:spacing w:before="0" w:after="0"/>
              <w:rPr>
                <w:sz w:val="10"/>
                <w:szCs w:val="10"/>
                <w:lang w:val="fr-BE"/>
              </w:rPr>
            </w:pPr>
            <w:r w:rsidRPr="00601E29">
              <w:rPr>
                <w:sz w:val="10"/>
                <w:szCs w:val="10"/>
                <w:lang w:val="fr-BE"/>
              </w:rPr>
              <w:t xml:space="preserve"> </w:t>
            </w:r>
          </w:p>
        </w:tc>
        <w:tc>
          <w:tcPr>
            <w:tcW w:w="0" w:type="auto"/>
            <w:shd w:val="clear" w:color="auto" w:fill="auto"/>
          </w:tcPr>
          <w:p w14:paraId="77D75B8F" w14:textId="77777777" w:rsidR="008C5CFA" w:rsidRPr="00601E29" w:rsidRDefault="00E82A60" w:rsidP="00300A01">
            <w:pPr>
              <w:spacing w:before="0" w:after="0"/>
              <w:jc w:val="center"/>
              <w:rPr>
                <w:sz w:val="10"/>
                <w:szCs w:val="10"/>
                <w:lang w:val="fr-BE"/>
              </w:rPr>
            </w:pPr>
            <w:r w:rsidRPr="00601E29">
              <w:rPr>
                <w:noProof/>
                <w:sz w:val="10"/>
                <w:szCs w:val="10"/>
                <w:lang w:val="fr-BE"/>
              </w:rPr>
              <w:t>Współczynnik</w:t>
            </w:r>
          </w:p>
        </w:tc>
        <w:tc>
          <w:tcPr>
            <w:tcW w:w="0" w:type="auto"/>
            <w:shd w:val="clear" w:color="auto" w:fill="auto"/>
          </w:tcPr>
          <w:p w14:paraId="1BE06C4C" w14:textId="77777777" w:rsidR="008C5CFA" w:rsidRPr="00601E29" w:rsidRDefault="00E82A60" w:rsidP="00300A01">
            <w:pPr>
              <w:spacing w:before="0" w:after="0"/>
              <w:jc w:val="right"/>
              <w:rPr>
                <w:sz w:val="10"/>
                <w:szCs w:val="10"/>
                <w:lang w:val="fr-BE"/>
              </w:rPr>
            </w:pPr>
            <w:r w:rsidRPr="00601E29">
              <w:rPr>
                <w:noProof/>
                <w:sz w:val="10"/>
                <w:szCs w:val="10"/>
                <w:lang w:val="fr-BE"/>
              </w:rPr>
              <w:t>35,00</w:t>
            </w:r>
            <w:r>
              <w:rPr>
                <w:noProof/>
                <w:sz w:val="10"/>
                <w:szCs w:val="10"/>
                <w:lang w:val="fr-BE"/>
              </w:rPr>
              <w:t>%</w:t>
            </w:r>
          </w:p>
        </w:tc>
        <w:tc>
          <w:tcPr>
            <w:tcW w:w="0" w:type="auto"/>
            <w:shd w:val="clear" w:color="auto" w:fill="auto"/>
          </w:tcPr>
          <w:p w14:paraId="0BA75017" w14:textId="77777777" w:rsidR="008C5CFA" w:rsidRPr="00601E29" w:rsidRDefault="008C5CFA" w:rsidP="00300A01">
            <w:pPr>
              <w:spacing w:before="0" w:after="0"/>
              <w:jc w:val="right"/>
              <w:rPr>
                <w:sz w:val="10"/>
                <w:szCs w:val="10"/>
                <w:lang w:val="fr-BE"/>
              </w:rPr>
            </w:pPr>
          </w:p>
        </w:tc>
        <w:tc>
          <w:tcPr>
            <w:tcW w:w="0" w:type="auto"/>
            <w:shd w:val="clear" w:color="auto" w:fill="auto"/>
          </w:tcPr>
          <w:p w14:paraId="2CB849D7" w14:textId="77777777" w:rsidR="008C5CFA" w:rsidRPr="00601E29" w:rsidRDefault="008C5CFA" w:rsidP="00300A01">
            <w:pPr>
              <w:spacing w:before="0" w:after="0"/>
              <w:jc w:val="right"/>
              <w:rPr>
                <w:sz w:val="10"/>
                <w:szCs w:val="10"/>
                <w:lang w:val="fr-BE"/>
              </w:rPr>
            </w:pPr>
          </w:p>
        </w:tc>
        <w:tc>
          <w:tcPr>
            <w:tcW w:w="0" w:type="auto"/>
            <w:shd w:val="clear" w:color="auto" w:fill="auto"/>
          </w:tcPr>
          <w:p w14:paraId="34F57B86" w14:textId="77777777" w:rsidR="008C5CFA" w:rsidRPr="00601E29" w:rsidRDefault="00E82A60" w:rsidP="00300A01">
            <w:pPr>
              <w:spacing w:before="0" w:after="0"/>
              <w:jc w:val="right"/>
              <w:rPr>
                <w:sz w:val="10"/>
                <w:szCs w:val="10"/>
                <w:lang w:val="fr-BE"/>
              </w:rPr>
            </w:pPr>
            <w:r>
              <w:rPr>
                <w:noProof/>
                <w:sz w:val="10"/>
                <w:szCs w:val="10"/>
                <w:lang w:val="fr-BE"/>
              </w:rPr>
              <w:t>0,60</w:t>
            </w:r>
          </w:p>
        </w:tc>
        <w:tc>
          <w:tcPr>
            <w:tcW w:w="0" w:type="auto"/>
            <w:shd w:val="clear" w:color="auto" w:fill="auto"/>
          </w:tcPr>
          <w:p w14:paraId="489082EB" w14:textId="77777777" w:rsidR="008C5CFA" w:rsidRPr="00601E29" w:rsidRDefault="008C5CFA" w:rsidP="00300A01">
            <w:pPr>
              <w:spacing w:before="0" w:after="0"/>
              <w:jc w:val="right"/>
              <w:rPr>
                <w:sz w:val="10"/>
                <w:szCs w:val="10"/>
                <w:lang w:val="fr-BE"/>
              </w:rPr>
            </w:pPr>
          </w:p>
        </w:tc>
        <w:tc>
          <w:tcPr>
            <w:tcW w:w="0" w:type="auto"/>
            <w:shd w:val="clear" w:color="auto" w:fill="auto"/>
          </w:tcPr>
          <w:p w14:paraId="6AFB56E6" w14:textId="77777777" w:rsidR="008C5CFA" w:rsidRPr="00601E29" w:rsidRDefault="008C5CFA" w:rsidP="00300A01">
            <w:pPr>
              <w:spacing w:before="0" w:after="0"/>
              <w:jc w:val="right"/>
              <w:rPr>
                <w:sz w:val="10"/>
                <w:szCs w:val="10"/>
                <w:lang w:val="fr-BE"/>
              </w:rPr>
            </w:pPr>
          </w:p>
        </w:tc>
        <w:tc>
          <w:tcPr>
            <w:tcW w:w="0" w:type="auto"/>
            <w:shd w:val="clear" w:color="auto" w:fill="auto"/>
          </w:tcPr>
          <w:p w14:paraId="4741941D" w14:textId="77777777" w:rsidR="008C5CFA" w:rsidRPr="00601E29" w:rsidRDefault="00E82A60" w:rsidP="00300A01">
            <w:pPr>
              <w:spacing w:before="0" w:after="0"/>
              <w:jc w:val="right"/>
              <w:rPr>
                <w:sz w:val="10"/>
                <w:szCs w:val="10"/>
                <w:lang w:val="fr-BE"/>
              </w:rPr>
            </w:pPr>
            <w:r w:rsidRPr="00601E29">
              <w:rPr>
                <w:noProof/>
                <w:sz w:val="10"/>
                <w:szCs w:val="10"/>
                <w:lang w:val="fr-BE"/>
              </w:rPr>
              <w:t>733,00</w:t>
            </w:r>
          </w:p>
        </w:tc>
        <w:tc>
          <w:tcPr>
            <w:tcW w:w="0" w:type="auto"/>
            <w:shd w:val="clear" w:color="auto" w:fill="auto"/>
          </w:tcPr>
          <w:p w14:paraId="39DBFF5E"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shd w:val="clear" w:color="auto" w:fill="auto"/>
          </w:tcPr>
          <w:p w14:paraId="47E08307"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0B0F8122" w14:textId="77777777" w:rsidR="008C5CFA" w:rsidRPr="00601E29" w:rsidRDefault="00E82A60" w:rsidP="00300A01">
            <w:pPr>
              <w:spacing w:before="0" w:after="0"/>
              <w:jc w:val="right"/>
              <w:rPr>
                <w:sz w:val="10"/>
                <w:szCs w:val="10"/>
                <w:lang w:val="fr-BE"/>
              </w:rPr>
            </w:pPr>
            <w:r w:rsidRPr="00601E29">
              <w:rPr>
                <w:noProof/>
                <w:sz w:val="10"/>
                <w:szCs w:val="10"/>
                <w:lang w:val="fr-BE"/>
              </w:rPr>
              <w:t>527,00</w:t>
            </w:r>
          </w:p>
        </w:tc>
        <w:tc>
          <w:tcPr>
            <w:tcW w:w="0" w:type="auto"/>
            <w:shd w:val="clear" w:color="auto" w:fill="auto"/>
          </w:tcPr>
          <w:p w14:paraId="6CD9A3CE"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shd w:val="clear" w:color="auto" w:fill="auto"/>
          </w:tcPr>
          <w:p w14:paraId="746E0759"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3C1CE8BA" w14:textId="77777777" w:rsidR="008C5CFA" w:rsidRPr="00601E29" w:rsidRDefault="008C5CFA" w:rsidP="00300A01">
            <w:pPr>
              <w:spacing w:before="0" w:after="0"/>
              <w:jc w:val="right"/>
              <w:rPr>
                <w:sz w:val="10"/>
                <w:szCs w:val="10"/>
                <w:lang w:val="fr-BE"/>
              </w:rPr>
            </w:pPr>
          </w:p>
        </w:tc>
      </w:tr>
      <w:tr w:rsidR="006B2EC1" w14:paraId="24AB74A0" w14:textId="77777777" w:rsidTr="0047688D">
        <w:tc>
          <w:tcPr>
            <w:tcW w:w="0" w:type="auto"/>
            <w:shd w:val="clear" w:color="auto" w:fill="auto"/>
          </w:tcPr>
          <w:p w14:paraId="27A55BD1" w14:textId="77777777" w:rsidR="008C5CFA" w:rsidRPr="00601E29" w:rsidRDefault="00E82A60" w:rsidP="00300A01">
            <w:pPr>
              <w:spacing w:before="0" w:after="0"/>
              <w:rPr>
                <w:sz w:val="10"/>
                <w:szCs w:val="10"/>
                <w:lang w:val="fr-BE"/>
              </w:rPr>
            </w:pPr>
            <w:r w:rsidRPr="00601E29">
              <w:rPr>
                <w:noProof/>
                <w:sz w:val="10"/>
                <w:szCs w:val="10"/>
                <w:lang w:val="fr-BE"/>
              </w:rPr>
              <w:t>019</w:t>
            </w:r>
          </w:p>
        </w:tc>
        <w:tc>
          <w:tcPr>
            <w:tcW w:w="0" w:type="auto"/>
            <w:shd w:val="clear" w:color="auto" w:fill="auto"/>
          </w:tcPr>
          <w:p w14:paraId="0DC028A3" w14:textId="77777777" w:rsidR="008C5CFA" w:rsidRPr="00601E29" w:rsidRDefault="00E82A60" w:rsidP="00300A01">
            <w:pPr>
              <w:spacing w:before="0" w:after="0"/>
              <w:rPr>
                <w:sz w:val="10"/>
                <w:szCs w:val="10"/>
                <w:lang w:val="fr-BE"/>
              </w:rPr>
            </w:pPr>
            <w:r w:rsidRPr="00601E29">
              <w:rPr>
                <w:noProof/>
                <w:sz w:val="10"/>
                <w:szCs w:val="10"/>
                <w:lang w:val="fr-BE"/>
              </w:rPr>
              <w:t>Liczba osób zagrożonych ubóstwem lub wykluczeniem społecznym pracujących po opuszczeniu programu (łącznie z pracującymi na własny rachunek)</w:t>
            </w:r>
          </w:p>
        </w:tc>
        <w:tc>
          <w:tcPr>
            <w:tcW w:w="0" w:type="auto"/>
            <w:shd w:val="clear" w:color="auto" w:fill="auto"/>
          </w:tcPr>
          <w:p w14:paraId="1FE3A22D" w14:textId="77777777" w:rsidR="008C5CFA" w:rsidRPr="00601E29" w:rsidRDefault="00E82A60" w:rsidP="00300A01">
            <w:pPr>
              <w:spacing w:before="0" w:after="0"/>
              <w:rPr>
                <w:sz w:val="10"/>
                <w:szCs w:val="10"/>
                <w:lang w:val="fr-BE"/>
              </w:rPr>
            </w:pPr>
            <w:r w:rsidRPr="00601E29">
              <w:rPr>
                <w:noProof/>
                <w:sz w:val="10"/>
                <w:szCs w:val="10"/>
                <w:lang w:val="fr-BE"/>
              </w:rPr>
              <w:t>Słabiej rozwinięte</w:t>
            </w:r>
          </w:p>
        </w:tc>
        <w:tc>
          <w:tcPr>
            <w:tcW w:w="0" w:type="auto"/>
            <w:shd w:val="clear" w:color="auto" w:fill="auto"/>
          </w:tcPr>
          <w:p w14:paraId="7AD14B39" w14:textId="77777777" w:rsidR="008C5CFA" w:rsidRPr="00601E29" w:rsidRDefault="00E82A60" w:rsidP="00300A01">
            <w:pPr>
              <w:spacing w:before="0" w:after="0"/>
              <w:rPr>
                <w:sz w:val="10"/>
                <w:szCs w:val="10"/>
                <w:lang w:val="fr-BE"/>
              </w:rPr>
            </w:pPr>
            <w:r w:rsidRPr="00785F4A">
              <w:rPr>
                <w:noProof/>
                <w:sz w:val="10"/>
                <w:szCs w:val="10"/>
                <w:lang w:val="fr-BE"/>
              </w:rPr>
              <w:t>Liczba</w:t>
            </w:r>
            <w:r w:rsidR="00CE4603">
              <w:rPr>
                <w:sz w:val="10"/>
                <w:szCs w:val="10"/>
                <w:lang w:val="fr-BE"/>
              </w:rPr>
              <w:t xml:space="preserve"> </w:t>
            </w:r>
            <w:r w:rsidR="00CE4603">
              <w:rPr>
                <w:noProof/>
                <w:sz w:val="10"/>
                <w:szCs w:val="10"/>
                <w:lang w:val="fr-BE"/>
              </w:rPr>
              <w:t>(osoba)</w:t>
            </w:r>
          </w:p>
        </w:tc>
        <w:tc>
          <w:tcPr>
            <w:tcW w:w="0" w:type="auto"/>
            <w:shd w:val="clear" w:color="auto" w:fill="auto"/>
          </w:tcPr>
          <w:p w14:paraId="4A3FB05C" w14:textId="77777777" w:rsidR="008C5CFA" w:rsidRPr="00601E29" w:rsidRDefault="00E82A60" w:rsidP="00300A01">
            <w:pPr>
              <w:spacing w:before="0" w:after="0"/>
              <w:rPr>
                <w:sz w:val="10"/>
                <w:szCs w:val="10"/>
                <w:lang w:val="fr-BE"/>
              </w:rPr>
            </w:pPr>
            <w:r w:rsidRPr="00601E29">
              <w:rPr>
                <w:sz w:val="10"/>
                <w:szCs w:val="10"/>
                <w:lang w:val="fr-BE"/>
              </w:rPr>
              <w:t xml:space="preserve"> </w:t>
            </w:r>
          </w:p>
        </w:tc>
        <w:tc>
          <w:tcPr>
            <w:tcW w:w="0" w:type="auto"/>
            <w:shd w:val="clear" w:color="auto" w:fill="auto"/>
          </w:tcPr>
          <w:p w14:paraId="085D8D92" w14:textId="77777777" w:rsidR="008C5CFA" w:rsidRPr="00601E29" w:rsidRDefault="00E82A60" w:rsidP="00300A01">
            <w:pPr>
              <w:spacing w:before="0" w:after="0"/>
              <w:jc w:val="center"/>
              <w:rPr>
                <w:sz w:val="10"/>
                <w:szCs w:val="10"/>
                <w:lang w:val="fr-BE"/>
              </w:rPr>
            </w:pPr>
            <w:r w:rsidRPr="00601E29">
              <w:rPr>
                <w:noProof/>
                <w:sz w:val="10"/>
                <w:szCs w:val="10"/>
                <w:lang w:val="fr-BE"/>
              </w:rPr>
              <w:t>Współczynnik</w:t>
            </w:r>
          </w:p>
        </w:tc>
        <w:tc>
          <w:tcPr>
            <w:tcW w:w="0" w:type="auto"/>
            <w:shd w:val="clear" w:color="auto" w:fill="auto"/>
          </w:tcPr>
          <w:p w14:paraId="080CCCD8" w14:textId="77777777" w:rsidR="008C5CFA" w:rsidRPr="00601E29" w:rsidRDefault="00E82A60" w:rsidP="00300A01">
            <w:pPr>
              <w:spacing w:before="0" w:after="0"/>
              <w:jc w:val="right"/>
              <w:rPr>
                <w:sz w:val="10"/>
                <w:szCs w:val="10"/>
                <w:lang w:val="fr-BE"/>
              </w:rPr>
            </w:pPr>
            <w:r w:rsidRPr="00601E29">
              <w:rPr>
                <w:noProof/>
                <w:sz w:val="10"/>
                <w:szCs w:val="10"/>
                <w:lang w:val="fr-BE"/>
              </w:rPr>
              <w:t>30,00</w:t>
            </w:r>
            <w:r>
              <w:rPr>
                <w:noProof/>
                <w:sz w:val="10"/>
                <w:szCs w:val="10"/>
                <w:lang w:val="fr-BE"/>
              </w:rPr>
              <w:t>%</w:t>
            </w:r>
          </w:p>
        </w:tc>
        <w:tc>
          <w:tcPr>
            <w:tcW w:w="0" w:type="auto"/>
            <w:shd w:val="clear" w:color="auto" w:fill="auto"/>
          </w:tcPr>
          <w:p w14:paraId="6E1B33C9" w14:textId="77777777" w:rsidR="008C5CFA" w:rsidRPr="00601E29" w:rsidRDefault="008C5CFA" w:rsidP="00300A01">
            <w:pPr>
              <w:spacing w:before="0" w:after="0"/>
              <w:jc w:val="right"/>
              <w:rPr>
                <w:sz w:val="10"/>
                <w:szCs w:val="10"/>
                <w:lang w:val="fr-BE"/>
              </w:rPr>
            </w:pPr>
          </w:p>
        </w:tc>
        <w:tc>
          <w:tcPr>
            <w:tcW w:w="0" w:type="auto"/>
            <w:shd w:val="clear" w:color="auto" w:fill="auto"/>
          </w:tcPr>
          <w:p w14:paraId="249EA480" w14:textId="77777777" w:rsidR="008C5CFA" w:rsidRPr="00601E29" w:rsidRDefault="008C5CFA" w:rsidP="00300A01">
            <w:pPr>
              <w:spacing w:before="0" w:after="0"/>
              <w:jc w:val="right"/>
              <w:rPr>
                <w:sz w:val="10"/>
                <w:szCs w:val="10"/>
                <w:lang w:val="fr-BE"/>
              </w:rPr>
            </w:pPr>
          </w:p>
        </w:tc>
        <w:tc>
          <w:tcPr>
            <w:tcW w:w="0" w:type="auto"/>
            <w:shd w:val="clear" w:color="auto" w:fill="auto"/>
          </w:tcPr>
          <w:p w14:paraId="75198D5A" w14:textId="77777777" w:rsidR="008C5CFA" w:rsidRPr="00601E29" w:rsidRDefault="00E82A60" w:rsidP="00300A01">
            <w:pPr>
              <w:spacing w:before="0" w:after="0"/>
              <w:jc w:val="right"/>
              <w:rPr>
                <w:sz w:val="10"/>
                <w:szCs w:val="10"/>
                <w:lang w:val="fr-BE"/>
              </w:rPr>
            </w:pPr>
            <w:r>
              <w:rPr>
                <w:noProof/>
                <w:sz w:val="10"/>
                <w:szCs w:val="10"/>
                <w:lang w:val="fr-BE"/>
              </w:rPr>
              <w:t>0,85</w:t>
            </w:r>
          </w:p>
        </w:tc>
        <w:tc>
          <w:tcPr>
            <w:tcW w:w="0" w:type="auto"/>
            <w:shd w:val="clear" w:color="auto" w:fill="auto"/>
          </w:tcPr>
          <w:p w14:paraId="7050A124" w14:textId="77777777" w:rsidR="008C5CFA" w:rsidRPr="00601E29" w:rsidRDefault="008C5CFA" w:rsidP="00300A01">
            <w:pPr>
              <w:spacing w:before="0" w:after="0"/>
              <w:jc w:val="right"/>
              <w:rPr>
                <w:sz w:val="10"/>
                <w:szCs w:val="10"/>
                <w:lang w:val="fr-BE"/>
              </w:rPr>
            </w:pPr>
          </w:p>
        </w:tc>
        <w:tc>
          <w:tcPr>
            <w:tcW w:w="0" w:type="auto"/>
            <w:shd w:val="clear" w:color="auto" w:fill="auto"/>
          </w:tcPr>
          <w:p w14:paraId="6042CE33" w14:textId="77777777" w:rsidR="008C5CFA" w:rsidRPr="00601E29" w:rsidRDefault="008C5CFA" w:rsidP="00300A01">
            <w:pPr>
              <w:spacing w:before="0" w:after="0"/>
              <w:jc w:val="right"/>
              <w:rPr>
                <w:sz w:val="10"/>
                <w:szCs w:val="10"/>
                <w:lang w:val="fr-BE"/>
              </w:rPr>
            </w:pPr>
          </w:p>
        </w:tc>
        <w:tc>
          <w:tcPr>
            <w:tcW w:w="0" w:type="auto"/>
            <w:shd w:val="clear" w:color="auto" w:fill="auto"/>
          </w:tcPr>
          <w:p w14:paraId="7DED588F" w14:textId="77777777" w:rsidR="008C5CFA" w:rsidRPr="00601E29" w:rsidRDefault="00E82A60" w:rsidP="00300A01">
            <w:pPr>
              <w:spacing w:before="0" w:after="0"/>
              <w:jc w:val="right"/>
              <w:rPr>
                <w:sz w:val="10"/>
                <w:szCs w:val="10"/>
                <w:lang w:val="fr-BE"/>
              </w:rPr>
            </w:pPr>
            <w:r w:rsidRPr="00601E29">
              <w:rPr>
                <w:noProof/>
                <w:sz w:val="10"/>
                <w:szCs w:val="10"/>
                <w:lang w:val="fr-BE"/>
              </w:rPr>
              <w:t>894,00</w:t>
            </w:r>
          </w:p>
        </w:tc>
        <w:tc>
          <w:tcPr>
            <w:tcW w:w="0" w:type="auto"/>
            <w:shd w:val="clear" w:color="auto" w:fill="auto"/>
          </w:tcPr>
          <w:p w14:paraId="156B6495"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shd w:val="clear" w:color="auto" w:fill="auto"/>
          </w:tcPr>
          <w:p w14:paraId="53FE5AB4" w14:textId="77777777" w:rsidR="008C5CFA" w:rsidRPr="00601E29" w:rsidRDefault="00E82A60" w:rsidP="00300A01">
            <w:pPr>
              <w:spacing w:before="0" w:after="0"/>
              <w:jc w:val="right"/>
              <w:rPr>
                <w:sz w:val="10"/>
                <w:szCs w:val="10"/>
                <w:lang w:val="fr-BE"/>
              </w:rPr>
            </w:pPr>
            <w:r w:rsidRPr="00601E29">
              <w:rPr>
                <w:noProof/>
                <w:sz w:val="10"/>
                <w:szCs w:val="10"/>
                <w:lang w:val="fr-BE"/>
              </w:rPr>
              <w:t>1,00</w:t>
            </w:r>
          </w:p>
        </w:tc>
        <w:tc>
          <w:tcPr>
            <w:tcW w:w="0" w:type="auto"/>
          </w:tcPr>
          <w:p w14:paraId="5FEA9C88" w14:textId="77777777" w:rsidR="008C5CFA" w:rsidRPr="00601E29" w:rsidRDefault="00E82A60" w:rsidP="00300A01">
            <w:pPr>
              <w:spacing w:before="0" w:after="0"/>
              <w:jc w:val="right"/>
              <w:rPr>
                <w:sz w:val="10"/>
                <w:szCs w:val="10"/>
                <w:lang w:val="fr-BE"/>
              </w:rPr>
            </w:pPr>
            <w:r w:rsidRPr="00601E29">
              <w:rPr>
                <w:noProof/>
                <w:sz w:val="10"/>
                <w:szCs w:val="10"/>
                <w:lang w:val="fr-BE"/>
              </w:rPr>
              <w:t>527,00</w:t>
            </w:r>
          </w:p>
        </w:tc>
        <w:tc>
          <w:tcPr>
            <w:tcW w:w="0" w:type="auto"/>
            <w:shd w:val="clear" w:color="auto" w:fill="auto"/>
          </w:tcPr>
          <w:p w14:paraId="4683F1E3"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shd w:val="clear" w:color="auto" w:fill="auto"/>
          </w:tcPr>
          <w:p w14:paraId="4EE35B32"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032E5CD1" w14:textId="77777777" w:rsidR="008C5CFA" w:rsidRPr="00601E29" w:rsidRDefault="008C5CFA" w:rsidP="00300A01">
            <w:pPr>
              <w:spacing w:before="0" w:after="0"/>
              <w:jc w:val="right"/>
              <w:rPr>
                <w:sz w:val="10"/>
                <w:szCs w:val="10"/>
                <w:lang w:val="fr-BE"/>
              </w:rPr>
            </w:pPr>
          </w:p>
        </w:tc>
      </w:tr>
      <w:tr w:rsidR="006B2EC1" w14:paraId="6179775A" w14:textId="77777777" w:rsidTr="0047688D">
        <w:tc>
          <w:tcPr>
            <w:tcW w:w="0" w:type="auto"/>
            <w:shd w:val="clear" w:color="auto" w:fill="auto"/>
          </w:tcPr>
          <w:p w14:paraId="60A5E888" w14:textId="77777777" w:rsidR="008C5CFA" w:rsidRPr="00601E29" w:rsidRDefault="00E82A60" w:rsidP="00300A01">
            <w:pPr>
              <w:spacing w:before="0" w:after="0"/>
              <w:rPr>
                <w:sz w:val="10"/>
                <w:szCs w:val="10"/>
                <w:lang w:val="fr-BE"/>
              </w:rPr>
            </w:pPr>
            <w:r w:rsidRPr="00601E29">
              <w:rPr>
                <w:noProof/>
                <w:sz w:val="10"/>
                <w:szCs w:val="10"/>
                <w:lang w:val="fr-BE"/>
              </w:rPr>
              <w:t>020</w:t>
            </w:r>
          </w:p>
        </w:tc>
        <w:tc>
          <w:tcPr>
            <w:tcW w:w="0" w:type="auto"/>
            <w:shd w:val="clear" w:color="auto" w:fill="auto"/>
          </w:tcPr>
          <w:p w14:paraId="57D6820C" w14:textId="77777777" w:rsidR="008C5CFA" w:rsidRPr="00601E29" w:rsidRDefault="00E82A60" w:rsidP="00300A01">
            <w:pPr>
              <w:spacing w:before="0" w:after="0"/>
              <w:rPr>
                <w:sz w:val="10"/>
                <w:szCs w:val="10"/>
                <w:lang w:val="fr-BE"/>
              </w:rPr>
            </w:pPr>
            <w:r w:rsidRPr="00601E29">
              <w:rPr>
                <w:noProof/>
                <w:sz w:val="10"/>
                <w:szCs w:val="10"/>
                <w:lang w:val="fr-BE"/>
              </w:rPr>
              <w:t>Liczba osób zagrożonych ubóstwem lub wykluczeniem społecznym pracujących 6 miesięcy po opuszczeniu programu (łącznie z pracującymi na własny rachunek)</w:t>
            </w:r>
          </w:p>
        </w:tc>
        <w:tc>
          <w:tcPr>
            <w:tcW w:w="0" w:type="auto"/>
            <w:shd w:val="clear" w:color="auto" w:fill="auto"/>
          </w:tcPr>
          <w:p w14:paraId="5B47DBA0" w14:textId="77777777" w:rsidR="008C5CFA" w:rsidRPr="00601E29" w:rsidRDefault="00E82A60" w:rsidP="00300A01">
            <w:pPr>
              <w:spacing w:before="0" w:after="0"/>
              <w:rPr>
                <w:sz w:val="10"/>
                <w:szCs w:val="10"/>
                <w:lang w:val="fr-BE"/>
              </w:rPr>
            </w:pPr>
            <w:r w:rsidRPr="00601E29">
              <w:rPr>
                <w:noProof/>
                <w:sz w:val="10"/>
                <w:szCs w:val="10"/>
                <w:lang w:val="fr-BE"/>
              </w:rPr>
              <w:t>Słabiej rozwinięte</w:t>
            </w:r>
          </w:p>
        </w:tc>
        <w:tc>
          <w:tcPr>
            <w:tcW w:w="0" w:type="auto"/>
            <w:shd w:val="clear" w:color="auto" w:fill="auto"/>
          </w:tcPr>
          <w:p w14:paraId="6EC17E16" w14:textId="77777777" w:rsidR="008C5CFA" w:rsidRPr="00601E29" w:rsidRDefault="00E82A60" w:rsidP="00300A01">
            <w:pPr>
              <w:spacing w:before="0" w:after="0"/>
              <w:rPr>
                <w:sz w:val="10"/>
                <w:szCs w:val="10"/>
                <w:lang w:val="fr-BE"/>
              </w:rPr>
            </w:pPr>
            <w:r w:rsidRPr="00785F4A">
              <w:rPr>
                <w:noProof/>
                <w:sz w:val="10"/>
                <w:szCs w:val="10"/>
                <w:lang w:val="fr-BE"/>
              </w:rPr>
              <w:t>Liczba</w:t>
            </w:r>
            <w:r w:rsidR="00CE4603">
              <w:rPr>
                <w:sz w:val="10"/>
                <w:szCs w:val="10"/>
                <w:lang w:val="fr-BE"/>
              </w:rPr>
              <w:t xml:space="preserve"> </w:t>
            </w:r>
            <w:r w:rsidR="00CE4603">
              <w:rPr>
                <w:noProof/>
                <w:sz w:val="10"/>
                <w:szCs w:val="10"/>
                <w:lang w:val="fr-BE"/>
              </w:rPr>
              <w:t>(osoba)</w:t>
            </w:r>
          </w:p>
        </w:tc>
        <w:tc>
          <w:tcPr>
            <w:tcW w:w="0" w:type="auto"/>
            <w:shd w:val="clear" w:color="auto" w:fill="auto"/>
          </w:tcPr>
          <w:p w14:paraId="100F0097" w14:textId="77777777" w:rsidR="008C5CFA" w:rsidRPr="00601E29" w:rsidRDefault="00E82A60" w:rsidP="00300A01">
            <w:pPr>
              <w:spacing w:before="0" w:after="0"/>
              <w:rPr>
                <w:sz w:val="10"/>
                <w:szCs w:val="10"/>
                <w:lang w:val="fr-BE"/>
              </w:rPr>
            </w:pPr>
            <w:r w:rsidRPr="00601E29">
              <w:rPr>
                <w:sz w:val="10"/>
                <w:szCs w:val="10"/>
                <w:lang w:val="fr-BE"/>
              </w:rPr>
              <w:t xml:space="preserve"> </w:t>
            </w:r>
          </w:p>
        </w:tc>
        <w:tc>
          <w:tcPr>
            <w:tcW w:w="0" w:type="auto"/>
            <w:shd w:val="clear" w:color="auto" w:fill="auto"/>
          </w:tcPr>
          <w:p w14:paraId="2A96583B" w14:textId="77777777" w:rsidR="008C5CFA" w:rsidRPr="00601E29" w:rsidRDefault="00E82A60" w:rsidP="00300A01">
            <w:pPr>
              <w:spacing w:before="0" w:after="0"/>
              <w:jc w:val="center"/>
              <w:rPr>
                <w:sz w:val="10"/>
                <w:szCs w:val="10"/>
                <w:lang w:val="fr-BE"/>
              </w:rPr>
            </w:pPr>
            <w:r w:rsidRPr="00601E29">
              <w:rPr>
                <w:noProof/>
                <w:sz w:val="10"/>
                <w:szCs w:val="10"/>
                <w:lang w:val="fr-BE"/>
              </w:rPr>
              <w:t>Współczynnik</w:t>
            </w:r>
          </w:p>
        </w:tc>
        <w:tc>
          <w:tcPr>
            <w:tcW w:w="0" w:type="auto"/>
            <w:shd w:val="clear" w:color="auto" w:fill="auto"/>
          </w:tcPr>
          <w:p w14:paraId="64C38BD3" w14:textId="77777777" w:rsidR="008C5CFA" w:rsidRPr="00601E29" w:rsidRDefault="00E82A60" w:rsidP="00300A01">
            <w:pPr>
              <w:spacing w:before="0" w:after="0"/>
              <w:jc w:val="right"/>
              <w:rPr>
                <w:sz w:val="10"/>
                <w:szCs w:val="10"/>
                <w:lang w:val="fr-BE"/>
              </w:rPr>
            </w:pPr>
            <w:r w:rsidRPr="00601E29">
              <w:rPr>
                <w:noProof/>
                <w:sz w:val="10"/>
                <w:szCs w:val="10"/>
                <w:lang w:val="fr-BE"/>
              </w:rPr>
              <w:t>24,00</w:t>
            </w:r>
            <w:r>
              <w:rPr>
                <w:noProof/>
                <w:sz w:val="10"/>
                <w:szCs w:val="10"/>
                <w:lang w:val="fr-BE"/>
              </w:rPr>
              <w:t>%</w:t>
            </w:r>
          </w:p>
        </w:tc>
        <w:tc>
          <w:tcPr>
            <w:tcW w:w="0" w:type="auto"/>
            <w:shd w:val="clear" w:color="auto" w:fill="auto"/>
          </w:tcPr>
          <w:p w14:paraId="3CD806ED" w14:textId="77777777" w:rsidR="008C5CFA" w:rsidRPr="00601E29" w:rsidRDefault="008C5CFA" w:rsidP="00300A01">
            <w:pPr>
              <w:spacing w:before="0" w:after="0"/>
              <w:jc w:val="right"/>
              <w:rPr>
                <w:sz w:val="10"/>
                <w:szCs w:val="10"/>
                <w:lang w:val="fr-BE"/>
              </w:rPr>
            </w:pPr>
          </w:p>
        </w:tc>
        <w:tc>
          <w:tcPr>
            <w:tcW w:w="0" w:type="auto"/>
            <w:shd w:val="clear" w:color="auto" w:fill="auto"/>
          </w:tcPr>
          <w:p w14:paraId="468E93CE" w14:textId="77777777" w:rsidR="008C5CFA" w:rsidRPr="00601E29" w:rsidRDefault="008C5CFA" w:rsidP="00300A01">
            <w:pPr>
              <w:spacing w:before="0" w:after="0"/>
              <w:jc w:val="right"/>
              <w:rPr>
                <w:sz w:val="10"/>
                <w:szCs w:val="10"/>
                <w:lang w:val="fr-BE"/>
              </w:rPr>
            </w:pPr>
          </w:p>
        </w:tc>
        <w:tc>
          <w:tcPr>
            <w:tcW w:w="0" w:type="auto"/>
            <w:shd w:val="clear" w:color="auto" w:fill="auto"/>
          </w:tcPr>
          <w:p w14:paraId="66C91A47" w14:textId="77777777" w:rsidR="008C5CFA" w:rsidRPr="00601E29" w:rsidRDefault="00E82A60" w:rsidP="00300A01">
            <w:pPr>
              <w:spacing w:before="0" w:after="0"/>
              <w:jc w:val="right"/>
              <w:rPr>
                <w:sz w:val="10"/>
                <w:szCs w:val="10"/>
                <w:lang w:val="fr-BE"/>
              </w:rPr>
            </w:pPr>
            <w:r>
              <w:rPr>
                <w:noProof/>
                <w:sz w:val="10"/>
                <w:szCs w:val="10"/>
                <w:lang w:val="fr-BE"/>
              </w:rPr>
              <w:t>0,55</w:t>
            </w:r>
          </w:p>
        </w:tc>
        <w:tc>
          <w:tcPr>
            <w:tcW w:w="0" w:type="auto"/>
            <w:shd w:val="clear" w:color="auto" w:fill="auto"/>
          </w:tcPr>
          <w:p w14:paraId="4C020AD5" w14:textId="77777777" w:rsidR="008C5CFA" w:rsidRPr="00601E29" w:rsidRDefault="008C5CFA" w:rsidP="00300A01">
            <w:pPr>
              <w:spacing w:before="0" w:after="0"/>
              <w:jc w:val="right"/>
              <w:rPr>
                <w:sz w:val="10"/>
                <w:szCs w:val="10"/>
                <w:lang w:val="fr-BE"/>
              </w:rPr>
            </w:pPr>
          </w:p>
        </w:tc>
        <w:tc>
          <w:tcPr>
            <w:tcW w:w="0" w:type="auto"/>
            <w:shd w:val="clear" w:color="auto" w:fill="auto"/>
          </w:tcPr>
          <w:p w14:paraId="05665C95" w14:textId="77777777" w:rsidR="008C5CFA" w:rsidRPr="00601E29" w:rsidRDefault="008C5CFA" w:rsidP="00300A01">
            <w:pPr>
              <w:spacing w:before="0" w:after="0"/>
              <w:jc w:val="right"/>
              <w:rPr>
                <w:sz w:val="10"/>
                <w:szCs w:val="10"/>
                <w:lang w:val="fr-BE"/>
              </w:rPr>
            </w:pPr>
          </w:p>
        </w:tc>
        <w:tc>
          <w:tcPr>
            <w:tcW w:w="0" w:type="auto"/>
            <w:shd w:val="clear" w:color="auto" w:fill="auto"/>
          </w:tcPr>
          <w:p w14:paraId="42FA7361" w14:textId="77777777" w:rsidR="008C5CFA" w:rsidRPr="00601E29" w:rsidRDefault="00E82A60" w:rsidP="00300A01">
            <w:pPr>
              <w:spacing w:before="0" w:after="0"/>
              <w:jc w:val="right"/>
              <w:rPr>
                <w:sz w:val="10"/>
                <w:szCs w:val="10"/>
                <w:lang w:val="fr-BE"/>
              </w:rPr>
            </w:pPr>
            <w:r w:rsidRPr="00601E29">
              <w:rPr>
                <w:noProof/>
                <w:sz w:val="10"/>
                <w:szCs w:val="10"/>
                <w:lang w:val="fr-BE"/>
              </w:rPr>
              <w:t>465,00</w:t>
            </w:r>
          </w:p>
        </w:tc>
        <w:tc>
          <w:tcPr>
            <w:tcW w:w="0" w:type="auto"/>
            <w:shd w:val="clear" w:color="auto" w:fill="auto"/>
          </w:tcPr>
          <w:p w14:paraId="1D29335F"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shd w:val="clear" w:color="auto" w:fill="auto"/>
          </w:tcPr>
          <w:p w14:paraId="50A482E6"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523EA505"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shd w:val="clear" w:color="auto" w:fill="auto"/>
          </w:tcPr>
          <w:p w14:paraId="484D8722"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shd w:val="clear" w:color="auto" w:fill="auto"/>
          </w:tcPr>
          <w:p w14:paraId="614606C8"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567F01EB" w14:textId="77777777" w:rsidR="008C5CFA" w:rsidRPr="00601E29" w:rsidRDefault="008C5CFA" w:rsidP="00300A01">
            <w:pPr>
              <w:spacing w:before="0" w:after="0"/>
              <w:jc w:val="right"/>
              <w:rPr>
                <w:sz w:val="10"/>
                <w:szCs w:val="10"/>
                <w:lang w:val="fr-BE"/>
              </w:rPr>
            </w:pPr>
          </w:p>
        </w:tc>
      </w:tr>
    </w:tbl>
    <w:p w14:paraId="0BE48F84"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71"/>
        <w:gridCol w:w="6788"/>
        <w:gridCol w:w="915"/>
        <w:gridCol w:w="458"/>
        <w:gridCol w:w="576"/>
        <w:gridCol w:w="463"/>
        <w:gridCol w:w="458"/>
        <w:gridCol w:w="576"/>
        <w:gridCol w:w="463"/>
        <w:gridCol w:w="611"/>
        <w:gridCol w:w="458"/>
        <w:gridCol w:w="576"/>
        <w:gridCol w:w="463"/>
        <w:gridCol w:w="458"/>
        <w:gridCol w:w="576"/>
        <w:gridCol w:w="463"/>
        <w:gridCol w:w="611"/>
      </w:tblGrid>
      <w:tr w:rsidR="006B2EC1" w14:paraId="58614A74" w14:textId="77777777" w:rsidTr="0047688D">
        <w:trPr>
          <w:tblHeader/>
        </w:trPr>
        <w:tc>
          <w:tcPr>
            <w:tcW w:w="0" w:type="auto"/>
            <w:shd w:val="clear" w:color="auto" w:fill="auto"/>
          </w:tcPr>
          <w:p w14:paraId="5A6269EF" w14:textId="77777777" w:rsidR="008C5CFA" w:rsidRPr="00601E29" w:rsidRDefault="00E82A60" w:rsidP="00300A01">
            <w:pPr>
              <w:spacing w:before="0" w:after="0"/>
              <w:rPr>
                <w:b/>
                <w:sz w:val="10"/>
                <w:szCs w:val="10"/>
                <w:lang w:val="fr-BE"/>
              </w:rPr>
            </w:pPr>
            <w:r w:rsidRPr="00601E29">
              <w:rPr>
                <w:b/>
                <w:noProof/>
                <w:sz w:val="10"/>
                <w:szCs w:val="10"/>
                <w:lang w:val="fr-BE"/>
              </w:rPr>
              <w:t>ID</w:t>
            </w:r>
          </w:p>
        </w:tc>
        <w:tc>
          <w:tcPr>
            <w:tcW w:w="0" w:type="auto"/>
            <w:shd w:val="clear" w:color="auto" w:fill="auto"/>
          </w:tcPr>
          <w:p w14:paraId="0C86CB65" w14:textId="77777777" w:rsidR="008C5CFA" w:rsidRPr="00601E29" w:rsidRDefault="00E82A60" w:rsidP="00300A01">
            <w:pPr>
              <w:spacing w:before="0" w:after="0"/>
              <w:rPr>
                <w:b/>
                <w:sz w:val="10"/>
                <w:szCs w:val="10"/>
                <w:lang w:val="fr-BE"/>
              </w:rPr>
            </w:pPr>
            <w:r w:rsidRPr="00601E29">
              <w:rPr>
                <w:b/>
                <w:noProof/>
                <w:sz w:val="10"/>
                <w:szCs w:val="10"/>
                <w:lang w:val="fr-BE"/>
              </w:rPr>
              <w:t>Wskaźnik</w:t>
            </w:r>
          </w:p>
        </w:tc>
        <w:tc>
          <w:tcPr>
            <w:tcW w:w="0" w:type="auto"/>
            <w:shd w:val="clear" w:color="auto" w:fill="auto"/>
          </w:tcPr>
          <w:p w14:paraId="2A35A5CE" w14:textId="77777777" w:rsidR="008C5CFA" w:rsidRPr="00601E29" w:rsidRDefault="00E82A60" w:rsidP="00300A01">
            <w:pPr>
              <w:spacing w:before="0" w:after="0"/>
              <w:rPr>
                <w:b/>
                <w:sz w:val="10"/>
                <w:szCs w:val="10"/>
                <w:lang w:val="fr-BE"/>
              </w:rPr>
            </w:pPr>
            <w:r w:rsidRPr="00601E29">
              <w:rPr>
                <w:b/>
                <w:noProof/>
                <w:sz w:val="10"/>
                <w:szCs w:val="10"/>
                <w:lang w:val="fr-BE"/>
              </w:rPr>
              <w:t>Kategoria regionu</w:t>
            </w:r>
          </w:p>
        </w:tc>
        <w:tc>
          <w:tcPr>
            <w:tcW w:w="0" w:type="auto"/>
            <w:gridSpan w:val="7"/>
          </w:tcPr>
          <w:p w14:paraId="67268795" w14:textId="77777777" w:rsidR="008C5CFA" w:rsidRPr="00601E29" w:rsidRDefault="00E82A60" w:rsidP="00300A01">
            <w:pPr>
              <w:spacing w:before="0" w:after="0"/>
              <w:jc w:val="center"/>
              <w:rPr>
                <w:b/>
                <w:sz w:val="10"/>
                <w:szCs w:val="10"/>
                <w:lang w:val="fr-BE"/>
              </w:rPr>
            </w:pPr>
            <w:r>
              <w:rPr>
                <w:b/>
                <w:sz w:val="10"/>
                <w:szCs w:val="10"/>
                <w:lang w:val="fr-BE"/>
              </w:rPr>
              <w:t>2018</w:t>
            </w:r>
          </w:p>
        </w:tc>
        <w:tc>
          <w:tcPr>
            <w:tcW w:w="0" w:type="auto"/>
            <w:gridSpan w:val="7"/>
          </w:tcPr>
          <w:p w14:paraId="4C2C3E5D" w14:textId="77777777" w:rsidR="008C5CFA" w:rsidRPr="00601E29" w:rsidRDefault="00E82A60" w:rsidP="00300A01">
            <w:pPr>
              <w:spacing w:before="0" w:after="0"/>
              <w:jc w:val="center"/>
              <w:rPr>
                <w:b/>
                <w:sz w:val="10"/>
                <w:szCs w:val="10"/>
                <w:lang w:val="fr-BE"/>
              </w:rPr>
            </w:pPr>
            <w:r>
              <w:rPr>
                <w:b/>
                <w:sz w:val="10"/>
                <w:szCs w:val="10"/>
                <w:lang w:val="fr-BE"/>
              </w:rPr>
              <w:t>2017</w:t>
            </w:r>
          </w:p>
        </w:tc>
      </w:tr>
      <w:tr w:rsidR="006B2EC1" w14:paraId="114AD60A" w14:textId="77777777" w:rsidTr="0047688D">
        <w:trPr>
          <w:tblHeader/>
        </w:trPr>
        <w:tc>
          <w:tcPr>
            <w:tcW w:w="0" w:type="auto"/>
            <w:shd w:val="clear" w:color="auto" w:fill="auto"/>
          </w:tcPr>
          <w:p w14:paraId="277227B9" w14:textId="77777777" w:rsidR="008C5CFA" w:rsidRPr="00601E29" w:rsidRDefault="008C5CFA" w:rsidP="00300A01">
            <w:pPr>
              <w:spacing w:before="0" w:after="0"/>
              <w:rPr>
                <w:b/>
                <w:sz w:val="10"/>
                <w:szCs w:val="10"/>
                <w:lang w:val="fr-BE"/>
              </w:rPr>
            </w:pPr>
          </w:p>
        </w:tc>
        <w:tc>
          <w:tcPr>
            <w:tcW w:w="0" w:type="auto"/>
            <w:shd w:val="clear" w:color="auto" w:fill="auto"/>
          </w:tcPr>
          <w:p w14:paraId="616AA70B" w14:textId="77777777" w:rsidR="008C5CFA" w:rsidRPr="00601E29" w:rsidRDefault="008C5CFA" w:rsidP="00300A01">
            <w:pPr>
              <w:spacing w:before="0" w:after="0"/>
              <w:rPr>
                <w:b/>
                <w:sz w:val="10"/>
                <w:szCs w:val="10"/>
                <w:lang w:val="fr-BE"/>
              </w:rPr>
            </w:pPr>
          </w:p>
        </w:tc>
        <w:tc>
          <w:tcPr>
            <w:tcW w:w="0" w:type="auto"/>
            <w:shd w:val="clear" w:color="auto" w:fill="auto"/>
          </w:tcPr>
          <w:p w14:paraId="53972BBC" w14:textId="77777777" w:rsidR="008C5CFA" w:rsidRPr="00601E29" w:rsidRDefault="008C5CFA" w:rsidP="00300A01">
            <w:pPr>
              <w:spacing w:before="0" w:after="0"/>
              <w:rPr>
                <w:b/>
                <w:sz w:val="10"/>
                <w:szCs w:val="10"/>
                <w:lang w:val="fr-BE"/>
              </w:rPr>
            </w:pPr>
          </w:p>
        </w:tc>
        <w:tc>
          <w:tcPr>
            <w:tcW w:w="0" w:type="auto"/>
            <w:gridSpan w:val="3"/>
          </w:tcPr>
          <w:p w14:paraId="6975A3DC" w14:textId="77777777" w:rsidR="008C5CFA" w:rsidRPr="00601E29" w:rsidRDefault="00E82A60" w:rsidP="00300A01">
            <w:pPr>
              <w:spacing w:before="0" w:after="0"/>
              <w:jc w:val="center"/>
              <w:rPr>
                <w:b/>
                <w:sz w:val="10"/>
                <w:szCs w:val="10"/>
                <w:lang w:val="fr-BE"/>
              </w:rPr>
            </w:pPr>
            <w:r w:rsidRPr="00601E29">
              <w:rPr>
                <w:b/>
                <w:noProof/>
                <w:sz w:val="10"/>
                <w:szCs w:val="10"/>
                <w:lang w:val="fr-BE"/>
              </w:rPr>
              <w:t>Łącznie</w:t>
            </w:r>
          </w:p>
        </w:tc>
        <w:tc>
          <w:tcPr>
            <w:tcW w:w="0" w:type="auto"/>
            <w:gridSpan w:val="3"/>
          </w:tcPr>
          <w:p w14:paraId="611C2395" w14:textId="77777777" w:rsidR="008C5CFA" w:rsidRPr="00601E29" w:rsidRDefault="00E82A60" w:rsidP="00300A01">
            <w:pPr>
              <w:spacing w:before="0" w:after="0"/>
              <w:jc w:val="center"/>
              <w:rPr>
                <w:b/>
                <w:sz w:val="10"/>
                <w:szCs w:val="10"/>
                <w:lang w:val="fr-BE"/>
              </w:rPr>
            </w:pPr>
            <w:r w:rsidRPr="00601E29">
              <w:rPr>
                <w:b/>
                <w:noProof/>
                <w:sz w:val="10"/>
                <w:szCs w:val="10"/>
                <w:lang w:val="fr-BE"/>
              </w:rPr>
              <w:t>Łącznie w roku</w:t>
            </w:r>
          </w:p>
        </w:tc>
        <w:tc>
          <w:tcPr>
            <w:tcW w:w="0" w:type="auto"/>
          </w:tcPr>
          <w:p w14:paraId="0F8E0437" w14:textId="77777777" w:rsidR="008C5CFA" w:rsidRPr="00601E29" w:rsidRDefault="00E82A60" w:rsidP="00300A01">
            <w:pPr>
              <w:spacing w:before="0" w:after="0"/>
              <w:jc w:val="center"/>
              <w:rPr>
                <w:b/>
                <w:sz w:val="10"/>
                <w:szCs w:val="10"/>
                <w:lang w:val="fr-BE"/>
              </w:rPr>
            </w:pPr>
            <w:r w:rsidRPr="00601E29">
              <w:rPr>
                <w:b/>
                <w:noProof/>
                <w:sz w:val="10"/>
                <w:szCs w:val="10"/>
                <w:lang w:val="fr-BE"/>
              </w:rPr>
              <w:t>Jakościowe</w:t>
            </w:r>
          </w:p>
        </w:tc>
        <w:tc>
          <w:tcPr>
            <w:tcW w:w="0" w:type="auto"/>
            <w:gridSpan w:val="3"/>
          </w:tcPr>
          <w:p w14:paraId="564479D6" w14:textId="77777777" w:rsidR="008C5CFA" w:rsidRPr="00601E29" w:rsidRDefault="00E82A60" w:rsidP="00300A01">
            <w:pPr>
              <w:spacing w:before="0" w:after="0"/>
              <w:jc w:val="center"/>
              <w:rPr>
                <w:b/>
                <w:sz w:val="10"/>
                <w:szCs w:val="10"/>
                <w:lang w:val="fr-BE"/>
              </w:rPr>
            </w:pPr>
            <w:r w:rsidRPr="00601E29">
              <w:rPr>
                <w:b/>
                <w:noProof/>
                <w:sz w:val="10"/>
                <w:szCs w:val="10"/>
                <w:lang w:val="fr-BE"/>
              </w:rPr>
              <w:t>Łącznie</w:t>
            </w:r>
          </w:p>
        </w:tc>
        <w:tc>
          <w:tcPr>
            <w:tcW w:w="0" w:type="auto"/>
            <w:gridSpan w:val="3"/>
          </w:tcPr>
          <w:p w14:paraId="1C02E800" w14:textId="77777777" w:rsidR="008C5CFA" w:rsidRPr="00601E29" w:rsidRDefault="00E82A60" w:rsidP="00300A01">
            <w:pPr>
              <w:spacing w:before="0" w:after="0"/>
              <w:jc w:val="center"/>
              <w:rPr>
                <w:b/>
                <w:sz w:val="10"/>
                <w:szCs w:val="10"/>
                <w:lang w:val="fr-BE"/>
              </w:rPr>
            </w:pPr>
            <w:r w:rsidRPr="00601E29">
              <w:rPr>
                <w:b/>
                <w:noProof/>
                <w:sz w:val="10"/>
                <w:szCs w:val="10"/>
                <w:lang w:val="fr-BE"/>
              </w:rPr>
              <w:t>Łącznie w roku</w:t>
            </w:r>
          </w:p>
        </w:tc>
        <w:tc>
          <w:tcPr>
            <w:tcW w:w="0" w:type="auto"/>
          </w:tcPr>
          <w:p w14:paraId="368B1900" w14:textId="77777777" w:rsidR="008C5CFA" w:rsidRPr="00601E29" w:rsidRDefault="00E82A60" w:rsidP="00300A01">
            <w:pPr>
              <w:spacing w:before="0" w:after="0"/>
              <w:jc w:val="center"/>
              <w:rPr>
                <w:b/>
                <w:sz w:val="10"/>
                <w:szCs w:val="10"/>
                <w:lang w:val="fr-BE"/>
              </w:rPr>
            </w:pPr>
            <w:r w:rsidRPr="00601E29">
              <w:rPr>
                <w:b/>
                <w:noProof/>
                <w:sz w:val="10"/>
                <w:szCs w:val="10"/>
                <w:lang w:val="fr-BE"/>
              </w:rPr>
              <w:t>Jakościowe</w:t>
            </w:r>
          </w:p>
        </w:tc>
      </w:tr>
      <w:tr w:rsidR="006B2EC1" w14:paraId="7B9A8700" w14:textId="77777777" w:rsidTr="0047688D">
        <w:trPr>
          <w:tblHeader/>
        </w:trPr>
        <w:tc>
          <w:tcPr>
            <w:tcW w:w="0" w:type="auto"/>
            <w:shd w:val="clear" w:color="auto" w:fill="auto"/>
          </w:tcPr>
          <w:p w14:paraId="7F020A95" w14:textId="77777777" w:rsidR="008C5CFA" w:rsidRPr="00601E29" w:rsidRDefault="008C5CFA" w:rsidP="00300A01">
            <w:pPr>
              <w:spacing w:before="0" w:after="0"/>
              <w:rPr>
                <w:b/>
                <w:sz w:val="10"/>
                <w:szCs w:val="10"/>
                <w:lang w:val="fr-BE"/>
              </w:rPr>
            </w:pPr>
          </w:p>
        </w:tc>
        <w:tc>
          <w:tcPr>
            <w:tcW w:w="0" w:type="auto"/>
            <w:shd w:val="clear" w:color="auto" w:fill="auto"/>
          </w:tcPr>
          <w:p w14:paraId="0C5CE4E0" w14:textId="77777777" w:rsidR="008C5CFA" w:rsidRPr="00601E29" w:rsidRDefault="008C5CFA" w:rsidP="00300A01">
            <w:pPr>
              <w:spacing w:before="0" w:after="0"/>
              <w:rPr>
                <w:b/>
                <w:sz w:val="10"/>
                <w:szCs w:val="10"/>
                <w:lang w:val="fr-BE"/>
              </w:rPr>
            </w:pPr>
          </w:p>
        </w:tc>
        <w:tc>
          <w:tcPr>
            <w:tcW w:w="0" w:type="auto"/>
            <w:shd w:val="clear" w:color="auto" w:fill="auto"/>
          </w:tcPr>
          <w:p w14:paraId="62C52AD5" w14:textId="77777777" w:rsidR="008C5CFA" w:rsidRPr="00601E29" w:rsidRDefault="008C5CFA" w:rsidP="00300A01">
            <w:pPr>
              <w:spacing w:before="0" w:after="0"/>
              <w:rPr>
                <w:b/>
                <w:sz w:val="10"/>
                <w:szCs w:val="10"/>
                <w:lang w:val="fr-BE"/>
              </w:rPr>
            </w:pPr>
          </w:p>
        </w:tc>
        <w:tc>
          <w:tcPr>
            <w:tcW w:w="0" w:type="auto"/>
          </w:tcPr>
          <w:p w14:paraId="410915D4" w14:textId="77777777" w:rsidR="008C5CFA" w:rsidRPr="00601E29" w:rsidRDefault="00E82A60" w:rsidP="00300A01">
            <w:pPr>
              <w:spacing w:before="0" w:after="0"/>
              <w:jc w:val="center"/>
              <w:rPr>
                <w:b/>
                <w:sz w:val="10"/>
                <w:szCs w:val="10"/>
                <w:lang w:val="fr-BE"/>
              </w:rPr>
            </w:pPr>
            <w:r w:rsidRPr="00601E29">
              <w:rPr>
                <w:b/>
                <w:noProof/>
                <w:sz w:val="10"/>
                <w:szCs w:val="10"/>
                <w:lang w:val="fr-BE"/>
              </w:rPr>
              <w:t>Ogółem</w:t>
            </w:r>
          </w:p>
        </w:tc>
        <w:tc>
          <w:tcPr>
            <w:tcW w:w="0" w:type="auto"/>
          </w:tcPr>
          <w:p w14:paraId="149747CD" w14:textId="77777777" w:rsidR="008C5CFA" w:rsidRPr="00601E29" w:rsidRDefault="00E82A60" w:rsidP="00300A01">
            <w:pPr>
              <w:spacing w:before="0" w:after="0"/>
              <w:jc w:val="center"/>
              <w:rPr>
                <w:b/>
                <w:sz w:val="10"/>
                <w:szCs w:val="10"/>
                <w:lang w:val="fr-BE"/>
              </w:rPr>
            </w:pPr>
            <w:r w:rsidRPr="00601E29">
              <w:rPr>
                <w:b/>
                <w:noProof/>
                <w:sz w:val="10"/>
                <w:szCs w:val="10"/>
                <w:lang w:val="fr-BE"/>
              </w:rPr>
              <w:t>Mężczyźni</w:t>
            </w:r>
          </w:p>
        </w:tc>
        <w:tc>
          <w:tcPr>
            <w:tcW w:w="0" w:type="auto"/>
          </w:tcPr>
          <w:p w14:paraId="0AAA3887" w14:textId="77777777" w:rsidR="008C5CFA" w:rsidRPr="00601E29" w:rsidRDefault="00E82A60" w:rsidP="00300A01">
            <w:pPr>
              <w:spacing w:before="0" w:after="0"/>
              <w:jc w:val="center"/>
              <w:rPr>
                <w:b/>
                <w:sz w:val="10"/>
                <w:szCs w:val="10"/>
                <w:lang w:val="fr-BE"/>
              </w:rPr>
            </w:pPr>
            <w:r w:rsidRPr="00601E29">
              <w:rPr>
                <w:b/>
                <w:noProof/>
                <w:sz w:val="10"/>
                <w:szCs w:val="10"/>
                <w:lang w:val="fr-BE"/>
              </w:rPr>
              <w:t>Kobiety</w:t>
            </w:r>
          </w:p>
        </w:tc>
        <w:tc>
          <w:tcPr>
            <w:tcW w:w="0" w:type="auto"/>
          </w:tcPr>
          <w:p w14:paraId="3F47373C" w14:textId="77777777" w:rsidR="008C5CFA" w:rsidRPr="00601E29" w:rsidRDefault="00E82A60" w:rsidP="00300A01">
            <w:pPr>
              <w:spacing w:before="0" w:after="0"/>
              <w:jc w:val="center"/>
              <w:rPr>
                <w:b/>
                <w:sz w:val="10"/>
                <w:szCs w:val="10"/>
                <w:lang w:val="fr-BE"/>
              </w:rPr>
            </w:pPr>
            <w:r w:rsidRPr="00601E29">
              <w:rPr>
                <w:b/>
                <w:noProof/>
                <w:sz w:val="10"/>
                <w:szCs w:val="10"/>
                <w:lang w:val="fr-BE"/>
              </w:rPr>
              <w:t>Ogółem</w:t>
            </w:r>
          </w:p>
        </w:tc>
        <w:tc>
          <w:tcPr>
            <w:tcW w:w="0" w:type="auto"/>
          </w:tcPr>
          <w:p w14:paraId="2A1EC85F" w14:textId="77777777" w:rsidR="008C5CFA" w:rsidRPr="00601E29" w:rsidRDefault="00E82A60" w:rsidP="00300A01">
            <w:pPr>
              <w:spacing w:before="0" w:after="0"/>
              <w:jc w:val="center"/>
              <w:rPr>
                <w:b/>
                <w:sz w:val="10"/>
                <w:szCs w:val="10"/>
                <w:lang w:val="fr-BE"/>
              </w:rPr>
            </w:pPr>
            <w:r w:rsidRPr="00601E29">
              <w:rPr>
                <w:b/>
                <w:noProof/>
                <w:sz w:val="10"/>
                <w:szCs w:val="10"/>
                <w:lang w:val="fr-BE"/>
              </w:rPr>
              <w:t>Mężczyźni</w:t>
            </w:r>
          </w:p>
        </w:tc>
        <w:tc>
          <w:tcPr>
            <w:tcW w:w="0" w:type="auto"/>
          </w:tcPr>
          <w:p w14:paraId="79F9BA9A" w14:textId="77777777" w:rsidR="008C5CFA" w:rsidRPr="00601E29" w:rsidRDefault="00E82A60" w:rsidP="00300A01">
            <w:pPr>
              <w:spacing w:before="0" w:after="0"/>
              <w:jc w:val="center"/>
              <w:rPr>
                <w:b/>
                <w:sz w:val="10"/>
                <w:szCs w:val="10"/>
                <w:lang w:val="fr-BE"/>
              </w:rPr>
            </w:pPr>
            <w:r w:rsidRPr="00601E29">
              <w:rPr>
                <w:b/>
                <w:noProof/>
                <w:sz w:val="10"/>
                <w:szCs w:val="10"/>
                <w:lang w:val="fr-BE"/>
              </w:rPr>
              <w:t>Kobiety</w:t>
            </w:r>
          </w:p>
        </w:tc>
        <w:tc>
          <w:tcPr>
            <w:tcW w:w="0" w:type="auto"/>
          </w:tcPr>
          <w:p w14:paraId="7C789AD5" w14:textId="77777777" w:rsidR="008C5CFA" w:rsidRPr="00601E29" w:rsidRDefault="008C5CFA" w:rsidP="00300A01">
            <w:pPr>
              <w:spacing w:before="0" w:after="0"/>
              <w:jc w:val="center"/>
              <w:rPr>
                <w:b/>
                <w:sz w:val="10"/>
                <w:szCs w:val="10"/>
                <w:lang w:val="fr-BE"/>
              </w:rPr>
            </w:pPr>
          </w:p>
        </w:tc>
        <w:tc>
          <w:tcPr>
            <w:tcW w:w="0" w:type="auto"/>
          </w:tcPr>
          <w:p w14:paraId="39D8C501" w14:textId="77777777" w:rsidR="008C5CFA" w:rsidRPr="00601E29" w:rsidRDefault="00E82A60" w:rsidP="00300A01">
            <w:pPr>
              <w:spacing w:before="0" w:after="0"/>
              <w:jc w:val="center"/>
              <w:rPr>
                <w:b/>
                <w:sz w:val="10"/>
                <w:szCs w:val="10"/>
                <w:lang w:val="fr-BE"/>
              </w:rPr>
            </w:pPr>
            <w:r w:rsidRPr="00601E29">
              <w:rPr>
                <w:b/>
                <w:noProof/>
                <w:sz w:val="10"/>
                <w:szCs w:val="10"/>
                <w:lang w:val="fr-BE"/>
              </w:rPr>
              <w:t>Ogółem</w:t>
            </w:r>
          </w:p>
        </w:tc>
        <w:tc>
          <w:tcPr>
            <w:tcW w:w="0" w:type="auto"/>
          </w:tcPr>
          <w:p w14:paraId="4C0A994B" w14:textId="77777777" w:rsidR="008C5CFA" w:rsidRPr="00601E29" w:rsidRDefault="00E82A60" w:rsidP="00300A01">
            <w:pPr>
              <w:spacing w:before="0" w:after="0"/>
              <w:jc w:val="center"/>
              <w:rPr>
                <w:b/>
                <w:sz w:val="10"/>
                <w:szCs w:val="10"/>
                <w:lang w:val="fr-BE"/>
              </w:rPr>
            </w:pPr>
            <w:r w:rsidRPr="00601E29">
              <w:rPr>
                <w:b/>
                <w:noProof/>
                <w:sz w:val="10"/>
                <w:szCs w:val="10"/>
                <w:lang w:val="fr-BE"/>
              </w:rPr>
              <w:t>Mężczyźni</w:t>
            </w:r>
          </w:p>
        </w:tc>
        <w:tc>
          <w:tcPr>
            <w:tcW w:w="0" w:type="auto"/>
          </w:tcPr>
          <w:p w14:paraId="4DA7BB98" w14:textId="77777777" w:rsidR="008C5CFA" w:rsidRPr="00601E29" w:rsidRDefault="00E82A60" w:rsidP="00300A01">
            <w:pPr>
              <w:spacing w:before="0" w:after="0"/>
              <w:jc w:val="center"/>
              <w:rPr>
                <w:b/>
                <w:sz w:val="10"/>
                <w:szCs w:val="10"/>
                <w:lang w:val="fr-BE"/>
              </w:rPr>
            </w:pPr>
            <w:r w:rsidRPr="00601E29">
              <w:rPr>
                <w:b/>
                <w:noProof/>
                <w:sz w:val="10"/>
                <w:szCs w:val="10"/>
                <w:lang w:val="fr-BE"/>
              </w:rPr>
              <w:t>Kobiety</w:t>
            </w:r>
          </w:p>
        </w:tc>
        <w:tc>
          <w:tcPr>
            <w:tcW w:w="0" w:type="auto"/>
          </w:tcPr>
          <w:p w14:paraId="36D49EE5" w14:textId="77777777" w:rsidR="008C5CFA" w:rsidRPr="00601E29" w:rsidRDefault="00E82A60" w:rsidP="00300A01">
            <w:pPr>
              <w:spacing w:before="0" w:after="0"/>
              <w:jc w:val="center"/>
              <w:rPr>
                <w:b/>
                <w:sz w:val="10"/>
                <w:szCs w:val="10"/>
                <w:lang w:val="fr-BE"/>
              </w:rPr>
            </w:pPr>
            <w:r w:rsidRPr="00601E29">
              <w:rPr>
                <w:b/>
                <w:noProof/>
                <w:sz w:val="10"/>
                <w:szCs w:val="10"/>
                <w:lang w:val="fr-BE"/>
              </w:rPr>
              <w:t>Ogółem</w:t>
            </w:r>
          </w:p>
        </w:tc>
        <w:tc>
          <w:tcPr>
            <w:tcW w:w="0" w:type="auto"/>
          </w:tcPr>
          <w:p w14:paraId="15E08784" w14:textId="77777777" w:rsidR="008C5CFA" w:rsidRPr="00601E29" w:rsidRDefault="00E82A60" w:rsidP="00300A01">
            <w:pPr>
              <w:spacing w:before="0" w:after="0"/>
              <w:jc w:val="center"/>
              <w:rPr>
                <w:b/>
                <w:sz w:val="10"/>
                <w:szCs w:val="10"/>
                <w:lang w:val="fr-BE"/>
              </w:rPr>
            </w:pPr>
            <w:r w:rsidRPr="00601E29">
              <w:rPr>
                <w:b/>
                <w:noProof/>
                <w:sz w:val="10"/>
                <w:szCs w:val="10"/>
                <w:lang w:val="fr-BE"/>
              </w:rPr>
              <w:t>Mężczyźni</w:t>
            </w:r>
          </w:p>
        </w:tc>
        <w:tc>
          <w:tcPr>
            <w:tcW w:w="0" w:type="auto"/>
          </w:tcPr>
          <w:p w14:paraId="61BBA200" w14:textId="77777777" w:rsidR="008C5CFA" w:rsidRPr="00601E29" w:rsidRDefault="00E82A60" w:rsidP="00300A01">
            <w:pPr>
              <w:spacing w:before="0" w:after="0"/>
              <w:jc w:val="center"/>
              <w:rPr>
                <w:b/>
                <w:sz w:val="10"/>
                <w:szCs w:val="10"/>
                <w:lang w:val="fr-BE"/>
              </w:rPr>
            </w:pPr>
            <w:r w:rsidRPr="00601E29">
              <w:rPr>
                <w:b/>
                <w:noProof/>
                <w:sz w:val="10"/>
                <w:szCs w:val="10"/>
                <w:lang w:val="fr-BE"/>
              </w:rPr>
              <w:t>Kobiety</w:t>
            </w:r>
          </w:p>
        </w:tc>
        <w:tc>
          <w:tcPr>
            <w:tcW w:w="0" w:type="auto"/>
          </w:tcPr>
          <w:p w14:paraId="7642CC0A" w14:textId="77777777" w:rsidR="008C5CFA" w:rsidRPr="00601E29" w:rsidRDefault="008C5CFA" w:rsidP="00300A01">
            <w:pPr>
              <w:spacing w:before="0" w:after="0"/>
              <w:jc w:val="center"/>
              <w:rPr>
                <w:b/>
                <w:sz w:val="10"/>
                <w:szCs w:val="10"/>
                <w:lang w:val="fr-BE"/>
              </w:rPr>
            </w:pPr>
          </w:p>
        </w:tc>
      </w:tr>
      <w:tr w:rsidR="006B2EC1" w14:paraId="09358737" w14:textId="77777777" w:rsidTr="0047688D">
        <w:tc>
          <w:tcPr>
            <w:tcW w:w="0" w:type="auto"/>
            <w:shd w:val="clear" w:color="auto" w:fill="auto"/>
          </w:tcPr>
          <w:p w14:paraId="723A1670" w14:textId="77777777" w:rsidR="008C5CFA" w:rsidRPr="00601E29" w:rsidRDefault="00E82A60" w:rsidP="00300A01">
            <w:pPr>
              <w:spacing w:before="0" w:after="0"/>
              <w:rPr>
                <w:sz w:val="10"/>
                <w:szCs w:val="10"/>
                <w:lang w:val="fr-BE"/>
              </w:rPr>
            </w:pPr>
            <w:r w:rsidRPr="00601E29">
              <w:rPr>
                <w:noProof/>
                <w:sz w:val="10"/>
                <w:szCs w:val="10"/>
                <w:lang w:val="fr-BE"/>
              </w:rPr>
              <w:t>144</w:t>
            </w:r>
          </w:p>
        </w:tc>
        <w:tc>
          <w:tcPr>
            <w:tcW w:w="0" w:type="auto"/>
            <w:shd w:val="clear" w:color="auto" w:fill="auto"/>
          </w:tcPr>
          <w:p w14:paraId="397BC83D" w14:textId="77777777" w:rsidR="008C5CFA" w:rsidRPr="00601E29" w:rsidRDefault="00E82A60" w:rsidP="00300A01">
            <w:pPr>
              <w:spacing w:before="0" w:after="0"/>
              <w:rPr>
                <w:sz w:val="10"/>
                <w:szCs w:val="10"/>
                <w:lang w:val="fr-BE"/>
              </w:rPr>
            </w:pPr>
            <w:r w:rsidRPr="00601E29">
              <w:rPr>
                <w:noProof/>
                <w:sz w:val="10"/>
                <w:szCs w:val="10"/>
                <w:lang w:val="fr-BE"/>
              </w:rPr>
              <w:t>Liczba osób zagrożonych ubóstwem lub wykluczeniem społecznym, które uzyskały kwalifikacje lub nabyły kompetencje po opuszczeniu programu</w:t>
            </w:r>
          </w:p>
        </w:tc>
        <w:tc>
          <w:tcPr>
            <w:tcW w:w="0" w:type="auto"/>
            <w:shd w:val="clear" w:color="auto" w:fill="auto"/>
          </w:tcPr>
          <w:p w14:paraId="5CBDA83F" w14:textId="77777777" w:rsidR="008C5CFA" w:rsidRPr="00601E29" w:rsidRDefault="00E82A60" w:rsidP="00300A01">
            <w:pPr>
              <w:spacing w:before="0" w:after="0"/>
              <w:rPr>
                <w:sz w:val="10"/>
                <w:szCs w:val="10"/>
                <w:lang w:val="fr-BE"/>
              </w:rPr>
            </w:pPr>
            <w:r w:rsidRPr="00601E29">
              <w:rPr>
                <w:noProof/>
                <w:sz w:val="10"/>
                <w:szCs w:val="10"/>
                <w:lang w:val="fr-BE"/>
              </w:rPr>
              <w:t>Słabiej rozwinięte</w:t>
            </w:r>
          </w:p>
        </w:tc>
        <w:tc>
          <w:tcPr>
            <w:tcW w:w="0" w:type="auto"/>
          </w:tcPr>
          <w:p w14:paraId="72EC5BCA" w14:textId="77777777" w:rsidR="008C5CFA" w:rsidRPr="00601E29" w:rsidRDefault="00E82A60" w:rsidP="00300A01">
            <w:pPr>
              <w:spacing w:before="0" w:after="0"/>
              <w:jc w:val="right"/>
              <w:rPr>
                <w:sz w:val="10"/>
                <w:szCs w:val="10"/>
                <w:lang w:val="fr-BE"/>
              </w:rPr>
            </w:pPr>
            <w:r w:rsidRPr="00601E29">
              <w:rPr>
                <w:noProof/>
                <w:sz w:val="10"/>
                <w:szCs w:val="10"/>
                <w:lang w:val="fr-BE"/>
              </w:rPr>
              <w:t>536,00</w:t>
            </w:r>
          </w:p>
        </w:tc>
        <w:tc>
          <w:tcPr>
            <w:tcW w:w="0" w:type="auto"/>
          </w:tcPr>
          <w:p w14:paraId="708A4B97"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0482DFC3"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2BCEF1B7" w14:textId="77777777" w:rsidR="008C5CFA" w:rsidRPr="00601E29" w:rsidRDefault="00E82A60" w:rsidP="00300A01">
            <w:pPr>
              <w:spacing w:before="0" w:after="0"/>
              <w:jc w:val="right"/>
              <w:rPr>
                <w:sz w:val="10"/>
                <w:szCs w:val="10"/>
                <w:lang w:val="fr-BE"/>
              </w:rPr>
            </w:pPr>
            <w:r w:rsidRPr="00601E29">
              <w:rPr>
                <w:noProof/>
                <w:sz w:val="10"/>
                <w:szCs w:val="10"/>
                <w:lang w:val="fr-BE"/>
              </w:rPr>
              <w:t>398,00</w:t>
            </w:r>
          </w:p>
        </w:tc>
        <w:tc>
          <w:tcPr>
            <w:tcW w:w="0" w:type="auto"/>
          </w:tcPr>
          <w:p w14:paraId="3D1BC3F6"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6D397CF8"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517C36AC" w14:textId="77777777" w:rsidR="008C5CFA" w:rsidRPr="00601E29" w:rsidRDefault="008C5CFA" w:rsidP="00300A01">
            <w:pPr>
              <w:spacing w:before="0" w:after="0"/>
              <w:jc w:val="right"/>
              <w:rPr>
                <w:sz w:val="10"/>
                <w:szCs w:val="10"/>
                <w:lang w:val="fr-BE"/>
              </w:rPr>
            </w:pPr>
          </w:p>
        </w:tc>
        <w:tc>
          <w:tcPr>
            <w:tcW w:w="0" w:type="auto"/>
          </w:tcPr>
          <w:p w14:paraId="254A32A3" w14:textId="77777777" w:rsidR="008C5CFA" w:rsidRPr="00601E29" w:rsidRDefault="00E82A60" w:rsidP="00300A01">
            <w:pPr>
              <w:spacing w:before="0" w:after="0"/>
              <w:jc w:val="right"/>
              <w:rPr>
                <w:sz w:val="10"/>
                <w:szCs w:val="10"/>
                <w:lang w:val="fr-BE"/>
              </w:rPr>
            </w:pPr>
            <w:r w:rsidRPr="00601E29">
              <w:rPr>
                <w:noProof/>
                <w:sz w:val="10"/>
                <w:szCs w:val="10"/>
                <w:lang w:val="fr-BE"/>
              </w:rPr>
              <w:t>138,00</w:t>
            </w:r>
          </w:p>
        </w:tc>
        <w:tc>
          <w:tcPr>
            <w:tcW w:w="0" w:type="auto"/>
          </w:tcPr>
          <w:p w14:paraId="2A855C00"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59273C19"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51396B97" w14:textId="77777777" w:rsidR="008C5CFA" w:rsidRPr="00601E29" w:rsidRDefault="00E82A60" w:rsidP="00300A01">
            <w:pPr>
              <w:spacing w:before="0" w:after="0"/>
              <w:jc w:val="right"/>
              <w:rPr>
                <w:sz w:val="10"/>
                <w:szCs w:val="10"/>
                <w:lang w:val="fr-BE"/>
              </w:rPr>
            </w:pPr>
            <w:r w:rsidRPr="00601E29">
              <w:rPr>
                <w:noProof/>
                <w:sz w:val="10"/>
                <w:szCs w:val="10"/>
                <w:lang w:val="fr-BE"/>
              </w:rPr>
              <w:t>138,00</w:t>
            </w:r>
          </w:p>
        </w:tc>
        <w:tc>
          <w:tcPr>
            <w:tcW w:w="0" w:type="auto"/>
          </w:tcPr>
          <w:p w14:paraId="22E157E6"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39F5D671"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27307642" w14:textId="77777777" w:rsidR="008C5CFA" w:rsidRPr="00601E29" w:rsidRDefault="008C5CFA" w:rsidP="00300A01">
            <w:pPr>
              <w:spacing w:before="0" w:after="0"/>
              <w:jc w:val="right"/>
              <w:rPr>
                <w:sz w:val="10"/>
                <w:szCs w:val="10"/>
                <w:lang w:val="fr-BE"/>
              </w:rPr>
            </w:pPr>
          </w:p>
        </w:tc>
      </w:tr>
      <w:tr w:rsidR="006B2EC1" w14:paraId="32A5D3B1" w14:textId="77777777" w:rsidTr="0047688D">
        <w:tc>
          <w:tcPr>
            <w:tcW w:w="0" w:type="auto"/>
            <w:shd w:val="clear" w:color="auto" w:fill="auto"/>
          </w:tcPr>
          <w:p w14:paraId="6590F629" w14:textId="77777777" w:rsidR="008C5CFA" w:rsidRPr="00601E29" w:rsidRDefault="00E82A60" w:rsidP="00300A01">
            <w:pPr>
              <w:spacing w:before="0" w:after="0"/>
              <w:rPr>
                <w:sz w:val="10"/>
                <w:szCs w:val="10"/>
                <w:lang w:val="fr-BE"/>
              </w:rPr>
            </w:pPr>
            <w:r w:rsidRPr="00601E29">
              <w:rPr>
                <w:noProof/>
                <w:sz w:val="10"/>
                <w:szCs w:val="10"/>
                <w:lang w:val="fr-BE"/>
              </w:rPr>
              <w:t>018</w:t>
            </w:r>
          </w:p>
        </w:tc>
        <w:tc>
          <w:tcPr>
            <w:tcW w:w="0" w:type="auto"/>
            <w:shd w:val="clear" w:color="auto" w:fill="auto"/>
          </w:tcPr>
          <w:p w14:paraId="0540710B" w14:textId="77777777" w:rsidR="008C5CFA" w:rsidRPr="00601E29" w:rsidRDefault="00E82A60" w:rsidP="00300A01">
            <w:pPr>
              <w:spacing w:before="0" w:after="0"/>
              <w:rPr>
                <w:sz w:val="10"/>
                <w:szCs w:val="10"/>
                <w:lang w:val="fr-BE"/>
              </w:rPr>
            </w:pPr>
            <w:r w:rsidRPr="00601E29">
              <w:rPr>
                <w:noProof/>
                <w:sz w:val="10"/>
                <w:szCs w:val="10"/>
                <w:lang w:val="fr-BE"/>
              </w:rPr>
              <w:t>Liczba osób zagrożonych ubóstwem lub wykluczeniem społecznym poszukujących pracy po opuszczeniu programu</w:t>
            </w:r>
          </w:p>
        </w:tc>
        <w:tc>
          <w:tcPr>
            <w:tcW w:w="0" w:type="auto"/>
            <w:shd w:val="clear" w:color="auto" w:fill="auto"/>
          </w:tcPr>
          <w:p w14:paraId="143D66ED" w14:textId="77777777" w:rsidR="008C5CFA" w:rsidRPr="00601E29" w:rsidRDefault="00E82A60" w:rsidP="00300A01">
            <w:pPr>
              <w:spacing w:before="0" w:after="0"/>
              <w:rPr>
                <w:sz w:val="10"/>
                <w:szCs w:val="10"/>
                <w:lang w:val="fr-BE"/>
              </w:rPr>
            </w:pPr>
            <w:r w:rsidRPr="00601E29">
              <w:rPr>
                <w:noProof/>
                <w:sz w:val="10"/>
                <w:szCs w:val="10"/>
                <w:lang w:val="fr-BE"/>
              </w:rPr>
              <w:t>Słabiej rozwinięte</w:t>
            </w:r>
          </w:p>
        </w:tc>
        <w:tc>
          <w:tcPr>
            <w:tcW w:w="0" w:type="auto"/>
          </w:tcPr>
          <w:p w14:paraId="12A240DB" w14:textId="77777777" w:rsidR="008C5CFA" w:rsidRPr="00601E29" w:rsidRDefault="00E82A60" w:rsidP="00300A01">
            <w:pPr>
              <w:spacing w:before="0" w:after="0"/>
              <w:jc w:val="right"/>
              <w:rPr>
                <w:sz w:val="10"/>
                <w:szCs w:val="10"/>
                <w:lang w:val="fr-BE"/>
              </w:rPr>
            </w:pPr>
            <w:r w:rsidRPr="00601E29">
              <w:rPr>
                <w:noProof/>
                <w:sz w:val="10"/>
                <w:szCs w:val="10"/>
                <w:lang w:val="fr-BE"/>
              </w:rPr>
              <w:t>206,00</w:t>
            </w:r>
          </w:p>
        </w:tc>
        <w:tc>
          <w:tcPr>
            <w:tcW w:w="0" w:type="auto"/>
          </w:tcPr>
          <w:p w14:paraId="759ED238"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68F3A52E"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6614B2D8" w14:textId="77777777" w:rsidR="008C5CFA" w:rsidRPr="00601E29" w:rsidRDefault="00E82A60" w:rsidP="00300A01">
            <w:pPr>
              <w:spacing w:before="0" w:after="0"/>
              <w:jc w:val="right"/>
              <w:rPr>
                <w:sz w:val="10"/>
                <w:szCs w:val="10"/>
                <w:lang w:val="fr-BE"/>
              </w:rPr>
            </w:pPr>
            <w:r w:rsidRPr="00601E29">
              <w:rPr>
                <w:noProof/>
                <w:sz w:val="10"/>
                <w:szCs w:val="10"/>
                <w:lang w:val="fr-BE"/>
              </w:rPr>
              <w:t>162,00</w:t>
            </w:r>
          </w:p>
        </w:tc>
        <w:tc>
          <w:tcPr>
            <w:tcW w:w="0" w:type="auto"/>
          </w:tcPr>
          <w:p w14:paraId="431E0034"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70FAAEC4"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5C0F9A46" w14:textId="77777777" w:rsidR="008C5CFA" w:rsidRPr="00601E29" w:rsidRDefault="008C5CFA" w:rsidP="00300A01">
            <w:pPr>
              <w:spacing w:before="0" w:after="0"/>
              <w:jc w:val="right"/>
              <w:rPr>
                <w:sz w:val="10"/>
                <w:szCs w:val="10"/>
                <w:lang w:val="fr-BE"/>
              </w:rPr>
            </w:pPr>
          </w:p>
        </w:tc>
        <w:tc>
          <w:tcPr>
            <w:tcW w:w="0" w:type="auto"/>
          </w:tcPr>
          <w:p w14:paraId="5D9E600C" w14:textId="77777777" w:rsidR="008C5CFA" w:rsidRPr="00601E29" w:rsidRDefault="00E82A60" w:rsidP="00300A01">
            <w:pPr>
              <w:spacing w:before="0" w:after="0"/>
              <w:jc w:val="right"/>
              <w:rPr>
                <w:sz w:val="10"/>
                <w:szCs w:val="10"/>
                <w:lang w:val="fr-BE"/>
              </w:rPr>
            </w:pPr>
            <w:r w:rsidRPr="00601E29">
              <w:rPr>
                <w:noProof/>
                <w:sz w:val="10"/>
                <w:szCs w:val="10"/>
                <w:lang w:val="fr-BE"/>
              </w:rPr>
              <w:t>44,00</w:t>
            </w:r>
          </w:p>
        </w:tc>
        <w:tc>
          <w:tcPr>
            <w:tcW w:w="0" w:type="auto"/>
          </w:tcPr>
          <w:p w14:paraId="1FD7866D"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2A4CC3D0"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5E00CF96" w14:textId="77777777" w:rsidR="008C5CFA" w:rsidRPr="00601E29" w:rsidRDefault="00E82A60" w:rsidP="00300A01">
            <w:pPr>
              <w:spacing w:before="0" w:after="0"/>
              <w:jc w:val="right"/>
              <w:rPr>
                <w:sz w:val="10"/>
                <w:szCs w:val="10"/>
                <w:lang w:val="fr-BE"/>
              </w:rPr>
            </w:pPr>
            <w:r w:rsidRPr="00601E29">
              <w:rPr>
                <w:noProof/>
                <w:sz w:val="10"/>
                <w:szCs w:val="10"/>
                <w:lang w:val="fr-BE"/>
              </w:rPr>
              <w:t>44,00</w:t>
            </w:r>
          </w:p>
        </w:tc>
        <w:tc>
          <w:tcPr>
            <w:tcW w:w="0" w:type="auto"/>
          </w:tcPr>
          <w:p w14:paraId="6028A334"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1209E972"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214D6EF1" w14:textId="77777777" w:rsidR="008C5CFA" w:rsidRPr="00601E29" w:rsidRDefault="008C5CFA" w:rsidP="00300A01">
            <w:pPr>
              <w:spacing w:before="0" w:after="0"/>
              <w:jc w:val="right"/>
              <w:rPr>
                <w:sz w:val="10"/>
                <w:szCs w:val="10"/>
                <w:lang w:val="fr-BE"/>
              </w:rPr>
            </w:pPr>
          </w:p>
        </w:tc>
      </w:tr>
      <w:tr w:rsidR="006B2EC1" w14:paraId="0F4A5DA9" w14:textId="77777777" w:rsidTr="0047688D">
        <w:tc>
          <w:tcPr>
            <w:tcW w:w="0" w:type="auto"/>
            <w:shd w:val="clear" w:color="auto" w:fill="auto"/>
          </w:tcPr>
          <w:p w14:paraId="1EB6F35C" w14:textId="77777777" w:rsidR="008C5CFA" w:rsidRPr="00601E29" w:rsidRDefault="00E82A60" w:rsidP="00300A01">
            <w:pPr>
              <w:spacing w:before="0" w:after="0"/>
              <w:rPr>
                <w:sz w:val="10"/>
                <w:szCs w:val="10"/>
                <w:lang w:val="fr-BE"/>
              </w:rPr>
            </w:pPr>
            <w:r w:rsidRPr="00601E29">
              <w:rPr>
                <w:noProof/>
                <w:sz w:val="10"/>
                <w:szCs w:val="10"/>
                <w:lang w:val="fr-BE"/>
              </w:rPr>
              <w:t>019</w:t>
            </w:r>
          </w:p>
        </w:tc>
        <w:tc>
          <w:tcPr>
            <w:tcW w:w="0" w:type="auto"/>
            <w:shd w:val="clear" w:color="auto" w:fill="auto"/>
          </w:tcPr>
          <w:p w14:paraId="6BA2E3E4" w14:textId="77777777" w:rsidR="008C5CFA" w:rsidRPr="00601E29" w:rsidRDefault="00E82A60" w:rsidP="00300A01">
            <w:pPr>
              <w:spacing w:before="0" w:after="0"/>
              <w:rPr>
                <w:sz w:val="10"/>
                <w:szCs w:val="10"/>
                <w:lang w:val="fr-BE"/>
              </w:rPr>
            </w:pPr>
            <w:r w:rsidRPr="00601E29">
              <w:rPr>
                <w:noProof/>
                <w:sz w:val="10"/>
                <w:szCs w:val="10"/>
                <w:lang w:val="fr-BE"/>
              </w:rPr>
              <w:t>Liczba osób zagrożonych ubóstwem lub wykluczeniem społecznym pracujących po opuszczeniu programu (łącznie z pracującymi na własny rachunek)</w:t>
            </w:r>
          </w:p>
        </w:tc>
        <w:tc>
          <w:tcPr>
            <w:tcW w:w="0" w:type="auto"/>
            <w:shd w:val="clear" w:color="auto" w:fill="auto"/>
          </w:tcPr>
          <w:p w14:paraId="630D8901" w14:textId="77777777" w:rsidR="008C5CFA" w:rsidRPr="00601E29" w:rsidRDefault="00E82A60" w:rsidP="00300A01">
            <w:pPr>
              <w:spacing w:before="0" w:after="0"/>
              <w:rPr>
                <w:sz w:val="10"/>
                <w:szCs w:val="10"/>
                <w:lang w:val="fr-BE"/>
              </w:rPr>
            </w:pPr>
            <w:r w:rsidRPr="00601E29">
              <w:rPr>
                <w:noProof/>
                <w:sz w:val="10"/>
                <w:szCs w:val="10"/>
                <w:lang w:val="fr-BE"/>
              </w:rPr>
              <w:t>Słabiej rozwinięte</w:t>
            </w:r>
          </w:p>
        </w:tc>
        <w:tc>
          <w:tcPr>
            <w:tcW w:w="0" w:type="auto"/>
          </w:tcPr>
          <w:p w14:paraId="194DC9DA" w14:textId="77777777" w:rsidR="008C5CFA" w:rsidRPr="00601E29" w:rsidRDefault="00E82A60" w:rsidP="00300A01">
            <w:pPr>
              <w:spacing w:before="0" w:after="0"/>
              <w:jc w:val="right"/>
              <w:rPr>
                <w:sz w:val="10"/>
                <w:szCs w:val="10"/>
                <w:lang w:val="fr-BE"/>
              </w:rPr>
            </w:pPr>
            <w:r w:rsidRPr="00601E29">
              <w:rPr>
                <w:noProof/>
                <w:sz w:val="10"/>
                <w:szCs w:val="10"/>
                <w:lang w:val="fr-BE"/>
              </w:rPr>
              <w:t>367,00</w:t>
            </w:r>
          </w:p>
        </w:tc>
        <w:tc>
          <w:tcPr>
            <w:tcW w:w="0" w:type="auto"/>
          </w:tcPr>
          <w:p w14:paraId="5845658B"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79556BEB" w14:textId="77777777" w:rsidR="008C5CFA" w:rsidRPr="00601E29" w:rsidRDefault="00E82A60" w:rsidP="00300A01">
            <w:pPr>
              <w:spacing w:before="0" w:after="0"/>
              <w:jc w:val="right"/>
              <w:rPr>
                <w:sz w:val="10"/>
                <w:szCs w:val="10"/>
                <w:lang w:val="fr-BE"/>
              </w:rPr>
            </w:pPr>
            <w:r w:rsidRPr="00601E29">
              <w:rPr>
                <w:noProof/>
                <w:sz w:val="10"/>
                <w:szCs w:val="10"/>
                <w:lang w:val="fr-BE"/>
              </w:rPr>
              <w:t>1,00</w:t>
            </w:r>
          </w:p>
        </w:tc>
        <w:tc>
          <w:tcPr>
            <w:tcW w:w="0" w:type="auto"/>
          </w:tcPr>
          <w:p w14:paraId="5D1A2230" w14:textId="77777777" w:rsidR="008C5CFA" w:rsidRPr="00601E29" w:rsidRDefault="00E82A60" w:rsidP="00300A01">
            <w:pPr>
              <w:spacing w:before="0" w:after="0"/>
              <w:jc w:val="right"/>
              <w:rPr>
                <w:sz w:val="10"/>
                <w:szCs w:val="10"/>
                <w:lang w:val="fr-BE"/>
              </w:rPr>
            </w:pPr>
            <w:r w:rsidRPr="00601E29">
              <w:rPr>
                <w:noProof/>
                <w:sz w:val="10"/>
                <w:szCs w:val="10"/>
                <w:lang w:val="fr-BE"/>
              </w:rPr>
              <w:t>315,00</w:t>
            </w:r>
          </w:p>
        </w:tc>
        <w:tc>
          <w:tcPr>
            <w:tcW w:w="0" w:type="auto"/>
          </w:tcPr>
          <w:p w14:paraId="4E9E632E"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2D4FAA16"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643CE7AE" w14:textId="77777777" w:rsidR="008C5CFA" w:rsidRPr="00601E29" w:rsidRDefault="008C5CFA" w:rsidP="00300A01">
            <w:pPr>
              <w:spacing w:before="0" w:after="0"/>
              <w:jc w:val="right"/>
              <w:rPr>
                <w:sz w:val="10"/>
                <w:szCs w:val="10"/>
                <w:lang w:val="fr-BE"/>
              </w:rPr>
            </w:pPr>
          </w:p>
        </w:tc>
        <w:tc>
          <w:tcPr>
            <w:tcW w:w="0" w:type="auto"/>
          </w:tcPr>
          <w:p w14:paraId="0F90E850" w14:textId="77777777" w:rsidR="008C5CFA" w:rsidRPr="00601E29" w:rsidRDefault="00E82A60" w:rsidP="00300A01">
            <w:pPr>
              <w:spacing w:before="0" w:after="0"/>
              <w:jc w:val="right"/>
              <w:rPr>
                <w:sz w:val="10"/>
                <w:szCs w:val="10"/>
                <w:lang w:val="fr-BE"/>
              </w:rPr>
            </w:pPr>
            <w:r w:rsidRPr="00601E29">
              <w:rPr>
                <w:noProof/>
                <w:sz w:val="10"/>
                <w:szCs w:val="10"/>
                <w:lang w:val="fr-BE"/>
              </w:rPr>
              <w:t>52,00</w:t>
            </w:r>
          </w:p>
        </w:tc>
        <w:tc>
          <w:tcPr>
            <w:tcW w:w="0" w:type="auto"/>
          </w:tcPr>
          <w:p w14:paraId="452D0055"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6A728A5A" w14:textId="77777777" w:rsidR="008C5CFA" w:rsidRPr="00601E29" w:rsidRDefault="00E82A60" w:rsidP="00300A01">
            <w:pPr>
              <w:spacing w:before="0" w:after="0"/>
              <w:jc w:val="right"/>
              <w:rPr>
                <w:sz w:val="10"/>
                <w:szCs w:val="10"/>
                <w:lang w:val="fr-BE"/>
              </w:rPr>
            </w:pPr>
            <w:r w:rsidRPr="00601E29">
              <w:rPr>
                <w:noProof/>
                <w:sz w:val="10"/>
                <w:szCs w:val="10"/>
                <w:lang w:val="fr-BE"/>
              </w:rPr>
              <w:t>1,00</w:t>
            </w:r>
          </w:p>
        </w:tc>
        <w:tc>
          <w:tcPr>
            <w:tcW w:w="0" w:type="auto"/>
          </w:tcPr>
          <w:p w14:paraId="473297DB" w14:textId="77777777" w:rsidR="008C5CFA" w:rsidRPr="00601E29" w:rsidRDefault="00E82A60" w:rsidP="00300A01">
            <w:pPr>
              <w:spacing w:before="0" w:after="0"/>
              <w:jc w:val="right"/>
              <w:rPr>
                <w:sz w:val="10"/>
                <w:szCs w:val="10"/>
                <w:lang w:val="fr-BE"/>
              </w:rPr>
            </w:pPr>
            <w:r w:rsidRPr="00601E29">
              <w:rPr>
                <w:noProof/>
                <w:sz w:val="10"/>
                <w:szCs w:val="10"/>
                <w:lang w:val="fr-BE"/>
              </w:rPr>
              <w:t>51,00</w:t>
            </w:r>
          </w:p>
        </w:tc>
        <w:tc>
          <w:tcPr>
            <w:tcW w:w="0" w:type="auto"/>
          </w:tcPr>
          <w:p w14:paraId="7AF87B61"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29A23BBD"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4FDA931B" w14:textId="77777777" w:rsidR="008C5CFA" w:rsidRPr="00601E29" w:rsidRDefault="008C5CFA" w:rsidP="00300A01">
            <w:pPr>
              <w:spacing w:before="0" w:after="0"/>
              <w:jc w:val="right"/>
              <w:rPr>
                <w:sz w:val="10"/>
                <w:szCs w:val="10"/>
                <w:lang w:val="fr-BE"/>
              </w:rPr>
            </w:pPr>
          </w:p>
        </w:tc>
      </w:tr>
      <w:tr w:rsidR="006B2EC1" w14:paraId="5DF9A656" w14:textId="77777777" w:rsidTr="0047688D">
        <w:tc>
          <w:tcPr>
            <w:tcW w:w="0" w:type="auto"/>
            <w:shd w:val="clear" w:color="auto" w:fill="auto"/>
          </w:tcPr>
          <w:p w14:paraId="32F7D09F" w14:textId="77777777" w:rsidR="008C5CFA" w:rsidRPr="00601E29" w:rsidRDefault="00E82A60" w:rsidP="00300A01">
            <w:pPr>
              <w:spacing w:before="0" w:after="0"/>
              <w:rPr>
                <w:sz w:val="10"/>
                <w:szCs w:val="10"/>
                <w:lang w:val="fr-BE"/>
              </w:rPr>
            </w:pPr>
            <w:r w:rsidRPr="00601E29">
              <w:rPr>
                <w:noProof/>
                <w:sz w:val="10"/>
                <w:szCs w:val="10"/>
                <w:lang w:val="fr-BE"/>
              </w:rPr>
              <w:t>020</w:t>
            </w:r>
          </w:p>
        </w:tc>
        <w:tc>
          <w:tcPr>
            <w:tcW w:w="0" w:type="auto"/>
            <w:shd w:val="clear" w:color="auto" w:fill="auto"/>
          </w:tcPr>
          <w:p w14:paraId="680B2E63" w14:textId="77777777" w:rsidR="008C5CFA" w:rsidRPr="00601E29" w:rsidRDefault="00E82A60" w:rsidP="00300A01">
            <w:pPr>
              <w:spacing w:before="0" w:after="0"/>
              <w:rPr>
                <w:sz w:val="10"/>
                <w:szCs w:val="10"/>
                <w:lang w:val="fr-BE"/>
              </w:rPr>
            </w:pPr>
            <w:r w:rsidRPr="00601E29">
              <w:rPr>
                <w:noProof/>
                <w:sz w:val="10"/>
                <w:szCs w:val="10"/>
                <w:lang w:val="fr-BE"/>
              </w:rPr>
              <w:t>Liczba osób zagrożonych ubóstwem lub wykluczeniem społecznym pracujących 6 miesięcy po opuszczeniu programu (łącznie z pracującymi na własny rachunek)</w:t>
            </w:r>
          </w:p>
        </w:tc>
        <w:tc>
          <w:tcPr>
            <w:tcW w:w="0" w:type="auto"/>
            <w:shd w:val="clear" w:color="auto" w:fill="auto"/>
          </w:tcPr>
          <w:p w14:paraId="0FFF88E0" w14:textId="77777777" w:rsidR="008C5CFA" w:rsidRPr="00601E29" w:rsidRDefault="00E82A60" w:rsidP="00300A01">
            <w:pPr>
              <w:spacing w:before="0" w:after="0"/>
              <w:rPr>
                <w:sz w:val="10"/>
                <w:szCs w:val="10"/>
                <w:lang w:val="fr-BE"/>
              </w:rPr>
            </w:pPr>
            <w:r w:rsidRPr="00601E29">
              <w:rPr>
                <w:noProof/>
                <w:sz w:val="10"/>
                <w:szCs w:val="10"/>
                <w:lang w:val="fr-BE"/>
              </w:rPr>
              <w:t>Słabiej rozwinięte</w:t>
            </w:r>
          </w:p>
        </w:tc>
        <w:tc>
          <w:tcPr>
            <w:tcW w:w="0" w:type="auto"/>
          </w:tcPr>
          <w:p w14:paraId="5932A4FB" w14:textId="77777777" w:rsidR="008C5CFA" w:rsidRPr="00601E29" w:rsidRDefault="00E82A60" w:rsidP="00300A01">
            <w:pPr>
              <w:spacing w:before="0" w:after="0"/>
              <w:jc w:val="right"/>
              <w:rPr>
                <w:sz w:val="10"/>
                <w:szCs w:val="10"/>
                <w:lang w:val="fr-BE"/>
              </w:rPr>
            </w:pPr>
            <w:r w:rsidRPr="00601E29">
              <w:rPr>
                <w:noProof/>
                <w:sz w:val="10"/>
                <w:szCs w:val="10"/>
                <w:lang w:val="fr-BE"/>
              </w:rPr>
              <w:t>465,00</w:t>
            </w:r>
          </w:p>
        </w:tc>
        <w:tc>
          <w:tcPr>
            <w:tcW w:w="0" w:type="auto"/>
          </w:tcPr>
          <w:p w14:paraId="06F02673"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45FFC785"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00960692" w14:textId="77777777" w:rsidR="008C5CFA" w:rsidRPr="00601E29" w:rsidRDefault="00E82A60" w:rsidP="00300A01">
            <w:pPr>
              <w:spacing w:before="0" w:after="0"/>
              <w:jc w:val="right"/>
              <w:rPr>
                <w:sz w:val="10"/>
                <w:szCs w:val="10"/>
                <w:lang w:val="fr-BE"/>
              </w:rPr>
            </w:pPr>
            <w:r w:rsidRPr="00601E29">
              <w:rPr>
                <w:noProof/>
                <w:sz w:val="10"/>
                <w:szCs w:val="10"/>
                <w:lang w:val="fr-BE"/>
              </w:rPr>
              <w:t>465,00</w:t>
            </w:r>
          </w:p>
        </w:tc>
        <w:tc>
          <w:tcPr>
            <w:tcW w:w="0" w:type="auto"/>
          </w:tcPr>
          <w:p w14:paraId="1686CCEF"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4C70A1A6"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17F644D2" w14:textId="77777777" w:rsidR="008C5CFA" w:rsidRPr="00601E29" w:rsidRDefault="008C5CFA" w:rsidP="00300A01">
            <w:pPr>
              <w:spacing w:before="0" w:after="0"/>
              <w:jc w:val="right"/>
              <w:rPr>
                <w:sz w:val="10"/>
                <w:szCs w:val="10"/>
                <w:lang w:val="fr-BE"/>
              </w:rPr>
            </w:pPr>
          </w:p>
        </w:tc>
        <w:tc>
          <w:tcPr>
            <w:tcW w:w="0" w:type="auto"/>
          </w:tcPr>
          <w:p w14:paraId="5DBAF079"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67A83708"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3B542F62"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27AA97A6"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56887500"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4BFD5598"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50C984D4" w14:textId="77777777" w:rsidR="008C5CFA" w:rsidRPr="00601E29" w:rsidRDefault="008C5CFA" w:rsidP="00300A01">
            <w:pPr>
              <w:spacing w:before="0" w:after="0"/>
              <w:jc w:val="right"/>
              <w:rPr>
                <w:sz w:val="10"/>
                <w:szCs w:val="10"/>
                <w:lang w:val="fr-BE"/>
              </w:rPr>
            </w:pPr>
          </w:p>
        </w:tc>
      </w:tr>
    </w:tbl>
    <w:p w14:paraId="4D6F0B9B"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71"/>
        <w:gridCol w:w="6788"/>
        <w:gridCol w:w="915"/>
        <w:gridCol w:w="458"/>
        <w:gridCol w:w="576"/>
        <w:gridCol w:w="463"/>
        <w:gridCol w:w="458"/>
        <w:gridCol w:w="576"/>
        <w:gridCol w:w="463"/>
        <w:gridCol w:w="611"/>
        <w:gridCol w:w="458"/>
        <w:gridCol w:w="576"/>
        <w:gridCol w:w="463"/>
        <w:gridCol w:w="458"/>
        <w:gridCol w:w="576"/>
        <w:gridCol w:w="463"/>
        <w:gridCol w:w="611"/>
      </w:tblGrid>
      <w:tr w:rsidR="006B2EC1" w14:paraId="50266E60" w14:textId="77777777" w:rsidTr="0047688D">
        <w:trPr>
          <w:tblHeader/>
        </w:trPr>
        <w:tc>
          <w:tcPr>
            <w:tcW w:w="0" w:type="auto"/>
            <w:shd w:val="clear" w:color="auto" w:fill="auto"/>
          </w:tcPr>
          <w:p w14:paraId="381D1565" w14:textId="77777777" w:rsidR="008C5CFA" w:rsidRPr="00601E29" w:rsidRDefault="00E82A60" w:rsidP="00300A01">
            <w:pPr>
              <w:spacing w:before="0" w:after="0"/>
              <w:rPr>
                <w:b/>
                <w:sz w:val="10"/>
                <w:szCs w:val="10"/>
                <w:lang w:val="fr-BE"/>
              </w:rPr>
            </w:pPr>
            <w:r w:rsidRPr="00601E29">
              <w:rPr>
                <w:b/>
                <w:noProof/>
                <w:sz w:val="10"/>
                <w:szCs w:val="10"/>
                <w:lang w:val="fr-BE"/>
              </w:rPr>
              <w:t>ID</w:t>
            </w:r>
          </w:p>
        </w:tc>
        <w:tc>
          <w:tcPr>
            <w:tcW w:w="0" w:type="auto"/>
            <w:shd w:val="clear" w:color="auto" w:fill="auto"/>
          </w:tcPr>
          <w:p w14:paraId="4ECAA699" w14:textId="77777777" w:rsidR="008C5CFA" w:rsidRPr="00601E29" w:rsidRDefault="00E82A60" w:rsidP="00300A01">
            <w:pPr>
              <w:spacing w:before="0" w:after="0"/>
              <w:rPr>
                <w:b/>
                <w:sz w:val="10"/>
                <w:szCs w:val="10"/>
                <w:lang w:val="fr-BE"/>
              </w:rPr>
            </w:pPr>
            <w:r w:rsidRPr="00601E29">
              <w:rPr>
                <w:b/>
                <w:noProof/>
                <w:sz w:val="10"/>
                <w:szCs w:val="10"/>
                <w:lang w:val="fr-BE"/>
              </w:rPr>
              <w:t>Wskaźnik</w:t>
            </w:r>
          </w:p>
        </w:tc>
        <w:tc>
          <w:tcPr>
            <w:tcW w:w="0" w:type="auto"/>
            <w:shd w:val="clear" w:color="auto" w:fill="auto"/>
          </w:tcPr>
          <w:p w14:paraId="4F660C6E" w14:textId="77777777" w:rsidR="008C5CFA" w:rsidRPr="00601E29" w:rsidRDefault="00E82A60" w:rsidP="00300A01">
            <w:pPr>
              <w:spacing w:before="0" w:after="0"/>
              <w:rPr>
                <w:b/>
                <w:sz w:val="10"/>
                <w:szCs w:val="10"/>
                <w:lang w:val="fr-BE"/>
              </w:rPr>
            </w:pPr>
            <w:r w:rsidRPr="00601E29">
              <w:rPr>
                <w:b/>
                <w:noProof/>
                <w:sz w:val="10"/>
                <w:szCs w:val="10"/>
                <w:lang w:val="fr-BE"/>
              </w:rPr>
              <w:t>Kategoria regionu</w:t>
            </w:r>
          </w:p>
        </w:tc>
        <w:tc>
          <w:tcPr>
            <w:tcW w:w="0" w:type="auto"/>
            <w:gridSpan w:val="7"/>
          </w:tcPr>
          <w:p w14:paraId="18F7B16E" w14:textId="77777777" w:rsidR="008C5CFA" w:rsidRPr="00601E29" w:rsidRDefault="00E82A60" w:rsidP="00300A01">
            <w:pPr>
              <w:spacing w:before="0" w:after="0"/>
              <w:jc w:val="center"/>
              <w:rPr>
                <w:b/>
                <w:sz w:val="10"/>
                <w:szCs w:val="10"/>
                <w:lang w:val="fr-BE"/>
              </w:rPr>
            </w:pPr>
            <w:r>
              <w:rPr>
                <w:b/>
                <w:sz w:val="10"/>
                <w:szCs w:val="10"/>
                <w:lang w:val="fr-BE"/>
              </w:rPr>
              <w:t>2016</w:t>
            </w:r>
          </w:p>
        </w:tc>
        <w:tc>
          <w:tcPr>
            <w:tcW w:w="0" w:type="auto"/>
            <w:gridSpan w:val="7"/>
          </w:tcPr>
          <w:p w14:paraId="715E77CA" w14:textId="77777777" w:rsidR="008C5CFA" w:rsidRPr="00601E29" w:rsidRDefault="00E82A60" w:rsidP="00300A01">
            <w:pPr>
              <w:spacing w:before="0" w:after="0"/>
              <w:jc w:val="center"/>
              <w:rPr>
                <w:b/>
                <w:sz w:val="10"/>
                <w:szCs w:val="10"/>
                <w:lang w:val="fr-BE"/>
              </w:rPr>
            </w:pPr>
            <w:r>
              <w:rPr>
                <w:b/>
                <w:sz w:val="10"/>
                <w:szCs w:val="10"/>
                <w:lang w:val="fr-BE"/>
              </w:rPr>
              <w:t>2015</w:t>
            </w:r>
          </w:p>
        </w:tc>
      </w:tr>
      <w:tr w:rsidR="006B2EC1" w14:paraId="3BF40775" w14:textId="77777777" w:rsidTr="0047688D">
        <w:trPr>
          <w:tblHeader/>
        </w:trPr>
        <w:tc>
          <w:tcPr>
            <w:tcW w:w="0" w:type="auto"/>
            <w:shd w:val="clear" w:color="auto" w:fill="auto"/>
          </w:tcPr>
          <w:p w14:paraId="6D654B96" w14:textId="77777777" w:rsidR="008C5CFA" w:rsidRPr="00601E29" w:rsidRDefault="008C5CFA" w:rsidP="00300A01">
            <w:pPr>
              <w:spacing w:before="0" w:after="0"/>
              <w:rPr>
                <w:b/>
                <w:sz w:val="10"/>
                <w:szCs w:val="10"/>
                <w:lang w:val="fr-BE"/>
              </w:rPr>
            </w:pPr>
          </w:p>
        </w:tc>
        <w:tc>
          <w:tcPr>
            <w:tcW w:w="0" w:type="auto"/>
            <w:shd w:val="clear" w:color="auto" w:fill="auto"/>
          </w:tcPr>
          <w:p w14:paraId="6211BD37" w14:textId="77777777" w:rsidR="008C5CFA" w:rsidRPr="00601E29" w:rsidRDefault="008C5CFA" w:rsidP="00300A01">
            <w:pPr>
              <w:spacing w:before="0" w:after="0"/>
              <w:rPr>
                <w:b/>
                <w:sz w:val="10"/>
                <w:szCs w:val="10"/>
                <w:lang w:val="fr-BE"/>
              </w:rPr>
            </w:pPr>
          </w:p>
        </w:tc>
        <w:tc>
          <w:tcPr>
            <w:tcW w:w="0" w:type="auto"/>
            <w:shd w:val="clear" w:color="auto" w:fill="auto"/>
          </w:tcPr>
          <w:p w14:paraId="5D94CD68" w14:textId="77777777" w:rsidR="008C5CFA" w:rsidRPr="00601E29" w:rsidRDefault="008C5CFA" w:rsidP="00300A01">
            <w:pPr>
              <w:spacing w:before="0" w:after="0"/>
              <w:rPr>
                <w:b/>
                <w:sz w:val="10"/>
                <w:szCs w:val="10"/>
                <w:lang w:val="fr-BE"/>
              </w:rPr>
            </w:pPr>
          </w:p>
        </w:tc>
        <w:tc>
          <w:tcPr>
            <w:tcW w:w="0" w:type="auto"/>
            <w:gridSpan w:val="3"/>
          </w:tcPr>
          <w:p w14:paraId="3098F43C" w14:textId="77777777" w:rsidR="008C5CFA" w:rsidRPr="00601E29" w:rsidRDefault="00E82A60" w:rsidP="00300A01">
            <w:pPr>
              <w:spacing w:before="0" w:after="0"/>
              <w:jc w:val="center"/>
              <w:rPr>
                <w:b/>
                <w:sz w:val="10"/>
                <w:szCs w:val="10"/>
                <w:lang w:val="fr-BE"/>
              </w:rPr>
            </w:pPr>
            <w:r w:rsidRPr="00601E29">
              <w:rPr>
                <w:b/>
                <w:noProof/>
                <w:sz w:val="10"/>
                <w:szCs w:val="10"/>
                <w:lang w:val="fr-BE"/>
              </w:rPr>
              <w:t>Łącznie</w:t>
            </w:r>
          </w:p>
        </w:tc>
        <w:tc>
          <w:tcPr>
            <w:tcW w:w="0" w:type="auto"/>
            <w:gridSpan w:val="3"/>
          </w:tcPr>
          <w:p w14:paraId="76DE7963" w14:textId="77777777" w:rsidR="008C5CFA" w:rsidRPr="00601E29" w:rsidRDefault="00E82A60" w:rsidP="00300A01">
            <w:pPr>
              <w:spacing w:before="0" w:after="0"/>
              <w:jc w:val="center"/>
              <w:rPr>
                <w:b/>
                <w:sz w:val="10"/>
                <w:szCs w:val="10"/>
                <w:lang w:val="fr-BE"/>
              </w:rPr>
            </w:pPr>
            <w:r w:rsidRPr="00601E29">
              <w:rPr>
                <w:b/>
                <w:noProof/>
                <w:sz w:val="10"/>
                <w:szCs w:val="10"/>
                <w:lang w:val="fr-BE"/>
              </w:rPr>
              <w:t>Łącznie w roku</w:t>
            </w:r>
          </w:p>
        </w:tc>
        <w:tc>
          <w:tcPr>
            <w:tcW w:w="0" w:type="auto"/>
          </w:tcPr>
          <w:p w14:paraId="4FE3B1C4" w14:textId="77777777" w:rsidR="008C5CFA" w:rsidRPr="00601E29" w:rsidRDefault="00E82A60" w:rsidP="00300A01">
            <w:pPr>
              <w:spacing w:before="0" w:after="0"/>
              <w:jc w:val="center"/>
              <w:rPr>
                <w:b/>
                <w:sz w:val="10"/>
                <w:szCs w:val="10"/>
                <w:lang w:val="fr-BE"/>
              </w:rPr>
            </w:pPr>
            <w:r w:rsidRPr="00601E29">
              <w:rPr>
                <w:b/>
                <w:noProof/>
                <w:sz w:val="10"/>
                <w:szCs w:val="10"/>
                <w:lang w:val="fr-BE"/>
              </w:rPr>
              <w:t>Jakościowe</w:t>
            </w:r>
          </w:p>
        </w:tc>
        <w:tc>
          <w:tcPr>
            <w:tcW w:w="0" w:type="auto"/>
            <w:gridSpan w:val="3"/>
          </w:tcPr>
          <w:p w14:paraId="6D278E22" w14:textId="77777777" w:rsidR="008C5CFA" w:rsidRPr="00601E29" w:rsidRDefault="00E82A60" w:rsidP="00300A01">
            <w:pPr>
              <w:spacing w:before="0" w:after="0"/>
              <w:jc w:val="center"/>
              <w:rPr>
                <w:b/>
                <w:sz w:val="10"/>
                <w:szCs w:val="10"/>
                <w:lang w:val="fr-BE"/>
              </w:rPr>
            </w:pPr>
            <w:r w:rsidRPr="00601E29">
              <w:rPr>
                <w:b/>
                <w:noProof/>
                <w:sz w:val="10"/>
                <w:szCs w:val="10"/>
                <w:lang w:val="fr-BE"/>
              </w:rPr>
              <w:t>Łącznie</w:t>
            </w:r>
          </w:p>
        </w:tc>
        <w:tc>
          <w:tcPr>
            <w:tcW w:w="0" w:type="auto"/>
            <w:gridSpan w:val="3"/>
          </w:tcPr>
          <w:p w14:paraId="218497B4" w14:textId="77777777" w:rsidR="008C5CFA" w:rsidRPr="00601E29" w:rsidRDefault="00E82A60" w:rsidP="00300A01">
            <w:pPr>
              <w:spacing w:before="0" w:after="0"/>
              <w:jc w:val="center"/>
              <w:rPr>
                <w:b/>
                <w:sz w:val="10"/>
                <w:szCs w:val="10"/>
                <w:lang w:val="fr-BE"/>
              </w:rPr>
            </w:pPr>
            <w:r w:rsidRPr="00601E29">
              <w:rPr>
                <w:b/>
                <w:noProof/>
                <w:sz w:val="10"/>
                <w:szCs w:val="10"/>
                <w:lang w:val="fr-BE"/>
              </w:rPr>
              <w:t>Łącznie w roku</w:t>
            </w:r>
          </w:p>
        </w:tc>
        <w:tc>
          <w:tcPr>
            <w:tcW w:w="0" w:type="auto"/>
          </w:tcPr>
          <w:p w14:paraId="76BC96D9" w14:textId="77777777" w:rsidR="008C5CFA" w:rsidRPr="00601E29" w:rsidRDefault="00E82A60" w:rsidP="00300A01">
            <w:pPr>
              <w:spacing w:before="0" w:after="0"/>
              <w:jc w:val="center"/>
              <w:rPr>
                <w:b/>
                <w:sz w:val="10"/>
                <w:szCs w:val="10"/>
                <w:lang w:val="fr-BE"/>
              </w:rPr>
            </w:pPr>
            <w:r w:rsidRPr="00601E29">
              <w:rPr>
                <w:b/>
                <w:noProof/>
                <w:sz w:val="10"/>
                <w:szCs w:val="10"/>
                <w:lang w:val="fr-BE"/>
              </w:rPr>
              <w:t>Jakościowe</w:t>
            </w:r>
          </w:p>
        </w:tc>
      </w:tr>
      <w:tr w:rsidR="006B2EC1" w14:paraId="236D4168" w14:textId="77777777" w:rsidTr="0047688D">
        <w:trPr>
          <w:tblHeader/>
        </w:trPr>
        <w:tc>
          <w:tcPr>
            <w:tcW w:w="0" w:type="auto"/>
            <w:shd w:val="clear" w:color="auto" w:fill="auto"/>
          </w:tcPr>
          <w:p w14:paraId="1BCEDA77" w14:textId="77777777" w:rsidR="008C5CFA" w:rsidRPr="00601E29" w:rsidRDefault="008C5CFA" w:rsidP="00300A01">
            <w:pPr>
              <w:spacing w:before="0" w:after="0"/>
              <w:rPr>
                <w:b/>
                <w:sz w:val="10"/>
                <w:szCs w:val="10"/>
                <w:lang w:val="fr-BE"/>
              </w:rPr>
            </w:pPr>
          </w:p>
        </w:tc>
        <w:tc>
          <w:tcPr>
            <w:tcW w:w="0" w:type="auto"/>
            <w:shd w:val="clear" w:color="auto" w:fill="auto"/>
          </w:tcPr>
          <w:p w14:paraId="699FBB3A" w14:textId="77777777" w:rsidR="008C5CFA" w:rsidRPr="00601E29" w:rsidRDefault="008C5CFA" w:rsidP="00300A01">
            <w:pPr>
              <w:spacing w:before="0" w:after="0"/>
              <w:rPr>
                <w:b/>
                <w:sz w:val="10"/>
                <w:szCs w:val="10"/>
                <w:lang w:val="fr-BE"/>
              </w:rPr>
            </w:pPr>
          </w:p>
        </w:tc>
        <w:tc>
          <w:tcPr>
            <w:tcW w:w="0" w:type="auto"/>
            <w:shd w:val="clear" w:color="auto" w:fill="auto"/>
          </w:tcPr>
          <w:p w14:paraId="2FDEA286" w14:textId="77777777" w:rsidR="008C5CFA" w:rsidRPr="00601E29" w:rsidRDefault="008C5CFA" w:rsidP="00300A01">
            <w:pPr>
              <w:spacing w:before="0" w:after="0"/>
              <w:rPr>
                <w:b/>
                <w:sz w:val="10"/>
                <w:szCs w:val="10"/>
                <w:lang w:val="fr-BE"/>
              </w:rPr>
            </w:pPr>
          </w:p>
        </w:tc>
        <w:tc>
          <w:tcPr>
            <w:tcW w:w="0" w:type="auto"/>
          </w:tcPr>
          <w:p w14:paraId="0B0DAB3A" w14:textId="77777777" w:rsidR="008C5CFA" w:rsidRPr="00601E29" w:rsidRDefault="00E82A60" w:rsidP="00300A01">
            <w:pPr>
              <w:spacing w:before="0" w:after="0"/>
              <w:jc w:val="center"/>
              <w:rPr>
                <w:b/>
                <w:sz w:val="10"/>
                <w:szCs w:val="10"/>
                <w:lang w:val="fr-BE"/>
              </w:rPr>
            </w:pPr>
            <w:r w:rsidRPr="00601E29">
              <w:rPr>
                <w:b/>
                <w:noProof/>
                <w:sz w:val="10"/>
                <w:szCs w:val="10"/>
                <w:lang w:val="fr-BE"/>
              </w:rPr>
              <w:t>Ogółem</w:t>
            </w:r>
          </w:p>
        </w:tc>
        <w:tc>
          <w:tcPr>
            <w:tcW w:w="0" w:type="auto"/>
          </w:tcPr>
          <w:p w14:paraId="266E7A8E" w14:textId="77777777" w:rsidR="008C5CFA" w:rsidRPr="00601E29" w:rsidRDefault="00E82A60" w:rsidP="00300A01">
            <w:pPr>
              <w:spacing w:before="0" w:after="0"/>
              <w:jc w:val="center"/>
              <w:rPr>
                <w:b/>
                <w:sz w:val="10"/>
                <w:szCs w:val="10"/>
                <w:lang w:val="fr-BE"/>
              </w:rPr>
            </w:pPr>
            <w:r w:rsidRPr="00601E29">
              <w:rPr>
                <w:b/>
                <w:noProof/>
                <w:sz w:val="10"/>
                <w:szCs w:val="10"/>
                <w:lang w:val="fr-BE"/>
              </w:rPr>
              <w:t>Mężczyźni</w:t>
            </w:r>
          </w:p>
        </w:tc>
        <w:tc>
          <w:tcPr>
            <w:tcW w:w="0" w:type="auto"/>
          </w:tcPr>
          <w:p w14:paraId="7760730C" w14:textId="77777777" w:rsidR="008C5CFA" w:rsidRPr="00601E29" w:rsidRDefault="00E82A60" w:rsidP="00300A01">
            <w:pPr>
              <w:spacing w:before="0" w:after="0"/>
              <w:jc w:val="center"/>
              <w:rPr>
                <w:b/>
                <w:sz w:val="10"/>
                <w:szCs w:val="10"/>
                <w:lang w:val="fr-BE"/>
              </w:rPr>
            </w:pPr>
            <w:r w:rsidRPr="00601E29">
              <w:rPr>
                <w:b/>
                <w:noProof/>
                <w:sz w:val="10"/>
                <w:szCs w:val="10"/>
                <w:lang w:val="fr-BE"/>
              </w:rPr>
              <w:t>Kobiety</w:t>
            </w:r>
          </w:p>
        </w:tc>
        <w:tc>
          <w:tcPr>
            <w:tcW w:w="0" w:type="auto"/>
          </w:tcPr>
          <w:p w14:paraId="4A2A8EEA" w14:textId="77777777" w:rsidR="008C5CFA" w:rsidRPr="00601E29" w:rsidRDefault="00E82A60" w:rsidP="00300A01">
            <w:pPr>
              <w:spacing w:before="0" w:after="0"/>
              <w:jc w:val="center"/>
              <w:rPr>
                <w:b/>
                <w:sz w:val="10"/>
                <w:szCs w:val="10"/>
                <w:lang w:val="fr-BE"/>
              </w:rPr>
            </w:pPr>
            <w:r w:rsidRPr="00601E29">
              <w:rPr>
                <w:b/>
                <w:noProof/>
                <w:sz w:val="10"/>
                <w:szCs w:val="10"/>
                <w:lang w:val="fr-BE"/>
              </w:rPr>
              <w:t>Ogółem</w:t>
            </w:r>
          </w:p>
        </w:tc>
        <w:tc>
          <w:tcPr>
            <w:tcW w:w="0" w:type="auto"/>
          </w:tcPr>
          <w:p w14:paraId="5DB99513" w14:textId="77777777" w:rsidR="008C5CFA" w:rsidRPr="00601E29" w:rsidRDefault="00E82A60" w:rsidP="00300A01">
            <w:pPr>
              <w:spacing w:before="0" w:after="0"/>
              <w:jc w:val="center"/>
              <w:rPr>
                <w:b/>
                <w:sz w:val="10"/>
                <w:szCs w:val="10"/>
                <w:lang w:val="fr-BE"/>
              </w:rPr>
            </w:pPr>
            <w:r w:rsidRPr="00601E29">
              <w:rPr>
                <w:b/>
                <w:noProof/>
                <w:sz w:val="10"/>
                <w:szCs w:val="10"/>
                <w:lang w:val="fr-BE"/>
              </w:rPr>
              <w:t>Mężczyźni</w:t>
            </w:r>
          </w:p>
        </w:tc>
        <w:tc>
          <w:tcPr>
            <w:tcW w:w="0" w:type="auto"/>
          </w:tcPr>
          <w:p w14:paraId="3398F396" w14:textId="77777777" w:rsidR="008C5CFA" w:rsidRPr="00601E29" w:rsidRDefault="00E82A60" w:rsidP="00300A01">
            <w:pPr>
              <w:spacing w:before="0" w:after="0"/>
              <w:jc w:val="center"/>
              <w:rPr>
                <w:b/>
                <w:sz w:val="10"/>
                <w:szCs w:val="10"/>
                <w:lang w:val="fr-BE"/>
              </w:rPr>
            </w:pPr>
            <w:r w:rsidRPr="00601E29">
              <w:rPr>
                <w:b/>
                <w:noProof/>
                <w:sz w:val="10"/>
                <w:szCs w:val="10"/>
                <w:lang w:val="fr-BE"/>
              </w:rPr>
              <w:t>Kobiety</w:t>
            </w:r>
          </w:p>
        </w:tc>
        <w:tc>
          <w:tcPr>
            <w:tcW w:w="0" w:type="auto"/>
          </w:tcPr>
          <w:p w14:paraId="0DC59ABC" w14:textId="77777777" w:rsidR="008C5CFA" w:rsidRPr="00601E29" w:rsidRDefault="008C5CFA" w:rsidP="00300A01">
            <w:pPr>
              <w:spacing w:before="0" w:after="0"/>
              <w:jc w:val="center"/>
              <w:rPr>
                <w:b/>
                <w:sz w:val="10"/>
                <w:szCs w:val="10"/>
                <w:lang w:val="fr-BE"/>
              </w:rPr>
            </w:pPr>
          </w:p>
        </w:tc>
        <w:tc>
          <w:tcPr>
            <w:tcW w:w="0" w:type="auto"/>
          </w:tcPr>
          <w:p w14:paraId="70CDDE95" w14:textId="77777777" w:rsidR="008C5CFA" w:rsidRPr="00601E29" w:rsidRDefault="00E82A60" w:rsidP="00300A01">
            <w:pPr>
              <w:spacing w:before="0" w:after="0"/>
              <w:jc w:val="center"/>
              <w:rPr>
                <w:b/>
                <w:sz w:val="10"/>
                <w:szCs w:val="10"/>
                <w:lang w:val="fr-BE"/>
              </w:rPr>
            </w:pPr>
            <w:r w:rsidRPr="00601E29">
              <w:rPr>
                <w:b/>
                <w:noProof/>
                <w:sz w:val="10"/>
                <w:szCs w:val="10"/>
                <w:lang w:val="fr-BE"/>
              </w:rPr>
              <w:t>Ogółem</w:t>
            </w:r>
          </w:p>
        </w:tc>
        <w:tc>
          <w:tcPr>
            <w:tcW w:w="0" w:type="auto"/>
          </w:tcPr>
          <w:p w14:paraId="24E0F47D" w14:textId="77777777" w:rsidR="008C5CFA" w:rsidRPr="00601E29" w:rsidRDefault="00E82A60" w:rsidP="00300A01">
            <w:pPr>
              <w:spacing w:before="0" w:after="0"/>
              <w:jc w:val="center"/>
              <w:rPr>
                <w:b/>
                <w:sz w:val="10"/>
                <w:szCs w:val="10"/>
                <w:lang w:val="fr-BE"/>
              </w:rPr>
            </w:pPr>
            <w:r w:rsidRPr="00601E29">
              <w:rPr>
                <w:b/>
                <w:noProof/>
                <w:sz w:val="10"/>
                <w:szCs w:val="10"/>
                <w:lang w:val="fr-BE"/>
              </w:rPr>
              <w:t>Mężczyźni</w:t>
            </w:r>
          </w:p>
        </w:tc>
        <w:tc>
          <w:tcPr>
            <w:tcW w:w="0" w:type="auto"/>
          </w:tcPr>
          <w:p w14:paraId="65102AB6" w14:textId="77777777" w:rsidR="008C5CFA" w:rsidRPr="00601E29" w:rsidRDefault="00E82A60" w:rsidP="00300A01">
            <w:pPr>
              <w:spacing w:before="0" w:after="0"/>
              <w:jc w:val="center"/>
              <w:rPr>
                <w:b/>
                <w:sz w:val="10"/>
                <w:szCs w:val="10"/>
                <w:lang w:val="fr-BE"/>
              </w:rPr>
            </w:pPr>
            <w:r w:rsidRPr="00601E29">
              <w:rPr>
                <w:b/>
                <w:noProof/>
                <w:sz w:val="10"/>
                <w:szCs w:val="10"/>
                <w:lang w:val="fr-BE"/>
              </w:rPr>
              <w:t>Kobiety</w:t>
            </w:r>
          </w:p>
        </w:tc>
        <w:tc>
          <w:tcPr>
            <w:tcW w:w="0" w:type="auto"/>
          </w:tcPr>
          <w:p w14:paraId="38437703" w14:textId="77777777" w:rsidR="008C5CFA" w:rsidRPr="00601E29" w:rsidRDefault="00E82A60" w:rsidP="00300A01">
            <w:pPr>
              <w:spacing w:before="0" w:after="0"/>
              <w:jc w:val="center"/>
              <w:rPr>
                <w:b/>
                <w:sz w:val="10"/>
                <w:szCs w:val="10"/>
                <w:lang w:val="fr-BE"/>
              </w:rPr>
            </w:pPr>
            <w:r w:rsidRPr="00601E29">
              <w:rPr>
                <w:b/>
                <w:noProof/>
                <w:sz w:val="10"/>
                <w:szCs w:val="10"/>
                <w:lang w:val="fr-BE"/>
              </w:rPr>
              <w:t>Ogółem</w:t>
            </w:r>
          </w:p>
        </w:tc>
        <w:tc>
          <w:tcPr>
            <w:tcW w:w="0" w:type="auto"/>
          </w:tcPr>
          <w:p w14:paraId="0F398157" w14:textId="77777777" w:rsidR="008C5CFA" w:rsidRPr="00601E29" w:rsidRDefault="00E82A60" w:rsidP="00300A01">
            <w:pPr>
              <w:spacing w:before="0" w:after="0"/>
              <w:jc w:val="center"/>
              <w:rPr>
                <w:b/>
                <w:sz w:val="10"/>
                <w:szCs w:val="10"/>
                <w:lang w:val="fr-BE"/>
              </w:rPr>
            </w:pPr>
            <w:r w:rsidRPr="00601E29">
              <w:rPr>
                <w:b/>
                <w:noProof/>
                <w:sz w:val="10"/>
                <w:szCs w:val="10"/>
                <w:lang w:val="fr-BE"/>
              </w:rPr>
              <w:t>Mężczyźni</w:t>
            </w:r>
          </w:p>
        </w:tc>
        <w:tc>
          <w:tcPr>
            <w:tcW w:w="0" w:type="auto"/>
          </w:tcPr>
          <w:p w14:paraId="2C239284" w14:textId="77777777" w:rsidR="008C5CFA" w:rsidRPr="00601E29" w:rsidRDefault="00E82A60" w:rsidP="00300A01">
            <w:pPr>
              <w:spacing w:before="0" w:after="0"/>
              <w:jc w:val="center"/>
              <w:rPr>
                <w:b/>
                <w:sz w:val="10"/>
                <w:szCs w:val="10"/>
                <w:lang w:val="fr-BE"/>
              </w:rPr>
            </w:pPr>
            <w:r w:rsidRPr="00601E29">
              <w:rPr>
                <w:b/>
                <w:noProof/>
                <w:sz w:val="10"/>
                <w:szCs w:val="10"/>
                <w:lang w:val="fr-BE"/>
              </w:rPr>
              <w:t>Kobiety</w:t>
            </w:r>
          </w:p>
        </w:tc>
        <w:tc>
          <w:tcPr>
            <w:tcW w:w="0" w:type="auto"/>
          </w:tcPr>
          <w:p w14:paraId="6BB8965C" w14:textId="77777777" w:rsidR="008C5CFA" w:rsidRPr="00601E29" w:rsidRDefault="008C5CFA" w:rsidP="00300A01">
            <w:pPr>
              <w:spacing w:before="0" w:after="0"/>
              <w:jc w:val="center"/>
              <w:rPr>
                <w:b/>
                <w:sz w:val="10"/>
                <w:szCs w:val="10"/>
                <w:lang w:val="fr-BE"/>
              </w:rPr>
            </w:pPr>
          </w:p>
        </w:tc>
      </w:tr>
      <w:tr w:rsidR="006B2EC1" w14:paraId="7676888D" w14:textId="77777777" w:rsidTr="0047688D">
        <w:tc>
          <w:tcPr>
            <w:tcW w:w="0" w:type="auto"/>
            <w:shd w:val="clear" w:color="auto" w:fill="auto"/>
          </w:tcPr>
          <w:p w14:paraId="31730188" w14:textId="77777777" w:rsidR="008C5CFA" w:rsidRPr="00601E29" w:rsidRDefault="00E82A60" w:rsidP="00300A01">
            <w:pPr>
              <w:spacing w:before="0" w:after="0"/>
              <w:rPr>
                <w:sz w:val="10"/>
                <w:szCs w:val="10"/>
                <w:lang w:val="fr-BE"/>
              </w:rPr>
            </w:pPr>
            <w:r w:rsidRPr="00601E29">
              <w:rPr>
                <w:noProof/>
                <w:sz w:val="10"/>
                <w:szCs w:val="10"/>
                <w:lang w:val="fr-BE"/>
              </w:rPr>
              <w:t>144</w:t>
            </w:r>
          </w:p>
        </w:tc>
        <w:tc>
          <w:tcPr>
            <w:tcW w:w="0" w:type="auto"/>
            <w:shd w:val="clear" w:color="auto" w:fill="auto"/>
          </w:tcPr>
          <w:p w14:paraId="240E9493" w14:textId="77777777" w:rsidR="008C5CFA" w:rsidRPr="00601E29" w:rsidRDefault="00E82A60" w:rsidP="00300A01">
            <w:pPr>
              <w:spacing w:before="0" w:after="0"/>
              <w:rPr>
                <w:sz w:val="10"/>
                <w:szCs w:val="10"/>
                <w:lang w:val="fr-BE"/>
              </w:rPr>
            </w:pPr>
            <w:r w:rsidRPr="00601E29">
              <w:rPr>
                <w:noProof/>
                <w:sz w:val="10"/>
                <w:szCs w:val="10"/>
                <w:lang w:val="fr-BE"/>
              </w:rPr>
              <w:t>Liczba osób zagrożonych ubóstwem lub wykluczeniem społecznym, które uzyskały kwalifikacje lub nabyły kompetencje po opuszczeniu programu</w:t>
            </w:r>
          </w:p>
        </w:tc>
        <w:tc>
          <w:tcPr>
            <w:tcW w:w="0" w:type="auto"/>
            <w:shd w:val="clear" w:color="auto" w:fill="auto"/>
          </w:tcPr>
          <w:p w14:paraId="5E66A0E5" w14:textId="77777777" w:rsidR="008C5CFA" w:rsidRPr="00601E29" w:rsidRDefault="00E82A60" w:rsidP="00300A01">
            <w:pPr>
              <w:spacing w:before="0" w:after="0"/>
              <w:rPr>
                <w:sz w:val="10"/>
                <w:szCs w:val="10"/>
                <w:lang w:val="fr-BE"/>
              </w:rPr>
            </w:pPr>
            <w:r w:rsidRPr="00601E29">
              <w:rPr>
                <w:noProof/>
                <w:sz w:val="10"/>
                <w:szCs w:val="10"/>
                <w:lang w:val="fr-BE"/>
              </w:rPr>
              <w:t>Słabiej rozwinięte</w:t>
            </w:r>
          </w:p>
        </w:tc>
        <w:tc>
          <w:tcPr>
            <w:tcW w:w="0" w:type="auto"/>
          </w:tcPr>
          <w:p w14:paraId="223754B3" w14:textId="77777777" w:rsidR="008C5CFA" w:rsidRPr="00601E29" w:rsidRDefault="008C5CFA" w:rsidP="00300A01">
            <w:pPr>
              <w:spacing w:before="0" w:after="0"/>
              <w:jc w:val="right"/>
              <w:rPr>
                <w:sz w:val="10"/>
                <w:szCs w:val="10"/>
                <w:lang w:val="fr-BE"/>
              </w:rPr>
            </w:pPr>
          </w:p>
        </w:tc>
        <w:tc>
          <w:tcPr>
            <w:tcW w:w="0" w:type="auto"/>
          </w:tcPr>
          <w:p w14:paraId="3FB912E5" w14:textId="77777777" w:rsidR="008C5CFA" w:rsidRPr="00601E29" w:rsidRDefault="008C5CFA" w:rsidP="00300A01">
            <w:pPr>
              <w:spacing w:before="0" w:after="0"/>
              <w:jc w:val="right"/>
              <w:rPr>
                <w:sz w:val="10"/>
                <w:szCs w:val="10"/>
                <w:lang w:val="fr-BE"/>
              </w:rPr>
            </w:pPr>
          </w:p>
        </w:tc>
        <w:tc>
          <w:tcPr>
            <w:tcW w:w="0" w:type="auto"/>
          </w:tcPr>
          <w:p w14:paraId="3A16BA0D" w14:textId="77777777" w:rsidR="008C5CFA" w:rsidRPr="00601E29" w:rsidRDefault="008C5CFA" w:rsidP="00300A01">
            <w:pPr>
              <w:spacing w:before="0" w:after="0"/>
              <w:jc w:val="right"/>
              <w:rPr>
                <w:sz w:val="10"/>
                <w:szCs w:val="10"/>
                <w:lang w:val="fr-BE"/>
              </w:rPr>
            </w:pPr>
          </w:p>
        </w:tc>
        <w:tc>
          <w:tcPr>
            <w:tcW w:w="0" w:type="auto"/>
          </w:tcPr>
          <w:p w14:paraId="14EC5CEB" w14:textId="77777777" w:rsidR="008C5CFA" w:rsidRPr="00601E29" w:rsidRDefault="008C5CFA" w:rsidP="00300A01">
            <w:pPr>
              <w:spacing w:before="0" w:after="0"/>
              <w:jc w:val="right"/>
              <w:rPr>
                <w:sz w:val="10"/>
                <w:szCs w:val="10"/>
                <w:lang w:val="fr-BE"/>
              </w:rPr>
            </w:pPr>
          </w:p>
        </w:tc>
        <w:tc>
          <w:tcPr>
            <w:tcW w:w="0" w:type="auto"/>
          </w:tcPr>
          <w:p w14:paraId="4AB54ED4" w14:textId="77777777" w:rsidR="008C5CFA" w:rsidRPr="00601E29" w:rsidRDefault="008C5CFA" w:rsidP="00300A01">
            <w:pPr>
              <w:spacing w:before="0" w:after="0"/>
              <w:jc w:val="right"/>
              <w:rPr>
                <w:sz w:val="10"/>
                <w:szCs w:val="10"/>
                <w:lang w:val="fr-BE"/>
              </w:rPr>
            </w:pPr>
          </w:p>
        </w:tc>
        <w:tc>
          <w:tcPr>
            <w:tcW w:w="0" w:type="auto"/>
          </w:tcPr>
          <w:p w14:paraId="289E0258" w14:textId="77777777" w:rsidR="008C5CFA" w:rsidRPr="00601E29" w:rsidRDefault="008C5CFA" w:rsidP="00300A01">
            <w:pPr>
              <w:spacing w:before="0" w:after="0"/>
              <w:jc w:val="right"/>
              <w:rPr>
                <w:sz w:val="10"/>
                <w:szCs w:val="10"/>
                <w:lang w:val="fr-BE"/>
              </w:rPr>
            </w:pPr>
          </w:p>
        </w:tc>
        <w:tc>
          <w:tcPr>
            <w:tcW w:w="0" w:type="auto"/>
          </w:tcPr>
          <w:p w14:paraId="50CCAFF3" w14:textId="77777777" w:rsidR="008C5CFA" w:rsidRPr="00601E29" w:rsidRDefault="008C5CFA" w:rsidP="00300A01">
            <w:pPr>
              <w:spacing w:before="0" w:after="0"/>
              <w:jc w:val="right"/>
              <w:rPr>
                <w:sz w:val="10"/>
                <w:szCs w:val="10"/>
                <w:lang w:val="fr-BE"/>
              </w:rPr>
            </w:pPr>
          </w:p>
        </w:tc>
        <w:tc>
          <w:tcPr>
            <w:tcW w:w="0" w:type="auto"/>
          </w:tcPr>
          <w:p w14:paraId="5786F024" w14:textId="77777777" w:rsidR="008C5CFA" w:rsidRPr="00601E29" w:rsidRDefault="008C5CFA" w:rsidP="00300A01">
            <w:pPr>
              <w:spacing w:before="0" w:after="0"/>
              <w:jc w:val="right"/>
              <w:rPr>
                <w:sz w:val="10"/>
                <w:szCs w:val="10"/>
                <w:lang w:val="fr-BE"/>
              </w:rPr>
            </w:pPr>
          </w:p>
        </w:tc>
        <w:tc>
          <w:tcPr>
            <w:tcW w:w="0" w:type="auto"/>
          </w:tcPr>
          <w:p w14:paraId="6EB7805F" w14:textId="77777777" w:rsidR="008C5CFA" w:rsidRPr="00601E29" w:rsidRDefault="008C5CFA" w:rsidP="00300A01">
            <w:pPr>
              <w:spacing w:before="0" w:after="0"/>
              <w:jc w:val="right"/>
              <w:rPr>
                <w:sz w:val="10"/>
                <w:szCs w:val="10"/>
                <w:lang w:val="fr-BE"/>
              </w:rPr>
            </w:pPr>
          </w:p>
        </w:tc>
        <w:tc>
          <w:tcPr>
            <w:tcW w:w="0" w:type="auto"/>
          </w:tcPr>
          <w:p w14:paraId="10C4C0EA" w14:textId="77777777" w:rsidR="008C5CFA" w:rsidRPr="00601E29" w:rsidRDefault="008C5CFA" w:rsidP="00300A01">
            <w:pPr>
              <w:spacing w:before="0" w:after="0"/>
              <w:jc w:val="right"/>
              <w:rPr>
                <w:sz w:val="10"/>
                <w:szCs w:val="10"/>
                <w:lang w:val="fr-BE"/>
              </w:rPr>
            </w:pPr>
          </w:p>
        </w:tc>
        <w:tc>
          <w:tcPr>
            <w:tcW w:w="0" w:type="auto"/>
          </w:tcPr>
          <w:p w14:paraId="672982FC" w14:textId="77777777" w:rsidR="008C5CFA" w:rsidRPr="00601E29" w:rsidRDefault="008C5CFA" w:rsidP="00300A01">
            <w:pPr>
              <w:spacing w:before="0" w:after="0"/>
              <w:jc w:val="right"/>
              <w:rPr>
                <w:sz w:val="10"/>
                <w:szCs w:val="10"/>
                <w:lang w:val="fr-BE"/>
              </w:rPr>
            </w:pPr>
          </w:p>
        </w:tc>
        <w:tc>
          <w:tcPr>
            <w:tcW w:w="0" w:type="auto"/>
          </w:tcPr>
          <w:p w14:paraId="3E92DD4E" w14:textId="77777777" w:rsidR="008C5CFA" w:rsidRPr="00601E29" w:rsidRDefault="008C5CFA" w:rsidP="00300A01">
            <w:pPr>
              <w:spacing w:before="0" w:after="0"/>
              <w:jc w:val="right"/>
              <w:rPr>
                <w:sz w:val="10"/>
                <w:szCs w:val="10"/>
                <w:lang w:val="fr-BE"/>
              </w:rPr>
            </w:pPr>
          </w:p>
        </w:tc>
        <w:tc>
          <w:tcPr>
            <w:tcW w:w="0" w:type="auto"/>
          </w:tcPr>
          <w:p w14:paraId="2340D86C" w14:textId="77777777" w:rsidR="008C5CFA" w:rsidRPr="00601E29" w:rsidRDefault="008C5CFA" w:rsidP="00300A01">
            <w:pPr>
              <w:spacing w:before="0" w:after="0"/>
              <w:jc w:val="right"/>
              <w:rPr>
                <w:sz w:val="10"/>
                <w:szCs w:val="10"/>
                <w:lang w:val="fr-BE"/>
              </w:rPr>
            </w:pPr>
          </w:p>
        </w:tc>
        <w:tc>
          <w:tcPr>
            <w:tcW w:w="0" w:type="auto"/>
          </w:tcPr>
          <w:p w14:paraId="09BB6DF8" w14:textId="77777777" w:rsidR="008C5CFA" w:rsidRPr="00601E29" w:rsidRDefault="008C5CFA" w:rsidP="00300A01">
            <w:pPr>
              <w:spacing w:before="0" w:after="0"/>
              <w:jc w:val="right"/>
              <w:rPr>
                <w:sz w:val="10"/>
                <w:szCs w:val="10"/>
                <w:lang w:val="fr-BE"/>
              </w:rPr>
            </w:pPr>
          </w:p>
        </w:tc>
      </w:tr>
      <w:tr w:rsidR="006B2EC1" w14:paraId="358ABB4D" w14:textId="77777777" w:rsidTr="0047688D">
        <w:tc>
          <w:tcPr>
            <w:tcW w:w="0" w:type="auto"/>
            <w:shd w:val="clear" w:color="auto" w:fill="auto"/>
          </w:tcPr>
          <w:p w14:paraId="3C6171AC" w14:textId="77777777" w:rsidR="008C5CFA" w:rsidRPr="00601E29" w:rsidRDefault="00E82A60" w:rsidP="00300A01">
            <w:pPr>
              <w:spacing w:before="0" w:after="0"/>
              <w:rPr>
                <w:sz w:val="10"/>
                <w:szCs w:val="10"/>
                <w:lang w:val="fr-BE"/>
              </w:rPr>
            </w:pPr>
            <w:r w:rsidRPr="00601E29">
              <w:rPr>
                <w:noProof/>
                <w:sz w:val="10"/>
                <w:szCs w:val="10"/>
                <w:lang w:val="fr-BE"/>
              </w:rPr>
              <w:t>018</w:t>
            </w:r>
          </w:p>
        </w:tc>
        <w:tc>
          <w:tcPr>
            <w:tcW w:w="0" w:type="auto"/>
            <w:shd w:val="clear" w:color="auto" w:fill="auto"/>
          </w:tcPr>
          <w:p w14:paraId="0152B56B" w14:textId="77777777" w:rsidR="008C5CFA" w:rsidRPr="00601E29" w:rsidRDefault="00E82A60" w:rsidP="00300A01">
            <w:pPr>
              <w:spacing w:before="0" w:after="0"/>
              <w:rPr>
                <w:sz w:val="10"/>
                <w:szCs w:val="10"/>
                <w:lang w:val="fr-BE"/>
              </w:rPr>
            </w:pPr>
            <w:r w:rsidRPr="00601E29">
              <w:rPr>
                <w:noProof/>
                <w:sz w:val="10"/>
                <w:szCs w:val="10"/>
                <w:lang w:val="fr-BE"/>
              </w:rPr>
              <w:t>Liczba osób zagrożonych ubóstwem lub wykluczeniem społecznym poszukujących pracy po opuszczeniu programu</w:t>
            </w:r>
          </w:p>
        </w:tc>
        <w:tc>
          <w:tcPr>
            <w:tcW w:w="0" w:type="auto"/>
            <w:shd w:val="clear" w:color="auto" w:fill="auto"/>
          </w:tcPr>
          <w:p w14:paraId="5D068CDB" w14:textId="77777777" w:rsidR="008C5CFA" w:rsidRPr="00601E29" w:rsidRDefault="00E82A60" w:rsidP="00300A01">
            <w:pPr>
              <w:spacing w:before="0" w:after="0"/>
              <w:rPr>
                <w:sz w:val="10"/>
                <w:szCs w:val="10"/>
                <w:lang w:val="fr-BE"/>
              </w:rPr>
            </w:pPr>
            <w:r w:rsidRPr="00601E29">
              <w:rPr>
                <w:noProof/>
                <w:sz w:val="10"/>
                <w:szCs w:val="10"/>
                <w:lang w:val="fr-BE"/>
              </w:rPr>
              <w:t>Słabiej rozwinięte</w:t>
            </w:r>
          </w:p>
        </w:tc>
        <w:tc>
          <w:tcPr>
            <w:tcW w:w="0" w:type="auto"/>
          </w:tcPr>
          <w:p w14:paraId="5F56963C"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17CE5796"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6202DC86"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22D2E203"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0F35650F"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0E72AD5F"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6071BC79" w14:textId="77777777" w:rsidR="008C5CFA" w:rsidRPr="00601E29" w:rsidRDefault="008C5CFA" w:rsidP="00300A01">
            <w:pPr>
              <w:spacing w:before="0" w:after="0"/>
              <w:jc w:val="right"/>
              <w:rPr>
                <w:sz w:val="10"/>
                <w:szCs w:val="10"/>
                <w:lang w:val="fr-BE"/>
              </w:rPr>
            </w:pPr>
          </w:p>
        </w:tc>
        <w:tc>
          <w:tcPr>
            <w:tcW w:w="0" w:type="auto"/>
          </w:tcPr>
          <w:p w14:paraId="0658592F"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066210C8"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7B2A7EAD"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284AB1A1"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548D2DDA"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4724DF28"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6C91EF00" w14:textId="77777777" w:rsidR="008C5CFA" w:rsidRPr="00601E29" w:rsidRDefault="008C5CFA" w:rsidP="00300A01">
            <w:pPr>
              <w:spacing w:before="0" w:after="0"/>
              <w:jc w:val="right"/>
              <w:rPr>
                <w:sz w:val="10"/>
                <w:szCs w:val="10"/>
                <w:lang w:val="fr-BE"/>
              </w:rPr>
            </w:pPr>
          </w:p>
        </w:tc>
      </w:tr>
      <w:tr w:rsidR="006B2EC1" w14:paraId="6D5AD82D" w14:textId="77777777" w:rsidTr="0047688D">
        <w:tc>
          <w:tcPr>
            <w:tcW w:w="0" w:type="auto"/>
            <w:shd w:val="clear" w:color="auto" w:fill="auto"/>
          </w:tcPr>
          <w:p w14:paraId="26404CD2" w14:textId="77777777" w:rsidR="008C5CFA" w:rsidRPr="00601E29" w:rsidRDefault="00E82A60" w:rsidP="00300A01">
            <w:pPr>
              <w:spacing w:before="0" w:after="0"/>
              <w:rPr>
                <w:sz w:val="10"/>
                <w:szCs w:val="10"/>
                <w:lang w:val="fr-BE"/>
              </w:rPr>
            </w:pPr>
            <w:r w:rsidRPr="00601E29">
              <w:rPr>
                <w:noProof/>
                <w:sz w:val="10"/>
                <w:szCs w:val="10"/>
                <w:lang w:val="fr-BE"/>
              </w:rPr>
              <w:t>019</w:t>
            </w:r>
          </w:p>
        </w:tc>
        <w:tc>
          <w:tcPr>
            <w:tcW w:w="0" w:type="auto"/>
            <w:shd w:val="clear" w:color="auto" w:fill="auto"/>
          </w:tcPr>
          <w:p w14:paraId="0BCFD195" w14:textId="77777777" w:rsidR="008C5CFA" w:rsidRPr="00601E29" w:rsidRDefault="00E82A60" w:rsidP="00300A01">
            <w:pPr>
              <w:spacing w:before="0" w:after="0"/>
              <w:rPr>
                <w:sz w:val="10"/>
                <w:szCs w:val="10"/>
                <w:lang w:val="fr-BE"/>
              </w:rPr>
            </w:pPr>
            <w:r w:rsidRPr="00601E29">
              <w:rPr>
                <w:noProof/>
                <w:sz w:val="10"/>
                <w:szCs w:val="10"/>
                <w:lang w:val="fr-BE"/>
              </w:rPr>
              <w:t>Liczba osób zagrożonych ubóstwem lub wykluczeniem społecznym pracujących po opuszczeniu programu (łącznie z pracującymi na własny rachunek)</w:t>
            </w:r>
          </w:p>
        </w:tc>
        <w:tc>
          <w:tcPr>
            <w:tcW w:w="0" w:type="auto"/>
            <w:shd w:val="clear" w:color="auto" w:fill="auto"/>
          </w:tcPr>
          <w:p w14:paraId="3EA80AEF" w14:textId="77777777" w:rsidR="008C5CFA" w:rsidRPr="00601E29" w:rsidRDefault="00E82A60" w:rsidP="00300A01">
            <w:pPr>
              <w:spacing w:before="0" w:after="0"/>
              <w:rPr>
                <w:sz w:val="10"/>
                <w:szCs w:val="10"/>
                <w:lang w:val="fr-BE"/>
              </w:rPr>
            </w:pPr>
            <w:r w:rsidRPr="00601E29">
              <w:rPr>
                <w:noProof/>
                <w:sz w:val="10"/>
                <w:szCs w:val="10"/>
                <w:lang w:val="fr-BE"/>
              </w:rPr>
              <w:t>Słabiej rozwinięte</w:t>
            </w:r>
          </w:p>
        </w:tc>
        <w:tc>
          <w:tcPr>
            <w:tcW w:w="0" w:type="auto"/>
          </w:tcPr>
          <w:p w14:paraId="4FB84971" w14:textId="77777777" w:rsidR="008C5CFA" w:rsidRPr="00601E29" w:rsidRDefault="00E82A60" w:rsidP="00300A01">
            <w:pPr>
              <w:spacing w:before="0" w:after="0"/>
              <w:jc w:val="right"/>
              <w:rPr>
                <w:sz w:val="10"/>
                <w:szCs w:val="10"/>
                <w:lang w:val="fr-BE"/>
              </w:rPr>
            </w:pPr>
            <w:r w:rsidRPr="00601E29">
              <w:rPr>
                <w:noProof/>
                <w:sz w:val="10"/>
                <w:szCs w:val="10"/>
                <w:lang w:val="fr-BE"/>
              </w:rPr>
              <w:t>1,00</w:t>
            </w:r>
          </w:p>
        </w:tc>
        <w:tc>
          <w:tcPr>
            <w:tcW w:w="0" w:type="auto"/>
          </w:tcPr>
          <w:p w14:paraId="6BE64CFD"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7D24770C" w14:textId="77777777" w:rsidR="008C5CFA" w:rsidRPr="00601E29" w:rsidRDefault="00E82A60" w:rsidP="00300A01">
            <w:pPr>
              <w:spacing w:before="0" w:after="0"/>
              <w:jc w:val="right"/>
              <w:rPr>
                <w:sz w:val="10"/>
                <w:szCs w:val="10"/>
                <w:lang w:val="fr-BE"/>
              </w:rPr>
            </w:pPr>
            <w:r w:rsidRPr="00601E29">
              <w:rPr>
                <w:noProof/>
                <w:sz w:val="10"/>
                <w:szCs w:val="10"/>
                <w:lang w:val="fr-BE"/>
              </w:rPr>
              <w:t>1,00</w:t>
            </w:r>
          </w:p>
        </w:tc>
        <w:tc>
          <w:tcPr>
            <w:tcW w:w="0" w:type="auto"/>
          </w:tcPr>
          <w:p w14:paraId="7AF81259" w14:textId="77777777" w:rsidR="008C5CFA" w:rsidRPr="00601E29" w:rsidRDefault="00E82A60" w:rsidP="00300A01">
            <w:pPr>
              <w:spacing w:before="0" w:after="0"/>
              <w:jc w:val="right"/>
              <w:rPr>
                <w:sz w:val="10"/>
                <w:szCs w:val="10"/>
                <w:lang w:val="fr-BE"/>
              </w:rPr>
            </w:pPr>
            <w:r w:rsidRPr="00601E29">
              <w:rPr>
                <w:noProof/>
                <w:sz w:val="10"/>
                <w:szCs w:val="10"/>
                <w:lang w:val="fr-BE"/>
              </w:rPr>
              <w:t>1,00</w:t>
            </w:r>
          </w:p>
        </w:tc>
        <w:tc>
          <w:tcPr>
            <w:tcW w:w="0" w:type="auto"/>
          </w:tcPr>
          <w:p w14:paraId="19E4DE70"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7C363D22" w14:textId="77777777" w:rsidR="008C5CFA" w:rsidRPr="00601E29" w:rsidRDefault="00E82A60" w:rsidP="00300A01">
            <w:pPr>
              <w:spacing w:before="0" w:after="0"/>
              <w:jc w:val="right"/>
              <w:rPr>
                <w:sz w:val="10"/>
                <w:szCs w:val="10"/>
                <w:lang w:val="fr-BE"/>
              </w:rPr>
            </w:pPr>
            <w:r w:rsidRPr="00601E29">
              <w:rPr>
                <w:noProof/>
                <w:sz w:val="10"/>
                <w:szCs w:val="10"/>
                <w:lang w:val="fr-BE"/>
              </w:rPr>
              <w:t>1,00</w:t>
            </w:r>
          </w:p>
        </w:tc>
        <w:tc>
          <w:tcPr>
            <w:tcW w:w="0" w:type="auto"/>
          </w:tcPr>
          <w:p w14:paraId="47D4485F" w14:textId="77777777" w:rsidR="008C5CFA" w:rsidRPr="00601E29" w:rsidRDefault="008C5CFA" w:rsidP="00300A01">
            <w:pPr>
              <w:spacing w:before="0" w:after="0"/>
              <w:jc w:val="right"/>
              <w:rPr>
                <w:sz w:val="10"/>
                <w:szCs w:val="10"/>
                <w:lang w:val="fr-BE"/>
              </w:rPr>
            </w:pPr>
          </w:p>
        </w:tc>
        <w:tc>
          <w:tcPr>
            <w:tcW w:w="0" w:type="auto"/>
          </w:tcPr>
          <w:p w14:paraId="35E94AA4"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51E13F28"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4940C99B"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5583249C"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232064B1"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2CC3A2FC"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6850585D" w14:textId="77777777" w:rsidR="008C5CFA" w:rsidRPr="00601E29" w:rsidRDefault="008C5CFA" w:rsidP="00300A01">
            <w:pPr>
              <w:spacing w:before="0" w:after="0"/>
              <w:jc w:val="right"/>
              <w:rPr>
                <w:sz w:val="10"/>
                <w:szCs w:val="10"/>
                <w:lang w:val="fr-BE"/>
              </w:rPr>
            </w:pPr>
          </w:p>
        </w:tc>
      </w:tr>
      <w:tr w:rsidR="006B2EC1" w14:paraId="6EC69CC2" w14:textId="77777777" w:rsidTr="0047688D">
        <w:tc>
          <w:tcPr>
            <w:tcW w:w="0" w:type="auto"/>
            <w:shd w:val="clear" w:color="auto" w:fill="auto"/>
          </w:tcPr>
          <w:p w14:paraId="512421DE" w14:textId="77777777" w:rsidR="008C5CFA" w:rsidRPr="00601E29" w:rsidRDefault="00E82A60" w:rsidP="00300A01">
            <w:pPr>
              <w:spacing w:before="0" w:after="0"/>
              <w:rPr>
                <w:sz w:val="10"/>
                <w:szCs w:val="10"/>
                <w:lang w:val="fr-BE"/>
              </w:rPr>
            </w:pPr>
            <w:r w:rsidRPr="00601E29">
              <w:rPr>
                <w:noProof/>
                <w:sz w:val="10"/>
                <w:szCs w:val="10"/>
                <w:lang w:val="fr-BE"/>
              </w:rPr>
              <w:t>020</w:t>
            </w:r>
          </w:p>
        </w:tc>
        <w:tc>
          <w:tcPr>
            <w:tcW w:w="0" w:type="auto"/>
            <w:shd w:val="clear" w:color="auto" w:fill="auto"/>
          </w:tcPr>
          <w:p w14:paraId="723434A9" w14:textId="77777777" w:rsidR="008C5CFA" w:rsidRPr="00601E29" w:rsidRDefault="00E82A60" w:rsidP="00300A01">
            <w:pPr>
              <w:spacing w:before="0" w:after="0"/>
              <w:rPr>
                <w:sz w:val="10"/>
                <w:szCs w:val="10"/>
                <w:lang w:val="fr-BE"/>
              </w:rPr>
            </w:pPr>
            <w:r w:rsidRPr="00601E29">
              <w:rPr>
                <w:noProof/>
                <w:sz w:val="10"/>
                <w:szCs w:val="10"/>
                <w:lang w:val="fr-BE"/>
              </w:rPr>
              <w:t>Liczba osób zagrożonych ubóstwem lub wykluczeniem społecznym pracujących 6 miesięcy po opuszczeniu programu (łącznie z pracującymi na własny rachunek)</w:t>
            </w:r>
          </w:p>
        </w:tc>
        <w:tc>
          <w:tcPr>
            <w:tcW w:w="0" w:type="auto"/>
            <w:shd w:val="clear" w:color="auto" w:fill="auto"/>
          </w:tcPr>
          <w:p w14:paraId="57D530A1" w14:textId="77777777" w:rsidR="008C5CFA" w:rsidRPr="00601E29" w:rsidRDefault="00E82A60" w:rsidP="00300A01">
            <w:pPr>
              <w:spacing w:before="0" w:after="0"/>
              <w:rPr>
                <w:sz w:val="10"/>
                <w:szCs w:val="10"/>
                <w:lang w:val="fr-BE"/>
              </w:rPr>
            </w:pPr>
            <w:r w:rsidRPr="00601E29">
              <w:rPr>
                <w:noProof/>
                <w:sz w:val="10"/>
                <w:szCs w:val="10"/>
                <w:lang w:val="fr-BE"/>
              </w:rPr>
              <w:t>Słabiej rozwinięte</w:t>
            </w:r>
          </w:p>
        </w:tc>
        <w:tc>
          <w:tcPr>
            <w:tcW w:w="0" w:type="auto"/>
          </w:tcPr>
          <w:p w14:paraId="28B7666F"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1EE170EA"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49B58A83"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548FA4B2"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25AE2A17"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25917DA3"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598DA26A" w14:textId="77777777" w:rsidR="008C5CFA" w:rsidRPr="00601E29" w:rsidRDefault="008C5CFA" w:rsidP="00300A01">
            <w:pPr>
              <w:spacing w:before="0" w:after="0"/>
              <w:jc w:val="right"/>
              <w:rPr>
                <w:sz w:val="10"/>
                <w:szCs w:val="10"/>
                <w:lang w:val="fr-BE"/>
              </w:rPr>
            </w:pPr>
          </w:p>
        </w:tc>
        <w:tc>
          <w:tcPr>
            <w:tcW w:w="0" w:type="auto"/>
          </w:tcPr>
          <w:p w14:paraId="299CB24C"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7B70D5C3"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32C596F9"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613D8F1E"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11A868BD"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04C6D149"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5A57A0F4" w14:textId="77777777" w:rsidR="008C5CFA" w:rsidRPr="00601E29" w:rsidRDefault="008C5CFA" w:rsidP="00300A01">
            <w:pPr>
              <w:spacing w:before="0" w:after="0"/>
              <w:jc w:val="right"/>
              <w:rPr>
                <w:sz w:val="10"/>
                <w:szCs w:val="10"/>
                <w:lang w:val="fr-BE"/>
              </w:rPr>
            </w:pPr>
          </w:p>
        </w:tc>
      </w:tr>
    </w:tbl>
    <w:p w14:paraId="5478C2CD"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53"/>
        <w:gridCol w:w="8901"/>
        <w:gridCol w:w="1200"/>
        <w:gridCol w:w="601"/>
        <w:gridCol w:w="756"/>
        <w:gridCol w:w="607"/>
        <w:gridCol w:w="601"/>
        <w:gridCol w:w="756"/>
        <w:gridCol w:w="607"/>
        <w:gridCol w:w="802"/>
      </w:tblGrid>
      <w:tr w:rsidR="006B2EC1" w14:paraId="20AA52AF" w14:textId="77777777" w:rsidTr="0047688D">
        <w:trPr>
          <w:tblHeader/>
        </w:trPr>
        <w:tc>
          <w:tcPr>
            <w:tcW w:w="0" w:type="auto"/>
            <w:shd w:val="clear" w:color="auto" w:fill="auto"/>
          </w:tcPr>
          <w:p w14:paraId="37D603EC" w14:textId="77777777" w:rsidR="008C5CFA" w:rsidRPr="00601E29" w:rsidRDefault="00E82A60" w:rsidP="00300A01">
            <w:pPr>
              <w:spacing w:before="0" w:after="0"/>
              <w:rPr>
                <w:b/>
                <w:sz w:val="10"/>
                <w:szCs w:val="10"/>
                <w:lang w:val="fr-BE"/>
              </w:rPr>
            </w:pPr>
            <w:r w:rsidRPr="00601E29">
              <w:rPr>
                <w:b/>
                <w:noProof/>
                <w:sz w:val="10"/>
                <w:szCs w:val="10"/>
                <w:lang w:val="fr-BE"/>
              </w:rPr>
              <w:t>ID</w:t>
            </w:r>
          </w:p>
        </w:tc>
        <w:tc>
          <w:tcPr>
            <w:tcW w:w="0" w:type="auto"/>
            <w:shd w:val="clear" w:color="auto" w:fill="auto"/>
          </w:tcPr>
          <w:p w14:paraId="28613938" w14:textId="77777777" w:rsidR="008C5CFA" w:rsidRPr="00601E29" w:rsidRDefault="00E82A60" w:rsidP="00300A01">
            <w:pPr>
              <w:spacing w:before="0" w:after="0"/>
              <w:rPr>
                <w:b/>
                <w:sz w:val="10"/>
                <w:szCs w:val="10"/>
                <w:lang w:val="fr-BE"/>
              </w:rPr>
            </w:pPr>
            <w:r w:rsidRPr="00601E29">
              <w:rPr>
                <w:b/>
                <w:noProof/>
                <w:sz w:val="10"/>
                <w:szCs w:val="10"/>
                <w:lang w:val="fr-BE"/>
              </w:rPr>
              <w:t>Wskaźnik</w:t>
            </w:r>
          </w:p>
        </w:tc>
        <w:tc>
          <w:tcPr>
            <w:tcW w:w="0" w:type="auto"/>
            <w:shd w:val="clear" w:color="auto" w:fill="auto"/>
          </w:tcPr>
          <w:p w14:paraId="34DCF3EF" w14:textId="77777777" w:rsidR="008C5CFA" w:rsidRPr="00601E29" w:rsidRDefault="00E82A60" w:rsidP="00300A01">
            <w:pPr>
              <w:spacing w:before="0" w:after="0"/>
              <w:rPr>
                <w:b/>
                <w:sz w:val="10"/>
                <w:szCs w:val="10"/>
                <w:lang w:val="fr-BE"/>
              </w:rPr>
            </w:pPr>
            <w:r w:rsidRPr="00601E29">
              <w:rPr>
                <w:b/>
                <w:noProof/>
                <w:sz w:val="10"/>
                <w:szCs w:val="10"/>
                <w:lang w:val="fr-BE"/>
              </w:rPr>
              <w:t>Kategoria regionu</w:t>
            </w:r>
          </w:p>
        </w:tc>
        <w:tc>
          <w:tcPr>
            <w:tcW w:w="0" w:type="auto"/>
            <w:gridSpan w:val="7"/>
          </w:tcPr>
          <w:p w14:paraId="1B86E275" w14:textId="77777777" w:rsidR="008C5CFA" w:rsidRPr="00601E29" w:rsidRDefault="00E82A60" w:rsidP="00300A01">
            <w:pPr>
              <w:spacing w:before="0" w:after="0"/>
              <w:jc w:val="center"/>
              <w:rPr>
                <w:b/>
                <w:sz w:val="10"/>
                <w:szCs w:val="10"/>
                <w:lang w:val="fr-BE"/>
              </w:rPr>
            </w:pPr>
            <w:r>
              <w:rPr>
                <w:b/>
                <w:sz w:val="10"/>
                <w:szCs w:val="10"/>
                <w:lang w:val="fr-BE"/>
              </w:rPr>
              <w:t>2014</w:t>
            </w:r>
          </w:p>
        </w:tc>
      </w:tr>
      <w:tr w:rsidR="006B2EC1" w14:paraId="6245B732" w14:textId="77777777" w:rsidTr="0047688D">
        <w:trPr>
          <w:tblHeader/>
        </w:trPr>
        <w:tc>
          <w:tcPr>
            <w:tcW w:w="0" w:type="auto"/>
            <w:shd w:val="clear" w:color="auto" w:fill="auto"/>
          </w:tcPr>
          <w:p w14:paraId="4132D58C" w14:textId="77777777" w:rsidR="008C5CFA" w:rsidRPr="00601E29" w:rsidRDefault="008C5CFA" w:rsidP="00300A01">
            <w:pPr>
              <w:spacing w:before="0" w:after="0"/>
              <w:rPr>
                <w:b/>
                <w:sz w:val="10"/>
                <w:szCs w:val="10"/>
                <w:lang w:val="fr-BE"/>
              </w:rPr>
            </w:pPr>
          </w:p>
        </w:tc>
        <w:tc>
          <w:tcPr>
            <w:tcW w:w="0" w:type="auto"/>
            <w:shd w:val="clear" w:color="auto" w:fill="auto"/>
          </w:tcPr>
          <w:p w14:paraId="56372AC2" w14:textId="77777777" w:rsidR="008C5CFA" w:rsidRPr="00601E29" w:rsidRDefault="008C5CFA" w:rsidP="00300A01">
            <w:pPr>
              <w:spacing w:before="0" w:after="0"/>
              <w:rPr>
                <w:b/>
                <w:sz w:val="10"/>
                <w:szCs w:val="10"/>
                <w:lang w:val="fr-BE"/>
              </w:rPr>
            </w:pPr>
          </w:p>
        </w:tc>
        <w:tc>
          <w:tcPr>
            <w:tcW w:w="0" w:type="auto"/>
            <w:shd w:val="clear" w:color="auto" w:fill="auto"/>
          </w:tcPr>
          <w:p w14:paraId="1D703895" w14:textId="77777777" w:rsidR="008C5CFA" w:rsidRPr="00601E29" w:rsidRDefault="008C5CFA" w:rsidP="00300A01">
            <w:pPr>
              <w:spacing w:before="0" w:after="0"/>
              <w:rPr>
                <w:b/>
                <w:sz w:val="10"/>
                <w:szCs w:val="10"/>
                <w:lang w:val="fr-BE"/>
              </w:rPr>
            </w:pPr>
          </w:p>
        </w:tc>
        <w:tc>
          <w:tcPr>
            <w:tcW w:w="0" w:type="auto"/>
            <w:gridSpan w:val="3"/>
          </w:tcPr>
          <w:p w14:paraId="75377961" w14:textId="77777777" w:rsidR="008C5CFA" w:rsidRPr="00601E29" w:rsidRDefault="00E82A60" w:rsidP="00300A01">
            <w:pPr>
              <w:spacing w:before="0" w:after="0"/>
              <w:jc w:val="center"/>
              <w:rPr>
                <w:b/>
                <w:sz w:val="10"/>
                <w:szCs w:val="10"/>
                <w:lang w:val="fr-BE"/>
              </w:rPr>
            </w:pPr>
            <w:r w:rsidRPr="00601E29">
              <w:rPr>
                <w:b/>
                <w:noProof/>
                <w:sz w:val="10"/>
                <w:szCs w:val="10"/>
                <w:lang w:val="fr-BE"/>
              </w:rPr>
              <w:t>Łącznie</w:t>
            </w:r>
          </w:p>
        </w:tc>
        <w:tc>
          <w:tcPr>
            <w:tcW w:w="0" w:type="auto"/>
            <w:gridSpan w:val="3"/>
          </w:tcPr>
          <w:p w14:paraId="6C38627D" w14:textId="77777777" w:rsidR="008C5CFA" w:rsidRPr="00601E29" w:rsidRDefault="00E82A60" w:rsidP="00300A01">
            <w:pPr>
              <w:spacing w:before="0" w:after="0"/>
              <w:jc w:val="center"/>
              <w:rPr>
                <w:b/>
                <w:sz w:val="10"/>
                <w:szCs w:val="10"/>
                <w:lang w:val="fr-BE"/>
              </w:rPr>
            </w:pPr>
            <w:r w:rsidRPr="00601E29">
              <w:rPr>
                <w:b/>
                <w:noProof/>
                <w:sz w:val="10"/>
                <w:szCs w:val="10"/>
                <w:lang w:val="fr-BE"/>
              </w:rPr>
              <w:t>Łącznie w roku</w:t>
            </w:r>
          </w:p>
        </w:tc>
        <w:tc>
          <w:tcPr>
            <w:tcW w:w="0" w:type="auto"/>
          </w:tcPr>
          <w:p w14:paraId="4A27571C" w14:textId="77777777" w:rsidR="008C5CFA" w:rsidRPr="00601E29" w:rsidRDefault="00E82A60" w:rsidP="00300A01">
            <w:pPr>
              <w:spacing w:before="0" w:after="0"/>
              <w:jc w:val="center"/>
              <w:rPr>
                <w:b/>
                <w:sz w:val="10"/>
                <w:szCs w:val="10"/>
                <w:lang w:val="fr-BE"/>
              </w:rPr>
            </w:pPr>
            <w:r w:rsidRPr="00601E29">
              <w:rPr>
                <w:b/>
                <w:noProof/>
                <w:sz w:val="10"/>
                <w:szCs w:val="10"/>
                <w:lang w:val="fr-BE"/>
              </w:rPr>
              <w:t>Jakościowe</w:t>
            </w:r>
          </w:p>
        </w:tc>
      </w:tr>
      <w:tr w:rsidR="006B2EC1" w14:paraId="318F5C0F" w14:textId="77777777" w:rsidTr="0047688D">
        <w:trPr>
          <w:tblHeader/>
        </w:trPr>
        <w:tc>
          <w:tcPr>
            <w:tcW w:w="0" w:type="auto"/>
            <w:shd w:val="clear" w:color="auto" w:fill="auto"/>
          </w:tcPr>
          <w:p w14:paraId="2791D3D4" w14:textId="77777777" w:rsidR="008C5CFA" w:rsidRPr="00601E29" w:rsidRDefault="008C5CFA" w:rsidP="00300A01">
            <w:pPr>
              <w:spacing w:before="0" w:after="0"/>
              <w:rPr>
                <w:b/>
                <w:sz w:val="10"/>
                <w:szCs w:val="10"/>
                <w:lang w:val="fr-BE"/>
              </w:rPr>
            </w:pPr>
          </w:p>
        </w:tc>
        <w:tc>
          <w:tcPr>
            <w:tcW w:w="0" w:type="auto"/>
            <w:shd w:val="clear" w:color="auto" w:fill="auto"/>
          </w:tcPr>
          <w:p w14:paraId="20783D9D" w14:textId="77777777" w:rsidR="008C5CFA" w:rsidRPr="00601E29" w:rsidRDefault="008C5CFA" w:rsidP="00300A01">
            <w:pPr>
              <w:spacing w:before="0" w:after="0"/>
              <w:rPr>
                <w:b/>
                <w:sz w:val="10"/>
                <w:szCs w:val="10"/>
                <w:lang w:val="fr-BE"/>
              </w:rPr>
            </w:pPr>
          </w:p>
        </w:tc>
        <w:tc>
          <w:tcPr>
            <w:tcW w:w="0" w:type="auto"/>
            <w:shd w:val="clear" w:color="auto" w:fill="auto"/>
          </w:tcPr>
          <w:p w14:paraId="3FE08275" w14:textId="77777777" w:rsidR="008C5CFA" w:rsidRPr="00601E29" w:rsidRDefault="008C5CFA" w:rsidP="00300A01">
            <w:pPr>
              <w:spacing w:before="0" w:after="0"/>
              <w:rPr>
                <w:b/>
                <w:sz w:val="10"/>
                <w:szCs w:val="10"/>
                <w:lang w:val="fr-BE"/>
              </w:rPr>
            </w:pPr>
          </w:p>
        </w:tc>
        <w:tc>
          <w:tcPr>
            <w:tcW w:w="0" w:type="auto"/>
          </w:tcPr>
          <w:p w14:paraId="22F994DA" w14:textId="77777777" w:rsidR="008C5CFA" w:rsidRPr="00601E29" w:rsidRDefault="00E82A60" w:rsidP="00300A01">
            <w:pPr>
              <w:spacing w:before="0" w:after="0"/>
              <w:jc w:val="center"/>
              <w:rPr>
                <w:b/>
                <w:sz w:val="10"/>
                <w:szCs w:val="10"/>
                <w:lang w:val="fr-BE"/>
              </w:rPr>
            </w:pPr>
            <w:r w:rsidRPr="00601E29">
              <w:rPr>
                <w:b/>
                <w:noProof/>
                <w:sz w:val="10"/>
                <w:szCs w:val="10"/>
                <w:lang w:val="fr-BE"/>
              </w:rPr>
              <w:t>Ogółem</w:t>
            </w:r>
          </w:p>
        </w:tc>
        <w:tc>
          <w:tcPr>
            <w:tcW w:w="0" w:type="auto"/>
          </w:tcPr>
          <w:p w14:paraId="5BD03A92" w14:textId="77777777" w:rsidR="008C5CFA" w:rsidRPr="00601E29" w:rsidRDefault="00E82A60" w:rsidP="00300A01">
            <w:pPr>
              <w:spacing w:before="0" w:after="0"/>
              <w:jc w:val="center"/>
              <w:rPr>
                <w:b/>
                <w:sz w:val="10"/>
                <w:szCs w:val="10"/>
                <w:lang w:val="fr-BE"/>
              </w:rPr>
            </w:pPr>
            <w:r w:rsidRPr="00601E29">
              <w:rPr>
                <w:b/>
                <w:noProof/>
                <w:sz w:val="10"/>
                <w:szCs w:val="10"/>
                <w:lang w:val="fr-BE"/>
              </w:rPr>
              <w:t>Mężczyźni</w:t>
            </w:r>
          </w:p>
        </w:tc>
        <w:tc>
          <w:tcPr>
            <w:tcW w:w="0" w:type="auto"/>
          </w:tcPr>
          <w:p w14:paraId="5E63E8E6" w14:textId="77777777" w:rsidR="008C5CFA" w:rsidRPr="00601E29" w:rsidRDefault="00E82A60" w:rsidP="00300A01">
            <w:pPr>
              <w:spacing w:before="0" w:after="0"/>
              <w:jc w:val="center"/>
              <w:rPr>
                <w:b/>
                <w:sz w:val="10"/>
                <w:szCs w:val="10"/>
                <w:lang w:val="fr-BE"/>
              </w:rPr>
            </w:pPr>
            <w:r w:rsidRPr="00601E29">
              <w:rPr>
                <w:b/>
                <w:noProof/>
                <w:sz w:val="10"/>
                <w:szCs w:val="10"/>
                <w:lang w:val="fr-BE"/>
              </w:rPr>
              <w:t>Kobiety</w:t>
            </w:r>
          </w:p>
        </w:tc>
        <w:tc>
          <w:tcPr>
            <w:tcW w:w="0" w:type="auto"/>
          </w:tcPr>
          <w:p w14:paraId="39EAB50B" w14:textId="77777777" w:rsidR="008C5CFA" w:rsidRPr="00601E29" w:rsidRDefault="00E82A60" w:rsidP="00300A01">
            <w:pPr>
              <w:spacing w:before="0" w:after="0"/>
              <w:jc w:val="center"/>
              <w:rPr>
                <w:b/>
                <w:sz w:val="10"/>
                <w:szCs w:val="10"/>
                <w:lang w:val="fr-BE"/>
              </w:rPr>
            </w:pPr>
            <w:r w:rsidRPr="00601E29">
              <w:rPr>
                <w:b/>
                <w:noProof/>
                <w:sz w:val="10"/>
                <w:szCs w:val="10"/>
                <w:lang w:val="fr-BE"/>
              </w:rPr>
              <w:t>Ogółem</w:t>
            </w:r>
          </w:p>
        </w:tc>
        <w:tc>
          <w:tcPr>
            <w:tcW w:w="0" w:type="auto"/>
          </w:tcPr>
          <w:p w14:paraId="7C3039A3" w14:textId="77777777" w:rsidR="008C5CFA" w:rsidRPr="00601E29" w:rsidRDefault="00E82A60" w:rsidP="00300A01">
            <w:pPr>
              <w:spacing w:before="0" w:after="0"/>
              <w:jc w:val="center"/>
              <w:rPr>
                <w:b/>
                <w:sz w:val="10"/>
                <w:szCs w:val="10"/>
                <w:lang w:val="fr-BE"/>
              </w:rPr>
            </w:pPr>
            <w:r w:rsidRPr="00601E29">
              <w:rPr>
                <w:b/>
                <w:noProof/>
                <w:sz w:val="10"/>
                <w:szCs w:val="10"/>
                <w:lang w:val="fr-BE"/>
              </w:rPr>
              <w:t>Mężczyźni</w:t>
            </w:r>
          </w:p>
        </w:tc>
        <w:tc>
          <w:tcPr>
            <w:tcW w:w="0" w:type="auto"/>
          </w:tcPr>
          <w:p w14:paraId="61202FD4" w14:textId="77777777" w:rsidR="008C5CFA" w:rsidRPr="00601E29" w:rsidRDefault="00E82A60" w:rsidP="00300A01">
            <w:pPr>
              <w:spacing w:before="0" w:after="0"/>
              <w:jc w:val="center"/>
              <w:rPr>
                <w:b/>
                <w:sz w:val="10"/>
                <w:szCs w:val="10"/>
                <w:lang w:val="fr-BE"/>
              </w:rPr>
            </w:pPr>
            <w:r w:rsidRPr="00601E29">
              <w:rPr>
                <w:b/>
                <w:noProof/>
                <w:sz w:val="10"/>
                <w:szCs w:val="10"/>
                <w:lang w:val="fr-BE"/>
              </w:rPr>
              <w:t>Kobiety</w:t>
            </w:r>
          </w:p>
        </w:tc>
        <w:tc>
          <w:tcPr>
            <w:tcW w:w="0" w:type="auto"/>
          </w:tcPr>
          <w:p w14:paraId="2AD7BD8C" w14:textId="77777777" w:rsidR="008C5CFA" w:rsidRPr="00601E29" w:rsidRDefault="008C5CFA" w:rsidP="00300A01">
            <w:pPr>
              <w:spacing w:before="0" w:after="0"/>
              <w:jc w:val="center"/>
              <w:rPr>
                <w:b/>
                <w:sz w:val="10"/>
                <w:szCs w:val="10"/>
                <w:lang w:val="fr-BE"/>
              </w:rPr>
            </w:pPr>
          </w:p>
        </w:tc>
      </w:tr>
      <w:tr w:rsidR="006B2EC1" w14:paraId="2F8B37C5" w14:textId="77777777" w:rsidTr="0047688D">
        <w:tc>
          <w:tcPr>
            <w:tcW w:w="0" w:type="auto"/>
            <w:shd w:val="clear" w:color="auto" w:fill="auto"/>
          </w:tcPr>
          <w:p w14:paraId="63CB67C4" w14:textId="77777777" w:rsidR="008C5CFA" w:rsidRPr="00601E29" w:rsidRDefault="00E82A60" w:rsidP="00300A01">
            <w:pPr>
              <w:spacing w:before="0" w:after="0"/>
              <w:rPr>
                <w:sz w:val="10"/>
                <w:szCs w:val="10"/>
                <w:lang w:val="fr-BE"/>
              </w:rPr>
            </w:pPr>
            <w:r w:rsidRPr="00601E29">
              <w:rPr>
                <w:noProof/>
                <w:sz w:val="10"/>
                <w:szCs w:val="10"/>
                <w:lang w:val="fr-BE"/>
              </w:rPr>
              <w:t>144</w:t>
            </w:r>
          </w:p>
        </w:tc>
        <w:tc>
          <w:tcPr>
            <w:tcW w:w="0" w:type="auto"/>
            <w:shd w:val="clear" w:color="auto" w:fill="auto"/>
          </w:tcPr>
          <w:p w14:paraId="0D58AC83" w14:textId="77777777" w:rsidR="008C5CFA" w:rsidRPr="00601E29" w:rsidRDefault="00E82A60" w:rsidP="00300A01">
            <w:pPr>
              <w:spacing w:before="0" w:after="0"/>
              <w:rPr>
                <w:sz w:val="10"/>
                <w:szCs w:val="10"/>
                <w:lang w:val="fr-BE"/>
              </w:rPr>
            </w:pPr>
            <w:r w:rsidRPr="00601E29">
              <w:rPr>
                <w:noProof/>
                <w:sz w:val="10"/>
                <w:szCs w:val="10"/>
                <w:lang w:val="fr-BE"/>
              </w:rPr>
              <w:t>Liczba osób zagrożonych ubóstwem lub wykluczeniem społecznym, które uzyskały kwalifikacje lub nabyły kompetencje po opuszczeniu programu</w:t>
            </w:r>
          </w:p>
        </w:tc>
        <w:tc>
          <w:tcPr>
            <w:tcW w:w="0" w:type="auto"/>
            <w:shd w:val="clear" w:color="auto" w:fill="auto"/>
          </w:tcPr>
          <w:p w14:paraId="1DDEDD0E" w14:textId="77777777" w:rsidR="008C5CFA" w:rsidRPr="00601E29" w:rsidRDefault="00E82A60" w:rsidP="00300A01">
            <w:pPr>
              <w:spacing w:before="0" w:after="0"/>
              <w:rPr>
                <w:sz w:val="10"/>
                <w:szCs w:val="10"/>
                <w:lang w:val="fr-BE"/>
              </w:rPr>
            </w:pPr>
            <w:r w:rsidRPr="00601E29">
              <w:rPr>
                <w:noProof/>
                <w:sz w:val="10"/>
                <w:szCs w:val="10"/>
                <w:lang w:val="fr-BE"/>
              </w:rPr>
              <w:t>Słabiej rozwinięte</w:t>
            </w:r>
          </w:p>
        </w:tc>
        <w:tc>
          <w:tcPr>
            <w:tcW w:w="0" w:type="auto"/>
          </w:tcPr>
          <w:p w14:paraId="09D33629" w14:textId="77777777" w:rsidR="008C5CFA" w:rsidRPr="00601E29" w:rsidRDefault="008C5CFA" w:rsidP="00300A01">
            <w:pPr>
              <w:spacing w:before="0" w:after="0"/>
              <w:jc w:val="right"/>
              <w:rPr>
                <w:sz w:val="10"/>
                <w:szCs w:val="10"/>
                <w:lang w:val="fr-BE"/>
              </w:rPr>
            </w:pPr>
          </w:p>
        </w:tc>
        <w:tc>
          <w:tcPr>
            <w:tcW w:w="0" w:type="auto"/>
          </w:tcPr>
          <w:p w14:paraId="06D16EBB" w14:textId="77777777" w:rsidR="008C5CFA" w:rsidRPr="00601E29" w:rsidRDefault="008C5CFA" w:rsidP="00300A01">
            <w:pPr>
              <w:spacing w:before="0" w:after="0"/>
              <w:jc w:val="right"/>
              <w:rPr>
                <w:sz w:val="10"/>
                <w:szCs w:val="10"/>
                <w:lang w:val="fr-BE"/>
              </w:rPr>
            </w:pPr>
          </w:p>
        </w:tc>
        <w:tc>
          <w:tcPr>
            <w:tcW w:w="0" w:type="auto"/>
          </w:tcPr>
          <w:p w14:paraId="2B91B960" w14:textId="77777777" w:rsidR="008C5CFA" w:rsidRPr="00601E29" w:rsidRDefault="008C5CFA" w:rsidP="00300A01">
            <w:pPr>
              <w:spacing w:before="0" w:after="0"/>
              <w:jc w:val="right"/>
              <w:rPr>
                <w:sz w:val="10"/>
                <w:szCs w:val="10"/>
                <w:lang w:val="fr-BE"/>
              </w:rPr>
            </w:pPr>
          </w:p>
        </w:tc>
        <w:tc>
          <w:tcPr>
            <w:tcW w:w="0" w:type="auto"/>
          </w:tcPr>
          <w:p w14:paraId="10816F9F" w14:textId="77777777" w:rsidR="008C5CFA" w:rsidRPr="00601E29" w:rsidRDefault="008C5CFA" w:rsidP="00300A01">
            <w:pPr>
              <w:spacing w:before="0" w:after="0"/>
              <w:jc w:val="right"/>
              <w:rPr>
                <w:sz w:val="10"/>
                <w:szCs w:val="10"/>
                <w:lang w:val="fr-BE"/>
              </w:rPr>
            </w:pPr>
          </w:p>
        </w:tc>
        <w:tc>
          <w:tcPr>
            <w:tcW w:w="0" w:type="auto"/>
          </w:tcPr>
          <w:p w14:paraId="50A3CEC6" w14:textId="77777777" w:rsidR="008C5CFA" w:rsidRPr="00601E29" w:rsidRDefault="008C5CFA" w:rsidP="00300A01">
            <w:pPr>
              <w:spacing w:before="0" w:after="0"/>
              <w:jc w:val="right"/>
              <w:rPr>
                <w:sz w:val="10"/>
                <w:szCs w:val="10"/>
                <w:lang w:val="fr-BE"/>
              </w:rPr>
            </w:pPr>
          </w:p>
        </w:tc>
        <w:tc>
          <w:tcPr>
            <w:tcW w:w="0" w:type="auto"/>
          </w:tcPr>
          <w:p w14:paraId="37405B9F" w14:textId="77777777" w:rsidR="008C5CFA" w:rsidRPr="00601E29" w:rsidRDefault="008C5CFA" w:rsidP="00300A01">
            <w:pPr>
              <w:spacing w:before="0" w:after="0"/>
              <w:jc w:val="right"/>
              <w:rPr>
                <w:sz w:val="10"/>
                <w:szCs w:val="10"/>
                <w:lang w:val="fr-BE"/>
              </w:rPr>
            </w:pPr>
          </w:p>
        </w:tc>
        <w:tc>
          <w:tcPr>
            <w:tcW w:w="0" w:type="auto"/>
          </w:tcPr>
          <w:p w14:paraId="3B07A67F" w14:textId="77777777" w:rsidR="008C5CFA" w:rsidRPr="00601E29" w:rsidRDefault="008C5CFA" w:rsidP="00300A01">
            <w:pPr>
              <w:spacing w:before="0" w:after="0"/>
              <w:jc w:val="right"/>
              <w:rPr>
                <w:sz w:val="10"/>
                <w:szCs w:val="10"/>
                <w:lang w:val="fr-BE"/>
              </w:rPr>
            </w:pPr>
          </w:p>
        </w:tc>
      </w:tr>
      <w:tr w:rsidR="006B2EC1" w14:paraId="31FFB97B" w14:textId="77777777" w:rsidTr="0047688D">
        <w:tc>
          <w:tcPr>
            <w:tcW w:w="0" w:type="auto"/>
            <w:shd w:val="clear" w:color="auto" w:fill="auto"/>
          </w:tcPr>
          <w:p w14:paraId="0AE74E0C" w14:textId="77777777" w:rsidR="008C5CFA" w:rsidRPr="00601E29" w:rsidRDefault="00E82A60" w:rsidP="00300A01">
            <w:pPr>
              <w:spacing w:before="0" w:after="0"/>
              <w:rPr>
                <w:sz w:val="10"/>
                <w:szCs w:val="10"/>
                <w:lang w:val="fr-BE"/>
              </w:rPr>
            </w:pPr>
            <w:r w:rsidRPr="00601E29">
              <w:rPr>
                <w:noProof/>
                <w:sz w:val="10"/>
                <w:szCs w:val="10"/>
                <w:lang w:val="fr-BE"/>
              </w:rPr>
              <w:t>018</w:t>
            </w:r>
          </w:p>
        </w:tc>
        <w:tc>
          <w:tcPr>
            <w:tcW w:w="0" w:type="auto"/>
            <w:shd w:val="clear" w:color="auto" w:fill="auto"/>
          </w:tcPr>
          <w:p w14:paraId="66A9CECA" w14:textId="77777777" w:rsidR="008C5CFA" w:rsidRPr="00601E29" w:rsidRDefault="00E82A60" w:rsidP="00300A01">
            <w:pPr>
              <w:spacing w:before="0" w:after="0"/>
              <w:rPr>
                <w:sz w:val="10"/>
                <w:szCs w:val="10"/>
                <w:lang w:val="fr-BE"/>
              </w:rPr>
            </w:pPr>
            <w:r w:rsidRPr="00601E29">
              <w:rPr>
                <w:noProof/>
                <w:sz w:val="10"/>
                <w:szCs w:val="10"/>
                <w:lang w:val="fr-BE"/>
              </w:rPr>
              <w:t>Liczba osób zagrożonych ubóstwem lub wykluczeniem społecznym poszukujących pracy po opuszczeniu programu</w:t>
            </w:r>
          </w:p>
        </w:tc>
        <w:tc>
          <w:tcPr>
            <w:tcW w:w="0" w:type="auto"/>
            <w:shd w:val="clear" w:color="auto" w:fill="auto"/>
          </w:tcPr>
          <w:p w14:paraId="1B6F1093" w14:textId="77777777" w:rsidR="008C5CFA" w:rsidRPr="00601E29" w:rsidRDefault="00E82A60" w:rsidP="00300A01">
            <w:pPr>
              <w:spacing w:before="0" w:after="0"/>
              <w:rPr>
                <w:sz w:val="10"/>
                <w:szCs w:val="10"/>
                <w:lang w:val="fr-BE"/>
              </w:rPr>
            </w:pPr>
            <w:r w:rsidRPr="00601E29">
              <w:rPr>
                <w:noProof/>
                <w:sz w:val="10"/>
                <w:szCs w:val="10"/>
                <w:lang w:val="fr-BE"/>
              </w:rPr>
              <w:t>Słabiej rozwinięte</w:t>
            </w:r>
          </w:p>
        </w:tc>
        <w:tc>
          <w:tcPr>
            <w:tcW w:w="0" w:type="auto"/>
          </w:tcPr>
          <w:p w14:paraId="0EDB8E2E"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17EA25B9"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0CB5E7BA"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398782EB"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1EB63BA1"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501A4330"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1A906F04" w14:textId="77777777" w:rsidR="008C5CFA" w:rsidRPr="00601E29" w:rsidRDefault="008C5CFA" w:rsidP="00300A01">
            <w:pPr>
              <w:spacing w:before="0" w:after="0"/>
              <w:jc w:val="right"/>
              <w:rPr>
                <w:sz w:val="10"/>
                <w:szCs w:val="10"/>
                <w:lang w:val="fr-BE"/>
              </w:rPr>
            </w:pPr>
          </w:p>
        </w:tc>
      </w:tr>
      <w:tr w:rsidR="006B2EC1" w14:paraId="037F0AA0" w14:textId="77777777" w:rsidTr="0047688D">
        <w:tc>
          <w:tcPr>
            <w:tcW w:w="0" w:type="auto"/>
            <w:shd w:val="clear" w:color="auto" w:fill="auto"/>
          </w:tcPr>
          <w:p w14:paraId="3A7B7309" w14:textId="77777777" w:rsidR="008C5CFA" w:rsidRPr="00601E29" w:rsidRDefault="00E82A60" w:rsidP="00300A01">
            <w:pPr>
              <w:spacing w:before="0" w:after="0"/>
              <w:rPr>
                <w:sz w:val="10"/>
                <w:szCs w:val="10"/>
                <w:lang w:val="fr-BE"/>
              </w:rPr>
            </w:pPr>
            <w:r w:rsidRPr="00601E29">
              <w:rPr>
                <w:noProof/>
                <w:sz w:val="10"/>
                <w:szCs w:val="10"/>
                <w:lang w:val="fr-BE"/>
              </w:rPr>
              <w:t>019</w:t>
            </w:r>
          </w:p>
        </w:tc>
        <w:tc>
          <w:tcPr>
            <w:tcW w:w="0" w:type="auto"/>
            <w:shd w:val="clear" w:color="auto" w:fill="auto"/>
          </w:tcPr>
          <w:p w14:paraId="2CF8E175" w14:textId="77777777" w:rsidR="008C5CFA" w:rsidRPr="00601E29" w:rsidRDefault="00E82A60" w:rsidP="00300A01">
            <w:pPr>
              <w:spacing w:before="0" w:after="0"/>
              <w:rPr>
                <w:sz w:val="10"/>
                <w:szCs w:val="10"/>
                <w:lang w:val="fr-BE"/>
              </w:rPr>
            </w:pPr>
            <w:r w:rsidRPr="00601E29">
              <w:rPr>
                <w:noProof/>
                <w:sz w:val="10"/>
                <w:szCs w:val="10"/>
                <w:lang w:val="fr-BE"/>
              </w:rPr>
              <w:t>Liczba osób zagrożonych ubóstwem lub wykluczeniem społecznym pracujących po opuszczeniu programu (łącznie z pracującymi na własny rachunek)</w:t>
            </w:r>
          </w:p>
        </w:tc>
        <w:tc>
          <w:tcPr>
            <w:tcW w:w="0" w:type="auto"/>
            <w:shd w:val="clear" w:color="auto" w:fill="auto"/>
          </w:tcPr>
          <w:p w14:paraId="62EE2064" w14:textId="77777777" w:rsidR="008C5CFA" w:rsidRPr="00601E29" w:rsidRDefault="00E82A60" w:rsidP="00300A01">
            <w:pPr>
              <w:spacing w:before="0" w:after="0"/>
              <w:rPr>
                <w:sz w:val="10"/>
                <w:szCs w:val="10"/>
                <w:lang w:val="fr-BE"/>
              </w:rPr>
            </w:pPr>
            <w:r w:rsidRPr="00601E29">
              <w:rPr>
                <w:noProof/>
                <w:sz w:val="10"/>
                <w:szCs w:val="10"/>
                <w:lang w:val="fr-BE"/>
              </w:rPr>
              <w:t>Słabiej rozwinięte</w:t>
            </w:r>
          </w:p>
        </w:tc>
        <w:tc>
          <w:tcPr>
            <w:tcW w:w="0" w:type="auto"/>
          </w:tcPr>
          <w:p w14:paraId="645D82D4"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7270EB6F"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7104FB28"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672414DB"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6E4101FA"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4EF5CDA7"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46DF66FE" w14:textId="77777777" w:rsidR="008C5CFA" w:rsidRPr="00601E29" w:rsidRDefault="008C5CFA" w:rsidP="00300A01">
            <w:pPr>
              <w:spacing w:before="0" w:after="0"/>
              <w:jc w:val="right"/>
              <w:rPr>
                <w:sz w:val="10"/>
                <w:szCs w:val="10"/>
                <w:lang w:val="fr-BE"/>
              </w:rPr>
            </w:pPr>
          </w:p>
        </w:tc>
      </w:tr>
      <w:tr w:rsidR="006B2EC1" w14:paraId="1B40F601" w14:textId="77777777" w:rsidTr="0047688D">
        <w:tc>
          <w:tcPr>
            <w:tcW w:w="0" w:type="auto"/>
            <w:shd w:val="clear" w:color="auto" w:fill="auto"/>
          </w:tcPr>
          <w:p w14:paraId="3BC74244" w14:textId="77777777" w:rsidR="008C5CFA" w:rsidRPr="00601E29" w:rsidRDefault="00E82A60" w:rsidP="00300A01">
            <w:pPr>
              <w:spacing w:before="0" w:after="0"/>
              <w:rPr>
                <w:sz w:val="10"/>
                <w:szCs w:val="10"/>
                <w:lang w:val="fr-BE"/>
              </w:rPr>
            </w:pPr>
            <w:r w:rsidRPr="00601E29">
              <w:rPr>
                <w:noProof/>
                <w:sz w:val="10"/>
                <w:szCs w:val="10"/>
                <w:lang w:val="fr-BE"/>
              </w:rPr>
              <w:t>020</w:t>
            </w:r>
          </w:p>
        </w:tc>
        <w:tc>
          <w:tcPr>
            <w:tcW w:w="0" w:type="auto"/>
            <w:shd w:val="clear" w:color="auto" w:fill="auto"/>
          </w:tcPr>
          <w:p w14:paraId="6645EFA3" w14:textId="77777777" w:rsidR="008C5CFA" w:rsidRPr="00601E29" w:rsidRDefault="00E82A60" w:rsidP="00300A01">
            <w:pPr>
              <w:spacing w:before="0" w:after="0"/>
              <w:rPr>
                <w:sz w:val="10"/>
                <w:szCs w:val="10"/>
                <w:lang w:val="fr-BE"/>
              </w:rPr>
            </w:pPr>
            <w:r w:rsidRPr="00601E29">
              <w:rPr>
                <w:noProof/>
                <w:sz w:val="10"/>
                <w:szCs w:val="10"/>
                <w:lang w:val="fr-BE"/>
              </w:rPr>
              <w:t>Liczba osób zagrożonych ubóstwem lub wykluczeniem społecznym pracujących 6 miesięcy po opuszczeniu programu (łącznie z pracującymi na własny rachunek)</w:t>
            </w:r>
          </w:p>
        </w:tc>
        <w:tc>
          <w:tcPr>
            <w:tcW w:w="0" w:type="auto"/>
            <w:shd w:val="clear" w:color="auto" w:fill="auto"/>
          </w:tcPr>
          <w:p w14:paraId="24071E40" w14:textId="77777777" w:rsidR="008C5CFA" w:rsidRPr="00601E29" w:rsidRDefault="00E82A60" w:rsidP="00300A01">
            <w:pPr>
              <w:spacing w:before="0" w:after="0"/>
              <w:rPr>
                <w:sz w:val="10"/>
                <w:szCs w:val="10"/>
                <w:lang w:val="fr-BE"/>
              </w:rPr>
            </w:pPr>
            <w:r w:rsidRPr="00601E29">
              <w:rPr>
                <w:noProof/>
                <w:sz w:val="10"/>
                <w:szCs w:val="10"/>
                <w:lang w:val="fr-BE"/>
              </w:rPr>
              <w:t>Słabiej rozwinięte</w:t>
            </w:r>
          </w:p>
        </w:tc>
        <w:tc>
          <w:tcPr>
            <w:tcW w:w="0" w:type="auto"/>
          </w:tcPr>
          <w:p w14:paraId="40205584"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337D81BF"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70E7393A"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718B52CA"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08F3FECE"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1382DC36"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1E46C003" w14:textId="77777777" w:rsidR="008C5CFA" w:rsidRPr="00601E29" w:rsidRDefault="008C5CFA" w:rsidP="00300A01">
            <w:pPr>
              <w:spacing w:before="0" w:after="0"/>
              <w:jc w:val="right"/>
              <w:rPr>
                <w:sz w:val="10"/>
                <w:szCs w:val="10"/>
                <w:lang w:val="fr-BE"/>
              </w:rPr>
            </w:pPr>
          </w:p>
        </w:tc>
      </w:tr>
    </w:tbl>
    <w:p w14:paraId="262A3FB5" w14:textId="77777777" w:rsidR="008C5CFA" w:rsidRPr="007C3A6B" w:rsidRDefault="008C5CFA" w:rsidP="00300A01">
      <w:pPr>
        <w:spacing w:before="0" w:after="0"/>
        <w:rPr>
          <w:lang w:val="fr-BE"/>
        </w:rPr>
      </w:pPr>
    </w:p>
    <w:p w14:paraId="3DDAD733" w14:textId="77777777" w:rsidR="008C5CFA" w:rsidRDefault="00E82A60" w:rsidP="00300A01">
      <w:pPr>
        <w:spacing w:before="0" w:after="0"/>
        <w:rPr>
          <w:lang w:val="fr-BE"/>
        </w:rPr>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2"/>
        <w:gridCol w:w="12842"/>
      </w:tblGrid>
      <w:tr w:rsidR="006B2EC1" w14:paraId="0B9BBBF9" w14:textId="77777777" w:rsidTr="0047688D">
        <w:tc>
          <w:tcPr>
            <w:tcW w:w="0" w:type="auto"/>
            <w:shd w:val="clear" w:color="auto" w:fill="auto"/>
          </w:tcPr>
          <w:p w14:paraId="0F7E8E35" w14:textId="77777777" w:rsidR="008C5CFA" w:rsidRPr="002124FC" w:rsidRDefault="00E82A60" w:rsidP="00300A01">
            <w:pPr>
              <w:spacing w:before="0" w:after="0"/>
              <w:rPr>
                <w:sz w:val="20"/>
                <w:szCs w:val="20"/>
                <w:lang w:val="fr-BE"/>
              </w:rPr>
            </w:pPr>
            <w:r>
              <w:rPr>
                <w:lang w:val="fr-BE"/>
              </w:rPr>
              <w:lastRenderedPageBreak/>
              <w:br w:type="page"/>
            </w:r>
            <w:r>
              <w:rPr>
                <w:lang w:val="fr-BE"/>
              </w:rPr>
              <w:br w:type="page"/>
            </w:r>
            <w:r w:rsidRPr="002124FC">
              <w:rPr>
                <w:noProof/>
                <w:sz w:val="20"/>
                <w:szCs w:val="20"/>
                <w:lang w:val="fr-BE"/>
              </w:rPr>
              <w:t>Oś priorytetowa</w:t>
            </w:r>
          </w:p>
        </w:tc>
        <w:tc>
          <w:tcPr>
            <w:tcW w:w="0" w:type="auto"/>
            <w:shd w:val="clear" w:color="auto" w:fill="auto"/>
          </w:tcPr>
          <w:p w14:paraId="05223018" w14:textId="77777777" w:rsidR="008C5CFA" w:rsidRPr="002124FC" w:rsidRDefault="00E82A60" w:rsidP="00300A01">
            <w:pPr>
              <w:spacing w:before="0" w:after="0"/>
              <w:rPr>
                <w:sz w:val="20"/>
                <w:szCs w:val="20"/>
                <w:lang w:val="fr-BE"/>
              </w:rPr>
            </w:pPr>
            <w:r w:rsidRPr="002124FC">
              <w:rPr>
                <w:noProof/>
                <w:sz w:val="20"/>
                <w:szCs w:val="20"/>
                <w:lang w:val="fr-BE"/>
              </w:rPr>
              <w:t>9</w:t>
            </w:r>
            <w:r w:rsidRPr="002124FC">
              <w:rPr>
                <w:sz w:val="20"/>
                <w:szCs w:val="20"/>
                <w:lang w:val="fr-BE"/>
              </w:rPr>
              <w:t xml:space="preserve"> - </w:t>
            </w:r>
            <w:r w:rsidRPr="002124FC">
              <w:rPr>
                <w:noProof/>
                <w:sz w:val="20"/>
                <w:szCs w:val="20"/>
                <w:lang w:val="fr-BE"/>
              </w:rPr>
              <w:t>Włączenie społeczne i walka z ubóstwem</w:t>
            </w:r>
          </w:p>
        </w:tc>
      </w:tr>
      <w:tr w:rsidR="006B2EC1" w14:paraId="2690081F" w14:textId="77777777" w:rsidTr="0047688D">
        <w:tc>
          <w:tcPr>
            <w:tcW w:w="0" w:type="auto"/>
            <w:shd w:val="clear" w:color="auto" w:fill="auto"/>
          </w:tcPr>
          <w:p w14:paraId="7086FC39" w14:textId="77777777" w:rsidR="008C5CFA" w:rsidRPr="002124FC" w:rsidRDefault="00E82A60"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14:paraId="0586FC77" w14:textId="77777777" w:rsidR="008C5CFA" w:rsidRPr="002124FC" w:rsidRDefault="00E82A60" w:rsidP="00300A01">
            <w:pPr>
              <w:spacing w:before="0" w:after="0"/>
              <w:rPr>
                <w:sz w:val="20"/>
                <w:szCs w:val="20"/>
                <w:lang w:val="fr-BE"/>
              </w:rPr>
            </w:pPr>
            <w:r w:rsidRPr="002124FC">
              <w:rPr>
                <w:noProof/>
                <w:sz w:val="20"/>
                <w:szCs w:val="20"/>
                <w:lang w:val="fr-BE"/>
              </w:rPr>
              <w:t>9i</w:t>
            </w:r>
            <w:r w:rsidRPr="002124FC">
              <w:rPr>
                <w:sz w:val="20"/>
                <w:szCs w:val="20"/>
                <w:lang w:val="fr-BE"/>
              </w:rPr>
              <w:t xml:space="preserve"> - </w:t>
            </w:r>
            <w:r w:rsidRPr="002124FC">
              <w:rPr>
                <w:noProof/>
                <w:sz w:val="20"/>
                <w:szCs w:val="20"/>
                <w:lang w:val="fr-BE"/>
              </w:rPr>
              <w:t>Aktywne włączenie, w tym z myślą o promowaniu równych szans oraz aktywnego uczestnictwa i zwiększaniu szans na zatrudnienie</w:t>
            </w:r>
          </w:p>
        </w:tc>
      </w:tr>
    </w:tbl>
    <w:p w14:paraId="7E944B26" w14:textId="77777777" w:rsidR="008C5CFA" w:rsidRDefault="008C5CFA" w:rsidP="00300A01">
      <w:pPr>
        <w:spacing w:before="0" w:after="0"/>
      </w:pPr>
    </w:p>
    <w:p w14:paraId="1A13F25C" w14:textId="77777777" w:rsidR="008C5CFA" w:rsidRPr="008E457C" w:rsidRDefault="00E82A60" w:rsidP="00300A01">
      <w:pPr>
        <w:pStyle w:val="Nagwek2"/>
        <w:spacing w:before="0" w:after="0"/>
        <w:rPr>
          <w:b w:val="0"/>
        </w:rPr>
      </w:pPr>
      <w:bookmarkStart w:id="69" w:name="_Toc46391753"/>
      <w:r w:rsidRPr="008E457C">
        <w:rPr>
          <w:b w:val="0"/>
          <w:noProof/>
          <w:lang w:val="fr-BE"/>
        </w:rPr>
        <w:t>Tabela 4A</w:t>
      </w:r>
      <w:r w:rsidRPr="008E457C">
        <w:rPr>
          <w:b w:val="0"/>
        </w:rPr>
        <w:t xml:space="preserve"> : </w:t>
      </w:r>
      <w:r w:rsidRPr="008E457C">
        <w:rPr>
          <w:b w:val="0"/>
          <w:noProof/>
          <w:lang w:val="fr-BE"/>
        </w:rPr>
        <w:t>Wspólne wskaźniki produktu dla EFS oraz Inicjatywy na rzecz zatrudnienia ludzi młodych</w:t>
      </w:r>
      <w:r w:rsidR="00A11A16">
        <w:rPr>
          <w:b w:val="0"/>
        </w:rPr>
        <w:t xml:space="preserve"> - </w:t>
      </w:r>
      <w:r w:rsidR="00A11A16" w:rsidRPr="002124FC">
        <w:rPr>
          <w:noProof/>
          <w:sz w:val="20"/>
          <w:szCs w:val="20"/>
          <w:lang w:val="fr-BE"/>
        </w:rPr>
        <w:t>9</w:t>
      </w:r>
      <w:r w:rsidR="00A11A16">
        <w:rPr>
          <w:sz w:val="20"/>
          <w:szCs w:val="20"/>
          <w:lang w:val="fr-BE"/>
        </w:rPr>
        <w:t xml:space="preserve"> / </w:t>
      </w:r>
      <w:r w:rsidR="00A11A16" w:rsidRPr="002124FC">
        <w:rPr>
          <w:noProof/>
          <w:sz w:val="20"/>
          <w:szCs w:val="20"/>
          <w:lang w:val="fr-BE"/>
        </w:rPr>
        <w:t>9i</w:t>
      </w:r>
      <w:bookmarkEnd w:id="69"/>
    </w:p>
    <w:p w14:paraId="0A456926" w14:textId="77777777" w:rsidR="008C5CFA" w:rsidRDefault="008C5CFA" w:rsidP="00300A01">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01"/>
        <w:gridCol w:w="6951"/>
        <w:gridCol w:w="1023"/>
        <w:gridCol w:w="534"/>
        <w:gridCol w:w="654"/>
        <w:gridCol w:w="521"/>
        <w:gridCol w:w="534"/>
        <w:gridCol w:w="654"/>
        <w:gridCol w:w="534"/>
        <w:gridCol w:w="514"/>
        <w:gridCol w:w="654"/>
        <w:gridCol w:w="521"/>
        <w:gridCol w:w="514"/>
        <w:gridCol w:w="654"/>
        <w:gridCol w:w="521"/>
      </w:tblGrid>
      <w:tr w:rsidR="006B2EC1" w14:paraId="6D5B7901" w14:textId="77777777" w:rsidTr="0047688D">
        <w:trPr>
          <w:cantSplit/>
          <w:tblHeader/>
        </w:trPr>
        <w:tc>
          <w:tcPr>
            <w:tcW w:w="0" w:type="auto"/>
            <w:shd w:val="clear" w:color="auto" w:fill="auto"/>
          </w:tcPr>
          <w:p w14:paraId="23DF9359" w14:textId="77777777" w:rsidR="008C5CFA" w:rsidRPr="00F53019" w:rsidRDefault="00E82A60" w:rsidP="00300A01">
            <w:pPr>
              <w:spacing w:before="0" w:after="0"/>
              <w:rPr>
                <w:b/>
                <w:sz w:val="12"/>
                <w:szCs w:val="12"/>
                <w:lang w:val="fr-BE"/>
              </w:rPr>
            </w:pPr>
            <w:r w:rsidRPr="00F53019">
              <w:rPr>
                <w:b/>
                <w:noProof/>
                <w:sz w:val="12"/>
                <w:szCs w:val="12"/>
                <w:lang w:val="fr-BE"/>
              </w:rPr>
              <w:t>ID</w:t>
            </w:r>
          </w:p>
        </w:tc>
        <w:tc>
          <w:tcPr>
            <w:tcW w:w="0" w:type="auto"/>
            <w:shd w:val="clear" w:color="auto" w:fill="auto"/>
          </w:tcPr>
          <w:p w14:paraId="53248E2E" w14:textId="77777777" w:rsidR="008C5CFA" w:rsidRPr="00F53019" w:rsidRDefault="00E82A60" w:rsidP="00300A01">
            <w:pPr>
              <w:spacing w:before="0" w:after="0"/>
              <w:rPr>
                <w:b/>
                <w:sz w:val="12"/>
                <w:szCs w:val="12"/>
                <w:lang w:val="fr-BE"/>
              </w:rPr>
            </w:pPr>
            <w:r w:rsidRPr="00F53019">
              <w:rPr>
                <w:b/>
                <w:noProof/>
                <w:sz w:val="12"/>
                <w:szCs w:val="12"/>
                <w:lang w:val="fr-BE"/>
              </w:rPr>
              <w:t>Wskaźnik</w:t>
            </w:r>
          </w:p>
        </w:tc>
        <w:tc>
          <w:tcPr>
            <w:tcW w:w="0" w:type="auto"/>
            <w:shd w:val="clear" w:color="auto" w:fill="auto"/>
          </w:tcPr>
          <w:p w14:paraId="3C6F542D" w14:textId="77777777" w:rsidR="008C5CFA" w:rsidRPr="00F53019" w:rsidRDefault="00E82A60" w:rsidP="00300A01">
            <w:pPr>
              <w:spacing w:before="0" w:after="0"/>
              <w:rPr>
                <w:b/>
                <w:sz w:val="12"/>
                <w:szCs w:val="12"/>
                <w:lang w:val="fr-BE"/>
              </w:rPr>
            </w:pPr>
            <w:r w:rsidRPr="00F53019">
              <w:rPr>
                <w:b/>
                <w:noProof/>
                <w:sz w:val="12"/>
                <w:szCs w:val="12"/>
                <w:lang w:val="fr-BE"/>
              </w:rPr>
              <w:t>Kategoria regionu</w:t>
            </w:r>
          </w:p>
        </w:tc>
        <w:tc>
          <w:tcPr>
            <w:tcW w:w="0" w:type="auto"/>
            <w:gridSpan w:val="3"/>
            <w:shd w:val="clear" w:color="auto" w:fill="auto"/>
          </w:tcPr>
          <w:p w14:paraId="15FD178B" w14:textId="77777777" w:rsidR="008C5CFA" w:rsidRPr="00F53019" w:rsidRDefault="00E82A60" w:rsidP="00300A01">
            <w:pPr>
              <w:spacing w:before="0" w:after="0"/>
              <w:jc w:val="center"/>
              <w:rPr>
                <w:b/>
                <w:sz w:val="12"/>
                <w:szCs w:val="12"/>
                <w:lang w:val="fr-BE"/>
              </w:rPr>
            </w:pPr>
            <w:r w:rsidRPr="00F53019">
              <w:rPr>
                <w:b/>
                <w:noProof/>
                <w:sz w:val="12"/>
                <w:szCs w:val="12"/>
                <w:lang w:val="fr-BE"/>
              </w:rPr>
              <w:t>Wartość docelowa (2023)</w:t>
            </w:r>
          </w:p>
        </w:tc>
        <w:tc>
          <w:tcPr>
            <w:tcW w:w="0" w:type="auto"/>
            <w:gridSpan w:val="3"/>
            <w:shd w:val="clear" w:color="auto" w:fill="auto"/>
          </w:tcPr>
          <w:p w14:paraId="297CF721" w14:textId="77777777" w:rsidR="008C5CFA" w:rsidRPr="00F53019" w:rsidRDefault="00E82A60" w:rsidP="00300A01">
            <w:pPr>
              <w:spacing w:before="0" w:after="0"/>
              <w:jc w:val="center"/>
              <w:rPr>
                <w:b/>
                <w:sz w:val="12"/>
                <w:szCs w:val="12"/>
                <w:lang w:val="fr-BE"/>
              </w:rPr>
            </w:pPr>
            <w:r w:rsidRPr="00F53019">
              <w:rPr>
                <w:b/>
                <w:noProof/>
                <w:sz w:val="12"/>
                <w:szCs w:val="12"/>
                <w:lang w:val="fr-BE"/>
              </w:rPr>
              <w:t>Wartość skumulowana</w:t>
            </w:r>
          </w:p>
        </w:tc>
        <w:tc>
          <w:tcPr>
            <w:tcW w:w="0" w:type="auto"/>
            <w:gridSpan w:val="3"/>
            <w:shd w:val="clear" w:color="auto" w:fill="auto"/>
          </w:tcPr>
          <w:p w14:paraId="3A217957" w14:textId="77777777" w:rsidR="008C5CFA" w:rsidRPr="00F53019" w:rsidRDefault="00E82A60" w:rsidP="00300A01">
            <w:pPr>
              <w:spacing w:before="0" w:after="0"/>
              <w:jc w:val="center"/>
              <w:rPr>
                <w:b/>
                <w:sz w:val="12"/>
                <w:szCs w:val="12"/>
                <w:lang w:val="fr-BE"/>
              </w:rPr>
            </w:pPr>
            <w:r w:rsidRPr="00F53019">
              <w:rPr>
                <w:b/>
                <w:noProof/>
                <w:sz w:val="12"/>
                <w:szCs w:val="12"/>
                <w:lang w:val="fr-BE"/>
              </w:rPr>
              <w:t>Wskaźnik osiągnięć</w:t>
            </w:r>
          </w:p>
        </w:tc>
        <w:tc>
          <w:tcPr>
            <w:tcW w:w="0" w:type="auto"/>
            <w:gridSpan w:val="3"/>
          </w:tcPr>
          <w:p w14:paraId="3138DBF8" w14:textId="77777777" w:rsidR="008C5CFA" w:rsidRPr="00F53019" w:rsidRDefault="0047688D" w:rsidP="00300A01">
            <w:pPr>
              <w:spacing w:before="0" w:after="0"/>
              <w:jc w:val="center"/>
              <w:rPr>
                <w:b/>
                <w:sz w:val="12"/>
                <w:szCs w:val="12"/>
                <w:lang w:val="fr-BE"/>
              </w:rPr>
            </w:pPr>
            <w:r w:rsidRPr="008C2BD7">
              <w:rPr>
                <w:noProof/>
                <w:sz w:val="12"/>
                <w:szCs w:val="12"/>
              </w:rPr>
              <w:t>2019</w:t>
            </w:r>
          </w:p>
        </w:tc>
      </w:tr>
      <w:tr w:rsidR="006B2EC1" w14:paraId="23B5C87D" w14:textId="77777777" w:rsidTr="0047688D">
        <w:trPr>
          <w:cantSplit/>
          <w:tblHeader/>
        </w:trPr>
        <w:tc>
          <w:tcPr>
            <w:tcW w:w="0" w:type="auto"/>
            <w:shd w:val="clear" w:color="auto" w:fill="auto"/>
          </w:tcPr>
          <w:p w14:paraId="693E193E" w14:textId="77777777" w:rsidR="008C5CFA" w:rsidRPr="00F53019" w:rsidRDefault="008C5CFA" w:rsidP="00300A01">
            <w:pPr>
              <w:spacing w:before="0" w:after="0"/>
              <w:rPr>
                <w:b/>
                <w:sz w:val="12"/>
                <w:szCs w:val="12"/>
                <w:lang w:val="fr-BE"/>
              </w:rPr>
            </w:pPr>
          </w:p>
        </w:tc>
        <w:tc>
          <w:tcPr>
            <w:tcW w:w="0" w:type="auto"/>
            <w:shd w:val="clear" w:color="auto" w:fill="auto"/>
          </w:tcPr>
          <w:p w14:paraId="0E5B3F5C" w14:textId="77777777" w:rsidR="008C5CFA" w:rsidRPr="00F53019" w:rsidRDefault="008C5CFA" w:rsidP="00300A01">
            <w:pPr>
              <w:spacing w:before="0" w:after="0"/>
              <w:rPr>
                <w:b/>
                <w:sz w:val="12"/>
                <w:szCs w:val="12"/>
                <w:lang w:val="fr-BE"/>
              </w:rPr>
            </w:pPr>
          </w:p>
        </w:tc>
        <w:tc>
          <w:tcPr>
            <w:tcW w:w="0" w:type="auto"/>
            <w:shd w:val="clear" w:color="auto" w:fill="auto"/>
          </w:tcPr>
          <w:p w14:paraId="5D9A6C1C" w14:textId="77777777" w:rsidR="008C5CFA" w:rsidRPr="00F53019" w:rsidRDefault="008C5CFA" w:rsidP="00300A01">
            <w:pPr>
              <w:spacing w:before="0" w:after="0"/>
              <w:rPr>
                <w:b/>
                <w:sz w:val="12"/>
                <w:szCs w:val="12"/>
                <w:lang w:val="fr-BE"/>
              </w:rPr>
            </w:pPr>
          </w:p>
        </w:tc>
        <w:tc>
          <w:tcPr>
            <w:tcW w:w="0" w:type="auto"/>
            <w:shd w:val="clear" w:color="auto" w:fill="auto"/>
          </w:tcPr>
          <w:p w14:paraId="08325726" w14:textId="77777777" w:rsidR="008C5CFA" w:rsidRPr="00F53019" w:rsidRDefault="00E82A60" w:rsidP="00300A01">
            <w:pPr>
              <w:spacing w:before="0" w:after="0"/>
              <w:jc w:val="center"/>
              <w:rPr>
                <w:b/>
                <w:sz w:val="12"/>
                <w:szCs w:val="12"/>
                <w:lang w:val="fr-BE"/>
              </w:rPr>
            </w:pPr>
            <w:r w:rsidRPr="00F53019">
              <w:rPr>
                <w:b/>
                <w:noProof/>
                <w:sz w:val="12"/>
                <w:szCs w:val="12"/>
                <w:lang w:val="fr-BE"/>
              </w:rPr>
              <w:t>Ogółem</w:t>
            </w:r>
          </w:p>
        </w:tc>
        <w:tc>
          <w:tcPr>
            <w:tcW w:w="0" w:type="auto"/>
            <w:shd w:val="clear" w:color="auto" w:fill="auto"/>
          </w:tcPr>
          <w:p w14:paraId="0E4612A4" w14:textId="77777777" w:rsidR="008C5CFA" w:rsidRPr="00F53019" w:rsidRDefault="00E82A60"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14:paraId="3145DC25" w14:textId="77777777" w:rsidR="008C5CFA" w:rsidRPr="00F53019" w:rsidRDefault="00E82A60" w:rsidP="00300A01">
            <w:pPr>
              <w:spacing w:before="0" w:after="0"/>
              <w:jc w:val="center"/>
              <w:rPr>
                <w:b/>
                <w:sz w:val="12"/>
                <w:szCs w:val="12"/>
                <w:lang w:val="fr-BE"/>
              </w:rPr>
            </w:pPr>
            <w:r w:rsidRPr="00F53019">
              <w:rPr>
                <w:b/>
                <w:noProof/>
                <w:sz w:val="12"/>
                <w:szCs w:val="12"/>
                <w:lang w:val="fr-BE"/>
              </w:rPr>
              <w:t>Kobiety</w:t>
            </w:r>
          </w:p>
        </w:tc>
        <w:tc>
          <w:tcPr>
            <w:tcW w:w="0" w:type="auto"/>
            <w:shd w:val="clear" w:color="auto" w:fill="auto"/>
          </w:tcPr>
          <w:p w14:paraId="601B449E" w14:textId="77777777" w:rsidR="008C5CFA" w:rsidRPr="00F53019" w:rsidRDefault="00E82A60" w:rsidP="00300A01">
            <w:pPr>
              <w:spacing w:before="0" w:after="0"/>
              <w:jc w:val="center"/>
              <w:rPr>
                <w:b/>
                <w:sz w:val="12"/>
                <w:szCs w:val="12"/>
                <w:lang w:val="fr-BE"/>
              </w:rPr>
            </w:pPr>
            <w:r w:rsidRPr="00F53019">
              <w:rPr>
                <w:b/>
                <w:noProof/>
                <w:sz w:val="12"/>
                <w:szCs w:val="12"/>
                <w:lang w:val="fr-BE"/>
              </w:rPr>
              <w:t>Ogółem</w:t>
            </w:r>
          </w:p>
        </w:tc>
        <w:tc>
          <w:tcPr>
            <w:tcW w:w="0" w:type="auto"/>
            <w:shd w:val="clear" w:color="auto" w:fill="auto"/>
          </w:tcPr>
          <w:p w14:paraId="11243EB0" w14:textId="77777777" w:rsidR="008C5CFA" w:rsidRPr="00F53019" w:rsidRDefault="00E82A60"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14:paraId="36859EE2" w14:textId="77777777" w:rsidR="008C5CFA" w:rsidRPr="00F53019" w:rsidRDefault="00E82A60" w:rsidP="00300A01">
            <w:pPr>
              <w:spacing w:before="0" w:after="0"/>
              <w:jc w:val="center"/>
              <w:rPr>
                <w:b/>
                <w:sz w:val="12"/>
                <w:szCs w:val="12"/>
                <w:lang w:val="fr-BE"/>
              </w:rPr>
            </w:pPr>
            <w:r w:rsidRPr="00F53019">
              <w:rPr>
                <w:b/>
                <w:noProof/>
                <w:sz w:val="12"/>
                <w:szCs w:val="12"/>
                <w:lang w:val="fr-BE"/>
              </w:rPr>
              <w:t>Kobiety</w:t>
            </w:r>
          </w:p>
        </w:tc>
        <w:tc>
          <w:tcPr>
            <w:tcW w:w="0" w:type="auto"/>
            <w:shd w:val="clear" w:color="auto" w:fill="auto"/>
          </w:tcPr>
          <w:p w14:paraId="3F2D1FBD" w14:textId="77777777" w:rsidR="008C5CFA" w:rsidRPr="00F53019" w:rsidRDefault="00E82A60" w:rsidP="00300A01">
            <w:pPr>
              <w:spacing w:before="0" w:after="0"/>
              <w:jc w:val="center"/>
              <w:rPr>
                <w:b/>
                <w:sz w:val="12"/>
                <w:szCs w:val="12"/>
                <w:lang w:val="fr-BE"/>
              </w:rPr>
            </w:pPr>
            <w:r w:rsidRPr="00F53019">
              <w:rPr>
                <w:b/>
                <w:noProof/>
                <w:sz w:val="12"/>
                <w:szCs w:val="12"/>
                <w:lang w:val="fr-BE"/>
              </w:rPr>
              <w:t>Ogółem</w:t>
            </w:r>
          </w:p>
        </w:tc>
        <w:tc>
          <w:tcPr>
            <w:tcW w:w="0" w:type="auto"/>
            <w:shd w:val="clear" w:color="auto" w:fill="auto"/>
          </w:tcPr>
          <w:p w14:paraId="4127751E" w14:textId="77777777" w:rsidR="008C5CFA" w:rsidRPr="00F53019" w:rsidRDefault="00E82A60"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14:paraId="21C4E979" w14:textId="77777777" w:rsidR="008C5CFA" w:rsidRPr="00F53019" w:rsidRDefault="00E82A60" w:rsidP="00300A01">
            <w:pPr>
              <w:spacing w:before="0" w:after="0"/>
              <w:jc w:val="center"/>
              <w:rPr>
                <w:b/>
                <w:sz w:val="12"/>
                <w:szCs w:val="12"/>
                <w:lang w:val="fr-BE"/>
              </w:rPr>
            </w:pPr>
            <w:r w:rsidRPr="00F53019">
              <w:rPr>
                <w:b/>
                <w:noProof/>
                <w:sz w:val="12"/>
                <w:szCs w:val="12"/>
                <w:lang w:val="fr-BE"/>
              </w:rPr>
              <w:t>Kobiety</w:t>
            </w:r>
          </w:p>
        </w:tc>
        <w:tc>
          <w:tcPr>
            <w:tcW w:w="0" w:type="auto"/>
          </w:tcPr>
          <w:p w14:paraId="1A3D9E2D" w14:textId="77777777" w:rsidR="008C5CFA" w:rsidRPr="00F53019" w:rsidRDefault="00E82A60" w:rsidP="00300A01">
            <w:pPr>
              <w:spacing w:before="0" w:after="0"/>
              <w:jc w:val="center"/>
              <w:rPr>
                <w:b/>
                <w:sz w:val="12"/>
                <w:szCs w:val="12"/>
                <w:lang w:val="fr-BE"/>
              </w:rPr>
            </w:pPr>
            <w:r w:rsidRPr="00F53019">
              <w:rPr>
                <w:b/>
                <w:noProof/>
                <w:sz w:val="12"/>
                <w:szCs w:val="12"/>
                <w:lang w:val="fr-BE"/>
              </w:rPr>
              <w:t>Ogółem</w:t>
            </w:r>
          </w:p>
        </w:tc>
        <w:tc>
          <w:tcPr>
            <w:tcW w:w="0" w:type="auto"/>
            <w:shd w:val="clear" w:color="auto" w:fill="auto"/>
          </w:tcPr>
          <w:p w14:paraId="48E9E84F" w14:textId="77777777" w:rsidR="008C5CFA" w:rsidRPr="00F53019" w:rsidRDefault="00E82A60"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14:paraId="5081EEDF" w14:textId="77777777" w:rsidR="008C5CFA" w:rsidRPr="00F53019" w:rsidRDefault="00E82A60" w:rsidP="00300A01">
            <w:pPr>
              <w:spacing w:before="0" w:after="0"/>
              <w:jc w:val="center"/>
              <w:rPr>
                <w:b/>
                <w:sz w:val="12"/>
                <w:szCs w:val="12"/>
                <w:lang w:val="fr-BE"/>
              </w:rPr>
            </w:pPr>
            <w:r w:rsidRPr="00F53019">
              <w:rPr>
                <w:b/>
                <w:noProof/>
                <w:sz w:val="12"/>
                <w:szCs w:val="12"/>
                <w:lang w:val="fr-BE"/>
              </w:rPr>
              <w:t>Kobiety</w:t>
            </w:r>
          </w:p>
        </w:tc>
      </w:tr>
      <w:tr w:rsidR="006B2EC1" w14:paraId="1DE0DBBA" w14:textId="77777777" w:rsidTr="0047688D">
        <w:tc>
          <w:tcPr>
            <w:tcW w:w="0" w:type="auto"/>
            <w:shd w:val="clear" w:color="auto" w:fill="auto"/>
          </w:tcPr>
          <w:p w14:paraId="0FD93755" w14:textId="77777777" w:rsidR="008C5CFA" w:rsidRPr="00BA47B4" w:rsidRDefault="00E82A60" w:rsidP="00300A01">
            <w:pPr>
              <w:spacing w:before="0" w:after="0"/>
              <w:rPr>
                <w:sz w:val="12"/>
                <w:szCs w:val="12"/>
                <w:lang w:val="fr-BE"/>
              </w:rPr>
            </w:pPr>
            <w:r>
              <w:rPr>
                <w:noProof/>
                <w:sz w:val="12"/>
                <w:szCs w:val="12"/>
                <w:lang w:val="fr-BE"/>
              </w:rPr>
              <w:t>CO01</w:t>
            </w:r>
          </w:p>
        </w:tc>
        <w:tc>
          <w:tcPr>
            <w:tcW w:w="0" w:type="auto"/>
            <w:shd w:val="clear" w:color="auto" w:fill="auto"/>
          </w:tcPr>
          <w:p w14:paraId="1B2C7C24" w14:textId="77777777" w:rsidR="008C5CFA" w:rsidRPr="00BA47B4" w:rsidRDefault="00E82A60" w:rsidP="00300A01">
            <w:pPr>
              <w:spacing w:before="0" w:after="0"/>
              <w:rPr>
                <w:sz w:val="12"/>
                <w:szCs w:val="12"/>
                <w:lang w:val="fr-BE"/>
              </w:rPr>
            </w:pPr>
            <w:r>
              <w:rPr>
                <w:noProof/>
                <w:sz w:val="12"/>
                <w:szCs w:val="12"/>
                <w:lang w:val="fr-BE"/>
              </w:rPr>
              <w:t>bezrobotni, w tym długotrwale bezrobotni</w:t>
            </w:r>
          </w:p>
        </w:tc>
        <w:tc>
          <w:tcPr>
            <w:tcW w:w="0" w:type="auto"/>
            <w:shd w:val="clear" w:color="auto" w:fill="auto"/>
          </w:tcPr>
          <w:p w14:paraId="14A336C4" w14:textId="77777777" w:rsidR="008C5CFA" w:rsidRPr="00BA47B4" w:rsidRDefault="00E82A60"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14:paraId="5478ADD5" w14:textId="77777777" w:rsidR="008C5CFA" w:rsidRPr="00BA47B4" w:rsidRDefault="008C5CFA" w:rsidP="00300A01">
            <w:pPr>
              <w:spacing w:before="0" w:after="0"/>
              <w:jc w:val="right"/>
              <w:rPr>
                <w:sz w:val="12"/>
                <w:szCs w:val="12"/>
                <w:lang w:val="fr-BE"/>
              </w:rPr>
            </w:pPr>
          </w:p>
        </w:tc>
        <w:tc>
          <w:tcPr>
            <w:tcW w:w="0" w:type="auto"/>
            <w:shd w:val="clear" w:color="auto" w:fill="auto"/>
          </w:tcPr>
          <w:p w14:paraId="34B199CC" w14:textId="77777777" w:rsidR="008C5CFA" w:rsidRPr="00BA47B4" w:rsidRDefault="008C5CFA" w:rsidP="00300A01">
            <w:pPr>
              <w:spacing w:before="0" w:after="0"/>
              <w:jc w:val="right"/>
              <w:rPr>
                <w:sz w:val="12"/>
                <w:szCs w:val="12"/>
                <w:lang w:val="fr-BE"/>
              </w:rPr>
            </w:pPr>
          </w:p>
        </w:tc>
        <w:tc>
          <w:tcPr>
            <w:tcW w:w="0" w:type="auto"/>
            <w:shd w:val="clear" w:color="auto" w:fill="auto"/>
          </w:tcPr>
          <w:p w14:paraId="1C6603A6" w14:textId="77777777" w:rsidR="008C5CFA" w:rsidRPr="00BA47B4" w:rsidRDefault="008C5CFA" w:rsidP="00300A01">
            <w:pPr>
              <w:spacing w:before="0" w:after="0"/>
              <w:jc w:val="right"/>
              <w:rPr>
                <w:sz w:val="12"/>
                <w:szCs w:val="12"/>
                <w:lang w:val="fr-BE"/>
              </w:rPr>
            </w:pPr>
          </w:p>
        </w:tc>
        <w:tc>
          <w:tcPr>
            <w:tcW w:w="0" w:type="auto"/>
            <w:shd w:val="clear" w:color="auto" w:fill="auto"/>
          </w:tcPr>
          <w:p w14:paraId="10A6B74C" w14:textId="77777777" w:rsidR="008C5CFA" w:rsidRPr="00BA47B4" w:rsidRDefault="00E82A60" w:rsidP="00300A01">
            <w:pPr>
              <w:spacing w:before="0" w:after="0"/>
              <w:jc w:val="right"/>
              <w:rPr>
                <w:sz w:val="12"/>
                <w:szCs w:val="12"/>
                <w:lang w:val="fr-BE"/>
              </w:rPr>
            </w:pPr>
            <w:r w:rsidRPr="00BA47B4">
              <w:rPr>
                <w:noProof/>
                <w:sz w:val="12"/>
                <w:szCs w:val="12"/>
                <w:lang w:val="fr-BE"/>
              </w:rPr>
              <w:t>1 650,00</w:t>
            </w:r>
          </w:p>
        </w:tc>
        <w:tc>
          <w:tcPr>
            <w:tcW w:w="0" w:type="auto"/>
            <w:shd w:val="clear" w:color="auto" w:fill="auto"/>
          </w:tcPr>
          <w:p w14:paraId="66D296BB" w14:textId="77777777" w:rsidR="008C5CFA" w:rsidRPr="00BA47B4" w:rsidRDefault="00E82A60" w:rsidP="00300A01">
            <w:pPr>
              <w:spacing w:before="0" w:after="0"/>
              <w:jc w:val="right"/>
              <w:rPr>
                <w:sz w:val="12"/>
                <w:szCs w:val="12"/>
                <w:lang w:val="fr-BE"/>
              </w:rPr>
            </w:pPr>
            <w:r w:rsidRPr="00BA47B4">
              <w:rPr>
                <w:noProof/>
                <w:sz w:val="12"/>
                <w:szCs w:val="12"/>
                <w:lang w:val="fr-BE"/>
              </w:rPr>
              <w:t>602,00</w:t>
            </w:r>
          </w:p>
        </w:tc>
        <w:tc>
          <w:tcPr>
            <w:tcW w:w="0" w:type="auto"/>
            <w:shd w:val="clear" w:color="auto" w:fill="auto"/>
          </w:tcPr>
          <w:p w14:paraId="37ED5FA6" w14:textId="77777777" w:rsidR="008C5CFA" w:rsidRPr="00BA47B4" w:rsidRDefault="00E82A60" w:rsidP="00300A01">
            <w:pPr>
              <w:spacing w:before="0" w:after="0"/>
              <w:jc w:val="right"/>
              <w:rPr>
                <w:sz w:val="12"/>
                <w:szCs w:val="12"/>
                <w:lang w:val="fr-BE"/>
              </w:rPr>
            </w:pPr>
            <w:r w:rsidRPr="00BA47B4">
              <w:rPr>
                <w:noProof/>
                <w:sz w:val="12"/>
                <w:szCs w:val="12"/>
                <w:lang w:val="fr-BE"/>
              </w:rPr>
              <w:t>1 048,00</w:t>
            </w:r>
          </w:p>
        </w:tc>
        <w:tc>
          <w:tcPr>
            <w:tcW w:w="0" w:type="auto"/>
            <w:shd w:val="clear" w:color="auto" w:fill="auto"/>
          </w:tcPr>
          <w:p w14:paraId="287B235F" w14:textId="77777777" w:rsidR="008C5CFA" w:rsidRPr="00BA47B4" w:rsidRDefault="008C5CFA" w:rsidP="00300A01">
            <w:pPr>
              <w:spacing w:before="0" w:after="0"/>
              <w:jc w:val="right"/>
              <w:rPr>
                <w:sz w:val="12"/>
                <w:szCs w:val="12"/>
                <w:lang w:val="fr-BE"/>
              </w:rPr>
            </w:pPr>
          </w:p>
        </w:tc>
        <w:tc>
          <w:tcPr>
            <w:tcW w:w="0" w:type="auto"/>
            <w:shd w:val="clear" w:color="auto" w:fill="auto"/>
          </w:tcPr>
          <w:p w14:paraId="1708B29B" w14:textId="77777777" w:rsidR="008C5CFA" w:rsidRPr="00BA47B4" w:rsidRDefault="008C5CFA" w:rsidP="00300A01">
            <w:pPr>
              <w:spacing w:before="0" w:after="0"/>
              <w:jc w:val="right"/>
              <w:rPr>
                <w:sz w:val="12"/>
                <w:szCs w:val="12"/>
                <w:lang w:val="fr-BE"/>
              </w:rPr>
            </w:pPr>
          </w:p>
        </w:tc>
        <w:tc>
          <w:tcPr>
            <w:tcW w:w="0" w:type="auto"/>
            <w:shd w:val="clear" w:color="auto" w:fill="auto"/>
          </w:tcPr>
          <w:p w14:paraId="43B89589" w14:textId="77777777" w:rsidR="008C5CFA" w:rsidRPr="00BA47B4" w:rsidRDefault="008C5CFA" w:rsidP="00300A01">
            <w:pPr>
              <w:spacing w:before="0" w:after="0"/>
              <w:jc w:val="right"/>
              <w:rPr>
                <w:sz w:val="12"/>
                <w:szCs w:val="12"/>
                <w:lang w:val="fr-BE"/>
              </w:rPr>
            </w:pPr>
          </w:p>
        </w:tc>
        <w:tc>
          <w:tcPr>
            <w:tcW w:w="0" w:type="auto"/>
          </w:tcPr>
          <w:p w14:paraId="1B4D8F93" w14:textId="77777777" w:rsidR="008C5CFA" w:rsidRPr="00A92B39" w:rsidRDefault="00E82A60" w:rsidP="00300A01">
            <w:pPr>
              <w:spacing w:before="0" w:after="0"/>
              <w:jc w:val="right"/>
              <w:rPr>
                <w:sz w:val="10"/>
                <w:szCs w:val="10"/>
                <w:lang w:val="fr-BE"/>
              </w:rPr>
            </w:pPr>
            <w:r w:rsidRPr="00A92B39">
              <w:rPr>
                <w:noProof/>
                <w:sz w:val="10"/>
                <w:szCs w:val="10"/>
                <w:lang w:val="fr-BE"/>
              </w:rPr>
              <w:t>644,00</w:t>
            </w:r>
          </w:p>
        </w:tc>
        <w:tc>
          <w:tcPr>
            <w:tcW w:w="0" w:type="auto"/>
            <w:shd w:val="clear" w:color="auto" w:fill="auto"/>
          </w:tcPr>
          <w:p w14:paraId="0989B5F9" w14:textId="77777777" w:rsidR="008C5CFA" w:rsidRPr="00A92B39" w:rsidRDefault="00E82A60" w:rsidP="00300A01">
            <w:pPr>
              <w:spacing w:before="0" w:after="0"/>
              <w:jc w:val="right"/>
              <w:rPr>
                <w:sz w:val="10"/>
                <w:szCs w:val="10"/>
                <w:lang w:val="fr-BE"/>
              </w:rPr>
            </w:pPr>
            <w:r w:rsidRPr="00A92B39">
              <w:rPr>
                <w:noProof/>
                <w:sz w:val="10"/>
                <w:szCs w:val="10"/>
                <w:lang w:val="fr-BE"/>
              </w:rPr>
              <w:t>201,00</w:t>
            </w:r>
          </w:p>
        </w:tc>
        <w:tc>
          <w:tcPr>
            <w:tcW w:w="0" w:type="auto"/>
            <w:shd w:val="clear" w:color="auto" w:fill="auto"/>
          </w:tcPr>
          <w:p w14:paraId="0316D472" w14:textId="77777777" w:rsidR="008C5CFA" w:rsidRPr="00BA47B4" w:rsidRDefault="00E82A60" w:rsidP="00300A01">
            <w:pPr>
              <w:spacing w:before="0" w:after="0"/>
              <w:jc w:val="right"/>
              <w:rPr>
                <w:sz w:val="12"/>
                <w:szCs w:val="12"/>
                <w:lang w:val="fr-BE"/>
              </w:rPr>
            </w:pPr>
            <w:r w:rsidRPr="00A92B39">
              <w:rPr>
                <w:noProof/>
                <w:sz w:val="10"/>
                <w:szCs w:val="10"/>
                <w:lang w:val="fr-BE"/>
              </w:rPr>
              <w:t>443,00</w:t>
            </w:r>
          </w:p>
        </w:tc>
      </w:tr>
      <w:tr w:rsidR="006B2EC1" w14:paraId="209EA6E7" w14:textId="77777777" w:rsidTr="0047688D">
        <w:tc>
          <w:tcPr>
            <w:tcW w:w="0" w:type="auto"/>
            <w:shd w:val="clear" w:color="auto" w:fill="auto"/>
          </w:tcPr>
          <w:p w14:paraId="565A3EE5" w14:textId="77777777" w:rsidR="008C5CFA" w:rsidRPr="00BA47B4" w:rsidRDefault="00E82A60" w:rsidP="00300A01">
            <w:pPr>
              <w:spacing w:before="0" w:after="0"/>
              <w:rPr>
                <w:sz w:val="12"/>
                <w:szCs w:val="12"/>
                <w:lang w:val="fr-BE"/>
              </w:rPr>
            </w:pPr>
            <w:r>
              <w:rPr>
                <w:noProof/>
                <w:sz w:val="12"/>
                <w:szCs w:val="12"/>
                <w:lang w:val="fr-BE"/>
              </w:rPr>
              <w:t>CO02</w:t>
            </w:r>
          </w:p>
        </w:tc>
        <w:tc>
          <w:tcPr>
            <w:tcW w:w="0" w:type="auto"/>
            <w:shd w:val="clear" w:color="auto" w:fill="auto"/>
          </w:tcPr>
          <w:p w14:paraId="5F2BBD3E" w14:textId="77777777" w:rsidR="008C5CFA" w:rsidRPr="00BA47B4" w:rsidRDefault="00E82A60" w:rsidP="00300A01">
            <w:pPr>
              <w:spacing w:before="0" w:after="0"/>
              <w:rPr>
                <w:sz w:val="12"/>
                <w:szCs w:val="12"/>
                <w:lang w:val="fr-BE"/>
              </w:rPr>
            </w:pPr>
            <w:r>
              <w:rPr>
                <w:noProof/>
                <w:sz w:val="12"/>
                <w:szCs w:val="12"/>
                <w:lang w:val="fr-BE"/>
              </w:rPr>
              <w:t>długotrwale bezrobotni</w:t>
            </w:r>
          </w:p>
        </w:tc>
        <w:tc>
          <w:tcPr>
            <w:tcW w:w="0" w:type="auto"/>
            <w:shd w:val="clear" w:color="auto" w:fill="auto"/>
          </w:tcPr>
          <w:p w14:paraId="2C07DC80" w14:textId="77777777" w:rsidR="008C5CFA" w:rsidRPr="00BA47B4" w:rsidRDefault="00E82A60"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14:paraId="44A2E055" w14:textId="77777777" w:rsidR="008C5CFA" w:rsidRPr="00BA47B4" w:rsidRDefault="008C5CFA" w:rsidP="00300A01">
            <w:pPr>
              <w:spacing w:before="0" w:after="0"/>
              <w:jc w:val="right"/>
              <w:rPr>
                <w:sz w:val="12"/>
                <w:szCs w:val="12"/>
                <w:lang w:val="fr-BE"/>
              </w:rPr>
            </w:pPr>
          </w:p>
        </w:tc>
        <w:tc>
          <w:tcPr>
            <w:tcW w:w="0" w:type="auto"/>
            <w:shd w:val="clear" w:color="auto" w:fill="auto"/>
          </w:tcPr>
          <w:p w14:paraId="378501CF" w14:textId="77777777" w:rsidR="008C5CFA" w:rsidRPr="00BA47B4" w:rsidRDefault="008C5CFA" w:rsidP="00300A01">
            <w:pPr>
              <w:spacing w:before="0" w:after="0"/>
              <w:jc w:val="right"/>
              <w:rPr>
                <w:sz w:val="12"/>
                <w:szCs w:val="12"/>
                <w:lang w:val="fr-BE"/>
              </w:rPr>
            </w:pPr>
          </w:p>
        </w:tc>
        <w:tc>
          <w:tcPr>
            <w:tcW w:w="0" w:type="auto"/>
            <w:shd w:val="clear" w:color="auto" w:fill="auto"/>
          </w:tcPr>
          <w:p w14:paraId="04A32F61" w14:textId="77777777" w:rsidR="008C5CFA" w:rsidRPr="00BA47B4" w:rsidRDefault="008C5CFA" w:rsidP="00300A01">
            <w:pPr>
              <w:spacing w:before="0" w:after="0"/>
              <w:jc w:val="right"/>
              <w:rPr>
                <w:sz w:val="12"/>
                <w:szCs w:val="12"/>
                <w:lang w:val="fr-BE"/>
              </w:rPr>
            </w:pPr>
          </w:p>
        </w:tc>
        <w:tc>
          <w:tcPr>
            <w:tcW w:w="0" w:type="auto"/>
            <w:shd w:val="clear" w:color="auto" w:fill="auto"/>
          </w:tcPr>
          <w:p w14:paraId="035D532A" w14:textId="77777777" w:rsidR="008C5CFA" w:rsidRPr="00BA47B4" w:rsidRDefault="00E82A60" w:rsidP="00300A01">
            <w:pPr>
              <w:spacing w:before="0" w:after="0"/>
              <w:jc w:val="right"/>
              <w:rPr>
                <w:sz w:val="12"/>
                <w:szCs w:val="12"/>
                <w:lang w:val="fr-BE"/>
              </w:rPr>
            </w:pPr>
            <w:r w:rsidRPr="00BA47B4">
              <w:rPr>
                <w:noProof/>
                <w:sz w:val="12"/>
                <w:szCs w:val="12"/>
                <w:lang w:val="fr-BE"/>
              </w:rPr>
              <w:t>558,00</w:t>
            </w:r>
          </w:p>
        </w:tc>
        <w:tc>
          <w:tcPr>
            <w:tcW w:w="0" w:type="auto"/>
            <w:shd w:val="clear" w:color="auto" w:fill="auto"/>
          </w:tcPr>
          <w:p w14:paraId="2E4C2B34" w14:textId="77777777" w:rsidR="008C5CFA" w:rsidRPr="00BA47B4" w:rsidRDefault="00E82A60" w:rsidP="00300A01">
            <w:pPr>
              <w:spacing w:before="0" w:after="0"/>
              <w:jc w:val="right"/>
              <w:rPr>
                <w:sz w:val="12"/>
                <w:szCs w:val="12"/>
                <w:lang w:val="fr-BE"/>
              </w:rPr>
            </w:pPr>
            <w:r w:rsidRPr="00BA47B4">
              <w:rPr>
                <w:noProof/>
                <w:sz w:val="12"/>
                <w:szCs w:val="12"/>
                <w:lang w:val="fr-BE"/>
              </w:rPr>
              <w:t>202,00</w:t>
            </w:r>
          </w:p>
        </w:tc>
        <w:tc>
          <w:tcPr>
            <w:tcW w:w="0" w:type="auto"/>
            <w:shd w:val="clear" w:color="auto" w:fill="auto"/>
          </w:tcPr>
          <w:p w14:paraId="3B224587" w14:textId="77777777" w:rsidR="008C5CFA" w:rsidRPr="00BA47B4" w:rsidRDefault="00E82A60" w:rsidP="00300A01">
            <w:pPr>
              <w:spacing w:before="0" w:after="0"/>
              <w:jc w:val="right"/>
              <w:rPr>
                <w:sz w:val="12"/>
                <w:szCs w:val="12"/>
                <w:lang w:val="fr-BE"/>
              </w:rPr>
            </w:pPr>
            <w:r w:rsidRPr="00BA47B4">
              <w:rPr>
                <w:noProof/>
                <w:sz w:val="12"/>
                <w:szCs w:val="12"/>
                <w:lang w:val="fr-BE"/>
              </w:rPr>
              <w:t>356,00</w:t>
            </w:r>
          </w:p>
        </w:tc>
        <w:tc>
          <w:tcPr>
            <w:tcW w:w="0" w:type="auto"/>
            <w:shd w:val="clear" w:color="auto" w:fill="auto"/>
          </w:tcPr>
          <w:p w14:paraId="2CD22B81" w14:textId="77777777" w:rsidR="008C5CFA" w:rsidRPr="00BA47B4" w:rsidRDefault="008C5CFA" w:rsidP="00300A01">
            <w:pPr>
              <w:spacing w:before="0" w:after="0"/>
              <w:jc w:val="right"/>
              <w:rPr>
                <w:sz w:val="12"/>
                <w:szCs w:val="12"/>
                <w:lang w:val="fr-BE"/>
              </w:rPr>
            </w:pPr>
          </w:p>
        </w:tc>
        <w:tc>
          <w:tcPr>
            <w:tcW w:w="0" w:type="auto"/>
            <w:shd w:val="clear" w:color="auto" w:fill="auto"/>
          </w:tcPr>
          <w:p w14:paraId="15DBB714" w14:textId="77777777" w:rsidR="008C5CFA" w:rsidRPr="00BA47B4" w:rsidRDefault="008C5CFA" w:rsidP="00300A01">
            <w:pPr>
              <w:spacing w:before="0" w:after="0"/>
              <w:jc w:val="right"/>
              <w:rPr>
                <w:sz w:val="12"/>
                <w:szCs w:val="12"/>
                <w:lang w:val="fr-BE"/>
              </w:rPr>
            </w:pPr>
          </w:p>
        </w:tc>
        <w:tc>
          <w:tcPr>
            <w:tcW w:w="0" w:type="auto"/>
            <w:shd w:val="clear" w:color="auto" w:fill="auto"/>
          </w:tcPr>
          <w:p w14:paraId="290B2B1F" w14:textId="77777777" w:rsidR="008C5CFA" w:rsidRPr="00BA47B4" w:rsidRDefault="008C5CFA" w:rsidP="00300A01">
            <w:pPr>
              <w:spacing w:before="0" w:after="0"/>
              <w:jc w:val="right"/>
              <w:rPr>
                <w:sz w:val="12"/>
                <w:szCs w:val="12"/>
                <w:lang w:val="fr-BE"/>
              </w:rPr>
            </w:pPr>
          </w:p>
        </w:tc>
        <w:tc>
          <w:tcPr>
            <w:tcW w:w="0" w:type="auto"/>
          </w:tcPr>
          <w:p w14:paraId="2C820839" w14:textId="77777777" w:rsidR="008C5CFA" w:rsidRPr="00A92B39" w:rsidRDefault="00E82A60" w:rsidP="00300A01">
            <w:pPr>
              <w:spacing w:before="0" w:after="0"/>
              <w:jc w:val="right"/>
              <w:rPr>
                <w:sz w:val="10"/>
                <w:szCs w:val="10"/>
                <w:lang w:val="fr-BE"/>
              </w:rPr>
            </w:pPr>
            <w:r w:rsidRPr="00A92B39">
              <w:rPr>
                <w:noProof/>
                <w:sz w:val="10"/>
                <w:szCs w:val="10"/>
                <w:lang w:val="fr-BE"/>
              </w:rPr>
              <w:t>199,00</w:t>
            </w:r>
          </w:p>
        </w:tc>
        <w:tc>
          <w:tcPr>
            <w:tcW w:w="0" w:type="auto"/>
            <w:shd w:val="clear" w:color="auto" w:fill="auto"/>
          </w:tcPr>
          <w:p w14:paraId="138242E2" w14:textId="77777777" w:rsidR="008C5CFA" w:rsidRPr="00A92B39" w:rsidRDefault="00E82A60" w:rsidP="00300A01">
            <w:pPr>
              <w:spacing w:before="0" w:after="0"/>
              <w:jc w:val="right"/>
              <w:rPr>
                <w:sz w:val="10"/>
                <w:szCs w:val="10"/>
                <w:lang w:val="fr-BE"/>
              </w:rPr>
            </w:pPr>
            <w:r w:rsidRPr="00A92B39">
              <w:rPr>
                <w:noProof/>
                <w:sz w:val="10"/>
                <w:szCs w:val="10"/>
                <w:lang w:val="fr-BE"/>
              </w:rPr>
              <w:t>57,00</w:t>
            </w:r>
          </w:p>
        </w:tc>
        <w:tc>
          <w:tcPr>
            <w:tcW w:w="0" w:type="auto"/>
            <w:shd w:val="clear" w:color="auto" w:fill="auto"/>
          </w:tcPr>
          <w:p w14:paraId="074C9938" w14:textId="77777777" w:rsidR="008C5CFA" w:rsidRPr="00BA47B4" w:rsidRDefault="00E82A60" w:rsidP="00300A01">
            <w:pPr>
              <w:spacing w:before="0" w:after="0"/>
              <w:jc w:val="right"/>
              <w:rPr>
                <w:sz w:val="12"/>
                <w:szCs w:val="12"/>
                <w:lang w:val="fr-BE"/>
              </w:rPr>
            </w:pPr>
            <w:r w:rsidRPr="00A92B39">
              <w:rPr>
                <w:noProof/>
                <w:sz w:val="10"/>
                <w:szCs w:val="10"/>
                <w:lang w:val="fr-BE"/>
              </w:rPr>
              <w:t>142,00</w:t>
            </w:r>
          </w:p>
        </w:tc>
      </w:tr>
      <w:tr w:rsidR="006B2EC1" w14:paraId="280302C6" w14:textId="77777777" w:rsidTr="0047688D">
        <w:tc>
          <w:tcPr>
            <w:tcW w:w="0" w:type="auto"/>
            <w:shd w:val="clear" w:color="auto" w:fill="auto"/>
          </w:tcPr>
          <w:p w14:paraId="0175B02F" w14:textId="77777777" w:rsidR="008C5CFA" w:rsidRPr="00BA47B4" w:rsidRDefault="00E82A60" w:rsidP="00300A01">
            <w:pPr>
              <w:spacing w:before="0" w:after="0"/>
              <w:rPr>
                <w:sz w:val="12"/>
                <w:szCs w:val="12"/>
                <w:lang w:val="fr-BE"/>
              </w:rPr>
            </w:pPr>
            <w:r>
              <w:rPr>
                <w:noProof/>
                <w:sz w:val="12"/>
                <w:szCs w:val="12"/>
                <w:lang w:val="fr-BE"/>
              </w:rPr>
              <w:t>CO03</w:t>
            </w:r>
          </w:p>
        </w:tc>
        <w:tc>
          <w:tcPr>
            <w:tcW w:w="0" w:type="auto"/>
            <w:shd w:val="clear" w:color="auto" w:fill="auto"/>
          </w:tcPr>
          <w:p w14:paraId="1AF49A66" w14:textId="77777777" w:rsidR="008C5CFA" w:rsidRPr="00BA47B4" w:rsidRDefault="00E82A60" w:rsidP="00300A01">
            <w:pPr>
              <w:spacing w:before="0" w:after="0"/>
              <w:rPr>
                <w:sz w:val="12"/>
                <w:szCs w:val="12"/>
                <w:lang w:val="fr-BE"/>
              </w:rPr>
            </w:pPr>
            <w:r>
              <w:rPr>
                <w:noProof/>
                <w:sz w:val="12"/>
                <w:szCs w:val="12"/>
                <w:lang w:val="fr-BE"/>
              </w:rPr>
              <w:t>osoby bierne zawodowo</w:t>
            </w:r>
          </w:p>
        </w:tc>
        <w:tc>
          <w:tcPr>
            <w:tcW w:w="0" w:type="auto"/>
            <w:shd w:val="clear" w:color="auto" w:fill="auto"/>
          </w:tcPr>
          <w:p w14:paraId="34D3EBAF" w14:textId="77777777" w:rsidR="008C5CFA" w:rsidRPr="00BA47B4" w:rsidRDefault="00E82A60"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14:paraId="4105797F" w14:textId="77777777" w:rsidR="008C5CFA" w:rsidRPr="00BA47B4" w:rsidRDefault="008C5CFA" w:rsidP="00300A01">
            <w:pPr>
              <w:spacing w:before="0" w:after="0"/>
              <w:jc w:val="right"/>
              <w:rPr>
                <w:sz w:val="12"/>
                <w:szCs w:val="12"/>
                <w:lang w:val="fr-BE"/>
              </w:rPr>
            </w:pPr>
          </w:p>
        </w:tc>
        <w:tc>
          <w:tcPr>
            <w:tcW w:w="0" w:type="auto"/>
            <w:shd w:val="clear" w:color="auto" w:fill="auto"/>
          </w:tcPr>
          <w:p w14:paraId="0A12C1F6" w14:textId="77777777" w:rsidR="008C5CFA" w:rsidRPr="00BA47B4" w:rsidRDefault="008C5CFA" w:rsidP="00300A01">
            <w:pPr>
              <w:spacing w:before="0" w:after="0"/>
              <w:jc w:val="right"/>
              <w:rPr>
                <w:sz w:val="12"/>
                <w:szCs w:val="12"/>
                <w:lang w:val="fr-BE"/>
              </w:rPr>
            </w:pPr>
          </w:p>
        </w:tc>
        <w:tc>
          <w:tcPr>
            <w:tcW w:w="0" w:type="auto"/>
            <w:shd w:val="clear" w:color="auto" w:fill="auto"/>
          </w:tcPr>
          <w:p w14:paraId="0CA7BACF" w14:textId="77777777" w:rsidR="008C5CFA" w:rsidRPr="00BA47B4" w:rsidRDefault="008C5CFA" w:rsidP="00300A01">
            <w:pPr>
              <w:spacing w:before="0" w:after="0"/>
              <w:jc w:val="right"/>
              <w:rPr>
                <w:sz w:val="12"/>
                <w:szCs w:val="12"/>
                <w:lang w:val="fr-BE"/>
              </w:rPr>
            </w:pPr>
          </w:p>
        </w:tc>
        <w:tc>
          <w:tcPr>
            <w:tcW w:w="0" w:type="auto"/>
            <w:shd w:val="clear" w:color="auto" w:fill="auto"/>
          </w:tcPr>
          <w:p w14:paraId="19B652C5" w14:textId="77777777" w:rsidR="008C5CFA" w:rsidRPr="00BA47B4" w:rsidRDefault="00E82A60" w:rsidP="00300A01">
            <w:pPr>
              <w:spacing w:before="0" w:after="0"/>
              <w:jc w:val="right"/>
              <w:rPr>
                <w:sz w:val="12"/>
                <w:szCs w:val="12"/>
                <w:lang w:val="fr-BE"/>
              </w:rPr>
            </w:pPr>
            <w:r w:rsidRPr="00BA47B4">
              <w:rPr>
                <w:noProof/>
                <w:sz w:val="12"/>
                <w:szCs w:val="12"/>
                <w:lang w:val="fr-BE"/>
              </w:rPr>
              <w:t>1 726,00</w:t>
            </w:r>
          </w:p>
        </w:tc>
        <w:tc>
          <w:tcPr>
            <w:tcW w:w="0" w:type="auto"/>
            <w:shd w:val="clear" w:color="auto" w:fill="auto"/>
          </w:tcPr>
          <w:p w14:paraId="0292128E" w14:textId="77777777" w:rsidR="008C5CFA" w:rsidRPr="00BA47B4" w:rsidRDefault="00E82A60" w:rsidP="00300A01">
            <w:pPr>
              <w:spacing w:before="0" w:after="0"/>
              <w:jc w:val="right"/>
              <w:rPr>
                <w:sz w:val="12"/>
                <w:szCs w:val="12"/>
                <w:lang w:val="fr-BE"/>
              </w:rPr>
            </w:pPr>
            <w:r w:rsidRPr="00BA47B4">
              <w:rPr>
                <w:noProof/>
                <w:sz w:val="12"/>
                <w:szCs w:val="12"/>
                <w:lang w:val="fr-BE"/>
              </w:rPr>
              <w:t>616,00</w:t>
            </w:r>
          </w:p>
        </w:tc>
        <w:tc>
          <w:tcPr>
            <w:tcW w:w="0" w:type="auto"/>
            <w:shd w:val="clear" w:color="auto" w:fill="auto"/>
          </w:tcPr>
          <w:p w14:paraId="38DE93E6" w14:textId="77777777" w:rsidR="008C5CFA" w:rsidRPr="00BA47B4" w:rsidRDefault="00E82A60" w:rsidP="00300A01">
            <w:pPr>
              <w:spacing w:before="0" w:after="0"/>
              <w:jc w:val="right"/>
              <w:rPr>
                <w:sz w:val="12"/>
                <w:szCs w:val="12"/>
                <w:lang w:val="fr-BE"/>
              </w:rPr>
            </w:pPr>
            <w:r w:rsidRPr="00BA47B4">
              <w:rPr>
                <w:noProof/>
                <w:sz w:val="12"/>
                <w:szCs w:val="12"/>
                <w:lang w:val="fr-BE"/>
              </w:rPr>
              <w:t>1 110,00</w:t>
            </w:r>
          </w:p>
        </w:tc>
        <w:tc>
          <w:tcPr>
            <w:tcW w:w="0" w:type="auto"/>
            <w:shd w:val="clear" w:color="auto" w:fill="auto"/>
          </w:tcPr>
          <w:p w14:paraId="4DDCAEE1" w14:textId="77777777" w:rsidR="008C5CFA" w:rsidRPr="00BA47B4" w:rsidRDefault="008C5CFA" w:rsidP="00300A01">
            <w:pPr>
              <w:spacing w:before="0" w:after="0"/>
              <w:jc w:val="right"/>
              <w:rPr>
                <w:sz w:val="12"/>
                <w:szCs w:val="12"/>
                <w:lang w:val="fr-BE"/>
              </w:rPr>
            </w:pPr>
          </w:p>
        </w:tc>
        <w:tc>
          <w:tcPr>
            <w:tcW w:w="0" w:type="auto"/>
            <w:shd w:val="clear" w:color="auto" w:fill="auto"/>
          </w:tcPr>
          <w:p w14:paraId="262DD3CB" w14:textId="77777777" w:rsidR="008C5CFA" w:rsidRPr="00BA47B4" w:rsidRDefault="008C5CFA" w:rsidP="00300A01">
            <w:pPr>
              <w:spacing w:before="0" w:after="0"/>
              <w:jc w:val="right"/>
              <w:rPr>
                <w:sz w:val="12"/>
                <w:szCs w:val="12"/>
                <w:lang w:val="fr-BE"/>
              </w:rPr>
            </w:pPr>
          </w:p>
        </w:tc>
        <w:tc>
          <w:tcPr>
            <w:tcW w:w="0" w:type="auto"/>
            <w:shd w:val="clear" w:color="auto" w:fill="auto"/>
          </w:tcPr>
          <w:p w14:paraId="4722D55B" w14:textId="77777777" w:rsidR="008C5CFA" w:rsidRPr="00BA47B4" w:rsidRDefault="008C5CFA" w:rsidP="00300A01">
            <w:pPr>
              <w:spacing w:before="0" w:after="0"/>
              <w:jc w:val="right"/>
              <w:rPr>
                <w:sz w:val="12"/>
                <w:szCs w:val="12"/>
                <w:lang w:val="fr-BE"/>
              </w:rPr>
            </w:pPr>
          </w:p>
        </w:tc>
        <w:tc>
          <w:tcPr>
            <w:tcW w:w="0" w:type="auto"/>
          </w:tcPr>
          <w:p w14:paraId="1E5FF042" w14:textId="77777777" w:rsidR="008C5CFA" w:rsidRPr="00A92B39" w:rsidRDefault="00E82A60" w:rsidP="00300A01">
            <w:pPr>
              <w:spacing w:before="0" w:after="0"/>
              <w:jc w:val="right"/>
              <w:rPr>
                <w:sz w:val="10"/>
                <w:szCs w:val="10"/>
                <w:lang w:val="fr-BE"/>
              </w:rPr>
            </w:pPr>
            <w:r w:rsidRPr="00A92B39">
              <w:rPr>
                <w:noProof/>
                <w:sz w:val="10"/>
                <w:szCs w:val="10"/>
                <w:lang w:val="fr-BE"/>
              </w:rPr>
              <w:t>431,00</w:t>
            </w:r>
          </w:p>
        </w:tc>
        <w:tc>
          <w:tcPr>
            <w:tcW w:w="0" w:type="auto"/>
            <w:shd w:val="clear" w:color="auto" w:fill="auto"/>
          </w:tcPr>
          <w:p w14:paraId="6190D28A" w14:textId="77777777" w:rsidR="008C5CFA" w:rsidRPr="00A92B39" w:rsidRDefault="00E82A60" w:rsidP="00300A01">
            <w:pPr>
              <w:spacing w:before="0" w:after="0"/>
              <w:jc w:val="right"/>
              <w:rPr>
                <w:sz w:val="10"/>
                <w:szCs w:val="10"/>
                <w:lang w:val="fr-BE"/>
              </w:rPr>
            </w:pPr>
            <w:r w:rsidRPr="00A92B39">
              <w:rPr>
                <w:noProof/>
                <w:sz w:val="10"/>
                <w:szCs w:val="10"/>
                <w:lang w:val="fr-BE"/>
              </w:rPr>
              <w:t>138,00</w:t>
            </w:r>
          </w:p>
        </w:tc>
        <w:tc>
          <w:tcPr>
            <w:tcW w:w="0" w:type="auto"/>
            <w:shd w:val="clear" w:color="auto" w:fill="auto"/>
          </w:tcPr>
          <w:p w14:paraId="0BE9EBAD" w14:textId="77777777" w:rsidR="008C5CFA" w:rsidRPr="00BA47B4" w:rsidRDefault="00E82A60" w:rsidP="00300A01">
            <w:pPr>
              <w:spacing w:before="0" w:after="0"/>
              <w:jc w:val="right"/>
              <w:rPr>
                <w:sz w:val="12"/>
                <w:szCs w:val="12"/>
                <w:lang w:val="fr-BE"/>
              </w:rPr>
            </w:pPr>
            <w:r w:rsidRPr="00A92B39">
              <w:rPr>
                <w:noProof/>
                <w:sz w:val="10"/>
                <w:szCs w:val="10"/>
                <w:lang w:val="fr-BE"/>
              </w:rPr>
              <w:t>293,00</w:t>
            </w:r>
          </w:p>
        </w:tc>
      </w:tr>
      <w:tr w:rsidR="006B2EC1" w14:paraId="576E1791" w14:textId="77777777" w:rsidTr="0047688D">
        <w:tc>
          <w:tcPr>
            <w:tcW w:w="0" w:type="auto"/>
            <w:shd w:val="clear" w:color="auto" w:fill="auto"/>
          </w:tcPr>
          <w:p w14:paraId="168E1EE1" w14:textId="77777777" w:rsidR="008C5CFA" w:rsidRPr="00BA47B4" w:rsidRDefault="00E82A60" w:rsidP="00300A01">
            <w:pPr>
              <w:spacing w:before="0" w:after="0"/>
              <w:rPr>
                <w:sz w:val="12"/>
                <w:szCs w:val="12"/>
                <w:lang w:val="fr-BE"/>
              </w:rPr>
            </w:pPr>
            <w:r>
              <w:rPr>
                <w:noProof/>
                <w:sz w:val="12"/>
                <w:szCs w:val="12"/>
                <w:lang w:val="fr-BE"/>
              </w:rPr>
              <w:t>CO04</w:t>
            </w:r>
          </w:p>
        </w:tc>
        <w:tc>
          <w:tcPr>
            <w:tcW w:w="0" w:type="auto"/>
            <w:shd w:val="clear" w:color="auto" w:fill="auto"/>
          </w:tcPr>
          <w:p w14:paraId="65435303" w14:textId="77777777" w:rsidR="008C5CFA" w:rsidRPr="00BA47B4" w:rsidRDefault="00E82A60" w:rsidP="00300A01">
            <w:pPr>
              <w:spacing w:before="0" w:after="0"/>
              <w:rPr>
                <w:sz w:val="12"/>
                <w:szCs w:val="12"/>
                <w:lang w:val="fr-BE"/>
              </w:rPr>
            </w:pPr>
            <w:r>
              <w:rPr>
                <w:noProof/>
                <w:sz w:val="12"/>
                <w:szCs w:val="12"/>
                <w:lang w:val="fr-BE"/>
              </w:rPr>
              <w:t>osoby bierne zawodowo, nieuczestniczące w kształceniu ani szkoleniu</w:t>
            </w:r>
          </w:p>
        </w:tc>
        <w:tc>
          <w:tcPr>
            <w:tcW w:w="0" w:type="auto"/>
            <w:shd w:val="clear" w:color="auto" w:fill="auto"/>
          </w:tcPr>
          <w:p w14:paraId="62D4798C" w14:textId="77777777" w:rsidR="008C5CFA" w:rsidRPr="00BA47B4" w:rsidRDefault="00E82A60"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14:paraId="0C47D970" w14:textId="77777777" w:rsidR="008C5CFA" w:rsidRPr="00BA47B4" w:rsidRDefault="008C5CFA" w:rsidP="00300A01">
            <w:pPr>
              <w:spacing w:before="0" w:after="0"/>
              <w:jc w:val="right"/>
              <w:rPr>
                <w:sz w:val="12"/>
                <w:szCs w:val="12"/>
                <w:lang w:val="fr-BE"/>
              </w:rPr>
            </w:pPr>
          </w:p>
        </w:tc>
        <w:tc>
          <w:tcPr>
            <w:tcW w:w="0" w:type="auto"/>
            <w:shd w:val="clear" w:color="auto" w:fill="auto"/>
          </w:tcPr>
          <w:p w14:paraId="3B6D4E8B" w14:textId="77777777" w:rsidR="008C5CFA" w:rsidRPr="00BA47B4" w:rsidRDefault="008C5CFA" w:rsidP="00300A01">
            <w:pPr>
              <w:spacing w:before="0" w:after="0"/>
              <w:jc w:val="right"/>
              <w:rPr>
                <w:sz w:val="12"/>
                <w:szCs w:val="12"/>
                <w:lang w:val="fr-BE"/>
              </w:rPr>
            </w:pPr>
          </w:p>
        </w:tc>
        <w:tc>
          <w:tcPr>
            <w:tcW w:w="0" w:type="auto"/>
            <w:shd w:val="clear" w:color="auto" w:fill="auto"/>
          </w:tcPr>
          <w:p w14:paraId="6B6AEE74" w14:textId="77777777" w:rsidR="008C5CFA" w:rsidRPr="00BA47B4" w:rsidRDefault="008C5CFA" w:rsidP="00300A01">
            <w:pPr>
              <w:spacing w:before="0" w:after="0"/>
              <w:jc w:val="right"/>
              <w:rPr>
                <w:sz w:val="12"/>
                <w:szCs w:val="12"/>
                <w:lang w:val="fr-BE"/>
              </w:rPr>
            </w:pPr>
          </w:p>
        </w:tc>
        <w:tc>
          <w:tcPr>
            <w:tcW w:w="0" w:type="auto"/>
            <w:shd w:val="clear" w:color="auto" w:fill="auto"/>
          </w:tcPr>
          <w:p w14:paraId="004ACEAE" w14:textId="77777777" w:rsidR="008C5CFA" w:rsidRPr="00BA47B4" w:rsidRDefault="00E82A60" w:rsidP="00300A01">
            <w:pPr>
              <w:spacing w:before="0" w:after="0"/>
              <w:jc w:val="right"/>
              <w:rPr>
                <w:sz w:val="12"/>
                <w:szCs w:val="12"/>
                <w:lang w:val="fr-BE"/>
              </w:rPr>
            </w:pPr>
            <w:r w:rsidRPr="00BA47B4">
              <w:rPr>
                <w:noProof/>
                <w:sz w:val="12"/>
                <w:szCs w:val="12"/>
                <w:lang w:val="fr-BE"/>
              </w:rPr>
              <w:t>616,00</w:t>
            </w:r>
          </w:p>
        </w:tc>
        <w:tc>
          <w:tcPr>
            <w:tcW w:w="0" w:type="auto"/>
            <w:shd w:val="clear" w:color="auto" w:fill="auto"/>
          </w:tcPr>
          <w:p w14:paraId="50E7AA79" w14:textId="77777777" w:rsidR="008C5CFA" w:rsidRPr="00BA47B4" w:rsidRDefault="00E82A60" w:rsidP="00300A01">
            <w:pPr>
              <w:spacing w:before="0" w:after="0"/>
              <w:jc w:val="right"/>
              <w:rPr>
                <w:sz w:val="12"/>
                <w:szCs w:val="12"/>
                <w:lang w:val="fr-BE"/>
              </w:rPr>
            </w:pPr>
            <w:r w:rsidRPr="00BA47B4">
              <w:rPr>
                <w:noProof/>
                <w:sz w:val="12"/>
                <w:szCs w:val="12"/>
                <w:lang w:val="fr-BE"/>
              </w:rPr>
              <w:t>191,00</w:t>
            </w:r>
          </w:p>
        </w:tc>
        <w:tc>
          <w:tcPr>
            <w:tcW w:w="0" w:type="auto"/>
            <w:shd w:val="clear" w:color="auto" w:fill="auto"/>
          </w:tcPr>
          <w:p w14:paraId="6283C5D0" w14:textId="77777777" w:rsidR="008C5CFA" w:rsidRPr="00BA47B4" w:rsidRDefault="00E82A60" w:rsidP="00300A01">
            <w:pPr>
              <w:spacing w:before="0" w:after="0"/>
              <w:jc w:val="right"/>
              <w:rPr>
                <w:sz w:val="12"/>
                <w:szCs w:val="12"/>
                <w:lang w:val="fr-BE"/>
              </w:rPr>
            </w:pPr>
            <w:r w:rsidRPr="00BA47B4">
              <w:rPr>
                <w:noProof/>
                <w:sz w:val="12"/>
                <w:szCs w:val="12"/>
                <w:lang w:val="fr-BE"/>
              </w:rPr>
              <w:t>425,00</w:t>
            </w:r>
          </w:p>
        </w:tc>
        <w:tc>
          <w:tcPr>
            <w:tcW w:w="0" w:type="auto"/>
            <w:shd w:val="clear" w:color="auto" w:fill="auto"/>
          </w:tcPr>
          <w:p w14:paraId="7448AD54" w14:textId="77777777" w:rsidR="008C5CFA" w:rsidRPr="00BA47B4" w:rsidRDefault="008C5CFA" w:rsidP="00300A01">
            <w:pPr>
              <w:spacing w:before="0" w:after="0"/>
              <w:jc w:val="right"/>
              <w:rPr>
                <w:sz w:val="12"/>
                <w:szCs w:val="12"/>
                <w:lang w:val="fr-BE"/>
              </w:rPr>
            </w:pPr>
          </w:p>
        </w:tc>
        <w:tc>
          <w:tcPr>
            <w:tcW w:w="0" w:type="auto"/>
            <w:shd w:val="clear" w:color="auto" w:fill="auto"/>
          </w:tcPr>
          <w:p w14:paraId="232E5785" w14:textId="77777777" w:rsidR="008C5CFA" w:rsidRPr="00BA47B4" w:rsidRDefault="008C5CFA" w:rsidP="00300A01">
            <w:pPr>
              <w:spacing w:before="0" w:after="0"/>
              <w:jc w:val="right"/>
              <w:rPr>
                <w:sz w:val="12"/>
                <w:szCs w:val="12"/>
                <w:lang w:val="fr-BE"/>
              </w:rPr>
            </w:pPr>
          </w:p>
        </w:tc>
        <w:tc>
          <w:tcPr>
            <w:tcW w:w="0" w:type="auto"/>
            <w:shd w:val="clear" w:color="auto" w:fill="auto"/>
          </w:tcPr>
          <w:p w14:paraId="43E0414A" w14:textId="77777777" w:rsidR="008C5CFA" w:rsidRPr="00BA47B4" w:rsidRDefault="008C5CFA" w:rsidP="00300A01">
            <w:pPr>
              <w:spacing w:before="0" w:after="0"/>
              <w:jc w:val="right"/>
              <w:rPr>
                <w:sz w:val="12"/>
                <w:szCs w:val="12"/>
                <w:lang w:val="fr-BE"/>
              </w:rPr>
            </w:pPr>
          </w:p>
        </w:tc>
        <w:tc>
          <w:tcPr>
            <w:tcW w:w="0" w:type="auto"/>
          </w:tcPr>
          <w:p w14:paraId="0D3581A9" w14:textId="77777777" w:rsidR="008C5CFA" w:rsidRPr="00A92B39" w:rsidRDefault="00E82A60" w:rsidP="00300A01">
            <w:pPr>
              <w:spacing w:before="0" w:after="0"/>
              <w:jc w:val="right"/>
              <w:rPr>
                <w:sz w:val="10"/>
                <w:szCs w:val="10"/>
                <w:lang w:val="fr-BE"/>
              </w:rPr>
            </w:pPr>
            <w:r w:rsidRPr="00A92B39">
              <w:rPr>
                <w:noProof/>
                <w:sz w:val="10"/>
                <w:szCs w:val="10"/>
                <w:lang w:val="fr-BE"/>
              </w:rPr>
              <w:t>195,00</w:t>
            </w:r>
          </w:p>
        </w:tc>
        <w:tc>
          <w:tcPr>
            <w:tcW w:w="0" w:type="auto"/>
            <w:shd w:val="clear" w:color="auto" w:fill="auto"/>
          </w:tcPr>
          <w:p w14:paraId="58BBF8B3" w14:textId="77777777" w:rsidR="008C5CFA" w:rsidRPr="00A92B39" w:rsidRDefault="00E82A60" w:rsidP="00300A01">
            <w:pPr>
              <w:spacing w:before="0" w:after="0"/>
              <w:jc w:val="right"/>
              <w:rPr>
                <w:sz w:val="10"/>
                <w:szCs w:val="10"/>
                <w:lang w:val="fr-BE"/>
              </w:rPr>
            </w:pPr>
            <w:r w:rsidRPr="00A92B39">
              <w:rPr>
                <w:noProof/>
                <w:sz w:val="10"/>
                <w:szCs w:val="10"/>
                <w:lang w:val="fr-BE"/>
              </w:rPr>
              <w:t>59,00</w:t>
            </w:r>
          </w:p>
        </w:tc>
        <w:tc>
          <w:tcPr>
            <w:tcW w:w="0" w:type="auto"/>
            <w:shd w:val="clear" w:color="auto" w:fill="auto"/>
          </w:tcPr>
          <w:p w14:paraId="3E40CFBB" w14:textId="77777777" w:rsidR="008C5CFA" w:rsidRPr="00BA47B4" w:rsidRDefault="00E82A60" w:rsidP="00300A01">
            <w:pPr>
              <w:spacing w:before="0" w:after="0"/>
              <w:jc w:val="right"/>
              <w:rPr>
                <w:sz w:val="12"/>
                <w:szCs w:val="12"/>
                <w:lang w:val="fr-BE"/>
              </w:rPr>
            </w:pPr>
            <w:r w:rsidRPr="00A92B39">
              <w:rPr>
                <w:noProof/>
                <w:sz w:val="10"/>
                <w:szCs w:val="10"/>
                <w:lang w:val="fr-BE"/>
              </w:rPr>
              <w:t>136,00</w:t>
            </w:r>
          </w:p>
        </w:tc>
      </w:tr>
      <w:tr w:rsidR="006B2EC1" w14:paraId="709C01D7" w14:textId="77777777" w:rsidTr="0047688D">
        <w:tc>
          <w:tcPr>
            <w:tcW w:w="0" w:type="auto"/>
            <w:shd w:val="clear" w:color="auto" w:fill="auto"/>
          </w:tcPr>
          <w:p w14:paraId="358AFF53" w14:textId="77777777" w:rsidR="008C5CFA" w:rsidRPr="00BA47B4" w:rsidRDefault="00E82A60" w:rsidP="00300A01">
            <w:pPr>
              <w:spacing w:before="0" w:after="0"/>
              <w:rPr>
                <w:sz w:val="12"/>
                <w:szCs w:val="12"/>
                <w:lang w:val="fr-BE"/>
              </w:rPr>
            </w:pPr>
            <w:r>
              <w:rPr>
                <w:noProof/>
                <w:sz w:val="12"/>
                <w:szCs w:val="12"/>
                <w:lang w:val="fr-BE"/>
              </w:rPr>
              <w:t>CO05</w:t>
            </w:r>
          </w:p>
        </w:tc>
        <w:tc>
          <w:tcPr>
            <w:tcW w:w="0" w:type="auto"/>
            <w:shd w:val="clear" w:color="auto" w:fill="auto"/>
          </w:tcPr>
          <w:p w14:paraId="3071F157" w14:textId="77777777" w:rsidR="008C5CFA" w:rsidRPr="00BA47B4" w:rsidRDefault="00E82A60" w:rsidP="00300A01">
            <w:pPr>
              <w:spacing w:before="0" w:after="0"/>
              <w:rPr>
                <w:sz w:val="12"/>
                <w:szCs w:val="12"/>
                <w:lang w:val="fr-BE"/>
              </w:rPr>
            </w:pPr>
            <w:r>
              <w:rPr>
                <w:noProof/>
                <w:sz w:val="12"/>
                <w:szCs w:val="12"/>
                <w:lang w:val="fr-BE"/>
              </w:rPr>
              <w:t>osoby pracujące, łącznie z prowadzącymi działalność na własny rachunek</w:t>
            </w:r>
          </w:p>
        </w:tc>
        <w:tc>
          <w:tcPr>
            <w:tcW w:w="0" w:type="auto"/>
            <w:shd w:val="clear" w:color="auto" w:fill="auto"/>
          </w:tcPr>
          <w:p w14:paraId="1E445672" w14:textId="77777777" w:rsidR="008C5CFA" w:rsidRPr="00BA47B4" w:rsidRDefault="00E82A60"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14:paraId="3EB523F6" w14:textId="77777777" w:rsidR="008C5CFA" w:rsidRPr="00BA47B4" w:rsidRDefault="008C5CFA" w:rsidP="00300A01">
            <w:pPr>
              <w:spacing w:before="0" w:after="0"/>
              <w:jc w:val="right"/>
              <w:rPr>
                <w:sz w:val="12"/>
                <w:szCs w:val="12"/>
                <w:lang w:val="fr-BE"/>
              </w:rPr>
            </w:pPr>
          </w:p>
        </w:tc>
        <w:tc>
          <w:tcPr>
            <w:tcW w:w="0" w:type="auto"/>
            <w:shd w:val="clear" w:color="auto" w:fill="auto"/>
          </w:tcPr>
          <w:p w14:paraId="46317852" w14:textId="77777777" w:rsidR="008C5CFA" w:rsidRPr="00BA47B4" w:rsidRDefault="008C5CFA" w:rsidP="00300A01">
            <w:pPr>
              <w:spacing w:before="0" w:after="0"/>
              <w:jc w:val="right"/>
              <w:rPr>
                <w:sz w:val="12"/>
                <w:szCs w:val="12"/>
                <w:lang w:val="fr-BE"/>
              </w:rPr>
            </w:pPr>
          </w:p>
        </w:tc>
        <w:tc>
          <w:tcPr>
            <w:tcW w:w="0" w:type="auto"/>
            <w:shd w:val="clear" w:color="auto" w:fill="auto"/>
          </w:tcPr>
          <w:p w14:paraId="72E1C777" w14:textId="77777777" w:rsidR="008C5CFA" w:rsidRPr="00BA47B4" w:rsidRDefault="008C5CFA" w:rsidP="00300A01">
            <w:pPr>
              <w:spacing w:before="0" w:after="0"/>
              <w:jc w:val="right"/>
              <w:rPr>
                <w:sz w:val="12"/>
                <w:szCs w:val="12"/>
                <w:lang w:val="fr-BE"/>
              </w:rPr>
            </w:pPr>
          </w:p>
        </w:tc>
        <w:tc>
          <w:tcPr>
            <w:tcW w:w="0" w:type="auto"/>
            <w:shd w:val="clear" w:color="auto" w:fill="auto"/>
          </w:tcPr>
          <w:p w14:paraId="5AAE0CBA" w14:textId="77777777" w:rsidR="008C5CFA" w:rsidRPr="00BA47B4" w:rsidRDefault="00E82A60" w:rsidP="00300A01">
            <w:pPr>
              <w:spacing w:before="0" w:after="0"/>
              <w:jc w:val="right"/>
              <w:rPr>
                <w:sz w:val="12"/>
                <w:szCs w:val="12"/>
                <w:lang w:val="fr-BE"/>
              </w:rPr>
            </w:pPr>
            <w:r w:rsidRPr="00BA47B4">
              <w:rPr>
                <w:noProof/>
                <w:sz w:val="12"/>
                <w:szCs w:val="12"/>
                <w:lang w:val="fr-BE"/>
              </w:rPr>
              <w:t>103,00</w:t>
            </w:r>
          </w:p>
        </w:tc>
        <w:tc>
          <w:tcPr>
            <w:tcW w:w="0" w:type="auto"/>
            <w:shd w:val="clear" w:color="auto" w:fill="auto"/>
          </w:tcPr>
          <w:p w14:paraId="622B1602" w14:textId="77777777" w:rsidR="008C5CFA" w:rsidRPr="00BA47B4" w:rsidRDefault="00E82A60" w:rsidP="00300A01">
            <w:pPr>
              <w:spacing w:before="0" w:after="0"/>
              <w:jc w:val="right"/>
              <w:rPr>
                <w:sz w:val="12"/>
                <w:szCs w:val="12"/>
                <w:lang w:val="fr-BE"/>
              </w:rPr>
            </w:pPr>
            <w:r w:rsidRPr="00BA47B4">
              <w:rPr>
                <w:noProof/>
                <w:sz w:val="12"/>
                <w:szCs w:val="12"/>
                <w:lang w:val="fr-BE"/>
              </w:rPr>
              <w:t>40,00</w:t>
            </w:r>
          </w:p>
        </w:tc>
        <w:tc>
          <w:tcPr>
            <w:tcW w:w="0" w:type="auto"/>
            <w:shd w:val="clear" w:color="auto" w:fill="auto"/>
          </w:tcPr>
          <w:p w14:paraId="29F82DC9" w14:textId="77777777" w:rsidR="008C5CFA" w:rsidRPr="00BA47B4" w:rsidRDefault="00E82A60" w:rsidP="00300A01">
            <w:pPr>
              <w:spacing w:before="0" w:after="0"/>
              <w:jc w:val="right"/>
              <w:rPr>
                <w:sz w:val="12"/>
                <w:szCs w:val="12"/>
                <w:lang w:val="fr-BE"/>
              </w:rPr>
            </w:pPr>
            <w:r w:rsidRPr="00BA47B4">
              <w:rPr>
                <w:noProof/>
                <w:sz w:val="12"/>
                <w:szCs w:val="12"/>
                <w:lang w:val="fr-BE"/>
              </w:rPr>
              <w:t>63,00</w:t>
            </w:r>
          </w:p>
        </w:tc>
        <w:tc>
          <w:tcPr>
            <w:tcW w:w="0" w:type="auto"/>
            <w:shd w:val="clear" w:color="auto" w:fill="auto"/>
          </w:tcPr>
          <w:p w14:paraId="31013071" w14:textId="77777777" w:rsidR="008C5CFA" w:rsidRPr="00BA47B4" w:rsidRDefault="008C5CFA" w:rsidP="00300A01">
            <w:pPr>
              <w:spacing w:before="0" w:after="0"/>
              <w:jc w:val="right"/>
              <w:rPr>
                <w:sz w:val="12"/>
                <w:szCs w:val="12"/>
                <w:lang w:val="fr-BE"/>
              </w:rPr>
            </w:pPr>
          </w:p>
        </w:tc>
        <w:tc>
          <w:tcPr>
            <w:tcW w:w="0" w:type="auto"/>
            <w:shd w:val="clear" w:color="auto" w:fill="auto"/>
          </w:tcPr>
          <w:p w14:paraId="15AC3047" w14:textId="77777777" w:rsidR="008C5CFA" w:rsidRPr="00BA47B4" w:rsidRDefault="008C5CFA" w:rsidP="00300A01">
            <w:pPr>
              <w:spacing w:before="0" w:after="0"/>
              <w:jc w:val="right"/>
              <w:rPr>
                <w:sz w:val="12"/>
                <w:szCs w:val="12"/>
                <w:lang w:val="fr-BE"/>
              </w:rPr>
            </w:pPr>
          </w:p>
        </w:tc>
        <w:tc>
          <w:tcPr>
            <w:tcW w:w="0" w:type="auto"/>
            <w:shd w:val="clear" w:color="auto" w:fill="auto"/>
          </w:tcPr>
          <w:p w14:paraId="09C4C360" w14:textId="77777777" w:rsidR="008C5CFA" w:rsidRPr="00BA47B4" w:rsidRDefault="008C5CFA" w:rsidP="00300A01">
            <w:pPr>
              <w:spacing w:before="0" w:after="0"/>
              <w:jc w:val="right"/>
              <w:rPr>
                <w:sz w:val="12"/>
                <w:szCs w:val="12"/>
                <w:lang w:val="fr-BE"/>
              </w:rPr>
            </w:pPr>
          </w:p>
        </w:tc>
        <w:tc>
          <w:tcPr>
            <w:tcW w:w="0" w:type="auto"/>
          </w:tcPr>
          <w:p w14:paraId="5C87FA76" w14:textId="77777777" w:rsidR="008C5CFA" w:rsidRPr="00A92B39" w:rsidRDefault="00E82A60" w:rsidP="00300A01">
            <w:pPr>
              <w:spacing w:before="0" w:after="0"/>
              <w:jc w:val="right"/>
              <w:rPr>
                <w:sz w:val="10"/>
                <w:szCs w:val="10"/>
                <w:lang w:val="fr-BE"/>
              </w:rPr>
            </w:pPr>
            <w:r w:rsidRPr="00A92B39">
              <w:rPr>
                <w:noProof/>
                <w:sz w:val="10"/>
                <w:szCs w:val="10"/>
                <w:lang w:val="fr-BE"/>
              </w:rPr>
              <w:t>60,00</w:t>
            </w:r>
          </w:p>
        </w:tc>
        <w:tc>
          <w:tcPr>
            <w:tcW w:w="0" w:type="auto"/>
            <w:shd w:val="clear" w:color="auto" w:fill="auto"/>
          </w:tcPr>
          <w:p w14:paraId="67A070BC" w14:textId="77777777" w:rsidR="008C5CFA" w:rsidRPr="00A92B39" w:rsidRDefault="00E82A60" w:rsidP="00300A01">
            <w:pPr>
              <w:spacing w:before="0" w:after="0"/>
              <w:jc w:val="right"/>
              <w:rPr>
                <w:sz w:val="10"/>
                <w:szCs w:val="10"/>
                <w:lang w:val="fr-BE"/>
              </w:rPr>
            </w:pPr>
            <w:r w:rsidRPr="00A92B39">
              <w:rPr>
                <w:noProof/>
                <w:sz w:val="10"/>
                <w:szCs w:val="10"/>
                <w:lang w:val="fr-BE"/>
              </w:rPr>
              <w:t>28,00</w:t>
            </w:r>
          </w:p>
        </w:tc>
        <w:tc>
          <w:tcPr>
            <w:tcW w:w="0" w:type="auto"/>
            <w:shd w:val="clear" w:color="auto" w:fill="auto"/>
          </w:tcPr>
          <w:p w14:paraId="1111BD68" w14:textId="77777777" w:rsidR="008C5CFA" w:rsidRPr="00BA47B4" w:rsidRDefault="00E82A60" w:rsidP="00300A01">
            <w:pPr>
              <w:spacing w:before="0" w:after="0"/>
              <w:jc w:val="right"/>
              <w:rPr>
                <w:sz w:val="12"/>
                <w:szCs w:val="12"/>
                <w:lang w:val="fr-BE"/>
              </w:rPr>
            </w:pPr>
            <w:r w:rsidRPr="00A92B39">
              <w:rPr>
                <w:noProof/>
                <w:sz w:val="10"/>
                <w:szCs w:val="10"/>
                <w:lang w:val="fr-BE"/>
              </w:rPr>
              <w:t>32,00</w:t>
            </w:r>
          </w:p>
        </w:tc>
      </w:tr>
      <w:tr w:rsidR="006B2EC1" w14:paraId="5DC0F0BF" w14:textId="77777777" w:rsidTr="0047688D">
        <w:tc>
          <w:tcPr>
            <w:tcW w:w="0" w:type="auto"/>
            <w:shd w:val="clear" w:color="auto" w:fill="auto"/>
          </w:tcPr>
          <w:p w14:paraId="2BFF84C0" w14:textId="77777777" w:rsidR="008C5CFA" w:rsidRPr="00BA47B4" w:rsidRDefault="00E82A60" w:rsidP="00300A01">
            <w:pPr>
              <w:spacing w:before="0" w:after="0"/>
              <w:rPr>
                <w:sz w:val="12"/>
                <w:szCs w:val="12"/>
                <w:lang w:val="fr-BE"/>
              </w:rPr>
            </w:pPr>
            <w:r>
              <w:rPr>
                <w:noProof/>
                <w:sz w:val="12"/>
                <w:szCs w:val="12"/>
                <w:lang w:val="fr-BE"/>
              </w:rPr>
              <w:t>CO06</w:t>
            </w:r>
          </w:p>
        </w:tc>
        <w:tc>
          <w:tcPr>
            <w:tcW w:w="0" w:type="auto"/>
            <w:shd w:val="clear" w:color="auto" w:fill="auto"/>
          </w:tcPr>
          <w:p w14:paraId="0494861B" w14:textId="77777777" w:rsidR="008C5CFA" w:rsidRPr="00BA47B4" w:rsidRDefault="00E82A60" w:rsidP="00300A01">
            <w:pPr>
              <w:spacing w:before="0" w:after="0"/>
              <w:rPr>
                <w:sz w:val="12"/>
                <w:szCs w:val="12"/>
                <w:lang w:val="fr-BE"/>
              </w:rPr>
            </w:pPr>
            <w:r>
              <w:rPr>
                <w:noProof/>
                <w:sz w:val="12"/>
                <w:szCs w:val="12"/>
                <w:lang w:val="fr-BE"/>
              </w:rPr>
              <w:t>osoby w wieku poniżej 25 lat</w:t>
            </w:r>
          </w:p>
        </w:tc>
        <w:tc>
          <w:tcPr>
            <w:tcW w:w="0" w:type="auto"/>
            <w:shd w:val="clear" w:color="auto" w:fill="auto"/>
          </w:tcPr>
          <w:p w14:paraId="50E970CE" w14:textId="77777777" w:rsidR="008C5CFA" w:rsidRPr="00BA47B4" w:rsidRDefault="00E82A60"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14:paraId="2699751D" w14:textId="77777777" w:rsidR="008C5CFA" w:rsidRPr="00BA47B4" w:rsidRDefault="008C5CFA" w:rsidP="00300A01">
            <w:pPr>
              <w:spacing w:before="0" w:after="0"/>
              <w:jc w:val="right"/>
              <w:rPr>
                <w:sz w:val="12"/>
                <w:szCs w:val="12"/>
                <w:lang w:val="fr-BE"/>
              </w:rPr>
            </w:pPr>
          </w:p>
        </w:tc>
        <w:tc>
          <w:tcPr>
            <w:tcW w:w="0" w:type="auto"/>
            <w:shd w:val="clear" w:color="auto" w:fill="auto"/>
          </w:tcPr>
          <w:p w14:paraId="682EB10D" w14:textId="77777777" w:rsidR="008C5CFA" w:rsidRPr="00BA47B4" w:rsidRDefault="008C5CFA" w:rsidP="00300A01">
            <w:pPr>
              <w:spacing w:before="0" w:after="0"/>
              <w:jc w:val="right"/>
              <w:rPr>
                <w:sz w:val="12"/>
                <w:szCs w:val="12"/>
                <w:lang w:val="fr-BE"/>
              </w:rPr>
            </w:pPr>
          </w:p>
        </w:tc>
        <w:tc>
          <w:tcPr>
            <w:tcW w:w="0" w:type="auto"/>
            <w:shd w:val="clear" w:color="auto" w:fill="auto"/>
          </w:tcPr>
          <w:p w14:paraId="624B1F8E" w14:textId="77777777" w:rsidR="008C5CFA" w:rsidRPr="00BA47B4" w:rsidRDefault="008C5CFA" w:rsidP="00300A01">
            <w:pPr>
              <w:spacing w:before="0" w:after="0"/>
              <w:jc w:val="right"/>
              <w:rPr>
                <w:sz w:val="12"/>
                <w:szCs w:val="12"/>
                <w:lang w:val="fr-BE"/>
              </w:rPr>
            </w:pPr>
          </w:p>
        </w:tc>
        <w:tc>
          <w:tcPr>
            <w:tcW w:w="0" w:type="auto"/>
            <w:shd w:val="clear" w:color="auto" w:fill="auto"/>
          </w:tcPr>
          <w:p w14:paraId="770670A3" w14:textId="77777777" w:rsidR="008C5CFA" w:rsidRPr="00BA47B4" w:rsidRDefault="00E82A60" w:rsidP="00300A01">
            <w:pPr>
              <w:spacing w:before="0" w:after="0"/>
              <w:jc w:val="right"/>
              <w:rPr>
                <w:sz w:val="12"/>
                <w:szCs w:val="12"/>
                <w:lang w:val="fr-BE"/>
              </w:rPr>
            </w:pPr>
            <w:r w:rsidRPr="00BA47B4">
              <w:rPr>
                <w:noProof/>
                <w:sz w:val="12"/>
                <w:szCs w:val="12"/>
                <w:lang w:val="fr-BE"/>
              </w:rPr>
              <w:t>685,00</w:t>
            </w:r>
          </w:p>
        </w:tc>
        <w:tc>
          <w:tcPr>
            <w:tcW w:w="0" w:type="auto"/>
            <w:shd w:val="clear" w:color="auto" w:fill="auto"/>
          </w:tcPr>
          <w:p w14:paraId="4D1C0630" w14:textId="77777777" w:rsidR="008C5CFA" w:rsidRPr="00BA47B4" w:rsidRDefault="00E82A60" w:rsidP="00300A01">
            <w:pPr>
              <w:spacing w:before="0" w:after="0"/>
              <w:jc w:val="right"/>
              <w:rPr>
                <w:sz w:val="12"/>
                <w:szCs w:val="12"/>
                <w:lang w:val="fr-BE"/>
              </w:rPr>
            </w:pPr>
            <w:r w:rsidRPr="00BA47B4">
              <w:rPr>
                <w:noProof/>
                <w:sz w:val="12"/>
                <w:szCs w:val="12"/>
                <w:lang w:val="fr-BE"/>
              </w:rPr>
              <w:t>321,00</w:t>
            </w:r>
          </w:p>
        </w:tc>
        <w:tc>
          <w:tcPr>
            <w:tcW w:w="0" w:type="auto"/>
            <w:shd w:val="clear" w:color="auto" w:fill="auto"/>
          </w:tcPr>
          <w:p w14:paraId="47264BB5" w14:textId="77777777" w:rsidR="008C5CFA" w:rsidRPr="00BA47B4" w:rsidRDefault="00E82A60" w:rsidP="00300A01">
            <w:pPr>
              <w:spacing w:before="0" w:after="0"/>
              <w:jc w:val="right"/>
              <w:rPr>
                <w:sz w:val="12"/>
                <w:szCs w:val="12"/>
                <w:lang w:val="fr-BE"/>
              </w:rPr>
            </w:pPr>
            <w:r w:rsidRPr="00BA47B4">
              <w:rPr>
                <w:noProof/>
                <w:sz w:val="12"/>
                <w:szCs w:val="12"/>
                <w:lang w:val="fr-BE"/>
              </w:rPr>
              <w:t>364,00</w:t>
            </w:r>
          </w:p>
        </w:tc>
        <w:tc>
          <w:tcPr>
            <w:tcW w:w="0" w:type="auto"/>
            <w:shd w:val="clear" w:color="auto" w:fill="auto"/>
          </w:tcPr>
          <w:p w14:paraId="23334AA7" w14:textId="77777777" w:rsidR="008C5CFA" w:rsidRPr="00BA47B4" w:rsidRDefault="008C5CFA" w:rsidP="00300A01">
            <w:pPr>
              <w:spacing w:before="0" w:after="0"/>
              <w:jc w:val="right"/>
              <w:rPr>
                <w:sz w:val="12"/>
                <w:szCs w:val="12"/>
                <w:lang w:val="fr-BE"/>
              </w:rPr>
            </w:pPr>
          </w:p>
        </w:tc>
        <w:tc>
          <w:tcPr>
            <w:tcW w:w="0" w:type="auto"/>
            <w:shd w:val="clear" w:color="auto" w:fill="auto"/>
          </w:tcPr>
          <w:p w14:paraId="01C3B1BA" w14:textId="77777777" w:rsidR="008C5CFA" w:rsidRPr="00BA47B4" w:rsidRDefault="008C5CFA" w:rsidP="00300A01">
            <w:pPr>
              <w:spacing w:before="0" w:after="0"/>
              <w:jc w:val="right"/>
              <w:rPr>
                <w:sz w:val="12"/>
                <w:szCs w:val="12"/>
                <w:lang w:val="fr-BE"/>
              </w:rPr>
            </w:pPr>
          </w:p>
        </w:tc>
        <w:tc>
          <w:tcPr>
            <w:tcW w:w="0" w:type="auto"/>
            <w:shd w:val="clear" w:color="auto" w:fill="auto"/>
          </w:tcPr>
          <w:p w14:paraId="4B85E3DE" w14:textId="77777777" w:rsidR="008C5CFA" w:rsidRPr="00BA47B4" w:rsidRDefault="008C5CFA" w:rsidP="00300A01">
            <w:pPr>
              <w:spacing w:before="0" w:after="0"/>
              <w:jc w:val="right"/>
              <w:rPr>
                <w:sz w:val="12"/>
                <w:szCs w:val="12"/>
                <w:lang w:val="fr-BE"/>
              </w:rPr>
            </w:pPr>
          </w:p>
        </w:tc>
        <w:tc>
          <w:tcPr>
            <w:tcW w:w="0" w:type="auto"/>
          </w:tcPr>
          <w:p w14:paraId="6A839770" w14:textId="77777777" w:rsidR="008C5CFA" w:rsidRPr="00A92B39" w:rsidRDefault="00E82A60" w:rsidP="00300A01">
            <w:pPr>
              <w:spacing w:before="0" w:after="0"/>
              <w:jc w:val="right"/>
              <w:rPr>
                <w:sz w:val="10"/>
                <w:szCs w:val="10"/>
                <w:lang w:val="fr-BE"/>
              </w:rPr>
            </w:pPr>
            <w:r w:rsidRPr="00A92B39">
              <w:rPr>
                <w:noProof/>
                <w:sz w:val="10"/>
                <w:szCs w:val="10"/>
                <w:lang w:val="fr-BE"/>
              </w:rPr>
              <w:t>169,00</w:t>
            </w:r>
          </w:p>
        </w:tc>
        <w:tc>
          <w:tcPr>
            <w:tcW w:w="0" w:type="auto"/>
            <w:shd w:val="clear" w:color="auto" w:fill="auto"/>
          </w:tcPr>
          <w:p w14:paraId="555581B9" w14:textId="77777777" w:rsidR="008C5CFA" w:rsidRPr="00A92B39" w:rsidRDefault="00E82A60" w:rsidP="00300A01">
            <w:pPr>
              <w:spacing w:before="0" w:after="0"/>
              <w:jc w:val="right"/>
              <w:rPr>
                <w:sz w:val="10"/>
                <w:szCs w:val="10"/>
                <w:lang w:val="fr-BE"/>
              </w:rPr>
            </w:pPr>
            <w:r w:rsidRPr="00A92B39">
              <w:rPr>
                <w:noProof/>
                <w:sz w:val="10"/>
                <w:szCs w:val="10"/>
                <w:lang w:val="fr-BE"/>
              </w:rPr>
              <w:t>81,00</w:t>
            </w:r>
          </w:p>
        </w:tc>
        <w:tc>
          <w:tcPr>
            <w:tcW w:w="0" w:type="auto"/>
            <w:shd w:val="clear" w:color="auto" w:fill="auto"/>
          </w:tcPr>
          <w:p w14:paraId="4C5E6E79" w14:textId="77777777" w:rsidR="008C5CFA" w:rsidRPr="00BA47B4" w:rsidRDefault="00E82A60" w:rsidP="00300A01">
            <w:pPr>
              <w:spacing w:before="0" w:after="0"/>
              <w:jc w:val="right"/>
              <w:rPr>
                <w:sz w:val="12"/>
                <w:szCs w:val="12"/>
                <w:lang w:val="fr-BE"/>
              </w:rPr>
            </w:pPr>
            <w:r w:rsidRPr="00A92B39">
              <w:rPr>
                <w:noProof/>
                <w:sz w:val="10"/>
                <w:szCs w:val="10"/>
                <w:lang w:val="fr-BE"/>
              </w:rPr>
              <w:t>88,00</w:t>
            </w:r>
          </w:p>
        </w:tc>
      </w:tr>
      <w:tr w:rsidR="006B2EC1" w14:paraId="55B90F10" w14:textId="77777777" w:rsidTr="0047688D">
        <w:tc>
          <w:tcPr>
            <w:tcW w:w="0" w:type="auto"/>
            <w:shd w:val="clear" w:color="auto" w:fill="auto"/>
          </w:tcPr>
          <w:p w14:paraId="4DE0B297" w14:textId="77777777" w:rsidR="008C5CFA" w:rsidRPr="00BA47B4" w:rsidRDefault="00E82A60" w:rsidP="00300A01">
            <w:pPr>
              <w:spacing w:before="0" w:after="0"/>
              <w:rPr>
                <w:sz w:val="12"/>
                <w:szCs w:val="12"/>
                <w:lang w:val="fr-BE"/>
              </w:rPr>
            </w:pPr>
            <w:r>
              <w:rPr>
                <w:noProof/>
                <w:sz w:val="12"/>
                <w:szCs w:val="12"/>
                <w:lang w:val="fr-BE"/>
              </w:rPr>
              <w:t>CO07</w:t>
            </w:r>
          </w:p>
        </w:tc>
        <w:tc>
          <w:tcPr>
            <w:tcW w:w="0" w:type="auto"/>
            <w:shd w:val="clear" w:color="auto" w:fill="auto"/>
          </w:tcPr>
          <w:p w14:paraId="40303794" w14:textId="77777777" w:rsidR="008C5CFA" w:rsidRPr="00BA47B4" w:rsidRDefault="00E82A60" w:rsidP="00300A01">
            <w:pPr>
              <w:spacing w:before="0" w:after="0"/>
              <w:rPr>
                <w:sz w:val="12"/>
                <w:szCs w:val="12"/>
                <w:lang w:val="fr-BE"/>
              </w:rPr>
            </w:pPr>
            <w:r>
              <w:rPr>
                <w:noProof/>
                <w:sz w:val="12"/>
                <w:szCs w:val="12"/>
                <w:lang w:val="fr-BE"/>
              </w:rPr>
              <w:t>osoby w wieku powyżej 54 lat</w:t>
            </w:r>
          </w:p>
        </w:tc>
        <w:tc>
          <w:tcPr>
            <w:tcW w:w="0" w:type="auto"/>
            <w:shd w:val="clear" w:color="auto" w:fill="auto"/>
          </w:tcPr>
          <w:p w14:paraId="14D0F1C0" w14:textId="77777777" w:rsidR="008C5CFA" w:rsidRPr="00BA47B4" w:rsidRDefault="00E82A60"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14:paraId="2ED70315" w14:textId="77777777" w:rsidR="008C5CFA" w:rsidRPr="00BA47B4" w:rsidRDefault="008C5CFA" w:rsidP="00300A01">
            <w:pPr>
              <w:spacing w:before="0" w:after="0"/>
              <w:jc w:val="right"/>
              <w:rPr>
                <w:sz w:val="12"/>
                <w:szCs w:val="12"/>
                <w:lang w:val="fr-BE"/>
              </w:rPr>
            </w:pPr>
          </w:p>
        </w:tc>
        <w:tc>
          <w:tcPr>
            <w:tcW w:w="0" w:type="auto"/>
            <w:shd w:val="clear" w:color="auto" w:fill="auto"/>
          </w:tcPr>
          <w:p w14:paraId="099DF62D" w14:textId="77777777" w:rsidR="008C5CFA" w:rsidRPr="00BA47B4" w:rsidRDefault="008C5CFA" w:rsidP="00300A01">
            <w:pPr>
              <w:spacing w:before="0" w:after="0"/>
              <w:jc w:val="right"/>
              <w:rPr>
                <w:sz w:val="12"/>
                <w:szCs w:val="12"/>
                <w:lang w:val="fr-BE"/>
              </w:rPr>
            </w:pPr>
          </w:p>
        </w:tc>
        <w:tc>
          <w:tcPr>
            <w:tcW w:w="0" w:type="auto"/>
            <w:shd w:val="clear" w:color="auto" w:fill="auto"/>
          </w:tcPr>
          <w:p w14:paraId="0BF9E302" w14:textId="77777777" w:rsidR="008C5CFA" w:rsidRPr="00BA47B4" w:rsidRDefault="008C5CFA" w:rsidP="00300A01">
            <w:pPr>
              <w:spacing w:before="0" w:after="0"/>
              <w:jc w:val="right"/>
              <w:rPr>
                <w:sz w:val="12"/>
                <w:szCs w:val="12"/>
                <w:lang w:val="fr-BE"/>
              </w:rPr>
            </w:pPr>
          </w:p>
        </w:tc>
        <w:tc>
          <w:tcPr>
            <w:tcW w:w="0" w:type="auto"/>
            <w:shd w:val="clear" w:color="auto" w:fill="auto"/>
          </w:tcPr>
          <w:p w14:paraId="0C868238" w14:textId="77777777" w:rsidR="008C5CFA" w:rsidRPr="00BA47B4" w:rsidRDefault="00E82A60" w:rsidP="00300A01">
            <w:pPr>
              <w:spacing w:before="0" w:after="0"/>
              <w:jc w:val="right"/>
              <w:rPr>
                <w:sz w:val="12"/>
                <w:szCs w:val="12"/>
                <w:lang w:val="fr-BE"/>
              </w:rPr>
            </w:pPr>
            <w:r w:rsidRPr="00BA47B4">
              <w:rPr>
                <w:noProof/>
                <w:sz w:val="12"/>
                <w:szCs w:val="12"/>
                <w:lang w:val="fr-BE"/>
              </w:rPr>
              <w:t>494,00</w:t>
            </w:r>
          </w:p>
        </w:tc>
        <w:tc>
          <w:tcPr>
            <w:tcW w:w="0" w:type="auto"/>
            <w:shd w:val="clear" w:color="auto" w:fill="auto"/>
          </w:tcPr>
          <w:p w14:paraId="1F3E648E" w14:textId="77777777" w:rsidR="008C5CFA" w:rsidRPr="00BA47B4" w:rsidRDefault="00E82A60" w:rsidP="00300A01">
            <w:pPr>
              <w:spacing w:before="0" w:after="0"/>
              <w:jc w:val="right"/>
              <w:rPr>
                <w:sz w:val="12"/>
                <w:szCs w:val="12"/>
                <w:lang w:val="fr-BE"/>
              </w:rPr>
            </w:pPr>
            <w:r w:rsidRPr="00BA47B4">
              <w:rPr>
                <w:noProof/>
                <w:sz w:val="12"/>
                <w:szCs w:val="12"/>
                <w:lang w:val="fr-BE"/>
              </w:rPr>
              <w:t>250,00</w:t>
            </w:r>
          </w:p>
        </w:tc>
        <w:tc>
          <w:tcPr>
            <w:tcW w:w="0" w:type="auto"/>
            <w:shd w:val="clear" w:color="auto" w:fill="auto"/>
          </w:tcPr>
          <w:p w14:paraId="37A456A1" w14:textId="77777777" w:rsidR="008C5CFA" w:rsidRPr="00BA47B4" w:rsidRDefault="00E82A60" w:rsidP="00300A01">
            <w:pPr>
              <w:spacing w:before="0" w:after="0"/>
              <w:jc w:val="right"/>
              <w:rPr>
                <w:sz w:val="12"/>
                <w:szCs w:val="12"/>
                <w:lang w:val="fr-BE"/>
              </w:rPr>
            </w:pPr>
            <w:r w:rsidRPr="00BA47B4">
              <w:rPr>
                <w:noProof/>
                <w:sz w:val="12"/>
                <w:szCs w:val="12"/>
                <w:lang w:val="fr-BE"/>
              </w:rPr>
              <w:t>244,00</w:t>
            </w:r>
          </w:p>
        </w:tc>
        <w:tc>
          <w:tcPr>
            <w:tcW w:w="0" w:type="auto"/>
            <w:shd w:val="clear" w:color="auto" w:fill="auto"/>
          </w:tcPr>
          <w:p w14:paraId="369C3D6C" w14:textId="77777777" w:rsidR="008C5CFA" w:rsidRPr="00BA47B4" w:rsidRDefault="008C5CFA" w:rsidP="00300A01">
            <w:pPr>
              <w:spacing w:before="0" w:after="0"/>
              <w:jc w:val="right"/>
              <w:rPr>
                <w:sz w:val="12"/>
                <w:szCs w:val="12"/>
                <w:lang w:val="fr-BE"/>
              </w:rPr>
            </w:pPr>
          </w:p>
        </w:tc>
        <w:tc>
          <w:tcPr>
            <w:tcW w:w="0" w:type="auto"/>
            <w:shd w:val="clear" w:color="auto" w:fill="auto"/>
          </w:tcPr>
          <w:p w14:paraId="22ED3765" w14:textId="77777777" w:rsidR="008C5CFA" w:rsidRPr="00BA47B4" w:rsidRDefault="008C5CFA" w:rsidP="00300A01">
            <w:pPr>
              <w:spacing w:before="0" w:after="0"/>
              <w:jc w:val="right"/>
              <w:rPr>
                <w:sz w:val="12"/>
                <w:szCs w:val="12"/>
                <w:lang w:val="fr-BE"/>
              </w:rPr>
            </w:pPr>
          </w:p>
        </w:tc>
        <w:tc>
          <w:tcPr>
            <w:tcW w:w="0" w:type="auto"/>
            <w:shd w:val="clear" w:color="auto" w:fill="auto"/>
          </w:tcPr>
          <w:p w14:paraId="0172EB65" w14:textId="77777777" w:rsidR="008C5CFA" w:rsidRPr="00BA47B4" w:rsidRDefault="008C5CFA" w:rsidP="00300A01">
            <w:pPr>
              <w:spacing w:before="0" w:after="0"/>
              <w:jc w:val="right"/>
              <w:rPr>
                <w:sz w:val="12"/>
                <w:szCs w:val="12"/>
                <w:lang w:val="fr-BE"/>
              </w:rPr>
            </w:pPr>
          </w:p>
        </w:tc>
        <w:tc>
          <w:tcPr>
            <w:tcW w:w="0" w:type="auto"/>
          </w:tcPr>
          <w:p w14:paraId="30BD4308" w14:textId="77777777" w:rsidR="008C5CFA" w:rsidRPr="00A92B39" w:rsidRDefault="00E82A60" w:rsidP="00300A01">
            <w:pPr>
              <w:spacing w:before="0" w:after="0"/>
              <w:jc w:val="right"/>
              <w:rPr>
                <w:sz w:val="10"/>
                <w:szCs w:val="10"/>
                <w:lang w:val="fr-BE"/>
              </w:rPr>
            </w:pPr>
            <w:r w:rsidRPr="00A92B39">
              <w:rPr>
                <w:noProof/>
                <w:sz w:val="10"/>
                <w:szCs w:val="10"/>
                <w:lang w:val="fr-BE"/>
              </w:rPr>
              <w:t>172,00</w:t>
            </w:r>
          </w:p>
        </w:tc>
        <w:tc>
          <w:tcPr>
            <w:tcW w:w="0" w:type="auto"/>
            <w:shd w:val="clear" w:color="auto" w:fill="auto"/>
          </w:tcPr>
          <w:p w14:paraId="67C14C5E" w14:textId="77777777" w:rsidR="008C5CFA" w:rsidRPr="00A92B39" w:rsidRDefault="00E82A60" w:rsidP="00300A01">
            <w:pPr>
              <w:spacing w:before="0" w:after="0"/>
              <w:jc w:val="right"/>
              <w:rPr>
                <w:sz w:val="10"/>
                <w:szCs w:val="10"/>
                <w:lang w:val="fr-BE"/>
              </w:rPr>
            </w:pPr>
            <w:r w:rsidRPr="00A92B39">
              <w:rPr>
                <w:noProof/>
                <w:sz w:val="10"/>
                <w:szCs w:val="10"/>
                <w:lang w:val="fr-BE"/>
              </w:rPr>
              <w:t>85,00</w:t>
            </w:r>
          </w:p>
        </w:tc>
        <w:tc>
          <w:tcPr>
            <w:tcW w:w="0" w:type="auto"/>
            <w:shd w:val="clear" w:color="auto" w:fill="auto"/>
          </w:tcPr>
          <w:p w14:paraId="7D9B9BE8" w14:textId="77777777" w:rsidR="008C5CFA" w:rsidRPr="00BA47B4" w:rsidRDefault="00E82A60" w:rsidP="00300A01">
            <w:pPr>
              <w:spacing w:before="0" w:after="0"/>
              <w:jc w:val="right"/>
              <w:rPr>
                <w:sz w:val="12"/>
                <w:szCs w:val="12"/>
                <w:lang w:val="fr-BE"/>
              </w:rPr>
            </w:pPr>
            <w:r w:rsidRPr="00A92B39">
              <w:rPr>
                <w:noProof/>
                <w:sz w:val="10"/>
                <w:szCs w:val="10"/>
                <w:lang w:val="fr-BE"/>
              </w:rPr>
              <w:t>87,00</w:t>
            </w:r>
          </w:p>
        </w:tc>
      </w:tr>
      <w:tr w:rsidR="006B2EC1" w14:paraId="2A692169" w14:textId="77777777" w:rsidTr="0047688D">
        <w:tc>
          <w:tcPr>
            <w:tcW w:w="0" w:type="auto"/>
            <w:shd w:val="clear" w:color="auto" w:fill="auto"/>
          </w:tcPr>
          <w:p w14:paraId="3783B55A" w14:textId="77777777" w:rsidR="008C5CFA" w:rsidRPr="00BA47B4" w:rsidRDefault="00E82A60" w:rsidP="00300A01">
            <w:pPr>
              <w:spacing w:before="0" w:after="0"/>
              <w:rPr>
                <w:sz w:val="12"/>
                <w:szCs w:val="12"/>
                <w:lang w:val="fr-BE"/>
              </w:rPr>
            </w:pPr>
            <w:r>
              <w:rPr>
                <w:noProof/>
                <w:sz w:val="12"/>
                <w:szCs w:val="12"/>
                <w:lang w:val="fr-BE"/>
              </w:rPr>
              <w:t>CO08</w:t>
            </w:r>
          </w:p>
        </w:tc>
        <w:tc>
          <w:tcPr>
            <w:tcW w:w="0" w:type="auto"/>
            <w:shd w:val="clear" w:color="auto" w:fill="auto"/>
          </w:tcPr>
          <w:p w14:paraId="52D0FDAF" w14:textId="77777777" w:rsidR="008C5CFA" w:rsidRPr="00BA47B4" w:rsidRDefault="00E82A60" w:rsidP="00300A01">
            <w:pPr>
              <w:spacing w:before="0" w:after="0"/>
              <w:rPr>
                <w:sz w:val="12"/>
                <w:szCs w:val="12"/>
                <w:lang w:val="fr-BE"/>
              </w:rPr>
            </w:pPr>
            <w:r>
              <w:rPr>
                <w:noProof/>
                <w:sz w:val="12"/>
                <w:szCs w:val="12"/>
                <w:lang w:val="fr-BE"/>
              </w:rPr>
              <w:t>osoby powyżej 54 lat, które są bezrobotne, łącznie z długotrwale bezrobotnymi, lub są bierne zawodowo i nie uczestniczą w kształceniu ani szkoleniu</w:t>
            </w:r>
          </w:p>
        </w:tc>
        <w:tc>
          <w:tcPr>
            <w:tcW w:w="0" w:type="auto"/>
            <w:shd w:val="clear" w:color="auto" w:fill="auto"/>
          </w:tcPr>
          <w:p w14:paraId="36A1010F" w14:textId="77777777" w:rsidR="008C5CFA" w:rsidRPr="00BA47B4" w:rsidRDefault="00E82A60"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14:paraId="59B27829" w14:textId="77777777" w:rsidR="008C5CFA" w:rsidRPr="00BA47B4" w:rsidRDefault="008C5CFA" w:rsidP="00300A01">
            <w:pPr>
              <w:spacing w:before="0" w:after="0"/>
              <w:jc w:val="right"/>
              <w:rPr>
                <w:sz w:val="12"/>
                <w:szCs w:val="12"/>
                <w:lang w:val="fr-BE"/>
              </w:rPr>
            </w:pPr>
          </w:p>
        </w:tc>
        <w:tc>
          <w:tcPr>
            <w:tcW w:w="0" w:type="auto"/>
            <w:shd w:val="clear" w:color="auto" w:fill="auto"/>
          </w:tcPr>
          <w:p w14:paraId="2EB8A353" w14:textId="77777777" w:rsidR="008C5CFA" w:rsidRPr="00BA47B4" w:rsidRDefault="008C5CFA" w:rsidP="00300A01">
            <w:pPr>
              <w:spacing w:before="0" w:after="0"/>
              <w:jc w:val="right"/>
              <w:rPr>
                <w:sz w:val="12"/>
                <w:szCs w:val="12"/>
                <w:lang w:val="fr-BE"/>
              </w:rPr>
            </w:pPr>
          </w:p>
        </w:tc>
        <w:tc>
          <w:tcPr>
            <w:tcW w:w="0" w:type="auto"/>
            <w:shd w:val="clear" w:color="auto" w:fill="auto"/>
          </w:tcPr>
          <w:p w14:paraId="7C5E663D" w14:textId="77777777" w:rsidR="008C5CFA" w:rsidRPr="00BA47B4" w:rsidRDefault="008C5CFA" w:rsidP="00300A01">
            <w:pPr>
              <w:spacing w:before="0" w:after="0"/>
              <w:jc w:val="right"/>
              <w:rPr>
                <w:sz w:val="12"/>
                <w:szCs w:val="12"/>
                <w:lang w:val="fr-BE"/>
              </w:rPr>
            </w:pPr>
          </w:p>
        </w:tc>
        <w:tc>
          <w:tcPr>
            <w:tcW w:w="0" w:type="auto"/>
            <w:shd w:val="clear" w:color="auto" w:fill="auto"/>
          </w:tcPr>
          <w:p w14:paraId="4C85301D" w14:textId="77777777" w:rsidR="008C5CFA" w:rsidRPr="00BA47B4" w:rsidRDefault="00E82A60" w:rsidP="00300A01">
            <w:pPr>
              <w:spacing w:before="0" w:after="0"/>
              <w:jc w:val="right"/>
              <w:rPr>
                <w:sz w:val="12"/>
                <w:szCs w:val="12"/>
                <w:lang w:val="fr-BE"/>
              </w:rPr>
            </w:pPr>
            <w:r w:rsidRPr="00BA47B4">
              <w:rPr>
                <w:noProof/>
                <w:sz w:val="12"/>
                <w:szCs w:val="12"/>
                <w:lang w:val="fr-BE"/>
              </w:rPr>
              <w:t>321,00</w:t>
            </w:r>
          </w:p>
        </w:tc>
        <w:tc>
          <w:tcPr>
            <w:tcW w:w="0" w:type="auto"/>
            <w:shd w:val="clear" w:color="auto" w:fill="auto"/>
          </w:tcPr>
          <w:p w14:paraId="2C93AF6A" w14:textId="77777777" w:rsidR="008C5CFA" w:rsidRPr="00BA47B4" w:rsidRDefault="00E82A60" w:rsidP="00300A01">
            <w:pPr>
              <w:spacing w:before="0" w:after="0"/>
              <w:jc w:val="right"/>
              <w:rPr>
                <w:sz w:val="12"/>
                <w:szCs w:val="12"/>
                <w:lang w:val="fr-BE"/>
              </w:rPr>
            </w:pPr>
            <w:r w:rsidRPr="00BA47B4">
              <w:rPr>
                <w:noProof/>
                <w:sz w:val="12"/>
                <w:szCs w:val="12"/>
                <w:lang w:val="fr-BE"/>
              </w:rPr>
              <w:t>173,00</w:t>
            </w:r>
          </w:p>
        </w:tc>
        <w:tc>
          <w:tcPr>
            <w:tcW w:w="0" w:type="auto"/>
            <w:shd w:val="clear" w:color="auto" w:fill="auto"/>
          </w:tcPr>
          <w:p w14:paraId="38BD380B" w14:textId="77777777" w:rsidR="008C5CFA" w:rsidRPr="00BA47B4" w:rsidRDefault="00E82A60" w:rsidP="00300A01">
            <w:pPr>
              <w:spacing w:before="0" w:after="0"/>
              <w:jc w:val="right"/>
              <w:rPr>
                <w:sz w:val="12"/>
                <w:szCs w:val="12"/>
                <w:lang w:val="fr-BE"/>
              </w:rPr>
            </w:pPr>
            <w:r w:rsidRPr="00BA47B4">
              <w:rPr>
                <w:noProof/>
                <w:sz w:val="12"/>
                <w:szCs w:val="12"/>
                <w:lang w:val="fr-BE"/>
              </w:rPr>
              <w:t>148,00</w:t>
            </w:r>
          </w:p>
        </w:tc>
        <w:tc>
          <w:tcPr>
            <w:tcW w:w="0" w:type="auto"/>
            <w:shd w:val="clear" w:color="auto" w:fill="auto"/>
          </w:tcPr>
          <w:p w14:paraId="4E1BE339" w14:textId="77777777" w:rsidR="008C5CFA" w:rsidRPr="00BA47B4" w:rsidRDefault="008C5CFA" w:rsidP="00300A01">
            <w:pPr>
              <w:spacing w:before="0" w:after="0"/>
              <w:jc w:val="right"/>
              <w:rPr>
                <w:sz w:val="12"/>
                <w:szCs w:val="12"/>
                <w:lang w:val="fr-BE"/>
              </w:rPr>
            </w:pPr>
          </w:p>
        </w:tc>
        <w:tc>
          <w:tcPr>
            <w:tcW w:w="0" w:type="auto"/>
            <w:shd w:val="clear" w:color="auto" w:fill="auto"/>
          </w:tcPr>
          <w:p w14:paraId="1EE8EAC2" w14:textId="77777777" w:rsidR="008C5CFA" w:rsidRPr="00BA47B4" w:rsidRDefault="008C5CFA" w:rsidP="00300A01">
            <w:pPr>
              <w:spacing w:before="0" w:after="0"/>
              <w:jc w:val="right"/>
              <w:rPr>
                <w:sz w:val="12"/>
                <w:szCs w:val="12"/>
                <w:lang w:val="fr-BE"/>
              </w:rPr>
            </w:pPr>
          </w:p>
        </w:tc>
        <w:tc>
          <w:tcPr>
            <w:tcW w:w="0" w:type="auto"/>
            <w:shd w:val="clear" w:color="auto" w:fill="auto"/>
          </w:tcPr>
          <w:p w14:paraId="6882E147" w14:textId="77777777" w:rsidR="008C5CFA" w:rsidRPr="00BA47B4" w:rsidRDefault="008C5CFA" w:rsidP="00300A01">
            <w:pPr>
              <w:spacing w:before="0" w:after="0"/>
              <w:jc w:val="right"/>
              <w:rPr>
                <w:sz w:val="12"/>
                <w:szCs w:val="12"/>
                <w:lang w:val="fr-BE"/>
              </w:rPr>
            </w:pPr>
          </w:p>
        </w:tc>
        <w:tc>
          <w:tcPr>
            <w:tcW w:w="0" w:type="auto"/>
          </w:tcPr>
          <w:p w14:paraId="0009419B" w14:textId="77777777" w:rsidR="008C5CFA" w:rsidRPr="00A92B39" w:rsidRDefault="00E82A60" w:rsidP="00300A01">
            <w:pPr>
              <w:spacing w:before="0" w:after="0"/>
              <w:jc w:val="right"/>
              <w:rPr>
                <w:sz w:val="10"/>
                <w:szCs w:val="10"/>
                <w:lang w:val="fr-BE"/>
              </w:rPr>
            </w:pPr>
            <w:r w:rsidRPr="00A92B39">
              <w:rPr>
                <w:noProof/>
                <w:sz w:val="10"/>
                <w:szCs w:val="10"/>
                <w:lang w:val="fr-BE"/>
              </w:rPr>
              <w:t>127,00</w:t>
            </w:r>
          </w:p>
        </w:tc>
        <w:tc>
          <w:tcPr>
            <w:tcW w:w="0" w:type="auto"/>
            <w:shd w:val="clear" w:color="auto" w:fill="auto"/>
          </w:tcPr>
          <w:p w14:paraId="7E267E7E" w14:textId="77777777" w:rsidR="008C5CFA" w:rsidRPr="00A92B39" w:rsidRDefault="00E82A60" w:rsidP="00300A01">
            <w:pPr>
              <w:spacing w:before="0" w:after="0"/>
              <w:jc w:val="right"/>
              <w:rPr>
                <w:sz w:val="10"/>
                <w:szCs w:val="10"/>
                <w:lang w:val="fr-BE"/>
              </w:rPr>
            </w:pPr>
            <w:r w:rsidRPr="00A92B39">
              <w:rPr>
                <w:noProof/>
                <w:sz w:val="10"/>
                <w:szCs w:val="10"/>
                <w:lang w:val="fr-BE"/>
              </w:rPr>
              <w:t>63,00</w:t>
            </w:r>
          </w:p>
        </w:tc>
        <w:tc>
          <w:tcPr>
            <w:tcW w:w="0" w:type="auto"/>
            <w:shd w:val="clear" w:color="auto" w:fill="auto"/>
          </w:tcPr>
          <w:p w14:paraId="25CFA7E7" w14:textId="77777777" w:rsidR="008C5CFA" w:rsidRPr="00BA47B4" w:rsidRDefault="00E82A60" w:rsidP="00300A01">
            <w:pPr>
              <w:spacing w:before="0" w:after="0"/>
              <w:jc w:val="right"/>
              <w:rPr>
                <w:sz w:val="12"/>
                <w:szCs w:val="12"/>
                <w:lang w:val="fr-BE"/>
              </w:rPr>
            </w:pPr>
            <w:r w:rsidRPr="00A92B39">
              <w:rPr>
                <w:noProof/>
                <w:sz w:val="10"/>
                <w:szCs w:val="10"/>
                <w:lang w:val="fr-BE"/>
              </w:rPr>
              <w:t>64,00</w:t>
            </w:r>
          </w:p>
        </w:tc>
      </w:tr>
      <w:tr w:rsidR="006B2EC1" w14:paraId="51EA337D" w14:textId="77777777" w:rsidTr="0047688D">
        <w:tc>
          <w:tcPr>
            <w:tcW w:w="0" w:type="auto"/>
            <w:shd w:val="clear" w:color="auto" w:fill="auto"/>
          </w:tcPr>
          <w:p w14:paraId="1E33807B" w14:textId="77777777" w:rsidR="008C5CFA" w:rsidRPr="00BA47B4" w:rsidRDefault="00E82A60" w:rsidP="00300A01">
            <w:pPr>
              <w:spacing w:before="0" w:after="0"/>
              <w:rPr>
                <w:sz w:val="12"/>
                <w:szCs w:val="12"/>
                <w:lang w:val="fr-BE"/>
              </w:rPr>
            </w:pPr>
            <w:r>
              <w:rPr>
                <w:noProof/>
                <w:sz w:val="12"/>
                <w:szCs w:val="12"/>
                <w:lang w:val="fr-BE"/>
              </w:rPr>
              <w:t>CO09</w:t>
            </w:r>
          </w:p>
        </w:tc>
        <w:tc>
          <w:tcPr>
            <w:tcW w:w="0" w:type="auto"/>
            <w:shd w:val="clear" w:color="auto" w:fill="auto"/>
          </w:tcPr>
          <w:p w14:paraId="38D49F2A" w14:textId="77777777" w:rsidR="008C5CFA" w:rsidRPr="00BA47B4" w:rsidRDefault="00E82A60" w:rsidP="00300A01">
            <w:pPr>
              <w:spacing w:before="0" w:after="0"/>
              <w:rPr>
                <w:sz w:val="12"/>
                <w:szCs w:val="12"/>
                <w:lang w:val="fr-BE"/>
              </w:rPr>
            </w:pPr>
            <w:r>
              <w:rPr>
                <w:noProof/>
                <w:sz w:val="12"/>
                <w:szCs w:val="12"/>
                <w:lang w:val="fr-BE"/>
              </w:rPr>
              <w:t>osoby z wykształceniem podstawowym (ISCED 1) lub średnim I stopnia (ISCED 2)</w:t>
            </w:r>
          </w:p>
        </w:tc>
        <w:tc>
          <w:tcPr>
            <w:tcW w:w="0" w:type="auto"/>
            <w:shd w:val="clear" w:color="auto" w:fill="auto"/>
          </w:tcPr>
          <w:p w14:paraId="4FEAD5BD" w14:textId="77777777" w:rsidR="008C5CFA" w:rsidRPr="00BA47B4" w:rsidRDefault="00E82A60"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14:paraId="7F16986F" w14:textId="77777777" w:rsidR="008C5CFA" w:rsidRPr="00BA47B4" w:rsidRDefault="008C5CFA" w:rsidP="00300A01">
            <w:pPr>
              <w:spacing w:before="0" w:after="0"/>
              <w:jc w:val="right"/>
              <w:rPr>
                <w:sz w:val="12"/>
                <w:szCs w:val="12"/>
                <w:lang w:val="fr-BE"/>
              </w:rPr>
            </w:pPr>
          </w:p>
        </w:tc>
        <w:tc>
          <w:tcPr>
            <w:tcW w:w="0" w:type="auto"/>
            <w:shd w:val="clear" w:color="auto" w:fill="auto"/>
          </w:tcPr>
          <w:p w14:paraId="20E2E64B" w14:textId="77777777" w:rsidR="008C5CFA" w:rsidRPr="00BA47B4" w:rsidRDefault="008C5CFA" w:rsidP="00300A01">
            <w:pPr>
              <w:spacing w:before="0" w:after="0"/>
              <w:jc w:val="right"/>
              <w:rPr>
                <w:sz w:val="12"/>
                <w:szCs w:val="12"/>
                <w:lang w:val="fr-BE"/>
              </w:rPr>
            </w:pPr>
          </w:p>
        </w:tc>
        <w:tc>
          <w:tcPr>
            <w:tcW w:w="0" w:type="auto"/>
            <w:shd w:val="clear" w:color="auto" w:fill="auto"/>
          </w:tcPr>
          <w:p w14:paraId="3BA98A69" w14:textId="77777777" w:rsidR="008C5CFA" w:rsidRPr="00BA47B4" w:rsidRDefault="008C5CFA" w:rsidP="00300A01">
            <w:pPr>
              <w:spacing w:before="0" w:after="0"/>
              <w:jc w:val="right"/>
              <w:rPr>
                <w:sz w:val="12"/>
                <w:szCs w:val="12"/>
                <w:lang w:val="fr-BE"/>
              </w:rPr>
            </w:pPr>
          </w:p>
        </w:tc>
        <w:tc>
          <w:tcPr>
            <w:tcW w:w="0" w:type="auto"/>
            <w:shd w:val="clear" w:color="auto" w:fill="auto"/>
          </w:tcPr>
          <w:p w14:paraId="722FBCB4" w14:textId="77777777" w:rsidR="008C5CFA" w:rsidRPr="00BA47B4" w:rsidRDefault="00E82A60" w:rsidP="00300A01">
            <w:pPr>
              <w:spacing w:before="0" w:after="0"/>
              <w:jc w:val="right"/>
              <w:rPr>
                <w:sz w:val="12"/>
                <w:szCs w:val="12"/>
                <w:lang w:val="fr-BE"/>
              </w:rPr>
            </w:pPr>
            <w:r w:rsidRPr="00BA47B4">
              <w:rPr>
                <w:noProof/>
                <w:sz w:val="12"/>
                <w:szCs w:val="12"/>
                <w:lang w:val="fr-BE"/>
              </w:rPr>
              <w:t>711,00</w:t>
            </w:r>
          </w:p>
        </w:tc>
        <w:tc>
          <w:tcPr>
            <w:tcW w:w="0" w:type="auto"/>
            <w:shd w:val="clear" w:color="auto" w:fill="auto"/>
          </w:tcPr>
          <w:p w14:paraId="2C672813" w14:textId="77777777" w:rsidR="008C5CFA" w:rsidRPr="00BA47B4" w:rsidRDefault="00E82A60" w:rsidP="00300A01">
            <w:pPr>
              <w:spacing w:before="0" w:after="0"/>
              <w:jc w:val="right"/>
              <w:rPr>
                <w:sz w:val="12"/>
                <w:szCs w:val="12"/>
                <w:lang w:val="fr-BE"/>
              </w:rPr>
            </w:pPr>
            <w:r w:rsidRPr="00BA47B4">
              <w:rPr>
                <w:noProof/>
                <w:sz w:val="12"/>
                <w:szCs w:val="12"/>
                <w:lang w:val="fr-BE"/>
              </w:rPr>
              <w:t>374,00</w:t>
            </w:r>
          </w:p>
        </w:tc>
        <w:tc>
          <w:tcPr>
            <w:tcW w:w="0" w:type="auto"/>
            <w:shd w:val="clear" w:color="auto" w:fill="auto"/>
          </w:tcPr>
          <w:p w14:paraId="0C791CEC" w14:textId="77777777" w:rsidR="008C5CFA" w:rsidRPr="00BA47B4" w:rsidRDefault="00E82A60" w:rsidP="00300A01">
            <w:pPr>
              <w:spacing w:before="0" w:after="0"/>
              <w:jc w:val="right"/>
              <w:rPr>
                <w:sz w:val="12"/>
                <w:szCs w:val="12"/>
                <w:lang w:val="fr-BE"/>
              </w:rPr>
            </w:pPr>
            <w:r w:rsidRPr="00BA47B4">
              <w:rPr>
                <w:noProof/>
                <w:sz w:val="12"/>
                <w:szCs w:val="12"/>
                <w:lang w:val="fr-BE"/>
              </w:rPr>
              <w:t>337,00</w:t>
            </w:r>
          </w:p>
        </w:tc>
        <w:tc>
          <w:tcPr>
            <w:tcW w:w="0" w:type="auto"/>
            <w:shd w:val="clear" w:color="auto" w:fill="auto"/>
          </w:tcPr>
          <w:p w14:paraId="1D57502B" w14:textId="77777777" w:rsidR="008C5CFA" w:rsidRPr="00BA47B4" w:rsidRDefault="008C5CFA" w:rsidP="00300A01">
            <w:pPr>
              <w:spacing w:before="0" w:after="0"/>
              <w:jc w:val="right"/>
              <w:rPr>
                <w:sz w:val="12"/>
                <w:szCs w:val="12"/>
                <w:lang w:val="fr-BE"/>
              </w:rPr>
            </w:pPr>
          </w:p>
        </w:tc>
        <w:tc>
          <w:tcPr>
            <w:tcW w:w="0" w:type="auto"/>
            <w:shd w:val="clear" w:color="auto" w:fill="auto"/>
          </w:tcPr>
          <w:p w14:paraId="39AB5192" w14:textId="77777777" w:rsidR="008C5CFA" w:rsidRPr="00BA47B4" w:rsidRDefault="008C5CFA" w:rsidP="00300A01">
            <w:pPr>
              <w:spacing w:before="0" w:after="0"/>
              <w:jc w:val="right"/>
              <w:rPr>
                <w:sz w:val="12"/>
                <w:szCs w:val="12"/>
                <w:lang w:val="fr-BE"/>
              </w:rPr>
            </w:pPr>
          </w:p>
        </w:tc>
        <w:tc>
          <w:tcPr>
            <w:tcW w:w="0" w:type="auto"/>
            <w:shd w:val="clear" w:color="auto" w:fill="auto"/>
          </w:tcPr>
          <w:p w14:paraId="7C65209B" w14:textId="77777777" w:rsidR="008C5CFA" w:rsidRPr="00BA47B4" w:rsidRDefault="008C5CFA" w:rsidP="00300A01">
            <w:pPr>
              <w:spacing w:before="0" w:after="0"/>
              <w:jc w:val="right"/>
              <w:rPr>
                <w:sz w:val="12"/>
                <w:szCs w:val="12"/>
                <w:lang w:val="fr-BE"/>
              </w:rPr>
            </w:pPr>
          </w:p>
        </w:tc>
        <w:tc>
          <w:tcPr>
            <w:tcW w:w="0" w:type="auto"/>
          </w:tcPr>
          <w:p w14:paraId="4EA0E0F4" w14:textId="77777777" w:rsidR="008C5CFA" w:rsidRPr="00A92B39" w:rsidRDefault="00E82A60" w:rsidP="00300A01">
            <w:pPr>
              <w:spacing w:before="0" w:after="0"/>
              <w:jc w:val="right"/>
              <w:rPr>
                <w:sz w:val="10"/>
                <w:szCs w:val="10"/>
                <w:lang w:val="fr-BE"/>
              </w:rPr>
            </w:pPr>
            <w:r w:rsidRPr="00A92B39">
              <w:rPr>
                <w:noProof/>
                <w:sz w:val="10"/>
                <w:szCs w:val="10"/>
                <w:lang w:val="fr-BE"/>
              </w:rPr>
              <w:t>214,00</w:t>
            </w:r>
          </w:p>
        </w:tc>
        <w:tc>
          <w:tcPr>
            <w:tcW w:w="0" w:type="auto"/>
            <w:shd w:val="clear" w:color="auto" w:fill="auto"/>
          </w:tcPr>
          <w:p w14:paraId="0CE2DA38" w14:textId="77777777" w:rsidR="008C5CFA" w:rsidRPr="00A92B39" w:rsidRDefault="00E82A60" w:rsidP="00300A01">
            <w:pPr>
              <w:spacing w:before="0" w:after="0"/>
              <w:jc w:val="right"/>
              <w:rPr>
                <w:sz w:val="10"/>
                <w:szCs w:val="10"/>
                <w:lang w:val="fr-BE"/>
              </w:rPr>
            </w:pPr>
            <w:r w:rsidRPr="00A92B39">
              <w:rPr>
                <w:noProof/>
                <w:sz w:val="10"/>
                <w:szCs w:val="10"/>
                <w:lang w:val="fr-BE"/>
              </w:rPr>
              <w:t>98,00</w:t>
            </w:r>
          </w:p>
        </w:tc>
        <w:tc>
          <w:tcPr>
            <w:tcW w:w="0" w:type="auto"/>
            <w:shd w:val="clear" w:color="auto" w:fill="auto"/>
          </w:tcPr>
          <w:p w14:paraId="75DA4732" w14:textId="77777777" w:rsidR="008C5CFA" w:rsidRPr="00BA47B4" w:rsidRDefault="00E82A60" w:rsidP="00300A01">
            <w:pPr>
              <w:spacing w:before="0" w:after="0"/>
              <w:jc w:val="right"/>
              <w:rPr>
                <w:sz w:val="12"/>
                <w:szCs w:val="12"/>
                <w:lang w:val="fr-BE"/>
              </w:rPr>
            </w:pPr>
            <w:r w:rsidRPr="00A92B39">
              <w:rPr>
                <w:noProof/>
                <w:sz w:val="10"/>
                <w:szCs w:val="10"/>
                <w:lang w:val="fr-BE"/>
              </w:rPr>
              <w:t>116,00</w:t>
            </w:r>
          </w:p>
        </w:tc>
      </w:tr>
      <w:tr w:rsidR="006B2EC1" w14:paraId="18DFBC8C" w14:textId="77777777" w:rsidTr="0047688D">
        <w:tc>
          <w:tcPr>
            <w:tcW w:w="0" w:type="auto"/>
            <w:shd w:val="clear" w:color="auto" w:fill="auto"/>
          </w:tcPr>
          <w:p w14:paraId="20C612A9" w14:textId="77777777" w:rsidR="008C5CFA" w:rsidRPr="00BA47B4" w:rsidRDefault="00E82A60" w:rsidP="00300A01">
            <w:pPr>
              <w:spacing w:before="0" w:after="0"/>
              <w:rPr>
                <w:sz w:val="12"/>
                <w:szCs w:val="12"/>
                <w:lang w:val="fr-BE"/>
              </w:rPr>
            </w:pPr>
            <w:r>
              <w:rPr>
                <w:noProof/>
                <w:sz w:val="12"/>
                <w:szCs w:val="12"/>
                <w:lang w:val="fr-BE"/>
              </w:rPr>
              <w:t>CO10</w:t>
            </w:r>
          </w:p>
        </w:tc>
        <w:tc>
          <w:tcPr>
            <w:tcW w:w="0" w:type="auto"/>
            <w:shd w:val="clear" w:color="auto" w:fill="auto"/>
          </w:tcPr>
          <w:p w14:paraId="69C6A579" w14:textId="77777777" w:rsidR="008C5CFA" w:rsidRPr="00BA47B4" w:rsidRDefault="00E82A60" w:rsidP="00300A01">
            <w:pPr>
              <w:spacing w:before="0" w:after="0"/>
              <w:rPr>
                <w:sz w:val="12"/>
                <w:szCs w:val="12"/>
                <w:lang w:val="fr-BE"/>
              </w:rPr>
            </w:pPr>
            <w:r>
              <w:rPr>
                <w:noProof/>
                <w:sz w:val="12"/>
                <w:szCs w:val="12"/>
                <w:lang w:val="fr-BE"/>
              </w:rPr>
              <w:t>osoby z wykształceniem średnim II stopnia (ISCED 3) lub policealnym (ISCED 4)</w:t>
            </w:r>
          </w:p>
        </w:tc>
        <w:tc>
          <w:tcPr>
            <w:tcW w:w="0" w:type="auto"/>
            <w:shd w:val="clear" w:color="auto" w:fill="auto"/>
          </w:tcPr>
          <w:p w14:paraId="04C7091F" w14:textId="77777777" w:rsidR="008C5CFA" w:rsidRPr="00BA47B4" w:rsidRDefault="00E82A60"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14:paraId="62B5AEE5" w14:textId="77777777" w:rsidR="008C5CFA" w:rsidRPr="00BA47B4" w:rsidRDefault="008C5CFA" w:rsidP="00300A01">
            <w:pPr>
              <w:spacing w:before="0" w:after="0"/>
              <w:jc w:val="right"/>
              <w:rPr>
                <w:sz w:val="12"/>
                <w:szCs w:val="12"/>
                <w:lang w:val="fr-BE"/>
              </w:rPr>
            </w:pPr>
          </w:p>
        </w:tc>
        <w:tc>
          <w:tcPr>
            <w:tcW w:w="0" w:type="auto"/>
            <w:shd w:val="clear" w:color="auto" w:fill="auto"/>
          </w:tcPr>
          <w:p w14:paraId="6F036FB7" w14:textId="77777777" w:rsidR="008C5CFA" w:rsidRPr="00BA47B4" w:rsidRDefault="008C5CFA" w:rsidP="00300A01">
            <w:pPr>
              <w:spacing w:before="0" w:after="0"/>
              <w:jc w:val="right"/>
              <w:rPr>
                <w:sz w:val="12"/>
                <w:szCs w:val="12"/>
                <w:lang w:val="fr-BE"/>
              </w:rPr>
            </w:pPr>
          </w:p>
        </w:tc>
        <w:tc>
          <w:tcPr>
            <w:tcW w:w="0" w:type="auto"/>
            <w:shd w:val="clear" w:color="auto" w:fill="auto"/>
          </w:tcPr>
          <w:p w14:paraId="71E1A83A" w14:textId="77777777" w:rsidR="008C5CFA" w:rsidRPr="00BA47B4" w:rsidRDefault="008C5CFA" w:rsidP="00300A01">
            <w:pPr>
              <w:spacing w:before="0" w:after="0"/>
              <w:jc w:val="right"/>
              <w:rPr>
                <w:sz w:val="12"/>
                <w:szCs w:val="12"/>
                <w:lang w:val="fr-BE"/>
              </w:rPr>
            </w:pPr>
          </w:p>
        </w:tc>
        <w:tc>
          <w:tcPr>
            <w:tcW w:w="0" w:type="auto"/>
            <w:shd w:val="clear" w:color="auto" w:fill="auto"/>
          </w:tcPr>
          <w:p w14:paraId="78FFB6DF" w14:textId="77777777" w:rsidR="008C5CFA" w:rsidRPr="00BA47B4" w:rsidRDefault="00E82A60" w:rsidP="00300A01">
            <w:pPr>
              <w:spacing w:before="0" w:after="0"/>
              <w:jc w:val="right"/>
              <w:rPr>
                <w:sz w:val="12"/>
                <w:szCs w:val="12"/>
                <w:lang w:val="fr-BE"/>
              </w:rPr>
            </w:pPr>
            <w:r w:rsidRPr="00BA47B4">
              <w:rPr>
                <w:noProof/>
                <w:sz w:val="12"/>
                <w:szCs w:val="12"/>
                <w:lang w:val="fr-BE"/>
              </w:rPr>
              <w:t>2 550,00</w:t>
            </w:r>
          </w:p>
        </w:tc>
        <w:tc>
          <w:tcPr>
            <w:tcW w:w="0" w:type="auto"/>
            <w:shd w:val="clear" w:color="auto" w:fill="auto"/>
          </w:tcPr>
          <w:p w14:paraId="05178852" w14:textId="77777777" w:rsidR="008C5CFA" w:rsidRPr="00BA47B4" w:rsidRDefault="00E82A60" w:rsidP="00300A01">
            <w:pPr>
              <w:spacing w:before="0" w:after="0"/>
              <w:jc w:val="right"/>
              <w:rPr>
                <w:sz w:val="12"/>
                <w:szCs w:val="12"/>
                <w:lang w:val="fr-BE"/>
              </w:rPr>
            </w:pPr>
            <w:r w:rsidRPr="00BA47B4">
              <w:rPr>
                <w:noProof/>
                <w:sz w:val="12"/>
                <w:szCs w:val="12"/>
                <w:lang w:val="fr-BE"/>
              </w:rPr>
              <w:t>850,00</w:t>
            </w:r>
          </w:p>
        </w:tc>
        <w:tc>
          <w:tcPr>
            <w:tcW w:w="0" w:type="auto"/>
            <w:shd w:val="clear" w:color="auto" w:fill="auto"/>
          </w:tcPr>
          <w:p w14:paraId="72D55647" w14:textId="77777777" w:rsidR="008C5CFA" w:rsidRPr="00BA47B4" w:rsidRDefault="00E82A60" w:rsidP="00300A01">
            <w:pPr>
              <w:spacing w:before="0" w:after="0"/>
              <w:jc w:val="right"/>
              <w:rPr>
                <w:sz w:val="12"/>
                <w:szCs w:val="12"/>
                <w:lang w:val="fr-BE"/>
              </w:rPr>
            </w:pPr>
            <w:r w:rsidRPr="00BA47B4">
              <w:rPr>
                <w:noProof/>
                <w:sz w:val="12"/>
                <w:szCs w:val="12"/>
                <w:lang w:val="fr-BE"/>
              </w:rPr>
              <w:t>1 700,00</w:t>
            </w:r>
          </w:p>
        </w:tc>
        <w:tc>
          <w:tcPr>
            <w:tcW w:w="0" w:type="auto"/>
            <w:shd w:val="clear" w:color="auto" w:fill="auto"/>
          </w:tcPr>
          <w:p w14:paraId="7D5BCD3D" w14:textId="77777777" w:rsidR="008C5CFA" w:rsidRPr="00BA47B4" w:rsidRDefault="008C5CFA" w:rsidP="00300A01">
            <w:pPr>
              <w:spacing w:before="0" w:after="0"/>
              <w:jc w:val="right"/>
              <w:rPr>
                <w:sz w:val="12"/>
                <w:szCs w:val="12"/>
                <w:lang w:val="fr-BE"/>
              </w:rPr>
            </w:pPr>
          </w:p>
        </w:tc>
        <w:tc>
          <w:tcPr>
            <w:tcW w:w="0" w:type="auto"/>
            <w:shd w:val="clear" w:color="auto" w:fill="auto"/>
          </w:tcPr>
          <w:p w14:paraId="45DD8948" w14:textId="77777777" w:rsidR="008C5CFA" w:rsidRPr="00BA47B4" w:rsidRDefault="008C5CFA" w:rsidP="00300A01">
            <w:pPr>
              <w:spacing w:before="0" w:after="0"/>
              <w:jc w:val="right"/>
              <w:rPr>
                <w:sz w:val="12"/>
                <w:szCs w:val="12"/>
                <w:lang w:val="fr-BE"/>
              </w:rPr>
            </w:pPr>
          </w:p>
        </w:tc>
        <w:tc>
          <w:tcPr>
            <w:tcW w:w="0" w:type="auto"/>
            <w:shd w:val="clear" w:color="auto" w:fill="auto"/>
          </w:tcPr>
          <w:p w14:paraId="5EE86D31" w14:textId="77777777" w:rsidR="008C5CFA" w:rsidRPr="00BA47B4" w:rsidRDefault="008C5CFA" w:rsidP="00300A01">
            <w:pPr>
              <w:spacing w:before="0" w:after="0"/>
              <w:jc w:val="right"/>
              <w:rPr>
                <w:sz w:val="12"/>
                <w:szCs w:val="12"/>
                <w:lang w:val="fr-BE"/>
              </w:rPr>
            </w:pPr>
          </w:p>
        </w:tc>
        <w:tc>
          <w:tcPr>
            <w:tcW w:w="0" w:type="auto"/>
          </w:tcPr>
          <w:p w14:paraId="15B1C912" w14:textId="77777777" w:rsidR="008C5CFA" w:rsidRPr="00A92B39" w:rsidRDefault="00E82A60" w:rsidP="00300A01">
            <w:pPr>
              <w:spacing w:before="0" w:after="0"/>
              <w:jc w:val="right"/>
              <w:rPr>
                <w:sz w:val="10"/>
                <w:szCs w:val="10"/>
                <w:lang w:val="fr-BE"/>
              </w:rPr>
            </w:pPr>
            <w:r w:rsidRPr="00A92B39">
              <w:rPr>
                <w:noProof/>
                <w:sz w:val="10"/>
                <w:szCs w:val="10"/>
                <w:lang w:val="fr-BE"/>
              </w:rPr>
              <w:t>841,00</w:t>
            </w:r>
          </w:p>
        </w:tc>
        <w:tc>
          <w:tcPr>
            <w:tcW w:w="0" w:type="auto"/>
            <w:shd w:val="clear" w:color="auto" w:fill="auto"/>
          </w:tcPr>
          <w:p w14:paraId="607B69F7" w14:textId="77777777" w:rsidR="008C5CFA" w:rsidRPr="00A92B39" w:rsidRDefault="00E82A60" w:rsidP="00300A01">
            <w:pPr>
              <w:spacing w:before="0" w:after="0"/>
              <w:jc w:val="right"/>
              <w:rPr>
                <w:sz w:val="10"/>
                <w:szCs w:val="10"/>
                <w:lang w:val="fr-BE"/>
              </w:rPr>
            </w:pPr>
            <w:r w:rsidRPr="00A92B39">
              <w:rPr>
                <w:noProof/>
                <w:sz w:val="10"/>
                <w:szCs w:val="10"/>
                <w:lang w:val="fr-BE"/>
              </w:rPr>
              <w:t>260,00</w:t>
            </w:r>
          </w:p>
        </w:tc>
        <w:tc>
          <w:tcPr>
            <w:tcW w:w="0" w:type="auto"/>
            <w:shd w:val="clear" w:color="auto" w:fill="auto"/>
          </w:tcPr>
          <w:p w14:paraId="799D0BEF" w14:textId="77777777" w:rsidR="008C5CFA" w:rsidRPr="00BA47B4" w:rsidRDefault="00E82A60" w:rsidP="00300A01">
            <w:pPr>
              <w:spacing w:before="0" w:after="0"/>
              <w:jc w:val="right"/>
              <w:rPr>
                <w:sz w:val="12"/>
                <w:szCs w:val="12"/>
                <w:lang w:val="fr-BE"/>
              </w:rPr>
            </w:pPr>
            <w:r w:rsidRPr="00A92B39">
              <w:rPr>
                <w:noProof/>
                <w:sz w:val="10"/>
                <w:szCs w:val="10"/>
                <w:lang w:val="fr-BE"/>
              </w:rPr>
              <w:t>581,00</w:t>
            </w:r>
          </w:p>
        </w:tc>
      </w:tr>
      <w:tr w:rsidR="006B2EC1" w14:paraId="73B17CE1" w14:textId="77777777" w:rsidTr="0047688D">
        <w:tc>
          <w:tcPr>
            <w:tcW w:w="0" w:type="auto"/>
            <w:shd w:val="clear" w:color="auto" w:fill="auto"/>
          </w:tcPr>
          <w:p w14:paraId="5A510FEA" w14:textId="77777777" w:rsidR="008C5CFA" w:rsidRPr="00BA47B4" w:rsidRDefault="00E82A60" w:rsidP="00300A01">
            <w:pPr>
              <w:spacing w:before="0" w:after="0"/>
              <w:rPr>
                <w:sz w:val="12"/>
                <w:szCs w:val="12"/>
                <w:lang w:val="fr-BE"/>
              </w:rPr>
            </w:pPr>
            <w:r>
              <w:rPr>
                <w:noProof/>
                <w:sz w:val="12"/>
                <w:szCs w:val="12"/>
                <w:lang w:val="fr-BE"/>
              </w:rPr>
              <w:t>CO11</w:t>
            </w:r>
          </w:p>
        </w:tc>
        <w:tc>
          <w:tcPr>
            <w:tcW w:w="0" w:type="auto"/>
            <w:shd w:val="clear" w:color="auto" w:fill="auto"/>
          </w:tcPr>
          <w:p w14:paraId="72DC61AA" w14:textId="77777777" w:rsidR="008C5CFA" w:rsidRPr="00BA47B4" w:rsidRDefault="00E82A60" w:rsidP="00300A01">
            <w:pPr>
              <w:spacing w:before="0" w:after="0"/>
              <w:rPr>
                <w:sz w:val="12"/>
                <w:szCs w:val="12"/>
                <w:lang w:val="fr-BE"/>
              </w:rPr>
            </w:pPr>
            <w:r>
              <w:rPr>
                <w:noProof/>
                <w:sz w:val="12"/>
                <w:szCs w:val="12"/>
                <w:lang w:val="fr-BE"/>
              </w:rPr>
              <w:t>osoby z wykształceniem wyższym (ISCED 5 do 8)</w:t>
            </w:r>
          </w:p>
        </w:tc>
        <w:tc>
          <w:tcPr>
            <w:tcW w:w="0" w:type="auto"/>
            <w:shd w:val="clear" w:color="auto" w:fill="auto"/>
          </w:tcPr>
          <w:p w14:paraId="0B9BB8E9" w14:textId="77777777" w:rsidR="008C5CFA" w:rsidRPr="00BA47B4" w:rsidRDefault="00E82A60"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14:paraId="701189C0" w14:textId="77777777" w:rsidR="008C5CFA" w:rsidRPr="00BA47B4" w:rsidRDefault="008C5CFA" w:rsidP="00300A01">
            <w:pPr>
              <w:spacing w:before="0" w:after="0"/>
              <w:jc w:val="right"/>
              <w:rPr>
                <w:sz w:val="12"/>
                <w:szCs w:val="12"/>
                <w:lang w:val="fr-BE"/>
              </w:rPr>
            </w:pPr>
          </w:p>
        </w:tc>
        <w:tc>
          <w:tcPr>
            <w:tcW w:w="0" w:type="auto"/>
            <w:shd w:val="clear" w:color="auto" w:fill="auto"/>
          </w:tcPr>
          <w:p w14:paraId="6BDE730C" w14:textId="77777777" w:rsidR="008C5CFA" w:rsidRPr="00BA47B4" w:rsidRDefault="008C5CFA" w:rsidP="00300A01">
            <w:pPr>
              <w:spacing w:before="0" w:after="0"/>
              <w:jc w:val="right"/>
              <w:rPr>
                <w:sz w:val="12"/>
                <w:szCs w:val="12"/>
                <w:lang w:val="fr-BE"/>
              </w:rPr>
            </w:pPr>
          </w:p>
        </w:tc>
        <w:tc>
          <w:tcPr>
            <w:tcW w:w="0" w:type="auto"/>
            <w:shd w:val="clear" w:color="auto" w:fill="auto"/>
          </w:tcPr>
          <w:p w14:paraId="4FF08D91" w14:textId="77777777" w:rsidR="008C5CFA" w:rsidRPr="00BA47B4" w:rsidRDefault="008C5CFA" w:rsidP="00300A01">
            <w:pPr>
              <w:spacing w:before="0" w:after="0"/>
              <w:jc w:val="right"/>
              <w:rPr>
                <w:sz w:val="12"/>
                <w:szCs w:val="12"/>
                <w:lang w:val="fr-BE"/>
              </w:rPr>
            </w:pPr>
          </w:p>
        </w:tc>
        <w:tc>
          <w:tcPr>
            <w:tcW w:w="0" w:type="auto"/>
            <w:shd w:val="clear" w:color="auto" w:fill="auto"/>
          </w:tcPr>
          <w:p w14:paraId="5A73D767" w14:textId="77777777" w:rsidR="008C5CFA" w:rsidRPr="00BA47B4" w:rsidRDefault="00E82A60" w:rsidP="00300A01">
            <w:pPr>
              <w:spacing w:before="0" w:after="0"/>
              <w:jc w:val="right"/>
              <w:rPr>
                <w:sz w:val="12"/>
                <w:szCs w:val="12"/>
                <w:lang w:val="fr-BE"/>
              </w:rPr>
            </w:pPr>
            <w:r w:rsidRPr="00BA47B4">
              <w:rPr>
                <w:noProof/>
                <w:sz w:val="12"/>
                <w:szCs w:val="12"/>
                <w:lang w:val="fr-BE"/>
              </w:rPr>
              <w:t>216,00</w:t>
            </w:r>
          </w:p>
        </w:tc>
        <w:tc>
          <w:tcPr>
            <w:tcW w:w="0" w:type="auto"/>
            <w:shd w:val="clear" w:color="auto" w:fill="auto"/>
          </w:tcPr>
          <w:p w14:paraId="291B818E" w14:textId="77777777" w:rsidR="008C5CFA" w:rsidRPr="00BA47B4" w:rsidRDefault="00E82A60" w:rsidP="00300A01">
            <w:pPr>
              <w:spacing w:before="0" w:after="0"/>
              <w:jc w:val="right"/>
              <w:rPr>
                <w:sz w:val="12"/>
                <w:szCs w:val="12"/>
                <w:lang w:val="fr-BE"/>
              </w:rPr>
            </w:pPr>
            <w:r w:rsidRPr="00BA47B4">
              <w:rPr>
                <w:noProof/>
                <w:sz w:val="12"/>
                <w:szCs w:val="12"/>
                <w:lang w:val="fr-BE"/>
              </w:rPr>
              <w:t>34,00</w:t>
            </w:r>
          </w:p>
        </w:tc>
        <w:tc>
          <w:tcPr>
            <w:tcW w:w="0" w:type="auto"/>
            <w:shd w:val="clear" w:color="auto" w:fill="auto"/>
          </w:tcPr>
          <w:p w14:paraId="1F45F716" w14:textId="77777777" w:rsidR="008C5CFA" w:rsidRPr="00BA47B4" w:rsidRDefault="00E82A60" w:rsidP="00300A01">
            <w:pPr>
              <w:spacing w:before="0" w:after="0"/>
              <w:jc w:val="right"/>
              <w:rPr>
                <w:sz w:val="12"/>
                <w:szCs w:val="12"/>
                <w:lang w:val="fr-BE"/>
              </w:rPr>
            </w:pPr>
            <w:r w:rsidRPr="00BA47B4">
              <w:rPr>
                <w:noProof/>
                <w:sz w:val="12"/>
                <w:szCs w:val="12"/>
                <w:lang w:val="fr-BE"/>
              </w:rPr>
              <w:t>182,00</w:t>
            </w:r>
          </w:p>
        </w:tc>
        <w:tc>
          <w:tcPr>
            <w:tcW w:w="0" w:type="auto"/>
            <w:shd w:val="clear" w:color="auto" w:fill="auto"/>
          </w:tcPr>
          <w:p w14:paraId="5A24B9F1" w14:textId="77777777" w:rsidR="008C5CFA" w:rsidRPr="00BA47B4" w:rsidRDefault="008C5CFA" w:rsidP="00300A01">
            <w:pPr>
              <w:spacing w:before="0" w:after="0"/>
              <w:jc w:val="right"/>
              <w:rPr>
                <w:sz w:val="12"/>
                <w:szCs w:val="12"/>
                <w:lang w:val="fr-BE"/>
              </w:rPr>
            </w:pPr>
          </w:p>
        </w:tc>
        <w:tc>
          <w:tcPr>
            <w:tcW w:w="0" w:type="auto"/>
            <w:shd w:val="clear" w:color="auto" w:fill="auto"/>
          </w:tcPr>
          <w:p w14:paraId="4DFE402C" w14:textId="77777777" w:rsidR="008C5CFA" w:rsidRPr="00BA47B4" w:rsidRDefault="008C5CFA" w:rsidP="00300A01">
            <w:pPr>
              <w:spacing w:before="0" w:after="0"/>
              <w:jc w:val="right"/>
              <w:rPr>
                <w:sz w:val="12"/>
                <w:szCs w:val="12"/>
                <w:lang w:val="fr-BE"/>
              </w:rPr>
            </w:pPr>
          </w:p>
        </w:tc>
        <w:tc>
          <w:tcPr>
            <w:tcW w:w="0" w:type="auto"/>
            <w:shd w:val="clear" w:color="auto" w:fill="auto"/>
          </w:tcPr>
          <w:p w14:paraId="2DF0A7DC" w14:textId="77777777" w:rsidR="008C5CFA" w:rsidRPr="00BA47B4" w:rsidRDefault="008C5CFA" w:rsidP="00300A01">
            <w:pPr>
              <w:spacing w:before="0" w:after="0"/>
              <w:jc w:val="right"/>
              <w:rPr>
                <w:sz w:val="12"/>
                <w:szCs w:val="12"/>
                <w:lang w:val="fr-BE"/>
              </w:rPr>
            </w:pPr>
          </w:p>
        </w:tc>
        <w:tc>
          <w:tcPr>
            <w:tcW w:w="0" w:type="auto"/>
          </w:tcPr>
          <w:p w14:paraId="04646E87" w14:textId="77777777" w:rsidR="008C5CFA" w:rsidRPr="00A92B39" w:rsidRDefault="00E82A60" w:rsidP="00300A01">
            <w:pPr>
              <w:spacing w:before="0" w:after="0"/>
              <w:jc w:val="right"/>
              <w:rPr>
                <w:sz w:val="10"/>
                <w:szCs w:val="10"/>
                <w:lang w:val="fr-BE"/>
              </w:rPr>
            </w:pPr>
            <w:r w:rsidRPr="00A92B39">
              <w:rPr>
                <w:noProof/>
                <w:sz w:val="10"/>
                <w:szCs w:val="10"/>
                <w:lang w:val="fr-BE"/>
              </w:rPr>
              <w:t>79,00</w:t>
            </w:r>
          </w:p>
        </w:tc>
        <w:tc>
          <w:tcPr>
            <w:tcW w:w="0" w:type="auto"/>
            <w:shd w:val="clear" w:color="auto" w:fill="auto"/>
          </w:tcPr>
          <w:p w14:paraId="1BF0EF16" w14:textId="77777777" w:rsidR="008C5CFA" w:rsidRPr="00A92B39" w:rsidRDefault="00E82A60" w:rsidP="00300A01">
            <w:pPr>
              <w:spacing w:before="0" w:after="0"/>
              <w:jc w:val="right"/>
              <w:rPr>
                <w:sz w:val="10"/>
                <w:szCs w:val="10"/>
                <w:lang w:val="fr-BE"/>
              </w:rPr>
            </w:pPr>
            <w:r w:rsidRPr="00A92B39">
              <w:rPr>
                <w:noProof/>
                <w:sz w:val="10"/>
                <w:szCs w:val="10"/>
                <w:lang w:val="fr-BE"/>
              </w:rPr>
              <w:t>9,00</w:t>
            </w:r>
          </w:p>
        </w:tc>
        <w:tc>
          <w:tcPr>
            <w:tcW w:w="0" w:type="auto"/>
            <w:shd w:val="clear" w:color="auto" w:fill="auto"/>
          </w:tcPr>
          <w:p w14:paraId="0510E1C2" w14:textId="77777777" w:rsidR="008C5CFA" w:rsidRPr="00BA47B4" w:rsidRDefault="00E82A60" w:rsidP="00300A01">
            <w:pPr>
              <w:spacing w:before="0" w:after="0"/>
              <w:jc w:val="right"/>
              <w:rPr>
                <w:sz w:val="12"/>
                <w:szCs w:val="12"/>
                <w:lang w:val="fr-BE"/>
              </w:rPr>
            </w:pPr>
            <w:r w:rsidRPr="00A92B39">
              <w:rPr>
                <w:noProof/>
                <w:sz w:val="10"/>
                <w:szCs w:val="10"/>
                <w:lang w:val="fr-BE"/>
              </w:rPr>
              <w:t>70,00</w:t>
            </w:r>
          </w:p>
        </w:tc>
      </w:tr>
      <w:tr w:rsidR="006B2EC1" w14:paraId="772F4702" w14:textId="77777777" w:rsidTr="0047688D">
        <w:tc>
          <w:tcPr>
            <w:tcW w:w="0" w:type="auto"/>
            <w:shd w:val="clear" w:color="auto" w:fill="auto"/>
          </w:tcPr>
          <w:p w14:paraId="7B10C6C9" w14:textId="77777777" w:rsidR="008C5CFA" w:rsidRPr="00BA47B4" w:rsidRDefault="00E82A60" w:rsidP="00300A01">
            <w:pPr>
              <w:spacing w:before="0" w:after="0"/>
              <w:rPr>
                <w:sz w:val="12"/>
                <w:szCs w:val="12"/>
                <w:lang w:val="fr-BE"/>
              </w:rPr>
            </w:pPr>
            <w:r>
              <w:rPr>
                <w:noProof/>
                <w:sz w:val="12"/>
                <w:szCs w:val="12"/>
                <w:lang w:val="fr-BE"/>
              </w:rPr>
              <w:t>CO15</w:t>
            </w:r>
          </w:p>
        </w:tc>
        <w:tc>
          <w:tcPr>
            <w:tcW w:w="0" w:type="auto"/>
            <w:shd w:val="clear" w:color="auto" w:fill="auto"/>
          </w:tcPr>
          <w:p w14:paraId="4DA70162" w14:textId="77777777" w:rsidR="008C5CFA" w:rsidRPr="00BA47B4" w:rsidRDefault="00E82A60" w:rsidP="00300A01">
            <w:pPr>
              <w:spacing w:before="0" w:after="0"/>
              <w:rPr>
                <w:sz w:val="12"/>
                <w:szCs w:val="12"/>
                <w:lang w:val="fr-BE"/>
              </w:rPr>
            </w:pPr>
            <w:r>
              <w:rPr>
                <w:noProof/>
                <w:sz w:val="12"/>
                <w:szCs w:val="12"/>
                <w:lang w:val="fr-BE"/>
              </w:rPr>
              <w:t>migranci, uczestnicy obcego pochodzenia, mniejszości (w tym społeczności marginalizowane, takie jak Romowie)</w:t>
            </w:r>
          </w:p>
        </w:tc>
        <w:tc>
          <w:tcPr>
            <w:tcW w:w="0" w:type="auto"/>
            <w:shd w:val="clear" w:color="auto" w:fill="auto"/>
          </w:tcPr>
          <w:p w14:paraId="1AECE9E4" w14:textId="77777777" w:rsidR="008C5CFA" w:rsidRPr="00BA47B4" w:rsidRDefault="00E82A60"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14:paraId="0DD588C7" w14:textId="77777777" w:rsidR="008C5CFA" w:rsidRPr="00BA47B4" w:rsidRDefault="008C5CFA" w:rsidP="00300A01">
            <w:pPr>
              <w:spacing w:before="0" w:after="0"/>
              <w:jc w:val="right"/>
              <w:rPr>
                <w:sz w:val="12"/>
                <w:szCs w:val="12"/>
                <w:lang w:val="fr-BE"/>
              </w:rPr>
            </w:pPr>
          </w:p>
        </w:tc>
        <w:tc>
          <w:tcPr>
            <w:tcW w:w="0" w:type="auto"/>
            <w:shd w:val="clear" w:color="auto" w:fill="auto"/>
          </w:tcPr>
          <w:p w14:paraId="53ECEF91" w14:textId="77777777" w:rsidR="008C5CFA" w:rsidRPr="00BA47B4" w:rsidRDefault="008C5CFA" w:rsidP="00300A01">
            <w:pPr>
              <w:spacing w:before="0" w:after="0"/>
              <w:jc w:val="right"/>
              <w:rPr>
                <w:sz w:val="12"/>
                <w:szCs w:val="12"/>
                <w:lang w:val="fr-BE"/>
              </w:rPr>
            </w:pPr>
          </w:p>
        </w:tc>
        <w:tc>
          <w:tcPr>
            <w:tcW w:w="0" w:type="auto"/>
            <w:shd w:val="clear" w:color="auto" w:fill="auto"/>
          </w:tcPr>
          <w:p w14:paraId="43AF6D22" w14:textId="77777777" w:rsidR="008C5CFA" w:rsidRPr="00BA47B4" w:rsidRDefault="008C5CFA" w:rsidP="00300A01">
            <w:pPr>
              <w:spacing w:before="0" w:after="0"/>
              <w:jc w:val="right"/>
              <w:rPr>
                <w:sz w:val="12"/>
                <w:szCs w:val="12"/>
                <w:lang w:val="fr-BE"/>
              </w:rPr>
            </w:pPr>
          </w:p>
        </w:tc>
        <w:tc>
          <w:tcPr>
            <w:tcW w:w="0" w:type="auto"/>
            <w:shd w:val="clear" w:color="auto" w:fill="auto"/>
          </w:tcPr>
          <w:p w14:paraId="3BFA9AED" w14:textId="77777777" w:rsidR="008C5CFA" w:rsidRPr="00BA47B4" w:rsidRDefault="00E82A60" w:rsidP="00300A01">
            <w:pPr>
              <w:spacing w:before="0" w:after="0"/>
              <w:jc w:val="right"/>
              <w:rPr>
                <w:sz w:val="12"/>
                <w:szCs w:val="12"/>
                <w:lang w:val="fr-BE"/>
              </w:rPr>
            </w:pPr>
            <w:r w:rsidRPr="00BA47B4">
              <w:rPr>
                <w:noProof/>
                <w:sz w:val="12"/>
                <w:szCs w:val="12"/>
                <w:lang w:val="fr-BE"/>
              </w:rPr>
              <w:t>11,00</w:t>
            </w:r>
          </w:p>
        </w:tc>
        <w:tc>
          <w:tcPr>
            <w:tcW w:w="0" w:type="auto"/>
            <w:shd w:val="clear" w:color="auto" w:fill="auto"/>
          </w:tcPr>
          <w:p w14:paraId="18164D51" w14:textId="77777777" w:rsidR="008C5CFA" w:rsidRPr="00BA47B4" w:rsidRDefault="00E82A60" w:rsidP="00300A01">
            <w:pPr>
              <w:spacing w:before="0" w:after="0"/>
              <w:jc w:val="right"/>
              <w:rPr>
                <w:sz w:val="12"/>
                <w:szCs w:val="12"/>
                <w:lang w:val="fr-BE"/>
              </w:rPr>
            </w:pPr>
            <w:r w:rsidRPr="00BA47B4">
              <w:rPr>
                <w:noProof/>
                <w:sz w:val="12"/>
                <w:szCs w:val="12"/>
                <w:lang w:val="fr-BE"/>
              </w:rPr>
              <w:t>2,00</w:t>
            </w:r>
          </w:p>
        </w:tc>
        <w:tc>
          <w:tcPr>
            <w:tcW w:w="0" w:type="auto"/>
            <w:shd w:val="clear" w:color="auto" w:fill="auto"/>
          </w:tcPr>
          <w:p w14:paraId="2AA0E063" w14:textId="77777777" w:rsidR="008C5CFA" w:rsidRPr="00BA47B4" w:rsidRDefault="00E82A60" w:rsidP="00300A01">
            <w:pPr>
              <w:spacing w:before="0" w:after="0"/>
              <w:jc w:val="right"/>
              <w:rPr>
                <w:sz w:val="12"/>
                <w:szCs w:val="12"/>
                <w:lang w:val="fr-BE"/>
              </w:rPr>
            </w:pPr>
            <w:r w:rsidRPr="00BA47B4">
              <w:rPr>
                <w:noProof/>
                <w:sz w:val="12"/>
                <w:szCs w:val="12"/>
                <w:lang w:val="fr-BE"/>
              </w:rPr>
              <w:t>9,00</w:t>
            </w:r>
          </w:p>
        </w:tc>
        <w:tc>
          <w:tcPr>
            <w:tcW w:w="0" w:type="auto"/>
            <w:shd w:val="clear" w:color="auto" w:fill="auto"/>
          </w:tcPr>
          <w:p w14:paraId="78CD0623" w14:textId="77777777" w:rsidR="008C5CFA" w:rsidRPr="00BA47B4" w:rsidRDefault="008C5CFA" w:rsidP="00300A01">
            <w:pPr>
              <w:spacing w:before="0" w:after="0"/>
              <w:jc w:val="right"/>
              <w:rPr>
                <w:sz w:val="12"/>
                <w:szCs w:val="12"/>
                <w:lang w:val="fr-BE"/>
              </w:rPr>
            </w:pPr>
          </w:p>
        </w:tc>
        <w:tc>
          <w:tcPr>
            <w:tcW w:w="0" w:type="auto"/>
            <w:shd w:val="clear" w:color="auto" w:fill="auto"/>
          </w:tcPr>
          <w:p w14:paraId="6C715430" w14:textId="77777777" w:rsidR="008C5CFA" w:rsidRPr="00BA47B4" w:rsidRDefault="008C5CFA" w:rsidP="00300A01">
            <w:pPr>
              <w:spacing w:before="0" w:after="0"/>
              <w:jc w:val="right"/>
              <w:rPr>
                <w:sz w:val="12"/>
                <w:szCs w:val="12"/>
                <w:lang w:val="fr-BE"/>
              </w:rPr>
            </w:pPr>
          </w:p>
        </w:tc>
        <w:tc>
          <w:tcPr>
            <w:tcW w:w="0" w:type="auto"/>
            <w:shd w:val="clear" w:color="auto" w:fill="auto"/>
          </w:tcPr>
          <w:p w14:paraId="52B7AFCB" w14:textId="77777777" w:rsidR="008C5CFA" w:rsidRPr="00BA47B4" w:rsidRDefault="008C5CFA" w:rsidP="00300A01">
            <w:pPr>
              <w:spacing w:before="0" w:after="0"/>
              <w:jc w:val="right"/>
              <w:rPr>
                <w:sz w:val="12"/>
                <w:szCs w:val="12"/>
                <w:lang w:val="fr-BE"/>
              </w:rPr>
            </w:pPr>
          </w:p>
        </w:tc>
        <w:tc>
          <w:tcPr>
            <w:tcW w:w="0" w:type="auto"/>
          </w:tcPr>
          <w:p w14:paraId="6BDFF069" w14:textId="77777777" w:rsidR="008C5CFA" w:rsidRPr="00A92B39" w:rsidRDefault="00E82A60" w:rsidP="00300A01">
            <w:pPr>
              <w:spacing w:before="0" w:after="0"/>
              <w:jc w:val="right"/>
              <w:rPr>
                <w:sz w:val="10"/>
                <w:szCs w:val="10"/>
                <w:lang w:val="fr-BE"/>
              </w:rPr>
            </w:pPr>
            <w:r w:rsidRPr="00A92B39">
              <w:rPr>
                <w:noProof/>
                <w:sz w:val="10"/>
                <w:szCs w:val="10"/>
                <w:lang w:val="fr-BE"/>
              </w:rPr>
              <w:t>4,00</w:t>
            </w:r>
          </w:p>
        </w:tc>
        <w:tc>
          <w:tcPr>
            <w:tcW w:w="0" w:type="auto"/>
            <w:shd w:val="clear" w:color="auto" w:fill="auto"/>
          </w:tcPr>
          <w:p w14:paraId="0916DB0B" w14:textId="77777777" w:rsidR="008C5CFA" w:rsidRPr="00A92B39" w:rsidRDefault="00E82A60" w:rsidP="00300A01">
            <w:pPr>
              <w:spacing w:before="0" w:after="0"/>
              <w:jc w:val="right"/>
              <w:rPr>
                <w:sz w:val="10"/>
                <w:szCs w:val="10"/>
                <w:lang w:val="fr-BE"/>
              </w:rPr>
            </w:pPr>
            <w:r w:rsidRPr="00A92B39">
              <w:rPr>
                <w:noProof/>
                <w:sz w:val="10"/>
                <w:szCs w:val="10"/>
                <w:lang w:val="fr-BE"/>
              </w:rPr>
              <w:t>1,00</w:t>
            </w:r>
          </w:p>
        </w:tc>
        <w:tc>
          <w:tcPr>
            <w:tcW w:w="0" w:type="auto"/>
            <w:shd w:val="clear" w:color="auto" w:fill="auto"/>
          </w:tcPr>
          <w:p w14:paraId="4CDDE1E1" w14:textId="77777777" w:rsidR="008C5CFA" w:rsidRPr="00BA47B4" w:rsidRDefault="00E82A60" w:rsidP="00300A01">
            <w:pPr>
              <w:spacing w:before="0" w:after="0"/>
              <w:jc w:val="right"/>
              <w:rPr>
                <w:sz w:val="12"/>
                <w:szCs w:val="12"/>
                <w:lang w:val="fr-BE"/>
              </w:rPr>
            </w:pPr>
            <w:r w:rsidRPr="00A92B39">
              <w:rPr>
                <w:noProof/>
                <w:sz w:val="10"/>
                <w:szCs w:val="10"/>
                <w:lang w:val="fr-BE"/>
              </w:rPr>
              <w:t>3,00</w:t>
            </w:r>
          </w:p>
        </w:tc>
      </w:tr>
      <w:tr w:rsidR="006B2EC1" w14:paraId="70403A1A" w14:textId="77777777" w:rsidTr="0047688D">
        <w:tc>
          <w:tcPr>
            <w:tcW w:w="0" w:type="auto"/>
            <w:shd w:val="clear" w:color="auto" w:fill="auto"/>
          </w:tcPr>
          <w:p w14:paraId="6BC4027F" w14:textId="77777777" w:rsidR="008C5CFA" w:rsidRPr="00BA47B4" w:rsidRDefault="00E82A60" w:rsidP="00300A01">
            <w:pPr>
              <w:spacing w:before="0" w:after="0"/>
              <w:rPr>
                <w:sz w:val="12"/>
                <w:szCs w:val="12"/>
                <w:lang w:val="fr-BE"/>
              </w:rPr>
            </w:pPr>
            <w:r>
              <w:rPr>
                <w:noProof/>
                <w:sz w:val="12"/>
                <w:szCs w:val="12"/>
                <w:lang w:val="fr-BE"/>
              </w:rPr>
              <w:t>CO16</w:t>
            </w:r>
          </w:p>
        </w:tc>
        <w:tc>
          <w:tcPr>
            <w:tcW w:w="0" w:type="auto"/>
            <w:shd w:val="clear" w:color="auto" w:fill="auto"/>
          </w:tcPr>
          <w:p w14:paraId="59A0BC32" w14:textId="77777777" w:rsidR="008C5CFA" w:rsidRPr="00BA47B4" w:rsidRDefault="00E82A60" w:rsidP="00300A01">
            <w:pPr>
              <w:spacing w:before="0" w:after="0"/>
              <w:rPr>
                <w:sz w:val="12"/>
                <w:szCs w:val="12"/>
                <w:lang w:val="fr-BE"/>
              </w:rPr>
            </w:pPr>
            <w:r>
              <w:rPr>
                <w:noProof/>
                <w:sz w:val="12"/>
                <w:szCs w:val="12"/>
                <w:lang w:val="fr-BE"/>
              </w:rPr>
              <w:t>uczestnicy z niepełnosprawnościami</w:t>
            </w:r>
          </w:p>
        </w:tc>
        <w:tc>
          <w:tcPr>
            <w:tcW w:w="0" w:type="auto"/>
            <w:shd w:val="clear" w:color="auto" w:fill="auto"/>
          </w:tcPr>
          <w:p w14:paraId="06609FF6" w14:textId="77777777" w:rsidR="008C5CFA" w:rsidRPr="00BA47B4" w:rsidRDefault="00E82A60"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14:paraId="43E55305" w14:textId="77777777" w:rsidR="008C5CFA" w:rsidRPr="00BA47B4" w:rsidRDefault="00E82A60" w:rsidP="00300A01">
            <w:pPr>
              <w:spacing w:before="0" w:after="0"/>
              <w:jc w:val="right"/>
              <w:rPr>
                <w:sz w:val="12"/>
                <w:szCs w:val="12"/>
                <w:lang w:val="fr-BE"/>
              </w:rPr>
            </w:pPr>
            <w:r>
              <w:rPr>
                <w:noProof/>
                <w:sz w:val="12"/>
                <w:szCs w:val="12"/>
                <w:lang w:val="fr-BE"/>
              </w:rPr>
              <w:t>1 335,00</w:t>
            </w:r>
          </w:p>
        </w:tc>
        <w:tc>
          <w:tcPr>
            <w:tcW w:w="0" w:type="auto"/>
            <w:shd w:val="clear" w:color="auto" w:fill="auto"/>
          </w:tcPr>
          <w:p w14:paraId="4FAEB890" w14:textId="77777777" w:rsidR="008C5CFA" w:rsidRPr="00BA47B4" w:rsidRDefault="008C5CFA" w:rsidP="00300A01">
            <w:pPr>
              <w:spacing w:before="0" w:after="0"/>
              <w:jc w:val="right"/>
              <w:rPr>
                <w:sz w:val="12"/>
                <w:szCs w:val="12"/>
                <w:lang w:val="fr-BE"/>
              </w:rPr>
            </w:pPr>
          </w:p>
        </w:tc>
        <w:tc>
          <w:tcPr>
            <w:tcW w:w="0" w:type="auto"/>
            <w:shd w:val="clear" w:color="auto" w:fill="auto"/>
          </w:tcPr>
          <w:p w14:paraId="7CEB4CAB" w14:textId="77777777" w:rsidR="008C5CFA" w:rsidRPr="00BA47B4" w:rsidRDefault="008C5CFA" w:rsidP="00300A01">
            <w:pPr>
              <w:spacing w:before="0" w:after="0"/>
              <w:jc w:val="right"/>
              <w:rPr>
                <w:sz w:val="12"/>
                <w:szCs w:val="12"/>
                <w:lang w:val="fr-BE"/>
              </w:rPr>
            </w:pPr>
          </w:p>
        </w:tc>
        <w:tc>
          <w:tcPr>
            <w:tcW w:w="0" w:type="auto"/>
            <w:shd w:val="clear" w:color="auto" w:fill="auto"/>
          </w:tcPr>
          <w:p w14:paraId="69E92C96" w14:textId="77777777" w:rsidR="008C5CFA" w:rsidRPr="00BA47B4" w:rsidRDefault="00E82A60" w:rsidP="00300A01">
            <w:pPr>
              <w:spacing w:before="0" w:after="0"/>
              <w:jc w:val="right"/>
              <w:rPr>
                <w:sz w:val="12"/>
                <w:szCs w:val="12"/>
                <w:lang w:val="fr-BE"/>
              </w:rPr>
            </w:pPr>
            <w:r w:rsidRPr="00BA47B4">
              <w:rPr>
                <w:noProof/>
                <w:sz w:val="12"/>
                <w:szCs w:val="12"/>
                <w:lang w:val="fr-BE"/>
              </w:rPr>
              <w:t>761,00</w:t>
            </w:r>
          </w:p>
        </w:tc>
        <w:tc>
          <w:tcPr>
            <w:tcW w:w="0" w:type="auto"/>
            <w:shd w:val="clear" w:color="auto" w:fill="auto"/>
          </w:tcPr>
          <w:p w14:paraId="3160690F" w14:textId="77777777" w:rsidR="008C5CFA" w:rsidRPr="00BA47B4" w:rsidRDefault="00E82A60" w:rsidP="00300A01">
            <w:pPr>
              <w:spacing w:before="0" w:after="0"/>
              <w:jc w:val="right"/>
              <w:rPr>
                <w:sz w:val="12"/>
                <w:szCs w:val="12"/>
                <w:lang w:val="fr-BE"/>
              </w:rPr>
            </w:pPr>
            <w:r w:rsidRPr="00BA47B4">
              <w:rPr>
                <w:noProof/>
                <w:sz w:val="12"/>
                <w:szCs w:val="12"/>
                <w:lang w:val="fr-BE"/>
              </w:rPr>
              <w:t>344,00</w:t>
            </w:r>
          </w:p>
        </w:tc>
        <w:tc>
          <w:tcPr>
            <w:tcW w:w="0" w:type="auto"/>
            <w:shd w:val="clear" w:color="auto" w:fill="auto"/>
          </w:tcPr>
          <w:p w14:paraId="5AAB33DF" w14:textId="77777777" w:rsidR="008C5CFA" w:rsidRPr="00BA47B4" w:rsidRDefault="00E82A60" w:rsidP="00300A01">
            <w:pPr>
              <w:spacing w:before="0" w:after="0"/>
              <w:jc w:val="right"/>
              <w:rPr>
                <w:sz w:val="12"/>
                <w:szCs w:val="12"/>
                <w:lang w:val="fr-BE"/>
              </w:rPr>
            </w:pPr>
            <w:r w:rsidRPr="00BA47B4">
              <w:rPr>
                <w:noProof/>
                <w:sz w:val="12"/>
                <w:szCs w:val="12"/>
                <w:lang w:val="fr-BE"/>
              </w:rPr>
              <w:t>417,00</w:t>
            </w:r>
          </w:p>
        </w:tc>
        <w:tc>
          <w:tcPr>
            <w:tcW w:w="0" w:type="auto"/>
            <w:shd w:val="clear" w:color="auto" w:fill="auto"/>
          </w:tcPr>
          <w:p w14:paraId="74F1E087" w14:textId="77777777" w:rsidR="008C5CFA" w:rsidRPr="00BA47B4" w:rsidRDefault="00E82A60" w:rsidP="00300A01">
            <w:pPr>
              <w:spacing w:before="0" w:after="0"/>
              <w:jc w:val="right"/>
              <w:rPr>
                <w:sz w:val="12"/>
                <w:szCs w:val="12"/>
                <w:lang w:val="fr-BE"/>
              </w:rPr>
            </w:pPr>
            <w:r>
              <w:rPr>
                <w:noProof/>
                <w:sz w:val="12"/>
                <w:szCs w:val="12"/>
                <w:lang w:val="fr-BE"/>
              </w:rPr>
              <w:t>0,57</w:t>
            </w:r>
          </w:p>
        </w:tc>
        <w:tc>
          <w:tcPr>
            <w:tcW w:w="0" w:type="auto"/>
            <w:shd w:val="clear" w:color="auto" w:fill="auto"/>
          </w:tcPr>
          <w:p w14:paraId="7E3F982B" w14:textId="77777777" w:rsidR="008C5CFA" w:rsidRPr="00BA47B4" w:rsidRDefault="008C5CFA" w:rsidP="00300A01">
            <w:pPr>
              <w:spacing w:before="0" w:after="0"/>
              <w:jc w:val="right"/>
              <w:rPr>
                <w:sz w:val="12"/>
                <w:szCs w:val="12"/>
                <w:lang w:val="fr-BE"/>
              </w:rPr>
            </w:pPr>
          </w:p>
        </w:tc>
        <w:tc>
          <w:tcPr>
            <w:tcW w:w="0" w:type="auto"/>
            <w:shd w:val="clear" w:color="auto" w:fill="auto"/>
          </w:tcPr>
          <w:p w14:paraId="68BDB702" w14:textId="77777777" w:rsidR="008C5CFA" w:rsidRPr="00BA47B4" w:rsidRDefault="008C5CFA" w:rsidP="00300A01">
            <w:pPr>
              <w:spacing w:before="0" w:after="0"/>
              <w:jc w:val="right"/>
              <w:rPr>
                <w:sz w:val="12"/>
                <w:szCs w:val="12"/>
                <w:lang w:val="fr-BE"/>
              </w:rPr>
            </w:pPr>
          </w:p>
        </w:tc>
        <w:tc>
          <w:tcPr>
            <w:tcW w:w="0" w:type="auto"/>
          </w:tcPr>
          <w:p w14:paraId="5122BEA3" w14:textId="77777777" w:rsidR="008C5CFA" w:rsidRPr="00A92B39" w:rsidRDefault="00E82A60" w:rsidP="00300A01">
            <w:pPr>
              <w:spacing w:before="0" w:after="0"/>
              <w:jc w:val="right"/>
              <w:rPr>
                <w:sz w:val="10"/>
                <w:szCs w:val="10"/>
                <w:lang w:val="fr-BE"/>
              </w:rPr>
            </w:pPr>
            <w:r w:rsidRPr="00A92B39">
              <w:rPr>
                <w:noProof/>
                <w:sz w:val="10"/>
                <w:szCs w:val="10"/>
                <w:lang w:val="fr-BE"/>
              </w:rPr>
              <w:t>236,00</w:t>
            </w:r>
          </w:p>
        </w:tc>
        <w:tc>
          <w:tcPr>
            <w:tcW w:w="0" w:type="auto"/>
            <w:shd w:val="clear" w:color="auto" w:fill="auto"/>
          </w:tcPr>
          <w:p w14:paraId="3CF8572B" w14:textId="77777777" w:rsidR="008C5CFA" w:rsidRPr="00A92B39" w:rsidRDefault="00E82A60" w:rsidP="00300A01">
            <w:pPr>
              <w:spacing w:before="0" w:after="0"/>
              <w:jc w:val="right"/>
              <w:rPr>
                <w:sz w:val="10"/>
                <w:szCs w:val="10"/>
                <w:lang w:val="fr-BE"/>
              </w:rPr>
            </w:pPr>
            <w:r w:rsidRPr="00A92B39">
              <w:rPr>
                <w:noProof/>
                <w:sz w:val="10"/>
                <w:szCs w:val="10"/>
                <w:lang w:val="fr-BE"/>
              </w:rPr>
              <w:t>108,00</w:t>
            </w:r>
          </w:p>
        </w:tc>
        <w:tc>
          <w:tcPr>
            <w:tcW w:w="0" w:type="auto"/>
            <w:shd w:val="clear" w:color="auto" w:fill="auto"/>
          </w:tcPr>
          <w:p w14:paraId="1E34F24D" w14:textId="77777777" w:rsidR="008C5CFA" w:rsidRPr="00BA47B4" w:rsidRDefault="00E82A60" w:rsidP="00300A01">
            <w:pPr>
              <w:spacing w:before="0" w:after="0"/>
              <w:jc w:val="right"/>
              <w:rPr>
                <w:sz w:val="12"/>
                <w:szCs w:val="12"/>
                <w:lang w:val="fr-BE"/>
              </w:rPr>
            </w:pPr>
            <w:r w:rsidRPr="00A92B39">
              <w:rPr>
                <w:noProof/>
                <w:sz w:val="10"/>
                <w:szCs w:val="10"/>
                <w:lang w:val="fr-BE"/>
              </w:rPr>
              <w:t>128,00</w:t>
            </w:r>
          </w:p>
        </w:tc>
      </w:tr>
      <w:tr w:rsidR="006B2EC1" w14:paraId="7559D008" w14:textId="77777777" w:rsidTr="0047688D">
        <w:tc>
          <w:tcPr>
            <w:tcW w:w="0" w:type="auto"/>
            <w:shd w:val="clear" w:color="auto" w:fill="auto"/>
          </w:tcPr>
          <w:p w14:paraId="6B01F83F" w14:textId="77777777" w:rsidR="008C5CFA" w:rsidRPr="00BA47B4" w:rsidRDefault="00E82A60" w:rsidP="00300A01">
            <w:pPr>
              <w:spacing w:before="0" w:after="0"/>
              <w:rPr>
                <w:sz w:val="12"/>
                <w:szCs w:val="12"/>
                <w:lang w:val="fr-BE"/>
              </w:rPr>
            </w:pPr>
            <w:r>
              <w:rPr>
                <w:noProof/>
                <w:sz w:val="12"/>
                <w:szCs w:val="12"/>
                <w:lang w:val="fr-BE"/>
              </w:rPr>
              <w:t>CO17</w:t>
            </w:r>
          </w:p>
        </w:tc>
        <w:tc>
          <w:tcPr>
            <w:tcW w:w="0" w:type="auto"/>
            <w:shd w:val="clear" w:color="auto" w:fill="auto"/>
          </w:tcPr>
          <w:p w14:paraId="459D6C04" w14:textId="77777777" w:rsidR="008C5CFA" w:rsidRPr="00BA47B4" w:rsidRDefault="00E82A60" w:rsidP="00300A01">
            <w:pPr>
              <w:spacing w:before="0" w:after="0"/>
              <w:rPr>
                <w:sz w:val="12"/>
                <w:szCs w:val="12"/>
                <w:lang w:val="fr-BE"/>
              </w:rPr>
            </w:pPr>
            <w:r>
              <w:rPr>
                <w:noProof/>
                <w:sz w:val="12"/>
                <w:szCs w:val="12"/>
                <w:lang w:val="fr-BE"/>
              </w:rPr>
              <w:t>inne osoby w niekorzystnej sytuacji społecznej</w:t>
            </w:r>
          </w:p>
        </w:tc>
        <w:tc>
          <w:tcPr>
            <w:tcW w:w="0" w:type="auto"/>
            <w:shd w:val="clear" w:color="auto" w:fill="auto"/>
          </w:tcPr>
          <w:p w14:paraId="4345BB48" w14:textId="77777777" w:rsidR="008C5CFA" w:rsidRPr="00BA47B4" w:rsidRDefault="00E82A60"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14:paraId="652E8D39" w14:textId="77777777" w:rsidR="008C5CFA" w:rsidRPr="00BA47B4" w:rsidRDefault="008C5CFA" w:rsidP="00300A01">
            <w:pPr>
              <w:spacing w:before="0" w:after="0"/>
              <w:jc w:val="right"/>
              <w:rPr>
                <w:sz w:val="12"/>
                <w:szCs w:val="12"/>
                <w:lang w:val="fr-BE"/>
              </w:rPr>
            </w:pPr>
          </w:p>
        </w:tc>
        <w:tc>
          <w:tcPr>
            <w:tcW w:w="0" w:type="auto"/>
            <w:shd w:val="clear" w:color="auto" w:fill="auto"/>
          </w:tcPr>
          <w:p w14:paraId="45ECBC44" w14:textId="77777777" w:rsidR="008C5CFA" w:rsidRPr="00BA47B4" w:rsidRDefault="008C5CFA" w:rsidP="00300A01">
            <w:pPr>
              <w:spacing w:before="0" w:after="0"/>
              <w:jc w:val="right"/>
              <w:rPr>
                <w:sz w:val="12"/>
                <w:szCs w:val="12"/>
                <w:lang w:val="fr-BE"/>
              </w:rPr>
            </w:pPr>
          </w:p>
        </w:tc>
        <w:tc>
          <w:tcPr>
            <w:tcW w:w="0" w:type="auto"/>
            <w:shd w:val="clear" w:color="auto" w:fill="auto"/>
          </w:tcPr>
          <w:p w14:paraId="25FF6082" w14:textId="77777777" w:rsidR="008C5CFA" w:rsidRPr="00BA47B4" w:rsidRDefault="008C5CFA" w:rsidP="00300A01">
            <w:pPr>
              <w:spacing w:before="0" w:after="0"/>
              <w:jc w:val="right"/>
              <w:rPr>
                <w:sz w:val="12"/>
                <w:szCs w:val="12"/>
                <w:lang w:val="fr-BE"/>
              </w:rPr>
            </w:pPr>
          </w:p>
        </w:tc>
        <w:tc>
          <w:tcPr>
            <w:tcW w:w="0" w:type="auto"/>
            <w:shd w:val="clear" w:color="auto" w:fill="auto"/>
          </w:tcPr>
          <w:p w14:paraId="512632F8" w14:textId="77777777" w:rsidR="008C5CFA" w:rsidRPr="00BA47B4" w:rsidRDefault="00E82A60" w:rsidP="00300A01">
            <w:pPr>
              <w:spacing w:before="0" w:after="0"/>
              <w:jc w:val="right"/>
              <w:rPr>
                <w:sz w:val="12"/>
                <w:szCs w:val="12"/>
                <w:lang w:val="fr-BE"/>
              </w:rPr>
            </w:pPr>
            <w:r w:rsidRPr="00BA47B4">
              <w:rPr>
                <w:noProof/>
                <w:sz w:val="12"/>
                <w:szCs w:val="12"/>
                <w:lang w:val="fr-BE"/>
              </w:rPr>
              <w:t>2 362,00</w:t>
            </w:r>
          </w:p>
        </w:tc>
        <w:tc>
          <w:tcPr>
            <w:tcW w:w="0" w:type="auto"/>
            <w:shd w:val="clear" w:color="auto" w:fill="auto"/>
          </w:tcPr>
          <w:p w14:paraId="417E2278" w14:textId="77777777" w:rsidR="008C5CFA" w:rsidRPr="00BA47B4" w:rsidRDefault="00E82A60" w:rsidP="00300A01">
            <w:pPr>
              <w:spacing w:before="0" w:after="0"/>
              <w:jc w:val="right"/>
              <w:rPr>
                <w:sz w:val="12"/>
                <w:szCs w:val="12"/>
                <w:lang w:val="fr-BE"/>
              </w:rPr>
            </w:pPr>
            <w:r w:rsidRPr="00BA47B4">
              <w:rPr>
                <w:noProof/>
                <w:sz w:val="12"/>
                <w:szCs w:val="12"/>
                <w:lang w:val="fr-BE"/>
              </w:rPr>
              <w:t>800,00</w:t>
            </w:r>
          </w:p>
        </w:tc>
        <w:tc>
          <w:tcPr>
            <w:tcW w:w="0" w:type="auto"/>
            <w:shd w:val="clear" w:color="auto" w:fill="auto"/>
          </w:tcPr>
          <w:p w14:paraId="1EFD2F49" w14:textId="77777777" w:rsidR="008C5CFA" w:rsidRPr="00BA47B4" w:rsidRDefault="00E82A60" w:rsidP="00300A01">
            <w:pPr>
              <w:spacing w:before="0" w:after="0"/>
              <w:jc w:val="right"/>
              <w:rPr>
                <w:sz w:val="12"/>
                <w:szCs w:val="12"/>
                <w:lang w:val="fr-BE"/>
              </w:rPr>
            </w:pPr>
            <w:r w:rsidRPr="00BA47B4">
              <w:rPr>
                <w:noProof/>
                <w:sz w:val="12"/>
                <w:szCs w:val="12"/>
                <w:lang w:val="fr-BE"/>
              </w:rPr>
              <w:t>1 562,00</w:t>
            </w:r>
          </w:p>
        </w:tc>
        <w:tc>
          <w:tcPr>
            <w:tcW w:w="0" w:type="auto"/>
            <w:shd w:val="clear" w:color="auto" w:fill="auto"/>
          </w:tcPr>
          <w:p w14:paraId="720BC741" w14:textId="77777777" w:rsidR="008C5CFA" w:rsidRPr="00BA47B4" w:rsidRDefault="008C5CFA" w:rsidP="00300A01">
            <w:pPr>
              <w:spacing w:before="0" w:after="0"/>
              <w:jc w:val="right"/>
              <w:rPr>
                <w:sz w:val="12"/>
                <w:szCs w:val="12"/>
                <w:lang w:val="fr-BE"/>
              </w:rPr>
            </w:pPr>
          </w:p>
        </w:tc>
        <w:tc>
          <w:tcPr>
            <w:tcW w:w="0" w:type="auto"/>
            <w:shd w:val="clear" w:color="auto" w:fill="auto"/>
          </w:tcPr>
          <w:p w14:paraId="48E7EA3F" w14:textId="77777777" w:rsidR="008C5CFA" w:rsidRPr="00BA47B4" w:rsidRDefault="008C5CFA" w:rsidP="00300A01">
            <w:pPr>
              <w:spacing w:before="0" w:after="0"/>
              <w:jc w:val="right"/>
              <w:rPr>
                <w:sz w:val="12"/>
                <w:szCs w:val="12"/>
                <w:lang w:val="fr-BE"/>
              </w:rPr>
            </w:pPr>
          </w:p>
        </w:tc>
        <w:tc>
          <w:tcPr>
            <w:tcW w:w="0" w:type="auto"/>
            <w:shd w:val="clear" w:color="auto" w:fill="auto"/>
          </w:tcPr>
          <w:p w14:paraId="04124071" w14:textId="77777777" w:rsidR="008C5CFA" w:rsidRPr="00BA47B4" w:rsidRDefault="008C5CFA" w:rsidP="00300A01">
            <w:pPr>
              <w:spacing w:before="0" w:after="0"/>
              <w:jc w:val="right"/>
              <w:rPr>
                <w:sz w:val="12"/>
                <w:szCs w:val="12"/>
                <w:lang w:val="fr-BE"/>
              </w:rPr>
            </w:pPr>
          </w:p>
        </w:tc>
        <w:tc>
          <w:tcPr>
            <w:tcW w:w="0" w:type="auto"/>
          </w:tcPr>
          <w:p w14:paraId="4B3EE274" w14:textId="77777777" w:rsidR="008C5CFA" w:rsidRPr="00A92B39" w:rsidRDefault="00E82A60" w:rsidP="00300A01">
            <w:pPr>
              <w:spacing w:before="0" w:after="0"/>
              <w:jc w:val="right"/>
              <w:rPr>
                <w:sz w:val="10"/>
                <w:szCs w:val="10"/>
                <w:lang w:val="fr-BE"/>
              </w:rPr>
            </w:pPr>
            <w:r w:rsidRPr="00A92B39">
              <w:rPr>
                <w:noProof/>
                <w:sz w:val="10"/>
                <w:szCs w:val="10"/>
                <w:lang w:val="fr-BE"/>
              </w:rPr>
              <w:t>947,00</w:t>
            </w:r>
          </w:p>
        </w:tc>
        <w:tc>
          <w:tcPr>
            <w:tcW w:w="0" w:type="auto"/>
            <w:shd w:val="clear" w:color="auto" w:fill="auto"/>
          </w:tcPr>
          <w:p w14:paraId="468246D8" w14:textId="77777777" w:rsidR="008C5CFA" w:rsidRPr="00A92B39" w:rsidRDefault="00E82A60" w:rsidP="00300A01">
            <w:pPr>
              <w:spacing w:before="0" w:after="0"/>
              <w:jc w:val="right"/>
              <w:rPr>
                <w:sz w:val="10"/>
                <w:szCs w:val="10"/>
                <w:lang w:val="fr-BE"/>
              </w:rPr>
            </w:pPr>
            <w:r w:rsidRPr="00A92B39">
              <w:rPr>
                <w:noProof/>
                <w:sz w:val="10"/>
                <w:szCs w:val="10"/>
                <w:lang w:val="fr-BE"/>
              </w:rPr>
              <w:t>289,00</w:t>
            </w:r>
          </w:p>
        </w:tc>
        <w:tc>
          <w:tcPr>
            <w:tcW w:w="0" w:type="auto"/>
            <w:shd w:val="clear" w:color="auto" w:fill="auto"/>
          </w:tcPr>
          <w:p w14:paraId="0EE4A9FC" w14:textId="77777777" w:rsidR="008C5CFA" w:rsidRPr="00BA47B4" w:rsidRDefault="00E82A60" w:rsidP="00300A01">
            <w:pPr>
              <w:spacing w:before="0" w:after="0"/>
              <w:jc w:val="right"/>
              <w:rPr>
                <w:sz w:val="12"/>
                <w:szCs w:val="12"/>
                <w:lang w:val="fr-BE"/>
              </w:rPr>
            </w:pPr>
            <w:r w:rsidRPr="00A92B39">
              <w:rPr>
                <w:noProof/>
                <w:sz w:val="10"/>
                <w:szCs w:val="10"/>
                <w:lang w:val="fr-BE"/>
              </w:rPr>
              <w:t>658,00</w:t>
            </w:r>
          </w:p>
        </w:tc>
      </w:tr>
      <w:tr w:rsidR="006B2EC1" w14:paraId="126DF6D7" w14:textId="77777777" w:rsidTr="0047688D">
        <w:tc>
          <w:tcPr>
            <w:tcW w:w="0" w:type="auto"/>
            <w:shd w:val="clear" w:color="auto" w:fill="auto"/>
          </w:tcPr>
          <w:p w14:paraId="118EB88C" w14:textId="77777777" w:rsidR="008C5CFA" w:rsidRPr="00BA47B4" w:rsidRDefault="00E82A60" w:rsidP="00300A01">
            <w:pPr>
              <w:spacing w:before="0" w:after="0"/>
              <w:rPr>
                <w:sz w:val="12"/>
                <w:szCs w:val="12"/>
                <w:lang w:val="fr-BE"/>
              </w:rPr>
            </w:pPr>
            <w:r>
              <w:rPr>
                <w:noProof/>
                <w:sz w:val="12"/>
                <w:szCs w:val="12"/>
                <w:lang w:val="fr-BE"/>
              </w:rPr>
              <w:t>CO18</w:t>
            </w:r>
          </w:p>
        </w:tc>
        <w:tc>
          <w:tcPr>
            <w:tcW w:w="0" w:type="auto"/>
            <w:shd w:val="clear" w:color="auto" w:fill="auto"/>
          </w:tcPr>
          <w:p w14:paraId="2B4A8D3B" w14:textId="77777777" w:rsidR="008C5CFA" w:rsidRPr="00BA47B4" w:rsidRDefault="00E82A60" w:rsidP="00300A01">
            <w:pPr>
              <w:spacing w:before="0" w:after="0"/>
              <w:rPr>
                <w:sz w:val="12"/>
                <w:szCs w:val="12"/>
                <w:lang w:val="fr-BE"/>
              </w:rPr>
            </w:pPr>
            <w:r>
              <w:rPr>
                <w:noProof/>
                <w:sz w:val="12"/>
                <w:szCs w:val="12"/>
                <w:lang w:val="fr-BE"/>
              </w:rPr>
              <w:t>osoby bezdomne lub dotknięte wykluczeniem z dostępu do mieszkań</w:t>
            </w:r>
          </w:p>
        </w:tc>
        <w:tc>
          <w:tcPr>
            <w:tcW w:w="0" w:type="auto"/>
            <w:shd w:val="clear" w:color="auto" w:fill="auto"/>
          </w:tcPr>
          <w:p w14:paraId="6618D704" w14:textId="77777777" w:rsidR="008C5CFA" w:rsidRPr="00BA47B4" w:rsidRDefault="00E82A60"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14:paraId="61FD9256" w14:textId="77777777" w:rsidR="008C5CFA" w:rsidRPr="00BA47B4" w:rsidRDefault="008C5CFA" w:rsidP="00300A01">
            <w:pPr>
              <w:spacing w:before="0" w:after="0"/>
              <w:jc w:val="right"/>
              <w:rPr>
                <w:sz w:val="12"/>
                <w:szCs w:val="12"/>
                <w:lang w:val="fr-BE"/>
              </w:rPr>
            </w:pPr>
          </w:p>
        </w:tc>
        <w:tc>
          <w:tcPr>
            <w:tcW w:w="0" w:type="auto"/>
            <w:shd w:val="clear" w:color="auto" w:fill="auto"/>
          </w:tcPr>
          <w:p w14:paraId="57E3DDEF" w14:textId="77777777" w:rsidR="008C5CFA" w:rsidRPr="00BA47B4" w:rsidRDefault="008C5CFA" w:rsidP="00300A01">
            <w:pPr>
              <w:spacing w:before="0" w:after="0"/>
              <w:jc w:val="right"/>
              <w:rPr>
                <w:sz w:val="12"/>
                <w:szCs w:val="12"/>
                <w:lang w:val="fr-BE"/>
              </w:rPr>
            </w:pPr>
          </w:p>
        </w:tc>
        <w:tc>
          <w:tcPr>
            <w:tcW w:w="0" w:type="auto"/>
            <w:shd w:val="clear" w:color="auto" w:fill="auto"/>
          </w:tcPr>
          <w:p w14:paraId="5BC5FADB" w14:textId="77777777" w:rsidR="008C5CFA" w:rsidRPr="00BA47B4" w:rsidRDefault="008C5CFA" w:rsidP="00300A01">
            <w:pPr>
              <w:spacing w:before="0" w:after="0"/>
              <w:jc w:val="right"/>
              <w:rPr>
                <w:sz w:val="12"/>
                <w:szCs w:val="12"/>
                <w:lang w:val="fr-BE"/>
              </w:rPr>
            </w:pPr>
          </w:p>
        </w:tc>
        <w:tc>
          <w:tcPr>
            <w:tcW w:w="0" w:type="auto"/>
            <w:shd w:val="clear" w:color="auto" w:fill="auto"/>
          </w:tcPr>
          <w:p w14:paraId="55358603" w14:textId="77777777" w:rsidR="008C5CFA" w:rsidRPr="00BA47B4" w:rsidRDefault="00E82A60" w:rsidP="00300A01">
            <w:pPr>
              <w:spacing w:before="0" w:after="0"/>
              <w:jc w:val="right"/>
              <w:rPr>
                <w:sz w:val="12"/>
                <w:szCs w:val="12"/>
                <w:lang w:val="fr-BE"/>
              </w:rPr>
            </w:pPr>
            <w:r w:rsidRPr="00BA47B4">
              <w:rPr>
                <w:noProof/>
                <w:sz w:val="12"/>
                <w:szCs w:val="12"/>
                <w:lang w:val="fr-BE"/>
              </w:rPr>
              <w:t>170,00</w:t>
            </w:r>
          </w:p>
        </w:tc>
        <w:tc>
          <w:tcPr>
            <w:tcW w:w="0" w:type="auto"/>
            <w:shd w:val="clear" w:color="auto" w:fill="auto"/>
          </w:tcPr>
          <w:p w14:paraId="016314DC" w14:textId="77777777" w:rsidR="008C5CFA" w:rsidRPr="00BA47B4" w:rsidRDefault="00E82A60" w:rsidP="00300A01">
            <w:pPr>
              <w:spacing w:before="0" w:after="0"/>
              <w:jc w:val="right"/>
              <w:rPr>
                <w:sz w:val="12"/>
                <w:szCs w:val="12"/>
                <w:lang w:val="fr-BE"/>
              </w:rPr>
            </w:pPr>
            <w:r w:rsidRPr="00BA47B4">
              <w:rPr>
                <w:noProof/>
                <w:sz w:val="12"/>
                <w:szCs w:val="12"/>
                <w:lang w:val="fr-BE"/>
              </w:rPr>
              <w:t>114,00</w:t>
            </w:r>
          </w:p>
        </w:tc>
        <w:tc>
          <w:tcPr>
            <w:tcW w:w="0" w:type="auto"/>
            <w:shd w:val="clear" w:color="auto" w:fill="auto"/>
          </w:tcPr>
          <w:p w14:paraId="5123E163" w14:textId="77777777" w:rsidR="008C5CFA" w:rsidRPr="00BA47B4" w:rsidRDefault="00E82A60" w:rsidP="00300A01">
            <w:pPr>
              <w:spacing w:before="0" w:after="0"/>
              <w:jc w:val="right"/>
              <w:rPr>
                <w:sz w:val="12"/>
                <w:szCs w:val="12"/>
                <w:lang w:val="fr-BE"/>
              </w:rPr>
            </w:pPr>
            <w:r w:rsidRPr="00BA47B4">
              <w:rPr>
                <w:noProof/>
                <w:sz w:val="12"/>
                <w:szCs w:val="12"/>
                <w:lang w:val="fr-BE"/>
              </w:rPr>
              <w:t>56,00</w:t>
            </w:r>
          </w:p>
        </w:tc>
        <w:tc>
          <w:tcPr>
            <w:tcW w:w="0" w:type="auto"/>
            <w:shd w:val="clear" w:color="auto" w:fill="auto"/>
          </w:tcPr>
          <w:p w14:paraId="688A65E9" w14:textId="77777777" w:rsidR="008C5CFA" w:rsidRPr="00BA47B4" w:rsidRDefault="008C5CFA" w:rsidP="00300A01">
            <w:pPr>
              <w:spacing w:before="0" w:after="0"/>
              <w:jc w:val="right"/>
              <w:rPr>
                <w:sz w:val="12"/>
                <w:szCs w:val="12"/>
                <w:lang w:val="fr-BE"/>
              </w:rPr>
            </w:pPr>
          </w:p>
        </w:tc>
        <w:tc>
          <w:tcPr>
            <w:tcW w:w="0" w:type="auto"/>
            <w:shd w:val="clear" w:color="auto" w:fill="auto"/>
          </w:tcPr>
          <w:p w14:paraId="207483DF" w14:textId="77777777" w:rsidR="008C5CFA" w:rsidRPr="00BA47B4" w:rsidRDefault="008C5CFA" w:rsidP="00300A01">
            <w:pPr>
              <w:spacing w:before="0" w:after="0"/>
              <w:jc w:val="right"/>
              <w:rPr>
                <w:sz w:val="12"/>
                <w:szCs w:val="12"/>
                <w:lang w:val="fr-BE"/>
              </w:rPr>
            </w:pPr>
          </w:p>
        </w:tc>
        <w:tc>
          <w:tcPr>
            <w:tcW w:w="0" w:type="auto"/>
            <w:shd w:val="clear" w:color="auto" w:fill="auto"/>
          </w:tcPr>
          <w:p w14:paraId="30F3CEE4" w14:textId="77777777" w:rsidR="008C5CFA" w:rsidRPr="00BA47B4" w:rsidRDefault="008C5CFA" w:rsidP="00300A01">
            <w:pPr>
              <w:spacing w:before="0" w:after="0"/>
              <w:jc w:val="right"/>
              <w:rPr>
                <w:sz w:val="12"/>
                <w:szCs w:val="12"/>
                <w:lang w:val="fr-BE"/>
              </w:rPr>
            </w:pPr>
          </w:p>
        </w:tc>
        <w:tc>
          <w:tcPr>
            <w:tcW w:w="0" w:type="auto"/>
          </w:tcPr>
          <w:p w14:paraId="1454C23E" w14:textId="77777777" w:rsidR="008C5CFA" w:rsidRPr="00A92B39" w:rsidRDefault="00E82A60" w:rsidP="00300A01">
            <w:pPr>
              <w:spacing w:before="0" w:after="0"/>
              <w:jc w:val="right"/>
              <w:rPr>
                <w:sz w:val="10"/>
                <w:szCs w:val="10"/>
                <w:lang w:val="fr-BE"/>
              </w:rPr>
            </w:pPr>
            <w:r w:rsidRPr="00A92B39">
              <w:rPr>
                <w:noProof/>
                <w:sz w:val="10"/>
                <w:szCs w:val="10"/>
                <w:lang w:val="fr-BE"/>
              </w:rPr>
              <w:t>59,00</w:t>
            </w:r>
          </w:p>
        </w:tc>
        <w:tc>
          <w:tcPr>
            <w:tcW w:w="0" w:type="auto"/>
            <w:shd w:val="clear" w:color="auto" w:fill="auto"/>
          </w:tcPr>
          <w:p w14:paraId="12AC8DF5" w14:textId="77777777" w:rsidR="008C5CFA" w:rsidRPr="00A92B39" w:rsidRDefault="00E82A60" w:rsidP="00300A01">
            <w:pPr>
              <w:spacing w:before="0" w:after="0"/>
              <w:jc w:val="right"/>
              <w:rPr>
                <w:sz w:val="10"/>
                <w:szCs w:val="10"/>
                <w:lang w:val="fr-BE"/>
              </w:rPr>
            </w:pPr>
            <w:r w:rsidRPr="00A92B39">
              <w:rPr>
                <w:noProof/>
                <w:sz w:val="10"/>
                <w:szCs w:val="10"/>
                <w:lang w:val="fr-BE"/>
              </w:rPr>
              <w:t>48,00</w:t>
            </w:r>
          </w:p>
        </w:tc>
        <w:tc>
          <w:tcPr>
            <w:tcW w:w="0" w:type="auto"/>
            <w:shd w:val="clear" w:color="auto" w:fill="auto"/>
          </w:tcPr>
          <w:p w14:paraId="00CEA3C9" w14:textId="77777777" w:rsidR="008C5CFA" w:rsidRPr="00BA47B4" w:rsidRDefault="00E82A60" w:rsidP="00300A01">
            <w:pPr>
              <w:spacing w:before="0" w:after="0"/>
              <w:jc w:val="right"/>
              <w:rPr>
                <w:sz w:val="12"/>
                <w:szCs w:val="12"/>
                <w:lang w:val="fr-BE"/>
              </w:rPr>
            </w:pPr>
            <w:r w:rsidRPr="00A92B39">
              <w:rPr>
                <w:noProof/>
                <w:sz w:val="10"/>
                <w:szCs w:val="10"/>
                <w:lang w:val="fr-BE"/>
              </w:rPr>
              <w:t>11,00</w:t>
            </w:r>
          </w:p>
        </w:tc>
      </w:tr>
      <w:tr w:rsidR="006B2EC1" w14:paraId="49E2873C" w14:textId="77777777" w:rsidTr="0047688D">
        <w:tc>
          <w:tcPr>
            <w:tcW w:w="0" w:type="auto"/>
            <w:shd w:val="clear" w:color="auto" w:fill="auto"/>
          </w:tcPr>
          <w:p w14:paraId="1FA35F04" w14:textId="77777777" w:rsidR="008C5CFA" w:rsidRPr="00BA47B4" w:rsidRDefault="00E82A60" w:rsidP="00300A01">
            <w:pPr>
              <w:spacing w:before="0" w:after="0"/>
              <w:rPr>
                <w:sz w:val="12"/>
                <w:szCs w:val="12"/>
                <w:lang w:val="fr-BE"/>
              </w:rPr>
            </w:pPr>
            <w:r>
              <w:rPr>
                <w:noProof/>
                <w:sz w:val="12"/>
                <w:szCs w:val="12"/>
                <w:lang w:val="fr-BE"/>
              </w:rPr>
              <w:t>CO19</w:t>
            </w:r>
          </w:p>
        </w:tc>
        <w:tc>
          <w:tcPr>
            <w:tcW w:w="0" w:type="auto"/>
            <w:shd w:val="clear" w:color="auto" w:fill="auto"/>
          </w:tcPr>
          <w:p w14:paraId="5980D150" w14:textId="77777777" w:rsidR="008C5CFA" w:rsidRPr="00BA47B4" w:rsidRDefault="00E82A60" w:rsidP="00300A01">
            <w:pPr>
              <w:spacing w:before="0" w:after="0"/>
              <w:rPr>
                <w:sz w:val="12"/>
                <w:szCs w:val="12"/>
                <w:lang w:val="fr-BE"/>
              </w:rPr>
            </w:pPr>
            <w:r>
              <w:rPr>
                <w:noProof/>
                <w:sz w:val="12"/>
                <w:szCs w:val="12"/>
                <w:lang w:val="fr-BE"/>
              </w:rPr>
              <w:t>osoby pochodzące z obszarów wiejskich</w:t>
            </w:r>
          </w:p>
        </w:tc>
        <w:tc>
          <w:tcPr>
            <w:tcW w:w="0" w:type="auto"/>
            <w:shd w:val="clear" w:color="auto" w:fill="auto"/>
          </w:tcPr>
          <w:p w14:paraId="3DEADCBE" w14:textId="77777777" w:rsidR="008C5CFA" w:rsidRPr="00BA47B4" w:rsidRDefault="00E82A60"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14:paraId="76232BC1" w14:textId="77777777" w:rsidR="008C5CFA" w:rsidRPr="00BA47B4" w:rsidRDefault="008C5CFA" w:rsidP="00300A01">
            <w:pPr>
              <w:spacing w:before="0" w:after="0"/>
              <w:jc w:val="right"/>
              <w:rPr>
                <w:sz w:val="12"/>
                <w:szCs w:val="12"/>
                <w:lang w:val="fr-BE"/>
              </w:rPr>
            </w:pPr>
          </w:p>
        </w:tc>
        <w:tc>
          <w:tcPr>
            <w:tcW w:w="0" w:type="auto"/>
            <w:shd w:val="clear" w:color="auto" w:fill="auto"/>
          </w:tcPr>
          <w:p w14:paraId="3E5276EF" w14:textId="77777777" w:rsidR="008C5CFA" w:rsidRPr="00BA47B4" w:rsidRDefault="008C5CFA" w:rsidP="00300A01">
            <w:pPr>
              <w:spacing w:before="0" w:after="0"/>
              <w:jc w:val="right"/>
              <w:rPr>
                <w:sz w:val="12"/>
                <w:szCs w:val="12"/>
                <w:lang w:val="fr-BE"/>
              </w:rPr>
            </w:pPr>
          </w:p>
        </w:tc>
        <w:tc>
          <w:tcPr>
            <w:tcW w:w="0" w:type="auto"/>
            <w:shd w:val="clear" w:color="auto" w:fill="auto"/>
          </w:tcPr>
          <w:p w14:paraId="7CA99759" w14:textId="77777777" w:rsidR="008C5CFA" w:rsidRPr="00BA47B4" w:rsidRDefault="008C5CFA" w:rsidP="00300A01">
            <w:pPr>
              <w:spacing w:before="0" w:after="0"/>
              <w:jc w:val="right"/>
              <w:rPr>
                <w:sz w:val="12"/>
                <w:szCs w:val="12"/>
                <w:lang w:val="fr-BE"/>
              </w:rPr>
            </w:pPr>
          </w:p>
        </w:tc>
        <w:tc>
          <w:tcPr>
            <w:tcW w:w="0" w:type="auto"/>
            <w:shd w:val="clear" w:color="auto" w:fill="auto"/>
          </w:tcPr>
          <w:p w14:paraId="11201A16" w14:textId="77777777" w:rsidR="008C5CFA" w:rsidRPr="00BA47B4" w:rsidRDefault="00E82A60" w:rsidP="00300A01">
            <w:pPr>
              <w:spacing w:before="0" w:after="0"/>
              <w:jc w:val="right"/>
              <w:rPr>
                <w:sz w:val="12"/>
                <w:szCs w:val="12"/>
                <w:lang w:val="fr-BE"/>
              </w:rPr>
            </w:pPr>
            <w:r w:rsidRPr="00BA47B4">
              <w:rPr>
                <w:noProof/>
                <w:sz w:val="12"/>
                <w:szCs w:val="12"/>
                <w:lang w:val="fr-BE"/>
              </w:rPr>
              <w:t>1 929,00</w:t>
            </w:r>
          </w:p>
        </w:tc>
        <w:tc>
          <w:tcPr>
            <w:tcW w:w="0" w:type="auto"/>
            <w:shd w:val="clear" w:color="auto" w:fill="auto"/>
          </w:tcPr>
          <w:p w14:paraId="17956F13" w14:textId="77777777" w:rsidR="008C5CFA" w:rsidRPr="00BA47B4" w:rsidRDefault="00E82A60" w:rsidP="00300A01">
            <w:pPr>
              <w:spacing w:before="0" w:after="0"/>
              <w:jc w:val="right"/>
              <w:rPr>
                <w:sz w:val="12"/>
                <w:szCs w:val="12"/>
                <w:lang w:val="fr-BE"/>
              </w:rPr>
            </w:pPr>
            <w:r w:rsidRPr="00BA47B4">
              <w:rPr>
                <w:noProof/>
                <w:sz w:val="12"/>
                <w:szCs w:val="12"/>
                <w:lang w:val="fr-BE"/>
              </w:rPr>
              <w:t>660,00</w:t>
            </w:r>
          </w:p>
        </w:tc>
        <w:tc>
          <w:tcPr>
            <w:tcW w:w="0" w:type="auto"/>
            <w:shd w:val="clear" w:color="auto" w:fill="auto"/>
          </w:tcPr>
          <w:p w14:paraId="5AD2DE67" w14:textId="77777777" w:rsidR="008C5CFA" w:rsidRPr="00BA47B4" w:rsidRDefault="00E82A60" w:rsidP="00300A01">
            <w:pPr>
              <w:spacing w:before="0" w:after="0"/>
              <w:jc w:val="right"/>
              <w:rPr>
                <w:sz w:val="12"/>
                <w:szCs w:val="12"/>
                <w:lang w:val="fr-BE"/>
              </w:rPr>
            </w:pPr>
            <w:r w:rsidRPr="00BA47B4">
              <w:rPr>
                <w:noProof/>
                <w:sz w:val="12"/>
                <w:szCs w:val="12"/>
                <w:lang w:val="fr-BE"/>
              </w:rPr>
              <w:t>1 269,00</w:t>
            </w:r>
          </w:p>
        </w:tc>
        <w:tc>
          <w:tcPr>
            <w:tcW w:w="0" w:type="auto"/>
            <w:shd w:val="clear" w:color="auto" w:fill="auto"/>
          </w:tcPr>
          <w:p w14:paraId="66AAFF97" w14:textId="77777777" w:rsidR="008C5CFA" w:rsidRPr="00BA47B4" w:rsidRDefault="008C5CFA" w:rsidP="00300A01">
            <w:pPr>
              <w:spacing w:before="0" w:after="0"/>
              <w:jc w:val="right"/>
              <w:rPr>
                <w:sz w:val="12"/>
                <w:szCs w:val="12"/>
                <w:lang w:val="fr-BE"/>
              </w:rPr>
            </w:pPr>
          </w:p>
        </w:tc>
        <w:tc>
          <w:tcPr>
            <w:tcW w:w="0" w:type="auto"/>
            <w:shd w:val="clear" w:color="auto" w:fill="auto"/>
          </w:tcPr>
          <w:p w14:paraId="491C2C75" w14:textId="77777777" w:rsidR="008C5CFA" w:rsidRPr="00BA47B4" w:rsidRDefault="008C5CFA" w:rsidP="00300A01">
            <w:pPr>
              <w:spacing w:before="0" w:after="0"/>
              <w:jc w:val="right"/>
              <w:rPr>
                <w:sz w:val="12"/>
                <w:szCs w:val="12"/>
                <w:lang w:val="fr-BE"/>
              </w:rPr>
            </w:pPr>
          </w:p>
        </w:tc>
        <w:tc>
          <w:tcPr>
            <w:tcW w:w="0" w:type="auto"/>
            <w:shd w:val="clear" w:color="auto" w:fill="auto"/>
          </w:tcPr>
          <w:p w14:paraId="58E24DDC" w14:textId="77777777" w:rsidR="008C5CFA" w:rsidRPr="00BA47B4" w:rsidRDefault="008C5CFA" w:rsidP="00300A01">
            <w:pPr>
              <w:spacing w:before="0" w:after="0"/>
              <w:jc w:val="right"/>
              <w:rPr>
                <w:sz w:val="12"/>
                <w:szCs w:val="12"/>
                <w:lang w:val="fr-BE"/>
              </w:rPr>
            </w:pPr>
          </w:p>
        </w:tc>
        <w:tc>
          <w:tcPr>
            <w:tcW w:w="0" w:type="auto"/>
          </w:tcPr>
          <w:p w14:paraId="7CD1C417" w14:textId="77777777" w:rsidR="008C5CFA" w:rsidRPr="00A92B39" w:rsidRDefault="00E82A60" w:rsidP="00300A01">
            <w:pPr>
              <w:spacing w:before="0" w:after="0"/>
              <w:jc w:val="right"/>
              <w:rPr>
                <w:sz w:val="10"/>
                <w:szCs w:val="10"/>
                <w:lang w:val="fr-BE"/>
              </w:rPr>
            </w:pPr>
            <w:r w:rsidRPr="00A92B39">
              <w:rPr>
                <w:noProof/>
                <w:sz w:val="10"/>
                <w:szCs w:val="10"/>
                <w:lang w:val="fr-BE"/>
              </w:rPr>
              <w:t>644,00</w:t>
            </w:r>
          </w:p>
        </w:tc>
        <w:tc>
          <w:tcPr>
            <w:tcW w:w="0" w:type="auto"/>
            <w:shd w:val="clear" w:color="auto" w:fill="auto"/>
          </w:tcPr>
          <w:p w14:paraId="165C9806" w14:textId="77777777" w:rsidR="008C5CFA" w:rsidRPr="00A92B39" w:rsidRDefault="00E82A60" w:rsidP="00300A01">
            <w:pPr>
              <w:spacing w:before="0" w:after="0"/>
              <w:jc w:val="right"/>
              <w:rPr>
                <w:sz w:val="10"/>
                <w:szCs w:val="10"/>
                <w:lang w:val="fr-BE"/>
              </w:rPr>
            </w:pPr>
            <w:r w:rsidRPr="00A92B39">
              <w:rPr>
                <w:noProof/>
                <w:sz w:val="10"/>
                <w:szCs w:val="10"/>
                <w:lang w:val="fr-BE"/>
              </w:rPr>
              <w:t>192,00</w:t>
            </w:r>
          </w:p>
        </w:tc>
        <w:tc>
          <w:tcPr>
            <w:tcW w:w="0" w:type="auto"/>
            <w:shd w:val="clear" w:color="auto" w:fill="auto"/>
          </w:tcPr>
          <w:p w14:paraId="7940E6C8" w14:textId="77777777" w:rsidR="008C5CFA" w:rsidRPr="00BA47B4" w:rsidRDefault="00E82A60" w:rsidP="00300A01">
            <w:pPr>
              <w:spacing w:before="0" w:after="0"/>
              <w:jc w:val="right"/>
              <w:rPr>
                <w:sz w:val="12"/>
                <w:szCs w:val="12"/>
                <w:lang w:val="fr-BE"/>
              </w:rPr>
            </w:pPr>
            <w:r w:rsidRPr="00A92B39">
              <w:rPr>
                <w:noProof/>
                <w:sz w:val="10"/>
                <w:szCs w:val="10"/>
                <w:lang w:val="fr-BE"/>
              </w:rPr>
              <w:t>452,00</w:t>
            </w:r>
          </w:p>
        </w:tc>
      </w:tr>
      <w:tr w:rsidR="006B2EC1" w14:paraId="4ECE8506" w14:textId="77777777" w:rsidTr="0047688D">
        <w:tc>
          <w:tcPr>
            <w:tcW w:w="0" w:type="auto"/>
            <w:shd w:val="clear" w:color="auto" w:fill="auto"/>
          </w:tcPr>
          <w:p w14:paraId="126AD6F3" w14:textId="77777777" w:rsidR="008C5CFA" w:rsidRPr="00BA47B4" w:rsidRDefault="00E82A60" w:rsidP="00300A01">
            <w:pPr>
              <w:spacing w:before="0" w:after="0"/>
              <w:rPr>
                <w:sz w:val="12"/>
                <w:szCs w:val="12"/>
                <w:lang w:val="fr-BE"/>
              </w:rPr>
            </w:pPr>
            <w:r>
              <w:rPr>
                <w:noProof/>
                <w:sz w:val="12"/>
                <w:szCs w:val="12"/>
                <w:lang w:val="fr-BE"/>
              </w:rPr>
              <w:t>CO20</w:t>
            </w:r>
          </w:p>
        </w:tc>
        <w:tc>
          <w:tcPr>
            <w:tcW w:w="0" w:type="auto"/>
            <w:shd w:val="clear" w:color="auto" w:fill="auto"/>
          </w:tcPr>
          <w:p w14:paraId="27C4ED10" w14:textId="77777777" w:rsidR="008C5CFA" w:rsidRPr="00BA47B4" w:rsidRDefault="00E82A60" w:rsidP="00300A01">
            <w:pPr>
              <w:spacing w:before="0" w:after="0"/>
              <w:rPr>
                <w:sz w:val="12"/>
                <w:szCs w:val="12"/>
                <w:lang w:val="fr-BE"/>
              </w:rPr>
            </w:pPr>
            <w:r>
              <w:rPr>
                <w:noProof/>
                <w:sz w:val="12"/>
                <w:szCs w:val="12"/>
                <w:lang w:val="fr-BE"/>
              </w:rPr>
              <w:t>liczba projektów zrealizowanych w pełni lub częściowo przez partnerów społecznych lub organizacje pozarządowe</w:t>
            </w:r>
          </w:p>
        </w:tc>
        <w:tc>
          <w:tcPr>
            <w:tcW w:w="0" w:type="auto"/>
            <w:shd w:val="clear" w:color="auto" w:fill="auto"/>
          </w:tcPr>
          <w:p w14:paraId="48C74EE9" w14:textId="77777777" w:rsidR="008C5CFA" w:rsidRPr="00BA47B4" w:rsidRDefault="00E82A60"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14:paraId="212B2128" w14:textId="77777777" w:rsidR="008C5CFA" w:rsidRPr="00BA47B4" w:rsidRDefault="008C5CFA" w:rsidP="00300A01">
            <w:pPr>
              <w:spacing w:before="0" w:after="0"/>
              <w:jc w:val="right"/>
              <w:rPr>
                <w:sz w:val="12"/>
                <w:szCs w:val="12"/>
                <w:lang w:val="fr-BE"/>
              </w:rPr>
            </w:pPr>
          </w:p>
        </w:tc>
        <w:tc>
          <w:tcPr>
            <w:tcW w:w="0" w:type="auto"/>
            <w:shd w:val="clear" w:color="auto" w:fill="auto"/>
          </w:tcPr>
          <w:p w14:paraId="0EA3AD36" w14:textId="77777777" w:rsidR="008C5CFA" w:rsidRPr="00BA47B4" w:rsidRDefault="008C5CFA" w:rsidP="00300A01">
            <w:pPr>
              <w:spacing w:before="0" w:after="0"/>
              <w:jc w:val="right"/>
              <w:rPr>
                <w:sz w:val="12"/>
                <w:szCs w:val="12"/>
                <w:lang w:val="fr-BE"/>
              </w:rPr>
            </w:pPr>
          </w:p>
        </w:tc>
        <w:tc>
          <w:tcPr>
            <w:tcW w:w="0" w:type="auto"/>
            <w:shd w:val="clear" w:color="auto" w:fill="auto"/>
          </w:tcPr>
          <w:p w14:paraId="3838B481" w14:textId="77777777" w:rsidR="008C5CFA" w:rsidRPr="00BA47B4" w:rsidRDefault="008C5CFA" w:rsidP="00300A01">
            <w:pPr>
              <w:spacing w:before="0" w:after="0"/>
              <w:jc w:val="right"/>
              <w:rPr>
                <w:sz w:val="12"/>
                <w:szCs w:val="12"/>
                <w:lang w:val="fr-BE"/>
              </w:rPr>
            </w:pPr>
          </w:p>
        </w:tc>
        <w:tc>
          <w:tcPr>
            <w:tcW w:w="0" w:type="auto"/>
            <w:shd w:val="clear" w:color="auto" w:fill="auto"/>
          </w:tcPr>
          <w:p w14:paraId="72718211" w14:textId="77777777" w:rsidR="008C5CFA" w:rsidRPr="00BA47B4" w:rsidRDefault="00E82A60" w:rsidP="00300A01">
            <w:pPr>
              <w:spacing w:before="0" w:after="0"/>
              <w:jc w:val="right"/>
              <w:rPr>
                <w:sz w:val="12"/>
                <w:szCs w:val="12"/>
                <w:lang w:val="fr-BE"/>
              </w:rPr>
            </w:pPr>
            <w:r w:rsidRPr="00BA47B4">
              <w:rPr>
                <w:noProof/>
                <w:sz w:val="12"/>
                <w:szCs w:val="12"/>
                <w:lang w:val="fr-BE"/>
              </w:rPr>
              <w:t>16,00</w:t>
            </w:r>
          </w:p>
        </w:tc>
        <w:tc>
          <w:tcPr>
            <w:tcW w:w="0" w:type="auto"/>
            <w:shd w:val="clear" w:color="auto" w:fill="auto"/>
          </w:tcPr>
          <w:p w14:paraId="0797B1C7" w14:textId="77777777" w:rsidR="008C5CFA" w:rsidRPr="00BA47B4" w:rsidRDefault="008C5CFA" w:rsidP="00300A01">
            <w:pPr>
              <w:spacing w:before="0" w:after="0"/>
              <w:jc w:val="right"/>
              <w:rPr>
                <w:sz w:val="12"/>
                <w:szCs w:val="12"/>
                <w:lang w:val="fr-BE"/>
              </w:rPr>
            </w:pPr>
          </w:p>
        </w:tc>
        <w:tc>
          <w:tcPr>
            <w:tcW w:w="0" w:type="auto"/>
            <w:shd w:val="clear" w:color="auto" w:fill="auto"/>
          </w:tcPr>
          <w:p w14:paraId="618BCC79" w14:textId="77777777" w:rsidR="008C5CFA" w:rsidRPr="00BA47B4" w:rsidRDefault="008C5CFA" w:rsidP="00300A01">
            <w:pPr>
              <w:spacing w:before="0" w:after="0"/>
              <w:jc w:val="right"/>
              <w:rPr>
                <w:sz w:val="12"/>
                <w:szCs w:val="12"/>
                <w:lang w:val="fr-BE"/>
              </w:rPr>
            </w:pPr>
          </w:p>
        </w:tc>
        <w:tc>
          <w:tcPr>
            <w:tcW w:w="0" w:type="auto"/>
            <w:shd w:val="clear" w:color="auto" w:fill="auto"/>
          </w:tcPr>
          <w:p w14:paraId="4B302C1A" w14:textId="77777777" w:rsidR="008C5CFA" w:rsidRPr="00BA47B4" w:rsidRDefault="008C5CFA" w:rsidP="00300A01">
            <w:pPr>
              <w:spacing w:before="0" w:after="0"/>
              <w:jc w:val="right"/>
              <w:rPr>
                <w:sz w:val="12"/>
                <w:szCs w:val="12"/>
                <w:lang w:val="fr-BE"/>
              </w:rPr>
            </w:pPr>
          </w:p>
        </w:tc>
        <w:tc>
          <w:tcPr>
            <w:tcW w:w="0" w:type="auto"/>
            <w:shd w:val="clear" w:color="auto" w:fill="auto"/>
          </w:tcPr>
          <w:p w14:paraId="1218BBBD" w14:textId="77777777" w:rsidR="008C5CFA" w:rsidRPr="00BA47B4" w:rsidRDefault="008C5CFA" w:rsidP="00300A01">
            <w:pPr>
              <w:spacing w:before="0" w:after="0"/>
              <w:jc w:val="right"/>
              <w:rPr>
                <w:sz w:val="12"/>
                <w:szCs w:val="12"/>
                <w:lang w:val="fr-BE"/>
              </w:rPr>
            </w:pPr>
          </w:p>
        </w:tc>
        <w:tc>
          <w:tcPr>
            <w:tcW w:w="0" w:type="auto"/>
            <w:shd w:val="clear" w:color="auto" w:fill="auto"/>
          </w:tcPr>
          <w:p w14:paraId="59E6F06A" w14:textId="77777777" w:rsidR="008C5CFA" w:rsidRPr="00BA47B4" w:rsidRDefault="008C5CFA" w:rsidP="00300A01">
            <w:pPr>
              <w:spacing w:before="0" w:after="0"/>
              <w:jc w:val="right"/>
              <w:rPr>
                <w:sz w:val="12"/>
                <w:szCs w:val="12"/>
                <w:lang w:val="fr-BE"/>
              </w:rPr>
            </w:pPr>
          </w:p>
        </w:tc>
        <w:tc>
          <w:tcPr>
            <w:tcW w:w="0" w:type="auto"/>
          </w:tcPr>
          <w:p w14:paraId="0BA1F98A" w14:textId="77777777" w:rsidR="008C5CFA" w:rsidRPr="00A92B39" w:rsidRDefault="00E82A60" w:rsidP="00300A01">
            <w:pPr>
              <w:spacing w:before="0" w:after="0"/>
              <w:jc w:val="right"/>
              <w:rPr>
                <w:sz w:val="10"/>
                <w:szCs w:val="10"/>
                <w:lang w:val="fr-BE"/>
              </w:rPr>
            </w:pPr>
            <w:r w:rsidRPr="00A92B39">
              <w:rPr>
                <w:noProof/>
                <w:sz w:val="10"/>
                <w:szCs w:val="10"/>
                <w:lang w:val="fr-BE"/>
              </w:rPr>
              <w:t>6,00</w:t>
            </w:r>
          </w:p>
        </w:tc>
        <w:tc>
          <w:tcPr>
            <w:tcW w:w="0" w:type="auto"/>
            <w:shd w:val="clear" w:color="auto" w:fill="auto"/>
          </w:tcPr>
          <w:p w14:paraId="5FEECD3E" w14:textId="77777777" w:rsidR="008C5CFA" w:rsidRPr="00A92B39" w:rsidRDefault="008C5CFA" w:rsidP="00300A01">
            <w:pPr>
              <w:spacing w:before="0" w:after="0"/>
              <w:jc w:val="right"/>
              <w:rPr>
                <w:sz w:val="10"/>
                <w:szCs w:val="10"/>
                <w:lang w:val="fr-BE"/>
              </w:rPr>
            </w:pPr>
          </w:p>
        </w:tc>
        <w:tc>
          <w:tcPr>
            <w:tcW w:w="0" w:type="auto"/>
            <w:shd w:val="clear" w:color="auto" w:fill="auto"/>
          </w:tcPr>
          <w:p w14:paraId="6744A082" w14:textId="77777777" w:rsidR="008C5CFA" w:rsidRPr="00BA47B4" w:rsidRDefault="008C5CFA" w:rsidP="00300A01">
            <w:pPr>
              <w:spacing w:before="0" w:after="0"/>
              <w:jc w:val="right"/>
              <w:rPr>
                <w:sz w:val="12"/>
                <w:szCs w:val="12"/>
                <w:lang w:val="fr-BE"/>
              </w:rPr>
            </w:pPr>
          </w:p>
        </w:tc>
      </w:tr>
      <w:tr w:rsidR="006B2EC1" w14:paraId="4BDBFF4A" w14:textId="77777777" w:rsidTr="0047688D">
        <w:tc>
          <w:tcPr>
            <w:tcW w:w="0" w:type="auto"/>
            <w:shd w:val="clear" w:color="auto" w:fill="auto"/>
          </w:tcPr>
          <w:p w14:paraId="63D2234D" w14:textId="77777777" w:rsidR="008C5CFA" w:rsidRPr="00BA47B4" w:rsidRDefault="00E82A60" w:rsidP="00300A01">
            <w:pPr>
              <w:spacing w:before="0" w:after="0"/>
              <w:rPr>
                <w:sz w:val="12"/>
                <w:szCs w:val="12"/>
                <w:lang w:val="fr-BE"/>
              </w:rPr>
            </w:pPr>
            <w:r>
              <w:rPr>
                <w:noProof/>
                <w:sz w:val="12"/>
                <w:szCs w:val="12"/>
                <w:lang w:val="fr-BE"/>
              </w:rPr>
              <w:t>CO21</w:t>
            </w:r>
          </w:p>
        </w:tc>
        <w:tc>
          <w:tcPr>
            <w:tcW w:w="0" w:type="auto"/>
            <w:shd w:val="clear" w:color="auto" w:fill="auto"/>
          </w:tcPr>
          <w:p w14:paraId="0FA11EF0" w14:textId="77777777" w:rsidR="008C5CFA" w:rsidRPr="00BA47B4" w:rsidRDefault="00E82A60" w:rsidP="00300A01">
            <w:pPr>
              <w:spacing w:before="0" w:after="0"/>
              <w:rPr>
                <w:sz w:val="12"/>
                <w:szCs w:val="12"/>
                <w:lang w:val="fr-BE"/>
              </w:rPr>
            </w:pPr>
            <w:r>
              <w:rPr>
                <w:noProof/>
                <w:sz w:val="12"/>
                <w:szCs w:val="12"/>
                <w:lang w:val="fr-BE"/>
              </w:rPr>
              <w:t>liczba projektów ukierunkowanych na trwały udział kobiet w zatrudnieniu i rozwój ich kariery zawodowej</w:t>
            </w:r>
          </w:p>
        </w:tc>
        <w:tc>
          <w:tcPr>
            <w:tcW w:w="0" w:type="auto"/>
            <w:shd w:val="clear" w:color="auto" w:fill="auto"/>
          </w:tcPr>
          <w:p w14:paraId="332C881F" w14:textId="77777777" w:rsidR="008C5CFA" w:rsidRPr="00BA47B4" w:rsidRDefault="00E82A60"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14:paraId="4E6EEA2C" w14:textId="77777777" w:rsidR="008C5CFA" w:rsidRPr="00BA47B4" w:rsidRDefault="008C5CFA" w:rsidP="00300A01">
            <w:pPr>
              <w:spacing w:before="0" w:after="0"/>
              <w:jc w:val="right"/>
              <w:rPr>
                <w:sz w:val="12"/>
                <w:szCs w:val="12"/>
                <w:lang w:val="fr-BE"/>
              </w:rPr>
            </w:pPr>
          </w:p>
        </w:tc>
        <w:tc>
          <w:tcPr>
            <w:tcW w:w="0" w:type="auto"/>
            <w:shd w:val="clear" w:color="auto" w:fill="auto"/>
          </w:tcPr>
          <w:p w14:paraId="101A7CD1" w14:textId="77777777" w:rsidR="008C5CFA" w:rsidRPr="00BA47B4" w:rsidRDefault="008C5CFA" w:rsidP="00300A01">
            <w:pPr>
              <w:spacing w:before="0" w:after="0"/>
              <w:jc w:val="right"/>
              <w:rPr>
                <w:sz w:val="12"/>
                <w:szCs w:val="12"/>
                <w:lang w:val="fr-BE"/>
              </w:rPr>
            </w:pPr>
          </w:p>
        </w:tc>
        <w:tc>
          <w:tcPr>
            <w:tcW w:w="0" w:type="auto"/>
            <w:shd w:val="clear" w:color="auto" w:fill="auto"/>
          </w:tcPr>
          <w:p w14:paraId="633327CE" w14:textId="77777777" w:rsidR="008C5CFA" w:rsidRPr="00BA47B4" w:rsidRDefault="008C5CFA" w:rsidP="00300A01">
            <w:pPr>
              <w:spacing w:before="0" w:after="0"/>
              <w:jc w:val="right"/>
              <w:rPr>
                <w:sz w:val="12"/>
                <w:szCs w:val="12"/>
                <w:lang w:val="fr-BE"/>
              </w:rPr>
            </w:pPr>
          </w:p>
        </w:tc>
        <w:tc>
          <w:tcPr>
            <w:tcW w:w="0" w:type="auto"/>
            <w:shd w:val="clear" w:color="auto" w:fill="auto"/>
          </w:tcPr>
          <w:p w14:paraId="3C8AE76C" w14:textId="77777777" w:rsidR="008C5CFA" w:rsidRPr="00BA47B4" w:rsidRDefault="00E82A60" w:rsidP="00300A01">
            <w:pPr>
              <w:spacing w:before="0" w:after="0"/>
              <w:jc w:val="right"/>
              <w:rPr>
                <w:sz w:val="12"/>
                <w:szCs w:val="12"/>
                <w:lang w:val="fr-BE"/>
              </w:rPr>
            </w:pPr>
            <w:r w:rsidRPr="00BA47B4">
              <w:rPr>
                <w:noProof/>
                <w:sz w:val="12"/>
                <w:szCs w:val="12"/>
                <w:lang w:val="fr-BE"/>
              </w:rPr>
              <w:t>6,00</w:t>
            </w:r>
          </w:p>
        </w:tc>
        <w:tc>
          <w:tcPr>
            <w:tcW w:w="0" w:type="auto"/>
            <w:shd w:val="clear" w:color="auto" w:fill="auto"/>
          </w:tcPr>
          <w:p w14:paraId="37DCEF0E" w14:textId="77777777" w:rsidR="008C5CFA" w:rsidRPr="00BA47B4" w:rsidRDefault="008C5CFA" w:rsidP="00300A01">
            <w:pPr>
              <w:spacing w:before="0" w:after="0"/>
              <w:jc w:val="right"/>
              <w:rPr>
                <w:sz w:val="12"/>
                <w:szCs w:val="12"/>
                <w:lang w:val="fr-BE"/>
              </w:rPr>
            </w:pPr>
          </w:p>
        </w:tc>
        <w:tc>
          <w:tcPr>
            <w:tcW w:w="0" w:type="auto"/>
            <w:shd w:val="clear" w:color="auto" w:fill="auto"/>
          </w:tcPr>
          <w:p w14:paraId="31CBB73D" w14:textId="77777777" w:rsidR="008C5CFA" w:rsidRPr="00BA47B4" w:rsidRDefault="008C5CFA" w:rsidP="00300A01">
            <w:pPr>
              <w:spacing w:before="0" w:after="0"/>
              <w:jc w:val="right"/>
              <w:rPr>
                <w:sz w:val="12"/>
                <w:szCs w:val="12"/>
                <w:lang w:val="fr-BE"/>
              </w:rPr>
            </w:pPr>
          </w:p>
        </w:tc>
        <w:tc>
          <w:tcPr>
            <w:tcW w:w="0" w:type="auto"/>
            <w:shd w:val="clear" w:color="auto" w:fill="auto"/>
          </w:tcPr>
          <w:p w14:paraId="6F41801D" w14:textId="77777777" w:rsidR="008C5CFA" w:rsidRPr="00BA47B4" w:rsidRDefault="008C5CFA" w:rsidP="00300A01">
            <w:pPr>
              <w:spacing w:before="0" w:after="0"/>
              <w:jc w:val="right"/>
              <w:rPr>
                <w:sz w:val="12"/>
                <w:szCs w:val="12"/>
                <w:lang w:val="fr-BE"/>
              </w:rPr>
            </w:pPr>
          </w:p>
        </w:tc>
        <w:tc>
          <w:tcPr>
            <w:tcW w:w="0" w:type="auto"/>
            <w:shd w:val="clear" w:color="auto" w:fill="auto"/>
          </w:tcPr>
          <w:p w14:paraId="3EDCDA63" w14:textId="77777777" w:rsidR="008C5CFA" w:rsidRPr="00BA47B4" w:rsidRDefault="008C5CFA" w:rsidP="00300A01">
            <w:pPr>
              <w:spacing w:before="0" w:after="0"/>
              <w:jc w:val="right"/>
              <w:rPr>
                <w:sz w:val="12"/>
                <w:szCs w:val="12"/>
                <w:lang w:val="fr-BE"/>
              </w:rPr>
            </w:pPr>
          </w:p>
        </w:tc>
        <w:tc>
          <w:tcPr>
            <w:tcW w:w="0" w:type="auto"/>
            <w:shd w:val="clear" w:color="auto" w:fill="auto"/>
          </w:tcPr>
          <w:p w14:paraId="39B2D990" w14:textId="77777777" w:rsidR="008C5CFA" w:rsidRPr="00BA47B4" w:rsidRDefault="008C5CFA" w:rsidP="00300A01">
            <w:pPr>
              <w:spacing w:before="0" w:after="0"/>
              <w:jc w:val="right"/>
              <w:rPr>
                <w:sz w:val="12"/>
                <w:szCs w:val="12"/>
                <w:lang w:val="fr-BE"/>
              </w:rPr>
            </w:pPr>
          </w:p>
        </w:tc>
        <w:tc>
          <w:tcPr>
            <w:tcW w:w="0" w:type="auto"/>
          </w:tcPr>
          <w:p w14:paraId="1D513BBC" w14:textId="77777777" w:rsidR="008C5CFA" w:rsidRPr="00A92B39" w:rsidRDefault="00E82A60" w:rsidP="00300A01">
            <w:pPr>
              <w:spacing w:before="0" w:after="0"/>
              <w:jc w:val="right"/>
              <w:rPr>
                <w:sz w:val="10"/>
                <w:szCs w:val="10"/>
                <w:lang w:val="fr-BE"/>
              </w:rPr>
            </w:pPr>
            <w:r w:rsidRPr="00A92B39">
              <w:rPr>
                <w:noProof/>
                <w:sz w:val="10"/>
                <w:szCs w:val="10"/>
                <w:lang w:val="fr-BE"/>
              </w:rPr>
              <w:t>4,00</w:t>
            </w:r>
          </w:p>
        </w:tc>
        <w:tc>
          <w:tcPr>
            <w:tcW w:w="0" w:type="auto"/>
            <w:shd w:val="clear" w:color="auto" w:fill="auto"/>
          </w:tcPr>
          <w:p w14:paraId="506D6DA4" w14:textId="77777777" w:rsidR="008C5CFA" w:rsidRPr="00A92B39" w:rsidRDefault="008C5CFA" w:rsidP="00300A01">
            <w:pPr>
              <w:spacing w:before="0" w:after="0"/>
              <w:jc w:val="right"/>
              <w:rPr>
                <w:sz w:val="10"/>
                <w:szCs w:val="10"/>
                <w:lang w:val="fr-BE"/>
              </w:rPr>
            </w:pPr>
          </w:p>
        </w:tc>
        <w:tc>
          <w:tcPr>
            <w:tcW w:w="0" w:type="auto"/>
            <w:shd w:val="clear" w:color="auto" w:fill="auto"/>
          </w:tcPr>
          <w:p w14:paraId="11141E53" w14:textId="77777777" w:rsidR="008C5CFA" w:rsidRPr="00BA47B4" w:rsidRDefault="008C5CFA" w:rsidP="00300A01">
            <w:pPr>
              <w:spacing w:before="0" w:after="0"/>
              <w:jc w:val="right"/>
              <w:rPr>
                <w:sz w:val="12"/>
                <w:szCs w:val="12"/>
                <w:lang w:val="fr-BE"/>
              </w:rPr>
            </w:pPr>
          </w:p>
        </w:tc>
      </w:tr>
      <w:tr w:rsidR="006B2EC1" w14:paraId="1622E571" w14:textId="77777777" w:rsidTr="0047688D">
        <w:tc>
          <w:tcPr>
            <w:tcW w:w="0" w:type="auto"/>
            <w:shd w:val="clear" w:color="auto" w:fill="auto"/>
          </w:tcPr>
          <w:p w14:paraId="51DD8902" w14:textId="77777777" w:rsidR="008C5CFA" w:rsidRPr="00BA47B4" w:rsidRDefault="00E82A60" w:rsidP="00300A01">
            <w:pPr>
              <w:spacing w:before="0" w:after="0"/>
              <w:rPr>
                <w:sz w:val="12"/>
                <w:szCs w:val="12"/>
                <w:lang w:val="fr-BE"/>
              </w:rPr>
            </w:pPr>
            <w:r>
              <w:rPr>
                <w:noProof/>
                <w:sz w:val="12"/>
                <w:szCs w:val="12"/>
                <w:lang w:val="fr-BE"/>
              </w:rPr>
              <w:t>CO22</w:t>
            </w:r>
          </w:p>
        </w:tc>
        <w:tc>
          <w:tcPr>
            <w:tcW w:w="0" w:type="auto"/>
            <w:shd w:val="clear" w:color="auto" w:fill="auto"/>
          </w:tcPr>
          <w:p w14:paraId="3ADDE460" w14:textId="77777777" w:rsidR="008C5CFA" w:rsidRPr="00BA47B4" w:rsidRDefault="00E82A60" w:rsidP="00300A01">
            <w:pPr>
              <w:spacing w:before="0" w:after="0"/>
              <w:rPr>
                <w:sz w:val="12"/>
                <w:szCs w:val="12"/>
                <w:lang w:val="fr-BE"/>
              </w:rPr>
            </w:pPr>
            <w:r>
              <w:rPr>
                <w:noProof/>
                <w:sz w:val="12"/>
                <w:szCs w:val="12"/>
                <w:lang w:val="fr-BE"/>
              </w:rPr>
              <w:t>liczba projektów obejmujących administrację publiczną lub służby publiczne na szczeblu krajowym, regionalnym lub lokalnym</w:t>
            </w:r>
          </w:p>
        </w:tc>
        <w:tc>
          <w:tcPr>
            <w:tcW w:w="0" w:type="auto"/>
            <w:shd w:val="clear" w:color="auto" w:fill="auto"/>
          </w:tcPr>
          <w:p w14:paraId="6D8EF7C3" w14:textId="77777777" w:rsidR="008C5CFA" w:rsidRPr="00BA47B4" w:rsidRDefault="00E82A60"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14:paraId="20C3D938" w14:textId="77777777" w:rsidR="008C5CFA" w:rsidRPr="00BA47B4" w:rsidRDefault="008C5CFA" w:rsidP="00300A01">
            <w:pPr>
              <w:spacing w:before="0" w:after="0"/>
              <w:jc w:val="right"/>
              <w:rPr>
                <w:sz w:val="12"/>
                <w:szCs w:val="12"/>
                <w:lang w:val="fr-BE"/>
              </w:rPr>
            </w:pPr>
          </w:p>
        </w:tc>
        <w:tc>
          <w:tcPr>
            <w:tcW w:w="0" w:type="auto"/>
            <w:shd w:val="clear" w:color="auto" w:fill="auto"/>
          </w:tcPr>
          <w:p w14:paraId="14710A0B" w14:textId="77777777" w:rsidR="008C5CFA" w:rsidRPr="00BA47B4" w:rsidRDefault="008C5CFA" w:rsidP="00300A01">
            <w:pPr>
              <w:spacing w:before="0" w:after="0"/>
              <w:jc w:val="right"/>
              <w:rPr>
                <w:sz w:val="12"/>
                <w:szCs w:val="12"/>
                <w:lang w:val="fr-BE"/>
              </w:rPr>
            </w:pPr>
          </w:p>
        </w:tc>
        <w:tc>
          <w:tcPr>
            <w:tcW w:w="0" w:type="auto"/>
            <w:shd w:val="clear" w:color="auto" w:fill="auto"/>
          </w:tcPr>
          <w:p w14:paraId="4F9B1386" w14:textId="77777777" w:rsidR="008C5CFA" w:rsidRPr="00BA47B4" w:rsidRDefault="008C5CFA" w:rsidP="00300A01">
            <w:pPr>
              <w:spacing w:before="0" w:after="0"/>
              <w:jc w:val="right"/>
              <w:rPr>
                <w:sz w:val="12"/>
                <w:szCs w:val="12"/>
                <w:lang w:val="fr-BE"/>
              </w:rPr>
            </w:pPr>
          </w:p>
        </w:tc>
        <w:tc>
          <w:tcPr>
            <w:tcW w:w="0" w:type="auto"/>
            <w:shd w:val="clear" w:color="auto" w:fill="auto"/>
          </w:tcPr>
          <w:p w14:paraId="0B48D91E" w14:textId="77777777" w:rsidR="008C5CFA" w:rsidRPr="00BA47B4" w:rsidRDefault="00E82A60" w:rsidP="00300A01">
            <w:pPr>
              <w:spacing w:before="0" w:after="0"/>
              <w:jc w:val="right"/>
              <w:rPr>
                <w:sz w:val="12"/>
                <w:szCs w:val="12"/>
                <w:lang w:val="fr-BE"/>
              </w:rPr>
            </w:pPr>
            <w:r w:rsidRPr="00BA47B4">
              <w:rPr>
                <w:noProof/>
                <w:sz w:val="12"/>
                <w:szCs w:val="12"/>
                <w:lang w:val="fr-BE"/>
              </w:rPr>
              <w:t>4,00</w:t>
            </w:r>
          </w:p>
        </w:tc>
        <w:tc>
          <w:tcPr>
            <w:tcW w:w="0" w:type="auto"/>
            <w:shd w:val="clear" w:color="auto" w:fill="auto"/>
          </w:tcPr>
          <w:p w14:paraId="04BE1AC9" w14:textId="77777777" w:rsidR="008C5CFA" w:rsidRPr="00BA47B4" w:rsidRDefault="008C5CFA" w:rsidP="00300A01">
            <w:pPr>
              <w:spacing w:before="0" w:after="0"/>
              <w:jc w:val="right"/>
              <w:rPr>
                <w:sz w:val="12"/>
                <w:szCs w:val="12"/>
                <w:lang w:val="fr-BE"/>
              </w:rPr>
            </w:pPr>
          </w:p>
        </w:tc>
        <w:tc>
          <w:tcPr>
            <w:tcW w:w="0" w:type="auto"/>
            <w:shd w:val="clear" w:color="auto" w:fill="auto"/>
          </w:tcPr>
          <w:p w14:paraId="0C163E0E" w14:textId="77777777" w:rsidR="008C5CFA" w:rsidRPr="00BA47B4" w:rsidRDefault="008C5CFA" w:rsidP="00300A01">
            <w:pPr>
              <w:spacing w:before="0" w:after="0"/>
              <w:jc w:val="right"/>
              <w:rPr>
                <w:sz w:val="12"/>
                <w:szCs w:val="12"/>
                <w:lang w:val="fr-BE"/>
              </w:rPr>
            </w:pPr>
          </w:p>
        </w:tc>
        <w:tc>
          <w:tcPr>
            <w:tcW w:w="0" w:type="auto"/>
            <w:shd w:val="clear" w:color="auto" w:fill="auto"/>
          </w:tcPr>
          <w:p w14:paraId="4C5758EE" w14:textId="77777777" w:rsidR="008C5CFA" w:rsidRPr="00BA47B4" w:rsidRDefault="008C5CFA" w:rsidP="00300A01">
            <w:pPr>
              <w:spacing w:before="0" w:after="0"/>
              <w:jc w:val="right"/>
              <w:rPr>
                <w:sz w:val="12"/>
                <w:szCs w:val="12"/>
                <w:lang w:val="fr-BE"/>
              </w:rPr>
            </w:pPr>
          </w:p>
        </w:tc>
        <w:tc>
          <w:tcPr>
            <w:tcW w:w="0" w:type="auto"/>
            <w:shd w:val="clear" w:color="auto" w:fill="auto"/>
          </w:tcPr>
          <w:p w14:paraId="4DFB84FE" w14:textId="77777777" w:rsidR="008C5CFA" w:rsidRPr="00BA47B4" w:rsidRDefault="008C5CFA" w:rsidP="00300A01">
            <w:pPr>
              <w:spacing w:before="0" w:after="0"/>
              <w:jc w:val="right"/>
              <w:rPr>
                <w:sz w:val="12"/>
                <w:szCs w:val="12"/>
                <w:lang w:val="fr-BE"/>
              </w:rPr>
            </w:pPr>
          </w:p>
        </w:tc>
        <w:tc>
          <w:tcPr>
            <w:tcW w:w="0" w:type="auto"/>
            <w:shd w:val="clear" w:color="auto" w:fill="auto"/>
          </w:tcPr>
          <w:p w14:paraId="4529D8A5" w14:textId="77777777" w:rsidR="008C5CFA" w:rsidRPr="00BA47B4" w:rsidRDefault="008C5CFA" w:rsidP="00300A01">
            <w:pPr>
              <w:spacing w:before="0" w:after="0"/>
              <w:jc w:val="right"/>
              <w:rPr>
                <w:sz w:val="12"/>
                <w:szCs w:val="12"/>
                <w:lang w:val="fr-BE"/>
              </w:rPr>
            </w:pPr>
          </w:p>
        </w:tc>
        <w:tc>
          <w:tcPr>
            <w:tcW w:w="0" w:type="auto"/>
          </w:tcPr>
          <w:p w14:paraId="7168F9A5" w14:textId="77777777" w:rsidR="008C5CFA" w:rsidRPr="00A92B39" w:rsidRDefault="00E82A60" w:rsidP="00300A01">
            <w:pPr>
              <w:spacing w:before="0" w:after="0"/>
              <w:jc w:val="right"/>
              <w:rPr>
                <w:sz w:val="10"/>
                <w:szCs w:val="10"/>
                <w:lang w:val="fr-BE"/>
              </w:rPr>
            </w:pPr>
            <w:r w:rsidRPr="00A92B39">
              <w:rPr>
                <w:noProof/>
                <w:sz w:val="10"/>
                <w:szCs w:val="10"/>
                <w:lang w:val="fr-BE"/>
              </w:rPr>
              <w:t>1,00</w:t>
            </w:r>
          </w:p>
        </w:tc>
        <w:tc>
          <w:tcPr>
            <w:tcW w:w="0" w:type="auto"/>
            <w:shd w:val="clear" w:color="auto" w:fill="auto"/>
          </w:tcPr>
          <w:p w14:paraId="633E28A0" w14:textId="77777777" w:rsidR="008C5CFA" w:rsidRPr="00A92B39" w:rsidRDefault="008C5CFA" w:rsidP="00300A01">
            <w:pPr>
              <w:spacing w:before="0" w:after="0"/>
              <w:jc w:val="right"/>
              <w:rPr>
                <w:sz w:val="10"/>
                <w:szCs w:val="10"/>
                <w:lang w:val="fr-BE"/>
              </w:rPr>
            </w:pPr>
          </w:p>
        </w:tc>
        <w:tc>
          <w:tcPr>
            <w:tcW w:w="0" w:type="auto"/>
            <w:shd w:val="clear" w:color="auto" w:fill="auto"/>
          </w:tcPr>
          <w:p w14:paraId="62A95B5D" w14:textId="77777777" w:rsidR="008C5CFA" w:rsidRPr="00BA47B4" w:rsidRDefault="008C5CFA" w:rsidP="00300A01">
            <w:pPr>
              <w:spacing w:before="0" w:after="0"/>
              <w:jc w:val="right"/>
              <w:rPr>
                <w:sz w:val="12"/>
                <w:szCs w:val="12"/>
                <w:lang w:val="fr-BE"/>
              </w:rPr>
            </w:pPr>
          </w:p>
        </w:tc>
      </w:tr>
      <w:tr w:rsidR="006B2EC1" w14:paraId="30651F50" w14:textId="77777777" w:rsidTr="0047688D">
        <w:tc>
          <w:tcPr>
            <w:tcW w:w="0" w:type="auto"/>
            <w:shd w:val="clear" w:color="auto" w:fill="auto"/>
          </w:tcPr>
          <w:p w14:paraId="53C8CDAE" w14:textId="77777777" w:rsidR="008C5CFA" w:rsidRPr="00BA47B4" w:rsidRDefault="00E82A60" w:rsidP="00300A01">
            <w:pPr>
              <w:spacing w:before="0" w:after="0"/>
              <w:rPr>
                <w:sz w:val="12"/>
                <w:szCs w:val="12"/>
                <w:lang w:val="fr-BE"/>
              </w:rPr>
            </w:pPr>
            <w:r>
              <w:rPr>
                <w:noProof/>
                <w:sz w:val="12"/>
                <w:szCs w:val="12"/>
                <w:lang w:val="fr-BE"/>
              </w:rPr>
              <w:t>CO23</w:t>
            </w:r>
          </w:p>
        </w:tc>
        <w:tc>
          <w:tcPr>
            <w:tcW w:w="0" w:type="auto"/>
            <w:shd w:val="clear" w:color="auto" w:fill="auto"/>
          </w:tcPr>
          <w:p w14:paraId="59877DCD" w14:textId="77777777" w:rsidR="008C5CFA" w:rsidRPr="00BA47B4" w:rsidRDefault="00E82A60" w:rsidP="00300A01">
            <w:pPr>
              <w:spacing w:before="0" w:after="0"/>
              <w:rPr>
                <w:sz w:val="12"/>
                <w:szCs w:val="12"/>
                <w:lang w:val="fr-BE"/>
              </w:rPr>
            </w:pPr>
            <w:r>
              <w:rPr>
                <w:noProof/>
                <w:sz w:val="12"/>
                <w:szCs w:val="12"/>
                <w:lang w:val="fr-BE"/>
              </w:rPr>
              <w:t>liczba objętych wsparciem mikro-, małych i średnich przedsiębiorstw (w tym przedsiębiorstw spółdzielczych i przedsiębiorstw gospodarki społecznej)</w:t>
            </w:r>
          </w:p>
        </w:tc>
        <w:tc>
          <w:tcPr>
            <w:tcW w:w="0" w:type="auto"/>
            <w:shd w:val="clear" w:color="auto" w:fill="auto"/>
          </w:tcPr>
          <w:p w14:paraId="3DF20966" w14:textId="77777777" w:rsidR="008C5CFA" w:rsidRPr="00BA47B4" w:rsidRDefault="00E82A60"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14:paraId="095F656D" w14:textId="77777777" w:rsidR="008C5CFA" w:rsidRPr="00BA47B4" w:rsidRDefault="008C5CFA" w:rsidP="00300A01">
            <w:pPr>
              <w:spacing w:before="0" w:after="0"/>
              <w:jc w:val="right"/>
              <w:rPr>
                <w:sz w:val="12"/>
                <w:szCs w:val="12"/>
                <w:lang w:val="fr-BE"/>
              </w:rPr>
            </w:pPr>
          </w:p>
        </w:tc>
        <w:tc>
          <w:tcPr>
            <w:tcW w:w="0" w:type="auto"/>
            <w:shd w:val="clear" w:color="auto" w:fill="auto"/>
          </w:tcPr>
          <w:p w14:paraId="2BC2B222" w14:textId="77777777" w:rsidR="008C5CFA" w:rsidRPr="00BA47B4" w:rsidRDefault="008C5CFA" w:rsidP="00300A01">
            <w:pPr>
              <w:spacing w:before="0" w:after="0"/>
              <w:jc w:val="right"/>
              <w:rPr>
                <w:sz w:val="12"/>
                <w:szCs w:val="12"/>
                <w:lang w:val="fr-BE"/>
              </w:rPr>
            </w:pPr>
          </w:p>
        </w:tc>
        <w:tc>
          <w:tcPr>
            <w:tcW w:w="0" w:type="auto"/>
            <w:shd w:val="clear" w:color="auto" w:fill="auto"/>
          </w:tcPr>
          <w:p w14:paraId="67388A48" w14:textId="77777777" w:rsidR="008C5CFA" w:rsidRPr="00BA47B4" w:rsidRDefault="008C5CFA" w:rsidP="00300A01">
            <w:pPr>
              <w:spacing w:before="0" w:after="0"/>
              <w:jc w:val="right"/>
              <w:rPr>
                <w:sz w:val="12"/>
                <w:szCs w:val="12"/>
                <w:lang w:val="fr-BE"/>
              </w:rPr>
            </w:pPr>
          </w:p>
        </w:tc>
        <w:tc>
          <w:tcPr>
            <w:tcW w:w="0" w:type="auto"/>
            <w:shd w:val="clear" w:color="auto" w:fill="auto"/>
          </w:tcPr>
          <w:p w14:paraId="7F1DD461"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3669807B" w14:textId="77777777" w:rsidR="008C5CFA" w:rsidRPr="00BA47B4" w:rsidRDefault="008C5CFA" w:rsidP="00300A01">
            <w:pPr>
              <w:spacing w:before="0" w:after="0"/>
              <w:jc w:val="right"/>
              <w:rPr>
                <w:sz w:val="12"/>
                <w:szCs w:val="12"/>
                <w:lang w:val="fr-BE"/>
              </w:rPr>
            </w:pPr>
          </w:p>
        </w:tc>
        <w:tc>
          <w:tcPr>
            <w:tcW w:w="0" w:type="auto"/>
            <w:shd w:val="clear" w:color="auto" w:fill="auto"/>
          </w:tcPr>
          <w:p w14:paraId="0872B040" w14:textId="77777777" w:rsidR="008C5CFA" w:rsidRPr="00BA47B4" w:rsidRDefault="008C5CFA" w:rsidP="00300A01">
            <w:pPr>
              <w:spacing w:before="0" w:after="0"/>
              <w:jc w:val="right"/>
              <w:rPr>
                <w:sz w:val="12"/>
                <w:szCs w:val="12"/>
                <w:lang w:val="fr-BE"/>
              </w:rPr>
            </w:pPr>
          </w:p>
        </w:tc>
        <w:tc>
          <w:tcPr>
            <w:tcW w:w="0" w:type="auto"/>
            <w:shd w:val="clear" w:color="auto" w:fill="auto"/>
          </w:tcPr>
          <w:p w14:paraId="32E03841" w14:textId="77777777" w:rsidR="008C5CFA" w:rsidRPr="00BA47B4" w:rsidRDefault="008C5CFA" w:rsidP="00300A01">
            <w:pPr>
              <w:spacing w:before="0" w:after="0"/>
              <w:jc w:val="right"/>
              <w:rPr>
                <w:sz w:val="12"/>
                <w:szCs w:val="12"/>
                <w:lang w:val="fr-BE"/>
              </w:rPr>
            </w:pPr>
          </w:p>
        </w:tc>
        <w:tc>
          <w:tcPr>
            <w:tcW w:w="0" w:type="auto"/>
            <w:shd w:val="clear" w:color="auto" w:fill="auto"/>
          </w:tcPr>
          <w:p w14:paraId="5EDAE782" w14:textId="77777777" w:rsidR="008C5CFA" w:rsidRPr="00BA47B4" w:rsidRDefault="008C5CFA" w:rsidP="00300A01">
            <w:pPr>
              <w:spacing w:before="0" w:after="0"/>
              <w:jc w:val="right"/>
              <w:rPr>
                <w:sz w:val="12"/>
                <w:szCs w:val="12"/>
                <w:lang w:val="fr-BE"/>
              </w:rPr>
            </w:pPr>
          </w:p>
        </w:tc>
        <w:tc>
          <w:tcPr>
            <w:tcW w:w="0" w:type="auto"/>
            <w:shd w:val="clear" w:color="auto" w:fill="auto"/>
          </w:tcPr>
          <w:p w14:paraId="0EF05486" w14:textId="77777777" w:rsidR="008C5CFA" w:rsidRPr="00BA47B4" w:rsidRDefault="008C5CFA" w:rsidP="00300A01">
            <w:pPr>
              <w:spacing w:before="0" w:after="0"/>
              <w:jc w:val="right"/>
              <w:rPr>
                <w:sz w:val="12"/>
                <w:szCs w:val="12"/>
                <w:lang w:val="fr-BE"/>
              </w:rPr>
            </w:pPr>
          </w:p>
        </w:tc>
        <w:tc>
          <w:tcPr>
            <w:tcW w:w="0" w:type="auto"/>
          </w:tcPr>
          <w:p w14:paraId="34E75A8B"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14:paraId="2A895360" w14:textId="77777777" w:rsidR="008C5CFA" w:rsidRPr="00A92B39" w:rsidRDefault="008C5CFA" w:rsidP="00300A01">
            <w:pPr>
              <w:spacing w:before="0" w:after="0"/>
              <w:jc w:val="right"/>
              <w:rPr>
                <w:sz w:val="10"/>
                <w:szCs w:val="10"/>
                <w:lang w:val="fr-BE"/>
              </w:rPr>
            </w:pPr>
          </w:p>
        </w:tc>
        <w:tc>
          <w:tcPr>
            <w:tcW w:w="0" w:type="auto"/>
            <w:shd w:val="clear" w:color="auto" w:fill="auto"/>
          </w:tcPr>
          <w:p w14:paraId="71504B49" w14:textId="77777777" w:rsidR="008C5CFA" w:rsidRPr="00BA47B4" w:rsidRDefault="008C5CFA" w:rsidP="00300A01">
            <w:pPr>
              <w:spacing w:before="0" w:after="0"/>
              <w:jc w:val="right"/>
              <w:rPr>
                <w:sz w:val="12"/>
                <w:szCs w:val="12"/>
                <w:lang w:val="fr-BE"/>
              </w:rPr>
            </w:pPr>
          </w:p>
        </w:tc>
      </w:tr>
      <w:tr w:rsidR="006B2EC1" w14:paraId="11AE5B89" w14:textId="77777777" w:rsidTr="0047688D">
        <w:tc>
          <w:tcPr>
            <w:tcW w:w="0" w:type="auto"/>
            <w:shd w:val="clear" w:color="auto" w:fill="auto"/>
          </w:tcPr>
          <w:p w14:paraId="326F1A34" w14:textId="77777777" w:rsidR="008C5CFA" w:rsidRPr="00BA47B4" w:rsidRDefault="008C5CFA" w:rsidP="00300A01">
            <w:pPr>
              <w:spacing w:before="0" w:after="0"/>
              <w:rPr>
                <w:sz w:val="12"/>
                <w:szCs w:val="12"/>
                <w:lang w:val="fr-BE"/>
              </w:rPr>
            </w:pPr>
          </w:p>
        </w:tc>
        <w:tc>
          <w:tcPr>
            <w:tcW w:w="0" w:type="auto"/>
            <w:shd w:val="clear" w:color="auto" w:fill="auto"/>
          </w:tcPr>
          <w:p w14:paraId="6B4D0412" w14:textId="77777777" w:rsidR="008C5CFA" w:rsidRPr="00BA47B4" w:rsidRDefault="00E82A60" w:rsidP="00300A01">
            <w:pPr>
              <w:spacing w:before="0" w:after="0"/>
              <w:rPr>
                <w:sz w:val="12"/>
                <w:szCs w:val="12"/>
                <w:lang w:val="fr-BE"/>
              </w:rPr>
            </w:pPr>
            <w:r>
              <w:rPr>
                <w:noProof/>
                <w:sz w:val="12"/>
                <w:szCs w:val="12"/>
                <w:lang w:val="fr-BE"/>
              </w:rPr>
              <w:t>Całkowita łączna liczba uczestników</w:t>
            </w:r>
          </w:p>
        </w:tc>
        <w:tc>
          <w:tcPr>
            <w:tcW w:w="0" w:type="auto"/>
            <w:shd w:val="clear" w:color="auto" w:fill="auto"/>
          </w:tcPr>
          <w:p w14:paraId="04A215D0" w14:textId="77777777" w:rsidR="008C5CFA" w:rsidRPr="00BA47B4" w:rsidRDefault="008C5CFA" w:rsidP="00300A01">
            <w:pPr>
              <w:spacing w:before="0" w:after="0"/>
              <w:rPr>
                <w:sz w:val="12"/>
                <w:szCs w:val="12"/>
                <w:lang w:val="fr-BE"/>
              </w:rPr>
            </w:pPr>
          </w:p>
        </w:tc>
        <w:tc>
          <w:tcPr>
            <w:tcW w:w="0" w:type="auto"/>
            <w:shd w:val="clear" w:color="auto" w:fill="auto"/>
          </w:tcPr>
          <w:p w14:paraId="592B75FF" w14:textId="77777777" w:rsidR="008C5CFA" w:rsidRPr="00BA47B4" w:rsidRDefault="008C5CFA" w:rsidP="00300A01">
            <w:pPr>
              <w:spacing w:before="0" w:after="0"/>
              <w:jc w:val="right"/>
              <w:rPr>
                <w:sz w:val="12"/>
                <w:szCs w:val="12"/>
                <w:lang w:val="fr-BE"/>
              </w:rPr>
            </w:pPr>
          </w:p>
        </w:tc>
        <w:tc>
          <w:tcPr>
            <w:tcW w:w="0" w:type="auto"/>
            <w:shd w:val="clear" w:color="auto" w:fill="auto"/>
          </w:tcPr>
          <w:p w14:paraId="735AA2A2" w14:textId="77777777" w:rsidR="008C5CFA" w:rsidRPr="00BA47B4" w:rsidRDefault="008C5CFA" w:rsidP="00300A01">
            <w:pPr>
              <w:spacing w:before="0" w:after="0"/>
              <w:jc w:val="right"/>
              <w:rPr>
                <w:sz w:val="12"/>
                <w:szCs w:val="12"/>
                <w:lang w:val="fr-BE"/>
              </w:rPr>
            </w:pPr>
          </w:p>
        </w:tc>
        <w:tc>
          <w:tcPr>
            <w:tcW w:w="0" w:type="auto"/>
            <w:shd w:val="clear" w:color="auto" w:fill="auto"/>
          </w:tcPr>
          <w:p w14:paraId="771E0960" w14:textId="77777777" w:rsidR="008C5CFA" w:rsidRPr="00BA47B4" w:rsidRDefault="008C5CFA" w:rsidP="00300A01">
            <w:pPr>
              <w:spacing w:before="0" w:after="0"/>
              <w:jc w:val="right"/>
              <w:rPr>
                <w:sz w:val="12"/>
                <w:szCs w:val="12"/>
                <w:lang w:val="fr-BE"/>
              </w:rPr>
            </w:pPr>
          </w:p>
        </w:tc>
        <w:tc>
          <w:tcPr>
            <w:tcW w:w="0" w:type="auto"/>
            <w:shd w:val="clear" w:color="auto" w:fill="auto"/>
          </w:tcPr>
          <w:p w14:paraId="565A90B3" w14:textId="77777777" w:rsidR="008C5CFA" w:rsidRPr="00BA47B4" w:rsidRDefault="00E82A60" w:rsidP="00300A01">
            <w:pPr>
              <w:spacing w:before="0" w:after="0"/>
              <w:jc w:val="right"/>
              <w:rPr>
                <w:sz w:val="12"/>
                <w:szCs w:val="12"/>
                <w:lang w:val="fr-BE"/>
              </w:rPr>
            </w:pPr>
            <w:r w:rsidRPr="00BA47B4">
              <w:rPr>
                <w:noProof/>
                <w:sz w:val="12"/>
                <w:szCs w:val="12"/>
                <w:lang w:val="fr-BE"/>
              </w:rPr>
              <w:t>3 479,00</w:t>
            </w:r>
          </w:p>
        </w:tc>
        <w:tc>
          <w:tcPr>
            <w:tcW w:w="0" w:type="auto"/>
            <w:shd w:val="clear" w:color="auto" w:fill="auto"/>
          </w:tcPr>
          <w:p w14:paraId="6B6E015C" w14:textId="77777777" w:rsidR="008C5CFA" w:rsidRPr="00BA47B4" w:rsidRDefault="008C5CFA" w:rsidP="00300A01">
            <w:pPr>
              <w:spacing w:before="0" w:after="0"/>
              <w:jc w:val="right"/>
              <w:rPr>
                <w:sz w:val="12"/>
                <w:szCs w:val="12"/>
                <w:lang w:val="fr-BE"/>
              </w:rPr>
            </w:pPr>
          </w:p>
        </w:tc>
        <w:tc>
          <w:tcPr>
            <w:tcW w:w="0" w:type="auto"/>
            <w:shd w:val="clear" w:color="auto" w:fill="auto"/>
          </w:tcPr>
          <w:p w14:paraId="76371A8F" w14:textId="77777777" w:rsidR="008C5CFA" w:rsidRPr="00BA47B4" w:rsidRDefault="008C5CFA" w:rsidP="00300A01">
            <w:pPr>
              <w:spacing w:before="0" w:after="0"/>
              <w:jc w:val="right"/>
              <w:rPr>
                <w:sz w:val="12"/>
                <w:szCs w:val="12"/>
                <w:lang w:val="fr-BE"/>
              </w:rPr>
            </w:pPr>
          </w:p>
        </w:tc>
        <w:tc>
          <w:tcPr>
            <w:tcW w:w="0" w:type="auto"/>
            <w:shd w:val="clear" w:color="auto" w:fill="auto"/>
          </w:tcPr>
          <w:p w14:paraId="3B02CEC5" w14:textId="77777777" w:rsidR="008C5CFA" w:rsidRPr="00BA47B4" w:rsidRDefault="008C5CFA" w:rsidP="00300A01">
            <w:pPr>
              <w:spacing w:before="0" w:after="0"/>
              <w:jc w:val="right"/>
              <w:rPr>
                <w:sz w:val="12"/>
                <w:szCs w:val="12"/>
                <w:lang w:val="fr-BE"/>
              </w:rPr>
            </w:pPr>
          </w:p>
        </w:tc>
        <w:tc>
          <w:tcPr>
            <w:tcW w:w="0" w:type="auto"/>
            <w:shd w:val="clear" w:color="auto" w:fill="auto"/>
          </w:tcPr>
          <w:p w14:paraId="75C327EA" w14:textId="77777777" w:rsidR="008C5CFA" w:rsidRPr="00BA47B4" w:rsidRDefault="008C5CFA" w:rsidP="00300A01">
            <w:pPr>
              <w:spacing w:before="0" w:after="0"/>
              <w:jc w:val="right"/>
              <w:rPr>
                <w:sz w:val="12"/>
                <w:szCs w:val="12"/>
                <w:lang w:val="fr-BE"/>
              </w:rPr>
            </w:pPr>
          </w:p>
        </w:tc>
        <w:tc>
          <w:tcPr>
            <w:tcW w:w="0" w:type="auto"/>
            <w:shd w:val="clear" w:color="auto" w:fill="auto"/>
          </w:tcPr>
          <w:p w14:paraId="5ADF3FBB" w14:textId="77777777" w:rsidR="008C5CFA" w:rsidRPr="00BA47B4" w:rsidRDefault="008C5CFA" w:rsidP="00300A01">
            <w:pPr>
              <w:spacing w:before="0" w:after="0"/>
              <w:jc w:val="right"/>
              <w:rPr>
                <w:sz w:val="12"/>
                <w:szCs w:val="12"/>
                <w:lang w:val="fr-BE"/>
              </w:rPr>
            </w:pPr>
          </w:p>
        </w:tc>
        <w:tc>
          <w:tcPr>
            <w:tcW w:w="0" w:type="auto"/>
          </w:tcPr>
          <w:p w14:paraId="419CCF5C" w14:textId="77777777" w:rsidR="008C5CFA" w:rsidRPr="00A92B39" w:rsidRDefault="00E82A60" w:rsidP="00300A01">
            <w:pPr>
              <w:spacing w:before="0" w:after="0"/>
              <w:jc w:val="right"/>
              <w:rPr>
                <w:sz w:val="10"/>
                <w:szCs w:val="10"/>
                <w:lang w:val="fr-BE"/>
              </w:rPr>
            </w:pPr>
            <w:r w:rsidRPr="00A92B39">
              <w:rPr>
                <w:noProof/>
                <w:sz w:val="10"/>
                <w:szCs w:val="10"/>
                <w:lang w:val="fr-BE"/>
              </w:rPr>
              <w:t>1 135,00</w:t>
            </w:r>
          </w:p>
        </w:tc>
        <w:tc>
          <w:tcPr>
            <w:tcW w:w="0" w:type="auto"/>
            <w:shd w:val="clear" w:color="auto" w:fill="auto"/>
          </w:tcPr>
          <w:p w14:paraId="37CBE1E0" w14:textId="77777777" w:rsidR="008C5CFA" w:rsidRPr="00A92B39" w:rsidRDefault="008C5CFA" w:rsidP="00300A01">
            <w:pPr>
              <w:spacing w:before="0" w:after="0"/>
              <w:jc w:val="right"/>
              <w:rPr>
                <w:sz w:val="10"/>
                <w:szCs w:val="10"/>
                <w:lang w:val="fr-BE"/>
              </w:rPr>
            </w:pPr>
          </w:p>
        </w:tc>
        <w:tc>
          <w:tcPr>
            <w:tcW w:w="0" w:type="auto"/>
            <w:shd w:val="clear" w:color="auto" w:fill="auto"/>
          </w:tcPr>
          <w:p w14:paraId="23A525F8" w14:textId="77777777" w:rsidR="008C5CFA" w:rsidRPr="00BA47B4" w:rsidRDefault="008C5CFA" w:rsidP="00300A01">
            <w:pPr>
              <w:spacing w:before="0" w:after="0"/>
              <w:jc w:val="right"/>
              <w:rPr>
                <w:sz w:val="12"/>
                <w:szCs w:val="12"/>
                <w:lang w:val="fr-BE"/>
              </w:rPr>
            </w:pPr>
          </w:p>
        </w:tc>
      </w:tr>
    </w:tbl>
    <w:p w14:paraId="68FA5256"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51"/>
        <w:gridCol w:w="7869"/>
        <w:gridCol w:w="1346"/>
        <w:gridCol w:w="594"/>
        <w:gridCol w:w="708"/>
        <w:gridCol w:w="560"/>
        <w:gridCol w:w="560"/>
        <w:gridCol w:w="708"/>
        <w:gridCol w:w="560"/>
        <w:gridCol w:w="560"/>
        <w:gridCol w:w="708"/>
        <w:gridCol w:w="560"/>
      </w:tblGrid>
      <w:tr w:rsidR="006B2EC1" w14:paraId="02C5132A" w14:textId="77777777" w:rsidTr="0047688D">
        <w:tc>
          <w:tcPr>
            <w:tcW w:w="0" w:type="auto"/>
            <w:shd w:val="clear" w:color="auto" w:fill="auto"/>
          </w:tcPr>
          <w:p w14:paraId="66359697" w14:textId="77777777" w:rsidR="008C5CFA" w:rsidRPr="001C4484" w:rsidRDefault="00E82A60" w:rsidP="00300A01">
            <w:pPr>
              <w:spacing w:before="0" w:after="0"/>
              <w:rPr>
                <w:sz w:val="10"/>
                <w:szCs w:val="10"/>
              </w:rPr>
            </w:pPr>
            <w:r w:rsidRPr="001C4484">
              <w:rPr>
                <w:b/>
                <w:noProof/>
                <w:sz w:val="12"/>
                <w:szCs w:val="12"/>
                <w:lang w:val="fr-BE"/>
              </w:rPr>
              <w:t>ID</w:t>
            </w:r>
          </w:p>
        </w:tc>
        <w:tc>
          <w:tcPr>
            <w:tcW w:w="0" w:type="auto"/>
            <w:shd w:val="clear" w:color="auto" w:fill="auto"/>
          </w:tcPr>
          <w:p w14:paraId="30DF0788" w14:textId="77777777" w:rsidR="008C5CFA" w:rsidRPr="001C4484" w:rsidRDefault="00E82A60" w:rsidP="00300A01">
            <w:pPr>
              <w:spacing w:before="0" w:after="0"/>
              <w:rPr>
                <w:sz w:val="10"/>
                <w:szCs w:val="10"/>
              </w:rPr>
            </w:pPr>
            <w:r w:rsidRPr="001C4484">
              <w:rPr>
                <w:b/>
                <w:noProof/>
                <w:sz w:val="12"/>
                <w:szCs w:val="12"/>
                <w:lang w:val="fr-BE"/>
              </w:rPr>
              <w:t>Wskaźnik</w:t>
            </w:r>
          </w:p>
        </w:tc>
        <w:tc>
          <w:tcPr>
            <w:tcW w:w="0" w:type="auto"/>
            <w:shd w:val="clear" w:color="auto" w:fill="auto"/>
          </w:tcPr>
          <w:p w14:paraId="7730BCBA" w14:textId="77777777" w:rsidR="008C5CFA" w:rsidRPr="001C4484" w:rsidRDefault="00E82A60" w:rsidP="00300A01">
            <w:pPr>
              <w:spacing w:before="0" w:after="0"/>
              <w:rPr>
                <w:sz w:val="10"/>
                <w:szCs w:val="10"/>
              </w:rPr>
            </w:pPr>
            <w:r w:rsidRPr="001C4484">
              <w:rPr>
                <w:b/>
                <w:noProof/>
                <w:sz w:val="12"/>
                <w:szCs w:val="12"/>
                <w:lang w:val="fr-BE"/>
              </w:rPr>
              <w:t>Kategoria regionu</w:t>
            </w:r>
          </w:p>
        </w:tc>
        <w:tc>
          <w:tcPr>
            <w:tcW w:w="0" w:type="auto"/>
            <w:gridSpan w:val="3"/>
          </w:tcPr>
          <w:p w14:paraId="23C520FC" w14:textId="77777777" w:rsidR="008C5CFA" w:rsidRPr="001C4484" w:rsidRDefault="00E82A60" w:rsidP="00300A01">
            <w:pPr>
              <w:spacing w:before="0" w:after="0"/>
              <w:jc w:val="center"/>
              <w:rPr>
                <w:sz w:val="10"/>
                <w:szCs w:val="10"/>
              </w:rPr>
            </w:pPr>
            <w:r w:rsidRPr="001C4484">
              <w:rPr>
                <w:sz w:val="10"/>
                <w:szCs w:val="10"/>
              </w:rPr>
              <w:t>2018</w:t>
            </w:r>
          </w:p>
        </w:tc>
        <w:tc>
          <w:tcPr>
            <w:tcW w:w="0" w:type="auto"/>
            <w:gridSpan w:val="3"/>
          </w:tcPr>
          <w:p w14:paraId="5C8F2F4C" w14:textId="77777777" w:rsidR="008C5CFA" w:rsidRPr="001C4484" w:rsidRDefault="00E82A60" w:rsidP="00300A01">
            <w:pPr>
              <w:spacing w:before="0" w:after="0"/>
              <w:jc w:val="center"/>
              <w:rPr>
                <w:sz w:val="10"/>
                <w:szCs w:val="10"/>
              </w:rPr>
            </w:pPr>
            <w:r w:rsidRPr="001C4484">
              <w:rPr>
                <w:sz w:val="10"/>
                <w:szCs w:val="10"/>
              </w:rPr>
              <w:t>2017</w:t>
            </w:r>
          </w:p>
        </w:tc>
        <w:tc>
          <w:tcPr>
            <w:tcW w:w="0" w:type="auto"/>
            <w:gridSpan w:val="3"/>
          </w:tcPr>
          <w:p w14:paraId="7C1668F2" w14:textId="77777777" w:rsidR="008C5CFA" w:rsidRPr="001C4484" w:rsidRDefault="00E82A60" w:rsidP="00300A01">
            <w:pPr>
              <w:spacing w:before="0" w:after="0"/>
              <w:jc w:val="center"/>
              <w:rPr>
                <w:sz w:val="10"/>
                <w:szCs w:val="10"/>
              </w:rPr>
            </w:pPr>
            <w:r w:rsidRPr="001C4484">
              <w:rPr>
                <w:sz w:val="10"/>
                <w:szCs w:val="10"/>
              </w:rPr>
              <w:t>2016</w:t>
            </w:r>
          </w:p>
        </w:tc>
      </w:tr>
      <w:tr w:rsidR="006B2EC1" w14:paraId="08C3C33B" w14:textId="77777777" w:rsidTr="0047688D">
        <w:tc>
          <w:tcPr>
            <w:tcW w:w="0" w:type="auto"/>
            <w:shd w:val="clear" w:color="auto" w:fill="auto"/>
          </w:tcPr>
          <w:p w14:paraId="5D7CE07D" w14:textId="77777777" w:rsidR="008C5CFA" w:rsidRPr="001C4484" w:rsidRDefault="008C5CFA" w:rsidP="00300A01">
            <w:pPr>
              <w:spacing w:before="0" w:after="0"/>
              <w:rPr>
                <w:sz w:val="10"/>
                <w:szCs w:val="10"/>
              </w:rPr>
            </w:pPr>
          </w:p>
        </w:tc>
        <w:tc>
          <w:tcPr>
            <w:tcW w:w="0" w:type="auto"/>
            <w:shd w:val="clear" w:color="auto" w:fill="auto"/>
          </w:tcPr>
          <w:p w14:paraId="1ABCF807" w14:textId="77777777" w:rsidR="008C5CFA" w:rsidRPr="001C4484" w:rsidRDefault="008C5CFA" w:rsidP="00300A01">
            <w:pPr>
              <w:spacing w:before="0" w:after="0"/>
              <w:rPr>
                <w:sz w:val="10"/>
                <w:szCs w:val="10"/>
              </w:rPr>
            </w:pPr>
          </w:p>
        </w:tc>
        <w:tc>
          <w:tcPr>
            <w:tcW w:w="0" w:type="auto"/>
            <w:shd w:val="clear" w:color="auto" w:fill="auto"/>
          </w:tcPr>
          <w:p w14:paraId="5E83DC23" w14:textId="77777777" w:rsidR="008C5CFA" w:rsidRPr="001C4484" w:rsidRDefault="008C5CFA" w:rsidP="00300A01">
            <w:pPr>
              <w:spacing w:before="0" w:after="0"/>
              <w:rPr>
                <w:sz w:val="10"/>
                <w:szCs w:val="10"/>
              </w:rPr>
            </w:pPr>
          </w:p>
        </w:tc>
        <w:tc>
          <w:tcPr>
            <w:tcW w:w="0" w:type="auto"/>
          </w:tcPr>
          <w:p w14:paraId="03A12261" w14:textId="77777777" w:rsidR="008C5CFA" w:rsidRPr="001C4484" w:rsidRDefault="00E82A60" w:rsidP="00300A01">
            <w:pPr>
              <w:spacing w:before="0" w:after="0"/>
              <w:jc w:val="center"/>
              <w:rPr>
                <w:sz w:val="10"/>
                <w:szCs w:val="10"/>
              </w:rPr>
            </w:pPr>
            <w:r>
              <w:rPr>
                <w:noProof/>
                <w:sz w:val="10"/>
                <w:szCs w:val="10"/>
              </w:rPr>
              <w:t>Ogółem</w:t>
            </w:r>
          </w:p>
        </w:tc>
        <w:tc>
          <w:tcPr>
            <w:tcW w:w="0" w:type="auto"/>
            <w:shd w:val="clear" w:color="auto" w:fill="auto"/>
          </w:tcPr>
          <w:p w14:paraId="57B099C9" w14:textId="77777777" w:rsidR="008C5CFA" w:rsidRPr="001C4484" w:rsidRDefault="00E82A60" w:rsidP="00300A01">
            <w:pPr>
              <w:spacing w:before="0" w:after="0"/>
              <w:jc w:val="center"/>
              <w:rPr>
                <w:sz w:val="10"/>
                <w:szCs w:val="10"/>
              </w:rPr>
            </w:pPr>
            <w:r w:rsidRPr="001C4484">
              <w:rPr>
                <w:noProof/>
                <w:sz w:val="10"/>
                <w:szCs w:val="10"/>
              </w:rPr>
              <w:t>Mężczyźni</w:t>
            </w:r>
          </w:p>
        </w:tc>
        <w:tc>
          <w:tcPr>
            <w:tcW w:w="0" w:type="auto"/>
            <w:shd w:val="clear" w:color="auto" w:fill="auto"/>
          </w:tcPr>
          <w:p w14:paraId="2D0896DA" w14:textId="77777777" w:rsidR="008C5CFA" w:rsidRPr="001C4484" w:rsidRDefault="00E82A60" w:rsidP="00300A01">
            <w:pPr>
              <w:spacing w:before="0" w:after="0"/>
              <w:jc w:val="center"/>
              <w:rPr>
                <w:sz w:val="10"/>
                <w:szCs w:val="10"/>
              </w:rPr>
            </w:pPr>
            <w:r w:rsidRPr="001C4484">
              <w:rPr>
                <w:noProof/>
                <w:sz w:val="10"/>
                <w:szCs w:val="10"/>
              </w:rPr>
              <w:t>Kobiety</w:t>
            </w:r>
          </w:p>
        </w:tc>
        <w:tc>
          <w:tcPr>
            <w:tcW w:w="0" w:type="auto"/>
          </w:tcPr>
          <w:p w14:paraId="3D8FF313" w14:textId="77777777" w:rsidR="008C5CFA" w:rsidRPr="001C4484" w:rsidRDefault="00E82A60" w:rsidP="00300A01">
            <w:pPr>
              <w:spacing w:before="0" w:after="0"/>
              <w:jc w:val="center"/>
              <w:rPr>
                <w:sz w:val="10"/>
                <w:szCs w:val="10"/>
              </w:rPr>
            </w:pPr>
            <w:r>
              <w:rPr>
                <w:noProof/>
                <w:sz w:val="10"/>
                <w:szCs w:val="10"/>
              </w:rPr>
              <w:t>Ogółem</w:t>
            </w:r>
          </w:p>
        </w:tc>
        <w:tc>
          <w:tcPr>
            <w:tcW w:w="0" w:type="auto"/>
            <w:shd w:val="clear" w:color="auto" w:fill="auto"/>
          </w:tcPr>
          <w:p w14:paraId="566CFD7D" w14:textId="77777777" w:rsidR="008C5CFA" w:rsidRPr="001C4484" w:rsidRDefault="00E82A60" w:rsidP="00300A01">
            <w:pPr>
              <w:spacing w:before="0" w:after="0"/>
              <w:jc w:val="center"/>
              <w:rPr>
                <w:sz w:val="10"/>
                <w:szCs w:val="10"/>
              </w:rPr>
            </w:pPr>
            <w:r w:rsidRPr="001C4484">
              <w:rPr>
                <w:noProof/>
                <w:sz w:val="10"/>
                <w:szCs w:val="10"/>
              </w:rPr>
              <w:t>Mężczyźni</w:t>
            </w:r>
          </w:p>
        </w:tc>
        <w:tc>
          <w:tcPr>
            <w:tcW w:w="0" w:type="auto"/>
            <w:shd w:val="clear" w:color="auto" w:fill="auto"/>
          </w:tcPr>
          <w:p w14:paraId="2E45793B" w14:textId="77777777" w:rsidR="008C5CFA" w:rsidRPr="001C4484" w:rsidRDefault="00E82A60" w:rsidP="00300A01">
            <w:pPr>
              <w:spacing w:before="0" w:after="0"/>
              <w:jc w:val="center"/>
              <w:rPr>
                <w:sz w:val="10"/>
                <w:szCs w:val="10"/>
              </w:rPr>
            </w:pPr>
            <w:r w:rsidRPr="001C4484">
              <w:rPr>
                <w:noProof/>
                <w:sz w:val="10"/>
                <w:szCs w:val="10"/>
              </w:rPr>
              <w:t>Kobiety</w:t>
            </w:r>
          </w:p>
        </w:tc>
        <w:tc>
          <w:tcPr>
            <w:tcW w:w="0" w:type="auto"/>
          </w:tcPr>
          <w:p w14:paraId="3A489796" w14:textId="77777777" w:rsidR="008C5CFA" w:rsidRPr="001C4484" w:rsidRDefault="00E82A60" w:rsidP="00300A01">
            <w:pPr>
              <w:spacing w:before="0" w:after="0"/>
              <w:jc w:val="center"/>
              <w:rPr>
                <w:sz w:val="10"/>
                <w:szCs w:val="10"/>
              </w:rPr>
            </w:pPr>
            <w:r>
              <w:rPr>
                <w:noProof/>
                <w:sz w:val="10"/>
                <w:szCs w:val="10"/>
              </w:rPr>
              <w:t>Ogółem</w:t>
            </w:r>
          </w:p>
        </w:tc>
        <w:tc>
          <w:tcPr>
            <w:tcW w:w="0" w:type="auto"/>
            <w:shd w:val="clear" w:color="auto" w:fill="auto"/>
          </w:tcPr>
          <w:p w14:paraId="0DEC3674" w14:textId="77777777" w:rsidR="008C5CFA" w:rsidRPr="001C4484" w:rsidRDefault="00E82A60" w:rsidP="00300A01">
            <w:pPr>
              <w:spacing w:before="0" w:after="0"/>
              <w:jc w:val="center"/>
              <w:rPr>
                <w:sz w:val="10"/>
                <w:szCs w:val="10"/>
              </w:rPr>
            </w:pPr>
            <w:r w:rsidRPr="001C4484">
              <w:rPr>
                <w:noProof/>
                <w:sz w:val="10"/>
                <w:szCs w:val="10"/>
              </w:rPr>
              <w:t>Mężczyźni</w:t>
            </w:r>
          </w:p>
        </w:tc>
        <w:tc>
          <w:tcPr>
            <w:tcW w:w="0" w:type="auto"/>
            <w:shd w:val="clear" w:color="auto" w:fill="auto"/>
          </w:tcPr>
          <w:p w14:paraId="39F1B544" w14:textId="77777777" w:rsidR="008C5CFA" w:rsidRPr="001C4484" w:rsidRDefault="00E82A60" w:rsidP="00300A01">
            <w:pPr>
              <w:spacing w:before="0" w:after="0"/>
              <w:jc w:val="center"/>
              <w:rPr>
                <w:sz w:val="10"/>
                <w:szCs w:val="10"/>
              </w:rPr>
            </w:pPr>
            <w:r w:rsidRPr="001C4484">
              <w:rPr>
                <w:noProof/>
                <w:sz w:val="10"/>
                <w:szCs w:val="10"/>
              </w:rPr>
              <w:t>Kobiety</w:t>
            </w:r>
          </w:p>
        </w:tc>
      </w:tr>
      <w:tr w:rsidR="006B2EC1" w14:paraId="6D41DC7F" w14:textId="77777777" w:rsidTr="0047688D">
        <w:tc>
          <w:tcPr>
            <w:tcW w:w="0" w:type="auto"/>
            <w:shd w:val="clear" w:color="auto" w:fill="auto"/>
          </w:tcPr>
          <w:p w14:paraId="59255386" w14:textId="77777777" w:rsidR="008C5CFA" w:rsidRPr="001C4484" w:rsidRDefault="00E82A60" w:rsidP="00300A01">
            <w:pPr>
              <w:spacing w:before="0" w:after="0"/>
              <w:rPr>
                <w:sz w:val="10"/>
                <w:szCs w:val="10"/>
                <w:lang w:val="fr-BE"/>
              </w:rPr>
            </w:pPr>
            <w:r w:rsidRPr="001C4484">
              <w:rPr>
                <w:noProof/>
                <w:sz w:val="10"/>
                <w:szCs w:val="10"/>
                <w:lang w:val="fr-BE"/>
              </w:rPr>
              <w:t>CO01</w:t>
            </w:r>
          </w:p>
        </w:tc>
        <w:tc>
          <w:tcPr>
            <w:tcW w:w="0" w:type="auto"/>
            <w:shd w:val="clear" w:color="auto" w:fill="auto"/>
          </w:tcPr>
          <w:p w14:paraId="08021227" w14:textId="77777777" w:rsidR="008C5CFA" w:rsidRPr="001C4484" w:rsidRDefault="00E82A60" w:rsidP="00300A01">
            <w:pPr>
              <w:spacing w:before="0" w:after="0"/>
              <w:rPr>
                <w:sz w:val="10"/>
                <w:szCs w:val="10"/>
                <w:lang w:val="fr-BE"/>
              </w:rPr>
            </w:pPr>
            <w:r w:rsidRPr="001C4484">
              <w:rPr>
                <w:noProof/>
                <w:sz w:val="10"/>
                <w:szCs w:val="10"/>
                <w:lang w:val="fr-BE"/>
              </w:rPr>
              <w:t>bezrobotni, w tym długotrwale bezrobotni</w:t>
            </w:r>
          </w:p>
        </w:tc>
        <w:tc>
          <w:tcPr>
            <w:tcW w:w="0" w:type="auto"/>
            <w:shd w:val="clear" w:color="auto" w:fill="auto"/>
          </w:tcPr>
          <w:p w14:paraId="527F06CF"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6E350638" w14:textId="77777777" w:rsidR="008C5CFA" w:rsidRPr="001C4484" w:rsidRDefault="00E82A60" w:rsidP="00300A01">
            <w:pPr>
              <w:spacing w:before="0" w:after="0"/>
              <w:jc w:val="right"/>
              <w:rPr>
                <w:sz w:val="10"/>
                <w:szCs w:val="10"/>
              </w:rPr>
            </w:pPr>
            <w:r>
              <w:rPr>
                <w:noProof/>
                <w:sz w:val="10"/>
                <w:szCs w:val="10"/>
              </w:rPr>
              <w:t>442,00</w:t>
            </w:r>
          </w:p>
        </w:tc>
        <w:tc>
          <w:tcPr>
            <w:tcW w:w="0" w:type="auto"/>
            <w:shd w:val="clear" w:color="auto" w:fill="auto"/>
          </w:tcPr>
          <w:p w14:paraId="033C7614" w14:textId="77777777" w:rsidR="008C5CFA" w:rsidRPr="001C4484" w:rsidRDefault="00E82A60" w:rsidP="00300A01">
            <w:pPr>
              <w:spacing w:before="0" w:after="0"/>
              <w:jc w:val="right"/>
              <w:rPr>
                <w:sz w:val="10"/>
                <w:szCs w:val="10"/>
              </w:rPr>
            </w:pPr>
            <w:r w:rsidRPr="001C4484">
              <w:rPr>
                <w:noProof/>
                <w:sz w:val="10"/>
                <w:szCs w:val="10"/>
              </w:rPr>
              <w:t>178,00</w:t>
            </w:r>
          </w:p>
        </w:tc>
        <w:tc>
          <w:tcPr>
            <w:tcW w:w="0" w:type="auto"/>
            <w:shd w:val="clear" w:color="auto" w:fill="auto"/>
          </w:tcPr>
          <w:p w14:paraId="418A87C0" w14:textId="77777777" w:rsidR="008C5CFA" w:rsidRPr="001C4484" w:rsidRDefault="00E82A60" w:rsidP="00300A01">
            <w:pPr>
              <w:spacing w:before="0" w:after="0"/>
              <w:jc w:val="right"/>
              <w:rPr>
                <w:sz w:val="10"/>
                <w:szCs w:val="10"/>
                <w:lang w:val="fr-BE"/>
              </w:rPr>
            </w:pPr>
            <w:r w:rsidRPr="001C4484">
              <w:rPr>
                <w:noProof/>
                <w:sz w:val="10"/>
                <w:szCs w:val="10"/>
              </w:rPr>
              <w:t>264,00</w:t>
            </w:r>
          </w:p>
        </w:tc>
        <w:tc>
          <w:tcPr>
            <w:tcW w:w="0" w:type="auto"/>
          </w:tcPr>
          <w:p w14:paraId="7A86AA37" w14:textId="77777777" w:rsidR="008C5CFA" w:rsidRPr="001C4484" w:rsidRDefault="00E82A60" w:rsidP="00300A01">
            <w:pPr>
              <w:spacing w:before="0" w:after="0"/>
              <w:jc w:val="right"/>
              <w:rPr>
                <w:sz w:val="10"/>
                <w:szCs w:val="10"/>
              </w:rPr>
            </w:pPr>
            <w:r>
              <w:rPr>
                <w:noProof/>
                <w:sz w:val="10"/>
                <w:szCs w:val="10"/>
              </w:rPr>
              <w:t>401,00</w:t>
            </w:r>
          </w:p>
        </w:tc>
        <w:tc>
          <w:tcPr>
            <w:tcW w:w="0" w:type="auto"/>
            <w:shd w:val="clear" w:color="auto" w:fill="auto"/>
          </w:tcPr>
          <w:p w14:paraId="1B3CEC2E" w14:textId="77777777" w:rsidR="008C5CFA" w:rsidRPr="001C4484" w:rsidRDefault="00E82A60" w:rsidP="00300A01">
            <w:pPr>
              <w:spacing w:before="0" w:after="0"/>
              <w:jc w:val="right"/>
              <w:rPr>
                <w:sz w:val="10"/>
                <w:szCs w:val="10"/>
              </w:rPr>
            </w:pPr>
            <w:r w:rsidRPr="001C4484">
              <w:rPr>
                <w:noProof/>
                <w:sz w:val="10"/>
                <w:szCs w:val="10"/>
              </w:rPr>
              <w:t>160,00</w:t>
            </w:r>
          </w:p>
        </w:tc>
        <w:tc>
          <w:tcPr>
            <w:tcW w:w="0" w:type="auto"/>
            <w:shd w:val="clear" w:color="auto" w:fill="auto"/>
          </w:tcPr>
          <w:p w14:paraId="0B3D5F48" w14:textId="77777777" w:rsidR="008C5CFA" w:rsidRPr="001C4484" w:rsidRDefault="00E82A60" w:rsidP="00300A01">
            <w:pPr>
              <w:spacing w:before="0" w:after="0"/>
              <w:jc w:val="right"/>
              <w:rPr>
                <w:sz w:val="10"/>
                <w:szCs w:val="10"/>
                <w:lang w:val="fr-BE"/>
              </w:rPr>
            </w:pPr>
            <w:r w:rsidRPr="001C4484">
              <w:rPr>
                <w:noProof/>
                <w:sz w:val="10"/>
                <w:szCs w:val="10"/>
              </w:rPr>
              <w:t>241,00</w:t>
            </w:r>
          </w:p>
        </w:tc>
        <w:tc>
          <w:tcPr>
            <w:tcW w:w="0" w:type="auto"/>
          </w:tcPr>
          <w:p w14:paraId="4C7CF3F8" w14:textId="77777777" w:rsidR="008C5CFA" w:rsidRPr="001C4484" w:rsidRDefault="00E82A60" w:rsidP="00300A01">
            <w:pPr>
              <w:spacing w:before="0" w:after="0"/>
              <w:jc w:val="right"/>
              <w:rPr>
                <w:sz w:val="10"/>
                <w:szCs w:val="10"/>
              </w:rPr>
            </w:pPr>
            <w:r>
              <w:rPr>
                <w:noProof/>
                <w:sz w:val="10"/>
                <w:szCs w:val="10"/>
              </w:rPr>
              <w:t>163,00</w:t>
            </w:r>
          </w:p>
        </w:tc>
        <w:tc>
          <w:tcPr>
            <w:tcW w:w="0" w:type="auto"/>
            <w:shd w:val="clear" w:color="auto" w:fill="auto"/>
          </w:tcPr>
          <w:p w14:paraId="70A84E60" w14:textId="77777777" w:rsidR="008C5CFA" w:rsidRPr="001C4484" w:rsidRDefault="00E82A60" w:rsidP="00300A01">
            <w:pPr>
              <w:spacing w:before="0" w:after="0"/>
              <w:jc w:val="right"/>
              <w:rPr>
                <w:sz w:val="10"/>
                <w:szCs w:val="10"/>
              </w:rPr>
            </w:pPr>
            <w:r w:rsidRPr="001C4484">
              <w:rPr>
                <w:noProof/>
                <w:sz w:val="10"/>
                <w:szCs w:val="10"/>
              </w:rPr>
              <w:t>63,00</w:t>
            </w:r>
          </w:p>
        </w:tc>
        <w:tc>
          <w:tcPr>
            <w:tcW w:w="0" w:type="auto"/>
            <w:shd w:val="clear" w:color="auto" w:fill="auto"/>
          </w:tcPr>
          <w:p w14:paraId="03D3BE8D" w14:textId="77777777" w:rsidR="008C5CFA" w:rsidRPr="001C4484" w:rsidRDefault="00E82A60" w:rsidP="00300A01">
            <w:pPr>
              <w:spacing w:before="0" w:after="0"/>
              <w:jc w:val="right"/>
              <w:rPr>
                <w:sz w:val="10"/>
                <w:szCs w:val="10"/>
                <w:lang w:val="fr-BE"/>
              </w:rPr>
            </w:pPr>
            <w:r w:rsidRPr="001C4484">
              <w:rPr>
                <w:noProof/>
                <w:sz w:val="10"/>
                <w:szCs w:val="10"/>
              </w:rPr>
              <w:t>100,00</w:t>
            </w:r>
          </w:p>
        </w:tc>
      </w:tr>
      <w:tr w:rsidR="006B2EC1" w14:paraId="69C5C1DA" w14:textId="77777777" w:rsidTr="0047688D">
        <w:tc>
          <w:tcPr>
            <w:tcW w:w="0" w:type="auto"/>
            <w:shd w:val="clear" w:color="auto" w:fill="auto"/>
          </w:tcPr>
          <w:p w14:paraId="12B4D399" w14:textId="77777777" w:rsidR="008C5CFA" w:rsidRPr="001C4484" w:rsidRDefault="00E82A60" w:rsidP="00300A01">
            <w:pPr>
              <w:spacing w:before="0" w:after="0"/>
              <w:rPr>
                <w:sz w:val="10"/>
                <w:szCs w:val="10"/>
                <w:lang w:val="fr-BE"/>
              </w:rPr>
            </w:pPr>
            <w:r w:rsidRPr="001C4484">
              <w:rPr>
                <w:noProof/>
                <w:sz w:val="10"/>
                <w:szCs w:val="10"/>
                <w:lang w:val="fr-BE"/>
              </w:rPr>
              <w:t>CO02</w:t>
            </w:r>
          </w:p>
        </w:tc>
        <w:tc>
          <w:tcPr>
            <w:tcW w:w="0" w:type="auto"/>
            <w:shd w:val="clear" w:color="auto" w:fill="auto"/>
          </w:tcPr>
          <w:p w14:paraId="3E2657F1" w14:textId="77777777" w:rsidR="008C5CFA" w:rsidRPr="001C4484" w:rsidRDefault="00E82A60" w:rsidP="00300A01">
            <w:pPr>
              <w:spacing w:before="0" w:after="0"/>
              <w:rPr>
                <w:sz w:val="10"/>
                <w:szCs w:val="10"/>
                <w:lang w:val="fr-BE"/>
              </w:rPr>
            </w:pPr>
            <w:r w:rsidRPr="001C4484">
              <w:rPr>
                <w:noProof/>
                <w:sz w:val="10"/>
                <w:szCs w:val="10"/>
                <w:lang w:val="fr-BE"/>
              </w:rPr>
              <w:t>długotrwale bezrobotni</w:t>
            </w:r>
          </w:p>
        </w:tc>
        <w:tc>
          <w:tcPr>
            <w:tcW w:w="0" w:type="auto"/>
            <w:shd w:val="clear" w:color="auto" w:fill="auto"/>
          </w:tcPr>
          <w:p w14:paraId="60089DB4"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4596E479" w14:textId="77777777" w:rsidR="008C5CFA" w:rsidRPr="001C4484" w:rsidRDefault="00E82A60" w:rsidP="00300A01">
            <w:pPr>
              <w:spacing w:before="0" w:after="0"/>
              <w:jc w:val="right"/>
              <w:rPr>
                <w:sz w:val="10"/>
                <w:szCs w:val="10"/>
              </w:rPr>
            </w:pPr>
            <w:r>
              <w:rPr>
                <w:noProof/>
                <w:sz w:val="10"/>
                <w:szCs w:val="10"/>
              </w:rPr>
              <w:t>156,00</w:t>
            </w:r>
          </w:p>
        </w:tc>
        <w:tc>
          <w:tcPr>
            <w:tcW w:w="0" w:type="auto"/>
            <w:shd w:val="clear" w:color="auto" w:fill="auto"/>
          </w:tcPr>
          <w:p w14:paraId="48C7C6E1" w14:textId="77777777" w:rsidR="008C5CFA" w:rsidRPr="001C4484" w:rsidRDefault="00E82A60" w:rsidP="00300A01">
            <w:pPr>
              <w:spacing w:before="0" w:after="0"/>
              <w:jc w:val="right"/>
              <w:rPr>
                <w:sz w:val="10"/>
                <w:szCs w:val="10"/>
              </w:rPr>
            </w:pPr>
            <w:r w:rsidRPr="001C4484">
              <w:rPr>
                <w:noProof/>
                <w:sz w:val="10"/>
                <w:szCs w:val="10"/>
              </w:rPr>
              <w:t>66,00</w:t>
            </w:r>
          </w:p>
        </w:tc>
        <w:tc>
          <w:tcPr>
            <w:tcW w:w="0" w:type="auto"/>
            <w:shd w:val="clear" w:color="auto" w:fill="auto"/>
          </w:tcPr>
          <w:p w14:paraId="3325862C" w14:textId="77777777" w:rsidR="008C5CFA" w:rsidRPr="001C4484" w:rsidRDefault="00E82A60" w:rsidP="00300A01">
            <w:pPr>
              <w:spacing w:before="0" w:after="0"/>
              <w:jc w:val="right"/>
              <w:rPr>
                <w:sz w:val="10"/>
                <w:szCs w:val="10"/>
                <w:lang w:val="fr-BE"/>
              </w:rPr>
            </w:pPr>
            <w:r w:rsidRPr="001C4484">
              <w:rPr>
                <w:noProof/>
                <w:sz w:val="10"/>
                <w:szCs w:val="10"/>
              </w:rPr>
              <w:t>90,00</w:t>
            </w:r>
          </w:p>
        </w:tc>
        <w:tc>
          <w:tcPr>
            <w:tcW w:w="0" w:type="auto"/>
          </w:tcPr>
          <w:p w14:paraId="4199170F" w14:textId="77777777" w:rsidR="008C5CFA" w:rsidRPr="001C4484" w:rsidRDefault="00E82A60" w:rsidP="00300A01">
            <w:pPr>
              <w:spacing w:before="0" w:after="0"/>
              <w:jc w:val="right"/>
              <w:rPr>
                <w:sz w:val="10"/>
                <w:szCs w:val="10"/>
              </w:rPr>
            </w:pPr>
            <w:r>
              <w:rPr>
                <w:noProof/>
                <w:sz w:val="10"/>
                <w:szCs w:val="10"/>
              </w:rPr>
              <w:t>130,00</w:t>
            </w:r>
          </w:p>
        </w:tc>
        <w:tc>
          <w:tcPr>
            <w:tcW w:w="0" w:type="auto"/>
            <w:shd w:val="clear" w:color="auto" w:fill="auto"/>
          </w:tcPr>
          <w:p w14:paraId="29166275" w14:textId="77777777" w:rsidR="008C5CFA" w:rsidRPr="001C4484" w:rsidRDefault="00E82A60" w:rsidP="00300A01">
            <w:pPr>
              <w:spacing w:before="0" w:after="0"/>
              <w:jc w:val="right"/>
              <w:rPr>
                <w:sz w:val="10"/>
                <w:szCs w:val="10"/>
              </w:rPr>
            </w:pPr>
            <w:r w:rsidRPr="001C4484">
              <w:rPr>
                <w:noProof/>
                <w:sz w:val="10"/>
                <w:szCs w:val="10"/>
              </w:rPr>
              <w:t>56,00</w:t>
            </w:r>
          </w:p>
        </w:tc>
        <w:tc>
          <w:tcPr>
            <w:tcW w:w="0" w:type="auto"/>
            <w:shd w:val="clear" w:color="auto" w:fill="auto"/>
          </w:tcPr>
          <w:p w14:paraId="5ACBEB55" w14:textId="77777777" w:rsidR="008C5CFA" w:rsidRPr="001C4484" w:rsidRDefault="00E82A60" w:rsidP="00300A01">
            <w:pPr>
              <w:spacing w:before="0" w:after="0"/>
              <w:jc w:val="right"/>
              <w:rPr>
                <w:sz w:val="10"/>
                <w:szCs w:val="10"/>
                <w:lang w:val="fr-BE"/>
              </w:rPr>
            </w:pPr>
            <w:r w:rsidRPr="001C4484">
              <w:rPr>
                <w:noProof/>
                <w:sz w:val="10"/>
                <w:szCs w:val="10"/>
              </w:rPr>
              <w:t>74,00</w:t>
            </w:r>
          </w:p>
        </w:tc>
        <w:tc>
          <w:tcPr>
            <w:tcW w:w="0" w:type="auto"/>
          </w:tcPr>
          <w:p w14:paraId="5C100AFF" w14:textId="77777777" w:rsidR="008C5CFA" w:rsidRPr="001C4484" w:rsidRDefault="00E82A60" w:rsidP="00300A01">
            <w:pPr>
              <w:spacing w:before="0" w:after="0"/>
              <w:jc w:val="right"/>
              <w:rPr>
                <w:sz w:val="10"/>
                <w:szCs w:val="10"/>
              </w:rPr>
            </w:pPr>
            <w:r>
              <w:rPr>
                <w:noProof/>
                <w:sz w:val="10"/>
                <w:szCs w:val="10"/>
              </w:rPr>
              <w:t>73,00</w:t>
            </w:r>
          </w:p>
        </w:tc>
        <w:tc>
          <w:tcPr>
            <w:tcW w:w="0" w:type="auto"/>
            <w:shd w:val="clear" w:color="auto" w:fill="auto"/>
          </w:tcPr>
          <w:p w14:paraId="6E82C0C9" w14:textId="77777777" w:rsidR="008C5CFA" w:rsidRPr="001C4484" w:rsidRDefault="00E82A60" w:rsidP="00300A01">
            <w:pPr>
              <w:spacing w:before="0" w:after="0"/>
              <w:jc w:val="right"/>
              <w:rPr>
                <w:sz w:val="10"/>
                <w:szCs w:val="10"/>
              </w:rPr>
            </w:pPr>
            <w:r w:rsidRPr="001C4484">
              <w:rPr>
                <w:noProof/>
                <w:sz w:val="10"/>
                <w:szCs w:val="10"/>
              </w:rPr>
              <w:t>23,00</w:t>
            </w:r>
          </w:p>
        </w:tc>
        <w:tc>
          <w:tcPr>
            <w:tcW w:w="0" w:type="auto"/>
            <w:shd w:val="clear" w:color="auto" w:fill="auto"/>
          </w:tcPr>
          <w:p w14:paraId="292ACB4B" w14:textId="77777777" w:rsidR="008C5CFA" w:rsidRPr="001C4484" w:rsidRDefault="00E82A60" w:rsidP="00300A01">
            <w:pPr>
              <w:spacing w:before="0" w:after="0"/>
              <w:jc w:val="right"/>
              <w:rPr>
                <w:sz w:val="10"/>
                <w:szCs w:val="10"/>
                <w:lang w:val="fr-BE"/>
              </w:rPr>
            </w:pPr>
            <w:r w:rsidRPr="001C4484">
              <w:rPr>
                <w:noProof/>
                <w:sz w:val="10"/>
                <w:szCs w:val="10"/>
              </w:rPr>
              <w:t>50,00</w:t>
            </w:r>
          </w:p>
        </w:tc>
      </w:tr>
      <w:tr w:rsidR="006B2EC1" w14:paraId="611A8BA5" w14:textId="77777777" w:rsidTr="0047688D">
        <w:tc>
          <w:tcPr>
            <w:tcW w:w="0" w:type="auto"/>
            <w:shd w:val="clear" w:color="auto" w:fill="auto"/>
          </w:tcPr>
          <w:p w14:paraId="62AABE95" w14:textId="77777777" w:rsidR="008C5CFA" w:rsidRPr="001C4484" w:rsidRDefault="00E82A60" w:rsidP="00300A01">
            <w:pPr>
              <w:spacing w:before="0" w:after="0"/>
              <w:rPr>
                <w:sz w:val="10"/>
                <w:szCs w:val="10"/>
                <w:lang w:val="fr-BE"/>
              </w:rPr>
            </w:pPr>
            <w:r w:rsidRPr="001C4484">
              <w:rPr>
                <w:noProof/>
                <w:sz w:val="10"/>
                <w:szCs w:val="10"/>
                <w:lang w:val="fr-BE"/>
              </w:rPr>
              <w:t>CO03</w:t>
            </w:r>
          </w:p>
        </w:tc>
        <w:tc>
          <w:tcPr>
            <w:tcW w:w="0" w:type="auto"/>
            <w:shd w:val="clear" w:color="auto" w:fill="auto"/>
          </w:tcPr>
          <w:p w14:paraId="4B5E33AB" w14:textId="77777777" w:rsidR="008C5CFA" w:rsidRPr="001C4484" w:rsidRDefault="00E82A60" w:rsidP="00300A01">
            <w:pPr>
              <w:spacing w:before="0" w:after="0"/>
              <w:rPr>
                <w:sz w:val="10"/>
                <w:szCs w:val="10"/>
                <w:lang w:val="fr-BE"/>
              </w:rPr>
            </w:pPr>
            <w:r w:rsidRPr="001C4484">
              <w:rPr>
                <w:noProof/>
                <w:sz w:val="10"/>
                <w:szCs w:val="10"/>
                <w:lang w:val="fr-BE"/>
              </w:rPr>
              <w:t>osoby bierne zawodowo</w:t>
            </w:r>
          </w:p>
        </w:tc>
        <w:tc>
          <w:tcPr>
            <w:tcW w:w="0" w:type="auto"/>
            <w:shd w:val="clear" w:color="auto" w:fill="auto"/>
          </w:tcPr>
          <w:p w14:paraId="77F10348"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7417CB07" w14:textId="77777777" w:rsidR="008C5CFA" w:rsidRPr="001C4484" w:rsidRDefault="00E82A60" w:rsidP="00300A01">
            <w:pPr>
              <w:spacing w:before="0" w:after="0"/>
              <w:jc w:val="right"/>
              <w:rPr>
                <w:sz w:val="10"/>
                <w:szCs w:val="10"/>
              </w:rPr>
            </w:pPr>
            <w:r>
              <w:rPr>
                <w:noProof/>
                <w:sz w:val="10"/>
                <w:szCs w:val="10"/>
              </w:rPr>
              <w:t>968,00</w:t>
            </w:r>
          </w:p>
        </w:tc>
        <w:tc>
          <w:tcPr>
            <w:tcW w:w="0" w:type="auto"/>
            <w:shd w:val="clear" w:color="auto" w:fill="auto"/>
          </w:tcPr>
          <w:p w14:paraId="4FD4BEB5" w14:textId="77777777" w:rsidR="008C5CFA" w:rsidRPr="001C4484" w:rsidRDefault="00E82A60" w:rsidP="00300A01">
            <w:pPr>
              <w:spacing w:before="0" w:after="0"/>
              <w:jc w:val="right"/>
              <w:rPr>
                <w:sz w:val="10"/>
                <w:szCs w:val="10"/>
              </w:rPr>
            </w:pPr>
            <w:r w:rsidRPr="001C4484">
              <w:rPr>
                <w:noProof/>
                <w:sz w:val="10"/>
                <w:szCs w:val="10"/>
              </w:rPr>
              <w:t>361,00</w:t>
            </w:r>
          </w:p>
        </w:tc>
        <w:tc>
          <w:tcPr>
            <w:tcW w:w="0" w:type="auto"/>
            <w:shd w:val="clear" w:color="auto" w:fill="auto"/>
          </w:tcPr>
          <w:p w14:paraId="2FA506A3" w14:textId="77777777" w:rsidR="008C5CFA" w:rsidRPr="001C4484" w:rsidRDefault="00E82A60" w:rsidP="00300A01">
            <w:pPr>
              <w:spacing w:before="0" w:after="0"/>
              <w:jc w:val="right"/>
              <w:rPr>
                <w:sz w:val="10"/>
                <w:szCs w:val="10"/>
                <w:lang w:val="fr-BE"/>
              </w:rPr>
            </w:pPr>
            <w:r w:rsidRPr="001C4484">
              <w:rPr>
                <w:noProof/>
                <w:sz w:val="10"/>
                <w:szCs w:val="10"/>
              </w:rPr>
              <w:t>607,00</w:t>
            </w:r>
          </w:p>
        </w:tc>
        <w:tc>
          <w:tcPr>
            <w:tcW w:w="0" w:type="auto"/>
          </w:tcPr>
          <w:p w14:paraId="68FC6FBB" w14:textId="77777777" w:rsidR="008C5CFA" w:rsidRPr="001C4484" w:rsidRDefault="00E82A60" w:rsidP="00300A01">
            <w:pPr>
              <w:spacing w:before="0" w:after="0"/>
              <w:jc w:val="right"/>
              <w:rPr>
                <w:sz w:val="10"/>
                <w:szCs w:val="10"/>
              </w:rPr>
            </w:pPr>
            <w:r>
              <w:rPr>
                <w:noProof/>
                <w:sz w:val="10"/>
                <w:szCs w:val="10"/>
              </w:rPr>
              <w:t>223,00</w:t>
            </w:r>
          </w:p>
        </w:tc>
        <w:tc>
          <w:tcPr>
            <w:tcW w:w="0" w:type="auto"/>
            <w:shd w:val="clear" w:color="auto" w:fill="auto"/>
          </w:tcPr>
          <w:p w14:paraId="375754F1" w14:textId="77777777" w:rsidR="008C5CFA" w:rsidRPr="001C4484" w:rsidRDefault="00E82A60" w:rsidP="00300A01">
            <w:pPr>
              <w:spacing w:before="0" w:after="0"/>
              <w:jc w:val="right"/>
              <w:rPr>
                <w:sz w:val="10"/>
                <w:szCs w:val="10"/>
              </w:rPr>
            </w:pPr>
            <w:r w:rsidRPr="001C4484">
              <w:rPr>
                <w:noProof/>
                <w:sz w:val="10"/>
                <w:szCs w:val="10"/>
              </w:rPr>
              <w:t>74,00</w:t>
            </w:r>
          </w:p>
        </w:tc>
        <w:tc>
          <w:tcPr>
            <w:tcW w:w="0" w:type="auto"/>
            <w:shd w:val="clear" w:color="auto" w:fill="auto"/>
          </w:tcPr>
          <w:p w14:paraId="2C626CA1" w14:textId="77777777" w:rsidR="008C5CFA" w:rsidRPr="001C4484" w:rsidRDefault="00E82A60" w:rsidP="00300A01">
            <w:pPr>
              <w:spacing w:before="0" w:after="0"/>
              <w:jc w:val="right"/>
              <w:rPr>
                <w:sz w:val="10"/>
                <w:szCs w:val="10"/>
                <w:lang w:val="fr-BE"/>
              </w:rPr>
            </w:pPr>
            <w:r w:rsidRPr="001C4484">
              <w:rPr>
                <w:noProof/>
                <w:sz w:val="10"/>
                <w:szCs w:val="10"/>
              </w:rPr>
              <w:t>149,00</w:t>
            </w:r>
          </w:p>
        </w:tc>
        <w:tc>
          <w:tcPr>
            <w:tcW w:w="0" w:type="auto"/>
          </w:tcPr>
          <w:p w14:paraId="56EE367A" w14:textId="77777777" w:rsidR="008C5CFA" w:rsidRPr="001C4484" w:rsidRDefault="00E82A60" w:rsidP="00300A01">
            <w:pPr>
              <w:spacing w:before="0" w:after="0"/>
              <w:jc w:val="right"/>
              <w:rPr>
                <w:sz w:val="10"/>
                <w:szCs w:val="10"/>
              </w:rPr>
            </w:pPr>
            <w:r>
              <w:rPr>
                <w:noProof/>
                <w:sz w:val="10"/>
                <w:szCs w:val="10"/>
              </w:rPr>
              <w:t>104,00</w:t>
            </w:r>
          </w:p>
        </w:tc>
        <w:tc>
          <w:tcPr>
            <w:tcW w:w="0" w:type="auto"/>
            <w:shd w:val="clear" w:color="auto" w:fill="auto"/>
          </w:tcPr>
          <w:p w14:paraId="0BACC5EF" w14:textId="77777777" w:rsidR="008C5CFA" w:rsidRPr="001C4484" w:rsidRDefault="00E82A60" w:rsidP="00300A01">
            <w:pPr>
              <w:spacing w:before="0" w:after="0"/>
              <w:jc w:val="right"/>
              <w:rPr>
                <w:sz w:val="10"/>
                <w:szCs w:val="10"/>
              </w:rPr>
            </w:pPr>
            <w:r w:rsidRPr="001C4484">
              <w:rPr>
                <w:noProof/>
                <w:sz w:val="10"/>
                <w:szCs w:val="10"/>
              </w:rPr>
              <w:t>43,00</w:t>
            </w:r>
          </w:p>
        </w:tc>
        <w:tc>
          <w:tcPr>
            <w:tcW w:w="0" w:type="auto"/>
            <w:shd w:val="clear" w:color="auto" w:fill="auto"/>
          </w:tcPr>
          <w:p w14:paraId="7E320C9B" w14:textId="77777777" w:rsidR="008C5CFA" w:rsidRPr="001C4484" w:rsidRDefault="00E82A60" w:rsidP="00300A01">
            <w:pPr>
              <w:spacing w:before="0" w:after="0"/>
              <w:jc w:val="right"/>
              <w:rPr>
                <w:sz w:val="10"/>
                <w:szCs w:val="10"/>
                <w:lang w:val="fr-BE"/>
              </w:rPr>
            </w:pPr>
            <w:r w:rsidRPr="001C4484">
              <w:rPr>
                <w:noProof/>
                <w:sz w:val="10"/>
                <w:szCs w:val="10"/>
              </w:rPr>
              <w:t>61,00</w:t>
            </w:r>
          </w:p>
        </w:tc>
      </w:tr>
      <w:tr w:rsidR="006B2EC1" w14:paraId="108E5E3A" w14:textId="77777777" w:rsidTr="0047688D">
        <w:tc>
          <w:tcPr>
            <w:tcW w:w="0" w:type="auto"/>
            <w:shd w:val="clear" w:color="auto" w:fill="auto"/>
          </w:tcPr>
          <w:p w14:paraId="526C242A" w14:textId="77777777" w:rsidR="008C5CFA" w:rsidRPr="001C4484" w:rsidRDefault="00E82A60" w:rsidP="00300A01">
            <w:pPr>
              <w:spacing w:before="0" w:after="0"/>
              <w:rPr>
                <w:sz w:val="10"/>
                <w:szCs w:val="10"/>
                <w:lang w:val="fr-BE"/>
              </w:rPr>
            </w:pPr>
            <w:r w:rsidRPr="001C4484">
              <w:rPr>
                <w:noProof/>
                <w:sz w:val="10"/>
                <w:szCs w:val="10"/>
                <w:lang w:val="fr-BE"/>
              </w:rPr>
              <w:t>CO04</w:t>
            </w:r>
          </w:p>
        </w:tc>
        <w:tc>
          <w:tcPr>
            <w:tcW w:w="0" w:type="auto"/>
            <w:shd w:val="clear" w:color="auto" w:fill="auto"/>
          </w:tcPr>
          <w:p w14:paraId="19B43654" w14:textId="77777777" w:rsidR="008C5CFA" w:rsidRPr="001C4484" w:rsidRDefault="00E82A60" w:rsidP="00300A01">
            <w:pPr>
              <w:spacing w:before="0" w:after="0"/>
              <w:rPr>
                <w:sz w:val="10"/>
                <w:szCs w:val="10"/>
                <w:lang w:val="fr-BE"/>
              </w:rPr>
            </w:pPr>
            <w:r w:rsidRPr="001C4484">
              <w:rPr>
                <w:noProof/>
                <w:sz w:val="10"/>
                <w:szCs w:val="10"/>
                <w:lang w:val="fr-BE"/>
              </w:rPr>
              <w:t>osoby bierne zawodowo, nieuczestniczące w kształceniu ani szkoleniu</w:t>
            </w:r>
          </w:p>
        </w:tc>
        <w:tc>
          <w:tcPr>
            <w:tcW w:w="0" w:type="auto"/>
            <w:shd w:val="clear" w:color="auto" w:fill="auto"/>
          </w:tcPr>
          <w:p w14:paraId="3194EA8A"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38F6888D" w14:textId="77777777" w:rsidR="008C5CFA" w:rsidRPr="001C4484" w:rsidRDefault="00E82A60" w:rsidP="00300A01">
            <w:pPr>
              <w:spacing w:before="0" w:after="0"/>
              <w:jc w:val="right"/>
              <w:rPr>
                <w:sz w:val="10"/>
                <w:szCs w:val="10"/>
              </w:rPr>
            </w:pPr>
            <w:r>
              <w:rPr>
                <w:noProof/>
                <w:sz w:val="10"/>
                <w:szCs w:val="10"/>
              </w:rPr>
              <w:t>350,00</w:t>
            </w:r>
          </w:p>
        </w:tc>
        <w:tc>
          <w:tcPr>
            <w:tcW w:w="0" w:type="auto"/>
            <w:shd w:val="clear" w:color="auto" w:fill="auto"/>
          </w:tcPr>
          <w:p w14:paraId="64E14996" w14:textId="77777777" w:rsidR="008C5CFA" w:rsidRPr="001C4484" w:rsidRDefault="00E82A60" w:rsidP="00300A01">
            <w:pPr>
              <w:spacing w:before="0" w:after="0"/>
              <w:jc w:val="right"/>
              <w:rPr>
                <w:sz w:val="10"/>
                <w:szCs w:val="10"/>
              </w:rPr>
            </w:pPr>
            <w:r w:rsidRPr="001C4484">
              <w:rPr>
                <w:noProof/>
                <w:sz w:val="10"/>
                <w:szCs w:val="10"/>
              </w:rPr>
              <w:t>102,00</w:t>
            </w:r>
          </w:p>
        </w:tc>
        <w:tc>
          <w:tcPr>
            <w:tcW w:w="0" w:type="auto"/>
            <w:shd w:val="clear" w:color="auto" w:fill="auto"/>
          </w:tcPr>
          <w:p w14:paraId="31D0DA75" w14:textId="77777777" w:rsidR="008C5CFA" w:rsidRPr="001C4484" w:rsidRDefault="00E82A60" w:rsidP="00300A01">
            <w:pPr>
              <w:spacing w:before="0" w:after="0"/>
              <w:jc w:val="right"/>
              <w:rPr>
                <w:sz w:val="10"/>
                <w:szCs w:val="10"/>
                <w:lang w:val="fr-BE"/>
              </w:rPr>
            </w:pPr>
            <w:r w:rsidRPr="001C4484">
              <w:rPr>
                <w:noProof/>
                <w:sz w:val="10"/>
                <w:szCs w:val="10"/>
              </w:rPr>
              <w:t>248,00</w:t>
            </w:r>
          </w:p>
        </w:tc>
        <w:tc>
          <w:tcPr>
            <w:tcW w:w="0" w:type="auto"/>
          </w:tcPr>
          <w:p w14:paraId="3459819D" w14:textId="77777777" w:rsidR="008C5CFA" w:rsidRPr="001C4484" w:rsidRDefault="00E82A60" w:rsidP="00300A01">
            <w:pPr>
              <w:spacing w:before="0" w:after="0"/>
              <w:jc w:val="right"/>
              <w:rPr>
                <w:sz w:val="10"/>
                <w:szCs w:val="10"/>
              </w:rPr>
            </w:pPr>
            <w:r>
              <w:rPr>
                <w:noProof/>
                <w:sz w:val="10"/>
                <w:szCs w:val="10"/>
              </w:rPr>
              <w:t>30,00</w:t>
            </w:r>
          </w:p>
        </w:tc>
        <w:tc>
          <w:tcPr>
            <w:tcW w:w="0" w:type="auto"/>
            <w:shd w:val="clear" w:color="auto" w:fill="auto"/>
          </w:tcPr>
          <w:p w14:paraId="68CE25F8" w14:textId="77777777" w:rsidR="008C5CFA" w:rsidRPr="001C4484" w:rsidRDefault="00E82A60" w:rsidP="00300A01">
            <w:pPr>
              <w:spacing w:before="0" w:after="0"/>
              <w:jc w:val="right"/>
              <w:rPr>
                <w:sz w:val="10"/>
                <w:szCs w:val="10"/>
              </w:rPr>
            </w:pPr>
            <w:r w:rsidRPr="001C4484">
              <w:rPr>
                <w:noProof/>
                <w:sz w:val="10"/>
                <w:szCs w:val="10"/>
              </w:rPr>
              <w:t>14,00</w:t>
            </w:r>
          </w:p>
        </w:tc>
        <w:tc>
          <w:tcPr>
            <w:tcW w:w="0" w:type="auto"/>
            <w:shd w:val="clear" w:color="auto" w:fill="auto"/>
          </w:tcPr>
          <w:p w14:paraId="4793954D" w14:textId="77777777" w:rsidR="008C5CFA" w:rsidRPr="001C4484" w:rsidRDefault="00E82A60" w:rsidP="00300A01">
            <w:pPr>
              <w:spacing w:before="0" w:after="0"/>
              <w:jc w:val="right"/>
              <w:rPr>
                <w:sz w:val="10"/>
                <w:szCs w:val="10"/>
                <w:lang w:val="fr-BE"/>
              </w:rPr>
            </w:pPr>
            <w:r w:rsidRPr="001C4484">
              <w:rPr>
                <w:noProof/>
                <w:sz w:val="10"/>
                <w:szCs w:val="10"/>
              </w:rPr>
              <w:t>16,00</w:t>
            </w:r>
          </w:p>
        </w:tc>
        <w:tc>
          <w:tcPr>
            <w:tcW w:w="0" w:type="auto"/>
          </w:tcPr>
          <w:p w14:paraId="03D38EA2" w14:textId="77777777" w:rsidR="008C5CFA" w:rsidRPr="001C4484" w:rsidRDefault="00E82A60" w:rsidP="00300A01">
            <w:pPr>
              <w:spacing w:before="0" w:after="0"/>
              <w:jc w:val="right"/>
              <w:rPr>
                <w:sz w:val="10"/>
                <w:szCs w:val="10"/>
              </w:rPr>
            </w:pPr>
            <w:r>
              <w:rPr>
                <w:noProof/>
                <w:sz w:val="10"/>
                <w:szCs w:val="10"/>
              </w:rPr>
              <w:t>41,00</w:t>
            </w:r>
          </w:p>
        </w:tc>
        <w:tc>
          <w:tcPr>
            <w:tcW w:w="0" w:type="auto"/>
            <w:shd w:val="clear" w:color="auto" w:fill="auto"/>
          </w:tcPr>
          <w:p w14:paraId="6613804A" w14:textId="77777777" w:rsidR="008C5CFA" w:rsidRPr="001C4484" w:rsidRDefault="00E82A60" w:rsidP="00300A01">
            <w:pPr>
              <w:spacing w:before="0" w:after="0"/>
              <w:jc w:val="right"/>
              <w:rPr>
                <w:sz w:val="10"/>
                <w:szCs w:val="10"/>
              </w:rPr>
            </w:pPr>
            <w:r w:rsidRPr="001C4484">
              <w:rPr>
                <w:noProof/>
                <w:sz w:val="10"/>
                <w:szCs w:val="10"/>
              </w:rPr>
              <w:t>16,00</w:t>
            </w:r>
          </w:p>
        </w:tc>
        <w:tc>
          <w:tcPr>
            <w:tcW w:w="0" w:type="auto"/>
            <w:shd w:val="clear" w:color="auto" w:fill="auto"/>
          </w:tcPr>
          <w:p w14:paraId="152D93DE" w14:textId="77777777" w:rsidR="008C5CFA" w:rsidRPr="001C4484" w:rsidRDefault="00E82A60" w:rsidP="00300A01">
            <w:pPr>
              <w:spacing w:before="0" w:after="0"/>
              <w:jc w:val="right"/>
              <w:rPr>
                <w:sz w:val="10"/>
                <w:szCs w:val="10"/>
                <w:lang w:val="fr-BE"/>
              </w:rPr>
            </w:pPr>
            <w:r w:rsidRPr="001C4484">
              <w:rPr>
                <w:noProof/>
                <w:sz w:val="10"/>
                <w:szCs w:val="10"/>
              </w:rPr>
              <w:t>25,00</w:t>
            </w:r>
          </w:p>
        </w:tc>
      </w:tr>
      <w:tr w:rsidR="006B2EC1" w14:paraId="52FE3243" w14:textId="77777777" w:rsidTr="0047688D">
        <w:tc>
          <w:tcPr>
            <w:tcW w:w="0" w:type="auto"/>
            <w:shd w:val="clear" w:color="auto" w:fill="auto"/>
          </w:tcPr>
          <w:p w14:paraId="40C1A1D9" w14:textId="77777777" w:rsidR="008C5CFA" w:rsidRPr="001C4484" w:rsidRDefault="00E82A60" w:rsidP="00300A01">
            <w:pPr>
              <w:spacing w:before="0" w:after="0"/>
              <w:rPr>
                <w:sz w:val="10"/>
                <w:szCs w:val="10"/>
                <w:lang w:val="fr-BE"/>
              </w:rPr>
            </w:pPr>
            <w:r w:rsidRPr="001C4484">
              <w:rPr>
                <w:noProof/>
                <w:sz w:val="10"/>
                <w:szCs w:val="10"/>
                <w:lang w:val="fr-BE"/>
              </w:rPr>
              <w:t>CO05</w:t>
            </w:r>
          </w:p>
        </w:tc>
        <w:tc>
          <w:tcPr>
            <w:tcW w:w="0" w:type="auto"/>
            <w:shd w:val="clear" w:color="auto" w:fill="auto"/>
          </w:tcPr>
          <w:p w14:paraId="5F6AE64F" w14:textId="77777777" w:rsidR="008C5CFA" w:rsidRPr="001C4484" w:rsidRDefault="00E82A60" w:rsidP="00300A01">
            <w:pPr>
              <w:spacing w:before="0" w:after="0"/>
              <w:rPr>
                <w:sz w:val="10"/>
                <w:szCs w:val="10"/>
                <w:lang w:val="fr-BE"/>
              </w:rPr>
            </w:pPr>
            <w:r w:rsidRPr="001C4484">
              <w:rPr>
                <w:noProof/>
                <w:sz w:val="10"/>
                <w:szCs w:val="10"/>
                <w:lang w:val="fr-BE"/>
              </w:rPr>
              <w:t>osoby pracujące, łącznie z prowadzącymi działalność na własny rachunek</w:t>
            </w:r>
          </w:p>
        </w:tc>
        <w:tc>
          <w:tcPr>
            <w:tcW w:w="0" w:type="auto"/>
            <w:shd w:val="clear" w:color="auto" w:fill="auto"/>
          </w:tcPr>
          <w:p w14:paraId="231254CB"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114BBF66" w14:textId="77777777" w:rsidR="008C5CFA" w:rsidRPr="001C4484" w:rsidRDefault="00E82A60" w:rsidP="00300A01">
            <w:pPr>
              <w:spacing w:before="0" w:after="0"/>
              <w:jc w:val="right"/>
              <w:rPr>
                <w:sz w:val="10"/>
                <w:szCs w:val="10"/>
              </w:rPr>
            </w:pPr>
            <w:r>
              <w:rPr>
                <w:noProof/>
                <w:sz w:val="10"/>
                <w:szCs w:val="10"/>
              </w:rPr>
              <w:t>3,00</w:t>
            </w:r>
          </w:p>
        </w:tc>
        <w:tc>
          <w:tcPr>
            <w:tcW w:w="0" w:type="auto"/>
            <w:shd w:val="clear" w:color="auto" w:fill="auto"/>
          </w:tcPr>
          <w:p w14:paraId="21FA62C1" w14:textId="77777777" w:rsidR="008C5CFA" w:rsidRPr="001C4484" w:rsidRDefault="00E82A60" w:rsidP="00300A01">
            <w:pPr>
              <w:spacing w:before="0" w:after="0"/>
              <w:jc w:val="right"/>
              <w:rPr>
                <w:sz w:val="10"/>
                <w:szCs w:val="10"/>
              </w:rPr>
            </w:pPr>
            <w:r w:rsidRPr="001C4484">
              <w:rPr>
                <w:noProof/>
                <w:sz w:val="10"/>
                <w:szCs w:val="10"/>
              </w:rPr>
              <w:t>1,00</w:t>
            </w:r>
          </w:p>
        </w:tc>
        <w:tc>
          <w:tcPr>
            <w:tcW w:w="0" w:type="auto"/>
            <w:shd w:val="clear" w:color="auto" w:fill="auto"/>
          </w:tcPr>
          <w:p w14:paraId="1DAB5085" w14:textId="77777777" w:rsidR="008C5CFA" w:rsidRPr="001C4484" w:rsidRDefault="00E82A60" w:rsidP="00300A01">
            <w:pPr>
              <w:spacing w:before="0" w:after="0"/>
              <w:jc w:val="right"/>
              <w:rPr>
                <w:sz w:val="10"/>
                <w:szCs w:val="10"/>
                <w:lang w:val="fr-BE"/>
              </w:rPr>
            </w:pPr>
            <w:r w:rsidRPr="001C4484">
              <w:rPr>
                <w:noProof/>
                <w:sz w:val="10"/>
                <w:szCs w:val="10"/>
              </w:rPr>
              <w:t>2,00</w:t>
            </w:r>
          </w:p>
        </w:tc>
        <w:tc>
          <w:tcPr>
            <w:tcW w:w="0" w:type="auto"/>
          </w:tcPr>
          <w:p w14:paraId="503CBFF4" w14:textId="77777777" w:rsidR="008C5CFA" w:rsidRPr="001C4484" w:rsidRDefault="00E82A60" w:rsidP="00300A01">
            <w:pPr>
              <w:spacing w:before="0" w:after="0"/>
              <w:jc w:val="right"/>
              <w:rPr>
                <w:sz w:val="10"/>
                <w:szCs w:val="10"/>
              </w:rPr>
            </w:pPr>
            <w:r>
              <w:rPr>
                <w:noProof/>
                <w:sz w:val="10"/>
                <w:szCs w:val="10"/>
              </w:rPr>
              <w:t>16,00</w:t>
            </w:r>
          </w:p>
        </w:tc>
        <w:tc>
          <w:tcPr>
            <w:tcW w:w="0" w:type="auto"/>
            <w:shd w:val="clear" w:color="auto" w:fill="auto"/>
          </w:tcPr>
          <w:p w14:paraId="459CD1FA" w14:textId="77777777" w:rsidR="008C5CFA" w:rsidRPr="001C4484" w:rsidRDefault="00E82A60" w:rsidP="00300A01">
            <w:pPr>
              <w:spacing w:before="0" w:after="0"/>
              <w:jc w:val="right"/>
              <w:rPr>
                <w:sz w:val="10"/>
                <w:szCs w:val="10"/>
              </w:rPr>
            </w:pPr>
            <w:r w:rsidRPr="001C4484">
              <w:rPr>
                <w:noProof/>
                <w:sz w:val="10"/>
                <w:szCs w:val="10"/>
              </w:rPr>
              <w:t>2,00</w:t>
            </w:r>
          </w:p>
        </w:tc>
        <w:tc>
          <w:tcPr>
            <w:tcW w:w="0" w:type="auto"/>
            <w:shd w:val="clear" w:color="auto" w:fill="auto"/>
          </w:tcPr>
          <w:p w14:paraId="2C303199" w14:textId="77777777" w:rsidR="008C5CFA" w:rsidRPr="001C4484" w:rsidRDefault="00E82A60" w:rsidP="00300A01">
            <w:pPr>
              <w:spacing w:before="0" w:after="0"/>
              <w:jc w:val="right"/>
              <w:rPr>
                <w:sz w:val="10"/>
                <w:szCs w:val="10"/>
                <w:lang w:val="fr-BE"/>
              </w:rPr>
            </w:pPr>
            <w:r w:rsidRPr="001C4484">
              <w:rPr>
                <w:noProof/>
                <w:sz w:val="10"/>
                <w:szCs w:val="10"/>
              </w:rPr>
              <w:t>14,00</w:t>
            </w:r>
          </w:p>
        </w:tc>
        <w:tc>
          <w:tcPr>
            <w:tcW w:w="0" w:type="auto"/>
          </w:tcPr>
          <w:p w14:paraId="4FEB82E3" w14:textId="77777777" w:rsidR="008C5CFA" w:rsidRPr="001C4484" w:rsidRDefault="00E82A60" w:rsidP="00300A01">
            <w:pPr>
              <w:spacing w:before="0" w:after="0"/>
              <w:jc w:val="right"/>
              <w:rPr>
                <w:sz w:val="10"/>
                <w:szCs w:val="10"/>
              </w:rPr>
            </w:pPr>
            <w:r>
              <w:rPr>
                <w:noProof/>
                <w:sz w:val="10"/>
                <w:szCs w:val="10"/>
              </w:rPr>
              <w:t>24,00</w:t>
            </w:r>
          </w:p>
        </w:tc>
        <w:tc>
          <w:tcPr>
            <w:tcW w:w="0" w:type="auto"/>
            <w:shd w:val="clear" w:color="auto" w:fill="auto"/>
          </w:tcPr>
          <w:p w14:paraId="1909232C" w14:textId="77777777" w:rsidR="008C5CFA" w:rsidRPr="001C4484" w:rsidRDefault="00E82A60" w:rsidP="00300A01">
            <w:pPr>
              <w:spacing w:before="0" w:after="0"/>
              <w:jc w:val="right"/>
              <w:rPr>
                <w:sz w:val="10"/>
                <w:szCs w:val="10"/>
              </w:rPr>
            </w:pPr>
            <w:r w:rsidRPr="001C4484">
              <w:rPr>
                <w:noProof/>
                <w:sz w:val="10"/>
                <w:szCs w:val="10"/>
              </w:rPr>
              <w:t>9,00</w:t>
            </w:r>
          </w:p>
        </w:tc>
        <w:tc>
          <w:tcPr>
            <w:tcW w:w="0" w:type="auto"/>
            <w:shd w:val="clear" w:color="auto" w:fill="auto"/>
          </w:tcPr>
          <w:p w14:paraId="0E970742" w14:textId="77777777" w:rsidR="008C5CFA" w:rsidRPr="001C4484" w:rsidRDefault="00E82A60" w:rsidP="00300A01">
            <w:pPr>
              <w:spacing w:before="0" w:after="0"/>
              <w:jc w:val="right"/>
              <w:rPr>
                <w:sz w:val="10"/>
                <w:szCs w:val="10"/>
                <w:lang w:val="fr-BE"/>
              </w:rPr>
            </w:pPr>
            <w:r w:rsidRPr="001C4484">
              <w:rPr>
                <w:noProof/>
                <w:sz w:val="10"/>
                <w:szCs w:val="10"/>
              </w:rPr>
              <w:t>15,00</w:t>
            </w:r>
          </w:p>
        </w:tc>
      </w:tr>
      <w:tr w:rsidR="006B2EC1" w14:paraId="0B57C7FB" w14:textId="77777777" w:rsidTr="0047688D">
        <w:tc>
          <w:tcPr>
            <w:tcW w:w="0" w:type="auto"/>
            <w:shd w:val="clear" w:color="auto" w:fill="auto"/>
          </w:tcPr>
          <w:p w14:paraId="7CDB1285" w14:textId="77777777" w:rsidR="008C5CFA" w:rsidRPr="001C4484" w:rsidRDefault="00E82A60" w:rsidP="00300A01">
            <w:pPr>
              <w:spacing w:before="0" w:after="0"/>
              <w:rPr>
                <w:sz w:val="10"/>
                <w:szCs w:val="10"/>
                <w:lang w:val="fr-BE"/>
              </w:rPr>
            </w:pPr>
            <w:r w:rsidRPr="001C4484">
              <w:rPr>
                <w:noProof/>
                <w:sz w:val="10"/>
                <w:szCs w:val="10"/>
                <w:lang w:val="fr-BE"/>
              </w:rPr>
              <w:t>CO06</w:t>
            </w:r>
          </w:p>
        </w:tc>
        <w:tc>
          <w:tcPr>
            <w:tcW w:w="0" w:type="auto"/>
            <w:shd w:val="clear" w:color="auto" w:fill="auto"/>
          </w:tcPr>
          <w:p w14:paraId="7B6284E1" w14:textId="77777777" w:rsidR="008C5CFA" w:rsidRPr="001C4484" w:rsidRDefault="00E82A60" w:rsidP="00300A01">
            <w:pPr>
              <w:spacing w:before="0" w:after="0"/>
              <w:rPr>
                <w:sz w:val="10"/>
                <w:szCs w:val="10"/>
                <w:lang w:val="fr-BE"/>
              </w:rPr>
            </w:pPr>
            <w:r w:rsidRPr="001C4484">
              <w:rPr>
                <w:noProof/>
                <w:sz w:val="10"/>
                <w:szCs w:val="10"/>
                <w:lang w:val="fr-BE"/>
              </w:rPr>
              <w:t>osoby w wieku poniżej 25 lat</w:t>
            </w:r>
          </w:p>
        </w:tc>
        <w:tc>
          <w:tcPr>
            <w:tcW w:w="0" w:type="auto"/>
            <w:shd w:val="clear" w:color="auto" w:fill="auto"/>
          </w:tcPr>
          <w:p w14:paraId="0D90A2A7"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00BC9E57" w14:textId="77777777" w:rsidR="008C5CFA" w:rsidRPr="001C4484" w:rsidRDefault="00E82A60" w:rsidP="00300A01">
            <w:pPr>
              <w:spacing w:before="0" w:after="0"/>
              <w:jc w:val="right"/>
              <w:rPr>
                <w:sz w:val="10"/>
                <w:szCs w:val="10"/>
              </w:rPr>
            </w:pPr>
            <w:r>
              <w:rPr>
                <w:noProof/>
                <w:sz w:val="10"/>
                <w:szCs w:val="10"/>
              </w:rPr>
              <w:t>359,00</w:t>
            </w:r>
          </w:p>
        </w:tc>
        <w:tc>
          <w:tcPr>
            <w:tcW w:w="0" w:type="auto"/>
            <w:shd w:val="clear" w:color="auto" w:fill="auto"/>
          </w:tcPr>
          <w:p w14:paraId="5F130F86" w14:textId="77777777" w:rsidR="008C5CFA" w:rsidRPr="001C4484" w:rsidRDefault="00E82A60" w:rsidP="00300A01">
            <w:pPr>
              <w:spacing w:before="0" w:after="0"/>
              <w:jc w:val="right"/>
              <w:rPr>
                <w:sz w:val="10"/>
                <w:szCs w:val="10"/>
              </w:rPr>
            </w:pPr>
            <w:r w:rsidRPr="001C4484">
              <w:rPr>
                <w:noProof/>
                <w:sz w:val="10"/>
                <w:szCs w:val="10"/>
              </w:rPr>
              <w:t>171,00</w:t>
            </w:r>
          </w:p>
        </w:tc>
        <w:tc>
          <w:tcPr>
            <w:tcW w:w="0" w:type="auto"/>
            <w:shd w:val="clear" w:color="auto" w:fill="auto"/>
          </w:tcPr>
          <w:p w14:paraId="7947700E" w14:textId="77777777" w:rsidR="008C5CFA" w:rsidRPr="001C4484" w:rsidRDefault="00E82A60" w:rsidP="00300A01">
            <w:pPr>
              <w:spacing w:before="0" w:after="0"/>
              <w:jc w:val="right"/>
              <w:rPr>
                <w:sz w:val="10"/>
                <w:szCs w:val="10"/>
                <w:lang w:val="fr-BE"/>
              </w:rPr>
            </w:pPr>
            <w:r w:rsidRPr="001C4484">
              <w:rPr>
                <w:noProof/>
                <w:sz w:val="10"/>
                <w:szCs w:val="10"/>
              </w:rPr>
              <w:t>188,00</w:t>
            </w:r>
          </w:p>
        </w:tc>
        <w:tc>
          <w:tcPr>
            <w:tcW w:w="0" w:type="auto"/>
          </w:tcPr>
          <w:p w14:paraId="44A2AF5D" w14:textId="77777777" w:rsidR="008C5CFA" w:rsidRPr="001C4484" w:rsidRDefault="00E82A60" w:rsidP="00300A01">
            <w:pPr>
              <w:spacing w:before="0" w:after="0"/>
              <w:jc w:val="right"/>
              <w:rPr>
                <w:sz w:val="10"/>
                <w:szCs w:val="10"/>
              </w:rPr>
            </w:pPr>
            <w:r>
              <w:rPr>
                <w:noProof/>
                <w:sz w:val="10"/>
                <w:szCs w:val="10"/>
              </w:rPr>
              <w:t>109,00</w:t>
            </w:r>
          </w:p>
        </w:tc>
        <w:tc>
          <w:tcPr>
            <w:tcW w:w="0" w:type="auto"/>
            <w:shd w:val="clear" w:color="auto" w:fill="auto"/>
          </w:tcPr>
          <w:p w14:paraId="302E5A61" w14:textId="77777777" w:rsidR="008C5CFA" w:rsidRPr="001C4484" w:rsidRDefault="00E82A60" w:rsidP="00300A01">
            <w:pPr>
              <w:spacing w:before="0" w:after="0"/>
              <w:jc w:val="right"/>
              <w:rPr>
                <w:sz w:val="10"/>
                <w:szCs w:val="10"/>
              </w:rPr>
            </w:pPr>
            <w:r w:rsidRPr="001C4484">
              <w:rPr>
                <w:noProof/>
                <w:sz w:val="10"/>
                <w:szCs w:val="10"/>
              </w:rPr>
              <w:t>44,00</w:t>
            </w:r>
          </w:p>
        </w:tc>
        <w:tc>
          <w:tcPr>
            <w:tcW w:w="0" w:type="auto"/>
            <w:shd w:val="clear" w:color="auto" w:fill="auto"/>
          </w:tcPr>
          <w:p w14:paraId="7D4DFBAC" w14:textId="77777777" w:rsidR="008C5CFA" w:rsidRPr="001C4484" w:rsidRDefault="00E82A60" w:rsidP="00300A01">
            <w:pPr>
              <w:spacing w:before="0" w:after="0"/>
              <w:jc w:val="right"/>
              <w:rPr>
                <w:sz w:val="10"/>
                <w:szCs w:val="10"/>
                <w:lang w:val="fr-BE"/>
              </w:rPr>
            </w:pPr>
            <w:r w:rsidRPr="001C4484">
              <w:rPr>
                <w:noProof/>
                <w:sz w:val="10"/>
                <w:szCs w:val="10"/>
              </w:rPr>
              <w:t>65,00</w:t>
            </w:r>
          </w:p>
        </w:tc>
        <w:tc>
          <w:tcPr>
            <w:tcW w:w="0" w:type="auto"/>
          </w:tcPr>
          <w:p w14:paraId="33BCFDC8" w14:textId="77777777" w:rsidR="008C5CFA" w:rsidRPr="001C4484" w:rsidRDefault="00E82A60" w:rsidP="00300A01">
            <w:pPr>
              <w:spacing w:before="0" w:after="0"/>
              <w:jc w:val="right"/>
              <w:rPr>
                <w:sz w:val="10"/>
                <w:szCs w:val="10"/>
              </w:rPr>
            </w:pPr>
            <w:r>
              <w:rPr>
                <w:noProof/>
                <w:sz w:val="10"/>
                <w:szCs w:val="10"/>
              </w:rPr>
              <w:t>48,00</w:t>
            </w:r>
          </w:p>
        </w:tc>
        <w:tc>
          <w:tcPr>
            <w:tcW w:w="0" w:type="auto"/>
            <w:shd w:val="clear" w:color="auto" w:fill="auto"/>
          </w:tcPr>
          <w:p w14:paraId="7460A4B7" w14:textId="77777777" w:rsidR="008C5CFA" w:rsidRPr="001C4484" w:rsidRDefault="00E82A60" w:rsidP="00300A01">
            <w:pPr>
              <w:spacing w:before="0" w:after="0"/>
              <w:jc w:val="right"/>
              <w:rPr>
                <w:sz w:val="10"/>
                <w:szCs w:val="10"/>
              </w:rPr>
            </w:pPr>
            <w:r w:rsidRPr="001C4484">
              <w:rPr>
                <w:noProof/>
                <w:sz w:val="10"/>
                <w:szCs w:val="10"/>
              </w:rPr>
              <w:t>25,00</w:t>
            </w:r>
          </w:p>
        </w:tc>
        <w:tc>
          <w:tcPr>
            <w:tcW w:w="0" w:type="auto"/>
            <w:shd w:val="clear" w:color="auto" w:fill="auto"/>
          </w:tcPr>
          <w:p w14:paraId="3A9BF020" w14:textId="77777777" w:rsidR="008C5CFA" w:rsidRPr="001C4484" w:rsidRDefault="00E82A60" w:rsidP="00300A01">
            <w:pPr>
              <w:spacing w:before="0" w:after="0"/>
              <w:jc w:val="right"/>
              <w:rPr>
                <w:sz w:val="10"/>
                <w:szCs w:val="10"/>
                <w:lang w:val="fr-BE"/>
              </w:rPr>
            </w:pPr>
            <w:r w:rsidRPr="001C4484">
              <w:rPr>
                <w:noProof/>
                <w:sz w:val="10"/>
                <w:szCs w:val="10"/>
              </w:rPr>
              <w:t>23,00</w:t>
            </w:r>
          </w:p>
        </w:tc>
      </w:tr>
      <w:tr w:rsidR="006B2EC1" w14:paraId="0EA0D84A" w14:textId="77777777" w:rsidTr="0047688D">
        <w:tc>
          <w:tcPr>
            <w:tcW w:w="0" w:type="auto"/>
            <w:shd w:val="clear" w:color="auto" w:fill="auto"/>
          </w:tcPr>
          <w:p w14:paraId="419F9F2E" w14:textId="77777777" w:rsidR="008C5CFA" w:rsidRPr="001C4484" w:rsidRDefault="00E82A60" w:rsidP="00300A01">
            <w:pPr>
              <w:spacing w:before="0" w:after="0"/>
              <w:rPr>
                <w:sz w:val="10"/>
                <w:szCs w:val="10"/>
                <w:lang w:val="fr-BE"/>
              </w:rPr>
            </w:pPr>
            <w:r w:rsidRPr="001C4484">
              <w:rPr>
                <w:noProof/>
                <w:sz w:val="10"/>
                <w:szCs w:val="10"/>
                <w:lang w:val="fr-BE"/>
              </w:rPr>
              <w:t>CO07</w:t>
            </w:r>
          </w:p>
        </w:tc>
        <w:tc>
          <w:tcPr>
            <w:tcW w:w="0" w:type="auto"/>
            <w:shd w:val="clear" w:color="auto" w:fill="auto"/>
          </w:tcPr>
          <w:p w14:paraId="23AA8DFD" w14:textId="77777777" w:rsidR="008C5CFA" w:rsidRPr="001C4484" w:rsidRDefault="00E82A60" w:rsidP="00300A01">
            <w:pPr>
              <w:spacing w:before="0" w:after="0"/>
              <w:rPr>
                <w:sz w:val="10"/>
                <w:szCs w:val="10"/>
                <w:lang w:val="fr-BE"/>
              </w:rPr>
            </w:pPr>
            <w:r w:rsidRPr="001C4484">
              <w:rPr>
                <w:noProof/>
                <w:sz w:val="10"/>
                <w:szCs w:val="10"/>
                <w:lang w:val="fr-BE"/>
              </w:rPr>
              <w:t>osoby w wieku powyżej 54 lat</w:t>
            </w:r>
          </w:p>
        </w:tc>
        <w:tc>
          <w:tcPr>
            <w:tcW w:w="0" w:type="auto"/>
            <w:shd w:val="clear" w:color="auto" w:fill="auto"/>
          </w:tcPr>
          <w:p w14:paraId="6115FA6D"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2335076F" w14:textId="77777777" w:rsidR="008C5CFA" w:rsidRPr="001C4484" w:rsidRDefault="00E82A60" w:rsidP="00300A01">
            <w:pPr>
              <w:spacing w:before="0" w:after="0"/>
              <w:jc w:val="right"/>
              <w:rPr>
                <w:sz w:val="10"/>
                <w:szCs w:val="10"/>
              </w:rPr>
            </w:pPr>
            <w:r>
              <w:rPr>
                <w:noProof/>
                <w:sz w:val="10"/>
                <w:szCs w:val="10"/>
              </w:rPr>
              <w:t>206,00</w:t>
            </w:r>
          </w:p>
        </w:tc>
        <w:tc>
          <w:tcPr>
            <w:tcW w:w="0" w:type="auto"/>
            <w:shd w:val="clear" w:color="auto" w:fill="auto"/>
          </w:tcPr>
          <w:p w14:paraId="446AED03" w14:textId="77777777" w:rsidR="008C5CFA" w:rsidRPr="001C4484" w:rsidRDefault="00E82A60" w:rsidP="00300A01">
            <w:pPr>
              <w:spacing w:before="0" w:after="0"/>
              <w:jc w:val="right"/>
              <w:rPr>
                <w:sz w:val="10"/>
                <w:szCs w:val="10"/>
              </w:rPr>
            </w:pPr>
            <w:r w:rsidRPr="001C4484">
              <w:rPr>
                <w:noProof/>
                <w:sz w:val="10"/>
                <w:szCs w:val="10"/>
              </w:rPr>
              <w:t>97,00</w:t>
            </w:r>
          </w:p>
        </w:tc>
        <w:tc>
          <w:tcPr>
            <w:tcW w:w="0" w:type="auto"/>
            <w:shd w:val="clear" w:color="auto" w:fill="auto"/>
          </w:tcPr>
          <w:p w14:paraId="55137510" w14:textId="77777777" w:rsidR="008C5CFA" w:rsidRPr="001C4484" w:rsidRDefault="00E82A60" w:rsidP="00300A01">
            <w:pPr>
              <w:spacing w:before="0" w:after="0"/>
              <w:jc w:val="right"/>
              <w:rPr>
                <w:sz w:val="10"/>
                <w:szCs w:val="10"/>
                <w:lang w:val="fr-BE"/>
              </w:rPr>
            </w:pPr>
            <w:r w:rsidRPr="001C4484">
              <w:rPr>
                <w:noProof/>
                <w:sz w:val="10"/>
                <w:szCs w:val="10"/>
              </w:rPr>
              <w:t>109,00</w:t>
            </w:r>
          </w:p>
        </w:tc>
        <w:tc>
          <w:tcPr>
            <w:tcW w:w="0" w:type="auto"/>
          </w:tcPr>
          <w:p w14:paraId="667ED302" w14:textId="77777777" w:rsidR="008C5CFA" w:rsidRPr="001C4484" w:rsidRDefault="00E82A60" w:rsidP="00300A01">
            <w:pPr>
              <w:spacing w:before="0" w:after="0"/>
              <w:jc w:val="right"/>
              <w:rPr>
                <w:sz w:val="10"/>
                <w:szCs w:val="10"/>
              </w:rPr>
            </w:pPr>
            <w:r>
              <w:rPr>
                <w:noProof/>
                <w:sz w:val="10"/>
                <w:szCs w:val="10"/>
              </w:rPr>
              <w:t>89,00</w:t>
            </w:r>
          </w:p>
        </w:tc>
        <w:tc>
          <w:tcPr>
            <w:tcW w:w="0" w:type="auto"/>
            <w:shd w:val="clear" w:color="auto" w:fill="auto"/>
          </w:tcPr>
          <w:p w14:paraId="2A71D8A8" w14:textId="77777777" w:rsidR="008C5CFA" w:rsidRPr="001C4484" w:rsidRDefault="00E82A60" w:rsidP="00300A01">
            <w:pPr>
              <w:spacing w:before="0" w:after="0"/>
              <w:jc w:val="right"/>
              <w:rPr>
                <w:sz w:val="10"/>
                <w:szCs w:val="10"/>
              </w:rPr>
            </w:pPr>
            <w:r w:rsidRPr="001C4484">
              <w:rPr>
                <w:noProof/>
                <w:sz w:val="10"/>
                <w:szCs w:val="10"/>
              </w:rPr>
              <w:t>54,00</w:t>
            </w:r>
          </w:p>
        </w:tc>
        <w:tc>
          <w:tcPr>
            <w:tcW w:w="0" w:type="auto"/>
            <w:shd w:val="clear" w:color="auto" w:fill="auto"/>
          </w:tcPr>
          <w:p w14:paraId="6C917234" w14:textId="77777777" w:rsidR="008C5CFA" w:rsidRPr="001C4484" w:rsidRDefault="00E82A60" w:rsidP="00300A01">
            <w:pPr>
              <w:spacing w:before="0" w:after="0"/>
              <w:jc w:val="right"/>
              <w:rPr>
                <w:sz w:val="10"/>
                <w:szCs w:val="10"/>
                <w:lang w:val="fr-BE"/>
              </w:rPr>
            </w:pPr>
            <w:r w:rsidRPr="001C4484">
              <w:rPr>
                <w:noProof/>
                <w:sz w:val="10"/>
                <w:szCs w:val="10"/>
              </w:rPr>
              <w:t>35,00</w:t>
            </w:r>
          </w:p>
        </w:tc>
        <w:tc>
          <w:tcPr>
            <w:tcW w:w="0" w:type="auto"/>
          </w:tcPr>
          <w:p w14:paraId="22D7388B" w14:textId="77777777" w:rsidR="008C5CFA" w:rsidRPr="001C4484" w:rsidRDefault="00E82A60" w:rsidP="00300A01">
            <w:pPr>
              <w:spacing w:before="0" w:after="0"/>
              <w:jc w:val="right"/>
              <w:rPr>
                <w:sz w:val="10"/>
                <w:szCs w:val="10"/>
              </w:rPr>
            </w:pPr>
            <w:r>
              <w:rPr>
                <w:noProof/>
                <w:sz w:val="10"/>
                <w:szCs w:val="10"/>
              </w:rPr>
              <w:t>27,00</w:t>
            </w:r>
          </w:p>
        </w:tc>
        <w:tc>
          <w:tcPr>
            <w:tcW w:w="0" w:type="auto"/>
            <w:shd w:val="clear" w:color="auto" w:fill="auto"/>
          </w:tcPr>
          <w:p w14:paraId="35A0E584" w14:textId="77777777" w:rsidR="008C5CFA" w:rsidRPr="001C4484" w:rsidRDefault="00E82A60" w:rsidP="00300A01">
            <w:pPr>
              <w:spacing w:before="0" w:after="0"/>
              <w:jc w:val="right"/>
              <w:rPr>
                <w:sz w:val="10"/>
                <w:szCs w:val="10"/>
              </w:rPr>
            </w:pPr>
            <w:r w:rsidRPr="001C4484">
              <w:rPr>
                <w:noProof/>
                <w:sz w:val="10"/>
                <w:szCs w:val="10"/>
              </w:rPr>
              <w:t>14,00</w:t>
            </w:r>
          </w:p>
        </w:tc>
        <w:tc>
          <w:tcPr>
            <w:tcW w:w="0" w:type="auto"/>
            <w:shd w:val="clear" w:color="auto" w:fill="auto"/>
          </w:tcPr>
          <w:p w14:paraId="7891DB8E" w14:textId="77777777" w:rsidR="008C5CFA" w:rsidRPr="001C4484" w:rsidRDefault="00E82A60" w:rsidP="00300A01">
            <w:pPr>
              <w:spacing w:before="0" w:after="0"/>
              <w:jc w:val="right"/>
              <w:rPr>
                <w:sz w:val="10"/>
                <w:szCs w:val="10"/>
                <w:lang w:val="fr-BE"/>
              </w:rPr>
            </w:pPr>
            <w:r w:rsidRPr="001C4484">
              <w:rPr>
                <w:noProof/>
                <w:sz w:val="10"/>
                <w:szCs w:val="10"/>
              </w:rPr>
              <w:t>13,00</w:t>
            </w:r>
          </w:p>
        </w:tc>
      </w:tr>
      <w:tr w:rsidR="006B2EC1" w14:paraId="7117E558" w14:textId="77777777" w:rsidTr="0047688D">
        <w:tc>
          <w:tcPr>
            <w:tcW w:w="0" w:type="auto"/>
            <w:shd w:val="clear" w:color="auto" w:fill="auto"/>
          </w:tcPr>
          <w:p w14:paraId="4B96528B" w14:textId="77777777" w:rsidR="008C5CFA" w:rsidRPr="001C4484" w:rsidRDefault="00E82A60" w:rsidP="00300A01">
            <w:pPr>
              <w:spacing w:before="0" w:after="0"/>
              <w:rPr>
                <w:sz w:val="10"/>
                <w:szCs w:val="10"/>
                <w:lang w:val="fr-BE"/>
              </w:rPr>
            </w:pPr>
            <w:r w:rsidRPr="001C4484">
              <w:rPr>
                <w:noProof/>
                <w:sz w:val="10"/>
                <w:szCs w:val="10"/>
                <w:lang w:val="fr-BE"/>
              </w:rPr>
              <w:t>CO08</w:t>
            </w:r>
          </w:p>
        </w:tc>
        <w:tc>
          <w:tcPr>
            <w:tcW w:w="0" w:type="auto"/>
            <w:shd w:val="clear" w:color="auto" w:fill="auto"/>
          </w:tcPr>
          <w:p w14:paraId="60E97928" w14:textId="77777777" w:rsidR="008C5CFA" w:rsidRPr="001C4484" w:rsidRDefault="00E82A60" w:rsidP="00300A01">
            <w:pPr>
              <w:spacing w:before="0" w:after="0"/>
              <w:rPr>
                <w:sz w:val="10"/>
                <w:szCs w:val="10"/>
                <w:lang w:val="fr-BE"/>
              </w:rPr>
            </w:pPr>
            <w:r w:rsidRPr="001C4484">
              <w:rPr>
                <w:noProof/>
                <w:sz w:val="10"/>
                <w:szCs w:val="10"/>
                <w:lang w:val="fr-BE"/>
              </w:rPr>
              <w:t>osoby powyżej 54 lat, które są bezrobotne, łącznie z długotrwale bezrobotnymi, lub są bierne zawodowo i nie uczestniczą w kształceniu ani szkoleniu</w:t>
            </w:r>
          </w:p>
        </w:tc>
        <w:tc>
          <w:tcPr>
            <w:tcW w:w="0" w:type="auto"/>
            <w:shd w:val="clear" w:color="auto" w:fill="auto"/>
          </w:tcPr>
          <w:p w14:paraId="77D9EB7D"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7E2C1331" w14:textId="77777777" w:rsidR="008C5CFA" w:rsidRPr="001C4484" w:rsidRDefault="00E82A60" w:rsidP="00300A01">
            <w:pPr>
              <w:spacing w:before="0" w:after="0"/>
              <w:jc w:val="right"/>
              <w:rPr>
                <w:sz w:val="10"/>
                <w:szCs w:val="10"/>
              </w:rPr>
            </w:pPr>
            <w:r>
              <w:rPr>
                <w:noProof/>
                <w:sz w:val="10"/>
                <w:szCs w:val="10"/>
              </w:rPr>
              <w:t>100,00</w:t>
            </w:r>
          </w:p>
        </w:tc>
        <w:tc>
          <w:tcPr>
            <w:tcW w:w="0" w:type="auto"/>
            <w:shd w:val="clear" w:color="auto" w:fill="auto"/>
          </w:tcPr>
          <w:p w14:paraId="7BE93782" w14:textId="77777777" w:rsidR="008C5CFA" w:rsidRPr="001C4484" w:rsidRDefault="00E82A60" w:rsidP="00300A01">
            <w:pPr>
              <w:spacing w:before="0" w:after="0"/>
              <w:jc w:val="right"/>
              <w:rPr>
                <w:sz w:val="10"/>
                <w:szCs w:val="10"/>
              </w:rPr>
            </w:pPr>
            <w:r w:rsidRPr="001C4484">
              <w:rPr>
                <w:noProof/>
                <w:sz w:val="10"/>
                <w:szCs w:val="10"/>
              </w:rPr>
              <w:t>56,00</w:t>
            </w:r>
          </w:p>
        </w:tc>
        <w:tc>
          <w:tcPr>
            <w:tcW w:w="0" w:type="auto"/>
            <w:shd w:val="clear" w:color="auto" w:fill="auto"/>
          </w:tcPr>
          <w:p w14:paraId="3D03680B" w14:textId="77777777" w:rsidR="008C5CFA" w:rsidRPr="001C4484" w:rsidRDefault="00E82A60" w:rsidP="00300A01">
            <w:pPr>
              <w:spacing w:before="0" w:after="0"/>
              <w:jc w:val="right"/>
              <w:rPr>
                <w:sz w:val="10"/>
                <w:szCs w:val="10"/>
                <w:lang w:val="fr-BE"/>
              </w:rPr>
            </w:pPr>
            <w:r w:rsidRPr="001C4484">
              <w:rPr>
                <w:noProof/>
                <w:sz w:val="10"/>
                <w:szCs w:val="10"/>
              </w:rPr>
              <w:t>44,00</w:t>
            </w:r>
          </w:p>
        </w:tc>
        <w:tc>
          <w:tcPr>
            <w:tcW w:w="0" w:type="auto"/>
          </w:tcPr>
          <w:p w14:paraId="46BB448A" w14:textId="77777777" w:rsidR="008C5CFA" w:rsidRPr="001C4484" w:rsidRDefault="00E82A60" w:rsidP="00300A01">
            <w:pPr>
              <w:spacing w:before="0" w:after="0"/>
              <w:jc w:val="right"/>
              <w:rPr>
                <w:sz w:val="10"/>
                <w:szCs w:val="10"/>
              </w:rPr>
            </w:pPr>
            <w:r>
              <w:rPr>
                <w:noProof/>
                <w:sz w:val="10"/>
                <w:szCs w:val="10"/>
              </w:rPr>
              <w:t>69,00</w:t>
            </w:r>
          </w:p>
        </w:tc>
        <w:tc>
          <w:tcPr>
            <w:tcW w:w="0" w:type="auto"/>
            <w:shd w:val="clear" w:color="auto" w:fill="auto"/>
          </w:tcPr>
          <w:p w14:paraId="1941341B" w14:textId="77777777" w:rsidR="008C5CFA" w:rsidRPr="001C4484" w:rsidRDefault="00E82A60" w:rsidP="00300A01">
            <w:pPr>
              <w:spacing w:before="0" w:after="0"/>
              <w:jc w:val="right"/>
              <w:rPr>
                <w:sz w:val="10"/>
                <w:szCs w:val="10"/>
              </w:rPr>
            </w:pPr>
            <w:r w:rsidRPr="001C4484">
              <w:rPr>
                <w:noProof/>
                <w:sz w:val="10"/>
                <w:szCs w:val="10"/>
              </w:rPr>
              <w:t>40,00</w:t>
            </w:r>
          </w:p>
        </w:tc>
        <w:tc>
          <w:tcPr>
            <w:tcW w:w="0" w:type="auto"/>
            <w:shd w:val="clear" w:color="auto" w:fill="auto"/>
          </w:tcPr>
          <w:p w14:paraId="7578BEB5" w14:textId="77777777" w:rsidR="008C5CFA" w:rsidRPr="001C4484" w:rsidRDefault="00E82A60" w:rsidP="00300A01">
            <w:pPr>
              <w:spacing w:before="0" w:after="0"/>
              <w:jc w:val="right"/>
              <w:rPr>
                <w:sz w:val="10"/>
                <w:szCs w:val="10"/>
                <w:lang w:val="fr-BE"/>
              </w:rPr>
            </w:pPr>
            <w:r w:rsidRPr="001C4484">
              <w:rPr>
                <w:noProof/>
                <w:sz w:val="10"/>
                <w:szCs w:val="10"/>
              </w:rPr>
              <w:t>29,00</w:t>
            </w:r>
          </w:p>
        </w:tc>
        <w:tc>
          <w:tcPr>
            <w:tcW w:w="0" w:type="auto"/>
          </w:tcPr>
          <w:p w14:paraId="343909DC" w14:textId="77777777" w:rsidR="008C5CFA" w:rsidRPr="001C4484" w:rsidRDefault="00E82A60" w:rsidP="00300A01">
            <w:pPr>
              <w:spacing w:before="0" w:after="0"/>
              <w:jc w:val="right"/>
              <w:rPr>
                <w:sz w:val="10"/>
                <w:szCs w:val="10"/>
              </w:rPr>
            </w:pPr>
            <w:r>
              <w:rPr>
                <w:noProof/>
                <w:sz w:val="10"/>
                <w:szCs w:val="10"/>
              </w:rPr>
              <w:t>25,00</w:t>
            </w:r>
          </w:p>
        </w:tc>
        <w:tc>
          <w:tcPr>
            <w:tcW w:w="0" w:type="auto"/>
            <w:shd w:val="clear" w:color="auto" w:fill="auto"/>
          </w:tcPr>
          <w:p w14:paraId="0B3C0A2D" w14:textId="77777777" w:rsidR="008C5CFA" w:rsidRPr="001C4484" w:rsidRDefault="00E82A60" w:rsidP="00300A01">
            <w:pPr>
              <w:spacing w:before="0" w:after="0"/>
              <w:jc w:val="right"/>
              <w:rPr>
                <w:sz w:val="10"/>
                <w:szCs w:val="10"/>
              </w:rPr>
            </w:pPr>
            <w:r w:rsidRPr="001C4484">
              <w:rPr>
                <w:noProof/>
                <w:sz w:val="10"/>
                <w:szCs w:val="10"/>
              </w:rPr>
              <w:t>14,00</w:t>
            </w:r>
          </w:p>
        </w:tc>
        <w:tc>
          <w:tcPr>
            <w:tcW w:w="0" w:type="auto"/>
            <w:shd w:val="clear" w:color="auto" w:fill="auto"/>
          </w:tcPr>
          <w:p w14:paraId="195F1E3E" w14:textId="77777777" w:rsidR="008C5CFA" w:rsidRPr="001C4484" w:rsidRDefault="00E82A60" w:rsidP="00300A01">
            <w:pPr>
              <w:spacing w:before="0" w:after="0"/>
              <w:jc w:val="right"/>
              <w:rPr>
                <w:sz w:val="10"/>
                <w:szCs w:val="10"/>
                <w:lang w:val="fr-BE"/>
              </w:rPr>
            </w:pPr>
            <w:r w:rsidRPr="001C4484">
              <w:rPr>
                <w:noProof/>
                <w:sz w:val="10"/>
                <w:szCs w:val="10"/>
              </w:rPr>
              <w:t>11,00</w:t>
            </w:r>
          </w:p>
        </w:tc>
      </w:tr>
      <w:tr w:rsidR="006B2EC1" w14:paraId="30BD4327" w14:textId="77777777" w:rsidTr="0047688D">
        <w:tc>
          <w:tcPr>
            <w:tcW w:w="0" w:type="auto"/>
            <w:shd w:val="clear" w:color="auto" w:fill="auto"/>
          </w:tcPr>
          <w:p w14:paraId="3CC66358" w14:textId="77777777" w:rsidR="008C5CFA" w:rsidRPr="001C4484" w:rsidRDefault="00E82A60" w:rsidP="00300A01">
            <w:pPr>
              <w:spacing w:before="0" w:after="0"/>
              <w:rPr>
                <w:sz w:val="10"/>
                <w:szCs w:val="10"/>
                <w:lang w:val="fr-BE"/>
              </w:rPr>
            </w:pPr>
            <w:r w:rsidRPr="001C4484">
              <w:rPr>
                <w:noProof/>
                <w:sz w:val="10"/>
                <w:szCs w:val="10"/>
                <w:lang w:val="fr-BE"/>
              </w:rPr>
              <w:t>CO09</w:t>
            </w:r>
          </w:p>
        </w:tc>
        <w:tc>
          <w:tcPr>
            <w:tcW w:w="0" w:type="auto"/>
            <w:shd w:val="clear" w:color="auto" w:fill="auto"/>
          </w:tcPr>
          <w:p w14:paraId="21DE02E8" w14:textId="77777777" w:rsidR="008C5CFA" w:rsidRPr="001C4484" w:rsidRDefault="00E82A60" w:rsidP="00300A01">
            <w:pPr>
              <w:spacing w:before="0" w:after="0"/>
              <w:rPr>
                <w:sz w:val="10"/>
                <w:szCs w:val="10"/>
                <w:lang w:val="fr-BE"/>
              </w:rPr>
            </w:pPr>
            <w:r w:rsidRPr="001C4484">
              <w:rPr>
                <w:noProof/>
                <w:sz w:val="10"/>
                <w:szCs w:val="10"/>
                <w:lang w:val="fr-BE"/>
              </w:rPr>
              <w:t>osoby z wykształceniem podstawowym (ISCED 1) lub średnim I stopnia (ISCED 2)</w:t>
            </w:r>
          </w:p>
        </w:tc>
        <w:tc>
          <w:tcPr>
            <w:tcW w:w="0" w:type="auto"/>
            <w:shd w:val="clear" w:color="auto" w:fill="auto"/>
          </w:tcPr>
          <w:p w14:paraId="5D225340"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08E09758" w14:textId="77777777" w:rsidR="008C5CFA" w:rsidRPr="001C4484" w:rsidRDefault="00E82A60" w:rsidP="00300A01">
            <w:pPr>
              <w:spacing w:before="0" w:after="0"/>
              <w:jc w:val="right"/>
              <w:rPr>
                <w:sz w:val="10"/>
                <w:szCs w:val="10"/>
              </w:rPr>
            </w:pPr>
            <w:r>
              <w:rPr>
                <w:noProof/>
                <w:sz w:val="10"/>
                <w:szCs w:val="10"/>
              </w:rPr>
              <w:t>293,00</w:t>
            </w:r>
          </w:p>
        </w:tc>
        <w:tc>
          <w:tcPr>
            <w:tcW w:w="0" w:type="auto"/>
            <w:shd w:val="clear" w:color="auto" w:fill="auto"/>
          </w:tcPr>
          <w:p w14:paraId="2B1ABD52" w14:textId="77777777" w:rsidR="008C5CFA" w:rsidRPr="001C4484" w:rsidRDefault="00E82A60" w:rsidP="00300A01">
            <w:pPr>
              <w:spacing w:before="0" w:after="0"/>
              <w:jc w:val="right"/>
              <w:rPr>
                <w:sz w:val="10"/>
                <w:szCs w:val="10"/>
              </w:rPr>
            </w:pPr>
            <w:r w:rsidRPr="001C4484">
              <w:rPr>
                <w:noProof/>
                <w:sz w:val="10"/>
                <w:szCs w:val="10"/>
              </w:rPr>
              <w:t>179,00</w:t>
            </w:r>
          </w:p>
        </w:tc>
        <w:tc>
          <w:tcPr>
            <w:tcW w:w="0" w:type="auto"/>
            <w:shd w:val="clear" w:color="auto" w:fill="auto"/>
          </w:tcPr>
          <w:p w14:paraId="3BDDCF07" w14:textId="77777777" w:rsidR="008C5CFA" w:rsidRPr="001C4484" w:rsidRDefault="00E82A60" w:rsidP="00300A01">
            <w:pPr>
              <w:spacing w:before="0" w:after="0"/>
              <w:jc w:val="right"/>
              <w:rPr>
                <w:sz w:val="10"/>
                <w:szCs w:val="10"/>
                <w:lang w:val="fr-BE"/>
              </w:rPr>
            </w:pPr>
            <w:r w:rsidRPr="001C4484">
              <w:rPr>
                <w:noProof/>
                <w:sz w:val="10"/>
                <w:szCs w:val="10"/>
              </w:rPr>
              <w:t>114,00</w:t>
            </w:r>
          </w:p>
        </w:tc>
        <w:tc>
          <w:tcPr>
            <w:tcW w:w="0" w:type="auto"/>
          </w:tcPr>
          <w:p w14:paraId="475C0A06" w14:textId="77777777" w:rsidR="008C5CFA" w:rsidRPr="001C4484" w:rsidRDefault="00E82A60" w:rsidP="00300A01">
            <w:pPr>
              <w:spacing w:before="0" w:after="0"/>
              <w:jc w:val="right"/>
              <w:rPr>
                <w:sz w:val="10"/>
                <w:szCs w:val="10"/>
              </w:rPr>
            </w:pPr>
            <w:r>
              <w:rPr>
                <w:noProof/>
                <w:sz w:val="10"/>
                <w:szCs w:val="10"/>
              </w:rPr>
              <w:t>139,00</w:t>
            </w:r>
          </w:p>
        </w:tc>
        <w:tc>
          <w:tcPr>
            <w:tcW w:w="0" w:type="auto"/>
            <w:shd w:val="clear" w:color="auto" w:fill="auto"/>
          </w:tcPr>
          <w:p w14:paraId="30F950C9" w14:textId="77777777" w:rsidR="008C5CFA" w:rsidRPr="001C4484" w:rsidRDefault="00E82A60" w:rsidP="00300A01">
            <w:pPr>
              <w:spacing w:before="0" w:after="0"/>
              <w:jc w:val="right"/>
              <w:rPr>
                <w:sz w:val="10"/>
                <w:szCs w:val="10"/>
              </w:rPr>
            </w:pPr>
            <w:r w:rsidRPr="001C4484">
              <w:rPr>
                <w:noProof/>
                <w:sz w:val="10"/>
                <w:szCs w:val="10"/>
              </w:rPr>
              <w:t>67,00</w:t>
            </w:r>
          </w:p>
        </w:tc>
        <w:tc>
          <w:tcPr>
            <w:tcW w:w="0" w:type="auto"/>
            <w:shd w:val="clear" w:color="auto" w:fill="auto"/>
          </w:tcPr>
          <w:p w14:paraId="679D093B" w14:textId="77777777" w:rsidR="008C5CFA" w:rsidRPr="001C4484" w:rsidRDefault="00E82A60" w:rsidP="00300A01">
            <w:pPr>
              <w:spacing w:before="0" w:after="0"/>
              <w:jc w:val="right"/>
              <w:rPr>
                <w:sz w:val="10"/>
                <w:szCs w:val="10"/>
                <w:lang w:val="fr-BE"/>
              </w:rPr>
            </w:pPr>
            <w:r w:rsidRPr="001C4484">
              <w:rPr>
                <w:noProof/>
                <w:sz w:val="10"/>
                <w:szCs w:val="10"/>
              </w:rPr>
              <w:t>72,00</w:t>
            </w:r>
          </w:p>
        </w:tc>
        <w:tc>
          <w:tcPr>
            <w:tcW w:w="0" w:type="auto"/>
          </w:tcPr>
          <w:p w14:paraId="0E7810F3" w14:textId="77777777" w:rsidR="008C5CFA" w:rsidRPr="001C4484" w:rsidRDefault="00E82A60" w:rsidP="00300A01">
            <w:pPr>
              <w:spacing w:before="0" w:after="0"/>
              <w:jc w:val="right"/>
              <w:rPr>
                <w:sz w:val="10"/>
                <w:szCs w:val="10"/>
              </w:rPr>
            </w:pPr>
            <w:r>
              <w:rPr>
                <w:noProof/>
                <w:sz w:val="10"/>
                <w:szCs w:val="10"/>
              </w:rPr>
              <w:t>65,00</w:t>
            </w:r>
          </w:p>
        </w:tc>
        <w:tc>
          <w:tcPr>
            <w:tcW w:w="0" w:type="auto"/>
            <w:shd w:val="clear" w:color="auto" w:fill="auto"/>
          </w:tcPr>
          <w:p w14:paraId="2F2EFF10" w14:textId="77777777" w:rsidR="008C5CFA" w:rsidRPr="001C4484" w:rsidRDefault="00E82A60" w:rsidP="00300A01">
            <w:pPr>
              <w:spacing w:before="0" w:after="0"/>
              <w:jc w:val="right"/>
              <w:rPr>
                <w:sz w:val="10"/>
                <w:szCs w:val="10"/>
              </w:rPr>
            </w:pPr>
            <w:r w:rsidRPr="001C4484">
              <w:rPr>
                <w:noProof/>
                <w:sz w:val="10"/>
                <w:szCs w:val="10"/>
              </w:rPr>
              <w:t>30,00</w:t>
            </w:r>
          </w:p>
        </w:tc>
        <w:tc>
          <w:tcPr>
            <w:tcW w:w="0" w:type="auto"/>
            <w:shd w:val="clear" w:color="auto" w:fill="auto"/>
          </w:tcPr>
          <w:p w14:paraId="38FBD8E9" w14:textId="77777777" w:rsidR="008C5CFA" w:rsidRPr="001C4484" w:rsidRDefault="00E82A60" w:rsidP="00300A01">
            <w:pPr>
              <w:spacing w:before="0" w:after="0"/>
              <w:jc w:val="right"/>
              <w:rPr>
                <w:sz w:val="10"/>
                <w:szCs w:val="10"/>
                <w:lang w:val="fr-BE"/>
              </w:rPr>
            </w:pPr>
            <w:r w:rsidRPr="001C4484">
              <w:rPr>
                <w:noProof/>
                <w:sz w:val="10"/>
                <w:szCs w:val="10"/>
              </w:rPr>
              <w:t>35,00</w:t>
            </w:r>
          </w:p>
        </w:tc>
      </w:tr>
      <w:tr w:rsidR="006B2EC1" w14:paraId="6CEFDD4D" w14:textId="77777777" w:rsidTr="0047688D">
        <w:tc>
          <w:tcPr>
            <w:tcW w:w="0" w:type="auto"/>
            <w:shd w:val="clear" w:color="auto" w:fill="auto"/>
          </w:tcPr>
          <w:p w14:paraId="67C60735" w14:textId="77777777" w:rsidR="008C5CFA" w:rsidRPr="001C4484" w:rsidRDefault="00E82A60" w:rsidP="00300A01">
            <w:pPr>
              <w:spacing w:before="0" w:after="0"/>
              <w:rPr>
                <w:sz w:val="10"/>
                <w:szCs w:val="10"/>
                <w:lang w:val="fr-BE"/>
              </w:rPr>
            </w:pPr>
            <w:r w:rsidRPr="001C4484">
              <w:rPr>
                <w:noProof/>
                <w:sz w:val="10"/>
                <w:szCs w:val="10"/>
                <w:lang w:val="fr-BE"/>
              </w:rPr>
              <w:t>CO10</w:t>
            </w:r>
          </w:p>
        </w:tc>
        <w:tc>
          <w:tcPr>
            <w:tcW w:w="0" w:type="auto"/>
            <w:shd w:val="clear" w:color="auto" w:fill="auto"/>
          </w:tcPr>
          <w:p w14:paraId="330F6681" w14:textId="77777777" w:rsidR="008C5CFA" w:rsidRPr="001C4484" w:rsidRDefault="00E82A60" w:rsidP="00300A01">
            <w:pPr>
              <w:spacing w:before="0" w:after="0"/>
              <w:rPr>
                <w:sz w:val="10"/>
                <w:szCs w:val="10"/>
                <w:lang w:val="fr-BE"/>
              </w:rPr>
            </w:pPr>
            <w:r w:rsidRPr="001C4484">
              <w:rPr>
                <w:noProof/>
                <w:sz w:val="10"/>
                <w:szCs w:val="10"/>
                <w:lang w:val="fr-BE"/>
              </w:rPr>
              <w:t>osoby z wykształceniem średnim II stopnia (ISCED 3) lub policealnym (ISCED 4)</w:t>
            </w:r>
          </w:p>
        </w:tc>
        <w:tc>
          <w:tcPr>
            <w:tcW w:w="0" w:type="auto"/>
            <w:shd w:val="clear" w:color="auto" w:fill="auto"/>
          </w:tcPr>
          <w:p w14:paraId="70DC2C11"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499373C6" w14:textId="77777777" w:rsidR="008C5CFA" w:rsidRPr="001C4484" w:rsidRDefault="00E82A60" w:rsidP="00300A01">
            <w:pPr>
              <w:spacing w:before="0" w:after="0"/>
              <w:jc w:val="right"/>
              <w:rPr>
                <w:sz w:val="10"/>
                <w:szCs w:val="10"/>
              </w:rPr>
            </w:pPr>
            <w:r>
              <w:rPr>
                <w:noProof/>
                <w:sz w:val="10"/>
                <w:szCs w:val="10"/>
              </w:rPr>
              <w:t>1 033,00</w:t>
            </w:r>
          </w:p>
        </w:tc>
        <w:tc>
          <w:tcPr>
            <w:tcW w:w="0" w:type="auto"/>
            <w:shd w:val="clear" w:color="auto" w:fill="auto"/>
          </w:tcPr>
          <w:p w14:paraId="38CD467A" w14:textId="77777777" w:rsidR="008C5CFA" w:rsidRPr="001C4484" w:rsidRDefault="00E82A60" w:rsidP="00300A01">
            <w:pPr>
              <w:spacing w:before="0" w:after="0"/>
              <w:jc w:val="right"/>
              <w:rPr>
                <w:sz w:val="10"/>
                <w:szCs w:val="10"/>
              </w:rPr>
            </w:pPr>
            <w:r w:rsidRPr="001C4484">
              <w:rPr>
                <w:noProof/>
                <w:sz w:val="10"/>
                <w:szCs w:val="10"/>
              </w:rPr>
              <w:t>341,00</w:t>
            </w:r>
          </w:p>
        </w:tc>
        <w:tc>
          <w:tcPr>
            <w:tcW w:w="0" w:type="auto"/>
            <w:shd w:val="clear" w:color="auto" w:fill="auto"/>
          </w:tcPr>
          <w:p w14:paraId="36157E1A" w14:textId="77777777" w:rsidR="008C5CFA" w:rsidRPr="001C4484" w:rsidRDefault="00E82A60" w:rsidP="00300A01">
            <w:pPr>
              <w:spacing w:before="0" w:after="0"/>
              <w:jc w:val="right"/>
              <w:rPr>
                <w:sz w:val="10"/>
                <w:szCs w:val="10"/>
                <w:lang w:val="fr-BE"/>
              </w:rPr>
            </w:pPr>
            <w:r w:rsidRPr="001C4484">
              <w:rPr>
                <w:noProof/>
                <w:sz w:val="10"/>
                <w:szCs w:val="10"/>
              </w:rPr>
              <w:t>692,00</w:t>
            </w:r>
          </w:p>
        </w:tc>
        <w:tc>
          <w:tcPr>
            <w:tcW w:w="0" w:type="auto"/>
          </w:tcPr>
          <w:p w14:paraId="719385BB" w14:textId="77777777" w:rsidR="008C5CFA" w:rsidRPr="001C4484" w:rsidRDefault="00E82A60" w:rsidP="00300A01">
            <w:pPr>
              <w:spacing w:before="0" w:after="0"/>
              <w:jc w:val="right"/>
              <w:rPr>
                <w:sz w:val="10"/>
                <w:szCs w:val="10"/>
              </w:rPr>
            </w:pPr>
            <w:r>
              <w:rPr>
                <w:noProof/>
                <w:sz w:val="10"/>
                <w:szCs w:val="10"/>
              </w:rPr>
              <w:t>462,00</w:t>
            </w:r>
          </w:p>
        </w:tc>
        <w:tc>
          <w:tcPr>
            <w:tcW w:w="0" w:type="auto"/>
            <w:shd w:val="clear" w:color="auto" w:fill="auto"/>
          </w:tcPr>
          <w:p w14:paraId="437E526A" w14:textId="77777777" w:rsidR="008C5CFA" w:rsidRPr="001C4484" w:rsidRDefault="00E82A60" w:rsidP="00300A01">
            <w:pPr>
              <w:spacing w:before="0" w:after="0"/>
              <w:jc w:val="right"/>
              <w:rPr>
                <w:sz w:val="10"/>
                <w:szCs w:val="10"/>
              </w:rPr>
            </w:pPr>
            <w:r w:rsidRPr="001C4484">
              <w:rPr>
                <w:noProof/>
                <w:sz w:val="10"/>
                <w:szCs w:val="10"/>
              </w:rPr>
              <w:t>165,00</w:t>
            </w:r>
          </w:p>
        </w:tc>
        <w:tc>
          <w:tcPr>
            <w:tcW w:w="0" w:type="auto"/>
            <w:shd w:val="clear" w:color="auto" w:fill="auto"/>
          </w:tcPr>
          <w:p w14:paraId="602C9388" w14:textId="77777777" w:rsidR="008C5CFA" w:rsidRPr="001C4484" w:rsidRDefault="00E82A60" w:rsidP="00300A01">
            <w:pPr>
              <w:spacing w:before="0" w:after="0"/>
              <w:jc w:val="right"/>
              <w:rPr>
                <w:sz w:val="10"/>
                <w:szCs w:val="10"/>
                <w:lang w:val="fr-BE"/>
              </w:rPr>
            </w:pPr>
            <w:r w:rsidRPr="001C4484">
              <w:rPr>
                <w:noProof/>
                <w:sz w:val="10"/>
                <w:szCs w:val="10"/>
              </w:rPr>
              <w:t>297,00</w:t>
            </w:r>
          </w:p>
        </w:tc>
        <w:tc>
          <w:tcPr>
            <w:tcW w:w="0" w:type="auto"/>
          </w:tcPr>
          <w:p w14:paraId="2924BF3F" w14:textId="77777777" w:rsidR="008C5CFA" w:rsidRPr="001C4484" w:rsidRDefault="00E82A60" w:rsidP="00300A01">
            <w:pPr>
              <w:spacing w:before="0" w:after="0"/>
              <w:jc w:val="right"/>
              <w:rPr>
                <w:sz w:val="10"/>
                <w:szCs w:val="10"/>
              </w:rPr>
            </w:pPr>
            <w:r>
              <w:rPr>
                <w:noProof/>
                <w:sz w:val="10"/>
                <w:szCs w:val="10"/>
              </w:rPr>
              <w:t>214,00</w:t>
            </w:r>
          </w:p>
        </w:tc>
        <w:tc>
          <w:tcPr>
            <w:tcW w:w="0" w:type="auto"/>
            <w:shd w:val="clear" w:color="auto" w:fill="auto"/>
          </w:tcPr>
          <w:p w14:paraId="01C98A83" w14:textId="77777777" w:rsidR="008C5CFA" w:rsidRPr="001C4484" w:rsidRDefault="00E82A60" w:rsidP="00300A01">
            <w:pPr>
              <w:spacing w:before="0" w:after="0"/>
              <w:jc w:val="right"/>
              <w:rPr>
                <w:sz w:val="10"/>
                <w:szCs w:val="10"/>
              </w:rPr>
            </w:pPr>
            <w:r w:rsidRPr="001C4484">
              <w:rPr>
                <w:noProof/>
                <w:sz w:val="10"/>
                <w:szCs w:val="10"/>
              </w:rPr>
              <w:t>84,00</w:t>
            </w:r>
          </w:p>
        </w:tc>
        <w:tc>
          <w:tcPr>
            <w:tcW w:w="0" w:type="auto"/>
            <w:shd w:val="clear" w:color="auto" w:fill="auto"/>
          </w:tcPr>
          <w:p w14:paraId="2BD38707" w14:textId="77777777" w:rsidR="008C5CFA" w:rsidRPr="001C4484" w:rsidRDefault="00E82A60" w:rsidP="00300A01">
            <w:pPr>
              <w:spacing w:before="0" w:after="0"/>
              <w:jc w:val="right"/>
              <w:rPr>
                <w:sz w:val="10"/>
                <w:szCs w:val="10"/>
                <w:lang w:val="fr-BE"/>
              </w:rPr>
            </w:pPr>
            <w:r w:rsidRPr="001C4484">
              <w:rPr>
                <w:noProof/>
                <w:sz w:val="10"/>
                <w:szCs w:val="10"/>
              </w:rPr>
              <w:t>130,00</w:t>
            </w:r>
          </w:p>
        </w:tc>
      </w:tr>
      <w:tr w:rsidR="006B2EC1" w14:paraId="19922120" w14:textId="77777777" w:rsidTr="0047688D">
        <w:tc>
          <w:tcPr>
            <w:tcW w:w="0" w:type="auto"/>
            <w:shd w:val="clear" w:color="auto" w:fill="auto"/>
          </w:tcPr>
          <w:p w14:paraId="4909C7EF" w14:textId="77777777" w:rsidR="008C5CFA" w:rsidRPr="001C4484" w:rsidRDefault="00E82A60" w:rsidP="00300A01">
            <w:pPr>
              <w:spacing w:before="0" w:after="0"/>
              <w:rPr>
                <w:sz w:val="10"/>
                <w:szCs w:val="10"/>
                <w:lang w:val="fr-BE"/>
              </w:rPr>
            </w:pPr>
            <w:r w:rsidRPr="001C4484">
              <w:rPr>
                <w:noProof/>
                <w:sz w:val="10"/>
                <w:szCs w:val="10"/>
                <w:lang w:val="fr-BE"/>
              </w:rPr>
              <w:t>CO11</w:t>
            </w:r>
          </w:p>
        </w:tc>
        <w:tc>
          <w:tcPr>
            <w:tcW w:w="0" w:type="auto"/>
            <w:shd w:val="clear" w:color="auto" w:fill="auto"/>
          </w:tcPr>
          <w:p w14:paraId="17480A7F" w14:textId="77777777" w:rsidR="008C5CFA" w:rsidRPr="001C4484" w:rsidRDefault="00E82A60" w:rsidP="00300A01">
            <w:pPr>
              <w:spacing w:before="0" w:after="0"/>
              <w:rPr>
                <w:sz w:val="10"/>
                <w:szCs w:val="10"/>
                <w:lang w:val="fr-BE"/>
              </w:rPr>
            </w:pPr>
            <w:r w:rsidRPr="001C4484">
              <w:rPr>
                <w:noProof/>
                <w:sz w:val="10"/>
                <w:szCs w:val="10"/>
                <w:lang w:val="fr-BE"/>
              </w:rPr>
              <w:t>osoby z wykształceniem wyższym (ISCED 5 do 8)</w:t>
            </w:r>
          </w:p>
        </w:tc>
        <w:tc>
          <w:tcPr>
            <w:tcW w:w="0" w:type="auto"/>
            <w:shd w:val="clear" w:color="auto" w:fill="auto"/>
          </w:tcPr>
          <w:p w14:paraId="41C7687A"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19FFEEF5" w14:textId="77777777" w:rsidR="008C5CFA" w:rsidRPr="001C4484" w:rsidRDefault="00E82A60" w:rsidP="00300A01">
            <w:pPr>
              <w:spacing w:before="0" w:after="0"/>
              <w:jc w:val="right"/>
              <w:rPr>
                <w:sz w:val="10"/>
                <w:szCs w:val="10"/>
              </w:rPr>
            </w:pPr>
            <w:r>
              <w:rPr>
                <w:noProof/>
                <w:sz w:val="10"/>
                <w:szCs w:val="10"/>
              </w:rPr>
              <w:t>87,00</w:t>
            </w:r>
          </w:p>
        </w:tc>
        <w:tc>
          <w:tcPr>
            <w:tcW w:w="0" w:type="auto"/>
            <w:shd w:val="clear" w:color="auto" w:fill="auto"/>
          </w:tcPr>
          <w:p w14:paraId="0A7EF04B" w14:textId="77777777" w:rsidR="008C5CFA" w:rsidRPr="001C4484" w:rsidRDefault="00E82A60" w:rsidP="00300A01">
            <w:pPr>
              <w:spacing w:before="0" w:after="0"/>
              <w:jc w:val="right"/>
              <w:rPr>
                <w:sz w:val="10"/>
                <w:szCs w:val="10"/>
              </w:rPr>
            </w:pPr>
            <w:r w:rsidRPr="001C4484">
              <w:rPr>
                <w:noProof/>
                <w:sz w:val="10"/>
                <w:szCs w:val="10"/>
              </w:rPr>
              <w:t>20,00</w:t>
            </w:r>
          </w:p>
        </w:tc>
        <w:tc>
          <w:tcPr>
            <w:tcW w:w="0" w:type="auto"/>
            <w:shd w:val="clear" w:color="auto" w:fill="auto"/>
          </w:tcPr>
          <w:p w14:paraId="42D52511" w14:textId="77777777" w:rsidR="008C5CFA" w:rsidRPr="001C4484" w:rsidRDefault="00E82A60" w:rsidP="00300A01">
            <w:pPr>
              <w:spacing w:before="0" w:after="0"/>
              <w:jc w:val="right"/>
              <w:rPr>
                <w:sz w:val="10"/>
                <w:szCs w:val="10"/>
                <w:lang w:val="fr-BE"/>
              </w:rPr>
            </w:pPr>
            <w:r w:rsidRPr="001C4484">
              <w:rPr>
                <w:noProof/>
                <w:sz w:val="10"/>
                <w:szCs w:val="10"/>
              </w:rPr>
              <w:t>67,00</w:t>
            </w:r>
          </w:p>
        </w:tc>
        <w:tc>
          <w:tcPr>
            <w:tcW w:w="0" w:type="auto"/>
          </w:tcPr>
          <w:p w14:paraId="05FBE362" w14:textId="77777777" w:rsidR="008C5CFA" w:rsidRPr="001C4484" w:rsidRDefault="00E82A60" w:rsidP="00300A01">
            <w:pPr>
              <w:spacing w:before="0" w:after="0"/>
              <w:jc w:val="right"/>
              <w:rPr>
                <w:sz w:val="10"/>
                <w:szCs w:val="10"/>
              </w:rPr>
            </w:pPr>
            <w:r>
              <w:rPr>
                <w:noProof/>
                <w:sz w:val="10"/>
                <w:szCs w:val="10"/>
              </w:rPr>
              <w:t>38,00</w:t>
            </w:r>
          </w:p>
        </w:tc>
        <w:tc>
          <w:tcPr>
            <w:tcW w:w="0" w:type="auto"/>
            <w:shd w:val="clear" w:color="auto" w:fill="auto"/>
          </w:tcPr>
          <w:p w14:paraId="2B4ED0CA" w14:textId="77777777" w:rsidR="008C5CFA" w:rsidRPr="001C4484" w:rsidRDefault="00E82A60" w:rsidP="00300A01">
            <w:pPr>
              <w:spacing w:before="0" w:after="0"/>
              <w:jc w:val="right"/>
              <w:rPr>
                <w:sz w:val="10"/>
                <w:szCs w:val="10"/>
              </w:rPr>
            </w:pPr>
            <w:r w:rsidRPr="001C4484">
              <w:rPr>
                <w:noProof/>
                <w:sz w:val="10"/>
                <w:szCs w:val="10"/>
              </w:rPr>
              <w:t>4,00</w:t>
            </w:r>
          </w:p>
        </w:tc>
        <w:tc>
          <w:tcPr>
            <w:tcW w:w="0" w:type="auto"/>
            <w:shd w:val="clear" w:color="auto" w:fill="auto"/>
          </w:tcPr>
          <w:p w14:paraId="09AC92FA" w14:textId="77777777" w:rsidR="008C5CFA" w:rsidRPr="001C4484" w:rsidRDefault="00E82A60" w:rsidP="00300A01">
            <w:pPr>
              <w:spacing w:before="0" w:after="0"/>
              <w:jc w:val="right"/>
              <w:rPr>
                <w:sz w:val="10"/>
                <w:szCs w:val="10"/>
                <w:lang w:val="fr-BE"/>
              </w:rPr>
            </w:pPr>
            <w:r w:rsidRPr="001C4484">
              <w:rPr>
                <w:noProof/>
                <w:sz w:val="10"/>
                <w:szCs w:val="10"/>
              </w:rPr>
              <w:t>34,00</w:t>
            </w:r>
          </w:p>
        </w:tc>
        <w:tc>
          <w:tcPr>
            <w:tcW w:w="0" w:type="auto"/>
          </w:tcPr>
          <w:p w14:paraId="3C8F4023" w14:textId="77777777" w:rsidR="008C5CFA" w:rsidRPr="001C4484" w:rsidRDefault="00E82A60" w:rsidP="00300A01">
            <w:pPr>
              <w:spacing w:before="0" w:after="0"/>
              <w:jc w:val="right"/>
              <w:rPr>
                <w:sz w:val="10"/>
                <w:szCs w:val="10"/>
              </w:rPr>
            </w:pPr>
            <w:r>
              <w:rPr>
                <w:noProof/>
                <w:sz w:val="10"/>
                <w:szCs w:val="10"/>
              </w:rPr>
              <w:t>12,00</w:t>
            </w:r>
          </w:p>
        </w:tc>
        <w:tc>
          <w:tcPr>
            <w:tcW w:w="0" w:type="auto"/>
            <w:shd w:val="clear" w:color="auto" w:fill="auto"/>
          </w:tcPr>
          <w:p w14:paraId="5E9C44D9" w14:textId="77777777" w:rsidR="008C5CFA" w:rsidRPr="001C4484" w:rsidRDefault="00E82A60" w:rsidP="00300A01">
            <w:pPr>
              <w:spacing w:before="0" w:after="0"/>
              <w:jc w:val="right"/>
              <w:rPr>
                <w:sz w:val="10"/>
                <w:szCs w:val="10"/>
              </w:rPr>
            </w:pPr>
            <w:r w:rsidRPr="001C4484">
              <w:rPr>
                <w:noProof/>
                <w:sz w:val="10"/>
                <w:szCs w:val="10"/>
              </w:rPr>
              <w:t>1,00</w:t>
            </w:r>
          </w:p>
        </w:tc>
        <w:tc>
          <w:tcPr>
            <w:tcW w:w="0" w:type="auto"/>
            <w:shd w:val="clear" w:color="auto" w:fill="auto"/>
          </w:tcPr>
          <w:p w14:paraId="2C0A1346" w14:textId="77777777" w:rsidR="008C5CFA" w:rsidRPr="001C4484" w:rsidRDefault="00E82A60" w:rsidP="00300A01">
            <w:pPr>
              <w:spacing w:before="0" w:after="0"/>
              <w:jc w:val="right"/>
              <w:rPr>
                <w:sz w:val="10"/>
                <w:szCs w:val="10"/>
                <w:lang w:val="fr-BE"/>
              </w:rPr>
            </w:pPr>
            <w:r w:rsidRPr="001C4484">
              <w:rPr>
                <w:noProof/>
                <w:sz w:val="10"/>
                <w:szCs w:val="10"/>
              </w:rPr>
              <w:t>11,00</w:t>
            </w:r>
          </w:p>
        </w:tc>
      </w:tr>
      <w:tr w:rsidR="006B2EC1" w14:paraId="28111B3D" w14:textId="77777777" w:rsidTr="0047688D">
        <w:tc>
          <w:tcPr>
            <w:tcW w:w="0" w:type="auto"/>
            <w:shd w:val="clear" w:color="auto" w:fill="auto"/>
          </w:tcPr>
          <w:p w14:paraId="160D810D" w14:textId="77777777" w:rsidR="008C5CFA" w:rsidRPr="001C4484" w:rsidRDefault="00E82A60" w:rsidP="00300A01">
            <w:pPr>
              <w:spacing w:before="0" w:after="0"/>
              <w:rPr>
                <w:sz w:val="10"/>
                <w:szCs w:val="10"/>
                <w:lang w:val="fr-BE"/>
              </w:rPr>
            </w:pPr>
            <w:r w:rsidRPr="001C4484">
              <w:rPr>
                <w:noProof/>
                <w:sz w:val="10"/>
                <w:szCs w:val="10"/>
                <w:lang w:val="fr-BE"/>
              </w:rPr>
              <w:t>CO15</w:t>
            </w:r>
          </w:p>
        </w:tc>
        <w:tc>
          <w:tcPr>
            <w:tcW w:w="0" w:type="auto"/>
            <w:shd w:val="clear" w:color="auto" w:fill="auto"/>
          </w:tcPr>
          <w:p w14:paraId="1F1C7A95" w14:textId="77777777" w:rsidR="008C5CFA" w:rsidRPr="001C4484" w:rsidRDefault="00E82A60" w:rsidP="00300A01">
            <w:pPr>
              <w:spacing w:before="0" w:after="0"/>
              <w:rPr>
                <w:sz w:val="10"/>
                <w:szCs w:val="10"/>
                <w:lang w:val="fr-BE"/>
              </w:rPr>
            </w:pPr>
            <w:r w:rsidRPr="001C4484">
              <w:rPr>
                <w:noProof/>
                <w:sz w:val="10"/>
                <w:szCs w:val="10"/>
                <w:lang w:val="fr-BE"/>
              </w:rPr>
              <w:t>migranci, uczestnicy obcego pochodzenia, mniejszości (w tym społeczności marginalizowane, takie jak Romowie)</w:t>
            </w:r>
          </w:p>
        </w:tc>
        <w:tc>
          <w:tcPr>
            <w:tcW w:w="0" w:type="auto"/>
            <w:shd w:val="clear" w:color="auto" w:fill="auto"/>
          </w:tcPr>
          <w:p w14:paraId="22977C13"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287FA57E" w14:textId="77777777" w:rsidR="008C5CFA" w:rsidRPr="001C4484" w:rsidRDefault="00E82A60" w:rsidP="00300A01">
            <w:pPr>
              <w:spacing w:before="0" w:after="0"/>
              <w:jc w:val="right"/>
              <w:rPr>
                <w:sz w:val="10"/>
                <w:szCs w:val="10"/>
              </w:rPr>
            </w:pPr>
            <w:r>
              <w:rPr>
                <w:noProof/>
                <w:sz w:val="10"/>
                <w:szCs w:val="10"/>
              </w:rPr>
              <w:t>6,00</w:t>
            </w:r>
          </w:p>
        </w:tc>
        <w:tc>
          <w:tcPr>
            <w:tcW w:w="0" w:type="auto"/>
            <w:shd w:val="clear" w:color="auto" w:fill="auto"/>
          </w:tcPr>
          <w:p w14:paraId="43FC9C47" w14:textId="77777777" w:rsidR="008C5CFA" w:rsidRPr="001C4484" w:rsidRDefault="00E82A60" w:rsidP="00300A01">
            <w:pPr>
              <w:spacing w:before="0" w:after="0"/>
              <w:jc w:val="right"/>
              <w:rPr>
                <w:sz w:val="10"/>
                <w:szCs w:val="10"/>
              </w:rPr>
            </w:pPr>
            <w:r w:rsidRPr="001C4484">
              <w:rPr>
                <w:noProof/>
                <w:sz w:val="10"/>
                <w:szCs w:val="10"/>
              </w:rPr>
              <w:t>1,00</w:t>
            </w:r>
          </w:p>
        </w:tc>
        <w:tc>
          <w:tcPr>
            <w:tcW w:w="0" w:type="auto"/>
            <w:shd w:val="clear" w:color="auto" w:fill="auto"/>
          </w:tcPr>
          <w:p w14:paraId="4D0430E6" w14:textId="77777777" w:rsidR="008C5CFA" w:rsidRPr="001C4484" w:rsidRDefault="00E82A60" w:rsidP="00300A01">
            <w:pPr>
              <w:spacing w:before="0" w:after="0"/>
              <w:jc w:val="right"/>
              <w:rPr>
                <w:sz w:val="10"/>
                <w:szCs w:val="10"/>
                <w:lang w:val="fr-BE"/>
              </w:rPr>
            </w:pPr>
            <w:r w:rsidRPr="001C4484">
              <w:rPr>
                <w:noProof/>
                <w:sz w:val="10"/>
                <w:szCs w:val="10"/>
              </w:rPr>
              <w:t>5,00</w:t>
            </w:r>
          </w:p>
        </w:tc>
        <w:tc>
          <w:tcPr>
            <w:tcW w:w="0" w:type="auto"/>
          </w:tcPr>
          <w:p w14:paraId="34D4D0FB" w14:textId="77777777" w:rsidR="008C5CFA" w:rsidRPr="001C4484" w:rsidRDefault="00E82A60" w:rsidP="00300A01">
            <w:pPr>
              <w:spacing w:before="0" w:after="0"/>
              <w:jc w:val="right"/>
              <w:rPr>
                <w:sz w:val="10"/>
                <w:szCs w:val="10"/>
              </w:rPr>
            </w:pPr>
            <w:r>
              <w:rPr>
                <w:noProof/>
                <w:sz w:val="10"/>
                <w:szCs w:val="10"/>
              </w:rPr>
              <w:t>1,00</w:t>
            </w:r>
          </w:p>
        </w:tc>
        <w:tc>
          <w:tcPr>
            <w:tcW w:w="0" w:type="auto"/>
            <w:shd w:val="clear" w:color="auto" w:fill="auto"/>
          </w:tcPr>
          <w:p w14:paraId="6361F676"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4038FF6F" w14:textId="77777777" w:rsidR="008C5CFA" w:rsidRPr="001C4484" w:rsidRDefault="00E82A60" w:rsidP="00300A01">
            <w:pPr>
              <w:spacing w:before="0" w:after="0"/>
              <w:jc w:val="right"/>
              <w:rPr>
                <w:sz w:val="10"/>
                <w:szCs w:val="10"/>
                <w:lang w:val="fr-BE"/>
              </w:rPr>
            </w:pPr>
            <w:r w:rsidRPr="001C4484">
              <w:rPr>
                <w:noProof/>
                <w:sz w:val="10"/>
                <w:szCs w:val="10"/>
              </w:rPr>
              <w:t>1,00</w:t>
            </w:r>
          </w:p>
        </w:tc>
        <w:tc>
          <w:tcPr>
            <w:tcW w:w="0" w:type="auto"/>
          </w:tcPr>
          <w:p w14:paraId="65AC14BF"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15A4D1E9"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6F15880C" w14:textId="77777777" w:rsidR="008C5CFA" w:rsidRPr="001C4484" w:rsidRDefault="00E82A60" w:rsidP="00300A01">
            <w:pPr>
              <w:spacing w:before="0" w:after="0"/>
              <w:jc w:val="right"/>
              <w:rPr>
                <w:sz w:val="10"/>
                <w:szCs w:val="10"/>
                <w:lang w:val="fr-BE"/>
              </w:rPr>
            </w:pPr>
            <w:r w:rsidRPr="001C4484">
              <w:rPr>
                <w:noProof/>
                <w:sz w:val="10"/>
                <w:szCs w:val="10"/>
              </w:rPr>
              <w:t>0,00</w:t>
            </w:r>
          </w:p>
        </w:tc>
      </w:tr>
      <w:tr w:rsidR="006B2EC1" w14:paraId="72A99605" w14:textId="77777777" w:rsidTr="0047688D">
        <w:tc>
          <w:tcPr>
            <w:tcW w:w="0" w:type="auto"/>
            <w:shd w:val="clear" w:color="auto" w:fill="auto"/>
          </w:tcPr>
          <w:p w14:paraId="334EB5C6" w14:textId="77777777" w:rsidR="008C5CFA" w:rsidRPr="001C4484" w:rsidRDefault="00E82A60" w:rsidP="00300A01">
            <w:pPr>
              <w:spacing w:before="0" w:after="0"/>
              <w:rPr>
                <w:sz w:val="10"/>
                <w:szCs w:val="10"/>
                <w:lang w:val="fr-BE"/>
              </w:rPr>
            </w:pPr>
            <w:r w:rsidRPr="001C4484">
              <w:rPr>
                <w:noProof/>
                <w:sz w:val="10"/>
                <w:szCs w:val="10"/>
                <w:lang w:val="fr-BE"/>
              </w:rPr>
              <w:t>CO16</w:t>
            </w:r>
          </w:p>
        </w:tc>
        <w:tc>
          <w:tcPr>
            <w:tcW w:w="0" w:type="auto"/>
            <w:shd w:val="clear" w:color="auto" w:fill="auto"/>
          </w:tcPr>
          <w:p w14:paraId="6DA032C3" w14:textId="77777777" w:rsidR="008C5CFA" w:rsidRPr="001C4484" w:rsidRDefault="00E82A60" w:rsidP="00300A01">
            <w:pPr>
              <w:spacing w:before="0" w:after="0"/>
              <w:rPr>
                <w:sz w:val="10"/>
                <w:szCs w:val="10"/>
                <w:lang w:val="fr-BE"/>
              </w:rPr>
            </w:pPr>
            <w:r w:rsidRPr="001C4484">
              <w:rPr>
                <w:noProof/>
                <w:sz w:val="10"/>
                <w:szCs w:val="10"/>
                <w:lang w:val="fr-BE"/>
              </w:rPr>
              <w:t>uczestnicy z niepełnosprawnościami</w:t>
            </w:r>
          </w:p>
        </w:tc>
        <w:tc>
          <w:tcPr>
            <w:tcW w:w="0" w:type="auto"/>
            <w:shd w:val="clear" w:color="auto" w:fill="auto"/>
          </w:tcPr>
          <w:p w14:paraId="35C847C5"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5F761DD1" w14:textId="77777777" w:rsidR="008C5CFA" w:rsidRPr="001C4484" w:rsidRDefault="00E82A60" w:rsidP="00300A01">
            <w:pPr>
              <w:spacing w:before="0" w:after="0"/>
              <w:jc w:val="right"/>
              <w:rPr>
                <w:sz w:val="10"/>
                <w:szCs w:val="10"/>
              </w:rPr>
            </w:pPr>
            <w:r>
              <w:rPr>
                <w:noProof/>
                <w:sz w:val="10"/>
                <w:szCs w:val="10"/>
              </w:rPr>
              <w:t>293,00</w:t>
            </w:r>
          </w:p>
        </w:tc>
        <w:tc>
          <w:tcPr>
            <w:tcW w:w="0" w:type="auto"/>
            <w:shd w:val="clear" w:color="auto" w:fill="auto"/>
          </w:tcPr>
          <w:p w14:paraId="5162BF2E" w14:textId="77777777" w:rsidR="008C5CFA" w:rsidRPr="001C4484" w:rsidRDefault="00E82A60" w:rsidP="00300A01">
            <w:pPr>
              <w:spacing w:before="0" w:after="0"/>
              <w:jc w:val="right"/>
              <w:rPr>
                <w:sz w:val="10"/>
                <w:szCs w:val="10"/>
              </w:rPr>
            </w:pPr>
            <w:r w:rsidRPr="001C4484">
              <w:rPr>
                <w:noProof/>
                <w:sz w:val="10"/>
                <w:szCs w:val="10"/>
              </w:rPr>
              <w:t>134,00</w:t>
            </w:r>
          </w:p>
        </w:tc>
        <w:tc>
          <w:tcPr>
            <w:tcW w:w="0" w:type="auto"/>
            <w:shd w:val="clear" w:color="auto" w:fill="auto"/>
          </w:tcPr>
          <w:p w14:paraId="544D22E6" w14:textId="77777777" w:rsidR="008C5CFA" w:rsidRPr="001C4484" w:rsidRDefault="00E82A60" w:rsidP="00300A01">
            <w:pPr>
              <w:spacing w:before="0" w:after="0"/>
              <w:jc w:val="right"/>
              <w:rPr>
                <w:sz w:val="10"/>
                <w:szCs w:val="10"/>
                <w:lang w:val="fr-BE"/>
              </w:rPr>
            </w:pPr>
            <w:r w:rsidRPr="001C4484">
              <w:rPr>
                <w:noProof/>
                <w:sz w:val="10"/>
                <w:szCs w:val="10"/>
              </w:rPr>
              <w:t>159,00</w:t>
            </w:r>
          </w:p>
        </w:tc>
        <w:tc>
          <w:tcPr>
            <w:tcW w:w="0" w:type="auto"/>
          </w:tcPr>
          <w:p w14:paraId="2E40AD91" w14:textId="77777777" w:rsidR="008C5CFA" w:rsidRPr="001C4484" w:rsidRDefault="00E82A60" w:rsidP="00300A01">
            <w:pPr>
              <w:spacing w:before="0" w:after="0"/>
              <w:jc w:val="right"/>
              <w:rPr>
                <w:sz w:val="10"/>
                <w:szCs w:val="10"/>
              </w:rPr>
            </w:pPr>
            <w:r>
              <w:rPr>
                <w:noProof/>
                <w:sz w:val="10"/>
                <w:szCs w:val="10"/>
              </w:rPr>
              <w:t>169,00</w:t>
            </w:r>
          </w:p>
        </w:tc>
        <w:tc>
          <w:tcPr>
            <w:tcW w:w="0" w:type="auto"/>
            <w:shd w:val="clear" w:color="auto" w:fill="auto"/>
          </w:tcPr>
          <w:p w14:paraId="024F6F9E" w14:textId="77777777" w:rsidR="008C5CFA" w:rsidRPr="001C4484" w:rsidRDefault="00E82A60" w:rsidP="00300A01">
            <w:pPr>
              <w:spacing w:before="0" w:after="0"/>
              <w:jc w:val="right"/>
              <w:rPr>
                <w:sz w:val="10"/>
                <w:szCs w:val="10"/>
              </w:rPr>
            </w:pPr>
            <w:r w:rsidRPr="001C4484">
              <w:rPr>
                <w:noProof/>
                <w:sz w:val="10"/>
                <w:szCs w:val="10"/>
              </w:rPr>
              <w:t>70,00</w:t>
            </w:r>
          </w:p>
        </w:tc>
        <w:tc>
          <w:tcPr>
            <w:tcW w:w="0" w:type="auto"/>
            <w:shd w:val="clear" w:color="auto" w:fill="auto"/>
          </w:tcPr>
          <w:p w14:paraId="3C79AF01" w14:textId="77777777" w:rsidR="008C5CFA" w:rsidRPr="001C4484" w:rsidRDefault="00E82A60" w:rsidP="00300A01">
            <w:pPr>
              <w:spacing w:before="0" w:after="0"/>
              <w:jc w:val="right"/>
              <w:rPr>
                <w:sz w:val="10"/>
                <w:szCs w:val="10"/>
                <w:lang w:val="fr-BE"/>
              </w:rPr>
            </w:pPr>
            <w:r w:rsidRPr="001C4484">
              <w:rPr>
                <w:noProof/>
                <w:sz w:val="10"/>
                <w:szCs w:val="10"/>
              </w:rPr>
              <w:t>99,00</w:t>
            </w:r>
          </w:p>
        </w:tc>
        <w:tc>
          <w:tcPr>
            <w:tcW w:w="0" w:type="auto"/>
          </w:tcPr>
          <w:p w14:paraId="233B9275" w14:textId="77777777" w:rsidR="008C5CFA" w:rsidRPr="001C4484" w:rsidRDefault="00E82A60" w:rsidP="00300A01">
            <w:pPr>
              <w:spacing w:before="0" w:after="0"/>
              <w:jc w:val="right"/>
              <w:rPr>
                <w:sz w:val="10"/>
                <w:szCs w:val="10"/>
              </w:rPr>
            </w:pPr>
            <w:r>
              <w:rPr>
                <w:noProof/>
                <w:sz w:val="10"/>
                <w:szCs w:val="10"/>
              </w:rPr>
              <w:t>63,00</w:t>
            </w:r>
          </w:p>
        </w:tc>
        <w:tc>
          <w:tcPr>
            <w:tcW w:w="0" w:type="auto"/>
            <w:shd w:val="clear" w:color="auto" w:fill="auto"/>
          </w:tcPr>
          <w:p w14:paraId="3F6E5BDC" w14:textId="77777777" w:rsidR="008C5CFA" w:rsidRPr="001C4484" w:rsidRDefault="00E82A60" w:rsidP="00300A01">
            <w:pPr>
              <w:spacing w:before="0" w:after="0"/>
              <w:jc w:val="right"/>
              <w:rPr>
                <w:sz w:val="10"/>
                <w:szCs w:val="10"/>
              </w:rPr>
            </w:pPr>
            <w:r w:rsidRPr="001C4484">
              <w:rPr>
                <w:noProof/>
                <w:sz w:val="10"/>
                <w:szCs w:val="10"/>
              </w:rPr>
              <w:t>32,00</w:t>
            </w:r>
          </w:p>
        </w:tc>
        <w:tc>
          <w:tcPr>
            <w:tcW w:w="0" w:type="auto"/>
            <w:shd w:val="clear" w:color="auto" w:fill="auto"/>
          </w:tcPr>
          <w:p w14:paraId="07C6DA19" w14:textId="77777777" w:rsidR="008C5CFA" w:rsidRPr="001C4484" w:rsidRDefault="00E82A60" w:rsidP="00300A01">
            <w:pPr>
              <w:spacing w:before="0" w:after="0"/>
              <w:jc w:val="right"/>
              <w:rPr>
                <w:sz w:val="10"/>
                <w:szCs w:val="10"/>
                <w:lang w:val="fr-BE"/>
              </w:rPr>
            </w:pPr>
            <w:r w:rsidRPr="001C4484">
              <w:rPr>
                <w:noProof/>
                <w:sz w:val="10"/>
                <w:szCs w:val="10"/>
              </w:rPr>
              <w:t>31,00</w:t>
            </w:r>
          </w:p>
        </w:tc>
      </w:tr>
      <w:tr w:rsidR="006B2EC1" w14:paraId="0B4CFBD5" w14:textId="77777777" w:rsidTr="0047688D">
        <w:tc>
          <w:tcPr>
            <w:tcW w:w="0" w:type="auto"/>
            <w:shd w:val="clear" w:color="auto" w:fill="auto"/>
          </w:tcPr>
          <w:p w14:paraId="6EED2CB5" w14:textId="77777777" w:rsidR="008C5CFA" w:rsidRPr="001C4484" w:rsidRDefault="00E82A60" w:rsidP="00300A01">
            <w:pPr>
              <w:spacing w:before="0" w:after="0"/>
              <w:rPr>
                <w:sz w:val="10"/>
                <w:szCs w:val="10"/>
                <w:lang w:val="fr-BE"/>
              </w:rPr>
            </w:pPr>
            <w:r w:rsidRPr="001C4484">
              <w:rPr>
                <w:noProof/>
                <w:sz w:val="10"/>
                <w:szCs w:val="10"/>
                <w:lang w:val="fr-BE"/>
              </w:rPr>
              <w:t>CO17</w:t>
            </w:r>
          </w:p>
        </w:tc>
        <w:tc>
          <w:tcPr>
            <w:tcW w:w="0" w:type="auto"/>
            <w:shd w:val="clear" w:color="auto" w:fill="auto"/>
          </w:tcPr>
          <w:p w14:paraId="1BD9155D" w14:textId="77777777" w:rsidR="008C5CFA" w:rsidRPr="001C4484" w:rsidRDefault="00E82A60" w:rsidP="00300A01">
            <w:pPr>
              <w:spacing w:before="0" w:after="0"/>
              <w:rPr>
                <w:sz w:val="10"/>
                <w:szCs w:val="10"/>
                <w:lang w:val="fr-BE"/>
              </w:rPr>
            </w:pPr>
            <w:r w:rsidRPr="001C4484">
              <w:rPr>
                <w:noProof/>
                <w:sz w:val="10"/>
                <w:szCs w:val="10"/>
                <w:lang w:val="fr-BE"/>
              </w:rPr>
              <w:t>inne osoby w niekorzystnej sytuacji społecznej</w:t>
            </w:r>
          </w:p>
        </w:tc>
        <w:tc>
          <w:tcPr>
            <w:tcW w:w="0" w:type="auto"/>
            <w:shd w:val="clear" w:color="auto" w:fill="auto"/>
          </w:tcPr>
          <w:p w14:paraId="72156321"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3988DABB" w14:textId="77777777" w:rsidR="008C5CFA" w:rsidRPr="001C4484" w:rsidRDefault="00E82A60" w:rsidP="00300A01">
            <w:pPr>
              <w:spacing w:before="0" w:after="0"/>
              <w:jc w:val="right"/>
              <w:rPr>
                <w:sz w:val="10"/>
                <w:szCs w:val="10"/>
              </w:rPr>
            </w:pPr>
            <w:r>
              <w:rPr>
                <w:noProof/>
                <w:sz w:val="10"/>
                <w:szCs w:val="10"/>
              </w:rPr>
              <w:t>896,00</w:t>
            </w:r>
          </w:p>
        </w:tc>
        <w:tc>
          <w:tcPr>
            <w:tcW w:w="0" w:type="auto"/>
            <w:shd w:val="clear" w:color="auto" w:fill="auto"/>
          </w:tcPr>
          <w:p w14:paraId="523C0795" w14:textId="77777777" w:rsidR="008C5CFA" w:rsidRPr="001C4484" w:rsidRDefault="00E82A60" w:rsidP="00300A01">
            <w:pPr>
              <w:spacing w:before="0" w:after="0"/>
              <w:jc w:val="right"/>
              <w:rPr>
                <w:sz w:val="10"/>
                <w:szCs w:val="10"/>
              </w:rPr>
            </w:pPr>
            <w:r w:rsidRPr="001C4484">
              <w:rPr>
                <w:noProof/>
                <w:sz w:val="10"/>
                <w:szCs w:val="10"/>
              </w:rPr>
              <w:t>325,00</w:t>
            </w:r>
          </w:p>
        </w:tc>
        <w:tc>
          <w:tcPr>
            <w:tcW w:w="0" w:type="auto"/>
            <w:shd w:val="clear" w:color="auto" w:fill="auto"/>
          </w:tcPr>
          <w:p w14:paraId="63FBBC30" w14:textId="77777777" w:rsidR="008C5CFA" w:rsidRPr="001C4484" w:rsidRDefault="00E82A60" w:rsidP="00300A01">
            <w:pPr>
              <w:spacing w:before="0" w:after="0"/>
              <w:jc w:val="right"/>
              <w:rPr>
                <w:sz w:val="10"/>
                <w:szCs w:val="10"/>
                <w:lang w:val="fr-BE"/>
              </w:rPr>
            </w:pPr>
            <w:r w:rsidRPr="001C4484">
              <w:rPr>
                <w:noProof/>
                <w:sz w:val="10"/>
                <w:szCs w:val="10"/>
              </w:rPr>
              <w:t>571,00</w:t>
            </w:r>
          </w:p>
        </w:tc>
        <w:tc>
          <w:tcPr>
            <w:tcW w:w="0" w:type="auto"/>
          </w:tcPr>
          <w:p w14:paraId="4B6F6E34" w14:textId="77777777" w:rsidR="008C5CFA" w:rsidRPr="001C4484" w:rsidRDefault="00E82A60" w:rsidP="00300A01">
            <w:pPr>
              <w:spacing w:before="0" w:after="0"/>
              <w:jc w:val="right"/>
              <w:rPr>
                <w:sz w:val="10"/>
                <w:szCs w:val="10"/>
              </w:rPr>
            </w:pPr>
            <w:r>
              <w:rPr>
                <w:noProof/>
                <w:sz w:val="10"/>
                <w:szCs w:val="10"/>
              </w:rPr>
              <w:t>393,00</w:t>
            </w:r>
          </w:p>
        </w:tc>
        <w:tc>
          <w:tcPr>
            <w:tcW w:w="0" w:type="auto"/>
            <w:shd w:val="clear" w:color="auto" w:fill="auto"/>
          </w:tcPr>
          <w:p w14:paraId="0CE3A8E5" w14:textId="77777777" w:rsidR="008C5CFA" w:rsidRPr="001C4484" w:rsidRDefault="00E82A60" w:rsidP="00300A01">
            <w:pPr>
              <w:spacing w:before="0" w:after="0"/>
              <w:jc w:val="right"/>
              <w:rPr>
                <w:sz w:val="10"/>
                <w:szCs w:val="10"/>
              </w:rPr>
            </w:pPr>
            <w:r w:rsidRPr="001C4484">
              <w:rPr>
                <w:noProof/>
                <w:sz w:val="10"/>
                <w:szCs w:val="10"/>
              </w:rPr>
              <w:t>142,00</w:t>
            </w:r>
          </w:p>
        </w:tc>
        <w:tc>
          <w:tcPr>
            <w:tcW w:w="0" w:type="auto"/>
            <w:shd w:val="clear" w:color="auto" w:fill="auto"/>
          </w:tcPr>
          <w:p w14:paraId="14D3112A" w14:textId="77777777" w:rsidR="008C5CFA" w:rsidRPr="001C4484" w:rsidRDefault="00E82A60" w:rsidP="00300A01">
            <w:pPr>
              <w:spacing w:before="0" w:after="0"/>
              <w:jc w:val="right"/>
              <w:rPr>
                <w:sz w:val="10"/>
                <w:szCs w:val="10"/>
                <w:lang w:val="fr-BE"/>
              </w:rPr>
            </w:pPr>
            <w:r w:rsidRPr="001C4484">
              <w:rPr>
                <w:noProof/>
                <w:sz w:val="10"/>
                <w:szCs w:val="10"/>
              </w:rPr>
              <w:t>251,00</w:t>
            </w:r>
          </w:p>
        </w:tc>
        <w:tc>
          <w:tcPr>
            <w:tcW w:w="0" w:type="auto"/>
          </w:tcPr>
          <w:p w14:paraId="0046460A" w14:textId="77777777" w:rsidR="008C5CFA" w:rsidRPr="001C4484" w:rsidRDefault="00E82A60" w:rsidP="00300A01">
            <w:pPr>
              <w:spacing w:before="0" w:after="0"/>
              <w:jc w:val="right"/>
              <w:rPr>
                <w:sz w:val="10"/>
                <w:szCs w:val="10"/>
              </w:rPr>
            </w:pPr>
            <w:r>
              <w:rPr>
                <w:noProof/>
                <w:sz w:val="10"/>
                <w:szCs w:val="10"/>
              </w:rPr>
              <w:t>126,00</w:t>
            </w:r>
          </w:p>
        </w:tc>
        <w:tc>
          <w:tcPr>
            <w:tcW w:w="0" w:type="auto"/>
            <w:shd w:val="clear" w:color="auto" w:fill="auto"/>
          </w:tcPr>
          <w:p w14:paraId="22F98F94" w14:textId="77777777" w:rsidR="008C5CFA" w:rsidRPr="001C4484" w:rsidRDefault="00E82A60" w:rsidP="00300A01">
            <w:pPr>
              <w:spacing w:before="0" w:after="0"/>
              <w:jc w:val="right"/>
              <w:rPr>
                <w:sz w:val="10"/>
                <w:szCs w:val="10"/>
              </w:rPr>
            </w:pPr>
            <w:r w:rsidRPr="001C4484">
              <w:rPr>
                <w:noProof/>
                <w:sz w:val="10"/>
                <w:szCs w:val="10"/>
              </w:rPr>
              <w:t>44,00</w:t>
            </w:r>
          </w:p>
        </w:tc>
        <w:tc>
          <w:tcPr>
            <w:tcW w:w="0" w:type="auto"/>
            <w:shd w:val="clear" w:color="auto" w:fill="auto"/>
          </w:tcPr>
          <w:p w14:paraId="5B05DF1B" w14:textId="77777777" w:rsidR="008C5CFA" w:rsidRPr="001C4484" w:rsidRDefault="00E82A60" w:rsidP="00300A01">
            <w:pPr>
              <w:spacing w:before="0" w:after="0"/>
              <w:jc w:val="right"/>
              <w:rPr>
                <w:sz w:val="10"/>
                <w:szCs w:val="10"/>
                <w:lang w:val="fr-BE"/>
              </w:rPr>
            </w:pPr>
            <w:r w:rsidRPr="001C4484">
              <w:rPr>
                <w:noProof/>
                <w:sz w:val="10"/>
                <w:szCs w:val="10"/>
              </w:rPr>
              <w:t>82,00</w:t>
            </w:r>
          </w:p>
        </w:tc>
      </w:tr>
      <w:tr w:rsidR="006B2EC1" w14:paraId="425B9CBF" w14:textId="77777777" w:rsidTr="0047688D">
        <w:tc>
          <w:tcPr>
            <w:tcW w:w="0" w:type="auto"/>
            <w:shd w:val="clear" w:color="auto" w:fill="auto"/>
          </w:tcPr>
          <w:p w14:paraId="2365D8DF" w14:textId="77777777" w:rsidR="008C5CFA" w:rsidRPr="001C4484" w:rsidRDefault="00E82A60" w:rsidP="00300A01">
            <w:pPr>
              <w:spacing w:before="0" w:after="0"/>
              <w:rPr>
                <w:sz w:val="10"/>
                <w:szCs w:val="10"/>
                <w:lang w:val="fr-BE"/>
              </w:rPr>
            </w:pPr>
            <w:r w:rsidRPr="001C4484">
              <w:rPr>
                <w:noProof/>
                <w:sz w:val="10"/>
                <w:szCs w:val="10"/>
                <w:lang w:val="fr-BE"/>
              </w:rPr>
              <w:t>CO18</w:t>
            </w:r>
          </w:p>
        </w:tc>
        <w:tc>
          <w:tcPr>
            <w:tcW w:w="0" w:type="auto"/>
            <w:shd w:val="clear" w:color="auto" w:fill="auto"/>
          </w:tcPr>
          <w:p w14:paraId="153DA939" w14:textId="77777777" w:rsidR="008C5CFA" w:rsidRPr="001C4484" w:rsidRDefault="00E82A60" w:rsidP="00300A01">
            <w:pPr>
              <w:spacing w:before="0" w:after="0"/>
              <w:rPr>
                <w:sz w:val="10"/>
                <w:szCs w:val="10"/>
                <w:lang w:val="fr-BE"/>
              </w:rPr>
            </w:pPr>
            <w:r w:rsidRPr="001C4484">
              <w:rPr>
                <w:noProof/>
                <w:sz w:val="10"/>
                <w:szCs w:val="10"/>
                <w:lang w:val="fr-BE"/>
              </w:rPr>
              <w:t>osoby bezdomne lub dotknięte wykluczeniem z dostępu do mieszkań</w:t>
            </w:r>
          </w:p>
        </w:tc>
        <w:tc>
          <w:tcPr>
            <w:tcW w:w="0" w:type="auto"/>
            <w:shd w:val="clear" w:color="auto" w:fill="auto"/>
          </w:tcPr>
          <w:p w14:paraId="7991AABF"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645066AF" w14:textId="77777777" w:rsidR="008C5CFA" w:rsidRPr="001C4484" w:rsidRDefault="00E82A60" w:rsidP="00300A01">
            <w:pPr>
              <w:spacing w:before="0" w:after="0"/>
              <w:jc w:val="right"/>
              <w:rPr>
                <w:sz w:val="10"/>
                <w:szCs w:val="10"/>
              </w:rPr>
            </w:pPr>
            <w:r>
              <w:rPr>
                <w:noProof/>
                <w:sz w:val="10"/>
                <w:szCs w:val="10"/>
              </w:rPr>
              <w:t>56,00</w:t>
            </w:r>
          </w:p>
        </w:tc>
        <w:tc>
          <w:tcPr>
            <w:tcW w:w="0" w:type="auto"/>
            <w:shd w:val="clear" w:color="auto" w:fill="auto"/>
          </w:tcPr>
          <w:p w14:paraId="7B8026CE" w14:textId="77777777" w:rsidR="008C5CFA" w:rsidRPr="001C4484" w:rsidRDefault="00E82A60" w:rsidP="00300A01">
            <w:pPr>
              <w:spacing w:before="0" w:after="0"/>
              <w:jc w:val="right"/>
              <w:rPr>
                <w:sz w:val="10"/>
                <w:szCs w:val="10"/>
              </w:rPr>
            </w:pPr>
            <w:r w:rsidRPr="001C4484">
              <w:rPr>
                <w:noProof/>
                <w:sz w:val="10"/>
                <w:szCs w:val="10"/>
              </w:rPr>
              <w:t>38,00</w:t>
            </w:r>
          </w:p>
        </w:tc>
        <w:tc>
          <w:tcPr>
            <w:tcW w:w="0" w:type="auto"/>
            <w:shd w:val="clear" w:color="auto" w:fill="auto"/>
          </w:tcPr>
          <w:p w14:paraId="7E5DA7DD" w14:textId="77777777" w:rsidR="008C5CFA" w:rsidRPr="001C4484" w:rsidRDefault="00E82A60" w:rsidP="00300A01">
            <w:pPr>
              <w:spacing w:before="0" w:after="0"/>
              <w:jc w:val="right"/>
              <w:rPr>
                <w:sz w:val="10"/>
                <w:szCs w:val="10"/>
                <w:lang w:val="fr-BE"/>
              </w:rPr>
            </w:pPr>
            <w:r w:rsidRPr="001C4484">
              <w:rPr>
                <w:noProof/>
                <w:sz w:val="10"/>
                <w:szCs w:val="10"/>
              </w:rPr>
              <w:t>18,00</w:t>
            </w:r>
          </w:p>
        </w:tc>
        <w:tc>
          <w:tcPr>
            <w:tcW w:w="0" w:type="auto"/>
          </w:tcPr>
          <w:p w14:paraId="69FDD360" w14:textId="77777777" w:rsidR="008C5CFA" w:rsidRPr="001C4484" w:rsidRDefault="00E82A60" w:rsidP="00300A01">
            <w:pPr>
              <w:spacing w:before="0" w:after="0"/>
              <w:jc w:val="right"/>
              <w:rPr>
                <w:sz w:val="10"/>
                <w:szCs w:val="10"/>
              </w:rPr>
            </w:pPr>
            <w:r>
              <w:rPr>
                <w:noProof/>
                <w:sz w:val="10"/>
                <w:szCs w:val="10"/>
              </w:rPr>
              <w:t>53,00</w:t>
            </w:r>
          </w:p>
        </w:tc>
        <w:tc>
          <w:tcPr>
            <w:tcW w:w="0" w:type="auto"/>
            <w:shd w:val="clear" w:color="auto" w:fill="auto"/>
          </w:tcPr>
          <w:p w14:paraId="49A30116" w14:textId="77777777" w:rsidR="008C5CFA" w:rsidRPr="001C4484" w:rsidRDefault="00E82A60" w:rsidP="00300A01">
            <w:pPr>
              <w:spacing w:before="0" w:after="0"/>
              <w:jc w:val="right"/>
              <w:rPr>
                <w:sz w:val="10"/>
                <w:szCs w:val="10"/>
              </w:rPr>
            </w:pPr>
            <w:r w:rsidRPr="001C4484">
              <w:rPr>
                <w:noProof/>
                <w:sz w:val="10"/>
                <w:szCs w:val="10"/>
              </w:rPr>
              <w:t>27,00</w:t>
            </w:r>
          </w:p>
        </w:tc>
        <w:tc>
          <w:tcPr>
            <w:tcW w:w="0" w:type="auto"/>
            <w:shd w:val="clear" w:color="auto" w:fill="auto"/>
          </w:tcPr>
          <w:p w14:paraId="0D6D8276" w14:textId="77777777" w:rsidR="008C5CFA" w:rsidRPr="001C4484" w:rsidRDefault="00E82A60" w:rsidP="00300A01">
            <w:pPr>
              <w:spacing w:before="0" w:after="0"/>
              <w:jc w:val="right"/>
              <w:rPr>
                <w:sz w:val="10"/>
                <w:szCs w:val="10"/>
                <w:lang w:val="fr-BE"/>
              </w:rPr>
            </w:pPr>
            <w:r w:rsidRPr="001C4484">
              <w:rPr>
                <w:noProof/>
                <w:sz w:val="10"/>
                <w:szCs w:val="10"/>
              </w:rPr>
              <w:t>26,00</w:t>
            </w:r>
          </w:p>
        </w:tc>
        <w:tc>
          <w:tcPr>
            <w:tcW w:w="0" w:type="auto"/>
          </w:tcPr>
          <w:p w14:paraId="3D3297B3" w14:textId="77777777" w:rsidR="008C5CFA" w:rsidRPr="001C4484" w:rsidRDefault="00E82A60" w:rsidP="00300A01">
            <w:pPr>
              <w:spacing w:before="0" w:after="0"/>
              <w:jc w:val="right"/>
              <w:rPr>
                <w:sz w:val="10"/>
                <w:szCs w:val="10"/>
              </w:rPr>
            </w:pPr>
            <w:r>
              <w:rPr>
                <w:noProof/>
                <w:sz w:val="10"/>
                <w:szCs w:val="10"/>
              </w:rPr>
              <w:t>2,00</w:t>
            </w:r>
          </w:p>
        </w:tc>
        <w:tc>
          <w:tcPr>
            <w:tcW w:w="0" w:type="auto"/>
            <w:shd w:val="clear" w:color="auto" w:fill="auto"/>
          </w:tcPr>
          <w:p w14:paraId="58F275A8" w14:textId="77777777" w:rsidR="008C5CFA" w:rsidRPr="001C4484" w:rsidRDefault="00E82A60" w:rsidP="00300A01">
            <w:pPr>
              <w:spacing w:before="0" w:after="0"/>
              <w:jc w:val="right"/>
              <w:rPr>
                <w:sz w:val="10"/>
                <w:szCs w:val="10"/>
              </w:rPr>
            </w:pPr>
            <w:r w:rsidRPr="001C4484">
              <w:rPr>
                <w:noProof/>
                <w:sz w:val="10"/>
                <w:szCs w:val="10"/>
              </w:rPr>
              <w:t>1,00</w:t>
            </w:r>
          </w:p>
        </w:tc>
        <w:tc>
          <w:tcPr>
            <w:tcW w:w="0" w:type="auto"/>
            <w:shd w:val="clear" w:color="auto" w:fill="auto"/>
          </w:tcPr>
          <w:p w14:paraId="6898A0BF" w14:textId="77777777" w:rsidR="008C5CFA" w:rsidRPr="001C4484" w:rsidRDefault="00E82A60" w:rsidP="00300A01">
            <w:pPr>
              <w:spacing w:before="0" w:after="0"/>
              <w:jc w:val="right"/>
              <w:rPr>
                <w:sz w:val="10"/>
                <w:szCs w:val="10"/>
                <w:lang w:val="fr-BE"/>
              </w:rPr>
            </w:pPr>
            <w:r w:rsidRPr="001C4484">
              <w:rPr>
                <w:noProof/>
                <w:sz w:val="10"/>
                <w:szCs w:val="10"/>
              </w:rPr>
              <w:t>1,00</w:t>
            </w:r>
          </w:p>
        </w:tc>
      </w:tr>
      <w:tr w:rsidR="006B2EC1" w14:paraId="02DA686E" w14:textId="77777777" w:rsidTr="0047688D">
        <w:tc>
          <w:tcPr>
            <w:tcW w:w="0" w:type="auto"/>
            <w:shd w:val="clear" w:color="auto" w:fill="auto"/>
          </w:tcPr>
          <w:p w14:paraId="4F9931AA" w14:textId="77777777" w:rsidR="008C5CFA" w:rsidRPr="001C4484" w:rsidRDefault="00E82A60" w:rsidP="00300A01">
            <w:pPr>
              <w:spacing w:before="0" w:after="0"/>
              <w:rPr>
                <w:sz w:val="10"/>
                <w:szCs w:val="10"/>
                <w:lang w:val="fr-BE"/>
              </w:rPr>
            </w:pPr>
            <w:r w:rsidRPr="001C4484">
              <w:rPr>
                <w:noProof/>
                <w:sz w:val="10"/>
                <w:szCs w:val="10"/>
                <w:lang w:val="fr-BE"/>
              </w:rPr>
              <w:t>CO19</w:t>
            </w:r>
          </w:p>
        </w:tc>
        <w:tc>
          <w:tcPr>
            <w:tcW w:w="0" w:type="auto"/>
            <w:shd w:val="clear" w:color="auto" w:fill="auto"/>
          </w:tcPr>
          <w:p w14:paraId="43131E46" w14:textId="77777777" w:rsidR="008C5CFA" w:rsidRPr="001C4484" w:rsidRDefault="00E82A60" w:rsidP="00300A01">
            <w:pPr>
              <w:spacing w:before="0" w:after="0"/>
              <w:rPr>
                <w:sz w:val="10"/>
                <w:szCs w:val="10"/>
                <w:lang w:val="fr-BE"/>
              </w:rPr>
            </w:pPr>
            <w:r w:rsidRPr="001C4484">
              <w:rPr>
                <w:noProof/>
                <w:sz w:val="10"/>
                <w:szCs w:val="10"/>
                <w:lang w:val="fr-BE"/>
              </w:rPr>
              <w:t>osoby pochodzące z obszarów wiejskich</w:t>
            </w:r>
          </w:p>
        </w:tc>
        <w:tc>
          <w:tcPr>
            <w:tcW w:w="0" w:type="auto"/>
            <w:shd w:val="clear" w:color="auto" w:fill="auto"/>
          </w:tcPr>
          <w:p w14:paraId="4F7D4343"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138A4765" w14:textId="77777777" w:rsidR="008C5CFA" w:rsidRPr="001C4484" w:rsidRDefault="00E82A60" w:rsidP="00300A01">
            <w:pPr>
              <w:spacing w:before="0" w:after="0"/>
              <w:jc w:val="right"/>
              <w:rPr>
                <w:sz w:val="10"/>
                <w:szCs w:val="10"/>
              </w:rPr>
            </w:pPr>
            <w:r>
              <w:rPr>
                <w:noProof/>
                <w:sz w:val="10"/>
                <w:szCs w:val="10"/>
              </w:rPr>
              <w:t>750,00</w:t>
            </w:r>
          </w:p>
        </w:tc>
        <w:tc>
          <w:tcPr>
            <w:tcW w:w="0" w:type="auto"/>
            <w:shd w:val="clear" w:color="auto" w:fill="auto"/>
          </w:tcPr>
          <w:p w14:paraId="3AE1B04E" w14:textId="77777777" w:rsidR="008C5CFA" w:rsidRPr="001C4484" w:rsidRDefault="00E82A60" w:rsidP="00300A01">
            <w:pPr>
              <w:spacing w:before="0" w:after="0"/>
              <w:jc w:val="right"/>
              <w:rPr>
                <w:sz w:val="10"/>
                <w:szCs w:val="10"/>
              </w:rPr>
            </w:pPr>
            <w:r w:rsidRPr="001C4484">
              <w:rPr>
                <w:noProof/>
                <w:sz w:val="10"/>
                <w:szCs w:val="10"/>
              </w:rPr>
              <w:t>259,00</w:t>
            </w:r>
          </w:p>
        </w:tc>
        <w:tc>
          <w:tcPr>
            <w:tcW w:w="0" w:type="auto"/>
            <w:shd w:val="clear" w:color="auto" w:fill="auto"/>
          </w:tcPr>
          <w:p w14:paraId="7F35662A" w14:textId="77777777" w:rsidR="008C5CFA" w:rsidRPr="001C4484" w:rsidRDefault="00E82A60" w:rsidP="00300A01">
            <w:pPr>
              <w:spacing w:before="0" w:after="0"/>
              <w:jc w:val="right"/>
              <w:rPr>
                <w:sz w:val="10"/>
                <w:szCs w:val="10"/>
                <w:lang w:val="fr-BE"/>
              </w:rPr>
            </w:pPr>
            <w:r w:rsidRPr="001C4484">
              <w:rPr>
                <w:noProof/>
                <w:sz w:val="10"/>
                <w:szCs w:val="10"/>
              </w:rPr>
              <w:t>491,00</w:t>
            </w:r>
          </w:p>
        </w:tc>
        <w:tc>
          <w:tcPr>
            <w:tcW w:w="0" w:type="auto"/>
          </w:tcPr>
          <w:p w14:paraId="3E9D648D" w14:textId="77777777" w:rsidR="008C5CFA" w:rsidRPr="001C4484" w:rsidRDefault="00E82A60" w:rsidP="00300A01">
            <w:pPr>
              <w:spacing w:before="0" w:after="0"/>
              <w:jc w:val="right"/>
              <w:rPr>
                <w:sz w:val="10"/>
                <w:szCs w:val="10"/>
              </w:rPr>
            </w:pPr>
            <w:r>
              <w:rPr>
                <w:noProof/>
                <w:sz w:val="10"/>
                <w:szCs w:val="10"/>
              </w:rPr>
              <w:t>315,00</w:t>
            </w:r>
          </w:p>
        </w:tc>
        <w:tc>
          <w:tcPr>
            <w:tcW w:w="0" w:type="auto"/>
            <w:shd w:val="clear" w:color="auto" w:fill="auto"/>
          </w:tcPr>
          <w:p w14:paraId="37274279" w14:textId="77777777" w:rsidR="008C5CFA" w:rsidRPr="001C4484" w:rsidRDefault="00E82A60" w:rsidP="00300A01">
            <w:pPr>
              <w:spacing w:before="0" w:after="0"/>
              <w:jc w:val="right"/>
              <w:rPr>
                <w:sz w:val="10"/>
                <w:szCs w:val="10"/>
              </w:rPr>
            </w:pPr>
            <w:r w:rsidRPr="001C4484">
              <w:rPr>
                <w:noProof/>
                <w:sz w:val="10"/>
                <w:szCs w:val="10"/>
              </w:rPr>
              <w:t>124,00</w:t>
            </w:r>
          </w:p>
        </w:tc>
        <w:tc>
          <w:tcPr>
            <w:tcW w:w="0" w:type="auto"/>
            <w:shd w:val="clear" w:color="auto" w:fill="auto"/>
          </w:tcPr>
          <w:p w14:paraId="782E0035" w14:textId="77777777" w:rsidR="008C5CFA" w:rsidRPr="001C4484" w:rsidRDefault="00E82A60" w:rsidP="00300A01">
            <w:pPr>
              <w:spacing w:before="0" w:after="0"/>
              <w:jc w:val="right"/>
              <w:rPr>
                <w:sz w:val="10"/>
                <w:szCs w:val="10"/>
                <w:lang w:val="fr-BE"/>
              </w:rPr>
            </w:pPr>
            <w:r w:rsidRPr="001C4484">
              <w:rPr>
                <w:noProof/>
                <w:sz w:val="10"/>
                <w:szCs w:val="10"/>
              </w:rPr>
              <w:t>191,00</w:t>
            </w:r>
          </w:p>
        </w:tc>
        <w:tc>
          <w:tcPr>
            <w:tcW w:w="0" w:type="auto"/>
          </w:tcPr>
          <w:p w14:paraId="17CAF2CF" w14:textId="77777777" w:rsidR="008C5CFA" w:rsidRPr="001C4484" w:rsidRDefault="00E82A60" w:rsidP="00300A01">
            <w:pPr>
              <w:spacing w:before="0" w:after="0"/>
              <w:jc w:val="right"/>
              <w:rPr>
                <w:sz w:val="10"/>
                <w:szCs w:val="10"/>
              </w:rPr>
            </w:pPr>
            <w:r>
              <w:rPr>
                <w:noProof/>
                <w:sz w:val="10"/>
                <w:szCs w:val="10"/>
              </w:rPr>
              <w:t>220,00</w:t>
            </w:r>
          </w:p>
        </w:tc>
        <w:tc>
          <w:tcPr>
            <w:tcW w:w="0" w:type="auto"/>
            <w:shd w:val="clear" w:color="auto" w:fill="auto"/>
          </w:tcPr>
          <w:p w14:paraId="5FD1A4EC" w14:textId="77777777" w:rsidR="008C5CFA" w:rsidRPr="001C4484" w:rsidRDefault="00E82A60" w:rsidP="00300A01">
            <w:pPr>
              <w:spacing w:before="0" w:after="0"/>
              <w:jc w:val="right"/>
              <w:rPr>
                <w:sz w:val="10"/>
                <w:szCs w:val="10"/>
              </w:rPr>
            </w:pPr>
            <w:r w:rsidRPr="001C4484">
              <w:rPr>
                <w:noProof/>
                <w:sz w:val="10"/>
                <w:szCs w:val="10"/>
              </w:rPr>
              <w:t>85,00</w:t>
            </w:r>
          </w:p>
        </w:tc>
        <w:tc>
          <w:tcPr>
            <w:tcW w:w="0" w:type="auto"/>
            <w:shd w:val="clear" w:color="auto" w:fill="auto"/>
          </w:tcPr>
          <w:p w14:paraId="08B0D4A5" w14:textId="77777777" w:rsidR="008C5CFA" w:rsidRPr="001C4484" w:rsidRDefault="00E82A60" w:rsidP="00300A01">
            <w:pPr>
              <w:spacing w:before="0" w:after="0"/>
              <w:jc w:val="right"/>
              <w:rPr>
                <w:sz w:val="10"/>
                <w:szCs w:val="10"/>
                <w:lang w:val="fr-BE"/>
              </w:rPr>
            </w:pPr>
            <w:r w:rsidRPr="001C4484">
              <w:rPr>
                <w:noProof/>
                <w:sz w:val="10"/>
                <w:szCs w:val="10"/>
              </w:rPr>
              <w:t>135,00</w:t>
            </w:r>
          </w:p>
        </w:tc>
      </w:tr>
      <w:tr w:rsidR="006B2EC1" w14:paraId="20926DAE" w14:textId="77777777" w:rsidTr="0047688D">
        <w:tc>
          <w:tcPr>
            <w:tcW w:w="0" w:type="auto"/>
            <w:shd w:val="clear" w:color="auto" w:fill="auto"/>
          </w:tcPr>
          <w:p w14:paraId="0FE4F711" w14:textId="77777777" w:rsidR="008C5CFA" w:rsidRPr="001C4484" w:rsidRDefault="00E82A60" w:rsidP="00300A01">
            <w:pPr>
              <w:spacing w:before="0" w:after="0"/>
              <w:rPr>
                <w:sz w:val="10"/>
                <w:szCs w:val="10"/>
                <w:lang w:val="fr-BE"/>
              </w:rPr>
            </w:pPr>
            <w:r w:rsidRPr="001C4484">
              <w:rPr>
                <w:noProof/>
                <w:sz w:val="10"/>
                <w:szCs w:val="10"/>
                <w:lang w:val="fr-BE"/>
              </w:rPr>
              <w:t>CO20</w:t>
            </w:r>
          </w:p>
        </w:tc>
        <w:tc>
          <w:tcPr>
            <w:tcW w:w="0" w:type="auto"/>
            <w:shd w:val="clear" w:color="auto" w:fill="auto"/>
          </w:tcPr>
          <w:p w14:paraId="5DE6F602" w14:textId="77777777" w:rsidR="008C5CFA" w:rsidRPr="001C4484" w:rsidRDefault="00E82A60" w:rsidP="00300A01">
            <w:pPr>
              <w:spacing w:before="0" w:after="0"/>
              <w:rPr>
                <w:sz w:val="10"/>
                <w:szCs w:val="10"/>
                <w:lang w:val="fr-BE"/>
              </w:rPr>
            </w:pPr>
            <w:r w:rsidRPr="001C4484">
              <w:rPr>
                <w:noProof/>
                <w:sz w:val="10"/>
                <w:szCs w:val="10"/>
                <w:lang w:val="fr-BE"/>
              </w:rPr>
              <w:t>liczba projektów zrealizowanych w pełni lub częściowo przez partnerów społecznych lub organizacje pozarządowe</w:t>
            </w:r>
          </w:p>
        </w:tc>
        <w:tc>
          <w:tcPr>
            <w:tcW w:w="0" w:type="auto"/>
            <w:shd w:val="clear" w:color="auto" w:fill="auto"/>
          </w:tcPr>
          <w:p w14:paraId="0078895D"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2B3A7813" w14:textId="77777777" w:rsidR="008C5CFA" w:rsidRPr="001C4484" w:rsidRDefault="00E82A60" w:rsidP="00300A01">
            <w:pPr>
              <w:spacing w:before="0" w:after="0"/>
              <w:jc w:val="right"/>
              <w:rPr>
                <w:sz w:val="10"/>
                <w:szCs w:val="10"/>
              </w:rPr>
            </w:pPr>
            <w:r>
              <w:rPr>
                <w:noProof/>
                <w:sz w:val="10"/>
                <w:szCs w:val="10"/>
              </w:rPr>
              <w:t>4,00</w:t>
            </w:r>
          </w:p>
        </w:tc>
        <w:tc>
          <w:tcPr>
            <w:tcW w:w="0" w:type="auto"/>
            <w:shd w:val="clear" w:color="auto" w:fill="auto"/>
          </w:tcPr>
          <w:p w14:paraId="7D1D28B9" w14:textId="77777777" w:rsidR="008C5CFA" w:rsidRPr="001C4484" w:rsidRDefault="008C5CFA" w:rsidP="00300A01">
            <w:pPr>
              <w:spacing w:before="0" w:after="0"/>
              <w:jc w:val="right"/>
              <w:rPr>
                <w:sz w:val="10"/>
                <w:szCs w:val="10"/>
              </w:rPr>
            </w:pPr>
          </w:p>
        </w:tc>
        <w:tc>
          <w:tcPr>
            <w:tcW w:w="0" w:type="auto"/>
            <w:shd w:val="clear" w:color="auto" w:fill="auto"/>
          </w:tcPr>
          <w:p w14:paraId="62B032E9" w14:textId="77777777" w:rsidR="008C5CFA" w:rsidRPr="001C4484" w:rsidRDefault="008C5CFA" w:rsidP="00300A01">
            <w:pPr>
              <w:spacing w:before="0" w:after="0"/>
              <w:jc w:val="right"/>
              <w:rPr>
                <w:sz w:val="10"/>
                <w:szCs w:val="10"/>
                <w:lang w:val="fr-BE"/>
              </w:rPr>
            </w:pPr>
          </w:p>
        </w:tc>
        <w:tc>
          <w:tcPr>
            <w:tcW w:w="0" w:type="auto"/>
          </w:tcPr>
          <w:p w14:paraId="1C9DF3E2" w14:textId="77777777" w:rsidR="008C5CFA" w:rsidRPr="001C4484" w:rsidRDefault="00E82A60" w:rsidP="00300A01">
            <w:pPr>
              <w:spacing w:before="0" w:after="0"/>
              <w:jc w:val="right"/>
              <w:rPr>
                <w:sz w:val="10"/>
                <w:szCs w:val="10"/>
              </w:rPr>
            </w:pPr>
            <w:r>
              <w:rPr>
                <w:noProof/>
                <w:sz w:val="10"/>
                <w:szCs w:val="10"/>
              </w:rPr>
              <w:t>4,00</w:t>
            </w:r>
          </w:p>
        </w:tc>
        <w:tc>
          <w:tcPr>
            <w:tcW w:w="0" w:type="auto"/>
            <w:shd w:val="clear" w:color="auto" w:fill="auto"/>
          </w:tcPr>
          <w:p w14:paraId="72A1D368" w14:textId="77777777" w:rsidR="008C5CFA" w:rsidRPr="001C4484" w:rsidRDefault="008C5CFA" w:rsidP="00300A01">
            <w:pPr>
              <w:spacing w:before="0" w:after="0"/>
              <w:jc w:val="right"/>
              <w:rPr>
                <w:sz w:val="10"/>
                <w:szCs w:val="10"/>
              </w:rPr>
            </w:pPr>
          </w:p>
        </w:tc>
        <w:tc>
          <w:tcPr>
            <w:tcW w:w="0" w:type="auto"/>
            <w:shd w:val="clear" w:color="auto" w:fill="auto"/>
          </w:tcPr>
          <w:p w14:paraId="4538205C" w14:textId="77777777" w:rsidR="008C5CFA" w:rsidRPr="001C4484" w:rsidRDefault="008C5CFA" w:rsidP="00300A01">
            <w:pPr>
              <w:spacing w:before="0" w:after="0"/>
              <w:jc w:val="right"/>
              <w:rPr>
                <w:sz w:val="10"/>
                <w:szCs w:val="10"/>
                <w:lang w:val="fr-BE"/>
              </w:rPr>
            </w:pPr>
          </w:p>
        </w:tc>
        <w:tc>
          <w:tcPr>
            <w:tcW w:w="0" w:type="auto"/>
          </w:tcPr>
          <w:p w14:paraId="153E52B3" w14:textId="77777777" w:rsidR="008C5CFA" w:rsidRPr="001C4484" w:rsidRDefault="00E82A60" w:rsidP="00300A01">
            <w:pPr>
              <w:spacing w:before="0" w:after="0"/>
              <w:jc w:val="right"/>
              <w:rPr>
                <w:sz w:val="10"/>
                <w:szCs w:val="10"/>
              </w:rPr>
            </w:pPr>
            <w:r>
              <w:rPr>
                <w:noProof/>
                <w:sz w:val="10"/>
                <w:szCs w:val="10"/>
              </w:rPr>
              <w:t>2,00</w:t>
            </w:r>
          </w:p>
        </w:tc>
        <w:tc>
          <w:tcPr>
            <w:tcW w:w="0" w:type="auto"/>
            <w:shd w:val="clear" w:color="auto" w:fill="auto"/>
          </w:tcPr>
          <w:p w14:paraId="12F75860" w14:textId="77777777" w:rsidR="008C5CFA" w:rsidRPr="001C4484" w:rsidRDefault="008C5CFA" w:rsidP="00300A01">
            <w:pPr>
              <w:spacing w:before="0" w:after="0"/>
              <w:jc w:val="right"/>
              <w:rPr>
                <w:sz w:val="10"/>
                <w:szCs w:val="10"/>
              </w:rPr>
            </w:pPr>
          </w:p>
        </w:tc>
        <w:tc>
          <w:tcPr>
            <w:tcW w:w="0" w:type="auto"/>
            <w:shd w:val="clear" w:color="auto" w:fill="auto"/>
          </w:tcPr>
          <w:p w14:paraId="360608F5" w14:textId="77777777" w:rsidR="008C5CFA" w:rsidRPr="001C4484" w:rsidRDefault="008C5CFA" w:rsidP="00300A01">
            <w:pPr>
              <w:spacing w:before="0" w:after="0"/>
              <w:jc w:val="right"/>
              <w:rPr>
                <w:sz w:val="10"/>
                <w:szCs w:val="10"/>
                <w:lang w:val="fr-BE"/>
              </w:rPr>
            </w:pPr>
          </w:p>
        </w:tc>
      </w:tr>
      <w:tr w:rsidR="006B2EC1" w14:paraId="757C5C18" w14:textId="77777777" w:rsidTr="0047688D">
        <w:tc>
          <w:tcPr>
            <w:tcW w:w="0" w:type="auto"/>
            <w:shd w:val="clear" w:color="auto" w:fill="auto"/>
          </w:tcPr>
          <w:p w14:paraId="2C867B69" w14:textId="77777777" w:rsidR="008C5CFA" w:rsidRPr="001C4484" w:rsidRDefault="00E82A60" w:rsidP="00300A01">
            <w:pPr>
              <w:spacing w:before="0" w:after="0"/>
              <w:rPr>
                <w:sz w:val="10"/>
                <w:szCs w:val="10"/>
                <w:lang w:val="fr-BE"/>
              </w:rPr>
            </w:pPr>
            <w:r w:rsidRPr="001C4484">
              <w:rPr>
                <w:noProof/>
                <w:sz w:val="10"/>
                <w:szCs w:val="10"/>
                <w:lang w:val="fr-BE"/>
              </w:rPr>
              <w:t>CO21</w:t>
            </w:r>
          </w:p>
        </w:tc>
        <w:tc>
          <w:tcPr>
            <w:tcW w:w="0" w:type="auto"/>
            <w:shd w:val="clear" w:color="auto" w:fill="auto"/>
          </w:tcPr>
          <w:p w14:paraId="3E3944C2" w14:textId="77777777" w:rsidR="008C5CFA" w:rsidRPr="001C4484" w:rsidRDefault="00E82A60" w:rsidP="00300A01">
            <w:pPr>
              <w:spacing w:before="0" w:after="0"/>
              <w:rPr>
                <w:sz w:val="10"/>
                <w:szCs w:val="10"/>
                <w:lang w:val="fr-BE"/>
              </w:rPr>
            </w:pPr>
            <w:r w:rsidRPr="001C4484">
              <w:rPr>
                <w:noProof/>
                <w:sz w:val="10"/>
                <w:szCs w:val="10"/>
                <w:lang w:val="fr-BE"/>
              </w:rPr>
              <w:t>liczba projektów ukierunkowanych na trwały udział kobiet w zatrudnieniu i rozwój ich kariery zawodowej</w:t>
            </w:r>
          </w:p>
        </w:tc>
        <w:tc>
          <w:tcPr>
            <w:tcW w:w="0" w:type="auto"/>
            <w:shd w:val="clear" w:color="auto" w:fill="auto"/>
          </w:tcPr>
          <w:p w14:paraId="360FA99C"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11EA8510" w14:textId="77777777" w:rsidR="008C5CFA" w:rsidRPr="001C4484" w:rsidRDefault="00E82A60" w:rsidP="00300A01">
            <w:pPr>
              <w:spacing w:before="0" w:after="0"/>
              <w:jc w:val="right"/>
              <w:rPr>
                <w:sz w:val="10"/>
                <w:szCs w:val="10"/>
              </w:rPr>
            </w:pPr>
            <w:r>
              <w:rPr>
                <w:noProof/>
                <w:sz w:val="10"/>
                <w:szCs w:val="10"/>
              </w:rPr>
              <w:t>2,00</w:t>
            </w:r>
          </w:p>
        </w:tc>
        <w:tc>
          <w:tcPr>
            <w:tcW w:w="0" w:type="auto"/>
            <w:shd w:val="clear" w:color="auto" w:fill="auto"/>
          </w:tcPr>
          <w:p w14:paraId="6CFF83E9" w14:textId="77777777" w:rsidR="008C5CFA" w:rsidRPr="001C4484" w:rsidRDefault="008C5CFA" w:rsidP="00300A01">
            <w:pPr>
              <w:spacing w:before="0" w:after="0"/>
              <w:jc w:val="right"/>
              <w:rPr>
                <w:sz w:val="10"/>
                <w:szCs w:val="10"/>
              </w:rPr>
            </w:pPr>
          </w:p>
        </w:tc>
        <w:tc>
          <w:tcPr>
            <w:tcW w:w="0" w:type="auto"/>
            <w:shd w:val="clear" w:color="auto" w:fill="auto"/>
          </w:tcPr>
          <w:p w14:paraId="21747E54" w14:textId="77777777" w:rsidR="008C5CFA" w:rsidRPr="001C4484" w:rsidRDefault="008C5CFA" w:rsidP="00300A01">
            <w:pPr>
              <w:spacing w:before="0" w:after="0"/>
              <w:jc w:val="right"/>
              <w:rPr>
                <w:sz w:val="10"/>
                <w:szCs w:val="10"/>
                <w:lang w:val="fr-BE"/>
              </w:rPr>
            </w:pPr>
          </w:p>
        </w:tc>
        <w:tc>
          <w:tcPr>
            <w:tcW w:w="0" w:type="auto"/>
          </w:tcPr>
          <w:p w14:paraId="0D1F1996"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7D254463" w14:textId="77777777" w:rsidR="008C5CFA" w:rsidRPr="001C4484" w:rsidRDefault="008C5CFA" w:rsidP="00300A01">
            <w:pPr>
              <w:spacing w:before="0" w:after="0"/>
              <w:jc w:val="right"/>
              <w:rPr>
                <w:sz w:val="10"/>
                <w:szCs w:val="10"/>
              </w:rPr>
            </w:pPr>
          </w:p>
        </w:tc>
        <w:tc>
          <w:tcPr>
            <w:tcW w:w="0" w:type="auto"/>
            <w:shd w:val="clear" w:color="auto" w:fill="auto"/>
          </w:tcPr>
          <w:p w14:paraId="19BD9350" w14:textId="77777777" w:rsidR="008C5CFA" w:rsidRPr="001C4484" w:rsidRDefault="008C5CFA" w:rsidP="00300A01">
            <w:pPr>
              <w:spacing w:before="0" w:after="0"/>
              <w:jc w:val="right"/>
              <w:rPr>
                <w:sz w:val="10"/>
                <w:szCs w:val="10"/>
                <w:lang w:val="fr-BE"/>
              </w:rPr>
            </w:pPr>
          </w:p>
        </w:tc>
        <w:tc>
          <w:tcPr>
            <w:tcW w:w="0" w:type="auto"/>
          </w:tcPr>
          <w:p w14:paraId="18C91598"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754E1E2A" w14:textId="77777777" w:rsidR="008C5CFA" w:rsidRPr="001C4484" w:rsidRDefault="008C5CFA" w:rsidP="00300A01">
            <w:pPr>
              <w:spacing w:before="0" w:after="0"/>
              <w:jc w:val="right"/>
              <w:rPr>
                <w:sz w:val="10"/>
                <w:szCs w:val="10"/>
              </w:rPr>
            </w:pPr>
          </w:p>
        </w:tc>
        <w:tc>
          <w:tcPr>
            <w:tcW w:w="0" w:type="auto"/>
            <w:shd w:val="clear" w:color="auto" w:fill="auto"/>
          </w:tcPr>
          <w:p w14:paraId="50E82911" w14:textId="77777777" w:rsidR="008C5CFA" w:rsidRPr="001C4484" w:rsidRDefault="008C5CFA" w:rsidP="00300A01">
            <w:pPr>
              <w:spacing w:before="0" w:after="0"/>
              <w:jc w:val="right"/>
              <w:rPr>
                <w:sz w:val="10"/>
                <w:szCs w:val="10"/>
                <w:lang w:val="fr-BE"/>
              </w:rPr>
            </w:pPr>
          </w:p>
        </w:tc>
      </w:tr>
      <w:tr w:rsidR="006B2EC1" w14:paraId="679EE2A7" w14:textId="77777777" w:rsidTr="0047688D">
        <w:tc>
          <w:tcPr>
            <w:tcW w:w="0" w:type="auto"/>
            <w:shd w:val="clear" w:color="auto" w:fill="auto"/>
          </w:tcPr>
          <w:p w14:paraId="3EE60CA4" w14:textId="77777777" w:rsidR="008C5CFA" w:rsidRPr="001C4484" w:rsidRDefault="00E82A60" w:rsidP="00300A01">
            <w:pPr>
              <w:spacing w:before="0" w:after="0"/>
              <w:rPr>
                <w:sz w:val="10"/>
                <w:szCs w:val="10"/>
                <w:lang w:val="fr-BE"/>
              </w:rPr>
            </w:pPr>
            <w:r w:rsidRPr="001C4484">
              <w:rPr>
                <w:noProof/>
                <w:sz w:val="10"/>
                <w:szCs w:val="10"/>
                <w:lang w:val="fr-BE"/>
              </w:rPr>
              <w:t>CO22</w:t>
            </w:r>
          </w:p>
        </w:tc>
        <w:tc>
          <w:tcPr>
            <w:tcW w:w="0" w:type="auto"/>
            <w:shd w:val="clear" w:color="auto" w:fill="auto"/>
          </w:tcPr>
          <w:p w14:paraId="1A7FB63D" w14:textId="77777777" w:rsidR="008C5CFA" w:rsidRPr="001C4484" w:rsidRDefault="00E82A60" w:rsidP="00300A01">
            <w:pPr>
              <w:spacing w:before="0" w:after="0"/>
              <w:rPr>
                <w:sz w:val="10"/>
                <w:szCs w:val="10"/>
                <w:lang w:val="fr-BE"/>
              </w:rPr>
            </w:pPr>
            <w:r w:rsidRPr="001C4484">
              <w:rPr>
                <w:noProof/>
                <w:sz w:val="10"/>
                <w:szCs w:val="10"/>
                <w:lang w:val="fr-BE"/>
              </w:rPr>
              <w:t>liczba projektów obejmujących administrację publiczną lub służby publiczne na szczeblu krajowym, regionalnym lub lokalnym</w:t>
            </w:r>
          </w:p>
        </w:tc>
        <w:tc>
          <w:tcPr>
            <w:tcW w:w="0" w:type="auto"/>
            <w:shd w:val="clear" w:color="auto" w:fill="auto"/>
          </w:tcPr>
          <w:p w14:paraId="307F00A7"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1348CCE1"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6AE88EC8" w14:textId="77777777" w:rsidR="008C5CFA" w:rsidRPr="001C4484" w:rsidRDefault="008C5CFA" w:rsidP="00300A01">
            <w:pPr>
              <w:spacing w:before="0" w:after="0"/>
              <w:jc w:val="right"/>
              <w:rPr>
                <w:sz w:val="10"/>
                <w:szCs w:val="10"/>
              </w:rPr>
            </w:pPr>
          </w:p>
        </w:tc>
        <w:tc>
          <w:tcPr>
            <w:tcW w:w="0" w:type="auto"/>
            <w:shd w:val="clear" w:color="auto" w:fill="auto"/>
          </w:tcPr>
          <w:p w14:paraId="76BA6D96" w14:textId="77777777" w:rsidR="008C5CFA" w:rsidRPr="001C4484" w:rsidRDefault="008C5CFA" w:rsidP="00300A01">
            <w:pPr>
              <w:spacing w:before="0" w:after="0"/>
              <w:jc w:val="right"/>
              <w:rPr>
                <w:sz w:val="10"/>
                <w:szCs w:val="10"/>
                <w:lang w:val="fr-BE"/>
              </w:rPr>
            </w:pPr>
          </w:p>
        </w:tc>
        <w:tc>
          <w:tcPr>
            <w:tcW w:w="0" w:type="auto"/>
          </w:tcPr>
          <w:p w14:paraId="690B1916" w14:textId="77777777" w:rsidR="008C5CFA" w:rsidRPr="001C4484" w:rsidRDefault="00E82A60" w:rsidP="00300A01">
            <w:pPr>
              <w:spacing w:before="0" w:after="0"/>
              <w:jc w:val="right"/>
              <w:rPr>
                <w:sz w:val="10"/>
                <w:szCs w:val="10"/>
              </w:rPr>
            </w:pPr>
            <w:r>
              <w:rPr>
                <w:noProof/>
                <w:sz w:val="10"/>
                <w:szCs w:val="10"/>
              </w:rPr>
              <w:t>2,00</w:t>
            </w:r>
          </w:p>
        </w:tc>
        <w:tc>
          <w:tcPr>
            <w:tcW w:w="0" w:type="auto"/>
            <w:shd w:val="clear" w:color="auto" w:fill="auto"/>
          </w:tcPr>
          <w:p w14:paraId="69CE5C19" w14:textId="77777777" w:rsidR="008C5CFA" w:rsidRPr="001C4484" w:rsidRDefault="008C5CFA" w:rsidP="00300A01">
            <w:pPr>
              <w:spacing w:before="0" w:after="0"/>
              <w:jc w:val="right"/>
              <w:rPr>
                <w:sz w:val="10"/>
                <w:szCs w:val="10"/>
              </w:rPr>
            </w:pPr>
          </w:p>
        </w:tc>
        <w:tc>
          <w:tcPr>
            <w:tcW w:w="0" w:type="auto"/>
            <w:shd w:val="clear" w:color="auto" w:fill="auto"/>
          </w:tcPr>
          <w:p w14:paraId="2CB015A2" w14:textId="77777777" w:rsidR="008C5CFA" w:rsidRPr="001C4484" w:rsidRDefault="008C5CFA" w:rsidP="00300A01">
            <w:pPr>
              <w:spacing w:before="0" w:after="0"/>
              <w:jc w:val="right"/>
              <w:rPr>
                <w:sz w:val="10"/>
                <w:szCs w:val="10"/>
                <w:lang w:val="fr-BE"/>
              </w:rPr>
            </w:pPr>
          </w:p>
        </w:tc>
        <w:tc>
          <w:tcPr>
            <w:tcW w:w="0" w:type="auto"/>
          </w:tcPr>
          <w:p w14:paraId="7A3AA690" w14:textId="77777777" w:rsidR="008C5CFA" w:rsidRPr="001C4484" w:rsidRDefault="00E82A60" w:rsidP="00300A01">
            <w:pPr>
              <w:spacing w:before="0" w:after="0"/>
              <w:jc w:val="right"/>
              <w:rPr>
                <w:sz w:val="10"/>
                <w:szCs w:val="10"/>
              </w:rPr>
            </w:pPr>
            <w:r>
              <w:rPr>
                <w:noProof/>
                <w:sz w:val="10"/>
                <w:szCs w:val="10"/>
              </w:rPr>
              <w:t>1,00</w:t>
            </w:r>
          </w:p>
        </w:tc>
        <w:tc>
          <w:tcPr>
            <w:tcW w:w="0" w:type="auto"/>
            <w:shd w:val="clear" w:color="auto" w:fill="auto"/>
          </w:tcPr>
          <w:p w14:paraId="3714E3CA" w14:textId="77777777" w:rsidR="008C5CFA" w:rsidRPr="001C4484" w:rsidRDefault="008C5CFA" w:rsidP="00300A01">
            <w:pPr>
              <w:spacing w:before="0" w:after="0"/>
              <w:jc w:val="right"/>
              <w:rPr>
                <w:sz w:val="10"/>
                <w:szCs w:val="10"/>
              </w:rPr>
            </w:pPr>
          </w:p>
        </w:tc>
        <w:tc>
          <w:tcPr>
            <w:tcW w:w="0" w:type="auto"/>
            <w:shd w:val="clear" w:color="auto" w:fill="auto"/>
          </w:tcPr>
          <w:p w14:paraId="3773916D" w14:textId="77777777" w:rsidR="008C5CFA" w:rsidRPr="001C4484" w:rsidRDefault="008C5CFA" w:rsidP="00300A01">
            <w:pPr>
              <w:spacing w:before="0" w:after="0"/>
              <w:jc w:val="right"/>
              <w:rPr>
                <w:sz w:val="10"/>
                <w:szCs w:val="10"/>
                <w:lang w:val="fr-BE"/>
              </w:rPr>
            </w:pPr>
          </w:p>
        </w:tc>
      </w:tr>
      <w:tr w:rsidR="006B2EC1" w14:paraId="31B31263" w14:textId="77777777" w:rsidTr="0047688D">
        <w:tc>
          <w:tcPr>
            <w:tcW w:w="0" w:type="auto"/>
            <w:shd w:val="clear" w:color="auto" w:fill="auto"/>
          </w:tcPr>
          <w:p w14:paraId="556A1BA0" w14:textId="77777777" w:rsidR="008C5CFA" w:rsidRPr="001C4484" w:rsidRDefault="00E82A60" w:rsidP="00300A01">
            <w:pPr>
              <w:spacing w:before="0" w:after="0"/>
              <w:rPr>
                <w:sz w:val="10"/>
                <w:szCs w:val="10"/>
                <w:lang w:val="fr-BE"/>
              </w:rPr>
            </w:pPr>
            <w:r w:rsidRPr="001C4484">
              <w:rPr>
                <w:noProof/>
                <w:sz w:val="10"/>
                <w:szCs w:val="10"/>
                <w:lang w:val="fr-BE"/>
              </w:rPr>
              <w:t>CO23</w:t>
            </w:r>
          </w:p>
        </w:tc>
        <w:tc>
          <w:tcPr>
            <w:tcW w:w="0" w:type="auto"/>
            <w:shd w:val="clear" w:color="auto" w:fill="auto"/>
          </w:tcPr>
          <w:p w14:paraId="62B2A5BC" w14:textId="77777777" w:rsidR="008C5CFA" w:rsidRPr="001C4484" w:rsidRDefault="00E82A60" w:rsidP="00300A01">
            <w:pPr>
              <w:spacing w:before="0" w:after="0"/>
              <w:rPr>
                <w:sz w:val="10"/>
                <w:szCs w:val="10"/>
                <w:lang w:val="fr-BE"/>
              </w:rPr>
            </w:pPr>
            <w:r w:rsidRPr="001C4484">
              <w:rPr>
                <w:noProof/>
                <w:sz w:val="10"/>
                <w:szCs w:val="10"/>
                <w:lang w:val="fr-BE"/>
              </w:rPr>
              <w:t>liczba objętych wsparciem mikro-, małych i średnich przedsiębiorstw (w tym przedsiębiorstw spółdzielczych i przedsiębiorstw gospodarki społecznej)</w:t>
            </w:r>
          </w:p>
        </w:tc>
        <w:tc>
          <w:tcPr>
            <w:tcW w:w="0" w:type="auto"/>
            <w:shd w:val="clear" w:color="auto" w:fill="auto"/>
          </w:tcPr>
          <w:p w14:paraId="7A8D0A9D"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0FDD29C4"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3297FA14" w14:textId="77777777" w:rsidR="008C5CFA" w:rsidRPr="001C4484" w:rsidRDefault="008C5CFA" w:rsidP="00300A01">
            <w:pPr>
              <w:spacing w:before="0" w:after="0"/>
              <w:jc w:val="right"/>
              <w:rPr>
                <w:sz w:val="10"/>
                <w:szCs w:val="10"/>
              </w:rPr>
            </w:pPr>
          </w:p>
        </w:tc>
        <w:tc>
          <w:tcPr>
            <w:tcW w:w="0" w:type="auto"/>
            <w:shd w:val="clear" w:color="auto" w:fill="auto"/>
          </w:tcPr>
          <w:p w14:paraId="0B619BBF" w14:textId="77777777" w:rsidR="008C5CFA" w:rsidRPr="001C4484" w:rsidRDefault="008C5CFA" w:rsidP="00300A01">
            <w:pPr>
              <w:spacing w:before="0" w:after="0"/>
              <w:jc w:val="right"/>
              <w:rPr>
                <w:sz w:val="10"/>
                <w:szCs w:val="10"/>
                <w:lang w:val="fr-BE"/>
              </w:rPr>
            </w:pPr>
          </w:p>
        </w:tc>
        <w:tc>
          <w:tcPr>
            <w:tcW w:w="0" w:type="auto"/>
          </w:tcPr>
          <w:p w14:paraId="3AA0B6FE"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4299087D" w14:textId="77777777" w:rsidR="008C5CFA" w:rsidRPr="001C4484" w:rsidRDefault="008C5CFA" w:rsidP="00300A01">
            <w:pPr>
              <w:spacing w:before="0" w:after="0"/>
              <w:jc w:val="right"/>
              <w:rPr>
                <w:sz w:val="10"/>
                <w:szCs w:val="10"/>
              </w:rPr>
            </w:pPr>
          </w:p>
        </w:tc>
        <w:tc>
          <w:tcPr>
            <w:tcW w:w="0" w:type="auto"/>
            <w:shd w:val="clear" w:color="auto" w:fill="auto"/>
          </w:tcPr>
          <w:p w14:paraId="03E77190" w14:textId="77777777" w:rsidR="008C5CFA" w:rsidRPr="001C4484" w:rsidRDefault="008C5CFA" w:rsidP="00300A01">
            <w:pPr>
              <w:spacing w:before="0" w:after="0"/>
              <w:jc w:val="right"/>
              <w:rPr>
                <w:sz w:val="10"/>
                <w:szCs w:val="10"/>
                <w:lang w:val="fr-BE"/>
              </w:rPr>
            </w:pPr>
          </w:p>
        </w:tc>
        <w:tc>
          <w:tcPr>
            <w:tcW w:w="0" w:type="auto"/>
          </w:tcPr>
          <w:p w14:paraId="60FC6618"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4DE59D2E" w14:textId="77777777" w:rsidR="008C5CFA" w:rsidRPr="001C4484" w:rsidRDefault="008C5CFA" w:rsidP="00300A01">
            <w:pPr>
              <w:spacing w:before="0" w:after="0"/>
              <w:jc w:val="right"/>
              <w:rPr>
                <w:sz w:val="10"/>
                <w:szCs w:val="10"/>
              </w:rPr>
            </w:pPr>
          </w:p>
        </w:tc>
        <w:tc>
          <w:tcPr>
            <w:tcW w:w="0" w:type="auto"/>
            <w:shd w:val="clear" w:color="auto" w:fill="auto"/>
          </w:tcPr>
          <w:p w14:paraId="7CCBCE37" w14:textId="77777777" w:rsidR="008C5CFA" w:rsidRPr="001C4484" w:rsidRDefault="008C5CFA" w:rsidP="00300A01">
            <w:pPr>
              <w:spacing w:before="0" w:after="0"/>
              <w:jc w:val="right"/>
              <w:rPr>
                <w:sz w:val="10"/>
                <w:szCs w:val="10"/>
                <w:lang w:val="fr-BE"/>
              </w:rPr>
            </w:pPr>
          </w:p>
        </w:tc>
      </w:tr>
      <w:tr w:rsidR="006B2EC1" w14:paraId="29D5DB1F" w14:textId="77777777" w:rsidTr="0047688D">
        <w:tc>
          <w:tcPr>
            <w:tcW w:w="0" w:type="auto"/>
            <w:shd w:val="clear" w:color="auto" w:fill="auto"/>
          </w:tcPr>
          <w:p w14:paraId="3DD523ED" w14:textId="77777777" w:rsidR="008C5CFA" w:rsidRPr="001C4484" w:rsidRDefault="008C5CFA" w:rsidP="00300A01">
            <w:pPr>
              <w:spacing w:before="0" w:after="0"/>
              <w:rPr>
                <w:sz w:val="10"/>
                <w:szCs w:val="10"/>
                <w:lang w:val="fr-BE"/>
              </w:rPr>
            </w:pPr>
          </w:p>
        </w:tc>
        <w:tc>
          <w:tcPr>
            <w:tcW w:w="0" w:type="auto"/>
            <w:shd w:val="clear" w:color="auto" w:fill="auto"/>
          </w:tcPr>
          <w:p w14:paraId="34D00B46" w14:textId="77777777" w:rsidR="008C5CFA" w:rsidRPr="001C4484" w:rsidRDefault="00E82A60" w:rsidP="00300A01">
            <w:pPr>
              <w:spacing w:before="0" w:after="0"/>
              <w:rPr>
                <w:sz w:val="10"/>
                <w:szCs w:val="10"/>
                <w:lang w:val="fr-BE"/>
              </w:rPr>
            </w:pPr>
            <w:r w:rsidRPr="001C4484">
              <w:rPr>
                <w:noProof/>
                <w:sz w:val="10"/>
                <w:szCs w:val="10"/>
                <w:lang w:val="fr-BE"/>
              </w:rPr>
              <w:t>Całkowita łączna liczba uczestników</w:t>
            </w:r>
          </w:p>
        </w:tc>
        <w:tc>
          <w:tcPr>
            <w:tcW w:w="0" w:type="auto"/>
            <w:shd w:val="clear" w:color="auto" w:fill="auto"/>
          </w:tcPr>
          <w:p w14:paraId="2C4D3D8B" w14:textId="77777777" w:rsidR="008C5CFA" w:rsidRPr="001C4484" w:rsidRDefault="008C5CFA" w:rsidP="00300A01">
            <w:pPr>
              <w:spacing w:before="0" w:after="0"/>
              <w:rPr>
                <w:sz w:val="10"/>
                <w:szCs w:val="10"/>
                <w:lang w:val="fr-BE"/>
              </w:rPr>
            </w:pPr>
          </w:p>
        </w:tc>
        <w:tc>
          <w:tcPr>
            <w:tcW w:w="0" w:type="auto"/>
          </w:tcPr>
          <w:p w14:paraId="2A3ED16B" w14:textId="77777777" w:rsidR="008C5CFA" w:rsidRPr="001C4484" w:rsidRDefault="00E82A60" w:rsidP="00300A01">
            <w:pPr>
              <w:spacing w:before="0" w:after="0"/>
              <w:jc w:val="right"/>
              <w:rPr>
                <w:sz w:val="10"/>
                <w:szCs w:val="10"/>
              </w:rPr>
            </w:pPr>
            <w:r>
              <w:rPr>
                <w:noProof/>
                <w:sz w:val="10"/>
                <w:szCs w:val="10"/>
              </w:rPr>
              <w:t>1 413,00</w:t>
            </w:r>
          </w:p>
        </w:tc>
        <w:tc>
          <w:tcPr>
            <w:tcW w:w="0" w:type="auto"/>
            <w:shd w:val="clear" w:color="auto" w:fill="auto"/>
          </w:tcPr>
          <w:p w14:paraId="46F4BA21" w14:textId="77777777" w:rsidR="008C5CFA" w:rsidRPr="001C4484" w:rsidRDefault="008C5CFA" w:rsidP="00300A01">
            <w:pPr>
              <w:spacing w:before="0" w:after="0"/>
              <w:jc w:val="right"/>
              <w:rPr>
                <w:sz w:val="10"/>
                <w:szCs w:val="10"/>
              </w:rPr>
            </w:pPr>
          </w:p>
        </w:tc>
        <w:tc>
          <w:tcPr>
            <w:tcW w:w="0" w:type="auto"/>
            <w:shd w:val="clear" w:color="auto" w:fill="auto"/>
          </w:tcPr>
          <w:p w14:paraId="35957009" w14:textId="77777777" w:rsidR="008C5CFA" w:rsidRPr="001C4484" w:rsidRDefault="008C5CFA" w:rsidP="00300A01">
            <w:pPr>
              <w:spacing w:before="0" w:after="0"/>
              <w:jc w:val="right"/>
              <w:rPr>
                <w:sz w:val="10"/>
                <w:szCs w:val="10"/>
                <w:lang w:val="fr-BE"/>
              </w:rPr>
            </w:pPr>
          </w:p>
        </w:tc>
        <w:tc>
          <w:tcPr>
            <w:tcW w:w="0" w:type="auto"/>
          </w:tcPr>
          <w:p w14:paraId="40F7E043" w14:textId="77777777" w:rsidR="008C5CFA" w:rsidRPr="001C4484" w:rsidRDefault="00E82A60" w:rsidP="00300A01">
            <w:pPr>
              <w:spacing w:before="0" w:after="0"/>
              <w:jc w:val="right"/>
              <w:rPr>
                <w:sz w:val="10"/>
                <w:szCs w:val="10"/>
              </w:rPr>
            </w:pPr>
            <w:r>
              <w:rPr>
                <w:noProof/>
                <w:sz w:val="10"/>
                <w:szCs w:val="10"/>
              </w:rPr>
              <w:t>640,00</w:t>
            </w:r>
          </w:p>
        </w:tc>
        <w:tc>
          <w:tcPr>
            <w:tcW w:w="0" w:type="auto"/>
            <w:shd w:val="clear" w:color="auto" w:fill="auto"/>
          </w:tcPr>
          <w:p w14:paraId="00633FC3" w14:textId="77777777" w:rsidR="008C5CFA" w:rsidRPr="001C4484" w:rsidRDefault="008C5CFA" w:rsidP="00300A01">
            <w:pPr>
              <w:spacing w:before="0" w:after="0"/>
              <w:jc w:val="right"/>
              <w:rPr>
                <w:sz w:val="10"/>
                <w:szCs w:val="10"/>
              </w:rPr>
            </w:pPr>
          </w:p>
        </w:tc>
        <w:tc>
          <w:tcPr>
            <w:tcW w:w="0" w:type="auto"/>
            <w:shd w:val="clear" w:color="auto" w:fill="auto"/>
          </w:tcPr>
          <w:p w14:paraId="7A91D202" w14:textId="77777777" w:rsidR="008C5CFA" w:rsidRPr="001C4484" w:rsidRDefault="008C5CFA" w:rsidP="00300A01">
            <w:pPr>
              <w:spacing w:before="0" w:after="0"/>
              <w:jc w:val="right"/>
              <w:rPr>
                <w:sz w:val="10"/>
                <w:szCs w:val="10"/>
                <w:lang w:val="fr-BE"/>
              </w:rPr>
            </w:pPr>
          </w:p>
        </w:tc>
        <w:tc>
          <w:tcPr>
            <w:tcW w:w="0" w:type="auto"/>
          </w:tcPr>
          <w:p w14:paraId="4732A371" w14:textId="77777777" w:rsidR="008C5CFA" w:rsidRPr="001C4484" w:rsidRDefault="00E82A60" w:rsidP="00300A01">
            <w:pPr>
              <w:spacing w:before="0" w:after="0"/>
              <w:jc w:val="right"/>
              <w:rPr>
                <w:sz w:val="10"/>
                <w:szCs w:val="10"/>
              </w:rPr>
            </w:pPr>
            <w:r>
              <w:rPr>
                <w:noProof/>
                <w:sz w:val="10"/>
                <w:szCs w:val="10"/>
              </w:rPr>
              <w:t>291,00</w:t>
            </w:r>
          </w:p>
        </w:tc>
        <w:tc>
          <w:tcPr>
            <w:tcW w:w="0" w:type="auto"/>
            <w:shd w:val="clear" w:color="auto" w:fill="auto"/>
          </w:tcPr>
          <w:p w14:paraId="7CB512EB" w14:textId="77777777" w:rsidR="008C5CFA" w:rsidRPr="001C4484" w:rsidRDefault="008C5CFA" w:rsidP="00300A01">
            <w:pPr>
              <w:spacing w:before="0" w:after="0"/>
              <w:jc w:val="right"/>
              <w:rPr>
                <w:sz w:val="10"/>
                <w:szCs w:val="10"/>
              </w:rPr>
            </w:pPr>
          </w:p>
        </w:tc>
        <w:tc>
          <w:tcPr>
            <w:tcW w:w="0" w:type="auto"/>
            <w:shd w:val="clear" w:color="auto" w:fill="auto"/>
          </w:tcPr>
          <w:p w14:paraId="49A3BEA7" w14:textId="77777777" w:rsidR="008C5CFA" w:rsidRPr="001C4484" w:rsidRDefault="008C5CFA" w:rsidP="00300A01">
            <w:pPr>
              <w:spacing w:before="0" w:after="0"/>
              <w:jc w:val="right"/>
              <w:rPr>
                <w:sz w:val="10"/>
                <w:szCs w:val="10"/>
                <w:lang w:val="fr-BE"/>
              </w:rPr>
            </w:pPr>
          </w:p>
        </w:tc>
      </w:tr>
    </w:tbl>
    <w:p w14:paraId="0C43EE8F"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514"/>
        <w:gridCol w:w="8970"/>
        <w:gridCol w:w="1534"/>
        <w:gridCol w:w="638"/>
        <w:gridCol w:w="807"/>
        <w:gridCol w:w="638"/>
        <w:gridCol w:w="638"/>
        <w:gridCol w:w="807"/>
        <w:gridCol w:w="638"/>
      </w:tblGrid>
      <w:tr w:rsidR="006B2EC1" w14:paraId="4C4F87C2" w14:textId="77777777" w:rsidTr="0047688D">
        <w:tc>
          <w:tcPr>
            <w:tcW w:w="0" w:type="auto"/>
            <w:shd w:val="clear" w:color="auto" w:fill="auto"/>
          </w:tcPr>
          <w:p w14:paraId="2523A391" w14:textId="77777777" w:rsidR="008C5CFA" w:rsidRPr="001C4484" w:rsidRDefault="00E82A60" w:rsidP="00300A01">
            <w:pPr>
              <w:spacing w:before="0" w:after="0"/>
              <w:rPr>
                <w:sz w:val="10"/>
                <w:szCs w:val="10"/>
              </w:rPr>
            </w:pPr>
            <w:r w:rsidRPr="001C4484">
              <w:rPr>
                <w:b/>
                <w:noProof/>
                <w:sz w:val="12"/>
                <w:szCs w:val="12"/>
                <w:lang w:val="fr-BE"/>
              </w:rPr>
              <w:t>ID</w:t>
            </w:r>
          </w:p>
        </w:tc>
        <w:tc>
          <w:tcPr>
            <w:tcW w:w="0" w:type="auto"/>
            <w:shd w:val="clear" w:color="auto" w:fill="auto"/>
          </w:tcPr>
          <w:p w14:paraId="6346AD51" w14:textId="77777777" w:rsidR="008C5CFA" w:rsidRPr="001C4484" w:rsidRDefault="00E82A60" w:rsidP="00300A01">
            <w:pPr>
              <w:spacing w:before="0" w:after="0"/>
              <w:rPr>
                <w:sz w:val="10"/>
                <w:szCs w:val="10"/>
              </w:rPr>
            </w:pPr>
            <w:r w:rsidRPr="001C4484">
              <w:rPr>
                <w:b/>
                <w:noProof/>
                <w:sz w:val="12"/>
                <w:szCs w:val="12"/>
                <w:lang w:val="fr-BE"/>
              </w:rPr>
              <w:t>Wskaźnik</w:t>
            </w:r>
          </w:p>
        </w:tc>
        <w:tc>
          <w:tcPr>
            <w:tcW w:w="0" w:type="auto"/>
            <w:shd w:val="clear" w:color="auto" w:fill="auto"/>
          </w:tcPr>
          <w:p w14:paraId="2973ECBF" w14:textId="77777777" w:rsidR="008C5CFA" w:rsidRPr="001C4484" w:rsidRDefault="00E82A60" w:rsidP="00300A01">
            <w:pPr>
              <w:spacing w:before="0" w:after="0"/>
              <w:rPr>
                <w:sz w:val="10"/>
                <w:szCs w:val="10"/>
              </w:rPr>
            </w:pPr>
            <w:r w:rsidRPr="001C4484">
              <w:rPr>
                <w:b/>
                <w:noProof/>
                <w:sz w:val="12"/>
                <w:szCs w:val="12"/>
                <w:lang w:val="fr-BE"/>
              </w:rPr>
              <w:t>Kategoria regionu</w:t>
            </w:r>
          </w:p>
        </w:tc>
        <w:tc>
          <w:tcPr>
            <w:tcW w:w="0" w:type="auto"/>
            <w:gridSpan w:val="3"/>
          </w:tcPr>
          <w:p w14:paraId="5F4E1993" w14:textId="77777777" w:rsidR="008C5CFA" w:rsidRPr="001C4484" w:rsidRDefault="00E82A60" w:rsidP="00300A01">
            <w:pPr>
              <w:spacing w:before="0" w:after="0"/>
              <w:jc w:val="center"/>
              <w:rPr>
                <w:sz w:val="10"/>
                <w:szCs w:val="10"/>
              </w:rPr>
            </w:pPr>
            <w:r w:rsidRPr="001C4484">
              <w:rPr>
                <w:sz w:val="10"/>
                <w:szCs w:val="10"/>
              </w:rPr>
              <w:t>2015</w:t>
            </w:r>
          </w:p>
        </w:tc>
        <w:tc>
          <w:tcPr>
            <w:tcW w:w="0" w:type="auto"/>
            <w:gridSpan w:val="3"/>
          </w:tcPr>
          <w:p w14:paraId="52381376" w14:textId="77777777" w:rsidR="008C5CFA" w:rsidRPr="001C4484" w:rsidRDefault="00E82A60" w:rsidP="00300A01">
            <w:pPr>
              <w:spacing w:before="0" w:after="0"/>
              <w:jc w:val="center"/>
              <w:rPr>
                <w:sz w:val="10"/>
                <w:szCs w:val="10"/>
              </w:rPr>
            </w:pPr>
            <w:r w:rsidRPr="001C4484">
              <w:rPr>
                <w:sz w:val="10"/>
                <w:szCs w:val="10"/>
              </w:rPr>
              <w:t>2014</w:t>
            </w:r>
          </w:p>
        </w:tc>
      </w:tr>
      <w:tr w:rsidR="006B2EC1" w14:paraId="332D59DA" w14:textId="77777777" w:rsidTr="0047688D">
        <w:tc>
          <w:tcPr>
            <w:tcW w:w="0" w:type="auto"/>
            <w:shd w:val="clear" w:color="auto" w:fill="auto"/>
          </w:tcPr>
          <w:p w14:paraId="2217FAEA" w14:textId="77777777" w:rsidR="008C5CFA" w:rsidRPr="001C4484" w:rsidRDefault="008C5CFA" w:rsidP="00300A01">
            <w:pPr>
              <w:spacing w:before="0" w:after="0"/>
              <w:rPr>
                <w:sz w:val="10"/>
                <w:szCs w:val="10"/>
              </w:rPr>
            </w:pPr>
          </w:p>
        </w:tc>
        <w:tc>
          <w:tcPr>
            <w:tcW w:w="0" w:type="auto"/>
            <w:shd w:val="clear" w:color="auto" w:fill="auto"/>
          </w:tcPr>
          <w:p w14:paraId="0D01A9E5" w14:textId="77777777" w:rsidR="008C5CFA" w:rsidRPr="001C4484" w:rsidRDefault="008C5CFA" w:rsidP="00300A01">
            <w:pPr>
              <w:spacing w:before="0" w:after="0"/>
              <w:rPr>
                <w:sz w:val="10"/>
                <w:szCs w:val="10"/>
              </w:rPr>
            </w:pPr>
          </w:p>
        </w:tc>
        <w:tc>
          <w:tcPr>
            <w:tcW w:w="0" w:type="auto"/>
            <w:shd w:val="clear" w:color="auto" w:fill="auto"/>
          </w:tcPr>
          <w:p w14:paraId="13DF633A" w14:textId="77777777" w:rsidR="008C5CFA" w:rsidRPr="001C4484" w:rsidRDefault="008C5CFA" w:rsidP="00300A01">
            <w:pPr>
              <w:spacing w:before="0" w:after="0"/>
              <w:rPr>
                <w:sz w:val="10"/>
                <w:szCs w:val="10"/>
              </w:rPr>
            </w:pPr>
          </w:p>
        </w:tc>
        <w:tc>
          <w:tcPr>
            <w:tcW w:w="0" w:type="auto"/>
          </w:tcPr>
          <w:p w14:paraId="7BEE61E9" w14:textId="77777777" w:rsidR="008C5CFA" w:rsidRPr="001C4484" w:rsidRDefault="00E82A60" w:rsidP="00300A01">
            <w:pPr>
              <w:spacing w:before="0" w:after="0"/>
              <w:jc w:val="center"/>
              <w:rPr>
                <w:sz w:val="10"/>
                <w:szCs w:val="10"/>
              </w:rPr>
            </w:pPr>
            <w:r>
              <w:rPr>
                <w:noProof/>
                <w:sz w:val="10"/>
                <w:szCs w:val="10"/>
              </w:rPr>
              <w:t>Ogółem</w:t>
            </w:r>
          </w:p>
        </w:tc>
        <w:tc>
          <w:tcPr>
            <w:tcW w:w="0" w:type="auto"/>
            <w:shd w:val="clear" w:color="auto" w:fill="auto"/>
          </w:tcPr>
          <w:p w14:paraId="032F308B" w14:textId="77777777" w:rsidR="008C5CFA" w:rsidRPr="001C4484" w:rsidRDefault="00E82A60" w:rsidP="00300A01">
            <w:pPr>
              <w:spacing w:before="0" w:after="0"/>
              <w:jc w:val="center"/>
              <w:rPr>
                <w:sz w:val="10"/>
                <w:szCs w:val="10"/>
              </w:rPr>
            </w:pPr>
            <w:r w:rsidRPr="001C4484">
              <w:rPr>
                <w:noProof/>
                <w:sz w:val="10"/>
                <w:szCs w:val="10"/>
              </w:rPr>
              <w:t>Mężczyźni</w:t>
            </w:r>
          </w:p>
        </w:tc>
        <w:tc>
          <w:tcPr>
            <w:tcW w:w="0" w:type="auto"/>
            <w:shd w:val="clear" w:color="auto" w:fill="auto"/>
          </w:tcPr>
          <w:p w14:paraId="4465F294" w14:textId="77777777" w:rsidR="008C5CFA" w:rsidRPr="001C4484" w:rsidRDefault="00E82A60" w:rsidP="00300A01">
            <w:pPr>
              <w:spacing w:before="0" w:after="0"/>
              <w:jc w:val="center"/>
              <w:rPr>
                <w:sz w:val="10"/>
                <w:szCs w:val="10"/>
              </w:rPr>
            </w:pPr>
            <w:r w:rsidRPr="001C4484">
              <w:rPr>
                <w:noProof/>
                <w:sz w:val="10"/>
                <w:szCs w:val="10"/>
              </w:rPr>
              <w:t>Kobiety</w:t>
            </w:r>
          </w:p>
        </w:tc>
        <w:tc>
          <w:tcPr>
            <w:tcW w:w="0" w:type="auto"/>
          </w:tcPr>
          <w:p w14:paraId="1617E672" w14:textId="77777777" w:rsidR="008C5CFA" w:rsidRPr="001C4484" w:rsidRDefault="00E82A60" w:rsidP="00300A01">
            <w:pPr>
              <w:spacing w:before="0" w:after="0"/>
              <w:jc w:val="center"/>
              <w:rPr>
                <w:sz w:val="10"/>
                <w:szCs w:val="10"/>
              </w:rPr>
            </w:pPr>
            <w:r>
              <w:rPr>
                <w:noProof/>
                <w:sz w:val="10"/>
                <w:szCs w:val="10"/>
              </w:rPr>
              <w:t>Ogółem</w:t>
            </w:r>
          </w:p>
        </w:tc>
        <w:tc>
          <w:tcPr>
            <w:tcW w:w="0" w:type="auto"/>
            <w:shd w:val="clear" w:color="auto" w:fill="auto"/>
          </w:tcPr>
          <w:p w14:paraId="2DF06341" w14:textId="77777777" w:rsidR="008C5CFA" w:rsidRPr="001C4484" w:rsidRDefault="00E82A60" w:rsidP="00300A01">
            <w:pPr>
              <w:spacing w:before="0" w:after="0"/>
              <w:jc w:val="center"/>
              <w:rPr>
                <w:sz w:val="10"/>
                <w:szCs w:val="10"/>
              </w:rPr>
            </w:pPr>
            <w:r w:rsidRPr="001C4484">
              <w:rPr>
                <w:noProof/>
                <w:sz w:val="10"/>
                <w:szCs w:val="10"/>
              </w:rPr>
              <w:t>Mężczyźni</w:t>
            </w:r>
          </w:p>
        </w:tc>
        <w:tc>
          <w:tcPr>
            <w:tcW w:w="0" w:type="auto"/>
            <w:shd w:val="clear" w:color="auto" w:fill="auto"/>
          </w:tcPr>
          <w:p w14:paraId="7A1C8528" w14:textId="77777777" w:rsidR="008C5CFA" w:rsidRPr="001C4484" w:rsidRDefault="00E82A60" w:rsidP="00300A01">
            <w:pPr>
              <w:spacing w:before="0" w:after="0"/>
              <w:jc w:val="center"/>
              <w:rPr>
                <w:sz w:val="10"/>
                <w:szCs w:val="10"/>
              </w:rPr>
            </w:pPr>
            <w:r w:rsidRPr="001C4484">
              <w:rPr>
                <w:noProof/>
                <w:sz w:val="10"/>
                <w:szCs w:val="10"/>
              </w:rPr>
              <w:t>Kobiety</w:t>
            </w:r>
          </w:p>
        </w:tc>
      </w:tr>
      <w:tr w:rsidR="006B2EC1" w14:paraId="22735593" w14:textId="77777777" w:rsidTr="0047688D">
        <w:tc>
          <w:tcPr>
            <w:tcW w:w="0" w:type="auto"/>
            <w:shd w:val="clear" w:color="auto" w:fill="auto"/>
          </w:tcPr>
          <w:p w14:paraId="6DDCBFA8" w14:textId="77777777" w:rsidR="008C5CFA" w:rsidRPr="001C4484" w:rsidRDefault="00E82A60" w:rsidP="00300A01">
            <w:pPr>
              <w:spacing w:before="0" w:after="0"/>
              <w:rPr>
                <w:sz w:val="10"/>
                <w:szCs w:val="10"/>
                <w:lang w:val="fr-BE"/>
              </w:rPr>
            </w:pPr>
            <w:r w:rsidRPr="001C4484">
              <w:rPr>
                <w:noProof/>
                <w:sz w:val="10"/>
                <w:szCs w:val="10"/>
                <w:lang w:val="fr-BE"/>
              </w:rPr>
              <w:t>CO01</w:t>
            </w:r>
          </w:p>
        </w:tc>
        <w:tc>
          <w:tcPr>
            <w:tcW w:w="0" w:type="auto"/>
            <w:shd w:val="clear" w:color="auto" w:fill="auto"/>
          </w:tcPr>
          <w:p w14:paraId="48B18A77" w14:textId="77777777" w:rsidR="008C5CFA" w:rsidRPr="001C4484" w:rsidRDefault="00E82A60" w:rsidP="00300A01">
            <w:pPr>
              <w:spacing w:before="0" w:after="0"/>
              <w:rPr>
                <w:sz w:val="10"/>
                <w:szCs w:val="10"/>
                <w:lang w:val="fr-BE"/>
              </w:rPr>
            </w:pPr>
            <w:r w:rsidRPr="001C4484">
              <w:rPr>
                <w:noProof/>
                <w:sz w:val="10"/>
                <w:szCs w:val="10"/>
                <w:lang w:val="fr-BE"/>
              </w:rPr>
              <w:t>bezrobotni, w tym długotrwale bezrobotni</w:t>
            </w:r>
          </w:p>
        </w:tc>
        <w:tc>
          <w:tcPr>
            <w:tcW w:w="0" w:type="auto"/>
            <w:shd w:val="clear" w:color="auto" w:fill="auto"/>
          </w:tcPr>
          <w:p w14:paraId="5E19C993"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1E56FE25"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0A60A0F2"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380B0CAD" w14:textId="77777777" w:rsidR="008C5CFA" w:rsidRPr="001C4484" w:rsidRDefault="00E82A60" w:rsidP="00300A01">
            <w:pPr>
              <w:spacing w:before="0" w:after="0"/>
              <w:jc w:val="right"/>
              <w:rPr>
                <w:sz w:val="10"/>
                <w:szCs w:val="10"/>
                <w:lang w:val="fr-BE"/>
              </w:rPr>
            </w:pPr>
            <w:r w:rsidRPr="001C4484">
              <w:rPr>
                <w:noProof/>
                <w:sz w:val="10"/>
                <w:szCs w:val="10"/>
              </w:rPr>
              <w:t>0,00</w:t>
            </w:r>
          </w:p>
        </w:tc>
        <w:tc>
          <w:tcPr>
            <w:tcW w:w="0" w:type="auto"/>
          </w:tcPr>
          <w:p w14:paraId="1AF21B7F"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55159806"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3876038F" w14:textId="77777777" w:rsidR="008C5CFA" w:rsidRPr="001C4484" w:rsidRDefault="00E82A60" w:rsidP="00300A01">
            <w:pPr>
              <w:spacing w:before="0" w:after="0"/>
              <w:jc w:val="right"/>
              <w:rPr>
                <w:sz w:val="10"/>
                <w:szCs w:val="10"/>
                <w:lang w:val="fr-BE"/>
              </w:rPr>
            </w:pPr>
            <w:r w:rsidRPr="001C4484">
              <w:rPr>
                <w:noProof/>
                <w:sz w:val="10"/>
                <w:szCs w:val="10"/>
                <w:lang w:val="fr-BE"/>
              </w:rPr>
              <w:t>0,00</w:t>
            </w:r>
          </w:p>
        </w:tc>
      </w:tr>
      <w:tr w:rsidR="006B2EC1" w14:paraId="593325EE" w14:textId="77777777" w:rsidTr="0047688D">
        <w:tc>
          <w:tcPr>
            <w:tcW w:w="0" w:type="auto"/>
            <w:shd w:val="clear" w:color="auto" w:fill="auto"/>
          </w:tcPr>
          <w:p w14:paraId="3DA6ACF6" w14:textId="77777777" w:rsidR="008C5CFA" w:rsidRPr="001C4484" w:rsidRDefault="00E82A60" w:rsidP="00300A01">
            <w:pPr>
              <w:spacing w:before="0" w:after="0"/>
              <w:rPr>
                <w:sz w:val="10"/>
                <w:szCs w:val="10"/>
                <w:lang w:val="fr-BE"/>
              </w:rPr>
            </w:pPr>
            <w:r w:rsidRPr="001C4484">
              <w:rPr>
                <w:noProof/>
                <w:sz w:val="10"/>
                <w:szCs w:val="10"/>
                <w:lang w:val="fr-BE"/>
              </w:rPr>
              <w:t>CO02</w:t>
            </w:r>
          </w:p>
        </w:tc>
        <w:tc>
          <w:tcPr>
            <w:tcW w:w="0" w:type="auto"/>
            <w:shd w:val="clear" w:color="auto" w:fill="auto"/>
          </w:tcPr>
          <w:p w14:paraId="3E463AED" w14:textId="77777777" w:rsidR="008C5CFA" w:rsidRPr="001C4484" w:rsidRDefault="00E82A60" w:rsidP="00300A01">
            <w:pPr>
              <w:spacing w:before="0" w:after="0"/>
              <w:rPr>
                <w:sz w:val="10"/>
                <w:szCs w:val="10"/>
                <w:lang w:val="fr-BE"/>
              </w:rPr>
            </w:pPr>
            <w:r w:rsidRPr="001C4484">
              <w:rPr>
                <w:noProof/>
                <w:sz w:val="10"/>
                <w:szCs w:val="10"/>
                <w:lang w:val="fr-BE"/>
              </w:rPr>
              <w:t>długotrwale bezrobotni</w:t>
            </w:r>
          </w:p>
        </w:tc>
        <w:tc>
          <w:tcPr>
            <w:tcW w:w="0" w:type="auto"/>
            <w:shd w:val="clear" w:color="auto" w:fill="auto"/>
          </w:tcPr>
          <w:p w14:paraId="274F5C9B"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2AA07D3A"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69F0E885"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5A1516F9" w14:textId="77777777" w:rsidR="008C5CFA" w:rsidRPr="001C4484" w:rsidRDefault="00E82A60" w:rsidP="00300A01">
            <w:pPr>
              <w:spacing w:before="0" w:after="0"/>
              <w:jc w:val="right"/>
              <w:rPr>
                <w:sz w:val="10"/>
                <w:szCs w:val="10"/>
                <w:lang w:val="fr-BE"/>
              </w:rPr>
            </w:pPr>
            <w:r w:rsidRPr="001C4484">
              <w:rPr>
                <w:noProof/>
                <w:sz w:val="10"/>
                <w:szCs w:val="10"/>
              </w:rPr>
              <w:t>0,00</w:t>
            </w:r>
          </w:p>
        </w:tc>
        <w:tc>
          <w:tcPr>
            <w:tcW w:w="0" w:type="auto"/>
          </w:tcPr>
          <w:p w14:paraId="761F346E"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262B6855"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6A4E4ED5" w14:textId="77777777" w:rsidR="008C5CFA" w:rsidRPr="001C4484" w:rsidRDefault="00E82A60" w:rsidP="00300A01">
            <w:pPr>
              <w:spacing w:before="0" w:after="0"/>
              <w:jc w:val="right"/>
              <w:rPr>
                <w:sz w:val="10"/>
                <w:szCs w:val="10"/>
                <w:lang w:val="fr-BE"/>
              </w:rPr>
            </w:pPr>
            <w:r w:rsidRPr="001C4484">
              <w:rPr>
                <w:noProof/>
                <w:sz w:val="10"/>
                <w:szCs w:val="10"/>
                <w:lang w:val="fr-BE"/>
              </w:rPr>
              <w:t>0,00</w:t>
            </w:r>
          </w:p>
        </w:tc>
      </w:tr>
      <w:tr w:rsidR="006B2EC1" w14:paraId="13020C00" w14:textId="77777777" w:rsidTr="0047688D">
        <w:tc>
          <w:tcPr>
            <w:tcW w:w="0" w:type="auto"/>
            <w:shd w:val="clear" w:color="auto" w:fill="auto"/>
          </w:tcPr>
          <w:p w14:paraId="1A431286" w14:textId="77777777" w:rsidR="008C5CFA" w:rsidRPr="001C4484" w:rsidRDefault="00E82A60" w:rsidP="00300A01">
            <w:pPr>
              <w:spacing w:before="0" w:after="0"/>
              <w:rPr>
                <w:sz w:val="10"/>
                <w:szCs w:val="10"/>
                <w:lang w:val="fr-BE"/>
              </w:rPr>
            </w:pPr>
            <w:r w:rsidRPr="001C4484">
              <w:rPr>
                <w:noProof/>
                <w:sz w:val="10"/>
                <w:szCs w:val="10"/>
                <w:lang w:val="fr-BE"/>
              </w:rPr>
              <w:t>CO03</w:t>
            </w:r>
          </w:p>
        </w:tc>
        <w:tc>
          <w:tcPr>
            <w:tcW w:w="0" w:type="auto"/>
            <w:shd w:val="clear" w:color="auto" w:fill="auto"/>
          </w:tcPr>
          <w:p w14:paraId="1A2A6A36" w14:textId="77777777" w:rsidR="008C5CFA" w:rsidRPr="001C4484" w:rsidRDefault="00E82A60" w:rsidP="00300A01">
            <w:pPr>
              <w:spacing w:before="0" w:after="0"/>
              <w:rPr>
                <w:sz w:val="10"/>
                <w:szCs w:val="10"/>
                <w:lang w:val="fr-BE"/>
              </w:rPr>
            </w:pPr>
            <w:r w:rsidRPr="001C4484">
              <w:rPr>
                <w:noProof/>
                <w:sz w:val="10"/>
                <w:szCs w:val="10"/>
                <w:lang w:val="fr-BE"/>
              </w:rPr>
              <w:t>osoby bierne zawodowo</w:t>
            </w:r>
          </w:p>
        </w:tc>
        <w:tc>
          <w:tcPr>
            <w:tcW w:w="0" w:type="auto"/>
            <w:shd w:val="clear" w:color="auto" w:fill="auto"/>
          </w:tcPr>
          <w:p w14:paraId="683950B0"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79D95D2E"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22D8A779"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6C9D86E0" w14:textId="77777777" w:rsidR="008C5CFA" w:rsidRPr="001C4484" w:rsidRDefault="00E82A60" w:rsidP="00300A01">
            <w:pPr>
              <w:spacing w:before="0" w:after="0"/>
              <w:jc w:val="right"/>
              <w:rPr>
                <w:sz w:val="10"/>
                <w:szCs w:val="10"/>
                <w:lang w:val="fr-BE"/>
              </w:rPr>
            </w:pPr>
            <w:r w:rsidRPr="001C4484">
              <w:rPr>
                <w:noProof/>
                <w:sz w:val="10"/>
                <w:szCs w:val="10"/>
              </w:rPr>
              <w:t>0,00</w:t>
            </w:r>
          </w:p>
        </w:tc>
        <w:tc>
          <w:tcPr>
            <w:tcW w:w="0" w:type="auto"/>
          </w:tcPr>
          <w:p w14:paraId="724C28DF"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6EC8E99F"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2CB76748" w14:textId="77777777" w:rsidR="008C5CFA" w:rsidRPr="001C4484" w:rsidRDefault="00E82A60" w:rsidP="00300A01">
            <w:pPr>
              <w:spacing w:before="0" w:after="0"/>
              <w:jc w:val="right"/>
              <w:rPr>
                <w:sz w:val="10"/>
                <w:szCs w:val="10"/>
                <w:lang w:val="fr-BE"/>
              </w:rPr>
            </w:pPr>
            <w:r w:rsidRPr="001C4484">
              <w:rPr>
                <w:noProof/>
                <w:sz w:val="10"/>
                <w:szCs w:val="10"/>
                <w:lang w:val="fr-BE"/>
              </w:rPr>
              <w:t>0,00</w:t>
            </w:r>
          </w:p>
        </w:tc>
      </w:tr>
      <w:tr w:rsidR="006B2EC1" w14:paraId="2D19962F" w14:textId="77777777" w:rsidTr="0047688D">
        <w:tc>
          <w:tcPr>
            <w:tcW w:w="0" w:type="auto"/>
            <w:shd w:val="clear" w:color="auto" w:fill="auto"/>
          </w:tcPr>
          <w:p w14:paraId="5093237B" w14:textId="77777777" w:rsidR="008C5CFA" w:rsidRPr="001C4484" w:rsidRDefault="00E82A60" w:rsidP="00300A01">
            <w:pPr>
              <w:spacing w:before="0" w:after="0"/>
              <w:rPr>
                <w:sz w:val="10"/>
                <w:szCs w:val="10"/>
                <w:lang w:val="fr-BE"/>
              </w:rPr>
            </w:pPr>
            <w:r w:rsidRPr="001C4484">
              <w:rPr>
                <w:noProof/>
                <w:sz w:val="10"/>
                <w:szCs w:val="10"/>
                <w:lang w:val="fr-BE"/>
              </w:rPr>
              <w:t>CO04</w:t>
            </w:r>
          </w:p>
        </w:tc>
        <w:tc>
          <w:tcPr>
            <w:tcW w:w="0" w:type="auto"/>
            <w:shd w:val="clear" w:color="auto" w:fill="auto"/>
          </w:tcPr>
          <w:p w14:paraId="37C50A77" w14:textId="77777777" w:rsidR="008C5CFA" w:rsidRPr="001C4484" w:rsidRDefault="00E82A60" w:rsidP="00300A01">
            <w:pPr>
              <w:spacing w:before="0" w:after="0"/>
              <w:rPr>
                <w:sz w:val="10"/>
                <w:szCs w:val="10"/>
                <w:lang w:val="fr-BE"/>
              </w:rPr>
            </w:pPr>
            <w:r w:rsidRPr="001C4484">
              <w:rPr>
                <w:noProof/>
                <w:sz w:val="10"/>
                <w:szCs w:val="10"/>
                <w:lang w:val="fr-BE"/>
              </w:rPr>
              <w:t>osoby bierne zawodowo, nieuczestniczące w kształceniu ani szkoleniu</w:t>
            </w:r>
          </w:p>
        </w:tc>
        <w:tc>
          <w:tcPr>
            <w:tcW w:w="0" w:type="auto"/>
            <w:shd w:val="clear" w:color="auto" w:fill="auto"/>
          </w:tcPr>
          <w:p w14:paraId="1D2F3679"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37497F1F"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199EA6D3"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7672A8F7" w14:textId="77777777" w:rsidR="008C5CFA" w:rsidRPr="001C4484" w:rsidRDefault="00E82A60" w:rsidP="00300A01">
            <w:pPr>
              <w:spacing w:before="0" w:after="0"/>
              <w:jc w:val="right"/>
              <w:rPr>
                <w:sz w:val="10"/>
                <w:szCs w:val="10"/>
                <w:lang w:val="fr-BE"/>
              </w:rPr>
            </w:pPr>
            <w:r w:rsidRPr="001C4484">
              <w:rPr>
                <w:noProof/>
                <w:sz w:val="10"/>
                <w:szCs w:val="10"/>
              </w:rPr>
              <w:t>0,00</w:t>
            </w:r>
          </w:p>
        </w:tc>
        <w:tc>
          <w:tcPr>
            <w:tcW w:w="0" w:type="auto"/>
          </w:tcPr>
          <w:p w14:paraId="27C91467"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682072E1"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3FE41C2C" w14:textId="77777777" w:rsidR="008C5CFA" w:rsidRPr="001C4484" w:rsidRDefault="00E82A60" w:rsidP="00300A01">
            <w:pPr>
              <w:spacing w:before="0" w:after="0"/>
              <w:jc w:val="right"/>
              <w:rPr>
                <w:sz w:val="10"/>
                <w:szCs w:val="10"/>
                <w:lang w:val="fr-BE"/>
              </w:rPr>
            </w:pPr>
            <w:r w:rsidRPr="001C4484">
              <w:rPr>
                <w:noProof/>
                <w:sz w:val="10"/>
                <w:szCs w:val="10"/>
                <w:lang w:val="fr-BE"/>
              </w:rPr>
              <w:t>0,00</w:t>
            </w:r>
          </w:p>
        </w:tc>
      </w:tr>
      <w:tr w:rsidR="006B2EC1" w14:paraId="0A5992DA" w14:textId="77777777" w:rsidTr="0047688D">
        <w:tc>
          <w:tcPr>
            <w:tcW w:w="0" w:type="auto"/>
            <w:shd w:val="clear" w:color="auto" w:fill="auto"/>
          </w:tcPr>
          <w:p w14:paraId="49A34684" w14:textId="77777777" w:rsidR="008C5CFA" w:rsidRPr="001C4484" w:rsidRDefault="00E82A60" w:rsidP="00300A01">
            <w:pPr>
              <w:spacing w:before="0" w:after="0"/>
              <w:rPr>
                <w:sz w:val="10"/>
                <w:szCs w:val="10"/>
                <w:lang w:val="fr-BE"/>
              </w:rPr>
            </w:pPr>
            <w:r w:rsidRPr="001C4484">
              <w:rPr>
                <w:noProof/>
                <w:sz w:val="10"/>
                <w:szCs w:val="10"/>
                <w:lang w:val="fr-BE"/>
              </w:rPr>
              <w:t>CO05</w:t>
            </w:r>
          </w:p>
        </w:tc>
        <w:tc>
          <w:tcPr>
            <w:tcW w:w="0" w:type="auto"/>
            <w:shd w:val="clear" w:color="auto" w:fill="auto"/>
          </w:tcPr>
          <w:p w14:paraId="17D50DB2" w14:textId="77777777" w:rsidR="008C5CFA" w:rsidRPr="001C4484" w:rsidRDefault="00E82A60" w:rsidP="00300A01">
            <w:pPr>
              <w:spacing w:before="0" w:after="0"/>
              <w:rPr>
                <w:sz w:val="10"/>
                <w:szCs w:val="10"/>
                <w:lang w:val="fr-BE"/>
              </w:rPr>
            </w:pPr>
            <w:r w:rsidRPr="001C4484">
              <w:rPr>
                <w:noProof/>
                <w:sz w:val="10"/>
                <w:szCs w:val="10"/>
                <w:lang w:val="fr-BE"/>
              </w:rPr>
              <w:t>osoby pracujące, łącznie z prowadzącymi działalność na własny rachunek</w:t>
            </w:r>
          </w:p>
        </w:tc>
        <w:tc>
          <w:tcPr>
            <w:tcW w:w="0" w:type="auto"/>
            <w:shd w:val="clear" w:color="auto" w:fill="auto"/>
          </w:tcPr>
          <w:p w14:paraId="637B340A"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08883D53"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6DA55CE3"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7BE95218" w14:textId="77777777" w:rsidR="008C5CFA" w:rsidRPr="001C4484" w:rsidRDefault="00E82A60" w:rsidP="00300A01">
            <w:pPr>
              <w:spacing w:before="0" w:after="0"/>
              <w:jc w:val="right"/>
              <w:rPr>
                <w:sz w:val="10"/>
                <w:szCs w:val="10"/>
                <w:lang w:val="fr-BE"/>
              </w:rPr>
            </w:pPr>
            <w:r w:rsidRPr="001C4484">
              <w:rPr>
                <w:noProof/>
                <w:sz w:val="10"/>
                <w:szCs w:val="10"/>
              </w:rPr>
              <w:t>0,00</w:t>
            </w:r>
          </w:p>
        </w:tc>
        <w:tc>
          <w:tcPr>
            <w:tcW w:w="0" w:type="auto"/>
          </w:tcPr>
          <w:p w14:paraId="40FF56A2"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1EAB5EB1"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2F5C7DF9" w14:textId="77777777" w:rsidR="008C5CFA" w:rsidRPr="001C4484" w:rsidRDefault="00E82A60" w:rsidP="00300A01">
            <w:pPr>
              <w:spacing w:before="0" w:after="0"/>
              <w:jc w:val="right"/>
              <w:rPr>
                <w:sz w:val="10"/>
                <w:szCs w:val="10"/>
                <w:lang w:val="fr-BE"/>
              </w:rPr>
            </w:pPr>
            <w:r w:rsidRPr="001C4484">
              <w:rPr>
                <w:noProof/>
                <w:sz w:val="10"/>
                <w:szCs w:val="10"/>
                <w:lang w:val="fr-BE"/>
              </w:rPr>
              <w:t>0,00</w:t>
            </w:r>
          </w:p>
        </w:tc>
      </w:tr>
      <w:tr w:rsidR="006B2EC1" w14:paraId="036A132E" w14:textId="77777777" w:rsidTr="0047688D">
        <w:tc>
          <w:tcPr>
            <w:tcW w:w="0" w:type="auto"/>
            <w:shd w:val="clear" w:color="auto" w:fill="auto"/>
          </w:tcPr>
          <w:p w14:paraId="29635D0F" w14:textId="77777777" w:rsidR="008C5CFA" w:rsidRPr="001C4484" w:rsidRDefault="00E82A60" w:rsidP="00300A01">
            <w:pPr>
              <w:spacing w:before="0" w:after="0"/>
              <w:rPr>
                <w:sz w:val="10"/>
                <w:szCs w:val="10"/>
                <w:lang w:val="fr-BE"/>
              </w:rPr>
            </w:pPr>
            <w:r w:rsidRPr="001C4484">
              <w:rPr>
                <w:noProof/>
                <w:sz w:val="10"/>
                <w:szCs w:val="10"/>
                <w:lang w:val="fr-BE"/>
              </w:rPr>
              <w:t>CO06</w:t>
            </w:r>
          </w:p>
        </w:tc>
        <w:tc>
          <w:tcPr>
            <w:tcW w:w="0" w:type="auto"/>
            <w:shd w:val="clear" w:color="auto" w:fill="auto"/>
          </w:tcPr>
          <w:p w14:paraId="63F5D433" w14:textId="77777777" w:rsidR="008C5CFA" w:rsidRPr="001C4484" w:rsidRDefault="00E82A60" w:rsidP="00300A01">
            <w:pPr>
              <w:spacing w:before="0" w:after="0"/>
              <w:rPr>
                <w:sz w:val="10"/>
                <w:szCs w:val="10"/>
                <w:lang w:val="fr-BE"/>
              </w:rPr>
            </w:pPr>
            <w:r w:rsidRPr="001C4484">
              <w:rPr>
                <w:noProof/>
                <w:sz w:val="10"/>
                <w:szCs w:val="10"/>
                <w:lang w:val="fr-BE"/>
              </w:rPr>
              <w:t>osoby w wieku poniżej 25 lat</w:t>
            </w:r>
          </w:p>
        </w:tc>
        <w:tc>
          <w:tcPr>
            <w:tcW w:w="0" w:type="auto"/>
            <w:shd w:val="clear" w:color="auto" w:fill="auto"/>
          </w:tcPr>
          <w:p w14:paraId="68DA9ADE"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25741788"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71B790EC"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2A3FA9BE" w14:textId="77777777" w:rsidR="008C5CFA" w:rsidRPr="001C4484" w:rsidRDefault="00E82A60" w:rsidP="00300A01">
            <w:pPr>
              <w:spacing w:before="0" w:after="0"/>
              <w:jc w:val="right"/>
              <w:rPr>
                <w:sz w:val="10"/>
                <w:szCs w:val="10"/>
                <w:lang w:val="fr-BE"/>
              </w:rPr>
            </w:pPr>
            <w:r w:rsidRPr="001C4484">
              <w:rPr>
                <w:noProof/>
                <w:sz w:val="10"/>
                <w:szCs w:val="10"/>
              </w:rPr>
              <w:t>0,00</w:t>
            </w:r>
          </w:p>
        </w:tc>
        <w:tc>
          <w:tcPr>
            <w:tcW w:w="0" w:type="auto"/>
          </w:tcPr>
          <w:p w14:paraId="675FA92D"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5BEA044E"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3BB3FFD3" w14:textId="77777777" w:rsidR="008C5CFA" w:rsidRPr="001C4484" w:rsidRDefault="00E82A60" w:rsidP="00300A01">
            <w:pPr>
              <w:spacing w:before="0" w:after="0"/>
              <w:jc w:val="right"/>
              <w:rPr>
                <w:sz w:val="10"/>
                <w:szCs w:val="10"/>
                <w:lang w:val="fr-BE"/>
              </w:rPr>
            </w:pPr>
            <w:r w:rsidRPr="001C4484">
              <w:rPr>
                <w:noProof/>
                <w:sz w:val="10"/>
                <w:szCs w:val="10"/>
                <w:lang w:val="fr-BE"/>
              </w:rPr>
              <w:t>0,00</w:t>
            </w:r>
          </w:p>
        </w:tc>
      </w:tr>
      <w:tr w:rsidR="006B2EC1" w14:paraId="7BD61304" w14:textId="77777777" w:rsidTr="0047688D">
        <w:tc>
          <w:tcPr>
            <w:tcW w:w="0" w:type="auto"/>
            <w:shd w:val="clear" w:color="auto" w:fill="auto"/>
          </w:tcPr>
          <w:p w14:paraId="176E70CE" w14:textId="77777777" w:rsidR="008C5CFA" w:rsidRPr="001C4484" w:rsidRDefault="00E82A60" w:rsidP="00300A01">
            <w:pPr>
              <w:spacing w:before="0" w:after="0"/>
              <w:rPr>
                <w:sz w:val="10"/>
                <w:szCs w:val="10"/>
                <w:lang w:val="fr-BE"/>
              </w:rPr>
            </w:pPr>
            <w:r w:rsidRPr="001C4484">
              <w:rPr>
                <w:noProof/>
                <w:sz w:val="10"/>
                <w:szCs w:val="10"/>
                <w:lang w:val="fr-BE"/>
              </w:rPr>
              <w:t>CO07</w:t>
            </w:r>
          </w:p>
        </w:tc>
        <w:tc>
          <w:tcPr>
            <w:tcW w:w="0" w:type="auto"/>
            <w:shd w:val="clear" w:color="auto" w:fill="auto"/>
          </w:tcPr>
          <w:p w14:paraId="02EA3EF2" w14:textId="77777777" w:rsidR="008C5CFA" w:rsidRPr="001C4484" w:rsidRDefault="00E82A60" w:rsidP="00300A01">
            <w:pPr>
              <w:spacing w:before="0" w:after="0"/>
              <w:rPr>
                <w:sz w:val="10"/>
                <w:szCs w:val="10"/>
                <w:lang w:val="fr-BE"/>
              </w:rPr>
            </w:pPr>
            <w:r w:rsidRPr="001C4484">
              <w:rPr>
                <w:noProof/>
                <w:sz w:val="10"/>
                <w:szCs w:val="10"/>
                <w:lang w:val="fr-BE"/>
              </w:rPr>
              <w:t>osoby w wieku powyżej 54 lat</w:t>
            </w:r>
          </w:p>
        </w:tc>
        <w:tc>
          <w:tcPr>
            <w:tcW w:w="0" w:type="auto"/>
            <w:shd w:val="clear" w:color="auto" w:fill="auto"/>
          </w:tcPr>
          <w:p w14:paraId="6F7D6E8D"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3A07109C"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3C15051E"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0D721E94" w14:textId="77777777" w:rsidR="008C5CFA" w:rsidRPr="001C4484" w:rsidRDefault="00E82A60" w:rsidP="00300A01">
            <w:pPr>
              <w:spacing w:before="0" w:after="0"/>
              <w:jc w:val="right"/>
              <w:rPr>
                <w:sz w:val="10"/>
                <w:szCs w:val="10"/>
                <w:lang w:val="fr-BE"/>
              </w:rPr>
            </w:pPr>
            <w:r w:rsidRPr="001C4484">
              <w:rPr>
                <w:noProof/>
                <w:sz w:val="10"/>
                <w:szCs w:val="10"/>
              </w:rPr>
              <w:t>0,00</w:t>
            </w:r>
          </w:p>
        </w:tc>
        <w:tc>
          <w:tcPr>
            <w:tcW w:w="0" w:type="auto"/>
          </w:tcPr>
          <w:p w14:paraId="6E0BBC99"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534F398F"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21600615" w14:textId="77777777" w:rsidR="008C5CFA" w:rsidRPr="001C4484" w:rsidRDefault="00E82A60" w:rsidP="00300A01">
            <w:pPr>
              <w:spacing w:before="0" w:after="0"/>
              <w:jc w:val="right"/>
              <w:rPr>
                <w:sz w:val="10"/>
                <w:szCs w:val="10"/>
                <w:lang w:val="fr-BE"/>
              </w:rPr>
            </w:pPr>
            <w:r w:rsidRPr="001C4484">
              <w:rPr>
                <w:noProof/>
                <w:sz w:val="10"/>
                <w:szCs w:val="10"/>
                <w:lang w:val="fr-BE"/>
              </w:rPr>
              <w:t>0,00</w:t>
            </w:r>
          </w:p>
        </w:tc>
      </w:tr>
      <w:tr w:rsidR="006B2EC1" w14:paraId="467403AF" w14:textId="77777777" w:rsidTr="0047688D">
        <w:tc>
          <w:tcPr>
            <w:tcW w:w="0" w:type="auto"/>
            <w:shd w:val="clear" w:color="auto" w:fill="auto"/>
          </w:tcPr>
          <w:p w14:paraId="5EA473EB" w14:textId="77777777" w:rsidR="008C5CFA" w:rsidRPr="001C4484" w:rsidRDefault="00E82A60" w:rsidP="00300A01">
            <w:pPr>
              <w:spacing w:before="0" w:after="0"/>
              <w:rPr>
                <w:sz w:val="10"/>
                <w:szCs w:val="10"/>
                <w:lang w:val="fr-BE"/>
              </w:rPr>
            </w:pPr>
            <w:r w:rsidRPr="001C4484">
              <w:rPr>
                <w:noProof/>
                <w:sz w:val="10"/>
                <w:szCs w:val="10"/>
                <w:lang w:val="fr-BE"/>
              </w:rPr>
              <w:t>CO08</w:t>
            </w:r>
          </w:p>
        </w:tc>
        <w:tc>
          <w:tcPr>
            <w:tcW w:w="0" w:type="auto"/>
            <w:shd w:val="clear" w:color="auto" w:fill="auto"/>
          </w:tcPr>
          <w:p w14:paraId="65FFD4C3" w14:textId="77777777" w:rsidR="008C5CFA" w:rsidRPr="001C4484" w:rsidRDefault="00E82A60" w:rsidP="00300A01">
            <w:pPr>
              <w:spacing w:before="0" w:after="0"/>
              <w:rPr>
                <w:sz w:val="10"/>
                <w:szCs w:val="10"/>
                <w:lang w:val="fr-BE"/>
              </w:rPr>
            </w:pPr>
            <w:r w:rsidRPr="001C4484">
              <w:rPr>
                <w:noProof/>
                <w:sz w:val="10"/>
                <w:szCs w:val="10"/>
                <w:lang w:val="fr-BE"/>
              </w:rPr>
              <w:t>osoby powyżej 54 lat, które są bezrobotne, łącznie z długotrwale bezrobotnymi, lub są bierne zawodowo i nie uczestniczą w kształceniu ani szkoleniu</w:t>
            </w:r>
          </w:p>
        </w:tc>
        <w:tc>
          <w:tcPr>
            <w:tcW w:w="0" w:type="auto"/>
            <w:shd w:val="clear" w:color="auto" w:fill="auto"/>
          </w:tcPr>
          <w:p w14:paraId="2292273D"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5BF8264D"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59E23B54"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570AD9CF" w14:textId="77777777" w:rsidR="008C5CFA" w:rsidRPr="001C4484" w:rsidRDefault="00E82A60" w:rsidP="00300A01">
            <w:pPr>
              <w:spacing w:before="0" w:after="0"/>
              <w:jc w:val="right"/>
              <w:rPr>
                <w:sz w:val="10"/>
                <w:szCs w:val="10"/>
                <w:lang w:val="fr-BE"/>
              </w:rPr>
            </w:pPr>
            <w:r w:rsidRPr="001C4484">
              <w:rPr>
                <w:noProof/>
                <w:sz w:val="10"/>
                <w:szCs w:val="10"/>
              </w:rPr>
              <w:t>0,00</w:t>
            </w:r>
          </w:p>
        </w:tc>
        <w:tc>
          <w:tcPr>
            <w:tcW w:w="0" w:type="auto"/>
          </w:tcPr>
          <w:p w14:paraId="5652C14D"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3FCE7E6A"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6FD4815F" w14:textId="77777777" w:rsidR="008C5CFA" w:rsidRPr="001C4484" w:rsidRDefault="00E82A60" w:rsidP="00300A01">
            <w:pPr>
              <w:spacing w:before="0" w:after="0"/>
              <w:jc w:val="right"/>
              <w:rPr>
                <w:sz w:val="10"/>
                <w:szCs w:val="10"/>
                <w:lang w:val="fr-BE"/>
              </w:rPr>
            </w:pPr>
            <w:r w:rsidRPr="001C4484">
              <w:rPr>
                <w:noProof/>
                <w:sz w:val="10"/>
                <w:szCs w:val="10"/>
                <w:lang w:val="fr-BE"/>
              </w:rPr>
              <w:t>0,00</w:t>
            </w:r>
          </w:p>
        </w:tc>
      </w:tr>
      <w:tr w:rsidR="006B2EC1" w14:paraId="10196364" w14:textId="77777777" w:rsidTr="0047688D">
        <w:tc>
          <w:tcPr>
            <w:tcW w:w="0" w:type="auto"/>
            <w:shd w:val="clear" w:color="auto" w:fill="auto"/>
          </w:tcPr>
          <w:p w14:paraId="6BBE393F" w14:textId="77777777" w:rsidR="008C5CFA" w:rsidRPr="001C4484" w:rsidRDefault="00E82A60" w:rsidP="00300A01">
            <w:pPr>
              <w:spacing w:before="0" w:after="0"/>
              <w:rPr>
                <w:sz w:val="10"/>
                <w:szCs w:val="10"/>
                <w:lang w:val="fr-BE"/>
              </w:rPr>
            </w:pPr>
            <w:r w:rsidRPr="001C4484">
              <w:rPr>
                <w:noProof/>
                <w:sz w:val="10"/>
                <w:szCs w:val="10"/>
                <w:lang w:val="fr-BE"/>
              </w:rPr>
              <w:lastRenderedPageBreak/>
              <w:t>CO09</w:t>
            </w:r>
          </w:p>
        </w:tc>
        <w:tc>
          <w:tcPr>
            <w:tcW w:w="0" w:type="auto"/>
            <w:shd w:val="clear" w:color="auto" w:fill="auto"/>
          </w:tcPr>
          <w:p w14:paraId="7BA71C92" w14:textId="77777777" w:rsidR="008C5CFA" w:rsidRPr="001C4484" w:rsidRDefault="00E82A60" w:rsidP="00300A01">
            <w:pPr>
              <w:spacing w:before="0" w:after="0"/>
              <w:rPr>
                <w:sz w:val="10"/>
                <w:szCs w:val="10"/>
                <w:lang w:val="fr-BE"/>
              </w:rPr>
            </w:pPr>
            <w:r w:rsidRPr="001C4484">
              <w:rPr>
                <w:noProof/>
                <w:sz w:val="10"/>
                <w:szCs w:val="10"/>
                <w:lang w:val="fr-BE"/>
              </w:rPr>
              <w:t>osoby z wykształceniem podstawowym (ISCED 1) lub średnim I stopnia (ISCED 2)</w:t>
            </w:r>
          </w:p>
        </w:tc>
        <w:tc>
          <w:tcPr>
            <w:tcW w:w="0" w:type="auto"/>
            <w:shd w:val="clear" w:color="auto" w:fill="auto"/>
          </w:tcPr>
          <w:p w14:paraId="55000273"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7C6AE7E4"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2C4F082C"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6EF93AA7" w14:textId="77777777" w:rsidR="008C5CFA" w:rsidRPr="001C4484" w:rsidRDefault="00E82A60" w:rsidP="00300A01">
            <w:pPr>
              <w:spacing w:before="0" w:after="0"/>
              <w:jc w:val="right"/>
              <w:rPr>
                <w:sz w:val="10"/>
                <w:szCs w:val="10"/>
                <w:lang w:val="fr-BE"/>
              </w:rPr>
            </w:pPr>
            <w:r w:rsidRPr="001C4484">
              <w:rPr>
                <w:noProof/>
                <w:sz w:val="10"/>
                <w:szCs w:val="10"/>
              </w:rPr>
              <w:t>0,00</w:t>
            </w:r>
          </w:p>
        </w:tc>
        <w:tc>
          <w:tcPr>
            <w:tcW w:w="0" w:type="auto"/>
          </w:tcPr>
          <w:p w14:paraId="6A4BFB1F"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7FEDC82C"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6025401C" w14:textId="77777777" w:rsidR="008C5CFA" w:rsidRPr="001C4484" w:rsidRDefault="00E82A60" w:rsidP="00300A01">
            <w:pPr>
              <w:spacing w:before="0" w:after="0"/>
              <w:jc w:val="right"/>
              <w:rPr>
                <w:sz w:val="10"/>
                <w:szCs w:val="10"/>
                <w:lang w:val="fr-BE"/>
              </w:rPr>
            </w:pPr>
            <w:r w:rsidRPr="001C4484">
              <w:rPr>
                <w:noProof/>
                <w:sz w:val="10"/>
                <w:szCs w:val="10"/>
                <w:lang w:val="fr-BE"/>
              </w:rPr>
              <w:t>0,00</w:t>
            </w:r>
          </w:p>
        </w:tc>
      </w:tr>
      <w:tr w:rsidR="006B2EC1" w14:paraId="45FD8728" w14:textId="77777777" w:rsidTr="0047688D">
        <w:tc>
          <w:tcPr>
            <w:tcW w:w="0" w:type="auto"/>
            <w:shd w:val="clear" w:color="auto" w:fill="auto"/>
          </w:tcPr>
          <w:p w14:paraId="3906B86A" w14:textId="77777777" w:rsidR="008C5CFA" w:rsidRPr="001C4484" w:rsidRDefault="00E82A60" w:rsidP="00300A01">
            <w:pPr>
              <w:spacing w:before="0" w:after="0"/>
              <w:rPr>
                <w:sz w:val="10"/>
                <w:szCs w:val="10"/>
                <w:lang w:val="fr-BE"/>
              </w:rPr>
            </w:pPr>
            <w:r w:rsidRPr="001C4484">
              <w:rPr>
                <w:noProof/>
                <w:sz w:val="10"/>
                <w:szCs w:val="10"/>
                <w:lang w:val="fr-BE"/>
              </w:rPr>
              <w:t>CO10</w:t>
            </w:r>
          </w:p>
        </w:tc>
        <w:tc>
          <w:tcPr>
            <w:tcW w:w="0" w:type="auto"/>
            <w:shd w:val="clear" w:color="auto" w:fill="auto"/>
          </w:tcPr>
          <w:p w14:paraId="51DD801E" w14:textId="77777777" w:rsidR="008C5CFA" w:rsidRPr="001C4484" w:rsidRDefault="00E82A60" w:rsidP="00300A01">
            <w:pPr>
              <w:spacing w:before="0" w:after="0"/>
              <w:rPr>
                <w:sz w:val="10"/>
                <w:szCs w:val="10"/>
                <w:lang w:val="fr-BE"/>
              </w:rPr>
            </w:pPr>
            <w:r w:rsidRPr="001C4484">
              <w:rPr>
                <w:noProof/>
                <w:sz w:val="10"/>
                <w:szCs w:val="10"/>
                <w:lang w:val="fr-BE"/>
              </w:rPr>
              <w:t>osoby z wykształceniem średnim II stopnia (ISCED 3) lub policealnym (ISCED 4)</w:t>
            </w:r>
          </w:p>
        </w:tc>
        <w:tc>
          <w:tcPr>
            <w:tcW w:w="0" w:type="auto"/>
            <w:shd w:val="clear" w:color="auto" w:fill="auto"/>
          </w:tcPr>
          <w:p w14:paraId="3988CEEC"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50770D46"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02451298"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2EE714BB" w14:textId="77777777" w:rsidR="008C5CFA" w:rsidRPr="001C4484" w:rsidRDefault="00E82A60" w:rsidP="00300A01">
            <w:pPr>
              <w:spacing w:before="0" w:after="0"/>
              <w:jc w:val="right"/>
              <w:rPr>
                <w:sz w:val="10"/>
                <w:szCs w:val="10"/>
                <w:lang w:val="fr-BE"/>
              </w:rPr>
            </w:pPr>
            <w:r w:rsidRPr="001C4484">
              <w:rPr>
                <w:noProof/>
                <w:sz w:val="10"/>
                <w:szCs w:val="10"/>
              </w:rPr>
              <w:t>0,00</w:t>
            </w:r>
          </w:p>
        </w:tc>
        <w:tc>
          <w:tcPr>
            <w:tcW w:w="0" w:type="auto"/>
          </w:tcPr>
          <w:p w14:paraId="721316A9"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6159423C"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384EE6EB" w14:textId="77777777" w:rsidR="008C5CFA" w:rsidRPr="001C4484" w:rsidRDefault="00E82A60" w:rsidP="00300A01">
            <w:pPr>
              <w:spacing w:before="0" w:after="0"/>
              <w:jc w:val="right"/>
              <w:rPr>
                <w:sz w:val="10"/>
                <w:szCs w:val="10"/>
                <w:lang w:val="fr-BE"/>
              </w:rPr>
            </w:pPr>
            <w:r w:rsidRPr="001C4484">
              <w:rPr>
                <w:noProof/>
                <w:sz w:val="10"/>
                <w:szCs w:val="10"/>
                <w:lang w:val="fr-BE"/>
              </w:rPr>
              <w:t>0,00</w:t>
            </w:r>
          </w:p>
        </w:tc>
      </w:tr>
      <w:tr w:rsidR="006B2EC1" w14:paraId="498A2EB7" w14:textId="77777777" w:rsidTr="0047688D">
        <w:tc>
          <w:tcPr>
            <w:tcW w:w="0" w:type="auto"/>
            <w:shd w:val="clear" w:color="auto" w:fill="auto"/>
          </w:tcPr>
          <w:p w14:paraId="2A36F5CE" w14:textId="77777777" w:rsidR="008C5CFA" w:rsidRPr="001C4484" w:rsidRDefault="00E82A60" w:rsidP="00300A01">
            <w:pPr>
              <w:spacing w:before="0" w:after="0"/>
              <w:rPr>
                <w:sz w:val="10"/>
                <w:szCs w:val="10"/>
                <w:lang w:val="fr-BE"/>
              </w:rPr>
            </w:pPr>
            <w:r w:rsidRPr="001C4484">
              <w:rPr>
                <w:noProof/>
                <w:sz w:val="10"/>
                <w:szCs w:val="10"/>
                <w:lang w:val="fr-BE"/>
              </w:rPr>
              <w:t>CO11</w:t>
            </w:r>
          </w:p>
        </w:tc>
        <w:tc>
          <w:tcPr>
            <w:tcW w:w="0" w:type="auto"/>
            <w:shd w:val="clear" w:color="auto" w:fill="auto"/>
          </w:tcPr>
          <w:p w14:paraId="1980A55F" w14:textId="77777777" w:rsidR="008C5CFA" w:rsidRPr="001C4484" w:rsidRDefault="00E82A60" w:rsidP="00300A01">
            <w:pPr>
              <w:spacing w:before="0" w:after="0"/>
              <w:rPr>
                <w:sz w:val="10"/>
                <w:szCs w:val="10"/>
                <w:lang w:val="fr-BE"/>
              </w:rPr>
            </w:pPr>
            <w:r w:rsidRPr="001C4484">
              <w:rPr>
                <w:noProof/>
                <w:sz w:val="10"/>
                <w:szCs w:val="10"/>
                <w:lang w:val="fr-BE"/>
              </w:rPr>
              <w:t>osoby z wykształceniem wyższym (ISCED 5 do 8)</w:t>
            </w:r>
          </w:p>
        </w:tc>
        <w:tc>
          <w:tcPr>
            <w:tcW w:w="0" w:type="auto"/>
            <w:shd w:val="clear" w:color="auto" w:fill="auto"/>
          </w:tcPr>
          <w:p w14:paraId="7754F690"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1183F657"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0E8E1D2F"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7D0242AD" w14:textId="77777777" w:rsidR="008C5CFA" w:rsidRPr="001C4484" w:rsidRDefault="00E82A60" w:rsidP="00300A01">
            <w:pPr>
              <w:spacing w:before="0" w:after="0"/>
              <w:jc w:val="right"/>
              <w:rPr>
                <w:sz w:val="10"/>
                <w:szCs w:val="10"/>
                <w:lang w:val="fr-BE"/>
              </w:rPr>
            </w:pPr>
            <w:r w:rsidRPr="001C4484">
              <w:rPr>
                <w:noProof/>
                <w:sz w:val="10"/>
                <w:szCs w:val="10"/>
              </w:rPr>
              <w:t>0,00</w:t>
            </w:r>
          </w:p>
        </w:tc>
        <w:tc>
          <w:tcPr>
            <w:tcW w:w="0" w:type="auto"/>
          </w:tcPr>
          <w:p w14:paraId="5AC4E64D"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4EC3F0C3"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4DF84C0B" w14:textId="77777777" w:rsidR="008C5CFA" w:rsidRPr="001C4484" w:rsidRDefault="00E82A60" w:rsidP="00300A01">
            <w:pPr>
              <w:spacing w:before="0" w:after="0"/>
              <w:jc w:val="right"/>
              <w:rPr>
                <w:sz w:val="10"/>
                <w:szCs w:val="10"/>
                <w:lang w:val="fr-BE"/>
              </w:rPr>
            </w:pPr>
            <w:r w:rsidRPr="001C4484">
              <w:rPr>
                <w:noProof/>
                <w:sz w:val="10"/>
                <w:szCs w:val="10"/>
                <w:lang w:val="fr-BE"/>
              </w:rPr>
              <w:t>0,00</w:t>
            </w:r>
          </w:p>
        </w:tc>
      </w:tr>
      <w:tr w:rsidR="006B2EC1" w14:paraId="36507529" w14:textId="77777777" w:rsidTr="0047688D">
        <w:tc>
          <w:tcPr>
            <w:tcW w:w="0" w:type="auto"/>
            <w:shd w:val="clear" w:color="auto" w:fill="auto"/>
          </w:tcPr>
          <w:p w14:paraId="552F11D3" w14:textId="77777777" w:rsidR="008C5CFA" w:rsidRPr="001C4484" w:rsidRDefault="00E82A60" w:rsidP="00300A01">
            <w:pPr>
              <w:spacing w:before="0" w:after="0"/>
              <w:rPr>
                <w:sz w:val="10"/>
                <w:szCs w:val="10"/>
                <w:lang w:val="fr-BE"/>
              </w:rPr>
            </w:pPr>
            <w:r w:rsidRPr="001C4484">
              <w:rPr>
                <w:noProof/>
                <w:sz w:val="10"/>
                <w:szCs w:val="10"/>
                <w:lang w:val="fr-BE"/>
              </w:rPr>
              <w:t>CO15</w:t>
            </w:r>
          </w:p>
        </w:tc>
        <w:tc>
          <w:tcPr>
            <w:tcW w:w="0" w:type="auto"/>
            <w:shd w:val="clear" w:color="auto" w:fill="auto"/>
          </w:tcPr>
          <w:p w14:paraId="09CBA259" w14:textId="77777777" w:rsidR="008C5CFA" w:rsidRPr="001C4484" w:rsidRDefault="00E82A60" w:rsidP="00300A01">
            <w:pPr>
              <w:spacing w:before="0" w:after="0"/>
              <w:rPr>
                <w:sz w:val="10"/>
                <w:szCs w:val="10"/>
                <w:lang w:val="fr-BE"/>
              </w:rPr>
            </w:pPr>
            <w:r w:rsidRPr="001C4484">
              <w:rPr>
                <w:noProof/>
                <w:sz w:val="10"/>
                <w:szCs w:val="10"/>
                <w:lang w:val="fr-BE"/>
              </w:rPr>
              <w:t>migranci, uczestnicy obcego pochodzenia, mniejszości (w tym społeczności marginalizowane, takie jak Romowie)</w:t>
            </w:r>
          </w:p>
        </w:tc>
        <w:tc>
          <w:tcPr>
            <w:tcW w:w="0" w:type="auto"/>
            <w:shd w:val="clear" w:color="auto" w:fill="auto"/>
          </w:tcPr>
          <w:p w14:paraId="641FE9E0"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375C2366"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64C6BE8B"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3788C711" w14:textId="77777777" w:rsidR="008C5CFA" w:rsidRPr="001C4484" w:rsidRDefault="00E82A60" w:rsidP="00300A01">
            <w:pPr>
              <w:spacing w:before="0" w:after="0"/>
              <w:jc w:val="right"/>
              <w:rPr>
                <w:sz w:val="10"/>
                <w:szCs w:val="10"/>
                <w:lang w:val="fr-BE"/>
              </w:rPr>
            </w:pPr>
            <w:r w:rsidRPr="001C4484">
              <w:rPr>
                <w:noProof/>
                <w:sz w:val="10"/>
                <w:szCs w:val="10"/>
              </w:rPr>
              <w:t>0,00</w:t>
            </w:r>
          </w:p>
        </w:tc>
        <w:tc>
          <w:tcPr>
            <w:tcW w:w="0" w:type="auto"/>
          </w:tcPr>
          <w:p w14:paraId="1549B896"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483B0B10"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1C2443F9" w14:textId="77777777" w:rsidR="008C5CFA" w:rsidRPr="001C4484" w:rsidRDefault="00E82A60" w:rsidP="00300A01">
            <w:pPr>
              <w:spacing w:before="0" w:after="0"/>
              <w:jc w:val="right"/>
              <w:rPr>
                <w:sz w:val="10"/>
                <w:szCs w:val="10"/>
                <w:lang w:val="fr-BE"/>
              </w:rPr>
            </w:pPr>
            <w:r w:rsidRPr="001C4484">
              <w:rPr>
                <w:noProof/>
                <w:sz w:val="10"/>
                <w:szCs w:val="10"/>
                <w:lang w:val="fr-BE"/>
              </w:rPr>
              <w:t>0,00</w:t>
            </w:r>
          </w:p>
        </w:tc>
      </w:tr>
      <w:tr w:rsidR="006B2EC1" w14:paraId="590803E2" w14:textId="77777777" w:rsidTr="0047688D">
        <w:tc>
          <w:tcPr>
            <w:tcW w:w="0" w:type="auto"/>
            <w:shd w:val="clear" w:color="auto" w:fill="auto"/>
          </w:tcPr>
          <w:p w14:paraId="47AB673B" w14:textId="77777777" w:rsidR="008C5CFA" w:rsidRPr="001C4484" w:rsidRDefault="00E82A60" w:rsidP="00300A01">
            <w:pPr>
              <w:spacing w:before="0" w:after="0"/>
              <w:rPr>
                <w:sz w:val="10"/>
                <w:szCs w:val="10"/>
                <w:lang w:val="fr-BE"/>
              </w:rPr>
            </w:pPr>
            <w:r w:rsidRPr="001C4484">
              <w:rPr>
                <w:noProof/>
                <w:sz w:val="10"/>
                <w:szCs w:val="10"/>
                <w:lang w:val="fr-BE"/>
              </w:rPr>
              <w:t>CO16</w:t>
            </w:r>
          </w:p>
        </w:tc>
        <w:tc>
          <w:tcPr>
            <w:tcW w:w="0" w:type="auto"/>
            <w:shd w:val="clear" w:color="auto" w:fill="auto"/>
          </w:tcPr>
          <w:p w14:paraId="15A42B43" w14:textId="77777777" w:rsidR="008C5CFA" w:rsidRPr="001C4484" w:rsidRDefault="00E82A60" w:rsidP="00300A01">
            <w:pPr>
              <w:spacing w:before="0" w:after="0"/>
              <w:rPr>
                <w:sz w:val="10"/>
                <w:szCs w:val="10"/>
                <w:lang w:val="fr-BE"/>
              </w:rPr>
            </w:pPr>
            <w:r w:rsidRPr="001C4484">
              <w:rPr>
                <w:noProof/>
                <w:sz w:val="10"/>
                <w:szCs w:val="10"/>
                <w:lang w:val="fr-BE"/>
              </w:rPr>
              <w:t>uczestnicy z niepełnosprawnościami</w:t>
            </w:r>
          </w:p>
        </w:tc>
        <w:tc>
          <w:tcPr>
            <w:tcW w:w="0" w:type="auto"/>
            <w:shd w:val="clear" w:color="auto" w:fill="auto"/>
          </w:tcPr>
          <w:p w14:paraId="561C613C"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19CB27F8"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21C92186"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3C17CFA5" w14:textId="77777777" w:rsidR="008C5CFA" w:rsidRPr="001C4484" w:rsidRDefault="00E82A60" w:rsidP="00300A01">
            <w:pPr>
              <w:spacing w:before="0" w:after="0"/>
              <w:jc w:val="right"/>
              <w:rPr>
                <w:sz w:val="10"/>
                <w:szCs w:val="10"/>
                <w:lang w:val="fr-BE"/>
              </w:rPr>
            </w:pPr>
            <w:r w:rsidRPr="001C4484">
              <w:rPr>
                <w:noProof/>
                <w:sz w:val="10"/>
                <w:szCs w:val="10"/>
              </w:rPr>
              <w:t>0,00</w:t>
            </w:r>
          </w:p>
        </w:tc>
        <w:tc>
          <w:tcPr>
            <w:tcW w:w="0" w:type="auto"/>
          </w:tcPr>
          <w:p w14:paraId="7885CF18"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4066C9F9"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425F31D8" w14:textId="77777777" w:rsidR="008C5CFA" w:rsidRPr="001C4484" w:rsidRDefault="00E82A60" w:rsidP="00300A01">
            <w:pPr>
              <w:spacing w:before="0" w:after="0"/>
              <w:jc w:val="right"/>
              <w:rPr>
                <w:sz w:val="10"/>
                <w:szCs w:val="10"/>
                <w:lang w:val="fr-BE"/>
              </w:rPr>
            </w:pPr>
            <w:r w:rsidRPr="001C4484">
              <w:rPr>
                <w:noProof/>
                <w:sz w:val="10"/>
                <w:szCs w:val="10"/>
                <w:lang w:val="fr-BE"/>
              </w:rPr>
              <w:t>0,00</w:t>
            </w:r>
          </w:p>
        </w:tc>
      </w:tr>
      <w:tr w:rsidR="006B2EC1" w14:paraId="3370EA7B" w14:textId="77777777" w:rsidTr="0047688D">
        <w:tc>
          <w:tcPr>
            <w:tcW w:w="0" w:type="auto"/>
            <w:shd w:val="clear" w:color="auto" w:fill="auto"/>
          </w:tcPr>
          <w:p w14:paraId="2389DBD5" w14:textId="77777777" w:rsidR="008C5CFA" w:rsidRPr="001C4484" w:rsidRDefault="00E82A60" w:rsidP="00300A01">
            <w:pPr>
              <w:spacing w:before="0" w:after="0"/>
              <w:rPr>
                <w:sz w:val="10"/>
                <w:szCs w:val="10"/>
                <w:lang w:val="fr-BE"/>
              </w:rPr>
            </w:pPr>
            <w:r w:rsidRPr="001C4484">
              <w:rPr>
                <w:noProof/>
                <w:sz w:val="10"/>
                <w:szCs w:val="10"/>
                <w:lang w:val="fr-BE"/>
              </w:rPr>
              <w:t>CO17</w:t>
            </w:r>
          </w:p>
        </w:tc>
        <w:tc>
          <w:tcPr>
            <w:tcW w:w="0" w:type="auto"/>
            <w:shd w:val="clear" w:color="auto" w:fill="auto"/>
          </w:tcPr>
          <w:p w14:paraId="7AC32EFA" w14:textId="77777777" w:rsidR="008C5CFA" w:rsidRPr="001C4484" w:rsidRDefault="00E82A60" w:rsidP="00300A01">
            <w:pPr>
              <w:spacing w:before="0" w:after="0"/>
              <w:rPr>
                <w:sz w:val="10"/>
                <w:szCs w:val="10"/>
                <w:lang w:val="fr-BE"/>
              </w:rPr>
            </w:pPr>
            <w:r w:rsidRPr="001C4484">
              <w:rPr>
                <w:noProof/>
                <w:sz w:val="10"/>
                <w:szCs w:val="10"/>
                <w:lang w:val="fr-BE"/>
              </w:rPr>
              <w:t>inne osoby w niekorzystnej sytuacji społecznej</w:t>
            </w:r>
          </w:p>
        </w:tc>
        <w:tc>
          <w:tcPr>
            <w:tcW w:w="0" w:type="auto"/>
            <w:shd w:val="clear" w:color="auto" w:fill="auto"/>
          </w:tcPr>
          <w:p w14:paraId="2CEE1A4B"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45737142"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78CCCBC9"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63B2E3EA" w14:textId="77777777" w:rsidR="008C5CFA" w:rsidRPr="001C4484" w:rsidRDefault="00E82A60" w:rsidP="00300A01">
            <w:pPr>
              <w:spacing w:before="0" w:after="0"/>
              <w:jc w:val="right"/>
              <w:rPr>
                <w:sz w:val="10"/>
                <w:szCs w:val="10"/>
                <w:lang w:val="fr-BE"/>
              </w:rPr>
            </w:pPr>
            <w:r w:rsidRPr="001C4484">
              <w:rPr>
                <w:noProof/>
                <w:sz w:val="10"/>
                <w:szCs w:val="10"/>
              </w:rPr>
              <w:t>0,00</w:t>
            </w:r>
          </w:p>
        </w:tc>
        <w:tc>
          <w:tcPr>
            <w:tcW w:w="0" w:type="auto"/>
          </w:tcPr>
          <w:p w14:paraId="60DE78A0"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51C66C30"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44315404" w14:textId="77777777" w:rsidR="008C5CFA" w:rsidRPr="001C4484" w:rsidRDefault="00E82A60" w:rsidP="00300A01">
            <w:pPr>
              <w:spacing w:before="0" w:after="0"/>
              <w:jc w:val="right"/>
              <w:rPr>
                <w:sz w:val="10"/>
                <w:szCs w:val="10"/>
                <w:lang w:val="fr-BE"/>
              </w:rPr>
            </w:pPr>
            <w:r w:rsidRPr="001C4484">
              <w:rPr>
                <w:noProof/>
                <w:sz w:val="10"/>
                <w:szCs w:val="10"/>
                <w:lang w:val="fr-BE"/>
              </w:rPr>
              <w:t>0,00</w:t>
            </w:r>
          </w:p>
        </w:tc>
      </w:tr>
      <w:tr w:rsidR="006B2EC1" w14:paraId="4A94E95B" w14:textId="77777777" w:rsidTr="0047688D">
        <w:tc>
          <w:tcPr>
            <w:tcW w:w="0" w:type="auto"/>
            <w:shd w:val="clear" w:color="auto" w:fill="auto"/>
          </w:tcPr>
          <w:p w14:paraId="0DE04009" w14:textId="77777777" w:rsidR="008C5CFA" w:rsidRPr="001C4484" w:rsidRDefault="00E82A60" w:rsidP="00300A01">
            <w:pPr>
              <w:spacing w:before="0" w:after="0"/>
              <w:rPr>
                <w:sz w:val="10"/>
                <w:szCs w:val="10"/>
                <w:lang w:val="fr-BE"/>
              </w:rPr>
            </w:pPr>
            <w:r w:rsidRPr="001C4484">
              <w:rPr>
                <w:noProof/>
                <w:sz w:val="10"/>
                <w:szCs w:val="10"/>
                <w:lang w:val="fr-BE"/>
              </w:rPr>
              <w:t>CO18</w:t>
            </w:r>
          </w:p>
        </w:tc>
        <w:tc>
          <w:tcPr>
            <w:tcW w:w="0" w:type="auto"/>
            <w:shd w:val="clear" w:color="auto" w:fill="auto"/>
          </w:tcPr>
          <w:p w14:paraId="6F055A74" w14:textId="77777777" w:rsidR="008C5CFA" w:rsidRPr="001C4484" w:rsidRDefault="00E82A60" w:rsidP="00300A01">
            <w:pPr>
              <w:spacing w:before="0" w:after="0"/>
              <w:rPr>
                <w:sz w:val="10"/>
                <w:szCs w:val="10"/>
                <w:lang w:val="fr-BE"/>
              </w:rPr>
            </w:pPr>
            <w:r w:rsidRPr="001C4484">
              <w:rPr>
                <w:noProof/>
                <w:sz w:val="10"/>
                <w:szCs w:val="10"/>
                <w:lang w:val="fr-BE"/>
              </w:rPr>
              <w:t>osoby bezdomne lub dotknięte wykluczeniem z dostępu do mieszkań</w:t>
            </w:r>
          </w:p>
        </w:tc>
        <w:tc>
          <w:tcPr>
            <w:tcW w:w="0" w:type="auto"/>
            <w:shd w:val="clear" w:color="auto" w:fill="auto"/>
          </w:tcPr>
          <w:p w14:paraId="3B6C1564"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3C7D83E8"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363A284F"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70292E0C" w14:textId="77777777" w:rsidR="008C5CFA" w:rsidRPr="001C4484" w:rsidRDefault="00E82A60" w:rsidP="00300A01">
            <w:pPr>
              <w:spacing w:before="0" w:after="0"/>
              <w:jc w:val="right"/>
              <w:rPr>
                <w:sz w:val="10"/>
                <w:szCs w:val="10"/>
                <w:lang w:val="fr-BE"/>
              </w:rPr>
            </w:pPr>
            <w:r w:rsidRPr="001C4484">
              <w:rPr>
                <w:noProof/>
                <w:sz w:val="10"/>
                <w:szCs w:val="10"/>
              </w:rPr>
              <w:t>0,00</w:t>
            </w:r>
          </w:p>
        </w:tc>
        <w:tc>
          <w:tcPr>
            <w:tcW w:w="0" w:type="auto"/>
          </w:tcPr>
          <w:p w14:paraId="76D869E8"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6763EAAE"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7F2F09B9" w14:textId="77777777" w:rsidR="008C5CFA" w:rsidRPr="001C4484" w:rsidRDefault="00E82A60" w:rsidP="00300A01">
            <w:pPr>
              <w:spacing w:before="0" w:after="0"/>
              <w:jc w:val="right"/>
              <w:rPr>
                <w:sz w:val="10"/>
                <w:szCs w:val="10"/>
                <w:lang w:val="fr-BE"/>
              </w:rPr>
            </w:pPr>
            <w:r w:rsidRPr="001C4484">
              <w:rPr>
                <w:noProof/>
                <w:sz w:val="10"/>
                <w:szCs w:val="10"/>
                <w:lang w:val="fr-BE"/>
              </w:rPr>
              <w:t>0,00</w:t>
            </w:r>
          </w:p>
        </w:tc>
      </w:tr>
      <w:tr w:rsidR="006B2EC1" w14:paraId="4588D589" w14:textId="77777777" w:rsidTr="0047688D">
        <w:tc>
          <w:tcPr>
            <w:tcW w:w="0" w:type="auto"/>
            <w:shd w:val="clear" w:color="auto" w:fill="auto"/>
          </w:tcPr>
          <w:p w14:paraId="4DC9184E" w14:textId="77777777" w:rsidR="008C5CFA" w:rsidRPr="001C4484" w:rsidRDefault="00E82A60" w:rsidP="00300A01">
            <w:pPr>
              <w:spacing w:before="0" w:after="0"/>
              <w:rPr>
                <w:sz w:val="10"/>
                <w:szCs w:val="10"/>
                <w:lang w:val="fr-BE"/>
              </w:rPr>
            </w:pPr>
            <w:r w:rsidRPr="001C4484">
              <w:rPr>
                <w:noProof/>
                <w:sz w:val="10"/>
                <w:szCs w:val="10"/>
                <w:lang w:val="fr-BE"/>
              </w:rPr>
              <w:t>CO19</w:t>
            </w:r>
          </w:p>
        </w:tc>
        <w:tc>
          <w:tcPr>
            <w:tcW w:w="0" w:type="auto"/>
            <w:shd w:val="clear" w:color="auto" w:fill="auto"/>
          </w:tcPr>
          <w:p w14:paraId="36B656C8" w14:textId="77777777" w:rsidR="008C5CFA" w:rsidRPr="001C4484" w:rsidRDefault="00E82A60" w:rsidP="00300A01">
            <w:pPr>
              <w:spacing w:before="0" w:after="0"/>
              <w:rPr>
                <w:sz w:val="10"/>
                <w:szCs w:val="10"/>
                <w:lang w:val="fr-BE"/>
              </w:rPr>
            </w:pPr>
            <w:r w:rsidRPr="001C4484">
              <w:rPr>
                <w:noProof/>
                <w:sz w:val="10"/>
                <w:szCs w:val="10"/>
                <w:lang w:val="fr-BE"/>
              </w:rPr>
              <w:t>osoby pochodzące z obszarów wiejskich</w:t>
            </w:r>
          </w:p>
        </w:tc>
        <w:tc>
          <w:tcPr>
            <w:tcW w:w="0" w:type="auto"/>
            <w:shd w:val="clear" w:color="auto" w:fill="auto"/>
          </w:tcPr>
          <w:p w14:paraId="0C2C0675"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10007B24"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7D80D63D"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52A7CAE9" w14:textId="77777777" w:rsidR="008C5CFA" w:rsidRPr="001C4484" w:rsidRDefault="00E82A60" w:rsidP="00300A01">
            <w:pPr>
              <w:spacing w:before="0" w:after="0"/>
              <w:jc w:val="right"/>
              <w:rPr>
                <w:sz w:val="10"/>
                <w:szCs w:val="10"/>
                <w:lang w:val="fr-BE"/>
              </w:rPr>
            </w:pPr>
            <w:r w:rsidRPr="001C4484">
              <w:rPr>
                <w:noProof/>
                <w:sz w:val="10"/>
                <w:szCs w:val="10"/>
              </w:rPr>
              <w:t>0,00</w:t>
            </w:r>
          </w:p>
        </w:tc>
        <w:tc>
          <w:tcPr>
            <w:tcW w:w="0" w:type="auto"/>
          </w:tcPr>
          <w:p w14:paraId="0A202417"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0E1538DC"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5F3313BB" w14:textId="77777777" w:rsidR="008C5CFA" w:rsidRPr="001C4484" w:rsidRDefault="00E82A60" w:rsidP="00300A01">
            <w:pPr>
              <w:spacing w:before="0" w:after="0"/>
              <w:jc w:val="right"/>
              <w:rPr>
                <w:sz w:val="10"/>
                <w:szCs w:val="10"/>
                <w:lang w:val="fr-BE"/>
              </w:rPr>
            </w:pPr>
            <w:r w:rsidRPr="001C4484">
              <w:rPr>
                <w:noProof/>
                <w:sz w:val="10"/>
                <w:szCs w:val="10"/>
                <w:lang w:val="fr-BE"/>
              </w:rPr>
              <w:t>0,00</w:t>
            </w:r>
          </w:p>
        </w:tc>
      </w:tr>
      <w:tr w:rsidR="006B2EC1" w14:paraId="6B930269" w14:textId="77777777" w:rsidTr="0047688D">
        <w:tc>
          <w:tcPr>
            <w:tcW w:w="0" w:type="auto"/>
            <w:shd w:val="clear" w:color="auto" w:fill="auto"/>
          </w:tcPr>
          <w:p w14:paraId="2D74B220" w14:textId="77777777" w:rsidR="008C5CFA" w:rsidRPr="001C4484" w:rsidRDefault="00E82A60" w:rsidP="00300A01">
            <w:pPr>
              <w:spacing w:before="0" w:after="0"/>
              <w:rPr>
                <w:sz w:val="10"/>
                <w:szCs w:val="10"/>
                <w:lang w:val="fr-BE"/>
              </w:rPr>
            </w:pPr>
            <w:r w:rsidRPr="001C4484">
              <w:rPr>
                <w:noProof/>
                <w:sz w:val="10"/>
                <w:szCs w:val="10"/>
                <w:lang w:val="fr-BE"/>
              </w:rPr>
              <w:t>CO20</w:t>
            </w:r>
          </w:p>
        </w:tc>
        <w:tc>
          <w:tcPr>
            <w:tcW w:w="0" w:type="auto"/>
            <w:shd w:val="clear" w:color="auto" w:fill="auto"/>
          </w:tcPr>
          <w:p w14:paraId="70E248CB" w14:textId="77777777" w:rsidR="008C5CFA" w:rsidRPr="001C4484" w:rsidRDefault="00E82A60" w:rsidP="00300A01">
            <w:pPr>
              <w:spacing w:before="0" w:after="0"/>
              <w:rPr>
                <w:sz w:val="10"/>
                <w:szCs w:val="10"/>
                <w:lang w:val="fr-BE"/>
              </w:rPr>
            </w:pPr>
            <w:r w:rsidRPr="001C4484">
              <w:rPr>
                <w:noProof/>
                <w:sz w:val="10"/>
                <w:szCs w:val="10"/>
                <w:lang w:val="fr-BE"/>
              </w:rPr>
              <w:t>liczba projektów zrealizowanych w pełni lub częściowo przez partnerów społecznych lub organizacje pozarządowe</w:t>
            </w:r>
          </w:p>
        </w:tc>
        <w:tc>
          <w:tcPr>
            <w:tcW w:w="0" w:type="auto"/>
            <w:shd w:val="clear" w:color="auto" w:fill="auto"/>
          </w:tcPr>
          <w:p w14:paraId="340F856A"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527DFC1D"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463DBEC0" w14:textId="77777777" w:rsidR="008C5CFA" w:rsidRPr="001C4484" w:rsidRDefault="008C5CFA" w:rsidP="00300A01">
            <w:pPr>
              <w:spacing w:before="0" w:after="0"/>
              <w:jc w:val="right"/>
              <w:rPr>
                <w:sz w:val="10"/>
                <w:szCs w:val="10"/>
              </w:rPr>
            </w:pPr>
          </w:p>
        </w:tc>
        <w:tc>
          <w:tcPr>
            <w:tcW w:w="0" w:type="auto"/>
            <w:shd w:val="clear" w:color="auto" w:fill="auto"/>
          </w:tcPr>
          <w:p w14:paraId="49CB99E6" w14:textId="77777777" w:rsidR="008C5CFA" w:rsidRPr="001C4484" w:rsidRDefault="008C5CFA" w:rsidP="00300A01">
            <w:pPr>
              <w:spacing w:before="0" w:after="0"/>
              <w:jc w:val="right"/>
              <w:rPr>
                <w:sz w:val="10"/>
                <w:szCs w:val="10"/>
                <w:lang w:val="fr-BE"/>
              </w:rPr>
            </w:pPr>
          </w:p>
        </w:tc>
        <w:tc>
          <w:tcPr>
            <w:tcW w:w="0" w:type="auto"/>
          </w:tcPr>
          <w:p w14:paraId="22DBF7B4"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6BBA847D" w14:textId="77777777" w:rsidR="008C5CFA" w:rsidRPr="001C4484" w:rsidRDefault="008C5CFA" w:rsidP="00300A01">
            <w:pPr>
              <w:spacing w:before="0" w:after="0"/>
              <w:jc w:val="right"/>
              <w:rPr>
                <w:sz w:val="10"/>
                <w:szCs w:val="10"/>
              </w:rPr>
            </w:pPr>
          </w:p>
        </w:tc>
        <w:tc>
          <w:tcPr>
            <w:tcW w:w="0" w:type="auto"/>
            <w:shd w:val="clear" w:color="auto" w:fill="auto"/>
          </w:tcPr>
          <w:p w14:paraId="6D798FEA" w14:textId="77777777" w:rsidR="008C5CFA" w:rsidRPr="001C4484" w:rsidRDefault="008C5CFA" w:rsidP="00300A01">
            <w:pPr>
              <w:spacing w:before="0" w:after="0"/>
              <w:jc w:val="right"/>
              <w:rPr>
                <w:sz w:val="10"/>
                <w:szCs w:val="10"/>
                <w:lang w:val="fr-BE"/>
              </w:rPr>
            </w:pPr>
          </w:p>
        </w:tc>
      </w:tr>
      <w:tr w:rsidR="006B2EC1" w14:paraId="4C4A1087" w14:textId="77777777" w:rsidTr="0047688D">
        <w:tc>
          <w:tcPr>
            <w:tcW w:w="0" w:type="auto"/>
            <w:shd w:val="clear" w:color="auto" w:fill="auto"/>
          </w:tcPr>
          <w:p w14:paraId="01D06079" w14:textId="77777777" w:rsidR="008C5CFA" w:rsidRPr="001C4484" w:rsidRDefault="00E82A60" w:rsidP="00300A01">
            <w:pPr>
              <w:spacing w:before="0" w:after="0"/>
              <w:rPr>
                <w:sz w:val="10"/>
                <w:szCs w:val="10"/>
                <w:lang w:val="fr-BE"/>
              </w:rPr>
            </w:pPr>
            <w:r w:rsidRPr="001C4484">
              <w:rPr>
                <w:noProof/>
                <w:sz w:val="10"/>
                <w:szCs w:val="10"/>
                <w:lang w:val="fr-BE"/>
              </w:rPr>
              <w:t>CO21</w:t>
            </w:r>
          </w:p>
        </w:tc>
        <w:tc>
          <w:tcPr>
            <w:tcW w:w="0" w:type="auto"/>
            <w:shd w:val="clear" w:color="auto" w:fill="auto"/>
          </w:tcPr>
          <w:p w14:paraId="3211ABD8" w14:textId="77777777" w:rsidR="008C5CFA" w:rsidRPr="001C4484" w:rsidRDefault="00E82A60" w:rsidP="00300A01">
            <w:pPr>
              <w:spacing w:before="0" w:after="0"/>
              <w:rPr>
                <w:sz w:val="10"/>
                <w:szCs w:val="10"/>
                <w:lang w:val="fr-BE"/>
              </w:rPr>
            </w:pPr>
            <w:r w:rsidRPr="001C4484">
              <w:rPr>
                <w:noProof/>
                <w:sz w:val="10"/>
                <w:szCs w:val="10"/>
                <w:lang w:val="fr-BE"/>
              </w:rPr>
              <w:t>liczba projektów ukierunkowanych na trwały udział kobiet w zatrudnieniu i rozwój ich kariery zawodowej</w:t>
            </w:r>
          </w:p>
        </w:tc>
        <w:tc>
          <w:tcPr>
            <w:tcW w:w="0" w:type="auto"/>
            <w:shd w:val="clear" w:color="auto" w:fill="auto"/>
          </w:tcPr>
          <w:p w14:paraId="6AFA458D"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1E4B1907"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420BDD1C" w14:textId="77777777" w:rsidR="008C5CFA" w:rsidRPr="001C4484" w:rsidRDefault="008C5CFA" w:rsidP="00300A01">
            <w:pPr>
              <w:spacing w:before="0" w:after="0"/>
              <w:jc w:val="right"/>
              <w:rPr>
                <w:sz w:val="10"/>
                <w:szCs w:val="10"/>
              </w:rPr>
            </w:pPr>
          </w:p>
        </w:tc>
        <w:tc>
          <w:tcPr>
            <w:tcW w:w="0" w:type="auto"/>
            <w:shd w:val="clear" w:color="auto" w:fill="auto"/>
          </w:tcPr>
          <w:p w14:paraId="5C2E6485" w14:textId="77777777" w:rsidR="008C5CFA" w:rsidRPr="001C4484" w:rsidRDefault="008C5CFA" w:rsidP="00300A01">
            <w:pPr>
              <w:spacing w:before="0" w:after="0"/>
              <w:jc w:val="right"/>
              <w:rPr>
                <w:sz w:val="10"/>
                <w:szCs w:val="10"/>
                <w:lang w:val="fr-BE"/>
              </w:rPr>
            </w:pPr>
          </w:p>
        </w:tc>
        <w:tc>
          <w:tcPr>
            <w:tcW w:w="0" w:type="auto"/>
          </w:tcPr>
          <w:p w14:paraId="7AD32AFD"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1225229A" w14:textId="77777777" w:rsidR="008C5CFA" w:rsidRPr="001C4484" w:rsidRDefault="008C5CFA" w:rsidP="00300A01">
            <w:pPr>
              <w:spacing w:before="0" w:after="0"/>
              <w:jc w:val="right"/>
              <w:rPr>
                <w:sz w:val="10"/>
                <w:szCs w:val="10"/>
              </w:rPr>
            </w:pPr>
          </w:p>
        </w:tc>
        <w:tc>
          <w:tcPr>
            <w:tcW w:w="0" w:type="auto"/>
            <w:shd w:val="clear" w:color="auto" w:fill="auto"/>
          </w:tcPr>
          <w:p w14:paraId="35AD16A2" w14:textId="77777777" w:rsidR="008C5CFA" w:rsidRPr="001C4484" w:rsidRDefault="008C5CFA" w:rsidP="00300A01">
            <w:pPr>
              <w:spacing w:before="0" w:after="0"/>
              <w:jc w:val="right"/>
              <w:rPr>
                <w:sz w:val="10"/>
                <w:szCs w:val="10"/>
                <w:lang w:val="fr-BE"/>
              </w:rPr>
            </w:pPr>
          </w:p>
        </w:tc>
      </w:tr>
      <w:tr w:rsidR="006B2EC1" w14:paraId="3FA1982A" w14:textId="77777777" w:rsidTr="0047688D">
        <w:tc>
          <w:tcPr>
            <w:tcW w:w="0" w:type="auto"/>
            <w:shd w:val="clear" w:color="auto" w:fill="auto"/>
          </w:tcPr>
          <w:p w14:paraId="5068F66A" w14:textId="77777777" w:rsidR="008C5CFA" w:rsidRPr="001C4484" w:rsidRDefault="00E82A60" w:rsidP="00300A01">
            <w:pPr>
              <w:spacing w:before="0" w:after="0"/>
              <w:rPr>
                <w:sz w:val="10"/>
                <w:szCs w:val="10"/>
                <w:lang w:val="fr-BE"/>
              </w:rPr>
            </w:pPr>
            <w:r w:rsidRPr="001C4484">
              <w:rPr>
                <w:noProof/>
                <w:sz w:val="10"/>
                <w:szCs w:val="10"/>
                <w:lang w:val="fr-BE"/>
              </w:rPr>
              <w:t>CO22</w:t>
            </w:r>
          </w:p>
        </w:tc>
        <w:tc>
          <w:tcPr>
            <w:tcW w:w="0" w:type="auto"/>
            <w:shd w:val="clear" w:color="auto" w:fill="auto"/>
          </w:tcPr>
          <w:p w14:paraId="65C22582" w14:textId="77777777" w:rsidR="008C5CFA" w:rsidRPr="001C4484" w:rsidRDefault="00E82A60" w:rsidP="00300A01">
            <w:pPr>
              <w:spacing w:before="0" w:after="0"/>
              <w:rPr>
                <w:sz w:val="10"/>
                <w:szCs w:val="10"/>
                <w:lang w:val="fr-BE"/>
              </w:rPr>
            </w:pPr>
            <w:r w:rsidRPr="001C4484">
              <w:rPr>
                <w:noProof/>
                <w:sz w:val="10"/>
                <w:szCs w:val="10"/>
                <w:lang w:val="fr-BE"/>
              </w:rPr>
              <w:t>liczba projektów obejmujących administrację publiczną lub służby publiczne na szczeblu krajowym, regionalnym lub lokalnym</w:t>
            </w:r>
          </w:p>
        </w:tc>
        <w:tc>
          <w:tcPr>
            <w:tcW w:w="0" w:type="auto"/>
            <w:shd w:val="clear" w:color="auto" w:fill="auto"/>
          </w:tcPr>
          <w:p w14:paraId="6425E6BC"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1D119377"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4652F58D" w14:textId="77777777" w:rsidR="008C5CFA" w:rsidRPr="001C4484" w:rsidRDefault="008C5CFA" w:rsidP="00300A01">
            <w:pPr>
              <w:spacing w:before="0" w:after="0"/>
              <w:jc w:val="right"/>
              <w:rPr>
                <w:sz w:val="10"/>
                <w:szCs w:val="10"/>
              </w:rPr>
            </w:pPr>
          </w:p>
        </w:tc>
        <w:tc>
          <w:tcPr>
            <w:tcW w:w="0" w:type="auto"/>
            <w:shd w:val="clear" w:color="auto" w:fill="auto"/>
          </w:tcPr>
          <w:p w14:paraId="77A2FA56" w14:textId="77777777" w:rsidR="008C5CFA" w:rsidRPr="001C4484" w:rsidRDefault="008C5CFA" w:rsidP="00300A01">
            <w:pPr>
              <w:spacing w:before="0" w:after="0"/>
              <w:jc w:val="right"/>
              <w:rPr>
                <w:sz w:val="10"/>
                <w:szCs w:val="10"/>
                <w:lang w:val="fr-BE"/>
              </w:rPr>
            </w:pPr>
          </w:p>
        </w:tc>
        <w:tc>
          <w:tcPr>
            <w:tcW w:w="0" w:type="auto"/>
          </w:tcPr>
          <w:p w14:paraId="426AA676"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1080C207" w14:textId="77777777" w:rsidR="008C5CFA" w:rsidRPr="001C4484" w:rsidRDefault="008C5CFA" w:rsidP="00300A01">
            <w:pPr>
              <w:spacing w:before="0" w:after="0"/>
              <w:jc w:val="right"/>
              <w:rPr>
                <w:sz w:val="10"/>
                <w:szCs w:val="10"/>
              </w:rPr>
            </w:pPr>
          </w:p>
        </w:tc>
        <w:tc>
          <w:tcPr>
            <w:tcW w:w="0" w:type="auto"/>
            <w:shd w:val="clear" w:color="auto" w:fill="auto"/>
          </w:tcPr>
          <w:p w14:paraId="36A0531F" w14:textId="77777777" w:rsidR="008C5CFA" w:rsidRPr="001C4484" w:rsidRDefault="008C5CFA" w:rsidP="00300A01">
            <w:pPr>
              <w:spacing w:before="0" w:after="0"/>
              <w:jc w:val="right"/>
              <w:rPr>
                <w:sz w:val="10"/>
                <w:szCs w:val="10"/>
                <w:lang w:val="fr-BE"/>
              </w:rPr>
            </w:pPr>
          </w:p>
        </w:tc>
      </w:tr>
      <w:tr w:rsidR="006B2EC1" w14:paraId="16E5EEAC" w14:textId="77777777" w:rsidTr="0047688D">
        <w:tc>
          <w:tcPr>
            <w:tcW w:w="0" w:type="auto"/>
            <w:shd w:val="clear" w:color="auto" w:fill="auto"/>
          </w:tcPr>
          <w:p w14:paraId="35575D2C" w14:textId="77777777" w:rsidR="008C5CFA" w:rsidRPr="001C4484" w:rsidRDefault="00E82A60" w:rsidP="00300A01">
            <w:pPr>
              <w:spacing w:before="0" w:after="0"/>
              <w:rPr>
                <w:sz w:val="10"/>
                <w:szCs w:val="10"/>
                <w:lang w:val="fr-BE"/>
              </w:rPr>
            </w:pPr>
            <w:r w:rsidRPr="001C4484">
              <w:rPr>
                <w:noProof/>
                <w:sz w:val="10"/>
                <w:szCs w:val="10"/>
                <w:lang w:val="fr-BE"/>
              </w:rPr>
              <w:t>CO23</w:t>
            </w:r>
          </w:p>
        </w:tc>
        <w:tc>
          <w:tcPr>
            <w:tcW w:w="0" w:type="auto"/>
            <w:shd w:val="clear" w:color="auto" w:fill="auto"/>
          </w:tcPr>
          <w:p w14:paraId="739E399F" w14:textId="77777777" w:rsidR="008C5CFA" w:rsidRPr="001C4484" w:rsidRDefault="00E82A60" w:rsidP="00300A01">
            <w:pPr>
              <w:spacing w:before="0" w:after="0"/>
              <w:rPr>
                <w:sz w:val="10"/>
                <w:szCs w:val="10"/>
                <w:lang w:val="fr-BE"/>
              </w:rPr>
            </w:pPr>
            <w:r w:rsidRPr="001C4484">
              <w:rPr>
                <w:noProof/>
                <w:sz w:val="10"/>
                <w:szCs w:val="10"/>
                <w:lang w:val="fr-BE"/>
              </w:rPr>
              <w:t>liczba objętych wsparciem mikro-, małych i średnich przedsiębiorstw (w tym przedsiębiorstw spółdzielczych i przedsiębiorstw gospodarki społecznej)</w:t>
            </w:r>
          </w:p>
        </w:tc>
        <w:tc>
          <w:tcPr>
            <w:tcW w:w="0" w:type="auto"/>
            <w:shd w:val="clear" w:color="auto" w:fill="auto"/>
          </w:tcPr>
          <w:p w14:paraId="18158465"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0C84E572"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6162F637" w14:textId="77777777" w:rsidR="008C5CFA" w:rsidRPr="001C4484" w:rsidRDefault="008C5CFA" w:rsidP="00300A01">
            <w:pPr>
              <w:spacing w:before="0" w:after="0"/>
              <w:jc w:val="right"/>
              <w:rPr>
                <w:sz w:val="10"/>
                <w:szCs w:val="10"/>
              </w:rPr>
            </w:pPr>
          </w:p>
        </w:tc>
        <w:tc>
          <w:tcPr>
            <w:tcW w:w="0" w:type="auto"/>
            <w:shd w:val="clear" w:color="auto" w:fill="auto"/>
          </w:tcPr>
          <w:p w14:paraId="2C8C97D7" w14:textId="77777777" w:rsidR="008C5CFA" w:rsidRPr="001C4484" w:rsidRDefault="008C5CFA" w:rsidP="00300A01">
            <w:pPr>
              <w:spacing w:before="0" w:after="0"/>
              <w:jc w:val="right"/>
              <w:rPr>
                <w:sz w:val="10"/>
                <w:szCs w:val="10"/>
                <w:lang w:val="fr-BE"/>
              </w:rPr>
            </w:pPr>
          </w:p>
        </w:tc>
        <w:tc>
          <w:tcPr>
            <w:tcW w:w="0" w:type="auto"/>
          </w:tcPr>
          <w:p w14:paraId="28A9D040"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15A6E31F" w14:textId="77777777" w:rsidR="008C5CFA" w:rsidRPr="001C4484" w:rsidRDefault="008C5CFA" w:rsidP="00300A01">
            <w:pPr>
              <w:spacing w:before="0" w:after="0"/>
              <w:jc w:val="right"/>
              <w:rPr>
                <w:sz w:val="10"/>
                <w:szCs w:val="10"/>
              </w:rPr>
            </w:pPr>
          </w:p>
        </w:tc>
        <w:tc>
          <w:tcPr>
            <w:tcW w:w="0" w:type="auto"/>
            <w:shd w:val="clear" w:color="auto" w:fill="auto"/>
          </w:tcPr>
          <w:p w14:paraId="3E63D4C2" w14:textId="77777777" w:rsidR="008C5CFA" w:rsidRPr="001C4484" w:rsidRDefault="008C5CFA" w:rsidP="00300A01">
            <w:pPr>
              <w:spacing w:before="0" w:after="0"/>
              <w:jc w:val="right"/>
              <w:rPr>
                <w:sz w:val="10"/>
                <w:szCs w:val="10"/>
                <w:lang w:val="fr-BE"/>
              </w:rPr>
            </w:pPr>
          </w:p>
        </w:tc>
      </w:tr>
      <w:tr w:rsidR="006B2EC1" w14:paraId="25C9DF84" w14:textId="77777777" w:rsidTr="0047688D">
        <w:tc>
          <w:tcPr>
            <w:tcW w:w="0" w:type="auto"/>
            <w:shd w:val="clear" w:color="auto" w:fill="auto"/>
          </w:tcPr>
          <w:p w14:paraId="0E01E7F2" w14:textId="77777777" w:rsidR="008C5CFA" w:rsidRPr="001C4484" w:rsidRDefault="008C5CFA" w:rsidP="00300A01">
            <w:pPr>
              <w:spacing w:before="0" w:after="0"/>
              <w:rPr>
                <w:sz w:val="10"/>
                <w:szCs w:val="10"/>
                <w:lang w:val="fr-BE"/>
              </w:rPr>
            </w:pPr>
          </w:p>
        </w:tc>
        <w:tc>
          <w:tcPr>
            <w:tcW w:w="0" w:type="auto"/>
            <w:shd w:val="clear" w:color="auto" w:fill="auto"/>
          </w:tcPr>
          <w:p w14:paraId="7A2BEFE0" w14:textId="77777777" w:rsidR="008C5CFA" w:rsidRPr="001C4484" w:rsidRDefault="00E82A60" w:rsidP="00300A01">
            <w:pPr>
              <w:spacing w:before="0" w:after="0"/>
              <w:rPr>
                <w:sz w:val="10"/>
                <w:szCs w:val="10"/>
                <w:lang w:val="fr-BE"/>
              </w:rPr>
            </w:pPr>
            <w:r w:rsidRPr="001C4484">
              <w:rPr>
                <w:noProof/>
                <w:sz w:val="10"/>
                <w:szCs w:val="10"/>
                <w:lang w:val="fr-BE"/>
              </w:rPr>
              <w:t>Całkowita łączna liczba uczestników</w:t>
            </w:r>
          </w:p>
        </w:tc>
        <w:tc>
          <w:tcPr>
            <w:tcW w:w="0" w:type="auto"/>
            <w:shd w:val="clear" w:color="auto" w:fill="auto"/>
          </w:tcPr>
          <w:p w14:paraId="029E50BA" w14:textId="77777777" w:rsidR="008C5CFA" w:rsidRPr="001C4484" w:rsidRDefault="008C5CFA" w:rsidP="00300A01">
            <w:pPr>
              <w:spacing w:before="0" w:after="0"/>
              <w:rPr>
                <w:sz w:val="10"/>
                <w:szCs w:val="10"/>
                <w:lang w:val="fr-BE"/>
              </w:rPr>
            </w:pPr>
          </w:p>
        </w:tc>
        <w:tc>
          <w:tcPr>
            <w:tcW w:w="0" w:type="auto"/>
          </w:tcPr>
          <w:p w14:paraId="0E8B95DD"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1C00EBCC" w14:textId="77777777" w:rsidR="008C5CFA" w:rsidRPr="001C4484" w:rsidRDefault="008C5CFA" w:rsidP="00300A01">
            <w:pPr>
              <w:spacing w:before="0" w:after="0"/>
              <w:jc w:val="right"/>
              <w:rPr>
                <w:sz w:val="10"/>
                <w:szCs w:val="10"/>
              </w:rPr>
            </w:pPr>
          </w:p>
        </w:tc>
        <w:tc>
          <w:tcPr>
            <w:tcW w:w="0" w:type="auto"/>
            <w:shd w:val="clear" w:color="auto" w:fill="auto"/>
          </w:tcPr>
          <w:p w14:paraId="6A62B78A" w14:textId="77777777" w:rsidR="008C5CFA" w:rsidRPr="001C4484" w:rsidRDefault="008C5CFA" w:rsidP="00300A01">
            <w:pPr>
              <w:spacing w:before="0" w:after="0"/>
              <w:jc w:val="right"/>
              <w:rPr>
                <w:sz w:val="10"/>
                <w:szCs w:val="10"/>
                <w:lang w:val="fr-BE"/>
              </w:rPr>
            </w:pPr>
          </w:p>
        </w:tc>
        <w:tc>
          <w:tcPr>
            <w:tcW w:w="0" w:type="auto"/>
          </w:tcPr>
          <w:p w14:paraId="68281F71"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664B2AFC" w14:textId="77777777" w:rsidR="008C5CFA" w:rsidRPr="001C4484" w:rsidRDefault="008C5CFA" w:rsidP="00300A01">
            <w:pPr>
              <w:spacing w:before="0" w:after="0"/>
              <w:jc w:val="right"/>
              <w:rPr>
                <w:sz w:val="10"/>
                <w:szCs w:val="10"/>
              </w:rPr>
            </w:pPr>
          </w:p>
        </w:tc>
        <w:tc>
          <w:tcPr>
            <w:tcW w:w="0" w:type="auto"/>
            <w:shd w:val="clear" w:color="auto" w:fill="auto"/>
          </w:tcPr>
          <w:p w14:paraId="6CBCE5D4" w14:textId="77777777" w:rsidR="008C5CFA" w:rsidRPr="001C4484" w:rsidRDefault="008C5CFA" w:rsidP="00300A01">
            <w:pPr>
              <w:spacing w:before="0" w:after="0"/>
              <w:jc w:val="right"/>
              <w:rPr>
                <w:sz w:val="10"/>
                <w:szCs w:val="10"/>
                <w:lang w:val="fr-BE"/>
              </w:rPr>
            </w:pPr>
          </w:p>
        </w:tc>
      </w:tr>
    </w:tbl>
    <w:p w14:paraId="4C909B33" w14:textId="77777777" w:rsidR="008C5CFA" w:rsidRDefault="00E82A60" w:rsidP="00300A01">
      <w:pPr>
        <w:spacing w:before="0" w:after="0"/>
        <w:rPr>
          <w:lang w:val="fr-BE"/>
        </w:rPr>
      </w:pPr>
      <w:r>
        <w:rPr>
          <w:lang w:val="fr-BE"/>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2"/>
        <w:gridCol w:w="12842"/>
      </w:tblGrid>
      <w:tr w:rsidR="006B2EC1" w14:paraId="06E7F19D" w14:textId="77777777" w:rsidTr="0047688D">
        <w:tc>
          <w:tcPr>
            <w:tcW w:w="0" w:type="auto"/>
            <w:shd w:val="clear" w:color="auto" w:fill="auto"/>
          </w:tcPr>
          <w:p w14:paraId="629EE1F8" w14:textId="77777777" w:rsidR="008C5CFA" w:rsidRPr="002124FC" w:rsidRDefault="00E82A60" w:rsidP="00300A01">
            <w:pPr>
              <w:spacing w:before="0" w:after="0"/>
              <w:rPr>
                <w:sz w:val="20"/>
                <w:szCs w:val="20"/>
                <w:lang w:val="fr-BE"/>
              </w:rPr>
            </w:pPr>
            <w:r>
              <w:rPr>
                <w:lang w:val="fr-BE"/>
              </w:rPr>
              <w:lastRenderedPageBreak/>
              <w:br w:type="page"/>
            </w:r>
            <w:r>
              <w:rPr>
                <w:lang w:val="fr-BE"/>
              </w:rPr>
              <w:br w:type="page"/>
            </w:r>
            <w:r w:rsidRPr="002124FC">
              <w:rPr>
                <w:noProof/>
                <w:sz w:val="20"/>
                <w:szCs w:val="20"/>
                <w:lang w:val="fr-BE"/>
              </w:rPr>
              <w:t>Oś priorytetowa</w:t>
            </w:r>
          </w:p>
        </w:tc>
        <w:tc>
          <w:tcPr>
            <w:tcW w:w="0" w:type="auto"/>
            <w:shd w:val="clear" w:color="auto" w:fill="auto"/>
          </w:tcPr>
          <w:p w14:paraId="044FDD42" w14:textId="77777777" w:rsidR="008C5CFA" w:rsidRPr="002124FC" w:rsidRDefault="00E82A60" w:rsidP="00300A01">
            <w:pPr>
              <w:spacing w:before="0" w:after="0"/>
              <w:rPr>
                <w:sz w:val="20"/>
                <w:szCs w:val="20"/>
                <w:lang w:val="fr-BE"/>
              </w:rPr>
            </w:pPr>
            <w:r w:rsidRPr="002124FC">
              <w:rPr>
                <w:noProof/>
                <w:sz w:val="20"/>
                <w:szCs w:val="20"/>
                <w:lang w:val="fr-BE"/>
              </w:rPr>
              <w:t>9</w:t>
            </w:r>
            <w:r w:rsidRPr="002124FC">
              <w:rPr>
                <w:sz w:val="20"/>
                <w:szCs w:val="20"/>
                <w:lang w:val="fr-BE"/>
              </w:rPr>
              <w:t xml:space="preserve"> - </w:t>
            </w:r>
            <w:r w:rsidRPr="002124FC">
              <w:rPr>
                <w:noProof/>
                <w:sz w:val="20"/>
                <w:szCs w:val="20"/>
                <w:lang w:val="fr-BE"/>
              </w:rPr>
              <w:t>Włączenie społeczne i walka z ubóstwem</w:t>
            </w:r>
          </w:p>
        </w:tc>
      </w:tr>
      <w:tr w:rsidR="006B2EC1" w14:paraId="02EEFC4E" w14:textId="77777777" w:rsidTr="0047688D">
        <w:tc>
          <w:tcPr>
            <w:tcW w:w="0" w:type="auto"/>
            <w:shd w:val="clear" w:color="auto" w:fill="auto"/>
          </w:tcPr>
          <w:p w14:paraId="0B2CD633" w14:textId="77777777" w:rsidR="008C5CFA" w:rsidRPr="002124FC" w:rsidRDefault="00E82A60"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14:paraId="522224EA" w14:textId="77777777" w:rsidR="008C5CFA" w:rsidRPr="002124FC" w:rsidRDefault="00E82A60" w:rsidP="00300A01">
            <w:pPr>
              <w:spacing w:before="0" w:after="0"/>
              <w:rPr>
                <w:sz w:val="20"/>
                <w:szCs w:val="20"/>
                <w:lang w:val="fr-BE"/>
              </w:rPr>
            </w:pPr>
            <w:r w:rsidRPr="002124FC">
              <w:rPr>
                <w:noProof/>
                <w:sz w:val="20"/>
                <w:szCs w:val="20"/>
                <w:lang w:val="fr-BE"/>
              </w:rPr>
              <w:t>9i</w:t>
            </w:r>
            <w:r w:rsidRPr="002124FC">
              <w:rPr>
                <w:sz w:val="20"/>
                <w:szCs w:val="20"/>
                <w:lang w:val="fr-BE"/>
              </w:rPr>
              <w:t xml:space="preserve"> - </w:t>
            </w:r>
            <w:r w:rsidRPr="002124FC">
              <w:rPr>
                <w:noProof/>
                <w:sz w:val="20"/>
                <w:szCs w:val="20"/>
                <w:lang w:val="fr-BE"/>
              </w:rPr>
              <w:t>Aktywne włączenie, w tym z myślą o promowaniu równych szans oraz aktywnego uczestnictwa i zwiększaniu szans na zatrudnienie</w:t>
            </w:r>
          </w:p>
        </w:tc>
      </w:tr>
    </w:tbl>
    <w:p w14:paraId="2551E0E7" w14:textId="77777777" w:rsidR="008C5CFA" w:rsidRDefault="008C5CFA" w:rsidP="00300A01">
      <w:pPr>
        <w:spacing w:before="0" w:after="0"/>
      </w:pPr>
    </w:p>
    <w:p w14:paraId="512DC9F9" w14:textId="77777777" w:rsidR="008C5CFA" w:rsidRPr="008E457C" w:rsidRDefault="00E82A60" w:rsidP="00300A01">
      <w:pPr>
        <w:pStyle w:val="Nagwek2"/>
        <w:spacing w:before="0" w:after="0"/>
        <w:rPr>
          <w:b w:val="0"/>
        </w:rPr>
      </w:pPr>
      <w:bookmarkStart w:id="70" w:name="_Toc46391754"/>
      <w:r w:rsidRPr="008E457C">
        <w:rPr>
          <w:b w:val="0"/>
          <w:noProof/>
          <w:lang w:val="fr-BE"/>
        </w:rPr>
        <w:t>Tabela 4B Specyficzne dla programu wskaźniki produktu dla EFS oraz Inicjatywy na rzecz zatrudnienia ludzi młodych</w:t>
      </w:r>
      <w:r w:rsidR="009A51C8">
        <w:rPr>
          <w:b w:val="0"/>
        </w:rPr>
        <w:t xml:space="preserve"> - </w:t>
      </w:r>
      <w:r w:rsidR="009A51C8" w:rsidRPr="002124FC">
        <w:rPr>
          <w:noProof/>
          <w:sz w:val="20"/>
          <w:szCs w:val="20"/>
          <w:lang w:val="fr-BE"/>
        </w:rPr>
        <w:t>9</w:t>
      </w:r>
      <w:bookmarkEnd w:id="70"/>
    </w:p>
    <w:p w14:paraId="64AA2DF2" w14:textId="77777777" w:rsidR="008C5CFA" w:rsidRDefault="008C5CFA" w:rsidP="00300A01">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31"/>
        <w:gridCol w:w="5269"/>
        <w:gridCol w:w="1124"/>
        <w:gridCol w:w="1040"/>
        <w:gridCol w:w="583"/>
        <w:gridCol w:w="708"/>
        <w:gridCol w:w="569"/>
        <w:gridCol w:w="583"/>
        <w:gridCol w:w="708"/>
        <w:gridCol w:w="569"/>
        <w:gridCol w:w="563"/>
        <w:gridCol w:w="708"/>
        <w:gridCol w:w="569"/>
        <w:gridCol w:w="583"/>
        <w:gridCol w:w="708"/>
        <w:gridCol w:w="569"/>
      </w:tblGrid>
      <w:tr w:rsidR="006B2EC1" w14:paraId="2C4635A8" w14:textId="77777777" w:rsidTr="002A1502">
        <w:trPr>
          <w:tblHeader/>
        </w:trPr>
        <w:tc>
          <w:tcPr>
            <w:tcW w:w="0" w:type="auto"/>
            <w:shd w:val="clear" w:color="auto" w:fill="auto"/>
          </w:tcPr>
          <w:p w14:paraId="6FB18A9B" w14:textId="77777777" w:rsidR="008C5CFA" w:rsidRPr="00A92B39" w:rsidRDefault="00E82A60" w:rsidP="00300A01">
            <w:pPr>
              <w:spacing w:before="0" w:after="0"/>
              <w:rPr>
                <w:b/>
                <w:sz w:val="10"/>
                <w:szCs w:val="10"/>
                <w:lang w:val="fr-BE"/>
              </w:rPr>
            </w:pPr>
            <w:r w:rsidRPr="00A92B39">
              <w:rPr>
                <w:b/>
                <w:noProof/>
                <w:sz w:val="10"/>
                <w:szCs w:val="10"/>
                <w:lang w:val="fr-BE"/>
              </w:rPr>
              <w:t>ID</w:t>
            </w:r>
          </w:p>
        </w:tc>
        <w:tc>
          <w:tcPr>
            <w:tcW w:w="0" w:type="auto"/>
            <w:shd w:val="clear" w:color="auto" w:fill="auto"/>
          </w:tcPr>
          <w:p w14:paraId="091F5984" w14:textId="77777777" w:rsidR="008C5CFA" w:rsidRPr="00A92B39" w:rsidRDefault="00E82A60" w:rsidP="00300A01">
            <w:pPr>
              <w:spacing w:before="0" w:after="0"/>
              <w:rPr>
                <w:b/>
                <w:sz w:val="10"/>
                <w:szCs w:val="10"/>
                <w:lang w:val="fr-BE"/>
              </w:rPr>
            </w:pPr>
            <w:r w:rsidRPr="00A92B39">
              <w:rPr>
                <w:b/>
                <w:noProof/>
                <w:sz w:val="10"/>
                <w:szCs w:val="10"/>
                <w:lang w:val="fr-BE"/>
              </w:rPr>
              <w:t>Wskaźnik</w:t>
            </w:r>
          </w:p>
        </w:tc>
        <w:tc>
          <w:tcPr>
            <w:tcW w:w="0" w:type="auto"/>
            <w:shd w:val="clear" w:color="auto" w:fill="auto"/>
          </w:tcPr>
          <w:p w14:paraId="12B9E483" w14:textId="77777777" w:rsidR="008C5CFA" w:rsidRPr="00A92B39" w:rsidRDefault="00E82A60" w:rsidP="00300A01">
            <w:pPr>
              <w:spacing w:before="0" w:after="0"/>
              <w:rPr>
                <w:b/>
                <w:sz w:val="10"/>
                <w:szCs w:val="10"/>
                <w:lang w:val="fr-BE"/>
              </w:rPr>
            </w:pPr>
            <w:r w:rsidRPr="00A92B39">
              <w:rPr>
                <w:b/>
                <w:noProof/>
                <w:sz w:val="10"/>
                <w:szCs w:val="10"/>
                <w:lang w:val="fr-BE"/>
              </w:rPr>
              <w:t>Kategoria regionu</w:t>
            </w:r>
          </w:p>
        </w:tc>
        <w:tc>
          <w:tcPr>
            <w:tcW w:w="0" w:type="auto"/>
          </w:tcPr>
          <w:p w14:paraId="00803AFA" w14:textId="77777777" w:rsidR="008C5CFA" w:rsidRPr="00A92B39" w:rsidRDefault="00E82A60" w:rsidP="00300A01">
            <w:pPr>
              <w:spacing w:before="0" w:after="0"/>
              <w:jc w:val="center"/>
              <w:rPr>
                <w:b/>
                <w:sz w:val="10"/>
                <w:szCs w:val="10"/>
                <w:lang w:val="fr-BE"/>
              </w:rPr>
            </w:pPr>
            <w:r w:rsidRPr="00A92B39">
              <w:rPr>
                <w:b/>
                <w:noProof/>
                <w:sz w:val="10"/>
                <w:szCs w:val="10"/>
                <w:lang w:val="fr-BE"/>
              </w:rPr>
              <w:t>Jednostka miary</w:t>
            </w:r>
          </w:p>
        </w:tc>
        <w:tc>
          <w:tcPr>
            <w:tcW w:w="0" w:type="auto"/>
            <w:gridSpan w:val="3"/>
            <w:shd w:val="clear" w:color="auto" w:fill="auto"/>
          </w:tcPr>
          <w:p w14:paraId="526343F0" w14:textId="77777777" w:rsidR="008C5CFA" w:rsidRPr="00A92B39" w:rsidRDefault="00E82A60" w:rsidP="00300A01">
            <w:pPr>
              <w:spacing w:before="0" w:after="0"/>
              <w:jc w:val="center"/>
              <w:rPr>
                <w:b/>
                <w:sz w:val="10"/>
                <w:szCs w:val="10"/>
                <w:lang w:val="fr-BE"/>
              </w:rPr>
            </w:pPr>
            <w:r w:rsidRPr="00A92B39">
              <w:rPr>
                <w:b/>
                <w:noProof/>
                <w:sz w:val="10"/>
                <w:szCs w:val="10"/>
                <w:lang w:val="fr-BE"/>
              </w:rPr>
              <w:t>Wartość docelowa (2023)</w:t>
            </w:r>
          </w:p>
        </w:tc>
        <w:tc>
          <w:tcPr>
            <w:tcW w:w="0" w:type="auto"/>
            <w:gridSpan w:val="3"/>
            <w:shd w:val="clear" w:color="auto" w:fill="auto"/>
          </w:tcPr>
          <w:p w14:paraId="45323417" w14:textId="77777777" w:rsidR="008C5CFA" w:rsidRPr="00A92B39" w:rsidRDefault="00E82A60" w:rsidP="00300A01">
            <w:pPr>
              <w:spacing w:before="0" w:after="0"/>
              <w:jc w:val="center"/>
              <w:rPr>
                <w:b/>
                <w:sz w:val="10"/>
                <w:szCs w:val="10"/>
                <w:lang w:val="fr-BE"/>
              </w:rPr>
            </w:pPr>
            <w:r w:rsidRPr="00A92B39">
              <w:rPr>
                <w:b/>
                <w:noProof/>
                <w:sz w:val="10"/>
                <w:szCs w:val="10"/>
                <w:lang w:val="fr-BE"/>
              </w:rPr>
              <w:t>Wartość skumulowana</w:t>
            </w:r>
          </w:p>
        </w:tc>
        <w:tc>
          <w:tcPr>
            <w:tcW w:w="0" w:type="auto"/>
            <w:gridSpan w:val="3"/>
            <w:shd w:val="clear" w:color="auto" w:fill="auto"/>
          </w:tcPr>
          <w:p w14:paraId="32053CDC" w14:textId="77777777" w:rsidR="008C5CFA" w:rsidRPr="00A92B39" w:rsidRDefault="00E82A60" w:rsidP="00300A01">
            <w:pPr>
              <w:spacing w:before="0" w:after="0"/>
              <w:jc w:val="center"/>
              <w:rPr>
                <w:b/>
                <w:sz w:val="10"/>
                <w:szCs w:val="10"/>
                <w:lang w:val="fr-BE"/>
              </w:rPr>
            </w:pPr>
            <w:r w:rsidRPr="00A92B39">
              <w:rPr>
                <w:b/>
                <w:noProof/>
                <w:sz w:val="10"/>
                <w:szCs w:val="10"/>
                <w:lang w:val="fr-BE"/>
              </w:rPr>
              <w:t>Wskaźnik osiągnięć</w:t>
            </w:r>
          </w:p>
        </w:tc>
        <w:tc>
          <w:tcPr>
            <w:tcW w:w="0" w:type="auto"/>
            <w:gridSpan w:val="3"/>
          </w:tcPr>
          <w:p w14:paraId="0DFC89FC" w14:textId="77777777" w:rsidR="008C5CFA" w:rsidRPr="00A92B39" w:rsidRDefault="00E82A60" w:rsidP="00300A01">
            <w:pPr>
              <w:spacing w:before="0" w:after="0"/>
              <w:jc w:val="center"/>
              <w:rPr>
                <w:b/>
                <w:sz w:val="10"/>
                <w:szCs w:val="10"/>
                <w:lang w:val="fr-BE"/>
              </w:rPr>
            </w:pPr>
            <w:r w:rsidRPr="00A92B39">
              <w:rPr>
                <w:bCs/>
                <w:sz w:val="10"/>
                <w:szCs w:val="10"/>
                <w:lang w:val="en-US"/>
              </w:rPr>
              <w:t>2019</w:t>
            </w:r>
          </w:p>
        </w:tc>
      </w:tr>
      <w:tr w:rsidR="006B2EC1" w14:paraId="36398FE5" w14:textId="77777777" w:rsidTr="002A1502">
        <w:trPr>
          <w:tblHeader/>
        </w:trPr>
        <w:tc>
          <w:tcPr>
            <w:tcW w:w="0" w:type="auto"/>
            <w:shd w:val="clear" w:color="auto" w:fill="auto"/>
          </w:tcPr>
          <w:p w14:paraId="1C852ED9" w14:textId="77777777" w:rsidR="008C5CFA" w:rsidRPr="00A92B39" w:rsidRDefault="008C5CFA" w:rsidP="00300A01">
            <w:pPr>
              <w:spacing w:before="0" w:after="0"/>
              <w:rPr>
                <w:b/>
                <w:sz w:val="10"/>
                <w:szCs w:val="10"/>
                <w:lang w:val="fr-BE"/>
              </w:rPr>
            </w:pPr>
          </w:p>
        </w:tc>
        <w:tc>
          <w:tcPr>
            <w:tcW w:w="0" w:type="auto"/>
            <w:shd w:val="clear" w:color="auto" w:fill="auto"/>
          </w:tcPr>
          <w:p w14:paraId="3C62F2E1" w14:textId="77777777" w:rsidR="008C5CFA" w:rsidRPr="00A92B39" w:rsidRDefault="008C5CFA" w:rsidP="00300A01">
            <w:pPr>
              <w:spacing w:before="0" w:after="0"/>
              <w:rPr>
                <w:b/>
                <w:sz w:val="10"/>
                <w:szCs w:val="10"/>
                <w:lang w:val="fr-BE"/>
              </w:rPr>
            </w:pPr>
          </w:p>
        </w:tc>
        <w:tc>
          <w:tcPr>
            <w:tcW w:w="0" w:type="auto"/>
            <w:shd w:val="clear" w:color="auto" w:fill="auto"/>
          </w:tcPr>
          <w:p w14:paraId="3B0C767C" w14:textId="77777777" w:rsidR="008C5CFA" w:rsidRPr="00A92B39" w:rsidRDefault="008C5CFA" w:rsidP="00300A01">
            <w:pPr>
              <w:spacing w:before="0" w:after="0"/>
              <w:rPr>
                <w:b/>
                <w:sz w:val="10"/>
                <w:szCs w:val="10"/>
                <w:lang w:val="fr-BE"/>
              </w:rPr>
            </w:pPr>
          </w:p>
        </w:tc>
        <w:tc>
          <w:tcPr>
            <w:tcW w:w="0" w:type="auto"/>
          </w:tcPr>
          <w:p w14:paraId="682A373B" w14:textId="77777777" w:rsidR="008C5CFA" w:rsidRPr="00A92B39" w:rsidRDefault="008C5CFA" w:rsidP="00300A01">
            <w:pPr>
              <w:spacing w:before="0" w:after="0"/>
              <w:jc w:val="center"/>
              <w:rPr>
                <w:b/>
                <w:sz w:val="10"/>
                <w:szCs w:val="10"/>
                <w:lang w:val="fr-BE"/>
              </w:rPr>
            </w:pPr>
          </w:p>
        </w:tc>
        <w:tc>
          <w:tcPr>
            <w:tcW w:w="0" w:type="auto"/>
            <w:shd w:val="clear" w:color="auto" w:fill="auto"/>
          </w:tcPr>
          <w:p w14:paraId="3695B783" w14:textId="77777777" w:rsidR="008C5CFA" w:rsidRPr="00A92B39" w:rsidRDefault="00E82A60" w:rsidP="00300A01">
            <w:pPr>
              <w:spacing w:before="0" w:after="0"/>
              <w:jc w:val="center"/>
              <w:rPr>
                <w:b/>
                <w:sz w:val="10"/>
                <w:szCs w:val="10"/>
                <w:lang w:val="fr-BE"/>
              </w:rPr>
            </w:pPr>
            <w:r w:rsidRPr="00A92B39">
              <w:rPr>
                <w:b/>
                <w:noProof/>
                <w:sz w:val="10"/>
                <w:szCs w:val="10"/>
                <w:lang w:val="fr-BE"/>
              </w:rPr>
              <w:t>Ogółem</w:t>
            </w:r>
          </w:p>
        </w:tc>
        <w:tc>
          <w:tcPr>
            <w:tcW w:w="0" w:type="auto"/>
            <w:shd w:val="clear" w:color="auto" w:fill="auto"/>
          </w:tcPr>
          <w:p w14:paraId="28ADF7B4" w14:textId="77777777" w:rsidR="008C5CFA" w:rsidRPr="00A92B39" w:rsidRDefault="00E82A60" w:rsidP="00300A01">
            <w:pPr>
              <w:spacing w:before="0" w:after="0"/>
              <w:jc w:val="center"/>
              <w:rPr>
                <w:b/>
                <w:sz w:val="10"/>
                <w:szCs w:val="10"/>
                <w:lang w:val="fr-BE"/>
              </w:rPr>
            </w:pPr>
            <w:r w:rsidRPr="00A92B39">
              <w:rPr>
                <w:b/>
                <w:noProof/>
                <w:sz w:val="10"/>
                <w:szCs w:val="10"/>
                <w:lang w:val="fr-BE"/>
              </w:rPr>
              <w:t>Mężczyźni</w:t>
            </w:r>
          </w:p>
        </w:tc>
        <w:tc>
          <w:tcPr>
            <w:tcW w:w="0" w:type="auto"/>
            <w:shd w:val="clear" w:color="auto" w:fill="auto"/>
          </w:tcPr>
          <w:p w14:paraId="3504896F" w14:textId="77777777" w:rsidR="008C5CFA" w:rsidRPr="00A92B39" w:rsidRDefault="00E82A60" w:rsidP="00300A01">
            <w:pPr>
              <w:spacing w:before="0" w:after="0"/>
              <w:jc w:val="center"/>
              <w:rPr>
                <w:b/>
                <w:sz w:val="10"/>
                <w:szCs w:val="10"/>
                <w:lang w:val="fr-BE"/>
              </w:rPr>
            </w:pPr>
            <w:r w:rsidRPr="00A92B39">
              <w:rPr>
                <w:b/>
                <w:noProof/>
                <w:sz w:val="10"/>
                <w:szCs w:val="10"/>
                <w:lang w:val="fr-BE"/>
              </w:rPr>
              <w:t>Kobiety</w:t>
            </w:r>
          </w:p>
        </w:tc>
        <w:tc>
          <w:tcPr>
            <w:tcW w:w="0" w:type="auto"/>
            <w:shd w:val="clear" w:color="auto" w:fill="auto"/>
          </w:tcPr>
          <w:p w14:paraId="0A194763" w14:textId="77777777" w:rsidR="008C5CFA" w:rsidRPr="00A92B39" w:rsidRDefault="00E82A60" w:rsidP="00300A01">
            <w:pPr>
              <w:spacing w:before="0" w:after="0"/>
              <w:jc w:val="center"/>
              <w:rPr>
                <w:b/>
                <w:sz w:val="10"/>
                <w:szCs w:val="10"/>
                <w:lang w:val="fr-BE"/>
              </w:rPr>
            </w:pPr>
            <w:r w:rsidRPr="00A92B39">
              <w:rPr>
                <w:b/>
                <w:noProof/>
                <w:sz w:val="10"/>
                <w:szCs w:val="10"/>
                <w:lang w:val="fr-BE"/>
              </w:rPr>
              <w:t>Ogółem</w:t>
            </w:r>
          </w:p>
        </w:tc>
        <w:tc>
          <w:tcPr>
            <w:tcW w:w="0" w:type="auto"/>
            <w:shd w:val="clear" w:color="auto" w:fill="auto"/>
          </w:tcPr>
          <w:p w14:paraId="06D44F33" w14:textId="77777777" w:rsidR="008C5CFA" w:rsidRPr="00A92B39" w:rsidRDefault="00E82A60" w:rsidP="00300A01">
            <w:pPr>
              <w:spacing w:before="0" w:after="0"/>
              <w:jc w:val="center"/>
              <w:rPr>
                <w:b/>
                <w:sz w:val="10"/>
                <w:szCs w:val="10"/>
                <w:lang w:val="fr-BE"/>
              </w:rPr>
            </w:pPr>
            <w:r w:rsidRPr="00A92B39">
              <w:rPr>
                <w:b/>
                <w:noProof/>
                <w:sz w:val="10"/>
                <w:szCs w:val="10"/>
                <w:lang w:val="fr-BE"/>
              </w:rPr>
              <w:t>Mężczyźni</w:t>
            </w:r>
          </w:p>
        </w:tc>
        <w:tc>
          <w:tcPr>
            <w:tcW w:w="0" w:type="auto"/>
            <w:shd w:val="clear" w:color="auto" w:fill="auto"/>
          </w:tcPr>
          <w:p w14:paraId="19EF0DC7" w14:textId="77777777" w:rsidR="008C5CFA" w:rsidRPr="00A92B39" w:rsidRDefault="00E82A60" w:rsidP="00300A01">
            <w:pPr>
              <w:spacing w:before="0" w:after="0"/>
              <w:jc w:val="center"/>
              <w:rPr>
                <w:b/>
                <w:sz w:val="10"/>
                <w:szCs w:val="10"/>
                <w:lang w:val="fr-BE"/>
              </w:rPr>
            </w:pPr>
            <w:r w:rsidRPr="00A92B39">
              <w:rPr>
                <w:b/>
                <w:noProof/>
                <w:sz w:val="10"/>
                <w:szCs w:val="10"/>
                <w:lang w:val="fr-BE"/>
              </w:rPr>
              <w:t>Kobiety</w:t>
            </w:r>
          </w:p>
        </w:tc>
        <w:tc>
          <w:tcPr>
            <w:tcW w:w="0" w:type="auto"/>
            <w:shd w:val="clear" w:color="auto" w:fill="auto"/>
          </w:tcPr>
          <w:p w14:paraId="02F05241" w14:textId="77777777" w:rsidR="008C5CFA" w:rsidRPr="00A92B39" w:rsidRDefault="00E82A60" w:rsidP="00300A01">
            <w:pPr>
              <w:spacing w:before="0" w:after="0"/>
              <w:jc w:val="center"/>
              <w:rPr>
                <w:b/>
                <w:sz w:val="10"/>
                <w:szCs w:val="10"/>
                <w:lang w:val="fr-BE"/>
              </w:rPr>
            </w:pPr>
            <w:r w:rsidRPr="00A92B39">
              <w:rPr>
                <w:b/>
                <w:noProof/>
                <w:sz w:val="10"/>
                <w:szCs w:val="10"/>
                <w:lang w:val="fr-BE"/>
              </w:rPr>
              <w:t>Ogółem</w:t>
            </w:r>
          </w:p>
        </w:tc>
        <w:tc>
          <w:tcPr>
            <w:tcW w:w="0" w:type="auto"/>
            <w:shd w:val="clear" w:color="auto" w:fill="auto"/>
          </w:tcPr>
          <w:p w14:paraId="58903B9D" w14:textId="77777777" w:rsidR="008C5CFA" w:rsidRPr="00A92B39" w:rsidRDefault="00E82A60" w:rsidP="00300A01">
            <w:pPr>
              <w:spacing w:before="0" w:after="0"/>
              <w:jc w:val="center"/>
              <w:rPr>
                <w:b/>
                <w:sz w:val="10"/>
                <w:szCs w:val="10"/>
                <w:lang w:val="fr-BE"/>
              </w:rPr>
            </w:pPr>
            <w:r w:rsidRPr="00A92B39">
              <w:rPr>
                <w:b/>
                <w:noProof/>
                <w:sz w:val="10"/>
                <w:szCs w:val="10"/>
                <w:lang w:val="fr-BE"/>
              </w:rPr>
              <w:t>Mężczyźni</w:t>
            </w:r>
          </w:p>
        </w:tc>
        <w:tc>
          <w:tcPr>
            <w:tcW w:w="0" w:type="auto"/>
            <w:shd w:val="clear" w:color="auto" w:fill="auto"/>
          </w:tcPr>
          <w:p w14:paraId="304BD220" w14:textId="77777777" w:rsidR="008C5CFA" w:rsidRPr="00A92B39" w:rsidRDefault="00E82A60" w:rsidP="00300A01">
            <w:pPr>
              <w:spacing w:before="0" w:after="0"/>
              <w:jc w:val="center"/>
              <w:rPr>
                <w:b/>
                <w:sz w:val="10"/>
                <w:szCs w:val="10"/>
                <w:lang w:val="fr-BE"/>
              </w:rPr>
            </w:pPr>
            <w:r w:rsidRPr="00A92B39">
              <w:rPr>
                <w:b/>
                <w:noProof/>
                <w:sz w:val="10"/>
                <w:szCs w:val="10"/>
                <w:lang w:val="fr-BE"/>
              </w:rPr>
              <w:t>Kobiety</w:t>
            </w:r>
          </w:p>
        </w:tc>
        <w:tc>
          <w:tcPr>
            <w:tcW w:w="0" w:type="auto"/>
          </w:tcPr>
          <w:p w14:paraId="67C8E92B" w14:textId="77777777" w:rsidR="008C5CFA" w:rsidRPr="00A92B39" w:rsidRDefault="00E82A60" w:rsidP="00300A01">
            <w:pPr>
              <w:spacing w:before="0" w:after="0"/>
              <w:jc w:val="center"/>
              <w:rPr>
                <w:b/>
                <w:sz w:val="10"/>
                <w:szCs w:val="10"/>
                <w:lang w:val="fr-BE"/>
              </w:rPr>
            </w:pPr>
            <w:r w:rsidRPr="00A92B39">
              <w:rPr>
                <w:b/>
                <w:noProof/>
                <w:sz w:val="10"/>
                <w:szCs w:val="10"/>
                <w:lang w:val="fr-BE"/>
              </w:rPr>
              <w:t>Ogółem</w:t>
            </w:r>
          </w:p>
        </w:tc>
        <w:tc>
          <w:tcPr>
            <w:tcW w:w="0" w:type="auto"/>
            <w:shd w:val="clear" w:color="auto" w:fill="auto"/>
          </w:tcPr>
          <w:p w14:paraId="21A604C5" w14:textId="77777777" w:rsidR="008C5CFA" w:rsidRPr="00A92B39" w:rsidRDefault="00E82A60" w:rsidP="00300A01">
            <w:pPr>
              <w:spacing w:before="0" w:after="0"/>
              <w:jc w:val="center"/>
              <w:rPr>
                <w:b/>
                <w:sz w:val="10"/>
                <w:szCs w:val="10"/>
                <w:lang w:val="fr-BE"/>
              </w:rPr>
            </w:pPr>
            <w:r w:rsidRPr="00A92B39">
              <w:rPr>
                <w:b/>
                <w:noProof/>
                <w:sz w:val="10"/>
                <w:szCs w:val="10"/>
                <w:lang w:val="fr-BE"/>
              </w:rPr>
              <w:t>Mężczyźni</w:t>
            </w:r>
          </w:p>
        </w:tc>
        <w:tc>
          <w:tcPr>
            <w:tcW w:w="0" w:type="auto"/>
            <w:shd w:val="clear" w:color="auto" w:fill="auto"/>
          </w:tcPr>
          <w:p w14:paraId="7911AD7D" w14:textId="77777777" w:rsidR="008C5CFA" w:rsidRPr="00A92B39" w:rsidRDefault="00E82A60" w:rsidP="00300A01">
            <w:pPr>
              <w:spacing w:before="0" w:after="0"/>
              <w:jc w:val="center"/>
              <w:rPr>
                <w:b/>
                <w:sz w:val="10"/>
                <w:szCs w:val="10"/>
                <w:lang w:val="fr-BE"/>
              </w:rPr>
            </w:pPr>
            <w:r w:rsidRPr="00A92B39">
              <w:rPr>
                <w:b/>
                <w:noProof/>
                <w:sz w:val="10"/>
                <w:szCs w:val="10"/>
                <w:lang w:val="fr-BE"/>
              </w:rPr>
              <w:t>Kobiety</w:t>
            </w:r>
          </w:p>
        </w:tc>
      </w:tr>
      <w:tr w:rsidR="006B2EC1" w14:paraId="6D12F5AE" w14:textId="77777777" w:rsidTr="002A1502">
        <w:tc>
          <w:tcPr>
            <w:tcW w:w="0" w:type="auto"/>
            <w:shd w:val="clear" w:color="auto" w:fill="auto"/>
          </w:tcPr>
          <w:p w14:paraId="595204DA" w14:textId="77777777" w:rsidR="008C5CFA" w:rsidRPr="00A92B39" w:rsidRDefault="00E82A60" w:rsidP="00300A01">
            <w:pPr>
              <w:spacing w:before="0" w:after="0"/>
              <w:rPr>
                <w:sz w:val="10"/>
                <w:szCs w:val="10"/>
                <w:lang w:val="fr-BE"/>
              </w:rPr>
            </w:pPr>
            <w:r w:rsidRPr="00A92B39">
              <w:rPr>
                <w:noProof/>
                <w:sz w:val="10"/>
                <w:szCs w:val="10"/>
                <w:lang w:val="fr-BE"/>
              </w:rPr>
              <w:t>014</w:t>
            </w:r>
          </w:p>
        </w:tc>
        <w:tc>
          <w:tcPr>
            <w:tcW w:w="0" w:type="auto"/>
            <w:shd w:val="clear" w:color="auto" w:fill="auto"/>
          </w:tcPr>
          <w:p w14:paraId="3A911608" w14:textId="77777777" w:rsidR="008C5CFA" w:rsidRPr="00A92B39" w:rsidRDefault="00E82A60" w:rsidP="00300A01">
            <w:pPr>
              <w:spacing w:before="0" w:after="0"/>
              <w:rPr>
                <w:sz w:val="10"/>
                <w:szCs w:val="10"/>
                <w:lang w:val="fr-BE"/>
              </w:rPr>
            </w:pPr>
            <w:r w:rsidRPr="00A92B39">
              <w:rPr>
                <w:noProof/>
                <w:sz w:val="10"/>
                <w:szCs w:val="10"/>
                <w:lang w:val="fr-BE"/>
              </w:rPr>
              <w:t>Liczba osób zagrożonych ubóstwem lub wykluczeniem społecznym objętych wsparciem w programie</w:t>
            </w:r>
          </w:p>
        </w:tc>
        <w:tc>
          <w:tcPr>
            <w:tcW w:w="0" w:type="auto"/>
            <w:shd w:val="clear" w:color="auto" w:fill="auto"/>
          </w:tcPr>
          <w:p w14:paraId="6B070DE4" w14:textId="77777777" w:rsidR="008C5CFA" w:rsidRPr="00A92B39" w:rsidRDefault="00E82A60" w:rsidP="00300A01">
            <w:pPr>
              <w:spacing w:before="0" w:after="0"/>
              <w:rPr>
                <w:sz w:val="10"/>
                <w:szCs w:val="10"/>
                <w:lang w:val="fr-BE"/>
              </w:rPr>
            </w:pPr>
            <w:r w:rsidRPr="00A92B39">
              <w:rPr>
                <w:noProof/>
                <w:sz w:val="10"/>
                <w:szCs w:val="10"/>
                <w:lang w:val="fr-BE"/>
              </w:rPr>
              <w:t>Słabiej rozwinięte</w:t>
            </w:r>
          </w:p>
        </w:tc>
        <w:tc>
          <w:tcPr>
            <w:tcW w:w="0" w:type="auto"/>
          </w:tcPr>
          <w:p w14:paraId="08ACCDA1" w14:textId="77777777" w:rsidR="008C5CFA" w:rsidRPr="00A92B39" w:rsidRDefault="00E82A60" w:rsidP="00300A01">
            <w:pPr>
              <w:spacing w:before="0" w:after="0"/>
              <w:rPr>
                <w:sz w:val="10"/>
                <w:szCs w:val="10"/>
                <w:lang w:val="fr-BE"/>
              </w:rPr>
            </w:pPr>
            <w:r w:rsidRPr="00A92B39">
              <w:rPr>
                <w:noProof/>
                <w:sz w:val="10"/>
                <w:szCs w:val="10"/>
                <w:lang w:val="fr-BE"/>
              </w:rPr>
              <w:t>osoba</w:t>
            </w:r>
          </w:p>
        </w:tc>
        <w:tc>
          <w:tcPr>
            <w:tcW w:w="0" w:type="auto"/>
            <w:shd w:val="clear" w:color="auto" w:fill="auto"/>
          </w:tcPr>
          <w:p w14:paraId="68595F3F" w14:textId="77777777" w:rsidR="008C5CFA" w:rsidRPr="00A92B39" w:rsidRDefault="00E82A60" w:rsidP="00300A01">
            <w:pPr>
              <w:spacing w:before="0" w:after="0"/>
              <w:jc w:val="right"/>
              <w:rPr>
                <w:sz w:val="10"/>
                <w:szCs w:val="10"/>
                <w:lang w:val="fr-BE"/>
              </w:rPr>
            </w:pPr>
            <w:r w:rsidRPr="00A92B39">
              <w:rPr>
                <w:noProof/>
                <w:sz w:val="10"/>
                <w:szCs w:val="10"/>
                <w:lang w:val="fr-BE"/>
              </w:rPr>
              <w:t>8 898,00</w:t>
            </w:r>
          </w:p>
        </w:tc>
        <w:tc>
          <w:tcPr>
            <w:tcW w:w="0" w:type="auto"/>
            <w:shd w:val="clear" w:color="auto" w:fill="auto"/>
          </w:tcPr>
          <w:p w14:paraId="47A7D1D9" w14:textId="77777777" w:rsidR="008C5CFA" w:rsidRPr="00A92B39" w:rsidRDefault="008C5CFA" w:rsidP="00300A01">
            <w:pPr>
              <w:spacing w:before="0" w:after="0"/>
              <w:jc w:val="right"/>
              <w:rPr>
                <w:sz w:val="10"/>
                <w:szCs w:val="10"/>
                <w:lang w:val="fr-BE"/>
              </w:rPr>
            </w:pPr>
          </w:p>
        </w:tc>
        <w:tc>
          <w:tcPr>
            <w:tcW w:w="0" w:type="auto"/>
            <w:shd w:val="clear" w:color="auto" w:fill="auto"/>
          </w:tcPr>
          <w:p w14:paraId="0C2A4322" w14:textId="77777777" w:rsidR="008C5CFA" w:rsidRPr="00A92B39" w:rsidRDefault="008C5CFA" w:rsidP="00300A01">
            <w:pPr>
              <w:spacing w:before="0" w:after="0"/>
              <w:jc w:val="right"/>
              <w:rPr>
                <w:sz w:val="10"/>
                <w:szCs w:val="10"/>
                <w:lang w:val="fr-BE"/>
              </w:rPr>
            </w:pPr>
          </w:p>
        </w:tc>
        <w:tc>
          <w:tcPr>
            <w:tcW w:w="0" w:type="auto"/>
            <w:shd w:val="clear" w:color="auto" w:fill="auto"/>
          </w:tcPr>
          <w:p w14:paraId="4C5E25E6" w14:textId="77777777" w:rsidR="008C5CFA" w:rsidRPr="00A92B39" w:rsidRDefault="00E82A60" w:rsidP="00300A01">
            <w:pPr>
              <w:spacing w:before="0" w:after="0"/>
              <w:jc w:val="right"/>
              <w:rPr>
                <w:sz w:val="10"/>
                <w:szCs w:val="10"/>
                <w:lang w:val="fr-BE"/>
              </w:rPr>
            </w:pPr>
            <w:r w:rsidRPr="00A92B39">
              <w:rPr>
                <w:noProof/>
                <w:sz w:val="10"/>
                <w:szCs w:val="10"/>
                <w:lang w:val="fr-BE"/>
              </w:rPr>
              <w:t>3 519,00</w:t>
            </w:r>
          </w:p>
        </w:tc>
        <w:tc>
          <w:tcPr>
            <w:tcW w:w="0" w:type="auto"/>
            <w:shd w:val="clear" w:color="auto" w:fill="auto"/>
          </w:tcPr>
          <w:p w14:paraId="52E0CB62"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14:paraId="14E75ED9"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14:paraId="0B2E620F" w14:textId="77777777" w:rsidR="008C5CFA" w:rsidRPr="00A92B39" w:rsidRDefault="00E82A60" w:rsidP="00300A01">
            <w:pPr>
              <w:spacing w:before="0" w:after="0"/>
              <w:jc w:val="right"/>
              <w:rPr>
                <w:sz w:val="10"/>
                <w:szCs w:val="10"/>
                <w:lang w:val="fr-BE"/>
              </w:rPr>
            </w:pPr>
            <w:r>
              <w:rPr>
                <w:noProof/>
                <w:sz w:val="10"/>
                <w:szCs w:val="10"/>
                <w:lang w:val="fr-BE"/>
              </w:rPr>
              <w:t>0,40</w:t>
            </w:r>
          </w:p>
        </w:tc>
        <w:tc>
          <w:tcPr>
            <w:tcW w:w="0" w:type="auto"/>
            <w:shd w:val="clear" w:color="auto" w:fill="auto"/>
          </w:tcPr>
          <w:p w14:paraId="0D7487E8" w14:textId="77777777" w:rsidR="008C5CFA" w:rsidRPr="00A92B39" w:rsidRDefault="008C5CFA" w:rsidP="00300A01">
            <w:pPr>
              <w:spacing w:before="0" w:after="0"/>
              <w:jc w:val="right"/>
              <w:rPr>
                <w:sz w:val="10"/>
                <w:szCs w:val="10"/>
                <w:lang w:val="fr-BE"/>
              </w:rPr>
            </w:pPr>
          </w:p>
        </w:tc>
        <w:tc>
          <w:tcPr>
            <w:tcW w:w="0" w:type="auto"/>
            <w:shd w:val="clear" w:color="auto" w:fill="auto"/>
          </w:tcPr>
          <w:p w14:paraId="4A8E9A6F" w14:textId="77777777" w:rsidR="008C5CFA" w:rsidRPr="00A92B39" w:rsidRDefault="008C5CFA" w:rsidP="00300A01">
            <w:pPr>
              <w:spacing w:before="0" w:after="0"/>
              <w:jc w:val="right"/>
              <w:rPr>
                <w:sz w:val="10"/>
                <w:szCs w:val="10"/>
                <w:lang w:val="fr-BE"/>
              </w:rPr>
            </w:pPr>
          </w:p>
        </w:tc>
        <w:tc>
          <w:tcPr>
            <w:tcW w:w="0" w:type="auto"/>
          </w:tcPr>
          <w:p w14:paraId="5BC77548" w14:textId="77777777" w:rsidR="008C5CFA" w:rsidRPr="00A92B39" w:rsidRDefault="00E82A60" w:rsidP="00300A01">
            <w:pPr>
              <w:spacing w:before="0" w:after="0"/>
              <w:jc w:val="right"/>
              <w:rPr>
                <w:sz w:val="10"/>
                <w:szCs w:val="10"/>
                <w:lang w:val="fr-BE"/>
              </w:rPr>
            </w:pPr>
            <w:r w:rsidRPr="00A92B39">
              <w:rPr>
                <w:noProof/>
                <w:sz w:val="10"/>
                <w:szCs w:val="10"/>
                <w:lang w:val="fr-BE"/>
              </w:rPr>
              <w:t>1 796,00</w:t>
            </w:r>
          </w:p>
        </w:tc>
        <w:tc>
          <w:tcPr>
            <w:tcW w:w="0" w:type="auto"/>
            <w:shd w:val="clear" w:color="auto" w:fill="auto"/>
          </w:tcPr>
          <w:p w14:paraId="0DEB26A6"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14:paraId="11365977"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r>
    </w:tbl>
    <w:p w14:paraId="0B68110C"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70"/>
        <w:gridCol w:w="5402"/>
        <w:gridCol w:w="1092"/>
        <w:gridCol w:w="509"/>
        <w:gridCol w:w="660"/>
        <w:gridCol w:w="515"/>
        <w:gridCol w:w="509"/>
        <w:gridCol w:w="660"/>
        <w:gridCol w:w="515"/>
        <w:gridCol w:w="509"/>
        <w:gridCol w:w="660"/>
        <w:gridCol w:w="515"/>
        <w:gridCol w:w="509"/>
        <w:gridCol w:w="660"/>
        <w:gridCol w:w="515"/>
        <w:gridCol w:w="509"/>
        <w:gridCol w:w="660"/>
        <w:gridCol w:w="515"/>
      </w:tblGrid>
      <w:tr w:rsidR="006B2EC1" w14:paraId="15C0EA6C" w14:textId="77777777" w:rsidTr="0047688D">
        <w:trPr>
          <w:tblHeader/>
        </w:trPr>
        <w:tc>
          <w:tcPr>
            <w:tcW w:w="0" w:type="auto"/>
            <w:shd w:val="clear" w:color="auto" w:fill="auto"/>
          </w:tcPr>
          <w:p w14:paraId="32629E26" w14:textId="77777777" w:rsidR="008C5CFA" w:rsidRPr="00A92B39" w:rsidRDefault="00E82A60" w:rsidP="00300A01">
            <w:pPr>
              <w:spacing w:before="0" w:after="0"/>
              <w:rPr>
                <w:b/>
                <w:sz w:val="10"/>
                <w:szCs w:val="10"/>
                <w:lang w:val="fr-BE"/>
              </w:rPr>
            </w:pPr>
            <w:r w:rsidRPr="00A92B39">
              <w:rPr>
                <w:b/>
                <w:noProof/>
                <w:sz w:val="10"/>
                <w:szCs w:val="10"/>
                <w:lang w:val="fr-BE"/>
              </w:rPr>
              <w:t>ID</w:t>
            </w:r>
          </w:p>
        </w:tc>
        <w:tc>
          <w:tcPr>
            <w:tcW w:w="0" w:type="auto"/>
            <w:shd w:val="clear" w:color="auto" w:fill="auto"/>
          </w:tcPr>
          <w:p w14:paraId="0C59F8C4" w14:textId="77777777" w:rsidR="008C5CFA" w:rsidRPr="00A92B39" w:rsidRDefault="00E82A60" w:rsidP="00300A01">
            <w:pPr>
              <w:spacing w:before="0" w:after="0"/>
              <w:rPr>
                <w:b/>
                <w:sz w:val="10"/>
                <w:szCs w:val="10"/>
                <w:lang w:val="fr-BE"/>
              </w:rPr>
            </w:pPr>
            <w:r w:rsidRPr="00A92B39">
              <w:rPr>
                <w:b/>
                <w:noProof/>
                <w:sz w:val="10"/>
                <w:szCs w:val="10"/>
                <w:lang w:val="fr-BE"/>
              </w:rPr>
              <w:t>Wskaźnik</w:t>
            </w:r>
          </w:p>
        </w:tc>
        <w:tc>
          <w:tcPr>
            <w:tcW w:w="0" w:type="auto"/>
            <w:shd w:val="clear" w:color="auto" w:fill="auto"/>
          </w:tcPr>
          <w:p w14:paraId="72A92C53" w14:textId="77777777" w:rsidR="008C5CFA" w:rsidRPr="00A92B39" w:rsidRDefault="00E82A60" w:rsidP="00300A01">
            <w:pPr>
              <w:spacing w:before="0" w:after="0"/>
              <w:rPr>
                <w:b/>
                <w:sz w:val="10"/>
                <w:szCs w:val="10"/>
                <w:lang w:val="fr-BE"/>
              </w:rPr>
            </w:pPr>
            <w:r w:rsidRPr="00A92B39">
              <w:rPr>
                <w:b/>
                <w:noProof/>
                <w:sz w:val="10"/>
                <w:szCs w:val="10"/>
                <w:lang w:val="fr-BE"/>
              </w:rPr>
              <w:t>Kategoria regionu</w:t>
            </w:r>
          </w:p>
        </w:tc>
        <w:tc>
          <w:tcPr>
            <w:tcW w:w="0" w:type="auto"/>
            <w:gridSpan w:val="3"/>
            <w:shd w:val="clear" w:color="auto" w:fill="auto"/>
          </w:tcPr>
          <w:p w14:paraId="5F166409" w14:textId="77777777" w:rsidR="008C5CFA" w:rsidRPr="00A92B39" w:rsidRDefault="00E82A60" w:rsidP="00300A01">
            <w:pPr>
              <w:spacing w:before="0" w:after="0"/>
              <w:jc w:val="center"/>
              <w:rPr>
                <w:b/>
                <w:sz w:val="10"/>
                <w:szCs w:val="10"/>
                <w:lang w:val="fr-BE"/>
              </w:rPr>
            </w:pPr>
            <w:r w:rsidRPr="00A92B39">
              <w:rPr>
                <w:b/>
                <w:sz w:val="10"/>
                <w:szCs w:val="10"/>
                <w:lang w:val="fr-BE"/>
              </w:rPr>
              <w:t>20</w:t>
            </w:r>
            <w:r>
              <w:rPr>
                <w:b/>
                <w:sz w:val="10"/>
                <w:szCs w:val="10"/>
                <w:lang w:val="fr-BE"/>
              </w:rPr>
              <w:t>18</w:t>
            </w:r>
          </w:p>
        </w:tc>
        <w:tc>
          <w:tcPr>
            <w:tcW w:w="0" w:type="auto"/>
            <w:gridSpan w:val="3"/>
          </w:tcPr>
          <w:p w14:paraId="79089F15" w14:textId="77777777" w:rsidR="008C5CFA" w:rsidRPr="00A92B39" w:rsidRDefault="00E82A60" w:rsidP="00300A01">
            <w:pPr>
              <w:spacing w:before="0" w:after="0"/>
              <w:jc w:val="center"/>
              <w:rPr>
                <w:b/>
                <w:sz w:val="10"/>
                <w:szCs w:val="10"/>
                <w:lang w:val="fr-BE"/>
              </w:rPr>
            </w:pPr>
            <w:r>
              <w:rPr>
                <w:b/>
                <w:sz w:val="10"/>
                <w:szCs w:val="10"/>
                <w:lang w:val="fr-BE"/>
              </w:rPr>
              <w:t>2017</w:t>
            </w:r>
          </w:p>
        </w:tc>
        <w:tc>
          <w:tcPr>
            <w:tcW w:w="0" w:type="auto"/>
            <w:gridSpan w:val="3"/>
          </w:tcPr>
          <w:p w14:paraId="5ACBE575" w14:textId="77777777" w:rsidR="008C5CFA" w:rsidRDefault="00E82A60" w:rsidP="00300A01">
            <w:pPr>
              <w:spacing w:before="0" w:after="0"/>
              <w:jc w:val="center"/>
              <w:rPr>
                <w:b/>
                <w:sz w:val="10"/>
                <w:szCs w:val="10"/>
                <w:lang w:val="fr-BE"/>
              </w:rPr>
            </w:pPr>
            <w:r>
              <w:rPr>
                <w:b/>
                <w:sz w:val="10"/>
                <w:szCs w:val="10"/>
                <w:lang w:val="fr-BE"/>
              </w:rPr>
              <w:t>2016</w:t>
            </w:r>
          </w:p>
        </w:tc>
        <w:tc>
          <w:tcPr>
            <w:tcW w:w="0" w:type="auto"/>
            <w:gridSpan w:val="3"/>
          </w:tcPr>
          <w:p w14:paraId="5B2EAB05" w14:textId="77777777" w:rsidR="008C5CFA" w:rsidRDefault="00E82A60" w:rsidP="00300A01">
            <w:pPr>
              <w:spacing w:before="0" w:after="0"/>
              <w:jc w:val="center"/>
              <w:rPr>
                <w:b/>
                <w:sz w:val="10"/>
                <w:szCs w:val="10"/>
                <w:lang w:val="fr-BE"/>
              </w:rPr>
            </w:pPr>
            <w:r>
              <w:rPr>
                <w:b/>
                <w:sz w:val="10"/>
                <w:szCs w:val="10"/>
                <w:lang w:val="fr-BE"/>
              </w:rPr>
              <w:t>2015</w:t>
            </w:r>
          </w:p>
        </w:tc>
        <w:tc>
          <w:tcPr>
            <w:tcW w:w="0" w:type="auto"/>
            <w:gridSpan w:val="3"/>
          </w:tcPr>
          <w:p w14:paraId="2863BFC6" w14:textId="77777777" w:rsidR="008C5CFA" w:rsidRDefault="00E82A60" w:rsidP="00300A01">
            <w:pPr>
              <w:spacing w:before="0" w:after="0"/>
              <w:jc w:val="center"/>
              <w:rPr>
                <w:b/>
                <w:sz w:val="10"/>
                <w:szCs w:val="10"/>
                <w:lang w:val="fr-BE"/>
              </w:rPr>
            </w:pPr>
            <w:r>
              <w:rPr>
                <w:b/>
                <w:sz w:val="10"/>
                <w:szCs w:val="10"/>
                <w:lang w:val="fr-BE"/>
              </w:rPr>
              <w:t>2014</w:t>
            </w:r>
          </w:p>
        </w:tc>
      </w:tr>
      <w:tr w:rsidR="006B2EC1" w14:paraId="1E0E8236" w14:textId="77777777" w:rsidTr="0047688D">
        <w:trPr>
          <w:tblHeader/>
        </w:trPr>
        <w:tc>
          <w:tcPr>
            <w:tcW w:w="0" w:type="auto"/>
            <w:shd w:val="clear" w:color="auto" w:fill="auto"/>
          </w:tcPr>
          <w:p w14:paraId="24EDDC65" w14:textId="77777777" w:rsidR="008C5CFA" w:rsidRPr="00A92B39" w:rsidRDefault="008C5CFA" w:rsidP="00300A01">
            <w:pPr>
              <w:spacing w:before="0" w:after="0"/>
              <w:rPr>
                <w:sz w:val="10"/>
                <w:szCs w:val="10"/>
                <w:lang w:val="fr-BE"/>
              </w:rPr>
            </w:pPr>
          </w:p>
        </w:tc>
        <w:tc>
          <w:tcPr>
            <w:tcW w:w="0" w:type="auto"/>
            <w:shd w:val="clear" w:color="auto" w:fill="auto"/>
          </w:tcPr>
          <w:p w14:paraId="542CDA25" w14:textId="77777777" w:rsidR="008C5CFA" w:rsidRPr="00A92B39" w:rsidRDefault="008C5CFA" w:rsidP="00300A01">
            <w:pPr>
              <w:spacing w:before="0" w:after="0"/>
              <w:rPr>
                <w:sz w:val="10"/>
                <w:szCs w:val="10"/>
                <w:lang w:val="fr-BE"/>
              </w:rPr>
            </w:pPr>
          </w:p>
        </w:tc>
        <w:tc>
          <w:tcPr>
            <w:tcW w:w="0" w:type="auto"/>
            <w:shd w:val="clear" w:color="auto" w:fill="auto"/>
          </w:tcPr>
          <w:p w14:paraId="57B993E8" w14:textId="77777777" w:rsidR="008C5CFA" w:rsidRPr="00A92B39" w:rsidRDefault="008C5CFA" w:rsidP="00300A01">
            <w:pPr>
              <w:spacing w:before="0" w:after="0"/>
              <w:rPr>
                <w:sz w:val="10"/>
                <w:szCs w:val="10"/>
                <w:lang w:val="fr-BE"/>
              </w:rPr>
            </w:pPr>
          </w:p>
        </w:tc>
        <w:tc>
          <w:tcPr>
            <w:tcW w:w="0" w:type="auto"/>
            <w:shd w:val="clear" w:color="auto" w:fill="auto"/>
          </w:tcPr>
          <w:p w14:paraId="056C1CA7" w14:textId="77777777" w:rsidR="008C5CFA" w:rsidRPr="00A92B39" w:rsidRDefault="00E82A60" w:rsidP="00300A01">
            <w:pPr>
              <w:spacing w:before="0" w:after="0"/>
              <w:jc w:val="center"/>
              <w:rPr>
                <w:b/>
                <w:sz w:val="10"/>
                <w:szCs w:val="10"/>
                <w:lang w:val="fr-BE"/>
              </w:rPr>
            </w:pPr>
            <w:r w:rsidRPr="00A92B39">
              <w:rPr>
                <w:b/>
                <w:noProof/>
                <w:sz w:val="10"/>
                <w:szCs w:val="10"/>
                <w:lang w:val="fr-BE"/>
              </w:rPr>
              <w:t>Ogółem</w:t>
            </w:r>
          </w:p>
        </w:tc>
        <w:tc>
          <w:tcPr>
            <w:tcW w:w="0" w:type="auto"/>
            <w:shd w:val="clear" w:color="auto" w:fill="auto"/>
          </w:tcPr>
          <w:p w14:paraId="1F93DF54" w14:textId="77777777" w:rsidR="008C5CFA" w:rsidRPr="00A92B39" w:rsidRDefault="00E82A60" w:rsidP="00300A01">
            <w:pPr>
              <w:spacing w:before="0" w:after="0"/>
              <w:jc w:val="center"/>
              <w:rPr>
                <w:b/>
                <w:sz w:val="10"/>
                <w:szCs w:val="10"/>
                <w:lang w:val="fr-BE"/>
              </w:rPr>
            </w:pPr>
            <w:r w:rsidRPr="00A92B39">
              <w:rPr>
                <w:b/>
                <w:noProof/>
                <w:sz w:val="10"/>
                <w:szCs w:val="10"/>
                <w:lang w:val="fr-BE"/>
              </w:rPr>
              <w:t>Mężczyźni</w:t>
            </w:r>
          </w:p>
        </w:tc>
        <w:tc>
          <w:tcPr>
            <w:tcW w:w="0" w:type="auto"/>
            <w:shd w:val="clear" w:color="auto" w:fill="auto"/>
          </w:tcPr>
          <w:p w14:paraId="06EB56E3" w14:textId="77777777" w:rsidR="008C5CFA" w:rsidRPr="00A92B39" w:rsidRDefault="00E82A60" w:rsidP="00300A01">
            <w:pPr>
              <w:spacing w:before="0" w:after="0"/>
              <w:jc w:val="center"/>
              <w:rPr>
                <w:b/>
                <w:sz w:val="10"/>
                <w:szCs w:val="10"/>
                <w:lang w:val="fr-BE"/>
              </w:rPr>
            </w:pPr>
            <w:r w:rsidRPr="00A92B39">
              <w:rPr>
                <w:b/>
                <w:noProof/>
                <w:sz w:val="10"/>
                <w:szCs w:val="10"/>
                <w:lang w:val="fr-BE"/>
              </w:rPr>
              <w:t>Kobiety</w:t>
            </w:r>
          </w:p>
        </w:tc>
        <w:tc>
          <w:tcPr>
            <w:tcW w:w="0" w:type="auto"/>
          </w:tcPr>
          <w:p w14:paraId="0D70ECE1" w14:textId="77777777" w:rsidR="008C5CFA" w:rsidRPr="00A92B39" w:rsidRDefault="00E82A60" w:rsidP="00300A01">
            <w:pPr>
              <w:spacing w:before="0" w:after="0"/>
              <w:jc w:val="center"/>
              <w:rPr>
                <w:b/>
                <w:sz w:val="10"/>
                <w:szCs w:val="10"/>
                <w:lang w:val="fr-BE"/>
              </w:rPr>
            </w:pPr>
            <w:r w:rsidRPr="00A92B39">
              <w:rPr>
                <w:b/>
                <w:noProof/>
                <w:sz w:val="10"/>
                <w:szCs w:val="10"/>
                <w:lang w:val="fr-BE"/>
              </w:rPr>
              <w:t>Ogółem</w:t>
            </w:r>
          </w:p>
        </w:tc>
        <w:tc>
          <w:tcPr>
            <w:tcW w:w="0" w:type="auto"/>
          </w:tcPr>
          <w:p w14:paraId="403C1FDF" w14:textId="77777777" w:rsidR="008C5CFA" w:rsidRPr="00A92B39" w:rsidRDefault="00E82A60" w:rsidP="00300A01">
            <w:pPr>
              <w:spacing w:before="0" w:after="0"/>
              <w:jc w:val="center"/>
              <w:rPr>
                <w:b/>
                <w:sz w:val="10"/>
                <w:szCs w:val="10"/>
                <w:lang w:val="fr-BE"/>
              </w:rPr>
            </w:pPr>
            <w:r w:rsidRPr="00A92B39">
              <w:rPr>
                <w:b/>
                <w:noProof/>
                <w:sz w:val="10"/>
                <w:szCs w:val="10"/>
                <w:lang w:val="fr-BE"/>
              </w:rPr>
              <w:t>Mężczyźni</w:t>
            </w:r>
          </w:p>
        </w:tc>
        <w:tc>
          <w:tcPr>
            <w:tcW w:w="0" w:type="auto"/>
          </w:tcPr>
          <w:p w14:paraId="5D9F8753" w14:textId="77777777" w:rsidR="008C5CFA" w:rsidRPr="00A92B39" w:rsidRDefault="00E82A60" w:rsidP="00300A01">
            <w:pPr>
              <w:spacing w:before="0" w:after="0"/>
              <w:jc w:val="center"/>
              <w:rPr>
                <w:b/>
                <w:sz w:val="10"/>
                <w:szCs w:val="10"/>
                <w:lang w:val="fr-BE"/>
              </w:rPr>
            </w:pPr>
            <w:r w:rsidRPr="00A92B39">
              <w:rPr>
                <w:b/>
                <w:noProof/>
                <w:sz w:val="10"/>
                <w:szCs w:val="10"/>
                <w:lang w:val="fr-BE"/>
              </w:rPr>
              <w:t>Kobiety</w:t>
            </w:r>
          </w:p>
        </w:tc>
        <w:tc>
          <w:tcPr>
            <w:tcW w:w="0" w:type="auto"/>
          </w:tcPr>
          <w:p w14:paraId="4C1768C6" w14:textId="77777777" w:rsidR="008C5CFA" w:rsidRPr="00A92B39" w:rsidRDefault="00E82A60" w:rsidP="00300A01">
            <w:pPr>
              <w:spacing w:before="0" w:after="0"/>
              <w:jc w:val="center"/>
              <w:rPr>
                <w:b/>
                <w:sz w:val="10"/>
                <w:szCs w:val="10"/>
                <w:lang w:val="fr-BE"/>
              </w:rPr>
            </w:pPr>
            <w:r w:rsidRPr="00A92B39">
              <w:rPr>
                <w:b/>
                <w:noProof/>
                <w:sz w:val="10"/>
                <w:szCs w:val="10"/>
                <w:lang w:val="fr-BE"/>
              </w:rPr>
              <w:t>Ogółem</w:t>
            </w:r>
          </w:p>
        </w:tc>
        <w:tc>
          <w:tcPr>
            <w:tcW w:w="0" w:type="auto"/>
          </w:tcPr>
          <w:p w14:paraId="391B43CE" w14:textId="77777777" w:rsidR="008C5CFA" w:rsidRPr="00A92B39" w:rsidRDefault="00E82A60" w:rsidP="00300A01">
            <w:pPr>
              <w:spacing w:before="0" w:after="0"/>
              <w:jc w:val="center"/>
              <w:rPr>
                <w:b/>
                <w:sz w:val="10"/>
                <w:szCs w:val="10"/>
                <w:lang w:val="fr-BE"/>
              </w:rPr>
            </w:pPr>
            <w:r w:rsidRPr="00A92B39">
              <w:rPr>
                <w:b/>
                <w:noProof/>
                <w:sz w:val="10"/>
                <w:szCs w:val="10"/>
                <w:lang w:val="fr-BE"/>
              </w:rPr>
              <w:t>Mężczyźni</w:t>
            </w:r>
          </w:p>
        </w:tc>
        <w:tc>
          <w:tcPr>
            <w:tcW w:w="0" w:type="auto"/>
          </w:tcPr>
          <w:p w14:paraId="66050170" w14:textId="77777777" w:rsidR="008C5CFA" w:rsidRPr="00A92B39" w:rsidRDefault="00E82A60" w:rsidP="00300A01">
            <w:pPr>
              <w:spacing w:before="0" w:after="0"/>
              <w:jc w:val="center"/>
              <w:rPr>
                <w:b/>
                <w:sz w:val="10"/>
                <w:szCs w:val="10"/>
                <w:lang w:val="fr-BE"/>
              </w:rPr>
            </w:pPr>
            <w:r w:rsidRPr="00A92B39">
              <w:rPr>
                <w:b/>
                <w:noProof/>
                <w:sz w:val="10"/>
                <w:szCs w:val="10"/>
                <w:lang w:val="fr-BE"/>
              </w:rPr>
              <w:t>Kobiety</w:t>
            </w:r>
          </w:p>
        </w:tc>
        <w:tc>
          <w:tcPr>
            <w:tcW w:w="0" w:type="auto"/>
          </w:tcPr>
          <w:p w14:paraId="69150A17" w14:textId="77777777" w:rsidR="008C5CFA" w:rsidRPr="00A92B39" w:rsidRDefault="00E82A60" w:rsidP="00300A01">
            <w:pPr>
              <w:spacing w:before="0" w:after="0"/>
              <w:jc w:val="center"/>
              <w:rPr>
                <w:b/>
                <w:sz w:val="10"/>
                <w:szCs w:val="10"/>
                <w:lang w:val="fr-BE"/>
              </w:rPr>
            </w:pPr>
            <w:r w:rsidRPr="00A92B39">
              <w:rPr>
                <w:b/>
                <w:noProof/>
                <w:sz w:val="10"/>
                <w:szCs w:val="10"/>
                <w:lang w:val="fr-BE"/>
              </w:rPr>
              <w:t>Ogółem</w:t>
            </w:r>
          </w:p>
        </w:tc>
        <w:tc>
          <w:tcPr>
            <w:tcW w:w="0" w:type="auto"/>
          </w:tcPr>
          <w:p w14:paraId="6730FD7A" w14:textId="77777777" w:rsidR="008C5CFA" w:rsidRPr="00A92B39" w:rsidRDefault="00E82A60" w:rsidP="00300A01">
            <w:pPr>
              <w:spacing w:before="0" w:after="0"/>
              <w:jc w:val="center"/>
              <w:rPr>
                <w:b/>
                <w:sz w:val="10"/>
                <w:szCs w:val="10"/>
                <w:lang w:val="fr-BE"/>
              </w:rPr>
            </w:pPr>
            <w:r w:rsidRPr="00A92B39">
              <w:rPr>
                <w:b/>
                <w:noProof/>
                <w:sz w:val="10"/>
                <w:szCs w:val="10"/>
                <w:lang w:val="fr-BE"/>
              </w:rPr>
              <w:t>Mężczyźni</w:t>
            </w:r>
          </w:p>
        </w:tc>
        <w:tc>
          <w:tcPr>
            <w:tcW w:w="0" w:type="auto"/>
          </w:tcPr>
          <w:p w14:paraId="5D792B74" w14:textId="77777777" w:rsidR="008C5CFA" w:rsidRPr="00A92B39" w:rsidRDefault="00E82A60" w:rsidP="00300A01">
            <w:pPr>
              <w:spacing w:before="0" w:after="0"/>
              <w:jc w:val="center"/>
              <w:rPr>
                <w:b/>
                <w:sz w:val="10"/>
                <w:szCs w:val="10"/>
                <w:lang w:val="fr-BE"/>
              </w:rPr>
            </w:pPr>
            <w:r w:rsidRPr="00A92B39">
              <w:rPr>
                <w:b/>
                <w:noProof/>
                <w:sz w:val="10"/>
                <w:szCs w:val="10"/>
                <w:lang w:val="fr-BE"/>
              </w:rPr>
              <w:t>Kobiety</w:t>
            </w:r>
          </w:p>
        </w:tc>
        <w:tc>
          <w:tcPr>
            <w:tcW w:w="0" w:type="auto"/>
          </w:tcPr>
          <w:p w14:paraId="0C84DDD5" w14:textId="77777777" w:rsidR="008C5CFA" w:rsidRPr="00A92B39" w:rsidRDefault="00E82A60" w:rsidP="00300A01">
            <w:pPr>
              <w:spacing w:before="0" w:after="0"/>
              <w:jc w:val="center"/>
              <w:rPr>
                <w:b/>
                <w:sz w:val="10"/>
                <w:szCs w:val="10"/>
                <w:lang w:val="fr-BE"/>
              </w:rPr>
            </w:pPr>
            <w:r w:rsidRPr="00A92B39">
              <w:rPr>
                <w:b/>
                <w:noProof/>
                <w:sz w:val="10"/>
                <w:szCs w:val="10"/>
                <w:lang w:val="fr-BE"/>
              </w:rPr>
              <w:t>Ogółem</w:t>
            </w:r>
          </w:p>
        </w:tc>
        <w:tc>
          <w:tcPr>
            <w:tcW w:w="0" w:type="auto"/>
          </w:tcPr>
          <w:p w14:paraId="603EDBF0" w14:textId="77777777" w:rsidR="008C5CFA" w:rsidRPr="00A92B39" w:rsidRDefault="00E82A60" w:rsidP="00300A01">
            <w:pPr>
              <w:spacing w:before="0" w:after="0"/>
              <w:jc w:val="center"/>
              <w:rPr>
                <w:b/>
                <w:sz w:val="10"/>
                <w:szCs w:val="10"/>
                <w:lang w:val="fr-BE"/>
              </w:rPr>
            </w:pPr>
            <w:r w:rsidRPr="00A92B39">
              <w:rPr>
                <w:b/>
                <w:noProof/>
                <w:sz w:val="10"/>
                <w:szCs w:val="10"/>
                <w:lang w:val="fr-BE"/>
              </w:rPr>
              <w:t>Mężczyźni</w:t>
            </w:r>
          </w:p>
        </w:tc>
        <w:tc>
          <w:tcPr>
            <w:tcW w:w="0" w:type="auto"/>
          </w:tcPr>
          <w:p w14:paraId="668882CB" w14:textId="77777777" w:rsidR="008C5CFA" w:rsidRPr="00A92B39" w:rsidRDefault="00E82A60" w:rsidP="00300A01">
            <w:pPr>
              <w:spacing w:before="0" w:after="0"/>
              <w:jc w:val="center"/>
              <w:rPr>
                <w:b/>
                <w:sz w:val="10"/>
                <w:szCs w:val="10"/>
                <w:lang w:val="fr-BE"/>
              </w:rPr>
            </w:pPr>
            <w:r w:rsidRPr="00A92B39">
              <w:rPr>
                <w:b/>
                <w:noProof/>
                <w:sz w:val="10"/>
                <w:szCs w:val="10"/>
                <w:lang w:val="fr-BE"/>
              </w:rPr>
              <w:t>Kobiety</w:t>
            </w:r>
          </w:p>
        </w:tc>
      </w:tr>
      <w:tr w:rsidR="006B2EC1" w14:paraId="46877A9D" w14:textId="77777777" w:rsidTr="0047688D">
        <w:tc>
          <w:tcPr>
            <w:tcW w:w="0" w:type="auto"/>
            <w:shd w:val="clear" w:color="auto" w:fill="auto"/>
          </w:tcPr>
          <w:p w14:paraId="2DA60AA4" w14:textId="77777777" w:rsidR="008C5CFA" w:rsidRPr="00A92B39" w:rsidRDefault="00E82A60" w:rsidP="00300A01">
            <w:pPr>
              <w:spacing w:before="0" w:after="0"/>
              <w:rPr>
                <w:sz w:val="10"/>
                <w:szCs w:val="10"/>
                <w:lang w:val="fr-BE"/>
              </w:rPr>
            </w:pPr>
            <w:r w:rsidRPr="00A92B39">
              <w:rPr>
                <w:noProof/>
                <w:sz w:val="10"/>
                <w:szCs w:val="10"/>
                <w:lang w:val="fr-BE"/>
              </w:rPr>
              <w:t>014</w:t>
            </w:r>
          </w:p>
        </w:tc>
        <w:tc>
          <w:tcPr>
            <w:tcW w:w="0" w:type="auto"/>
            <w:shd w:val="clear" w:color="auto" w:fill="auto"/>
          </w:tcPr>
          <w:p w14:paraId="55F2F1D2" w14:textId="77777777" w:rsidR="008C5CFA" w:rsidRPr="00A92B39" w:rsidRDefault="00E82A60" w:rsidP="00300A01">
            <w:pPr>
              <w:spacing w:before="0" w:after="0"/>
              <w:rPr>
                <w:sz w:val="10"/>
                <w:szCs w:val="10"/>
                <w:lang w:val="fr-BE"/>
              </w:rPr>
            </w:pPr>
            <w:r w:rsidRPr="00A92B39">
              <w:rPr>
                <w:noProof/>
                <w:sz w:val="10"/>
                <w:szCs w:val="10"/>
                <w:lang w:val="fr-BE"/>
              </w:rPr>
              <w:t>Liczba osób zagrożonych ubóstwem lub wykluczeniem społecznym objętych wsparciem w programie</w:t>
            </w:r>
          </w:p>
        </w:tc>
        <w:tc>
          <w:tcPr>
            <w:tcW w:w="0" w:type="auto"/>
            <w:shd w:val="clear" w:color="auto" w:fill="auto"/>
          </w:tcPr>
          <w:p w14:paraId="6433E0A0" w14:textId="77777777" w:rsidR="008C5CFA" w:rsidRPr="00A92B39" w:rsidRDefault="00E82A60" w:rsidP="00300A01">
            <w:pPr>
              <w:spacing w:before="0" w:after="0"/>
              <w:rPr>
                <w:sz w:val="10"/>
                <w:szCs w:val="10"/>
                <w:lang w:val="fr-BE"/>
              </w:rPr>
            </w:pPr>
            <w:r w:rsidRPr="00A92B39">
              <w:rPr>
                <w:noProof/>
                <w:sz w:val="10"/>
                <w:szCs w:val="10"/>
                <w:lang w:val="fr-BE"/>
              </w:rPr>
              <w:t>Słabiej rozwinięte</w:t>
            </w:r>
          </w:p>
        </w:tc>
        <w:tc>
          <w:tcPr>
            <w:tcW w:w="0" w:type="auto"/>
            <w:shd w:val="clear" w:color="auto" w:fill="auto"/>
          </w:tcPr>
          <w:p w14:paraId="353D4413" w14:textId="77777777" w:rsidR="008C5CFA" w:rsidRPr="00A92B39" w:rsidRDefault="00E82A60" w:rsidP="00300A01">
            <w:pPr>
              <w:spacing w:before="0" w:after="0"/>
              <w:jc w:val="right"/>
              <w:rPr>
                <w:sz w:val="10"/>
                <w:szCs w:val="10"/>
                <w:lang w:val="fr-BE"/>
              </w:rPr>
            </w:pPr>
            <w:r w:rsidRPr="00A92B39">
              <w:rPr>
                <w:noProof/>
                <w:sz w:val="10"/>
                <w:szCs w:val="10"/>
                <w:lang w:val="fr-BE"/>
              </w:rPr>
              <w:t>806,00</w:t>
            </w:r>
          </w:p>
        </w:tc>
        <w:tc>
          <w:tcPr>
            <w:tcW w:w="0" w:type="auto"/>
            <w:shd w:val="clear" w:color="auto" w:fill="auto"/>
          </w:tcPr>
          <w:p w14:paraId="0A69609A"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14:paraId="07ABA34E"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5EA49305" w14:textId="77777777" w:rsidR="008C5CFA" w:rsidRPr="00A92B39" w:rsidRDefault="00E82A60" w:rsidP="00300A01">
            <w:pPr>
              <w:spacing w:before="0" w:after="0"/>
              <w:jc w:val="right"/>
              <w:rPr>
                <w:sz w:val="10"/>
                <w:szCs w:val="10"/>
                <w:lang w:val="fr-BE"/>
              </w:rPr>
            </w:pPr>
            <w:r w:rsidRPr="00A92B39">
              <w:rPr>
                <w:noProof/>
                <w:sz w:val="10"/>
                <w:szCs w:val="10"/>
                <w:lang w:val="fr-BE"/>
              </w:rPr>
              <w:t>781,00</w:t>
            </w:r>
          </w:p>
        </w:tc>
        <w:tc>
          <w:tcPr>
            <w:tcW w:w="0" w:type="auto"/>
          </w:tcPr>
          <w:p w14:paraId="6AA8FCAF"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6FF2A58E"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4AC62C93" w14:textId="77777777" w:rsidR="008C5CFA" w:rsidRPr="00A92B39" w:rsidRDefault="00E82A60" w:rsidP="00300A01">
            <w:pPr>
              <w:spacing w:before="0" w:after="0"/>
              <w:jc w:val="right"/>
              <w:rPr>
                <w:sz w:val="10"/>
                <w:szCs w:val="10"/>
                <w:lang w:val="fr-BE"/>
              </w:rPr>
            </w:pPr>
            <w:r w:rsidRPr="00A92B39">
              <w:rPr>
                <w:noProof/>
                <w:sz w:val="10"/>
                <w:szCs w:val="10"/>
                <w:lang w:val="fr-BE"/>
              </w:rPr>
              <w:t>136,00</w:t>
            </w:r>
          </w:p>
        </w:tc>
        <w:tc>
          <w:tcPr>
            <w:tcW w:w="0" w:type="auto"/>
          </w:tcPr>
          <w:p w14:paraId="2FA8E423"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7D44D94B"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5551167E"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22D8D08B"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72C52621"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1054C4B1"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1F0A61CA"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6C5651A8"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r>
    </w:tbl>
    <w:p w14:paraId="5677B81E" w14:textId="77777777" w:rsidR="008C5CFA" w:rsidRDefault="008C5CFA" w:rsidP="00300A01">
      <w:pPr>
        <w:spacing w:before="0" w:after="0"/>
        <w:rPr>
          <w:lang w:val="fr-BE"/>
        </w:rPr>
      </w:pPr>
    </w:p>
    <w:p w14:paraId="49DF43FE" w14:textId="77777777" w:rsidR="008C5CFA" w:rsidRDefault="00E82A60" w:rsidP="00300A01">
      <w:pPr>
        <w:spacing w:before="0" w:after="0"/>
        <w:rPr>
          <w:lang w:val="fr-BE"/>
        </w:rPr>
      </w:pPr>
      <w:r>
        <w:rPr>
          <w:lang w:val="fr-BE"/>
        </w:rPr>
        <w:br w:type="page"/>
      </w:r>
    </w:p>
    <w:p w14:paraId="15405319" w14:textId="77777777" w:rsidR="008C5CFA" w:rsidRPr="00B27C43" w:rsidRDefault="008C5CFA" w:rsidP="00300A01">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9"/>
        <w:gridCol w:w="13125"/>
      </w:tblGrid>
      <w:tr w:rsidR="006B2EC1" w14:paraId="11BF59D5" w14:textId="77777777" w:rsidTr="0047688D">
        <w:tc>
          <w:tcPr>
            <w:tcW w:w="0" w:type="auto"/>
            <w:shd w:val="clear" w:color="auto" w:fill="auto"/>
          </w:tcPr>
          <w:p w14:paraId="5FC0A82B" w14:textId="77777777" w:rsidR="008C5CFA" w:rsidRPr="002124FC" w:rsidRDefault="00E82A60" w:rsidP="00300A01">
            <w:pPr>
              <w:spacing w:before="0" w:after="0"/>
              <w:rPr>
                <w:sz w:val="20"/>
                <w:szCs w:val="20"/>
                <w:lang w:val="fr-BE"/>
              </w:rPr>
            </w:pPr>
            <w:r w:rsidRPr="002124FC">
              <w:rPr>
                <w:noProof/>
                <w:sz w:val="20"/>
                <w:szCs w:val="20"/>
                <w:lang w:val="fr-BE"/>
              </w:rPr>
              <w:t>Oś priorytetowa</w:t>
            </w:r>
          </w:p>
        </w:tc>
        <w:tc>
          <w:tcPr>
            <w:tcW w:w="0" w:type="auto"/>
            <w:shd w:val="clear" w:color="auto" w:fill="auto"/>
          </w:tcPr>
          <w:p w14:paraId="7D005B66" w14:textId="77777777" w:rsidR="008C5CFA" w:rsidRPr="002124FC" w:rsidRDefault="00E82A60" w:rsidP="00300A01">
            <w:pPr>
              <w:spacing w:before="0" w:after="0"/>
              <w:rPr>
                <w:sz w:val="20"/>
                <w:szCs w:val="20"/>
                <w:lang w:val="fr-BE"/>
              </w:rPr>
            </w:pPr>
            <w:r w:rsidRPr="002124FC">
              <w:rPr>
                <w:noProof/>
                <w:sz w:val="20"/>
                <w:szCs w:val="20"/>
                <w:lang w:val="fr-BE"/>
              </w:rPr>
              <w:t>9</w:t>
            </w:r>
            <w:r w:rsidRPr="002124FC">
              <w:rPr>
                <w:sz w:val="20"/>
                <w:szCs w:val="20"/>
                <w:lang w:val="fr-BE"/>
              </w:rPr>
              <w:t xml:space="preserve"> - </w:t>
            </w:r>
            <w:r w:rsidRPr="002124FC">
              <w:rPr>
                <w:noProof/>
                <w:sz w:val="20"/>
                <w:szCs w:val="20"/>
                <w:lang w:val="fr-BE"/>
              </w:rPr>
              <w:t>Włączenie społeczne i walka z ubóstwem</w:t>
            </w:r>
          </w:p>
        </w:tc>
      </w:tr>
      <w:tr w:rsidR="006B2EC1" w14:paraId="4786194C" w14:textId="77777777" w:rsidTr="0047688D">
        <w:tc>
          <w:tcPr>
            <w:tcW w:w="0" w:type="auto"/>
            <w:shd w:val="clear" w:color="auto" w:fill="auto"/>
          </w:tcPr>
          <w:p w14:paraId="74E60AEE" w14:textId="77777777" w:rsidR="008C5CFA" w:rsidRPr="002124FC" w:rsidRDefault="00E82A60"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14:paraId="383E4266" w14:textId="77777777" w:rsidR="008C5CFA" w:rsidRPr="002124FC" w:rsidRDefault="00E82A60" w:rsidP="00300A01">
            <w:pPr>
              <w:spacing w:before="0" w:after="0"/>
              <w:rPr>
                <w:sz w:val="20"/>
                <w:szCs w:val="20"/>
                <w:lang w:val="fr-BE"/>
              </w:rPr>
            </w:pPr>
            <w:r w:rsidRPr="002124FC">
              <w:rPr>
                <w:noProof/>
                <w:sz w:val="20"/>
                <w:szCs w:val="20"/>
                <w:lang w:val="fr-BE"/>
              </w:rPr>
              <w:t>9iv</w:t>
            </w:r>
            <w:r w:rsidRPr="002124FC">
              <w:rPr>
                <w:sz w:val="20"/>
                <w:szCs w:val="20"/>
                <w:lang w:val="fr-BE"/>
              </w:rPr>
              <w:t xml:space="preserve"> - </w:t>
            </w:r>
            <w:r w:rsidRPr="002124FC">
              <w:rPr>
                <w:noProof/>
                <w:sz w:val="20"/>
                <w:szCs w:val="20"/>
                <w:lang w:val="fr-BE"/>
              </w:rPr>
              <w:t>Ułatwianie dostępu do przystępnych cenowo oraz wysokiej jakości usług, w tym opieki zdrowotnej i usług socjalnych świadczonych w interesie ogólnym</w:t>
            </w:r>
          </w:p>
        </w:tc>
      </w:tr>
    </w:tbl>
    <w:p w14:paraId="7E855511" w14:textId="77777777" w:rsidR="008C5CFA" w:rsidRDefault="008C5CFA" w:rsidP="00300A01">
      <w:pPr>
        <w:spacing w:before="0" w:after="0"/>
        <w:ind w:left="113" w:hanging="113"/>
        <w:rPr>
          <w:sz w:val="20"/>
          <w:szCs w:val="20"/>
          <w:lang w:val="fr-BE"/>
        </w:rPr>
      </w:pPr>
    </w:p>
    <w:p w14:paraId="5C1D72EC" w14:textId="77777777" w:rsidR="008C5CFA" w:rsidRPr="008E457C" w:rsidRDefault="00E82A60" w:rsidP="00300A01">
      <w:pPr>
        <w:pStyle w:val="Nagwek2"/>
        <w:spacing w:before="0" w:after="0"/>
      </w:pPr>
      <w:bookmarkStart w:id="71" w:name="_Toc46391755"/>
      <w:r w:rsidRPr="008E457C">
        <w:rPr>
          <w:noProof/>
        </w:rPr>
        <w:t>Tabela 2A</w:t>
      </w:r>
      <w:r w:rsidRPr="008E457C">
        <w:t xml:space="preserve"> : </w:t>
      </w:r>
      <w:proofErr w:type="spellStart"/>
      <w:r w:rsidRPr="008E457C">
        <w:t>Wspólne</w:t>
      </w:r>
      <w:proofErr w:type="spellEnd"/>
      <w:r w:rsidRPr="008E457C">
        <w:t xml:space="preserve"> </w:t>
      </w:r>
      <w:proofErr w:type="spellStart"/>
      <w:r w:rsidRPr="008E457C">
        <w:t>wskaźniki</w:t>
      </w:r>
      <w:proofErr w:type="spellEnd"/>
      <w:r w:rsidRPr="008E457C">
        <w:t xml:space="preserve"> </w:t>
      </w:r>
      <w:proofErr w:type="spellStart"/>
      <w:r w:rsidRPr="008E457C">
        <w:t>rezultatu</w:t>
      </w:r>
      <w:proofErr w:type="spellEnd"/>
      <w:r w:rsidRPr="008E457C">
        <w:t xml:space="preserve"> </w:t>
      </w:r>
      <w:proofErr w:type="spellStart"/>
      <w:r w:rsidRPr="008E457C">
        <w:t>dla</w:t>
      </w:r>
      <w:proofErr w:type="spellEnd"/>
      <w:r w:rsidRPr="008E457C">
        <w:t xml:space="preserve"> EFS (z </w:t>
      </w:r>
      <w:proofErr w:type="spellStart"/>
      <w:r w:rsidRPr="008E457C">
        <w:t>podziałem</w:t>
      </w:r>
      <w:proofErr w:type="spellEnd"/>
      <w:r w:rsidRPr="008E457C">
        <w:t xml:space="preserve"> </w:t>
      </w:r>
      <w:proofErr w:type="spellStart"/>
      <w:r w:rsidRPr="008E457C">
        <w:t>na</w:t>
      </w:r>
      <w:proofErr w:type="spellEnd"/>
      <w:r w:rsidRPr="008E457C">
        <w:t xml:space="preserve"> </w:t>
      </w:r>
      <w:proofErr w:type="spellStart"/>
      <w:r w:rsidRPr="008E457C">
        <w:t>oś</w:t>
      </w:r>
      <w:proofErr w:type="spellEnd"/>
      <w:r w:rsidRPr="008E457C">
        <w:t xml:space="preserve"> </w:t>
      </w:r>
      <w:proofErr w:type="spellStart"/>
      <w:r w:rsidRPr="008E457C">
        <w:t>priorytetową</w:t>
      </w:r>
      <w:proofErr w:type="spellEnd"/>
      <w:r w:rsidRPr="008E457C">
        <w:t xml:space="preserve">, </w:t>
      </w:r>
      <w:proofErr w:type="spellStart"/>
      <w:r w:rsidRPr="008E457C">
        <w:t>priorytet</w:t>
      </w:r>
      <w:proofErr w:type="spellEnd"/>
      <w:r w:rsidRPr="008E457C">
        <w:t xml:space="preserve"> </w:t>
      </w:r>
      <w:proofErr w:type="spellStart"/>
      <w:r w:rsidRPr="008E457C">
        <w:t>inwestycyjny</w:t>
      </w:r>
      <w:proofErr w:type="spellEnd"/>
      <w:r w:rsidRPr="008E457C">
        <w:t xml:space="preserve"> i </w:t>
      </w:r>
      <w:proofErr w:type="spellStart"/>
      <w:r w:rsidRPr="008E457C">
        <w:t>kategorię</w:t>
      </w:r>
      <w:proofErr w:type="spellEnd"/>
      <w:r w:rsidRPr="008E457C">
        <w:t xml:space="preserve"> </w:t>
      </w:r>
      <w:proofErr w:type="spellStart"/>
      <w:r w:rsidRPr="008E457C">
        <w:t>regionu</w:t>
      </w:r>
      <w:proofErr w:type="spellEnd"/>
      <w:r w:rsidRPr="008E457C">
        <w:t xml:space="preserve">) Dane </w:t>
      </w:r>
      <w:proofErr w:type="spellStart"/>
      <w:r w:rsidRPr="008E457C">
        <w:t>na</w:t>
      </w:r>
      <w:proofErr w:type="spellEnd"/>
      <w:r w:rsidRPr="008E457C">
        <w:t xml:space="preserve"> </w:t>
      </w:r>
      <w:proofErr w:type="spellStart"/>
      <w:r w:rsidRPr="008E457C">
        <w:t>temat</w:t>
      </w:r>
      <w:proofErr w:type="spellEnd"/>
      <w:r w:rsidRPr="008E457C">
        <w:t xml:space="preserve"> </w:t>
      </w:r>
      <w:proofErr w:type="spellStart"/>
      <w:r w:rsidRPr="008E457C">
        <w:t>wszystkich</w:t>
      </w:r>
      <w:proofErr w:type="spellEnd"/>
      <w:r w:rsidRPr="008E457C">
        <w:t xml:space="preserve"> </w:t>
      </w:r>
      <w:proofErr w:type="spellStart"/>
      <w:r w:rsidRPr="008E457C">
        <w:t>wspólnych</w:t>
      </w:r>
      <w:proofErr w:type="spellEnd"/>
      <w:r w:rsidRPr="008E457C">
        <w:t xml:space="preserve"> </w:t>
      </w:r>
      <w:proofErr w:type="spellStart"/>
      <w:r w:rsidRPr="008E457C">
        <w:t>wskaźników</w:t>
      </w:r>
      <w:proofErr w:type="spellEnd"/>
      <w:r w:rsidRPr="008E457C">
        <w:t xml:space="preserve"> </w:t>
      </w:r>
      <w:proofErr w:type="spellStart"/>
      <w:r w:rsidRPr="008E457C">
        <w:t>rezultatu</w:t>
      </w:r>
      <w:proofErr w:type="spellEnd"/>
      <w:r w:rsidRPr="008E457C">
        <w:t xml:space="preserve"> </w:t>
      </w:r>
      <w:proofErr w:type="spellStart"/>
      <w:r w:rsidRPr="008E457C">
        <w:t>dla</w:t>
      </w:r>
      <w:proofErr w:type="spellEnd"/>
      <w:r w:rsidRPr="008E457C">
        <w:t xml:space="preserve"> EFS (z </w:t>
      </w:r>
      <w:proofErr w:type="spellStart"/>
      <w:r w:rsidRPr="008E457C">
        <w:t>wartością</w:t>
      </w:r>
      <w:proofErr w:type="spellEnd"/>
      <w:r w:rsidRPr="008E457C">
        <w:t xml:space="preserve"> </w:t>
      </w:r>
      <w:proofErr w:type="spellStart"/>
      <w:r w:rsidRPr="008E457C">
        <w:t>docelową</w:t>
      </w:r>
      <w:proofErr w:type="spellEnd"/>
      <w:r w:rsidRPr="008E457C">
        <w:t xml:space="preserve"> i bez) </w:t>
      </w:r>
      <w:proofErr w:type="spellStart"/>
      <w:r w:rsidRPr="008E457C">
        <w:t>przedstawia</w:t>
      </w:r>
      <w:proofErr w:type="spellEnd"/>
      <w:r w:rsidRPr="008E457C">
        <w:t xml:space="preserve"> </w:t>
      </w:r>
      <w:proofErr w:type="spellStart"/>
      <w:r w:rsidRPr="008E457C">
        <w:t>się</w:t>
      </w:r>
      <w:proofErr w:type="spellEnd"/>
      <w:r w:rsidRPr="008E457C">
        <w:t xml:space="preserve"> w </w:t>
      </w:r>
      <w:proofErr w:type="spellStart"/>
      <w:r w:rsidRPr="008E457C">
        <w:t>sprawozdaniu</w:t>
      </w:r>
      <w:proofErr w:type="spellEnd"/>
      <w:r w:rsidRPr="008E457C">
        <w:t xml:space="preserve"> w </w:t>
      </w:r>
      <w:proofErr w:type="spellStart"/>
      <w:r w:rsidRPr="008E457C">
        <w:t>podziale</w:t>
      </w:r>
      <w:proofErr w:type="spellEnd"/>
      <w:r w:rsidRPr="008E457C">
        <w:t xml:space="preserve"> </w:t>
      </w:r>
      <w:proofErr w:type="spellStart"/>
      <w:r w:rsidRPr="008E457C">
        <w:t>na</w:t>
      </w:r>
      <w:proofErr w:type="spellEnd"/>
      <w:r w:rsidRPr="008E457C">
        <w:t xml:space="preserve"> </w:t>
      </w:r>
      <w:proofErr w:type="spellStart"/>
      <w:r w:rsidRPr="008E457C">
        <w:t>płeć</w:t>
      </w:r>
      <w:proofErr w:type="spellEnd"/>
      <w:r w:rsidRPr="008E457C">
        <w:t xml:space="preserve">. W </w:t>
      </w:r>
      <w:proofErr w:type="spellStart"/>
      <w:r w:rsidRPr="008E457C">
        <w:t>przypadku</w:t>
      </w:r>
      <w:proofErr w:type="spellEnd"/>
      <w:r w:rsidRPr="008E457C">
        <w:t xml:space="preserve"> </w:t>
      </w:r>
      <w:proofErr w:type="spellStart"/>
      <w:r w:rsidRPr="008E457C">
        <w:t>osi</w:t>
      </w:r>
      <w:proofErr w:type="spellEnd"/>
      <w:r w:rsidRPr="008E457C">
        <w:t xml:space="preserve"> </w:t>
      </w:r>
      <w:proofErr w:type="spellStart"/>
      <w:r w:rsidRPr="008E457C">
        <w:t>priorytetowej</w:t>
      </w:r>
      <w:proofErr w:type="spellEnd"/>
      <w:r w:rsidRPr="008E457C">
        <w:t xml:space="preserve"> </w:t>
      </w:r>
      <w:r>
        <w:t>"</w:t>
      </w:r>
      <w:proofErr w:type="spellStart"/>
      <w:r w:rsidRPr="008E457C">
        <w:t>Pomoc</w:t>
      </w:r>
      <w:proofErr w:type="spellEnd"/>
      <w:r w:rsidRPr="008E457C">
        <w:t xml:space="preserve"> </w:t>
      </w:r>
      <w:proofErr w:type="spellStart"/>
      <w:r w:rsidRPr="008E457C">
        <w:t>techniczna</w:t>
      </w:r>
      <w:proofErr w:type="spellEnd"/>
      <w:r w:rsidRPr="008E457C">
        <w:t xml:space="preserve"> w </w:t>
      </w:r>
      <w:proofErr w:type="spellStart"/>
      <w:r w:rsidRPr="008E457C">
        <w:t>sprawozdaniu</w:t>
      </w:r>
      <w:proofErr w:type="spellEnd"/>
      <w:r w:rsidRPr="008E457C">
        <w:t xml:space="preserve"> </w:t>
      </w:r>
      <w:proofErr w:type="spellStart"/>
      <w:r w:rsidRPr="008E457C">
        <w:t>przedstawia</w:t>
      </w:r>
      <w:proofErr w:type="spellEnd"/>
      <w:r w:rsidRPr="008E457C">
        <w:t xml:space="preserve"> </w:t>
      </w:r>
      <w:proofErr w:type="spellStart"/>
      <w:r w:rsidRPr="008E457C">
        <w:t>się</w:t>
      </w:r>
      <w:proofErr w:type="spellEnd"/>
      <w:r w:rsidRPr="008E457C">
        <w:t xml:space="preserve"> </w:t>
      </w:r>
      <w:proofErr w:type="spellStart"/>
      <w:r w:rsidRPr="008E457C">
        <w:t>jedynie</w:t>
      </w:r>
      <w:proofErr w:type="spellEnd"/>
      <w:r w:rsidRPr="008E457C">
        <w:t xml:space="preserve"> </w:t>
      </w:r>
      <w:proofErr w:type="spellStart"/>
      <w:r w:rsidRPr="008E457C">
        <w:t>te</w:t>
      </w:r>
      <w:proofErr w:type="spellEnd"/>
      <w:r w:rsidRPr="008E457C">
        <w:t xml:space="preserve"> </w:t>
      </w:r>
      <w:proofErr w:type="spellStart"/>
      <w:r w:rsidRPr="008E457C">
        <w:t>wskaźniki</w:t>
      </w:r>
      <w:proofErr w:type="spellEnd"/>
      <w:r w:rsidRPr="008E457C">
        <w:t xml:space="preserve"> </w:t>
      </w:r>
      <w:proofErr w:type="spellStart"/>
      <w:r w:rsidRPr="008E457C">
        <w:t>wspólne</w:t>
      </w:r>
      <w:proofErr w:type="spellEnd"/>
      <w:r w:rsidRPr="008E457C">
        <w:t xml:space="preserve">, w </w:t>
      </w:r>
      <w:proofErr w:type="spellStart"/>
      <w:r w:rsidRPr="008E457C">
        <w:t>odniesieniu</w:t>
      </w:r>
      <w:proofErr w:type="spellEnd"/>
      <w:r w:rsidRPr="008E457C">
        <w:t xml:space="preserve"> do </w:t>
      </w:r>
      <w:proofErr w:type="spellStart"/>
      <w:r w:rsidRPr="008E457C">
        <w:t>których</w:t>
      </w:r>
      <w:proofErr w:type="spellEnd"/>
      <w:r w:rsidRPr="008E457C">
        <w:t xml:space="preserve"> </w:t>
      </w:r>
      <w:proofErr w:type="spellStart"/>
      <w:r w:rsidRPr="008E457C">
        <w:t>ustanowiono</w:t>
      </w:r>
      <w:proofErr w:type="spellEnd"/>
      <w:r w:rsidRPr="008E457C">
        <w:t xml:space="preserve"> </w:t>
      </w:r>
      <w:proofErr w:type="spellStart"/>
      <w:r w:rsidRPr="008E457C">
        <w:t>wartość</w:t>
      </w:r>
      <w:proofErr w:type="spellEnd"/>
      <w:r w:rsidRPr="008E457C">
        <w:t xml:space="preserve"> </w:t>
      </w:r>
      <w:proofErr w:type="spellStart"/>
      <w:r w:rsidRPr="008E457C">
        <w:t>docelową</w:t>
      </w:r>
      <w:proofErr w:type="spellEnd"/>
      <w:r w:rsidRPr="008E457C">
        <w:t>.</w:t>
      </w:r>
      <w:r w:rsidR="00501DA0">
        <w:t xml:space="preserve"> - </w:t>
      </w:r>
      <w:r w:rsidR="00501DA0" w:rsidRPr="002124FC">
        <w:rPr>
          <w:noProof/>
          <w:sz w:val="20"/>
          <w:szCs w:val="20"/>
          <w:lang w:val="fr-BE"/>
        </w:rPr>
        <w:t>9</w:t>
      </w:r>
      <w:r w:rsidR="00501DA0">
        <w:rPr>
          <w:sz w:val="20"/>
          <w:szCs w:val="20"/>
          <w:lang w:val="fr-BE"/>
        </w:rPr>
        <w:t xml:space="preserve"> / </w:t>
      </w:r>
      <w:r w:rsidR="00501DA0" w:rsidRPr="002124FC">
        <w:rPr>
          <w:noProof/>
          <w:sz w:val="20"/>
          <w:szCs w:val="20"/>
          <w:lang w:val="fr-BE"/>
        </w:rPr>
        <w:t>9iv</w:t>
      </w:r>
      <w:bookmarkEnd w:id="71"/>
    </w:p>
    <w:p w14:paraId="70CEAA6A" w14:textId="77777777" w:rsidR="008C5CFA" w:rsidRDefault="008C5CFA" w:rsidP="00300A01">
      <w:pPr>
        <w:keepNext/>
        <w:spacing w:before="0" w:after="0"/>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37"/>
        <w:gridCol w:w="5159"/>
        <w:gridCol w:w="745"/>
        <w:gridCol w:w="1864"/>
        <w:gridCol w:w="1475"/>
        <w:gridCol w:w="456"/>
        <w:gridCol w:w="596"/>
        <w:gridCol w:w="463"/>
        <w:gridCol w:w="456"/>
        <w:gridCol w:w="596"/>
        <w:gridCol w:w="463"/>
        <w:gridCol w:w="456"/>
        <w:gridCol w:w="596"/>
        <w:gridCol w:w="463"/>
        <w:gridCol w:w="596"/>
        <w:gridCol w:w="463"/>
      </w:tblGrid>
      <w:tr w:rsidR="006B2EC1" w14:paraId="5AB51FDA" w14:textId="77777777" w:rsidTr="0047688D">
        <w:trPr>
          <w:tblHeader/>
        </w:trPr>
        <w:tc>
          <w:tcPr>
            <w:tcW w:w="0" w:type="auto"/>
            <w:shd w:val="clear" w:color="auto" w:fill="auto"/>
          </w:tcPr>
          <w:p w14:paraId="436C86D0" w14:textId="77777777" w:rsidR="008C5CFA" w:rsidRPr="00F53019" w:rsidRDefault="00E82A60" w:rsidP="00300A01">
            <w:pPr>
              <w:spacing w:before="0" w:after="0"/>
              <w:rPr>
                <w:b/>
                <w:sz w:val="12"/>
                <w:szCs w:val="12"/>
                <w:lang w:val="fr-BE"/>
              </w:rPr>
            </w:pPr>
            <w:r w:rsidRPr="00F53019">
              <w:rPr>
                <w:b/>
                <w:noProof/>
                <w:sz w:val="12"/>
                <w:szCs w:val="12"/>
                <w:lang w:val="fr-BE"/>
              </w:rPr>
              <w:t>ID</w:t>
            </w:r>
          </w:p>
        </w:tc>
        <w:tc>
          <w:tcPr>
            <w:tcW w:w="0" w:type="auto"/>
            <w:shd w:val="clear" w:color="auto" w:fill="auto"/>
          </w:tcPr>
          <w:p w14:paraId="357CBF64" w14:textId="77777777" w:rsidR="008C5CFA" w:rsidRPr="00F53019" w:rsidRDefault="00E82A60" w:rsidP="00300A01">
            <w:pPr>
              <w:spacing w:before="0" w:after="0"/>
              <w:rPr>
                <w:b/>
                <w:sz w:val="12"/>
                <w:szCs w:val="12"/>
                <w:lang w:val="fr-BE"/>
              </w:rPr>
            </w:pPr>
            <w:r w:rsidRPr="00F53019">
              <w:rPr>
                <w:b/>
                <w:noProof/>
                <w:sz w:val="12"/>
                <w:szCs w:val="12"/>
                <w:lang w:val="fr-BE"/>
              </w:rPr>
              <w:t>Wskaźnik</w:t>
            </w:r>
          </w:p>
        </w:tc>
        <w:tc>
          <w:tcPr>
            <w:tcW w:w="0" w:type="auto"/>
            <w:shd w:val="clear" w:color="auto" w:fill="auto"/>
          </w:tcPr>
          <w:p w14:paraId="0DC73367" w14:textId="77777777" w:rsidR="008C5CFA" w:rsidRPr="00F53019" w:rsidRDefault="00E82A60" w:rsidP="00300A01">
            <w:pPr>
              <w:spacing w:before="0" w:after="0"/>
              <w:rPr>
                <w:b/>
                <w:sz w:val="12"/>
                <w:szCs w:val="12"/>
                <w:lang w:val="fr-BE"/>
              </w:rPr>
            </w:pPr>
            <w:r w:rsidRPr="00F53019">
              <w:rPr>
                <w:b/>
                <w:noProof/>
                <w:sz w:val="12"/>
                <w:szCs w:val="12"/>
                <w:lang w:val="fr-BE"/>
              </w:rPr>
              <w:t>Kategoria regionu</w:t>
            </w:r>
          </w:p>
        </w:tc>
        <w:tc>
          <w:tcPr>
            <w:tcW w:w="0" w:type="auto"/>
            <w:shd w:val="clear" w:color="auto" w:fill="auto"/>
          </w:tcPr>
          <w:p w14:paraId="2E0BA241" w14:textId="77777777" w:rsidR="008C5CFA" w:rsidRPr="00F53019" w:rsidRDefault="00E82A60" w:rsidP="00300A01">
            <w:pPr>
              <w:spacing w:before="0" w:after="0"/>
              <w:rPr>
                <w:b/>
                <w:sz w:val="12"/>
                <w:szCs w:val="12"/>
                <w:lang w:val="fr-BE"/>
              </w:rPr>
            </w:pPr>
            <w:r w:rsidRPr="00F53019">
              <w:rPr>
                <w:b/>
                <w:noProof/>
                <w:sz w:val="12"/>
                <w:szCs w:val="12"/>
                <w:lang w:val="fr-BE"/>
              </w:rPr>
              <w:t>Wspólny wskaźnik produktu stosowany jako podstawa ustalania celów</w:t>
            </w:r>
          </w:p>
        </w:tc>
        <w:tc>
          <w:tcPr>
            <w:tcW w:w="0" w:type="auto"/>
            <w:shd w:val="clear" w:color="auto" w:fill="auto"/>
          </w:tcPr>
          <w:p w14:paraId="0F5C550F" w14:textId="77777777" w:rsidR="008C5CFA" w:rsidRPr="00F53019" w:rsidRDefault="00E82A60" w:rsidP="00300A01">
            <w:pPr>
              <w:spacing w:before="0" w:after="0"/>
              <w:rPr>
                <w:b/>
                <w:sz w:val="12"/>
                <w:szCs w:val="12"/>
                <w:lang w:val="fr-BE"/>
              </w:rPr>
            </w:pPr>
            <w:r w:rsidRPr="00F53019">
              <w:rPr>
                <w:b/>
                <w:noProof/>
                <w:sz w:val="12"/>
                <w:szCs w:val="12"/>
                <w:lang w:val="fr-BE"/>
              </w:rPr>
              <w:t>Jednostka pomiaru dla wartości bazowej i docelowej</w:t>
            </w:r>
          </w:p>
        </w:tc>
        <w:tc>
          <w:tcPr>
            <w:tcW w:w="0" w:type="auto"/>
            <w:gridSpan w:val="3"/>
            <w:shd w:val="clear" w:color="auto" w:fill="auto"/>
          </w:tcPr>
          <w:p w14:paraId="6437D1D3" w14:textId="77777777" w:rsidR="008C5CFA" w:rsidRPr="00F53019" w:rsidRDefault="00E82A60" w:rsidP="00300A01">
            <w:pPr>
              <w:spacing w:before="0" w:after="0"/>
              <w:jc w:val="center"/>
              <w:rPr>
                <w:b/>
                <w:sz w:val="12"/>
                <w:szCs w:val="12"/>
                <w:lang w:val="fr-BE"/>
              </w:rPr>
            </w:pPr>
            <w:r w:rsidRPr="00F53019">
              <w:rPr>
                <w:b/>
                <w:noProof/>
                <w:sz w:val="12"/>
                <w:szCs w:val="12"/>
                <w:lang w:val="fr-BE"/>
              </w:rPr>
              <w:t>Wartość docelowa (2023)</w:t>
            </w:r>
          </w:p>
        </w:tc>
        <w:tc>
          <w:tcPr>
            <w:tcW w:w="0" w:type="auto"/>
            <w:gridSpan w:val="3"/>
            <w:shd w:val="clear" w:color="auto" w:fill="auto"/>
          </w:tcPr>
          <w:p w14:paraId="4C798064" w14:textId="77777777" w:rsidR="008C5CFA" w:rsidRPr="00F53019" w:rsidRDefault="00E82A60" w:rsidP="00300A01">
            <w:pPr>
              <w:spacing w:before="0" w:after="0"/>
              <w:jc w:val="center"/>
              <w:rPr>
                <w:b/>
                <w:sz w:val="12"/>
                <w:szCs w:val="12"/>
                <w:lang w:val="fr-BE"/>
              </w:rPr>
            </w:pPr>
            <w:r w:rsidRPr="00F53019">
              <w:rPr>
                <w:b/>
                <w:noProof/>
                <w:sz w:val="12"/>
                <w:szCs w:val="12"/>
                <w:lang w:val="fr-BE"/>
              </w:rPr>
              <w:t>Wartość skumulowana</w:t>
            </w:r>
          </w:p>
        </w:tc>
        <w:tc>
          <w:tcPr>
            <w:tcW w:w="0" w:type="auto"/>
            <w:gridSpan w:val="3"/>
            <w:shd w:val="clear" w:color="auto" w:fill="auto"/>
          </w:tcPr>
          <w:p w14:paraId="6C3F5604" w14:textId="77777777" w:rsidR="008C5CFA" w:rsidRPr="00F53019" w:rsidRDefault="00E82A60" w:rsidP="00300A01">
            <w:pPr>
              <w:spacing w:before="0" w:after="0"/>
              <w:jc w:val="center"/>
              <w:rPr>
                <w:b/>
                <w:sz w:val="12"/>
                <w:szCs w:val="12"/>
                <w:lang w:val="fr-BE"/>
              </w:rPr>
            </w:pPr>
            <w:r w:rsidRPr="00F53019">
              <w:rPr>
                <w:b/>
                <w:noProof/>
                <w:sz w:val="12"/>
                <w:szCs w:val="12"/>
                <w:lang w:val="fr-BE"/>
              </w:rPr>
              <w:t>Wskaźnik osiągnięć</w:t>
            </w:r>
          </w:p>
        </w:tc>
        <w:tc>
          <w:tcPr>
            <w:tcW w:w="0" w:type="auto"/>
            <w:gridSpan w:val="2"/>
            <w:shd w:val="clear" w:color="auto" w:fill="auto"/>
          </w:tcPr>
          <w:p w14:paraId="54D3C18D" w14:textId="77777777" w:rsidR="008C5CFA" w:rsidRPr="00F53019" w:rsidRDefault="00E82A60" w:rsidP="00300A01">
            <w:pPr>
              <w:spacing w:before="0" w:after="0"/>
              <w:jc w:val="center"/>
              <w:rPr>
                <w:b/>
                <w:sz w:val="12"/>
                <w:szCs w:val="12"/>
                <w:lang w:val="fr-BE"/>
              </w:rPr>
            </w:pPr>
            <w:r>
              <w:rPr>
                <w:b/>
                <w:sz w:val="12"/>
                <w:szCs w:val="12"/>
                <w:lang w:val="fr-BE"/>
              </w:rPr>
              <w:t>2019</w:t>
            </w:r>
          </w:p>
        </w:tc>
      </w:tr>
      <w:tr w:rsidR="006B2EC1" w14:paraId="085BCA82" w14:textId="77777777" w:rsidTr="0047688D">
        <w:trPr>
          <w:tblHeader/>
        </w:trPr>
        <w:tc>
          <w:tcPr>
            <w:tcW w:w="0" w:type="auto"/>
            <w:shd w:val="clear" w:color="auto" w:fill="auto"/>
          </w:tcPr>
          <w:p w14:paraId="7193E208" w14:textId="77777777" w:rsidR="008C5CFA" w:rsidRPr="00F53019" w:rsidRDefault="008C5CFA" w:rsidP="00300A01">
            <w:pPr>
              <w:spacing w:before="0" w:after="0"/>
              <w:rPr>
                <w:b/>
                <w:sz w:val="12"/>
                <w:szCs w:val="12"/>
                <w:lang w:val="fr-BE"/>
              </w:rPr>
            </w:pPr>
          </w:p>
        </w:tc>
        <w:tc>
          <w:tcPr>
            <w:tcW w:w="0" w:type="auto"/>
            <w:shd w:val="clear" w:color="auto" w:fill="auto"/>
          </w:tcPr>
          <w:p w14:paraId="51534611" w14:textId="77777777" w:rsidR="008C5CFA" w:rsidRPr="00F53019" w:rsidRDefault="008C5CFA" w:rsidP="00300A01">
            <w:pPr>
              <w:spacing w:before="0" w:after="0"/>
              <w:rPr>
                <w:b/>
                <w:sz w:val="12"/>
                <w:szCs w:val="12"/>
                <w:lang w:val="fr-BE"/>
              </w:rPr>
            </w:pPr>
          </w:p>
        </w:tc>
        <w:tc>
          <w:tcPr>
            <w:tcW w:w="0" w:type="auto"/>
            <w:shd w:val="clear" w:color="auto" w:fill="auto"/>
          </w:tcPr>
          <w:p w14:paraId="02B3C914" w14:textId="77777777" w:rsidR="008C5CFA" w:rsidRPr="00F53019" w:rsidRDefault="008C5CFA" w:rsidP="00300A01">
            <w:pPr>
              <w:spacing w:before="0" w:after="0"/>
              <w:rPr>
                <w:b/>
                <w:sz w:val="12"/>
                <w:szCs w:val="12"/>
                <w:lang w:val="fr-BE"/>
              </w:rPr>
            </w:pPr>
          </w:p>
        </w:tc>
        <w:tc>
          <w:tcPr>
            <w:tcW w:w="0" w:type="auto"/>
            <w:shd w:val="clear" w:color="auto" w:fill="auto"/>
          </w:tcPr>
          <w:p w14:paraId="4635C202" w14:textId="77777777" w:rsidR="008C5CFA" w:rsidRPr="00F53019" w:rsidRDefault="008C5CFA" w:rsidP="00300A01">
            <w:pPr>
              <w:spacing w:before="0" w:after="0"/>
              <w:rPr>
                <w:b/>
                <w:sz w:val="12"/>
                <w:szCs w:val="12"/>
                <w:lang w:val="fr-BE"/>
              </w:rPr>
            </w:pPr>
          </w:p>
        </w:tc>
        <w:tc>
          <w:tcPr>
            <w:tcW w:w="0" w:type="auto"/>
            <w:shd w:val="clear" w:color="auto" w:fill="auto"/>
          </w:tcPr>
          <w:p w14:paraId="176093FC" w14:textId="77777777" w:rsidR="008C5CFA" w:rsidRPr="00F53019" w:rsidRDefault="008C5CFA" w:rsidP="00300A01">
            <w:pPr>
              <w:spacing w:before="0" w:after="0"/>
              <w:rPr>
                <w:b/>
                <w:sz w:val="12"/>
                <w:szCs w:val="12"/>
                <w:lang w:val="fr-BE"/>
              </w:rPr>
            </w:pPr>
          </w:p>
        </w:tc>
        <w:tc>
          <w:tcPr>
            <w:tcW w:w="0" w:type="auto"/>
            <w:shd w:val="clear" w:color="auto" w:fill="auto"/>
          </w:tcPr>
          <w:p w14:paraId="6F19D913" w14:textId="77777777" w:rsidR="008C5CFA" w:rsidRPr="00F53019" w:rsidRDefault="00E82A60" w:rsidP="00300A01">
            <w:pPr>
              <w:spacing w:before="0" w:after="0"/>
              <w:jc w:val="center"/>
              <w:rPr>
                <w:b/>
                <w:sz w:val="12"/>
                <w:szCs w:val="12"/>
                <w:lang w:val="fr-BE"/>
              </w:rPr>
            </w:pPr>
            <w:r w:rsidRPr="00F53019">
              <w:rPr>
                <w:b/>
                <w:noProof/>
                <w:sz w:val="12"/>
                <w:szCs w:val="12"/>
                <w:lang w:val="fr-BE"/>
              </w:rPr>
              <w:t>Ogółem</w:t>
            </w:r>
          </w:p>
        </w:tc>
        <w:tc>
          <w:tcPr>
            <w:tcW w:w="0" w:type="auto"/>
            <w:shd w:val="clear" w:color="auto" w:fill="auto"/>
          </w:tcPr>
          <w:p w14:paraId="4DA9A663" w14:textId="77777777" w:rsidR="008C5CFA" w:rsidRPr="00F53019" w:rsidRDefault="00E82A60"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14:paraId="006100CE" w14:textId="77777777" w:rsidR="008C5CFA" w:rsidRPr="00F53019" w:rsidRDefault="00E82A60" w:rsidP="00300A01">
            <w:pPr>
              <w:spacing w:before="0" w:after="0"/>
              <w:jc w:val="center"/>
              <w:rPr>
                <w:b/>
                <w:sz w:val="12"/>
                <w:szCs w:val="12"/>
                <w:lang w:val="fr-BE"/>
              </w:rPr>
            </w:pPr>
            <w:r w:rsidRPr="00F53019">
              <w:rPr>
                <w:b/>
                <w:noProof/>
                <w:sz w:val="12"/>
                <w:szCs w:val="12"/>
                <w:lang w:val="fr-BE"/>
              </w:rPr>
              <w:t>Kobiety</w:t>
            </w:r>
          </w:p>
        </w:tc>
        <w:tc>
          <w:tcPr>
            <w:tcW w:w="0" w:type="auto"/>
            <w:shd w:val="clear" w:color="auto" w:fill="auto"/>
          </w:tcPr>
          <w:p w14:paraId="24689456" w14:textId="77777777" w:rsidR="008C5CFA" w:rsidRPr="00F53019" w:rsidRDefault="00E82A60" w:rsidP="00300A01">
            <w:pPr>
              <w:spacing w:before="0" w:after="0"/>
              <w:jc w:val="center"/>
              <w:rPr>
                <w:b/>
                <w:sz w:val="12"/>
                <w:szCs w:val="12"/>
                <w:lang w:val="fr-BE"/>
              </w:rPr>
            </w:pPr>
            <w:r w:rsidRPr="00F53019">
              <w:rPr>
                <w:b/>
                <w:noProof/>
                <w:sz w:val="12"/>
                <w:szCs w:val="12"/>
                <w:lang w:val="fr-BE"/>
              </w:rPr>
              <w:t>Ogółem</w:t>
            </w:r>
          </w:p>
        </w:tc>
        <w:tc>
          <w:tcPr>
            <w:tcW w:w="0" w:type="auto"/>
            <w:shd w:val="clear" w:color="auto" w:fill="auto"/>
          </w:tcPr>
          <w:p w14:paraId="5B0F753E" w14:textId="77777777" w:rsidR="008C5CFA" w:rsidRPr="00F53019" w:rsidRDefault="00E82A60"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14:paraId="7B11B71E" w14:textId="77777777" w:rsidR="008C5CFA" w:rsidRPr="00F53019" w:rsidRDefault="00E82A60" w:rsidP="00300A01">
            <w:pPr>
              <w:spacing w:before="0" w:after="0"/>
              <w:jc w:val="center"/>
              <w:rPr>
                <w:b/>
                <w:sz w:val="12"/>
                <w:szCs w:val="12"/>
                <w:lang w:val="fr-BE"/>
              </w:rPr>
            </w:pPr>
            <w:r w:rsidRPr="00F53019">
              <w:rPr>
                <w:b/>
                <w:noProof/>
                <w:sz w:val="12"/>
                <w:szCs w:val="12"/>
                <w:lang w:val="fr-BE"/>
              </w:rPr>
              <w:t>Kobiety</w:t>
            </w:r>
          </w:p>
        </w:tc>
        <w:tc>
          <w:tcPr>
            <w:tcW w:w="0" w:type="auto"/>
            <w:shd w:val="clear" w:color="auto" w:fill="auto"/>
          </w:tcPr>
          <w:p w14:paraId="71AAF3CE" w14:textId="77777777" w:rsidR="008C5CFA" w:rsidRPr="00F53019" w:rsidRDefault="00E82A60" w:rsidP="00300A01">
            <w:pPr>
              <w:spacing w:before="0" w:after="0"/>
              <w:jc w:val="center"/>
              <w:rPr>
                <w:b/>
                <w:sz w:val="12"/>
                <w:szCs w:val="12"/>
                <w:lang w:val="fr-BE"/>
              </w:rPr>
            </w:pPr>
            <w:r w:rsidRPr="00F53019">
              <w:rPr>
                <w:b/>
                <w:noProof/>
                <w:sz w:val="12"/>
                <w:szCs w:val="12"/>
                <w:lang w:val="fr-BE"/>
              </w:rPr>
              <w:t>Ogółem</w:t>
            </w:r>
          </w:p>
        </w:tc>
        <w:tc>
          <w:tcPr>
            <w:tcW w:w="0" w:type="auto"/>
            <w:shd w:val="clear" w:color="auto" w:fill="auto"/>
          </w:tcPr>
          <w:p w14:paraId="4658140E" w14:textId="77777777" w:rsidR="008C5CFA" w:rsidRPr="00F53019" w:rsidRDefault="00E82A60"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14:paraId="3C063E6B" w14:textId="77777777" w:rsidR="008C5CFA" w:rsidRPr="00F53019" w:rsidRDefault="00E82A60" w:rsidP="00300A01">
            <w:pPr>
              <w:spacing w:before="0" w:after="0"/>
              <w:jc w:val="center"/>
              <w:rPr>
                <w:b/>
                <w:sz w:val="12"/>
                <w:szCs w:val="12"/>
                <w:lang w:val="fr-BE"/>
              </w:rPr>
            </w:pPr>
            <w:r w:rsidRPr="00F53019">
              <w:rPr>
                <w:b/>
                <w:noProof/>
                <w:sz w:val="12"/>
                <w:szCs w:val="12"/>
                <w:lang w:val="fr-BE"/>
              </w:rPr>
              <w:t>Kobiety</w:t>
            </w:r>
          </w:p>
        </w:tc>
        <w:tc>
          <w:tcPr>
            <w:tcW w:w="0" w:type="auto"/>
            <w:shd w:val="clear" w:color="auto" w:fill="auto"/>
          </w:tcPr>
          <w:p w14:paraId="569566D6" w14:textId="77777777" w:rsidR="008C5CFA" w:rsidRPr="00F53019" w:rsidRDefault="00E82A60"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14:paraId="3C970306" w14:textId="77777777" w:rsidR="008C5CFA" w:rsidRPr="00F53019" w:rsidRDefault="00E82A60" w:rsidP="00300A01">
            <w:pPr>
              <w:spacing w:before="0" w:after="0"/>
              <w:jc w:val="center"/>
              <w:rPr>
                <w:b/>
                <w:sz w:val="12"/>
                <w:szCs w:val="12"/>
                <w:lang w:val="fr-BE"/>
              </w:rPr>
            </w:pPr>
            <w:r w:rsidRPr="00F53019">
              <w:rPr>
                <w:b/>
                <w:noProof/>
                <w:sz w:val="12"/>
                <w:szCs w:val="12"/>
                <w:lang w:val="fr-BE"/>
              </w:rPr>
              <w:t>Kobiety</w:t>
            </w:r>
          </w:p>
        </w:tc>
      </w:tr>
      <w:tr w:rsidR="006B2EC1" w14:paraId="1EE53992" w14:textId="77777777" w:rsidTr="0047688D">
        <w:tc>
          <w:tcPr>
            <w:tcW w:w="0" w:type="auto"/>
            <w:shd w:val="clear" w:color="auto" w:fill="auto"/>
          </w:tcPr>
          <w:p w14:paraId="4474A216" w14:textId="77777777" w:rsidR="008C5CFA" w:rsidRPr="00BA47B4" w:rsidRDefault="00E82A60" w:rsidP="00300A01">
            <w:pPr>
              <w:spacing w:before="0" w:after="0"/>
              <w:rPr>
                <w:sz w:val="12"/>
                <w:szCs w:val="12"/>
                <w:lang w:val="fr-BE"/>
              </w:rPr>
            </w:pPr>
            <w:r w:rsidRPr="00BA47B4">
              <w:rPr>
                <w:noProof/>
                <w:sz w:val="12"/>
                <w:szCs w:val="12"/>
                <w:lang w:val="fr-BE"/>
              </w:rPr>
              <w:t>CR01</w:t>
            </w:r>
          </w:p>
        </w:tc>
        <w:tc>
          <w:tcPr>
            <w:tcW w:w="0" w:type="auto"/>
            <w:shd w:val="clear" w:color="auto" w:fill="auto"/>
          </w:tcPr>
          <w:p w14:paraId="497AFD0F" w14:textId="77777777" w:rsidR="008C5CFA" w:rsidRPr="00BA47B4" w:rsidRDefault="00E82A60" w:rsidP="00300A01">
            <w:pPr>
              <w:spacing w:before="0" w:after="0"/>
              <w:rPr>
                <w:sz w:val="12"/>
                <w:szCs w:val="12"/>
                <w:lang w:val="fr-BE"/>
              </w:rPr>
            </w:pPr>
            <w:r w:rsidRPr="00BA47B4">
              <w:rPr>
                <w:noProof/>
                <w:sz w:val="12"/>
                <w:szCs w:val="12"/>
                <w:lang w:val="fr-BE"/>
              </w:rPr>
              <w:t>bierni zawodowo uczestnicy poszukujący pracy po opuszczeniu programu</w:t>
            </w:r>
          </w:p>
        </w:tc>
        <w:tc>
          <w:tcPr>
            <w:tcW w:w="0" w:type="auto"/>
            <w:shd w:val="clear" w:color="auto" w:fill="auto"/>
          </w:tcPr>
          <w:p w14:paraId="0E4B04D7" w14:textId="77777777" w:rsidR="008C5CFA" w:rsidRPr="00BA47B4" w:rsidRDefault="00E82A60" w:rsidP="00300A01">
            <w:pPr>
              <w:spacing w:before="0" w:after="0"/>
              <w:rPr>
                <w:sz w:val="12"/>
                <w:szCs w:val="12"/>
                <w:lang w:val="fr-BE"/>
              </w:rPr>
            </w:pPr>
            <w:r w:rsidRPr="00BA47B4">
              <w:rPr>
                <w:noProof/>
                <w:sz w:val="12"/>
                <w:szCs w:val="12"/>
                <w:lang w:val="fr-BE"/>
              </w:rPr>
              <w:t>Słabiej rozwinięte</w:t>
            </w:r>
          </w:p>
        </w:tc>
        <w:tc>
          <w:tcPr>
            <w:tcW w:w="0" w:type="auto"/>
            <w:shd w:val="clear" w:color="auto" w:fill="auto"/>
          </w:tcPr>
          <w:p w14:paraId="6F055E28" w14:textId="77777777" w:rsidR="008C5CFA" w:rsidRPr="00BA47B4" w:rsidRDefault="00E82A60" w:rsidP="00300A01">
            <w:pPr>
              <w:spacing w:before="0" w:after="0"/>
              <w:rPr>
                <w:sz w:val="12"/>
                <w:szCs w:val="12"/>
                <w:lang w:val="fr-BE"/>
              </w:rPr>
            </w:pPr>
            <w:r w:rsidRPr="00BA47B4">
              <w:rPr>
                <w:sz w:val="12"/>
                <w:szCs w:val="12"/>
                <w:lang w:val="fr-BE"/>
              </w:rPr>
              <w:t xml:space="preserve"> </w:t>
            </w:r>
          </w:p>
        </w:tc>
        <w:tc>
          <w:tcPr>
            <w:tcW w:w="0" w:type="auto"/>
            <w:shd w:val="clear" w:color="auto" w:fill="auto"/>
          </w:tcPr>
          <w:p w14:paraId="3BFA0B42" w14:textId="77777777" w:rsidR="008C5CFA" w:rsidRPr="00BA47B4" w:rsidRDefault="008C5CFA" w:rsidP="00300A01">
            <w:pPr>
              <w:spacing w:before="0" w:after="0"/>
              <w:jc w:val="center"/>
              <w:rPr>
                <w:sz w:val="12"/>
                <w:szCs w:val="12"/>
                <w:lang w:val="fr-BE"/>
              </w:rPr>
            </w:pPr>
          </w:p>
        </w:tc>
        <w:tc>
          <w:tcPr>
            <w:tcW w:w="0" w:type="auto"/>
            <w:shd w:val="clear" w:color="auto" w:fill="auto"/>
          </w:tcPr>
          <w:p w14:paraId="028EBE05" w14:textId="77777777" w:rsidR="008C5CFA" w:rsidRPr="00BA47B4" w:rsidRDefault="008C5CFA" w:rsidP="00300A01">
            <w:pPr>
              <w:spacing w:before="0" w:after="0"/>
              <w:jc w:val="right"/>
              <w:rPr>
                <w:sz w:val="12"/>
                <w:szCs w:val="12"/>
                <w:lang w:val="fr-BE"/>
              </w:rPr>
            </w:pPr>
          </w:p>
        </w:tc>
        <w:tc>
          <w:tcPr>
            <w:tcW w:w="0" w:type="auto"/>
            <w:shd w:val="clear" w:color="auto" w:fill="auto"/>
          </w:tcPr>
          <w:p w14:paraId="391C6D87" w14:textId="77777777" w:rsidR="008C5CFA" w:rsidRPr="00BA47B4" w:rsidRDefault="008C5CFA" w:rsidP="00300A01">
            <w:pPr>
              <w:spacing w:before="0" w:after="0"/>
              <w:jc w:val="right"/>
              <w:rPr>
                <w:sz w:val="12"/>
                <w:szCs w:val="12"/>
                <w:lang w:val="fr-BE"/>
              </w:rPr>
            </w:pPr>
          </w:p>
        </w:tc>
        <w:tc>
          <w:tcPr>
            <w:tcW w:w="0" w:type="auto"/>
            <w:shd w:val="clear" w:color="auto" w:fill="auto"/>
          </w:tcPr>
          <w:p w14:paraId="12A2B83A" w14:textId="77777777" w:rsidR="008C5CFA" w:rsidRPr="00BA47B4" w:rsidRDefault="008C5CFA" w:rsidP="00300A01">
            <w:pPr>
              <w:spacing w:before="0" w:after="0"/>
              <w:jc w:val="right"/>
              <w:rPr>
                <w:sz w:val="12"/>
                <w:szCs w:val="12"/>
                <w:lang w:val="fr-BE"/>
              </w:rPr>
            </w:pPr>
          </w:p>
        </w:tc>
        <w:tc>
          <w:tcPr>
            <w:tcW w:w="0" w:type="auto"/>
            <w:shd w:val="clear" w:color="auto" w:fill="auto"/>
          </w:tcPr>
          <w:p w14:paraId="07824DEF" w14:textId="77777777" w:rsidR="008C5CFA" w:rsidRPr="00BA47B4" w:rsidRDefault="00E82A60" w:rsidP="00300A01">
            <w:pPr>
              <w:spacing w:before="0" w:after="0"/>
              <w:jc w:val="right"/>
              <w:rPr>
                <w:sz w:val="12"/>
                <w:szCs w:val="12"/>
                <w:lang w:val="fr-BE"/>
              </w:rPr>
            </w:pPr>
            <w:r w:rsidRPr="00BA47B4">
              <w:rPr>
                <w:noProof/>
                <w:sz w:val="12"/>
                <w:szCs w:val="12"/>
                <w:lang w:val="fr-BE"/>
              </w:rPr>
              <w:t>99,00</w:t>
            </w:r>
          </w:p>
        </w:tc>
        <w:tc>
          <w:tcPr>
            <w:tcW w:w="0" w:type="auto"/>
            <w:shd w:val="clear" w:color="auto" w:fill="auto"/>
          </w:tcPr>
          <w:p w14:paraId="2CF47A87" w14:textId="77777777" w:rsidR="008C5CFA" w:rsidRPr="00BA47B4" w:rsidRDefault="00E82A60" w:rsidP="00300A01">
            <w:pPr>
              <w:spacing w:before="0" w:after="0"/>
              <w:jc w:val="right"/>
              <w:rPr>
                <w:sz w:val="12"/>
                <w:szCs w:val="12"/>
                <w:lang w:val="fr-BE"/>
              </w:rPr>
            </w:pPr>
            <w:r w:rsidRPr="00BA47B4">
              <w:rPr>
                <w:noProof/>
                <w:sz w:val="12"/>
                <w:szCs w:val="12"/>
                <w:lang w:val="fr-BE"/>
              </w:rPr>
              <w:t>43,00</w:t>
            </w:r>
          </w:p>
        </w:tc>
        <w:tc>
          <w:tcPr>
            <w:tcW w:w="0" w:type="auto"/>
            <w:shd w:val="clear" w:color="auto" w:fill="auto"/>
          </w:tcPr>
          <w:p w14:paraId="3A0D696E" w14:textId="77777777" w:rsidR="008C5CFA" w:rsidRPr="00BA47B4" w:rsidRDefault="00E82A60" w:rsidP="00300A01">
            <w:pPr>
              <w:spacing w:before="0" w:after="0"/>
              <w:jc w:val="right"/>
              <w:rPr>
                <w:sz w:val="12"/>
                <w:szCs w:val="12"/>
                <w:lang w:val="fr-BE"/>
              </w:rPr>
            </w:pPr>
            <w:r w:rsidRPr="00BA47B4">
              <w:rPr>
                <w:noProof/>
                <w:sz w:val="12"/>
                <w:szCs w:val="12"/>
                <w:lang w:val="fr-BE"/>
              </w:rPr>
              <w:t>56,00</w:t>
            </w:r>
          </w:p>
        </w:tc>
        <w:tc>
          <w:tcPr>
            <w:tcW w:w="0" w:type="auto"/>
            <w:shd w:val="clear" w:color="auto" w:fill="auto"/>
          </w:tcPr>
          <w:p w14:paraId="2F927961" w14:textId="77777777" w:rsidR="008C5CFA" w:rsidRPr="00BA47B4" w:rsidRDefault="008C5CFA" w:rsidP="00300A01">
            <w:pPr>
              <w:spacing w:before="0" w:after="0"/>
              <w:jc w:val="right"/>
              <w:rPr>
                <w:sz w:val="12"/>
                <w:szCs w:val="12"/>
                <w:lang w:val="fr-BE"/>
              </w:rPr>
            </w:pPr>
          </w:p>
        </w:tc>
        <w:tc>
          <w:tcPr>
            <w:tcW w:w="0" w:type="auto"/>
            <w:shd w:val="clear" w:color="auto" w:fill="auto"/>
          </w:tcPr>
          <w:p w14:paraId="21473E9B" w14:textId="77777777" w:rsidR="008C5CFA" w:rsidRPr="00BA47B4" w:rsidRDefault="008C5CFA" w:rsidP="00300A01">
            <w:pPr>
              <w:spacing w:before="0" w:after="0"/>
              <w:jc w:val="right"/>
              <w:rPr>
                <w:sz w:val="12"/>
                <w:szCs w:val="12"/>
                <w:lang w:val="fr-BE"/>
              </w:rPr>
            </w:pPr>
          </w:p>
        </w:tc>
        <w:tc>
          <w:tcPr>
            <w:tcW w:w="0" w:type="auto"/>
            <w:shd w:val="clear" w:color="auto" w:fill="auto"/>
          </w:tcPr>
          <w:p w14:paraId="453974E9" w14:textId="77777777" w:rsidR="008C5CFA" w:rsidRPr="00BA47B4" w:rsidRDefault="008C5CFA" w:rsidP="00300A01">
            <w:pPr>
              <w:spacing w:before="0" w:after="0"/>
              <w:jc w:val="right"/>
              <w:rPr>
                <w:sz w:val="12"/>
                <w:szCs w:val="12"/>
                <w:lang w:val="fr-BE"/>
              </w:rPr>
            </w:pPr>
          </w:p>
        </w:tc>
        <w:tc>
          <w:tcPr>
            <w:tcW w:w="0" w:type="auto"/>
            <w:shd w:val="clear" w:color="auto" w:fill="auto"/>
          </w:tcPr>
          <w:p w14:paraId="4846D5C0" w14:textId="77777777" w:rsidR="008C5CFA" w:rsidRPr="00BA47B4" w:rsidRDefault="00E82A60" w:rsidP="00300A01">
            <w:pPr>
              <w:spacing w:before="0" w:after="0"/>
              <w:jc w:val="right"/>
              <w:rPr>
                <w:sz w:val="12"/>
                <w:szCs w:val="12"/>
                <w:lang w:val="fr-BE"/>
              </w:rPr>
            </w:pPr>
            <w:r w:rsidRPr="00BA47B4">
              <w:rPr>
                <w:noProof/>
                <w:sz w:val="12"/>
                <w:szCs w:val="12"/>
                <w:lang w:val="fr-BE"/>
              </w:rPr>
              <w:t>30,00</w:t>
            </w:r>
          </w:p>
        </w:tc>
        <w:tc>
          <w:tcPr>
            <w:tcW w:w="0" w:type="auto"/>
            <w:shd w:val="clear" w:color="auto" w:fill="auto"/>
          </w:tcPr>
          <w:p w14:paraId="60830F0C" w14:textId="77777777" w:rsidR="008C5CFA" w:rsidRPr="00BA47B4" w:rsidRDefault="00E82A60" w:rsidP="00300A01">
            <w:pPr>
              <w:spacing w:before="0" w:after="0"/>
              <w:jc w:val="right"/>
              <w:rPr>
                <w:sz w:val="12"/>
                <w:szCs w:val="12"/>
                <w:lang w:val="fr-BE"/>
              </w:rPr>
            </w:pPr>
            <w:r w:rsidRPr="00BA47B4">
              <w:rPr>
                <w:noProof/>
                <w:sz w:val="12"/>
                <w:szCs w:val="12"/>
                <w:lang w:val="fr-BE"/>
              </w:rPr>
              <w:t>26,00</w:t>
            </w:r>
          </w:p>
        </w:tc>
      </w:tr>
      <w:tr w:rsidR="006B2EC1" w14:paraId="4D0514C1" w14:textId="77777777" w:rsidTr="0047688D">
        <w:tc>
          <w:tcPr>
            <w:tcW w:w="0" w:type="auto"/>
            <w:shd w:val="clear" w:color="auto" w:fill="auto"/>
          </w:tcPr>
          <w:p w14:paraId="5ADE5354" w14:textId="77777777" w:rsidR="008C5CFA" w:rsidRPr="00BA47B4" w:rsidRDefault="00E82A60" w:rsidP="00300A01">
            <w:pPr>
              <w:spacing w:before="0" w:after="0"/>
              <w:rPr>
                <w:sz w:val="12"/>
                <w:szCs w:val="12"/>
                <w:lang w:val="fr-BE"/>
              </w:rPr>
            </w:pPr>
            <w:r w:rsidRPr="00BA47B4">
              <w:rPr>
                <w:noProof/>
                <w:sz w:val="12"/>
                <w:szCs w:val="12"/>
                <w:lang w:val="fr-BE"/>
              </w:rPr>
              <w:t>CR02</w:t>
            </w:r>
          </w:p>
        </w:tc>
        <w:tc>
          <w:tcPr>
            <w:tcW w:w="0" w:type="auto"/>
            <w:shd w:val="clear" w:color="auto" w:fill="auto"/>
          </w:tcPr>
          <w:p w14:paraId="1E2FADB0" w14:textId="77777777" w:rsidR="008C5CFA" w:rsidRPr="00BA47B4" w:rsidRDefault="00E82A60" w:rsidP="00300A01">
            <w:pPr>
              <w:spacing w:before="0" w:after="0"/>
              <w:rPr>
                <w:sz w:val="12"/>
                <w:szCs w:val="12"/>
                <w:lang w:val="fr-BE"/>
              </w:rPr>
            </w:pPr>
            <w:r w:rsidRPr="00BA47B4">
              <w:rPr>
                <w:noProof/>
                <w:sz w:val="12"/>
                <w:szCs w:val="12"/>
                <w:lang w:val="fr-BE"/>
              </w:rPr>
              <w:t>uczestnicy kształcący lub szkolący się po opuszczeniu programu</w:t>
            </w:r>
          </w:p>
        </w:tc>
        <w:tc>
          <w:tcPr>
            <w:tcW w:w="0" w:type="auto"/>
            <w:shd w:val="clear" w:color="auto" w:fill="auto"/>
          </w:tcPr>
          <w:p w14:paraId="2626E931" w14:textId="77777777" w:rsidR="008C5CFA" w:rsidRPr="00BA47B4" w:rsidRDefault="00E82A60" w:rsidP="00300A01">
            <w:pPr>
              <w:spacing w:before="0" w:after="0"/>
              <w:rPr>
                <w:sz w:val="12"/>
                <w:szCs w:val="12"/>
                <w:lang w:val="fr-BE"/>
              </w:rPr>
            </w:pPr>
            <w:r w:rsidRPr="00BA47B4">
              <w:rPr>
                <w:noProof/>
                <w:sz w:val="12"/>
                <w:szCs w:val="12"/>
                <w:lang w:val="fr-BE"/>
              </w:rPr>
              <w:t>Słabiej rozwinięte</w:t>
            </w:r>
          </w:p>
        </w:tc>
        <w:tc>
          <w:tcPr>
            <w:tcW w:w="0" w:type="auto"/>
            <w:shd w:val="clear" w:color="auto" w:fill="auto"/>
          </w:tcPr>
          <w:p w14:paraId="3DCCD5BE" w14:textId="77777777" w:rsidR="008C5CFA" w:rsidRPr="00BA47B4" w:rsidRDefault="00E82A60" w:rsidP="00300A01">
            <w:pPr>
              <w:spacing w:before="0" w:after="0"/>
              <w:rPr>
                <w:sz w:val="12"/>
                <w:szCs w:val="12"/>
                <w:lang w:val="fr-BE"/>
              </w:rPr>
            </w:pPr>
            <w:r w:rsidRPr="00BA47B4">
              <w:rPr>
                <w:sz w:val="12"/>
                <w:szCs w:val="12"/>
                <w:lang w:val="fr-BE"/>
              </w:rPr>
              <w:t xml:space="preserve"> </w:t>
            </w:r>
          </w:p>
        </w:tc>
        <w:tc>
          <w:tcPr>
            <w:tcW w:w="0" w:type="auto"/>
            <w:shd w:val="clear" w:color="auto" w:fill="auto"/>
          </w:tcPr>
          <w:p w14:paraId="7630A4CD" w14:textId="77777777" w:rsidR="008C5CFA" w:rsidRPr="00BA47B4" w:rsidRDefault="008C5CFA" w:rsidP="00300A01">
            <w:pPr>
              <w:spacing w:before="0" w:after="0"/>
              <w:jc w:val="center"/>
              <w:rPr>
                <w:sz w:val="12"/>
                <w:szCs w:val="12"/>
                <w:lang w:val="fr-BE"/>
              </w:rPr>
            </w:pPr>
          </w:p>
        </w:tc>
        <w:tc>
          <w:tcPr>
            <w:tcW w:w="0" w:type="auto"/>
            <w:shd w:val="clear" w:color="auto" w:fill="auto"/>
          </w:tcPr>
          <w:p w14:paraId="432F30F4" w14:textId="77777777" w:rsidR="008C5CFA" w:rsidRPr="00BA47B4" w:rsidRDefault="008C5CFA" w:rsidP="00300A01">
            <w:pPr>
              <w:spacing w:before="0" w:after="0"/>
              <w:jc w:val="right"/>
              <w:rPr>
                <w:sz w:val="12"/>
                <w:szCs w:val="12"/>
                <w:lang w:val="fr-BE"/>
              </w:rPr>
            </w:pPr>
          </w:p>
        </w:tc>
        <w:tc>
          <w:tcPr>
            <w:tcW w:w="0" w:type="auto"/>
            <w:shd w:val="clear" w:color="auto" w:fill="auto"/>
          </w:tcPr>
          <w:p w14:paraId="0475CA73" w14:textId="77777777" w:rsidR="008C5CFA" w:rsidRPr="00BA47B4" w:rsidRDefault="008C5CFA" w:rsidP="00300A01">
            <w:pPr>
              <w:spacing w:before="0" w:after="0"/>
              <w:jc w:val="right"/>
              <w:rPr>
                <w:sz w:val="12"/>
                <w:szCs w:val="12"/>
                <w:lang w:val="fr-BE"/>
              </w:rPr>
            </w:pPr>
          </w:p>
        </w:tc>
        <w:tc>
          <w:tcPr>
            <w:tcW w:w="0" w:type="auto"/>
            <w:shd w:val="clear" w:color="auto" w:fill="auto"/>
          </w:tcPr>
          <w:p w14:paraId="35E44E08" w14:textId="77777777" w:rsidR="008C5CFA" w:rsidRPr="00BA47B4" w:rsidRDefault="008C5CFA" w:rsidP="00300A01">
            <w:pPr>
              <w:spacing w:before="0" w:after="0"/>
              <w:jc w:val="right"/>
              <w:rPr>
                <w:sz w:val="12"/>
                <w:szCs w:val="12"/>
                <w:lang w:val="fr-BE"/>
              </w:rPr>
            </w:pPr>
          </w:p>
        </w:tc>
        <w:tc>
          <w:tcPr>
            <w:tcW w:w="0" w:type="auto"/>
            <w:shd w:val="clear" w:color="auto" w:fill="auto"/>
          </w:tcPr>
          <w:p w14:paraId="129261D9" w14:textId="77777777" w:rsidR="008C5CFA" w:rsidRPr="00BA47B4" w:rsidRDefault="00E82A60" w:rsidP="00300A01">
            <w:pPr>
              <w:spacing w:before="0" w:after="0"/>
              <w:jc w:val="right"/>
              <w:rPr>
                <w:sz w:val="12"/>
                <w:szCs w:val="12"/>
                <w:lang w:val="fr-BE"/>
              </w:rPr>
            </w:pPr>
            <w:r w:rsidRPr="00BA47B4">
              <w:rPr>
                <w:noProof/>
                <w:sz w:val="12"/>
                <w:szCs w:val="12"/>
                <w:lang w:val="fr-BE"/>
              </w:rPr>
              <w:t>66,00</w:t>
            </w:r>
          </w:p>
        </w:tc>
        <w:tc>
          <w:tcPr>
            <w:tcW w:w="0" w:type="auto"/>
            <w:shd w:val="clear" w:color="auto" w:fill="auto"/>
          </w:tcPr>
          <w:p w14:paraId="14C08C9D" w14:textId="77777777" w:rsidR="008C5CFA" w:rsidRPr="00BA47B4" w:rsidRDefault="00E82A60" w:rsidP="00300A01">
            <w:pPr>
              <w:spacing w:before="0" w:after="0"/>
              <w:jc w:val="right"/>
              <w:rPr>
                <w:sz w:val="12"/>
                <w:szCs w:val="12"/>
                <w:lang w:val="fr-BE"/>
              </w:rPr>
            </w:pPr>
            <w:r w:rsidRPr="00BA47B4">
              <w:rPr>
                <w:noProof/>
                <w:sz w:val="12"/>
                <w:szCs w:val="12"/>
                <w:lang w:val="fr-BE"/>
              </w:rPr>
              <w:t>17,00</w:t>
            </w:r>
          </w:p>
        </w:tc>
        <w:tc>
          <w:tcPr>
            <w:tcW w:w="0" w:type="auto"/>
            <w:shd w:val="clear" w:color="auto" w:fill="auto"/>
          </w:tcPr>
          <w:p w14:paraId="39DF2127" w14:textId="77777777" w:rsidR="008C5CFA" w:rsidRPr="00BA47B4" w:rsidRDefault="00E82A60" w:rsidP="00300A01">
            <w:pPr>
              <w:spacing w:before="0" w:after="0"/>
              <w:jc w:val="right"/>
              <w:rPr>
                <w:sz w:val="12"/>
                <w:szCs w:val="12"/>
                <w:lang w:val="fr-BE"/>
              </w:rPr>
            </w:pPr>
            <w:r w:rsidRPr="00BA47B4">
              <w:rPr>
                <w:noProof/>
                <w:sz w:val="12"/>
                <w:szCs w:val="12"/>
                <w:lang w:val="fr-BE"/>
              </w:rPr>
              <w:t>49,00</w:t>
            </w:r>
          </w:p>
        </w:tc>
        <w:tc>
          <w:tcPr>
            <w:tcW w:w="0" w:type="auto"/>
            <w:shd w:val="clear" w:color="auto" w:fill="auto"/>
          </w:tcPr>
          <w:p w14:paraId="40079EE6" w14:textId="77777777" w:rsidR="008C5CFA" w:rsidRPr="00BA47B4" w:rsidRDefault="008C5CFA" w:rsidP="00300A01">
            <w:pPr>
              <w:spacing w:before="0" w:after="0"/>
              <w:jc w:val="right"/>
              <w:rPr>
                <w:sz w:val="12"/>
                <w:szCs w:val="12"/>
                <w:lang w:val="fr-BE"/>
              </w:rPr>
            </w:pPr>
          </w:p>
        </w:tc>
        <w:tc>
          <w:tcPr>
            <w:tcW w:w="0" w:type="auto"/>
            <w:shd w:val="clear" w:color="auto" w:fill="auto"/>
          </w:tcPr>
          <w:p w14:paraId="7F67AD33" w14:textId="77777777" w:rsidR="008C5CFA" w:rsidRPr="00BA47B4" w:rsidRDefault="008C5CFA" w:rsidP="00300A01">
            <w:pPr>
              <w:spacing w:before="0" w:after="0"/>
              <w:jc w:val="right"/>
              <w:rPr>
                <w:sz w:val="12"/>
                <w:szCs w:val="12"/>
                <w:lang w:val="fr-BE"/>
              </w:rPr>
            </w:pPr>
          </w:p>
        </w:tc>
        <w:tc>
          <w:tcPr>
            <w:tcW w:w="0" w:type="auto"/>
            <w:shd w:val="clear" w:color="auto" w:fill="auto"/>
          </w:tcPr>
          <w:p w14:paraId="476C80F4" w14:textId="77777777" w:rsidR="008C5CFA" w:rsidRPr="00BA47B4" w:rsidRDefault="008C5CFA" w:rsidP="00300A01">
            <w:pPr>
              <w:spacing w:before="0" w:after="0"/>
              <w:jc w:val="right"/>
              <w:rPr>
                <w:sz w:val="12"/>
                <w:szCs w:val="12"/>
                <w:lang w:val="fr-BE"/>
              </w:rPr>
            </w:pPr>
          </w:p>
        </w:tc>
        <w:tc>
          <w:tcPr>
            <w:tcW w:w="0" w:type="auto"/>
            <w:shd w:val="clear" w:color="auto" w:fill="auto"/>
          </w:tcPr>
          <w:p w14:paraId="289BDB32"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7E34DCBC" w14:textId="77777777" w:rsidR="008C5CFA" w:rsidRPr="00BA47B4" w:rsidRDefault="00E82A60" w:rsidP="00300A01">
            <w:pPr>
              <w:spacing w:before="0" w:after="0"/>
              <w:jc w:val="right"/>
              <w:rPr>
                <w:sz w:val="12"/>
                <w:szCs w:val="12"/>
                <w:lang w:val="fr-BE"/>
              </w:rPr>
            </w:pPr>
            <w:r w:rsidRPr="00BA47B4">
              <w:rPr>
                <w:noProof/>
                <w:sz w:val="12"/>
                <w:szCs w:val="12"/>
                <w:lang w:val="fr-BE"/>
              </w:rPr>
              <w:t>3,00</w:t>
            </w:r>
          </w:p>
        </w:tc>
      </w:tr>
      <w:tr w:rsidR="006B2EC1" w14:paraId="439F3FFA" w14:textId="77777777" w:rsidTr="0047688D">
        <w:tc>
          <w:tcPr>
            <w:tcW w:w="0" w:type="auto"/>
            <w:shd w:val="clear" w:color="auto" w:fill="auto"/>
          </w:tcPr>
          <w:p w14:paraId="56F9FEB6" w14:textId="77777777" w:rsidR="008C5CFA" w:rsidRPr="00BA47B4" w:rsidRDefault="00E82A60" w:rsidP="00300A01">
            <w:pPr>
              <w:spacing w:before="0" w:after="0"/>
              <w:rPr>
                <w:sz w:val="12"/>
                <w:szCs w:val="12"/>
                <w:lang w:val="fr-BE"/>
              </w:rPr>
            </w:pPr>
            <w:r w:rsidRPr="00BA47B4">
              <w:rPr>
                <w:noProof/>
                <w:sz w:val="12"/>
                <w:szCs w:val="12"/>
                <w:lang w:val="fr-BE"/>
              </w:rPr>
              <w:t>CR03</w:t>
            </w:r>
          </w:p>
        </w:tc>
        <w:tc>
          <w:tcPr>
            <w:tcW w:w="0" w:type="auto"/>
            <w:shd w:val="clear" w:color="auto" w:fill="auto"/>
          </w:tcPr>
          <w:p w14:paraId="4FAD7AB6" w14:textId="77777777" w:rsidR="008C5CFA" w:rsidRPr="00BA47B4" w:rsidRDefault="00E82A60" w:rsidP="00300A01">
            <w:pPr>
              <w:spacing w:before="0" w:after="0"/>
              <w:rPr>
                <w:sz w:val="12"/>
                <w:szCs w:val="12"/>
                <w:lang w:val="fr-BE"/>
              </w:rPr>
            </w:pPr>
            <w:r w:rsidRPr="00BA47B4">
              <w:rPr>
                <w:noProof/>
                <w:sz w:val="12"/>
                <w:szCs w:val="12"/>
                <w:lang w:val="fr-BE"/>
              </w:rPr>
              <w:t>uczestnicy uzyskujący kwalifikacje po opuszczeniu programu</w:t>
            </w:r>
          </w:p>
        </w:tc>
        <w:tc>
          <w:tcPr>
            <w:tcW w:w="0" w:type="auto"/>
            <w:shd w:val="clear" w:color="auto" w:fill="auto"/>
          </w:tcPr>
          <w:p w14:paraId="4D4975DA" w14:textId="77777777" w:rsidR="008C5CFA" w:rsidRPr="00BA47B4" w:rsidRDefault="00E82A60" w:rsidP="00300A01">
            <w:pPr>
              <w:spacing w:before="0" w:after="0"/>
              <w:rPr>
                <w:sz w:val="12"/>
                <w:szCs w:val="12"/>
                <w:lang w:val="fr-BE"/>
              </w:rPr>
            </w:pPr>
            <w:r w:rsidRPr="00BA47B4">
              <w:rPr>
                <w:noProof/>
                <w:sz w:val="12"/>
                <w:szCs w:val="12"/>
                <w:lang w:val="fr-BE"/>
              </w:rPr>
              <w:t>Słabiej rozwinięte</w:t>
            </w:r>
          </w:p>
        </w:tc>
        <w:tc>
          <w:tcPr>
            <w:tcW w:w="0" w:type="auto"/>
            <w:shd w:val="clear" w:color="auto" w:fill="auto"/>
          </w:tcPr>
          <w:p w14:paraId="163B0EF4" w14:textId="77777777" w:rsidR="008C5CFA" w:rsidRPr="00BA47B4" w:rsidRDefault="00E82A60" w:rsidP="00300A01">
            <w:pPr>
              <w:spacing w:before="0" w:after="0"/>
              <w:rPr>
                <w:sz w:val="12"/>
                <w:szCs w:val="12"/>
                <w:lang w:val="fr-BE"/>
              </w:rPr>
            </w:pPr>
            <w:r w:rsidRPr="00BA47B4">
              <w:rPr>
                <w:sz w:val="12"/>
                <w:szCs w:val="12"/>
                <w:lang w:val="fr-BE"/>
              </w:rPr>
              <w:t xml:space="preserve"> </w:t>
            </w:r>
          </w:p>
        </w:tc>
        <w:tc>
          <w:tcPr>
            <w:tcW w:w="0" w:type="auto"/>
            <w:shd w:val="clear" w:color="auto" w:fill="auto"/>
          </w:tcPr>
          <w:p w14:paraId="72B9698C" w14:textId="77777777" w:rsidR="008C5CFA" w:rsidRPr="00BA47B4" w:rsidRDefault="008C5CFA" w:rsidP="00300A01">
            <w:pPr>
              <w:spacing w:before="0" w:after="0"/>
              <w:jc w:val="center"/>
              <w:rPr>
                <w:sz w:val="12"/>
                <w:szCs w:val="12"/>
                <w:lang w:val="fr-BE"/>
              </w:rPr>
            </w:pPr>
          </w:p>
        </w:tc>
        <w:tc>
          <w:tcPr>
            <w:tcW w:w="0" w:type="auto"/>
            <w:shd w:val="clear" w:color="auto" w:fill="auto"/>
          </w:tcPr>
          <w:p w14:paraId="4E1327EE" w14:textId="77777777" w:rsidR="008C5CFA" w:rsidRPr="00BA47B4" w:rsidRDefault="008C5CFA" w:rsidP="00300A01">
            <w:pPr>
              <w:spacing w:before="0" w:after="0"/>
              <w:jc w:val="right"/>
              <w:rPr>
                <w:sz w:val="12"/>
                <w:szCs w:val="12"/>
                <w:lang w:val="fr-BE"/>
              </w:rPr>
            </w:pPr>
          </w:p>
        </w:tc>
        <w:tc>
          <w:tcPr>
            <w:tcW w:w="0" w:type="auto"/>
            <w:shd w:val="clear" w:color="auto" w:fill="auto"/>
          </w:tcPr>
          <w:p w14:paraId="4FEFA9E8" w14:textId="77777777" w:rsidR="008C5CFA" w:rsidRPr="00BA47B4" w:rsidRDefault="008C5CFA" w:rsidP="00300A01">
            <w:pPr>
              <w:spacing w:before="0" w:after="0"/>
              <w:jc w:val="right"/>
              <w:rPr>
                <w:sz w:val="12"/>
                <w:szCs w:val="12"/>
                <w:lang w:val="fr-BE"/>
              </w:rPr>
            </w:pPr>
          </w:p>
        </w:tc>
        <w:tc>
          <w:tcPr>
            <w:tcW w:w="0" w:type="auto"/>
            <w:shd w:val="clear" w:color="auto" w:fill="auto"/>
          </w:tcPr>
          <w:p w14:paraId="3855F7F5" w14:textId="77777777" w:rsidR="008C5CFA" w:rsidRPr="00BA47B4" w:rsidRDefault="008C5CFA" w:rsidP="00300A01">
            <w:pPr>
              <w:spacing w:before="0" w:after="0"/>
              <w:jc w:val="right"/>
              <w:rPr>
                <w:sz w:val="12"/>
                <w:szCs w:val="12"/>
                <w:lang w:val="fr-BE"/>
              </w:rPr>
            </w:pPr>
          </w:p>
        </w:tc>
        <w:tc>
          <w:tcPr>
            <w:tcW w:w="0" w:type="auto"/>
            <w:shd w:val="clear" w:color="auto" w:fill="auto"/>
          </w:tcPr>
          <w:p w14:paraId="55164134" w14:textId="77777777" w:rsidR="008C5CFA" w:rsidRPr="00BA47B4" w:rsidRDefault="00E82A60" w:rsidP="00300A01">
            <w:pPr>
              <w:spacing w:before="0" w:after="0"/>
              <w:jc w:val="right"/>
              <w:rPr>
                <w:sz w:val="12"/>
                <w:szCs w:val="12"/>
                <w:lang w:val="fr-BE"/>
              </w:rPr>
            </w:pPr>
            <w:r w:rsidRPr="00BA47B4">
              <w:rPr>
                <w:noProof/>
                <w:sz w:val="12"/>
                <w:szCs w:val="12"/>
                <w:lang w:val="fr-BE"/>
              </w:rPr>
              <w:t>14,00</w:t>
            </w:r>
          </w:p>
        </w:tc>
        <w:tc>
          <w:tcPr>
            <w:tcW w:w="0" w:type="auto"/>
            <w:shd w:val="clear" w:color="auto" w:fill="auto"/>
          </w:tcPr>
          <w:p w14:paraId="51D04181" w14:textId="77777777" w:rsidR="008C5CFA" w:rsidRPr="00BA47B4" w:rsidRDefault="00E82A60" w:rsidP="00300A01">
            <w:pPr>
              <w:spacing w:before="0" w:after="0"/>
              <w:jc w:val="right"/>
              <w:rPr>
                <w:sz w:val="12"/>
                <w:szCs w:val="12"/>
                <w:lang w:val="fr-BE"/>
              </w:rPr>
            </w:pPr>
            <w:r w:rsidRPr="00BA47B4">
              <w:rPr>
                <w:noProof/>
                <w:sz w:val="12"/>
                <w:szCs w:val="12"/>
                <w:lang w:val="fr-BE"/>
              </w:rPr>
              <w:t>8,00</w:t>
            </w:r>
          </w:p>
        </w:tc>
        <w:tc>
          <w:tcPr>
            <w:tcW w:w="0" w:type="auto"/>
            <w:shd w:val="clear" w:color="auto" w:fill="auto"/>
          </w:tcPr>
          <w:p w14:paraId="3D6DD4FE" w14:textId="77777777" w:rsidR="008C5CFA" w:rsidRPr="00BA47B4" w:rsidRDefault="00E82A60" w:rsidP="00300A01">
            <w:pPr>
              <w:spacing w:before="0" w:after="0"/>
              <w:jc w:val="right"/>
              <w:rPr>
                <w:sz w:val="12"/>
                <w:szCs w:val="12"/>
                <w:lang w:val="fr-BE"/>
              </w:rPr>
            </w:pPr>
            <w:r w:rsidRPr="00BA47B4">
              <w:rPr>
                <w:noProof/>
                <w:sz w:val="12"/>
                <w:szCs w:val="12"/>
                <w:lang w:val="fr-BE"/>
              </w:rPr>
              <w:t>6,00</w:t>
            </w:r>
          </w:p>
        </w:tc>
        <w:tc>
          <w:tcPr>
            <w:tcW w:w="0" w:type="auto"/>
            <w:shd w:val="clear" w:color="auto" w:fill="auto"/>
          </w:tcPr>
          <w:p w14:paraId="3990FA07" w14:textId="77777777" w:rsidR="008C5CFA" w:rsidRPr="00BA47B4" w:rsidRDefault="008C5CFA" w:rsidP="00300A01">
            <w:pPr>
              <w:spacing w:before="0" w:after="0"/>
              <w:jc w:val="right"/>
              <w:rPr>
                <w:sz w:val="12"/>
                <w:szCs w:val="12"/>
                <w:lang w:val="fr-BE"/>
              </w:rPr>
            </w:pPr>
          </w:p>
        </w:tc>
        <w:tc>
          <w:tcPr>
            <w:tcW w:w="0" w:type="auto"/>
            <w:shd w:val="clear" w:color="auto" w:fill="auto"/>
          </w:tcPr>
          <w:p w14:paraId="09D4ABA6" w14:textId="77777777" w:rsidR="008C5CFA" w:rsidRPr="00BA47B4" w:rsidRDefault="008C5CFA" w:rsidP="00300A01">
            <w:pPr>
              <w:spacing w:before="0" w:after="0"/>
              <w:jc w:val="right"/>
              <w:rPr>
                <w:sz w:val="12"/>
                <w:szCs w:val="12"/>
                <w:lang w:val="fr-BE"/>
              </w:rPr>
            </w:pPr>
          </w:p>
        </w:tc>
        <w:tc>
          <w:tcPr>
            <w:tcW w:w="0" w:type="auto"/>
            <w:shd w:val="clear" w:color="auto" w:fill="auto"/>
          </w:tcPr>
          <w:p w14:paraId="3EC9AF42" w14:textId="77777777" w:rsidR="008C5CFA" w:rsidRPr="00BA47B4" w:rsidRDefault="008C5CFA" w:rsidP="00300A01">
            <w:pPr>
              <w:spacing w:before="0" w:after="0"/>
              <w:jc w:val="right"/>
              <w:rPr>
                <w:sz w:val="12"/>
                <w:szCs w:val="12"/>
                <w:lang w:val="fr-BE"/>
              </w:rPr>
            </w:pPr>
          </w:p>
        </w:tc>
        <w:tc>
          <w:tcPr>
            <w:tcW w:w="0" w:type="auto"/>
            <w:shd w:val="clear" w:color="auto" w:fill="auto"/>
          </w:tcPr>
          <w:p w14:paraId="5A555A68" w14:textId="77777777" w:rsidR="008C5CFA" w:rsidRPr="00BA47B4" w:rsidRDefault="00E82A60" w:rsidP="00300A01">
            <w:pPr>
              <w:spacing w:before="0" w:after="0"/>
              <w:jc w:val="right"/>
              <w:rPr>
                <w:sz w:val="12"/>
                <w:szCs w:val="12"/>
                <w:lang w:val="fr-BE"/>
              </w:rPr>
            </w:pPr>
            <w:r w:rsidRPr="00BA47B4">
              <w:rPr>
                <w:noProof/>
                <w:sz w:val="12"/>
                <w:szCs w:val="12"/>
                <w:lang w:val="fr-BE"/>
              </w:rPr>
              <w:t>4,00</w:t>
            </w:r>
          </w:p>
        </w:tc>
        <w:tc>
          <w:tcPr>
            <w:tcW w:w="0" w:type="auto"/>
            <w:shd w:val="clear" w:color="auto" w:fill="auto"/>
          </w:tcPr>
          <w:p w14:paraId="177A230C" w14:textId="77777777" w:rsidR="008C5CFA" w:rsidRPr="00BA47B4" w:rsidRDefault="00E82A60" w:rsidP="00300A01">
            <w:pPr>
              <w:spacing w:before="0" w:after="0"/>
              <w:jc w:val="right"/>
              <w:rPr>
                <w:sz w:val="12"/>
                <w:szCs w:val="12"/>
                <w:lang w:val="fr-BE"/>
              </w:rPr>
            </w:pPr>
            <w:r w:rsidRPr="00BA47B4">
              <w:rPr>
                <w:noProof/>
                <w:sz w:val="12"/>
                <w:szCs w:val="12"/>
                <w:lang w:val="fr-BE"/>
              </w:rPr>
              <w:t>3,00</w:t>
            </w:r>
          </w:p>
        </w:tc>
      </w:tr>
      <w:tr w:rsidR="006B2EC1" w14:paraId="40F7E13D" w14:textId="77777777" w:rsidTr="0047688D">
        <w:tc>
          <w:tcPr>
            <w:tcW w:w="0" w:type="auto"/>
            <w:shd w:val="clear" w:color="auto" w:fill="auto"/>
          </w:tcPr>
          <w:p w14:paraId="4F6631A3" w14:textId="77777777" w:rsidR="008C5CFA" w:rsidRPr="00BA47B4" w:rsidRDefault="00E82A60" w:rsidP="00300A01">
            <w:pPr>
              <w:spacing w:before="0" w:after="0"/>
              <w:rPr>
                <w:sz w:val="12"/>
                <w:szCs w:val="12"/>
                <w:lang w:val="fr-BE"/>
              </w:rPr>
            </w:pPr>
            <w:r w:rsidRPr="00BA47B4">
              <w:rPr>
                <w:noProof/>
                <w:sz w:val="12"/>
                <w:szCs w:val="12"/>
                <w:lang w:val="fr-BE"/>
              </w:rPr>
              <w:t>CR04</w:t>
            </w:r>
          </w:p>
        </w:tc>
        <w:tc>
          <w:tcPr>
            <w:tcW w:w="0" w:type="auto"/>
            <w:shd w:val="clear" w:color="auto" w:fill="auto"/>
          </w:tcPr>
          <w:p w14:paraId="1E8B0F8F" w14:textId="77777777" w:rsidR="008C5CFA" w:rsidRPr="00BA47B4" w:rsidRDefault="00E82A60" w:rsidP="00300A01">
            <w:pPr>
              <w:spacing w:before="0" w:after="0"/>
              <w:rPr>
                <w:sz w:val="12"/>
                <w:szCs w:val="12"/>
                <w:lang w:val="fr-BE"/>
              </w:rPr>
            </w:pPr>
            <w:r w:rsidRPr="00BA47B4">
              <w:rPr>
                <w:noProof/>
                <w:sz w:val="12"/>
                <w:szCs w:val="12"/>
                <w:lang w:val="fr-BE"/>
              </w:rPr>
              <w:t>uczestnicy pracujący, łącznie z prowadzącymi działalność na własny rachunek, po opuszczeniu programu</w:t>
            </w:r>
          </w:p>
        </w:tc>
        <w:tc>
          <w:tcPr>
            <w:tcW w:w="0" w:type="auto"/>
            <w:shd w:val="clear" w:color="auto" w:fill="auto"/>
          </w:tcPr>
          <w:p w14:paraId="57E0B684" w14:textId="77777777" w:rsidR="008C5CFA" w:rsidRPr="00BA47B4" w:rsidRDefault="00E82A60" w:rsidP="00300A01">
            <w:pPr>
              <w:spacing w:before="0" w:after="0"/>
              <w:rPr>
                <w:sz w:val="12"/>
                <w:szCs w:val="12"/>
                <w:lang w:val="fr-BE"/>
              </w:rPr>
            </w:pPr>
            <w:r w:rsidRPr="00BA47B4">
              <w:rPr>
                <w:noProof/>
                <w:sz w:val="12"/>
                <w:szCs w:val="12"/>
                <w:lang w:val="fr-BE"/>
              </w:rPr>
              <w:t>Słabiej rozwinięte</w:t>
            </w:r>
          </w:p>
        </w:tc>
        <w:tc>
          <w:tcPr>
            <w:tcW w:w="0" w:type="auto"/>
            <w:shd w:val="clear" w:color="auto" w:fill="auto"/>
          </w:tcPr>
          <w:p w14:paraId="62C6D06D" w14:textId="77777777" w:rsidR="008C5CFA" w:rsidRPr="00BA47B4" w:rsidRDefault="00E82A60" w:rsidP="00300A01">
            <w:pPr>
              <w:spacing w:before="0" w:after="0"/>
              <w:rPr>
                <w:sz w:val="12"/>
                <w:szCs w:val="12"/>
                <w:lang w:val="fr-BE"/>
              </w:rPr>
            </w:pPr>
            <w:r w:rsidRPr="00BA47B4">
              <w:rPr>
                <w:sz w:val="12"/>
                <w:szCs w:val="12"/>
                <w:lang w:val="fr-BE"/>
              </w:rPr>
              <w:t xml:space="preserve"> </w:t>
            </w:r>
          </w:p>
        </w:tc>
        <w:tc>
          <w:tcPr>
            <w:tcW w:w="0" w:type="auto"/>
            <w:shd w:val="clear" w:color="auto" w:fill="auto"/>
          </w:tcPr>
          <w:p w14:paraId="0036C3B6" w14:textId="77777777" w:rsidR="008C5CFA" w:rsidRPr="00BA47B4" w:rsidRDefault="008C5CFA" w:rsidP="00300A01">
            <w:pPr>
              <w:spacing w:before="0" w:after="0"/>
              <w:jc w:val="center"/>
              <w:rPr>
                <w:sz w:val="12"/>
                <w:szCs w:val="12"/>
                <w:lang w:val="fr-BE"/>
              </w:rPr>
            </w:pPr>
          </w:p>
        </w:tc>
        <w:tc>
          <w:tcPr>
            <w:tcW w:w="0" w:type="auto"/>
            <w:shd w:val="clear" w:color="auto" w:fill="auto"/>
          </w:tcPr>
          <w:p w14:paraId="4FFED5FD" w14:textId="77777777" w:rsidR="008C5CFA" w:rsidRPr="00BA47B4" w:rsidRDefault="008C5CFA" w:rsidP="00300A01">
            <w:pPr>
              <w:spacing w:before="0" w:after="0"/>
              <w:jc w:val="right"/>
              <w:rPr>
                <w:sz w:val="12"/>
                <w:szCs w:val="12"/>
                <w:lang w:val="fr-BE"/>
              </w:rPr>
            </w:pPr>
          </w:p>
        </w:tc>
        <w:tc>
          <w:tcPr>
            <w:tcW w:w="0" w:type="auto"/>
            <w:shd w:val="clear" w:color="auto" w:fill="auto"/>
          </w:tcPr>
          <w:p w14:paraId="7E641F94" w14:textId="77777777" w:rsidR="008C5CFA" w:rsidRPr="00BA47B4" w:rsidRDefault="008C5CFA" w:rsidP="00300A01">
            <w:pPr>
              <w:spacing w:before="0" w:after="0"/>
              <w:jc w:val="right"/>
              <w:rPr>
                <w:sz w:val="12"/>
                <w:szCs w:val="12"/>
                <w:lang w:val="fr-BE"/>
              </w:rPr>
            </w:pPr>
          </w:p>
        </w:tc>
        <w:tc>
          <w:tcPr>
            <w:tcW w:w="0" w:type="auto"/>
            <w:shd w:val="clear" w:color="auto" w:fill="auto"/>
          </w:tcPr>
          <w:p w14:paraId="621C62BB" w14:textId="77777777" w:rsidR="008C5CFA" w:rsidRPr="00BA47B4" w:rsidRDefault="008C5CFA" w:rsidP="00300A01">
            <w:pPr>
              <w:spacing w:before="0" w:after="0"/>
              <w:jc w:val="right"/>
              <w:rPr>
                <w:sz w:val="12"/>
                <w:szCs w:val="12"/>
                <w:lang w:val="fr-BE"/>
              </w:rPr>
            </w:pPr>
          </w:p>
        </w:tc>
        <w:tc>
          <w:tcPr>
            <w:tcW w:w="0" w:type="auto"/>
            <w:shd w:val="clear" w:color="auto" w:fill="auto"/>
          </w:tcPr>
          <w:p w14:paraId="76048469" w14:textId="77777777" w:rsidR="008C5CFA" w:rsidRPr="00BA47B4" w:rsidRDefault="00E82A60" w:rsidP="00300A01">
            <w:pPr>
              <w:spacing w:before="0" w:after="0"/>
              <w:jc w:val="right"/>
              <w:rPr>
                <w:sz w:val="12"/>
                <w:szCs w:val="12"/>
                <w:lang w:val="fr-BE"/>
              </w:rPr>
            </w:pPr>
            <w:r w:rsidRPr="00BA47B4">
              <w:rPr>
                <w:noProof/>
                <w:sz w:val="12"/>
                <w:szCs w:val="12"/>
                <w:lang w:val="fr-BE"/>
              </w:rPr>
              <w:t>83,00</w:t>
            </w:r>
          </w:p>
        </w:tc>
        <w:tc>
          <w:tcPr>
            <w:tcW w:w="0" w:type="auto"/>
            <w:shd w:val="clear" w:color="auto" w:fill="auto"/>
          </w:tcPr>
          <w:p w14:paraId="2658A03D" w14:textId="77777777" w:rsidR="008C5CFA" w:rsidRPr="00BA47B4" w:rsidRDefault="00E82A60" w:rsidP="00300A01">
            <w:pPr>
              <w:spacing w:before="0" w:after="0"/>
              <w:jc w:val="right"/>
              <w:rPr>
                <w:sz w:val="12"/>
                <w:szCs w:val="12"/>
                <w:lang w:val="fr-BE"/>
              </w:rPr>
            </w:pPr>
            <w:r w:rsidRPr="00BA47B4">
              <w:rPr>
                <w:noProof/>
                <w:sz w:val="12"/>
                <w:szCs w:val="12"/>
                <w:lang w:val="fr-BE"/>
              </w:rPr>
              <w:t>34,00</w:t>
            </w:r>
          </w:p>
        </w:tc>
        <w:tc>
          <w:tcPr>
            <w:tcW w:w="0" w:type="auto"/>
            <w:shd w:val="clear" w:color="auto" w:fill="auto"/>
          </w:tcPr>
          <w:p w14:paraId="310813CF" w14:textId="77777777" w:rsidR="008C5CFA" w:rsidRPr="00BA47B4" w:rsidRDefault="00E82A60" w:rsidP="00300A01">
            <w:pPr>
              <w:spacing w:before="0" w:after="0"/>
              <w:jc w:val="right"/>
              <w:rPr>
                <w:sz w:val="12"/>
                <w:szCs w:val="12"/>
                <w:lang w:val="fr-BE"/>
              </w:rPr>
            </w:pPr>
            <w:r w:rsidRPr="00BA47B4">
              <w:rPr>
                <w:noProof/>
                <w:sz w:val="12"/>
                <w:szCs w:val="12"/>
                <w:lang w:val="fr-BE"/>
              </w:rPr>
              <w:t>49,00</w:t>
            </w:r>
          </w:p>
        </w:tc>
        <w:tc>
          <w:tcPr>
            <w:tcW w:w="0" w:type="auto"/>
            <w:shd w:val="clear" w:color="auto" w:fill="auto"/>
          </w:tcPr>
          <w:p w14:paraId="1DECC943" w14:textId="77777777" w:rsidR="008C5CFA" w:rsidRPr="00BA47B4" w:rsidRDefault="008C5CFA" w:rsidP="00300A01">
            <w:pPr>
              <w:spacing w:before="0" w:after="0"/>
              <w:jc w:val="right"/>
              <w:rPr>
                <w:sz w:val="12"/>
                <w:szCs w:val="12"/>
                <w:lang w:val="fr-BE"/>
              </w:rPr>
            </w:pPr>
          </w:p>
        </w:tc>
        <w:tc>
          <w:tcPr>
            <w:tcW w:w="0" w:type="auto"/>
            <w:shd w:val="clear" w:color="auto" w:fill="auto"/>
          </w:tcPr>
          <w:p w14:paraId="1FF1D9BF" w14:textId="77777777" w:rsidR="008C5CFA" w:rsidRPr="00BA47B4" w:rsidRDefault="008C5CFA" w:rsidP="00300A01">
            <w:pPr>
              <w:spacing w:before="0" w:after="0"/>
              <w:jc w:val="right"/>
              <w:rPr>
                <w:sz w:val="12"/>
                <w:szCs w:val="12"/>
                <w:lang w:val="fr-BE"/>
              </w:rPr>
            </w:pPr>
          </w:p>
        </w:tc>
        <w:tc>
          <w:tcPr>
            <w:tcW w:w="0" w:type="auto"/>
            <w:shd w:val="clear" w:color="auto" w:fill="auto"/>
          </w:tcPr>
          <w:p w14:paraId="1C3B3607" w14:textId="77777777" w:rsidR="008C5CFA" w:rsidRPr="00BA47B4" w:rsidRDefault="008C5CFA" w:rsidP="00300A01">
            <w:pPr>
              <w:spacing w:before="0" w:after="0"/>
              <w:jc w:val="right"/>
              <w:rPr>
                <w:sz w:val="12"/>
                <w:szCs w:val="12"/>
                <w:lang w:val="fr-BE"/>
              </w:rPr>
            </w:pPr>
          </w:p>
        </w:tc>
        <w:tc>
          <w:tcPr>
            <w:tcW w:w="0" w:type="auto"/>
            <w:shd w:val="clear" w:color="auto" w:fill="auto"/>
          </w:tcPr>
          <w:p w14:paraId="26946284" w14:textId="77777777" w:rsidR="008C5CFA" w:rsidRPr="00BA47B4" w:rsidRDefault="00E82A60" w:rsidP="00300A01">
            <w:pPr>
              <w:spacing w:before="0" w:after="0"/>
              <w:jc w:val="right"/>
              <w:rPr>
                <w:sz w:val="12"/>
                <w:szCs w:val="12"/>
                <w:lang w:val="fr-BE"/>
              </w:rPr>
            </w:pPr>
            <w:r w:rsidRPr="00BA47B4">
              <w:rPr>
                <w:noProof/>
                <w:sz w:val="12"/>
                <w:szCs w:val="12"/>
                <w:lang w:val="fr-BE"/>
              </w:rPr>
              <w:t>10,00</w:t>
            </w:r>
          </w:p>
        </w:tc>
        <w:tc>
          <w:tcPr>
            <w:tcW w:w="0" w:type="auto"/>
            <w:shd w:val="clear" w:color="auto" w:fill="auto"/>
          </w:tcPr>
          <w:p w14:paraId="25942FBB" w14:textId="77777777" w:rsidR="008C5CFA" w:rsidRPr="00BA47B4" w:rsidRDefault="00E82A60" w:rsidP="00300A01">
            <w:pPr>
              <w:spacing w:before="0" w:after="0"/>
              <w:jc w:val="right"/>
              <w:rPr>
                <w:sz w:val="12"/>
                <w:szCs w:val="12"/>
                <w:lang w:val="fr-BE"/>
              </w:rPr>
            </w:pPr>
            <w:r w:rsidRPr="00BA47B4">
              <w:rPr>
                <w:noProof/>
                <w:sz w:val="12"/>
                <w:szCs w:val="12"/>
                <w:lang w:val="fr-BE"/>
              </w:rPr>
              <w:t>10,00</w:t>
            </w:r>
          </w:p>
        </w:tc>
      </w:tr>
      <w:tr w:rsidR="006B2EC1" w14:paraId="5D3443D1" w14:textId="77777777" w:rsidTr="0047688D">
        <w:tc>
          <w:tcPr>
            <w:tcW w:w="0" w:type="auto"/>
            <w:shd w:val="clear" w:color="auto" w:fill="auto"/>
          </w:tcPr>
          <w:p w14:paraId="0088C5DE" w14:textId="77777777" w:rsidR="008C5CFA" w:rsidRPr="00BA47B4" w:rsidRDefault="00E82A60" w:rsidP="00300A01">
            <w:pPr>
              <w:spacing w:before="0" w:after="0"/>
              <w:rPr>
                <w:sz w:val="12"/>
                <w:szCs w:val="12"/>
                <w:lang w:val="fr-BE"/>
              </w:rPr>
            </w:pPr>
            <w:r w:rsidRPr="00BA47B4">
              <w:rPr>
                <w:noProof/>
                <w:sz w:val="12"/>
                <w:szCs w:val="12"/>
                <w:lang w:val="fr-BE"/>
              </w:rPr>
              <w:t>CR05</w:t>
            </w:r>
          </w:p>
        </w:tc>
        <w:tc>
          <w:tcPr>
            <w:tcW w:w="0" w:type="auto"/>
            <w:shd w:val="clear" w:color="auto" w:fill="auto"/>
          </w:tcPr>
          <w:p w14:paraId="1A1B8DEC" w14:textId="77777777" w:rsidR="008C5CFA" w:rsidRPr="00BA47B4" w:rsidRDefault="00E82A60" w:rsidP="00300A01">
            <w:pPr>
              <w:spacing w:before="0" w:after="0"/>
              <w:rPr>
                <w:sz w:val="12"/>
                <w:szCs w:val="12"/>
                <w:lang w:val="fr-BE"/>
              </w:rPr>
            </w:pPr>
            <w:r w:rsidRPr="00BA47B4">
              <w:rPr>
                <w:noProof/>
                <w:sz w:val="12"/>
                <w:szCs w:val="12"/>
                <w:lang w:val="fr-BE"/>
              </w:rPr>
              <w:t>uczestnicy w niekorzystnej sytuacji społecznej poszukujący pracy, uczestniczący w kształceniu lub szkoleniu, zdobywający kwalifikacje lub pracujący (łącznie z prowadzącymi działalność na własny rachunek) po opuszczeniu programu</w:t>
            </w:r>
          </w:p>
        </w:tc>
        <w:tc>
          <w:tcPr>
            <w:tcW w:w="0" w:type="auto"/>
            <w:shd w:val="clear" w:color="auto" w:fill="auto"/>
          </w:tcPr>
          <w:p w14:paraId="2E205A06" w14:textId="77777777" w:rsidR="008C5CFA" w:rsidRPr="00BA47B4" w:rsidRDefault="00E82A60" w:rsidP="00300A01">
            <w:pPr>
              <w:spacing w:before="0" w:after="0"/>
              <w:rPr>
                <w:sz w:val="12"/>
                <w:szCs w:val="12"/>
                <w:lang w:val="fr-BE"/>
              </w:rPr>
            </w:pPr>
            <w:r w:rsidRPr="00BA47B4">
              <w:rPr>
                <w:noProof/>
                <w:sz w:val="12"/>
                <w:szCs w:val="12"/>
                <w:lang w:val="fr-BE"/>
              </w:rPr>
              <w:t>Słabiej rozwinięte</w:t>
            </w:r>
          </w:p>
        </w:tc>
        <w:tc>
          <w:tcPr>
            <w:tcW w:w="0" w:type="auto"/>
            <w:shd w:val="clear" w:color="auto" w:fill="auto"/>
          </w:tcPr>
          <w:p w14:paraId="2A2A5B81" w14:textId="77777777" w:rsidR="008C5CFA" w:rsidRPr="00BA47B4" w:rsidRDefault="00E82A60" w:rsidP="00300A01">
            <w:pPr>
              <w:spacing w:before="0" w:after="0"/>
              <w:rPr>
                <w:sz w:val="12"/>
                <w:szCs w:val="12"/>
                <w:lang w:val="fr-BE"/>
              </w:rPr>
            </w:pPr>
            <w:r w:rsidRPr="00BA47B4">
              <w:rPr>
                <w:sz w:val="12"/>
                <w:szCs w:val="12"/>
                <w:lang w:val="fr-BE"/>
              </w:rPr>
              <w:t xml:space="preserve"> </w:t>
            </w:r>
          </w:p>
        </w:tc>
        <w:tc>
          <w:tcPr>
            <w:tcW w:w="0" w:type="auto"/>
            <w:shd w:val="clear" w:color="auto" w:fill="auto"/>
          </w:tcPr>
          <w:p w14:paraId="3605325A" w14:textId="77777777" w:rsidR="008C5CFA" w:rsidRPr="00BA47B4" w:rsidRDefault="008C5CFA" w:rsidP="00300A01">
            <w:pPr>
              <w:spacing w:before="0" w:after="0"/>
              <w:jc w:val="center"/>
              <w:rPr>
                <w:sz w:val="12"/>
                <w:szCs w:val="12"/>
                <w:lang w:val="fr-BE"/>
              </w:rPr>
            </w:pPr>
          </w:p>
        </w:tc>
        <w:tc>
          <w:tcPr>
            <w:tcW w:w="0" w:type="auto"/>
            <w:shd w:val="clear" w:color="auto" w:fill="auto"/>
          </w:tcPr>
          <w:p w14:paraId="006977A9" w14:textId="77777777" w:rsidR="008C5CFA" w:rsidRPr="00BA47B4" w:rsidRDefault="008C5CFA" w:rsidP="00300A01">
            <w:pPr>
              <w:spacing w:before="0" w:after="0"/>
              <w:jc w:val="right"/>
              <w:rPr>
                <w:sz w:val="12"/>
                <w:szCs w:val="12"/>
                <w:lang w:val="fr-BE"/>
              </w:rPr>
            </w:pPr>
          </w:p>
        </w:tc>
        <w:tc>
          <w:tcPr>
            <w:tcW w:w="0" w:type="auto"/>
            <w:shd w:val="clear" w:color="auto" w:fill="auto"/>
          </w:tcPr>
          <w:p w14:paraId="692038CD" w14:textId="77777777" w:rsidR="008C5CFA" w:rsidRPr="00BA47B4" w:rsidRDefault="008C5CFA" w:rsidP="00300A01">
            <w:pPr>
              <w:spacing w:before="0" w:after="0"/>
              <w:jc w:val="right"/>
              <w:rPr>
                <w:sz w:val="12"/>
                <w:szCs w:val="12"/>
                <w:lang w:val="fr-BE"/>
              </w:rPr>
            </w:pPr>
          </w:p>
        </w:tc>
        <w:tc>
          <w:tcPr>
            <w:tcW w:w="0" w:type="auto"/>
            <w:shd w:val="clear" w:color="auto" w:fill="auto"/>
          </w:tcPr>
          <w:p w14:paraId="14300956" w14:textId="77777777" w:rsidR="008C5CFA" w:rsidRPr="00BA47B4" w:rsidRDefault="008C5CFA" w:rsidP="00300A01">
            <w:pPr>
              <w:spacing w:before="0" w:after="0"/>
              <w:jc w:val="right"/>
              <w:rPr>
                <w:sz w:val="12"/>
                <w:szCs w:val="12"/>
                <w:lang w:val="fr-BE"/>
              </w:rPr>
            </w:pPr>
          </w:p>
        </w:tc>
        <w:tc>
          <w:tcPr>
            <w:tcW w:w="0" w:type="auto"/>
            <w:shd w:val="clear" w:color="auto" w:fill="auto"/>
          </w:tcPr>
          <w:p w14:paraId="11E2E995" w14:textId="77777777" w:rsidR="008C5CFA" w:rsidRPr="00BA47B4" w:rsidRDefault="00E82A60" w:rsidP="00300A01">
            <w:pPr>
              <w:spacing w:before="0" w:after="0"/>
              <w:jc w:val="right"/>
              <w:rPr>
                <w:sz w:val="12"/>
                <w:szCs w:val="12"/>
                <w:lang w:val="fr-BE"/>
              </w:rPr>
            </w:pPr>
            <w:r w:rsidRPr="00BA47B4">
              <w:rPr>
                <w:noProof/>
                <w:sz w:val="12"/>
                <w:szCs w:val="12"/>
                <w:lang w:val="fr-BE"/>
              </w:rPr>
              <w:t>210,00</w:t>
            </w:r>
          </w:p>
        </w:tc>
        <w:tc>
          <w:tcPr>
            <w:tcW w:w="0" w:type="auto"/>
            <w:shd w:val="clear" w:color="auto" w:fill="auto"/>
          </w:tcPr>
          <w:p w14:paraId="4927BB97" w14:textId="77777777" w:rsidR="008C5CFA" w:rsidRPr="00BA47B4" w:rsidRDefault="00E82A60" w:rsidP="00300A01">
            <w:pPr>
              <w:spacing w:before="0" w:after="0"/>
              <w:jc w:val="right"/>
              <w:rPr>
                <w:sz w:val="12"/>
                <w:szCs w:val="12"/>
                <w:lang w:val="fr-BE"/>
              </w:rPr>
            </w:pPr>
            <w:r w:rsidRPr="00BA47B4">
              <w:rPr>
                <w:noProof/>
                <w:sz w:val="12"/>
                <w:szCs w:val="12"/>
                <w:lang w:val="fr-BE"/>
              </w:rPr>
              <w:t>86,00</w:t>
            </w:r>
          </w:p>
        </w:tc>
        <w:tc>
          <w:tcPr>
            <w:tcW w:w="0" w:type="auto"/>
            <w:shd w:val="clear" w:color="auto" w:fill="auto"/>
          </w:tcPr>
          <w:p w14:paraId="14546E1E" w14:textId="77777777" w:rsidR="008C5CFA" w:rsidRPr="00BA47B4" w:rsidRDefault="00E82A60" w:rsidP="00300A01">
            <w:pPr>
              <w:spacing w:before="0" w:after="0"/>
              <w:jc w:val="right"/>
              <w:rPr>
                <w:sz w:val="12"/>
                <w:szCs w:val="12"/>
                <w:lang w:val="fr-BE"/>
              </w:rPr>
            </w:pPr>
            <w:r w:rsidRPr="00BA47B4">
              <w:rPr>
                <w:noProof/>
                <w:sz w:val="12"/>
                <w:szCs w:val="12"/>
                <w:lang w:val="fr-BE"/>
              </w:rPr>
              <w:t>124,00</w:t>
            </w:r>
          </w:p>
        </w:tc>
        <w:tc>
          <w:tcPr>
            <w:tcW w:w="0" w:type="auto"/>
            <w:shd w:val="clear" w:color="auto" w:fill="auto"/>
          </w:tcPr>
          <w:p w14:paraId="06113BB6" w14:textId="77777777" w:rsidR="008C5CFA" w:rsidRPr="00BA47B4" w:rsidRDefault="008C5CFA" w:rsidP="00300A01">
            <w:pPr>
              <w:spacing w:before="0" w:after="0"/>
              <w:jc w:val="right"/>
              <w:rPr>
                <w:sz w:val="12"/>
                <w:szCs w:val="12"/>
                <w:lang w:val="fr-BE"/>
              </w:rPr>
            </w:pPr>
          </w:p>
        </w:tc>
        <w:tc>
          <w:tcPr>
            <w:tcW w:w="0" w:type="auto"/>
            <w:shd w:val="clear" w:color="auto" w:fill="auto"/>
          </w:tcPr>
          <w:p w14:paraId="5E2C5B2E" w14:textId="77777777" w:rsidR="008C5CFA" w:rsidRPr="00BA47B4" w:rsidRDefault="008C5CFA" w:rsidP="00300A01">
            <w:pPr>
              <w:spacing w:before="0" w:after="0"/>
              <w:jc w:val="right"/>
              <w:rPr>
                <w:sz w:val="12"/>
                <w:szCs w:val="12"/>
                <w:lang w:val="fr-BE"/>
              </w:rPr>
            </w:pPr>
          </w:p>
        </w:tc>
        <w:tc>
          <w:tcPr>
            <w:tcW w:w="0" w:type="auto"/>
            <w:shd w:val="clear" w:color="auto" w:fill="auto"/>
          </w:tcPr>
          <w:p w14:paraId="66B2D80A" w14:textId="77777777" w:rsidR="008C5CFA" w:rsidRPr="00BA47B4" w:rsidRDefault="008C5CFA" w:rsidP="00300A01">
            <w:pPr>
              <w:spacing w:before="0" w:after="0"/>
              <w:jc w:val="right"/>
              <w:rPr>
                <w:sz w:val="12"/>
                <w:szCs w:val="12"/>
                <w:lang w:val="fr-BE"/>
              </w:rPr>
            </w:pPr>
          </w:p>
        </w:tc>
        <w:tc>
          <w:tcPr>
            <w:tcW w:w="0" w:type="auto"/>
            <w:shd w:val="clear" w:color="auto" w:fill="auto"/>
          </w:tcPr>
          <w:p w14:paraId="7616D9C9" w14:textId="77777777" w:rsidR="008C5CFA" w:rsidRPr="00BA47B4" w:rsidRDefault="00E82A60" w:rsidP="00300A01">
            <w:pPr>
              <w:spacing w:before="0" w:after="0"/>
              <w:jc w:val="right"/>
              <w:rPr>
                <w:sz w:val="12"/>
                <w:szCs w:val="12"/>
                <w:lang w:val="fr-BE"/>
              </w:rPr>
            </w:pPr>
            <w:r w:rsidRPr="00BA47B4">
              <w:rPr>
                <w:noProof/>
                <w:sz w:val="12"/>
                <w:szCs w:val="12"/>
                <w:lang w:val="fr-BE"/>
              </w:rPr>
              <w:t>34,00</w:t>
            </w:r>
          </w:p>
        </w:tc>
        <w:tc>
          <w:tcPr>
            <w:tcW w:w="0" w:type="auto"/>
            <w:shd w:val="clear" w:color="auto" w:fill="auto"/>
          </w:tcPr>
          <w:p w14:paraId="65ADF246" w14:textId="77777777" w:rsidR="008C5CFA" w:rsidRPr="00BA47B4" w:rsidRDefault="00E82A60" w:rsidP="00300A01">
            <w:pPr>
              <w:spacing w:before="0" w:after="0"/>
              <w:jc w:val="right"/>
              <w:rPr>
                <w:sz w:val="12"/>
                <w:szCs w:val="12"/>
                <w:lang w:val="fr-BE"/>
              </w:rPr>
            </w:pPr>
            <w:r w:rsidRPr="00BA47B4">
              <w:rPr>
                <w:noProof/>
                <w:sz w:val="12"/>
                <w:szCs w:val="12"/>
                <w:lang w:val="fr-BE"/>
              </w:rPr>
              <w:t>29,00</w:t>
            </w:r>
          </w:p>
        </w:tc>
      </w:tr>
      <w:tr w:rsidR="006B2EC1" w14:paraId="322891B6" w14:textId="77777777" w:rsidTr="0047688D">
        <w:tc>
          <w:tcPr>
            <w:tcW w:w="0" w:type="auto"/>
            <w:shd w:val="clear" w:color="auto" w:fill="auto"/>
          </w:tcPr>
          <w:p w14:paraId="391A8158" w14:textId="77777777" w:rsidR="008C5CFA" w:rsidRPr="00BA47B4" w:rsidRDefault="00E82A60" w:rsidP="00300A01">
            <w:pPr>
              <w:spacing w:before="0" w:after="0"/>
              <w:rPr>
                <w:sz w:val="12"/>
                <w:szCs w:val="12"/>
                <w:lang w:val="fr-BE"/>
              </w:rPr>
            </w:pPr>
            <w:r w:rsidRPr="00BA47B4">
              <w:rPr>
                <w:noProof/>
                <w:sz w:val="12"/>
                <w:szCs w:val="12"/>
                <w:lang w:val="fr-BE"/>
              </w:rPr>
              <w:t>CR06</w:t>
            </w:r>
          </w:p>
        </w:tc>
        <w:tc>
          <w:tcPr>
            <w:tcW w:w="0" w:type="auto"/>
            <w:shd w:val="clear" w:color="auto" w:fill="auto"/>
          </w:tcPr>
          <w:p w14:paraId="48E0CD55" w14:textId="77777777" w:rsidR="008C5CFA" w:rsidRPr="00BA47B4" w:rsidRDefault="00E82A60" w:rsidP="00300A01">
            <w:pPr>
              <w:spacing w:before="0" w:after="0"/>
              <w:rPr>
                <w:sz w:val="12"/>
                <w:szCs w:val="12"/>
                <w:lang w:val="fr-BE"/>
              </w:rPr>
            </w:pPr>
            <w:r w:rsidRPr="00BA47B4">
              <w:rPr>
                <w:noProof/>
                <w:sz w:val="12"/>
                <w:szCs w:val="12"/>
                <w:lang w:val="fr-BE"/>
              </w:rPr>
              <w:t>uczestnicy pracujący, łącznie z prowadzącymi działalność na własny rachunek, sześć miesięcy po opuszczeniu programu</w:t>
            </w:r>
          </w:p>
        </w:tc>
        <w:tc>
          <w:tcPr>
            <w:tcW w:w="0" w:type="auto"/>
            <w:shd w:val="clear" w:color="auto" w:fill="auto"/>
          </w:tcPr>
          <w:p w14:paraId="733210D7" w14:textId="77777777" w:rsidR="008C5CFA" w:rsidRPr="00BA47B4" w:rsidRDefault="00E82A60" w:rsidP="00300A01">
            <w:pPr>
              <w:spacing w:before="0" w:after="0"/>
              <w:rPr>
                <w:sz w:val="12"/>
                <w:szCs w:val="12"/>
                <w:lang w:val="fr-BE"/>
              </w:rPr>
            </w:pPr>
            <w:r w:rsidRPr="00BA47B4">
              <w:rPr>
                <w:noProof/>
                <w:sz w:val="12"/>
                <w:szCs w:val="12"/>
                <w:lang w:val="fr-BE"/>
              </w:rPr>
              <w:t>Słabiej rozwinięte</w:t>
            </w:r>
          </w:p>
        </w:tc>
        <w:tc>
          <w:tcPr>
            <w:tcW w:w="0" w:type="auto"/>
            <w:shd w:val="clear" w:color="auto" w:fill="auto"/>
          </w:tcPr>
          <w:p w14:paraId="62BCF593" w14:textId="77777777" w:rsidR="008C5CFA" w:rsidRPr="00BA47B4" w:rsidRDefault="00E82A60" w:rsidP="00300A01">
            <w:pPr>
              <w:spacing w:before="0" w:after="0"/>
              <w:rPr>
                <w:sz w:val="12"/>
                <w:szCs w:val="12"/>
                <w:lang w:val="fr-BE"/>
              </w:rPr>
            </w:pPr>
            <w:r w:rsidRPr="00BA47B4">
              <w:rPr>
                <w:sz w:val="12"/>
                <w:szCs w:val="12"/>
                <w:lang w:val="fr-BE"/>
              </w:rPr>
              <w:t xml:space="preserve"> </w:t>
            </w:r>
          </w:p>
        </w:tc>
        <w:tc>
          <w:tcPr>
            <w:tcW w:w="0" w:type="auto"/>
            <w:shd w:val="clear" w:color="auto" w:fill="auto"/>
          </w:tcPr>
          <w:p w14:paraId="0625F0C8" w14:textId="77777777" w:rsidR="008C5CFA" w:rsidRPr="00BA47B4" w:rsidRDefault="008C5CFA" w:rsidP="00300A01">
            <w:pPr>
              <w:spacing w:before="0" w:after="0"/>
              <w:jc w:val="center"/>
              <w:rPr>
                <w:sz w:val="12"/>
                <w:szCs w:val="12"/>
                <w:lang w:val="fr-BE"/>
              </w:rPr>
            </w:pPr>
          </w:p>
        </w:tc>
        <w:tc>
          <w:tcPr>
            <w:tcW w:w="0" w:type="auto"/>
            <w:shd w:val="clear" w:color="auto" w:fill="auto"/>
          </w:tcPr>
          <w:p w14:paraId="7892DD1A" w14:textId="77777777" w:rsidR="008C5CFA" w:rsidRPr="00BA47B4" w:rsidRDefault="008C5CFA" w:rsidP="00300A01">
            <w:pPr>
              <w:spacing w:before="0" w:after="0"/>
              <w:jc w:val="right"/>
              <w:rPr>
                <w:sz w:val="12"/>
                <w:szCs w:val="12"/>
                <w:lang w:val="fr-BE"/>
              </w:rPr>
            </w:pPr>
          </w:p>
        </w:tc>
        <w:tc>
          <w:tcPr>
            <w:tcW w:w="0" w:type="auto"/>
            <w:shd w:val="clear" w:color="auto" w:fill="auto"/>
          </w:tcPr>
          <w:p w14:paraId="35393458" w14:textId="77777777" w:rsidR="008C5CFA" w:rsidRPr="00BA47B4" w:rsidRDefault="008C5CFA" w:rsidP="00300A01">
            <w:pPr>
              <w:spacing w:before="0" w:after="0"/>
              <w:jc w:val="right"/>
              <w:rPr>
                <w:sz w:val="12"/>
                <w:szCs w:val="12"/>
                <w:lang w:val="fr-BE"/>
              </w:rPr>
            </w:pPr>
          </w:p>
        </w:tc>
        <w:tc>
          <w:tcPr>
            <w:tcW w:w="0" w:type="auto"/>
            <w:shd w:val="clear" w:color="auto" w:fill="auto"/>
          </w:tcPr>
          <w:p w14:paraId="6E99DE38" w14:textId="77777777" w:rsidR="008C5CFA" w:rsidRPr="00BA47B4" w:rsidRDefault="008C5CFA" w:rsidP="00300A01">
            <w:pPr>
              <w:spacing w:before="0" w:after="0"/>
              <w:jc w:val="right"/>
              <w:rPr>
                <w:sz w:val="12"/>
                <w:szCs w:val="12"/>
                <w:lang w:val="fr-BE"/>
              </w:rPr>
            </w:pPr>
          </w:p>
        </w:tc>
        <w:tc>
          <w:tcPr>
            <w:tcW w:w="0" w:type="auto"/>
            <w:shd w:val="clear" w:color="auto" w:fill="auto"/>
          </w:tcPr>
          <w:p w14:paraId="1FEF0AC6" w14:textId="77777777" w:rsidR="008C5CFA" w:rsidRPr="00BA47B4" w:rsidRDefault="00E82A60" w:rsidP="00300A01">
            <w:pPr>
              <w:spacing w:before="0" w:after="0"/>
              <w:jc w:val="right"/>
              <w:rPr>
                <w:sz w:val="12"/>
                <w:szCs w:val="12"/>
                <w:lang w:val="fr-BE"/>
              </w:rPr>
            </w:pPr>
            <w:r w:rsidRPr="00BA47B4">
              <w:rPr>
                <w:noProof/>
                <w:sz w:val="12"/>
                <w:szCs w:val="12"/>
                <w:lang w:val="fr-BE"/>
              </w:rPr>
              <w:t>549,00</w:t>
            </w:r>
          </w:p>
        </w:tc>
        <w:tc>
          <w:tcPr>
            <w:tcW w:w="0" w:type="auto"/>
            <w:shd w:val="clear" w:color="auto" w:fill="auto"/>
          </w:tcPr>
          <w:p w14:paraId="307D0E4B" w14:textId="77777777" w:rsidR="008C5CFA" w:rsidRPr="00BA47B4" w:rsidRDefault="00E82A60" w:rsidP="00300A01">
            <w:pPr>
              <w:spacing w:before="0" w:after="0"/>
              <w:jc w:val="right"/>
              <w:rPr>
                <w:sz w:val="12"/>
                <w:szCs w:val="12"/>
                <w:lang w:val="fr-BE"/>
              </w:rPr>
            </w:pPr>
            <w:r w:rsidRPr="00BA47B4">
              <w:rPr>
                <w:noProof/>
                <w:sz w:val="12"/>
                <w:szCs w:val="12"/>
                <w:lang w:val="fr-BE"/>
              </w:rPr>
              <w:t>223,00</w:t>
            </w:r>
          </w:p>
        </w:tc>
        <w:tc>
          <w:tcPr>
            <w:tcW w:w="0" w:type="auto"/>
            <w:shd w:val="clear" w:color="auto" w:fill="auto"/>
          </w:tcPr>
          <w:p w14:paraId="489A2E35" w14:textId="77777777" w:rsidR="008C5CFA" w:rsidRPr="00BA47B4" w:rsidRDefault="00E82A60" w:rsidP="00300A01">
            <w:pPr>
              <w:spacing w:before="0" w:after="0"/>
              <w:jc w:val="right"/>
              <w:rPr>
                <w:sz w:val="12"/>
                <w:szCs w:val="12"/>
                <w:lang w:val="fr-BE"/>
              </w:rPr>
            </w:pPr>
            <w:r w:rsidRPr="00BA47B4">
              <w:rPr>
                <w:noProof/>
                <w:sz w:val="12"/>
                <w:szCs w:val="12"/>
                <w:lang w:val="fr-BE"/>
              </w:rPr>
              <w:t>326,00</w:t>
            </w:r>
          </w:p>
        </w:tc>
        <w:tc>
          <w:tcPr>
            <w:tcW w:w="0" w:type="auto"/>
            <w:shd w:val="clear" w:color="auto" w:fill="auto"/>
          </w:tcPr>
          <w:p w14:paraId="5DEB94B9" w14:textId="77777777" w:rsidR="008C5CFA" w:rsidRPr="00BA47B4" w:rsidRDefault="008C5CFA" w:rsidP="00300A01">
            <w:pPr>
              <w:spacing w:before="0" w:after="0"/>
              <w:jc w:val="right"/>
              <w:rPr>
                <w:sz w:val="12"/>
                <w:szCs w:val="12"/>
                <w:lang w:val="fr-BE"/>
              </w:rPr>
            </w:pPr>
          </w:p>
        </w:tc>
        <w:tc>
          <w:tcPr>
            <w:tcW w:w="0" w:type="auto"/>
            <w:shd w:val="clear" w:color="auto" w:fill="auto"/>
          </w:tcPr>
          <w:p w14:paraId="31B56582" w14:textId="77777777" w:rsidR="008C5CFA" w:rsidRPr="00BA47B4" w:rsidRDefault="008C5CFA" w:rsidP="00300A01">
            <w:pPr>
              <w:spacing w:before="0" w:after="0"/>
              <w:jc w:val="right"/>
              <w:rPr>
                <w:sz w:val="12"/>
                <w:szCs w:val="12"/>
                <w:lang w:val="fr-BE"/>
              </w:rPr>
            </w:pPr>
          </w:p>
        </w:tc>
        <w:tc>
          <w:tcPr>
            <w:tcW w:w="0" w:type="auto"/>
            <w:shd w:val="clear" w:color="auto" w:fill="auto"/>
          </w:tcPr>
          <w:p w14:paraId="17040013" w14:textId="77777777" w:rsidR="008C5CFA" w:rsidRPr="00BA47B4" w:rsidRDefault="008C5CFA" w:rsidP="00300A01">
            <w:pPr>
              <w:spacing w:before="0" w:after="0"/>
              <w:jc w:val="right"/>
              <w:rPr>
                <w:sz w:val="12"/>
                <w:szCs w:val="12"/>
                <w:lang w:val="fr-BE"/>
              </w:rPr>
            </w:pPr>
          </w:p>
        </w:tc>
        <w:tc>
          <w:tcPr>
            <w:tcW w:w="0" w:type="auto"/>
            <w:shd w:val="clear" w:color="auto" w:fill="auto"/>
          </w:tcPr>
          <w:p w14:paraId="0F839632"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4625C5F8"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r>
      <w:tr w:rsidR="006B2EC1" w14:paraId="4C788E9C" w14:textId="77777777" w:rsidTr="0047688D">
        <w:tc>
          <w:tcPr>
            <w:tcW w:w="0" w:type="auto"/>
            <w:shd w:val="clear" w:color="auto" w:fill="auto"/>
          </w:tcPr>
          <w:p w14:paraId="596ACC0E" w14:textId="77777777" w:rsidR="008C5CFA" w:rsidRPr="00BA47B4" w:rsidRDefault="00E82A60" w:rsidP="00300A01">
            <w:pPr>
              <w:spacing w:before="0" w:after="0"/>
              <w:rPr>
                <w:sz w:val="12"/>
                <w:szCs w:val="12"/>
                <w:lang w:val="fr-BE"/>
              </w:rPr>
            </w:pPr>
            <w:r w:rsidRPr="00BA47B4">
              <w:rPr>
                <w:noProof/>
                <w:sz w:val="12"/>
                <w:szCs w:val="12"/>
                <w:lang w:val="fr-BE"/>
              </w:rPr>
              <w:t>CR07</w:t>
            </w:r>
          </w:p>
        </w:tc>
        <w:tc>
          <w:tcPr>
            <w:tcW w:w="0" w:type="auto"/>
            <w:shd w:val="clear" w:color="auto" w:fill="auto"/>
          </w:tcPr>
          <w:p w14:paraId="7123263A" w14:textId="77777777" w:rsidR="008C5CFA" w:rsidRPr="00BA47B4" w:rsidRDefault="00E82A60" w:rsidP="00300A01">
            <w:pPr>
              <w:spacing w:before="0" w:after="0"/>
              <w:rPr>
                <w:sz w:val="12"/>
                <w:szCs w:val="12"/>
                <w:lang w:val="fr-BE"/>
              </w:rPr>
            </w:pPr>
            <w:r w:rsidRPr="00BA47B4">
              <w:rPr>
                <w:noProof/>
                <w:sz w:val="12"/>
                <w:szCs w:val="12"/>
                <w:lang w:val="fr-BE"/>
              </w:rPr>
              <w:t>uczestnicy znajdujący się w lepszej sytuacji na rynku pracy sześć miesięcy po opuszczeniu programu</w:t>
            </w:r>
          </w:p>
        </w:tc>
        <w:tc>
          <w:tcPr>
            <w:tcW w:w="0" w:type="auto"/>
            <w:shd w:val="clear" w:color="auto" w:fill="auto"/>
          </w:tcPr>
          <w:p w14:paraId="6C7E638C" w14:textId="77777777" w:rsidR="008C5CFA" w:rsidRPr="00BA47B4" w:rsidRDefault="00E82A60" w:rsidP="00300A01">
            <w:pPr>
              <w:spacing w:before="0" w:after="0"/>
              <w:rPr>
                <w:sz w:val="12"/>
                <w:szCs w:val="12"/>
                <w:lang w:val="fr-BE"/>
              </w:rPr>
            </w:pPr>
            <w:r w:rsidRPr="00BA47B4">
              <w:rPr>
                <w:noProof/>
                <w:sz w:val="12"/>
                <w:szCs w:val="12"/>
                <w:lang w:val="fr-BE"/>
              </w:rPr>
              <w:t>Słabiej rozwinięte</w:t>
            </w:r>
          </w:p>
        </w:tc>
        <w:tc>
          <w:tcPr>
            <w:tcW w:w="0" w:type="auto"/>
            <w:shd w:val="clear" w:color="auto" w:fill="auto"/>
          </w:tcPr>
          <w:p w14:paraId="47BDE207" w14:textId="77777777" w:rsidR="008C5CFA" w:rsidRPr="00BA47B4" w:rsidRDefault="00E82A60" w:rsidP="00300A01">
            <w:pPr>
              <w:spacing w:before="0" w:after="0"/>
              <w:rPr>
                <w:sz w:val="12"/>
                <w:szCs w:val="12"/>
                <w:lang w:val="fr-BE"/>
              </w:rPr>
            </w:pPr>
            <w:r w:rsidRPr="00BA47B4">
              <w:rPr>
                <w:sz w:val="12"/>
                <w:szCs w:val="12"/>
                <w:lang w:val="fr-BE"/>
              </w:rPr>
              <w:t xml:space="preserve"> </w:t>
            </w:r>
          </w:p>
        </w:tc>
        <w:tc>
          <w:tcPr>
            <w:tcW w:w="0" w:type="auto"/>
            <w:shd w:val="clear" w:color="auto" w:fill="auto"/>
          </w:tcPr>
          <w:p w14:paraId="5A94FD3C" w14:textId="77777777" w:rsidR="008C5CFA" w:rsidRPr="00BA47B4" w:rsidRDefault="008C5CFA" w:rsidP="00300A01">
            <w:pPr>
              <w:spacing w:before="0" w:after="0"/>
              <w:jc w:val="center"/>
              <w:rPr>
                <w:sz w:val="12"/>
                <w:szCs w:val="12"/>
                <w:lang w:val="fr-BE"/>
              </w:rPr>
            </w:pPr>
          </w:p>
        </w:tc>
        <w:tc>
          <w:tcPr>
            <w:tcW w:w="0" w:type="auto"/>
            <w:shd w:val="clear" w:color="auto" w:fill="auto"/>
          </w:tcPr>
          <w:p w14:paraId="20C3C6B5" w14:textId="77777777" w:rsidR="008C5CFA" w:rsidRPr="00BA47B4" w:rsidRDefault="008C5CFA" w:rsidP="00300A01">
            <w:pPr>
              <w:spacing w:before="0" w:after="0"/>
              <w:jc w:val="right"/>
              <w:rPr>
                <w:sz w:val="12"/>
                <w:szCs w:val="12"/>
                <w:lang w:val="fr-BE"/>
              </w:rPr>
            </w:pPr>
          </w:p>
        </w:tc>
        <w:tc>
          <w:tcPr>
            <w:tcW w:w="0" w:type="auto"/>
            <w:shd w:val="clear" w:color="auto" w:fill="auto"/>
          </w:tcPr>
          <w:p w14:paraId="11AAD46A" w14:textId="77777777" w:rsidR="008C5CFA" w:rsidRPr="00BA47B4" w:rsidRDefault="008C5CFA" w:rsidP="00300A01">
            <w:pPr>
              <w:spacing w:before="0" w:after="0"/>
              <w:jc w:val="right"/>
              <w:rPr>
                <w:sz w:val="12"/>
                <w:szCs w:val="12"/>
                <w:lang w:val="fr-BE"/>
              </w:rPr>
            </w:pPr>
          </w:p>
        </w:tc>
        <w:tc>
          <w:tcPr>
            <w:tcW w:w="0" w:type="auto"/>
            <w:shd w:val="clear" w:color="auto" w:fill="auto"/>
          </w:tcPr>
          <w:p w14:paraId="61A3A4FF" w14:textId="77777777" w:rsidR="008C5CFA" w:rsidRPr="00BA47B4" w:rsidRDefault="008C5CFA" w:rsidP="00300A01">
            <w:pPr>
              <w:spacing w:before="0" w:after="0"/>
              <w:jc w:val="right"/>
              <w:rPr>
                <w:sz w:val="12"/>
                <w:szCs w:val="12"/>
                <w:lang w:val="fr-BE"/>
              </w:rPr>
            </w:pPr>
          </w:p>
        </w:tc>
        <w:tc>
          <w:tcPr>
            <w:tcW w:w="0" w:type="auto"/>
            <w:shd w:val="clear" w:color="auto" w:fill="auto"/>
          </w:tcPr>
          <w:p w14:paraId="5DFDB735" w14:textId="77777777" w:rsidR="008C5CFA" w:rsidRPr="00BA47B4" w:rsidRDefault="00E82A60" w:rsidP="00300A01">
            <w:pPr>
              <w:spacing w:before="0" w:after="0"/>
              <w:jc w:val="right"/>
              <w:rPr>
                <w:sz w:val="12"/>
                <w:szCs w:val="12"/>
                <w:lang w:val="fr-BE"/>
              </w:rPr>
            </w:pPr>
            <w:r w:rsidRPr="00BA47B4">
              <w:rPr>
                <w:noProof/>
                <w:sz w:val="12"/>
                <w:szCs w:val="12"/>
                <w:lang w:val="fr-BE"/>
              </w:rPr>
              <w:t>74,00</w:t>
            </w:r>
          </w:p>
        </w:tc>
        <w:tc>
          <w:tcPr>
            <w:tcW w:w="0" w:type="auto"/>
            <w:shd w:val="clear" w:color="auto" w:fill="auto"/>
          </w:tcPr>
          <w:p w14:paraId="696A4DA9" w14:textId="77777777" w:rsidR="008C5CFA" w:rsidRPr="00BA47B4" w:rsidRDefault="00E82A60" w:rsidP="00300A01">
            <w:pPr>
              <w:spacing w:before="0" w:after="0"/>
              <w:jc w:val="right"/>
              <w:rPr>
                <w:sz w:val="12"/>
                <w:szCs w:val="12"/>
                <w:lang w:val="fr-BE"/>
              </w:rPr>
            </w:pPr>
            <w:r w:rsidRPr="00BA47B4">
              <w:rPr>
                <w:noProof/>
                <w:sz w:val="12"/>
                <w:szCs w:val="12"/>
                <w:lang w:val="fr-BE"/>
              </w:rPr>
              <w:t>23,00</w:t>
            </w:r>
          </w:p>
        </w:tc>
        <w:tc>
          <w:tcPr>
            <w:tcW w:w="0" w:type="auto"/>
            <w:shd w:val="clear" w:color="auto" w:fill="auto"/>
          </w:tcPr>
          <w:p w14:paraId="2E322B55" w14:textId="77777777" w:rsidR="008C5CFA" w:rsidRPr="00BA47B4" w:rsidRDefault="00E82A60" w:rsidP="00300A01">
            <w:pPr>
              <w:spacing w:before="0" w:after="0"/>
              <w:jc w:val="right"/>
              <w:rPr>
                <w:sz w:val="12"/>
                <w:szCs w:val="12"/>
                <w:lang w:val="fr-BE"/>
              </w:rPr>
            </w:pPr>
            <w:r w:rsidRPr="00BA47B4">
              <w:rPr>
                <w:noProof/>
                <w:sz w:val="12"/>
                <w:szCs w:val="12"/>
                <w:lang w:val="fr-BE"/>
              </w:rPr>
              <w:t>51,00</w:t>
            </w:r>
          </w:p>
        </w:tc>
        <w:tc>
          <w:tcPr>
            <w:tcW w:w="0" w:type="auto"/>
            <w:shd w:val="clear" w:color="auto" w:fill="auto"/>
          </w:tcPr>
          <w:p w14:paraId="55B514AC" w14:textId="77777777" w:rsidR="008C5CFA" w:rsidRPr="00BA47B4" w:rsidRDefault="008C5CFA" w:rsidP="00300A01">
            <w:pPr>
              <w:spacing w:before="0" w:after="0"/>
              <w:jc w:val="right"/>
              <w:rPr>
                <w:sz w:val="12"/>
                <w:szCs w:val="12"/>
                <w:lang w:val="fr-BE"/>
              </w:rPr>
            </w:pPr>
          </w:p>
        </w:tc>
        <w:tc>
          <w:tcPr>
            <w:tcW w:w="0" w:type="auto"/>
            <w:shd w:val="clear" w:color="auto" w:fill="auto"/>
          </w:tcPr>
          <w:p w14:paraId="1EE6FE8D" w14:textId="77777777" w:rsidR="008C5CFA" w:rsidRPr="00BA47B4" w:rsidRDefault="008C5CFA" w:rsidP="00300A01">
            <w:pPr>
              <w:spacing w:before="0" w:after="0"/>
              <w:jc w:val="right"/>
              <w:rPr>
                <w:sz w:val="12"/>
                <w:szCs w:val="12"/>
                <w:lang w:val="fr-BE"/>
              </w:rPr>
            </w:pPr>
          </w:p>
        </w:tc>
        <w:tc>
          <w:tcPr>
            <w:tcW w:w="0" w:type="auto"/>
            <w:shd w:val="clear" w:color="auto" w:fill="auto"/>
          </w:tcPr>
          <w:p w14:paraId="1EC02890" w14:textId="77777777" w:rsidR="008C5CFA" w:rsidRPr="00BA47B4" w:rsidRDefault="008C5CFA" w:rsidP="00300A01">
            <w:pPr>
              <w:spacing w:before="0" w:after="0"/>
              <w:jc w:val="right"/>
              <w:rPr>
                <w:sz w:val="12"/>
                <w:szCs w:val="12"/>
                <w:lang w:val="fr-BE"/>
              </w:rPr>
            </w:pPr>
          </w:p>
        </w:tc>
        <w:tc>
          <w:tcPr>
            <w:tcW w:w="0" w:type="auto"/>
            <w:shd w:val="clear" w:color="auto" w:fill="auto"/>
          </w:tcPr>
          <w:p w14:paraId="4CE0DEC6"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69CF3030"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r>
      <w:tr w:rsidR="006B2EC1" w14:paraId="2C6E7B60" w14:textId="77777777" w:rsidTr="0047688D">
        <w:tc>
          <w:tcPr>
            <w:tcW w:w="0" w:type="auto"/>
            <w:shd w:val="clear" w:color="auto" w:fill="auto"/>
          </w:tcPr>
          <w:p w14:paraId="4803C319" w14:textId="77777777" w:rsidR="008C5CFA" w:rsidRPr="00BA47B4" w:rsidRDefault="00E82A60" w:rsidP="00300A01">
            <w:pPr>
              <w:spacing w:before="0" w:after="0"/>
              <w:rPr>
                <w:sz w:val="12"/>
                <w:szCs w:val="12"/>
                <w:lang w:val="fr-BE"/>
              </w:rPr>
            </w:pPr>
            <w:r w:rsidRPr="00BA47B4">
              <w:rPr>
                <w:noProof/>
                <w:sz w:val="12"/>
                <w:szCs w:val="12"/>
                <w:lang w:val="fr-BE"/>
              </w:rPr>
              <w:t>CR08</w:t>
            </w:r>
          </w:p>
        </w:tc>
        <w:tc>
          <w:tcPr>
            <w:tcW w:w="0" w:type="auto"/>
            <w:shd w:val="clear" w:color="auto" w:fill="auto"/>
          </w:tcPr>
          <w:p w14:paraId="53607A69" w14:textId="77777777" w:rsidR="008C5CFA" w:rsidRPr="00BA47B4" w:rsidRDefault="00E82A60" w:rsidP="00300A01">
            <w:pPr>
              <w:spacing w:before="0" w:after="0"/>
              <w:rPr>
                <w:sz w:val="12"/>
                <w:szCs w:val="12"/>
                <w:lang w:val="fr-BE"/>
              </w:rPr>
            </w:pPr>
            <w:r w:rsidRPr="00BA47B4">
              <w:rPr>
                <w:noProof/>
                <w:sz w:val="12"/>
                <w:szCs w:val="12"/>
                <w:lang w:val="fr-BE"/>
              </w:rPr>
              <w:t>uczestnicy powyżej 54 roku życia, pracujący, łącznie z prowadzącymi działalność na własny rachunek, sześć miesięcy po opuszczeniu programu</w:t>
            </w:r>
          </w:p>
        </w:tc>
        <w:tc>
          <w:tcPr>
            <w:tcW w:w="0" w:type="auto"/>
            <w:shd w:val="clear" w:color="auto" w:fill="auto"/>
          </w:tcPr>
          <w:p w14:paraId="3744F04D" w14:textId="77777777" w:rsidR="008C5CFA" w:rsidRPr="00BA47B4" w:rsidRDefault="00E82A60" w:rsidP="00300A01">
            <w:pPr>
              <w:spacing w:before="0" w:after="0"/>
              <w:rPr>
                <w:sz w:val="12"/>
                <w:szCs w:val="12"/>
                <w:lang w:val="fr-BE"/>
              </w:rPr>
            </w:pPr>
            <w:r w:rsidRPr="00BA47B4">
              <w:rPr>
                <w:noProof/>
                <w:sz w:val="12"/>
                <w:szCs w:val="12"/>
                <w:lang w:val="fr-BE"/>
              </w:rPr>
              <w:t>Słabiej rozwinięte</w:t>
            </w:r>
          </w:p>
        </w:tc>
        <w:tc>
          <w:tcPr>
            <w:tcW w:w="0" w:type="auto"/>
            <w:shd w:val="clear" w:color="auto" w:fill="auto"/>
          </w:tcPr>
          <w:p w14:paraId="6AC391DC" w14:textId="77777777" w:rsidR="008C5CFA" w:rsidRPr="00BA47B4" w:rsidRDefault="00E82A60" w:rsidP="00300A01">
            <w:pPr>
              <w:spacing w:before="0" w:after="0"/>
              <w:rPr>
                <w:sz w:val="12"/>
                <w:szCs w:val="12"/>
                <w:lang w:val="fr-BE"/>
              </w:rPr>
            </w:pPr>
            <w:r w:rsidRPr="00BA47B4">
              <w:rPr>
                <w:sz w:val="12"/>
                <w:szCs w:val="12"/>
                <w:lang w:val="fr-BE"/>
              </w:rPr>
              <w:t xml:space="preserve"> </w:t>
            </w:r>
          </w:p>
        </w:tc>
        <w:tc>
          <w:tcPr>
            <w:tcW w:w="0" w:type="auto"/>
            <w:shd w:val="clear" w:color="auto" w:fill="auto"/>
          </w:tcPr>
          <w:p w14:paraId="6BBFA798" w14:textId="77777777" w:rsidR="008C5CFA" w:rsidRPr="00BA47B4" w:rsidRDefault="008C5CFA" w:rsidP="00300A01">
            <w:pPr>
              <w:spacing w:before="0" w:after="0"/>
              <w:jc w:val="center"/>
              <w:rPr>
                <w:sz w:val="12"/>
                <w:szCs w:val="12"/>
                <w:lang w:val="fr-BE"/>
              </w:rPr>
            </w:pPr>
          </w:p>
        </w:tc>
        <w:tc>
          <w:tcPr>
            <w:tcW w:w="0" w:type="auto"/>
            <w:shd w:val="clear" w:color="auto" w:fill="auto"/>
          </w:tcPr>
          <w:p w14:paraId="328D6A08" w14:textId="77777777" w:rsidR="008C5CFA" w:rsidRPr="00BA47B4" w:rsidRDefault="008C5CFA" w:rsidP="00300A01">
            <w:pPr>
              <w:spacing w:before="0" w:after="0"/>
              <w:jc w:val="right"/>
              <w:rPr>
                <w:sz w:val="12"/>
                <w:szCs w:val="12"/>
                <w:lang w:val="fr-BE"/>
              </w:rPr>
            </w:pPr>
          </w:p>
        </w:tc>
        <w:tc>
          <w:tcPr>
            <w:tcW w:w="0" w:type="auto"/>
            <w:shd w:val="clear" w:color="auto" w:fill="auto"/>
          </w:tcPr>
          <w:p w14:paraId="76297976" w14:textId="77777777" w:rsidR="008C5CFA" w:rsidRPr="00BA47B4" w:rsidRDefault="008C5CFA" w:rsidP="00300A01">
            <w:pPr>
              <w:spacing w:before="0" w:after="0"/>
              <w:jc w:val="right"/>
              <w:rPr>
                <w:sz w:val="12"/>
                <w:szCs w:val="12"/>
                <w:lang w:val="fr-BE"/>
              </w:rPr>
            </w:pPr>
          </w:p>
        </w:tc>
        <w:tc>
          <w:tcPr>
            <w:tcW w:w="0" w:type="auto"/>
            <w:shd w:val="clear" w:color="auto" w:fill="auto"/>
          </w:tcPr>
          <w:p w14:paraId="3025ABCA" w14:textId="77777777" w:rsidR="008C5CFA" w:rsidRPr="00BA47B4" w:rsidRDefault="008C5CFA" w:rsidP="00300A01">
            <w:pPr>
              <w:spacing w:before="0" w:after="0"/>
              <w:jc w:val="right"/>
              <w:rPr>
                <w:sz w:val="12"/>
                <w:szCs w:val="12"/>
                <w:lang w:val="fr-BE"/>
              </w:rPr>
            </w:pPr>
          </w:p>
        </w:tc>
        <w:tc>
          <w:tcPr>
            <w:tcW w:w="0" w:type="auto"/>
            <w:shd w:val="clear" w:color="auto" w:fill="auto"/>
          </w:tcPr>
          <w:p w14:paraId="303C2B0B" w14:textId="77777777" w:rsidR="008C5CFA" w:rsidRPr="00BA47B4" w:rsidRDefault="00E82A60" w:rsidP="00300A01">
            <w:pPr>
              <w:spacing w:before="0" w:after="0"/>
              <w:jc w:val="right"/>
              <w:rPr>
                <w:sz w:val="12"/>
                <w:szCs w:val="12"/>
                <w:lang w:val="fr-BE"/>
              </w:rPr>
            </w:pPr>
            <w:r w:rsidRPr="00BA47B4">
              <w:rPr>
                <w:noProof/>
                <w:sz w:val="12"/>
                <w:szCs w:val="12"/>
                <w:lang w:val="fr-BE"/>
              </w:rPr>
              <w:t>16,00</w:t>
            </w:r>
          </w:p>
        </w:tc>
        <w:tc>
          <w:tcPr>
            <w:tcW w:w="0" w:type="auto"/>
            <w:shd w:val="clear" w:color="auto" w:fill="auto"/>
          </w:tcPr>
          <w:p w14:paraId="0F4C037D" w14:textId="77777777" w:rsidR="008C5CFA" w:rsidRPr="00BA47B4" w:rsidRDefault="00E82A60" w:rsidP="00300A01">
            <w:pPr>
              <w:spacing w:before="0" w:after="0"/>
              <w:jc w:val="right"/>
              <w:rPr>
                <w:sz w:val="12"/>
                <w:szCs w:val="12"/>
                <w:lang w:val="fr-BE"/>
              </w:rPr>
            </w:pPr>
            <w:r w:rsidRPr="00BA47B4">
              <w:rPr>
                <w:noProof/>
                <w:sz w:val="12"/>
                <w:szCs w:val="12"/>
                <w:lang w:val="fr-BE"/>
              </w:rPr>
              <w:t>7,00</w:t>
            </w:r>
          </w:p>
        </w:tc>
        <w:tc>
          <w:tcPr>
            <w:tcW w:w="0" w:type="auto"/>
            <w:shd w:val="clear" w:color="auto" w:fill="auto"/>
          </w:tcPr>
          <w:p w14:paraId="722E989D" w14:textId="77777777" w:rsidR="008C5CFA" w:rsidRPr="00BA47B4" w:rsidRDefault="00E82A60" w:rsidP="00300A01">
            <w:pPr>
              <w:spacing w:before="0" w:after="0"/>
              <w:jc w:val="right"/>
              <w:rPr>
                <w:sz w:val="12"/>
                <w:szCs w:val="12"/>
                <w:lang w:val="fr-BE"/>
              </w:rPr>
            </w:pPr>
            <w:r w:rsidRPr="00BA47B4">
              <w:rPr>
                <w:noProof/>
                <w:sz w:val="12"/>
                <w:szCs w:val="12"/>
                <w:lang w:val="fr-BE"/>
              </w:rPr>
              <w:t>9,00</w:t>
            </w:r>
          </w:p>
        </w:tc>
        <w:tc>
          <w:tcPr>
            <w:tcW w:w="0" w:type="auto"/>
            <w:shd w:val="clear" w:color="auto" w:fill="auto"/>
          </w:tcPr>
          <w:p w14:paraId="00A1C6CF" w14:textId="77777777" w:rsidR="008C5CFA" w:rsidRPr="00BA47B4" w:rsidRDefault="008C5CFA" w:rsidP="00300A01">
            <w:pPr>
              <w:spacing w:before="0" w:after="0"/>
              <w:jc w:val="right"/>
              <w:rPr>
                <w:sz w:val="12"/>
                <w:szCs w:val="12"/>
                <w:lang w:val="fr-BE"/>
              </w:rPr>
            </w:pPr>
          </w:p>
        </w:tc>
        <w:tc>
          <w:tcPr>
            <w:tcW w:w="0" w:type="auto"/>
            <w:shd w:val="clear" w:color="auto" w:fill="auto"/>
          </w:tcPr>
          <w:p w14:paraId="5954ABC5" w14:textId="77777777" w:rsidR="008C5CFA" w:rsidRPr="00BA47B4" w:rsidRDefault="008C5CFA" w:rsidP="00300A01">
            <w:pPr>
              <w:spacing w:before="0" w:after="0"/>
              <w:jc w:val="right"/>
              <w:rPr>
                <w:sz w:val="12"/>
                <w:szCs w:val="12"/>
                <w:lang w:val="fr-BE"/>
              </w:rPr>
            </w:pPr>
          </w:p>
        </w:tc>
        <w:tc>
          <w:tcPr>
            <w:tcW w:w="0" w:type="auto"/>
            <w:shd w:val="clear" w:color="auto" w:fill="auto"/>
          </w:tcPr>
          <w:p w14:paraId="204E83BB" w14:textId="77777777" w:rsidR="008C5CFA" w:rsidRPr="00BA47B4" w:rsidRDefault="008C5CFA" w:rsidP="00300A01">
            <w:pPr>
              <w:spacing w:before="0" w:after="0"/>
              <w:jc w:val="right"/>
              <w:rPr>
                <w:sz w:val="12"/>
                <w:szCs w:val="12"/>
                <w:lang w:val="fr-BE"/>
              </w:rPr>
            </w:pPr>
          </w:p>
        </w:tc>
        <w:tc>
          <w:tcPr>
            <w:tcW w:w="0" w:type="auto"/>
            <w:shd w:val="clear" w:color="auto" w:fill="auto"/>
          </w:tcPr>
          <w:p w14:paraId="7F204FBB"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159FBEFC"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r>
      <w:tr w:rsidR="006B2EC1" w14:paraId="3D085B4B" w14:textId="77777777" w:rsidTr="0047688D">
        <w:tc>
          <w:tcPr>
            <w:tcW w:w="0" w:type="auto"/>
            <w:shd w:val="clear" w:color="auto" w:fill="auto"/>
          </w:tcPr>
          <w:p w14:paraId="257FE3B3" w14:textId="77777777" w:rsidR="008C5CFA" w:rsidRPr="00BA47B4" w:rsidRDefault="00E82A60" w:rsidP="00300A01">
            <w:pPr>
              <w:spacing w:before="0" w:after="0"/>
              <w:rPr>
                <w:sz w:val="12"/>
                <w:szCs w:val="12"/>
                <w:lang w:val="fr-BE"/>
              </w:rPr>
            </w:pPr>
            <w:r w:rsidRPr="00BA47B4">
              <w:rPr>
                <w:noProof/>
                <w:sz w:val="12"/>
                <w:szCs w:val="12"/>
                <w:lang w:val="fr-BE"/>
              </w:rPr>
              <w:t>CR09</w:t>
            </w:r>
          </w:p>
        </w:tc>
        <w:tc>
          <w:tcPr>
            <w:tcW w:w="0" w:type="auto"/>
            <w:shd w:val="clear" w:color="auto" w:fill="auto"/>
          </w:tcPr>
          <w:p w14:paraId="364F0AFE" w14:textId="77777777" w:rsidR="008C5CFA" w:rsidRPr="00BA47B4" w:rsidRDefault="00E82A60" w:rsidP="00300A01">
            <w:pPr>
              <w:spacing w:before="0" w:after="0"/>
              <w:rPr>
                <w:sz w:val="12"/>
                <w:szCs w:val="12"/>
                <w:lang w:val="fr-BE"/>
              </w:rPr>
            </w:pPr>
            <w:r w:rsidRPr="00BA47B4">
              <w:rPr>
                <w:noProof/>
                <w:sz w:val="12"/>
                <w:szCs w:val="12"/>
                <w:lang w:val="fr-BE"/>
              </w:rPr>
              <w:t>uczestnicy w niekorzystnej sytuacji społecznej, pracujący, łącznie z prowadzącymi działalność na własny rachunek, sześć miesięcy po opuszczeniu programu</w:t>
            </w:r>
          </w:p>
        </w:tc>
        <w:tc>
          <w:tcPr>
            <w:tcW w:w="0" w:type="auto"/>
            <w:shd w:val="clear" w:color="auto" w:fill="auto"/>
          </w:tcPr>
          <w:p w14:paraId="11657842" w14:textId="77777777" w:rsidR="008C5CFA" w:rsidRPr="00BA47B4" w:rsidRDefault="00E82A60" w:rsidP="00300A01">
            <w:pPr>
              <w:spacing w:before="0" w:after="0"/>
              <w:rPr>
                <w:sz w:val="12"/>
                <w:szCs w:val="12"/>
                <w:lang w:val="fr-BE"/>
              </w:rPr>
            </w:pPr>
            <w:r w:rsidRPr="00BA47B4">
              <w:rPr>
                <w:noProof/>
                <w:sz w:val="12"/>
                <w:szCs w:val="12"/>
                <w:lang w:val="fr-BE"/>
              </w:rPr>
              <w:t>Słabiej rozwinięte</w:t>
            </w:r>
          </w:p>
        </w:tc>
        <w:tc>
          <w:tcPr>
            <w:tcW w:w="0" w:type="auto"/>
            <w:shd w:val="clear" w:color="auto" w:fill="auto"/>
          </w:tcPr>
          <w:p w14:paraId="7CC3487A" w14:textId="77777777" w:rsidR="008C5CFA" w:rsidRPr="00BA47B4" w:rsidRDefault="00E82A60" w:rsidP="00300A01">
            <w:pPr>
              <w:spacing w:before="0" w:after="0"/>
              <w:rPr>
                <w:sz w:val="12"/>
                <w:szCs w:val="12"/>
                <w:lang w:val="fr-BE"/>
              </w:rPr>
            </w:pPr>
            <w:r w:rsidRPr="00BA47B4">
              <w:rPr>
                <w:sz w:val="12"/>
                <w:szCs w:val="12"/>
                <w:lang w:val="fr-BE"/>
              </w:rPr>
              <w:t xml:space="preserve"> </w:t>
            </w:r>
          </w:p>
        </w:tc>
        <w:tc>
          <w:tcPr>
            <w:tcW w:w="0" w:type="auto"/>
            <w:shd w:val="clear" w:color="auto" w:fill="auto"/>
          </w:tcPr>
          <w:p w14:paraId="6AC05B9E" w14:textId="77777777" w:rsidR="008C5CFA" w:rsidRPr="00BA47B4" w:rsidRDefault="008C5CFA" w:rsidP="00300A01">
            <w:pPr>
              <w:spacing w:before="0" w:after="0"/>
              <w:jc w:val="center"/>
              <w:rPr>
                <w:sz w:val="12"/>
                <w:szCs w:val="12"/>
                <w:lang w:val="fr-BE"/>
              </w:rPr>
            </w:pPr>
          </w:p>
        </w:tc>
        <w:tc>
          <w:tcPr>
            <w:tcW w:w="0" w:type="auto"/>
            <w:shd w:val="clear" w:color="auto" w:fill="auto"/>
          </w:tcPr>
          <w:p w14:paraId="70879A6E" w14:textId="77777777" w:rsidR="008C5CFA" w:rsidRPr="00BA47B4" w:rsidRDefault="008C5CFA" w:rsidP="00300A01">
            <w:pPr>
              <w:spacing w:before="0" w:after="0"/>
              <w:jc w:val="right"/>
              <w:rPr>
                <w:sz w:val="12"/>
                <w:szCs w:val="12"/>
                <w:lang w:val="fr-BE"/>
              </w:rPr>
            </w:pPr>
          </w:p>
        </w:tc>
        <w:tc>
          <w:tcPr>
            <w:tcW w:w="0" w:type="auto"/>
            <w:shd w:val="clear" w:color="auto" w:fill="auto"/>
          </w:tcPr>
          <w:p w14:paraId="1D3C6C98" w14:textId="77777777" w:rsidR="008C5CFA" w:rsidRPr="00BA47B4" w:rsidRDefault="008C5CFA" w:rsidP="00300A01">
            <w:pPr>
              <w:spacing w:before="0" w:after="0"/>
              <w:jc w:val="right"/>
              <w:rPr>
                <w:sz w:val="12"/>
                <w:szCs w:val="12"/>
                <w:lang w:val="fr-BE"/>
              </w:rPr>
            </w:pPr>
          </w:p>
        </w:tc>
        <w:tc>
          <w:tcPr>
            <w:tcW w:w="0" w:type="auto"/>
            <w:shd w:val="clear" w:color="auto" w:fill="auto"/>
          </w:tcPr>
          <w:p w14:paraId="321EB5CC" w14:textId="77777777" w:rsidR="008C5CFA" w:rsidRPr="00BA47B4" w:rsidRDefault="008C5CFA" w:rsidP="00300A01">
            <w:pPr>
              <w:spacing w:before="0" w:after="0"/>
              <w:jc w:val="right"/>
              <w:rPr>
                <w:sz w:val="12"/>
                <w:szCs w:val="12"/>
                <w:lang w:val="fr-BE"/>
              </w:rPr>
            </w:pPr>
          </w:p>
        </w:tc>
        <w:tc>
          <w:tcPr>
            <w:tcW w:w="0" w:type="auto"/>
            <w:shd w:val="clear" w:color="auto" w:fill="auto"/>
          </w:tcPr>
          <w:p w14:paraId="5F311DE3" w14:textId="77777777" w:rsidR="008C5CFA" w:rsidRPr="00BA47B4" w:rsidRDefault="00E82A60" w:rsidP="00300A01">
            <w:pPr>
              <w:spacing w:before="0" w:after="0"/>
              <w:jc w:val="right"/>
              <w:rPr>
                <w:sz w:val="12"/>
                <w:szCs w:val="12"/>
                <w:lang w:val="fr-BE"/>
              </w:rPr>
            </w:pPr>
            <w:r w:rsidRPr="00BA47B4">
              <w:rPr>
                <w:noProof/>
                <w:sz w:val="12"/>
                <w:szCs w:val="12"/>
                <w:lang w:val="fr-BE"/>
              </w:rPr>
              <w:t>91,00</w:t>
            </w:r>
          </w:p>
        </w:tc>
        <w:tc>
          <w:tcPr>
            <w:tcW w:w="0" w:type="auto"/>
            <w:shd w:val="clear" w:color="auto" w:fill="auto"/>
          </w:tcPr>
          <w:p w14:paraId="7A5471F1" w14:textId="77777777" w:rsidR="008C5CFA" w:rsidRPr="00BA47B4" w:rsidRDefault="00E82A60" w:rsidP="00300A01">
            <w:pPr>
              <w:spacing w:before="0" w:after="0"/>
              <w:jc w:val="right"/>
              <w:rPr>
                <w:sz w:val="12"/>
                <w:szCs w:val="12"/>
                <w:lang w:val="fr-BE"/>
              </w:rPr>
            </w:pPr>
            <w:r w:rsidRPr="00BA47B4">
              <w:rPr>
                <w:noProof/>
                <w:sz w:val="12"/>
                <w:szCs w:val="12"/>
                <w:lang w:val="fr-BE"/>
              </w:rPr>
              <w:t>25,00</w:t>
            </w:r>
          </w:p>
        </w:tc>
        <w:tc>
          <w:tcPr>
            <w:tcW w:w="0" w:type="auto"/>
            <w:shd w:val="clear" w:color="auto" w:fill="auto"/>
          </w:tcPr>
          <w:p w14:paraId="14A41AA5" w14:textId="77777777" w:rsidR="008C5CFA" w:rsidRPr="00BA47B4" w:rsidRDefault="00E82A60" w:rsidP="00300A01">
            <w:pPr>
              <w:spacing w:before="0" w:after="0"/>
              <w:jc w:val="right"/>
              <w:rPr>
                <w:sz w:val="12"/>
                <w:szCs w:val="12"/>
                <w:lang w:val="fr-BE"/>
              </w:rPr>
            </w:pPr>
            <w:r w:rsidRPr="00BA47B4">
              <w:rPr>
                <w:noProof/>
                <w:sz w:val="12"/>
                <w:szCs w:val="12"/>
                <w:lang w:val="fr-BE"/>
              </w:rPr>
              <w:t>66,00</w:t>
            </w:r>
          </w:p>
        </w:tc>
        <w:tc>
          <w:tcPr>
            <w:tcW w:w="0" w:type="auto"/>
            <w:shd w:val="clear" w:color="auto" w:fill="auto"/>
          </w:tcPr>
          <w:p w14:paraId="769EFB96" w14:textId="77777777" w:rsidR="008C5CFA" w:rsidRPr="00BA47B4" w:rsidRDefault="008C5CFA" w:rsidP="00300A01">
            <w:pPr>
              <w:spacing w:before="0" w:after="0"/>
              <w:jc w:val="right"/>
              <w:rPr>
                <w:sz w:val="12"/>
                <w:szCs w:val="12"/>
                <w:lang w:val="fr-BE"/>
              </w:rPr>
            </w:pPr>
          </w:p>
        </w:tc>
        <w:tc>
          <w:tcPr>
            <w:tcW w:w="0" w:type="auto"/>
            <w:shd w:val="clear" w:color="auto" w:fill="auto"/>
          </w:tcPr>
          <w:p w14:paraId="4C26ACEA" w14:textId="77777777" w:rsidR="008C5CFA" w:rsidRPr="00BA47B4" w:rsidRDefault="008C5CFA" w:rsidP="00300A01">
            <w:pPr>
              <w:spacing w:before="0" w:after="0"/>
              <w:jc w:val="right"/>
              <w:rPr>
                <w:sz w:val="12"/>
                <w:szCs w:val="12"/>
                <w:lang w:val="fr-BE"/>
              </w:rPr>
            </w:pPr>
          </w:p>
        </w:tc>
        <w:tc>
          <w:tcPr>
            <w:tcW w:w="0" w:type="auto"/>
            <w:shd w:val="clear" w:color="auto" w:fill="auto"/>
          </w:tcPr>
          <w:p w14:paraId="02C47DEE" w14:textId="77777777" w:rsidR="008C5CFA" w:rsidRPr="00BA47B4" w:rsidRDefault="008C5CFA" w:rsidP="00300A01">
            <w:pPr>
              <w:spacing w:before="0" w:after="0"/>
              <w:jc w:val="right"/>
              <w:rPr>
                <w:sz w:val="12"/>
                <w:szCs w:val="12"/>
                <w:lang w:val="fr-BE"/>
              </w:rPr>
            </w:pPr>
          </w:p>
        </w:tc>
        <w:tc>
          <w:tcPr>
            <w:tcW w:w="0" w:type="auto"/>
            <w:shd w:val="clear" w:color="auto" w:fill="auto"/>
          </w:tcPr>
          <w:p w14:paraId="471FBCAC"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2795E895"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r>
    </w:tbl>
    <w:p w14:paraId="04A32ACF" w14:textId="77777777" w:rsidR="008C5CFA" w:rsidRDefault="008C5CFA" w:rsidP="00300A01">
      <w:pPr>
        <w:keepNext/>
        <w:spacing w:before="0" w:after="0"/>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37"/>
        <w:gridCol w:w="8668"/>
        <w:gridCol w:w="884"/>
        <w:gridCol w:w="596"/>
        <w:gridCol w:w="463"/>
        <w:gridCol w:w="596"/>
        <w:gridCol w:w="463"/>
        <w:gridCol w:w="596"/>
        <w:gridCol w:w="463"/>
        <w:gridCol w:w="596"/>
        <w:gridCol w:w="463"/>
        <w:gridCol w:w="596"/>
        <w:gridCol w:w="463"/>
      </w:tblGrid>
      <w:tr w:rsidR="006B2EC1" w14:paraId="0F908BA6" w14:textId="77777777" w:rsidTr="0047688D">
        <w:trPr>
          <w:tblHeader/>
        </w:trPr>
        <w:tc>
          <w:tcPr>
            <w:tcW w:w="0" w:type="auto"/>
            <w:shd w:val="clear" w:color="auto" w:fill="auto"/>
          </w:tcPr>
          <w:p w14:paraId="02AE0385" w14:textId="77777777" w:rsidR="008C5CFA" w:rsidRPr="00F53019" w:rsidRDefault="00E82A60" w:rsidP="00300A01">
            <w:pPr>
              <w:spacing w:before="0" w:after="0"/>
              <w:rPr>
                <w:b/>
                <w:sz w:val="12"/>
                <w:szCs w:val="12"/>
                <w:lang w:val="fr-BE"/>
              </w:rPr>
            </w:pPr>
            <w:r w:rsidRPr="00F53019">
              <w:rPr>
                <w:b/>
                <w:noProof/>
                <w:sz w:val="12"/>
                <w:szCs w:val="12"/>
                <w:lang w:val="fr-BE"/>
              </w:rPr>
              <w:t>ID</w:t>
            </w:r>
          </w:p>
        </w:tc>
        <w:tc>
          <w:tcPr>
            <w:tcW w:w="0" w:type="auto"/>
            <w:shd w:val="clear" w:color="auto" w:fill="auto"/>
          </w:tcPr>
          <w:p w14:paraId="68C9C142" w14:textId="77777777" w:rsidR="008C5CFA" w:rsidRPr="00F53019" w:rsidRDefault="00E82A60" w:rsidP="00300A01">
            <w:pPr>
              <w:spacing w:before="0" w:after="0"/>
              <w:rPr>
                <w:b/>
                <w:sz w:val="12"/>
                <w:szCs w:val="12"/>
                <w:lang w:val="fr-BE"/>
              </w:rPr>
            </w:pPr>
            <w:r w:rsidRPr="00F53019">
              <w:rPr>
                <w:b/>
                <w:noProof/>
                <w:sz w:val="12"/>
                <w:szCs w:val="12"/>
                <w:lang w:val="fr-BE"/>
              </w:rPr>
              <w:t>Wskaźnik</w:t>
            </w:r>
          </w:p>
        </w:tc>
        <w:tc>
          <w:tcPr>
            <w:tcW w:w="0" w:type="auto"/>
            <w:shd w:val="clear" w:color="auto" w:fill="auto"/>
          </w:tcPr>
          <w:p w14:paraId="1F07E6CF" w14:textId="77777777" w:rsidR="008C5CFA" w:rsidRPr="00F53019" w:rsidRDefault="00E82A60" w:rsidP="00300A01">
            <w:pPr>
              <w:spacing w:before="0" w:after="0"/>
              <w:rPr>
                <w:b/>
                <w:sz w:val="12"/>
                <w:szCs w:val="12"/>
                <w:lang w:val="fr-BE"/>
              </w:rPr>
            </w:pPr>
            <w:r w:rsidRPr="00F53019">
              <w:rPr>
                <w:b/>
                <w:noProof/>
                <w:sz w:val="12"/>
                <w:szCs w:val="12"/>
                <w:lang w:val="fr-BE"/>
              </w:rPr>
              <w:t>Kategoria regionu</w:t>
            </w:r>
          </w:p>
        </w:tc>
        <w:tc>
          <w:tcPr>
            <w:tcW w:w="0" w:type="auto"/>
            <w:gridSpan w:val="2"/>
          </w:tcPr>
          <w:p w14:paraId="0D2E57E9" w14:textId="77777777" w:rsidR="008C5CFA" w:rsidRPr="00F53019" w:rsidRDefault="00E82A60" w:rsidP="00300A01">
            <w:pPr>
              <w:spacing w:before="0" w:after="0"/>
              <w:jc w:val="center"/>
              <w:rPr>
                <w:b/>
                <w:sz w:val="12"/>
                <w:szCs w:val="12"/>
                <w:lang w:val="fr-BE"/>
              </w:rPr>
            </w:pPr>
            <w:r>
              <w:rPr>
                <w:b/>
                <w:sz w:val="12"/>
                <w:szCs w:val="12"/>
                <w:lang w:val="fr-BE"/>
              </w:rPr>
              <w:t>2018</w:t>
            </w:r>
          </w:p>
        </w:tc>
        <w:tc>
          <w:tcPr>
            <w:tcW w:w="0" w:type="auto"/>
            <w:gridSpan w:val="2"/>
          </w:tcPr>
          <w:p w14:paraId="45EF4EC6" w14:textId="77777777" w:rsidR="008C5CFA" w:rsidRPr="00F53019" w:rsidRDefault="00E82A60" w:rsidP="00300A01">
            <w:pPr>
              <w:spacing w:before="0" w:after="0"/>
              <w:jc w:val="center"/>
              <w:rPr>
                <w:b/>
                <w:sz w:val="12"/>
                <w:szCs w:val="12"/>
                <w:lang w:val="fr-BE"/>
              </w:rPr>
            </w:pPr>
            <w:r>
              <w:rPr>
                <w:b/>
                <w:sz w:val="12"/>
                <w:szCs w:val="12"/>
                <w:lang w:val="fr-BE"/>
              </w:rPr>
              <w:t>2017</w:t>
            </w:r>
          </w:p>
        </w:tc>
        <w:tc>
          <w:tcPr>
            <w:tcW w:w="0" w:type="auto"/>
            <w:gridSpan w:val="2"/>
          </w:tcPr>
          <w:p w14:paraId="08ADE690" w14:textId="77777777" w:rsidR="008C5CFA" w:rsidRPr="00F53019" w:rsidRDefault="00E82A60" w:rsidP="00300A01">
            <w:pPr>
              <w:spacing w:before="0" w:after="0"/>
              <w:jc w:val="center"/>
              <w:rPr>
                <w:b/>
                <w:sz w:val="12"/>
                <w:szCs w:val="12"/>
                <w:lang w:val="fr-BE"/>
              </w:rPr>
            </w:pPr>
            <w:r>
              <w:rPr>
                <w:b/>
                <w:sz w:val="12"/>
                <w:szCs w:val="12"/>
                <w:lang w:val="fr-BE"/>
              </w:rPr>
              <w:t>2016</w:t>
            </w:r>
          </w:p>
        </w:tc>
        <w:tc>
          <w:tcPr>
            <w:tcW w:w="0" w:type="auto"/>
            <w:gridSpan w:val="2"/>
          </w:tcPr>
          <w:p w14:paraId="1272D39E" w14:textId="77777777" w:rsidR="008C5CFA" w:rsidRPr="00F53019" w:rsidRDefault="00E82A60" w:rsidP="00300A01">
            <w:pPr>
              <w:spacing w:before="0" w:after="0"/>
              <w:jc w:val="center"/>
              <w:rPr>
                <w:b/>
                <w:sz w:val="12"/>
                <w:szCs w:val="12"/>
                <w:lang w:val="fr-BE"/>
              </w:rPr>
            </w:pPr>
            <w:r>
              <w:rPr>
                <w:b/>
                <w:sz w:val="12"/>
                <w:szCs w:val="12"/>
                <w:lang w:val="fr-BE"/>
              </w:rPr>
              <w:t>2015</w:t>
            </w:r>
          </w:p>
        </w:tc>
        <w:tc>
          <w:tcPr>
            <w:tcW w:w="0" w:type="auto"/>
            <w:gridSpan w:val="2"/>
            <w:shd w:val="clear" w:color="auto" w:fill="auto"/>
          </w:tcPr>
          <w:p w14:paraId="5A2D1BCE" w14:textId="77777777" w:rsidR="008C5CFA" w:rsidRPr="00F53019" w:rsidRDefault="00E82A60" w:rsidP="00300A01">
            <w:pPr>
              <w:spacing w:before="0" w:after="0"/>
              <w:jc w:val="center"/>
              <w:rPr>
                <w:b/>
                <w:sz w:val="12"/>
                <w:szCs w:val="12"/>
                <w:lang w:val="fr-BE"/>
              </w:rPr>
            </w:pPr>
            <w:r>
              <w:rPr>
                <w:b/>
                <w:sz w:val="12"/>
                <w:szCs w:val="12"/>
                <w:lang w:val="fr-BE"/>
              </w:rPr>
              <w:t>2014</w:t>
            </w:r>
          </w:p>
        </w:tc>
      </w:tr>
      <w:tr w:rsidR="006B2EC1" w14:paraId="2A14F633" w14:textId="77777777" w:rsidTr="0047688D">
        <w:trPr>
          <w:tblHeader/>
        </w:trPr>
        <w:tc>
          <w:tcPr>
            <w:tcW w:w="0" w:type="auto"/>
            <w:shd w:val="clear" w:color="auto" w:fill="auto"/>
          </w:tcPr>
          <w:p w14:paraId="374A22AB" w14:textId="77777777" w:rsidR="008C5CFA" w:rsidRPr="00F53019" w:rsidRDefault="008C5CFA" w:rsidP="00300A01">
            <w:pPr>
              <w:spacing w:before="0" w:after="0"/>
              <w:rPr>
                <w:b/>
                <w:sz w:val="12"/>
                <w:szCs w:val="12"/>
                <w:lang w:val="fr-BE"/>
              </w:rPr>
            </w:pPr>
          </w:p>
        </w:tc>
        <w:tc>
          <w:tcPr>
            <w:tcW w:w="0" w:type="auto"/>
            <w:shd w:val="clear" w:color="auto" w:fill="auto"/>
          </w:tcPr>
          <w:p w14:paraId="3220B8EA" w14:textId="77777777" w:rsidR="008C5CFA" w:rsidRPr="00F53019" w:rsidRDefault="008C5CFA" w:rsidP="00300A01">
            <w:pPr>
              <w:spacing w:before="0" w:after="0"/>
              <w:rPr>
                <w:b/>
                <w:sz w:val="12"/>
                <w:szCs w:val="12"/>
                <w:lang w:val="fr-BE"/>
              </w:rPr>
            </w:pPr>
          </w:p>
        </w:tc>
        <w:tc>
          <w:tcPr>
            <w:tcW w:w="0" w:type="auto"/>
            <w:shd w:val="clear" w:color="auto" w:fill="auto"/>
          </w:tcPr>
          <w:p w14:paraId="2C62A4BA" w14:textId="77777777" w:rsidR="008C5CFA" w:rsidRPr="00F53019" w:rsidRDefault="008C5CFA" w:rsidP="00300A01">
            <w:pPr>
              <w:spacing w:before="0" w:after="0"/>
              <w:rPr>
                <w:b/>
                <w:sz w:val="12"/>
                <w:szCs w:val="12"/>
                <w:lang w:val="fr-BE"/>
              </w:rPr>
            </w:pPr>
          </w:p>
        </w:tc>
        <w:tc>
          <w:tcPr>
            <w:tcW w:w="0" w:type="auto"/>
          </w:tcPr>
          <w:p w14:paraId="5F56447E" w14:textId="77777777" w:rsidR="008C5CFA" w:rsidRPr="00F53019" w:rsidRDefault="00E82A60" w:rsidP="00300A01">
            <w:pPr>
              <w:spacing w:before="0" w:after="0"/>
              <w:jc w:val="center"/>
              <w:rPr>
                <w:b/>
                <w:sz w:val="12"/>
                <w:szCs w:val="12"/>
                <w:lang w:val="fr-BE"/>
              </w:rPr>
            </w:pPr>
            <w:r w:rsidRPr="00F53019">
              <w:rPr>
                <w:b/>
                <w:noProof/>
                <w:sz w:val="12"/>
                <w:szCs w:val="12"/>
                <w:lang w:val="fr-BE"/>
              </w:rPr>
              <w:t>Mężczyźni</w:t>
            </w:r>
          </w:p>
        </w:tc>
        <w:tc>
          <w:tcPr>
            <w:tcW w:w="0" w:type="auto"/>
          </w:tcPr>
          <w:p w14:paraId="0B8E7636" w14:textId="77777777" w:rsidR="008C5CFA" w:rsidRPr="00F53019" w:rsidRDefault="00E82A60" w:rsidP="00300A01">
            <w:pPr>
              <w:spacing w:before="0" w:after="0"/>
              <w:jc w:val="center"/>
              <w:rPr>
                <w:b/>
                <w:sz w:val="12"/>
                <w:szCs w:val="12"/>
                <w:lang w:val="fr-BE"/>
              </w:rPr>
            </w:pPr>
            <w:r w:rsidRPr="00F53019">
              <w:rPr>
                <w:b/>
                <w:noProof/>
                <w:sz w:val="12"/>
                <w:szCs w:val="12"/>
                <w:lang w:val="fr-BE"/>
              </w:rPr>
              <w:t>Kobiety</w:t>
            </w:r>
          </w:p>
        </w:tc>
        <w:tc>
          <w:tcPr>
            <w:tcW w:w="0" w:type="auto"/>
          </w:tcPr>
          <w:p w14:paraId="7359A053" w14:textId="77777777" w:rsidR="008C5CFA" w:rsidRPr="00F53019" w:rsidRDefault="00E82A60" w:rsidP="00300A01">
            <w:pPr>
              <w:spacing w:before="0" w:after="0"/>
              <w:jc w:val="center"/>
              <w:rPr>
                <w:b/>
                <w:sz w:val="12"/>
                <w:szCs w:val="12"/>
                <w:lang w:val="fr-BE"/>
              </w:rPr>
            </w:pPr>
            <w:r w:rsidRPr="00F53019">
              <w:rPr>
                <w:b/>
                <w:noProof/>
                <w:sz w:val="12"/>
                <w:szCs w:val="12"/>
                <w:lang w:val="fr-BE"/>
              </w:rPr>
              <w:t>Mężczyźni</w:t>
            </w:r>
          </w:p>
        </w:tc>
        <w:tc>
          <w:tcPr>
            <w:tcW w:w="0" w:type="auto"/>
          </w:tcPr>
          <w:p w14:paraId="50687E85" w14:textId="77777777" w:rsidR="008C5CFA" w:rsidRPr="00F53019" w:rsidRDefault="00E82A60" w:rsidP="00300A01">
            <w:pPr>
              <w:spacing w:before="0" w:after="0"/>
              <w:jc w:val="center"/>
              <w:rPr>
                <w:b/>
                <w:sz w:val="12"/>
                <w:szCs w:val="12"/>
                <w:lang w:val="fr-BE"/>
              </w:rPr>
            </w:pPr>
            <w:r w:rsidRPr="00F53019">
              <w:rPr>
                <w:b/>
                <w:noProof/>
                <w:sz w:val="12"/>
                <w:szCs w:val="12"/>
                <w:lang w:val="fr-BE"/>
              </w:rPr>
              <w:t>Kobiety</w:t>
            </w:r>
          </w:p>
        </w:tc>
        <w:tc>
          <w:tcPr>
            <w:tcW w:w="0" w:type="auto"/>
          </w:tcPr>
          <w:p w14:paraId="53CAA396" w14:textId="77777777" w:rsidR="008C5CFA" w:rsidRPr="00F53019" w:rsidRDefault="00E82A60" w:rsidP="00300A01">
            <w:pPr>
              <w:spacing w:before="0" w:after="0"/>
              <w:jc w:val="center"/>
              <w:rPr>
                <w:b/>
                <w:sz w:val="12"/>
                <w:szCs w:val="12"/>
                <w:lang w:val="fr-BE"/>
              </w:rPr>
            </w:pPr>
            <w:r w:rsidRPr="00F53019">
              <w:rPr>
                <w:b/>
                <w:noProof/>
                <w:sz w:val="12"/>
                <w:szCs w:val="12"/>
                <w:lang w:val="fr-BE"/>
              </w:rPr>
              <w:t>Mężczyźni</w:t>
            </w:r>
          </w:p>
        </w:tc>
        <w:tc>
          <w:tcPr>
            <w:tcW w:w="0" w:type="auto"/>
          </w:tcPr>
          <w:p w14:paraId="1FF28138" w14:textId="77777777" w:rsidR="008C5CFA" w:rsidRPr="00F53019" w:rsidRDefault="00E82A60" w:rsidP="00300A01">
            <w:pPr>
              <w:spacing w:before="0" w:after="0"/>
              <w:jc w:val="center"/>
              <w:rPr>
                <w:b/>
                <w:sz w:val="12"/>
                <w:szCs w:val="12"/>
                <w:lang w:val="fr-BE"/>
              </w:rPr>
            </w:pPr>
            <w:r w:rsidRPr="00F53019">
              <w:rPr>
                <w:b/>
                <w:noProof/>
                <w:sz w:val="12"/>
                <w:szCs w:val="12"/>
                <w:lang w:val="fr-BE"/>
              </w:rPr>
              <w:t>Kobiety</w:t>
            </w:r>
          </w:p>
        </w:tc>
        <w:tc>
          <w:tcPr>
            <w:tcW w:w="0" w:type="auto"/>
          </w:tcPr>
          <w:p w14:paraId="3553FF03" w14:textId="77777777" w:rsidR="008C5CFA" w:rsidRPr="00F53019" w:rsidRDefault="00E82A60" w:rsidP="00300A01">
            <w:pPr>
              <w:spacing w:before="0" w:after="0"/>
              <w:jc w:val="center"/>
              <w:rPr>
                <w:b/>
                <w:sz w:val="12"/>
                <w:szCs w:val="12"/>
                <w:lang w:val="fr-BE"/>
              </w:rPr>
            </w:pPr>
            <w:r w:rsidRPr="00F53019">
              <w:rPr>
                <w:b/>
                <w:noProof/>
                <w:sz w:val="12"/>
                <w:szCs w:val="12"/>
                <w:lang w:val="fr-BE"/>
              </w:rPr>
              <w:t>Mężczyźni</w:t>
            </w:r>
          </w:p>
        </w:tc>
        <w:tc>
          <w:tcPr>
            <w:tcW w:w="0" w:type="auto"/>
          </w:tcPr>
          <w:p w14:paraId="726ADC5F" w14:textId="77777777" w:rsidR="008C5CFA" w:rsidRPr="00F53019" w:rsidRDefault="00E82A60" w:rsidP="00300A01">
            <w:pPr>
              <w:spacing w:before="0" w:after="0"/>
              <w:jc w:val="center"/>
              <w:rPr>
                <w:b/>
                <w:sz w:val="12"/>
                <w:szCs w:val="12"/>
                <w:lang w:val="fr-BE"/>
              </w:rPr>
            </w:pPr>
            <w:r w:rsidRPr="00F53019">
              <w:rPr>
                <w:b/>
                <w:noProof/>
                <w:sz w:val="12"/>
                <w:szCs w:val="12"/>
                <w:lang w:val="fr-BE"/>
              </w:rPr>
              <w:t>Kobiety</w:t>
            </w:r>
          </w:p>
        </w:tc>
        <w:tc>
          <w:tcPr>
            <w:tcW w:w="0" w:type="auto"/>
            <w:shd w:val="clear" w:color="auto" w:fill="auto"/>
          </w:tcPr>
          <w:p w14:paraId="089510E4" w14:textId="77777777" w:rsidR="008C5CFA" w:rsidRPr="00F53019" w:rsidRDefault="00E82A60"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14:paraId="59B5AF5A" w14:textId="77777777" w:rsidR="008C5CFA" w:rsidRPr="00F53019" w:rsidRDefault="00E82A60" w:rsidP="00300A01">
            <w:pPr>
              <w:spacing w:before="0" w:after="0"/>
              <w:jc w:val="center"/>
              <w:rPr>
                <w:b/>
                <w:sz w:val="12"/>
                <w:szCs w:val="12"/>
                <w:lang w:val="fr-BE"/>
              </w:rPr>
            </w:pPr>
            <w:r w:rsidRPr="00F53019">
              <w:rPr>
                <w:b/>
                <w:noProof/>
                <w:sz w:val="12"/>
                <w:szCs w:val="12"/>
                <w:lang w:val="fr-BE"/>
              </w:rPr>
              <w:t>Kobiety</w:t>
            </w:r>
          </w:p>
        </w:tc>
      </w:tr>
      <w:tr w:rsidR="006B2EC1" w14:paraId="1B549D9B" w14:textId="77777777" w:rsidTr="0047688D">
        <w:tc>
          <w:tcPr>
            <w:tcW w:w="0" w:type="auto"/>
            <w:shd w:val="clear" w:color="auto" w:fill="auto"/>
          </w:tcPr>
          <w:p w14:paraId="0135C897" w14:textId="77777777" w:rsidR="008C5CFA" w:rsidRPr="00BA47B4" w:rsidRDefault="00E82A60" w:rsidP="00300A01">
            <w:pPr>
              <w:spacing w:before="0" w:after="0"/>
              <w:rPr>
                <w:sz w:val="12"/>
                <w:szCs w:val="12"/>
                <w:lang w:val="fr-BE"/>
              </w:rPr>
            </w:pPr>
            <w:r w:rsidRPr="00BA47B4">
              <w:rPr>
                <w:noProof/>
                <w:sz w:val="12"/>
                <w:szCs w:val="12"/>
                <w:lang w:val="fr-BE"/>
              </w:rPr>
              <w:t>CR01</w:t>
            </w:r>
          </w:p>
        </w:tc>
        <w:tc>
          <w:tcPr>
            <w:tcW w:w="0" w:type="auto"/>
            <w:shd w:val="clear" w:color="auto" w:fill="auto"/>
          </w:tcPr>
          <w:p w14:paraId="075CF5F7" w14:textId="77777777" w:rsidR="008C5CFA" w:rsidRPr="00BA47B4" w:rsidRDefault="00E82A60" w:rsidP="00300A01">
            <w:pPr>
              <w:spacing w:before="0" w:after="0"/>
              <w:rPr>
                <w:sz w:val="12"/>
                <w:szCs w:val="12"/>
                <w:lang w:val="fr-BE"/>
              </w:rPr>
            </w:pPr>
            <w:r w:rsidRPr="00BA47B4">
              <w:rPr>
                <w:noProof/>
                <w:sz w:val="12"/>
                <w:szCs w:val="12"/>
                <w:lang w:val="fr-BE"/>
              </w:rPr>
              <w:t>bierni zawodowo uczestnicy poszukujący pracy po opuszczeniu programu</w:t>
            </w:r>
          </w:p>
        </w:tc>
        <w:tc>
          <w:tcPr>
            <w:tcW w:w="0" w:type="auto"/>
            <w:shd w:val="clear" w:color="auto" w:fill="auto"/>
          </w:tcPr>
          <w:p w14:paraId="1454C58C" w14:textId="77777777" w:rsidR="008C5CFA" w:rsidRPr="00BA47B4" w:rsidRDefault="00E82A60" w:rsidP="00300A01">
            <w:pPr>
              <w:spacing w:before="0" w:after="0"/>
              <w:rPr>
                <w:sz w:val="12"/>
                <w:szCs w:val="12"/>
                <w:lang w:val="fr-BE"/>
              </w:rPr>
            </w:pPr>
            <w:r w:rsidRPr="00BA47B4">
              <w:rPr>
                <w:noProof/>
                <w:sz w:val="12"/>
                <w:szCs w:val="12"/>
                <w:lang w:val="fr-BE"/>
              </w:rPr>
              <w:t>Słabiej rozwinięte</w:t>
            </w:r>
          </w:p>
        </w:tc>
        <w:tc>
          <w:tcPr>
            <w:tcW w:w="0" w:type="auto"/>
          </w:tcPr>
          <w:p w14:paraId="132B4F69" w14:textId="77777777" w:rsidR="008C5CFA" w:rsidRPr="00BA47B4" w:rsidRDefault="00E82A60" w:rsidP="00300A01">
            <w:pPr>
              <w:spacing w:before="0" w:after="0"/>
              <w:jc w:val="right"/>
              <w:rPr>
                <w:sz w:val="12"/>
                <w:szCs w:val="12"/>
                <w:lang w:val="fr-BE"/>
              </w:rPr>
            </w:pPr>
            <w:r w:rsidRPr="00BA47B4">
              <w:rPr>
                <w:noProof/>
                <w:sz w:val="12"/>
                <w:szCs w:val="12"/>
                <w:lang w:val="fr-BE"/>
              </w:rPr>
              <w:t>12,00</w:t>
            </w:r>
          </w:p>
        </w:tc>
        <w:tc>
          <w:tcPr>
            <w:tcW w:w="0" w:type="auto"/>
          </w:tcPr>
          <w:p w14:paraId="7F922C2C" w14:textId="77777777" w:rsidR="008C5CFA" w:rsidRPr="00BA47B4" w:rsidRDefault="00E82A60" w:rsidP="00300A01">
            <w:pPr>
              <w:spacing w:before="0" w:after="0"/>
              <w:jc w:val="right"/>
              <w:rPr>
                <w:sz w:val="12"/>
                <w:szCs w:val="12"/>
                <w:lang w:val="fr-BE"/>
              </w:rPr>
            </w:pPr>
            <w:r w:rsidRPr="00BA47B4">
              <w:rPr>
                <w:noProof/>
                <w:sz w:val="12"/>
                <w:szCs w:val="12"/>
                <w:lang w:val="fr-BE"/>
              </w:rPr>
              <w:t>28,00</w:t>
            </w:r>
          </w:p>
        </w:tc>
        <w:tc>
          <w:tcPr>
            <w:tcW w:w="0" w:type="auto"/>
          </w:tcPr>
          <w:p w14:paraId="25B57EF2" w14:textId="77777777" w:rsidR="008C5CFA" w:rsidRPr="00BA47B4" w:rsidRDefault="00E82A60" w:rsidP="00300A01">
            <w:pPr>
              <w:spacing w:before="0" w:after="0"/>
              <w:jc w:val="right"/>
              <w:rPr>
                <w:sz w:val="12"/>
                <w:szCs w:val="12"/>
                <w:lang w:val="fr-BE"/>
              </w:rPr>
            </w:pPr>
            <w:r w:rsidRPr="00BA47B4">
              <w:rPr>
                <w:noProof/>
                <w:sz w:val="12"/>
                <w:szCs w:val="12"/>
                <w:lang w:val="fr-BE"/>
              </w:rPr>
              <w:t>1,00</w:t>
            </w:r>
          </w:p>
        </w:tc>
        <w:tc>
          <w:tcPr>
            <w:tcW w:w="0" w:type="auto"/>
          </w:tcPr>
          <w:p w14:paraId="3ED3DBD0" w14:textId="77777777" w:rsidR="008C5CFA" w:rsidRPr="00BA47B4" w:rsidRDefault="00E82A60" w:rsidP="00300A01">
            <w:pPr>
              <w:spacing w:before="0" w:after="0"/>
              <w:jc w:val="right"/>
              <w:rPr>
                <w:sz w:val="12"/>
                <w:szCs w:val="12"/>
                <w:lang w:val="fr-BE"/>
              </w:rPr>
            </w:pPr>
            <w:r w:rsidRPr="00BA47B4">
              <w:rPr>
                <w:noProof/>
                <w:sz w:val="12"/>
                <w:szCs w:val="12"/>
                <w:lang w:val="fr-BE"/>
              </w:rPr>
              <w:t>1,00</w:t>
            </w:r>
          </w:p>
        </w:tc>
        <w:tc>
          <w:tcPr>
            <w:tcW w:w="0" w:type="auto"/>
          </w:tcPr>
          <w:p w14:paraId="60A4827E"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222F0400" w14:textId="77777777" w:rsidR="008C5CFA" w:rsidRPr="00BA47B4" w:rsidRDefault="00E82A60" w:rsidP="00300A01">
            <w:pPr>
              <w:spacing w:before="0" w:after="0"/>
              <w:jc w:val="right"/>
              <w:rPr>
                <w:sz w:val="12"/>
                <w:szCs w:val="12"/>
                <w:lang w:val="fr-BE"/>
              </w:rPr>
            </w:pPr>
            <w:r w:rsidRPr="00BA47B4">
              <w:rPr>
                <w:noProof/>
                <w:sz w:val="12"/>
                <w:szCs w:val="12"/>
                <w:lang w:val="fr-BE"/>
              </w:rPr>
              <w:t>1,00</w:t>
            </w:r>
          </w:p>
        </w:tc>
        <w:tc>
          <w:tcPr>
            <w:tcW w:w="0" w:type="auto"/>
          </w:tcPr>
          <w:p w14:paraId="00B940E1"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5DFAB926"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769DD699"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203E9130"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r>
      <w:tr w:rsidR="006B2EC1" w14:paraId="6788DF8D" w14:textId="77777777" w:rsidTr="0047688D">
        <w:tc>
          <w:tcPr>
            <w:tcW w:w="0" w:type="auto"/>
            <w:shd w:val="clear" w:color="auto" w:fill="auto"/>
          </w:tcPr>
          <w:p w14:paraId="182EFB82" w14:textId="77777777" w:rsidR="008C5CFA" w:rsidRPr="00BA47B4" w:rsidRDefault="00E82A60" w:rsidP="00300A01">
            <w:pPr>
              <w:spacing w:before="0" w:after="0"/>
              <w:rPr>
                <w:sz w:val="12"/>
                <w:szCs w:val="12"/>
                <w:lang w:val="fr-BE"/>
              </w:rPr>
            </w:pPr>
            <w:r w:rsidRPr="00BA47B4">
              <w:rPr>
                <w:noProof/>
                <w:sz w:val="12"/>
                <w:szCs w:val="12"/>
                <w:lang w:val="fr-BE"/>
              </w:rPr>
              <w:t>CR02</w:t>
            </w:r>
          </w:p>
        </w:tc>
        <w:tc>
          <w:tcPr>
            <w:tcW w:w="0" w:type="auto"/>
            <w:shd w:val="clear" w:color="auto" w:fill="auto"/>
          </w:tcPr>
          <w:p w14:paraId="5D73668B" w14:textId="77777777" w:rsidR="008C5CFA" w:rsidRPr="00BA47B4" w:rsidRDefault="00E82A60" w:rsidP="00300A01">
            <w:pPr>
              <w:spacing w:before="0" w:after="0"/>
              <w:rPr>
                <w:sz w:val="12"/>
                <w:szCs w:val="12"/>
                <w:lang w:val="fr-BE"/>
              </w:rPr>
            </w:pPr>
            <w:r w:rsidRPr="00BA47B4">
              <w:rPr>
                <w:noProof/>
                <w:sz w:val="12"/>
                <w:szCs w:val="12"/>
                <w:lang w:val="fr-BE"/>
              </w:rPr>
              <w:t>uczestnicy kształcący lub szkolący się po opuszczeniu programu</w:t>
            </w:r>
          </w:p>
        </w:tc>
        <w:tc>
          <w:tcPr>
            <w:tcW w:w="0" w:type="auto"/>
            <w:shd w:val="clear" w:color="auto" w:fill="auto"/>
          </w:tcPr>
          <w:p w14:paraId="2F31C4CE" w14:textId="77777777" w:rsidR="008C5CFA" w:rsidRPr="00BA47B4" w:rsidRDefault="00E82A60" w:rsidP="00300A01">
            <w:pPr>
              <w:spacing w:before="0" w:after="0"/>
              <w:rPr>
                <w:sz w:val="12"/>
                <w:szCs w:val="12"/>
                <w:lang w:val="fr-BE"/>
              </w:rPr>
            </w:pPr>
            <w:r w:rsidRPr="00BA47B4">
              <w:rPr>
                <w:noProof/>
                <w:sz w:val="12"/>
                <w:szCs w:val="12"/>
                <w:lang w:val="fr-BE"/>
              </w:rPr>
              <w:t>Słabiej rozwinięte</w:t>
            </w:r>
          </w:p>
        </w:tc>
        <w:tc>
          <w:tcPr>
            <w:tcW w:w="0" w:type="auto"/>
          </w:tcPr>
          <w:p w14:paraId="2357D24D" w14:textId="77777777" w:rsidR="008C5CFA" w:rsidRPr="00BA47B4" w:rsidRDefault="00E82A60" w:rsidP="00300A01">
            <w:pPr>
              <w:spacing w:before="0" w:after="0"/>
              <w:jc w:val="right"/>
              <w:rPr>
                <w:sz w:val="12"/>
                <w:szCs w:val="12"/>
                <w:lang w:val="fr-BE"/>
              </w:rPr>
            </w:pPr>
            <w:r w:rsidRPr="00BA47B4">
              <w:rPr>
                <w:noProof/>
                <w:sz w:val="12"/>
                <w:szCs w:val="12"/>
                <w:lang w:val="fr-BE"/>
              </w:rPr>
              <w:t>17,00</w:t>
            </w:r>
          </w:p>
        </w:tc>
        <w:tc>
          <w:tcPr>
            <w:tcW w:w="0" w:type="auto"/>
          </w:tcPr>
          <w:p w14:paraId="7B2BA80A" w14:textId="77777777" w:rsidR="008C5CFA" w:rsidRPr="00BA47B4" w:rsidRDefault="00E82A60" w:rsidP="00300A01">
            <w:pPr>
              <w:spacing w:before="0" w:after="0"/>
              <w:jc w:val="right"/>
              <w:rPr>
                <w:sz w:val="12"/>
                <w:szCs w:val="12"/>
                <w:lang w:val="fr-BE"/>
              </w:rPr>
            </w:pPr>
            <w:r w:rsidRPr="00BA47B4">
              <w:rPr>
                <w:noProof/>
                <w:sz w:val="12"/>
                <w:szCs w:val="12"/>
                <w:lang w:val="fr-BE"/>
              </w:rPr>
              <w:t>43,00</w:t>
            </w:r>
          </w:p>
        </w:tc>
        <w:tc>
          <w:tcPr>
            <w:tcW w:w="0" w:type="auto"/>
          </w:tcPr>
          <w:p w14:paraId="54DA8031"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5D74BBAE" w14:textId="77777777" w:rsidR="008C5CFA" w:rsidRPr="00BA47B4" w:rsidRDefault="00E82A60" w:rsidP="00300A01">
            <w:pPr>
              <w:spacing w:before="0" w:after="0"/>
              <w:jc w:val="right"/>
              <w:rPr>
                <w:sz w:val="12"/>
                <w:szCs w:val="12"/>
                <w:lang w:val="fr-BE"/>
              </w:rPr>
            </w:pPr>
            <w:r w:rsidRPr="00BA47B4">
              <w:rPr>
                <w:noProof/>
                <w:sz w:val="12"/>
                <w:szCs w:val="12"/>
                <w:lang w:val="fr-BE"/>
              </w:rPr>
              <w:t>3,00</w:t>
            </w:r>
          </w:p>
        </w:tc>
        <w:tc>
          <w:tcPr>
            <w:tcW w:w="0" w:type="auto"/>
          </w:tcPr>
          <w:p w14:paraId="6250E0EB"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53D187FD"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285ACEFA"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3EC30D09"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5BD7DF4B"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039E35F6"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r>
      <w:tr w:rsidR="006B2EC1" w14:paraId="51A44FDF" w14:textId="77777777" w:rsidTr="0047688D">
        <w:tc>
          <w:tcPr>
            <w:tcW w:w="0" w:type="auto"/>
            <w:shd w:val="clear" w:color="auto" w:fill="auto"/>
          </w:tcPr>
          <w:p w14:paraId="08F5257A" w14:textId="77777777" w:rsidR="008C5CFA" w:rsidRPr="00BA47B4" w:rsidRDefault="00E82A60" w:rsidP="00300A01">
            <w:pPr>
              <w:spacing w:before="0" w:after="0"/>
              <w:rPr>
                <w:sz w:val="12"/>
                <w:szCs w:val="12"/>
                <w:lang w:val="fr-BE"/>
              </w:rPr>
            </w:pPr>
            <w:r w:rsidRPr="00BA47B4">
              <w:rPr>
                <w:noProof/>
                <w:sz w:val="12"/>
                <w:szCs w:val="12"/>
                <w:lang w:val="fr-BE"/>
              </w:rPr>
              <w:t>CR03</w:t>
            </w:r>
          </w:p>
        </w:tc>
        <w:tc>
          <w:tcPr>
            <w:tcW w:w="0" w:type="auto"/>
            <w:shd w:val="clear" w:color="auto" w:fill="auto"/>
          </w:tcPr>
          <w:p w14:paraId="3FAB7976" w14:textId="77777777" w:rsidR="008C5CFA" w:rsidRPr="00BA47B4" w:rsidRDefault="00E82A60" w:rsidP="00300A01">
            <w:pPr>
              <w:spacing w:before="0" w:after="0"/>
              <w:rPr>
                <w:sz w:val="12"/>
                <w:szCs w:val="12"/>
                <w:lang w:val="fr-BE"/>
              </w:rPr>
            </w:pPr>
            <w:r w:rsidRPr="00BA47B4">
              <w:rPr>
                <w:noProof/>
                <w:sz w:val="12"/>
                <w:szCs w:val="12"/>
                <w:lang w:val="fr-BE"/>
              </w:rPr>
              <w:t>uczestnicy uzyskujący kwalifikacje po opuszczeniu programu</w:t>
            </w:r>
          </w:p>
        </w:tc>
        <w:tc>
          <w:tcPr>
            <w:tcW w:w="0" w:type="auto"/>
            <w:shd w:val="clear" w:color="auto" w:fill="auto"/>
          </w:tcPr>
          <w:p w14:paraId="305F69ED" w14:textId="77777777" w:rsidR="008C5CFA" w:rsidRPr="00BA47B4" w:rsidRDefault="00E82A60" w:rsidP="00300A01">
            <w:pPr>
              <w:spacing w:before="0" w:after="0"/>
              <w:rPr>
                <w:sz w:val="12"/>
                <w:szCs w:val="12"/>
                <w:lang w:val="fr-BE"/>
              </w:rPr>
            </w:pPr>
            <w:r w:rsidRPr="00BA47B4">
              <w:rPr>
                <w:noProof/>
                <w:sz w:val="12"/>
                <w:szCs w:val="12"/>
                <w:lang w:val="fr-BE"/>
              </w:rPr>
              <w:t>Słabiej rozwinięte</w:t>
            </w:r>
          </w:p>
        </w:tc>
        <w:tc>
          <w:tcPr>
            <w:tcW w:w="0" w:type="auto"/>
          </w:tcPr>
          <w:p w14:paraId="576F7C91" w14:textId="77777777" w:rsidR="008C5CFA" w:rsidRPr="00BA47B4" w:rsidRDefault="00E82A60" w:rsidP="00300A01">
            <w:pPr>
              <w:spacing w:before="0" w:after="0"/>
              <w:jc w:val="right"/>
              <w:rPr>
                <w:sz w:val="12"/>
                <w:szCs w:val="12"/>
                <w:lang w:val="fr-BE"/>
              </w:rPr>
            </w:pPr>
            <w:r w:rsidRPr="00BA47B4">
              <w:rPr>
                <w:noProof/>
                <w:sz w:val="12"/>
                <w:szCs w:val="12"/>
                <w:lang w:val="fr-BE"/>
              </w:rPr>
              <w:t>1,00</w:t>
            </w:r>
          </w:p>
        </w:tc>
        <w:tc>
          <w:tcPr>
            <w:tcW w:w="0" w:type="auto"/>
          </w:tcPr>
          <w:p w14:paraId="6B0AADDA"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13BC629C" w14:textId="77777777" w:rsidR="008C5CFA" w:rsidRPr="00BA47B4" w:rsidRDefault="00E82A60" w:rsidP="00300A01">
            <w:pPr>
              <w:spacing w:before="0" w:after="0"/>
              <w:jc w:val="right"/>
              <w:rPr>
                <w:sz w:val="12"/>
                <w:szCs w:val="12"/>
                <w:lang w:val="fr-BE"/>
              </w:rPr>
            </w:pPr>
            <w:r w:rsidRPr="00BA47B4">
              <w:rPr>
                <w:noProof/>
                <w:sz w:val="12"/>
                <w:szCs w:val="12"/>
                <w:lang w:val="fr-BE"/>
              </w:rPr>
              <w:t>3,00</w:t>
            </w:r>
          </w:p>
        </w:tc>
        <w:tc>
          <w:tcPr>
            <w:tcW w:w="0" w:type="auto"/>
          </w:tcPr>
          <w:p w14:paraId="3D1FA90E" w14:textId="77777777" w:rsidR="008C5CFA" w:rsidRPr="00BA47B4" w:rsidRDefault="00E82A60" w:rsidP="00300A01">
            <w:pPr>
              <w:spacing w:before="0" w:after="0"/>
              <w:jc w:val="right"/>
              <w:rPr>
                <w:sz w:val="12"/>
                <w:szCs w:val="12"/>
                <w:lang w:val="fr-BE"/>
              </w:rPr>
            </w:pPr>
            <w:r w:rsidRPr="00BA47B4">
              <w:rPr>
                <w:noProof/>
                <w:sz w:val="12"/>
                <w:szCs w:val="12"/>
                <w:lang w:val="fr-BE"/>
              </w:rPr>
              <w:t>3,00</w:t>
            </w:r>
          </w:p>
        </w:tc>
        <w:tc>
          <w:tcPr>
            <w:tcW w:w="0" w:type="auto"/>
          </w:tcPr>
          <w:p w14:paraId="02A54246"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18EC3626"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38E6048F"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6B49A7A1"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03B0C8D9"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3015DBF7"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r>
      <w:tr w:rsidR="006B2EC1" w14:paraId="6FBC56F1" w14:textId="77777777" w:rsidTr="0047688D">
        <w:tc>
          <w:tcPr>
            <w:tcW w:w="0" w:type="auto"/>
            <w:shd w:val="clear" w:color="auto" w:fill="auto"/>
          </w:tcPr>
          <w:p w14:paraId="2799003F" w14:textId="77777777" w:rsidR="008C5CFA" w:rsidRPr="00BA47B4" w:rsidRDefault="00E82A60" w:rsidP="00300A01">
            <w:pPr>
              <w:spacing w:before="0" w:after="0"/>
              <w:rPr>
                <w:sz w:val="12"/>
                <w:szCs w:val="12"/>
                <w:lang w:val="fr-BE"/>
              </w:rPr>
            </w:pPr>
            <w:r w:rsidRPr="00BA47B4">
              <w:rPr>
                <w:noProof/>
                <w:sz w:val="12"/>
                <w:szCs w:val="12"/>
                <w:lang w:val="fr-BE"/>
              </w:rPr>
              <w:t>CR04</w:t>
            </w:r>
          </w:p>
        </w:tc>
        <w:tc>
          <w:tcPr>
            <w:tcW w:w="0" w:type="auto"/>
            <w:shd w:val="clear" w:color="auto" w:fill="auto"/>
          </w:tcPr>
          <w:p w14:paraId="33AB2962" w14:textId="77777777" w:rsidR="008C5CFA" w:rsidRPr="00BA47B4" w:rsidRDefault="00E82A60" w:rsidP="00300A01">
            <w:pPr>
              <w:spacing w:before="0" w:after="0"/>
              <w:rPr>
                <w:sz w:val="12"/>
                <w:szCs w:val="12"/>
                <w:lang w:val="fr-BE"/>
              </w:rPr>
            </w:pPr>
            <w:r w:rsidRPr="00BA47B4">
              <w:rPr>
                <w:noProof/>
                <w:sz w:val="12"/>
                <w:szCs w:val="12"/>
                <w:lang w:val="fr-BE"/>
              </w:rPr>
              <w:t>uczestnicy pracujący, łącznie z prowadzącymi działalność na własny rachunek, po opuszczeniu programu</w:t>
            </w:r>
          </w:p>
        </w:tc>
        <w:tc>
          <w:tcPr>
            <w:tcW w:w="0" w:type="auto"/>
            <w:shd w:val="clear" w:color="auto" w:fill="auto"/>
          </w:tcPr>
          <w:p w14:paraId="485F6CCB" w14:textId="77777777" w:rsidR="008C5CFA" w:rsidRPr="00BA47B4" w:rsidRDefault="00E82A60" w:rsidP="00300A01">
            <w:pPr>
              <w:spacing w:before="0" w:after="0"/>
              <w:rPr>
                <w:sz w:val="12"/>
                <w:szCs w:val="12"/>
                <w:lang w:val="fr-BE"/>
              </w:rPr>
            </w:pPr>
            <w:r w:rsidRPr="00BA47B4">
              <w:rPr>
                <w:noProof/>
                <w:sz w:val="12"/>
                <w:szCs w:val="12"/>
                <w:lang w:val="fr-BE"/>
              </w:rPr>
              <w:t>Słabiej rozwinięte</w:t>
            </w:r>
          </w:p>
        </w:tc>
        <w:tc>
          <w:tcPr>
            <w:tcW w:w="0" w:type="auto"/>
          </w:tcPr>
          <w:p w14:paraId="0FDD7992" w14:textId="77777777" w:rsidR="008C5CFA" w:rsidRPr="00BA47B4" w:rsidRDefault="00E82A60" w:rsidP="00300A01">
            <w:pPr>
              <w:spacing w:before="0" w:after="0"/>
              <w:jc w:val="right"/>
              <w:rPr>
                <w:sz w:val="12"/>
                <w:szCs w:val="12"/>
                <w:lang w:val="fr-BE"/>
              </w:rPr>
            </w:pPr>
            <w:r w:rsidRPr="00BA47B4">
              <w:rPr>
                <w:noProof/>
                <w:sz w:val="12"/>
                <w:szCs w:val="12"/>
                <w:lang w:val="fr-BE"/>
              </w:rPr>
              <w:t>19,00</w:t>
            </w:r>
          </w:p>
        </w:tc>
        <w:tc>
          <w:tcPr>
            <w:tcW w:w="0" w:type="auto"/>
          </w:tcPr>
          <w:p w14:paraId="3E8D9701" w14:textId="77777777" w:rsidR="008C5CFA" w:rsidRPr="00BA47B4" w:rsidRDefault="00E82A60" w:rsidP="00300A01">
            <w:pPr>
              <w:spacing w:before="0" w:after="0"/>
              <w:jc w:val="right"/>
              <w:rPr>
                <w:sz w:val="12"/>
                <w:szCs w:val="12"/>
                <w:lang w:val="fr-BE"/>
              </w:rPr>
            </w:pPr>
            <w:r w:rsidRPr="00BA47B4">
              <w:rPr>
                <w:noProof/>
                <w:sz w:val="12"/>
                <w:szCs w:val="12"/>
                <w:lang w:val="fr-BE"/>
              </w:rPr>
              <w:t>24,00</w:t>
            </w:r>
          </w:p>
        </w:tc>
        <w:tc>
          <w:tcPr>
            <w:tcW w:w="0" w:type="auto"/>
          </w:tcPr>
          <w:p w14:paraId="58E6C758" w14:textId="77777777" w:rsidR="008C5CFA" w:rsidRPr="00BA47B4" w:rsidRDefault="00E82A60" w:rsidP="00300A01">
            <w:pPr>
              <w:spacing w:before="0" w:after="0"/>
              <w:jc w:val="right"/>
              <w:rPr>
                <w:sz w:val="12"/>
                <w:szCs w:val="12"/>
                <w:lang w:val="fr-BE"/>
              </w:rPr>
            </w:pPr>
            <w:r w:rsidRPr="00BA47B4">
              <w:rPr>
                <w:noProof/>
                <w:sz w:val="12"/>
                <w:szCs w:val="12"/>
                <w:lang w:val="fr-BE"/>
              </w:rPr>
              <w:t>5,00</w:t>
            </w:r>
          </w:p>
        </w:tc>
        <w:tc>
          <w:tcPr>
            <w:tcW w:w="0" w:type="auto"/>
          </w:tcPr>
          <w:p w14:paraId="287A6DD6" w14:textId="77777777" w:rsidR="008C5CFA" w:rsidRPr="00BA47B4" w:rsidRDefault="00E82A60" w:rsidP="00300A01">
            <w:pPr>
              <w:spacing w:before="0" w:after="0"/>
              <w:jc w:val="right"/>
              <w:rPr>
                <w:sz w:val="12"/>
                <w:szCs w:val="12"/>
                <w:lang w:val="fr-BE"/>
              </w:rPr>
            </w:pPr>
            <w:r w:rsidRPr="00BA47B4">
              <w:rPr>
                <w:noProof/>
                <w:sz w:val="12"/>
                <w:szCs w:val="12"/>
                <w:lang w:val="fr-BE"/>
              </w:rPr>
              <w:t>10,00</w:t>
            </w:r>
          </w:p>
        </w:tc>
        <w:tc>
          <w:tcPr>
            <w:tcW w:w="0" w:type="auto"/>
          </w:tcPr>
          <w:p w14:paraId="7BD46FAC"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1FCD1DE3" w14:textId="77777777" w:rsidR="008C5CFA" w:rsidRPr="00BA47B4" w:rsidRDefault="00E82A60" w:rsidP="00300A01">
            <w:pPr>
              <w:spacing w:before="0" w:after="0"/>
              <w:jc w:val="right"/>
              <w:rPr>
                <w:sz w:val="12"/>
                <w:szCs w:val="12"/>
                <w:lang w:val="fr-BE"/>
              </w:rPr>
            </w:pPr>
            <w:r w:rsidRPr="00BA47B4">
              <w:rPr>
                <w:noProof/>
                <w:sz w:val="12"/>
                <w:szCs w:val="12"/>
                <w:lang w:val="fr-BE"/>
              </w:rPr>
              <w:t>5,00</w:t>
            </w:r>
          </w:p>
        </w:tc>
        <w:tc>
          <w:tcPr>
            <w:tcW w:w="0" w:type="auto"/>
          </w:tcPr>
          <w:p w14:paraId="1B003F72"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738EB1CE"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44483149"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20978454"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r>
      <w:tr w:rsidR="006B2EC1" w14:paraId="2B2E2467" w14:textId="77777777" w:rsidTr="0047688D">
        <w:tc>
          <w:tcPr>
            <w:tcW w:w="0" w:type="auto"/>
            <w:shd w:val="clear" w:color="auto" w:fill="auto"/>
          </w:tcPr>
          <w:p w14:paraId="27603FE2" w14:textId="77777777" w:rsidR="008C5CFA" w:rsidRPr="00BA47B4" w:rsidRDefault="00E82A60" w:rsidP="00300A01">
            <w:pPr>
              <w:spacing w:before="0" w:after="0"/>
              <w:rPr>
                <w:sz w:val="12"/>
                <w:szCs w:val="12"/>
                <w:lang w:val="fr-BE"/>
              </w:rPr>
            </w:pPr>
            <w:r w:rsidRPr="00BA47B4">
              <w:rPr>
                <w:noProof/>
                <w:sz w:val="12"/>
                <w:szCs w:val="12"/>
                <w:lang w:val="fr-BE"/>
              </w:rPr>
              <w:t>CR05</w:t>
            </w:r>
          </w:p>
        </w:tc>
        <w:tc>
          <w:tcPr>
            <w:tcW w:w="0" w:type="auto"/>
            <w:shd w:val="clear" w:color="auto" w:fill="auto"/>
          </w:tcPr>
          <w:p w14:paraId="327F7CF8" w14:textId="77777777" w:rsidR="008C5CFA" w:rsidRPr="00BA47B4" w:rsidRDefault="00E82A60" w:rsidP="00300A01">
            <w:pPr>
              <w:spacing w:before="0" w:after="0"/>
              <w:rPr>
                <w:sz w:val="12"/>
                <w:szCs w:val="12"/>
                <w:lang w:val="fr-BE"/>
              </w:rPr>
            </w:pPr>
            <w:r w:rsidRPr="00BA47B4">
              <w:rPr>
                <w:noProof/>
                <w:sz w:val="12"/>
                <w:szCs w:val="12"/>
                <w:lang w:val="fr-BE"/>
              </w:rPr>
              <w:t>uczestnicy w niekorzystnej sytuacji społecznej poszukujący pracy, uczestniczący w kształceniu lub szkoleniu, zdobywający kwalifikacje lub pracujący (łącznie z prowadzącymi działalność na własny rachunek) po opuszczeniu programu</w:t>
            </w:r>
          </w:p>
        </w:tc>
        <w:tc>
          <w:tcPr>
            <w:tcW w:w="0" w:type="auto"/>
            <w:shd w:val="clear" w:color="auto" w:fill="auto"/>
          </w:tcPr>
          <w:p w14:paraId="5FEA14F4" w14:textId="77777777" w:rsidR="008C5CFA" w:rsidRPr="00BA47B4" w:rsidRDefault="00E82A60" w:rsidP="00300A01">
            <w:pPr>
              <w:spacing w:before="0" w:after="0"/>
              <w:rPr>
                <w:sz w:val="12"/>
                <w:szCs w:val="12"/>
                <w:lang w:val="fr-BE"/>
              </w:rPr>
            </w:pPr>
            <w:r w:rsidRPr="00BA47B4">
              <w:rPr>
                <w:noProof/>
                <w:sz w:val="12"/>
                <w:szCs w:val="12"/>
                <w:lang w:val="fr-BE"/>
              </w:rPr>
              <w:t>Słabiej rozwinięte</w:t>
            </w:r>
          </w:p>
        </w:tc>
        <w:tc>
          <w:tcPr>
            <w:tcW w:w="0" w:type="auto"/>
          </w:tcPr>
          <w:p w14:paraId="3232ACD5" w14:textId="77777777" w:rsidR="008C5CFA" w:rsidRPr="00BA47B4" w:rsidRDefault="00E82A60" w:rsidP="00300A01">
            <w:pPr>
              <w:spacing w:before="0" w:after="0"/>
              <w:jc w:val="right"/>
              <w:rPr>
                <w:sz w:val="12"/>
                <w:szCs w:val="12"/>
                <w:lang w:val="fr-BE"/>
              </w:rPr>
            </w:pPr>
            <w:r w:rsidRPr="00BA47B4">
              <w:rPr>
                <w:noProof/>
                <w:sz w:val="12"/>
                <w:szCs w:val="12"/>
                <w:lang w:val="fr-BE"/>
              </w:rPr>
              <w:t>46,00</w:t>
            </w:r>
          </w:p>
        </w:tc>
        <w:tc>
          <w:tcPr>
            <w:tcW w:w="0" w:type="auto"/>
          </w:tcPr>
          <w:p w14:paraId="5D1D3933" w14:textId="77777777" w:rsidR="008C5CFA" w:rsidRPr="00BA47B4" w:rsidRDefault="00E82A60" w:rsidP="00300A01">
            <w:pPr>
              <w:spacing w:before="0" w:after="0"/>
              <w:jc w:val="right"/>
              <w:rPr>
                <w:sz w:val="12"/>
                <w:szCs w:val="12"/>
                <w:lang w:val="fr-BE"/>
              </w:rPr>
            </w:pPr>
            <w:r w:rsidRPr="00BA47B4">
              <w:rPr>
                <w:noProof/>
                <w:sz w:val="12"/>
                <w:szCs w:val="12"/>
                <w:lang w:val="fr-BE"/>
              </w:rPr>
              <w:t>81,00</w:t>
            </w:r>
          </w:p>
        </w:tc>
        <w:tc>
          <w:tcPr>
            <w:tcW w:w="0" w:type="auto"/>
          </w:tcPr>
          <w:p w14:paraId="452840DA" w14:textId="77777777" w:rsidR="008C5CFA" w:rsidRPr="00BA47B4" w:rsidRDefault="00E82A60" w:rsidP="00300A01">
            <w:pPr>
              <w:spacing w:before="0" w:after="0"/>
              <w:jc w:val="right"/>
              <w:rPr>
                <w:sz w:val="12"/>
                <w:szCs w:val="12"/>
                <w:lang w:val="fr-BE"/>
              </w:rPr>
            </w:pPr>
            <w:r w:rsidRPr="00BA47B4">
              <w:rPr>
                <w:noProof/>
                <w:sz w:val="12"/>
                <w:szCs w:val="12"/>
                <w:lang w:val="fr-BE"/>
              </w:rPr>
              <w:t>6,00</w:t>
            </w:r>
          </w:p>
        </w:tc>
        <w:tc>
          <w:tcPr>
            <w:tcW w:w="0" w:type="auto"/>
          </w:tcPr>
          <w:p w14:paraId="344CD78B" w14:textId="77777777" w:rsidR="008C5CFA" w:rsidRPr="00BA47B4" w:rsidRDefault="00E82A60" w:rsidP="00300A01">
            <w:pPr>
              <w:spacing w:before="0" w:after="0"/>
              <w:jc w:val="right"/>
              <w:rPr>
                <w:sz w:val="12"/>
                <w:szCs w:val="12"/>
                <w:lang w:val="fr-BE"/>
              </w:rPr>
            </w:pPr>
            <w:r w:rsidRPr="00BA47B4">
              <w:rPr>
                <w:noProof/>
                <w:sz w:val="12"/>
                <w:szCs w:val="12"/>
                <w:lang w:val="fr-BE"/>
              </w:rPr>
              <w:t>8,00</w:t>
            </w:r>
          </w:p>
        </w:tc>
        <w:tc>
          <w:tcPr>
            <w:tcW w:w="0" w:type="auto"/>
          </w:tcPr>
          <w:p w14:paraId="02F5BC00"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283A10F0" w14:textId="77777777" w:rsidR="008C5CFA" w:rsidRPr="00BA47B4" w:rsidRDefault="00E82A60" w:rsidP="00300A01">
            <w:pPr>
              <w:spacing w:before="0" w:after="0"/>
              <w:jc w:val="right"/>
              <w:rPr>
                <w:sz w:val="12"/>
                <w:szCs w:val="12"/>
                <w:lang w:val="fr-BE"/>
              </w:rPr>
            </w:pPr>
            <w:r w:rsidRPr="00BA47B4">
              <w:rPr>
                <w:noProof/>
                <w:sz w:val="12"/>
                <w:szCs w:val="12"/>
                <w:lang w:val="fr-BE"/>
              </w:rPr>
              <w:t>6,00</w:t>
            </w:r>
          </w:p>
        </w:tc>
        <w:tc>
          <w:tcPr>
            <w:tcW w:w="0" w:type="auto"/>
          </w:tcPr>
          <w:p w14:paraId="56A87EDC"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1917AD31"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3C5C0086"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308CF8B6"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r>
      <w:tr w:rsidR="006B2EC1" w14:paraId="0B834BD1" w14:textId="77777777" w:rsidTr="0047688D">
        <w:tc>
          <w:tcPr>
            <w:tcW w:w="0" w:type="auto"/>
            <w:shd w:val="clear" w:color="auto" w:fill="auto"/>
          </w:tcPr>
          <w:p w14:paraId="2437456F" w14:textId="77777777" w:rsidR="008C5CFA" w:rsidRPr="00BA47B4" w:rsidRDefault="00E82A60" w:rsidP="00300A01">
            <w:pPr>
              <w:spacing w:before="0" w:after="0"/>
              <w:rPr>
                <w:sz w:val="12"/>
                <w:szCs w:val="12"/>
                <w:lang w:val="fr-BE"/>
              </w:rPr>
            </w:pPr>
            <w:r w:rsidRPr="00BA47B4">
              <w:rPr>
                <w:noProof/>
                <w:sz w:val="12"/>
                <w:szCs w:val="12"/>
                <w:lang w:val="fr-BE"/>
              </w:rPr>
              <w:t>CR06</w:t>
            </w:r>
          </w:p>
        </w:tc>
        <w:tc>
          <w:tcPr>
            <w:tcW w:w="0" w:type="auto"/>
            <w:shd w:val="clear" w:color="auto" w:fill="auto"/>
          </w:tcPr>
          <w:p w14:paraId="776F67C5" w14:textId="77777777" w:rsidR="008C5CFA" w:rsidRPr="00BA47B4" w:rsidRDefault="00E82A60" w:rsidP="00300A01">
            <w:pPr>
              <w:spacing w:before="0" w:after="0"/>
              <w:rPr>
                <w:sz w:val="12"/>
                <w:szCs w:val="12"/>
                <w:lang w:val="fr-BE"/>
              </w:rPr>
            </w:pPr>
            <w:r w:rsidRPr="00BA47B4">
              <w:rPr>
                <w:noProof/>
                <w:sz w:val="12"/>
                <w:szCs w:val="12"/>
                <w:lang w:val="fr-BE"/>
              </w:rPr>
              <w:t>uczestnicy pracujący, łącznie z prowadzącymi działalność na własny rachunek, sześć miesięcy po opuszczeniu programu</w:t>
            </w:r>
          </w:p>
        </w:tc>
        <w:tc>
          <w:tcPr>
            <w:tcW w:w="0" w:type="auto"/>
            <w:shd w:val="clear" w:color="auto" w:fill="auto"/>
          </w:tcPr>
          <w:p w14:paraId="07ECF678" w14:textId="77777777" w:rsidR="008C5CFA" w:rsidRPr="00BA47B4" w:rsidRDefault="00E82A60" w:rsidP="00300A01">
            <w:pPr>
              <w:spacing w:before="0" w:after="0"/>
              <w:rPr>
                <w:sz w:val="12"/>
                <w:szCs w:val="12"/>
                <w:lang w:val="fr-BE"/>
              </w:rPr>
            </w:pPr>
            <w:r w:rsidRPr="00BA47B4">
              <w:rPr>
                <w:noProof/>
                <w:sz w:val="12"/>
                <w:szCs w:val="12"/>
                <w:lang w:val="fr-BE"/>
              </w:rPr>
              <w:t>Słabiej rozwinięte</w:t>
            </w:r>
          </w:p>
        </w:tc>
        <w:tc>
          <w:tcPr>
            <w:tcW w:w="0" w:type="auto"/>
          </w:tcPr>
          <w:p w14:paraId="28B7FD7C" w14:textId="77777777" w:rsidR="008C5CFA" w:rsidRPr="00BA47B4" w:rsidRDefault="00E82A60" w:rsidP="00300A01">
            <w:pPr>
              <w:spacing w:before="0" w:after="0"/>
              <w:jc w:val="right"/>
              <w:rPr>
                <w:sz w:val="12"/>
                <w:szCs w:val="12"/>
                <w:lang w:val="fr-BE"/>
              </w:rPr>
            </w:pPr>
            <w:r w:rsidRPr="00BA47B4">
              <w:rPr>
                <w:noProof/>
                <w:sz w:val="12"/>
                <w:szCs w:val="12"/>
                <w:lang w:val="fr-BE"/>
              </w:rPr>
              <w:t>223,00</w:t>
            </w:r>
          </w:p>
        </w:tc>
        <w:tc>
          <w:tcPr>
            <w:tcW w:w="0" w:type="auto"/>
          </w:tcPr>
          <w:p w14:paraId="3584581D" w14:textId="77777777" w:rsidR="008C5CFA" w:rsidRPr="00BA47B4" w:rsidRDefault="00E82A60" w:rsidP="00300A01">
            <w:pPr>
              <w:spacing w:before="0" w:after="0"/>
              <w:jc w:val="right"/>
              <w:rPr>
                <w:sz w:val="12"/>
                <w:szCs w:val="12"/>
                <w:lang w:val="fr-BE"/>
              </w:rPr>
            </w:pPr>
            <w:r w:rsidRPr="00BA47B4">
              <w:rPr>
                <w:noProof/>
                <w:sz w:val="12"/>
                <w:szCs w:val="12"/>
                <w:lang w:val="fr-BE"/>
              </w:rPr>
              <w:t>326,00</w:t>
            </w:r>
          </w:p>
        </w:tc>
        <w:tc>
          <w:tcPr>
            <w:tcW w:w="0" w:type="auto"/>
          </w:tcPr>
          <w:p w14:paraId="313510C0"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5BD062C6"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646A3BA4"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5A7EEA21"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51E8CEE0"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6B554DE0"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429976CC"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146F43A8"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r>
      <w:tr w:rsidR="006B2EC1" w14:paraId="4AF208BB" w14:textId="77777777" w:rsidTr="0047688D">
        <w:tc>
          <w:tcPr>
            <w:tcW w:w="0" w:type="auto"/>
            <w:shd w:val="clear" w:color="auto" w:fill="auto"/>
          </w:tcPr>
          <w:p w14:paraId="470044DA" w14:textId="77777777" w:rsidR="008C5CFA" w:rsidRPr="00BA47B4" w:rsidRDefault="00E82A60" w:rsidP="00300A01">
            <w:pPr>
              <w:spacing w:before="0" w:after="0"/>
              <w:rPr>
                <w:sz w:val="12"/>
                <w:szCs w:val="12"/>
                <w:lang w:val="fr-BE"/>
              </w:rPr>
            </w:pPr>
            <w:r w:rsidRPr="00BA47B4">
              <w:rPr>
                <w:noProof/>
                <w:sz w:val="12"/>
                <w:szCs w:val="12"/>
                <w:lang w:val="fr-BE"/>
              </w:rPr>
              <w:t>CR07</w:t>
            </w:r>
          </w:p>
        </w:tc>
        <w:tc>
          <w:tcPr>
            <w:tcW w:w="0" w:type="auto"/>
            <w:shd w:val="clear" w:color="auto" w:fill="auto"/>
          </w:tcPr>
          <w:p w14:paraId="705E3450" w14:textId="77777777" w:rsidR="008C5CFA" w:rsidRPr="00BA47B4" w:rsidRDefault="00E82A60" w:rsidP="00300A01">
            <w:pPr>
              <w:spacing w:before="0" w:after="0"/>
              <w:rPr>
                <w:sz w:val="12"/>
                <w:szCs w:val="12"/>
                <w:lang w:val="fr-BE"/>
              </w:rPr>
            </w:pPr>
            <w:r w:rsidRPr="00BA47B4">
              <w:rPr>
                <w:noProof/>
                <w:sz w:val="12"/>
                <w:szCs w:val="12"/>
                <w:lang w:val="fr-BE"/>
              </w:rPr>
              <w:t>uczestnicy znajdujący się w lepszej sytuacji na rynku pracy sześć miesięcy po opuszczeniu programu</w:t>
            </w:r>
          </w:p>
        </w:tc>
        <w:tc>
          <w:tcPr>
            <w:tcW w:w="0" w:type="auto"/>
            <w:shd w:val="clear" w:color="auto" w:fill="auto"/>
          </w:tcPr>
          <w:p w14:paraId="6909C816" w14:textId="77777777" w:rsidR="008C5CFA" w:rsidRPr="00BA47B4" w:rsidRDefault="00E82A60" w:rsidP="00300A01">
            <w:pPr>
              <w:spacing w:before="0" w:after="0"/>
              <w:rPr>
                <w:sz w:val="12"/>
                <w:szCs w:val="12"/>
                <w:lang w:val="fr-BE"/>
              </w:rPr>
            </w:pPr>
            <w:r w:rsidRPr="00BA47B4">
              <w:rPr>
                <w:noProof/>
                <w:sz w:val="12"/>
                <w:szCs w:val="12"/>
                <w:lang w:val="fr-BE"/>
              </w:rPr>
              <w:t>Słabiej rozwinięte</w:t>
            </w:r>
          </w:p>
        </w:tc>
        <w:tc>
          <w:tcPr>
            <w:tcW w:w="0" w:type="auto"/>
          </w:tcPr>
          <w:p w14:paraId="374DEAE7" w14:textId="77777777" w:rsidR="008C5CFA" w:rsidRPr="00BA47B4" w:rsidRDefault="00E82A60" w:rsidP="00300A01">
            <w:pPr>
              <w:spacing w:before="0" w:after="0"/>
              <w:jc w:val="right"/>
              <w:rPr>
                <w:sz w:val="12"/>
                <w:szCs w:val="12"/>
                <w:lang w:val="fr-BE"/>
              </w:rPr>
            </w:pPr>
            <w:r w:rsidRPr="00BA47B4">
              <w:rPr>
                <w:noProof/>
                <w:sz w:val="12"/>
                <w:szCs w:val="12"/>
                <w:lang w:val="fr-BE"/>
              </w:rPr>
              <w:t>23,00</w:t>
            </w:r>
          </w:p>
        </w:tc>
        <w:tc>
          <w:tcPr>
            <w:tcW w:w="0" w:type="auto"/>
          </w:tcPr>
          <w:p w14:paraId="433983DF" w14:textId="77777777" w:rsidR="008C5CFA" w:rsidRPr="00BA47B4" w:rsidRDefault="00E82A60" w:rsidP="00300A01">
            <w:pPr>
              <w:spacing w:before="0" w:after="0"/>
              <w:jc w:val="right"/>
              <w:rPr>
                <w:sz w:val="12"/>
                <w:szCs w:val="12"/>
                <w:lang w:val="fr-BE"/>
              </w:rPr>
            </w:pPr>
            <w:r w:rsidRPr="00BA47B4">
              <w:rPr>
                <w:noProof/>
                <w:sz w:val="12"/>
                <w:szCs w:val="12"/>
                <w:lang w:val="fr-BE"/>
              </w:rPr>
              <w:t>51,00</w:t>
            </w:r>
          </w:p>
        </w:tc>
        <w:tc>
          <w:tcPr>
            <w:tcW w:w="0" w:type="auto"/>
          </w:tcPr>
          <w:p w14:paraId="1084E7B1"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55B9376F"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3D9077C3"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6A4F56E5"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00C56DFB"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3118E10B"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227E38F1"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5F5B41A4"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r>
      <w:tr w:rsidR="006B2EC1" w14:paraId="12204EBE" w14:textId="77777777" w:rsidTr="0047688D">
        <w:tc>
          <w:tcPr>
            <w:tcW w:w="0" w:type="auto"/>
            <w:shd w:val="clear" w:color="auto" w:fill="auto"/>
          </w:tcPr>
          <w:p w14:paraId="4245CF7E" w14:textId="77777777" w:rsidR="008C5CFA" w:rsidRPr="00BA47B4" w:rsidRDefault="00E82A60" w:rsidP="00300A01">
            <w:pPr>
              <w:spacing w:before="0" w:after="0"/>
              <w:rPr>
                <w:sz w:val="12"/>
                <w:szCs w:val="12"/>
                <w:lang w:val="fr-BE"/>
              </w:rPr>
            </w:pPr>
            <w:r w:rsidRPr="00BA47B4">
              <w:rPr>
                <w:noProof/>
                <w:sz w:val="12"/>
                <w:szCs w:val="12"/>
                <w:lang w:val="fr-BE"/>
              </w:rPr>
              <w:t>CR08</w:t>
            </w:r>
          </w:p>
        </w:tc>
        <w:tc>
          <w:tcPr>
            <w:tcW w:w="0" w:type="auto"/>
            <w:shd w:val="clear" w:color="auto" w:fill="auto"/>
          </w:tcPr>
          <w:p w14:paraId="0B35DB49" w14:textId="77777777" w:rsidR="008C5CFA" w:rsidRPr="00BA47B4" w:rsidRDefault="00E82A60" w:rsidP="00300A01">
            <w:pPr>
              <w:spacing w:before="0" w:after="0"/>
              <w:rPr>
                <w:sz w:val="12"/>
                <w:szCs w:val="12"/>
                <w:lang w:val="fr-BE"/>
              </w:rPr>
            </w:pPr>
            <w:r w:rsidRPr="00BA47B4">
              <w:rPr>
                <w:noProof/>
                <w:sz w:val="12"/>
                <w:szCs w:val="12"/>
                <w:lang w:val="fr-BE"/>
              </w:rPr>
              <w:t>uczestnicy powyżej 54 roku życia, pracujący, łącznie z prowadzącymi działalność na własny rachunek, sześć miesięcy po opuszczeniu programu</w:t>
            </w:r>
          </w:p>
        </w:tc>
        <w:tc>
          <w:tcPr>
            <w:tcW w:w="0" w:type="auto"/>
            <w:shd w:val="clear" w:color="auto" w:fill="auto"/>
          </w:tcPr>
          <w:p w14:paraId="2C2A3013" w14:textId="77777777" w:rsidR="008C5CFA" w:rsidRPr="00BA47B4" w:rsidRDefault="00E82A60" w:rsidP="00300A01">
            <w:pPr>
              <w:spacing w:before="0" w:after="0"/>
              <w:rPr>
                <w:sz w:val="12"/>
                <w:szCs w:val="12"/>
                <w:lang w:val="fr-BE"/>
              </w:rPr>
            </w:pPr>
            <w:r w:rsidRPr="00BA47B4">
              <w:rPr>
                <w:noProof/>
                <w:sz w:val="12"/>
                <w:szCs w:val="12"/>
                <w:lang w:val="fr-BE"/>
              </w:rPr>
              <w:t>Słabiej rozwinięte</w:t>
            </w:r>
          </w:p>
        </w:tc>
        <w:tc>
          <w:tcPr>
            <w:tcW w:w="0" w:type="auto"/>
          </w:tcPr>
          <w:p w14:paraId="6983175A" w14:textId="77777777" w:rsidR="008C5CFA" w:rsidRPr="00BA47B4" w:rsidRDefault="00E82A60" w:rsidP="00300A01">
            <w:pPr>
              <w:spacing w:before="0" w:after="0"/>
              <w:jc w:val="right"/>
              <w:rPr>
                <w:sz w:val="12"/>
                <w:szCs w:val="12"/>
                <w:lang w:val="fr-BE"/>
              </w:rPr>
            </w:pPr>
            <w:r w:rsidRPr="00BA47B4">
              <w:rPr>
                <w:noProof/>
                <w:sz w:val="12"/>
                <w:szCs w:val="12"/>
                <w:lang w:val="fr-BE"/>
              </w:rPr>
              <w:t>7,00</w:t>
            </w:r>
          </w:p>
        </w:tc>
        <w:tc>
          <w:tcPr>
            <w:tcW w:w="0" w:type="auto"/>
          </w:tcPr>
          <w:p w14:paraId="6523B85A" w14:textId="77777777" w:rsidR="008C5CFA" w:rsidRPr="00BA47B4" w:rsidRDefault="00E82A60" w:rsidP="00300A01">
            <w:pPr>
              <w:spacing w:before="0" w:after="0"/>
              <w:jc w:val="right"/>
              <w:rPr>
                <w:sz w:val="12"/>
                <w:szCs w:val="12"/>
                <w:lang w:val="fr-BE"/>
              </w:rPr>
            </w:pPr>
            <w:r w:rsidRPr="00BA47B4">
              <w:rPr>
                <w:noProof/>
                <w:sz w:val="12"/>
                <w:szCs w:val="12"/>
                <w:lang w:val="fr-BE"/>
              </w:rPr>
              <w:t>9,00</w:t>
            </w:r>
          </w:p>
        </w:tc>
        <w:tc>
          <w:tcPr>
            <w:tcW w:w="0" w:type="auto"/>
          </w:tcPr>
          <w:p w14:paraId="26643AAD"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6E2BBA7D"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1E9E3DBB"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37B2ED33"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66429531"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23626693"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1105CCDA"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26908A8F"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r>
      <w:tr w:rsidR="006B2EC1" w14:paraId="6A80FC0E" w14:textId="77777777" w:rsidTr="0047688D">
        <w:tc>
          <w:tcPr>
            <w:tcW w:w="0" w:type="auto"/>
            <w:shd w:val="clear" w:color="auto" w:fill="auto"/>
          </w:tcPr>
          <w:p w14:paraId="7C798ABD" w14:textId="77777777" w:rsidR="008C5CFA" w:rsidRPr="00BA47B4" w:rsidRDefault="00E82A60" w:rsidP="00300A01">
            <w:pPr>
              <w:spacing w:before="0" w:after="0"/>
              <w:rPr>
                <w:sz w:val="12"/>
                <w:szCs w:val="12"/>
                <w:lang w:val="fr-BE"/>
              </w:rPr>
            </w:pPr>
            <w:r w:rsidRPr="00BA47B4">
              <w:rPr>
                <w:noProof/>
                <w:sz w:val="12"/>
                <w:szCs w:val="12"/>
                <w:lang w:val="fr-BE"/>
              </w:rPr>
              <w:t>CR09</w:t>
            </w:r>
          </w:p>
        </w:tc>
        <w:tc>
          <w:tcPr>
            <w:tcW w:w="0" w:type="auto"/>
            <w:shd w:val="clear" w:color="auto" w:fill="auto"/>
          </w:tcPr>
          <w:p w14:paraId="5DCC6BF2" w14:textId="77777777" w:rsidR="008C5CFA" w:rsidRPr="00BA47B4" w:rsidRDefault="00E82A60" w:rsidP="00300A01">
            <w:pPr>
              <w:spacing w:before="0" w:after="0"/>
              <w:rPr>
                <w:sz w:val="12"/>
                <w:szCs w:val="12"/>
                <w:lang w:val="fr-BE"/>
              </w:rPr>
            </w:pPr>
            <w:r w:rsidRPr="00BA47B4">
              <w:rPr>
                <w:noProof/>
                <w:sz w:val="12"/>
                <w:szCs w:val="12"/>
                <w:lang w:val="fr-BE"/>
              </w:rPr>
              <w:t>uczestnicy w niekorzystnej sytuacji społecznej, pracujący, łącznie z prowadzącymi działalność na własny rachunek, sześć miesięcy po opuszczeniu programu</w:t>
            </w:r>
          </w:p>
        </w:tc>
        <w:tc>
          <w:tcPr>
            <w:tcW w:w="0" w:type="auto"/>
            <w:shd w:val="clear" w:color="auto" w:fill="auto"/>
          </w:tcPr>
          <w:p w14:paraId="0656035A" w14:textId="77777777" w:rsidR="008C5CFA" w:rsidRPr="00BA47B4" w:rsidRDefault="00E82A60" w:rsidP="00300A01">
            <w:pPr>
              <w:spacing w:before="0" w:after="0"/>
              <w:rPr>
                <w:sz w:val="12"/>
                <w:szCs w:val="12"/>
                <w:lang w:val="fr-BE"/>
              </w:rPr>
            </w:pPr>
            <w:r w:rsidRPr="00BA47B4">
              <w:rPr>
                <w:noProof/>
                <w:sz w:val="12"/>
                <w:szCs w:val="12"/>
                <w:lang w:val="fr-BE"/>
              </w:rPr>
              <w:t>Słabiej rozwinięte</w:t>
            </w:r>
          </w:p>
        </w:tc>
        <w:tc>
          <w:tcPr>
            <w:tcW w:w="0" w:type="auto"/>
          </w:tcPr>
          <w:p w14:paraId="2CCB3E68" w14:textId="77777777" w:rsidR="008C5CFA" w:rsidRPr="00BA47B4" w:rsidRDefault="00E82A60" w:rsidP="00300A01">
            <w:pPr>
              <w:spacing w:before="0" w:after="0"/>
              <w:jc w:val="right"/>
              <w:rPr>
                <w:sz w:val="12"/>
                <w:szCs w:val="12"/>
                <w:lang w:val="fr-BE"/>
              </w:rPr>
            </w:pPr>
            <w:r w:rsidRPr="00BA47B4">
              <w:rPr>
                <w:noProof/>
                <w:sz w:val="12"/>
                <w:szCs w:val="12"/>
                <w:lang w:val="fr-BE"/>
              </w:rPr>
              <w:t>25,00</w:t>
            </w:r>
          </w:p>
        </w:tc>
        <w:tc>
          <w:tcPr>
            <w:tcW w:w="0" w:type="auto"/>
          </w:tcPr>
          <w:p w14:paraId="0C25E3CA" w14:textId="77777777" w:rsidR="008C5CFA" w:rsidRPr="00BA47B4" w:rsidRDefault="00E82A60" w:rsidP="00300A01">
            <w:pPr>
              <w:spacing w:before="0" w:after="0"/>
              <w:jc w:val="right"/>
              <w:rPr>
                <w:sz w:val="12"/>
                <w:szCs w:val="12"/>
                <w:lang w:val="fr-BE"/>
              </w:rPr>
            </w:pPr>
            <w:r w:rsidRPr="00BA47B4">
              <w:rPr>
                <w:noProof/>
                <w:sz w:val="12"/>
                <w:szCs w:val="12"/>
                <w:lang w:val="fr-BE"/>
              </w:rPr>
              <w:t>66,00</w:t>
            </w:r>
          </w:p>
        </w:tc>
        <w:tc>
          <w:tcPr>
            <w:tcW w:w="0" w:type="auto"/>
          </w:tcPr>
          <w:p w14:paraId="24A08537"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3D2357BD"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0FE9AF73"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12FC94B0"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7EE0E978"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15699004"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0DC6A0D4"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1814A169"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r>
    </w:tbl>
    <w:p w14:paraId="715286CA" w14:textId="77777777" w:rsidR="008C5CFA" w:rsidRPr="00530285" w:rsidRDefault="008C5CFA" w:rsidP="00300A01">
      <w:pPr>
        <w:keepNext/>
        <w:spacing w:before="0" w:after="0"/>
        <w:rPr>
          <w:sz w:val="20"/>
          <w:szCs w:val="20"/>
        </w:rPr>
      </w:pPr>
    </w:p>
    <w:p w14:paraId="0609EE32" w14:textId="77777777" w:rsidR="008C5CFA" w:rsidRDefault="00E82A60" w:rsidP="00300A01">
      <w:pPr>
        <w:spacing w:before="0" w:after="0"/>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9"/>
        <w:gridCol w:w="13125"/>
      </w:tblGrid>
      <w:tr w:rsidR="006B2EC1" w14:paraId="081E08D3" w14:textId="77777777" w:rsidTr="0047688D">
        <w:tc>
          <w:tcPr>
            <w:tcW w:w="0" w:type="auto"/>
            <w:shd w:val="clear" w:color="auto" w:fill="auto"/>
          </w:tcPr>
          <w:p w14:paraId="46039C8D" w14:textId="77777777" w:rsidR="008C5CFA" w:rsidRPr="002124FC" w:rsidRDefault="00E82A60" w:rsidP="00300A01">
            <w:pPr>
              <w:spacing w:before="0" w:after="0"/>
              <w:rPr>
                <w:sz w:val="20"/>
                <w:szCs w:val="20"/>
                <w:lang w:val="fr-BE"/>
              </w:rPr>
            </w:pPr>
            <w:r>
              <w:rPr>
                <w:lang w:val="fr-BE"/>
              </w:rPr>
              <w:lastRenderedPageBreak/>
              <w:br w:type="page"/>
            </w:r>
            <w:r>
              <w:rPr>
                <w:lang w:val="fr-BE"/>
              </w:rPr>
              <w:br w:type="page"/>
            </w:r>
            <w:r w:rsidRPr="002124FC">
              <w:rPr>
                <w:noProof/>
                <w:sz w:val="20"/>
                <w:szCs w:val="20"/>
                <w:lang w:val="fr-BE"/>
              </w:rPr>
              <w:t>Oś priorytetowa</w:t>
            </w:r>
          </w:p>
        </w:tc>
        <w:tc>
          <w:tcPr>
            <w:tcW w:w="0" w:type="auto"/>
            <w:shd w:val="clear" w:color="auto" w:fill="auto"/>
          </w:tcPr>
          <w:p w14:paraId="1399A365" w14:textId="77777777" w:rsidR="008C5CFA" w:rsidRPr="002124FC" w:rsidRDefault="00E82A60" w:rsidP="00300A01">
            <w:pPr>
              <w:spacing w:before="0" w:after="0"/>
              <w:rPr>
                <w:sz w:val="20"/>
                <w:szCs w:val="20"/>
                <w:lang w:val="fr-BE"/>
              </w:rPr>
            </w:pPr>
            <w:r w:rsidRPr="002124FC">
              <w:rPr>
                <w:noProof/>
                <w:sz w:val="20"/>
                <w:szCs w:val="20"/>
                <w:lang w:val="fr-BE"/>
              </w:rPr>
              <w:t>9</w:t>
            </w:r>
            <w:r w:rsidRPr="002124FC">
              <w:rPr>
                <w:sz w:val="20"/>
                <w:szCs w:val="20"/>
                <w:lang w:val="fr-BE"/>
              </w:rPr>
              <w:t xml:space="preserve"> - </w:t>
            </w:r>
            <w:r w:rsidRPr="002124FC">
              <w:rPr>
                <w:noProof/>
                <w:sz w:val="20"/>
                <w:szCs w:val="20"/>
                <w:lang w:val="fr-BE"/>
              </w:rPr>
              <w:t>Włączenie społeczne i walka z ubóstwem</w:t>
            </w:r>
          </w:p>
        </w:tc>
      </w:tr>
      <w:tr w:rsidR="006B2EC1" w14:paraId="1833E9AF" w14:textId="77777777" w:rsidTr="0047688D">
        <w:tc>
          <w:tcPr>
            <w:tcW w:w="0" w:type="auto"/>
            <w:shd w:val="clear" w:color="auto" w:fill="auto"/>
          </w:tcPr>
          <w:p w14:paraId="034543CC" w14:textId="77777777" w:rsidR="008C5CFA" w:rsidRPr="002124FC" w:rsidRDefault="00E82A60"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14:paraId="1346A4FB" w14:textId="77777777" w:rsidR="008C5CFA" w:rsidRPr="002124FC" w:rsidRDefault="00E82A60" w:rsidP="00300A01">
            <w:pPr>
              <w:spacing w:before="0" w:after="0"/>
              <w:rPr>
                <w:sz w:val="20"/>
                <w:szCs w:val="20"/>
                <w:lang w:val="fr-BE"/>
              </w:rPr>
            </w:pPr>
            <w:r w:rsidRPr="002124FC">
              <w:rPr>
                <w:noProof/>
                <w:sz w:val="20"/>
                <w:szCs w:val="20"/>
                <w:lang w:val="fr-BE"/>
              </w:rPr>
              <w:t>9iv</w:t>
            </w:r>
            <w:r w:rsidRPr="002124FC">
              <w:rPr>
                <w:sz w:val="20"/>
                <w:szCs w:val="20"/>
                <w:lang w:val="fr-BE"/>
              </w:rPr>
              <w:t xml:space="preserve"> - </w:t>
            </w:r>
            <w:r w:rsidRPr="002124FC">
              <w:rPr>
                <w:noProof/>
                <w:sz w:val="20"/>
                <w:szCs w:val="20"/>
                <w:lang w:val="fr-BE"/>
              </w:rPr>
              <w:t>Ułatwianie dostępu do przystępnych cenowo oraz wysokiej jakości usług, w tym opieki zdrowotnej i usług socjalnych świadczonych w interesie ogólnym</w:t>
            </w:r>
          </w:p>
        </w:tc>
      </w:tr>
    </w:tbl>
    <w:p w14:paraId="1A98A768" w14:textId="77777777" w:rsidR="008C5CFA" w:rsidRPr="00920B4D" w:rsidRDefault="008C5CFA" w:rsidP="00300A01">
      <w:pPr>
        <w:spacing w:before="0" w:after="0"/>
        <w:rPr>
          <w:lang w:val="fr-BE"/>
        </w:rPr>
      </w:pPr>
    </w:p>
    <w:p w14:paraId="6D5B0989" w14:textId="77777777" w:rsidR="008C5CFA" w:rsidRPr="008E457C" w:rsidRDefault="00E82A60" w:rsidP="005272C2">
      <w:pPr>
        <w:pStyle w:val="Nagwek2"/>
        <w:spacing w:before="0" w:after="0"/>
        <w:rPr>
          <w:lang w:val="fr-BE"/>
        </w:rPr>
      </w:pPr>
      <w:bookmarkStart w:id="72" w:name="_Toc46391756"/>
      <w:r w:rsidRPr="008E457C">
        <w:rPr>
          <w:noProof/>
          <w:lang w:val="fr-BE"/>
        </w:rPr>
        <w:t>Tabela 2C</w:t>
      </w:r>
      <w:r w:rsidRPr="008E457C">
        <w:rPr>
          <w:lang w:val="fr-BE"/>
        </w:rPr>
        <w:t xml:space="preserve"> : </w:t>
      </w:r>
      <w:r w:rsidRPr="008E457C">
        <w:rPr>
          <w:noProof/>
          <w:lang w:val="fr-BE"/>
        </w:rPr>
        <w:t>Specyficzne dla programu wskaźniki rezultatu dla EFS oraz Inicjatywy na rzecz zatrudnienia ludzi młodych</w:t>
      </w:r>
      <w:bookmarkEnd w:id="72"/>
    </w:p>
    <w:p w14:paraId="5889B4EB"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64"/>
        <w:gridCol w:w="4194"/>
        <w:gridCol w:w="664"/>
        <w:gridCol w:w="859"/>
        <w:gridCol w:w="1428"/>
        <w:gridCol w:w="1269"/>
        <w:gridCol w:w="464"/>
        <w:gridCol w:w="564"/>
        <w:gridCol w:w="453"/>
        <w:gridCol w:w="448"/>
        <w:gridCol w:w="564"/>
        <w:gridCol w:w="453"/>
        <w:gridCol w:w="464"/>
        <w:gridCol w:w="564"/>
        <w:gridCol w:w="453"/>
        <w:gridCol w:w="464"/>
        <w:gridCol w:w="564"/>
        <w:gridCol w:w="453"/>
        <w:gridCol w:w="598"/>
      </w:tblGrid>
      <w:tr w:rsidR="006B2EC1" w14:paraId="3C2C1FD6" w14:textId="77777777" w:rsidTr="0047688D">
        <w:trPr>
          <w:tblHeader/>
        </w:trPr>
        <w:tc>
          <w:tcPr>
            <w:tcW w:w="0" w:type="auto"/>
            <w:shd w:val="clear" w:color="auto" w:fill="auto"/>
          </w:tcPr>
          <w:p w14:paraId="35EE87CB" w14:textId="77777777" w:rsidR="008C5CFA" w:rsidRPr="00601E29" w:rsidRDefault="00E82A60" w:rsidP="00300A01">
            <w:pPr>
              <w:spacing w:before="0" w:after="0"/>
              <w:rPr>
                <w:b/>
                <w:sz w:val="10"/>
                <w:szCs w:val="10"/>
                <w:lang w:val="fr-BE"/>
              </w:rPr>
            </w:pPr>
            <w:r w:rsidRPr="00601E29">
              <w:rPr>
                <w:b/>
                <w:noProof/>
                <w:sz w:val="10"/>
                <w:szCs w:val="10"/>
                <w:lang w:val="fr-BE"/>
              </w:rPr>
              <w:t>ID</w:t>
            </w:r>
          </w:p>
        </w:tc>
        <w:tc>
          <w:tcPr>
            <w:tcW w:w="0" w:type="auto"/>
            <w:shd w:val="clear" w:color="auto" w:fill="auto"/>
          </w:tcPr>
          <w:p w14:paraId="1ADC4A38" w14:textId="77777777" w:rsidR="008C5CFA" w:rsidRPr="00601E29" w:rsidRDefault="00E82A60" w:rsidP="00300A01">
            <w:pPr>
              <w:spacing w:before="0" w:after="0"/>
              <w:rPr>
                <w:b/>
                <w:sz w:val="10"/>
                <w:szCs w:val="10"/>
                <w:lang w:val="fr-BE"/>
              </w:rPr>
            </w:pPr>
            <w:r w:rsidRPr="00601E29">
              <w:rPr>
                <w:b/>
                <w:noProof/>
                <w:sz w:val="10"/>
                <w:szCs w:val="10"/>
                <w:lang w:val="fr-BE"/>
              </w:rPr>
              <w:t>Wskaźnik</w:t>
            </w:r>
          </w:p>
        </w:tc>
        <w:tc>
          <w:tcPr>
            <w:tcW w:w="0" w:type="auto"/>
            <w:shd w:val="clear" w:color="auto" w:fill="auto"/>
          </w:tcPr>
          <w:p w14:paraId="10180729" w14:textId="77777777" w:rsidR="008C5CFA" w:rsidRPr="00601E29" w:rsidRDefault="00E82A60" w:rsidP="00300A01">
            <w:pPr>
              <w:spacing w:before="0" w:after="0"/>
              <w:rPr>
                <w:b/>
                <w:sz w:val="10"/>
                <w:szCs w:val="10"/>
                <w:lang w:val="fr-BE"/>
              </w:rPr>
            </w:pPr>
            <w:r w:rsidRPr="00601E29">
              <w:rPr>
                <w:b/>
                <w:noProof/>
                <w:sz w:val="10"/>
                <w:szCs w:val="10"/>
                <w:lang w:val="fr-BE"/>
              </w:rPr>
              <w:t>Kategoria regionu</w:t>
            </w:r>
          </w:p>
        </w:tc>
        <w:tc>
          <w:tcPr>
            <w:tcW w:w="0" w:type="auto"/>
            <w:shd w:val="clear" w:color="auto" w:fill="auto"/>
          </w:tcPr>
          <w:p w14:paraId="04D767F2" w14:textId="77777777" w:rsidR="008C5CFA" w:rsidRPr="00601E29" w:rsidRDefault="00E82A60" w:rsidP="00300A01">
            <w:pPr>
              <w:spacing w:before="0" w:after="0"/>
              <w:rPr>
                <w:b/>
                <w:sz w:val="10"/>
                <w:szCs w:val="10"/>
                <w:lang w:val="fr-BE"/>
              </w:rPr>
            </w:pPr>
            <w:r w:rsidRPr="00785F4A">
              <w:rPr>
                <w:b/>
                <w:noProof/>
                <w:sz w:val="10"/>
                <w:szCs w:val="10"/>
                <w:lang w:val="fr-BE"/>
              </w:rPr>
              <w:t>Jednostka pomiaru wskaźnika</w:t>
            </w:r>
          </w:p>
        </w:tc>
        <w:tc>
          <w:tcPr>
            <w:tcW w:w="0" w:type="auto"/>
            <w:shd w:val="clear" w:color="auto" w:fill="auto"/>
          </w:tcPr>
          <w:p w14:paraId="56BB5D4B" w14:textId="77777777" w:rsidR="008C5CFA" w:rsidRPr="00601E29" w:rsidRDefault="00E82A60" w:rsidP="00300A01">
            <w:pPr>
              <w:spacing w:before="0" w:after="0"/>
              <w:rPr>
                <w:b/>
                <w:sz w:val="10"/>
                <w:szCs w:val="10"/>
                <w:lang w:val="fr-BE"/>
              </w:rPr>
            </w:pPr>
            <w:r w:rsidRPr="00601E29">
              <w:rPr>
                <w:b/>
                <w:noProof/>
                <w:sz w:val="10"/>
                <w:szCs w:val="10"/>
                <w:lang w:val="fr-BE"/>
              </w:rPr>
              <w:t>Wskaźnik produktu stosowany jako podstawa do ustalania celów</w:t>
            </w:r>
          </w:p>
        </w:tc>
        <w:tc>
          <w:tcPr>
            <w:tcW w:w="0" w:type="auto"/>
            <w:shd w:val="clear" w:color="auto" w:fill="auto"/>
          </w:tcPr>
          <w:p w14:paraId="6CF6F0CB" w14:textId="77777777" w:rsidR="008C5CFA" w:rsidRPr="00601E29" w:rsidRDefault="00E82A60" w:rsidP="00300A01">
            <w:pPr>
              <w:spacing w:before="0" w:after="0"/>
              <w:rPr>
                <w:b/>
                <w:sz w:val="10"/>
                <w:szCs w:val="10"/>
                <w:lang w:val="fr-BE"/>
              </w:rPr>
            </w:pPr>
            <w:r w:rsidRPr="00601E29">
              <w:rPr>
                <w:b/>
                <w:noProof/>
                <w:sz w:val="10"/>
                <w:szCs w:val="10"/>
                <w:lang w:val="fr-BE"/>
              </w:rPr>
              <w:t>Jednostka pomiaru dla wartości bazowej i docelowej</w:t>
            </w:r>
          </w:p>
        </w:tc>
        <w:tc>
          <w:tcPr>
            <w:tcW w:w="0" w:type="auto"/>
            <w:gridSpan w:val="3"/>
            <w:shd w:val="clear" w:color="auto" w:fill="auto"/>
          </w:tcPr>
          <w:p w14:paraId="588080D3" w14:textId="77777777" w:rsidR="008C5CFA" w:rsidRPr="00601E29" w:rsidRDefault="00E82A60" w:rsidP="00300A01">
            <w:pPr>
              <w:spacing w:before="0" w:after="0"/>
              <w:jc w:val="center"/>
              <w:rPr>
                <w:b/>
                <w:sz w:val="10"/>
                <w:szCs w:val="10"/>
                <w:lang w:val="fr-BE"/>
              </w:rPr>
            </w:pPr>
            <w:r w:rsidRPr="00601E29">
              <w:rPr>
                <w:b/>
                <w:noProof/>
                <w:sz w:val="10"/>
                <w:szCs w:val="10"/>
                <w:lang w:val="fr-BE"/>
              </w:rPr>
              <w:t>Wartość docelowa (2023)</w:t>
            </w:r>
          </w:p>
        </w:tc>
        <w:tc>
          <w:tcPr>
            <w:tcW w:w="0" w:type="auto"/>
            <w:gridSpan w:val="3"/>
            <w:shd w:val="clear" w:color="auto" w:fill="auto"/>
          </w:tcPr>
          <w:p w14:paraId="54DAF9D7" w14:textId="77777777" w:rsidR="008C5CFA" w:rsidRPr="00601E29" w:rsidRDefault="00E82A60" w:rsidP="00300A01">
            <w:pPr>
              <w:spacing w:before="0" w:after="0"/>
              <w:jc w:val="center"/>
              <w:rPr>
                <w:b/>
                <w:sz w:val="10"/>
                <w:szCs w:val="10"/>
                <w:lang w:val="fr-BE"/>
              </w:rPr>
            </w:pPr>
            <w:r w:rsidRPr="00601E29">
              <w:rPr>
                <w:b/>
                <w:noProof/>
                <w:sz w:val="10"/>
                <w:szCs w:val="10"/>
                <w:lang w:val="fr-BE"/>
              </w:rPr>
              <w:t>Wskaźnik osiągnięć</w:t>
            </w:r>
          </w:p>
        </w:tc>
        <w:tc>
          <w:tcPr>
            <w:tcW w:w="0" w:type="auto"/>
            <w:gridSpan w:val="7"/>
            <w:shd w:val="clear" w:color="auto" w:fill="auto"/>
          </w:tcPr>
          <w:p w14:paraId="6FAF891D" w14:textId="77777777" w:rsidR="008C5CFA" w:rsidRPr="00601E29" w:rsidRDefault="00E82A60" w:rsidP="00300A01">
            <w:pPr>
              <w:spacing w:before="0" w:after="0"/>
              <w:jc w:val="center"/>
              <w:rPr>
                <w:b/>
                <w:sz w:val="10"/>
                <w:szCs w:val="10"/>
                <w:lang w:val="fr-BE"/>
              </w:rPr>
            </w:pPr>
            <w:r>
              <w:rPr>
                <w:b/>
                <w:sz w:val="10"/>
                <w:szCs w:val="10"/>
                <w:lang w:val="fr-BE"/>
              </w:rPr>
              <w:t>2019</w:t>
            </w:r>
          </w:p>
        </w:tc>
      </w:tr>
      <w:tr w:rsidR="006B2EC1" w14:paraId="4C9B51B7" w14:textId="77777777" w:rsidTr="0047688D">
        <w:trPr>
          <w:tblHeader/>
        </w:trPr>
        <w:tc>
          <w:tcPr>
            <w:tcW w:w="0" w:type="auto"/>
            <w:shd w:val="clear" w:color="auto" w:fill="auto"/>
          </w:tcPr>
          <w:p w14:paraId="03CE29CA" w14:textId="77777777" w:rsidR="008C5CFA" w:rsidRPr="00601E29" w:rsidRDefault="008C5CFA" w:rsidP="00300A01">
            <w:pPr>
              <w:spacing w:before="0" w:after="0"/>
              <w:rPr>
                <w:b/>
                <w:sz w:val="10"/>
                <w:szCs w:val="10"/>
                <w:lang w:val="fr-BE"/>
              </w:rPr>
            </w:pPr>
          </w:p>
        </w:tc>
        <w:tc>
          <w:tcPr>
            <w:tcW w:w="0" w:type="auto"/>
            <w:shd w:val="clear" w:color="auto" w:fill="auto"/>
          </w:tcPr>
          <w:p w14:paraId="1725E415" w14:textId="77777777" w:rsidR="008C5CFA" w:rsidRPr="00601E29" w:rsidRDefault="008C5CFA" w:rsidP="00300A01">
            <w:pPr>
              <w:spacing w:before="0" w:after="0"/>
              <w:rPr>
                <w:b/>
                <w:sz w:val="10"/>
                <w:szCs w:val="10"/>
                <w:lang w:val="fr-BE"/>
              </w:rPr>
            </w:pPr>
          </w:p>
        </w:tc>
        <w:tc>
          <w:tcPr>
            <w:tcW w:w="0" w:type="auto"/>
            <w:shd w:val="clear" w:color="auto" w:fill="auto"/>
          </w:tcPr>
          <w:p w14:paraId="23ABA7DD" w14:textId="77777777" w:rsidR="008C5CFA" w:rsidRPr="00601E29" w:rsidRDefault="008C5CFA" w:rsidP="00300A01">
            <w:pPr>
              <w:spacing w:before="0" w:after="0"/>
              <w:rPr>
                <w:b/>
                <w:sz w:val="10"/>
                <w:szCs w:val="10"/>
                <w:lang w:val="fr-BE"/>
              </w:rPr>
            </w:pPr>
          </w:p>
        </w:tc>
        <w:tc>
          <w:tcPr>
            <w:tcW w:w="0" w:type="auto"/>
            <w:shd w:val="clear" w:color="auto" w:fill="auto"/>
          </w:tcPr>
          <w:p w14:paraId="0B537F89" w14:textId="77777777" w:rsidR="008C5CFA" w:rsidRPr="00601E29" w:rsidRDefault="008C5CFA" w:rsidP="00300A01">
            <w:pPr>
              <w:spacing w:before="0" w:after="0"/>
              <w:rPr>
                <w:b/>
                <w:sz w:val="10"/>
                <w:szCs w:val="10"/>
                <w:lang w:val="fr-BE"/>
              </w:rPr>
            </w:pPr>
          </w:p>
        </w:tc>
        <w:tc>
          <w:tcPr>
            <w:tcW w:w="0" w:type="auto"/>
            <w:shd w:val="clear" w:color="auto" w:fill="auto"/>
          </w:tcPr>
          <w:p w14:paraId="1D5071BB" w14:textId="77777777" w:rsidR="008C5CFA" w:rsidRPr="00601E29" w:rsidRDefault="008C5CFA" w:rsidP="00300A01">
            <w:pPr>
              <w:spacing w:before="0" w:after="0"/>
              <w:rPr>
                <w:b/>
                <w:sz w:val="10"/>
                <w:szCs w:val="10"/>
                <w:lang w:val="fr-BE"/>
              </w:rPr>
            </w:pPr>
          </w:p>
        </w:tc>
        <w:tc>
          <w:tcPr>
            <w:tcW w:w="0" w:type="auto"/>
            <w:shd w:val="clear" w:color="auto" w:fill="auto"/>
          </w:tcPr>
          <w:p w14:paraId="3227C6EF" w14:textId="77777777" w:rsidR="008C5CFA" w:rsidRPr="00601E29" w:rsidRDefault="008C5CFA" w:rsidP="00300A01">
            <w:pPr>
              <w:spacing w:before="0" w:after="0"/>
              <w:rPr>
                <w:b/>
                <w:sz w:val="10"/>
                <w:szCs w:val="10"/>
                <w:lang w:val="fr-BE"/>
              </w:rPr>
            </w:pPr>
          </w:p>
        </w:tc>
        <w:tc>
          <w:tcPr>
            <w:tcW w:w="0" w:type="auto"/>
            <w:shd w:val="clear" w:color="auto" w:fill="auto"/>
          </w:tcPr>
          <w:p w14:paraId="3B079AE9" w14:textId="77777777" w:rsidR="008C5CFA" w:rsidRPr="00601E29" w:rsidRDefault="008C5CFA" w:rsidP="00300A01">
            <w:pPr>
              <w:spacing w:before="0" w:after="0"/>
              <w:jc w:val="center"/>
              <w:rPr>
                <w:b/>
                <w:sz w:val="10"/>
                <w:szCs w:val="10"/>
                <w:lang w:val="fr-BE"/>
              </w:rPr>
            </w:pPr>
          </w:p>
        </w:tc>
        <w:tc>
          <w:tcPr>
            <w:tcW w:w="0" w:type="auto"/>
            <w:shd w:val="clear" w:color="auto" w:fill="auto"/>
          </w:tcPr>
          <w:p w14:paraId="2DCEBF8D" w14:textId="77777777" w:rsidR="008C5CFA" w:rsidRPr="00601E29" w:rsidRDefault="008C5CFA" w:rsidP="00300A01">
            <w:pPr>
              <w:spacing w:before="0" w:after="0"/>
              <w:jc w:val="center"/>
              <w:rPr>
                <w:b/>
                <w:sz w:val="10"/>
                <w:szCs w:val="10"/>
                <w:lang w:val="fr-BE"/>
              </w:rPr>
            </w:pPr>
          </w:p>
        </w:tc>
        <w:tc>
          <w:tcPr>
            <w:tcW w:w="0" w:type="auto"/>
            <w:shd w:val="clear" w:color="auto" w:fill="auto"/>
          </w:tcPr>
          <w:p w14:paraId="6F975511" w14:textId="77777777" w:rsidR="008C5CFA" w:rsidRPr="00601E29" w:rsidRDefault="008C5CFA" w:rsidP="00300A01">
            <w:pPr>
              <w:spacing w:before="0" w:after="0"/>
              <w:jc w:val="center"/>
              <w:rPr>
                <w:b/>
                <w:sz w:val="10"/>
                <w:szCs w:val="10"/>
                <w:lang w:val="fr-BE"/>
              </w:rPr>
            </w:pPr>
          </w:p>
        </w:tc>
        <w:tc>
          <w:tcPr>
            <w:tcW w:w="0" w:type="auto"/>
            <w:shd w:val="clear" w:color="auto" w:fill="auto"/>
          </w:tcPr>
          <w:p w14:paraId="1BA76D02" w14:textId="77777777" w:rsidR="008C5CFA" w:rsidRPr="00601E29" w:rsidRDefault="008C5CFA" w:rsidP="00300A01">
            <w:pPr>
              <w:spacing w:before="0" w:after="0"/>
              <w:jc w:val="center"/>
              <w:rPr>
                <w:b/>
                <w:sz w:val="10"/>
                <w:szCs w:val="10"/>
                <w:lang w:val="fr-BE"/>
              </w:rPr>
            </w:pPr>
          </w:p>
        </w:tc>
        <w:tc>
          <w:tcPr>
            <w:tcW w:w="0" w:type="auto"/>
            <w:shd w:val="clear" w:color="auto" w:fill="auto"/>
          </w:tcPr>
          <w:p w14:paraId="010D94B6" w14:textId="77777777" w:rsidR="008C5CFA" w:rsidRPr="00601E29" w:rsidRDefault="008C5CFA" w:rsidP="00300A01">
            <w:pPr>
              <w:spacing w:before="0" w:after="0"/>
              <w:jc w:val="center"/>
              <w:rPr>
                <w:b/>
                <w:sz w:val="10"/>
                <w:szCs w:val="10"/>
                <w:lang w:val="fr-BE"/>
              </w:rPr>
            </w:pPr>
          </w:p>
        </w:tc>
        <w:tc>
          <w:tcPr>
            <w:tcW w:w="0" w:type="auto"/>
            <w:shd w:val="clear" w:color="auto" w:fill="auto"/>
          </w:tcPr>
          <w:p w14:paraId="010EB954" w14:textId="77777777" w:rsidR="008C5CFA" w:rsidRPr="00601E29" w:rsidRDefault="008C5CFA" w:rsidP="00300A01">
            <w:pPr>
              <w:spacing w:before="0" w:after="0"/>
              <w:jc w:val="center"/>
              <w:rPr>
                <w:b/>
                <w:sz w:val="10"/>
                <w:szCs w:val="10"/>
                <w:lang w:val="fr-BE"/>
              </w:rPr>
            </w:pPr>
          </w:p>
        </w:tc>
        <w:tc>
          <w:tcPr>
            <w:tcW w:w="0" w:type="auto"/>
            <w:gridSpan w:val="3"/>
            <w:shd w:val="clear" w:color="auto" w:fill="auto"/>
          </w:tcPr>
          <w:p w14:paraId="2CE86944" w14:textId="77777777" w:rsidR="008C5CFA" w:rsidRPr="00601E29" w:rsidRDefault="00E82A60" w:rsidP="00300A01">
            <w:pPr>
              <w:spacing w:before="0" w:after="0"/>
              <w:jc w:val="center"/>
              <w:rPr>
                <w:b/>
                <w:sz w:val="10"/>
                <w:szCs w:val="10"/>
                <w:lang w:val="fr-BE"/>
              </w:rPr>
            </w:pPr>
            <w:r w:rsidRPr="00601E29">
              <w:rPr>
                <w:b/>
                <w:noProof/>
                <w:sz w:val="10"/>
                <w:szCs w:val="10"/>
                <w:lang w:val="fr-BE"/>
              </w:rPr>
              <w:t>Łącznie</w:t>
            </w:r>
          </w:p>
        </w:tc>
        <w:tc>
          <w:tcPr>
            <w:tcW w:w="0" w:type="auto"/>
            <w:gridSpan w:val="3"/>
          </w:tcPr>
          <w:p w14:paraId="6B1B18F2" w14:textId="77777777" w:rsidR="008C5CFA" w:rsidRPr="00601E29" w:rsidRDefault="00E82A60" w:rsidP="00300A01">
            <w:pPr>
              <w:spacing w:before="0" w:after="0"/>
              <w:jc w:val="center"/>
              <w:rPr>
                <w:b/>
                <w:sz w:val="10"/>
                <w:szCs w:val="10"/>
                <w:lang w:val="fr-BE"/>
              </w:rPr>
            </w:pPr>
            <w:r w:rsidRPr="00601E29">
              <w:rPr>
                <w:b/>
                <w:noProof/>
                <w:sz w:val="10"/>
                <w:szCs w:val="10"/>
                <w:lang w:val="fr-BE"/>
              </w:rPr>
              <w:t>Łącznie w roku</w:t>
            </w:r>
          </w:p>
        </w:tc>
        <w:tc>
          <w:tcPr>
            <w:tcW w:w="0" w:type="auto"/>
          </w:tcPr>
          <w:p w14:paraId="0998F929" w14:textId="77777777" w:rsidR="008C5CFA" w:rsidRPr="00601E29" w:rsidRDefault="00E82A60" w:rsidP="00300A01">
            <w:pPr>
              <w:spacing w:before="0" w:after="0"/>
              <w:jc w:val="center"/>
              <w:rPr>
                <w:b/>
                <w:sz w:val="10"/>
                <w:szCs w:val="10"/>
                <w:lang w:val="fr-BE"/>
              </w:rPr>
            </w:pPr>
            <w:r w:rsidRPr="00601E29">
              <w:rPr>
                <w:b/>
                <w:noProof/>
                <w:sz w:val="10"/>
                <w:szCs w:val="10"/>
                <w:lang w:val="fr-BE"/>
              </w:rPr>
              <w:t>Jakościowe</w:t>
            </w:r>
          </w:p>
        </w:tc>
      </w:tr>
      <w:tr w:rsidR="006B2EC1" w14:paraId="50AF4817" w14:textId="77777777" w:rsidTr="0047688D">
        <w:trPr>
          <w:tblHeader/>
        </w:trPr>
        <w:tc>
          <w:tcPr>
            <w:tcW w:w="0" w:type="auto"/>
            <w:shd w:val="clear" w:color="auto" w:fill="auto"/>
          </w:tcPr>
          <w:p w14:paraId="7D9ABFAE" w14:textId="77777777" w:rsidR="008C5CFA" w:rsidRPr="00601E29" w:rsidRDefault="008C5CFA" w:rsidP="00300A01">
            <w:pPr>
              <w:spacing w:before="0" w:after="0"/>
              <w:rPr>
                <w:b/>
                <w:sz w:val="10"/>
                <w:szCs w:val="10"/>
                <w:lang w:val="fr-BE"/>
              </w:rPr>
            </w:pPr>
          </w:p>
        </w:tc>
        <w:tc>
          <w:tcPr>
            <w:tcW w:w="0" w:type="auto"/>
            <w:shd w:val="clear" w:color="auto" w:fill="auto"/>
          </w:tcPr>
          <w:p w14:paraId="34B86D20" w14:textId="77777777" w:rsidR="008C5CFA" w:rsidRPr="00601E29" w:rsidRDefault="008C5CFA" w:rsidP="00300A01">
            <w:pPr>
              <w:spacing w:before="0" w:after="0"/>
              <w:rPr>
                <w:b/>
                <w:sz w:val="10"/>
                <w:szCs w:val="10"/>
                <w:lang w:val="fr-BE"/>
              </w:rPr>
            </w:pPr>
          </w:p>
        </w:tc>
        <w:tc>
          <w:tcPr>
            <w:tcW w:w="0" w:type="auto"/>
            <w:shd w:val="clear" w:color="auto" w:fill="auto"/>
          </w:tcPr>
          <w:p w14:paraId="223F224B" w14:textId="77777777" w:rsidR="008C5CFA" w:rsidRPr="00601E29" w:rsidRDefault="008C5CFA" w:rsidP="00300A01">
            <w:pPr>
              <w:spacing w:before="0" w:after="0"/>
              <w:rPr>
                <w:b/>
                <w:sz w:val="10"/>
                <w:szCs w:val="10"/>
                <w:lang w:val="fr-BE"/>
              </w:rPr>
            </w:pPr>
          </w:p>
        </w:tc>
        <w:tc>
          <w:tcPr>
            <w:tcW w:w="0" w:type="auto"/>
            <w:shd w:val="clear" w:color="auto" w:fill="auto"/>
          </w:tcPr>
          <w:p w14:paraId="6B135D87" w14:textId="77777777" w:rsidR="008C5CFA" w:rsidRPr="00601E29" w:rsidRDefault="008C5CFA" w:rsidP="00300A01">
            <w:pPr>
              <w:spacing w:before="0" w:after="0"/>
              <w:rPr>
                <w:b/>
                <w:sz w:val="10"/>
                <w:szCs w:val="10"/>
                <w:lang w:val="fr-BE"/>
              </w:rPr>
            </w:pPr>
          </w:p>
        </w:tc>
        <w:tc>
          <w:tcPr>
            <w:tcW w:w="0" w:type="auto"/>
            <w:shd w:val="clear" w:color="auto" w:fill="auto"/>
          </w:tcPr>
          <w:p w14:paraId="60F7EC6B" w14:textId="77777777" w:rsidR="008C5CFA" w:rsidRPr="00601E29" w:rsidRDefault="008C5CFA" w:rsidP="00300A01">
            <w:pPr>
              <w:spacing w:before="0" w:after="0"/>
              <w:rPr>
                <w:b/>
                <w:sz w:val="10"/>
                <w:szCs w:val="10"/>
                <w:lang w:val="fr-BE"/>
              </w:rPr>
            </w:pPr>
          </w:p>
        </w:tc>
        <w:tc>
          <w:tcPr>
            <w:tcW w:w="0" w:type="auto"/>
            <w:shd w:val="clear" w:color="auto" w:fill="auto"/>
          </w:tcPr>
          <w:p w14:paraId="22359FC3" w14:textId="77777777" w:rsidR="008C5CFA" w:rsidRPr="00601E29" w:rsidRDefault="008C5CFA" w:rsidP="00300A01">
            <w:pPr>
              <w:spacing w:before="0" w:after="0"/>
              <w:rPr>
                <w:b/>
                <w:sz w:val="10"/>
                <w:szCs w:val="10"/>
                <w:lang w:val="fr-BE"/>
              </w:rPr>
            </w:pPr>
          </w:p>
        </w:tc>
        <w:tc>
          <w:tcPr>
            <w:tcW w:w="0" w:type="auto"/>
            <w:shd w:val="clear" w:color="auto" w:fill="auto"/>
          </w:tcPr>
          <w:p w14:paraId="7E3EBBFA" w14:textId="77777777" w:rsidR="008C5CFA" w:rsidRPr="00601E29" w:rsidRDefault="00E82A60" w:rsidP="00300A01">
            <w:pPr>
              <w:spacing w:before="0" w:after="0"/>
              <w:jc w:val="center"/>
              <w:rPr>
                <w:b/>
                <w:sz w:val="10"/>
                <w:szCs w:val="10"/>
                <w:lang w:val="fr-BE"/>
              </w:rPr>
            </w:pPr>
            <w:r w:rsidRPr="00601E29">
              <w:rPr>
                <w:b/>
                <w:noProof/>
                <w:sz w:val="10"/>
                <w:szCs w:val="10"/>
                <w:lang w:val="fr-BE"/>
              </w:rPr>
              <w:t>Ogółem</w:t>
            </w:r>
          </w:p>
        </w:tc>
        <w:tc>
          <w:tcPr>
            <w:tcW w:w="0" w:type="auto"/>
            <w:shd w:val="clear" w:color="auto" w:fill="auto"/>
          </w:tcPr>
          <w:p w14:paraId="47BE523E" w14:textId="77777777" w:rsidR="008C5CFA" w:rsidRPr="00601E29" w:rsidRDefault="00E82A60" w:rsidP="00300A01">
            <w:pPr>
              <w:spacing w:before="0" w:after="0"/>
              <w:jc w:val="center"/>
              <w:rPr>
                <w:b/>
                <w:sz w:val="10"/>
                <w:szCs w:val="10"/>
                <w:lang w:val="fr-BE"/>
              </w:rPr>
            </w:pPr>
            <w:r w:rsidRPr="00601E29">
              <w:rPr>
                <w:b/>
                <w:noProof/>
                <w:sz w:val="10"/>
                <w:szCs w:val="10"/>
                <w:lang w:val="fr-BE"/>
              </w:rPr>
              <w:t>Mężczyźni</w:t>
            </w:r>
          </w:p>
        </w:tc>
        <w:tc>
          <w:tcPr>
            <w:tcW w:w="0" w:type="auto"/>
            <w:shd w:val="clear" w:color="auto" w:fill="auto"/>
          </w:tcPr>
          <w:p w14:paraId="6B65E811" w14:textId="77777777" w:rsidR="008C5CFA" w:rsidRPr="00601E29" w:rsidRDefault="00E82A60" w:rsidP="00300A01">
            <w:pPr>
              <w:spacing w:before="0" w:after="0"/>
              <w:jc w:val="center"/>
              <w:rPr>
                <w:b/>
                <w:sz w:val="10"/>
                <w:szCs w:val="10"/>
                <w:lang w:val="fr-BE"/>
              </w:rPr>
            </w:pPr>
            <w:r w:rsidRPr="00601E29">
              <w:rPr>
                <w:b/>
                <w:noProof/>
                <w:sz w:val="10"/>
                <w:szCs w:val="10"/>
                <w:lang w:val="fr-BE"/>
              </w:rPr>
              <w:t>Kobiety</w:t>
            </w:r>
          </w:p>
        </w:tc>
        <w:tc>
          <w:tcPr>
            <w:tcW w:w="0" w:type="auto"/>
            <w:shd w:val="clear" w:color="auto" w:fill="auto"/>
          </w:tcPr>
          <w:p w14:paraId="3F84C252" w14:textId="77777777" w:rsidR="008C5CFA" w:rsidRPr="00601E29" w:rsidRDefault="00E82A60" w:rsidP="00300A01">
            <w:pPr>
              <w:spacing w:before="0" w:after="0"/>
              <w:jc w:val="center"/>
              <w:rPr>
                <w:b/>
                <w:sz w:val="10"/>
                <w:szCs w:val="10"/>
                <w:lang w:val="fr-BE"/>
              </w:rPr>
            </w:pPr>
            <w:r w:rsidRPr="00601E29">
              <w:rPr>
                <w:b/>
                <w:noProof/>
                <w:sz w:val="10"/>
                <w:szCs w:val="10"/>
                <w:lang w:val="fr-BE"/>
              </w:rPr>
              <w:t>Ogółem</w:t>
            </w:r>
          </w:p>
        </w:tc>
        <w:tc>
          <w:tcPr>
            <w:tcW w:w="0" w:type="auto"/>
            <w:shd w:val="clear" w:color="auto" w:fill="auto"/>
          </w:tcPr>
          <w:p w14:paraId="631F9E3A" w14:textId="77777777" w:rsidR="008C5CFA" w:rsidRPr="00601E29" w:rsidRDefault="00E82A60" w:rsidP="00300A01">
            <w:pPr>
              <w:spacing w:before="0" w:after="0"/>
              <w:jc w:val="center"/>
              <w:rPr>
                <w:b/>
                <w:sz w:val="10"/>
                <w:szCs w:val="10"/>
                <w:lang w:val="fr-BE"/>
              </w:rPr>
            </w:pPr>
            <w:r w:rsidRPr="00601E29">
              <w:rPr>
                <w:b/>
                <w:noProof/>
                <w:sz w:val="10"/>
                <w:szCs w:val="10"/>
                <w:lang w:val="fr-BE"/>
              </w:rPr>
              <w:t>Mężczyźni</w:t>
            </w:r>
          </w:p>
        </w:tc>
        <w:tc>
          <w:tcPr>
            <w:tcW w:w="0" w:type="auto"/>
            <w:shd w:val="clear" w:color="auto" w:fill="auto"/>
          </w:tcPr>
          <w:p w14:paraId="4F05FA20" w14:textId="77777777" w:rsidR="008C5CFA" w:rsidRPr="00601E29" w:rsidRDefault="00E82A60" w:rsidP="00300A01">
            <w:pPr>
              <w:spacing w:before="0" w:after="0"/>
              <w:jc w:val="center"/>
              <w:rPr>
                <w:b/>
                <w:sz w:val="10"/>
                <w:szCs w:val="10"/>
                <w:lang w:val="fr-BE"/>
              </w:rPr>
            </w:pPr>
            <w:r w:rsidRPr="00601E29">
              <w:rPr>
                <w:b/>
                <w:noProof/>
                <w:sz w:val="10"/>
                <w:szCs w:val="10"/>
                <w:lang w:val="fr-BE"/>
              </w:rPr>
              <w:t>Kobiety</w:t>
            </w:r>
          </w:p>
        </w:tc>
        <w:tc>
          <w:tcPr>
            <w:tcW w:w="0" w:type="auto"/>
            <w:shd w:val="clear" w:color="auto" w:fill="auto"/>
          </w:tcPr>
          <w:p w14:paraId="33597C69" w14:textId="77777777" w:rsidR="008C5CFA" w:rsidRPr="00601E29" w:rsidRDefault="00E82A60" w:rsidP="00300A01">
            <w:pPr>
              <w:spacing w:before="0" w:after="0"/>
              <w:jc w:val="center"/>
              <w:rPr>
                <w:b/>
                <w:sz w:val="10"/>
                <w:szCs w:val="10"/>
                <w:lang w:val="fr-BE"/>
              </w:rPr>
            </w:pPr>
            <w:r w:rsidRPr="00601E29">
              <w:rPr>
                <w:b/>
                <w:noProof/>
                <w:sz w:val="10"/>
                <w:szCs w:val="10"/>
                <w:lang w:val="fr-BE"/>
              </w:rPr>
              <w:t>Ogółem</w:t>
            </w:r>
          </w:p>
        </w:tc>
        <w:tc>
          <w:tcPr>
            <w:tcW w:w="0" w:type="auto"/>
            <w:shd w:val="clear" w:color="auto" w:fill="auto"/>
          </w:tcPr>
          <w:p w14:paraId="0B06995F" w14:textId="77777777" w:rsidR="008C5CFA" w:rsidRPr="00601E29" w:rsidRDefault="00E82A60" w:rsidP="00300A01">
            <w:pPr>
              <w:spacing w:before="0" w:after="0"/>
              <w:jc w:val="center"/>
              <w:rPr>
                <w:b/>
                <w:sz w:val="10"/>
                <w:szCs w:val="10"/>
                <w:lang w:val="fr-BE"/>
              </w:rPr>
            </w:pPr>
            <w:r w:rsidRPr="00601E29">
              <w:rPr>
                <w:b/>
                <w:noProof/>
                <w:sz w:val="10"/>
                <w:szCs w:val="10"/>
                <w:lang w:val="fr-BE"/>
              </w:rPr>
              <w:t>Mężczyźni</w:t>
            </w:r>
          </w:p>
        </w:tc>
        <w:tc>
          <w:tcPr>
            <w:tcW w:w="0" w:type="auto"/>
            <w:shd w:val="clear" w:color="auto" w:fill="auto"/>
          </w:tcPr>
          <w:p w14:paraId="17368118" w14:textId="77777777" w:rsidR="008C5CFA" w:rsidRPr="00601E29" w:rsidRDefault="00E82A60" w:rsidP="00300A01">
            <w:pPr>
              <w:spacing w:before="0" w:after="0"/>
              <w:jc w:val="center"/>
              <w:rPr>
                <w:b/>
                <w:sz w:val="10"/>
                <w:szCs w:val="10"/>
                <w:lang w:val="fr-BE"/>
              </w:rPr>
            </w:pPr>
            <w:r w:rsidRPr="00601E29">
              <w:rPr>
                <w:b/>
                <w:noProof/>
                <w:sz w:val="10"/>
                <w:szCs w:val="10"/>
                <w:lang w:val="fr-BE"/>
              </w:rPr>
              <w:t>Kobiety</w:t>
            </w:r>
          </w:p>
        </w:tc>
        <w:tc>
          <w:tcPr>
            <w:tcW w:w="0" w:type="auto"/>
          </w:tcPr>
          <w:p w14:paraId="2103364F" w14:textId="77777777" w:rsidR="008C5CFA" w:rsidRPr="00601E29" w:rsidRDefault="00E82A60" w:rsidP="00300A01">
            <w:pPr>
              <w:spacing w:before="0" w:after="0"/>
              <w:jc w:val="center"/>
              <w:rPr>
                <w:b/>
                <w:sz w:val="10"/>
                <w:szCs w:val="10"/>
                <w:lang w:val="fr-BE"/>
              </w:rPr>
            </w:pPr>
            <w:r w:rsidRPr="00601E29">
              <w:rPr>
                <w:b/>
                <w:noProof/>
                <w:sz w:val="10"/>
                <w:szCs w:val="10"/>
                <w:lang w:val="fr-BE"/>
              </w:rPr>
              <w:t>Ogółem</w:t>
            </w:r>
          </w:p>
        </w:tc>
        <w:tc>
          <w:tcPr>
            <w:tcW w:w="0" w:type="auto"/>
            <w:shd w:val="clear" w:color="auto" w:fill="auto"/>
          </w:tcPr>
          <w:p w14:paraId="13473E35" w14:textId="77777777" w:rsidR="008C5CFA" w:rsidRPr="00601E29" w:rsidRDefault="00E82A60" w:rsidP="00300A01">
            <w:pPr>
              <w:spacing w:before="0" w:after="0"/>
              <w:jc w:val="center"/>
              <w:rPr>
                <w:b/>
                <w:sz w:val="10"/>
                <w:szCs w:val="10"/>
                <w:lang w:val="fr-BE"/>
              </w:rPr>
            </w:pPr>
            <w:r w:rsidRPr="00601E29">
              <w:rPr>
                <w:b/>
                <w:noProof/>
                <w:sz w:val="10"/>
                <w:szCs w:val="10"/>
                <w:lang w:val="fr-BE"/>
              </w:rPr>
              <w:t>Mężczyźni</w:t>
            </w:r>
          </w:p>
        </w:tc>
        <w:tc>
          <w:tcPr>
            <w:tcW w:w="0" w:type="auto"/>
            <w:shd w:val="clear" w:color="auto" w:fill="auto"/>
          </w:tcPr>
          <w:p w14:paraId="2F2A3200" w14:textId="77777777" w:rsidR="008C5CFA" w:rsidRPr="00601E29" w:rsidRDefault="00E82A60" w:rsidP="00300A01">
            <w:pPr>
              <w:spacing w:before="0" w:after="0"/>
              <w:jc w:val="center"/>
              <w:rPr>
                <w:b/>
                <w:sz w:val="10"/>
                <w:szCs w:val="10"/>
                <w:lang w:val="fr-BE"/>
              </w:rPr>
            </w:pPr>
            <w:r w:rsidRPr="00601E29">
              <w:rPr>
                <w:b/>
                <w:noProof/>
                <w:sz w:val="10"/>
                <w:szCs w:val="10"/>
                <w:lang w:val="fr-BE"/>
              </w:rPr>
              <w:t>Kobiety</w:t>
            </w:r>
          </w:p>
        </w:tc>
        <w:tc>
          <w:tcPr>
            <w:tcW w:w="0" w:type="auto"/>
          </w:tcPr>
          <w:p w14:paraId="00CCED11" w14:textId="77777777" w:rsidR="008C5CFA" w:rsidRPr="00601E29" w:rsidRDefault="008C5CFA" w:rsidP="00300A01">
            <w:pPr>
              <w:spacing w:before="0" w:after="0"/>
              <w:jc w:val="center"/>
              <w:rPr>
                <w:b/>
                <w:sz w:val="10"/>
                <w:szCs w:val="10"/>
                <w:lang w:val="fr-BE"/>
              </w:rPr>
            </w:pPr>
          </w:p>
        </w:tc>
      </w:tr>
      <w:tr w:rsidR="006B2EC1" w14:paraId="747B0730" w14:textId="77777777" w:rsidTr="0047688D">
        <w:tc>
          <w:tcPr>
            <w:tcW w:w="0" w:type="auto"/>
            <w:shd w:val="clear" w:color="auto" w:fill="auto"/>
          </w:tcPr>
          <w:p w14:paraId="6F6D8CEB" w14:textId="77777777" w:rsidR="008C5CFA" w:rsidRPr="00601E29" w:rsidRDefault="00E82A60" w:rsidP="00300A01">
            <w:pPr>
              <w:spacing w:before="0" w:after="0"/>
              <w:rPr>
                <w:sz w:val="10"/>
                <w:szCs w:val="10"/>
                <w:lang w:val="fr-BE"/>
              </w:rPr>
            </w:pPr>
            <w:r w:rsidRPr="00601E29">
              <w:rPr>
                <w:noProof/>
                <w:sz w:val="10"/>
                <w:szCs w:val="10"/>
                <w:lang w:val="fr-BE"/>
              </w:rPr>
              <w:t>021</w:t>
            </w:r>
          </w:p>
        </w:tc>
        <w:tc>
          <w:tcPr>
            <w:tcW w:w="0" w:type="auto"/>
            <w:shd w:val="clear" w:color="auto" w:fill="auto"/>
          </w:tcPr>
          <w:p w14:paraId="58C4149F" w14:textId="77777777" w:rsidR="008C5CFA" w:rsidRPr="00601E29" w:rsidRDefault="00E82A60" w:rsidP="00300A01">
            <w:pPr>
              <w:spacing w:before="0" w:after="0"/>
              <w:rPr>
                <w:sz w:val="10"/>
                <w:szCs w:val="10"/>
                <w:lang w:val="fr-BE"/>
              </w:rPr>
            </w:pPr>
            <w:r w:rsidRPr="00601E29">
              <w:rPr>
                <w:noProof/>
                <w:sz w:val="10"/>
                <w:szCs w:val="10"/>
                <w:lang w:val="fr-BE"/>
              </w:rPr>
              <w:t>Liczba wspartych w programie miejsc świadczenia usług społecznych istniejących po zakończeniu projektu.</w:t>
            </w:r>
          </w:p>
        </w:tc>
        <w:tc>
          <w:tcPr>
            <w:tcW w:w="0" w:type="auto"/>
            <w:shd w:val="clear" w:color="auto" w:fill="auto"/>
          </w:tcPr>
          <w:p w14:paraId="7557FE56" w14:textId="77777777" w:rsidR="008C5CFA" w:rsidRPr="00601E29" w:rsidRDefault="00E82A60" w:rsidP="00300A01">
            <w:pPr>
              <w:spacing w:before="0" w:after="0"/>
              <w:rPr>
                <w:sz w:val="10"/>
                <w:szCs w:val="10"/>
                <w:lang w:val="fr-BE"/>
              </w:rPr>
            </w:pPr>
            <w:r w:rsidRPr="00601E29">
              <w:rPr>
                <w:noProof/>
                <w:sz w:val="10"/>
                <w:szCs w:val="10"/>
                <w:lang w:val="fr-BE"/>
              </w:rPr>
              <w:t>Słabiej rozwinięte</w:t>
            </w:r>
          </w:p>
        </w:tc>
        <w:tc>
          <w:tcPr>
            <w:tcW w:w="0" w:type="auto"/>
            <w:shd w:val="clear" w:color="auto" w:fill="auto"/>
          </w:tcPr>
          <w:p w14:paraId="4BC51CA2" w14:textId="77777777" w:rsidR="008C5CFA" w:rsidRPr="00601E29" w:rsidRDefault="00E82A60" w:rsidP="00300A01">
            <w:pPr>
              <w:spacing w:before="0" w:after="0"/>
              <w:rPr>
                <w:sz w:val="10"/>
                <w:szCs w:val="10"/>
                <w:lang w:val="fr-BE"/>
              </w:rPr>
            </w:pPr>
            <w:r w:rsidRPr="00785F4A">
              <w:rPr>
                <w:noProof/>
                <w:sz w:val="10"/>
                <w:szCs w:val="10"/>
                <w:lang w:val="fr-BE"/>
              </w:rPr>
              <w:t>Liczba</w:t>
            </w:r>
            <w:r w:rsidR="00CE4603">
              <w:rPr>
                <w:sz w:val="10"/>
                <w:szCs w:val="10"/>
                <w:lang w:val="fr-BE"/>
              </w:rPr>
              <w:t xml:space="preserve"> </w:t>
            </w:r>
            <w:r w:rsidR="00CE4603">
              <w:rPr>
                <w:noProof/>
                <w:sz w:val="10"/>
                <w:szCs w:val="10"/>
                <w:lang w:val="fr-BE"/>
              </w:rPr>
              <w:t>(szt.)</w:t>
            </w:r>
          </w:p>
        </w:tc>
        <w:tc>
          <w:tcPr>
            <w:tcW w:w="0" w:type="auto"/>
            <w:shd w:val="clear" w:color="auto" w:fill="auto"/>
          </w:tcPr>
          <w:p w14:paraId="63E84233" w14:textId="77777777" w:rsidR="008C5CFA" w:rsidRPr="00601E29" w:rsidRDefault="00E82A60" w:rsidP="00300A01">
            <w:pPr>
              <w:spacing w:before="0" w:after="0"/>
              <w:rPr>
                <w:sz w:val="10"/>
                <w:szCs w:val="10"/>
                <w:lang w:val="fr-BE"/>
              </w:rPr>
            </w:pPr>
            <w:r w:rsidRPr="00601E29">
              <w:rPr>
                <w:sz w:val="10"/>
                <w:szCs w:val="10"/>
                <w:lang w:val="fr-BE"/>
              </w:rPr>
              <w:t xml:space="preserve"> </w:t>
            </w:r>
          </w:p>
        </w:tc>
        <w:tc>
          <w:tcPr>
            <w:tcW w:w="0" w:type="auto"/>
            <w:shd w:val="clear" w:color="auto" w:fill="auto"/>
          </w:tcPr>
          <w:p w14:paraId="60408614" w14:textId="77777777" w:rsidR="008C5CFA" w:rsidRPr="00601E29" w:rsidRDefault="00E82A60" w:rsidP="00300A01">
            <w:pPr>
              <w:spacing w:before="0" w:after="0"/>
              <w:jc w:val="center"/>
              <w:rPr>
                <w:sz w:val="10"/>
                <w:szCs w:val="10"/>
                <w:lang w:val="fr-BE"/>
              </w:rPr>
            </w:pPr>
            <w:r w:rsidRPr="00601E29">
              <w:rPr>
                <w:noProof/>
                <w:sz w:val="10"/>
                <w:szCs w:val="10"/>
                <w:lang w:val="fr-BE"/>
              </w:rPr>
              <w:t>Liczba</w:t>
            </w:r>
          </w:p>
        </w:tc>
        <w:tc>
          <w:tcPr>
            <w:tcW w:w="0" w:type="auto"/>
            <w:shd w:val="clear" w:color="auto" w:fill="auto"/>
          </w:tcPr>
          <w:p w14:paraId="26648828" w14:textId="77777777" w:rsidR="008C5CFA" w:rsidRPr="00601E29" w:rsidRDefault="00E82A60" w:rsidP="00300A01">
            <w:pPr>
              <w:spacing w:before="0" w:after="0"/>
              <w:jc w:val="right"/>
              <w:rPr>
                <w:sz w:val="10"/>
                <w:szCs w:val="10"/>
                <w:lang w:val="fr-BE"/>
              </w:rPr>
            </w:pPr>
            <w:r w:rsidRPr="00601E29">
              <w:rPr>
                <w:noProof/>
                <w:sz w:val="10"/>
                <w:szCs w:val="10"/>
                <w:lang w:val="fr-BE"/>
              </w:rPr>
              <w:t>2 837,00</w:t>
            </w:r>
          </w:p>
        </w:tc>
        <w:tc>
          <w:tcPr>
            <w:tcW w:w="0" w:type="auto"/>
            <w:shd w:val="clear" w:color="auto" w:fill="auto"/>
          </w:tcPr>
          <w:p w14:paraId="79C826AB" w14:textId="77777777" w:rsidR="008C5CFA" w:rsidRPr="00601E29" w:rsidRDefault="008C5CFA" w:rsidP="00300A01">
            <w:pPr>
              <w:spacing w:before="0" w:after="0"/>
              <w:jc w:val="right"/>
              <w:rPr>
                <w:sz w:val="10"/>
                <w:szCs w:val="10"/>
                <w:lang w:val="fr-BE"/>
              </w:rPr>
            </w:pPr>
          </w:p>
        </w:tc>
        <w:tc>
          <w:tcPr>
            <w:tcW w:w="0" w:type="auto"/>
            <w:shd w:val="clear" w:color="auto" w:fill="auto"/>
          </w:tcPr>
          <w:p w14:paraId="0E805A8C" w14:textId="77777777" w:rsidR="008C5CFA" w:rsidRPr="00601E29" w:rsidRDefault="008C5CFA" w:rsidP="00300A01">
            <w:pPr>
              <w:spacing w:before="0" w:after="0"/>
              <w:jc w:val="right"/>
              <w:rPr>
                <w:sz w:val="10"/>
                <w:szCs w:val="10"/>
                <w:lang w:val="fr-BE"/>
              </w:rPr>
            </w:pPr>
          </w:p>
        </w:tc>
        <w:tc>
          <w:tcPr>
            <w:tcW w:w="0" w:type="auto"/>
            <w:shd w:val="clear" w:color="auto" w:fill="auto"/>
          </w:tcPr>
          <w:p w14:paraId="6D1E5A0A" w14:textId="77777777" w:rsidR="008C5CFA" w:rsidRPr="00601E29" w:rsidRDefault="00E82A60" w:rsidP="00300A01">
            <w:pPr>
              <w:spacing w:before="0" w:after="0"/>
              <w:jc w:val="right"/>
              <w:rPr>
                <w:sz w:val="10"/>
                <w:szCs w:val="10"/>
                <w:lang w:val="fr-BE"/>
              </w:rPr>
            </w:pPr>
            <w:r>
              <w:rPr>
                <w:noProof/>
                <w:sz w:val="10"/>
                <w:szCs w:val="10"/>
                <w:lang w:val="fr-BE"/>
              </w:rPr>
              <w:t>0,81</w:t>
            </w:r>
          </w:p>
        </w:tc>
        <w:tc>
          <w:tcPr>
            <w:tcW w:w="0" w:type="auto"/>
            <w:shd w:val="clear" w:color="auto" w:fill="auto"/>
          </w:tcPr>
          <w:p w14:paraId="40711FC7" w14:textId="77777777" w:rsidR="008C5CFA" w:rsidRPr="00601E29" w:rsidRDefault="008C5CFA" w:rsidP="00300A01">
            <w:pPr>
              <w:spacing w:before="0" w:after="0"/>
              <w:jc w:val="right"/>
              <w:rPr>
                <w:sz w:val="10"/>
                <w:szCs w:val="10"/>
                <w:lang w:val="fr-BE"/>
              </w:rPr>
            </w:pPr>
          </w:p>
        </w:tc>
        <w:tc>
          <w:tcPr>
            <w:tcW w:w="0" w:type="auto"/>
            <w:shd w:val="clear" w:color="auto" w:fill="auto"/>
          </w:tcPr>
          <w:p w14:paraId="4EDCEFBB" w14:textId="77777777" w:rsidR="008C5CFA" w:rsidRPr="00601E29" w:rsidRDefault="008C5CFA" w:rsidP="00300A01">
            <w:pPr>
              <w:spacing w:before="0" w:after="0"/>
              <w:jc w:val="right"/>
              <w:rPr>
                <w:sz w:val="10"/>
                <w:szCs w:val="10"/>
                <w:lang w:val="fr-BE"/>
              </w:rPr>
            </w:pPr>
          </w:p>
        </w:tc>
        <w:tc>
          <w:tcPr>
            <w:tcW w:w="0" w:type="auto"/>
            <w:shd w:val="clear" w:color="auto" w:fill="auto"/>
          </w:tcPr>
          <w:p w14:paraId="0CE5BBFE" w14:textId="77777777" w:rsidR="008C5CFA" w:rsidRPr="00601E29" w:rsidRDefault="00E82A60" w:rsidP="00300A01">
            <w:pPr>
              <w:spacing w:before="0" w:after="0"/>
              <w:jc w:val="right"/>
              <w:rPr>
                <w:sz w:val="10"/>
                <w:szCs w:val="10"/>
                <w:lang w:val="fr-BE"/>
              </w:rPr>
            </w:pPr>
            <w:r w:rsidRPr="00601E29">
              <w:rPr>
                <w:noProof/>
                <w:sz w:val="10"/>
                <w:szCs w:val="10"/>
                <w:lang w:val="fr-BE"/>
              </w:rPr>
              <w:t>2 292,00</w:t>
            </w:r>
          </w:p>
        </w:tc>
        <w:tc>
          <w:tcPr>
            <w:tcW w:w="0" w:type="auto"/>
            <w:shd w:val="clear" w:color="auto" w:fill="auto"/>
          </w:tcPr>
          <w:p w14:paraId="6469B7B1"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shd w:val="clear" w:color="auto" w:fill="auto"/>
          </w:tcPr>
          <w:p w14:paraId="46B8F8E3"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4130F268" w14:textId="77777777" w:rsidR="008C5CFA" w:rsidRPr="00601E29" w:rsidRDefault="00E82A60" w:rsidP="00300A01">
            <w:pPr>
              <w:spacing w:before="0" w:after="0"/>
              <w:jc w:val="right"/>
              <w:rPr>
                <w:sz w:val="10"/>
                <w:szCs w:val="10"/>
                <w:lang w:val="fr-BE"/>
              </w:rPr>
            </w:pPr>
            <w:r w:rsidRPr="00601E29">
              <w:rPr>
                <w:noProof/>
                <w:sz w:val="10"/>
                <w:szCs w:val="10"/>
                <w:lang w:val="fr-BE"/>
              </w:rPr>
              <w:t>1 159,00</w:t>
            </w:r>
          </w:p>
        </w:tc>
        <w:tc>
          <w:tcPr>
            <w:tcW w:w="0" w:type="auto"/>
            <w:shd w:val="clear" w:color="auto" w:fill="auto"/>
          </w:tcPr>
          <w:p w14:paraId="0DD066BC"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shd w:val="clear" w:color="auto" w:fill="auto"/>
          </w:tcPr>
          <w:p w14:paraId="0F0203CE"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5B58B094" w14:textId="77777777" w:rsidR="008C5CFA" w:rsidRPr="00601E29" w:rsidRDefault="008C5CFA" w:rsidP="00300A01">
            <w:pPr>
              <w:spacing w:before="0" w:after="0"/>
              <w:jc w:val="right"/>
              <w:rPr>
                <w:sz w:val="10"/>
                <w:szCs w:val="10"/>
                <w:lang w:val="fr-BE"/>
              </w:rPr>
            </w:pPr>
          </w:p>
        </w:tc>
      </w:tr>
      <w:tr w:rsidR="006B2EC1" w14:paraId="1331E689" w14:textId="77777777" w:rsidTr="0047688D">
        <w:tc>
          <w:tcPr>
            <w:tcW w:w="0" w:type="auto"/>
            <w:shd w:val="clear" w:color="auto" w:fill="auto"/>
          </w:tcPr>
          <w:p w14:paraId="2ECFAC15" w14:textId="77777777" w:rsidR="008C5CFA" w:rsidRPr="00601E29" w:rsidRDefault="00E82A60" w:rsidP="00300A01">
            <w:pPr>
              <w:spacing w:before="0" w:after="0"/>
              <w:rPr>
                <w:sz w:val="10"/>
                <w:szCs w:val="10"/>
                <w:lang w:val="fr-BE"/>
              </w:rPr>
            </w:pPr>
            <w:r w:rsidRPr="00601E29">
              <w:rPr>
                <w:noProof/>
                <w:sz w:val="10"/>
                <w:szCs w:val="10"/>
                <w:lang w:val="fr-BE"/>
              </w:rPr>
              <w:t>022</w:t>
            </w:r>
          </w:p>
        </w:tc>
        <w:tc>
          <w:tcPr>
            <w:tcW w:w="0" w:type="auto"/>
            <w:shd w:val="clear" w:color="auto" w:fill="auto"/>
          </w:tcPr>
          <w:p w14:paraId="70096DFA" w14:textId="77777777" w:rsidR="008C5CFA" w:rsidRPr="00601E29" w:rsidRDefault="00E82A60" w:rsidP="00300A01">
            <w:pPr>
              <w:spacing w:before="0" w:after="0"/>
              <w:rPr>
                <w:sz w:val="10"/>
                <w:szCs w:val="10"/>
                <w:lang w:val="fr-BE"/>
              </w:rPr>
            </w:pPr>
            <w:r w:rsidRPr="00601E29">
              <w:rPr>
                <w:noProof/>
                <w:sz w:val="10"/>
                <w:szCs w:val="10"/>
                <w:lang w:val="fr-BE"/>
              </w:rPr>
              <w:t>Liczba wspartych w programie miejsc świadczenia usług zdrowotnych istniejących po zakończeniu projektu.</w:t>
            </w:r>
          </w:p>
        </w:tc>
        <w:tc>
          <w:tcPr>
            <w:tcW w:w="0" w:type="auto"/>
            <w:shd w:val="clear" w:color="auto" w:fill="auto"/>
          </w:tcPr>
          <w:p w14:paraId="34CD138C" w14:textId="77777777" w:rsidR="008C5CFA" w:rsidRPr="00601E29" w:rsidRDefault="00E82A60" w:rsidP="00300A01">
            <w:pPr>
              <w:spacing w:before="0" w:after="0"/>
              <w:rPr>
                <w:sz w:val="10"/>
                <w:szCs w:val="10"/>
                <w:lang w:val="fr-BE"/>
              </w:rPr>
            </w:pPr>
            <w:r w:rsidRPr="00601E29">
              <w:rPr>
                <w:noProof/>
                <w:sz w:val="10"/>
                <w:szCs w:val="10"/>
                <w:lang w:val="fr-BE"/>
              </w:rPr>
              <w:t>Słabiej rozwinięte</w:t>
            </w:r>
          </w:p>
        </w:tc>
        <w:tc>
          <w:tcPr>
            <w:tcW w:w="0" w:type="auto"/>
            <w:shd w:val="clear" w:color="auto" w:fill="auto"/>
          </w:tcPr>
          <w:p w14:paraId="3A73A1EC" w14:textId="77777777" w:rsidR="008C5CFA" w:rsidRPr="00601E29" w:rsidRDefault="00E82A60" w:rsidP="00300A01">
            <w:pPr>
              <w:spacing w:before="0" w:after="0"/>
              <w:rPr>
                <w:sz w:val="10"/>
                <w:szCs w:val="10"/>
                <w:lang w:val="fr-BE"/>
              </w:rPr>
            </w:pPr>
            <w:r w:rsidRPr="00785F4A">
              <w:rPr>
                <w:noProof/>
                <w:sz w:val="10"/>
                <w:szCs w:val="10"/>
                <w:lang w:val="fr-BE"/>
              </w:rPr>
              <w:t>Liczba</w:t>
            </w:r>
            <w:r w:rsidR="00CE4603">
              <w:rPr>
                <w:sz w:val="10"/>
                <w:szCs w:val="10"/>
                <w:lang w:val="fr-BE"/>
              </w:rPr>
              <w:t xml:space="preserve"> </w:t>
            </w:r>
            <w:r w:rsidR="00CE4603">
              <w:rPr>
                <w:noProof/>
                <w:sz w:val="10"/>
                <w:szCs w:val="10"/>
                <w:lang w:val="fr-BE"/>
              </w:rPr>
              <w:t>(szt.)</w:t>
            </w:r>
          </w:p>
        </w:tc>
        <w:tc>
          <w:tcPr>
            <w:tcW w:w="0" w:type="auto"/>
            <w:shd w:val="clear" w:color="auto" w:fill="auto"/>
          </w:tcPr>
          <w:p w14:paraId="0117C031" w14:textId="77777777" w:rsidR="008C5CFA" w:rsidRPr="00601E29" w:rsidRDefault="00E82A60" w:rsidP="00300A01">
            <w:pPr>
              <w:spacing w:before="0" w:after="0"/>
              <w:rPr>
                <w:sz w:val="10"/>
                <w:szCs w:val="10"/>
                <w:lang w:val="fr-BE"/>
              </w:rPr>
            </w:pPr>
            <w:r w:rsidRPr="00601E29">
              <w:rPr>
                <w:sz w:val="10"/>
                <w:szCs w:val="10"/>
                <w:lang w:val="fr-BE"/>
              </w:rPr>
              <w:t xml:space="preserve"> </w:t>
            </w:r>
          </w:p>
        </w:tc>
        <w:tc>
          <w:tcPr>
            <w:tcW w:w="0" w:type="auto"/>
            <w:shd w:val="clear" w:color="auto" w:fill="auto"/>
          </w:tcPr>
          <w:p w14:paraId="0734C908" w14:textId="77777777" w:rsidR="008C5CFA" w:rsidRPr="00601E29" w:rsidRDefault="00E82A60" w:rsidP="00300A01">
            <w:pPr>
              <w:spacing w:before="0" w:after="0"/>
              <w:jc w:val="center"/>
              <w:rPr>
                <w:sz w:val="10"/>
                <w:szCs w:val="10"/>
                <w:lang w:val="fr-BE"/>
              </w:rPr>
            </w:pPr>
            <w:r w:rsidRPr="00601E29">
              <w:rPr>
                <w:noProof/>
                <w:sz w:val="10"/>
                <w:szCs w:val="10"/>
                <w:lang w:val="fr-BE"/>
              </w:rPr>
              <w:t>Liczba</w:t>
            </w:r>
          </w:p>
        </w:tc>
        <w:tc>
          <w:tcPr>
            <w:tcW w:w="0" w:type="auto"/>
            <w:shd w:val="clear" w:color="auto" w:fill="auto"/>
          </w:tcPr>
          <w:p w14:paraId="0F10F859" w14:textId="77777777" w:rsidR="008C5CFA" w:rsidRPr="00601E29" w:rsidRDefault="00E82A60" w:rsidP="00300A01">
            <w:pPr>
              <w:spacing w:before="0" w:after="0"/>
              <w:jc w:val="right"/>
              <w:rPr>
                <w:sz w:val="10"/>
                <w:szCs w:val="10"/>
                <w:lang w:val="fr-BE"/>
              </w:rPr>
            </w:pPr>
            <w:r w:rsidRPr="00601E29">
              <w:rPr>
                <w:noProof/>
                <w:sz w:val="10"/>
                <w:szCs w:val="10"/>
                <w:lang w:val="fr-BE"/>
              </w:rPr>
              <w:t>391,00</w:t>
            </w:r>
          </w:p>
        </w:tc>
        <w:tc>
          <w:tcPr>
            <w:tcW w:w="0" w:type="auto"/>
            <w:shd w:val="clear" w:color="auto" w:fill="auto"/>
          </w:tcPr>
          <w:p w14:paraId="19143567" w14:textId="77777777" w:rsidR="008C5CFA" w:rsidRPr="00601E29" w:rsidRDefault="008C5CFA" w:rsidP="00300A01">
            <w:pPr>
              <w:spacing w:before="0" w:after="0"/>
              <w:jc w:val="right"/>
              <w:rPr>
                <w:sz w:val="10"/>
                <w:szCs w:val="10"/>
                <w:lang w:val="fr-BE"/>
              </w:rPr>
            </w:pPr>
          </w:p>
        </w:tc>
        <w:tc>
          <w:tcPr>
            <w:tcW w:w="0" w:type="auto"/>
            <w:shd w:val="clear" w:color="auto" w:fill="auto"/>
          </w:tcPr>
          <w:p w14:paraId="3751820E" w14:textId="77777777" w:rsidR="008C5CFA" w:rsidRPr="00601E29" w:rsidRDefault="008C5CFA" w:rsidP="00300A01">
            <w:pPr>
              <w:spacing w:before="0" w:after="0"/>
              <w:jc w:val="right"/>
              <w:rPr>
                <w:sz w:val="10"/>
                <w:szCs w:val="10"/>
                <w:lang w:val="fr-BE"/>
              </w:rPr>
            </w:pPr>
          </w:p>
        </w:tc>
        <w:tc>
          <w:tcPr>
            <w:tcW w:w="0" w:type="auto"/>
            <w:shd w:val="clear" w:color="auto" w:fill="auto"/>
          </w:tcPr>
          <w:p w14:paraId="4CF715CF" w14:textId="77777777" w:rsidR="008C5CFA" w:rsidRPr="00601E29" w:rsidRDefault="00E82A60" w:rsidP="00300A01">
            <w:pPr>
              <w:spacing w:before="0" w:after="0"/>
              <w:jc w:val="right"/>
              <w:rPr>
                <w:sz w:val="10"/>
                <w:szCs w:val="10"/>
                <w:lang w:val="fr-BE"/>
              </w:rPr>
            </w:pPr>
            <w:r>
              <w:rPr>
                <w:noProof/>
                <w:sz w:val="10"/>
                <w:szCs w:val="10"/>
                <w:lang w:val="fr-BE"/>
              </w:rPr>
              <w:t>0,13</w:t>
            </w:r>
          </w:p>
        </w:tc>
        <w:tc>
          <w:tcPr>
            <w:tcW w:w="0" w:type="auto"/>
            <w:shd w:val="clear" w:color="auto" w:fill="auto"/>
          </w:tcPr>
          <w:p w14:paraId="3E0C89B4" w14:textId="77777777" w:rsidR="008C5CFA" w:rsidRPr="00601E29" w:rsidRDefault="008C5CFA" w:rsidP="00300A01">
            <w:pPr>
              <w:spacing w:before="0" w:after="0"/>
              <w:jc w:val="right"/>
              <w:rPr>
                <w:sz w:val="10"/>
                <w:szCs w:val="10"/>
                <w:lang w:val="fr-BE"/>
              </w:rPr>
            </w:pPr>
          </w:p>
        </w:tc>
        <w:tc>
          <w:tcPr>
            <w:tcW w:w="0" w:type="auto"/>
            <w:shd w:val="clear" w:color="auto" w:fill="auto"/>
          </w:tcPr>
          <w:p w14:paraId="020BA0A0" w14:textId="77777777" w:rsidR="008C5CFA" w:rsidRPr="00601E29" w:rsidRDefault="008C5CFA" w:rsidP="00300A01">
            <w:pPr>
              <w:spacing w:before="0" w:after="0"/>
              <w:jc w:val="right"/>
              <w:rPr>
                <w:sz w:val="10"/>
                <w:szCs w:val="10"/>
                <w:lang w:val="fr-BE"/>
              </w:rPr>
            </w:pPr>
          </w:p>
        </w:tc>
        <w:tc>
          <w:tcPr>
            <w:tcW w:w="0" w:type="auto"/>
            <w:shd w:val="clear" w:color="auto" w:fill="auto"/>
          </w:tcPr>
          <w:p w14:paraId="131DD2A0" w14:textId="77777777" w:rsidR="008C5CFA" w:rsidRPr="00601E29" w:rsidRDefault="00E82A60" w:rsidP="00300A01">
            <w:pPr>
              <w:spacing w:before="0" w:after="0"/>
              <w:jc w:val="right"/>
              <w:rPr>
                <w:sz w:val="10"/>
                <w:szCs w:val="10"/>
                <w:lang w:val="fr-BE"/>
              </w:rPr>
            </w:pPr>
            <w:r w:rsidRPr="00601E29">
              <w:rPr>
                <w:noProof/>
                <w:sz w:val="10"/>
                <w:szCs w:val="10"/>
                <w:lang w:val="fr-BE"/>
              </w:rPr>
              <w:t>50,00</w:t>
            </w:r>
          </w:p>
        </w:tc>
        <w:tc>
          <w:tcPr>
            <w:tcW w:w="0" w:type="auto"/>
            <w:shd w:val="clear" w:color="auto" w:fill="auto"/>
          </w:tcPr>
          <w:p w14:paraId="7A25F5F4"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shd w:val="clear" w:color="auto" w:fill="auto"/>
          </w:tcPr>
          <w:p w14:paraId="1D597A78"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0CBC0592" w14:textId="77777777" w:rsidR="008C5CFA" w:rsidRPr="00601E29" w:rsidRDefault="00E82A60" w:rsidP="00300A01">
            <w:pPr>
              <w:spacing w:before="0" w:after="0"/>
              <w:jc w:val="right"/>
              <w:rPr>
                <w:sz w:val="10"/>
                <w:szCs w:val="10"/>
                <w:lang w:val="fr-BE"/>
              </w:rPr>
            </w:pPr>
            <w:r w:rsidRPr="00601E29">
              <w:rPr>
                <w:noProof/>
                <w:sz w:val="10"/>
                <w:szCs w:val="10"/>
                <w:lang w:val="fr-BE"/>
              </w:rPr>
              <w:t>50,00</w:t>
            </w:r>
          </w:p>
        </w:tc>
        <w:tc>
          <w:tcPr>
            <w:tcW w:w="0" w:type="auto"/>
            <w:shd w:val="clear" w:color="auto" w:fill="auto"/>
          </w:tcPr>
          <w:p w14:paraId="242E5974"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shd w:val="clear" w:color="auto" w:fill="auto"/>
          </w:tcPr>
          <w:p w14:paraId="212A7F73"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76681D1D" w14:textId="77777777" w:rsidR="008C5CFA" w:rsidRPr="00601E29" w:rsidRDefault="008C5CFA" w:rsidP="00300A01">
            <w:pPr>
              <w:spacing w:before="0" w:after="0"/>
              <w:jc w:val="right"/>
              <w:rPr>
                <w:sz w:val="10"/>
                <w:szCs w:val="10"/>
                <w:lang w:val="fr-BE"/>
              </w:rPr>
            </w:pPr>
          </w:p>
        </w:tc>
      </w:tr>
      <w:tr w:rsidR="006B2EC1" w14:paraId="2A1BF9AA" w14:textId="77777777" w:rsidTr="0047688D">
        <w:tc>
          <w:tcPr>
            <w:tcW w:w="0" w:type="auto"/>
            <w:shd w:val="clear" w:color="auto" w:fill="auto"/>
          </w:tcPr>
          <w:p w14:paraId="7C65D920" w14:textId="77777777" w:rsidR="008C5CFA" w:rsidRPr="00601E29" w:rsidRDefault="00E82A60" w:rsidP="00300A01">
            <w:pPr>
              <w:spacing w:before="0" w:after="0"/>
              <w:rPr>
                <w:sz w:val="10"/>
                <w:szCs w:val="10"/>
                <w:lang w:val="fr-BE"/>
              </w:rPr>
            </w:pPr>
            <w:r w:rsidRPr="00601E29">
              <w:rPr>
                <w:noProof/>
                <w:sz w:val="10"/>
                <w:szCs w:val="10"/>
                <w:lang w:val="fr-BE"/>
              </w:rPr>
              <w:t>061</w:t>
            </w:r>
          </w:p>
        </w:tc>
        <w:tc>
          <w:tcPr>
            <w:tcW w:w="0" w:type="auto"/>
            <w:shd w:val="clear" w:color="auto" w:fill="auto"/>
          </w:tcPr>
          <w:p w14:paraId="6A47AC24" w14:textId="77777777" w:rsidR="008C5CFA" w:rsidRPr="00601E29" w:rsidRDefault="00E82A60" w:rsidP="00300A01">
            <w:pPr>
              <w:spacing w:before="0" w:after="0"/>
              <w:rPr>
                <w:sz w:val="10"/>
                <w:szCs w:val="10"/>
                <w:lang w:val="fr-BE"/>
              </w:rPr>
            </w:pPr>
            <w:r w:rsidRPr="00601E29">
              <w:rPr>
                <w:noProof/>
                <w:sz w:val="10"/>
                <w:szCs w:val="10"/>
                <w:lang w:val="fr-BE"/>
              </w:rPr>
              <w:t>Liczba osób zagrożonych ubóstwem lub wykluczeniem społecznym poszukujących pracy, uczestniczących w kształceniu lub szkoleniu, zdobywających kwalifikacje, pracujących (łącznie z prowadzącymi działalność na własny rachunek) po opuszczeniu programu</w:t>
            </w:r>
          </w:p>
        </w:tc>
        <w:tc>
          <w:tcPr>
            <w:tcW w:w="0" w:type="auto"/>
            <w:shd w:val="clear" w:color="auto" w:fill="auto"/>
          </w:tcPr>
          <w:p w14:paraId="5AA3C34F" w14:textId="77777777" w:rsidR="008C5CFA" w:rsidRPr="00601E29" w:rsidRDefault="00E82A60" w:rsidP="00300A01">
            <w:pPr>
              <w:spacing w:before="0" w:after="0"/>
              <w:rPr>
                <w:sz w:val="10"/>
                <w:szCs w:val="10"/>
                <w:lang w:val="fr-BE"/>
              </w:rPr>
            </w:pPr>
            <w:r w:rsidRPr="00601E29">
              <w:rPr>
                <w:noProof/>
                <w:sz w:val="10"/>
                <w:szCs w:val="10"/>
                <w:lang w:val="fr-BE"/>
              </w:rPr>
              <w:t>Słabiej rozwinięte</w:t>
            </w:r>
          </w:p>
        </w:tc>
        <w:tc>
          <w:tcPr>
            <w:tcW w:w="0" w:type="auto"/>
            <w:shd w:val="clear" w:color="auto" w:fill="auto"/>
          </w:tcPr>
          <w:p w14:paraId="57888C8F" w14:textId="77777777" w:rsidR="008C5CFA" w:rsidRPr="00601E29" w:rsidRDefault="00E82A60" w:rsidP="00300A01">
            <w:pPr>
              <w:spacing w:before="0" w:after="0"/>
              <w:rPr>
                <w:sz w:val="10"/>
                <w:szCs w:val="10"/>
                <w:lang w:val="fr-BE"/>
              </w:rPr>
            </w:pPr>
            <w:r w:rsidRPr="00785F4A">
              <w:rPr>
                <w:noProof/>
                <w:sz w:val="10"/>
                <w:szCs w:val="10"/>
                <w:lang w:val="fr-BE"/>
              </w:rPr>
              <w:t>Liczba</w:t>
            </w:r>
            <w:r w:rsidR="00CE4603">
              <w:rPr>
                <w:sz w:val="10"/>
                <w:szCs w:val="10"/>
                <w:lang w:val="fr-BE"/>
              </w:rPr>
              <w:t xml:space="preserve"> </w:t>
            </w:r>
            <w:r w:rsidR="00CE4603">
              <w:rPr>
                <w:noProof/>
                <w:sz w:val="10"/>
                <w:szCs w:val="10"/>
                <w:lang w:val="fr-BE"/>
              </w:rPr>
              <w:t>(osoba)</w:t>
            </w:r>
          </w:p>
        </w:tc>
        <w:tc>
          <w:tcPr>
            <w:tcW w:w="0" w:type="auto"/>
            <w:shd w:val="clear" w:color="auto" w:fill="auto"/>
          </w:tcPr>
          <w:p w14:paraId="2C852224" w14:textId="77777777" w:rsidR="008C5CFA" w:rsidRPr="00601E29" w:rsidRDefault="00E82A60" w:rsidP="00300A01">
            <w:pPr>
              <w:spacing w:before="0" w:after="0"/>
              <w:rPr>
                <w:sz w:val="10"/>
                <w:szCs w:val="10"/>
                <w:lang w:val="fr-BE"/>
              </w:rPr>
            </w:pPr>
            <w:r w:rsidRPr="00601E29">
              <w:rPr>
                <w:noProof/>
                <w:sz w:val="10"/>
                <w:szCs w:val="10"/>
                <w:lang w:val="fr-BE"/>
              </w:rPr>
              <w:t>CO17</w:t>
            </w:r>
            <w:r w:rsidRPr="00601E29">
              <w:rPr>
                <w:sz w:val="10"/>
                <w:szCs w:val="10"/>
                <w:lang w:val="fr-BE"/>
              </w:rPr>
              <w:t xml:space="preserve"> </w:t>
            </w:r>
            <w:r w:rsidRPr="00601E29">
              <w:rPr>
                <w:noProof/>
                <w:sz w:val="10"/>
                <w:szCs w:val="10"/>
                <w:lang w:val="fr-BE"/>
              </w:rPr>
              <w:t>inne osoby w niekorzystnej sytuacji społecznej</w:t>
            </w:r>
          </w:p>
        </w:tc>
        <w:tc>
          <w:tcPr>
            <w:tcW w:w="0" w:type="auto"/>
            <w:shd w:val="clear" w:color="auto" w:fill="auto"/>
          </w:tcPr>
          <w:p w14:paraId="0A7B90E7" w14:textId="77777777" w:rsidR="008C5CFA" w:rsidRPr="00601E29" w:rsidRDefault="00E82A60" w:rsidP="00300A01">
            <w:pPr>
              <w:spacing w:before="0" w:after="0"/>
              <w:jc w:val="center"/>
              <w:rPr>
                <w:sz w:val="10"/>
                <w:szCs w:val="10"/>
                <w:lang w:val="fr-BE"/>
              </w:rPr>
            </w:pPr>
            <w:r w:rsidRPr="00601E29">
              <w:rPr>
                <w:noProof/>
                <w:sz w:val="10"/>
                <w:szCs w:val="10"/>
                <w:lang w:val="fr-BE"/>
              </w:rPr>
              <w:t>Współczynnik</w:t>
            </w:r>
          </w:p>
        </w:tc>
        <w:tc>
          <w:tcPr>
            <w:tcW w:w="0" w:type="auto"/>
            <w:shd w:val="clear" w:color="auto" w:fill="auto"/>
          </w:tcPr>
          <w:p w14:paraId="4172AEE2" w14:textId="77777777" w:rsidR="008C5CFA" w:rsidRPr="00601E29" w:rsidRDefault="00E82A60" w:rsidP="00300A01">
            <w:pPr>
              <w:spacing w:before="0" w:after="0"/>
              <w:jc w:val="right"/>
              <w:rPr>
                <w:sz w:val="10"/>
                <w:szCs w:val="10"/>
                <w:lang w:val="fr-BE"/>
              </w:rPr>
            </w:pPr>
            <w:r w:rsidRPr="00601E29">
              <w:rPr>
                <w:noProof/>
                <w:sz w:val="10"/>
                <w:szCs w:val="10"/>
                <w:lang w:val="fr-BE"/>
              </w:rPr>
              <w:t>23,00</w:t>
            </w:r>
            <w:r>
              <w:rPr>
                <w:noProof/>
                <w:sz w:val="10"/>
                <w:szCs w:val="10"/>
                <w:lang w:val="fr-BE"/>
              </w:rPr>
              <w:t>%</w:t>
            </w:r>
          </w:p>
        </w:tc>
        <w:tc>
          <w:tcPr>
            <w:tcW w:w="0" w:type="auto"/>
            <w:shd w:val="clear" w:color="auto" w:fill="auto"/>
          </w:tcPr>
          <w:p w14:paraId="67ABDA15" w14:textId="77777777" w:rsidR="008C5CFA" w:rsidRPr="00601E29" w:rsidRDefault="008C5CFA" w:rsidP="00300A01">
            <w:pPr>
              <w:spacing w:before="0" w:after="0"/>
              <w:jc w:val="right"/>
              <w:rPr>
                <w:sz w:val="10"/>
                <w:szCs w:val="10"/>
                <w:lang w:val="fr-BE"/>
              </w:rPr>
            </w:pPr>
          </w:p>
        </w:tc>
        <w:tc>
          <w:tcPr>
            <w:tcW w:w="0" w:type="auto"/>
            <w:shd w:val="clear" w:color="auto" w:fill="auto"/>
          </w:tcPr>
          <w:p w14:paraId="46DA4A7E" w14:textId="77777777" w:rsidR="008C5CFA" w:rsidRPr="00601E29" w:rsidRDefault="008C5CFA" w:rsidP="00300A01">
            <w:pPr>
              <w:spacing w:before="0" w:after="0"/>
              <w:jc w:val="right"/>
              <w:rPr>
                <w:sz w:val="10"/>
                <w:szCs w:val="10"/>
                <w:lang w:val="fr-BE"/>
              </w:rPr>
            </w:pPr>
          </w:p>
        </w:tc>
        <w:tc>
          <w:tcPr>
            <w:tcW w:w="0" w:type="auto"/>
            <w:shd w:val="clear" w:color="auto" w:fill="auto"/>
          </w:tcPr>
          <w:p w14:paraId="3F68AF12" w14:textId="77777777" w:rsidR="008C5CFA" w:rsidRPr="00601E29" w:rsidRDefault="00E82A60" w:rsidP="00300A01">
            <w:pPr>
              <w:spacing w:before="0" w:after="0"/>
              <w:jc w:val="right"/>
              <w:rPr>
                <w:sz w:val="10"/>
                <w:szCs w:val="10"/>
                <w:lang w:val="fr-BE"/>
              </w:rPr>
            </w:pPr>
            <w:r>
              <w:rPr>
                <w:noProof/>
                <w:sz w:val="10"/>
                <w:szCs w:val="10"/>
                <w:lang w:val="fr-BE"/>
              </w:rPr>
              <w:t>0,13</w:t>
            </w:r>
          </w:p>
        </w:tc>
        <w:tc>
          <w:tcPr>
            <w:tcW w:w="0" w:type="auto"/>
            <w:shd w:val="clear" w:color="auto" w:fill="auto"/>
          </w:tcPr>
          <w:p w14:paraId="2E112393" w14:textId="77777777" w:rsidR="008C5CFA" w:rsidRPr="00601E29" w:rsidRDefault="008C5CFA" w:rsidP="00300A01">
            <w:pPr>
              <w:spacing w:before="0" w:after="0"/>
              <w:jc w:val="right"/>
              <w:rPr>
                <w:sz w:val="10"/>
                <w:szCs w:val="10"/>
                <w:lang w:val="fr-BE"/>
              </w:rPr>
            </w:pPr>
          </w:p>
        </w:tc>
        <w:tc>
          <w:tcPr>
            <w:tcW w:w="0" w:type="auto"/>
            <w:shd w:val="clear" w:color="auto" w:fill="auto"/>
          </w:tcPr>
          <w:p w14:paraId="628E96AB" w14:textId="77777777" w:rsidR="008C5CFA" w:rsidRPr="00601E29" w:rsidRDefault="008C5CFA" w:rsidP="00300A01">
            <w:pPr>
              <w:spacing w:before="0" w:after="0"/>
              <w:jc w:val="right"/>
              <w:rPr>
                <w:sz w:val="10"/>
                <w:szCs w:val="10"/>
                <w:lang w:val="fr-BE"/>
              </w:rPr>
            </w:pPr>
          </w:p>
        </w:tc>
        <w:tc>
          <w:tcPr>
            <w:tcW w:w="0" w:type="auto"/>
            <w:shd w:val="clear" w:color="auto" w:fill="auto"/>
          </w:tcPr>
          <w:p w14:paraId="1336F6EA" w14:textId="77777777" w:rsidR="008C5CFA" w:rsidRPr="00601E29" w:rsidRDefault="00E82A60" w:rsidP="00300A01">
            <w:pPr>
              <w:spacing w:before="0" w:after="0"/>
              <w:jc w:val="right"/>
              <w:rPr>
                <w:sz w:val="10"/>
                <w:szCs w:val="10"/>
                <w:lang w:val="fr-BE"/>
              </w:rPr>
            </w:pPr>
            <w:r w:rsidRPr="00601E29">
              <w:rPr>
                <w:noProof/>
                <w:sz w:val="10"/>
                <w:szCs w:val="10"/>
                <w:lang w:val="fr-BE"/>
              </w:rPr>
              <w:t>251,00</w:t>
            </w:r>
          </w:p>
        </w:tc>
        <w:tc>
          <w:tcPr>
            <w:tcW w:w="0" w:type="auto"/>
            <w:shd w:val="clear" w:color="auto" w:fill="auto"/>
          </w:tcPr>
          <w:p w14:paraId="3EAB2BDA"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shd w:val="clear" w:color="auto" w:fill="auto"/>
          </w:tcPr>
          <w:p w14:paraId="47BE108E"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618DE090" w14:textId="77777777" w:rsidR="008C5CFA" w:rsidRPr="00601E29" w:rsidRDefault="00E82A60" w:rsidP="00300A01">
            <w:pPr>
              <w:spacing w:before="0" w:after="0"/>
              <w:jc w:val="right"/>
              <w:rPr>
                <w:sz w:val="10"/>
                <w:szCs w:val="10"/>
                <w:lang w:val="fr-BE"/>
              </w:rPr>
            </w:pPr>
            <w:r w:rsidRPr="00601E29">
              <w:rPr>
                <w:noProof/>
                <w:sz w:val="10"/>
                <w:szCs w:val="10"/>
                <w:lang w:val="fr-BE"/>
              </w:rPr>
              <w:t>120,00</w:t>
            </w:r>
          </w:p>
        </w:tc>
        <w:tc>
          <w:tcPr>
            <w:tcW w:w="0" w:type="auto"/>
            <w:shd w:val="clear" w:color="auto" w:fill="auto"/>
          </w:tcPr>
          <w:p w14:paraId="1AECF15F"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shd w:val="clear" w:color="auto" w:fill="auto"/>
          </w:tcPr>
          <w:p w14:paraId="0EF4830F"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55549D1B" w14:textId="77777777" w:rsidR="008C5CFA" w:rsidRPr="00601E29" w:rsidRDefault="008C5CFA" w:rsidP="00300A01">
            <w:pPr>
              <w:spacing w:before="0" w:after="0"/>
              <w:jc w:val="right"/>
              <w:rPr>
                <w:sz w:val="10"/>
                <w:szCs w:val="10"/>
                <w:lang w:val="fr-BE"/>
              </w:rPr>
            </w:pPr>
          </w:p>
        </w:tc>
      </w:tr>
    </w:tbl>
    <w:p w14:paraId="0E45B4F8"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64"/>
        <w:gridCol w:w="7081"/>
        <w:gridCol w:w="767"/>
        <w:gridCol w:w="464"/>
        <w:gridCol w:w="564"/>
        <w:gridCol w:w="453"/>
        <w:gridCol w:w="448"/>
        <w:gridCol w:w="564"/>
        <w:gridCol w:w="453"/>
        <w:gridCol w:w="598"/>
        <w:gridCol w:w="448"/>
        <w:gridCol w:w="564"/>
        <w:gridCol w:w="453"/>
        <w:gridCol w:w="448"/>
        <w:gridCol w:w="564"/>
        <w:gridCol w:w="453"/>
        <w:gridCol w:w="598"/>
      </w:tblGrid>
      <w:tr w:rsidR="006B2EC1" w14:paraId="6FE046B7" w14:textId="77777777" w:rsidTr="0047688D">
        <w:trPr>
          <w:tblHeader/>
        </w:trPr>
        <w:tc>
          <w:tcPr>
            <w:tcW w:w="0" w:type="auto"/>
            <w:shd w:val="clear" w:color="auto" w:fill="auto"/>
          </w:tcPr>
          <w:p w14:paraId="233C4924" w14:textId="77777777" w:rsidR="008C5CFA" w:rsidRPr="00601E29" w:rsidRDefault="00E82A60" w:rsidP="00300A01">
            <w:pPr>
              <w:spacing w:before="0" w:after="0"/>
              <w:rPr>
                <w:b/>
                <w:sz w:val="10"/>
                <w:szCs w:val="10"/>
                <w:lang w:val="fr-BE"/>
              </w:rPr>
            </w:pPr>
            <w:r w:rsidRPr="00601E29">
              <w:rPr>
                <w:b/>
                <w:noProof/>
                <w:sz w:val="10"/>
                <w:szCs w:val="10"/>
                <w:lang w:val="fr-BE"/>
              </w:rPr>
              <w:t>ID</w:t>
            </w:r>
          </w:p>
        </w:tc>
        <w:tc>
          <w:tcPr>
            <w:tcW w:w="0" w:type="auto"/>
            <w:shd w:val="clear" w:color="auto" w:fill="auto"/>
          </w:tcPr>
          <w:p w14:paraId="5ACEA2A6" w14:textId="77777777" w:rsidR="008C5CFA" w:rsidRPr="00601E29" w:rsidRDefault="00E82A60" w:rsidP="00300A01">
            <w:pPr>
              <w:spacing w:before="0" w:after="0"/>
              <w:rPr>
                <w:b/>
                <w:sz w:val="10"/>
                <w:szCs w:val="10"/>
                <w:lang w:val="fr-BE"/>
              </w:rPr>
            </w:pPr>
            <w:r w:rsidRPr="00601E29">
              <w:rPr>
                <w:b/>
                <w:noProof/>
                <w:sz w:val="10"/>
                <w:szCs w:val="10"/>
                <w:lang w:val="fr-BE"/>
              </w:rPr>
              <w:t>Wskaźnik</w:t>
            </w:r>
          </w:p>
        </w:tc>
        <w:tc>
          <w:tcPr>
            <w:tcW w:w="0" w:type="auto"/>
            <w:shd w:val="clear" w:color="auto" w:fill="auto"/>
          </w:tcPr>
          <w:p w14:paraId="44429977" w14:textId="77777777" w:rsidR="008C5CFA" w:rsidRPr="00601E29" w:rsidRDefault="00E82A60" w:rsidP="00300A01">
            <w:pPr>
              <w:spacing w:before="0" w:after="0"/>
              <w:rPr>
                <w:b/>
                <w:sz w:val="10"/>
                <w:szCs w:val="10"/>
                <w:lang w:val="fr-BE"/>
              </w:rPr>
            </w:pPr>
            <w:r w:rsidRPr="00601E29">
              <w:rPr>
                <w:b/>
                <w:noProof/>
                <w:sz w:val="10"/>
                <w:szCs w:val="10"/>
                <w:lang w:val="fr-BE"/>
              </w:rPr>
              <w:t>Kategoria regionu</w:t>
            </w:r>
          </w:p>
        </w:tc>
        <w:tc>
          <w:tcPr>
            <w:tcW w:w="0" w:type="auto"/>
            <w:gridSpan w:val="7"/>
          </w:tcPr>
          <w:p w14:paraId="4A0637EE" w14:textId="77777777" w:rsidR="008C5CFA" w:rsidRPr="00601E29" w:rsidRDefault="00E82A60" w:rsidP="00300A01">
            <w:pPr>
              <w:spacing w:before="0" w:after="0"/>
              <w:jc w:val="center"/>
              <w:rPr>
                <w:b/>
                <w:sz w:val="10"/>
                <w:szCs w:val="10"/>
                <w:lang w:val="fr-BE"/>
              </w:rPr>
            </w:pPr>
            <w:r>
              <w:rPr>
                <w:b/>
                <w:sz w:val="10"/>
                <w:szCs w:val="10"/>
                <w:lang w:val="fr-BE"/>
              </w:rPr>
              <w:t>2018</w:t>
            </w:r>
          </w:p>
        </w:tc>
        <w:tc>
          <w:tcPr>
            <w:tcW w:w="0" w:type="auto"/>
            <w:gridSpan w:val="7"/>
          </w:tcPr>
          <w:p w14:paraId="6B9C8D29" w14:textId="77777777" w:rsidR="008C5CFA" w:rsidRPr="00601E29" w:rsidRDefault="00E82A60" w:rsidP="00300A01">
            <w:pPr>
              <w:spacing w:before="0" w:after="0"/>
              <w:jc w:val="center"/>
              <w:rPr>
                <w:b/>
                <w:sz w:val="10"/>
                <w:szCs w:val="10"/>
                <w:lang w:val="fr-BE"/>
              </w:rPr>
            </w:pPr>
            <w:r>
              <w:rPr>
                <w:b/>
                <w:sz w:val="10"/>
                <w:szCs w:val="10"/>
                <w:lang w:val="fr-BE"/>
              </w:rPr>
              <w:t>2017</w:t>
            </w:r>
          </w:p>
        </w:tc>
      </w:tr>
      <w:tr w:rsidR="006B2EC1" w14:paraId="385035CA" w14:textId="77777777" w:rsidTr="0047688D">
        <w:trPr>
          <w:tblHeader/>
        </w:trPr>
        <w:tc>
          <w:tcPr>
            <w:tcW w:w="0" w:type="auto"/>
            <w:shd w:val="clear" w:color="auto" w:fill="auto"/>
          </w:tcPr>
          <w:p w14:paraId="0A05DF2F" w14:textId="77777777" w:rsidR="008C5CFA" w:rsidRPr="00601E29" w:rsidRDefault="008C5CFA" w:rsidP="00300A01">
            <w:pPr>
              <w:spacing w:before="0" w:after="0"/>
              <w:rPr>
                <w:b/>
                <w:sz w:val="10"/>
                <w:szCs w:val="10"/>
                <w:lang w:val="fr-BE"/>
              </w:rPr>
            </w:pPr>
          </w:p>
        </w:tc>
        <w:tc>
          <w:tcPr>
            <w:tcW w:w="0" w:type="auto"/>
            <w:shd w:val="clear" w:color="auto" w:fill="auto"/>
          </w:tcPr>
          <w:p w14:paraId="1E4FB590" w14:textId="77777777" w:rsidR="008C5CFA" w:rsidRPr="00601E29" w:rsidRDefault="008C5CFA" w:rsidP="00300A01">
            <w:pPr>
              <w:spacing w:before="0" w:after="0"/>
              <w:rPr>
                <w:b/>
                <w:sz w:val="10"/>
                <w:szCs w:val="10"/>
                <w:lang w:val="fr-BE"/>
              </w:rPr>
            </w:pPr>
          </w:p>
        </w:tc>
        <w:tc>
          <w:tcPr>
            <w:tcW w:w="0" w:type="auto"/>
            <w:shd w:val="clear" w:color="auto" w:fill="auto"/>
          </w:tcPr>
          <w:p w14:paraId="72F52495" w14:textId="77777777" w:rsidR="008C5CFA" w:rsidRPr="00601E29" w:rsidRDefault="008C5CFA" w:rsidP="00300A01">
            <w:pPr>
              <w:spacing w:before="0" w:after="0"/>
              <w:rPr>
                <w:b/>
                <w:sz w:val="10"/>
                <w:szCs w:val="10"/>
                <w:lang w:val="fr-BE"/>
              </w:rPr>
            </w:pPr>
          </w:p>
        </w:tc>
        <w:tc>
          <w:tcPr>
            <w:tcW w:w="0" w:type="auto"/>
            <w:gridSpan w:val="3"/>
          </w:tcPr>
          <w:p w14:paraId="41896F13" w14:textId="77777777" w:rsidR="008C5CFA" w:rsidRPr="00601E29" w:rsidRDefault="00E82A60" w:rsidP="00300A01">
            <w:pPr>
              <w:spacing w:before="0" w:after="0"/>
              <w:jc w:val="center"/>
              <w:rPr>
                <w:b/>
                <w:sz w:val="10"/>
                <w:szCs w:val="10"/>
                <w:lang w:val="fr-BE"/>
              </w:rPr>
            </w:pPr>
            <w:r w:rsidRPr="00601E29">
              <w:rPr>
                <w:b/>
                <w:noProof/>
                <w:sz w:val="10"/>
                <w:szCs w:val="10"/>
                <w:lang w:val="fr-BE"/>
              </w:rPr>
              <w:t>Łącznie</w:t>
            </w:r>
          </w:p>
        </w:tc>
        <w:tc>
          <w:tcPr>
            <w:tcW w:w="0" w:type="auto"/>
            <w:gridSpan w:val="3"/>
          </w:tcPr>
          <w:p w14:paraId="50770AFC" w14:textId="77777777" w:rsidR="008C5CFA" w:rsidRPr="00601E29" w:rsidRDefault="00E82A60" w:rsidP="00300A01">
            <w:pPr>
              <w:spacing w:before="0" w:after="0"/>
              <w:jc w:val="center"/>
              <w:rPr>
                <w:b/>
                <w:sz w:val="10"/>
                <w:szCs w:val="10"/>
                <w:lang w:val="fr-BE"/>
              </w:rPr>
            </w:pPr>
            <w:r w:rsidRPr="00601E29">
              <w:rPr>
                <w:b/>
                <w:noProof/>
                <w:sz w:val="10"/>
                <w:szCs w:val="10"/>
                <w:lang w:val="fr-BE"/>
              </w:rPr>
              <w:t>Łącznie w roku</w:t>
            </w:r>
          </w:p>
        </w:tc>
        <w:tc>
          <w:tcPr>
            <w:tcW w:w="0" w:type="auto"/>
          </w:tcPr>
          <w:p w14:paraId="01ED52A6" w14:textId="77777777" w:rsidR="008C5CFA" w:rsidRPr="00601E29" w:rsidRDefault="00E82A60" w:rsidP="00300A01">
            <w:pPr>
              <w:spacing w:before="0" w:after="0"/>
              <w:jc w:val="center"/>
              <w:rPr>
                <w:b/>
                <w:sz w:val="10"/>
                <w:szCs w:val="10"/>
                <w:lang w:val="fr-BE"/>
              </w:rPr>
            </w:pPr>
            <w:r w:rsidRPr="00601E29">
              <w:rPr>
                <w:b/>
                <w:noProof/>
                <w:sz w:val="10"/>
                <w:szCs w:val="10"/>
                <w:lang w:val="fr-BE"/>
              </w:rPr>
              <w:t>Jakościowe</w:t>
            </w:r>
          </w:p>
        </w:tc>
        <w:tc>
          <w:tcPr>
            <w:tcW w:w="0" w:type="auto"/>
            <w:gridSpan w:val="3"/>
          </w:tcPr>
          <w:p w14:paraId="08884967" w14:textId="77777777" w:rsidR="008C5CFA" w:rsidRPr="00601E29" w:rsidRDefault="00E82A60" w:rsidP="00300A01">
            <w:pPr>
              <w:spacing w:before="0" w:after="0"/>
              <w:jc w:val="center"/>
              <w:rPr>
                <w:b/>
                <w:sz w:val="10"/>
                <w:szCs w:val="10"/>
                <w:lang w:val="fr-BE"/>
              </w:rPr>
            </w:pPr>
            <w:r w:rsidRPr="00601E29">
              <w:rPr>
                <w:b/>
                <w:noProof/>
                <w:sz w:val="10"/>
                <w:szCs w:val="10"/>
                <w:lang w:val="fr-BE"/>
              </w:rPr>
              <w:t>Łącznie</w:t>
            </w:r>
          </w:p>
        </w:tc>
        <w:tc>
          <w:tcPr>
            <w:tcW w:w="0" w:type="auto"/>
            <w:gridSpan w:val="3"/>
          </w:tcPr>
          <w:p w14:paraId="6F74B681" w14:textId="77777777" w:rsidR="008C5CFA" w:rsidRPr="00601E29" w:rsidRDefault="00E82A60" w:rsidP="00300A01">
            <w:pPr>
              <w:spacing w:before="0" w:after="0"/>
              <w:jc w:val="center"/>
              <w:rPr>
                <w:b/>
                <w:sz w:val="10"/>
                <w:szCs w:val="10"/>
                <w:lang w:val="fr-BE"/>
              </w:rPr>
            </w:pPr>
            <w:r w:rsidRPr="00601E29">
              <w:rPr>
                <w:b/>
                <w:noProof/>
                <w:sz w:val="10"/>
                <w:szCs w:val="10"/>
                <w:lang w:val="fr-BE"/>
              </w:rPr>
              <w:t>Łącznie w roku</w:t>
            </w:r>
          </w:p>
        </w:tc>
        <w:tc>
          <w:tcPr>
            <w:tcW w:w="0" w:type="auto"/>
          </w:tcPr>
          <w:p w14:paraId="6B8A6BA3" w14:textId="77777777" w:rsidR="008C5CFA" w:rsidRPr="00601E29" w:rsidRDefault="00E82A60" w:rsidP="00300A01">
            <w:pPr>
              <w:spacing w:before="0" w:after="0"/>
              <w:jc w:val="center"/>
              <w:rPr>
                <w:b/>
                <w:sz w:val="10"/>
                <w:szCs w:val="10"/>
                <w:lang w:val="fr-BE"/>
              </w:rPr>
            </w:pPr>
            <w:r w:rsidRPr="00601E29">
              <w:rPr>
                <w:b/>
                <w:noProof/>
                <w:sz w:val="10"/>
                <w:szCs w:val="10"/>
                <w:lang w:val="fr-BE"/>
              </w:rPr>
              <w:t>Jakościowe</w:t>
            </w:r>
          </w:p>
        </w:tc>
      </w:tr>
      <w:tr w:rsidR="006B2EC1" w14:paraId="273B4725" w14:textId="77777777" w:rsidTr="0047688D">
        <w:trPr>
          <w:tblHeader/>
        </w:trPr>
        <w:tc>
          <w:tcPr>
            <w:tcW w:w="0" w:type="auto"/>
            <w:shd w:val="clear" w:color="auto" w:fill="auto"/>
          </w:tcPr>
          <w:p w14:paraId="782C5DAC" w14:textId="77777777" w:rsidR="008C5CFA" w:rsidRPr="00601E29" w:rsidRDefault="008C5CFA" w:rsidP="00300A01">
            <w:pPr>
              <w:spacing w:before="0" w:after="0"/>
              <w:rPr>
                <w:b/>
                <w:sz w:val="10"/>
                <w:szCs w:val="10"/>
                <w:lang w:val="fr-BE"/>
              </w:rPr>
            </w:pPr>
          </w:p>
        </w:tc>
        <w:tc>
          <w:tcPr>
            <w:tcW w:w="0" w:type="auto"/>
            <w:shd w:val="clear" w:color="auto" w:fill="auto"/>
          </w:tcPr>
          <w:p w14:paraId="591280C6" w14:textId="77777777" w:rsidR="008C5CFA" w:rsidRPr="00601E29" w:rsidRDefault="008C5CFA" w:rsidP="00300A01">
            <w:pPr>
              <w:spacing w:before="0" w:after="0"/>
              <w:rPr>
                <w:b/>
                <w:sz w:val="10"/>
                <w:szCs w:val="10"/>
                <w:lang w:val="fr-BE"/>
              </w:rPr>
            </w:pPr>
          </w:p>
        </w:tc>
        <w:tc>
          <w:tcPr>
            <w:tcW w:w="0" w:type="auto"/>
            <w:shd w:val="clear" w:color="auto" w:fill="auto"/>
          </w:tcPr>
          <w:p w14:paraId="35E31E59" w14:textId="77777777" w:rsidR="008C5CFA" w:rsidRPr="00601E29" w:rsidRDefault="008C5CFA" w:rsidP="00300A01">
            <w:pPr>
              <w:spacing w:before="0" w:after="0"/>
              <w:rPr>
                <w:b/>
                <w:sz w:val="10"/>
                <w:szCs w:val="10"/>
                <w:lang w:val="fr-BE"/>
              </w:rPr>
            </w:pPr>
          </w:p>
        </w:tc>
        <w:tc>
          <w:tcPr>
            <w:tcW w:w="0" w:type="auto"/>
          </w:tcPr>
          <w:p w14:paraId="650FFDD1" w14:textId="77777777" w:rsidR="008C5CFA" w:rsidRPr="00601E29" w:rsidRDefault="00E82A60" w:rsidP="00300A01">
            <w:pPr>
              <w:spacing w:before="0" w:after="0"/>
              <w:jc w:val="center"/>
              <w:rPr>
                <w:b/>
                <w:sz w:val="10"/>
                <w:szCs w:val="10"/>
                <w:lang w:val="fr-BE"/>
              </w:rPr>
            </w:pPr>
            <w:r w:rsidRPr="00601E29">
              <w:rPr>
                <w:b/>
                <w:noProof/>
                <w:sz w:val="10"/>
                <w:szCs w:val="10"/>
                <w:lang w:val="fr-BE"/>
              </w:rPr>
              <w:t>Ogółem</w:t>
            </w:r>
          </w:p>
        </w:tc>
        <w:tc>
          <w:tcPr>
            <w:tcW w:w="0" w:type="auto"/>
          </w:tcPr>
          <w:p w14:paraId="318931B0" w14:textId="77777777" w:rsidR="008C5CFA" w:rsidRPr="00601E29" w:rsidRDefault="00E82A60" w:rsidP="00300A01">
            <w:pPr>
              <w:spacing w:before="0" w:after="0"/>
              <w:jc w:val="center"/>
              <w:rPr>
                <w:b/>
                <w:sz w:val="10"/>
                <w:szCs w:val="10"/>
                <w:lang w:val="fr-BE"/>
              </w:rPr>
            </w:pPr>
            <w:r w:rsidRPr="00601E29">
              <w:rPr>
                <w:b/>
                <w:noProof/>
                <w:sz w:val="10"/>
                <w:szCs w:val="10"/>
                <w:lang w:val="fr-BE"/>
              </w:rPr>
              <w:t>Mężczyźni</w:t>
            </w:r>
          </w:p>
        </w:tc>
        <w:tc>
          <w:tcPr>
            <w:tcW w:w="0" w:type="auto"/>
          </w:tcPr>
          <w:p w14:paraId="774402F4" w14:textId="77777777" w:rsidR="008C5CFA" w:rsidRPr="00601E29" w:rsidRDefault="00E82A60" w:rsidP="00300A01">
            <w:pPr>
              <w:spacing w:before="0" w:after="0"/>
              <w:jc w:val="center"/>
              <w:rPr>
                <w:b/>
                <w:sz w:val="10"/>
                <w:szCs w:val="10"/>
                <w:lang w:val="fr-BE"/>
              </w:rPr>
            </w:pPr>
            <w:r w:rsidRPr="00601E29">
              <w:rPr>
                <w:b/>
                <w:noProof/>
                <w:sz w:val="10"/>
                <w:szCs w:val="10"/>
                <w:lang w:val="fr-BE"/>
              </w:rPr>
              <w:t>Kobiety</w:t>
            </w:r>
          </w:p>
        </w:tc>
        <w:tc>
          <w:tcPr>
            <w:tcW w:w="0" w:type="auto"/>
          </w:tcPr>
          <w:p w14:paraId="07323890" w14:textId="77777777" w:rsidR="008C5CFA" w:rsidRPr="00601E29" w:rsidRDefault="00E82A60" w:rsidP="00300A01">
            <w:pPr>
              <w:spacing w:before="0" w:after="0"/>
              <w:jc w:val="center"/>
              <w:rPr>
                <w:b/>
                <w:sz w:val="10"/>
                <w:szCs w:val="10"/>
                <w:lang w:val="fr-BE"/>
              </w:rPr>
            </w:pPr>
            <w:r w:rsidRPr="00601E29">
              <w:rPr>
                <w:b/>
                <w:noProof/>
                <w:sz w:val="10"/>
                <w:szCs w:val="10"/>
                <w:lang w:val="fr-BE"/>
              </w:rPr>
              <w:t>Ogółem</w:t>
            </w:r>
          </w:p>
        </w:tc>
        <w:tc>
          <w:tcPr>
            <w:tcW w:w="0" w:type="auto"/>
          </w:tcPr>
          <w:p w14:paraId="2CB0B1C6" w14:textId="77777777" w:rsidR="008C5CFA" w:rsidRPr="00601E29" w:rsidRDefault="00E82A60" w:rsidP="00300A01">
            <w:pPr>
              <w:spacing w:before="0" w:after="0"/>
              <w:jc w:val="center"/>
              <w:rPr>
                <w:b/>
                <w:sz w:val="10"/>
                <w:szCs w:val="10"/>
                <w:lang w:val="fr-BE"/>
              </w:rPr>
            </w:pPr>
            <w:r w:rsidRPr="00601E29">
              <w:rPr>
                <w:b/>
                <w:noProof/>
                <w:sz w:val="10"/>
                <w:szCs w:val="10"/>
                <w:lang w:val="fr-BE"/>
              </w:rPr>
              <w:t>Mężczyźni</w:t>
            </w:r>
          </w:p>
        </w:tc>
        <w:tc>
          <w:tcPr>
            <w:tcW w:w="0" w:type="auto"/>
          </w:tcPr>
          <w:p w14:paraId="11A0BB05" w14:textId="77777777" w:rsidR="008C5CFA" w:rsidRPr="00601E29" w:rsidRDefault="00E82A60" w:rsidP="00300A01">
            <w:pPr>
              <w:spacing w:before="0" w:after="0"/>
              <w:jc w:val="center"/>
              <w:rPr>
                <w:b/>
                <w:sz w:val="10"/>
                <w:szCs w:val="10"/>
                <w:lang w:val="fr-BE"/>
              </w:rPr>
            </w:pPr>
            <w:r w:rsidRPr="00601E29">
              <w:rPr>
                <w:b/>
                <w:noProof/>
                <w:sz w:val="10"/>
                <w:szCs w:val="10"/>
                <w:lang w:val="fr-BE"/>
              </w:rPr>
              <w:t>Kobiety</w:t>
            </w:r>
          </w:p>
        </w:tc>
        <w:tc>
          <w:tcPr>
            <w:tcW w:w="0" w:type="auto"/>
          </w:tcPr>
          <w:p w14:paraId="5E336A3C" w14:textId="77777777" w:rsidR="008C5CFA" w:rsidRPr="00601E29" w:rsidRDefault="008C5CFA" w:rsidP="00300A01">
            <w:pPr>
              <w:spacing w:before="0" w:after="0"/>
              <w:jc w:val="center"/>
              <w:rPr>
                <w:b/>
                <w:sz w:val="10"/>
                <w:szCs w:val="10"/>
                <w:lang w:val="fr-BE"/>
              </w:rPr>
            </w:pPr>
          </w:p>
        </w:tc>
        <w:tc>
          <w:tcPr>
            <w:tcW w:w="0" w:type="auto"/>
          </w:tcPr>
          <w:p w14:paraId="757F5B35" w14:textId="77777777" w:rsidR="008C5CFA" w:rsidRPr="00601E29" w:rsidRDefault="00E82A60" w:rsidP="00300A01">
            <w:pPr>
              <w:spacing w:before="0" w:after="0"/>
              <w:jc w:val="center"/>
              <w:rPr>
                <w:b/>
                <w:sz w:val="10"/>
                <w:szCs w:val="10"/>
                <w:lang w:val="fr-BE"/>
              </w:rPr>
            </w:pPr>
            <w:r w:rsidRPr="00601E29">
              <w:rPr>
                <w:b/>
                <w:noProof/>
                <w:sz w:val="10"/>
                <w:szCs w:val="10"/>
                <w:lang w:val="fr-BE"/>
              </w:rPr>
              <w:t>Ogółem</w:t>
            </w:r>
          </w:p>
        </w:tc>
        <w:tc>
          <w:tcPr>
            <w:tcW w:w="0" w:type="auto"/>
          </w:tcPr>
          <w:p w14:paraId="31DAF12C" w14:textId="77777777" w:rsidR="008C5CFA" w:rsidRPr="00601E29" w:rsidRDefault="00E82A60" w:rsidP="00300A01">
            <w:pPr>
              <w:spacing w:before="0" w:after="0"/>
              <w:jc w:val="center"/>
              <w:rPr>
                <w:b/>
                <w:sz w:val="10"/>
                <w:szCs w:val="10"/>
                <w:lang w:val="fr-BE"/>
              </w:rPr>
            </w:pPr>
            <w:r w:rsidRPr="00601E29">
              <w:rPr>
                <w:b/>
                <w:noProof/>
                <w:sz w:val="10"/>
                <w:szCs w:val="10"/>
                <w:lang w:val="fr-BE"/>
              </w:rPr>
              <w:t>Mężczyźni</w:t>
            </w:r>
          </w:p>
        </w:tc>
        <w:tc>
          <w:tcPr>
            <w:tcW w:w="0" w:type="auto"/>
          </w:tcPr>
          <w:p w14:paraId="3762F4A2" w14:textId="77777777" w:rsidR="008C5CFA" w:rsidRPr="00601E29" w:rsidRDefault="00E82A60" w:rsidP="00300A01">
            <w:pPr>
              <w:spacing w:before="0" w:after="0"/>
              <w:jc w:val="center"/>
              <w:rPr>
                <w:b/>
                <w:sz w:val="10"/>
                <w:szCs w:val="10"/>
                <w:lang w:val="fr-BE"/>
              </w:rPr>
            </w:pPr>
            <w:r w:rsidRPr="00601E29">
              <w:rPr>
                <w:b/>
                <w:noProof/>
                <w:sz w:val="10"/>
                <w:szCs w:val="10"/>
                <w:lang w:val="fr-BE"/>
              </w:rPr>
              <w:t>Kobiety</w:t>
            </w:r>
          </w:p>
        </w:tc>
        <w:tc>
          <w:tcPr>
            <w:tcW w:w="0" w:type="auto"/>
          </w:tcPr>
          <w:p w14:paraId="6A4FC7E9" w14:textId="77777777" w:rsidR="008C5CFA" w:rsidRPr="00601E29" w:rsidRDefault="00E82A60" w:rsidP="00300A01">
            <w:pPr>
              <w:spacing w:before="0" w:after="0"/>
              <w:jc w:val="center"/>
              <w:rPr>
                <w:b/>
                <w:sz w:val="10"/>
                <w:szCs w:val="10"/>
                <w:lang w:val="fr-BE"/>
              </w:rPr>
            </w:pPr>
            <w:r w:rsidRPr="00601E29">
              <w:rPr>
                <w:b/>
                <w:noProof/>
                <w:sz w:val="10"/>
                <w:szCs w:val="10"/>
                <w:lang w:val="fr-BE"/>
              </w:rPr>
              <w:t>Ogółem</w:t>
            </w:r>
          </w:p>
        </w:tc>
        <w:tc>
          <w:tcPr>
            <w:tcW w:w="0" w:type="auto"/>
          </w:tcPr>
          <w:p w14:paraId="11B5266A" w14:textId="77777777" w:rsidR="008C5CFA" w:rsidRPr="00601E29" w:rsidRDefault="00E82A60" w:rsidP="00300A01">
            <w:pPr>
              <w:spacing w:before="0" w:after="0"/>
              <w:jc w:val="center"/>
              <w:rPr>
                <w:b/>
                <w:sz w:val="10"/>
                <w:szCs w:val="10"/>
                <w:lang w:val="fr-BE"/>
              </w:rPr>
            </w:pPr>
            <w:r w:rsidRPr="00601E29">
              <w:rPr>
                <w:b/>
                <w:noProof/>
                <w:sz w:val="10"/>
                <w:szCs w:val="10"/>
                <w:lang w:val="fr-BE"/>
              </w:rPr>
              <w:t>Mężczyźni</w:t>
            </w:r>
          </w:p>
        </w:tc>
        <w:tc>
          <w:tcPr>
            <w:tcW w:w="0" w:type="auto"/>
          </w:tcPr>
          <w:p w14:paraId="6D8F7224" w14:textId="77777777" w:rsidR="008C5CFA" w:rsidRPr="00601E29" w:rsidRDefault="00E82A60" w:rsidP="00300A01">
            <w:pPr>
              <w:spacing w:before="0" w:after="0"/>
              <w:jc w:val="center"/>
              <w:rPr>
                <w:b/>
                <w:sz w:val="10"/>
                <w:szCs w:val="10"/>
                <w:lang w:val="fr-BE"/>
              </w:rPr>
            </w:pPr>
            <w:r w:rsidRPr="00601E29">
              <w:rPr>
                <w:b/>
                <w:noProof/>
                <w:sz w:val="10"/>
                <w:szCs w:val="10"/>
                <w:lang w:val="fr-BE"/>
              </w:rPr>
              <w:t>Kobiety</w:t>
            </w:r>
          </w:p>
        </w:tc>
        <w:tc>
          <w:tcPr>
            <w:tcW w:w="0" w:type="auto"/>
          </w:tcPr>
          <w:p w14:paraId="331AD3C7" w14:textId="77777777" w:rsidR="008C5CFA" w:rsidRPr="00601E29" w:rsidRDefault="008C5CFA" w:rsidP="00300A01">
            <w:pPr>
              <w:spacing w:before="0" w:after="0"/>
              <w:jc w:val="center"/>
              <w:rPr>
                <w:b/>
                <w:sz w:val="10"/>
                <w:szCs w:val="10"/>
                <w:lang w:val="fr-BE"/>
              </w:rPr>
            </w:pPr>
          </w:p>
        </w:tc>
      </w:tr>
      <w:tr w:rsidR="006B2EC1" w14:paraId="274E08D3" w14:textId="77777777" w:rsidTr="0047688D">
        <w:tc>
          <w:tcPr>
            <w:tcW w:w="0" w:type="auto"/>
            <w:shd w:val="clear" w:color="auto" w:fill="auto"/>
          </w:tcPr>
          <w:p w14:paraId="282525B8" w14:textId="77777777" w:rsidR="008C5CFA" w:rsidRPr="00601E29" w:rsidRDefault="00E82A60" w:rsidP="00300A01">
            <w:pPr>
              <w:spacing w:before="0" w:after="0"/>
              <w:rPr>
                <w:sz w:val="10"/>
                <w:szCs w:val="10"/>
                <w:lang w:val="fr-BE"/>
              </w:rPr>
            </w:pPr>
            <w:r w:rsidRPr="00601E29">
              <w:rPr>
                <w:noProof/>
                <w:sz w:val="10"/>
                <w:szCs w:val="10"/>
                <w:lang w:val="fr-BE"/>
              </w:rPr>
              <w:t>021</w:t>
            </w:r>
          </w:p>
        </w:tc>
        <w:tc>
          <w:tcPr>
            <w:tcW w:w="0" w:type="auto"/>
            <w:shd w:val="clear" w:color="auto" w:fill="auto"/>
          </w:tcPr>
          <w:p w14:paraId="3424BE10" w14:textId="77777777" w:rsidR="008C5CFA" w:rsidRPr="00601E29" w:rsidRDefault="00E82A60" w:rsidP="00300A01">
            <w:pPr>
              <w:spacing w:before="0" w:after="0"/>
              <w:rPr>
                <w:sz w:val="10"/>
                <w:szCs w:val="10"/>
                <w:lang w:val="fr-BE"/>
              </w:rPr>
            </w:pPr>
            <w:r w:rsidRPr="00601E29">
              <w:rPr>
                <w:noProof/>
                <w:sz w:val="10"/>
                <w:szCs w:val="10"/>
                <w:lang w:val="fr-BE"/>
              </w:rPr>
              <w:t>Liczba wspartych w programie miejsc świadczenia usług społecznych istniejących po zakończeniu projektu.</w:t>
            </w:r>
          </w:p>
        </w:tc>
        <w:tc>
          <w:tcPr>
            <w:tcW w:w="0" w:type="auto"/>
            <w:shd w:val="clear" w:color="auto" w:fill="auto"/>
          </w:tcPr>
          <w:p w14:paraId="009C4AD3" w14:textId="77777777" w:rsidR="008C5CFA" w:rsidRPr="00601E29" w:rsidRDefault="00E82A60" w:rsidP="00300A01">
            <w:pPr>
              <w:spacing w:before="0" w:after="0"/>
              <w:rPr>
                <w:sz w:val="10"/>
                <w:szCs w:val="10"/>
                <w:lang w:val="fr-BE"/>
              </w:rPr>
            </w:pPr>
            <w:r w:rsidRPr="00601E29">
              <w:rPr>
                <w:noProof/>
                <w:sz w:val="10"/>
                <w:szCs w:val="10"/>
                <w:lang w:val="fr-BE"/>
              </w:rPr>
              <w:t>Słabiej rozwinięte</w:t>
            </w:r>
          </w:p>
        </w:tc>
        <w:tc>
          <w:tcPr>
            <w:tcW w:w="0" w:type="auto"/>
          </w:tcPr>
          <w:p w14:paraId="06EF406C" w14:textId="77777777" w:rsidR="008C5CFA" w:rsidRPr="00601E29" w:rsidRDefault="00E82A60" w:rsidP="00300A01">
            <w:pPr>
              <w:spacing w:before="0" w:after="0"/>
              <w:jc w:val="right"/>
              <w:rPr>
                <w:sz w:val="10"/>
                <w:szCs w:val="10"/>
                <w:lang w:val="fr-BE"/>
              </w:rPr>
            </w:pPr>
            <w:r w:rsidRPr="00601E29">
              <w:rPr>
                <w:noProof/>
                <w:sz w:val="10"/>
                <w:szCs w:val="10"/>
                <w:lang w:val="fr-BE"/>
              </w:rPr>
              <w:t>1 133,00</w:t>
            </w:r>
          </w:p>
        </w:tc>
        <w:tc>
          <w:tcPr>
            <w:tcW w:w="0" w:type="auto"/>
          </w:tcPr>
          <w:p w14:paraId="23871274"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0FDBB95C"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7B62A5A5" w14:textId="77777777" w:rsidR="008C5CFA" w:rsidRPr="00601E29" w:rsidRDefault="00E82A60" w:rsidP="00300A01">
            <w:pPr>
              <w:spacing w:before="0" w:after="0"/>
              <w:jc w:val="right"/>
              <w:rPr>
                <w:sz w:val="10"/>
                <w:szCs w:val="10"/>
                <w:lang w:val="fr-BE"/>
              </w:rPr>
            </w:pPr>
            <w:r w:rsidRPr="00601E29">
              <w:rPr>
                <w:noProof/>
                <w:sz w:val="10"/>
                <w:szCs w:val="10"/>
                <w:lang w:val="fr-BE"/>
              </w:rPr>
              <w:t>967,00</w:t>
            </w:r>
          </w:p>
        </w:tc>
        <w:tc>
          <w:tcPr>
            <w:tcW w:w="0" w:type="auto"/>
          </w:tcPr>
          <w:p w14:paraId="12799B60"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5E4A6772"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676F7BBE" w14:textId="77777777" w:rsidR="008C5CFA" w:rsidRPr="00601E29" w:rsidRDefault="008C5CFA" w:rsidP="00300A01">
            <w:pPr>
              <w:spacing w:before="0" w:after="0"/>
              <w:jc w:val="right"/>
              <w:rPr>
                <w:sz w:val="10"/>
                <w:szCs w:val="10"/>
                <w:lang w:val="fr-BE"/>
              </w:rPr>
            </w:pPr>
          </w:p>
        </w:tc>
        <w:tc>
          <w:tcPr>
            <w:tcW w:w="0" w:type="auto"/>
          </w:tcPr>
          <w:p w14:paraId="3AEB277A" w14:textId="77777777" w:rsidR="008C5CFA" w:rsidRPr="00601E29" w:rsidRDefault="00E82A60" w:rsidP="00300A01">
            <w:pPr>
              <w:spacing w:before="0" w:after="0"/>
              <w:jc w:val="right"/>
              <w:rPr>
                <w:sz w:val="10"/>
                <w:szCs w:val="10"/>
                <w:lang w:val="fr-BE"/>
              </w:rPr>
            </w:pPr>
            <w:r w:rsidRPr="00601E29">
              <w:rPr>
                <w:noProof/>
                <w:sz w:val="10"/>
                <w:szCs w:val="10"/>
                <w:lang w:val="fr-BE"/>
              </w:rPr>
              <w:t>166,00</w:t>
            </w:r>
          </w:p>
        </w:tc>
        <w:tc>
          <w:tcPr>
            <w:tcW w:w="0" w:type="auto"/>
          </w:tcPr>
          <w:p w14:paraId="6A564C08"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0BAFD183"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730532B4" w14:textId="77777777" w:rsidR="008C5CFA" w:rsidRPr="00601E29" w:rsidRDefault="00E82A60" w:rsidP="00300A01">
            <w:pPr>
              <w:spacing w:before="0" w:after="0"/>
              <w:jc w:val="right"/>
              <w:rPr>
                <w:sz w:val="10"/>
                <w:szCs w:val="10"/>
                <w:lang w:val="fr-BE"/>
              </w:rPr>
            </w:pPr>
            <w:r w:rsidRPr="00601E29">
              <w:rPr>
                <w:noProof/>
                <w:sz w:val="10"/>
                <w:szCs w:val="10"/>
                <w:lang w:val="fr-BE"/>
              </w:rPr>
              <w:t>166,00</w:t>
            </w:r>
          </w:p>
        </w:tc>
        <w:tc>
          <w:tcPr>
            <w:tcW w:w="0" w:type="auto"/>
          </w:tcPr>
          <w:p w14:paraId="2977125C"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58082DB6"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4CCE743C" w14:textId="77777777" w:rsidR="008C5CFA" w:rsidRPr="00601E29" w:rsidRDefault="008C5CFA" w:rsidP="00300A01">
            <w:pPr>
              <w:spacing w:before="0" w:after="0"/>
              <w:jc w:val="right"/>
              <w:rPr>
                <w:sz w:val="10"/>
                <w:szCs w:val="10"/>
                <w:lang w:val="fr-BE"/>
              </w:rPr>
            </w:pPr>
          </w:p>
        </w:tc>
      </w:tr>
      <w:tr w:rsidR="006B2EC1" w14:paraId="65DA654E" w14:textId="77777777" w:rsidTr="0047688D">
        <w:tc>
          <w:tcPr>
            <w:tcW w:w="0" w:type="auto"/>
            <w:shd w:val="clear" w:color="auto" w:fill="auto"/>
          </w:tcPr>
          <w:p w14:paraId="77B5571F" w14:textId="77777777" w:rsidR="008C5CFA" w:rsidRPr="00601E29" w:rsidRDefault="00E82A60" w:rsidP="00300A01">
            <w:pPr>
              <w:spacing w:before="0" w:after="0"/>
              <w:rPr>
                <w:sz w:val="10"/>
                <w:szCs w:val="10"/>
                <w:lang w:val="fr-BE"/>
              </w:rPr>
            </w:pPr>
            <w:r w:rsidRPr="00601E29">
              <w:rPr>
                <w:noProof/>
                <w:sz w:val="10"/>
                <w:szCs w:val="10"/>
                <w:lang w:val="fr-BE"/>
              </w:rPr>
              <w:t>022</w:t>
            </w:r>
          </w:p>
        </w:tc>
        <w:tc>
          <w:tcPr>
            <w:tcW w:w="0" w:type="auto"/>
            <w:shd w:val="clear" w:color="auto" w:fill="auto"/>
          </w:tcPr>
          <w:p w14:paraId="02DC439D" w14:textId="77777777" w:rsidR="008C5CFA" w:rsidRPr="00601E29" w:rsidRDefault="00E82A60" w:rsidP="00300A01">
            <w:pPr>
              <w:spacing w:before="0" w:after="0"/>
              <w:rPr>
                <w:sz w:val="10"/>
                <w:szCs w:val="10"/>
                <w:lang w:val="fr-BE"/>
              </w:rPr>
            </w:pPr>
            <w:r w:rsidRPr="00601E29">
              <w:rPr>
                <w:noProof/>
                <w:sz w:val="10"/>
                <w:szCs w:val="10"/>
                <w:lang w:val="fr-BE"/>
              </w:rPr>
              <w:t>Liczba wspartych w programie miejsc świadczenia usług zdrowotnych istniejących po zakończeniu projektu.</w:t>
            </w:r>
          </w:p>
        </w:tc>
        <w:tc>
          <w:tcPr>
            <w:tcW w:w="0" w:type="auto"/>
            <w:shd w:val="clear" w:color="auto" w:fill="auto"/>
          </w:tcPr>
          <w:p w14:paraId="571AA18B" w14:textId="77777777" w:rsidR="008C5CFA" w:rsidRPr="00601E29" w:rsidRDefault="00E82A60" w:rsidP="00300A01">
            <w:pPr>
              <w:spacing w:before="0" w:after="0"/>
              <w:rPr>
                <w:sz w:val="10"/>
                <w:szCs w:val="10"/>
                <w:lang w:val="fr-BE"/>
              </w:rPr>
            </w:pPr>
            <w:r w:rsidRPr="00601E29">
              <w:rPr>
                <w:noProof/>
                <w:sz w:val="10"/>
                <w:szCs w:val="10"/>
                <w:lang w:val="fr-BE"/>
              </w:rPr>
              <w:t>Słabiej rozwinięte</w:t>
            </w:r>
          </w:p>
        </w:tc>
        <w:tc>
          <w:tcPr>
            <w:tcW w:w="0" w:type="auto"/>
          </w:tcPr>
          <w:p w14:paraId="33B44497"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25B81F56"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2396EEDA"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7055D50B"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27DAFB83"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16EF9574"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004533D9" w14:textId="77777777" w:rsidR="008C5CFA" w:rsidRPr="00601E29" w:rsidRDefault="008C5CFA" w:rsidP="00300A01">
            <w:pPr>
              <w:spacing w:before="0" w:after="0"/>
              <w:jc w:val="right"/>
              <w:rPr>
                <w:sz w:val="10"/>
                <w:szCs w:val="10"/>
                <w:lang w:val="fr-BE"/>
              </w:rPr>
            </w:pPr>
          </w:p>
        </w:tc>
        <w:tc>
          <w:tcPr>
            <w:tcW w:w="0" w:type="auto"/>
          </w:tcPr>
          <w:p w14:paraId="79E2C1DA"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0B33C6FB"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5C653392"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31783E35"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6CF74CBF"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66481EE4"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77D5F30E" w14:textId="77777777" w:rsidR="008C5CFA" w:rsidRPr="00601E29" w:rsidRDefault="008C5CFA" w:rsidP="00300A01">
            <w:pPr>
              <w:spacing w:before="0" w:after="0"/>
              <w:jc w:val="right"/>
              <w:rPr>
                <w:sz w:val="10"/>
                <w:szCs w:val="10"/>
                <w:lang w:val="fr-BE"/>
              </w:rPr>
            </w:pPr>
          </w:p>
        </w:tc>
      </w:tr>
      <w:tr w:rsidR="006B2EC1" w14:paraId="25577E4D" w14:textId="77777777" w:rsidTr="0047688D">
        <w:tc>
          <w:tcPr>
            <w:tcW w:w="0" w:type="auto"/>
            <w:shd w:val="clear" w:color="auto" w:fill="auto"/>
          </w:tcPr>
          <w:p w14:paraId="066D600B" w14:textId="77777777" w:rsidR="008C5CFA" w:rsidRPr="00601E29" w:rsidRDefault="00E82A60" w:rsidP="00300A01">
            <w:pPr>
              <w:spacing w:before="0" w:after="0"/>
              <w:rPr>
                <w:sz w:val="10"/>
                <w:szCs w:val="10"/>
                <w:lang w:val="fr-BE"/>
              </w:rPr>
            </w:pPr>
            <w:r w:rsidRPr="00601E29">
              <w:rPr>
                <w:noProof/>
                <w:sz w:val="10"/>
                <w:szCs w:val="10"/>
                <w:lang w:val="fr-BE"/>
              </w:rPr>
              <w:t>061</w:t>
            </w:r>
          </w:p>
        </w:tc>
        <w:tc>
          <w:tcPr>
            <w:tcW w:w="0" w:type="auto"/>
            <w:shd w:val="clear" w:color="auto" w:fill="auto"/>
          </w:tcPr>
          <w:p w14:paraId="2D0A3F65" w14:textId="77777777" w:rsidR="008C5CFA" w:rsidRPr="00601E29" w:rsidRDefault="00E82A60" w:rsidP="00300A01">
            <w:pPr>
              <w:spacing w:before="0" w:after="0"/>
              <w:rPr>
                <w:sz w:val="10"/>
                <w:szCs w:val="10"/>
                <w:lang w:val="fr-BE"/>
              </w:rPr>
            </w:pPr>
            <w:r w:rsidRPr="00601E29">
              <w:rPr>
                <w:noProof/>
                <w:sz w:val="10"/>
                <w:szCs w:val="10"/>
                <w:lang w:val="fr-BE"/>
              </w:rPr>
              <w:t>Liczba osób zagrożonych ubóstwem lub wykluczeniem społecznym poszukujących pracy, uczestniczących w kształceniu lub szkoleniu, zdobywających kwalifikacje, pracujących (łącznie z prowadzącymi działalność na własny rachunek) po opuszczeniu programu</w:t>
            </w:r>
          </w:p>
        </w:tc>
        <w:tc>
          <w:tcPr>
            <w:tcW w:w="0" w:type="auto"/>
            <w:shd w:val="clear" w:color="auto" w:fill="auto"/>
          </w:tcPr>
          <w:p w14:paraId="7D2EBE69" w14:textId="77777777" w:rsidR="008C5CFA" w:rsidRPr="00601E29" w:rsidRDefault="00E82A60" w:rsidP="00300A01">
            <w:pPr>
              <w:spacing w:before="0" w:after="0"/>
              <w:rPr>
                <w:sz w:val="10"/>
                <w:szCs w:val="10"/>
                <w:lang w:val="fr-BE"/>
              </w:rPr>
            </w:pPr>
            <w:r w:rsidRPr="00601E29">
              <w:rPr>
                <w:noProof/>
                <w:sz w:val="10"/>
                <w:szCs w:val="10"/>
                <w:lang w:val="fr-BE"/>
              </w:rPr>
              <w:t>Słabiej rozwinięte</w:t>
            </w:r>
          </w:p>
        </w:tc>
        <w:tc>
          <w:tcPr>
            <w:tcW w:w="0" w:type="auto"/>
          </w:tcPr>
          <w:p w14:paraId="054BAF3E" w14:textId="77777777" w:rsidR="008C5CFA" w:rsidRPr="00601E29" w:rsidRDefault="00E82A60" w:rsidP="00300A01">
            <w:pPr>
              <w:spacing w:before="0" w:after="0"/>
              <w:jc w:val="right"/>
              <w:rPr>
                <w:sz w:val="10"/>
                <w:szCs w:val="10"/>
                <w:lang w:val="fr-BE"/>
              </w:rPr>
            </w:pPr>
            <w:r w:rsidRPr="00601E29">
              <w:rPr>
                <w:noProof/>
                <w:sz w:val="10"/>
                <w:szCs w:val="10"/>
                <w:lang w:val="fr-BE"/>
              </w:rPr>
              <w:t>131,00</w:t>
            </w:r>
          </w:p>
        </w:tc>
        <w:tc>
          <w:tcPr>
            <w:tcW w:w="0" w:type="auto"/>
          </w:tcPr>
          <w:p w14:paraId="438EA2FB"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520F5FA2"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32D4ABA2" w14:textId="77777777" w:rsidR="008C5CFA" w:rsidRPr="00601E29" w:rsidRDefault="00E82A60" w:rsidP="00300A01">
            <w:pPr>
              <w:spacing w:before="0" w:after="0"/>
              <w:jc w:val="right"/>
              <w:rPr>
                <w:sz w:val="10"/>
                <w:szCs w:val="10"/>
                <w:lang w:val="fr-BE"/>
              </w:rPr>
            </w:pPr>
            <w:r w:rsidRPr="00601E29">
              <w:rPr>
                <w:noProof/>
                <w:sz w:val="10"/>
                <w:szCs w:val="10"/>
                <w:lang w:val="fr-BE"/>
              </w:rPr>
              <w:t>121,00</w:t>
            </w:r>
          </w:p>
        </w:tc>
        <w:tc>
          <w:tcPr>
            <w:tcW w:w="0" w:type="auto"/>
          </w:tcPr>
          <w:p w14:paraId="23C94144"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7AD99841"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08B2EB8E" w14:textId="77777777" w:rsidR="008C5CFA" w:rsidRPr="00601E29" w:rsidRDefault="008C5CFA" w:rsidP="00300A01">
            <w:pPr>
              <w:spacing w:before="0" w:after="0"/>
              <w:jc w:val="right"/>
              <w:rPr>
                <w:sz w:val="10"/>
                <w:szCs w:val="10"/>
                <w:lang w:val="fr-BE"/>
              </w:rPr>
            </w:pPr>
          </w:p>
        </w:tc>
        <w:tc>
          <w:tcPr>
            <w:tcW w:w="0" w:type="auto"/>
          </w:tcPr>
          <w:p w14:paraId="53035677" w14:textId="77777777" w:rsidR="008C5CFA" w:rsidRPr="00601E29" w:rsidRDefault="00E82A60" w:rsidP="00300A01">
            <w:pPr>
              <w:spacing w:before="0" w:after="0"/>
              <w:jc w:val="right"/>
              <w:rPr>
                <w:sz w:val="10"/>
                <w:szCs w:val="10"/>
                <w:lang w:val="fr-BE"/>
              </w:rPr>
            </w:pPr>
            <w:r w:rsidRPr="00601E29">
              <w:rPr>
                <w:noProof/>
                <w:sz w:val="10"/>
                <w:szCs w:val="10"/>
                <w:lang w:val="fr-BE"/>
              </w:rPr>
              <w:t>10,00</w:t>
            </w:r>
          </w:p>
        </w:tc>
        <w:tc>
          <w:tcPr>
            <w:tcW w:w="0" w:type="auto"/>
          </w:tcPr>
          <w:p w14:paraId="4218EFB1"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51B038AF"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707B742D" w14:textId="77777777" w:rsidR="008C5CFA" w:rsidRPr="00601E29" w:rsidRDefault="00E82A60" w:rsidP="00300A01">
            <w:pPr>
              <w:spacing w:before="0" w:after="0"/>
              <w:jc w:val="right"/>
              <w:rPr>
                <w:sz w:val="10"/>
                <w:szCs w:val="10"/>
                <w:lang w:val="fr-BE"/>
              </w:rPr>
            </w:pPr>
            <w:r w:rsidRPr="00601E29">
              <w:rPr>
                <w:noProof/>
                <w:sz w:val="10"/>
                <w:szCs w:val="10"/>
                <w:lang w:val="fr-BE"/>
              </w:rPr>
              <w:t>10,00</w:t>
            </w:r>
          </w:p>
        </w:tc>
        <w:tc>
          <w:tcPr>
            <w:tcW w:w="0" w:type="auto"/>
          </w:tcPr>
          <w:p w14:paraId="4B24E40C"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614D8A62"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76C2AC43" w14:textId="77777777" w:rsidR="008C5CFA" w:rsidRPr="00601E29" w:rsidRDefault="008C5CFA" w:rsidP="00300A01">
            <w:pPr>
              <w:spacing w:before="0" w:after="0"/>
              <w:jc w:val="right"/>
              <w:rPr>
                <w:sz w:val="10"/>
                <w:szCs w:val="10"/>
                <w:lang w:val="fr-BE"/>
              </w:rPr>
            </w:pPr>
          </w:p>
        </w:tc>
      </w:tr>
    </w:tbl>
    <w:p w14:paraId="28952278"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64"/>
        <w:gridCol w:w="7096"/>
        <w:gridCol w:w="768"/>
        <w:gridCol w:w="448"/>
        <w:gridCol w:w="564"/>
        <w:gridCol w:w="453"/>
        <w:gridCol w:w="448"/>
        <w:gridCol w:w="564"/>
        <w:gridCol w:w="453"/>
        <w:gridCol w:w="598"/>
        <w:gridCol w:w="448"/>
        <w:gridCol w:w="564"/>
        <w:gridCol w:w="453"/>
        <w:gridCol w:w="448"/>
        <w:gridCol w:w="564"/>
        <w:gridCol w:w="453"/>
        <w:gridCol w:w="598"/>
      </w:tblGrid>
      <w:tr w:rsidR="006B2EC1" w14:paraId="32C7DEA0" w14:textId="77777777" w:rsidTr="0047688D">
        <w:trPr>
          <w:tblHeader/>
        </w:trPr>
        <w:tc>
          <w:tcPr>
            <w:tcW w:w="0" w:type="auto"/>
            <w:shd w:val="clear" w:color="auto" w:fill="auto"/>
          </w:tcPr>
          <w:p w14:paraId="7C582EE8" w14:textId="77777777" w:rsidR="008C5CFA" w:rsidRPr="00601E29" w:rsidRDefault="00E82A60" w:rsidP="00300A01">
            <w:pPr>
              <w:spacing w:before="0" w:after="0"/>
              <w:rPr>
                <w:b/>
                <w:sz w:val="10"/>
                <w:szCs w:val="10"/>
                <w:lang w:val="fr-BE"/>
              </w:rPr>
            </w:pPr>
            <w:r w:rsidRPr="00601E29">
              <w:rPr>
                <w:b/>
                <w:noProof/>
                <w:sz w:val="10"/>
                <w:szCs w:val="10"/>
                <w:lang w:val="fr-BE"/>
              </w:rPr>
              <w:t>ID</w:t>
            </w:r>
          </w:p>
        </w:tc>
        <w:tc>
          <w:tcPr>
            <w:tcW w:w="0" w:type="auto"/>
            <w:shd w:val="clear" w:color="auto" w:fill="auto"/>
          </w:tcPr>
          <w:p w14:paraId="5E0C67E6" w14:textId="77777777" w:rsidR="008C5CFA" w:rsidRPr="00601E29" w:rsidRDefault="00E82A60" w:rsidP="00300A01">
            <w:pPr>
              <w:spacing w:before="0" w:after="0"/>
              <w:rPr>
                <w:b/>
                <w:sz w:val="10"/>
                <w:szCs w:val="10"/>
                <w:lang w:val="fr-BE"/>
              </w:rPr>
            </w:pPr>
            <w:r w:rsidRPr="00601E29">
              <w:rPr>
                <w:b/>
                <w:noProof/>
                <w:sz w:val="10"/>
                <w:szCs w:val="10"/>
                <w:lang w:val="fr-BE"/>
              </w:rPr>
              <w:t>Wskaźnik</w:t>
            </w:r>
          </w:p>
        </w:tc>
        <w:tc>
          <w:tcPr>
            <w:tcW w:w="0" w:type="auto"/>
            <w:shd w:val="clear" w:color="auto" w:fill="auto"/>
          </w:tcPr>
          <w:p w14:paraId="1CFAD8DE" w14:textId="77777777" w:rsidR="008C5CFA" w:rsidRPr="00601E29" w:rsidRDefault="00E82A60" w:rsidP="00300A01">
            <w:pPr>
              <w:spacing w:before="0" w:after="0"/>
              <w:rPr>
                <w:b/>
                <w:sz w:val="10"/>
                <w:szCs w:val="10"/>
                <w:lang w:val="fr-BE"/>
              </w:rPr>
            </w:pPr>
            <w:r w:rsidRPr="00601E29">
              <w:rPr>
                <w:b/>
                <w:noProof/>
                <w:sz w:val="10"/>
                <w:szCs w:val="10"/>
                <w:lang w:val="fr-BE"/>
              </w:rPr>
              <w:t>Kategoria regionu</w:t>
            </w:r>
          </w:p>
        </w:tc>
        <w:tc>
          <w:tcPr>
            <w:tcW w:w="0" w:type="auto"/>
            <w:gridSpan w:val="7"/>
          </w:tcPr>
          <w:p w14:paraId="5E5E8F38" w14:textId="77777777" w:rsidR="008C5CFA" w:rsidRPr="00601E29" w:rsidRDefault="00E82A60" w:rsidP="00300A01">
            <w:pPr>
              <w:spacing w:before="0" w:after="0"/>
              <w:jc w:val="center"/>
              <w:rPr>
                <w:b/>
                <w:sz w:val="10"/>
                <w:szCs w:val="10"/>
                <w:lang w:val="fr-BE"/>
              </w:rPr>
            </w:pPr>
            <w:r>
              <w:rPr>
                <w:b/>
                <w:sz w:val="10"/>
                <w:szCs w:val="10"/>
                <w:lang w:val="fr-BE"/>
              </w:rPr>
              <w:t>2016</w:t>
            </w:r>
          </w:p>
        </w:tc>
        <w:tc>
          <w:tcPr>
            <w:tcW w:w="0" w:type="auto"/>
            <w:gridSpan w:val="7"/>
          </w:tcPr>
          <w:p w14:paraId="6CA937A0" w14:textId="77777777" w:rsidR="008C5CFA" w:rsidRPr="00601E29" w:rsidRDefault="00E82A60" w:rsidP="00300A01">
            <w:pPr>
              <w:spacing w:before="0" w:after="0"/>
              <w:jc w:val="center"/>
              <w:rPr>
                <w:b/>
                <w:sz w:val="10"/>
                <w:szCs w:val="10"/>
                <w:lang w:val="fr-BE"/>
              </w:rPr>
            </w:pPr>
            <w:r>
              <w:rPr>
                <w:b/>
                <w:sz w:val="10"/>
                <w:szCs w:val="10"/>
                <w:lang w:val="fr-BE"/>
              </w:rPr>
              <w:t>2015</w:t>
            </w:r>
          </w:p>
        </w:tc>
      </w:tr>
      <w:tr w:rsidR="006B2EC1" w14:paraId="49B42496" w14:textId="77777777" w:rsidTr="0047688D">
        <w:trPr>
          <w:tblHeader/>
        </w:trPr>
        <w:tc>
          <w:tcPr>
            <w:tcW w:w="0" w:type="auto"/>
            <w:shd w:val="clear" w:color="auto" w:fill="auto"/>
          </w:tcPr>
          <w:p w14:paraId="38B47060" w14:textId="77777777" w:rsidR="008C5CFA" w:rsidRPr="00601E29" w:rsidRDefault="008C5CFA" w:rsidP="00300A01">
            <w:pPr>
              <w:spacing w:before="0" w:after="0"/>
              <w:rPr>
                <w:b/>
                <w:sz w:val="10"/>
                <w:szCs w:val="10"/>
                <w:lang w:val="fr-BE"/>
              </w:rPr>
            </w:pPr>
          </w:p>
        </w:tc>
        <w:tc>
          <w:tcPr>
            <w:tcW w:w="0" w:type="auto"/>
            <w:shd w:val="clear" w:color="auto" w:fill="auto"/>
          </w:tcPr>
          <w:p w14:paraId="7D47DAF4" w14:textId="77777777" w:rsidR="008C5CFA" w:rsidRPr="00601E29" w:rsidRDefault="008C5CFA" w:rsidP="00300A01">
            <w:pPr>
              <w:spacing w:before="0" w:after="0"/>
              <w:rPr>
                <w:b/>
                <w:sz w:val="10"/>
                <w:szCs w:val="10"/>
                <w:lang w:val="fr-BE"/>
              </w:rPr>
            </w:pPr>
          </w:p>
        </w:tc>
        <w:tc>
          <w:tcPr>
            <w:tcW w:w="0" w:type="auto"/>
            <w:shd w:val="clear" w:color="auto" w:fill="auto"/>
          </w:tcPr>
          <w:p w14:paraId="48A7B8CD" w14:textId="77777777" w:rsidR="008C5CFA" w:rsidRPr="00601E29" w:rsidRDefault="008C5CFA" w:rsidP="00300A01">
            <w:pPr>
              <w:spacing w:before="0" w:after="0"/>
              <w:rPr>
                <w:b/>
                <w:sz w:val="10"/>
                <w:szCs w:val="10"/>
                <w:lang w:val="fr-BE"/>
              </w:rPr>
            </w:pPr>
          </w:p>
        </w:tc>
        <w:tc>
          <w:tcPr>
            <w:tcW w:w="0" w:type="auto"/>
            <w:gridSpan w:val="3"/>
          </w:tcPr>
          <w:p w14:paraId="65697B8B" w14:textId="77777777" w:rsidR="008C5CFA" w:rsidRPr="00601E29" w:rsidRDefault="00E82A60" w:rsidP="00300A01">
            <w:pPr>
              <w:spacing w:before="0" w:after="0"/>
              <w:jc w:val="center"/>
              <w:rPr>
                <w:b/>
                <w:sz w:val="10"/>
                <w:szCs w:val="10"/>
                <w:lang w:val="fr-BE"/>
              </w:rPr>
            </w:pPr>
            <w:r w:rsidRPr="00601E29">
              <w:rPr>
                <w:b/>
                <w:noProof/>
                <w:sz w:val="10"/>
                <w:szCs w:val="10"/>
                <w:lang w:val="fr-BE"/>
              </w:rPr>
              <w:t>Łącznie</w:t>
            </w:r>
          </w:p>
        </w:tc>
        <w:tc>
          <w:tcPr>
            <w:tcW w:w="0" w:type="auto"/>
            <w:gridSpan w:val="3"/>
          </w:tcPr>
          <w:p w14:paraId="1AB572FE" w14:textId="77777777" w:rsidR="008C5CFA" w:rsidRPr="00601E29" w:rsidRDefault="00E82A60" w:rsidP="00300A01">
            <w:pPr>
              <w:spacing w:before="0" w:after="0"/>
              <w:jc w:val="center"/>
              <w:rPr>
                <w:b/>
                <w:sz w:val="10"/>
                <w:szCs w:val="10"/>
                <w:lang w:val="fr-BE"/>
              </w:rPr>
            </w:pPr>
            <w:r w:rsidRPr="00601E29">
              <w:rPr>
                <w:b/>
                <w:noProof/>
                <w:sz w:val="10"/>
                <w:szCs w:val="10"/>
                <w:lang w:val="fr-BE"/>
              </w:rPr>
              <w:t>Łącznie w roku</w:t>
            </w:r>
          </w:p>
        </w:tc>
        <w:tc>
          <w:tcPr>
            <w:tcW w:w="0" w:type="auto"/>
          </w:tcPr>
          <w:p w14:paraId="3E09388A" w14:textId="77777777" w:rsidR="008C5CFA" w:rsidRPr="00601E29" w:rsidRDefault="00E82A60" w:rsidP="00300A01">
            <w:pPr>
              <w:spacing w:before="0" w:after="0"/>
              <w:jc w:val="center"/>
              <w:rPr>
                <w:b/>
                <w:sz w:val="10"/>
                <w:szCs w:val="10"/>
                <w:lang w:val="fr-BE"/>
              </w:rPr>
            </w:pPr>
            <w:r w:rsidRPr="00601E29">
              <w:rPr>
                <w:b/>
                <w:noProof/>
                <w:sz w:val="10"/>
                <w:szCs w:val="10"/>
                <w:lang w:val="fr-BE"/>
              </w:rPr>
              <w:t>Jakościowe</w:t>
            </w:r>
          </w:p>
        </w:tc>
        <w:tc>
          <w:tcPr>
            <w:tcW w:w="0" w:type="auto"/>
            <w:gridSpan w:val="3"/>
          </w:tcPr>
          <w:p w14:paraId="02CADDCE" w14:textId="77777777" w:rsidR="008C5CFA" w:rsidRPr="00601E29" w:rsidRDefault="00E82A60" w:rsidP="00300A01">
            <w:pPr>
              <w:spacing w:before="0" w:after="0"/>
              <w:jc w:val="center"/>
              <w:rPr>
                <w:b/>
                <w:sz w:val="10"/>
                <w:szCs w:val="10"/>
                <w:lang w:val="fr-BE"/>
              </w:rPr>
            </w:pPr>
            <w:r w:rsidRPr="00601E29">
              <w:rPr>
                <w:b/>
                <w:noProof/>
                <w:sz w:val="10"/>
                <w:szCs w:val="10"/>
                <w:lang w:val="fr-BE"/>
              </w:rPr>
              <w:t>Łącznie</w:t>
            </w:r>
          </w:p>
        </w:tc>
        <w:tc>
          <w:tcPr>
            <w:tcW w:w="0" w:type="auto"/>
            <w:gridSpan w:val="3"/>
          </w:tcPr>
          <w:p w14:paraId="3BABC8E1" w14:textId="77777777" w:rsidR="008C5CFA" w:rsidRPr="00601E29" w:rsidRDefault="00E82A60" w:rsidP="00300A01">
            <w:pPr>
              <w:spacing w:before="0" w:after="0"/>
              <w:jc w:val="center"/>
              <w:rPr>
                <w:b/>
                <w:sz w:val="10"/>
                <w:szCs w:val="10"/>
                <w:lang w:val="fr-BE"/>
              </w:rPr>
            </w:pPr>
            <w:r w:rsidRPr="00601E29">
              <w:rPr>
                <w:b/>
                <w:noProof/>
                <w:sz w:val="10"/>
                <w:szCs w:val="10"/>
                <w:lang w:val="fr-BE"/>
              </w:rPr>
              <w:t>Łącznie w roku</w:t>
            </w:r>
          </w:p>
        </w:tc>
        <w:tc>
          <w:tcPr>
            <w:tcW w:w="0" w:type="auto"/>
          </w:tcPr>
          <w:p w14:paraId="48463D8D" w14:textId="77777777" w:rsidR="008C5CFA" w:rsidRPr="00601E29" w:rsidRDefault="00E82A60" w:rsidP="00300A01">
            <w:pPr>
              <w:spacing w:before="0" w:after="0"/>
              <w:jc w:val="center"/>
              <w:rPr>
                <w:b/>
                <w:sz w:val="10"/>
                <w:szCs w:val="10"/>
                <w:lang w:val="fr-BE"/>
              </w:rPr>
            </w:pPr>
            <w:r w:rsidRPr="00601E29">
              <w:rPr>
                <w:b/>
                <w:noProof/>
                <w:sz w:val="10"/>
                <w:szCs w:val="10"/>
                <w:lang w:val="fr-BE"/>
              </w:rPr>
              <w:t>Jakościowe</w:t>
            </w:r>
          </w:p>
        </w:tc>
      </w:tr>
      <w:tr w:rsidR="006B2EC1" w14:paraId="2A7A4E72" w14:textId="77777777" w:rsidTr="0047688D">
        <w:trPr>
          <w:tblHeader/>
        </w:trPr>
        <w:tc>
          <w:tcPr>
            <w:tcW w:w="0" w:type="auto"/>
            <w:shd w:val="clear" w:color="auto" w:fill="auto"/>
          </w:tcPr>
          <w:p w14:paraId="1EEC6A95" w14:textId="77777777" w:rsidR="008C5CFA" w:rsidRPr="00601E29" w:rsidRDefault="008C5CFA" w:rsidP="00300A01">
            <w:pPr>
              <w:spacing w:before="0" w:after="0"/>
              <w:rPr>
                <w:b/>
                <w:sz w:val="10"/>
                <w:szCs w:val="10"/>
                <w:lang w:val="fr-BE"/>
              </w:rPr>
            </w:pPr>
          </w:p>
        </w:tc>
        <w:tc>
          <w:tcPr>
            <w:tcW w:w="0" w:type="auto"/>
            <w:shd w:val="clear" w:color="auto" w:fill="auto"/>
          </w:tcPr>
          <w:p w14:paraId="6EC192AB" w14:textId="77777777" w:rsidR="008C5CFA" w:rsidRPr="00601E29" w:rsidRDefault="008C5CFA" w:rsidP="00300A01">
            <w:pPr>
              <w:spacing w:before="0" w:after="0"/>
              <w:rPr>
                <w:b/>
                <w:sz w:val="10"/>
                <w:szCs w:val="10"/>
                <w:lang w:val="fr-BE"/>
              </w:rPr>
            </w:pPr>
          </w:p>
        </w:tc>
        <w:tc>
          <w:tcPr>
            <w:tcW w:w="0" w:type="auto"/>
            <w:shd w:val="clear" w:color="auto" w:fill="auto"/>
          </w:tcPr>
          <w:p w14:paraId="1324A156" w14:textId="77777777" w:rsidR="008C5CFA" w:rsidRPr="00601E29" w:rsidRDefault="008C5CFA" w:rsidP="00300A01">
            <w:pPr>
              <w:spacing w:before="0" w:after="0"/>
              <w:rPr>
                <w:b/>
                <w:sz w:val="10"/>
                <w:szCs w:val="10"/>
                <w:lang w:val="fr-BE"/>
              </w:rPr>
            </w:pPr>
          </w:p>
        </w:tc>
        <w:tc>
          <w:tcPr>
            <w:tcW w:w="0" w:type="auto"/>
          </w:tcPr>
          <w:p w14:paraId="7F4E136A" w14:textId="77777777" w:rsidR="008C5CFA" w:rsidRPr="00601E29" w:rsidRDefault="00E82A60" w:rsidP="00300A01">
            <w:pPr>
              <w:spacing w:before="0" w:after="0"/>
              <w:jc w:val="center"/>
              <w:rPr>
                <w:b/>
                <w:sz w:val="10"/>
                <w:szCs w:val="10"/>
                <w:lang w:val="fr-BE"/>
              </w:rPr>
            </w:pPr>
            <w:r w:rsidRPr="00601E29">
              <w:rPr>
                <w:b/>
                <w:noProof/>
                <w:sz w:val="10"/>
                <w:szCs w:val="10"/>
                <w:lang w:val="fr-BE"/>
              </w:rPr>
              <w:t>Ogółem</w:t>
            </w:r>
          </w:p>
        </w:tc>
        <w:tc>
          <w:tcPr>
            <w:tcW w:w="0" w:type="auto"/>
          </w:tcPr>
          <w:p w14:paraId="714BCC08" w14:textId="77777777" w:rsidR="008C5CFA" w:rsidRPr="00601E29" w:rsidRDefault="00E82A60" w:rsidP="00300A01">
            <w:pPr>
              <w:spacing w:before="0" w:after="0"/>
              <w:jc w:val="center"/>
              <w:rPr>
                <w:b/>
                <w:sz w:val="10"/>
                <w:szCs w:val="10"/>
                <w:lang w:val="fr-BE"/>
              </w:rPr>
            </w:pPr>
            <w:r w:rsidRPr="00601E29">
              <w:rPr>
                <w:b/>
                <w:noProof/>
                <w:sz w:val="10"/>
                <w:szCs w:val="10"/>
                <w:lang w:val="fr-BE"/>
              </w:rPr>
              <w:t>Mężczyźni</w:t>
            </w:r>
          </w:p>
        </w:tc>
        <w:tc>
          <w:tcPr>
            <w:tcW w:w="0" w:type="auto"/>
          </w:tcPr>
          <w:p w14:paraId="03DF38EF" w14:textId="77777777" w:rsidR="008C5CFA" w:rsidRPr="00601E29" w:rsidRDefault="00E82A60" w:rsidP="00300A01">
            <w:pPr>
              <w:spacing w:before="0" w:after="0"/>
              <w:jc w:val="center"/>
              <w:rPr>
                <w:b/>
                <w:sz w:val="10"/>
                <w:szCs w:val="10"/>
                <w:lang w:val="fr-BE"/>
              </w:rPr>
            </w:pPr>
            <w:r w:rsidRPr="00601E29">
              <w:rPr>
                <w:b/>
                <w:noProof/>
                <w:sz w:val="10"/>
                <w:szCs w:val="10"/>
                <w:lang w:val="fr-BE"/>
              </w:rPr>
              <w:t>Kobiety</w:t>
            </w:r>
          </w:p>
        </w:tc>
        <w:tc>
          <w:tcPr>
            <w:tcW w:w="0" w:type="auto"/>
          </w:tcPr>
          <w:p w14:paraId="2597DD33" w14:textId="77777777" w:rsidR="008C5CFA" w:rsidRPr="00601E29" w:rsidRDefault="00E82A60" w:rsidP="00300A01">
            <w:pPr>
              <w:spacing w:before="0" w:after="0"/>
              <w:jc w:val="center"/>
              <w:rPr>
                <w:b/>
                <w:sz w:val="10"/>
                <w:szCs w:val="10"/>
                <w:lang w:val="fr-BE"/>
              </w:rPr>
            </w:pPr>
            <w:r w:rsidRPr="00601E29">
              <w:rPr>
                <w:b/>
                <w:noProof/>
                <w:sz w:val="10"/>
                <w:szCs w:val="10"/>
                <w:lang w:val="fr-BE"/>
              </w:rPr>
              <w:t>Ogółem</w:t>
            </w:r>
          </w:p>
        </w:tc>
        <w:tc>
          <w:tcPr>
            <w:tcW w:w="0" w:type="auto"/>
          </w:tcPr>
          <w:p w14:paraId="4E0DC618" w14:textId="77777777" w:rsidR="008C5CFA" w:rsidRPr="00601E29" w:rsidRDefault="00E82A60" w:rsidP="00300A01">
            <w:pPr>
              <w:spacing w:before="0" w:after="0"/>
              <w:jc w:val="center"/>
              <w:rPr>
                <w:b/>
                <w:sz w:val="10"/>
                <w:szCs w:val="10"/>
                <w:lang w:val="fr-BE"/>
              </w:rPr>
            </w:pPr>
            <w:r w:rsidRPr="00601E29">
              <w:rPr>
                <w:b/>
                <w:noProof/>
                <w:sz w:val="10"/>
                <w:szCs w:val="10"/>
                <w:lang w:val="fr-BE"/>
              </w:rPr>
              <w:t>Mężczyźni</w:t>
            </w:r>
          </w:p>
        </w:tc>
        <w:tc>
          <w:tcPr>
            <w:tcW w:w="0" w:type="auto"/>
          </w:tcPr>
          <w:p w14:paraId="01755506" w14:textId="77777777" w:rsidR="008C5CFA" w:rsidRPr="00601E29" w:rsidRDefault="00E82A60" w:rsidP="00300A01">
            <w:pPr>
              <w:spacing w:before="0" w:after="0"/>
              <w:jc w:val="center"/>
              <w:rPr>
                <w:b/>
                <w:sz w:val="10"/>
                <w:szCs w:val="10"/>
                <w:lang w:val="fr-BE"/>
              </w:rPr>
            </w:pPr>
            <w:r w:rsidRPr="00601E29">
              <w:rPr>
                <w:b/>
                <w:noProof/>
                <w:sz w:val="10"/>
                <w:szCs w:val="10"/>
                <w:lang w:val="fr-BE"/>
              </w:rPr>
              <w:t>Kobiety</w:t>
            </w:r>
          </w:p>
        </w:tc>
        <w:tc>
          <w:tcPr>
            <w:tcW w:w="0" w:type="auto"/>
          </w:tcPr>
          <w:p w14:paraId="0D4B738A" w14:textId="77777777" w:rsidR="008C5CFA" w:rsidRPr="00601E29" w:rsidRDefault="008C5CFA" w:rsidP="00300A01">
            <w:pPr>
              <w:spacing w:before="0" w:after="0"/>
              <w:jc w:val="center"/>
              <w:rPr>
                <w:b/>
                <w:sz w:val="10"/>
                <w:szCs w:val="10"/>
                <w:lang w:val="fr-BE"/>
              </w:rPr>
            </w:pPr>
          </w:p>
        </w:tc>
        <w:tc>
          <w:tcPr>
            <w:tcW w:w="0" w:type="auto"/>
          </w:tcPr>
          <w:p w14:paraId="229C3CFE" w14:textId="77777777" w:rsidR="008C5CFA" w:rsidRPr="00601E29" w:rsidRDefault="00E82A60" w:rsidP="00300A01">
            <w:pPr>
              <w:spacing w:before="0" w:after="0"/>
              <w:jc w:val="center"/>
              <w:rPr>
                <w:b/>
                <w:sz w:val="10"/>
                <w:szCs w:val="10"/>
                <w:lang w:val="fr-BE"/>
              </w:rPr>
            </w:pPr>
            <w:r w:rsidRPr="00601E29">
              <w:rPr>
                <w:b/>
                <w:noProof/>
                <w:sz w:val="10"/>
                <w:szCs w:val="10"/>
                <w:lang w:val="fr-BE"/>
              </w:rPr>
              <w:t>Ogółem</w:t>
            </w:r>
          </w:p>
        </w:tc>
        <w:tc>
          <w:tcPr>
            <w:tcW w:w="0" w:type="auto"/>
          </w:tcPr>
          <w:p w14:paraId="5EDCA2AB" w14:textId="77777777" w:rsidR="008C5CFA" w:rsidRPr="00601E29" w:rsidRDefault="00E82A60" w:rsidP="00300A01">
            <w:pPr>
              <w:spacing w:before="0" w:after="0"/>
              <w:jc w:val="center"/>
              <w:rPr>
                <w:b/>
                <w:sz w:val="10"/>
                <w:szCs w:val="10"/>
                <w:lang w:val="fr-BE"/>
              </w:rPr>
            </w:pPr>
            <w:r w:rsidRPr="00601E29">
              <w:rPr>
                <w:b/>
                <w:noProof/>
                <w:sz w:val="10"/>
                <w:szCs w:val="10"/>
                <w:lang w:val="fr-BE"/>
              </w:rPr>
              <w:t>Mężczyźni</w:t>
            </w:r>
          </w:p>
        </w:tc>
        <w:tc>
          <w:tcPr>
            <w:tcW w:w="0" w:type="auto"/>
          </w:tcPr>
          <w:p w14:paraId="515959C4" w14:textId="77777777" w:rsidR="008C5CFA" w:rsidRPr="00601E29" w:rsidRDefault="00E82A60" w:rsidP="00300A01">
            <w:pPr>
              <w:spacing w:before="0" w:after="0"/>
              <w:jc w:val="center"/>
              <w:rPr>
                <w:b/>
                <w:sz w:val="10"/>
                <w:szCs w:val="10"/>
                <w:lang w:val="fr-BE"/>
              </w:rPr>
            </w:pPr>
            <w:r w:rsidRPr="00601E29">
              <w:rPr>
                <w:b/>
                <w:noProof/>
                <w:sz w:val="10"/>
                <w:szCs w:val="10"/>
                <w:lang w:val="fr-BE"/>
              </w:rPr>
              <w:t>Kobiety</w:t>
            </w:r>
          </w:p>
        </w:tc>
        <w:tc>
          <w:tcPr>
            <w:tcW w:w="0" w:type="auto"/>
          </w:tcPr>
          <w:p w14:paraId="6BD59C0D" w14:textId="77777777" w:rsidR="008C5CFA" w:rsidRPr="00601E29" w:rsidRDefault="00E82A60" w:rsidP="00300A01">
            <w:pPr>
              <w:spacing w:before="0" w:after="0"/>
              <w:jc w:val="center"/>
              <w:rPr>
                <w:b/>
                <w:sz w:val="10"/>
                <w:szCs w:val="10"/>
                <w:lang w:val="fr-BE"/>
              </w:rPr>
            </w:pPr>
            <w:r w:rsidRPr="00601E29">
              <w:rPr>
                <w:b/>
                <w:noProof/>
                <w:sz w:val="10"/>
                <w:szCs w:val="10"/>
                <w:lang w:val="fr-BE"/>
              </w:rPr>
              <w:t>Ogółem</w:t>
            </w:r>
          </w:p>
        </w:tc>
        <w:tc>
          <w:tcPr>
            <w:tcW w:w="0" w:type="auto"/>
          </w:tcPr>
          <w:p w14:paraId="7CD0957B" w14:textId="77777777" w:rsidR="008C5CFA" w:rsidRPr="00601E29" w:rsidRDefault="00E82A60" w:rsidP="00300A01">
            <w:pPr>
              <w:spacing w:before="0" w:after="0"/>
              <w:jc w:val="center"/>
              <w:rPr>
                <w:b/>
                <w:sz w:val="10"/>
                <w:szCs w:val="10"/>
                <w:lang w:val="fr-BE"/>
              </w:rPr>
            </w:pPr>
            <w:r w:rsidRPr="00601E29">
              <w:rPr>
                <w:b/>
                <w:noProof/>
                <w:sz w:val="10"/>
                <w:szCs w:val="10"/>
                <w:lang w:val="fr-BE"/>
              </w:rPr>
              <w:t>Mężczyźni</w:t>
            </w:r>
          </w:p>
        </w:tc>
        <w:tc>
          <w:tcPr>
            <w:tcW w:w="0" w:type="auto"/>
          </w:tcPr>
          <w:p w14:paraId="69038C23" w14:textId="77777777" w:rsidR="008C5CFA" w:rsidRPr="00601E29" w:rsidRDefault="00E82A60" w:rsidP="00300A01">
            <w:pPr>
              <w:spacing w:before="0" w:after="0"/>
              <w:jc w:val="center"/>
              <w:rPr>
                <w:b/>
                <w:sz w:val="10"/>
                <w:szCs w:val="10"/>
                <w:lang w:val="fr-BE"/>
              </w:rPr>
            </w:pPr>
            <w:r w:rsidRPr="00601E29">
              <w:rPr>
                <w:b/>
                <w:noProof/>
                <w:sz w:val="10"/>
                <w:szCs w:val="10"/>
                <w:lang w:val="fr-BE"/>
              </w:rPr>
              <w:t>Kobiety</w:t>
            </w:r>
          </w:p>
        </w:tc>
        <w:tc>
          <w:tcPr>
            <w:tcW w:w="0" w:type="auto"/>
          </w:tcPr>
          <w:p w14:paraId="48240FAD" w14:textId="77777777" w:rsidR="008C5CFA" w:rsidRPr="00601E29" w:rsidRDefault="008C5CFA" w:rsidP="00300A01">
            <w:pPr>
              <w:spacing w:before="0" w:after="0"/>
              <w:jc w:val="center"/>
              <w:rPr>
                <w:b/>
                <w:sz w:val="10"/>
                <w:szCs w:val="10"/>
                <w:lang w:val="fr-BE"/>
              </w:rPr>
            </w:pPr>
          </w:p>
        </w:tc>
      </w:tr>
      <w:tr w:rsidR="006B2EC1" w14:paraId="1C113854" w14:textId="77777777" w:rsidTr="0047688D">
        <w:tc>
          <w:tcPr>
            <w:tcW w:w="0" w:type="auto"/>
            <w:shd w:val="clear" w:color="auto" w:fill="auto"/>
          </w:tcPr>
          <w:p w14:paraId="312022CA" w14:textId="77777777" w:rsidR="008C5CFA" w:rsidRPr="00601E29" w:rsidRDefault="00E82A60" w:rsidP="00300A01">
            <w:pPr>
              <w:spacing w:before="0" w:after="0"/>
              <w:rPr>
                <w:sz w:val="10"/>
                <w:szCs w:val="10"/>
                <w:lang w:val="fr-BE"/>
              </w:rPr>
            </w:pPr>
            <w:r w:rsidRPr="00601E29">
              <w:rPr>
                <w:noProof/>
                <w:sz w:val="10"/>
                <w:szCs w:val="10"/>
                <w:lang w:val="fr-BE"/>
              </w:rPr>
              <w:t>021</w:t>
            </w:r>
          </w:p>
        </w:tc>
        <w:tc>
          <w:tcPr>
            <w:tcW w:w="0" w:type="auto"/>
            <w:shd w:val="clear" w:color="auto" w:fill="auto"/>
          </w:tcPr>
          <w:p w14:paraId="38E35BC7" w14:textId="77777777" w:rsidR="008C5CFA" w:rsidRPr="00601E29" w:rsidRDefault="00E82A60" w:rsidP="00300A01">
            <w:pPr>
              <w:spacing w:before="0" w:after="0"/>
              <w:rPr>
                <w:sz w:val="10"/>
                <w:szCs w:val="10"/>
                <w:lang w:val="fr-BE"/>
              </w:rPr>
            </w:pPr>
            <w:r w:rsidRPr="00601E29">
              <w:rPr>
                <w:noProof/>
                <w:sz w:val="10"/>
                <w:szCs w:val="10"/>
                <w:lang w:val="fr-BE"/>
              </w:rPr>
              <w:t>Liczba wspartych w programie miejsc świadczenia usług społecznych istniejących po zakończeniu projektu.</w:t>
            </w:r>
          </w:p>
        </w:tc>
        <w:tc>
          <w:tcPr>
            <w:tcW w:w="0" w:type="auto"/>
            <w:shd w:val="clear" w:color="auto" w:fill="auto"/>
          </w:tcPr>
          <w:p w14:paraId="0544A435" w14:textId="77777777" w:rsidR="008C5CFA" w:rsidRPr="00601E29" w:rsidRDefault="00E82A60" w:rsidP="00300A01">
            <w:pPr>
              <w:spacing w:before="0" w:after="0"/>
              <w:rPr>
                <w:sz w:val="10"/>
                <w:szCs w:val="10"/>
                <w:lang w:val="fr-BE"/>
              </w:rPr>
            </w:pPr>
            <w:r w:rsidRPr="00601E29">
              <w:rPr>
                <w:noProof/>
                <w:sz w:val="10"/>
                <w:szCs w:val="10"/>
                <w:lang w:val="fr-BE"/>
              </w:rPr>
              <w:t>Słabiej rozwinięte</w:t>
            </w:r>
          </w:p>
        </w:tc>
        <w:tc>
          <w:tcPr>
            <w:tcW w:w="0" w:type="auto"/>
          </w:tcPr>
          <w:p w14:paraId="355C4099"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2F270207"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06859539"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4DBA548B"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004A321D"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39713F4D"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489652BA" w14:textId="77777777" w:rsidR="008C5CFA" w:rsidRPr="00601E29" w:rsidRDefault="008C5CFA" w:rsidP="00300A01">
            <w:pPr>
              <w:spacing w:before="0" w:after="0"/>
              <w:jc w:val="right"/>
              <w:rPr>
                <w:sz w:val="10"/>
                <w:szCs w:val="10"/>
                <w:lang w:val="fr-BE"/>
              </w:rPr>
            </w:pPr>
          </w:p>
        </w:tc>
        <w:tc>
          <w:tcPr>
            <w:tcW w:w="0" w:type="auto"/>
          </w:tcPr>
          <w:p w14:paraId="49F0850F"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2B2D61F9"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071458EA"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32A3B91D"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4E01588A"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24AE7928"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546AB0E6" w14:textId="77777777" w:rsidR="008C5CFA" w:rsidRPr="00601E29" w:rsidRDefault="008C5CFA" w:rsidP="00300A01">
            <w:pPr>
              <w:spacing w:before="0" w:after="0"/>
              <w:jc w:val="right"/>
              <w:rPr>
                <w:sz w:val="10"/>
                <w:szCs w:val="10"/>
                <w:lang w:val="fr-BE"/>
              </w:rPr>
            </w:pPr>
          </w:p>
        </w:tc>
      </w:tr>
      <w:tr w:rsidR="006B2EC1" w14:paraId="685B1C58" w14:textId="77777777" w:rsidTr="0047688D">
        <w:tc>
          <w:tcPr>
            <w:tcW w:w="0" w:type="auto"/>
            <w:shd w:val="clear" w:color="auto" w:fill="auto"/>
          </w:tcPr>
          <w:p w14:paraId="5BAAC103" w14:textId="77777777" w:rsidR="008C5CFA" w:rsidRPr="00601E29" w:rsidRDefault="00E82A60" w:rsidP="00300A01">
            <w:pPr>
              <w:spacing w:before="0" w:after="0"/>
              <w:rPr>
                <w:sz w:val="10"/>
                <w:szCs w:val="10"/>
                <w:lang w:val="fr-BE"/>
              </w:rPr>
            </w:pPr>
            <w:r w:rsidRPr="00601E29">
              <w:rPr>
                <w:noProof/>
                <w:sz w:val="10"/>
                <w:szCs w:val="10"/>
                <w:lang w:val="fr-BE"/>
              </w:rPr>
              <w:t>022</w:t>
            </w:r>
          </w:p>
        </w:tc>
        <w:tc>
          <w:tcPr>
            <w:tcW w:w="0" w:type="auto"/>
            <w:shd w:val="clear" w:color="auto" w:fill="auto"/>
          </w:tcPr>
          <w:p w14:paraId="40BB6968" w14:textId="77777777" w:rsidR="008C5CFA" w:rsidRPr="00601E29" w:rsidRDefault="00E82A60" w:rsidP="00300A01">
            <w:pPr>
              <w:spacing w:before="0" w:after="0"/>
              <w:rPr>
                <w:sz w:val="10"/>
                <w:szCs w:val="10"/>
                <w:lang w:val="fr-BE"/>
              </w:rPr>
            </w:pPr>
            <w:r w:rsidRPr="00601E29">
              <w:rPr>
                <w:noProof/>
                <w:sz w:val="10"/>
                <w:szCs w:val="10"/>
                <w:lang w:val="fr-BE"/>
              </w:rPr>
              <w:t>Liczba wspartych w programie miejsc świadczenia usług zdrowotnych istniejących po zakończeniu projektu.</w:t>
            </w:r>
          </w:p>
        </w:tc>
        <w:tc>
          <w:tcPr>
            <w:tcW w:w="0" w:type="auto"/>
            <w:shd w:val="clear" w:color="auto" w:fill="auto"/>
          </w:tcPr>
          <w:p w14:paraId="70C78209" w14:textId="77777777" w:rsidR="008C5CFA" w:rsidRPr="00601E29" w:rsidRDefault="00E82A60" w:rsidP="00300A01">
            <w:pPr>
              <w:spacing w:before="0" w:after="0"/>
              <w:rPr>
                <w:sz w:val="10"/>
                <w:szCs w:val="10"/>
                <w:lang w:val="fr-BE"/>
              </w:rPr>
            </w:pPr>
            <w:r w:rsidRPr="00601E29">
              <w:rPr>
                <w:noProof/>
                <w:sz w:val="10"/>
                <w:szCs w:val="10"/>
                <w:lang w:val="fr-BE"/>
              </w:rPr>
              <w:t>Słabiej rozwinięte</w:t>
            </w:r>
          </w:p>
        </w:tc>
        <w:tc>
          <w:tcPr>
            <w:tcW w:w="0" w:type="auto"/>
          </w:tcPr>
          <w:p w14:paraId="30D48982"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64AC0BFA"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37546829"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3C2CCDC7"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1DDF1FD1"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13D44435"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51497055" w14:textId="77777777" w:rsidR="008C5CFA" w:rsidRPr="00601E29" w:rsidRDefault="008C5CFA" w:rsidP="00300A01">
            <w:pPr>
              <w:spacing w:before="0" w:after="0"/>
              <w:jc w:val="right"/>
              <w:rPr>
                <w:sz w:val="10"/>
                <w:szCs w:val="10"/>
                <w:lang w:val="fr-BE"/>
              </w:rPr>
            </w:pPr>
          </w:p>
        </w:tc>
        <w:tc>
          <w:tcPr>
            <w:tcW w:w="0" w:type="auto"/>
          </w:tcPr>
          <w:p w14:paraId="096746DF"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5A169241"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2EF5BF20"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24B1FD9A"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5B5AC1A7"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43C41329"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541FF086" w14:textId="77777777" w:rsidR="008C5CFA" w:rsidRPr="00601E29" w:rsidRDefault="008C5CFA" w:rsidP="00300A01">
            <w:pPr>
              <w:spacing w:before="0" w:after="0"/>
              <w:jc w:val="right"/>
              <w:rPr>
                <w:sz w:val="10"/>
                <w:szCs w:val="10"/>
                <w:lang w:val="fr-BE"/>
              </w:rPr>
            </w:pPr>
          </w:p>
        </w:tc>
      </w:tr>
      <w:tr w:rsidR="006B2EC1" w14:paraId="5997555B" w14:textId="77777777" w:rsidTr="0047688D">
        <w:tc>
          <w:tcPr>
            <w:tcW w:w="0" w:type="auto"/>
            <w:shd w:val="clear" w:color="auto" w:fill="auto"/>
          </w:tcPr>
          <w:p w14:paraId="0A5B49BE" w14:textId="77777777" w:rsidR="008C5CFA" w:rsidRPr="00601E29" w:rsidRDefault="00E82A60" w:rsidP="00300A01">
            <w:pPr>
              <w:spacing w:before="0" w:after="0"/>
              <w:rPr>
                <w:sz w:val="10"/>
                <w:szCs w:val="10"/>
                <w:lang w:val="fr-BE"/>
              </w:rPr>
            </w:pPr>
            <w:r w:rsidRPr="00601E29">
              <w:rPr>
                <w:noProof/>
                <w:sz w:val="10"/>
                <w:szCs w:val="10"/>
                <w:lang w:val="fr-BE"/>
              </w:rPr>
              <w:t>061</w:t>
            </w:r>
          </w:p>
        </w:tc>
        <w:tc>
          <w:tcPr>
            <w:tcW w:w="0" w:type="auto"/>
            <w:shd w:val="clear" w:color="auto" w:fill="auto"/>
          </w:tcPr>
          <w:p w14:paraId="6B28B578" w14:textId="77777777" w:rsidR="008C5CFA" w:rsidRPr="00601E29" w:rsidRDefault="00E82A60" w:rsidP="00300A01">
            <w:pPr>
              <w:spacing w:before="0" w:after="0"/>
              <w:rPr>
                <w:sz w:val="10"/>
                <w:szCs w:val="10"/>
                <w:lang w:val="fr-BE"/>
              </w:rPr>
            </w:pPr>
            <w:r w:rsidRPr="00601E29">
              <w:rPr>
                <w:noProof/>
                <w:sz w:val="10"/>
                <w:szCs w:val="10"/>
                <w:lang w:val="fr-BE"/>
              </w:rPr>
              <w:t>Liczba osób zagrożonych ubóstwem lub wykluczeniem społecznym poszukujących pracy, uczestniczących w kształceniu lub szkoleniu, zdobywających kwalifikacje, pracujących (łącznie z prowadzącymi działalność na własny rachunek) po opuszczeniu programu</w:t>
            </w:r>
          </w:p>
        </w:tc>
        <w:tc>
          <w:tcPr>
            <w:tcW w:w="0" w:type="auto"/>
            <w:shd w:val="clear" w:color="auto" w:fill="auto"/>
          </w:tcPr>
          <w:p w14:paraId="13C6A652" w14:textId="77777777" w:rsidR="008C5CFA" w:rsidRPr="00601E29" w:rsidRDefault="00E82A60" w:rsidP="00300A01">
            <w:pPr>
              <w:spacing w:before="0" w:after="0"/>
              <w:rPr>
                <w:sz w:val="10"/>
                <w:szCs w:val="10"/>
                <w:lang w:val="fr-BE"/>
              </w:rPr>
            </w:pPr>
            <w:r w:rsidRPr="00601E29">
              <w:rPr>
                <w:noProof/>
                <w:sz w:val="10"/>
                <w:szCs w:val="10"/>
                <w:lang w:val="fr-BE"/>
              </w:rPr>
              <w:t>Słabiej rozwinięte</w:t>
            </w:r>
          </w:p>
        </w:tc>
        <w:tc>
          <w:tcPr>
            <w:tcW w:w="0" w:type="auto"/>
          </w:tcPr>
          <w:p w14:paraId="46E756A7"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33F42DB8"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398AB8A5"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19DA72C0"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6C70FD4C"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45B24CBD"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6436B983" w14:textId="77777777" w:rsidR="008C5CFA" w:rsidRPr="00601E29" w:rsidRDefault="008C5CFA" w:rsidP="00300A01">
            <w:pPr>
              <w:spacing w:before="0" w:after="0"/>
              <w:jc w:val="right"/>
              <w:rPr>
                <w:sz w:val="10"/>
                <w:szCs w:val="10"/>
                <w:lang w:val="fr-BE"/>
              </w:rPr>
            </w:pPr>
          </w:p>
        </w:tc>
        <w:tc>
          <w:tcPr>
            <w:tcW w:w="0" w:type="auto"/>
          </w:tcPr>
          <w:p w14:paraId="2277C20A"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675BBF3D"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45C47D8C"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1E113D67"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166D4E38"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7A5E7DDA"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160F074A" w14:textId="77777777" w:rsidR="008C5CFA" w:rsidRPr="00601E29" w:rsidRDefault="008C5CFA" w:rsidP="00300A01">
            <w:pPr>
              <w:spacing w:before="0" w:after="0"/>
              <w:jc w:val="right"/>
              <w:rPr>
                <w:sz w:val="10"/>
                <w:szCs w:val="10"/>
                <w:lang w:val="fr-BE"/>
              </w:rPr>
            </w:pPr>
          </w:p>
        </w:tc>
      </w:tr>
    </w:tbl>
    <w:p w14:paraId="1DB27C19"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64"/>
        <w:gridCol w:w="10503"/>
        <w:gridCol w:w="889"/>
        <w:gridCol w:w="448"/>
        <w:gridCol w:w="564"/>
        <w:gridCol w:w="453"/>
        <w:gridCol w:w="448"/>
        <w:gridCol w:w="564"/>
        <w:gridCol w:w="453"/>
        <w:gridCol w:w="598"/>
      </w:tblGrid>
      <w:tr w:rsidR="006B2EC1" w14:paraId="09C3FE1B" w14:textId="77777777" w:rsidTr="0047688D">
        <w:trPr>
          <w:tblHeader/>
        </w:trPr>
        <w:tc>
          <w:tcPr>
            <w:tcW w:w="0" w:type="auto"/>
            <w:shd w:val="clear" w:color="auto" w:fill="auto"/>
          </w:tcPr>
          <w:p w14:paraId="634F7E1B" w14:textId="77777777" w:rsidR="008C5CFA" w:rsidRPr="00601E29" w:rsidRDefault="00E82A60" w:rsidP="00300A01">
            <w:pPr>
              <w:spacing w:before="0" w:after="0"/>
              <w:rPr>
                <w:b/>
                <w:sz w:val="10"/>
                <w:szCs w:val="10"/>
                <w:lang w:val="fr-BE"/>
              </w:rPr>
            </w:pPr>
            <w:r w:rsidRPr="00601E29">
              <w:rPr>
                <w:b/>
                <w:noProof/>
                <w:sz w:val="10"/>
                <w:szCs w:val="10"/>
                <w:lang w:val="fr-BE"/>
              </w:rPr>
              <w:t>ID</w:t>
            </w:r>
          </w:p>
        </w:tc>
        <w:tc>
          <w:tcPr>
            <w:tcW w:w="0" w:type="auto"/>
            <w:shd w:val="clear" w:color="auto" w:fill="auto"/>
          </w:tcPr>
          <w:p w14:paraId="7BA5C665" w14:textId="77777777" w:rsidR="008C5CFA" w:rsidRPr="00601E29" w:rsidRDefault="00E82A60" w:rsidP="00300A01">
            <w:pPr>
              <w:spacing w:before="0" w:after="0"/>
              <w:rPr>
                <w:b/>
                <w:sz w:val="10"/>
                <w:szCs w:val="10"/>
                <w:lang w:val="fr-BE"/>
              </w:rPr>
            </w:pPr>
            <w:r w:rsidRPr="00601E29">
              <w:rPr>
                <w:b/>
                <w:noProof/>
                <w:sz w:val="10"/>
                <w:szCs w:val="10"/>
                <w:lang w:val="fr-BE"/>
              </w:rPr>
              <w:t>Wskaźnik</w:t>
            </w:r>
          </w:p>
        </w:tc>
        <w:tc>
          <w:tcPr>
            <w:tcW w:w="0" w:type="auto"/>
            <w:shd w:val="clear" w:color="auto" w:fill="auto"/>
          </w:tcPr>
          <w:p w14:paraId="21B902CF" w14:textId="77777777" w:rsidR="008C5CFA" w:rsidRPr="00601E29" w:rsidRDefault="00E82A60" w:rsidP="00300A01">
            <w:pPr>
              <w:spacing w:before="0" w:after="0"/>
              <w:rPr>
                <w:b/>
                <w:sz w:val="10"/>
                <w:szCs w:val="10"/>
                <w:lang w:val="fr-BE"/>
              </w:rPr>
            </w:pPr>
            <w:r w:rsidRPr="00601E29">
              <w:rPr>
                <w:b/>
                <w:noProof/>
                <w:sz w:val="10"/>
                <w:szCs w:val="10"/>
                <w:lang w:val="fr-BE"/>
              </w:rPr>
              <w:t>Kategoria regionu</w:t>
            </w:r>
          </w:p>
        </w:tc>
        <w:tc>
          <w:tcPr>
            <w:tcW w:w="0" w:type="auto"/>
            <w:gridSpan w:val="7"/>
          </w:tcPr>
          <w:p w14:paraId="51AD8B40" w14:textId="77777777" w:rsidR="008C5CFA" w:rsidRPr="00601E29" w:rsidRDefault="00E82A60" w:rsidP="00300A01">
            <w:pPr>
              <w:spacing w:before="0" w:after="0"/>
              <w:jc w:val="center"/>
              <w:rPr>
                <w:b/>
                <w:sz w:val="10"/>
                <w:szCs w:val="10"/>
                <w:lang w:val="fr-BE"/>
              </w:rPr>
            </w:pPr>
            <w:r>
              <w:rPr>
                <w:b/>
                <w:sz w:val="10"/>
                <w:szCs w:val="10"/>
                <w:lang w:val="fr-BE"/>
              </w:rPr>
              <w:t>2014</w:t>
            </w:r>
          </w:p>
        </w:tc>
      </w:tr>
      <w:tr w:rsidR="006B2EC1" w14:paraId="099CFC92" w14:textId="77777777" w:rsidTr="0047688D">
        <w:trPr>
          <w:tblHeader/>
        </w:trPr>
        <w:tc>
          <w:tcPr>
            <w:tcW w:w="0" w:type="auto"/>
            <w:shd w:val="clear" w:color="auto" w:fill="auto"/>
          </w:tcPr>
          <w:p w14:paraId="3EF7FBD8" w14:textId="77777777" w:rsidR="008C5CFA" w:rsidRPr="00601E29" w:rsidRDefault="008C5CFA" w:rsidP="00300A01">
            <w:pPr>
              <w:spacing w:before="0" w:after="0"/>
              <w:rPr>
                <w:b/>
                <w:sz w:val="10"/>
                <w:szCs w:val="10"/>
                <w:lang w:val="fr-BE"/>
              </w:rPr>
            </w:pPr>
          </w:p>
        </w:tc>
        <w:tc>
          <w:tcPr>
            <w:tcW w:w="0" w:type="auto"/>
            <w:shd w:val="clear" w:color="auto" w:fill="auto"/>
          </w:tcPr>
          <w:p w14:paraId="4A85637C" w14:textId="77777777" w:rsidR="008C5CFA" w:rsidRPr="00601E29" w:rsidRDefault="008C5CFA" w:rsidP="00300A01">
            <w:pPr>
              <w:spacing w:before="0" w:after="0"/>
              <w:rPr>
                <w:b/>
                <w:sz w:val="10"/>
                <w:szCs w:val="10"/>
                <w:lang w:val="fr-BE"/>
              </w:rPr>
            </w:pPr>
          </w:p>
        </w:tc>
        <w:tc>
          <w:tcPr>
            <w:tcW w:w="0" w:type="auto"/>
            <w:shd w:val="clear" w:color="auto" w:fill="auto"/>
          </w:tcPr>
          <w:p w14:paraId="7A4679F7" w14:textId="77777777" w:rsidR="008C5CFA" w:rsidRPr="00601E29" w:rsidRDefault="008C5CFA" w:rsidP="00300A01">
            <w:pPr>
              <w:spacing w:before="0" w:after="0"/>
              <w:rPr>
                <w:b/>
                <w:sz w:val="10"/>
                <w:szCs w:val="10"/>
                <w:lang w:val="fr-BE"/>
              </w:rPr>
            </w:pPr>
          </w:p>
        </w:tc>
        <w:tc>
          <w:tcPr>
            <w:tcW w:w="0" w:type="auto"/>
            <w:gridSpan w:val="3"/>
          </w:tcPr>
          <w:p w14:paraId="7CC1E479" w14:textId="77777777" w:rsidR="008C5CFA" w:rsidRPr="00601E29" w:rsidRDefault="00E82A60" w:rsidP="00300A01">
            <w:pPr>
              <w:spacing w:before="0" w:after="0"/>
              <w:jc w:val="center"/>
              <w:rPr>
                <w:b/>
                <w:sz w:val="10"/>
                <w:szCs w:val="10"/>
                <w:lang w:val="fr-BE"/>
              </w:rPr>
            </w:pPr>
            <w:r w:rsidRPr="00601E29">
              <w:rPr>
                <w:b/>
                <w:noProof/>
                <w:sz w:val="10"/>
                <w:szCs w:val="10"/>
                <w:lang w:val="fr-BE"/>
              </w:rPr>
              <w:t>Łącznie</w:t>
            </w:r>
          </w:p>
        </w:tc>
        <w:tc>
          <w:tcPr>
            <w:tcW w:w="0" w:type="auto"/>
            <w:gridSpan w:val="3"/>
          </w:tcPr>
          <w:p w14:paraId="3566FDF4" w14:textId="77777777" w:rsidR="008C5CFA" w:rsidRPr="00601E29" w:rsidRDefault="00E82A60" w:rsidP="00300A01">
            <w:pPr>
              <w:spacing w:before="0" w:after="0"/>
              <w:jc w:val="center"/>
              <w:rPr>
                <w:b/>
                <w:sz w:val="10"/>
                <w:szCs w:val="10"/>
                <w:lang w:val="fr-BE"/>
              </w:rPr>
            </w:pPr>
            <w:r w:rsidRPr="00601E29">
              <w:rPr>
                <w:b/>
                <w:noProof/>
                <w:sz w:val="10"/>
                <w:szCs w:val="10"/>
                <w:lang w:val="fr-BE"/>
              </w:rPr>
              <w:t>Łącznie w roku</w:t>
            </w:r>
          </w:p>
        </w:tc>
        <w:tc>
          <w:tcPr>
            <w:tcW w:w="0" w:type="auto"/>
          </w:tcPr>
          <w:p w14:paraId="4B294731" w14:textId="77777777" w:rsidR="008C5CFA" w:rsidRPr="00601E29" w:rsidRDefault="00E82A60" w:rsidP="00300A01">
            <w:pPr>
              <w:spacing w:before="0" w:after="0"/>
              <w:jc w:val="center"/>
              <w:rPr>
                <w:b/>
                <w:sz w:val="10"/>
                <w:szCs w:val="10"/>
                <w:lang w:val="fr-BE"/>
              </w:rPr>
            </w:pPr>
            <w:r w:rsidRPr="00601E29">
              <w:rPr>
                <w:b/>
                <w:noProof/>
                <w:sz w:val="10"/>
                <w:szCs w:val="10"/>
                <w:lang w:val="fr-BE"/>
              </w:rPr>
              <w:t>Jakościowe</w:t>
            </w:r>
          </w:p>
        </w:tc>
      </w:tr>
      <w:tr w:rsidR="006B2EC1" w14:paraId="5F4BB1BC" w14:textId="77777777" w:rsidTr="0047688D">
        <w:trPr>
          <w:tblHeader/>
        </w:trPr>
        <w:tc>
          <w:tcPr>
            <w:tcW w:w="0" w:type="auto"/>
            <w:shd w:val="clear" w:color="auto" w:fill="auto"/>
          </w:tcPr>
          <w:p w14:paraId="66921161" w14:textId="77777777" w:rsidR="008C5CFA" w:rsidRPr="00601E29" w:rsidRDefault="008C5CFA" w:rsidP="00300A01">
            <w:pPr>
              <w:spacing w:before="0" w:after="0"/>
              <w:rPr>
                <w:b/>
                <w:sz w:val="10"/>
                <w:szCs w:val="10"/>
                <w:lang w:val="fr-BE"/>
              </w:rPr>
            </w:pPr>
          </w:p>
        </w:tc>
        <w:tc>
          <w:tcPr>
            <w:tcW w:w="0" w:type="auto"/>
            <w:shd w:val="clear" w:color="auto" w:fill="auto"/>
          </w:tcPr>
          <w:p w14:paraId="0CB193C1" w14:textId="77777777" w:rsidR="008C5CFA" w:rsidRPr="00601E29" w:rsidRDefault="008C5CFA" w:rsidP="00300A01">
            <w:pPr>
              <w:spacing w:before="0" w:after="0"/>
              <w:rPr>
                <w:b/>
                <w:sz w:val="10"/>
                <w:szCs w:val="10"/>
                <w:lang w:val="fr-BE"/>
              </w:rPr>
            </w:pPr>
          </w:p>
        </w:tc>
        <w:tc>
          <w:tcPr>
            <w:tcW w:w="0" w:type="auto"/>
            <w:shd w:val="clear" w:color="auto" w:fill="auto"/>
          </w:tcPr>
          <w:p w14:paraId="137DFA9B" w14:textId="77777777" w:rsidR="008C5CFA" w:rsidRPr="00601E29" w:rsidRDefault="008C5CFA" w:rsidP="00300A01">
            <w:pPr>
              <w:spacing w:before="0" w:after="0"/>
              <w:rPr>
                <w:b/>
                <w:sz w:val="10"/>
                <w:szCs w:val="10"/>
                <w:lang w:val="fr-BE"/>
              </w:rPr>
            </w:pPr>
          </w:p>
        </w:tc>
        <w:tc>
          <w:tcPr>
            <w:tcW w:w="0" w:type="auto"/>
          </w:tcPr>
          <w:p w14:paraId="6303B538" w14:textId="77777777" w:rsidR="008C5CFA" w:rsidRPr="00601E29" w:rsidRDefault="00E82A60" w:rsidP="00300A01">
            <w:pPr>
              <w:spacing w:before="0" w:after="0"/>
              <w:jc w:val="center"/>
              <w:rPr>
                <w:b/>
                <w:sz w:val="10"/>
                <w:szCs w:val="10"/>
                <w:lang w:val="fr-BE"/>
              </w:rPr>
            </w:pPr>
            <w:r w:rsidRPr="00601E29">
              <w:rPr>
                <w:b/>
                <w:noProof/>
                <w:sz w:val="10"/>
                <w:szCs w:val="10"/>
                <w:lang w:val="fr-BE"/>
              </w:rPr>
              <w:t>Ogółem</w:t>
            </w:r>
          </w:p>
        </w:tc>
        <w:tc>
          <w:tcPr>
            <w:tcW w:w="0" w:type="auto"/>
          </w:tcPr>
          <w:p w14:paraId="204C05EE" w14:textId="77777777" w:rsidR="008C5CFA" w:rsidRPr="00601E29" w:rsidRDefault="00E82A60" w:rsidP="00300A01">
            <w:pPr>
              <w:spacing w:before="0" w:after="0"/>
              <w:jc w:val="center"/>
              <w:rPr>
                <w:b/>
                <w:sz w:val="10"/>
                <w:szCs w:val="10"/>
                <w:lang w:val="fr-BE"/>
              </w:rPr>
            </w:pPr>
            <w:r w:rsidRPr="00601E29">
              <w:rPr>
                <w:b/>
                <w:noProof/>
                <w:sz w:val="10"/>
                <w:szCs w:val="10"/>
                <w:lang w:val="fr-BE"/>
              </w:rPr>
              <w:t>Mężczyźni</w:t>
            </w:r>
          </w:p>
        </w:tc>
        <w:tc>
          <w:tcPr>
            <w:tcW w:w="0" w:type="auto"/>
          </w:tcPr>
          <w:p w14:paraId="1F8C341C" w14:textId="77777777" w:rsidR="008C5CFA" w:rsidRPr="00601E29" w:rsidRDefault="00E82A60" w:rsidP="00300A01">
            <w:pPr>
              <w:spacing w:before="0" w:after="0"/>
              <w:jc w:val="center"/>
              <w:rPr>
                <w:b/>
                <w:sz w:val="10"/>
                <w:szCs w:val="10"/>
                <w:lang w:val="fr-BE"/>
              </w:rPr>
            </w:pPr>
            <w:r w:rsidRPr="00601E29">
              <w:rPr>
                <w:b/>
                <w:noProof/>
                <w:sz w:val="10"/>
                <w:szCs w:val="10"/>
                <w:lang w:val="fr-BE"/>
              </w:rPr>
              <w:t>Kobiety</w:t>
            </w:r>
          </w:p>
        </w:tc>
        <w:tc>
          <w:tcPr>
            <w:tcW w:w="0" w:type="auto"/>
          </w:tcPr>
          <w:p w14:paraId="60B7D5EF" w14:textId="77777777" w:rsidR="008C5CFA" w:rsidRPr="00601E29" w:rsidRDefault="00E82A60" w:rsidP="00300A01">
            <w:pPr>
              <w:spacing w:before="0" w:after="0"/>
              <w:jc w:val="center"/>
              <w:rPr>
                <w:b/>
                <w:sz w:val="10"/>
                <w:szCs w:val="10"/>
                <w:lang w:val="fr-BE"/>
              </w:rPr>
            </w:pPr>
            <w:r w:rsidRPr="00601E29">
              <w:rPr>
                <w:b/>
                <w:noProof/>
                <w:sz w:val="10"/>
                <w:szCs w:val="10"/>
                <w:lang w:val="fr-BE"/>
              </w:rPr>
              <w:t>Ogółem</w:t>
            </w:r>
          </w:p>
        </w:tc>
        <w:tc>
          <w:tcPr>
            <w:tcW w:w="0" w:type="auto"/>
          </w:tcPr>
          <w:p w14:paraId="079721C5" w14:textId="77777777" w:rsidR="008C5CFA" w:rsidRPr="00601E29" w:rsidRDefault="00E82A60" w:rsidP="00300A01">
            <w:pPr>
              <w:spacing w:before="0" w:after="0"/>
              <w:jc w:val="center"/>
              <w:rPr>
                <w:b/>
                <w:sz w:val="10"/>
                <w:szCs w:val="10"/>
                <w:lang w:val="fr-BE"/>
              </w:rPr>
            </w:pPr>
            <w:r w:rsidRPr="00601E29">
              <w:rPr>
                <w:b/>
                <w:noProof/>
                <w:sz w:val="10"/>
                <w:szCs w:val="10"/>
                <w:lang w:val="fr-BE"/>
              </w:rPr>
              <w:t>Mężczyźni</w:t>
            </w:r>
          </w:p>
        </w:tc>
        <w:tc>
          <w:tcPr>
            <w:tcW w:w="0" w:type="auto"/>
          </w:tcPr>
          <w:p w14:paraId="4BF74447" w14:textId="77777777" w:rsidR="008C5CFA" w:rsidRPr="00601E29" w:rsidRDefault="00E82A60" w:rsidP="00300A01">
            <w:pPr>
              <w:spacing w:before="0" w:after="0"/>
              <w:jc w:val="center"/>
              <w:rPr>
                <w:b/>
                <w:sz w:val="10"/>
                <w:szCs w:val="10"/>
                <w:lang w:val="fr-BE"/>
              </w:rPr>
            </w:pPr>
            <w:r w:rsidRPr="00601E29">
              <w:rPr>
                <w:b/>
                <w:noProof/>
                <w:sz w:val="10"/>
                <w:szCs w:val="10"/>
                <w:lang w:val="fr-BE"/>
              </w:rPr>
              <w:t>Kobiety</w:t>
            </w:r>
          </w:p>
        </w:tc>
        <w:tc>
          <w:tcPr>
            <w:tcW w:w="0" w:type="auto"/>
          </w:tcPr>
          <w:p w14:paraId="68033D18" w14:textId="77777777" w:rsidR="008C5CFA" w:rsidRPr="00601E29" w:rsidRDefault="008C5CFA" w:rsidP="00300A01">
            <w:pPr>
              <w:spacing w:before="0" w:after="0"/>
              <w:jc w:val="center"/>
              <w:rPr>
                <w:b/>
                <w:sz w:val="10"/>
                <w:szCs w:val="10"/>
                <w:lang w:val="fr-BE"/>
              </w:rPr>
            </w:pPr>
          </w:p>
        </w:tc>
      </w:tr>
      <w:tr w:rsidR="006B2EC1" w14:paraId="1A91A65B" w14:textId="77777777" w:rsidTr="0047688D">
        <w:tc>
          <w:tcPr>
            <w:tcW w:w="0" w:type="auto"/>
            <w:shd w:val="clear" w:color="auto" w:fill="auto"/>
          </w:tcPr>
          <w:p w14:paraId="75EE6856" w14:textId="77777777" w:rsidR="008C5CFA" w:rsidRPr="00601E29" w:rsidRDefault="00E82A60" w:rsidP="00300A01">
            <w:pPr>
              <w:spacing w:before="0" w:after="0"/>
              <w:rPr>
                <w:sz w:val="10"/>
                <w:szCs w:val="10"/>
                <w:lang w:val="fr-BE"/>
              </w:rPr>
            </w:pPr>
            <w:r w:rsidRPr="00601E29">
              <w:rPr>
                <w:noProof/>
                <w:sz w:val="10"/>
                <w:szCs w:val="10"/>
                <w:lang w:val="fr-BE"/>
              </w:rPr>
              <w:t>021</w:t>
            </w:r>
          </w:p>
        </w:tc>
        <w:tc>
          <w:tcPr>
            <w:tcW w:w="0" w:type="auto"/>
            <w:shd w:val="clear" w:color="auto" w:fill="auto"/>
          </w:tcPr>
          <w:p w14:paraId="5625B2C9" w14:textId="77777777" w:rsidR="008C5CFA" w:rsidRPr="00601E29" w:rsidRDefault="00E82A60" w:rsidP="00300A01">
            <w:pPr>
              <w:spacing w:before="0" w:after="0"/>
              <w:rPr>
                <w:sz w:val="10"/>
                <w:szCs w:val="10"/>
                <w:lang w:val="fr-BE"/>
              </w:rPr>
            </w:pPr>
            <w:r w:rsidRPr="00601E29">
              <w:rPr>
                <w:noProof/>
                <w:sz w:val="10"/>
                <w:szCs w:val="10"/>
                <w:lang w:val="fr-BE"/>
              </w:rPr>
              <w:t>Liczba wspartych w programie miejsc świadczenia usług społecznych istniejących po zakończeniu projektu.</w:t>
            </w:r>
          </w:p>
        </w:tc>
        <w:tc>
          <w:tcPr>
            <w:tcW w:w="0" w:type="auto"/>
            <w:shd w:val="clear" w:color="auto" w:fill="auto"/>
          </w:tcPr>
          <w:p w14:paraId="7F48B97C" w14:textId="77777777" w:rsidR="008C5CFA" w:rsidRPr="00601E29" w:rsidRDefault="00E82A60" w:rsidP="00300A01">
            <w:pPr>
              <w:spacing w:before="0" w:after="0"/>
              <w:rPr>
                <w:sz w:val="10"/>
                <w:szCs w:val="10"/>
                <w:lang w:val="fr-BE"/>
              </w:rPr>
            </w:pPr>
            <w:r w:rsidRPr="00601E29">
              <w:rPr>
                <w:noProof/>
                <w:sz w:val="10"/>
                <w:szCs w:val="10"/>
                <w:lang w:val="fr-BE"/>
              </w:rPr>
              <w:t>Słabiej rozwinięte</w:t>
            </w:r>
          </w:p>
        </w:tc>
        <w:tc>
          <w:tcPr>
            <w:tcW w:w="0" w:type="auto"/>
          </w:tcPr>
          <w:p w14:paraId="2400BC8A"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4B4DC297"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012EE723"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7F65D9BE"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015F386D"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3D0469EA"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6D601850" w14:textId="77777777" w:rsidR="008C5CFA" w:rsidRPr="00601E29" w:rsidRDefault="008C5CFA" w:rsidP="00300A01">
            <w:pPr>
              <w:spacing w:before="0" w:after="0"/>
              <w:jc w:val="right"/>
              <w:rPr>
                <w:sz w:val="10"/>
                <w:szCs w:val="10"/>
                <w:lang w:val="fr-BE"/>
              </w:rPr>
            </w:pPr>
          </w:p>
        </w:tc>
      </w:tr>
      <w:tr w:rsidR="006B2EC1" w14:paraId="451C1EF3" w14:textId="77777777" w:rsidTr="0047688D">
        <w:tc>
          <w:tcPr>
            <w:tcW w:w="0" w:type="auto"/>
            <w:shd w:val="clear" w:color="auto" w:fill="auto"/>
          </w:tcPr>
          <w:p w14:paraId="60A7BD1C" w14:textId="77777777" w:rsidR="008C5CFA" w:rsidRPr="00601E29" w:rsidRDefault="00E82A60" w:rsidP="00300A01">
            <w:pPr>
              <w:spacing w:before="0" w:after="0"/>
              <w:rPr>
                <w:sz w:val="10"/>
                <w:szCs w:val="10"/>
                <w:lang w:val="fr-BE"/>
              </w:rPr>
            </w:pPr>
            <w:r w:rsidRPr="00601E29">
              <w:rPr>
                <w:noProof/>
                <w:sz w:val="10"/>
                <w:szCs w:val="10"/>
                <w:lang w:val="fr-BE"/>
              </w:rPr>
              <w:t>022</w:t>
            </w:r>
          </w:p>
        </w:tc>
        <w:tc>
          <w:tcPr>
            <w:tcW w:w="0" w:type="auto"/>
            <w:shd w:val="clear" w:color="auto" w:fill="auto"/>
          </w:tcPr>
          <w:p w14:paraId="1E0EC306" w14:textId="77777777" w:rsidR="008C5CFA" w:rsidRPr="00601E29" w:rsidRDefault="00E82A60" w:rsidP="00300A01">
            <w:pPr>
              <w:spacing w:before="0" w:after="0"/>
              <w:rPr>
                <w:sz w:val="10"/>
                <w:szCs w:val="10"/>
                <w:lang w:val="fr-BE"/>
              </w:rPr>
            </w:pPr>
            <w:r w:rsidRPr="00601E29">
              <w:rPr>
                <w:noProof/>
                <w:sz w:val="10"/>
                <w:szCs w:val="10"/>
                <w:lang w:val="fr-BE"/>
              </w:rPr>
              <w:t>Liczba wspartych w programie miejsc świadczenia usług zdrowotnych istniejących po zakończeniu projektu.</w:t>
            </w:r>
          </w:p>
        </w:tc>
        <w:tc>
          <w:tcPr>
            <w:tcW w:w="0" w:type="auto"/>
            <w:shd w:val="clear" w:color="auto" w:fill="auto"/>
          </w:tcPr>
          <w:p w14:paraId="375C8D94" w14:textId="77777777" w:rsidR="008C5CFA" w:rsidRPr="00601E29" w:rsidRDefault="00E82A60" w:rsidP="00300A01">
            <w:pPr>
              <w:spacing w:before="0" w:after="0"/>
              <w:rPr>
                <w:sz w:val="10"/>
                <w:szCs w:val="10"/>
                <w:lang w:val="fr-BE"/>
              </w:rPr>
            </w:pPr>
            <w:r w:rsidRPr="00601E29">
              <w:rPr>
                <w:noProof/>
                <w:sz w:val="10"/>
                <w:szCs w:val="10"/>
                <w:lang w:val="fr-BE"/>
              </w:rPr>
              <w:t>Słabiej rozwinięte</w:t>
            </w:r>
          </w:p>
        </w:tc>
        <w:tc>
          <w:tcPr>
            <w:tcW w:w="0" w:type="auto"/>
          </w:tcPr>
          <w:p w14:paraId="74B03CC8"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2818B294"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56879D39"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2BA77C29"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5352EC50"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2F40947A"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5B8CD6DF" w14:textId="77777777" w:rsidR="008C5CFA" w:rsidRPr="00601E29" w:rsidRDefault="008C5CFA" w:rsidP="00300A01">
            <w:pPr>
              <w:spacing w:before="0" w:after="0"/>
              <w:jc w:val="right"/>
              <w:rPr>
                <w:sz w:val="10"/>
                <w:szCs w:val="10"/>
                <w:lang w:val="fr-BE"/>
              </w:rPr>
            </w:pPr>
          </w:p>
        </w:tc>
      </w:tr>
      <w:tr w:rsidR="006B2EC1" w14:paraId="26DD294B" w14:textId="77777777" w:rsidTr="0047688D">
        <w:tc>
          <w:tcPr>
            <w:tcW w:w="0" w:type="auto"/>
            <w:shd w:val="clear" w:color="auto" w:fill="auto"/>
          </w:tcPr>
          <w:p w14:paraId="62DC265E" w14:textId="77777777" w:rsidR="008C5CFA" w:rsidRPr="00601E29" w:rsidRDefault="00E82A60" w:rsidP="00300A01">
            <w:pPr>
              <w:spacing w:before="0" w:after="0"/>
              <w:rPr>
                <w:sz w:val="10"/>
                <w:szCs w:val="10"/>
                <w:lang w:val="fr-BE"/>
              </w:rPr>
            </w:pPr>
            <w:r w:rsidRPr="00601E29">
              <w:rPr>
                <w:noProof/>
                <w:sz w:val="10"/>
                <w:szCs w:val="10"/>
                <w:lang w:val="fr-BE"/>
              </w:rPr>
              <w:t>061</w:t>
            </w:r>
          </w:p>
        </w:tc>
        <w:tc>
          <w:tcPr>
            <w:tcW w:w="0" w:type="auto"/>
            <w:shd w:val="clear" w:color="auto" w:fill="auto"/>
          </w:tcPr>
          <w:p w14:paraId="32B8D90A" w14:textId="77777777" w:rsidR="008C5CFA" w:rsidRPr="00601E29" w:rsidRDefault="00E82A60" w:rsidP="00300A01">
            <w:pPr>
              <w:spacing w:before="0" w:after="0"/>
              <w:rPr>
                <w:sz w:val="10"/>
                <w:szCs w:val="10"/>
                <w:lang w:val="fr-BE"/>
              </w:rPr>
            </w:pPr>
            <w:r w:rsidRPr="00601E29">
              <w:rPr>
                <w:noProof/>
                <w:sz w:val="10"/>
                <w:szCs w:val="10"/>
                <w:lang w:val="fr-BE"/>
              </w:rPr>
              <w:t>Liczba osób zagrożonych ubóstwem lub wykluczeniem społecznym poszukujących pracy, uczestniczących w kształceniu lub szkoleniu, zdobywających kwalifikacje, pracujących (łącznie z prowadzącymi działalność na własny rachunek) po opuszczeniu programu</w:t>
            </w:r>
          </w:p>
        </w:tc>
        <w:tc>
          <w:tcPr>
            <w:tcW w:w="0" w:type="auto"/>
            <w:shd w:val="clear" w:color="auto" w:fill="auto"/>
          </w:tcPr>
          <w:p w14:paraId="786B15E4" w14:textId="77777777" w:rsidR="008C5CFA" w:rsidRPr="00601E29" w:rsidRDefault="00E82A60" w:rsidP="00300A01">
            <w:pPr>
              <w:spacing w:before="0" w:after="0"/>
              <w:rPr>
                <w:sz w:val="10"/>
                <w:szCs w:val="10"/>
                <w:lang w:val="fr-BE"/>
              </w:rPr>
            </w:pPr>
            <w:r w:rsidRPr="00601E29">
              <w:rPr>
                <w:noProof/>
                <w:sz w:val="10"/>
                <w:szCs w:val="10"/>
                <w:lang w:val="fr-BE"/>
              </w:rPr>
              <w:t>Słabiej rozwinięte</w:t>
            </w:r>
          </w:p>
        </w:tc>
        <w:tc>
          <w:tcPr>
            <w:tcW w:w="0" w:type="auto"/>
          </w:tcPr>
          <w:p w14:paraId="3F33D40C"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425AB2E4"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2C8DA933"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51A0D13C"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2187BE1F"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6F955E23"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50494B5E" w14:textId="77777777" w:rsidR="008C5CFA" w:rsidRPr="00601E29" w:rsidRDefault="008C5CFA" w:rsidP="00300A01">
            <w:pPr>
              <w:spacing w:before="0" w:after="0"/>
              <w:jc w:val="right"/>
              <w:rPr>
                <w:sz w:val="10"/>
                <w:szCs w:val="10"/>
                <w:lang w:val="fr-BE"/>
              </w:rPr>
            </w:pPr>
          </w:p>
        </w:tc>
      </w:tr>
    </w:tbl>
    <w:p w14:paraId="0D85FB6A" w14:textId="77777777" w:rsidR="008C5CFA" w:rsidRPr="007C3A6B" w:rsidRDefault="008C5CFA" w:rsidP="00300A01">
      <w:pPr>
        <w:spacing w:before="0" w:after="0"/>
        <w:rPr>
          <w:lang w:val="fr-BE"/>
        </w:rPr>
      </w:pPr>
    </w:p>
    <w:p w14:paraId="680ACAD3" w14:textId="77777777" w:rsidR="008C5CFA" w:rsidRDefault="00E82A60" w:rsidP="00300A01">
      <w:pPr>
        <w:spacing w:before="0" w:after="0"/>
        <w:rPr>
          <w:lang w:val="fr-BE"/>
        </w:rPr>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9"/>
        <w:gridCol w:w="13125"/>
      </w:tblGrid>
      <w:tr w:rsidR="006B2EC1" w14:paraId="753C6456" w14:textId="77777777" w:rsidTr="0047688D">
        <w:tc>
          <w:tcPr>
            <w:tcW w:w="0" w:type="auto"/>
            <w:shd w:val="clear" w:color="auto" w:fill="auto"/>
          </w:tcPr>
          <w:p w14:paraId="0113FF23" w14:textId="77777777" w:rsidR="008C5CFA" w:rsidRPr="002124FC" w:rsidRDefault="00E82A60" w:rsidP="00300A01">
            <w:pPr>
              <w:spacing w:before="0" w:after="0"/>
              <w:rPr>
                <w:sz w:val="20"/>
                <w:szCs w:val="20"/>
                <w:lang w:val="fr-BE"/>
              </w:rPr>
            </w:pPr>
            <w:r>
              <w:rPr>
                <w:lang w:val="fr-BE"/>
              </w:rPr>
              <w:lastRenderedPageBreak/>
              <w:br w:type="page"/>
            </w:r>
            <w:r>
              <w:rPr>
                <w:lang w:val="fr-BE"/>
              </w:rPr>
              <w:br w:type="page"/>
            </w:r>
            <w:r w:rsidRPr="002124FC">
              <w:rPr>
                <w:noProof/>
                <w:sz w:val="20"/>
                <w:szCs w:val="20"/>
                <w:lang w:val="fr-BE"/>
              </w:rPr>
              <w:t>Oś priorytetowa</w:t>
            </w:r>
          </w:p>
        </w:tc>
        <w:tc>
          <w:tcPr>
            <w:tcW w:w="0" w:type="auto"/>
            <w:shd w:val="clear" w:color="auto" w:fill="auto"/>
          </w:tcPr>
          <w:p w14:paraId="772F8634" w14:textId="77777777" w:rsidR="008C5CFA" w:rsidRPr="002124FC" w:rsidRDefault="00E82A60" w:rsidP="00300A01">
            <w:pPr>
              <w:spacing w:before="0" w:after="0"/>
              <w:rPr>
                <w:sz w:val="20"/>
                <w:szCs w:val="20"/>
                <w:lang w:val="fr-BE"/>
              </w:rPr>
            </w:pPr>
            <w:r w:rsidRPr="002124FC">
              <w:rPr>
                <w:noProof/>
                <w:sz w:val="20"/>
                <w:szCs w:val="20"/>
                <w:lang w:val="fr-BE"/>
              </w:rPr>
              <w:t>9</w:t>
            </w:r>
            <w:r w:rsidRPr="002124FC">
              <w:rPr>
                <w:sz w:val="20"/>
                <w:szCs w:val="20"/>
                <w:lang w:val="fr-BE"/>
              </w:rPr>
              <w:t xml:space="preserve"> - </w:t>
            </w:r>
            <w:r w:rsidRPr="002124FC">
              <w:rPr>
                <w:noProof/>
                <w:sz w:val="20"/>
                <w:szCs w:val="20"/>
                <w:lang w:val="fr-BE"/>
              </w:rPr>
              <w:t>Włączenie społeczne i walka z ubóstwem</w:t>
            </w:r>
          </w:p>
        </w:tc>
      </w:tr>
      <w:tr w:rsidR="006B2EC1" w14:paraId="128A23F0" w14:textId="77777777" w:rsidTr="0047688D">
        <w:tc>
          <w:tcPr>
            <w:tcW w:w="0" w:type="auto"/>
            <w:shd w:val="clear" w:color="auto" w:fill="auto"/>
          </w:tcPr>
          <w:p w14:paraId="28E22EC1" w14:textId="77777777" w:rsidR="008C5CFA" w:rsidRPr="002124FC" w:rsidRDefault="00E82A60"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14:paraId="0828712B" w14:textId="77777777" w:rsidR="008C5CFA" w:rsidRPr="002124FC" w:rsidRDefault="00E82A60" w:rsidP="00300A01">
            <w:pPr>
              <w:spacing w:before="0" w:after="0"/>
              <w:rPr>
                <w:sz w:val="20"/>
                <w:szCs w:val="20"/>
                <w:lang w:val="fr-BE"/>
              </w:rPr>
            </w:pPr>
            <w:r w:rsidRPr="002124FC">
              <w:rPr>
                <w:noProof/>
                <w:sz w:val="20"/>
                <w:szCs w:val="20"/>
                <w:lang w:val="fr-BE"/>
              </w:rPr>
              <w:t>9iv</w:t>
            </w:r>
            <w:r w:rsidRPr="002124FC">
              <w:rPr>
                <w:sz w:val="20"/>
                <w:szCs w:val="20"/>
                <w:lang w:val="fr-BE"/>
              </w:rPr>
              <w:t xml:space="preserve"> - </w:t>
            </w:r>
            <w:r w:rsidRPr="002124FC">
              <w:rPr>
                <w:noProof/>
                <w:sz w:val="20"/>
                <w:szCs w:val="20"/>
                <w:lang w:val="fr-BE"/>
              </w:rPr>
              <w:t>Ułatwianie dostępu do przystępnych cenowo oraz wysokiej jakości usług, w tym opieki zdrowotnej i usług socjalnych świadczonych w interesie ogólnym</w:t>
            </w:r>
          </w:p>
        </w:tc>
      </w:tr>
    </w:tbl>
    <w:p w14:paraId="58917332" w14:textId="77777777" w:rsidR="008C5CFA" w:rsidRDefault="008C5CFA" w:rsidP="00300A01">
      <w:pPr>
        <w:spacing w:before="0" w:after="0"/>
      </w:pPr>
    </w:p>
    <w:p w14:paraId="5EFD2A2A" w14:textId="77777777" w:rsidR="008C5CFA" w:rsidRPr="008E457C" w:rsidRDefault="00E82A60" w:rsidP="00300A01">
      <w:pPr>
        <w:pStyle w:val="Nagwek2"/>
        <w:spacing w:before="0" w:after="0"/>
        <w:rPr>
          <w:b w:val="0"/>
        </w:rPr>
      </w:pPr>
      <w:bookmarkStart w:id="73" w:name="_Toc46391757"/>
      <w:r w:rsidRPr="008E457C">
        <w:rPr>
          <w:b w:val="0"/>
          <w:noProof/>
          <w:lang w:val="fr-BE"/>
        </w:rPr>
        <w:t>Tabela 4A</w:t>
      </w:r>
      <w:r w:rsidRPr="008E457C">
        <w:rPr>
          <w:b w:val="0"/>
        </w:rPr>
        <w:t xml:space="preserve"> : </w:t>
      </w:r>
      <w:r w:rsidRPr="008E457C">
        <w:rPr>
          <w:b w:val="0"/>
          <w:noProof/>
          <w:lang w:val="fr-BE"/>
        </w:rPr>
        <w:t>Wspólne wskaźniki produktu dla EFS oraz Inicjatywy na rzecz zatrudnienia ludzi młodych</w:t>
      </w:r>
      <w:r w:rsidR="00A11A16">
        <w:rPr>
          <w:b w:val="0"/>
        </w:rPr>
        <w:t xml:space="preserve"> - </w:t>
      </w:r>
      <w:r w:rsidR="00A11A16" w:rsidRPr="002124FC">
        <w:rPr>
          <w:noProof/>
          <w:sz w:val="20"/>
          <w:szCs w:val="20"/>
          <w:lang w:val="fr-BE"/>
        </w:rPr>
        <w:t>9</w:t>
      </w:r>
      <w:r w:rsidR="00A11A16">
        <w:rPr>
          <w:sz w:val="20"/>
          <w:szCs w:val="20"/>
          <w:lang w:val="fr-BE"/>
        </w:rPr>
        <w:t xml:space="preserve"> / </w:t>
      </w:r>
      <w:r w:rsidR="00A11A16" w:rsidRPr="002124FC">
        <w:rPr>
          <w:noProof/>
          <w:sz w:val="20"/>
          <w:szCs w:val="20"/>
          <w:lang w:val="fr-BE"/>
        </w:rPr>
        <w:t>9iv</w:t>
      </w:r>
      <w:bookmarkEnd w:id="73"/>
    </w:p>
    <w:p w14:paraId="314787C4" w14:textId="77777777" w:rsidR="008C5CFA" w:rsidRDefault="008C5CFA" w:rsidP="00300A01">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01"/>
        <w:gridCol w:w="6913"/>
        <w:gridCol w:w="1021"/>
        <w:gridCol w:w="514"/>
        <w:gridCol w:w="654"/>
        <w:gridCol w:w="521"/>
        <w:gridCol w:w="594"/>
        <w:gridCol w:w="654"/>
        <w:gridCol w:w="534"/>
        <w:gridCol w:w="514"/>
        <w:gridCol w:w="654"/>
        <w:gridCol w:w="521"/>
        <w:gridCol w:w="514"/>
        <w:gridCol w:w="654"/>
        <w:gridCol w:w="521"/>
      </w:tblGrid>
      <w:tr w:rsidR="006B2EC1" w14:paraId="07D81301" w14:textId="77777777" w:rsidTr="0047688D">
        <w:trPr>
          <w:cantSplit/>
          <w:tblHeader/>
        </w:trPr>
        <w:tc>
          <w:tcPr>
            <w:tcW w:w="0" w:type="auto"/>
            <w:shd w:val="clear" w:color="auto" w:fill="auto"/>
          </w:tcPr>
          <w:p w14:paraId="2030435F" w14:textId="77777777" w:rsidR="008C5CFA" w:rsidRPr="00F53019" w:rsidRDefault="00E82A60" w:rsidP="00300A01">
            <w:pPr>
              <w:spacing w:before="0" w:after="0"/>
              <w:rPr>
                <w:b/>
                <w:sz w:val="12"/>
                <w:szCs w:val="12"/>
                <w:lang w:val="fr-BE"/>
              </w:rPr>
            </w:pPr>
            <w:r w:rsidRPr="00F53019">
              <w:rPr>
                <w:b/>
                <w:noProof/>
                <w:sz w:val="12"/>
                <w:szCs w:val="12"/>
                <w:lang w:val="fr-BE"/>
              </w:rPr>
              <w:t>ID</w:t>
            </w:r>
          </w:p>
        </w:tc>
        <w:tc>
          <w:tcPr>
            <w:tcW w:w="0" w:type="auto"/>
            <w:shd w:val="clear" w:color="auto" w:fill="auto"/>
          </w:tcPr>
          <w:p w14:paraId="76954CD4" w14:textId="77777777" w:rsidR="008C5CFA" w:rsidRPr="00F53019" w:rsidRDefault="00E82A60" w:rsidP="00300A01">
            <w:pPr>
              <w:spacing w:before="0" w:after="0"/>
              <w:rPr>
                <w:b/>
                <w:sz w:val="12"/>
                <w:szCs w:val="12"/>
                <w:lang w:val="fr-BE"/>
              </w:rPr>
            </w:pPr>
            <w:r w:rsidRPr="00F53019">
              <w:rPr>
                <w:b/>
                <w:noProof/>
                <w:sz w:val="12"/>
                <w:szCs w:val="12"/>
                <w:lang w:val="fr-BE"/>
              </w:rPr>
              <w:t>Wskaźnik</w:t>
            </w:r>
          </w:p>
        </w:tc>
        <w:tc>
          <w:tcPr>
            <w:tcW w:w="0" w:type="auto"/>
            <w:shd w:val="clear" w:color="auto" w:fill="auto"/>
          </w:tcPr>
          <w:p w14:paraId="58B15F7E" w14:textId="77777777" w:rsidR="008C5CFA" w:rsidRPr="00F53019" w:rsidRDefault="00E82A60" w:rsidP="00300A01">
            <w:pPr>
              <w:spacing w:before="0" w:after="0"/>
              <w:rPr>
                <w:b/>
                <w:sz w:val="12"/>
                <w:szCs w:val="12"/>
                <w:lang w:val="fr-BE"/>
              </w:rPr>
            </w:pPr>
            <w:r w:rsidRPr="00F53019">
              <w:rPr>
                <w:b/>
                <w:noProof/>
                <w:sz w:val="12"/>
                <w:szCs w:val="12"/>
                <w:lang w:val="fr-BE"/>
              </w:rPr>
              <w:t>Kategoria regionu</w:t>
            </w:r>
          </w:p>
        </w:tc>
        <w:tc>
          <w:tcPr>
            <w:tcW w:w="0" w:type="auto"/>
            <w:gridSpan w:val="3"/>
            <w:shd w:val="clear" w:color="auto" w:fill="auto"/>
          </w:tcPr>
          <w:p w14:paraId="27A955FE" w14:textId="77777777" w:rsidR="008C5CFA" w:rsidRPr="00F53019" w:rsidRDefault="00E82A60" w:rsidP="00300A01">
            <w:pPr>
              <w:spacing w:before="0" w:after="0"/>
              <w:jc w:val="center"/>
              <w:rPr>
                <w:b/>
                <w:sz w:val="12"/>
                <w:szCs w:val="12"/>
                <w:lang w:val="fr-BE"/>
              </w:rPr>
            </w:pPr>
            <w:r w:rsidRPr="00F53019">
              <w:rPr>
                <w:b/>
                <w:noProof/>
                <w:sz w:val="12"/>
                <w:szCs w:val="12"/>
                <w:lang w:val="fr-BE"/>
              </w:rPr>
              <w:t>Wartość docelowa (2023)</w:t>
            </w:r>
          </w:p>
        </w:tc>
        <w:tc>
          <w:tcPr>
            <w:tcW w:w="0" w:type="auto"/>
            <w:gridSpan w:val="3"/>
            <w:shd w:val="clear" w:color="auto" w:fill="auto"/>
          </w:tcPr>
          <w:p w14:paraId="2654B65C" w14:textId="77777777" w:rsidR="008C5CFA" w:rsidRPr="00F53019" w:rsidRDefault="00E82A60" w:rsidP="00300A01">
            <w:pPr>
              <w:spacing w:before="0" w:after="0"/>
              <w:jc w:val="center"/>
              <w:rPr>
                <w:b/>
                <w:sz w:val="12"/>
                <w:szCs w:val="12"/>
                <w:lang w:val="fr-BE"/>
              </w:rPr>
            </w:pPr>
            <w:r w:rsidRPr="00F53019">
              <w:rPr>
                <w:b/>
                <w:noProof/>
                <w:sz w:val="12"/>
                <w:szCs w:val="12"/>
                <w:lang w:val="fr-BE"/>
              </w:rPr>
              <w:t>Wartość skumulowana</w:t>
            </w:r>
          </w:p>
        </w:tc>
        <w:tc>
          <w:tcPr>
            <w:tcW w:w="0" w:type="auto"/>
            <w:gridSpan w:val="3"/>
            <w:shd w:val="clear" w:color="auto" w:fill="auto"/>
          </w:tcPr>
          <w:p w14:paraId="1AE4AD08" w14:textId="77777777" w:rsidR="008C5CFA" w:rsidRPr="00F53019" w:rsidRDefault="00E82A60" w:rsidP="00300A01">
            <w:pPr>
              <w:spacing w:before="0" w:after="0"/>
              <w:jc w:val="center"/>
              <w:rPr>
                <w:b/>
                <w:sz w:val="12"/>
                <w:szCs w:val="12"/>
                <w:lang w:val="fr-BE"/>
              </w:rPr>
            </w:pPr>
            <w:r w:rsidRPr="00F53019">
              <w:rPr>
                <w:b/>
                <w:noProof/>
                <w:sz w:val="12"/>
                <w:szCs w:val="12"/>
                <w:lang w:val="fr-BE"/>
              </w:rPr>
              <w:t>Wskaźnik osiągnięć</w:t>
            </w:r>
          </w:p>
        </w:tc>
        <w:tc>
          <w:tcPr>
            <w:tcW w:w="0" w:type="auto"/>
            <w:gridSpan w:val="3"/>
          </w:tcPr>
          <w:p w14:paraId="51CEDBEE" w14:textId="77777777" w:rsidR="008C5CFA" w:rsidRPr="00F53019" w:rsidRDefault="0047688D" w:rsidP="00300A01">
            <w:pPr>
              <w:spacing w:before="0" w:after="0"/>
              <w:jc w:val="center"/>
              <w:rPr>
                <w:b/>
                <w:sz w:val="12"/>
                <w:szCs w:val="12"/>
                <w:lang w:val="fr-BE"/>
              </w:rPr>
            </w:pPr>
            <w:r w:rsidRPr="008C2BD7">
              <w:rPr>
                <w:noProof/>
                <w:sz w:val="12"/>
                <w:szCs w:val="12"/>
              </w:rPr>
              <w:t>2019</w:t>
            </w:r>
          </w:p>
        </w:tc>
      </w:tr>
      <w:tr w:rsidR="006B2EC1" w14:paraId="29D9657A" w14:textId="77777777" w:rsidTr="0047688D">
        <w:trPr>
          <w:cantSplit/>
          <w:tblHeader/>
        </w:trPr>
        <w:tc>
          <w:tcPr>
            <w:tcW w:w="0" w:type="auto"/>
            <w:shd w:val="clear" w:color="auto" w:fill="auto"/>
          </w:tcPr>
          <w:p w14:paraId="075DC32A" w14:textId="77777777" w:rsidR="008C5CFA" w:rsidRPr="00F53019" w:rsidRDefault="008C5CFA" w:rsidP="00300A01">
            <w:pPr>
              <w:spacing w:before="0" w:after="0"/>
              <w:rPr>
                <w:b/>
                <w:sz w:val="12"/>
                <w:szCs w:val="12"/>
                <w:lang w:val="fr-BE"/>
              </w:rPr>
            </w:pPr>
          </w:p>
        </w:tc>
        <w:tc>
          <w:tcPr>
            <w:tcW w:w="0" w:type="auto"/>
            <w:shd w:val="clear" w:color="auto" w:fill="auto"/>
          </w:tcPr>
          <w:p w14:paraId="3314E5C5" w14:textId="77777777" w:rsidR="008C5CFA" w:rsidRPr="00F53019" w:rsidRDefault="008C5CFA" w:rsidP="00300A01">
            <w:pPr>
              <w:spacing w:before="0" w:after="0"/>
              <w:rPr>
                <w:b/>
                <w:sz w:val="12"/>
                <w:szCs w:val="12"/>
                <w:lang w:val="fr-BE"/>
              </w:rPr>
            </w:pPr>
          </w:p>
        </w:tc>
        <w:tc>
          <w:tcPr>
            <w:tcW w:w="0" w:type="auto"/>
            <w:shd w:val="clear" w:color="auto" w:fill="auto"/>
          </w:tcPr>
          <w:p w14:paraId="43BF834B" w14:textId="77777777" w:rsidR="008C5CFA" w:rsidRPr="00F53019" w:rsidRDefault="008C5CFA" w:rsidP="00300A01">
            <w:pPr>
              <w:spacing w:before="0" w:after="0"/>
              <w:rPr>
                <w:b/>
                <w:sz w:val="12"/>
                <w:szCs w:val="12"/>
                <w:lang w:val="fr-BE"/>
              </w:rPr>
            </w:pPr>
          </w:p>
        </w:tc>
        <w:tc>
          <w:tcPr>
            <w:tcW w:w="0" w:type="auto"/>
            <w:shd w:val="clear" w:color="auto" w:fill="auto"/>
          </w:tcPr>
          <w:p w14:paraId="251CAE16" w14:textId="77777777" w:rsidR="008C5CFA" w:rsidRPr="00F53019" w:rsidRDefault="00E82A60" w:rsidP="00300A01">
            <w:pPr>
              <w:spacing w:before="0" w:after="0"/>
              <w:jc w:val="center"/>
              <w:rPr>
                <w:b/>
                <w:sz w:val="12"/>
                <w:szCs w:val="12"/>
                <w:lang w:val="fr-BE"/>
              </w:rPr>
            </w:pPr>
            <w:r w:rsidRPr="00F53019">
              <w:rPr>
                <w:b/>
                <w:noProof/>
                <w:sz w:val="12"/>
                <w:szCs w:val="12"/>
                <w:lang w:val="fr-BE"/>
              </w:rPr>
              <w:t>Ogółem</w:t>
            </w:r>
          </w:p>
        </w:tc>
        <w:tc>
          <w:tcPr>
            <w:tcW w:w="0" w:type="auto"/>
            <w:shd w:val="clear" w:color="auto" w:fill="auto"/>
          </w:tcPr>
          <w:p w14:paraId="584F53AA" w14:textId="77777777" w:rsidR="008C5CFA" w:rsidRPr="00F53019" w:rsidRDefault="00E82A60"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14:paraId="76497A25" w14:textId="77777777" w:rsidR="008C5CFA" w:rsidRPr="00F53019" w:rsidRDefault="00E82A60" w:rsidP="00300A01">
            <w:pPr>
              <w:spacing w:before="0" w:after="0"/>
              <w:jc w:val="center"/>
              <w:rPr>
                <w:b/>
                <w:sz w:val="12"/>
                <w:szCs w:val="12"/>
                <w:lang w:val="fr-BE"/>
              </w:rPr>
            </w:pPr>
            <w:r w:rsidRPr="00F53019">
              <w:rPr>
                <w:b/>
                <w:noProof/>
                <w:sz w:val="12"/>
                <w:szCs w:val="12"/>
                <w:lang w:val="fr-BE"/>
              </w:rPr>
              <w:t>Kobiety</w:t>
            </w:r>
          </w:p>
        </w:tc>
        <w:tc>
          <w:tcPr>
            <w:tcW w:w="0" w:type="auto"/>
            <w:shd w:val="clear" w:color="auto" w:fill="auto"/>
          </w:tcPr>
          <w:p w14:paraId="7BDFD207" w14:textId="77777777" w:rsidR="008C5CFA" w:rsidRPr="00F53019" w:rsidRDefault="00E82A60" w:rsidP="00300A01">
            <w:pPr>
              <w:spacing w:before="0" w:after="0"/>
              <w:jc w:val="center"/>
              <w:rPr>
                <w:b/>
                <w:sz w:val="12"/>
                <w:szCs w:val="12"/>
                <w:lang w:val="fr-BE"/>
              </w:rPr>
            </w:pPr>
            <w:r w:rsidRPr="00F53019">
              <w:rPr>
                <w:b/>
                <w:noProof/>
                <w:sz w:val="12"/>
                <w:szCs w:val="12"/>
                <w:lang w:val="fr-BE"/>
              </w:rPr>
              <w:t>Ogółem</w:t>
            </w:r>
          </w:p>
        </w:tc>
        <w:tc>
          <w:tcPr>
            <w:tcW w:w="0" w:type="auto"/>
            <w:shd w:val="clear" w:color="auto" w:fill="auto"/>
          </w:tcPr>
          <w:p w14:paraId="548948A8" w14:textId="77777777" w:rsidR="008C5CFA" w:rsidRPr="00F53019" w:rsidRDefault="00E82A60"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14:paraId="31B54773" w14:textId="77777777" w:rsidR="008C5CFA" w:rsidRPr="00F53019" w:rsidRDefault="00E82A60" w:rsidP="00300A01">
            <w:pPr>
              <w:spacing w:before="0" w:after="0"/>
              <w:jc w:val="center"/>
              <w:rPr>
                <w:b/>
                <w:sz w:val="12"/>
                <w:szCs w:val="12"/>
                <w:lang w:val="fr-BE"/>
              </w:rPr>
            </w:pPr>
            <w:r w:rsidRPr="00F53019">
              <w:rPr>
                <w:b/>
                <w:noProof/>
                <w:sz w:val="12"/>
                <w:szCs w:val="12"/>
                <w:lang w:val="fr-BE"/>
              </w:rPr>
              <w:t>Kobiety</w:t>
            </w:r>
          </w:p>
        </w:tc>
        <w:tc>
          <w:tcPr>
            <w:tcW w:w="0" w:type="auto"/>
            <w:shd w:val="clear" w:color="auto" w:fill="auto"/>
          </w:tcPr>
          <w:p w14:paraId="1282C845" w14:textId="77777777" w:rsidR="008C5CFA" w:rsidRPr="00F53019" w:rsidRDefault="00E82A60" w:rsidP="00300A01">
            <w:pPr>
              <w:spacing w:before="0" w:after="0"/>
              <w:jc w:val="center"/>
              <w:rPr>
                <w:b/>
                <w:sz w:val="12"/>
                <w:szCs w:val="12"/>
                <w:lang w:val="fr-BE"/>
              </w:rPr>
            </w:pPr>
            <w:r w:rsidRPr="00F53019">
              <w:rPr>
                <w:b/>
                <w:noProof/>
                <w:sz w:val="12"/>
                <w:szCs w:val="12"/>
                <w:lang w:val="fr-BE"/>
              </w:rPr>
              <w:t>Ogółem</w:t>
            </w:r>
          </w:p>
        </w:tc>
        <w:tc>
          <w:tcPr>
            <w:tcW w:w="0" w:type="auto"/>
            <w:shd w:val="clear" w:color="auto" w:fill="auto"/>
          </w:tcPr>
          <w:p w14:paraId="3E49A91A" w14:textId="77777777" w:rsidR="008C5CFA" w:rsidRPr="00F53019" w:rsidRDefault="00E82A60"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14:paraId="2AE92077" w14:textId="77777777" w:rsidR="008C5CFA" w:rsidRPr="00F53019" w:rsidRDefault="00E82A60" w:rsidP="00300A01">
            <w:pPr>
              <w:spacing w:before="0" w:after="0"/>
              <w:jc w:val="center"/>
              <w:rPr>
                <w:b/>
                <w:sz w:val="12"/>
                <w:szCs w:val="12"/>
                <w:lang w:val="fr-BE"/>
              </w:rPr>
            </w:pPr>
            <w:r w:rsidRPr="00F53019">
              <w:rPr>
                <w:b/>
                <w:noProof/>
                <w:sz w:val="12"/>
                <w:szCs w:val="12"/>
                <w:lang w:val="fr-BE"/>
              </w:rPr>
              <w:t>Kobiety</w:t>
            </w:r>
          </w:p>
        </w:tc>
        <w:tc>
          <w:tcPr>
            <w:tcW w:w="0" w:type="auto"/>
          </w:tcPr>
          <w:p w14:paraId="4C8F3CC9" w14:textId="77777777" w:rsidR="008C5CFA" w:rsidRPr="00F53019" w:rsidRDefault="00E82A60" w:rsidP="00300A01">
            <w:pPr>
              <w:spacing w:before="0" w:after="0"/>
              <w:jc w:val="center"/>
              <w:rPr>
                <w:b/>
                <w:sz w:val="12"/>
                <w:szCs w:val="12"/>
                <w:lang w:val="fr-BE"/>
              </w:rPr>
            </w:pPr>
            <w:r w:rsidRPr="00F53019">
              <w:rPr>
                <w:b/>
                <w:noProof/>
                <w:sz w:val="12"/>
                <w:szCs w:val="12"/>
                <w:lang w:val="fr-BE"/>
              </w:rPr>
              <w:t>Ogółem</w:t>
            </w:r>
          </w:p>
        </w:tc>
        <w:tc>
          <w:tcPr>
            <w:tcW w:w="0" w:type="auto"/>
            <w:shd w:val="clear" w:color="auto" w:fill="auto"/>
          </w:tcPr>
          <w:p w14:paraId="2E1BD6C5" w14:textId="77777777" w:rsidR="008C5CFA" w:rsidRPr="00F53019" w:rsidRDefault="00E82A60"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14:paraId="7D0AFEAE" w14:textId="77777777" w:rsidR="008C5CFA" w:rsidRPr="00F53019" w:rsidRDefault="00E82A60" w:rsidP="00300A01">
            <w:pPr>
              <w:spacing w:before="0" w:after="0"/>
              <w:jc w:val="center"/>
              <w:rPr>
                <w:b/>
                <w:sz w:val="12"/>
                <w:szCs w:val="12"/>
                <w:lang w:val="fr-BE"/>
              </w:rPr>
            </w:pPr>
            <w:r w:rsidRPr="00F53019">
              <w:rPr>
                <w:b/>
                <w:noProof/>
                <w:sz w:val="12"/>
                <w:szCs w:val="12"/>
                <w:lang w:val="fr-BE"/>
              </w:rPr>
              <w:t>Kobiety</w:t>
            </w:r>
          </w:p>
        </w:tc>
      </w:tr>
      <w:tr w:rsidR="006B2EC1" w14:paraId="2BAE3502" w14:textId="77777777" w:rsidTr="0047688D">
        <w:tc>
          <w:tcPr>
            <w:tcW w:w="0" w:type="auto"/>
            <w:shd w:val="clear" w:color="auto" w:fill="auto"/>
          </w:tcPr>
          <w:p w14:paraId="1416D45C" w14:textId="77777777" w:rsidR="008C5CFA" w:rsidRPr="00BA47B4" w:rsidRDefault="00E82A60" w:rsidP="00300A01">
            <w:pPr>
              <w:spacing w:before="0" w:after="0"/>
              <w:rPr>
                <w:sz w:val="12"/>
                <w:szCs w:val="12"/>
                <w:lang w:val="fr-BE"/>
              </w:rPr>
            </w:pPr>
            <w:r>
              <w:rPr>
                <w:noProof/>
                <w:sz w:val="12"/>
                <w:szCs w:val="12"/>
                <w:lang w:val="fr-BE"/>
              </w:rPr>
              <w:t>CO01</w:t>
            </w:r>
          </w:p>
        </w:tc>
        <w:tc>
          <w:tcPr>
            <w:tcW w:w="0" w:type="auto"/>
            <w:shd w:val="clear" w:color="auto" w:fill="auto"/>
          </w:tcPr>
          <w:p w14:paraId="4ADD9B7F" w14:textId="77777777" w:rsidR="008C5CFA" w:rsidRPr="00BA47B4" w:rsidRDefault="00E82A60" w:rsidP="00300A01">
            <w:pPr>
              <w:spacing w:before="0" w:after="0"/>
              <w:rPr>
                <w:sz w:val="12"/>
                <w:szCs w:val="12"/>
                <w:lang w:val="fr-BE"/>
              </w:rPr>
            </w:pPr>
            <w:r>
              <w:rPr>
                <w:noProof/>
                <w:sz w:val="12"/>
                <w:szCs w:val="12"/>
                <w:lang w:val="fr-BE"/>
              </w:rPr>
              <w:t>bezrobotni, w tym długotrwale bezrobotni</w:t>
            </w:r>
          </w:p>
        </w:tc>
        <w:tc>
          <w:tcPr>
            <w:tcW w:w="0" w:type="auto"/>
            <w:shd w:val="clear" w:color="auto" w:fill="auto"/>
          </w:tcPr>
          <w:p w14:paraId="32A33B51" w14:textId="77777777" w:rsidR="008C5CFA" w:rsidRPr="00BA47B4" w:rsidRDefault="00E82A60"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14:paraId="3B2766A5" w14:textId="77777777" w:rsidR="008C5CFA" w:rsidRPr="00BA47B4" w:rsidRDefault="008C5CFA" w:rsidP="00300A01">
            <w:pPr>
              <w:spacing w:before="0" w:after="0"/>
              <w:jc w:val="right"/>
              <w:rPr>
                <w:sz w:val="12"/>
                <w:szCs w:val="12"/>
                <w:lang w:val="fr-BE"/>
              </w:rPr>
            </w:pPr>
          </w:p>
        </w:tc>
        <w:tc>
          <w:tcPr>
            <w:tcW w:w="0" w:type="auto"/>
            <w:shd w:val="clear" w:color="auto" w:fill="auto"/>
          </w:tcPr>
          <w:p w14:paraId="7199A812" w14:textId="77777777" w:rsidR="008C5CFA" w:rsidRPr="00BA47B4" w:rsidRDefault="008C5CFA" w:rsidP="00300A01">
            <w:pPr>
              <w:spacing w:before="0" w:after="0"/>
              <w:jc w:val="right"/>
              <w:rPr>
                <w:sz w:val="12"/>
                <w:szCs w:val="12"/>
                <w:lang w:val="fr-BE"/>
              </w:rPr>
            </w:pPr>
          </w:p>
        </w:tc>
        <w:tc>
          <w:tcPr>
            <w:tcW w:w="0" w:type="auto"/>
            <w:shd w:val="clear" w:color="auto" w:fill="auto"/>
          </w:tcPr>
          <w:p w14:paraId="2ED1BC77" w14:textId="77777777" w:rsidR="008C5CFA" w:rsidRPr="00BA47B4" w:rsidRDefault="008C5CFA" w:rsidP="00300A01">
            <w:pPr>
              <w:spacing w:before="0" w:after="0"/>
              <w:jc w:val="right"/>
              <w:rPr>
                <w:sz w:val="12"/>
                <w:szCs w:val="12"/>
                <w:lang w:val="fr-BE"/>
              </w:rPr>
            </w:pPr>
          </w:p>
        </w:tc>
        <w:tc>
          <w:tcPr>
            <w:tcW w:w="0" w:type="auto"/>
            <w:shd w:val="clear" w:color="auto" w:fill="auto"/>
          </w:tcPr>
          <w:p w14:paraId="3F37F9DF" w14:textId="77777777" w:rsidR="008C5CFA" w:rsidRPr="00BA47B4" w:rsidRDefault="00E82A60" w:rsidP="00300A01">
            <w:pPr>
              <w:spacing w:before="0" w:after="0"/>
              <w:jc w:val="right"/>
              <w:rPr>
                <w:sz w:val="12"/>
                <w:szCs w:val="12"/>
                <w:lang w:val="fr-BE"/>
              </w:rPr>
            </w:pPr>
            <w:r w:rsidRPr="00BA47B4">
              <w:rPr>
                <w:noProof/>
                <w:sz w:val="12"/>
                <w:szCs w:val="12"/>
                <w:lang w:val="fr-BE"/>
              </w:rPr>
              <w:t>1 832,00</w:t>
            </w:r>
          </w:p>
        </w:tc>
        <w:tc>
          <w:tcPr>
            <w:tcW w:w="0" w:type="auto"/>
            <w:shd w:val="clear" w:color="auto" w:fill="auto"/>
          </w:tcPr>
          <w:p w14:paraId="6179B547" w14:textId="77777777" w:rsidR="008C5CFA" w:rsidRPr="00BA47B4" w:rsidRDefault="00E82A60" w:rsidP="00300A01">
            <w:pPr>
              <w:spacing w:before="0" w:after="0"/>
              <w:jc w:val="right"/>
              <w:rPr>
                <w:sz w:val="12"/>
                <w:szCs w:val="12"/>
                <w:lang w:val="fr-BE"/>
              </w:rPr>
            </w:pPr>
            <w:r w:rsidRPr="00BA47B4">
              <w:rPr>
                <w:noProof/>
                <w:sz w:val="12"/>
                <w:szCs w:val="12"/>
                <w:lang w:val="fr-BE"/>
              </w:rPr>
              <w:t>575,00</w:t>
            </w:r>
          </w:p>
        </w:tc>
        <w:tc>
          <w:tcPr>
            <w:tcW w:w="0" w:type="auto"/>
            <w:shd w:val="clear" w:color="auto" w:fill="auto"/>
          </w:tcPr>
          <w:p w14:paraId="152C59C2" w14:textId="77777777" w:rsidR="008C5CFA" w:rsidRPr="00BA47B4" w:rsidRDefault="00E82A60" w:rsidP="00300A01">
            <w:pPr>
              <w:spacing w:before="0" w:after="0"/>
              <w:jc w:val="right"/>
              <w:rPr>
                <w:sz w:val="12"/>
                <w:szCs w:val="12"/>
                <w:lang w:val="fr-BE"/>
              </w:rPr>
            </w:pPr>
            <w:r w:rsidRPr="00BA47B4">
              <w:rPr>
                <w:noProof/>
                <w:sz w:val="12"/>
                <w:szCs w:val="12"/>
                <w:lang w:val="fr-BE"/>
              </w:rPr>
              <w:t>1 257,00</w:t>
            </w:r>
          </w:p>
        </w:tc>
        <w:tc>
          <w:tcPr>
            <w:tcW w:w="0" w:type="auto"/>
            <w:shd w:val="clear" w:color="auto" w:fill="auto"/>
          </w:tcPr>
          <w:p w14:paraId="617C2FB5" w14:textId="77777777" w:rsidR="008C5CFA" w:rsidRPr="00BA47B4" w:rsidRDefault="008C5CFA" w:rsidP="00300A01">
            <w:pPr>
              <w:spacing w:before="0" w:after="0"/>
              <w:jc w:val="right"/>
              <w:rPr>
                <w:sz w:val="12"/>
                <w:szCs w:val="12"/>
                <w:lang w:val="fr-BE"/>
              </w:rPr>
            </w:pPr>
          </w:p>
        </w:tc>
        <w:tc>
          <w:tcPr>
            <w:tcW w:w="0" w:type="auto"/>
            <w:shd w:val="clear" w:color="auto" w:fill="auto"/>
          </w:tcPr>
          <w:p w14:paraId="743F107D" w14:textId="77777777" w:rsidR="008C5CFA" w:rsidRPr="00BA47B4" w:rsidRDefault="008C5CFA" w:rsidP="00300A01">
            <w:pPr>
              <w:spacing w:before="0" w:after="0"/>
              <w:jc w:val="right"/>
              <w:rPr>
                <w:sz w:val="12"/>
                <w:szCs w:val="12"/>
                <w:lang w:val="fr-BE"/>
              </w:rPr>
            </w:pPr>
          </w:p>
        </w:tc>
        <w:tc>
          <w:tcPr>
            <w:tcW w:w="0" w:type="auto"/>
            <w:shd w:val="clear" w:color="auto" w:fill="auto"/>
          </w:tcPr>
          <w:p w14:paraId="32686E2B" w14:textId="77777777" w:rsidR="008C5CFA" w:rsidRPr="00BA47B4" w:rsidRDefault="008C5CFA" w:rsidP="00300A01">
            <w:pPr>
              <w:spacing w:before="0" w:after="0"/>
              <w:jc w:val="right"/>
              <w:rPr>
                <w:sz w:val="12"/>
                <w:szCs w:val="12"/>
                <w:lang w:val="fr-BE"/>
              </w:rPr>
            </w:pPr>
          </w:p>
        </w:tc>
        <w:tc>
          <w:tcPr>
            <w:tcW w:w="0" w:type="auto"/>
          </w:tcPr>
          <w:p w14:paraId="6B572AAE" w14:textId="77777777" w:rsidR="008C5CFA" w:rsidRPr="00A92B39" w:rsidRDefault="00E82A60" w:rsidP="00300A01">
            <w:pPr>
              <w:spacing w:before="0" w:after="0"/>
              <w:jc w:val="right"/>
              <w:rPr>
                <w:sz w:val="10"/>
                <w:szCs w:val="10"/>
                <w:lang w:val="fr-BE"/>
              </w:rPr>
            </w:pPr>
            <w:r w:rsidRPr="00A92B39">
              <w:rPr>
                <w:noProof/>
                <w:sz w:val="10"/>
                <w:szCs w:val="10"/>
                <w:lang w:val="fr-BE"/>
              </w:rPr>
              <w:t>346,00</w:t>
            </w:r>
          </w:p>
        </w:tc>
        <w:tc>
          <w:tcPr>
            <w:tcW w:w="0" w:type="auto"/>
            <w:shd w:val="clear" w:color="auto" w:fill="auto"/>
          </w:tcPr>
          <w:p w14:paraId="0A0D44DC" w14:textId="77777777" w:rsidR="008C5CFA" w:rsidRPr="00A92B39" w:rsidRDefault="00E82A60" w:rsidP="00300A01">
            <w:pPr>
              <w:spacing w:before="0" w:after="0"/>
              <w:jc w:val="right"/>
              <w:rPr>
                <w:sz w:val="10"/>
                <w:szCs w:val="10"/>
                <w:lang w:val="fr-BE"/>
              </w:rPr>
            </w:pPr>
            <w:r w:rsidRPr="00A92B39">
              <w:rPr>
                <w:noProof/>
                <w:sz w:val="10"/>
                <w:szCs w:val="10"/>
                <w:lang w:val="fr-BE"/>
              </w:rPr>
              <w:t>108,00</w:t>
            </w:r>
          </w:p>
        </w:tc>
        <w:tc>
          <w:tcPr>
            <w:tcW w:w="0" w:type="auto"/>
            <w:shd w:val="clear" w:color="auto" w:fill="auto"/>
          </w:tcPr>
          <w:p w14:paraId="3A1751E9" w14:textId="77777777" w:rsidR="008C5CFA" w:rsidRPr="00BA47B4" w:rsidRDefault="00E82A60" w:rsidP="00300A01">
            <w:pPr>
              <w:spacing w:before="0" w:after="0"/>
              <w:jc w:val="right"/>
              <w:rPr>
                <w:sz w:val="12"/>
                <w:szCs w:val="12"/>
                <w:lang w:val="fr-BE"/>
              </w:rPr>
            </w:pPr>
            <w:r w:rsidRPr="00A92B39">
              <w:rPr>
                <w:noProof/>
                <w:sz w:val="10"/>
                <w:szCs w:val="10"/>
                <w:lang w:val="fr-BE"/>
              </w:rPr>
              <w:t>238,00</w:t>
            </w:r>
          </w:p>
        </w:tc>
      </w:tr>
      <w:tr w:rsidR="006B2EC1" w14:paraId="19B704DD" w14:textId="77777777" w:rsidTr="0047688D">
        <w:tc>
          <w:tcPr>
            <w:tcW w:w="0" w:type="auto"/>
            <w:shd w:val="clear" w:color="auto" w:fill="auto"/>
          </w:tcPr>
          <w:p w14:paraId="55344DA4" w14:textId="77777777" w:rsidR="008C5CFA" w:rsidRPr="00BA47B4" w:rsidRDefault="00E82A60" w:rsidP="00300A01">
            <w:pPr>
              <w:spacing w:before="0" w:after="0"/>
              <w:rPr>
                <w:sz w:val="12"/>
                <w:szCs w:val="12"/>
                <w:lang w:val="fr-BE"/>
              </w:rPr>
            </w:pPr>
            <w:r>
              <w:rPr>
                <w:noProof/>
                <w:sz w:val="12"/>
                <w:szCs w:val="12"/>
                <w:lang w:val="fr-BE"/>
              </w:rPr>
              <w:t>CO02</w:t>
            </w:r>
          </w:p>
        </w:tc>
        <w:tc>
          <w:tcPr>
            <w:tcW w:w="0" w:type="auto"/>
            <w:shd w:val="clear" w:color="auto" w:fill="auto"/>
          </w:tcPr>
          <w:p w14:paraId="52936418" w14:textId="77777777" w:rsidR="008C5CFA" w:rsidRPr="00BA47B4" w:rsidRDefault="00E82A60" w:rsidP="00300A01">
            <w:pPr>
              <w:spacing w:before="0" w:after="0"/>
              <w:rPr>
                <w:sz w:val="12"/>
                <w:szCs w:val="12"/>
                <w:lang w:val="fr-BE"/>
              </w:rPr>
            </w:pPr>
            <w:r>
              <w:rPr>
                <w:noProof/>
                <w:sz w:val="12"/>
                <w:szCs w:val="12"/>
                <w:lang w:val="fr-BE"/>
              </w:rPr>
              <w:t>długotrwale bezrobotni</w:t>
            </w:r>
          </w:p>
        </w:tc>
        <w:tc>
          <w:tcPr>
            <w:tcW w:w="0" w:type="auto"/>
            <w:shd w:val="clear" w:color="auto" w:fill="auto"/>
          </w:tcPr>
          <w:p w14:paraId="7B73CC8C" w14:textId="77777777" w:rsidR="008C5CFA" w:rsidRPr="00BA47B4" w:rsidRDefault="00E82A60"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14:paraId="247B2347" w14:textId="77777777" w:rsidR="008C5CFA" w:rsidRPr="00BA47B4" w:rsidRDefault="008C5CFA" w:rsidP="00300A01">
            <w:pPr>
              <w:spacing w:before="0" w:after="0"/>
              <w:jc w:val="right"/>
              <w:rPr>
                <w:sz w:val="12"/>
                <w:szCs w:val="12"/>
                <w:lang w:val="fr-BE"/>
              </w:rPr>
            </w:pPr>
          </w:p>
        </w:tc>
        <w:tc>
          <w:tcPr>
            <w:tcW w:w="0" w:type="auto"/>
            <w:shd w:val="clear" w:color="auto" w:fill="auto"/>
          </w:tcPr>
          <w:p w14:paraId="23051D8E" w14:textId="77777777" w:rsidR="008C5CFA" w:rsidRPr="00BA47B4" w:rsidRDefault="008C5CFA" w:rsidP="00300A01">
            <w:pPr>
              <w:spacing w:before="0" w:after="0"/>
              <w:jc w:val="right"/>
              <w:rPr>
                <w:sz w:val="12"/>
                <w:szCs w:val="12"/>
                <w:lang w:val="fr-BE"/>
              </w:rPr>
            </w:pPr>
          </w:p>
        </w:tc>
        <w:tc>
          <w:tcPr>
            <w:tcW w:w="0" w:type="auto"/>
            <w:shd w:val="clear" w:color="auto" w:fill="auto"/>
          </w:tcPr>
          <w:p w14:paraId="164BA45C" w14:textId="77777777" w:rsidR="008C5CFA" w:rsidRPr="00BA47B4" w:rsidRDefault="008C5CFA" w:rsidP="00300A01">
            <w:pPr>
              <w:spacing w:before="0" w:after="0"/>
              <w:jc w:val="right"/>
              <w:rPr>
                <w:sz w:val="12"/>
                <w:szCs w:val="12"/>
                <w:lang w:val="fr-BE"/>
              </w:rPr>
            </w:pPr>
          </w:p>
        </w:tc>
        <w:tc>
          <w:tcPr>
            <w:tcW w:w="0" w:type="auto"/>
            <w:shd w:val="clear" w:color="auto" w:fill="auto"/>
          </w:tcPr>
          <w:p w14:paraId="6EED13BE" w14:textId="77777777" w:rsidR="008C5CFA" w:rsidRPr="00BA47B4" w:rsidRDefault="00E82A60" w:rsidP="00300A01">
            <w:pPr>
              <w:spacing w:before="0" w:after="0"/>
              <w:jc w:val="right"/>
              <w:rPr>
                <w:sz w:val="12"/>
                <w:szCs w:val="12"/>
                <w:lang w:val="fr-BE"/>
              </w:rPr>
            </w:pPr>
            <w:r w:rsidRPr="00BA47B4">
              <w:rPr>
                <w:noProof/>
                <w:sz w:val="12"/>
                <w:szCs w:val="12"/>
                <w:lang w:val="fr-BE"/>
              </w:rPr>
              <w:t>390,00</w:t>
            </w:r>
          </w:p>
        </w:tc>
        <w:tc>
          <w:tcPr>
            <w:tcW w:w="0" w:type="auto"/>
            <w:shd w:val="clear" w:color="auto" w:fill="auto"/>
          </w:tcPr>
          <w:p w14:paraId="181B5451" w14:textId="77777777" w:rsidR="008C5CFA" w:rsidRPr="00BA47B4" w:rsidRDefault="00E82A60" w:rsidP="00300A01">
            <w:pPr>
              <w:spacing w:before="0" w:after="0"/>
              <w:jc w:val="right"/>
              <w:rPr>
                <w:sz w:val="12"/>
                <w:szCs w:val="12"/>
                <w:lang w:val="fr-BE"/>
              </w:rPr>
            </w:pPr>
            <w:r w:rsidRPr="00BA47B4">
              <w:rPr>
                <w:noProof/>
                <w:sz w:val="12"/>
                <w:szCs w:val="12"/>
                <w:lang w:val="fr-BE"/>
              </w:rPr>
              <w:t>109,00</w:t>
            </w:r>
          </w:p>
        </w:tc>
        <w:tc>
          <w:tcPr>
            <w:tcW w:w="0" w:type="auto"/>
            <w:shd w:val="clear" w:color="auto" w:fill="auto"/>
          </w:tcPr>
          <w:p w14:paraId="6B7E574D" w14:textId="77777777" w:rsidR="008C5CFA" w:rsidRPr="00BA47B4" w:rsidRDefault="00E82A60" w:rsidP="00300A01">
            <w:pPr>
              <w:spacing w:before="0" w:after="0"/>
              <w:jc w:val="right"/>
              <w:rPr>
                <w:sz w:val="12"/>
                <w:szCs w:val="12"/>
                <w:lang w:val="fr-BE"/>
              </w:rPr>
            </w:pPr>
            <w:r w:rsidRPr="00BA47B4">
              <w:rPr>
                <w:noProof/>
                <w:sz w:val="12"/>
                <w:szCs w:val="12"/>
                <w:lang w:val="fr-BE"/>
              </w:rPr>
              <w:t>281,00</w:t>
            </w:r>
          </w:p>
        </w:tc>
        <w:tc>
          <w:tcPr>
            <w:tcW w:w="0" w:type="auto"/>
            <w:shd w:val="clear" w:color="auto" w:fill="auto"/>
          </w:tcPr>
          <w:p w14:paraId="68E827CC" w14:textId="77777777" w:rsidR="008C5CFA" w:rsidRPr="00BA47B4" w:rsidRDefault="008C5CFA" w:rsidP="00300A01">
            <w:pPr>
              <w:spacing w:before="0" w:after="0"/>
              <w:jc w:val="right"/>
              <w:rPr>
                <w:sz w:val="12"/>
                <w:szCs w:val="12"/>
                <w:lang w:val="fr-BE"/>
              </w:rPr>
            </w:pPr>
          </w:p>
        </w:tc>
        <w:tc>
          <w:tcPr>
            <w:tcW w:w="0" w:type="auto"/>
            <w:shd w:val="clear" w:color="auto" w:fill="auto"/>
          </w:tcPr>
          <w:p w14:paraId="2D4B9CA5" w14:textId="77777777" w:rsidR="008C5CFA" w:rsidRPr="00BA47B4" w:rsidRDefault="008C5CFA" w:rsidP="00300A01">
            <w:pPr>
              <w:spacing w:before="0" w:after="0"/>
              <w:jc w:val="right"/>
              <w:rPr>
                <w:sz w:val="12"/>
                <w:szCs w:val="12"/>
                <w:lang w:val="fr-BE"/>
              </w:rPr>
            </w:pPr>
          </w:p>
        </w:tc>
        <w:tc>
          <w:tcPr>
            <w:tcW w:w="0" w:type="auto"/>
            <w:shd w:val="clear" w:color="auto" w:fill="auto"/>
          </w:tcPr>
          <w:p w14:paraId="48C5301F" w14:textId="77777777" w:rsidR="008C5CFA" w:rsidRPr="00BA47B4" w:rsidRDefault="008C5CFA" w:rsidP="00300A01">
            <w:pPr>
              <w:spacing w:before="0" w:after="0"/>
              <w:jc w:val="right"/>
              <w:rPr>
                <w:sz w:val="12"/>
                <w:szCs w:val="12"/>
                <w:lang w:val="fr-BE"/>
              </w:rPr>
            </w:pPr>
          </w:p>
        </w:tc>
        <w:tc>
          <w:tcPr>
            <w:tcW w:w="0" w:type="auto"/>
          </w:tcPr>
          <w:p w14:paraId="4FD3E85B" w14:textId="77777777" w:rsidR="008C5CFA" w:rsidRPr="00A92B39" w:rsidRDefault="00E82A60" w:rsidP="00300A01">
            <w:pPr>
              <w:spacing w:before="0" w:after="0"/>
              <w:jc w:val="right"/>
              <w:rPr>
                <w:sz w:val="10"/>
                <w:szCs w:val="10"/>
                <w:lang w:val="fr-BE"/>
              </w:rPr>
            </w:pPr>
            <w:r w:rsidRPr="00A92B39">
              <w:rPr>
                <w:noProof/>
                <w:sz w:val="10"/>
                <w:szCs w:val="10"/>
                <w:lang w:val="fr-BE"/>
              </w:rPr>
              <w:t>80,00</w:t>
            </w:r>
          </w:p>
        </w:tc>
        <w:tc>
          <w:tcPr>
            <w:tcW w:w="0" w:type="auto"/>
            <w:shd w:val="clear" w:color="auto" w:fill="auto"/>
          </w:tcPr>
          <w:p w14:paraId="0F85D5C2" w14:textId="77777777" w:rsidR="008C5CFA" w:rsidRPr="00A92B39" w:rsidRDefault="00E82A60" w:rsidP="00300A01">
            <w:pPr>
              <w:spacing w:before="0" w:after="0"/>
              <w:jc w:val="right"/>
              <w:rPr>
                <w:sz w:val="10"/>
                <w:szCs w:val="10"/>
                <w:lang w:val="fr-BE"/>
              </w:rPr>
            </w:pPr>
            <w:r w:rsidRPr="00A92B39">
              <w:rPr>
                <w:noProof/>
                <w:sz w:val="10"/>
                <w:szCs w:val="10"/>
                <w:lang w:val="fr-BE"/>
              </w:rPr>
              <w:t>17,00</w:t>
            </w:r>
          </w:p>
        </w:tc>
        <w:tc>
          <w:tcPr>
            <w:tcW w:w="0" w:type="auto"/>
            <w:shd w:val="clear" w:color="auto" w:fill="auto"/>
          </w:tcPr>
          <w:p w14:paraId="1C664021" w14:textId="77777777" w:rsidR="008C5CFA" w:rsidRPr="00BA47B4" w:rsidRDefault="00E82A60" w:rsidP="00300A01">
            <w:pPr>
              <w:spacing w:before="0" w:after="0"/>
              <w:jc w:val="right"/>
              <w:rPr>
                <w:sz w:val="12"/>
                <w:szCs w:val="12"/>
                <w:lang w:val="fr-BE"/>
              </w:rPr>
            </w:pPr>
            <w:r w:rsidRPr="00A92B39">
              <w:rPr>
                <w:noProof/>
                <w:sz w:val="10"/>
                <w:szCs w:val="10"/>
                <w:lang w:val="fr-BE"/>
              </w:rPr>
              <w:t>63,00</w:t>
            </w:r>
          </w:p>
        </w:tc>
      </w:tr>
      <w:tr w:rsidR="006B2EC1" w14:paraId="71688F50" w14:textId="77777777" w:rsidTr="0047688D">
        <w:tc>
          <w:tcPr>
            <w:tcW w:w="0" w:type="auto"/>
            <w:shd w:val="clear" w:color="auto" w:fill="auto"/>
          </w:tcPr>
          <w:p w14:paraId="1D4241B8" w14:textId="77777777" w:rsidR="008C5CFA" w:rsidRPr="00BA47B4" w:rsidRDefault="00E82A60" w:rsidP="00300A01">
            <w:pPr>
              <w:spacing w:before="0" w:after="0"/>
              <w:rPr>
                <w:sz w:val="12"/>
                <w:szCs w:val="12"/>
                <w:lang w:val="fr-BE"/>
              </w:rPr>
            </w:pPr>
            <w:r>
              <w:rPr>
                <w:noProof/>
                <w:sz w:val="12"/>
                <w:szCs w:val="12"/>
                <w:lang w:val="fr-BE"/>
              </w:rPr>
              <w:t>CO03</w:t>
            </w:r>
          </w:p>
        </w:tc>
        <w:tc>
          <w:tcPr>
            <w:tcW w:w="0" w:type="auto"/>
            <w:shd w:val="clear" w:color="auto" w:fill="auto"/>
          </w:tcPr>
          <w:p w14:paraId="11DFE280" w14:textId="77777777" w:rsidR="008C5CFA" w:rsidRPr="00BA47B4" w:rsidRDefault="00E82A60" w:rsidP="00300A01">
            <w:pPr>
              <w:spacing w:before="0" w:after="0"/>
              <w:rPr>
                <w:sz w:val="12"/>
                <w:szCs w:val="12"/>
                <w:lang w:val="fr-BE"/>
              </w:rPr>
            </w:pPr>
            <w:r>
              <w:rPr>
                <w:noProof/>
                <w:sz w:val="12"/>
                <w:szCs w:val="12"/>
                <w:lang w:val="fr-BE"/>
              </w:rPr>
              <w:t>osoby bierne zawodowo</w:t>
            </w:r>
          </w:p>
        </w:tc>
        <w:tc>
          <w:tcPr>
            <w:tcW w:w="0" w:type="auto"/>
            <w:shd w:val="clear" w:color="auto" w:fill="auto"/>
          </w:tcPr>
          <w:p w14:paraId="5500F3E2" w14:textId="77777777" w:rsidR="008C5CFA" w:rsidRPr="00BA47B4" w:rsidRDefault="00E82A60"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14:paraId="20990576" w14:textId="77777777" w:rsidR="008C5CFA" w:rsidRPr="00BA47B4" w:rsidRDefault="008C5CFA" w:rsidP="00300A01">
            <w:pPr>
              <w:spacing w:before="0" w:after="0"/>
              <w:jc w:val="right"/>
              <w:rPr>
                <w:sz w:val="12"/>
                <w:szCs w:val="12"/>
                <w:lang w:val="fr-BE"/>
              </w:rPr>
            </w:pPr>
          </w:p>
        </w:tc>
        <w:tc>
          <w:tcPr>
            <w:tcW w:w="0" w:type="auto"/>
            <w:shd w:val="clear" w:color="auto" w:fill="auto"/>
          </w:tcPr>
          <w:p w14:paraId="297349F9" w14:textId="77777777" w:rsidR="008C5CFA" w:rsidRPr="00BA47B4" w:rsidRDefault="008C5CFA" w:rsidP="00300A01">
            <w:pPr>
              <w:spacing w:before="0" w:after="0"/>
              <w:jc w:val="right"/>
              <w:rPr>
                <w:sz w:val="12"/>
                <w:szCs w:val="12"/>
                <w:lang w:val="fr-BE"/>
              </w:rPr>
            </w:pPr>
          </w:p>
        </w:tc>
        <w:tc>
          <w:tcPr>
            <w:tcW w:w="0" w:type="auto"/>
            <w:shd w:val="clear" w:color="auto" w:fill="auto"/>
          </w:tcPr>
          <w:p w14:paraId="46E9A196" w14:textId="77777777" w:rsidR="008C5CFA" w:rsidRPr="00BA47B4" w:rsidRDefault="008C5CFA" w:rsidP="00300A01">
            <w:pPr>
              <w:spacing w:before="0" w:after="0"/>
              <w:jc w:val="right"/>
              <w:rPr>
                <w:sz w:val="12"/>
                <w:szCs w:val="12"/>
                <w:lang w:val="fr-BE"/>
              </w:rPr>
            </w:pPr>
          </w:p>
        </w:tc>
        <w:tc>
          <w:tcPr>
            <w:tcW w:w="0" w:type="auto"/>
            <w:shd w:val="clear" w:color="auto" w:fill="auto"/>
          </w:tcPr>
          <w:p w14:paraId="0BE8BFF4" w14:textId="77777777" w:rsidR="008C5CFA" w:rsidRPr="00BA47B4" w:rsidRDefault="00E82A60" w:rsidP="00300A01">
            <w:pPr>
              <w:spacing w:before="0" w:after="0"/>
              <w:jc w:val="right"/>
              <w:rPr>
                <w:sz w:val="12"/>
                <w:szCs w:val="12"/>
                <w:lang w:val="fr-BE"/>
              </w:rPr>
            </w:pPr>
            <w:r w:rsidRPr="00BA47B4">
              <w:rPr>
                <w:noProof/>
                <w:sz w:val="12"/>
                <w:szCs w:val="12"/>
                <w:lang w:val="fr-BE"/>
              </w:rPr>
              <w:t>10 111,00</w:t>
            </w:r>
          </w:p>
        </w:tc>
        <w:tc>
          <w:tcPr>
            <w:tcW w:w="0" w:type="auto"/>
            <w:shd w:val="clear" w:color="auto" w:fill="auto"/>
          </w:tcPr>
          <w:p w14:paraId="7B18998D" w14:textId="77777777" w:rsidR="008C5CFA" w:rsidRPr="00BA47B4" w:rsidRDefault="00E82A60" w:rsidP="00300A01">
            <w:pPr>
              <w:spacing w:before="0" w:after="0"/>
              <w:jc w:val="right"/>
              <w:rPr>
                <w:sz w:val="12"/>
                <w:szCs w:val="12"/>
                <w:lang w:val="fr-BE"/>
              </w:rPr>
            </w:pPr>
            <w:r w:rsidRPr="00BA47B4">
              <w:rPr>
                <w:noProof/>
                <w:sz w:val="12"/>
                <w:szCs w:val="12"/>
                <w:lang w:val="fr-BE"/>
              </w:rPr>
              <w:t>4 251,00</w:t>
            </w:r>
          </w:p>
        </w:tc>
        <w:tc>
          <w:tcPr>
            <w:tcW w:w="0" w:type="auto"/>
            <w:shd w:val="clear" w:color="auto" w:fill="auto"/>
          </w:tcPr>
          <w:p w14:paraId="79C7B2FA" w14:textId="77777777" w:rsidR="008C5CFA" w:rsidRPr="00BA47B4" w:rsidRDefault="00E82A60" w:rsidP="00300A01">
            <w:pPr>
              <w:spacing w:before="0" w:after="0"/>
              <w:jc w:val="right"/>
              <w:rPr>
                <w:sz w:val="12"/>
                <w:szCs w:val="12"/>
                <w:lang w:val="fr-BE"/>
              </w:rPr>
            </w:pPr>
            <w:r w:rsidRPr="00BA47B4">
              <w:rPr>
                <w:noProof/>
                <w:sz w:val="12"/>
                <w:szCs w:val="12"/>
                <w:lang w:val="fr-BE"/>
              </w:rPr>
              <w:t>5 860,00</w:t>
            </w:r>
          </w:p>
        </w:tc>
        <w:tc>
          <w:tcPr>
            <w:tcW w:w="0" w:type="auto"/>
            <w:shd w:val="clear" w:color="auto" w:fill="auto"/>
          </w:tcPr>
          <w:p w14:paraId="7D2A0B4A" w14:textId="77777777" w:rsidR="008C5CFA" w:rsidRPr="00BA47B4" w:rsidRDefault="008C5CFA" w:rsidP="00300A01">
            <w:pPr>
              <w:spacing w:before="0" w:after="0"/>
              <w:jc w:val="right"/>
              <w:rPr>
                <w:sz w:val="12"/>
                <w:szCs w:val="12"/>
                <w:lang w:val="fr-BE"/>
              </w:rPr>
            </w:pPr>
          </w:p>
        </w:tc>
        <w:tc>
          <w:tcPr>
            <w:tcW w:w="0" w:type="auto"/>
            <w:shd w:val="clear" w:color="auto" w:fill="auto"/>
          </w:tcPr>
          <w:p w14:paraId="51001A6E" w14:textId="77777777" w:rsidR="008C5CFA" w:rsidRPr="00BA47B4" w:rsidRDefault="008C5CFA" w:rsidP="00300A01">
            <w:pPr>
              <w:spacing w:before="0" w:after="0"/>
              <w:jc w:val="right"/>
              <w:rPr>
                <w:sz w:val="12"/>
                <w:szCs w:val="12"/>
                <w:lang w:val="fr-BE"/>
              </w:rPr>
            </w:pPr>
          </w:p>
        </w:tc>
        <w:tc>
          <w:tcPr>
            <w:tcW w:w="0" w:type="auto"/>
            <w:shd w:val="clear" w:color="auto" w:fill="auto"/>
          </w:tcPr>
          <w:p w14:paraId="0C02D43E" w14:textId="77777777" w:rsidR="008C5CFA" w:rsidRPr="00BA47B4" w:rsidRDefault="008C5CFA" w:rsidP="00300A01">
            <w:pPr>
              <w:spacing w:before="0" w:after="0"/>
              <w:jc w:val="right"/>
              <w:rPr>
                <w:sz w:val="12"/>
                <w:szCs w:val="12"/>
                <w:lang w:val="fr-BE"/>
              </w:rPr>
            </w:pPr>
          </w:p>
        </w:tc>
        <w:tc>
          <w:tcPr>
            <w:tcW w:w="0" w:type="auto"/>
          </w:tcPr>
          <w:p w14:paraId="6394FFAD" w14:textId="77777777" w:rsidR="008C5CFA" w:rsidRPr="00A92B39" w:rsidRDefault="00E82A60" w:rsidP="00300A01">
            <w:pPr>
              <w:spacing w:before="0" w:after="0"/>
              <w:jc w:val="right"/>
              <w:rPr>
                <w:sz w:val="10"/>
                <w:szCs w:val="10"/>
                <w:lang w:val="fr-BE"/>
              </w:rPr>
            </w:pPr>
            <w:r w:rsidRPr="00A92B39">
              <w:rPr>
                <w:noProof/>
                <w:sz w:val="10"/>
                <w:szCs w:val="10"/>
                <w:lang w:val="fr-BE"/>
              </w:rPr>
              <w:t>2 686,00</w:t>
            </w:r>
          </w:p>
        </w:tc>
        <w:tc>
          <w:tcPr>
            <w:tcW w:w="0" w:type="auto"/>
            <w:shd w:val="clear" w:color="auto" w:fill="auto"/>
          </w:tcPr>
          <w:p w14:paraId="66216FAE" w14:textId="77777777" w:rsidR="008C5CFA" w:rsidRPr="00A92B39" w:rsidRDefault="00E82A60" w:rsidP="00300A01">
            <w:pPr>
              <w:spacing w:before="0" w:after="0"/>
              <w:jc w:val="right"/>
              <w:rPr>
                <w:sz w:val="10"/>
                <w:szCs w:val="10"/>
                <w:lang w:val="fr-BE"/>
              </w:rPr>
            </w:pPr>
            <w:r w:rsidRPr="00A92B39">
              <w:rPr>
                <w:noProof/>
                <w:sz w:val="10"/>
                <w:szCs w:val="10"/>
                <w:lang w:val="fr-BE"/>
              </w:rPr>
              <w:t>1 167,00</w:t>
            </w:r>
          </w:p>
        </w:tc>
        <w:tc>
          <w:tcPr>
            <w:tcW w:w="0" w:type="auto"/>
            <w:shd w:val="clear" w:color="auto" w:fill="auto"/>
          </w:tcPr>
          <w:p w14:paraId="2BC64C44" w14:textId="77777777" w:rsidR="008C5CFA" w:rsidRPr="00BA47B4" w:rsidRDefault="00E82A60" w:rsidP="00300A01">
            <w:pPr>
              <w:spacing w:before="0" w:after="0"/>
              <w:jc w:val="right"/>
              <w:rPr>
                <w:sz w:val="12"/>
                <w:szCs w:val="12"/>
                <w:lang w:val="fr-BE"/>
              </w:rPr>
            </w:pPr>
            <w:r w:rsidRPr="00A92B39">
              <w:rPr>
                <w:noProof/>
                <w:sz w:val="10"/>
                <w:szCs w:val="10"/>
                <w:lang w:val="fr-BE"/>
              </w:rPr>
              <w:t>1 519,00</w:t>
            </w:r>
          </w:p>
        </w:tc>
      </w:tr>
      <w:tr w:rsidR="006B2EC1" w14:paraId="4D30267D" w14:textId="77777777" w:rsidTr="0047688D">
        <w:tc>
          <w:tcPr>
            <w:tcW w:w="0" w:type="auto"/>
            <w:shd w:val="clear" w:color="auto" w:fill="auto"/>
          </w:tcPr>
          <w:p w14:paraId="534EDC42" w14:textId="77777777" w:rsidR="008C5CFA" w:rsidRPr="00BA47B4" w:rsidRDefault="00E82A60" w:rsidP="00300A01">
            <w:pPr>
              <w:spacing w:before="0" w:after="0"/>
              <w:rPr>
                <w:sz w:val="12"/>
                <w:szCs w:val="12"/>
                <w:lang w:val="fr-BE"/>
              </w:rPr>
            </w:pPr>
            <w:r>
              <w:rPr>
                <w:noProof/>
                <w:sz w:val="12"/>
                <w:szCs w:val="12"/>
                <w:lang w:val="fr-BE"/>
              </w:rPr>
              <w:t>CO04</w:t>
            </w:r>
          </w:p>
        </w:tc>
        <w:tc>
          <w:tcPr>
            <w:tcW w:w="0" w:type="auto"/>
            <w:shd w:val="clear" w:color="auto" w:fill="auto"/>
          </w:tcPr>
          <w:p w14:paraId="1364B4E8" w14:textId="77777777" w:rsidR="008C5CFA" w:rsidRPr="00BA47B4" w:rsidRDefault="00E82A60" w:rsidP="00300A01">
            <w:pPr>
              <w:spacing w:before="0" w:after="0"/>
              <w:rPr>
                <w:sz w:val="12"/>
                <w:szCs w:val="12"/>
                <w:lang w:val="fr-BE"/>
              </w:rPr>
            </w:pPr>
            <w:r>
              <w:rPr>
                <w:noProof/>
                <w:sz w:val="12"/>
                <w:szCs w:val="12"/>
                <w:lang w:val="fr-BE"/>
              </w:rPr>
              <w:t>osoby bierne zawodowo, nieuczestniczące w kształceniu ani szkoleniu</w:t>
            </w:r>
          </w:p>
        </w:tc>
        <w:tc>
          <w:tcPr>
            <w:tcW w:w="0" w:type="auto"/>
            <w:shd w:val="clear" w:color="auto" w:fill="auto"/>
          </w:tcPr>
          <w:p w14:paraId="197CF576" w14:textId="77777777" w:rsidR="008C5CFA" w:rsidRPr="00BA47B4" w:rsidRDefault="00E82A60"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14:paraId="69E166CA" w14:textId="77777777" w:rsidR="008C5CFA" w:rsidRPr="00BA47B4" w:rsidRDefault="008C5CFA" w:rsidP="00300A01">
            <w:pPr>
              <w:spacing w:before="0" w:after="0"/>
              <w:jc w:val="right"/>
              <w:rPr>
                <w:sz w:val="12"/>
                <w:szCs w:val="12"/>
                <w:lang w:val="fr-BE"/>
              </w:rPr>
            </w:pPr>
          </w:p>
        </w:tc>
        <w:tc>
          <w:tcPr>
            <w:tcW w:w="0" w:type="auto"/>
            <w:shd w:val="clear" w:color="auto" w:fill="auto"/>
          </w:tcPr>
          <w:p w14:paraId="073132B2" w14:textId="77777777" w:rsidR="008C5CFA" w:rsidRPr="00BA47B4" w:rsidRDefault="008C5CFA" w:rsidP="00300A01">
            <w:pPr>
              <w:spacing w:before="0" w:after="0"/>
              <w:jc w:val="right"/>
              <w:rPr>
                <w:sz w:val="12"/>
                <w:szCs w:val="12"/>
                <w:lang w:val="fr-BE"/>
              </w:rPr>
            </w:pPr>
          </w:p>
        </w:tc>
        <w:tc>
          <w:tcPr>
            <w:tcW w:w="0" w:type="auto"/>
            <w:shd w:val="clear" w:color="auto" w:fill="auto"/>
          </w:tcPr>
          <w:p w14:paraId="05728BF1" w14:textId="77777777" w:rsidR="008C5CFA" w:rsidRPr="00BA47B4" w:rsidRDefault="008C5CFA" w:rsidP="00300A01">
            <w:pPr>
              <w:spacing w:before="0" w:after="0"/>
              <w:jc w:val="right"/>
              <w:rPr>
                <w:sz w:val="12"/>
                <w:szCs w:val="12"/>
                <w:lang w:val="fr-BE"/>
              </w:rPr>
            </w:pPr>
          </w:p>
        </w:tc>
        <w:tc>
          <w:tcPr>
            <w:tcW w:w="0" w:type="auto"/>
            <w:shd w:val="clear" w:color="auto" w:fill="auto"/>
          </w:tcPr>
          <w:p w14:paraId="166F55A6" w14:textId="77777777" w:rsidR="008C5CFA" w:rsidRPr="00BA47B4" w:rsidRDefault="00E82A60" w:rsidP="00300A01">
            <w:pPr>
              <w:spacing w:before="0" w:after="0"/>
              <w:jc w:val="right"/>
              <w:rPr>
                <w:sz w:val="12"/>
                <w:szCs w:val="12"/>
                <w:lang w:val="fr-BE"/>
              </w:rPr>
            </w:pPr>
            <w:r w:rsidRPr="00BA47B4">
              <w:rPr>
                <w:noProof/>
                <w:sz w:val="12"/>
                <w:szCs w:val="12"/>
                <w:lang w:val="fr-BE"/>
              </w:rPr>
              <w:t>1 035,00</w:t>
            </w:r>
          </w:p>
        </w:tc>
        <w:tc>
          <w:tcPr>
            <w:tcW w:w="0" w:type="auto"/>
            <w:shd w:val="clear" w:color="auto" w:fill="auto"/>
          </w:tcPr>
          <w:p w14:paraId="48358484" w14:textId="77777777" w:rsidR="008C5CFA" w:rsidRPr="00BA47B4" w:rsidRDefault="00E82A60" w:rsidP="00300A01">
            <w:pPr>
              <w:spacing w:before="0" w:after="0"/>
              <w:jc w:val="right"/>
              <w:rPr>
                <w:sz w:val="12"/>
                <w:szCs w:val="12"/>
                <w:lang w:val="fr-BE"/>
              </w:rPr>
            </w:pPr>
            <w:r w:rsidRPr="00BA47B4">
              <w:rPr>
                <w:noProof/>
                <w:sz w:val="12"/>
                <w:szCs w:val="12"/>
                <w:lang w:val="fr-BE"/>
              </w:rPr>
              <w:t>392,00</w:t>
            </w:r>
          </w:p>
        </w:tc>
        <w:tc>
          <w:tcPr>
            <w:tcW w:w="0" w:type="auto"/>
            <w:shd w:val="clear" w:color="auto" w:fill="auto"/>
          </w:tcPr>
          <w:p w14:paraId="4829932B" w14:textId="77777777" w:rsidR="008C5CFA" w:rsidRPr="00BA47B4" w:rsidRDefault="00E82A60" w:rsidP="00300A01">
            <w:pPr>
              <w:spacing w:before="0" w:after="0"/>
              <w:jc w:val="right"/>
              <w:rPr>
                <w:sz w:val="12"/>
                <w:szCs w:val="12"/>
                <w:lang w:val="fr-BE"/>
              </w:rPr>
            </w:pPr>
            <w:r w:rsidRPr="00BA47B4">
              <w:rPr>
                <w:noProof/>
                <w:sz w:val="12"/>
                <w:szCs w:val="12"/>
                <w:lang w:val="fr-BE"/>
              </w:rPr>
              <w:t>643,00</w:t>
            </w:r>
          </w:p>
        </w:tc>
        <w:tc>
          <w:tcPr>
            <w:tcW w:w="0" w:type="auto"/>
            <w:shd w:val="clear" w:color="auto" w:fill="auto"/>
          </w:tcPr>
          <w:p w14:paraId="7DFFC2F1" w14:textId="77777777" w:rsidR="008C5CFA" w:rsidRPr="00BA47B4" w:rsidRDefault="008C5CFA" w:rsidP="00300A01">
            <w:pPr>
              <w:spacing w:before="0" w:after="0"/>
              <w:jc w:val="right"/>
              <w:rPr>
                <w:sz w:val="12"/>
                <w:szCs w:val="12"/>
                <w:lang w:val="fr-BE"/>
              </w:rPr>
            </w:pPr>
          </w:p>
        </w:tc>
        <w:tc>
          <w:tcPr>
            <w:tcW w:w="0" w:type="auto"/>
            <w:shd w:val="clear" w:color="auto" w:fill="auto"/>
          </w:tcPr>
          <w:p w14:paraId="57E68E16" w14:textId="77777777" w:rsidR="008C5CFA" w:rsidRPr="00BA47B4" w:rsidRDefault="008C5CFA" w:rsidP="00300A01">
            <w:pPr>
              <w:spacing w:before="0" w:after="0"/>
              <w:jc w:val="right"/>
              <w:rPr>
                <w:sz w:val="12"/>
                <w:szCs w:val="12"/>
                <w:lang w:val="fr-BE"/>
              </w:rPr>
            </w:pPr>
          </w:p>
        </w:tc>
        <w:tc>
          <w:tcPr>
            <w:tcW w:w="0" w:type="auto"/>
            <w:shd w:val="clear" w:color="auto" w:fill="auto"/>
          </w:tcPr>
          <w:p w14:paraId="42E5C99E" w14:textId="77777777" w:rsidR="008C5CFA" w:rsidRPr="00BA47B4" w:rsidRDefault="008C5CFA" w:rsidP="00300A01">
            <w:pPr>
              <w:spacing w:before="0" w:after="0"/>
              <w:jc w:val="right"/>
              <w:rPr>
                <w:sz w:val="12"/>
                <w:szCs w:val="12"/>
                <w:lang w:val="fr-BE"/>
              </w:rPr>
            </w:pPr>
          </w:p>
        </w:tc>
        <w:tc>
          <w:tcPr>
            <w:tcW w:w="0" w:type="auto"/>
          </w:tcPr>
          <w:p w14:paraId="04749442" w14:textId="77777777" w:rsidR="008C5CFA" w:rsidRPr="00A92B39" w:rsidRDefault="00E82A60" w:rsidP="00300A01">
            <w:pPr>
              <w:spacing w:before="0" w:after="0"/>
              <w:jc w:val="right"/>
              <w:rPr>
                <w:sz w:val="10"/>
                <w:szCs w:val="10"/>
                <w:lang w:val="fr-BE"/>
              </w:rPr>
            </w:pPr>
            <w:r w:rsidRPr="00A92B39">
              <w:rPr>
                <w:noProof/>
                <w:sz w:val="10"/>
                <w:szCs w:val="10"/>
                <w:lang w:val="fr-BE"/>
              </w:rPr>
              <w:t>222,00</w:t>
            </w:r>
          </w:p>
        </w:tc>
        <w:tc>
          <w:tcPr>
            <w:tcW w:w="0" w:type="auto"/>
            <w:shd w:val="clear" w:color="auto" w:fill="auto"/>
          </w:tcPr>
          <w:p w14:paraId="076863FF" w14:textId="77777777" w:rsidR="008C5CFA" w:rsidRPr="00A92B39" w:rsidRDefault="00E82A60" w:rsidP="00300A01">
            <w:pPr>
              <w:spacing w:before="0" w:after="0"/>
              <w:jc w:val="right"/>
              <w:rPr>
                <w:sz w:val="10"/>
                <w:szCs w:val="10"/>
                <w:lang w:val="fr-BE"/>
              </w:rPr>
            </w:pPr>
            <w:r w:rsidRPr="00A92B39">
              <w:rPr>
                <w:noProof/>
                <w:sz w:val="10"/>
                <w:szCs w:val="10"/>
                <w:lang w:val="fr-BE"/>
              </w:rPr>
              <w:t>80,00</w:t>
            </w:r>
          </w:p>
        </w:tc>
        <w:tc>
          <w:tcPr>
            <w:tcW w:w="0" w:type="auto"/>
            <w:shd w:val="clear" w:color="auto" w:fill="auto"/>
          </w:tcPr>
          <w:p w14:paraId="4AD0F412" w14:textId="77777777" w:rsidR="008C5CFA" w:rsidRPr="00BA47B4" w:rsidRDefault="00E82A60" w:rsidP="00300A01">
            <w:pPr>
              <w:spacing w:before="0" w:after="0"/>
              <w:jc w:val="right"/>
              <w:rPr>
                <w:sz w:val="12"/>
                <w:szCs w:val="12"/>
                <w:lang w:val="fr-BE"/>
              </w:rPr>
            </w:pPr>
            <w:r w:rsidRPr="00A92B39">
              <w:rPr>
                <w:noProof/>
                <w:sz w:val="10"/>
                <w:szCs w:val="10"/>
                <w:lang w:val="fr-BE"/>
              </w:rPr>
              <w:t>142,00</w:t>
            </w:r>
          </w:p>
        </w:tc>
      </w:tr>
      <w:tr w:rsidR="006B2EC1" w14:paraId="6ABCC5C9" w14:textId="77777777" w:rsidTr="0047688D">
        <w:tc>
          <w:tcPr>
            <w:tcW w:w="0" w:type="auto"/>
            <w:shd w:val="clear" w:color="auto" w:fill="auto"/>
          </w:tcPr>
          <w:p w14:paraId="4B415BFB" w14:textId="77777777" w:rsidR="008C5CFA" w:rsidRPr="00BA47B4" w:rsidRDefault="00E82A60" w:rsidP="00300A01">
            <w:pPr>
              <w:spacing w:before="0" w:after="0"/>
              <w:rPr>
                <w:sz w:val="12"/>
                <w:szCs w:val="12"/>
                <w:lang w:val="fr-BE"/>
              </w:rPr>
            </w:pPr>
            <w:r>
              <w:rPr>
                <w:noProof/>
                <w:sz w:val="12"/>
                <w:szCs w:val="12"/>
                <w:lang w:val="fr-BE"/>
              </w:rPr>
              <w:t>CO05</w:t>
            </w:r>
          </w:p>
        </w:tc>
        <w:tc>
          <w:tcPr>
            <w:tcW w:w="0" w:type="auto"/>
            <w:shd w:val="clear" w:color="auto" w:fill="auto"/>
          </w:tcPr>
          <w:p w14:paraId="25728C78" w14:textId="77777777" w:rsidR="008C5CFA" w:rsidRPr="00BA47B4" w:rsidRDefault="00E82A60" w:rsidP="00300A01">
            <w:pPr>
              <w:spacing w:before="0" w:after="0"/>
              <w:rPr>
                <w:sz w:val="12"/>
                <w:szCs w:val="12"/>
                <w:lang w:val="fr-BE"/>
              </w:rPr>
            </w:pPr>
            <w:r>
              <w:rPr>
                <w:noProof/>
                <w:sz w:val="12"/>
                <w:szCs w:val="12"/>
                <w:lang w:val="fr-BE"/>
              </w:rPr>
              <w:t>osoby pracujące, łącznie z prowadzącymi działalność na własny rachunek</w:t>
            </w:r>
          </w:p>
        </w:tc>
        <w:tc>
          <w:tcPr>
            <w:tcW w:w="0" w:type="auto"/>
            <w:shd w:val="clear" w:color="auto" w:fill="auto"/>
          </w:tcPr>
          <w:p w14:paraId="36839ABB" w14:textId="77777777" w:rsidR="008C5CFA" w:rsidRPr="00BA47B4" w:rsidRDefault="00E82A60"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14:paraId="71D3C82E" w14:textId="77777777" w:rsidR="008C5CFA" w:rsidRPr="00BA47B4" w:rsidRDefault="008C5CFA" w:rsidP="00300A01">
            <w:pPr>
              <w:spacing w:before="0" w:after="0"/>
              <w:jc w:val="right"/>
              <w:rPr>
                <w:sz w:val="12"/>
                <w:szCs w:val="12"/>
                <w:lang w:val="fr-BE"/>
              </w:rPr>
            </w:pPr>
          </w:p>
        </w:tc>
        <w:tc>
          <w:tcPr>
            <w:tcW w:w="0" w:type="auto"/>
            <w:shd w:val="clear" w:color="auto" w:fill="auto"/>
          </w:tcPr>
          <w:p w14:paraId="64B37B27" w14:textId="77777777" w:rsidR="008C5CFA" w:rsidRPr="00BA47B4" w:rsidRDefault="008C5CFA" w:rsidP="00300A01">
            <w:pPr>
              <w:spacing w:before="0" w:after="0"/>
              <w:jc w:val="right"/>
              <w:rPr>
                <w:sz w:val="12"/>
                <w:szCs w:val="12"/>
                <w:lang w:val="fr-BE"/>
              </w:rPr>
            </w:pPr>
          </w:p>
        </w:tc>
        <w:tc>
          <w:tcPr>
            <w:tcW w:w="0" w:type="auto"/>
            <w:shd w:val="clear" w:color="auto" w:fill="auto"/>
          </w:tcPr>
          <w:p w14:paraId="54887D7B" w14:textId="77777777" w:rsidR="008C5CFA" w:rsidRPr="00BA47B4" w:rsidRDefault="008C5CFA" w:rsidP="00300A01">
            <w:pPr>
              <w:spacing w:before="0" w:after="0"/>
              <w:jc w:val="right"/>
              <w:rPr>
                <w:sz w:val="12"/>
                <w:szCs w:val="12"/>
                <w:lang w:val="fr-BE"/>
              </w:rPr>
            </w:pPr>
          </w:p>
        </w:tc>
        <w:tc>
          <w:tcPr>
            <w:tcW w:w="0" w:type="auto"/>
            <w:shd w:val="clear" w:color="auto" w:fill="auto"/>
          </w:tcPr>
          <w:p w14:paraId="1342AA42" w14:textId="77777777" w:rsidR="008C5CFA" w:rsidRPr="00BA47B4" w:rsidRDefault="00E82A60" w:rsidP="00300A01">
            <w:pPr>
              <w:spacing w:before="0" w:after="0"/>
              <w:jc w:val="right"/>
              <w:rPr>
                <w:sz w:val="12"/>
                <w:szCs w:val="12"/>
                <w:lang w:val="fr-BE"/>
              </w:rPr>
            </w:pPr>
            <w:r w:rsidRPr="00BA47B4">
              <w:rPr>
                <w:noProof/>
                <w:sz w:val="12"/>
                <w:szCs w:val="12"/>
                <w:lang w:val="fr-BE"/>
              </w:rPr>
              <w:t>1 626,00</w:t>
            </w:r>
          </w:p>
        </w:tc>
        <w:tc>
          <w:tcPr>
            <w:tcW w:w="0" w:type="auto"/>
            <w:shd w:val="clear" w:color="auto" w:fill="auto"/>
          </w:tcPr>
          <w:p w14:paraId="7F8A5FE5" w14:textId="77777777" w:rsidR="008C5CFA" w:rsidRPr="00BA47B4" w:rsidRDefault="00E82A60" w:rsidP="00300A01">
            <w:pPr>
              <w:spacing w:before="0" w:after="0"/>
              <w:jc w:val="right"/>
              <w:rPr>
                <w:sz w:val="12"/>
                <w:szCs w:val="12"/>
                <w:lang w:val="fr-BE"/>
              </w:rPr>
            </w:pPr>
            <w:r w:rsidRPr="00BA47B4">
              <w:rPr>
                <w:noProof/>
                <w:sz w:val="12"/>
                <w:szCs w:val="12"/>
                <w:lang w:val="fr-BE"/>
              </w:rPr>
              <w:t>549,00</w:t>
            </w:r>
          </w:p>
        </w:tc>
        <w:tc>
          <w:tcPr>
            <w:tcW w:w="0" w:type="auto"/>
            <w:shd w:val="clear" w:color="auto" w:fill="auto"/>
          </w:tcPr>
          <w:p w14:paraId="7A8DBDB0" w14:textId="77777777" w:rsidR="008C5CFA" w:rsidRPr="00BA47B4" w:rsidRDefault="00E82A60" w:rsidP="00300A01">
            <w:pPr>
              <w:spacing w:before="0" w:after="0"/>
              <w:jc w:val="right"/>
              <w:rPr>
                <w:sz w:val="12"/>
                <w:szCs w:val="12"/>
                <w:lang w:val="fr-BE"/>
              </w:rPr>
            </w:pPr>
            <w:r w:rsidRPr="00BA47B4">
              <w:rPr>
                <w:noProof/>
                <w:sz w:val="12"/>
                <w:szCs w:val="12"/>
                <w:lang w:val="fr-BE"/>
              </w:rPr>
              <w:t>1 077,00</w:t>
            </w:r>
          </w:p>
        </w:tc>
        <w:tc>
          <w:tcPr>
            <w:tcW w:w="0" w:type="auto"/>
            <w:shd w:val="clear" w:color="auto" w:fill="auto"/>
          </w:tcPr>
          <w:p w14:paraId="2AB2FF8D" w14:textId="77777777" w:rsidR="008C5CFA" w:rsidRPr="00BA47B4" w:rsidRDefault="008C5CFA" w:rsidP="00300A01">
            <w:pPr>
              <w:spacing w:before="0" w:after="0"/>
              <w:jc w:val="right"/>
              <w:rPr>
                <w:sz w:val="12"/>
                <w:szCs w:val="12"/>
                <w:lang w:val="fr-BE"/>
              </w:rPr>
            </w:pPr>
          </w:p>
        </w:tc>
        <w:tc>
          <w:tcPr>
            <w:tcW w:w="0" w:type="auto"/>
            <w:shd w:val="clear" w:color="auto" w:fill="auto"/>
          </w:tcPr>
          <w:p w14:paraId="30028C61" w14:textId="77777777" w:rsidR="008C5CFA" w:rsidRPr="00BA47B4" w:rsidRDefault="008C5CFA" w:rsidP="00300A01">
            <w:pPr>
              <w:spacing w:before="0" w:after="0"/>
              <w:jc w:val="right"/>
              <w:rPr>
                <w:sz w:val="12"/>
                <w:szCs w:val="12"/>
                <w:lang w:val="fr-BE"/>
              </w:rPr>
            </w:pPr>
          </w:p>
        </w:tc>
        <w:tc>
          <w:tcPr>
            <w:tcW w:w="0" w:type="auto"/>
            <w:shd w:val="clear" w:color="auto" w:fill="auto"/>
          </w:tcPr>
          <w:p w14:paraId="6CD03C01" w14:textId="77777777" w:rsidR="008C5CFA" w:rsidRPr="00BA47B4" w:rsidRDefault="008C5CFA" w:rsidP="00300A01">
            <w:pPr>
              <w:spacing w:before="0" w:after="0"/>
              <w:jc w:val="right"/>
              <w:rPr>
                <w:sz w:val="12"/>
                <w:szCs w:val="12"/>
                <w:lang w:val="fr-BE"/>
              </w:rPr>
            </w:pPr>
          </w:p>
        </w:tc>
        <w:tc>
          <w:tcPr>
            <w:tcW w:w="0" w:type="auto"/>
          </w:tcPr>
          <w:p w14:paraId="0B9AD93E" w14:textId="77777777" w:rsidR="008C5CFA" w:rsidRPr="00A92B39" w:rsidRDefault="00E82A60" w:rsidP="00300A01">
            <w:pPr>
              <w:spacing w:before="0" w:after="0"/>
              <w:jc w:val="right"/>
              <w:rPr>
                <w:sz w:val="10"/>
                <w:szCs w:val="10"/>
                <w:lang w:val="fr-BE"/>
              </w:rPr>
            </w:pPr>
            <w:r w:rsidRPr="00A92B39">
              <w:rPr>
                <w:noProof/>
                <w:sz w:val="10"/>
                <w:szCs w:val="10"/>
                <w:lang w:val="fr-BE"/>
              </w:rPr>
              <w:t>367,00</w:t>
            </w:r>
          </w:p>
        </w:tc>
        <w:tc>
          <w:tcPr>
            <w:tcW w:w="0" w:type="auto"/>
            <w:shd w:val="clear" w:color="auto" w:fill="auto"/>
          </w:tcPr>
          <w:p w14:paraId="4E8CE222" w14:textId="77777777" w:rsidR="008C5CFA" w:rsidRPr="00A92B39" w:rsidRDefault="00E82A60" w:rsidP="00300A01">
            <w:pPr>
              <w:spacing w:before="0" w:after="0"/>
              <w:jc w:val="right"/>
              <w:rPr>
                <w:sz w:val="10"/>
                <w:szCs w:val="10"/>
                <w:lang w:val="fr-BE"/>
              </w:rPr>
            </w:pPr>
            <w:r w:rsidRPr="00A92B39">
              <w:rPr>
                <w:noProof/>
                <w:sz w:val="10"/>
                <w:szCs w:val="10"/>
                <w:lang w:val="fr-BE"/>
              </w:rPr>
              <w:t>146,00</w:t>
            </w:r>
          </w:p>
        </w:tc>
        <w:tc>
          <w:tcPr>
            <w:tcW w:w="0" w:type="auto"/>
            <w:shd w:val="clear" w:color="auto" w:fill="auto"/>
          </w:tcPr>
          <w:p w14:paraId="0DCC1E8D" w14:textId="77777777" w:rsidR="008C5CFA" w:rsidRPr="00BA47B4" w:rsidRDefault="00E82A60" w:rsidP="00300A01">
            <w:pPr>
              <w:spacing w:before="0" w:after="0"/>
              <w:jc w:val="right"/>
              <w:rPr>
                <w:sz w:val="12"/>
                <w:szCs w:val="12"/>
                <w:lang w:val="fr-BE"/>
              </w:rPr>
            </w:pPr>
            <w:r w:rsidRPr="00A92B39">
              <w:rPr>
                <w:noProof/>
                <w:sz w:val="10"/>
                <w:szCs w:val="10"/>
                <w:lang w:val="fr-BE"/>
              </w:rPr>
              <w:t>221,00</w:t>
            </w:r>
          </w:p>
        </w:tc>
      </w:tr>
      <w:tr w:rsidR="006B2EC1" w14:paraId="016217A8" w14:textId="77777777" w:rsidTr="0047688D">
        <w:tc>
          <w:tcPr>
            <w:tcW w:w="0" w:type="auto"/>
            <w:shd w:val="clear" w:color="auto" w:fill="auto"/>
          </w:tcPr>
          <w:p w14:paraId="66FCA38F" w14:textId="77777777" w:rsidR="008C5CFA" w:rsidRPr="00BA47B4" w:rsidRDefault="00E82A60" w:rsidP="00300A01">
            <w:pPr>
              <w:spacing w:before="0" w:after="0"/>
              <w:rPr>
                <w:sz w:val="12"/>
                <w:szCs w:val="12"/>
                <w:lang w:val="fr-BE"/>
              </w:rPr>
            </w:pPr>
            <w:r>
              <w:rPr>
                <w:noProof/>
                <w:sz w:val="12"/>
                <w:szCs w:val="12"/>
                <w:lang w:val="fr-BE"/>
              </w:rPr>
              <w:t>CO06</w:t>
            </w:r>
          </w:p>
        </w:tc>
        <w:tc>
          <w:tcPr>
            <w:tcW w:w="0" w:type="auto"/>
            <w:shd w:val="clear" w:color="auto" w:fill="auto"/>
          </w:tcPr>
          <w:p w14:paraId="051B823D" w14:textId="77777777" w:rsidR="008C5CFA" w:rsidRPr="00BA47B4" w:rsidRDefault="00E82A60" w:rsidP="00300A01">
            <w:pPr>
              <w:spacing w:before="0" w:after="0"/>
              <w:rPr>
                <w:sz w:val="12"/>
                <w:szCs w:val="12"/>
                <w:lang w:val="fr-BE"/>
              </w:rPr>
            </w:pPr>
            <w:r>
              <w:rPr>
                <w:noProof/>
                <w:sz w:val="12"/>
                <w:szCs w:val="12"/>
                <w:lang w:val="fr-BE"/>
              </w:rPr>
              <w:t>osoby w wieku poniżej 25 lat</w:t>
            </w:r>
          </w:p>
        </w:tc>
        <w:tc>
          <w:tcPr>
            <w:tcW w:w="0" w:type="auto"/>
            <w:shd w:val="clear" w:color="auto" w:fill="auto"/>
          </w:tcPr>
          <w:p w14:paraId="0B60171C" w14:textId="77777777" w:rsidR="008C5CFA" w:rsidRPr="00BA47B4" w:rsidRDefault="00E82A60"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14:paraId="00634273" w14:textId="77777777" w:rsidR="008C5CFA" w:rsidRPr="00BA47B4" w:rsidRDefault="008C5CFA" w:rsidP="00300A01">
            <w:pPr>
              <w:spacing w:before="0" w:after="0"/>
              <w:jc w:val="right"/>
              <w:rPr>
                <w:sz w:val="12"/>
                <w:szCs w:val="12"/>
                <w:lang w:val="fr-BE"/>
              </w:rPr>
            </w:pPr>
          </w:p>
        </w:tc>
        <w:tc>
          <w:tcPr>
            <w:tcW w:w="0" w:type="auto"/>
            <w:shd w:val="clear" w:color="auto" w:fill="auto"/>
          </w:tcPr>
          <w:p w14:paraId="7AF8EEDF" w14:textId="77777777" w:rsidR="008C5CFA" w:rsidRPr="00BA47B4" w:rsidRDefault="008C5CFA" w:rsidP="00300A01">
            <w:pPr>
              <w:spacing w:before="0" w:after="0"/>
              <w:jc w:val="right"/>
              <w:rPr>
                <w:sz w:val="12"/>
                <w:szCs w:val="12"/>
                <w:lang w:val="fr-BE"/>
              </w:rPr>
            </w:pPr>
          </w:p>
        </w:tc>
        <w:tc>
          <w:tcPr>
            <w:tcW w:w="0" w:type="auto"/>
            <w:shd w:val="clear" w:color="auto" w:fill="auto"/>
          </w:tcPr>
          <w:p w14:paraId="3AF0CA96" w14:textId="77777777" w:rsidR="008C5CFA" w:rsidRPr="00BA47B4" w:rsidRDefault="008C5CFA" w:rsidP="00300A01">
            <w:pPr>
              <w:spacing w:before="0" w:after="0"/>
              <w:jc w:val="right"/>
              <w:rPr>
                <w:sz w:val="12"/>
                <w:szCs w:val="12"/>
                <w:lang w:val="fr-BE"/>
              </w:rPr>
            </w:pPr>
          </w:p>
        </w:tc>
        <w:tc>
          <w:tcPr>
            <w:tcW w:w="0" w:type="auto"/>
            <w:shd w:val="clear" w:color="auto" w:fill="auto"/>
          </w:tcPr>
          <w:p w14:paraId="4298C22C" w14:textId="77777777" w:rsidR="008C5CFA" w:rsidRPr="00BA47B4" w:rsidRDefault="00E82A60" w:rsidP="00300A01">
            <w:pPr>
              <w:spacing w:before="0" w:after="0"/>
              <w:jc w:val="right"/>
              <w:rPr>
                <w:sz w:val="12"/>
                <w:szCs w:val="12"/>
                <w:lang w:val="fr-BE"/>
              </w:rPr>
            </w:pPr>
            <w:r w:rsidRPr="00BA47B4">
              <w:rPr>
                <w:noProof/>
                <w:sz w:val="12"/>
                <w:szCs w:val="12"/>
                <w:lang w:val="fr-BE"/>
              </w:rPr>
              <w:t>7 021,00</w:t>
            </w:r>
          </w:p>
        </w:tc>
        <w:tc>
          <w:tcPr>
            <w:tcW w:w="0" w:type="auto"/>
            <w:shd w:val="clear" w:color="auto" w:fill="auto"/>
          </w:tcPr>
          <w:p w14:paraId="795DD81D" w14:textId="77777777" w:rsidR="008C5CFA" w:rsidRPr="00BA47B4" w:rsidRDefault="00E82A60" w:rsidP="00300A01">
            <w:pPr>
              <w:spacing w:before="0" w:after="0"/>
              <w:jc w:val="right"/>
              <w:rPr>
                <w:sz w:val="12"/>
                <w:szCs w:val="12"/>
                <w:lang w:val="fr-BE"/>
              </w:rPr>
            </w:pPr>
            <w:r w:rsidRPr="00BA47B4">
              <w:rPr>
                <w:noProof/>
                <w:sz w:val="12"/>
                <w:szCs w:val="12"/>
                <w:lang w:val="fr-BE"/>
              </w:rPr>
              <w:t>3 209,00</w:t>
            </w:r>
          </w:p>
        </w:tc>
        <w:tc>
          <w:tcPr>
            <w:tcW w:w="0" w:type="auto"/>
            <w:shd w:val="clear" w:color="auto" w:fill="auto"/>
          </w:tcPr>
          <w:p w14:paraId="2038D157" w14:textId="77777777" w:rsidR="008C5CFA" w:rsidRPr="00BA47B4" w:rsidRDefault="00E82A60" w:rsidP="00300A01">
            <w:pPr>
              <w:spacing w:before="0" w:after="0"/>
              <w:jc w:val="right"/>
              <w:rPr>
                <w:sz w:val="12"/>
                <w:szCs w:val="12"/>
                <w:lang w:val="fr-BE"/>
              </w:rPr>
            </w:pPr>
            <w:r w:rsidRPr="00BA47B4">
              <w:rPr>
                <w:noProof/>
                <w:sz w:val="12"/>
                <w:szCs w:val="12"/>
                <w:lang w:val="fr-BE"/>
              </w:rPr>
              <w:t>3 812,00</w:t>
            </w:r>
          </w:p>
        </w:tc>
        <w:tc>
          <w:tcPr>
            <w:tcW w:w="0" w:type="auto"/>
            <w:shd w:val="clear" w:color="auto" w:fill="auto"/>
          </w:tcPr>
          <w:p w14:paraId="3EC3B35F" w14:textId="77777777" w:rsidR="008C5CFA" w:rsidRPr="00BA47B4" w:rsidRDefault="008C5CFA" w:rsidP="00300A01">
            <w:pPr>
              <w:spacing w:before="0" w:after="0"/>
              <w:jc w:val="right"/>
              <w:rPr>
                <w:sz w:val="12"/>
                <w:szCs w:val="12"/>
                <w:lang w:val="fr-BE"/>
              </w:rPr>
            </w:pPr>
          </w:p>
        </w:tc>
        <w:tc>
          <w:tcPr>
            <w:tcW w:w="0" w:type="auto"/>
            <w:shd w:val="clear" w:color="auto" w:fill="auto"/>
          </w:tcPr>
          <w:p w14:paraId="74C52943" w14:textId="77777777" w:rsidR="008C5CFA" w:rsidRPr="00BA47B4" w:rsidRDefault="008C5CFA" w:rsidP="00300A01">
            <w:pPr>
              <w:spacing w:before="0" w:after="0"/>
              <w:jc w:val="right"/>
              <w:rPr>
                <w:sz w:val="12"/>
                <w:szCs w:val="12"/>
                <w:lang w:val="fr-BE"/>
              </w:rPr>
            </w:pPr>
          </w:p>
        </w:tc>
        <w:tc>
          <w:tcPr>
            <w:tcW w:w="0" w:type="auto"/>
            <w:shd w:val="clear" w:color="auto" w:fill="auto"/>
          </w:tcPr>
          <w:p w14:paraId="4ACCE2CE" w14:textId="77777777" w:rsidR="008C5CFA" w:rsidRPr="00BA47B4" w:rsidRDefault="008C5CFA" w:rsidP="00300A01">
            <w:pPr>
              <w:spacing w:before="0" w:after="0"/>
              <w:jc w:val="right"/>
              <w:rPr>
                <w:sz w:val="12"/>
                <w:szCs w:val="12"/>
                <w:lang w:val="fr-BE"/>
              </w:rPr>
            </w:pPr>
          </w:p>
        </w:tc>
        <w:tc>
          <w:tcPr>
            <w:tcW w:w="0" w:type="auto"/>
          </w:tcPr>
          <w:p w14:paraId="3125CF3B" w14:textId="77777777" w:rsidR="008C5CFA" w:rsidRPr="00A92B39" w:rsidRDefault="00E82A60" w:rsidP="00300A01">
            <w:pPr>
              <w:spacing w:before="0" w:after="0"/>
              <w:jc w:val="right"/>
              <w:rPr>
                <w:sz w:val="10"/>
                <w:szCs w:val="10"/>
                <w:lang w:val="fr-BE"/>
              </w:rPr>
            </w:pPr>
            <w:r w:rsidRPr="00A92B39">
              <w:rPr>
                <w:noProof/>
                <w:sz w:val="10"/>
                <w:szCs w:val="10"/>
                <w:lang w:val="fr-BE"/>
              </w:rPr>
              <w:t>1 702,00</w:t>
            </w:r>
          </w:p>
        </w:tc>
        <w:tc>
          <w:tcPr>
            <w:tcW w:w="0" w:type="auto"/>
            <w:shd w:val="clear" w:color="auto" w:fill="auto"/>
          </w:tcPr>
          <w:p w14:paraId="128BCE79" w14:textId="77777777" w:rsidR="008C5CFA" w:rsidRPr="00A92B39" w:rsidRDefault="00E82A60" w:rsidP="00300A01">
            <w:pPr>
              <w:spacing w:before="0" w:after="0"/>
              <w:jc w:val="right"/>
              <w:rPr>
                <w:sz w:val="10"/>
                <w:szCs w:val="10"/>
                <w:lang w:val="fr-BE"/>
              </w:rPr>
            </w:pPr>
            <w:r w:rsidRPr="00A92B39">
              <w:rPr>
                <w:noProof/>
                <w:sz w:val="10"/>
                <w:szCs w:val="10"/>
                <w:lang w:val="fr-BE"/>
              </w:rPr>
              <w:t>839,00</w:t>
            </w:r>
          </w:p>
        </w:tc>
        <w:tc>
          <w:tcPr>
            <w:tcW w:w="0" w:type="auto"/>
            <w:shd w:val="clear" w:color="auto" w:fill="auto"/>
          </w:tcPr>
          <w:p w14:paraId="187CA8BD" w14:textId="77777777" w:rsidR="008C5CFA" w:rsidRPr="00BA47B4" w:rsidRDefault="00E82A60" w:rsidP="00300A01">
            <w:pPr>
              <w:spacing w:before="0" w:after="0"/>
              <w:jc w:val="right"/>
              <w:rPr>
                <w:sz w:val="12"/>
                <w:szCs w:val="12"/>
                <w:lang w:val="fr-BE"/>
              </w:rPr>
            </w:pPr>
            <w:r w:rsidRPr="00A92B39">
              <w:rPr>
                <w:noProof/>
                <w:sz w:val="10"/>
                <w:szCs w:val="10"/>
                <w:lang w:val="fr-BE"/>
              </w:rPr>
              <w:t>863,00</w:t>
            </w:r>
          </w:p>
        </w:tc>
      </w:tr>
      <w:tr w:rsidR="006B2EC1" w14:paraId="073BFAD4" w14:textId="77777777" w:rsidTr="0047688D">
        <w:tc>
          <w:tcPr>
            <w:tcW w:w="0" w:type="auto"/>
            <w:shd w:val="clear" w:color="auto" w:fill="auto"/>
          </w:tcPr>
          <w:p w14:paraId="2B3235F7" w14:textId="77777777" w:rsidR="008C5CFA" w:rsidRPr="00BA47B4" w:rsidRDefault="00E82A60" w:rsidP="00300A01">
            <w:pPr>
              <w:spacing w:before="0" w:after="0"/>
              <w:rPr>
                <w:sz w:val="12"/>
                <w:szCs w:val="12"/>
                <w:lang w:val="fr-BE"/>
              </w:rPr>
            </w:pPr>
            <w:r>
              <w:rPr>
                <w:noProof/>
                <w:sz w:val="12"/>
                <w:szCs w:val="12"/>
                <w:lang w:val="fr-BE"/>
              </w:rPr>
              <w:t>CO07</w:t>
            </w:r>
          </w:p>
        </w:tc>
        <w:tc>
          <w:tcPr>
            <w:tcW w:w="0" w:type="auto"/>
            <w:shd w:val="clear" w:color="auto" w:fill="auto"/>
          </w:tcPr>
          <w:p w14:paraId="404D0578" w14:textId="77777777" w:rsidR="008C5CFA" w:rsidRPr="00BA47B4" w:rsidRDefault="00E82A60" w:rsidP="00300A01">
            <w:pPr>
              <w:spacing w:before="0" w:after="0"/>
              <w:rPr>
                <w:sz w:val="12"/>
                <w:szCs w:val="12"/>
                <w:lang w:val="fr-BE"/>
              </w:rPr>
            </w:pPr>
            <w:r>
              <w:rPr>
                <w:noProof/>
                <w:sz w:val="12"/>
                <w:szCs w:val="12"/>
                <w:lang w:val="fr-BE"/>
              </w:rPr>
              <w:t>osoby w wieku powyżej 54 lat</w:t>
            </w:r>
          </w:p>
        </w:tc>
        <w:tc>
          <w:tcPr>
            <w:tcW w:w="0" w:type="auto"/>
            <w:shd w:val="clear" w:color="auto" w:fill="auto"/>
          </w:tcPr>
          <w:p w14:paraId="65D7AF89" w14:textId="77777777" w:rsidR="008C5CFA" w:rsidRPr="00BA47B4" w:rsidRDefault="00E82A60"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14:paraId="1E760253" w14:textId="77777777" w:rsidR="008C5CFA" w:rsidRPr="00BA47B4" w:rsidRDefault="008C5CFA" w:rsidP="00300A01">
            <w:pPr>
              <w:spacing w:before="0" w:after="0"/>
              <w:jc w:val="right"/>
              <w:rPr>
                <w:sz w:val="12"/>
                <w:szCs w:val="12"/>
                <w:lang w:val="fr-BE"/>
              </w:rPr>
            </w:pPr>
          </w:p>
        </w:tc>
        <w:tc>
          <w:tcPr>
            <w:tcW w:w="0" w:type="auto"/>
            <w:shd w:val="clear" w:color="auto" w:fill="auto"/>
          </w:tcPr>
          <w:p w14:paraId="3043DEAE" w14:textId="77777777" w:rsidR="008C5CFA" w:rsidRPr="00BA47B4" w:rsidRDefault="008C5CFA" w:rsidP="00300A01">
            <w:pPr>
              <w:spacing w:before="0" w:after="0"/>
              <w:jc w:val="right"/>
              <w:rPr>
                <w:sz w:val="12"/>
                <w:szCs w:val="12"/>
                <w:lang w:val="fr-BE"/>
              </w:rPr>
            </w:pPr>
          </w:p>
        </w:tc>
        <w:tc>
          <w:tcPr>
            <w:tcW w:w="0" w:type="auto"/>
            <w:shd w:val="clear" w:color="auto" w:fill="auto"/>
          </w:tcPr>
          <w:p w14:paraId="36C2795A" w14:textId="77777777" w:rsidR="008C5CFA" w:rsidRPr="00BA47B4" w:rsidRDefault="008C5CFA" w:rsidP="00300A01">
            <w:pPr>
              <w:spacing w:before="0" w:after="0"/>
              <w:jc w:val="right"/>
              <w:rPr>
                <w:sz w:val="12"/>
                <w:szCs w:val="12"/>
                <w:lang w:val="fr-BE"/>
              </w:rPr>
            </w:pPr>
          </w:p>
        </w:tc>
        <w:tc>
          <w:tcPr>
            <w:tcW w:w="0" w:type="auto"/>
            <w:shd w:val="clear" w:color="auto" w:fill="auto"/>
          </w:tcPr>
          <w:p w14:paraId="5DB637C0" w14:textId="77777777" w:rsidR="008C5CFA" w:rsidRPr="00BA47B4" w:rsidRDefault="00E82A60" w:rsidP="00300A01">
            <w:pPr>
              <w:spacing w:before="0" w:after="0"/>
              <w:jc w:val="right"/>
              <w:rPr>
                <w:sz w:val="12"/>
                <w:szCs w:val="12"/>
                <w:lang w:val="fr-BE"/>
              </w:rPr>
            </w:pPr>
            <w:r w:rsidRPr="00BA47B4">
              <w:rPr>
                <w:noProof/>
                <w:sz w:val="12"/>
                <w:szCs w:val="12"/>
                <w:lang w:val="fr-BE"/>
              </w:rPr>
              <w:t>3 185,00</w:t>
            </w:r>
          </w:p>
        </w:tc>
        <w:tc>
          <w:tcPr>
            <w:tcW w:w="0" w:type="auto"/>
            <w:shd w:val="clear" w:color="auto" w:fill="auto"/>
          </w:tcPr>
          <w:p w14:paraId="3285BA96" w14:textId="77777777" w:rsidR="008C5CFA" w:rsidRPr="00BA47B4" w:rsidRDefault="00E82A60" w:rsidP="00300A01">
            <w:pPr>
              <w:spacing w:before="0" w:after="0"/>
              <w:jc w:val="right"/>
              <w:rPr>
                <w:sz w:val="12"/>
                <w:szCs w:val="12"/>
                <w:lang w:val="fr-BE"/>
              </w:rPr>
            </w:pPr>
            <w:r w:rsidRPr="00BA47B4">
              <w:rPr>
                <w:noProof/>
                <w:sz w:val="12"/>
                <w:szCs w:val="12"/>
                <w:lang w:val="fr-BE"/>
              </w:rPr>
              <w:t>1 056,00</w:t>
            </w:r>
          </w:p>
        </w:tc>
        <w:tc>
          <w:tcPr>
            <w:tcW w:w="0" w:type="auto"/>
            <w:shd w:val="clear" w:color="auto" w:fill="auto"/>
          </w:tcPr>
          <w:p w14:paraId="4F53CD4E" w14:textId="77777777" w:rsidR="008C5CFA" w:rsidRPr="00BA47B4" w:rsidRDefault="00E82A60" w:rsidP="00300A01">
            <w:pPr>
              <w:spacing w:before="0" w:after="0"/>
              <w:jc w:val="right"/>
              <w:rPr>
                <w:sz w:val="12"/>
                <w:szCs w:val="12"/>
                <w:lang w:val="fr-BE"/>
              </w:rPr>
            </w:pPr>
            <w:r w:rsidRPr="00BA47B4">
              <w:rPr>
                <w:noProof/>
                <w:sz w:val="12"/>
                <w:szCs w:val="12"/>
                <w:lang w:val="fr-BE"/>
              </w:rPr>
              <w:t>2 129,00</w:t>
            </w:r>
          </w:p>
        </w:tc>
        <w:tc>
          <w:tcPr>
            <w:tcW w:w="0" w:type="auto"/>
            <w:shd w:val="clear" w:color="auto" w:fill="auto"/>
          </w:tcPr>
          <w:p w14:paraId="5CF807BF" w14:textId="77777777" w:rsidR="008C5CFA" w:rsidRPr="00BA47B4" w:rsidRDefault="008C5CFA" w:rsidP="00300A01">
            <w:pPr>
              <w:spacing w:before="0" w:after="0"/>
              <w:jc w:val="right"/>
              <w:rPr>
                <w:sz w:val="12"/>
                <w:szCs w:val="12"/>
                <w:lang w:val="fr-BE"/>
              </w:rPr>
            </w:pPr>
          </w:p>
        </w:tc>
        <w:tc>
          <w:tcPr>
            <w:tcW w:w="0" w:type="auto"/>
            <w:shd w:val="clear" w:color="auto" w:fill="auto"/>
          </w:tcPr>
          <w:p w14:paraId="324DFF22" w14:textId="77777777" w:rsidR="008C5CFA" w:rsidRPr="00BA47B4" w:rsidRDefault="008C5CFA" w:rsidP="00300A01">
            <w:pPr>
              <w:spacing w:before="0" w:after="0"/>
              <w:jc w:val="right"/>
              <w:rPr>
                <w:sz w:val="12"/>
                <w:szCs w:val="12"/>
                <w:lang w:val="fr-BE"/>
              </w:rPr>
            </w:pPr>
          </w:p>
        </w:tc>
        <w:tc>
          <w:tcPr>
            <w:tcW w:w="0" w:type="auto"/>
            <w:shd w:val="clear" w:color="auto" w:fill="auto"/>
          </w:tcPr>
          <w:p w14:paraId="75417F89" w14:textId="77777777" w:rsidR="008C5CFA" w:rsidRPr="00BA47B4" w:rsidRDefault="008C5CFA" w:rsidP="00300A01">
            <w:pPr>
              <w:spacing w:before="0" w:after="0"/>
              <w:jc w:val="right"/>
              <w:rPr>
                <w:sz w:val="12"/>
                <w:szCs w:val="12"/>
                <w:lang w:val="fr-BE"/>
              </w:rPr>
            </w:pPr>
          </w:p>
        </w:tc>
        <w:tc>
          <w:tcPr>
            <w:tcW w:w="0" w:type="auto"/>
          </w:tcPr>
          <w:p w14:paraId="6CC68FD8" w14:textId="77777777" w:rsidR="008C5CFA" w:rsidRPr="00A92B39" w:rsidRDefault="00E82A60" w:rsidP="00300A01">
            <w:pPr>
              <w:spacing w:before="0" w:after="0"/>
              <w:jc w:val="right"/>
              <w:rPr>
                <w:sz w:val="10"/>
                <w:szCs w:val="10"/>
                <w:lang w:val="fr-BE"/>
              </w:rPr>
            </w:pPr>
            <w:r w:rsidRPr="00A92B39">
              <w:rPr>
                <w:noProof/>
                <w:sz w:val="10"/>
                <w:szCs w:val="10"/>
                <w:lang w:val="fr-BE"/>
              </w:rPr>
              <w:t>938,00</w:t>
            </w:r>
          </w:p>
        </w:tc>
        <w:tc>
          <w:tcPr>
            <w:tcW w:w="0" w:type="auto"/>
            <w:shd w:val="clear" w:color="auto" w:fill="auto"/>
          </w:tcPr>
          <w:p w14:paraId="18895306" w14:textId="77777777" w:rsidR="008C5CFA" w:rsidRPr="00A92B39" w:rsidRDefault="00E82A60" w:rsidP="00300A01">
            <w:pPr>
              <w:spacing w:before="0" w:after="0"/>
              <w:jc w:val="right"/>
              <w:rPr>
                <w:sz w:val="10"/>
                <w:szCs w:val="10"/>
                <w:lang w:val="fr-BE"/>
              </w:rPr>
            </w:pPr>
            <w:r w:rsidRPr="00A92B39">
              <w:rPr>
                <w:noProof/>
                <w:sz w:val="10"/>
                <w:szCs w:val="10"/>
                <w:lang w:val="fr-BE"/>
              </w:rPr>
              <w:t>322,00</w:t>
            </w:r>
          </w:p>
        </w:tc>
        <w:tc>
          <w:tcPr>
            <w:tcW w:w="0" w:type="auto"/>
            <w:shd w:val="clear" w:color="auto" w:fill="auto"/>
          </w:tcPr>
          <w:p w14:paraId="6742C2E7" w14:textId="77777777" w:rsidR="008C5CFA" w:rsidRPr="00BA47B4" w:rsidRDefault="00E82A60" w:rsidP="00300A01">
            <w:pPr>
              <w:spacing w:before="0" w:after="0"/>
              <w:jc w:val="right"/>
              <w:rPr>
                <w:sz w:val="12"/>
                <w:szCs w:val="12"/>
                <w:lang w:val="fr-BE"/>
              </w:rPr>
            </w:pPr>
            <w:r w:rsidRPr="00A92B39">
              <w:rPr>
                <w:noProof/>
                <w:sz w:val="10"/>
                <w:szCs w:val="10"/>
                <w:lang w:val="fr-BE"/>
              </w:rPr>
              <w:t>616,00</w:t>
            </w:r>
          </w:p>
        </w:tc>
      </w:tr>
      <w:tr w:rsidR="006B2EC1" w14:paraId="4D49CCCF" w14:textId="77777777" w:rsidTr="0047688D">
        <w:tc>
          <w:tcPr>
            <w:tcW w:w="0" w:type="auto"/>
            <w:shd w:val="clear" w:color="auto" w:fill="auto"/>
          </w:tcPr>
          <w:p w14:paraId="23124181" w14:textId="77777777" w:rsidR="008C5CFA" w:rsidRPr="00BA47B4" w:rsidRDefault="00E82A60" w:rsidP="00300A01">
            <w:pPr>
              <w:spacing w:before="0" w:after="0"/>
              <w:rPr>
                <w:sz w:val="12"/>
                <w:szCs w:val="12"/>
                <w:lang w:val="fr-BE"/>
              </w:rPr>
            </w:pPr>
            <w:r>
              <w:rPr>
                <w:noProof/>
                <w:sz w:val="12"/>
                <w:szCs w:val="12"/>
                <w:lang w:val="fr-BE"/>
              </w:rPr>
              <w:t>CO08</w:t>
            </w:r>
          </w:p>
        </w:tc>
        <w:tc>
          <w:tcPr>
            <w:tcW w:w="0" w:type="auto"/>
            <w:shd w:val="clear" w:color="auto" w:fill="auto"/>
          </w:tcPr>
          <w:p w14:paraId="0E67A4F8" w14:textId="77777777" w:rsidR="008C5CFA" w:rsidRPr="00BA47B4" w:rsidRDefault="00E82A60" w:rsidP="00300A01">
            <w:pPr>
              <w:spacing w:before="0" w:after="0"/>
              <w:rPr>
                <w:sz w:val="12"/>
                <w:szCs w:val="12"/>
                <w:lang w:val="fr-BE"/>
              </w:rPr>
            </w:pPr>
            <w:r>
              <w:rPr>
                <w:noProof/>
                <w:sz w:val="12"/>
                <w:szCs w:val="12"/>
                <w:lang w:val="fr-BE"/>
              </w:rPr>
              <w:t>osoby powyżej 54 lat, które są bezrobotne, łącznie z długotrwale bezrobotnymi, lub są bierne zawodowo i nie uczestniczą w kształceniu ani szkoleniu</w:t>
            </w:r>
          </w:p>
        </w:tc>
        <w:tc>
          <w:tcPr>
            <w:tcW w:w="0" w:type="auto"/>
            <w:shd w:val="clear" w:color="auto" w:fill="auto"/>
          </w:tcPr>
          <w:p w14:paraId="39306CED" w14:textId="77777777" w:rsidR="008C5CFA" w:rsidRPr="00BA47B4" w:rsidRDefault="00E82A60"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14:paraId="11CF87BB" w14:textId="77777777" w:rsidR="008C5CFA" w:rsidRPr="00BA47B4" w:rsidRDefault="008C5CFA" w:rsidP="00300A01">
            <w:pPr>
              <w:spacing w:before="0" w:after="0"/>
              <w:jc w:val="right"/>
              <w:rPr>
                <w:sz w:val="12"/>
                <w:szCs w:val="12"/>
                <w:lang w:val="fr-BE"/>
              </w:rPr>
            </w:pPr>
          </w:p>
        </w:tc>
        <w:tc>
          <w:tcPr>
            <w:tcW w:w="0" w:type="auto"/>
            <w:shd w:val="clear" w:color="auto" w:fill="auto"/>
          </w:tcPr>
          <w:p w14:paraId="6196DD49" w14:textId="77777777" w:rsidR="008C5CFA" w:rsidRPr="00BA47B4" w:rsidRDefault="008C5CFA" w:rsidP="00300A01">
            <w:pPr>
              <w:spacing w:before="0" w:after="0"/>
              <w:jc w:val="right"/>
              <w:rPr>
                <w:sz w:val="12"/>
                <w:szCs w:val="12"/>
                <w:lang w:val="fr-BE"/>
              </w:rPr>
            </w:pPr>
          </w:p>
        </w:tc>
        <w:tc>
          <w:tcPr>
            <w:tcW w:w="0" w:type="auto"/>
            <w:shd w:val="clear" w:color="auto" w:fill="auto"/>
          </w:tcPr>
          <w:p w14:paraId="73B416E1" w14:textId="77777777" w:rsidR="008C5CFA" w:rsidRPr="00BA47B4" w:rsidRDefault="008C5CFA" w:rsidP="00300A01">
            <w:pPr>
              <w:spacing w:before="0" w:after="0"/>
              <w:jc w:val="right"/>
              <w:rPr>
                <w:sz w:val="12"/>
                <w:szCs w:val="12"/>
                <w:lang w:val="fr-BE"/>
              </w:rPr>
            </w:pPr>
          </w:p>
        </w:tc>
        <w:tc>
          <w:tcPr>
            <w:tcW w:w="0" w:type="auto"/>
            <w:shd w:val="clear" w:color="auto" w:fill="auto"/>
          </w:tcPr>
          <w:p w14:paraId="5EDE9C04" w14:textId="77777777" w:rsidR="008C5CFA" w:rsidRPr="00BA47B4" w:rsidRDefault="00E82A60" w:rsidP="00300A01">
            <w:pPr>
              <w:spacing w:before="0" w:after="0"/>
              <w:jc w:val="right"/>
              <w:rPr>
                <w:sz w:val="12"/>
                <w:szCs w:val="12"/>
                <w:lang w:val="fr-BE"/>
              </w:rPr>
            </w:pPr>
            <w:r w:rsidRPr="00BA47B4">
              <w:rPr>
                <w:noProof/>
                <w:sz w:val="12"/>
                <w:szCs w:val="12"/>
                <w:lang w:val="fr-BE"/>
              </w:rPr>
              <w:t>1 157,00</w:t>
            </w:r>
          </w:p>
        </w:tc>
        <w:tc>
          <w:tcPr>
            <w:tcW w:w="0" w:type="auto"/>
            <w:shd w:val="clear" w:color="auto" w:fill="auto"/>
          </w:tcPr>
          <w:p w14:paraId="1D141D0C" w14:textId="77777777" w:rsidR="008C5CFA" w:rsidRPr="00BA47B4" w:rsidRDefault="00E82A60" w:rsidP="00300A01">
            <w:pPr>
              <w:spacing w:before="0" w:after="0"/>
              <w:jc w:val="right"/>
              <w:rPr>
                <w:sz w:val="12"/>
                <w:szCs w:val="12"/>
                <w:lang w:val="fr-BE"/>
              </w:rPr>
            </w:pPr>
            <w:r w:rsidRPr="00BA47B4">
              <w:rPr>
                <w:noProof/>
                <w:sz w:val="12"/>
                <w:szCs w:val="12"/>
                <w:lang w:val="fr-BE"/>
              </w:rPr>
              <w:t>378,00</w:t>
            </w:r>
          </w:p>
        </w:tc>
        <w:tc>
          <w:tcPr>
            <w:tcW w:w="0" w:type="auto"/>
            <w:shd w:val="clear" w:color="auto" w:fill="auto"/>
          </w:tcPr>
          <w:p w14:paraId="27AB15CD" w14:textId="77777777" w:rsidR="008C5CFA" w:rsidRPr="00BA47B4" w:rsidRDefault="00E82A60" w:rsidP="00300A01">
            <w:pPr>
              <w:spacing w:before="0" w:after="0"/>
              <w:jc w:val="right"/>
              <w:rPr>
                <w:sz w:val="12"/>
                <w:szCs w:val="12"/>
                <w:lang w:val="fr-BE"/>
              </w:rPr>
            </w:pPr>
            <w:r w:rsidRPr="00BA47B4">
              <w:rPr>
                <w:noProof/>
                <w:sz w:val="12"/>
                <w:szCs w:val="12"/>
                <w:lang w:val="fr-BE"/>
              </w:rPr>
              <w:t>779,00</w:t>
            </w:r>
          </w:p>
        </w:tc>
        <w:tc>
          <w:tcPr>
            <w:tcW w:w="0" w:type="auto"/>
            <w:shd w:val="clear" w:color="auto" w:fill="auto"/>
          </w:tcPr>
          <w:p w14:paraId="6970150A" w14:textId="77777777" w:rsidR="008C5CFA" w:rsidRPr="00BA47B4" w:rsidRDefault="008C5CFA" w:rsidP="00300A01">
            <w:pPr>
              <w:spacing w:before="0" w:after="0"/>
              <w:jc w:val="right"/>
              <w:rPr>
                <w:sz w:val="12"/>
                <w:szCs w:val="12"/>
                <w:lang w:val="fr-BE"/>
              </w:rPr>
            </w:pPr>
          </w:p>
        </w:tc>
        <w:tc>
          <w:tcPr>
            <w:tcW w:w="0" w:type="auto"/>
            <w:shd w:val="clear" w:color="auto" w:fill="auto"/>
          </w:tcPr>
          <w:p w14:paraId="0BE409FC" w14:textId="77777777" w:rsidR="008C5CFA" w:rsidRPr="00BA47B4" w:rsidRDefault="008C5CFA" w:rsidP="00300A01">
            <w:pPr>
              <w:spacing w:before="0" w:after="0"/>
              <w:jc w:val="right"/>
              <w:rPr>
                <w:sz w:val="12"/>
                <w:szCs w:val="12"/>
                <w:lang w:val="fr-BE"/>
              </w:rPr>
            </w:pPr>
          </w:p>
        </w:tc>
        <w:tc>
          <w:tcPr>
            <w:tcW w:w="0" w:type="auto"/>
            <w:shd w:val="clear" w:color="auto" w:fill="auto"/>
          </w:tcPr>
          <w:p w14:paraId="465FCADC" w14:textId="77777777" w:rsidR="008C5CFA" w:rsidRPr="00BA47B4" w:rsidRDefault="008C5CFA" w:rsidP="00300A01">
            <w:pPr>
              <w:spacing w:before="0" w:after="0"/>
              <w:jc w:val="right"/>
              <w:rPr>
                <w:sz w:val="12"/>
                <w:szCs w:val="12"/>
                <w:lang w:val="fr-BE"/>
              </w:rPr>
            </w:pPr>
          </w:p>
        </w:tc>
        <w:tc>
          <w:tcPr>
            <w:tcW w:w="0" w:type="auto"/>
          </w:tcPr>
          <w:p w14:paraId="63F62A3E" w14:textId="77777777" w:rsidR="008C5CFA" w:rsidRPr="00A92B39" w:rsidRDefault="00E82A60" w:rsidP="00300A01">
            <w:pPr>
              <w:spacing w:before="0" w:after="0"/>
              <w:jc w:val="right"/>
              <w:rPr>
                <w:sz w:val="10"/>
                <w:szCs w:val="10"/>
                <w:lang w:val="fr-BE"/>
              </w:rPr>
            </w:pPr>
            <w:r w:rsidRPr="00A92B39">
              <w:rPr>
                <w:noProof/>
                <w:sz w:val="10"/>
                <w:szCs w:val="10"/>
                <w:lang w:val="fr-BE"/>
              </w:rPr>
              <w:t>225,00</w:t>
            </w:r>
          </w:p>
        </w:tc>
        <w:tc>
          <w:tcPr>
            <w:tcW w:w="0" w:type="auto"/>
            <w:shd w:val="clear" w:color="auto" w:fill="auto"/>
          </w:tcPr>
          <w:p w14:paraId="75BF81EF" w14:textId="77777777" w:rsidR="008C5CFA" w:rsidRPr="00A92B39" w:rsidRDefault="00E82A60" w:rsidP="00300A01">
            <w:pPr>
              <w:spacing w:before="0" w:after="0"/>
              <w:jc w:val="right"/>
              <w:rPr>
                <w:sz w:val="10"/>
                <w:szCs w:val="10"/>
                <w:lang w:val="fr-BE"/>
              </w:rPr>
            </w:pPr>
            <w:r w:rsidRPr="00A92B39">
              <w:rPr>
                <w:noProof/>
                <w:sz w:val="10"/>
                <w:szCs w:val="10"/>
                <w:lang w:val="fr-BE"/>
              </w:rPr>
              <w:t>77,00</w:t>
            </w:r>
          </w:p>
        </w:tc>
        <w:tc>
          <w:tcPr>
            <w:tcW w:w="0" w:type="auto"/>
            <w:shd w:val="clear" w:color="auto" w:fill="auto"/>
          </w:tcPr>
          <w:p w14:paraId="4EE89FDD" w14:textId="77777777" w:rsidR="008C5CFA" w:rsidRPr="00BA47B4" w:rsidRDefault="00E82A60" w:rsidP="00300A01">
            <w:pPr>
              <w:spacing w:before="0" w:after="0"/>
              <w:jc w:val="right"/>
              <w:rPr>
                <w:sz w:val="12"/>
                <w:szCs w:val="12"/>
                <w:lang w:val="fr-BE"/>
              </w:rPr>
            </w:pPr>
            <w:r w:rsidRPr="00A92B39">
              <w:rPr>
                <w:noProof/>
                <w:sz w:val="10"/>
                <w:szCs w:val="10"/>
                <w:lang w:val="fr-BE"/>
              </w:rPr>
              <w:t>148,00</w:t>
            </w:r>
          </w:p>
        </w:tc>
      </w:tr>
      <w:tr w:rsidR="006B2EC1" w14:paraId="2B09BAA4" w14:textId="77777777" w:rsidTr="0047688D">
        <w:tc>
          <w:tcPr>
            <w:tcW w:w="0" w:type="auto"/>
            <w:shd w:val="clear" w:color="auto" w:fill="auto"/>
          </w:tcPr>
          <w:p w14:paraId="2342EDC7" w14:textId="77777777" w:rsidR="008C5CFA" w:rsidRPr="00BA47B4" w:rsidRDefault="00E82A60" w:rsidP="00300A01">
            <w:pPr>
              <w:spacing w:before="0" w:after="0"/>
              <w:rPr>
                <w:sz w:val="12"/>
                <w:szCs w:val="12"/>
                <w:lang w:val="fr-BE"/>
              </w:rPr>
            </w:pPr>
            <w:r>
              <w:rPr>
                <w:noProof/>
                <w:sz w:val="12"/>
                <w:szCs w:val="12"/>
                <w:lang w:val="fr-BE"/>
              </w:rPr>
              <w:t>CO09</w:t>
            </w:r>
          </w:p>
        </w:tc>
        <w:tc>
          <w:tcPr>
            <w:tcW w:w="0" w:type="auto"/>
            <w:shd w:val="clear" w:color="auto" w:fill="auto"/>
          </w:tcPr>
          <w:p w14:paraId="59A8B732" w14:textId="77777777" w:rsidR="008C5CFA" w:rsidRPr="00BA47B4" w:rsidRDefault="00E82A60" w:rsidP="00300A01">
            <w:pPr>
              <w:spacing w:before="0" w:after="0"/>
              <w:rPr>
                <w:sz w:val="12"/>
                <w:szCs w:val="12"/>
                <w:lang w:val="fr-BE"/>
              </w:rPr>
            </w:pPr>
            <w:r>
              <w:rPr>
                <w:noProof/>
                <w:sz w:val="12"/>
                <w:szCs w:val="12"/>
                <w:lang w:val="fr-BE"/>
              </w:rPr>
              <w:t>osoby z wykształceniem podstawowym (ISCED 1) lub średnim I stopnia (ISCED 2)</w:t>
            </w:r>
          </w:p>
        </w:tc>
        <w:tc>
          <w:tcPr>
            <w:tcW w:w="0" w:type="auto"/>
            <w:shd w:val="clear" w:color="auto" w:fill="auto"/>
          </w:tcPr>
          <w:p w14:paraId="3888D314" w14:textId="77777777" w:rsidR="008C5CFA" w:rsidRPr="00BA47B4" w:rsidRDefault="00E82A60"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14:paraId="74167EE7" w14:textId="77777777" w:rsidR="008C5CFA" w:rsidRPr="00BA47B4" w:rsidRDefault="008C5CFA" w:rsidP="00300A01">
            <w:pPr>
              <w:spacing w:before="0" w:after="0"/>
              <w:jc w:val="right"/>
              <w:rPr>
                <w:sz w:val="12"/>
                <w:szCs w:val="12"/>
                <w:lang w:val="fr-BE"/>
              </w:rPr>
            </w:pPr>
          </w:p>
        </w:tc>
        <w:tc>
          <w:tcPr>
            <w:tcW w:w="0" w:type="auto"/>
            <w:shd w:val="clear" w:color="auto" w:fill="auto"/>
          </w:tcPr>
          <w:p w14:paraId="1E0F5F8D" w14:textId="77777777" w:rsidR="008C5CFA" w:rsidRPr="00BA47B4" w:rsidRDefault="008C5CFA" w:rsidP="00300A01">
            <w:pPr>
              <w:spacing w:before="0" w:after="0"/>
              <w:jc w:val="right"/>
              <w:rPr>
                <w:sz w:val="12"/>
                <w:szCs w:val="12"/>
                <w:lang w:val="fr-BE"/>
              </w:rPr>
            </w:pPr>
          </w:p>
        </w:tc>
        <w:tc>
          <w:tcPr>
            <w:tcW w:w="0" w:type="auto"/>
            <w:shd w:val="clear" w:color="auto" w:fill="auto"/>
          </w:tcPr>
          <w:p w14:paraId="4ED172F9" w14:textId="77777777" w:rsidR="008C5CFA" w:rsidRPr="00BA47B4" w:rsidRDefault="008C5CFA" w:rsidP="00300A01">
            <w:pPr>
              <w:spacing w:before="0" w:after="0"/>
              <w:jc w:val="right"/>
              <w:rPr>
                <w:sz w:val="12"/>
                <w:szCs w:val="12"/>
                <w:lang w:val="fr-BE"/>
              </w:rPr>
            </w:pPr>
          </w:p>
        </w:tc>
        <w:tc>
          <w:tcPr>
            <w:tcW w:w="0" w:type="auto"/>
            <w:shd w:val="clear" w:color="auto" w:fill="auto"/>
          </w:tcPr>
          <w:p w14:paraId="543490A0" w14:textId="77777777" w:rsidR="008C5CFA" w:rsidRPr="00BA47B4" w:rsidRDefault="00E82A60" w:rsidP="00300A01">
            <w:pPr>
              <w:spacing w:before="0" w:after="0"/>
              <w:jc w:val="right"/>
              <w:rPr>
                <w:sz w:val="12"/>
                <w:szCs w:val="12"/>
                <w:lang w:val="fr-BE"/>
              </w:rPr>
            </w:pPr>
            <w:r w:rsidRPr="00BA47B4">
              <w:rPr>
                <w:noProof/>
                <w:sz w:val="12"/>
                <w:szCs w:val="12"/>
                <w:lang w:val="fr-BE"/>
              </w:rPr>
              <w:t>7 753,00</w:t>
            </w:r>
          </w:p>
        </w:tc>
        <w:tc>
          <w:tcPr>
            <w:tcW w:w="0" w:type="auto"/>
            <w:shd w:val="clear" w:color="auto" w:fill="auto"/>
          </w:tcPr>
          <w:p w14:paraId="7F9D1F9D" w14:textId="77777777" w:rsidR="008C5CFA" w:rsidRPr="00BA47B4" w:rsidRDefault="00E82A60" w:rsidP="00300A01">
            <w:pPr>
              <w:spacing w:before="0" w:after="0"/>
              <w:jc w:val="right"/>
              <w:rPr>
                <w:sz w:val="12"/>
                <w:szCs w:val="12"/>
                <w:lang w:val="fr-BE"/>
              </w:rPr>
            </w:pPr>
            <w:r w:rsidRPr="00BA47B4">
              <w:rPr>
                <w:noProof/>
                <w:sz w:val="12"/>
                <w:szCs w:val="12"/>
                <w:lang w:val="fr-BE"/>
              </w:rPr>
              <w:t>3 312,00</w:t>
            </w:r>
          </w:p>
        </w:tc>
        <w:tc>
          <w:tcPr>
            <w:tcW w:w="0" w:type="auto"/>
            <w:shd w:val="clear" w:color="auto" w:fill="auto"/>
          </w:tcPr>
          <w:p w14:paraId="49D2D3E7" w14:textId="77777777" w:rsidR="008C5CFA" w:rsidRPr="00BA47B4" w:rsidRDefault="00E82A60" w:rsidP="00300A01">
            <w:pPr>
              <w:spacing w:before="0" w:after="0"/>
              <w:jc w:val="right"/>
              <w:rPr>
                <w:sz w:val="12"/>
                <w:szCs w:val="12"/>
                <w:lang w:val="fr-BE"/>
              </w:rPr>
            </w:pPr>
            <w:r w:rsidRPr="00BA47B4">
              <w:rPr>
                <w:noProof/>
                <w:sz w:val="12"/>
                <w:szCs w:val="12"/>
                <w:lang w:val="fr-BE"/>
              </w:rPr>
              <w:t>4 441,00</w:t>
            </w:r>
          </w:p>
        </w:tc>
        <w:tc>
          <w:tcPr>
            <w:tcW w:w="0" w:type="auto"/>
            <w:shd w:val="clear" w:color="auto" w:fill="auto"/>
          </w:tcPr>
          <w:p w14:paraId="38182726" w14:textId="77777777" w:rsidR="008C5CFA" w:rsidRPr="00BA47B4" w:rsidRDefault="008C5CFA" w:rsidP="00300A01">
            <w:pPr>
              <w:spacing w:before="0" w:after="0"/>
              <w:jc w:val="right"/>
              <w:rPr>
                <w:sz w:val="12"/>
                <w:szCs w:val="12"/>
                <w:lang w:val="fr-BE"/>
              </w:rPr>
            </w:pPr>
          </w:p>
        </w:tc>
        <w:tc>
          <w:tcPr>
            <w:tcW w:w="0" w:type="auto"/>
            <w:shd w:val="clear" w:color="auto" w:fill="auto"/>
          </w:tcPr>
          <w:p w14:paraId="11A2BBAB" w14:textId="77777777" w:rsidR="008C5CFA" w:rsidRPr="00BA47B4" w:rsidRDefault="008C5CFA" w:rsidP="00300A01">
            <w:pPr>
              <w:spacing w:before="0" w:after="0"/>
              <w:jc w:val="right"/>
              <w:rPr>
                <w:sz w:val="12"/>
                <w:szCs w:val="12"/>
                <w:lang w:val="fr-BE"/>
              </w:rPr>
            </w:pPr>
          </w:p>
        </w:tc>
        <w:tc>
          <w:tcPr>
            <w:tcW w:w="0" w:type="auto"/>
            <w:shd w:val="clear" w:color="auto" w:fill="auto"/>
          </w:tcPr>
          <w:p w14:paraId="2B0640F3" w14:textId="77777777" w:rsidR="008C5CFA" w:rsidRPr="00BA47B4" w:rsidRDefault="008C5CFA" w:rsidP="00300A01">
            <w:pPr>
              <w:spacing w:before="0" w:after="0"/>
              <w:jc w:val="right"/>
              <w:rPr>
                <w:sz w:val="12"/>
                <w:szCs w:val="12"/>
                <w:lang w:val="fr-BE"/>
              </w:rPr>
            </w:pPr>
          </w:p>
        </w:tc>
        <w:tc>
          <w:tcPr>
            <w:tcW w:w="0" w:type="auto"/>
          </w:tcPr>
          <w:p w14:paraId="29F67C1A" w14:textId="77777777" w:rsidR="008C5CFA" w:rsidRPr="00A92B39" w:rsidRDefault="00E82A60" w:rsidP="00300A01">
            <w:pPr>
              <w:spacing w:before="0" w:after="0"/>
              <w:jc w:val="right"/>
              <w:rPr>
                <w:sz w:val="10"/>
                <w:szCs w:val="10"/>
                <w:lang w:val="fr-BE"/>
              </w:rPr>
            </w:pPr>
            <w:r w:rsidRPr="00A92B39">
              <w:rPr>
                <w:noProof/>
                <w:sz w:val="10"/>
                <w:szCs w:val="10"/>
                <w:lang w:val="fr-BE"/>
              </w:rPr>
              <w:t>1 843,00</w:t>
            </w:r>
          </w:p>
        </w:tc>
        <w:tc>
          <w:tcPr>
            <w:tcW w:w="0" w:type="auto"/>
            <w:shd w:val="clear" w:color="auto" w:fill="auto"/>
          </w:tcPr>
          <w:p w14:paraId="7003B268" w14:textId="77777777" w:rsidR="008C5CFA" w:rsidRPr="00A92B39" w:rsidRDefault="00E82A60" w:rsidP="00300A01">
            <w:pPr>
              <w:spacing w:before="0" w:after="0"/>
              <w:jc w:val="right"/>
              <w:rPr>
                <w:sz w:val="10"/>
                <w:szCs w:val="10"/>
                <w:lang w:val="fr-BE"/>
              </w:rPr>
            </w:pPr>
            <w:r w:rsidRPr="00A92B39">
              <w:rPr>
                <w:noProof/>
                <w:sz w:val="10"/>
                <w:szCs w:val="10"/>
                <w:lang w:val="fr-BE"/>
              </w:rPr>
              <w:t>800,00</w:t>
            </w:r>
          </w:p>
        </w:tc>
        <w:tc>
          <w:tcPr>
            <w:tcW w:w="0" w:type="auto"/>
            <w:shd w:val="clear" w:color="auto" w:fill="auto"/>
          </w:tcPr>
          <w:p w14:paraId="58E02C20" w14:textId="77777777" w:rsidR="008C5CFA" w:rsidRPr="00BA47B4" w:rsidRDefault="00E82A60" w:rsidP="00300A01">
            <w:pPr>
              <w:spacing w:before="0" w:after="0"/>
              <w:jc w:val="right"/>
              <w:rPr>
                <w:sz w:val="12"/>
                <w:szCs w:val="12"/>
                <w:lang w:val="fr-BE"/>
              </w:rPr>
            </w:pPr>
            <w:r w:rsidRPr="00A92B39">
              <w:rPr>
                <w:noProof/>
                <w:sz w:val="10"/>
                <w:szCs w:val="10"/>
                <w:lang w:val="fr-BE"/>
              </w:rPr>
              <w:t>1 043,00</w:t>
            </w:r>
          </w:p>
        </w:tc>
      </w:tr>
      <w:tr w:rsidR="006B2EC1" w14:paraId="2F994955" w14:textId="77777777" w:rsidTr="0047688D">
        <w:tc>
          <w:tcPr>
            <w:tcW w:w="0" w:type="auto"/>
            <w:shd w:val="clear" w:color="auto" w:fill="auto"/>
          </w:tcPr>
          <w:p w14:paraId="2F49F873" w14:textId="77777777" w:rsidR="008C5CFA" w:rsidRPr="00BA47B4" w:rsidRDefault="00E82A60" w:rsidP="00300A01">
            <w:pPr>
              <w:spacing w:before="0" w:after="0"/>
              <w:rPr>
                <w:sz w:val="12"/>
                <w:szCs w:val="12"/>
                <w:lang w:val="fr-BE"/>
              </w:rPr>
            </w:pPr>
            <w:r>
              <w:rPr>
                <w:noProof/>
                <w:sz w:val="12"/>
                <w:szCs w:val="12"/>
                <w:lang w:val="fr-BE"/>
              </w:rPr>
              <w:t>CO10</w:t>
            </w:r>
          </w:p>
        </w:tc>
        <w:tc>
          <w:tcPr>
            <w:tcW w:w="0" w:type="auto"/>
            <w:shd w:val="clear" w:color="auto" w:fill="auto"/>
          </w:tcPr>
          <w:p w14:paraId="43CD2992" w14:textId="77777777" w:rsidR="008C5CFA" w:rsidRPr="00BA47B4" w:rsidRDefault="00E82A60" w:rsidP="00300A01">
            <w:pPr>
              <w:spacing w:before="0" w:after="0"/>
              <w:rPr>
                <w:sz w:val="12"/>
                <w:szCs w:val="12"/>
                <w:lang w:val="fr-BE"/>
              </w:rPr>
            </w:pPr>
            <w:r>
              <w:rPr>
                <w:noProof/>
                <w:sz w:val="12"/>
                <w:szCs w:val="12"/>
                <w:lang w:val="fr-BE"/>
              </w:rPr>
              <w:t>osoby z wykształceniem średnim II stopnia (ISCED 3) lub policealnym (ISCED 4)</w:t>
            </w:r>
          </w:p>
        </w:tc>
        <w:tc>
          <w:tcPr>
            <w:tcW w:w="0" w:type="auto"/>
            <w:shd w:val="clear" w:color="auto" w:fill="auto"/>
          </w:tcPr>
          <w:p w14:paraId="30C09F0E" w14:textId="77777777" w:rsidR="008C5CFA" w:rsidRPr="00BA47B4" w:rsidRDefault="00E82A60"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14:paraId="68A2ADD5" w14:textId="77777777" w:rsidR="008C5CFA" w:rsidRPr="00BA47B4" w:rsidRDefault="008C5CFA" w:rsidP="00300A01">
            <w:pPr>
              <w:spacing w:before="0" w:after="0"/>
              <w:jc w:val="right"/>
              <w:rPr>
                <w:sz w:val="12"/>
                <w:szCs w:val="12"/>
                <w:lang w:val="fr-BE"/>
              </w:rPr>
            </w:pPr>
          </w:p>
        </w:tc>
        <w:tc>
          <w:tcPr>
            <w:tcW w:w="0" w:type="auto"/>
            <w:shd w:val="clear" w:color="auto" w:fill="auto"/>
          </w:tcPr>
          <w:p w14:paraId="43F3A4BD" w14:textId="77777777" w:rsidR="008C5CFA" w:rsidRPr="00BA47B4" w:rsidRDefault="008C5CFA" w:rsidP="00300A01">
            <w:pPr>
              <w:spacing w:before="0" w:after="0"/>
              <w:jc w:val="right"/>
              <w:rPr>
                <w:sz w:val="12"/>
                <w:szCs w:val="12"/>
                <w:lang w:val="fr-BE"/>
              </w:rPr>
            </w:pPr>
          </w:p>
        </w:tc>
        <w:tc>
          <w:tcPr>
            <w:tcW w:w="0" w:type="auto"/>
            <w:shd w:val="clear" w:color="auto" w:fill="auto"/>
          </w:tcPr>
          <w:p w14:paraId="7503B0C3" w14:textId="77777777" w:rsidR="008C5CFA" w:rsidRPr="00BA47B4" w:rsidRDefault="008C5CFA" w:rsidP="00300A01">
            <w:pPr>
              <w:spacing w:before="0" w:after="0"/>
              <w:jc w:val="right"/>
              <w:rPr>
                <w:sz w:val="12"/>
                <w:szCs w:val="12"/>
                <w:lang w:val="fr-BE"/>
              </w:rPr>
            </w:pPr>
          </w:p>
        </w:tc>
        <w:tc>
          <w:tcPr>
            <w:tcW w:w="0" w:type="auto"/>
            <w:shd w:val="clear" w:color="auto" w:fill="auto"/>
          </w:tcPr>
          <w:p w14:paraId="29A11B55" w14:textId="77777777" w:rsidR="008C5CFA" w:rsidRPr="00BA47B4" w:rsidRDefault="00E82A60" w:rsidP="00300A01">
            <w:pPr>
              <w:spacing w:before="0" w:after="0"/>
              <w:jc w:val="right"/>
              <w:rPr>
                <w:sz w:val="12"/>
                <w:szCs w:val="12"/>
                <w:lang w:val="fr-BE"/>
              </w:rPr>
            </w:pPr>
            <w:r w:rsidRPr="00BA47B4">
              <w:rPr>
                <w:noProof/>
                <w:sz w:val="12"/>
                <w:szCs w:val="12"/>
                <w:lang w:val="fr-BE"/>
              </w:rPr>
              <w:t>4 102,00</w:t>
            </w:r>
          </w:p>
        </w:tc>
        <w:tc>
          <w:tcPr>
            <w:tcW w:w="0" w:type="auto"/>
            <w:shd w:val="clear" w:color="auto" w:fill="auto"/>
          </w:tcPr>
          <w:p w14:paraId="24A25456" w14:textId="77777777" w:rsidR="008C5CFA" w:rsidRPr="00BA47B4" w:rsidRDefault="00E82A60" w:rsidP="00300A01">
            <w:pPr>
              <w:spacing w:before="0" w:after="0"/>
              <w:jc w:val="right"/>
              <w:rPr>
                <w:sz w:val="12"/>
                <w:szCs w:val="12"/>
                <w:lang w:val="fr-BE"/>
              </w:rPr>
            </w:pPr>
            <w:r w:rsidRPr="00BA47B4">
              <w:rPr>
                <w:noProof/>
                <w:sz w:val="12"/>
                <w:szCs w:val="12"/>
                <w:lang w:val="fr-BE"/>
              </w:rPr>
              <w:t>1 493,00</w:t>
            </w:r>
          </w:p>
        </w:tc>
        <w:tc>
          <w:tcPr>
            <w:tcW w:w="0" w:type="auto"/>
            <w:shd w:val="clear" w:color="auto" w:fill="auto"/>
          </w:tcPr>
          <w:p w14:paraId="028A3386" w14:textId="77777777" w:rsidR="008C5CFA" w:rsidRPr="00BA47B4" w:rsidRDefault="00E82A60" w:rsidP="00300A01">
            <w:pPr>
              <w:spacing w:before="0" w:after="0"/>
              <w:jc w:val="right"/>
              <w:rPr>
                <w:sz w:val="12"/>
                <w:szCs w:val="12"/>
                <w:lang w:val="fr-BE"/>
              </w:rPr>
            </w:pPr>
            <w:r w:rsidRPr="00BA47B4">
              <w:rPr>
                <w:noProof/>
                <w:sz w:val="12"/>
                <w:szCs w:val="12"/>
                <w:lang w:val="fr-BE"/>
              </w:rPr>
              <w:t>2 609,00</w:t>
            </w:r>
          </w:p>
        </w:tc>
        <w:tc>
          <w:tcPr>
            <w:tcW w:w="0" w:type="auto"/>
            <w:shd w:val="clear" w:color="auto" w:fill="auto"/>
          </w:tcPr>
          <w:p w14:paraId="0AE74BB6" w14:textId="77777777" w:rsidR="008C5CFA" w:rsidRPr="00BA47B4" w:rsidRDefault="008C5CFA" w:rsidP="00300A01">
            <w:pPr>
              <w:spacing w:before="0" w:after="0"/>
              <w:jc w:val="right"/>
              <w:rPr>
                <w:sz w:val="12"/>
                <w:szCs w:val="12"/>
                <w:lang w:val="fr-BE"/>
              </w:rPr>
            </w:pPr>
          </w:p>
        </w:tc>
        <w:tc>
          <w:tcPr>
            <w:tcW w:w="0" w:type="auto"/>
            <w:shd w:val="clear" w:color="auto" w:fill="auto"/>
          </w:tcPr>
          <w:p w14:paraId="66504927" w14:textId="77777777" w:rsidR="008C5CFA" w:rsidRPr="00BA47B4" w:rsidRDefault="008C5CFA" w:rsidP="00300A01">
            <w:pPr>
              <w:spacing w:before="0" w:after="0"/>
              <w:jc w:val="right"/>
              <w:rPr>
                <w:sz w:val="12"/>
                <w:szCs w:val="12"/>
                <w:lang w:val="fr-BE"/>
              </w:rPr>
            </w:pPr>
          </w:p>
        </w:tc>
        <w:tc>
          <w:tcPr>
            <w:tcW w:w="0" w:type="auto"/>
            <w:shd w:val="clear" w:color="auto" w:fill="auto"/>
          </w:tcPr>
          <w:p w14:paraId="31134B4E" w14:textId="77777777" w:rsidR="008C5CFA" w:rsidRPr="00BA47B4" w:rsidRDefault="008C5CFA" w:rsidP="00300A01">
            <w:pPr>
              <w:spacing w:before="0" w:after="0"/>
              <w:jc w:val="right"/>
              <w:rPr>
                <w:sz w:val="12"/>
                <w:szCs w:val="12"/>
                <w:lang w:val="fr-BE"/>
              </w:rPr>
            </w:pPr>
          </w:p>
        </w:tc>
        <w:tc>
          <w:tcPr>
            <w:tcW w:w="0" w:type="auto"/>
          </w:tcPr>
          <w:p w14:paraId="4C3CBA57" w14:textId="77777777" w:rsidR="008C5CFA" w:rsidRPr="00A92B39" w:rsidRDefault="00E82A60" w:rsidP="00300A01">
            <w:pPr>
              <w:spacing w:before="0" w:after="0"/>
              <w:jc w:val="right"/>
              <w:rPr>
                <w:sz w:val="10"/>
                <w:szCs w:val="10"/>
                <w:lang w:val="fr-BE"/>
              </w:rPr>
            </w:pPr>
            <w:r w:rsidRPr="00A92B39">
              <w:rPr>
                <w:noProof/>
                <w:sz w:val="10"/>
                <w:szCs w:val="10"/>
                <w:lang w:val="fr-BE"/>
              </w:rPr>
              <w:t>1 024,00</w:t>
            </w:r>
          </w:p>
        </w:tc>
        <w:tc>
          <w:tcPr>
            <w:tcW w:w="0" w:type="auto"/>
            <w:shd w:val="clear" w:color="auto" w:fill="auto"/>
          </w:tcPr>
          <w:p w14:paraId="50C56EA0" w14:textId="77777777" w:rsidR="008C5CFA" w:rsidRPr="00A92B39" w:rsidRDefault="00E82A60" w:rsidP="00300A01">
            <w:pPr>
              <w:spacing w:before="0" w:after="0"/>
              <w:jc w:val="right"/>
              <w:rPr>
                <w:sz w:val="10"/>
                <w:szCs w:val="10"/>
                <w:lang w:val="fr-BE"/>
              </w:rPr>
            </w:pPr>
            <w:r w:rsidRPr="00A92B39">
              <w:rPr>
                <w:noProof/>
                <w:sz w:val="10"/>
                <w:szCs w:val="10"/>
                <w:lang w:val="fr-BE"/>
              </w:rPr>
              <w:t>394,00</w:t>
            </w:r>
          </w:p>
        </w:tc>
        <w:tc>
          <w:tcPr>
            <w:tcW w:w="0" w:type="auto"/>
            <w:shd w:val="clear" w:color="auto" w:fill="auto"/>
          </w:tcPr>
          <w:p w14:paraId="4131D3DB" w14:textId="77777777" w:rsidR="008C5CFA" w:rsidRPr="00BA47B4" w:rsidRDefault="00E82A60" w:rsidP="00300A01">
            <w:pPr>
              <w:spacing w:before="0" w:after="0"/>
              <w:jc w:val="right"/>
              <w:rPr>
                <w:sz w:val="12"/>
                <w:szCs w:val="12"/>
                <w:lang w:val="fr-BE"/>
              </w:rPr>
            </w:pPr>
            <w:r w:rsidRPr="00A92B39">
              <w:rPr>
                <w:noProof/>
                <w:sz w:val="10"/>
                <w:szCs w:val="10"/>
                <w:lang w:val="fr-BE"/>
              </w:rPr>
              <w:t>630,00</w:t>
            </w:r>
          </w:p>
        </w:tc>
      </w:tr>
      <w:tr w:rsidR="006B2EC1" w14:paraId="4E82C0AC" w14:textId="77777777" w:rsidTr="0047688D">
        <w:tc>
          <w:tcPr>
            <w:tcW w:w="0" w:type="auto"/>
            <w:shd w:val="clear" w:color="auto" w:fill="auto"/>
          </w:tcPr>
          <w:p w14:paraId="269F1460" w14:textId="77777777" w:rsidR="008C5CFA" w:rsidRPr="00BA47B4" w:rsidRDefault="00E82A60" w:rsidP="00300A01">
            <w:pPr>
              <w:spacing w:before="0" w:after="0"/>
              <w:rPr>
                <w:sz w:val="12"/>
                <w:szCs w:val="12"/>
                <w:lang w:val="fr-BE"/>
              </w:rPr>
            </w:pPr>
            <w:r>
              <w:rPr>
                <w:noProof/>
                <w:sz w:val="12"/>
                <w:szCs w:val="12"/>
                <w:lang w:val="fr-BE"/>
              </w:rPr>
              <w:t>CO11</w:t>
            </w:r>
          </w:p>
        </w:tc>
        <w:tc>
          <w:tcPr>
            <w:tcW w:w="0" w:type="auto"/>
            <w:shd w:val="clear" w:color="auto" w:fill="auto"/>
          </w:tcPr>
          <w:p w14:paraId="3FDD8031" w14:textId="77777777" w:rsidR="008C5CFA" w:rsidRPr="00BA47B4" w:rsidRDefault="00E82A60" w:rsidP="00300A01">
            <w:pPr>
              <w:spacing w:before="0" w:after="0"/>
              <w:rPr>
                <w:sz w:val="12"/>
                <w:szCs w:val="12"/>
                <w:lang w:val="fr-BE"/>
              </w:rPr>
            </w:pPr>
            <w:r>
              <w:rPr>
                <w:noProof/>
                <w:sz w:val="12"/>
                <w:szCs w:val="12"/>
                <w:lang w:val="fr-BE"/>
              </w:rPr>
              <w:t>osoby z wykształceniem wyższym (ISCED 5 do 8)</w:t>
            </w:r>
          </w:p>
        </w:tc>
        <w:tc>
          <w:tcPr>
            <w:tcW w:w="0" w:type="auto"/>
            <w:shd w:val="clear" w:color="auto" w:fill="auto"/>
          </w:tcPr>
          <w:p w14:paraId="2F8B9F0F" w14:textId="77777777" w:rsidR="008C5CFA" w:rsidRPr="00BA47B4" w:rsidRDefault="00E82A60"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14:paraId="1A61D253" w14:textId="77777777" w:rsidR="008C5CFA" w:rsidRPr="00BA47B4" w:rsidRDefault="008C5CFA" w:rsidP="00300A01">
            <w:pPr>
              <w:spacing w:before="0" w:after="0"/>
              <w:jc w:val="right"/>
              <w:rPr>
                <w:sz w:val="12"/>
                <w:szCs w:val="12"/>
                <w:lang w:val="fr-BE"/>
              </w:rPr>
            </w:pPr>
          </w:p>
        </w:tc>
        <w:tc>
          <w:tcPr>
            <w:tcW w:w="0" w:type="auto"/>
            <w:shd w:val="clear" w:color="auto" w:fill="auto"/>
          </w:tcPr>
          <w:p w14:paraId="35CE85C2" w14:textId="77777777" w:rsidR="008C5CFA" w:rsidRPr="00BA47B4" w:rsidRDefault="008C5CFA" w:rsidP="00300A01">
            <w:pPr>
              <w:spacing w:before="0" w:after="0"/>
              <w:jc w:val="right"/>
              <w:rPr>
                <w:sz w:val="12"/>
                <w:szCs w:val="12"/>
                <w:lang w:val="fr-BE"/>
              </w:rPr>
            </w:pPr>
          </w:p>
        </w:tc>
        <w:tc>
          <w:tcPr>
            <w:tcW w:w="0" w:type="auto"/>
            <w:shd w:val="clear" w:color="auto" w:fill="auto"/>
          </w:tcPr>
          <w:p w14:paraId="4EEE2184" w14:textId="77777777" w:rsidR="008C5CFA" w:rsidRPr="00BA47B4" w:rsidRDefault="008C5CFA" w:rsidP="00300A01">
            <w:pPr>
              <w:spacing w:before="0" w:after="0"/>
              <w:jc w:val="right"/>
              <w:rPr>
                <w:sz w:val="12"/>
                <w:szCs w:val="12"/>
                <w:lang w:val="fr-BE"/>
              </w:rPr>
            </w:pPr>
          </w:p>
        </w:tc>
        <w:tc>
          <w:tcPr>
            <w:tcW w:w="0" w:type="auto"/>
            <w:shd w:val="clear" w:color="auto" w:fill="auto"/>
          </w:tcPr>
          <w:p w14:paraId="2088AE14" w14:textId="77777777" w:rsidR="008C5CFA" w:rsidRPr="00BA47B4" w:rsidRDefault="00E82A60" w:rsidP="00300A01">
            <w:pPr>
              <w:spacing w:before="0" w:after="0"/>
              <w:jc w:val="right"/>
              <w:rPr>
                <w:sz w:val="12"/>
                <w:szCs w:val="12"/>
                <w:lang w:val="fr-BE"/>
              </w:rPr>
            </w:pPr>
            <w:r w:rsidRPr="00BA47B4">
              <w:rPr>
                <w:noProof/>
                <w:sz w:val="12"/>
                <w:szCs w:val="12"/>
                <w:lang w:val="fr-BE"/>
              </w:rPr>
              <w:t>1 032,00</w:t>
            </w:r>
          </w:p>
        </w:tc>
        <w:tc>
          <w:tcPr>
            <w:tcW w:w="0" w:type="auto"/>
            <w:shd w:val="clear" w:color="auto" w:fill="auto"/>
          </w:tcPr>
          <w:p w14:paraId="368B0909" w14:textId="77777777" w:rsidR="008C5CFA" w:rsidRPr="00BA47B4" w:rsidRDefault="00E82A60" w:rsidP="00300A01">
            <w:pPr>
              <w:spacing w:before="0" w:after="0"/>
              <w:jc w:val="right"/>
              <w:rPr>
                <w:sz w:val="12"/>
                <w:szCs w:val="12"/>
                <w:lang w:val="fr-BE"/>
              </w:rPr>
            </w:pPr>
            <w:r w:rsidRPr="00BA47B4">
              <w:rPr>
                <w:noProof/>
                <w:sz w:val="12"/>
                <w:szCs w:val="12"/>
                <w:lang w:val="fr-BE"/>
              </w:rPr>
              <w:t>226,00</w:t>
            </w:r>
          </w:p>
        </w:tc>
        <w:tc>
          <w:tcPr>
            <w:tcW w:w="0" w:type="auto"/>
            <w:shd w:val="clear" w:color="auto" w:fill="auto"/>
          </w:tcPr>
          <w:p w14:paraId="0EE67AF6" w14:textId="77777777" w:rsidR="008C5CFA" w:rsidRPr="00BA47B4" w:rsidRDefault="00E82A60" w:rsidP="00300A01">
            <w:pPr>
              <w:spacing w:before="0" w:after="0"/>
              <w:jc w:val="right"/>
              <w:rPr>
                <w:sz w:val="12"/>
                <w:szCs w:val="12"/>
                <w:lang w:val="fr-BE"/>
              </w:rPr>
            </w:pPr>
            <w:r w:rsidRPr="00BA47B4">
              <w:rPr>
                <w:noProof/>
                <w:sz w:val="12"/>
                <w:szCs w:val="12"/>
                <w:lang w:val="fr-BE"/>
              </w:rPr>
              <w:t>806,00</w:t>
            </w:r>
          </w:p>
        </w:tc>
        <w:tc>
          <w:tcPr>
            <w:tcW w:w="0" w:type="auto"/>
            <w:shd w:val="clear" w:color="auto" w:fill="auto"/>
          </w:tcPr>
          <w:p w14:paraId="3B07D6EE" w14:textId="77777777" w:rsidR="008C5CFA" w:rsidRPr="00BA47B4" w:rsidRDefault="008C5CFA" w:rsidP="00300A01">
            <w:pPr>
              <w:spacing w:before="0" w:after="0"/>
              <w:jc w:val="right"/>
              <w:rPr>
                <w:sz w:val="12"/>
                <w:szCs w:val="12"/>
                <w:lang w:val="fr-BE"/>
              </w:rPr>
            </w:pPr>
          </w:p>
        </w:tc>
        <w:tc>
          <w:tcPr>
            <w:tcW w:w="0" w:type="auto"/>
            <w:shd w:val="clear" w:color="auto" w:fill="auto"/>
          </w:tcPr>
          <w:p w14:paraId="36CD3EB4" w14:textId="77777777" w:rsidR="008C5CFA" w:rsidRPr="00BA47B4" w:rsidRDefault="008C5CFA" w:rsidP="00300A01">
            <w:pPr>
              <w:spacing w:before="0" w:after="0"/>
              <w:jc w:val="right"/>
              <w:rPr>
                <w:sz w:val="12"/>
                <w:szCs w:val="12"/>
                <w:lang w:val="fr-BE"/>
              </w:rPr>
            </w:pPr>
          </w:p>
        </w:tc>
        <w:tc>
          <w:tcPr>
            <w:tcW w:w="0" w:type="auto"/>
            <w:shd w:val="clear" w:color="auto" w:fill="auto"/>
          </w:tcPr>
          <w:p w14:paraId="7AEB5BD9" w14:textId="77777777" w:rsidR="008C5CFA" w:rsidRPr="00BA47B4" w:rsidRDefault="008C5CFA" w:rsidP="00300A01">
            <w:pPr>
              <w:spacing w:before="0" w:after="0"/>
              <w:jc w:val="right"/>
              <w:rPr>
                <w:sz w:val="12"/>
                <w:szCs w:val="12"/>
                <w:lang w:val="fr-BE"/>
              </w:rPr>
            </w:pPr>
          </w:p>
        </w:tc>
        <w:tc>
          <w:tcPr>
            <w:tcW w:w="0" w:type="auto"/>
          </w:tcPr>
          <w:p w14:paraId="322F9995" w14:textId="77777777" w:rsidR="008C5CFA" w:rsidRPr="00A92B39" w:rsidRDefault="00E82A60" w:rsidP="00300A01">
            <w:pPr>
              <w:spacing w:before="0" w:after="0"/>
              <w:jc w:val="right"/>
              <w:rPr>
                <w:sz w:val="10"/>
                <w:szCs w:val="10"/>
                <w:lang w:val="fr-BE"/>
              </w:rPr>
            </w:pPr>
            <w:r w:rsidRPr="00A92B39">
              <w:rPr>
                <w:noProof/>
                <w:sz w:val="10"/>
                <w:szCs w:val="10"/>
                <w:lang w:val="fr-BE"/>
              </w:rPr>
              <w:t>216,00</w:t>
            </w:r>
          </w:p>
        </w:tc>
        <w:tc>
          <w:tcPr>
            <w:tcW w:w="0" w:type="auto"/>
            <w:shd w:val="clear" w:color="auto" w:fill="auto"/>
          </w:tcPr>
          <w:p w14:paraId="6723A572" w14:textId="77777777" w:rsidR="008C5CFA" w:rsidRPr="00A92B39" w:rsidRDefault="00E82A60" w:rsidP="00300A01">
            <w:pPr>
              <w:spacing w:before="0" w:after="0"/>
              <w:jc w:val="right"/>
              <w:rPr>
                <w:sz w:val="10"/>
                <w:szCs w:val="10"/>
                <w:lang w:val="fr-BE"/>
              </w:rPr>
            </w:pPr>
            <w:r w:rsidRPr="00A92B39">
              <w:rPr>
                <w:noProof/>
                <w:sz w:val="10"/>
                <w:szCs w:val="10"/>
                <w:lang w:val="fr-BE"/>
              </w:rPr>
              <w:t>57,00</w:t>
            </w:r>
          </w:p>
        </w:tc>
        <w:tc>
          <w:tcPr>
            <w:tcW w:w="0" w:type="auto"/>
            <w:shd w:val="clear" w:color="auto" w:fill="auto"/>
          </w:tcPr>
          <w:p w14:paraId="5D8EE8B8" w14:textId="77777777" w:rsidR="008C5CFA" w:rsidRPr="00BA47B4" w:rsidRDefault="00E82A60" w:rsidP="00300A01">
            <w:pPr>
              <w:spacing w:before="0" w:after="0"/>
              <w:jc w:val="right"/>
              <w:rPr>
                <w:sz w:val="12"/>
                <w:szCs w:val="12"/>
                <w:lang w:val="fr-BE"/>
              </w:rPr>
            </w:pPr>
            <w:r w:rsidRPr="00A92B39">
              <w:rPr>
                <w:noProof/>
                <w:sz w:val="10"/>
                <w:szCs w:val="10"/>
                <w:lang w:val="fr-BE"/>
              </w:rPr>
              <w:t>159,00</w:t>
            </w:r>
          </w:p>
        </w:tc>
      </w:tr>
      <w:tr w:rsidR="006B2EC1" w14:paraId="033F2AFF" w14:textId="77777777" w:rsidTr="0047688D">
        <w:tc>
          <w:tcPr>
            <w:tcW w:w="0" w:type="auto"/>
            <w:shd w:val="clear" w:color="auto" w:fill="auto"/>
          </w:tcPr>
          <w:p w14:paraId="09265A8F" w14:textId="77777777" w:rsidR="008C5CFA" w:rsidRPr="00BA47B4" w:rsidRDefault="00E82A60" w:rsidP="00300A01">
            <w:pPr>
              <w:spacing w:before="0" w:after="0"/>
              <w:rPr>
                <w:sz w:val="12"/>
                <w:szCs w:val="12"/>
                <w:lang w:val="fr-BE"/>
              </w:rPr>
            </w:pPr>
            <w:r>
              <w:rPr>
                <w:noProof/>
                <w:sz w:val="12"/>
                <w:szCs w:val="12"/>
                <w:lang w:val="fr-BE"/>
              </w:rPr>
              <w:t>CO15</w:t>
            </w:r>
          </w:p>
        </w:tc>
        <w:tc>
          <w:tcPr>
            <w:tcW w:w="0" w:type="auto"/>
            <w:shd w:val="clear" w:color="auto" w:fill="auto"/>
          </w:tcPr>
          <w:p w14:paraId="1F6CCBC9" w14:textId="77777777" w:rsidR="008C5CFA" w:rsidRPr="00BA47B4" w:rsidRDefault="00E82A60" w:rsidP="00300A01">
            <w:pPr>
              <w:spacing w:before="0" w:after="0"/>
              <w:rPr>
                <w:sz w:val="12"/>
                <w:szCs w:val="12"/>
                <w:lang w:val="fr-BE"/>
              </w:rPr>
            </w:pPr>
            <w:r>
              <w:rPr>
                <w:noProof/>
                <w:sz w:val="12"/>
                <w:szCs w:val="12"/>
                <w:lang w:val="fr-BE"/>
              </w:rPr>
              <w:t>migranci, uczestnicy obcego pochodzenia, mniejszości (w tym społeczności marginalizowane, takie jak Romowie)</w:t>
            </w:r>
          </w:p>
        </w:tc>
        <w:tc>
          <w:tcPr>
            <w:tcW w:w="0" w:type="auto"/>
            <w:shd w:val="clear" w:color="auto" w:fill="auto"/>
          </w:tcPr>
          <w:p w14:paraId="2BD29B76" w14:textId="77777777" w:rsidR="008C5CFA" w:rsidRPr="00BA47B4" w:rsidRDefault="00E82A60"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14:paraId="49A2D59C" w14:textId="77777777" w:rsidR="008C5CFA" w:rsidRPr="00BA47B4" w:rsidRDefault="008C5CFA" w:rsidP="00300A01">
            <w:pPr>
              <w:spacing w:before="0" w:after="0"/>
              <w:jc w:val="right"/>
              <w:rPr>
                <w:sz w:val="12"/>
                <w:szCs w:val="12"/>
                <w:lang w:val="fr-BE"/>
              </w:rPr>
            </w:pPr>
          </w:p>
        </w:tc>
        <w:tc>
          <w:tcPr>
            <w:tcW w:w="0" w:type="auto"/>
            <w:shd w:val="clear" w:color="auto" w:fill="auto"/>
          </w:tcPr>
          <w:p w14:paraId="06E9900D" w14:textId="77777777" w:rsidR="008C5CFA" w:rsidRPr="00BA47B4" w:rsidRDefault="008C5CFA" w:rsidP="00300A01">
            <w:pPr>
              <w:spacing w:before="0" w:after="0"/>
              <w:jc w:val="right"/>
              <w:rPr>
                <w:sz w:val="12"/>
                <w:szCs w:val="12"/>
                <w:lang w:val="fr-BE"/>
              </w:rPr>
            </w:pPr>
          </w:p>
        </w:tc>
        <w:tc>
          <w:tcPr>
            <w:tcW w:w="0" w:type="auto"/>
            <w:shd w:val="clear" w:color="auto" w:fill="auto"/>
          </w:tcPr>
          <w:p w14:paraId="4947F60C" w14:textId="77777777" w:rsidR="008C5CFA" w:rsidRPr="00BA47B4" w:rsidRDefault="008C5CFA" w:rsidP="00300A01">
            <w:pPr>
              <w:spacing w:before="0" w:after="0"/>
              <w:jc w:val="right"/>
              <w:rPr>
                <w:sz w:val="12"/>
                <w:szCs w:val="12"/>
                <w:lang w:val="fr-BE"/>
              </w:rPr>
            </w:pPr>
          </w:p>
        </w:tc>
        <w:tc>
          <w:tcPr>
            <w:tcW w:w="0" w:type="auto"/>
            <w:shd w:val="clear" w:color="auto" w:fill="auto"/>
          </w:tcPr>
          <w:p w14:paraId="68B71475" w14:textId="77777777" w:rsidR="008C5CFA" w:rsidRPr="00BA47B4" w:rsidRDefault="00E82A60" w:rsidP="00300A01">
            <w:pPr>
              <w:spacing w:before="0" w:after="0"/>
              <w:jc w:val="right"/>
              <w:rPr>
                <w:sz w:val="12"/>
                <w:szCs w:val="12"/>
                <w:lang w:val="fr-BE"/>
              </w:rPr>
            </w:pPr>
            <w:r w:rsidRPr="00BA47B4">
              <w:rPr>
                <w:noProof/>
                <w:sz w:val="12"/>
                <w:szCs w:val="12"/>
                <w:lang w:val="fr-BE"/>
              </w:rPr>
              <w:t>37,00</w:t>
            </w:r>
          </w:p>
        </w:tc>
        <w:tc>
          <w:tcPr>
            <w:tcW w:w="0" w:type="auto"/>
            <w:shd w:val="clear" w:color="auto" w:fill="auto"/>
          </w:tcPr>
          <w:p w14:paraId="5298AE22" w14:textId="77777777" w:rsidR="008C5CFA" w:rsidRPr="00BA47B4" w:rsidRDefault="00E82A60" w:rsidP="00300A01">
            <w:pPr>
              <w:spacing w:before="0" w:after="0"/>
              <w:jc w:val="right"/>
              <w:rPr>
                <w:sz w:val="12"/>
                <w:szCs w:val="12"/>
                <w:lang w:val="fr-BE"/>
              </w:rPr>
            </w:pPr>
            <w:r w:rsidRPr="00BA47B4">
              <w:rPr>
                <w:noProof/>
                <w:sz w:val="12"/>
                <w:szCs w:val="12"/>
                <w:lang w:val="fr-BE"/>
              </w:rPr>
              <w:t>18,00</w:t>
            </w:r>
          </w:p>
        </w:tc>
        <w:tc>
          <w:tcPr>
            <w:tcW w:w="0" w:type="auto"/>
            <w:shd w:val="clear" w:color="auto" w:fill="auto"/>
          </w:tcPr>
          <w:p w14:paraId="465D4231" w14:textId="77777777" w:rsidR="008C5CFA" w:rsidRPr="00BA47B4" w:rsidRDefault="00E82A60" w:rsidP="00300A01">
            <w:pPr>
              <w:spacing w:before="0" w:after="0"/>
              <w:jc w:val="right"/>
              <w:rPr>
                <w:sz w:val="12"/>
                <w:szCs w:val="12"/>
                <w:lang w:val="fr-BE"/>
              </w:rPr>
            </w:pPr>
            <w:r w:rsidRPr="00BA47B4">
              <w:rPr>
                <w:noProof/>
                <w:sz w:val="12"/>
                <w:szCs w:val="12"/>
                <w:lang w:val="fr-BE"/>
              </w:rPr>
              <w:t>19,00</w:t>
            </w:r>
          </w:p>
        </w:tc>
        <w:tc>
          <w:tcPr>
            <w:tcW w:w="0" w:type="auto"/>
            <w:shd w:val="clear" w:color="auto" w:fill="auto"/>
          </w:tcPr>
          <w:p w14:paraId="02C1249A" w14:textId="77777777" w:rsidR="008C5CFA" w:rsidRPr="00BA47B4" w:rsidRDefault="008C5CFA" w:rsidP="00300A01">
            <w:pPr>
              <w:spacing w:before="0" w:after="0"/>
              <w:jc w:val="right"/>
              <w:rPr>
                <w:sz w:val="12"/>
                <w:szCs w:val="12"/>
                <w:lang w:val="fr-BE"/>
              </w:rPr>
            </w:pPr>
          </w:p>
        </w:tc>
        <w:tc>
          <w:tcPr>
            <w:tcW w:w="0" w:type="auto"/>
            <w:shd w:val="clear" w:color="auto" w:fill="auto"/>
          </w:tcPr>
          <w:p w14:paraId="46A5D068" w14:textId="77777777" w:rsidR="008C5CFA" w:rsidRPr="00BA47B4" w:rsidRDefault="008C5CFA" w:rsidP="00300A01">
            <w:pPr>
              <w:spacing w:before="0" w:after="0"/>
              <w:jc w:val="right"/>
              <w:rPr>
                <w:sz w:val="12"/>
                <w:szCs w:val="12"/>
                <w:lang w:val="fr-BE"/>
              </w:rPr>
            </w:pPr>
          </w:p>
        </w:tc>
        <w:tc>
          <w:tcPr>
            <w:tcW w:w="0" w:type="auto"/>
            <w:shd w:val="clear" w:color="auto" w:fill="auto"/>
          </w:tcPr>
          <w:p w14:paraId="623902EB" w14:textId="77777777" w:rsidR="008C5CFA" w:rsidRPr="00BA47B4" w:rsidRDefault="008C5CFA" w:rsidP="00300A01">
            <w:pPr>
              <w:spacing w:before="0" w:after="0"/>
              <w:jc w:val="right"/>
              <w:rPr>
                <w:sz w:val="12"/>
                <w:szCs w:val="12"/>
                <w:lang w:val="fr-BE"/>
              </w:rPr>
            </w:pPr>
          </w:p>
        </w:tc>
        <w:tc>
          <w:tcPr>
            <w:tcW w:w="0" w:type="auto"/>
          </w:tcPr>
          <w:p w14:paraId="4031D9BF" w14:textId="77777777" w:rsidR="008C5CFA" w:rsidRPr="00A92B39" w:rsidRDefault="00E82A60" w:rsidP="00300A01">
            <w:pPr>
              <w:spacing w:before="0" w:after="0"/>
              <w:jc w:val="right"/>
              <w:rPr>
                <w:sz w:val="10"/>
                <w:szCs w:val="10"/>
                <w:lang w:val="fr-BE"/>
              </w:rPr>
            </w:pPr>
            <w:r w:rsidRPr="00A92B39">
              <w:rPr>
                <w:noProof/>
                <w:sz w:val="10"/>
                <w:szCs w:val="10"/>
                <w:lang w:val="fr-BE"/>
              </w:rPr>
              <w:t>3,00</w:t>
            </w:r>
          </w:p>
        </w:tc>
        <w:tc>
          <w:tcPr>
            <w:tcW w:w="0" w:type="auto"/>
            <w:shd w:val="clear" w:color="auto" w:fill="auto"/>
          </w:tcPr>
          <w:p w14:paraId="537B4F33" w14:textId="77777777" w:rsidR="008C5CFA" w:rsidRPr="00A92B39" w:rsidRDefault="00E82A60" w:rsidP="00300A01">
            <w:pPr>
              <w:spacing w:before="0" w:after="0"/>
              <w:jc w:val="right"/>
              <w:rPr>
                <w:sz w:val="10"/>
                <w:szCs w:val="10"/>
                <w:lang w:val="fr-BE"/>
              </w:rPr>
            </w:pPr>
            <w:r w:rsidRPr="00A92B39">
              <w:rPr>
                <w:noProof/>
                <w:sz w:val="10"/>
                <w:szCs w:val="10"/>
                <w:lang w:val="fr-BE"/>
              </w:rPr>
              <w:t>1,00</w:t>
            </w:r>
          </w:p>
        </w:tc>
        <w:tc>
          <w:tcPr>
            <w:tcW w:w="0" w:type="auto"/>
            <w:shd w:val="clear" w:color="auto" w:fill="auto"/>
          </w:tcPr>
          <w:p w14:paraId="3C9A3710" w14:textId="77777777" w:rsidR="008C5CFA" w:rsidRPr="00BA47B4" w:rsidRDefault="00E82A60" w:rsidP="00300A01">
            <w:pPr>
              <w:spacing w:before="0" w:after="0"/>
              <w:jc w:val="right"/>
              <w:rPr>
                <w:sz w:val="12"/>
                <w:szCs w:val="12"/>
                <w:lang w:val="fr-BE"/>
              </w:rPr>
            </w:pPr>
            <w:r w:rsidRPr="00A92B39">
              <w:rPr>
                <w:noProof/>
                <w:sz w:val="10"/>
                <w:szCs w:val="10"/>
                <w:lang w:val="fr-BE"/>
              </w:rPr>
              <w:t>2,00</w:t>
            </w:r>
          </w:p>
        </w:tc>
      </w:tr>
      <w:tr w:rsidR="006B2EC1" w14:paraId="3296F700" w14:textId="77777777" w:rsidTr="0047688D">
        <w:tc>
          <w:tcPr>
            <w:tcW w:w="0" w:type="auto"/>
            <w:shd w:val="clear" w:color="auto" w:fill="auto"/>
          </w:tcPr>
          <w:p w14:paraId="2961255F" w14:textId="77777777" w:rsidR="008C5CFA" w:rsidRPr="00BA47B4" w:rsidRDefault="00E82A60" w:rsidP="00300A01">
            <w:pPr>
              <w:spacing w:before="0" w:after="0"/>
              <w:rPr>
                <w:sz w:val="12"/>
                <w:szCs w:val="12"/>
                <w:lang w:val="fr-BE"/>
              </w:rPr>
            </w:pPr>
            <w:r>
              <w:rPr>
                <w:noProof/>
                <w:sz w:val="12"/>
                <w:szCs w:val="12"/>
                <w:lang w:val="fr-BE"/>
              </w:rPr>
              <w:t>CO16</w:t>
            </w:r>
          </w:p>
        </w:tc>
        <w:tc>
          <w:tcPr>
            <w:tcW w:w="0" w:type="auto"/>
            <w:shd w:val="clear" w:color="auto" w:fill="auto"/>
          </w:tcPr>
          <w:p w14:paraId="0EE371DA" w14:textId="77777777" w:rsidR="008C5CFA" w:rsidRPr="00BA47B4" w:rsidRDefault="00E82A60" w:rsidP="00300A01">
            <w:pPr>
              <w:spacing w:before="0" w:after="0"/>
              <w:rPr>
                <w:sz w:val="12"/>
                <w:szCs w:val="12"/>
                <w:lang w:val="fr-BE"/>
              </w:rPr>
            </w:pPr>
            <w:r>
              <w:rPr>
                <w:noProof/>
                <w:sz w:val="12"/>
                <w:szCs w:val="12"/>
                <w:lang w:val="fr-BE"/>
              </w:rPr>
              <w:t>uczestnicy z niepełnosprawnościami</w:t>
            </w:r>
          </w:p>
        </w:tc>
        <w:tc>
          <w:tcPr>
            <w:tcW w:w="0" w:type="auto"/>
            <w:shd w:val="clear" w:color="auto" w:fill="auto"/>
          </w:tcPr>
          <w:p w14:paraId="4693757D" w14:textId="77777777" w:rsidR="008C5CFA" w:rsidRPr="00BA47B4" w:rsidRDefault="00E82A60"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14:paraId="220F0637" w14:textId="77777777" w:rsidR="008C5CFA" w:rsidRPr="00BA47B4" w:rsidRDefault="008C5CFA" w:rsidP="00300A01">
            <w:pPr>
              <w:spacing w:before="0" w:after="0"/>
              <w:jc w:val="right"/>
              <w:rPr>
                <w:sz w:val="12"/>
                <w:szCs w:val="12"/>
                <w:lang w:val="fr-BE"/>
              </w:rPr>
            </w:pPr>
          </w:p>
        </w:tc>
        <w:tc>
          <w:tcPr>
            <w:tcW w:w="0" w:type="auto"/>
            <w:shd w:val="clear" w:color="auto" w:fill="auto"/>
          </w:tcPr>
          <w:p w14:paraId="356E4299" w14:textId="77777777" w:rsidR="008C5CFA" w:rsidRPr="00BA47B4" w:rsidRDefault="008C5CFA" w:rsidP="00300A01">
            <w:pPr>
              <w:spacing w:before="0" w:after="0"/>
              <w:jc w:val="right"/>
              <w:rPr>
                <w:sz w:val="12"/>
                <w:szCs w:val="12"/>
                <w:lang w:val="fr-BE"/>
              </w:rPr>
            </w:pPr>
          </w:p>
        </w:tc>
        <w:tc>
          <w:tcPr>
            <w:tcW w:w="0" w:type="auto"/>
            <w:shd w:val="clear" w:color="auto" w:fill="auto"/>
          </w:tcPr>
          <w:p w14:paraId="61FDC085" w14:textId="77777777" w:rsidR="008C5CFA" w:rsidRPr="00BA47B4" w:rsidRDefault="008C5CFA" w:rsidP="00300A01">
            <w:pPr>
              <w:spacing w:before="0" w:after="0"/>
              <w:jc w:val="right"/>
              <w:rPr>
                <w:sz w:val="12"/>
                <w:szCs w:val="12"/>
                <w:lang w:val="fr-BE"/>
              </w:rPr>
            </w:pPr>
          </w:p>
        </w:tc>
        <w:tc>
          <w:tcPr>
            <w:tcW w:w="0" w:type="auto"/>
            <w:shd w:val="clear" w:color="auto" w:fill="auto"/>
          </w:tcPr>
          <w:p w14:paraId="5ECF9F75" w14:textId="77777777" w:rsidR="008C5CFA" w:rsidRPr="00BA47B4" w:rsidRDefault="00E82A60" w:rsidP="00300A01">
            <w:pPr>
              <w:spacing w:before="0" w:after="0"/>
              <w:jc w:val="right"/>
              <w:rPr>
                <w:sz w:val="12"/>
                <w:szCs w:val="12"/>
                <w:lang w:val="fr-BE"/>
              </w:rPr>
            </w:pPr>
            <w:r w:rsidRPr="00BA47B4">
              <w:rPr>
                <w:noProof/>
                <w:sz w:val="12"/>
                <w:szCs w:val="12"/>
                <w:lang w:val="fr-BE"/>
              </w:rPr>
              <w:t>2 835,00</w:t>
            </w:r>
          </w:p>
        </w:tc>
        <w:tc>
          <w:tcPr>
            <w:tcW w:w="0" w:type="auto"/>
            <w:shd w:val="clear" w:color="auto" w:fill="auto"/>
          </w:tcPr>
          <w:p w14:paraId="5E252FFB" w14:textId="77777777" w:rsidR="008C5CFA" w:rsidRPr="00BA47B4" w:rsidRDefault="00E82A60" w:rsidP="00300A01">
            <w:pPr>
              <w:spacing w:before="0" w:after="0"/>
              <w:jc w:val="right"/>
              <w:rPr>
                <w:sz w:val="12"/>
                <w:szCs w:val="12"/>
                <w:lang w:val="fr-BE"/>
              </w:rPr>
            </w:pPr>
            <w:r w:rsidRPr="00BA47B4">
              <w:rPr>
                <w:noProof/>
                <w:sz w:val="12"/>
                <w:szCs w:val="12"/>
                <w:lang w:val="fr-BE"/>
              </w:rPr>
              <w:t>1 271,00</w:t>
            </w:r>
          </w:p>
        </w:tc>
        <w:tc>
          <w:tcPr>
            <w:tcW w:w="0" w:type="auto"/>
            <w:shd w:val="clear" w:color="auto" w:fill="auto"/>
          </w:tcPr>
          <w:p w14:paraId="53AEA047" w14:textId="77777777" w:rsidR="008C5CFA" w:rsidRPr="00BA47B4" w:rsidRDefault="00E82A60" w:rsidP="00300A01">
            <w:pPr>
              <w:spacing w:before="0" w:after="0"/>
              <w:jc w:val="right"/>
              <w:rPr>
                <w:sz w:val="12"/>
                <w:szCs w:val="12"/>
                <w:lang w:val="fr-BE"/>
              </w:rPr>
            </w:pPr>
            <w:r w:rsidRPr="00BA47B4">
              <w:rPr>
                <w:noProof/>
                <w:sz w:val="12"/>
                <w:szCs w:val="12"/>
                <w:lang w:val="fr-BE"/>
              </w:rPr>
              <w:t>1 564,00</w:t>
            </w:r>
          </w:p>
        </w:tc>
        <w:tc>
          <w:tcPr>
            <w:tcW w:w="0" w:type="auto"/>
            <w:shd w:val="clear" w:color="auto" w:fill="auto"/>
          </w:tcPr>
          <w:p w14:paraId="6D479370" w14:textId="77777777" w:rsidR="008C5CFA" w:rsidRPr="00BA47B4" w:rsidRDefault="008C5CFA" w:rsidP="00300A01">
            <w:pPr>
              <w:spacing w:before="0" w:after="0"/>
              <w:jc w:val="right"/>
              <w:rPr>
                <w:sz w:val="12"/>
                <w:szCs w:val="12"/>
                <w:lang w:val="fr-BE"/>
              </w:rPr>
            </w:pPr>
          </w:p>
        </w:tc>
        <w:tc>
          <w:tcPr>
            <w:tcW w:w="0" w:type="auto"/>
            <w:shd w:val="clear" w:color="auto" w:fill="auto"/>
          </w:tcPr>
          <w:p w14:paraId="6DF0331C" w14:textId="77777777" w:rsidR="008C5CFA" w:rsidRPr="00BA47B4" w:rsidRDefault="008C5CFA" w:rsidP="00300A01">
            <w:pPr>
              <w:spacing w:before="0" w:after="0"/>
              <w:jc w:val="right"/>
              <w:rPr>
                <w:sz w:val="12"/>
                <w:szCs w:val="12"/>
                <w:lang w:val="fr-BE"/>
              </w:rPr>
            </w:pPr>
          </w:p>
        </w:tc>
        <w:tc>
          <w:tcPr>
            <w:tcW w:w="0" w:type="auto"/>
            <w:shd w:val="clear" w:color="auto" w:fill="auto"/>
          </w:tcPr>
          <w:p w14:paraId="32E5AA17" w14:textId="77777777" w:rsidR="008C5CFA" w:rsidRPr="00BA47B4" w:rsidRDefault="008C5CFA" w:rsidP="00300A01">
            <w:pPr>
              <w:spacing w:before="0" w:after="0"/>
              <w:jc w:val="right"/>
              <w:rPr>
                <w:sz w:val="12"/>
                <w:szCs w:val="12"/>
                <w:lang w:val="fr-BE"/>
              </w:rPr>
            </w:pPr>
          </w:p>
        </w:tc>
        <w:tc>
          <w:tcPr>
            <w:tcW w:w="0" w:type="auto"/>
          </w:tcPr>
          <w:p w14:paraId="2FBB0401" w14:textId="77777777" w:rsidR="008C5CFA" w:rsidRPr="00A92B39" w:rsidRDefault="00E82A60" w:rsidP="00300A01">
            <w:pPr>
              <w:spacing w:before="0" w:after="0"/>
              <w:jc w:val="right"/>
              <w:rPr>
                <w:sz w:val="10"/>
                <w:szCs w:val="10"/>
                <w:lang w:val="fr-BE"/>
              </w:rPr>
            </w:pPr>
            <w:r w:rsidRPr="00A92B39">
              <w:rPr>
                <w:noProof/>
                <w:sz w:val="10"/>
                <w:szCs w:val="10"/>
                <w:lang w:val="fr-BE"/>
              </w:rPr>
              <w:t>824,00</w:t>
            </w:r>
          </w:p>
        </w:tc>
        <w:tc>
          <w:tcPr>
            <w:tcW w:w="0" w:type="auto"/>
            <w:shd w:val="clear" w:color="auto" w:fill="auto"/>
          </w:tcPr>
          <w:p w14:paraId="3495776D" w14:textId="77777777" w:rsidR="008C5CFA" w:rsidRPr="00A92B39" w:rsidRDefault="00E82A60" w:rsidP="00300A01">
            <w:pPr>
              <w:spacing w:before="0" w:after="0"/>
              <w:jc w:val="right"/>
              <w:rPr>
                <w:sz w:val="10"/>
                <w:szCs w:val="10"/>
                <w:lang w:val="fr-BE"/>
              </w:rPr>
            </w:pPr>
            <w:r w:rsidRPr="00A92B39">
              <w:rPr>
                <w:noProof/>
                <w:sz w:val="10"/>
                <w:szCs w:val="10"/>
                <w:lang w:val="fr-BE"/>
              </w:rPr>
              <w:t>387,00</w:t>
            </w:r>
          </w:p>
        </w:tc>
        <w:tc>
          <w:tcPr>
            <w:tcW w:w="0" w:type="auto"/>
            <w:shd w:val="clear" w:color="auto" w:fill="auto"/>
          </w:tcPr>
          <w:p w14:paraId="65135B00" w14:textId="77777777" w:rsidR="008C5CFA" w:rsidRPr="00BA47B4" w:rsidRDefault="00E82A60" w:rsidP="00300A01">
            <w:pPr>
              <w:spacing w:before="0" w:after="0"/>
              <w:jc w:val="right"/>
              <w:rPr>
                <w:sz w:val="12"/>
                <w:szCs w:val="12"/>
                <w:lang w:val="fr-BE"/>
              </w:rPr>
            </w:pPr>
            <w:r w:rsidRPr="00A92B39">
              <w:rPr>
                <w:noProof/>
                <w:sz w:val="10"/>
                <w:szCs w:val="10"/>
                <w:lang w:val="fr-BE"/>
              </w:rPr>
              <w:t>437,00</w:t>
            </w:r>
          </w:p>
        </w:tc>
      </w:tr>
      <w:tr w:rsidR="006B2EC1" w14:paraId="6F166091" w14:textId="77777777" w:rsidTr="0047688D">
        <w:tc>
          <w:tcPr>
            <w:tcW w:w="0" w:type="auto"/>
            <w:shd w:val="clear" w:color="auto" w:fill="auto"/>
          </w:tcPr>
          <w:p w14:paraId="648E9955" w14:textId="77777777" w:rsidR="008C5CFA" w:rsidRPr="00BA47B4" w:rsidRDefault="00E82A60" w:rsidP="00300A01">
            <w:pPr>
              <w:spacing w:before="0" w:after="0"/>
              <w:rPr>
                <w:sz w:val="12"/>
                <w:szCs w:val="12"/>
                <w:lang w:val="fr-BE"/>
              </w:rPr>
            </w:pPr>
            <w:r>
              <w:rPr>
                <w:noProof/>
                <w:sz w:val="12"/>
                <w:szCs w:val="12"/>
                <w:lang w:val="fr-BE"/>
              </w:rPr>
              <w:t>CO17</w:t>
            </w:r>
          </w:p>
        </w:tc>
        <w:tc>
          <w:tcPr>
            <w:tcW w:w="0" w:type="auto"/>
            <w:shd w:val="clear" w:color="auto" w:fill="auto"/>
          </w:tcPr>
          <w:p w14:paraId="4D9D4604" w14:textId="77777777" w:rsidR="008C5CFA" w:rsidRPr="00BA47B4" w:rsidRDefault="00E82A60" w:rsidP="00300A01">
            <w:pPr>
              <w:spacing w:before="0" w:after="0"/>
              <w:rPr>
                <w:sz w:val="12"/>
                <w:szCs w:val="12"/>
                <w:lang w:val="fr-BE"/>
              </w:rPr>
            </w:pPr>
            <w:r>
              <w:rPr>
                <w:noProof/>
                <w:sz w:val="12"/>
                <w:szCs w:val="12"/>
                <w:lang w:val="fr-BE"/>
              </w:rPr>
              <w:t>inne osoby w niekorzystnej sytuacji społecznej</w:t>
            </w:r>
          </w:p>
        </w:tc>
        <w:tc>
          <w:tcPr>
            <w:tcW w:w="0" w:type="auto"/>
            <w:shd w:val="clear" w:color="auto" w:fill="auto"/>
          </w:tcPr>
          <w:p w14:paraId="2593F620" w14:textId="77777777" w:rsidR="008C5CFA" w:rsidRPr="00BA47B4" w:rsidRDefault="00E82A60"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14:paraId="3855E7F7" w14:textId="77777777" w:rsidR="008C5CFA" w:rsidRPr="00BA47B4" w:rsidRDefault="008C5CFA" w:rsidP="00300A01">
            <w:pPr>
              <w:spacing w:before="0" w:after="0"/>
              <w:jc w:val="right"/>
              <w:rPr>
                <w:sz w:val="12"/>
                <w:szCs w:val="12"/>
                <w:lang w:val="fr-BE"/>
              </w:rPr>
            </w:pPr>
          </w:p>
        </w:tc>
        <w:tc>
          <w:tcPr>
            <w:tcW w:w="0" w:type="auto"/>
            <w:shd w:val="clear" w:color="auto" w:fill="auto"/>
          </w:tcPr>
          <w:p w14:paraId="52B0CD5D" w14:textId="77777777" w:rsidR="008C5CFA" w:rsidRPr="00BA47B4" w:rsidRDefault="008C5CFA" w:rsidP="00300A01">
            <w:pPr>
              <w:spacing w:before="0" w:after="0"/>
              <w:jc w:val="right"/>
              <w:rPr>
                <w:sz w:val="12"/>
                <w:szCs w:val="12"/>
                <w:lang w:val="fr-BE"/>
              </w:rPr>
            </w:pPr>
          </w:p>
        </w:tc>
        <w:tc>
          <w:tcPr>
            <w:tcW w:w="0" w:type="auto"/>
            <w:shd w:val="clear" w:color="auto" w:fill="auto"/>
          </w:tcPr>
          <w:p w14:paraId="63C3526F" w14:textId="77777777" w:rsidR="008C5CFA" w:rsidRPr="00BA47B4" w:rsidRDefault="008C5CFA" w:rsidP="00300A01">
            <w:pPr>
              <w:spacing w:before="0" w:after="0"/>
              <w:jc w:val="right"/>
              <w:rPr>
                <w:sz w:val="12"/>
                <w:szCs w:val="12"/>
                <w:lang w:val="fr-BE"/>
              </w:rPr>
            </w:pPr>
          </w:p>
        </w:tc>
        <w:tc>
          <w:tcPr>
            <w:tcW w:w="0" w:type="auto"/>
            <w:shd w:val="clear" w:color="auto" w:fill="auto"/>
          </w:tcPr>
          <w:p w14:paraId="573E4A82" w14:textId="77777777" w:rsidR="008C5CFA" w:rsidRPr="00BA47B4" w:rsidRDefault="00E82A60" w:rsidP="00300A01">
            <w:pPr>
              <w:spacing w:before="0" w:after="0"/>
              <w:jc w:val="right"/>
              <w:rPr>
                <w:sz w:val="12"/>
                <w:szCs w:val="12"/>
                <w:lang w:val="fr-BE"/>
              </w:rPr>
            </w:pPr>
            <w:r w:rsidRPr="00BA47B4">
              <w:rPr>
                <w:noProof/>
                <w:sz w:val="12"/>
                <w:szCs w:val="12"/>
                <w:lang w:val="fr-BE"/>
              </w:rPr>
              <w:t>8 591,00</w:t>
            </w:r>
          </w:p>
        </w:tc>
        <w:tc>
          <w:tcPr>
            <w:tcW w:w="0" w:type="auto"/>
            <w:shd w:val="clear" w:color="auto" w:fill="auto"/>
          </w:tcPr>
          <w:p w14:paraId="0BBD436F" w14:textId="77777777" w:rsidR="008C5CFA" w:rsidRPr="00BA47B4" w:rsidRDefault="00E82A60" w:rsidP="00300A01">
            <w:pPr>
              <w:spacing w:before="0" w:after="0"/>
              <w:jc w:val="right"/>
              <w:rPr>
                <w:sz w:val="12"/>
                <w:szCs w:val="12"/>
                <w:lang w:val="fr-BE"/>
              </w:rPr>
            </w:pPr>
            <w:r w:rsidRPr="00BA47B4">
              <w:rPr>
                <w:noProof/>
                <w:sz w:val="12"/>
                <w:szCs w:val="12"/>
                <w:lang w:val="fr-BE"/>
              </w:rPr>
              <w:t>3 468,00</w:t>
            </w:r>
          </w:p>
        </w:tc>
        <w:tc>
          <w:tcPr>
            <w:tcW w:w="0" w:type="auto"/>
            <w:shd w:val="clear" w:color="auto" w:fill="auto"/>
          </w:tcPr>
          <w:p w14:paraId="76D0A381" w14:textId="77777777" w:rsidR="008C5CFA" w:rsidRPr="00BA47B4" w:rsidRDefault="00E82A60" w:rsidP="00300A01">
            <w:pPr>
              <w:spacing w:before="0" w:after="0"/>
              <w:jc w:val="right"/>
              <w:rPr>
                <w:sz w:val="12"/>
                <w:szCs w:val="12"/>
                <w:lang w:val="fr-BE"/>
              </w:rPr>
            </w:pPr>
            <w:r w:rsidRPr="00BA47B4">
              <w:rPr>
                <w:noProof/>
                <w:sz w:val="12"/>
                <w:szCs w:val="12"/>
                <w:lang w:val="fr-BE"/>
              </w:rPr>
              <w:t>5 123,00</w:t>
            </w:r>
          </w:p>
        </w:tc>
        <w:tc>
          <w:tcPr>
            <w:tcW w:w="0" w:type="auto"/>
            <w:shd w:val="clear" w:color="auto" w:fill="auto"/>
          </w:tcPr>
          <w:p w14:paraId="3D1D962E" w14:textId="77777777" w:rsidR="008C5CFA" w:rsidRPr="00BA47B4" w:rsidRDefault="008C5CFA" w:rsidP="00300A01">
            <w:pPr>
              <w:spacing w:before="0" w:after="0"/>
              <w:jc w:val="right"/>
              <w:rPr>
                <w:sz w:val="12"/>
                <w:szCs w:val="12"/>
                <w:lang w:val="fr-BE"/>
              </w:rPr>
            </w:pPr>
          </w:p>
        </w:tc>
        <w:tc>
          <w:tcPr>
            <w:tcW w:w="0" w:type="auto"/>
            <w:shd w:val="clear" w:color="auto" w:fill="auto"/>
          </w:tcPr>
          <w:p w14:paraId="3317488A" w14:textId="77777777" w:rsidR="008C5CFA" w:rsidRPr="00BA47B4" w:rsidRDefault="008C5CFA" w:rsidP="00300A01">
            <w:pPr>
              <w:spacing w:before="0" w:after="0"/>
              <w:jc w:val="right"/>
              <w:rPr>
                <w:sz w:val="12"/>
                <w:szCs w:val="12"/>
                <w:lang w:val="fr-BE"/>
              </w:rPr>
            </w:pPr>
          </w:p>
        </w:tc>
        <w:tc>
          <w:tcPr>
            <w:tcW w:w="0" w:type="auto"/>
            <w:shd w:val="clear" w:color="auto" w:fill="auto"/>
          </w:tcPr>
          <w:p w14:paraId="1F46AA34" w14:textId="77777777" w:rsidR="008C5CFA" w:rsidRPr="00BA47B4" w:rsidRDefault="008C5CFA" w:rsidP="00300A01">
            <w:pPr>
              <w:spacing w:before="0" w:after="0"/>
              <w:jc w:val="right"/>
              <w:rPr>
                <w:sz w:val="12"/>
                <w:szCs w:val="12"/>
                <w:lang w:val="fr-BE"/>
              </w:rPr>
            </w:pPr>
          </w:p>
        </w:tc>
        <w:tc>
          <w:tcPr>
            <w:tcW w:w="0" w:type="auto"/>
          </w:tcPr>
          <w:p w14:paraId="74FC5F16" w14:textId="77777777" w:rsidR="008C5CFA" w:rsidRPr="00A92B39" w:rsidRDefault="00E82A60" w:rsidP="00300A01">
            <w:pPr>
              <w:spacing w:before="0" w:after="0"/>
              <w:jc w:val="right"/>
              <w:rPr>
                <w:sz w:val="10"/>
                <w:szCs w:val="10"/>
                <w:lang w:val="fr-BE"/>
              </w:rPr>
            </w:pPr>
            <w:r w:rsidRPr="00A92B39">
              <w:rPr>
                <w:noProof/>
                <w:sz w:val="10"/>
                <w:szCs w:val="10"/>
                <w:lang w:val="fr-BE"/>
              </w:rPr>
              <w:t>1 856,00</w:t>
            </w:r>
          </w:p>
        </w:tc>
        <w:tc>
          <w:tcPr>
            <w:tcW w:w="0" w:type="auto"/>
            <w:shd w:val="clear" w:color="auto" w:fill="auto"/>
          </w:tcPr>
          <w:p w14:paraId="10D8B2CD" w14:textId="77777777" w:rsidR="008C5CFA" w:rsidRPr="00A92B39" w:rsidRDefault="00E82A60" w:rsidP="00300A01">
            <w:pPr>
              <w:spacing w:before="0" w:after="0"/>
              <w:jc w:val="right"/>
              <w:rPr>
                <w:sz w:val="10"/>
                <w:szCs w:val="10"/>
                <w:lang w:val="fr-BE"/>
              </w:rPr>
            </w:pPr>
            <w:r w:rsidRPr="00A92B39">
              <w:rPr>
                <w:noProof/>
                <w:sz w:val="10"/>
                <w:szCs w:val="10"/>
                <w:lang w:val="fr-BE"/>
              </w:rPr>
              <w:t>767,00</w:t>
            </w:r>
          </w:p>
        </w:tc>
        <w:tc>
          <w:tcPr>
            <w:tcW w:w="0" w:type="auto"/>
            <w:shd w:val="clear" w:color="auto" w:fill="auto"/>
          </w:tcPr>
          <w:p w14:paraId="645013D9" w14:textId="77777777" w:rsidR="008C5CFA" w:rsidRPr="00BA47B4" w:rsidRDefault="00E82A60" w:rsidP="00300A01">
            <w:pPr>
              <w:spacing w:before="0" w:after="0"/>
              <w:jc w:val="right"/>
              <w:rPr>
                <w:sz w:val="12"/>
                <w:szCs w:val="12"/>
                <w:lang w:val="fr-BE"/>
              </w:rPr>
            </w:pPr>
            <w:r w:rsidRPr="00A92B39">
              <w:rPr>
                <w:noProof/>
                <w:sz w:val="10"/>
                <w:szCs w:val="10"/>
                <w:lang w:val="fr-BE"/>
              </w:rPr>
              <w:t>1 089,00</w:t>
            </w:r>
          </w:p>
        </w:tc>
      </w:tr>
      <w:tr w:rsidR="006B2EC1" w14:paraId="2C528EF5" w14:textId="77777777" w:rsidTr="0047688D">
        <w:tc>
          <w:tcPr>
            <w:tcW w:w="0" w:type="auto"/>
            <w:shd w:val="clear" w:color="auto" w:fill="auto"/>
          </w:tcPr>
          <w:p w14:paraId="48839ABA" w14:textId="77777777" w:rsidR="008C5CFA" w:rsidRPr="00BA47B4" w:rsidRDefault="00E82A60" w:rsidP="00300A01">
            <w:pPr>
              <w:spacing w:before="0" w:after="0"/>
              <w:rPr>
                <w:sz w:val="12"/>
                <w:szCs w:val="12"/>
                <w:lang w:val="fr-BE"/>
              </w:rPr>
            </w:pPr>
            <w:r>
              <w:rPr>
                <w:noProof/>
                <w:sz w:val="12"/>
                <w:szCs w:val="12"/>
                <w:lang w:val="fr-BE"/>
              </w:rPr>
              <w:t>CO18</w:t>
            </w:r>
          </w:p>
        </w:tc>
        <w:tc>
          <w:tcPr>
            <w:tcW w:w="0" w:type="auto"/>
            <w:shd w:val="clear" w:color="auto" w:fill="auto"/>
          </w:tcPr>
          <w:p w14:paraId="7BD3BBBE" w14:textId="77777777" w:rsidR="008C5CFA" w:rsidRPr="00BA47B4" w:rsidRDefault="00E82A60" w:rsidP="00300A01">
            <w:pPr>
              <w:spacing w:before="0" w:after="0"/>
              <w:rPr>
                <w:sz w:val="12"/>
                <w:szCs w:val="12"/>
                <w:lang w:val="fr-BE"/>
              </w:rPr>
            </w:pPr>
            <w:r>
              <w:rPr>
                <w:noProof/>
                <w:sz w:val="12"/>
                <w:szCs w:val="12"/>
                <w:lang w:val="fr-BE"/>
              </w:rPr>
              <w:t>osoby bezdomne lub dotknięte wykluczeniem z dostępu do mieszkań</w:t>
            </w:r>
          </w:p>
        </w:tc>
        <w:tc>
          <w:tcPr>
            <w:tcW w:w="0" w:type="auto"/>
            <w:shd w:val="clear" w:color="auto" w:fill="auto"/>
          </w:tcPr>
          <w:p w14:paraId="04D650A1" w14:textId="77777777" w:rsidR="008C5CFA" w:rsidRPr="00BA47B4" w:rsidRDefault="00E82A60"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14:paraId="2CDFD37B" w14:textId="77777777" w:rsidR="008C5CFA" w:rsidRPr="00BA47B4" w:rsidRDefault="008C5CFA" w:rsidP="00300A01">
            <w:pPr>
              <w:spacing w:before="0" w:after="0"/>
              <w:jc w:val="right"/>
              <w:rPr>
                <w:sz w:val="12"/>
                <w:szCs w:val="12"/>
                <w:lang w:val="fr-BE"/>
              </w:rPr>
            </w:pPr>
          </w:p>
        </w:tc>
        <w:tc>
          <w:tcPr>
            <w:tcW w:w="0" w:type="auto"/>
            <w:shd w:val="clear" w:color="auto" w:fill="auto"/>
          </w:tcPr>
          <w:p w14:paraId="21C0E8DB" w14:textId="77777777" w:rsidR="008C5CFA" w:rsidRPr="00BA47B4" w:rsidRDefault="008C5CFA" w:rsidP="00300A01">
            <w:pPr>
              <w:spacing w:before="0" w:after="0"/>
              <w:jc w:val="right"/>
              <w:rPr>
                <w:sz w:val="12"/>
                <w:szCs w:val="12"/>
                <w:lang w:val="fr-BE"/>
              </w:rPr>
            </w:pPr>
          </w:p>
        </w:tc>
        <w:tc>
          <w:tcPr>
            <w:tcW w:w="0" w:type="auto"/>
            <w:shd w:val="clear" w:color="auto" w:fill="auto"/>
          </w:tcPr>
          <w:p w14:paraId="00B1E4DE" w14:textId="77777777" w:rsidR="008C5CFA" w:rsidRPr="00BA47B4" w:rsidRDefault="008C5CFA" w:rsidP="00300A01">
            <w:pPr>
              <w:spacing w:before="0" w:after="0"/>
              <w:jc w:val="right"/>
              <w:rPr>
                <w:sz w:val="12"/>
                <w:szCs w:val="12"/>
                <w:lang w:val="fr-BE"/>
              </w:rPr>
            </w:pPr>
          </w:p>
        </w:tc>
        <w:tc>
          <w:tcPr>
            <w:tcW w:w="0" w:type="auto"/>
            <w:shd w:val="clear" w:color="auto" w:fill="auto"/>
          </w:tcPr>
          <w:p w14:paraId="43A5BAD1" w14:textId="77777777" w:rsidR="008C5CFA" w:rsidRPr="00BA47B4" w:rsidRDefault="00E82A60" w:rsidP="00300A01">
            <w:pPr>
              <w:spacing w:before="0" w:after="0"/>
              <w:jc w:val="right"/>
              <w:rPr>
                <w:sz w:val="12"/>
                <w:szCs w:val="12"/>
                <w:lang w:val="fr-BE"/>
              </w:rPr>
            </w:pPr>
            <w:r w:rsidRPr="00BA47B4">
              <w:rPr>
                <w:noProof/>
                <w:sz w:val="12"/>
                <w:szCs w:val="12"/>
                <w:lang w:val="fr-BE"/>
              </w:rPr>
              <w:t>188,00</w:t>
            </w:r>
          </w:p>
        </w:tc>
        <w:tc>
          <w:tcPr>
            <w:tcW w:w="0" w:type="auto"/>
            <w:shd w:val="clear" w:color="auto" w:fill="auto"/>
          </w:tcPr>
          <w:p w14:paraId="47FCB72C" w14:textId="77777777" w:rsidR="008C5CFA" w:rsidRPr="00BA47B4" w:rsidRDefault="00E82A60" w:rsidP="00300A01">
            <w:pPr>
              <w:spacing w:before="0" w:after="0"/>
              <w:jc w:val="right"/>
              <w:rPr>
                <w:sz w:val="12"/>
                <w:szCs w:val="12"/>
                <w:lang w:val="fr-BE"/>
              </w:rPr>
            </w:pPr>
            <w:r w:rsidRPr="00BA47B4">
              <w:rPr>
                <w:noProof/>
                <w:sz w:val="12"/>
                <w:szCs w:val="12"/>
                <w:lang w:val="fr-BE"/>
              </w:rPr>
              <w:t>84,00</w:t>
            </w:r>
          </w:p>
        </w:tc>
        <w:tc>
          <w:tcPr>
            <w:tcW w:w="0" w:type="auto"/>
            <w:shd w:val="clear" w:color="auto" w:fill="auto"/>
          </w:tcPr>
          <w:p w14:paraId="450BF0B8" w14:textId="77777777" w:rsidR="008C5CFA" w:rsidRPr="00BA47B4" w:rsidRDefault="00E82A60" w:rsidP="00300A01">
            <w:pPr>
              <w:spacing w:before="0" w:after="0"/>
              <w:jc w:val="right"/>
              <w:rPr>
                <w:sz w:val="12"/>
                <w:szCs w:val="12"/>
                <w:lang w:val="fr-BE"/>
              </w:rPr>
            </w:pPr>
            <w:r w:rsidRPr="00BA47B4">
              <w:rPr>
                <w:noProof/>
                <w:sz w:val="12"/>
                <w:szCs w:val="12"/>
                <w:lang w:val="fr-BE"/>
              </w:rPr>
              <w:t>104,00</w:t>
            </w:r>
          </w:p>
        </w:tc>
        <w:tc>
          <w:tcPr>
            <w:tcW w:w="0" w:type="auto"/>
            <w:shd w:val="clear" w:color="auto" w:fill="auto"/>
          </w:tcPr>
          <w:p w14:paraId="761EA599" w14:textId="77777777" w:rsidR="008C5CFA" w:rsidRPr="00BA47B4" w:rsidRDefault="008C5CFA" w:rsidP="00300A01">
            <w:pPr>
              <w:spacing w:before="0" w:after="0"/>
              <w:jc w:val="right"/>
              <w:rPr>
                <w:sz w:val="12"/>
                <w:szCs w:val="12"/>
                <w:lang w:val="fr-BE"/>
              </w:rPr>
            </w:pPr>
          </w:p>
        </w:tc>
        <w:tc>
          <w:tcPr>
            <w:tcW w:w="0" w:type="auto"/>
            <w:shd w:val="clear" w:color="auto" w:fill="auto"/>
          </w:tcPr>
          <w:p w14:paraId="10C3C7DC" w14:textId="77777777" w:rsidR="008C5CFA" w:rsidRPr="00BA47B4" w:rsidRDefault="008C5CFA" w:rsidP="00300A01">
            <w:pPr>
              <w:spacing w:before="0" w:after="0"/>
              <w:jc w:val="right"/>
              <w:rPr>
                <w:sz w:val="12"/>
                <w:szCs w:val="12"/>
                <w:lang w:val="fr-BE"/>
              </w:rPr>
            </w:pPr>
          </w:p>
        </w:tc>
        <w:tc>
          <w:tcPr>
            <w:tcW w:w="0" w:type="auto"/>
            <w:shd w:val="clear" w:color="auto" w:fill="auto"/>
          </w:tcPr>
          <w:p w14:paraId="41D6FE57" w14:textId="77777777" w:rsidR="008C5CFA" w:rsidRPr="00BA47B4" w:rsidRDefault="008C5CFA" w:rsidP="00300A01">
            <w:pPr>
              <w:spacing w:before="0" w:after="0"/>
              <w:jc w:val="right"/>
              <w:rPr>
                <w:sz w:val="12"/>
                <w:szCs w:val="12"/>
                <w:lang w:val="fr-BE"/>
              </w:rPr>
            </w:pPr>
          </w:p>
        </w:tc>
        <w:tc>
          <w:tcPr>
            <w:tcW w:w="0" w:type="auto"/>
          </w:tcPr>
          <w:p w14:paraId="6FE82B04" w14:textId="77777777" w:rsidR="008C5CFA" w:rsidRPr="00A92B39" w:rsidRDefault="00E82A60" w:rsidP="00300A01">
            <w:pPr>
              <w:spacing w:before="0" w:after="0"/>
              <w:jc w:val="right"/>
              <w:rPr>
                <w:sz w:val="10"/>
                <w:szCs w:val="10"/>
                <w:lang w:val="fr-BE"/>
              </w:rPr>
            </w:pPr>
            <w:r w:rsidRPr="00A92B39">
              <w:rPr>
                <w:noProof/>
                <w:sz w:val="10"/>
                <w:szCs w:val="10"/>
                <w:lang w:val="fr-BE"/>
              </w:rPr>
              <w:t>33,00</w:t>
            </w:r>
          </w:p>
        </w:tc>
        <w:tc>
          <w:tcPr>
            <w:tcW w:w="0" w:type="auto"/>
            <w:shd w:val="clear" w:color="auto" w:fill="auto"/>
          </w:tcPr>
          <w:p w14:paraId="38C7295F" w14:textId="77777777" w:rsidR="008C5CFA" w:rsidRPr="00A92B39" w:rsidRDefault="00E82A60" w:rsidP="00300A01">
            <w:pPr>
              <w:spacing w:before="0" w:after="0"/>
              <w:jc w:val="right"/>
              <w:rPr>
                <w:sz w:val="10"/>
                <w:szCs w:val="10"/>
                <w:lang w:val="fr-BE"/>
              </w:rPr>
            </w:pPr>
            <w:r w:rsidRPr="00A92B39">
              <w:rPr>
                <w:noProof/>
                <w:sz w:val="10"/>
                <w:szCs w:val="10"/>
                <w:lang w:val="fr-BE"/>
              </w:rPr>
              <w:t>21,00</w:t>
            </w:r>
          </w:p>
        </w:tc>
        <w:tc>
          <w:tcPr>
            <w:tcW w:w="0" w:type="auto"/>
            <w:shd w:val="clear" w:color="auto" w:fill="auto"/>
          </w:tcPr>
          <w:p w14:paraId="4B8AF129" w14:textId="77777777" w:rsidR="008C5CFA" w:rsidRPr="00BA47B4" w:rsidRDefault="00E82A60" w:rsidP="00300A01">
            <w:pPr>
              <w:spacing w:before="0" w:after="0"/>
              <w:jc w:val="right"/>
              <w:rPr>
                <w:sz w:val="12"/>
                <w:szCs w:val="12"/>
                <w:lang w:val="fr-BE"/>
              </w:rPr>
            </w:pPr>
            <w:r w:rsidRPr="00A92B39">
              <w:rPr>
                <w:noProof/>
                <w:sz w:val="10"/>
                <w:szCs w:val="10"/>
                <w:lang w:val="fr-BE"/>
              </w:rPr>
              <w:t>12,00</w:t>
            </w:r>
          </w:p>
        </w:tc>
      </w:tr>
      <w:tr w:rsidR="006B2EC1" w14:paraId="2D4133ED" w14:textId="77777777" w:rsidTr="0047688D">
        <w:tc>
          <w:tcPr>
            <w:tcW w:w="0" w:type="auto"/>
            <w:shd w:val="clear" w:color="auto" w:fill="auto"/>
          </w:tcPr>
          <w:p w14:paraId="76431768" w14:textId="77777777" w:rsidR="008C5CFA" w:rsidRPr="00BA47B4" w:rsidRDefault="00E82A60" w:rsidP="00300A01">
            <w:pPr>
              <w:spacing w:before="0" w:after="0"/>
              <w:rPr>
                <w:sz w:val="12"/>
                <w:szCs w:val="12"/>
                <w:lang w:val="fr-BE"/>
              </w:rPr>
            </w:pPr>
            <w:r>
              <w:rPr>
                <w:noProof/>
                <w:sz w:val="12"/>
                <w:szCs w:val="12"/>
                <w:lang w:val="fr-BE"/>
              </w:rPr>
              <w:t>CO19</w:t>
            </w:r>
          </w:p>
        </w:tc>
        <w:tc>
          <w:tcPr>
            <w:tcW w:w="0" w:type="auto"/>
            <w:shd w:val="clear" w:color="auto" w:fill="auto"/>
          </w:tcPr>
          <w:p w14:paraId="06E5D8C9" w14:textId="77777777" w:rsidR="008C5CFA" w:rsidRPr="00BA47B4" w:rsidRDefault="00E82A60" w:rsidP="00300A01">
            <w:pPr>
              <w:spacing w:before="0" w:after="0"/>
              <w:rPr>
                <w:sz w:val="12"/>
                <w:szCs w:val="12"/>
                <w:lang w:val="fr-BE"/>
              </w:rPr>
            </w:pPr>
            <w:r>
              <w:rPr>
                <w:noProof/>
                <w:sz w:val="12"/>
                <w:szCs w:val="12"/>
                <w:lang w:val="fr-BE"/>
              </w:rPr>
              <w:t>osoby pochodzące z obszarów wiejskich</w:t>
            </w:r>
          </w:p>
        </w:tc>
        <w:tc>
          <w:tcPr>
            <w:tcW w:w="0" w:type="auto"/>
            <w:shd w:val="clear" w:color="auto" w:fill="auto"/>
          </w:tcPr>
          <w:p w14:paraId="3ABA4EFE" w14:textId="77777777" w:rsidR="008C5CFA" w:rsidRPr="00BA47B4" w:rsidRDefault="00E82A60"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14:paraId="1875340D" w14:textId="77777777" w:rsidR="008C5CFA" w:rsidRPr="00BA47B4" w:rsidRDefault="008C5CFA" w:rsidP="00300A01">
            <w:pPr>
              <w:spacing w:before="0" w:after="0"/>
              <w:jc w:val="right"/>
              <w:rPr>
                <w:sz w:val="12"/>
                <w:szCs w:val="12"/>
                <w:lang w:val="fr-BE"/>
              </w:rPr>
            </w:pPr>
          </w:p>
        </w:tc>
        <w:tc>
          <w:tcPr>
            <w:tcW w:w="0" w:type="auto"/>
            <w:shd w:val="clear" w:color="auto" w:fill="auto"/>
          </w:tcPr>
          <w:p w14:paraId="635A9F07" w14:textId="77777777" w:rsidR="008C5CFA" w:rsidRPr="00BA47B4" w:rsidRDefault="008C5CFA" w:rsidP="00300A01">
            <w:pPr>
              <w:spacing w:before="0" w:after="0"/>
              <w:jc w:val="right"/>
              <w:rPr>
                <w:sz w:val="12"/>
                <w:szCs w:val="12"/>
                <w:lang w:val="fr-BE"/>
              </w:rPr>
            </w:pPr>
          </w:p>
        </w:tc>
        <w:tc>
          <w:tcPr>
            <w:tcW w:w="0" w:type="auto"/>
            <w:shd w:val="clear" w:color="auto" w:fill="auto"/>
          </w:tcPr>
          <w:p w14:paraId="2693B440" w14:textId="77777777" w:rsidR="008C5CFA" w:rsidRPr="00BA47B4" w:rsidRDefault="008C5CFA" w:rsidP="00300A01">
            <w:pPr>
              <w:spacing w:before="0" w:after="0"/>
              <w:jc w:val="right"/>
              <w:rPr>
                <w:sz w:val="12"/>
                <w:szCs w:val="12"/>
                <w:lang w:val="fr-BE"/>
              </w:rPr>
            </w:pPr>
          </w:p>
        </w:tc>
        <w:tc>
          <w:tcPr>
            <w:tcW w:w="0" w:type="auto"/>
            <w:shd w:val="clear" w:color="auto" w:fill="auto"/>
          </w:tcPr>
          <w:p w14:paraId="0B76B386" w14:textId="77777777" w:rsidR="008C5CFA" w:rsidRPr="00BA47B4" w:rsidRDefault="00E82A60" w:rsidP="00300A01">
            <w:pPr>
              <w:spacing w:before="0" w:after="0"/>
              <w:jc w:val="right"/>
              <w:rPr>
                <w:sz w:val="12"/>
                <w:szCs w:val="12"/>
                <w:lang w:val="fr-BE"/>
              </w:rPr>
            </w:pPr>
            <w:r w:rsidRPr="00BA47B4">
              <w:rPr>
                <w:noProof/>
                <w:sz w:val="12"/>
                <w:szCs w:val="12"/>
                <w:lang w:val="fr-BE"/>
              </w:rPr>
              <w:t>8 448,00</w:t>
            </w:r>
          </w:p>
        </w:tc>
        <w:tc>
          <w:tcPr>
            <w:tcW w:w="0" w:type="auto"/>
            <w:shd w:val="clear" w:color="auto" w:fill="auto"/>
          </w:tcPr>
          <w:p w14:paraId="63D1DEF7" w14:textId="77777777" w:rsidR="008C5CFA" w:rsidRPr="00BA47B4" w:rsidRDefault="00E82A60" w:rsidP="00300A01">
            <w:pPr>
              <w:spacing w:before="0" w:after="0"/>
              <w:jc w:val="right"/>
              <w:rPr>
                <w:sz w:val="12"/>
                <w:szCs w:val="12"/>
                <w:lang w:val="fr-BE"/>
              </w:rPr>
            </w:pPr>
            <w:r w:rsidRPr="00BA47B4">
              <w:rPr>
                <w:noProof/>
                <w:sz w:val="12"/>
                <w:szCs w:val="12"/>
                <w:lang w:val="fr-BE"/>
              </w:rPr>
              <w:t>3 272,00</w:t>
            </w:r>
          </w:p>
        </w:tc>
        <w:tc>
          <w:tcPr>
            <w:tcW w:w="0" w:type="auto"/>
            <w:shd w:val="clear" w:color="auto" w:fill="auto"/>
          </w:tcPr>
          <w:p w14:paraId="056387EB" w14:textId="77777777" w:rsidR="008C5CFA" w:rsidRPr="00BA47B4" w:rsidRDefault="00E82A60" w:rsidP="00300A01">
            <w:pPr>
              <w:spacing w:before="0" w:after="0"/>
              <w:jc w:val="right"/>
              <w:rPr>
                <w:sz w:val="12"/>
                <w:szCs w:val="12"/>
                <w:lang w:val="fr-BE"/>
              </w:rPr>
            </w:pPr>
            <w:r w:rsidRPr="00BA47B4">
              <w:rPr>
                <w:noProof/>
                <w:sz w:val="12"/>
                <w:szCs w:val="12"/>
                <w:lang w:val="fr-BE"/>
              </w:rPr>
              <w:t>5 176,00</w:t>
            </w:r>
          </w:p>
        </w:tc>
        <w:tc>
          <w:tcPr>
            <w:tcW w:w="0" w:type="auto"/>
            <w:shd w:val="clear" w:color="auto" w:fill="auto"/>
          </w:tcPr>
          <w:p w14:paraId="56620235" w14:textId="77777777" w:rsidR="008C5CFA" w:rsidRPr="00BA47B4" w:rsidRDefault="008C5CFA" w:rsidP="00300A01">
            <w:pPr>
              <w:spacing w:before="0" w:after="0"/>
              <w:jc w:val="right"/>
              <w:rPr>
                <w:sz w:val="12"/>
                <w:szCs w:val="12"/>
                <w:lang w:val="fr-BE"/>
              </w:rPr>
            </w:pPr>
          </w:p>
        </w:tc>
        <w:tc>
          <w:tcPr>
            <w:tcW w:w="0" w:type="auto"/>
            <w:shd w:val="clear" w:color="auto" w:fill="auto"/>
          </w:tcPr>
          <w:p w14:paraId="08FBA22B" w14:textId="77777777" w:rsidR="008C5CFA" w:rsidRPr="00BA47B4" w:rsidRDefault="008C5CFA" w:rsidP="00300A01">
            <w:pPr>
              <w:spacing w:before="0" w:after="0"/>
              <w:jc w:val="right"/>
              <w:rPr>
                <w:sz w:val="12"/>
                <w:szCs w:val="12"/>
                <w:lang w:val="fr-BE"/>
              </w:rPr>
            </w:pPr>
          </w:p>
        </w:tc>
        <w:tc>
          <w:tcPr>
            <w:tcW w:w="0" w:type="auto"/>
            <w:shd w:val="clear" w:color="auto" w:fill="auto"/>
          </w:tcPr>
          <w:p w14:paraId="38890937" w14:textId="77777777" w:rsidR="008C5CFA" w:rsidRPr="00BA47B4" w:rsidRDefault="008C5CFA" w:rsidP="00300A01">
            <w:pPr>
              <w:spacing w:before="0" w:after="0"/>
              <w:jc w:val="right"/>
              <w:rPr>
                <w:sz w:val="12"/>
                <w:szCs w:val="12"/>
                <w:lang w:val="fr-BE"/>
              </w:rPr>
            </w:pPr>
          </w:p>
        </w:tc>
        <w:tc>
          <w:tcPr>
            <w:tcW w:w="0" w:type="auto"/>
          </w:tcPr>
          <w:p w14:paraId="7C33424B" w14:textId="77777777" w:rsidR="008C5CFA" w:rsidRPr="00A92B39" w:rsidRDefault="00E82A60" w:rsidP="00300A01">
            <w:pPr>
              <w:spacing w:before="0" w:after="0"/>
              <w:jc w:val="right"/>
              <w:rPr>
                <w:sz w:val="10"/>
                <w:szCs w:val="10"/>
                <w:lang w:val="fr-BE"/>
              </w:rPr>
            </w:pPr>
            <w:r w:rsidRPr="00A92B39">
              <w:rPr>
                <w:noProof/>
                <w:sz w:val="10"/>
                <w:szCs w:val="10"/>
                <w:lang w:val="fr-BE"/>
              </w:rPr>
              <w:t>2 266,00</w:t>
            </w:r>
          </w:p>
        </w:tc>
        <w:tc>
          <w:tcPr>
            <w:tcW w:w="0" w:type="auto"/>
            <w:shd w:val="clear" w:color="auto" w:fill="auto"/>
          </w:tcPr>
          <w:p w14:paraId="558323BE" w14:textId="77777777" w:rsidR="008C5CFA" w:rsidRPr="00A92B39" w:rsidRDefault="00E82A60" w:rsidP="00300A01">
            <w:pPr>
              <w:spacing w:before="0" w:after="0"/>
              <w:jc w:val="right"/>
              <w:rPr>
                <w:sz w:val="10"/>
                <w:szCs w:val="10"/>
                <w:lang w:val="fr-BE"/>
              </w:rPr>
            </w:pPr>
            <w:r w:rsidRPr="00A92B39">
              <w:rPr>
                <w:noProof/>
                <w:sz w:val="10"/>
                <w:szCs w:val="10"/>
                <w:lang w:val="fr-BE"/>
              </w:rPr>
              <w:t>938,00</w:t>
            </w:r>
          </w:p>
        </w:tc>
        <w:tc>
          <w:tcPr>
            <w:tcW w:w="0" w:type="auto"/>
            <w:shd w:val="clear" w:color="auto" w:fill="auto"/>
          </w:tcPr>
          <w:p w14:paraId="22FF0A77" w14:textId="77777777" w:rsidR="008C5CFA" w:rsidRPr="00BA47B4" w:rsidRDefault="00E82A60" w:rsidP="00300A01">
            <w:pPr>
              <w:spacing w:before="0" w:after="0"/>
              <w:jc w:val="right"/>
              <w:rPr>
                <w:sz w:val="12"/>
                <w:szCs w:val="12"/>
                <w:lang w:val="fr-BE"/>
              </w:rPr>
            </w:pPr>
            <w:r w:rsidRPr="00A92B39">
              <w:rPr>
                <w:noProof/>
                <w:sz w:val="10"/>
                <w:szCs w:val="10"/>
                <w:lang w:val="fr-BE"/>
              </w:rPr>
              <w:t>1 328,00</w:t>
            </w:r>
          </w:p>
        </w:tc>
      </w:tr>
      <w:tr w:rsidR="006B2EC1" w14:paraId="0D5A74EF" w14:textId="77777777" w:rsidTr="0047688D">
        <w:tc>
          <w:tcPr>
            <w:tcW w:w="0" w:type="auto"/>
            <w:shd w:val="clear" w:color="auto" w:fill="auto"/>
          </w:tcPr>
          <w:p w14:paraId="3971C385" w14:textId="77777777" w:rsidR="008C5CFA" w:rsidRPr="00BA47B4" w:rsidRDefault="00E82A60" w:rsidP="00300A01">
            <w:pPr>
              <w:spacing w:before="0" w:after="0"/>
              <w:rPr>
                <w:sz w:val="12"/>
                <w:szCs w:val="12"/>
                <w:lang w:val="fr-BE"/>
              </w:rPr>
            </w:pPr>
            <w:r>
              <w:rPr>
                <w:noProof/>
                <w:sz w:val="12"/>
                <w:szCs w:val="12"/>
                <w:lang w:val="fr-BE"/>
              </w:rPr>
              <w:t>CO20</w:t>
            </w:r>
          </w:p>
        </w:tc>
        <w:tc>
          <w:tcPr>
            <w:tcW w:w="0" w:type="auto"/>
            <w:shd w:val="clear" w:color="auto" w:fill="auto"/>
          </w:tcPr>
          <w:p w14:paraId="5C66968A" w14:textId="77777777" w:rsidR="008C5CFA" w:rsidRPr="00BA47B4" w:rsidRDefault="00E82A60" w:rsidP="00300A01">
            <w:pPr>
              <w:spacing w:before="0" w:after="0"/>
              <w:rPr>
                <w:sz w:val="12"/>
                <w:szCs w:val="12"/>
                <w:lang w:val="fr-BE"/>
              </w:rPr>
            </w:pPr>
            <w:r>
              <w:rPr>
                <w:noProof/>
                <w:sz w:val="12"/>
                <w:szCs w:val="12"/>
                <w:lang w:val="fr-BE"/>
              </w:rPr>
              <w:t>liczba projektów zrealizowanych w pełni lub częściowo przez partnerów społecznych lub organizacje pozarządowe</w:t>
            </w:r>
          </w:p>
        </w:tc>
        <w:tc>
          <w:tcPr>
            <w:tcW w:w="0" w:type="auto"/>
            <w:shd w:val="clear" w:color="auto" w:fill="auto"/>
          </w:tcPr>
          <w:p w14:paraId="66AA0213" w14:textId="77777777" w:rsidR="008C5CFA" w:rsidRPr="00BA47B4" w:rsidRDefault="00E82A60"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14:paraId="231E79DB" w14:textId="77777777" w:rsidR="008C5CFA" w:rsidRPr="00BA47B4" w:rsidRDefault="008C5CFA" w:rsidP="00300A01">
            <w:pPr>
              <w:spacing w:before="0" w:after="0"/>
              <w:jc w:val="right"/>
              <w:rPr>
                <w:sz w:val="12"/>
                <w:szCs w:val="12"/>
                <w:lang w:val="fr-BE"/>
              </w:rPr>
            </w:pPr>
          </w:p>
        </w:tc>
        <w:tc>
          <w:tcPr>
            <w:tcW w:w="0" w:type="auto"/>
            <w:shd w:val="clear" w:color="auto" w:fill="auto"/>
          </w:tcPr>
          <w:p w14:paraId="63359010" w14:textId="77777777" w:rsidR="008C5CFA" w:rsidRPr="00BA47B4" w:rsidRDefault="008C5CFA" w:rsidP="00300A01">
            <w:pPr>
              <w:spacing w:before="0" w:after="0"/>
              <w:jc w:val="right"/>
              <w:rPr>
                <w:sz w:val="12"/>
                <w:szCs w:val="12"/>
                <w:lang w:val="fr-BE"/>
              </w:rPr>
            </w:pPr>
          </w:p>
        </w:tc>
        <w:tc>
          <w:tcPr>
            <w:tcW w:w="0" w:type="auto"/>
            <w:shd w:val="clear" w:color="auto" w:fill="auto"/>
          </w:tcPr>
          <w:p w14:paraId="18E496EC" w14:textId="77777777" w:rsidR="008C5CFA" w:rsidRPr="00BA47B4" w:rsidRDefault="008C5CFA" w:rsidP="00300A01">
            <w:pPr>
              <w:spacing w:before="0" w:after="0"/>
              <w:jc w:val="right"/>
              <w:rPr>
                <w:sz w:val="12"/>
                <w:szCs w:val="12"/>
                <w:lang w:val="fr-BE"/>
              </w:rPr>
            </w:pPr>
          </w:p>
        </w:tc>
        <w:tc>
          <w:tcPr>
            <w:tcW w:w="0" w:type="auto"/>
            <w:shd w:val="clear" w:color="auto" w:fill="auto"/>
          </w:tcPr>
          <w:p w14:paraId="147E9ECC" w14:textId="77777777" w:rsidR="008C5CFA" w:rsidRPr="00BA47B4" w:rsidRDefault="00E82A60" w:rsidP="00300A01">
            <w:pPr>
              <w:spacing w:before="0" w:after="0"/>
              <w:jc w:val="right"/>
              <w:rPr>
                <w:sz w:val="12"/>
                <w:szCs w:val="12"/>
                <w:lang w:val="fr-BE"/>
              </w:rPr>
            </w:pPr>
            <w:r w:rsidRPr="00BA47B4">
              <w:rPr>
                <w:noProof/>
                <w:sz w:val="12"/>
                <w:szCs w:val="12"/>
                <w:lang w:val="fr-BE"/>
              </w:rPr>
              <w:t>26,00</w:t>
            </w:r>
          </w:p>
        </w:tc>
        <w:tc>
          <w:tcPr>
            <w:tcW w:w="0" w:type="auto"/>
            <w:shd w:val="clear" w:color="auto" w:fill="auto"/>
          </w:tcPr>
          <w:p w14:paraId="589EC163" w14:textId="77777777" w:rsidR="008C5CFA" w:rsidRPr="00BA47B4" w:rsidRDefault="008C5CFA" w:rsidP="00300A01">
            <w:pPr>
              <w:spacing w:before="0" w:after="0"/>
              <w:jc w:val="right"/>
              <w:rPr>
                <w:sz w:val="12"/>
                <w:szCs w:val="12"/>
                <w:lang w:val="fr-BE"/>
              </w:rPr>
            </w:pPr>
          </w:p>
        </w:tc>
        <w:tc>
          <w:tcPr>
            <w:tcW w:w="0" w:type="auto"/>
            <w:shd w:val="clear" w:color="auto" w:fill="auto"/>
          </w:tcPr>
          <w:p w14:paraId="5D6DE587" w14:textId="77777777" w:rsidR="008C5CFA" w:rsidRPr="00BA47B4" w:rsidRDefault="008C5CFA" w:rsidP="00300A01">
            <w:pPr>
              <w:spacing w:before="0" w:after="0"/>
              <w:jc w:val="right"/>
              <w:rPr>
                <w:sz w:val="12"/>
                <w:szCs w:val="12"/>
                <w:lang w:val="fr-BE"/>
              </w:rPr>
            </w:pPr>
          </w:p>
        </w:tc>
        <w:tc>
          <w:tcPr>
            <w:tcW w:w="0" w:type="auto"/>
            <w:shd w:val="clear" w:color="auto" w:fill="auto"/>
          </w:tcPr>
          <w:p w14:paraId="5C0B61D4" w14:textId="77777777" w:rsidR="008C5CFA" w:rsidRPr="00BA47B4" w:rsidRDefault="008C5CFA" w:rsidP="00300A01">
            <w:pPr>
              <w:spacing w:before="0" w:after="0"/>
              <w:jc w:val="right"/>
              <w:rPr>
                <w:sz w:val="12"/>
                <w:szCs w:val="12"/>
                <w:lang w:val="fr-BE"/>
              </w:rPr>
            </w:pPr>
          </w:p>
        </w:tc>
        <w:tc>
          <w:tcPr>
            <w:tcW w:w="0" w:type="auto"/>
            <w:shd w:val="clear" w:color="auto" w:fill="auto"/>
          </w:tcPr>
          <w:p w14:paraId="3BB4F089" w14:textId="77777777" w:rsidR="008C5CFA" w:rsidRPr="00BA47B4" w:rsidRDefault="008C5CFA" w:rsidP="00300A01">
            <w:pPr>
              <w:spacing w:before="0" w:after="0"/>
              <w:jc w:val="right"/>
              <w:rPr>
                <w:sz w:val="12"/>
                <w:szCs w:val="12"/>
                <w:lang w:val="fr-BE"/>
              </w:rPr>
            </w:pPr>
          </w:p>
        </w:tc>
        <w:tc>
          <w:tcPr>
            <w:tcW w:w="0" w:type="auto"/>
            <w:shd w:val="clear" w:color="auto" w:fill="auto"/>
          </w:tcPr>
          <w:p w14:paraId="277C8E8A" w14:textId="77777777" w:rsidR="008C5CFA" w:rsidRPr="00BA47B4" w:rsidRDefault="008C5CFA" w:rsidP="00300A01">
            <w:pPr>
              <w:spacing w:before="0" w:after="0"/>
              <w:jc w:val="right"/>
              <w:rPr>
                <w:sz w:val="12"/>
                <w:szCs w:val="12"/>
                <w:lang w:val="fr-BE"/>
              </w:rPr>
            </w:pPr>
          </w:p>
        </w:tc>
        <w:tc>
          <w:tcPr>
            <w:tcW w:w="0" w:type="auto"/>
          </w:tcPr>
          <w:p w14:paraId="707504A5" w14:textId="77777777" w:rsidR="008C5CFA" w:rsidRPr="00A92B39" w:rsidRDefault="00E82A60" w:rsidP="00300A01">
            <w:pPr>
              <w:spacing w:before="0" w:after="0"/>
              <w:jc w:val="right"/>
              <w:rPr>
                <w:sz w:val="10"/>
                <w:szCs w:val="10"/>
                <w:lang w:val="fr-BE"/>
              </w:rPr>
            </w:pPr>
            <w:r w:rsidRPr="00A92B39">
              <w:rPr>
                <w:noProof/>
                <w:sz w:val="10"/>
                <w:szCs w:val="10"/>
                <w:lang w:val="fr-BE"/>
              </w:rPr>
              <w:t>7,00</w:t>
            </w:r>
          </w:p>
        </w:tc>
        <w:tc>
          <w:tcPr>
            <w:tcW w:w="0" w:type="auto"/>
            <w:shd w:val="clear" w:color="auto" w:fill="auto"/>
          </w:tcPr>
          <w:p w14:paraId="544016D7" w14:textId="77777777" w:rsidR="008C5CFA" w:rsidRPr="00A92B39" w:rsidRDefault="008C5CFA" w:rsidP="00300A01">
            <w:pPr>
              <w:spacing w:before="0" w:after="0"/>
              <w:jc w:val="right"/>
              <w:rPr>
                <w:sz w:val="10"/>
                <w:szCs w:val="10"/>
                <w:lang w:val="fr-BE"/>
              </w:rPr>
            </w:pPr>
          </w:p>
        </w:tc>
        <w:tc>
          <w:tcPr>
            <w:tcW w:w="0" w:type="auto"/>
            <w:shd w:val="clear" w:color="auto" w:fill="auto"/>
          </w:tcPr>
          <w:p w14:paraId="39B91B56" w14:textId="77777777" w:rsidR="008C5CFA" w:rsidRPr="00BA47B4" w:rsidRDefault="008C5CFA" w:rsidP="00300A01">
            <w:pPr>
              <w:spacing w:before="0" w:after="0"/>
              <w:jc w:val="right"/>
              <w:rPr>
                <w:sz w:val="12"/>
                <w:szCs w:val="12"/>
                <w:lang w:val="fr-BE"/>
              </w:rPr>
            </w:pPr>
          </w:p>
        </w:tc>
      </w:tr>
      <w:tr w:rsidR="006B2EC1" w14:paraId="37FFFD49" w14:textId="77777777" w:rsidTr="0047688D">
        <w:tc>
          <w:tcPr>
            <w:tcW w:w="0" w:type="auto"/>
            <w:shd w:val="clear" w:color="auto" w:fill="auto"/>
          </w:tcPr>
          <w:p w14:paraId="62449B43" w14:textId="77777777" w:rsidR="008C5CFA" w:rsidRPr="00BA47B4" w:rsidRDefault="00E82A60" w:rsidP="00300A01">
            <w:pPr>
              <w:spacing w:before="0" w:after="0"/>
              <w:rPr>
                <w:sz w:val="12"/>
                <w:szCs w:val="12"/>
                <w:lang w:val="fr-BE"/>
              </w:rPr>
            </w:pPr>
            <w:r>
              <w:rPr>
                <w:noProof/>
                <w:sz w:val="12"/>
                <w:szCs w:val="12"/>
                <w:lang w:val="fr-BE"/>
              </w:rPr>
              <w:t>CO21</w:t>
            </w:r>
          </w:p>
        </w:tc>
        <w:tc>
          <w:tcPr>
            <w:tcW w:w="0" w:type="auto"/>
            <w:shd w:val="clear" w:color="auto" w:fill="auto"/>
          </w:tcPr>
          <w:p w14:paraId="7D053A25" w14:textId="77777777" w:rsidR="008C5CFA" w:rsidRPr="00BA47B4" w:rsidRDefault="00E82A60" w:rsidP="00300A01">
            <w:pPr>
              <w:spacing w:before="0" w:after="0"/>
              <w:rPr>
                <w:sz w:val="12"/>
                <w:szCs w:val="12"/>
                <w:lang w:val="fr-BE"/>
              </w:rPr>
            </w:pPr>
            <w:r>
              <w:rPr>
                <w:noProof/>
                <w:sz w:val="12"/>
                <w:szCs w:val="12"/>
                <w:lang w:val="fr-BE"/>
              </w:rPr>
              <w:t>liczba projektów ukierunkowanych na trwały udział kobiet w zatrudnieniu i rozwój ich kariery zawodowej</w:t>
            </w:r>
          </w:p>
        </w:tc>
        <w:tc>
          <w:tcPr>
            <w:tcW w:w="0" w:type="auto"/>
            <w:shd w:val="clear" w:color="auto" w:fill="auto"/>
          </w:tcPr>
          <w:p w14:paraId="4C94915B" w14:textId="77777777" w:rsidR="008C5CFA" w:rsidRPr="00BA47B4" w:rsidRDefault="00E82A60"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14:paraId="7A9929E5" w14:textId="77777777" w:rsidR="008C5CFA" w:rsidRPr="00BA47B4" w:rsidRDefault="008C5CFA" w:rsidP="00300A01">
            <w:pPr>
              <w:spacing w:before="0" w:after="0"/>
              <w:jc w:val="right"/>
              <w:rPr>
                <w:sz w:val="12"/>
                <w:szCs w:val="12"/>
                <w:lang w:val="fr-BE"/>
              </w:rPr>
            </w:pPr>
          </w:p>
        </w:tc>
        <w:tc>
          <w:tcPr>
            <w:tcW w:w="0" w:type="auto"/>
            <w:shd w:val="clear" w:color="auto" w:fill="auto"/>
          </w:tcPr>
          <w:p w14:paraId="60E92E3A" w14:textId="77777777" w:rsidR="008C5CFA" w:rsidRPr="00BA47B4" w:rsidRDefault="008C5CFA" w:rsidP="00300A01">
            <w:pPr>
              <w:spacing w:before="0" w:after="0"/>
              <w:jc w:val="right"/>
              <w:rPr>
                <w:sz w:val="12"/>
                <w:szCs w:val="12"/>
                <w:lang w:val="fr-BE"/>
              </w:rPr>
            </w:pPr>
          </w:p>
        </w:tc>
        <w:tc>
          <w:tcPr>
            <w:tcW w:w="0" w:type="auto"/>
            <w:shd w:val="clear" w:color="auto" w:fill="auto"/>
          </w:tcPr>
          <w:p w14:paraId="6C9F409B" w14:textId="77777777" w:rsidR="008C5CFA" w:rsidRPr="00BA47B4" w:rsidRDefault="008C5CFA" w:rsidP="00300A01">
            <w:pPr>
              <w:spacing w:before="0" w:after="0"/>
              <w:jc w:val="right"/>
              <w:rPr>
                <w:sz w:val="12"/>
                <w:szCs w:val="12"/>
                <w:lang w:val="fr-BE"/>
              </w:rPr>
            </w:pPr>
          </w:p>
        </w:tc>
        <w:tc>
          <w:tcPr>
            <w:tcW w:w="0" w:type="auto"/>
            <w:shd w:val="clear" w:color="auto" w:fill="auto"/>
          </w:tcPr>
          <w:p w14:paraId="347E7CD6"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7387E166" w14:textId="77777777" w:rsidR="008C5CFA" w:rsidRPr="00BA47B4" w:rsidRDefault="008C5CFA" w:rsidP="00300A01">
            <w:pPr>
              <w:spacing w:before="0" w:after="0"/>
              <w:jc w:val="right"/>
              <w:rPr>
                <w:sz w:val="12"/>
                <w:szCs w:val="12"/>
                <w:lang w:val="fr-BE"/>
              </w:rPr>
            </w:pPr>
          </w:p>
        </w:tc>
        <w:tc>
          <w:tcPr>
            <w:tcW w:w="0" w:type="auto"/>
            <w:shd w:val="clear" w:color="auto" w:fill="auto"/>
          </w:tcPr>
          <w:p w14:paraId="3EDF0715" w14:textId="77777777" w:rsidR="008C5CFA" w:rsidRPr="00BA47B4" w:rsidRDefault="008C5CFA" w:rsidP="00300A01">
            <w:pPr>
              <w:spacing w:before="0" w:after="0"/>
              <w:jc w:val="right"/>
              <w:rPr>
                <w:sz w:val="12"/>
                <w:szCs w:val="12"/>
                <w:lang w:val="fr-BE"/>
              </w:rPr>
            </w:pPr>
          </w:p>
        </w:tc>
        <w:tc>
          <w:tcPr>
            <w:tcW w:w="0" w:type="auto"/>
            <w:shd w:val="clear" w:color="auto" w:fill="auto"/>
          </w:tcPr>
          <w:p w14:paraId="0D1F8261" w14:textId="77777777" w:rsidR="008C5CFA" w:rsidRPr="00BA47B4" w:rsidRDefault="008C5CFA" w:rsidP="00300A01">
            <w:pPr>
              <w:spacing w:before="0" w:after="0"/>
              <w:jc w:val="right"/>
              <w:rPr>
                <w:sz w:val="12"/>
                <w:szCs w:val="12"/>
                <w:lang w:val="fr-BE"/>
              </w:rPr>
            </w:pPr>
          </w:p>
        </w:tc>
        <w:tc>
          <w:tcPr>
            <w:tcW w:w="0" w:type="auto"/>
            <w:shd w:val="clear" w:color="auto" w:fill="auto"/>
          </w:tcPr>
          <w:p w14:paraId="0CD97D3C" w14:textId="77777777" w:rsidR="008C5CFA" w:rsidRPr="00BA47B4" w:rsidRDefault="008C5CFA" w:rsidP="00300A01">
            <w:pPr>
              <w:spacing w:before="0" w:after="0"/>
              <w:jc w:val="right"/>
              <w:rPr>
                <w:sz w:val="12"/>
                <w:szCs w:val="12"/>
                <w:lang w:val="fr-BE"/>
              </w:rPr>
            </w:pPr>
          </w:p>
        </w:tc>
        <w:tc>
          <w:tcPr>
            <w:tcW w:w="0" w:type="auto"/>
            <w:shd w:val="clear" w:color="auto" w:fill="auto"/>
          </w:tcPr>
          <w:p w14:paraId="0EA630E7" w14:textId="77777777" w:rsidR="008C5CFA" w:rsidRPr="00BA47B4" w:rsidRDefault="008C5CFA" w:rsidP="00300A01">
            <w:pPr>
              <w:spacing w:before="0" w:after="0"/>
              <w:jc w:val="right"/>
              <w:rPr>
                <w:sz w:val="12"/>
                <w:szCs w:val="12"/>
                <w:lang w:val="fr-BE"/>
              </w:rPr>
            </w:pPr>
          </w:p>
        </w:tc>
        <w:tc>
          <w:tcPr>
            <w:tcW w:w="0" w:type="auto"/>
          </w:tcPr>
          <w:p w14:paraId="18AEDA0C"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14:paraId="06EFC6D2" w14:textId="77777777" w:rsidR="008C5CFA" w:rsidRPr="00A92B39" w:rsidRDefault="008C5CFA" w:rsidP="00300A01">
            <w:pPr>
              <w:spacing w:before="0" w:after="0"/>
              <w:jc w:val="right"/>
              <w:rPr>
                <w:sz w:val="10"/>
                <w:szCs w:val="10"/>
                <w:lang w:val="fr-BE"/>
              </w:rPr>
            </w:pPr>
          </w:p>
        </w:tc>
        <w:tc>
          <w:tcPr>
            <w:tcW w:w="0" w:type="auto"/>
            <w:shd w:val="clear" w:color="auto" w:fill="auto"/>
          </w:tcPr>
          <w:p w14:paraId="37AB0C34" w14:textId="77777777" w:rsidR="008C5CFA" w:rsidRPr="00BA47B4" w:rsidRDefault="008C5CFA" w:rsidP="00300A01">
            <w:pPr>
              <w:spacing w:before="0" w:after="0"/>
              <w:jc w:val="right"/>
              <w:rPr>
                <w:sz w:val="12"/>
                <w:szCs w:val="12"/>
                <w:lang w:val="fr-BE"/>
              </w:rPr>
            </w:pPr>
          </w:p>
        </w:tc>
      </w:tr>
      <w:tr w:rsidR="006B2EC1" w14:paraId="50D1BFD0" w14:textId="77777777" w:rsidTr="0047688D">
        <w:tc>
          <w:tcPr>
            <w:tcW w:w="0" w:type="auto"/>
            <w:shd w:val="clear" w:color="auto" w:fill="auto"/>
          </w:tcPr>
          <w:p w14:paraId="72A49D8D" w14:textId="77777777" w:rsidR="008C5CFA" w:rsidRPr="00BA47B4" w:rsidRDefault="00E82A60" w:rsidP="00300A01">
            <w:pPr>
              <w:spacing w:before="0" w:after="0"/>
              <w:rPr>
                <w:sz w:val="12"/>
                <w:szCs w:val="12"/>
                <w:lang w:val="fr-BE"/>
              </w:rPr>
            </w:pPr>
            <w:r>
              <w:rPr>
                <w:noProof/>
                <w:sz w:val="12"/>
                <w:szCs w:val="12"/>
                <w:lang w:val="fr-BE"/>
              </w:rPr>
              <w:t>CO22</w:t>
            </w:r>
          </w:p>
        </w:tc>
        <w:tc>
          <w:tcPr>
            <w:tcW w:w="0" w:type="auto"/>
            <w:shd w:val="clear" w:color="auto" w:fill="auto"/>
          </w:tcPr>
          <w:p w14:paraId="303D27BB" w14:textId="77777777" w:rsidR="008C5CFA" w:rsidRPr="00BA47B4" w:rsidRDefault="00E82A60" w:rsidP="00300A01">
            <w:pPr>
              <w:spacing w:before="0" w:after="0"/>
              <w:rPr>
                <w:sz w:val="12"/>
                <w:szCs w:val="12"/>
                <w:lang w:val="fr-BE"/>
              </w:rPr>
            </w:pPr>
            <w:r>
              <w:rPr>
                <w:noProof/>
                <w:sz w:val="12"/>
                <w:szCs w:val="12"/>
                <w:lang w:val="fr-BE"/>
              </w:rPr>
              <w:t>liczba projektów obejmujących administrację publiczną lub służby publiczne na szczeblu krajowym, regionalnym lub lokalnym</w:t>
            </w:r>
          </w:p>
        </w:tc>
        <w:tc>
          <w:tcPr>
            <w:tcW w:w="0" w:type="auto"/>
            <w:shd w:val="clear" w:color="auto" w:fill="auto"/>
          </w:tcPr>
          <w:p w14:paraId="3529EE00" w14:textId="77777777" w:rsidR="008C5CFA" w:rsidRPr="00BA47B4" w:rsidRDefault="00E82A60"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14:paraId="249C5144" w14:textId="77777777" w:rsidR="008C5CFA" w:rsidRPr="00BA47B4" w:rsidRDefault="008C5CFA" w:rsidP="00300A01">
            <w:pPr>
              <w:spacing w:before="0" w:after="0"/>
              <w:jc w:val="right"/>
              <w:rPr>
                <w:sz w:val="12"/>
                <w:szCs w:val="12"/>
                <w:lang w:val="fr-BE"/>
              </w:rPr>
            </w:pPr>
          </w:p>
        </w:tc>
        <w:tc>
          <w:tcPr>
            <w:tcW w:w="0" w:type="auto"/>
            <w:shd w:val="clear" w:color="auto" w:fill="auto"/>
          </w:tcPr>
          <w:p w14:paraId="1BE65A53" w14:textId="77777777" w:rsidR="008C5CFA" w:rsidRPr="00BA47B4" w:rsidRDefault="008C5CFA" w:rsidP="00300A01">
            <w:pPr>
              <w:spacing w:before="0" w:after="0"/>
              <w:jc w:val="right"/>
              <w:rPr>
                <w:sz w:val="12"/>
                <w:szCs w:val="12"/>
                <w:lang w:val="fr-BE"/>
              </w:rPr>
            </w:pPr>
          </w:p>
        </w:tc>
        <w:tc>
          <w:tcPr>
            <w:tcW w:w="0" w:type="auto"/>
            <w:shd w:val="clear" w:color="auto" w:fill="auto"/>
          </w:tcPr>
          <w:p w14:paraId="6F23D39A" w14:textId="77777777" w:rsidR="008C5CFA" w:rsidRPr="00BA47B4" w:rsidRDefault="008C5CFA" w:rsidP="00300A01">
            <w:pPr>
              <w:spacing w:before="0" w:after="0"/>
              <w:jc w:val="right"/>
              <w:rPr>
                <w:sz w:val="12"/>
                <w:szCs w:val="12"/>
                <w:lang w:val="fr-BE"/>
              </w:rPr>
            </w:pPr>
          </w:p>
        </w:tc>
        <w:tc>
          <w:tcPr>
            <w:tcW w:w="0" w:type="auto"/>
            <w:shd w:val="clear" w:color="auto" w:fill="auto"/>
          </w:tcPr>
          <w:p w14:paraId="4C79B6A7" w14:textId="77777777" w:rsidR="008C5CFA" w:rsidRPr="00BA47B4" w:rsidRDefault="00E82A60" w:rsidP="00300A01">
            <w:pPr>
              <w:spacing w:before="0" w:after="0"/>
              <w:jc w:val="right"/>
              <w:rPr>
                <w:sz w:val="12"/>
                <w:szCs w:val="12"/>
                <w:lang w:val="fr-BE"/>
              </w:rPr>
            </w:pPr>
            <w:r w:rsidRPr="00BA47B4">
              <w:rPr>
                <w:noProof/>
                <w:sz w:val="12"/>
                <w:szCs w:val="12"/>
                <w:lang w:val="fr-BE"/>
              </w:rPr>
              <w:t>11,00</w:t>
            </w:r>
          </w:p>
        </w:tc>
        <w:tc>
          <w:tcPr>
            <w:tcW w:w="0" w:type="auto"/>
            <w:shd w:val="clear" w:color="auto" w:fill="auto"/>
          </w:tcPr>
          <w:p w14:paraId="7460FA4F" w14:textId="77777777" w:rsidR="008C5CFA" w:rsidRPr="00BA47B4" w:rsidRDefault="008C5CFA" w:rsidP="00300A01">
            <w:pPr>
              <w:spacing w:before="0" w:after="0"/>
              <w:jc w:val="right"/>
              <w:rPr>
                <w:sz w:val="12"/>
                <w:szCs w:val="12"/>
                <w:lang w:val="fr-BE"/>
              </w:rPr>
            </w:pPr>
          </w:p>
        </w:tc>
        <w:tc>
          <w:tcPr>
            <w:tcW w:w="0" w:type="auto"/>
            <w:shd w:val="clear" w:color="auto" w:fill="auto"/>
          </w:tcPr>
          <w:p w14:paraId="476F9A24" w14:textId="77777777" w:rsidR="008C5CFA" w:rsidRPr="00BA47B4" w:rsidRDefault="008C5CFA" w:rsidP="00300A01">
            <w:pPr>
              <w:spacing w:before="0" w:after="0"/>
              <w:jc w:val="right"/>
              <w:rPr>
                <w:sz w:val="12"/>
                <w:szCs w:val="12"/>
                <w:lang w:val="fr-BE"/>
              </w:rPr>
            </w:pPr>
          </w:p>
        </w:tc>
        <w:tc>
          <w:tcPr>
            <w:tcW w:w="0" w:type="auto"/>
            <w:shd w:val="clear" w:color="auto" w:fill="auto"/>
          </w:tcPr>
          <w:p w14:paraId="1F793138" w14:textId="77777777" w:rsidR="008C5CFA" w:rsidRPr="00BA47B4" w:rsidRDefault="008C5CFA" w:rsidP="00300A01">
            <w:pPr>
              <w:spacing w:before="0" w:after="0"/>
              <w:jc w:val="right"/>
              <w:rPr>
                <w:sz w:val="12"/>
                <w:szCs w:val="12"/>
                <w:lang w:val="fr-BE"/>
              </w:rPr>
            </w:pPr>
          </w:p>
        </w:tc>
        <w:tc>
          <w:tcPr>
            <w:tcW w:w="0" w:type="auto"/>
            <w:shd w:val="clear" w:color="auto" w:fill="auto"/>
          </w:tcPr>
          <w:p w14:paraId="0761F888" w14:textId="77777777" w:rsidR="008C5CFA" w:rsidRPr="00BA47B4" w:rsidRDefault="008C5CFA" w:rsidP="00300A01">
            <w:pPr>
              <w:spacing w:before="0" w:after="0"/>
              <w:jc w:val="right"/>
              <w:rPr>
                <w:sz w:val="12"/>
                <w:szCs w:val="12"/>
                <w:lang w:val="fr-BE"/>
              </w:rPr>
            </w:pPr>
          </w:p>
        </w:tc>
        <w:tc>
          <w:tcPr>
            <w:tcW w:w="0" w:type="auto"/>
            <w:shd w:val="clear" w:color="auto" w:fill="auto"/>
          </w:tcPr>
          <w:p w14:paraId="54881BF3" w14:textId="77777777" w:rsidR="008C5CFA" w:rsidRPr="00BA47B4" w:rsidRDefault="008C5CFA" w:rsidP="00300A01">
            <w:pPr>
              <w:spacing w:before="0" w:after="0"/>
              <w:jc w:val="right"/>
              <w:rPr>
                <w:sz w:val="12"/>
                <w:szCs w:val="12"/>
                <w:lang w:val="fr-BE"/>
              </w:rPr>
            </w:pPr>
          </w:p>
        </w:tc>
        <w:tc>
          <w:tcPr>
            <w:tcW w:w="0" w:type="auto"/>
          </w:tcPr>
          <w:p w14:paraId="04A50901" w14:textId="77777777" w:rsidR="008C5CFA" w:rsidRPr="00A92B39" w:rsidRDefault="00E82A60" w:rsidP="00300A01">
            <w:pPr>
              <w:spacing w:before="0" w:after="0"/>
              <w:jc w:val="right"/>
              <w:rPr>
                <w:sz w:val="10"/>
                <w:szCs w:val="10"/>
                <w:lang w:val="fr-BE"/>
              </w:rPr>
            </w:pPr>
            <w:r w:rsidRPr="00A92B39">
              <w:rPr>
                <w:noProof/>
                <w:sz w:val="10"/>
                <w:szCs w:val="10"/>
                <w:lang w:val="fr-BE"/>
              </w:rPr>
              <w:t>2,00</w:t>
            </w:r>
          </w:p>
        </w:tc>
        <w:tc>
          <w:tcPr>
            <w:tcW w:w="0" w:type="auto"/>
            <w:shd w:val="clear" w:color="auto" w:fill="auto"/>
          </w:tcPr>
          <w:p w14:paraId="4A572907" w14:textId="77777777" w:rsidR="008C5CFA" w:rsidRPr="00A92B39" w:rsidRDefault="008C5CFA" w:rsidP="00300A01">
            <w:pPr>
              <w:spacing w:before="0" w:after="0"/>
              <w:jc w:val="right"/>
              <w:rPr>
                <w:sz w:val="10"/>
                <w:szCs w:val="10"/>
                <w:lang w:val="fr-BE"/>
              </w:rPr>
            </w:pPr>
          </w:p>
        </w:tc>
        <w:tc>
          <w:tcPr>
            <w:tcW w:w="0" w:type="auto"/>
            <w:shd w:val="clear" w:color="auto" w:fill="auto"/>
          </w:tcPr>
          <w:p w14:paraId="0CCDDE31" w14:textId="77777777" w:rsidR="008C5CFA" w:rsidRPr="00BA47B4" w:rsidRDefault="008C5CFA" w:rsidP="00300A01">
            <w:pPr>
              <w:spacing w:before="0" w:after="0"/>
              <w:jc w:val="right"/>
              <w:rPr>
                <w:sz w:val="12"/>
                <w:szCs w:val="12"/>
                <w:lang w:val="fr-BE"/>
              </w:rPr>
            </w:pPr>
          </w:p>
        </w:tc>
      </w:tr>
      <w:tr w:rsidR="006B2EC1" w14:paraId="78FF367D" w14:textId="77777777" w:rsidTr="0047688D">
        <w:tc>
          <w:tcPr>
            <w:tcW w:w="0" w:type="auto"/>
            <w:shd w:val="clear" w:color="auto" w:fill="auto"/>
          </w:tcPr>
          <w:p w14:paraId="19B86961" w14:textId="77777777" w:rsidR="008C5CFA" w:rsidRPr="00BA47B4" w:rsidRDefault="00E82A60" w:rsidP="00300A01">
            <w:pPr>
              <w:spacing w:before="0" w:after="0"/>
              <w:rPr>
                <w:sz w:val="12"/>
                <w:szCs w:val="12"/>
                <w:lang w:val="fr-BE"/>
              </w:rPr>
            </w:pPr>
            <w:r>
              <w:rPr>
                <w:noProof/>
                <w:sz w:val="12"/>
                <w:szCs w:val="12"/>
                <w:lang w:val="fr-BE"/>
              </w:rPr>
              <w:t>CO23</w:t>
            </w:r>
          </w:p>
        </w:tc>
        <w:tc>
          <w:tcPr>
            <w:tcW w:w="0" w:type="auto"/>
            <w:shd w:val="clear" w:color="auto" w:fill="auto"/>
          </w:tcPr>
          <w:p w14:paraId="52AF6768" w14:textId="77777777" w:rsidR="008C5CFA" w:rsidRPr="00BA47B4" w:rsidRDefault="00E82A60" w:rsidP="00300A01">
            <w:pPr>
              <w:spacing w:before="0" w:after="0"/>
              <w:rPr>
                <w:sz w:val="12"/>
                <w:szCs w:val="12"/>
                <w:lang w:val="fr-BE"/>
              </w:rPr>
            </w:pPr>
            <w:r>
              <w:rPr>
                <w:noProof/>
                <w:sz w:val="12"/>
                <w:szCs w:val="12"/>
                <w:lang w:val="fr-BE"/>
              </w:rPr>
              <w:t>liczba objętych wsparciem mikro-, małych i średnich przedsiębiorstw (w tym przedsiębiorstw spółdzielczych i przedsiębiorstw gospodarki społecznej)</w:t>
            </w:r>
          </w:p>
        </w:tc>
        <w:tc>
          <w:tcPr>
            <w:tcW w:w="0" w:type="auto"/>
            <w:shd w:val="clear" w:color="auto" w:fill="auto"/>
          </w:tcPr>
          <w:p w14:paraId="2E1EF153" w14:textId="77777777" w:rsidR="008C5CFA" w:rsidRPr="00BA47B4" w:rsidRDefault="00E82A60"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14:paraId="741CD03F" w14:textId="77777777" w:rsidR="008C5CFA" w:rsidRPr="00BA47B4" w:rsidRDefault="008C5CFA" w:rsidP="00300A01">
            <w:pPr>
              <w:spacing w:before="0" w:after="0"/>
              <w:jc w:val="right"/>
              <w:rPr>
                <w:sz w:val="12"/>
                <w:szCs w:val="12"/>
                <w:lang w:val="fr-BE"/>
              </w:rPr>
            </w:pPr>
          </w:p>
        </w:tc>
        <w:tc>
          <w:tcPr>
            <w:tcW w:w="0" w:type="auto"/>
            <w:shd w:val="clear" w:color="auto" w:fill="auto"/>
          </w:tcPr>
          <w:p w14:paraId="106DEB96" w14:textId="77777777" w:rsidR="008C5CFA" w:rsidRPr="00BA47B4" w:rsidRDefault="008C5CFA" w:rsidP="00300A01">
            <w:pPr>
              <w:spacing w:before="0" w:after="0"/>
              <w:jc w:val="right"/>
              <w:rPr>
                <w:sz w:val="12"/>
                <w:szCs w:val="12"/>
                <w:lang w:val="fr-BE"/>
              </w:rPr>
            </w:pPr>
          </w:p>
        </w:tc>
        <w:tc>
          <w:tcPr>
            <w:tcW w:w="0" w:type="auto"/>
            <w:shd w:val="clear" w:color="auto" w:fill="auto"/>
          </w:tcPr>
          <w:p w14:paraId="63F3A624" w14:textId="77777777" w:rsidR="008C5CFA" w:rsidRPr="00BA47B4" w:rsidRDefault="008C5CFA" w:rsidP="00300A01">
            <w:pPr>
              <w:spacing w:before="0" w:after="0"/>
              <w:jc w:val="right"/>
              <w:rPr>
                <w:sz w:val="12"/>
                <w:szCs w:val="12"/>
                <w:lang w:val="fr-BE"/>
              </w:rPr>
            </w:pPr>
          </w:p>
        </w:tc>
        <w:tc>
          <w:tcPr>
            <w:tcW w:w="0" w:type="auto"/>
            <w:shd w:val="clear" w:color="auto" w:fill="auto"/>
          </w:tcPr>
          <w:p w14:paraId="1539AC51" w14:textId="77777777" w:rsidR="008C5CFA" w:rsidRPr="00BA47B4" w:rsidRDefault="00E82A60" w:rsidP="00300A01">
            <w:pPr>
              <w:spacing w:before="0" w:after="0"/>
              <w:jc w:val="right"/>
              <w:rPr>
                <w:sz w:val="12"/>
                <w:szCs w:val="12"/>
                <w:lang w:val="fr-BE"/>
              </w:rPr>
            </w:pPr>
            <w:r w:rsidRPr="00BA47B4">
              <w:rPr>
                <w:noProof/>
                <w:sz w:val="12"/>
                <w:szCs w:val="12"/>
                <w:lang w:val="fr-BE"/>
              </w:rPr>
              <w:t>2,00</w:t>
            </w:r>
          </w:p>
        </w:tc>
        <w:tc>
          <w:tcPr>
            <w:tcW w:w="0" w:type="auto"/>
            <w:shd w:val="clear" w:color="auto" w:fill="auto"/>
          </w:tcPr>
          <w:p w14:paraId="60944EDB" w14:textId="77777777" w:rsidR="008C5CFA" w:rsidRPr="00BA47B4" w:rsidRDefault="008C5CFA" w:rsidP="00300A01">
            <w:pPr>
              <w:spacing w:before="0" w:after="0"/>
              <w:jc w:val="right"/>
              <w:rPr>
                <w:sz w:val="12"/>
                <w:szCs w:val="12"/>
                <w:lang w:val="fr-BE"/>
              </w:rPr>
            </w:pPr>
          </w:p>
        </w:tc>
        <w:tc>
          <w:tcPr>
            <w:tcW w:w="0" w:type="auto"/>
            <w:shd w:val="clear" w:color="auto" w:fill="auto"/>
          </w:tcPr>
          <w:p w14:paraId="34A20093" w14:textId="77777777" w:rsidR="008C5CFA" w:rsidRPr="00BA47B4" w:rsidRDefault="008C5CFA" w:rsidP="00300A01">
            <w:pPr>
              <w:spacing w:before="0" w:after="0"/>
              <w:jc w:val="right"/>
              <w:rPr>
                <w:sz w:val="12"/>
                <w:szCs w:val="12"/>
                <w:lang w:val="fr-BE"/>
              </w:rPr>
            </w:pPr>
          </w:p>
        </w:tc>
        <w:tc>
          <w:tcPr>
            <w:tcW w:w="0" w:type="auto"/>
            <w:shd w:val="clear" w:color="auto" w:fill="auto"/>
          </w:tcPr>
          <w:p w14:paraId="45FCD926" w14:textId="77777777" w:rsidR="008C5CFA" w:rsidRPr="00BA47B4" w:rsidRDefault="008C5CFA" w:rsidP="00300A01">
            <w:pPr>
              <w:spacing w:before="0" w:after="0"/>
              <w:jc w:val="right"/>
              <w:rPr>
                <w:sz w:val="12"/>
                <w:szCs w:val="12"/>
                <w:lang w:val="fr-BE"/>
              </w:rPr>
            </w:pPr>
          </w:p>
        </w:tc>
        <w:tc>
          <w:tcPr>
            <w:tcW w:w="0" w:type="auto"/>
            <w:shd w:val="clear" w:color="auto" w:fill="auto"/>
          </w:tcPr>
          <w:p w14:paraId="1023672A" w14:textId="77777777" w:rsidR="008C5CFA" w:rsidRPr="00BA47B4" w:rsidRDefault="008C5CFA" w:rsidP="00300A01">
            <w:pPr>
              <w:spacing w:before="0" w:after="0"/>
              <w:jc w:val="right"/>
              <w:rPr>
                <w:sz w:val="12"/>
                <w:szCs w:val="12"/>
                <w:lang w:val="fr-BE"/>
              </w:rPr>
            </w:pPr>
          </w:p>
        </w:tc>
        <w:tc>
          <w:tcPr>
            <w:tcW w:w="0" w:type="auto"/>
            <w:shd w:val="clear" w:color="auto" w:fill="auto"/>
          </w:tcPr>
          <w:p w14:paraId="3939805D" w14:textId="77777777" w:rsidR="008C5CFA" w:rsidRPr="00BA47B4" w:rsidRDefault="008C5CFA" w:rsidP="00300A01">
            <w:pPr>
              <w:spacing w:before="0" w:after="0"/>
              <w:jc w:val="right"/>
              <w:rPr>
                <w:sz w:val="12"/>
                <w:szCs w:val="12"/>
                <w:lang w:val="fr-BE"/>
              </w:rPr>
            </w:pPr>
          </w:p>
        </w:tc>
        <w:tc>
          <w:tcPr>
            <w:tcW w:w="0" w:type="auto"/>
          </w:tcPr>
          <w:p w14:paraId="6DFE3BE9" w14:textId="77777777" w:rsidR="008C5CFA" w:rsidRPr="00A92B39" w:rsidRDefault="00E82A60" w:rsidP="00300A01">
            <w:pPr>
              <w:spacing w:before="0" w:after="0"/>
              <w:jc w:val="right"/>
              <w:rPr>
                <w:sz w:val="10"/>
                <w:szCs w:val="10"/>
                <w:lang w:val="fr-BE"/>
              </w:rPr>
            </w:pPr>
            <w:r w:rsidRPr="00A92B39">
              <w:rPr>
                <w:noProof/>
                <w:sz w:val="10"/>
                <w:szCs w:val="10"/>
                <w:lang w:val="fr-BE"/>
              </w:rPr>
              <w:t>1,00</w:t>
            </w:r>
          </w:p>
        </w:tc>
        <w:tc>
          <w:tcPr>
            <w:tcW w:w="0" w:type="auto"/>
            <w:shd w:val="clear" w:color="auto" w:fill="auto"/>
          </w:tcPr>
          <w:p w14:paraId="4D4D4877" w14:textId="77777777" w:rsidR="008C5CFA" w:rsidRPr="00A92B39" w:rsidRDefault="008C5CFA" w:rsidP="00300A01">
            <w:pPr>
              <w:spacing w:before="0" w:after="0"/>
              <w:jc w:val="right"/>
              <w:rPr>
                <w:sz w:val="10"/>
                <w:szCs w:val="10"/>
                <w:lang w:val="fr-BE"/>
              </w:rPr>
            </w:pPr>
          </w:p>
        </w:tc>
        <w:tc>
          <w:tcPr>
            <w:tcW w:w="0" w:type="auto"/>
            <w:shd w:val="clear" w:color="auto" w:fill="auto"/>
          </w:tcPr>
          <w:p w14:paraId="28E1C996" w14:textId="77777777" w:rsidR="008C5CFA" w:rsidRPr="00BA47B4" w:rsidRDefault="008C5CFA" w:rsidP="00300A01">
            <w:pPr>
              <w:spacing w:before="0" w:after="0"/>
              <w:jc w:val="right"/>
              <w:rPr>
                <w:sz w:val="12"/>
                <w:szCs w:val="12"/>
                <w:lang w:val="fr-BE"/>
              </w:rPr>
            </w:pPr>
          </w:p>
        </w:tc>
      </w:tr>
      <w:tr w:rsidR="006B2EC1" w14:paraId="0AEF788B" w14:textId="77777777" w:rsidTr="0047688D">
        <w:tc>
          <w:tcPr>
            <w:tcW w:w="0" w:type="auto"/>
            <w:shd w:val="clear" w:color="auto" w:fill="auto"/>
          </w:tcPr>
          <w:p w14:paraId="71DA3FAF" w14:textId="77777777" w:rsidR="008C5CFA" w:rsidRPr="00BA47B4" w:rsidRDefault="008C5CFA" w:rsidP="00300A01">
            <w:pPr>
              <w:spacing w:before="0" w:after="0"/>
              <w:rPr>
                <w:sz w:val="12"/>
                <w:szCs w:val="12"/>
                <w:lang w:val="fr-BE"/>
              </w:rPr>
            </w:pPr>
          </w:p>
        </w:tc>
        <w:tc>
          <w:tcPr>
            <w:tcW w:w="0" w:type="auto"/>
            <w:shd w:val="clear" w:color="auto" w:fill="auto"/>
          </w:tcPr>
          <w:p w14:paraId="5CCA1A87" w14:textId="77777777" w:rsidR="008C5CFA" w:rsidRPr="00BA47B4" w:rsidRDefault="00E82A60" w:rsidP="00300A01">
            <w:pPr>
              <w:spacing w:before="0" w:after="0"/>
              <w:rPr>
                <w:sz w:val="12"/>
                <w:szCs w:val="12"/>
                <w:lang w:val="fr-BE"/>
              </w:rPr>
            </w:pPr>
            <w:r>
              <w:rPr>
                <w:noProof/>
                <w:sz w:val="12"/>
                <w:szCs w:val="12"/>
                <w:lang w:val="fr-BE"/>
              </w:rPr>
              <w:t>Całkowita łączna liczba uczestników</w:t>
            </w:r>
          </w:p>
        </w:tc>
        <w:tc>
          <w:tcPr>
            <w:tcW w:w="0" w:type="auto"/>
            <w:shd w:val="clear" w:color="auto" w:fill="auto"/>
          </w:tcPr>
          <w:p w14:paraId="506893EB" w14:textId="77777777" w:rsidR="008C5CFA" w:rsidRPr="00BA47B4" w:rsidRDefault="008C5CFA" w:rsidP="00300A01">
            <w:pPr>
              <w:spacing w:before="0" w:after="0"/>
              <w:rPr>
                <w:sz w:val="12"/>
                <w:szCs w:val="12"/>
                <w:lang w:val="fr-BE"/>
              </w:rPr>
            </w:pPr>
          </w:p>
        </w:tc>
        <w:tc>
          <w:tcPr>
            <w:tcW w:w="0" w:type="auto"/>
            <w:shd w:val="clear" w:color="auto" w:fill="auto"/>
          </w:tcPr>
          <w:p w14:paraId="56FF8745" w14:textId="77777777" w:rsidR="008C5CFA" w:rsidRPr="00BA47B4" w:rsidRDefault="008C5CFA" w:rsidP="00300A01">
            <w:pPr>
              <w:spacing w:before="0" w:after="0"/>
              <w:jc w:val="right"/>
              <w:rPr>
                <w:sz w:val="12"/>
                <w:szCs w:val="12"/>
                <w:lang w:val="fr-BE"/>
              </w:rPr>
            </w:pPr>
          </w:p>
        </w:tc>
        <w:tc>
          <w:tcPr>
            <w:tcW w:w="0" w:type="auto"/>
            <w:shd w:val="clear" w:color="auto" w:fill="auto"/>
          </w:tcPr>
          <w:p w14:paraId="23F5474C" w14:textId="77777777" w:rsidR="008C5CFA" w:rsidRPr="00BA47B4" w:rsidRDefault="008C5CFA" w:rsidP="00300A01">
            <w:pPr>
              <w:spacing w:before="0" w:after="0"/>
              <w:jc w:val="right"/>
              <w:rPr>
                <w:sz w:val="12"/>
                <w:szCs w:val="12"/>
                <w:lang w:val="fr-BE"/>
              </w:rPr>
            </w:pPr>
          </w:p>
        </w:tc>
        <w:tc>
          <w:tcPr>
            <w:tcW w:w="0" w:type="auto"/>
            <w:shd w:val="clear" w:color="auto" w:fill="auto"/>
          </w:tcPr>
          <w:p w14:paraId="13BCF14C" w14:textId="77777777" w:rsidR="008C5CFA" w:rsidRPr="00BA47B4" w:rsidRDefault="008C5CFA" w:rsidP="00300A01">
            <w:pPr>
              <w:spacing w:before="0" w:after="0"/>
              <w:jc w:val="right"/>
              <w:rPr>
                <w:sz w:val="12"/>
                <w:szCs w:val="12"/>
                <w:lang w:val="fr-BE"/>
              </w:rPr>
            </w:pPr>
          </w:p>
        </w:tc>
        <w:tc>
          <w:tcPr>
            <w:tcW w:w="0" w:type="auto"/>
            <w:shd w:val="clear" w:color="auto" w:fill="auto"/>
          </w:tcPr>
          <w:p w14:paraId="5281BD69" w14:textId="77777777" w:rsidR="008C5CFA" w:rsidRPr="00BA47B4" w:rsidRDefault="00E82A60" w:rsidP="00300A01">
            <w:pPr>
              <w:spacing w:before="0" w:after="0"/>
              <w:jc w:val="right"/>
              <w:rPr>
                <w:sz w:val="12"/>
                <w:szCs w:val="12"/>
                <w:lang w:val="fr-BE"/>
              </w:rPr>
            </w:pPr>
            <w:r w:rsidRPr="00BA47B4">
              <w:rPr>
                <w:noProof/>
                <w:sz w:val="12"/>
                <w:szCs w:val="12"/>
                <w:lang w:val="fr-BE"/>
              </w:rPr>
              <w:t>13 569,00</w:t>
            </w:r>
          </w:p>
        </w:tc>
        <w:tc>
          <w:tcPr>
            <w:tcW w:w="0" w:type="auto"/>
            <w:shd w:val="clear" w:color="auto" w:fill="auto"/>
          </w:tcPr>
          <w:p w14:paraId="564C45F3" w14:textId="77777777" w:rsidR="008C5CFA" w:rsidRPr="00BA47B4" w:rsidRDefault="008C5CFA" w:rsidP="00300A01">
            <w:pPr>
              <w:spacing w:before="0" w:after="0"/>
              <w:jc w:val="right"/>
              <w:rPr>
                <w:sz w:val="12"/>
                <w:szCs w:val="12"/>
                <w:lang w:val="fr-BE"/>
              </w:rPr>
            </w:pPr>
          </w:p>
        </w:tc>
        <w:tc>
          <w:tcPr>
            <w:tcW w:w="0" w:type="auto"/>
            <w:shd w:val="clear" w:color="auto" w:fill="auto"/>
          </w:tcPr>
          <w:p w14:paraId="47246F31" w14:textId="77777777" w:rsidR="008C5CFA" w:rsidRPr="00BA47B4" w:rsidRDefault="008C5CFA" w:rsidP="00300A01">
            <w:pPr>
              <w:spacing w:before="0" w:after="0"/>
              <w:jc w:val="right"/>
              <w:rPr>
                <w:sz w:val="12"/>
                <w:szCs w:val="12"/>
                <w:lang w:val="fr-BE"/>
              </w:rPr>
            </w:pPr>
          </w:p>
        </w:tc>
        <w:tc>
          <w:tcPr>
            <w:tcW w:w="0" w:type="auto"/>
            <w:shd w:val="clear" w:color="auto" w:fill="auto"/>
          </w:tcPr>
          <w:p w14:paraId="5BCA8490" w14:textId="77777777" w:rsidR="008C5CFA" w:rsidRPr="00BA47B4" w:rsidRDefault="008C5CFA" w:rsidP="00300A01">
            <w:pPr>
              <w:spacing w:before="0" w:after="0"/>
              <w:jc w:val="right"/>
              <w:rPr>
                <w:sz w:val="12"/>
                <w:szCs w:val="12"/>
                <w:lang w:val="fr-BE"/>
              </w:rPr>
            </w:pPr>
          </w:p>
        </w:tc>
        <w:tc>
          <w:tcPr>
            <w:tcW w:w="0" w:type="auto"/>
            <w:shd w:val="clear" w:color="auto" w:fill="auto"/>
          </w:tcPr>
          <w:p w14:paraId="034C7962" w14:textId="77777777" w:rsidR="008C5CFA" w:rsidRPr="00BA47B4" w:rsidRDefault="008C5CFA" w:rsidP="00300A01">
            <w:pPr>
              <w:spacing w:before="0" w:after="0"/>
              <w:jc w:val="right"/>
              <w:rPr>
                <w:sz w:val="12"/>
                <w:szCs w:val="12"/>
                <w:lang w:val="fr-BE"/>
              </w:rPr>
            </w:pPr>
          </w:p>
        </w:tc>
        <w:tc>
          <w:tcPr>
            <w:tcW w:w="0" w:type="auto"/>
            <w:shd w:val="clear" w:color="auto" w:fill="auto"/>
          </w:tcPr>
          <w:p w14:paraId="27D95BC0" w14:textId="77777777" w:rsidR="008C5CFA" w:rsidRPr="00BA47B4" w:rsidRDefault="008C5CFA" w:rsidP="00300A01">
            <w:pPr>
              <w:spacing w:before="0" w:after="0"/>
              <w:jc w:val="right"/>
              <w:rPr>
                <w:sz w:val="12"/>
                <w:szCs w:val="12"/>
                <w:lang w:val="fr-BE"/>
              </w:rPr>
            </w:pPr>
          </w:p>
        </w:tc>
        <w:tc>
          <w:tcPr>
            <w:tcW w:w="0" w:type="auto"/>
          </w:tcPr>
          <w:p w14:paraId="58A1A29A" w14:textId="77777777" w:rsidR="008C5CFA" w:rsidRPr="00A92B39" w:rsidRDefault="00E82A60" w:rsidP="00300A01">
            <w:pPr>
              <w:spacing w:before="0" w:after="0"/>
              <w:jc w:val="right"/>
              <w:rPr>
                <w:sz w:val="10"/>
                <w:szCs w:val="10"/>
                <w:lang w:val="fr-BE"/>
              </w:rPr>
            </w:pPr>
            <w:r w:rsidRPr="00A92B39">
              <w:rPr>
                <w:noProof/>
                <w:sz w:val="10"/>
                <w:szCs w:val="10"/>
                <w:lang w:val="fr-BE"/>
              </w:rPr>
              <w:t>3 399,00</w:t>
            </w:r>
          </w:p>
        </w:tc>
        <w:tc>
          <w:tcPr>
            <w:tcW w:w="0" w:type="auto"/>
            <w:shd w:val="clear" w:color="auto" w:fill="auto"/>
          </w:tcPr>
          <w:p w14:paraId="4BE7D439" w14:textId="77777777" w:rsidR="008C5CFA" w:rsidRPr="00A92B39" w:rsidRDefault="008C5CFA" w:rsidP="00300A01">
            <w:pPr>
              <w:spacing w:before="0" w:after="0"/>
              <w:jc w:val="right"/>
              <w:rPr>
                <w:sz w:val="10"/>
                <w:szCs w:val="10"/>
                <w:lang w:val="fr-BE"/>
              </w:rPr>
            </w:pPr>
          </w:p>
        </w:tc>
        <w:tc>
          <w:tcPr>
            <w:tcW w:w="0" w:type="auto"/>
            <w:shd w:val="clear" w:color="auto" w:fill="auto"/>
          </w:tcPr>
          <w:p w14:paraId="17C5663A" w14:textId="77777777" w:rsidR="008C5CFA" w:rsidRPr="00BA47B4" w:rsidRDefault="008C5CFA" w:rsidP="00300A01">
            <w:pPr>
              <w:spacing w:before="0" w:after="0"/>
              <w:jc w:val="right"/>
              <w:rPr>
                <w:sz w:val="12"/>
                <w:szCs w:val="12"/>
                <w:lang w:val="fr-BE"/>
              </w:rPr>
            </w:pPr>
          </w:p>
        </w:tc>
      </w:tr>
    </w:tbl>
    <w:p w14:paraId="1FF02C30"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47"/>
        <w:gridCol w:w="7798"/>
        <w:gridCol w:w="1333"/>
        <w:gridCol w:w="589"/>
        <w:gridCol w:w="702"/>
        <w:gridCol w:w="589"/>
        <w:gridCol w:w="589"/>
        <w:gridCol w:w="702"/>
        <w:gridCol w:w="589"/>
        <w:gridCol w:w="589"/>
        <w:gridCol w:w="702"/>
        <w:gridCol w:w="555"/>
      </w:tblGrid>
      <w:tr w:rsidR="006B2EC1" w14:paraId="3AFBBE4C" w14:textId="77777777" w:rsidTr="0047688D">
        <w:tc>
          <w:tcPr>
            <w:tcW w:w="0" w:type="auto"/>
            <w:shd w:val="clear" w:color="auto" w:fill="auto"/>
          </w:tcPr>
          <w:p w14:paraId="5BDBF00C" w14:textId="77777777" w:rsidR="008C5CFA" w:rsidRPr="001C4484" w:rsidRDefault="00E82A60" w:rsidP="00300A01">
            <w:pPr>
              <w:spacing w:before="0" w:after="0"/>
              <w:rPr>
                <w:sz w:val="10"/>
                <w:szCs w:val="10"/>
              </w:rPr>
            </w:pPr>
            <w:r w:rsidRPr="001C4484">
              <w:rPr>
                <w:b/>
                <w:noProof/>
                <w:sz w:val="12"/>
                <w:szCs w:val="12"/>
                <w:lang w:val="fr-BE"/>
              </w:rPr>
              <w:t>ID</w:t>
            </w:r>
          </w:p>
        </w:tc>
        <w:tc>
          <w:tcPr>
            <w:tcW w:w="0" w:type="auto"/>
            <w:shd w:val="clear" w:color="auto" w:fill="auto"/>
          </w:tcPr>
          <w:p w14:paraId="1F94E88F" w14:textId="77777777" w:rsidR="008C5CFA" w:rsidRPr="001C4484" w:rsidRDefault="00E82A60" w:rsidP="00300A01">
            <w:pPr>
              <w:spacing w:before="0" w:after="0"/>
              <w:rPr>
                <w:sz w:val="10"/>
                <w:szCs w:val="10"/>
              </w:rPr>
            </w:pPr>
            <w:r w:rsidRPr="001C4484">
              <w:rPr>
                <w:b/>
                <w:noProof/>
                <w:sz w:val="12"/>
                <w:szCs w:val="12"/>
                <w:lang w:val="fr-BE"/>
              </w:rPr>
              <w:t>Wskaźnik</w:t>
            </w:r>
          </w:p>
        </w:tc>
        <w:tc>
          <w:tcPr>
            <w:tcW w:w="0" w:type="auto"/>
            <w:shd w:val="clear" w:color="auto" w:fill="auto"/>
          </w:tcPr>
          <w:p w14:paraId="2EAA7484" w14:textId="77777777" w:rsidR="008C5CFA" w:rsidRPr="001C4484" w:rsidRDefault="00E82A60" w:rsidP="00300A01">
            <w:pPr>
              <w:spacing w:before="0" w:after="0"/>
              <w:rPr>
                <w:sz w:val="10"/>
                <w:szCs w:val="10"/>
              </w:rPr>
            </w:pPr>
            <w:r w:rsidRPr="001C4484">
              <w:rPr>
                <w:b/>
                <w:noProof/>
                <w:sz w:val="12"/>
                <w:szCs w:val="12"/>
                <w:lang w:val="fr-BE"/>
              </w:rPr>
              <w:t>Kategoria regionu</w:t>
            </w:r>
          </w:p>
        </w:tc>
        <w:tc>
          <w:tcPr>
            <w:tcW w:w="0" w:type="auto"/>
            <w:gridSpan w:val="3"/>
          </w:tcPr>
          <w:p w14:paraId="5C44B921" w14:textId="77777777" w:rsidR="008C5CFA" w:rsidRPr="001C4484" w:rsidRDefault="00E82A60" w:rsidP="00300A01">
            <w:pPr>
              <w:spacing w:before="0" w:after="0"/>
              <w:jc w:val="center"/>
              <w:rPr>
                <w:sz w:val="10"/>
                <w:szCs w:val="10"/>
              </w:rPr>
            </w:pPr>
            <w:r w:rsidRPr="001C4484">
              <w:rPr>
                <w:sz w:val="10"/>
                <w:szCs w:val="10"/>
              </w:rPr>
              <w:t>2018</w:t>
            </w:r>
          </w:p>
        </w:tc>
        <w:tc>
          <w:tcPr>
            <w:tcW w:w="0" w:type="auto"/>
            <w:gridSpan w:val="3"/>
          </w:tcPr>
          <w:p w14:paraId="537F0446" w14:textId="77777777" w:rsidR="008C5CFA" w:rsidRPr="001C4484" w:rsidRDefault="00E82A60" w:rsidP="00300A01">
            <w:pPr>
              <w:spacing w:before="0" w:after="0"/>
              <w:jc w:val="center"/>
              <w:rPr>
                <w:sz w:val="10"/>
                <w:szCs w:val="10"/>
              </w:rPr>
            </w:pPr>
            <w:r w:rsidRPr="001C4484">
              <w:rPr>
                <w:sz w:val="10"/>
                <w:szCs w:val="10"/>
              </w:rPr>
              <w:t>2017</w:t>
            </w:r>
          </w:p>
        </w:tc>
        <w:tc>
          <w:tcPr>
            <w:tcW w:w="0" w:type="auto"/>
            <w:gridSpan w:val="3"/>
          </w:tcPr>
          <w:p w14:paraId="4AD3D0BD" w14:textId="77777777" w:rsidR="008C5CFA" w:rsidRPr="001C4484" w:rsidRDefault="00E82A60" w:rsidP="00300A01">
            <w:pPr>
              <w:spacing w:before="0" w:after="0"/>
              <w:jc w:val="center"/>
              <w:rPr>
                <w:sz w:val="10"/>
                <w:szCs w:val="10"/>
              </w:rPr>
            </w:pPr>
            <w:r w:rsidRPr="001C4484">
              <w:rPr>
                <w:sz w:val="10"/>
                <w:szCs w:val="10"/>
              </w:rPr>
              <w:t>2016</w:t>
            </w:r>
          </w:p>
        </w:tc>
      </w:tr>
      <w:tr w:rsidR="006B2EC1" w14:paraId="2D6DEB37" w14:textId="77777777" w:rsidTr="0047688D">
        <w:tc>
          <w:tcPr>
            <w:tcW w:w="0" w:type="auto"/>
            <w:shd w:val="clear" w:color="auto" w:fill="auto"/>
          </w:tcPr>
          <w:p w14:paraId="66C04911" w14:textId="77777777" w:rsidR="008C5CFA" w:rsidRPr="001C4484" w:rsidRDefault="008C5CFA" w:rsidP="00300A01">
            <w:pPr>
              <w:spacing w:before="0" w:after="0"/>
              <w:rPr>
                <w:sz w:val="10"/>
                <w:szCs w:val="10"/>
              </w:rPr>
            </w:pPr>
          </w:p>
        </w:tc>
        <w:tc>
          <w:tcPr>
            <w:tcW w:w="0" w:type="auto"/>
            <w:shd w:val="clear" w:color="auto" w:fill="auto"/>
          </w:tcPr>
          <w:p w14:paraId="79BFFABF" w14:textId="77777777" w:rsidR="008C5CFA" w:rsidRPr="001C4484" w:rsidRDefault="008C5CFA" w:rsidP="00300A01">
            <w:pPr>
              <w:spacing w:before="0" w:after="0"/>
              <w:rPr>
                <w:sz w:val="10"/>
                <w:szCs w:val="10"/>
              </w:rPr>
            </w:pPr>
          </w:p>
        </w:tc>
        <w:tc>
          <w:tcPr>
            <w:tcW w:w="0" w:type="auto"/>
            <w:shd w:val="clear" w:color="auto" w:fill="auto"/>
          </w:tcPr>
          <w:p w14:paraId="55036EF7" w14:textId="77777777" w:rsidR="008C5CFA" w:rsidRPr="001C4484" w:rsidRDefault="008C5CFA" w:rsidP="00300A01">
            <w:pPr>
              <w:spacing w:before="0" w:after="0"/>
              <w:rPr>
                <w:sz w:val="10"/>
                <w:szCs w:val="10"/>
              </w:rPr>
            </w:pPr>
          </w:p>
        </w:tc>
        <w:tc>
          <w:tcPr>
            <w:tcW w:w="0" w:type="auto"/>
          </w:tcPr>
          <w:p w14:paraId="7FC4E40D" w14:textId="77777777" w:rsidR="008C5CFA" w:rsidRPr="001C4484" w:rsidRDefault="00E82A60" w:rsidP="00300A01">
            <w:pPr>
              <w:spacing w:before="0" w:after="0"/>
              <w:jc w:val="center"/>
              <w:rPr>
                <w:sz w:val="10"/>
                <w:szCs w:val="10"/>
              </w:rPr>
            </w:pPr>
            <w:r>
              <w:rPr>
                <w:noProof/>
                <w:sz w:val="10"/>
                <w:szCs w:val="10"/>
              </w:rPr>
              <w:t>Ogółem</w:t>
            </w:r>
          </w:p>
        </w:tc>
        <w:tc>
          <w:tcPr>
            <w:tcW w:w="0" w:type="auto"/>
            <w:shd w:val="clear" w:color="auto" w:fill="auto"/>
          </w:tcPr>
          <w:p w14:paraId="3F6DBD42" w14:textId="77777777" w:rsidR="008C5CFA" w:rsidRPr="001C4484" w:rsidRDefault="00E82A60" w:rsidP="00300A01">
            <w:pPr>
              <w:spacing w:before="0" w:after="0"/>
              <w:jc w:val="center"/>
              <w:rPr>
                <w:sz w:val="10"/>
                <w:szCs w:val="10"/>
              </w:rPr>
            </w:pPr>
            <w:r w:rsidRPr="001C4484">
              <w:rPr>
                <w:noProof/>
                <w:sz w:val="10"/>
                <w:szCs w:val="10"/>
              </w:rPr>
              <w:t>Mężczyźni</w:t>
            </w:r>
          </w:p>
        </w:tc>
        <w:tc>
          <w:tcPr>
            <w:tcW w:w="0" w:type="auto"/>
            <w:shd w:val="clear" w:color="auto" w:fill="auto"/>
          </w:tcPr>
          <w:p w14:paraId="7002749A" w14:textId="77777777" w:rsidR="008C5CFA" w:rsidRPr="001C4484" w:rsidRDefault="00E82A60" w:rsidP="00300A01">
            <w:pPr>
              <w:spacing w:before="0" w:after="0"/>
              <w:jc w:val="center"/>
              <w:rPr>
                <w:sz w:val="10"/>
                <w:szCs w:val="10"/>
              </w:rPr>
            </w:pPr>
            <w:r w:rsidRPr="001C4484">
              <w:rPr>
                <w:noProof/>
                <w:sz w:val="10"/>
                <w:szCs w:val="10"/>
              </w:rPr>
              <w:t>Kobiety</w:t>
            </w:r>
          </w:p>
        </w:tc>
        <w:tc>
          <w:tcPr>
            <w:tcW w:w="0" w:type="auto"/>
          </w:tcPr>
          <w:p w14:paraId="294019CE" w14:textId="77777777" w:rsidR="008C5CFA" w:rsidRPr="001C4484" w:rsidRDefault="00E82A60" w:rsidP="00300A01">
            <w:pPr>
              <w:spacing w:before="0" w:after="0"/>
              <w:jc w:val="center"/>
              <w:rPr>
                <w:sz w:val="10"/>
                <w:szCs w:val="10"/>
              </w:rPr>
            </w:pPr>
            <w:r>
              <w:rPr>
                <w:noProof/>
                <w:sz w:val="10"/>
                <w:szCs w:val="10"/>
              </w:rPr>
              <w:t>Ogółem</w:t>
            </w:r>
          </w:p>
        </w:tc>
        <w:tc>
          <w:tcPr>
            <w:tcW w:w="0" w:type="auto"/>
            <w:shd w:val="clear" w:color="auto" w:fill="auto"/>
          </w:tcPr>
          <w:p w14:paraId="1B2AB002" w14:textId="77777777" w:rsidR="008C5CFA" w:rsidRPr="001C4484" w:rsidRDefault="00E82A60" w:rsidP="00300A01">
            <w:pPr>
              <w:spacing w:before="0" w:after="0"/>
              <w:jc w:val="center"/>
              <w:rPr>
                <w:sz w:val="10"/>
                <w:szCs w:val="10"/>
              </w:rPr>
            </w:pPr>
            <w:r w:rsidRPr="001C4484">
              <w:rPr>
                <w:noProof/>
                <w:sz w:val="10"/>
                <w:szCs w:val="10"/>
              </w:rPr>
              <w:t>Mężczyźni</w:t>
            </w:r>
          </w:p>
        </w:tc>
        <w:tc>
          <w:tcPr>
            <w:tcW w:w="0" w:type="auto"/>
            <w:shd w:val="clear" w:color="auto" w:fill="auto"/>
          </w:tcPr>
          <w:p w14:paraId="4FAEEABB" w14:textId="77777777" w:rsidR="008C5CFA" w:rsidRPr="001C4484" w:rsidRDefault="00E82A60" w:rsidP="00300A01">
            <w:pPr>
              <w:spacing w:before="0" w:after="0"/>
              <w:jc w:val="center"/>
              <w:rPr>
                <w:sz w:val="10"/>
                <w:szCs w:val="10"/>
              </w:rPr>
            </w:pPr>
            <w:r w:rsidRPr="001C4484">
              <w:rPr>
                <w:noProof/>
                <w:sz w:val="10"/>
                <w:szCs w:val="10"/>
              </w:rPr>
              <w:t>Kobiety</w:t>
            </w:r>
          </w:p>
        </w:tc>
        <w:tc>
          <w:tcPr>
            <w:tcW w:w="0" w:type="auto"/>
          </w:tcPr>
          <w:p w14:paraId="046FF602" w14:textId="77777777" w:rsidR="008C5CFA" w:rsidRPr="001C4484" w:rsidRDefault="00E82A60" w:rsidP="00300A01">
            <w:pPr>
              <w:spacing w:before="0" w:after="0"/>
              <w:jc w:val="center"/>
              <w:rPr>
                <w:sz w:val="10"/>
                <w:szCs w:val="10"/>
              </w:rPr>
            </w:pPr>
            <w:r>
              <w:rPr>
                <w:noProof/>
                <w:sz w:val="10"/>
                <w:szCs w:val="10"/>
              </w:rPr>
              <w:t>Ogółem</w:t>
            </w:r>
          </w:p>
        </w:tc>
        <w:tc>
          <w:tcPr>
            <w:tcW w:w="0" w:type="auto"/>
            <w:shd w:val="clear" w:color="auto" w:fill="auto"/>
          </w:tcPr>
          <w:p w14:paraId="563D57AF" w14:textId="77777777" w:rsidR="008C5CFA" w:rsidRPr="001C4484" w:rsidRDefault="00E82A60" w:rsidP="00300A01">
            <w:pPr>
              <w:spacing w:before="0" w:after="0"/>
              <w:jc w:val="center"/>
              <w:rPr>
                <w:sz w:val="10"/>
                <w:szCs w:val="10"/>
              </w:rPr>
            </w:pPr>
            <w:r w:rsidRPr="001C4484">
              <w:rPr>
                <w:noProof/>
                <w:sz w:val="10"/>
                <w:szCs w:val="10"/>
              </w:rPr>
              <w:t>Mężczyźni</w:t>
            </w:r>
          </w:p>
        </w:tc>
        <w:tc>
          <w:tcPr>
            <w:tcW w:w="0" w:type="auto"/>
            <w:shd w:val="clear" w:color="auto" w:fill="auto"/>
          </w:tcPr>
          <w:p w14:paraId="0A59ADD1" w14:textId="77777777" w:rsidR="008C5CFA" w:rsidRPr="001C4484" w:rsidRDefault="00E82A60" w:rsidP="00300A01">
            <w:pPr>
              <w:spacing w:before="0" w:after="0"/>
              <w:jc w:val="center"/>
              <w:rPr>
                <w:sz w:val="10"/>
                <w:szCs w:val="10"/>
              </w:rPr>
            </w:pPr>
            <w:r w:rsidRPr="001C4484">
              <w:rPr>
                <w:noProof/>
                <w:sz w:val="10"/>
                <w:szCs w:val="10"/>
              </w:rPr>
              <w:t>Kobiety</w:t>
            </w:r>
          </w:p>
        </w:tc>
      </w:tr>
      <w:tr w:rsidR="006B2EC1" w14:paraId="64FC0D8A" w14:textId="77777777" w:rsidTr="0047688D">
        <w:tc>
          <w:tcPr>
            <w:tcW w:w="0" w:type="auto"/>
            <w:shd w:val="clear" w:color="auto" w:fill="auto"/>
          </w:tcPr>
          <w:p w14:paraId="6CE570F9" w14:textId="77777777" w:rsidR="008C5CFA" w:rsidRPr="001C4484" w:rsidRDefault="00E82A60" w:rsidP="00300A01">
            <w:pPr>
              <w:spacing w:before="0" w:after="0"/>
              <w:rPr>
                <w:sz w:val="10"/>
                <w:szCs w:val="10"/>
                <w:lang w:val="fr-BE"/>
              </w:rPr>
            </w:pPr>
            <w:r w:rsidRPr="001C4484">
              <w:rPr>
                <w:noProof/>
                <w:sz w:val="10"/>
                <w:szCs w:val="10"/>
                <w:lang w:val="fr-BE"/>
              </w:rPr>
              <w:t>CO01</w:t>
            </w:r>
          </w:p>
        </w:tc>
        <w:tc>
          <w:tcPr>
            <w:tcW w:w="0" w:type="auto"/>
            <w:shd w:val="clear" w:color="auto" w:fill="auto"/>
          </w:tcPr>
          <w:p w14:paraId="392BF20D" w14:textId="77777777" w:rsidR="008C5CFA" w:rsidRPr="001C4484" w:rsidRDefault="00E82A60" w:rsidP="00300A01">
            <w:pPr>
              <w:spacing w:before="0" w:after="0"/>
              <w:rPr>
                <w:sz w:val="10"/>
                <w:szCs w:val="10"/>
                <w:lang w:val="fr-BE"/>
              </w:rPr>
            </w:pPr>
            <w:r w:rsidRPr="001C4484">
              <w:rPr>
                <w:noProof/>
                <w:sz w:val="10"/>
                <w:szCs w:val="10"/>
                <w:lang w:val="fr-BE"/>
              </w:rPr>
              <w:t>bezrobotni, w tym długotrwale bezrobotni</w:t>
            </w:r>
          </w:p>
        </w:tc>
        <w:tc>
          <w:tcPr>
            <w:tcW w:w="0" w:type="auto"/>
            <w:shd w:val="clear" w:color="auto" w:fill="auto"/>
          </w:tcPr>
          <w:p w14:paraId="65F19E48"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01522DE4" w14:textId="77777777" w:rsidR="008C5CFA" w:rsidRPr="001C4484" w:rsidRDefault="00E82A60" w:rsidP="00300A01">
            <w:pPr>
              <w:spacing w:before="0" w:after="0"/>
              <w:jc w:val="right"/>
              <w:rPr>
                <w:sz w:val="10"/>
                <w:szCs w:val="10"/>
              </w:rPr>
            </w:pPr>
            <w:r>
              <w:rPr>
                <w:noProof/>
                <w:sz w:val="10"/>
                <w:szCs w:val="10"/>
              </w:rPr>
              <w:t>840,00</w:t>
            </w:r>
          </w:p>
        </w:tc>
        <w:tc>
          <w:tcPr>
            <w:tcW w:w="0" w:type="auto"/>
            <w:shd w:val="clear" w:color="auto" w:fill="auto"/>
          </w:tcPr>
          <w:p w14:paraId="48B72F5C" w14:textId="77777777" w:rsidR="008C5CFA" w:rsidRPr="001C4484" w:rsidRDefault="00E82A60" w:rsidP="00300A01">
            <w:pPr>
              <w:spacing w:before="0" w:after="0"/>
              <w:jc w:val="right"/>
              <w:rPr>
                <w:sz w:val="10"/>
                <w:szCs w:val="10"/>
              </w:rPr>
            </w:pPr>
            <w:r w:rsidRPr="001C4484">
              <w:rPr>
                <w:noProof/>
                <w:sz w:val="10"/>
                <w:szCs w:val="10"/>
              </w:rPr>
              <w:t>249,00</w:t>
            </w:r>
          </w:p>
        </w:tc>
        <w:tc>
          <w:tcPr>
            <w:tcW w:w="0" w:type="auto"/>
            <w:shd w:val="clear" w:color="auto" w:fill="auto"/>
          </w:tcPr>
          <w:p w14:paraId="36A0CAB8" w14:textId="77777777" w:rsidR="008C5CFA" w:rsidRPr="001C4484" w:rsidRDefault="00E82A60" w:rsidP="00300A01">
            <w:pPr>
              <w:spacing w:before="0" w:after="0"/>
              <w:jc w:val="right"/>
              <w:rPr>
                <w:sz w:val="10"/>
                <w:szCs w:val="10"/>
                <w:lang w:val="fr-BE"/>
              </w:rPr>
            </w:pPr>
            <w:r w:rsidRPr="001C4484">
              <w:rPr>
                <w:noProof/>
                <w:sz w:val="10"/>
                <w:szCs w:val="10"/>
              </w:rPr>
              <w:t>591,00</w:t>
            </w:r>
          </w:p>
        </w:tc>
        <w:tc>
          <w:tcPr>
            <w:tcW w:w="0" w:type="auto"/>
          </w:tcPr>
          <w:p w14:paraId="518DC22B" w14:textId="77777777" w:rsidR="008C5CFA" w:rsidRPr="001C4484" w:rsidRDefault="00E82A60" w:rsidP="00300A01">
            <w:pPr>
              <w:spacing w:before="0" w:after="0"/>
              <w:jc w:val="right"/>
              <w:rPr>
                <w:sz w:val="10"/>
                <w:szCs w:val="10"/>
              </w:rPr>
            </w:pPr>
            <w:r>
              <w:rPr>
                <w:noProof/>
                <w:sz w:val="10"/>
                <w:szCs w:val="10"/>
              </w:rPr>
              <w:t>518,00</w:t>
            </w:r>
          </w:p>
        </w:tc>
        <w:tc>
          <w:tcPr>
            <w:tcW w:w="0" w:type="auto"/>
            <w:shd w:val="clear" w:color="auto" w:fill="auto"/>
          </w:tcPr>
          <w:p w14:paraId="465ED6D8" w14:textId="77777777" w:rsidR="008C5CFA" w:rsidRPr="001C4484" w:rsidRDefault="00E82A60" w:rsidP="00300A01">
            <w:pPr>
              <w:spacing w:before="0" w:after="0"/>
              <w:jc w:val="right"/>
              <w:rPr>
                <w:sz w:val="10"/>
                <w:szCs w:val="10"/>
              </w:rPr>
            </w:pPr>
            <w:r w:rsidRPr="001C4484">
              <w:rPr>
                <w:noProof/>
                <w:sz w:val="10"/>
                <w:szCs w:val="10"/>
              </w:rPr>
              <w:t>181,00</w:t>
            </w:r>
          </w:p>
        </w:tc>
        <w:tc>
          <w:tcPr>
            <w:tcW w:w="0" w:type="auto"/>
            <w:shd w:val="clear" w:color="auto" w:fill="auto"/>
          </w:tcPr>
          <w:p w14:paraId="3F64F389" w14:textId="77777777" w:rsidR="008C5CFA" w:rsidRPr="001C4484" w:rsidRDefault="00E82A60" w:rsidP="00300A01">
            <w:pPr>
              <w:spacing w:before="0" w:after="0"/>
              <w:jc w:val="right"/>
              <w:rPr>
                <w:sz w:val="10"/>
                <w:szCs w:val="10"/>
                <w:lang w:val="fr-BE"/>
              </w:rPr>
            </w:pPr>
            <w:r w:rsidRPr="001C4484">
              <w:rPr>
                <w:noProof/>
                <w:sz w:val="10"/>
                <w:szCs w:val="10"/>
              </w:rPr>
              <w:t>337,00</w:t>
            </w:r>
          </w:p>
        </w:tc>
        <w:tc>
          <w:tcPr>
            <w:tcW w:w="0" w:type="auto"/>
          </w:tcPr>
          <w:p w14:paraId="1EDFAB29" w14:textId="77777777" w:rsidR="008C5CFA" w:rsidRPr="001C4484" w:rsidRDefault="00E82A60" w:rsidP="00300A01">
            <w:pPr>
              <w:spacing w:before="0" w:after="0"/>
              <w:jc w:val="right"/>
              <w:rPr>
                <w:sz w:val="10"/>
                <w:szCs w:val="10"/>
              </w:rPr>
            </w:pPr>
            <w:r>
              <w:rPr>
                <w:noProof/>
                <w:sz w:val="10"/>
                <w:szCs w:val="10"/>
              </w:rPr>
              <w:t>128,00</w:t>
            </w:r>
          </w:p>
        </w:tc>
        <w:tc>
          <w:tcPr>
            <w:tcW w:w="0" w:type="auto"/>
            <w:shd w:val="clear" w:color="auto" w:fill="auto"/>
          </w:tcPr>
          <w:p w14:paraId="05B5F5F3" w14:textId="77777777" w:rsidR="008C5CFA" w:rsidRPr="001C4484" w:rsidRDefault="00E82A60" w:rsidP="00300A01">
            <w:pPr>
              <w:spacing w:before="0" w:after="0"/>
              <w:jc w:val="right"/>
              <w:rPr>
                <w:sz w:val="10"/>
                <w:szCs w:val="10"/>
              </w:rPr>
            </w:pPr>
            <w:r w:rsidRPr="001C4484">
              <w:rPr>
                <w:noProof/>
                <w:sz w:val="10"/>
                <w:szCs w:val="10"/>
              </w:rPr>
              <w:t>37,00</w:t>
            </w:r>
          </w:p>
        </w:tc>
        <w:tc>
          <w:tcPr>
            <w:tcW w:w="0" w:type="auto"/>
            <w:shd w:val="clear" w:color="auto" w:fill="auto"/>
          </w:tcPr>
          <w:p w14:paraId="30A92BA4" w14:textId="77777777" w:rsidR="008C5CFA" w:rsidRPr="001C4484" w:rsidRDefault="00E82A60" w:rsidP="00300A01">
            <w:pPr>
              <w:spacing w:before="0" w:after="0"/>
              <w:jc w:val="right"/>
              <w:rPr>
                <w:sz w:val="10"/>
                <w:szCs w:val="10"/>
                <w:lang w:val="fr-BE"/>
              </w:rPr>
            </w:pPr>
            <w:r w:rsidRPr="001C4484">
              <w:rPr>
                <w:noProof/>
                <w:sz w:val="10"/>
                <w:szCs w:val="10"/>
              </w:rPr>
              <w:t>91,00</w:t>
            </w:r>
          </w:p>
        </w:tc>
      </w:tr>
      <w:tr w:rsidR="006B2EC1" w14:paraId="1E2F2EA3" w14:textId="77777777" w:rsidTr="0047688D">
        <w:tc>
          <w:tcPr>
            <w:tcW w:w="0" w:type="auto"/>
            <w:shd w:val="clear" w:color="auto" w:fill="auto"/>
          </w:tcPr>
          <w:p w14:paraId="34A0549B" w14:textId="77777777" w:rsidR="008C5CFA" w:rsidRPr="001C4484" w:rsidRDefault="00E82A60" w:rsidP="00300A01">
            <w:pPr>
              <w:spacing w:before="0" w:after="0"/>
              <w:rPr>
                <w:sz w:val="10"/>
                <w:szCs w:val="10"/>
                <w:lang w:val="fr-BE"/>
              </w:rPr>
            </w:pPr>
            <w:r w:rsidRPr="001C4484">
              <w:rPr>
                <w:noProof/>
                <w:sz w:val="10"/>
                <w:szCs w:val="10"/>
                <w:lang w:val="fr-BE"/>
              </w:rPr>
              <w:t>CO02</w:t>
            </w:r>
          </w:p>
        </w:tc>
        <w:tc>
          <w:tcPr>
            <w:tcW w:w="0" w:type="auto"/>
            <w:shd w:val="clear" w:color="auto" w:fill="auto"/>
          </w:tcPr>
          <w:p w14:paraId="05DA8040" w14:textId="77777777" w:rsidR="008C5CFA" w:rsidRPr="001C4484" w:rsidRDefault="00E82A60" w:rsidP="00300A01">
            <w:pPr>
              <w:spacing w:before="0" w:after="0"/>
              <w:rPr>
                <w:sz w:val="10"/>
                <w:szCs w:val="10"/>
                <w:lang w:val="fr-BE"/>
              </w:rPr>
            </w:pPr>
            <w:r w:rsidRPr="001C4484">
              <w:rPr>
                <w:noProof/>
                <w:sz w:val="10"/>
                <w:szCs w:val="10"/>
                <w:lang w:val="fr-BE"/>
              </w:rPr>
              <w:t>długotrwale bezrobotni</w:t>
            </w:r>
          </w:p>
        </w:tc>
        <w:tc>
          <w:tcPr>
            <w:tcW w:w="0" w:type="auto"/>
            <w:shd w:val="clear" w:color="auto" w:fill="auto"/>
          </w:tcPr>
          <w:p w14:paraId="2A76C4BC"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29661D97" w14:textId="77777777" w:rsidR="008C5CFA" w:rsidRPr="001C4484" w:rsidRDefault="00E82A60" w:rsidP="00300A01">
            <w:pPr>
              <w:spacing w:before="0" w:after="0"/>
              <w:jc w:val="right"/>
              <w:rPr>
                <w:sz w:val="10"/>
                <w:szCs w:val="10"/>
              </w:rPr>
            </w:pPr>
            <w:r>
              <w:rPr>
                <w:noProof/>
                <w:sz w:val="10"/>
                <w:szCs w:val="10"/>
              </w:rPr>
              <w:t>99,00</w:t>
            </w:r>
          </w:p>
        </w:tc>
        <w:tc>
          <w:tcPr>
            <w:tcW w:w="0" w:type="auto"/>
            <w:shd w:val="clear" w:color="auto" w:fill="auto"/>
          </w:tcPr>
          <w:p w14:paraId="4D89F3A9" w14:textId="77777777" w:rsidR="008C5CFA" w:rsidRPr="001C4484" w:rsidRDefault="00E82A60" w:rsidP="00300A01">
            <w:pPr>
              <w:spacing w:before="0" w:after="0"/>
              <w:jc w:val="right"/>
              <w:rPr>
                <w:sz w:val="10"/>
                <w:szCs w:val="10"/>
              </w:rPr>
            </w:pPr>
            <w:r w:rsidRPr="001C4484">
              <w:rPr>
                <w:noProof/>
                <w:sz w:val="10"/>
                <w:szCs w:val="10"/>
              </w:rPr>
              <w:t>30,00</w:t>
            </w:r>
          </w:p>
        </w:tc>
        <w:tc>
          <w:tcPr>
            <w:tcW w:w="0" w:type="auto"/>
            <w:shd w:val="clear" w:color="auto" w:fill="auto"/>
          </w:tcPr>
          <w:p w14:paraId="40557103" w14:textId="77777777" w:rsidR="008C5CFA" w:rsidRPr="001C4484" w:rsidRDefault="00E82A60" w:rsidP="00300A01">
            <w:pPr>
              <w:spacing w:before="0" w:after="0"/>
              <w:jc w:val="right"/>
              <w:rPr>
                <w:sz w:val="10"/>
                <w:szCs w:val="10"/>
                <w:lang w:val="fr-BE"/>
              </w:rPr>
            </w:pPr>
            <w:r w:rsidRPr="001C4484">
              <w:rPr>
                <w:noProof/>
                <w:sz w:val="10"/>
                <w:szCs w:val="10"/>
              </w:rPr>
              <w:t>69,00</w:t>
            </w:r>
          </w:p>
        </w:tc>
        <w:tc>
          <w:tcPr>
            <w:tcW w:w="0" w:type="auto"/>
          </w:tcPr>
          <w:p w14:paraId="28DD5908" w14:textId="77777777" w:rsidR="008C5CFA" w:rsidRPr="001C4484" w:rsidRDefault="00E82A60" w:rsidP="00300A01">
            <w:pPr>
              <w:spacing w:before="0" w:after="0"/>
              <w:jc w:val="right"/>
              <w:rPr>
                <w:sz w:val="10"/>
                <w:szCs w:val="10"/>
              </w:rPr>
            </w:pPr>
            <w:r>
              <w:rPr>
                <w:noProof/>
                <w:sz w:val="10"/>
                <w:szCs w:val="10"/>
              </w:rPr>
              <w:t>145,00</w:t>
            </w:r>
          </w:p>
        </w:tc>
        <w:tc>
          <w:tcPr>
            <w:tcW w:w="0" w:type="auto"/>
            <w:shd w:val="clear" w:color="auto" w:fill="auto"/>
          </w:tcPr>
          <w:p w14:paraId="4EAD52AF" w14:textId="77777777" w:rsidR="008C5CFA" w:rsidRPr="001C4484" w:rsidRDefault="00E82A60" w:rsidP="00300A01">
            <w:pPr>
              <w:spacing w:before="0" w:after="0"/>
              <w:jc w:val="right"/>
              <w:rPr>
                <w:sz w:val="10"/>
                <w:szCs w:val="10"/>
              </w:rPr>
            </w:pPr>
            <w:r w:rsidRPr="001C4484">
              <w:rPr>
                <w:noProof/>
                <w:sz w:val="10"/>
                <w:szCs w:val="10"/>
              </w:rPr>
              <w:t>48,00</w:t>
            </w:r>
          </w:p>
        </w:tc>
        <w:tc>
          <w:tcPr>
            <w:tcW w:w="0" w:type="auto"/>
            <w:shd w:val="clear" w:color="auto" w:fill="auto"/>
          </w:tcPr>
          <w:p w14:paraId="6A49E80D" w14:textId="77777777" w:rsidR="008C5CFA" w:rsidRPr="001C4484" w:rsidRDefault="00E82A60" w:rsidP="00300A01">
            <w:pPr>
              <w:spacing w:before="0" w:after="0"/>
              <w:jc w:val="right"/>
              <w:rPr>
                <w:sz w:val="10"/>
                <w:szCs w:val="10"/>
                <w:lang w:val="fr-BE"/>
              </w:rPr>
            </w:pPr>
            <w:r w:rsidRPr="001C4484">
              <w:rPr>
                <w:noProof/>
                <w:sz w:val="10"/>
                <w:szCs w:val="10"/>
              </w:rPr>
              <w:t>97,00</w:t>
            </w:r>
          </w:p>
        </w:tc>
        <w:tc>
          <w:tcPr>
            <w:tcW w:w="0" w:type="auto"/>
          </w:tcPr>
          <w:p w14:paraId="30582AD1" w14:textId="77777777" w:rsidR="008C5CFA" w:rsidRPr="001C4484" w:rsidRDefault="00E82A60" w:rsidP="00300A01">
            <w:pPr>
              <w:spacing w:before="0" w:after="0"/>
              <w:jc w:val="right"/>
              <w:rPr>
                <w:sz w:val="10"/>
                <w:szCs w:val="10"/>
              </w:rPr>
            </w:pPr>
            <w:r>
              <w:rPr>
                <w:noProof/>
                <w:sz w:val="10"/>
                <w:szCs w:val="10"/>
              </w:rPr>
              <w:t>66,00</w:t>
            </w:r>
          </w:p>
        </w:tc>
        <w:tc>
          <w:tcPr>
            <w:tcW w:w="0" w:type="auto"/>
            <w:shd w:val="clear" w:color="auto" w:fill="auto"/>
          </w:tcPr>
          <w:p w14:paraId="416F6393" w14:textId="77777777" w:rsidR="008C5CFA" w:rsidRPr="001C4484" w:rsidRDefault="00E82A60" w:rsidP="00300A01">
            <w:pPr>
              <w:spacing w:before="0" w:after="0"/>
              <w:jc w:val="right"/>
              <w:rPr>
                <w:sz w:val="10"/>
                <w:szCs w:val="10"/>
              </w:rPr>
            </w:pPr>
            <w:r w:rsidRPr="001C4484">
              <w:rPr>
                <w:noProof/>
                <w:sz w:val="10"/>
                <w:szCs w:val="10"/>
              </w:rPr>
              <w:t>14,00</w:t>
            </w:r>
          </w:p>
        </w:tc>
        <w:tc>
          <w:tcPr>
            <w:tcW w:w="0" w:type="auto"/>
            <w:shd w:val="clear" w:color="auto" w:fill="auto"/>
          </w:tcPr>
          <w:p w14:paraId="694BDB76" w14:textId="77777777" w:rsidR="008C5CFA" w:rsidRPr="001C4484" w:rsidRDefault="00E82A60" w:rsidP="00300A01">
            <w:pPr>
              <w:spacing w:before="0" w:after="0"/>
              <w:jc w:val="right"/>
              <w:rPr>
                <w:sz w:val="10"/>
                <w:szCs w:val="10"/>
                <w:lang w:val="fr-BE"/>
              </w:rPr>
            </w:pPr>
            <w:r w:rsidRPr="001C4484">
              <w:rPr>
                <w:noProof/>
                <w:sz w:val="10"/>
                <w:szCs w:val="10"/>
              </w:rPr>
              <w:t>52,00</w:t>
            </w:r>
          </w:p>
        </w:tc>
      </w:tr>
      <w:tr w:rsidR="006B2EC1" w14:paraId="46658D15" w14:textId="77777777" w:rsidTr="0047688D">
        <w:tc>
          <w:tcPr>
            <w:tcW w:w="0" w:type="auto"/>
            <w:shd w:val="clear" w:color="auto" w:fill="auto"/>
          </w:tcPr>
          <w:p w14:paraId="131CE4DB" w14:textId="77777777" w:rsidR="008C5CFA" w:rsidRPr="001C4484" w:rsidRDefault="00E82A60" w:rsidP="00300A01">
            <w:pPr>
              <w:spacing w:before="0" w:after="0"/>
              <w:rPr>
                <w:sz w:val="10"/>
                <w:szCs w:val="10"/>
                <w:lang w:val="fr-BE"/>
              </w:rPr>
            </w:pPr>
            <w:r w:rsidRPr="001C4484">
              <w:rPr>
                <w:noProof/>
                <w:sz w:val="10"/>
                <w:szCs w:val="10"/>
                <w:lang w:val="fr-BE"/>
              </w:rPr>
              <w:t>CO03</w:t>
            </w:r>
          </w:p>
        </w:tc>
        <w:tc>
          <w:tcPr>
            <w:tcW w:w="0" w:type="auto"/>
            <w:shd w:val="clear" w:color="auto" w:fill="auto"/>
          </w:tcPr>
          <w:p w14:paraId="56845D87" w14:textId="77777777" w:rsidR="008C5CFA" w:rsidRPr="001C4484" w:rsidRDefault="00E82A60" w:rsidP="00300A01">
            <w:pPr>
              <w:spacing w:before="0" w:after="0"/>
              <w:rPr>
                <w:sz w:val="10"/>
                <w:szCs w:val="10"/>
                <w:lang w:val="fr-BE"/>
              </w:rPr>
            </w:pPr>
            <w:r w:rsidRPr="001C4484">
              <w:rPr>
                <w:noProof/>
                <w:sz w:val="10"/>
                <w:szCs w:val="10"/>
                <w:lang w:val="fr-BE"/>
              </w:rPr>
              <w:t>osoby bierne zawodowo</w:t>
            </w:r>
          </w:p>
        </w:tc>
        <w:tc>
          <w:tcPr>
            <w:tcW w:w="0" w:type="auto"/>
            <w:shd w:val="clear" w:color="auto" w:fill="auto"/>
          </w:tcPr>
          <w:p w14:paraId="2F04F82F"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6CB1EB61" w14:textId="77777777" w:rsidR="008C5CFA" w:rsidRPr="001C4484" w:rsidRDefault="00E82A60" w:rsidP="00300A01">
            <w:pPr>
              <w:spacing w:before="0" w:after="0"/>
              <w:jc w:val="right"/>
              <w:rPr>
                <w:sz w:val="10"/>
                <w:szCs w:val="10"/>
              </w:rPr>
            </w:pPr>
            <w:r>
              <w:rPr>
                <w:noProof/>
                <w:sz w:val="10"/>
                <w:szCs w:val="10"/>
              </w:rPr>
              <w:t>2 898,00</w:t>
            </w:r>
          </w:p>
        </w:tc>
        <w:tc>
          <w:tcPr>
            <w:tcW w:w="0" w:type="auto"/>
            <w:shd w:val="clear" w:color="auto" w:fill="auto"/>
          </w:tcPr>
          <w:p w14:paraId="009FCCF2" w14:textId="77777777" w:rsidR="008C5CFA" w:rsidRPr="001C4484" w:rsidRDefault="00E82A60" w:rsidP="00300A01">
            <w:pPr>
              <w:spacing w:before="0" w:after="0"/>
              <w:jc w:val="right"/>
              <w:rPr>
                <w:sz w:val="10"/>
                <w:szCs w:val="10"/>
              </w:rPr>
            </w:pPr>
            <w:r w:rsidRPr="001C4484">
              <w:rPr>
                <w:noProof/>
                <w:sz w:val="10"/>
                <w:szCs w:val="10"/>
              </w:rPr>
              <w:t>1 151,00</w:t>
            </w:r>
          </w:p>
        </w:tc>
        <w:tc>
          <w:tcPr>
            <w:tcW w:w="0" w:type="auto"/>
            <w:shd w:val="clear" w:color="auto" w:fill="auto"/>
          </w:tcPr>
          <w:p w14:paraId="0D861830" w14:textId="77777777" w:rsidR="008C5CFA" w:rsidRPr="001C4484" w:rsidRDefault="00E82A60" w:rsidP="00300A01">
            <w:pPr>
              <w:spacing w:before="0" w:after="0"/>
              <w:jc w:val="right"/>
              <w:rPr>
                <w:sz w:val="10"/>
                <w:szCs w:val="10"/>
                <w:lang w:val="fr-BE"/>
              </w:rPr>
            </w:pPr>
            <w:r w:rsidRPr="001C4484">
              <w:rPr>
                <w:noProof/>
                <w:sz w:val="10"/>
                <w:szCs w:val="10"/>
              </w:rPr>
              <w:t>1 747,00</w:t>
            </w:r>
          </w:p>
        </w:tc>
        <w:tc>
          <w:tcPr>
            <w:tcW w:w="0" w:type="auto"/>
          </w:tcPr>
          <w:p w14:paraId="6C5AACB9" w14:textId="77777777" w:rsidR="008C5CFA" w:rsidRPr="001C4484" w:rsidRDefault="00E82A60" w:rsidP="00300A01">
            <w:pPr>
              <w:spacing w:before="0" w:after="0"/>
              <w:jc w:val="right"/>
              <w:rPr>
                <w:sz w:val="10"/>
                <w:szCs w:val="10"/>
              </w:rPr>
            </w:pPr>
            <w:r>
              <w:rPr>
                <w:noProof/>
                <w:sz w:val="10"/>
                <w:szCs w:val="10"/>
              </w:rPr>
              <w:t>2 949,00</w:t>
            </w:r>
          </w:p>
        </w:tc>
        <w:tc>
          <w:tcPr>
            <w:tcW w:w="0" w:type="auto"/>
            <w:shd w:val="clear" w:color="auto" w:fill="auto"/>
          </w:tcPr>
          <w:p w14:paraId="6DA11EE4" w14:textId="77777777" w:rsidR="008C5CFA" w:rsidRPr="001C4484" w:rsidRDefault="00E82A60" w:rsidP="00300A01">
            <w:pPr>
              <w:spacing w:before="0" w:after="0"/>
              <w:jc w:val="right"/>
              <w:rPr>
                <w:sz w:val="10"/>
                <w:szCs w:val="10"/>
              </w:rPr>
            </w:pPr>
            <w:r w:rsidRPr="001C4484">
              <w:rPr>
                <w:noProof/>
                <w:sz w:val="10"/>
                <w:szCs w:val="10"/>
              </w:rPr>
              <w:t>1 307,00</w:t>
            </w:r>
          </w:p>
        </w:tc>
        <w:tc>
          <w:tcPr>
            <w:tcW w:w="0" w:type="auto"/>
            <w:shd w:val="clear" w:color="auto" w:fill="auto"/>
          </w:tcPr>
          <w:p w14:paraId="592B05CA" w14:textId="77777777" w:rsidR="008C5CFA" w:rsidRPr="001C4484" w:rsidRDefault="00E82A60" w:rsidP="00300A01">
            <w:pPr>
              <w:spacing w:before="0" w:after="0"/>
              <w:jc w:val="right"/>
              <w:rPr>
                <w:sz w:val="10"/>
                <w:szCs w:val="10"/>
                <w:lang w:val="fr-BE"/>
              </w:rPr>
            </w:pPr>
            <w:r w:rsidRPr="001C4484">
              <w:rPr>
                <w:noProof/>
                <w:sz w:val="10"/>
                <w:szCs w:val="10"/>
              </w:rPr>
              <w:t>1 642,00</w:t>
            </w:r>
          </w:p>
        </w:tc>
        <w:tc>
          <w:tcPr>
            <w:tcW w:w="0" w:type="auto"/>
          </w:tcPr>
          <w:p w14:paraId="628A050D" w14:textId="77777777" w:rsidR="008C5CFA" w:rsidRPr="001C4484" w:rsidRDefault="00E82A60" w:rsidP="00300A01">
            <w:pPr>
              <w:spacing w:before="0" w:after="0"/>
              <w:jc w:val="right"/>
              <w:rPr>
                <w:sz w:val="10"/>
                <w:szCs w:val="10"/>
              </w:rPr>
            </w:pPr>
            <w:r>
              <w:rPr>
                <w:noProof/>
                <w:sz w:val="10"/>
                <w:szCs w:val="10"/>
              </w:rPr>
              <w:t>1 578,00</w:t>
            </w:r>
          </w:p>
        </w:tc>
        <w:tc>
          <w:tcPr>
            <w:tcW w:w="0" w:type="auto"/>
            <w:shd w:val="clear" w:color="auto" w:fill="auto"/>
          </w:tcPr>
          <w:p w14:paraId="63F0A86D" w14:textId="77777777" w:rsidR="008C5CFA" w:rsidRPr="001C4484" w:rsidRDefault="00E82A60" w:rsidP="00300A01">
            <w:pPr>
              <w:spacing w:before="0" w:after="0"/>
              <w:jc w:val="right"/>
              <w:rPr>
                <w:sz w:val="10"/>
                <w:szCs w:val="10"/>
              </w:rPr>
            </w:pPr>
            <w:r w:rsidRPr="001C4484">
              <w:rPr>
                <w:noProof/>
                <w:sz w:val="10"/>
                <w:szCs w:val="10"/>
              </w:rPr>
              <w:t>626,00</w:t>
            </w:r>
          </w:p>
        </w:tc>
        <w:tc>
          <w:tcPr>
            <w:tcW w:w="0" w:type="auto"/>
            <w:shd w:val="clear" w:color="auto" w:fill="auto"/>
          </w:tcPr>
          <w:p w14:paraId="227A3C3C" w14:textId="77777777" w:rsidR="008C5CFA" w:rsidRPr="001C4484" w:rsidRDefault="00E82A60" w:rsidP="00300A01">
            <w:pPr>
              <w:spacing w:before="0" w:after="0"/>
              <w:jc w:val="right"/>
              <w:rPr>
                <w:sz w:val="10"/>
                <w:szCs w:val="10"/>
                <w:lang w:val="fr-BE"/>
              </w:rPr>
            </w:pPr>
            <w:r w:rsidRPr="001C4484">
              <w:rPr>
                <w:noProof/>
                <w:sz w:val="10"/>
                <w:szCs w:val="10"/>
              </w:rPr>
              <w:t>952,00</w:t>
            </w:r>
          </w:p>
        </w:tc>
      </w:tr>
      <w:tr w:rsidR="006B2EC1" w14:paraId="607545CA" w14:textId="77777777" w:rsidTr="0047688D">
        <w:tc>
          <w:tcPr>
            <w:tcW w:w="0" w:type="auto"/>
            <w:shd w:val="clear" w:color="auto" w:fill="auto"/>
          </w:tcPr>
          <w:p w14:paraId="40E23CD0" w14:textId="77777777" w:rsidR="008C5CFA" w:rsidRPr="001C4484" w:rsidRDefault="00E82A60" w:rsidP="00300A01">
            <w:pPr>
              <w:spacing w:before="0" w:after="0"/>
              <w:rPr>
                <w:sz w:val="10"/>
                <w:szCs w:val="10"/>
                <w:lang w:val="fr-BE"/>
              </w:rPr>
            </w:pPr>
            <w:r w:rsidRPr="001C4484">
              <w:rPr>
                <w:noProof/>
                <w:sz w:val="10"/>
                <w:szCs w:val="10"/>
                <w:lang w:val="fr-BE"/>
              </w:rPr>
              <w:t>CO04</w:t>
            </w:r>
          </w:p>
        </w:tc>
        <w:tc>
          <w:tcPr>
            <w:tcW w:w="0" w:type="auto"/>
            <w:shd w:val="clear" w:color="auto" w:fill="auto"/>
          </w:tcPr>
          <w:p w14:paraId="4243DDC4" w14:textId="77777777" w:rsidR="008C5CFA" w:rsidRPr="001C4484" w:rsidRDefault="00E82A60" w:rsidP="00300A01">
            <w:pPr>
              <w:spacing w:before="0" w:after="0"/>
              <w:rPr>
                <w:sz w:val="10"/>
                <w:szCs w:val="10"/>
                <w:lang w:val="fr-BE"/>
              </w:rPr>
            </w:pPr>
            <w:r w:rsidRPr="001C4484">
              <w:rPr>
                <w:noProof/>
                <w:sz w:val="10"/>
                <w:szCs w:val="10"/>
                <w:lang w:val="fr-BE"/>
              </w:rPr>
              <w:t>osoby bierne zawodowo, nieuczestniczące w kształceniu ani szkoleniu</w:t>
            </w:r>
          </w:p>
        </w:tc>
        <w:tc>
          <w:tcPr>
            <w:tcW w:w="0" w:type="auto"/>
            <w:shd w:val="clear" w:color="auto" w:fill="auto"/>
          </w:tcPr>
          <w:p w14:paraId="409F78C0"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40E841B4" w14:textId="77777777" w:rsidR="008C5CFA" w:rsidRPr="001C4484" w:rsidRDefault="00E82A60" w:rsidP="00300A01">
            <w:pPr>
              <w:spacing w:before="0" w:after="0"/>
              <w:jc w:val="right"/>
              <w:rPr>
                <w:sz w:val="10"/>
                <w:szCs w:val="10"/>
              </w:rPr>
            </w:pPr>
            <w:r>
              <w:rPr>
                <w:noProof/>
                <w:sz w:val="10"/>
                <w:szCs w:val="10"/>
              </w:rPr>
              <w:t>358,00</w:t>
            </w:r>
          </w:p>
        </w:tc>
        <w:tc>
          <w:tcPr>
            <w:tcW w:w="0" w:type="auto"/>
            <w:shd w:val="clear" w:color="auto" w:fill="auto"/>
          </w:tcPr>
          <w:p w14:paraId="292D7C12" w14:textId="77777777" w:rsidR="008C5CFA" w:rsidRPr="001C4484" w:rsidRDefault="00E82A60" w:rsidP="00300A01">
            <w:pPr>
              <w:spacing w:before="0" w:after="0"/>
              <w:jc w:val="right"/>
              <w:rPr>
                <w:sz w:val="10"/>
                <w:szCs w:val="10"/>
              </w:rPr>
            </w:pPr>
            <w:r w:rsidRPr="001C4484">
              <w:rPr>
                <w:noProof/>
                <w:sz w:val="10"/>
                <w:szCs w:val="10"/>
              </w:rPr>
              <w:t>124,00</w:t>
            </w:r>
          </w:p>
        </w:tc>
        <w:tc>
          <w:tcPr>
            <w:tcW w:w="0" w:type="auto"/>
            <w:shd w:val="clear" w:color="auto" w:fill="auto"/>
          </w:tcPr>
          <w:p w14:paraId="50FD84AC" w14:textId="77777777" w:rsidR="008C5CFA" w:rsidRPr="001C4484" w:rsidRDefault="00E82A60" w:rsidP="00300A01">
            <w:pPr>
              <w:spacing w:before="0" w:after="0"/>
              <w:jc w:val="right"/>
              <w:rPr>
                <w:sz w:val="10"/>
                <w:szCs w:val="10"/>
                <w:lang w:val="fr-BE"/>
              </w:rPr>
            </w:pPr>
            <w:r w:rsidRPr="001C4484">
              <w:rPr>
                <w:noProof/>
                <w:sz w:val="10"/>
                <w:szCs w:val="10"/>
              </w:rPr>
              <w:t>234,00</w:t>
            </w:r>
          </w:p>
        </w:tc>
        <w:tc>
          <w:tcPr>
            <w:tcW w:w="0" w:type="auto"/>
          </w:tcPr>
          <w:p w14:paraId="28D794ED" w14:textId="77777777" w:rsidR="008C5CFA" w:rsidRPr="001C4484" w:rsidRDefault="00E82A60" w:rsidP="00300A01">
            <w:pPr>
              <w:spacing w:before="0" w:after="0"/>
              <w:jc w:val="right"/>
              <w:rPr>
                <w:sz w:val="10"/>
                <w:szCs w:val="10"/>
              </w:rPr>
            </w:pPr>
            <w:r>
              <w:rPr>
                <w:noProof/>
                <w:sz w:val="10"/>
                <w:szCs w:val="10"/>
              </w:rPr>
              <w:t>390,00</w:t>
            </w:r>
          </w:p>
        </w:tc>
        <w:tc>
          <w:tcPr>
            <w:tcW w:w="0" w:type="auto"/>
            <w:shd w:val="clear" w:color="auto" w:fill="auto"/>
          </w:tcPr>
          <w:p w14:paraId="717904C9" w14:textId="77777777" w:rsidR="008C5CFA" w:rsidRPr="001C4484" w:rsidRDefault="00E82A60" w:rsidP="00300A01">
            <w:pPr>
              <w:spacing w:before="0" w:after="0"/>
              <w:jc w:val="right"/>
              <w:rPr>
                <w:sz w:val="10"/>
                <w:szCs w:val="10"/>
              </w:rPr>
            </w:pPr>
            <w:r w:rsidRPr="001C4484">
              <w:rPr>
                <w:noProof/>
                <w:sz w:val="10"/>
                <w:szCs w:val="10"/>
              </w:rPr>
              <w:t>155,00</w:t>
            </w:r>
          </w:p>
        </w:tc>
        <w:tc>
          <w:tcPr>
            <w:tcW w:w="0" w:type="auto"/>
            <w:shd w:val="clear" w:color="auto" w:fill="auto"/>
          </w:tcPr>
          <w:p w14:paraId="4AB9982B" w14:textId="77777777" w:rsidR="008C5CFA" w:rsidRPr="001C4484" w:rsidRDefault="00E82A60" w:rsidP="00300A01">
            <w:pPr>
              <w:spacing w:before="0" w:after="0"/>
              <w:jc w:val="right"/>
              <w:rPr>
                <w:sz w:val="10"/>
                <w:szCs w:val="10"/>
                <w:lang w:val="fr-BE"/>
              </w:rPr>
            </w:pPr>
            <w:r w:rsidRPr="001C4484">
              <w:rPr>
                <w:noProof/>
                <w:sz w:val="10"/>
                <w:szCs w:val="10"/>
              </w:rPr>
              <w:t>235,00</w:t>
            </w:r>
          </w:p>
        </w:tc>
        <w:tc>
          <w:tcPr>
            <w:tcW w:w="0" w:type="auto"/>
          </w:tcPr>
          <w:p w14:paraId="4D0F7AEB" w14:textId="77777777" w:rsidR="008C5CFA" w:rsidRPr="001C4484" w:rsidRDefault="00E82A60" w:rsidP="00300A01">
            <w:pPr>
              <w:spacing w:before="0" w:after="0"/>
              <w:jc w:val="right"/>
              <w:rPr>
                <w:sz w:val="10"/>
                <w:szCs w:val="10"/>
              </w:rPr>
            </w:pPr>
            <w:r>
              <w:rPr>
                <w:noProof/>
                <w:sz w:val="10"/>
                <w:szCs w:val="10"/>
              </w:rPr>
              <w:t>65,00</w:t>
            </w:r>
          </w:p>
        </w:tc>
        <w:tc>
          <w:tcPr>
            <w:tcW w:w="0" w:type="auto"/>
            <w:shd w:val="clear" w:color="auto" w:fill="auto"/>
          </w:tcPr>
          <w:p w14:paraId="65EB6648" w14:textId="77777777" w:rsidR="008C5CFA" w:rsidRPr="001C4484" w:rsidRDefault="00E82A60" w:rsidP="00300A01">
            <w:pPr>
              <w:spacing w:before="0" w:after="0"/>
              <w:jc w:val="right"/>
              <w:rPr>
                <w:sz w:val="10"/>
                <w:szCs w:val="10"/>
              </w:rPr>
            </w:pPr>
            <w:r w:rsidRPr="001C4484">
              <w:rPr>
                <w:noProof/>
                <w:sz w:val="10"/>
                <w:szCs w:val="10"/>
              </w:rPr>
              <w:t>33,00</w:t>
            </w:r>
          </w:p>
        </w:tc>
        <w:tc>
          <w:tcPr>
            <w:tcW w:w="0" w:type="auto"/>
            <w:shd w:val="clear" w:color="auto" w:fill="auto"/>
          </w:tcPr>
          <w:p w14:paraId="12BFBAFD" w14:textId="77777777" w:rsidR="008C5CFA" w:rsidRPr="001C4484" w:rsidRDefault="00E82A60" w:rsidP="00300A01">
            <w:pPr>
              <w:spacing w:before="0" w:after="0"/>
              <w:jc w:val="right"/>
              <w:rPr>
                <w:sz w:val="10"/>
                <w:szCs w:val="10"/>
                <w:lang w:val="fr-BE"/>
              </w:rPr>
            </w:pPr>
            <w:r w:rsidRPr="001C4484">
              <w:rPr>
                <w:noProof/>
                <w:sz w:val="10"/>
                <w:szCs w:val="10"/>
              </w:rPr>
              <w:t>32,00</w:t>
            </w:r>
          </w:p>
        </w:tc>
      </w:tr>
      <w:tr w:rsidR="006B2EC1" w14:paraId="27A1ACA3" w14:textId="77777777" w:rsidTr="0047688D">
        <w:tc>
          <w:tcPr>
            <w:tcW w:w="0" w:type="auto"/>
            <w:shd w:val="clear" w:color="auto" w:fill="auto"/>
          </w:tcPr>
          <w:p w14:paraId="0E0333F9" w14:textId="77777777" w:rsidR="008C5CFA" w:rsidRPr="001C4484" w:rsidRDefault="00E82A60" w:rsidP="00300A01">
            <w:pPr>
              <w:spacing w:before="0" w:after="0"/>
              <w:rPr>
                <w:sz w:val="10"/>
                <w:szCs w:val="10"/>
                <w:lang w:val="fr-BE"/>
              </w:rPr>
            </w:pPr>
            <w:r w:rsidRPr="001C4484">
              <w:rPr>
                <w:noProof/>
                <w:sz w:val="10"/>
                <w:szCs w:val="10"/>
                <w:lang w:val="fr-BE"/>
              </w:rPr>
              <w:t>CO05</w:t>
            </w:r>
          </w:p>
        </w:tc>
        <w:tc>
          <w:tcPr>
            <w:tcW w:w="0" w:type="auto"/>
            <w:shd w:val="clear" w:color="auto" w:fill="auto"/>
          </w:tcPr>
          <w:p w14:paraId="2BED85EA" w14:textId="77777777" w:rsidR="008C5CFA" w:rsidRPr="001C4484" w:rsidRDefault="00E82A60" w:rsidP="00300A01">
            <w:pPr>
              <w:spacing w:before="0" w:after="0"/>
              <w:rPr>
                <w:sz w:val="10"/>
                <w:szCs w:val="10"/>
                <w:lang w:val="fr-BE"/>
              </w:rPr>
            </w:pPr>
            <w:r w:rsidRPr="001C4484">
              <w:rPr>
                <w:noProof/>
                <w:sz w:val="10"/>
                <w:szCs w:val="10"/>
                <w:lang w:val="fr-BE"/>
              </w:rPr>
              <w:t>osoby pracujące, łącznie z prowadzącymi działalność na własny rachunek</w:t>
            </w:r>
          </w:p>
        </w:tc>
        <w:tc>
          <w:tcPr>
            <w:tcW w:w="0" w:type="auto"/>
            <w:shd w:val="clear" w:color="auto" w:fill="auto"/>
          </w:tcPr>
          <w:p w14:paraId="52372D29"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29CC5EDA" w14:textId="77777777" w:rsidR="008C5CFA" w:rsidRPr="001C4484" w:rsidRDefault="00E82A60" w:rsidP="00300A01">
            <w:pPr>
              <w:spacing w:before="0" w:after="0"/>
              <w:jc w:val="right"/>
              <w:rPr>
                <w:sz w:val="10"/>
                <w:szCs w:val="10"/>
              </w:rPr>
            </w:pPr>
            <w:r>
              <w:rPr>
                <w:noProof/>
                <w:sz w:val="10"/>
                <w:szCs w:val="10"/>
              </w:rPr>
              <w:t>597,00</w:t>
            </w:r>
          </w:p>
        </w:tc>
        <w:tc>
          <w:tcPr>
            <w:tcW w:w="0" w:type="auto"/>
            <w:shd w:val="clear" w:color="auto" w:fill="auto"/>
          </w:tcPr>
          <w:p w14:paraId="205FACAF" w14:textId="77777777" w:rsidR="008C5CFA" w:rsidRPr="001C4484" w:rsidRDefault="00E82A60" w:rsidP="00300A01">
            <w:pPr>
              <w:spacing w:before="0" w:after="0"/>
              <w:jc w:val="right"/>
              <w:rPr>
                <w:sz w:val="10"/>
                <w:szCs w:val="10"/>
              </w:rPr>
            </w:pPr>
            <w:r w:rsidRPr="001C4484">
              <w:rPr>
                <w:noProof/>
                <w:sz w:val="10"/>
                <w:szCs w:val="10"/>
              </w:rPr>
              <w:t>197,00</w:t>
            </w:r>
          </w:p>
        </w:tc>
        <w:tc>
          <w:tcPr>
            <w:tcW w:w="0" w:type="auto"/>
            <w:shd w:val="clear" w:color="auto" w:fill="auto"/>
          </w:tcPr>
          <w:p w14:paraId="11708719" w14:textId="77777777" w:rsidR="008C5CFA" w:rsidRPr="001C4484" w:rsidRDefault="00E82A60" w:rsidP="00300A01">
            <w:pPr>
              <w:spacing w:before="0" w:after="0"/>
              <w:jc w:val="right"/>
              <w:rPr>
                <w:sz w:val="10"/>
                <w:szCs w:val="10"/>
                <w:lang w:val="fr-BE"/>
              </w:rPr>
            </w:pPr>
            <w:r w:rsidRPr="001C4484">
              <w:rPr>
                <w:noProof/>
                <w:sz w:val="10"/>
                <w:szCs w:val="10"/>
              </w:rPr>
              <w:t>400,00</w:t>
            </w:r>
          </w:p>
        </w:tc>
        <w:tc>
          <w:tcPr>
            <w:tcW w:w="0" w:type="auto"/>
          </w:tcPr>
          <w:p w14:paraId="24FB9589" w14:textId="77777777" w:rsidR="008C5CFA" w:rsidRPr="001C4484" w:rsidRDefault="00E82A60" w:rsidP="00300A01">
            <w:pPr>
              <w:spacing w:before="0" w:after="0"/>
              <w:jc w:val="right"/>
              <w:rPr>
                <w:sz w:val="10"/>
                <w:szCs w:val="10"/>
              </w:rPr>
            </w:pPr>
            <w:r>
              <w:rPr>
                <w:noProof/>
                <w:sz w:val="10"/>
                <w:szCs w:val="10"/>
              </w:rPr>
              <w:t>505,00</w:t>
            </w:r>
          </w:p>
        </w:tc>
        <w:tc>
          <w:tcPr>
            <w:tcW w:w="0" w:type="auto"/>
            <w:shd w:val="clear" w:color="auto" w:fill="auto"/>
          </w:tcPr>
          <w:p w14:paraId="62A47F3C" w14:textId="77777777" w:rsidR="008C5CFA" w:rsidRPr="001C4484" w:rsidRDefault="00E82A60" w:rsidP="00300A01">
            <w:pPr>
              <w:spacing w:before="0" w:after="0"/>
              <w:jc w:val="right"/>
              <w:rPr>
                <w:sz w:val="10"/>
                <w:szCs w:val="10"/>
              </w:rPr>
            </w:pPr>
            <w:r w:rsidRPr="001C4484">
              <w:rPr>
                <w:noProof/>
                <w:sz w:val="10"/>
                <w:szCs w:val="10"/>
              </w:rPr>
              <w:t>168,00</w:t>
            </w:r>
          </w:p>
        </w:tc>
        <w:tc>
          <w:tcPr>
            <w:tcW w:w="0" w:type="auto"/>
            <w:shd w:val="clear" w:color="auto" w:fill="auto"/>
          </w:tcPr>
          <w:p w14:paraId="5BB21229" w14:textId="77777777" w:rsidR="008C5CFA" w:rsidRPr="001C4484" w:rsidRDefault="00E82A60" w:rsidP="00300A01">
            <w:pPr>
              <w:spacing w:before="0" w:after="0"/>
              <w:jc w:val="right"/>
              <w:rPr>
                <w:sz w:val="10"/>
                <w:szCs w:val="10"/>
                <w:lang w:val="fr-BE"/>
              </w:rPr>
            </w:pPr>
            <w:r w:rsidRPr="001C4484">
              <w:rPr>
                <w:noProof/>
                <w:sz w:val="10"/>
                <w:szCs w:val="10"/>
              </w:rPr>
              <w:t>337,00</w:t>
            </w:r>
          </w:p>
        </w:tc>
        <w:tc>
          <w:tcPr>
            <w:tcW w:w="0" w:type="auto"/>
          </w:tcPr>
          <w:p w14:paraId="596FA847" w14:textId="77777777" w:rsidR="008C5CFA" w:rsidRPr="001C4484" w:rsidRDefault="00E82A60" w:rsidP="00300A01">
            <w:pPr>
              <w:spacing w:before="0" w:after="0"/>
              <w:jc w:val="right"/>
              <w:rPr>
                <w:sz w:val="10"/>
                <w:szCs w:val="10"/>
              </w:rPr>
            </w:pPr>
            <w:r>
              <w:rPr>
                <w:noProof/>
                <w:sz w:val="10"/>
                <w:szCs w:val="10"/>
              </w:rPr>
              <w:t>157,00</w:t>
            </w:r>
          </w:p>
        </w:tc>
        <w:tc>
          <w:tcPr>
            <w:tcW w:w="0" w:type="auto"/>
            <w:shd w:val="clear" w:color="auto" w:fill="auto"/>
          </w:tcPr>
          <w:p w14:paraId="2B978F86" w14:textId="77777777" w:rsidR="008C5CFA" w:rsidRPr="001C4484" w:rsidRDefault="00E82A60" w:rsidP="00300A01">
            <w:pPr>
              <w:spacing w:before="0" w:after="0"/>
              <w:jc w:val="right"/>
              <w:rPr>
                <w:sz w:val="10"/>
                <w:szCs w:val="10"/>
              </w:rPr>
            </w:pPr>
            <w:r w:rsidRPr="001C4484">
              <w:rPr>
                <w:noProof/>
                <w:sz w:val="10"/>
                <w:szCs w:val="10"/>
              </w:rPr>
              <w:t>38,00</w:t>
            </w:r>
          </w:p>
        </w:tc>
        <w:tc>
          <w:tcPr>
            <w:tcW w:w="0" w:type="auto"/>
            <w:shd w:val="clear" w:color="auto" w:fill="auto"/>
          </w:tcPr>
          <w:p w14:paraId="7069D873" w14:textId="77777777" w:rsidR="008C5CFA" w:rsidRPr="001C4484" w:rsidRDefault="00E82A60" w:rsidP="00300A01">
            <w:pPr>
              <w:spacing w:before="0" w:after="0"/>
              <w:jc w:val="right"/>
              <w:rPr>
                <w:sz w:val="10"/>
                <w:szCs w:val="10"/>
                <w:lang w:val="fr-BE"/>
              </w:rPr>
            </w:pPr>
            <w:r w:rsidRPr="001C4484">
              <w:rPr>
                <w:noProof/>
                <w:sz w:val="10"/>
                <w:szCs w:val="10"/>
              </w:rPr>
              <w:t>119,00</w:t>
            </w:r>
          </w:p>
        </w:tc>
      </w:tr>
      <w:tr w:rsidR="006B2EC1" w14:paraId="660E2FF1" w14:textId="77777777" w:rsidTr="0047688D">
        <w:tc>
          <w:tcPr>
            <w:tcW w:w="0" w:type="auto"/>
            <w:shd w:val="clear" w:color="auto" w:fill="auto"/>
          </w:tcPr>
          <w:p w14:paraId="0068C29C" w14:textId="77777777" w:rsidR="008C5CFA" w:rsidRPr="001C4484" w:rsidRDefault="00E82A60" w:rsidP="00300A01">
            <w:pPr>
              <w:spacing w:before="0" w:after="0"/>
              <w:rPr>
                <w:sz w:val="10"/>
                <w:szCs w:val="10"/>
                <w:lang w:val="fr-BE"/>
              </w:rPr>
            </w:pPr>
            <w:r w:rsidRPr="001C4484">
              <w:rPr>
                <w:noProof/>
                <w:sz w:val="10"/>
                <w:szCs w:val="10"/>
                <w:lang w:val="fr-BE"/>
              </w:rPr>
              <w:t>CO06</w:t>
            </w:r>
          </w:p>
        </w:tc>
        <w:tc>
          <w:tcPr>
            <w:tcW w:w="0" w:type="auto"/>
            <w:shd w:val="clear" w:color="auto" w:fill="auto"/>
          </w:tcPr>
          <w:p w14:paraId="4DFE8289" w14:textId="77777777" w:rsidR="008C5CFA" w:rsidRPr="001C4484" w:rsidRDefault="00E82A60" w:rsidP="00300A01">
            <w:pPr>
              <w:spacing w:before="0" w:after="0"/>
              <w:rPr>
                <w:sz w:val="10"/>
                <w:szCs w:val="10"/>
                <w:lang w:val="fr-BE"/>
              </w:rPr>
            </w:pPr>
            <w:r w:rsidRPr="001C4484">
              <w:rPr>
                <w:noProof/>
                <w:sz w:val="10"/>
                <w:szCs w:val="10"/>
                <w:lang w:val="fr-BE"/>
              </w:rPr>
              <w:t>osoby w wieku poniżej 25 lat</w:t>
            </w:r>
          </w:p>
        </w:tc>
        <w:tc>
          <w:tcPr>
            <w:tcW w:w="0" w:type="auto"/>
            <w:shd w:val="clear" w:color="auto" w:fill="auto"/>
          </w:tcPr>
          <w:p w14:paraId="37E28D86"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095C280C" w14:textId="77777777" w:rsidR="008C5CFA" w:rsidRPr="001C4484" w:rsidRDefault="00E82A60" w:rsidP="00300A01">
            <w:pPr>
              <w:spacing w:before="0" w:after="0"/>
              <w:jc w:val="right"/>
              <w:rPr>
                <w:sz w:val="10"/>
                <w:szCs w:val="10"/>
              </w:rPr>
            </w:pPr>
            <w:r>
              <w:rPr>
                <w:noProof/>
                <w:sz w:val="10"/>
                <w:szCs w:val="10"/>
              </w:rPr>
              <w:t>1 831,00</w:t>
            </w:r>
          </w:p>
        </w:tc>
        <w:tc>
          <w:tcPr>
            <w:tcW w:w="0" w:type="auto"/>
            <w:shd w:val="clear" w:color="auto" w:fill="auto"/>
          </w:tcPr>
          <w:p w14:paraId="2F790A16" w14:textId="77777777" w:rsidR="008C5CFA" w:rsidRPr="001C4484" w:rsidRDefault="00E82A60" w:rsidP="00300A01">
            <w:pPr>
              <w:spacing w:before="0" w:after="0"/>
              <w:jc w:val="right"/>
              <w:rPr>
                <w:sz w:val="10"/>
                <w:szCs w:val="10"/>
              </w:rPr>
            </w:pPr>
            <w:r w:rsidRPr="001C4484">
              <w:rPr>
                <w:noProof/>
                <w:sz w:val="10"/>
                <w:szCs w:val="10"/>
              </w:rPr>
              <w:t>774,00</w:t>
            </w:r>
          </w:p>
        </w:tc>
        <w:tc>
          <w:tcPr>
            <w:tcW w:w="0" w:type="auto"/>
            <w:shd w:val="clear" w:color="auto" w:fill="auto"/>
          </w:tcPr>
          <w:p w14:paraId="5184AA89" w14:textId="77777777" w:rsidR="008C5CFA" w:rsidRPr="001C4484" w:rsidRDefault="00E82A60" w:rsidP="00300A01">
            <w:pPr>
              <w:spacing w:before="0" w:after="0"/>
              <w:jc w:val="right"/>
              <w:rPr>
                <w:sz w:val="10"/>
                <w:szCs w:val="10"/>
                <w:lang w:val="fr-BE"/>
              </w:rPr>
            </w:pPr>
            <w:r w:rsidRPr="001C4484">
              <w:rPr>
                <w:noProof/>
                <w:sz w:val="10"/>
                <w:szCs w:val="10"/>
              </w:rPr>
              <w:t>1 057,00</w:t>
            </w:r>
          </w:p>
        </w:tc>
        <w:tc>
          <w:tcPr>
            <w:tcW w:w="0" w:type="auto"/>
          </w:tcPr>
          <w:p w14:paraId="698F1A9D" w14:textId="77777777" w:rsidR="008C5CFA" w:rsidRPr="001C4484" w:rsidRDefault="00E82A60" w:rsidP="00300A01">
            <w:pPr>
              <w:spacing w:before="0" w:after="0"/>
              <w:jc w:val="right"/>
              <w:rPr>
                <w:sz w:val="10"/>
                <w:szCs w:val="10"/>
              </w:rPr>
            </w:pPr>
            <w:r>
              <w:rPr>
                <w:noProof/>
                <w:sz w:val="10"/>
                <w:szCs w:val="10"/>
              </w:rPr>
              <w:t>2 031,00</w:t>
            </w:r>
          </w:p>
        </w:tc>
        <w:tc>
          <w:tcPr>
            <w:tcW w:w="0" w:type="auto"/>
            <w:shd w:val="clear" w:color="auto" w:fill="auto"/>
          </w:tcPr>
          <w:p w14:paraId="31FCF8DD" w14:textId="77777777" w:rsidR="008C5CFA" w:rsidRPr="001C4484" w:rsidRDefault="00E82A60" w:rsidP="00300A01">
            <w:pPr>
              <w:spacing w:before="0" w:after="0"/>
              <w:jc w:val="right"/>
              <w:rPr>
                <w:sz w:val="10"/>
                <w:szCs w:val="10"/>
              </w:rPr>
            </w:pPr>
            <w:r w:rsidRPr="001C4484">
              <w:rPr>
                <w:noProof/>
                <w:sz w:val="10"/>
                <w:szCs w:val="10"/>
              </w:rPr>
              <w:t>997,00</w:t>
            </w:r>
          </w:p>
        </w:tc>
        <w:tc>
          <w:tcPr>
            <w:tcW w:w="0" w:type="auto"/>
            <w:shd w:val="clear" w:color="auto" w:fill="auto"/>
          </w:tcPr>
          <w:p w14:paraId="50E40B7A" w14:textId="77777777" w:rsidR="008C5CFA" w:rsidRPr="001C4484" w:rsidRDefault="00E82A60" w:rsidP="00300A01">
            <w:pPr>
              <w:spacing w:before="0" w:after="0"/>
              <w:jc w:val="right"/>
              <w:rPr>
                <w:sz w:val="10"/>
                <w:szCs w:val="10"/>
                <w:lang w:val="fr-BE"/>
              </w:rPr>
            </w:pPr>
            <w:r w:rsidRPr="001C4484">
              <w:rPr>
                <w:noProof/>
                <w:sz w:val="10"/>
                <w:szCs w:val="10"/>
              </w:rPr>
              <w:t>1 034,00</w:t>
            </w:r>
          </w:p>
        </w:tc>
        <w:tc>
          <w:tcPr>
            <w:tcW w:w="0" w:type="auto"/>
          </w:tcPr>
          <w:p w14:paraId="57993550" w14:textId="77777777" w:rsidR="008C5CFA" w:rsidRPr="001C4484" w:rsidRDefault="00E82A60" w:rsidP="00300A01">
            <w:pPr>
              <w:spacing w:before="0" w:after="0"/>
              <w:jc w:val="right"/>
              <w:rPr>
                <w:sz w:val="10"/>
                <w:szCs w:val="10"/>
              </w:rPr>
            </w:pPr>
            <w:r>
              <w:rPr>
                <w:noProof/>
                <w:sz w:val="10"/>
                <w:szCs w:val="10"/>
              </w:rPr>
              <w:t>1 457,00</w:t>
            </w:r>
          </w:p>
        </w:tc>
        <w:tc>
          <w:tcPr>
            <w:tcW w:w="0" w:type="auto"/>
            <w:shd w:val="clear" w:color="auto" w:fill="auto"/>
          </w:tcPr>
          <w:p w14:paraId="2B9F30C7" w14:textId="77777777" w:rsidR="008C5CFA" w:rsidRPr="001C4484" w:rsidRDefault="00E82A60" w:rsidP="00300A01">
            <w:pPr>
              <w:spacing w:before="0" w:after="0"/>
              <w:jc w:val="right"/>
              <w:rPr>
                <w:sz w:val="10"/>
                <w:szCs w:val="10"/>
              </w:rPr>
            </w:pPr>
            <w:r w:rsidRPr="001C4484">
              <w:rPr>
                <w:noProof/>
                <w:sz w:val="10"/>
                <w:szCs w:val="10"/>
              </w:rPr>
              <w:t>599,00</w:t>
            </w:r>
          </w:p>
        </w:tc>
        <w:tc>
          <w:tcPr>
            <w:tcW w:w="0" w:type="auto"/>
            <w:shd w:val="clear" w:color="auto" w:fill="auto"/>
          </w:tcPr>
          <w:p w14:paraId="151F1FA8" w14:textId="77777777" w:rsidR="008C5CFA" w:rsidRPr="001C4484" w:rsidRDefault="00E82A60" w:rsidP="00300A01">
            <w:pPr>
              <w:spacing w:before="0" w:after="0"/>
              <w:jc w:val="right"/>
              <w:rPr>
                <w:sz w:val="10"/>
                <w:szCs w:val="10"/>
                <w:lang w:val="fr-BE"/>
              </w:rPr>
            </w:pPr>
            <w:r w:rsidRPr="001C4484">
              <w:rPr>
                <w:noProof/>
                <w:sz w:val="10"/>
                <w:szCs w:val="10"/>
              </w:rPr>
              <w:t>858,00</w:t>
            </w:r>
          </w:p>
        </w:tc>
      </w:tr>
      <w:tr w:rsidR="006B2EC1" w14:paraId="673391B7" w14:textId="77777777" w:rsidTr="0047688D">
        <w:tc>
          <w:tcPr>
            <w:tcW w:w="0" w:type="auto"/>
            <w:shd w:val="clear" w:color="auto" w:fill="auto"/>
          </w:tcPr>
          <w:p w14:paraId="49522E6E" w14:textId="77777777" w:rsidR="008C5CFA" w:rsidRPr="001C4484" w:rsidRDefault="00E82A60" w:rsidP="00300A01">
            <w:pPr>
              <w:spacing w:before="0" w:after="0"/>
              <w:rPr>
                <w:sz w:val="10"/>
                <w:szCs w:val="10"/>
                <w:lang w:val="fr-BE"/>
              </w:rPr>
            </w:pPr>
            <w:r w:rsidRPr="001C4484">
              <w:rPr>
                <w:noProof/>
                <w:sz w:val="10"/>
                <w:szCs w:val="10"/>
                <w:lang w:val="fr-BE"/>
              </w:rPr>
              <w:t>CO07</w:t>
            </w:r>
          </w:p>
        </w:tc>
        <w:tc>
          <w:tcPr>
            <w:tcW w:w="0" w:type="auto"/>
            <w:shd w:val="clear" w:color="auto" w:fill="auto"/>
          </w:tcPr>
          <w:p w14:paraId="70CC11CB" w14:textId="77777777" w:rsidR="008C5CFA" w:rsidRPr="001C4484" w:rsidRDefault="00E82A60" w:rsidP="00300A01">
            <w:pPr>
              <w:spacing w:before="0" w:after="0"/>
              <w:rPr>
                <w:sz w:val="10"/>
                <w:szCs w:val="10"/>
                <w:lang w:val="fr-BE"/>
              </w:rPr>
            </w:pPr>
            <w:r w:rsidRPr="001C4484">
              <w:rPr>
                <w:noProof/>
                <w:sz w:val="10"/>
                <w:szCs w:val="10"/>
                <w:lang w:val="fr-BE"/>
              </w:rPr>
              <w:t>osoby w wieku powyżej 54 lat</w:t>
            </w:r>
          </w:p>
        </w:tc>
        <w:tc>
          <w:tcPr>
            <w:tcW w:w="0" w:type="auto"/>
            <w:shd w:val="clear" w:color="auto" w:fill="auto"/>
          </w:tcPr>
          <w:p w14:paraId="5FD37ECC"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4FB4413C" w14:textId="77777777" w:rsidR="008C5CFA" w:rsidRPr="001C4484" w:rsidRDefault="00E82A60" w:rsidP="00300A01">
            <w:pPr>
              <w:spacing w:before="0" w:after="0"/>
              <w:jc w:val="right"/>
              <w:rPr>
                <w:sz w:val="10"/>
                <w:szCs w:val="10"/>
              </w:rPr>
            </w:pPr>
            <w:r>
              <w:rPr>
                <w:noProof/>
                <w:sz w:val="10"/>
                <w:szCs w:val="10"/>
              </w:rPr>
              <w:t>1 417,00</w:t>
            </w:r>
          </w:p>
        </w:tc>
        <w:tc>
          <w:tcPr>
            <w:tcW w:w="0" w:type="auto"/>
            <w:shd w:val="clear" w:color="auto" w:fill="auto"/>
          </w:tcPr>
          <w:p w14:paraId="51376E91" w14:textId="77777777" w:rsidR="008C5CFA" w:rsidRPr="001C4484" w:rsidRDefault="00E82A60" w:rsidP="00300A01">
            <w:pPr>
              <w:spacing w:before="0" w:after="0"/>
              <w:jc w:val="right"/>
              <w:rPr>
                <w:sz w:val="10"/>
                <w:szCs w:val="10"/>
              </w:rPr>
            </w:pPr>
            <w:r w:rsidRPr="001C4484">
              <w:rPr>
                <w:noProof/>
                <w:sz w:val="10"/>
                <w:szCs w:val="10"/>
              </w:rPr>
              <w:t>475,00</w:t>
            </w:r>
          </w:p>
        </w:tc>
        <w:tc>
          <w:tcPr>
            <w:tcW w:w="0" w:type="auto"/>
            <w:shd w:val="clear" w:color="auto" w:fill="auto"/>
          </w:tcPr>
          <w:p w14:paraId="56998D5C" w14:textId="77777777" w:rsidR="008C5CFA" w:rsidRPr="001C4484" w:rsidRDefault="00E82A60" w:rsidP="00300A01">
            <w:pPr>
              <w:spacing w:before="0" w:after="0"/>
              <w:jc w:val="right"/>
              <w:rPr>
                <w:sz w:val="10"/>
                <w:szCs w:val="10"/>
                <w:lang w:val="fr-BE"/>
              </w:rPr>
            </w:pPr>
            <w:r w:rsidRPr="001C4484">
              <w:rPr>
                <w:noProof/>
                <w:sz w:val="10"/>
                <w:szCs w:val="10"/>
              </w:rPr>
              <w:t>942,00</w:t>
            </w:r>
          </w:p>
        </w:tc>
        <w:tc>
          <w:tcPr>
            <w:tcW w:w="0" w:type="auto"/>
          </w:tcPr>
          <w:p w14:paraId="5BD0F6B6" w14:textId="77777777" w:rsidR="008C5CFA" w:rsidRPr="001C4484" w:rsidRDefault="00E82A60" w:rsidP="00300A01">
            <w:pPr>
              <w:spacing w:before="0" w:after="0"/>
              <w:jc w:val="right"/>
              <w:rPr>
                <w:sz w:val="10"/>
                <w:szCs w:val="10"/>
              </w:rPr>
            </w:pPr>
            <w:r>
              <w:rPr>
                <w:noProof/>
                <w:sz w:val="10"/>
                <w:szCs w:val="10"/>
              </w:rPr>
              <w:t>707,00</w:t>
            </w:r>
          </w:p>
        </w:tc>
        <w:tc>
          <w:tcPr>
            <w:tcW w:w="0" w:type="auto"/>
            <w:shd w:val="clear" w:color="auto" w:fill="auto"/>
          </w:tcPr>
          <w:p w14:paraId="7A957A5B" w14:textId="77777777" w:rsidR="008C5CFA" w:rsidRPr="001C4484" w:rsidRDefault="00E82A60" w:rsidP="00300A01">
            <w:pPr>
              <w:spacing w:before="0" w:after="0"/>
              <w:jc w:val="right"/>
              <w:rPr>
                <w:sz w:val="10"/>
                <w:szCs w:val="10"/>
              </w:rPr>
            </w:pPr>
            <w:r w:rsidRPr="001C4484">
              <w:rPr>
                <w:noProof/>
                <w:sz w:val="10"/>
                <w:szCs w:val="10"/>
              </w:rPr>
              <w:t>220,00</w:t>
            </w:r>
          </w:p>
        </w:tc>
        <w:tc>
          <w:tcPr>
            <w:tcW w:w="0" w:type="auto"/>
            <w:shd w:val="clear" w:color="auto" w:fill="auto"/>
          </w:tcPr>
          <w:p w14:paraId="5383F7E2" w14:textId="77777777" w:rsidR="008C5CFA" w:rsidRPr="001C4484" w:rsidRDefault="00E82A60" w:rsidP="00300A01">
            <w:pPr>
              <w:spacing w:before="0" w:after="0"/>
              <w:jc w:val="right"/>
              <w:rPr>
                <w:sz w:val="10"/>
                <w:szCs w:val="10"/>
                <w:lang w:val="fr-BE"/>
              </w:rPr>
            </w:pPr>
            <w:r w:rsidRPr="001C4484">
              <w:rPr>
                <w:noProof/>
                <w:sz w:val="10"/>
                <w:szCs w:val="10"/>
              </w:rPr>
              <w:t>487,00</w:t>
            </w:r>
          </w:p>
        </w:tc>
        <w:tc>
          <w:tcPr>
            <w:tcW w:w="0" w:type="auto"/>
          </w:tcPr>
          <w:p w14:paraId="08C978A4" w14:textId="77777777" w:rsidR="008C5CFA" w:rsidRPr="001C4484" w:rsidRDefault="00E82A60" w:rsidP="00300A01">
            <w:pPr>
              <w:spacing w:before="0" w:after="0"/>
              <w:jc w:val="right"/>
              <w:rPr>
                <w:sz w:val="10"/>
                <w:szCs w:val="10"/>
              </w:rPr>
            </w:pPr>
            <w:r>
              <w:rPr>
                <w:noProof/>
                <w:sz w:val="10"/>
                <w:szCs w:val="10"/>
              </w:rPr>
              <w:t>123,00</w:t>
            </w:r>
          </w:p>
        </w:tc>
        <w:tc>
          <w:tcPr>
            <w:tcW w:w="0" w:type="auto"/>
            <w:shd w:val="clear" w:color="auto" w:fill="auto"/>
          </w:tcPr>
          <w:p w14:paraId="3425CF65" w14:textId="77777777" w:rsidR="008C5CFA" w:rsidRPr="001C4484" w:rsidRDefault="00E82A60" w:rsidP="00300A01">
            <w:pPr>
              <w:spacing w:before="0" w:after="0"/>
              <w:jc w:val="right"/>
              <w:rPr>
                <w:sz w:val="10"/>
                <w:szCs w:val="10"/>
              </w:rPr>
            </w:pPr>
            <w:r w:rsidRPr="001C4484">
              <w:rPr>
                <w:noProof/>
                <w:sz w:val="10"/>
                <w:szCs w:val="10"/>
              </w:rPr>
              <w:t>39,00</w:t>
            </w:r>
          </w:p>
        </w:tc>
        <w:tc>
          <w:tcPr>
            <w:tcW w:w="0" w:type="auto"/>
            <w:shd w:val="clear" w:color="auto" w:fill="auto"/>
          </w:tcPr>
          <w:p w14:paraId="299228CA" w14:textId="77777777" w:rsidR="008C5CFA" w:rsidRPr="001C4484" w:rsidRDefault="00E82A60" w:rsidP="00300A01">
            <w:pPr>
              <w:spacing w:before="0" w:after="0"/>
              <w:jc w:val="right"/>
              <w:rPr>
                <w:sz w:val="10"/>
                <w:szCs w:val="10"/>
                <w:lang w:val="fr-BE"/>
              </w:rPr>
            </w:pPr>
            <w:r w:rsidRPr="001C4484">
              <w:rPr>
                <w:noProof/>
                <w:sz w:val="10"/>
                <w:szCs w:val="10"/>
              </w:rPr>
              <w:t>84,00</w:t>
            </w:r>
          </w:p>
        </w:tc>
      </w:tr>
      <w:tr w:rsidR="006B2EC1" w14:paraId="70464B5E" w14:textId="77777777" w:rsidTr="0047688D">
        <w:tc>
          <w:tcPr>
            <w:tcW w:w="0" w:type="auto"/>
            <w:shd w:val="clear" w:color="auto" w:fill="auto"/>
          </w:tcPr>
          <w:p w14:paraId="406A0C7F" w14:textId="77777777" w:rsidR="008C5CFA" w:rsidRPr="001C4484" w:rsidRDefault="00E82A60" w:rsidP="00300A01">
            <w:pPr>
              <w:spacing w:before="0" w:after="0"/>
              <w:rPr>
                <w:sz w:val="10"/>
                <w:szCs w:val="10"/>
                <w:lang w:val="fr-BE"/>
              </w:rPr>
            </w:pPr>
            <w:r w:rsidRPr="001C4484">
              <w:rPr>
                <w:noProof/>
                <w:sz w:val="10"/>
                <w:szCs w:val="10"/>
                <w:lang w:val="fr-BE"/>
              </w:rPr>
              <w:t>CO08</w:t>
            </w:r>
          </w:p>
        </w:tc>
        <w:tc>
          <w:tcPr>
            <w:tcW w:w="0" w:type="auto"/>
            <w:shd w:val="clear" w:color="auto" w:fill="auto"/>
          </w:tcPr>
          <w:p w14:paraId="3F6E3702" w14:textId="77777777" w:rsidR="008C5CFA" w:rsidRPr="001C4484" w:rsidRDefault="00E82A60" w:rsidP="00300A01">
            <w:pPr>
              <w:spacing w:before="0" w:after="0"/>
              <w:rPr>
                <w:sz w:val="10"/>
                <w:szCs w:val="10"/>
                <w:lang w:val="fr-BE"/>
              </w:rPr>
            </w:pPr>
            <w:r w:rsidRPr="001C4484">
              <w:rPr>
                <w:noProof/>
                <w:sz w:val="10"/>
                <w:szCs w:val="10"/>
                <w:lang w:val="fr-BE"/>
              </w:rPr>
              <w:t>osoby powyżej 54 lat, które są bezrobotne, łącznie z długotrwale bezrobotnymi, lub są bierne zawodowo i nie uczestniczą w kształceniu ani szkoleniu</w:t>
            </w:r>
          </w:p>
        </w:tc>
        <w:tc>
          <w:tcPr>
            <w:tcW w:w="0" w:type="auto"/>
            <w:shd w:val="clear" w:color="auto" w:fill="auto"/>
          </w:tcPr>
          <w:p w14:paraId="02411D86"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17165056" w14:textId="77777777" w:rsidR="008C5CFA" w:rsidRPr="001C4484" w:rsidRDefault="00E82A60" w:rsidP="00300A01">
            <w:pPr>
              <w:spacing w:before="0" w:after="0"/>
              <w:jc w:val="right"/>
              <w:rPr>
                <w:sz w:val="10"/>
                <w:szCs w:val="10"/>
              </w:rPr>
            </w:pPr>
            <w:r>
              <w:rPr>
                <w:noProof/>
                <w:sz w:val="10"/>
                <w:szCs w:val="10"/>
              </w:rPr>
              <w:t>712,00</w:t>
            </w:r>
          </w:p>
        </w:tc>
        <w:tc>
          <w:tcPr>
            <w:tcW w:w="0" w:type="auto"/>
            <w:shd w:val="clear" w:color="auto" w:fill="auto"/>
          </w:tcPr>
          <w:p w14:paraId="4E149EA1" w14:textId="77777777" w:rsidR="008C5CFA" w:rsidRPr="001C4484" w:rsidRDefault="00E82A60" w:rsidP="00300A01">
            <w:pPr>
              <w:spacing w:before="0" w:after="0"/>
              <w:jc w:val="right"/>
              <w:rPr>
                <w:sz w:val="10"/>
                <w:szCs w:val="10"/>
              </w:rPr>
            </w:pPr>
            <w:r w:rsidRPr="001C4484">
              <w:rPr>
                <w:noProof/>
                <w:sz w:val="10"/>
                <w:szCs w:val="10"/>
              </w:rPr>
              <w:t>224,00</w:t>
            </w:r>
          </w:p>
        </w:tc>
        <w:tc>
          <w:tcPr>
            <w:tcW w:w="0" w:type="auto"/>
            <w:shd w:val="clear" w:color="auto" w:fill="auto"/>
          </w:tcPr>
          <w:p w14:paraId="0816577D" w14:textId="77777777" w:rsidR="008C5CFA" w:rsidRPr="001C4484" w:rsidRDefault="00E82A60" w:rsidP="00300A01">
            <w:pPr>
              <w:spacing w:before="0" w:after="0"/>
              <w:jc w:val="right"/>
              <w:rPr>
                <w:sz w:val="10"/>
                <w:szCs w:val="10"/>
                <w:lang w:val="fr-BE"/>
              </w:rPr>
            </w:pPr>
            <w:r w:rsidRPr="001C4484">
              <w:rPr>
                <w:noProof/>
                <w:sz w:val="10"/>
                <w:szCs w:val="10"/>
              </w:rPr>
              <w:t>488,00</w:t>
            </w:r>
          </w:p>
        </w:tc>
        <w:tc>
          <w:tcPr>
            <w:tcW w:w="0" w:type="auto"/>
          </w:tcPr>
          <w:p w14:paraId="5C271772" w14:textId="77777777" w:rsidR="008C5CFA" w:rsidRPr="001C4484" w:rsidRDefault="00E82A60" w:rsidP="00300A01">
            <w:pPr>
              <w:spacing w:before="0" w:after="0"/>
              <w:jc w:val="right"/>
              <w:rPr>
                <w:sz w:val="10"/>
                <w:szCs w:val="10"/>
              </w:rPr>
            </w:pPr>
            <w:r>
              <w:rPr>
                <w:noProof/>
                <w:sz w:val="10"/>
                <w:szCs w:val="10"/>
              </w:rPr>
              <w:t>204,00</w:t>
            </w:r>
          </w:p>
        </w:tc>
        <w:tc>
          <w:tcPr>
            <w:tcW w:w="0" w:type="auto"/>
            <w:shd w:val="clear" w:color="auto" w:fill="auto"/>
          </w:tcPr>
          <w:p w14:paraId="62BB63BA" w14:textId="77777777" w:rsidR="008C5CFA" w:rsidRPr="001C4484" w:rsidRDefault="00E82A60" w:rsidP="00300A01">
            <w:pPr>
              <w:spacing w:before="0" w:after="0"/>
              <w:jc w:val="right"/>
              <w:rPr>
                <w:sz w:val="10"/>
                <w:szCs w:val="10"/>
              </w:rPr>
            </w:pPr>
            <w:r w:rsidRPr="001C4484">
              <w:rPr>
                <w:noProof/>
                <w:sz w:val="10"/>
                <w:szCs w:val="10"/>
              </w:rPr>
              <w:t>66,00</w:t>
            </w:r>
          </w:p>
        </w:tc>
        <w:tc>
          <w:tcPr>
            <w:tcW w:w="0" w:type="auto"/>
            <w:shd w:val="clear" w:color="auto" w:fill="auto"/>
          </w:tcPr>
          <w:p w14:paraId="49EDC550" w14:textId="77777777" w:rsidR="008C5CFA" w:rsidRPr="001C4484" w:rsidRDefault="00E82A60" w:rsidP="00300A01">
            <w:pPr>
              <w:spacing w:before="0" w:after="0"/>
              <w:jc w:val="right"/>
              <w:rPr>
                <w:sz w:val="10"/>
                <w:szCs w:val="10"/>
                <w:lang w:val="fr-BE"/>
              </w:rPr>
            </w:pPr>
            <w:r w:rsidRPr="001C4484">
              <w:rPr>
                <w:noProof/>
                <w:sz w:val="10"/>
                <w:szCs w:val="10"/>
              </w:rPr>
              <w:t>138,00</w:t>
            </w:r>
          </w:p>
        </w:tc>
        <w:tc>
          <w:tcPr>
            <w:tcW w:w="0" w:type="auto"/>
          </w:tcPr>
          <w:p w14:paraId="41B779BC" w14:textId="77777777" w:rsidR="008C5CFA" w:rsidRPr="001C4484" w:rsidRDefault="00E82A60" w:rsidP="00300A01">
            <w:pPr>
              <w:spacing w:before="0" w:after="0"/>
              <w:jc w:val="right"/>
              <w:rPr>
                <w:sz w:val="10"/>
                <w:szCs w:val="10"/>
              </w:rPr>
            </w:pPr>
            <w:r>
              <w:rPr>
                <w:noProof/>
                <w:sz w:val="10"/>
                <w:szCs w:val="10"/>
              </w:rPr>
              <w:t>16,00</w:t>
            </w:r>
          </w:p>
        </w:tc>
        <w:tc>
          <w:tcPr>
            <w:tcW w:w="0" w:type="auto"/>
            <w:shd w:val="clear" w:color="auto" w:fill="auto"/>
          </w:tcPr>
          <w:p w14:paraId="36C5FBD0" w14:textId="77777777" w:rsidR="008C5CFA" w:rsidRPr="001C4484" w:rsidRDefault="00E82A60" w:rsidP="00300A01">
            <w:pPr>
              <w:spacing w:before="0" w:after="0"/>
              <w:jc w:val="right"/>
              <w:rPr>
                <w:sz w:val="10"/>
                <w:szCs w:val="10"/>
              </w:rPr>
            </w:pPr>
            <w:r w:rsidRPr="001C4484">
              <w:rPr>
                <w:noProof/>
                <w:sz w:val="10"/>
                <w:szCs w:val="10"/>
              </w:rPr>
              <w:t>11,00</w:t>
            </w:r>
          </w:p>
        </w:tc>
        <w:tc>
          <w:tcPr>
            <w:tcW w:w="0" w:type="auto"/>
            <w:shd w:val="clear" w:color="auto" w:fill="auto"/>
          </w:tcPr>
          <w:p w14:paraId="645A1E39" w14:textId="77777777" w:rsidR="008C5CFA" w:rsidRPr="001C4484" w:rsidRDefault="00E82A60" w:rsidP="00300A01">
            <w:pPr>
              <w:spacing w:before="0" w:after="0"/>
              <w:jc w:val="right"/>
              <w:rPr>
                <w:sz w:val="10"/>
                <w:szCs w:val="10"/>
                <w:lang w:val="fr-BE"/>
              </w:rPr>
            </w:pPr>
            <w:r w:rsidRPr="001C4484">
              <w:rPr>
                <w:noProof/>
                <w:sz w:val="10"/>
                <w:szCs w:val="10"/>
              </w:rPr>
              <w:t>5,00</w:t>
            </w:r>
          </w:p>
        </w:tc>
      </w:tr>
      <w:tr w:rsidR="006B2EC1" w14:paraId="22CCE9B8" w14:textId="77777777" w:rsidTr="0047688D">
        <w:tc>
          <w:tcPr>
            <w:tcW w:w="0" w:type="auto"/>
            <w:shd w:val="clear" w:color="auto" w:fill="auto"/>
          </w:tcPr>
          <w:p w14:paraId="53C64D1C" w14:textId="77777777" w:rsidR="008C5CFA" w:rsidRPr="001C4484" w:rsidRDefault="00E82A60" w:rsidP="00300A01">
            <w:pPr>
              <w:spacing w:before="0" w:after="0"/>
              <w:rPr>
                <w:sz w:val="10"/>
                <w:szCs w:val="10"/>
                <w:lang w:val="fr-BE"/>
              </w:rPr>
            </w:pPr>
            <w:r w:rsidRPr="001C4484">
              <w:rPr>
                <w:noProof/>
                <w:sz w:val="10"/>
                <w:szCs w:val="10"/>
                <w:lang w:val="fr-BE"/>
              </w:rPr>
              <w:t>CO09</w:t>
            </w:r>
          </w:p>
        </w:tc>
        <w:tc>
          <w:tcPr>
            <w:tcW w:w="0" w:type="auto"/>
            <w:shd w:val="clear" w:color="auto" w:fill="auto"/>
          </w:tcPr>
          <w:p w14:paraId="7988FDAA" w14:textId="77777777" w:rsidR="008C5CFA" w:rsidRPr="001C4484" w:rsidRDefault="00E82A60" w:rsidP="00300A01">
            <w:pPr>
              <w:spacing w:before="0" w:after="0"/>
              <w:rPr>
                <w:sz w:val="10"/>
                <w:szCs w:val="10"/>
                <w:lang w:val="fr-BE"/>
              </w:rPr>
            </w:pPr>
            <w:r w:rsidRPr="001C4484">
              <w:rPr>
                <w:noProof/>
                <w:sz w:val="10"/>
                <w:szCs w:val="10"/>
                <w:lang w:val="fr-BE"/>
              </w:rPr>
              <w:t>osoby z wykształceniem podstawowym (ISCED 1) lub średnim I stopnia (ISCED 2)</w:t>
            </w:r>
          </w:p>
        </w:tc>
        <w:tc>
          <w:tcPr>
            <w:tcW w:w="0" w:type="auto"/>
            <w:shd w:val="clear" w:color="auto" w:fill="auto"/>
          </w:tcPr>
          <w:p w14:paraId="17786270"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006529F3" w14:textId="77777777" w:rsidR="008C5CFA" w:rsidRPr="001C4484" w:rsidRDefault="00E82A60" w:rsidP="00300A01">
            <w:pPr>
              <w:spacing w:before="0" w:after="0"/>
              <w:jc w:val="right"/>
              <w:rPr>
                <w:sz w:val="10"/>
                <w:szCs w:val="10"/>
              </w:rPr>
            </w:pPr>
            <w:r>
              <w:rPr>
                <w:noProof/>
                <w:sz w:val="10"/>
                <w:szCs w:val="10"/>
              </w:rPr>
              <w:t>2 287,00</w:t>
            </w:r>
          </w:p>
        </w:tc>
        <w:tc>
          <w:tcPr>
            <w:tcW w:w="0" w:type="auto"/>
            <w:shd w:val="clear" w:color="auto" w:fill="auto"/>
          </w:tcPr>
          <w:p w14:paraId="4406F8CA" w14:textId="77777777" w:rsidR="008C5CFA" w:rsidRPr="001C4484" w:rsidRDefault="00E82A60" w:rsidP="00300A01">
            <w:pPr>
              <w:spacing w:before="0" w:after="0"/>
              <w:jc w:val="right"/>
              <w:rPr>
                <w:sz w:val="10"/>
                <w:szCs w:val="10"/>
              </w:rPr>
            </w:pPr>
            <w:r w:rsidRPr="001C4484">
              <w:rPr>
                <w:noProof/>
                <w:sz w:val="10"/>
                <w:szCs w:val="10"/>
              </w:rPr>
              <w:t>893,00</w:t>
            </w:r>
          </w:p>
        </w:tc>
        <w:tc>
          <w:tcPr>
            <w:tcW w:w="0" w:type="auto"/>
            <w:shd w:val="clear" w:color="auto" w:fill="auto"/>
          </w:tcPr>
          <w:p w14:paraId="5A8328FC" w14:textId="77777777" w:rsidR="008C5CFA" w:rsidRPr="001C4484" w:rsidRDefault="00E82A60" w:rsidP="00300A01">
            <w:pPr>
              <w:spacing w:before="0" w:after="0"/>
              <w:jc w:val="right"/>
              <w:rPr>
                <w:sz w:val="10"/>
                <w:szCs w:val="10"/>
                <w:lang w:val="fr-BE"/>
              </w:rPr>
            </w:pPr>
            <w:r w:rsidRPr="001C4484">
              <w:rPr>
                <w:noProof/>
                <w:sz w:val="10"/>
                <w:szCs w:val="10"/>
              </w:rPr>
              <w:t>1 394,00</w:t>
            </w:r>
          </w:p>
        </w:tc>
        <w:tc>
          <w:tcPr>
            <w:tcW w:w="0" w:type="auto"/>
          </w:tcPr>
          <w:p w14:paraId="74C83E56" w14:textId="77777777" w:rsidR="008C5CFA" w:rsidRPr="001C4484" w:rsidRDefault="00E82A60" w:rsidP="00300A01">
            <w:pPr>
              <w:spacing w:before="0" w:after="0"/>
              <w:jc w:val="right"/>
              <w:rPr>
                <w:sz w:val="10"/>
                <w:szCs w:val="10"/>
              </w:rPr>
            </w:pPr>
            <w:r>
              <w:rPr>
                <w:noProof/>
                <w:sz w:val="10"/>
                <w:szCs w:val="10"/>
              </w:rPr>
              <w:t>2 202,00</w:t>
            </w:r>
          </w:p>
        </w:tc>
        <w:tc>
          <w:tcPr>
            <w:tcW w:w="0" w:type="auto"/>
            <w:shd w:val="clear" w:color="auto" w:fill="auto"/>
          </w:tcPr>
          <w:p w14:paraId="410C4D92" w14:textId="77777777" w:rsidR="008C5CFA" w:rsidRPr="001C4484" w:rsidRDefault="00E82A60" w:rsidP="00300A01">
            <w:pPr>
              <w:spacing w:before="0" w:after="0"/>
              <w:jc w:val="right"/>
              <w:rPr>
                <w:sz w:val="10"/>
                <w:szCs w:val="10"/>
              </w:rPr>
            </w:pPr>
            <w:r w:rsidRPr="001C4484">
              <w:rPr>
                <w:noProof/>
                <w:sz w:val="10"/>
                <w:szCs w:val="10"/>
              </w:rPr>
              <w:t>1 050,00</w:t>
            </w:r>
          </w:p>
        </w:tc>
        <w:tc>
          <w:tcPr>
            <w:tcW w:w="0" w:type="auto"/>
            <w:shd w:val="clear" w:color="auto" w:fill="auto"/>
          </w:tcPr>
          <w:p w14:paraId="1008BC46" w14:textId="77777777" w:rsidR="008C5CFA" w:rsidRPr="001C4484" w:rsidRDefault="00E82A60" w:rsidP="00300A01">
            <w:pPr>
              <w:spacing w:before="0" w:after="0"/>
              <w:jc w:val="right"/>
              <w:rPr>
                <w:sz w:val="10"/>
                <w:szCs w:val="10"/>
                <w:lang w:val="fr-BE"/>
              </w:rPr>
            </w:pPr>
            <w:r w:rsidRPr="001C4484">
              <w:rPr>
                <w:noProof/>
                <w:sz w:val="10"/>
                <w:szCs w:val="10"/>
              </w:rPr>
              <w:t>1 152,00</w:t>
            </w:r>
          </w:p>
        </w:tc>
        <w:tc>
          <w:tcPr>
            <w:tcW w:w="0" w:type="auto"/>
          </w:tcPr>
          <w:p w14:paraId="3A2B81ED" w14:textId="77777777" w:rsidR="008C5CFA" w:rsidRPr="001C4484" w:rsidRDefault="00E82A60" w:rsidP="00300A01">
            <w:pPr>
              <w:spacing w:before="0" w:after="0"/>
              <w:jc w:val="right"/>
              <w:rPr>
                <w:sz w:val="10"/>
                <w:szCs w:val="10"/>
              </w:rPr>
            </w:pPr>
            <w:r>
              <w:rPr>
                <w:noProof/>
                <w:sz w:val="10"/>
                <w:szCs w:val="10"/>
              </w:rPr>
              <w:t>1 421,00</w:t>
            </w:r>
          </w:p>
        </w:tc>
        <w:tc>
          <w:tcPr>
            <w:tcW w:w="0" w:type="auto"/>
            <w:shd w:val="clear" w:color="auto" w:fill="auto"/>
          </w:tcPr>
          <w:p w14:paraId="3224394A" w14:textId="77777777" w:rsidR="008C5CFA" w:rsidRPr="001C4484" w:rsidRDefault="00E82A60" w:rsidP="00300A01">
            <w:pPr>
              <w:spacing w:before="0" w:after="0"/>
              <w:jc w:val="right"/>
              <w:rPr>
                <w:sz w:val="10"/>
                <w:szCs w:val="10"/>
              </w:rPr>
            </w:pPr>
            <w:r w:rsidRPr="001C4484">
              <w:rPr>
                <w:noProof/>
                <w:sz w:val="10"/>
                <w:szCs w:val="10"/>
              </w:rPr>
              <w:t>569,00</w:t>
            </w:r>
          </w:p>
        </w:tc>
        <w:tc>
          <w:tcPr>
            <w:tcW w:w="0" w:type="auto"/>
            <w:shd w:val="clear" w:color="auto" w:fill="auto"/>
          </w:tcPr>
          <w:p w14:paraId="32B69DB5" w14:textId="77777777" w:rsidR="008C5CFA" w:rsidRPr="001C4484" w:rsidRDefault="00E82A60" w:rsidP="00300A01">
            <w:pPr>
              <w:spacing w:before="0" w:after="0"/>
              <w:jc w:val="right"/>
              <w:rPr>
                <w:sz w:val="10"/>
                <w:szCs w:val="10"/>
                <w:lang w:val="fr-BE"/>
              </w:rPr>
            </w:pPr>
            <w:r w:rsidRPr="001C4484">
              <w:rPr>
                <w:noProof/>
                <w:sz w:val="10"/>
                <w:szCs w:val="10"/>
              </w:rPr>
              <w:t>852,00</w:t>
            </w:r>
          </w:p>
        </w:tc>
      </w:tr>
      <w:tr w:rsidR="006B2EC1" w14:paraId="73EE45CC" w14:textId="77777777" w:rsidTr="0047688D">
        <w:tc>
          <w:tcPr>
            <w:tcW w:w="0" w:type="auto"/>
            <w:shd w:val="clear" w:color="auto" w:fill="auto"/>
          </w:tcPr>
          <w:p w14:paraId="2A2EFDD4" w14:textId="77777777" w:rsidR="008C5CFA" w:rsidRPr="001C4484" w:rsidRDefault="00E82A60" w:rsidP="00300A01">
            <w:pPr>
              <w:spacing w:before="0" w:after="0"/>
              <w:rPr>
                <w:sz w:val="10"/>
                <w:szCs w:val="10"/>
                <w:lang w:val="fr-BE"/>
              </w:rPr>
            </w:pPr>
            <w:r w:rsidRPr="001C4484">
              <w:rPr>
                <w:noProof/>
                <w:sz w:val="10"/>
                <w:szCs w:val="10"/>
                <w:lang w:val="fr-BE"/>
              </w:rPr>
              <w:t>CO10</w:t>
            </w:r>
          </w:p>
        </w:tc>
        <w:tc>
          <w:tcPr>
            <w:tcW w:w="0" w:type="auto"/>
            <w:shd w:val="clear" w:color="auto" w:fill="auto"/>
          </w:tcPr>
          <w:p w14:paraId="67CC7A84" w14:textId="77777777" w:rsidR="008C5CFA" w:rsidRPr="001C4484" w:rsidRDefault="00E82A60" w:rsidP="00300A01">
            <w:pPr>
              <w:spacing w:before="0" w:after="0"/>
              <w:rPr>
                <w:sz w:val="10"/>
                <w:szCs w:val="10"/>
                <w:lang w:val="fr-BE"/>
              </w:rPr>
            </w:pPr>
            <w:r w:rsidRPr="001C4484">
              <w:rPr>
                <w:noProof/>
                <w:sz w:val="10"/>
                <w:szCs w:val="10"/>
                <w:lang w:val="fr-BE"/>
              </w:rPr>
              <w:t>osoby z wykształceniem średnim II stopnia (ISCED 3) lub policealnym (ISCED 4)</w:t>
            </w:r>
          </w:p>
        </w:tc>
        <w:tc>
          <w:tcPr>
            <w:tcW w:w="0" w:type="auto"/>
            <w:shd w:val="clear" w:color="auto" w:fill="auto"/>
          </w:tcPr>
          <w:p w14:paraId="2A850541"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4C274649" w14:textId="77777777" w:rsidR="008C5CFA" w:rsidRPr="001C4484" w:rsidRDefault="00E82A60" w:rsidP="00300A01">
            <w:pPr>
              <w:spacing w:before="0" w:after="0"/>
              <w:jc w:val="right"/>
              <w:rPr>
                <w:sz w:val="10"/>
                <w:szCs w:val="10"/>
              </w:rPr>
            </w:pPr>
            <w:r>
              <w:rPr>
                <w:noProof/>
                <w:sz w:val="10"/>
                <w:szCs w:val="10"/>
              </w:rPr>
              <w:t>1 514,00</w:t>
            </w:r>
          </w:p>
        </w:tc>
        <w:tc>
          <w:tcPr>
            <w:tcW w:w="0" w:type="auto"/>
            <w:shd w:val="clear" w:color="auto" w:fill="auto"/>
          </w:tcPr>
          <w:p w14:paraId="19C036CA" w14:textId="77777777" w:rsidR="008C5CFA" w:rsidRPr="001C4484" w:rsidRDefault="00E82A60" w:rsidP="00300A01">
            <w:pPr>
              <w:spacing w:before="0" w:after="0"/>
              <w:jc w:val="right"/>
              <w:rPr>
                <w:sz w:val="10"/>
                <w:szCs w:val="10"/>
              </w:rPr>
            </w:pPr>
            <w:r w:rsidRPr="001C4484">
              <w:rPr>
                <w:noProof/>
                <w:sz w:val="10"/>
                <w:szCs w:val="10"/>
              </w:rPr>
              <w:t>546,00</w:t>
            </w:r>
          </w:p>
        </w:tc>
        <w:tc>
          <w:tcPr>
            <w:tcW w:w="0" w:type="auto"/>
            <w:shd w:val="clear" w:color="auto" w:fill="auto"/>
          </w:tcPr>
          <w:p w14:paraId="7E0295CE" w14:textId="77777777" w:rsidR="008C5CFA" w:rsidRPr="001C4484" w:rsidRDefault="00E82A60" w:rsidP="00300A01">
            <w:pPr>
              <w:spacing w:before="0" w:after="0"/>
              <w:jc w:val="right"/>
              <w:rPr>
                <w:sz w:val="10"/>
                <w:szCs w:val="10"/>
                <w:lang w:val="fr-BE"/>
              </w:rPr>
            </w:pPr>
            <w:r w:rsidRPr="001C4484">
              <w:rPr>
                <w:noProof/>
                <w:sz w:val="10"/>
                <w:szCs w:val="10"/>
              </w:rPr>
              <w:t>968,00</w:t>
            </w:r>
          </w:p>
        </w:tc>
        <w:tc>
          <w:tcPr>
            <w:tcW w:w="0" w:type="auto"/>
          </w:tcPr>
          <w:p w14:paraId="443A0968" w14:textId="77777777" w:rsidR="008C5CFA" w:rsidRPr="001C4484" w:rsidRDefault="00E82A60" w:rsidP="00300A01">
            <w:pPr>
              <w:spacing w:before="0" w:after="0"/>
              <w:jc w:val="right"/>
              <w:rPr>
                <w:sz w:val="10"/>
                <w:szCs w:val="10"/>
              </w:rPr>
            </w:pPr>
            <w:r>
              <w:rPr>
                <w:noProof/>
                <w:sz w:val="10"/>
                <w:szCs w:val="10"/>
              </w:rPr>
              <w:t>1 307,00</w:t>
            </w:r>
          </w:p>
        </w:tc>
        <w:tc>
          <w:tcPr>
            <w:tcW w:w="0" w:type="auto"/>
            <w:shd w:val="clear" w:color="auto" w:fill="auto"/>
          </w:tcPr>
          <w:p w14:paraId="0187A125" w14:textId="77777777" w:rsidR="008C5CFA" w:rsidRPr="001C4484" w:rsidRDefault="00E82A60" w:rsidP="00300A01">
            <w:pPr>
              <w:spacing w:before="0" w:after="0"/>
              <w:jc w:val="right"/>
              <w:rPr>
                <w:sz w:val="10"/>
                <w:szCs w:val="10"/>
              </w:rPr>
            </w:pPr>
            <w:r w:rsidRPr="001C4484">
              <w:rPr>
                <w:noProof/>
                <w:sz w:val="10"/>
                <w:szCs w:val="10"/>
              </w:rPr>
              <w:t>482,00</w:t>
            </w:r>
          </w:p>
        </w:tc>
        <w:tc>
          <w:tcPr>
            <w:tcW w:w="0" w:type="auto"/>
            <w:shd w:val="clear" w:color="auto" w:fill="auto"/>
          </w:tcPr>
          <w:p w14:paraId="4B3DAB0F" w14:textId="77777777" w:rsidR="008C5CFA" w:rsidRPr="001C4484" w:rsidRDefault="00E82A60" w:rsidP="00300A01">
            <w:pPr>
              <w:spacing w:before="0" w:after="0"/>
              <w:jc w:val="right"/>
              <w:rPr>
                <w:sz w:val="10"/>
                <w:szCs w:val="10"/>
                <w:lang w:val="fr-BE"/>
              </w:rPr>
            </w:pPr>
            <w:r w:rsidRPr="001C4484">
              <w:rPr>
                <w:noProof/>
                <w:sz w:val="10"/>
                <w:szCs w:val="10"/>
              </w:rPr>
              <w:t>825,00</w:t>
            </w:r>
          </w:p>
        </w:tc>
        <w:tc>
          <w:tcPr>
            <w:tcW w:w="0" w:type="auto"/>
          </w:tcPr>
          <w:p w14:paraId="17D83525" w14:textId="77777777" w:rsidR="008C5CFA" w:rsidRPr="001C4484" w:rsidRDefault="00E82A60" w:rsidP="00300A01">
            <w:pPr>
              <w:spacing w:before="0" w:after="0"/>
              <w:jc w:val="right"/>
              <w:rPr>
                <w:sz w:val="10"/>
                <w:szCs w:val="10"/>
              </w:rPr>
            </w:pPr>
            <w:r>
              <w:rPr>
                <w:noProof/>
                <w:sz w:val="10"/>
                <w:szCs w:val="10"/>
              </w:rPr>
              <w:t>257,00</w:t>
            </w:r>
          </w:p>
        </w:tc>
        <w:tc>
          <w:tcPr>
            <w:tcW w:w="0" w:type="auto"/>
            <w:shd w:val="clear" w:color="auto" w:fill="auto"/>
          </w:tcPr>
          <w:p w14:paraId="5C7B9173" w14:textId="77777777" w:rsidR="008C5CFA" w:rsidRPr="001C4484" w:rsidRDefault="00E82A60" w:rsidP="00300A01">
            <w:pPr>
              <w:spacing w:before="0" w:after="0"/>
              <w:jc w:val="right"/>
              <w:rPr>
                <w:sz w:val="10"/>
                <w:szCs w:val="10"/>
              </w:rPr>
            </w:pPr>
            <w:r w:rsidRPr="001C4484">
              <w:rPr>
                <w:noProof/>
                <w:sz w:val="10"/>
                <w:szCs w:val="10"/>
              </w:rPr>
              <w:t>71,00</w:t>
            </w:r>
          </w:p>
        </w:tc>
        <w:tc>
          <w:tcPr>
            <w:tcW w:w="0" w:type="auto"/>
            <w:shd w:val="clear" w:color="auto" w:fill="auto"/>
          </w:tcPr>
          <w:p w14:paraId="0B87CDC9" w14:textId="77777777" w:rsidR="008C5CFA" w:rsidRPr="001C4484" w:rsidRDefault="00E82A60" w:rsidP="00300A01">
            <w:pPr>
              <w:spacing w:before="0" w:after="0"/>
              <w:jc w:val="right"/>
              <w:rPr>
                <w:sz w:val="10"/>
                <w:szCs w:val="10"/>
                <w:lang w:val="fr-BE"/>
              </w:rPr>
            </w:pPr>
            <w:r w:rsidRPr="001C4484">
              <w:rPr>
                <w:noProof/>
                <w:sz w:val="10"/>
                <w:szCs w:val="10"/>
              </w:rPr>
              <w:t>186,00</w:t>
            </w:r>
          </w:p>
        </w:tc>
      </w:tr>
      <w:tr w:rsidR="006B2EC1" w14:paraId="734D138D" w14:textId="77777777" w:rsidTr="0047688D">
        <w:tc>
          <w:tcPr>
            <w:tcW w:w="0" w:type="auto"/>
            <w:shd w:val="clear" w:color="auto" w:fill="auto"/>
          </w:tcPr>
          <w:p w14:paraId="16F8A2A4" w14:textId="77777777" w:rsidR="008C5CFA" w:rsidRPr="001C4484" w:rsidRDefault="00E82A60" w:rsidP="00300A01">
            <w:pPr>
              <w:spacing w:before="0" w:after="0"/>
              <w:rPr>
                <w:sz w:val="10"/>
                <w:szCs w:val="10"/>
                <w:lang w:val="fr-BE"/>
              </w:rPr>
            </w:pPr>
            <w:r w:rsidRPr="001C4484">
              <w:rPr>
                <w:noProof/>
                <w:sz w:val="10"/>
                <w:szCs w:val="10"/>
                <w:lang w:val="fr-BE"/>
              </w:rPr>
              <w:t>CO11</w:t>
            </w:r>
          </w:p>
        </w:tc>
        <w:tc>
          <w:tcPr>
            <w:tcW w:w="0" w:type="auto"/>
            <w:shd w:val="clear" w:color="auto" w:fill="auto"/>
          </w:tcPr>
          <w:p w14:paraId="5B84270C" w14:textId="77777777" w:rsidR="008C5CFA" w:rsidRPr="001C4484" w:rsidRDefault="00E82A60" w:rsidP="00300A01">
            <w:pPr>
              <w:spacing w:before="0" w:after="0"/>
              <w:rPr>
                <w:sz w:val="10"/>
                <w:szCs w:val="10"/>
                <w:lang w:val="fr-BE"/>
              </w:rPr>
            </w:pPr>
            <w:r w:rsidRPr="001C4484">
              <w:rPr>
                <w:noProof/>
                <w:sz w:val="10"/>
                <w:szCs w:val="10"/>
                <w:lang w:val="fr-BE"/>
              </w:rPr>
              <w:t>osoby z wykształceniem wyższym (ISCED 5 do 8)</w:t>
            </w:r>
          </w:p>
        </w:tc>
        <w:tc>
          <w:tcPr>
            <w:tcW w:w="0" w:type="auto"/>
            <w:shd w:val="clear" w:color="auto" w:fill="auto"/>
          </w:tcPr>
          <w:p w14:paraId="77DADD69"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226CEE1F" w14:textId="77777777" w:rsidR="008C5CFA" w:rsidRPr="001C4484" w:rsidRDefault="00E82A60" w:rsidP="00300A01">
            <w:pPr>
              <w:spacing w:before="0" w:after="0"/>
              <w:jc w:val="right"/>
              <w:rPr>
                <w:sz w:val="10"/>
                <w:szCs w:val="10"/>
              </w:rPr>
            </w:pPr>
            <w:r>
              <w:rPr>
                <w:noProof/>
                <w:sz w:val="10"/>
                <w:szCs w:val="10"/>
              </w:rPr>
              <w:t>402,00</w:t>
            </w:r>
          </w:p>
        </w:tc>
        <w:tc>
          <w:tcPr>
            <w:tcW w:w="0" w:type="auto"/>
            <w:shd w:val="clear" w:color="auto" w:fill="auto"/>
          </w:tcPr>
          <w:p w14:paraId="47F7E12B" w14:textId="77777777" w:rsidR="008C5CFA" w:rsidRPr="001C4484" w:rsidRDefault="00E82A60" w:rsidP="00300A01">
            <w:pPr>
              <w:spacing w:before="0" w:after="0"/>
              <w:jc w:val="right"/>
              <w:rPr>
                <w:sz w:val="10"/>
                <w:szCs w:val="10"/>
              </w:rPr>
            </w:pPr>
            <w:r w:rsidRPr="001C4484">
              <w:rPr>
                <w:noProof/>
                <w:sz w:val="10"/>
                <w:szCs w:val="10"/>
              </w:rPr>
              <w:t>100,00</w:t>
            </w:r>
          </w:p>
        </w:tc>
        <w:tc>
          <w:tcPr>
            <w:tcW w:w="0" w:type="auto"/>
            <w:shd w:val="clear" w:color="auto" w:fill="auto"/>
          </w:tcPr>
          <w:p w14:paraId="0B861A85" w14:textId="77777777" w:rsidR="008C5CFA" w:rsidRPr="001C4484" w:rsidRDefault="00E82A60" w:rsidP="00300A01">
            <w:pPr>
              <w:spacing w:before="0" w:after="0"/>
              <w:jc w:val="right"/>
              <w:rPr>
                <w:sz w:val="10"/>
                <w:szCs w:val="10"/>
                <w:lang w:val="fr-BE"/>
              </w:rPr>
            </w:pPr>
            <w:r w:rsidRPr="001C4484">
              <w:rPr>
                <w:noProof/>
                <w:sz w:val="10"/>
                <w:szCs w:val="10"/>
              </w:rPr>
              <w:t>302,00</w:t>
            </w:r>
          </w:p>
        </w:tc>
        <w:tc>
          <w:tcPr>
            <w:tcW w:w="0" w:type="auto"/>
          </w:tcPr>
          <w:p w14:paraId="32B4295F" w14:textId="77777777" w:rsidR="008C5CFA" w:rsidRPr="001C4484" w:rsidRDefault="00E82A60" w:rsidP="00300A01">
            <w:pPr>
              <w:spacing w:before="0" w:after="0"/>
              <w:jc w:val="right"/>
              <w:rPr>
                <w:sz w:val="10"/>
                <w:szCs w:val="10"/>
              </w:rPr>
            </w:pPr>
            <w:r>
              <w:rPr>
                <w:noProof/>
                <w:sz w:val="10"/>
                <w:szCs w:val="10"/>
              </w:rPr>
              <w:t>303,00</w:t>
            </w:r>
          </w:p>
        </w:tc>
        <w:tc>
          <w:tcPr>
            <w:tcW w:w="0" w:type="auto"/>
            <w:shd w:val="clear" w:color="auto" w:fill="auto"/>
          </w:tcPr>
          <w:p w14:paraId="44A3FF2C" w14:textId="77777777" w:rsidR="008C5CFA" w:rsidRPr="001C4484" w:rsidRDefault="00E82A60" w:rsidP="00300A01">
            <w:pPr>
              <w:spacing w:before="0" w:after="0"/>
              <w:jc w:val="right"/>
              <w:rPr>
                <w:sz w:val="10"/>
                <w:szCs w:val="10"/>
              </w:rPr>
            </w:pPr>
            <w:r w:rsidRPr="001C4484">
              <w:rPr>
                <w:noProof/>
                <w:sz w:val="10"/>
                <w:szCs w:val="10"/>
              </w:rPr>
              <w:t>52,00</w:t>
            </w:r>
          </w:p>
        </w:tc>
        <w:tc>
          <w:tcPr>
            <w:tcW w:w="0" w:type="auto"/>
            <w:shd w:val="clear" w:color="auto" w:fill="auto"/>
          </w:tcPr>
          <w:p w14:paraId="628116C5" w14:textId="77777777" w:rsidR="008C5CFA" w:rsidRPr="001C4484" w:rsidRDefault="00E82A60" w:rsidP="00300A01">
            <w:pPr>
              <w:spacing w:before="0" w:after="0"/>
              <w:jc w:val="right"/>
              <w:rPr>
                <w:sz w:val="10"/>
                <w:szCs w:val="10"/>
                <w:lang w:val="fr-BE"/>
              </w:rPr>
            </w:pPr>
            <w:r w:rsidRPr="001C4484">
              <w:rPr>
                <w:noProof/>
                <w:sz w:val="10"/>
                <w:szCs w:val="10"/>
              </w:rPr>
              <w:t>251,00</w:t>
            </w:r>
          </w:p>
        </w:tc>
        <w:tc>
          <w:tcPr>
            <w:tcW w:w="0" w:type="auto"/>
          </w:tcPr>
          <w:p w14:paraId="0D5370F7" w14:textId="77777777" w:rsidR="008C5CFA" w:rsidRPr="001C4484" w:rsidRDefault="00E82A60" w:rsidP="00300A01">
            <w:pPr>
              <w:spacing w:before="0" w:after="0"/>
              <w:jc w:val="right"/>
              <w:rPr>
                <w:sz w:val="10"/>
                <w:szCs w:val="10"/>
              </w:rPr>
            </w:pPr>
            <w:r>
              <w:rPr>
                <w:noProof/>
                <w:sz w:val="10"/>
                <w:szCs w:val="10"/>
              </w:rPr>
              <w:t>111,00</w:t>
            </w:r>
          </w:p>
        </w:tc>
        <w:tc>
          <w:tcPr>
            <w:tcW w:w="0" w:type="auto"/>
            <w:shd w:val="clear" w:color="auto" w:fill="auto"/>
          </w:tcPr>
          <w:p w14:paraId="55216EB3" w14:textId="77777777" w:rsidR="008C5CFA" w:rsidRPr="001C4484" w:rsidRDefault="00E82A60" w:rsidP="00300A01">
            <w:pPr>
              <w:spacing w:before="0" w:after="0"/>
              <w:jc w:val="right"/>
              <w:rPr>
                <w:sz w:val="10"/>
                <w:szCs w:val="10"/>
              </w:rPr>
            </w:pPr>
            <w:r w:rsidRPr="001C4484">
              <w:rPr>
                <w:noProof/>
                <w:sz w:val="10"/>
                <w:szCs w:val="10"/>
              </w:rPr>
              <w:t>17,00</w:t>
            </w:r>
          </w:p>
        </w:tc>
        <w:tc>
          <w:tcPr>
            <w:tcW w:w="0" w:type="auto"/>
            <w:shd w:val="clear" w:color="auto" w:fill="auto"/>
          </w:tcPr>
          <w:p w14:paraId="7EA0A0FD" w14:textId="77777777" w:rsidR="008C5CFA" w:rsidRPr="001C4484" w:rsidRDefault="00E82A60" w:rsidP="00300A01">
            <w:pPr>
              <w:spacing w:before="0" w:after="0"/>
              <w:jc w:val="right"/>
              <w:rPr>
                <w:sz w:val="10"/>
                <w:szCs w:val="10"/>
                <w:lang w:val="fr-BE"/>
              </w:rPr>
            </w:pPr>
            <w:r w:rsidRPr="001C4484">
              <w:rPr>
                <w:noProof/>
                <w:sz w:val="10"/>
                <w:szCs w:val="10"/>
              </w:rPr>
              <w:t>94,00</w:t>
            </w:r>
          </w:p>
        </w:tc>
      </w:tr>
      <w:tr w:rsidR="006B2EC1" w14:paraId="2C84E3FF" w14:textId="77777777" w:rsidTr="0047688D">
        <w:tc>
          <w:tcPr>
            <w:tcW w:w="0" w:type="auto"/>
            <w:shd w:val="clear" w:color="auto" w:fill="auto"/>
          </w:tcPr>
          <w:p w14:paraId="6EF3FBFC" w14:textId="77777777" w:rsidR="008C5CFA" w:rsidRPr="001C4484" w:rsidRDefault="00E82A60" w:rsidP="00300A01">
            <w:pPr>
              <w:spacing w:before="0" w:after="0"/>
              <w:rPr>
                <w:sz w:val="10"/>
                <w:szCs w:val="10"/>
                <w:lang w:val="fr-BE"/>
              </w:rPr>
            </w:pPr>
            <w:r w:rsidRPr="001C4484">
              <w:rPr>
                <w:noProof/>
                <w:sz w:val="10"/>
                <w:szCs w:val="10"/>
                <w:lang w:val="fr-BE"/>
              </w:rPr>
              <w:t>CO15</w:t>
            </w:r>
          </w:p>
        </w:tc>
        <w:tc>
          <w:tcPr>
            <w:tcW w:w="0" w:type="auto"/>
            <w:shd w:val="clear" w:color="auto" w:fill="auto"/>
          </w:tcPr>
          <w:p w14:paraId="2116E4D1" w14:textId="77777777" w:rsidR="008C5CFA" w:rsidRPr="001C4484" w:rsidRDefault="00E82A60" w:rsidP="00300A01">
            <w:pPr>
              <w:spacing w:before="0" w:after="0"/>
              <w:rPr>
                <w:sz w:val="10"/>
                <w:szCs w:val="10"/>
                <w:lang w:val="fr-BE"/>
              </w:rPr>
            </w:pPr>
            <w:r w:rsidRPr="001C4484">
              <w:rPr>
                <w:noProof/>
                <w:sz w:val="10"/>
                <w:szCs w:val="10"/>
                <w:lang w:val="fr-BE"/>
              </w:rPr>
              <w:t>migranci, uczestnicy obcego pochodzenia, mniejszości (w tym społeczności marginalizowane, takie jak Romowie)</w:t>
            </w:r>
          </w:p>
        </w:tc>
        <w:tc>
          <w:tcPr>
            <w:tcW w:w="0" w:type="auto"/>
            <w:shd w:val="clear" w:color="auto" w:fill="auto"/>
          </w:tcPr>
          <w:p w14:paraId="0654D98E"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002AD5D6" w14:textId="77777777" w:rsidR="008C5CFA" w:rsidRPr="001C4484" w:rsidRDefault="00E82A60" w:rsidP="00300A01">
            <w:pPr>
              <w:spacing w:before="0" w:after="0"/>
              <w:jc w:val="right"/>
              <w:rPr>
                <w:sz w:val="10"/>
                <w:szCs w:val="10"/>
              </w:rPr>
            </w:pPr>
            <w:r>
              <w:rPr>
                <w:noProof/>
                <w:sz w:val="10"/>
                <w:szCs w:val="10"/>
              </w:rPr>
              <w:t>16,00</w:t>
            </w:r>
          </w:p>
        </w:tc>
        <w:tc>
          <w:tcPr>
            <w:tcW w:w="0" w:type="auto"/>
            <w:shd w:val="clear" w:color="auto" w:fill="auto"/>
          </w:tcPr>
          <w:p w14:paraId="065A1D88" w14:textId="77777777" w:rsidR="008C5CFA" w:rsidRPr="001C4484" w:rsidRDefault="00E82A60" w:rsidP="00300A01">
            <w:pPr>
              <w:spacing w:before="0" w:after="0"/>
              <w:jc w:val="right"/>
              <w:rPr>
                <w:sz w:val="10"/>
                <w:szCs w:val="10"/>
              </w:rPr>
            </w:pPr>
            <w:r w:rsidRPr="001C4484">
              <w:rPr>
                <w:noProof/>
                <w:sz w:val="10"/>
                <w:szCs w:val="10"/>
              </w:rPr>
              <w:t>5,00</w:t>
            </w:r>
          </w:p>
        </w:tc>
        <w:tc>
          <w:tcPr>
            <w:tcW w:w="0" w:type="auto"/>
            <w:shd w:val="clear" w:color="auto" w:fill="auto"/>
          </w:tcPr>
          <w:p w14:paraId="4A2B9305" w14:textId="77777777" w:rsidR="008C5CFA" w:rsidRPr="001C4484" w:rsidRDefault="00E82A60" w:rsidP="00300A01">
            <w:pPr>
              <w:spacing w:before="0" w:after="0"/>
              <w:jc w:val="right"/>
              <w:rPr>
                <w:sz w:val="10"/>
                <w:szCs w:val="10"/>
                <w:lang w:val="fr-BE"/>
              </w:rPr>
            </w:pPr>
            <w:r w:rsidRPr="001C4484">
              <w:rPr>
                <w:noProof/>
                <w:sz w:val="10"/>
                <w:szCs w:val="10"/>
              </w:rPr>
              <w:t>11,00</w:t>
            </w:r>
          </w:p>
        </w:tc>
        <w:tc>
          <w:tcPr>
            <w:tcW w:w="0" w:type="auto"/>
          </w:tcPr>
          <w:p w14:paraId="04B3F9E7" w14:textId="77777777" w:rsidR="008C5CFA" w:rsidRPr="001C4484" w:rsidRDefault="00E82A60" w:rsidP="00300A01">
            <w:pPr>
              <w:spacing w:before="0" w:after="0"/>
              <w:jc w:val="right"/>
              <w:rPr>
                <w:sz w:val="10"/>
                <w:szCs w:val="10"/>
              </w:rPr>
            </w:pPr>
            <w:r>
              <w:rPr>
                <w:noProof/>
                <w:sz w:val="10"/>
                <w:szCs w:val="10"/>
              </w:rPr>
              <w:t>15,00</w:t>
            </w:r>
          </w:p>
        </w:tc>
        <w:tc>
          <w:tcPr>
            <w:tcW w:w="0" w:type="auto"/>
            <w:shd w:val="clear" w:color="auto" w:fill="auto"/>
          </w:tcPr>
          <w:p w14:paraId="0786C067" w14:textId="77777777" w:rsidR="008C5CFA" w:rsidRPr="001C4484" w:rsidRDefault="00E82A60" w:rsidP="00300A01">
            <w:pPr>
              <w:spacing w:before="0" w:after="0"/>
              <w:jc w:val="right"/>
              <w:rPr>
                <w:sz w:val="10"/>
                <w:szCs w:val="10"/>
              </w:rPr>
            </w:pPr>
            <w:r w:rsidRPr="001C4484">
              <w:rPr>
                <w:noProof/>
                <w:sz w:val="10"/>
                <w:szCs w:val="10"/>
              </w:rPr>
              <w:t>10,00</w:t>
            </w:r>
          </w:p>
        </w:tc>
        <w:tc>
          <w:tcPr>
            <w:tcW w:w="0" w:type="auto"/>
            <w:shd w:val="clear" w:color="auto" w:fill="auto"/>
          </w:tcPr>
          <w:p w14:paraId="578FECB5" w14:textId="77777777" w:rsidR="008C5CFA" w:rsidRPr="001C4484" w:rsidRDefault="00E82A60" w:rsidP="00300A01">
            <w:pPr>
              <w:spacing w:before="0" w:after="0"/>
              <w:jc w:val="right"/>
              <w:rPr>
                <w:sz w:val="10"/>
                <w:szCs w:val="10"/>
                <w:lang w:val="fr-BE"/>
              </w:rPr>
            </w:pPr>
            <w:r w:rsidRPr="001C4484">
              <w:rPr>
                <w:noProof/>
                <w:sz w:val="10"/>
                <w:szCs w:val="10"/>
              </w:rPr>
              <w:t>5,00</w:t>
            </w:r>
          </w:p>
        </w:tc>
        <w:tc>
          <w:tcPr>
            <w:tcW w:w="0" w:type="auto"/>
          </w:tcPr>
          <w:p w14:paraId="4778CBEC" w14:textId="77777777" w:rsidR="008C5CFA" w:rsidRPr="001C4484" w:rsidRDefault="00E82A60" w:rsidP="00300A01">
            <w:pPr>
              <w:spacing w:before="0" w:after="0"/>
              <w:jc w:val="right"/>
              <w:rPr>
                <w:sz w:val="10"/>
                <w:szCs w:val="10"/>
              </w:rPr>
            </w:pPr>
            <w:r>
              <w:rPr>
                <w:noProof/>
                <w:sz w:val="10"/>
                <w:szCs w:val="10"/>
              </w:rPr>
              <w:t>3,00</w:t>
            </w:r>
          </w:p>
        </w:tc>
        <w:tc>
          <w:tcPr>
            <w:tcW w:w="0" w:type="auto"/>
            <w:shd w:val="clear" w:color="auto" w:fill="auto"/>
          </w:tcPr>
          <w:p w14:paraId="0033F35B" w14:textId="77777777" w:rsidR="008C5CFA" w:rsidRPr="001C4484" w:rsidRDefault="00E82A60" w:rsidP="00300A01">
            <w:pPr>
              <w:spacing w:before="0" w:after="0"/>
              <w:jc w:val="right"/>
              <w:rPr>
                <w:sz w:val="10"/>
                <w:szCs w:val="10"/>
              </w:rPr>
            </w:pPr>
            <w:r w:rsidRPr="001C4484">
              <w:rPr>
                <w:noProof/>
                <w:sz w:val="10"/>
                <w:szCs w:val="10"/>
              </w:rPr>
              <w:t>2,00</w:t>
            </w:r>
          </w:p>
        </w:tc>
        <w:tc>
          <w:tcPr>
            <w:tcW w:w="0" w:type="auto"/>
            <w:shd w:val="clear" w:color="auto" w:fill="auto"/>
          </w:tcPr>
          <w:p w14:paraId="640B9CA2" w14:textId="77777777" w:rsidR="008C5CFA" w:rsidRPr="001C4484" w:rsidRDefault="00E82A60" w:rsidP="00300A01">
            <w:pPr>
              <w:spacing w:before="0" w:after="0"/>
              <w:jc w:val="right"/>
              <w:rPr>
                <w:sz w:val="10"/>
                <w:szCs w:val="10"/>
                <w:lang w:val="fr-BE"/>
              </w:rPr>
            </w:pPr>
            <w:r w:rsidRPr="001C4484">
              <w:rPr>
                <w:noProof/>
                <w:sz w:val="10"/>
                <w:szCs w:val="10"/>
              </w:rPr>
              <w:t>1,00</w:t>
            </w:r>
          </w:p>
        </w:tc>
      </w:tr>
      <w:tr w:rsidR="006B2EC1" w14:paraId="3D40F47D" w14:textId="77777777" w:rsidTr="0047688D">
        <w:tc>
          <w:tcPr>
            <w:tcW w:w="0" w:type="auto"/>
            <w:shd w:val="clear" w:color="auto" w:fill="auto"/>
          </w:tcPr>
          <w:p w14:paraId="012B7A25" w14:textId="77777777" w:rsidR="008C5CFA" w:rsidRPr="001C4484" w:rsidRDefault="00E82A60" w:rsidP="00300A01">
            <w:pPr>
              <w:spacing w:before="0" w:after="0"/>
              <w:rPr>
                <w:sz w:val="10"/>
                <w:szCs w:val="10"/>
                <w:lang w:val="fr-BE"/>
              </w:rPr>
            </w:pPr>
            <w:r w:rsidRPr="001C4484">
              <w:rPr>
                <w:noProof/>
                <w:sz w:val="10"/>
                <w:szCs w:val="10"/>
                <w:lang w:val="fr-BE"/>
              </w:rPr>
              <w:t>CO16</w:t>
            </w:r>
          </w:p>
        </w:tc>
        <w:tc>
          <w:tcPr>
            <w:tcW w:w="0" w:type="auto"/>
            <w:shd w:val="clear" w:color="auto" w:fill="auto"/>
          </w:tcPr>
          <w:p w14:paraId="7BF97C02" w14:textId="77777777" w:rsidR="008C5CFA" w:rsidRPr="001C4484" w:rsidRDefault="00E82A60" w:rsidP="00300A01">
            <w:pPr>
              <w:spacing w:before="0" w:after="0"/>
              <w:rPr>
                <w:sz w:val="10"/>
                <w:szCs w:val="10"/>
                <w:lang w:val="fr-BE"/>
              </w:rPr>
            </w:pPr>
            <w:r w:rsidRPr="001C4484">
              <w:rPr>
                <w:noProof/>
                <w:sz w:val="10"/>
                <w:szCs w:val="10"/>
                <w:lang w:val="fr-BE"/>
              </w:rPr>
              <w:t>uczestnicy z niepełnosprawnościami</w:t>
            </w:r>
          </w:p>
        </w:tc>
        <w:tc>
          <w:tcPr>
            <w:tcW w:w="0" w:type="auto"/>
            <w:shd w:val="clear" w:color="auto" w:fill="auto"/>
          </w:tcPr>
          <w:p w14:paraId="2D175D21"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745C7880" w14:textId="77777777" w:rsidR="008C5CFA" w:rsidRPr="001C4484" w:rsidRDefault="00E82A60" w:rsidP="00300A01">
            <w:pPr>
              <w:spacing w:before="0" w:after="0"/>
              <w:jc w:val="right"/>
              <w:rPr>
                <w:sz w:val="10"/>
                <w:szCs w:val="10"/>
              </w:rPr>
            </w:pPr>
            <w:r>
              <w:rPr>
                <w:noProof/>
                <w:sz w:val="10"/>
                <w:szCs w:val="10"/>
              </w:rPr>
              <w:t>972,00</w:t>
            </w:r>
          </w:p>
        </w:tc>
        <w:tc>
          <w:tcPr>
            <w:tcW w:w="0" w:type="auto"/>
            <w:shd w:val="clear" w:color="auto" w:fill="auto"/>
          </w:tcPr>
          <w:p w14:paraId="1A87CB93" w14:textId="77777777" w:rsidR="008C5CFA" w:rsidRPr="001C4484" w:rsidRDefault="00E82A60" w:rsidP="00300A01">
            <w:pPr>
              <w:spacing w:before="0" w:after="0"/>
              <w:jc w:val="right"/>
              <w:rPr>
                <w:sz w:val="10"/>
                <w:szCs w:val="10"/>
              </w:rPr>
            </w:pPr>
            <w:r w:rsidRPr="001C4484">
              <w:rPr>
                <w:noProof/>
                <w:sz w:val="10"/>
                <w:szCs w:val="10"/>
              </w:rPr>
              <w:t>375,00</w:t>
            </w:r>
          </w:p>
        </w:tc>
        <w:tc>
          <w:tcPr>
            <w:tcW w:w="0" w:type="auto"/>
            <w:shd w:val="clear" w:color="auto" w:fill="auto"/>
          </w:tcPr>
          <w:p w14:paraId="669990A7" w14:textId="77777777" w:rsidR="008C5CFA" w:rsidRPr="001C4484" w:rsidRDefault="00E82A60" w:rsidP="00300A01">
            <w:pPr>
              <w:spacing w:before="0" w:after="0"/>
              <w:jc w:val="right"/>
              <w:rPr>
                <w:sz w:val="10"/>
                <w:szCs w:val="10"/>
                <w:lang w:val="fr-BE"/>
              </w:rPr>
            </w:pPr>
            <w:r w:rsidRPr="001C4484">
              <w:rPr>
                <w:noProof/>
                <w:sz w:val="10"/>
                <w:szCs w:val="10"/>
              </w:rPr>
              <w:t>597,00</w:t>
            </w:r>
          </w:p>
        </w:tc>
        <w:tc>
          <w:tcPr>
            <w:tcW w:w="0" w:type="auto"/>
          </w:tcPr>
          <w:p w14:paraId="2C4F5719" w14:textId="77777777" w:rsidR="008C5CFA" w:rsidRPr="001C4484" w:rsidRDefault="00E82A60" w:rsidP="00300A01">
            <w:pPr>
              <w:spacing w:before="0" w:after="0"/>
              <w:jc w:val="right"/>
              <w:rPr>
                <w:sz w:val="10"/>
                <w:szCs w:val="10"/>
              </w:rPr>
            </w:pPr>
            <w:r>
              <w:rPr>
                <w:noProof/>
                <w:sz w:val="10"/>
                <w:szCs w:val="10"/>
              </w:rPr>
              <w:t>894,00</w:t>
            </w:r>
          </w:p>
        </w:tc>
        <w:tc>
          <w:tcPr>
            <w:tcW w:w="0" w:type="auto"/>
            <w:shd w:val="clear" w:color="auto" w:fill="auto"/>
          </w:tcPr>
          <w:p w14:paraId="7ACD1A4B" w14:textId="77777777" w:rsidR="008C5CFA" w:rsidRPr="001C4484" w:rsidRDefault="00E82A60" w:rsidP="00300A01">
            <w:pPr>
              <w:spacing w:before="0" w:after="0"/>
              <w:jc w:val="right"/>
              <w:rPr>
                <w:sz w:val="10"/>
                <w:szCs w:val="10"/>
              </w:rPr>
            </w:pPr>
            <w:r w:rsidRPr="001C4484">
              <w:rPr>
                <w:noProof/>
                <w:sz w:val="10"/>
                <w:szCs w:val="10"/>
              </w:rPr>
              <w:t>433,00</w:t>
            </w:r>
          </w:p>
        </w:tc>
        <w:tc>
          <w:tcPr>
            <w:tcW w:w="0" w:type="auto"/>
            <w:shd w:val="clear" w:color="auto" w:fill="auto"/>
          </w:tcPr>
          <w:p w14:paraId="2976A2A3" w14:textId="77777777" w:rsidR="008C5CFA" w:rsidRPr="001C4484" w:rsidRDefault="00E82A60" w:rsidP="00300A01">
            <w:pPr>
              <w:spacing w:before="0" w:after="0"/>
              <w:jc w:val="right"/>
              <w:rPr>
                <w:sz w:val="10"/>
                <w:szCs w:val="10"/>
                <w:lang w:val="fr-BE"/>
              </w:rPr>
            </w:pPr>
            <w:r w:rsidRPr="001C4484">
              <w:rPr>
                <w:noProof/>
                <w:sz w:val="10"/>
                <w:szCs w:val="10"/>
              </w:rPr>
              <w:t>461,00</w:t>
            </w:r>
          </w:p>
        </w:tc>
        <w:tc>
          <w:tcPr>
            <w:tcW w:w="0" w:type="auto"/>
          </w:tcPr>
          <w:p w14:paraId="474A1690" w14:textId="77777777" w:rsidR="008C5CFA" w:rsidRPr="001C4484" w:rsidRDefault="00E82A60" w:rsidP="00300A01">
            <w:pPr>
              <w:spacing w:before="0" w:after="0"/>
              <w:jc w:val="right"/>
              <w:rPr>
                <w:sz w:val="10"/>
                <w:szCs w:val="10"/>
              </w:rPr>
            </w:pPr>
            <w:r>
              <w:rPr>
                <w:noProof/>
                <w:sz w:val="10"/>
                <w:szCs w:val="10"/>
              </w:rPr>
              <w:t>145,00</w:t>
            </w:r>
          </w:p>
        </w:tc>
        <w:tc>
          <w:tcPr>
            <w:tcW w:w="0" w:type="auto"/>
            <w:shd w:val="clear" w:color="auto" w:fill="auto"/>
          </w:tcPr>
          <w:p w14:paraId="005079DE" w14:textId="77777777" w:rsidR="008C5CFA" w:rsidRPr="001C4484" w:rsidRDefault="00E82A60" w:rsidP="00300A01">
            <w:pPr>
              <w:spacing w:before="0" w:after="0"/>
              <w:jc w:val="right"/>
              <w:rPr>
                <w:sz w:val="10"/>
                <w:szCs w:val="10"/>
              </w:rPr>
            </w:pPr>
            <w:r w:rsidRPr="001C4484">
              <w:rPr>
                <w:noProof/>
                <w:sz w:val="10"/>
                <w:szCs w:val="10"/>
              </w:rPr>
              <w:t>76,00</w:t>
            </w:r>
          </w:p>
        </w:tc>
        <w:tc>
          <w:tcPr>
            <w:tcW w:w="0" w:type="auto"/>
            <w:shd w:val="clear" w:color="auto" w:fill="auto"/>
          </w:tcPr>
          <w:p w14:paraId="2A5FEE2D" w14:textId="77777777" w:rsidR="008C5CFA" w:rsidRPr="001C4484" w:rsidRDefault="00E82A60" w:rsidP="00300A01">
            <w:pPr>
              <w:spacing w:before="0" w:after="0"/>
              <w:jc w:val="right"/>
              <w:rPr>
                <w:sz w:val="10"/>
                <w:szCs w:val="10"/>
                <w:lang w:val="fr-BE"/>
              </w:rPr>
            </w:pPr>
            <w:r w:rsidRPr="001C4484">
              <w:rPr>
                <w:noProof/>
                <w:sz w:val="10"/>
                <w:szCs w:val="10"/>
              </w:rPr>
              <w:t>69,00</w:t>
            </w:r>
          </w:p>
        </w:tc>
      </w:tr>
      <w:tr w:rsidR="006B2EC1" w14:paraId="41BF69C6" w14:textId="77777777" w:rsidTr="0047688D">
        <w:tc>
          <w:tcPr>
            <w:tcW w:w="0" w:type="auto"/>
            <w:shd w:val="clear" w:color="auto" w:fill="auto"/>
          </w:tcPr>
          <w:p w14:paraId="7FF033DA" w14:textId="77777777" w:rsidR="008C5CFA" w:rsidRPr="001C4484" w:rsidRDefault="00E82A60" w:rsidP="00300A01">
            <w:pPr>
              <w:spacing w:before="0" w:after="0"/>
              <w:rPr>
                <w:sz w:val="10"/>
                <w:szCs w:val="10"/>
                <w:lang w:val="fr-BE"/>
              </w:rPr>
            </w:pPr>
            <w:r w:rsidRPr="001C4484">
              <w:rPr>
                <w:noProof/>
                <w:sz w:val="10"/>
                <w:szCs w:val="10"/>
                <w:lang w:val="fr-BE"/>
              </w:rPr>
              <w:t>CO17</w:t>
            </w:r>
          </w:p>
        </w:tc>
        <w:tc>
          <w:tcPr>
            <w:tcW w:w="0" w:type="auto"/>
            <w:shd w:val="clear" w:color="auto" w:fill="auto"/>
          </w:tcPr>
          <w:p w14:paraId="3D02273C" w14:textId="77777777" w:rsidR="008C5CFA" w:rsidRPr="001C4484" w:rsidRDefault="00E82A60" w:rsidP="00300A01">
            <w:pPr>
              <w:spacing w:before="0" w:after="0"/>
              <w:rPr>
                <w:sz w:val="10"/>
                <w:szCs w:val="10"/>
                <w:lang w:val="fr-BE"/>
              </w:rPr>
            </w:pPr>
            <w:r w:rsidRPr="001C4484">
              <w:rPr>
                <w:noProof/>
                <w:sz w:val="10"/>
                <w:szCs w:val="10"/>
                <w:lang w:val="fr-BE"/>
              </w:rPr>
              <w:t>inne osoby w niekorzystnej sytuacji społecznej</w:t>
            </w:r>
          </w:p>
        </w:tc>
        <w:tc>
          <w:tcPr>
            <w:tcW w:w="0" w:type="auto"/>
            <w:shd w:val="clear" w:color="auto" w:fill="auto"/>
          </w:tcPr>
          <w:p w14:paraId="16A7F826"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44E78AFE" w14:textId="77777777" w:rsidR="008C5CFA" w:rsidRPr="001C4484" w:rsidRDefault="00E82A60" w:rsidP="00300A01">
            <w:pPr>
              <w:spacing w:before="0" w:after="0"/>
              <w:jc w:val="right"/>
              <w:rPr>
                <w:sz w:val="10"/>
                <w:szCs w:val="10"/>
              </w:rPr>
            </w:pPr>
            <w:r>
              <w:rPr>
                <w:noProof/>
                <w:sz w:val="10"/>
                <w:szCs w:val="10"/>
              </w:rPr>
              <w:t>2 776,00</w:t>
            </w:r>
          </w:p>
        </w:tc>
        <w:tc>
          <w:tcPr>
            <w:tcW w:w="0" w:type="auto"/>
            <w:shd w:val="clear" w:color="auto" w:fill="auto"/>
          </w:tcPr>
          <w:p w14:paraId="01CC0D2A" w14:textId="77777777" w:rsidR="008C5CFA" w:rsidRPr="001C4484" w:rsidRDefault="00E82A60" w:rsidP="00300A01">
            <w:pPr>
              <w:spacing w:before="0" w:after="0"/>
              <w:jc w:val="right"/>
              <w:rPr>
                <w:sz w:val="10"/>
                <w:szCs w:val="10"/>
              </w:rPr>
            </w:pPr>
            <w:r w:rsidRPr="001C4484">
              <w:rPr>
                <w:noProof/>
                <w:sz w:val="10"/>
                <w:szCs w:val="10"/>
              </w:rPr>
              <w:t>1 048,00</w:t>
            </w:r>
          </w:p>
        </w:tc>
        <w:tc>
          <w:tcPr>
            <w:tcW w:w="0" w:type="auto"/>
            <w:shd w:val="clear" w:color="auto" w:fill="auto"/>
          </w:tcPr>
          <w:p w14:paraId="0C21C466" w14:textId="77777777" w:rsidR="008C5CFA" w:rsidRPr="001C4484" w:rsidRDefault="00E82A60" w:rsidP="00300A01">
            <w:pPr>
              <w:spacing w:before="0" w:after="0"/>
              <w:jc w:val="right"/>
              <w:rPr>
                <w:sz w:val="10"/>
                <w:szCs w:val="10"/>
                <w:lang w:val="fr-BE"/>
              </w:rPr>
            </w:pPr>
            <w:r w:rsidRPr="001C4484">
              <w:rPr>
                <w:noProof/>
                <w:sz w:val="10"/>
                <w:szCs w:val="10"/>
              </w:rPr>
              <w:t>1 728,00</w:t>
            </w:r>
          </w:p>
        </w:tc>
        <w:tc>
          <w:tcPr>
            <w:tcW w:w="0" w:type="auto"/>
          </w:tcPr>
          <w:p w14:paraId="0678431E" w14:textId="77777777" w:rsidR="008C5CFA" w:rsidRPr="001C4484" w:rsidRDefault="00E82A60" w:rsidP="00300A01">
            <w:pPr>
              <w:spacing w:before="0" w:after="0"/>
              <w:jc w:val="right"/>
              <w:rPr>
                <w:sz w:val="10"/>
                <w:szCs w:val="10"/>
              </w:rPr>
            </w:pPr>
            <w:r>
              <w:rPr>
                <w:noProof/>
                <w:sz w:val="10"/>
                <w:szCs w:val="10"/>
              </w:rPr>
              <w:t>2 535,00</w:t>
            </w:r>
          </w:p>
        </w:tc>
        <w:tc>
          <w:tcPr>
            <w:tcW w:w="0" w:type="auto"/>
            <w:shd w:val="clear" w:color="auto" w:fill="auto"/>
          </w:tcPr>
          <w:p w14:paraId="4EB39A00" w14:textId="77777777" w:rsidR="008C5CFA" w:rsidRPr="001C4484" w:rsidRDefault="00E82A60" w:rsidP="00300A01">
            <w:pPr>
              <w:spacing w:before="0" w:after="0"/>
              <w:jc w:val="right"/>
              <w:rPr>
                <w:sz w:val="10"/>
                <w:szCs w:val="10"/>
              </w:rPr>
            </w:pPr>
            <w:r w:rsidRPr="001C4484">
              <w:rPr>
                <w:noProof/>
                <w:sz w:val="10"/>
                <w:szCs w:val="10"/>
              </w:rPr>
              <w:t>1 097,00</w:t>
            </w:r>
          </w:p>
        </w:tc>
        <w:tc>
          <w:tcPr>
            <w:tcW w:w="0" w:type="auto"/>
            <w:shd w:val="clear" w:color="auto" w:fill="auto"/>
          </w:tcPr>
          <w:p w14:paraId="5B27C0DA" w14:textId="77777777" w:rsidR="008C5CFA" w:rsidRPr="001C4484" w:rsidRDefault="00E82A60" w:rsidP="00300A01">
            <w:pPr>
              <w:spacing w:before="0" w:after="0"/>
              <w:jc w:val="right"/>
              <w:rPr>
                <w:sz w:val="10"/>
                <w:szCs w:val="10"/>
                <w:lang w:val="fr-BE"/>
              </w:rPr>
            </w:pPr>
            <w:r w:rsidRPr="001C4484">
              <w:rPr>
                <w:noProof/>
                <w:sz w:val="10"/>
                <w:szCs w:val="10"/>
              </w:rPr>
              <w:t>1 438,00</w:t>
            </w:r>
          </w:p>
        </w:tc>
        <w:tc>
          <w:tcPr>
            <w:tcW w:w="0" w:type="auto"/>
          </w:tcPr>
          <w:p w14:paraId="1F1E4FC0" w14:textId="77777777" w:rsidR="008C5CFA" w:rsidRPr="001C4484" w:rsidRDefault="00E82A60" w:rsidP="00300A01">
            <w:pPr>
              <w:spacing w:before="0" w:after="0"/>
              <w:jc w:val="right"/>
              <w:rPr>
                <w:sz w:val="10"/>
                <w:szCs w:val="10"/>
              </w:rPr>
            </w:pPr>
            <w:r>
              <w:rPr>
                <w:noProof/>
                <w:sz w:val="10"/>
                <w:szCs w:val="10"/>
              </w:rPr>
              <w:t>1 424,00</w:t>
            </w:r>
          </w:p>
        </w:tc>
        <w:tc>
          <w:tcPr>
            <w:tcW w:w="0" w:type="auto"/>
            <w:shd w:val="clear" w:color="auto" w:fill="auto"/>
          </w:tcPr>
          <w:p w14:paraId="68E64972" w14:textId="77777777" w:rsidR="008C5CFA" w:rsidRPr="001C4484" w:rsidRDefault="00E82A60" w:rsidP="00300A01">
            <w:pPr>
              <w:spacing w:before="0" w:after="0"/>
              <w:jc w:val="right"/>
              <w:rPr>
                <w:sz w:val="10"/>
                <w:szCs w:val="10"/>
              </w:rPr>
            </w:pPr>
            <w:r w:rsidRPr="001C4484">
              <w:rPr>
                <w:noProof/>
                <w:sz w:val="10"/>
                <w:szCs w:val="10"/>
              </w:rPr>
              <w:t>556,00</w:t>
            </w:r>
          </w:p>
        </w:tc>
        <w:tc>
          <w:tcPr>
            <w:tcW w:w="0" w:type="auto"/>
            <w:shd w:val="clear" w:color="auto" w:fill="auto"/>
          </w:tcPr>
          <w:p w14:paraId="659C8C4E" w14:textId="77777777" w:rsidR="008C5CFA" w:rsidRPr="001C4484" w:rsidRDefault="00E82A60" w:rsidP="00300A01">
            <w:pPr>
              <w:spacing w:before="0" w:after="0"/>
              <w:jc w:val="right"/>
              <w:rPr>
                <w:sz w:val="10"/>
                <w:szCs w:val="10"/>
                <w:lang w:val="fr-BE"/>
              </w:rPr>
            </w:pPr>
            <w:r w:rsidRPr="001C4484">
              <w:rPr>
                <w:noProof/>
                <w:sz w:val="10"/>
                <w:szCs w:val="10"/>
              </w:rPr>
              <w:t>868,00</w:t>
            </w:r>
          </w:p>
        </w:tc>
      </w:tr>
      <w:tr w:rsidR="006B2EC1" w14:paraId="4120A5F4" w14:textId="77777777" w:rsidTr="0047688D">
        <w:tc>
          <w:tcPr>
            <w:tcW w:w="0" w:type="auto"/>
            <w:shd w:val="clear" w:color="auto" w:fill="auto"/>
          </w:tcPr>
          <w:p w14:paraId="674997CF" w14:textId="77777777" w:rsidR="008C5CFA" w:rsidRPr="001C4484" w:rsidRDefault="00E82A60" w:rsidP="00300A01">
            <w:pPr>
              <w:spacing w:before="0" w:after="0"/>
              <w:rPr>
                <w:sz w:val="10"/>
                <w:szCs w:val="10"/>
                <w:lang w:val="fr-BE"/>
              </w:rPr>
            </w:pPr>
            <w:r w:rsidRPr="001C4484">
              <w:rPr>
                <w:noProof/>
                <w:sz w:val="10"/>
                <w:szCs w:val="10"/>
                <w:lang w:val="fr-BE"/>
              </w:rPr>
              <w:t>CO18</w:t>
            </w:r>
          </w:p>
        </w:tc>
        <w:tc>
          <w:tcPr>
            <w:tcW w:w="0" w:type="auto"/>
            <w:shd w:val="clear" w:color="auto" w:fill="auto"/>
          </w:tcPr>
          <w:p w14:paraId="0D51D9F6" w14:textId="77777777" w:rsidR="008C5CFA" w:rsidRPr="001C4484" w:rsidRDefault="00E82A60" w:rsidP="00300A01">
            <w:pPr>
              <w:spacing w:before="0" w:after="0"/>
              <w:rPr>
                <w:sz w:val="10"/>
                <w:szCs w:val="10"/>
                <w:lang w:val="fr-BE"/>
              </w:rPr>
            </w:pPr>
            <w:r w:rsidRPr="001C4484">
              <w:rPr>
                <w:noProof/>
                <w:sz w:val="10"/>
                <w:szCs w:val="10"/>
                <w:lang w:val="fr-BE"/>
              </w:rPr>
              <w:t>osoby bezdomne lub dotknięte wykluczeniem z dostępu do mieszkań</w:t>
            </w:r>
          </w:p>
        </w:tc>
        <w:tc>
          <w:tcPr>
            <w:tcW w:w="0" w:type="auto"/>
            <w:shd w:val="clear" w:color="auto" w:fill="auto"/>
          </w:tcPr>
          <w:p w14:paraId="18236C37"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21FB3626" w14:textId="77777777" w:rsidR="008C5CFA" w:rsidRPr="001C4484" w:rsidRDefault="00E82A60" w:rsidP="00300A01">
            <w:pPr>
              <w:spacing w:before="0" w:after="0"/>
              <w:jc w:val="right"/>
              <w:rPr>
                <w:sz w:val="10"/>
                <w:szCs w:val="10"/>
              </w:rPr>
            </w:pPr>
            <w:r>
              <w:rPr>
                <w:noProof/>
                <w:sz w:val="10"/>
                <w:szCs w:val="10"/>
              </w:rPr>
              <w:t>97,00</w:t>
            </w:r>
          </w:p>
        </w:tc>
        <w:tc>
          <w:tcPr>
            <w:tcW w:w="0" w:type="auto"/>
            <w:shd w:val="clear" w:color="auto" w:fill="auto"/>
          </w:tcPr>
          <w:p w14:paraId="3D59242D" w14:textId="77777777" w:rsidR="008C5CFA" w:rsidRPr="001C4484" w:rsidRDefault="00E82A60" w:rsidP="00300A01">
            <w:pPr>
              <w:spacing w:before="0" w:after="0"/>
              <w:jc w:val="right"/>
              <w:rPr>
                <w:sz w:val="10"/>
                <w:szCs w:val="10"/>
              </w:rPr>
            </w:pPr>
            <w:r w:rsidRPr="001C4484">
              <w:rPr>
                <w:noProof/>
                <w:sz w:val="10"/>
                <w:szCs w:val="10"/>
              </w:rPr>
              <w:t>41,00</w:t>
            </w:r>
          </w:p>
        </w:tc>
        <w:tc>
          <w:tcPr>
            <w:tcW w:w="0" w:type="auto"/>
            <w:shd w:val="clear" w:color="auto" w:fill="auto"/>
          </w:tcPr>
          <w:p w14:paraId="1FCD9A0E" w14:textId="77777777" w:rsidR="008C5CFA" w:rsidRPr="001C4484" w:rsidRDefault="00E82A60" w:rsidP="00300A01">
            <w:pPr>
              <w:spacing w:before="0" w:after="0"/>
              <w:jc w:val="right"/>
              <w:rPr>
                <w:sz w:val="10"/>
                <w:szCs w:val="10"/>
                <w:lang w:val="fr-BE"/>
              </w:rPr>
            </w:pPr>
            <w:r w:rsidRPr="001C4484">
              <w:rPr>
                <w:noProof/>
                <w:sz w:val="10"/>
                <w:szCs w:val="10"/>
              </w:rPr>
              <w:t>56,00</w:t>
            </w:r>
          </w:p>
        </w:tc>
        <w:tc>
          <w:tcPr>
            <w:tcW w:w="0" w:type="auto"/>
          </w:tcPr>
          <w:p w14:paraId="2D9BDE68" w14:textId="77777777" w:rsidR="008C5CFA" w:rsidRPr="001C4484" w:rsidRDefault="00E82A60" w:rsidP="00300A01">
            <w:pPr>
              <w:spacing w:before="0" w:after="0"/>
              <w:jc w:val="right"/>
              <w:rPr>
                <w:sz w:val="10"/>
                <w:szCs w:val="10"/>
              </w:rPr>
            </w:pPr>
            <w:r>
              <w:rPr>
                <w:noProof/>
                <w:sz w:val="10"/>
                <w:szCs w:val="10"/>
              </w:rPr>
              <w:t>34,00</w:t>
            </w:r>
          </w:p>
        </w:tc>
        <w:tc>
          <w:tcPr>
            <w:tcW w:w="0" w:type="auto"/>
            <w:shd w:val="clear" w:color="auto" w:fill="auto"/>
          </w:tcPr>
          <w:p w14:paraId="4FB01505" w14:textId="77777777" w:rsidR="008C5CFA" w:rsidRPr="001C4484" w:rsidRDefault="00E82A60" w:rsidP="00300A01">
            <w:pPr>
              <w:spacing w:before="0" w:after="0"/>
              <w:jc w:val="right"/>
              <w:rPr>
                <w:sz w:val="10"/>
                <w:szCs w:val="10"/>
              </w:rPr>
            </w:pPr>
            <w:r w:rsidRPr="001C4484">
              <w:rPr>
                <w:noProof/>
                <w:sz w:val="10"/>
                <w:szCs w:val="10"/>
              </w:rPr>
              <w:t>14,00</w:t>
            </w:r>
          </w:p>
        </w:tc>
        <w:tc>
          <w:tcPr>
            <w:tcW w:w="0" w:type="auto"/>
            <w:shd w:val="clear" w:color="auto" w:fill="auto"/>
          </w:tcPr>
          <w:p w14:paraId="31234778" w14:textId="77777777" w:rsidR="008C5CFA" w:rsidRPr="001C4484" w:rsidRDefault="00E82A60" w:rsidP="00300A01">
            <w:pPr>
              <w:spacing w:before="0" w:after="0"/>
              <w:jc w:val="right"/>
              <w:rPr>
                <w:sz w:val="10"/>
                <w:szCs w:val="10"/>
                <w:lang w:val="fr-BE"/>
              </w:rPr>
            </w:pPr>
            <w:r w:rsidRPr="001C4484">
              <w:rPr>
                <w:noProof/>
                <w:sz w:val="10"/>
                <w:szCs w:val="10"/>
              </w:rPr>
              <w:t>20,00</w:t>
            </w:r>
          </w:p>
        </w:tc>
        <w:tc>
          <w:tcPr>
            <w:tcW w:w="0" w:type="auto"/>
          </w:tcPr>
          <w:p w14:paraId="31799A97" w14:textId="77777777" w:rsidR="008C5CFA" w:rsidRPr="001C4484" w:rsidRDefault="00E82A60" w:rsidP="00300A01">
            <w:pPr>
              <w:spacing w:before="0" w:after="0"/>
              <w:jc w:val="right"/>
              <w:rPr>
                <w:sz w:val="10"/>
                <w:szCs w:val="10"/>
              </w:rPr>
            </w:pPr>
            <w:r>
              <w:rPr>
                <w:noProof/>
                <w:sz w:val="10"/>
                <w:szCs w:val="10"/>
              </w:rPr>
              <w:t>24,00</w:t>
            </w:r>
          </w:p>
        </w:tc>
        <w:tc>
          <w:tcPr>
            <w:tcW w:w="0" w:type="auto"/>
            <w:shd w:val="clear" w:color="auto" w:fill="auto"/>
          </w:tcPr>
          <w:p w14:paraId="212C5E16" w14:textId="77777777" w:rsidR="008C5CFA" w:rsidRPr="001C4484" w:rsidRDefault="00E82A60" w:rsidP="00300A01">
            <w:pPr>
              <w:spacing w:before="0" w:after="0"/>
              <w:jc w:val="right"/>
              <w:rPr>
                <w:sz w:val="10"/>
                <w:szCs w:val="10"/>
              </w:rPr>
            </w:pPr>
            <w:r w:rsidRPr="001C4484">
              <w:rPr>
                <w:noProof/>
                <w:sz w:val="10"/>
                <w:szCs w:val="10"/>
              </w:rPr>
              <w:t>8,00</w:t>
            </w:r>
          </w:p>
        </w:tc>
        <w:tc>
          <w:tcPr>
            <w:tcW w:w="0" w:type="auto"/>
            <w:shd w:val="clear" w:color="auto" w:fill="auto"/>
          </w:tcPr>
          <w:p w14:paraId="3E22338E" w14:textId="77777777" w:rsidR="008C5CFA" w:rsidRPr="001C4484" w:rsidRDefault="00E82A60" w:rsidP="00300A01">
            <w:pPr>
              <w:spacing w:before="0" w:after="0"/>
              <w:jc w:val="right"/>
              <w:rPr>
                <w:sz w:val="10"/>
                <w:szCs w:val="10"/>
                <w:lang w:val="fr-BE"/>
              </w:rPr>
            </w:pPr>
            <w:r w:rsidRPr="001C4484">
              <w:rPr>
                <w:noProof/>
                <w:sz w:val="10"/>
                <w:szCs w:val="10"/>
              </w:rPr>
              <w:t>16,00</w:t>
            </w:r>
          </w:p>
        </w:tc>
      </w:tr>
      <w:tr w:rsidR="006B2EC1" w14:paraId="283B3D62" w14:textId="77777777" w:rsidTr="0047688D">
        <w:tc>
          <w:tcPr>
            <w:tcW w:w="0" w:type="auto"/>
            <w:shd w:val="clear" w:color="auto" w:fill="auto"/>
          </w:tcPr>
          <w:p w14:paraId="1C8B538A" w14:textId="77777777" w:rsidR="008C5CFA" w:rsidRPr="001C4484" w:rsidRDefault="00E82A60" w:rsidP="00300A01">
            <w:pPr>
              <w:spacing w:before="0" w:after="0"/>
              <w:rPr>
                <w:sz w:val="10"/>
                <w:szCs w:val="10"/>
                <w:lang w:val="fr-BE"/>
              </w:rPr>
            </w:pPr>
            <w:r w:rsidRPr="001C4484">
              <w:rPr>
                <w:noProof/>
                <w:sz w:val="10"/>
                <w:szCs w:val="10"/>
                <w:lang w:val="fr-BE"/>
              </w:rPr>
              <w:t>CO19</w:t>
            </w:r>
          </w:p>
        </w:tc>
        <w:tc>
          <w:tcPr>
            <w:tcW w:w="0" w:type="auto"/>
            <w:shd w:val="clear" w:color="auto" w:fill="auto"/>
          </w:tcPr>
          <w:p w14:paraId="28109D11" w14:textId="77777777" w:rsidR="008C5CFA" w:rsidRPr="001C4484" w:rsidRDefault="00E82A60" w:rsidP="00300A01">
            <w:pPr>
              <w:spacing w:before="0" w:after="0"/>
              <w:rPr>
                <w:sz w:val="10"/>
                <w:szCs w:val="10"/>
                <w:lang w:val="fr-BE"/>
              </w:rPr>
            </w:pPr>
            <w:r w:rsidRPr="001C4484">
              <w:rPr>
                <w:noProof/>
                <w:sz w:val="10"/>
                <w:szCs w:val="10"/>
                <w:lang w:val="fr-BE"/>
              </w:rPr>
              <w:t>osoby pochodzące z obszarów wiejskich</w:t>
            </w:r>
          </w:p>
        </w:tc>
        <w:tc>
          <w:tcPr>
            <w:tcW w:w="0" w:type="auto"/>
            <w:shd w:val="clear" w:color="auto" w:fill="auto"/>
          </w:tcPr>
          <w:p w14:paraId="2066570A"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1125E783" w14:textId="77777777" w:rsidR="008C5CFA" w:rsidRPr="001C4484" w:rsidRDefault="00E82A60" w:rsidP="00300A01">
            <w:pPr>
              <w:spacing w:before="0" w:after="0"/>
              <w:jc w:val="right"/>
              <w:rPr>
                <w:sz w:val="10"/>
                <w:szCs w:val="10"/>
              </w:rPr>
            </w:pPr>
            <w:r>
              <w:rPr>
                <w:noProof/>
                <w:sz w:val="10"/>
                <w:szCs w:val="10"/>
              </w:rPr>
              <w:t>2 854,00</w:t>
            </w:r>
          </w:p>
        </w:tc>
        <w:tc>
          <w:tcPr>
            <w:tcW w:w="0" w:type="auto"/>
            <w:shd w:val="clear" w:color="auto" w:fill="auto"/>
          </w:tcPr>
          <w:p w14:paraId="762F4E00" w14:textId="77777777" w:rsidR="008C5CFA" w:rsidRPr="001C4484" w:rsidRDefault="00E82A60" w:rsidP="00300A01">
            <w:pPr>
              <w:spacing w:before="0" w:after="0"/>
              <w:jc w:val="right"/>
              <w:rPr>
                <w:sz w:val="10"/>
                <w:szCs w:val="10"/>
              </w:rPr>
            </w:pPr>
            <w:r w:rsidRPr="001C4484">
              <w:rPr>
                <w:noProof/>
                <w:sz w:val="10"/>
                <w:szCs w:val="10"/>
              </w:rPr>
              <w:t>1 028,00</w:t>
            </w:r>
          </w:p>
        </w:tc>
        <w:tc>
          <w:tcPr>
            <w:tcW w:w="0" w:type="auto"/>
            <w:shd w:val="clear" w:color="auto" w:fill="auto"/>
          </w:tcPr>
          <w:p w14:paraId="0FD045CC" w14:textId="77777777" w:rsidR="008C5CFA" w:rsidRPr="001C4484" w:rsidRDefault="00E82A60" w:rsidP="00300A01">
            <w:pPr>
              <w:spacing w:before="0" w:after="0"/>
              <w:jc w:val="right"/>
              <w:rPr>
                <w:sz w:val="10"/>
                <w:szCs w:val="10"/>
                <w:lang w:val="fr-BE"/>
              </w:rPr>
            </w:pPr>
            <w:r w:rsidRPr="001C4484">
              <w:rPr>
                <w:noProof/>
                <w:sz w:val="10"/>
                <w:szCs w:val="10"/>
              </w:rPr>
              <w:t>1 826,00</w:t>
            </w:r>
          </w:p>
        </w:tc>
        <w:tc>
          <w:tcPr>
            <w:tcW w:w="0" w:type="auto"/>
          </w:tcPr>
          <w:p w14:paraId="441256E3" w14:textId="77777777" w:rsidR="008C5CFA" w:rsidRPr="001C4484" w:rsidRDefault="00E82A60" w:rsidP="00300A01">
            <w:pPr>
              <w:spacing w:before="0" w:after="0"/>
              <w:jc w:val="right"/>
              <w:rPr>
                <w:sz w:val="10"/>
                <w:szCs w:val="10"/>
              </w:rPr>
            </w:pPr>
            <w:r>
              <w:rPr>
                <w:noProof/>
                <w:sz w:val="10"/>
                <w:szCs w:val="10"/>
              </w:rPr>
              <w:t>2 452,00</w:t>
            </w:r>
          </w:p>
        </w:tc>
        <w:tc>
          <w:tcPr>
            <w:tcW w:w="0" w:type="auto"/>
            <w:shd w:val="clear" w:color="auto" w:fill="auto"/>
          </w:tcPr>
          <w:p w14:paraId="0E9C09A6" w14:textId="77777777" w:rsidR="008C5CFA" w:rsidRPr="001C4484" w:rsidRDefault="00E82A60" w:rsidP="00300A01">
            <w:pPr>
              <w:spacing w:before="0" w:after="0"/>
              <w:jc w:val="right"/>
              <w:rPr>
                <w:sz w:val="10"/>
                <w:szCs w:val="10"/>
              </w:rPr>
            </w:pPr>
            <w:r w:rsidRPr="001C4484">
              <w:rPr>
                <w:noProof/>
                <w:sz w:val="10"/>
                <w:szCs w:val="10"/>
              </w:rPr>
              <w:t>1 005,00</w:t>
            </w:r>
          </w:p>
        </w:tc>
        <w:tc>
          <w:tcPr>
            <w:tcW w:w="0" w:type="auto"/>
            <w:shd w:val="clear" w:color="auto" w:fill="auto"/>
          </w:tcPr>
          <w:p w14:paraId="132AEE37" w14:textId="77777777" w:rsidR="008C5CFA" w:rsidRPr="001C4484" w:rsidRDefault="00E82A60" w:rsidP="00300A01">
            <w:pPr>
              <w:spacing w:before="0" w:after="0"/>
              <w:jc w:val="right"/>
              <w:rPr>
                <w:sz w:val="10"/>
                <w:szCs w:val="10"/>
                <w:lang w:val="fr-BE"/>
              </w:rPr>
            </w:pPr>
            <w:r w:rsidRPr="001C4484">
              <w:rPr>
                <w:noProof/>
                <w:sz w:val="10"/>
                <w:szCs w:val="10"/>
              </w:rPr>
              <w:t>1 447,00</w:t>
            </w:r>
          </w:p>
        </w:tc>
        <w:tc>
          <w:tcPr>
            <w:tcW w:w="0" w:type="auto"/>
          </w:tcPr>
          <w:p w14:paraId="71015D57" w14:textId="77777777" w:rsidR="008C5CFA" w:rsidRPr="001C4484" w:rsidRDefault="00E82A60" w:rsidP="00300A01">
            <w:pPr>
              <w:spacing w:before="0" w:after="0"/>
              <w:jc w:val="right"/>
              <w:rPr>
                <w:sz w:val="10"/>
                <w:szCs w:val="10"/>
              </w:rPr>
            </w:pPr>
            <w:r>
              <w:rPr>
                <w:noProof/>
                <w:sz w:val="10"/>
                <w:szCs w:val="10"/>
              </w:rPr>
              <w:t>876,00</w:t>
            </w:r>
          </w:p>
        </w:tc>
        <w:tc>
          <w:tcPr>
            <w:tcW w:w="0" w:type="auto"/>
            <w:shd w:val="clear" w:color="auto" w:fill="auto"/>
          </w:tcPr>
          <w:p w14:paraId="5C66B6A2" w14:textId="77777777" w:rsidR="008C5CFA" w:rsidRPr="001C4484" w:rsidRDefault="00E82A60" w:rsidP="00300A01">
            <w:pPr>
              <w:spacing w:before="0" w:after="0"/>
              <w:jc w:val="right"/>
              <w:rPr>
                <w:sz w:val="10"/>
                <w:szCs w:val="10"/>
              </w:rPr>
            </w:pPr>
            <w:r w:rsidRPr="001C4484">
              <w:rPr>
                <w:noProof/>
                <w:sz w:val="10"/>
                <w:szCs w:val="10"/>
              </w:rPr>
              <w:t>301,00</w:t>
            </w:r>
          </w:p>
        </w:tc>
        <w:tc>
          <w:tcPr>
            <w:tcW w:w="0" w:type="auto"/>
            <w:shd w:val="clear" w:color="auto" w:fill="auto"/>
          </w:tcPr>
          <w:p w14:paraId="6B795192" w14:textId="77777777" w:rsidR="008C5CFA" w:rsidRPr="001C4484" w:rsidRDefault="00E82A60" w:rsidP="00300A01">
            <w:pPr>
              <w:spacing w:before="0" w:after="0"/>
              <w:jc w:val="right"/>
              <w:rPr>
                <w:sz w:val="10"/>
                <w:szCs w:val="10"/>
                <w:lang w:val="fr-BE"/>
              </w:rPr>
            </w:pPr>
            <w:r w:rsidRPr="001C4484">
              <w:rPr>
                <w:noProof/>
                <w:sz w:val="10"/>
                <w:szCs w:val="10"/>
              </w:rPr>
              <w:t>575,00</w:t>
            </w:r>
          </w:p>
        </w:tc>
      </w:tr>
      <w:tr w:rsidR="006B2EC1" w14:paraId="5A5A2B11" w14:textId="77777777" w:rsidTr="0047688D">
        <w:tc>
          <w:tcPr>
            <w:tcW w:w="0" w:type="auto"/>
            <w:shd w:val="clear" w:color="auto" w:fill="auto"/>
          </w:tcPr>
          <w:p w14:paraId="03AEAF73" w14:textId="77777777" w:rsidR="008C5CFA" w:rsidRPr="001C4484" w:rsidRDefault="00E82A60" w:rsidP="00300A01">
            <w:pPr>
              <w:spacing w:before="0" w:after="0"/>
              <w:rPr>
                <w:sz w:val="10"/>
                <w:szCs w:val="10"/>
                <w:lang w:val="fr-BE"/>
              </w:rPr>
            </w:pPr>
            <w:r w:rsidRPr="001C4484">
              <w:rPr>
                <w:noProof/>
                <w:sz w:val="10"/>
                <w:szCs w:val="10"/>
                <w:lang w:val="fr-BE"/>
              </w:rPr>
              <w:t>CO20</w:t>
            </w:r>
          </w:p>
        </w:tc>
        <w:tc>
          <w:tcPr>
            <w:tcW w:w="0" w:type="auto"/>
            <w:shd w:val="clear" w:color="auto" w:fill="auto"/>
          </w:tcPr>
          <w:p w14:paraId="5F8D6FE5" w14:textId="77777777" w:rsidR="008C5CFA" w:rsidRPr="001C4484" w:rsidRDefault="00E82A60" w:rsidP="00300A01">
            <w:pPr>
              <w:spacing w:before="0" w:after="0"/>
              <w:rPr>
                <w:sz w:val="10"/>
                <w:szCs w:val="10"/>
                <w:lang w:val="fr-BE"/>
              </w:rPr>
            </w:pPr>
            <w:r w:rsidRPr="001C4484">
              <w:rPr>
                <w:noProof/>
                <w:sz w:val="10"/>
                <w:szCs w:val="10"/>
                <w:lang w:val="fr-BE"/>
              </w:rPr>
              <w:t>liczba projektów zrealizowanych w pełni lub częściowo przez partnerów społecznych lub organizacje pozarządowe</w:t>
            </w:r>
          </w:p>
        </w:tc>
        <w:tc>
          <w:tcPr>
            <w:tcW w:w="0" w:type="auto"/>
            <w:shd w:val="clear" w:color="auto" w:fill="auto"/>
          </w:tcPr>
          <w:p w14:paraId="500A88F8"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3F3577B2" w14:textId="77777777" w:rsidR="008C5CFA" w:rsidRPr="001C4484" w:rsidRDefault="00E82A60" w:rsidP="00300A01">
            <w:pPr>
              <w:spacing w:before="0" w:after="0"/>
              <w:jc w:val="right"/>
              <w:rPr>
                <w:sz w:val="10"/>
                <w:szCs w:val="10"/>
              </w:rPr>
            </w:pPr>
            <w:r>
              <w:rPr>
                <w:noProof/>
                <w:sz w:val="10"/>
                <w:szCs w:val="10"/>
              </w:rPr>
              <w:t>1,00</w:t>
            </w:r>
          </w:p>
        </w:tc>
        <w:tc>
          <w:tcPr>
            <w:tcW w:w="0" w:type="auto"/>
            <w:shd w:val="clear" w:color="auto" w:fill="auto"/>
          </w:tcPr>
          <w:p w14:paraId="013DCD32" w14:textId="77777777" w:rsidR="008C5CFA" w:rsidRPr="001C4484" w:rsidRDefault="008C5CFA" w:rsidP="00300A01">
            <w:pPr>
              <w:spacing w:before="0" w:after="0"/>
              <w:jc w:val="right"/>
              <w:rPr>
                <w:sz w:val="10"/>
                <w:szCs w:val="10"/>
              </w:rPr>
            </w:pPr>
          </w:p>
        </w:tc>
        <w:tc>
          <w:tcPr>
            <w:tcW w:w="0" w:type="auto"/>
            <w:shd w:val="clear" w:color="auto" w:fill="auto"/>
          </w:tcPr>
          <w:p w14:paraId="3AF5AF5C" w14:textId="77777777" w:rsidR="008C5CFA" w:rsidRPr="001C4484" w:rsidRDefault="008C5CFA" w:rsidP="00300A01">
            <w:pPr>
              <w:spacing w:before="0" w:after="0"/>
              <w:jc w:val="right"/>
              <w:rPr>
                <w:sz w:val="10"/>
                <w:szCs w:val="10"/>
                <w:lang w:val="fr-BE"/>
              </w:rPr>
            </w:pPr>
          </w:p>
        </w:tc>
        <w:tc>
          <w:tcPr>
            <w:tcW w:w="0" w:type="auto"/>
          </w:tcPr>
          <w:p w14:paraId="7E553F1A" w14:textId="77777777" w:rsidR="008C5CFA" w:rsidRPr="001C4484" w:rsidRDefault="00E82A60" w:rsidP="00300A01">
            <w:pPr>
              <w:spacing w:before="0" w:after="0"/>
              <w:jc w:val="right"/>
              <w:rPr>
                <w:sz w:val="10"/>
                <w:szCs w:val="10"/>
              </w:rPr>
            </w:pPr>
            <w:r>
              <w:rPr>
                <w:noProof/>
                <w:sz w:val="10"/>
                <w:szCs w:val="10"/>
              </w:rPr>
              <w:t>10,00</w:t>
            </w:r>
          </w:p>
        </w:tc>
        <w:tc>
          <w:tcPr>
            <w:tcW w:w="0" w:type="auto"/>
            <w:shd w:val="clear" w:color="auto" w:fill="auto"/>
          </w:tcPr>
          <w:p w14:paraId="2762B638" w14:textId="77777777" w:rsidR="008C5CFA" w:rsidRPr="001C4484" w:rsidRDefault="008C5CFA" w:rsidP="00300A01">
            <w:pPr>
              <w:spacing w:before="0" w:after="0"/>
              <w:jc w:val="right"/>
              <w:rPr>
                <w:sz w:val="10"/>
                <w:szCs w:val="10"/>
              </w:rPr>
            </w:pPr>
          </w:p>
        </w:tc>
        <w:tc>
          <w:tcPr>
            <w:tcW w:w="0" w:type="auto"/>
            <w:shd w:val="clear" w:color="auto" w:fill="auto"/>
          </w:tcPr>
          <w:p w14:paraId="10F539DE" w14:textId="77777777" w:rsidR="008C5CFA" w:rsidRPr="001C4484" w:rsidRDefault="008C5CFA" w:rsidP="00300A01">
            <w:pPr>
              <w:spacing w:before="0" w:after="0"/>
              <w:jc w:val="right"/>
              <w:rPr>
                <w:sz w:val="10"/>
                <w:szCs w:val="10"/>
                <w:lang w:val="fr-BE"/>
              </w:rPr>
            </w:pPr>
          </w:p>
        </w:tc>
        <w:tc>
          <w:tcPr>
            <w:tcW w:w="0" w:type="auto"/>
          </w:tcPr>
          <w:p w14:paraId="2AB9C3FB" w14:textId="77777777" w:rsidR="008C5CFA" w:rsidRPr="001C4484" w:rsidRDefault="00E82A60" w:rsidP="00300A01">
            <w:pPr>
              <w:spacing w:before="0" w:after="0"/>
              <w:jc w:val="right"/>
              <w:rPr>
                <w:sz w:val="10"/>
                <w:szCs w:val="10"/>
              </w:rPr>
            </w:pPr>
            <w:r>
              <w:rPr>
                <w:noProof/>
                <w:sz w:val="10"/>
                <w:szCs w:val="10"/>
              </w:rPr>
              <w:t>8,00</w:t>
            </w:r>
          </w:p>
        </w:tc>
        <w:tc>
          <w:tcPr>
            <w:tcW w:w="0" w:type="auto"/>
            <w:shd w:val="clear" w:color="auto" w:fill="auto"/>
          </w:tcPr>
          <w:p w14:paraId="33A02EDB" w14:textId="77777777" w:rsidR="008C5CFA" w:rsidRPr="001C4484" w:rsidRDefault="008C5CFA" w:rsidP="00300A01">
            <w:pPr>
              <w:spacing w:before="0" w:after="0"/>
              <w:jc w:val="right"/>
              <w:rPr>
                <w:sz w:val="10"/>
                <w:szCs w:val="10"/>
              </w:rPr>
            </w:pPr>
          </w:p>
        </w:tc>
        <w:tc>
          <w:tcPr>
            <w:tcW w:w="0" w:type="auto"/>
            <w:shd w:val="clear" w:color="auto" w:fill="auto"/>
          </w:tcPr>
          <w:p w14:paraId="233243A7" w14:textId="77777777" w:rsidR="008C5CFA" w:rsidRPr="001C4484" w:rsidRDefault="008C5CFA" w:rsidP="00300A01">
            <w:pPr>
              <w:spacing w:before="0" w:after="0"/>
              <w:jc w:val="right"/>
              <w:rPr>
                <w:sz w:val="10"/>
                <w:szCs w:val="10"/>
                <w:lang w:val="fr-BE"/>
              </w:rPr>
            </w:pPr>
          </w:p>
        </w:tc>
      </w:tr>
      <w:tr w:rsidR="006B2EC1" w14:paraId="6B703ABA" w14:textId="77777777" w:rsidTr="0047688D">
        <w:tc>
          <w:tcPr>
            <w:tcW w:w="0" w:type="auto"/>
            <w:shd w:val="clear" w:color="auto" w:fill="auto"/>
          </w:tcPr>
          <w:p w14:paraId="50331D5E" w14:textId="77777777" w:rsidR="008C5CFA" w:rsidRPr="001C4484" w:rsidRDefault="00E82A60" w:rsidP="00300A01">
            <w:pPr>
              <w:spacing w:before="0" w:after="0"/>
              <w:rPr>
                <w:sz w:val="10"/>
                <w:szCs w:val="10"/>
                <w:lang w:val="fr-BE"/>
              </w:rPr>
            </w:pPr>
            <w:r w:rsidRPr="001C4484">
              <w:rPr>
                <w:noProof/>
                <w:sz w:val="10"/>
                <w:szCs w:val="10"/>
                <w:lang w:val="fr-BE"/>
              </w:rPr>
              <w:t>CO21</w:t>
            </w:r>
          </w:p>
        </w:tc>
        <w:tc>
          <w:tcPr>
            <w:tcW w:w="0" w:type="auto"/>
            <w:shd w:val="clear" w:color="auto" w:fill="auto"/>
          </w:tcPr>
          <w:p w14:paraId="53FA7218" w14:textId="77777777" w:rsidR="008C5CFA" w:rsidRPr="001C4484" w:rsidRDefault="00E82A60" w:rsidP="00300A01">
            <w:pPr>
              <w:spacing w:before="0" w:after="0"/>
              <w:rPr>
                <w:sz w:val="10"/>
                <w:szCs w:val="10"/>
                <w:lang w:val="fr-BE"/>
              </w:rPr>
            </w:pPr>
            <w:r w:rsidRPr="001C4484">
              <w:rPr>
                <w:noProof/>
                <w:sz w:val="10"/>
                <w:szCs w:val="10"/>
                <w:lang w:val="fr-BE"/>
              </w:rPr>
              <w:t>liczba projektów ukierunkowanych na trwały udział kobiet w zatrudnieniu i rozwój ich kariery zawodowej</w:t>
            </w:r>
          </w:p>
        </w:tc>
        <w:tc>
          <w:tcPr>
            <w:tcW w:w="0" w:type="auto"/>
            <w:shd w:val="clear" w:color="auto" w:fill="auto"/>
          </w:tcPr>
          <w:p w14:paraId="49F7DF7B"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45454694"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0DB16DE4" w14:textId="77777777" w:rsidR="008C5CFA" w:rsidRPr="001C4484" w:rsidRDefault="008C5CFA" w:rsidP="00300A01">
            <w:pPr>
              <w:spacing w:before="0" w:after="0"/>
              <w:jc w:val="right"/>
              <w:rPr>
                <w:sz w:val="10"/>
                <w:szCs w:val="10"/>
              </w:rPr>
            </w:pPr>
          </w:p>
        </w:tc>
        <w:tc>
          <w:tcPr>
            <w:tcW w:w="0" w:type="auto"/>
            <w:shd w:val="clear" w:color="auto" w:fill="auto"/>
          </w:tcPr>
          <w:p w14:paraId="6AD17A4C" w14:textId="77777777" w:rsidR="008C5CFA" w:rsidRPr="001C4484" w:rsidRDefault="008C5CFA" w:rsidP="00300A01">
            <w:pPr>
              <w:spacing w:before="0" w:after="0"/>
              <w:jc w:val="right"/>
              <w:rPr>
                <w:sz w:val="10"/>
                <w:szCs w:val="10"/>
                <w:lang w:val="fr-BE"/>
              </w:rPr>
            </w:pPr>
          </w:p>
        </w:tc>
        <w:tc>
          <w:tcPr>
            <w:tcW w:w="0" w:type="auto"/>
          </w:tcPr>
          <w:p w14:paraId="014DB7D7"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1D925AE5" w14:textId="77777777" w:rsidR="008C5CFA" w:rsidRPr="001C4484" w:rsidRDefault="008C5CFA" w:rsidP="00300A01">
            <w:pPr>
              <w:spacing w:before="0" w:after="0"/>
              <w:jc w:val="right"/>
              <w:rPr>
                <w:sz w:val="10"/>
                <w:szCs w:val="10"/>
              </w:rPr>
            </w:pPr>
          </w:p>
        </w:tc>
        <w:tc>
          <w:tcPr>
            <w:tcW w:w="0" w:type="auto"/>
            <w:shd w:val="clear" w:color="auto" w:fill="auto"/>
          </w:tcPr>
          <w:p w14:paraId="12B5C7FB" w14:textId="77777777" w:rsidR="008C5CFA" w:rsidRPr="001C4484" w:rsidRDefault="008C5CFA" w:rsidP="00300A01">
            <w:pPr>
              <w:spacing w:before="0" w:after="0"/>
              <w:jc w:val="right"/>
              <w:rPr>
                <w:sz w:val="10"/>
                <w:szCs w:val="10"/>
                <w:lang w:val="fr-BE"/>
              </w:rPr>
            </w:pPr>
          </w:p>
        </w:tc>
        <w:tc>
          <w:tcPr>
            <w:tcW w:w="0" w:type="auto"/>
          </w:tcPr>
          <w:p w14:paraId="62C59D6B"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52350107" w14:textId="77777777" w:rsidR="008C5CFA" w:rsidRPr="001C4484" w:rsidRDefault="008C5CFA" w:rsidP="00300A01">
            <w:pPr>
              <w:spacing w:before="0" w:after="0"/>
              <w:jc w:val="right"/>
              <w:rPr>
                <w:sz w:val="10"/>
                <w:szCs w:val="10"/>
              </w:rPr>
            </w:pPr>
          </w:p>
        </w:tc>
        <w:tc>
          <w:tcPr>
            <w:tcW w:w="0" w:type="auto"/>
            <w:shd w:val="clear" w:color="auto" w:fill="auto"/>
          </w:tcPr>
          <w:p w14:paraId="567541F5" w14:textId="77777777" w:rsidR="008C5CFA" w:rsidRPr="001C4484" w:rsidRDefault="008C5CFA" w:rsidP="00300A01">
            <w:pPr>
              <w:spacing w:before="0" w:after="0"/>
              <w:jc w:val="right"/>
              <w:rPr>
                <w:sz w:val="10"/>
                <w:szCs w:val="10"/>
                <w:lang w:val="fr-BE"/>
              </w:rPr>
            </w:pPr>
          </w:p>
        </w:tc>
      </w:tr>
      <w:tr w:rsidR="006B2EC1" w14:paraId="32AF5728" w14:textId="77777777" w:rsidTr="0047688D">
        <w:tc>
          <w:tcPr>
            <w:tcW w:w="0" w:type="auto"/>
            <w:shd w:val="clear" w:color="auto" w:fill="auto"/>
          </w:tcPr>
          <w:p w14:paraId="4B89F2E5" w14:textId="77777777" w:rsidR="008C5CFA" w:rsidRPr="001C4484" w:rsidRDefault="00E82A60" w:rsidP="00300A01">
            <w:pPr>
              <w:spacing w:before="0" w:after="0"/>
              <w:rPr>
                <w:sz w:val="10"/>
                <w:szCs w:val="10"/>
                <w:lang w:val="fr-BE"/>
              </w:rPr>
            </w:pPr>
            <w:r w:rsidRPr="001C4484">
              <w:rPr>
                <w:noProof/>
                <w:sz w:val="10"/>
                <w:szCs w:val="10"/>
                <w:lang w:val="fr-BE"/>
              </w:rPr>
              <w:t>CO22</w:t>
            </w:r>
          </w:p>
        </w:tc>
        <w:tc>
          <w:tcPr>
            <w:tcW w:w="0" w:type="auto"/>
            <w:shd w:val="clear" w:color="auto" w:fill="auto"/>
          </w:tcPr>
          <w:p w14:paraId="063828D1" w14:textId="77777777" w:rsidR="008C5CFA" w:rsidRPr="001C4484" w:rsidRDefault="00E82A60" w:rsidP="00300A01">
            <w:pPr>
              <w:spacing w:before="0" w:after="0"/>
              <w:rPr>
                <w:sz w:val="10"/>
                <w:szCs w:val="10"/>
                <w:lang w:val="fr-BE"/>
              </w:rPr>
            </w:pPr>
            <w:r w:rsidRPr="001C4484">
              <w:rPr>
                <w:noProof/>
                <w:sz w:val="10"/>
                <w:szCs w:val="10"/>
                <w:lang w:val="fr-BE"/>
              </w:rPr>
              <w:t>liczba projektów obejmujących administrację publiczną lub służby publiczne na szczeblu krajowym, regionalnym lub lokalnym</w:t>
            </w:r>
          </w:p>
        </w:tc>
        <w:tc>
          <w:tcPr>
            <w:tcW w:w="0" w:type="auto"/>
            <w:shd w:val="clear" w:color="auto" w:fill="auto"/>
          </w:tcPr>
          <w:p w14:paraId="33828370"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30F92B4B" w14:textId="77777777" w:rsidR="008C5CFA" w:rsidRPr="001C4484" w:rsidRDefault="00E82A60" w:rsidP="00300A01">
            <w:pPr>
              <w:spacing w:before="0" w:after="0"/>
              <w:jc w:val="right"/>
              <w:rPr>
                <w:sz w:val="10"/>
                <w:szCs w:val="10"/>
              </w:rPr>
            </w:pPr>
            <w:r>
              <w:rPr>
                <w:noProof/>
                <w:sz w:val="10"/>
                <w:szCs w:val="10"/>
              </w:rPr>
              <w:t>2,00</w:t>
            </w:r>
          </w:p>
        </w:tc>
        <w:tc>
          <w:tcPr>
            <w:tcW w:w="0" w:type="auto"/>
            <w:shd w:val="clear" w:color="auto" w:fill="auto"/>
          </w:tcPr>
          <w:p w14:paraId="61FE9A49" w14:textId="77777777" w:rsidR="008C5CFA" w:rsidRPr="001C4484" w:rsidRDefault="008C5CFA" w:rsidP="00300A01">
            <w:pPr>
              <w:spacing w:before="0" w:after="0"/>
              <w:jc w:val="right"/>
              <w:rPr>
                <w:sz w:val="10"/>
                <w:szCs w:val="10"/>
              </w:rPr>
            </w:pPr>
          </w:p>
        </w:tc>
        <w:tc>
          <w:tcPr>
            <w:tcW w:w="0" w:type="auto"/>
            <w:shd w:val="clear" w:color="auto" w:fill="auto"/>
          </w:tcPr>
          <w:p w14:paraId="7F71CBA4" w14:textId="77777777" w:rsidR="008C5CFA" w:rsidRPr="001C4484" w:rsidRDefault="008C5CFA" w:rsidP="00300A01">
            <w:pPr>
              <w:spacing w:before="0" w:after="0"/>
              <w:jc w:val="right"/>
              <w:rPr>
                <w:sz w:val="10"/>
                <w:szCs w:val="10"/>
                <w:lang w:val="fr-BE"/>
              </w:rPr>
            </w:pPr>
          </w:p>
        </w:tc>
        <w:tc>
          <w:tcPr>
            <w:tcW w:w="0" w:type="auto"/>
          </w:tcPr>
          <w:p w14:paraId="4B9E4CB6" w14:textId="77777777" w:rsidR="008C5CFA" w:rsidRPr="001C4484" w:rsidRDefault="00E82A60" w:rsidP="00300A01">
            <w:pPr>
              <w:spacing w:before="0" w:after="0"/>
              <w:jc w:val="right"/>
              <w:rPr>
                <w:sz w:val="10"/>
                <w:szCs w:val="10"/>
              </w:rPr>
            </w:pPr>
            <w:r>
              <w:rPr>
                <w:noProof/>
                <w:sz w:val="10"/>
                <w:szCs w:val="10"/>
              </w:rPr>
              <w:t>5,00</w:t>
            </w:r>
          </w:p>
        </w:tc>
        <w:tc>
          <w:tcPr>
            <w:tcW w:w="0" w:type="auto"/>
            <w:shd w:val="clear" w:color="auto" w:fill="auto"/>
          </w:tcPr>
          <w:p w14:paraId="12F1BEF5" w14:textId="77777777" w:rsidR="008C5CFA" w:rsidRPr="001C4484" w:rsidRDefault="008C5CFA" w:rsidP="00300A01">
            <w:pPr>
              <w:spacing w:before="0" w:after="0"/>
              <w:jc w:val="right"/>
              <w:rPr>
                <w:sz w:val="10"/>
                <w:szCs w:val="10"/>
              </w:rPr>
            </w:pPr>
          </w:p>
        </w:tc>
        <w:tc>
          <w:tcPr>
            <w:tcW w:w="0" w:type="auto"/>
            <w:shd w:val="clear" w:color="auto" w:fill="auto"/>
          </w:tcPr>
          <w:p w14:paraId="5F377280" w14:textId="77777777" w:rsidR="008C5CFA" w:rsidRPr="001C4484" w:rsidRDefault="008C5CFA" w:rsidP="00300A01">
            <w:pPr>
              <w:spacing w:before="0" w:after="0"/>
              <w:jc w:val="right"/>
              <w:rPr>
                <w:sz w:val="10"/>
                <w:szCs w:val="10"/>
                <w:lang w:val="fr-BE"/>
              </w:rPr>
            </w:pPr>
          </w:p>
        </w:tc>
        <w:tc>
          <w:tcPr>
            <w:tcW w:w="0" w:type="auto"/>
          </w:tcPr>
          <w:p w14:paraId="6D308CDC" w14:textId="77777777" w:rsidR="008C5CFA" w:rsidRPr="001C4484" w:rsidRDefault="00E82A60" w:rsidP="00300A01">
            <w:pPr>
              <w:spacing w:before="0" w:after="0"/>
              <w:jc w:val="right"/>
              <w:rPr>
                <w:sz w:val="10"/>
                <w:szCs w:val="10"/>
              </w:rPr>
            </w:pPr>
            <w:r>
              <w:rPr>
                <w:noProof/>
                <w:sz w:val="10"/>
                <w:szCs w:val="10"/>
              </w:rPr>
              <w:t>2,00</w:t>
            </w:r>
          </w:p>
        </w:tc>
        <w:tc>
          <w:tcPr>
            <w:tcW w:w="0" w:type="auto"/>
            <w:shd w:val="clear" w:color="auto" w:fill="auto"/>
          </w:tcPr>
          <w:p w14:paraId="7A98D77E" w14:textId="77777777" w:rsidR="008C5CFA" w:rsidRPr="001C4484" w:rsidRDefault="008C5CFA" w:rsidP="00300A01">
            <w:pPr>
              <w:spacing w:before="0" w:after="0"/>
              <w:jc w:val="right"/>
              <w:rPr>
                <w:sz w:val="10"/>
                <w:szCs w:val="10"/>
              </w:rPr>
            </w:pPr>
          </w:p>
        </w:tc>
        <w:tc>
          <w:tcPr>
            <w:tcW w:w="0" w:type="auto"/>
            <w:shd w:val="clear" w:color="auto" w:fill="auto"/>
          </w:tcPr>
          <w:p w14:paraId="548FFB7A" w14:textId="77777777" w:rsidR="008C5CFA" w:rsidRPr="001C4484" w:rsidRDefault="008C5CFA" w:rsidP="00300A01">
            <w:pPr>
              <w:spacing w:before="0" w:after="0"/>
              <w:jc w:val="right"/>
              <w:rPr>
                <w:sz w:val="10"/>
                <w:szCs w:val="10"/>
                <w:lang w:val="fr-BE"/>
              </w:rPr>
            </w:pPr>
          </w:p>
        </w:tc>
      </w:tr>
      <w:tr w:rsidR="006B2EC1" w14:paraId="5782503B" w14:textId="77777777" w:rsidTr="0047688D">
        <w:tc>
          <w:tcPr>
            <w:tcW w:w="0" w:type="auto"/>
            <w:shd w:val="clear" w:color="auto" w:fill="auto"/>
          </w:tcPr>
          <w:p w14:paraId="0BAF5939" w14:textId="77777777" w:rsidR="008C5CFA" w:rsidRPr="001C4484" w:rsidRDefault="00E82A60" w:rsidP="00300A01">
            <w:pPr>
              <w:spacing w:before="0" w:after="0"/>
              <w:rPr>
                <w:sz w:val="10"/>
                <w:szCs w:val="10"/>
                <w:lang w:val="fr-BE"/>
              </w:rPr>
            </w:pPr>
            <w:r w:rsidRPr="001C4484">
              <w:rPr>
                <w:noProof/>
                <w:sz w:val="10"/>
                <w:szCs w:val="10"/>
                <w:lang w:val="fr-BE"/>
              </w:rPr>
              <w:t>CO23</w:t>
            </w:r>
          </w:p>
        </w:tc>
        <w:tc>
          <w:tcPr>
            <w:tcW w:w="0" w:type="auto"/>
            <w:shd w:val="clear" w:color="auto" w:fill="auto"/>
          </w:tcPr>
          <w:p w14:paraId="60FEA251" w14:textId="77777777" w:rsidR="008C5CFA" w:rsidRPr="001C4484" w:rsidRDefault="00E82A60" w:rsidP="00300A01">
            <w:pPr>
              <w:spacing w:before="0" w:after="0"/>
              <w:rPr>
                <w:sz w:val="10"/>
                <w:szCs w:val="10"/>
                <w:lang w:val="fr-BE"/>
              </w:rPr>
            </w:pPr>
            <w:r w:rsidRPr="001C4484">
              <w:rPr>
                <w:noProof/>
                <w:sz w:val="10"/>
                <w:szCs w:val="10"/>
                <w:lang w:val="fr-BE"/>
              </w:rPr>
              <w:t>liczba objętych wsparciem mikro-, małych i średnich przedsiębiorstw (w tym przedsiębiorstw spółdzielczych i przedsiębiorstw gospodarki społecznej)</w:t>
            </w:r>
          </w:p>
        </w:tc>
        <w:tc>
          <w:tcPr>
            <w:tcW w:w="0" w:type="auto"/>
            <w:shd w:val="clear" w:color="auto" w:fill="auto"/>
          </w:tcPr>
          <w:p w14:paraId="23A5E9A0"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2F005DB1" w14:textId="77777777" w:rsidR="008C5CFA" w:rsidRPr="001C4484" w:rsidRDefault="00E82A60" w:rsidP="00300A01">
            <w:pPr>
              <w:spacing w:before="0" w:after="0"/>
              <w:jc w:val="right"/>
              <w:rPr>
                <w:sz w:val="10"/>
                <w:szCs w:val="10"/>
              </w:rPr>
            </w:pPr>
            <w:r>
              <w:rPr>
                <w:noProof/>
                <w:sz w:val="10"/>
                <w:szCs w:val="10"/>
              </w:rPr>
              <w:t>1,00</w:t>
            </w:r>
          </w:p>
        </w:tc>
        <w:tc>
          <w:tcPr>
            <w:tcW w:w="0" w:type="auto"/>
            <w:shd w:val="clear" w:color="auto" w:fill="auto"/>
          </w:tcPr>
          <w:p w14:paraId="3C171C7A" w14:textId="77777777" w:rsidR="008C5CFA" w:rsidRPr="001C4484" w:rsidRDefault="008C5CFA" w:rsidP="00300A01">
            <w:pPr>
              <w:spacing w:before="0" w:after="0"/>
              <w:jc w:val="right"/>
              <w:rPr>
                <w:sz w:val="10"/>
                <w:szCs w:val="10"/>
              </w:rPr>
            </w:pPr>
          </w:p>
        </w:tc>
        <w:tc>
          <w:tcPr>
            <w:tcW w:w="0" w:type="auto"/>
            <w:shd w:val="clear" w:color="auto" w:fill="auto"/>
          </w:tcPr>
          <w:p w14:paraId="5DAC519B" w14:textId="77777777" w:rsidR="008C5CFA" w:rsidRPr="001C4484" w:rsidRDefault="008C5CFA" w:rsidP="00300A01">
            <w:pPr>
              <w:spacing w:before="0" w:after="0"/>
              <w:jc w:val="right"/>
              <w:rPr>
                <w:sz w:val="10"/>
                <w:szCs w:val="10"/>
                <w:lang w:val="fr-BE"/>
              </w:rPr>
            </w:pPr>
          </w:p>
        </w:tc>
        <w:tc>
          <w:tcPr>
            <w:tcW w:w="0" w:type="auto"/>
          </w:tcPr>
          <w:p w14:paraId="36C3869E"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0610370A" w14:textId="77777777" w:rsidR="008C5CFA" w:rsidRPr="001C4484" w:rsidRDefault="008C5CFA" w:rsidP="00300A01">
            <w:pPr>
              <w:spacing w:before="0" w:after="0"/>
              <w:jc w:val="right"/>
              <w:rPr>
                <w:sz w:val="10"/>
                <w:szCs w:val="10"/>
              </w:rPr>
            </w:pPr>
          </w:p>
        </w:tc>
        <w:tc>
          <w:tcPr>
            <w:tcW w:w="0" w:type="auto"/>
            <w:shd w:val="clear" w:color="auto" w:fill="auto"/>
          </w:tcPr>
          <w:p w14:paraId="371C33BB" w14:textId="77777777" w:rsidR="008C5CFA" w:rsidRPr="001C4484" w:rsidRDefault="008C5CFA" w:rsidP="00300A01">
            <w:pPr>
              <w:spacing w:before="0" w:after="0"/>
              <w:jc w:val="right"/>
              <w:rPr>
                <w:sz w:val="10"/>
                <w:szCs w:val="10"/>
                <w:lang w:val="fr-BE"/>
              </w:rPr>
            </w:pPr>
          </w:p>
        </w:tc>
        <w:tc>
          <w:tcPr>
            <w:tcW w:w="0" w:type="auto"/>
          </w:tcPr>
          <w:p w14:paraId="4FF95025"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2A8472A9" w14:textId="77777777" w:rsidR="008C5CFA" w:rsidRPr="001C4484" w:rsidRDefault="008C5CFA" w:rsidP="00300A01">
            <w:pPr>
              <w:spacing w:before="0" w:after="0"/>
              <w:jc w:val="right"/>
              <w:rPr>
                <w:sz w:val="10"/>
                <w:szCs w:val="10"/>
              </w:rPr>
            </w:pPr>
          </w:p>
        </w:tc>
        <w:tc>
          <w:tcPr>
            <w:tcW w:w="0" w:type="auto"/>
            <w:shd w:val="clear" w:color="auto" w:fill="auto"/>
          </w:tcPr>
          <w:p w14:paraId="362F815B" w14:textId="77777777" w:rsidR="008C5CFA" w:rsidRPr="001C4484" w:rsidRDefault="008C5CFA" w:rsidP="00300A01">
            <w:pPr>
              <w:spacing w:before="0" w:after="0"/>
              <w:jc w:val="right"/>
              <w:rPr>
                <w:sz w:val="10"/>
                <w:szCs w:val="10"/>
                <w:lang w:val="fr-BE"/>
              </w:rPr>
            </w:pPr>
          </w:p>
        </w:tc>
      </w:tr>
      <w:tr w:rsidR="006B2EC1" w14:paraId="2ADA7022" w14:textId="77777777" w:rsidTr="0047688D">
        <w:tc>
          <w:tcPr>
            <w:tcW w:w="0" w:type="auto"/>
            <w:shd w:val="clear" w:color="auto" w:fill="auto"/>
          </w:tcPr>
          <w:p w14:paraId="3D4CCEE9" w14:textId="77777777" w:rsidR="008C5CFA" w:rsidRPr="001C4484" w:rsidRDefault="008C5CFA" w:rsidP="00300A01">
            <w:pPr>
              <w:spacing w:before="0" w:after="0"/>
              <w:rPr>
                <w:sz w:val="10"/>
                <w:szCs w:val="10"/>
                <w:lang w:val="fr-BE"/>
              </w:rPr>
            </w:pPr>
          </w:p>
        </w:tc>
        <w:tc>
          <w:tcPr>
            <w:tcW w:w="0" w:type="auto"/>
            <w:shd w:val="clear" w:color="auto" w:fill="auto"/>
          </w:tcPr>
          <w:p w14:paraId="46AA9490" w14:textId="77777777" w:rsidR="008C5CFA" w:rsidRPr="001C4484" w:rsidRDefault="00E82A60" w:rsidP="00300A01">
            <w:pPr>
              <w:spacing w:before="0" w:after="0"/>
              <w:rPr>
                <w:sz w:val="10"/>
                <w:szCs w:val="10"/>
                <w:lang w:val="fr-BE"/>
              </w:rPr>
            </w:pPr>
            <w:r w:rsidRPr="001C4484">
              <w:rPr>
                <w:noProof/>
                <w:sz w:val="10"/>
                <w:szCs w:val="10"/>
                <w:lang w:val="fr-BE"/>
              </w:rPr>
              <w:t>Całkowita łączna liczba uczestników</w:t>
            </w:r>
          </w:p>
        </w:tc>
        <w:tc>
          <w:tcPr>
            <w:tcW w:w="0" w:type="auto"/>
            <w:shd w:val="clear" w:color="auto" w:fill="auto"/>
          </w:tcPr>
          <w:p w14:paraId="191242F0" w14:textId="77777777" w:rsidR="008C5CFA" w:rsidRPr="001C4484" w:rsidRDefault="008C5CFA" w:rsidP="00300A01">
            <w:pPr>
              <w:spacing w:before="0" w:after="0"/>
              <w:rPr>
                <w:sz w:val="10"/>
                <w:szCs w:val="10"/>
                <w:lang w:val="fr-BE"/>
              </w:rPr>
            </w:pPr>
          </w:p>
        </w:tc>
        <w:tc>
          <w:tcPr>
            <w:tcW w:w="0" w:type="auto"/>
          </w:tcPr>
          <w:p w14:paraId="6C9EB6DE" w14:textId="77777777" w:rsidR="008C5CFA" w:rsidRPr="001C4484" w:rsidRDefault="00E82A60" w:rsidP="00300A01">
            <w:pPr>
              <w:spacing w:before="0" w:after="0"/>
              <w:jc w:val="right"/>
              <w:rPr>
                <w:sz w:val="10"/>
                <w:szCs w:val="10"/>
              </w:rPr>
            </w:pPr>
            <w:r>
              <w:rPr>
                <w:noProof/>
                <w:sz w:val="10"/>
                <w:szCs w:val="10"/>
              </w:rPr>
              <w:t>4 335,00</w:t>
            </w:r>
          </w:p>
        </w:tc>
        <w:tc>
          <w:tcPr>
            <w:tcW w:w="0" w:type="auto"/>
            <w:shd w:val="clear" w:color="auto" w:fill="auto"/>
          </w:tcPr>
          <w:p w14:paraId="1FDA6001" w14:textId="77777777" w:rsidR="008C5CFA" w:rsidRPr="001C4484" w:rsidRDefault="008C5CFA" w:rsidP="00300A01">
            <w:pPr>
              <w:spacing w:before="0" w:after="0"/>
              <w:jc w:val="right"/>
              <w:rPr>
                <w:sz w:val="10"/>
                <w:szCs w:val="10"/>
              </w:rPr>
            </w:pPr>
          </w:p>
        </w:tc>
        <w:tc>
          <w:tcPr>
            <w:tcW w:w="0" w:type="auto"/>
            <w:shd w:val="clear" w:color="auto" w:fill="auto"/>
          </w:tcPr>
          <w:p w14:paraId="17A1DBDC" w14:textId="77777777" w:rsidR="008C5CFA" w:rsidRPr="001C4484" w:rsidRDefault="008C5CFA" w:rsidP="00300A01">
            <w:pPr>
              <w:spacing w:before="0" w:after="0"/>
              <w:jc w:val="right"/>
              <w:rPr>
                <w:sz w:val="10"/>
                <w:szCs w:val="10"/>
                <w:lang w:val="fr-BE"/>
              </w:rPr>
            </w:pPr>
          </w:p>
        </w:tc>
        <w:tc>
          <w:tcPr>
            <w:tcW w:w="0" w:type="auto"/>
          </w:tcPr>
          <w:p w14:paraId="377C4410" w14:textId="77777777" w:rsidR="008C5CFA" w:rsidRPr="001C4484" w:rsidRDefault="00E82A60" w:rsidP="00300A01">
            <w:pPr>
              <w:spacing w:before="0" w:after="0"/>
              <w:jc w:val="right"/>
              <w:rPr>
                <w:sz w:val="10"/>
                <w:szCs w:val="10"/>
              </w:rPr>
            </w:pPr>
            <w:r>
              <w:rPr>
                <w:noProof/>
                <w:sz w:val="10"/>
                <w:szCs w:val="10"/>
              </w:rPr>
              <w:t>3 972,00</w:t>
            </w:r>
          </w:p>
        </w:tc>
        <w:tc>
          <w:tcPr>
            <w:tcW w:w="0" w:type="auto"/>
            <w:shd w:val="clear" w:color="auto" w:fill="auto"/>
          </w:tcPr>
          <w:p w14:paraId="354BFC0B" w14:textId="77777777" w:rsidR="008C5CFA" w:rsidRPr="001C4484" w:rsidRDefault="008C5CFA" w:rsidP="00300A01">
            <w:pPr>
              <w:spacing w:before="0" w:after="0"/>
              <w:jc w:val="right"/>
              <w:rPr>
                <w:sz w:val="10"/>
                <w:szCs w:val="10"/>
              </w:rPr>
            </w:pPr>
          </w:p>
        </w:tc>
        <w:tc>
          <w:tcPr>
            <w:tcW w:w="0" w:type="auto"/>
            <w:shd w:val="clear" w:color="auto" w:fill="auto"/>
          </w:tcPr>
          <w:p w14:paraId="3F1110DB" w14:textId="77777777" w:rsidR="008C5CFA" w:rsidRPr="001C4484" w:rsidRDefault="008C5CFA" w:rsidP="00300A01">
            <w:pPr>
              <w:spacing w:before="0" w:after="0"/>
              <w:jc w:val="right"/>
              <w:rPr>
                <w:sz w:val="10"/>
                <w:szCs w:val="10"/>
                <w:lang w:val="fr-BE"/>
              </w:rPr>
            </w:pPr>
          </w:p>
        </w:tc>
        <w:tc>
          <w:tcPr>
            <w:tcW w:w="0" w:type="auto"/>
          </w:tcPr>
          <w:p w14:paraId="0CC079C1" w14:textId="77777777" w:rsidR="008C5CFA" w:rsidRPr="001C4484" w:rsidRDefault="00E82A60" w:rsidP="00300A01">
            <w:pPr>
              <w:spacing w:before="0" w:after="0"/>
              <w:jc w:val="right"/>
              <w:rPr>
                <w:sz w:val="10"/>
                <w:szCs w:val="10"/>
              </w:rPr>
            </w:pPr>
            <w:r>
              <w:rPr>
                <w:noProof/>
                <w:sz w:val="10"/>
                <w:szCs w:val="10"/>
              </w:rPr>
              <w:t>1 863,00</w:t>
            </w:r>
          </w:p>
        </w:tc>
        <w:tc>
          <w:tcPr>
            <w:tcW w:w="0" w:type="auto"/>
            <w:shd w:val="clear" w:color="auto" w:fill="auto"/>
          </w:tcPr>
          <w:p w14:paraId="4F0B8C92" w14:textId="77777777" w:rsidR="008C5CFA" w:rsidRPr="001C4484" w:rsidRDefault="008C5CFA" w:rsidP="00300A01">
            <w:pPr>
              <w:spacing w:before="0" w:after="0"/>
              <w:jc w:val="right"/>
              <w:rPr>
                <w:sz w:val="10"/>
                <w:szCs w:val="10"/>
              </w:rPr>
            </w:pPr>
          </w:p>
        </w:tc>
        <w:tc>
          <w:tcPr>
            <w:tcW w:w="0" w:type="auto"/>
            <w:shd w:val="clear" w:color="auto" w:fill="auto"/>
          </w:tcPr>
          <w:p w14:paraId="091CA45E" w14:textId="77777777" w:rsidR="008C5CFA" w:rsidRPr="001C4484" w:rsidRDefault="008C5CFA" w:rsidP="00300A01">
            <w:pPr>
              <w:spacing w:before="0" w:after="0"/>
              <w:jc w:val="right"/>
              <w:rPr>
                <w:sz w:val="10"/>
                <w:szCs w:val="10"/>
                <w:lang w:val="fr-BE"/>
              </w:rPr>
            </w:pPr>
          </w:p>
        </w:tc>
      </w:tr>
    </w:tbl>
    <w:p w14:paraId="190C94DB"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514"/>
        <w:gridCol w:w="8970"/>
        <w:gridCol w:w="1534"/>
        <w:gridCol w:w="638"/>
        <w:gridCol w:w="807"/>
        <w:gridCol w:w="638"/>
        <w:gridCol w:w="638"/>
        <w:gridCol w:w="807"/>
        <w:gridCol w:w="638"/>
      </w:tblGrid>
      <w:tr w:rsidR="006B2EC1" w14:paraId="1CDE138A" w14:textId="77777777" w:rsidTr="0047688D">
        <w:tc>
          <w:tcPr>
            <w:tcW w:w="0" w:type="auto"/>
            <w:shd w:val="clear" w:color="auto" w:fill="auto"/>
          </w:tcPr>
          <w:p w14:paraId="12B75A7F" w14:textId="77777777" w:rsidR="008C5CFA" w:rsidRPr="001C4484" w:rsidRDefault="00E82A60" w:rsidP="00300A01">
            <w:pPr>
              <w:spacing w:before="0" w:after="0"/>
              <w:rPr>
                <w:sz w:val="10"/>
                <w:szCs w:val="10"/>
              </w:rPr>
            </w:pPr>
            <w:r w:rsidRPr="001C4484">
              <w:rPr>
                <w:b/>
                <w:noProof/>
                <w:sz w:val="12"/>
                <w:szCs w:val="12"/>
                <w:lang w:val="fr-BE"/>
              </w:rPr>
              <w:t>ID</w:t>
            </w:r>
          </w:p>
        </w:tc>
        <w:tc>
          <w:tcPr>
            <w:tcW w:w="0" w:type="auto"/>
            <w:shd w:val="clear" w:color="auto" w:fill="auto"/>
          </w:tcPr>
          <w:p w14:paraId="1F1771D0" w14:textId="77777777" w:rsidR="008C5CFA" w:rsidRPr="001C4484" w:rsidRDefault="00E82A60" w:rsidP="00300A01">
            <w:pPr>
              <w:spacing w:before="0" w:after="0"/>
              <w:rPr>
                <w:sz w:val="10"/>
                <w:szCs w:val="10"/>
              </w:rPr>
            </w:pPr>
            <w:r w:rsidRPr="001C4484">
              <w:rPr>
                <w:b/>
                <w:noProof/>
                <w:sz w:val="12"/>
                <w:szCs w:val="12"/>
                <w:lang w:val="fr-BE"/>
              </w:rPr>
              <w:t>Wskaźnik</w:t>
            </w:r>
          </w:p>
        </w:tc>
        <w:tc>
          <w:tcPr>
            <w:tcW w:w="0" w:type="auto"/>
            <w:shd w:val="clear" w:color="auto" w:fill="auto"/>
          </w:tcPr>
          <w:p w14:paraId="6175EA77" w14:textId="77777777" w:rsidR="008C5CFA" w:rsidRPr="001C4484" w:rsidRDefault="00E82A60" w:rsidP="00300A01">
            <w:pPr>
              <w:spacing w:before="0" w:after="0"/>
              <w:rPr>
                <w:sz w:val="10"/>
                <w:szCs w:val="10"/>
              </w:rPr>
            </w:pPr>
            <w:r w:rsidRPr="001C4484">
              <w:rPr>
                <w:b/>
                <w:noProof/>
                <w:sz w:val="12"/>
                <w:szCs w:val="12"/>
                <w:lang w:val="fr-BE"/>
              </w:rPr>
              <w:t>Kategoria regionu</w:t>
            </w:r>
          </w:p>
        </w:tc>
        <w:tc>
          <w:tcPr>
            <w:tcW w:w="0" w:type="auto"/>
            <w:gridSpan w:val="3"/>
          </w:tcPr>
          <w:p w14:paraId="03B0B006" w14:textId="77777777" w:rsidR="008C5CFA" w:rsidRPr="001C4484" w:rsidRDefault="00E82A60" w:rsidP="00300A01">
            <w:pPr>
              <w:spacing w:before="0" w:after="0"/>
              <w:jc w:val="center"/>
              <w:rPr>
                <w:sz w:val="10"/>
                <w:szCs w:val="10"/>
              </w:rPr>
            </w:pPr>
            <w:r w:rsidRPr="001C4484">
              <w:rPr>
                <w:sz w:val="10"/>
                <w:szCs w:val="10"/>
              </w:rPr>
              <w:t>2015</w:t>
            </w:r>
          </w:p>
        </w:tc>
        <w:tc>
          <w:tcPr>
            <w:tcW w:w="0" w:type="auto"/>
            <w:gridSpan w:val="3"/>
          </w:tcPr>
          <w:p w14:paraId="2C5D9306" w14:textId="77777777" w:rsidR="008C5CFA" w:rsidRPr="001C4484" w:rsidRDefault="00E82A60" w:rsidP="00300A01">
            <w:pPr>
              <w:spacing w:before="0" w:after="0"/>
              <w:jc w:val="center"/>
              <w:rPr>
                <w:sz w:val="10"/>
                <w:szCs w:val="10"/>
              </w:rPr>
            </w:pPr>
            <w:r w:rsidRPr="001C4484">
              <w:rPr>
                <w:sz w:val="10"/>
                <w:szCs w:val="10"/>
              </w:rPr>
              <w:t>2014</w:t>
            </w:r>
          </w:p>
        </w:tc>
      </w:tr>
      <w:tr w:rsidR="006B2EC1" w14:paraId="3F0040BC" w14:textId="77777777" w:rsidTr="0047688D">
        <w:tc>
          <w:tcPr>
            <w:tcW w:w="0" w:type="auto"/>
            <w:shd w:val="clear" w:color="auto" w:fill="auto"/>
          </w:tcPr>
          <w:p w14:paraId="0EA05E1E" w14:textId="77777777" w:rsidR="008C5CFA" w:rsidRPr="001C4484" w:rsidRDefault="008C5CFA" w:rsidP="00300A01">
            <w:pPr>
              <w:spacing w:before="0" w:after="0"/>
              <w:rPr>
                <w:sz w:val="10"/>
                <w:szCs w:val="10"/>
              </w:rPr>
            </w:pPr>
          </w:p>
        </w:tc>
        <w:tc>
          <w:tcPr>
            <w:tcW w:w="0" w:type="auto"/>
            <w:shd w:val="clear" w:color="auto" w:fill="auto"/>
          </w:tcPr>
          <w:p w14:paraId="3947553A" w14:textId="77777777" w:rsidR="008C5CFA" w:rsidRPr="001C4484" w:rsidRDefault="008C5CFA" w:rsidP="00300A01">
            <w:pPr>
              <w:spacing w:before="0" w:after="0"/>
              <w:rPr>
                <w:sz w:val="10"/>
                <w:szCs w:val="10"/>
              </w:rPr>
            </w:pPr>
          </w:p>
        </w:tc>
        <w:tc>
          <w:tcPr>
            <w:tcW w:w="0" w:type="auto"/>
            <w:shd w:val="clear" w:color="auto" w:fill="auto"/>
          </w:tcPr>
          <w:p w14:paraId="009D71FC" w14:textId="77777777" w:rsidR="008C5CFA" w:rsidRPr="001C4484" w:rsidRDefault="008C5CFA" w:rsidP="00300A01">
            <w:pPr>
              <w:spacing w:before="0" w:after="0"/>
              <w:rPr>
                <w:sz w:val="10"/>
                <w:szCs w:val="10"/>
              </w:rPr>
            </w:pPr>
          </w:p>
        </w:tc>
        <w:tc>
          <w:tcPr>
            <w:tcW w:w="0" w:type="auto"/>
          </w:tcPr>
          <w:p w14:paraId="332A70D8" w14:textId="77777777" w:rsidR="008C5CFA" w:rsidRPr="001C4484" w:rsidRDefault="00E82A60" w:rsidP="00300A01">
            <w:pPr>
              <w:spacing w:before="0" w:after="0"/>
              <w:jc w:val="center"/>
              <w:rPr>
                <w:sz w:val="10"/>
                <w:szCs w:val="10"/>
              </w:rPr>
            </w:pPr>
            <w:r>
              <w:rPr>
                <w:noProof/>
                <w:sz w:val="10"/>
                <w:szCs w:val="10"/>
              </w:rPr>
              <w:t>Ogółem</w:t>
            </w:r>
          </w:p>
        </w:tc>
        <w:tc>
          <w:tcPr>
            <w:tcW w:w="0" w:type="auto"/>
            <w:shd w:val="clear" w:color="auto" w:fill="auto"/>
          </w:tcPr>
          <w:p w14:paraId="7E37CCF5" w14:textId="77777777" w:rsidR="008C5CFA" w:rsidRPr="001C4484" w:rsidRDefault="00E82A60" w:rsidP="00300A01">
            <w:pPr>
              <w:spacing w:before="0" w:after="0"/>
              <w:jc w:val="center"/>
              <w:rPr>
                <w:sz w:val="10"/>
                <w:szCs w:val="10"/>
              </w:rPr>
            </w:pPr>
            <w:r w:rsidRPr="001C4484">
              <w:rPr>
                <w:noProof/>
                <w:sz w:val="10"/>
                <w:szCs w:val="10"/>
              </w:rPr>
              <w:t>Mężczyźni</w:t>
            </w:r>
          </w:p>
        </w:tc>
        <w:tc>
          <w:tcPr>
            <w:tcW w:w="0" w:type="auto"/>
            <w:shd w:val="clear" w:color="auto" w:fill="auto"/>
          </w:tcPr>
          <w:p w14:paraId="3DBECB14" w14:textId="77777777" w:rsidR="008C5CFA" w:rsidRPr="001C4484" w:rsidRDefault="00E82A60" w:rsidP="00300A01">
            <w:pPr>
              <w:spacing w:before="0" w:after="0"/>
              <w:jc w:val="center"/>
              <w:rPr>
                <w:sz w:val="10"/>
                <w:szCs w:val="10"/>
              </w:rPr>
            </w:pPr>
            <w:r w:rsidRPr="001C4484">
              <w:rPr>
                <w:noProof/>
                <w:sz w:val="10"/>
                <w:szCs w:val="10"/>
              </w:rPr>
              <w:t>Kobiety</w:t>
            </w:r>
          </w:p>
        </w:tc>
        <w:tc>
          <w:tcPr>
            <w:tcW w:w="0" w:type="auto"/>
          </w:tcPr>
          <w:p w14:paraId="5B818812" w14:textId="77777777" w:rsidR="008C5CFA" w:rsidRPr="001C4484" w:rsidRDefault="00E82A60" w:rsidP="00300A01">
            <w:pPr>
              <w:spacing w:before="0" w:after="0"/>
              <w:jc w:val="center"/>
              <w:rPr>
                <w:sz w:val="10"/>
                <w:szCs w:val="10"/>
              </w:rPr>
            </w:pPr>
            <w:r>
              <w:rPr>
                <w:noProof/>
                <w:sz w:val="10"/>
                <w:szCs w:val="10"/>
              </w:rPr>
              <w:t>Ogółem</w:t>
            </w:r>
          </w:p>
        </w:tc>
        <w:tc>
          <w:tcPr>
            <w:tcW w:w="0" w:type="auto"/>
            <w:shd w:val="clear" w:color="auto" w:fill="auto"/>
          </w:tcPr>
          <w:p w14:paraId="134DF129" w14:textId="77777777" w:rsidR="008C5CFA" w:rsidRPr="001C4484" w:rsidRDefault="00E82A60" w:rsidP="00300A01">
            <w:pPr>
              <w:spacing w:before="0" w:after="0"/>
              <w:jc w:val="center"/>
              <w:rPr>
                <w:sz w:val="10"/>
                <w:szCs w:val="10"/>
              </w:rPr>
            </w:pPr>
            <w:r w:rsidRPr="001C4484">
              <w:rPr>
                <w:noProof/>
                <w:sz w:val="10"/>
                <w:szCs w:val="10"/>
              </w:rPr>
              <w:t>Mężczyźni</w:t>
            </w:r>
          </w:p>
        </w:tc>
        <w:tc>
          <w:tcPr>
            <w:tcW w:w="0" w:type="auto"/>
            <w:shd w:val="clear" w:color="auto" w:fill="auto"/>
          </w:tcPr>
          <w:p w14:paraId="30296479" w14:textId="77777777" w:rsidR="008C5CFA" w:rsidRPr="001C4484" w:rsidRDefault="00E82A60" w:rsidP="00300A01">
            <w:pPr>
              <w:spacing w:before="0" w:after="0"/>
              <w:jc w:val="center"/>
              <w:rPr>
                <w:sz w:val="10"/>
                <w:szCs w:val="10"/>
              </w:rPr>
            </w:pPr>
            <w:r w:rsidRPr="001C4484">
              <w:rPr>
                <w:noProof/>
                <w:sz w:val="10"/>
                <w:szCs w:val="10"/>
              </w:rPr>
              <w:t>Kobiety</w:t>
            </w:r>
          </w:p>
        </w:tc>
      </w:tr>
      <w:tr w:rsidR="006B2EC1" w14:paraId="5132D9E0" w14:textId="77777777" w:rsidTr="0047688D">
        <w:tc>
          <w:tcPr>
            <w:tcW w:w="0" w:type="auto"/>
            <w:shd w:val="clear" w:color="auto" w:fill="auto"/>
          </w:tcPr>
          <w:p w14:paraId="07C050C8" w14:textId="77777777" w:rsidR="008C5CFA" w:rsidRPr="001C4484" w:rsidRDefault="00E82A60" w:rsidP="00300A01">
            <w:pPr>
              <w:spacing w:before="0" w:after="0"/>
              <w:rPr>
                <w:sz w:val="10"/>
                <w:szCs w:val="10"/>
                <w:lang w:val="fr-BE"/>
              </w:rPr>
            </w:pPr>
            <w:r w:rsidRPr="001C4484">
              <w:rPr>
                <w:noProof/>
                <w:sz w:val="10"/>
                <w:szCs w:val="10"/>
                <w:lang w:val="fr-BE"/>
              </w:rPr>
              <w:t>CO01</w:t>
            </w:r>
          </w:p>
        </w:tc>
        <w:tc>
          <w:tcPr>
            <w:tcW w:w="0" w:type="auto"/>
            <w:shd w:val="clear" w:color="auto" w:fill="auto"/>
          </w:tcPr>
          <w:p w14:paraId="77E7AC05" w14:textId="77777777" w:rsidR="008C5CFA" w:rsidRPr="001C4484" w:rsidRDefault="00E82A60" w:rsidP="00300A01">
            <w:pPr>
              <w:spacing w:before="0" w:after="0"/>
              <w:rPr>
                <w:sz w:val="10"/>
                <w:szCs w:val="10"/>
                <w:lang w:val="fr-BE"/>
              </w:rPr>
            </w:pPr>
            <w:r w:rsidRPr="001C4484">
              <w:rPr>
                <w:noProof/>
                <w:sz w:val="10"/>
                <w:szCs w:val="10"/>
                <w:lang w:val="fr-BE"/>
              </w:rPr>
              <w:t>bezrobotni, w tym długotrwale bezrobotni</w:t>
            </w:r>
          </w:p>
        </w:tc>
        <w:tc>
          <w:tcPr>
            <w:tcW w:w="0" w:type="auto"/>
            <w:shd w:val="clear" w:color="auto" w:fill="auto"/>
          </w:tcPr>
          <w:p w14:paraId="0DBF31D5"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7AE76F26"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1B9FFC8B"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4399F78A" w14:textId="77777777" w:rsidR="008C5CFA" w:rsidRPr="001C4484" w:rsidRDefault="00E82A60" w:rsidP="00300A01">
            <w:pPr>
              <w:spacing w:before="0" w:after="0"/>
              <w:jc w:val="right"/>
              <w:rPr>
                <w:sz w:val="10"/>
                <w:szCs w:val="10"/>
                <w:lang w:val="fr-BE"/>
              </w:rPr>
            </w:pPr>
            <w:r w:rsidRPr="001C4484">
              <w:rPr>
                <w:noProof/>
                <w:sz w:val="10"/>
                <w:szCs w:val="10"/>
              </w:rPr>
              <w:t>0,00</w:t>
            </w:r>
          </w:p>
        </w:tc>
        <w:tc>
          <w:tcPr>
            <w:tcW w:w="0" w:type="auto"/>
          </w:tcPr>
          <w:p w14:paraId="04BA5183"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7AD5C309"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75A8362A" w14:textId="77777777" w:rsidR="008C5CFA" w:rsidRPr="001C4484" w:rsidRDefault="00E82A60" w:rsidP="00300A01">
            <w:pPr>
              <w:spacing w:before="0" w:after="0"/>
              <w:jc w:val="right"/>
              <w:rPr>
                <w:sz w:val="10"/>
                <w:szCs w:val="10"/>
                <w:lang w:val="fr-BE"/>
              </w:rPr>
            </w:pPr>
            <w:r w:rsidRPr="001C4484">
              <w:rPr>
                <w:noProof/>
                <w:sz w:val="10"/>
                <w:szCs w:val="10"/>
                <w:lang w:val="fr-BE"/>
              </w:rPr>
              <w:t>0,00</w:t>
            </w:r>
          </w:p>
        </w:tc>
      </w:tr>
      <w:tr w:rsidR="006B2EC1" w14:paraId="38EF7875" w14:textId="77777777" w:rsidTr="0047688D">
        <w:tc>
          <w:tcPr>
            <w:tcW w:w="0" w:type="auto"/>
            <w:shd w:val="clear" w:color="auto" w:fill="auto"/>
          </w:tcPr>
          <w:p w14:paraId="26DD4084" w14:textId="77777777" w:rsidR="008C5CFA" w:rsidRPr="001C4484" w:rsidRDefault="00E82A60" w:rsidP="00300A01">
            <w:pPr>
              <w:spacing w:before="0" w:after="0"/>
              <w:rPr>
                <w:sz w:val="10"/>
                <w:szCs w:val="10"/>
                <w:lang w:val="fr-BE"/>
              </w:rPr>
            </w:pPr>
            <w:r w:rsidRPr="001C4484">
              <w:rPr>
                <w:noProof/>
                <w:sz w:val="10"/>
                <w:szCs w:val="10"/>
                <w:lang w:val="fr-BE"/>
              </w:rPr>
              <w:t>CO02</w:t>
            </w:r>
          </w:p>
        </w:tc>
        <w:tc>
          <w:tcPr>
            <w:tcW w:w="0" w:type="auto"/>
            <w:shd w:val="clear" w:color="auto" w:fill="auto"/>
          </w:tcPr>
          <w:p w14:paraId="1100CF23" w14:textId="77777777" w:rsidR="008C5CFA" w:rsidRPr="001C4484" w:rsidRDefault="00E82A60" w:rsidP="00300A01">
            <w:pPr>
              <w:spacing w:before="0" w:after="0"/>
              <w:rPr>
                <w:sz w:val="10"/>
                <w:szCs w:val="10"/>
                <w:lang w:val="fr-BE"/>
              </w:rPr>
            </w:pPr>
            <w:r w:rsidRPr="001C4484">
              <w:rPr>
                <w:noProof/>
                <w:sz w:val="10"/>
                <w:szCs w:val="10"/>
                <w:lang w:val="fr-BE"/>
              </w:rPr>
              <w:t>długotrwale bezrobotni</w:t>
            </w:r>
          </w:p>
        </w:tc>
        <w:tc>
          <w:tcPr>
            <w:tcW w:w="0" w:type="auto"/>
            <w:shd w:val="clear" w:color="auto" w:fill="auto"/>
          </w:tcPr>
          <w:p w14:paraId="67173A9E"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0130B57D"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44AF3A14"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1153D78D" w14:textId="77777777" w:rsidR="008C5CFA" w:rsidRPr="001C4484" w:rsidRDefault="00E82A60" w:rsidP="00300A01">
            <w:pPr>
              <w:spacing w:before="0" w:after="0"/>
              <w:jc w:val="right"/>
              <w:rPr>
                <w:sz w:val="10"/>
                <w:szCs w:val="10"/>
                <w:lang w:val="fr-BE"/>
              </w:rPr>
            </w:pPr>
            <w:r w:rsidRPr="001C4484">
              <w:rPr>
                <w:noProof/>
                <w:sz w:val="10"/>
                <w:szCs w:val="10"/>
              </w:rPr>
              <w:t>0,00</w:t>
            </w:r>
          </w:p>
        </w:tc>
        <w:tc>
          <w:tcPr>
            <w:tcW w:w="0" w:type="auto"/>
          </w:tcPr>
          <w:p w14:paraId="588109B3"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695DEAD2"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53066F7A" w14:textId="77777777" w:rsidR="008C5CFA" w:rsidRPr="001C4484" w:rsidRDefault="00E82A60" w:rsidP="00300A01">
            <w:pPr>
              <w:spacing w:before="0" w:after="0"/>
              <w:jc w:val="right"/>
              <w:rPr>
                <w:sz w:val="10"/>
                <w:szCs w:val="10"/>
                <w:lang w:val="fr-BE"/>
              </w:rPr>
            </w:pPr>
            <w:r w:rsidRPr="001C4484">
              <w:rPr>
                <w:noProof/>
                <w:sz w:val="10"/>
                <w:szCs w:val="10"/>
                <w:lang w:val="fr-BE"/>
              </w:rPr>
              <w:t>0,00</w:t>
            </w:r>
          </w:p>
        </w:tc>
      </w:tr>
      <w:tr w:rsidR="006B2EC1" w14:paraId="1F3E6FCC" w14:textId="77777777" w:rsidTr="0047688D">
        <w:tc>
          <w:tcPr>
            <w:tcW w:w="0" w:type="auto"/>
            <w:shd w:val="clear" w:color="auto" w:fill="auto"/>
          </w:tcPr>
          <w:p w14:paraId="55ECF1E0" w14:textId="77777777" w:rsidR="008C5CFA" w:rsidRPr="001C4484" w:rsidRDefault="00E82A60" w:rsidP="00300A01">
            <w:pPr>
              <w:spacing w:before="0" w:after="0"/>
              <w:rPr>
                <w:sz w:val="10"/>
                <w:szCs w:val="10"/>
                <w:lang w:val="fr-BE"/>
              </w:rPr>
            </w:pPr>
            <w:r w:rsidRPr="001C4484">
              <w:rPr>
                <w:noProof/>
                <w:sz w:val="10"/>
                <w:szCs w:val="10"/>
                <w:lang w:val="fr-BE"/>
              </w:rPr>
              <w:t>CO03</w:t>
            </w:r>
          </w:p>
        </w:tc>
        <w:tc>
          <w:tcPr>
            <w:tcW w:w="0" w:type="auto"/>
            <w:shd w:val="clear" w:color="auto" w:fill="auto"/>
          </w:tcPr>
          <w:p w14:paraId="7E080240" w14:textId="77777777" w:rsidR="008C5CFA" w:rsidRPr="001C4484" w:rsidRDefault="00E82A60" w:rsidP="00300A01">
            <w:pPr>
              <w:spacing w:before="0" w:after="0"/>
              <w:rPr>
                <w:sz w:val="10"/>
                <w:szCs w:val="10"/>
                <w:lang w:val="fr-BE"/>
              </w:rPr>
            </w:pPr>
            <w:r w:rsidRPr="001C4484">
              <w:rPr>
                <w:noProof/>
                <w:sz w:val="10"/>
                <w:szCs w:val="10"/>
                <w:lang w:val="fr-BE"/>
              </w:rPr>
              <w:t>osoby bierne zawodowo</w:t>
            </w:r>
          </w:p>
        </w:tc>
        <w:tc>
          <w:tcPr>
            <w:tcW w:w="0" w:type="auto"/>
            <w:shd w:val="clear" w:color="auto" w:fill="auto"/>
          </w:tcPr>
          <w:p w14:paraId="144B5653"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293B7868"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698707D8"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7C44D00B" w14:textId="77777777" w:rsidR="008C5CFA" w:rsidRPr="001C4484" w:rsidRDefault="00E82A60" w:rsidP="00300A01">
            <w:pPr>
              <w:spacing w:before="0" w:after="0"/>
              <w:jc w:val="right"/>
              <w:rPr>
                <w:sz w:val="10"/>
                <w:szCs w:val="10"/>
                <w:lang w:val="fr-BE"/>
              </w:rPr>
            </w:pPr>
            <w:r w:rsidRPr="001C4484">
              <w:rPr>
                <w:noProof/>
                <w:sz w:val="10"/>
                <w:szCs w:val="10"/>
              </w:rPr>
              <w:t>0,00</w:t>
            </w:r>
          </w:p>
        </w:tc>
        <w:tc>
          <w:tcPr>
            <w:tcW w:w="0" w:type="auto"/>
          </w:tcPr>
          <w:p w14:paraId="76EE2962"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29B68A51"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5AE506B0" w14:textId="77777777" w:rsidR="008C5CFA" w:rsidRPr="001C4484" w:rsidRDefault="00E82A60" w:rsidP="00300A01">
            <w:pPr>
              <w:spacing w:before="0" w:after="0"/>
              <w:jc w:val="right"/>
              <w:rPr>
                <w:sz w:val="10"/>
                <w:szCs w:val="10"/>
                <w:lang w:val="fr-BE"/>
              </w:rPr>
            </w:pPr>
            <w:r w:rsidRPr="001C4484">
              <w:rPr>
                <w:noProof/>
                <w:sz w:val="10"/>
                <w:szCs w:val="10"/>
                <w:lang w:val="fr-BE"/>
              </w:rPr>
              <w:t>0,00</w:t>
            </w:r>
          </w:p>
        </w:tc>
      </w:tr>
      <w:tr w:rsidR="006B2EC1" w14:paraId="42C11A55" w14:textId="77777777" w:rsidTr="0047688D">
        <w:tc>
          <w:tcPr>
            <w:tcW w:w="0" w:type="auto"/>
            <w:shd w:val="clear" w:color="auto" w:fill="auto"/>
          </w:tcPr>
          <w:p w14:paraId="3953A121" w14:textId="77777777" w:rsidR="008C5CFA" w:rsidRPr="001C4484" w:rsidRDefault="00E82A60" w:rsidP="00300A01">
            <w:pPr>
              <w:spacing w:before="0" w:after="0"/>
              <w:rPr>
                <w:sz w:val="10"/>
                <w:szCs w:val="10"/>
                <w:lang w:val="fr-BE"/>
              </w:rPr>
            </w:pPr>
            <w:r w:rsidRPr="001C4484">
              <w:rPr>
                <w:noProof/>
                <w:sz w:val="10"/>
                <w:szCs w:val="10"/>
                <w:lang w:val="fr-BE"/>
              </w:rPr>
              <w:t>CO04</w:t>
            </w:r>
          </w:p>
        </w:tc>
        <w:tc>
          <w:tcPr>
            <w:tcW w:w="0" w:type="auto"/>
            <w:shd w:val="clear" w:color="auto" w:fill="auto"/>
          </w:tcPr>
          <w:p w14:paraId="5859356B" w14:textId="77777777" w:rsidR="008C5CFA" w:rsidRPr="001C4484" w:rsidRDefault="00E82A60" w:rsidP="00300A01">
            <w:pPr>
              <w:spacing w:before="0" w:after="0"/>
              <w:rPr>
                <w:sz w:val="10"/>
                <w:szCs w:val="10"/>
                <w:lang w:val="fr-BE"/>
              </w:rPr>
            </w:pPr>
            <w:r w:rsidRPr="001C4484">
              <w:rPr>
                <w:noProof/>
                <w:sz w:val="10"/>
                <w:szCs w:val="10"/>
                <w:lang w:val="fr-BE"/>
              </w:rPr>
              <w:t>osoby bierne zawodowo, nieuczestniczące w kształceniu ani szkoleniu</w:t>
            </w:r>
          </w:p>
        </w:tc>
        <w:tc>
          <w:tcPr>
            <w:tcW w:w="0" w:type="auto"/>
            <w:shd w:val="clear" w:color="auto" w:fill="auto"/>
          </w:tcPr>
          <w:p w14:paraId="7163402E"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07A21DA6"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7158235F"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5D51EAF2" w14:textId="77777777" w:rsidR="008C5CFA" w:rsidRPr="001C4484" w:rsidRDefault="00E82A60" w:rsidP="00300A01">
            <w:pPr>
              <w:spacing w:before="0" w:after="0"/>
              <w:jc w:val="right"/>
              <w:rPr>
                <w:sz w:val="10"/>
                <w:szCs w:val="10"/>
                <w:lang w:val="fr-BE"/>
              </w:rPr>
            </w:pPr>
            <w:r w:rsidRPr="001C4484">
              <w:rPr>
                <w:noProof/>
                <w:sz w:val="10"/>
                <w:szCs w:val="10"/>
              </w:rPr>
              <w:t>0,00</w:t>
            </w:r>
          </w:p>
        </w:tc>
        <w:tc>
          <w:tcPr>
            <w:tcW w:w="0" w:type="auto"/>
          </w:tcPr>
          <w:p w14:paraId="2AAF346F"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1E7B5D18"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7DAF223B" w14:textId="77777777" w:rsidR="008C5CFA" w:rsidRPr="001C4484" w:rsidRDefault="00E82A60" w:rsidP="00300A01">
            <w:pPr>
              <w:spacing w:before="0" w:after="0"/>
              <w:jc w:val="right"/>
              <w:rPr>
                <w:sz w:val="10"/>
                <w:szCs w:val="10"/>
                <w:lang w:val="fr-BE"/>
              </w:rPr>
            </w:pPr>
            <w:r w:rsidRPr="001C4484">
              <w:rPr>
                <w:noProof/>
                <w:sz w:val="10"/>
                <w:szCs w:val="10"/>
                <w:lang w:val="fr-BE"/>
              </w:rPr>
              <w:t>0,00</w:t>
            </w:r>
          </w:p>
        </w:tc>
      </w:tr>
      <w:tr w:rsidR="006B2EC1" w14:paraId="7E653EC7" w14:textId="77777777" w:rsidTr="0047688D">
        <w:tc>
          <w:tcPr>
            <w:tcW w:w="0" w:type="auto"/>
            <w:shd w:val="clear" w:color="auto" w:fill="auto"/>
          </w:tcPr>
          <w:p w14:paraId="051C141C" w14:textId="77777777" w:rsidR="008C5CFA" w:rsidRPr="001C4484" w:rsidRDefault="00E82A60" w:rsidP="00300A01">
            <w:pPr>
              <w:spacing w:before="0" w:after="0"/>
              <w:rPr>
                <w:sz w:val="10"/>
                <w:szCs w:val="10"/>
                <w:lang w:val="fr-BE"/>
              </w:rPr>
            </w:pPr>
            <w:r w:rsidRPr="001C4484">
              <w:rPr>
                <w:noProof/>
                <w:sz w:val="10"/>
                <w:szCs w:val="10"/>
                <w:lang w:val="fr-BE"/>
              </w:rPr>
              <w:t>CO05</w:t>
            </w:r>
          </w:p>
        </w:tc>
        <w:tc>
          <w:tcPr>
            <w:tcW w:w="0" w:type="auto"/>
            <w:shd w:val="clear" w:color="auto" w:fill="auto"/>
          </w:tcPr>
          <w:p w14:paraId="213C38DC" w14:textId="77777777" w:rsidR="008C5CFA" w:rsidRPr="001C4484" w:rsidRDefault="00E82A60" w:rsidP="00300A01">
            <w:pPr>
              <w:spacing w:before="0" w:after="0"/>
              <w:rPr>
                <w:sz w:val="10"/>
                <w:szCs w:val="10"/>
                <w:lang w:val="fr-BE"/>
              </w:rPr>
            </w:pPr>
            <w:r w:rsidRPr="001C4484">
              <w:rPr>
                <w:noProof/>
                <w:sz w:val="10"/>
                <w:szCs w:val="10"/>
                <w:lang w:val="fr-BE"/>
              </w:rPr>
              <w:t>osoby pracujące, łącznie z prowadzącymi działalność na własny rachunek</w:t>
            </w:r>
          </w:p>
        </w:tc>
        <w:tc>
          <w:tcPr>
            <w:tcW w:w="0" w:type="auto"/>
            <w:shd w:val="clear" w:color="auto" w:fill="auto"/>
          </w:tcPr>
          <w:p w14:paraId="1E5E1CBA"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1B80C604"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36395501"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507EE120" w14:textId="77777777" w:rsidR="008C5CFA" w:rsidRPr="001C4484" w:rsidRDefault="00E82A60" w:rsidP="00300A01">
            <w:pPr>
              <w:spacing w:before="0" w:after="0"/>
              <w:jc w:val="right"/>
              <w:rPr>
                <w:sz w:val="10"/>
                <w:szCs w:val="10"/>
                <w:lang w:val="fr-BE"/>
              </w:rPr>
            </w:pPr>
            <w:r w:rsidRPr="001C4484">
              <w:rPr>
                <w:noProof/>
                <w:sz w:val="10"/>
                <w:szCs w:val="10"/>
              </w:rPr>
              <w:t>0,00</w:t>
            </w:r>
          </w:p>
        </w:tc>
        <w:tc>
          <w:tcPr>
            <w:tcW w:w="0" w:type="auto"/>
          </w:tcPr>
          <w:p w14:paraId="2E8F79B1"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513C58D0"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1327F16B" w14:textId="77777777" w:rsidR="008C5CFA" w:rsidRPr="001C4484" w:rsidRDefault="00E82A60" w:rsidP="00300A01">
            <w:pPr>
              <w:spacing w:before="0" w:after="0"/>
              <w:jc w:val="right"/>
              <w:rPr>
                <w:sz w:val="10"/>
                <w:szCs w:val="10"/>
                <w:lang w:val="fr-BE"/>
              </w:rPr>
            </w:pPr>
            <w:r w:rsidRPr="001C4484">
              <w:rPr>
                <w:noProof/>
                <w:sz w:val="10"/>
                <w:szCs w:val="10"/>
                <w:lang w:val="fr-BE"/>
              </w:rPr>
              <w:t>0,00</w:t>
            </w:r>
          </w:p>
        </w:tc>
      </w:tr>
      <w:tr w:rsidR="006B2EC1" w14:paraId="05BABB47" w14:textId="77777777" w:rsidTr="0047688D">
        <w:tc>
          <w:tcPr>
            <w:tcW w:w="0" w:type="auto"/>
            <w:shd w:val="clear" w:color="auto" w:fill="auto"/>
          </w:tcPr>
          <w:p w14:paraId="0D265F3E" w14:textId="77777777" w:rsidR="008C5CFA" w:rsidRPr="001C4484" w:rsidRDefault="00E82A60" w:rsidP="00300A01">
            <w:pPr>
              <w:spacing w:before="0" w:after="0"/>
              <w:rPr>
                <w:sz w:val="10"/>
                <w:szCs w:val="10"/>
                <w:lang w:val="fr-BE"/>
              </w:rPr>
            </w:pPr>
            <w:r w:rsidRPr="001C4484">
              <w:rPr>
                <w:noProof/>
                <w:sz w:val="10"/>
                <w:szCs w:val="10"/>
                <w:lang w:val="fr-BE"/>
              </w:rPr>
              <w:t>CO06</w:t>
            </w:r>
          </w:p>
        </w:tc>
        <w:tc>
          <w:tcPr>
            <w:tcW w:w="0" w:type="auto"/>
            <w:shd w:val="clear" w:color="auto" w:fill="auto"/>
          </w:tcPr>
          <w:p w14:paraId="1420863F" w14:textId="77777777" w:rsidR="008C5CFA" w:rsidRPr="001C4484" w:rsidRDefault="00E82A60" w:rsidP="00300A01">
            <w:pPr>
              <w:spacing w:before="0" w:after="0"/>
              <w:rPr>
                <w:sz w:val="10"/>
                <w:szCs w:val="10"/>
                <w:lang w:val="fr-BE"/>
              </w:rPr>
            </w:pPr>
            <w:r w:rsidRPr="001C4484">
              <w:rPr>
                <w:noProof/>
                <w:sz w:val="10"/>
                <w:szCs w:val="10"/>
                <w:lang w:val="fr-BE"/>
              </w:rPr>
              <w:t>osoby w wieku poniżej 25 lat</w:t>
            </w:r>
          </w:p>
        </w:tc>
        <w:tc>
          <w:tcPr>
            <w:tcW w:w="0" w:type="auto"/>
            <w:shd w:val="clear" w:color="auto" w:fill="auto"/>
          </w:tcPr>
          <w:p w14:paraId="3ECAE59F"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08D7CA39"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5975AECB"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12BF8388" w14:textId="77777777" w:rsidR="008C5CFA" w:rsidRPr="001C4484" w:rsidRDefault="00E82A60" w:rsidP="00300A01">
            <w:pPr>
              <w:spacing w:before="0" w:after="0"/>
              <w:jc w:val="right"/>
              <w:rPr>
                <w:sz w:val="10"/>
                <w:szCs w:val="10"/>
                <w:lang w:val="fr-BE"/>
              </w:rPr>
            </w:pPr>
            <w:r w:rsidRPr="001C4484">
              <w:rPr>
                <w:noProof/>
                <w:sz w:val="10"/>
                <w:szCs w:val="10"/>
              </w:rPr>
              <w:t>0,00</w:t>
            </w:r>
          </w:p>
        </w:tc>
        <w:tc>
          <w:tcPr>
            <w:tcW w:w="0" w:type="auto"/>
          </w:tcPr>
          <w:p w14:paraId="5825AD74"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387C2C0F"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0EB30B07" w14:textId="77777777" w:rsidR="008C5CFA" w:rsidRPr="001C4484" w:rsidRDefault="00E82A60" w:rsidP="00300A01">
            <w:pPr>
              <w:spacing w:before="0" w:after="0"/>
              <w:jc w:val="right"/>
              <w:rPr>
                <w:sz w:val="10"/>
                <w:szCs w:val="10"/>
                <w:lang w:val="fr-BE"/>
              </w:rPr>
            </w:pPr>
            <w:r w:rsidRPr="001C4484">
              <w:rPr>
                <w:noProof/>
                <w:sz w:val="10"/>
                <w:szCs w:val="10"/>
                <w:lang w:val="fr-BE"/>
              </w:rPr>
              <w:t>0,00</w:t>
            </w:r>
          </w:p>
        </w:tc>
      </w:tr>
      <w:tr w:rsidR="006B2EC1" w14:paraId="48BA2783" w14:textId="77777777" w:rsidTr="0047688D">
        <w:tc>
          <w:tcPr>
            <w:tcW w:w="0" w:type="auto"/>
            <w:shd w:val="clear" w:color="auto" w:fill="auto"/>
          </w:tcPr>
          <w:p w14:paraId="67AF3AF4" w14:textId="77777777" w:rsidR="008C5CFA" w:rsidRPr="001C4484" w:rsidRDefault="00E82A60" w:rsidP="00300A01">
            <w:pPr>
              <w:spacing w:before="0" w:after="0"/>
              <w:rPr>
                <w:sz w:val="10"/>
                <w:szCs w:val="10"/>
                <w:lang w:val="fr-BE"/>
              </w:rPr>
            </w:pPr>
            <w:r w:rsidRPr="001C4484">
              <w:rPr>
                <w:noProof/>
                <w:sz w:val="10"/>
                <w:szCs w:val="10"/>
                <w:lang w:val="fr-BE"/>
              </w:rPr>
              <w:t>CO07</w:t>
            </w:r>
          </w:p>
        </w:tc>
        <w:tc>
          <w:tcPr>
            <w:tcW w:w="0" w:type="auto"/>
            <w:shd w:val="clear" w:color="auto" w:fill="auto"/>
          </w:tcPr>
          <w:p w14:paraId="48758A44" w14:textId="77777777" w:rsidR="008C5CFA" w:rsidRPr="001C4484" w:rsidRDefault="00E82A60" w:rsidP="00300A01">
            <w:pPr>
              <w:spacing w:before="0" w:after="0"/>
              <w:rPr>
                <w:sz w:val="10"/>
                <w:szCs w:val="10"/>
                <w:lang w:val="fr-BE"/>
              </w:rPr>
            </w:pPr>
            <w:r w:rsidRPr="001C4484">
              <w:rPr>
                <w:noProof/>
                <w:sz w:val="10"/>
                <w:szCs w:val="10"/>
                <w:lang w:val="fr-BE"/>
              </w:rPr>
              <w:t>osoby w wieku powyżej 54 lat</w:t>
            </w:r>
          </w:p>
        </w:tc>
        <w:tc>
          <w:tcPr>
            <w:tcW w:w="0" w:type="auto"/>
            <w:shd w:val="clear" w:color="auto" w:fill="auto"/>
          </w:tcPr>
          <w:p w14:paraId="6046348F"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005B3456"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45F36750"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25CF3804" w14:textId="77777777" w:rsidR="008C5CFA" w:rsidRPr="001C4484" w:rsidRDefault="00E82A60" w:rsidP="00300A01">
            <w:pPr>
              <w:spacing w:before="0" w:after="0"/>
              <w:jc w:val="right"/>
              <w:rPr>
                <w:sz w:val="10"/>
                <w:szCs w:val="10"/>
                <w:lang w:val="fr-BE"/>
              </w:rPr>
            </w:pPr>
            <w:r w:rsidRPr="001C4484">
              <w:rPr>
                <w:noProof/>
                <w:sz w:val="10"/>
                <w:szCs w:val="10"/>
              </w:rPr>
              <w:t>0,00</w:t>
            </w:r>
          </w:p>
        </w:tc>
        <w:tc>
          <w:tcPr>
            <w:tcW w:w="0" w:type="auto"/>
          </w:tcPr>
          <w:p w14:paraId="19A4AC0D"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5D6923D8"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25910D5B" w14:textId="77777777" w:rsidR="008C5CFA" w:rsidRPr="001C4484" w:rsidRDefault="00E82A60" w:rsidP="00300A01">
            <w:pPr>
              <w:spacing w:before="0" w:after="0"/>
              <w:jc w:val="right"/>
              <w:rPr>
                <w:sz w:val="10"/>
                <w:szCs w:val="10"/>
                <w:lang w:val="fr-BE"/>
              </w:rPr>
            </w:pPr>
            <w:r w:rsidRPr="001C4484">
              <w:rPr>
                <w:noProof/>
                <w:sz w:val="10"/>
                <w:szCs w:val="10"/>
                <w:lang w:val="fr-BE"/>
              </w:rPr>
              <w:t>0,00</w:t>
            </w:r>
          </w:p>
        </w:tc>
      </w:tr>
      <w:tr w:rsidR="006B2EC1" w14:paraId="3EA039E6" w14:textId="77777777" w:rsidTr="0047688D">
        <w:tc>
          <w:tcPr>
            <w:tcW w:w="0" w:type="auto"/>
            <w:shd w:val="clear" w:color="auto" w:fill="auto"/>
          </w:tcPr>
          <w:p w14:paraId="288AA30F" w14:textId="77777777" w:rsidR="008C5CFA" w:rsidRPr="001C4484" w:rsidRDefault="00E82A60" w:rsidP="00300A01">
            <w:pPr>
              <w:spacing w:before="0" w:after="0"/>
              <w:rPr>
                <w:sz w:val="10"/>
                <w:szCs w:val="10"/>
                <w:lang w:val="fr-BE"/>
              </w:rPr>
            </w:pPr>
            <w:r w:rsidRPr="001C4484">
              <w:rPr>
                <w:noProof/>
                <w:sz w:val="10"/>
                <w:szCs w:val="10"/>
                <w:lang w:val="fr-BE"/>
              </w:rPr>
              <w:t>CO08</w:t>
            </w:r>
          </w:p>
        </w:tc>
        <w:tc>
          <w:tcPr>
            <w:tcW w:w="0" w:type="auto"/>
            <w:shd w:val="clear" w:color="auto" w:fill="auto"/>
          </w:tcPr>
          <w:p w14:paraId="699E4173" w14:textId="77777777" w:rsidR="008C5CFA" w:rsidRPr="001C4484" w:rsidRDefault="00E82A60" w:rsidP="00300A01">
            <w:pPr>
              <w:spacing w:before="0" w:after="0"/>
              <w:rPr>
                <w:sz w:val="10"/>
                <w:szCs w:val="10"/>
                <w:lang w:val="fr-BE"/>
              </w:rPr>
            </w:pPr>
            <w:r w:rsidRPr="001C4484">
              <w:rPr>
                <w:noProof/>
                <w:sz w:val="10"/>
                <w:szCs w:val="10"/>
                <w:lang w:val="fr-BE"/>
              </w:rPr>
              <w:t>osoby powyżej 54 lat, które są bezrobotne, łącznie z długotrwale bezrobotnymi, lub są bierne zawodowo i nie uczestniczą w kształceniu ani szkoleniu</w:t>
            </w:r>
          </w:p>
        </w:tc>
        <w:tc>
          <w:tcPr>
            <w:tcW w:w="0" w:type="auto"/>
            <w:shd w:val="clear" w:color="auto" w:fill="auto"/>
          </w:tcPr>
          <w:p w14:paraId="7741D228"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332852A0"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2CF694F9"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0ABDEDED" w14:textId="77777777" w:rsidR="008C5CFA" w:rsidRPr="001C4484" w:rsidRDefault="00E82A60" w:rsidP="00300A01">
            <w:pPr>
              <w:spacing w:before="0" w:after="0"/>
              <w:jc w:val="right"/>
              <w:rPr>
                <w:sz w:val="10"/>
                <w:szCs w:val="10"/>
                <w:lang w:val="fr-BE"/>
              </w:rPr>
            </w:pPr>
            <w:r w:rsidRPr="001C4484">
              <w:rPr>
                <w:noProof/>
                <w:sz w:val="10"/>
                <w:szCs w:val="10"/>
              </w:rPr>
              <w:t>0,00</w:t>
            </w:r>
          </w:p>
        </w:tc>
        <w:tc>
          <w:tcPr>
            <w:tcW w:w="0" w:type="auto"/>
          </w:tcPr>
          <w:p w14:paraId="335D4BEE"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1D36B118"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5634B212" w14:textId="77777777" w:rsidR="008C5CFA" w:rsidRPr="001C4484" w:rsidRDefault="00E82A60" w:rsidP="00300A01">
            <w:pPr>
              <w:spacing w:before="0" w:after="0"/>
              <w:jc w:val="right"/>
              <w:rPr>
                <w:sz w:val="10"/>
                <w:szCs w:val="10"/>
                <w:lang w:val="fr-BE"/>
              </w:rPr>
            </w:pPr>
            <w:r w:rsidRPr="001C4484">
              <w:rPr>
                <w:noProof/>
                <w:sz w:val="10"/>
                <w:szCs w:val="10"/>
                <w:lang w:val="fr-BE"/>
              </w:rPr>
              <w:t>0,00</w:t>
            </w:r>
          </w:p>
        </w:tc>
      </w:tr>
      <w:tr w:rsidR="006B2EC1" w14:paraId="6034C248" w14:textId="77777777" w:rsidTr="0047688D">
        <w:tc>
          <w:tcPr>
            <w:tcW w:w="0" w:type="auto"/>
            <w:shd w:val="clear" w:color="auto" w:fill="auto"/>
          </w:tcPr>
          <w:p w14:paraId="23DA12D5" w14:textId="77777777" w:rsidR="008C5CFA" w:rsidRPr="001C4484" w:rsidRDefault="00E82A60" w:rsidP="00300A01">
            <w:pPr>
              <w:spacing w:before="0" w:after="0"/>
              <w:rPr>
                <w:sz w:val="10"/>
                <w:szCs w:val="10"/>
                <w:lang w:val="fr-BE"/>
              </w:rPr>
            </w:pPr>
            <w:r w:rsidRPr="001C4484">
              <w:rPr>
                <w:noProof/>
                <w:sz w:val="10"/>
                <w:szCs w:val="10"/>
                <w:lang w:val="fr-BE"/>
              </w:rPr>
              <w:lastRenderedPageBreak/>
              <w:t>CO09</w:t>
            </w:r>
          </w:p>
        </w:tc>
        <w:tc>
          <w:tcPr>
            <w:tcW w:w="0" w:type="auto"/>
            <w:shd w:val="clear" w:color="auto" w:fill="auto"/>
          </w:tcPr>
          <w:p w14:paraId="00114CE6" w14:textId="77777777" w:rsidR="008C5CFA" w:rsidRPr="001C4484" w:rsidRDefault="00E82A60" w:rsidP="00300A01">
            <w:pPr>
              <w:spacing w:before="0" w:after="0"/>
              <w:rPr>
                <w:sz w:val="10"/>
                <w:szCs w:val="10"/>
                <w:lang w:val="fr-BE"/>
              </w:rPr>
            </w:pPr>
            <w:r w:rsidRPr="001C4484">
              <w:rPr>
                <w:noProof/>
                <w:sz w:val="10"/>
                <w:szCs w:val="10"/>
                <w:lang w:val="fr-BE"/>
              </w:rPr>
              <w:t>osoby z wykształceniem podstawowym (ISCED 1) lub średnim I stopnia (ISCED 2)</w:t>
            </w:r>
          </w:p>
        </w:tc>
        <w:tc>
          <w:tcPr>
            <w:tcW w:w="0" w:type="auto"/>
            <w:shd w:val="clear" w:color="auto" w:fill="auto"/>
          </w:tcPr>
          <w:p w14:paraId="32BFCD07"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0329453D"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6151DF0B"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1CE69772" w14:textId="77777777" w:rsidR="008C5CFA" w:rsidRPr="001C4484" w:rsidRDefault="00E82A60" w:rsidP="00300A01">
            <w:pPr>
              <w:spacing w:before="0" w:after="0"/>
              <w:jc w:val="right"/>
              <w:rPr>
                <w:sz w:val="10"/>
                <w:szCs w:val="10"/>
                <w:lang w:val="fr-BE"/>
              </w:rPr>
            </w:pPr>
            <w:r w:rsidRPr="001C4484">
              <w:rPr>
                <w:noProof/>
                <w:sz w:val="10"/>
                <w:szCs w:val="10"/>
              </w:rPr>
              <w:t>0,00</w:t>
            </w:r>
          </w:p>
        </w:tc>
        <w:tc>
          <w:tcPr>
            <w:tcW w:w="0" w:type="auto"/>
          </w:tcPr>
          <w:p w14:paraId="554CB0DA"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7A297D20"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24B21DFA" w14:textId="77777777" w:rsidR="008C5CFA" w:rsidRPr="001C4484" w:rsidRDefault="00E82A60" w:rsidP="00300A01">
            <w:pPr>
              <w:spacing w:before="0" w:after="0"/>
              <w:jc w:val="right"/>
              <w:rPr>
                <w:sz w:val="10"/>
                <w:szCs w:val="10"/>
                <w:lang w:val="fr-BE"/>
              </w:rPr>
            </w:pPr>
            <w:r w:rsidRPr="001C4484">
              <w:rPr>
                <w:noProof/>
                <w:sz w:val="10"/>
                <w:szCs w:val="10"/>
                <w:lang w:val="fr-BE"/>
              </w:rPr>
              <w:t>0,00</w:t>
            </w:r>
          </w:p>
        </w:tc>
      </w:tr>
      <w:tr w:rsidR="006B2EC1" w14:paraId="41B2622F" w14:textId="77777777" w:rsidTr="0047688D">
        <w:tc>
          <w:tcPr>
            <w:tcW w:w="0" w:type="auto"/>
            <w:shd w:val="clear" w:color="auto" w:fill="auto"/>
          </w:tcPr>
          <w:p w14:paraId="630E226A" w14:textId="77777777" w:rsidR="008C5CFA" w:rsidRPr="001C4484" w:rsidRDefault="00E82A60" w:rsidP="00300A01">
            <w:pPr>
              <w:spacing w:before="0" w:after="0"/>
              <w:rPr>
                <w:sz w:val="10"/>
                <w:szCs w:val="10"/>
                <w:lang w:val="fr-BE"/>
              </w:rPr>
            </w:pPr>
            <w:r w:rsidRPr="001C4484">
              <w:rPr>
                <w:noProof/>
                <w:sz w:val="10"/>
                <w:szCs w:val="10"/>
                <w:lang w:val="fr-BE"/>
              </w:rPr>
              <w:t>CO10</w:t>
            </w:r>
          </w:p>
        </w:tc>
        <w:tc>
          <w:tcPr>
            <w:tcW w:w="0" w:type="auto"/>
            <w:shd w:val="clear" w:color="auto" w:fill="auto"/>
          </w:tcPr>
          <w:p w14:paraId="304B29AE" w14:textId="77777777" w:rsidR="008C5CFA" w:rsidRPr="001C4484" w:rsidRDefault="00E82A60" w:rsidP="00300A01">
            <w:pPr>
              <w:spacing w:before="0" w:after="0"/>
              <w:rPr>
                <w:sz w:val="10"/>
                <w:szCs w:val="10"/>
                <w:lang w:val="fr-BE"/>
              </w:rPr>
            </w:pPr>
            <w:r w:rsidRPr="001C4484">
              <w:rPr>
                <w:noProof/>
                <w:sz w:val="10"/>
                <w:szCs w:val="10"/>
                <w:lang w:val="fr-BE"/>
              </w:rPr>
              <w:t>osoby z wykształceniem średnim II stopnia (ISCED 3) lub policealnym (ISCED 4)</w:t>
            </w:r>
          </w:p>
        </w:tc>
        <w:tc>
          <w:tcPr>
            <w:tcW w:w="0" w:type="auto"/>
            <w:shd w:val="clear" w:color="auto" w:fill="auto"/>
          </w:tcPr>
          <w:p w14:paraId="4E8AC4A3"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3CA6858B"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5B5E07A7"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4158698F" w14:textId="77777777" w:rsidR="008C5CFA" w:rsidRPr="001C4484" w:rsidRDefault="00E82A60" w:rsidP="00300A01">
            <w:pPr>
              <w:spacing w:before="0" w:after="0"/>
              <w:jc w:val="right"/>
              <w:rPr>
                <w:sz w:val="10"/>
                <w:szCs w:val="10"/>
                <w:lang w:val="fr-BE"/>
              </w:rPr>
            </w:pPr>
            <w:r w:rsidRPr="001C4484">
              <w:rPr>
                <w:noProof/>
                <w:sz w:val="10"/>
                <w:szCs w:val="10"/>
              </w:rPr>
              <w:t>0,00</w:t>
            </w:r>
          </w:p>
        </w:tc>
        <w:tc>
          <w:tcPr>
            <w:tcW w:w="0" w:type="auto"/>
          </w:tcPr>
          <w:p w14:paraId="77D66F42"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78772EC9"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0F4ABFF2" w14:textId="77777777" w:rsidR="008C5CFA" w:rsidRPr="001C4484" w:rsidRDefault="00E82A60" w:rsidP="00300A01">
            <w:pPr>
              <w:spacing w:before="0" w:after="0"/>
              <w:jc w:val="right"/>
              <w:rPr>
                <w:sz w:val="10"/>
                <w:szCs w:val="10"/>
                <w:lang w:val="fr-BE"/>
              </w:rPr>
            </w:pPr>
            <w:r w:rsidRPr="001C4484">
              <w:rPr>
                <w:noProof/>
                <w:sz w:val="10"/>
                <w:szCs w:val="10"/>
                <w:lang w:val="fr-BE"/>
              </w:rPr>
              <w:t>0,00</w:t>
            </w:r>
          </w:p>
        </w:tc>
      </w:tr>
      <w:tr w:rsidR="006B2EC1" w14:paraId="79E3366A" w14:textId="77777777" w:rsidTr="0047688D">
        <w:tc>
          <w:tcPr>
            <w:tcW w:w="0" w:type="auto"/>
            <w:shd w:val="clear" w:color="auto" w:fill="auto"/>
          </w:tcPr>
          <w:p w14:paraId="736D728C" w14:textId="77777777" w:rsidR="008C5CFA" w:rsidRPr="001C4484" w:rsidRDefault="00E82A60" w:rsidP="00300A01">
            <w:pPr>
              <w:spacing w:before="0" w:after="0"/>
              <w:rPr>
                <w:sz w:val="10"/>
                <w:szCs w:val="10"/>
                <w:lang w:val="fr-BE"/>
              </w:rPr>
            </w:pPr>
            <w:r w:rsidRPr="001C4484">
              <w:rPr>
                <w:noProof/>
                <w:sz w:val="10"/>
                <w:szCs w:val="10"/>
                <w:lang w:val="fr-BE"/>
              </w:rPr>
              <w:t>CO11</w:t>
            </w:r>
          </w:p>
        </w:tc>
        <w:tc>
          <w:tcPr>
            <w:tcW w:w="0" w:type="auto"/>
            <w:shd w:val="clear" w:color="auto" w:fill="auto"/>
          </w:tcPr>
          <w:p w14:paraId="48D05E05" w14:textId="77777777" w:rsidR="008C5CFA" w:rsidRPr="001C4484" w:rsidRDefault="00E82A60" w:rsidP="00300A01">
            <w:pPr>
              <w:spacing w:before="0" w:after="0"/>
              <w:rPr>
                <w:sz w:val="10"/>
                <w:szCs w:val="10"/>
                <w:lang w:val="fr-BE"/>
              </w:rPr>
            </w:pPr>
            <w:r w:rsidRPr="001C4484">
              <w:rPr>
                <w:noProof/>
                <w:sz w:val="10"/>
                <w:szCs w:val="10"/>
                <w:lang w:val="fr-BE"/>
              </w:rPr>
              <w:t>osoby z wykształceniem wyższym (ISCED 5 do 8)</w:t>
            </w:r>
          </w:p>
        </w:tc>
        <w:tc>
          <w:tcPr>
            <w:tcW w:w="0" w:type="auto"/>
            <w:shd w:val="clear" w:color="auto" w:fill="auto"/>
          </w:tcPr>
          <w:p w14:paraId="7CB3B4B6"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1528B496"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55A4ABBE"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295D7C47" w14:textId="77777777" w:rsidR="008C5CFA" w:rsidRPr="001C4484" w:rsidRDefault="00E82A60" w:rsidP="00300A01">
            <w:pPr>
              <w:spacing w:before="0" w:after="0"/>
              <w:jc w:val="right"/>
              <w:rPr>
                <w:sz w:val="10"/>
                <w:szCs w:val="10"/>
                <w:lang w:val="fr-BE"/>
              </w:rPr>
            </w:pPr>
            <w:r w:rsidRPr="001C4484">
              <w:rPr>
                <w:noProof/>
                <w:sz w:val="10"/>
                <w:szCs w:val="10"/>
              </w:rPr>
              <w:t>0,00</w:t>
            </w:r>
          </w:p>
        </w:tc>
        <w:tc>
          <w:tcPr>
            <w:tcW w:w="0" w:type="auto"/>
          </w:tcPr>
          <w:p w14:paraId="02758AFC"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72619B31"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258BA91B" w14:textId="77777777" w:rsidR="008C5CFA" w:rsidRPr="001C4484" w:rsidRDefault="00E82A60" w:rsidP="00300A01">
            <w:pPr>
              <w:spacing w:before="0" w:after="0"/>
              <w:jc w:val="right"/>
              <w:rPr>
                <w:sz w:val="10"/>
                <w:szCs w:val="10"/>
                <w:lang w:val="fr-BE"/>
              </w:rPr>
            </w:pPr>
            <w:r w:rsidRPr="001C4484">
              <w:rPr>
                <w:noProof/>
                <w:sz w:val="10"/>
                <w:szCs w:val="10"/>
                <w:lang w:val="fr-BE"/>
              </w:rPr>
              <w:t>0,00</w:t>
            </w:r>
          </w:p>
        </w:tc>
      </w:tr>
      <w:tr w:rsidR="006B2EC1" w14:paraId="354A1B93" w14:textId="77777777" w:rsidTr="0047688D">
        <w:tc>
          <w:tcPr>
            <w:tcW w:w="0" w:type="auto"/>
            <w:shd w:val="clear" w:color="auto" w:fill="auto"/>
          </w:tcPr>
          <w:p w14:paraId="1CAB76E6" w14:textId="77777777" w:rsidR="008C5CFA" w:rsidRPr="001C4484" w:rsidRDefault="00E82A60" w:rsidP="00300A01">
            <w:pPr>
              <w:spacing w:before="0" w:after="0"/>
              <w:rPr>
                <w:sz w:val="10"/>
                <w:szCs w:val="10"/>
                <w:lang w:val="fr-BE"/>
              </w:rPr>
            </w:pPr>
            <w:r w:rsidRPr="001C4484">
              <w:rPr>
                <w:noProof/>
                <w:sz w:val="10"/>
                <w:szCs w:val="10"/>
                <w:lang w:val="fr-BE"/>
              </w:rPr>
              <w:t>CO15</w:t>
            </w:r>
          </w:p>
        </w:tc>
        <w:tc>
          <w:tcPr>
            <w:tcW w:w="0" w:type="auto"/>
            <w:shd w:val="clear" w:color="auto" w:fill="auto"/>
          </w:tcPr>
          <w:p w14:paraId="78FD08BA" w14:textId="77777777" w:rsidR="008C5CFA" w:rsidRPr="001C4484" w:rsidRDefault="00E82A60" w:rsidP="00300A01">
            <w:pPr>
              <w:spacing w:before="0" w:after="0"/>
              <w:rPr>
                <w:sz w:val="10"/>
                <w:szCs w:val="10"/>
                <w:lang w:val="fr-BE"/>
              </w:rPr>
            </w:pPr>
            <w:r w:rsidRPr="001C4484">
              <w:rPr>
                <w:noProof/>
                <w:sz w:val="10"/>
                <w:szCs w:val="10"/>
                <w:lang w:val="fr-BE"/>
              </w:rPr>
              <w:t>migranci, uczestnicy obcego pochodzenia, mniejszości (w tym społeczności marginalizowane, takie jak Romowie)</w:t>
            </w:r>
          </w:p>
        </w:tc>
        <w:tc>
          <w:tcPr>
            <w:tcW w:w="0" w:type="auto"/>
            <w:shd w:val="clear" w:color="auto" w:fill="auto"/>
          </w:tcPr>
          <w:p w14:paraId="1E44CA19"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5009E4BE"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269927B0"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5C945C88" w14:textId="77777777" w:rsidR="008C5CFA" w:rsidRPr="001C4484" w:rsidRDefault="00E82A60" w:rsidP="00300A01">
            <w:pPr>
              <w:spacing w:before="0" w:after="0"/>
              <w:jc w:val="right"/>
              <w:rPr>
                <w:sz w:val="10"/>
                <w:szCs w:val="10"/>
                <w:lang w:val="fr-BE"/>
              </w:rPr>
            </w:pPr>
            <w:r w:rsidRPr="001C4484">
              <w:rPr>
                <w:noProof/>
                <w:sz w:val="10"/>
                <w:szCs w:val="10"/>
              </w:rPr>
              <w:t>0,00</w:t>
            </w:r>
          </w:p>
        </w:tc>
        <w:tc>
          <w:tcPr>
            <w:tcW w:w="0" w:type="auto"/>
          </w:tcPr>
          <w:p w14:paraId="42AEC631"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45F61826"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0D093530" w14:textId="77777777" w:rsidR="008C5CFA" w:rsidRPr="001C4484" w:rsidRDefault="00E82A60" w:rsidP="00300A01">
            <w:pPr>
              <w:spacing w:before="0" w:after="0"/>
              <w:jc w:val="right"/>
              <w:rPr>
                <w:sz w:val="10"/>
                <w:szCs w:val="10"/>
                <w:lang w:val="fr-BE"/>
              </w:rPr>
            </w:pPr>
            <w:r w:rsidRPr="001C4484">
              <w:rPr>
                <w:noProof/>
                <w:sz w:val="10"/>
                <w:szCs w:val="10"/>
                <w:lang w:val="fr-BE"/>
              </w:rPr>
              <w:t>0,00</w:t>
            </w:r>
          </w:p>
        </w:tc>
      </w:tr>
      <w:tr w:rsidR="006B2EC1" w14:paraId="7AA211C7" w14:textId="77777777" w:rsidTr="0047688D">
        <w:tc>
          <w:tcPr>
            <w:tcW w:w="0" w:type="auto"/>
            <w:shd w:val="clear" w:color="auto" w:fill="auto"/>
          </w:tcPr>
          <w:p w14:paraId="7710A586" w14:textId="77777777" w:rsidR="008C5CFA" w:rsidRPr="001C4484" w:rsidRDefault="00E82A60" w:rsidP="00300A01">
            <w:pPr>
              <w:spacing w:before="0" w:after="0"/>
              <w:rPr>
                <w:sz w:val="10"/>
                <w:szCs w:val="10"/>
                <w:lang w:val="fr-BE"/>
              </w:rPr>
            </w:pPr>
            <w:r w:rsidRPr="001C4484">
              <w:rPr>
                <w:noProof/>
                <w:sz w:val="10"/>
                <w:szCs w:val="10"/>
                <w:lang w:val="fr-BE"/>
              </w:rPr>
              <w:t>CO16</w:t>
            </w:r>
          </w:p>
        </w:tc>
        <w:tc>
          <w:tcPr>
            <w:tcW w:w="0" w:type="auto"/>
            <w:shd w:val="clear" w:color="auto" w:fill="auto"/>
          </w:tcPr>
          <w:p w14:paraId="54AAFEB0" w14:textId="77777777" w:rsidR="008C5CFA" w:rsidRPr="001C4484" w:rsidRDefault="00E82A60" w:rsidP="00300A01">
            <w:pPr>
              <w:spacing w:before="0" w:after="0"/>
              <w:rPr>
                <w:sz w:val="10"/>
                <w:szCs w:val="10"/>
                <w:lang w:val="fr-BE"/>
              </w:rPr>
            </w:pPr>
            <w:r w:rsidRPr="001C4484">
              <w:rPr>
                <w:noProof/>
                <w:sz w:val="10"/>
                <w:szCs w:val="10"/>
                <w:lang w:val="fr-BE"/>
              </w:rPr>
              <w:t>uczestnicy z niepełnosprawnościami</w:t>
            </w:r>
          </w:p>
        </w:tc>
        <w:tc>
          <w:tcPr>
            <w:tcW w:w="0" w:type="auto"/>
            <w:shd w:val="clear" w:color="auto" w:fill="auto"/>
          </w:tcPr>
          <w:p w14:paraId="3EF98D44"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06AD2FB1"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3D0B3F71"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738D96FB" w14:textId="77777777" w:rsidR="008C5CFA" w:rsidRPr="001C4484" w:rsidRDefault="00E82A60" w:rsidP="00300A01">
            <w:pPr>
              <w:spacing w:before="0" w:after="0"/>
              <w:jc w:val="right"/>
              <w:rPr>
                <w:sz w:val="10"/>
                <w:szCs w:val="10"/>
                <w:lang w:val="fr-BE"/>
              </w:rPr>
            </w:pPr>
            <w:r w:rsidRPr="001C4484">
              <w:rPr>
                <w:noProof/>
                <w:sz w:val="10"/>
                <w:szCs w:val="10"/>
              </w:rPr>
              <w:t>0,00</w:t>
            </w:r>
          </w:p>
        </w:tc>
        <w:tc>
          <w:tcPr>
            <w:tcW w:w="0" w:type="auto"/>
          </w:tcPr>
          <w:p w14:paraId="19E61F96"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2C566F79"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0AFF2E5B" w14:textId="77777777" w:rsidR="008C5CFA" w:rsidRPr="001C4484" w:rsidRDefault="00E82A60" w:rsidP="00300A01">
            <w:pPr>
              <w:spacing w:before="0" w:after="0"/>
              <w:jc w:val="right"/>
              <w:rPr>
                <w:sz w:val="10"/>
                <w:szCs w:val="10"/>
                <w:lang w:val="fr-BE"/>
              </w:rPr>
            </w:pPr>
            <w:r w:rsidRPr="001C4484">
              <w:rPr>
                <w:noProof/>
                <w:sz w:val="10"/>
                <w:szCs w:val="10"/>
                <w:lang w:val="fr-BE"/>
              </w:rPr>
              <w:t>0,00</w:t>
            </w:r>
          </w:p>
        </w:tc>
      </w:tr>
      <w:tr w:rsidR="006B2EC1" w14:paraId="745970FF" w14:textId="77777777" w:rsidTr="0047688D">
        <w:tc>
          <w:tcPr>
            <w:tcW w:w="0" w:type="auto"/>
            <w:shd w:val="clear" w:color="auto" w:fill="auto"/>
          </w:tcPr>
          <w:p w14:paraId="3690EC64" w14:textId="77777777" w:rsidR="008C5CFA" w:rsidRPr="001C4484" w:rsidRDefault="00E82A60" w:rsidP="00300A01">
            <w:pPr>
              <w:spacing w:before="0" w:after="0"/>
              <w:rPr>
                <w:sz w:val="10"/>
                <w:szCs w:val="10"/>
                <w:lang w:val="fr-BE"/>
              </w:rPr>
            </w:pPr>
            <w:r w:rsidRPr="001C4484">
              <w:rPr>
                <w:noProof/>
                <w:sz w:val="10"/>
                <w:szCs w:val="10"/>
                <w:lang w:val="fr-BE"/>
              </w:rPr>
              <w:t>CO17</w:t>
            </w:r>
          </w:p>
        </w:tc>
        <w:tc>
          <w:tcPr>
            <w:tcW w:w="0" w:type="auto"/>
            <w:shd w:val="clear" w:color="auto" w:fill="auto"/>
          </w:tcPr>
          <w:p w14:paraId="70C97DC9" w14:textId="77777777" w:rsidR="008C5CFA" w:rsidRPr="001C4484" w:rsidRDefault="00E82A60" w:rsidP="00300A01">
            <w:pPr>
              <w:spacing w:before="0" w:after="0"/>
              <w:rPr>
                <w:sz w:val="10"/>
                <w:szCs w:val="10"/>
                <w:lang w:val="fr-BE"/>
              </w:rPr>
            </w:pPr>
            <w:r w:rsidRPr="001C4484">
              <w:rPr>
                <w:noProof/>
                <w:sz w:val="10"/>
                <w:szCs w:val="10"/>
                <w:lang w:val="fr-BE"/>
              </w:rPr>
              <w:t>inne osoby w niekorzystnej sytuacji społecznej</w:t>
            </w:r>
          </w:p>
        </w:tc>
        <w:tc>
          <w:tcPr>
            <w:tcW w:w="0" w:type="auto"/>
            <w:shd w:val="clear" w:color="auto" w:fill="auto"/>
          </w:tcPr>
          <w:p w14:paraId="7CEB7077"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6F468D86"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00B0371C"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033ED02B" w14:textId="77777777" w:rsidR="008C5CFA" w:rsidRPr="001C4484" w:rsidRDefault="00E82A60" w:rsidP="00300A01">
            <w:pPr>
              <w:spacing w:before="0" w:after="0"/>
              <w:jc w:val="right"/>
              <w:rPr>
                <w:sz w:val="10"/>
                <w:szCs w:val="10"/>
                <w:lang w:val="fr-BE"/>
              </w:rPr>
            </w:pPr>
            <w:r w:rsidRPr="001C4484">
              <w:rPr>
                <w:noProof/>
                <w:sz w:val="10"/>
                <w:szCs w:val="10"/>
              </w:rPr>
              <w:t>0,00</w:t>
            </w:r>
          </w:p>
        </w:tc>
        <w:tc>
          <w:tcPr>
            <w:tcW w:w="0" w:type="auto"/>
          </w:tcPr>
          <w:p w14:paraId="1BC4AE6F"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636488C3"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22DF8762" w14:textId="77777777" w:rsidR="008C5CFA" w:rsidRPr="001C4484" w:rsidRDefault="00E82A60" w:rsidP="00300A01">
            <w:pPr>
              <w:spacing w:before="0" w:after="0"/>
              <w:jc w:val="right"/>
              <w:rPr>
                <w:sz w:val="10"/>
                <w:szCs w:val="10"/>
                <w:lang w:val="fr-BE"/>
              </w:rPr>
            </w:pPr>
            <w:r w:rsidRPr="001C4484">
              <w:rPr>
                <w:noProof/>
                <w:sz w:val="10"/>
                <w:szCs w:val="10"/>
                <w:lang w:val="fr-BE"/>
              </w:rPr>
              <w:t>0,00</w:t>
            </w:r>
          </w:p>
        </w:tc>
      </w:tr>
      <w:tr w:rsidR="006B2EC1" w14:paraId="31E0C206" w14:textId="77777777" w:rsidTr="0047688D">
        <w:tc>
          <w:tcPr>
            <w:tcW w:w="0" w:type="auto"/>
            <w:shd w:val="clear" w:color="auto" w:fill="auto"/>
          </w:tcPr>
          <w:p w14:paraId="2650E1E5" w14:textId="77777777" w:rsidR="008C5CFA" w:rsidRPr="001C4484" w:rsidRDefault="00E82A60" w:rsidP="00300A01">
            <w:pPr>
              <w:spacing w:before="0" w:after="0"/>
              <w:rPr>
                <w:sz w:val="10"/>
                <w:szCs w:val="10"/>
                <w:lang w:val="fr-BE"/>
              </w:rPr>
            </w:pPr>
            <w:r w:rsidRPr="001C4484">
              <w:rPr>
                <w:noProof/>
                <w:sz w:val="10"/>
                <w:szCs w:val="10"/>
                <w:lang w:val="fr-BE"/>
              </w:rPr>
              <w:t>CO18</w:t>
            </w:r>
          </w:p>
        </w:tc>
        <w:tc>
          <w:tcPr>
            <w:tcW w:w="0" w:type="auto"/>
            <w:shd w:val="clear" w:color="auto" w:fill="auto"/>
          </w:tcPr>
          <w:p w14:paraId="07F6E064" w14:textId="77777777" w:rsidR="008C5CFA" w:rsidRPr="001C4484" w:rsidRDefault="00E82A60" w:rsidP="00300A01">
            <w:pPr>
              <w:spacing w:before="0" w:after="0"/>
              <w:rPr>
                <w:sz w:val="10"/>
                <w:szCs w:val="10"/>
                <w:lang w:val="fr-BE"/>
              </w:rPr>
            </w:pPr>
            <w:r w:rsidRPr="001C4484">
              <w:rPr>
                <w:noProof/>
                <w:sz w:val="10"/>
                <w:szCs w:val="10"/>
                <w:lang w:val="fr-BE"/>
              </w:rPr>
              <w:t>osoby bezdomne lub dotknięte wykluczeniem z dostępu do mieszkań</w:t>
            </w:r>
          </w:p>
        </w:tc>
        <w:tc>
          <w:tcPr>
            <w:tcW w:w="0" w:type="auto"/>
            <w:shd w:val="clear" w:color="auto" w:fill="auto"/>
          </w:tcPr>
          <w:p w14:paraId="250B19C5"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35E8724F"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31760F13"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192D2598" w14:textId="77777777" w:rsidR="008C5CFA" w:rsidRPr="001C4484" w:rsidRDefault="00E82A60" w:rsidP="00300A01">
            <w:pPr>
              <w:spacing w:before="0" w:after="0"/>
              <w:jc w:val="right"/>
              <w:rPr>
                <w:sz w:val="10"/>
                <w:szCs w:val="10"/>
                <w:lang w:val="fr-BE"/>
              </w:rPr>
            </w:pPr>
            <w:r w:rsidRPr="001C4484">
              <w:rPr>
                <w:noProof/>
                <w:sz w:val="10"/>
                <w:szCs w:val="10"/>
              </w:rPr>
              <w:t>0,00</w:t>
            </w:r>
          </w:p>
        </w:tc>
        <w:tc>
          <w:tcPr>
            <w:tcW w:w="0" w:type="auto"/>
          </w:tcPr>
          <w:p w14:paraId="7407FBF3"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7159A145"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168CC7FC" w14:textId="77777777" w:rsidR="008C5CFA" w:rsidRPr="001C4484" w:rsidRDefault="00E82A60" w:rsidP="00300A01">
            <w:pPr>
              <w:spacing w:before="0" w:after="0"/>
              <w:jc w:val="right"/>
              <w:rPr>
                <w:sz w:val="10"/>
                <w:szCs w:val="10"/>
                <w:lang w:val="fr-BE"/>
              </w:rPr>
            </w:pPr>
            <w:r w:rsidRPr="001C4484">
              <w:rPr>
                <w:noProof/>
                <w:sz w:val="10"/>
                <w:szCs w:val="10"/>
                <w:lang w:val="fr-BE"/>
              </w:rPr>
              <w:t>0,00</w:t>
            </w:r>
          </w:p>
        </w:tc>
      </w:tr>
      <w:tr w:rsidR="006B2EC1" w14:paraId="2ADAE180" w14:textId="77777777" w:rsidTr="0047688D">
        <w:tc>
          <w:tcPr>
            <w:tcW w:w="0" w:type="auto"/>
            <w:shd w:val="clear" w:color="auto" w:fill="auto"/>
          </w:tcPr>
          <w:p w14:paraId="168031DB" w14:textId="77777777" w:rsidR="008C5CFA" w:rsidRPr="001C4484" w:rsidRDefault="00E82A60" w:rsidP="00300A01">
            <w:pPr>
              <w:spacing w:before="0" w:after="0"/>
              <w:rPr>
                <w:sz w:val="10"/>
                <w:szCs w:val="10"/>
                <w:lang w:val="fr-BE"/>
              </w:rPr>
            </w:pPr>
            <w:r w:rsidRPr="001C4484">
              <w:rPr>
                <w:noProof/>
                <w:sz w:val="10"/>
                <w:szCs w:val="10"/>
                <w:lang w:val="fr-BE"/>
              </w:rPr>
              <w:t>CO19</w:t>
            </w:r>
          </w:p>
        </w:tc>
        <w:tc>
          <w:tcPr>
            <w:tcW w:w="0" w:type="auto"/>
            <w:shd w:val="clear" w:color="auto" w:fill="auto"/>
          </w:tcPr>
          <w:p w14:paraId="4F055196" w14:textId="77777777" w:rsidR="008C5CFA" w:rsidRPr="001C4484" w:rsidRDefault="00E82A60" w:rsidP="00300A01">
            <w:pPr>
              <w:spacing w:before="0" w:after="0"/>
              <w:rPr>
                <w:sz w:val="10"/>
                <w:szCs w:val="10"/>
                <w:lang w:val="fr-BE"/>
              </w:rPr>
            </w:pPr>
            <w:r w:rsidRPr="001C4484">
              <w:rPr>
                <w:noProof/>
                <w:sz w:val="10"/>
                <w:szCs w:val="10"/>
                <w:lang w:val="fr-BE"/>
              </w:rPr>
              <w:t>osoby pochodzące z obszarów wiejskich</w:t>
            </w:r>
          </w:p>
        </w:tc>
        <w:tc>
          <w:tcPr>
            <w:tcW w:w="0" w:type="auto"/>
            <w:shd w:val="clear" w:color="auto" w:fill="auto"/>
          </w:tcPr>
          <w:p w14:paraId="1A17B5B8"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1AA31F99"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7EFFFC8E"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3D88DAD5" w14:textId="77777777" w:rsidR="008C5CFA" w:rsidRPr="001C4484" w:rsidRDefault="00E82A60" w:rsidP="00300A01">
            <w:pPr>
              <w:spacing w:before="0" w:after="0"/>
              <w:jc w:val="right"/>
              <w:rPr>
                <w:sz w:val="10"/>
                <w:szCs w:val="10"/>
                <w:lang w:val="fr-BE"/>
              </w:rPr>
            </w:pPr>
            <w:r w:rsidRPr="001C4484">
              <w:rPr>
                <w:noProof/>
                <w:sz w:val="10"/>
                <w:szCs w:val="10"/>
              </w:rPr>
              <w:t>0,00</w:t>
            </w:r>
          </w:p>
        </w:tc>
        <w:tc>
          <w:tcPr>
            <w:tcW w:w="0" w:type="auto"/>
          </w:tcPr>
          <w:p w14:paraId="463FF1F9"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1E32BA12"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1B190B80" w14:textId="77777777" w:rsidR="008C5CFA" w:rsidRPr="001C4484" w:rsidRDefault="00E82A60" w:rsidP="00300A01">
            <w:pPr>
              <w:spacing w:before="0" w:after="0"/>
              <w:jc w:val="right"/>
              <w:rPr>
                <w:sz w:val="10"/>
                <w:szCs w:val="10"/>
                <w:lang w:val="fr-BE"/>
              </w:rPr>
            </w:pPr>
            <w:r w:rsidRPr="001C4484">
              <w:rPr>
                <w:noProof/>
                <w:sz w:val="10"/>
                <w:szCs w:val="10"/>
                <w:lang w:val="fr-BE"/>
              </w:rPr>
              <w:t>0,00</w:t>
            </w:r>
          </w:p>
        </w:tc>
      </w:tr>
      <w:tr w:rsidR="006B2EC1" w14:paraId="10D40E2A" w14:textId="77777777" w:rsidTr="0047688D">
        <w:tc>
          <w:tcPr>
            <w:tcW w:w="0" w:type="auto"/>
            <w:shd w:val="clear" w:color="auto" w:fill="auto"/>
          </w:tcPr>
          <w:p w14:paraId="2A09C797" w14:textId="77777777" w:rsidR="008C5CFA" w:rsidRPr="001C4484" w:rsidRDefault="00E82A60" w:rsidP="00300A01">
            <w:pPr>
              <w:spacing w:before="0" w:after="0"/>
              <w:rPr>
                <w:sz w:val="10"/>
                <w:szCs w:val="10"/>
                <w:lang w:val="fr-BE"/>
              </w:rPr>
            </w:pPr>
            <w:r w:rsidRPr="001C4484">
              <w:rPr>
                <w:noProof/>
                <w:sz w:val="10"/>
                <w:szCs w:val="10"/>
                <w:lang w:val="fr-BE"/>
              </w:rPr>
              <w:t>CO20</w:t>
            </w:r>
          </w:p>
        </w:tc>
        <w:tc>
          <w:tcPr>
            <w:tcW w:w="0" w:type="auto"/>
            <w:shd w:val="clear" w:color="auto" w:fill="auto"/>
          </w:tcPr>
          <w:p w14:paraId="543AA866" w14:textId="77777777" w:rsidR="008C5CFA" w:rsidRPr="001C4484" w:rsidRDefault="00E82A60" w:rsidP="00300A01">
            <w:pPr>
              <w:spacing w:before="0" w:after="0"/>
              <w:rPr>
                <w:sz w:val="10"/>
                <w:szCs w:val="10"/>
                <w:lang w:val="fr-BE"/>
              </w:rPr>
            </w:pPr>
            <w:r w:rsidRPr="001C4484">
              <w:rPr>
                <w:noProof/>
                <w:sz w:val="10"/>
                <w:szCs w:val="10"/>
                <w:lang w:val="fr-BE"/>
              </w:rPr>
              <w:t>liczba projektów zrealizowanych w pełni lub częściowo przez partnerów społecznych lub organizacje pozarządowe</w:t>
            </w:r>
          </w:p>
        </w:tc>
        <w:tc>
          <w:tcPr>
            <w:tcW w:w="0" w:type="auto"/>
            <w:shd w:val="clear" w:color="auto" w:fill="auto"/>
          </w:tcPr>
          <w:p w14:paraId="695B21E6"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68307461"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25EDA8CC" w14:textId="77777777" w:rsidR="008C5CFA" w:rsidRPr="001C4484" w:rsidRDefault="008C5CFA" w:rsidP="00300A01">
            <w:pPr>
              <w:spacing w:before="0" w:after="0"/>
              <w:jc w:val="right"/>
              <w:rPr>
                <w:sz w:val="10"/>
                <w:szCs w:val="10"/>
              </w:rPr>
            </w:pPr>
          </w:p>
        </w:tc>
        <w:tc>
          <w:tcPr>
            <w:tcW w:w="0" w:type="auto"/>
            <w:shd w:val="clear" w:color="auto" w:fill="auto"/>
          </w:tcPr>
          <w:p w14:paraId="297161BE" w14:textId="77777777" w:rsidR="008C5CFA" w:rsidRPr="001C4484" w:rsidRDefault="008C5CFA" w:rsidP="00300A01">
            <w:pPr>
              <w:spacing w:before="0" w:after="0"/>
              <w:jc w:val="right"/>
              <w:rPr>
                <w:sz w:val="10"/>
                <w:szCs w:val="10"/>
                <w:lang w:val="fr-BE"/>
              </w:rPr>
            </w:pPr>
          </w:p>
        </w:tc>
        <w:tc>
          <w:tcPr>
            <w:tcW w:w="0" w:type="auto"/>
          </w:tcPr>
          <w:p w14:paraId="7DBF825F"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36F97A3D" w14:textId="77777777" w:rsidR="008C5CFA" w:rsidRPr="001C4484" w:rsidRDefault="008C5CFA" w:rsidP="00300A01">
            <w:pPr>
              <w:spacing w:before="0" w:after="0"/>
              <w:jc w:val="right"/>
              <w:rPr>
                <w:sz w:val="10"/>
                <w:szCs w:val="10"/>
              </w:rPr>
            </w:pPr>
          </w:p>
        </w:tc>
        <w:tc>
          <w:tcPr>
            <w:tcW w:w="0" w:type="auto"/>
            <w:shd w:val="clear" w:color="auto" w:fill="auto"/>
          </w:tcPr>
          <w:p w14:paraId="1BD3363A" w14:textId="77777777" w:rsidR="008C5CFA" w:rsidRPr="001C4484" w:rsidRDefault="008C5CFA" w:rsidP="00300A01">
            <w:pPr>
              <w:spacing w:before="0" w:after="0"/>
              <w:jc w:val="right"/>
              <w:rPr>
                <w:sz w:val="10"/>
                <w:szCs w:val="10"/>
                <w:lang w:val="fr-BE"/>
              </w:rPr>
            </w:pPr>
          </w:p>
        </w:tc>
      </w:tr>
      <w:tr w:rsidR="006B2EC1" w14:paraId="18B52146" w14:textId="77777777" w:rsidTr="0047688D">
        <w:tc>
          <w:tcPr>
            <w:tcW w:w="0" w:type="auto"/>
            <w:shd w:val="clear" w:color="auto" w:fill="auto"/>
          </w:tcPr>
          <w:p w14:paraId="3230127D" w14:textId="77777777" w:rsidR="008C5CFA" w:rsidRPr="001C4484" w:rsidRDefault="00E82A60" w:rsidP="00300A01">
            <w:pPr>
              <w:spacing w:before="0" w:after="0"/>
              <w:rPr>
                <w:sz w:val="10"/>
                <w:szCs w:val="10"/>
                <w:lang w:val="fr-BE"/>
              </w:rPr>
            </w:pPr>
            <w:r w:rsidRPr="001C4484">
              <w:rPr>
                <w:noProof/>
                <w:sz w:val="10"/>
                <w:szCs w:val="10"/>
                <w:lang w:val="fr-BE"/>
              </w:rPr>
              <w:t>CO21</w:t>
            </w:r>
          </w:p>
        </w:tc>
        <w:tc>
          <w:tcPr>
            <w:tcW w:w="0" w:type="auto"/>
            <w:shd w:val="clear" w:color="auto" w:fill="auto"/>
          </w:tcPr>
          <w:p w14:paraId="794205D8" w14:textId="77777777" w:rsidR="008C5CFA" w:rsidRPr="001C4484" w:rsidRDefault="00E82A60" w:rsidP="00300A01">
            <w:pPr>
              <w:spacing w:before="0" w:after="0"/>
              <w:rPr>
                <w:sz w:val="10"/>
                <w:szCs w:val="10"/>
                <w:lang w:val="fr-BE"/>
              </w:rPr>
            </w:pPr>
            <w:r w:rsidRPr="001C4484">
              <w:rPr>
                <w:noProof/>
                <w:sz w:val="10"/>
                <w:szCs w:val="10"/>
                <w:lang w:val="fr-BE"/>
              </w:rPr>
              <w:t>liczba projektów ukierunkowanych na trwały udział kobiet w zatrudnieniu i rozwój ich kariery zawodowej</w:t>
            </w:r>
          </w:p>
        </w:tc>
        <w:tc>
          <w:tcPr>
            <w:tcW w:w="0" w:type="auto"/>
            <w:shd w:val="clear" w:color="auto" w:fill="auto"/>
          </w:tcPr>
          <w:p w14:paraId="74E737C3"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65531D43"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4096830F" w14:textId="77777777" w:rsidR="008C5CFA" w:rsidRPr="001C4484" w:rsidRDefault="008C5CFA" w:rsidP="00300A01">
            <w:pPr>
              <w:spacing w:before="0" w:after="0"/>
              <w:jc w:val="right"/>
              <w:rPr>
                <w:sz w:val="10"/>
                <w:szCs w:val="10"/>
              </w:rPr>
            </w:pPr>
          </w:p>
        </w:tc>
        <w:tc>
          <w:tcPr>
            <w:tcW w:w="0" w:type="auto"/>
            <w:shd w:val="clear" w:color="auto" w:fill="auto"/>
          </w:tcPr>
          <w:p w14:paraId="692EA99E" w14:textId="77777777" w:rsidR="008C5CFA" w:rsidRPr="001C4484" w:rsidRDefault="008C5CFA" w:rsidP="00300A01">
            <w:pPr>
              <w:spacing w:before="0" w:after="0"/>
              <w:jc w:val="right"/>
              <w:rPr>
                <w:sz w:val="10"/>
                <w:szCs w:val="10"/>
                <w:lang w:val="fr-BE"/>
              </w:rPr>
            </w:pPr>
          </w:p>
        </w:tc>
        <w:tc>
          <w:tcPr>
            <w:tcW w:w="0" w:type="auto"/>
          </w:tcPr>
          <w:p w14:paraId="3E2E0411"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065EC8B6" w14:textId="77777777" w:rsidR="008C5CFA" w:rsidRPr="001C4484" w:rsidRDefault="008C5CFA" w:rsidP="00300A01">
            <w:pPr>
              <w:spacing w:before="0" w:after="0"/>
              <w:jc w:val="right"/>
              <w:rPr>
                <w:sz w:val="10"/>
                <w:szCs w:val="10"/>
              </w:rPr>
            </w:pPr>
          </w:p>
        </w:tc>
        <w:tc>
          <w:tcPr>
            <w:tcW w:w="0" w:type="auto"/>
            <w:shd w:val="clear" w:color="auto" w:fill="auto"/>
          </w:tcPr>
          <w:p w14:paraId="7D469AFF" w14:textId="77777777" w:rsidR="008C5CFA" w:rsidRPr="001C4484" w:rsidRDefault="008C5CFA" w:rsidP="00300A01">
            <w:pPr>
              <w:spacing w:before="0" w:after="0"/>
              <w:jc w:val="right"/>
              <w:rPr>
                <w:sz w:val="10"/>
                <w:szCs w:val="10"/>
                <w:lang w:val="fr-BE"/>
              </w:rPr>
            </w:pPr>
          </w:p>
        </w:tc>
      </w:tr>
      <w:tr w:rsidR="006B2EC1" w14:paraId="4BF1F532" w14:textId="77777777" w:rsidTr="0047688D">
        <w:tc>
          <w:tcPr>
            <w:tcW w:w="0" w:type="auto"/>
            <w:shd w:val="clear" w:color="auto" w:fill="auto"/>
          </w:tcPr>
          <w:p w14:paraId="77CA3EFC" w14:textId="77777777" w:rsidR="008C5CFA" w:rsidRPr="001C4484" w:rsidRDefault="00E82A60" w:rsidP="00300A01">
            <w:pPr>
              <w:spacing w:before="0" w:after="0"/>
              <w:rPr>
                <w:sz w:val="10"/>
                <w:szCs w:val="10"/>
                <w:lang w:val="fr-BE"/>
              </w:rPr>
            </w:pPr>
            <w:r w:rsidRPr="001C4484">
              <w:rPr>
                <w:noProof/>
                <w:sz w:val="10"/>
                <w:szCs w:val="10"/>
                <w:lang w:val="fr-BE"/>
              </w:rPr>
              <w:t>CO22</w:t>
            </w:r>
          </w:p>
        </w:tc>
        <w:tc>
          <w:tcPr>
            <w:tcW w:w="0" w:type="auto"/>
            <w:shd w:val="clear" w:color="auto" w:fill="auto"/>
          </w:tcPr>
          <w:p w14:paraId="24DF5178" w14:textId="77777777" w:rsidR="008C5CFA" w:rsidRPr="001C4484" w:rsidRDefault="00E82A60" w:rsidP="00300A01">
            <w:pPr>
              <w:spacing w:before="0" w:after="0"/>
              <w:rPr>
                <w:sz w:val="10"/>
                <w:szCs w:val="10"/>
                <w:lang w:val="fr-BE"/>
              </w:rPr>
            </w:pPr>
            <w:r w:rsidRPr="001C4484">
              <w:rPr>
                <w:noProof/>
                <w:sz w:val="10"/>
                <w:szCs w:val="10"/>
                <w:lang w:val="fr-BE"/>
              </w:rPr>
              <w:t>liczba projektów obejmujących administrację publiczną lub służby publiczne na szczeblu krajowym, regionalnym lub lokalnym</w:t>
            </w:r>
          </w:p>
        </w:tc>
        <w:tc>
          <w:tcPr>
            <w:tcW w:w="0" w:type="auto"/>
            <w:shd w:val="clear" w:color="auto" w:fill="auto"/>
          </w:tcPr>
          <w:p w14:paraId="26452F41"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47328F1A"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79A8C503" w14:textId="77777777" w:rsidR="008C5CFA" w:rsidRPr="001C4484" w:rsidRDefault="008C5CFA" w:rsidP="00300A01">
            <w:pPr>
              <w:spacing w:before="0" w:after="0"/>
              <w:jc w:val="right"/>
              <w:rPr>
                <w:sz w:val="10"/>
                <w:szCs w:val="10"/>
              </w:rPr>
            </w:pPr>
          </w:p>
        </w:tc>
        <w:tc>
          <w:tcPr>
            <w:tcW w:w="0" w:type="auto"/>
            <w:shd w:val="clear" w:color="auto" w:fill="auto"/>
          </w:tcPr>
          <w:p w14:paraId="5A9B0BDC" w14:textId="77777777" w:rsidR="008C5CFA" w:rsidRPr="001C4484" w:rsidRDefault="008C5CFA" w:rsidP="00300A01">
            <w:pPr>
              <w:spacing w:before="0" w:after="0"/>
              <w:jc w:val="right"/>
              <w:rPr>
                <w:sz w:val="10"/>
                <w:szCs w:val="10"/>
                <w:lang w:val="fr-BE"/>
              </w:rPr>
            </w:pPr>
          </w:p>
        </w:tc>
        <w:tc>
          <w:tcPr>
            <w:tcW w:w="0" w:type="auto"/>
          </w:tcPr>
          <w:p w14:paraId="0922D5DC"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187311B8" w14:textId="77777777" w:rsidR="008C5CFA" w:rsidRPr="001C4484" w:rsidRDefault="008C5CFA" w:rsidP="00300A01">
            <w:pPr>
              <w:spacing w:before="0" w:after="0"/>
              <w:jc w:val="right"/>
              <w:rPr>
                <w:sz w:val="10"/>
                <w:szCs w:val="10"/>
              </w:rPr>
            </w:pPr>
          </w:p>
        </w:tc>
        <w:tc>
          <w:tcPr>
            <w:tcW w:w="0" w:type="auto"/>
            <w:shd w:val="clear" w:color="auto" w:fill="auto"/>
          </w:tcPr>
          <w:p w14:paraId="117B8D8C" w14:textId="77777777" w:rsidR="008C5CFA" w:rsidRPr="001C4484" w:rsidRDefault="008C5CFA" w:rsidP="00300A01">
            <w:pPr>
              <w:spacing w:before="0" w:after="0"/>
              <w:jc w:val="right"/>
              <w:rPr>
                <w:sz w:val="10"/>
                <w:szCs w:val="10"/>
                <w:lang w:val="fr-BE"/>
              </w:rPr>
            </w:pPr>
          </w:p>
        </w:tc>
      </w:tr>
      <w:tr w:rsidR="006B2EC1" w14:paraId="4A9D213F" w14:textId="77777777" w:rsidTr="0047688D">
        <w:tc>
          <w:tcPr>
            <w:tcW w:w="0" w:type="auto"/>
            <w:shd w:val="clear" w:color="auto" w:fill="auto"/>
          </w:tcPr>
          <w:p w14:paraId="1C5867FE" w14:textId="77777777" w:rsidR="008C5CFA" w:rsidRPr="001C4484" w:rsidRDefault="00E82A60" w:rsidP="00300A01">
            <w:pPr>
              <w:spacing w:before="0" w:after="0"/>
              <w:rPr>
                <w:sz w:val="10"/>
                <w:szCs w:val="10"/>
                <w:lang w:val="fr-BE"/>
              </w:rPr>
            </w:pPr>
            <w:r w:rsidRPr="001C4484">
              <w:rPr>
                <w:noProof/>
                <w:sz w:val="10"/>
                <w:szCs w:val="10"/>
                <w:lang w:val="fr-BE"/>
              </w:rPr>
              <w:t>CO23</w:t>
            </w:r>
          </w:p>
        </w:tc>
        <w:tc>
          <w:tcPr>
            <w:tcW w:w="0" w:type="auto"/>
            <w:shd w:val="clear" w:color="auto" w:fill="auto"/>
          </w:tcPr>
          <w:p w14:paraId="069A332C" w14:textId="77777777" w:rsidR="008C5CFA" w:rsidRPr="001C4484" w:rsidRDefault="00E82A60" w:rsidP="00300A01">
            <w:pPr>
              <w:spacing w:before="0" w:after="0"/>
              <w:rPr>
                <w:sz w:val="10"/>
                <w:szCs w:val="10"/>
                <w:lang w:val="fr-BE"/>
              </w:rPr>
            </w:pPr>
            <w:r w:rsidRPr="001C4484">
              <w:rPr>
                <w:noProof/>
                <w:sz w:val="10"/>
                <w:szCs w:val="10"/>
                <w:lang w:val="fr-BE"/>
              </w:rPr>
              <w:t>liczba objętych wsparciem mikro-, małych i średnich przedsiębiorstw (w tym przedsiębiorstw spółdzielczych i przedsiębiorstw gospodarki społecznej)</w:t>
            </w:r>
          </w:p>
        </w:tc>
        <w:tc>
          <w:tcPr>
            <w:tcW w:w="0" w:type="auto"/>
            <w:shd w:val="clear" w:color="auto" w:fill="auto"/>
          </w:tcPr>
          <w:p w14:paraId="64A9E5CA"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64E1692C"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368CA150" w14:textId="77777777" w:rsidR="008C5CFA" w:rsidRPr="001C4484" w:rsidRDefault="008C5CFA" w:rsidP="00300A01">
            <w:pPr>
              <w:spacing w:before="0" w:after="0"/>
              <w:jc w:val="right"/>
              <w:rPr>
                <w:sz w:val="10"/>
                <w:szCs w:val="10"/>
              </w:rPr>
            </w:pPr>
          </w:p>
        </w:tc>
        <w:tc>
          <w:tcPr>
            <w:tcW w:w="0" w:type="auto"/>
            <w:shd w:val="clear" w:color="auto" w:fill="auto"/>
          </w:tcPr>
          <w:p w14:paraId="4C155C38" w14:textId="77777777" w:rsidR="008C5CFA" w:rsidRPr="001C4484" w:rsidRDefault="008C5CFA" w:rsidP="00300A01">
            <w:pPr>
              <w:spacing w:before="0" w:after="0"/>
              <w:jc w:val="right"/>
              <w:rPr>
                <w:sz w:val="10"/>
                <w:szCs w:val="10"/>
                <w:lang w:val="fr-BE"/>
              </w:rPr>
            </w:pPr>
          </w:p>
        </w:tc>
        <w:tc>
          <w:tcPr>
            <w:tcW w:w="0" w:type="auto"/>
          </w:tcPr>
          <w:p w14:paraId="6A7FA83B"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3E65E21C" w14:textId="77777777" w:rsidR="008C5CFA" w:rsidRPr="001C4484" w:rsidRDefault="008C5CFA" w:rsidP="00300A01">
            <w:pPr>
              <w:spacing w:before="0" w:after="0"/>
              <w:jc w:val="right"/>
              <w:rPr>
                <w:sz w:val="10"/>
                <w:szCs w:val="10"/>
              </w:rPr>
            </w:pPr>
          </w:p>
        </w:tc>
        <w:tc>
          <w:tcPr>
            <w:tcW w:w="0" w:type="auto"/>
            <w:shd w:val="clear" w:color="auto" w:fill="auto"/>
          </w:tcPr>
          <w:p w14:paraId="65A01D9E" w14:textId="77777777" w:rsidR="008C5CFA" w:rsidRPr="001C4484" w:rsidRDefault="008C5CFA" w:rsidP="00300A01">
            <w:pPr>
              <w:spacing w:before="0" w:after="0"/>
              <w:jc w:val="right"/>
              <w:rPr>
                <w:sz w:val="10"/>
                <w:szCs w:val="10"/>
                <w:lang w:val="fr-BE"/>
              </w:rPr>
            </w:pPr>
          </w:p>
        </w:tc>
      </w:tr>
      <w:tr w:rsidR="006B2EC1" w14:paraId="56003293" w14:textId="77777777" w:rsidTr="0047688D">
        <w:tc>
          <w:tcPr>
            <w:tcW w:w="0" w:type="auto"/>
            <w:shd w:val="clear" w:color="auto" w:fill="auto"/>
          </w:tcPr>
          <w:p w14:paraId="0911487B" w14:textId="77777777" w:rsidR="008C5CFA" w:rsidRPr="001C4484" w:rsidRDefault="008C5CFA" w:rsidP="00300A01">
            <w:pPr>
              <w:spacing w:before="0" w:after="0"/>
              <w:rPr>
                <w:sz w:val="10"/>
                <w:szCs w:val="10"/>
                <w:lang w:val="fr-BE"/>
              </w:rPr>
            </w:pPr>
          </w:p>
        </w:tc>
        <w:tc>
          <w:tcPr>
            <w:tcW w:w="0" w:type="auto"/>
            <w:shd w:val="clear" w:color="auto" w:fill="auto"/>
          </w:tcPr>
          <w:p w14:paraId="77163AF2" w14:textId="77777777" w:rsidR="008C5CFA" w:rsidRPr="001C4484" w:rsidRDefault="00E82A60" w:rsidP="00300A01">
            <w:pPr>
              <w:spacing w:before="0" w:after="0"/>
              <w:rPr>
                <w:sz w:val="10"/>
                <w:szCs w:val="10"/>
                <w:lang w:val="fr-BE"/>
              </w:rPr>
            </w:pPr>
            <w:r w:rsidRPr="001C4484">
              <w:rPr>
                <w:noProof/>
                <w:sz w:val="10"/>
                <w:szCs w:val="10"/>
                <w:lang w:val="fr-BE"/>
              </w:rPr>
              <w:t>Całkowita łączna liczba uczestników</w:t>
            </w:r>
          </w:p>
        </w:tc>
        <w:tc>
          <w:tcPr>
            <w:tcW w:w="0" w:type="auto"/>
            <w:shd w:val="clear" w:color="auto" w:fill="auto"/>
          </w:tcPr>
          <w:p w14:paraId="2AE052D2" w14:textId="77777777" w:rsidR="008C5CFA" w:rsidRPr="001C4484" w:rsidRDefault="008C5CFA" w:rsidP="00300A01">
            <w:pPr>
              <w:spacing w:before="0" w:after="0"/>
              <w:rPr>
                <w:sz w:val="10"/>
                <w:szCs w:val="10"/>
                <w:lang w:val="fr-BE"/>
              </w:rPr>
            </w:pPr>
          </w:p>
        </w:tc>
        <w:tc>
          <w:tcPr>
            <w:tcW w:w="0" w:type="auto"/>
          </w:tcPr>
          <w:p w14:paraId="7AD61455"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01D6FD1D" w14:textId="77777777" w:rsidR="008C5CFA" w:rsidRPr="001C4484" w:rsidRDefault="008C5CFA" w:rsidP="00300A01">
            <w:pPr>
              <w:spacing w:before="0" w:after="0"/>
              <w:jc w:val="right"/>
              <w:rPr>
                <w:sz w:val="10"/>
                <w:szCs w:val="10"/>
              </w:rPr>
            </w:pPr>
          </w:p>
        </w:tc>
        <w:tc>
          <w:tcPr>
            <w:tcW w:w="0" w:type="auto"/>
            <w:shd w:val="clear" w:color="auto" w:fill="auto"/>
          </w:tcPr>
          <w:p w14:paraId="2FB8FB4E" w14:textId="77777777" w:rsidR="008C5CFA" w:rsidRPr="001C4484" w:rsidRDefault="008C5CFA" w:rsidP="00300A01">
            <w:pPr>
              <w:spacing w:before="0" w:after="0"/>
              <w:jc w:val="right"/>
              <w:rPr>
                <w:sz w:val="10"/>
                <w:szCs w:val="10"/>
                <w:lang w:val="fr-BE"/>
              </w:rPr>
            </w:pPr>
          </w:p>
        </w:tc>
        <w:tc>
          <w:tcPr>
            <w:tcW w:w="0" w:type="auto"/>
          </w:tcPr>
          <w:p w14:paraId="668DBAE6"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6647F90C" w14:textId="77777777" w:rsidR="008C5CFA" w:rsidRPr="001C4484" w:rsidRDefault="008C5CFA" w:rsidP="00300A01">
            <w:pPr>
              <w:spacing w:before="0" w:after="0"/>
              <w:jc w:val="right"/>
              <w:rPr>
                <w:sz w:val="10"/>
                <w:szCs w:val="10"/>
              </w:rPr>
            </w:pPr>
          </w:p>
        </w:tc>
        <w:tc>
          <w:tcPr>
            <w:tcW w:w="0" w:type="auto"/>
            <w:shd w:val="clear" w:color="auto" w:fill="auto"/>
          </w:tcPr>
          <w:p w14:paraId="722A25FC" w14:textId="77777777" w:rsidR="008C5CFA" w:rsidRPr="001C4484" w:rsidRDefault="008C5CFA" w:rsidP="00300A01">
            <w:pPr>
              <w:spacing w:before="0" w:after="0"/>
              <w:jc w:val="right"/>
              <w:rPr>
                <w:sz w:val="10"/>
                <w:szCs w:val="10"/>
                <w:lang w:val="fr-BE"/>
              </w:rPr>
            </w:pPr>
          </w:p>
        </w:tc>
      </w:tr>
    </w:tbl>
    <w:p w14:paraId="60A11F52" w14:textId="77777777" w:rsidR="008C5CFA" w:rsidRDefault="00E82A60" w:rsidP="00300A01">
      <w:pPr>
        <w:spacing w:before="0" w:after="0"/>
        <w:rPr>
          <w:lang w:val="fr-BE"/>
        </w:rPr>
      </w:pPr>
      <w:r>
        <w:rPr>
          <w:lang w:val="fr-BE"/>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9"/>
        <w:gridCol w:w="13125"/>
      </w:tblGrid>
      <w:tr w:rsidR="006B2EC1" w14:paraId="2A18DA27" w14:textId="77777777" w:rsidTr="0047688D">
        <w:tc>
          <w:tcPr>
            <w:tcW w:w="0" w:type="auto"/>
            <w:shd w:val="clear" w:color="auto" w:fill="auto"/>
          </w:tcPr>
          <w:p w14:paraId="203B788A" w14:textId="77777777" w:rsidR="008C5CFA" w:rsidRPr="002124FC" w:rsidRDefault="00E82A60" w:rsidP="00300A01">
            <w:pPr>
              <w:spacing w:before="0" w:after="0"/>
              <w:rPr>
                <w:sz w:val="20"/>
                <w:szCs w:val="20"/>
                <w:lang w:val="fr-BE"/>
              </w:rPr>
            </w:pPr>
            <w:r>
              <w:rPr>
                <w:lang w:val="fr-BE"/>
              </w:rPr>
              <w:lastRenderedPageBreak/>
              <w:br w:type="page"/>
            </w:r>
            <w:r>
              <w:rPr>
                <w:lang w:val="fr-BE"/>
              </w:rPr>
              <w:br w:type="page"/>
            </w:r>
            <w:r w:rsidRPr="002124FC">
              <w:rPr>
                <w:noProof/>
                <w:sz w:val="20"/>
                <w:szCs w:val="20"/>
                <w:lang w:val="fr-BE"/>
              </w:rPr>
              <w:t>Oś priorytetowa</w:t>
            </w:r>
          </w:p>
        </w:tc>
        <w:tc>
          <w:tcPr>
            <w:tcW w:w="0" w:type="auto"/>
            <w:shd w:val="clear" w:color="auto" w:fill="auto"/>
          </w:tcPr>
          <w:p w14:paraId="248C0141" w14:textId="77777777" w:rsidR="008C5CFA" w:rsidRPr="002124FC" w:rsidRDefault="00E82A60" w:rsidP="00300A01">
            <w:pPr>
              <w:spacing w:before="0" w:after="0"/>
              <w:rPr>
                <w:sz w:val="20"/>
                <w:szCs w:val="20"/>
                <w:lang w:val="fr-BE"/>
              </w:rPr>
            </w:pPr>
            <w:r w:rsidRPr="002124FC">
              <w:rPr>
                <w:noProof/>
                <w:sz w:val="20"/>
                <w:szCs w:val="20"/>
                <w:lang w:val="fr-BE"/>
              </w:rPr>
              <w:t>9</w:t>
            </w:r>
            <w:r w:rsidRPr="002124FC">
              <w:rPr>
                <w:sz w:val="20"/>
                <w:szCs w:val="20"/>
                <w:lang w:val="fr-BE"/>
              </w:rPr>
              <w:t xml:space="preserve"> - </w:t>
            </w:r>
            <w:r w:rsidRPr="002124FC">
              <w:rPr>
                <w:noProof/>
                <w:sz w:val="20"/>
                <w:szCs w:val="20"/>
                <w:lang w:val="fr-BE"/>
              </w:rPr>
              <w:t>Włączenie społeczne i walka z ubóstwem</w:t>
            </w:r>
          </w:p>
        </w:tc>
      </w:tr>
      <w:tr w:rsidR="006B2EC1" w14:paraId="0D9EAAB3" w14:textId="77777777" w:rsidTr="0047688D">
        <w:tc>
          <w:tcPr>
            <w:tcW w:w="0" w:type="auto"/>
            <w:shd w:val="clear" w:color="auto" w:fill="auto"/>
          </w:tcPr>
          <w:p w14:paraId="1675E535" w14:textId="77777777" w:rsidR="008C5CFA" w:rsidRPr="002124FC" w:rsidRDefault="00E82A60"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14:paraId="43E6F054" w14:textId="77777777" w:rsidR="008C5CFA" w:rsidRPr="002124FC" w:rsidRDefault="00E82A60" w:rsidP="00300A01">
            <w:pPr>
              <w:spacing w:before="0" w:after="0"/>
              <w:rPr>
                <w:sz w:val="20"/>
                <w:szCs w:val="20"/>
                <w:lang w:val="fr-BE"/>
              </w:rPr>
            </w:pPr>
            <w:r w:rsidRPr="002124FC">
              <w:rPr>
                <w:noProof/>
                <w:sz w:val="20"/>
                <w:szCs w:val="20"/>
                <w:lang w:val="fr-BE"/>
              </w:rPr>
              <w:t>9iv</w:t>
            </w:r>
            <w:r w:rsidRPr="002124FC">
              <w:rPr>
                <w:sz w:val="20"/>
                <w:szCs w:val="20"/>
                <w:lang w:val="fr-BE"/>
              </w:rPr>
              <w:t xml:space="preserve"> - </w:t>
            </w:r>
            <w:r w:rsidRPr="002124FC">
              <w:rPr>
                <w:noProof/>
                <w:sz w:val="20"/>
                <w:szCs w:val="20"/>
                <w:lang w:val="fr-BE"/>
              </w:rPr>
              <w:t>Ułatwianie dostępu do przystępnych cenowo oraz wysokiej jakości usług, w tym opieki zdrowotnej i usług socjalnych świadczonych w interesie ogólnym</w:t>
            </w:r>
          </w:p>
        </w:tc>
      </w:tr>
    </w:tbl>
    <w:p w14:paraId="1B0742E3" w14:textId="77777777" w:rsidR="008C5CFA" w:rsidRDefault="008C5CFA" w:rsidP="00300A01">
      <w:pPr>
        <w:spacing w:before="0" w:after="0"/>
      </w:pPr>
    </w:p>
    <w:p w14:paraId="009DB83D" w14:textId="77777777" w:rsidR="008C5CFA" w:rsidRPr="008E457C" w:rsidRDefault="00E82A60" w:rsidP="00300A01">
      <w:pPr>
        <w:pStyle w:val="Nagwek2"/>
        <w:spacing w:before="0" w:after="0"/>
        <w:rPr>
          <w:b w:val="0"/>
        </w:rPr>
      </w:pPr>
      <w:bookmarkStart w:id="74" w:name="_Toc46391758"/>
      <w:r w:rsidRPr="008E457C">
        <w:rPr>
          <w:b w:val="0"/>
          <w:noProof/>
          <w:lang w:val="fr-BE"/>
        </w:rPr>
        <w:t>Tabela 4B Specyficzne dla programu wskaźniki produktu dla EFS oraz Inicjatywy na rzecz zatrudnienia ludzi młodych</w:t>
      </w:r>
      <w:r w:rsidR="009A51C8">
        <w:rPr>
          <w:b w:val="0"/>
        </w:rPr>
        <w:t xml:space="preserve"> - </w:t>
      </w:r>
      <w:r w:rsidR="009A51C8" w:rsidRPr="002124FC">
        <w:rPr>
          <w:noProof/>
          <w:sz w:val="20"/>
          <w:szCs w:val="20"/>
          <w:lang w:val="fr-BE"/>
        </w:rPr>
        <w:t>9</w:t>
      </w:r>
      <w:bookmarkEnd w:id="74"/>
    </w:p>
    <w:p w14:paraId="3DB1B15C" w14:textId="77777777" w:rsidR="008C5CFA" w:rsidRDefault="008C5CFA" w:rsidP="00300A01">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84"/>
        <w:gridCol w:w="6574"/>
        <w:gridCol w:w="964"/>
        <w:gridCol w:w="892"/>
        <w:gridCol w:w="554"/>
        <w:gridCol w:w="607"/>
        <w:gridCol w:w="488"/>
        <w:gridCol w:w="554"/>
        <w:gridCol w:w="607"/>
        <w:gridCol w:w="488"/>
        <w:gridCol w:w="482"/>
        <w:gridCol w:w="607"/>
        <w:gridCol w:w="488"/>
        <w:gridCol w:w="500"/>
        <w:gridCol w:w="607"/>
        <w:gridCol w:w="488"/>
      </w:tblGrid>
      <w:tr w:rsidR="006B2EC1" w14:paraId="7488976F" w14:textId="77777777" w:rsidTr="002A1502">
        <w:trPr>
          <w:tblHeader/>
        </w:trPr>
        <w:tc>
          <w:tcPr>
            <w:tcW w:w="0" w:type="auto"/>
            <w:shd w:val="clear" w:color="auto" w:fill="auto"/>
          </w:tcPr>
          <w:p w14:paraId="64EDEEE9" w14:textId="77777777" w:rsidR="008C5CFA" w:rsidRPr="00A92B39" w:rsidRDefault="00E82A60" w:rsidP="00300A01">
            <w:pPr>
              <w:spacing w:before="0" w:after="0"/>
              <w:rPr>
                <w:b/>
                <w:sz w:val="10"/>
                <w:szCs w:val="10"/>
                <w:lang w:val="fr-BE"/>
              </w:rPr>
            </w:pPr>
            <w:r w:rsidRPr="00A92B39">
              <w:rPr>
                <w:b/>
                <w:noProof/>
                <w:sz w:val="10"/>
                <w:szCs w:val="10"/>
                <w:lang w:val="fr-BE"/>
              </w:rPr>
              <w:t>ID</w:t>
            </w:r>
          </w:p>
        </w:tc>
        <w:tc>
          <w:tcPr>
            <w:tcW w:w="0" w:type="auto"/>
            <w:shd w:val="clear" w:color="auto" w:fill="auto"/>
          </w:tcPr>
          <w:p w14:paraId="16F359CE" w14:textId="77777777" w:rsidR="008C5CFA" w:rsidRPr="00A92B39" w:rsidRDefault="00E82A60" w:rsidP="00300A01">
            <w:pPr>
              <w:spacing w:before="0" w:after="0"/>
              <w:rPr>
                <w:b/>
                <w:sz w:val="10"/>
                <w:szCs w:val="10"/>
                <w:lang w:val="fr-BE"/>
              </w:rPr>
            </w:pPr>
            <w:r w:rsidRPr="00A92B39">
              <w:rPr>
                <w:b/>
                <w:noProof/>
                <w:sz w:val="10"/>
                <w:szCs w:val="10"/>
                <w:lang w:val="fr-BE"/>
              </w:rPr>
              <w:t>Wskaźnik</w:t>
            </w:r>
          </w:p>
        </w:tc>
        <w:tc>
          <w:tcPr>
            <w:tcW w:w="0" w:type="auto"/>
            <w:shd w:val="clear" w:color="auto" w:fill="auto"/>
          </w:tcPr>
          <w:p w14:paraId="10C902AA" w14:textId="77777777" w:rsidR="008C5CFA" w:rsidRPr="00A92B39" w:rsidRDefault="00E82A60" w:rsidP="00300A01">
            <w:pPr>
              <w:spacing w:before="0" w:after="0"/>
              <w:rPr>
                <w:b/>
                <w:sz w:val="10"/>
                <w:szCs w:val="10"/>
                <w:lang w:val="fr-BE"/>
              </w:rPr>
            </w:pPr>
            <w:r w:rsidRPr="00A92B39">
              <w:rPr>
                <w:b/>
                <w:noProof/>
                <w:sz w:val="10"/>
                <w:szCs w:val="10"/>
                <w:lang w:val="fr-BE"/>
              </w:rPr>
              <w:t>Kategoria regionu</w:t>
            </w:r>
          </w:p>
        </w:tc>
        <w:tc>
          <w:tcPr>
            <w:tcW w:w="0" w:type="auto"/>
          </w:tcPr>
          <w:p w14:paraId="0A77EA89" w14:textId="77777777" w:rsidR="008C5CFA" w:rsidRPr="00A92B39" w:rsidRDefault="00E82A60" w:rsidP="00300A01">
            <w:pPr>
              <w:spacing w:before="0" w:after="0"/>
              <w:jc w:val="center"/>
              <w:rPr>
                <w:b/>
                <w:sz w:val="10"/>
                <w:szCs w:val="10"/>
                <w:lang w:val="fr-BE"/>
              </w:rPr>
            </w:pPr>
            <w:r w:rsidRPr="00A92B39">
              <w:rPr>
                <w:b/>
                <w:noProof/>
                <w:sz w:val="10"/>
                <w:szCs w:val="10"/>
                <w:lang w:val="fr-BE"/>
              </w:rPr>
              <w:t>Jednostka miary</w:t>
            </w:r>
          </w:p>
        </w:tc>
        <w:tc>
          <w:tcPr>
            <w:tcW w:w="0" w:type="auto"/>
            <w:gridSpan w:val="3"/>
            <w:shd w:val="clear" w:color="auto" w:fill="auto"/>
          </w:tcPr>
          <w:p w14:paraId="356D34C8" w14:textId="77777777" w:rsidR="008C5CFA" w:rsidRPr="00A92B39" w:rsidRDefault="00E82A60" w:rsidP="00300A01">
            <w:pPr>
              <w:spacing w:before="0" w:after="0"/>
              <w:jc w:val="center"/>
              <w:rPr>
                <w:b/>
                <w:sz w:val="10"/>
                <w:szCs w:val="10"/>
                <w:lang w:val="fr-BE"/>
              </w:rPr>
            </w:pPr>
            <w:r w:rsidRPr="00A92B39">
              <w:rPr>
                <w:b/>
                <w:noProof/>
                <w:sz w:val="10"/>
                <w:szCs w:val="10"/>
                <w:lang w:val="fr-BE"/>
              </w:rPr>
              <w:t>Wartość docelowa (2023)</w:t>
            </w:r>
          </w:p>
        </w:tc>
        <w:tc>
          <w:tcPr>
            <w:tcW w:w="0" w:type="auto"/>
            <w:gridSpan w:val="3"/>
            <w:shd w:val="clear" w:color="auto" w:fill="auto"/>
          </w:tcPr>
          <w:p w14:paraId="398E9A2C" w14:textId="77777777" w:rsidR="008C5CFA" w:rsidRPr="00A92B39" w:rsidRDefault="00E82A60" w:rsidP="00300A01">
            <w:pPr>
              <w:spacing w:before="0" w:after="0"/>
              <w:jc w:val="center"/>
              <w:rPr>
                <w:b/>
                <w:sz w:val="10"/>
                <w:szCs w:val="10"/>
                <w:lang w:val="fr-BE"/>
              </w:rPr>
            </w:pPr>
            <w:r w:rsidRPr="00A92B39">
              <w:rPr>
                <w:b/>
                <w:noProof/>
                <w:sz w:val="10"/>
                <w:szCs w:val="10"/>
                <w:lang w:val="fr-BE"/>
              </w:rPr>
              <w:t>Wartość skumulowana</w:t>
            </w:r>
          </w:p>
        </w:tc>
        <w:tc>
          <w:tcPr>
            <w:tcW w:w="0" w:type="auto"/>
            <w:gridSpan w:val="3"/>
            <w:shd w:val="clear" w:color="auto" w:fill="auto"/>
          </w:tcPr>
          <w:p w14:paraId="2EBD68B2" w14:textId="77777777" w:rsidR="008C5CFA" w:rsidRPr="00A92B39" w:rsidRDefault="00E82A60" w:rsidP="00300A01">
            <w:pPr>
              <w:spacing w:before="0" w:after="0"/>
              <w:jc w:val="center"/>
              <w:rPr>
                <w:b/>
                <w:sz w:val="10"/>
                <w:szCs w:val="10"/>
                <w:lang w:val="fr-BE"/>
              </w:rPr>
            </w:pPr>
            <w:r w:rsidRPr="00A92B39">
              <w:rPr>
                <w:b/>
                <w:noProof/>
                <w:sz w:val="10"/>
                <w:szCs w:val="10"/>
                <w:lang w:val="fr-BE"/>
              </w:rPr>
              <w:t>Wskaźnik osiągnięć</w:t>
            </w:r>
          </w:p>
        </w:tc>
        <w:tc>
          <w:tcPr>
            <w:tcW w:w="0" w:type="auto"/>
            <w:gridSpan w:val="3"/>
          </w:tcPr>
          <w:p w14:paraId="33663EEB" w14:textId="77777777" w:rsidR="008C5CFA" w:rsidRPr="00A92B39" w:rsidRDefault="00E82A60" w:rsidP="00300A01">
            <w:pPr>
              <w:spacing w:before="0" w:after="0"/>
              <w:jc w:val="center"/>
              <w:rPr>
                <w:b/>
                <w:sz w:val="10"/>
                <w:szCs w:val="10"/>
                <w:lang w:val="fr-BE"/>
              </w:rPr>
            </w:pPr>
            <w:r w:rsidRPr="00A92B39">
              <w:rPr>
                <w:bCs/>
                <w:sz w:val="10"/>
                <w:szCs w:val="10"/>
                <w:lang w:val="en-US"/>
              </w:rPr>
              <w:t>2019</w:t>
            </w:r>
          </w:p>
        </w:tc>
      </w:tr>
      <w:tr w:rsidR="006B2EC1" w14:paraId="3241AAA9" w14:textId="77777777" w:rsidTr="002A1502">
        <w:trPr>
          <w:tblHeader/>
        </w:trPr>
        <w:tc>
          <w:tcPr>
            <w:tcW w:w="0" w:type="auto"/>
            <w:shd w:val="clear" w:color="auto" w:fill="auto"/>
          </w:tcPr>
          <w:p w14:paraId="372663E7" w14:textId="77777777" w:rsidR="008C5CFA" w:rsidRPr="00A92B39" w:rsidRDefault="008C5CFA" w:rsidP="00300A01">
            <w:pPr>
              <w:spacing w:before="0" w:after="0"/>
              <w:rPr>
                <w:b/>
                <w:sz w:val="10"/>
                <w:szCs w:val="10"/>
                <w:lang w:val="fr-BE"/>
              </w:rPr>
            </w:pPr>
          </w:p>
        </w:tc>
        <w:tc>
          <w:tcPr>
            <w:tcW w:w="0" w:type="auto"/>
            <w:shd w:val="clear" w:color="auto" w:fill="auto"/>
          </w:tcPr>
          <w:p w14:paraId="56D36205" w14:textId="77777777" w:rsidR="008C5CFA" w:rsidRPr="00A92B39" w:rsidRDefault="008C5CFA" w:rsidP="00300A01">
            <w:pPr>
              <w:spacing w:before="0" w:after="0"/>
              <w:rPr>
                <w:b/>
                <w:sz w:val="10"/>
                <w:szCs w:val="10"/>
                <w:lang w:val="fr-BE"/>
              </w:rPr>
            </w:pPr>
          </w:p>
        </w:tc>
        <w:tc>
          <w:tcPr>
            <w:tcW w:w="0" w:type="auto"/>
            <w:shd w:val="clear" w:color="auto" w:fill="auto"/>
          </w:tcPr>
          <w:p w14:paraId="06643023" w14:textId="77777777" w:rsidR="008C5CFA" w:rsidRPr="00A92B39" w:rsidRDefault="008C5CFA" w:rsidP="00300A01">
            <w:pPr>
              <w:spacing w:before="0" w:after="0"/>
              <w:rPr>
                <w:b/>
                <w:sz w:val="10"/>
                <w:szCs w:val="10"/>
                <w:lang w:val="fr-BE"/>
              </w:rPr>
            </w:pPr>
          </w:p>
        </w:tc>
        <w:tc>
          <w:tcPr>
            <w:tcW w:w="0" w:type="auto"/>
          </w:tcPr>
          <w:p w14:paraId="4C976BC8" w14:textId="77777777" w:rsidR="008C5CFA" w:rsidRPr="00A92B39" w:rsidRDefault="008C5CFA" w:rsidP="00300A01">
            <w:pPr>
              <w:spacing w:before="0" w:after="0"/>
              <w:jc w:val="center"/>
              <w:rPr>
                <w:b/>
                <w:sz w:val="10"/>
                <w:szCs w:val="10"/>
                <w:lang w:val="fr-BE"/>
              </w:rPr>
            </w:pPr>
          </w:p>
        </w:tc>
        <w:tc>
          <w:tcPr>
            <w:tcW w:w="0" w:type="auto"/>
            <w:shd w:val="clear" w:color="auto" w:fill="auto"/>
          </w:tcPr>
          <w:p w14:paraId="680EB2EB" w14:textId="77777777" w:rsidR="008C5CFA" w:rsidRPr="00A92B39" w:rsidRDefault="00E82A60" w:rsidP="00300A01">
            <w:pPr>
              <w:spacing w:before="0" w:after="0"/>
              <w:jc w:val="center"/>
              <w:rPr>
                <w:b/>
                <w:sz w:val="10"/>
                <w:szCs w:val="10"/>
                <w:lang w:val="fr-BE"/>
              </w:rPr>
            </w:pPr>
            <w:r w:rsidRPr="00A92B39">
              <w:rPr>
                <w:b/>
                <w:noProof/>
                <w:sz w:val="10"/>
                <w:szCs w:val="10"/>
                <w:lang w:val="fr-BE"/>
              </w:rPr>
              <w:t>Ogółem</w:t>
            </w:r>
          </w:p>
        </w:tc>
        <w:tc>
          <w:tcPr>
            <w:tcW w:w="0" w:type="auto"/>
            <w:shd w:val="clear" w:color="auto" w:fill="auto"/>
          </w:tcPr>
          <w:p w14:paraId="16F2C45B" w14:textId="77777777" w:rsidR="008C5CFA" w:rsidRPr="00A92B39" w:rsidRDefault="00E82A60" w:rsidP="00300A01">
            <w:pPr>
              <w:spacing w:before="0" w:after="0"/>
              <w:jc w:val="center"/>
              <w:rPr>
                <w:b/>
                <w:sz w:val="10"/>
                <w:szCs w:val="10"/>
                <w:lang w:val="fr-BE"/>
              </w:rPr>
            </w:pPr>
            <w:r w:rsidRPr="00A92B39">
              <w:rPr>
                <w:b/>
                <w:noProof/>
                <w:sz w:val="10"/>
                <w:szCs w:val="10"/>
                <w:lang w:val="fr-BE"/>
              </w:rPr>
              <w:t>Mężczyźni</w:t>
            </w:r>
          </w:p>
        </w:tc>
        <w:tc>
          <w:tcPr>
            <w:tcW w:w="0" w:type="auto"/>
            <w:shd w:val="clear" w:color="auto" w:fill="auto"/>
          </w:tcPr>
          <w:p w14:paraId="7A638882" w14:textId="77777777" w:rsidR="008C5CFA" w:rsidRPr="00A92B39" w:rsidRDefault="00E82A60" w:rsidP="00300A01">
            <w:pPr>
              <w:spacing w:before="0" w:after="0"/>
              <w:jc w:val="center"/>
              <w:rPr>
                <w:b/>
                <w:sz w:val="10"/>
                <w:szCs w:val="10"/>
                <w:lang w:val="fr-BE"/>
              </w:rPr>
            </w:pPr>
            <w:r w:rsidRPr="00A92B39">
              <w:rPr>
                <w:b/>
                <w:noProof/>
                <w:sz w:val="10"/>
                <w:szCs w:val="10"/>
                <w:lang w:val="fr-BE"/>
              </w:rPr>
              <w:t>Kobiety</w:t>
            </w:r>
          </w:p>
        </w:tc>
        <w:tc>
          <w:tcPr>
            <w:tcW w:w="0" w:type="auto"/>
            <w:shd w:val="clear" w:color="auto" w:fill="auto"/>
          </w:tcPr>
          <w:p w14:paraId="5778DEEF" w14:textId="77777777" w:rsidR="008C5CFA" w:rsidRPr="00A92B39" w:rsidRDefault="00E82A60" w:rsidP="00300A01">
            <w:pPr>
              <w:spacing w:before="0" w:after="0"/>
              <w:jc w:val="center"/>
              <w:rPr>
                <w:b/>
                <w:sz w:val="10"/>
                <w:szCs w:val="10"/>
                <w:lang w:val="fr-BE"/>
              </w:rPr>
            </w:pPr>
            <w:r w:rsidRPr="00A92B39">
              <w:rPr>
                <w:b/>
                <w:noProof/>
                <w:sz w:val="10"/>
                <w:szCs w:val="10"/>
                <w:lang w:val="fr-BE"/>
              </w:rPr>
              <w:t>Ogółem</w:t>
            </w:r>
          </w:p>
        </w:tc>
        <w:tc>
          <w:tcPr>
            <w:tcW w:w="0" w:type="auto"/>
            <w:shd w:val="clear" w:color="auto" w:fill="auto"/>
          </w:tcPr>
          <w:p w14:paraId="530D4C77" w14:textId="77777777" w:rsidR="008C5CFA" w:rsidRPr="00A92B39" w:rsidRDefault="00E82A60" w:rsidP="00300A01">
            <w:pPr>
              <w:spacing w:before="0" w:after="0"/>
              <w:jc w:val="center"/>
              <w:rPr>
                <w:b/>
                <w:sz w:val="10"/>
                <w:szCs w:val="10"/>
                <w:lang w:val="fr-BE"/>
              </w:rPr>
            </w:pPr>
            <w:r w:rsidRPr="00A92B39">
              <w:rPr>
                <w:b/>
                <w:noProof/>
                <w:sz w:val="10"/>
                <w:szCs w:val="10"/>
                <w:lang w:val="fr-BE"/>
              </w:rPr>
              <w:t>Mężczyźni</w:t>
            </w:r>
          </w:p>
        </w:tc>
        <w:tc>
          <w:tcPr>
            <w:tcW w:w="0" w:type="auto"/>
            <w:shd w:val="clear" w:color="auto" w:fill="auto"/>
          </w:tcPr>
          <w:p w14:paraId="403B62AC" w14:textId="77777777" w:rsidR="008C5CFA" w:rsidRPr="00A92B39" w:rsidRDefault="00E82A60" w:rsidP="00300A01">
            <w:pPr>
              <w:spacing w:before="0" w:after="0"/>
              <w:jc w:val="center"/>
              <w:rPr>
                <w:b/>
                <w:sz w:val="10"/>
                <w:szCs w:val="10"/>
                <w:lang w:val="fr-BE"/>
              </w:rPr>
            </w:pPr>
            <w:r w:rsidRPr="00A92B39">
              <w:rPr>
                <w:b/>
                <w:noProof/>
                <w:sz w:val="10"/>
                <w:szCs w:val="10"/>
                <w:lang w:val="fr-BE"/>
              </w:rPr>
              <w:t>Kobiety</w:t>
            </w:r>
          </w:p>
        </w:tc>
        <w:tc>
          <w:tcPr>
            <w:tcW w:w="0" w:type="auto"/>
            <w:shd w:val="clear" w:color="auto" w:fill="auto"/>
          </w:tcPr>
          <w:p w14:paraId="41453A79" w14:textId="77777777" w:rsidR="008C5CFA" w:rsidRPr="00A92B39" w:rsidRDefault="00E82A60" w:rsidP="00300A01">
            <w:pPr>
              <w:spacing w:before="0" w:after="0"/>
              <w:jc w:val="center"/>
              <w:rPr>
                <w:b/>
                <w:sz w:val="10"/>
                <w:szCs w:val="10"/>
                <w:lang w:val="fr-BE"/>
              </w:rPr>
            </w:pPr>
            <w:r w:rsidRPr="00A92B39">
              <w:rPr>
                <w:b/>
                <w:noProof/>
                <w:sz w:val="10"/>
                <w:szCs w:val="10"/>
                <w:lang w:val="fr-BE"/>
              </w:rPr>
              <w:t>Ogółem</w:t>
            </w:r>
          </w:p>
        </w:tc>
        <w:tc>
          <w:tcPr>
            <w:tcW w:w="0" w:type="auto"/>
            <w:shd w:val="clear" w:color="auto" w:fill="auto"/>
          </w:tcPr>
          <w:p w14:paraId="17E11391" w14:textId="77777777" w:rsidR="008C5CFA" w:rsidRPr="00A92B39" w:rsidRDefault="00E82A60" w:rsidP="00300A01">
            <w:pPr>
              <w:spacing w:before="0" w:after="0"/>
              <w:jc w:val="center"/>
              <w:rPr>
                <w:b/>
                <w:sz w:val="10"/>
                <w:szCs w:val="10"/>
                <w:lang w:val="fr-BE"/>
              </w:rPr>
            </w:pPr>
            <w:r w:rsidRPr="00A92B39">
              <w:rPr>
                <w:b/>
                <w:noProof/>
                <w:sz w:val="10"/>
                <w:szCs w:val="10"/>
                <w:lang w:val="fr-BE"/>
              </w:rPr>
              <w:t>Mężczyźni</w:t>
            </w:r>
          </w:p>
        </w:tc>
        <w:tc>
          <w:tcPr>
            <w:tcW w:w="0" w:type="auto"/>
            <w:shd w:val="clear" w:color="auto" w:fill="auto"/>
          </w:tcPr>
          <w:p w14:paraId="30B872D3" w14:textId="77777777" w:rsidR="008C5CFA" w:rsidRPr="00A92B39" w:rsidRDefault="00E82A60" w:rsidP="00300A01">
            <w:pPr>
              <w:spacing w:before="0" w:after="0"/>
              <w:jc w:val="center"/>
              <w:rPr>
                <w:b/>
                <w:sz w:val="10"/>
                <w:szCs w:val="10"/>
                <w:lang w:val="fr-BE"/>
              </w:rPr>
            </w:pPr>
            <w:r w:rsidRPr="00A92B39">
              <w:rPr>
                <w:b/>
                <w:noProof/>
                <w:sz w:val="10"/>
                <w:szCs w:val="10"/>
                <w:lang w:val="fr-BE"/>
              </w:rPr>
              <w:t>Kobiety</w:t>
            </w:r>
          </w:p>
        </w:tc>
        <w:tc>
          <w:tcPr>
            <w:tcW w:w="0" w:type="auto"/>
          </w:tcPr>
          <w:p w14:paraId="2F19D7A1" w14:textId="77777777" w:rsidR="008C5CFA" w:rsidRPr="00A92B39" w:rsidRDefault="00E82A60" w:rsidP="00300A01">
            <w:pPr>
              <w:spacing w:before="0" w:after="0"/>
              <w:jc w:val="center"/>
              <w:rPr>
                <w:b/>
                <w:sz w:val="10"/>
                <w:szCs w:val="10"/>
                <w:lang w:val="fr-BE"/>
              </w:rPr>
            </w:pPr>
            <w:r w:rsidRPr="00A92B39">
              <w:rPr>
                <w:b/>
                <w:noProof/>
                <w:sz w:val="10"/>
                <w:szCs w:val="10"/>
                <w:lang w:val="fr-BE"/>
              </w:rPr>
              <w:t>Ogółem</w:t>
            </w:r>
          </w:p>
        </w:tc>
        <w:tc>
          <w:tcPr>
            <w:tcW w:w="0" w:type="auto"/>
            <w:shd w:val="clear" w:color="auto" w:fill="auto"/>
          </w:tcPr>
          <w:p w14:paraId="0D720033" w14:textId="77777777" w:rsidR="008C5CFA" w:rsidRPr="00A92B39" w:rsidRDefault="00E82A60" w:rsidP="00300A01">
            <w:pPr>
              <w:spacing w:before="0" w:after="0"/>
              <w:jc w:val="center"/>
              <w:rPr>
                <w:b/>
                <w:sz w:val="10"/>
                <w:szCs w:val="10"/>
                <w:lang w:val="fr-BE"/>
              </w:rPr>
            </w:pPr>
            <w:r w:rsidRPr="00A92B39">
              <w:rPr>
                <w:b/>
                <w:noProof/>
                <w:sz w:val="10"/>
                <w:szCs w:val="10"/>
                <w:lang w:val="fr-BE"/>
              </w:rPr>
              <w:t>Mężczyźni</w:t>
            </w:r>
          </w:p>
        </w:tc>
        <w:tc>
          <w:tcPr>
            <w:tcW w:w="0" w:type="auto"/>
            <w:shd w:val="clear" w:color="auto" w:fill="auto"/>
          </w:tcPr>
          <w:p w14:paraId="697E6DA8" w14:textId="77777777" w:rsidR="008C5CFA" w:rsidRPr="00A92B39" w:rsidRDefault="00E82A60" w:rsidP="00300A01">
            <w:pPr>
              <w:spacing w:before="0" w:after="0"/>
              <w:jc w:val="center"/>
              <w:rPr>
                <w:b/>
                <w:sz w:val="10"/>
                <w:szCs w:val="10"/>
                <w:lang w:val="fr-BE"/>
              </w:rPr>
            </w:pPr>
            <w:r w:rsidRPr="00A92B39">
              <w:rPr>
                <w:b/>
                <w:noProof/>
                <w:sz w:val="10"/>
                <w:szCs w:val="10"/>
                <w:lang w:val="fr-BE"/>
              </w:rPr>
              <w:t>Kobiety</w:t>
            </w:r>
          </w:p>
        </w:tc>
      </w:tr>
      <w:tr w:rsidR="006B2EC1" w14:paraId="28C83D1F" w14:textId="77777777" w:rsidTr="002A1502">
        <w:tc>
          <w:tcPr>
            <w:tcW w:w="0" w:type="auto"/>
            <w:shd w:val="clear" w:color="auto" w:fill="auto"/>
          </w:tcPr>
          <w:p w14:paraId="1C3CED10" w14:textId="77777777" w:rsidR="008C5CFA" w:rsidRPr="00A92B39" w:rsidRDefault="00E82A60" w:rsidP="00300A01">
            <w:pPr>
              <w:spacing w:before="0" w:after="0"/>
              <w:rPr>
                <w:sz w:val="10"/>
                <w:szCs w:val="10"/>
                <w:lang w:val="fr-BE"/>
              </w:rPr>
            </w:pPr>
            <w:r w:rsidRPr="00A92B39">
              <w:rPr>
                <w:noProof/>
                <w:sz w:val="10"/>
                <w:szCs w:val="10"/>
                <w:lang w:val="fr-BE"/>
              </w:rPr>
              <w:t>015</w:t>
            </w:r>
          </w:p>
        </w:tc>
        <w:tc>
          <w:tcPr>
            <w:tcW w:w="0" w:type="auto"/>
            <w:shd w:val="clear" w:color="auto" w:fill="auto"/>
          </w:tcPr>
          <w:p w14:paraId="685F4638" w14:textId="77777777" w:rsidR="008C5CFA" w:rsidRPr="00A92B39" w:rsidRDefault="00E82A60" w:rsidP="00300A01">
            <w:pPr>
              <w:spacing w:before="0" w:after="0"/>
              <w:rPr>
                <w:sz w:val="10"/>
                <w:szCs w:val="10"/>
                <w:lang w:val="fr-BE"/>
              </w:rPr>
            </w:pPr>
            <w:r w:rsidRPr="00A92B39">
              <w:rPr>
                <w:noProof/>
                <w:sz w:val="10"/>
                <w:szCs w:val="10"/>
                <w:lang w:val="fr-BE"/>
              </w:rPr>
              <w:t>Liczba osób zagrożonych ubóstwem lub wykluczeniem społecznym objętych usługami społecznymi świadczonymi w interesie ogólnym w programie</w:t>
            </w:r>
          </w:p>
        </w:tc>
        <w:tc>
          <w:tcPr>
            <w:tcW w:w="0" w:type="auto"/>
            <w:shd w:val="clear" w:color="auto" w:fill="auto"/>
          </w:tcPr>
          <w:p w14:paraId="2A15B028" w14:textId="77777777" w:rsidR="008C5CFA" w:rsidRPr="00A92B39" w:rsidRDefault="00E82A60" w:rsidP="00300A01">
            <w:pPr>
              <w:spacing w:before="0" w:after="0"/>
              <w:rPr>
                <w:sz w:val="10"/>
                <w:szCs w:val="10"/>
                <w:lang w:val="fr-BE"/>
              </w:rPr>
            </w:pPr>
            <w:r w:rsidRPr="00A92B39">
              <w:rPr>
                <w:noProof/>
                <w:sz w:val="10"/>
                <w:szCs w:val="10"/>
                <w:lang w:val="fr-BE"/>
              </w:rPr>
              <w:t>Słabiej rozwinięte</w:t>
            </w:r>
          </w:p>
        </w:tc>
        <w:tc>
          <w:tcPr>
            <w:tcW w:w="0" w:type="auto"/>
          </w:tcPr>
          <w:p w14:paraId="1D13B1E5" w14:textId="77777777" w:rsidR="008C5CFA" w:rsidRPr="00A92B39" w:rsidRDefault="00E82A60" w:rsidP="00300A01">
            <w:pPr>
              <w:spacing w:before="0" w:after="0"/>
              <w:rPr>
                <w:sz w:val="10"/>
                <w:szCs w:val="10"/>
                <w:lang w:val="fr-BE"/>
              </w:rPr>
            </w:pPr>
            <w:r w:rsidRPr="00A92B39">
              <w:rPr>
                <w:noProof/>
                <w:sz w:val="10"/>
                <w:szCs w:val="10"/>
                <w:lang w:val="fr-BE"/>
              </w:rPr>
              <w:t>osoba</w:t>
            </w:r>
          </w:p>
        </w:tc>
        <w:tc>
          <w:tcPr>
            <w:tcW w:w="0" w:type="auto"/>
            <w:shd w:val="clear" w:color="auto" w:fill="auto"/>
          </w:tcPr>
          <w:p w14:paraId="179C5CFC" w14:textId="77777777" w:rsidR="008C5CFA" w:rsidRPr="00A92B39" w:rsidRDefault="00E82A60" w:rsidP="00300A01">
            <w:pPr>
              <w:spacing w:before="0" w:after="0"/>
              <w:jc w:val="right"/>
              <w:rPr>
                <w:sz w:val="10"/>
                <w:szCs w:val="10"/>
                <w:lang w:val="fr-BE"/>
              </w:rPr>
            </w:pPr>
            <w:r w:rsidRPr="00A92B39">
              <w:rPr>
                <w:noProof/>
                <w:sz w:val="10"/>
                <w:szCs w:val="10"/>
                <w:lang w:val="fr-BE"/>
              </w:rPr>
              <w:t>22 061,00</w:t>
            </w:r>
          </w:p>
        </w:tc>
        <w:tc>
          <w:tcPr>
            <w:tcW w:w="0" w:type="auto"/>
            <w:shd w:val="clear" w:color="auto" w:fill="auto"/>
          </w:tcPr>
          <w:p w14:paraId="64A7EB43" w14:textId="77777777" w:rsidR="008C5CFA" w:rsidRPr="00A92B39" w:rsidRDefault="008C5CFA" w:rsidP="00300A01">
            <w:pPr>
              <w:spacing w:before="0" w:after="0"/>
              <w:jc w:val="right"/>
              <w:rPr>
                <w:sz w:val="10"/>
                <w:szCs w:val="10"/>
                <w:lang w:val="fr-BE"/>
              </w:rPr>
            </w:pPr>
          </w:p>
        </w:tc>
        <w:tc>
          <w:tcPr>
            <w:tcW w:w="0" w:type="auto"/>
            <w:shd w:val="clear" w:color="auto" w:fill="auto"/>
          </w:tcPr>
          <w:p w14:paraId="18F960A1" w14:textId="77777777" w:rsidR="008C5CFA" w:rsidRPr="00A92B39" w:rsidRDefault="008C5CFA" w:rsidP="00300A01">
            <w:pPr>
              <w:spacing w:before="0" w:after="0"/>
              <w:jc w:val="right"/>
              <w:rPr>
                <w:sz w:val="10"/>
                <w:szCs w:val="10"/>
                <w:lang w:val="fr-BE"/>
              </w:rPr>
            </w:pPr>
          </w:p>
        </w:tc>
        <w:tc>
          <w:tcPr>
            <w:tcW w:w="0" w:type="auto"/>
            <w:shd w:val="clear" w:color="auto" w:fill="auto"/>
          </w:tcPr>
          <w:p w14:paraId="31FCBA8F" w14:textId="77777777" w:rsidR="008C5CFA" w:rsidRPr="00A92B39" w:rsidRDefault="00E82A60" w:rsidP="00300A01">
            <w:pPr>
              <w:spacing w:before="0" w:after="0"/>
              <w:jc w:val="right"/>
              <w:rPr>
                <w:sz w:val="10"/>
                <w:szCs w:val="10"/>
                <w:lang w:val="fr-BE"/>
              </w:rPr>
            </w:pPr>
            <w:r w:rsidRPr="00A92B39">
              <w:rPr>
                <w:noProof/>
                <w:sz w:val="10"/>
                <w:szCs w:val="10"/>
                <w:lang w:val="fr-BE"/>
              </w:rPr>
              <w:t>11 923,00</w:t>
            </w:r>
          </w:p>
        </w:tc>
        <w:tc>
          <w:tcPr>
            <w:tcW w:w="0" w:type="auto"/>
            <w:shd w:val="clear" w:color="auto" w:fill="auto"/>
          </w:tcPr>
          <w:p w14:paraId="478DD106"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14:paraId="26989B30"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14:paraId="47864945" w14:textId="77777777" w:rsidR="008C5CFA" w:rsidRPr="00A92B39" w:rsidRDefault="00E82A60" w:rsidP="00300A01">
            <w:pPr>
              <w:spacing w:before="0" w:after="0"/>
              <w:jc w:val="right"/>
              <w:rPr>
                <w:sz w:val="10"/>
                <w:szCs w:val="10"/>
                <w:lang w:val="fr-BE"/>
              </w:rPr>
            </w:pPr>
            <w:r>
              <w:rPr>
                <w:noProof/>
                <w:sz w:val="10"/>
                <w:szCs w:val="10"/>
                <w:lang w:val="fr-BE"/>
              </w:rPr>
              <w:t>0,54</w:t>
            </w:r>
          </w:p>
        </w:tc>
        <w:tc>
          <w:tcPr>
            <w:tcW w:w="0" w:type="auto"/>
            <w:shd w:val="clear" w:color="auto" w:fill="auto"/>
          </w:tcPr>
          <w:p w14:paraId="05B5A4D3" w14:textId="77777777" w:rsidR="008C5CFA" w:rsidRPr="00A92B39" w:rsidRDefault="008C5CFA" w:rsidP="00300A01">
            <w:pPr>
              <w:spacing w:before="0" w:after="0"/>
              <w:jc w:val="right"/>
              <w:rPr>
                <w:sz w:val="10"/>
                <w:szCs w:val="10"/>
                <w:lang w:val="fr-BE"/>
              </w:rPr>
            </w:pPr>
          </w:p>
        </w:tc>
        <w:tc>
          <w:tcPr>
            <w:tcW w:w="0" w:type="auto"/>
            <w:shd w:val="clear" w:color="auto" w:fill="auto"/>
          </w:tcPr>
          <w:p w14:paraId="2480F471" w14:textId="77777777" w:rsidR="008C5CFA" w:rsidRPr="00A92B39" w:rsidRDefault="008C5CFA" w:rsidP="00300A01">
            <w:pPr>
              <w:spacing w:before="0" w:after="0"/>
              <w:jc w:val="right"/>
              <w:rPr>
                <w:sz w:val="10"/>
                <w:szCs w:val="10"/>
                <w:lang w:val="fr-BE"/>
              </w:rPr>
            </w:pPr>
          </w:p>
        </w:tc>
        <w:tc>
          <w:tcPr>
            <w:tcW w:w="0" w:type="auto"/>
          </w:tcPr>
          <w:p w14:paraId="022E58F7" w14:textId="77777777" w:rsidR="008C5CFA" w:rsidRPr="00A92B39" w:rsidRDefault="00E82A60" w:rsidP="00300A01">
            <w:pPr>
              <w:spacing w:before="0" w:after="0"/>
              <w:jc w:val="right"/>
              <w:rPr>
                <w:sz w:val="10"/>
                <w:szCs w:val="10"/>
                <w:lang w:val="fr-BE"/>
              </w:rPr>
            </w:pPr>
            <w:r w:rsidRPr="00A92B39">
              <w:rPr>
                <w:noProof/>
                <w:sz w:val="10"/>
                <w:szCs w:val="10"/>
                <w:lang w:val="fr-BE"/>
              </w:rPr>
              <w:t>4 056,00</w:t>
            </w:r>
          </w:p>
        </w:tc>
        <w:tc>
          <w:tcPr>
            <w:tcW w:w="0" w:type="auto"/>
            <w:shd w:val="clear" w:color="auto" w:fill="auto"/>
          </w:tcPr>
          <w:p w14:paraId="47179AE7"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14:paraId="6F9E58F9"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r>
      <w:tr w:rsidR="006B2EC1" w14:paraId="0DBC594E" w14:textId="77777777" w:rsidTr="002A1502">
        <w:tc>
          <w:tcPr>
            <w:tcW w:w="0" w:type="auto"/>
            <w:shd w:val="clear" w:color="auto" w:fill="auto"/>
          </w:tcPr>
          <w:p w14:paraId="24DDA10F" w14:textId="77777777" w:rsidR="008C5CFA" w:rsidRPr="00A92B39" w:rsidRDefault="00E82A60" w:rsidP="00300A01">
            <w:pPr>
              <w:spacing w:before="0" w:after="0"/>
              <w:rPr>
                <w:sz w:val="10"/>
                <w:szCs w:val="10"/>
                <w:lang w:val="fr-BE"/>
              </w:rPr>
            </w:pPr>
            <w:r w:rsidRPr="00A92B39">
              <w:rPr>
                <w:noProof/>
                <w:sz w:val="10"/>
                <w:szCs w:val="10"/>
                <w:lang w:val="fr-BE"/>
              </w:rPr>
              <w:t>016</w:t>
            </w:r>
          </w:p>
        </w:tc>
        <w:tc>
          <w:tcPr>
            <w:tcW w:w="0" w:type="auto"/>
            <w:shd w:val="clear" w:color="auto" w:fill="auto"/>
          </w:tcPr>
          <w:p w14:paraId="65788B46" w14:textId="77777777" w:rsidR="008C5CFA" w:rsidRPr="00A92B39" w:rsidRDefault="00E82A60" w:rsidP="00300A01">
            <w:pPr>
              <w:spacing w:before="0" w:after="0"/>
              <w:rPr>
                <w:sz w:val="10"/>
                <w:szCs w:val="10"/>
                <w:lang w:val="fr-BE"/>
              </w:rPr>
            </w:pPr>
            <w:r w:rsidRPr="00A92B39">
              <w:rPr>
                <w:noProof/>
                <w:sz w:val="10"/>
                <w:szCs w:val="10"/>
                <w:lang w:val="fr-BE"/>
              </w:rPr>
              <w:t>Liczba osób zagrożonych ubóstwem lub wykluczeniem społecznym objętych usługami zdrowotnymi w programie</w:t>
            </w:r>
          </w:p>
        </w:tc>
        <w:tc>
          <w:tcPr>
            <w:tcW w:w="0" w:type="auto"/>
            <w:shd w:val="clear" w:color="auto" w:fill="auto"/>
          </w:tcPr>
          <w:p w14:paraId="5C83D990" w14:textId="77777777" w:rsidR="008C5CFA" w:rsidRPr="00A92B39" w:rsidRDefault="00E82A60" w:rsidP="00300A01">
            <w:pPr>
              <w:spacing w:before="0" w:after="0"/>
              <w:rPr>
                <w:sz w:val="10"/>
                <w:szCs w:val="10"/>
                <w:lang w:val="fr-BE"/>
              </w:rPr>
            </w:pPr>
            <w:r w:rsidRPr="00A92B39">
              <w:rPr>
                <w:noProof/>
                <w:sz w:val="10"/>
                <w:szCs w:val="10"/>
                <w:lang w:val="fr-BE"/>
              </w:rPr>
              <w:t>Słabiej rozwinięte</w:t>
            </w:r>
          </w:p>
        </w:tc>
        <w:tc>
          <w:tcPr>
            <w:tcW w:w="0" w:type="auto"/>
          </w:tcPr>
          <w:p w14:paraId="493E610C" w14:textId="77777777" w:rsidR="008C5CFA" w:rsidRPr="00A92B39" w:rsidRDefault="00E82A60" w:rsidP="00300A01">
            <w:pPr>
              <w:spacing w:before="0" w:after="0"/>
              <w:rPr>
                <w:sz w:val="10"/>
                <w:szCs w:val="10"/>
                <w:lang w:val="fr-BE"/>
              </w:rPr>
            </w:pPr>
            <w:r w:rsidRPr="00A92B39">
              <w:rPr>
                <w:noProof/>
                <w:sz w:val="10"/>
                <w:szCs w:val="10"/>
                <w:lang w:val="fr-BE"/>
              </w:rPr>
              <w:t>osoba</w:t>
            </w:r>
          </w:p>
        </w:tc>
        <w:tc>
          <w:tcPr>
            <w:tcW w:w="0" w:type="auto"/>
            <w:shd w:val="clear" w:color="auto" w:fill="auto"/>
          </w:tcPr>
          <w:p w14:paraId="791DED3C" w14:textId="77777777" w:rsidR="008C5CFA" w:rsidRPr="00A92B39" w:rsidRDefault="00E82A60" w:rsidP="00300A01">
            <w:pPr>
              <w:spacing w:before="0" w:after="0"/>
              <w:jc w:val="right"/>
              <w:rPr>
                <w:sz w:val="10"/>
                <w:szCs w:val="10"/>
                <w:lang w:val="fr-BE"/>
              </w:rPr>
            </w:pPr>
            <w:r w:rsidRPr="00A92B39">
              <w:rPr>
                <w:noProof/>
                <w:sz w:val="10"/>
                <w:szCs w:val="10"/>
                <w:lang w:val="fr-BE"/>
              </w:rPr>
              <w:t>3 035,00</w:t>
            </w:r>
          </w:p>
        </w:tc>
        <w:tc>
          <w:tcPr>
            <w:tcW w:w="0" w:type="auto"/>
            <w:shd w:val="clear" w:color="auto" w:fill="auto"/>
          </w:tcPr>
          <w:p w14:paraId="0C231BDF" w14:textId="77777777" w:rsidR="008C5CFA" w:rsidRPr="00A92B39" w:rsidRDefault="008C5CFA" w:rsidP="00300A01">
            <w:pPr>
              <w:spacing w:before="0" w:after="0"/>
              <w:jc w:val="right"/>
              <w:rPr>
                <w:sz w:val="10"/>
                <w:szCs w:val="10"/>
                <w:lang w:val="fr-BE"/>
              </w:rPr>
            </w:pPr>
          </w:p>
        </w:tc>
        <w:tc>
          <w:tcPr>
            <w:tcW w:w="0" w:type="auto"/>
            <w:shd w:val="clear" w:color="auto" w:fill="auto"/>
          </w:tcPr>
          <w:p w14:paraId="39F10444" w14:textId="77777777" w:rsidR="008C5CFA" w:rsidRPr="00A92B39" w:rsidRDefault="008C5CFA" w:rsidP="00300A01">
            <w:pPr>
              <w:spacing w:before="0" w:after="0"/>
              <w:jc w:val="right"/>
              <w:rPr>
                <w:sz w:val="10"/>
                <w:szCs w:val="10"/>
                <w:lang w:val="fr-BE"/>
              </w:rPr>
            </w:pPr>
          </w:p>
        </w:tc>
        <w:tc>
          <w:tcPr>
            <w:tcW w:w="0" w:type="auto"/>
            <w:shd w:val="clear" w:color="auto" w:fill="auto"/>
          </w:tcPr>
          <w:p w14:paraId="6E3D7EC4" w14:textId="77777777" w:rsidR="008C5CFA" w:rsidRPr="00A92B39" w:rsidRDefault="00E82A60" w:rsidP="00300A01">
            <w:pPr>
              <w:spacing w:before="0" w:after="0"/>
              <w:jc w:val="right"/>
              <w:rPr>
                <w:sz w:val="10"/>
                <w:szCs w:val="10"/>
                <w:lang w:val="fr-BE"/>
              </w:rPr>
            </w:pPr>
            <w:r w:rsidRPr="00A92B39">
              <w:rPr>
                <w:noProof/>
                <w:sz w:val="10"/>
                <w:szCs w:val="10"/>
                <w:lang w:val="fr-BE"/>
              </w:rPr>
              <w:t>948,00</w:t>
            </w:r>
          </w:p>
        </w:tc>
        <w:tc>
          <w:tcPr>
            <w:tcW w:w="0" w:type="auto"/>
            <w:shd w:val="clear" w:color="auto" w:fill="auto"/>
          </w:tcPr>
          <w:p w14:paraId="48350BC8"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14:paraId="3611C4C2"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14:paraId="62B61CCB" w14:textId="77777777" w:rsidR="008C5CFA" w:rsidRPr="00A92B39" w:rsidRDefault="00E82A60" w:rsidP="00300A01">
            <w:pPr>
              <w:spacing w:before="0" w:after="0"/>
              <w:jc w:val="right"/>
              <w:rPr>
                <w:sz w:val="10"/>
                <w:szCs w:val="10"/>
                <w:lang w:val="fr-BE"/>
              </w:rPr>
            </w:pPr>
            <w:r>
              <w:rPr>
                <w:noProof/>
                <w:sz w:val="10"/>
                <w:szCs w:val="10"/>
                <w:lang w:val="fr-BE"/>
              </w:rPr>
              <w:t>0,31</w:t>
            </w:r>
          </w:p>
        </w:tc>
        <w:tc>
          <w:tcPr>
            <w:tcW w:w="0" w:type="auto"/>
            <w:shd w:val="clear" w:color="auto" w:fill="auto"/>
          </w:tcPr>
          <w:p w14:paraId="7F7B7B2C" w14:textId="77777777" w:rsidR="008C5CFA" w:rsidRPr="00A92B39" w:rsidRDefault="008C5CFA" w:rsidP="00300A01">
            <w:pPr>
              <w:spacing w:before="0" w:after="0"/>
              <w:jc w:val="right"/>
              <w:rPr>
                <w:sz w:val="10"/>
                <w:szCs w:val="10"/>
                <w:lang w:val="fr-BE"/>
              </w:rPr>
            </w:pPr>
          </w:p>
        </w:tc>
        <w:tc>
          <w:tcPr>
            <w:tcW w:w="0" w:type="auto"/>
            <w:shd w:val="clear" w:color="auto" w:fill="auto"/>
          </w:tcPr>
          <w:p w14:paraId="3F31489C" w14:textId="77777777" w:rsidR="008C5CFA" w:rsidRPr="00A92B39" w:rsidRDefault="008C5CFA" w:rsidP="00300A01">
            <w:pPr>
              <w:spacing w:before="0" w:after="0"/>
              <w:jc w:val="right"/>
              <w:rPr>
                <w:sz w:val="10"/>
                <w:szCs w:val="10"/>
                <w:lang w:val="fr-BE"/>
              </w:rPr>
            </w:pPr>
          </w:p>
        </w:tc>
        <w:tc>
          <w:tcPr>
            <w:tcW w:w="0" w:type="auto"/>
          </w:tcPr>
          <w:p w14:paraId="60BB6BCD" w14:textId="77777777" w:rsidR="008C5CFA" w:rsidRPr="00A92B39" w:rsidRDefault="00E82A60" w:rsidP="00300A01">
            <w:pPr>
              <w:spacing w:before="0" w:after="0"/>
              <w:jc w:val="right"/>
              <w:rPr>
                <w:sz w:val="10"/>
                <w:szCs w:val="10"/>
                <w:lang w:val="fr-BE"/>
              </w:rPr>
            </w:pPr>
            <w:r w:rsidRPr="00A92B39">
              <w:rPr>
                <w:noProof/>
                <w:sz w:val="10"/>
                <w:szCs w:val="10"/>
                <w:lang w:val="fr-BE"/>
              </w:rPr>
              <w:t>610,00</w:t>
            </w:r>
          </w:p>
        </w:tc>
        <w:tc>
          <w:tcPr>
            <w:tcW w:w="0" w:type="auto"/>
            <w:shd w:val="clear" w:color="auto" w:fill="auto"/>
          </w:tcPr>
          <w:p w14:paraId="11237D3A"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14:paraId="1987E72D"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r>
    </w:tbl>
    <w:p w14:paraId="0DBAC268"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29"/>
        <w:gridCol w:w="6763"/>
        <w:gridCol w:w="936"/>
        <w:gridCol w:w="454"/>
        <w:gridCol w:w="566"/>
        <w:gridCol w:w="442"/>
        <w:gridCol w:w="454"/>
        <w:gridCol w:w="566"/>
        <w:gridCol w:w="442"/>
        <w:gridCol w:w="436"/>
        <w:gridCol w:w="566"/>
        <w:gridCol w:w="442"/>
        <w:gridCol w:w="436"/>
        <w:gridCol w:w="566"/>
        <w:gridCol w:w="442"/>
        <w:gridCol w:w="436"/>
        <w:gridCol w:w="566"/>
        <w:gridCol w:w="442"/>
      </w:tblGrid>
      <w:tr w:rsidR="006B2EC1" w14:paraId="0ADC4F18" w14:textId="77777777" w:rsidTr="0047688D">
        <w:trPr>
          <w:tblHeader/>
        </w:trPr>
        <w:tc>
          <w:tcPr>
            <w:tcW w:w="0" w:type="auto"/>
            <w:shd w:val="clear" w:color="auto" w:fill="auto"/>
          </w:tcPr>
          <w:p w14:paraId="50C0C4AE" w14:textId="77777777" w:rsidR="008C5CFA" w:rsidRPr="00A92B39" w:rsidRDefault="00E82A60" w:rsidP="00300A01">
            <w:pPr>
              <w:spacing w:before="0" w:after="0"/>
              <w:rPr>
                <w:b/>
                <w:sz w:val="10"/>
                <w:szCs w:val="10"/>
                <w:lang w:val="fr-BE"/>
              </w:rPr>
            </w:pPr>
            <w:r w:rsidRPr="00A92B39">
              <w:rPr>
                <w:b/>
                <w:noProof/>
                <w:sz w:val="10"/>
                <w:szCs w:val="10"/>
                <w:lang w:val="fr-BE"/>
              </w:rPr>
              <w:t>ID</w:t>
            </w:r>
          </w:p>
        </w:tc>
        <w:tc>
          <w:tcPr>
            <w:tcW w:w="0" w:type="auto"/>
            <w:shd w:val="clear" w:color="auto" w:fill="auto"/>
          </w:tcPr>
          <w:p w14:paraId="0E462A32" w14:textId="77777777" w:rsidR="008C5CFA" w:rsidRPr="00A92B39" w:rsidRDefault="00E82A60" w:rsidP="00300A01">
            <w:pPr>
              <w:spacing w:before="0" w:after="0"/>
              <w:rPr>
                <w:b/>
                <w:sz w:val="10"/>
                <w:szCs w:val="10"/>
                <w:lang w:val="fr-BE"/>
              </w:rPr>
            </w:pPr>
            <w:r w:rsidRPr="00A92B39">
              <w:rPr>
                <w:b/>
                <w:noProof/>
                <w:sz w:val="10"/>
                <w:szCs w:val="10"/>
                <w:lang w:val="fr-BE"/>
              </w:rPr>
              <w:t>Wskaźnik</w:t>
            </w:r>
          </w:p>
        </w:tc>
        <w:tc>
          <w:tcPr>
            <w:tcW w:w="0" w:type="auto"/>
            <w:shd w:val="clear" w:color="auto" w:fill="auto"/>
          </w:tcPr>
          <w:p w14:paraId="34CD719E" w14:textId="77777777" w:rsidR="008C5CFA" w:rsidRPr="00A92B39" w:rsidRDefault="00E82A60" w:rsidP="00300A01">
            <w:pPr>
              <w:spacing w:before="0" w:after="0"/>
              <w:rPr>
                <w:b/>
                <w:sz w:val="10"/>
                <w:szCs w:val="10"/>
                <w:lang w:val="fr-BE"/>
              </w:rPr>
            </w:pPr>
            <w:r w:rsidRPr="00A92B39">
              <w:rPr>
                <w:b/>
                <w:noProof/>
                <w:sz w:val="10"/>
                <w:szCs w:val="10"/>
                <w:lang w:val="fr-BE"/>
              </w:rPr>
              <w:t>Kategoria regionu</w:t>
            </w:r>
          </w:p>
        </w:tc>
        <w:tc>
          <w:tcPr>
            <w:tcW w:w="0" w:type="auto"/>
            <w:gridSpan w:val="3"/>
            <w:shd w:val="clear" w:color="auto" w:fill="auto"/>
          </w:tcPr>
          <w:p w14:paraId="488C8FBE" w14:textId="77777777" w:rsidR="008C5CFA" w:rsidRPr="00A92B39" w:rsidRDefault="00E82A60" w:rsidP="00300A01">
            <w:pPr>
              <w:spacing w:before="0" w:after="0"/>
              <w:jc w:val="center"/>
              <w:rPr>
                <w:b/>
                <w:sz w:val="10"/>
                <w:szCs w:val="10"/>
                <w:lang w:val="fr-BE"/>
              </w:rPr>
            </w:pPr>
            <w:r w:rsidRPr="00A92B39">
              <w:rPr>
                <w:b/>
                <w:sz w:val="10"/>
                <w:szCs w:val="10"/>
                <w:lang w:val="fr-BE"/>
              </w:rPr>
              <w:t>20</w:t>
            </w:r>
            <w:r>
              <w:rPr>
                <w:b/>
                <w:sz w:val="10"/>
                <w:szCs w:val="10"/>
                <w:lang w:val="fr-BE"/>
              </w:rPr>
              <w:t>18</w:t>
            </w:r>
          </w:p>
        </w:tc>
        <w:tc>
          <w:tcPr>
            <w:tcW w:w="0" w:type="auto"/>
            <w:gridSpan w:val="3"/>
          </w:tcPr>
          <w:p w14:paraId="53734197" w14:textId="77777777" w:rsidR="008C5CFA" w:rsidRPr="00A92B39" w:rsidRDefault="00E82A60" w:rsidP="00300A01">
            <w:pPr>
              <w:spacing w:before="0" w:after="0"/>
              <w:jc w:val="center"/>
              <w:rPr>
                <w:b/>
                <w:sz w:val="10"/>
                <w:szCs w:val="10"/>
                <w:lang w:val="fr-BE"/>
              </w:rPr>
            </w:pPr>
            <w:r>
              <w:rPr>
                <w:b/>
                <w:sz w:val="10"/>
                <w:szCs w:val="10"/>
                <w:lang w:val="fr-BE"/>
              </w:rPr>
              <w:t>2017</w:t>
            </w:r>
          </w:p>
        </w:tc>
        <w:tc>
          <w:tcPr>
            <w:tcW w:w="0" w:type="auto"/>
            <w:gridSpan w:val="3"/>
          </w:tcPr>
          <w:p w14:paraId="07A82855" w14:textId="77777777" w:rsidR="008C5CFA" w:rsidRDefault="00E82A60" w:rsidP="00300A01">
            <w:pPr>
              <w:spacing w:before="0" w:after="0"/>
              <w:jc w:val="center"/>
              <w:rPr>
                <w:b/>
                <w:sz w:val="10"/>
                <w:szCs w:val="10"/>
                <w:lang w:val="fr-BE"/>
              </w:rPr>
            </w:pPr>
            <w:r>
              <w:rPr>
                <w:b/>
                <w:sz w:val="10"/>
                <w:szCs w:val="10"/>
                <w:lang w:val="fr-BE"/>
              </w:rPr>
              <w:t>2016</w:t>
            </w:r>
          </w:p>
        </w:tc>
        <w:tc>
          <w:tcPr>
            <w:tcW w:w="0" w:type="auto"/>
            <w:gridSpan w:val="3"/>
          </w:tcPr>
          <w:p w14:paraId="591FFCA0" w14:textId="77777777" w:rsidR="008C5CFA" w:rsidRDefault="00E82A60" w:rsidP="00300A01">
            <w:pPr>
              <w:spacing w:before="0" w:after="0"/>
              <w:jc w:val="center"/>
              <w:rPr>
                <w:b/>
                <w:sz w:val="10"/>
                <w:szCs w:val="10"/>
                <w:lang w:val="fr-BE"/>
              </w:rPr>
            </w:pPr>
            <w:r>
              <w:rPr>
                <w:b/>
                <w:sz w:val="10"/>
                <w:szCs w:val="10"/>
                <w:lang w:val="fr-BE"/>
              </w:rPr>
              <w:t>2015</w:t>
            </w:r>
          </w:p>
        </w:tc>
        <w:tc>
          <w:tcPr>
            <w:tcW w:w="0" w:type="auto"/>
            <w:gridSpan w:val="3"/>
          </w:tcPr>
          <w:p w14:paraId="3B2B655C" w14:textId="77777777" w:rsidR="008C5CFA" w:rsidRDefault="00E82A60" w:rsidP="00300A01">
            <w:pPr>
              <w:spacing w:before="0" w:after="0"/>
              <w:jc w:val="center"/>
              <w:rPr>
                <w:b/>
                <w:sz w:val="10"/>
                <w:szCs w:val="10"/>
                <w:lang w:val="fr-BE"/>
              </w:rPr>
            </w:pPr>
            <w:r>
              <w:rPr>
                <w:b/>
                <w:sz w:val="10"/>
                <w:szCs w:val="10"/>
                <w:lang w:val="fr-BE"/>
              </w:rPr>
              <w:t>2014</w:t>
            </w:r>
          </w:p>
        </w:tc>
      </w:tr>
      <w:tr w:rsidR="006B2EC1" w14:paraId="3FC1592D" w14:textId="77777777" w:rsidTr="0047688D">
        <w:trPr>
          <w:tblHeader/>
        </w:trPr>
        <w:tc>
          <w:tcPr>
            <w:tcW w:w="0" w:type="auto"/>
            <w:shd w:val="clear" w:color="auto" w:fill="auto"/>
          </w:tcPr>
          <w:p w14:paraId="40D308EF" w14:textId="77777777" w:rsidR="008C5CFA" w:rsidRPr="00A92B39" w:rsidRDefault="008C5CFA" w:rsidP="00300A01">
            <w:pPr>
              <w:spacing w:before="0" w:after="0"/>
              <w:rPr>
                <w:sz w:val="10"/>
                <w:szCs w:val="10"/>
                <w:lang w:val="fr-BE"/>
              </w:rPr>
            </w:pPr>
          </w:p>
        </w:tc>
        <w:tc>
          <w:tcPr>
            <w:tcW w:w="0" w:type="auto"/>
            <w:shd w:val="clear" w:color="auto" w:fill="auto"/>
          </w:tcPr>
          <w:p w14:paraId="7B0AA205" w14:textId="77777777" w:rsidR="008C5CFA" w:rsidRPr="00A92B39" w:rsidRDefault="008C5CFA" w:rsidP="00300A01">
            <w:pPr>
              <w:spacing w:before="0" w:after="0"/>
              <w:rPr>
                <w:sz w:val="10"/>
                <w:szCs w:val="10"/>
                <w:lang w:val="fr-BE"/>
              </w:rPr>
            </w:pPr>
          </w:p>
        </w:tc>
        <w:tc>
          <w:tcPr>
            <w:tcW w:w="0" w:type="auto"/>
            <w:shd w:val="clear" w:color="auto" w:fill="auto"/>
          </w:tcPr>
          <w:p w14:paraId="61F69AEB" w14:textId="77777777" w:rsidR="008C5CFA" w:rsidRPr="00A92B39" w:rsidRDefault="008C5CFA" w:rsidP="00300A01">
            <w:pPr>
              <w:spacing w:before="0" w:after="0"/>
              <w:rPr>
                <w:sz w:val="10"/>
                <w:szCs w:val="10"/>
                <w:lang w:val="fr-BE"/>
              </w:rPr>
            </w:pPr>
          </w:p>
        </w:tc>
        <w:tc>
          <w:tcPr>
            <w:tcW w:w="0" w:type="auto"/>
            <w:shd w:val="clear" w:color="auto" w:fill="auto"/>
          </w:tcPr>
          <w:p w14:paraId="4CA20203" w14:textId="77777777" w:rsidR="008C5CFA" w:rsidRPr="00A92B39" w:rsidRDefault="00E82A60" w:rsidP="00300A01">
            <w:pPr>
              <w:spacing w:before="0" w:after="0"/>
              <w:jc w:val="center"/>
              <w:rPr>
                <w:b/>
                <w:sz w:val="10"/>
                <w:szCs w:val="10"/>
                <w:lang w:val="fr-BE"/>
              </w:rPr>
            </w:pPr>
            <w:r w:rsidRPr="00A92B39">
              <w:rPr>
                <w:b/>
                <w:noProof/>
                <w:sz w:val="10"/>
                <w:szCs w:val="10"/>
                <w:lang w:val="fr-BE"/>
              </w:rPr>
              <w:t>Ogółem</w:t>
            </w:r>
          </w:p>
        </w:tc>
        <w:tc>
          <w:tcPr>
            <w:tcW w:w="0" w:type="auto"/>
            <w:shd w:val="clear" w:color="auto" w:fill="auto"/>
          </w:tcPr>
          <w:p w14:paraId="7E34025B" w14:textId="77777777" w:rsidR="008C5CFA" w:rsidRPr="00A92B39" w:rsidRDefault="00E82A60" w:rsidP="00300A01">
            <w:pPr>
              <w:spacing w:before="0" w:after="0"/>
              <w:jc w:val="center"/>
              <w:rPr>
                <w:b/>
                <w:sz w:val="10"/>
                <w:szCs w:val="10"/>
                <w:lang w:val="fr-BE"/>
              </w:rPr>
            </w:pPr>
            <w:r w:rsidRPr="00A92B39">
              <w:rPr>
                <w:b/>
                <w:noProof/>
                <w:sz w:val="10"/>
                <w:szCs w:val="10"/>
                <w:lang w:val="fr-BE"/>
              </w:rPr>
              <w:t>Mężczyźni</w:t>
            </w:r>
          </w:p>
        </w:tc>
        <w:tc>
          <w:tcPr>
            <w:tcW w:w="0" w:type="auto"/>
            <w:shd w:val="clear" w:color="auto" w:fill="auto"/>
          </w:tcPr>
          <w:p w14:paraId="2C4B5206" w14:textId="77777777" w:rsidR="008C5CFA" w:rsidRPr="00A92B39" w:rsidRDefault="00E82A60" w:rsidP="00300A01">
            <w:pPr>
              <w:spacing w:before="0" w:after="0"/>
              <w:jc w:val="center"/>
              <w:rPr>
                <w:b/>
                <w:sz w:val="10"/>
                <w:szCs w:val="10"/>
                <w:lang w:val="fr-BE"/>
              </w:rPr>
            </w:pPr>
            <w:r w:rsidRPr="00A92B39">
              <w:rPr>
                <w:b/>
                <w:noProof/>
                <w:sz w:val="10"/>
                <w:szCs w:val="10"/>
                <w:lang w:val="fr-BE"/>
              </w:rPr>
              <w:t>Kobiety</w:t>
            </w:r>
          </w:p>
        </w:tc>
        <w:tc>
          <w:tcPr>
            <w:tcW w:w="0" w:type="auto"/>
          </w:tcPr>
          <w:p w14:paraId="6096787C" w14:textId="77777777" w:rsidR="008C5CFA" w:rsidRPr="00A92B39" w:rsidRDefault="00E82A60" w:rsidP="00300A01">
            <w:pPr>
              <w:spacing w:before="0" w:after="0"/>
              <w:jc w:val="center"/>
              <w:rPr>
                <w:b/>
                <w:sz w:val="10"/>
                <w:szCs w:val="10"/>
                <w:lang w:val="fr-BE"/>
              </w:rPr>
            </w:pPr>
            <w:r w:rsidRPr="00A92B39">
              <w:rPr>
                <w:b/>
                <w:noProof/>
                <w:sz w:val="10"/>
                <w:szCs w:val="10"/>
                <w:lang w:val="fr-BE"/>
              </w:rPr>
              <w:t>Ogółem</w:t>
            </w:r>
          </w:p>
        </w:tc>
        <w:tc>
          <w:tcPr>
            <w:tcW w:w="0" w:type="auto"/>
          </w:tcPr>
          <w:p w14:paraId="079911C1" w14:textId="77777777" w:rsidR="008C5CFA" w:rsidRPr="00A92B39" w:rsidRDefault="00E82A60" w:rsidP="00300A01">
            <w:pPr>
              <w:spacing w:before="0" w:after="0"/>
              <w:jc w:val="center"/>
              <w:rPr>
                <w:b/>
                <w:sz w:val="10"/>
                <w:szCs w:val="10"/>
                <w:lang w:val="fr-BE"/>
              </w:rPr>
            </w:pPr>
            <w:r w:rsidRPr="00A92B39">
              <w:rPr>
                <w:b/>
                <w:noProof/>
                <w:sz w:val="10"/>
                <w:szCs w:val="10"/>
                <w:lang w:val="fr-BE"/>
              </w:rPr>
              <w:t>Mężczyźni</w:t>
            </w:r>
          </w:p>
        </w:tc>
        <w:tc>
          <w:tcPr>
            <w:tcW w:w="0" w:type="auto"/>
          </w:tcPr>
          <w:p w14:paraId="164AD163" w14:textId="77777777" w:rsidR="008C5CFA" w:rsidRPr="00A92B39" w:rsidRDefault="00E82A60" w:rsidP="00300A01">
            <w:pPr>
              <w:spacing w:before="0" w:after="0"/>
              <w:jc w:val="center"/>
              <w:rPr>
                <w:b/>
                <w:sz w:val="10"/>
                <w:szCs w:val="10"/>
                <w:lang w:val="fr-BE"/>
              </w:rPr>
            </w:pPr>
            <w:r w:rsidRPr="00A92B39">
              <w:rPr>
                <w:b/>
                <w:noProof/>
                <w:sz w:val="10"/>
                <w:szCs w:val="10"/>
                <w:lang w:val="fr-BE"/>
              </w:rPr>
              <w:t>Kobiety</w:t>
            </w:r>
          </w:p>
        </w:tc>
        <w:tc>
          <w:tcPr>
            <w:tcW w:w="0" w:type="auto"/>
          </w:tcPr>
          <w:p w14:paraId="4F4F8640" w14:textId="77777777" w:rsidR="008C5CFA" w:rsidRPr="00A92B39" w:rsidRDefault="00E82A60" w:rsidP="00300A01">
            <w:pPr>
              <w:spacing w:before="0" w:after="0"/>
              <w:jc w:val="center"/>
              <w:rPr>
                <w:b/>
                <w:sz w:val="10"/>
                <w:szCs w:val="10"/>
                <w:lang w:val="fr-BE"/>
              </w:rPr>
            </w:pPr>
            <w:r w:rsidRPr="00A92B39">
              <w:rPr>
                <w:b/>
                <w:noProof/>
                <w:sz w:val="10"/>
                <w:szCs w:val="10"/>
                <w:lang w:val="fr-BE"/>
              </w:rPr>
              <w:t>Ogółem</w:t>
            </w:r>
          </w:p>
        </w:tc>
        <w:tc>
          <w:tcPr>
            <w:tcW w:w="0" w:type="auto"/>
          </w:tcPr>
          <w:p w14:paraId="38DE2370" w14:textId="77777777" w:rsidR="008C5CFA" w:rsidRPr="00A92B39" w:rsidRDefault="00E82A60" w:rsidP="00300A01">
            <w:pPr>
              <w:spacing w:before="0" w:after="0"/>
              <w:jc w:val="center"/>
              <w:rPr>
                <w:b/>
                <w:sz w:val="10"/>
                <w:szCs w:val="10"/>
                <w:lang w:val="fr-BE"/>
              </w:rPr>
            </w:pPr>
            <w:r w:rsidRPr="00A92B39">
              <w:rPr>
                <w:b/>
                <w:noProof/>
                <w:sz w:val="10"/>
                <w:szCs w:val="10"/>
                <w:lang w:val="fr-BE"/>
              </w:rPr>
              <w:t>Mężczyźni</w:t>
            </w:r>
          </w:p>
        </w:tc>
        <w:tc>
          <w:tcPr>
            <w:tcW w:w="0" w:type="auto"/>
          </w:tcPr>
          <w:p w14:paraId="3D023F87" w14:textId="77777777" w:rsidR="008C5CFA" w:rsidRPr="00A92B39" w:rsidRDefault="00E82A60" w:rsidP="00300A01">
            <w:pPr>
              <w:spacing w:before="0" w:after="0"/>
              <w:jc w:val="center"/>
              <w:rPr>
                <w:b/>
                <w:sz w:val="10"/>
                <w:szCs w:val="10"/>
                <w:lang w:val="fr-BE"/>
              </w:rPr>
            </w:pPr>
            <w:r w:rsidRPr="00A92B39">
              <w:rPr>
                <w:b/>
                <w:noProof/>
                <w:sz w:val="10"/>
                <w:szCs w:val="10"/>
                <w:lang w:val="fr-BE"/>
              </w:rPr>
              <w:t>Kobiety</w:t>
            </w:r>
          </w:p>
        </w:tc>
        <w:tc>
          <w:tcPr>
            <w:tcW w:w="0" w:type="auto"/>
          </w:tcPr>
          <w:p w14:paraId="1A4BEE98" w14:textId="77777777" w:rsidR="008C5CFA" w:rsidRPr="00A92B39" w:rsidRDefault="00E82A60" w:rsidP="00300A01">
            <w:pPr>
              <w:spacing w:before="0" w:after="0"/>
              <w:jc w:val="center"/>
              <w:rPr>
                <w:b/>
                <w:sz w:val="10"/>
                <w:szCs w:val="10"/>
                <w:lang w:val="fr-BE"/>
              </w:rPr>
            </w:pPr>
            <w:r w:rsidRPr="00A92B39">
              <w:rPr>
                <w:b/>
                <w:noProof/>
                <w:sz w:val="10"/>
                <w:szCs w:val="10"/>
                <w:lang w:val="fr-BE"/>
              </w:rPr>
              <w:t>Ogółem</w:t>
            </w:r>
          </w:p>
        </w:tc>
        <w:tc>
          <w:tcPr>
            <w:tcW w:w="0" w:type="auto"/>
          </w:tcPr>
          <w:p w14:paraId="6E0CFACF" w14:textId="77777777" w:rsidR="008C5CFA" w:rsidRPr="00A92B39" w:rsidRDefault="00E82A60" w:rsidP="00300A01">
            <w:pPr>
              <w:spacing w:before="0" w:after="0"/>
              <w:jc w:val="center"/>
              <w:rPr>
                <w:b/>
                <w:sz w:val="10"/>
                <w:szCs w:val="10"/>
                <w:lang w:val="fr-BE"/>
              </w:rPr>
            </w:pPr>
            <w:r w:rsidRPr="00A92B39">
              <w:rPr>
                <w:b/>
                <w:noProof/>
                <w:sz w:val="10"/>
                <w:szCs w:val="10"/>
                <w:lang w:val="fr-BE"/>
              </w:rPr>
              <w:t>Mężczyźni</w:t>
            </w:r>
          </w:p>
        </w:tc>
        <w:tc>
          <w:tcPr>
            <w:tcW w:w="0" w:type="auto"/>
          </w:tcPr>
          <w:p w14:paraId="02FEBCE2" w14:textId="77777777" w:rsidR="008C5CFA" w:rsidRPr="00A92B39" w:rsidRDefault="00E82A60" w:rsidP="00300A01">
            <w:pPr>
              <w:spacing w:before="0" w:after="0"/>
              <w:jc w:val="center"/>
              <w:rPr>
                <w:b/>
                <w:sz w:val="10"/>
                <w:szCs w:val="10"/>
                <w:lang w:val="fr-BE"/>
              </w:rPr>
            </w:pPr>
            <w:r w:rsidRPr="00A92B39">
              <w:rPr>
                <w:b/>
                <w:noProof/>
                <w:sz w:val="10"/>
                <w:szCs w:val="10"/>
                <w:lang w:val="fr-BE"/>
              </w:rPr>
              <w:t>Kobiety</w:t>
            </w:r>
          </w:p>
        </w:tc>
        <w:tc>
          <w:tcPr>
            <w:tcW w:w="0" w:type="auto"/>
          </w:tcPr>
          <w:p w14:paraId="01A0C9F3" w14:textId="77777777" w:rsidR="008C5CFA" w:rsidRPr="00A92B39" w:rsidRDefault="00E82A60" w:rsidP="00300A01">
            <w:pPr>
              <w:spacing w:before="0" w:after="0"/>
              <w:jc w:val="center"/>
              <w:rPr>
                <w:b/>
                <w:sz w:val="10"/>
                <w:szCs w:val="10"/>
                <w:lang w:val="fr-BE"/>
              </w:rPr>
            </w:pPr>
            <w:r w:rsidRPr="00A92B39">
              <w:rPr>
                <w:b/>
                <w:noProof/>
                <w:sz w:val="10"/>
                <w:szCs w:val="10"/>
                <w:lang w:val="fr-BE"/>
              </w:rPr>
              <w:t>Ogółem</w:t>
            </w:r>
          </w:p>
        </w:tc>
        <w:tc>
          <w:tcPr>
            <w:tcW w:w="0" w:type="auto"/>
          </w:tcPr>
          <w:p w14:paraId="10702A54" w14:textId="77777777" w:rsidR="008C5CFA" w:rsidRPr="00A92B39" w:rsidRDefault="00E82A60" w:rsidP="00300A01">
            <w:pPr>
              <w:spacing w:before="0" w:after="0"/>
              <w:jc w:val="center"/>
              <w:rPr>
                <w:b/>
                <w:sz w:val="10"/>
                <w:szCs w:val="10"/>
                <w:lang w:val="fr-BE"/>
              </w:rPr>
            </w:pPr>
            <w:r w:rsidRPr="00A92B39">
              <w:rPr>
                <w:b/>
                <w:noProof/>
                <w:sz w:val="10"/>
                <w:szCs w:val="10"/>
                <w:lang w:val="fr-BE"/>
              </w:rPr>
              <w:t>Mężczyźni</w:t>
            </w:r>
          </w:p>
        </w:tc>
        <w:tc>
          <w:tcPr>
            <w:tcW w:w="0" w:type="auto"/>
          </w:tcPr>
          <w:p w14:paraId="3A1481B9" w14:textId="77777777" w:rsidR="008C5CFA" w:rsidRPr="00A92B39" w:rsidRDefault="00E82A60" w:rsidP="00300A01">
            <w:pPr>
              <w:spacing w:before="0" w:after="0"/>
              <w:jc w:val="center"/>
              <w:rPr>
                <w:b/>
                <w:sz w:val="10"/>
                <w:szCs w:val="10"/>
                <w:lang w:val="fr-BE"/>
              </w:rPr>
            </w:pPr>
            <w:r w:rsidRPr="00A92B39">
              <w:rPr>
                <w:b/>
                <w:noProof/>
                <w:sz w:val="10"/>
                <w:szCs w:val="10"/>
                <w:lang w:val="fr-BE"/>
              </w:rPr>
              <w:t>Kobiety</w:t>
            </w:r>
          </w:p>
        </w:tc>
      </w:tr>
      <w:tr w:rsidR="006B2EC1" w14:paraId="4A794A3E" w14:textId="77777777" w:rsidTr="0047688D">
        <w:tc>
          <w:tcPr>
            <w:tcW w:w="0" w:type="auto"/>
            <w:shd w:val="clear" w:color="auto" w:fill="auto"/>
          </w:tcPr>
          <w:p w14:paraId="7786DD86" w14:textId="77777777" w:rsidR="008C5CFA" w:rsidRPr="00A92B39" w:rsidRDefault="00E82A60" w:rsidP="00300A01">
            <w:pPr>
              <w:spacing w:before="0" w:after="0"/>
              <w:rPr>
                <w:sz w:val="10"/>
                <w:szCs w:val="10"/>
                <w:lang w:val="fr-BE"/>
              </w:rPr>
            </w:pPr>
            <w:r w:rsidRPr="00A92B39">
              <w:rPr>
                <w:noProof/>
                <w:sz w:val="10"/>
                <w:szCs w:val="10"/>
                <w:lang w:val="fr-BE"/>
              </w:rPr>
              <w:t>015</w:t>
            </w:r>
          </w:p>
        </w:tc>
        <w:tc>
          <w:tcPr>
            <w:tcW w:w="0" w:type="auto"/>
            <w:shd w:val="clear" w:color="auto" w:fill="auto"/>
          </w:tcPr>
          <w:p w14:paraId="0BED5724" w14:textId="77777777" w:rsidR="008C5CFA" w:rsidRPr="00A92B39" w:rsidRDefault="00E82A60" w:rsidP="00300A01">
            <w:pPr>
              <w:spacing w:before="0" w:after="0"/>
              <w:rPr>
                <w:sz w:val="10"/>
                <w:szCs w:val="10"/>
                <w:lang w:val="fr-BE"/>
              </w:rPr>
            </w:pPr>
            <w:r w:rsidRPr="00A92B39">
              <w:rPr>
                <w:noProof/>
                <w:sz w:val="10"/>
                <w:szCs w:val="10"/>
                <w:lang w:val="fr-BE"/>
              </w:rPr>
              <w:t>Liczba osób zagrożonych ubóstwem lub wykluczeniem społecznym objętych usługami społecznymi świadczonymi w interesie ogólnym w programie</w:t>
            </w:r>
          </w:p>
        </w:tc>
        <w:tc>
          <w:tcPr>
            <w:tcW w:w="0" w:type="auto"/>
            <w:shd w:val="clear" w:color="auto" w:fill="auto"/>
          </w:tcPr>
          <w:p w14:paraId="2B34C47D" w14:textId="77777777" w:rsidR="008C5CFA" w:rsidRPr="00A92B39" w:rsidRDefault="00E82A60" w:rsidP="00300A01">
            <w:pPr>
              <w:spacing w:before="0" w:after="0"/>
              <w:rPr>
                <w:sz w:val="10"/>
                <w:szCs w:val="10"/>
                <w:lang w:val="fr-BE"/>
              </w:rPr>
            </w:pPr>
            <w:r w:rsidRPr="00A92B39">
              <w:rPr>
                <w:noProof/>
                <w:sz w:val="10"/>
                <w:szCs w:val="10"/>
                <w:lang w:val="fr-BE"/>
              </w:rPr>
              <w:t>Słabiej rozwinięte</w:t>
            </w:r>
          </w:p>
        </w:tc>
        <w:tc>
          <w:tcPr>
            <w:tcW w:w="0" w:type="auto"/>
            <w:shd w:val="clear" w:color="auto" w:fill="auto"/>
          </w:tcPr>
          <w:p w14:paraId="2262C308" w14:textId="77777777" w:rsidR="008C5CFA" w:rsidRPr="00A92B39" w:rsidRDefault="00E82A60" w:rsidP="00300A01">
            <w:pPr>
              <w:spacing w:before="0" w:after="0"/>
              <w:jc w:val="right"/>
              <w:rPr>
                <w:sz w:val="10"/>
                <w:szCs w:val="10"/>
                <w:lang w:val="fr-BE"/>
              </w:rPr>
            </w:pPr>
            <w:r w:rsidRPr="00A92B39">
              <w:rPr>
                <w:noProof/>
                <w:sz w:val="10"/>
                <w:szCs w:val="10"/>
                <w:lang w:val="fr-BE"/>
              </w:rPr>
              <w:t>3 611,00</w:t>
            </w:r>
          </w:p>
        </w:tc>
        <w:tc>
          <w:tcPr>
            <w:tcW w:w="0" w:type="auto"/>
            <w:shd w:val="clear" w:color="auto" w:fill="auto"/>
          </w:tcPr>
          <w:p w14:paraId="41E0D8A8"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14:paraId="69E47B32"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7D572904" w14:textId="77777777" w:rsidR="008C5CFA" w:rsidRPr="00A92B39" w:rsidRDefault="00E82A60" w:rsidP="00300A01">
            <w:pPr>
              <w:spacing w:before="0" w:after="0"/>
              <w:jc w:val="right"/>
              <w:rPr>
                <w:sz w:val="10"/>
                <w:szCs w:val="10"/>
                <w:lang w:val="fr-BE"/>
              </w:rPr>
            </w:pPr>
            <w:r w:rsidRPr="00A92B39">
              <w:rPr>
                <w:noProof/>
                <w:sz w:val="10"/>
                <w:szCs w:val="10"/>
                <w:lang w:val="fr-BE"/>
              </w:rPr>
              <w:t>3 818,00</w:t>
            </w:r>
          </w:p>
        </w:tc>
        <w:tc>
          <w:tcPr>
            <w:tcW w:w="0" w:type="auto"/>
          </w:tcPr>
          <w:p w14:paraId="13CD8853"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4EF39405"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718262AC" w14:textId="77777777" w:rsidR="008C5CFA" w:rsidRPr="00A92B39" w:rsidRDefault="00E82A60" w:rsidP="00300A01">
            <w:pPr>
              <w:spacing w:before="0" w:after="0"/>
              <w:jc w:val="right"/>
              <w:rPr>
                <w:sz w:val="10"/>
                <w:szCs w:val="10"/>
                <w:lang w:val="fr-BE"/>
              </w:rPr>
            </w:pPr>
            <w:r w:rsidRPr="00A92B39">
              <w:rPr>
                <w:noProof/>
                <w:sz w:val="10"/>
                <w:szCs w:val="10"/>
                <w:lang w:val="fr-BE"/>
              </w:rPr>
              <w:t>438,00</w:t>
            </w:r>
          </w:p>
        </w:tc>
        <w:tc>
          <w:tcPr>
            <w:tcW w:w="0" w:type="auto"/>
          </w:tcPr>
          <w:p w14:paraId="32105F0A"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391AD488"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55582D56"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32D02478"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7613DC78"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72FDCF5E"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0E093905"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12DD2FA3"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r>
      <w:tr w:rsidR="006B2EC1" w14:paraId="1E4345D4" w14:textId="77777777" w:rsidTr="0047688D">
        <w:tc>
          <w:tcPr>
            <w:tcW w:w="0" w:type="auto"/>
            <w:shd w:val="clear" w:color="auto" w:fill="auto"/>
          </w:tcPr>
          <w:p w14:paraId="2A22180C" w14:textId="77777777" w:rsidR="008C5CFA" w:rsidRPr="00A92B39" w:rsidRDefault="00E82A60" w:rsidP="00300A01">
            <w:pPr>
              <w:spacing w:before="0" w:after="0"/>
              <w:rPr>
                <w:sz w:val="10"/>
                <w:szCs w:val="10"/>
                <w:lang w:val="fr-BE"/>
              </w:rPr>
            </w:pPr>
            <w:r w:rsidRPr="00A92B39">
              <w:rPr>
                <w:noProof/>
                <w:sz w:val="10"/>
                <w:szCs w:val="10"/>
                <w:lang w:val="fr-BE"/>
              </w:rPr>
              <w:t>016</w:t>
            </w:r>
          </w:p>
        </w:tc>
        <w:tc>
          <w:tcPr>
            <w:tcW w:w="0" w:type="auto"/>
            <w:shd w:val="clear" w:color="auto" w:fill="auto"/>
          </w:tcPr>
          <w:p w14:paraId="790150EF" w14:textId="77777777" w:rsidR="008C5CFA" w:rsidRPr="00A92B39" w:rsidRDefault="00E82A60" w:rsidP="00300A01">
            <w:pPr>
              <w:spacing w:before="0" w:after="0"/>
              <w:rPr>
                <w:sz w:val="10"/>
                <w:szCs w:val="10"/>
                <w:lang w:val="fr-BE"/>
              </w:rPr>
            </w:pPr>
            <w:r w:rsidRPr="00A92B39">
              <w:rPr>
                <w:noProof/>
                <w:sz w:val="10"/>
                <w:szCs w:val="10"/>
                <w:lang w:val="fr-BE"/>
              </w:rPr>
              <w:t>Liczba osób zagrożonych ubóstwem lub wykluczeniem społecznym objętych usługami zdrowotnymi w programie</w:t>
            </w:r>
          </w:p>
        </w:tc>
        <w:tc>
          <w:tcPr>
            <w:tcW w:w="0" w:type="auto"/>
            <w:shd w:val="clear" w:color="auto" w:fill="auto"/>
          </w:tcPr>
          <w:p w14:paraId="428AD317" w14:textId="77777777" w:rsidR="008C5CFA" w:rsidRPr="00A92B39" w:rsidRDefault="00E82A60" w:rsidP="00300A01">
            <w:pPr>
              <w:spacing w:before="0" w:after="0"/>
              <w:rPr>
                <w:sz w:val="10"/>
                <w:szCs w:val="10"/>
                <w:lang w:val="fr-BE"/>
              </w:rPr>
            </w:pPr>
            <w:r w:rsidRPr="00A92B39">
              <w:rPr>
                <w:noProof/>
                <w:sz w:val="10"/>
                <w:szCs w:val="10"/>
                <w:lang w:val="fr-BE"/>
              </w:rPr>
              <w:t>Słabiej rozwinięte</w:t>
            </w:r>
          </w:p>
        </w:tc>
        <w:tc>
          <w:tcPr>
            <w:tcW w:w="0" w:type="auto"/>
            <w:shd w:val="clear" w:color="auto" w:fill="auto"/>
          </w:tcPr>
          <w:p w14:paraId="62D0F358" w14:textId="77777777" w:rsidR="008C5CFA" w:rsidRPr="00A92B39" w:rsidRDefault="00E82A60" w:rsidP="00300A01">
            <w:pPr>
              <w:spacing w:before="0" w:after="0"/>
              <w:jc w:val="right"/>
              <w:rPr>
                <w:sz w:val="10"/>
                <w:szCs w:val="10"/>
                <w:lang w:val="fr-BE"/>
              </w:rPr>
            </w:pPr>
            <w:r w:rsidRPr="00A92B39">
              <w:rPr>
                <w:noProof/>
                <w:sz w:val="10"/>
                <w:szCs w:val="10"/>
                <w:lang w:val="fr-BE"/>
              </w:rPr>
              <w:t>338,00</w:t>
            </w:r>
          </w:p>
        </w:tc>
        <w:tc>
          <w:tcPr>
            <w:tcW w:w="0" w:type="auto"/>
            <w:shd w:val="clear" w:color="auto" w:fill="auto"/>
          </w:tcPr>
          <w:p w14:paraId="05145695"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14:paraId="784A3CE9"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530FABFB"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1B45A769"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5A3417D9"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1B83BC39"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27D888C3"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39036134"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51B4E2DA"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236FB2AB"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0F260C10"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41A96F4B"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1C1F73E7"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7DAE2EB8"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r>
    </w:tbl>
    <w:p w14:paraId="15DA8898" w14:textId="77777777" w:rsidR="008C5CFA" w:rsidRDefault="008C5CFA" w:rsidP="00300A01">
      <w:pPr>
        <w:spacing w:before="0" w:after="0"/>
        <w:rPr>
          <w:lang w:val="fr-BE"/>
        </w:rPr>
      </w:pPr>
    </w:p>
    <w:p w14:paraId="7BB6F9FE" w14:textId="77777777" w:rsidR="008C5CFA" w:rsidRDefault="00E82A60" w:rsidP="00300A01">
      <w:pPr>
        <w:spacing w:before="0" w:after="0"/>
        <w:rPr>
          <w:lang w:val="fr-BE"/>
        </w:rPr>
      </w:pPr>
      <w:r>
        <w:rPr>
          <w:lang w:val="fr-BE"/>
        </w:rPr>
        <w:br w:type="page"/>
      </w:r>
    </w:p>
    <w:p w14:paraId="35A1901E" w14:textId="77777777" w:rsidR="008C5CFA" w:rsidRPr="00B27C43" w:rsidRDefault="008C5CFA" w:rsidP="00300A01">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5"/>
        <w:gridCol w:w="13239"/>
      </w:tblGrid>
      <w:tr w:rsidR="006B2EC1" w14:paraId="10C50DAB" w14:textId="77777777" w:rsidTr="0047688D">
        <w:tc>
          <w:tcPr>
            <w:tcW w:w="0" w:type="auto"/>
            <w:shd w:val="clear" w:color="auto" w:fill="auto"/>
          </w:tcPr>
          <w:p w14:paraId="122298B5" w14:textId="77777777" w:rsidR="008C5CFA" w:rsidRPr="002124FC" w:rsidRDefault="00E82A60" w:rsidP="00300A01">
            <w:pPr>
              <w:spacing w:before="0" w:after="0"/>
              <w:rPr>
                <w:sz w:val="20"/>
                <w:szCs w:val="20"/>
                <w:lang w:val="fr-BE"/>
              </w:rPr>
            </w:pPr>
            <w:r w:rsidRPr="002124FC">
              <w:rPr>
                <w:noProof/>
                <w:sz w:val="20"/>
                <w:szCs w:val="20"/>
                <w:lang w:val="fr-BE"/>
              </w:rPr>
              <w:t>Oś priorytetowa</w:t>
            </w:r>
          </w:p>
        </w:tc>
        <w:tc>
          <w:tcPr>
            <w:tcW w:w="0" w:type="auto"/>
            <w:shd w:val="clear" w:color="auto" w:fill="auto"/>
          </w:tcPr>
          <w:p w14:paraId="54490802" w14:textId="77777777" w:rsidR="008C5CFA" w:rsidRPr="002124FC" w:rsidRDefault="00E82A60" w:rsidP="00300A01">
            <w:pPr>
              <w:spacing w:before="0" w:after="0"/>
              <w:rPr>
                <w:sz w:val="20"/>
                <w:szCs w:val="20"/>
                <w:lang w:val="fr-BE"/>
              </w:rPr>
            </w:pPr>
            <w:r w:rsidRPr="002124FC">
              <w:rPr>
                <w:noProof/>
                <w:sz w:val="20"/>
                <w:szCs w:val="20"/>
                <w:lang w:val="fr-BE"/>
              </w:rPr>
              <w:t>9</w:t>
            </w:r>
            <w:r w:rsidRPr="002124FC">
              <w:rPr>
                <w:sz w:val="20"/>
                <w:szCs w:val="20"/>
                <w:lang w:val="fr-BE"/>
              </w:rPr>
              <w:t xml:space="preserve"> - </w:t>
            </w:r>
            <w:r w:rsidRPr="002124FC">
              <w:rPr>
                <w:noProof/>
                <w:sz w:val="20"/>
                <w:szCs w:val="20"/>
                <w:lang w:val="fr-BE"/>
              </w:rPr>
              <w:t>Włączenie społeczne i walka z ubóstwem</w:t>
            </w:r>
          </w:p>
        </w:tc>
      </w:tr>
      <w:tr w:rsidR="006B2EC1" w14:paraId="43570A13" w14:textId="77777777" w:rsidTr="0047688D">
        <w:tc>
          <w:tcPr>
            <w:tcW w:w="0" w:type="auto"/>
            <w:shd w:val="clear" w:color="auto" w:fill="auto"/>
          </w:tcPr>
          <w:p w14:paraId="72AA23E6" w14:textId="77777777" w:rsidR="008C5CFA" w:rsidRPr="002124FC" w:rsidRDefault="00E82A60"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14:paraId="0430130A" w14:textId="77777777" w:rsidR="008C5CFA" w:rsidRPr="002124FC" w:rsidRDefault="00E82A60" w:rsidP="00300A01">
            <w:pPr>
              <w:spacing w:before="0" w:after="0"/>
              <w:rPr>
                <w:sz w:val="20"/>
                <w:szCs w:val="20"/>
                <w:lang w:val="fr-BE"/>
              </w:rPr>
            </w:pPr>
            <w:r w:rsidRPr="002124FC">
              <w:rPr>
                <w:noProof/>
                <w:sz w:val="20"/>
                <w:szCs w:val="20"/>
                <w:lang w:val="fr-BE"/>
              </w:rPr>
              <w:t>9v</w:t>
            </w:r>
            <w:r w:rsidRPr="002124FC">
              <w:rPr>
                <w:sz w:val="20"/>
                <w:szCs w:val="20"/>
                <w:lang w:val="fr-BE"/>
              </w:rPr>
              <w:t xml:space="preserve"> - </w:t>
            </w:r>
            <w:r w:rsidRPr="002124FC">
              <w:rPr>
                <w:noProof/>
                <w:sz w:val="20"/>
                <w:szCs w:val="20"/>
                <w:lang w:val="fr-BE"/>
              </w:rPr>
              <w:t>Wspieranie przedsiębiorczości społecznej i integracji zawodowej w przedsiębiorstwach społecznych oraz ekonomii społecznej i solidarnej w celu ułatwiania dostępu do zatrudnienia</w:t>
            </w:r>
          </w:p>
        </w:tc>
      </w:tr>
    </w:tbl>
    <w:p w14:paraId="7D2A5184" w14:textId="77777777" w:rsidR="008C5CFA" w:rsidRDefault="008C5CFA" w:rsidP="00300A01">
      <w:pPr>
        <w:spacing w:before="0" w:after="0"/>
        <w:ind w:left="113" w:hanging="113"/>
        <w:rPr>
          <w:sz w:val="20"/>
          <w:szCs w:val="20"/>
          <w:lang w:val="fr-BE"/>
        </w:rPr>
      </w:pPr>
    </w:p>
    <w:p w14:paraId="5B863441" w14:textId="77777777" w:rsidR="008C5CFA" w:rsidRPr="008E457C" w:rsidRDefault="00E82A60" w:rsidP="00300A01">
      <w:pPr>
        <w:pStyle w:val="Nagwek2"/>
        <w:spacing w:before="0" w:after="0"/>
      </w:pPr>
      <w:bookmarkStart w:id="75" w:name="_Toc46391759"/>
      <w:r w:rsidRPr="008E457C">
        <w:rPr>
          <w:noProof/>
        </w:rPr>
        <w:t>Tabela 2A</w:t>
      </w:r>
      <w:r w:rsidRPr="008E457C">
        <w:t xml:space="preserve"> : </w:t>
      </w:r>
      <w:proofErr w:type="spellStart"/>
      <w:r w:rsidRPr="008E457C">
        <w:t>Wspólne</w:t>
      </w:r>
      <w:proofErr w:type="spellEnd"/>
      <w:r w:rsidRPr="008E457C">
        <w:t xml:space="preserve"> </w:t>
      </w:r>
      <w:proofErr w:type="spellStart"/>
      <w:r w:rsidRPr="008E457C">
        <w:t>wskaźniki</w:t>
      </w:r>
      <w:proofErr w:type="spellEnd"/>
      <w:r w:rsidRPr="008E457C">
        <w:t xml:space="preserve"> </w:t>
      </w:r>
      <w:proofErr w:type="spellStart"/>
      <w:r w:rsidRPr="008E457C">
        <w:t>rezultatu</w:t>
      </w:r>
      <w:proofErr w:type="spellEnd"/>
      <w:r w:rsidRPr="008E457C">
        <w:t xml:space="preserve"> </w:t>
      </w:r>
      <w:proofErr w:type="spellStart"/>
      <w:r w:rsidRPr="008E457C">
        <w:t>dla</w:t>
      </w:r>
      <w:proofErr w:type="spellEnd"/>
      <w:r w:rsidRPr="008E457C">
        <w:t xml:space="preserve"> EFS (z </w:t>
      </w:r>
      <w:proofErr w:type="spellStart"/>
      <w:r w:rsidRPr="008E457C">
        <w:t>podziałem</w:t>
      </w:r>
      <w:proofErr w:type="spellEnd"/>
      <w:r w:rsidRPr="008E457C">
        <w:t xml:space="preserve"> </w:t>
      </w:r>
      <w:proofErr w:type="spellStart"/>
      <w:r w:rsidRPr="008E457C">
        <w:t>na</w:t>
      </w:r>
      <w:proofErr w:type="spellEnd"/>
      <w:r w:rsidRPr="008E457C">
        <w:t xml:space="preserve"> </w:t>
      </w:r>
      <w:proofErr w:type="spellStart"/>
      <w:r w:rsidRPr="008E457C">
        <w:t>oś</w:t>
      </w:r>
      <w:proofErr w:type="spellEnd"/>
      <w:r w:rsidRPr="008E457C">
        <w:t xml:space="preserve"> </w:t>
      </w:r>
      <w:proofErr w:type="spellStart"/>
      <w:r w:rsidRPr="008E457C">
        <w:t>priorytetową</w:t>
      </w:r>
      <w:proofErr w:type="spellEnd"/>
      <w:r w:rsidRPr="008E457C">
        <w:t xml:space="preserve">, </w:t>
      </w:r>
      <w:proofErr w:type="spellStart"/>
      <w:r w:rsidRPr="008E457C">
        <w:t>priorytet</w:t>
      </w:r>
      <w:proofErr w:type="spellEnd"/>
      <w:r w:rsidRPr="008E457C">
        <w:t xml:space="preserve"> </w:t>
      </w:r>
      <w:proofErr w:type="spellStart"/>
      <w:r w:rsidRPr="008E457C">
        <w:t>inwestycyjny</w:t>
      </w:r>
      <w:proofErr w:type="spellEnd"/>
      <w:r w:rsidRPr="008E457C">
        <w:t xml:space="preserve"> i </w:t>
      </w:r>
      <w:proofErr w:type="spellStart"/>
      <w:r w:rsidRPr="008E457C">
        <w:t>kategorię</w:t>
      </w:r>
      <w:proofErr w:type="spellEnd"/>
      <w:r w:rsidRPr="008E457C">
        <w:t xml:space="preserve"> </w:t>
      </w:r>
      <w:proofErr w:type="spellStart"/>
      <w:r w:rsidRPr="008E457C">
        <w:t>regionu</w:t>
      </w:r>
      <w:proofErr w:type="spellEnd"/>
      <w:r w:rsidRPr="008E457C">
        <w:t xml:space="preserve">) Dane </w:t>
      </w:r>
      <w:proofErr w:type="spellStart"/>
      <w:r w:rsidRPr="008E457C">
        <w:t>na</w:t>
      </w:r>
      <w:proofErr w:type="spellEnd"/>
      <w:r w:rsidRPr="008E457C">
        <w:t xml:space="preserve"> </w:t>
      </w:r>
      <w:proofErr w:type="spellStart"/>
      <w:r w:rsidRPr="008E457C">
        <w:t>temat</w:t>
      </w:r>
      <w:proofErr w:type="spellEnd"/>
      <w:r w:rsidRPr="008E457C">
        <w:t xml:space="preserve"> </w:t>
      </w:r>
      <w:proofErr w:type="spellStart"/>
      <w:r w:rsidRPr="008E457C">
        <w:t>wszystkich</w:t>
      </w:r>
      <w:proofErr w:type="spellEnd"/>
      <w:r w:rsidRPr="008E457C">
        <w:t xml:space="preserve"> </w:t>
      </w:r>
      <w:proofErr w:type="spellStart"/>
      <w:r w:rsidRPr="008E457C">
        <w:t>wspólnych</w:t>
      </w:r>
      <w:proofErr w:type="spellEnd"/>
      <w:r w:rsidRPr="008E457C">
        <w:t xml:space="preserve"> </w:t>
      </w:r>
      <w:proofErr w:type="spellStart"/>
      <w:r w:rsidRPr="008E457C">
        <w:t>wskaźników</w:t>
      </w:r>
      <w:proofErr w:type="spellEnd"/>
      <w:r w:rsidRPr="008E457C">
        <w:t xml:space="preserve"> </w:t>
      </w:r>
      <w:proofErr w:type="spellStart"/>
      <w:r w:rsidRPr="008E457C">
        <w:t>rezultatu</w:t>
      </w:r>
      <w:proofErr w:type="spellEnd"/>
      <w:r w:rsidRPr="008E457C">
        <w:t xml:space="preserve"> </w:t>
      </w:r>
      <w:proofErr w:type="spellStart"/>
      <w:r w:rsidRPr="008E457C">
        <w:t>dla</w:t>
      </w:r>
      <w:proofErr w:type="spellEnd"/>
      <w:r w:rsidRPr="008E457C">
        <w:t xml:space="preserve"> EFS (z </w:t>
      </w:r>
      <w:proofErr w:type="spellStart"/>
      <w:r w:rsidRPr="008E457C">
        <w:t>wartością</w:t>
      </w:r>
      <w:proofErr w:type="spellEnd"/>
      <w:r w:rsidRPr="008E457C">
        <w:t xml:space="preserve"> </w:t>
      </w:r>
      <w:proofErr w:type="spellStart"/>
      <w:r w:rsidRPr="008E457C">
        <w:t>docelową</w:t>
      </w:r>
      <w:proofErr w:type="spellEnd"/>
      <w:r w:rsidRPr="008E457C">
        <w:t xml:space="preserve"> i bez) </w:t>
      </w:r>
      <w:proofErr w:type="spellStart"/>
      <w:r w:rsidRPr="008E457C">
        <w:t>przedstawia</w:t>
      </w:r>
      <w:proofErr w:type="spellEnd"/>
      <w:r w:rsidRPr="008E457C">
        <w:t xml:space="preserve"> </w:t>
      </w:r>
      <w:proofErr w:type="spellStart"/>
      <w:r w:rsidRPr="008E457C">
        <w:t>się</w:t>
      </w:r>
      <w:proofErr w:type="spellEnd"/>
      <w:r w:rsidRPr="008E457C">
        <w:t xml:space="preserve"> w </w:t>
      </w:r>
      <w:proofErr w:type="spellStart"/>
      <w:r w:rsidRPr="008E457C">
        <w:t>sprawozdaniu</w:t>
      </w:r>
      <w:proofErr w:type="spellEnd"/>
      <w:r w:rsidRPr="008E457C">
        <w:t xml:space="preserve"> w </w:t>
      </w:r>
      <w:proofErr w:type="spellStart"/>
      <w:r w:rsidRPr="008E457C">
        <w:t>podziale</w:t>
      </w:r>
      <w:proofErr w:type="spellEnd"/>
      <w:r w:rsidRPr="008E457C">
        <w:t xml:space="preserve"> </w:t>
      </w:r>
      <w:proofErr w:type="spellStart"/>
      <w:r w:rsidRPr="008E457C">
        <w:t>na</w:t>
      </w:r>
      <w:proofErr w:type="spellEnd"/>
      <w:r w:rsidRPr="008E457C">
        <w:t xml:space="preserve"> </w:t>
      </w:r>
      <w:proofErr w:type="spellStart"/>
      <w:r w:rsidRPr="008E457C">
        <w:t>płeć</w:t>
      </w:r>
      <w:proofErr w:type="spellEnd"/>
      <w:r w:rsidRPr="008E457C">
        <w:t xml:space="preserve">. W </w:t>
      </w:r>
      <w:proofErr w:type="spellStart"/>
      <w:r w:rsidRPr="008E457C">
        <w:t>przypadku</w:t>
      </w:r>
      <w:proofErr w:type="spellEnd"/>
      <w:r w:rsidRPr="008E457C">
        <w:t xml:space="preserve"> </w:t>
      </w:r>
      <w:proofErr w:type="spellStart"/>
      <w:r w:rsidRPr="008E457C">
        <w:t>osi</w:t>
      </w:r>
      <w:proofErr w:type="spellEnd"/>
      <w:r w:rsidRPr="008E457C">
        <w:t xml:space="preserve"> </w:t>
      </w:r>
      <w:proofErr w:type="spellStart"/>
      <w:r w:rsidRPr="008E457C">
        <w:t>priorytetowej</w:t>
      </w:r>
      <w:proofErr w:type="spellEnd"/>
      <w:r w:rsidRPr="008E457C">
        <w:t xml:space="preserve"> </w:t>
      </w:r>
      <w:r>
        <w:t>"</w:t>
      </w:r>
      <w:proofErr w:type="spellStart"/>
      <w:r w:rsidRPr="008E457C">
        <w:t>Pomoc</w:t>
      </w:r>
      <w:proofErr w:type="spellEnd"/>
      <w:r w:rsidRPr="008E457C">
        <w:t xml:space="preserve"> </w:t>
      </w:r>
      <w:proofErr w:type="spellStart"/>
      <w:r w:rsidRPr="008E457C">
        <w:t>techniczna</w:t>
      </w:r>
      <w:proofErr w:type="spellEnd"/>
      <w:r w:rsidRPr="008E457C">
        <w:t xml:space="preserve"> w </w:t>
      </w:r>
      <w:proofErr w:type="spellStart"/>
      <w:r w:rsidRPr="008E457C">
        <w:t>sprawozdaniu</w:t>
      </w:r>
      <w:proofErr w:type="spellEnd"/>
      <w:r w:rsidRPr="008E457C">
        <w:t xml:space="preserve"> </w:t>
      </w:r>
      <w:proofErr w:type="spellStart"/>
      <w:r w:rsidRPr="008E457C">
        <w:t>przedstawia</w:t>
      </w:r>
      <w:proofErr w:type="spellEnd"/>
      <w:r w:rsidRPr="008E457C">
        <w:t xml:space="preserve"> </w:t>
      </w:r>
      <w:proofErr w:type="spellStart"/>
      <w:r w:rsidRPr="008E457C">
        <w:t>się</w:t>
      </w:r>
      <w:proofErr w:type="spellEnd"/>
      <w:r w:rsidRPr="008E457C">
        <w:t xml:space="preserve"> </w:t>
      </w:r>
      <w:proofErr w:type="spellStart"/>
      <w:r w:rsidRPr="008E457C">
        <w:t>jedynie</w:t>
      </w:r>
      <w:proofErr w:type="spellEnd"/>
      <w:r w:rsidRPr="008E457C">
        <w:t xml:space="preserve"> </w:t>
      </w:r>
      <w:proofErr w:type="spellStart"/>
      <w:r w:rsidRPr="008E457C">
        <w:t>te</w:t>
      </w:r>
      <w:proofErr w:type="spellEnd"/>
      <w:r w:rsidRPr="008E457C">
        <w:t xml:space="preserve"> </w:t>
      </w:r>
      <w:proofErr w:type="spellStart"/>
      <w:r w:rsidRPr="008E457C">
        <w:t>wskaźniki</w:t>
      </w:r>
      <w:proofErr w:type="spellEnd"/>
      <w:r w:rsidRPr="008E457C">
        <w:t xml:space="preserve"> </w:t>
      </w:r>
      <w:proofErr w:type="spellStart"/>
      <w:r w:rsidRPr="008E457C">
        <w:t>wspólne</w:t>
      </w:r>
      <w:proofErr w:type="spellEnd"/>
      <w:r w:rsidRPr="008E457C">
        <w:t xml:space="preserve">, w </w:t>
      </w:r>
      <w:proofErr w:type="spellStart"/>
      <w:r w:rsidRPr="008E457C">
        <w:t>odniesieniu</w:t>
      </w:r>
      <w:proofErr w:type="spellEnd"/>
      <w:r w:rsidRPr="008E457C">
        <w:t xml:space="preserve"> do </w:t>
      </w:r>
      <w:proofErr w:type="spellStart"/>
      <w:r w:rsidRPr="008E457C">
        <w:t>których</w:t>
      </w:r>
      <w:proofErr w:type="spellEnd"/>
      <w:r w:rsidRPr="008E457C">
        <w:t xml:space="preserve"> </w:t>
      </w:r>
      <w:proofErr w:type="spellStart"/>
      <w:r w:rsidRPr="008E457C">
        <w:t>ustanowiono</w:t>
      </w:r>
      <w:proofErr w:type="spellEnd"/>
      <w:r w:rsidRPr="008E457C">
        <w:t xml:space="preserve"> </w:t>
      </w:r>
      <w:proofErr w:type="spellStart"/>
      <w:r w:rsidRPr="008E457C">
        <w:t>wartość</w:t>
      </w:r>
      <w:proofErr w:type="spellEnd"/>
      <w:r w:rsidRPr="008E457C">
        <w:t xml:space="preserve"> </w:t>
      </w:r>
      <w:proofErr w:type="spellStart"/>
      <w:r w:rsidRPr="008E457C">
        <w:t>docelową</w:t>
      </w:r>
      <w:proofErr w:type="spellEnd"/>
      <w:r w:rsidRPr="008E457C">
        <w:t>.</w:t>
      </w:r>
      <w:r w:rsidR="00501DA0">
        <w:t xml:space="preserve"> - </w:t>
      </w:r>
      <w:r w:rsidR="00501DA0" w:rsidRPr="002124FC">
        <w:rPr>
          <w:noProof/>
          <w:sz w:val="20"/>
          <w:szCs w:val="20"/>
          <w:lang w:val="fr-BE"/>
        </w:rPr>
        <w:t>9</w:t>
      </w:r>
      <w:r w:rsidR="00501DA0">
        <w:rPr>
          <w:sz w:val="20"/>
          <w:szCs w:val="20"/>
          <w:lang w:val="fr-BE"/>
        </w:rPr>
        <w:t xml:space="preserve"> / </w:t>
      </w:r>
      <w:r w:rsidR="00501DA0" w:rsidRPr="002124FC">
        <w:rPr>
          <w:noProof/>
          <w:sz w:val="20"/>
          <w:szCs w:val="20"/>
          <w:lang w:val="fr-BE"/>
        </w:rPr>
        <w:t>9v</w:t>
      </w:r>
      <w:bookmarkEnd w:id="75"/>
    </w:p>
    <w:p w14:paraId="468F92D4" w14:textId="77777777" w:rsidR="008C5CFA" w:rsidRDefault="008C5CFA" w:rsidP="00300A01">
      <w:pPr>
        <w:keepNext/>
        <w:spacing w:before="0" w:after="0"/>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37"/>
        <w:gridCol w:w="5159"/>
        <w:gridCol w:w="745"/>
        <w:gridCol w:w="1864"/>
        <w:gridCol w:w="1475"/>
        <w:gridCol w:w="456"/>
        <w:gridCol w:w="596"/>
        <w:gridCol w:w="463"/>
        <w:gridCol w:w="456"/>
        <w:gridCol w:w="596"/>
        <w:gridCol w:w="463"/>
        <w:gridCol w:w="456"/>
        <w:gridCol w:w="596"/>
        <w:gridCol w:w="463"/>
        <w:gridCol w:w="596"/>
        <w:gridCol w:w="463"/>
      </w:tblGrid>
      <w:tr w:rsidR="006B2EC1" w14:paraId="7F208354" w14:textId="77777777" w:rsidTr="0047688D">
        <w:trPr>
          <w:tblHeader/>
        </w:trPr>
        <w:tc>
          <w:tcPr>
            <w:tcW w:w="0" w:type="auto"/>
            <w:shd w:val="clear" w:color="auto" w:fill="auto"/>
          </w:tcPr>
          <w:p w14:paraId="0D00BA77" w14:textId="77777777" w:rsidR="008C5CFA" w:rsidRPr="00F53019" w:rsidRDefault="00E82A60" w:rsidP="00300A01">
            <w:pPr>
              <w:spacing w:before="0" w:after="0"/>
              <w:rPr>
                <w:b/>
                <w:sz w:val="12"/>
                <w:szCs w:val="12"/>
                <w:lang w:val="fr-BE"/>
              </w:rPr>
            </w:pPr>
            <w:r w:rsidRPr="00F53019">
              <w:rPr>
                <w:b/>
                <w:noProof/>
                <w:sz w:val="12"/>
                <w:szCs w:val="12"/>
                <w:lang w:val="fr-BE"/>
              </w:rPr>
              <w:t>ID</w:t>
            </w:r>
          </w:p>
        </w:tc>
        <w:tc>
          <w:tcPr>
            <w:tcW w:w="0" w:type="auto"/>
            <w:shd w:val="clear" w:color="auto" w:fill="auto"/>
          </w:tcPr>
          <w:p w14:paraId="6FFE2CD6" w14:textId="77777777" w:rsidR="008C5CFA" w:rsidRPr="00F53019" w:rsidRDefault="00E82A60" w:rsidP="00300A01">
            <w:pPr>
              <w:spacing w:before="0" w:after="0"/>
              <w:rPr>
                <w:b/>
                <w:sz w:val="12"/>
                <w:szCs w:val="12"/>
                <w:lang w:val="fr-BE"/>
              </w:rPr>
            </w:pPr>
            <w:r w:rsidRPr="00F53019">
              <w:rPr>
                <w:b/>
                <w:noProof/>
                <w:sz w:val="12"/>
                <w:szCs w:val="12"/>
                <w:lang w:val="fr-BE"/>
              </w:rPr>
              <w:t>Wskaźnik</w:t>
            </w:r>
          </w:p>
        </w:tc>
        <w:tc>
          <w:tcPr>
            <w:tcW w:w="0" w:type="auto"/>
            <w:shd w:val="clear" w:color="auto" w:fill="auto"/>
          </w:tcPr>
          <w:p w14:paraId="050B0422" w14:textId="77777777" w:rsidR="008C5CFA" w:rsidRPr="00F53019" w:rsidRDefault="00E82A60" w:rsidP="00300A01">
            <w:pPr>
              <w:spacing w:before="0" w:after="0"/>
              <w:rPr>
                <w:b/>
                <w:sz w:val="12"/>
                <w:szCs w:val="12"/>
                <w:lang w:val="fr-BE"/>
              </w:rPr>
            </w:pPr>
            <w:r w:rsidRPr="00F53019">
              <w:rPr>
                <w:b/>
                <w:noProof/>
                <w:sz w:val="12"/>
                <w:szCs w:val="12"/>
                <w:lang w:val="fr-BE"/>
              </w:rPr>
              <w:t>Kategoria regionu</w:t>
            </w:r>
          </w:p>
        </w:tc>
        <w:tc>
          <w:tcPr>
            <w:tcW w:w="0" w:type="auto"/>
            <w:shd w:val="clear" w:color="auto" w:fill="auto"/>
          </w:tcPr>
          <w:p w14:paraId="12AA3F88" w14:textId="77777777" w:rsidR="008C5CFA" w:rsidRPr="00F53019" w:rsidRDefault="00E82A60" w:rsidP="00300A01">
            <w:pPr>
              <w:spacing w:before="0" w:after="0"/>
              <w:rPr>
                <w:b/>
                <w:sz w:val="12"/>
                <w:szCs w:val="12"/>
                <w:lang w:val="fr-BE"/>
              </w:rPr>
            </w:pPr>
            <w:r w:rsidRPr="00F53019">
              <w:rPr>
                <w:b/>
                <w:noProof/>
                <w:sz w:val="12"/>
                <w:szCs w:val="12"/>
                <w:lang w:val="fr-BE"/>
              </w:rPr>
              <w:t>Wspólny wskaźnik produktu stosowany jako podstawa ustalania celów</w:t>
            </w:r>
          </w:p>
        </w:tc>
        <w:tc>
          <w:tcPr>
            <w:tcW w:w="0" w:type="auto"/>
            <w:shd w:val="clear" w:color="auto" w:fill="auto"/>
          </w:tcPr>
          <w:p w14:paraId="2853FA35" w14:textId="77777777" w:rsidR="008C5CFA" w:rsidRPr="00F53019" w:rsidRDefault="00E82A60" w:rsidP="00300A01">
            <w:pPr>
              <w:spacing w:before="0" w:after="0"/>
              <w:rPr>
                <w:b/>
                <w:sz w:val="12"/>
                <w:szCs w:val="12"/>
                <w:lang w:val="fr-BE"/>
              </w:rPr>
            </w:pPr>
            <w:r w:rsidRPr="00F53019">
              <w:rPr>
                <w:b/>
                <w:noProof/>
                <w:sz w:val="12"/>
                <w:szCs w:val="12"/>
                <w:lang w:val="fr-BE"/>
              </w:rPr>
              <w:t>Jednostka pomiaru dla wartości bazowej i docelowej</w:t>
            </w:r>
          </w:p>
        </w:tc>
        <w:tc>
          <w:tcPr>
            <w:tcW w:w="0" w:type="auto"/>
            <w:gridSpan w:val="3"/>
            <w:shd w:val="clear" w:color="auto" w:fill="auto"/>
          </w:tcPr>
          <w:p w14:paraId="38B286C4" w14:textId="77777777" w:rsidR="008C5CFA" w:rsidRPr="00F53019" w:rsidRDefault="00E82A60" w:rsidP="00300A01">
            <w:pPr>
              <w:spacing w:before="0" w:after="0"/>
              <w:jc w:val="center"/>
              <w:rPr>
                <w:b/>
                <w:sz w:val="12"/>
                <w:szCs w:val="12"/>
                <w:lang w:val="fr-BE"/>
              </w:rPr>
            </w:pPr>
            <w:r w:rsidRPr="00F53019">
              <w:rPr>
                <w:b/>
                <w:noProof/>
                <w:sz w:val="12"/>
                <w:szCs w:val="12"/>
                <w:lang w:val="fr-BE"/>
              </w:rPr>
              <w:t>Wartość docelowa (2023)</w:t>
            </w:r>
          </w:p>
        </w:tc>
        <w:tc>
          <w:tcPr>
            <w:tcW w:w="0" w:type="auto"/>
            <w:gridSpan w:val="3"/>
            <w:shd w:val="clear" w:color="auto" w:fill="auto"/>
          </w:tcPr>
          <w:p w14:paraId="33E8D9EE" w14:textId="77777777" w:rsidR="008C5CFA" w:rsidRPr="00F53019" w:rsidRDefault="00E82A60" w:rsidP="00300A01">
            <w:pPr>
              <w:spacing w:before="0" w:after="0"/>
              <w:jc w:val="center"/>
              <w:rPr>
                <w:b/>
                <w:sz w:val="12"/>
                <w:szCs w:val="12"/>
                <w:lang w:val="fr-BE"/>
              </w:rPr>
            </w:pPr>
            <w:r w:rsidRPr="00F53019">
              <w:rPr>
                <w:b/>
                <w:noProof/>
                <w:sz w:val="12"/>
                <w:szCs w:val="12"/>
                <w:lang w:val="fr-BE"/>
              </w:rPr>
              <w:t>Wartość skumulowana</w:t>
            </w:r>
          </w:p>
        </w:tc>
        <w:tc>
          <w:tcPr>
            <w:tcW w:w="0" w:type="auto"/>
            <w:gridSpan w:val="3"/>
            <w:shd w:val="clear" w:color="auto" w:fill="auto"/>
          </w:tcPr>
          <w:p w14:paraId="06FD594E" w14:textId="77777777" w:rsidR="008C5CFA" w:rsidRPr="00F53019" w:rsidRDefault="00E82A60" w:rsidP="00300A01">
            <w:pPr>
              <w:spacing w:before="0" w:after="0"/>
              <w:jc w:val="center"/>
              <w:rPr>
                <w:b/>
                <w:sz w:val="12"/>
                <w:szCs w:val="12"/>
                <w:lang w:val="fr-BE"/>
              </w:rPr>
            </w:pPr>
            <w:r w:rsidRPr="00F53019">
              <w:rPr>
                <w:b/>
                <w:noProof/>
                <w:sz w:val="12"/>
                <w:szCs w:val="12"/>
                <w:lang w:val="fr-BE"/>
              </w:rPr>
              <w:t>Wskaźnik osiągnięć</w:t>
            </w:r>
          </w:p>
        </w:tc>
        <w:tc>
          <w:tcPr>
            <w:tcW w:w="0" w:type="auto"/>
            <w:gridSpan w:val="2"/>
            <w:shd w:val="clear" w:color="auto" w:fill="auto"/>
          </w:tcPr>
          <w:p w14:paraId="4057B0A5" w14:textId="77777777" w:rsidR="008C5CFA" w:rsidRPr="00F53019" w:rsidRDefault="00E82A60" w:rsidP="00300A01">
            <w:pPr>
              <w:spacing w:before="0" w:after="0"/>
              <w:jc w:val="center"/>
              <w:rPr>
                <w:b/>
                <w:sz w:val="12"/>
                <w:szCs w:val="12"/>
                <w:lang w:val="fr-BE"/>
              </w:rPr>
            </w:pPr>
            <w:r>
              <w:rPr>
                <w:b/>
                <w:sz w:val="12"/>
                <w:szCs w:val="12"/>
                <w:lang w:val="fr-BE"/>
              </w:rPr>
              <w:t>2019</w:t>
            </w:r>
          </w:p>
        </w:tc>
      </w:tr>
      <w:tr w:rsidR="006B2EC1" w14:paraId="64ED53D9" w14:textId="77777777" w:rsidTr="0047688D">
        <w:trPr>
          <w:tblHeader/>
        </w:trPr>
        <w:tc>
          <w:tcPr>
            <w:tcW w:w="0" w:type="auto"/>
            <w:shd w:val="clear" w:color="auto" w:fill="auto"/>
          </w:tcPr>
          <w:p w14:paraId="1D5B221B" w14:textId="77777777" w:rsidR="008C5CFA" w:rsidRPr="00F53019" w:rsidRDefault="008C5CFA" w:rsidP="00300A01">
            <w:pPr>
              <w:spacing w:before="0" w:after="0"/>
              <w:rPr>
                <w:b/>
                <w:sz w:val="12"/>
                <w:szCs w:val="12"/>
                <w:lang w:val="fr-BE"/>
              </w:rPr>
            </w:pPr>
          </w:p>
        </w:tc>
        <w:tc>
          <w:tcPr>
            <w:tcW w:w="0" w:type="auto"/>
            <w:shd w:val="clear" w:color="auto" w:fill="auto"/>
          </w:tcPr>
          <w:p w14:paraId="4C383190" w14:textId="77777777" w:rsidR="008C5CFA" w:rsidRPr="00F53019" w:rsidRDefault="008C5CFA" w:rsidP="00300A01">
            <w:pPr>
              <w:spacing w:before="0" w:after="0"/>
              <w:rPr>
                <w:b/>
                <w:sz w:val="12"/>
                <w:szCs w:val="12"/>
                <w:lang w:val="fr-BE"/>
              </w:rPr>
            </w:pPr>
          </w:p>
        </w:tc>
        <w:tc>
          <w:tcPr>
            <w:tcW w:w="0" w:type="auto"/>
            <w:shd w:val="clear" w:color="auto" w:fill="auto"/>
          </w:tcPr>
          <w:p w14:paraId="22D22D4B" w14:textId="77777777" w:rsidR="008C5CFA" w:rsidRPr="00F53019" w:rsidRDefault="008C5CFA" w:rsidP="00300A01">
            <w:pPr>
              <w:spacing w:before="0" w:after="0"/>
              <w:rPr>
                <w:b/>
                <w:sz w:val="12"/>
                <w:szCs w:val="12"/>
                <w:lang w:val="fr-BE"/>
              </w:rPr>
            </w:pPr>
          </w:p>
        </w:tc>
        <w:tc>
          <w:tcPr>
            <w:tcW w:w="0" w:type="auto"/>
            <w:shd w:val="clear" w:color="auto" w:fill="auto"/>
          </w:tcPr>
          <w:p w14:paraId="742050C3" w14:textId="77777777" w:rsidR="008C5CFA" w:rsidRPr="00F53019" w:rsidRDefault="008C5CFA" w:rsidP="00300A01">
            <w:pPr>
              <w:spacing w:before="0" w:after="0"/>
              <w:rPr>
                <w:b/>
                <w:sz w:val="12"/>
                <w:szCs w:val="12"/>
                <w:lang w:val="fr-BE"/>
              </w:rPr>
            </w:pPr>
          </w:p>
        </w:tc>
        <w:tc>
          <w:tcPr>
            <w:tcW w:w="0" w:type="auto"/>
            <w:shd w:val="clear" w:color="auto" w:fill="auto"/>
          </w:tcPr>
          <w:p w14:paraId="16C743BA" w14:textId="77777777" w:rsidR="008C5CFA" w:rsidRPr="00F53019" w:rsidRDefault="008C5CFA" w:rsidP="00300A01">
            <w:pPr>
              <w:spacing w:before="0" w:after="0"/>
              <w:rPr>
                <w:b/>
                <w:sz w:val="12"/>
                <w:szCs w:val="12"/>
                <w:lang w:val="fr-BE"/>
              </w:rPr>
            </w:pPr>
          </w:p>
        </w:tc>
        <w:tc>
          <w:tcPr>
            <w:tcW w:w="0" w:type="auto"/>
            <w:shd w:val="clear" w:color="auto" w:fill="auto"/>
          </w:tcPr>
          <w:p w14:paraId="757DE5D9" w14:textId="77777777" w:rsidR="008C5CFA" w:rsidRPr="00F53019" w:rsidRDefault="00E82A60" w:rsidP="00300A01">
            <w:pPr>
              <w:spacing w:before="0" w:after="0"/>
              <w:jc w:val="center"/>
              <w:rPr>
                <w:b/>
                <w:sz w:val="12"/>
                <w:szCs w:val="12"/>
                <w:lang w:val="fr-BE"/>
              </w:rPr>
            </w:pPr>
            <w:r w:rsidRPr="00F53019">
              <w:rPr>
                <w:b/>
                <w:noProof/>
                <w:sz w:val="12"/>
                <w:szCs w:val="12"/>
                <w:lang w:val="fr-BE"/>
              </w:rPr>
              <w:t>Ogółem</w:t>
            </w:r>
          </w:p>
        </w:tc>
        <w:tc>
          <w:tcPr>
            <w:tcW w:w="0" w:type="auto"/>
            <w:shd w:val="clear" w:color="auto" w:fill="auto"/>
          </w:tcPr>
          <w:p w14:paraId="79E7A745" w14:textId="77777777" w:rsidR="008C5CFA" w:rsidRPr="00F53019" w:rsidRDefault="00E82A60"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14:paraId="47090291" w14:textId="77777777" w:rsidR="008C5CFA" w:rsidRPr="00F53019" w:rsidRDefault="00E82A60" w:rsidP="00300A01">
            <w:pPr>
              <w:spacing w:before="0" w:after="0"/>
              <w:jc w:val="center"/>
              <w:rPr>
                <w:b/>
                <w:sz w:val="12"/>
                <w:szCs w:val="12"/>
                <w:lang w:val="fr-BE"/>
              </w:rPr>
            </w:pPr>
            <w:r w:rsidRPr="00F53019">
              <w:rPr>
                <w:b/>
                <w:noProof/>
                <w:sz w:val="12"/>
                <w:szCs w:val="12"/>
                <w:lang w:val="fr-BE"/>
              </w:rPr>
              <w:t>Kobiety</w:t>
            </w:r>
          </w:p>
        </w:tc>
        <w:tc>
          <w:tcPr>
            <w:tcW w:w="0" w:type="auto"/>
            <w:shd w:val="clear" w:color="auto" w:fill="auto"/>
          </w:tcPr>
          <w:p w14:paraId="3FB4624C" w14:textId="77777777" w:rsidR="008C5CFA" w:rsidRPr="00F53019" w:rsidRDefault="00E82A60" w:rsidP="00300A01">
            <w:pPr>
              <w:spacing w:before="0" w:after="0"/>
              <w:jc w:val="center"/>
              <w:rPr>
                <w:b/>
                <w:sz w:val="12"/>
                <w:szCs w:val="12"/>
                <w:lang w:val="fr-BE"/>
              </w:rPr>
            </w:pPr>
            <w:r w:rsidRPr="00F53019">
              <w:rPr>
                <w:b/>
                <w:noProof/>
                <w:sz w:val="12"/>
                <w:szCs w:val="12"/>
                <w:lang w:val="fr-BE"/>
              </w:rPr>
              <w:t>Ogółem</w:t>
            </w:r>
          </w:p>
        </w:tc>
        <w:tc>
          <w:tcPr>
            <w:tcW w:w="0" w:type="auto"/>
            <w:shd w:val="clear" w:color="auto" w:fill="auto"/>
          </w:tcPr>
          <w:p w14:paraId="062BCD7D" w14:textId="77777777" w:rsidR="008C5CFA" w:rsidRPr="00F53019" w:rsidRDefault="00E82A60"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14:paraId="5976D9A6" w14:textId="77777777" w:rsidR="008C5CFA" w:rsidRPr="00F53019" w:rsidRDefault="00E82A60" w:rsidP="00300A01">
            <w:pPr>
              <w:spacing w:before="0" w:after="0"/>
              <w:jc w:val="center"/>
              <w:rPr>
                <w:b/>
                <w:sz w:val="12"/>
                <w:szCs w:val="12"/>
                <w:lang w:val="fr-BE"/>
              </w:rPr>
            </w:pPr>
            <w:r w:rsidRPr="00F53019">
              <w:rPr>
                <w:b/>
                <w:noProof/>
                <w:sz w:val="12"/>
                <w:szCs w:val="12"/>
                <w:lang w:val="fr-BE"/>
              </w:rPr>
              <w:t>Kobiety</w:t>
            </w:r>
          </w:p>
        </w:tc>
        <w:tc>
          <w:tcPr>
            <w:tcW w:w="0" w:type="auto"/>
            <w:shd w:val="clear" w:color="auto" w:fill="auto"/>
          </w:tcPr>
          <w:p w14:paraId="3F8899B5" w14:textId="77777777" w:rsidR="008C5CFA" w:rsidRPr="00F53019" w:rsidRDefault="00E82A60" w:rsidP="00300A01">
            <w:pPr>
              <w:spacing w:before="0" w:after="0"/>
              <w:jc w:val="center"/>
              <w:rPr>
                <w:b/>
                <w:sz w:val="12"/>
                <w:szCs w:val="12"/>
                <w:lang w:val="fr-BE"/>
              </w:rPr>
            </w:pPr>
            <w:r w:rsidRPr="00F53019">
              <w:rPr>
                <w:b/>
                <w:noProof/>
                <w:sz w:val="12"/>
                <w:szCs w:val="12"/>
                <w:lang w:val="fr-BE"/>
              </w:rPr>
              <w:t>Ogółem</w:t>
            </w:r>
          </w:p>
        </w:tc>
        <w:tc>
          <w:tcPr>
            <w:tcW w:w="0" w:type="auto"/>
            <w:shd w:val="clear" w:color="auto" w:fill="auto"/>
          </w:tcPr>
          <w:p w14:paraId="767D9DE0" w14:textId="77777777" w:rsidR="008C5CFA" w:rsidRPr="00F53019" w:rsidRDefault="00E82A60"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14:paraId="4C1E9482" w14:textId="77777777" w:rsidR="008C5CFA" w:rsidRPr="00F53019" w:rsidRDefault="00E82A60" w:rsidP="00300A01">
            <w:pPr>
              <w:spacing w:before="0" w:after="0"/>
              <w:jc w:val="center"/>
              <w:rPr>
                <w:b/>
                <w:sz w:val="12"/>
                <w:szCs w:val="12"/>
                <w:lang w:val="fr-BE"/>
              </w:rPr>
            </w:pPr>
            <w:r w:rsidRPr="00F53019">
              <w:rPr>
                <w:b/>
                <w:noProof/>
                <w:sz w:val="12"/>
                <w:szCs w:val="12"/>
                <w:lang w:val="fr-BE"/>
              </w:rPr>
              <w:t>Kobiety</w:t>
            </w:r>
          </w:p>
        </w:tc>
        <w:tc>
          <w:tcPr>
            <w:tcW w:w="0" w:type="auto"/>
            <w:shd w:val="clear" w:color="auto" w:fill="auto"/>
          </w:tcPr>
          <w:p w14:paraId="4C341C10" w14:textId="77777777" w:rsidR="008C5CFA" w:rsidRPr="00F53019" w:rsidRDefault="00E82A60"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14:paraId="06256DAE" w14:textId="77777777" w:rsidR="008C5CFA" w:rsidRPr="00F53019" w:rsidRDefault="00E82A60" w:rsidP="00300A01">
            <w:pPr>
              <w:spacing w:before="0" w:after="0"/>
              <w:jc w:val="center"/>
              <w:rPr>
                <w:b/>
                <w:sz w:val="12"/>
                <w:szCs w:val="12"/>
                <w:lang w:val="fr-BE"/>
              </w:rPr>
            </w:pPr>
            <w:r w:rsidRPr="00F53019">
              <w:rPr>
                <w:b/>
                <w:noProof/>
                <w:sz w:val="12"/>
                <w:szCs w:val="12"/>
                <w:lang w:val="fr-BE"/>
              </w:rPr>
              <w:t>Kobiety</w:t>
            </w:r>
          </w:p>
        </w:tc>
      </w:tr>
      <w:tr w:rsidR="006B2EC1" w14:paraId="43A838EA" w14:textId="77777777" w:rsidTr="0047688D">
        <w:tc>
          <w:tcPr>
            <w:tcW w:w="0" w:type="auto"/>
            <w:shd w:val="clear" w:color="auto" w:fill="auto"/>
          </w:tcPr>
          <w:p w14:paraId="7FB6890A" w14:textId="77777777" w:rsidR="008C5CFA" w:rsidRPr="00BA47B4" w:rsidRDefault="00E82A60" w:rsidP="00300A01">
            <w:pPr>
              <w:spacing w:before="0" w:after="0"/>
              <w:rPr>
                <w:sz w:val="12"/>
                <w:szCs w:val="12"/>
                <w:lang w:val="fr-BE"/>
              </w:rPr>
            </w:pPr>
            <w:r w:rsidRPr="00BA47B4">
              <w:rPr>
                <w:noProof/>
                <w:sz w:val="12"/>
                <w:szCs w:val="12"/>
                <w:lang w:val="fr-BE"/>
              </w:rPr>
              <w:t>CR01</w:t>
            </w:r>
          </w:p>
        </w:tc>
        <w:tc>
          <w:tcPr>
            <w:tcW w:w="0" w:type="auto"/>
            <w:shd w:val="clear" w:color="auto" w:fill="auto"/>
          </w:tcPr>
          <w:p w14:paraId="18B44357" w14:textId="77777777" w:rsidR="008C5CFA" w:rsidRPr="00BA47B4" w:rsidRDefault="00E82A60" w:rsidP="00300A01">
            <w:pPr>
              <w:spacing w:before="0" w:after="0"/>
              <w:rPr>
                <w:sz w:val="12"/>
                <w:szCs w:val="12"/>
                <w:lang w:val="fr-BE"/>
              </w:rPr>
            </w:pPr>
            <w:r w:rsidRPr="00BA47B4">
              <w:rPr>
                <w:noProof/>
                <w:sz w:val="12"/>
                <w:szCs w:val="12"/>
                <w:lang w:val="fr-BE"/>
              </w:rPr>
              <w:t>bierni zawodowo uczestnicy poszukujący pracy po opuszczeniu programu</w:t>
            </w:r>
          </w:p>
        </w:tc>
        <w:tc>
          <w:tcPr>
            <w:tcW w:w="0" w:type="auto"/>
            <w:shd w:val="clear" w:color="auto" w:fill="auto"/>
          </w:tcPr>
          <w:p w14:paraId="56881A13" w14:textId="77777777" w:rsidR="008C5CFA" w:rsidRPr="00BA47B4" w:rsidRDefault="00E82A60" w:rsidP="00300A01">
            <w:pPr>
              <w:spacing w:before="0" w:after="0"/>
              <w:rPr>
                <w:sz w:val="12"/>
                <w:szCs w:val="12"/>
                <w:lang w:val="fr-BE"/>
              </w:rPr>
            </w:pPr>
            <w:r w:rsidRPr="00BA47B4">
              <w:rPr>
                <w:noProof/>
                <w:sz w:val="12"/>
                <w:szCs w:val="12"/>
                <w:lang w:val="fr-BE"/>
              </w:rPr>
              <w:t>Słabiej rozwinięte</w:t>
            </w:r>
          </w:p>
        </w:tc>
        <w:tc>
          <w:tcPr>
            <w:tcW w:w="0" w:type="auto"/>
            <w:shd w:val="clear" w:color="auto" w:fill="auto"/>
          </w:tcPr>
          <w:p w14:paraId="3E5D30F5" w14:textId="77777777" w:rsidR="008C5CFA" w:rsidRPr="00BA47B4" w:rsidRDefault="00E82A60" w:rsidP="00300A01">
            <w:pPr>
              <w:spacing w:before="0" w:after="0"/>
              <w:rPr>
                <w:sz w:val="12"/>
                <w:szCs w:val="12"/>
                <w:lang w:val="fr-BE"/>
              </w:rPr>
            </w:pPr>
            <w:r w:rsidRPr="00BA47B4">
              <w:rPr>
                <w:sz w:val="12"/>
                <w:szCs w:val="12"/>
                <w:lang w:val="fr-BE"/>
              </w:rPr>
              <w:t xml:space="preserve"> </w:t>
            </w:r>
          </w:p>
        </w:tc>
        <w:tc>
          <w:tcPr>
            <w:tcW w:w="0" w:type="auto"/>
            <w:shd w:val="clear" w:color="auto" w:fill="auto"/>
          </w:tcPr>
          <w:p w14:paraId="182BE99E" w14:textId="77777777" w:rsidR="008C5CFA" w:rsidRPr="00BA47B4" w:rsidRDefault="008C5CFA" w:rsidP="00300A01">
            <w:pPr>
              <w:spacing w:before="0" w:after="0"/>
              <w:jc w:val="center"/>
              <w:rPr>
                <w:sz w:val="12"/>
                <w:szCs w:val="12"/>
                <w:lang w:val="fr-BE"/>
              </w:rPr>
            </w:pPr>
          </w:p>
        </w:tc>
        <w:tc>
          <w:tcPr>
            <w:tcW w:w="0" w:type="auto"/>
            <w:shd w:val="clear" w:color="auto" w:fill="auto"/>
          </w:tcPr>
          <w:p w14:paraId="67AE183B" w14:textId="77777777" w:rsidR="008C5CFA" w:rsidRPr="00BA47B4" w:rsidRDefault="008C5CFA" w:rsidP="00300A01">
            <w:pPr>
              <w:spacing w:before="0" w:after="0"/>
              <w:jc w:val="right"/>
              <w:rPr>
                <w:sz w:val="12"/>
                <w:szCs w:val="12"/>
                <w:lang w:val="fr-BE"/>
              </w:rPr>
            </w:pPr>
          </w:p>
        </w:tc>
        <w:tc>
          <w:tcPr>
            <w:tcW w:w="0" w:type="auto"/>
            <w:shd w:val="clear" w:color="auto" w:fill="auto"/>
          </w:tcPr>
          <w:p w14:paraId="1CE4745D" w14:textId="77777777" w:rsidR="008C5CFA" w:rsidRPr="00BA47B4" w:rsidRDefault="008C5CFA" w:rsidP="00300A01">
            <w:pPr>
              <w:spacing w:before="0" w:after="0"/>
              <w:jc w:val="right"/>
              <w:rPr>
                <w:sz w:val="12"/>
                <w:szCs w:val="12"/>
                <w:lang w:val="fr-BE"/>
              </w:rPr>
            </w:pPr>
          </w:p>
        </w:tc>
        <w:tc>
          <w:tcPr>
            <w:tcW w:w="0" w:type="auto"/>
            <w:shd w:val="clear" w:color="auto" w:fill="auto"/>
          </w:tcPr>
          <w:p w14:paraId="0350E0F7" w14:textId="77777777" w:rsidR="008C5CFA" w:rsidRPr="00BA47B4" w:rsidRDefault="008C5CFA" w:rsidP="00300A01">
            <w:pPr>
              <w:spacing w:before="0" w:after="0"/>
              <w:jc w:val="right"/>
              <w:rPr>
                <w:sz w:val="12"/>
                <w:szCs w:val="12"/>
                <w:lang w:val="fr-BE"/>
              </w:rPr>
            </w:pPr>
          </w:p>
        </w:tc>
        <w:tc>
          <w:tcPr>
            <w:tcW w:w="0" w:type="auto"/>
            <w:shd w:val="clear" w:color="auto" w:fill="auto"/>
          </w:tcPr>
          <w:p w14:paraId="50D31AA7"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4DB257FB"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4DE60476"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0C45F943" w14:textId="77777777" w:rsidR="008C5CFA" w:rsidRPr="00BA47B4" w:rsidRDefault="008C5CFA" w:rsidP="00300A01">
            <w:pPr>
              <w:spacing w:before="0" w:after="0"/>
              <w:jc w:val="right"/>
              <w:rPr>
                <w:sz w:val="12"/>
                <w:szCs w:val="12"/>
                <w:lang w:val="fr-BE"/>
              </w:rPr>
            </w:pPr>
          </w:p>
        </w:tc>
        <w:tc>
          <w:tcPr>
            <w:tcW w:w="0" w:type="auto"/>
            <w:shd w:val="clear" w:color="auto" w:fill="auto"/>
          </w:tcPr>
          <w:p w14:paraId="7378435F" w14:textId="77777777" w:rsidR="008C5CFA" w:rsidRPr="00BA47B4" w:rsidRDefault="008C5CFA" w:rsidP="00300A01">
            <w:pPr>
              <w:spacing w:before="0" w:after="0"/>
              <w:jc w:val="right"/>
              <w:rPr>
                <w:sz w:val="12"/>
                <w:szCs w:val="12"/>
                <w:lang w:val="fr-BE"/>
              </w:rPr>
            </w:pPr>
          </w:p>
        </w:tc>
        <w:tc>
          <w:tcPr>
            <w:tcW w:w="0" w:type="auto"/>
            <w:shd w:val="clear" w:color="auto" w:fill="auto"/>
          </w:tcPr>
          <w:p w14:paraId="67BD9104" w14:textId="77777777" w:rsidR="008C5CFA" w:rsidRPr="00BA47B4" w:rsidRDefault="008C5CFA" w:rsidP="00300A01">
            <w:pPr>
              <w:spacing w:before="0" w:after="0"/>
              <w:jc w:val="right"/>
              <w:rPr>
                <w:sz w:val="12"/>
                <w:szCs w:val="12"/>
                <w:lang w:val="fr-BE"/>
              </w:rPr>
            </w:pPr>
          </w:p>
        </w:tc>
        <w:tc>
          <w:tcPr>
            <w:tcW w:w="0" w:type="auto"/>
            <w:shd w:val="clear" w:color="auto" w:fill="auto"/>
          </w:tcPr>
          <w:p w14:paraId="6E7129E1"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06609E5E"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r>
      <w:tr w:rsidR="006B2EC1" w14:paraId="60F7E9B3" w14:textId="77777777" w:rsidTr="0047688D">
        <w:tc>
          <w:tcPr>
            <w:tcW w:w="0" w:type="auto"/>
            <w:shd w:val="clear" w:color="auto" w:fill="auto"/>
          </w:tcPr>
          <w:p w14:paraId="279C4EC3" w14:textId="77777777" w:rsidR="008C5CFA" w:rsidRPr="00BA47B4" w:rsidRDefault="00E82A60" w:rsidP="00300A01">
            <w:pPr>
              <w:spacing w:before="0" w:after="0"/>
              <w:rPr>
                <w:sz w:val="12"/>
                <w:szCs w:val="12"/>
                <w:lang w:val="fr-BE"/>
              </w:rPr>
            </w:pPr>
            <w:r w:rsidRPr="00BA47B4">
              <w:rPr>
                <w:noProof/>
                <w:sz w:val="12"/>
                <w:szCs w:val="12"/>
                <w:lang w:val="fr-BE"/>
              </w:rPr>
              <w:t>CR02</w:t>
            </w:r>
          </w:p>
        </w:tc>
        <w:tc>
          <w:tcPr>
            <w:tcW w:w="0" w:type="auto"/>
            <w:shd w:val="clear" w:color="auto" w:fill="auto"/>
          </w:tcPr>
          <w:p w14:paraId="32865BF1" w14:textId="77777777" w:rsidR="008C5CFA" w:rsidRPr="00BA47B4" w:rsidRDefault="00E82A60" w:rsidP="00300A01">
            <w:pPr>
              <w:spacing w:before="0" w:after="0"/>
              <w:rPr>
                <w:sz w:val="12"/>
                <w:szCs w:val="12"/>
                <w:lang w:val="fr-BE"/>
              </w:rPr>
            </w:pPr>
            <w:r w:rsidRPr="00BA47B4">
              <w:rPr>
                <w:noProof/>
                <w:sz w:val="12"/>
                <w:szCs w:val="12"/>
                <w:lang w:val="fr-BE"/>
              </w:rPr>
              <w:t>uczestnicy kształcący lub szkolący się po opuszczeniu programu</w:t>
            </w:r>
          </w:p>
        </w:tc>
        <w:tc>
          <w:tcPr>
            <w:tcW w:w="0" w:type="auto"/>
            <w:shd w:val="clear" w:color="auto" w:fill="auto"/>
          </w:tcPr>
          <w:p w14:paraId="678202DE" w14:textId="77777777" w:rsidR="008C5CFA" w:rsidRPr="00BA47B4" w:rsidRDefault="00E82A60" w:rsidP="00300A01">
            <w:pPr>
              <w:spacing w:before="0" w:after="0"/>
              <w:rPr>
                <w:sz w:val="12"/>
                <w:szCs w:val="12"/>
                <w:lang w:val="fr-BE"/>
              </w:rPr>
            </w:pPr>
            <w:r w:rsidRPr="00BA47B4">
              <w:rPr>
                <w:noProof/>
                <w:sz w:val="12"/>
                <w:szCs w:val="12"/>
                <w:lang w:val="fr-BE"/>
              </w:rPr>
              <w:t>Słabiej rozwinięte</w:t>
            </w:r>
          </w:p>
        </w:tc>
        <w:tc>
          <w:tcPr>
            <w:tcW w:w="0" w:type="auto"/>
            <w:shd w:val="clear" w:color="auto" w:fill="auto"/>
          </w:tcPr>
          <w:p w14:paraId="01B4E215" w14:textId="77777777" w:rsidR="008C5CFA" w:rsidRPr="00BA47B4" w:rsidRDefault="00E82A60" w:rsidP="00300A01">
            <w:pPr>
              <w:spacing w:before="0" w:after="0"/>
              <w:rPr>
                <w:sz w:val="12"/>
                <w:szCs w:val="12"/>
                <w:lang w:val="fr-BE"/>
              </w:rPr>
            </w:pPr>
            <w:r w:rsidRPr="00BA47B4">
              <w:rPr>
                <w:sz w:val="12"/>
                <w:szCs w:val="12"/>
                <w:lang w:val="fr-BE"/>
              </w:rPr>
              <w:t xml:space="preserve"> </w:t>
            </w:r>
          </w:p>
        </w:tc>
        <w:tc>
          <w:tcPr>
            <w:tcW w:w="0" w:type="auto"/>
            <w:shd w:val="clear" w:color="auto" w:fill="auto"/>
          </w:tcPr>
          <w:p w14:paraId="1351F488" w14:textId="77777777" w:rsidR="008C5CFA" w:rsidRPr="00BA47B4" w:rsidRDefault="008C5CFA" w:rsidP="00300A01">
            <w:pPr>
              <w:spacing w:before="0" w:after="0"/>
              <w:jc w:val="center"/>
              <w:rPr>
                <w:sz w:val="12"/>
                <w:szCs w:val="12"/>
                <w:lang w:val="fr-BE"/>
              </w:rPr>
            </w:pPr>
          </w:p>
        </w:tc>
        <w:tc>
          <w:tcPr>
            <w:tcW w:w="0" w:type="auto"/>
            <w:shd w:val="clear" w:color="auto" w:fill="auto"/>
          </w:tcPr>
          <w:p w14:paraId="4A1EC206" w14:textId="77777777" w:rsidR="008C5CFA" w:rsidRPr="00BA47B4" w:rsidRDefault="008C5CFA" w:rsidP="00300A01">
            <w:pPr>
              <w:spacing w:before="0" w:after="0"/>
              <w:jc w:val="right"/>
              <w:rPr>
                <w:sz w:val="12"/>
                <w:szCs w:val="12"/>
                <w:lang w:val="fr-BE"/>
              </w:rPr>
            </w:pPr>
          </w:p>
        </w:tc>
        <w:tc>
          <w:tcPr>
            <w:tcW w:w="0" w:type="auto"/>
            <w:shd w:val="clear" w:color="auto" w:fill="auto"/>
          </w:tcPr>
          <w:p w14:paraId="19064F00" w14:textId="77777777" w:rsidR="008C5CFA" w:rsidRPr="00BA47B4" w:rsidRDefault="008C5CFA" w:rsidP="00300A01">
            <w:pPr>
              <w:spacing w:before="0" w:after="0"/>
              <w:jc w:val="right"/>
              <w:rPr>
                <w:sz w:val="12"/>
                <w:szCs w:val="12"/>
                <w:lang w:val="fr-BE"/>
              </w:rPr>
            </w:pPr>
          </w:p>
        </w:tc>
        <w:tc>
          <w:tcPr>
            <w:tcW w:w="0" w:type="auto"/>
            <w:shd w:val="clear" w:color="auto" w:fill="auto"/>
          </w:tcPr>
          <w:p w14:paraId="22117F47" w14:textId="77777777" w:rsidR="008C5CFA" w:rsidRPr="00BA47B4" w:rsidRDefault="008C5CFA" w:rsidP="00300A01">
            <w:pPr>
              <w:spacing w:before="0" w:after="0"/>
              <w:jc w:val="right"/>
              <w:rPr>
                <w:sz w:val="12"/>
                <w:szCs w:val="12"/>
                <w:lang w:val="fr-BE"/>
              </w:rPr>
            </w:pPr>
          </w:p>
        </w:tc>
        <w:tc>
          <w:tcPr>
            <w:tcW w:w="0" w:type="auto"/>
            <w:shd w:val="clear" w:color="auto" w:fill="auto"/>
          </w:tcPr>
          <w:p w14:paraId="144C9D30"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5A36FE79"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0ACD3F1A"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7EFA856F" w14:textId="77777777" w:rsidR="008C5CFA" w:rsidRPr="00BA47B4" w:rsidRDefault="008C5CFA" w:rsidP="00300A01">
            <w:pPr>
              <w:spacing w:before="0" w:after="0"/>
              <w:jc w:val="right"/>
              <w:rPr>
                <w:sz w:val="12"/>
                <w:szCs w:val="12"/>
                <w:lang w:val="fr-BE"/>
              </w:rPr>
            </w:pPr>
          </w:p>
        </w:tc>
        <w:tc>
          <w:tcPr>
            <w:tcW w:w="0" w:type="auto"/>
            <w:shd w:val="clear" w:color="auto" w:fill="auto"/>
          </w:tcPr>
          <w:p w14:paraId="6BDDEDFB" w14:textId="77777777" w:rsidR="008C5CFA" w:rsidRPr="00BA47B4" w:rsidRDefault="008C5CFA" w:rsidP="00300A01">
            <w:pPr>
              <w:spacing w:before="0" w:after="0"/>
              <w:jc w:val="right"/>
              <w:rPr>
                <w:sz w:val="12"/>
                <w:szCs w:val="12"/>
                <w:lang w:val="fr-BE"/>
              </w:rPr>
            </w:pPr>
          </w:p>
        </w:tc>
        <w:tc>
          <w:tcPr>
            <w:tcW w:w="0" w:type="auto"/>
            <w:shd w:val="clear" w:color="auto" w:fill="auto"/>
          </w:tcPr>
          <w:p w14:paraId="3BFF9D5C" w14:textId="77777777" w:rsidR="008C5CFA" w:rsidRPr="00BA47B4" w:rsidRDefault="008C5CFA" w:rsidP="00300A01">
            <w:pPr>
              <w:spacing w:before="0" w:after="0"/>
              <w:jc w:val="right"/>
              <w:rPr>
                <w:sz w:val="12"/>
                <w:szCs w:val="12"/>
                <w:lang w:val="fr-BE"/>
              </w:rPr>
            </w:pPr>
          </w:p>
        </w:tc>
        <w:tc>
          <w:tcPr>
            <w:tcW w:w="0" w:type="auto"/>
            <w:shd w:val="clear" w:color="auto" w:fill="auto"/>
          </w:tcPr>
          <w:p w14:paraId="5844B0E8"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5E438FFE"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r>
      <w:tr w:rsidR="006B2EC1" w14:paraId="3AA3FCDC" w14:textId="77777777" w:rsidTr="0047688D">
        <w:tc>
          <w:tcPr>
            <w:tcW w:w="0" w:type="auto"/>
            <w:shd w:val="clear" w:color="auto" w:fill="auto"/>
          </w:tcPr>
          <w:p w14:paraId="21CD5D7B" w14:textId="77777777" w:rsidR="008C5CFA" w:rsidRPr="00BA47B4" w:rsidRDefault="00E82A60" w:rsidP="00300A01">
            <w:pPr>
              <w:spacing w:before="0" w:after="0"/>
              <w:rPr>
                <w:sz w:val="12"/>
                <w:szCs w:val="12"/>
                <w:lang w:val="fr-BE"/>
              </w:rPr>
            </w:pPr>
            <w:r w:rsidRPr="00BA47B4">
              <w:rPr>
                <w:noProof/>
                <w:sz w:val="12"/>
                <w:szCs w:val="12"/>
                <w:lang w:val="fr-BE"/>
              </w:rPr>
              <w:t>CR03</w:t>
            </w:r>
          </w:p>
        </w:tc>
        <w:tc>
          <w:tcPr>
            <w:tcW w:w="0" w:type="auto"/>
            <w:shd w:val="clear" w:color="auto" w:fill="auto"/>
          </w:tcPr>
          <w:p w14:paraId="5E880F46" w14:textId="77777777" w:rsidR="008C5CFA" w:rsidRPr="00BA47B4" w:rsidRDefault="00E82A60" w:rsidP="00300A01">
            <w:pPr>
              <w:spacing w:before="0" w:after="0"/>
              <w:rPr>
                <w:sz w:val="12"/>
                <w:szCs w:val="12"/>
                <w:lang w:val="fr-BE"/>
              </w:rPr>
            </w:pPr>
            <w:r w:rsidRPr="00BA47B4">
              <w:rPr>
                <w:noProof/>
                <w:sz w:val="12"/>
                <w:szCs w:val="12"/>
                <w:lang w:val="fr-BE"/>
              </w:rPr>
              <w:t>uczestnicy uzyskujący kwalifikacje po opuszczeniu programu</w:t>
            </w:r>
          </w:p>
        </w:tc>
        <w:tc>
          <w:tcPr>
            <w:tcW w:w="0" w:type="auto"/>
            <w:shd w:val="clear" w:color="auto" w:fill="auto"/>
          </w:tcPr>
          <w:p w14:paraId="24BED73C" w14:textId="77777777" w:rsidR="008C5CFA" w:rsidRPr="00BA47B4" w:rsidRDefault="00E82A60" w:rsidP="00300A01">
            <w:pPr>
              <w:spacing w:before="0" w:after="0"/>
              <w:rPr>
                <w:sz w:val="12"/>
                <w:szCs w:val="12"/>
                <w:lang w:val="fr-BE"/>
              </w:rPr>
            </w:pPr>
            <w:r w:rsidRPr="00BA47B4">
              <w:rPr>
                <w:noProof/>
                <w:sz w:val="12"/>
                <w:szCs w:val="12"/>
                <w:lang w:val="fr-BE"/>
              </w:rPr>
              <w:t>Słabiej rozwinięte</w:t>
            </w:r>
          </w:p>
        </w:tc>
        <w:tc>
          <w:tcPr>
            <w:tcW w:w="0" w:type="auto"/>
            <w:shd w:val="clear" w:color="auto" w:fill="auto"/>
          </w:tcPr>
          <w:p w14:paraId="4853D45D" w14:textId="77777777" w:rsidR="008C5CFA" w:rsidRPr="00BA47B4" w:rsidRDefault="00E82A60" w:rsidP="00300A01">
            <w:pPr>
              <w:spacing w:before="0" w:after="0"/>
              <w:rPr>
                <w:sz w:val="12"/>
                <w:szCs w:val="12"/>
                <w:lang w:val="fr-BE"/>
              </w:rPr>
            </w:pPr>
            <w:r w:rsidRPr="00BA47B4">
              <w:rPr>
                <w:sz w:val="12"/>
                <w:szCs w:val="12"/>
                <w:lang w:val="fr-BE"/>
              </w:rPr>
              <w:t xml:space="preserve"> </w:t>
            </w:r>
          </w:p>
        </w:tc>
        <w:tc>
          <w:tcPr>
            <w:tcW w:w="0" w:type="auto"/>
            <w:shd w:val="clear" w:color="auto" w:fill="auto"/>
          </w:tcPr>
          <w:p w14:paraId="5306DD22" w14:textId="77777777" w:rsidR="008C5CFA" w:rsidRPr="00BA47B4" w:rsidRDefault="008C5CFA" w:rsidP="00300A01">
            <w:pPr>
              <w:spacing w:before="0" w:after="0"/>
              <w:jc w:val="center"/>
              <w:rPr>
                <w:sz w:val="12"/>
                <w:szCs w:val="12"/>
                <w:lang w:val="fr-BE"/>
              </w:rPr>
            </w:pPr>
          </w:p>
        </w:tc>
        <w:tc>
          <w:tcPr>
            <w:tcW w:w="0" w:type="auto"/>
            <w:shd w:val="clear" w:color="auto" w:fill="auto"/>
          </w:tcPr>
          <w:p w14:paraId="495E4A07" w14:textId="77777777" w:rsidR="008C5CFA" w:rsidRPr="00BA47B4" w:rsidRDefault="008C5CFA" w:rsidP="00300A01">
            <w:pPr>
              <w:spacing w:before="0" w:after="0"/>
              <w:jc w:val="right"/>
              <w:rPr>
                <w:sz w:val="12"/>
                <w:szCs w:val="12"/>
                <w:lang w:val="fr-BE"/>
              </w:rPr>
            </w:pPr>
          </w:p>
        </w:tc>
        <w:tc>
          <w:tcPr>
            <w:tcW w:w="0" w:type="auto"/>
            <w:shd w:val="clear" w:color="auto" w:fill="auto"/>
          </w:tcPr>
          <w:p w14:paraId="414ABEDE" w14:textId="77777777" w:rsidR="008C5CFA" w:rsidRPr="00BA47B4" w:rsidRDefault="008C5CFA" w:rsidP="00300A01">
            <w:pPr>
              <w:spacing w:before="0" w:after="0"/>
              <w:jc w:val="right"/>
              <w:rPr>
                <w:sz w:val="12"/>
                <w:szCs w:val="12"/>
                <w:lang w:val="fr-BE"/>
              </w:rPr>
            </w:pPr>
          </w:p>
        </w:tc>
        <w:tc>
          <w:tcPr>
            <w:tcW w:w="0" w:type="auto"/>
            <w:shd w:val="clear" w:color="auto" w:fill="auto"/>
          </w:tcPr>
          <w:p w14:paraId="6B8919B2" w14:textId="77777777" w:rsidR="008C5CFA" w:rsidRPr="00BA47B4" w:rsidRDefault="008C5CFA" w:rsidP="00300A01">
            <w:pPr>
              <w:spacing w:before="0" w:after="0"/>
              <w:jc w:val="right"/>
              <w:rPr>
                <w:sz w:val="12"/>
                <w:szCs w:val="12"/>
                <w:lang w:val="fr-BE"/>
              </w:rPr>
            </w:pPr>
          </w:p>
        </w:tc>
        <w:tc>
          <w:tcPr>
            <w:tcW w:w="0" w:type="auto"/>
            <w:shd w:val="clear" w:color="auto" w:fill="auto"/>
          </w:tcPr>
          <w:p w14:paraId="05ABB3B5"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2719EBEA"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287C3C96"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412D1265" w14:textId="77777777" w:rsidR="008C5CFA" w:rsidRPr="00BA47B4" w:rsidRDefault="008C5CFA" w:rsidP="00300A01">
            <w:pPr>
              <w:spacing w:before="0" w:after="0"/>
              <w:jc w:val="right"/>
              <w:rPr>
                <w:sz w:val="12"/>
                <w:szCs w:val="12"/>
                <w:lang w:val="fr-BE"/>
              </w:rPr>
            </w:pPr>
          </w:p>
        </w:tc>
        <w:tc>
          <w:tcPr>
            <w:tcW w:w="0" w:type="auto"/>
            <w:shd w:val="clear" w:color="auto" w:fill="auto"/>
          </w:tcPr>
          <w:p w14:paraId="7927869A" w14:textId="77777777" w:rsidR="008C5CFA" w:rsidRPr="00BA47B4" w:rsidRDefault="008C5CFA" w:rsidP="00300A01">
            <w:pPr>
              <w:spacing w:before="0" w:after="0"/>
              <w:jc w:val="right"/>
              <w:rPr>
                <w:sz w:val="12"/>
                <w:szCs w:val="12"/>
                <w:lang w:val="fr-BE"/>
              </w:rPr>
            </w:pPr>
          </w:p>
        </w:tc>
        <w:tc>
          <w:tcPr>
            <w:tcW w:w="0" w:type="auto"/>
            <w:shd w:val="clear" w:color="auto" w:fill="auto"/>
          </w:tcPr>
          <w:p w14:paraId="7C63C0F2" w14:textId="77777777" w:rsidR="008C5CFA" w:rsidRPr="00BA47B4" w:rsidRDefault="008C5CFA" w:rsidP="00300A01">
            <w:pPr>
              <w:spacing w:before="0" w:after="0"/>
              <w:jc w:val="right"/>
              <w:rPr>
                <w:sz w:val="12"/>
                <w:szCs w:val="12"/>
                <w:lang w:val="fr-BE"/>
              </w:rPr>
            </w:pPr>
          </w:p>
        </w:tc>
        <w:tc>
          <w:tcPr>
            <w:tcW w:w="0" w:type="auto"/>
            <w:shd w:val="clear" w:color="auto" w:fill="auto"/>
          </w:tcPr>
          <w:p w14:paraId="19EDFFA0"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5A744C67"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r>
      <w:tr w:rsidR="006B2EC1" w14:paraId="530FAA7E" w14:textId="77777777" w:rsidTr="0047688D">
        <w:tc>
          <w:tcPr>
            <w:tcW w:w="0" w:type="auto"/>
            <w:shd w:val="clear" w:color="auto" w:fill="auto"/>
          </w:tcPr>
          <w:p w14:paraId="40285DE9" w14:textId="77777777" w:rsidR="008C5CFA" w:rsidRPr="00BA47B4" w:rsidRDefault="00E82A60" w:rsidP="00300A01">
            <w:pPr>
              <w:spacing w:before="0" w:after="0"/>
              <w:rPr>
                <w:sz w:val="12"/>
                <w:szCs w:val="12"/>
                <w:lang w:val="fr-BE"/>
              </w:rPr>
            </w:pPr>
            <w:r w:rsidRPr="00BA47B4">
              <w:rPr>
                <w:noProof/>
                <w:sz w:val="12"/>
                <w:szCs w:val="12"/>
                <w:lang w:val="fr-BE"/>
              </w:rPr>
              <w:t>CR04</w:t>
            </w:r>
          </w:p>
        </w:tc>
        <w:tc>
          <w:tcPr>
            <w:tcW w:w="0" w:type="auto"/>
            <w:shd w:val="clear" w:color="auto" w:fill="auto"/>
          </w:tcPr>
          <w:p w14:paraId="67A79340" w14:textId="77777777" w:rsidR="008C5CFA" w:rsidRPr="00BA47B4" w:rsidRDefault="00E82A60" w:rsidP="00300A01">
            <w:pPr>
              <w:spacing w:before="0" w:after="0"/>
              <w:rPr>
                <w:sz w:val="12"/>
                <w:szCs w:val="12"/>
                <w:lang w:val="fr-BE"/>
              </w:rPr>
            </w:pPr>
            <w:r w:rsidRPr="00BA47B4">
              <w:rPr>
                <w:noProof/>
                <w:sz w:val="12"/>
                <w:szCs w:val="12"/>
                <w:lang w:val="fr-BE"/>
              </w:rPr>
              <w:t>uczestnicy pracujący, łącznie z prowadzącymi działalność na własny rachunek, po opuszczeniu programu</w:t>
            </w:r>
          </w:p>
        </w:tc>
        <w:tc>
          <w:tcPr>
            <w:tcW w:w="0" w:type="auto"/>
            <w:shd w:val="clear" w:color="auto" w:fill="auto"/>
          </w:tcPr>
          <w:p w14:paraId="22C8F5C3" w14:textId="77777777" w:rsidR="008C5CFA" w:rsidRPr="00BA47B4" w:rsidRDefault="00E82A60" w:rsidP="00300A01">
            <w:pPr>
              <w:spacing w:before="0" w:after="0"/>
              <w:rPr>
                <w:sz w:val="12"/>
                <w:szCs w:val="12"/>
                <w:lang w:val="fr-BE"/>
              </w:rPr>
            </w:pPr>
            <w:r w:rsidRPr="00BA47B4">
              <w:rPr>
                <w:noProof/>
                <w:sz w:val="12"/>
                <w:szCs w:val="12"/>
                <w:lang w:val="fr-BE"/>
              </w:rPr>
              <w:t>Słabiej rozwinięte</w:t>
            </w:r>
          </w:p>
        </w:tc>
        <w:tc>
          <w:tcPr>
            <w:tcW w:w="0" w:type="auto"/>
            <w:shd w:val="clear" w:color="auto" w:fill="auto"/>
          </w:tcPr>
          <w:p w14:paraId="128908D1" w14:textId="77777777" w:rsidR="008C5CFA" w:rsidRPr="00BA47B4" w:rsidRDefault="00E82A60" w:rsidP="00300A01">
            <w:pPr>
              <w:spacing w:before="0" w:after="0"/>
              <w:rPr>
                <w:sz w:val="12"/>
                <w:szCs w:val="12"/>
                <w:lang w:val="fr-BE"/>
              </w:rPr>
            </w:pPr>
            <w:r w:rsidRPr="00BA47B4">
              <w:rPr>
                <w:sz w:val="12"/>
                <w:szCs w:val="12"/>
                <w:lang w:val="fr-BE"/>
              </w:rPr>
              <w:t xml:space="preserve"> </w:t>
            </w:r>
          </w:p>
        </w:tc>
        <w:tc>
          <w:tcPr>
            <w:tcW w:w="0" w:type="auto"/>
            <w:shd w:val="clear" w:color="auto" w:fill="auto"/>
          </w:tcPr>
          <w:p w14:paraId="2E23FEA3" w14:textId="77777777" w:rsidR="008C5CFA" w:rsidRPr="00BA47B4" w:rsidRDefault="008C5CFA" w:rsidP="00300A01">
            <w:pPr>
              <w:spacing w:before="0" w:after="0"/>
              <w:jc w:val="center"/>
              <w:rPr>
                <w:sz w:val="12"/>
                <w:szCs w:val="12"/>
                <w:lang w:val="fr-BE"/>
              </w:rPr>
            </w:pPr>
          </w:p>
        </w:tc>
        <w:tc>
          <w:tcPr>
            <w:tcW w:w="0" w:type="auto"/>
            <w:shd w:val="clear" w:color="auto" w:fill="auto"/>
          </w:tcPr>
          <w:p w14:paraId="35EC7C59" w14:textId="77777777" w:rsidR="008C5CFA" w:rsidRPr="00BA47B4" w:rsidRDefault="008C5CFA" w:rsidP="00300A01">
            <w:pPr>
              <w:spacing w:before="0" w:after="0"/>
              <w:jc w:val="right"/>
              <w:rPr>
                <w:sz w:val="12"/>
                <w:szCs w:val="12"/>
                <w:lang w:val="fr-BE"/>
              </w:rPr>
            </w:pPr>
          </w:p>
        </w:tc>
        <w:tc>
          <w:tcPr>
            <w:tcW w:w="0" w:type="auto"/>
            <w:shd w:val="clear" w:color="auto" w:fill="auto"/>
          </w:tcPr>
          <w:p w14:paraId="4C6B2099" w14:textId="77777777" w:rsidR="008C5CFA" w:rsidRPr="00BA47B4" w:rsidRDefault="008C5CFA" w:rsidP="00300A01">
            <w:pPr>
              <w:spacing w:before="0" w:after="0"/>
              <w:jc w:val="right"/>
              <w:rPr>
                <w:sz w:val="12"/>
                <w:szCs w:val="12"/>
                <w:lang w:val="fr-BE"/>
              </w:rPr>
            </w:pPr>
          </w:p>
        </w:tc>
        <w:tc>
          <w:tcPr>
            <w:tcW w:w="0" w:type="auto"/>
            <w:shd w:val="clear" w:color="auto" w:fill="auto"/>
          </w:tcPr>
          <w:p w14:paraId="44CE6540" w14:textId="77777777" w:rsidR="008C5CFA" w:rsidRPr="00BA47B4" w:rsidRDefault="008C5CFA" w:rsidP="00300A01">
            <w:pPr>
              <w:spacing w:before="0" w:after="0"/>
              <w:jc w:val="right"/>
              <w:rPr>
                <w:sz w:val="12"/>
                <w:szCs w:val="12"/>
                <w:lang w:val="fr-BE"/>
              </w:rPr>
            </w:pPr>
          </w:p>
        </w:tc>
        <w:tc>
          <w:tcPr>
            <w:tcW w:w="0" w:type="auto"/>
            <w:shd w:val="clear" w:color="auto" w:fill="auto"/>
          </w:tcPr>
          <w:p w14:paraId="3D0F0FA8" w14:textId="77777777" w:rsidR="008C5CFA" w:rsidRPr="00BA47B4" w:rsidRDefault="00E82A60" w:rsidP="00300A01">
            <w:pPr>
              <w:spacing w:before="0" w:after="0"/>
              <w:jc w:val="right"/>
              <w:rPr>
                <w:sz w:val="12"/>
                <w:szCs w:val="12"/>
                <w:lang w:val="fr-BE"/>
              </w:rPr>
            </w:pPr>
            <w:r w:rsidRPr="00BA47B4">
              <w:rPr>
                <w:noProof/>
                <w:sz w:val="12"/>
                <w:szCs w:val="12"/>
                <w:lang w:val="fr-BE"/>
              </w:rPr>
              <w:t>145,00</w:t>
            </w:r>
          </w:p>
        </w:tc>
        <w:tc>
          <w:tcPr>
            <w:tcW w:w="0" w:type="auto"/>
            <w:shd w:val="clear" w:color="auto" w:fill="auto"/>
          </w:tcPr>
          <w:p w14:paraId="05D87DD8" w14:textId="77777777" w:rsidR="008C5CFA" w:rsidRPr="00BA47B4" w:rsidRDefault="00E82A60" w:rsidP="00300A01">
            <w:pPr>
              <w:spacing w:before="0" w:after="0"/>
              <w:jc w:val="right"/>
              <w:rPr>
                <w:sz w:val="12"/>
                <w:szCs w:val="12"/>
                <w:lang w:val="fr-BE"/>
              </w:rPr>
            </w:pPr>
            <w:r w:rsidRPr="00BA47B4">
              <w:rPr>
                <w:noProof/>
                <w:sz w:val="12"/>
                <w:szCs w:val="12"/>
                <w:lang w:val="fr-BE"/>
              </w:rPr>
              <w:t>61,00</w:t>
            </w:r>
          </w:p>
        </w:tc>
        <w:tc>
          <w:tcPr>
            <w:tcW w:w="0" w:type="auto"/>
            <w:shd w:val="clear" w:color="auto" w:fill="auto"/>
          </w:tcPr>
          <w:p w14:paraId="5D608AD4" w14:textId="77777777" w:rsidR="008C5CFA" w:rsidRPr="00BA47B4" w:rsidRDefault="00E82A60" w:rsidP="00300A01">
            <w:pPr>
              <w:spacing w:before="0" w:after="0"/>
              <w:jc w:val="right"/>
              <w:rPr>
                <w:sz w:val="12"/>
                <w:szCs w:val="12"/>
                <w:lang w:val="fr-BE"/>
              </w:rPr>
            </w:pPr>
            <w:r w:rsidRPr="00BA47B4">
              <w:rPr>
                <w:noProof/>
                <w:sz w:val="12"/>
                <w:szCs w:val="12"/>
                <w:lang w:val="fr-BE"/>
              </w:rPr>
              <w:t>84,00</w:t>
            </w:r>
          </w:p>
        </w:tc>
        <w:tc>
          <w:tcPr>
            <w:tcW w:w="0" w:type="auto"/>
            <w:shd w:val="clear" w:color="auto" w:fill="auto"/>
          </w:tcPr>
          <w:p w14:paraId="5BBACC2B" w14:textId="77777777" w:rsidR="008C5CFA" w:rsidRPr="00BA47B4" w:rsidRDefault="008C5CFA" w:rsidP="00300A01">
            <w:pPr>
              <w:spacing w:before="0" w:after="0"/>
              <w:jc w:val="right"/>
              <w:rPr>
                <w:sz w:val="12"/>
                <w:szCs w:val="12"/>
                <w:lang w:val="fr-BE"/>
              </w:rPr>
            </w:pPr>
          </w:p>
        </w:tc>
        <w:tc>
          <w:tcPr>
            <w:tcW w:w="0" w:type="auto"/>
            <w:shd w:val="clear" w:color="auto" w:fill="auto"/>
          </w:tcPr>
          <w:p w14:paraId="28376FB4" w14:textId="77777777" w:rsidR="008C5CFA" w:rsidRPr="00BA47B4" w:rsidRDefault="008C5CFA" w:rsidP="00300A01">
            <w:pPr>
              <w:spacing w:before="0" w:after="0"/>
              <w:jc w:val="right"/>
              <w:rPr>
                <w:sz w:val="12"/>
                <w:szCs w:val="12"/>
                <w:lang w:val="fr-BE"/>
              </w:rPr>
            </w:pPr>
          </w:p>
        </w:tc>
        <w:tc>
          <w:tcPr>
            <w:tcW w:w="0" w:type="auto"/>
            <w:shd w:val="clear" w:color="auto" w:fill="auto"/>
          </w:tcPr>
          <w:p w14:paraId="71C51D4F" w14:textId="77777777" w:rsidR="008C5CFA" w:rsidRPr="00BA47B4" w:rsidRDefault="008C5CFA" w:rsidP="00300A01">
            <w:pPr>
              <w:spacing w:before="0" w:after="0"/>
              <w:jc w:val="right"/>
              <w:rPr>
                <w:sz w:val="12"/>
                <w:szCs w:val="12"/>
                <w:lang w:val="fr-BE"/>
              </w:rPr>
            </w:pPr>
          </w:p>
        </w:tc>
        <w:tc>
          <w:tcPr>
            <w:tcW w:w="0" w:type="auto"/>
            <w:shd w:val="clear" w:color="auto" w:fill="auto"/>
          </w:tcPr>
          <w:p w14:paraId="3202667F" w14:textId="77777777" w:rsidR="008C5CFA" w:rsidRPr="00BA47B4" w:rsidRDefault="00E82A60" w:rsidP="00300A01">
            <w:pPr>
              <w:spacing w:before="0" w:after="0"/>
              <w:jc w:val="right"/>
              <w:rPr>
                <w:sz w:val="12"/>
                <w:szCs w:val="12"/>
                <w:lang w:val="fr-BE"/>
              </w:rPr>
            </w:pPr>
            <w:r w:rsidRPr="00BA47B4">
              <w:rPr>
                <w:noProof/>
                <w:sz w:val="12"/>
                <w:szCs w:val="12"/>
                <w:lang w:val="fr-BE"/>
              </w:rPr>
              <w:t>24,00</w:t>
            </w:r>
          </w:p>
        </w:tc>
        <w:tc>
          <w:tcPr>
            <w:tcW w:w="0" w:type="auto"/>
            <w:shd w:val="clear" w:color="auto" w:fill="auto"/>
          </w:tcPr>
          <w:p w14:paraId="2122E749" w14:textId="77777777" w:rsidR="008C5CFA" w:rsidRPr="00BA47B4" w:rsidRDefault="00E82A60" w:rsidP="00300A01">
            <w:pPr>
              <w:spacing w:before="0" w:after="0"/>
              <w:jc w:val="right"/>
              <w:rPr>
                <w:sz w:val="12"/>
                <w:szCs w:val="12"/>
                <w:lang w:val="fr-BE"/>
              </w:rPr>
            </w:pPr>
            <w:r w:rsidRPr="00BA47B4">
              <w:rPr>
                <w:noProof/>
                <w:sz w:val="12"/>
                <w:szCs w:val="12"/>
                <w:lang w:val="fr-BE"/>
              </w:rPr>
              <w:t>41,00</w:t>
            </w:r>
          </w:p>
        </w:tc>
      </w:tr>
      <w:tr w:rsidR="006B2EC1" w14:paraId="54102A50" w14:textId="77777777" w:rsidTr="0047688D">
        <w:tc>
          <w:tcPr>
            <w:tcW w:w="0" w:type="auto"/>
            <w:shd w:val="clear" w:color="auto" w:fill="auto"/>
          </w:tcPr>
          <w:p w14:paraId="1B0C8ED9" w14:textId="77777777" w:rsidR="008C5CFA" w:rsidRPr="00BA47B4" w:rsidRDefault="00E82A60" w:rsidP="00300A01">
            <w:pPr>
              <w:spacing w:before="0" w:after="0"/>
              <w:rPr>
                <w:sz w:val="12"/>
                <w:szCs w:val="12"/>
                <w:lang w:val="fr-BE"/>
              </w:rPr>
            </w:pPr>
            <w:r w:rsidRPr="00BA47B4">
              <w:rPr>
                <w:noProof/>
                <w:sz w:val="12"/>
                <w:szCs w:val="12"/>
                <w:lang w:val="fr-BE"/>
              </w:rPr>
              <w:t>CR05</w:t>
            </w:r>
          </w:p>
        </w:tc>
        <w:tc>
          <w:tcPr>
            <w:tcW w:w="0" w:type="auto"/>
            <w:shd w:val="clear" w:color="auto" w:fill="auto"/>
          </w:tcPr>
          <w:p w14:paraId="4BD0E3F6" w14:textId="77777777" w:rsidR="008C5CFA" w:rsidRPr="00BA47B4" w:rsidRDefault="00E82A60" w:rsidP="00300A01">
            <w:pPr>
              <w:spacing w:before="0" w:after="0"/>
              <w:rPr>
                <w:sz w:val="12"/>
                <w:szCs w:val="12"/>
                <w:lang w:val="fr-BE"/>
              </w:rPr>
            </w:pPr>
            <w:r w:rsidRPr="00BA47B4">
              <w:rPr>
                <w:noProof/>
                <w:sz w:val="12"/>
                <w:szCs w:val="12"/>
                <w:lang w:val="fr-BE"/>
              </w:rPr>
              <w:t>uczestnicy w niekorzystnej sytuacji społecznej poszukujący pracy, uczestniczący w kształceniu lub szkoleniu, zdobywający kwalifikacje lub pracujący (łącznie z prowadzącymi działalność na własny rachunek) po opuszczeniu programu</w:t>
            </w:r>
          </w:p>
        </w:tc>
        <w:tc>
          <w:tcPr>
            <w:tcW w:w="0" w:type="auto"/>
            <w:shd w:val="clear" w:color="auto" w:fill="auto"/>
          </w:tcPr>
          <w:p w14:paraId="27C638FF" w14:textId="77777777" w:rsidR="008C5CFA" w:rsidRPr="00BA47B4" w:rsidRDefault="00E82A60" w:rsidP="00300A01">
            <w:pPr>
              <w:spacing w:before="0" w:after="0"/>
              <w:rPr>
                <w:sz w:val="12"/>
                <w:szCs w:val="12"/>
                <w:lang w:val="fr-BE"/>
              </w:rPr>
            </w:pPr>
            <w:r w:rsidRPr="00BA47B4">
              <w:rPr>
                <w:noProof/>
                <w:sz w:val="12"/>
                <w:szCs w:val="12"/>
                <w:lang w:val="fr-BE"/>
              </w:rPr>
              <w:t>Słabiej rozwinięte</w:t>
            </w:r>
          </w:p>
        </w:tc>
        <w:tc>
          <w:tcPr>
            <w:tcW w:w="0" w:type="auto"/>
            <w:shd w:val="clear" w:color="auto" w:fill="auto"/>
          </w:tcPr>
          <w:p w14:paraId="7A85664D" w14:textId="77777777" w:rsidR="008C5CFA" w:rsidRPr="00BA47B4" w:rsidRDefault="00E82A60" w:rsidP="00300A01">
            <w:pPr>
              <w:spacing w:before="0" w:after="0"/>
              <w:rPr>
                <w:sz w:val="12"/>
                <w:szCs w:val="12"/>
                <w:lang w:val="fr-BE"/>
              </w:rPr>
            </w:pPr>
            <w:r w:rsidRPr="00BA47B4">
              <w:rPr>
                <w:sz w:val="12"/>
                <w:szCs w:val="12"/>
                <w:lang w:val="fr-BE"/>
              </w:rPr>
              <w:t xml:space="preserve"> </w:t>
            </w:r>
          </w:p>
        </w:tc>
        <w:tc>
          <w:tcPr>
            <w:tcW w:w="0" w:type="auto"/>
            <w:shd w:val="clear" w:color="auto" w:fill="auto"/>
          </w:tcPr>
          <w:p w14:paraId="6AB285BE" w14:textId="77777777" w:rsidR="008C5CFA" w:rsidRPr="00BA47B4" w:rsidRDefault="008C5CFA" w:rsidP="00300A01">
            <w:pPr>
              <w:spacing w:before="0" w:after="0"/>
              <w:jc w:val="center"/>
              <w:rPr>
                <w:sz w:val="12"/>
                <w:szCs w:val="12"/>
                <w:lang w:val="fr-BE"/>
              </w:rPr>
            </w:pPr>
          </w:p>
        </w:tc>
        <w:tc>
          <w:tcPr>
            <w:tcW w:w="0" w:type="auto"/>
            <w:shd w:val="clear" w:color="auto" w:fill="auto"/>
          </w:tcPr>
          <w:p w14:paraId="5DC1A7E8" w14:textId="77777777" w:rsidR="008C5CFA" w:rsidRPr="00BA47B4" w:rsidRDefault="008C5CFA" w:rsidP="00300A01">
            <w:pPr>
              <w:spacing w:before="0" w:after="0"/>
              <w:jc w:val="right"/>
              <w:rPr>
                <w:sz w:val="12"/>
                <w:szCs w:val="12"/>
                <w:lang w:val="fr-BE"/>
              </w:rPr>
            </w:pPr>
          </w:p>
        </w:tc>
        <w:tc>
          <w:tcPr>
            <w:tcW w:w="0" w:type="auto"/>
            <w:shd w:val="clear" w:color="auto" w:fill="auto"/>
          </w:tcPr>
          <w:p w14:paraId="69535FF9" w14:textId="77777777" w:rsidR="008C5CFA" w:rsidRPr="00BA47B4" w:rsidRDefault="008C5CFA" w:rsidP="00300A01">
            <w:pPr>
              <w:spacing w:before="0" w:after="0"/>
              <w:jc w:val="right"/>
              <w:rPr>
                <w:sz w:val="12"/>
                <w:szCs w:val="12"/>
                <w:lang w:val="fr-BE"/>
              </w:rPr>
            </w:pPr>
          </w:p>
        </w:tc>
        <w:tc>
          <w:tcPr>
            <w:tcW w:w="0" w:type="auto"/>
            <w:shd w:val="clear" w:color="auto" w:fill="auto"/>
          </w:tcPr>
          <w:p w14:paraId="3E95B47D" w14:textId="77777777" w:rsidR="008C5CFA" w:rsidRPr="00BA47B4" w:rsidRDefault="008C5CFA" w:rsidP="00300A01">
            <w:pPr>
              <w:spacing w:before="0" w:after="0"/>
              <w:jc w:val="right"/>
              <w:rPr>
                <w:sz w:val="12"/>
                <w:szCs w:val="12"/>
                <w:lang w:val="fr-BE"/>
              </w:rPr>
            </w:pPr>
          </w:p>
        </w:tc>
        <w:tc>
          <w:tcPr>
            <w:tcW w:w="0" w:type="auto"/>
            <w:shd w:val="clear" w:color="auto" w:fill="auto"/>
          </w:tcPr>
          <w:p w14:paraId="103A01DF" w14:textId="77777777" w:rsidR="008C5CFA" w:rsidRPr="00BA47B4" w:rsidRDefault="00E82A60" w:rsidP="00300A01">
            <w:pPr>
              <w:spacing w:before="0" w:after="0"/>
              <w:jc w:val="right"/>
              <w:rPr>
                <w:sz w:val="12"/>
                <w:szCs w:val="12"/>
                <w:lang w:val="fr-BE"/>
              </w:rPr>
            </w:pPr>
            <w:r w:rsidRPr="00BA47B4">
              <w:rPr>
                <w:noProof/>
                <w:sz w:val="12"/>
                <w:szCs w:val="12"/>
                <w:lang w:val="fr-BE"/>
              </w:rPr>
              <w:t>103,00</w:t>
            </w:r>
          </w:p>
        </w:tc>
        <w:tc>
          <w:tcPr>
            <w:tcW w:w="0" w:type="auto"/>
            <w:shd w:val="clear" w:color="auto" w:fill="auto"/>
          </w:tcPr>
          <w:p w14:paraId="1C666F0D" w14:textId="77777777" w:rsidR="008C5CFA" w:rsidRPr="00BA47B4" w:rsidRDefault="00E82A60" w:rsidP="00300A01">
            <w:pPr>
              <w:spacing w:before="0" w:after="0"/>
              <w:jc w:val="right"/>
              <w:rPr>
                <w:sz w:val="12"/>
                <w:szCs w:val="12"/>
                <w:lang w:val="fr-BE"/>
              </w:rPr>
            </w:pPr>
            <w:r w:rsidRPr="00BA47B4">
              <w:rPr>
                <w:noProof/>
                <w:sz w:val="12"/>
                <w:szCs w:val="12"/>
                <w:lang w:val="fr-BE"/>
              </w:rPr>
              <w:t>48,00</w:t>
            </w:r>
          </w:p>
        </w:tc>
        <w:tc>
          <w:tcPr>
            <w:tcW w:w="0" w:type="auto"/>
            <w:shd w:val="clear" w:color="auto" w:fill="auto"/>
          </w:tcPr>
          <w:p w14:paraId="20BF118D" w14:textId="77777777" w:rsidR="008C5CFA" w:rsidRPr="00BA47B4" w:rsidRDefault="00E82A60" w:rsidP="00300A01">
            <w:pPr>
              <w:spacing w:before="0" w:after="0"/>
              <w:jc w:val="right"/>
              <w:rPr>
                <w:sz w:val="12"/>
                <w:szCs w:val="12"/>
                <w:lang w:val="fr-BE"/>
              </w:rPr>
            </w:pPr>
            <w:r w:rsidRPr="00BA47B4">
              <w:rPr>
                <w:noProof/>
                <w:sz w:val="12"/>
                <w:szCs w:val="12"/>
                <w:lang w:val="fr-BE"/>
              </w:rPr>
              <w:t>55,00</w:t>
            </w:r>
          </w:p>
        </w:tc>
        <w:tc>
          <w:tcPr>
            <w:tcW w:w="0" w:type="auto"/>
            <w:shd w:val="clear" w:color="auto" w:fill="auto"/>
          </w:tcPr>
          <w:p w14:paraId="5D11212B" w14:textId="77777777" w:rsidR="008C5CFA" w:rsidRPr="00BA47B4" w:rsidRDefault="008C5CFA" w:rsidP="00300A01">
            <w:pPr>
              <w:spacing w:before="0" w:after="0"/>
              <w:jc w:val="right"/>
              <w:rPr>
                <w:sz w:val="12"/>
                <w:szCs w:val="12"/>
                <w:lang w:val="fr-BE"/>
              </w:rPr>
            </w:pPr>
          </w:p>
        </w:tc>
        <w:tc>
          <w:tcPr>
            <w:tcW w:w="0" w:type="auto"/>
            <w:shd w:val="clear" w:color="auto" w:fill="auto"/>
          </w:tcPr>
          <w:p w14:paraId="75324B61" w14:textId="77777777" w:rsidR="008C5CFA" w:rsidRPr="00BA47B4" w:rsidRDefault="008C5CFA" w:rsidP="00300A01">
            <w:pPr>
              <w:spacing w:before="0" w:after="0"/>
              <w:jc w:val="right"/>
              <w:rPr>
                <w:sz w:val="12"/>
                <w:szCs w:val="12"/>
                <w:lang w:val="fr-BE"/>
              </w:rPr>
            </w:pPr>
          </w:p>
        </w:tc>
        <w:tc>
          <w:tcPr>
            <w:tcW w:w="0" w:type="auto"/>
            <w:shd w:val="clear" w:color="auto" w:fill="auto"/>
          </w:tcPr>
          <w:p w14:paraId="2582C37F" w14:textId="77777777" w:rsidR="008C5CFA" w:rsidRPr="00BA47B4" w:rsidRDefault="008C5CFA" w:rsidP="00300A01">
            <w:pPr>
              <w:spacing w:before="0" w:after="0"/>
              <w:jc w:val="right"/>
              <w:rPr>
                <w:sz w:val="12"/>
                <w:szCs w:val="12"/>
                <w:lang w:val="fr-BE"/>
              </w:rPr>
            </w:pPr>
          </w:p>
        </w:tc>
        <w:tc>
          <w:tcPr>
            <w:tcW w:w="0" w:type="auto"/>
            <w:shd w:val="clear" w:color="auto" w:fill="auto"/>
          </w:tcPr>
          <w:p w14:paraId="2492B156" w14:textId="77777777" w:rsidR="008C5CFA" w:rsidRPr="00BA47B4" w:rsidRDefault="00E82A60" w:rsidP="00300A01">
            <w:pPr>
              <w:spacing w:before="0" w:after="0"/>
              <w:jc w:val="right"/>
              <w:rPr>
                <w:sz w:val="12"/>
                <w:szCs w:val="12"/>
                <w:lang w:val="fr-BE"/>
              </w:rPr>
            </w:pPr>
            <w:r w:rsidRPr="00BA47B4">
              <w:rPr>
                <w:noProof/>
                <w:sz w:val="12"/>
                <w:szCs w:val="12"/>
                <w:lang w:val="fr-BE"/>
              </w:rPr>
              <w:t>19,00</w:t>
            </w:r>
          </w:p>
        </w:tc>
        <w:tc>
          <w:tcPr>
            <w:tcW w:w="0" w:type="auto"/>
            <w:shd w:val="clear" w:color="auto" w:fill="auto"/>
          </w:tcPr>
          <w:p w14:paraId="2AA9EDAF" w14:textId="77777777" w:rsidR="008C5CFA" w:rsidRPr="00BA47B4" w:rsidRDefault="00E82A60" w:rsidP="00300A01">
            <w:pPr>
              <w:spacing w:before="0" w:after="0"/>
              <w:jc w:val="right"/>
              <w:rPr>
                <w:sz w:val="12"/>
                <w:szCs w:val="12"/>
                <w:lang w:val="fr-BE"/>
              </w:rPr>
            </w:pPr>
            <w:r w:rsidRPr="00BA47B4">
              <w:rPr>
                <w:noProof/>
                <w:sz w:val="12"/>
                <w:szCs w:val="12"/>
                <w:lang w:val="fr-BE"/>
              </w:rPr>
              <w:t>29,00</w:t>
            </w:r>
          </w:p>
        </w:tc>
      </w:tr>
      <w:tr w:rsidR="006B2EC1" w14:paraId="42BA1B3C" w14:textId="77777777" w:rsidTr="0047688D">
        <w:tc>
          <w:tcPr>
            <w:tcW w:w="0" w:type="auto"/>
            <w:shd w:val="clear" w:color="auto" w:fill="auto"/>
          </w:tcPr>
          <w:p w14:paraId="0B3433CE" w14:textId="77777777" w:rsidR="008C5CFA" w:rsidRPr="00BA47B4" w:rsidRDefault="00E82A60" w:rsidP="00300A01">
            <w:pPr>
              <w:spacing w:before="0" w:after="0"/>
              <w:rPr>
                <w:sz w:val="12"/>
                <w:szCs w:val="12"/>
                <w:lang w:val="fr-BE"/>
              </w:rPr>
            </w:pPr>
            <w:r w:rsidRPr="00BA47B4">
              <w:rPr>
                <w:noProof/>
                <w:sz w:val="12"/>
                <w:szCs w:val="12"/>
                <w:lang w:val="fr-BE"/>
              </w:rPr>
              <w:t>CR06</w:t>
            </w:r>
          </w:p>
        </w:tc>
        <w:tc>
          <w:tcPr>
            <w:tcW w:w="0" w:type="auto"/>
            <w:shd w:val="clear" w:color="auto" w:fill="auto"/>
          </w:tcPr>
          <w:p w14:paraId="6CB41929" w14:textId="77777777" w:rsidR="008C5CFA" w:rsidRPr="00BA47B4" w:rsidRDefault="00E82A60" w:rsidP="00300A01">
            <w:pPr>
              <w:spacing w:before="0" w:after="0"/>
              <w:rPr>
                <w:sz w:val="12"/>
                <w:szCs w:val="12"/>
                <w:lang w:val="fr-BE"/>
              </w:rPr>
            </w:pPr>
            <w:r w:rsidRPr="00BA47B4">
              <w:rPr>
                <w:noProof/>
                <w:sz w:val="12"/>
                <w:szCs w:val="12"/>
                <w:lang w:val="fr-BE"/>
              </w:rPr>
              <w:t>uczestnicy pracujący, łącznie z prowadzącymi działalność na własny rachunek, sześć miesięcy po opuszczeniu programu</w:t>
            </w:r>
          </w:p>
        </w:tc>
        <w:tc>
          <w:tcPr>
            <w:tcW w:w="0" w:type="auto"/>
            <w:shd w:val="clear" w:color="auto" w:fill="auto"/>
          </w:tcPr>
          <w:p w14:paraId="543623FE" w14:textId="77777777" w:rsidR="008C5CFA" w:rsidRPr="00BA47B4" w:rsidRDefault="00E82A60" w:rsidP="00300A01">
            <w:pPr>
              <w:spacing w:before="0" w:after="0"/>
              <w:rPr>
                <w:sz w:val="12"/>
                <w:szCs w:val="12"/>
                <w:lang w:val="fr-BE"/>
              </w:rPr>
            </w:pPr>
            <w:r w:rsidRPr="00BA47B4">
              <w:rPr>
                <w:noProof/>
                <w:sz w:val="12"/>
                <w:szCs w:val="12"/>
                <w:lang w:val="fr-BE"/>
              </w:rPr>
              <w:t>Słabiej rozwinięte</w:t>
            </w:r>
          </w:p>
        </w:tc>
        <w:tc>
          <w:tcPr>
            <w:tcW w:w="0" w:type="auto"/>
            <w:shd w:val="clear" w:color="auto" w:fill="auto"/>
          </w:tcPr>
          <w:p w14:paraId="3C0FA8E8" w14:textId="77777777" w:rsidR="008C5CFA" w:rsidRPr="00BA47B4" w:rsidRDefault="00E82A60" w:rsidP="00300A01">
            <w:pPr>
              <w:spacing w:before="0" w:after="0"/>
              <w:rPr>
                <w:sz w:val="12"/>
                <w:szCs w:val="12"/>
                <w:lang w:val="fr-BE"/>
              </w:rPr>
            </w:pPr>
            <w:r w:rsidRPr="00BA47B4">
              <w:rPr>
                <w:sz w:val="12"/>
                <w:szCs w:val="12"/>
                <w:lang w:val="fr-BE"/>
              </w:rPr>
              <w:t xml:space="preserve"> </w:t>
            </w:r>
          </w:p>
        </w:tc>
        <w:tc>
          <w:tcPr>
            <w:tcW w:w="0" w:type="auto"/>
            <w:shd w:val="clear" w:color="auto" w:fill="auto"/>
          </w:tcPr>
          <w:p w14:paraId="3FCF99C2" w14:textId="77777777" w:rsidR="008C5CFA" w:rsidRPr="00BA47B4" w:rsidRDefault="008C5CFA" w:rsidP="00300A01">
            <w:pPr>
              <w:spacing w:before="0" w:after="0"/>
              <w:jc w:val="center"/>
              <w:rPr>
                <w:sz w:val="12"/>
                <w:szCs w:val="12"/>
                <w:lang w:val="fr-BE"/>
              </w:rPr>
            </w:pPr>
          </w:p>
        </w:tc>
        <w:tc>
          <w:tcPr>
            <w:tcW w:w="0" w:type="auto"/>
            <w:shd w:val="clear" w:color="auto" w:fill="auto"/>
          </w:tcPr>
          <w:p w14:paraId="1A4A7A46" w14:textId="77777777" w:rsidR="008C5CFA" w:rsidRPr="00BA47B4" w:rsidRDefault="008C5CFA" w:rsidP="00300A01">
            <w:pPr>
              <w:spacing w:before="0" w:after="0"/>
              <w:jc w:val="right"/>
              <w:rPr>
                <w:sz w:val="12"/>
                <w:szCs w:val="12"/>
                <w:lang w:val="fr-BE"/>
              </w:rPr>
            </w:pPr>
          </w:p>
        </w:tc>
        <w:tc>
          <w:tcPr>
            <w:tcW w:w="0" w:type="auto"/>
            <w:shd w:val="clear" w:color="auto" w:fill="auto"/>
          </w:tcPr>
          <w:p w14:paraId="36419E41" w14:textId="77777777" w:rsidR="008C5CFA" w:rsidRPr="00BA47B4" w:rsidRDefault="008C5CFA" w:rsidP="00300A01">
            <w:pPr>
              <w:spacing w:before="0" w:after="0"/>
              <w:jc w:val="right"/>
              <w:rPr>
                <w:sz w:val="12"/>
                <w:szCs w:val="12"/>
                <w:lang w:val="fr-BE"/>
              </w:rPr>
            </w:pPr>
          </w:p>
        </w:tc>
        <w:tc>
          <w:tcPr>
            <w:tcW w:w="0" w:type="auto"/>
            <w:shd w:val="clear" w:color="auto" w:fill="auto"/>
          </w:tcPr>
          <w:p w14:paraId="0E6100C1" w14:textId="77777777" w:rsidR="008C5CFA" w:rsidRPr="00BA47B4" w:rsidRDefault="008C5CFA" w:rsidP="00300A01">
            <w:pPr>
              <w:spacing w:before="0" w:after="0"/>
              <w:jc w:val="right"/>
              <w:rPr>
                <w:sz w:val="12"/>
                <w:szCs w:val="12"/>
                <w:lang w:val="fr-BE"/>
              </w:rPr>
            </w:pPr>
          </w:p>
        </w:tc>
        <w:tc>
          <w:tcPr>
            <w:tcW w:w="0" w:type="auto"/>
            <w:shd w:val="clear" w:color="auto" w:fill="auto"/>
          </w:tcPr>
          <w:p w14:paraId="3A66971F" w14:textId="77777777" w:rsidR="008C5CFA" w:rsidRPr="00BA47B4" w:rsidRDefault="00E82A60" w:rsidP="00300A01">
            <w:pPr>
              <w:spacing w:before="0" w:after="0"/>
              <w:jc w:val="right"/>
              <w:rPr>
                <w:sz w:val="12"/>
                <w:szCs w:val="12"/>
                <w:lang w:val="fr-BE"/>
              </w:rPr>
            </w:pPr>
            <w:r w:rsidRPr="00BA47B4">
              <w:rPr>
                <w:noProof/>
                <w:sz w:val="12"/>
                <w:szCs w:val="12"/>
                <w:lang w:val="fr-BE"/>
              </w:rPr>
              <w:t>237,00</w:t>
            </w:r>
          </w:p>
        </w:tc>
        <w:tc>
          <w:tcPr>
            <w:tcW w:w="0" w:type="auto"/>
            <w:shd w:val="clear" w:color="auto" w:fill="auto"/>
          </w:tcPr>
          <w:p w14:paraId="0CC06425" w14:textId="77777777" w:rsidR="008C5CFA" w:rsidRPr="00BA47B4" w:rsidRDefault="00E82A60" w:rsidP="00300A01">
            <w:pPr>
              <w:spacing w:before="0" w:after="0"/>
              <w:jc w:val="right"/>
              <w:rPr>
                <w:sz w:val="12"/>
                <w:szCs w:val="12"/>
                <w:lang w:val="fr-BE"/>
              </w:rPr>
            </w:pPr>
            <w:r w:rsidRPr="00BA47B4">
              <w:rPr>
                <w:noProof/>
                <w:sz w:val="12"/>
                <w:szCs w:val="12"/>
                <w:lang w:val="fr-BE"/>
              </w:rPr>
              <w:t>86,00</w:t>
            </w:r>
          </w:p>
        </w:tc>
        <w:tc>
          <w:tcPr>
            <w:tcW w:w="0" w:type="auto"/>
            <w:shd w:val="clear" w:color="auto" w:fill="auto"/>
          </w:tcPr>
          <w:p w14:paraId="4BCE97C9" w14:textId="77777777" w:rsidR="008C5CFA" w:rsidRPr="00BA47B4" w:rsidRDefault="00E82A60" w:rsidP="00300A01">
            <w:pPr>
              <w:spacing w:before="0" w:after="0"/>
              <w:jc w:val="right"/>
              <w:rPr>
                <w:sz w:val="12"/>
                <w:szCs w:val="12"/>
                <w:lang w:val="fr-BE"/>
              </w:rPr>
            </w:pPr>
            <w:r w:rsidRPr="00BA47B4">
              <w:rPr>
                <w:noProof/>
                <w:sz w:val="12"/>
                <w:szCs w:val="12"/>
                <w:lang w:val="fr-BE"/>
              </w:rPr>
              <w:t>151,00</w:t>
            </w:r>
          </w:p>
        </w:tc>
        <w:tc>
          <w:tcPr>
            <w:tcW w:w="0" w:type="auto"/>
            <w:shd w:val="clear" w:color="auto" w:fill="auto"/>
          </w:tcPr>
          <w:p w14:paraId="4FA1EAA3" w14:textId="77777777" w:rsidR="008C5CFA" w:rsidRPr="00BA47B4" w:rsidRDefault="008C5CFA" w:rsidP="00300A01">
            <w:pPr>
              <w:spacing w:before="0" w:after="0"/>
              <w:jc w:val="right"/>
              <w:rPr>
                <w:sz w:val="12"/>
                <w:szCs w:val="12"/>
                <w:lang w:val="fr-BE"/>
              </w:rPr>
            </w:pPr>
          </w:p>
        </w:tc>
        <w:tc>
          <w:tcPr>
            <w:tcW w:w="0" w:type="auto"/>
            <w:shd w:val="clear" w:color="auto" w:fill="auto"/>
          </w:tcPr>
          <w:p w14:paraId="11B34948" w14:textId="77777777" w:rsidR="008C5CFA" w:rsidRPr="00BA47B4" w:rsidRDefault="008C5CFA" w:rsidP="00300A01">
            <w:pPr>
              <w:spacing w:before="0" w:after="0"/>
              <w:jc w:val="right"/>
              <w:rPr>
                <w:sz w:val="12"/>
                <w:szCs w:val="12"/>
                <w:lang w:val="fr-BE"/>
              </w:rPr>
            </w:pPr>
          </w:p>
        </w:tc>
        <w:tc>
          <w:tcPr>
            <w:tcW w:w="0" w:type="auto"/>
            <w:shd w:val="clear" w:color="auto" w:fill="auto"/>
          </w:tcPr>
          <w:p w14:paraId="260F0F5F" w14:textId="77777777" w:rsidR="008C5CFA" w:rsidRPr="00BA47B4" w:rsidRDefault="008C5CFA" w:rsidP="00300A01">
            <w:pPr>
              <w:spacing w:before="0" w:after="0"/>
              <w:jc w:val="right"/>
              <w:rPr>
                <w:sz w:val="12"/>
                <w:szCs w:val="12"/>
                <w:lang w:val="fr-BE"/>
              </w:rPr>
            </w:pPr>
          </w:p>
        </w:tc>
        <w:tc>
          <w:tcPr>
            <w:tcW w:w="0" w:type="auto"/>
            <w:shd w:val="clear" w:color="auto" w:fill="auto"/>
          </w:tcPr>
          <w:p w14:paraId="2ACD7C8A"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282F897C"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r>
      <w:tr w:rsidR="006B2EC1" w14:paraId="0362F8D3" w14:textId="77777777" w:rsidTr="0047688D">
        <w:tc>
          <w:tcPr>
            <w:tcW w:w="0" w:type="auto"/>
            <w:shd w:val="clear" w:color="auto" w:fill="auto"/>
          </w:tcPr>
          <w:p w14:paraId="78B3A7AF" w14:textId="77777777" w:rsidR="008C5CFA" w:rsidRPr="00BA47B4" w:rsidRDefault="00E82A60" w:rsidP="00300A01">
            <w:pPr>
              <w:spacing w:before="0" w:after="0"/>
              <w:rPr>
                <w:sz w:val="12"/>
                <w:szCs w:val="12"/>
                <w:lang w:val="fr-BE"/>
              </w:rPr>
            </w:pPr>
            <w:r w:rsidRPr="00BA47B4">
              <w:rPr>
                <w:noProof/>
                <w:sz w:val="12"/>
                <w:szCs w:val="12"/>
                <w:lang w:val="fr-BE"/>
              </w:rPr>
              <w:t>CR07</w:t>
            </w:r>
          </w:p>
        </w:tc>
        <w:tc>
          <w:tcPr>
            <w:tcW w:w="0" w:type="auto"/>
            <w:shd w:val="clear" w:color="auto" w:fill="auto"/>
          </w:tcPr>
          <w:p w14:paraId="1F34CB14" w14:textId="77777777" w:rsidR="008C5CFA" w:rsidRPr="00BA47B4" w:rsidRDefault="00E82A60" w:rsidP="00300A01">
            <w:pPr>
              <w:spacing w:before="0" w:after="0"/>
              <w:rPr>
                <w:sz w:val="12"/>
                <w:szCs w:val="12"/>
                <w:lang w:val="fr-BE"/>
              </w:rPr>
            </w:pPr>
            <w:r w:rsidRPr="00BA47B4">
              <w:rPr>
                <w:noProof/>
                <w:sz w:val="12"/>
                <w:szCs w:val="12"/>
                <w:lang w:val="fr-BE"/>
              </w:rPr>
              <w:t>uczestnicy znajdujący się w lepszej sytuacji na rynku pracy sześć miesięcy po opuszczeniu programu</w:t>
            </w:r>
          </w:p>
        </w:tc>
        <w:tc>
          <w:tcPr>
            <w:tcW w:w="0" w:type="auto"/>
            <w:shd w:val="clear" w:color="auto" w:fill="auto"/>
          </w:tcPr>
          <w:p w14:paraId="475F8453" w14:textId="77777777" w:rsidR="008C5CFA" w:rsidRPr="00BA47B4" w:rsidRDefault="00E82A60" w:rsidP="00300A01">
            <w:pPr>
              <w:spacing w:before="0" w:after="0"/>
              <w:rPr>
                <w:sz w:val="12"/>
                <w:szCs w:val="12"/>
                <w:lang w:val="fr-BE"/>
              </w:rPr>
            </w:pPr>
            <w:r w:rsidRPr="00BA47B4">
              <w:rPr>
                <w:noProof/>
                <w:sz w:val="12"/>
                <w:szCs w:val="12"/>
                <w:lang w:val="fr-BE"/>
              </w:rPr>
              <w:t>Słabiej rozwinięte</w:t>
            </w:r>
          </w:p>
        </w:tc>
        <w:tc>
          <w:tcPr>
            <w:tcW w:w="0" w:type="auto"/>
            <w:shd w:val="clear" w:color="auto" w:fill="auto"/>
          </w:tcPr>
          <w:p w14:paraId="366437A0" w14:textId="77777777" w:rsidR="008C5CFA" w:rsidRPr="00BA47B4" w:rsidRDefault="00E82A60" w:rsidP="00300A01">
            <w:pPr>
              <w:spacing w:before="0" w:after="0"/>
              <w:rPr>
                <w:sz w:val="12"/>
                <w:szCs w:val="12"/>
                <w:lang w:val="fr-BE"/>
              </w:rPr>
            </w:pPr>
            <w:r w:rsidRPr="00BA47B4">
              <w:rPr>
                <w:sz w:val="12"/>
                <w:szCs w:val="12"/>
                <w:lang w:val="fr-BE"/>
              </w:rPr>
              <w:t xml:space="preserve"> </w:t>
            </w:r>
          </w:p>
        </w:tc>
        <w:tc>
          <w:tcPr>
            <w:tcW w:w="0" w:type="auto"/>
            <w:shd w:val="clear" w:color="auto" w:fill="auto"/>
          </w:tcPr>
          <w:p w14:paraId="3DB6B5F0" w14:textId="77777777" w:rsidR="008C5CFA" w:rsidRPr="00BA47B4" w:rsidRDefault="008C5CFA" w:rsidP="00300A01">
            <w:pPr>
              <w:spacing w:before="0" w:after="0"/>
              <w:jc w:val="center"/>
              <w:rPr>
                <w:sz w:val="12"/>
                <w:szCs w:val="12"/>
                <w:lang w:val="fr-BE"/>
              </w:rPr>
            </w:pPr>
          </w:p>
        </w:tc>
        <w:tc>
          <w:tcPr>
            <w:tcW w:w="0" w:type="auto"/>
            <w:shd w:val="clear" w:color="auto" w:fill="auto"/>
          </w:tcPr>
          <w:p w14:paraId="256E9699" w14:textId="77777777" w:rsidR="008C5CFA" w:rsidRPr="00BA47B4" w:rsidRDefault="008C5CFA" w:rsidP="00300A01">
            <w:pPr>
              <w:spacing w:before="0" w:after="0"/>
              <w:jc w:val="right"/>
              <w:rPr>
                <w:sz w:val="12"/>
                <w:szCs w:val="12"/>
                <w:lang w:val="fr-BE"/>
              </w:rPr>
            </w:pPr>
          </w:p>
        </w:tc>
        <w:tc>
          <w:tcPr>
            <w:tcW w:w="0" w:type="auto"/>
            <w:shd w:val="clear" w:color="auto" w:fill="auto"/>
          </w:tcPr>
          <w:p w14:paraId="1E944054" w14:textId="77777777" w:rsidR="008C5CFA" w:rsidRPr="00BA47B4" w:rsidRDefault="008C5CFA" w:rsidP="00300A01">
            <w:pPr>
              <w:spacing w:before="0" w:after="0"/>
              <w:jc w:val="right"/>
              <w:rPr>
                <w:sz w:val="12"/>
                <w:szCs w:val="12"/>
                <w:lang w:val="fr-BE"/>
              </w:rPr>
            </w:pPr>
          </w:p>
        </w:tc>
        <w:tc>
          <w:tcPr>
            <w:tcW w:w="0" w:type="auto"/>
            <w:shd w:val="clear" w:color="auto" w:fill="auto"/>
          </w:tcPr>
          <w:p w14:paraId="38749AB3" w14:textId="77777777" w:rsidR="008C5CFA" w:rsidRPr="00BA47B4" w:rsidRDefault="008C5CFA" w:rsidP="00300A01">
            <w:pPr>
              <w:spacing w:before="0" w:after="0"/>
              <w:jc w:val="right"/>
              <w:rPr>
                <w:sz w:val="12"/>
                <w:szCs w:val="12"/>
                <w:lang w:val="fr-BE"/>
              </w:rPr>
            </w:pPr>
          </w:p>
        </w:tc>
        <w:tc>
          <w:tcPr>
            <w:tcW w:w="0" w:type="auto"/>
            <w:shd w:val="clear" w:color="auto" w:fill="auto"/>
          </w:tcPr>
          <w:p w14:paraId="6C5FAA1A" w14:textId="77777777" w:rsidR="008C5CFA" w:rsidRPr="00BA47B4" w:rsidRDefault="00E82A60" w:rsidP="00300A01">
            <w:pPr>
              <w:spacing w:before="0" w:after="0"/>
              <w:jc w:val="right"/>
              <w:rPr>
                <w:sz w:val="12"/>
                <w:szCs w:val="12"/>
                <w:lang w:val="fr-BE"/>
              </w:rPr>
            </w:pPr>
            <w:r w:rsidRPr="00BA47B4">
              <w:rPr>
                <w:noProof/>
                <w:sz w:val="12"/>
                <w:szCs w:val="12"/>
                <w:lang w:val="fr-BE"/>
              </w:rPr>
              <w:t>96,00</w:t>
            </w:r>
          </w:p>
        </w:tc>
        <w:tc>
          <w:tcPr>
            <w:tcW w:w="0" w:type="auto"/>
            <w:shd w:val="clear" w:color="auto" w:fill="auto"/>
          </w:tcPr>
          <w:p w14:paraId="2D0DA8EC" w14:textId="77777777" w:rsidR="008C5CFA" w:rsidRPr="00BA47B4" w:rsidRDefault="00E82A60" w:rsidP="00300A01">
            <w:pPr>
              <w:spacing w:before="0" w:after="0"/>
              <w:jc w:val="right"/>
              <w:rPr>
                <w:sz w:val="12"/>
                <w:szCs w:val="12"/>
                <w:lang w:val="fr-BE"/>
              </w:rPr>
            </w:pPr>
            <w:r w:rsidRPr="00BA47B4">
              <w:rPr>
                <w:noProof/>
                <w:sz w:val="12"/>
                <w:szCs w:val="12"/>
                <w:lang w:val="fr-BE"/>
              </w:rPr>
              <w:t>25,00</w:t>
            </w:r>
          </w:p>
        </w:tc>
        <w:tc>
          <w:tcPr>
            <w:tcW w:w="0" w:type="auto"/>
            <w:shd w:val="clear" w:color="auto" w:fill="auto"/>
          </w:tcPr>
          <w:p w14:paraId="00163AC8" w14:textId="77777777" w:rsidR="008C5CFA" w:rsidRPr="00BA47B4" w:rsidRDefault="00E82A60" w:rsidP="00300A01">
            <w:pPr>
              <w:spacing w:before="0" w:after="0"/>
              <w:jc w:val="right"/>
              <w:rPr>
                <w:sz w:val="12"/>
                <w:szCs w:val="12"/>
                <w:lang w:val="fr-BE"/>
              </w:rPr>
            </w:pPr>
            <w:r w:rsidRPr="00BA47B4">
              <w:rPr>
                <w:noProof/>
                <w:sz w:val="12"/>
                <w:szCs w:val="12"/>
                <w:lang w:val="fr-BE"/>
              </w:rPr>
              <w:t>71,00</w:t>
            </w:r>
          </w:p>
        </w:tc>
        <w:tc>
          <w:tcPr>
            <w:tcW w:w="0" w:type="auto"/>
            <w:shd w:val="clear" w:color="auto" w:fill="auto"/>
          </w:tcPr>
          <w:p w14:paraId="6FD9C459" w14:textId="77777777" w:rsidR="008C5CFA" w:rsidRPr="00BA47B4" w:rsidRDefault="008C5CFA" w:rsidP="00300A01">
            <w:pPr>
              <w:spacing w:before="0" w:after="0"/>
              <w:jc w:val="right"/>
              <w:rPr>
                <w:sz w:val="12"/>
                <w:szCs w:val="12"/>
                <w:lang w:val="fr-BE"/>
              </w:rPr>
            </w:pPr>
          </w:p>
        </w:tc>
        <w:tc>
          <w:tcPr>
            <w:tcW w:w="0" w:type="auto"/>
            <w:shd w:val="clear" w:color="auto" w:fill="auto"/>
          </w:tcPr>
          <w:p w14:paraId="104E854B" w14:textId="77777777" w:rsidR="008C5CFA" w:rsidRPr="00BA47B4" w:rsidRDefault="008C5CFA" w:rsidP="00300A01">
            <w:pPr>
              <w:spacing w:before="0" w:after="0"/>
              <w:jc w:val="right"/>
              <w:rPr>
                <w:sz w:val="12"/>
                <w:szCs w:val="12"/>
                <w:lang w:val="fr-BE"/>
              </w:rPr>
            </w:pPr>
          </w:p>
        </w:tc>
        <w:tc>
          <w:tcPr>
            <w:tcW w:w="0" w:type="auto"/>
            <w:shd w:val="clear" w:color="auto" w:fill="auto"/>
          </w:tcPr>
          <w:p w14:paraId="2F5C5235" w14:textId="77777777" w:rsidR="008C5CFA" w:rsidRPr="00BA47B4" w:rsidRDefault="008C5CFA" w:rsidP="00300A01">
            <w:pPr>
              <w:spacing w:before="0" w:after="0"/>
              <w:jc w:val="right"/>
              <w:rPr>
                <w:sz w:val="12"/>
                <w:szCs w:val="12"/>
                <w:lang w:val="fr-BE"/>
              </w:rPr>
            </w:pPr>
          </w:p>
        </w:tc>
        <w:tc>
          <w:tcPr>
            <w:tcW w:w="0" w:type="auto"/>
            <w:shd w:val="clear" w:color="auto" w:fill="auto"/>
          </w:tcPr>
          <w:p w14:paraId="03CA8B6E"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0C53BC14"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r>
      <w:tr w:rsidR="006B2EC1" w14:paraId="3CE47463" w14:textId="77777777" w:rsidTr="0047688D">
        <w:tc>
          <w:tcPr>
            <w:tcW w:w="0" w:type="auto"/>
            <w:shd w:val="clear" w:color="auto" w:fill="auto"/>
          </w:tcPr>
          <w:p w14:paraId="06F07AEA" w14:textId="77777777" w:rsidR="008C5CFA" w:rsidRPr="00BA47B4" w:rsidRDefault="00E82A60" w:rsidP="00300A01">
            <w:pPr>
              <w:spacing w:before="0" w:after="0"/>
              <w:rPr>
                <w:sz w:val="12"/>
                <w:szCs w:val="12"/>
                <w:lang w:val="fr-BE"/>
              </w:rPr>
            </w:pPr>
            <w:r w:rsidRPr="00BA47B4">
              <w:rPr>
                <w:noProof/>
                <w:sz w:val="12"/>
                <w:szCs w:val="12"/>
                <w:lang w:val="fr-BE"/>
              </w:rPr>
              <w:t>CR08</w:t>
            </w:r>
          </w:p>
        </w:tc>
        <w:tc>
          <w:tcPr>
            <w:tcW w:w="0" w:type="auto"/>
            <w:shd w:val="clear" w:color="auto" w:fill="auto"/>
          </w:tcPr>
          <w:p w14:paraId="52A828B1" w14:textId="77777777" w:rsidR="008C5CFA" w:rsidRPr="00BA47B4" w:rsidRDefault="00E82A60" w:rsidP="00300A01">
            <w:pPr>
              <w:spacing w:before="0" w:after="0"/>
              <w:rPr>
                <w:sz w:val="12"/>
                <w:szCs w:val="12"/>
                <w:lang w:val="fr-BE"/>
              </w:rPr>
            </w:pPr>
            <w:r w:rsidRPr="00BA47B4">
              <w:rPr>
                <w:noProof/>
                <w:sz w:val="12"/>
                <w:szCs w:val="12"/>
                <w:lang w:val="fr-BE"/>
              </w:rPr>
              <w:t>uczestnicy powyżej 54 roku życia, pracujący, łącznie z prowadzącymi działalność na własny rachunek, sześć miesięcy po opuszczeniu programu</w:t>
            </w:r>
          </w:p>
        </w:tc>
        <w:tc>
          <w:tcPr>
            <w:tcW w:w="0" w:type="auto"/>
            <w:shd w:val="clear" w:color="auto" w:fill="auto"/>
          </w:tcPr>
          <w:p w14:paraId="182DE54C" w14:textId="77777777" w:rsidR="008C5CFA" w:rsidRPr="00BA47B4" w:rsidRDefault="00E82A60" w:rsidP="00300A01">
            <w:pPr>
              <w:spacing w:before="0" w:after="0"/>
              <w:rPr>
                <w:sz w:val="12"/>
                <w:szCs w:val="12"/>
                <w:lang w:val="fr-BE"/>
              </w:rPr>
            </w:pPr>
            <w:r w:rsidRPr="00BA47B4">
              <w:rPr>
                <w:noProof/>
                <w:sz w:val="12"/>
                <w:szCs w:val="12"/>
                <w:lang w:val="fr-BE"/>
              </w:rPr>
              <w:t>Słabiej rozwinięte</w:t>
            </w:r>
          </w:p>
        </w:tc>
        <w:tc>
          <w:tcPr>
            <w:tcW w:w="0" w:type="auto"/>
            <w:shd w:val="clear" w:color="auto" w:fill="auto"/>
          </w:tcPr>
          <w:p w14:paraId="33C243AA" w14:textId="77777777" w:rsidR="008C5CFA" w:rsidRPr="00BA47B4" w:rsidRDefault="00E82A60" w:rsidP="00300A01">
            <w:pPr>
              <w:spacing w:before="0" w:after="0"/>
              <w:rPr>
                <w:sz w:val="12"/>
                <w:szCs w:val="12"/>
                <w:lang w:val="fr-BE"/>
              </w:rPr>
            </w:pPr>
            <w:r w:rsidRPr="00BA47B4">
              <w:rPr>
                <w:sz w:val="12"/>
                <w:szCs w:val="12"/>
                <w:lang w:val="fr-BE"/>
              </w:rPr>
              <w:t xml:space="preserve"> </w:t>
            </w:r>
          </w:p>
        </w:tc>
        <w:tc>
          <w:tcPr>
            <w:tcW w:w="0" w:type="auto"/>
            <w:shd w:val="clear" w:color="auto" w:fill="auto"/>
          </w:tcPr>
          <w:p w14:paraId="3EAAAD4B" w14:textId="77777777" w:rsidR="008C5CFA" w:rsidRPr="00BA47B4" w:rsidRDefault="008C5CFA" w:rsidP="00300A01">
            <w:pPr>
              <w:spacing w:before="0" w:after="0"/>
              <w:jc w:val="center"/>
              <w:rPr>
                <w:sz w:val="12"/>
                <w:szCs w:val="12"/>
                <w:lang w:val="fr-BE"/>
              </w:rPr>
            </w:pPr>
          </w:p>
        </w:tc>
        <w:tc>
          <w:tcPr>
            <w:tcW w:w="0" w:type="auto"/>
            <w:shd w:val="clear" w:color="auto" w:fill="auto"/>
          </w:tcPr>
          <w:p w14:paraId="34C6FC99" w14:textId="77777777" w:rsidR="008C5CFA" w:rsidRPr="00BA47B4" w:rsidRDefault="008C5CFA" w:rsidP="00300A01">
            <w:pPr>
              <w:spacing w:before="0" w:after="0"/>
              <w:jc w:val="right"/>
              <w:rPr>
                <w:sz w:val="12"/>
                <w:szCs w:val="12"/>
                <w:lang w:val="fr-BE"/>
              </w:rPr>
            </w:pPr>
          </w:p>
        </w:tc>
        <w:tc>
          <w:tcPr>
            <w:tcW w:w="0" w:type="auto"/>
            <w:shd w:val="clear" w:color="auto" w:fill="auto"/>
          </w:tcPr>
          <w:p w14:paraId="50D55811" w14:textId="77777777" w:rsidR="008C5CFA" w:rsidRPr="00BA47B4" w:rsidRDefault="008C5CFA" w:rsidP="00300A01">
            <w:pPr>
              <w:spacing w:before="0" w:after="0"/>
              <w:jc w:val="right"/>
              <w:rPr>
                <w:sz w:val="12"/>
                <w:szCs w:val="12"/>
                <w:lang w:val="fr-BE"/>
              </w:rPr>
            </w:pPr>
          </w:p>
        </w:tc>
        <w:tc>
          <w:tcPr>
            <w:tcW w:w="0" w:type="auto"/>
            <w:shd w:val="clear" w:color="auto" w:fill="auto"/>
          </w:tcPr>
          <w:p w14:paraId="23A05FE4" w14:textId="77777777" w:rsidR="008C5CFA" w:rsidRPr="00BA47B4" w:rsidRDefault="008C5CFA" w:rsidP="00300A01">
            <w:pPr>
              <w:spacing w:before="0" w:after="0"/>
              <w:jc w:val="right"/>
              <w:rPr>
                <w:sz w:val="12"/>
                <w:szCs w:val="12"/>
                <w:lang w:val="fr-BE"/>
              </w:rPr>
            </w:pPr>
          </w:p>
        </w:tc>
        <w:tc>
          <w:tcPr>
            <w:tcW w:w="0" w:type="auto"/>
            <w:shd w:val="clear" w:color="auto" w:fill="auto"/>
          </w:tcPr>
          <w:p w14:paraId="5A8B6DE4" w14:textId="77777777" w:rsidR="008C5CFA" w:rsidRPr="00BA47B4" w:rsidRDefault="00E82A60" w:rsidP="00300A01">
            <w:pPr>
              <w:spacing w:before="0" w:after="0"/>
              <w:jc w:val="right"/>
              <w:rPr>
                <w:sz w:val="12"/>
                <w:szCs w:val="12"/>
                <w:lang w:val="fr-BE"/>
              </w:rPr>
            </w:pPr>
            <w:r w:rsidRPr="00BA47B4">
              <w:rPr>
                <w:noProof/>
                <w:sz w:val="12"/>
                <w:szCs w:val="12"/>
                <w:lang w:val="fr-BE"/>
              </w:rPr>
              <w:t>3,00</w:t>
            </w:r>
          </w:p>
        </w:tc>
        <w:tc>
          <w:tcPr>
            <w:tcW w:w="0" w:type="auto"/>
            <w:shd w:val="clear" w:color="auto" w:fill="auto"/>
          </w:tcPr>
          <w:p w14:paraId="3203A948" w14:textId="77777777" w:rsidR="008C5CFA" w:rsidRPr="00BA47B4" w:rsidRDefault="00E82A60" w:rsidP="00300A01">
            <w:pPr>
              <w:spacing w:before="0" w:after="0"/>
              <w:jc w:val="right"/>
              <w:rPr>
                <w:sz w:val="12"/>
                <w:szCs w:val="12"/>
                <w:lang w:val="fr-BE"/>
              </w:rPr>
            </w:pPr>
            <w:r w:rsidRPr="00BA47B4">
              <w:rPr>
                <w:noProof/>
                <w:sz w:val="12"/>
                <w:szCs w:val="12"/>
                <w:lang w:val="fr-BE"/>
              </w:rPr>
              <w:t>2,00</w:t>
            </w:r>
          </w:p>
        </w:tc>
        <w:tc>
          <w:tcPr>
            <w:tcW w:w="0" w:type="auto"/>
            <w:shd w:val="clear" w:color="auto" w:fill="auto"/>
          </w:tcPr>
          <w:p w14:paraId="518206BF" w14:textId="77777777" w:rsidR="008C5CFA" w:rsidRPr="00BA47B4" w:rsidRDefault="00E82A60" w:rsidP="00300A01">
            <w:pPr>
              <w:spacing w:before="0" w:after="0"/>
              <w:jc w:val="right"/>
              <w:rPr>
                <w:sz w:val="12"/>
                <w:szCs w:val="12"/>
                <w:lang w:val="fr-BE"/>
              </w:rPr>
            </w:pPr>
            <w:r w:rsidRPr="00BA47B4">
              <w:rPr>
                <w:noProof/>
                <w:sz w:val="12"/>
                <w:szCs w:val="12"/>
                <w:lang w:val="fr-BE"/>
              </w:rPr>
              <w:t>1,00</w:t>
            </w:r>
          </w:p>
        </w:tc>
        <w:tc>
          <w:tcPr>
            <w:tcW w:w="0" w:type="auto"/>
            <w:shd w:val="clear" w:color="auto" w:fill="auto"/>
          </w:tcPr>
          <w:p w14:paraId="0449B431" w14:textId="77777777" w:rsidR="008C5CFA" w:rsidRPr="00BA47B4" w:rsidRDefault="008C5CFA" w:rsidP="00300A01">
            <w:pPr>
              <w:spacing w:before="0" w:after="0"/>
              <w:jc w:val="right"/>
              <w:rPr>
                <w:sz w:val="12"/>
                <w:szCs w:val="12"/>
                <w:lang w:val="fr-BE"/>
              </w:rPr>
            </w:pPr>
          </w:p>
        </w:tc>
        <w:tc>
          <w:tcPr>
            <w:tcW w:w="0" w:type="auto"/>
            <w:shd w:val="clear" w:color="auto" w:fill="auto"/>
          </w:tcPr>
          <w:p w14:paraId="1A92775F" w14:textId="77777777" w:rsidR="008C5CFA" w:rsidRPr="00BA47B4" w:rsidRDefault="008C5CFA" w:rsidP="00300A01">
            <w:pPr>
              <w:spacing w:before="0" w:after="0"/>
              <w:jc w:val="right"/>
              <w:rPr>
                <w:sz w:val="12"/>
                <w:szCs w:val="12"/>
                <w:lang w:val="fr-BE"/>
              </w:rPr>
            </w:pPr>
          </w:p>
        </w:tc>
        <w:tc>
          <w:tcPr>
            <w:tcW w:w="0" w:type="auto"/>
            <w:shd w:val="clear" w:color="auto" w:fill="auto"/>
          </w:tcPr>
          <w:p w14:paraId="7FFA3A7E" w14:textId="77777777" w:rsidR="008C5CFA" w:rsidRPr="00BA47B4" w:rsidRDefault="008C5CFA" w:rsidP="00300A01">
            <w:pPr>
              <w:spacing w:before="0" w:after="0"/>
              <w:jc w:val="right"/>
              <w:rPr>
                <w:sz w:val="12"/>
                <w:szCs w:val="12"/>
                <w:lang w:val="fr-BE"/>
              </w:rPr>
            </w:pPr>
          </w:p>
        </w:tc>
        <w:tc>
          <w:tcPr>
            <w:tcW w:w="0" w:type="auto"/>
            <w:shd w:val="clear" w:color="auto" w:fill="auto"/>
          </w:tcPr>
          <w:p w14:paraId="3DA302D0"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31AFB5F6"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r>
      <w:tr w:rsidR="006B2EC1" w14:paraId="15ECC9F6" w14:textId="77777777" w:rsidTr="0047688D">
        <w:tc>
          <w:tcPr>
            <w:tcW w:w="0" w:type="auto"/>
            <w:shd w:val="clear" w:color="auto" w:fill="auto"/>
          </w:tcPr>
          <w:p w14:paraId="2351C186" w14:textId="77777777" w:rsidR="008C5CFA" w:rsidRPr="00BA47B4" w:rsidRDefault="00E82A60" w:rsidP="00300A01">
            <w:pPr>
              <w:spacing w:before="0" w:after="0"/>
              <w:rPr>
                <w:sz w:val="12"/>
                <w:szCs w:val="12"/>
                <w:lang w:val="fr-BE"/>
              </w:rPr>
            </w:pPr>
            <w:r w:rsidRPr="00BA47B4">
              <w:rPr>
                <w:noProof/>
                <w:sz w:val="12"/>
                <w:szCs w:val="12"/>
                <w:lang w:val="fr-BE"/>
              </w:rPr>
              <w:t>CR09</w:t>
            </w:r>
          </w:p>
        </w:tc>
        <w:tc>
          <w:tcPr>
            <w:tcW w:w="0" w:type="auto"/>
            <w:shd w:val="clear" w:color="auto" w:fill="auto"/>
          </w:tcPr>
          <w:p w14:paraId="1279F711" w14:textId="77777777" w:rsidR="008C5CFA" w:rsidRPr="00BA47B4" w:rsidRDefault="00E82A60" w:rsidP="00300A01">
            <w:pPr>
              <w:spacing w:before="0" w:after="0"/>
              <w:rPr>
                <w:sz w:val="12"/>
                <w:szCs w:val="12"/>
                <w:lang w:val="fr-BE"/>
              </w:rPr>
            </w:pPr>
            <w:r w:rsidRPr="00BA47B4">
              <w:rPr>
                <w:noProof/>
                <w:sz w:val="12"/>
                <w:szCs w:val="12"/>
                <w:lang w:val="fr-BE"/>
              </w:rPr>
              <w:t>uczestnicy w niekorzystnej sytuacji społecznej, pracujący, łącznie z prowadzącymi działalność na własny rachunek, sześć miesięcy po opuszczeniu programu</w:t>
            </w:r>
          </w:p>
        </w:tc>
        <w:tc>
          <w:tcPr>
            <w:tcW w:w="0" w:type="auto"/>
            <w:shd w:val="clear" w:color="auto" w:fill="auto"/>
          </w:tcPr>
          <w:p w14:paraId="6C08024B" w14:textId="77777777" w:rsidR="008C5CFA" w:rsidRPr="00BA47B4" w:rsidRDefault="00E82A60" w:rsidP="00300A01">
            <w:pPr>
              <w:spacing w:before="0" w:after="0"/>
              <w:rPr>
                <w:sz w:val="12"/>
                <w:szCs w:val="12"/>
                <w:lang w:val="fr-BE"/>
              </w:rPr>
            </w:pPr>
            <w:r w:rsidRPr="00BA47B4">
              <w:rPr>
                <w:noProof/>
                <w:sz w:val="12"/>
                <w:szCs w:val="12"/>
                <w:lang w:val="fr-BE"/>
              </w:rPr>
              <w:t>Słabiej rozwinięte</w:t>
            </w:r>
          </w:p>
        </w:tc>
        <w:tc>
          <w:tcPr>
            <w:tcW w:w="0" w:type="auto"/>
            <w:shd w:val="clear" w:color="auto" w:fill="auto"/>
          </w:tcPr>
          <w:p w14:paraId="0A4CDD27" w14:textId="77777777" w:rsidR="008C5CFA" w:rsidRPr="00BA47B4" w:rsidRDefault="00E82A60" w:rsidP="00300A01">
            <w:pPr>
              <w:spacing w:before="0" w:after="0"/>
              <w:rPr>
                <w:sz w:val="12"/>
                <w:szCs w:val="12"/>
                <w:lang w:val="fr-BE"/>
              </w:rPr>
            </w:pPr>
            <w:r w:rsidRPr="00BA47B4">
              <w:rPr>
                <w:sz w:val="12"/>
                <w:szCs w:val="12"/>
                <w:lang w:val="fr-BE"/>
              </w:rPr>
              <w:t xml:space="preserve"> </w:t>
            </w:r>
          </w:p>
        </w:tc>
        <w:tc>
          <w:tcPr>
            <w:tcW w:w="0" w:type="auto"/>
            <w:shd w:val="clear" w:color="auto" w:fill="auto"/>
          </w:tcPr>
          <w:p w14:paraId="41CCD5D8" w14:textId="77777777" w:rsidR="008C5CFA" w:rsidRPr="00BA47B4" w:rsidRDefault="008C5CFA" w:rsidP="00300A01">
            <w:pPr>
              <w:spacing w:before="0" w:after="0"/>
              <w:jc w:val="center"/>
              <w:rPr>
                <w:sz w:val="12"/>
                <w:szCs w:val="12"/>
                <w:lang w:val="fr-BE"/>
              </w:rPr>
            </w:pPr>
          </w:p>
        </w:tc>
        <w:tc>
          <w:tcPr>
            <w:tcW w:w="0" w:type="auto"/>
            <w:shd w:val="clear" w:color="auto" w:fill="auto"/>
          </w:tcPr>
          <w:p w14:paraId="6A348D8B" w14:textId="77777777" w:rsidR="008C5CFA" w:rsidRPr="00BA47B4" w:rsidRDefault="008C5CFA" w:rsidP="00300A01">
            <w:pPr>
              <w:spacing w:before="0" w:after="0"/>
              <w:jc w:val="right"/>
              <w:rPr>
                <w:sz w:val="12"/>
                <w:szCs w:val="12"/>
                <w:lang w:val="fr-BE"/>
              </w:rPr>
            </w:pPr>
          </w:p>
        </w:tc>
        <w:tc>
          <w:tcPr>
            <w:tcW w:w="0" w:type="auto"/>
            <w:shd w:val="clear" w:color="auto" w:fill="auto"/>
          </w:tcPr>
          <w:p w14:paraId="7D26F1AC" w14:textId="77777777" w:rsidR="008C5CFA" w:rsidRPr="00BA47B4" w:rsidRDefault="008C5CFA" w:rsidP="00300A01">
            <w:pPr>
              <w:spacing w:before="0" w:after="0"/>
              <w:jc w:val="right"/>
              <w:rPr>
                <w:sz w:val="12"/>
                <w:szCs w:val="12"/>
                <w:lang w:val="fr-BE"/>
              </w:rPr>
            </w:pPr>
          </w:p>
        </w:tc>
        <w:tc>
          <w:tcPr>
            <w:tcW w:w="0" w:type="auto"/>
            <w:shd w:val="clear" w:color="auto" w:fill="auto"/>
          </w:tcPr>
          <w:p w14:paraId="5A124E11" w14:textId="77777777" w:rsidR="008C5CFA" w:rsidRPr="00BA47B4" w:rsidRDefault="008C5CFA" w:rsidP="00300A01">
            <w:pPr>
              <w:spacing w:before="0" w:after="0"/>
              <w:jc w:val="right"/>
              <w:rPr>
                <w:sz w:val="12"/>
                <w:szCs w:val="12"/>
                <w:lang w:val="fr-BE"/>
              </w:rPr>
            </w:pPr>
          </w:p>
        </w:tc>
        <w:tc>
          <w:tcPr>
            <w:tcW w:w="0" w:type="auto"/>
            <w:shd w:val="clear" w:color="auto" w:fill="auto"/>
          </w:tcPr>
          <w:p w14:paraId="0B49C250" w14:textId="77777777" w:rsidR="008C5CFA" w:rsidRPr="00BA47B4" w:rsidRDefault="00E82A60" w:rsidP="00300A01">
            <w:pPr>
              <w:spacing w:before="0" w:after="0"/>
              <w:jc w:val="right"/>
              <w:rPr>
                <w:sz w:val="12"/>
                <w:szCs w:val="12"/>
                <w:lang w:val="fr-BE"/>
              </w:rPr>
            </w:pPr>
            <w:r w:rsidRPr="00BA47B4">
              <w:rPr>
                <w:noProof/>
                <w:sz w:val="12"/>
                <w:szCs w:val="12"/>
                <w:lang w:val="fr-BE"/>
              </w:rPr>
              <w:t>22,00</w:t>
            </w:r>
          </w:p>
        </w:tc>
        <w:tc>
          <w:tcPr>
            <w:tcW w:w="0" w:type="auto"/>
            <w:shd w:val="clear" w:color="auto" w:fill="auto"/>
          </w:tcPr>
          <w:p w14:paraId="27B02C43" w14:textId="77777777" w:rsidR="008C5CFA" w:rsidRPr="00BA47B4" w:rsidRDefault="00E82A60" w:rsidP="00300A01">
            <w:pPr>
              <w:spacing w:before="0" w:after="0"/>
              <w:jc w:val="right"/>
              <w:rPr>
                <w:sz w:val="12"/>
                <w:szCs w:val="12"/>
                <w:lang w:val="fr-BE"/>
              </w:rPr>
            </w:pPr>
            <w:r w:rsidRPr="00BA47B4">
              <w:rPr>
                <w:noProof/>
                <w:sz w:val="12"/>
                <w:szCs w:val="12"/>
                <w:lang w:val="fr-BE"/>
              </w:rPr>
              <w:t>15,00</w:t>
            </w:r>
          </w:p>
        </w:tc>
        <w:tc>
          <w:tcPr>
            <w:tcW w:w="0" w:type="auto"/>
            <w:shd w:val="clear" w:color="auto" w:fill="auto"/>
          </w:tcPr>
          <w:p w14:paraId="2C9EDED5" w14:textId="77777777" w:rsidR="008C5CFA" w:rsidRPr="00BA47B4" w:rsidRDefault="00E82A60" w:rsidP="00300A01">
            <w:pPr>
              <w:spacing w:before="0" w:after="0"/>
              <w:jc w:val="right"/>
              <w:rPr>
                <w:sz w:val="12"/>
                <w:szCs w:val="12"/>
                <w:lang w:val="fr-BE"/>
              </w:rPr>
            </w:pPr>
            <w:r w:rsidRPr="00BA47B4">
              <w:rPr>
                <w:noProof/>
                <w:sz w:val="12"/>
                <w:szCs w:val="12"/>
                <w:lang w:val="fr-BE"/>
              </w:rPr>
              <w:t>7,00</w:t>
            </w:r>
          </w:p>
        </w:tc>
        <w:tc>
          <w:tcPr>
            <w:tcW w:w="0" w:type="auto"/>
            <w:shd w:val="clear" w:color="auto" w:fill="auto"/>
          </w:tcPr>
          <w:p w14:paraId="65D758B5" w14:textId="77777777" w:rsidR="008C5CFA" w:rsidRPr="00BA47B4" w:rsidRDefault="008C5CFA" w:rsidP="00300A01">
            <w:pPr>
              <w:spacing w:before="0" w:after="0"/>
              <w:jc w:val="right"/>
              <w:rPr>
                <w:sz w:val="12"/>
                <w:szCs w:val="12"/>
                <w:lang w:val="fr-BE"/>
              </w:rPr>
            </w:pPr>
          </w:p>
        </w:tc>
        <w:tc>
          <w:tcPr>
            <w:tcW w:w="0" w:type="auto"/>
            <w:shd w:val="clear" w:color="auto" w:fill="auto"/>
          </w:tcPr>
          <w:p w14:paraId="117314F6" w14:textId="77777777" w:rsidR="008C5CFA" w:rsidRPr="00BA47B4" w:rsidRDefault="008C5CFA" w:rsidP="00300A01">
            <w:pPr>
              <w:spacing w:before="0" w:after="0"/>
              <w:jc w:val="right"/>
              <w:rPr>
                <w:sz w:val="12"/>
                <w:szCs w:val="12"/>
                <w:lang w:val="fr-BE"/>
              </w:rPr>
            </w:pPr>
          </w:p>
        </w:tc>
        <w:tc>
          <w:tcPr>
            <w:tcW w:w="0" w:type="auto"/>
            <w:shd w:val="clear" w:color="auto" w:fill="auto"/>
          </w:tcPr>
          <w:p w14:paraId="06F7E8DA" w14:textId="77777777" w:rsidR="008C5CFA" w:rsidRPr="00BA47B4" w:rsidRDefault="008C5CFA" w:rsidP="00300A01">
            <w:pPr>
              <w:spacing w:before="0" w:after="0"/>
              <w:jc w:val="right"/>
              <w:rPr>
                <w:sz w:val="12"/>
                <w:szCs w:val="12"/>
                <w:lang w:val="fr-BE"/>
              </w:rPr>
            </w:pPr>
          </w:p>
        </w:tc>
        <w:tc>
          <w:tcPr>
            <w:tcW w:w="0" w:type="auto"/>
            <w:shd w:val="clear" w:color="auto" w:fill="auto"/>
          </w:tcPr>
          <w:p w14:paraId="6FACB19C"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4F269346"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r>
    </w:tbl>
    <w:p w14:paraId="380C9A90" w14:textId="77777777" w:rsidR="008C5CFA" w:rsidRDefault="008C5CFA" w:rsidP="00300A01">
      <w:pPr>
        <w:keepNext/>
        <w:spacing w:before="0" w:after="0"/>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37"/>
        <w:gridCol w:w="8668"/>
        <w:gridCol w:w="884"/>
        <w:gridCol w:w="596"/>
        <w:gridCol w:w="463"/>
        <w:gridCol w:w="596"/>
        <w:gridCol w:w="463"/>
        <w:gridCol w:w="596"/>
        <w:gridCol w:w="463"/>
        <w:gridCol w:w="596"/>
        <w:gridCol w:w="463"/>
        <w:gridCol w:w="596"/>
        <w:gridCol w:w="463"/>
      </w:tblGrid>
      <w:tr w:rsidR="006B2EC1" w14:paraId="47A09D7C" w14:textId="77777777" w:rsidTr="0047688D">
        <w:trPr>
          <w:tblHeader/>
        </w:trPr>
        <w:tc>
          <w:tcPr>
            <w:tcW w:w="0" w:type="auto"/>
            <w:shd w:val="clear" w:color="auto" w:fill="auto"/>
          </w:tcPr>
          <w:p w14:paraId="569268FE" w14:textId="77777777" w:rsidR="008C5CFA" w:rsidRPr="00F53019" w:rsidRDefault="00E82A60" w:rsidP="00300A01">
            <w:pPr>
              <w:spacing w:before="0" w:after="0"/>
              <w:rPr>
                <w:b/>
                <w:sz w:val="12"/>
                <w:szCs w:val="12"/>
                <w:lang w:val="fr-BE"/>
              </w:rPr>
            </w:pPr>
            <w:r w:rsidRPr="00F53019">
              <w:rPr>
                <w:b/>
                <w:noProof/>
                <w:sz w:val="12"/>
                <w:szCs w:val="12"/>
                <w:lang w:val="fr-BE"/>
              </w:rPr>
              <w:t>ID</w:t>
            </w:r>
          </w:p>
        </w:tc>
        <w:tc>
          <w:tcPr>
            <w:tcW w:w="0" w:type="auto"/>
            <w:shd w:val="clear" w:color="auto" w:fill="auto"/>
          </w:tcPr>
          <w:p w14:paraId="49D2BA94" w14:textId="77777777" w:rsidR="008C5CFA" w:rsidRPr="00F53019" w:rsidRDefault="00E82A60" w:rsidP="00300A01">
            <w:pPr>
              <w:spacing w:before="0" w:after="0"/>
              <w:rPr>
                <w:b/>
                <w:sz w:val="12"/>
                <w:szCs w:val="12"/>
                <w:lang w:val="fr-BE"/>
              </w:rPr>
            </w:pPr>
            <w:r w:rsidRPr="00F53019">
              <w:rPr>
                <w:b/>
                <w:noProof/>
                <w:sz w:val="12"/>
                <w:szCs w:val="12"/>
                <w:lang w:val="fr-BE"/>
              </w:rPr>
              <w:t>Wskaźnik</w:t>
            </w:r>
          </w:p>
        </w:tc>
        <w:tc>
          <w:tcPr>
            <w:tcW w:w="0" w:type="auto"/>
            <w:shd w:val="clear" w:color="auto" w:fill="auto"/>
          </w:tcPr>
          <w:p w14:paraId="344CA598" w14:textId="77777777" w:rsidR="008C5CFA" w:rsidRPr="00F53019" w:rsidRDefault="00E82A60" w:rsidP="00300A01">
            <w:pPr>
              <w:spacing w:before="0" w:after="0"/>
              <w:rPr>
                <w:b/>
                <w:sz w:val="12"/>
                <w:szCs w:val="12"/>
                <w:lang w:val="fr-BE"/>
              </w:rPr>
            </w:pPr>
            <w:r w:rsidRPr="00F53019">
              <w:rPr>
                <w:b/>
                <w:noProof/>
                <w:sz w:val="12"/>
                <w:szCs w:val="12"/>
                <w:lang w:val="fr-BE"/>
              </w:rPr>
              <w:t>Kategoria regionu</w:t>
            </w:r>
          </w:p>
        </w:tc>
        <w:tc>
          <w:tcPr>
            <w:tcW w:w="0" w:type="auto"/>
            <w:gridSpan w:val="2"/>
          </w:tcPr>
          <w:p w14:paraId="7B798C49" w14:textId="77777777" w:rsidR="008C5CFA" w:rsidRPr="00F53019" w:rsidRDefault="00E82A60" w:rsidP="00300A01">
            <w:pPr>
              <w:spacing w:before="0" w:after="0"/>
              <w:jc w:val="center"/>
              <w:rPr>
                <w:b/>
                <w:sz w:val="12"/>
                <w:szCs w:val="12"/>
                <w:lang w:val="fr-BE"/>
              </w:rPr>
            </w:pPr>
            <w:r>
              <w:rPr>
                <w:b/>
                <w:sz w:val="12"/>
                <w:szCs w:val="12"/>
                <w:lang w:val="fr-BE"/>
              </w:rPr>
              <w:t>2018</w:t>
            </w:r>
          </w:p>
        </w:tc>
        <w:tc>
          <w:tcPr>
            <w:tcW w:w="0" w:type="auto"/>
            <w:gridSpan w:val="2"/>
          </w:tcPr>
          <w:p w14:paraId="0107C515" w14:textId="77777777" w:rsidR="008C5CFA" w:rsidRPr="00F53019" w:rsidRDefault="00E82A60" w:rsidP="00300A01">
            <w:pPr>
              <w:spacing w:before="0" w:after="0"/>
              <w:jc w:val="center"/>
              <w:rPr>
                <w:b/>
                <w:sz w:val="12"/>
                <w:szCs w:val="12"/>
                <w:lang w:val="fr-BE"/>
              </w:rPr>
            </w:pPr>
            <w:r>
              <w:rPr>
                <w:b/>
                <w:sz w:val="12"/>
                <w:szCs w:val="12"/>
                <w:lang w:val="fr-BE"/>
              </w:rPr>
              <w:t>2017</w:t>
            </w:r>
          </w:p>
        </w:tc>
        <w:tc>
          <w:tcPr>
            <w:tcW w:w="0" w:type="auto"/>
            <w:gridSpan w:val="2"/>
          </w:tcPr>
          <w:p w14:paraId="22207426" w14:textId="77777777" w:rsidR="008C5CFA" w:rsidRPr="00F53019" w:rsidRDefault="00E82A60" w:rsidP="00300A01">
            <w:pPr>
              <w:spacing w:before="0" w:after="0"/>
              <w:jc w:val="center"/>
              <w:rPr>
                <w:b/>
                <w:sz w:val="12"/>
                <w:szCs w:val="12"/>
                <w:lang w:val="fr-BE"/>
              </w:rPr>
            </w:pPr>
            <w:r>
              <w:rPr>
                <w:b/>
                <w:sz w:val="12"/>
                <w:szCs w:val="12"/>
                <w:lang w:val="fr-BE"/>
              </w:rPr>
              <w:t>2016</w:t>
            </w:r>
          </w:p>
        </w:tc>
        <w:tc>
          <w:tcPr>
            <w:tcW w:w="0" w:type="auto"/>
            <w:gridSpan w:val="2"/>
          </w:tcPr>
          <w:p w14:paraId="52148E27" w14:textId="77777777" w:rsidR="008C5CFA" w:rsidRPr="00F53019" w:rsidRDefault="00E82A60" w:rsidP="00300A01">
            <w:pPr>
              <w:spacing w:before="0" w:after="0"/>
              <w:jc w:val="center"/>
              <w:rPr>
                <w:b/>
                <w:sz w:val="12"/>
                <w:szCs w:val="12"/>
                <w:lang w:val="fr-BE"/>
              </w:rPr>
            </w:pPr>
            <w:r>
              <w:rPr>
                <w:b/>
                <w:sz w:val="12"/>
                <w:szCs w:val="12"/>
                <w:lang w:val="fr-BE"/>
              </w:rPr>
              <w:t>2015</w:t>
            </w:r>
          </w:p>
        </w:tc>
        <w:tc>
          <w:tcPr>
            <w:tcW w:w="0" w:type="auto"/>
            <w:gridSpan w:val="2"/>
            <w:shd w:val="clear" w:color="auto" w:fill="auto"/>
          </w:tcPr>
          <w:p w14:paraId="799E43EC" w14:textId="77777777" w:rsidR="008C5CFA" w:rsidRPr="00F53019" w:rsidRDefault="00E82A60" w:rsidP="00300A01">
            <w:pPr>
              <w:spacing w:before="0" w:after="0"/>
              <w:jc w:val="center"/>
              <w:rPr>
                <w:b/>
                <w:sz w:val="12"/>
                <w:szCs w:val="12"/>
                <w:lang w:val="fr-BE"/>
              </w:rPr>
            </w:pPr>
            <w:r>
              <w:rPr>
                <w:b/>
                <w:sz w:val="12"/>
                <w:szCs w:val="12"/>
                <w:lang w:val="fr-BE"/>
              </w:rPr>
              <w:t>2014</w:t>
            </w:r>
          </w:p>
        </w:tc>
      </w:tr>
      <w:tr w:rsidR="006B2EC1" w14:paraId="01A81D3C" w14:textId="77777777" w:rsidTr="0047688D">
        <w:trPr>
          <w:tblHeader/>
        </w:trPr>
        <w:tc>
          <w:tcPr>
            <w:tcW w:w="0" w:type="auto"/>
            <w:shd w:val="clear" w:color="auto" w:fill="auto"/>
          </w:tcPr>
          <w:p w14:paraId="77C6757C" w14:textId="77777777" w:rsidR="008C5CFA" w:rsidRPr="00F53019" w:rsidRDefault="008C5CFA" w:rsidP="00300A01">
            <w:pPr>
              <w:spacing w:before="0" w:after="0"/>
              <w:rPr>
                <w:b/>
                <w:sz w:val="12"/>
                <w:szCs w:val="12"/>
                <w:lang w:val="fr-BE"/>
              </w:rPr>
            </w:pPr>
          </w:p>
        </w:tc>
        <w:tc>
          <w:tcPr>
            <w:tcW w:w="0" w:type="auto"/>
            <w:shd w:val="clear" w:color="auto" w:fill="auto"/>
          </w:tcPr>
          <w:p w14:paraId="13961547" w14:textId="77777777" w:rsidR="008C5CFA" w:rsidRPr="00F53019" w:rsidRDefault="008C5CFA" w:rsidP="00300A01">
            <w:pPr>
              <w:spacing w:before="0" w:after="0"/>
              <w:rPr>
                <w:b/>
                <w:sz w:val="12"/>
                <w:szCs w:val="12"/>
                <w:lang w:val="fr-BE"/>
              </w:rPr>
            </w:pPr>
          </w:p>
        </w:tc>
        <w:tc>
          <w:tcPr>
            <w:tcW w:w="0" w:type="auto"/>
            <w:shd w:val="clear" w:color="auto" w:fill="auto"/>
          </w:tcPr>
          <w:p w14:paraId="7FBB08C0" w14:textId="77777777" w:rsidR="008C5CFA" w:rsidRPr="00F53019" w:rsidRDefault="008C5CFA" w:rsidP="00300A01">
            <w:pPr>
              <w:spacing w:before="0" w:after="0"/>
              <w:rPr>
                <w:b/>
                <w:sz w:val="12"/>
                <w:szCs w:val="12"/>
                <w:lang w:val="fr-BE"/>
              </w:rPr>
            </w:pPr>
          </w:p>
        </w:tc>
        <w:tc>
          <w:tcPr>
            <w:tcW w:w="0" w:type="auto"/>
          </w:tcPr>
          <w:p w14:paraId="454BA449" w14:textId="77777777" w:rsidR="008C5CFA" w:rsidRPr="00F53019" w:rsidRDefault="00E82A60" w:rsidP="00300A01">
            <w:pPr>
              <w:spacing w:before="0" w:after="0"/>
              <w:jc w:val="center"/>
              <w:rPr>
                <w:b/>
                <w:sz w:val="12"/>
                <w:szCs w:val="12"/>
                <w:lang w:val="fr-BE"/>
              </w:rPr>
            </w:pPr>
            <w:r w:rsidRPr="00F53019">
              <w:rPr>
                <w:b/>
                <w:noProof/>
                <w:sz w:val="12"/>
                <w:szCs w:val="12"/>
                <w:lang w:val="fr-BE"/>
              </w:rPr>
              <w:t>Mężczyźni</w:t>
            </w:r>
          </w:p>
        </w:tc>
        <w:tc>
          <w:tcPr>
            <w:tcW w:w="0" w:type="auto"/>
          </w:tcPr>
          <w:p w14:paraId="01EA6C26" w14:textId="77777777" w:rsidR="008C5CFA" w:rsidRPr="00F53019" w:rsidRDefault="00E82A60" w:rsidP="00300A01">
            <w:pPr>
              <w:spacing w:before="0" w:after="0"/>
              <w:jc w:val="center"/>
              <w:rPr>
                <w:b/>
                <w:sz w:val="12"/>
                <w:szCs w:val="12"/>
                <w:lang w:val="fr-BE"/>
              </w:rPr>
            </w:pPr>
            <w:r w:rsidRPr="00F53019">
              <w:rPr>
                <w:b/>
                <w:noProof/>
                <w:sz w:val="12"/>
                <w:szCs w:val="12"/>
                <w:lang w:val="fr-BE"/>
              </w:rPr>
              <w:t>Kobiety</w:t>
            </w:r>
          </w:p>
        </w:tc>
        <w:tc>
          <w:tcPr>
            <w:tcW w:w="0" w:type="auto"/>
          </w:tcPr>
          <w:p w14:paraId="1943A94D" w14:textId="77777777" w:rsidR="008C5CFA" w:rsidRPr="00F53019" w:rsidRDefault="00E82A60" w:rsidP="00300A01">
            <w:pPr>
              <w:spacing w:before="0" w:after="0"/>
              <w:jc w:val="center"/>
              <w:rPr>
                <w:b/>
                <w:sz w:val="12"/>
                <w:szCs w:val="12"/>
                <w:lang w:val="fr-BE"/>
              </w:rPr>
            </w:pPr>
            <w:r w:rsidRPr="00F53019">
              <w:rPr>
                <w:b/>
                <w:noProof/>
                <w:sz w:val="12"/>
                <w:szCs w:val="12"/>
                <w:lang w:val="fr-BE"/>
              </w:rPr>
              <w:t>Mężczyźni</w:t>
            </w:r>
          </w:p>
        </w:tc>
        <w:tc>
          <w:tcPr>
            <w:tcW w:w="0" w:type="auto"/>
          </w:tcPr>
          <w:p w14:paraId="53C2AAFE" w14:textId="77777777" w:rsidR="008C5CFA" w:rsidRPr="00F53019" w:rsidRDefault="00E82A60" w:rsidP="00300A01">
            <w:pPr>
              <w:spacing w:before="0" w:after="0"/>
              <w:jc w:val="center"/>
              <w:rPr>
                <w:b/>
                <w:sz w:val="12"/>
                <w:szCs w:val="12"/>
                <w:lang w:val="fr-BE"/>
              </w:rPr>
            </w:pPr>
            <w:r w:rsidRPr="00F53019">
              <w:rPr>
                <w:b/>
                <w:noProof/>
                <w:sz w:val="12"/>
                <w:szCs w:val="12"/>
                <w:lang w:val="fr-BE"/>
              </w:rPr>
              <w:t>Kobiety</w:t>
            </w:r>
          </w:p>
        </w:tc>
        <w:tc>
          <w:tcPr>
            <w:tcW w:w="0" w:type="auto"/>
          </w:tcPr>
          <w:p w14:paraId="6E26AFB5" w14:textId="77777777" w:rsidR="008C5CFA" w:rsidRPr="00F53019" w:rsidRDefault="00E82A60" w:rsidP="00300A01">
            <w:pPr>
              <w:spacing w:before="0" w:after="0"/>
              <w:jc w:val="center"/>
              <w:rPr>
                <w:b/>
                <w:sz w:val="12"/>
                <w:szCs w:val="12"/>
                <w:lang w:val="fr-BE"/>
              </w:rPr>
            </w:pPr>
            <w:r w:rsidRPr="00F53019">
              <w:rPr>
                <w:b/>
                <w:noProof/>
                <w:sz w:val="12"/>
                <w:szCs w:val="12"/>
                <w:lang w:val="fr-BE"/>
              </w:rPr>
              <w:t>Mężczyźni</w:t>
            </w:r>
          </w:p>
        </w:tc>
        <w:tc>
          <w:tcPr>
            <w:tcW w:w="0" w:type="auto"/>
          </w:tcPr>
          <w:p w14:paraId="5D2F9FFF" w14:textId="77777777" w:rsidR="008C5CFA" w:rsidRPr="00F53019" w:rsidRDefault="00E82A60" w:rsidP="00300A01">
            <w:pPr>
              <w:spacing w:before="0" w:after="0"/>
              <w:jc w:val="center"/>
              <w:rPr>
                <w:b/>
                <w:sz w:val="12"/>
                <w:szCs w:val="12"/>
                <w:lang w:val="fr-BE"/>
              </w:rPr>
            </w:pPr>
            <w:r w:rsidRPr="00F53019">
              <w:rPr>
                <w:b/>
                <w:noProof/>
                <w:sz w:val="12"/>
                <w:szCs w:val="12"/>
                <w:lang w:val="fr-BE"/>
              </w:rPr>
              <w:t>Kobiety</w:t>
            </w:r>
          </w:p>
        </w:tc>
        <w:tc>
          <w:tcPr>
            <w:tcW w:w="0" w:type="auto"/>
          </w:tcPr>
          <w:p w14:paraId="0719F38D" w14:textId="77777777" w:rsidR="008C5CFA" w:rsidRPr="00F53019" w:rsidRDefault="00E82A60" w:rsidP="00300A01">
            <w:pPr>
              <w:spacing w:before="0" w:after="0"/>
              <w:jc w:val="center"/>
              <w:rPr>
                <w:b/>
                <w:sz w:val="12"/>
                <w:szCs w:val="12"/>
                <w:lang w:val="fr-BE"/>
              </w:rPr>
            </w:pPr>
            <w:r w:rsidRPr="00F53019">
              <w:rPr>
                <w:b/>
                <w:noProof/>
                <w:sz w:val="12"/>
                <w:szCs w:val="12"/>
                <w:lang w:val="fr-BE"/>
              </w:rPr>
              <w:t>Mężczyźni</w:t>
            </w:r>
          </w:p>
        </w:tc>
        <w:tc>
          <w:tcPr>
            <w:tcW w:w="0" w:type="auto"/>
          </w:tcPr>
          <w:p w14:paraId="09A109A5" w14:textId="77777777" w:rsidR="008C5CFA" w:rsidRPr="00F53019" w:rsidRDefault="00E82A60" w:rsidP="00300A01">
            <w:pPr>
              <w:spacing w:before="0" w:after="0"/>
              <w:jc w:val="center"/>
              <w:rPr>
                <w:b/>
                <w:sz w:val="12"/>
                <w:szCs w:val="12"/>
                <w:lang w:val="fr-BE"/>
              </w:rPr>
            </w:pPr>
            <w:r w:rsidRPr="00F53019">
              <w:rPr>
                <w:b/>
                <w:noProof/>
                <w:sz w:val="12"/>
                <w:szCs w:val="12"/>
                <w:lang w:val="fr-BE"/>
              </w:rPr>
              <w:t>Kobiety</w:t>
            </w:r>
          </w:p>
        </w:tc>
        <w:tc>
          <w:tcPr>
            <w:tcW w:w="0" w:type="auto"/>
            <w:shd w:val="clear" w:color="auto" w:fill="auto"/>
          </w:tcPr>
          <w:p w14:paraId="01FBB2DF" w14:textId="77777777" w:rsidR="008C5CFA" w:rsidRPr="00F53019" w:rsidRDefault="00E82A60"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14:paraId="3009C3C5" w14:textId="77777777" w:rsidR="008C5CFA" w:rsidRPr="00F53019" w:rsidRDefault="00E82A60" w:rsidP="00300A01">
            <w:pPr>
              <w:spacing w:before="0" w:after="0"/>
              <w:jc w:val="center"/>
              <w:rPr>
                <w:b/>
                <w:sz w:val="12"/>
                <w:szCs w:val="12"/>
                <w:lang w:val="fr-BE"/>
              </w:rPr>
            </w:pPr>
            <w:r w:rsidRPr="00F53019">
              <w:rPr>
                <w:b/>
                <w:noProof/>
                <w:sz w:val="12"/>
                <w:szCs w:val="12"/>
                <w:lang w:val="fr-BE"/>
              </w:rPr>
              <w:t>Kobiety</w:t>
            </w:r>
          </w:p>
        </w:tc>
      </w:tr>
      <w:tr w:rsidR="006B2EC1" w14:paraId="703E2599" w14:textId="77777777" w:rsidTr="0047688D">
        <w:tc>
          <w:tcPr>
            <w:tcW w:w="0" w:type="auto"/>
            <w:shd w:val="clear" w:color="auto" w:fill="auto"/>
          </w:tcPr>
          <w:p w14:paraId="297647E9" w14:textId="77777777" w:rsidR="008C5CFA" w:rsidRPr="00BA47B4" w:rsidRDefault="00E82A60" w:rsidP="00300A01">
            <w:pPr>
              <w:spacing w:before="0" w:after="0"/>
              <w:rPr>
                <w:sz w:val="12"/>
                <w:szCs w:val="12"/>
                <w:lang w:val="fr-BE"/>
              </w:rPr>
            </w:pPr>
            <w:r w:rsidRPr="00BA47B4">
              <w:rPr>
                <w:noProof/>
                <w:sz w:val="12"/>
                <w:szCs w:val="12"/>
                <w:lang w:val="fr-BE"/>
              </w:rPr>
              <w:t>CR01</w:t>
            </w:r>
          </w:p>
        </w:tc>
        <w:tc>
          <w:tcPr>
            <w:tcW w:w="0" w:type="auto"/>
            <w:shd w:val="clear" w:color="auto" w:fill="auto"/>
          </w:tcPr>
          <w:p w14:paraId="39B18991" w14:textId="77777777" w:rsidR="008C5CFA" w:rsidRPr="00BA47B4" w:rsidRDefault="00E82A60" w:rsidP="00300A01">
            <w:pPr>
              <w:spacing w:before="0" w:after="0"/>
              <w:rPr>
                <w:sz w:val="12"/>
                <w:szCs w:val="12"/>
                <w:lang w:val="fr-BE"/>
              </w:rPr>
            </w:pPr>
            <w:r w:rsidRPr="00BA47B4">
              <w:rPr>
                <w:noProof/>
                <w:sz w:val="12"/>
                <w:szCs w:val="12"/>
                <w:lang w:val="fr-BE"/>
              </w:rPr>
              <w:t>bierni zawodowo uczestnicy poszukujący pracy po opuszczeniu programu</w:t>
            </w:r>
          </w:p>
        </w:tc>
        <w:tc>
          <w:tcPr>
            <w:tcW w:w="0" w:type="auto"/>
            <w:shd w:val="clear" w:color="auto" w:fill="auto"/>
          </w:tcPr>
          <w:p w14:paraId="6AF74F6F" w14:textId="77777777" w:rsidR="008C5CFA" w:rsidRPr="00BA47B4" w:rsidRDefault="00E82A60" w:rsidP="00300A01">
            <w:pPr>
              <w:spacing w:before="0" w:after="0"/>
              <w:rPr>
                <w:sz w:val="12"/>
                <w:szCs w:val="12"/>
                <w:lang w:val="fr-BE"/>
              </w:rPr>
            </w:pPr>
            <w:r w:rsidRPr="00BA47B4">
              <w:rPr>
                <w:noProof/>
                <w:sz w:val="12"/>
                <w:szCs w:val="12"/>
                <w:lang w:val="fr-BE"/>
              </w:rPr>
              <w:t>Słabiej rozwinięte</w:t>
            </w:r>
          </w:p>
        </w:tc>
        <w:tc>
          <w:tcPr>
            <w:tcW w:w="0" w:type="auto"/>
          </w:tcPr>
          <w:p w14:paraId="2CAF500F"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5C9F174E"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5E4DEC97"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6E7A5437"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65FDA961"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4F57E18D"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7974CCF7"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10E80B68"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310A4902"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729F9C5A"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r>
      <w:tr w:rsidR="006B2EC1" w14:paraId="7F63C1B2" w14:textId="77777777" w:rsidTr="0047688D">
        <w:tc>
          <w:tcPr>
            <w:tcW w:w="0" w:type="auto"/>
            <w:shd w:val="clear" w:color="auto" w:fill="auto"/>
          </w:tcPr>
          <w:p w14:paraId="1B3556FF" w14:textId="77777777" w:rsidR="008C5CFA" w:rsidRPr="00BA47B4" w:rsidRDefault="00E82A60" w:rsidP="00300A01">
            <w:pPr>
              <w:spacing w:before="0" w:after="0"/>
              <w:rPr>
                <w:sz w:val="12"/>
                <w:szCs w:val="12"/>
                <w:lang w:val="fr-BE"/>
              </w:rPr>
            </w:pPr>
            <w:r w:rsidRPr="00BA47B4">
              <w:rPr>
                <w:noProof/>
                <w:sz w:val="12"/>
                <w:szCs w:val="12"/>
                <w:lang w:val="fr-BE"/>
              </w:rPr>
              <w:t>CR02</w:t>
            </w:r>
          </w:p>
        </w:tc>
        <w:tc>
          <w:tcPr>
            <w:tcW w:w="0" w:type="auto"/>
            <w:shd w:val="clear" w:color="auto" w:fill="auto"/>
          </w:tcPr>
          <w:p w14:paraId="68572437" w14:textId="77777777" w:rsidR="008C5CFA" w:rsidRPr="00BA47B4" w:rsidRDefault="00E82A60" w:rsidP="00300A01">
            <w:pPr>
              <w:spacing w:before="0" w:after="0"/>
              <w:rPr>
                <w:sz w:val="12"/>
                <w:szCs w:val="12"/>
                <w:lang w:val="fr-BE"/>
              </w:rPr>
            </w:pPr>
            <w:r w:rsidRPr="00BA47B4">
              <w:rPr>
                <w:noProof/>
                <w:sz w:val="12"/>
                <w:szCs w:val="12"/>
                <w:lang w:val="fr-BE"/>
              </w:rPr>
              <w:t>uczestnicy kształcący lub szkolący się po opuszczeniu programu</w:t>
            </w:r>
          </w:p>
        </w:tc>
        <w:tc>
          <w:tcPr>
            <w:tcW w:w="0" w:type="auto"/>
            <w:shd w:val="clear" w:color="auto" w:fill="auto"/>
          </w:tcPr>
          <w:p w14:paraId="721538EE" w14:textId="77777777" w:rsidR="008C5CFA" w:rsidRPr="00BA47B4" w:rsidRDefault="00E82A60" w:rsidP="00300A01">
            <w:pPr>
              <w:spacing w:before="0" w:after="0"/>
              <w:rPr>
                <w:sz w:val="12"/>
                <w:szCs w:val="12"/>
                <w:lang w:val="fr-BE"/>
              </w:rPr>
            </w:pPr>
            <w:r w:rsidRPr="00BA47B4">
              <w:rPr>
                <w:noProof/>
                <w:sz w:val="12"/>
                <w:szCs w:val="12"/>
                <w:lang w:val="fr-BE"/>
              </w:rPr>
              <w:t>Słabiej rozwinięte</w:t>
            </w:r>
          </w:p>
        </w:tc>
        <w:tc>
          <w:tcPr>
            <w:tcW w:w="0" w:type="auto"/>
          </w:tcPr>
          <w:p w14:paraId="3335F254"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379E61B3"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5216DA0E"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51B8369B"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2313CB40"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49692227"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61500C15"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56EC5A45"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444FDE56"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471157D8"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r>
      <w:tr w:rsidR="006B2EC1" w14:paraId="18E592D1" w14:textId="77777777" w:rsidTr="0047688D">
        <w:tc>
          <w:tcPr>
            <w:tcW w:w="0" w:type="auto"/>
            <w:shd w:val="clear" w:color="auto" w:fill="auto"/>
          </w:tcPr>
          <w:p w14:paraId="310ACDC4" w14:textId="77777777" w:rsidR="008C5CFA" w:rsidRPr="00BA47B4" w:rsidRDefault="00E82A60" w:rsidP="00300A01">
            <w:pPr>
              <w:spacing w:before="0" w:after="0"/>
              <w:rPr>
                <w:sz w:val="12"/>
                <w:szCs w:val="12"/>
                <w:lang w:val="fr-BE"/>
              </w:rPr>
            </w:pPr>
            <w:r w:rsidRPr="00BA47B4">
              <w:rPr>
                <w:noProof/>
                <w:sz w:val="12"/>
                <w:szCs w:val="12"/>
                <w:lang w:val="fr-BE"/>
              </w:rPr>
              <w:t>CR03</w:t>
            </w:r>
          </w:p>
        </w:tc>
        <w:tc>
          <w:tcPr>
            <w:tcW w:w="0" w:type="auto"/>
            <w:shd w:val="clear" w:color="auto" w:fill="auto"/>
          </w:tcPr>
          <w:p w14:paraId="068494AD" w14:textId="77777777" w:rsidR="008C5CFA" w:rsidRPr="00BA47B4" w:rsidRDefault="00E82A60" w:rsidP="00300A01">
            <w:pPr>
              <w:spacing w:before="0" w:after="0"/>
              <w:rPr>
                <w:sz w:val="12"/>
                <w:szCs w:val="12"/>
                <w:lang w:val="fr-BE"/>
              </w:rPr>
            </w:pPr>
            <w:r w:rsidRPr="00BA47B4">
              <w:rPr>
                <w:noProof/>
                <w:sz w:val="12"/>
                <w:szCs w:val="12"/>
                <w:lang w:val="fr-BE"/>
              </w:rPr>
              <w:t>uczestnicy uzyskujący kwalifikacje po opuszczeniu programu</w:t>
            </w:r>
          </w:p>
        </w:tc>
        <w:tc>
          <w:tcPr>
            <w:tcW w:w="0" w:type="auto"/>
            <w:shd w:val="clear" w:color="auto" w:fill="auto"/>
          </w:tcPr>
          <w:p w14:paraId="2748545E" w14:textId="77777777" w:rsidR="008C5CFA" w:rsidRPr="00BA47B4" w:rsidRDefault="00E82A60" w:rsidP="00300A01">
            <w:pPr>
              <w:spacing w:before="0" w:after="0"/>
              <w:rPr>
                <w:sz w:val="12"/>
                <w:szCs w:val="12"/>
                <w:lang w:val="fr-BE"/>
              </w:rPr>
            </w:pPr>
            <w:r w:rsidRPr="00BA47B4">
              <w:rPr>
                <w:noProof/>
                <w:sz w:val="12"/>
                <w:szCs w:val="12"/>
                <w:lang w:val="fr-BE"/>
              </w:rPr>
              <w:t>Słabiej rozwinięte</w:t>
            </w:r>
          </w:p>
        </w:tc>
        <w:tc>
          <w:tcPr>
            <w:tcW w:w="0" w:type="auto"/>
          </w:tcPr>
          <w:p w14:paraId="1CD95160"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58137E54"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7EE24E07"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4AD869DD"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6B621EEC"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2E492332"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46D7F886"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666611D5"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74C6FA75"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108351CB"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r>
      <w:tr w:rsidR="006B2EC1" w14:paraId="48E3AF29" w14:textId="77777777" w:rsidTr="0047688D">
        <w:tc>
          <w:tcPr>
            <w:tcW w:w="0" w:type="auto"/>
            <w:shd w:val="clear" w:color="auto" w:fill="auto"/>
          </w:tcPr>
          <w:p w14:paraId="3A3E2D00" w14:textId="77777777" w:rsidR="008C5CFA" w:rsidRPr="00BA47B4" w:rsidRDefault="00E82A60" w:rsidP="00300A01">
            <w:pPr>
              <w:spacing w:before="0" w:after="0"/>
              <w:rPr>
                <w:sz w:val="12"/>
                <w:szCs w:val="12"/>
                <w:lang w:val="fr-BE"/>
              </w:rPr>
            </w:pPr>
            <w:r w:rsidRPr="00BA47B4">
              <w:rPr>
                <w:noProof/>
                <w:sz w:val="12"/>
                <w:szCs w:val="12"/>
                <w:lang w:val="fr-BE"/>
              </w:rPr>
              <w:t>CR04</w:t>
            </w:r>
          </w:p>
        </w:tc>
        <w:tc>
          <w:tcPr>
            <w:tcW w:w="0" w:type="auto"/>
            <w:shd w:val="clear" w:color="auto" w:fill="auto"/>
          </w:tcPr>
          <w:p w14:paraId="7E512101" w14:textId="77777777" w:rsidR="008C5CFA" w:rsidRPr="00BA47B4" w:rsidRDefault="00E82A60" w:rsidP="00300A01">
            <w:pPr>
              <w:spacing w:before="0" w:after="0"/>
              <w:rPr>
                <w:sz w:val="12"/>
                <w:szCs w:val="12"/>
                <w:lang w:val="fr-BE"/>
              </w:rPr>
            </w:pPr>
            <w:r w:rsidRPr="00BA47B4">
              <w:rPr>
                <w:noProof/>
                <w:sz w:val="12"/>
                <w:szCs w:val="12"/>
                <w:lang w:val="fr-BE"/>
              </w:rPr>
              <w:t>uczestnicy pracujący, łącznie z prowadzącymi działalność na własny rachunek, po opuszczeniu programu</w:t>
            </w:r>
          </w:p>
        </w:tc>
        <w:tc>
          <w:tcPr>
            <w:tcW w:w="0" w:type="auto"/>
            <w:shd w:val="clear" w:color="auto" w:fill="auto"/>
          </w:tcPr>
          <w:p w14:paraId="096C128F" w14:textId="77777777" w:rsidR="008C5CFA" w:rsidRPr="00BA47B4" w:rsidRDefault="00E82A60" w:rsidP="00300A01">
            <w:pPr>
              <w:spacing w:before="0" w:after="0"/>
              <w:rPr>
                <w:sz w:val="12"/>
                <w:szCs w:val="12"/>
                <w:lang w:val="fr-BE"/>
              </w:rPr>
            </w:pPr>
            <w:r w:rsidRPr="00BA47B4">
              <w:rPr>
                <w:noProof/>
                <w:sz w:val="12"/>
                <w:szCs w:val="12"/>
                <w:lang w:val="fr-BE"/>
              </w:rPr>
              <w:t>Słabiej rozwinięte</w:t>
            </w:r>
          </w:p>
        </w:tc>
        <w:tc>
          <w:tcPr>
            <w:tcW w:w="0" w:type="auto"/>
          </w:tcPr>
          <w:p w14:paraId="1210C0B5" w14:textId="77777777" w:rsidR="008C5CFA" w:rsidRPr="00BA47B4" w:rsidRDefault="00E82A60" w:rsidP="00300A01">
            <w:pPr>
              <w:spacing w:before="0" w:after="0"/>
              <w:jc w:val="right"/>
              <w:rPr>
                <w:sz w:val="12"/>
                <w:szCs w:val="12"/>
                <w:lang w:val="fr-BE"/>
              </w:rPr>
            </w:pPr>
            <w:r w:rsidRPr="00BA47B4">
              <w:rPr>
                <w:noProof/>
                <w:sz w:val="12"/>
                <w:szCs w:val="12"/>
                <w:lang w:val="fr-BE"/>
              </w:rPr>
              <w:t>23,00</w:t>
            </w:r>
          </w:p>
        </w:tc>
        <w:tc>
          <w:tcPr>
            <w:tcW w:w="0" w:type="auto"/>
          </w:tcPr>
          <w:p w14:paraId="27BDA18B" w14:textId="77777777" w:rsidR="008C5CFA" w:rsidRPr="00BA47B4" w:rsidRDefault="00E82A60" w:rsidP="00300A01">
            <w:pPr>
              <w:spacing w:before="0" w:after="0"/>
              <w:jc w:val="right"/>
              <w:rPr>
                <w:sz w:val="12"/>
                <w:szCs w:val="12"/>
                <w:lang w:val="fr-BE"/>
              </w:rPr>
            </w:pPr>
            <w:r w:rsidRPr="00BA47B4">
              <w:rPr>
                <w:noProof/>
                <w:sz w:val="12"/>
                <w:szCs w:val="12"/>
                <w:lang w:val="fr-BE"/>
              </w:rPr>
              <w:t>35,00</w:t>
            </w:r>
          </w:p>
        </w:tc>
        <w:tc>
          <w:tcPr>
            <w:tcW w:w="0" w:type="auto"/>
          </w:tcPr>
          <w:p w14:paraId="30EB1768" w14:textId="77777777" w:rsidR="008C5CFA" w:rsidRPr="00BA47B4" w:rsidRDefault="00E82A60" w:rsidP="00300A01">
            <w:pPr>
              <w:spacing w:before="0" w:after="0"/>
              <w:jc w:val="right"/>
              <w:rPr>
                <w:sz w:val="12"/>
                <w:szCs w:val="12"/>
                <w:lang w:val="fr-BE"/>
              </w:rPr>
            </w:pPr>
            <w:r w:rsidRPr="00BA47B4">
              <w:rPr>
                <w:noProof/>
                <w:sz w:val="12"/>
                <w:szCs w:val="12"/>
                <w:lang w:val="fr-BE"/>
              </w:rPr>
              <w:t>14,00</w:t>
            </w:r>
          </w:p>
        </w:tc>
        <w:tc>
          <w:tcPr>
            <w:tcW w:w="0" w:type="auto"/>
          </w:tcPr>
          <w:p w14:paraId="45EDB651" w14:textId="77777777" w:rsidR="008C5CFA" w:rsidRPr="00BA47B4" w:rsidRDefault="00E82A60" w:rsidP="00300A01">
            <w:pPr>
              <w:spacing w:before="0" w:after="0"/>
              <w:jc w:val="right"/>
              <w:rPr>
                <w:sz w:val="12"/>
                <w:szCs w:val="12"/>
                <w:lang w:val="fr-BE"/>
              </w:rPr>
            </w:pPr>
            <w:r w:rsidRPr="00BA47B4">
              <w:rPr>
                <w:noProof/>
                <w:sz w:val="12"/>
                <w:szCs w:val="12"/>
                <w:lang w:val="fr-BE"/>
              </w:rPr>
              <w:t>8,00</w:t>
            </w:r>
          </w:p>
        </w:tc>
        <w:tc>
          <w:tcPr>
            <w:tcW w:w="0" w:type="auto"/>
          </w:tcPr>
          <w:p w14:paraId="4B780A7B"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5736EE58"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716281C1"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6B18B682"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2E1E7A8F"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625097FD"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r>
      <w:tr w:rsidR="006B2EC1" w14:paraId="1E72E5BC" w14:textId="77777777" w:rsidTr="0047688D">
        <w:tc>
          <w:tcPr>
            <w:tcW w:w="0" w:type="auto"/>
            <w:shd w:val="clear" w:color="auto" w:fill="auto"/>
          </w:tcPr>
          <w:p w14:paraId="61C38119" w14:textId="77777777" w:rsidR="008C5CFA" w:rsidRPr="00BA47B4" w:rsidRDefault="00E82A60" w:rsidP="00300A01">
            <w:pPr>
              <w:spacing w:before="0" w:after="0"/>
              <w:rPr>
                <w:sz w:val="12"/>
                <w:szCs w:val="12"/>
                <w:lang w:val="fr-BE"/>
              </w:rPr>
            </w:pPr>
            <w:r w:rsidRPr="00BA47B4">
              <w:rPr>
                <w:noProof/>
                <w:sz w:val="12"/>
                <w:szCs w:val="12"/>
                <w:lang w:val="fr-BE"/>
              </w:rPr>
              <w:t>CR05</w:t>
            </w:r>
          </w:p>
        </w:tc>
        <w:tc>
          <w:tcPr>
            <w:tcW w:w="0" w:type="auto"/>
            <w:shd w:val="clear" w:color="auto" w:fill="auto"/>
          </w:tcPr>
          <w:p w14:paraId="243C87AE" w14:textId="77777777" w:rsidR="008C5CFA" w:rsidRPr="00BA47B4" w:rsidRDefault="00E82A60" w:rsidP="00300A01">
            <w:pPr>
              <w:spacing w:before="0" w:after="0"/>
              <w:rPr>
                <w:sz w:val="12"/>
                <w:szCs w:val="12"/>
                <w:lang w:val="fr-BE"/>
              </w:rPr>
            </w:pPr>
            <w:r w:rsidRPr="00BA47B4">
              <w:rPr>
                <w:noProof/>
                <w:sz w:val="12"/>
                <w:szCs w:val="12"/>
                <w:lang w:val="fr-BE"/>
              </w:rPr>
              <w:t>uczestnicy w niekorzystnej sytuacji społecznej poszukujący pracy, uczestniczący w kształceniu lub szkoleniu, zdobywający kwalifikacje lub pracujący (łącznie z prowadzącymi działalność na własny rachunek) po opuszczeniu programu</w:t>
            </w:r>
          </w:p>
        </w:tc>
        <w:tc>
          <w:tcPr>
            <w:tcW w:w="0" w:type="auto"/>
            <w:shd w:val="clear" w:color="auto" w:fill="auto"/>
          </w:tcPr>
          <w:p w14:paraId="412DF1C2" w14:textId="77777777" w:rsidR="008C5CFA" w:rsidRPr="00BA47B4" w:rsidRDefault="00E82A60" w:rsidP="00300A01">
            <w:pPr>
              <w:spacing w:before="0" w:after="0"/>
              <w:rPr>
                <w:sz w:val="12"/>
                <w:szCs w:val="12"/>
                <w:lang w:val="fr-BE"/>
              </w:rPr>
            </w:pPr>
            <w:r w:rsidRPr="00BA47B4">
              <w:rPr>
                <w:noProof/>
                <w:sz w:val="12"/>
                <w:szCs w:val="12"/>
                <w:lang w:val="fr-BE"/>
              </w:rPr>
              <w:t>Słabiej rozwinięte</w:t>
            </w:r>
          </w:p>
        </w:tc>
        <w:tc>
          <w:tcPr>
            <w:tcW w:w="0" w:type="auto"/>
          </w:tcPr>
          <w:p w14:paraId="1AA06743" w14:textId="77777777" w:rsidR="008C5CFA" w:rsidRPr="00BA47B4" w:rsidRDefault="00E82A60" w:rsidP="00300A01">
            <w:pPr>
              <w:spacing w:before="0" w:after="0"/>
              <w:jc w:val="right"/>
              <w:rPr>
                <w:sz w:val="12"/>
                <w:szCs w:val="12"/>
                <w:lang w:val="fr-BE"/>
              </w:rPr>
            </w:pPr>
            <w:r w:rsidRPr="00BA47B4">
              <w:rPr>
                <w:noProof/>
                <w:sz w:val="12"/>
                <w:szCs w:val="12"/>
                <w:lang w:val="fr-BE"/>
              </w:rPr>
              <w:t>16,00</w:t>
            </w:r>
          </w:p>
        </w:tc>
        <w:tc>
          <w:tcPr>
            <w:tcW w:w="0" w:type="auto"/>
          </w:tcPr>
          <w:p w14:paraId="16A62945" w14:textId="77777777" w:rsidR="008C5CFA" w:rsidRPr="00BA47B4" w:rsidRDefault="00E82A60" w:rsidP="00300A01">
            <w:pPr>
              <w:spacing w:before="0" w:after="0"/>
              <w:jc w:val="right"/>
              <w:rPr>
                <w:sz w:val="12"/>
                <w:szCs w:val="12"/>
                <w:lang w:val="fr-BE"/>
              </w:rPr>
            </w:pPr>
            <w:r w:rsidRPr="00BA47B4">
              <w:rPr>
                <w:noProof/>
                <w:sz w:val="12"/>
                <w:szCs w:val="12"/>
                <w:lang w:val="fr-BE"/>
              </w:rPr>
              <w:t>23,00</w:t>
            </w:r>
          </w:p>
        </w:tc>
        <w:tc>
          <w:tcPr>
            <w:tcW w:w="0" w:type="auto"/>
          </w:tcPr>
          <w:p w14:paraId="7F89EAD1" w14:textId="77777777" w:rsidR="008C5CFA" w:rsidRPr="00BA47B4" w:rsidRDefault="00E82A60" w:rsidP="00300A01">
            <w:pPr>
              <w:spacing w:before="0" w:after="0"/>
              <w:jc w:val="right"/>
              <w:rPr>
                <w:sz w:val="12"/>
                <w:szCs w:val="12"/>
                <w:lang w:val="fr-BE"/>
              </w:rPr>
            </w:pPr>
            <w:r w:rsidRPr="00BA47B4">
              <w:rPr>
                <w:noProof/>
                <w:sz w:val="12"/>
                <w:szCs w:val="12"/>
                <w:lang w:val="fr-BE"/>
              </w:rPr>
              <w:t>13,00</w:t>
            </w:r>
          </w:p>
        </w:tc>
        <w:tc>
          <w:tcPr>
            <w:tcW w:w="0" w:type="auto"/>
          </w:tcPr>
          <w:p w14:paraId="69026150" w14:textId="77777777" w:rsidR="008C5CFA" w:rsidRPr="00BA47B4" w:rsidRDefault="00E82A60" w:rsidP="00300A01">
            <w:pPr>
              <w:spacing w:before="0" w:after="0"/>
              <w:jc w:val="right"/>
              <w:rPr>
                <w:sz w:val="12"/>
                <w:szCs w:val="12"/>
                <w:lang w:val="fr-BE"/>
              </w:rPr>
            </w:pPr>
            <w:r w:rsidRPr="00BA47B4">
              <w:rPr>
                <w:noProof/>
                <w:sz w:val="12"/>
                <w:szCs w:val="12"/>
                <w:lang w:val="fr-BE"/>
              </w:rPr>
              <w:t>3,00</w:t>
            </w:r>
          </w:p>
        </w:tc>
        <w:tc>
          <w:tcPr>
            <w:tcW w:w="0" w:type="auto"/>
          </w:tcPr>
          <w:p w14:paraId="1B5C30FA"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3ACFA469"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4AE335D2"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0994A5CA"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26A8EA76"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39376D8F"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r>
      <w:tr w:rsidR="006B2EC1" w14:paraId="78254642" w14:textId="77777777" w:rsidTr="0047688D">
        <w:tc>
          <w:tcPr>
            <w:tcW w:w="0" w:type="auto"/>
            <w:shd w:val="clear" w:color="auto" w:fill="auto"/>
          </w:tcPr>
          <w:p w14:paraId="38E42E85" w14:textId="77777777" w:rsidR="008C5CFA" w:rsidRPr="00BA47B4" w:rsidRDefault="00E82A60" w:rsidP="00300A01">
            <w:pPr>
              <w:spacing w:before="0" w:after="0"/>
              <w:rPr>
                <w:sz w:val="12"/>
                <w:szCs w:val="12"/>
                <w:lang w:val="fr-BE"/>
              </w:rPr>
            </w:pPr>
            <w:r w:rsidRPr="00BA47B4">
              <w:rPr>
                <w:noProof/>
                <w:sz w:val="12"/>
                <w:szCs w:val="12"/>
                <w:lang w:val="fr-BE"/>
              </w:rPr>
              <w:t>CR06</w:t>
            </w:r>
          </w:p>
        </w:tc>
        <w:tc>
          <w:tcPr>
            <w:tcW w:w="0" w:type="auto"/>
            <w:shd w:val="clear" w:color="auto" w:fill="auto"/>
          </w:tcPr>
          <w:p w14:paraId="24D97A43" w14:textId="77777777" w:rsidR="008C5CFA" w:rsidRPr="00BA47B4" w:rsidRDefault="00E82A60" w:rsidP="00300A01">
            <w:pPr>
              <w:spacing w:before="0" w:after="0"/>
              <w:rPr>
                <w:sz w:val="12"/>
                <w:szCs w:val="12"/>
                <w:lang w:val="fr-BE"/>
              </w:rPr>
            </w:pPr>
            <w:r w:rsidRPr="00BA47B4">
              <w:rPr>
                <w:noProof/>
                <w:sz w:val="12"/>
                <w:szCs w:val="12"/>
                <w:lang w:val="fr-BE"/>
              </w:rPr>
              <w:t>uczestnicy pracujący, łącznie z prowadzącymi działalność na własny rachunek, sześć miesięcy po opuszczeniu programu</w:t>
            </w:r>
          </w:p>
        </w:tc>
        <w:tc>
          <w:tcPr>
            <w:tcW w:w="0" w:type="auto"/>
            <w:shd w:val="clear" w:color="auto" w:fill="auto"/>
          </w:tcPr>
          <w:p w14:paraId="46341CEE" w14:textId="77777777" w:rsidR="008C5CFA" w:rsidRPr="00BA47B4" w:rsidRDefault="00E82A60" w:rsidP="00300A01">
            <w:pPr>
              <w:spacing w:before="0" w:after="0"/>
              <w:rPr>
                <w:sz w:val="12"/>
                <w:szCs w:val="12"/>
                <w:lang w:val="fr-BE"/>
              </w:rPr>
            </w:pPr>
            <w:r w:rsidRPr="00BA47B4">
              <w:rPr>
                <w:noProof/>
                <w:sz w:val="12"/>
                <w:szCs w:val="12"/>
                <w:lang w:val="fr-BE"/>
              </w:rPr>
              <w:t>Słabiej rozwinięte</w:t>
            </w:r>
          </w:p>
        </w:tc>
        <w:tc>
          <w:tcPr>
            <w:tcW w:w="0" w:type="auto"/>
          </w:tcPr>
          <w:p w14:paraId="58469FF7" w14:textId="77777777" w:rsidR="008C5CFA" w:rsidRPr="00BA47B4" w:rsidRDefault="00E82A60" w:rsidP="00300A01">
            <w:pPr>
              <w:spacing w:before="0" w:after="0"/>
              <w:jc w:val="right"/>
              <w:rPr>
                <w:sz w:val="12"/>
                <w:szCs w:val="12"/>
                <w:lang w:val="fr-BE"/>
              </w:rPr>
            </w:pPr>
            <w:r w:rsidRPr="00BA47B4">
              <w:rPr>
                <w:noProof/>
                <w:sz w:val="12"/>
                <w:szCs w:val="12"/>
                <w:lang w:val="fr-BE"/>
              </w:rPr>
              <w:t>86,00</w:t>
            </w:r>
          </w:p>
        </w:tc>
        <w:tc>
          <w:tcPr>
            <w:tcW w:w="0" w:type="auto"/>
          </w:tcPr>
          <w:p w14:paraId="2873A7D7" w14:textId="77777777" w:rsidR="008C5CFA" w:rsidRPr="00BA47B4" w:rsidRDefault="00E82A60" w:rsidP="00300A01">
            <w:pPr>
              <w:spacing w:before="0" w:after="0"/>
              <w:jc w:val="right"/>
              <w:rPr>
                <w:sz w:val="12"/>
                <w:szCs w:val="12"/>
                <w:lang w:val="fr-BE"/>
              </w:rPr>
            </w:pPr>
            <w:r w:rsidRPr="00BA47B4">
              <w:rPr>
                <w:noProof/>
                <w:sz w:val="12"/>
                <w:szCs w:val="12"/>
                <w:lang w:val="fr-BE"/>
              </w:rPr>
              <w:t>151,00</w:t>
            </w:r>
          </w:p>
        </w:tc>
        <w:tc>
          <w:tcPr>
            <w:tcW w:w="0" w:type="auto"/>
          </w:tcPr>
          <w:p w14:paraId="77FAA62A"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65C588E6"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6621D245"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3A8C7E6D"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3ADB01E0"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7EE3C5E3"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032B9BAA"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3AFF8886"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r>
      <w:tr w:rsidR="006B2EC1" w14:paraId="23181509" w14:textId="77777777" w:rsidTr="0047688D">
        <w:tc>
          <w:tcPr>
            <w:tcW w:w="0" w:type="auto"/>
            <w:shd w:val="clear" w:color="auto" w:fill="auto"/>
          </w:tcPr>
          <w:p w14:paraId="4905510E" w14:textId="77777777" w:rsidR="008C5CFA" w:rsidRPr="00BA47B4" w:rsidRDefault="00E82A60" w:rsidP="00300A01">
            <w:pPr>
              <w:spacing w:before="0" w:after="0"/>
              <w:rPr>
                <w:sz w:val="12"/>
                <w:szCs w:val="12"/>
                <w:lang w:val="fr-BE"/>
              </w:rPr>
            </w:pPr>
            <w:r w:rsidRPr="00BA47B4">
              <w:rPr>
                <w:noProof/>
                <w:sz w:val="12"/>
                <w:szCs w:val="12"/>
                <w:lang w:val="fr-BE"/>
              </w:rPr>
              <w:t>CR07</w:t>
            </w:r>
          </w:p>
        </w:tc>
        <w:tc>
          <w:tcPr>
            <w:tcW w:w="0" w:type="auto"/>
            <w:shd w:val="clear" w:color="auto" w:fill="auto"/>
          </w:tcPr>
          <w:p w14:paraId="6C036252" w14:textId="77777777" w:rsidR="008C5CFA" w:rsidRPr="00BA47B4" w:rsidRDefault="00E82A60" w:rsidP="00300A01">
            <w:pPr>
              <w:spacing w:before="0" w:after="0"/>
              <w:rPr>
                <w:sz w:val="12"/>
                <w:szCs w:val="12"/>
                <w:lang w:val="fr-BE"/>
              </w:rPr>
            </w:pPr>
            <w:r w:rsidRPr="00BA47B4">
              <w:rPr>
                <w:noProof/>
                <w:sz w:val="12"/>
                <w:szCs w:val="12"/>
                <w:lang w:val="fr-BE"/>
              </w:rPr>
              <w:t>uczestnicy znajdujący się w lepszej sytuacji na rynku pracy sześć miesięcy po opuszczeniu programu</w:t>
            </w:r>
          </w:p>
        </w:tc>
        <w:tc>
          <w:tcPr>
            <w:tcW w:w="0" w:type="auto"/>
            <w:shd w:val="clear" w:color="auto" w:fill="auto"/>
          </w:tcPr>
          <w:p w14:paraId="58DFD4A1" w14:textId="77777777" w:rsidR="008C5CFA" w:rsidRPr="00BA47B4" w:rsidRDefault="00E82A60" w:rsidP="00300A01">
            <w:pPr>
              <w:spacing w:before="0" w:after="0"/>
              <w:rPr>
                <w:sz w:val="12"/>
                <w:szCs w:val="12"/>
                <w:lang w:val="fr-BE"/>
              </w:rPr>
            </w:pPr>
            <w:r w:rsidRPr="00BA47B4">
              <w:rPr>
                <w:noProof/>
                <w:sz w:val="12"/>
                <w:szCs w:val="12"/>
                <w:lang w:val="fr-BE"/>
              </w:rPr>
              <w:t>Słabiej rozwinięte</w:t>
            </w:r>
          </w:p>
        </w:tc>
        <w:tc>
          <w:tcPr>
            <w:tcW w:w="0" w:type="auto"/>
          </w:tcPr>
          <w:p w14:paraId="1DED139C" w14:textId="77777777" w:rsidR="008C5CFA" w:rsidRPr="00BA47B4" w:rsidRDefault="00E82A60" w:rsidP="00300A01">
            <w:pPr>
              <w:spacing w:before="0" w:after="0"/>
              <w:jc w:val="right"/>
              <w:rPr>
                <w:sz w:val="12"/>
                <w:szCs w:val="12"/>
                <w:lang w:val="fr-BE"/>
              </w:rPr>
            </w:pPr>
            <w:r w:rsidRPr="00BA47B4">
              <w:rPr>
                <w:noProof/>
                <w:sz w:val="12"/>
                <w:szCs w:val="12"/>
                <w:lang w:val="fr-BE"/>
              </w:rPr>
              <w:t>25,00</w:t>
            </w:r>
          </w:p>
        </w:tc>
        <w:tc>
          <w:tcPr>
            <w:tcW w:w="0" w:type="auto"/>
          </w:tcPr>
          <w:p w14:paraId="2B160976" w14:textId="77777777" w:rsidR="008C5CFA" w:rsidRPr="00BA47B4" w:rsidRDefault="00E82A60" w:rsidP="00300A01">
            <w:pPr>
              <w:spacing w:before="0" w:after="0"/>
              <w:jc w:val="right"/>
              <w:rPr>
                <w:sz w:val="12"/>
                <w:szCs w:val="12"/>
                <w:lang w:val="fr-BE"/>
              </w:rPr>
            </w:pPr>
            <w:r w:rsidRPr="00BA47B4">
              <w:rPr>
                <w:noProof/>
                <w:sz w:val="12"/>
                <w:szCs w:val="12"/>
                <w:lang w:val="fr-BE"/>
              </w:rPr>
              <w:t>71,00</w:t>
            </w:r>
          </w:p>
        </w:tc>
        <w:tc>
          <w:tcPr>
            <w:tcW w:w="0" w:type="auto"/>
          </w:tcPr>
          <w:p w14:paraId="0775B9C7"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4A64CCD3"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1812AA13"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1F135234"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43454A51"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5440CC75"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54F085D6"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2A4B3AB6"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r>
      <w:tr w:rsidR="006B2EC1" w14:paraId="42C19D40" w14:textId="77777777" w:rsidTr="0047688D">
        <w:tc>
          <w:tcPr>
            <w:tcW w:w="0" w:type="auto"/>
            <w:shd w:val="clear" w:color="auto" w:fill="auto"/>
          </w:tcPr>
          <w:p w14:paraId="6DEBC798" w14:textId="77777777" w:rsidR="008C5CFA" w:rsidRPr="00BA47B4" w:rsidRDefault="00E82A60" w:rsidP="00300A01">
            <w:pPr>
              <w:spacing w:before="0" w:after="0"/>
              <w:rPr>
                <w:sz w:val="12"/>
                <w:szCs w:val="12"/>
                <w:lang w:val="fr-BE"/>
              </w:rPr>
            </w:pPr>
            <w:r w:rsidRPr="00BA47B4">
              <w:rPr>
                <w:noProof/>
                <w:sz w:val="12"/>
                <w:szCs w:val="12"/>
                <w:lang w:val="fr-BE"/>
              </w:rPr>
              <w:t>CR08</w:t>
            </w:r>
          </w:p>
        </w:tc>
        <w:tc>
          <w:tcPr>
            <w:tcW w:w="0" w:type="auto"/>
            <w:shd w:val="clear" w:color="auto" w:fill="auto"/>
          </w:tcPr>
          <w:p w14:paraId="0954FD72" w14:textId="77777777" w:rsidR="008C5CFA" w:rsidRPr="00BA47B4" w:rsidRDefault="00E82A60" w:rsidP="00300A01">
            <w:pPr>
              <w:spacing w:before="0" w:after="0"/>
              <w:rPr>
                <w:sz w:val="12"/>
                <w:szCs w:val="12"/>
                <w:lang w:val="fr-BE"/>
              </w:rPr>
            </w:pPr>
            <w:r w:rsidRPr="00BA47B4">
              <w:rPr>
                <w:noProof/>
                <w:sz w:val="12"/>
                <w:szCs w:val="12"/>
                <w:lang w:val="fr-BE"/>
              </w:rPr>
              <w:t>uczestnicy powyżej 54 roku życia, pracujący, łącznie z prowadzącymi działalność na własny rachunek, sześć miesięcy po opuszczeniu programu</w:t>
            </w:r>
          </w:p>
        </w:tc>
        <w:tc>
          <w:tcPr>
            <w:tcW w:w="0" w:type="auto"/>
            <w:shd w:val="clear" w:color="auto" w:fill="auto"/>
          </w:tcPr>
          <w:p w14:paraId="1C8BAF32" w14:textId="77777777" w:rsidR="008C5CFA" w:rsidRPr="00BA47B4" w:rsidRDefault="00E82A60" w:rsidP="00300A01">
            <w:pPr>
              <w:spacing w:before="0" w:after="0"/>
              <w:rPr>
                <w:sz w:val="12"/>
                <w:szCs w:val="12"/>
                <w:lang w:val="fr-BE"/>
              </w:rPr>
            </w:pPr>
            <w:r w:rsidRPr="00BA47B4">
              <w:rPr>
                <w:noProof/>
                <w:sz w:val="12"/>
                <w:szCs w:val="12"/>
                <w:lang w:val="fr-BE"/>
              </w:rPr>
              <w:t>Słabiej rozwinięte</w:t>
            </w:r>
          </w:p>
        </w:tc>
        <w:tc>
          <w:tcPr>
            <w:tcW w:w="0" w:type="auto"/>
          </w:tcPr>
          <w:p w14:paraId="35CCCE28" w14:textId="77777777" w:rsidR="008C5CFA" w:rsidRPr="00BA47B4" w:rsidRDefault="00E82A60" w:rsidP="00300A01">
            <w:pPr>
              <w:spacing w:before="0" w:after="0"/>
              <w:jc w:val="right"/>
              <w:rPr>
                <w:sz w:val="12"/>
                <w:szCs w:val="12"/>
                <w:lang w:val="fr-BE"/>
              </w:rPr>
            </w:pPr>
            <w:r w:rsidRPr="00BA47B4">
              <w:rPr>
                <w:noProof/>
                <w:sz w:val="12"/>
                <w:szCs w:val="12"/>
                <w:lang w:val="fr-BE"/>
              </w:rPr>
              <w:t>2,00</w:t>
            </w:r>
          </w:p>
        </w:tc>
        <w:tc>
          <w:tcPr>
            <w:tcW w:w="0" w:type="auto"/>
          </w:tcPr>
          <w:p w14:paraId="0D0DA8D4" w14:textId="77777777" w:rsidR="008C5CFA" w:rsidRPr="00BA47B4" w:rsidRDefault="00E82A60" w:rsidP="00300A01">
            <w:pPr>
              <w:spacing w:before="0" w:after="0"/>
              <w:jc w:val="right"/>
              <w:rPr>
                <w:sz w:val="12"/>
                <w:szCs w:val="12"/>
                <w:lang w:val="fr-BE"/>
              </w:rPr>
            </w:pPr>
            <w:r w:rsidRPr="00BA47B4">
              <w:rPr>
                <w:noProof/>
                <w:sz w:val="12"/>
                <w:szCs w:val="12"/>
                <w:lang w:val="fr-BE"/>
              </w:rPr>
              <w:t>1,00</w:t>
            </w:r>
          </w:p>
        </w:tc>
        <w:tc>
          <w:tcPr>
            <w:tcW w:w="0" w:type="auto"/>
          </w:tcPr>
          <w:p w14:paraId="60128DC1"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42D4FC8E"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7FE9AC73"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4289A1F3"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3516CFF4"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473493F7"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471D39C8"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473E7955"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r>
      <w:tr w:rsidR="006B2EC1" w14:paraId="2CDAD71C" w14:textId="77777777" w:rsidTr="0047688D">
        <w:tc>
          <w:tcPr>
            <w:tcW w:w="0" w:type="auto"/>
            <w:shd w:val="clear" w:color="auto" w:fill="auto"/>
          </w:tcPr>
          <w:p w14:paraId="18BA8542" w14:textId="77777777" w:rsidR="008C5CFA" w:rsidRPr="00BA47B4" w:rsidRDefault="00E82A60" w:rsidP="00300A01">
            <w:pPr>
              <w:spacing w:before="0" w:after="0"/>
              <w:rPr>
                <w:sz w:val="12"/>
                <w:szCs w:val="12"/>
                <w:lang w:val="fr-BE"/>
              </w:rPr>
            </w:pPr>
            <w:r w:rsidRPr="00BA47B4">
              <w:rPr>
                <w:noProof/>
                <w:sz w:val="12"/>
                <w:szCs w:val="12"/>
                <w:lang w:val="fr-BE"/>
              </w:rPr>
              <w:t>CR09</w:t>
            </w:r>
          </w:p>
        </w:tc>
        <w:tc>
          <w:tcPr>
            <w:tcW w:w="0" w:type="auto"/>
            <w:shd w:val="clear" w:color="auto" w:fill="auto"/>
          </w:tcPr>
          <w:p w14:paraId="4696E2C2" w14:textId="77777777" w:rsidR="008C5CFA" w:rsidRPr="00BA47B4" w:rsidRDefault="00E82A60" w:rsidP="00300A01">
            <w:pPr>
              <w:spacing w:before="0" w:after="0"/>
              <w:rPr>
                <w:sz w:val="12"/>
                <w:szCs w:val="12"/>
                <w:lang w:val="fr-BE"/>
              </w:rPr>
            </w:pPr>
            <w:r w:rsidRPr="00BA47B4">
              <w:rPr>
                <w:noProof/>
                <w:sz w:val="12"/>
                <w:szCs w:val="12"/>
                <w:lang w:val="fr-BE"/>
              </w:rPr>
              <w:t>uczestnicy w niekorzystnej sytuacji społecznej, pracujący, łącznie z prowadzącymi działalność na własny rachunek, sześć miesięcy po opuszczeniu programu</w:t>
            </w:r>
          </w:p>
        </w:tc>
        <w:tc>
          <w:tcPr>
            <w:tcW w:w="0" w:type="auto"/>
            <w:shd w:val="clear" w:color="auto" w:fill="auto"/>
          </w:tcPr>
          <w:p w14:paraId="258605A5" w14:textId="77777777" w:rsidR="008C5CFA" w:rsidRPr="00BA47B4" w:rsidRDefault="00E82A60" w:rsidP="00300A01">
            <w:pPr>
              <w:spacing w:before="0" w:after="0"/>
              <w:rPr>
                <w:sz w:val="12"/>
                <w:szCs w:val="12"/>
                <w:lang w:val="fr-BE"/>
              </w:rPr>
            </w:pPr>
            <w:r w:rsidRPr="00BA47B4">
              <w:rPr>
                <w:noProof/>
                <w:sz w:val="12"/>
                <w:szCs w:val="12"/>
                <w:lang w:val="fr-BE"/>
              </w:rPr>
              <w:t>Słabiej rozwinięte</w:t>
            </w:r>
          </w:p>
        </w:tc>
        <w:tc>
          <w:tcPr>
            <w:tcW w:w="0" w:type="auto"/>
          </w:tcPr>
          <w:p w14:paraId="21934444" w14:textId="77777777" w:rsidR="008C5CFA" w:rsidRPr="00BA47B4" w:rsidRDefault="00E82A60" w:rsidP="00300A01">
            <w:pPr>
              <w:spacing w:before="0" w:after="0"/>
              <w:jc w:val="right"/>
              <w:rPr>
                <w:sz w:val="12"/>
                <w:szCs w:val="12"/>
                <w:lang w:val="fr-BE"/>
              </w:rPr>
            </w:pPr>
            <w:r w:rsidRPr="00BA47B4">
              <w:rPr>
                <w:noProof/>
                <w:sz w:val="12"/>
                <w:szCs w:val="12"/>
                <w:lang w:val="fr-BE"/>
              </w:rPr>
              <w:t>15,00</w:t>
            </w:r>
          </w:p>
        </w:tc>
        <w:tc>
          <w:tcPr>
            <w:tcW w:w="0" w:type="auto"/>
          </w:tcPr>
          <w:p w14:paraId="29AE9675" w14:textId="77777777" w:rsidR="008C5CFA" w:rsidRPr="00BA47B4" w:rsidRDefault="00E82A60" w:rsidP="00300A01">
            <w:pPr>
              <w:spacing w:before="0" w:after="0"/>
              <w:jc w:val="right"/>
              <w:rPr>
                <w:sz w:val="12"/>
                <w:szCs w:val="12"/>
                <w:lang w:val="fr-BE"/>
              </w:rPr>
            </w:pPr>
            <w:r w:rsidRPr="00BA47B4">
              <w:rPr>
                <w:noProof/>
                <w:sz w:val="12"/>
                <w:szCs w:val="12"/>
                <w:lang w:val="fr-BE"/>
              </w:rPr>
              <w:t>7,00</w:t>
            </w:r>
          </w:p>
        </w:tc>
        <w:tc>
          <w:tcPr>
            <w:tcW w:w="0" w:type="auto"/>
          </w:tcPr>
          <w:p w14:paraId="29CED15C"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7E427B81"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5788EFD5"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3B65B4D7"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47D77C9D"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tcPr>
          <w:p w14:paraId="30D46B14"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601CA226"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45857B5F"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r>
    </w:tbl>
    <w:p w14:paraId="627B20B7" w14:textId="77777777" w:rsidR="008C5CFA" w:rsidRPr="00530285" w:rsidRDefault="008C5CFA" w:rsidP="00300A01">
      <w:pPr>
        <w:keepNext/>
        <w:spacing w:before="0" w:after="0"/>
        <w:rPr>
          <w:sz w:val="20"/>
          <w:szCs w:val="20"/>
        </w:rPr>
      </w:pPr>
    </w:p>
    <w:p w14:paraId="28A2FAA0" w14:textId="77777777" w:rsidR="008C5CFA" w:rsidRDefault="00E82A60" w:rsidP="00300A01">
      <w:pPr>
        <w:spacing w:before="0" w:after="0"/>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5"/>
        <w:gridCol w:w="13239"/>
      </w:tblGrid>
      <w:tr w:rsidR="006B2EC1" w14:paraId="10AAB228" w14:textId="77777777" w:rsidTr="0047688D">
        <w:tc>
          <w:tcPr>
            <w:tcW w:w="0" w:type="auto"/>
            <w:shd w:val="clear" w:color="auto" w:fill="auto"/>
          </w:tcPr>
          <w:p w14:paraId="0F75A66B" w14:textId="77777777" w:rsidR="008C5CFA" w:rsidRPr="002124FC" w:rsidRDefault="00E82A60" w:rsidP="00300A01">
            <w:pPr>
              <w:spacing w:before="0" w:after="0"/>
              <w:rPr>
                <w:sz w:val="20"/>
                <w:szCs w:val="20"/>
                <w:lang w:val="fr-BE"/>
              </w:rPr>
            </w:pPr>
            <w:r>
              <w:rPr>
                <w:lang w:val="fr-BE"/>
              </w:rPr>
              <w:lastRenderedPageBreak/>
              <w:br w:type="page"/>
            </w:r>
            <w:r>
              <w:rPr>
                <w:lang w:val="fr-BE"/>
              </w:rPr>
              <w:br w:type="page"/>
            </w:r>
            <w:r w:rsidRPr="002124FC">
              <w:rPr>
                <w:noProof/>
                <w:sz w:val="20"/>
                <w:szCs w:val="20"/>
                <w:lang w:val="fr-BE"/>
              </w:rPr>
              <w:t>Oś priorytetowa</w:t>
            </w:r>
          </w:p>
        </w:tc>
        <w:tc>
          <w:tcPr>
            <w:tcW w:w="0" w:type="auto"/>
            <w:shd w:val="clear" w:color="auto" w:fill="auto"/>
          </w:tcPr>
          <w:p w14:paraId="2F7E05A1" w14:textId="77777777" w:rsidR="008C5CFA" w:rsidRPr="002124FC" w:rsidRDefault="00E82A60" w:rsidP="00300A01">
            <w:pPr>
              <w:spacing w:before="0" w:after="0"/>
              <w:rPr>
                <w:sz w:val="20"/>
                <w:szCs w:val="20"/>
                <w:lang w:val="fr-BE"/>
              </w:rPr>
            </w:pPr>
            <w:r w:rsidRPr="002124FC">
              <w:rPr>
                <w:noProof/>
                <w:sz w:val="20"/>
                <w:szCs w:val="20"/>
                <w:lang w:val="fr-BE"/>
              </w:rPr>
              <w:t>9</w:t>
            </w:r>
            <w:r w:rsidRPr="002124FC">
              <w:rPr>
                <w:sz w:val="20"/>
                <w:szCs w:val="20"/>
                <w:lang w:val="fr-BE"/>
              </w:rPr>
              <w:t xml:space="preserve"> - </w:t>
            </w:r>
            <w:r w:rsidRPr="002124FC">
              <w:rPr>
                <w:noProof/>
                <w:sz w:val="20"/>
                <w:szCs w:val="20"/>
                <w:lang w:val="fr-BE"/>
              </w:rPr>
              <w:t>Włączenie społeczne i walka z ubóstwem</w:t>
            </w:r>
          </w:p>
        </w:tc>
      </w:tr>
      <w:tr w:rsidR="006B2EC1" w14:paraId="4A6F9030" w14:textId="77777777" w:rsidTr="0047688D">
        <w:tc>
          <w:tcPr>
            <w:tcW w:w="0" w:type="auto"/>
            <w:shd w:val="clear" w:color="auto" w:fill="auto"/>
          </w:tcPr>
          <w:p w14:paraId="7F8152A3" w14:textId="77777777" w:rsidR="008C5CFA" w:rsidRPr="002124FC" w:rsidRDefault="00E82A60"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14:paraId="1F4C3A91" w14:textId="77777777" w:rsidR="008C5CFA" w:rsidRPr="002124FC" w:rsidRDefault="00E82A60" w:rsidP="00300A01">
            <w:pPr>
              <w:spacing w:before="0" w:after="0"/>
              <w:rPr>
                <w:sz w:val="20"/>
                <w:szCs w:val="20"/>
                <w:lang w:val="fr-BE"/>
              </w:rPr>
            </w:pPr>
            <w:r w:rsidRPr="002124FC">
              <w:rPr>
                <w:noProof/>
                <w:sz w:val="20"/>
                <w:szCs w:val="20"/>
                <w:lang w:val="fr-BE"/>
              </w:rPr>
              <w:t>9v</w:t>
            </w:r>
            <w:r w:rsidRPr="002124FC">
              <w:rPr>
                <w:sz w:val="20"/>
                <w:szCs w:val="20"/>
                <w:lang w:val="fr-BE"/>
              </w:rPr>
              <w:t xml:space="preserve"> - </w:t>
            </w:r>
            <w:r w:rsidRPr="002124FC">
              <w:rPr>
                <w:noProof/>
                <w:sz w:val="20"/>
                <w:szCs w:val="20"/>
                <w:lang w:val="fr-BE"/>
              </w:rPr>
              <w:t>Wspieranie przedsiębiorczości społecznej i integracji zawodowej w przedsiębiorstwach społecznych oraz ekonomii społecznej i solidarnej w celu ułatwiania dostępu do zatrudnienia</w:t>
            </w:r>
          </w:p>
        </w:tc>
      </w:tr>
    </w:tbl>
    <w:p w14:paraId="34FB4E2A" w14:textId="77777777" w:rsidR="008C5CFA" w:rsidRPr="00920B4D" w:rsidRDefault="008C5CFA" w:rsidP="00300A01">
      <w:pPr>
        <w:spacing w:before="0" w:after="0"/>
        <w:rPr>
          <w:lang w:val="fr-BE"/>
        </w:rPr>
      </w:pPr>
    </w:p>
    <w:p w14:paraId="27F27B19" w14:textId="77777777" w:rsidR="008C5CFA" w:rsidRPr="008E457C" w:rsidRDefault="00E82A60" w:rsidP="005272C2">
      <w:pPr>
        <w:pStyle w:val="Nagwek2"/>
        <w:spacing w:before="0" w:after="0"/>
        <w:rPr>
          <w:lang w:val="fr-BE"/>
        </w:rPr>
      </w:pPr>
      <w:bookmarkStart w:id="76" w:name="_Toc46391760"/>
      <w:r w:rsidRPr="008E457C">
        <w:rPr>
          <w:noProof/>
          <w:lang w:val="fr-BE"/>
        </w:rPr>
        <w:t>Tabela 2C</w:t>
      </w:r>
      <w:r w:rsidRPr="008E457C">
        <w:rPr>
          <w:lang w:val="fr-BE"/>
        </w:rPr>
        <w:t xml:space="preserve"> : </w:t>
      </w:r>
      <w:r w:rsidRPr="008E457C">
        <w:rPr>
          <w:noProof/>
          <w:lang w:val="fr-BE"/>
        </w:rPr>
        <w:t>Specyficzne dla programu wskaźniki rezultatu dla EFS oraz Inicjatywy na rzecz zatrudnienia ludzi młodych</w:t>
      </w:r>
      <w:bookmarkEnd w:id="76"/>
    </w:p>
    <w:p w14:paraId="1C693FC2"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64"/>
        <w:gridCol w:w="3520"/>
        <w:gridCol w:w="718"/>
        <w:gridCol w:w="988"/>
        <w:gridCol w:w="1715"/>
        <w:gridCol w:w="1521"/>
        <w:gridCol w:w="448"/>
        <w:gridCol w:w="564"/>
        <w:gridCol w:w="453"/>
        <w:gridCol w:w="448"/>
        <w:gridCol w:w="564"/>
        <w:gridCol w:w="453"/>
        <w:gridCol w:w="448"/>
        <w:gridCol w:w="564"/>
        <w:gridCol w:w="453"/>
        <w:gridCol w:w="448"/>
        <w:gridCol w:w="564"/>
        <w:gridCol w:w="453"/>
        <w:gridCol w:w="598"/>
      </w:tblGrid>
      <w:tr w:rsidR="006B2EC1" w14:paraId="37BC68B4" w14:textId="77777777" w:rsidTr="0047688D">
        <w:trPr>
          <w:tblHeader/>
        </w:trPr>
        <w:tc>
          <w:tcPr>
            <w:tcW w:w="0" w:type="auto"/>
            <w:shd w:val="clear" w:color="auto" w:fill="auto"/>
          </w:tcPr>
          <w:p w14:paraId="0CBFA882" w14:textId="77777777" w:rsidR="008C5CFA" w:rsidRPr="00601E29" w:rsidRDefault="00E82A60" w:rsidP="00300A01">
            <w:pPr>
              <w:spacing w:before="0" w:after="0"/>
              <w:rPr>
                <w:b/>
                <w:sz w:val="10"/>
                <w:szCs w:val="10"/>
                <w:lang w:val="fr-BE"/>
              </w:rPr>
            </w:pPr>
            <w:r w:rsidRPr="00601E29">
              <w:rPr>
                <w:b/>
                <w:noProof/>
                <w:sz w:val="10"/>
                <w:szCs w:val="10"/>
                <w:lang w:val="fr-BE"/>
              </w:rPr>
              <w:t>ID</w:t>
            </w:r>
          </w:p>
        </w:tc>
        <w:tc>
          <w:tcPr>
            <w:tcW w:w="0" w:type="auto"/>
            <w:shd w:val="clear" w:color="auto" w:fill="auto"/>
          </w:tcPr>
          <w:p w14:paraId="2FB02B17" w14:textId="77777777" w:rsidR="008C5CFA" w:rsidRPr="00601E29" w:rsidRDefault="00E82A60" w:rsidP="00300A01">
            <w:pPr>
              <w:spacing w:before="0" w:after="0"/>
              <w:rPr>
                <w:b/>
                <w:sz w:val="10"/>
                <w:szCs w:val="10"/>
                <w:lang w:val="fr-BE"/>
              </w:rPr>
            </w:pPr>
            <w:r w:rsidRPr="00601E29">
              <w:rPr>
                <w:b/>
                <w:noProof/>
                <w:sz w:val="10"/>
                <w:szCs w:val="10"/>
                <w:lang w:val="fr-BE"/>
              </w:rPr>
              <w:t>Wskaźnik</w:t>
            </w:r>
          </w:p>
        </w:tc>
        <w:tc>
          <w:tcPr>
            <w:tcW w:w="0" w:type="auto"/>
            <w:shd w:val="clear" w:color="auto" w:fill="auto"/>
          </w:tcPr>
          <w:p w14:paraId="1471DD1C" w14:textId="77777777" w:rsidR="008C5CFA" w:rsidRPr="00601E29" w:rsidRDefault="00E82A60" w:rsidP="00300A01">
            <w:pPr>
              <w:spacing w:before="0" w:after="0"/>
              <w:rPr>
                <w:b/>
                <w:sz w:val="10"/>
                <w:szCs w:val="10"/>
                <w:lang w:val="fr-BE"/>
              </w:rPr>
            </w:pPr>
            <w:r w:rsidRPr="00601E29">
              <w:rPr>
                <w:b/>
                <w:noProof/>
                <w:sz w:val="10"/>
                <w:szCs w:val="10"/>
                <w:lang w:val="fr-BE"/>
              </w:rPr>
              <w:t>Kategoria regionu</w:t>
            </w:r>
          </w:p>
        </w:tc>
        <w:tc>
          <w:tcPr>
            <w:tcW w:w="0" w:type="auto"/>
            <w:shd w:val="clear" w:color="auto" w:fill="auto"/>
          </w:tcPr>
          <w:p w14:paraId="6F3C4726" w14:textId="77777777" w:rsidR="008C5CFA" w:rsidRPr="00601E29" w:rsidRDefault="00E82A60" w:rsidP="00300A01">
            <w:pPr>
              <w:spacing w:before="0" w:after="0"/>
              <w:rPr>
                <w:b/>
                <w:sz w:val="10"/>
                <w:szCs w:val="10"/>
                <w:lang w:val="fr-BE"/>
              </w:rPr>
            </w:pPr>
            <w:r w:rsidRPr="00785F4A">
              <w:rPr>
                <w:b/>
                <w:noProof/>
                <w:sz w:val="10"/>
                <w:szCs w:val="10"/>
                <w:lang w:val="fr-BE"/>
              </w:rPr>
              <w:t>Jednostka pomiaru wskaźnika</w:t>
            </w:r>
          </w:p>
        </w:tc>
        <w:tc>
          <w:tcPr>
            <w:tcW w:w="0" w:type="auto"/>
            <w:shd w:val="clear" w:color="auto" w:fill="auto"/>
          </w:tcPr>
          <w:p w14:paraId="76825DAF" w14:textId="77777777" w:rsidR="008C5CFA" w:rsidRPr="00601E29" w:rsidRDefault="00E82A60" w:rsidP="00300A01">
            <w:pPr>
              <w:spacing w:before="0" w:after="0"/>
              <w:rPr>
                <w:b/>
                <w:sz w:val="10"/>
                <w:szCs w:val="10"/>
                <w:lang w:val="fr-BE"/>
              </w:rPr>
            </w:pPr>
            <w:r w:rsidRPr="00601E29">
              <w:rPr>
                <w:b/>
                <w:noProof/>
                <w:sz w:val="10"/>
                <w:szCs w:val="10"/>
                <w:lang w:val="fr-BE"/>
              </w:rPr>
              <w:t>Wskaźnik produktu stosowany jako podstawa do ustalania celów</w:t>
            </w:r>
          </w:p>
        </w:tc>
        <w:tc>
          <w:tcPr>
            <w:tcW w:w="0" w:type="auto"/>
            <w:shd w:val="clear" w:color="auto" w:fill="auto"/>
          </w:tcPr>
          <w:p w14:paraId="0250FD89" w14:textId="77777777" w:rsidR="008C5CFA" w:rsidRPr="00601E29" w:rsidRDefault="00E82A60" w:rsidP="00300A01">
            <w:pPr>
              <w:spacing w:before="0" w:after="0"/>
              <w:rPr>
                <w:b/>
                <w:sz w:val="10"/>
                <w:szCs w:val="10"/>
                <w:lang w:val="fr-BE"/>
              </w:rPr>
            </w:pPr>
            <w:r w:rsidRPr="00601E29">
              <w:rPr>
                <w:b/>
                <w:noProof/>
                <w:sz w:val="10"/>
                <w:szCs w:val="10"/>
                <w:lang w:val="fr-BE"/>
              </w:rPr>
              <w:t>Jednostka pomiaru dla wartości bazowej i docelowej</w:t>
            </w:r>
          </w:p>
        </w:tc>
        <w:tc>
          <w:tcPr>
            <w:tcW w:w="0" w:type="auto"/>
            <w:gridSpan w:val="3"/>
            <w:shd w:val="clear" w:color="auto" w:fill="auto"/>
          </w:tcPr>
          <w:p w14:paraId="781B2717" w14:textId="77777777" w:rsidR="008C5CFA" w:rsidRPr="00601E29" w:rsidRDefault="00E82A60" w:rsidP="00300A01">
            <w:pPr>
              <w:spacing w:before="0" w:after="0"/>
              <w:jc w:val="center"/>
              <w:rPr>
                <w:b/>
                <w:sz w:val="10"/>
                <w:szCs w:val="10"/>
                <w:lang w:val="fr-BE"/>
              </w:rPr>
            </w:pPr>
            <w:r w:rsidRPr="00601E29">
              <w:rPr>
                <w:b/>
                <w:noProof/>
                <w:sz w:val="10"/>
                <w:szCs w:val="10"/>
                <w:lang w:val="fr-BE"/>
              </w:rPr>
              <w:t>Wartość docelowa (2023)</w:t>
            </w:r>
          </w:p>
        </w:tc>
        <w:tc>
          <w:tcPr>
            <w:tcW w:w="0" w:type="auto"/>
            <w:gridSpan w:val="3"/>
            <w:shd w:val="clear" w:color="auto" w:fill="auto"/>
          </w:tcPr>
          <w:p w14:paraId="44B791A6" w14:textId="77777777" w:rsidR="008C5CFA" w:rsidRPr="00601E29" w:rsidRDefault="00E82A60" w:rsidP="00300A01">
            <w:pPr>
              <w:spacing w:before="0" w:after="0"/>
              <w:jc w:val="center"/>
              <w:rPr>
                <w:b/>
                <w:sz w:val="10"/>
                <w:szCs w:val="10"/>
                <w:lang w:val="fr-BE"/>
              </w:rPr>
            </w:pPr>
            <w:r w:rsidRPr="00601E29">
              <w:rPr>
                <w:b/>
                <w:noProof/>
                <w:sz w:val="10"/>
                <w:szCs w:val="10"/>
                <w:lang w:val="fr-BE"/>
              </w:rPr>
              <w:t>Wskaźnik osiągnięć</w:t>
            </w:r>
          </w:p>
        </w:tc>
        <w:tc>
          <w:tcPr>
            <w:tcW w:w="0" w:type="auto"/>
            <w:gridSpan w:val="7"/>
            <w:shd w:val="clear" w:color="auto" w:fill="auto"/>
          </w:tcPr>
          <w:p w14:paraId="515B5443" w14:textId="77777777" w:rsidR="008C5CFA" w:rsidRPr="00601E29" w:rsidRDefault="00E82A60" w:rsidP="00300A01">
            <w:pPr>
              <w:spacing w:before="0" w:after="0"/>
              <w:jc w:val="center"/>
              <w:rPr>
                <w:b/>
                <w:sz w:val="10"/>
                <w:szCs w:val="10"/>
                <w:lang w:val="fr-BE"/>
              </w:rPr>
            </w:pPr>
            <w:r>
              <w:rPr>
                <w:b/>
                <w:sz w:val="10"/>
                <w:szCs w:val="10"/>
                <w:lang w:val="fr-BE"/>
              </w:rPr>
              <w:t>2019</w:t>
            </w:r>
          </w:p>
        </w:tc>
      </w:tr>
      <w:tr w:rsidR="006B2EC1" w14:paraId="49889E37" w14:textId="77777777" w:rsidTr="0047688D">
        <w:trPr>
          <w:tblHeader/>
        </w:trPr>
        <w:tc>
          <w:tcPr>
            <w:tcW w:w="0" w:type="auto"/>
            <w:shd w:val="clear" w:color="auto" w:fill="auto"/>
          </w:tcPr>
          <w:p w14:paraId="52099D7A" w14:textId="77777777" w:rsidR="008C5CFA" w:rsidRPr="00601E29" w:rsidRDefault="008C5CFA" w:rsidP="00300A01">
            <w:pPr>
              <w:spacing w:before="0" w:after="0"/>
              <w:rPr>
                <w:b/>
                <w:sz w:val="10"/>
                <w:szCs w:val="10"/>
                <w:lang w:val="fr-BE"/>
              </w:rPr>
            </w:pPr>
          </w:p>
        </w:tc>
        <w:tc>
          <w:tcPr>
            <w:tcW w:w="0" w:type="auto"/>
            <w:shd w:val="clear" w:color="auto" w:fill="auto"/>
          </w:tcPr>
          <w:p w14:paraId="55EB343A" w14:textId="77777777" w:rsidR="008C5CFA" w:rsidRPr="00601E29" w:rsidRDefault="008C5CFA" w:rsidP="00300A01">
            <w:pPr>
              <w:spacing w:before="0" w:after="0"/>
              <w:rPr>
                <w:b/>
                <w:sz w:val="10"/>
                <w:szCs w:val="10"/>
                <w:lang w:val="fr-BE"/>
              </w:rPr>
            </w:pPr>
          </w:p>
        </w:tc>
        <w:tc>
          <w:tcPr>
            <w:tcW w:w="0" w:type="auto"/>
            <w:shd w:val="clear" w:color="auto" w:fill="auto"/>
          </w:tcPr>
          <w:p w14:paraId="3B3F65EB" w14:textId="77777777" w:rsidR="008C5CFA" w:rsidRPr="00601E29" w:rsidRDefault="008C5CFA" w:rsidP="00300A01">
            <w:pPr>
              <w:spacing w:before="0" w:after="0"/>
              <w:rPr>
                <w:b/>
                <w:sz w:val="10"/>
                <w:szCs w:val="10"/>
                <w:lang w:val="fr-BE"/>
              </w:rPr>
            </w:pPr>
          </w:p>
        </w:tc>
        <w:tc>
          <w:tcPr>
            <w:tcW w:w="0" w:type="auto"/>
            <w:shd w:val="clear" w:color="auto" w:fill="auto"/>
          </w:tcPr>
          <w:p w14:paraId="0A35C1D7" w14:textId="77777777" w:rsidR="008C5CFA" w:rsidRPr="00601E29" w:rsidRDefault="008C5CFA" w:rsidP="00300A01">
            <w:pPr>
              <w:spacing w:before="0" w:after="0"/>
              <w:rPr>
                <w:b/>
                <w:sz w:val="10"/>
                <w:szCs w:val="10"/>
                <w:lang w:val="fr-BE"/>
              </w:rPr>
            </w:pPr>
          </w:p>
        </w:tc>
        <w:tc>
          <w:tcPr>
            <w:tcW w:w="0" w:type="auto"/>
            <w:shd w:val="clear" w:color="auto" w:fill="auto"/>
          </w:tcPr>
          <w:p w14:paraId="4B5A03EF" w14:textId="77777777" w:rsidR="008C5CFA" w:rsidRPr="00601E29" w:rsidRDefault="008C5CFA" w:rsidP="00300A01">
            <w:pPr>
              <w:spacing w:before="0" w:after="0"/>
              <w:rPr>
                <w:b/>
                <w:sz w:val="10"/>
                <w:szCs w:val="10"/>
                <w:lang w:val="fr-BE"/>
              </w:rPr>
            </w:pPr>
          </w:p>
        </w:tc>
        <w:tc>
          <w:tcPr>
            <w:tcW w:w="0" w:type="auto"/>
            <w:shd w:val="clear" w:color="auto" w:fill="auto"/>
          </w:tcPr>
          <w:p w14:paraId="5755D5D1" w14:textId="77777777" w:rsidR="008C5CFA" w:rsidRPr="00601E29" w:rsidRDefault="008C5CFA" w:rsidP="00300A01">
            <w:pPr>
              <w:spacing w:before="0" w:after="0"/>
              <w:rPr>
                <w:b/>
                <w:sz w:val="10"/>
                <w:szCs w:val="10"/>
                <w:lang w:val="fr-BE"/>
              </w:rPr>
            </w:pPr>
          </w:p>
        </w:tc>
        <w:tc>
          <w:tcPr>
            <w:tcW w:w="0" w:type="auto"/>
            <w:shd w:val="clear" w:color="auto" w:fill="auto"/>
          </w:tcPr>
          <w:p w14:paraId="12F8A5A5" w14:textId="77777777" w:rsidR="008C5CFA" w:rsidRPr="00601E29" w:rsidRDefault="008C5CFA" w:rsidP="00300A01">
            <w:pPr>
              <w:spacing w:before="0" w:after="0"/>
              <w:jc w:val="center"/>
              <w:rPr>
                <w:b/>
                <w:sz w:val="10"/>
                <w:szCs w:val="10"/>
                <w:lang w:val="fr-BE"/>
              </w:rPr>
            </w:pPr>
          </w:p>
        </w:tc>
        <w:tc>
          <w:tcPr>
            <w:tcW w:w="0" w:type="auto"/>
            <w:shd w:val="clear" w:color="auto" w:fill="auto"/>
          </w:tcPr>
          <w:p w14:paraId="67F761F0" w14:textId="77777777" w:rsidR="008C5CFA" w:rsidRPr="00601E29" w:rsidRDefault="008C5CFA" w:rsidP="00300A01">
            <w:pPr>
              <w:spacing w:before="0" w:after="0"/>
              <w:jc w:val="center"/>
              <w:rPr>
                <w:b/>
                <w:sz w:val="10"/>
                <w:szCs w:val="10"/>
                <w:lang w:val="fr-BE"/>
              </w:rPr>
            </w:pPr>
          </w:p>
        </w:tc>
        <w:tc>
          <w:tcPr>
            <w:tcW w:w="0" w:type="auto"/>
            <w:shd w:val="clear" w:color="auto" w:fill="auto"/>
          </w:tcPr>
          <w:p w14:paraId="18751A78" w14:textId="77777777" w:rsidR="008C5CFA" w:rsidRPr="00601E29" w:rsidRDefault="008C5CFA" w:rsidP="00300A01">
            <w:pPr>
              <w:spacing w:before="0" w:after="0"/>
              <w:jc w:val="center"/>
              <w:rPr>
                <w:b/>
                <w:sz w:val="10"/>
                <w:szCs w:val="10"/>
                <w:lang w:val="fr-BE"/>
              </w:rPr>
            </w:pPr>
          </w:p>
        </w:tc>
        <w:tc>
          <w:tcPr>
            <w:tcW w:w="0" w:type="auto"/>
            <w:shd w:val="clear" w:color="auto" w:fill="auto"/>
          </w:tcPr>
          <w:p w14:paraId="5F851EBF" w14:textId="77777777" w:rsidR="008C5CFA" w:rsidRPr="00601E29" w:rsidRDefault="008C5CFA" w:rsidP="00300A01">
            <w:pPr>
              <w:spacing w:before="0" w:after="0"/>
              <w:jc w:val="center"/>
              <w:rPr>
                <w:b/>
                <w:sz w:val="10"/>
                <w:szCs w:val="10"/>
                <w:lang w:val="fr-BE"/>
              </w:rPr>
            </w:pPr>
          </w:p>
        </w:tc>
        <w:tc>
          <w:tcPr>
            <w:tcW w:w="0" w:type="auto"/>
            <w:shd w:val="clear" w:color="auto" w:fill="auto"/>
          </w:tcPr>
          <w:p w14:paraId="10F96539" w14:textId="77777777" w:rsidR="008C5CFA" w:rsidRPr="00601E29" w:rsidRDefault="008C5CFA" w:rsidP="00300A01">
            <w:pPr>
              <w:spacing w:before="0" w:after="0"/>
              <w:jc w:val="center"/>
              <w:rPr>
                <w:b/>
                <w:sz w:val="10"/>
                <w:szCs w:val="10"/>
                <w:lang w:val="fr-BE"/>
              </w:rPr>
            </w:pPr>
          </w:p>
        </w:tc>
        <w:tc>
          <w:tcPr>
            <w:tcW w:w="0" w:type="auto"/>
            <w:shd w:val="clear" w:color="auto" w:fill="auto"/>
          </w:tcPr>
          <w:p w14:paraId="4AACFB65" w14:textId="77777777" w:rsidR="008C5CFA" w:rsidRPr="00601E29" w:rsidRDefault="008C5CFA" w:rsidP="00300A01">
            <w:pPr>
              <w:spacing w:before="0" w:after="0"/>
              <w:jc w:val="center"/>
              <w:rPr>
                <w:b/>
                <w:sz w:val="10"/>
                <w:szCs w:val="10"/>
                <w:lang w:val="fr-BE"/>
              </w:rPr>
            </w:pPr>
          </w:p>
        </w:tc>
        <w:tc>
          <w:tcPr>
            <w:tcW w:w="0" w:type="auto"/>
            <w:gridSpan w:val="3"/>
            <w:shd w:val="clear" w:color="auto" w:fill="auto"/>
          </w:tcPr>
          <w:p w14:paraId="69353AAA" w14:textId="77777777" w:rsidR="008C5CFA" w:rsidRPr="00601E29" w:rsidRDefault="00E82A60" w:rsidP="00300A01">
            <w:pPr>
              <w:spacing w:before="0" w:after="0"/>
              <w:jc w:val="center"/>
              <w:rPr>
                <w:b/>
                <w:sz w:val="10"/>
                <w:szCs w:val="10"/>
                <w:lang w:val="fr-BE"/>
              </w:rPr>
            </w:pPr>
            <w:r w:rsidRPr="00601E29">
              <w:rPr>
                <w:b/>
                <w:noProof/>
                <w:sz w:val="10"/>
                <w:szCs w:val="10"/>
                <w:lang w:val="fr-BE"/>
              </w:rPr>
              <w:t>Łącznie</w:t>
            </w:r>
          </w:p>
        </w:tc>
        <w:tc>
          <w:tcPr>
            <w:tcW w:w="0" w:type="auto"/>
            <w:gridSpan w:val="3"/>
          </w:tcPr>
          <w:p w14:paraId="3A1877F4" w14:textId="77777777" w:rsidR="008C5CFA" w:rsidRPr="00601E29" w:rsidRDefault="00E82A60" w:rsidP="00300A01">
            <w:pPr>
              <w:spacing w:before="0" w:after="0"/>
              <w:jc w:val="center"/>
              <w:rPr>
                <w:b/>
                <w:sz w:val="10"/>
                <w:szCs w:val="10"/>
                <w:lang w:val="fr-BE"/>
              </w:rPr>
            </w:pPr>
            <w:r w:rsidRPr="00601E29">
              <w:rPr>
                <w:b/>
                <w:noProof/>
                <w:sz w:val="10"/>
                <w:szCs w:val="10"/>
                <w:lang w:val="fr-BE"/>
              </w:rPr>
              <w:t>Łącznie w roku</w:t>
            </w:r>
          </w:p>
        </w:tc>
        <w:tc>
          <w:tcPr>
            <w:tcW w:w="0" w:type="auto"/>
          </w:tcPr>
          <w:p w14:paraId="57BEB091" w14:textId="77777777" w:rsidR="008C5CFA" w:rsidRPr="00601E29" w:rsidRDefault="00E82A60" w:rsidP="00300A01">
            <w:pPr>
              <w:spacing w:before="0" w:after="0"/>
              <w:jc w:val="center"/>
              <w:rPr>
                <w:b/>
                <w:sz w:val="10"/>
                <w:szCs w:val="10"/>
                <w:lang w:val="fr-BE"/>
              </w:rPr>
            </w:pPr>
            <w:r w:rsidRPr="00601E29">
              <w:rPr>
                <w:b/>
                <w:noProof/>
                <w:sz w:val="10"/>
                <w:szCs w:val="10"/>
                <w:lang w:val="fr-BE"/>
              </w:rPr>
              <w:t>Jakościowe</w:t>
            </w:r>
          </w:p>
        </w:tc>
      </w:tr>
      <w:tr w:rsidR="006B2EC1" w14:paraId="07F7D770" w14:textId="77777777" w:rsidTr="0047688D">
        <w:trPr>
          <w:tblHeader/>
        </w:trPr>
        <w:tc>
          <w:tcPr>
            <w:tcW w:w="0" w:type="auto"/>
            <w:shd w:val="clear" w:color="auto" w:fill="auto"/>
          </w:tcPr>
          <w:p w14:paraId="192A8145" w14:textId="77777777" w:rsidR="008C5CFA" w:rsidRPr="00601E29" w:rsidRDefault="008C5CFA" w:rsidP="00300A01">
            <w:pPr>
              <w:spacing w:before="0" w:after="0"/>
              <w:rPr>
                <w:b/>
                <w:sz w:val="10"/>
                <w:szCs w:val="10"/>
                <w:lang w:val="fr-BE"/>
              </w:rPr>
            </w:pPr>
          </w:p>
        </w:tc>
        <w:tc>
          <w:tcPr>
            <w:tcW w:w="0" w:type="auto"/>
            <w:shd w:val="clear" w:color="auto" w:fill="auto"/>
          </w:tcPr>
          <w:p w14:paraId="0EADED04" w14:textId="77777777" w:rsidR="008C5CFA" w:rsidRPr="00601E29" w:rsidRDefault="008C5CFA" w:rsidP="00300A01">
            <w:pPr>
              <w:spacing w:before="0" w:after="0"/>
              <w:rPr>
                <w:b/>
                <w:sz w:val="10"/>
                <w:szCs w:val="10"/>
                <w:lang w:val="fr-BE"/>
              </w:rPr>
            </w:pPr>
          </w:p>
        </w:tc>
        <w:tc>
          <w:tcPr>
            <w:tcW w:w="0" w:type="auto"/>
            <w:shd w:val="clear" w:color="auto" w:fill="auto"/>
          </w:tcPr>
          <w:p w14:paraId="416A67BA" w14:textId="77777777" w:rsidR="008C5CFA" w:rsidRPr="00601E29" w:rsidRDefault="008C5CFA" w:rsidP="00300A01">
            <w:pPr>
              <w:spacing w:before="0" w:after="0"/>
              <w:rPr>
                <w:b/>
                <w:sz w:val="10"/>
                <w:szCs w:val="10"/>
                <w:lang w:val="fr-BE"/>
              </w:rPr>
            </w:pPr>
          </w:p>
        </w:tc>
        <w:tc>
          <w:tcPr>
            <w:tcW w:w="0" w:type="auto"/>
            <w:shd w:val="clear" w:color="auto" w:fill="auto"/>
          </w:tcPr>
          <w:p w14:paraId="2A1A2A08" w14:textId="77777777" w:rsidR="008C5CFA" w:rsidRPr="00601E29" w:rsidRDefault="008C5CFA" w:rsidP="00300A01">
            <w:pPr>
              <w:spacing w:before="0" w:after="0"/>
              <w:rPr>
                <w:b/>
                <w:sz w:val="10"/>
                <w:szCs w:val="10"/>
                <w:lang w:val="fr-BE"/>
              </w:rPr>
            </w:pPr>
          </w:p>
        </w:tc>
        <w:tc>
          <w:tcPr>
            <w:tcW w:w="0" w:type="auto"/>
            <w:shd w:val="clear" w:color="auto" w:fill="auto"/>
          </w:tcPr>
          <w:p w14:paraId="48CB381E" w14:textId="77777777" w:rsidR="008C5CFA" w:rsidRPr="00601E29" w:rsidRDefault="008C5CFA" w:rsidP="00300A01">
            <w:pPr>
              <w:spacing w:before="0" w:after="0"/>
              <w:rPr>
                <w:b/>
                <w:sz w:val="10"/>
                <w:szCs w:val="10"/>
                <w:lang w:val="fr-BE"/>
              </w:rPr>
            </w:pPr>
          </w:p>
        </w:tc>
        <w:tc>
          <w:tcPr>
            <w:tcW w:w="0" w:type="auto"/>
            <w:shd w:val="clear" w:color="auto" w:fill="auto"/>
          </w:tcPr>
          <w:p w14:paraId="3734AE1E" w14:textId="77777777" w:rsidR="008C5CFA" w:rsidRPr="00601E29" w:rsidRDefault="008C5CFA" w:rsidP="00300A01">
            <w:pPr>
              <w:spacing w:before="0" w:after="0"/>
              <w:rPr>
                <w:b/>
                <w:sz w:val="10"/>
                <w:szCs w:val="10"/>
                <w:lang w:val="fr-BE"/>
              </w:rPr>
            </w:pPr>
          </w:p>
        </w:tc>
        <w:tc>
          <w:tcPr>
            <w:tcW w:w="0" w:type="auto"/>
            <w:shd w:val="clear" w:color="auto" w:fill="auto"/>
          </w:tcPr>
          <w:p w14:paraId="7B0878DB" w14:textId="77777777" w:rsidR="008C5CFA" w:rsidRPr="00601E29" w:rsidRDefault="00E82A60" w:rsidP="00300A01">
            <w:pPr>
              <w:spacing w:before="0" w:after="0"/>
              <w:jc w:val="center"/>
              <w:rPr>
                <w:b/>
                <w:sz w:val="10"/>
                <w:szCs w:val="10"/>
                <w:lang w:val="fr-BE"/>
              </w:rPr>
            </w:pPr>
            <w:r w:rsidRPr="00601E29">
              <w:rPr>
                <w:b/>
                <w:noProof/>
                <w:sz w:val="10"/>
                <w:szCs w:val="10"/>
                <w:lang w:val="fr-BE"/>
              </w:rPr>
              <w:t>Ogółem</w:t>
            </w:r>
          </w:p>
        </w:tc>
        <w:tc>
          <w:tcPr>
            <w:tcW w:w="0" w:type="auto"/>
            <w:shd w:val="clear" w:color="auto" w:fill="auto"/>
          </w:tcPr>
          <w:p w14:paraId="0F116019" w14:textId="77777777" w:rsidR="008C5CFA" w:rsidRPr="00601E29" w:rsidRDefault="00E82A60" w:rsidP="00300A01">
            <w:pPr>
              <w:spacing w:before="0" w:after="0"/>
              <w:jc w:val="center"/>
              <w:rPr>
                <w:b/>
                <w:sz w:val="10"/>
                <w:szCs w:val="10"/>
                <w:lang w:val="fr-BE"/>
              </w:rPr>
            </w:pPr>
            <w:r w:rsidRPr="00601E29">
              <w:rPr>
                <w:b/>
                <w:noProof/>
                <w:sz w:val="10"/>
                <w:szCs w:val="10"/>
                <w:lang w:val="fr-BE"/>
              </w:rPr>
              <w:t>Mężczyźni</w:t>
            </w:r>
          </w:p>
        </w:tc>
        <w:tc>
          <w:tcPr>
            <w:tcW w:w="0" w:type="auto"/>
            <w:shd w:val="clear" w:color="auto" w:fill="auto"/>
          </w:tcPr>
          <w:p w14:paraId="28A06059" w14:textId="77777777" w:rsidR="008C5CFA" w:rsidRPr="00601E29" w:rsidRDefault="00E82A60" w:rsidP="00300A01">
            <w:pPr>
              <w:spacing w:before="0" w:after="0"/>
              <w:jc w:val="center"/>
              <w:rPr>
                <w:b/>
                <w:sz w:val="10"/>
                <w:szCs w:val="10"/>
                <w:lang w:val="fr-BE"/>
              </w:rPr>
            </w:pPr>
            <w:r w:rsidRPr="00601E29">
              <w:rPr>
                <w:b/>
                <w:noProof/>
                <w:sz w:val="10"/>
                <w:szCs w:val="10"/>
                <w:lang w:val="fr-BE"/>
              </w:rPr>
              <w:t>Kobiety</w:t>
            </w:r>
          </w:p>
        </w:tc>
        <w:tc>
          <w:tcPr>
            <w:tcW w:w="0" w:type="auto"/>
            <w:shd w:val="clear" w:color="auto" w:fill="auto"/>
          </w:tcPr>
          <w:p w14:paraId="2B9CF1D4" w14:textId="77777777" w:rsidR="008C5CFA" w:rsidRPr="00601E29" w:rsidRDefault="00E82A60" w:rsidP="00300A01">
            <w:pPr>
              <w:spacing w:before="0" w:after="0"/>
              <w:jc w:val="center"/>
              <w:rPr>
                <w:b/>
                <w:sz w:val="10"/>
                <w:szCs w:val="10"/>
                <w:lang w:val="fr-BE"/>
              </w:rPr>
            </w:pPr>
            <w:r w:rsidRPr="00601E29">
              <w:rPr>
                <w:b/>
                <w:noProof/>
                <w:sz w:val="10"/>
                <w:szCs w:val="10"/>
                <w:lang w:val="fr-BE"/>
              </w:rPr>
              <w:t>Ogółem</w:t>
            </w:r>
          </w:p>
        </w:tc>
        <w:tc>
          <w:tcPr>
            <w:tcW w:w="0" w:type="auto"/>
            <w:shd w:val="clear" w:color="auto" w:fill="auto"/>
          </w:tcPr>
          <w:p w14:paraId="3EF60E09" w14:textId="77777777" w:rsidR="008C5CFA" w:rsidRPr="00601E29" w:rsidRDefault="00E82A60" w:rsidP="00300A01">
            <w:pPr>
              <w:spacing w:before="0" w:after="0"/>
              <w:jc w:val="center"/>
              <w:rPr>
                <w:b/>
                <w:sz w:val="10"/>
                <w:szCs w:val="10"/>
                <w:lang w:val="fr-BE"/>
              </w:rPr>
            </w:pPr>
            <w:r w:rsidRPr="00601E29">
              <w:rPr>
                <w:b/>
                <w:noProof/>
                <w:sz w:val="10"/>
                <w:szCs w:val="10"/>
                <w:lang w:val="fr-BE"/>
              </w:rPr>
              <w:t>Mężczyźni</w:t>
            </w:r>
          </w:p>
        </w:tc>
        <w:tc>
          <w:tcPr>
            <w:tcW w:w="0" w:type="auto"/>
            <w:shd w:val="clear" w:color="auto" w:fill="auto"/>
          </w:tcPr>
          <w:p w14:paraId="008535B5" w14:textId="77777777" w:rsidR="008C5CFA" w:rsidRPr="00601E29" w:rsidRDefault="00E82A60" w:rsidP="00300A01">
            <w:pPr>
              <w:spacing w:before="0" w:after="0"/>
              <w:jc w:val="center"/>
              <w:rPr>
                <w:b/>
                <w:sz w:val="10"/>
                <w:szCs w:val="10"/>
                <w:lang w:val="fr-BE"/>
              </w:rPr>
            </w:pPr>
            <w:r w:rsidRPr="00601E29">
              <w:rPr>
                <w:b/>
                <w:noProof/>
                <w:sz w:val="10"/>
                <w:szCs w:val="10"/>
                <w:lang w:val="fr-BE"/>
              </w:rPr>
              <w:t>Kobiety</w:t>
            </w:r>
          </w:p>
        </w:tc>
        <w:tc>
          <w:tcPr>
            <w:tcW w:w="0" w:type="auto"/>
            <w:shd w:val="clear" w:color="auto" w:fill="auto"/>
          </w:tcPr>
          <w:p w14:paraId="116A0A58" w14:textId="77777777" w:rsidR="008C5CFA" w:rsidRPr="00601E29" w:rsidRDefault="00E82A60" w:rsidP="00300A01">
            <w:pPr>
              <w:spacing w:before="0" w:after="0"/>
              <w:jc w:val="center"/>
              <w:rPr>
                <w:b/>
                <w:sz w:val="10"/>
                <w:szCs w:val="10"/>
                <w:lang w:val="fr-BE"/>
              </w:rPr>
            </w:pPr>
            <w:r w:rsidRPr="00601E29">
              <w:rPr>
                <w:b/>
                <w:noProof/>
                <w:sz w:val="10"/>
                <w:szCs w:val="10"/>
                <w:lang w:val="fr-BE"/>
              </w:rPr>
              <w:t>Ogółem</w:t>
            </w:r>
          </w:p>
        </w:tc>
        <w:tc>
          <w:tcPr>
            <w:tcW w:w="0" w:type="auto"/>
            <w:shd w:val="clear" w:color="auto" w:fill="auto"/>
          </w:tcPr>
          <w:p w14:paraId="2C1B7E2E" w14:textId="77777777" w:rsidR="008C5CFA" w:rsidRPr="00601E29" w:rsidRDefault="00E82A60" w:rsidP="00300A01">
            <w:pPr>
              <w:spacing w:before="0" w:after="0"/>
              <w:jc w:val="center"/>
              <w:rPr>
                <w:b/>
                <w:sz w:val="10"/>
                <w:szCs w:val="10"/>
                <w:lang w:val="fr-BE"/>
              </w:rPr>
            </w:pPr>
            <w:r w:rsidRPr="00601E29">
              <w:rPr>
                <w:b/>
                <w:noProof/>
                <w:sz w:val="10"/>
                <w:szCs w:val="10"/>
                <w:lang w:val="fr-BE"/>
              </w:rPr>
              <w:t>Mężczyźni</w:t>
            </w:r>
          </w:p>
        </w:tc>
        <w:tc>
          <w:tcPr>
            <w:tcW w:w="0" w:type="auto"/>
            <w:shd w:val="clear" w:color="auto" w:fill="auto"/>
          </w:tcPr>
          <w:p w14:paraId="35C47022" w14:textId="77777777" w:rsidR="008C5CFA" w:rsidRPr="00601E29" w:rsidRDefault="00E82A60" w:rsidP="00300A01">
            <w:pPr>
              <w:spacing w:before="0" w:after="0"/>
              <w:jc w:val="center"/>
              <w:rPr>
                <w:b/>
                <w:sz w:val="10"/>
                <w:szCs w:val="10"/>
                <w:lang w:val="fr-BE"/>
              </w:rPr>
            </w:pPr>
            <w:r w:rsidRPr="00601E29">
              <w:rPr>
                <w:b/>
                <w:noProof/>
                <w:sz w:val="10"/>
                <w:szCs w:val="10"/>
                <w:lang w:val="fr-BE"/>
              </w:rPr>
              <w:t>Kobiety</w:t>
            </w:r>
          </w:p>
        </w:tc>
        <w:tc>
          <w:tcPr>
            <w:tcW w:w="0" w:type="auto"/>
          </w:tcPr>
          <w:p w14:paraId="4C0E9A23" w14:textId="77777777" w:rsidR="008C5CFA" w:rsidRPr="00601E29" w:rsidRDefault="00E82A60" w:rsidP="00300A01">
            <w:pPr>
              <w:spacing w:before="0" w:after="0"/>
              <w:jc w:val="center"/>
              <w:rPr>
                <w:b/>
                <w:sz w:val="10"/>
                <w:szCs w:val="10"/>
                <w:lang w:val="fr-BE"/>
              </w:rPr>
            </w:pPr>
            <w:r w:rsidRPr="00601E29">
              <w:rPr>
                <w:b/>
                <w:noProof/>
                <w:sz w:val="10"/>
                <w:szCs w:val="10"/>
                <w:lang w:val="fr-BE"/>
              </w:rPr>
              <w:t>Ogółem</w:t>
            </w:r>
          </w:p>
        </w:tc>
        <w:tc>
          <w:tcPr>
            <w:tcW w:w="0" w:type="auto"/>
            <w:shd w:val="clear" w:color="auto" w:fill="auto"/>
          </w:tcPr>
          <w:p w14:paraId="673C0156" w14:textId="77777777" w:rsidR="008C5CFA" w:rsidRPr="00601E29" w:rsidRDefault="00E82A60" w:rsidP="00300A01">
            <w:pPr>
              <w:spacing w:before="0" w:after="0"/>
              <w:jc w:val="center"/>
              <w:rPr>
                <w:b/>
                <w:sz w:val="10"/>
                <w:szCs w:val="10"/>
                <w:lang w:val="fr-BE"/>
              </w:rPr>
            </w:pPr>
            <w:r w:rsidRPr="00601E29">
              <w:rPr>
                <w:b/>
                <w:noProof/>
                <w:sz w:val="10"/>
                <w:szCs w:val="10"/>
                <w:lang w:val="fr-BE"/>
              </w:rPr>
              <w:t>Mężczyźni</w:t>
            </w:r>
          </w:p>
        </w:tc>
        <w:tc>
          <w:tcPr>
            <w:tcW w:w="0" w:type="auto"/>
            <w:shd w:val="clear" w:color="auto" w:fill="auto"/>
          </w:tcPr>
          <w:p w14:paraId="040C2B2B" w14:textId="77777777" w:rsidR="008C5CFA" w:rsidRPr="00601E29" w:rsidRDefault="00E82A60" w:rsidP="00300A01">
            <w:pPr>
              <w:spacing w:before="0" w:after="0"/>
              <w:jc w:val="center"/>
              <w:rPr>
                <w:b/>
                <w:sz w:val="10"/>
                <w:szCs w:val="10"/>
                <w:lang w:val="fr-BE"/>
              </w:rPr>
            </w:pPr>
            <w:r w:rsidRPr="00601E29">
              <w:rPr>
                <w:b/>
                <w:noProof/>
                <w:sz w:val="10"/>
                <w:szCs w:val="10"/>
                <w:lang w:val="fr-BE"/>
              </w:rPr>
              <w:t>Kobiety</w:t>
            </w:r>
          </w:p>
        </w:tc>
        <w:tc>
          <w:tcPr>
            <w:tcW w:w="0" w:type="auto"/>
          </w:tcPr>
          <w:p w14:paraId="61E0CBD0" w14:textId="77777777" w:rsidR="008C5CFA" w:rsidRPr="00601E29" w:rsidRDefault="008C5CFA" w:rsidP="00300A01">
            <w:pPr>
              <w:spacing w:before="0" w:after="0"/>
              <w:jc w:val="center"/>
              <w:rPr>
                <w:b/>
                <w:sz w:val="10"/>
                <w:szCs w:val="10"/>
                <w:lang w:val="fr-BE"/>
              </w:rPr>
            </w:pPr>
          </w:p>
        </w:tc>
      </w:tr>
      <w:tr w:rsidR="006B2EC1" w14:paraId="5062CF22" w14:textId="77777777" w:rsidTr="0047688D">
        <w:tc>
          <w:tcPr>
            <w:tcW w:w="0" w:type="auto"/>
            <w:shd w:val="clear" w:color="auto" w:fill="auto"/>
          </w:tcPr>
          <w:p w14:paraId="4A10943E" w14:textId="77777777" w:rsidR="008C5CFA" w:rsidRPr="00601E29" w:rsidRDefault="00E82A60" w:rsidP="00300A01">
            <w:pPr>
              <w:spacing w:before="0" w:after="0"/>
              <w:rPr>
                <w:sz w:val="10"/>
                <w:szCs w:val="10"/>
                <w:lang w:val="fr-BE"/>
              </w:rPr>
            </w:pPr>
            <w:r w:rsidRPr="00601E29">
              <w:rPr>
                <w:noProof/>
                <w:sz w:val="10"/>
                <w:szCs w:val="10"/>
                <w:lang w:val="fr-BE"/>
              </w:rPr>
              <w:t>112</w:t>
            </w:r>
          </w:p>
        </w:tc>
        <w:tc>
          <w:tcPr>
            <w:tcW w:w="0" w:type="auto"/>
            <w:shd w:val="clear" w:color="auto" w:fill="auto"/>
          </w:tcPr>
          <w:p w14:paraId="7913DCF8" w14:textId="77777777" w:rsidR="008C5CFA" w:rsidRPr="00601E29" w:rsidRDefault="00E82A60" w:rsidP="00300A01">
            <w:pPr>
              <w:spacing w:before="0" w:after="0"/>
              <w:rPr>
                <w:sz w:val="10"/>
                <w:szCs w:val="10"/>
                <w:lang w:val="fr-BE"/>
              </w:rPr>
            </w:pPr>
            <w:r w:rsidRPr="00601E29">
              <w:rPr>
                <w:noProof/>
                <w:sz w:val="10"/>
                <w:szCs w:val="10"/>
                <w:lang w:val="fr-BE"/>
              </w:rPr>
              <w:t>Liczba miejsc pracy utworzonych  w przedsiębiorstwach społecznych</w:t>
            </w:r>
          </w:p>
        </w:tc>
        <w:tc>
          <w:tcPr>
            <w:tcW w:w="0" w:type="auto"/>
            <w:shd w:val="clear" w:color="auto" w:fill="auto"/>
          </w:tcPr>
          <w:p w14:paraId="0A111D1E" w14:textId="77777777" w:rsidR="008C5CFA" w:rsidRPr="00601E29" w:rsidRDefault="00E82A60" w:rsidP="00300A01">
            <w:pPr>
              <w:spacing w:before="0" w:after="0"/>
              <w:rPr>
                <w:sz w:val="10"/>
                <w:szCs w:val="10"/>
                <w:lang w:val="fr-BE"/>
              </w:rPr>
            </w:pPr>
            <w:r w:rsidRPr="00601E29">
              <w:rPr>
                <w:noProof/>
                <w:sz w:val="10"/>
                <w:szCs w:val="10"/>
                <w:lang w:val="fr-BE"/>
              </w:rPr>
              <w:t>Słabiej rozwinięte</w:t>
            </w:r>
          </w:p>
        </w:tc>
        <w:tc>
          <w:tcPr>
            <w:tcW w:w="0" w:type="auto"/>
            <w:shd w:val="clear" w:color="auto" w:fill="auto"/>
          </w:tcPr>
          <w:p w14:paraId="4D96C7A9" w14:textId="77777777" w:rsidR="008C5CFA" w:rsidRPr="00601E29" w:rsidRDefault="00E82A60" w:rsidP="00300A01">
            <w:pPr>
              <w:spacing w:before="0" w:after="0"/>
              <w:rPr>
                <w:sz w:val="10"/>
                <w:szCs w:val="10"/>
                <w:lang w:val="fr-BE"/>
              </w:rPr>
            </w:pPr>
            <w:r w:rsidRPr="00785F4A">
              <w:rPr>
                <w:noProof/>
                <w:sz w:val="10"/>
                <w:szCs w:val="10"/>
                <w:lang w:val="fr-BE"/>
              </w:rPr>
              <w:t>Liczba</w:t>
            </w:r>
            <w:r w:rsidR="00CE4603">
              <w:rPr>
                <w:sz w:val="10"/>
                <w:szCs w:val="10"/>
                <w:lang w:val="fr-BE"/>
              </w:rPr>
              <w:t xml:space="preserve"> </w:t>
            </w:r>
            <w:r w:rsidR="00CE4603">
              <w:rPr>
                <w:noProof/>
                <w:sz w:val="10"/>
                <w:szCs w:val="10"/>
                <w:lang w:val="fr-BE"/>
              </w:rPr>
              <w:t>(szt.)</w:t>
            </w:r>
          </w:p>
        </w:tc>
        <w:tc>
          <w:tcPr>
            <w:tcW w:w="0" w:type="auto"/>
            <w:shd w:val="clear" w:color="auto" w:fill="auto"/>
          </w:tcPr>
          <w:p w14:paraId="2C768E57" w14:textId="77777777" w:rsidR="008C5CFA" w:rsidRPr="00601E29" w:rsidRDefault="00E82A60" w:rsidP="00300A01">
            <w:pPr>
              <w:spacing w:before="0" w:after="0"/>
              <w:rPr>
                <w:sz w:val="10"/>
                <w:szCs w:val="10"/>
                <w:lang w:val="fr-BE"/>
              </w:rPr>
            </w:pPr>
            <w:r w:rsidRPr="00601E29">
              <w:rPr>
                <w:sz w:val="10"/>
                <w:szCs w:val="10"/>
                <w:lang w:val="fr-BE"/>
              </w:rPr>
              <w:t xml:space="preserve"> </w:t>
            </w:r>
          </w:p>
        </w:tc>
        <w:tc>
          <w:tcPr>
            <w:tcW w:w="0" w:type="auto"/>
            <w:shd w:val="clear" w:color="auto" w:fill="auto"/>
          </w:tcPr>
          <w:p w14:paraId="5B3F6151" w14:textId="77777777" w:rsidR="008C5CFA" w:rsidRPr="00601E29" w:rsidRDefault="00E82A60" w:rsidP="00300A01">
            <w:pPr>
              <w:spacing w:before="0" w:after="0"/>
              <w:jc w:val="center"/>
              <w:rPr>
                <w:sz w:val="10"/>
                <w:szCs w:val="10"/>
                <w:lang w:val="fr-BE"/>
              </w:rPr>
            </w:pPr>
            <w:r w:rsidRPr="00601E29">
              <w:rPr>
                <w:noProof/>
                <w:sz w:val="10"/>
                <w:szCs w:val="10"/>
                <w:lang w:val="fr-BE"/>
              </w:rPr>
              <w:t>Liczba</w:t>
            </w:r>
          </w:p>
        </w:tc>
        <w:tc>
          <w:tcPr>
            <w:tcW w:w="0" w:type="auto"/>
            <w:shd w:val="clear" w:color="auto" w:fill="auto"/>
          </w:tcPr>
          <w:p w14:paraId="298545BB" w14:textId="77777777" w:rsidR="008C5CFA" w:rsidRPr="00601E29" w:rsidRDefault="00E82A60" w:rsidP="00300A01">
            <w:pPr>
              <w:spacing w:before="0" w:after="0"/>
              <w:jc w:val="right"/>
              <w:rPr>
                <w:sz w:val="10"/>
                <w:szCs w:val="10"/>
                <w:lang w:val="fr-BE"/>
              </w:rPr>
            </w:pPr>
            <w:r w:rsidRPr="00601E29">
              <w:rPr>
                <w:noProof/>
                <w:sz w:val="10"/>
                <w:szCs w:val="10"/>
                <w:lang w:val="fr-BE"/>
              </w:rPr>
              <w:t>300,00</w:t>
            </w:r>
          </w:p>
        </w:tc>
        <w:tc>
          <w:tcPr>
            <w:tcW w:w="0" w:type="auto"/>
            <w:shd w:val="clear" w:color="auto" w:fill="auto"/>
          </w:tcPr>
          <w:p w14:paraId="78D0E096" w14:textId="77777777" w:rsidR="008C5CFA" w:rsidRPr="00601E29" w:rsidRDefault="008C5CFA" w:rsidP="00300A01">
            <w:pPr>
              <w:spacing w:before="0" w:after="0"/>
              <w:jc w:val="right"/>
              <w:rPr>
                <w:sz w:val="10"/>
                <w:szCs w:val="10"/>
                <w:lang w:val="fr-BE"/>
              </w:rPr>
            </w:pPr>
          </w:p>
        </w:tc>
        <w:tc>
          <w:tcPr>
            <w:tcW w:w="0" w:type="auto"/>
            <w:shd w:val="clear" w:color="auto" w:fill="auto"/>
          </w:tcPr>
          <w:p w14:paraId="0044C98A" w14:textId="77777777" w:rsidR="008C5CFA" w:rsidRPr="00601E29" w:rsidRDefault="008C5CFA" w:rsidP="00300A01">
            <w:pPr>
              <w:spacing w:before="0" w:after="0"/>
              <w:jc w:val="right"/>
              <w:rPr>
                <w:sz w:val="10"/>
                <w:szCs w:val="10"/>
                <w:lang w:val="fr-BE"/>
              </w:rPr>
            </w:pPr>
          </w:p>
        </w:tc>
        <w:tc>
          <w:tcPr>
            <w:tcW w:w="0" w:type="auto"/>
            <w:shd w:val="clear" w:color="auto" w:fill="auto"/>
          </w:tcPr>
          <w:p w14:paraId="69F46E19" w14:textId="77777777" w:rsidR="008C5CFA" w:rsidRPr="00601E29" w:rsidRDefault="00E82A60" w:rsidP="00300A01">
            <w:pPr>
              <w:spacing w:before="0" w:after="0"/>
              <w:jc w:val="right"/>
              <w:rPr>
                <w:sz w:val="10"/>
                <w:szCs w:val="10"/>
                <w:lang w:val="fr-BE"/>
              </w:rPr>
            </w:pPr>
            <w:r>
              <w:rPr>
                <w:noProof/>
                <w:sz w:val="10"/>
                <w:szCs w:val="10"/>
                <w:lang w:val="fr-BE"/>
              </w:rPr>
              <w:t>0,48</w:t>
            </w:r>
          </w:p>
        </w:tc>
        <w:tc>
          <w:tcPr>
            <w:tcW w:w="0" w:type="auto"/>
            <w:shd w:val="clear" w:color="auto" w:fill="auto"/>
          </w:tcPr>
          <w:p w14:paraId="6130B369" w14:textId="77777777" w:rsidR="008C5CFA" w:rsidRPr="00601E29" w:rsidRDefault="008C5CFA" w:rsidP="00300A01">
            <w:pPr>
              <w:spacing w:before="0" w:after="0"/>
              <w:jc w:val="right"/>
              <w:rPr>
                <w:sz w:val="10"/>
                <w:szCs w:val="10"/>
                <w:lang w:val="fr-BE"/>
              </w:rPr>
            </w:pPr>
          </w:p>
        </w:tc>
        <w:tc>
          <w:tcPr>
            <w:tcW w:w="0" w:type="auto"/>
            <w:shd w:val="clear" w:color="auto" w:fill="auto"/>
          </w:tcPr>
          <w:p w14:paraId="245FB4D0" w14:textId="77777777" w:rsidR="008C5CFA" w:rsidRPr="00601E29" w:rsidRDefault="008C5CFA" w:rsidP="00300A01">
            <w:pPr>
              <w:spacing w:before="0" w:after="0"/>
              <w:jc w:val="right"/>
              <w:rPr>
                <w:sz w:val="10"/>
                <w:szCs w:val="10"/>
                <w:lang w:val="fr-BE"/>
              </w:rPr>
            </w:pPr>
          </w:p>
        </w:tc>
        <w:tc>
          <w:tcPr>
            <w:tcW w:w="0" w:type="auto"/>
            <w:shd w:val="clear" w:color="auto" w:fill="auto"/>
          </w:tcPr>
          <w:p w14:paraId="06A85819" w14:textId="77777777" w:rsidR="008C5CFA" w:rsidRPr="00601E29" w:rsidRDefault="00E82A60" w:rsidP="00300A01">
            <w:pPr>
              <w:spacing w:before="0" w:after="0"/>
              <w:jc w:val="right"/>
              <w:rPr>
                <w:sz w:val="10"/>
                <w:szCs w:val="10"/>
                <w:lang w:val="fr-BE"/>
              </w:rPr>
            </w:pPr>
            <w:r w:rsidRPr="00601E29">
              <w:rPr>
                <w:noProof/>
                <w:sz w:val="10"/>
                <w:szCs w:val="10"/>
                <w:lang w:val="fr-BE"/>
              </w:rPr>
              <w:t>145,00</w:t>
            </w:r>
          </w:p>
        </w:tc>
        <w:tc>
          <w:tcPr>
            <w:tcW w:w="0" w:type="auto"/>
            <w:shd w:val="clear" w:color="auto" w:fill="auto"/>
          </w:tcPr>
          <w:p w14:paraId="034863F8"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shd w:val="clear" w:color="auto" w:fill="auto"/>
          </w:tcPr>
          <w:p w14:paraId="0B2FCD01"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43D863C6" w14:textId="77777777" w:rsidR="008C5CFA" w:rsidRPr="00601E29" w:rsidRDefault="00E82A60" w:rsidP="00300A01">
            <w:pPr>
              <w:spacing w:before="0" w:after="0"/>
              <w:jc w:val="right"/>
              <w:rPr>
                <w:sz w:val="10"/>
                <w:szCs w:val="10"/>
                <w:lang w:val="fr-BE"/>
              </w:rPr>
            </w:pPr>
            <w:r w:rsidRPr="00601E29">
              <w:rPr>
                <w:noProof/>
                <w:sz w:val="10"/>
                <w:szCs w:val="10"/>
                <w:lang w:val="fr-BE"/>
              </w:rPr>
              <w:t>94,00</w:t>
            </w:r>
          </w:p>
        </w:tc>
        <w:tc>
          <w:tcPr>
            <w:tcW w:w="0" w:type="auto"/>
            <w:shd w:val="clear" w:color="auto" w:fill="auto"/>
          </w:tcPr>
          <w:p w14:paraId="5F788D8B"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shd w:val="clear" w:color="auto" w:fill="auto"/>
          </w:tcPr>
          <w:p w14:paraId="2EDAEA42"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1F59BADF" w14:textId="77777777" w:rsidR="008C5CFA" w:rsidRPr="00601E29" w:rsidRDefault="008C5CFA" w:rsidP="00300A01">
            <w:pPr>
              <w:spacing w:before="0" w:after="0"/>
              <w:jc w:val="right"/>
              <w:rPr>
                <w:sz w:val="10"/>
                <w:szCs w:val="10"/>
                <w:lang w:val="fr-BE"/>
              </w:rPr>
            </w:pPr>
          </w:p>
        </w:tc>
      </w:tr>
      <w:tr w:rsidR="006B2EC1" w14:paraId="739F40AE" w14:textId="77777777" w:rsidTr="0047688D">
        <w:tc>
          <w:tcPr>
            <w:tcW w:w="0" w:type="auto"/>
            <w:shd w:val="clear" w:color="auto" w:fill="auto"/>
          </w:tcPr>
          <w:p w14:paraId="79B1282F" w14:textId="77777777" w:rsidR="008C5CFA" w:rsidRPr="00601E29" w:rsidRDefault="00E82A60" w:rsidP="00300A01">
            <w:pPr>
              <w:spacing w:before="0" w:after="0"/>
              <w:rPr>
                <w:sz w:val="10"/>
                <w:szCs w:val="10"/>
                <w:lang w:val="fr-BE"/>
              </w:rPr>
            </w:pPr>
            <w:r w:rsidRPr="00601E29">
              <w:rPr>
                <w:noProof/>
                <w:sz w:val="10"/>
                <w:szCs w:val="10"/>
                <w:lang w:val="fr-BE"/>
              </w:rPr>
              <w:t>113</w:t>
            </w:r>
          </w:p>
        </w:tc>
        <w:tc>
          <w:tcPr>
            <w:tcW w:w="0" w:type="auto"/>
            <w:shd w:val="clear" w:color="auto" w:fill="auto"/>
          </w:tcPr>
          <w:p w14:paraId="1C5F954D" w14:textId="77777777" w:rsidR="008C5CFA" w:rsidRPr="00601E29" w:rsidRDefault="00E82A60" w:rsidP="00300A01">
            <w:pPr>
              <w:spacing w:before="0" w:after="0"/>
              <w:rPr>
                <w:sz w:val="10"/>
                <w:szCs w:val="10"/>
                <w:lang w:val="fr-BE"/>
              </w:rPr>
            </w:pPr>
            <w:r w:rsidRPr="00601E29">
              <w:rPr>
                <w:noProof/>
                <w:sz w:val="10"/>
                <w:szCs w:val="10"/>
                <w:lang w:val="fr-BE"/>
              </w:rPr>
              <w:t>Liczba miejsc pracy istniejących co najmniej 30 miesięcy, utworzonych  w przedsiębiorstwach społecznych</w:t>
            </w:r>
          </w:p>
        </w:tc>
        <w:tc>
          <w:tcPr>
            <w:tcW w:w="0" w:type="auto"/>
            <w:shd w:val="clear" w:color="auto" w:fill="auto"/>
          </w:tcPr>
          <w:p w14:paraId="19EF7920" w14:textId="77777777" w:rsidR="008C5CFA" w:rsidRPr="00601E29" w:rsidRDefault="00E82A60" w:rsidP="00300A01">
            <w:pPr>
              <w:spacing w:before="0" w:after="0"/>
              <w:rPr>
                <w:sz w:val="10"/>
                <w:szCs w:val="10"/>
                <w:lang w:val="fr-BE"/>
              </w:rPr>
            </w:pPr>
            <w:r w:rsidRPr="00601E29">
              <w:rPr>
                <w:noProof/>
                <w:sz w:val="10"/>
                <w:szCs w:val="10"/>
                <w:lang w:val="fr-BE"/>
              </w:rPr>
              <w:t>Słabiej rozwinięte</w:t>
            </w:r>
          </w:p>
        </w:tc>
        <w:tc>
          <w:tcPr>
            <w:tcW w:w="0" w:type="auto"/>
            <w:shd w:val="clear" w:color="auto" w:fill="auto"/>
          </w:tcPr>
          <w:p w14:paraId="1306856A" w14:textId="77777777" w:rsidR="008C5CFA" w:rsidRPr="00601E29" w:rsidRDefault="00E82A60" w:rsidP="00300A01">
            <w:pPr>
              <w:spacing w:before="0" w:after="0"/>
              <w:rPr>
                <w:sz w:val="10"/>
                <w:szCs w:val="10"/>
                <w:lang w:val="fr-BE"/>
              </w:rPr>
            </w:pPr>
            <w:r w:rsidRPr="00785F4A">
              <w:rPr>
                <w:noProof/>
                <w:sz w:val="10"/>
                <w:szCs w:val="10"/>
                <w:lang w:val="fr-BE"/>
              </w:rPr>
              <w:t>Liczba</w:t>
            </w:r>
            <w:r w:rsidR="00CE4603">
              <w:rPr>
                <w:sz w:val="10"/>
                <w:szCs w:val="10"/>
                <w:lang w:val="fr-BE"/>
              </w:rPr>
              <w:t xml:space="preserve"> </w:t>
            </w:r>
            <w:r w:rsidR="00CE4603">
              <w:rPr>
                <w:noProof/>
                <w:sz w:val="10"/>
                <w:szCs w:val="10"/>
                <w:lang w:val="fr-BE"/>
              </w:rPr>
              <w:t>(szt.)</w:t>
            </w:r>
          </w:p>
        </w:tc>
        <w:tc>
          <w:tcPr>
            <w:tcW w:w="0" w:type="auto"/>
            <w:shd w:val="clear" w:color="auto" w:fill="auto"/>
          </w:tcPr>
          <w:p w14:paraId="7C38DD3D" w14:textId="77777777" w:rsidR="008C5CFA" w:rsidRPr="00601E29" w:rsidRDefault="00E82A60" w:rsidP="00300A01">
            <w:pPr>
              <w:spacing w:before="0" w:after="0"/>
              <w:rPr>
                <w:sz w:val="10"/>
                <w:szCs w:val="10"/>
                <w:lang w:val="fr-BE"/>
              </w:rPr>
            </w:pPr>
            <w:r w:rsidRPr="00601E29">
              <w:rPr>
                <w:sz w:val="10"/>
                <w:szCs w:val="10"/>
                <w:lang w:val="fr-BE"/>
              </w:rPr>
              <w:t xml:space="preserve"> </w:t>
            </w:r>
          </w:p>
        </w:tc>
        <w:tc>
          <w:tcPr>
            <w:tcW w:w="0" w:type="auto"/>
            <w:shd w:val="clear" w:color="auto" w:fill="auto"/>
          </w:tcPr>
          <w:p w14:paraId="2C8C7408" w14:textId="77777777" w:rsidR="008C5CFA" w:rsidRPr="00601E29" w:rsidRDefault="00E82A60" w:rsidP="00300A01">
            <w:pPr>
              <w:spacing w:before="0" w:after="0"/>
              <w:jc w:val="center"/>
              <w:rPr>
                <w:sz w:val="10"/>
                <w:szCs w:val="10"/>
                <w:lang w:val="fr-BE"/>
              </w:rPr>
            </w:pPr>
            <w:r w:rsidRPr="00601E29">
              <w:rPr>
                <w:noProof/>
                <w:sz w:val="10"/>
                <w:szCs w:val="10"/>
                <w:lang w:val="fr-BE"/>
              </w:rPr>
              <w:t>Współczynnik</w:t>
            </w:r>
          </w:p>
        </w:tc>
        <w:tc>
          <w:tcPr>
            <w:tcW w:w="0" w:type="auto"/>
            <w:shd w:val="clear" w:color="auto" w:fill="auto"/>
          </w:tcPr>
          <w:p w14:paraId="234C2EF3" w14:textId="77777777" w:rsidR="008C5CFA" w:rsidRPr="00601E29" w:rsidRDefault="00E82A60" w:rsidP="00300A01">
            <w:pPr>
              <w:spacing w:before="0" w:after="0"/>
              <w:jc w:val="right"/>
              <w:rPr>
                <w:sz w:val="10"/>
                <w:szCs w:val="10"/>
                <w:lang w:val="fr-BE"/>
              </w:rPr>
            </w:pPr>
            <w:r w:rsidRPr="00601E29">
              <w:rPr>
                <w:noProof/>
                <w:sz w:val="10"/>
                <w:szCs w:val="10"/>
                <w:lang w:val="fr-BE"/>
              </w:rPr>
              <w:t>26,00</w:t>
            </w:r>
            <w:r>
              <w:rPr>
                <w:noProof/>
                <w:sz w:val="10"/>
                <w:szCs w:val="10"/>
                <w:lang w:val="fr-BE"/>
              </w:rPr>
              <w:t>%</w:t>
            </w:r>
          </w:p>
        </w:tc>
        <w:tc>
          <w:tcPr>
            <w:tcW w:w="0" w:type="auto"/>
            <w:shd w:val="clear" w:color="auto" w:fill="auto"/>
          </w:tcPr>
          <w:p w14:paraId="3CB1E42A" w14:textId="77777777" w:rsidR="008C5CFA" w:rsidRPr="00601E29" w:rsidRDefault="008C5CFA" w:rsidP="00300A01">
            <w:pPr>
              <w:spacing w:before="0" w:after="0"/>
              <w:jc w:val="right"/>
              <w:rPr>
                <w:sz w:val="10"/>
                <w:szCs w:val="10"/>
                <w:lang w:val="fr-BE"/>
              </w:rPr>
            </w:pPr>
          </w:p>
        </w:tc>
        <w:tc>
          <w:tcPr>
            <w:tcW w:w="0" w:type="auto"/>
            <w:shd w:val="clear" w:color="auto" w:fill="auto"/>
          </w:tcPr>
          <w:p w14:paraId="0F8AE877" w14:textId="77777777" w:rsidR="008C5CFA" w:rsidRPr="00601E29" w:rsidRDefault="008C5CFA" w:rsidP="00300A01">
            <w:pPr>
              <w:spacing w:before="0" w:after="0"/>
              <w:jc w:val="right"/>
              <w:rPr>
                <w:sz w:val="10"/>
                <w:szCs w:val="10"/>
                <w:lang w:val="fr-BE"/>
              </w:rPr>
            </w:pPr>
          </w:p>
        </w:tc>
        <w:tc>
          <w:tcPr>
            <w:tcW w:w="0" w:type="auto"/>
            <w:shd w:val="clear" w:color="auto" w:fill="auto"/>
          </w:tcPr>
          <w:p w14:paraId="5F04E276" w14:textId="77777777" w:rsidR="008C5CFA" w:rsidRPr="00601E29" w:rsidRDefault="008C5CFA" w:rsidP="00300A01">
            <w:pPr>
              <w:spacing w:before="0" w:after="0"/>
              <w:jc w:val="right"/>
              <w:rPr>
                <w:sz w:val="10"/>
                <w:szCs w:val="10"/>
                <w:lang w:val="fr-BE"/>
              </w:rPr>
            </w:pPr>
          </w:p>
        </w:tc>
        <w:tc>
          <w:tcPr>
            <w:tcW w:w="0" w:type="auto"/>
            <w:shd w:val="clear" w:color="auto" w:fill="auto"/>
          </w:tcPr>
          <w:p w14:paraId="5970C2C6" w14:textId="77777777" w:rsidR="008C5CFA" w:rsidRPr="00601E29" w:rsidRDefault="008C5CFA" w:rsidP="00300A01">
            <w:pPr>
              <w:spacing w:before="0" w:after="0"/>
              <w:jc w:val="right"/>
              <w:rPr>
                <w:sz w:val="10"/>
                <w:szCs w:val="10"/>
                <w:lang w:val="fr-BE"/>
              </w:rPr>
            </w:pPr>
          </w:p>
        </w:tc>
        <w:tc>
          <w:tcPr>
            <w:tcW w:w="0" w:type="auto"/>
            <w:shd w:val="clear" w:color="auto" w:fill="auto"/>
          </w:tcPr>
          <w:p w14:paraId="55ED1413" w14:textId="77777777" w:rsidR="008C5CFA" w:rsidRPr="00601E29" w:rsidRDefault="008C5CFA" w:rsidP="00300A01">
            <w:pPr>
              <w:spacing w:before="0" w:after="0"/>
              <w:jc w:val="right"/>
              <w:rPr>
                <w:sz w:val="10"/>
                <w:szCs w:val="10"/>
                <w:lang w:val="fr-BE"/>
              </w:rPr>
            </w:pPr>
          </w:p>
        </w:tc>
        <w:tc>
          <w:tcPr>
            <w:tcW w:w="0" w:type="auto"/>
            <w:shd w:val="clear" w:color="auto" w:fill="auto"/>
          </w:tcPr>
          <w:p w14:paraId="0327F732"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shd w:val="clear" w:color="auto" w:fill="auto"/>
          </w:tcPr>
          <w:p w14:paraId="2F42E7EC"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shd w:val="clear" w:color="auto" w:fill="auto"/>
          </w:tcPr>
          <w:p w14:paraId="34C80967"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791D7587"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shd w:val="clear" w:color="auto" w:fill="auto"/>
          </w:tcPr>
          <w:p w14:paraId="7A32B653"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shd w:val="clear" w:color="auto" w:fill="auto"/>
          </w:tcPr>
          <w:p w14:paraId="068978C7"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62EB300D" w14:textId="77777777" w:rsidR="008C5CFA" w:rsidRPr="00601E29" w:rsidRDefault="008C5CFA" w:rsidP="00300A01">
            <w:pPr>
              <w:spacing w:before="0" w:after="0"/>
              <w:jc w:val="right"/>
              <w:rPr>
                <w:sz w:val="10"/>
                <w:szCs w:val="10"/>
                <w:lang w:val="fr-BE"/>
              </w:rPr>
            </w:pPr>
          </w:p>
        </w:tc>
      </w:tr>
      <w:tr w:rsidR="006B2EC1" w14:paraId="06F4AB81" w14:textId="77777777" w:rsidTr="0047688D">
        <w:tc>
          <w:tcPr>
            <w:tcW w:w="0" w:type="auto"/>
            <w:shd w:val="clear" w:color="auto" w:fill="auto"/>
          </w:tcPr>
          <w:p w14:paraId="3F814ADF" w14:textId="77777777" w:rsidR="008C5CFA" w:rsidRPr="00601E29" w:rsidRDefault="00E82A60" w:rsidP="00300A01">
            <w:pPr>
              <w:spacing w:before="0" w:after="0"/>
              <w:rPr>
                <w:sz w:val="10"/>
                <w:szCs w:val="10"/>
                <w:lang w:val="fr-BE"/>
              </w:rPr>
            </w:pPr>
            <w:r w:rsidRPr="00601E29">
              <w:rPr>
                <w:noProof/>
                <w:sz w:val="10"/>
                <w:szCs w:val="10"/>
                <w:lang w:val="fr-BE"/>
              </w:rPr>
              <w:t>019</w:t>
            </w:r>
          </w:p>
        </w:tc>
        <w:tc>
          <w:tcPr>
            <w:tcW w:w="0" w:type="auto"/>
            <w:shd w:val="clear" w:color="auto" w:fill="auto"/>
          </w:tcPr>
          <w:p w14:paraId="5E2229FF" w14:textId="77777777" w:rsidR="008C5CFA" w:rsidRPr="00601E29" w:rsidRDefault="00E82A60" w:rsidP="00300A01">
            <w:pPr>
              <w:spacing w:before="0" w:after="0"/>
              <w:rPr>
                <w:sz w:val="10"/>
                <w:szCs w:val="10"/>
                <w:lang w:val="fr-BE"/>
              </w:rPr>
            </w:pPr>
            <w:r w:rsidRPr="00601E29">
              <w:rPr>
                <w:noProof/>
                <w:sz w:val="10"/>
                <w:szCs w:val="10"/>
                <w:lang w:val="fr-BE"/>
              </w:rPr>
              <w:t>Liczba osób zagrożonych ubóstwem lub wykluczeniem społecznym pracujących po opuszczeniu programu (łącznie z pracującymi na własny rachunek)</w:t>
            </w:r>
          </w:p>
        </w:tc>
        <w:tc>
          <w:tcPr>
            <w:tcW w:w="0" w:type="auto"/>
            <w:shd w:val="clear" w:color="auto" w:fill="auto"/>
          </w:tcPr>
          <w:p w14:paraId="5FB2056F" w14:textId="77777777" w:rsidR="008C5CFA" w:rsidRPr="00601E29" w:rsidRDefault="00E82A60" w:rsidP="00300A01">
            <w:pPr>
              <w:spacing w:before="0" w:after="0"/>
              <w:rPr>
                <w:sz w:val="10"/>
                <w:szCs w:val="10"/>
                <w:lang w:val="fr-BE"/>
              </w:rPr>
            </w:pPr>
            <w:r w:rsidRPr="00601E29">
              <w:rPr>
                <w:noProof/>
                <w:sz w:val="10"/>
                <w:szCs w:val="10"/>
                <w:lang w:val="fr-BE"/>
              </w:rPr>
              <w:t>Słabiej rozwinięte</w:t>
            </w:r>
          </w:p>
        </w:tc>
        <w:tc>
          <w:tcPr>
            <w:tcW w:w="0" w:type="auto"/>
            <w:shd w:val="clear" w:color="auto" w:fill="auto"/>
          </w:tcPr>
          <w:p w14:paraId="4B875F72" w14:textId="77777777" w:rsidR="008C5CFA" w:rsidRPr="00601E29" w:rsidRDefault="00E82A60" w:rsidP="00300A01">
            <w:pPr>
              <w:spacing w:before="0" w:after="0"/>
              <w:rPr>
                <w:sz w:val="10"/>
                <w:szCs w:val="10"/>
                <w:lang w:val="fr-BE"/>
              </w:rPr>
            </w:pPr>
            <w:r w:rsidRPr="00785F4A">
              <w:rPr>
                <w:noProof/>
                <w:sz w:val="10"/>
                <w:szCs w:val="10"/>
                <w:lang w:val="fr-BE"/>
              </w:rPr>
              <w:t>Liczba</w:t>
            </w:r>
            <w:r w:rsidR="00CE4603">
              <w:rPr>
                <w:sz w:val="10"/>
                <w:szCs w:val="10"/>
                <w:lang w:val="fr-BE"/>
              </w:rPr>
              <w:t xml:space="preserve"> </w:t>
            </w:r>
            <w:r w:rsidR="00CE4603">
              <w:rPr>
                <w:noProof/>
                <w:sz w:val="10"/>
                <w:szCs w:val="10"/>
                <w:lang w:val="fr-BE"/>
              </w:rPr>
              <w:t>(osoba)</w:t>
            </w:r>
          </w:p>
        </w:tc>
        <w:tc>
          <w:tcPr>
            <w:tcW w:w="0" w:type="auto"/>
            <w:shd w:val="clear" w:color="auto" w:fill="auto"/>
          </w:tcPr>
          <w:p w14:paraId="23657660" w14:textId="77777777" w:rsidR="008C5CFA" w:rsidRPr="00601E29" w:rsidRDefault="00E82A60" w:rsidP="00300A01">
            <w:pPr>
              <w:spacing w:before="0" w:after="0"/>
              <w:rPr>
                <w:sz w:val="10"/>
                <w:szCs w:val="10"/>
                <w:lang w:val="fr-BE"/>
              </w:rPr>
            </w:pPr>
            <w:r w:rsidRPr="00601E29">
              <w:rPr>
                <w:sz w:val="10"/>
                <w:szCs w:val="10"/>
                <w:lang w:val="fr-BE"/>
              </w:rPr>
              <w:t xml:space="preserve"> </w:t>
            </w:r>
          </w:p>
        </w:tc>
        <w:tc>
          <w:tcPr>
            <w:tcW w:w="0" w:type="auto"/>
            <w:shd w:val="clear" w:color="auto" w:fill="auto"/>
          </w:tcPr>
          <w:p w14:paraId="067B122D" w14:textId="77777777" w:rsidR="008C5CFA" w:rsidRPr="00601E29" w:rsidRDefault="00E82A60" w:rsidP="00300A01">
            <w:pPr>
              <w:spacing w:before="0" w:after="0"/>
              <w:jc w:val="center"/>
              <w:rPr>
                <w:sz w:val="10"/>
                <w:szCs w:val="10"/>
                <w:lang w:val="fr-BE"/>
              </w:rPr>
            </w:pPr>
            <w:r w:rsidRPr="00601E29">
              <w:rPr>
                <w:noProof/>
                <w:sz w:val="10"/>
                <w:szCs w:val="10"/>
                <w:lang w:val="fr-BE"/>
              </w:rPr>
              <w:t>Współczynnik</w:t>
            </w:r>
          </w:p>
        </w:tc>
        <w:tc>
          <w:tcPr>
            <w:tcW w:w="0" w:type="auto"/>
            <w:shd w:val="clear" w:color="auto" w:fill="auto"/>
          </w:tcPr>
          <w:p w14:paraId="3A74FEE5" w14:textId="77777777" w:rsidR="008C5CFA" w:rsidRPr="00601E29" w:rsidRDefault="00E82A60" w:rsidP="00300A01">
            <w:pPr>
              <w:spacing w:before="0" w:after="0"/>
              <w:jc w:val="right"/>
              <w:rPr>
                <w:sz w:val="10"/>
                <w:szCs w:val="10"/>
                <w:lang w:val="fr-BE"/>
              </w:rPr>
            </w:pPr>
            <w:r w:rsidRPr="00601E29">
              <w:rPr>
                <w:noProof/>
                <w:sz w:val="10"/>
                <w:szCs w:val="10"/>
                <w:lang w:val="fr-BE"/>
              </w:rPr>
              <w:t>25,00</w:t>
            </w:r>
            <w:r>
              <w:rPr>
                <w:noProof/>
                <w:sz w:val="10"/>
                <w:szCs w:val="10"/>
                <w:lang w:val="fr-BE"/>
              </w:rPr>
              <w:t>%</w:t>
            </w:r>
          </w:p>
        </w:tc>
        <w:tc>
          <w:tcPr>
            <w:tcW w:w="0" w:type="auto"/>
            <w:shd w:val="clear" w:color="auto" w:fill="auto"/>
          </w:tcPr>
          <w:p w14:paraId="35637A06" w14:textId="77777777" w:rsidR="008C5CFA" w:rsidRPr="00601E29" w:rsidRDefault="008C5CFA" w:rsidP="00300A01">
            <w:pPr>
              <w:spacing w:before="0" w:after="0"/>
              <w:jc w:val="right"/>
              <w:rPr>
                <w:sz w:val="10"/>
                <w:szCs w:val="10"/>
                <w:lang w:val="fr-BE"/>
              </w:rPr>
            </w:pPr>
          </w:p>
        </w:tc>
        <w:tc>
          <w:tcPr>
            <w:tcW w:w="0" w:type="auto"/>
            <w:shd w:val="clear" w:color="auto" w:fill="auto"/>
          </w:tcPr>
          <w:p w14:paraId="444D020F" w14:textId="77777777" w:rsidR="008C5CFA" w:rsidRPr="00601E29" w:rsidRDefault="008C5CFA" w:rsidP="00300A01">
            <w:pPr>
              <w:spacing w:before="0" w:after="0"/>
              <w:jc w:val="right"/>
              <w:rPr>
                <w:sz w:val="10"/>
                <w:szCs w:val="10"/>
                <w:lang w:val="fr-BE"/>
              </w:rPr>
            </w:pPr>
          </w:p>
        </w:tc>
        <w:tc>
          <w:tcPr>
            <w:tcW w:w="0" w:type="auto"/>
            <w:shd w:val="clear" w:color="auto" w:fill="auto"/>
          </w:tcPr>
          <w:p w14:paraId="5954D709" w14:textId="77777777" w:rsidR="008C5CFA" w:rsidRPr="00601E29" w:rsidRDefault="00E82A60" w:rsidP="00300A01">
            <w:pPr>
              <w:spacing w:before="0" w:after="0"/>
              <w:jc w:val="right"/>
              <w:rPr>
                <w:sz w:val="10"/>
                <w:szCs w:val="10"/>
                <w:lang w:val="fr-BE"/>
              </w:rPr>
            </w:pPr>
            <w:r>
              <w:rPr>
                <w:noProof/>
                <w:sz w:val="10"/>
                <w:szCs w:val="10"/>
                <w:lang w:val="fr-BE"/>
              </w:rPr>
              <w:t>1,20</w:t>
            </w:r>
          </w:p>
        </w:tc>
        <w:tc>
          <w:tcPr>
            <w:tcW w:w="0" w:type="auto"/>
            <w:shd w:val="clear" w:color="auto" w:fill="auto"/>
          </w:tcPr>
          <w:p w14:paraId="26CA4917" w14:textId="77777777" w:rsidR="008C5CFA" w:rsidRPr="00601E29" w:rsidRDefault="008C5CFA" w:rsidP="00300A01">
            <w:pPr>
              <w:spacing w:before="0" w:after="0"/>
              <w:jc w:val="right"/>
              <w:rPr>
                <w:sz w:val="10"/>
                <w:szCs w:val="10"/>
                <w:lang w:val="fr-BE"/>
              </w:rPr>
            </w:pPr>
          </w:p>
        </w:tc>
        <w:tc>
          <w:tcPr>
            <w:tcW w:w="0" w:type="auto"/>
            <w:shd w:val="clear" w:color="auto" w:fill="auto"/>
          </w:tcPr>
          <w:p w14:paraId="3962C282" w14:textId="77777777" w:rsidR="008C5CFA" w:rsidRPr="00601E29" w:rsidRDefault="008C5CFA" w:rsidP="00300A01">
            <w:pPr>
              <w:spacing w:before="0" w:after="0"/>
              <w:jc w:val="right"/>
              <w:rPr>
                <w:sz w:val="10"/>
                <w:szCs w:val="10"/>
                <w:lang w:val="fr-BE"/>
              </w:rPr>
            </w:pPr>
          </w:p>
        </w:tc>
        <w:tc>
          <w:tcPr>
            <w:tcW w:w="0" w:type="auto"/>
            <w:shd w:val="clear" w:color="auto" w:fill="auto"/>
          </w:tcPr>
          <w:p w14:paraId="1CCCD630" w14:textId="77777777" w:rsidR="008C5CFA" w:rsidRPr="00601E29" w:rsidRDefault="00E82A60" w:rsidP="00300A01">
            <w:pPr>
              <w:spacing w:before="0" w:after="0"/>
              <w:jc w:val="right"/>
              <w:rPr>
                <w:sz w:val="10"/>
                <w:szCs w:val="10"/>
                <w:lang w:val="fr-BE"/>
              </w:rPr>
            </w:pPr>
            <w:r w:rsidRPr="00601E29">
              <w:rPr>
                <w:noProof/>
                <w:sz w:val="10"/>
                <w:szCs w:val="10"/>
                <w:lang w:val="fr-BE"/>
              </w:rPr>
              <w:t>145,00</w:t>
            </w:r>
          </w:p>
        </w:tc>
        <w:tc>
          <w:tcPr>
            <w:tcW w:w="0" w:type="auto"/>
            <w:shd w:val="clear" w:color="auto" w:fill="auto"/>
          </w:tcPr>
          <w:p w14:paraId="7941A48F"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shd w:val="clear" w:color="auto" w:fill="auto"/>
          </w:tcPr>
          <w:p w14:paraId="6652F9D5"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18475233" w14:textId="77777777" w:rsidR="008C5CFA" w:rsidRPr="00601E29" w:rsidRDefault="00E82A60" w:rsidP="00300A01">
            <w:pPr>
              <w:spacing w:before="0" w:after="0"/>
              <w:jc w:val="right"/>
              <w:rPr>
                <w:sz w:val="10"/>
                <w:szCs w:val="10"/>
                <w:lang w:val="fr-BE"/>
              </w:rPr>
            </w:pPr>
            <w:r w:rsidRPr="00601E29">
              <w:rPr>
                <w:noProof/>
                <w:sz w:val="10"/>
                <w:szCs w:val="10"/>
                <w:lang w:val="fr-BE"/>
              </w:rPr>
              <w:t>90,00</w:t>
            </w:r>
          </w:p>
        </w:tc>
        <w:tc>
          <w:tcPr>
            <w:tcW w:w="0" w:type="auto"/>
            <w:shd w:val="clear" w:color="auto" w:fill="auto"/>
          </w:tcPr>
          <w:p w14:paraId="03291EA3"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shd w:val="clear" w:color="auto" w:fill="auto"/>
          </w:tcPr>
          <w:p w14:paraId="5B88F7DA"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30995F95" w14:textId="77777777" w:rsidR="008C5CFA" w:rsidRPr="00601E29" w:rsidRDefault="008C5CFA" w:rsidP="00300A01">
            <w:pPr>
              <w:spacing w:before="0" w:after="0"/>
              <w:jc w:val="right"/>
              <w:rPr>
                <w:sz w:val="10"/>
                <w:szCs w:val="10"/>
                <w:lang w:val="fr-BE"/>
              </w:rPr>
            </w:pPr>
          </w:p>
        </w:tc>
      </w:tr>
    </w:tbl>
    <w:p w14:paraId="73641534"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77"/>
        <w:gridCol w:w="6521"/>
        <w:gridCol w:w="944"/>
        <w:gridCol w:w="472"/>
        <w:gridCol w:w="595"/>
        <w:gridCol w:w="478"/>
        <w:gridCol w:w="472"/>
        <w:gridCol w:w="595"/>
        <w:gridCol w:w="478"/>
        <w:gridCol w:w="631"/>
        <w:gridCol w:w="472"/>
        <w:gridCol w:w="595"/>
        <w:gridCol w:w="478"/>
        <w:gridCol w:w="472"/>
        <w:gridCol w:w="595"/>
        <w:gridCol w:w="478"/>
        <w:gridCol w:w="631"/>
      </w:tblGrid>
      <w:tr w:rsidR="006B2EC1" w14:paraId="3B26EA5D" w14:textId="77777777" w:rsidTr="0047688D">
        <w:trPr>
          <w:tblHeader/>
        </w:trPr>
        <w:tc>
          <w:tcPr>
            <w:tcW w:w="0" w:type="auto"/>
            <w:shd w:val="clear" w:color="auto" w:fill="auto"/>
          </w:tcPr>
          <w:p w14:paraId="618E6593" w14:textId="77777777" w:rsidR="008C5CFA" w:rsidRPr="00601E29" w:rsidRDefault="00E82A60" w:rsidP="00300A01">
            <w:pPr>
              <w:spacing w:before="0" w:after="0"/>
              <w:rPr>
                <w:b/>
                <w:sz w:val="10"/>
                <w:szCs w:val="10"/>
                <w:lang w:val="fr-BE"/>
              </w:rPr>
            </w:pPr>
            <w:r w:rsidRPr="00601E29">
              <w:rPr>
                <w:b/>
                <w:noProof/>
                <w:sz w:val="10"/>
                <w:szCs w:val="10"/>
                <w:lang w:val="fr-BE"/>
              </w:rPr>
              <w:t>ID</w:t>
            </w:r>
          </w:p>
        </w:tc>
        <w:tc>
          <w:tcPr>
            <w:tcW w:w="0" w:type="auto"/>
            <w:shd w:val="clear" w:color="auto" w:fill="auto"/>
          </w:tcPr>
          <w:p w14:paraId="2EDB91A5" w14:textId="77777777" w:rsidR="008C5CFA" w:rsidRPr="00601E29" w:rsidRDefault="00E82A60" w:rsidP="00300A01">
            <w:pPr>
              <w:spacing w:before="0" w:after="0"/>
              <w:rPr>
                <w:b/>
                <w:sz w:val="10"/>
                <w:szCs w:val="10"/>
                <w:lang w:val="fr-BE"/>
              </w:rPr>
            </w:pPr>
            <w:r w:rsidRPr="00601E29">
              <w:rPr>
                <w:b/>
                <w:noProof/>
                <w:sz w:val="10"/>
                <w:szCs w:val="10"/>
                <w:lang w:val="fr-BE"/>
              </w:rPr>
              <w:t>Wskaźnik</w:t>
            </w:r>
          </w:p>
        </w:tc>
        <w:tc>
          <w:tcPr>
            <w:tcW w:w="0" w:type="auto"/>
            <w:shd w:val="clear" w:color="auto" w:fill="auto"/>
          </w:tcPr>
          <w:p w14:paraId="386F273B" w14:textId="77777777" w:rsidR="008C5CFA" w:rsidRPr="00601E29" w:rsidRDefault="00E82A60" w:rsidP="00300A01">
            <w:pPr>
              <w:spacing w:before="0" w:after="0"/>
              <w:rPr>
                <w:b/>
                <w:sz w:val="10"/>
                <w:szCs w:val="10"/>
                <w:lang w:val="fr-BE"/>
              </w:rPr>
            </w:pPr>
            <w:r w:rsidRPr="00601E29">
              <w:rPr>
                <w:b/>
                <w:noProof/>
                <w:sz w:val="10"/>
                <w:szCs w:val="10"/>
                <w:lang w:val="fr-BE"/>
              </w:rPr>
              <w:t>Kategoria regionu</w:t>
            </w:r>
          </w:p>
        </w:tc>
        <w:tc>
          <w:tcPr>
            <w:tcW w:w="0" w:type="auto"/>
            <w:gridSpan w:val="7"/>
          </w:tcPr>
          <w:p w14:paraId="1B40D66E" w14:textId="77777777" w:rsidR="008C5CFA" w:rsidRPr="00601E29" w:rsidRDefault="00E82A60" w:rsidP="00300A01">
            <w:pPr>
              <w:spacing w:before="0" w:after="0"/>
              <w:jc w:val="center"/>
              <w:rPr>
                <w:b/>
                <w:sz w:val="10"/>
                <w:szCs w:val="10"/>
                <w:lang w:val="fr-BE"/>
              </w:rPr>
            </w:pPr>
            <w:r>
              <w:rPr>
                <w:b/>
                <w:sz w:val="10"/>
                <w:szCs w:val="10"/>
                <w:lang w:val="fr-BE"/>
              </w:rPr>
              <w:t>2018</w:t>
            </w:r>
          </w:p>
        </w:tc>
        <w:tc>
          <w:tcPr>
            <w:tcW w:w="0" w:type="auto"/>
            <w:gridSpan w:val="7"/>
          </w:tcPr>
          <w:p w14:paraId="216F0531" w14:textId="77777777" w:rsidR="008C5CFA" w:rsidRPr="00601E29" w:rsidRDefault="00E82A60" w:rsidP="00300A01">
            <w:pPr>
              <w:spacing w:before="0" w:after="0"/>
              <w:jc w:val="center"/>
              <w:rPr>
                <w:b/>
                <w:sz w:val="10"/>
                <w:szCs w:val="10"/>
                <w:lang w:val="fr-BE"/>
              </w:rPr>
            </w:pPr>
            <w:r>
              <w:rPr>
                <w:b/>
                <w:sz w:val="10"/>
                <w:szCs w:val="10"/>
                <w:lang w:val="fr-BE"/>
              </w:rPr>
              <w:t>2017</w:t>
            </w:r>
          </w:p>
        </w:tc>
      </w:tr>
      <w:tr w:rsidR="006B2EC1" w14:paraId="57886643" w14:textId="77777777" w:rsidTr="0047688D">
        <w:trPr>
          <w:tblHeader/>
        </w:trPr>
        <w:tc>
          <w:tcPr>
            <w:tcW w:w="0" w:type="auto"/>
            <w:shd w:val="clear" w:color="auto" w:fill="auto"/>
          </w:tcPr>
          <w:p w14:paraId="5EF9C926" w14:textId="77777777" w:rsidR="008C5CFA" w:rsidRPr="00601E29" w:rsidRDefault="008C5CFA" w:rsidP="00300A01">
            <w:pPr>
              <w:spacing w:before="0" w:after="0"/>
              <w:rPr>
                <w:b/>
                <w:sz w:val="10"/>
                <w:szCs w:val="10"/>
                <w:lang w:val="fr-BE"/>
              </w:rPr>
            </w:pPr>
          </w:p>
        </w:tc>
        <w:tc>
          <w:tcPr>
            <w:tcW w:w="0" w:type="auto"/>
            <w:shd w:val="clear" w:color="auto" w:fill="auto"/>
          </w:tcPr>
          <w:p w14:paraId="2FA6AF11" w14:textId="77777777" w:rsidR="008C5CFA" w:rsidRPr="00601E29" w:rsidRDefault="008C5CFA" w:rsidP="00300A01">
            <w:pPr>
              <w:spacing w:before="0" w:after="0"/>
              <w:rPr>
                <w:b/>
                <w:sz w:val="10"/>
                <w:szCs w:val="10"/>
                <w:lang w:val="fr-BE"/>
              </w:rPr>
            </w:pPr>
          </w:p>
        </w:tc>
        <w:tc>
          <w:tcPr>
            <w:tcW w:w="0" w:type="auto"/>
            <w:shd w:val="clear" w:color="auto" w:fill="auto"/>
          </w:tcPr>
          <w:p w14:paraId="2896E71C" w14:textId="77777777" w:rsidR="008C5CFA" w:rsidRPr="00601E29" w:rsidRDefault="008C5CFA" w:rsidP="00300A01">
            <w:pPr>
              <w:spacing w:before="0" w:after="0"/>
              <w:rPr>
                <w:b/>
                <w:sz w:val="10"/>
                <w:szCs w:val="10"/>
                <w:lang w:val="fr-BE"/>
              </w:rPr>
            </w:pPr>
          </w:p>
        </w:tc>
        <w:tc>
          <w:tcPr>
            <w:tcW w:w="0" w:type="auto"/>
            <w:gridSpan w:val="3"/>
          </w:tcPr>
          <w:p w14:paraId="402CDF09" w14:textId="77777777" w:rsidR="008C5CFA" w:rsidRPr="00601E29" w:rsidRDefault="00E82A60" w:rsidP="00300A01">
            <w:pPr>
              <w:spacing w:before="0" w:after="0"/>
              <w:jc w:val="center"/>
              <w:rPr>
                <w:b/>
                <w:sz w:val="10"/>
                <w:szCs w:val="10"/>
                <w:lang w:val="fr-BE"/>
              </w:rPr>
            </w:pPr>
            <w:r w:rsidRPr="00601E29">
              <w:rPr>
                <w:b/>
                <w:noProof/>
                <w:sz w:val="10"/>
                <w:szCs w:val="10"/>
                <w:lang w:val="fr-BE"/>
              </w:rPr>
              <w:t>Łącznie</w:t>
            </w:r>
          </w:p>
        </w:tc>
        <w:tc>
          <w:tcPr>
            <w:tcW w:w="0" w:type="auto"/>
            <w:gridSpan w:val="3"/>
          </w:tcPr>
          <w:p w14:paraId="14752926" w14:textId="77777777" w:rsidR="008C5CFA" w:rsidRPr="00601E29" w:rsidRDefault="00E82A60" w:rsidP="00300A01">
            <w:pPr>
              <w:spacing w:before="0" w:after="0"/>
              <w:jc w:val="center"/>
              <w:rPr>
                <w:b/>
                <w:sz w:val="10"/>
                <w:szCs w:val="10"/>
                <w:lang w:val="fr-BE"/>
              </w:rPr>
            </w:pPr>
            <w:r w:rsidRPr="00601E29">
              <w:rPr>
                <w:b/>
                <w:noProof/>
                <w:sz w:val="10"/>
                <w:szCs w:val="10"/>
                <w:lang w:val="fr-BE"/>
              </w:rPr>
              <w:t>Łącznie w roku</w:t>
            </w:r>
          </w:p>
        </w:tc>
        <w:tc>
          <w:tcPr>
            <w:tcW w:w="0" w:type="auto"/>
          </w:tcPr>
          <w:p w14:paraId="6DB85837" w14:textId="77777777" w:rsidR="008C5CFA" w:rsidRPr="00601E29" w:rsidRDefault="00E82A60" w:rsidP="00300A01">
            <w:pPr>
              <w:spacing w:before="0" w:after="0"/>
              <w:jc w:val="center"/>
              <w:rPr>
                <w:b/>
                <w:sz w:val="10"/>
                <w:szCs w:val="10"/>
                <w:lang w:val="fr-BE"/>
              </w:rPr>
            </w:pPr>
            <w:r w:rsidRPr="00601E29">
              <w:rPr>
                <w:b/>
                <w:noProof/>
                <w:sz w:val="10"/>
                <w:szCs w:val="10"/>
                <w:lang w:val="fr-BE"/>
              </w:rPr>
              <w:t>Jakościowe</w:t>
            </w:r>
          </w:p>
        </w:tc>
        <w:tc>
          <w:tcPr>
            <w:tcW w:w="0" w:type="auto"/>
            <w:gridSpan w:val="3"/>
          </w:tcPr>
          <w:p w14:paraId="541D25C6" w14:textId="77777777" w:rsidR="008C5CFA" w:rsidRPr="00601E29" w:rsidRDefault="00E82A60" w:rsidP="00300A01">
            <w:pPr>
              <w:spacing w:before="0" w:after="0"/>
              <w:jc w:val="center"/>
              <w:rPr>
                <w:b/>
                <w:sz w:val="10"/>
                <w:szCs w:val="10"/>
                <w:lang w:val="fr-BE"/>
              </w:rPr>
            </w:pPr>
            <w:r w:rsidRPr="00601E29">
              <w:rPr>
                <w:b/>
                <w:noProof/>
                <w:sz w:val="10"/>
                <w:szCs w:val="10"/>
                <w:lang w:val="fr-BE"/>
              </w:rPr>
              <w:t>Łącznie</w:t>
            </w:r>
          </w:p>
        </w:tc>
        <w:tc>
          <w:tcPr>
            <w:tcW w:w="0" w:type="auto"/>
            <w:gridSpan w:val="3"/>
          </w:tcPr>
          <w:p w14:paraId="7D3EF711" w14:textId="77777777" w:rsidR="008C5CFA" w:rsidRPr="00601E29" w:rsidRDefault="00E82A60" w:rsidP="00300A01">
            <w:pPr>
              <w:spacing w:before="0" w:after="0"/>
              <w:jc w:val="center"/>
              <w:rPr>
                <w:b/>
                <w:sz w:val="10"/>
                <w:szCs w:val="10"/>
                <w:lang w:val="fr-BE"/>
              </w:rPr>
            </w:pPr>
            <w:r w:rsidRPr="00601E29">
              <w:rPr>
                <w:b/>
                <w:noProof/>
                <w:sz w:val="10"/>
                <w:szCs w:val="10"/>
                <w:lang w:val="fr-BE"/>
              </w:rPr>
              <w:t>Łącznie w roku</w:t>
            </w:r>
          </w:p>
        </w:tc>
        <w:tc>
          <w:tcPr>
            <w:tcW w:w="0" w:type="auto"/>
          </w:tcPr>
          <w:p w14:paraId="739934B8" w14:textId="77777777" w:rsidR="008C5CFA" w:rsidRPr="00601E29" w:rsidRDefault="00E82A60" w:rsidP="00300A01">
            <w:pPr>
              <w:spacing w:before="0" w:after="0"/>
              <w:jc w:val="center"/>
              <w:rPr>
                <w:b/>
                <w:sz w:val="10"/>
                <w:szCs w:val="10"/>
                <w:lang w:val="fr-BE"/>
              </w:rPr>
            </w:pPr>
            <w:r w:rsidRPr="00601E29">
              <w:rPr>
                <w:b/>
                <w:noProof/>
                <w:sz w:val="10"/>
                <w:szCs w:val="10"/>
                <w:lang w:val="fr-BE"/>
              </w:rPr>
              <w:t>Jakościowe</w:t>
            </w:r>
          </w:p>
        </w:tc>
      </w:tr>
      <w:tr w:rsidR="006B2EC1" w14:paraId="57082D45" w14:textId="77777777" w:rsidTr="0047688D">
        <w:trPr>
          <w:tblHeader/>
        </w:trPr>
        <w:tc>
          <w:tcPr>
            <w:tcW w:w="0" w:type="auto"/>
            <w:shd w:val="clear" w:color="auto" w:fill="auto"/>
          </w:tcPr>
          <w:p w14:paraId="26C7F614" w14:textId="77777777" w:rsidR="008C5CFA" w:rsidRPr="00601E29" w:rsidRDefault="008C5CFA" w:rsidP="00300A01">
            <w:pPr>
              <w:spacing w:before="0" w:after="0"/>
              <w:rPr>
                <w:b/>
                <w:sz w:val="10"/>
                <w:szCs w:val="10"/>
                <w:lang w:val="fr-BE"/>
              </w:rPr>
            </w:pPr>
          </w:p>
        </w:tc>
        <w:tc>
          <w:tcPr>
            <w:tcW w:w="0" w:type="auto"/>
            <w:shd w:val="clear" w:color="auto" w:fill="auto"/>
          </w:tcPr>
          <w:p w14:paraId="603819A8" w14:textId="77777777" w:rsidR="008C5CFA" w:rsidRPr="00601E29" w:rsidRDefault="008C5CFA" w:rsidP="00300A01">
            <w:pPr>
              <w:spacing w:before="0" w:after="0"/>
              <w:rPr>
                <w:b/>
                <w:sz w:val="10"/>
                <w:szCs w:val="10"/>
                <w:lang w:val="fr-BE"/>
              </w:rPr>
            </w:pPr>
          </w:p>
        </w:tc>
        <w:tc>
          <w:tcPr>
            <w:tcW w:w="0" w:type="auto"/>
            <w:shd w:val="clear" w:color="auto" w:fill="auto"/>
          </w:tcPr>
          <w:p w14:paraId="633D2B4E" w14:textId="77777777" w:rsidR="008C5CFA" w:rsidRPr="00601E29" w:rsidRDefault="008C5CFA" w:rsidP="00300A01">
            <w:pPr>
              <w:spacing w:before="0" w:after="0"/>
              <w:rPr>
                <w:b/>
                <w:sz w:val="10"/>
                <w:szCs w:val="10"/>
                <w:lang w:val="fr-BE"/>
              </w:rPr>
            </w:pPr>
          </w:p>
        </w:tc>
        <w:tc>
          <w:tcPr>
            <w:tcW w:w="0" w:type="auto"/>
          </w:tcPr>
          <w:p w14:paraId="3CB3310B" w14:textId="77777777" w:rsidR="008C5CFA" w:rsidRPr="00601E29" w:rsidRDefault="00E82A60" w:rsidP="00300A01">
            <w:pPr>
              <w:spacing w:before="0" w:after="0"/>
              <w:jc w:val="center"/>
              <w:rPr>
                <w:b/>
                <w:sz w:val="10"/>
                <w:szCs w:val="10"/>
                <w:lang w:val="fr-BE"/>
              </w:rPr>
            </w:pPr>
            <w:r w:rsidRPr="00601E29">
              <w:rPr>
                <w:b/>
                <w:noProof/>
                <w:sz w:val="10"/>
                <w:szCs w:val="10"/>
                <w:lang w:val="fr-BE"/>
              </w:rPr>
              <w:t>Ogółem</w:t>
            </w:r>
          </w:p>
        </w:tc>
        <w:tc>
          <w:tcPr>
            <w:tcW w:w="0" w:type="auto"/>
          </w:tcPr>
          <w:p w14:paraId="416D4771" w14:textId="77777777" w:rsidR="008C5CFA" w:rsidRPr="00601E29" w:rsidRDefault="00E82A60" w:rsidP="00300A01">
            <w:pPr>
              <w:spacing w:before="0" w:after="0"/>
              <w:jc w:val="center"/>
              <w:rPr>
                <w:b/>
                <w:sz w:val="10"/>
                <w:szCs w:val="10"/>
                <w:lang w:val="fr-BE"/>
              </w:rPr>
            </w:pPr>
            <w:r w:rsidRPr="00601E29">
              <w:rPr>
                <w:b/>
                <w:noProof/>
                <w:sz w:val="10"/>
                <w:szCs w:val="10"/>
                <w:lang w:val="fr-BE"/>
              </w:rPr>
              <w:t>Mężczyźni</w:t>
            </w:r>
          </w:p>
        </w:tc>
        <w:tc>
          <w:tcPr>
            <w:tcW w:w="0" w:type="auto"/>
          </w:tcPr>
          <w:p w14:paraId="185A88BA" w14:textId="77777777" w:rsidR="008C5CFA" w:rsidRPr="00601E29" w:rsidRDefault="00E82A60" w:rsidP="00300A01">
            <w:pPr>
              <w:spacing w:before="0" w:after="0"/>
              <w:jc w:val="center"/>
              <w:rPr>
                <w:b/>
                <w:sz w:val="10"/>
                <w:szCs w:val="10"/>
                <w:lang w:val="fr-BE"/>
              </w:rPr>
            </w:pPr>
            <w:r w:rsidRPr="00601E29">
              <w:rPr>
                <w:b/>
                <w:noProof/>
                <w:sz w:val="10"/>
                <w:szCs w:val="10"/>
                <w:lang w:val="fr-BE"/>
              </w:rPr>
              <w:t>Kobiety</w:t>
            </w:r>
          </w:p>
        </w:tc>
        <w:tc>
          <w:tcPr>
            <w:tcW w:w="0" w:type="auto"/>
          </w:tcPr>
          <w:p w14:paraId="643C16C5" w14:textId="77777777" w:rsidR="008C5CFA" w:rsidRPr="00601E29" w:rsidRDefault="00E82A60" w:rsidP="00300A01">
            <w:pPr>
              <w:spacing w:before="0" w:after="0"/>
              <w:jc w:val="center"/>
              <w:rPr>
                <w:b/>
                <w:sz w:val="10"/>
                <w:szCs w:val="10"/>
                <w:lang w:val="fr-BE"/>
              </w:rPr>
            </w:pPr>
            <w:r w:rsidRPr="00601E29">
              <w:rPr>
                <w:b/>
                <w:noProof/>
                <w:sz w:val="10"/>
                <w:szCs w:val="10"/>
                <w:lang w:val="fr-BE"/>
              </w:rPr>
              <w:t>Ogółem</w:t>
            </w:r>
          </w:p>
        </w:tc>
        <w:tc>
          <w:tcPr>
            <w:tcW w:w="0" w:type="auto"/>
          </w:tcPr>
          <w:p w14:paraId="70425D2E" w14:textId="77777777" w:rsidR="008C5CFA" w:rsidRPr="00601E29" w:rsidRDefault="00E82A60" w:rsidP="00300A01">
            <w:pPr>
              <w:spacing w:before="0" w:after="0"/>
              <w:jc w:val="center"/>
              <w:rPr>
                <w:b/>
                <w:sz w:val="10"/>
                <w:szCs w:val="10"/>
                <w:lang w:val="fr-BE"/>
              </w:rPr>
            </w:pPr>
            <w:r w:rsidRPr="00601E29">
              <w:rPr>
                <w:b/>
                <w:noProof/>
                <w:sz w:val="10"/>
                <w:szCs w:val="10"/>
                <w:lang w:val="fr-BE"/>
              </w:rPr>
              <w:t>Mężczyźni</w:t>
            </w:r>
          </w:p>
        </w:tc>
        <w:tc>
          <w:tcPr>
            <w:tcW w:w="0" w:type="auto"/>
          </w:tcPr>
          <w:p w14:paraId="3CFD90D7" w14:textId="77777777" w:rsidR="008C5CFA" w:rsidRPr="00601E29" w:rsidRDefault="00E82A60" w:rsidP="00300A01">
            <w:pPr>
              <w:spacing w:before="0" w:after="0"/>
              <w:jc w:val="center"/>
              <w:rPr>
                <w:b/>
                <w:sz w:val="10"/>
                <w:szCs w:val="10"/>
                <w:lang w:val="fr-BE"/>
              </w:rPr>
            </w:pPr>
            <w:r w:rsidRPr="00601E29">
              <w:rPr>
                <w:b/>
                <w:noProof/>
                <w:sz w:val="10"/>
                <w:szCs w:val="10"/>
                <w:lang w:val="fr-BE"/>
              </w:rPr>
              <w:t>Kobiety</w:t>
            </w:r>
          </w:p>
        </w:tc>
        <w:tc>
          <w:tcPr>
            <w:tcW w:w="0" w:type="auto"/>
          </w:tcPr>
          <w:p w14:paraId="66AA6DEE" w14:textId="77777777" w:rsidR="008C5CFA" w:rsidRPr="00601E29" w:rsidRDefault="008C5CFA" w:rsidP="00300A01">
            <w:pPr>
              <w:spacing w:before="0" w:after="0"/>
              <w:jc w:val="center"/>
              <w:rPr>
                <w:b/>
                <w:sz w:val="10"/>
                <w:szCs w:val="10"/>
                <w:lang w:val="fr-BE"/>
              </w:rPr>
            </w:pPr>
          </w:p>
        </w:tc>
        <w:tc>
          <w:tcPr>
            <w:tcW w:w="0" w:type="auto"/>
          </w:tcPr>
          <w:p w14:paraId="33483DE5" w14:textId="77777777" w:rsidR="008C5CFA" w:rsidRPr="00601E29" w:rsidRDefault="00E82A60" w:rsidP="00300A01">
            <w:pPr>
              <w:spacing w:before="0" w:after="0"/>
              <w:jc w:val="center"/>
              <w:rPr>
                <w:b/>
                <w:sz w:val="10"/>
                <w:szCs w:val="10"/>
                <w:lang w:val="fr-BE"/>
              </w:rPr>
            </w:pPr>
            <w:r w:rsidRPr="00601E29">
              <w:rPr>
                <w:b/>
                <w:noProof/>
                <w:sz w:val="10"/>
                <w:szCs w:val="10"/>
                <w:lang w:val="fr-BE"/>
              </w:rPr>
              <w:t>Ogółem</w:t>
            </w:r>
          </w:p>
        </w:tc>
        <w:tc>
          <w:tcPr>
            <w:tcW w:w="0" w:type="auto"/>
          </w:tcPr>
          <w:p w14:paraId="757B4C63" w14:textId="77777777" w:rsidR="008C5CFA" w:rsidRPr="00601E29" w:rsidRDefault="00E82A60" w:rsidP="00300A01">
            <w:pPr>
              <w:spacing w:before="0" w:after="0"/>
              <w:jc w:val="center"/>
              <w:rPr>
                <w:b/>
                <w:sz w:val="10"/>
                <w:szCs w:val="10"/>
                <w:lang w:val="fr-BE"/>
              </w:rPr>
            </w:pPr>
            <w:r w:rsidRPr="00601E29">
              <w:rPr>
                <w:b/>
                <w:noProof/>
                <w:sz w:val="10"/>
                <w:szCs w:val="10"/>
                <w:lang w:val="fr-BE"/>
              </w:rPr>
              <w:t>Mężczyźni</w:t>
            </w:r>
          </w:p>
        </w:tc>
        <w:tc>
          <w:tcPr>
            <w:tcW w:w="0" w:type="auto"/>
          </w:tcPr>
          <w:p w14:paraId="162E55C6" w14:textId="77777777" w:rsidR="008C5CFA" w:rsidRPr="00601E29" w:rsidRDefault="00E82A60" w:rsidP="00300A01">
            <w:pPr>
              <w:spacing w:before="0" w:after="0"/>
              <w:jc w:val="center"/>
              <w:rPr>
                <w:b/>
                <w:sz w:val="10"/>
                <w:szCs w:val="10"/>
                <w:lang w:val="fr-BE"/>
              </w:rPr>
            </w:pPr>
            <w:r w:rsidRPr="00601E29">
              <w:rPr>
                <w:b/>
                <w:noProof/>
                <w:sz w:val="10"/>
                <w:szCs w:val="10"/>
                <w:lang w:val="fr-BE"/>
              </w:rPr>
              <w:t>Kobiety</w:t>
            </w:r>
          </w:p>
        </w:tc>
        <w:tc>
          <w:tcPr>
            <w:tcW w:w="0" w:type="auto"/>
          </w:tcPr>
          <w:p w14:paraId="0A9D3E50" w14:textId="77777777" w:rsidR="008C5CFA" w:rsidRPr="00601E29" w:rsidRDefault="00E82A60" w:rsidP="00300A01">
            <w:pPr>
              <w:spacing w:before="0" w:after="0"/>
              <w:jc w:val="center"/>
              <w:rPr>
                <w:b/>
                <w:sz w:val="10"/>
                <w:szCs w:val="10"/>
                <w:lang w:val="fr-BE"/>
              </w:rPr>
            </w:pPr>
            <w:r w:rsidRPr="00601E29">
              <w:rPr>
                <w:b/>
                <w:noProof/>
                <w:sz w:val="10"/>
                <w:szCs w:val="10"/>
                <w:lang w:val="fr-BE"/>
              </w:rPr>
              <w:t>Ogółem</w:t>
            </w:r>
          </w:p>
        </w:tc>
        <w:tc>
          <w:tcPr>
            <w:tcW w:w="0" w:type="auto"/>
          </w:tcPr>
          <w:p w14:paraId="4D6C2B13" w14:textId="77777777" w:rsidR="008C5CFA" w:rsidRPr="00601E29" w:rsidRDefault="00E82A60" w:rsidP="00300A01">
            <w:pPr>
              <w:spacing w:before="0" w:after="0"/>
              <w:jc w:val="center"/>
              <w:rPr>
                <w:b/>
                <w:sz w:val="10"/>
                <w:szCs w:val="10"/>
                <w:lang w:val="fr-BE"/>
              </w:rPr>
            </w:pPr>
            <w:r w:rsidRPr="00601E29">
              <w:rPr>
                <w:b/>
                <w:noProof/>
                <w:sz w:val="10"/>
                <w:szCs w:val="10"/>
                <w:lang w:val="fr-BE"/>
              </w:rPr>
              <w:t>Mężczyźni</w:t>
            </w:r>
          </w:p>
        </w:tc>
        <w:tc>
          <w:tcPr>
            <w:tcW w:w="0" w:type="auto"/>
          </w:tcPr>
          <w:p w14:paraId="49BD5197" w14:textId="77777777" w:rsidR="008C5CFA" w:rsidRPr="00601E29" w:rsidRDefault="00E82A60" w:rsidP="00300A01">
            <w:pPr>
              <w:spacing w:before="0" w:after="0"/>
              <w:jc w:val="center"/>
              <w:rPr>
                <w:b/>
                <w:sz w:val="10"/>
                <w:szCs w:val="10"/>
                <w:lang w:val="fr-BE"/>
              </w:rPr>
            </w:pPr>
            <w:r w:rsidRPr="00601E29">
              <w:rPr>
                <w:b/>
                <w:noProof/>
                <w:sz w:val="10"/>
                <w:szCs w:val="10"/>
                <w:lang w:val="fr-BE"/>
              </w:rPr>
              <w:t>Kobiety</w:t>
            </w:r>
          </w:p>
        </w:tc>
        <w:tc>
          <w:tcPr>
            <w:tcW w:w="0" w:type="auto"/>
          </w:tcPr>
          <w:p w14:paraId="7EEFF7F3" w14:textId="77777777" w:rsidR="008C5CFA" w:rsidRPr="00601E29" w:rsidRDefault="008C5CFA" w:rsidP="00300A01">
            <w:pPr>
              <w:spacing w:before="0" w:after="0"/>
              <w:jc w:val="center"/>
              <w:rPr>
                <w:b/>
                <w:sz w:val="10"/>
                <w:szCs w:val="10"/>
                <w:lang w:val="fr-BE"/>
              </w:rPr>
            </w:pPr>
          </w:p>
        </w:tc>
      </w:tr>
      <w:tr w:rsidR="006B2EC1" w14:paraId="657D479D" w14:textId="77777777" w:rsidTr="0047688D">
        <w:tc>
          <w:tcPr>
            <w:tcW w:w="0" w:type="auto"/>
            <w:shd w:val="clear" w:color="auto" w:fill="auto"/>
          </w:tcPr>
          <w:p w14:paraId="6FBDA3FA" w14:textId="77777777" w:rsidR="008C5CFA" w:rsidRPr="00601E29" w:rsidRDefault="00E82A60" w:rsidP="00300A01">
            <w:pPr>
              <w:spacing w:before="0" w:after="0"/>
              <w:rPr>
                <w:sz w:val="10"/>
                <w:szCs w:val="10"/>
                <w:lang w:val="fr-BE"/>
              </w:rPr>
            </w:pPr>
            <w:r w:rsidRPr="00601E29">
              <w:rPr>
                <w:noProof/>
                <w:sz w:val="10"/>
                <w:szCs w:val="10"/>
                <w:lang w:val="fr-BE"/>
              </w:rPr>
              <w:t>112</w:t>
            </w:r>
          </w:p>
        </w:tc>
        <w:tc>
          <w:tcPr>
            <w:tcW w:w="0" w:type="auto"/>
            <w:shd w:val="clear" w:color="auto" w:fill="auto"/>
          </w:tcPr>
          <w:p w14:paraId="5948ADF2" w14:textId="77777777" w:rsidR="008C5CFA" w:rsidRPr="00601E29" w:rsidRDefault="00E82A60" w:rsidP="00300A01">
            <w:pPr>
              <w:spacing w:before="0" w:after="0"/>
              <w:rPr>
                <w:sz w:val="10"/>
                <w:szCs w:val="10"/>
                <w:lang w:val="fr-BE"/>
              </w:rPr>
            </w:pPr>
            <w:r w:rsidRPr="00601E29">
              <w:rPr>
                <w:noProof/>
                <w:sz w:val="10"/>
                <w:szCs w:val="10"/>
                <w:lang w:val="fr-BE"/>
              </w:rPr>
              <w:t>Liczba miejsc pracy utworzonych  w przedsiębiorstwach społecznych</w:t>
            </w:r>
          </w:p>
        </w:tc>
        <w:tc>
          <w:tcPr>
            <w:tcW w:w="0" w:type="auto"/>
            <w:shd w:val="clear" w:color="auto" w:fill="auto"/>
          </w:tcPr>
          <w:p w14:paraId="54460E21" w14:textId="77777777" w:rsidR="008C5CFA" w:rsidRPr="00601E29" w:rsidRDefault="00E82A60" w:rsidP="00300A01">
            <w:pPr>
              <w:spacing w:before="0" w:after="0"/>
              <w:rPr>
                <w:sz w:val="10"/>
                <w:szCs w:val="10"/>
                <w:lang w:val="fr-BE"/>
              </w:rPr>
            </w:pPr>
            <w:r w:rsidRPr="00601E29">
              <w:rPr>
                <w:noProof/>
                <w:sz w:val="10"/>
                <w:szCs w:val="10"/>
                <w:lang w:val="fr-BE"/>
              </w:rPr>
              <w:t>Słabiej rozwinięte</w:t>
            </w:r>
          </w:p>
        </w:tc>
        <w:tc>
          <w:tcPr>
            <w:tcW w:w="0" w:type="auto"/>
          </w:tcPr>
          <w:p w14:paraId="1E98F370" w14:textId="77777777" w:rsidR="008C5CFA" w:rsidRPr="00601E29" w:rsidRDefault="00E82A60" w:rsidP="00300A01">
            <w:pPr>
              <w:spacing w:before="0" w:after="0"/>
              <w:jc w:val="right"/>
              <w:rPr>
                <w:sz w:val="10"/>
                <w:szCs w:val="10"/>
                <w:lang w:val="fr-BE"/>
              </w:rPr>
            </w:pPr>
            <w:r w:rsidRPr="00601E29">
              <w:rPr>
                <w:noProof/>
                <w:sz w:val="10"/>
                <w:szCs w:val="10"/>
                <w:lang w:val="fr-BE"/>
              </w:rPr>
              <w:t>51,00</w:t>
            </w:r>
          </w:p>
        </w:tc>
        <w:tc>
          <w:tcPr>
            <w:tcW w:w="0" w:type="auto"/>
          </w:tcPr>
          <w:p w14:paraId="6CBFD54B"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166694A3"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7860E463" w14:textId="77777777" w:rsidR="008C5CFA" w:rsidRPr="00601E29" w:rsidRDefault="00E82A60" w:rsidP="00300A01">
            <w:pPr>
              <w:spacing w:before="0" w:after="0"/>
              <w:jc w:val="right"/>
              <w:rPr>
                <w:sz w:val="10"/>
                <w:szCs w:val="10"/>
                <w:lang w:val="fr-BE"/>
              </w:rPr>
            </w:pPr>
            <w:r w:rsidRPr="00601E29">
              <w:rPr>
                <w:noProof/>
                <w:sz w:val="10"/>
                <w:szCs w:val="10"/>
                <w:lang w:val="fr-BE"/>
              </w:rPr>
              <w:t>41,00</w:t>
            </w:r>
          </w:p>
        </w:tc>
        <w:tc>
          <w:tcPr>
            <w:tcW w:w="0" w:type="auto"/>
          </w:tcPr>
          <w:p w14:paraId="3826AC7E"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3EB4216F"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1F7379FD" w14:textId="77777777" w:rsidR="008C5CFA" w:rsidRPr="00601E29" w:rsidRDefault="008C5CFA" w:rsidP="00300A01">
            <w:pPr>
              <w:spacing w:before="0" w:after="0"/>
              <w:jc w:val="right"/>
              <w:rPr>
                <w:sz w:val="10"/>
                <w:szCs w:val="10"/>
                <w:lang w:val="fr-BE"/>
              </w:rPr>
            </w:pPr>
          </w:p>
        </w:tc>
        <w:tc>
          <w:tcPr>
            <w:tcW w:w="0" w:type="auto"/>
          </w:tcPr>
          <w:p w14:paraId="2C1BB082" w14:textId="77777777" w:rsidR="008C5CFA" w:rsidRPr="00601E29" w:rsidRDefault="00E82A60" w:rsidP="00300A01">
            <w:pPr>
              <w:spacing w:before="0" w:after="0"/>
              <w:jc w:val="right"/>
              <w:rPr>
                <w:sz w:val="10"/>
                <w:szCs w:val="10"/>
                <w:lang w:val="fr-BE"/>
              </w:rPr>
            </w:pPr>
            <w:r w:rsidRPr="00601E29">
              <w:rPr>
                <w:noProof/>
                <w:sz w:val="10"/>
                <w:szCs w:val="10"/>
                <w:lang w:val="fr-BE"/>
              </w:rPr>
              <w:t>10,00</w:t>
            </w:r>
          </w:p>
        </w:tc>
        <w:tc>
          <w:tcPr>
            <w:tcW w:w="0" w:type="auto"/>
          </w:tcPr>
          <w:p w14:paraId="3D4F3DA6"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23FCDBA7"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3683610C" w14:textId="77777777" w:rsidR="008C5CFA" w:rsidRPr="00601E29" w:rsidRDefault="00E82A60" w:rsidP="00300A01">
            <w:pPr>
              <w:spacing w:before="0" w:after="0"/>
              <w:jc w:val="right"/>
              <w:rPr>
                <w:sz w:val="10"/>
                <w:szCs w:val="10"/>
                <w:lang w:val="fr-BE"/>
              </w:rPr>
            </w:pPr>
            <w:r w:rsidRPr="00601E29">
              <w:rPr>
                <w:noProof/>
                <w:sz w:val="10"/>
                <w:szCs w:val="10"/>
                <w:lang w:val="fr-BE"/>
              </w:rPr>
              <w:t>10,00</w:t>
            </w:r>
          </w:p>
        </w:tc>
        <w:tc>
          <w:tcPr>
            <w:tcW w:w="0" w:type="auto"/>
          </w:tcPr>
          <w:p w14:paraId="692ED8DB"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45423F0C"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19798202" w14:textId="77777777" w:rsidR="008C5CFA" w:rsidRPr="00601E29" w:rsidRDefault="008C5CFA" w:rsidP="00300A01">
            <w:pPr>
              <w:spacing w:before="0" w:after="0"/>
              <w:jc w:val="right"/>
              <w:rPr>
                <w:sz w:val="10"/>
                <w:szCs w:val="10"/>
                <w:lang w:val="fr-BE"/>
              </w:rPr>
            </w:pPr>
          </w:p>
        </w:tc>
      </w:tr>
      <w:tr w:rsidR="006B2EC1" w14:paraId="2FE6A3E9" w14:textId="77777777" w:rsidTr="0047688D">
        <w:tc>
          <w:tcPr>
            <w:tcW w:w="0" w:type="auto"/>
            <w:shd w:val="clear" w:color="auto" w:fill="auto"/>
          </w:tcPr>
          <w:p w14:paraId="1231376B" w14:textId="77777777" w:rsidR="008C5CFA" w:rsidRPr="00601E29" w:rsidRDefault="00E82A60" w:rsidP="00300A01">
            <w:pPr>
              <w:spacing w:before="0" w:after="0"/>
              <w:rPr>
                <w:sz w:val="10"/>
                <w:szCs w:val="10"/>
                <w:lang w:val="fr-BE"/>
              </w:rPr>
            </w:pPr>
            <w:r w:rsidRPr="00601E29">
              <w:rPr>
                <w:noProof/>
                <w:sz w:val="10"/>
                <w:szCs w:val="10"/>
                <w:lang w:val="fr-BE"/>
              </w:rPr>
              <w:t>113</w:t>
            </w:r>
          </w:p>
        </w:tc>
        <w:tc>
          <w:tcPr>
            <w:tcW w:w="0" w:type="auto"/>
            <w:shd w:val="clear" w:color="auto" w:fill="auto"/>
          </w:tcPr>
          <w:p w14:paraId="0527AE22" w14:textId="77777777" w:rsidR="008C5CFA" w:rsidRPr="00601E29" w:rsidRDefault="00E82A60" w:rsidP="00300A01">
            <w:pPr>
              <w:spacing w:before="0" w:after="0"/>
              <w:rPr>
                <w:sz w:val="10"/>
                <w:szCs w:val="10"/>
                <w:lang w:val="fr-BE"/>
              </w:rPr>
            </w:pPr>
            <w:r w:rsidRPr="00601E29">
              <w:rPr>
                <w:noProof/>
                <w:sz w:val="10"/>
                <w:szCs w:val="10"/>
                <w:lang w:val="fr-BE"/>
              </w:rPr>
              <w:t>Liczba miejsc pracy istniejących co najmniej 30 miesięcy, utworzonych  w przedsiębiorstwach społecznych</w:t>
            </w:r>
          </w:p>
        </w:tc>
        <w:tc>
          <w:tcPr>
            <w:tcW w:w="0" w:type="auto"/>
            <w:shd w:val="clear" w:color="auto" w:fill="auto"/>
          </w:tcPr>
          <w:p w14:paraId="5E5012E9" w14:textId="77777777" w:rsidR="008C5CFA" w:rsidRPr="00601E29" w:rsidRDefault="00E82A60" w:rsidP="00300A01">
            <w:pPr>
              <w:spacing w:before="0" w:after="0"/>
              <w:rPr>
                <w:sz w:val="10"/>
                <w:szCs w:val="10"/>
                <w:lang w:val="fr-BE"/>
              </w:rPr>
            </w:pPr>
            <w:r w:rsidRPr="00601E29">
              <w:rPr>
                <w:noProof/>
                <w:sz w:val="10"/>
                <w:szCs w:val="10"/>
                <w:lang w:val="fr-BE"/>
              </w:rPr>
              <w:t>Słabiej rozwinięte</w:t>
            </w:r>
          </w:p>
        </w:tc>
        <w:tc>
          <w:tcPr>
            <w:tcW w:w="0" w:type="auto"/>
          </w:tcPr>
          <w:p w14:paraId="40F25634"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2BE1CF66"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10DE52FA"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3C21E8E8"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7BF0ECEF"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64BE992A"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7F06C256" w14:textId="77777777" w:rsidR="008C5CFA" w:rsidRPr="00601E29" w:rsidRDefault="008C5CFA" w:rsidP="00300A01">
            <w:pPr>
              <w:spacing w:before="0" w:after="0"/>
              <w:jc w:val="right"/>
              <w:rPr>
                <w:sz w:val="10"/>
                <w:szCs w:val="10"/>
                <w:lang w:val="fr-BE"/>
              </w:rPr>
            </w:pPr>
          </w:p>
        </w:tc>
        <w:tc>
          <w:tcPr>
            <w:tcW w:w="0" w:type="auto"/>
          </w:tcPr>
          <w:p w14:paraId="415A5487"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41699F7A"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0C17DC65"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0A6ED6B3"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592F59DB"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089715AE"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27277600" w14:textId="77777777" w:rsidR="008C5CFA" w:rsidRPr="00601E29" w:rsidRDefault="008C5CFA" w:rsidP="00300A01">
            <w:pPr>
              <w:spacing w:before="0" w:after="0"/>
              <w:jc w:val="right"/>
              <w:rPr>
                <w:sz w:val="10"/>
                <w:szCs w:val="10"/>
                <w:lang w:val="fr-BE"/>
              </w:rPr>
            </w:pPr>
          </w:p>
        </w:tc>
      </w:tr>
      <w:tr w:rsidR="006B2EC1" w14:paraId="0D79E978" w14:textId="77777777" w:rsidTr="0047688D">
        <w:tc>
          <w:tcPr>
            <w:tcW w:w="0" w:type="auto"/>
            <w:shd w:val="clear" w:color="auto" w:fill="auto"/>
          </w:tcPr>
          <w:p w14:paraId="3E2AE72E" w14:textId="77777777" w:rsidR="008C5CFA" w:rsidRPr="00601E29" w:rsidRDefault="00E82A60" w:rsidP="00300A01">
            <w:pPr>
              <w:spacing w:before="0" w:after="0"/>
              <w:rPr>
                <w:sz w:val="10"/>
                <w:szCs w:val="10"/>
                <w:lang w:val="fr-BE"/>
              </w:rPr>
            </w:pPr>
            <w:r w:rsidRPr="00601E29">
              <w:rPr>
                <w:noProof/>
                <w:sz w:val="10"/>
                <w:szCs w:val="10"/>
                <w:lang w:val="fr-BE"/>
              </w:rPr>
              <w:t>019</w:t>
            </w:r>
          </w:p>
        </w:tc>
        <w:tc>
          <w:tcPr>
            <w:tcW w:w="0" w:type="auto"/>
            <w:shd w:val="clear" w:color="auto" w:fill="auto"/>
          </w:tcPr>
          <w:p w14:paraId="0EF398C5" w14:textId="77777777" w:rsidR="008C5CFA" w:rsidRPr="00601E29" w:rsidRDefault="00E82A60" w:rsidP="00300A01">
            <w:pPr>
              <w:spacing w:before="0" w:after="0"/>
              <w:rPr>
                <w:sz w:val="10"/>
                <w:szCs w:val="10"/>
                <w:lang w:val="fr-BE"/>
              </w:rPr>
            </w:pPr>
            <w:r w:rsidRPr="00601E29">
              <w:rPr>
                <w:noProof/>
                <w:sz w:val="10"/>
                <w:szCs w:val="10"/>
                <w:lang w:val="fr-BE"/>
              </w:rPr>
              <w:t>Liczba osób zagrożonych ubóstwem lub wykluczeniem społecznym pracujących po opuszczeniu programu (łącznie z pracującymi na własny rachunek)</w:t>
            </w:r>
          </w:p>
        </w:tc>
        <w:tc>
          <w:tcPr>
            <w:tcW w:w="0" w:type="auto"/>
            <w:shd w:val="clear" w:color="auto" w:fill="auto"/>
          </w:tcPr>
          <w:p w14:paraId="323874DD" w14:textId="77777777" w:rsidR="008C5CFA" w:rsidRPr="00601E29" w:rsidRDefault="00E82A60" w:rsidP="00300A01">
            <w:pPr>
              <w:spacing w:before="0" w:after="0"/>
              <w:rPr>
                <w:sz w:val="10"/>
                <w:szCs w:val="10"/>
                <w:lang w:val="fr-BE"/>
              </w:rPr>
            </w:pPr>
            <w:r w:rsidRPr="00601E29">
              <w:rPr>
                <w:noProof/>
                <w:sz w:val="10"/>
                <w:szCs w:val="10"/>
                <w:lang w:val="fr-BE"/>
              </w:rPr>
              <w:t>Słabiej rozwinięte</w:t>
            </w:r>
          </w:p>
        </w:tc>
        <w:tc>
          <w:tcPr>
            <w:tcW w:w="0" w:type="auto"/>
          </w:tcPr>
          <w:p w14:paraId="3AE81E13" w14:textId="77777777" w:rsidR="008C5CFA" w:rsidRPr="00601E29" w:rsidRDefault="00E82A60" w:rsidP="00300A01">
            <w:pPr>
              <w:spacing w:before="0" w:after="0"/>
              <w:jc w:val="right"/>
              <w:rPr>
                <w:sz w:val="10"/>
                <w:szCs w:val="10"/>
                <w:lang w:val="fr-BE"/>
              </w:rPr>
            </w:pPr>
            <w:r w:rsidRPr="00601E29">
              <w:rPr>
                <w:noProof/>
                <w:sz w:val="10"/>
                <w:szCs w:val="10"/>
                <w:lang w:val="fr-BE"/>
              </w:rPr>
              <w:t>55,00</w:t>
            </w:r>
          </w:p>
        </w:tc>
        <w:tc>
          <w:tcPr>
            <w:tcW w:w="0" w:type="auto"/>
          </w:tcPr>
          <w:p w14:paraId="75D685EE"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41DD0328"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56CEED92" w14:textId="77777777" w:rsidR="008C5CFA" w:rsidRPr="00601E29" w:rsidRDefault="00E82A60" w:rsidP="00300A01">
            <w:pPr>
              <w:spacing w:before="0" w:after="0"/>
              <w:jc w:val="right"/>
              <w:rPr>
                <w:sz w:val="10"/>
                <w:szCs w:val="10"/>
                <w:lang w:val="fr-BE"/>
              </w:rPr>
            </w:pPr>
            <w:r w:rsidRPr="00601E29">
              <w:rPr>
                <w:noProof/>
                <w:sz w:val="10"/>
                <w:szCs w:val="10"/>
                <w:lang w:val="fr-BE"/>
              </w:rPr>
              <w:t>47,00</w:t>
            </w:r>
          </w:p>
        </w:tc>
        <w:tc>
          <w:tcPr>
            <w:tcW w:w="0" w:type="auto"/>
          </w:tcPr>
          <w:p w14:paraId="5B7CE449"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614EB416"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235F9B97" w14:textId="77777777" w:rsidR="008C5CFA" w:rsidRPr="00601E29" w:rsidRDefault="008C5CFA" w:rsidP="00300A01">
            <w:pPr>
              <w:spacing w:before="0" w:after="0"/>
              <w:jc w:val="right"/>
              <w:rPr>
                <w:sz w:val="10"/>
                <w:szCs w:val="10"/>
                <w:lang w:val="fr-BE"/>
              </w:rPr>
            </w:pPr>
          </w:p>
        </w:tc>
        <w:tc>
          <w:tcPr>
            <w:tcW w:w="0" w:type="auto"/>
          </w:tcPr>
          <w:p w14:paraId="25E0C367" w14:textId="77777777" w:rsidR="008C5CFA" w:rsidRPr="00601E29" w:rsidRDefault="00E82A60" w:rsidP="00300A01">
            <w:pPr>
              <w:spacing w:before="0" w:after="0"/>
              <w:jc w:val="right"/>
              <w:rPr>
                <w:sz w:val="10"/>
                <w:szCs w:val="10"/>
                <w:lang w:val="fr-BE"/>
              </w:rPr>
            </w:pPr>
            <w:r w:rsidRPr="00601E29">
              <w:rPr>
                <w:noProof/>
                <w:sz w:val="10"/>
                <w:szCs w:val="10"/>
                <w:lang w:val="fr-BE"/>
              </w:rPr>
              <w:t>8,00</w:t>
            </w:r>
          </w:p>
        </w:tc>
        <w:tc>
          <w:tcPr>
            <w:tcW w:w="0" w:type="auto"/>
          </w:tcPr>
          <w:p w14:paraId="3AB50E33"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4EEE94D1"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31CFEB0C" w14:textId="77777777" w:rsidR="008C5CFA" w:rsidRPr="00601E29" w:rsidRDefault="00E82A60" w:rsidP="00300A01">
            <w:pPr>
              <w:spacing w:before="0" w:after="0"/>
              <w:jc w:val="right"/>
              <w:rPr>
                <w:sz w:val="10"/>
                <w:szCs w:val="10"/>
                <w:lang w:val="fr-BE"/>
              </w:rPr>
            </w:pPr>
            <w:r w:rsidRPr="00601E29">
              <w:rPr>
                <w:noProof/>
                <w:sz w:val="10"/>
                <w:szCs w:val="10"/>
                <w:lang w:val="fr-BE"/>
              </w:rPr>
              <w:t>8,00</w:t>
            </w:r>
          </w:p>
        </w:tc>
        <w:tc>
          <w:tcPr>
            <w:tcW w:w="0" w:type="auto"/>
          </w:tcPr>
          <w:p w14:paraId="1078EC07"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0A0372A8"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41524DA7" w14:textId="77777777" w:rsidR="008C5CFA" w:rsidRPr="00601E29" w:rsidRDefault="008C5CFA" w:rsidP="00300A01">
            <w:pPr>
              <w:spacing w:before="0" w:after="0"/>
              <w:jc w:val="right"/>
              <w:rPr>
                <w:sz w:val="10"/>
                <w:szCs w:val="10"/>
                <w:lang w:val="fr-BE"/>
              </w:rPr>
            </w:pPr>
          </w:p>
        </w:tc>
      </w:tr>
    </w:tbl>
    <w:p w14:paraId="18FE665B"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77"/>
        <w:gridCol w:w="6521"/>
        <w:gridCol w:w="944"/>
        <w:gridCol w:w="472"/>
        <w:gridCol w:w="595"/>
        <w:gridCol w:w="478"/>
        <w:gridCol w:w="472"/>
        <w:gridCol w:w="595"/>
        <w:gridCol w:w="478"/>
        <w:gridCol w:w="631"/>
        <w:gridCol w:w="472"/>
        <w:gridCol w:w="595"/>
        <w:gridCol w:w="478"/>
        <w:gridCol w:w="472"/>
        <w:gridCol w:w="595"/>
        <w:gridCol w:w="478"/>
        <w:gridCol w:w="631"/>
      </w:tblGrid>
      <w:tr w:rsidR="006B2EC1" w14:paraId="196553E5" w14:textId="77777777" w:rsidTr="0047688D">
        <w:trPr>
          <w:tblHeader/>
        </w:trPr>
        <w:tc>
          <w:tcPr>
            <w:tcW w:w="0" w:type="auto"/>
            <w:shd w:val="clear" w:color="auto" w:fill="auto"/>
          </w:tcPr>
          <w:p w14:paraId="72A968A7" w14:textId="77777777" w:rsidR="008C5CFA" w:rsidRPr="00601E29" w:rsidRDefault="00E82A60" w:rsidP="00300A01">
            <w:pPr>
              <w:spacing w:before="0" w:after="0"/>
              <w:rPr>
                <w:b/>
                <w:sz w:val="10"/>
                <w:szCs w:val="10"/>
                <w:lang w:val="fr-BE"/>
              </w:rPr>
            </w:pPr>
            <w:r w:rsidRPr="00601E29">
              <w:rPr>
                <w:b/>
                <w:noProof/>
                <w:sz w:val="10"/>
                <w:szCs w:val="10"/>
                <w:lang w:val="fr-BE"/>
              </w:rPr>
              <w:t>ID</w:t>
            </w:r>
          </w:p>
        </w:tc>
        <w:tc>
          <w:tcPr>
            <w:tcW w:w="0" w:type="auto"/>
            <w:shd w:val="clear" w:color="auto" w:fill="auto"/>
          </w:tcPr>
          <w:p w14:paraId="6820C654" w14:textId="77777777" w:rsidR="008C5CFA" w:rsidRPr="00601E29" w:rsidRDefault="00E82A60" w:rsidP="00300A01">
            <w:pPr>
              <w:spacing w:before="0" w:after="0"/>
              <w:rPr>
                <w:b/>
                <w:sz w:val="10"/>
                <w:szCs w:val="10"/>
                <w:lang w:val="fr-BE"/>
              </w:rPr>
            </w:pPr>
            <w:r w:rsidRPr="00601E29">
              <w:rPr>
                <w:b/>
                <w:noProof/>
                <w:sz w:val="10"/>
                <w:szCs w:val="10"/>
                <w:lang w:val="fr-BE"/>
              </w:rPr>
              <w:t>Wskaźnik</w:t>
            </w:r>
          </w:p>
        </w:tc>
        <w:tc>
          <w:tcPr>
            <w:tcW w:w="0" w:type="auto"/>
            <w:shd w:val="clear" w:color="auto" w:fill="auto"/>
          </w:tcPr>
          <w:p w14:paraId="4C656180" w14:textId="77777777" w:rsidR="008C5CFA" w:rsidRPr="00601E29" w:rsidRDefault="00E82A60" w:rsidP="00300A01">
            <w:pPr>
              <w:spacing w:before="0" w:after="0"/>
              <w:rPr>
                <w:b/>
                <w:sz w:val="10"/>
                <w:szCs w:val="10"/>
                <w:lang w:val="fr-BE"/>
              </w:rPr>
            </w:pPr>
            <w:r w:rsidRPr="00601E29">
              <w:rPr>
                <w:b/>
                <w:noProof/>
                <w:sz w:val="10"/>
                <w:szCs w:val="10"/>
                <w:lang w:val="fr-BE"/>
              </w:rPr>
              <w:t>Kategoria regionu</w:t>
            </w:r>
          </w:p>
        </w:tc>
        <w:tc>
          <w:tcPr>
            <w:tcW w:w="0" w:type="auto"/>
            <w:gridSpan w:val="7"/>
          </w:tcPr>
          <w:p w14:paraId="685A554C" w14:textId="77777777" w:rsidR="008C5CFA" w:rsidRPr="00601E29" w:rsidRDefault="00E82A60" w:rsidP="00300A01">
            <w:pPr>
              <w:spacing w:before="0" w:after="0"/>
              <w:jc w:val="center"/>
              <w:rPr>
                <w:b/>
                <w:sz w:val="10"/>
                <w:szCs w:val="10"/>
                <w:lang w:val="fr-BE"/>
              </w:rPr>
            </w:pPr>
            <w:r>
              <w:rPr>
                <w:b/>
                <w:sz w:val="10"/>
                <w:szCs w:val="10"/>
                <w:lang w:val="fr-BE"/>
              </w:rPr>
              <w:t>2016</w:t>
            </w:r>
          </w:p>
        </w:tc>
        <w:tc>
          <w:tcPr>
            <w:tcW w:w="0" w:type="auto"/>
            <w:gridSpan w:val="7"/>
          </w:tcPr>
          <w:p w14:paraId="6C8730BA" w14:textId="77777777" w:rsidR="008C5CFA" w:rsidRPr="00601E29" w:rsidRDefault="00E82A60" w:rsidP="00300A01">
            <w:pPr>
              <w:spacing w:before="0" w:after="0"/>
              <w:jc w:val="center"/>
              <w:rPr>
                <w:b/>
                <w:sz w:val="10"/>
                <w:szCs w:val="10"/>
                <w:lang w:val="fr-BE"/>
              </w:rPr>
            </w:pPr>
            <w:r>
              <w:rPr>
                <w:b/>
                <w:sz w:val="10"/>
                <w:szCs w:val="10"/>
                <w:lang w:val="fr-BE"/>
              </w:rPr>
              <w:t>2015</w:t>
            </w:r>
          </w:p>
        </w:tc>
      </w:tr>
      <w:tr w:rsidR="006B2EC1" w14:paraId="13DA84B5" w14:textId="77777777" w:rsidTr="0047688D">
        <w:trPr>
          <w:tblHeader/>
        </w:trPr>
        <w:tc>
          <w:tcPr>
            <w:tcW w:w="0" w:type="auto"/>
            <w:shd w:val="clear" w:color="auto" w:fill="auto"/>
          </w:tcPr>
          <w:p w14:paraId="5F5049A3" w14:textId="77777777" w:rsidR="008C5CFA" w:rsidRPr="00601E29" w:rsidRDefault="008C5CFA" w:rsidP="00300A01">
            <w:pPr>
              <w:spacing w:before="0" w:after="0"/>
              <w:rPr>
                <w:b/>
                <w:sz w:val="10"/>
                <w:szCs w:val="10"/>
                <w:lang w:val="fr-BE"/>
              </w:rPr>
            </w:pPr>
          </w:p>
        </w:tc>
        <w:tc>
          <w:tcPr>
            <w:tcW w:w="0" w:type="auto"/>
            <w:shd w:val="clear" w:color="auto" w:fill="auto"/>
          </w:tcPr>
          <w:p w14:paraId="2625DD11" w14:textId="77777777" w:rsidR="008C5CFA" w:rsidRPr="00601E29" w:rsidRDefault="008C5CFA" w:rsidP="00300A01">
            <w:pPr>
              <w:spacing w:before="0" w:after="0"/>
              <w:rPr>
                <w:b/>
                <w:sz w:val="10"/>
                <w:szCs w:val="10"/>
                <w:lang w:val="fr-BE"/>
              </w:rPr>
            </w:pPr>
          </w:p>
        </w:tc>
        <w:tc>
          <w:tcPr>
            <w:tcW w:w="0" w:type="auto"/>
            <w:shd w:val="clear" w:color="auto" w:fill="auto"/>
          </w:tcPr>
          <w:p w14:paraId="159E8967" w14:textId="77777777" w:rsidR="008C5CFA" w:rsidRPr="00601E29" w:rsidRDefault="008C5CFA" w:rsidP="00300A01">
            <w:pPr>
              <w:spacing w:before="0" w:after="0"/>
              <w:rPr>
                <w:b/>
                <w:sz w:val="10"/>
                <w:szCs w:val="10"/>
                <w:lang w:val="fr-BE"/>
              </w:rPr>
            </w:pPr>
          </w:p>
        </w:tc>
        <w:tc>
          <w:tcPr>
            <w:tcW w:w="0" w:type="auto"/>
            <w:gridSpan w:val="3"/>
          </w:tcPr>
          <w:p w14:paraId="7E09FF0B" w14:textId="77777777" w:rsidR="008C5CFA" w:rsidRPr="00601E29" w:rsidRDefault="00E82A60" w:rsidP="00300A01">
            <w:pPr>
              <w:spacing w:before="0" w:after="0"/>
              <w:jc w:val="center"/>
              <w:rPr>
                <w:b/>
                <w:sz w:val="10"/>
                <w:szCs w:val="10"/>
                <w:lang w:val="fr-BE"/>
              </w:rPr>
            </w:pPr>
            <w:r w:rsidRPr="00601E29">
              <w:rPr>
                <w:b/>
                <w:noProof/>
                <w:sz w:val="10"/>
                <w:szCs w:val="10"/>
                <w:lang w:val="fr-BE"/>
              </w:rPr>
              <w:t>Łącznie</w:t>
            </w:r>
          </w:p>
        </w:tc>
        <w:tc>
          <w:tcPr>
            <w:tcW w:w="0" w:type="auto"/>
            <w:gridSpan w:val="3"/>
          </w:tcPr>
          <w:p w14:paraId="608A45E6" w14:textId="77777777" w:rsidR="008C5CFA" w:rsidRPr="00601E29" w:rsidRDefault="00E82A60" w:rsidP="00300A01">
            <w:pPr>
              <w:spacing w:before="0" w:after="0"/>
              <w:jc w:val="center"/>
              <w:rPr>
                <w:b/>
                <w:sz w:val="10"/>
                <w:szCs w:val="10"/>
                <w:lang w:val="fr-BE"/>
              </w:rPr>
            </w:pPr>
            <w:r w:rsidRPr="00601E29">
              <w:rPr>
                <w:b/>
                <w:noProof/>
                <w:sz w:val="10"/>
                <w:szCs w:val="10"/>
                <w:lang w:val="fr-BE"/>
              </w:rPr>
              <w:t>Łącznie w roku</w:t>
            </w:r>
          </w:p>
        </w:tc>
        <w:tc>
          <w:tcPr>
            <w:tcW w:w="0" w:type="auto"/>
          </w:tcPr>
          <w:p w14:paraId="33A880F7" w14:textId="77777777" w:rsidR="008C5CFA" w:rsidRPr="00601E29" w:rsidRDefault="00E82A60" w:rsidP="00300A01">
            <w:pPr>
              <w:spacing w:before="0" w:after="0"/>
              <w:jc w:val="center"/>
              <w:rPr>
                <w:b/>
                <w:sz w:val="10"/>
                <w:szCs w:val="10"/>
                <w:lang w:val="fr-BE"/>
              </w:rPr>
            </w:pPr>
            <w:r w:rsidRPr="00601E29">
              <w:rPr>
                <w:b/>
                <w:noProof/>
                <w:sz w:val="10"/>
                <w:szCs w:val="10"/>
                <w:lang w:val="fr-BE"/>
              </w:rPr>
              <w:t>Jakościowe</w:t>
            </w:r>
          </w:p>
        </w:tc>
        <w:tc>
          <w:tcPr>
            <w:tcW w:w="0" w:type="auto"/>
            <w:gridSpan w:val="3"/>
          </w:tcPr>
          <w:p w14:paraId="62685999" w14:textId="77777777" w:rsidR="008C5CFA" w:rsidRPr="00601E29" w:rsidRDefault="00E82A60" w:rsidP="00300A01">
            <w:pPr>
              <w:spacing w:before="0" w:after="0"/>
              <w:jc w:val="center"/>
              <w:rPr>
                <w:b/>
                <w:sz w:val="10"/>
                <w:szCs w:val="10"/>
                <w:lang w:val="fr-BE"/>
              </w:rPr>
            </w:pPr>
            <w:r w:rsidRPr="00601E29">
              <w:rPr>
                <w:b/>
                <w:noProof/>
                <w:sz w:val="10"/>
                <w:szCs w:val="10"/>
                <w:lang w:val="fr-BE"/>
              </w:rPr>
              <w:t>Łącznie</w:t>
            </w:r>
          </w:p>
        </w:tc>
        <w:tc>
          <w:tcPr>
            <w:tcW w:w="0" w:type="auto"/>
            <w:gridSpan w:val="3"/>
          </w:tcPr>
          <w:p w14:paraId="58422290" w14:textId="77777777" w:rsidR="008C5CFA" w:rsidRPr="00601E29" w:rsidRDefault="00E82A60" w:rsidP="00300A01">
            <w:pPr>
              <w:spacing w:before="0" w:after="0"/>
              <w:jc w:val="center"/>
              <w:rPr>
                <w:b/>
                <w:sz w:val="10"/>
                <w:szCs w:val="10"/>
                <w:lang w:val="fr-BE"/>
              </w:rPr>
            </w:pPr>
            <w:r w:rsidRPr="00601E29">
              <w:rPr>
                <w:b/>
                <w:noProof/>
                <w:sz w:val="10"/>
                <w:szCs w:val="10"/>
                <w:lang w:val="fr-BE"/>
              </w:rPr>
              <w:t>Łącznie w roku</w:t>
            </w:r>
          </w:p>
        </w:tc>
        <w:tc>
          <w:tcPr>
            <w:tcW w:w="0" w:type="auto"/>
          </w:tcPr>
          <w:p w14:paraId="7C34E24C" w14:textId="77777777" w:rsidR="008C5CFA" w:rsidRPr="00601E29" w:rsidRDefault="00E82A60" w:rsidP="00300A01">
            <w:pPr>
              <w:spacing w:before="0" w:after="0"/>
              <w:jc w:val="center"/>
              <w:rPr>
                <w:b/>
                <w:sz w:val="10"/>
                <w:szCs w:val="10"/>
                <w:lang w:val="fr-BE"/>
              </w:rPr>
            </w:pPr>
            <w:r w:rsidRPr="00601E29">
              <w:rPr>
                <w:b/>
                <w:noProof/>
                <w:sz w:val="10"/>
                <w:szCs w:val="10"/>
                <w:lang w:val="fr-BE"/>
              </w:rPr>
              <w:t>Jakościowe</w:t>
            </w:r>
          </w:p>
        </w:tc>
      </w:tr>
      <w:tr w:rsidR="006B2EC1" w14:paraId="3C5C2777" w14:textId="77777777" w:rsidTr="0047688D">
        <w:trPr>
          <w:tblHeader/>
        </w:trPr>
        <w:tc>
          <w:tcPr>
            <w:tcW w:w="0" w:type="auto"/>
            <w:shd w:val="clear" w:color="auto" w:fill="auto"/>
          </w:tcPr>
          <w:p w14:paraId="4121DA69" w14:textId="77777777" w:rsidR="008C5CFA" w:rsidRPr="00601E29" w:rsidRDefault="008C5CFA" w:rsidP="00300A01">
            <w:pPr>
              <w:spacing w:before="0" w:after="0"/>
              <w:rPr>
                <w:b/>
                <w:sz w:val="10"/>
                <w:szCs w:val="10"/>
                <w:lang w:val="fr-BE"/>
              </w:rPr>
            </w:pPr>
          </w:p>
        </w:tc>
        <w:tc>
          <w:tcPr>
            <w:tcW w:w="0" w:type="auto"/>
            <w:shd w:val="clear" w:color="auto" w:fill="auto"/>
          </w:tcPr>
          <w:p w14:paraId="4AC4D2FF" w14:textId="77777777" w:rsidR="008C5CFA" w:rsidRPr="00601E29" w:rsidRDefault="008C5CFA" w:rsidP="00300A01">
            <w:pPr>
              <w:spacing w:before="0" w:after="0"/>
              <w:rPr>
                <w:b/>
                <w:sz w:val="10"/>
                <w:szCs w:val="10"/>
                <w:lang w:val="fr-BE"/>
              </w:rPr>
            </w:pPr>
          </w:p>
        </w:tc>
        <w:tc>
          <w:tcPr>
            <w:tcW w:w="0" w:type="auto"/>
            <w:shd w:val="clear" w:color="auto" w:fill="auto"/>
          </w:tcPr>
          <w:p w14:paraId="7BDF6D34" w14:textId="77777777" w:rsidR="008C5CFA" w:rsidRPr="00601E29" w:rsidRDefault="008C5CFA" w:rsidP="00300A01">
            <w:pPr>
              <w:spacing w:before="0" w:after="0"/>
              <w:rPr>
                <w:b/>
                <w:sz w:val="10"/>
                <w:szCs w:val="10"/>
                <w:lang w:val="fr-BE"/>
              </w:rPr>
            </w:pPr>
          </w:p>
        </w:tc>
        <w:tc>
          <w:tcPr>
            <w:tcW w:w="0" w:type="auto"/>
          </w:tcPr>
          <w:p w14:paraId="456D6BA9" w14:textId="77777777" w:rsidR="008C5CFA" w:rsidRPr="00601E29" w:rsidRDefault="00E82A60" w:rsidP="00300A01">
            <w:pPr>
              <w:spacing w:before="0" w:after="0"/>
              <w:jc w:val="center"/>
              <w:rPr>
                <w:b/>
                <w:sz w:val="10"/>
                <w:szCs w:val="10"/>
                <w:lang w:val="fr-BE"/>
              </w:rPr>
            </w:pPr>
            <w:r w:rsidRPr="00601E29">
              <w:rPr>
                <w:b/>
                <w:noProof/>
                <w:sz w:val="10"/>
                <w:szCs w:val="10"/>
                <w:lang w:val="fr-BE"/>
              </w:rPr>
              <w:t>Ogółem</w:t>
            </w:r>
          </w:p>
        </w:tc>
        <w:tc>
          <w:tcPr>
            <w:tcW w:w="0" w:type="auto"/>
          </w:tcPr>
          <w:p w14:paraId="11C81155" w14:textId="77777777" w:rsidR="008C5CFA" w:rsidRPr="00601E29" w:rsidRDefault="00E82A60" w:rsidP="00300A01">
            <w:pPr>
              <w:spacing w:before="0" w:after="0"/>
              <w:jc w:val="center"/>
              <w:rPr>
                <w:b/>
                <w:sz w:val="10"/>
                <w:szCs w:val="10"/>
                <w:lang w:val="fr-BE"/>
              </w:rPr>
            </w:pPr>
            <w:r w:rsidRPr="00601E29">
              <w:rPr>
                <w:b/>
                <w:noProof/>
                <w:sz w:val="10"/>
                <w:szCs w:val="10"/>
                <w:lang w:val="fr-BE"/>
              </w:rPr>
              <w:t>Mężczyźni</w:t>
            </w:r>
          </w:p>
        </w:tc>
        <w:tc>
          <w:tcPr>
            <w:tcW w:w="0" w:type="auto"/>
          </w:tcPr>
          <w:p w14:paraId="434DA2AD" w14:textId="77777777" w:rsidR="008C5CFA" w:rsidRPr="00601E29" w:rsidRDefault="00E82A60" w:rsidP="00300A01">
            <w:pPr>
              <w:spacing w:before="0" w:after="0"/>
              <w:jc w:val="center"/>
              <w:rPr>
                <w:b/>
                <w:sz w:val="10"/>
                <w:szCs w:val="10"/>
                <w:lang w:val="fr-BE"/>
              </w:rPr>
            </w:pPr>
            <w:r w:rsidRPr="00601E29">
              <w:rPr>
                <w:b/>
                <w:noProof/>
                <w:sz w:val="10"/>
                <w:szCs w:val="10"/>
                <w:lang w:val="fr-BE"/>
              </w:rPr>
              <w:t>Kobiety</w:t>
            </w:r>
          </w:p>
        </w:tc>
        <w:tc>
          <w:tcPr>
            <w:tcW w:w="0" w:type="auto"/>
          </w:tcPr>
          <w:p w14:paraId="1466948D" w14:textId="77777777" w:rsidR="008C5CFA" w:rsidRPr="00601E29" w:rsidRDefault="00E82A60" w:rsidP="00300A01">
            <w:pPr>
              <w:spacing w:before="0" w:after="0"/>
              <w:jc w:val="center"/>
              <w:rPr>
                <w:b/>
                <w:sz w:val="10"/>
                <w:szCs w:val="10"/>
                <w:lang w:val="fr-BE"/>
              </w:rPr>
            </w:pPr>
            <w:r w:rsidRPr="00601E29">
              <w:rPr>
                <w:b/>
                <w:noProof/>
                <w:sz w:val="10"/>
                <w:szCs w:val="10"/>
                <w:lang w:val="fr-BE"/>
              </w:rPr>
              <w:t>Ogółem</w:t>
            </w:r>
          </w:p>
        </w:tc>
        <w:tc>
          <w:tcPr>
            <w:tcW w:w="0" w:type="auto"/>
          </w:tcPr>
          <w:p w14:paraId="3E5DA690" w14:textId="77777777" w:rsidR="008C5CFA" w:rsidRPr="00601E29" w:rsidRDefault="00E82A60" w:rsidP="00300A01">
            <w:pPr>
              <w:spacing w:before="0" w:after="0"/>
              <w:jc w:val="center"/>
              <w:rPr>
                <w:b/>
                <w:sz w:val="10"/>
                <w:szCs w:val="10"/>
                <w:lang w:val="fr-BE"/>
              </w:rPr>
            </w:pPr>
            <w:r w:rsidRPr="00601E29">
              <w:rPr>
                <w:b/>
                <w:noProof/>
                <w:sz w:val="10"/>
                <w:szCs w:val="10"/>
                <w:lang w:val="fr-BE"/>
              </w:rPr>
              <w:t>Mężczyźni</w:t>
            </w:r>
          </w:p>
        </w:tc>
        <w:tc>
          <w:tcPr>
            <w:tcW w:w="0" w:type="auto"/>
          </w:tcPr>
          <w:p w14:paraId="29CBA4C7" w14:textId="77777777" w:rsidR="008C5CFA" w:rsidRPr="00601E29" w:rsidRDefault="00E82A60" w:rsidP="00300A01">
            <w:pPr>
              <w:spacing w:before="0" w:after="0"/>
              <w:jc w:val="center"/>
              <w:rPr>
                <w:b/>
                <w:sz w:val="10"/>
                <w:szCs w:val="10"/>
                <w:lang w:val="fr-BE"/>
              </w:rPr>
            </w:pPr>
            <w:r w:rsidRPr="00601E29">
              <w:rPr>
                <w:b/>
                <w:noProof/>
                <w:sz w:val="10"/>
                <w:szCs w:val="10"/>
                <w:lang w:val="fr-BE"/>
              </w:rPr>
              <w:t>Kobiety</w:t>
            </w:r>
          </w:p>
        </w:tc>
        <w:tc>
          <w:tcPr>
            <w:tcW w:w="0" w:type="auto"/>
          </w:tcPr>
          <w:p w14:paraId="047D1E32" w14:textId="77777777" w:rsidR="008C5CFA" w:rsidRPr="00601E29" w:rsidRDefault="008C5CFA" w:rsidP="00300A01">
            <w:pPr>
              <w:spacing w:before="0" w:after="0"/>
              <w:jc w:val="center"/>
              <w:rPr>
                <w:b/>
                <w:sz w:val="10"/>
                <w:szCs w:val="10"/>
                <w:lang w:val="fr-BE"/>
              </w:rPr>
            </w:pPr>
          </w:p>
        </w:tc>
        <w:tc>
          <w:tcPr>
            <w:tcW w:w="0" w:type="auto"/>
          </w:tcPr>
          <w:p w14:paraId="4EFC049C" w14:textId="77777777" w:rsidR="008C5CFA" w:rsidRPr="00601E29" w:rsidRDefault="00E82A60" w:rsidP="00300A01">
            <w:pPr>
              <w:spacing w:before="0" w:after="0"/>
              <w:jc w:val="center"/>
              <w:rPr>
                <w:b/>
                <w:sz w:val="10"/>
                <w:szCs w:val="10"/>
                <w:lang w:val="fr-BE"/>
              </w:rPr>
            </w:pPr>
            <w:r w:rsidRPr="00601E29">
              <w:rPr>
                <w:b/>
                <w:noProof/>
                <w:sz w:val="10"/>
                <w:szCs w:val="10"/>
                <w:lang w:val="fr-BE"/>
              </w:rPr>
              <w:t>Ogółem</w:t>
            </w:r>
          </w:p>
        </w:tc>
        <w:tc>
          <w:tcPr>
            <w:tcW w:w="0" w:type="auto"/>
          </w:tcPr>
          <w:p w14:paraId="3549A11A" w14:textId="77777777" w:rsidR="008C5CFA" w:rsidRPr="00601E29" w:rsidRDefault="00E82A60" w:rsidP="00300A01">
            <w:pPr>
              <w:spacing w:before="0" w:after="0"/>
              <w:jc w:val="center"/>
              <w:rPr>
                <w:b/>
                <w:sz w:val="10"/>
                <w:szCs w:val="10"/>
                <w:lang w:val="fr-BE"/>
              </w:rPr>
            </w:pPr>
            <w:r w:rsidRPr="00601E29">
              <w:rPr>
                <w:b/>
                <w:noProof/>
                <w:sz w:val="10"/>
                <w:szCs w:val="10"/>
                <w:lang w:val="fr-BE"/>
              </w:rPr>
              <w:t>Mężczyźni</w:t>
            </w:r>
          </w:p>
        </w:tc>
        <w:tc>
          <w:tcPr>
            <w:tcW w:w="0" w:type="auto"/>
          </w:tcPr>
          <w:p w14:paraId="64B62069" w14:textId="77777777" w:rsidR="008C5CFA" w:rsidRPr="00601E29" w:rsidRDefault="00E82A60" w:rsidP="00300A01">
            <w:pPr>
              <w:spacing w:before="0" w:after="0"/>
              <w:jc w:val="center"/>
              <w:rPr>
                <w:b/>
                <w:sz w:val="10"/>
                <w:szCs w:val="10"/>
                <w:lang w:val="fr-BE"/>
              </w:rPr>
            </w:pPr>
            <w:r w:rsidRPr="00601E29">
              <w:rPr>
                <w:b/>
                <w:noProof/>
                <w:sz w:val="10"/>
                <w:szCs w:val="10"/>
                <w:lang w:val="fr-BE"/>
              </w:rPr>
              <w:t>Kobiety</w:t>
            </w:r>
          </w:p>
        </w:tc>
        <w:tc>
          <w:tcPr>
            <w:tcW w:w="0" w:type="auto"/>
          </w:tcPr>
          <w:p w14:paraId="3A063E4D" w14:textId="77777777" w:rsidR="008C5CFA" w:rsidRPr="00601E29" w:rsidRDefault="00E82A60" w:rsidP="00300A01">
            <w:pPr>
              <w:spacing w:before="0" w:after="0"/>
              <w:jc w:val="center"/>
              <w:rPr>
                <w:b/>
                <w:sz w:val="10"/>
                <w:szCs w:val="10"/>
                <w:lang w:val="fr-BE"/>
              </w:rPr>
            </w:pPr>
            <w:r w:rsidRPr="00601E29">
              <w:rPr>
                <w:b/>
                <w:noProof/>
                <w:sz w:val="10"/>
                <w:szCs w:val="10"/>
                <w:lang w:val="fr-BE"/>
              </w:rPr>
              <w:t>Ogółem</w:t>
            </w:r>
          </w:p>
        </w:tc>
        <w:tc>
          <w:tcPr>
            <w:tcW w:w="0" w:type="auto"/>
          </w:tcPr>
          <w:p w14:paraId="1C90E7DE" w14:textId="77777777" w:rsidR="008C5CFA" w:rsidRPr="00601E29" w:rsidRDefault="00E82A60" w:rsidP="00300A01">
            <w:pPr>
              <w:spacing w:before="0" w:after="0"/>
              <w:jc w:val="center"/>
              <w:rPr>
                <w:b/>
                <w:sz w:val="10"/>
                <w:szCs w:val="10"/>
                <w:lang w:val="fr-BE"/>
              </w:rPr>
            </w:pPr>
            <w:r w:rsidRPr="00601E29">
              <w:rPr>
                <w:b/>
                <w:noProof/>
                <w:sz w:val="10"/>
                <w:szCs w:val="10"/>
                <w:lang w:val="fr-BE"/>
              </w:rPr>
              <w:t>Mężczyźni</w:t>
            </w:r>
          </w:p>
        </w:tc>
        <w:tc>
          <w:tcPr>
            <w:tcW w:w="0" w:type="auto"/>
          </w:tcPr>
          <w:p w14:paraId="7E1BE598" w14:textId="77777777" w:rsidR="008C5CFA" w:rsidRPr="00601E29" w:rsidRDefault="00E82A60" w:rsidP="00300A01">
            <w:pPr>
              <w:spacing w:before="0" w:after="0"/>
              <w:jc w:val="center"/>
              <w:rPr>
                <w:b/>
                <w:sz w:val="10"/>
                <w:szCs w:val="10"/>
                <w:lang w:val="fr-BE"/>
              </w:rPr>
            </w:pPr>
            <w:r w:rsidRPr="00601E29">
              <w:rPr>
                <w:b/>
                <w:noProof/>
                <w:sz w:val="10"/>
                <w:szCs w:val="10"/>
                <w:lang w:val="fr-BE"/>
              </w:rPr>
              <w:t>Kobiety</w:t>
            </w:r>
          </w:p>
        </w:tc>
        <w:tc>
          <w:tcPr>
            <w:tcW w:w="0" w:type="auto"/>
          </w:tcPr>
          <w:p w14:paraId="0F43F008" w14:textId="77777777" w:rsidR="008C5CFA" w:rsidRPr="00601E29" w:rsidRDefault="008C5CFA" w:rsidP="00300A01">
            <w:pPr>
              <w:spacing w:before="0" w:after="0"/>
              <w:jc w:val="center"/>
              <w:rPr>
                <w:b/>
                <w:sz w:val="10"/>
                <w:szCs w:val="10"/>
                <w:lang w:val="fr-BE"/>
              </w:rPr>
            </w:pPr>
          </w:p>
        </w:tc>
      </w:tr>
      <w:tr w:rsidR="006B2EC1" w14:paraId="18F7E091" w14:textId="77777777" w:rsidTr="0047688D">
        <w:tc>
          <w:tcPr>
            <w:tcW w:w="0" w:type="auto"/>
            <w:shd w:val="clear" w:color="auto" w:fill="auto"/>
          </w:tcPr>
          <w:p w14:paraId="3662E1CA" w14:textId="77777777" w:rsidR="008C5CFA" w:rsidRPr="00601E29" w:rsidRDefault="00E82A60" w:rsidP="00300A01">
            <w:pPr>
              <w:spacing w:before="0" w:after="0"/>
              <w:rPr>
                <w:sz w:val="10"/>
                <w:szCs w:val="10"/>
                <w:lang w:val="fr-BE"/>
              </w:rPr>
            </w:pPr>
            <w:r w:rsidRPr="00601E29">
              <w:rPr>
                <w:noProof/>
                <w:sz w:val="10"/>
                <w:szCs w:val="10"/>
                <w:lang w:val="fr-BE"/>
              </w:rPr>
              <w:t>112</w:t>
            </w:r>
          </w:p>
        </w:tc>
        <w:tc>
          <w:tcPr>
            <w:tcW w:w="0" w:type="auto"/>
            <w:shd w:val="clear" w:color="auto" w:fill="auto"/>
          </w:tcPr>
          <w:p w14:paraId="0A7CC8E5" w14:textId="77777777" w:rsidR="008C5CFA" w:rsidRPr="00601E29" w:rsidRDefault="00E82A60" w:rsidP="00300A01">
            <w:pPr>
              <w:spacing w:before="0" w:after="0"/>
              <w:rPr>
                <w:sz w:val="10"/>
                <w:szCs w:val="10"/>
                <w:lang w:val="fr-BE"/>
              </w:rPr>
            </w:pPr>
            <w:r w:rsidRPr="00601E29">
              <w:rPr>
                <w:noProof/>
                <w:sz w:val="10"/>
                <w:szCs w:val="10"/>
                <w:lang w:val="fr-BE"/>
              </w:rPr>
              <w:t>Liczba miejsc pracy utworzonych  w przedsiębiorstwach społecznych</w:t>
            </w:r>
          </w:p>
        </w:tc>
        <w:tc>
          <w:tcPr>
            <w:tcW w:w="0" w:type="auto"/>
            <w:shd w:val="clear" w:color="auto" w:fill="auto"/>
          </w:tcPr>
          <w:p w14:paraId="7033A9BE" w14:textId="77777777" w:rsidR="008C5CFA" w:rsidRPr="00601E29" w:rsidRDefault="00E82A60" w:rsidP="00300A01">
            <w:pPr>
              <w:spacing w:before="0" w:after="0"/>
              <w:rPr>
                <w:sz w:val="10"/>
                <w:szCs w:val="10"/>
                <w:lang w:val="fr-BE"/>
              </w:rPr>
            </w:pPr>
            <w:r w:rsidRPr="00601E29">
              <w:rPr>
                <w:noProof/>
                <w:sz w:val="10"/>
                <w:szCs w:val="10"/>
                <w:lang w:val="fr-BE"/>
              </w:rPr>
              <w:t>Słabiej rozwinięte</w:t>
            </w:r>
          </w:p>
        </w:tc>
        <w:tc>
          <w:tcPr>
            <w:tcW w:w="0" w:type="auto"/>
          </w:tcPr>
          <w:p w14:paraId="0903D2D7"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72BC3C79"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3A68DAE7"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63A2ADF3"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72F841E7"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39053A12"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1891A7D2" w14:textId="77777777" w:rsidR="008C5CFA" w:rsidRPr="00601E29" w:rsidRDefault="008C5CFA" w:rsidP="00300A01">
            <w:pPr>
              <w:spacing w:before="0" w:after="0"/>
              <w:jc w:val="right"/>
              <w:rPr>
                <w:sz w:val="10"/>
                <w:szCs w:val="10"/>
                <w:lang w:val="fr-BE"/>
              </w:rPr>
            </w:pPr>
          </w:p>
        </w:tc>
        <w:tc>
          <w:tcPr>
            <w:tcW w:w="0" w:type="auto"/>
          </w:tcPr>
          <w:p w14:paraId="26DFF09E"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781EA241"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4A43950B"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1DB9A389"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75C37EC1"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67E2B6F6"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7F91D727" w14:textId="77777777" w:rsidR="008C5CFA" w:rsidRPr="00601E29" w:rsidRDefault="008C5CFA" w:rsidP="00300A01">
            <w:pPr>
              <w:spacing w:before="0" w:after="0"/>
              <w:jc w:val="right"/>
              <w:rPr>
                <w:sz w:val="10"/>
                <w:szCs w:val="10"/>
                <w:lang w:val="fr-BE"/>
              </w:rPr>
            </w:pPr>
          </w:p>
        </w:tc>
      </w:tr>
      <w:tr w:rsidR="006B2EC1" w14:paraId="01859F7E" w14:textId="77777777" w:rsidTr="0047688D">
        <w:tc>
          <w:tcPr>
            <w:tcW w:w="0" w:type="auto"/>
            <w:shd w:val="clear" w:color="auto" w:fill="auto"/>
          </w:tcPr>
          <w:p w14:paraId="786ED5A4" w14:textId="77777777" w:rsidR="008C5CFA" w:rsidRPr="00601E29" w:rsidRDefault="00E82A60" w:rsidP="00300A01">
            <w:pPr>
              <w:spacing w:before="0" w:after="0"/>
              <w:rPr>
                <w:sz w:val="10"/>
                <w:szCs w:val="10"/>
                <w:lang w:val="fr-BE"/>
              </w:rPr>
            </w:pPr>
            <w:r w:rsidRPr="00601E29">
              <w:rPr>
                <w:noProof/>
                <w:sz w:val="10"/>
                <w:szCs w:val="10"/>
                <w:lang w:val="fr-BE"/>
              </w:rPr>
              <w:t>113</w:t>
            </w:r>
          </w:p>
        </w:tc>
        <w:tc>
          <w:tcPr>
            <w:tcW w:w="0" w:type="auto"/>
            <w:shd w:val="clear" w:color="auto" w:fill="auto"/>
          </w:tcPr>
          <w:p w14:paraId="4F06F2E8" w14:textId="77777777" w:rsidR="008C5CFA" w:rsidRPr="00601E29" w:rsidRDefault="00E82A60" w:rsidP="00300A01">
            <w:pPr>
              <w:spacing w:before="0" w:after="0"/>
              <w:rPr>
                <w:sz w:val="10"/>
                <w:szCs w:val="10"/>
                <w:lang w:val="fr-BE"/>
              </w:rPr>
            </w:pPr>
            <w:r w:rsidRPr="00601E29">
              <w:rPr>
                <w:noProof/>
                <w:sz w:val="10"/>
                <w:szCs w:val="10"/>
                <w:lang w:val="fr-BE"/>
              </w:rPr>
              <w:t>Liczba miejsc pracy istniejących co najmniej 30 miesięcy, utworzonych  w przedsiębiorstwach społecznych</w:t>
            </w:r>
          </w:p>
        </w:tc>
        <w:tc>
          <w:tcPr>
            <w:tcW w:w="0" w:type="auto"/>
            <w:shd w:val="clear" w:color="auto" w:fill="auto"/>
          </w:tcPr>
          <w:p w14:paraId="58A191B6" w14:textId="77777777" w:rsidR="008C5CFA" w:rsidRPr="00601E29" w:rsidRDefault="00E82A60" w:rsidP="00300A01">
            <w:pPr>
              <w:spacing w:before="0" w:after="0"/>
              <w:rPr>
                <w:sz w:val="10"/>
                <w:szCs w:val="10"/>
                <w:lang w:val="fr-BE"/>
              </w:rPr>
            </w:pPr>
            <w:r w:rsidRPr="00601E29">
              <w:rPr>
                <w:noProof/>
                <w:sz w:val="10"/>
                <w:szCs w:val="10"/>
                <w:lang w:val="fr-BE"/>
              </w:rPr>
              <w:t>Słabiej rozwinięte</w:t>
            </w:r>
          </w:p>
        </w:tc>
        <w:tc>
          <w:tcPr>
            <w:tcW w:w="0" w:type="auto"/>
          </w:tcPr>
          <w:p w14:paraId="495FCE61"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7B7D4237"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0F62362A"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45C4983D"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221131BB"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08AD970C"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06885F1C" w14:textId="77777777" w:rsidR="008C5CFA" w:rsidRPr="00601E29" w:rsidRDefault="008C5CFA" w:rsidP="00300A01">
            <w:pPr>
              <w:spacing w:before="0" w:after="0"/>
              <w:jc w:val="right"/>
              <w:rPr>
                <w:sz w:val="10"/>
                <w:szCs w:val="10"/>
                <w:lang w:val="fr-BE"/>
              </w:rPr>
            </w:pPr>
          </w:p>
        </w:tc>
        <w:tc>
          <w:tcPr>
            <w:tcW w:w="0" w:type="auto"/>
          </w:tcPr>
          <w:p w14:paraId="38B56E0B"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234B70AB"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202E0D57"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21C28572"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3E861ACA"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39BE8FF3"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5EA52B93" w14:textId="77777777" w:rsidR="008C5CFA" w:rsidRPr="00601E29" w:rsidRDefault="008C5CFA" w:rsidP="00300A01">
            <w:pPr>
              <w:spacing w:before="0" w:after="0"/>
              <w:jc w:val="right"/>
              <w:rPr>
                <w:sz w:val="10"/>
                <w:szCs w:val="10"/>
                <w:lang w:val="fr-BE"/>
              </w:rPr>
            </w:pPr>
          </w:p>
        </w:tc>
      </w:tr>
      <w:tr w:rsidR="006B2EC1" w14:paraId="085F268C" w14:textId="77777777" w:rsidTr="0047688D">
        <w:tc>
          <w:tcPr>
            <w:tcW w:w="0" w:type="auto"/>
            <w:shd w:val="clear" w:color="auto" w:fill="auto"/>
          </w:tcPr>
          <w:p w14:paraId="7E444643" w14:textId="77777777" w:rsidR="008C5CFA" w:rsidRPr="00601E29" w:rsidRDefault="00E82A60" w:rsidP="00300A01">
            <w:pPr>
              <w:spacing w:before="0" w:after="0"/>
              <w:rPr>
                <w:sz w:val="10"/>
                <w:szCs w:val="10"/>
                <w:lang w:val="fr-BE"/>
              </w:rPr>
            </w:pPr>
            <w:r w:rsidRPr="00601E29">
              <w:rPr>
                <w:noProof/>
                <w:sz w:val="10"/>
                <w:szCs w:val="10"/>
                <w:lang w:val="fr-BE"/>
              </w:rPr>
              <w:t>019</w:t>
            </w:r>
          </w:p>
        </w:tc>
        <w:tc>
          <w:tcPr>
            <w:tcW w:w="0" w:type="auto"/>
            <w:shd w:val="clear" w:color="auto" w:fill="auto"/>
          </w:tcPr>
          <w:p w14:paraId="1C487FF7" w14:textId="77777777" w:rsidR="008C5CFA" w:rsidRPr="00601E29" w:rsidRDefault="00E82A60" w:rsidP="00300A01">
            <w:pPr>
              <w:spacing w:before="0" w:after="0"/>
              <w:rPr>
                <w:sz w:val="10"/>
                <w:szCs w:val="10"/>
                <w:lang w:val="fr-BE"/>
              </w:rPr>
            </w:pPr>
            <w:r w:rsidRPr="00601E29">
              <w:rPr>
                <w:noProof/>
                <w:sz w:val="10"/>
                <w:szCs w:val="10"/>
                <w:lang w:val="fr-BE"/>
              </w:rPr>
              <w:t>Liczba osób zagrożonych ubóstwem lub wykluczeniem społecznym pracujących po opuszczeniu programu (łącznie z pracującymi na własny rachunek)</w:t>
            </w:r>
          </w:p>
        </w:tc>
        <w:tc>
          <w:tcPr>
            <w:tcW w:w="0" w:type="auto"/>
            <w:shd w:val="clear" w:color="auto" w:fill="auto"/>
          </w:tcPr>
          <w:p w14:paraId="2461DCE8" w14:textId="77777777" w:rsidR="008C5CFA" w:rsidRPr="00601E29" w:rsidRDefault="00E82A60" w:rsidP="00300A01">
            <w:pPr>
              <w:spacing w:before="0" w:after="0"/>
              <w:rPr>
                <w:sz w:val="10"/>
                <w:szCs w:val="10"/>
                <w:lang w:val="fr-BE"/>
              </w:rPr>
            </w:pPr>
            <w:r w:rsidRPr="00601E29">
              <w:rPr>
                <w:noProof/>
                <w:sz w:val="10"/>
                <w:szCs w:val="10"/>
                <w:lang w:val="fr-BE"/>
              </w:rPr>
              <w:t>Słabiej rozwinięte</w:t>
            </w:r>
          </w:p>
        </w:tc>
        <w:tc>
          <w:tcPr>
            <w:tcW w:w="0" w:type="auto"/>
          </w:tcPr>
          <w:p w14:paraId="59647045"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7D33E58C"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4AFA2DEF"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7AC1103F"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5B994CB4"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23206D22"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2E077FBA" w14:textId="77777777" w:rsidR="008C5CFA" w:rsidRPr="00601E29" w:rsidRDefault="008C5CFA" w:rsidP="00300A01">
            <w:pPr>
              <w:spacing w:before="0" w:after="0"/>
              <w:jc w:val="right"/>
              <w:rPr>
                <w:sz w:val="10"/>
                <w:szCs w:val="10"/>
                <w:lang w:val="fr-BE"/>
              </w:rPr>
            </w:pPr>
          </w:p>
        </w:tc>
        <w:tc>
          <w:tcPr>
            <w:tcW w:w="0" w:type="auto"/>
          </w:tcPr>
          <w:p w14:paraId="70BBDC42"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71FDBA13"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2DD84C89"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5DFCF152"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4BC2B08E"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06FC024B"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0CF0AE66" w14:textId="77777777" w:rsidR="008C5CFA" w:rsidRPr="00601E29" w:rsidRDefault="008C5CFA" w:rsidP="00300A01">
            <w:pPr>
              <w:spacing w:before="0" w:after="0"/>
              <w:jc w:val="right"/>
              <w:rPr>
                <w:sz w:val="10"/>
                <w:szCs w:val="10"/>
                <w:lang w:val="fr-BE"/>
              </w:rPr>
            </w:pPr>
          </w:p>
        </w:tc>
      </w:tr>
    </w:tbl>
    <w:p w14:paraId="455671C5"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68"/>
        <w:gridCol w:w="8637"/>
        <w:gridCol w:w="1250"/>
        <w:gridCol w:w="626"/>
        <w:gridCol w:w="788"/>
        <w:gridCol w:w="633"/>
        <w:gridCol w:w="626"/>
        <w:gridCol w:w="788"/>
        <w:gridCol w:w="633"/>
        <w:gridCol w:w="835"/>
      </w:tblGrid>
      <w:tr w:rsidR="006B2EC1" w14:paraId="09DD5EF8" w14:textId="77777777" w:rsidTr="0047688D">
        <w:trPr>
          <w:tblHeader/>
        </w:trPr>
        <w:tc>
          <w:tcPr>
            <w:tcW w:w="0" w:type="auto"/>
            <w:shd w:val="clear" w:color="auto" w:fill="auto"/>
          </w:tcPr>
          <w:p w14:paraId="20577327" w14:textId="77777777" w:rsidR="008C5CFA" w:rsidRPr="00601E29" w:rsidRDefault="00E82A60" w:rsidP="00300A01">
            <w:pPr>
              <w:spacing w:before="0" w:after="0"/>
              <w:rPr>
                <w:b/>
                <w:sz w:val="10"/>
                <w:szCs w:val="10"/>
                <w:lang w:val="fr-BE"/>
              </w:rPr>
            </w:pPr>
            <w:r w:rsidRPr="00601E29">
              <w:rPr>
                <w:b/>
                <w:noProof/>
                <w:sz w:val="10"/>
                <w:szCs w:val="10"/>
                <w:lang w:val="fr-BE"/>
              </w:rPr>
              <w:t>ID</w:t>
            </w:r>
          </w:p>
        </w:tc>
        <w:tc>
          <w:tcPr>
            <w:tcW w:w="0" w:type="auto"/>
            <w:shd w:val="clear" w:color="auto" w:fill="auto"/>
          </w:tcPr>
          <w:p w14:paraId="55E957D0" w14:textId="77777777" w:rsidR="008C5CFA" w:rsidRPr="00601E29" w:rsidRDefault="00E82A60" w:rsidP="00300A01">
            <w:pPr>
              <w:spacing w:before="0" w:after="0"/>
              <w:rPr>
                <w:b/>
                <w:sz w:val="10"/>
                <w:szCs w:val="10"/>
                <w:lang w:val="fr-BE"/>
              </w:rPr>
            </w:pPr>
            <w:r w:rsidRPr="00601E29">
              <w:rPr>
                <w:b/>
                <w:noProof/>
                <w:sz w:val="10"/>
                <w:szCs w:val="10"/>
                <w:lang w:val="fr-BE"/>
              </w:rPr>
              <w:t>Wskaźnik</w:t>
            </w:r>
          </w:p>
        </w:tc>
        <w:tc>
          <w:tcPr>
            <w:tcW w:w="0" w:type="auto"/>
            <w:shd w:val="clear" w:color="auto" w:fill="auto"/>
          </w:tcPr>
          <w:p w14:paraId="73DAACB0" w14:textId="77777777" w:rsidR="008C5CFA" w:rsidRPr="00601E29" w:rsidRDefault="00E82A60" w:rsidP="00300A01">
            <w:pPr>
              <w:spacing w:before="0" w:after="0"/>
              <w:rPr>
                <w:b/>
                <w:sz w:val="10"/>
                <w:szCs w:val="10"/>
                <w:lang w:val="fr-BE"/>
              </w:rPr>
            </w:pPr>
            <w:r w:rsidRPr="00601E29">
              <w:rPr>
                <w:b/>
                <w:noProof/>
                <w:sz w:val="10"/>
                <w:szCs w:val="10"/>
                <w:lang w:val="fr-BE"/>
              </w:rPr>
              <w:t>Kategoria regionu</w:t>
            </w:r>
          </w:p>
        </w:tc>
        <w:tc>
          <w:tcPr>
            <w:tcW w:w="0" w:type="auto"/>
            <w:gridSpan w:val="7"/>
          </w:tcPr>
          <w:p w14:paraId="271FCBE2" w14:textId="77777777" w:rsidR="008C5CFA" w:rsidRPr="00601E29" w:rsidRDefault="00E82A60" w:rsidP="00300A01">
            <w:pPr>
              <w:spacing w:before="0" w:after="0"/>
              <w:jc w:val="center"/>
              <w:rPr>
                <w:b/>
                <w:sz w:val="10"/>
                <w:szCs w:val="10"/>
                <w:lang w:val="fr-BE"/>
              </w:rPr>
            </w:pPr>
            <w:r>
              <w:rPr>
                <w:b/>
                <w:sz w:val="10"/>
                <w:szCs w:val="10"/>
                <w:lang w:val="fr-BE"/>
              </w:rPr>
              <w:t>2014</w:t>
            </w:r>
          </w:p>
        </w:tc>
      </w:tr>
      <w:tr w:rsidR="006B2EC1" w14:paraId="3EBCE686" w14:textId="77777777" w:rsidTr="0047688D">
        <w:trPr>
          <w:tblHeader/>
        </w:trPr>
        <w:tc>
          <w:tcPr>
            <w:tcW w:w="0" w:type="auto"/>
            <w:shd w:val="clear" w:color="auto" w:fill="auto"/>
          </w:tcPr>
          <w:p w14:paraId="0C90F69C" w14:textId="77777777" w:rsidR="008C5CFA" w:rsidRPr="00601E29" w:rsidRDefault="008C5CFA" w:rsidP="00300A01">
            <w:pPr>
              <w:spacing w:before="0" w:after="0"/>
              <w:rPr>
                <w:b/>
                <w:sz w:val="10"/>
                <w:szCs w:val="10"/>
                <w:lang w:val="fr-BE"/>
              </w:rPr>
            </w:pPr>
          </w:p>
        </w:tc>
        <w:tc>
          <w:tcPr>
            <w:tcW w:w="0" w:type="auto"/>
            <w:shd w:val="clear" w:color="auto" w:fill="auto"/>
          </w:tcPr>
          <w:p w14:paraId="30518016" w14:textId="77777777" w:rsidR="008C5CFA" w:rsidRPr="00601E29" w:rsidRDefault="008C5CFA" w:rsidP="00300A01">
            <w:pPr>
              <w:spacing w:before="0" w:after="0"/>
              <w:rPr>
                <w:b/>
                <w:sz w:val="10"/>
                <w:szCs w:val="10"/>
                <w:lang w:val="fr-BE"/>
              </w:rPr>
            </w:pPr>
          </w:p>
        </w:tc>
        <w:tc>
          <w:tcPr>
            <w:tcW w:w="0" w:type="auto"/>
            <w:shd w:val="clear" w:color="auto" w:fill="auto"/>
          </w:tcPr>
          <w:p w14:paraId="41AB956C" w14:textId="77777777" w:rsidR="008C5CFA" w:rsidRPr="00601E29" w:rsidRDefault="008C5CFA" w:rsidP="00300A01">
            <w:pPr>
              <w:spacing w:before="0" w:after="0"/>
              <w:rPr>
                <w:b/>
                <w:sz w:val="10"/>
                <w:szCs w:val="10"/>
                <w:lang w:val="fr-BE"/>
              </w:rPr>
            </w:pPr>
          </w:p>
        </w:tc>
        <w:tc>
          <w:tcPr>
            <w:tcW w:w="0" w:type="auto"/>
            <w:gridSpan w:val="3"/>
          </w:tcPr>
          <w:p w14:paraId="6E902A5F" w14:textId="77777777" w:rsidR="008C5CFA" w:rsidRPr="00601E29" w:rsidRDefault="00E82A60" w:rsidP="00300A01">
            <w:pPr>
              <w:spacing w:before="0" w:after="0"/>
              <w:jc w:val="center"/>
              <w:rPr>
                <w:b/>
                <w:sz w:val="10"/>
                <w:szCs w:val="10"/>
                <w:lang w:val="fr-BE"/>
              </w:rPr>
            </w:pPr>
            <w:r w:rsidRPr="00601E29">
              <w:rPr>
                <w:b/>
                <w:noProof/>
                <w:sz w:val="10"/>
                <w:szCs w:val="10"/>
                <w:lang w:val="fr-BE"/>
              </w:rPr>
              <w:t>Łącznie</w:t>
            </w:r>
          </w:p>
        </w:tc>
        <w:tc>
          <w:tcPr>
            <w:tcW w:w="0" w:type="auto"/>
            <w:gridSpan w:val="3"/>
          </w:tcPr>
          <w:p w14:paraId="2BB66C0F" w14:textId="77777777" w:rsidR="008C5CFA" w:rsidRPr="00601E29" w:rsidRDefault="00E82A60" w:rsidP="00300A01">
            <w:pPr>
              <w:spacing w:before="0" w:after="0"/>
              <w:jc w:val="center"/>
              <w:rPr>
                <w:b/>
                <w:sz w:val="10"/>
                <w:szCs w:val="10"/>
                <w:lang w:val="fr-BE"/>
              </w:rPr>
            </w:pPr>
            <w:r w:rsidRPr="00601E29">
              <w:rPr>
                <w:b/>
                <w:noProof/>
                <w:sz w:val="10"/>
                <w:szCs w:val="10"/>
                <w:lang w:val="fr-BE"/>
              </w:rPr>
              <w:t>Łącznie w roku</w:t>
            </w:r>
          </w:p>
        </w:tc>
        <w:tc>
          <w:tcPr>
            <w:tcW w:w="0" w:type="auto"/>
          </w:tcPr>
          <w:p w14:paraId="105C4482" w14:textId="77777777" w:rsidR="008C5CFA" w:rsidRPr="00601E29" w:rsidRDefault="00E82A60" w:rsidP="00300A01">
            <w:pPr>
              <w:spacing w:before="0" w:after="0"/>
              <w:jc w:val="center"/>
              <w:rPr>
                <w:b/>
                <w:sz w:val="10"/>
                <w:szCs w:val="10"/>
                <w:lang w:val="fr-BE"/>
              </w:rPr>
            </w:pPr>
            <w:r w:rsidRPr="00601E29">
              <w:rPr>
                <w:b/>
                <w:noProof/>
                <w:sz w:val="10"/>
                <w:szCs w:val="10"/>
                <w:lang w:val="fr-BE"/>
              </w:rPr>
              <w:t>Jakościowe</w:t>
            </w:r>
          </w:p>
        </w:tc>
      </w:tr>
      <w:tr w:rsidR="006B2EC1" w14:paraId="771759DB" w14:textId="77777777" w:rsidTr="0047688D">
        <w:trPr>
          <w:tblHeader/>
        </w:trPr>
        <w:tc>
          <w:tcPr>
            <w:tcW w:w="0" w:type="auto"/>
            <w:shd w:val="clear" w:color="auto" w:fill="auto"/>
          </w:tcPr>
          <w:p w14:paraId="6FE47E77" w14:textId="77777777" w:rsidR="008C5CFA" w:rsidRPr="00601E29" w:rsidRDefault="008C5CFA" w:rsidP="00300A01">
            <w:pPr>
              <w:spacing w:before="0" w:after="0"/>
              <w:rPr>
                <w:b/>
                <w:sz w:val="10"/>
                <w:szCs w:val="10"/>
                <w:lang w:val="fr-BE"/>
              </w:rPr>
            </w:pPr>
          </w:p>
        </w:tc>
        <w:tc>
          <w:tcPr>
            <w:tcW w:w="0" w:type="auto"/>
            <w:shd w:val="clear" w:color="auto" w:fill="auto"/>
          </w:tcPr>
          <w:p w14:paraId="2BD488A1" w14:textId="77777777" w:rsidR="008C5CFA" w:rsidRPr="00601E29" w:rsidRDefault="008C5CFA" w:rsidP="00300A01">
            <w:pPr>
              <w:spacing w:before="0" w:after="0"/>
              <w:rPr>
                <w:b/>
                <w:sz w:val="10"/>
                <w:szCs w:val="10"/>
                <w:lang w:val="fr-BE"/>
              </w:rPr>
            </w:pPr>
          </w:p>
        </w:tc>
        <w:tc>
          <w:tcPr>
            <w:tcW w:w="0" w:type="auto"/>
            <w:shd w:val="clear" w:color="auto" w:fill="auto"/>
          </w:tcPr>
          <w:p w14:paraId="138A4376" w14:textId="77777777" w:rsidR="008C5CFA" w:rsidRPr="00601E29" w:rsidRDefault="008C5CFA" w:rsidP="00300A01">
            <w:pPr>
              <w:spacing w:before="0" w:after="0"/>
              <w:rPr>
                <w:b/>
                <w:sz w:val="10"/>
                <w:szCs w:val="10"/>
                <w:lang w:val="fr-BE"/>
              </w:rPr>
            </w:pPr>
          </w:p>
        </w:tc>
        <w:tc>
          <w:tcPr>
            <w:tcW w:w="0" w:type="auto"/>
          </w:tcPr>
          <w:p w14:paraId="3A4AB778" w14:textId="77777777" w:rsidR="008C5CFA" w:rsidRPr="00601E29" w:rsidRDefault="00E82A60" w:rsidP="00300A01">
            <w:pPr>
              <w:spacing w:before="0" w:after="0"/>
              <w:jc w:val="center"/>
              <w:rPr>
                <w:b/>
                <w:sz w:val="10"/>
                <w:szCs w:val="10"/>
                <w:lang w:val="fr-BE"/>
              </w:rPr>
            </w:pPr>
            <w:r w:rsidRPr="00601E29">
              <w:rPr>
                <w:b/>
                <w:noProof/>
                <w:sz w:val="10"/>
                <w:szCs w:val="10"/>
                <w:lang w:val="fr-BE"/>
              </w:rPr>
              <w:t>Ogółem</w:t>
            </w:r>
          </w:p>
        </w:tc>
        <w:tc>
          <w:tcPr>
            <w:tcW w:w="0" w:type="auto"/>
          </w:tcPr>
          <w:p w14:paraId="5F6D59DF" w14:textId="77777777" w:rsidR="008C5CFA" w:rsidRPr="00601E29" w:rsidRDefault="00E82A60" w:rsidP="00300A01">
            <w:pPr>
              <w:spacing w:before="0" w:after="0"/>
              <w:jc w:val="center"/>
              <w:rPr>
                <w:b/>
                <w:sz w:val="10"/>
                <w:szCs w:val="10"/>
                <w:lang w:val="fr-BE"/>
              </w:rPr>
            </w:pPr>
            <w:r w:rsidRPr="00601E29">
              <w:rPr>
                <w:b/>
                <w:noProof/>
                <w:sz w:val="10"/>
                <w:szCs w:val="10"/>
                <w:lang w:val="fr-BE"/>
              </w:rPr>
              <w:t>Mężczyźni</w:t>
            </w:r>
          </w:p>
        </w:tc>
        <w:tc>
          <w:tcPr>
            <w:tcW w:w="0" w:type="auto"/>
          </w:tcPr>
          <w:p w14:paraId="011DB3B5" w14:textId="77777777" w:rsidR="008C5CFA" w:rsidRPr="00601E29" w:rsidRDefault="00E82A60" w:rsidP="00300A01">
            <w:pPr>
              <w:spacing w:before="0" w:after="0"/>
              <w:jc w:val="center"/>
              <w:rPr>
                <w:b/>
                <w:sz w:val="10"/>
                <w:szCs w:val="10"/>
                <w:lang w:val="fr-BE"/>
              </w:rPr>
            </w:pPr>
            <w:r w:rsidRPr="00601E29">
              <w:rPr>
                <w:b/>
                <w:noProof/>
                <w:sz w:val="10"/>
                <w:szCs w:val="10"/>
                <w:lang w:val="fr-BE"/>
              </w:rPr>
              <w:t>Kobiety</w:t>
            </w:r>
          </w:p>
        </w:tc>
        <w:tc>
          <w:tcPr>
            <w:tcW w:w="0" w:type="auto"/>
          </w:tcPr>
          <w:p w14:paraId="6B83C53F" w14:textId="77777777" w:rsidR="008C5CFA" w:rsidRPr="00601E29" w:rsidRDefault="00E82A60" w:rsidP="00300A01">
            <w:pPr>
              <w:spacing w:before="0" w:after="0"/>
              <w:jc w:val="center"/>
              <w:rPr>
                <w:b/>
                <w:sz w:val="10"/>
                <w:szCs w:val="10"/>
                <w:lang w:val="fr-BE"/>
              </w:rPr>
            </w:pPr>
            <w:r w:rsidRPr="00601E29">
              <w:rPr>
                <w:b/>
                <w:noProof/>
                <w:sz w:val="10"/>
                <w:szCs w:val="10"/>
                <w:lang w:val="fr-BE"/>
              </w:rPr>
              <w:t>Ogółem</w:t>
            </w:r>
          </w:p>
        </w:tc>
        <w:tc>
          <w:tcPr>
            <w:tcW w:w="0" w:type="auto"/>
          </w:tcPr>
          <w:p w14:paraId="3932FF52" w14:textId="77777777" w:rsidR="008C5CFA" w:rsidRPr="00601E29" w:rsidRDefault="00E82A60" w:rsidP="00300A01">
            <w:pPr>
              <w:spacing w:before="0" w:after="0"/>
              <w:jc w:val="center"/>
              <w:rPr>
                <w:b/>
                <w:sz w:val="10"/>
                <w:szCs w:val="10"/>
                <w:lang w:val="fr-BE"/>
              </w:rPr>
            </w:pPr>
            <w:r w:rsidRPr="00601E29">
              <w:rPr>
                <w:b/>
                <w:noProof/>
                <w:sz w:val="10"/>
                <w:szCs w:val="10"/>
                <w:lang w:val="fr-BE"/>
              </w:rPr>
              <w:t>Mężczyźni</w:t>
            </w:r>
          </w:p>
        </w:tc>
        <w:tc>
          <w:tcPr>
            <w:tcW w:w="0" w:type="auto"/>
          </w:tcPr>
          <w:p w14:paraId="7479AE59" w14:textId="77777777" w:rsidR="008C5CFA" w:rsidRPr="00601E29" w:rsidRDefault="00E82A60" w:rsidP="00300A01">
            <w:pPr>
              <w:spacing w:before="0" w:after="0"/>
              <w:jc w:val="center"/>
              <w:rPr>
                <w:b/>
                <w:sz w:val="10"/>
                <w:szCs w:val="10"/>
                <w:lang w:val="fr-BE"/>
              </w:rPr>
            </w:pPr>
            <w:r w:rsidRPr="00601E29">
              <w:rPr>
                <w:b/>
                <w:noProof/>
                <w:sz w:val="10"/>
                <w:szCs w:val="10"/>
                <w:lang w:val="fr-BE"/>
              </w:rPr>
              <w:t>Kobiety</w:t>
            </w:r>
          </w:p>
        </w:tc>
        <w:tc>
          <w:tcPr>
            <w:tcW w:w="0" w:type="auto"/>
          </w:tcPr>
          <w:p w14:paraId="7B228A0F" w14:textId="77777777" w:rsidR="008C5CFA" w:rsidRPr="00601E29" w:rsidRDefault="008C5CFA" w:rsidP="00300A01">
            <w:pPr>
              <w:spacing w:before="0" w:after="0"/>
              <w:jc w:val="center"/>
              <w:rPr>
                <w:b/>
                <w:sz w:val="10"/>
                <w:szCs w:val="10"/>
                <w:lang w:val="fr-BE"/>
              </w:rPr>
            </w:pPr>
          </w:p>
        </w:tc>
      </w:tr>
      <w:tr w:rsidR="006B2EC1" w14:paraId="134A5BD3" w14:textId="77777777" w:rsidTr="0047688D">
        <w:tc>
          <w:tcPr>
            <w:tcW w:w="0" w:type="auto"/>
            <w:shd w:val="clear" w:color="auto" w:fill="auto"/>
          </w:tcPr>
          <w:p w14:paraId="55DF22DD" w14:textId="77777777" w:rsidR="008C5CFA" w:rsidRPr="00601E29" w:rsidRDefault="00E82A60" w:rsidP="00300A01">
            <w:pPr>
              <w:spacing w:before="0" w:after="0"/>
              <w:rPr>
                <w:sz w:val="10"/>
                <w:szCs w:val="10"/>
                <w:lang w:val="fr-BE"/>
              </w:rPr>
            </w:pPr>
            <w:r w:rsidRPr="00601E29">
              <w:rPr>
                <w:noProof/>
                <w:sz w:val="10"/>
                <w:szCs w:val="10"/>
                <w:lang w:val="fr-BE"/>
              </w:rPr>
              <w:t>112</w:t>
            </w:r>
          </w:p>
        </w:tc>
        <w:tc>
          <w:tcPr>
            <w:tcW w:w="0" w:type="auto"/>
            <w:shd w:val="clear" w:color="auto" w:fill="auto"/>
          </w:tcPr>
          <w:p w14:paraId="6C495F4F" w14:textId="77777777" w:rsidR="008C5CFA" w:rsidRPr="00601E29" w:rsidRDefault="00E82A60" w:rsidP="00300A01">
            <w:pPr>
              <w:spacing w:before="0" w:after="0"/>
              <w:rPr>
                <w:sz w:val="10"/>
                <w:szCs w:val="10"/>
                <w:lang w:val="fr-BE"/>
              </w:rPr>
            </w:pPr>
            <w:r w:rsidRPr="00601E29">
              <w:rPr>
                <w:noProof/>
                <w:sz w:val="10"/>
                <w:szCs w:val="10"/>
                <w:lang w:val="fr-BE"/>
              </w:rPr>
              <w:t>Liczba miejsc pracy utworzonych  w przedsiębiorstwach społecznych</w:t>
            </w:r>
          </w:p>
        </w:tc>
        <w:tc>
          <w:tcPr>
            <w:tcW w:w="0" w:type="auto"/>
            <w:shd w:val="clear" w:color="auto" w:fill="auto"/>
          </w:tcPr>
          <w:p w14:paraId="55DA5089" w14:textId="77777777" w:rsidR="008C5CFA" w:rsidRPr="00601E29" w:rsidRDefault="00E82A60" w:rsidP="00300A01">
            <w:pPr>
              <w:spacing w:before="0" w:after="0"/>
              <w:rPr>
                <w:sz w:val="10"/>
                <w:szCs w:val="10"/>
                <w:lang w:val="fr-BE"/>
              </w:rPr>
            </w:pPr>
            <w:r w:rsidRPr="00601E29">
              <w:rPr>
                <w:noProof/>
                <w:sz w:val="10"/>
                <w:szCs w:val="10"/>
                <w:lang w:val="fr-BE"/>
              </w:rPr>
              <w:t>Słabiej rozwinięte</w:t>
            </w:r>
          </w:p>
        </w:tc>
        <w:tc>
          <w:tcPr>
            <w:tcW w:w="0" w:type="auto"/>
          </w:tcPr>
          <w:p w14:paraId="335074E8"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30A1B9A8"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475C1F8C"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34331C92"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27DBD74B"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37DF3250"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0899E748" w14:textId="77777777" w:rsidR="008C5CFA" w:rsidRPr="00601E29" w:rsidRDefault="008C5CFA" w:rsidP="00300A01">
            <w:pPr>
              <w:spacing w:before="0" w:after="0"/>
              <w:jc w:val="right"/>
              <w:rPr>
                <w:sz w:val="10"/>
                <w:szCs w:val="10"/>
                <w:lang w:val="fr-BE"/>
              </w:rPr>
            </w:pPr>
          </w:p>
        </w:tc>
      </w:tr>
      <w:tr w:rsidR="006B2EC1" w14:paraId="69EAE162" w14:textId="77777777" w:rsidTr="0047688D">
        <w:tc>
          <w:tcPr>
            <w:tcW w:w="0" w:type="auto"/>
            <w:shd w:val="clear" w:color="auto" w:fill="auto"/>
          </w:tcPr>
          <w:p w14:paraId="26B156A4" w14:textId="77777777" w:rsidR="008C5CFA" w:rsidRPr="00601E29" w:rsidRDefault="00E82A60" w:rsidP="00300A01">
            <w:pPr>
              <w:spacing w:before="0" w:after="0"/>
              <w:rPr>
                <w:sz w:val="10"/>
                <w:szCs w:val="10"/>
                <w:lang w:val="fr-BE"/>
              </w:rPr>
            </w:pPr>
            <w:r w:rsidRPr="00601E29">
              <w:rPr>
                <w:noProof/>
                <w:sz w:val="10"/>
                <w:szCs w:val="10"/>
                <w:lang w:val="fr-BE"/>
              </w:rPr>
              <w:t>113</w:t>
            </w:r>
          </w:p>
        </w:tc>
        <w:tc>
          <w:tcPr>
            <w:tcW w:w="0" w:type="auto"/>
            <w:shd w:val="clear" w:color="auto" w:fill="auto"/>
          </w:tcPr>
          <w:p w14:paraId="7C5592C3" w14:textId="77777777" w:rsidR="008C5CFA" w:rsidRPr="00601E29" w:rsidRDefault="00E82A60" w:rsidP="00300A01">
            <w:pPr>
              <w:spacing w:before="0" w:after="0"/>
              <w:rPr>
                <w:sz w:val="10"/>
                <w:szCs w:val="10"/>
                <w:lang w:val="fr-BE"/>
              </w:rPr>
            </w:pPr>
            <w:r w:rsidRPr="00601E29">
              <w:rPr>
                <w:noProof/>
                <w:sz w:val="10"/>
                <w:szCs w:val="10"/>
                <w:lang w:val="fr-BE"/>
              </w:rPr>
              <w:t>Liczba miejsc pracy istniejących co najmniej 30 miesięcy, utworzonych  w przedsiębiorstwach społecznych</w:t>
            </w:r>
          </w:p>
        </w:tc>
        <w:tc>
          <w:tcPr>
            <w:tcW w:w="0" w:type="auto"/>
            <w:shd w:val="clear" w:color="auto" w:fill="auto"/>
          </w:tcPr>
          <w:p w14:paraId="79EC4417" w14:textId="77777777" w:rsidR="008C5CFA" w:rsidRPr="00601E29" w:rsidRDefault="00E82A60" w:rsidP="00300A01">
            <w:pPr>
              <w:spacing w:before="0" w:after="0"/>
              <w:rPr>
                <w:sz w:val="10"/>
                <w:szCs w:val="10"/>
                <w:lang w:val="fr-BE"/>
              </w:rPr>
            </w:pPr>
            <w:r w:rsidRPr="00601E29">
              <w:rPr>
                <w:noProof/>
                <w:sz w:val="10"/>
                <w:szCs w:val="10"/>
                <w:lang w:val="fr-BE"/>
              </w:rPr>
              <w:t>Słabiej rozwinięte</w:t>
            </w:r>
          </w:p>
        </w:tc>
        <w:tc>
          <w:tcPr>
            <w:tcW w:w="0" w:type="auto"/>
          </w:tcPr>
          <w:p w14:paraId="77FD0CEE"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41E5F9ED"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2EB1CF7E"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7671D8CE"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08975458"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308B7109"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707C4188" w14:textId="77777777" w:rsidR="008C5CFA" w:rsidRPr="00601E29" w:rsidRDefault="008C5CFA" w:rsidP="00300A01">
            <w:pPr>
              <w:spacing w:before="0" w:after="0"/>
              <w:jc w:val="right"/>
              <w:rPr>
                <w:sz w:val="10"/>
                <w:szCs w:val="10"/>
                <w:lang w:val="fr-BE"/>
              </w:rPr>
            </w:pPr>
          </w:p>
        </w:tc>
      </w:tr>
      <w:tr w:rsidR="006B2EC1" w14:paraId="5EB1C454" w14:textId="77777777" w:rsidTr="0047688D">
        <w:tc>
          <w:tcPr>
            <w:tcW w:w="0" w:type="auto"/>
            <w:shd w:val="clear" w:color="auto" w:fill="auto"/>
          </w:tcPr>
          <w:p w14:paraId="72D56ADA" w14:textId="77777777" w:rsidR="008C5CFA" w:rsidRPr="00601E29" w:rsidRDefault="00E82A60" w:rsidP="00300A01">
            <w:pPr>
              <w:spacing w:before="0" w:after="0"/>
              <w:rPr>
                <w:sz w:val="10"/>
                <w:szCs w:val="10"/>
                <w:lang w:val="fr-BE"/>
              </w:rPr>
            </w:pPr>
            <w:r w:rsidRPr="00601E29">
              <w:rPr>
                <w:noProof/>
                <w:sz w:val="10"/>
                <w:szCs w:val="10"/>
                <w:lang w:val="fr-BE"/>
              </w:rPr>
              <w:t>019</w:t>
            </w:r>
          </w:p>
        </w:tc>
        <w:tc>
          <w:tcPr>
            <w:tcW w:w="0" w:type="auto"/>
            <w:shd w:val="clear" w:color="auto" w:fill="auto"/>
          </w:tcPr>
          <w:p w14:paraId="00712FE0" w14:textId="77777777" w:rsidR="008C5CFA" w:rsidRPr="00601E29" w:rsidRDefault="00E82A60" w:rsidP="00300A01">
            <w:pPr>
              <w:spacing w:before="0" w:after="0"/>
              <w:rPr>
                <w:sz w:val="10"/>
                <w:szCs w:val="10"/>
                <w:lang w:val="fr-BE"/>
              </w:rPr>
            </w:pPr>
            <w:r w:rsidRPr="00601E29">
              <w:rPr>
                <w:noProof/>
                <w:sz w:val="10"/>
                <w:szCs w:val="10"/>
                <w:lang w:val="fr-BE"/>
              </w:rPr>
              <w:t>Liczba osób zagrożonych ubóstwem lub wykluczeniem społecznym pracujących po opuszczeniu programu (łącznie z pracującymi na własny rachunek)</w:t>
            </w:r>
          </w:p>
        </w:tc>
        <w:tc>
          <w:tcPr>
            <w:tcW w:w="0" w:type="auto"/>
            <w:shd w:val="clear" w:color="auto" w:fill="auto"/>
          </w:tcPr>
          <w:p w14:paraId="11464F76" w14:textId="77777777" w:rsidR="008C5CFA" w:rsidRPr="00601E29" w:rsidRDefault="00E82A60" w:rsidP="00300A01">
            <w:pPr>
              <w:spacing w:before="0" w:after="0"/>
              <w:rPr>
                <w:sz w:val="10"/>
                <w:szCs w:val="10"/>
                <w:lang w:val="fr-BE"/>
              </w:rPr>
            </w:pPr>
            <w:r w:rsidRPr="00601E29">
              <w:rPr>
                <w:noProof/>
                <w:sz w:val="10"/>
                <w:szCs w:val="10"/>
                <w:lang w:val="fr-BE"/>
              </w:rPr>
              <w:t>Słabiej rozwinięte</w:t>
            </w:r>
          </w:p>
        </w:tc>
        <w:tc>
          <w:tcPr>
            <w:tcW w:w="0" w:type="auto"/>
          </w:tcPr>
          <w:p w14:paraId="5163265A"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63C330C9"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52336855"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19367280"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58D3685F"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4157F67A"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66978AB9" w14:textId="77777777" w:rsidR="008C5CFA" w:rsidRPr="00601E29" w:rsidRDefault="008C5CFA" w:rsidP="00300A01">
            <w:pPr>
              <w:spacing w:before="0" w:after="0"/>
              <w:jc w:val="right"/>
              <w:rPr>
                <w:sz w:val="10"/>
                <w:szCs w:val="10"/>
                <w:lang w:val="fr-BE"/>
              </w:rPr>
            </w:pPr>
          </w:p>
        </w:tc>
      </w:tr>
    </w:tbl>
    <w:p w14:paraId="64C5C4A6" w14:textId="77777777" w:rsidR="008C5CFA" w:rsidRPr="007C3A6B" w:rsidRDefault="008C5CFA" w:rsidP="00300A01">
      <w:pPr>
        <w:spacing w:before="0" w:after="0"/>
        <w:rPr>
          <w:lang w:val="fr-BE"/>
        </w:rPr>
      </w:pPr>
    </w:p>
    <w:p w14:paraId="1215F0FE" w14:textId="77777777" w:rsidR="008C5CFA" w:rsidRDefault="00E82A60" w:rsidP="00300A01">
      <w:pPr>
        <w:spacing w:before="0" w:after="0"/>
        <w:rPr>
          <w:lang w:val="fr-BE"/>
        </w:rPr>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5"/>
        <w:gridCol w:w="13239"/>
      </w:tblGrid>
      <w:tr w:rsidR="006B2EC1" w14:paraId="547AB21A" w14:textId="77777777" w:rsidTr="0047688D">
        <w:tc>
          <w:tcPr>
            <w:tcW w:w="0" w:type="auto"/>
            <w:shd w:val="clear" w:color="auto" w:fill="auto"/>
          </w:tcPr>
          <w:p w14:paraId="6ECB0E32" w14:textId="77777777" w:rsidR="008C5CFA" w:rsidRPr="002124FC" w:rsidRDefault="00E82A60" w:rsidP="00300A01">
            <w:pPr>
              <w:spacing w:before="0" w:after="0"/>
              <w:rPr>
                <w:sz w:val="20"/>
                <w:szCs w:val="20"/>
                <w:lang w:val="fr-BE"/>
              </w:rPr>
            </w:pPr>
            <w:r>
              <w:rPr>
                <w:lang w:val="fr-BE"/>
              </w:rPr>
              <w:lastRenderedPageBreak/>
              <w:br w:type="page"/>
            </w:r>
            <w:r>
              <w:rPr>
                <w:lang w:val="fr-BE"/>
              </w:rPr>
              <w:br w:type="page"/>
            </w:r>
            <w:r w:rsidRPr="002124FC">
              <w:rPr>
                <w:noProof/>
                <w:sz w:val="20"/>
                <w:szCs w:val="20"/>
                <w:lang w:val="fr-BE"/>
              </w:rPr>
              <w:t>Oś priorytetowa</w:t>
            </w:r>
          </w:p>
        </w:tc>
        <w:tc>
          <w:tcPr>
            <w:tcW w:w="0" w:type="auto"/>
            <w:shd w:val="clear" w:color="auto" w:fill="auto"/>
          </w:tcPr>
          <w:p w14:paraId="7EEC90C4" w14:textId="77777777" w:rsidR="008C5CFA" w:rsidRPr="002124FC" w:rsidRDefault="00E82A60" w:rsidP="00300A01">
            <w:pPr>
              <w:spacing w:before="0" w:after="0"/>
              <w:rPr>
                <w:sz w:val="20"/>
                <w:szCs w:val="20"/>
                <w:lang w:val="fr-BE"/>
              </w:rPr>
            </w:pPr>
            <w:r w:rsidRPr="002124FC">
              <w:rPr>
                <w:noProof/>
                <w:sz w:val="20"/>
                <w:szCs w:val="20"/>
                <w:lang w:val="fr-BE"/>
              </w:rPr>
              <w:t>9</w:t>
            </w:r>
            <w:r w:rsidRPr="002124FC">
              <w:rPr>
                <w:sz w:val="20"/>
                <w:szCs w:val="20"/>
                <w:lang w:val="fr-BE"/>
              </w:rPr>
              <w:t xml:space="preserve"> - </w:t>
            </w:r>
            <w:r w:rsidRPr="002124FC">
              <w:rPr>
                <w:noProof/>
                <w:sz w:val="20"/>
                <w:szCs w:val="20"/>
                <w:lang w:val="fr-BE"/>
              </w:rPr>
              <w:t>Włączenie społeczne i walka z ubóstwem</w:t>
            </w:r>
          </w:p>
        </w:tc>
      </w:tr>
      <w:tr w:rsidR="006B2EC1" w14:paraId="2D5599D3" w14:textId="77777777" w:rsidTr="0047688D">
        <w:tc>
          <w:tcPr>
            <w:tcW w:w="0" w:type="auto"/>
            <w:shd w:val="clear" w:color="auto" w:fill="auto"/>
          </w:tcPr>
          <w:p w14:paraId="020F75E0" w14:textId="77777777" w:rsidR="008C5CFA" w:rsidRPr="002124FC" w:rsidRDefault="00E82A60"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14:paraId="2629D177" w14:textId="77777777" w:rsidR="008C5CFA" w:rsidRPr="002124FC" w:rsidRDefault="00E82A60" w:rsidP="00300A01">
            <w:pPr>
              <w:spacing w:before="0" w:after="0"/>
              <w:rPr>
                <w:sz w:val="20"/>
                <w:szCs w:val="20"/>
                <w:lang w:val="fr-BE"/>
              </w:rPr>
            </w:pPr>
            <w:r w:rsidRPr="002124FC">
              <w:rPr>
                <w:noProof/>
                <w:sz w:val="20"/>
                <w:szCs w:val="20"/>
                <w:lang w:val="fr-BE"/>
              </w:rPr>
              <w:t>9v</w:t>
            </w:r>
            <w:r w:rsidRPr="002124FC">
              <w:rPr>
                <w:sz w:val="20"/>
                <w:szCs w:val="20"/>
                <w:lang w:val="fr-BE"/>
              </w:rPr>
              <w:t xml:space="preserve"> - </w:t>
            </w:r>
            <w:r w:rsidRPr="002124FC">
              <w:rPr>
                <w:noProof/>
                <w:sz w:val="20"/>
                <w:szCs w:val="20"/>
                <w:lang w:val="fr-BE"/>
              </w:rPr>
              <w:t>Wspieranie przedsiębiorczości społecznej i integracji zawodowej w przedsiębiorstwach społecznych oraz ekonomii społecznej i solidarnej w celu ułatwiania dostępu do zatrudnienia</w:t>
            </w:r>
          </w:p>
        </w:tc>
      </w:tr>
    </w:tbl>
    <w:p w14:paraId="47FB0B18" w14:textId="77777777" w:rsidR="008C5CFA" w:rsidRDefault="008C5CFA" w:rsidP="00300A01">
      <w:pPr>
        <w:spacing w:before="0" w:after="0"/>
      </w:pPr>
    </w:p>
    <w:p w14:paraId="04E57096" w14:textId="77777777" w:rsidR="008C5CFA" w:rsidRPr="008E457C" w:rsidRDefault="00E82A60" w:rsidP="00300A01">
      <w:pPr>
        <w:pStyle w:val="Nagwek2"/>
        <w:spacing w:before="0" w:after="0"/>
        <w:rPr>
          <w:b w:val="0"/>
        </w:rPr>
      </w:pPr>
      <w:bookmarkStart w:id="77" w:name="_Toc46391761"/>
      <w:r w:rsidRPr="008E457C">
        <w:rPr>
          <w:b w:val="0"/>
          <w:noProof/>
          <w:lang w:val="fr-BE"/>
        </w:rPr>
        <w:t>Tabela 4A</w:t>
      </w:r>
      <w:r w:rsidRPr="008E457C">
        <w:rPr>
          <w:b w:val="0"/>
        </w:rPr>
        <w:t xml:space="preserve"> : </w:t>
      </w:r>
      <w:r w:rsidRPr="008E457C">
        <w:rPr>
          <w:b w:val="0"/>
          <w:noProof/>
          <w:lang w:val="fr-BE"/>
        </w:rPr>
        <w:t>Wspólne wskaźniki produktu dla EFS oraz Inicjatywy na rzecz zatrudnienia ludzi młodych</w:t>
      </w:r>
      <w:r w:rsidR="00A11A16">
        <w:rPr>
          <w:b w:val="0"/>
        </w:rPr>
        <w:t xml:space="preserve"> - </w:t>
      </w:r>
      <w:r w:rsidR="00A11A16" w:rsidRPr="002124FC">
        <w:rPr>
          <w:noProof/>
          <w:sz w:val="20"/>
          <w:szCs w:val="20"/>
          <w:lang w:val="fr-BE"/>
        </w:rPr>
        <w:t>9</w:t>
      </w:r>
      <w:r w:rsidR="00A11A16">
        <w:rPr>
          <w:sz w:val="20"/>
          <w:szCs w:val="20"/>
          <w:lang w:val="fr-BE"/>
        </w:rPr>
        <w:t xml:space="preserve"> / </w:t>
      </w:r>
      <w:r w:rsidR="00A11A16" w:rsidRPr="002124FC">
        <w:rPr>
          <w:noProof/>
          <w:sz w:val="20"/>
          <w:szCs w:val="20"/>
          <w:lang w:val="fr-BE"/>
        </w:rPr>
        <w:t>9v</w:t>
      </w:r>
      <w:bookmarkEnd w:id="77"/>
    </w:p>
    <w:p w14:paraId="711CEE4D" w14:textId="77777777" w:rsidR="008C5CFA" w:rsidRDefault="008C5CFA" w:rsidP="00300A01">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01"/>
        <w:gridCol w:w="6970"/>
        <w:gridCol w:w="1024"/>
        <w:gridCol w:w="514"/>
        <w:gridCol w:w="654"/>
        <w:gridCol w:w="521"/>
        <w:gridCol w:w="534"/>
        <w:gridCol w:w="654"/>
        <w:gridCol w:w="534"/>
        <w:gridCol w:w="514"/>
        <w:gridCol w:w="654"/>
        <w:gridCol w:w="521"/>
        <w:gridCol w:w="514"/>
        <w:gridCol w:w="654"/>
        <w:gridCol w:w="521"/>
      </w:tblGrid>
      <w:tr w:rsidR="006B2EC1" w14:paraId="2DCE30B5" w14:textId="77777777" w:rsidTr="0047688D">
        <w:trPr>
          <w:cantSplit/>
          <w:tblHeader/>
        </w:trPr>
        <w:tc>
          <w:tcPr>
            <w:tcW w:w="0" w:type="auto"/>
            <w:shd w:val="clear" w:color="auto" w:fill="auto"/>
          </w:tcPr>
          <w:p w14:paraId="7DEEE892" w14:textId="77777777" w:rsidR="008C5CFA" w:rsidRPr="00F53019" w:rsidRDefault="00E82A60" w:rsidP="00300A01">
            <w:pPr>
              <w:spacing w:before="0" w:after="0"/>
              <w:rPr>
                <w:b/>
                <w:sz w:val="12"/>
                <w:szCs w:val="12"/>
                <w:lang w:val="fr-BE"/>
              </w:rPr>
            </w:pPr>
            <w:r w:rsidRPr="00F53019">
              <w:rPr>
                <w:b/>
                <w:noProof/>
                <w:sz w:val="12"/>
                <w:szCs w:val="12"/>
                <w:lang w:val="fr-BE"/>
              </w:rPr>
              <w:t>ID</w:t>
            </w:r>
          </w:p>
        </w:tc>
        <w:tc>
          <w:tcPr>
            <w:tcW w:w="0" w:type="auto"/>
            <w:shd w:val="clear" w:color="auto" w:fill="auto"/>
          </w:tcPr>
          <w:p w14:paraId="515D18C2" w14:textId="77777777" w:rsidR="008C5CFA" w:rsidRPr="00F53019" w:rsidRDefault="00E82A60" w:rsidP="00300A01">
            <w:pPr>
              <w:spacing w:before="0" w:after="0"/>
              <w:rPr>
                <w:b/>
                <w:sz w:val="12"/>
                <w:szCs w:val="12"/>
                <w:lang w:val="fr-BE"/>
              </w:rPr>
            </w:pPr>
            <w:r w:rsidRPr="00F53019">
              <w:rPr>
                <w:b/>
                <w:noProof/>
                <w:sz w:val="12"/>
                <w:szCs w:val="12"/>
                <w:lang w:val="fr-BE"/>
              </w:rPr>
              <w:t>Wskaźnik</w:t>
            </w:r>
          </w:p>
        </w:tc>
        <w:tc>
          <w:tcPr>
            <w:tcW w:w="0" w:type="auto"/>
            <w:shd w:val="clear" w:color="auto" w:fill="auto"/>
          </w:tcPr>
          <w:p w14:paraId="7B8B9DB8" w14:textId="77777777" w:rsidR="008C5CFA" w:rsidRPr="00F53019" w:rsidRDefault="00E82A60" w:rsidP="00300A01">
            <w:pPr>
              <w:spacing w:before="0" w:after="0"/>
              <w:rPr>
                <w:b/>
                <w:sz w:val="12"/>
                <w:szCs w:val="12"/>
                <w:lang w:val="fr-BE"/>
              </w:rPr>
            </w:pPr>
            <w:r w:rsidRPr="00F53019">
              <w:rPr>
                <w:b/>
                <w:noProof/>
                <w:sz w:val="12"/>
                <w:szCs w:val="12"/>
                <w:lang w:val="fr-BE"/>
              </w:rPr>
              <w:t>Kategoria regionu</w:t>
            </w:r>
          </w:p>
        </w:tc>
        <w:tc>
          <w:tcPr>
            <w:tcW w:w="0" w:type="auto"/>
            <w:gridSpan w:val="3"/>
            <w:shd w:val="clear" w:color="auto" w:fill="auto"/>
          </w:tcPr>
          <w:p w14:paraId="362E947B" w14:textId="77777777" w:rsidR="008C5CFA" w:rsidRPr="00F53019" w:rsidRDefault="00E82A60" w:rsidP="00300A01">
            <w:pPr>
              <w:spacing w:before="0" w:after="0"/>
              <w:jc w:val="center"/>
              <w:rPr>
                <w:b/>
                <w:sz w:val="12"/>
                <w:szCs w:val="12"/>
                <w:lang w:val="fr-BE"/>
              </w:rPr>
            </w:pPr>
            <w:r w:rsidRPr="00F53019">
              <w:rPr>
                <w:b/>
                <w:noProof/>
                <w:sz w:val="12"/>
                <w:szCs w:val="12"/>
                <w:lang w:val="fr-BE"/>
              </w:rPr>
              <w:t>Wartość docelowa (2023)</w:t>
            </w:r>
          </w:p>
        </w:tc>
        <w:tc>
          <w:tcPr>
            <w:tcW w:w="0" w:type="auto"/>
            <w:gridSpan w:val="3"/>
            <w:shd w:val="clear" w:color="auto" w:fill="auto"/>
          </w:tcPr>
          <w:p w14:paraId="3402F73E" w14:textId="77777777" w:rsidR="008C5CFA" w:rsidRPr="00F53019" w:rsidRDefault="00E82A60" w:rsidP="00300A01">
            <w:pPr>
              <w:spacing w:before="0" w:after="0"/>
              <w:jc w:val="center"/>
              <w:rPr>
                <w:b/>
                <w:sz w:val="12"/>
                <w:szCs w:val="12"/>
                <w:lang w:val="fr-BE"/>
              </w:rPr>
            </w:pPr>
            <w:r w:rsidRPr="00F53019">
              <w:rPr>
                <w:b/>
                <w:noProof/>
                <w:sz w:val="12"/>
                <w:szCs w:val="12"/>
                <w:lang w:val="fr-BE"/>
              </w:rPr>
              <w:t>Wartość skumulowana</w:t>
            </w:r>
          </w:p>
        </w:tc>
        <w:tc>
          <w:tcPr>
            <w:tcW w:w="0" w:type="auto"/>
            <w:gridSpan w:val="3"/>
            <w:shd w:val="clear" w:color="auto" w:fill="auto"/>
          </w:tcPr>
          <w:p w14:paraId="70D3E714" w14:textId="77777777" w:rsidR="008C5CFA" w:rsidRPr="00F53019" w:rsidRDefault="00E82A60" w:rsidP="00300A01">
            <w:pPr>
              <w:spacing w:before="0" w:after="0"/>
              <w:jc w:val="center"/>
              <w:rPr>
                <w:b/>
                <w:sz w:val="12"/>
                <w:szCs w:val="12"/>
                <w:lang w:val="fr-BE"/>
              </w:rPr>
            </w:pPr>
            <w:r w:rsidRPr="00F53019">
              <w:rPr>
                <w:b/>
                <w:noProof/>
                <w:sz w:val="12"/>
                <w:szCs w:val="12"/>
                <w:lang w:val="fr-BE"/>
              </w:rPr>
              <w:t>Wskaźnik osiągnięć</w:t>
            </w:r>
          </w:p>
        </w:tc>
        <w:tc>
          <w:tcPr>
            <w:tcW w:w="0" w:type="auto"/>
            <w:gridSpan w:val="3"/>
          </w:tcPr>
          <w:p w14:paraId="0C54D724" w14:textId="77777777" w:rsidR="008C5CFA" w:rsidRPr="00F53019" w:rsidRDefault="0047688D" w:rsidP="00300A01">
            <w:pPr>
              <w:spacing w:before="0" w:after="0"/>
              <w:jc w:val="center"/>
              <w:rPr>
                <w:b/>
                <w:sz w:val="12"/>
                <w:szCs w:val="12"/>
                <w:lang w:val="fr-BE"/>
              </w:rPr>
            </w:pPr>
            <w:r w:rsidRPr="008C2BD7">
              <w:rPr>
                <w:noProof/>
                <w:sz w:val="12"/>
                <w:szCs w:val="12"/>
              </w:rPr>
              <w:t>2019</w:t>
            </w:r>
          </w:p>
        </w:tc>
      </w:tr>
      <w:tr w:rsidR="006B2EC1" w14:paraId="166FBB3F" w14:textId="77777777" w:rsidTr="0047688D">
        <w:trPr>
          <w:cantSplit/>
          <w:tblHeader/>
        </w:trPr>
        <w:tc>
          <w:tcPr>
            <w:tcW w:w="0" w:type="auto"/>
            <w:shd w:val="clear" w:color="auto" w:fill="auto"/>
          </w:tcPr>
          <w:p w14:paraId="5A2F652C" w14:textId="77777777" w:rsidR="008C5CFA" w:rsidRPr="00F53019" w:rsidRDefault="008C5CFA" w:rsidP="00300A01">
            <w:pPr>
              <w:spacing w:before="0" w:after="0"/>
              <w:rPr>
                <w:b/>
                <w:sz w:val="12"/>
                <w:szCs w:val="12"/>
                <w:lang w:val="fr-BE"/>
              </w:rPr>
            </w:pPr>
          </w:p>
        </w:tc>
        <w:tc>
          <w:tcPr>
            <w:tcW w:w="0" w:type="auto"/>
            <w:shd w:val="clear" w:color="auto" w:fill="auto"/>
          </w:tcPr>
          <w:p w14:paraId="67492585" w14:textId="77777777" w:rsidR="008C5CFA" w:rsidRPr="00F53019" w:rsidRDefault="008C5CFA" w:rsidP="00300A01">
            <w:pPr>
              <w:spacing w:before="0" w:after="0"/>
              <w:rPr>
                <w:b/>
                <w:sz w:val="12"/>
                <w:szCs w:val="12"/>
                <w:lang w:val="fr-BE"/>
              </w:rPr>
            </w:pPr>
          </w:p>
        </w:tc>
        <w:tc>
          <w:tcPr>
            <w:tcW w:w="0" w:type="auto"/>
            <w:shd w:val="clear" w:color="auto" w:fill="auto"/>
          </w:tcPr>
          <w:p w14:paraId="7C3145AA" w14:textId="77777777" w:rsidR="008C5CFA" w:rsidRPr="00F53019" w:rsidRDefault="008C5CFA" w:rsidP="00300A01">
            <w:pPr>
              <w:spacing w:before="0" w:after="0"/>
              <w:rPr>
                <w:b/>
                <w:sz w:val="12"/>
                <w:szCs w:val="12"/>
                <w:lang w:val="fr-BE"/>
              </w:rPr>
            </w:pPr>
          </w:p>
        </w:tc>
        <w:tc>
          <w:tcPr>
            <w:tcW w:w="0" w:type="auto"/>
            <w:shd w:val="clear" w:color="auto" w:fill="auto"/>
          </w:tcPr>
          <w:p w14:paraId="094A8F9C" w14:textId="77777777" w:rsidR="008C5CFA" w:rsidRPr="00F53019" w:rsidRDefault="00E82A60" w:rsidP="00300A01">
            <w:pPr>
              <w:spacing w:before="0" w:after="0"/>
              <w:jc w:val="center"/>
              <w:rPr>
                <w:b/>
                <w:sz w:val="12"/>
                <w:szCs w:val="12"/>
                <w:lang w:val="fr-BE"/>
              </w:rPr>
            </w:pPr>
            <w:r w:rsidRPr="00F53019">
              <w:rPr>
                <w:b/>
                <w:noProof/>
                <w:sz w:val="12"/>
                <w:szCs w:val="12"/>
                <w:lang w:val="fr-BE"/>
              </w:rPr>
              <w:t>Ogółem</w:t>
            </w:r>
          </w:p>
        </w:tc>
        <w:tc>
          <w:tcPr>
            <w:tcW w:w="0" w:type="auto"/>
            <w:shd w:val="clear" w:color="auto" w:fill="auto"/>
          </w:tcPr>
          <w:p w14:paraId="0C740919" w14:textId="77777777" w:rsidR="008C5CFA" w:rsidRPr="00F53019" w:rsidRDefault="00E82A60"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14:paraId="5A8DCB1D" w14:textId="77777777" w:rsidR="008C5CFA" w:rsidRPr="00F53019" w:rsidRDefault="00E82A60" w:rsidP="00300A01">
            <w:pPr>
              <w:spacing w:before="0" w:after="0"/>
              <w:jc w:val="center"/>
              <w:rPr>
                <w:b/>
                <w:sz w:val="12"/>
                <w:szCs w:val="12"/>
                <w:lang w:val="fr-BE"/>
              </w:rPr>
            </w:pPr>
            <w:r w:rsidRPr="00F53019">
              <w:rPr>
                <w:b/>
                <w:noProof/>
                <w:sz w:val="12"/>
                <w:szCs w:val="12"/>
                <w:lang w:val="fr-BE"/>
              </w:rPr>
              <w:t>Kobiety</w:t>
            </w:r>
          </w:p>
        </w:tc>
        <w:tc>
          <w:tcPr>
            <w:tcW w:w="0" w:type="auto"/>
            <w:shd w:val="clear" w:color="auto" w:fill="auto"/>
          </w:tcPr>
          <w:p w14:paraId="0CB5F8DF" w14:textId="77777777" w:rsidR="008C5CFA" w:rsidRPr="00F53019" w:rsidRDefault="00E82A60" w:rsidP="00300A01">
            <w:pPr>
              <w:spacing w:before="0" w:after="0"/>
              <w:jc w:val="center"/>
              <w:rPr>
                <w:b/>
                <w:sz w:val="12"/>
                <w:szCs w:val="12"/>
                <w:lang w:val="fr-BE"/>
              </w:rPr>
            </w:pPr>
            <w:r w:rsidRPr="00F53019">
              <w:rPr>
                <w:b/>
                <w:noProof/>
                <w:sz w:val="12"/>
                <w:szCs w:val="12"/>
                <w:lang w:val="fr-BE"/>
              </w:rPr>
              <w:t>Ogółem</w:t>
            </w:r>
          </w:p>
        </w:tc>
        <w:tc>
          <w:tcPr>
            <w:tcW w:w="0" w:type="auto"/>
            <w:shd w:val="clear" w:color="auto" w:fill="auto"/>
          </w:tcPr>
          <w:p w14:paraId="3C19349D" w14:textId="77777777" w:rsidR="008C5CFA" w:rsidRPr="00F53019" w:rsidRDefault="00E82A60"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14:paraId="2E044E51" w14:textId="77777777" w:rsidR="008C5CFA" w:rsidRPr="00F53019" w:rsidRDefault="00E82A60" w:rsidP="00300A01">
            <w:pPr>
              <w:spacing w:before="0" w:after="0"/>
              <w:jc w:val="center"/>
              <w:rPr>
                <w:b/>
                <w:sz w:val="12"/>
                <w:szCs w:val="12"/>
                <w:lang w:val="fr-BE"/>
              </w:rPr>
            </w:pPr>
            <w:r w:rsidRPr="00F53019">
              <w:rPr>
                <w:b/>
                <w:noProof/>
                <w:sz w:val="12"/>
                <w:szCs w:val="12"/>
                <w:lang w:val="fr-BE"/>
              </w:rPr>
              <w:t>Kobiety</w:t>
            </w:r>
          </w:p>
        </w:tc>
        <w:tc>
          <w:tcPr>
            <w:tcW w:w="0" w:type="auto"/>
            <w:shd w:val="clear" w:color="auto" w:fill="auto"/>
          </w:tcPr>
          <w:p w14:paraId="763D46C0" w14:textId="77777777" w:rsidR="008C5CFA" w:rsidRPr="00F53019" w:rsidRDefault="00E82A60" w:rsidP="00300A01">
            <w:pPr>
              <w:spacing w:before="0" w:after="0"/>
              <w:jc w:val="center"/>
              <w:rPr>
                <w:b/>
                <w:sz w:val="12"/>
                <w:szCs w:val="12"/>
                <w:lang w:val="fr-BE"/>
              </w:rPr>
            </w:pPr>
            <w:r w:rsidRPr="00F53019">
              <w:rPr>
                <w:b/>
                <w:noProof/>
                <w:sz w:val="12"/>
                <w:szCs w:val="12"/>
                <w:lang w:val="fr-BE"/>
              </w:rPr>
              <w:t>Ogółem</w:t>
            </w:r>
          </w:p>
        </w:tc>
        <w:tc>
          <w:tcPr>
            <w:tcW w:w="0" w:type="auto"/>
            <w:shd w:val="clear" w:color="auto" w:fill="auto"/>
          </w:tcPr>
          <w:p w14:paraId="27D01EF9" w14:textId="77777777" w:rsidR="008C5CFA" w:rsidRPr="00F53019" w:rsidRDefault="00E82A60"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14:paraId="76410D98" w14:textId="77777777" w:rsidR="008C5CFA" w:rsidRPr="00F53019" w:rsidRDefault="00E82A60" w:rsidP="00300A01">
            <w:pPr>
              <w:spacing w:before="0" w:after="0"/>
              <w:jc w:val="center"/>
              <w:rPr>
                <w:b/>
                <w:sz w:val="12"/>
                <w:szCs w:val="12"/>
                <w:lang w:val="fr-BE"/>
              </w:rPr>
            </w:pPr>
            <w:r w:rsidRPr="00F53019">
              <w:rPr>
                <w:b/>
                <w:noProof/>
                <w:sz w:val="12"/>
                <w:szCs w:val="12"/>
                <w:lang w:val="fr-BE"/>
              </w:rPr>
              <w:t>Kobiety</w:t>
            </w:r>
          </w:p>
        </w:tc>
        <w:tc>
          <w:tcPr>
            <w:tcW w:w="0" w:type="auto"/>
          </w:tcPr>
          <w:p w14:paraId="38B389F0" w14:textId="77777777" w:rsidR="008C5CFA" w:rsidRPr="00F53019" w:rsidRDefault="00E82A60" w:rsidP="00300A01">
            <w:pPr>
              <w:spacing w:before="0" w:after="0"/>
              <w:jc w:val="center"/>
              <w:rPr>
                <w:b/>
                <w:sz w:val="12"/>
                <w:szCs w:val="12"/>
                <w:lang w:val="fr-BE"/>
              </w:rPr>
            </w:pPr>
            <w:r w:rsidRPr="00F53019">
              <w:rPr>
                <w:b/>
                <w:noProof/>
                <w:sz w:val="12"/>
                <w:szCs w:val="12"/>
                <w:lang w:val="fr-BE"/>
              </w:rPr>
              <w:t>Ogółem</w:t>
            </w:r>
          </w:p>
        </w:tc>
        <w:tc>
          <w:tcPr>
            <w:tcW w:w="0" w:type="auto"/>
            <w:shd w:val="clear" w:color="auto" w:fill="auto"/>
          </w:tcPr>
          <w:p w14:paraId="5ABF90A1" w14:textId="77777777" w:rsidR="008C5CFA" w:rsidRPr="00F53019" w:rsidRDefault="00E82A60"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14:paraId="021C6588" w14:textId="77777777" w:rsidR="008C5CFA" w:rsidRPr="00F53019" w:rsidRDefault="00E82A60" w:rsidP="00300A01">
            <w:pPr>
              <w:spacing w:before="0" w:after="0"/>
              <w:jc w:val="center"/>
              <w:rPr>
                <w:b/>
                <w:sz w:val="12"/>
                <w:szCs w:val="12"/>
                <w:lang w:val="fr-BE"/>
              </w:rPr>
            </w:pPr>
            <w:r w:rsidRPr="00F53019">
              <w:rPr>
                <w:b/>
                <w:noProof/>
                <w:sz w:val="12"/>
                <w:szCs w:val="12"/>
                <w:lang w:val="fr-BE"/>
              </w:rPr>
              <w:t>Kobiety</w:t>
            </w:r>
          </w:p>
        </w:tc>
      </w:tr>
      <w:tr w:rsidR="006B2EC1" w14:paraId="01CE8BDB" w14:textId="77777777" w:rsidTr="0047688D">
        <w:tc>
          <w:tcPr>
            <w:tcW w:w="0" w:type="auto"/>
            <w:shd w:val="clear" w:color="auto" w:fill="auto"/>
          </w:tcPr>
          <w:p w14:paraId="576F1324" w14:textId="77777777" w:rsidR="008C5CFA" w:rsidRPr="00BA47B4" w:rsidRDefault="00E82A60" w:rsidP="00300A01">
            <w:pPr>
              <w:spacing w:before="0" w:after="0"/>
              <w:rPr>
                <w:sz w:val="12"/>
                <w:szCs w:val="12"/>
                <w:lang w:val="fr-BE"/>
              </w:rPr>
            </w:pPr>
            <w:r>
              <w:rPr>
                <w:noProof/>
                <w:sz w:val="12"/>
                <w:szCs w:val="12"/>
                <w:lang w:val="fr-BE"/>
              </w:rPr>
              <w:t>CO01</w:t>
            </w:r>
          </w:p>
        </w:tc>
        <w:tc>
          <w:tcPr>
            <w:tcW w:w="0" w:type="auto"/>
            <w:shd w:val="clear" w:color="auto" w:fill="auto"/>
          </w:tcPr>
          <w:p w14:paraId="5B3E1FD9" w14:textId="77777777" w:rsidR="008C5CFA" w:rsidRPr="00BA47B4" w:rsidRDefault="00E82A60" w:rsidP="00300A01">
            <w:pPr>
              <w:spacing w:before="0" w:after="0"/>
              <w:rPr>
                <w:sz w:val="12"/>
                <w:szCs w:val="12"/>
                <w:lang w:val="fr-BE"/>
              </w:rPr>
            </w:pPr>
            <w:r>
              <w:rPr>
                <w:noProof/>
                <w:sz w:val="12"/>
                <w:szCs w:val="12"/>
                <w:lang w:val="fr-BE"/>
              </w:rPr>
              <w:t>bezrobotni, w tym długotrwale bezrobotni</w:t>
            </w:r>
          </w:p>
        </w:tc>
        <w:tc>
          <w:tcPr>
            <w:tcW w:w="0" w:type="auto"/>
            <w:shd w:val="clear" w:color="auto" w:fill="auto"/>
          </w:tcPr>
          <w:p w14:paraId="7958A484" w14:textId="77777777" w:rsidR="008C5CFA" w:rsidRPr="00BA47B4" w:rsidRDefault="00E82A60"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14:paraId="58AC503E" w14:textId="77777777" w:rsidR="008C5CFA" w:rsidRPr="00BA47B4" w:rsidRDefault="008C5CFA" w:rsidP="00300A01">
            <w:pPr>
              <w:spacing w:before="0" w:after="0"/>
              <w:jc w:val="right"/>
              <w:rPr>
                <w:sz w:val="12"/>
                <w:szCs w:val="12"/>
                <w:lang w:val="fr-BE"/>
              </w:rPr>
            </w:pPr>
          </w:p>
        </w:tc>
        <w:tc>
          <w:tcPr>
            <w:tcW w:w="0" w:type="auto"/>
            <w:shd w:val="clear" w:color="auto" w:fill="auto"/>
          </w:tcPr>
          <w:p w14:paraId="658F30C4" w14:textId="77777777" w:rsidR="008C5CFA" w:rsidRPr="00BA47B4" w:rsidRDefault="008C5CFA" w:rsidP="00300A01">
            <w:pPr>
              <w:spacing w:before="0" w:after="0"/>
              <w:jc w:val="right"/>
              <w:rPr>
                <w:sz w:val="12"/>
                <w:szCs w:val="12"/>
                <w:lang w:val="fr-BE"/>
              </w:rPr>
            </w:pPr>
          </w:p>
        </w:tc>
        <w:tc>
          <w:tcPr>
            <w:tcW w:w="0" w:type="auto"/>
            <w:shd w:val="clear" w:color="auto" w:fill="auto"/>
          </w:tcPr>
          <w:p w14:paraId="414EABAA" w14:textId="77777777" w:rsidR="008C5CFA" w:rsidRPr="00BA47B4" w:rsidRDefault="008C5CFA" w:rsidP="00300A01">
            <w:pPr>
              <w:spacing w:before="0" w:after="0"/>
              <w:jc w:val="right"/>
              <w:rPr>
                <w:sz w:val="12"/>
                <w:szCs w:val="12"/>
                <w:lang w:val="fr-BE"/>
              </w:rPr>
            </w:pPr>
          </w:p>
        </w:tc>
        <w:tc>
          <w:tcPr>
            <w:tcW w:w="0" w:type="auto"/>
            <w:shd w:val="clear" w:color="auto" w:fill="auto"/>
          </w:tcPr>
          <w:p w14:paraId="021C7825" w14:textId="77777777" w:rsidR="008C5CFA" w:rsidRPr="00BA47B4" w:rsidRDefault="00E82A60" w:rsidP="00300A01">
            <w:pPr>
              <w:spacing w:before="0" w:after="0"/>
              <w:jc w:val="right"/>
              <w:rPr>
                <w:sz w:val="12"/>
                <w:szCs w:val="12"/>
                <w:lang w:val="fr-BE"/>
              </w:rPr>
            </w:pPr>
            <w:r w:rsidRPr="00BA47B4">
              <w:rPr>
                <w:noProof/>
                <w:sz w:val="12"/>
                <w:szCs w:val="12"/>
                <w:lang w:val="fr-BE"/>
              </w:rPr>
              <w:t>368,00</w:t>
            </w:r>
          </w:p>
        </w:tc>
        <w:tc>
          <w:tcPr>
            <w:tcW w:w="0" w:type="auto"/>
            <w:shd w:val="clear" w:color="auto" w:fill="auto"/>
          </w:tcPr>
          <w:p w14:paraId="1939DFB0" w14:textId="77777777" w:rsidR="008C5CFA" w:rsidRPr="00BA47B4" w:rsidRDefault="00E82A60" w:rsidP="00300A01">
            <w:pPr>
              <w:spacing w:before="0" w:after="0"/>
              <w:jc w:val="right"/>
              <w:rPr>
                <w:sz w:val="12"/>
                <w:szCs w:val="12"/>
                <w:lang w:val="fr-BE"/>
              </w:rPr>
            </w:pPr>
            <w:r w:rsidRPr="00BA47B4">
              <w:rPr>
                <w:noProof/>
                <w:sz w:val="12"/>
                <w:szCs w:val="12"/>
                <w:lang w:val="fr-BE"/>
              </w:rPr>
              <w:t>120,00</w:t>
            </w:r>
          </w:p>
        </w:tc>
        <w:tc>
          <w:tcPr>
            <w:tcW w:w="0" w:type="auto"/>
            <w:shd w:val="clear" w:color="auto" w:fill="auto"/>
          </w:tcPr>
          <w:p w14:paraId="5C4717EA" w14:textId="77777777" w:rsidR="008C5CFA" w:rsidRPr="00BA47B4" w:rsidRDefault="00E82A60" w:rsidP="00300A01">
            <w:pPr>
              <w:spacing w:before="0" w:after="0"/>
              <w:jc w:val="right"/>
              <w:rPr>
                <w:sz w:val="12"/>
                <w:szCs w:val="12"/>
                <w:lang w:val="fr-BE"/>
              </w:rPr>
            </w:pPr>
            <w:r w:rsidRPr="00BA47B4">
              <w:rPr>
                <w:noProof/>
                <w:sz w:val="12"/>
                <w:szCs w:val="12"/>
                <w:lang w:val="fr-BE"/>
              </w:rPr>
              <w:t>248,00</w:t>
            </w:r>
          </w:p>
        </w:tc>
        <w:tc>
          <w:tcPr>
            <w:tcW w:w="0" w:type="auto"/>
            <w:shd w:val="clear" w:color="auto" w:fill="auto"/>
          </w:tcPr>
          <w:p w14:paraId="2E6D4699" w14:textId="77777777" w:rsidR="008C5CFA" w:rsidRPr="00BA47B4" w:rsidRDefault="008C5CFA" w:rsidP="00300A01">
            <w:pPr>
              <w:spacing w:before="0" w:after="0"/>
              <w:jc w:val="right"/>
              <w:rPr>
                <w:sz w:val="12"/>
                <w:szCs w:val="12"/>
                <w:lang w:val="fr-BE"/>
              </w:rPr>
            </w:pPr>
          </w:p>
        </w:tc>
        <w:tc>
          <w:tcPr>
            <w:tcW w:w="0" w:type="auto"/>
            <w:shd w:val="clear" w:color="auto" w:fill="auto"/>
          </w:tcPr>
          <w:p w14:paraId="313A2636" w14:textId="77777777" w:rsidR="008C5CFA" w:rsidRPr="00BA47B4" w:rsidRDefault="008C5CFA" w:rsidP="00300A01">
            <w:pPr>
              <w:spacing w:before="0" w:after="0"/>
              <w:jc w:val="right"/>
              <w:rPr>
                <w:sz w:val="12"/>
                <w:szCs w:val="12"/>
                <w:lang w:val="fr-BE"/>
              </w:rPr>
            </w:pPr>
          </w:p>
        </w:tc>
        <w:tc>
          <w:tcPr>
            <w:tcW w:w="0" w:type="auto"/>
            <w:shd w:val="clear" w:color="auto" w:fill="auto"/>
          </w:tcPr>
          <w:p w14:paraId="1ED8BC29" w14:textId="77777777" w:rsidR="008C5CFA" w:rsidRPr="00BA47B4" w:rsidRDefault="008C5CFA" w:rsidP="00300A01">
            <w:pPr>
              <w:spacing w:before="0" w:after="0"/>
              <w:jc w:val="right"/>
              <w:rPr>
                <w:sz w:val="12"/>
                <w:szCs w:val="12"/>
                <w:lang w:val="fr-BE"/>
              </w:rPr>
            </w:pPr>
          </w:p>
        </w:tc>
        <w:tc>
          <w:tcPr>
            <w:tcW w:w="0" w:type="auto"/>
          </w:tcPr>
          <w:p w14:paraId="7BB742DD" w14:textId="77777777" w:rsidR="008C5CFA" w:rsidRPr="00A92B39" w:rsidRDefault="00E82A60" w:rsidP="00300A01">
            <w:pPr>
              <w:spacing w:before="0" w:after="0"/>
              <w:jc w:val="right"/>
              <w:rPr>
                <w:sz w:val="10"/>
                <w:szCs w:val="10"/>
                <w:lang w:val="fr-BE"/>
              </w:rPr>
            </w:pPr>
            <w:r w:rsidRPr="00A92B39">
              <w:rPr>
                <w:noProof/>
                <w:sz w:val="10"/>
                <w:szCs w:val="10"/>
                <w:lang w:val="fr-BE"/>
              </w:rPr>
              <w:t>113,00</w:t>
            </w:r>
          </w:p>
        </w:tc>
        <w:tc>
          <w:tcPr>
            <w:tcW w:w="0" w:type="auto"/>
            <w:shd w:val="clear" w:color="auto" w:fill="auto"/>
          </w:tcPr>
          <w:p w14:paraId="408D0D8C" w14:textId="77777777" w:rsidR="008C5CFA" w:rsidRPr="00A92B39" w:rsidRDefault="00E82A60" w:rsidP="00300A01">
            <w:pPr>
              <w:spacing w:before="0" w:after="0"/>
              <w:jc w:val="right"/>
              <w:rPr>
                <w:sz w:val="10"/>
                <w:szCs w:val="10"/>
                <w:lang w:val="fr-BE"/>
              </w:rPr>
            </w:pPr>
            <w:r w:rsidRPr="00A92B39">
              <w:rPr>
                <w:noProof/>
                <w:sz w:val="10"/>
                <w:szCs w:val="10"/>
                <w:lang w:val="fr-BE"/>
              </w:rPr>
              <w:t>36,00</w:t>
            </w:r>
          </w:p>
        </w:tc>
        <w:tc>
          <w:tcPr>
            <w:tcW w:w="0" w:type="auto"/>
            <w:shd w:val="clear" w:color="auto" w:fill="auto"/>
          </w:tcPr>
          <w:p w14:paraId="7E4D9809" w14:textId="77777777" w:rsidR="008C5CFA" w:rsidRPr="00BA47B4" w:rsidRDefault="00E82A60" w:rsidP="00300A01">
            <w:pPr>
              <w:spacing w:before="0" w:after="0"/>
              <w:jc w:val="right"/>
              <w:rPr>
                <w:sz w:val="12"/>
                <w:szCs w:val="12"/>
                <w:lang w:val="fr-BE"/>
              </w:rPr>
            </w:pPr>
            <w:r w:rsidRPr="00A92B39">
              <w:rPr>
                <w:noProof/>
                <w:sz w:val="10"/>
                <w:szCs w:val="10"/>
                <w:lang w:val="fr-BE"/>
              </w:rPr>
              <w:t>77,00</w:t>
            </w:r>
          </w:p>
        </w:tc>
      </w:tr>
      <w:tr w:rsidR="006B2EC1" w14:paraId="4607C820" w14:textId="77777777" w:rsidTr="0047688D">
        <w:tc>
          <w:tcPr>
            <w:tcW w:w="0" w:type="auto"/>
            <w:shd w:val="clear" w:color="auto" w:fill="auto"/>
          </w:tcPr>
          <w:p w14:paraId="6BD80A53" w14:textId="77777777" w:rsidR="008C5CFA" w:rsidRPr="00BA47B4" w:rsidRDefault="00E82A60" w:rsidP="00300A01">
            <w:pPr>
              <w:spacing w:before="0" w:after="0"/>
              <w:rPr>
                <w:sz w:val="12"/>
                <w:szCs w:val="12"/>
                <w:lang w:val="fr-BE"/>
              </w:rPr>
            </w:pPr>
            <w:r>
              <w:rPr>
                <w:noProof/>
                <w:sz w:val="12"/>
                <w:szCs w:val="12"/>
                <w:lang w:val="fr-BE"/>
              </w:rPr>
              <w:t>CO02</w:t>
            </w:r>
          </w:p>
        </w:tc>
        <w:tc>
          <w:tcPr>
            <w:tcW w:w="0" w:type="auto"/>
            <w:shd w:val="clear" w:color="auto" w:fill="auto"/>
          </w:tcPr>
          <w:p w14:paraId="5A111414" w14:textId="77777777" w:rsidR="008C5CFA" w:rsidRPr="00BA47B4" w:rsidRDefault="00E82A60" w:rsidP="00300A01">
            <w:pPr>
              <w:spacing w:before="0" w:after="0"/>
              <w:rPr>
                <w:sz w:val="12"/>
                <w:szCs w:val="12"/>
                <w:lang w:val="fr-BE"/>
              </w:rPr>
            </w:pPr>
            <w:r>
              <w:rPr>
                <w:noProof/>
                <w:sz w:val="12"/>
                <w:szCs w:val="12"/>
                <w:lang w:val="fr-BE"/>
              </w:rPr>
              <w:t>długotrwale bezrobotni</w:t>
            </w:r>
          </w:p>
        </w:tc>
        <w:tc>
          <w:tcPr>
            <w:tcW w:w="0" w:type="auto"/>
            <w:shd w:val="clear" w:color="auto" w:fill="auto"/>
          </w:tcPr>
          <w:p w14:paraId="5C3C32D5" w14:textId="77777777" w:rsidR="008C5CFA" w:rsidRPr="00BA47B4" w:rsidRDefault="00E82A60"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14:paraId="0C7700FB" w14:textId="77777777" w:rsidR="008C5CFA" w:rsidRPr="00BA47B4" w:rsidRDefault="008C5CFA" w:rsidP="00300A01">
            <w:pPr>
              <w:spacing w:before="0" w:after="0"/>
              <w:jc w:val="right"/>
              <w:rPr>
                <w:sz w:val="12"/>
                <w:szCs w:val="12"/>
                <w:lang w:val="fr-BE"/>
              </w:rPr>
            </w:pPr>
          </w:p>
        </w:tc>
        <w:tc>
          <w:tcPr>
            <w:tcW w:w="0" w:type="auto"/>
            <w:shd w:val="clear" w:color="auto" w:fill="auto"/>
          </w:tcPr>
          <w:p w14:paraId="4C6D4A5D" w14:textId="77777777" w:rsidR="008C5CFA" w:rsidRPr="00BA47B4" w:rsidRDefault="008C5CFA" w:rsidP="00300A01">
            <w:pPr>
              <w:spacing w:before="0" w:after="0"/>
              <w:jc w:val="right"/>
              <w:rPr>
                <w:sz w:val="12"/>
                <w:szCs w:val="12"/>
                <w:lang w:val="fr-BE"/>
              </w:rPr>
            </w:pPr>
          </w:p>
        </w:tc>
        <w:tc>
          <w:tcPr>
            <w:tcW w:w="0" w:type="auto"/>
            <w:shd w:val="clear" w:color="auto" w:fill="auto"/>
          </w:tcPr>
          <w:p w14:paraId="17CABFEF" w14:textId="77777777" w:rsidR="008C5CFA" w:rsidRPr="00BA47B4" w:rsidRDefault="008C5CFA" w:rsidP="00300A01">
            <w:pPr>
              <w:spacing w:before="0" w:after="0"/>
              <w:jc w:val="right"/>
              <w:rPr>
                <w:sz w:val="12"/>
                <w:szCs w:val="12"/>
                <w:lang w:val="fr-BE"/>
              </w:rPr>
            </w:pPr>
          </w:p>
        </w:tc>
        <w:tc>
          <w:tcPr>
            <w:tcW w:w="0" w:type="auto"/>
            <w:shd w:val="clear" w:color="auto" w:fill="auto"/>
          </w:tcPr>
          <w:p w14:paraId="5831E7C0" w14:textId="77777777" w:rsidR="008C5CFA" w:rsidRPr="00BA47B4" w:rsidRDefault="00E82A60" w:rsidP="00300A01">
            <w:pPr>
              <w:spacing w:before="0" w:after="0"/>
              <w:jc w:val="right"/>
              <w:rPr>
                <w:sz w:val="12"/>
                <w:szCs w:val="12"/>
                <w:lang w:val="fr-BE"/>
              </w:rPr>
            </w:pPr>
            <w:r w:rsidRPr="00BA47B4">
              <w:rPr>
                <w:noProof/>
                <w:sz w:val="12"/>
                <w:szCs w:val="12"/>
                <w:lang w:val="fr-BE"/>
              </w:rPr>
              <w:t>100,00</w:t>
            </w:r>
          </w:p>
        </w:tc>
        <w:tc>
          <w:tcPr>
            <w:tcW w:w="0" w:type="auto"/>
            <w:shd w:val="clear" w:color="auto" w:fill="auto"/>
          </w:tcPr>
          <w:p w14:paraId="0D9485DF" w14:textId="77777777" w:rsidR="008C5CFA" w:rsidRPr="00BA47B4" w:rsidRDefault="00E82A60" w:rsidP="00300A01">
            <w:pPr>
              <w:spacing w:before="0" w:after="0"/>
              <w:jc w:val="right"/>
              <w:rPr>
                <w:sz w:val="12"/>
                <w:szCs w:val="12"/>
                <w:lang w:val="fr-BE"/>
              </w:rPr>
            </w:pPr>
            <w:r w:rsidRPr="00BA47B4">
              <w:rPr>
                <w:noProof/>
                <w:sz w:val="12"/>
                <w:szCs w:val="12"/>
                <w:lang w:val="fr-BE"/>
              </w:rPr>
              <w:t>38,00</w:t>
            </w:r>
          </w:p>
        </w:tc>
        <w:tc>
          <w:tcPr>
            <w:tcW w:w="0" w:type="auto"/>
            <w:shd w:val="clear" w:color="auto" w:fill="auto"/>
          </w:tcPr>
          <w:p w14:paraId="15E07CAD" w14:textId="77777777" w:rsidR="008C5CFA" w:rsidRPr="00BA47B4" w:rsidRDefault="00E82A60" w:rsidP="00300A01">
            <w:pPr>
              <w:spacing w:before="0" w:after="0"/>
              <w:jc w:val="right"/>
              <w:rPr>
                <w:sz w:val="12"/>
                <w:szCs w:val="12"/>
                <w:lang w:val="fr-BE"/>
              </w:rPr>
            </w:pPr>
            <w:r w:rsidRPr="00BA47B4">
              <w:rPr>
                <w:noProof/>
                <w:sz w:val="12"/>
                <w:szCs w:val="12"/>
                <w:lang w:val="fr-BE"/>
              </w:rPr>
              <w:t>62,00</w:t>
            </w:r>
          </w:p>
        </w:tc>
        <w:tc>
          <w:tcPr>
            <w:tcW w:w="0" w:type="auto"/>
            <w:shd w:val="clear" w:color="auto" w:fill="auto"/>
          </w:tcPr>
          <w:p w14:paraId="601BC952" w14:textId="77777777" w:rsidR="008C5CFA" w:rsidRPr="00BA47B4" w:rsidRDefault="008C5CFA" w:rsidP="00300A01">
            <w:pPr>
              <w:spacing w:before="0" w:after="0"/>
              <w:jc w:val="right"/>
              <w:rPr>
                <w:sz w:val="12"/>
                <w:szCs w:val="12"/>
                <w:lang w:val="fr-BE"/>
              </w:rPr>
            </w:pPr>
          </w:p>
        </w:tc>
        <w:tc>
          <w:tcPr>
            <w:tcW w:w="0" w:type="auto"/>
            <w:shd w:val="clear" w:color="auto" w:fill="auto"/>
          </w:tcPr>
          <w:p w14:paraId="25072BC7" w14:textId="77777777" w:rsidR="008C5CFA" w:rsidRPr="00BA47B4" w:rsidRDefault="008C5CFA" w:rsidP="00300A01">
            <w:pPr>
              <w:spacing w:before="0" w:after="0"/>
              <w:jc w:val="right"/>
              <w:rPr>
                <w:sz w:val="12"/>
                <w:szCs w:val="12"/>
                <w:lang w:val="fr-BE"/>
              </w:rPr>
            </w:pPr>
          </w:p>
        </w:tc>
        <w:tc>
          <w:tcPr>
            <w:tcW w:w="0" w:type="auto"/>
            <w:shd w:val="clear" w:color="auto" w:fill="auto"/>
          </w:tcPr>
          <w:p w14:paraId="1F2734BB" w14:textId="77777777" w:rsidR="008C5CFA" w:rsidRPr="00BA47B4" w:rsidRDefault="008C5CFA" w:rsidP="00300A01">
            <w:pPr>
              <w:spacing w:before="0" w:after="0"/>
              <w:jc w:val="right"/>
              <w:rPr>
                <w:sz w:val="12"/>
                <w:szCs w:val="12"/>
                <w:lang w:val="fr-BE"/>
              </w:rPr>
            </w:pPr>
          </w:p>
        </w:tc>
        <w:tc>
          <w:tcPr>
            <w:tcW w:w="0" w:type="auto"/>
          </w:tcPr>
          <w:p w14:paraId="3E1EAFB1" w14:textId="77777777" w:rsidR="008C5CFA" w:rsidRPr="00A92B39" w:rsidRDefault="00E82A60" w:rsidP="00300A01">
            <w:pPr>
              <w:spacing w:before="0" w:after="0"/>
              <w:jc w:val="right"/>
              <w:rPr>
                <w:sz w:val="10"/>
                <w:szCs w:val="10"/>
                <w:lang w:val="fr-BE"/>
              </w:rPr>
            </w:pPr>
            <w:r w:rsidRPr="00A92B39">
              <w:rPr>
                <w:noProof/>
                <w:sz w:val="10"/>
                <w:szCs w:val="10"/>
                <w:lang w:val="fr-BE"/>
              </w:rPr>
              <w:t>34,00</w:t>
            </w:r>
          </w:p>
        </w:tc>
        <w:tc>
          <w:tcPr>
            <w:tcW w:w="0" w:type="auto"/>
            <w:shd w:val="clear" w:color="auto" w:fill="auto"/>
          </w:tcPr>
          <w:p w14:paraId="3A46F743" w14:textId="77777777" w:rsidR="008C5CFA" w:rsidRPr="00A92B39" w:rsidRDefault="00E82A60" w:rsidP="00300A01">
            <w:pPr>
              <w:spacing w:before="0" w:after="0"/>
              <w:jc w:val="right"/>
              <w:rPr>
                <w:sz w:val="10"/>
                <w:szCs w:val="10"/>
                <w:lang w:val="fr-BE"/>
              </w:rPr>
            </w:pPr>
            <w:r w:rsidRPr="00A92B39">
              <w:rPr>
                <w:noProof/>
                <w:sz w:val="10"/>
                <w:szCs w:val="10"/>
                <w:lang w:val="fr-BE"/>
              </w:rPr>
              <w:t>14,00</w:t>
            </w:r>
          </w:p>
        </w:tc>
        <w:tc>
          <w:tcPr>
            <w:tcW w:w="0" w:type="auto"/>
            <w:shd w:val="clear" w:color="auto" w:fill="auto"/>
          </w:tcPr>
          <w:p w14:paraId="4F8896A3" w14:textId="77777777" w:rsidR="008C5CFA" w:rsidRPr="00BA47B4" w:rsidRDefault="00E82A60" w:rsidP="00300A01">
            <w:pPr>
              <w:spacing w:before="0" w:after="0"/>
              <w:jc w:val="right"/>
              <w:rPr>
                <w:sz w:val="12"/>
                <w:szCs w:val="12"/>
                <w:lang w:val="fr-BE"/>
              </w:rPr>
            </w:pPr>
            <w:r w:rsidRPr="00A92B39">
              <w:rPr>
                <w:noProof/>
                <w:sz w:val="10"/>
                <w:szCs w:val="10"/>
                <w:lang w:val="fr-BE"/>
              </w:rPr>
              <w:t>20,00</w:t>
            </w:r>
          </w:p>
        </w:tc>
      </w:tr>
      <w:tr w:rsidR="006B2EC1" w14:paraId="6B431BB2" w14:textId="77777777" w:rsidTr="0047688D">
        <w:tc>
          <w:tcPr>
            <w:tcW w:w="0" w:type="auto"/>
            <w:shd w:val="clear" w:color="auto" w:fill="auto"/>
          </w:tcPr>
          <w:p w14:paraId="33955675" w14:textId="77777777" w:rsidR="008C5CFA" w:rsidRPr="00BA47B4" w:rsidRDefault="00E82A60" w:rsidP="00300A01">
            <w:pPr>
              <w:spacing w:before="0" w:after="0"/>
              <w:rPr>
                <w:sz w:val="12"/>
                <w:szCs w:val="12"/>
                <w:lang w:val="fr-BE"/>
              </w:rPr>
            </w:pPr>
            <w:r>
              <w:rPr>
                <w:noProof/>
                <w:sz w:val="12"/>
                <w:szCs w:val="12"/>
                <w:lang w:val="fr-BE"/>
              </w:rPr>
              <w:t>CO03</w:t>
            </w:r>
          </w:p>
        </w:tc>
        <w:tc>
          <w:tcPr>
            <w:tcW w:w="0" w:type="auto"/>
            <w:shd w:val="clear" w:color="auto" w:fill="auto"/>
          </w:tcPr>
          <w:p w14:paraId="03229063" w14:textId="77777777" w:rsidR="008C5CFA" w:rsidRPr="00BA47B4" w:rsidRDefault="00E82A60" w:rsidP="00300A01">
            <w:pPr>
              <w:spacing w:before="0" w:after="0"/>
              <w:rPr>
                <w:sz w:val="12"/>
                <w:szCs w:val="12"/>
                <w:lang w:val="fr-BE"/>
              </w:rPr>
            </w:pPr>
            <w:r>
              <w:rPr>
                <w:noProof/>
                <w:sz w:val="12"/>
                <w:szCs w:val="12"/>
                <w:lang w:val="fr-BE"/>
              </w:rPr>
              <w:t>osoby bierne zawodowo</w:t>
            </w:r>
          </w:p>
        </w:tc>
        <w:tc>
          <w:tcPr>
            <w:tcW w:w="0" w:type="auto"/>
            <w:shd w:val="clear" w:color="auto" w:fill="auto"/>
          </w:tcPr>
          <w:p w14:paraId="6009DD2F" w14:textId="77777777" w:rsidR="008C5CFA" w:rsidRPr="00BA47B4" w:rsidRDefault="00E82A60"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14:paraId="75774F41" w14:textId="77777777" w:rsidR="008C5CFA" w:rsidRPr="00BA47B4" w:rsidRDefault="008C5CFA" w:rsidP="00300A01">
            <w:pPr>
              <w:spacing w:before="0" w:after="0"/>
              <w:jc w:val="right"/>
              <w:rPr>
                <w:sz w:val="12"/>
                <w:szCs w:val="12"/>
                <w:lang w:val="fr-BE"/>
              </w:rPr>
            </w:pPr>
          </w:p>
        </w:tc>
        <w:tc>
          <w:tcPr>
            <w:tcW w:w="0" w:type="auto"/>
            <w:shd w:val="clear" w:color="auto" w:fill="auto"/>
          </w:tcPr>
          <w:p w14:paraId="7D287921" w14:textId="77777777" w:rsidR="008C5CFA" w:rsidRPr="00BA47B4" w:rsidRDefault="008C5CFA" w:rsidP="00300A01">
            <w:pPr>
              <w:spacing w:before="0" w:after="0"/>
              <w:jc w:val="right"/>
              <w:rPr>
                <w:sz w:val="12"/>
                <w:szCs w:val="12"/>
                <w:lang w:val="fr-BE"/>
              </w:rPr>
            </w:pPr>
          </w:p>
        </w:tc>
        <w:tc>
          <w:tcPr>
            <w:tcW w:w="0" w:type="auto"/>
            <w:shd w:val="clear" w:color="auto" w:fill="auto"/>
          </w:tcPr>
          <w:p w14:paraId="14BBE565" w14:textId="77777777" w:rsidR="008C5CFA" w:rsidRPr="00BA47B4" w:rsidRDefault="008C5CFA" w:rsidP="00300A01">
            <w:pPr>
              <w:spacing w:before="0" w:after="0"/>
              <w:jc w:val="right"/>
              <w:rPr>
                <w:sz w:val="12"/>
                <w:szCs w:val="12"/>
                <w:lang w:val="fr-BE"/>
              </w:rPr>
            </w:pPr>
          </w:p>
        </w:tc>
        <w:tc>
          <w:tcPr>
            <w:tcW w:w="0" w:type="auto"/>
            <w:shd w:val="clear" w:color="auto" w:fill="auto"/>
          </w:tcPr>
          <w:p w14:paraId="075C17A8" w14:textId="77777777" w:rsidR="008C5CFA" w:rsidRPr="00BA47B4" w:rsidRDefault="00E82A60" w:rsidP="00300A01">
            <w:pPr>
              <w:spacing w:before="0" w:after="0"/>
              <w:jc w:val="right"/>
              <w:rPr>
                <w:sz w:val="12"/>
                <w:szCs w:val="12"/>
                <w:lang w:val="fr-BE"/>
              </w:rPr>
            </w:pPr>
            <w:r w:rsidRPr="00BA47B4">
              <w:rPr>
                <w:noProof/>
                <w:sz w:val="12"/>
                <w:szCs w:val="12"/>
                <w:lang w:val="fr-BE"/>
              </w:rPr>
              <w:t>319,00</w:t>
            </w:r>
          </w:p>
        </w:tc>
        <w:tc>
          <w:tcPr>
            <w:tcW w:w="0" w:type="auto"/>
            <w:shd w:val="clear" w:color="auto" w:fill="auto"/>
          </w:tcPr>
          <w:p w14:paraId="730431D7" w14:textId="77777777" w:rsidR="008C5CFA" w:rsidRPr="00BA47B4" w:rsidRDefault="00E82A60" w:rsidP="00300A01">
            <w:pPr>
              <w:spacing w:before="0" w:after="0"/>
              <w:jc w:val="right"/>
              <w:rPr>
                <w:sz w:val="12"/>
                <w:szCs w:val="12"/>
                <w:lang w:val="fr-BE"/>
              </w:rPr>
            </w:pPr>
            <w:r w:rsidRPr="00BA47B4">
              <w:rPr>
                <w:noProof/>
                <w:sz w:val="12"/>
                <w:szCs w:val="12"/>
                <w:lang w:val="fr-BE"/>
              </w:rPr>
              <w:t>116,00</w:t>
            </w:r>
          </w:p>
        </w:tc>
        <w:tc>
          <w:tcPr>
            <w:tcW w:w="0" w:type="auto"/>
            <w:shd w:val="clear" w:color="auto" w:fill="auto"/>
          </w:tcPr>
          <w:p w14:paraId="02F8EC96" w14:textId="77777777" w:rsidR="008C5CFA" w:rsidRPr="00BA47B4" w:rsidRDefault="00E82A60" w:rsidP="00300A01">
            <w:pPr>
              <w:spacing w:before="0" w:after="0"/>
              <w:jc w:val="right"/>
              <w:rPr>
                <w:sz w:val="12"/>
                <w:szCs w:val="12"/>
                <w:lang w:val="fr-BE"/>
              </w:rPr>
            </w:pPr>
            <w:r w:rsidRPr="00BA47B4">
              <w:rPr>
                <w:noProof/>
                <w:sz w:val="12"/>
                <w:szCs w:val="12"/>
                <w:lang w:val="fr-BE"/>
              </w:rPr>
              <w:t>203,00</w:t>
            </w:r>
          </w:p>
        </w:tc>
        <w:tc>
          <w:tcPr>
            <w:tcW w:w="0" w:type="auto"/>
            <w:shd w:val="clear" w:color="auto" w:fill="auto"/>
          </w:tcPr>
          <w:p w14:paraId="2298E420" w14:textId="77777777" w:rsidR="008C5CFA" w:rsidRPr="00BA47B4" w:rsidRDefault="008C5CFA" w:rsidP="00300A01">
            <w:pPr>
              <w:spacing w:before="0" w:after="0"/>
              <w:jc w:val="right"/>
              <w:rPr>
                <w:sz w:val="12"/>
                <w:szCs w:val="12"/>
                <w:lang w:val="fr-BE"/>
              </w:rPr>
            </w:pPr>
          </w:p>
        </w:tc>
        <w:tc>
          <w:tcPr>
            <w:tcW w:w="0" w:type="auto"/>
            <w:shd w:val="clear" w:color="auto" w:fill="auto"/>
          </w:tcPr>
          <w:p w14:paraId="5E746ADB" w14:textId="77777777" w:rsidR="008C5CFA" w:rsidRPr="00BA47B4" w:rsidRDefault="008C5CFA" w:rsidP="00300A01">
            <w:pPr>
              <w:spacing w:before="0" w:after="0"/>
              <w:jc w:val="right"/>
              <w:rPr>
                <w:sz w:val="12"/>
                <w:szCs w:val="12"/>
                <w:lang w:val="fr-BE"/>
              </w:rPr>
            </w:pPr>
          </w:p>
        </w:tc>
        <w:tc>
          <w:tcPr>
            <w:tcW w:w="0" w:type="auto"/>
            <w:shd w:val="clear" w:color="auto" w:fill="auto"/>
          </w:tcPr>
          <w:p w14:paraId="33342C20" w14:textId="77777777" w:rsidR="008C5CFA" w:rsidRPr="00BA47B4" w:rsidRDefault="008C5CFA" w:rsidP="00300A01">
            <w:pPr>
              <w:spacing w:before="0" w:after="0"/>
              <w:jc w:val="right"/>
              <w:rPr>
                <w:sz w:val="12"/>
                <w:szCs w:val="12"/>
                <w:lang w:val="fr-BE"/>
              </w:rPr>
            </w:pPr>
          </w:p>
        </w:tc>
        <w:tc>
          <w:tcPr>
            <w:tcW w:w="0" w:type="auto"/>
          </w:tcPr>
          <w:p w14:paraId="738D95EC" w14:textId="77777777" w:rsidR="008C5CFA" w:rsidRPr="00A92B39" w:rsidRDefault="00E82A60" w:rsidP="00300A01">
            <w:pPr>
              <w:spacing w:before="0" w:after="0"/>
              <w:jc w:val="right"/>
              <w:rPr>
                <w:sz w:val="10"/>
                <w:szCs w:val="10"/>
                <w:lang w:val="fr-BE"/>
              </w:rPr>
            </w:pPr>
            <w:r w:rsidRPr="00A92B39">
              <w:rPr>
                <w:noProof/>
                <w:sz w:val="10"/>
                <w:szCs w:val="10"/>
                <w:lang w:val="fr-BE"/>
              </w:rPr>
              <w:t>49,00</w:t>
            </w:r>
          </w:p>
        </w:tc>
        <w:tc>
          <w:tcPr>
            <w:tcW w:w="0" w:type="auto"/>
            <w:shd w:val="clear" w:color="auto" w:fill="auto"/>
          </w:tcPr>
          <w:p w14:paraId="19BD77D2" w14:textId="77777777" w:rsidR="008C5CFA" w:rsidRPr="00A92B39" w:rsidRDefault="00E82A60" w:rsidP="00300A01">
            <w:pPr>
              <w:spacing w:before="0" w:after="0"/>
              <w:jc w:val="right"/>
              <w:rPr>
                <w:sz w:val="10"/>
                <w:szCs w:val="10"/>
                <w:lang w:val="fr-BE"/>
              </w:rPr>
            </w:pPr>
            <w:r w:rsidRPr="00A92B39">
              <w:rPr>
                <w:noProof/>
                <w:sz w:val="10"/>
                <w:szCs w:val="10"/>
                <w:lang w:val="fr-BE"/>
              </w:rPr>
              <w:t>17,00</w:t>
            </w:r>
          </w:p>
        </w:tc>
        <w:tc>
          <w:tcPr>
            <w:tcW w:w="0" w:type="auto"/>
            <w:shd w:val="clear" w:color="auto" w:fill="auto"/>
          </w:tcPr>
          <w:p w14:paraId="14AA7B26" w14:textId="77777777" w:rsidR="008C5CFA" w:rsidRPr="00BA47B4" w:rsidRDefault="00E82A60" w:rsidP="00300A01">
            <w:pPr>
              <w:spacing w:before="0" w:after="0"/>
              <w:jc w:val="right"/>
              <w:rPr>
                <w:sz w:val="12"/>
                <w:szCs w:val="12"/>
                <w:lang w:val="fr-BE"/>
              </w:rPr>
            </w:pPr>
            <w:r w:rsidRPr="00A92B39">
              <w:rPr>
                <w:noProof/>
                <w:sz w:val="10"/>
                <w:szCs w:val="10"/>
                <w:lang w:val="fr-BE"/>
              </w:rPr>
              <w:t>32,00</w:t>
            </w:r>
          </w:p>
        </w:tc>
      </w:tr>
      <w:tr w:rsidR="006B2EC1" w14:paraId="5F725E79" w14:textId="77777777" w:rsidTr="0047688D">
        <w:tc>
          <w:tcPr>
            <w:tcW w:w="0" w:type="auto"/>
            <w:shd w:val="clear" w:color="auto" w:fill="auto"/>
          </w:tcPr>
          <w:p w14:paraId="088A7307" w14:textId="77777777" w:rsidR="008C5CFA" w:rsidRPr="00BA47B4" w:rsidRDefault="00E82A60" w:rsidP="00300A01">
            <w:pPr>
              <w:spacing w:before="0" w:after="0"/>
              <w:rPr>
                <w:sz w:val="12"/>
                <w:szCs w:val="12"/>
                <w:lang w:val="fr-BE"/>
              </w:rPr>
            </w:pPr>
            <w:r>
              <w:rPr>
                <w:noProof/>
                <w:sz w:val="12"/>
                <w:szCs w:val="12"/>
                <w:lang w:val="fr-BE"/>
              </w:rPr>
              <w:t>CO04</w:t>
            </w:r>
          </w:p>
        </w:tc>
        <w:tc>
          <w:tcPr>
            <w:tcW w:w="0" w:type="auto"/>
            <w:shd w:val="clear" w:color="auto" w:fill="auto"/>
          </w:tcPr>
          <w:p w14:paraId="426B94A8" w14:textId="77777777" w:rsidR="008C5CFA" w:rsidRPr="00BA47B4" w:rsidRDefault="00E82A60" w:rsidP="00300A01">
            <w:pPr>
              <w:spacing w:before="0" w:after="0"/>
              <w:rPr>
                <w:sz w:val="12"/>
                <w:szCs w:val="12"/>
                <w:lang w:val="fr-BE"/>
              </w:rPr>
            </w:pPr>
            <w:r>
              <w:rPr>
                <w:noProof/>
                <w:sz w:val="12"/>
                <w:szCs w:val="12"/>
                <w:lang w:val="fr-BE"/>
              </w:rPr>
              <w:t>osoby bierne zawodowo, nieuczestniczące w kształceniu ani szkoleniu</w:t>
            </w:r>
          </w:p>
        </w:tc>
        <w:tc>
          <w:tcPr>
            <w:tcW w:w="0" w:type="auto"/>
            <w:shd w:val="clear" w:color="auto" w:fill="auto"/>
          </w:tcPr>
          <w:p w14:paraId="3432C4F4" w14:textId="77777777" w:rsidR="008C5CFA" w:rsidRPr="00BA47B4" w:rsidRDefault="00E82A60"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14:paraId="1ABA88E7" w14:textId="77777777" w:rsidR="008C5CFA" w:rsidRPr="00BA47B4" w:rsidRDefault="008C5CFA" w:rsidP="00300A01">
            <w:pPr>
              <w:spacing w:before="0" w:after="0"/>
              <w:jc w:val="right"/>
              <w:rPr>
                <w:sz w:val="12"/>
                <w:szCs w:val="12"/>
                <w:lang w:val="fr-BE"/>
              </w:rPr>
            </w:pPr>
          </w:p>
        </w:tc>
        <w:tc>
          <w:tcPr>
            <w:tcW w:w="0" w:type="auto"/>
            <w:shd w:val="clear" w:color="auto" w:fill="auto"/>
          </w:tcPr>
          <w:p w14:paraId="0122CB9B" w14:textId="77777777" w:rsidR="008C5CFA" w:rsidRPr="00BA47B4" w:rsidRDefault="008C5CFA" w:rsidP="00300A01">
            <w:pPr>
              <w:spacing w:before="0" w:after="0"/>
              <w:jc w:val="right"/>
              <w:rPr>
                <w:sz w:val="12"/>
                <w:szCs w:val="12"/>
                <w:lang w:val="fr-BE"/>
              </w:rPr>
            </w:pPr>
          </w:p>
        </w:tc>
        <w:tc>
          <w:tcPr>
            <w:tcW w:w="0" w:type="auto"/>
            <w:shd w:val="clear" w:color="auto" w:fill="auto"/>
          </w:tcPr>
          <w:p w14:paraId="2EE9A9F0" w14:textId="77777777" w:rsidR="008C5CFA" w:rsidRPr="00BA47B4" w:rsidRDefault="008C5CFA" w:rsidP="00300A01">
            <w:pPr>
              <w:spacing w:before="0" w:after="0"/>
              <w:jc w:val="right"/>
              <w:rPr>
                <w:sz w:val="12"/>
                <w:szCs w:val="12"/>
                <w:lang w:val="fr-BE"/>
              </w:rPr>
            </w:pPr>
          </w:p>
        </w:tc>
        <w:tc>
          <w:tcPr>
            <w:tcW w:w="0" w:type="auto"/>
            <w:shd w:val="clear" w:color="auto" w:fill="auto"/>
          </w:tcPr>
          <w:p w14:paraId="5529319B" w14:textId="77777777" w:rsidR="008C5CFA" w:rsidRPr="00BA47B4" w:rsidRDefault="00E82A60" w:rsidP="00300A01">
            <w:pPr>
              <w:spacing w:before="0" w:after="0"/>
              <w:jc w:val="right"/>
              <w:rPr>
                <w:sz w:val="12"/>
                <w:szCs w:val="12"/>
                <w:lang w:val="fr-BE"/>
              </w:rPr>
            </w:pPr>
            <w:r w:rsidRPr="00BA47B4">
              <w:rPr>
                <w:noProof/>
                <w:sz w:val="12"/>
                <w:szCs w:val="12"/>
                <w:lang w:val="fr-BE"/>
              </w:rPr>
              <w:t>10,00</w:t>
            </w:r>
          </w:p>
        </w:tc>
        <w:tc>
          <w:tcPr>
            <w:tcW w:w="0" w:type="auto"/>
            <w:shd w:val="clear" w:color="auto" w:fill="auto"/>
          </w:tcPr>
          <w:p w14:paraId="2860EF59" w14:textId="77777777" w:rsidR="008C5CFA" w:rsidRPr="00BA47B4" w:rsidRDefault="00E82A60" w:rsidP="00300A01">
            <w:pPr>
              <w:spacing w:before="0" w:after="0"/>
              <w:jc w:val="right"/>
              <w:rPr>
                <w:sz w:val="12"/>
                <w:szCs w:val="12"/>
                <w:lang w:val="fr-BE"/>
              </w:rPr>
            </w:pPr>
            <w:r w:rsidRPr="00BA47B4">
              <w:rPr>
                <w:noProof/>
                <w:sz w:val="12"/>
                <w:szCs w:val="12"/>
                <w:lang w:val="fr-BE"/>
              </w:rPr>
              <w:t>4,00</w:t>
            </w:r>
          </w:p>
        </w:tc>
        <w:tc>
          <w:tcPr>
            <w:tcW w:w="0" w:type="auto"/>
            <w:shd w:val="clear" w:color="auto" w:fill="auto"/>
          </w:tcPr>
          <w:p w14:paraId="29CAF802" w14:textId="77777777" w:rsidR="008C5CFA" w:rsidRPr="00BA47B4" w:rsidRDefault="00E82A60" w:rsidP="00300A01">
            <w:pPr>
              <w:spacing w:before="0" w:after="0"/>
              <w:jc w:val="right"/>
              <w:rPr>
                <w:sz w:val="12"/>
                <w:szCs w:val="12"/>
                <w:lang w:val="fr-BE"/>
              </w:rPr>
            </w:pPr>
            <w:r w:rsidRPr="00BA47B4">
              <w:rPr>
                <w:noProof/>
                <w:sz w:val="12"/>
                <w:szCs w:val="12"/>
                <w:lang w:val="fr-BE"/>
              </w:rPr>
              <w:t>6,00</w:t>
            </w:r>
          </w:p>
        </w:tc>
        <w:tc>
          <w:tcPr>
            <w:tcW w:w="0" w:type="auto"/>
            <w:shd w:val="clear" w:color="auto" w:fill="auto"/>
          </w:tcPr>
          <w:p w14:paraId="6A9933EC" w14:textId="77777777" w:rsidR="008C5CFA" w:rsidRPr="00BA47B4" w:rsidRDefault="008C5CFA" w:rsidP="00300A01">
            <w:pPr>
              <w:spacing w:before="0" w:after="0"/>
              <w:jc w:val="right"/>
              <w:rPr>
                <w:sz w:val="12"/>
                <w:szCs w:val="12"/>
                <w:lang w:val="fr-BE"/>
              </w:rPr>
            </w:pPr>
          </w:p>
        </w:tc>
        <w:tc>
          <w:tcPr>
            <w:tcW w:w="0" w:type="auto"/>
            <w:shd w:val="clear" w:color="auto" w:fill="auto"/>
          </w:tcPr>
          <w:p w14:paraId="1269E4B7" w14:textId="77777777" w:rsidR="008C5CFA" w:rsidRPr="00BA47B4" w:rsidRDefault="008C5CFA" w:rsidP="00300A01">
            <w:pPr>
              <w:spacing w:before="0" w:after="0"/>
              <w:jc w:val="right"/>
              <w:rPr>
                <w:sz w:val="12"/>
                <w:szCs w:val="12"/>
                <w:lang w:val="fr-BE"/>
              </w:rPr>
            </w:pPr>
          </w:p>
        </w:tc>
        <w:tc>
          <w:tcPr>
            <w:tcW w:w="0" w:type="auto"/>
            <w:shd w:val="clear" w:color="auto" w:fill="auto"/>
          </w:tcPr>
          <w:p w14:paraId="0377FD40" w14:textId="77777777" w:rsidR="008C5CFA" w:rsidRPr="00BA47B4" w:rsidRDefault="008C5CFA" w:rsidP="00300A01">
            <w:pPr>
              <w:spacing w:before="0" w:after="0"/>
              <w:jc w:val="right"/>
              <w:rPr>
                <w:sz w:val="12"/>
                <w:szCs w:val="12"/>
                <w:lang w:val="fr-BE"/>
              </w:rPr>
            </w:pPr>
          </w:p>
        </w:tc>
        <w:tc>
          <w:tcPr>
            <w:tcW w:w="0" w:type="auto"/>
          </w:tcPr>
          <w:p w14:paraId="2D3B3FA4" w14:textId="77777777" w:rsidR="008C5CFA" w:rsidRPr="00A92B39" w:rsidRDefault="00E82A60" w:rsidP="00300A01">
            <w:pPr>
              <w:spacing w:before="0" w:after="0"/>
              <w:jc w:val="right"/>
              <w:rPr>
                <w:sz w:val="10"/>
                <w:szCs w:val="10"/>
                <w:lang w:val="fr-BE"/>
              </w:rPr>
            </w:pPr>
            <w:r w:rsidRPr="00A92B39">
              <w:rPr>
                <w:noProof/>
                <w:sz w:val="10"/>
                <w:szCs w:val="10"/>
                <w:lang w:val="fr-BE"/>
              </w:rPr>
              <w:t>1,00</w:t>
            </w:r>
          </w:p>
        </w:tc>
        <w:tc>
          <w:tcPr>
            <w:tcW w:w="0" w:type="auto"/>
            <w:shd w:val="clear" w:color="auto" w:fill="auto"/>
          </w:tcPr>
          <w:p w14:paraId="550543AE" w14:textId="77777777" w:rsidR="008C5CFA" w:rsidRPr="00A92B39" w:rsidRDefault="00E82A60" w:rsidP="00300A01">
            <w:pPr>
              <w:spacing w:before="0" w:after="0"/>
              <w:jc w:val="right"/>
              <w:rPr>
                <w:sz w:val="10"/>
                <w:szCs w:val="10"/>
                <w:lang w:val="fr-BE"/>
              </w:rPr>
            </w:pPr>
            <w:r w:rsidRPr="00A92B39">
              <w:rPr>
                <w:noProof/>
                <w:sz w:val="10"/>
                <w:szCs w:val="10"/>
                <w:lang w:val="fr-BE"/>
              </w:rPr>
              <w:t>1,00</w:t>
            </w:r>
          </w:p>
        </w:tc>
        <w:tc>
          <w:tcPr>
            <w:tcW w:w="0" w:type="auto"/>
            <w:shd w:val="clear" w:color="auto" w:fill="auto"/>
          </w:tcPr>
          <w:p w14:paraId="46024087" w14:textId="77777777" w:rsidR="008C5CFA" w:rsidRPr="00BA47B4" w:rsidRDefault="00E82A60" w:rsidP="00300A01">
            <w:pPr>
              <w:spacing w:before="0" w:after="0"/>
              <w:jc w:val="right"/>
              <w:rPr>
                <w:sz w:val="12"/>
                <w:szCs w:val="12"/>
                <w:lang w:val="fr-BE"/>
              </w:rPr>
            </w:pPr>
            <w:r w:rsidRPr="00A92B39">
              <w:rPr>
                <w:noProof/>
                <w:sz w:val="10"/>
                <w:szCs w:val="10"/>
                <w:lang w:val="fr-BE"/>
              </w:rPr>
              <w:t>0,00</w:t>
            </w:r>
          </w:p>
        </w:tc>
      </w:tr>
      <w:tr w:rsidR="006B2EC1" w14:paraId="024ACF69" w14:textId="77777777" w:rsidTr="0047688D">
        <w:tc>
          <w:tcPr>
            <w:tcW w:w="0" w:type="auto"/>
            <w:shd w:val="clear" w:color="auto" w:fill="auto"/>
          </w:tcPr>
          <w:p w14:paraId="419F2338" w14:textId="77777777" w:rsidR="008C5CFA" w:rsidRPr="00BA47B4" w:rsidRDefault="00E82A60" w:rsidP="00300A01">
            <w:pPr>
              <w:spacing w:before="0" w:after="0"/>
              <w:rPr>
                <w:sz w:val="12"/>
                <w:szCs w:val="12"/>
                <w:lang w:val="fr-BE"/>
              </w:rPr>
            </w:pPr>
            <w:r>
              <w:rPr>
                <w:noProof/>
                <w:sz w:val="12"/>
                <w:szCs w:val="12"/>
                <w:lang w:val="fr-BE"/>
              </w:rPr>
              <w:t>CO05</w:t>
            </w:r>
          </w:p>
        </w:tc>
        <w:tc>
          <w:tcPr>
            <w:tcW w:w="0" w:type="auto"/>
            <w:shd w:val="clear" w:color="auto" w:fill="auto"/>
          </w:tcPr>
          <w:p w14:paraId="1116FE54" w14:textId="77777777" w:rsidR="008C5CFA" w:rsidRPr="00BA47B4" w:rsidRDefault="00E82A60" w:rsidP="00300A01">
            <w:pPr>
              <w:spacing w:before="0" w:after="0"/>
              <w:rPr>
                <w:sz w:val="12"/>
                <w:szCs w:val="12"/>
                <w:lang w:val="fr-BE"/>
              </w:rPr>
            </w:pPr>
            <w:r>
              <w:rPr>
                <w:noProof/>
                <w:sz w:val="12"/>
                <w:szCs w:val="12"/>
                <w:lang w:val="fr-BE"/>
              </w:rPr>
              <w:t>osoby pracujące, łącznie z prowadzącymi działalność na własny rachunek</w:t>
            </w:r>
          </w:p>
        </w:tc>
        <w:tc>
          <w:tcPr>
            <w:tcW w:w="0" w:type="auto"/>
            <w:shd w:val="clear" w:color="auto" w:fill="auto"/>
          </w:tcPr>
          <w:p w14:paraId="3A278DF8" w14:textId="77777777" w:rsidR="008C5CFA" w:rsidRPr="00BA47B4" w:rsidRDefault="00E82A60"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14:paraId="1A7E3871" w14:textId="77777777" w:rsidR="008C5CFA" w:rsidRPr="00BA47B4" w:rsidRDefault="008C5CFA" w:rsidP="00300A01">
            <w:pPr>
              <w:spacing w:before="0" w:after="0"/>
              <w:jc w:val="right"/>
              <w:rPr>
                <w:sz w:val="12"/>
                <w:szCs w:val="12"/>
                <w:lang w:val="fr-BE"/>
              </w:rPr>
            </w:pPr>
          </w:p>
        </w:tc>
        <w:tc>
          <w:tcPr>
            <w:tcW w:w="0" w:type="auto"/>
            <w:shd w:val="clear" w:color="auto" w:fill="auto"/>
          </w:tcPr>
          <w:p w14:paraId="7747F641" w14:textId="77777777" w:rsidR="008C5CFA" w:rsidRPr="00BA47B4" w:rsidRDefault="008C5CFA" w:rsidP="00300A01">
            <w:pPr>
              <w:spacing w:before="0" w:after="0"/>
              <w:jc w:val="right"/>
              <w:rPr>
                <w:sz w:val="12"/>
                <w:szCs w:val="12"/>
                <w:lang w:val="fr-BE"/>
              </w:rPr>
            </w:pPr>
          </w:p>
        </w:tc>
        <w:tc>
          <w:tcPr>
            <w:tcW w:w="0" w:type="auto"/>
            <w:shd w:val="clear" w:color="auto" w:fill="auto"/>
          </w:tcPr>
          <w:p w14:paraId="1EBF0617" w14:textId="77777777" w:rsidR="008C5CFA" w:rsidRPr="00BA47B4" w:rsidRDefault="008C5CFA" w:rsidP="00300A01">
            <w:pPr>
              <w:spacing w:before="0" w:after="0"/>
              <w:jc w:val="right"/>
              <w:rPr>
                <w:sz w:val="12"/>
                <w:szCs w:val="12"/>
                <w:lang w:val="fr-BE"/>
              </w:rPr>
            </w:pPr>
          </w:p>
        </w:tc>
        <w:tc>
          <w:tcPr>
            <w:tcW w:w="0" w:type="auto"/>
            <w:shd w:val="clear" w:color="auto" w:fill="auto"/>
          </w:tcPr>
          <w:p w14:paraId="2159582E" w14:textId="77777777" w:rsidR="008C5CFA" w:rsidRPr="00BA47B4" w:rsidRDefault="00E82A60" w:rsidP="00300A01">
            <w:pPr>
              <w:spacing w:before="0" w:after="0"/>
              <w:jc w:val="right"/>
              <w:rPr>
                <w:sz w:val="12"/>
                <w:szCs w:val="12"/>
                <w:lang w:val="fr-BE"/>
              </w:rPr>
            </w:pPr>
            <w:r w:rsidRPr="00BA47B4">
              <w:rPr>
                <w:noProof/>
                <w:sz w:val="12"/>
                <w:szCs w:val="12"/>
                <w:lang w:val="fr-BE"/>
              </w:rPr>
              <w:t>1 414,00</w:t>
            </w:r>
          </w:p>
        </w:tc>
        <w:tc>
          <w:tcPr>
            <w:tcW w:w="0" w:type="auto"/>
            <w:shd w:val="clear" w:color="auto" w:fill="auto"/>
          </w:tcPr>
          <w:p w14:paraId="7B989C8C" w14:textId="77777777" w:rsidR="008C5CFA" w:rsidRPr="00BA47B4" w:rsidRDefault="00E82A60" w:rsidP="00300A01">
            <w:pPr>
              <w:spacing w:before="0" w:after="0"/>
              <w:jc w:val="right"/>
              <w:rPr>
                <w:sz w:val="12"/>
                <w:szCs w:val="12"/>
                <w:lang w:val="fr-BE"/>
              </w:rPr>
            </w:pPr>
            <w:r w:rsidRPr="00BA47B4">
              <w:rPr>
                <w:noProof/>
                <w:sz w:val="12"/>
                <w:szCs w:val="12"/>
                <w:lang w:val="fr-BE"/>
              </w:rPr>
              <w:t>361,00</w:t>
            </w:r>
          </w:p>
        </w:tc>
        <w:tc>
          <w:tcPr>
            <w:tcW w:w="0" w:type="auto"/>
            <w:shd w:val="clear" w:color="auto" w:fill="auto"/>
          </w:tcPr>
          <w:p w14:paraId="28BA9DC6" w14:textId="77777777" w:rsidR="008C5CFA" w:rsidRPr="00BA47B4" w:rsidRDefault="00E82A60" w:rsidP="00300A01">
            <w:pPr>
              <w:spacing w:before="0" w:after="0"/>
              <w:jc w:val="right"/>
              <w:rPr>
                <w:sz w:val="12"/>
                <w:szCs w:val="12"/>
                <w:lang w:val="fr-BE"/>
              </w:rPr>
            </w:pPr>
            <w:r w:rsidRPr="00BA47B4">
              <w:rPr>
                <w:noProof/>
                <w:sz w:val="12"/>
                <w:szCs w:val="12"/>
                <w:lang w:val="fr-BE"/>
              </w:rPr>
              <w:t>1 053,00</w:t>
            </w:r>
          </w:p>
        </w:tc>
        <w:tc>
          <w:tcPr>
            <w:tcW w:w="0" w:type="auto"/>
            <w:shd w:val="clear" w:color="auto" w:fill="auto"/>
          </w:tcPr>
          <w:p w14:paraId="1A437299" w14:textId="77777777" w:rsidR="008C5CFA" w:rsidRPr="00BA47B4" w:rsidRDefault="008C5CFA" w:rsidP="00300A01">
            <w:pPr>
              <w:spacing w:before="0" w:after="0"/>
              <w:jc w:val="right"/>
              <w:rPr>
                <w:sz w:val="12"/>
                <w:szCs w:val="12"/>
                <w:lang w:val="fr-BE"/>
              </w:rPr>
            </w:pPr>
          </w:p>
        </w:tc>
        <w:tc>
          <w:tcPr>
            <w:tcW w:w="0" w:type="auto"/>
            <w:shd w:val="clear" w:color="auto" w:fill="auto"/>
          </w:tcPr>
          <w:p w14:paraId="28901DDE" w14:textId="77777777" w:rsidR="008C5CFA" w:rsidRPr="00BA47B4" w:rsidRDefault="008C5CFA" w:rsidP="00300A01">
            <w:pPr>
              <w:spacing w:before="0" w:after="0"/>
              <w:jc w:val="right"/>
              <w:rPr>
                <w:sz w:val="12"/>
                <w:szCs w:val="12"/>
                <w:lang w:val="fr-BE"/>
              </w:rPr>
            </w:pPr>
          </w:p>
        </w:tc>
        <w:tc>
          <w:tcPr>
            <w:tcW w:w="0" w:type="auto"/>
            <w:shd w:val="clear" w:color="auto" w:fill="auto"/>
          </w:tcPr>
          <w:p w14:paraId="3BD68FA9" w14:textId="77777777" w:rsidR="008C5CFA" w:rsidRPr="00BA47B4" w:rsidRDefault="008C5CFA" w:rsidP="00300A01">
            <w:pPr>
              <w:spacing w:before="0" w:after="0"/>
              <w:jc w:val="right"/>
              <w:rPr>
                <w:sz w:val="12"/>
                <w:szCs w:val="12"/>
                <w:lang w:val="fr-BE"/>
              </w:rPr>
            </w:pPr>
          </w:p>
        </w:tc>
        <w:tc>
          <w:tcPr>
            <w:tcW w:w="0" w:type="auto"/>
          </w:tcPr>
          <w:p w14:paraId="31522135" w14:textId="77777777" w:rsidR="008C5CFA" w:rsidRPr="00A92B39" w:rsidRDefault="00E82A60" w:rsidP="00300A01">
            <w:pPr>
              <w:spacing w:before="0" w:after="0"/>
              <w:jc w:val="right"/>
              <w:rPr>
                <w:sz w:val="10"/>
                <w:szCs w:val="10"/>
                <w:lang w:val="fr-BE"/>
              </w:rPr>
            </w:pPr>
            <w:r w:rsidRPr="00A92B39">
              <w:rPr>
                <w:noProof/>
                <w:sz w:val="10"/>
                <w:szCs w:val="10"/>
                <w:lang w:val="fr-BE"/>
              </w:rPr>
              <w:t>199,00</w:t>
            </w:r>
          </w:p>
        </w:tc>
        <w:tc>
          <w:tcPr>
            <w:tcW w:w="0" w:type="auto"/>
            <w:shd w:val="clear" w:color="auto" w:fill="auto"/>
          </w:tcPr>
          <w:p w14:paraId="36D0CDCA" w14:textId="77777777" w:rsidR="008C5CFA" w:rsidRPr="00A92B39" w:rsidRDefault="00E82A60" w:rsidP="00300A01">
            <w:pPr>
              <w:spacing w:before="0" w:after="0"/>
              <w:jc w:val="right"/>
              <w:rPr>
                <w:sz w:val="10"/>
                <w:szCs w:val="10"/>
                <w:lang w:val="fr-BE"/>
              </w:rPr>
            </w:pPr>
            <w:r w:rsidRPr="00A92B39">
              <w:rPr>
                <w:noProof/>
                <w:sz w:val="10"/>
                <w:szCs w:val="10"/>
                <w:lang w:val="fr-BE"/>
              </w:rPr>
              <w:t>46,00</w:t>
            </w:r>
          </w:p>
        </w:tc>
        <w:tc>
          <w:tcPr>
            <w:tcW w:w="0" w:type="auto"/>
            <w:shd w:val="clear" w:color="auto" w:fill="auto"/>
          </w:tcPr>
          <w:p w14:paraId="03738891" w14:textId="77777777" w:rsidR="008C5CFA" w:rsidRPr="00BA47B4" w:rsidRDefault="00E82A60" w:rsidP="00300A01">
            <w:pPr>
              <w:spacing w:before="0" w:after="0"/>
              <w:jc w:val="right"/>
              <w:rPr>
                <w:sz w:val="12"/>
                <w:szCs w:val="12"/>
                <w:lang w:val="fr-BE"/>
              </w:rPr>
            </w:pPr>
            <w:r w:rsidRPr="00A92B39">
              <w:rPr>
                <w:noProof/>
                <w:sz w:val="10"/>
                <w:szCs w:val="10"/>
                <w:lang w:val="fr-BE"/>
              </w:rPr>
              <w:t>153,00</w:t>
            </w:r>
          </w:p>
        </w:tc>
      </w:tr>
      <w:tr w:rsidR="006B2EC1" w14:paraId="65B09B88" w14:textId="77777777" w:rsidTr="0047688D">
        <w:tc>
          <w:tcPr>
            <w:tcW w:w="0" w:type="auto"/>
            <w:shd w:val="clear" w:color="auto" w:fill="auto"/>
          </w:tcPr>
          <w:p w14:paraId="0B03B37C" w14:textId="77777777" w:rsidR="008C5CFA" w:rsidRPr="00BA47B4" w:rsidRDefault="00E82A60" w:rsidP="00300A01">
            <w:pPr>
              <w:spacing w:before="0" w:after="0"/>
              <w:rPr>
                <w:sz w:val="12"/>
                <w:szCs w:val="12"/>
                <w:lang w:val="fr-BE"/>
              </w:rPr>
            </w:pPr>
            <w:r>
              <w:rPr>
                <w:noProof/>
                <w:sz w:val="12"/>
                <w:szCs w:val="12"/>
                <w:lang w:val="fr-BE"/>
              </w:rPr>
              <w:t>CO06</w:t>
            </w:r>
          </w:p>
        </w:tc>
        <w:tc>
          <w:tcPr>
            <w:tcW w:w="0" w:type="auto"/>
            <w:shd w:val="clear" w:color="auto" w:fill="auto"/>
          </w:tcPr>
          <w:p w14:paraId="28094257" w14:textId="77777777" w:rsidR="008C5CFA" w:rsidRPr="00BA47B4" w:rsidRDefault="00E82A60" w:rsidP="00300A01">
            <w:pPr>
              <w:spacing w:before="0" w:after="0"/>
              <w:rPr>
                <w:sz w:val="12"/>
                <w:szCs w:val="12"/>
                <w:lang w:val="fr-BE"/>
              </w:rPr>
            </w:pPr>
            <w:r>
              <w:rPr>
                <w:noProof/>
                <w:sz w:val="12"/>
                <w:szCs w:val="12"/>
                <w:lang w:val="fr-BE"/>
              </w:rPr>
              <w:t>osoby w wieku poniżej 25 lat</w:t>
            </w:r>
          </w:p>
        </w:tc>
        <w:tc>
          <w:tcPr>
            <w:tcW w:w="0" w:type="auto"/>
            <w:shd w:val="clear" w:color="auto" w:fill="auto"/>
          </w:tcPr>
          <w:p w14:paraId="0642C71C" w14:textId="77777777" w:rsidR="008C5CFA" w:rsidRPr="00BA47B4" w:rsidRDefault="00E82A60"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14:paraId="4ADD3AA6" w14:textId="77777777" w:rsidR="008C5CFA" w:rsidRPr="00BA47B4" w:rsidRDefault="008C5CFA" w:rsidP="00300A01">
            <w:pPr>
              <w:spacing w:before="0" w:after="0"/>
              <w:jc w:val="right"/>
              <w:rPr>
                <w:sz w:val="12"/>
                <w:szCs w:val="12"/>
                <w:lang w:val="fr-BE"/>
              </w:rPr>
            </w:pPr>
          </w:p>
        </w:tc>
        <w:tc>
          <w:tcPr>
            <w:tcW w:w="0" w:type="auto"/>
            <w:shd w:val="clear" w:color="auto" w:fill="auto"/>
          </w:tcPr>
          <w:p w14:paraId="241FE0B7" w14:textId="77777777" w:rsidR="008C5CFA" w:rsidRPr="00BA47B4" w:rsidRDefault="008C5CFA" w:rsidP="00300A01">
            <w:pPr>
              <w:spacing w:before="0" w:after="0"/>
              <w:jc w:val="right"/>
              <w:rPr>
                <w:sz w:val="12"/>
                <w:szCs w:val="12"/>
                <w:lang w:val="fr-BE"/>
              </w:rPr>
            </w:pPr>
          </w:p>
        </w:tc>
        <w:tc>
          <w:tcPr>
            <w:tcW w:w="0" w:type="auto"/>
            <w:shd w:val="clear" w:color="auto" w:fill="auto"/>
          </w:tcPr>
          <w:p w14:paraId="75FC8593" w14:textId="77777777" w:rsidR="008C5CFA" w:rsidRPr="00BA47B4" w:rsidRDefault="008C5CFA" w:rsidP="00300A01">
            <w:pPr>
              <w:spacing w:before="0" w:after="0"/>
              <w:jc w:val="right"/>
              <w:rPr>
                <w:sz w:val="12"/>
                <w:szCs w:val="12"/>
                <w:lang w:val="fr-BE"/>
              </w:rPr>
            </w:pPr>
          </w:p>
        </w:tc>
        <w:tc>
          <w:tcPr>
            <w:tcW w:w="0" w:type="auto"/>
            <w:shd w:val="clear" w:color="auto" w:fill="auto"/>
          </w:tcPr>
          <w:p w14:paraId="739D41F9" w14:textId="77777777" w:rsidR="008C5CFA" w:rsidRPr="00BA47B4" w:rsidRDefault="00E82A60" w:rsidP="00300A01">
            <w:pPr>
              <w:spacing w:before="0" w:after="0"/>
              <w:jc w:val="right"/>
              <w:rPr>
                <w:sz w:val="12"/>
                <w:szCs w:val="12"/>
                <w:lang w:val="fr-BE"/>
              </w:rPr>
            </w:pPr>
            <w:r w:rsidRPr="00BA47B4">
              <w:rPr>
                <w:noProof/>
                <w:sz w:val="12"/>
                <w:szCs w:val="12"/>
                <w:lang w:val="fr-BE"/>
              </w:rPr>
              <w:t>95,00</w:t>
            </w:r>
          </w:p>
        </w:tc>
        <w:tc>
          <w:tcPr>
            <w:tcW w:w="0" w:type="auto"/>
            <w:shd w:val="clear" w:color="auto" w:fill="auto"/>
          </w:tcPr>
          <w:p w14:paraId="72F8EB1C" w14:textId="77777777" w:rsidR="008C5CFA" w:rsidRPr="00BA47B4" w:rsidRDefault="00E82A60" w:rsidP="00300A01">
            <w:pPr>
              <w:spacing w:before="0" w:after="0"/>
              <w:jc w:val="right"/>
              <w:rPr>
                <w:sz w:val="12"/>
                <w:szCs w:val="12"/>
                <w:lang w:val="fr-BE"/>
              </w:rPr>
            </w:pPr>
            <w:r w:rsidRPr="00BA47B4">
              <w:rPr>
                <w:noProof/>
                <w:sz w:val="12"/>
                <w:szCs w:val="12"/>
                <w:lang w:val="fr-BE"/>
              </w:rPr>
              <w:t>38,00</w:t>
            </w:r>
          </w:p>
        </w:tc>
        <w:tc>
          <w:tcPr>
            <w:tcW w:w="0" w:type="auto"/>
            <w:shd w:val="clear" w:color="auto" w:fill="auto"/>
          </w:tcPr>
          <w:p w14:paraId="5260828A" w14:textId="77777777" w:rsidR="008C5CFA" w:rsidRPr="00BA47B4" w:rsidRDefault="00E82A60" w:rsidP="00300A01">
            <w:pPr>
              <w:spacing w:before="0" w:after="0"/>
              <w:jc w:val="right"/>
              <w:rPr>
                <w:sz w:val="12"/>
                <w:szCs w:val="12"/>
                <w:lang w:val="fr-BE"/>
              </w:rPr>
            </w:pPr>
            <w:r w:rsidRPr="00BA47B4">
              <w:rPr>
                <w:noProof/>
                <w:sz w:val="12"/>
                <w:szCs w:val="12"/>
                <w:lang w:val="fr-BE"/>
              </w:rPr>
              <w:t>57,00</w:t>
            </w:r>
          </w:p>
        </w:tc>
        <w:tc>
          <w:tcPr>
            <w:tcW w:w="0" w:type="auto"/>
            <w:shd w:val="clear" w:color="auto" w:fill="auto"/>
          </w:tcPr>
          <w:p w14:paraId="5B7CBB3A" w14:textId="77777777" w:rsidR="008C5CFA" w:rsidRPr="00BA47B4" w:rsidRDefault="008C5CFA" w:rsidP="00300A01">
            <w:pPr>
              <w:spacing w:before="0" w:after="0"/>
              <w:jc w:val="right"/>
              <w:rPr>
                <w:sz w:val="12"/>
                <w:szCs w:val="12"/>
                <w:lang w:val="fr-BE"/>
              </w:rPr>
            </w:pPr>
          </w:p>
        </w:tc>
        <w:tc>
          <w:tcPr>
            <w:tcW w:w="0" w:type="auto"/>
            <w:shd w:val="clear" w:color="auto" w:fill="auto"/>
          </w:tcPr>
          <w:p w14:paraId="5B278AC4" w14:textId="77777777" w:rsidR="008C5CFA" w:rsidRPr="00BA47B4" w:rsidRDefault="008C5CFA" w:rsidP="00300A01">
            <w:pPr>
              <w:spacing w:before="0" w:after="0"/>
              <w:jc w:val="right"/>
              <w:rPr>
                <w:sz w:val="12"/>
                <w:szCs w:val="12"/>
                <w:lang w:val="fr-BE"/>
              </w:rPr>
            </w:pPr>
          </w:p>
        </w:tc>
        <w:tc>
          <w:tcPr>
            <w:tcW w:w="0" w:type="auto"/>
            <w:shd w:val="clear" w:color="auto" w:fill="auto"/>
          </w:tcPr>
          <w:p w14:paraId="17037439" w14:textId="77777777" w:rsidR="008C5CFA" w:rsidRPr="00BA47B4" w:rsidRDefault="008C5CFA" w:rsidP="00300A01">
            <w:pPr>
              <w:spacing w:before="0" w:after="0"/>
              <w:jc w:val="right"/>
              <w:rPr>
                <w:sz w:val="12"/>
                <w:szCs w:val="12"/>
                <w:lang w:val="fr-BE"/>
              </w:rPr>
            </w:pPr>
          </w:p>
        </w:tc>
        <w:tc>
          <w:tcPr>
            <w:tcW w:w="0" w:type="auto"/>
          </w:tcPr>
          <w:p w14:paraId="7A8E5B36" w14:textId="77777777" w:rsidR="008C5CFA" w:rsidRPr="00A92B39" w:rsidRDefault="00E82A60" w:rsidP="00300A01">
            <w:pPr>
              <w:spacing w:before="0" w:after="0"/>
              <w:jc w:val="right"/>
              <w:rPr>
                <w:sz w:val="10"/>
                <w:szCs w:val="10"/>
                <w:lang w:val="fr-BE"/>
              </w:rPr>
            </w:pPr>
            <w:r w:rsidRPr="00A92B39">
              <w:rPr>
                <w:noProof/>
                <w:sz w:val="10"/>
                <w:szCs w:val="10"/>
                <w:lang w:val="fr-BE"/>
              </w:rPr>
              <w:t>27,00</w:t>
            </w:r>
          </w:p>
        </w:tc>
        <w:tc>
          <w:tcPr>
            <w:tcW w:w="0" w:type="auto"/>
            <w:shd w:val="clear" w:color="auto" w:fill="auto"/>
          </w:tcPr>
          <w:p w14:paraId="424E22C6" w14:textId="77777777" w:rsidR="008C5CFA" w:rsidRPr="00A92B39" w:rsidRDefault="00E82A60" w:rsidP="00300A01">
            <w:pPr>
              <w:spacing w:before="0" w:after="0"/>
              <w:jc w:val="right"/>
              <w:rPr>
                <w:sz w:val="10"/>
                <w:szCs w:val="10"/>
                <w:lang w:val="fr-BE"/>
              </w:rPr>
            </w:pPr>
            <w:r w:rsidRPr="00A92B39">
              <w:rPr>
                <w:noProof/>
                <w:sz w:val="10"/>
                <w:szCs w:val="10"/>
                <w:lang w:val="fr-BE"/>
              </w:rPr>
              <w:t>9,00</w:t>
            </w:r>
          </w:p>
        </w:tc>
        <w:tc>
          <w:tcPr>
            <w:tcW w:w="0" w:type="auto"/>
            <w:shd w:val="clear" w:color="auto" w:fill="auto"/>
          </w:tcPr>
          <w:p w14:paraId="4A98DF05" w14:textId="77777777" w:rsidR="008C5CFA" w:rsidRPr="00BA47B4" w:rsidRDefault="00E82A60" w:rsidP="00300A01">
            <w:pPr>
              <w:spacing w:before="0" w:after="0"/>
              <w:jc w:val="right"/>
              <w:rPr>
                <w:sz w:val="12"/>
                <w:szCs w:val="12"/>
                <w:lang w:val="fr-BE"/>
              </w:rPr>
            </w:pPr>
            <w:r w:rsidRPr="00A92B39">
              <w:rPr>
                <w:noProof/>
                <w:sz w:val="10"/>
                <w:szCs w:val="10"/>
                <w:lang w:val="fr-BE"/>
              </w:rPr>
              <w:t>18,00</w:t>
            </w:r>
          </w:p>
        </w:tc>
      </w:tr>
      <w:tr w:rsidR="006B2EC1" w14:paraId="3F783F3A" w14:textId="77777777" w:rsidTr="0047688D">
        <w:tc>
          <w:tcPr>
            <w:tcW w:w="0" w:type="auto"/>
            <w:shd w:val="clear" w:color="auto" w:fill="auto"/>
          </w:tcPr>
          <w:p w14:paraId="434B8CA5" w14:textId="77777777" w:rsidR="008C5CFA" w:rsidRPr="00BA47B4" w:rsidRDefault="00E82A60" w:rsidP="00300A01">
            <w:pPr>
              <w:spacing w:before="0" w:after="0"/>
              <w:rPr>
                <w:sz w:val="12"/>
                <w:szCs w:val="12"/>
                <w:lang w:val="fr-BE"/>
              </w:rPr>
            </w:pPr>
            <w:r>
              <w:rPr>
                <w:noProof/>
                <w:sz w:val="12"/>
                <w:szCs w:val="12"/>
                <w:lang w:val="fr-BE"/>
              </w:rPr>
              <w:t>CO07</w:t>
            </w:r>
          </w:p>
        </w:tc>
        <w:tc>
          <w:tcPr>
            <w:tcW w:w="0" w:type="auto"/>
            <w:shd w:val="clear" w:color="auto" w:fill="auto"/>
          </w:tcPr>
          <w:p w14:paraId="445F606C" w14:textId="77777777" w:rsidR="008C5CFA" w:rsidRPr="00BA47B4" w:rsidRDefault="00E82A60" w:rsidP="00300A01">
            <w:pPr>
              <w:spacing w:before="0" w:after="0"/>
              <w:rPr>
                <w:sz w:val="12"/>
                <w:szCs w:val="12"/>
                <w:lang w:val="fr-BE"/>
              </w:rPr>
            </w:pPr>
            <w:r>
              <w:rPr>
                <w:noProof/>
                <w:sz w:val="12"/>
                <w:szCs w:val="12"/>
                <w:lang w:val="fr-BE"/>
              </w:rPr>
              <w:t>osoby w wieku powyżej 54 lat</w:t>
            </w:r>
          </w:p>
        </w:tc>
        <w:tc>
          <w:tcPr>
            <w:tcW w:w="0" w:type="auto"/>
            <w:shd w:val="clear" w:color="auto" w:fill="auto"/>
          </w:tcPr>
          <w:p w14:paraId="1A02D7D8" w14:textId="77777777" w:rsidR="008C5CFA" w:rsidRPr="00BA47B4" w:rsidRDefault="00E82A60"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14:paraId="7A1F2D51" w14:textId="77777777" w:rsidR="008C5CFA" w:rsidRPr="00BA47B4" w:rsidRDefault="008C5CFA" w:rsidP="00300A01">
            <w:pPr>
              <w:spacing w:before="0" w:after="0"/>
              <w:jc w:val="right"/>
              <w:rPr>
                <w:sz w:val="12"/>
                <w:szCs w:val="12"/>
                <w:lang w:val="fr-BE"/>
              </w:rPr>
            </w:pPr>
          </w:p>
        </w:tc>
        <w:tc>
          <w:tcPr>
            <w:tcW w:w="0" w:type="auto"/>
            <w:shd w:val="clear" w:color="auto" w:fill="auto"/>
          </w:tcPr>
          <w:p w14:paraId="191A70F1" w14:textId="77777777" w:rsidR="008C5CFA" w:rsidRPr="00BA47B4" w:rsidRDefault="008C5CFA" w:rsidP="00300A01">
            <w:pPr>
              <w:spacing w:before="0" w:after="0"/>
              <w:jc w:val="right"/>
              <w:rPr>
                <w:sz w:val="12"/>
                <w:szCs w:val="12"/>
                <w:lang w:val="fr-BE"/>
              </w:rPr>
            </w:pPr>
          </w:p>
        </w:tc>
        <w:tc>
          <w:tcPr>
            <w:tcW w:w="0" w:type="auto"/>
            <w:shd w:val="clear" w:color="auto" w:fill="auto"/>
          </w:tcPr>
          <w:p w14:paraId="266B9269" w14:textId="77777777" w:rsidR="008C5CFA" w:rsidRPr="00BA47B4" w:rsidRDefault="008C5CFA" w:rsidP="00300A01">
            <w:pPr>
              <w:spacing w:before="0" w:after="0"/>
              <w:jc w:val="right"/>
              <w:rPr>
                <w:sz w:val="12"/>
                <w:szCs w:val="12"/>
                <w:lang w:val="fr-BE"/>
              </w:rPr>
            </w:pPr>
          </w:p>
        </w:tc>
        <w:tc>
          <w:tcPr>
            <w:tcW w:w="0" w:type="auto"/>
            <w:shd w:val="clear" w:color="auto" w:fill="auto"/>
          </w:tcPr>
          <w:p w14:paraId="07DC9D37" w14:textId="77777777" w:rsidR="008C5CFA" w:rsidRPr="00BA47B4" w:rsidRDefault="00E82A60" w:rsidP="00300A01">
            <w:pPr>
              <w:spacing w:before="0" w:after="0"/>
              <w:jc w:val="right"/>
              <w:rPr>
                <w:sz w:val="12"/>
                <w:szCs w:val="12"/>
                <w:lang w:val="fr-BE"/>
              </w:rPr>
            </w:pPr>
            <w:r w:rsidRPr="00BA47B4">
              <w:rPr>
                <w:noProof/>
                <w:sz w:val="12"/>
                <w:szCs w:val="12"/>
                <w:lang w:val="fr-BE"/>
              </w:rPr>
              <w:t>359,00</w:t>
            </w:r>
          </w:p>
        </w:tc>
        <w:tc>
          <w:tcPr>
            <w:tcW w:w="0" w:type="auto"/>
            <w:shd w:val="clear" w:color="auto" w:fill="auto"/>
          </w:tcPr>
          <w:p w14:paraId="3587FD01" w14:textId="77777777" w:rsidR="008C5CFA" w:rsidRPr="00BA47B4" w:rsidRDefault="00E82A60" w:rsidP="00300A01">
            <w:pPr>
              <w:spacing w:before="0" w:after="0"/>
              <w:jc w:val="right"/>
              <w:rPr>
                <w:sz w:val="12"/>
                <w:szCs w:val="12"/>
                <w:lang w:val="fr-BE"/>
              </w:rPr>
            </w:pPr>
            <w:r w:rsidRPr="00BA47B4">
              <w:rPr>
                <w:noProof/>
                <w:sz w:val="12"/>
                <w:szCs w:val="12"/>
                <w:lang w:val="fr-BE"/>
              </w:rPr>
              <w:t>121,00</w:t>
            </w:r>
          </w:p>
        </w:tc>
        <w:tc>
          <w:tcPr>
            <w:tcW w:w="0" w:type="auto"/>
            <w:shd w:val="clear" w:color="auto" w:fill="auto"/>
          </w:tcPr>
          <w:p w14:paraId="3D01E7C7" w14:textId="77777777" w:rsidR="008C5CFA" w:rsidRPr="00BA47B4" w:rsidRDefault="00E82A60" w:rsidP="00300A01">
            <w:pPr>
              <w:spacing w:before="0" w:after="0"/>
              <w:jc w:val="right"/>
              <w:rPr>
                <w:sz w:val="12"/>
                <w:szCs w:val="12"/>
                <w:lang w:val="fr-BE"/>
              </w:rPr>
            </w:pPr>
            <w:r w:rsidRPr="00BA47B4">
              <w:rPr>
                <w:noProof/>
                <w:sz w:val="12"/>
                <w:szCs w:val="12"/>
                <w:lang w:val="fr-BE"/>
              </w:rPr>
              <w:t>238,00</w:t>
            </w:r>
          </w:p>
        </w:tc>
        <w:tc>
          <w:tcPr>
            <w:tcW w:w="0" w:type="auto"/>
            <w:shd w:val="clear" w:color="auto" w:fill="auto"/>
          </w:tcPr>
          <w:p w14:paraId="0D25A406" w14:textId="77777777" w:rsidR="008C5CFA" w:rsidRPr="00BA47B4" w:rsidRDefault="008C5CFA" w:rsidP="00300A01">
            <w:pPr>
              <w:spacing w:before="0" w:after="0"/>
              <w:jc w:val="right"/>
              <w:rPr>
                <w:sz w:val="12"/>
                <w:szCs w:val="12"/>
                <w:lang w:val="fr-BE"/>
              </w:rPr>
            </w:pPr>
          </w:p>
        </w:tc>
        <w:tc>
          <w:tcPr>
            <w:tcW w:w="0" w:type="auto"/>
            <w:shd w:val="clear" w:color="auto" w:fill="auto"/>
          </w:tcPr>
          <w:p w14:paraId="78122EC7" w14:textId="77777777" w:rsidR="008C5CFA" w:rsidRPr="00BA47B4" w:rsidRDefault="008C5CFA" w:rsidP="00300A01">
            <w:pPr>
              <w:spacing w:before="0" w:after="0"/>
              <w:jc w:val="right"/>
              <w:rPr>
                <w:sz w:val="12"/>
                <w:szCs w:val="12"/>
                <w:lang w:val="fr-BE"/>
              </w:rPr>
            </w:pPr>
          </w:p>
        </w:tc>
        <w:tc>
          <w:tcPr>
            <w:tcW w:w="0" w:type="auto"/>
            <w:shd w:val="clear" w:color="auto" w:fill="auto"/>
          </w:tcPr>
          <w:p w14:paraId="6C9975C3" w14:textId="77777777" w:rsidR="008C5CFA" w:rsidRPr="00BA47B4" w:rsidRDefault="008C5CFA" w:rsidP="00300A01">
            <w:pPr>
              <w:spacing w:before="0" w:after="0"/>
              <w:jc w:val="right"/>
              <w:rPr>
                <w:sz w:val="12"/>
                <w:szCs w:val="12"/>
                <w:lang w:val="fr-BE"/>
              </w:rPr>
            </w:pPr>
          </w:p>
        </w:tc>
        <w:tc>
          <w:tcPr>
            <w:tcW w:w="0" w:type="auto"/>
          </w:tcPr>
          <w:p w14:paraId="5647A237" w14:textId="77777777" w:rsidR="008C5CFA" w:rsidRPr="00A92B39" w:rsidRDefault="00E82A60" w:rsidP="00300A01">
            <w:pPr>
              <w:spacing w:before="0" w:after="0"/>
              <w:jc w:val="right"/>
              <w:rPr>
                <w:sz w:val="10"/>
                <w:szCs w:val="10"/>
                <w:lang w:val="fr-BE"/>
              </w:rPr>
            </w:pPr>
            <w:r w:rsidRPr="00A92B39">
              <w:rPr>
                <w:noProof/>
                <w:sz w:val="10"/>
                <w:szCs w:val="10"/>
                <w:lang w:val="fr-BE"/>
              </w:rPr>
              <w:t>61,00</w:t>
            </w:r>
          </w:p>
        </w:tc>
        <w:tc>
          <w:tcPr>
            <w:tcW w:w="0" w:type="auto"/>
            <w:shd w:val="clear" w:color="auto" w:fill="auto"/>
          </w:tcPr>
          <w:p w14:paraId="1526F2DF" w14:textId="77777777" w:rsidR="008C5CFA" w:rsidRPr="00A92B39" w:rsidRDefault="00E82A60" w:rsidP="00300A01">
            <w:pPr>
              <w:spacing w:before="0" w:after="0"/>
              <w:jc w:val="right"/>
              <w:rPr>
                <w:sz w:val="10"/>
                <w:szCs w:val="10"/>
                <w:lang w:val="fr-BE"/>
              </w:rPr>
            </w:pPr>
            <w:r w:rsidRPr="00A92B39">
              <w:rPr>
                <w:noProof/>
                <w:sz w:val="10"/>
                <w:szCs w:val="10"/>
                <w:lang w:val="fr-BE"/>
              </w:rPr>
              <w:t>23,00</w:t>
            </w:r>
          </w:p>
        </w:tc>
        <w:tc>
          <w:tcPr>
            <w:tcW w:w="0" w:type="auto"/>
            <w:shd w:val="clear" w:color="auto" w:fill="auto"/>
          </w:tcPr>
          <w:p w14:paraId="12401527" w14:textId="77777777" w:rsidR="008C5CFA" w:rsidRPr="00BA47B4" w:rsidRDefault="00E82A60" w:rsidP="00300A01">
            <w:pPr>
              <w:spacing w:before="0" w:after="0"/>
              <w:jc w:val="right"/>
              <w:rPr>
                <w:sz w:val="12"/>
                <w:szCs w:val="12"/>
                <w:lang w:val="fr-BE"/>
              </w:rPr>
            </w:pPr>
            <w:r w:rsidRPr="00A92B39">
              <w:rPr>
                <w:noProof/>
                <w:sz w:val="10"/>
                <w:szCs w:val="10"/>
                <w:lang w:val="fr-BE"/>
              </w:rPr>
              <w:t>38,00</w:t>
            </w:r>
          </w:p>
        </w:tc>
      </w:tr>
      <w:tr w:rsidR="006B2EC1" w14:paraId="4FEA6189" w14:textId="77777777" w:rsidTr="0047688D">
        <w:tc>
          <w:tcPr>
            <w:tcW w:w="0" w:type="auto"/>
            <w:shd w:val="clear" w:color="auto" w:fill="auto"/>
          </w:tcPr>
          <w:p w14:paraId="031E678B" w14:textId="77777777" w:rsidR="008C5CFA" w:rsidRPr="00BA47B4" w:rsidRDefault="00E82A60" w:rsidP="00300A01">
            <w:pPr>
              <w:spacing w:before="0" w:after="0"/>
              <w:rPr>
                <w:sz w:val="12"/>
                <w:szCs w:val="12"/>
                <w:lang w:val="fr-BE"/>
              </w:rPr>
            </w:pPr>
            <w:r>
              <w:rPr>
                <w:noProof/>
                <w:sz w:val="12"/>
                <w:szCs w:val="12"/>
                <w:lang w:val="fr-BE"/>
              </w:rPr>
              <w:t>CO08</w:t>
            </w:r>
          </w:p>
        </w:tc>
        <w:tc>
          <w:tcPr>
            <w:tcW w:w="0" w:type="auto"/>
            <w:shd w:val="clear" w:color="auto" w:fill="auto"/>
          </w:tcPr>
          <w:p w14:paraId="4077004F" w14:textId="77777777" w:rsidR="008C5CFA" w:rsidRPr="00BA47B4" w:rsidRDefault="00E82A60" w:rsidP="00300A01">
            <w:pPr>
              <w:spacing w:before="0" w:after="0"/>
              <w:rPr>
                <w:sz w:val="12"/>
                <w:szCs w:val="12"/>
                <w:lang w:val="fr-BE"/>
              </w:rPr>
            </w:pPr>
            <w:r>
              <w:rPr>
                <w:noProof/>
                <w:sz w:val="12"/>
                <w:szCs w:val="12"/>
                <w:lang w:val="fr-BE"/>
              </w:rPr>
              <w:t>osoby powyżej 54 lat, które są bezrobotne, łącznie z długotrwale bezrobotnymi, lub są bierne zawodowo i nie uczestniczą w kształceniu ani szkoleniu</w:t>
            </w:r>
          </w:p>
        </w:tc>
        <w:tc>
          <w:tcPr>
            <w:tcW w:w="0" w:type="auto"/>
            <w:shd w:val="clear" w:color="auto" w:fill="auto"/>
          </w:tcPr>
          <w:p w14:paraId="3053B51D" w14:textId="77777777" w:rsidR="008C5CFA" w:rsidRPr="00BA47B4" w:rsidRDefault="00E82A60"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14:paraId="1657DEEC" w14:textId="77777777" w:rsidR="008C5CFA" w:rsidRPr="00BA47B4" w:rsidRDefault="008C5CFA" w:rsidP="00300A01">
            <w:pPr>
              <w:spacing w:before="0" w:after="0"/>
              <w:jc w:val="right"/>
              <w:rPr>
                <w:sz w:val="12"/>
                <w:szCs w:val="12"/>
                <w:lang w:val="fr-BE"/>
              </w:rPr>
            </w:pPr>
          </w:p>
        </w:tc>
        <w:tc>
          <w:tcPr>
            <w:tcW w:w="0" w:type="auto"/>
            <w:shd w:val="clear" w:color="auto" w:fill="auto"/>
          </w:tcPr>
          <w:p w14:paraId="440FBEDA" w14:textId="77777777" w:rsidR="008C5CFA" w:rsidRPr="00BA47B4" w:rsidRDefault="008C5CFA" w:rsidP="00300A01">
            <w:pPr>
              <w:spacing w:before="0" w:after="0"/>
              <w:jc w:val="right"/>
              <w:rPr>
                <w:sz w:val="12"/>
                <w:szCs w:val="12"/>
                <w:lang w:val="fr-BE"/>
              </w:rPr>
            </w:pPr>
          </w:p>
        </w:tc>
        <w:tc>
          <w:tcPr>
            <w:tcW w:w="0" w:type="auto"/>
            <w:shd w:val="clear" w:color="auto" w:fill="auto"/>
          </w:tcPr>
          <w:p w14:paraId="2B199719" w14:textId="77777777" w:rsidR="008C5CFA" w:rsidRPr="00BA47B4" w:rsidRDefault="008C5CFA" w:rsidP="00300A01">
            <w:pPr>
              <w:spacing w:before="0" w:after="0"/>
              <w:jc w:val="right"/>
              <w:rPr>
                <w:sz w:val="12"/>
                <w:szCs w:val="12"/>
                <w:lang w:val="fr-BE"/>
              </w:rPr>
            </w:pPr>
          </w:p>
        </w:tc>
        <w:tc>
          <w:tcPr>
            <w:tcW w:w="0" w:type="auto"/>
            <w:shd w:val="clear" w:color="auto" w:fill="auto"/>
          </w:tcPr>
          <w:p w14:paraId="0FC67520" w14:textId="77777777" w:rsidR="008C5CFA" w:rsidRPr="00BA47B4" w:rsidRDefault="00E82A60" w:rsidP="00300A01">
            <w:pPr>
              <w:spacing w:before="0" w:after="0"/>
              <w:jc w:val="right"/>
              <w:rPr>
                <w:sz w:val="12"/>
                <w:szCs w:val="12"/>
                <w:lang w:val="fr-BE"/>
              </w:rPr>
            </w:pPr>
            <w:r w:rsidRPr="00BA47B4">
              <w:rPr>
                <w:noProof/>
                <w:sz w:val="12"/>
                <w:szCs w:val="12"/>
                <w:lang w:val="fr-BE"/>
              </w:rPr>
              <w:t>60,00</w:t>
            </w:r>
          </w:p>
        </w:tc>
        <w:tc>
          <w:tcPr>
            <w:tcW w:w="0" w:type="auto"/>
            <w:shd w:val="clear" w:color="auto" w:fill="auto"/>
          </w:tcPr>
          <w:p w14:paraId="4B87F456" w14:textId="77777777" w:rsidR="008C5CFA" w:rsidRPr="00BA47B4" w:rsidRDefault="00E82A60" w:rsidP="00300A01">
            <w:pPr>
              <w:spacing w:before="0" w:after="0"/>
              <w:jc w:val="right"/>
              <w:rPr>
                <w:sz w:val="12"/>
                <w:szCs w:val="12"/>
                <w:lang w:val="fr-BE"/>
              </w:rPr>
            </w:pPr>
            <w:r w:rsidRPr="00BA47B4">
              <w:rPr>
                <w:noProof/>
                <w:sz w:val="12"/>
                <w:szCs w:val="12"/>
                <w:lang w:val="fr-BE"/>
              </w:rPr>
              <w:t>22,00</w:t>
            </w:r>
          </w:p>
        </w:tc>
        <w:tc>
          <w:tcPr>
            <w:tcW w:w="0" w:type="auto"/>
            <w:shd w:val="clear" w:color="auto" w:fill="auto"/>
          </w:tcPr>
          <w:p w14:paraId="39B56B6C" w14:textId="77777777" w:rsidR="008C5CFA" w:rsidRPr="00BA47B4" w:rsidRDefault="00E82A60" w:rsidP="00300A01">
            <w:pPr>
              <w:spacing w:before="0" w:after="0"/>
              <w:jc w:val="right"/>
              <w:rPr>
                <w:sz w:val="12"/>
                <w:szCs w:val="12"/>
                <w:lang w:val="fr-BE"/>
              </w:rPr>
            </w:pPr>
            <w:r w:rsidRPr="00BA47B4">
              <w:rPr>
                <w:noProof/>
                <w:sz w:val="12"/>
                <w:szCs w:val="12"/>
                <w:lang w:val="fr-BE"/>
              </w:rPr>
              <w:t>38,00</w:t>
            </w:r>
          </w:p>
        </w:tc>
        <w:tc>
          <w:tcPr>
            <w:tcW w:w="0" w:type="auto"/>
            <w:shd w:val="clear" w:color="auto" w:fill="auto"/>
          </w:tcPr>
          <w:p w14:paraId="7FE6E273" w14:textId="77777777" w:rsidR="008C5CFA" w:rsidRPr="00BA47B4" w:rsidRDefault="008C5CFA" w:rsidP="00300A01">
            <w:pPr>
              <w:spacing w:before="0" w:after="0"/>
              <w:jc w:val="right"/>
              <w:rPr>
                <w:sz w:val="12"/>
                <w:szCs w:val="12"/>
                <w:lang w:val="fr-BE"/>
              </w:rPr>
            </w:pPr>
          </w:p>
        </w:tc>
        <w:tc>
          <w:tcPr>
            <w:tcW w:w="0" w:type="auto"/>
            <w:shd w:val="clear" w:color="auto" w:fill="auto"/>
          </w:tcPr>
          <w:p w14:paraId="578A5C46" w14:textId="77777777" w:rsidR="008C5CFA" w:rsidRPr="00BA47B4" w:rsidRDefault="008C5CFA" w:rsidP="00300A01">
            <w:pPr>
              <w:spacing w:before="0" w:after="0"/>
              <w:jc w:val="right"/>
              <w:rPr>
                <w:sz w:val="12"/>
                <w:szCs w:val="12"/>
                <w:lang w:val="fr-BE"/>
              </w:rPr>
            </w:pPr>
          </w:p>
        </w:tc>
        <w:tc>
          <w:tcPr>
            <w:tcW w:w="0" w:type="auto"/>
            <w:shd w:val="clear" w:color="auto" w:fill="auto"/>
          </w:tcPr>
          <w:p w14:paraId="7202C510" w14:textId="77777777" w:rsidR="008C5CFA" w:rsidRPr="00BA47B4" w:rsidRDefault="008C5CFA" w:rsidP="00300A01">
            <w:pPr>
              <w:spacing w:before="0" w:after="0"/>
              <w:jc w:val="right"/>
              <w:rPr>
                <w:sz w:val="12"/>
                <w:szCs w:val="12"/>
                <w:lang w:val="fr-BE"/>
              </w:rPr>
            </w:pPr>
          </w:p>
        </w:tc>
        <w:tc>
          <w:tcPr>
            <w:tcW w:w="0" w:type="auto"/>
          </w:tcPr>
          <w:p w14:paraId="6F4EFCA2" w14:textId="77777777" w:rsidR="008C5CFA" w:rsidRPr="00A92B39" w:rsidRDefault="00E82A60" w:rsidP="00300A01">
            <w:pPr>
              <w:spacing w:before="0" w:after="0"/>
              <w:jc w:val="right"/>
              <w:rPr>
                <w:sz w:val="10"/>
                <w:szCs w:val="10"/>
                <w:lang w:val="fr-BE"/>
              </w:rPr>
            </w:pPr>
            <w:r w:rsidRPr="00A92B39">
              <w:rPr>
                <w:noProof/>
                <w:sz w:val="10"/>
                <w:szCs w:val="10"/>
                <w:lang w:val="fr-BE"/>
              </w:rPr>
              <w:t>16,00</w:t>
            </w:r>
          </w:p>
        </w:tc>
        <w:tc>
          <w:tcPr>
            <w:tcW w:w="0" w:type="auto"/>
            <w:shd w:val="clear" w:color="auto" w:fill="auto"/>
          </w:tcPr>
          <w:p w14:paraId="443EBC93" w14:textId="77777777" w:rsidR="008C5CFA" w:rsidRPr="00A92B39" w:rsidRDefault="00E82A60" w:rsidP="00300A01">
            <w:pPr>
              <w:spacing w:before="0" w:after="0"/>
              <w:jc w:val="right"/>
              <w:rPr>
                <w:sz w:val="10"/>
                <w:szCs w:val="10"/>
                <w:lang w:val="fr-BE"/>
              </w:rPr>
            </w:pPr>
            <w:r w:rsidRPr="00A92B39">
              <w:rPr>
                <w:noProof/>
                <w:sz w:val="10"/>
                <w:szCs w:val="10"/>
                <w:lang w:val="fr-BE"/>
              </w:rPr>
              <w:t>5,00</w:t>
            </w:r>
          </w:p>
        </w:tc>
        <w:tc>
          <w:tcPr>
            <w:tcW w:w="0" w:type="auto"/>
            <w:shd w:val="clear" w:color="auto" w:fill="auto"/>
          </w:tcPr>
          <w:p w14:paraId="35D538A2" w14:textId="77777777" w:rsidR="008C5CFA" w:rsidRPr="00BA47B4" w:rsidRDefault="00E82A60" w:rsidP="00300A01">
            <w:pPr>
              <w:spacing w:before="0" w:after="0"/>
              <w:jc w:val="right"/>
              <w:rPr>
                <w:sz w:val="12"/>
                <w:szCs w:val="12"/>
                <w:lang w:val="fr-BE"/>
              </w:rPr>
            </w:pPr>
            <w:r w:rsidRPr="00A92B39">
              <w:rPr>
                <w:noProof/>
                <w:sz w:val="10"/>
                <w:szCs w:val="10"/>
                <w:lang w:val="fr-BE"/>
              </w:rPr>
              <w:t>11,00</w:t>
            </w:r>
          </w:p>
        </w:tc>
      </w:tr>
      <w:tr w:rsidR="006B2EC1" w14:paraId="7674425B" w14:textId="77777777" w:rsidTr="0047688D">
        <w:tc>
          <w:tcPr>
            <w:tcW w:w="0" w:type="auto"/>
            <w:shd w:val="clear" w:color="auto" w:fill="auto"/>
          </w:tcPr>
          <w:p w14:paraId="6DACB7EF" w14:textId="77777777" w:rsidR="008C5CFA" w:rsidRPr="00BA47B4" w:rsidRDefault="00E82A60" w:rsidP="00300A01">
            <w:pPr>
              <w:spacing w:before="0" w:after="0"/>
              <w:rPr>
                <w:sz w:val="12"/>
                <w:szCs w:val="12"/>
                <w:lang w:val="fr-BE"/>
              </w:rPr>
            </w:pPr>
            <w:r>
              <w:rPr>
                <w:noProof/>
                <w:sz w:val="12"/>
                <w:szCs w:val="12"/>
                <w:lang w:val="fr-BE"/>
              </w:rPr>
              <w:t>CO09</w:t>
            </w:r>
          </w:p>
        </w:tc>
        <w:tc>
          <w:tcPr>
            <w:tcW w:w="0" w:type="auto"/>
            <w:shd w:val="clear" w:color="auto" w:fill="auto"/>
          </w:tcPr>
          <w:p w14:paraId="16192CA2" w14:textId="77777777" w:rsidR="008C5CFA" w:rsidRPr="00BA47B4" w:rsidRDefault="00E82A60" w:rsidP="00300A01">
            <w:pPr>
              <w:spacing w:before="0" w:after="0"/>
              <w:rPr>
                <w:sz w:val="12"/>
                <w:szCs w:val="12"/>
                <w:lang w:val="fr-BE"/>
              </w:rPr>
            </w:pPr>
            <w:r>
              <w:rPr>
                <w:noProof/>
                <w:sz w:val="12"/>
                <w:szCs w:val="12"/>
                <w:lang w:val="fr-BE"/>
              </w:rPr>
              <w:t>osoby z wykształceniem podstawowym (ISCED 1) lub średnim I stopnia (ISCED 2)</w:t>
            </w:r>
          </w:p>
        </w:tc>
        <w:tc>
          <w:tcPr>
            <w:tcW w:w="0" w:type="auto"/>
            <w:shd w:val="clear" w:color="auto" w:fill="auto"/>
          </w:tcPr>
          <w:p w14:paraId="5ED21067" w14:textId="77777777" w:rsidR="008C5CFA" w:rsidRPr="00BA47B4" w:rsidRDefault="00E82A60"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14:paraId="3BCC192F" w14:textId="77777777" w:rsidR="008C5CFA" w:rsidRPr="00BA47B4" w:rsidRDefault="008C5CFA" w:rsidP="00300A01">
            <w:pPr>
              <w:spacing w:before="0" w:after="0"/>
              <w:jc w:val="right"/>
              <w:rPr>
                <w:sz w:val="12"/>
                <w:szCs w:val="12"/>
                <w:lang w:val="fr-BE"/>
              </w:rPr>
            </w:pPr>
          </w:p>
        </w:tc>
        <w:tc>
          <w:tcPr>
            <w:tcW w:w="0" w:type="auto"/>
            <w:shd w:val="clear" w:color="auto" w:fill="auto"/>
          </w:tcPr>
          <w:p w14:paraId="1FEEEAC8" w14:textId="77777777" w:rsidR="008C5CFA" w:rsidRPr="00BA47B4" w:rsidRDefault="008C5CFA" w:rsidP="00300A01">
            <w:pPr>
              <w:spacing w:before="0" w:after="0"/>
              <w:jc w:val="right"/>
              <w:rPr>
                <w:sz w:val="12"/>
                <w:szCs w:val="12"/>
                <w:lang w:val="fr-BE"/>
              </w:rPr>
            </w:pPr>
          </w:p>
        </w:tc>
        <w:tc>
          <w:tcPr>
            <w:tcW w:w="0" w:type="auto"/>
            <w:shd w:val="clear" w:color="auto" w:fill="auto"/>
          </w:tcPr>
          <w:p w14:paraId="2BB1B1CE" w14:textId="77777777" w:rsidR="008C5CFA" w:rsidRPr="00BA47B4" w:rsidRDefault="008C5CFA" w:rsidP="00300A01">
            <w:pPr>
              <w:spacing w:before="0" w:after="0"/>
              <w:jc w:val="right"/>
              <w:rPr>
                <w:sz w:val="12"/>
                <w:szCs w:val="12"/>
                <w:lang w:val="fr-BE"/>
              </w:rPr>
            </w:pPr>
          </w:p>
        </w:tc>
        <w:tc>
          <w:tcPr>
            <w:tcW w:w="0" w:type="auto"/>
            <w:shd w:val="clear" w:color="auto" w:fill="auto"/>
          </w:tcPr>
          <w:p w14:paraId="5AFEF9AF" w14:textId="77777777" w:rsidR="008C5CFA" w:rsidRPr="00BA47B4" w:rsidRDefault="00E82A60" w:rsidP="00300A01">
            <w:pPr>
              <w:spacing w:before="0" w:after="0"/>
              <w:jc w:val="right"/>
              <w:rPr>
                <w:sz w:val="12"/>
                <w:szCs w:val="12"/>
                <w:lang w:val="fr-BE"/>
              </w:rPr>
            </w:pPr>
            <w:r w:rsidRPr="00BA47B4">
              <w:rPr>
                <w:noProof/>
                <w:sz w:val="12"/>
                <w:szCs w:val="12"/>
                <w:lang w:val="fr-BE"/>
              </w:rPr>
              <w:t>140,00</w:t>
            </w:r>
          </w:p>
        </w:tc>
        <w:tc>
          <w:tcPr>
            <w:tcW w:w="0" w:type="auto"/>
            <w:shd w:val="clear" w:color="auto" w:fill="auto"/>
          </w:tcPr>
          <w:p w14:paraId="02BDA437" w14:textId="77777777" w:rsidR="008C5CFA" w:rsidRPr="00BA47B4" w:rsidRDefault="00E82A60" w:rsidP="00300A01">
            <w:pPr>
              <w:spacing w:before="0" w:after="0"/>
              <w:jc w:val="right"/>
              <w:rPr>
                <w:sz w:val="12"/>
                <w:szCs w:val="12"/>
                <w:lang w:val="fr-BE"/>
              </w:rPr>
            </w:pPr>
            <w:r w:rsidRPr="00BA47B4">
              <w:rPr>
                <w:noProof/>
                <w:sz w:val="12"/>
                <w:szCs w:val="12"/>
                <w:lang w:val="fr-BE"/>
              </w:rPr>
              <w:t>58,00</w:t>
            </w:r>
          </w:p>
        </w:tc>
        <w:tc>
          <w:tcPr>
            <w:tcW w:w="0" w:type="auto"/>
            <w:shd w:val="clear" w:color="auto" w:fill="auto"/>
          </w:tcPr>
          <w:p w14:paraId="40518C33" w14:textId="77777777" w:rsidR="008C5CFA" w:rsidRPr="00BA47B4" w:rsidRDefault="00E82A60" w:rsidP="00300A01">
            <w:pPr>
              <w:spacing w:before="0" w:after="0"/>
              <w:jc w:val="right"/>
              <w:rPr>
                <w:sz w:val="12"/>
                <w:szCs w:val="12"/>
                <w:lang w:val="fr-BE"/>
              </w:rPr>
            </w:pPr>
            <w:r w:rsidRPr="00BA47B4">
              <w:rPr>
                <w:noProof/>
                <w:sz w:val="12"/>
                <w:szCs w:val="12"/>
                <w:lang w:val="fr-BE"/>
              </w:rPr>
              <w:t>82,00</w:t>
            </w:r>
          </w:p>
        </w:tc>
        <w:tc>
          <w:tcPr>
            <w:tcW w:w="0" w:type="auto"/>
            <w:shd w:val="clear" w:color="auto" w:fill="auto"/>
          </w:tcPr>
          <w:p w14:paraId="137C5F8B" w14:textId="77777777" w:rsidR="008C5CFA" w:rsidRPr="00BA47B4" w:rsidRDefault="008C5CFA" w:rsidP="00300A01">
            <w:pPr>
              <w:spacing w:before="0" w:after="0"/>
              <w:jc w:val="right"/>
              <w:rPr>
                <w:sz w:val="12"/>
                <w:szCs w:val="12"/>
                <w:lang w:val="fr-BE"/>
              </w:rPr>
            </w:pPr>
          </w:p>
        </w:tc>
        <w:tc>
          <w:tcPr>
            <w:tcW w:w="0" w:type="auto"/>
            <w:shd w:val="clear" w:color="auto" w:fill="auto"/>
          </w:tcPr>
          <w:p w14:paraId="256A07E7" w14:textId="77777777" w:rsidR="008C5CFA" w:rsidRPr="00BA47B4" w:rsidRDefault="008C5CFA" w:rsidP="00300A01">
            <w:pPr>
              <w:spacing w:before="0" w:after="0"/>
              <w:jc w:val="right"/>
              <w:rPr>
                <w:sz w:val="12"/>
                <w:szCs w:val="12"/>
                <w:lang w:val="fr-BE"/>
              </w:rPr>
            </w:pPr>
          </w:p>
        </w:tc>
        <w:tc>
          <w:tcPr>
            <w:tcW w:w="0" w:type="auto"/>
            <w:shd w:val="clear" w:color="auto" w:fill="auto"/>
          </w:tcPr>
          <w:p w14:paraId="6FBDE96E" w14:textId="77777777" w:rsidR="008C5CFA" w:rsidRPr="00BA47B4" w:rsidRDefault="008C5CFA" w:rsidP="00300A01">
            <w:pPr>
              <w:spacing w:before="0" w:after="0"/>
              <w:jc w:val="right"/>
              <w:rPr>
                <w:sz w:val="12"/>
                <w:szCs w:val="12"/>
                <w:lang w:val="fr-BE"/>
              </w:rPr>
            </w:pPr>
          </w:p>
        </w:tc>
        <w:tc>
          <w:tcPr>
            <w:tcW w:w="0" w:type="auto"/>
          </w:tcPr>
          <w:p w14:paraId="63B109DC" w14:textId="77777777" w:rsidR="008C5CFA" w:rsidRPr="00A92B39" w:rsidRDefault="00E82A60" w:rsidP="00300A01">
            <w:pPr>
              <w:spacing w:before="0" w:after="0"/>
              <w:jc w:val="right"/>
              <w:rPr>
                <w:sz w:val="10"/>
                <w:szCs w:val="10"/>
                <w:lang w:val="fr-BE"/>
              </w:rPr>
            </w:pPr>
            <w:r w:rsidRPr="00A92B39">
              <w:rPr>
                <w:noProof/>
                <w:sz w:val="10"/>
                <w:szCs w:val="10"/>
                <w:lang w:val="fr-BE"/>
              </w:rPr>
              <w:t>34,00</w:t>
            </w:r>
          </w:p>
        </w:tc>
        <w:tc>
          <w:tcPr>
            <w:tcW w:w="0" w:type="auto"/>
            <w:shd w:val="clear" w:color="auto" w:fill="auto"/>
          </w:tcPr>
          <w:p w14:paraId="19D42227" w14:textId="77777777" w:rsidR="008C5CFA" w:rsidRPr="00A92B39" w:rsidRDefault="00E82A60" w:rsidP="00300A01">
            <w:pPr>
              <w:spacing w:before="0" w:after="0"/>
              <w:jc w:val="right"/>
              <w:rPr>
                <w:sz w:val="10"/>
                <w:szCs w:val="10"/>
                <w:lang w:val="fr-BE"/>
              </w:rPr>
            </w:pPr>
            <w:r w:rsidRPr="00A92B39">
              <w:rPr>
                <w:noProof/>
                <w:sz w:val="10"/>
                <w:szCs w:val="10"/>
                <w:lang w:val="fr-BE"/>
              </w:rPr>
              <w:t>13,00</w:t>
            </w:r>
          </w:p>
        </w:tc>
        <w:tc>
          <w:tcPr>
            <w:tcW w:w="0" w:type="auto"/>
            <w:shd w:val="clear" w:color="auto" w:fill="auto"/>
          </w:tcPr>
          <w:p w14:paraId="7A2EF4DA" w14:textId="77777777" w:rsidR="008C5CFA" w:rsidRPr="00BA47B4" w:rsidRDefault="00E82A60" w:rsidP="00300A01">
            <w:pPr>
              <w:spacing w:before="0" w:after="0"/>
              <w:jc w:val="right"/>
              <w:rPr>
                <w:sz w:val="12"/>
                <w:szCs w:val="12"/>
                <w:lang w:val="fr-BE"/>
              </w:rPr>
            </w:pPr>
            <w:r w:rsidRPr="00A92B39">
              <w:rPr>
                <w:noProof/>
                <w:sz w:val="10"/>
                <w:szCs w:val="10"/>
                <w:lang w:val="fr-BE"/>
              </w:rPr>
              <w:t>21,00</w:t>
            </w:r>
          </w:p>
        </w:tc>
      </w:tr>
      <w:tr w:rsidR="006B2EC1" w14:paraId="3C439026" w14:textId="77777777" w:rsidTr="0047688D">
        <w:tc>
          <w:tcPr>
            <w:tcW w:w="0" w:type="auto"/>
            <w:shd w:val="clear" w:color="auto" w:fill="auto"/>
          </w:tcPr>
          <w:p w14:paraId="6522A44D" w14:textId="77777777" w:rsidR="008C5CFA" w:rsidRPr="00BA47B4" w:rsidRDefault="00E82A60" w:rsidP="00300A01">
            <w:pPr>
              <w:spacing w:before="0" w:after="0"/>
              <w:rPr>
                <w:sz w:val="12"/>
                <w:szCs w:val="12"/>
                <w:lang w:val="fr-BE"/>
              </w:rPr>
            </w:pPr>
            <w:r>
              <w:rPr>
                <w:noProof/>
                <w:sz w:val="12"/>
                <w:szCs w:val="12"/>
                <w:lang w:val="fr-BE"/>
              </w:rPr>
              <w:t>CO10</w:t>
            </w:r>
          </w:p>
        </w:tc>
        <w:tc>
          <w:tcPr>
            <w:tcW w:w="0" w:type="auto"/>
            <w:shd w:val="clear" w:color="auto" w:fill="auto"/>
          </w:tcPr>
          <w:p w14:paraId="7D0618ED" w14:textId="77777777" w:rsidR="008C5CFA" w:rsidRPr="00BA47B4" w:rsidRDefault="00E82A60" w:rsidP="00300A01">
            <w:pPr>
              <w:spacing w:before="0" w:after="0"/>
              <w:rPr>
                <w:sz w:val="12"/>
                <w:szCs w:val="12"/>
                <w:lang w:val="fr-BE"/>
              </w:rPr>
            </w:pPr>
            <w:r>
              <w:rPr>
                <w:noProof/>
                <w:sz w:val="12"/>
                <w:szCs w:val="12"/>
                <w:lang w:val="fr-BE"/>
              </w:rPr>
              <w:t>osoby z wykształceniem średnim II stopnia (ISCED 3) lub policealnym (ISCED 4)</w:t>
            </w:r>
          </w:p>
        </w:tc>
        <w:tc>
          <w:tcPr>
            <w:tcW w:w="0" w:type="auto"/>
            <w:shd w:val="clear" w:color="auto" w:fill="auto"/>
          </w:tcPr>
          <w:p w14:paraId="6DF73F12" w14:textId="77777777" w:rsidR="008C5CFA" w:rsidRPr="00BA47B4" w:rsidRDefault="00E82A60"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14:paraId="413B82DC" w14:textId="77777777" w:rsidR="008C5CFA" w:rsidRPr="00BA47B4" w:rsidRDefault="008C5CFA" w:rsidP="00300A01">
            <w:pPr>
              <w:spacing w:before="0" w:after="0"/>
              <w:jc w:val="right"/>
              <w:rPr>
                <w:sz w:val="12"/>
                <w:szCs w:val="12"/>
                <w:lang w:val="fr-BE"/>
              </w:rPr>
            </w:pPr>
          </w:p>
        </w:tc>
        <w:tc>
          <w:tcPr>
            <w:tcW w:w="0" w:type="auto"/>
            <w:shd w:val="clear" w:color="auto" w:fill="auto"/>
          </w:tcPr>
          <w:p w14:paraId="23180C5D" w14:textId="77777777" w:rsidR="008C5CFA" w:rsidRPr="00BA47B4" w:rsidRDefault="008C5CFA" w:rsidP="00300A01">
            <w:pPr>
              <w:spacing w:before="0" w:after="0"/>
              <w:jc w:val="right"/>
              <w:rPr>
                <w:sz w:val="12"/>
                <w:szCs w:val="12"/>
                <w:lang w:val="fr-BE"/>
              </w:rPr>
            </w:pPr>
          </w:p>
        </w:tc>
        <w:tc>
          <w:tcPr>
            <w:tcW w:w="0" w:type="auto"/>
            <w:shd w:val="clear" w:color="auto" w:fill="auto"/>
          </w:tcPr>
          <w:p w14:paraId="6C9F087A" w14:textId="77777777" w:rsidR="008C5CFA" w:rsidRPr="00BA47B4" w:rsidRDefault="008C5CFA" w:rsidP="00300A01">
            <w:pPr>
              <w:spacing w:before="0" w:after="0"/>
              <w:jc w:val="right"/>
              <w:rPr>
                <w:sz w:val="12"/>
                <w:szCs w:val="12"/>
                <w:lang w:val="fr-BE"/>
              </w:rPr>
            </w:pPr>
          </w:p>
        </w:tc>
        <w:tc>
          <w:tcPr>
            <w:tcW w:w="0" w:type="auto"/>
            <w:shd w:val="clear" w:color="auto" w:fill="auto"/>
          </w:tcPr>
          <w:p w14:paraId="2C150F1B" w14:textId="77777777" w:rsidR="008C5CFA" w:rsidRPr="00BA47B4" w:rsidRDefault="00E82A60" w:rsidP="00300A01">
            <w:pPr>
              <w:spacing w:before="0" w:after="0"/>
              <w:jc w:val="right"/>
              <w:rPr>
                <w:sz w:val="12"/>
                <w:szCs w:val="12"/>
                <w:lang w:val="fr-BE"/>
              </w:rPr>
            </w:pPr>
            <w:r w:rsidRPr="00BA47B4">
              <w:rPr>
                <w:noProof/>
                <w:sz w:val="12"/>
                <w:szCs w:val="12"/>
                <w:lang w:val="fr-BE"/>
              </w:rPr>
              <w:t>633,00</w:t>
            </w:r>
          </w:p>
        </w:tc>
        <w:tc>
          <w:tcPr>
            <w:tcW w:w="0" w:type="auto"/>
            <w:shd w:val="clear" w:color="auto" w:fill="auto"/>
          </w:tcPr>
          <w:p w14:paraId="3EF1501B" w14:textId="77777777" w:rsidR="008C5CFA" w:rsidRPr="00BA47B4" w:rsidRDefault="00E82A60" w:rsidP="00300A01">
            <w:pPr>
              <w:spacing w:before="0" w:after="0"/>
              <w:jc w:val="right"/>
              <w:rPr>
                <w:sz w:val="12"/>
                <w:szCs w:val="12"/>
                <w:lang w:val="fr-BE"/>
              </w:rPr>
            </w:pPr>
            <w:r w:rsidRPr="00BA47B4">
              <w:rPr>
                <w:noProof/>
                <w:sz w:val="12"/>
                <w:szCs w:val="12"/>
                <w:lang w:val="fr-BE"/>
              </w:rPr>
              <w:t>204,00</w:t>
            </w:r>
          </w:p>
        </w:tc>
        <w:tc>
          <w:tcPr>
            <w:tcW w:w="0" w:type="auto"/>
            <w:shd w:val="clear" w:color="auto" w:fill="auto"/>
          </w:tcPr>
          <w:p w14:paraId="4A9AF8B8" w14:textId="77777777" w:rsidR="008C5CFA" w:rsidRPr="00BA47B4" w:rsidRDefault="00E82A60" w:rsidP="00300A01">
            <w:pPr>
              <w:spacing w:before="0" w:after="0"/>
              <w:jc w:val="right"/>
              <w:rPr>
                <w:sz w:val="12"/>
                <w:szCs w:val="12"/>
                <w:lang w:val="fr-BE"/>
              </w:rPr>
            </w:pPr>
            <w:r w:rsidRPr="00BA47B4">
              <w:rPr>
                <w:noProof/>
                <w:sz w:val="12"/>
                <w:szCs w:val="12"/>
                <w:lang w:val="fr-BE"/>
              </w:rPr>
              <w:t>429,00</w:t>
            </w:r>
          </w:p>
        </w:tc>
        <w:tc>
          <w:tcPr>
            <w:tcW w:w="0" w:type="auto"/>
            <w:shd w:val="clear" w:color="auto" w:fill="auto"/>
          </w:tcPr>
          <w:p w14:paraId="36448DAD" w14:textId="77777777" w:rsidR="008C5CFA" w:rsidRPr="00BA47B4" w:rsidRDefault="008C5CFA" w:rsidP="00300A01">
            <w:pPr>
              <w:spacing w:before="0" w:after="0"/>
              <w:jc w:val="right"/>
              <w:rPr>
                <w:sz w:val="12"/>
                <w:szCs w:val="12"/>
                <w:lang w:val="fr-BE"/>
              </w:rPr>
            </w:pPr>
          </w:p>
        </w:tc>
        <w:tc>
          <w:tcPr>
            <w:tcW w:w="0" w:type="auto"/>
            <w:shd w:val="clear" w:color="auto" w:fill="auto"/>
          </w:tcPr>
          <w:p w14:paraId="7EFBEFB9" w14:textId="77777777" w:rsidR="008C5CFA" w:rsidRPr="00BA47B4" w:rsidRDefault="008C5CFA" w:rsidP="00300A01">
            <w:pPr>
              <w:spacing w:before="0" w:after="0"/>
              <w:jc w:val="right"/>
              <w:rPr>
                <w:sz w:val="12"/>
                <w:szCs w:val="12"/>
                <w:lang w:val="fr-BE"/>
              </w:rPr>
            </w:pPr>
          </w:p>
        </w:tc>
        <w:tc>
          <w:tcPr>
            <w:tcW w:w="0" w:type="auto"/>
            <w:shd w:val="clear" w:color="auto" w:fill="auto"/>
          </w:tcPr>
          <w:p w14:paraId="22289028" w14:textId="77777777" w:rsidR="008C5CFA" w:rsidRPr="00BA47B4" w:rsidRDefault="008C5CFA" w:rsidP="00300A01">
            <w:pPr>
              <w:spacing w:before="0" w:after="0"/>
              <w:jc w:val="right"/>
              <w:rPr>
                <w:sz w:val="12"/>
                <w:szCs w:val="12"/>
                <w:lang w:val="fr-BE"/>
              </w:rPr>
            </w:pPr>
          </w:p>
        </w:tc>
        <w:tc>
          <w:tcPr>
            <w:tcW w:w="0" w:type="auto"/>
          </w:tcPr>
          <w:p w14:paraId="092F236E" w14:textId="77777777" w:rsidR="008C5CFA" w:rsidRPr="00A92B39" w:rsidRDefault="00E82A60" w:rsidP="00300A01">
            <w:pPr>
              <w:spacing w:before="0" w:after="0"/>
              <w:jc w:val="right"/>
              <w:rPr>
                <w:sz w:val="10"/>
                <w:szCs w:val="10"/>
                <w:lang w:val="fr-BE"/>
              </w:rPr>
            </w:pPr>
            <w:r w:rsidRPr="00A92B39">
              <w:rPr>
                <w:noProof/>
                <w:sz w:val="10"/>
                <w:szCs w:val="10"/>
                <w:lang w:val="fr-BE"/>
              </w:rPr>
              <w:t>149,00</w:t>
            </w:r>
          </w:p>
        </w:tc>
        <w:tc>
          <w:tcPr>
            <w:tcW w:w="0" w:type="auto"/>
            <w:shd w:val="clear" w:color="auto" w:fill="auto"/>
          </w:tcPr>
          <w:p w14:paraId="706EDEB7" w14:textId="77777777" w:rsidR="008C5CFA" w:rsidRPr="00A92B39" w:rsidRDefault="00E82A60" w:rsidP="00300A01">
            <w:pPr>
              <w:spacing w:before="0" w:after="0"/>
              <w:jc w:val="right"/>
              <w:rPr>
                <w:sz w:val="10"/>
                <w:szCs w:val="10"/>
                <w:lang w:val="fr-BE"/>
              </w:rPr>
            </w:pPr>
            <w:r w:rsidRPr="00A92B39">
              <w:rPr>
                <w:noProof/>
                <w:sz w:val="10"/>
                <w:szCs w:val="10"/>
                <w:lang w:val="fr-BE"/>
              </w:rPr>
              <w:t>48,00</w:t>
            </w:r>
          </w:p>
        </w:tc>
        <w:tc>
          <w:tcPr>
            <w:tcW w:w="0" w:type="auto"/>
            <w:shd w:val="clear" w:color="auto" w:fill="auto"/>
          </w:tcPr>
          <w:p w14:paraId="686315AE" w14:textId="77777777" w:rsidR="008C5CFA" w:rsidRPr="00BA47B4" w:rsidRDefault="00E82A60" w:rsidP="00300A01">
            <w:pPr>
              <w:spacing w:before="0" w:after="0"/>
              <w:jc w:val="right"/>
              <w:rPr>
                <w:sz w:val="12"/>
                <w:szCs w:val="12"/>
                <w:lang w:val="fr-BE"/>
              </w:rPr>
            </w:pPr>
            <w:r w:rsidRPr="00A92B39">
              <w:rPr>
                <w:noProof/>
                <w:sz w:val="10"/>
                <w:szCs w:val="10"/>
                <w:lang w:val="fr-BE"/>
              </w:rPr>
              <w:t>101,00</w:t>
            </w:r>
          </w:p>
        </w:tc>
      </w:tr>
      <w:tr w:rsidR="006B2EC1" w14:paraId="074F862B" w14:textId="77777777" w:rsidTr="0047688D">
        <w:tc>
          <w:tcPr>
            <w:tcW w:w="0" w:type="auto"/>
            <w:shd w:val="clear" w:color="auto" w:fill="auto"/>
          </w:tcPr>
          <w:p w14:paraId="06FDD6C7" w14:textId="77777777" w:rsidR="008C5CFA" w:rsidRPr="00BA47B4" w:rsidRDefault="00E82A60" w:rsidP="00300A01">
            <w:pPr>
              <w:spacing w:before="0" w:after="0"/>
              <w:rPr>
                <w:sz w:val="12"/>
                <w:szCs w:val="12"/>
                <w:lang w:val="fr-BE"/>
              </w:rPr>
            </w:pPr>
            <w:r>
              <w:rPr>
                <w:noProof/>
                <w:sz w:val="12"/>
                <w:szCs w:val="12"/>
                <w:lang w:val="fr-BE"/>
              </w:rPr>
              <w:t>CO11</w:t>
            </w:r>
          </w:p>
        </w:tc>
        <w:tc>
          <w:tcPr>
            <w:tcW w:w="0" w:type="auto"/>
            <w:shd w:val="clear" w:color="auto" w:fill="auto"/>
          </w:tcPr>
          <w:p w14:paraId="53254305" w14:textId="77777777" w:rsidR="008C5CFA" w:rsidRPr="00BA47B4" w:rsidRDefault="00E82A60" w:rsidP="00300A01">
            <w:pPr>
              <w:spacing w:before="0" w:after="0"/>
              <w:rPr>
                <w:sz w:val="12"/>
                <w:szCs w:val="12"/>
                <w:lang w:val="fr-BE"/>
              </w:rPr>
            </w:pPr>
            <w:r>
              <w:rPr>
                <w:noProof/>
                <w:sz w:val="12"/>
                <w:szCs w:val="12"/>
                <w:lang w:val="fr-BE"/>
              </w:rPr>
              <w:t>osoby z wykształceniem wyższym (ISCED 5 do 8)</w:t>
            </w:r>
          </w:p>
        </w:tc>
        <w:tc>
          <w:tcPr>
            <w:tcW w:w="0" w:type="auto"/>
            <w:shd w:val="clear" w:color="auto" w:fill="auto"/>
          </w:tcPr>
          <w:p w14:paraId="5788EF88" w14:textId="77777777" w:rsidR="008C5CFA" w:rsidRPr="00BA47B4" w:rsidRDefault="00E82A60"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14:paraId="3B5A10A5" w14:textId="77777777" w:rsidR="008C5CFA" w:rsidRPr="00BA47B4" w:rsidRDefault="008C5CFA" w:rsidP="00300A01">
            <w:pPr>
              <w:spacing w:before="0" w:after="0"/>
              <w:jc w:val="right"/>
              <w:rPr>
                <w:sz w:val="12"/>
                <w:szCs w:val="12"/>
                <w:lang w:val="fr-BE"/>
              </w:rPr>
            </w:pPr>
          </w:p>
        </w:tc>
        <w:tc>
          <w:tcPr>
            <w:tcW w:w="0" w:type="auto"/>
            <w:shd w:val="clear" w:color="auto" w:fill="auto"/>
          </w:tcPr>
          <w:p w14:paraId="093D546C" w14:textId="77777777" w:rsidR="008C5CFA" w:rsidRPr="00BA47B4" w:rsidRDefault="008C5CFA" w:rsidP="00300A01">
            <w:pPr>
              <w:spacing w:before="0" w:after="0"/>
              <w:jc w:val="right"/>
              <w:rPr>
                <w:sz w:val="12"/>
                <w:szCs w:val="12"/>
                <w:lang w:val="fr-BE"/>
              </w:rPr>
            </w:pPr>
          </w:p>
        </w:tc>
        <w:tc>
          <w:tcPr>
            <w:tcW w:w="0" w:type="auto"/>
            <w:shd w:val="clear" w:color="auto" w:fill="auto"/>
          </w:tcPr>
          <w:p w14:paraId="10DC7BD8" w14:textId="77777777" w:rsidR="008C5CFA" w:rsidRPr="00BA47B4" w:rsidRDefault="008C5CFA" w:rsidP="00300A01">
            <w:pPr>
              <w:spacing w:before="0" w:after="0"/>
              <w:jc w:val="right"/>
              <w:rPr>
                <w:sz w:val="12"/>
                <w:szCs w:val="12"/>
                <w:lang w:val="fr-BE"/>
              </w:rPr>
            </w:pPr>
          </w:p>
        </w:tc>
        <w:tc>
          <w:tcPr>
            <w:tcW w:w="0" w:type="auto"/>
            <w:shd w:val="clear" w:color="auto" w:fill="auto"/>
          </w:tcPr>
          <w:p w14:paraId="7587C151" w14:textId="77777777" w:rsidR="008C5CFA" w:rsidRPr="00BA47B4" w:rsidRDefault="00E82A60" w:rsidP="00300A01">
            <w:pPr>
              <w:spacing w:before="0" w:after="0"/>
              <w:jc w:val="right"/>
              <w:rPr>
                <w:sz w:val="12"/>
                <w:szCs w:val="12"/>
                <w:lang w:val="fr-BE"/>
              </w:rPr>
            </w:pPr>
            <w:r w:rsidRPr="00BA47B4">
              <w:rPr>
                <w:noProof/>
                <w:sz w:val="12"/>
                <w:szCs w:val="12"/>
                <w:lang w:val="fr-BE"/>
              </w:rPr>
              <w:t>1 312,00</w:t>
            </w:r>
          </w:p>
        </w:tc>
        <w:tc>
          <w:tcPr>
            <w:tcW w:w="0" w:type="auto"/>
            <w:shd w:val="clear" w:color="auto" w:fill="auto"/>
          </w:tcPr>
          <w:p w14:paraId="741034F0" w14:textId="77777777" w:rsidR="008C5CFA" w:rsidRPr="00BA47B4" w:rsidRDefault="00E82A60" w:rsidP="00300A01">
            <w:pPr>
              <w:spacing w:before="0" w:after="0"/>
              <w:jc w:val="right"/>
              <w:rPr>
                <w:sz w:val="12"/>
                <w:szCs w:val="12"/>
                <w:lang w:val="fr-BE"/>
              </w:rPr>
            </w:pPr>
            <w:r w:rsidRPr="00BA47B4">
              <w:rPr>
                <w:noProof/>
                <w:sz w:val="12"/>
                <w:szCs w:val="12"/>
                <w:lang w:val="fr-BE"/>
              </w:rPr>
              <w:t>327,00</w:t>
            </w:r>
          </w:p>
        </w:tc>
        <w:tc>
          <w:tcPr>
            <w:tcW w:w="0" w:type="auto"/>
            <w:shd w:val="clear" w:color="auto" w:fill="auto"/>
          </w:tcPr>
          <w:p w14:paraId="2CCBC669" w14:textId="77777777" w:rsidR="008C5CFA" w:rsidRPr="00BA47B4" w:rsidRDefault="00E82A60" w:rsidP="00300A01">
            <w:pPr>
              <w:spacing w:before="0" w:after="0"/>
              <w:jc w:val="right"/>
              <w:rPr>
                <w:sz w:val="12"/>
                <w:szCs w:val="12"/>
                <w:lang w:val="fr-BE"/>
              </w:rPr>
            </w:pPr>
            <w:r w:rsidRPr="00BA47B4">
              <w:rPr>
                <w:noProof/>
                <w:sz w:val="12"/>
                <w:szCs w:val="12"/>
                <w:lang w:val="fr-BE"/>
              </w:rPr>
              <w:t>985,00</w:t>
            </w:r>
          </w:p>
        </w:tc>
        <w:tc>
          <w:tcPr>
            <w:tcW w:w="0" w:type="auto"/>
            <w:shd w:val="clear" w:color="auto" w:fill="auto"/>
          </w:tcPr>
          <w:p w14:paraId="2087814A" w14:textId="77777777" w:rsidR="008C5CFA" w:rsidRPr="00BA47B4" w:rsidRDefault="008C5CFA" w:rsidP="00300A01">
            <w:pPr>
              <w:spacing w:before="0" w:after="0"/>
              <w:jc w:val="right"/>
              <w:rPr>
                <w:sz w:val="12"/>
                <w:szCs w:val="12"/>
                <w:lang w:val="fr-BE"/>
              </w:rPr>
            </w:pPr>
          </w:p>
        </w:tc>
        <w:tc>
          <w:tcPr>
            <w:tcW w:w="0" w:type="auto"/>
            <w:shd w:val="clear" w:color="auto" w:fill="auto"/>
          </w:tcPr>
          <w:p w14:paraId="0977B0E1" w14:textId="77777777" w:rsidR="008C5CFA" w:rsidRPr="00BA47B4" w:rsidRDefault="008C5CFA" w:rsidP="00300A01">
            <w:pPr>
              <w:spacing w:before="0" w:after="0"/>
              <w:jc w:val="right"/>
              <w:rPr>
                <w:sz w:val="12"/>
                <w:szCs w:val="12"/>
                <w:lang w:val="fr-BE"/>
              </w:rPr>
            </w:pPr>
          </w:p>
        </w:tc>
        <w:tc>
          <w:tcPr>
            <w:tcW w:w="0" w:type="auto"/>
            <w:shd w:val="clear" w:color="auto" w:fill="auto"/>
          </w:tcPr>
          <w:p w14:paraId="4FC955AB" w14:textId="77777777" w:rsidR="008C5CFA" w:rsidRPr="00BA47B4" w:rsidRDefault="008C5CFA" w:rsidP="00300A01">
            <w:pPr>
              <w:spacing w:before="0" w:after="0"/>
              <w:jc w:val="right"/>
              <w:rPr>
                <w:sz w:val="12"/>
                <w:szCs w:val="12"/>
                <w:lang w:val="fr-BE"/>
              </w:rPr>
            </w:pPr>
          </w:p>
        </w:tc>
        <w:tc>
          <w:tcPr>
            <w:tcW w:w="0" w:type="auto"/>
          </w:tcPr>
          <w:p w14:paraId="79E86838" w14:textId="77777777" w:rsidR="008C5CFA" w:rsidRPr="00A92B39" w:rsidRDefault="00E82A60" w:rsidP="00300A01">
            <w:pPr>
              <w:spacing w:before="0" w:after="0"/>
              <w:jc w:val="right"/>
              <w:rPr>
                <w:sz w:val="10"/>
                <w:szCs w:val="10"/>
                <w:lang w:val="fr-BE"/>
              </w:rPr>
            </w:pPr>
            <w:r w:rsidRPr="00A92B39">
              <w:rPr>
                <w:noProof/>
                <w:sz w:val="10"/>
                <w:szCs w:val="10"/>
                <w:lang w:val="fr-BE"/>
              </w:rPr>
              <w:t>178,00</w:t>
            </w:r>
          </w:p>
        </w:tc>
        <w:tc>
          <w:tcPr>
            <w:tcW w:w="0" w:type="auto"/>
            <w:shd w:val="clear" w:color="auto" w:fill="auto"/>
          </w:tcPr>
          <w:p w14:paraId="63F32A26" w14:textId="77777777" w:rsidR="008C5CFA" w:rsidRPr="00A92B39" w:rsidRDefault="00E82A60" w:rsidP="00300A01">
            <w:pPr>
              <w:spacing w:before="0" w:after="0"/>
              <w:jc w:val="right"/>
              <w:rPr>
                <w:sz w:val="10"/>
                <w:szCs w:val="10"/>
                <w:lang w:val="fr-BE"/>
              </w:rPr>
            </w:pPr>
            <w:r w:rsidRPr="00A92B39">
              <w:rPr>
                <w:noProof/>
                <w:sz w:val="10"/>
                <w:szCs w:val="10"/>
                <w:lang w:val="fr-BE"/>
              </w:rPr>
              <w:t>38,00</w:t>
            </w:r>
          </w:p>
        </w:tc>
        <w:tc>
          <w:tcPr>
            <w:tcW w:w="0" w:type="auto"/>
            <w:shd w:val="clear" w:color="auto" w:fill="auto"/>
          </w:tcPr>
          <w:p w14:paraId="02A4CCC0" w14:textId="77777777" w:rsidR="008C5CFA" w:rsidRPr="00BA47B4" w:rsidRDefault="00E82A60" w:rsidP="00300A01">
            <w:pPr>
              <w:spacing w:before="0" w:after="0"/>
              <w:jc w:val="right"/>
              <w:rPr>
                <w:sz w:val="12"/>
                <w:szCs w:val="12"/>
                <w:lang w:val="fr-BE"/>
              </w:rPr>
            </w:pPr>
            <w:r w:rsidRPr="00A92B39">
              <w:rPr>
                <w:noProof/>
                <w:sz w:val="10"/>
                <w:szCs w:val="10"/>
                <w:lang w:val="fr-BE"/>
              </w:rPr>
              <w:t>140,00</w:t>
            </w:r>
          </w:p>
        </w:tc>
      </w:tr>
      <w:tr w:rsidR="006B2EC1" w14:paraId="706F34A9" w14:textId="77777777" w:rsidTr="0047688D">
        <w:tc>
          <w:tcPr>
            <w:tcW w:w="0" w:type="auto"/>
            <w:shd w:val="clear" w:color="auto" w:fill="auto"/>
          </w:tcPr>
          <w:p w14:paraId="10DADDBE" w14:textId="77777777" w:rsidR="008C5CFA" w:rsidRPr="00BA47B4" w:rsidRDefault="00E82A60" w:rsidP="00300A01">
            <w:pPr>
              <w:spacing w:before="0" w:after="0"/>
              <w:rPr>
                <w:sz w:val="12"/>
                <w:szCs w:val="12"/>
                <w:lang w:val="fr-BE"/>
              </w:rPr>
            </w:pPr>
            <w:r>
              <w:rPr>
                <w:noProof/>
                <w:sz w:val="12"/>
                <w:szCs w:val="12"/>
                <w:lang w:val="fr-BE"/>
              </w:rPr>
              <w:t>CO15</w:t>
            </w:r>
          </w:p>
        </w:tc>
        <w:tc>
          <w:tcPr>
            <w:tcW w:w="0" w:type="auto"/>
            <w:shd w:val="clear" w:color="auto" w:fill="auto"/>
          </w:tcPr>
          <w:p w14:paraId="37797C62" w14:textId="77777777" w:rsidR="008C5CFA" w:rsidRPr="00BA47B4" w:rsidRDefault="00E82A60" w:rsidP="00300A01">
            <w:pPr>
              <w:spacing w:before="0" w:after="0"/>
              <w:rPr>
                <w:sz w:val="12"/>
                <w:szCs w:val="12"/>
                <w:lang w:val="fr-BE"/>
              </w:rPr>
            </w:pPr>
            <w:r>
              <w:rPr>
                <w:noProof/>
                <w:sz w:val="12"/>
                <w:szCs w:val="12"/>
                <w:lang w:val="fr-BE"/>
              </w:rPr>
              <w:t>migranci, uczestnicy obcego pochodzenia, mniejszości (w tym społeczności marginalizowane, takie jak Romowie)</w:t>
            </w:r>
          </w:p>
        </w:tc>
        <w:tc>
          <w:tcPr>
            <w:tcW w:w="0" w:type="auto"/>
            <w:shd w:val="clear" w:color="auto" w:fill="auto"/>
          </w:tcPr>
          <w:p w14:paraId="4AA5994D" w14:textId="77777777" w:rsidR="008C5CFA" w:rsidRPr="00BA47B4" w:rsidRDefault="00E82A60"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14:paraId="4DF6EB19" w14:textId="77777777" w:rsidR="008C5CFA" w:rsidRPr="00BA47B4" w:rsidRDefault="008C5CFA" w:rsidP="00300A01">
            <w:pPr>
              <w:spacing w:before="0" w:after="0"/>
              <w:jc w:val="right"/>
              <w:rPr>
                <w:sz w:val="12"/>
                <w:szCs w:val="12"/>
                <w:lang w:val="fr-BE"/>
              </w:rPr>
            </w:pPr>
          </w:p>
        </w:tc>
        <w:tc>
          <w:tcPr>
            <w:tcW w:w="0" w:type="auto"/>
            <w:shd w:val="clear" w:color="auto" w:fill="auto"/>
          </w:tcPr>
          <w:p w14:paraId="14A60CE7" w14:textId="77777777" w:rsidR="008C5CFA" w:rsidRPr="00BA47B4" w:rsidRDefault="008C5CFA" w:rsidP="00300A01">
            <w:pPr>
              <w:spacing w:before="0" w:after="0"/>
              <w:jc w:val="right"/>
              <w:rPr>
                <w:sz w:val="12"/>
                <w:szCs w:val="12"/>
                <w:lang w:val="fr-BE"/>
              </w:rPr>
            </w:pPr>
          </w:p>
        </w:tc>
        <w:tc>
          <w:tcPr>
            <w:tcW w:w="0" w:type="auto"/>
            <w:shd w:val="clear" w:color="auto" w:fill="auto"/>
          </w:tcPr>
          <w:p w14:paraId="4149C632" w14:textId="77777777" w:rsidR="008C5CFA" w:rsidRPr="00BA47B4" w:rsidRDefault="008C5CFA" w:rsidP="00300A01">
            <w:pPr>
              <w:spacing w:before="0" w:after="0"/>
              <w:jc w:val="right"/>
              <w:rPr>
                <w:sz w:val="12"/>
                <w:szCs w:val="12"/>
                <w:lang w:val="fr-BE"/>
              </w:rPr>
            </w:pPr>
          </w:p>
        </w:tc>
        <w:tc>
          <w:tcPr>
            <w:tcW w:w="0" w:type="auto"/>
            <w:shd w:val="clear" w:color="auto" w:fill="auto"/>
          </w:tcPr>
          <w:p w14:paraId="4645428E" w14:textId="77777777" w:rsidR="008C5CFA" w:rsidRPr="00BA47B4" w:rsidRDefault="00E82A60" w:rsidP="00300A01">
            <w:pPr>
              <w:spacing w:before="0" w:after="0"/>
              <w:jc w:val="right"/>
              <w:rPr>
                <w:sz w:val="12"/>
                <w:szCs w:val="12"/>
                <w:lang w:val="fr-BE"/>
              </w:rPr>
            </w:pPr>
            <w:r w:rsidRPr="00BA47B4">
              <w:rPr>
                <w:noProof/>
                <w:sz w:val="12"/>
                <w:szCs w:val="12"/>
                <w:lang w:val="fr-BE"/>
              </w:rPr>
              <w:t>1,00</w:t>
            </w:r>
          </w:p>
        </w:tc>
        <w:tc>
          <w:tcPr>
            <w:tcW w:w="0" w:type="auto"/>
            <w:shd w:val="clear" w:color="auto" w:fill="auto"/>
          </w:tcPr>
          <w:p w14:paraId="6A172BFB"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15FF39B1" w14:textId="77777777" w:rsidR="008C5CFA" w:rsidRPr="00BA47B4" w:rsidRDefault="00E82A60" w:rsidP="00300A01">
            <w:pPr>
              <w:spacing w:before="0" w:after="0"/>
              <w:jc w:val="right"/>
              <w:rPr>
                <w:sz w:val="12"/>
                <w:szCs w:val="12"/>
                <w:lang w:val="fr-BE"/>
              </w:rPr>
            </w:pPr>
            <w:r w:rsidRPr="00BA47B4">
              <w:rPr>
                <w:noProof/>
                <w:sz w:val="12"/>
                <w:szCs w:val="12"/>
                <w:lang w:val="fr-BE"/>
              </w:rPr>
              <w:t>1,00</w:t>
            </w:r>
          </w:p>
        </w:tc>
        <w:tc>
          <w:tcPr>
            <w:tcW w:w="0" w:type="auto"/>
            <w:shd w:val="clear" w:color="auto" w:fill="auto"/>
          </w:tcPr>
          <w:p w14:paraId="7B54F84A" w14:textId="77777777" w:rsidR="008C5CFA" w:rsidRPr="00BA47B4" w:rsidRDefault="008C5CFA" w:rsidP="00300A01">
            <w:pPr>
              <w:spacing w:before="0" w:after="0"/>
              <w:jc w:val="right"/>
              <w:rPr>
                <w:sz w:val="12"/>
                <w:szCs w:val="12"/>
                <w:lang w:val="fr-BE"/>
              </w:rPr>
            </w:pPr>
          </w:p>
        </w:tc>
        <w:tc>
          <w:tcPr>
            <w:tcW w:w="0" w:type="auto"/>
            <w:shd w:val="clear" w:color="auto" w:fill="auto"/>
          </w:tcPr>
          <w:p w14:paraId="05C6298B" w14:textId="77777777" w:rsidR="008C5CFA" w:rsidRPr="00BA47B4" w:rsidRDefault="008C5CFA" w:rsidP="00300A01">
            <w:pPr>
              <w:spacing w:before="0" w:after="0"/>
              <w:jc w:val="right"/>
              <w:rPr>
                <w:sz w:val="12"/>
                <w:szCs w:val="12"/>
                <w:lang w:val="fr-BE"/>
              </w:rPr>
            </w:pPr>
          </w:p>
        </w:tc>
        <w:tc>
          <w:tcPr>
            <w:tcW w:w="0" w:type="auto"/>
            <w:shd w:val="clear" w:color="auto" w:fill="auto"/>
          </w:tcPr>
          <w:p w14:paraId="1E347A50" w14:textId="77777777" w:rsidR="008C5CFA" w:rsidRPr="00BA47B4" w:rsidRDefault="008C5CFA" w:rsidP="00300A01">
            <w:pPr>
              <w:spacing w:before="0" w:after="0"/>
              <w:jc w:val="right"/>
              <w:rPr>
                <w:sz w:val="12"/>
                <w:szCs w:val="12"/>
                <w:lang w:val="fr-BE"/>
              </w:rPr>
            </w:pPr>
          </w:p>
        </w:tc>
        <w:tc>
          <w:tcPr>
            <w:tcW w:w="0" w:type="auto"/>
          </w:tcPr>
          <w:p w14:paraId="5E45071B"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14:paraId="192E91EB"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14:paraId="2AA0A88F" w14:textId="77777777" w:rsidR="008C5CFA" w:rsidRPr="00BA47B4" w:rsidRDefault="00E82A60" w:rsidP="00300A01">
            <w:pPr>
              <w:spacing w:before="0" w:after="0"/>
              <w:jc w:val="right"/>
              <w:rPr>
                <w:sz w:val="12"/>
                <w:szCs w:val="12"/>
                <w:lang w:val="fr-BE"/>
              </w:rPr>
            </w:pPr>
            <w:r w:rsidRPr="00A92B39">
              <w:rPr>
                <w:noProof/>
                <w:sz w:val="10"/>
                <w:szCs w:val="10"/>
                <w:lang w:val="fr-BE"/>
              </w:rPr>
              <w:t>0,00</w:t>
            </w:r>
          </w:p>
        </w:tc>
      </w:tr>
      <w:tr w:rsidR="006B2EC1" w14:paraId="5BBC04EB" w14:textId="77777777" w:rsidTr="0047688D">
        <w:tc>
          <w:tcPr>
            <w:tcW w:w="0" w:type="auto"/>
            <w:shd w:val="clear" w:color="auto" w:fill="auto"/>
          </w:tcPr>
          <w:p w14:paraId="754438DE" w14:textId="77777777" w:rsidR="008C5CFA" w:rsidRPr="00BA47B4" w:rsidRDefault="00E82A60" w:rsidP="00300A01">
            <w:pPr>
              <w:spacing w:before="0" w:after="0"/>
              <w:rPr>
                <w:sz w:val="12"/>
                <w:szCs w:val="12"/>
                <w:lang w:val="fr-BE"/>
              </w:rPr>
            </w:pPr>
            <w:r>
              <w:rPr>
                <w:noProof/>
                <w:sz w:val="12"/>
                <w:szCs w:val="12"/>
                <w:lang w:val="fr-BE"/>
              </w:rPr>
              <w:t>CO16</w:t>
            </w:r>
          </w:p>
        </w:tc>
        <w:tc>
          <w:tcPr>
            <w:tcW w:w="0" w:type="auto"/>
            <w:shd w:val="clear" w:color="auto" w:fill="auto"/>
          </w:tcPr>
          <w:p w14:paraId="5546980E" w14:textId="77777777" w:rsidR="008C5CFA" w:rsidRPr="00BA47B4" w:rsidRDefault="00E82A60" w:rsidP="00300A01">
            <w:pPr>
              <w:spacing w:before="0" w:after="0"/>
              <w:rPr>
                <w:sz w:val="12"/>
                <w:szCs w:val="12"/>
                <w:lang w:val="fr-BE"/>
              </w:rPr>
            </w:pPr>
            <w:r>
              <w:rPr>
                <w:noProof/>
                <w:sz w:val="12"/>
                <w:szCs w:val="12"/>
                <w:lang w:val="fr-BE"/>
              </w:rPr>
              <w:t>uczestnicy z niepełnosprawnościami</w:t>
            </w:r>
          </w:p>
        </w:tc>
        <w:tc>
          <w:tcPr>
            <w:tcW w:w="0" w:type="auto"/>
            <w:shd w:val="clear" w:color="auto" w:fill="auto"/>
          </w:tcPr>
          <w:p w14:paraId="10443139" w14:textId="77777777" w:rsidR="008C5CFA" w:rsidRPr="00BA47B4" w:rsidRDefault="00E82A60"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14:paraId="23210CE9" w14:textId="77777777" w:rsidR="008C5CFA" w:rsidRPr="00BA47B4" w:rsidRDefault="008C5CFA" w:rsidP="00300A01">
            <w:pPr>
              <w:spacing w:before="0" w:after="0"/>
              <w:jc w:val="right"/>
              <w:rPr>
                <w:sz w:val="12"/>
                <w:szCs w:val="12"/>
                <w:lang w:val="fr-BE"/>
              </w:rPr>
            </w:pPr>
          </w:p>
        </w:tc>
        <w:tc>
          <w:tcPr>
            <w:tcW w:w="0" w:type="auto"/>
            <w:shd w:val="clear" w:color="auto" w:fill="auto"/>
          </w:tcPr>
          <w:p w14:paraId="45F8F8C6" w14:textId="77777777" w:rsidR="008C5CFA" w:rsidRPr="00BA47B4" w:rsidRDefault="008C5CFA" w:rsidP="00300A01">
            <w:pPr>
              <w:spacing w:before="0" w:after="0"/>
              <w:jc w:val="right"/>
              <w:rPr>
                <w:sz w:val="12"/>
                <w:szCs w:val="12"/>
                <w:lang w:val="fr-BE"/>
              </w:rPr>
            </w:pPr>
          </w:p>
        </w:tc>
        <w:tc>
          <w:tcPr>
            <w:tcW w:w="0" w:type="auto"/>
            <w:shd w:val="clear" w:color="auto" w:fill="auto"/>
          </w:tcPr>
          <w:p w14:paraId="7B6C8B42" w14:textId="77777777" w:rsidR="008C5CFA" w:rsidRPr="00BA47B4" w:rsidRDefault="008C5CFA" w:rsidP="00300A01">
            <w:pPr>
              <w:spacing w:before="0" w:after="0"/>
              <w:jc w:val="right"/>
              <w:rPr>
                <w:sz w:val="12"/>
                <w:szCs w:val="12"/>
                <w:lang w:val="fr-BE"/>
              </w:rPr>
            </w:pPr>
          </w:p>
        </w:tc>
        <w:tc>
          <w:tcPr>
            <w:tcW w:w="0" w:type="auto"/>
            <w:shd w:val="clear" w:color="auto" w:fill="auto"/>
          </w:tcPr>
          <w:p w14:paraId="0E27602F" w14:textId="77777777" w:rsidR="008C5CFA" w:rsidRPr="00BA47B4" w:rsidRDefault="00E82A60" w:rsidP="00300A01">
            <w:pPr>
              <w:spacing w:before="0" w:after="0"/>
              <w:jc w:val="right"/>
              <w:rPr>
                <w:sz w:val="12"/>
                <w:szCs w:val="12"/>
                <w:lang w:val="fr-BE"/>
              </w:rPr>
            </w:pPr>
            <w:r w:rsidRPr="00BA47B4">
              <w:rPr>
                <w:noProof/>
                <w:sz w:val="12"/>
                <w:szCs w:val="12"/>
                <w:lang w:val="fr-BE"/>
              </w:rPr>
              <w:t>318,00</w:t>
            </w:r>
          </w:p>
        </w:tc>
        <w:tc>
          <w:tcPr>
            <w:tcW w:w="0" w:type="auto"/>
            <w:shd w:val="clear" w:color="auto" w:fill="auto"/>
          </w:tcPr>
          <w:p w14:paraId="17A1B2A2" w14:textId="77777777" w:rsidR="008C5CFA" w:rsidRPr="00BA47B4" w:rsidRDefault="00E82A60" w:rsidP="00300A01">
            <w:pPr>
              <w:spacing w:before="0" w:after="0"/>
              <w:jc w:val="right"/>
              <w:rPr>
                <w:sz w:val="12"/>
                <w:szCs w:val="12"/>
                <w:lang w:val="fr-BE"/>
              </w:rPr>
            </w:pPr>
            <w:r w:rsidRPr="00BA47B4">
              <w:rPr>
                <w:noProof/>
                <w:sz w:val="12"/>
                <w:szCs w:val="12"/>
                <w:lang w:val="fr-BE"/>
              </w:rPr>
              <w:t>145,00</w:t>
            </w:r>
          </w:p>
        </w:tc>
        <w:tc>
          <w:tcPr>
            <w:tcW w:w="0" w:type="auto"/>
            <w:shd w:val="clear" w:color="auto" w:fill="auto"/>
          </w:tcPr>
          <w:p w14:paraId="314EB63D" w14:textId="77777777" w:rsidR="008C5CFA" w:rsidRPr="00BA47B4" w:rsidRDefault="00E82A60" w:rsidP="00300A01">
            <w:pPr>
              <w:spacing w:before="0" w:after="0"/>
              <w:jc w:val="right"/>
              <w:rPr>
                <w:sz w:val="12"/>
                <w:szCs w:val="12"/>
                <w:lang w:val="fr-BE"/>
              </w:rPr>
            </w:pPr>
            <w:r w:rsidRPr="00BA47B4">
              <w:rPr>
                <w:noProof/>
                <w:sz w:val="12"/>
                <w:szCs w:val="12"/>
                <w:lang w:val="fr-BE"/>
              </w:rPr>
              <w:t>173,00</w:t>
            </w:r>
          </w:p>
        </w:tc>
        <w:tc>
          <w:tcPr>
            <w:tcW w:w="0" w:type="auto"/>
            <w:shd w:val="clear" w:color="auto" w:fill="auto"/>
          </w:tcPr>
          <w:p w14:paraId="33B1FD48" w14:textId="77777777" w:rsidR="008C5CFA" w:rsidRPr="00BA47B4" w:rsidRDefault="008C5CFA" w:rsidP="00300A01">
            <w:pPr>
              <w:spacing w:before="0" w:after="0"/>
              <w:jc w:val="right"/>
              <w:rPr>
                <w:sz w:val="12"/>
                <w:szCs w:val="12"/>
                <w:lang w:val="fr-BE"/>
              </w:rPr>
            </w:pPr>
          </w:p>
        </w:tc>
        <w:tc>
          <w:tcPr>
            <w:tcW w:w="0" w:type="auto"/>
            <w:shd w:val="clear" w:color="auto" w:fill="auto"/>
          </w:tcPr>
          <w:p w14:paraId="4E4E72B2" w14:textId="77777777" w:rsidR="008C5CFA" w:rsidRPr="00BA47B4" w:rsidRDefault="008C5CFA" w:rsidP="00300A01">
            <w:pPr>
              <w:spacing w:before="0" w:after="0"/>
              <w:jc w:val="right"/>
              <w:rPr>
                <w:sz w:val="12"/>
                <w:szCs w:val="12"/>
                <w:lang w:val="fr-BE"/>
              </w:rPr>
            </w:pPr>
          </w:p>
        </w:tc>
        <w:tc>
          <w:tcPr>
            <w:tcW w:w="0" w:type="auto"/>
            <w:shd w:val="clear" w:color="auto" w:fill="auto"/>
          </w:tcPr>
          <w:p w14:paraId="3292F1B4" w14:textId="77777777" w:rsidR="008C5CFA" w:rsidRPr="00BA47B4" w:rsidRDefault="008C5CFA" w:rsidP="00300A01">
            <w:pPr>
              <w:spacing w:before="0" w:after="0"/>
              <w:jc w:val="right"/>
              <w:rPr>
                <w:sz w:val="12"/>
                <w:szCs w:val="12"/>
                <w:lang w:val="fr-BE"/>
              </w:rPr>
            </w:pPr>
          </w:p>
        </w:tc>
        <w:tc>
          <w:tcPr>
            <w:tcW w:w="0" w:type="auto"/>
          </w:tcPr>
          <w:p w14:paraId="4A4F5477" w14:textId="77777777" w:rsidR="008C5CFA" w:rsidRPr="00A92B39" w:rsidRDefault="00E82A60" w:rsidP="00300A01">
            <w:pPr>
              <w:spacing w:before="0" w:after="0"/>
              <w:jc w:val="right"/>
              <w:rPr>
                <w:sz w:val="10"/>
                <w:szCs w:val="10"/>
                <w:lang w:val="fr-BE"/>
              </w:rPr>
            </w:pPr>
            <w:r w:rsidRPr="00A92B39">
              <w:rPr>
                <w:noProof/>
                <w:sz w:val="10"/>
                <w:szCs w:val="10"/>
                <w:lang w:val="fr-BE"/>
              </w:rPr>
              <w:t>59,00</w:t>
            </w:r>
          </w:p>
        </w:tc>
        <w:tc>
          <w:tcPr>
            <w:tcW w:w="0" w:type="auto"/>
            <w:shd w:val="clear" w:color="auto" w:fill="auto"/>
          </w:tcPr>
          <w:p w14:paraId="60683D68" w14:textId="77777777" w:rsidR="008C5CFA" w:rsidRPr="00A92B39" w:rsidRDefault="00E82A60" w:rsidP="00300A01">
            <w:pPr>
              <w:spacing w:before="0" w:after="0"/>
              <w:jc w:val="right"/>
              <w:rPr>
                <w:sz w:val="10"/>
                <w:szCs w:val="10"/>
                <w:lang w:val="fr-BE"/>
              </w:rPr>
            </w:pPr>
            <w:r w:rsidRPr="00A92B39">
              <w:rPr>
                <w:noProof/>
                <w:sz w:val="10"/>
                <w:szCs w:val="10"/>
                <w:lang w:val="fr-BE"/>
              </w:rPr>
              <w:t>29,00</w:t>
            </w:r>
          </w:p>
        </w:tc>
        <w:tc>
          <w:tcPr>
            <w:tcW w:w="0" w:type="auto"/>
            <w:shd w:val="clear" w:color="auto" w:fill="auto"/>
          </w:tcPr>
          <w:p w14:paraId="1A08B95E" w14:textId="77777777" w:rsidR="008C5CFA" w:rsidRPr="00BA47B4" w:rsidRDefault="00E82A60" w:rsidP="00300A01">
            <w:pPr>
              <w:spacing w:before="0" w:after="0"/>
              <w:jc w:val="right"/>
              <w:rPr>
                <w:sz w:val="12"/>
                <w:szCs w:val="12"/>
                <w:lang w:val="fr-BE"/>
              </w:rPr>
            </w:pPr>
            <w:r w:rsidRPr="00A92B39">
              <w:rPr>
                <w:noProof/>
                <w:sz w:val="10"/>
                <w:szCs w:val="10"/>
                <w:lang w:val="fr-BE"/>
              </w:rPr>
              <w:t>30,00</w:t>
            </w:r>
          </w:p>
        </w:tc>
      </w:tr>
      <w:tr w:rsidR="006B2EC1" w14:paraId="69D33186" w14:textId="77777777" w:rsidTr="0047688D">
        <w:tc>
          <w:tcPr>
            <w:tcW w:w="0" w:type="auto"/>
            <w:shd w:val="clear" w:color="auto" w:fill="auto"/>
          </w:tcPr>
          <w:p w14:paraId="571586EF" w14:textId="77777777" w:rsidR="008C5CFA" w:rsidRPr="00BA47B4" w:rsidRDefault="00E82A60" w:rsidP="00300A01">
            <w:pPr>
              <w:spacing w:before="0" w:after="0"/>
              <w:rPr>
                <w:sz w:val="12"/>
                <w:szCs w:val="12"/>
                <w:lang w:val="fr-BE"/>
              </w:rPr>
            </w:pPr>
            <w:r>
              <w:rPr>
                <w:noProof/>
                <w:sz w:val="12"/>
                <w:szCs w:val="12"/>
                <w:lang w:val="fr-BE"/>
              </w:rPr>
              <w:t>CO17</w:t>
            </w:r>
          </w:p>
        </w:tc>
        <w:tc>
          <w:tcPr>
            <w:tcW w:w="0" w:type="auto"/>
            <w:shd w:val="clear" w:color="auto" w:fill="auto"/>
          </w:tcPr>
          <w:p w14:paraId="6FE65750" w14:textId="77777777" w:rsidR="008C5CFA" w:rsidRPr="00BA47B4" w:rsidRDefault="00E82A60" w:rsidP="00300A01">
            <w:pPr>
              <w:spacing w:before="0" w:after="0"/>
              <w:rPr>
                <w:sz w:val="12"/>
                <w:szCs w:val="12"/>
                <w:lang w:val="fr-BE"/>
              </w:rPr>
            </w:pPr>
            <w:r>
              <w:rPr>
                <w:noProof/>
                <w:sz w:val="12"/>
                <w:szCs w:val="12"/>
                <w:lang w:val="fr-BE"/>
              </w:rPr>
              <w:t>inne osoby w niekorzystnej sytuacji społecznej</w:t>
            </w:r>
          </w:p>
        </w:tc>
        <w:tc>
          <w:tcPr>
            <w:tcW w:w="0" w:type="auto"/>
            <w:shd w:val="clear" w:color="auto" w:fill="auto"/>
          </w:tcPr>
          <w:p w14:paraId="72B085C1" w14:textId="77777777" w:rsidR="008C5CFA" w:rsidRPr="00BA47B4" w:rsidRDefault="00E82A60"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14:paraId="79083A51" w14:textId="77777777" w:rsidR="008C5CFA" w:rsidRPr="00BA47B4" w:rsidRDefault="008C5CFA" w:rsidP="00300A01">
            <w:pPr>
              <w:spacing w:before="0" w:after="0"/>
              <w:jc w:val="right"/>
              <w:rPr>
                <w:sz w:val="12"/>
                <w:szCs w:val="12"/>
                <w:lang w:val="fr-BE"/>
              </w:rPr>
            </w:pPr>
          </w:p>
        </w:tc>
        <w:tc>
          <w:tcPr>
            <w:tcW w:w="0" w:type="auto"/>
            <w:shd w:val="clear" w:color="auto" w:fill="auto"/>
          </w:tcPr>
          <w:p w14:paraId="4BB22358" w14:textId="77777777" w:rsidR="008C5CFA" w:rsidRPr="00BA47B4" w:rsidRDefault="008C5CFA" w:rsidP="00300A01">
            <w:pPr>
              <w:spacing w:before="0" w:after="0"/>
              <w:jc w:val="right"/>
              <w:rPr>
                <w:sz w:val="12"/>
                <w:szCs w:val="12"/>
                <w:lang w:val="fr-BE"/>
              </w:rPr>
            </w:pPr>
          </w:p>
        </w:tc>
        <w:tc>
          <w:tcPr>
            <w:tcW w:w="0" w:type="auto"/>
            <w:shd w:val="clear" w:color="auto" w:fill="auto"/>
          </w:tcPr>
          <w:p w14:paraId="0C02D2CB" w14:textId="77777777" w:rsidR="008C5CFA" w:rsidRPr="00BA47B4" w:rsidRDefault="008C5CFA" w:rsidP="00300A01">
            <w:pPr>
              <w:spacing w:before="0" w:after="0"/>
              <w:jc w:val="right"/>
              <w:rPr>
                <w:sz w:val="12"/>
                <w:szCs w:val="12"/>
                <w:lang w:val="fr-BE"/>
              </w:rPr>
            </w:pPr>
          </w:p>
        </w:tc>
        <w:tc>
          <w:tcPr>
            <w:tcW w:w="0" w:type="auto"/>
            <w:shd w:val="clear" w:color="auto" w:fill="auto"/>
          </w:tcPr>
          <w:p w14:paraId="635D77D5" w14:textId="77777777" w:rsidR="008C5CFA" w:rsidRPr="00BA47B4" w:rsidRDefault="00E82A60" w:rsidP="00300A01">
            <w:pPr>
              <w:spacing w:before="0" w:after="0"/>
              <w:jc w:val="right"/>
              <w:rPr>
                <w:sz w:val="12"/>
                <w:szCs w:val="12"/>
                <w:lang w:val="fr-BE"/>
              </w:rPr>
            </w:pPr>
            <w:r w:rsidRPr="00BA47B4">
              <w:rPr>
                <w:noProof/>
                <w:sz w:val="12"/>
                <w:szCs w:val="12"/>
                <w:lang w:val="fr-BE"/>
              </w:rPr>
              <w:t>280,00</w:t>
            </w:r>
          </w:p>
        </w:tc>
        <w:tc>
          <w:tcPr>
            <w:tcW w:w="0" w:type="auto"/>
            <w:shd w:val="clear" w:color="auto" w:fill="auto"/>
          </w:tcPr>
          <w:p w14:paraId="13CB082A" w14:textId="77777777" w:rsidR="008C5CFA" w:rsidRPr="00BA47B4" w:rsidRDefault="00E82A60" w:rsidP="00300A01">
            <w:pPr>
              <w:spacing w:before="0" w:after="0"/>
              <w:jc w:val="right"/>
              <w:rPr>
                <w:sz w:val="12"/>
                <w:szCs w:val="12"/>
                <w:lang w:val="fr-BE"/>
              </w:rPr>
            </w:pPr>
            <w:r w:rsidRPr="00BA47B4">
              <w:rPr>
                <w:noProof/>
                <w:sz w:val="12"/>
                <w:szCs w:val="12"/>
                <w:lang w:val="fr-BE"/>
              </w:rPr>
              <w:t>74,00</w:t>
            </w:r>
          </w:p>
        </w:tc>
        <w:tc>
          <w:tcPr>
            <w:tcW w:w="0" w:type="auto"/>
            <w:shd w:val="clear" w:color="auto" w:fill="auto"/>
          </w:tcPr>
          <w:p w14:paraId="6F04E84E" w14:textId="77777777" w:rsidR="008C5CFA" w:rsidRPr="00BA47B4" w:rsidRDefault="00E82A60" w:rsidP="00300A01">
            <w:pPr>
              <w:spacing w:before="0" w:after="0"/>
              <w:jc w:val="right"/>
              <w:rPr>
                <w:sz w:val="12"/>
                <w:szCs w:val="12"/>
                <w:lang w:val="fr-BE"/>
              </w:rPr>
            </w:pPr>
            <w:r w:rsidRPr="00BA47B4">
              <w:rPr>
                <w:noProof/>
                <w:sz w:val="12"/>
                <w:szCs w:val="12"/>
                <w:lang w:val="fr-BE"/>
              </w:rPr>
              <w:t>206,00</w:t>
            </w:r>
          </w:p>
        </w:tc>
        <w:tc>
          <w:tcPr>
            <w:tcW w:w="0" w:type="auto"/>
            <w:shd w:val="clear" w:color="auto" w:fill="auto"/>
          </w:tcPr>
          <w:p w14:paraId="2A50E941" w14:textId="77777777" w:rsidR="008C5CFA" w:rsidRPr="00BA47B4" w:rsidRDefault="008C5CFA" w:rsidP="00300A01">
            <w:pPr>
              <w:spacing w:before="0" w:after="0"/>
              <w:jc w:val="right"/>
              <w:rPr>
                <w:sz w:val="12"/>
                <w:szCs w:val="12"/>
                <w:lang w:val="fr-BE"/>
              </w:rPr>
            </w:pPr>
          </w:p>
        </w:tc>
        <w:tc>
          <w:tcPr>
            <w:tcW w:w="0" w:type="auto"/>
            <w:shd w:val="clear" w:color="auto" w:fill="auto"/>
          </w:tcPr>
          <w:p w14:paraId="7D113242" w14:textId="77777777" w:rsidR="008C5CFA" w:rsidRPr="00BA47B4" w:rsidRDefault="008C5CFA" w:rsidP="00300A01">
            <w:pPr>
              <w:spacing w:before="0" w:after="0"/>
              <w:jc w:val="right"/>
              <w:rPr>
                <w:sz w:val="12"/>
                <w:szCs w:val="12"/>
                <w:lang w:val="fr-BE"/>
              </w:rPr>
            </w:pPr>
          </w:p>
        </w:tc>
        <w:tc>
          <w:tcPr>
            <w:tcW w:w="0" w:type="auto"/>
            <w:shd w:val="clear" w:color="auto" w:fill="auto"/>
          </w:tcPr>
          <w:p w14:paraId="17C21167" w14:textId="77777777" w:rsidR="008C5CFA" w:rsidRPr="00BA47B4" w:rsidRDefault="008C5CFA" w:rsidP="00300A01">
            <w:pPr>
              <w:spacing w:before="0" w:after="0"/>
              <w:jc w:val="right"/>
              <w:rPr>
                <w:sz w:val="12"/>
                <w:szCs w:val="12"/>
                <w:lang w:val="fr-BE"/>
              </w:rPr>
            </w:pPr>
          </w:p>
        </w:tc>
        <w:tc>
          <w:tcPr>
            <w:tcW w:w="0" w:type="auto"/>
          </w:tcPr>
          <w:p w14:paraId="0B2266FA" w14:textId="77777777" w:rsidR="008C5CFA" w:rsidRPr="00A92B39" w:rsidRDefault="00E82A60" w:rsidP="00300A01">
            <w:pPr>
              <w:spacing w:before="0" w:after="0"/>
              <w:jc w:val="right"/>
              <w:rPr>
                <w:sz w:val="10"/>
                <w:szCs w:val="10"/>
                <w:lang w:val="fr-BE"/>
              </w:rPr>
            </w:pPr>
            <w:r w:rsidRPr="00A92B39">
              <w:rPr>
                <w:noProof/>
                <w:sz w:val="10"/>
                <w:szCs w:val="10"/>
                <w:lang w:val="fr-BE"/>
              </w:rPr>
              <w:t>72,00</w:t>
            </w:r>
          </w:p>
        </w:tc>
        <w:tc>
          <w:tcPr>
            <w:tcW w:w="0" w:type="auto"/>
            <w:shd w:val="clear" w:color="auto" w:fill="auto"/>
          </w:tcPr>
          <w:p w14:paraId="41D52E08" w14:textId="77777777" w:rsidR="008C5CFA" w:rsidRPr="00A92B39" w:rsidRDefault="00E82A60" w:rsidP="00300A01">
            <w:pPr>
              <w:spacing w:before="0" w:after="0"/>
              <w:jc w:val="right"/>
              <w:rPr>
                <w:sz w:val="10"/>
                <w:szCs w:val="10"/>
                <w:lang w:val="fr-BE"/>
              </w:rPr>
            </w:pPr>
            <w:r w:rsidRPr="00A92B39">
              <w:rPr>
                <w:noProof/>
                <w:sz w:val="10"/>
                <w:szCs w:val="10"/>
                <w:lang w:val="fr-BE"/>
              </w:rPr>
              <w:t>19,00</w:t>
            </w:r>
          </w:p>
        </w:tc>
        <w:tc>
          <w:tcPr>
            <w:tcW w:w="0" w:type="auto"/>
            <w:shd w:val="clear" w:color="auto" w:fill="auto"/>
          </w:tcPr>
          <w:p w14:paraId="2A53BF00" w14:textId="77777777" w:rsidR="008C5CFA" w:rsidRPr="00BA47B4" w:rsidRDefault="00E82A60" w:rsidP="00300A01">
            <w:pPr>
              <w:spacing w:before="0" w:after="0"/>
              <w:jc w:val="right"/>
              <w:rPr>
                <w:sz w:val="12"/>
                <w:szCs w:val="12"/>
                <w:lang w:val="fr-BE"/>
              </w:rPr>
            </w:pPr>
            <w:r w:rsidRPr="00A92B39">
              <w:rPr>
                <w:noProof/>
                <w:sz w:val="10"/>
                <w:szCs w:val="10"/>
                <w:lang w:val="fr-BE"/>
              </w:rPr>
              <w:t>53,00</w:t>
            </w:r>
          </w:p>
        </w:tc>
      </w:tr>
      <w:tr w:rsidR="006B2EC1" w14:paraId="15E53D90" w14:textId="77777777" w:rsidTr="0047688D">
        <w:tc>
          <w:tcPr>
            <w:tcW w:w="0" w:type="auto"/>
            <w:shd w:val="clear" w:color="auto" w:fill="auto"/>
          </w:tcPr>
          <w:p w14:paraId="661FC94E" w14:textId="77777777" w:rsidR="008C5CFA" w:rsidRPr="00BA47B4" w:rsidRDefault="00E82A60" w:rsidP="00300A01">
            <w:pPr>
              <w:spacing w:before="0" w:after="0"/>
              <w:rPr>
                <w:sz w:val="12"/>
                <w:szCs w:val="12"/>
                <w:lang w:val="fr-BE"/>
              </w:rPr>
            </w:pPr>
            <w:r>
              <w:rPr>
                <w:noProof/>
                <w:sz w:val="12"/>
                <w:szCs w:val="12"/>
                <w:lang w:val="fr-BE"/>
              </w:rPr>
              <w:t>CO18</w:t>
            </w:r>
          </w:p>
        </w:tc>
        <w:tc>
          <w:tcPr>
            <w:tcW w:w="0" w:type="auto"/>
            <w:shd w:val="clear" w:color="auto" w:fill="auto"/>
          </w:tcPr>
          <w:p w14:paraId="6C7A9731" w14:textId="77777777" w:rsidR="008C5CFA" w:rsidRPr="00BA47B4" w:rsidRDefault="00E82A60" w:rsidP="00300A01">
            <w:pPr>
              <w:spacing w:before="0" w:after="0"/>
              <w:rPr>
                <w:sz w:val="12"/>
                <w:szCs w:val="12"/>
                <w:lang w:val="fr-BE"/>
              </w:rPr>
            </w:pPr>
            <w:r>
              <w:rPr>
                <w:noProof/>
                <w:sz w:val="12"/>
                <w:szCs w:val="12"/>
                <w:lang w:val="fr-BE"/>
              </w:rPr>
              <w:t>osoby bezdomne lub dotknięte wykluczeniem z dostępu do mieszkań</w:t>
            </w:r>
          </w:p>
        </w:tc>
        <w:tc>
          <w:tcPr>
            <w:tcW w:w="0" w:type="auto"/>
            <w:shd w:val="clear" w:color="auto" w:fill="auto"/>
          </w:tcPr>
          <w:p w14:paraId="3607152F" w14:textId="77777777" w:rsidR="008C5CFA" w:rsidRPr="00BA47B4" w:rsidRDefault="00E82A60"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14:paraId="48C47295" w14:textId="77777777" w:rsidR="008C5CFA" w:rsidRPr="00BA47B4" w:rsidRDefault="008C5CFA" w:rsidP="00300A01">
            <w:pPr>
              <w:spacing w:before="0" w:after="0"/>
              <w:jc w:val="right"/>
              <w:rPr>
                <w:sz w:val="12"/>
                <w:szCs w:val="12"/>
                <w:lang w:val="fr-BE"/>
              </w:rPr>
            </w:pPr>
          </w:p>
        </w:tc>
        <w:tc>
          <w:tcPr>
            <w:tcW w:w="0" w:type="auto"/>
            <w:shd w:val="clear" w:color="auto" w:fill="auto"/>
          </w:tcPr>
          <w:p w14:paraId="336C950C" w14:textId="77777777" w:rsidR="008C5CFA" w:rsidRPr="00BA47B4" w:rsidRDefault="008C5CFA" w:rsidP="00300A01">
            <w:pPr>
              <w:spacing w:before="0" w:after="0"/>
              <w:jc w:val="right"/>
              <w:rPr>
                <w:sz w:val="12"/>
                <w:szCs w:val="12"/>
                <w:lang w:val="fr-BE"/>
              </w:rPr>
            </w:pPr>
          </w:p>
        </w:tc>
        <w:tc>
          <w:tcPr>
            <w:tcW w:w="0" w:type="auto"/>
            <w:shd w:val="clear" w:color="auto" w:fill="auto"/>
          </w:tcPr>
          <w:p w14:paraId="679EBBCF" w14:textId="77777777" w:rsidR="008C5CFA" w:rsidRPr="00BA47B4" w:rsidRDefault="008C5CFA" w:rsidP="00300A01">
            <w:pPr>
              <w:spacing w:before="0" w:after="0"/>
              <w:jc w:val="right"/>
              <w:rPr>
                <w:sz w:val="12"/>
                <w:szCs w:val="12"/>
                <w:lang w:val="fr-BE"/>
              </w:rPr>
            </w:pPr>
          </w:p>
        </w:tc>
        <w:tc>
          <w:tcPr>
            <w:tcW w:w="0" w:type="auto"/>
            <w:shd w:val="clear" w:color="auto" w:fill="auto"/>
          </w:tcPr>
          <w:p w14:paraId="4F97D4DB" w14:textId="77777777" w:rsidR="008C5CFA" w:rsidRPr="00BA47B4" w:rsidRDefault="00E82A60" w:rsidP="00300A01">
            <w:pPr>
              <w:spacing w:before="0" w:after="0"/>
              <w:jc w:val="right"/>
              <w:rPr>
                <w:sz w:val="12"/>
                <w:szCs w:val="12"/>
                <w:lang w:val="fr-BE"/>
              </w:rPr>
            </w:pPr>
            <w:r w:rsidRPr="00BA47B4">
              <w:rPr>
                <w:noProof/>
                <w:sz w:val="12"/>
                <w:szCs w:val="12"/>
                <w:lang w:val="fr-BE"/>
              </w:rPr>
              <w:t>14,00</w:t>
            </w:r>
          </w:p>
        </w:tc>
        <w:tc>
          <w:tcPr>
            <w:tcW w:w="0" w:type="auto"/>
            <w:shd w:val="clear" w:color="auto" w:fill="auto"/>
          </w:tcPr>
          <w:p w14:paraId="0ECDBB8A" w14:textId="77777777" w:rsidR="008C5CFA" w:rsidRPr="00BA47B4" w:rsidRDefault="00E82A60" w:rsidP="00300A01">
            <w:pPr>
              <w:spacing w:before="0" w:after="0"/>
              <w:jc w:val="right"/>
              <w:rPr>
                <w:sz w:val="12"/>
                <w:szCs w:val="12"/>
                <w:lang w:val="fr-BE"/>
              </w:rPr>
            </w:pPr>
            <w:r w:rsidRPr="00BA47B4">
              <w:rPr>
                <w:noProof/>
                <w:sz w:val="12"/>
                <w:szCs w:val="12"/>
                <w:lang w:val="fr-BE"/>
              </w:rPr>
              <w:t>11,00</w:t>
            </w:r>
          </w:p>
        </w:tc>
        <w:tc>
          <w:tcPr>
            <w:tcW w:w="0" w:type="auto"/>
            <w:shd w:val="clear" w:color="auto" w:fill="auto"/>
          </w:tcPr>
          <w:p w14:paraId="05A058C8" w14:textId="77777777" w:rsidR="008C5CFA" w:rsidRPr="00BA47B4" w:rsidRDefault="00E82A60" w:rsidP="00300A01">
            <w:pPr>
              <w:spacing w:before="0" w:after="0"/>
              <w:jc w:val="right"/>
              <w:rPr>
                <w:sz w:val="12"/>
                <w:szCs w:val="12"/>
                <w:lang w:val="fr-BE"/>
              </w:rPr>
            </w:pPr>
            <w:r w:rsidRPr="00BA47B4">
              <w:rPr>
                <w:noProof/>
                <w:sz w:val="12"/>
                <w:szCs w:val="12"/>
                <w:lang w:val="fr-BE"/>
              </w:rPr>
              <w:t>3,00</w:t>
            </w:r>
          </w:p>
        </w:tc>
        <w:tc>
          <w:tcPr>
            <w:tcW w:w="0" w:type="auto"/>
            <w:shd w:val="clear" w:color="auto" w:fill="auto"/>
          </w:tcPr>
          <w:p w14:paraId="737A943F" w14:textId="77777777" w:rsidR="008C5CFA" w:rsidRPr="00BA47B4" w:rsidRDefault="008C5CFA" w:rsidP="00300A01">
            <w:pPr>
              <w:spacing w:before="0" w:after="0"/>
              <w:jc w:val="right"/>
              <w:rPr>
                <w:sz w:val="12"/>
                <w:szCs w:val="12"/>
                <w:lang w:val="fr-BE"/>
              </w:rPr>
            </w:pPr>
          </w:p>
        </w:tc>
        <w:tc>
          <w:tcPr>
            <w:tcW w:w="0" w:type="auto"/>
            <w:shd w:val="clear" w:color="auto" w:fill="auto"/>
          </w:tcPr>
          <w:p w14:paraId="40961971" w14:textId="77777777" w:rsidR="008C5CFA" w:rsidRPr="00BA47B4" w:rsidRDefault="008C5CFA" w:rsidP="00300A01">
            <w:pPr>
              <w:spacing w:before="0" w:after="0"/>
              <w:jc w:val="right"/>
              <w:rPr>
                <w:sz w:val="12"/>
                <w:szCs w:val="12"/>
                <w:lang w:val="fr-BE"/>
              </w:rPr>
            </w:pPr>
          </w:p>
        </w:tc>
        <w:tc>
          <w:tcPr>
            <w:tcW w:w="0" w:type="auto"/>
            <w:shd w:val="clear" w:color="auto" w:fill="auto"/>
          </w:tcPr>
          <w:p w14:paraId="595AD4E6" w14:textId="77777777" w:rsidR="008C5CFA" w:rsidRPr="00BA47B4" w:rsidRDefault="008C5CFA" w:rsidP="00300A01">
            <w:pPr>
              <w:spacing w:before="0" w:after="0"/>
              <w:jc w:val="right"/>
              <w:rPr>
                <w:sz w:val="12"/>
                <w:szCs w:val="12"/>
                <w:lang w:val="fr-BE"/>
              </w:rPr>
            </w:pPr>
          </w:p>
        </w:tc>
        <w:tc>
          <w:tcPr>
            <w:tcW w:w="0" w:type="auto"/>
          </w:tcPr>
          <w:p w14:paraId="0CA65506" w14:textId="77777777" w:rsidR="008C5CFA" w:rsidRPr="00A92B39" w:rsidRDefault="00E82A60" w:rsidP="00300A01">
            <w:pPr>
              <w:spacing w:before="0" w:after="0"/>
              <w:jc w:val="right"/>
              <w:rPr>
                <w:sz w:val="10"/>
                <w:szCs w:val="10"/>
                <w:lang w:val="fr-BE"/>
              </w:rPr>
            </w:pPr>
            <w:r w:rsidRPr="00A92B39">
              <w:rPr>
                <w:noProof/>
                <w:sz w:val="10"/>
                <w:szCs w:val="10"/>
                <w:lang w:val="fr-BE"/>
              </w:rPr>
              <w:t>8,00</w:t>
            </w:r>
          </w:p>
        </w:tc>
        <w:tc>
          <w:tcPr>
            <w:tcW w:w="0" w:type="auto"/>
            <w:shd w:val="clear" w:color="auto" w:fill="auto"/>
          </w:tcPr>
          <w:p w14:paraId="64187602" w14:textId="77777777" w:rsidR="008C5CFA" w:rsidRPr="00A92B39" w:rsidRDefault="00E82A60" w:rsidP="00300A01">
            <w:pPr>
              <w:spacing w:before="0" w:after="0"/>
              <w:jc w:val="right"/>
              <w:rPr>
                <w:sz w:val="10"/>
                <w:szCs w:val="10"/>
                <w:lang w:val="fr-BE"/>
              </w:rPr>
            </w:pPr>
            <w:r w:rsidRPr="00A92B39">
              <w:rPr>
                <w:noProof/>
                <w:sz w:val="10"/>
                <w:szCs w:val="10"/>
                <w:lang w:val="fr-BE"/>
              </w:rPr>
              <w:t>8,00</w:t>
            </w:r>
          </w:p>
        </w:tc>
        <w:tc>
          <w:tcPr>
            <w:tcW w:w="0" w:type="auto"/>
            <w:shd w:val="clear" w:color="auto" w:fill="auto"/>
          </w:tcPr>
          <w:p w14:paraId="197418B9" w14:textId="77777777" w:rsidR="008C5CFA" w:rsidRPr="00BA47B4" w:rsidRDefault="00E82A60" w:rsidP="00300A01">
            <w:pPr>
              <w:spacing w:before="0" w:after="0"/>
              <w:jc w:val="right"/>
              <w:rPr>
                <w:sz w:val="12"/>
                <w:szCs w:val="12"/>
                <w:lang w:val="fr-BE"/>
              </w:rPr>
            </w:pPr>
            <w:r w:rsidRPr="00A92B39">
              <w:rPr>
                <w:noProof/>
                <w:sz w:val="10"/>
                <w:szCs w:val="10"/>
                <w:lang w:val="fr-BE"/>
              </w:rPr>
              <w:t>0,00</w:t>
            </w:r>
          </w:p>
        </w:tc>
      </w:tr>
      <w:tr w:rsidR="006B2EC1" w14:paraId="04DCF3B6" w14:textId="77777777" w:rsidTr="0047688D">
        <w:tc>
          <w:tcPr>
            <w:tcW w:w="0" w:type="auto"/>
            <w:shd w:val="clear" w:color="auto" w:fill="auto"/>
          </w:tcPr>
          <w:p w14:paraId="16777450" w14:textId="77777777" w:rsidR="008C5CFA" w:rsidRPr="00BA47B4" w:rsidRDefault="00E82A60" w:rsidP="00300A01">
            <w:pPr>
              <w:spacing w:before="0" w:after="0"/>
              <w:rPr>
                <w:sz w:val="12"/>
                <w:szCs w:val="12"/>
                <w:lang w:val="fr-BE"/>
              </w:rPr>
            </w:pPr>
            <w:r>
              <w:rPr>
                <w:noProof/>
                <w:sz w:val="12"/>
                <w:szCs w:val="12"/>
                <w:lang w:val="fr-BE"/>
              </w:rPr>
              <w:t>CO19</w:t>
            </w:r>
          </w:p>
        </w:tc>
        <w:tc>
          <w:tcPr>
            <w:tcW w:w="0" w:type="auto"/>
            <w:shd w:val="clear" w:color="auto" w:fill="auto"/>
          </w:tcPr>
          <w:p w14:paraId="7FB5E0F9" w14:textId="77777777" w:rsidR="008C5CFA" w:rsidRPr="00BA47B4" w:rsidRDefault="00E82A60" w:rsidP="00300A01">
            <w:pPr>
              <w:spacing w:before="0" w:after="0"/>
              <w:rPr>
                <w:sz w:val="12"/>
                <w:szCs w:val="12"/>
                <w:lang w:val="fr-BE"/>
              </w:rPr>
            </w:pPr>
            <w:r>
              <w:rPr>
                <w:noProof/>
                <w:sz w:val="12"/>
                <w:szCs w:val="12"/>
                <w:lang w:val="fr-BE"/>
              </w:rPr>
              <w:t>osoby pochodzące z obszarów wiejskich</w:t>
            </w:r>
          </w:p>
        </w:tc>
        <w:tc>
          <w:tcPr>
            <w:tcW w:w="0" w:type="auto"/>
            <w:shd w:val="clear" w:color="auto" w:fill="auto"/>
          </w:tcPr>
          <w:p w14:paraId="7F84AE55" w14:textId="77777777" w:rsidR="008C5CFA" w:rsidRPr="00BA47B4" w:rsidRDefault="00E82A60"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14:paraId="2020F914" w14:textId="77777777" w:rsidR="008C5CFA" w:rsidRPr="00BA47B4" w:rsidRDefault="008C5CFA" w:rsidP="00300A01">
            <w:pPr>
              <w:spacing w:before="0" w:after="0"/>
              <w:jc w:val="right"/>
              <w:rPr>
                <w:sz w:val="12"/>
                <w:szCs w:val="12"/>
                <w:lang w:val="fr-BE"/>
              </w:rPr>
            </w:pPr>
          </w:p>
        </w:tc>
        <w:tc>
          <w:tcPr>
            <w:tcW w:w="0" w:type="auto"/>
            <w:shd w:val="clear" w:color="auto" w:fill="auto"/>
          </w:tcPr>
          <w:p w14:paraId="2C003408" w14:textId="77777777" w:rsidR="008C5CFA" w:rsidRPr="00BA47B4" w:rsidRDefault="008C5CFA" w:rsidP="00300A01">
            <w:pPr>
              <w:spacing w:before="0" w:after="0"/>
              <w:jc w:val="right"/>
              <w:rPr>
                <w:sz w:val="12"/>
                <w:szCs w:val="12"/>
                <w:lang w:val="fr-BE"/>
              </w:rPr>
            </w:pPr>
          </w:p>
        </w:tc>
        <w:tc>
          <w:tcPr>
            <w:tcW w:w="0" w:type="auto"/>
            <w:shd w:val="clear" w:color="auto" w:fill="auto"/>
          </w:tcPr>
          <w:p w14:paraId="1ED8E07D" w14:textId="77777777" w:rsidR="008C5CFA" w:rsidRPr="00BA47B4" w:rsidRDefault="008C5CFA" w:rsidP="00300A01">
            <w:pPr>
              <w:spacing w:before="0" w:after="0"/>
              <w:jc w:val="right"/>
              <w:rPr>
                <w:sz w:val="12"/>
                <w:szCs w:val="12"/>
                <w:lang w:val="fr-BE"/>
              </w:rPr>
            </w:pPr>
          </w:p>
        </w:tc>
        <w:tc>
          <w:tcPr>
            <w:tcW w:w="0" w:type="auto"/>
            <w:shd w:val="clear" w:color="auto" w:fill="auto"/>
          </w:tcPr>
          <w:p w14:paraId="0128DD20" w14:textId="77777777" w:rsidR="008C5CFA" w:rsidRPr="00BA47B4" w:rsidRDefault="00E82A60" w:rsidP="00300A01">
            <w:pPr>
              <w:spacing w:before="0" w:after="0"/>
              <w:jc w:val="right"/>
              <w:rPr>
                <w:sz w:val="12"/>
                <w:szCs w:val="12"/>
                <w:lang w:val="fr-BE"/>
              </w:rPr>
            </w:pPr>
            <w:r w:rsidRPr="00BA47B4">
              <w:rPr>
                <w:noProof/>
                <w:sz w:val="12"/>
                <w:szCs w:val="12"/>
                <w:lang w:val="fr-BE"/>
              </w:rPr>
              <w:t>1 371,00</w:t>
            </w:r>
          </w:p>
        </w:tc>
        <w:tc>
          <w:tcPr>
            <w:tcW w:w="0" w:type="auto"/>
            <w:shd w:val="clear" w:color="auto" w:fill="auto"/>
          </w:tcPr>
          <w:p w14:paraId="17B7D391" w14:textId="77777777" w:rsidR="008C5CFA" w:rsidRPr="00BA47B4" w:rsidRDefault="00E82A60" w:rsidP="00300A01">
            <w:pPr>
              <w:spacing w:before="0" w:after="0"/>
              <w:jc w:val="right"/>
              <w:rPr>
                <w:sz w:val="12"/>
                <w:szCs w:val="12"/>
                <w:lang w:val="fr-BE"/>
              </w:rPr>
            </w:pPr>
            <w:r w:rsidRPr="00BA47B4">
              <w:rPr>
                <w:noProof/>
                <w:sz w:val="12"/>
                <w:szCs w:val="12"/>
                <w:lang w:val="fr-BE"/>
              </w:rPr>
              <w:t>353,00</w:t>
            </w:r>
          </w:p>
        </w:tc>
        <w:tc>
          <w:tcPr>
            <w:tcW w:w="0" w:type="auto"/>
            <w:shd w:val="clear" w:color="auto" w:fill="auto"/>
          </w:tcPr>
          <w:p w14:paraId="023C2B56" w14:textId="77777777" w:rsidR="008C5CFA" w:rsidRPr="00BA47B4" w:rsidRDefault="00E82A60" w:rsidP="00300A01">
            <w:pPr>
              <w:spacing w:before="0" w:after="0"/>
              <w:jc w:val="right"/>
              <w:rPr>
                <w:sz w:val="12"/>
                <w:szCs w:val="12"/>
                <w:lang w:val="fr-BE"/>
              </w:rPr>
            </w:pPr>
            <w:r w:rsidRPr="00BA47B4">
              <w:rPr>
                <w:noProof/>
                <w:sz w:val="12"/>
                <w:szCs w:val="12"/>
                <w:lang w:val="fr-BE"/>
              </w:rPr>
              <w:t>1 018,00</w:t>
            </w:r>
          </w:p>
        </w:tc>
        <w:tc>
          <w:tcPr>
            <w:tcW w:w="0" w:type="auto"/>
            <w:shd w:val="clear" w:color="auto" w:fill="auto"/>
          </w:tcPr>
          <w:p w14:paraId="5957300F" w14:textId="77777777" w:rsidR="008C5CFA" w:rsidRPr="00BA47B4" w:rsidRDefault="008C5CFA" w:rsidP="00300A01">
            <w:pPr>
              <w:spacing w:before="0" w:after="0"/>
              <w:jc w:val="right"/>
              <w:rPr>
                <w:sz w:val="12"/>
                <w:szCs w:val="12"/>
                <w:lang w:val="fr-BE"/>
              </w:rPr>
            </w:pPr>
          </w:p>
        </w:tc>
        <w:tc>
          <w:tcPr>
            <w:tcW w:w="0" w:type="auto"/>
            <w:shd w:val="clear" w:color="auto" w:fill="auto"/>
          </w:tcPr>
          <w:p w14:paraId="00DB9F49" w14:textId="77777777" w:rsidR="008C5CFA" w:rsidRPr="00BA47B4" w:rsidRDefault="008C5CFA" w:rsidP="00300A01">
            <w:pPr>
              <w:spacing w:before="0" w:after="0"/>
              <w:jc w:val="right"/>
              <w:rPr>
                <w:sz w:val="12"/>
                <w:szCs w:val="12"/>
                <w:lang w:val="fr-BE"/>
              </w:rPr>
            </w:pPr>
          </w:p>
        </w:tc>
        <w:tc>
          <w:tcPr>
            <w:tcW w:w="0" w:type="auto"/>
            <w:shd w:val="clear" w:color="auto" w:fill="auto"/>
          </w:tcPr>
          <w:p w14:paraId="047A6E91" w14:textId="77777777" w:rsidR="008C5CFA" w:rsidRPr="00BA47B4" w:rsidRDefault="008C5CFA" w:rsidP="00300A01">
            <w:pPr>
              <w:spacing w:before="0" w:after="0"/>
              <w:jc w:val="right"/>
              <w:rPr>
                <w:sz w:val="12"/>
                <w:szCs w:val="12"/>
                <w:lang w:val="fr-BE"/>
              </w:rPr>
            </w:pPr>
          </w:p>
        </w:tc>
        <w:tc>
          <w:tcPr>
            <w:tcW w:w="0" w:type="auto"/>
          </w:tcPr>
          <w:p w14:paraId="67F0693F" w14:textId="77777777" w:rsidR="008C5CFA" w:rsidRPr="00A92B39" w:rsidRDefault="00E82A60" w:rsidP="00300A01">
            <w:pPr>
              <w:spacing w:before="0" w:after="0"/>
              <w:jc w:val="right"/>
              <w:rPr>
                <w:sz w:val="10"/>
                <w:szCs w:val="10"/>
                <w:lang w:val="fr-BE"/>
              </w:rPr>
            </w:pPr>
            <w:r w:rsidRPr="00A92B39">
              <w:rPr>
                <w:noProof/>
                <w:sz w:val="10"/>
                <w:szCs w:val="10"/>
                <w:lang w:val="fr-BE"/>
              </w:rPr>
              <w:t>221,00</w:t>
            </w:r>
          </w:p>
        </w:tc>
        <w:tc>
          <w:tcPr>
            <w:tcW w:w="0" w:type="auto"/>
            <w:shd w:val="clear" w:color="auto" w:fill="auto"/>
          </w:tcPr>
          <w:p w14:paraId="0D02808C" w14:textId="77777777" w:rsidR="008C5CFA" w:rsidRPr="00A92B39" w:rsidRDefault="00E82A60" w:rsidP="00300A01">
            <w:pPr>
              <w:spacing w:before="0" w:after="0"/>
              <w:jc w:val="right"/>
              <w:rPr>
                <w:sz w:val="10"/>
                <w:szCs w:val="10"/>
                <w:lang w:val="fr-BE"/>
              </w:rPr>
            </w:pPr>
            <w:r w:rsidRPr="00A92B39">
              <w:rPr>
                <w:noProof/>
                <w:sz w:val="10"/>
                <w:szCs w:val="10"/>
                <w:lang w:val="fr-BE"/>
              </w:rPr>
              <w:t>49,00</w:t>
            </w:r>
          </w:p>
        </w:tc>
        <w:tc>
          <w:tcPr>
            <w:tcW w:w="0" w:type="auto"/>
            <w:shd w:val="clear" w:color="auto" w:fill="auto"/>
          </w:tcPr>
          <w:p w14:paraId="340A293E" w14:textId="77777777" w:rsidR="008C5CFA" w:rsidRPr="00BA47B4" w:rsidRDefault="00E82A60" w:rsidP="00300A01">
            <w:pPr>
              <w:spacing w:before="0" w:after="0"/>
              <w:jc w:val="right"/>
              <w:rPr>
                <w:sz w:val="12"/>
                <w:szCs w:val="12"/>
                <w:lang w:val="fr-BE"/>
              </w:rPr>
            </w:pPr>
            <w:r w:rsidRPr="00A92B39">
              <w:rPr>
                <w:noProof/>
                <w:sz w:val="10"/>
                <w:szCs w:val="10"/>
                <w:lang w:val="fr-BE"/>
              </w:rPr>
              <w:t>172,00</w:t>
            </w:r>
          </w:p>
        </w:tc>
      </w:tr>
      <w:tr w:rsidR="006B2EC1" w14:paraId="5EE33709" w14:textId="77777777" w:rsidTr="0047688D">
        <w:tc>
          <w:tcPr>
            <w:tcW w:w="0" w:type="auto"/>
            <w:shd w:val="clear" w:color="auto" w:fill="auto"/>
          </w:tcPr>
          <w:p w14:paraId="2B7E4BD5" w14:textId="77777777" w:rsidR="008C5CFA" w:rsidRPr="00BA47B4" w:rsidRDefault="00E82A60" w:rsidP="00300A01">
            <w:pPr>
              <w:spacing w:before="0" w:after="0"/>
              <w:rPr>
                <w:sz w:val="12"/>
                <w:szCs w:val="12"/>
                <w:lang w:val="fr-BE"/>
              </w:rPr>
            </w:pPr>
            <w:r>
              <w:rPr>
                <w:noProof/>
                <w:sz w:val="12"/>
                <w:szCs w:val="12"/>
                <w:lang w:val="fr-BE"/>
              </w:rPr>
              <w:t>CO20</w:t>
            </w:r>
          </w:p>
        </w:tc>
        <w:tc>
          <w:tcPr>
            <w:tcW w:w="0" w:type="auto"/>
            <w:shd w:val="clear" w:color="auto" w:fill="auto"/>
          </w:tcPr>
          <w:p w14:paraId="2730057E" w14:textId="77777777" w:rsidR="008C5CFA" w:rsidRPr="00BA47B4" w:rsidRDefault="00E82A60" w:rsidP="00300A01">
            <w:pPr>
              <w:spacing w:before="0" w:after="0"/>
              <w:rPr>
                <w:sz w:val="12"/>
                <w:szCs w:val="12"/>
                <w:lang w:val="fr-BE"/>
              </w:rPr>
            </w:pPr>
            <w:r>
              <w:rPr>
                <w:noProof/>
                <w:sz w:val="12"/>
                <w:szCs w:val="12"/>
                <w:lang w:val="fr-BE"/>
              </w:rPr>
              <w:t>liczba projektów zrealizowanych w pełni lub częściowo przez partnerów społecznych lub organizacje pozarządowe</w:t>
            </w:r>
          </w:p>
        </w:tc>
        <w:tc>
          <w:tcPr>
            <w:tcW w:w="0" w:type="auto"/>
            <w:shd w:val="clear" w:color="auto" w:fill="auto"/>
          </w:tcPr>
          <w:p w14:paraId="784F87D0" w14:textId="77777777" w:rsidR="008C5CFA" w:rsidRPr="00BA47B4" w:rsidRDefault="00E82A60"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14:paraId="1E1A3CFC" w14:textId="77777777" w:rsidR="008C5CFA" w:rsidRPr="00BA47B4" w:rsidRDefault="008C5CFA" w:rsidP="00300A01">
            <w:pPr>
              <w:spacing w:before="0" w:after="0"/>
              <w:jc w:val="right"/>
              <w:rPr>
                <w:sz w:val="12"/>
                <w:szCs w:val="12"/>
                <w:lang w:val="fr-BE"/>
              </w:rPr>
            </w:pPr>
          </w:p>
        </w:tc>
        <w:tc>
          <w:tcPr>
            <w:tcW w:w="0" w:type="auto"/>
            <w:shd w:val="clear" w:color="auto" w:fill="auto"/>
          </w:tcPr>
          <w:p w14:paraId="6FA2644A" w14:textId="77777777" w:rsidR="008C5CFA" w:rsidRPr="00BA47B4" w:rsidRDefault="008C5CFA" w:rsidP="00300A01">
            <w:pPr>
              <w:spacing w:before="0" w:after="0"/>
              <w:jc w:val="right"/>
              <w:rPr>
                <w:sz w:val="12"/>
                <w:szCs w:val="12"/>
                <w:lang w:val="fr-BE"/>
              </w:rPr>
            </w:pPr>
          </w:p>
        </w:tc>
        <w:tc>
          <w:tcPr>
            <w:tcW w:w="0" w:type="auto"/>
            <w:shd w:val="clear" w:color="auto" w:fill="auto"/>
          </w:tcPr>
          <w:p w14:paraId="43EE556E" w14:textId="77777777" w:rsidR="008C5CFA" w:rsidRPr="00BA47B4" w:rsidRDefault="008C5CFA" w:rsidP="00300A01">
            <w:pPr>
              <w:spacing w:before="0" w:after="0"/>
              <w:jc w:val="right"/>
              <w:rPr>
                <w:sz w:val="12"/>
                <w:szCs w:val="12"/>
                <w:lang w:val="fr-BE"/>
              </w:rPr>
            </w:pPr>
          </w:p>
        </w:tc>
        <w:tc>
          <w:tcPr>
            <w:tcW w:w="0" w:type="auto"/>
            <w:shd w:val="clear" w:color="auto" w:fill="auto"/>
          </w:tcPr>
          <w:p w14:paraId="29504231" w14:textId="77777777" w:rsidR="008C5CFA" w:rsidRPr="00BA47B4" w:rsidRDefault="00E82A60" w:rsidP="00300A01">
            <w:pPr>
              <w:spacing w:before="0" w:after="0"/>
              <w:jc w:val="right"/>
              <w:rPr>
                <w:sz w:val="12"/>
                <w:szCs w:val="12"/>
                <w:lang w:val="fr-BE"/>
              </w:rPr>
            </w:pPr>
            <w:r w:rsidRPr="00BA47B4">
              <w:rPr>
                <w:noProof/>
                <w:sz w:val="12"/>
                <w:szCs w:val="12"/>
                <w:lang w:val="fr-BE"/>
              </w:rPr>
              <w:t>3,00</w:t>
            </w:r>
          </w:p>
        </w:tc>
        <w:tc>
          <w:tcPr>
            <w:tcW w:w="0" w:type="auto"/>
            <w:shd w:val="clear" w:color="auto" w:fill="auto"/>
          </w:tcPr>
          <w:p w14:paraId="0708147E" w14:textId="77777777" w:rsidR="008C5CFA" w:rsidRPr="00BA47B4" w:rsidRDefault="008C5CFA" w:rsidP="00300A01">
            <w:pPr>
              <w:spacing w:before="0" w:after="0"/>
              <w:jc w:val="right"/>
              <w:rPr>
                <w:sz w:val="12"/>
                <w:szCs w:val="12"/>
                <w:lang w:val="fr-BE"/>
              </w:rPr>
            </w:pPr>
          </w:p>
        </w:tc>
        <w:tc>
          <w:tcPr>
            <w:tcW w:w="0" w:type="auto"/>
            <w:shd w:val="clear" w:color="auto" w:fill="auto"/>
          </w:tcPr>
          <w:p w14:paraId="5C06CC36" w14:textId="77777777" w:rsidR="008C5CFA" w:rsidRPr="00BA47B4" w:rsidRDefault="008C5CFA" w:rsidP="00300A01">
            <w:pPr>
              <w:spacing w:before="0" w:after="0"/>
              <w:jc w:val="right"/>
              <w:rPr>
                <w:sz w:val="12"/>
                <w:szCs w:val="12"/>
                <w:lang w:val="fr-BE"/>
              </w:rPr>
            </w:pPr>
          </w:p>
        </w:tc>
        <w:tc>
          <w:tcPr>
            <w:tcW w:w="0" w:type="auto"/>
            <w:shd w:val="clear" w:color="auto" w:fill="auto"/>
          </w:tcPr>
          <w:p w14:paraId="0BD5146E" w14:textId="77777777" w:rsidR="008C5CFA" w:rsidRPr="00BA47B4" w:rsidRDefault="008C5CFA" w:rsidP="00300A01">
            <w:pPr>
              <w:spacing w:before="0" w:after="0"/>
              <w:jc w:val="right"/>
              <w:rPr>
                <w:sz w:val="12"/>
                <w:szCs w:val="12"/>
                <w:lang w:val="fr-BE"/>
              </w:rPr>
            </w:pPr>
          </w:p>
        </w:tc>
        <w:tc>
          <w:tcPr>
            <w:tcW w:w="0" w:type="auto"/>
            <w:shd w:val="clear" w:color="auto" w:fill="auto"/>
          </w:tcPr>
          <w:p w14:paraId="087D6727" w14:textId="77777777" w:rsidR="008C5CFA" w:rsidRPr="00BA47B4" w:rsidRDefault="008C5CFA" w:rsidP="00300A01">
            <w:pPr>
              <w:spacing w:before="0" w:after="0"/>
              <w:jc w:val="right"/>
              <w:rPr>
                <w:sz w:val="12"/>
                <w:szCs w:val="12"/>
                <w:lang w:val="fr-BE"/>
              </w:rPr>
            </w:pPr>
          </w:p>
        </w:tc>
        <w:tc>
          <w:tcPr>
            <w:tcW w:w="0" w:type="auto"/>
            <w:shd w:val="clear" w:color="auto" w:fill="auto"/>
          </w:tcPr>
          <w:p w14:paraId="4DEAF691" w14:textId="77777777" w:rsidR="008C5CFA" w:rsidRPr="00BA47B4" w:rsidRDefault="008C5CFA" w:rsidP="00300A01">
            <w:pPr>
              <w:spacing w:before="0" w:after="0"/>
              <w:jc w:val="right"/>
              <w:rPr>
                <w:sz w:val="12"/>
                <w:szCs w:val="12"/>
                <w:lang w:val="fr-BE"/>
              </w:rPr>
            </w:pPr>
          </w:p>
        </w:tc>
        <w:tc>
          <w:tcPr>
            <w:tcW w:w="0" w:type="auto"/>
          </w:tcPr>
          <w:p w14:paraId="4A0209BE" w14:textId="77777777" w:rsidR="008C5CFA" w:rsidRPr="00A92B39" w:rsidRDefault="00E82A60" w:rsidP="00300A01">
            <w:pPr>
              <w:spacing w:before="0" w:after="0"/>
              <w:jc w:val="right"/>
              <w:rPr>
                <w:sz w:val="10"/>
                <w:szCs w:val="10"/>
                <w:lang w:val="fr-BE"/>
              </w:rPr>
            </w:pPr>
            <w:r w:rsidRPr="00A92B39">
              <w:rPr>
                <w:noProof/>
                <w:sz w:val="10"/>
                <w:szCs w:val="10"/>
                <w:lang w:val="fr-BE"/>
              </w:rPr>
              <w:t>1,00</w:t>
            </w:r>
          </w:p>
        </w:tc>
        <w:tc>
          <w:tcPr>
            <w:tcW w:w="0" w:type="auto"/>
            <w:shd w:val="clear" w:color="auto" w:fill="auto"/>
          </w:tcPr>
          <w:p w14:paraId="4B3C9B89" w14:textId="77777777" w:rsidR="008C5CFA" w:rsidRPr="00A92B39" w:rsidRDefault="008C5CFA" w:rsidP="00300A01">
            <w:pPr>
              <w:spacing w:before="0" w:after="0"/>
              <w:jc w:val="right"/>
              <w:rPr>
                <w:sz w:val="10"/>
                <w:szCs w:val="10"/>
                <w:lang w:val="fr-BE"/>
              </w:rPr>
            </w:pPr>
          </w:p>
        </w:tc>
        <w:tc>
          <w:tcPr>
            <w:tcW w:w="0" w:type="auto"/>
            <w:shd w:val="clear" w:color="auto" w:fill="auto"/>
          </w:tcPr>
          <w:p w14:paraId="6F27A49E" w14:textId="77777777" w:rsidR="008C5CFA" w:rsidRPr="00BA47B4" w:rsidRDefault="008C5CFA" w:rsidP="00300A01">
            <w:pPr>
              <w:spacing w:before="0" w:after="0"/>
              <w:jc w:val="right"/>
              <w:rPr>
                <w:sz w:val="12"/>
                <w:szCs w:val="12"/>
                <w:lang w:val="fr-BE"/>
              </w:rPr>
            </w:pPr>
          </w:p>
        </w:tc>
      </w:tr>
      <w:tr w:rsidR="006B2EC1" w14:paraId="5659547A" w14:textId="77777777" w:rsidTr="0047688D">
        <w:tc>
          <w:tcPr>
            <w:tcW w:w="0" w:type="auto"/>
            <w:shd w:val="clear" w:color="auto" w:fill="auto"/>
          </w:tcPr>
          <w:p w14:paraId="4DC33500" w14:textId="77777777" w:rsidR="008C5CFA" w:rsidRPr="00BA47B4" w:rsidRDefault="00E82A60" w:rsidP="00300A01">
            <w:pPr>
              <w:spacing w:before="0" w:after="0"/>
              <w:rPr>
                <w:sz w:val="12"/>
                <w:szCs w:val="12"/>
                <w:lang w:val="fr-BE"/>
              </w:rPr>
            </w:pPr>
            <w:r>
              <w:rPr>
                <w:noProof/>
                <w:sz w:val="12"/>
                <w:szCs w:val="12"/>
                <w:lang w:val="fr-BE"/>
              </w:rPr>
              <w:t>CO21</w:t>
            </w:r>
          </w:p>
        </w:tc>
        <w:tc>
          <w:tcPr>
            <w:tcW w:w="0" w:type="auto"/>
            <w:shd w:val="clear" w:color="auto" w:fill="auto"/>
          </w:tcPr>
          <w:p w14:paraId="54D52DF2" w14:textId="77777777" w:rsidR="008C5CFA" w:rsidRPr="00BA47B4" w:rsidRDefault="00E82A60" w:rsidP="00300A01">
            <w:pPr>
              <w:spacing w:before="0" w:after="0"/>
              <w:rPr>
                <w:sz w:val="12"/>
                <w:szCs w:val="12"/>
                <w:lang w:val="fr-BE"/>
              </w:rPr>
            </w:pPr>
            <w:r>
              <w:rPr>
                <w:noProof/>
                <w:sz w:val="12"/>
                <w:szCs w:val="12"/>
                <w:lang w:val="fr-BE"/>
              </w:rPr>
              <w:t>liczba projektów ukierunkowanych na trwały udział kobiet w zatrudnieniu i rozwój ich kariery zawodowej</w:t>
            </w:r>
          </w:p>
        </w:tc>
        <w:tc>
          <w:tcPr>
            <w:tcW w:w="0" w:type="auto"/>
            <w:shd w:val="clear" w:color="auto" w:fill="auto"/>
          </w:tcPr>
          <w:p w14:paraId="11507ACD" w14:textId="77777777" w:rsidR="008C5CFA" w:rsidRPr="00BA47B4" w:rsidRDefault="00E82A60"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14:paraId="5783D4CD" w14:textId="77777777" w:rsidR="008C5CFA" w:rsidRPr="00BA47B4" w:rsidRDefault="008C5CFA" w:rsidP="00300A01">
            <w:pPr>
              <w:spacing w:before="0" w:after="0"/>
              <w:jc w:val="right"/>
              <w:rPr>
                <w:sz w:val="12"/>
                <w:szCs w:val="12"/>
                <w:lang w:val="fr-BE"/>
              </w:rPr>
            </w:pPr>
          </w:p>
        </w:tc>
        <w:tc>
          <w:tcPr>
            <w:tcW w:w="0" w:type="auto"/>
            <w:shd w:val="clear" w:color="auto" w:fill="auto"/>
          </w:tcPr>
          <w:p w14:paraId="77879D80" w14:textId="77777777" w:rsidR="008C5CFA" w:rsidRPr="00BA47B4" w:rsidRDefault="008C5CFA" w:rsidP="00300A01">
            <w:pPr>
              <w:spacing w:before="0" w:after="0"/>
              <w:jc w:val="right"/>
              <w:rPr>
                <w:sz w:val="12"/>
                <w:szCs w:val="12"/>
                <w:lang w:val="fr-BE"/>
              </w:rPr>
            </w:pPr>
          </w:p>
        </w:tc>
        <w:tc>
          <w:tcPr>
            <w:tcW w:w="0" w:type="auto"/>
            <w:shd w:val="clear" w:color="auto" w:fill="auto"/>
          </w:tcPr>
          <w:p w14:paraId="28B24052" w14:textId="77777777" w:rsidR="008C5CFA" w:rsidRPr="00BA47B4" w:rsidRDefault="008C5CFA" w:rsidP="00300A01">
            <w:pPr>
              <w:spacing w:before="0" w:after="0"/>
              <w:jc w:val="right"/>
              <w:rPr>
                <w:sz w:val="12"/>
                <w:szCs w:val="12"/>
                <w:lang w:val="fr-BE"/>
              </w:rPr>
            </w:pPr>
          </w:p>
        </w:tc>
        <w:tc>
          <w:tcPr>
            <w:tcW w:w="0" w:type="auto"/>
            <w:shd w:val="clear" w:color="auto" w:fill="auto"/>
          </w:tcPr>
          <w:p w14:paraId="595A5757" w14:textId="77777777" w:rsidR="008C5CFA" w:rsidRPr="00BA47B4" w:rsidRDefault="00E82A60" w:rsidP="00300A01">
            <w:pPr>
              <w:spacing w:before="0" w:after="0"/>
              <w:jc w:val="right"/>
              <w:rPr>
                <w:sz w:val="12"/>
                <w:szCs w:val="12"/>
                <w:lang w:val="fr-BE"/>
              </w:rPr>
            </w:pPr>
            <w:r w:rsidRPr="00BA47B4">
              <w:rPr>
                <w:noProof/>
                <w:sz w:val="12"/>
                <w:szCs w:val="12"/>
                <w:lang w:val="fr-BE"/>
              </w:rPr>
              <w:t>2,00</w:t>
            </w:r>
          </w:p>
        </w:tc>
        <w:tc>
          <w:tcPr>
            <w:tcW w:w="0" w:type="auto"/>
            <w:shd w:val="clear" w:color="auto" w:fill="auto"/>
          </w:tcPr>
          <w:p w14:paraId="79D57E5E" w14:textId="77777777" w:rsidR="008C5CFA" w:rsidRPr="00BA47B4" w:rsidRDefault="008C5CFA" w:rsidP="00300A01">
            <w:pPr>
              <w:spacing w:before="0" w:after="0"/>
              <w:jc w:val="right"/>
              <w:rPr>
                <w:sz w:val="12"/>
                <w:szCs w:val="12"/>
                <w:lang w:val="fr-BE"/>
              </w:rPr>
            </w:pPr>
          </w:p>
        </w:tc>
        <w:tc>
          <w:tcPr>
            <w:tcW w:w="0" w:type="auto"/>
            <w:shd w:val="clear" w:color="auto" w:fill="auto"/>
          </w:tcPr>
          <w:p w14:paraId="0E5DCD38" w14:textId="77777777" w:rsidR="008C5CFA" w:rsidRPr="00BA47B4" w:rsidRDefault="008C5CFA" w:rsidP="00300A01">
            <w:pPr>
              <w:spacing w:before="0" w:after="0"/>
              <w:jc w:val="right"/>
              <w:rPr>
                <w:sz w:val="12"/>
                <w:szCs w:val="12"/>
                <w:lang w:val="fr-BE"/>
              </w:rPr>
            </w:pPr>
          </w:p>
        </w:tc>
        <w:tc>
          <w:tcPr>
            <w:tcW w:w="0" w:type="auto"/>
            <w:shd w:val="clear" w:color="auto" w:fill="auto"/>
          </w:tcPr>
          <w:p w14:paraId="3F969491" w14:textId="77777777" w:rsidR="008C5CFA" w:rsidRPr="00BA47B4" w:rsidRDefault="008C5CFA" w:rsidP="00300A01">
            <w:pPr>
              <w:spacing w:before="0" w:after="0"/>
              <w:jc w:val="right"/>
              <w:rPr>
                <w:sz w:val="12"/>
                <w:szCs w:val="12"/>
                <w:lang w:val="fr-BE"/>
              </w:rPr>
            </w:pPr>
          </w:p>
        </w:tc>
        <w:tc>
          <w:tcPr>
            <w:tcW w:w="0" w:type="auto"/>
            <w:shd w:val="clear" w:color="auto" w:fill="auto"/>
          </w:tcPr>
          <w:p w14:paraId="0ECE537F" w14:textId="77777777" w:rsidR="008C5CFA" w:rsidRPr="00BA47B4" w:rsidRDefault="008C5CFA" w:rsidP="00300A01">
            <w:pPr>
              <w:spacing w:before="0" w:after="0"/>
              <w:jc w:val="right"/>
              <w:rPr>
                <w:sz w:val="12"/>
                <w:szCs w:val="12"/>
                <w:lang w:val="fr-BE"/>
              </w:rPr>
            </w:pPr>
          </w:p>
        </w:tc>
        <w:tc>
          <w:tcPr>
            <w:tcW w:w="0" w:type="auto"/>
            <w:shd w:val="clear" w:color="auto" w:fill="auto"/>
          </w:tcPr>
          <w:p w14:paraId="1C65FA4B" w14:textId="77777777" w:rsidR="008C5CFA" w:rsidRPr="00BA47B4" w:rsidRDefault="008C5CFA" w:rsidP="00300A01">
            <w:pPr>
              <w:spacing w:before="0" w:after="0"/>
              <w:jc w:val="right"/>
              <w:rPr>
                <w:sz w:val="12"/>
                <w:szCs w:val="12"/>
                <w:lang w:val="fr-BE"/>
              </w:rPr>
            </w:pPr>
          </w:p>
        </w:tc>
        <w:tc>
          <w:tcPr>
            <w:tcW w:w="0" w:type="auto"/>
          </w:tcPr>
          <w:p w14:paraId="0F3FC9D8"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14:paraId="1D2F1898" w14:textId="77777777" w:rsidR="008C5CFA" w:rsidRPr="00A92B39" w:rsidRDefault="008C5CFA" w:rsidP="00300A01">
            <w:pPr>
              <w:spacing w:before="0" w:after="0"/>
              <w:jc w:val="right"/>
              <w:rPr>
                <w:sz w:val="10"/>
                <w:szCs w:val="10"/>
                <w:lang w:val="fr-BE"/>
              </w:rPr>
            </w:pPr>
          </w:p>
        </w:tc>
        <w:tc>
          <w:tcPr>
            <w:tcW w:w="0" w:type="auto"/>
            <w:shd w:val="clear" w:color="auto" w:fill="auto"/>
          </w:tcPr>
          <w:p w14:paraId="32CF50BE" w14:textId="77777777" w:rsidR="008C5CFA" w:rsidRPr="00BA47B4" w:rsidRDefault="008C5CFA" w:rsidP="00300A01">
            <w:pPr>
              <w:spacing w:before="0" w:after="0"/>
              <w:jc w:val="right"/>
              <w:rPr>
                <w:sz w:val="12"/>
                <w:szCs w:val="12"/>
                <w:lang w:val="fr-BE"/>
              </w:rPr>
            </w:pPr>
          </w:p>
        </w:tc>
      </w:tr>
      <w:tr w:rsidR="006B2EC1" w14:paraId="07432F39" w14:textId="77777777" w:rsidTr="0047688D">
        <w:tc>
          <w:tcPr>
            <w:tcW w:w="0" w:type="auto"/>
            <w:shd w:val="clear" w:color="auto" w:fill="auto"/>
          </w:tcPr>
          <w:p w14:paraId="3C0AA2CA" w14:textId="77777777" w:rsidR="008C5CFA" w:rsidRPr="00BA47B4" w:rsidRDefault="00E82A60" w:rsidP="00300A01">
            <w:pPr>
              <w:spacing w:before="0" w:after="0"/>
              <w:rPr>
                <w:sz w:val="12"/>
                <w:szCs w:val="12"/>
                <w:lang w:val="fr-BE"/>
              </w:rPr>
            </w:pPr>
            <w:r>
              <w:rPr>
                <w:noProof/>
                <w:sz w:val="12"/>
                <w:szCs w:val="12"/>
                <w:lang w:val="fr-BE"/>
              </w:rPr>
              <w:t>CO22</w:t>
            </w:r>
          </w:p>
        </w:tc>
        <w:tc>
          <w:tcPr>
            <w:tcW w:w="0" w:type="auto"/>
            <w:shd w:val="clear" w:color="auto" w:fill="auto"/>
          </w:tcPr>
          <w:p w14:paraId="7F13EA62" w14:textId="77777777" w:rsidR="008C5CFA" w:rsidRPr="00BA47B4" w:rsidRDefault="00E82A60" w:rsidP="00300A01">
            <w:pPr>
              <w:spacing w:before="0" w:after="0"/>
              <w:rPr>
                <w:sz w:val="12"/>
                <w:szCs w:val="12"/>
                <w:lang w:val="fr-BE"/>
              </w:rPr>
            </w:pPr>
            <w:r>
              <w:rPr>
                <w:noProof/>
                <w:sz w:val="12"/>
                <w:szCs w:val="12"/>
                <w:lang w:val="fr-BE"/>
              </w:rPr>
              <w:t>liczba projektów obejmujących administrację publiczną lub służby publiczne na szczeblu krajowym, regionalnym lub lokalnym</w:t>
            </w:r>
          </w:p>
        </w:tc>
        <w:tc>
          <w:tcPr>
            <w:tcW w:w="0" w:type="auto"/>
            <w:shd w:val="clear" w:color="auto" w:fill="auto"/>
          </w:tcPr>
          <w:p w14:paraId="3A13AAFC" w14:textId="77777777" w:rsidR="008C5CFA" w:rsidRPr="00BA47B4" w:rsidRDefault="00E82A60"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14:paraId="1F936947" w14:textId="77777777" w:rsidR="008C5CFA" w:rsidRPr="00BA47B4" w:rsidRDefault="008C5CFA" w:rsidP="00300A01">
            <w:pPr>
              <w:spacing w:before="0" w:after="0"/>
              <w:jc w:val="right"/>
              <w:rPr>
                <w:sz w:val="12"/>
                <w:szCs w:val="12"/>
                <w:lang w:val="fr-BE"/>
              </w:rPr>
            </w:pPr>
          </w:p>
        </w:tc>
        <w:tc>
          <w:tcPr>
            <w:tcW w:w="0" w:type="auto"/>
            <w:shd w:val="clear" w:color="auto" w:fill="auto"/>
          </w:tcPr>
          <w:p w14:paraId="753A9990" w14:textId="77777777" w:rsidR="008C5CFA" w:rsidRPr="00BA47B4" w:rsidRDefault="008C5CFA" w:rsidP="00300A01">
            <w:pPr>
              <w:spacing w:before="0" w:after="0"/>
              <w:jc w:val="right"/>
              <w:rPr>
                <w:sz w:val="12"/>
                <w:szCs w:val="12"/>
                <w:lang w:val="fr-BE"/>
              </w:rPr>
            </w:pPr>
          </w:p>
        </w:tc>
        <w:tc>
          <w:tcPr>
            <w:tcW w:w="0" w:type="auto"/>
            <w:shd w:val="clear" w:color="auto" w:fill="auto"/>
          </w:tcPr>
          <w:p w14:paraId="6422222C" w14:textId="77777777" w:rsidR="008C5CFA" w:rsidRPr="00BA47B4" w:rsidRDefault="008C5CFA" w:rsidP="00300A01">
            <w:pPr>
              <w:spacing w:before="0" w:after="0"/>
              <w:jc w:val="right"/>
              <w:rPr>
                <w:sz w:val="12"/>
                <w:szCs w:val="12"/>
                <w:lang w:val="fr-BE"/>
              </w:rPr>
            </w:pPr>
          </w:p>
        </w:tc>
        <w:tc>
          <w:tcPr>
            <w:tcW w:w="0" w:type="auto"/>
            <w:shd w:val="clear" w:color="auto" w:fill="auto"/>
          </w:tcPr>
          <w:p w14:paraId="0C85CB61" w14:textId="77777777" w:rsidR="008C5CFA" w:rsidRPr="00BA47B4" w:rsidRDefault="00E82A60" w:rsidP="00300A01">
            <w:pPr>
              <w:spacing w:before="0" w:after="0"/>
              <w:jc w:val="right"/>
              <w:rPr>
                <w:sz w:val="12"/>
                <w:szCs w:val="12"/>
                <w:lang w:val="fr-BE"/>
              </w:rPr>
            </w:pPr>
            <w:r w:rsidRPr="00BA47B4">
              <w:rPr>
                <w:noProof/>
                <w:sz w:val="12"/>
                <w:szCs w:val="12"/>
                <w:lang w:val="fr-BE"/>
              </w:rPr>
              <w:t>1,00</w:t>
            </w:r>
          </w:p>
        </w:tc>
        <w:tc>
          <w:tcPr>
            <w:tcW w:w="0" w:type="auto"/>
            <w:shd w:val="clear" w:color="auto" w:fill="auto"/>
          </w:tcPr>
          <w:p w14:paraId="03D7F01B" w14:textId="77777777" w:rsidR="008C5CFA" w:rsidRPr="00BA47B4" w:rsidRDefault="008C5CFA" w:rsidP="00300A01">
            <w:pPr>
              <w:spacing w:before="0" w:after="0"/>
              <w:jc w:val="right"/>
              <w:rPr>
                <w:sz w:val="12"/>
                <w:szCs w:val="12"/>
                <w:lang w:val="fr-BE"/>
              </w:rPr>
            </w:pPr>
          </w:p>
        </w:tc>
        <w:tc>
          <w:tcPr>
            <w:tcW w:w="0" w:type="auto"/>
            <w:shd w:val="clear" w:color="auto" w:fill="auto"/>
          </w:tcPr>
          <w:p w14:paraId="0E22E134" w14:textId="77777777" w:rsidR="008C5CFA" w:rsidRPr="00BA47B4" w:rsidRDefault="008C5CFA" w:rsidP="00300A01">
            <w:pPr>
              <w:spacing w:before="0" w:after="0"/>
              <w:jc w:val="right"/>
              <w:rPr>
                <w:sz w:val="12"/>
                <w:szCs w:val="12"/>
                <w:lang w:val="fr-BE"/>
              </w:rPr>
            </w:pPr>
          </w:p>
        </w:tc>
        <w:tc>
          <w:tcPr>
            <w:tcW w:w="0" w:type="auto"/>
            <w:shd w:val="clear" w:color="auto" w:fill="auto"/>
          </w:tcPr>
          <w:p w14:paraId="6B262D81" w14:textId="77777777" w:rsidR="008C5CFA" w:rsidRPr="00BA47B4" w:rsidRDefault="008C5CFA" w:rsidP="00300A01">
            <w:pPr>
              <w:spacing w:before="0" w:after="0"/>
              <w:jc w:val="right"/>
              <w:rPr>
                <w:sz w:val="12"/>
                <w:szCs w:val="12"/>
                <w:lang w:val="fr-BE"/>
              </w:rPr>
            </w:pPr>
          </w:p>
        </w:tc>
        <w:tc>
          <w:tcPr>
            <w:tcW w:w="0" w:type="auto"/>
            <w:shd w:val="clear" w:color="auto" w:fill="auto"/>
          </w:tcPr>
          <w:p w14:paraId="32AC8EBF" w14:textId="77777777" w:rsidR="008C5CFA" w:rsidRPr="00BA47B4" w:rsidRDefault="008C5CFA" w:rsidP="00300A01">
            <w:pPr>
              <w:spacing w:before="0" w:after="0"/>
              <w:jc w:val="right"/>
              <w:rPr>
                <w:sz w:val="12"/>
                <w:szCs w:val="12"/>
                <w:lang w:val="fr-BE"/>
              </w:rPr>
            </w:pPr>
          </w:p>
        </w:tc>
        <w:tc>
          <w:tcPr>
            <w:tcW w:w="0" w:type="auto"/>
            <w:shd w:val="clear" w:color="auto" w:fill="auto"/>
          </w:tcPr>
          <w:p w14:paraId="20ED09FC" w14:textId="77777777" w:rsidR="008C5CFA" w:rsidRPr="00BA47B4" w:rsidRDefault="008C5CFA" w:rsidP="00300A01">
            <w:pPr>
              <w:spacing w:before="0" w:after="0"/>
              <w:jc w:val="right"/>
              <w:rPr>
                <w:sz w:val="12"/>
                <w:szCs w:val="12"/>
                <w:lang w:val="fr-BE"/>
              </w:rPr>
            </w:pPr>
          </w:p>
        </w:tc>
        <w:tc>
          <w:tcPr>
            <w:tcW w:w="0" w:type="auto"/>
          </w:tcPr>
          <w:p w14:paraId="40A4BECC"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14:paraId="0B385F12" w14:textId="77777777" w:rsidR="008C5CFA" w:rsidRPr="00A92B39" w:rsidRDefault="008C5CFA" w:rsidP="00300A01">
            <w:pPr>
              <w:spacing w:before="0" w:after="0"/>
              <w:jc w:val="right"/>
              <w:rPr>
                <w:sz w:val="10"/>
                <w:szCs w:val="10"/>
                <w:lang w:val="fr-BE"/>
              </w:rPr>
            </w:pPr>
          </w:p>
        </w:tc>
        <w:tc>
          <w:tcPr>
            <w:tcW w:w="0" w:type="auto"/>
            <w:shd w:val="clear" w:color="auto" w:fill="auto"/>
          </w:tcPr>
          <w:p w14:paraId="0CA3E98B" w14:textId="77777777" w:rsidR="008C5CFA" w:rsidRPr="00BA47B4" w:rsidRDefault="008C5CFA" w:rsidP="00300A01">
            <w:pPr>
              <w:spacing w:before="0" w:after="0"/>
              <w:jc w:val="right"/>
              <w:rPr>
                <w:sz w:val="12"/>
                <w:szCs w:val="12"/>
                <w:lang w:val="fr-BE"/>
              </w:rPr>
            </w:pPr>
          </w:p>
        </w:tc>
      </w:tr>
      <w:tr w:rsidR="006B2EC1" w14:paraId="073F0D34" w14:textId="77777777" w:rsidTr="0047688D">
        <w:tc>
          <w:tcPr>
            <w:tcW w:w="0" w:type="auto"/>
            <w:shd w:val="clear" w:color="auto" w:fill="auto"/>
          </w:tcPr>
          <w:p w14:paraId="37775A40" w14:textId="77777777" w:rsidR="008C5CFA" w:rsidRPr="00BA47B4" w:rsidRDefault="00E82A60" w:rsidP="00300A01">
            <w:pPr>
              <w:spacing w:before="0" w:after="0"/>
              <w:rPr>
                <w:sz w:val="12"/>
                <w:szCs w:val="12"/>
                <w:lang w:val="fr-BE"/>
              </w:rPr>
            </w:pPr>
            <w:r>
              <w:rPr>
                <w:noProof/>
                <w:sz w:val="12"/>
                <w:szCs w:val="12"/>
                <w:lang w:val="fr-BE"/>
              </w:rPr>
              <w:t>CO23</w:t>
            </w:r>
          </w:p>
        </w:tc>
        <w:tc>
          <w:tcPr>
            <w:tcW w:w="0" w:type="auto"/>
            <w:shd w:val="clear" w:color="auto" w:fill="auto"/>
          </w:tcPr>
          <w:p w14:paraId="78CE1A18" w14:textId="77777777" w:rsidR="008C5CFA" w:rsidRPr="00BA47B4" w:rsidRDefault="00E82A60" w:rsidP="00300A01">
            <w:pPr>
              <w:spacing w:before="0" w:after="0"/>
              <w:rPr>
                <w:sz w:val="12"/>
                <w:szCs w:val="12"/>
                <w:lang w:val="fr-BE"/>
              </w:rPr>
            </w:pPr>
            <w:r>
              <w:rPr>
                <w:noProof/>
                <w:sz w:val="12"/>
                <w:szCs w:val="12"/>
                <w:lang w:val="fr-BE"/>
              </w:rPr>
              <w:t>liczba objętych wsparciem mikro-, małych i średnich przedsiębiorstw (w tym przedsiębiorstw spółdzielczych i przedsiębiorstw gospodarki społecznej)</w:t>
            </w:r>
          </w:p>
        </w:tc>
        <w:tc>
          <w:tcPr>
            <w:tcW w:w="0" w:type="auto"/>
            <w:shd w:val="clear" w:color="auto" w:fill="auto"/>
          </w:tcPr>
          <w:p w14:paraId="15CC0A8D" w14:textId="77777777" w:rsidR="008C5CFA" w:rsidRPr="00BA47B4" w:rsidRDefault="00E82A60" w:rsidP="00300A01">
            <w:pPr>
              <w:spacing w:before="0" w:after="0"/>
              <w:rPr>
                <w:sz w:val="12"/>
                <w:szCs w:val="12"/>
                <w:lang w:val="fr-BE"/>
              </w:rPr>
            </w:pPr>
            <w:r w:rsidRPr="00601E29">
              <w:rPr>
                <w:noProof/>
                <w:sz w:val="10"/>
                <w:szCs w:val="10"/>
                <w:lang w:val="fr-BE"/>
              </w:rPr>
              <w:t>Słabiej rozwinięte</w:t>
            </w:r>
          </w:p>
        </w:tc>
        <w:tc>
          <w:tcPr>
            <w:tcW w:w="0" w:type="auto"/>
            <w:shd w:val="clear" w:color="auto" w:fill="auto"/>
          </w:tcPr>
          <w:p w14:paraId="4FBD7234" w14:textId="77777777" w:rsidR="008C5CFA" w:rsidRPr="00BA47B4" w:rsidRDefault="008C5CFA" w:rsidP="00300A01">
            <w:pPr>
              <w:spacing w:before="0" w:after="0"/>
              <w:jc w:val="right"/>
              <w:rPr>
                <w:sz w:val="12"/>
                <w:szCs w:val="12"/>
                <w:lang w:val="fr-BE"/>
              </w:rPr>
            </w:pPr>
          </w:p>
        </w:tc>
        <w:tc>
          <w:tcPr>
            <w:tcW w:w="0" w:type="auto"/>
            <w:shd w:val="clear" w:color="auto" w:fill="auto"/>
          </w:tcPr>
          <w:p w14:paraId="31D30A76" w14:textId="77777777" w:rsidR="008C5CFA" w:rsidRPr="00BA47B4" w:rsidRDefault="008C5CFA" w:rsidP="00300A01">
            <w:pPr>
              <w:spacing w:before="0" w:after="0"/>
              <w:jc w:val="right"/>
              <w:rPr>
                <w:sz w:val="12"/>
                <w:szCs w:val="12"/>
                <w:lang w:val="fr-BE"/>
              </w:rPr>
            </w:pPr>
          </w:p>
        </w:tc>
        <w:tc>
          <w:tcPr>
            <w:tcW w:w="0" w:type="auto"/>
            <w:shd w:val="clear" w:color="auto" w:fill="auto"/>
          </w:tcPr>
          <w:p w14:paraId="084514FB" w14:textId="77777777" w:rsidR="008C5CFA" w:rsidRPr="00BA47B4" w:rsidRDefault="008C5CFA" w:rsidP="00300A01">
            <w:pPr>
              <w:spacing w:before="0" w:after="0"/>
              <w:jc w:val="right"/>
              <w:rPr>
                <w:sz w:val="12"/>
                <w:szCs w:val="12"/>
                <w:lang w:val="fr-BE"/>
              </w:rPr>
            </w:pPr>
          </w:p>
        </w:tc>
        <w:tc>
          <w:tcPr>
            <w:tcW w:w="0" w:type="auto"/>
            <w:shd w:val="clear" w:color="auto" w:fill="auto"/>
          </w:tcPr>
          <w:p w14:paraId="5D4298EE" w14:textId="77777777" w:rsidR="008C5CFA" w:rsidRPr="00BA47B4" w:rsidRDefault="00E82A60"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14:paraId="5EF1C1B1" w14:textId="77777777" w:rsidR="008C5CFA" w:rsidRPr="00BA47B4" w:rsidRDefault="008C5CFA" w:rsidP="00300A01">
            <w:pPr>
              <w:spacing w:before="0" w:after="0"/>
              <w:jc w:val="right"/>
              <w:rPr>
                <w:sz w:val="12"/>
                <w:szCs w:val="12"/>
                <w:lang w:val="fr-BE"/>
              </w:rPr>
            </w:pPr>
          </w:p>
        </w:tc>
        <w:tc>
          <w:tcPr>
            <w:tcW w:w="0" w:type="auto"/>
            <w:shd w:val="clear" w:color="auto" w:fill="auto"/>
          </w:tcPr>
          <w:p w14:paraId="7BA09E54" w14:textId="77777777" w:rsidR="008C5CFA" w:rsidRPr="00BA47B4" w:rsidRDefault="008C5CFA" w:rsidP="00300A01">
            <w:pPr>
              <w:spacing w:before="0" w:after="0"/>
              <w:jc w:val="right"/>
              <w:rPr>
                <w:sz w:val="12"/>
                <w:szCs w:val="12"/>
                <w:lang w:val="fr-BE"/>
              </w:rPr>
            </w:pPr>
          </w:p>
        </w:tc>
        <w:tc>
          <w:tcPr>
            <w:tcW w:w="0" w:type="auto"/>
            <w:shd w:val="clear" w:color="auto" w:fill="auto"/>
          </w:tcPr>
          <w:p w14:paraId="5BE70675" w14:textId="77777777" w:rsidR="008C5CFA" w:rsidRPr="00BA47B4" w:rsidRDefault="008C5CFA" w:rsidP="00300A01">
            <w:pPr>
              <w:spacing w:before="0" w:after="0"/>
              <w:jc w:val="right"/>
              <w:rPr>
                <w:sz w:val="12"/>
                <w:szCs w:val="12"/>
                <w:lang w:val="fr-BE"/>
              </w:rPr>
            </w:pPr>
          </w:p>
        </w:tc>
        <w:tc>
          <w:tcPr>
            <w:tcW w:w="0" w:type="auto"/>
            <w:shd w:val="clear" w:color="auto" w:fill="auto"/>
          </w:tcPr>
          <w:p w14:paraId="48EF9FC7" w14:textId="77777777" w:rsidR="008C5CFA" w:rsidRPr="00BA47B4" w:rsidRDefault="008C5CFA" w:rsidP="00300A01">
            <w:pPr>
              <w:spacing w:before="0" w:after="0"/>
              <w:jc w:val="right"/>
              <w:rPr>
                <w:sz w:val="12"/>
                <w:szCs w:val="12"/>
                <w:lang w:val="fr-BE"/>
              </w:rPr>
            </w:pPr>
          </w:p>
        </w:tc>
        <w:tc>
          <w:tcPr>
            <w:tcW w:w="0" w:type="auto"/>
            <w:shd w:val="clear" w:color="auto" w:fill="auto"/>
          </w:tcPr>
          <w:p w14:paraId="2BD17700" w14:textId="77777777" w:rsidR="008C5CFA" w:rsidRPr="00BA47B4" w:rsidRDefault="008C5CFA" w:rsidP="00300A01">
            <w:pPr>
              <w:spacing w:before="0" w:after="0"/>
              <w:jc w:val="right"/>
              <w:rPr>
                <w:sz w:val="12"/>
                <w:szCs w:val="12"/>
                <w:lang w:val="fr-BE"/>
              </w:rPr>
            </w:pPr>
          </w:p>
        </w:tc>
        <w:tc>
          <w:tcPr>
            <w:tcW w:w="0" w:type="auto"/>
          </w:tcPr>
          <w:p w14:paraId="1DCF0F72"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14:paraId="2B905717" w14:textId="77777777" w:rsidR="008C5CFA" w:rsidRPr="00A92B39" w:rsidRDefault="008C5CFA" w:rsidP="00300A01">
            <w:pPr>
              <w:spacing w:before="0" w:after="0"/>
              <w:jc w:val="right"/>
              <w:rPr>
                <w:sz w:val="10"/>
                <w:szCs w:val="10"/>
                <w:lang w:val="fr-BE"/>
              </w:rPr>
            </w:pPr>
          </w:p>
        </w:tc>
        <w:tc>
          <w:tcPr>
            <w:tcW w:w="0" w:type="auto"/>
            <w:shd w:val="clear" w:color="auto" w:fill="auto"/>
          </w:tcPr>
          <w:p w14:paraId="5B69DC8E" w14:textId="77777777" w:rsidR="008C5CFA" w:rsidRPr="00BA47B4" w:rsidRDefault="008C5CFA" w:rsidP="00300A01">
            <w:pPr>
              <w:spacing w:before="0" w:after="0"/>
              <w:jc w:val="right"/>
              <w:rPr>
                <w:sz w:val="12"/>
                <w:szCs w:val="12"/>
                <w:lang w:val="fr-BE"/>
              </w:rPr>
            </w:pPr>
          </w:p>
        </w:tc>
      </w:tr>
      <w:tr w:rsidR="006B2EC1" w14:paraId="5968AE20" w14:textId="77777777" w:rsidTr="0047688D">
        <w:tc>
          <w:tcPr>
            <w:tcW w:w="0" w:type="auto"/>
            <w:shd w:val="clear" w:color="auto" w:fill="auto"/>
          </w:tcPr>
          <w:p w14:paraId="18EA40A9" w14:textId="77777777" w:rsidR="008C5CFA" w:rsidRPr="00BA47B4" w:rsidRDefault="008C5CFA" w:rsidP="00300A01">
            <w:pPr>
              <w:spacing w:before="0" w:after="0"/>
              <w:rPr>
                <w:sz w:val="12"/>
                <w:szCs w:val="12"/>
                <w:lang w:val="fr-BE"/>
              </w:rPr>
            </w:pPr>
          </w:p>
        </w:tc>
        <w:tc>
          <w:tcPr>
            <w:tcW w:w="0" w:type="auto"/>
            <w:shd w:val="clear" w:color="auto" w:fill="auto"/>
          </w:tcPr>
          <w:p w14:paraId="6DBF52C8" w14:textId="77777777" w:rsidR="008C5CFA" w:rsidRPr="00BA47B4" w:rsidRDefault="00E82A60" w:rsidP="00300A01">
            <w:pPr>
              <w:spacing w:before="0" w:after="0"/>
              <w:rPr>
                <w:sz w:val="12"/>
                <w:szCs w:val="12"/>
                <w:lang w:val="fr-BE"/>
              </w:rPr>
            </w:pPr>
            <w:r>
              <w:rPr>
                <w:noProof/>
                <w:sz w:val="12"/>
                <w:szCs w:val="12"/>
                <w:lang w:val="fr-BE"/>
              </w:rPr>
              <w:t>Całkowita łączna liczba uczestników</w:t>
            </w:r>
          </w:p>
        </w:tc>
        <w:tc>
          <w:tcPr>
            <w:tcW w:w="0" w:type="auto"/>
            <w:shd w:val="clear" w:color="auto" w:fill="auto"/>
          </w:tcPr>
          <w:p w14:paraId="5FD7B61E" w14:textId="77777777" w:rsidR="008C5CFA" w:rsidRPr="00BA47B4" w:rsidRDefault="008C5CFA" w:rsidP="00300A01">
            <w:pPr>
              <w:spacing w:before="0" w:after="0"/>
              <w:rPr>
                <w:sz w:val="12"/>
                <w:szCs w:val="12"/>
                <w:lang w:val="fr-BE"/>
              </w:rPr>
            </w:pPr>
          </w:p>
        </w:tc>
        <w:tc>
          <w:tcPr>
            <w:tcW w:w="0" w:type="auto"/>
            <w:shd w:val="clear" w:color="auto" w:fill="auto"/>
          </w:tcPr>
          <w:p w14:paraId="717299A7" w14:textId="77777777" w:rsidR="008C5CFA" w:rsidRPr="00BA47B4" w:rsidRDefault="008C5CFA" w:rsidP="00300A01">
            <w:pPr>
              <w:spacing w:before="0" w:after="0"/>
              <w:jc w:val="right"/>
              <w:rPr>
                <w:sz w:val="12"/>
                <w:szCs w:val="12"/>
                <w:lang w:val="fr-BE"/>
              </w:rPr>
            </w:pPr>
          </w:p>
        </w:tc>
        <w:tc>
          <w:tcPr>
            <w:tcW w:w="0" w:type="auto"/>
            <w:shd w:val="clear" w:color="auto" w:fill="auto"/>
          </w:tcPr>
          <w:p w14:paraId="547D8611" w14:textId="77777777" w:rsidR="008C5CFA" w:rsidRPr="00BA47B4" w:rsidRDefault="008C5CFA" w:rsidP="00300A01">
            <w:pPr>
              <w:spacing w:before="0" w:after="0"/>
              <w:jc w:val="right"/>
              <w:rPr>
                <w:sz w:val="12"/>
                <w:szCs w:val="12"/>
                <w:lang w:val="fr-BE"/>
              </w:rPr>
            </w:pPr>
          </w:p>
        </w:tc>
        <w:tc>
          <w:tcPr>
            <w:tcW w:w="0" w:type="auto"/>
            <w:shd w:val="clear" w:color="auto" w:fill="auto"/>
          </w:tcPr>
          <w:p w14:paraId="6E8D1151" w14:textId="77777777" w:rsidR="008C5CFA" w:rsidRPr="00BA47B4" w:rsidRDefault="008C5CFA" w:rsidP="00300A01">
            <w:pPr>
              <w:spacing w:before="0" w:after="0"/>
              <w:jc w:val="right"/>
              <w:rPr>
                <w:sz w:val="12"/>
                <w:szCs w:val="12"/>
                <w:lang w:val="fr-BE"/>
              </w:rPr>
            </w:pPr>
          </w:p>
        </w:tc>
        <w:tc>
          <w:tcPr>
            <w:tcW w:w="0" w:type="auto"/>
            <w:shd w:val="clear" w:color="auto" w:fill="auto"/>
          </w:tcPr>
          <w:p w14:paraId="34DE33C8" w14:textId="77777777" w:rsidR="008C5CFA" w:rsidRPr="00BA47B4" w:rsidRDefault="00E82A60" w:rsidP="00300A01">
            <w:pPr>
              <w:spacing w:before="0" w:after="0"/>
              <w:jc w:val="right"/>
              <w:rPr>
                <w:sz w:val="12"/>
                <w:szCs w:val="12"/>
                <w:lang w:val="fr-BE"/>
              </w:rPr>
            </w:pPr>
            <w:r w:rsidRPr="00BA47B4">
              <w:rPr>
                <w:noProof/>
                <w:sz w:val="12"/>
                <w:szCs w:val="12"/>
                <w:lang w:val="fr-BE"/>
              </w:rPr>
              <w:t>2 101,00</w:t>
            </w:r>
          </w:p>
        </w:tc>
        <w:tc>
          <w:tcPr>
            <w:tcW w:w="0" w:type="auto"/>
            <w:shd w:val="clear" w:color="auto" w:fill="auto"/>
          </w:tcPr>
          <w:p w14:paraId="4B75541A" w14:textId="77777777" w:rsidR="008C5CFA" w:rsidRPr="00BA47B4" w:rsidRDefault="008C5CFA" w:rsidP="00300A01">
            <w:pPr>
              <w:spacing w:before="0" w:after="0"/>
              <w:jc w:val="right"/>
              <w:rPr>
                <w:sz w:val="12"/>
                <w:szCs w:val="12"/>
                <w:lang w:val="fr-BE"/>
              </w:rPr>
            </w:pPr>
          </w:p>
        </w:tc>
        <w:tc>
          <w:tcPr>
            <w:tcW w:w="0" w:type="auto"/>
            <w:shd w:val="clear" w:color="auto" w:fill="auto"/>
          </w:tcPr>
          <w:p w14:paraId="6F28381E" w14:textId="77777777" w:rsidR="008C5CFA" w:rsidRPr="00BA47B4" w:rsidRDefault="008C5CFA" w:rsidP="00300A01">
            <w:pPr>
              <w:spacing w:before="0" w:after="0"/>
              <w:jc w:val="right"/>
              <w:rPr>
                <w:sz w:val="12"/>
                <w:szCs w:val="12"/>
                <w:lang w:val="fr-BE"/>
              </w:rPr>
            </w:pPr>
          </w:p>
        </w:tc>
        <w:tc>
          <w:tcPr>
            <w:tcW w:w="0" w:type="auto"/>
            <w:shd w:val="clear" w:color="auto" w:fill="auto"/>
          </w:tcPr>
          <w:p w14:paraId="74FDCC75" w14:textId="77777777" w:rsidR="008C5CFA" w:rsidRPr="00BA47B4" w:rsidRDefault="008C5CFA" w:rsidP="00300A01">
            <w:pPr>
              <w:spacing w:before="0" w:after="0"/>
              <w:jc w:val="right"/>
              <w:rPr>
                <w:sz w:val="12"/>
                <w:szCs w:val="12"/>
                <w:lang w:val="fr-BE"/>
              </w:rPr>
            </w:pPr>
          </w:p>
        </w:tc>
        <w:tc>
          <w:tcPr>
            <w:tcW w:w="0" w:type="auto"/>
            <w:shd w:val="clear" w:color="auto" w:fill="auto"/>
          </w:tcPr>
          <w:p w14:paraId="4799A48E" w14:textId="77777777" w:rsidR="008C5CFA" w:rsidRPr="00BA47B4" w:rsidRDefault="008C5CFA" w:rsidP="00300A01">
            <w:pPr>
              <w:spacing w:before="0" w:after="0"/>
              <w:jc w:val="right"/>
              <w:rPr>
                <w:sz w:val="12"/>
                <w:szCs w:val="12"/>
                <w:lang w:val="fr-BE"/>
              </w:rPr>
            </w:pPr>
          </w:p>
        </w:tc>
        <w:tc>
          <w:tcPr>
            <w:tcW w:w="0" w:type="auto"/>
            <w:shd w:val="clear" w:color="auto" w:fill="auto"/>
          </w:tcPr>
          <w:p w14:paraId="6C4AC5C2" w14:textId="77777777" w:rsidR="008C5CFA" w:rsidRPr="00BA47B4" w:rsidRDefault="008C5CFA" w:rsidP="00300A01">
            <w:pPr>
              <w:spacing w:before="0" w:after="0"/>
              <w:jc w:val="right"/>
              <w:rPr>
                <w:sz w:val="12"/>
                <w:szCs w:val="12"/>
                <w:lang w:val="fr-BE"/>
              </w:rPr>
            </w:pPr>
          </w:p>
        </w:tc>
        <w:tc>
          <w:tcPr>
            <w:tcW w:w="0" w:type="auto"/>
          </w:tcPr>
          <w:p w14:paraId="0B918C14" w14:textId="77777777" w:rsidR="008C5CFA" w:rsidRPr="00A92B39" w:rsidRDefault="00E82A60" w:rsidP="00300A01">
            <w:pPr>
              <w:spacing w:before="0" w:after="0"/>
              <w:jc w:val="right"/>
              <w:rPr>
                <w:sz w:val="10"/>
                <w:szCs w:val="10"/>
                <w:lang w:val="fr-BE"/>
              </w:rPr>
            </w:pPr>
            <w:r w:rsidRPr="00A92B39">
              <w:rPr>
                <w:noProof/>
                <w:sz w:val="10"/>
                <w:szCs w:val="10"/>
                <w:lang w:val="fr-BE"/>
              </w:rPr>
              <w:t>361,00</w:t>
            </w:r>
          </w:p>
        </w:tc>
        <w:tc>
          <w:tcPr>
            <w:tcW w:w="0" w:type="auto"/>
            <w:shd w:val="clear" w:color="auto" w:fill="auto"/>
          </w:tcPr>
          <w:p w14:paraId="69B7A49E" w14:textId="77777777" w:rsidR="008C5CFA" w:rsidRPr="00A92B39" w:rsidRDefault="008C5CFA" w:rsidP="00300A01">
            <w:pPr>
              <w:spacing w:before="0" w:after="0"/>
              <w:jc w:val="right"/>
              <w:rPr>
                <w:sz w:val="10"/>
                <w:szCs w:val="10"/>
                <w:lang w:val="fr-BE"/>
              </w:rPr>
            </w:pPr>
          </w:p>
        </w:tc>
        <w:tc>
          <w:tcPr>
            <w:tcW w:w="0" w:type="auto"/>
            <w:shd w:val="clear" w:color="auto" w:fill="auto"/>
          </w:tcPr>
          <w:p w14:paraId="45333AEF" w14:textId="77777777" w:rsidR="008C5CFA" w:rsidRPr="00BA47B4" w:rsidRDefault="008C5CFA" w:rsidP="00300A01">
            <w:pPr>
              <w:spacing w:before="0" w:after="0"/>
              <w:jc w:val="right"/>
              <w:rPr>
                <w:sz w:val="12"/>
                <w:szCs w:val="12"/>
                <w:lang w:val="fr-BE"/>
              </w:rPr>
            </w:pPr>
          </w:p>
        </w:tc>
      </w:tr>
    </w:tbl>
    <w:p w14:paraId="1FECF085"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52"/>
        <w:gridCol w:w="7887"/>
        <w:gridCol w:w="1349"/>
        <w:gridCol w:w="561"/>
        <w:gridCol w:w="710"/>
        <w:gridCol w:w="561"/>
        <w:gridCol w:w="561"/>
        <w:gridCol w:w="710"/>
        <w:gridCol w:w="561"/>
        <w:gridCol w:w="561"/>
        <w:gridCol w:w="710"/>
        <w:gridCol w:w="561"/>
      </w:tblGrid>
      <w:tr w:rsidR="006B2EC1" w14:paraId="3ECCB68F" w14:textId="77777777" w:rsidTr="0047688D">
        <w:tc>
          <w:tcPr>
            <w:tcW w:w="0" w:type="auto"/>
            <w:shd w:val="clear" w:color="auto" w:fill="auto"/>
          </w:tcPr>
          <w:p w14:paraId="5FD3F18F" w14:textId="77777777" w:rsidR="008C5CFA" w:rsidRPr="001C4484" w:rsidRDefault="00E82A60" w:rsidP="00300A01">
            <w:pPr>
              <w:spacing w:before="0" w:after="0"/>
              <w:rPr>
                <w:sz w:val="10"/>
                <w:szCs w:val="10"/>
              </w:rPr>
            </w:pPr>
            <w:r w:rsidRPr="001C4484">
              <w:rPr>
                <w:b/>
                <w:noProof/>
                <w:sz w:val="12"/>
                <w:szCs w:val="12"/>
                <w:lang w:val="fr-BE"/>
              </w:rPr>
              <w:t>ID</w:t>
            </w:r>
          </w:p>
        </w:tc>
        <w:tc>
          <w:tcPr>
            <w:tcW w:w="0" w:type="auto"/>
            <w:shd w:val="clear" w:color="auto" w:fill="auto"/>
          </w:tcPr>
          <w:p w14:paraId="60E6F395" w14:textId="77777777" w:rsidR="008C5CFA" w:rsidRPr="001C4484" w:rsidRDefault="00E82A60" w:rsidP="00300A01">
            <w:pPr>
              <w:spacing w:before="0" w:after="0"/>
              <w:rPr>
                <w:sz w:val="10"/>
                <w:szCs w:val="10"/>
              </w:rPr>
            </w:pPr>
            <w:r w:rsidRPr="001C4484">
              <w:rPr>
                <w:b/>
                <w:noProof/>
                <w:sz w:val="12"/>
                <w:szCs w:val="12"/>
                <w:lang w:val="fr-BE"/>
              </w:rPr>
              <w:t>Wskaźnik</w:t>
            </w:r>
          </w:p>
        </w:tc>
        <w:tc>
          <w:tcPr>
            <w:tcW w:w="0" w:type="auto"/>
            <w:shd w:val="clear" w:color="auto" w:fill="auto"/>
          </w:tcPr>
          <w:p w14:paraId="171B85E8" w14:textId="77777777" w:rsidR="008C5CFA" w:rsidRPr="001C4484" w:rsidRDefault="00E82A60" w:rsidP="00300A01">
            <w:pPr>
              <w:spacing w:before="0" w:after="0"/>
              <w:rPr>
                <w:sz w:val="10"/>
                <w:szCs w:val="10"/>
              </w:rPr>
            </w:pPr>
            <w:r w:rsidRPr="001C4484">
              <w:rPr>
                <w:b/>
                <w:noProof/>
                <w:sz w:val="12"/>
                <w:szCs w:val="12"/>
                <w:lang w:val="fr-BE"/>
              </w:rPr>
              <w:t>Kategoria regionu</w:t>
            </w:r>
          </w:p>
        </w:tc>
        <w:tc>
          <w:tcPr>
            <w:tcW w:w="0" w:type="auto"/>
            <w:gridSpan w:val="3"/>
          </w:tcPr>
          <w:p w14:paraId="15ECC28A" w14:textId="77777777" w:rsidR="008C5CFA" w:rsidRPr="001C4484" w:rsidRDefault="00E82A60" w:rsidP="00300A01">
            <w:pPr>
              <w:spacing w:before="0" w:after="0"/>
              <w:jc w:val="center"/>
              <w:rPr>
                <w:sz w:val="10"/>
                <w:szCs w:val="10"/>
              </w:rPr>
            </w:pPr>
            <w:r w:rsidRPr="001C4484">
              <w:rPr>
                <w:sz w:val="10"/>
                <w:szCs w:val="10"/>
              </w:rPr>
              <w:t>2018</w:t>
            </w:r>
          </w:p>
        </w:tc>
        <w:tc>
          <w:tcPr>
            <w:tcW w:w="0" w:type="auto"/>
            <w:gridSpan w:val="3"/>
          </w:tcPr>
          <w:p w14:paraId="36EFF6E2" w14:textId="77777777" w:rsidR="008C5CFA" w:rsidRPr="001C4484" w:rsidRDefault="00E82A60" w:rsidP="00300A01">
            <w:pPr>
              <w:spacing w:before="0" w:after="0"/>
              <w:jc w:val="center"/>
              <w:rPr>
                <w:sz w:val="10"/>
                <w:szCs w:val="10"/>
              </w:rPr>
            </w:pPr>
            <w:r w:rsidRPr="001C4484">
              <w:rPr>
                <w:sz w:val="10"/>
                <w:szCs w:val="10"/>
              </w:rPr>
              <w:t>2017</w:t>
            </w:r>
          </w:p>
        </w:tc>
        <w:tc>
          <w:tcPr>
            <w:tcW w:w="0" w:type="auto"/>
            <w:gridSpan w:val="3"/>
          </w:tcPr>
          <w:p w14:paraId="2EDF1245" w14:textId="77777777" w:rsidR="008C5CFA" w:rsidRPr="001C4484" w:rsidRDefault="00E82A60" w:rsidP="00300A01">
            <w:pPr>
              <w:spacing w:before="0" w:after="0"/>
              <w:jc w:val="center"/>
              <w:rPr>
                <w:sz w:val="10"/>
                <w:szCs w:val="10"/>
              </w:rPr>
            </w:pPr>
            <w:r w:rsidRPr="001C4484">
              <w:rPr>
                <w:sz w:val="10"/>
                <w:szCs w:val="10"/>
              </w:rPr>
              <w:t>2016</w:t>
            </w:r>
          </w:p>
        </w:tc>
      </w:tr>
      <w:tr w:rsidR="006B2EC1" w14:paraId="51B60229" w14:textId="77777777" w:rsidTr="0047688D">
        <w:tc>
          <w:tcPr>
            <w:tcW w:w="0" w:type="auto"/>
            <w:shd w:val="clear" w:color="auto" w:fill="auto"/>
          </w:tcPr>
          <w:p w14:paraId="4E846F74" w14:textId="77777777" w:rsidR="008C5CFA" w:rsidRPr="001C4484" w:rsidRDefault="008C5CFA" w:rsidP="00300A01">
            <w:pPr>
              <w:spacing w:before="0" w:after="0"/>
              <w:rPr>
                <w:sz w:val="10"/>
                <w:szCs w:val="10"/>
              </w:rPr>
            </w:pPr>
          </w:p>
        </w:tc>
        <w:tc>
          <w:tcPr>
            <w:tcW w:w="0" w:type="auto"/>
            <w:shd w:val="clear" w:color="auto" w:fill="auto"/>
          </w:tcPr>
          <w:p w14:paraId="49B4975F" w14:textId="77777777" w:rsidR="008C5CFA" w:rsidRPr="001C4484" w:rsidRDefault="008C5CFA" w:rsidP="00300A01">
            <w:pPr>
              <w:spacing w:before="0" w:after="0"/>
              <w:rPr>
                <w:sz w:val="10"/>
                <w:szCs w:val="10"/>
              </w:rPr>
            </w:pPr>
          </w:p>
        </w:tc>
        <w:tc>
          <w:tcPr>
            <w:tcW w:w="0" w:type="auto"/>
            <w:shd w:val="clear" w:color="auto" w:fill="auto"/>
          </w:tcPr>
          <w:p w14:paraId="301FF65F" w14:textId="77777777" w:rsidR="008C5CFA" w:rsidRPr="001C4484" w:rsidRDefault="008C5CFA" w:rsidP="00300A01">
            <w:pPr>
              <w:spacing w:before="0" w:after="0"/>
              <w:rPr>
                <w:sz w:val="10"/>
                <w:szCs w:val="10"/>
              </w:rPr>
            </w:pPr>
          </w:p>
        </w:tc>
        <w:tc>
          <w:tcPr>
            <w:tcW w:w="0" w:type="auto"/>
          </w:tcPr>
          <w:p w14:paraId="553B72B4" w14:textId="77777777" w:rsidR="008C5CFA" w:rsidRPr="001C4484" w:rsidRDefault="00E82A60" w:rsidP="00300A01">
            <w:pPr>
              <w:spacing w:before="0" w:after="0"/>
              <w:jc w:val="center"/>
              <w:rPr>
                <w:sz w:val="10"/>
                <w:szCs w:val="10"/>
              </w:rPr>
            </w:pPr>
            <w:r>
              <w:rPr>
                <w:noProof/>
                <w:sz w:val="10"/>
                <w:szCs w:val="10"/>
              </w:rPr>
              <w:t>Ogółem</w:t>
            </w:r>
          </w:p>
        </w:tc>
        <w:tc>
          <w:tcPr>
            <w:tcW w:w="0" w:type="auto"/>
            <w:shd w:val="clear" w:color="auto" w:fill="auto"/>
          </w:tcPr>
          <w:p w14:paraId="64AC3536" w14:textId="77777777" w:rsidR="008C5CFA" w:rsidRPr="001C4484" w:rsidRDefault="00E82A60" w:rsidP="00300A01">
            <w:pPr>
              <w:spacing w:before="0" w:after="0"/>
              <w:jc w:val="center"/>
              <w:rPr>
                <w:sz w:val="10"/>
                <w:szCs w:val="10"/>
              </w:rPr>
            </w:pPr>
            <w:r w:rsidRPr="001C4484">
              <w:rPr>
                <w:noProof/>
                <w:sz w:val="10"/>
                <w:szCs w:val="10"/>
              </w:rPr>
              <w:t>Mężczyźni</w:t>
            </w:r>
          </w:p>
        </w:tc>
        <w:tc>
          <w:tcPr>
            <w:tcW w:w="0" w:type="auto"/>
            <w:shd w:val="clear" w:color="auto" w:fill="auto"/>
          </w:tcPr>
          <w:p w14:paraId="3D823FF2" w14:textId="77777777" w:rsidR="008C5CFA" w:rsidRPr="001C4484" w:rsidRDefault="00E82A60" w:rsidP="00300A01">
            <w:pPr>
              <w:spacing w:before="0" w:after="0"/>
              <w:jc w:val="center"/>
              <w:rPr>
                <w:sz w:val="10"/>
                <w:szCs w:val="10"/>
              </w:rPr>
            </w:pPr>
            <w:r w:rsidRPr="001C4484">
              <w:rPr>
                <w:noProof/>
                <w:sz w:val="10"/>
                <w:szCs w:val="10"/>
              </w:rPr>
              <w:t>Kobiety</w:t>
            </w:r>
          </w:p>
        </w:tc>
        <w:tc>
          <w:tcPr>
            <w:tcW w:w="0" w:type="auto"/>
          </w:tcPr>
          <w:p w14:paraId="48DBECE6" w14:textId="77777777" w:rsidR="008C5CFA" w:rsidRPr="001C4484" w:rsidRDefault="00E82A60" w:rsidP="00300A01">
            <w:pPr>
              <w:spacing w:before="0" w:after="0"/>
              <w:jc w:val="center"/>
              <w:rPr>
                <w:sz w:val="10"/>
                <w:szCs w:val="10"/>
              </w:rPr>
            </w:pPr>
            <w:r>
              <w:rPr>
                <w:noProof/>
                <w:sz w:val="10"/>
                <w:szCs w:val="10"/>
              </w:rPr>
              <w:t>Ogółem</w:t>
            </w:r>
          </w:p>
        </w:tc>
        <w:tc>
          <w:tcPr>
            <w:tcW w:w="0" w:type="auto"/>
            <w:shd w:val="clear" w:color="auto" w:fill="auto"/>
          </w:tcPr>
          <w:p w14:paraId="381C000F" w14:textId="77777777" w:rsidR="008C5CFA" w:rsidRPr="001C4484" w:rsidRDefault="00E82A60" w:rsidP="00300A01">
            <w:pPr>
              <w:spacing w:before="0" w:after="0"/>
              <w:jc w:val="center"/>
              <w:rPr>
                <w:sz w:val="10"/>
                <w:szCs w:val="10"/>
              </w:rPr>
            </w:pPr>
            <w:r w:rsidRPr="001C4484">
              <w:rPr>
                <w:noProof/>
                <w:sz w:val="10"/>
                <w:szCs w:val="10"/>
              </w:rPr>
              <w:t>Mężczyźni</w:t>
            </w:r>
          </w:p>
        </w:tc>
        <w:tc>
          <w:tcPr>
            <w:tcW w:w="0" w:type="auto"/>
            <w:shd w:val="clear" w:color="auto" w:fill="auto"/>
          </w:tcPr>
          <w:p w14:paraId="253B0463" w14:textId="77777777" w:rsidR="008C5CFA" w:rsidRPr="001C4484" w:rsidRDefault="00E82A60" w:rsidP="00300A01">
            <w:pPr>
              <w:spacing w:before="0" w:after="0"/>
              <w:jc w:val="center"/>
              <w:rPr>
                <w:sz w:val="10"/>
                <w:szCs w:val="10"/>
              </w:rPr>
            </w:pPr>
            <w:r w:rsidRPr="001C4484">
              <w:rPr>
                <w:noProof/>
                <w:sz w:val="10"/>
                <w:szCs w:val="10"/>
              </w:rPr>
              <w:t>Kobiety</w:t>
            </w:r>
          </w:p>
        </w:tc>
        <w:tc>
          <w:tcPr>
            <w:tcW w:w="0" w:type="auto"/>
          </w:tcPr>
          <w:p w14:paraId="642401A2" w14:textId="77777777" w:rsidR="008C5CFA" w:rsidRPr="001C4484" w:rsidRDefault="00E82A60" w:rsidP="00300A01">
            <w:pPr>
              <w:spacing w:before="0" w:after="0"/>
              <w:jc w:val="center"/>
              <w:rPr>
                <w:sz w:val="10"/>
                <w:szCs w:val="10"/>
              </w:rPr>
            </w:pPr>
            <w:r>
              <w:rPr>
                <w:noProof/>
                <w:sz w:val="10"/>
                <w:szCs w:val="10"/>
              </w:rPr>
              <w:t>Ogółem</w:t>
            </w:r>
          </w:p>
        </w:tc>
        <w:tc>
          <w:tcPr>
            <w:tcW w:w="0" w:type="auto"/>
            <w:shd w:val="clear" w:color="auto" w:fill="auto"/>
          </w:tcPr>
          <w:p w14:paraId="545FA27B" w14:textId="77777777" w:rsidR="008C5CFA" w:rsidRPr="001C4484" w:rsidRDefault="00E82A60" w:rsidP="00300A01">
            <w:pPr>
              <w:spacing w:before="0" w:after="0"/>
              <w:jc w:val="center"/>
              <w:rPr>
                <w:sz w:val="10"/>
                <w:szCs w:val="10"/>
              </w:rPr>
            </w:pPr>
            <w:r w:rsidRPr="001C4484">
              <w:rPr>
                <w:noProof/>
                <w:sz w:val="10"/>
                <w:szCs w:val="10"/>
              </w:rPr>
              <w:t>Mężczyźni</w:t>
            </w:r>
          </w:p>
        </w:tc>
        <w:tc>
          <w:tcPr>
            <w:tcW w:w="0" w:type="auto"/>
            <w:shd w:val="clear" w:color="auto" w:fill="auto"/>
          </w:tcPr>
          <w:p w14:paraId="73E92179" w14:textId="77777777" w:rsidR="008C5CFA" w:rsidRPr="001C4484" w:rsidRDefault="00E82A60" w:rsidP="00300A01">
            <w:pPr>
              <w:spacing w:before="0" w:after="0"/>
              <w:jc w:val="center"/>
              <w:rPr>
                <w:sz w:val="10"/>
                <w:szCs w:val="10"/>
              </w:rPr>
            </w:pPr>
            <w:r w:rsidRPr="001C4484">
              <w:rPr>
                <w:noProof/>
                <w:sz w:val="10"/>
                <w:szCs w:val="10"/>
              </w:rPr>
              <w:t>Kobiety</w:t>
            </w:r>
          </w:p>
        </w:tc>
      </w:tr>
      <w:tr w:rsidR="006B2EC1" w14:paraId="19556344" w14:textId="77777777" w:rsidTr="0047688D">
        <w:tc>
          <w:tcPr>
            <w:tcW w:w="0" w:type="auto"/>
            <w:shd w:val="clear" w:color="auto" w:fill="auto"/>
          </w:tcPr>
          <w:p w14:paraId="4E7DCB9D" w14:textId="77777777" w:rsidR="008C5CFA" w:rsidRPr="001C4484" w:rsidRDefault="00E82A60" w:rsidP="00300A01">
            <w:pPr>
              <w:spacing w:before="0" w:after="0"/>
              <w:rPr>
                <w:sz w:val="10"/>
                <w:szCs w:val="10"/>
                <w:lang w:val="fr-BE"/>
              </w:rPr>
            </w:pPr>
            <w:r w:rsidRPr="001C4484">
              <w:rPr>
                <w:noProof/>
                <w:sz w:val="10"/>
                <w:szCs w:val="10"/>
                <w:lang w:val="fr-BE"/>
              </w:rPr>
              <w:t>CO01</w:t>
            </w:r>
          </w:p>
        </w:tc>
        <w:tc>
          <w:tcPr>
            <w:tcW w:w="0" w:type="auto"/>
            <w:shd w:val="clear" w:color="auto" w:fill="auto"/>
          </w:tcPr>
          <w:p w14:paraId="4AF93561" w14:textId="77777777" w:rsidR="008C5CFA" w:rsidRPr="001C4484" w:rsidRDefault="00E82A60" w:rsidP="00300A01">
            <w:pPr>
              <w:spacing w:before="0" w:after="0"/>
              <w:rPr>
                <w:sz w:val="10"/>
                <w:szCs w:val="10"/>
                <w:lang w:val="fr-BE"/>
              </w:rPr>
            </w:pPr>
            <w:r w:rsidRPr="001C4484">
              <w:rPr>
                <w:noProof/>
                <w:sz w:val="10"/>
                <w:szCs w:val="10"/>
                <w:lang w:val="fr-BE"/>
              </w:rPr>
              <w:t>bezrobotni, w tym długotrwale bezrobotni</w:t>
            </w:r>
          </w:p>
        </w:tc>
        <w:tc>
          <w:tcPr>
            <w:tcW w:w="0" w:type="auto"/>
            <w:shd w:val="clear" w:color="auto" w:fill="auto"/>
          </w:tcPr>
          <w:p w14:paraId="5581A0EE"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6907AA5E" w14:textId="77777777" w:rsidR="008C5CFA" w:rsidRPr="001C4484" w:rsidRDefault="00E82A60" w:rsidP="00300A01">
            <w:pPr>
              <w:spacing w:before="0" w:after="0"/>
              <w:jc w:val="right"/>
              <w:rPr>
                <w:sz w:val="10"/>
                <w:szCs w:val="10"/>
              </w:rPr>
            </w:pPr>
            <w:r>
              <w:rPr>
                <w:noProof/>
                <w:sz w:val="10"/>
                <w:szCs w:val="10"/>
              </w:rPr>
              <w:t>134,00</w:t>
            </w:r>
          </w:p>
        </w:tc>
        <w:tc>
          <w:tcPr>
            <w:tcW w:w="0" w:type="auto"/>
            <w:shd w:val="clear" w:color="auto" w:fill="auto"/>
          </w:tcPr>
          <w:p w14:paraId="661FC52B" w14:textId="77777777" w:rsidR="008C5CFA" w:rsidRPr="001C4484" w:rsidRDefault="00E82A60" w:rsidP="00300A01">
            <w:pPr>
              <w:spacing w:before="0" w:after="0"/>
              <w:jc w:val="right"/>
              <w:rPr>
                <w:sz w:val="10"/>
                <w:szCs w:val="10"/>
              </w:rPr>
            </w:pPr>
            <w:r w:rsidRPr="001C4484">
              <w:rPr>
                <w:noProof/>
                <w:sz w:val="10"/>
                <w:szCs w:val="10"/>
              </w:rPr>
              <w:t>42,00</w:t>
            </w:r>
          </w:p>
        </w:tc>
        <w:tc>
          <w:tcPr>
            <w:tcW w:w="0" w:type="auto"/>
            <w:shd w:val="clear" w:color="auto" w:fill="auto"/>
          </w:tcPr>
          <w:p w14:paraId="6BDBE779" w14:textId="77777777" w:rsidR="008C5CFA" w:rsidRPr="001C4484" w:rsidRDefault="00E82A60" w:rsidP="00300A01">
            <w:pPr>
              <w:spacing w:before="0" w:after="0"/>
              <w:jc w:val="right"/>
              <w:rPr>
                <w:sz w:val="10"/>
                <w:szCs w:val="10"/>
                <w:lang w:val="fr-BE"/>
              </w:rPr>
            </w:pPr>
            <w:r w:rsidRPr="001C4484">
              <w:rPr>
                <w:noProof/>
                <w:sz w:val="10"/>
                <w:szCs w:val="10"/>
              </w:rPr>
              <w:t>92,00</w:t>
            </w:r>
          </w:p>
        </w:tc>
        <w:tc>
          <w:tcPr>
            <w:tcW w:w="0" w:type="auto"/>
          </w:tcPr>
          <w:p w14:paraId="6E4BF987" w14:textId="77777777" w:rsidR="008C5CFA" w:rsidRPr="001C4484" w:rsidRDefault="00E82A60" w:rsidP="00300A01">
            <w:pPr>
              <w:spacing w:before="0" w:after="0"/>
              <w:jc w:val="right"/>
              <w:rPr>
                <w:sz w:val="10"/>
                <w:szCs w:val="10"/>
              </w:rPr>
            </w:pPr>
            <w:r>
              <w:rPr>
                <w:noProof/>
                <w:sz w:val="10"/>
                <w:szCs w:val="10"/>
              </w:rPr>
              <w:t>115,00</w:t>
            </w:r>
          </w:p>
        </w:tc>
        <w:tc>
          <w:tcPr>
            <w:tcW w:w="0" w:type="auto"/>
            <w:shd w:val="clear" w:color="auto" w:fill="auto"/>
          </w:tcPr>
          <w:p w14:paraId="73B09186" w14:textId="77777777" w:rsidR="008C5CFA" w:rsidRPr="001C4484" w:rsidRDefault="00E82A60" w:rsidP="00300A01">
            <w:pPr>
              <w:spacing w:before="0" w:after="0"/>
              <w:jc w:val="right"/>
              <w:rPr>
                <w:sz w:val="10"/>
                <w:szCs w:val="10"/>
              </w:rPr>
            </w:pPr>
            <w:r w:rsidRPr="001C4484">
              <w:rPr>
                <w:noProof/>
                <w:sz w:val="10"/>
                <w:szCs w:val="10"/>
              </w:rPr>
              <w:t>41,00</w:t>
            </w:r>
          </w:p>
        </w:tc>
        <w:tc>
          <w:tcPr>
            <w:tcW w:w="0" w:type="auto"/>
            <w:shd w:val="clear" w:color="auto" w:fill="auto"/>
          </w:tcPr>
          <w:p w14:paraId="57CBA7A8" w14:textId="77777777" w:rsidR="008C5CFA" w:rsidRPr="001C4484" w:rsidRDefault="00E82A60" w:rsidP="00300A01">
            <w:pPr>
              <w:spacing w:before="0" w:after="0"/>
              <w:jc w:val="right"/>
              <w:rPr>
                <w:sz w:val="10"/>
                <w:szCs w:val="10"/>
                <w:lang w:val="fr-BE"/>
              </w:rPr>
            </w:pPr>
            <w:r w:rsidRPr="001C4484">
              <w:rPr>
                <w:noProof/>
                <w:sz w:val="10"/>
                <w:szCs w:val="10"/>
              </w:rPr>
              <w:t>74,00</w:t>
            </w:r>
          </w:p>
        </w:tc>
        <w:tc>
          <w:tcPr>
            <w:tcW w:w="0" w:type="auto"/>
          </w:tcPr>
          <w:p w14:paraId="3AEBBA1D" w14:textId="77777777" w:rsidR="008C5CFA" w:rsidRPr="001C4484" w:rsidRDefault="00E82A60" w:rsidP="00300A01">
            <w:pPr>
              <w:spacing w:before="0" w:after="0"/>
              <w:jc w:val="right"/>
              <w:rPr>
                <w:sz w:val="10"/>
                <w:szCs w:val="10"/>
              </w:rPr>
            </w:pPr>
            <w:r>
              <w:rPr>
                <w:noProof/>
                <w:sz w:val="10"/>
                <w:szCs w:val="10"/>
              </w:rPr>
              <w:t>6,00</w:t>
            </w:r>
          </w:p>
        </w:tc>
        <w:tc>
          <w:tcPr>
            <w:tcW w:w="0" w:type="auto"/>
            <w:shd w:val="clear" w:color="auto" w:fill="auto"/>
          </w:tcPr>
          <w:p w14:paraId="004FBB76" w14:textId="77777777" w:rsidR="008C5CFA" w:rsidRPr="001C4484" w:rsidRDefault="00E82A60" w:rsidP="00300A01">
            <w:pPr>
              <w:spacing w:before="0" w:after="0"/>
              <w:jc w:val="right"/>
              <w:rPr>
                <w:sz w:val="10"/>
                <w:szCs w:val="10"/>
              </w:rPr>
            </w:pPr>
            <w:r w:rsidRPr="001C4484">
              <w:rPr>
                <w:noProof/>
                <w:sz w:val="10"/>
                <w:szCs w:val="10"/>
              </w:rPr>
              <w:t>1,00</w:t>
            </w:r>
          </w:p>
        </w:tc>
        <w:tc>
          <w:tcPr>
            <w:tcW w:w="0" w:type="auto"/>
            <w:shd w:val="clear" w:color="auto" w:fill="auto"/>
          </w:tcPr>
          <w:p w14:paraId="0DD757F1" w14:textId="77777777" w:rsidR="008C5CFA" w:rsidRPr="001C4484" w:rsidRDefault="00E82A60" w:rsidP="00300A01">
            <w:pPr>
              <w:spacing w:before="0" w:after="0"/>
              <w:jc w:val="right"/>
              <w:rPr>
                <w:sz w:val="10"/>
                <w:szCs w:val="10"/>
                <w:lang w:val="fr-BE"/>
              </w:rPr>
            </w:pPr>
            <w:r w:rsidRPr="001C4484">
              <w:rPr>
                <w:noProof/>
                <w:sz w:val="10"/>
                <w:szCs w:val="10"/>
              </w:rPr>
              <w:t>5,00</w:t>
            </w:r>
          </w:p>
        </w:tc>
      </w:tr>
      <w:tr w:rsidR="006B2EC1" w14:paraId="7BD1376B" w14:textId="77777777" w:rsidTr="0047688D">
        <w:tc>
          <w:tcPr>
            <w:tcW w:w="0" w:type="auto"/>
            <w:shd w:val="clear" w:color="auto" w:fill="auto"/>
          </w:tcPr>
          <w:p w14:paraId="7BCDD7B6" w14:textId="77777777" w:rsidR="008C5CFA" w:rsidRPr="001C4484" w:rsidRDefault="00E82A60" w:rsidP="00300A01">
            <w:pPr>
              <w:spacing w:before="0" w:after="0"/>
              <w:rPr>
                <w:sz w:val="10"/>
                <w:szCs w:val="10"/>
                <w:lang w:val="fr-BE"/>
              </w:rPr>
            </w:pPr>
            <w:r w:rsidRPr="001C4484">
              <w:rPr>
                <w:noProof/>
                <w:sz w:val="10"/>
                <w:szCs w:val="10"/>
                <w:lang w:val="fr-BE"/>
              </w:rPr>
              <w:t>CO02</w:t>
            </w:r>
          </w:p>
        </w:tc>
        <w:tc>
          <w:tcPr>
            <w:tcW w:w="0" w:type="auto"/>
            <w:shd w:val="clear" w:color="auto" w:fill="auto"/>
          </w:tcPr>
          <w:p w14:paraId="22D9535E" w14:textId="77777777" w:rsidR="008C5CFA" w:rsidRPr="001C4484" w:rsidRDefault="00E82A60" w:rsidP="00300A01">
            <w:pPr>
              <w:spacing w:before="0" w:after="0"/>
              <w:rPr>
                <w:sz w:val="10"/>
                <w:szCs w:val="10"/>
                <w:lang w:val="fr-BE"/>
              </w:rPr>
            </w:pPr>
            <w:r w:rsidRPr="001C4484">
              <w:rPr>
                <w:noProof/>
                <w:sz w:val="10"/>
                <w:szCs w:val="10"/>
                <w:lang w:val="fr-BE"/>
              </w:rPr>
              <w:t>długotrwale bezrobotni</w:t>
            </w:r>
          </w:p>
        </w:tc>
        <w:tc>
          <w:tcPr>
            <w:tcW w:w="0" w:type="auto"/>
            <w:shd w:val="clear" w:color="auto" w:fill="auto"/>
          </w:tcPr>
          <w:p w14:paraId="065FF892"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2ACFAE17" w14:textId="77777777" w:rsidR="008C5CFA" w:rsidRPr="001C4484" w:rsidRDefault="00E82A60" w:rsidP="00300A01">
            <w:pPr>
              <w:spacing w:before="0" w:after="0"/>
              <w:jc w:val="right"/>
              <w:rPr>
                <w:sz w:val="10"/>
                <w:szCs w:val="10"/>
              </w:rPr>
            </w:pPr>
            <w:r>
              <w:rPr>
                <w:noProof/>
                <w:sz w:val="10"/>
                <w:szCs w:val="10"/>
              </w:rPr>
              <w:t>30,00</w:t>
            </w:r>
          </w:p>
        </w:tc>
        <w:tc>
          <w:tcPr>
            <w:tcW w:w="0" w:type="auto"/>
            <w:shd w:val="clear" w:color="auto" w:fill="auto"/>
          </w:tcPr>
          <w:p w14:paraId="7C5672E8" w14:textId="77777777" w:rsidR="008C5CFA" w:rsidRPr="001C4484" w:rsidRDefault="00E82A60" w:rsidP="00300A01">
            <w:pPr>
              <w:spacing w:before="0" w:after="0"/>
              <w:jc w:val="right"/>
              <w:rPr>
                <w:sz w:val="10"/>
                <w:szCs w:val="10"/>
              </w:rPr>
            </w:pPr>
            <w:r w:rsidRPr="001C4484">
              <w:rPr>
                <w:noProof/>
                <w:sz w:val="10"/>
                <w:szCs w:val="10"/>
              </w:rPr>
              <w:t>8,00</w:t>
            </w:r>
          </w:p>
        </w:tc>
        <w:tc>
          <w:tcPr>
            <w:tcW w:w="0" w:type="auto"/>
            <w:shd w:val="clear" w:color="auto" w:fill="auto"/>
          </w:tcPr>
          <w:p w14:paraId="1B832439" w14:textId="77777777" w:rsidR="008C5CFA" w:rsidRPr="001C4484" w:rsidRDefault="00E82A60" w:rsidP="00300A01">
            <w:pPr>
              <w:spacing w:before="0" w:after="0"/>
              <w:jc w:val="right"/>
              <w:rPr>
                <w:sz w:val="10"/>
                <w:szCs w:val="10"/>
                <w:lang w:val="fr-BE"/>
              </w:rPr>
            </w:pPr>
            <w:r w:rsidRPr="001C4484">
              <w:rPr>
                <w:noProof/>
                <w:sz w:val="10"/>
                <w:szCs w:val="10"/>
              </w:rPr>
              <w:t>22,00</w:t>
            </w:r>
          </w:p>
        </w:tc>
        <w:tc>
          <w:tcPr>
            <w:tcW w:w="0" w:type="auto"/>
          </w:tcPr>
          <w:p w14:paraId="11114E97" w14:textId="77777777" w:rsidR="008C5CFA" w:rsidRPr="001C4484" w:rsidRDefault="00E82A60" w:rsidP="00300A01">
            <w:pPr>
              <w:spacing w:before="0" w:after="0"/>
              <w:jc w:val="right"/>
              <w:rPr>
                <w:sz w:val="10"/>
                <w:szCs w:val="10"/>
              </w:rPr>
            </w:pPr>
            <w:r>
              <w:rPr>
                <w:noProof/>
                <w:sz w:val="10"/>
                <w:szCs w:val="10"/>
              </w:rPr>
              <w:t>35,00</w:t>
            </w:r>
          </w:p>
        </w:tc>
        <w:tc>
          <w:tcPr>
            <w:tcW w:w="0" w:type="auto"/>
            <w:shd w:val="clear" w:color="auto" w:fill="auto"/>
          </w:tcPr>
          <w:p w14:paraId="6000ACF4" w14:textId="77777777" w:rsidR="008C5CFA" w:rsidRPr="001C4484" w:rsidRDefault="00E82A60" w:rsidP="00300A01">
            <w:pPr>
              <w:spacing w:before="0" w:after="0"/>
              <w:jc w:val="right"/>
              <w:rPr>
                <w:sz w:val="10"/>
                <w:szCs w:val="10"/>
              </w:rPr>
            </w:pPr>
            <w:r w:rsidRPr="001C4484">
              <w:rPr>
                <w:noProof/>
                <w:sz w:val="10"/>
                <w:szCs w:val="10"/>
              </w:rPr>
              <w:t>16,00</w:t>
            </w:r>
          </w:p>
        </w:tc>
        <w:tc>
          <w:tcPr>
            <w:tcW w:w="0" w:type="auto"/>
            <w:shd w:val="clear" w:color="auto" w:fill="auto"/>
          </w:tcPr>
          <w:p w14:paraId="14F7EC07" w14:textId="77777777" w:rsidR="008C5CFA" w:rsidRPr="001C4484" w:rsidRDefault="00E82A60" w:rsidP="00300A01">
            <w:pPr>
              <w:spacing w:before="0" w:after="0"/>
              <w:jc w:val="right"/>
              <w:rPr>
                <w:sz w:val="10"/>
                <w:szCs w:val="10"/>
                <w:lang w:val="fr-BE"/>
              </w:rPr>
            </w:pPr>
            <w:r w:rsidRPr="001C4484">
              <w:rPr>
                <w:noProof/>
                <w:sz w:val="10"/>
                <w:szCs w:val="10"/>
              </w:rPr>
              <w:t>19,00</w:t>
            </w:r>
          </w:p>
        </w:tc>
        <w:tc>
          <w:tcPr>
            <w:tcW w:w="0" w:type="auto"/>
          </w:tcPr>
          <w:p w14:paraId="062684CA" w14:textId="77777777" w:rsidR="008C5CFA" w:rsidRPr="001C4484" w:rsidRDefault="00E82A60" w:rsidP="00300A01">
            <w:pPr>
              <w:spacing w:before="0" w:after="0"/>
              <w:jc w:val="right"/>
              <w:rPr>
                <w:sz w:val="10"/>
                <w:szCs w:val="10"/>
              </w:rPr>
            </w:pPr>
            <w:r>
              <w:rPr>
                <w:noProof/>
                <w:sz w:val="10"/>
                <w:szCs w:val="10"/>
              </w:rPr>
              <w:t>1,00</w:t>
            </w:r>
          </w:p>
        </w:tc>
        <w:tc>
          <w:tcPr>
            <w:tcW w:w="0" w:type="auto"/>
            <w:shd w:val="clear" w:color="auto" w:fill="auto"/>
          </w:tcPr>
          <w:p w14:paraId="0EC0EE5C"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1A850303" w14:textId="77777777" w:rsidR="008C5CFA" w:rsidRPr="001C4484" w:rsidRDefault="00E82A60" w:rsidP="00300A01">
            <w:pPr>
              <w:spacing w:before="0" w:after="0"/>
              <w:jc w:val="right"/>
              <w:rPr>
                <w:sz w:val="10"/>
                <w:szCs w:val="10"/>
                <w:lang w:val="fr-BE"/>
              </w:rPr>
            </w:pPr>
            <w:r w:rsidRPr="001C4484">
              <w:rPr>
                <w:noProof/>
                <w:sz w:val="10"/>
                <w:szCs w:val="10"/>
              </w:rPr>
              <w:t>1,00</w:t>
            </w:r>
          </w:p>
        </w:tc>
      </w:tr>
      <w:tr w:rsidR="006B2EC1" w14:paraId="0C3EC716" w14:textId="77777777" w:rsidTr="0047688D">
        <w:tc>
          <w:tcPr>
            <w:tcW w:w="0" w:type="auto"/>
            <w:shd w:val="clear" w:color="auto" w:fill="auto"/>
          </w:tcPr>
          <w:p w14:paraId="2447FFF4" w14:textId="77777777" w:rsidR="008C5CFA" w:rsidRPr="001C4484" w:rsidRDefault="00E82A60" w:rsidP="00300A01">
            <w:pPr>
              <w:spacing w:before="0" w:after="0"/>
              <w:rPr>
                <w:sz w:val="10"/>
                <w:szCs w:val="10"/>
                <w:lang w:val="fr-BE"/>
              </w:rPr>
            </w:pPr>
            <w:r w:rsidRPr="001C4484">
              <w:rPr>
                <w:noProof/>
                <w:sz w:val="10"/>
                <w:szCs w:val="10"/>
                <w:lang w:val="fr-BE"/>
              </w:rPr>
              <w:t>CO03</w:t>
            </w:r>
          </w:p>
        </w:tc>
        <w:tc>
          <w:tcPr>
            <w:tcW w:w="0" w:type="auto"/>
            <w:shd w:val="clear" w:color="auto" w:fill="auto"/>
          </w:tcPr>
          <w:p w14:paraId="793305AF" w14:textId="77777777" w:rsidR="008C5CFA" w:rsidRPr="001C4484" w:rsidRDefault="00E82A60" w:rsidP="00300A01">
            <w:pPr>
              <w:spacing w:before="0" w:after="0"/>
              <w:rPr>
                <w:sz w:val="10"/>
                <w:szCs w:val="10"/>
                <w:lang w:val="fr-BE"/>
              </w:rPr>
            </w:pPr>
            <w:r w:rsidRPr="001C4484">
              <w:rPr>
                <w:noProof/>
                <w:sz w:val="10"/>
                <w:szCs w:val="10"/>
                <w:lang w:val="fr-BE"/>
              </w:rPr>
              <w:t>osoby bierne zawodowo</w:t>
            </w:r>
          </w:p>
        </w:tc>
        <w:tc>
          <w:tcPr>
            <w:tcW w:w="0" w:type="auto"/>
            <w:shd w:val="clear" w:color="auto" w:fill="auto"/>
          </w:tcPr>
          <w:p w14:paraId="356E06CE"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5907ECF8" w14:textId="77777777" w:rsidR="008C5CFA" w:rsidRPr="001C4484" w:rsidRDefault="00E82A60" w:rsidP="00300A01">
            <w:pPr>
              <w:spacing w:before="0" w:after="0"/>
              <w:jc w:val="right"/>
              <w:rPr>
                <w:sz w:val="10"/>
                <w:szCs w:val="10"/>
              </w:rPr>
            </w:pPr>
            <w:r>
              <w:rPr>
                <w:noProof/>
                <w:sz w:val="10"/>
                <w:szCs w:val="10"/>
              </w:rPr>
              <w:t>190,00</w:t>
            </w:r>
          </w:p>
        </w:tc>
        <w:tc>
          <w:tcPr>
            <w:tcW w:w="0" w:type="auto"/>
            <w:shd w:val="clear" w:color="auto" w:fill="auto"/>
          </w:tcPr>
          <w:p w14:paraId="201AC1A9" w14:textId="77777777" w:rsidR="008C5CFA" w:rsidRPr="001C4484" w:rsidRDefault="00E82A60" w:rsidP="00300A01">
            <w:pPr>
              <w:spacing w:before="0" w:after="0"/>
              <w:jc w:val="right"/>
              <w:rPr>
                <w:sz w:val="10"/>
                <w:szCs w:val="10"/>
              </w:rPr>
            </w:pPr>
            <w:r w:rsidRPr="001C4484">
              <w:rPr>
                <w:noProof/>
                <w:sz w:val="10"/>
                <w:szCs w:val="10"/>
              </w:rPr>
              <w:t>73,00</w:t>
            </w:r>
          </w:p>
        </w:tc>
        <w:tc>
          <w:tcPr>
            <w:tcW w:w="0" w:type="auto"/>
            <w:shd w:val="clear" w:color="auto" w:fill="auto"/>
          </w:tcPr>
          <w:p w14:paraId="3D842286" w14:textId="77777777" w:rsidR="008C5CFA" w:rsidRPr="001C4484" w:rsidRDefault="00E82A60" w:rsidP="00300A01">
            <w:pPr>
              <w:spacing w:before="0" w:after="0"/>
              <w:jc w:val="right"/>
              <w:rPr>
                <w:sz w:val="10"/>
                <w:szCs w:val="10"/>
                <w:lang w:val="fr-BE"/>
              </w:rPr>
            </w:pPr>
            <w:r w:rsidRPr="001C4484">
              <w:rPr>
                <w:noProof/>
                <w:sz w:val="10"/>
                <w:szCs w:val="10"/>
              </w:rPr>
              <w:t>117,00</w:t>
            </w:r>
          </w:p>
        </w:tc>
        <w:tc>
          <w:tcPr>
            <w:tcW w:w="0" w:type="auto"/>
          </w:tcPr>
          <w:p w14:paraId="112D3604" w14:textId="77777777" w:rsidR="008C5CFA" w:rsidRPr="001C4484" w:rsidRDefault="00E82A60" w:rsidP="00300A01">
            <w:pPr>
              <w:spacing w:before="0" w:after="0"/>
              <w:jc w:val="right"/>
              <w:rPr>
                <w:sz w:val="10"/>
                <w:szCs w:val="10"/>
              </w:rPr>
            </w:pPr>
            <w:r>
              <w:rPr>
                <w:noProof/>
                <w:sz w:val="10"/>
                <w:szCs w:val="10"/>
              </w:rPr>
              <w:t>70,00</w:t>
            </w:r>
          </w:p>
        </w:tc>
        <w:tc>
          <w:tcPr>
            <w:tcW w:w="0" w:type="auto"/>
            <w:shd w:val="clear" w:color="auto" w:fill="auto"/>
          </w:tcPr>
          <w:p w14:paraId="0E7DE7EF" w14:textId="77777777" w:rsidR="008C5CFA" w:rsidRPr="001C4484" w:rsidRDefault="00E82A60" w:rsidP="00300A01">
            <w:pPr>
              <w:spacing w:before="0" w:after="0"/>
              <w:jc w:val="right"/>
              <w:rPr>
                <w:sz w:val="10"/>
                <w:szCs w:val="10"/>
              </w:rPr>
            </w:pPr>
            <w:r w:rsidRPr="001C4484">
              <w:rPr>
                <w:noProof/>
                <w:sz w:val="10"/>
                <w:szCs w:val="10"/>
              </w:rPr>
              <w:t>22,00</w:t>
            </w:r>
          </w:p>
        </w:tc>
        <w:tc>
          <w:tcPr>
            <w:tcW w:w="0" w:type="auto"/>
            <w:shd w:val="clear" w:color="auto" w:fill="auto"/>
          </w:tcPr>
          <w:p w14:paraId="0F37834F" w14:textId="77777777" w:rsidR="008C5CFA" w:rsidRPr="001C4484" w:rsidRDefault="00E82A60" w:rsidP="00300A01">
            <w:pPr>
              <w:spacing w:before="0" w:after="0"/>
              <w:jc w:val="right"/>
              <w:rPr>
                <w:sz w:val="10"/>
                <w:szCs w:val="10"/>
                <w:lang w:val="fr-BE"/>
              </w:rPr>
            </w:pPr>
            <w:r w:rsidRPr="001C4484">
              <w:rPr>
                <w:noProof/>
                <w:sz w:val="10"/>
                <w:szCs w:val="10"/>
              </w:rPr>
              <w:t>48,00</w:t>
            </w:r>
          </w:p>
        </w:tc>
        <w:tc>
          <w:tcPr>
            <w:tcW w:w="0" w:type="auto"/>
          </w:tcPr>
          <w:p w14:paraId="5FB52C1D" w14:textId="77777777" w:rsidR="008C5CFA" w:rsidRPr="001C4484" w:rsidRDefault="00E82A60" w:rsidP="00300A01">
            <w:pPr>
              <w:spacing w:before="0" w:after="0"/>
              <w:jc w:val="right"/>
              <w:rPr>
                <w:sz w:val="10"/>
                <w:szCs w:val="10"/>
              </w:rPr>
            </w:pPr>
            <w:r>
              <w:rPr>
                <w:noProof/>
                <w:sz w:val="10"/>
                <w:szCs w:val="10"/>
              </w:rPr>
              <w:t>10,00</w:t>
            </w:r>
          </w:p>
        </w:tc>
        <w:tc>
          <w:tcPr>
            <w:tcW w:w="0" w:type="auto"/>
            <w:shd w:val="clear" w:color="auto" w:fill="auto"/>
          </w:tcPr>
          <w:p w14:paraId="446A3A23" w14:textId="77777777" w:rsidR="008C5CFA" w:rsidRPr="001C4484" w:rsidRDefault="00E82A60" w:rsidP="00300A01">
            <w:pPr>
              <w:spacing w:before="0" w:after="0"/>
              <w:jc w:val="right"/>
              <w:rPr>
                <w:sz w:val="10"/>
                <w:szCs w:val="10"/>
              </w:rPr>
            </w:pPr>
            <w:r w:rsidRPr="001C4484">
              <w:rPr>
                <w:noProof/>
                <w:sz w:val="10"/>
                <w:szCs w:val="10"/>
              </w:rPr>
              <w:t>4,00</w:t>
            </w:r>
          </w:p>
        </w:tc>
        <w:tc>
          <w:tcPr>
            <w:tcW w:w="0" w:type="auto"/>
            <w:shd w:val="clear" w:color="auto" w:fill="auto"/>
          </w:tcPr>
          <w:p w14:paraId="3A45363E" w14:textId="77777777" w:rsidR="008C5CFA" w:rsidRPr="001C4484" w:rsidRDefault="00E82A60" w:rsidP="00300A01">
            <w:pPr>
              <w:spacing w:before="0" w:after="0"/>
              <w:jc w:val="right"/>
              <w:rPr>
                <w:sz w:val="10"/>
                <w:szCs w:val="10"/>
                <w:lang w:val="fr-BE"/>
              </w:rPr>
            </w:pPr>
            <w:r w:rsidRPr="001C4484">
              <w:rPr>
                <w:noProof/>
                <w:sz w:val="10"/>
                <w:szCs w:val="10"/>
              </w:rPr>
              <w:t>6,00</w:t>
            </w:r>
          </w:p>
        </w:tc>
      </w:tr>
      <w:tr w:rsidR="006B2EC1" w14:paraId="4977D8F2" w14:textId="77777777" w:rsidTr="0047688D">
        <w:tc>
          <w:tcPr>
            <w:tcW w:w="0" w:type="auto"/>
            <w:shd w:val="clear" w:color="auto" w:fill="auto"/>
          </w:tcPr>
          <w:p w14:paraId="5F68534F" w14:textId="77777777" w:rsidR="008C5CFA" w:rsidRPr="001C4484" w:rsidRDefault="00E82A60" w:rsidP="00300A01">
            <w:pPr>
              <w:spacing w:before="0" w:after="0"/>
              <w:rPr>
                <w:sz w:val="10"/>
                <w:szCs w:val="10"/>
                <w:lang w:val="fr-BE"/>
              </w:rPr>
            </w:pPr>
            <w:r w:rsidRPr="001C4484">
              <w:rPr>
                <w:noProof/>
                <w:sz w:val="10"/>
                <w:szCs w:val="10"/>
                <w:lang w:val="fr-BE"/>
              </w:rPr>
              <w:t>CO04</w:t>
            </w:r>
          </w:p>
        </w:tc>
        <w:tc>
          <w:tcPr>
            <w:tcW w:w="0" w:type="auto"/>
            <w:shd w:val="clear" w:color="auto" w:fill="auto"/>
          </w:tcPr>
          <w:p w14:paraId="4050E001" w14:textId="77777777" w:rsidR="008C5CFA" w:rsidRPr="001C4484" w:rsidRDefault="00E82A60" w:rsidP="00300A01">
            <w:pPr>
              <w:spacing w:before="0" w:after="0"/>
              <w:rPr>
                <w:sz w:val="10"/>
                <w:szCs w:val="10"/>
                <w:lang w:val="fr-BE"/>
              </w:rPr>
            </w:pPr>
            <w:r w:rsidRPr="001C4484">
              <w:rPr>
                <w:noProof/>
                <w:sz w:val="10"/>
                <w:szCs w:val="10"/>
                <w:lang w:val="fr-BE"/>
              </w:rPr>
              <w:t>osoby bierne zawodowo, nieuczestniczące w kształceniu ani szkoleniu</w:t>
            </w:r>
          </w:p>
        </w:tc>
        <w:tc>
          <w:tcPr>
            <w:tcW w:w="0" w:type="auto"/>
            <w:shd w:val="clear" w:color="auto" w:fill="auto"/>
          </w:tcPr>
          <w:p w14:paraId="79AE6C30"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337967DF" w14:textId="77777777" w:rsidR="008C5CFA" w:rsidRPr="001C4484" w:rsidRDefault="00E82A60" w:rsidP="00300A01">
            <w:pPr>
              <w:spacing w:before="0" w:after="0"/>
              <w:jc w:val="right"/>
              <w:rPr>
                <w:sz w:val="10"/>
                <w:szCs w:val="10"/>
              </w:rPr>
            </w:pPr>
            <w:r>
              <w:rPr>
                <w:noProof/>
                <w:sz w:val="10"/>
                <w:szCs w:val="10"/>
              </w:rPr>
              <w:t>5,00</w:t>
            </w:r>
          </w:p>
        </w:tc>
        <w:tc>
          <w:tcPr>
            <w:tcW w:w="0" w:type="auto"/>
            <w:shd w:val="clear" w:color="auto" w:fill="auto"/>
          </w:tcPr>
          <w:p w14:paraId="5392A85B" w14:textId="77777777" w:rsidR="008C5CFA" w:rsidRPr="001C4484" w:rsidRDefault="00E82A60" w:rsidP="00300A01">
            <w:pPr>
              <w:spacing w:before="0" w:after="0"/>
              <w:jc w:val="right"/>
              <w:rPr>
                <w:sz w:val="10"/>
                <w:szCs w:val="10"/>
              </w:rPr>
            </w:pPr>
            <w:r w:rsidRPr="001C4484">
              <w:rPr>
                <w:noProof/>
                <w:sz w:val="10"/>
                <w:szCs w:val="10"/>
              </w:rPr>
              <w:t>1,00</w:t>
            </w:r>
          </w:p>
        </w:tc>
        <w:tc>
          <w:tcPr>
            <w:tcW w:w="0" w:type="auto"/>
            <w:shd w:val="clear" w:color="auto" w:fill="auto"/>
          </w:tcPr>
          <w:p w14:paraId="3C519CCD" w14:textId="77777777" w:rsidR="008C5CFA" w:rsidRPr="001C4484" w:rsidRDefault="00E82A60" w:rsidP="00300A01">
            <w:pPr>
              <w:spacing w:before="0" w:after="0"/>
              <w:jc w:val="right"/>
              <w:rPr>
                <w:sz w:val="10"/>
                <w:szCs w:val="10"/>
                <w:lang w:val="fr-BE"/>
              </w:rPr>
            </w:pPr>
            <w:r w:rsidRPr="001C4484">
              <w:rPr>
                <w:noProof/>
                <w:sz w:val="10"/>
                <w:szCs w:val="10"/>
              </w:rPr>
              <w:t>4,00</w:t>
            </w:r>
          </w:p>
        </w:tc>
        <w:tc>
          <w:tcPr>
            <w:tcW w:w="0" w:type="auto"/>
          </w:tcPr>
          <w:p w14:paraId="21F933F9" w14:textId="77777777" w:rsidR="008C5CFA" w:rsidRPr="001C4484" w:rsidRDefault="00E82A60" w:rsidP="00300A01">
            <w:pPr>
              <w:spacing w:before="0" w:after="0"/>
              <w:jc w:val="right"/>
              <w:rPr>
                <w:sz w:val="10"/>
                <w:szCs w:val="10"/>
              </w:rPr>
            </w:pPr>
            <w:r>
              <w:rPr>
                <w:noProof/>
                <w:sz w:val="10"/>
                <w:szCs w:val="10"/>
              </w:rPr>
              <w:t>4,00</w:t>
            </w:r>
          </w:p>
        </w:tc>
        <w:tc>
          <w:tcPr>
            <w:tcW w:w="0" w:type="auto"/>
            <w:shd w:val="clear" w:color="auto" w:fill="auto"/>
          </w:tcPr>
          <w:p w14:paraId="704BA694" w14:textId="77777777" w:rsidR="008C5CFA" w:rsidRPr="001C4484" w:rsidRDefault="00E82A60" w:rsidP="00300A01">
            <w:pPr>
              <w:spacing w:before="0" w:after="0"/>
              <w:jc w:val="right"/>
              <w:rPr>
                <w:sz w:val="10"/>
                <w:szCs w:val="10"/>
              </w:rPr>
            </w:pPr>
            <w:r w:rsidRPr="001C4484">
              <w:rPr>
                <w:noProof/>
                <w:sz w:val="10"/>
                <w:szCs w:val="10"/>
              </w:rPr>
              <w:t>2,00</w:t>
            </w:r>
          </w:p>
        </w:tc>
        <w:tc>
          <w:tcPr>
            <w:tcW w:w="0" w:type="auto"/>
            <w:shd w:val="clear" w:color="auto" w:fill="auto"/>
          </w:tcPr>
          <w:p w14:paraId="214274C7" w14:textId="77777777" w:rsidR="008C5CFA" w:rsidRPr="001C4484" w:rsidRDefault="00E82A60" w:rsidP="00300A01">
            <w:pPr>
              <w:spacing w:before="0" w:after="0"/>
              <w:jc w:val="right"/>
              <w:rPr>
                <w:sz w:val="10"/>
                <w:szCs w:val="10"/>
                <w:lang w:val="fr-BE"/>
              </w:rPr>
            </w:pPr>
            <w:r w:rsidRPr="001C4484">
              <w:rPr>
                <w:noProof/>
                <w:sz w:val="10"/>
                <w:szCs w:val="10"/>
              </w:rPr>
              <w:t>2,00</w:t>
            </w:r>
          </w:p>
        </w:tc>
        <w:tc>
          <w:tcPr>
            <w:tcW w:w="0" w:type="auto"/>
          </w:tcPr>
          <w:p w14:paraId="0D86B742"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043124F7"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6C63BDDE" w14:textId="77777777" w:rsidR="008C5CFA" w:rsidRPr="001C4484" w:rsidRDefault="00E82A60" w:rsidP="00300A01">
            <w:pPr>
              <w:spacing w:before="0" w:after="0"/>
              <w:jc w:val="right"/>
              <w:rPr>
                <w:sz w:val="10"/>
                <w:szCs w:val="10"/>
                <w:lang w:val="fr-BE"/>
              </w:rPr>
            </w:pPr>
            <w:r w:rsidRPr="001C4484">
              <w:rPr>
                <w:noProof/>
                <w:sz w:val="10"/>
                <w:szCs w:val="10"/>
              </w:rPr>
              <w:t>0,00</w:t>
            </w:r>
          </w:p>
        </w:tc>
      </w:tr>
      <w:tr w:rsidR="006B2EC1" w14:paraId="285BBD73" w14:textId="77777777" w:rsidTr="0047688D">
        <w:tc>
          <w:tcPr>
            <w:tcW w:w="0" w:type="auto"/>
            <w:shd w:val="clear" w:color="auto" w:fill="auto"/>
          </w:tcPr>
          <w:p w14:paraId="15CA99F4" w14:textId="77777777" w:rsidR="008C5CFA" w:rsidRPr="001C4484" w:rsidRDefault="00E82A60" w:rsidP="00300A01">
            <w:pPr>
              <w:spacing w:before="0" w:after="0"/>
              <w:rPr>
                <w:sz w:val="10"/>
                <w:szCs w:val="10"/>
                <w:lang w:val="fr-BE"/>
              </w:rPr>
            </w:pPr>
            <w:r w:rsidRPr="001C4484">
              <w:rPr>
                <w:noProof/>
                <w:sz w:val="10"/>
                <w:szCs w:val="10"/>
                <w:lang w:val="fr-BE"/>
              </w:rPr>
              <w:t>CO05</w:t>
            </w:r>
          </w:p>
        </w:tc>
        <w:tc>
          <w:tcPr>
            <w:tcW w:w="0" w:type="auto"/>
            <w:shd w:val="clear" w:color="auto" w:fill="auto"/>
          </w:tcPr>
          <w:p w14:paraId="1880D78C" w14:textId="77777777" w:rsidR="008C5CFA" w:rsidRPr="001C4484" w:rsidRDefault="00E82A60" w:rsidP="00300A01">
            <w:pPr>
              <w:spacing w:before="0" w:after="0"/>
              <w:rPr>
                <w:sz w:val="10"/>
                <w:szCs w:val="10"/>
                <w:lang w:val="fr-BE"/>
              </w:rPr>
            </w:pPr>
            <w:r w:rsidRPr="001C4484">
              <w:rPr>
                <w:noProof/>
                <w:sz w:val="10"/>
                <w:szCs w:val="10"/>
                <w:lang w:val="fr-BE"/>
              </w:rPr>
              <w:t>osoby pracujące, łącznie z prowadzącymi działalność na własny rachunek</w:t>
            </w:r>
          </w:p>
        </w:tc>
        <w:tc>
          <w:tcPr>
            <w:tcW w:w="0" w:type="auto"/>
            <w:shd w:val="clear" w:color="auto" w:fill="auto"/>
          </w:tcPr>
          <w:p w14:paraId="21D9C84A"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3AE57BBA" w14:textId="77777777" w:rsidR="008C5CFA" w:rsidRPr="001C4484" w:rsidRDefault="00E82A60" w:rsidP="00300A01">
            <w:pPr>
              <w:spacing w:before="0" w:after="0"/>
              <w:jc w:val="right"/>
              <w:rPr>
                <w:sz w:val="10"/>
                <w:szCs w:val="10"/>
              </w:rPr>
            </w:pPr>
            <w:r>
              <w:rPr>
                <w:noProof/>
                <w:sz w:val="10"/>
                <w:szCs w:val="10"/>
              </w:rPr>
              <w:t>424,00</w:t>
            </w:r>
          </w:p>
        </w:tc>
        <w:tc>
          <w:tcPr>
            <w:tcW w:w="0" w:type="auto"/>
            <w:shd w:val="clear" w:color="auto" w:fill="auto"/>
          </w:tcPr>
          <w:p w14:paraId="10C854EE" w14:textId="77777777" w:rsidR="008C5CFA" w:rsidRPr="001C4484" w:rsidRDefault="00E82A60" w:rsidP="00300A01">
            <w:pPr>
              <w:spacing w:before="0" w:after="0"/>
              <w:jc w:val="right"/>
              <w:rPr>
                <w:sz w:val="10"/>
                <w:szCs w:val="10"/>
              </w:rPr>
            </w:pPr>
            <w:r w:rsidRPr="001C4484">
              <w:rPr>
                <w:noProof/>
                <w:sz w:val="10"/>
                <w:szCs w:val="10"/>
              </w:rPr>
              <w:t>108,00</w:t>
            </w:r>
          </w:p>
        </w:tc>
        <w:tc>
          <w:tcPr>
            <w:tcW w:w="0" w:type="auto"/>
            <w:shd w:val="clear" w:color="auto" w:fill="auto"/>
          </w:tcPr>
          <w:p w14:paraId="706EF770" w14:textId="77777777" w:rsidR="008C5CFA" w:rsidRPr="001C4484" w:rsidRDefault="00E82A60" w:rsidP="00300A01">
            <w:pPr>
              <w:spacing w:before="0" w:after="0"/>
              <w:jc w:val="right"/>
              <w:rPr>
                <w:sz w:val="10"/>
                <w:szCs w:val="10"/>
                <w:lang w:val="fr-BE"/>
              </w:rPr>
            </w:pPr>
            <w:r w:rsidRPr="001C4484">
              <w:rPr>
                <w:noProof/>
                <w:sz w:val="10"/>
                <w:szCs w:val="10"/>
              </w:rPr>
              <w:t>316,00</w:t>
            </w:r>
          </w:p>
        </w:tc>
        <w:tc>
          <w:tcPr>
            <w:tcW w:w="0" w:type="auto"/>
          </w:tcPr>
          <w:p w14:paraId="6C1780BE" w14:textId="77777777" w:rsidR="008C5CFA" w:rsidRPr="001C4484" w:rsidRDefault="00E82A60" w:rsidP="00300A01">
            <w:pPr>
              <w:spacing w:before="0" w:after="0"/>
              <w:jc w:val="right"/>
              <w:rPr>
                <w:sz w:val="10"/>
                <w:szCs w:val="10"/>
              </w:rPr>
            </w:pPr>
            <w:r>
              <w:rPr>
                <w:noProof/>
                <w:sz w:val="10"/>
                <w:szCs w:val="10"/>
              </w:rPr>
              <w:t>519,00</w:t>
            </w:r>
          </w:p>
        </w:tc>
        <w:tc>
          <w:tcPr>
            <w:tcW w:w="0" w:type="auto"/>
            <w:shd w:val="clear" w:color="auto" w:fill="auto"/>
          </w:tcPr>
          <w:p w14:paraId="5CB2D901" w14:textId="77777777" w:rsidR="008C5CFA" w:rsidRPr="001C4484" w:rsidRDefault="00E82A60" w:rsidP="00300A01">
            <w:pPr>
              <w:spacing w:before="0" w:after="0"/>
              <w:jc w:val="right"/>
              <w:rPr>
                <w:sz w:val="10"/>
                <w:szCs w:val="10"/>
              </w:rPr>
            </w:pPr>
            <w:r w:rsidRPr="001C4484">
              <w:rPr>
                <w:noProof/>
                <w:sz w:val="10"/>
                <w:szCs w:val="10"/>
              </w:rPr>
              <w:t>131,00</w:t>
            </w:r>
          </w:p>
        </w:tc>
        <w:tc>
          <w:tcPr>
            <w:tcW w:w="0" w:type="auto"/>
            <w:shd w:val="clear" w:color="auto" w:fill="auto"/>
          </w:tcPr>
          <w:p w14:paraId="543BEF6D" w14:textId="77777777" w:rsidR="008C5CFA" w:rsidRPr="001C4484" w:rsidRDefault="00E82A60" w:rsidP="00300A01">
            <w:pPr>
              <w:spacing w:before="0" w:after="0"/>
              <w:jc w:val="right"/>
              <w:rPr>
                <w:sz w:val="10"/>
                <w:szCs w:val="10"/>
                <w:lang w:val="fr-BE"/>
              </w:rPr>
            </w:pPr>
            <w:r w:rsidRPr="001C4484">
              <w:rPr>
                <w:noProof/>
                <w:sz w:val="10"/>
                <w:szCs w:val="10"/>
              </w:rPr>
              <w:t>388,00</w:t>
            </w:r>
          </w:p>
        </w:tc>
        <w:tc>
          <w:tcPr>
            <w:tcW w:w="0" w:type="auto"/>
          </w:tcPr>
          <w:p w14:paraId="1A5D104D" w14:textId="77777777" w:rsidR="008C5CFA" w:rsidRPr="001C4484" w:rsidRDefault="00E82A60" w:rsidP="00300A01">
            <w:pPr>
              <w:spacing w:before="0" w:after="0"/>
              <w:jc w:val="right"/>
              <w:rPr>
                <w:sz w:val="10"/>
                <w:szCs w:val="10"/>
              </w:rPr>
            </w:pPr>
            <w:r>
              <w:rPr>
                <w:noProof/>
                <w:sz w:val="10"/>
                <w:szCs w:val="10"/>
              </w:rPr>
              <w:t>272,00</w:t>
            </w:r>
          </w:p>
        </w:tc>
        <w:tc>
          <w:tcPr>
            <w:tcW w:w="0" w:type="auto"/>
            <w:shd w:val="clear" w:color="auto" w:fill="auto"/>
          </w:tcPr>
          <w:p w14:paraId="7F471C6E" w14:textId="77777777" w:rsidR="008C5CFA" w:rsidRPr="001C4484" w:rsidRDefault="00E82A60" w:rsidP="00300A01">
            <w:pPr>
              <w:spacing w:before="0" w:after="0"/>
              <w:jc w:val="right"/>
              <w:rPr>
                <w:sz w:val="10"/>
                <w:szCs w:val="10"/>
              </w:rPr>
            </w:pPr>
            <w:r w:rsidRPr="001C4484">
              <w:rPr>
                <w:noProof/>
                <w:sz w:val="10"/>
                <w:szCs w:val="10"/>
              </w:rPr>
              <w:t>76,00</w:t>
            </w:r>
          </w:p>
        </w:tc>
        <w:tc>
          <w:tcPr>
            <w:tcW w:w="0" w:type="auto"/>
            <w:shd w:val="clear" w:color="auto" w:fill="auto"/>
          </w:tcPr>
          <w:p w14:paraId="661AAC95" w14:textId="77777777" w:rsidR="008C5CFA" w:rsidRPr="001C4484" w:rsidRDefault="00E82A60" w:rsidP="00300A01">
            <w:pPr>
              <w:spacing w:before="0" w:after="0"/>
              <w:jc w:val="right"/>
              <w:rPr>
                <w:sz w:val="10"/>
                <w:szCs w:val="10"/>
                <w:lang w:val="fr-BE"/>
              </w:rPr>
            </w:pPr>
            <w:r w:rsidRPr="001C4484">
              <w:rPr>
                <w:noProof/>
                <w:sz w:val="10"/>
                <w:szCs w:val="10"/>
              </w:rPr>
              <w:t>196,00</w:t>
            </w:r>
          </w:p>
        </w:tc>
      </w:tr>
      <w:tr w:rsidR="006B2EC1" w14:paraId="127902D6" w14:textId="77777777" w:rsidTr="0047688D">
        <w:tc>
          <w:tcPr>
            <w:tcW w:w="0" w:type="auto"/>
            <w:shd w:val="clear" w:color="auto" w:fill="auto"/>
          </w:tcPr>
          <w:p w14:paraId="627FBF24" w14:textId="77777777" w:rsidR="008C5CFA" w:rsidRPr="001C4484" w:rsidRDefault="00E82A60" w:rsidP="00300A01">
            <w:pPr>
              <w:spacing w:before="0" w:after="0"/>
              <w:rPr>
                <w:sz w:val="10"/>
                <w:szCs w:val="10"/>
                <w:lang w:val="fr-BE"/>
              </w:rPr>
            </w:pPr>
            <w:r w:rsidRPr="001C4484">
              <w:rPr>
                <w:noProof/>
                <w:sz w:val="10"/>
                <w:szCs w:val="10"/>
                <w:lang w:val="fr-BE"/>
              </w:rPr>
              <w:t>CO06</w:t>
            </w:r>
          </w:p>
        </w:tc>
        <w:tc>
          <w:tcPr>
            <w:tcW w:w="0" w:type="auto"/>
            <w:shd w:val="clear" w:color="auto" w:fill="auto"/>
          </w:tcPr>
          <w:p w14:paraId="59D4A42A" w14:textId="77777777" w:rsidR="008C5CFA" w:rsidRPr="001C4484" w:rsidRDefault="00E82A60" w:rsidP="00300A01">
            <w:pPr>
              <w:spacing w:before="0" w:after="0"/>
              <w:rPr>
                <w:sz w:val="10"/>
                <w:szCs w:val="10"/>
                <w:lang w:val="fr-BE"/>
              </w:rPr>
            </w:pPr>
            <w:r w:rsidRPr="001C4484">
              <w:rPr>
                <w:noProof/>
                <w:sz w:val="10"/>
                <w:szCs w:val="10"/>
                <w:lang w:val="fr-BE"/>
              </w:rPr>
              <w:t>osoby w wieku poniżej 25 lat</w:t>
            </w:r>
          </w:p>
        </w:tc>
        <w:tc>
          <w:tcPr>
            <w:tcW w:w="0" w:type="auto"/>
            <w:shd w:val="clear" w:color="auto" w:fill="auto"/>
          </w:tcPr>
          <w:p w14:paraId="4DAAC22A"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2AE7961B" w14:textId="77777777" w:rsidR="008C5CFA" w:rsidRPr="001C4484" w:rsidRDefault="00E82A60" w:rsidP="00300A01">
            <w:pPr>
              <w:spacing w:before="0" w:after="0"/>
              <w:jc w:val="right"/>
              <w:rPr>
                <w:sz w:val="10"/>
                <w:szCs w:val="10"/>
              </w:rPr>
            </w:pPr>
            <w:r>
              <w:rPr>
                <w:noProof/>
                <w:sz w:val="10"/>
                <w:szCs w:val="10"/>
              </w:rPr>
              <w:t>43,00</w:t>
            </w:r>
          </w:p>
        </w:tc>
        <w:tc>
          <w:tcPr>
            <w:tcW w:w="0" w:type="auto"/>
            <w:shd w:val="clear" w:color="auto" w:fill="auto"/>
          </w:tcPr>
          <w:p w14:paraId="11766347" w14:textId="77777777" w:rsidR="008C5CFA" w:rsidRPr="001C4484" w:rsidRDefault="00E82A60" w:rsidP="00300A01">
            <w:pPr>
              <w:spacing w:before="0" w:after="0"/>
              <w:jc w:val="right"/>
              <w:rPr>
                <w:sz w:val="10"/>
                <w:szCs w:val="10"/>
              </w:rPr>
            </w:pPr>
            <w:r w:rsidRPr="001C4484">
              <w:rPr>
                <w:noProof/>
                <w:sz w:val="10"/>
                <w:szCs w:val="10"/>
              </w:rPr>
              <w:t>20,00</w:t>
            </w:r>
          </w:p>
        </w:tc>
        <w:tc>
          <w:tcPr>
            <w:tcW w:w="0" w:type="auto"/>
            <w:shd w:val="clear" w:color="auto" w:fill="auto"/>
          </w:tcPr>
          <w:p w14:paraId="05CB49A1" w14:textId="77777777" w:rsidR="008C5CFA" w:rsidRPr="001C4484" w:rsidRDefault="00E82A60" w:rsidP="00300A01">
            <w:pPr>
              <w:spacing w:before="0" w:after="0"/>
              <w:jc w:val="right"/>
              <w:rPr>
                <w:sz w:val="10"/>
                <w:szCs w:val="10"/>
                <w:lang w:val="fr-BE"/>
              </w:rPr>
            </w:pPr>
            <w:r w:rsidRPr="001C4484">
              <w:rPr>
                <w:noProof/>
                <w:sz w:val="10"/>
                <w:szCs w:val="10"/>
              </w:rPr>
              <w:t>23,00</w:t>
            </w:r>
          </w:p>
        </w:tc>
        <w:tc>
          <w:tcPr>
            <w:tcW w:w="0" w:type="auto"/>
          </w:tcPr>
          <w:p w14:paraId="62D446C1" w14:textId="77777777" w:rsidR="008C5CFA" w:rsidRPr="001C4484" w:rsidRDefault="00E82A60" w:rsidP="00300A01">
            <w:pPr>
              <w:spacing w:before="0" w:after="0"/>
              <w:jc w:val="right"/>
              <w:rPr>
                <w:sz w:val="10"/>
                <w:szCs w:val="10"/>
              </w:rPr>
            </w:pPr>
            <w:r>
              <w:rPr>
                <w:noProof/>
                <w:sz w:val="10"/>
                <w:szCs w:val="10"/>
              </w:rPr>
              <w:t>25,00</w:t>
            </w:r>
          </w:p>
        </w:tc>
        <w:tc>
          <w:tcPr>
            <w:tcW w:w="0" w:type="auto"/>
            <w:shd w:val="clear" w:color="auto" w:fill="auto"/>
          </w:tcPr>
          <w:p w14:paraId="04AB4CD5" w14:textId="77777777" w:rsidR="008C5CFA" w:rsidRPr="001C4484" w:rsidRDefault="00E82A60" w:rsidP="00300A01">
            <w:pPr>
              <w:spacing w:before="0" w:after="0"/>
              <w:jc w:val="right"/>
              <w:rPr>
                <w:sz w:val="10"/>
                <w:szCs w:val="10"/>
              </w:rPr>
            </w:pPr>
            <w:r w:rsidRPr="001C4484">
              <w:rPr>
                <w:noProof/>
                <w:sz w:val="10"/>
                <w:szCs w:val="10"/>
              </w:rPr>
              <w:t>9,00</w:t>
            </w:r>
          </w:p>
        </w:tc>
        <w:tc>
          <w:tcPr>
            <w:tcW w:w="0" w:type="auto"/>
            <w:shd w:val="clear" w:color="auto" w:fill="auto"/>
          </w:tcPr>
          <w:p w14:paraId="3AAF3E60" w14:textId="77777777" w:rsidR="008C5CFA" w:rsidRPr="001C4484" w:rsidRDefault="00E82A60" w:rsidP="00300A01">
            <w:pPr>
              <w:spacing w:before="0" w:after="0"/>
              <w:jc w:val="right"/>
              <w:rPr>
                <w:sz w:val="10"/>
                <w:szCs w:val="10"/>
                <w:lang w:val="fr-BE"/>
              </w:rPr>
            </w:pPr>
            <w:r w:rsidRPr="001C4484">
              <w:rPr>
                <w:noProof/>
                <w:sz w:val="10"/>
                <w:szCs w:val="10"/>
              </w:rPr>
              <w:t>16,00</w:t>
            </w:r>
          </w:p>
        </w:tc>
        <w:tc>
          <w:tcPr>
            <w:tcW w:w="0" w:type="auto"/>
          </w:tcPr>
          <w:p w14:paraId="6FF8CF26"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372FE2AF"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43183368" w14:textId="77777777" w:rsidR="008C5CFA" w:rsidRPr="001C4484" w:rsidRDefault="00E82A60" w:rsidP="00300A01">
            <w:pPr>
              <w:spacing w:before="0" w:after="0"/>
              <w:jc w:val="right"/>
              <w:rPr>
                <w:sz w:val="10"/>
                <w:szCs w:val="10"/>
                <w:lang w:val="fr-BE"/>
              </w:rPr>
            </w:pPr>
            <w:r w:rsidRPr="001C4484">
              <w:rPr>
                <w:noProof/>
                <w:sz w:val="10"/>
                <w:szCs w:val="10"/>
              </w:rPr>
              <w:t>0,00</w:t>
            </w:r>
          </w:p>
        </w:tc>
      </w:tr>
      <w:tr w:rsidR="006B2EC1" w14:paraId="581F7D5B" w14:textId="77777777" w:rsidTr="0047688D">
        <w:tc>
          <w:tcPr>
            <w:tcW w:w="0" w:type="auto"/>
            <w:shd w:val="clear" w:color="auto" w:fill="auto"/>
          </w:tcPr>
          <w:p w14:paraId="476E8E5A" w14:textId="77777777" w:rsidR="008C5CFA" w:rsidRPr="001C4484" w:rsidRDefault="00E82A60" w:rsidP="00300A01">
            <w:pPr>
              <w:spacing w:before="0" w:after="0"/>
              <w:rPr>
                <w:sz w:val="10"/>
                <w:szCs w:val="10"/>
                <w:lang w:val="fr-BE"/>
              </w:rPr>
            </w:pPr>
            <w:r w:rsidRPr="001C4484">
              <w:rPr>
                <w:noProof/>
                <w:sz w:val="10"/>
                <w:szCs w:val="10"/>
                <w:lang w:val="fr-BE"/>
              </w:rPr>
              <w:t>CO07</w:t>
            </w:r>
          </w:p>
        </w:tc>
        <w:tc>
          <w:tcPr>
            <w:tcW w:w="0" w:type="auto"/>
            <w:shd w:val="clear" w:color="auto" w:fill="auto"/>
          </w:tcPr>
          <w:p w14:paraId="7757FEE4" w14:textId="77777777" w:rsidR="008C5CFA" w:rsidRPr="001C4484" w:rsidRDefault="00E82A60" w:rsidP="00300A01">
            <w:pPr>
              <w:spacing w:before="0" w:after="0"/>
              <w:rPr>
                <w:sz w:val="10"/>
                <w:szCs w:val="10"/>
                <w:lang w:val="fr-BE"/>
              </w:rPr>
            </w:pPr>
            <w:r w:rsidRPr="001C4484">
              <w:rPr>
                <w:noProof/>
                <w:sz w:val="10"/>
                <w:szCs w:val="10"/>
                <w:lang w:val="fr-BE"/>
              </w:rPr>
              <w:t>osoby w wieku powyżej 54 lat</w:t>
            </w:r>
          </w:p>
        </w:tc>
        <w:tc>
          <w:tcPr>
            <w:tcW w:w="0" w:type="auto"/>
            <w:shd w:val="clear" w:color="auto" w:fill="auto"/>
          </w:tcPr>
          <w:p w14:paraId="05DA55C3"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2418C0BB" w14:textId="77777777" w:rsidR="008C5CFA" w:rsidRPr="001C4484" w:rsidRDefault="00E82A60" w:rsidP="00300A01">
            <w:pPr>
              <w:spacing w:before="0" w:after="0"/>
              <w:jc w:val="right"/>
              <w:rPr>
                <w:sz w:val="10"/>
                <w:szCs w:val="10"/>
              </w:rPr>
            </w:pPr>
            <w:r>
              <w:rPr>
                <w:noProof/>
                <w:sz w:val="10"/>
                <w:szCs w:val="10"/>
              </w:rPr>
              <w:t>154,00</w:t>
            </w:r>
          </w:p>
        </w:tc>
        <w:tc>
          <w:tcPr>
            <w:tcW w:w="0" w:type="auto"/>
            <w:shd w:val="clear" w:color="auto" w:fill="auto"/>
          </w:tcPr>
          <w:p w14:paraId="64A683D3" w14:textId="77777777" w:rsidR="008C5CFA" w:rsidRPr="001C4484" w:rsidRDefault="00E82A60" w:rsidP="00300A01">
            <w:pPr>
              <w:spacing w:before="0" w:after="0"/>
              <w:jc w:val="right"/>
              <w:rPr>
                <w:sz w:val="10"/>
                <w:szCs w:val="10"/>
              </w:rPr>
            </w:pPr>
            <w:r w:rsidRPr="001C4484">
              <w:rPr>
                <w:noProof/>
                <w:sz w:val="10"/>
                <w:szCs w:val="10"/>
              </w:rPr>
              <w:t>43,00</w:t>
            </w:r>
          </w:p>
        </w:tc>
        <w:tc>
          <w:tcPr>
            <w:tcW w:w="0" w:type="auto"/>
            <w:shd w:val="clear" w:color="auto" w:fill="auto"/>
          </w:tcPr>
          <w:p w14:paraId="631C10D7" w14:textId="77777777" w:rsidR="008C5CFA" w:rsidRPr="001C4484" w:rsidRDefault="00E82A60" w:rsidP="00300A01">
            <w:pPr>
              <w:spacing w:before="0" w:after="0"/>
              <w:jc w:val="right"/>
              <w:rPr>
                <w:sz w:val="10"/>
                <w:szCs w:val="10"/>
                <w:lang w:val="fr-BE"/>
              </w:rPr>
            </w:pPr>
            <w:r w:rsidRPr="001C4484">
              <w:rPr>
                <w:noProof/>
                <w:sz w:val="10"/>
                <w:szCs w:val="10"/>
              </w:rPr>
              <w:t>111,00</w:t>
            </w:r>
          </w:p>
        </w:tc>
        <w:tc>
          <w:tcPr>
            <w:tcW w:w="0" w:type="auto"/>
          </w:tcPr>
          <w:p w14:paraId="46BEE41E" w14:textId="77777777" w:rsidR="008C5CFA" w:rsidRPr="001C4484" w:rsidRDefault="00E82A60" w:rsidP="00300A01">
            <w:pPr>
              <w:spacing w:before="0" w:after="0"/>
              <w:jc w:val="right"/>
              <w:rPr>
                <w:sz w:val="10"/>
                <w:szCs w:val="10"/>
              </w:rPr>
            </w:pPr>
            <w:r>
              <w:rPr>
                <w:noProof/>
                <w:sz w:val="10"/>
                <w:szCs w:val="10"/>
              </w:rPr>
              <w:t>110,00</w:t>
            </w:r>
          </w:p>
        </w:tc>
        <w:tc>
          <w:tcPr>
            <w:tcW w:w="0" w:type="auto"/>
            <w:shd w:val="clear" w:color="auto" w:fill="auto"/>
          </w:tcPr>
          <w:p w14:paraId="24422ED6" w14:textId="77777777" w:rsidR="008C5CFA" w:rsidRPr="001C4484" w:rsidRDefault="00E82A60" w:rsidP="00300A01">
            <w:pPr>
              <w:spacing w:before="0" w:after="0"/>
              <w:jc w:val="right"/>
              <w:rPr>
                <w:sz w:val="10"/>
                <w:szCs w:val="10"/>
              </w:rPr>
            </w:pPr>
            <w:r w:rsidRPr="001C4484">
              <w:rPr>
                <w:noProof/>
                <w:sz w:val="10"/>
                <w:szCs w:val="10"/>
              </w:rPr>
              <w:t>41,00</w:t>
            </w:r>
          </w:p>
        </w:tc>
        <w:tc>
          <w:tcPr>
            <w:tcW w:w="0" w:type="auto"/>
            <w:shd w:val="clear" w:color="auto" w:fill="auto"/>
          </w:tcPr>
          <w:p w14:paraId="1A0B9CB7" w14:textId="77777777" w:rsidR="008C5CFA" w:rsidRPr="001C4484" w:rsidRDefault="00E82A60" w:rsidP="00300A01">
            <w:pPr>
              <w:spacing w:before="0" w:after="0"/>
              <w:jc w:val="right"/>
              <w:rPr>
                <w:sz w:val="10"/>
                <w:szCs w:val="10"/>
                <w:lang w:val="fr-BE"/>
              </w:rPr>
            </w:pPr>
            <w:r w:rsidRPr="001C4484">
              <w:rPr>
                <w:noProof/>
                <w:sz w:val="10"/>
                <w:szCs w:val="10"/>
              </w:rPr>
              <w:t>69,00</w:t>
            </w:r>
          </w:p>
        </w:tc>
        <w:tc>
          <w:tcPr>
            <w:tcW w:w="0" w:type="auto"/>
          </w:tcPr>
          <w:p w14:paraId="4A87CB35" w14:textId="77777777" w:rsidR="008C5CFA" w:rsidRPr="001C4484" w:rsidRDefault="00E82A60" w:rsidP="00300A01">
            <w:pPr>
              <w:spacing w:before="0" w:after="0"/>
              <w:jc w:val="right"/>
              <w:rPr>
                <w:sz w:val="10"/>
                <w:szCs w:val="10"/>
              </w:rPr>
            </w:pPr>
            <w:r>
              <w:rPr>
                <w:noProof/>
                <w:sz w:val="10"/>
                <w:szCs w:val="10"/>
              </w:rPr>
              <w:t>34,00</w:t>
            </w:r>
          </w:p>
        </w:tc>
        <w:tc>
          <w:tcPr>
            <w:tcW w:w="0" w:type="auto"/>
            <w:shd w:val="clear" w:color="auto" w:fill="auto"/>
          </w:tcPr>
          <w:p w14:paraId="568B88F8" w14:textId="77777777" w:rsidR="008C5CFA" w:rsidRPr="001C4484" w:rsidRDefault="00E82A60" w:rsidP="00300A01">
            <w:pPr>
              <w:spacing w:before="0" w:after="0"/>
              <w:jc w:val="right"/>
              <w:rPr>
                <w:sz w:val="10"/>
                <w:szCs w:val="10"/>
              </w:rPr>
            </w:pPr>
            <w:r w:rsidRPr="001C4484">
              <w:rPr>
                <w:noProof/>
                <w:sz w:val="10"/>
                <w:szCs w:val="10"/>
              </w:rPr>
              <w:t>14,00</w:t>
            </w:r>
          </w:p>
        </w:tc>
        <w:tc>
          <w:tcPr>
            <w:tcW w:w="0" w:type="auto"/>
            <w:shd w:val="clear" w:color="auto" w:fill="auto"/>
          </w:tcPr>
          <w:p w14:paraId="42126E55" w14:textId="77777777" w:rsidR="008C5CFA" w:rsidRPr="001C4484" w:rsidRDefault="00E82A60" w:rsidP="00300A01">
            <w:pPr>
              <w:spacing w:before="0" w:after="0"/>
              <w:jc w:val="right"/>
              <w:rPr>
                <w:sz w:val="10"/>
                <w:szCs w:val="10"/>
                <w:lang w:val="fr-BE"/>
              </w:rPr>
            </w:pPr>
            <w:r w:rsidRPr="001C4484">
              <w:rPr>
                <w:noProof/>
                <w:sz w:val="10"/>
                <w:szCs w:val="10"/>
              </w:rPr>
              <w:t>20,00</w:t>
            </w:r>
          </w:p>
        </w:tc>
      </w:tr>
      <w:tr w:rsidR="006B2EC1" w14:paraId="1BB2D04C" w14:textId="77777777" w:rsidTr="0047688D">
        <w:tc>
          <w:tcPr>
            <w:tcW w:w="0" w:type="auto"/>
            <w:shd w:val="clear" w:color="auto" w:fill="auto"/>
          </w:tcPr>
          <w:p w14:paraId="4B18FB07" w14:textId="77777777" w:rsidR="008C5CFA" w:rsidRPr="001C4484" w:rsidRDefault="00E82A60" w:rsidP="00300A01">
            <w:pPr>
              <w:spacing w:before="0" w:after="0"/>
              <w:rPr>
                <w:sz w:val="10"/>
                <w:szCs w:val="10"/>
                <w:lang w:val="fr-BE"/>
              </w:rPr>
            </w:pPr>
            <w:r w:rsidRPr="001C4484">
              <w:rPr>
                <w:noProof/>
                <w:sz w:val="10"/>
                <w:szCs w:val="10"/>
                <w:lang w:val="fr-BE"/>
              </w:rPr>
              <w:t>CO08</w:t>
            </w:r>
          </w:p>
        </w:tc>
        <w:tc>
          <w:tcPr>
            <w:tcW w:w="0" w:type="auto"/>
            <w:shd w:val="clear" w:color="auto" w:fill="auto"/>
          </w:tcPr>
          <w:p w14:paraId="186315C2" w14:textId="77777777" w:rsidR="008C5CFA" w:rsidRPr="001C4484" w:rsidRDefault="00E82A60" w:rsidP="00300A01">
            <w:pPr>
              <w:spacing w:before="0" w:after="0"/>
              <w:rPr>
                <w:sz w:val="10"/>
                <w:szCs w:val="10"/>
                <w:lang w:val="fr-BE"/>
              </w:rPr>
            </w:pPr>
            <w:r w:rsidRPr="001C4484">
              <w:rPr>
                <w:noProof/>
                <w:sz w:val="10"/>
                <w:szCs w:val="10"/>
                <w:lang w:val="fr-BE"/>
              </w:rPr>
              <w:t>osoby powyżej 54 lat, które są bezrobotne, łącznie z długotrwale bezrobotnymi, lub są bierne zawodowo i nie uczestniczą w kształceniu ani szkoleniu</w:t>
            </w:r>
          </w:p>
        </w:tc>
        <w:tc>
          <w:tcPr>
            <w:tcW w:w="0" w:type="auto"/>
            <w:shd w:val="clear" w:color="auto" w:fill="auto"/>
          </w:tcPr>
          <w:p w14:paraId="2C4681A1"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27E7C246" w14:textId="77777777" w:rsidR="008C5CFA" w:rsidRPr="001C4484" w:rsidRDefault="00E82A60" w:rsidP="00300A01">
            <w:pPr>
              <w:spacing w:before="0" w:after="0"/>
              <w:jc w:val="right"/>
              <w:rPr>
                <w:sz w:val="10"/>
                <w:szCs w:val="10"/>
              </w:rPr>
            </w:pPr>
            <w:r>
              <w:rPr>
                <w:noProof/>
                <w:sz w:val="10"/>
                <w:szCs w:val="10"/>
              </w:rPr>
              <w:t>18,00</w:t>
            </w:r>
          </w:p>
        </w:tc>
        <w:tc>
          <w:tcPr>
            <w:tcW w:w="0" w:type="auto"/>
            <w:shd w:val="clear" w:color="auto" w:fill="auto"/>
          </w:tcPr>
          <w:p w14:paraId="0114C788" w14:textId="77777777" w:rsidR="008C5CFA" w:rsidRPr="001C4484" w:rsidRDefault="00E82A60" w:rsidP="00300A01">
            <w:pPr>
              <w:spacing w:before="0" w:after="0"/>
              <w:jc w:val="right"/>
              <w:rPr>
                <w:sz w:val="10"/>
                <w:szCs w:val="10"/>
              </w:rPr>
            </w:pPr>
            <w:r w:rsidRPr="001C4484">
              <w:rPr>
                <w:noProof/>
                <w:sz w:val="10"/>
                <w:szCs w:val="10"/>
              </w:rPr>
              <w:t>3,00</w:t>
            </w:r>
          </w:p>
        </w:tc>
        <w:tc>
          <w:tcPr>
            <w:tcW w:w="0" w:type="auto"/>
            <w:shd w:val="clear" w:color="auto" w:fill="auto"/>
          </w:tcPr>
          <w:p w14:paraId="1537668E" w14:textId="77777777" w:rsidR="008C5CFA" w:rsidRPr="001C4484" w:rsidRDefault="00E82A60" w:rsidP="00300A01">
            <w:pPr>
              <w:spacing w:before="0" w:after="0"/>
              <w:jc w:val="right"/>
              <w:rPr>
                <w:sz w:val="10"/>
                <w:szCs w:val="10"/>
                <w:lang w:val="fr-BE"/>
              </w:rPr>
            </w:pPr>
            <w:r w:rsidRPr="001C4484">
              <w:rPr>
                <w:noProof/>
                <w:sz w:val="10"/>
                <w:szCs w:val="10"/>
              </w:rPr>
              <w:t>15,00</w:t>
            </w:r>
          </w:p>
        </w:tc>
        <w:tc>
          <w:tcPr>
            <w:tcW w:w="0" w:type="auto"/>
          </w:tcPr>
          <w:p w14:paraId="09660745" w14:textId="77777777" w:rsidR="008C5CFA" w:rsidRPr="001C4484" w:rsidRDefault="00E82A60" w:rsidP="00300A01">
            <w:pPr>
              <w:spacing w:before="0" w:after="0"/>
              <w:jc w:val="right"/>
              <w:rPr>
                <w:sz w:val="10"/>
                <w:szCs w:val="10"/>
              </w:rPr>
            </w:pPr>
            <w:r>
              <w:rPr>
                <w:noProof/>
                <w:sz w:val="10"/>
                <w:szCs w:val="10"/>
              </w:rPr>
              <w:t>25,00</w:t>
            </w:r>
          </w:p>
        </w:tc>
        <w:tc>
          <w:tcPr>
            <w:tcW w:w="0" w:type="auto"/>
            <w:shd w:val="clear" w:color="auto" w:fill="auto"/>
          </w:tcPr>
          <w:p w14:paraId="2A318B17" w14:textId="77777777" w:rsidR="008C5CFA" w:rsidRPr="001C4484" w:rsidRDefault="00E82A60" w:rsidP="00300A01">
            <w:pPr>
              <w:spacing w:before="0" w:after="0"/>
              <w:jc w:val="right"/>
              <w:rPr>
                <w:sz w:val="10"/>
                <w:szCs w:val="10"/>
              </w:rPr>
            </w:pPr>
            <w:r w:rsidRPr="001C4484">
              <w:rPr>
                <w:noProof/>
                <w:sz w:val="10"/>
                <w:szCs w:val="10"/>
              </w:rPr>
              <w:t>13,00</w:t>
            </w:r>
          </w:p>
        </w:tc>
        <w:tc>
          <w:tcPr>
            <w:tcW w:w="0" w:type="auto"/>
            <w:shd w:val="clear" w:color="auto" w:fill="auto"/>
          </w:tcPr>
          <w:p w14:paraId="49B1C935" w14:textId="77777777" w:rsidR="008C5CFA" w:rsidRPr="001C4484" w:rsidRDefault="00E82A60" w:rsidP="00300A01">
            <w:pPr>
              <w:spacing w:before="0" w:after="0"/>
              <w:jc w:val="right"/>
              <w:rPr>
                <w:sz w:val="10"/>
                <w:szCs w:val="10"/>
                <w:lang w:val="fr-BE"/>
              </w:rPr>
            </w:pPr>
            <w:r w:rsidRPr="001C4484">
              <w:rPr>
                <w:noProof/>
                <w:sz w:val="10"/>
                <w:szCs w:val="10"/>
              </w:rPr>
              <w:t>12,00</w:t>
            </w:r>
          </w:p>
        </w:tc>
        <w:tc>
          <w:tcPr>
            <w:tcW w:w="0" w:type="auto"/>
          </w:tcPr>
          <w:p w14:paraId="4480E243" w14:textId="77777777" w:rsidR="008C5CFA" w:rsidRPr="001C4484" w:rsidRDefault="00E82A60" w:rsidP="00300A01">
            <w:pPr>
              <w:spacing w:before="0" w:after="0"/>
              <w:jc w:val="right"/>
              <w:rPr>
                <w:sz w:val="10"/>
                <w:szCs w:val="10"/>
              </w:rPr>
            </w:pPr>
            <w:r>
              <w:rPr>
                <w:noProof/>
                <w:sz w:val="10"/>
                <w:szCs w:val="10"/>
              </w:rPr>
              <w:t>1,00</w:t>
            </w:r>
          </w:p>
        </w:tc>
        <w:tc>
          <w:tcPr>
            <w:tcW w:w="0" w:type="auto"/>
            <w:shd w:val="clear" w:color="auto" w:fill="auto"/>
          </w:tcPr>
          <w:p w14:paraId="1F750AFE" w14:textId="77777777" w:rsidR="008C5CFA" w:rsidRPr="001C4484" w:rsidRDefault="00E82A60" w:rsidP="00300A01">
            <w:pPr>
              <w:spacing w:before="0" w:after="0"/>
              <w:jc w:val="right"/>
              <w:rPr>
                <w:sz w:val="10"/>
                <w:szCs w:val="10"/>
              </w:rPr>
            </w:pPr>
            <w:r w:rsidRPr="001C4484">
              <w:rPr>
                <w:noProof/>
                <w:sz w:val="10"/>
                <w:szCs w:val="10"/>
              </w:rPr>
              <w:t>1,00</w:t>
            </w:r>
          </w:p>
        </w:tc>
        <w:tc>
          <w:tcPr>
            <w:tcW w:w="0" w:type="auto"/>
            <w:shd w:val="clear" w:color="auto" w:fill="auto"/>
          </w:tcPr>
          <w:p w14:paraId="68338644" w14:textId="77777777" w:rsidR="008C5CFA" w:rsidRPr="001C4484" w:rsidRDefault="00E82A60" w:rsidP="00300A01">
            <w:pPr>
              <w:spacing w:before="0" w:after="0"/>
              <w:jc w:val="right"/>
              <w:rPr>
                <w:sz w:val="10"/>
                <w:szCs w:val="10"/>
                <w:lang w:val="fr-BE"/>
              </w:rPr>
            </w:pPr>
            <w:r w:rsidRPr="001C4484">
              <w:rPr>
                <w:noProof/>
                <w:sz w:val="10"/>
                <w:szCs w:val="10"/>
              </w:rPr>
              <w:t>0,00</w:t>
            </w:r>
          </w:p>
        </w:tc>
      </w:tr>
      <w:tr w:rsidR="006B2EC1" w14:paraId="4A18B5DA" w14:textId="77777777" w:rsidTr="0047688D">
        <w:tc>
          <w:tcPr>
            <w:tcW w:w="0" w:type="auto"/>
            <w:shd w:val="clear" w:color="auto" w:fill="auto"/>
          </w:tcPr>
          <w:p w14:paraId="35EDB52C" w14:textId="77777777" w:rsidR="008C5CFA" w:rsidRPr="001C4484" w:rsidRDefault="00E82A60" w:rsidP="00300A01">
            <w:pPr>
              <w:spacing w:before="0" w:after="0"/>
              <w:rPr>
                <w:sz w:val="10"/>
                <w:szCs w:val="10"/>
                <w:lang w:val="fr-BE"/>
              </w:rPr>
            </w:pPr>
            <w:r w:rsidRPr="001C4484">
              <w:rPr>
                <w:noProof/>
                <w:sz w:val="10"/>
                <w:szCs w:val="10"/>
                <w:lang w:val="fr-BE"/>
              </w:rPr>
              <w:t>CO09</w:t>
            </w:r>
          </w:p>
        </w:tc>
        <w:tc>
          <w:tcPr>
            <w:tcW w:w="0" w:type="auto"/>
            <w:shd w:val="clear" w:color="auto" w:fill="auto"/>
          </w:tcPr>
          <w:p w14:paraId="7B4C3059" w14:textId="77777777" w:rsidR="008C5CFA" w:rsidRPr="001C4484" w:rsidRDefault="00E82A60" w:rsidP="00300A01">
            <w:pPr>
              <w:spacing w:before="0" w:after="0"/>
              <w:rPr>
                <w:sz w:val="10"/>
                <w:szCs w:val="10"/>
                <w:lang w:val="fr-BE"/>
              </w:rPr>
            </w:pPr>
            <w:r w:rsidRPr="001C4484">
              <w:rPr>
                <w:noProof/>
                <w:sz w:val="10"/>
                <w:szCs w:val="10"/>
                <w:lang w:val="fr-BE"/>
              </w:rPr>
              <w:t>osoby z wykształceniem podstawowym (ISCED 1) lub średnim I stopnia (ISCED 2)</w:t>
            </w:r>
          </w:p>
        </w:tc>
        <w:tc>
          <w:tcPr>
            <w:tcW w:w="0" w:type="auto"/>
            <w:shd w:val="clear" w:color="auto" w:fill="auto"/>
          </w:tcPr>
          <w:p w14:paraId="34E7BE98"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3987953A" w14:textId="77777777" w:rsidR="008C5CFA" w:rsidRPr="001C4484" w:rsidRDefault="00E82A60" w:rsidP="00300A01">
            <w:pPr>
              <w:spacing w:before="0" w:after="0"/>
              <w:jc w:val="right"/>
              <w:rPr>
                <w:sz w:val="10"/>
                <w:szCs w:val="10"/>
              </w:rPr>
            </w:pPr>
            <w:r>
              <w:rPr>
                <w:noProof/>
                <w:sz w:val="10"/>
                <w:szCs w:val="10"/>
              </w:rPr>
              <w:t>80,00</w:t>
            </w:r>
          </w:p>
        </w:tc>
        <w:tc>
          <w:tcPr>
            <w:tcW w:w="0" w:type="auto"/>
            <w:shd w:val="clear" w:color="auto" w:fill="auto"/>
          </w:tcPr>
          <w:p w14:paraId="21749AE7" w14:textId="77777777" w:rsidR="008C5CFA" w:rsidRPr="001C4484" w:rsidRDefault="00E82A60" w:rsidP="00300A01">
            <w:pPr>
              <w:spacing w:before="0" w:after="0"/>
              <w:jc w:val="right"/>
              <w:rPr>
                <w:sz w:val="10"/>
                <w:szCs w:val="10"/>
              </w:rPr>
            </w:pPr>
            <w:r w:rsidRPr="001C4484">
              <w:rPr>
                <w:noProof/>
                <w:sz w:val="10"/>
                <w:szCs w:val="10"/>
              </w:rPr>
              <w:t>34,00</w:t>
            </w:r>
          </w:p>
        </w:tc>
        <w:tc>
          <w:tcPr>
            <w:tcW w:w="0" w:type="auto"/>
            <w:shd w:val="clear" w:color="auto" w:fill="auto"/>
          </w:tcPr>
          <w:p w14:paraId="116758AD" w14:textId="77777777" w:rsidR="008C5CFA" w:rsidRPr="001C4484" w:rsidRDefault="00E82A60" w:rsidP="00300A01">
            <w:pPr>
              <w:spacing w:before="0" w:after="0"/>
              <w:jc w:val="right"/>
              <w:rPr>
                <w:sz w:val="10"/>
                <w:szCs w:val="10"/>
                <w:lang w:val="fr-BE"/>
              </w:rPr>
            </w:pPr>
            <w:r w:rsidRPr="001C4484">
              <w:rPr>
                <w:noProof/>
                <w:sz w:val="10"/>
                <w:szCs w:val="10"/>
              </w:rPr>
              <w:t>46,00</w:t>
            </w:r>
          </w:p>
        </w:tc>
        <w:tc>
          <w:tcPr>
            <w:tcW w:w="0" w:type="auto"/>
          </w:tcPr>
          <w:p w14:paraId="44C1A6A2" w14:textId="77777777" w:rsidR="008C5CFA" w:rsidRPr="001C4484" w:rsidRDefault="00E82A60" w:rsidP="00300A01">
            <w:pPr>
              <w:spacing w:before="0" w:after="0"/>
              <w:jc w:val="right"/>
              <w:rPr>
                <w:sz w:val="10"/>
                <w:szCs w:val="10"/>
              </w:rPr>
            </w:pPr>
            <w:r>
              <w:rPr>
                <w:noProof/>
                <w:sz w:val="10"/>
                <w:szCs w:val="10"/>
              </w:rPr>
              <w:t>23,00</w:t>
            </w:r>
          </w:p>
        </w:tc>
        <w:tc>
          <w:tcPr>
            <w:tcW w:w="0" w:type="auto"/>
            <w:shd w:val="clear" w:color="auto" w:fill="auto"/>
          </w:tcPr>
          <w:p w14:paraId="5422811F" w14:textId="77777777" w:rsidR="008C5CFA" w:rsidRPr="001C4484" w:rsidRDefault="00E82A60" w:rsidP="00300A01">
            <w:pPr>
              <w:spacing w:before="0" w:after="0"/>
              <w:jc w:val="right"/>
              <w:rPr>
                <w:sz w:val="10"/>
                <w:szCs w:val="10"/>
              </w:rPr>
            </w:pPr>
            <w:r w:rsidRPr="001C4484">
              <w:rPr>
                <w:noProof/>
                <w:sz w:val="10"/>
                <w:szCs w:val="10"/>
              </w:rPr>
              <w:t>10,00</w:t>
            </w:r>
          </w:p>
        </w:tc>
        <w:tc>
          <w:tcPr>
            <w:tcW w:w="0" w:type="auto"/>
            <w:shd w:val="clear" w:color="auto" w:fill="auto"/>
          </w:tcPr>
          <w:p w14:paraId="4AC06E28" w14:textId="77777777" w:rsidR="008C5CFA" w:rsidRPr="001C4484" w:rsidRDefault="00E82A60" w:rsidP="00300A01">
            <w:pPr>
              <w:spacing w:before="0" w:after="0"/>
              <w:jc w:val="right"/>
              <w:rPr>
                <w:sz w:val="10"/>
                <w:szCs w:val="10"/>
                <w:lang w:val="fr-BE"/>
              </w:rPr>
            </w:pPr>
            <w:r w:rsidRPr="001C4484">
              <w:rPr>
                <w:noProof/>
                <w:sz w:val="10"/>
                <w:szCs w:val="10"/>
              </w:rPr>
              <w:t>13,00</w:t>
            </w:r>
          </w:p>
        </w:tc>
        <w:tc>
          <w:tcPr>
            <w:tcW w:w="0" w:type="auto"/>
          </w:tcPr>
          <w:p w14:paraId="534EE3F3" w14:textId="77777777" w:rsidR="008C5CFA" w:rsidRPr="001C4484" w:rsidRDefault="00E82A60" w:rsidP="00300A01">
            <w:pPr>
              <w:spacing w:before="0" w:after="0"/>
              <w:jc w:val="right"/>
              <w:rPr>
                <w:sz w:val="10"/>
                <w:szCs w:val="10"/>
              </w:rPr>
            </w:pPr>
            <w:r>
              <w:rPr>
                <w:noProof/>
                <w:sz w:val="10"/>
                <w:szCs w:val="10"/>
              </w:rPr>
              <w:t>3,00</w:t>
            </w:r>
          </w:p>
        </w:tc>
        <w:tc>
          <w:tcPr>
            <w:tcW w:w="0" w:type="auto"/>
            <w:shd w:val="clear" w:color="auto" w:fill="auto"/>
          </w:tcPr>
          <w:p w14:paraId="148BBEF1" w14:textId="77777777" w:rsidR="008C5CFA" w:rsidRPr="001C4484" w:rsidRDefault="00E82A60" w:rsidP="00300A01">
            <w:pPr>
              <w:spacing w:before="0" w:after="0"/>
              <w:jc w:val="right"/>
              <w:rPr>
                <w:sz w:val="10"/>
                <w:szCs w:val="10"/>
              </w:rPr>
            </w:pPr>
            <w:r w:rsidRPr="001C4484">
              <w:rPr>
                <w:noProof/>
                <w:sz w:val="10"/>
                <w:szCs w:val="10"/>
              </w:rPr>
              <w:t>1,00</w:t>
            </w:r>
          </w:p>
        </w:tc>
        <w:tc>
          <w:tcPr>
            <w:tcW w:w="0" w:type="auto"/>
            <w:shd w:val="clear" w:color="auto" w:fill="auto"/>
          </w:tcPr>
          <w:p w14:paraId="5028D8F9" w14:textId="77777777" w:rsidR="008C5CFA" w:rsidRPr="001C4484" w:rsidRDefault="00E82A60" w:rsidP="00300A01">
            <w:pPr>
              <w:spacing w:before="0" w:after="0"/>
              <w:jc w:val="right"/>
              <w:rPr>
                <w:sz w:val="10"/>
                <w:szCs w:val="10"/>
                <w:lang w:val="fr-BE"/>
              </w:rPr>
            </w:pPr>
            <w:r w:rsidRPr="001C4484">
              <w:rPr>
                <w:noProof/>
                <w:sz w:val="10"/>
                <w:szCs w:val="10"/>
              </w:rPr>
              <w:t>2,00</w:t>
            </w:r>
          </w:p>
        </w:tc>
      </w:tr>
      <w:tr w:rsidR="006B2EC1" w14:paraId="7C3CCA63" w14:textId="77777777" w:rsidTr="0047688D">
        <w:tc>
          <w:tcPr>
            <w:tcW w:w="0" w:type="auto"/>
            <w:shd w:val="clear" w:color="auto" w:fill="auto"/>
          </w:tcPr>
          <w:p w14:paraId="31054D87" w14:textId="77777777" w:rsidR="008C5CFA" w:rsidRPr="001C4484" w:rsidRDefault="00E82A60" w:rsidP="00300A01">
            <w:pPr>
              <w:spacing w:before="0" w:after="0"/>
              <w:rPr>
                <w:sz w:val="10"/>
                <w:szCs w:val="10"/>
                <w:lang w:val="fr-BE"/>
              </w:rPr>
            </w:pPr>
            <w:r w:rsidRPr="001C4484">
              <w:rPr>
                <w:noProof/>
                <w:sz w:val="10"/>
                <w:szCs w:val="10"/>
                <w:lang w:val="fr-BE"/>
              </w:rPr>
              <w:t>CO10</w:t>
            </w:r>
          </w:p>
        </w:tc>
        <w:tc>
          <w:tcPr>
            <w:tcW w:w="0" w:type="auto"/>
            <w:shd w:val="clear" w:color="auto" w:fill="auto"/>
          </w:tcPr>
          <w:p w14:paraId="337C0C03" w14:textId="77777777" w:rsidR="008C5CFA" w:rsidRPr="001C4484" w:rsidRDefault="00E82A60" w:rsidP="00300A01">
            <w:pPr>
              <w:spacing w:before="0" w:after="0"/>
              <w:rPr>
                <w:sz w:val="10"/>
                <w:szCs w:val="10"/>
                <w:lang w:val="fr-BE"/>
              </w:rPr>
            </w:pPr>
            <w:r w:rsidRPr="001C4484">
              <w:rPr>
                <w:noProof/>
                <w:sz w:val="10"/>
                <w:szCs w:val="10"/>
                <w:lang w:val="fr-BE"/>
              </w:rPr>
              <w:t>osoby z wykształceniem średnim II stopnia (ISCED 3) lub policealnym (ISCED 4)</w:t>
            </w:r>
          </w:p>
        </w:tc>
        <w:tc>
          <w:tcPr>
            <w:tcW w:w="0" w:type="auto"/>
            <w:shd w:val="clear" w:color="auto" w:fill="auto"/>
          </w:tcPr>
          <w:p w14:paraId="38E58C02"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5938F60D" w14:textId="77777777" w:rsidR="008C5CFA" w:rsidRPr="001C4484" w:rsidRDefault="00E82A60" w:rsidP="00300A01">
            <w:pPr>
              <w:spacing w:before="0" w:after="0"/>
              <w:jc w:val="right"/>
              <w:rPr>
                <w:sz w:val="10"/>
                <w:szCs w:val="10"/>
              </w:rPr>
            </w:pPr>
            <w:r>
              <w:rPr>
                <w:noProof/>
                <w:sz w:val="10"/>
                <w:szCs w:val="10"/>
              </w:rPr>
              <w:t>278,00</w:t>
            </w:r>
          </w:p>
        </w:tc>
        <w:tc>
          <w:tcPr>
            <w:tcW w:w="0" w:type="auto"/>
            <w:shd w:val="clear" w:color="auto" w:fill="auto"/>
          </w:tcPr>
          <w:p w14:paraId="79443BF1" w14:textId="77777777" w:rsidR="008C5CFA" w:rsidRPr="001C4484" w:rsidRDefault="00E82A60" w:rsidP="00300A01">
            <w:pPr>
              <w:spacing w:before="0" w:after="0"/>
              <w:jc w:val="right"/>
              <w:rPr>
                <w:sz w:val="10"/>
                <w:szCs w:val="10"/>
              </w:rPr>
            </w:pPr>
            <w:r w:rsidRPr="001C4484">
              <w:rPr>
                <w:noProof/>
                <w:sz w:val="10"/>
                <w:szCs w:val="10"/>
              </w:rPr>
              <w:t>94,00</w:t>
            </w:r>
          </w:p>
        </w:tc>
        <w:tc>
          <w:tcPr>
            <w:tcW w:w="0" w:type="auto"/>
            <w:shd w:val="clear" w:color="auto" w:fill="auto"/>
          </w:tcPr>
          <w:p w14:paraId="49BC89FB" w14:textId="77777777" w:rsidR="008C5CFA" w:rsidRPr="001C4484" w:rsidRDefault="00E82A60" w:rsidP="00300A01">
            <w:pPr>
              <w:spacing w:before="0" w:after="0"/>
              <w:jc w:val="right"/>
              <w:rPr>
                <w:sz w:val="10"/>
                <w:szCs w:val="10"/>
                <w:lang w:val="fr-BE"/>
              </w:rPr>
            </w:pPr>
            <w:r w:rsidRPr="001C4484">
              <w:rPr>
                <w:noProof/>
                <w:sz w:val="10"/>
                <w:szCs w:val="10"/>
              </w:rPr>
              <w:t>184,00</w:t>
            </w:r>
          </w:p>
        </w:tc>
        <w:tc>
          <w:tcPr>
            <w:tcW w:w="0" w:type="auto"/>
          </w:tcPr>
          <w:p w14:paraId="61063EB8" w14:textId="77777777" w:rsidR="008C5CFA" w:rsidRPr="001C4484" w:rsidRDefault="00E82A60" w:rsidP="00300A01">
            <w:pPr>
              <w:spacing w:before="0" w:after="0"/>
              <w:jc w:val="right"/>
              <w:rPr>
                <w:sz w:val="10"/>
                <w:szCs w:val="10"/>
              </w:rPr>
            </w:pPr>
            <w:r>
              <w:rPr>
                <w:noProof/>
                <w:sz w:val="10"/>
                <w:szCs w:val="10"/>
              </w:rPr>
              <w:t>175,00</w:t>
            </w:r>
          </w:p>
        </w:tc>
        <w:tc>
          <w:tcPr>
            <w:tcW w:w="0" w:type="auto"/>
            <w:shd w:val="clear" w:color="auto" w:fill="auto"/>
          </w:tcPr>
          <w:p w14:paraId="47A0FF32" w14:textId="77777777" w:rsidR="008C5CFA" w:rsidRPr="001C4484" w:rsidRDefault="00E82A60" w:rsidP="00300A01">
            <w:pPr>
              <w:spacing w:before="0" w:after="0"/>
              <w:jc w:val="right"/>
              <w:rPr>
                <w:sz w:val="10"/>
                <w:szCs w:val="10"/>
              </w:rPr>
            </w:pPr>
            <w:r w:rsidRPr="001C4484">
              <w:rPr>
                <w:noProof/>
                <w:sz w:val="10"/>
                <w:szCs w:val="10"/>
              </w:rPr>
              <w:t>50,00</w:t>
            </w:r>
          </w:p>
        </w:tc>
        <w:tc>
          <w:tcPr>
            <w:tcW w:w="0" w:type="auto"/>
            <w:shd w:val="clear" w:color="auto" w:fill="auto"/>
          </w:tcPr>
          <w:p w14:paraId="066AFFA7" w14:textId="77777777" w:rsidR="008C5CFA" w:rsidRPr="001C4484" w:rsidRDefault="00E82A60" w:rsidP="00300A01">
            <w:pPr>
              <w:spacing w:before="0" w:after="0"/>
              <w:jc w:val="right"/>
              <w:rPr>
                <w:sz w:val="10"/>
                <w:szCs w:val="10"/>
                <w:lang w:val="fr-BE"/>
              </w:rPr>
            </w:pPr>
            <w:r w:rsidRPr="001C4484">
              <w:rPr>
                <w:noProof/>
                <w:sz w:val="10"/>
                <w:szCs w:val="10"/>
              </w:rPr>
              <w:t>125,00</w:t>
            </w:r>
          </w:p>
        </w:tc>
        <w:tc>
          <w:tcPr>
            <w:tcW w:w="0" w:type="auto"/>
          </w:tcPr>
          <w:p w14:paraId="51DE5F04" w14:textId="77777777" w:rsidR="008C5CFA" w:rsidRPr="001C4484" w:rsidRDefault="00E82A60" w:rsidP="00300A01">
            <w:pPr>
              <w:spacing w:before="0" w:after="0"/>
              <w:jc w:val="right"/>
              <w:rPr>
                <w:sz w:val="10"/>
                <w:szCs w:val="10"/>
              </w:rPr>
            </w:pPr>
            <w:r>
              <w:rPr>
                <w:noProof/>
                <w:sz w:val="10"/>
                <w:szCs w:val="10"/>
              </w:rPr>
              <w:t>31,00</w:t>
            </w:r>
          </w:p>
        </w:tc>
        <w:tc>
          <w:tcPr>
            <w:tcW w:w="0" w:type="auto"/>
            <w:shd w:val="clear" w:color="auto" w:fill="auto"/>
          </w:tcPr>
          <w:p w14:paraId="5AF002E1" w14:textId="77777777" w:rsidR="008C5CFA" w:rsidRPr="001C4484" w:rsidRDefault="00E82A60" w:rsidP="00300A01">
            <w:pPr>
              <w:spacing w:before="0" w:after="0"/>
              <w:jc w:val="right"/>
              <w:rPr>
                <w:sz w:val="10"/>
                <w:szCs w:val="10"/>
              </w:rPr>
            </w:pPr>
            <w:r w:rsidRPr="001C4484">
              <w:rPr>
                <w:noProof/>
                <w:sz w:val="10"/>
                <w:szCs w:val="10"/>
              </w:rPr>
              <w:t>12,00</w:t>
            </w:r>
          </w:p>
        </w:tc>
        <w:tc>
          <w:tcPr>
            <w:tcW w:w="0" w:type="auto"/>
            <w:shd w:val="clear" w:color="auto" w:fill="auto"/>
          </w:tcPr>
          <w:p w14:paraId="44AB5731" w14:textId="77777777" w:rsidR="008C5CFA" w:rsidRPr="001C4484" w:rsidRDefault="00E82A60" w:rsidP="00300A01">
            <w:pPr>
              <w:spacing w:before="0" w:after="0"/>
              <w:jc w:val="right"/>
              <w:rPr>
                <w:sz w:val="10"/>
                <w:szCs w:val="10"/>
                <w:lang w:val="fr-BE"/>
              </w:rPr>
            </w:pPr>
            <w:r w:rsidRPr="001C4484">
              <w:rPr>
                <w:noProof/>
                <w:sz w:val="10"/>
                <w:szCs w:val="10"/>
              </w:rPr>
              <w:t>19,00</w:t>
            </w:r>
          </w:p>
        </w:tc>
      </w:tr>
      <w:tr w:rsidR="006B2EC1" w14:paraId="24A0137A" w14:textId="77777777" w:rsidTr="0047688D">
        <w:tc>
          <w:tcPr>
            <w:tcW w:w="0" w:type="auto"/>
            <w:shd w:val="clear" w:color="auto" w:fill="auto"/>
          </w:tcPr>
          <w:p w14:paraId="432D4521" w14:textId="77777777" w:rsidR="008C5CFA" w:rsidRPr="001C4484" w:rsidRDefault="00E82A60" w:rsidP="00300A01">
            <w:pPr>
              <w:spacing w:before="0" w:after="0"/>
              <w:rPr>
                <w:sz w:val="10"/>
                <w:szCs w:val="10"/>
                <w:lang w:val="fr-BE"/>
              </w:rPr>
            </w:pPr>
            <w:r w:rsidRPr="001C4484">
              <w:rPr>
                <w:noProof/>
                <w:sz w:val="10"/>
                <w:szCs w:val="10"/>
                <w:lang w:val="fr-BE"/>
              </w:rPr>
              <w:t>CO11</w:t>
            </w:r>
          </w:p>
        </w:tc>
        <w:tc>
          <w:tcPr>
            <w:tcW w:w="0" w:type="auto"/>
            <w:shd w:val="clear" w:color="auto" w:fill="auto"/>
          </w:tcPr>
          <w:p w14:paraId="3AC1E4EC" w14:textId="77777777" w:rsidR="008C5CFA" w:rsidRPr="001C4484" w:rsidRDefault="00E82A60" w:rsidP="00300A01">
            <w:pPr>
              <w:spacing w:before="0" w:after="0"/>
              <w:rPr>
                <w:sz w:val="10"/>
                <w:szCs w:val="10"/>
                <w:lang w:val="fr-BE"/>
              </w:rPr>
            </w:pPr>
            <w:r w:rsidRPr="001C4484">
              <w:rPr>
                <w:noProof/>
                <w:sz w:val="10"/>
                <w:szCs w:val="10"/>
                <w:lang w:val="fr-BE"/>
              </w:rPr>
              <w:t>osoby z wykształceniem wyższym (ISCED 5 do 8)</w:t>
            </w:r>
          </w:p>
        </w:tc>
        <w:tc>
          <w:tcPr>
            <w:tcW w:w="0" w:type="auto"/>
            <w:shd w:val="clear" w:color="auto" w:fill="auto"/>
          </w:tcPr>
          <w:p w14:paraId="3B77F4B9"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03F41F86" w14:textId="77777777" w:rsidR="008C5CFA" w:rsidRPr="001C4484" w:rsidRDefault="00E82A60" w:rsidP="00300A01">
            <w:pPr>
              <w:spacing w:before="0" w:after="0"/>
              <w:jc w:val="right"/>
              <w:rPr>
                <w:sz w:val="10"/>
                <w:szCs w:val="10"/>
              </w:rPr>
            </w:pPr>
            <w:r>
              <w:rPr>
                <w:noProof/>
                <w:sz w:val="10"/>
                <w:szCs w:val="10"/>
              </w:rPr>
              <w:t>375,00</w:t>
            </w:r>
          </w:p>
        </w:tc>
        <w:tc>
          <w:tcPr>
            <w:tcW w:w="0" w:type="auto"/>
            <w:shd w:val="clear" w:color="auto" w:fill="auto"/>
          </w:tcPr>
          <w:p w14:paraId="476A01A4" w14:textId="77777777" w:rsidR="008C5CFA" w:rsidRPr="001C4484" w:rsidRDefault="00E82A60" w:rsidP="00300A01">
            <w:pPr>
              <w:spacing w:before="0" w:after="0"/>
              <w:jc w:val="right"/>
              <w:rPr>
                <w:sz w:val="10"/>
                <w:szCs w:val="10"/>
              </w:rPr>
            </w:pPr>
            <w:r w:rsidRPr="001C4484">
              <w:rPr>
                <w:noProof/>
                <w:sz w:val="10"/>
                <w:szCs w:val="10"/>
              </w:rPr>
              <w:t>87,00</w:t>
            </w:r>
          </w:p>
        </w:tc>
        <w:tc>
          <w:tcPr>
            <w:tcW w:w="0" w:type="auto"/>
            <w:shd w:val="clear" w:color="auto" w:fill="auto"/>
          </w:tcPr>
          <w:p w14:paraId="48CDBFA1" w14:textId="77777777" w:rsidR="008C5CFA" w:rsidRPr="001C4484" w:rsidRDefault="00E82A60" w:rsidP="00300A01">
            <w:pPr>
              <w:spacing w:before="0" w:after="0"/>
              <w:jc w:val="right"/>
              <w:rPr>
                <w:sz w:val="10"/>
                <w:szCs w:val="10"/>
                <w:lang w:val="fr-BE"/>
              </w:rPr>
            </w:pPr>
            <w:r w:rsidRPr="001C4484">
              <w:rPr>
                <w:noProof/>
                <w:sz w:val="10"/>
                <w:szCs w:val="10"/>
              </w:rPr>
              <w:t>288,00</w:t>
            </w:r>
          </w:p>
        </w:tc>
        <w:tc>
          <w:tcPr>
            <w:tcW w:w="0" w:type="auto"/>
          </w:tcPr>
          <w:p w14:paraId="183D4F2B" w14:textId="77777777" w:rsidR="008C5CFA" w:rsidRPr="001C4484" w:rsidRDefault="00E82A60" w:rsidP="00300A01">
            <w:pPr>
              <w:spacing w:before="0" w:after="0"/>
              <w:jc w:val="right"/>
              <w:rPr>
                <w:sz w:val="10"/>
                <w:szCs w:val="10"/>
              </w:rPr>
            </w:pPr>
            <w:r>
              <w:rPr>
                <w:noProof/>
                <w:sz w:val="10"/>
                <w:szCs w:val="10"/>
              </w:rPr>
              <w:t>506,00</w:t>
            </w:r>
          </w:p>
        </w:tc>
        <w:tc>
          <w:tcPr>
            <w:tcW w:w="0" w:type="auto"/>
            <w:shd w:val="clear" w:color="auto" w:fill="auto"/>
          </w:tcPr>
          <w:p w14:paraId="0312E9A2" w14:textId="77777777" w:rsidR="008C5CFA" w:rsidRPr="001C4484" w:rsidRDefault="00E82A60" w:rsidP="00300A01">
            <w:pPr>
              <w:spacing w:before="0" w:after="0"/>
              <w:jc w:val="right"/>
              <w:rPr>
                <w:sz w:val="10"/>
                <w:szCs w:val="10"/>
              </w:rPr>
            </w:pPr>
            <w:r w:rsidRPr="001C4484">
              <w:rPr>
                <w:noProof/>
                <w:sz w:val="10"/>
                <w:szCs w:val="10"/>
              </w:rPr>
              <w:t>134,00</w:t>
            </w:r>
          </w:p>
        </w:tc>
        <w:tc>
          <w:tcPr>
            <w:tcW w:w="0" w:type="auto"/>
            <w:shd w:val="clear" w:color="auto" w:fill="auto"/>
          </w:tcPr>
          <w:p w14:paraId="0799AA7F" w14:textId="77777777" w:rsidR="008C5CFA" w:rsidRPr="001C4484" w:rsidRDefault="00E82A60" w:rsidP="00300A01">
            <w:pPr>
              <w:spacing w:before="0" w:after="0"/>
              <w:jc w:val="right"/>
              <w:rPr>
                <w:sz w:val="10"/>
                <w:szCs w:val="10"/>
                <w:lang w:val="fr-BE"/>
              </w:rPr>
            </w:pPr>
            <w:r w:rsidRPr="001C4484">
              <w:rPr>
                <w:noProof/>
                <w:sz w:val="10"/>
                <w:szCs w:val="10"/>
              </w:rPr>
              <w:t>372,00</w:t>
            </w:r>
          </w:p>
        </w:tc>
        <w:tc>
          <w:tcPr>
            <w:tcW w:w="0" w:type="auto"/>
          </w:tcPr>
          <w:p w14:paraId="2D2E77EC" w14:textId="77777777" w:rsidR="008C5CFA" w:rsidRPr="001C4484" w:rsidRDefault="00E82A60" w:rsidP="00300A01">
            <w:pPr>
              <w:spacing w:before="0" w:after="0"/>
              <w:jc w:val="right"/>
              <w:rPr>
                <w:sz w:val="10"/>
                <w:szCs w:val="10"/>
              </w:rPr>
            </w:pPr>
            <w:r>
              <w:rPr>
                <w:noProof/>
                <w:sz w:val="10"/>
                <w:szCs w:val="10"/>
              </w:rPr>
              <w:t>253,00</w:t>
            </w:r>
          </w:p>
        </w:tc>
        <w:tc>
          <w:tcPr>
            <w:tcW w:w="0" w:type="auto"/>
            <w:shd w:val="clear" w:color="auto" w:fill="auto"/>
          </w:tcPr>
          <w:p w14:paraId="6ABB6287" w14:textId="77777777" w:rsidR="008C5CFA" w:rsidRPr="001C4484" w:rsidRDefault="00E82A60" w:rsidP="00300A01">
            <w:pPr>
              <w:spacing w:before="0" w:after="0"/>
              <w:jc w:val="right"/>
              <w:rPr>
                <w:sz w:val="10"/>
                <w:szCs w:val="10"/>
              </w:rPr>
            </w:pPr>
            <w:r w:rsidRPr="001C4484">
              <w:rPr>
                <w:noProof/>
                <w:sz w:val="10"/>
                <w:szCs w:val="10"/>
              </w:rPr>
              <w:t>68,00</w:t>
            </w:r>
          </w:p>
        </w:tc>
        <w:tc>
          <w:tcPr>
            <w:tcW w:w="0" w:type="auto"/>
            <w:shd w:val="clear" w:color="auto" w:fill="auto"/>
          </w:tcPr>
          <w:p w14:paraId="31BFC2C7" w14:textId="77777777" w:rsidR="008C5CFA" w:rsidRPr="001C4484" w:rsidRDefault="00E82A60" w:rsidP="00300A01">
            <w:pPr>
              <w:spacing w:before="0" w:after="0"/>
              <w:jc w:val="right"/>
              <w:rPr>
                <w:sz w:val="10"/>
                <w:szCs w:val="10"/>
                <w:lang w:val="fr-BE"/>
              </w:rPr>
            </w:pPr>
            <w:r w:rsidRPr="001C4484">
              <w:rPr>
                <w:noProof/>
                <w:sz w:val="10"/>
                <w:szCs w:val="10"/>
              </w:rPr>
              <w:t>185,00</w:t>
            </w:r>
          </w:p>
        </w:tc>
      </w:tr>
      <w:tr w:rsidR="006B2EC1" w14:paraId="32438012" w14:textId="77777777" w:rsidTr="0047688D">
        <w:tc>
          <w:tcPr>
            <w:tcW w:w="0" w:type="auto"/>
            <w:shd w:val="clear" w:color="auto" w:fill="auto"/>
          </w:tcPr>
          <w:p w14:paraId="2C17F83A" w14:textId="77777777" w:rsidR="008C5CFA" w:rsidRPr="001C4484" w:rsidRDefault="00E82A60" w:rsidP="00300A01">
            <w:pPr>
              <w:spacing w:before="0" w:after="0"/>
              <w:rPr>
                <w:sz w:val="10"/>
                <w:szCs w:val="10"/>
                <w:lang w:val="fr-BE"/>
              </w:rPr>
            </w:pPr>
            <w:r w:rsidRPr="001C4484">
              <w:rPr>
                <w:noProof/>
                <w:sz w:val="10"/>
                <w:szCs w:val="10"/>
                <w:lang w:val="fr-BE"/>
              </w:rPr>
              <w:t>CO15</w:t>
            </w:r>
          </w:p>
        </w:tc>
        <w:tc>
          <w:tcPr>
            <w:tcW w:w="0" w:type="auto"/>
            <w:shd w:val="clear" w:color="auto" w:fill="auto"/>
          </w:tcPr>
          <w:p w14:paraId="2E9A98CC" w14:textId="77777777" w:rsidR="008C5CFA" w:rsidRPr="001C4484" w:rsidRDefault="00E82A60" w:rsidP="00300A01">
            <w:pPr>
              <w:spacing w:before="0" w:after="0"/>
              <w:rPr>
                <w:sz w:val="10"/>
                <w:szCs w:val="10"/>
                <w:lang w:val="fr-BE"/>
              </w:rPr>
            </w:pPr>
            <w:r w:rsidRPr="001C4484">
              <w:rPr>
                <w:noProof/>
                <w:sz w:val="10"/>
                <w:szCs w:val="10"/>
                <w:lang w:val="fr-BE"/>
              </w:rPr>
              <w:t>migranci, uczestnicy obcego pochodzenia, mniejszości (w tym społeczności marginalizowane, takie jak Romowie)</w:t>
            </w:r>
          </w:p>
        </w:tc>
        <w:tc>
          <w:tcPr>
            <w:tcW w:w="0" w:type="auto"/>
            <w:shd w:val="clear" w:color="auto" w:fill="auto"/>
          </w:tcPr>
          <w:p w14:paraId="7BE487C6"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0939A394"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034526EE"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0EF33ADA" w14:textId="77777777" w:rsidR="008C5CFA" w:rsidRPr="001C4484" w:rsidRDefault="00E82A60" w:rsidP="00300A01">
            <w:pPr>
              <w:spacing w:before="0" w:after="0"/>
              <w:jc w:val="right"/>
              <w:rPr>
                <w:sz w:val="10"/>
                <w:szCs w:val="10"/>
                <w:lang w:val="fr-BE"/>
              </w:rPr>
            </w:pPr>
            <w:r w:rsidRPr="001C4484">
              <w:rPr>
                <w:noProof/>
                <w:sz w:val="10"/>
                <w:szCs w:val="10"/>
              </w:rPr>
              <w:t>0,00</w:t>
            </w:r>
          </w:p>
        </w:tc>
        <w:tc>
          <w:tcPr>
            <w:tcW w:w="0" w:type="auto"/>
          </w:tcPr>
          <w:p w14:paraId="24256E21" w14:textId="77777777" w:rsidR="008C5CFA" w:rsidRPr="001C4484" w:rsidRDefault="00E82A60" w:rsidP="00300A01">
            <w:pPr>
              <w:spacing w:before="0" w:after="0"/>
              <w:jc w:val="right"/>
              <w:rPr>
                <w:sz w:val="10"/>
                <w:szCs w:val="10"/>
              </w:rPr>
            </w:pPr>
            <w:r>
              <w:rPr>
                <w:noProof/>
                <w:sz w:val="10"/>
                <w:szCs w:val="10"/>
              </w:rPr>
              <w:t>1,00</w:t>
            </w:r>
          </w:p>
        </w:tc>
        <w:tc>
          <w:tcPr>
            <w:tcW w:w="0" w:type="auto"/>
            <w:shd w:val="clear" w:color="auto" w:fill="auto"/>
          </w:tcPr>
          <w:p w14:paraId="4AFEA38E"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25D567F0" w14:textId="77777777" w:rsidR="008C5CFA" w:rsidRPr="001C4484" w:rsidRDefault="00E82A60" w:rsidP="00300A01">
            <w:pPr>
              <w:spacing w:before="0" w:after="0"/>
              <w:jc w:val="right"/>
              <w:rPr>
                <w:sz w:val="10"/>
                <w:szCs w:val="10"/>
                <w:lang w:val="fr-BE"/>
              </w:rPr>
            </w:pPr>
            <w:r w:rsidRPr="001C4484">
              <w:rPr>
                <w:noProof/>
                <w:sz w:val="10"/>
                <w:szCs w:val="10"/>
              </w:rPr>
              <w:t>1,00</w:t>
            </w:r>
          </w:p>
        </w:tc>
        <w:tc>
          <w:tcPr>
            <w:tcW w:w="0" w:type="auto"/>
          </w:tcPr>
          <w:p w14:paraId="07012481"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51E212D3"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68F8F7B3" w14:textId="77777777" w:rsidR="008C5CFA" w:rsidRPr="001C4484" w:rsidRDefault="00E82A60" w:rsidP="00300A01">
            <w:pPr>
              <w:spacing w:before="0" w:after="0"/>
              <w:jc w:val="right"/>
              <w:rPr>
                <w:sz w:val="10"/>
                <w:szCs w:val="10"/>
                <w:lang w:val="fr-BE"/>
              </w:rPr>
            </w:pPr>
            <w:r w:rsidRPr="001C4484">
              <w:rPr>
                <w:noProof/>
                <w:sz w:val="10"/>
                <w:szCs w:val="10"/>
              </w:rPr>
              <w:t>0,00</w:t>
            </w:r>
          </w:p>
        </w:tc>
      </w:tr>
      <w:tr w:rsidR="006B2EC1" w14:paraId="23DA6326" w14:textId="77777777" w:rsidTr="0047688D">
        <w:tc>
          <w:tcPr>
            <w:tcW w:w="0" w:type="auto"/>
            <w:shd w:val="clear" w:color="auto" w:fill="auto"/>
          </w:tcPr>
          <w:p w14:paraId="6294F78C" w14:textId="77777777" w:rsidR="008C5CFA" w:rsidRPr="001C4484" w:rsidRDefault="00E82A60" w:rsidP="00300A01">
            <w:pPr>
              <w:spacing w:before="0" w:after="0"/>
              <w:rPr>
                <w:sz w:val="10"/>
                <w:szCs w:val="10"/>
                <w:lang w:val="fr-BE"/>
              </w:rPr>
            </w:pPr>
            <w:r w:rsidRPr="001C4484">
              <w:rPr>
                <w:noProof/>
                <w:sz w:val="10"/>
                <w:szCs w:val="10"/>
                <w:lang w:val="fr-BE"/>
              </w:rPr>
              <w:t>CO16</w:t>
            </w:r>
          </w:p>
        </w:tc>
        <w:tc>
          <w:tcPr>
            <w:tcW w:w="0" w:type="auto"/>
            <w:shd w:val="clear" w:color="auto" w:fill="auto"/>
          </w:tcPr>
          <w:p w14:paraId="07E99ADE" w14:textId="77777777" w:rsidR="008C5CFA" w:rsidRPr="001C4484" w:rsidRDefault="00E82A60" w:rsidP="00300A01">
            <w:pPr>
              <w:spacing w:before="0" w:after="0"/>
              <w:rPr>
                <w:sz w:val="10"/>
                <w:szCs w:val="10"/>
                <w:lang w:val="fr-BE"/>
              </w:rPr>
            </w:pPr>
            <w:r w:rsidRPr="001C4484">
              <w:rPr>
                <w:noProof/>
                <w:sz w:val="10"/>
                <w:szCs w:val="10"/>
                <w:lang w:val="fr-BE"/>
              </w:rPr>
              <w:t>uczestnicy z niepełnosprawnościami</w:t>
            </w:r>
          </w:p>
        </w:tc>
        <w:tc>
          <w:tcPr>
            <w:tcW w:w="0" w:type="auto"/>
            <w:shd w:val="clear" w:color="auto" w:fill="auto"/>
          </w:tcPr>
          <w:p w14:paraId="27E6E46E"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5FD62920" w14:textId="77777777" w:rsidR="008C5CFA" w:rsidRPr="001C4484" w:rsidRDefault="00E82A60" w:rsidP="00300A01">
            <w:pPr>
              <w:spacing w:before="0" w:after="0"/>
              <w:jc w:val="right"/>
              <w:rPr>
                <w:sz w:val="10"/>
                <w:szCs w:val="10"/>
              </w:rPr>
            </w:pPr>
            <w:r>
              <w:rPr>
                <w:noProof/>
                <w:sz w:val="10"/>
                <w:szCs w:val="10"/>
              </w:rPr>
              <w:t>181,00</w:t>
            </w:r>
          </w:p>
        </w:tc>
        <w:tc>
          <w:tcPr>
            <w:tcW w:w="0" w:type="auto"/>
            <w:shd w:val="clear" w:color="auto" w:fill="auto"/>
          </w:tcPr>
          <w:p w14:paraId="35F4904F" w14:textId="77777777" w:rsidR="008C5CFA" w:rsidRPr="001C4484" w:rsidRDefault="00E82A60" w:rsidP="00300A01">
            <w:pPr>
              <w:spacing w:before="0" w:after="0"/>
              <w:jc w:val="right"/>
              <w:rPr>
                <w:sz w:val="10"/>
                <w:szCs w:val="10"/>
              </w:rPr>
            </w:pPr>
            <w:r w:rsidRPr="001C4484">
              <w:rPr>
                <w:noProof/>
                <w:sz w:val="10"/>
                <w:szCs w:val="10"/>
              </w:rPr>
              <w:t>85,00</w:t>
            </w:r>
          </w:p>
        </w:tc>
        <w:tc>
          <w:tcPr>
            <w:tcW w:w="0" w:type="auto"/>
            <w:shd w:val="clear" w:color="auto" w:fill="auto"/>
          </w:tcPr>
          <w:p w14:paraId="0250FED2" w14:textId="77777777" w:rsidR="008C5CFA" w:rsidRPr="001C4484" w:rsidRDefault="00E82A60" w:rsidP="00300A01">
            <w:pPr>
              <w:spacing w:before="0" w:after="0"/>
              <w:jc w:val="right"/>
              <w:rPr>
                <w:sz w:val="10"/>
                <w:szCs w:val="10"/>
                <w:lang w:val="fr-BE"/>
              </w:rPr>
            </w:pPr>
            <w:r w:rsidRPr="001C4484">
              <w:rPr>
                <w:noProof/>
                <w:sz w:val="10"/>
                <w:szCs w:val="10"/>
              </w:rPr>
              <w:t>96,00</w:t>
            </w:r>
          </w:p>
        </w:tc>
        <w:tc>
          <w:tcPr>
            <w:tcW w:w="0" w:type="auto"/>
          </w:tcPr>
          <w:p w14:paraId="784C62C7" w14:textId="77777777" w:rsidR="008C5CFA" w:rsidRPr="001C4484" w:rsidRDefault="00E82A60" w:rsidP="00300A01">
            <w:pPr>
              <w:spacing w:before="0" w:after="0"/>
              <w:jc w:val="right"/>
              <w:rPr>
                <w:sz w:val="10"/>
                <w:szCs w:val="10"/>
              </w:rPr>
            </w:pPr>
            <w:r>
              <w:rPr>
                <w:noProof/>
                <w:sz w:val="10"/>
                <w:szCs w:val="10"/>
              </w:rPr>
              <w:t>64,00</w:t>
            </w:r>
          </w:p>
        </w:tc>
        <w:tc>
          <w:tcPr>
            <w:tcW w:w="0" w:type="auto"/>
            <w:shd w:val="clear" w:color="auto" w:fill="auto"/>
          </w:tcPr>
          <w:p w14:paraId="257657BF" w14:textId="77777777" w:rsidR="008C5CFA" w:rsidRPr="001C4484" w:rsidRDefault="00E82A60" w:rsidP="00300A01">
            <w:pPr>
              <w:spacing w:before="0" w:after="0"/>
              <w:jc w:val="right"/>
              <w:rPr>
                <w:sz w:val="10"/>
                <w:szCs w:val="10"/>
              </w:rPr>
            </w:pPr>
            <w:r w:rsidRPr="001C4484">
              <w:rPr>
                <w:noProof/>
                <w:sz w:val="10"/>
                <w:szCs w:val="10"/>
              </w:rPr>
              <w:t>25,00</w:t>
            </w:r>
          </w:p>
        </w:tc>
        <w:tc>
          <w:tcPr>
            <w:tcW w:w="0" w:type="auto"/>
            <w:shd w:val="clear" w:color="auto" w:fill="auto"/>
          </w:tcPr>
          <w:p w14:paraId="4810F0B6" w14:textId="77777777" w:rsidR="008C5CFA" w:rsidRPr="001C4484" w:rsidRDefault="00E82A60" w:rsidP="00300A01">
            <w:pPr>
              <w:spacing w:before="0" w:after="0"/>
              <w:jc w:val="right"/>
              <w:rPr>
                <w:sz w:val="10"/>
                <w:szCs w:val="10"/>
                <w:lang w:val="fr-BE"/>
              </w:rPr>
            </w:pPr>
            <w:r w:rsidRPr="001C4484">
              <w:rPr>
                <w:noProof/>
                <w:sz w:val="10"/>
                <w:szCs w:val="10"/>
              </w:rPr>
              <w:t>39,00</w:t>
            </w:r>
          </w:p>
        </w:tc>
        <w:tc>
          <w:tcPr>
            <w:tcW w:w="0" w:type="auto"/>
          </w:tcPr>
          <w:p w14:paraId="4CEF440B" w14:textId="77777777" w:rsidR="008C5CFA" w:rsidRPr="001C4484" w:rsidRDefault="00E82A60" w:rsidP="00300A01">
            <w:pPr>
              <w:spacing w:before="0" w:after="0"/>
              <w:jc w:val="right"/>
              <w:rPr>
                <w:sz w:val="10"/>
                <w:szCs w:val="10"/>
              </w:rPr>
            </w:pPr>
            <w:r>
              <w:rPr>
                <w:noProof/>
                <w:sz w:val="10"/>
                <w:szCs w:val="10"/>
              </w:rPr>
              <w:t>14,00</w:t>
            </w:r>
          </w:p>
        </w:tc>
        <w:tc>
          <w:tcPr>
            <w:tcW w:w="0" w:type="auto"/>
            <w:shd w:val="clear" w:color="auto" w:fill="auto"/>
          </w:tcPr>
          <w:p w14:paraId="1212303E" w14:textId="77777777" w:rsidR="008C5CFA" w:rsidRPr="001C4484" w:rsidRDefault="00E82A60" w:rsidP="00300A01">
            <w:pPr>
              <w:spacing w:before="0" w:after="0"/>
              <w:jc w:val="right"/>
              <w:rPr>
                <w:sz w:val="10"/>
                <w:szCs w:val="10"/>
              </w:rPr>
            </w:pPr>
            <w:r w:rsidRPr="001C4484">
              <w:rPr>
                <w:noProof/>
                <w:sz w:val="10"/>
                <w:szCs w:val="10"/>
              </w:rPr>
              <w:t>6,00</w:t>
            </w:r>
          </w:p>
        </w:tc>
        <w:tc>
          <w:tcPr>
            <w:tcW w:w="0" w:type="auto"/>
            <w:shd w:val="clear" w:color="auto" w:fill="auto"/>
          </w:tcPr>
          <w:p w14:paraId="5ED1709F" w14:textId="77777777" w:rsidR="008C5CFA" w:rsidRPr="001C4484" w:rsidRDefault="00E82A60" w:rsidP="00300A01">
            <w:pPr>
              <w:spacing w:before="0" w:after="0"/>
              <w:jc w:val="right"/>
              <w:rPr>
                <w:sz w:val="10"/>
                <w:szCs w:val="10"/>
                <w:lang w:val="fr-BE"/>
              </w:rPr>
            </w:pPr>
            <w:r w:rsidRPr="001C4484">
              <w:rPr>
                <w:noProof/>
                <w:sz w:val="10"/>
                <w:szCs w:val="10"/>
              </w:rPr>
              <w:t>8,00</w:t>
            </w:r>
          </w:p>
        </w:tc>
      </w:tr>
      <w:tr w:rsidR="006B2EC1" w14:paraId="0CF5DFD2" w14:textId="77777777" w:rsidTr="0047688D">
        <w:tc>
          <w:tcPr>
            <w:tcW w:w="0" w:type="auto"/>
            <w:shd w:val="clear" w:color="auto" w:fill="auto"/>
          </w:tcPr>
          <w:p w14:paraId="0C1A650D" w14:textId="77777777" w:rsidR="008C5CFA" w:rsidRPr="001C4484" w:rsidRDefault="00E82A60" w:rsidP="00300A01">
            <w:pPr>
              <w:spacing w:before="0" w:after="0"/>
              <w:rPr>
                <w:sz w:val="10"/>
                <w:szCs w:val="10"/>
                <w:lang w:val="fr-BE"/>
              </w:rPr>
            </w:pPr>
            <w:r w:rsidRPr="001C4484">
              <w:rPr>
                <w:noProof/>
                <w:sz w:val="10"/>
                <w:szCs w:val="10"/>
                <w:lang w:val="fr-BE"/>
              </w:rPr>
              <w:t>CO17</w:t>
            </w:r>
          </w:p>
        </w:tc>
        <w:tc>
          <w:tcPr>
            <w:tcW w:w="0" w:type="auto"/>
            <w:shd w:val="clear" w:color="auto" w:fill="auto"/>
          </w:tcPr>
          <w:p w14:paraId="6BA358B2" w14:textId="77777777" w:rsidR="008C5CFA" w:rsidRPr="001C4484" w:rsidRDefault="00E82A60" w:rsidP="00300A01">
            <w:pPr>
              <w:spacing w:before="0" w:after="0"/>
              <w:rPr>
                <w:sz w:val="10"/>
                <w:szCs w:val="10"/>
                <w:lang w:val="fr-BE"/>
              </w:rPr>
            </w:pPr>
            <w:r w:rsidRPr="001C4484">
              <w:rPr>
                <w:noProof/>
                <w:sz w:val="10"/>
                <w:szCs w:val="10"/>
                <w:lang w:val="fr-BE"/>
              </w:rPr>
              <w:t>inne osoby w niekorzystnej sytuacji społecznej</w:t>
            </w:r>
          </w:p>
        </w:tc>
        <w:tc>
          <w:tcPr>
            <w:tcW w:w="0" w:type="auto"/>
            <w:shd w:val="clear" w:color="auto" w:fill="auto"/>
          </w:tcPr>
          <w:p w14:paraId="748E8E9C"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1C01F0E2" w14:textId="77777777" w:rsidR="008C5CFA" w:rsidRPr="001C4484" w:rsidRDefault="00E82A60" w:rsidP="00300A01">
            <w:pPr>
              <w:spacing w:before="0" w:after="0"/>
              <w:jc w:val="right"/>
              <w:rPr>
                <w:sz w:val="10"/>
                <w:szCs w:val="10"/>
              </w:rPr>
            </w:pPr>
            <w:r>
              <w:rPr>
                <w:noProof/>
                <w:sz w:val="10"/>
                <w:szCs w:val="10"/>
              </w:rPr>
              <w:t>125,00</w:t>
            </w:r>
          </w:p>
        </w:tc>
        <w:tc>
          <w:tcPr>
            <w:tcW w:w="0" w:type="auto"/>
            <w:shd w:val="clear" w:color="auto" w:fill="auto"/>
          </w:tcPr>
          <w:p w14:paraId="1182CB79" w14:textId="77777777" w:rsidR="008C5CFA" w:rsidRPr="001C4484" w:rsidRDefault="00E82A60" w:rsidP="00300A01">
            <w:pPr>
              <w:spacing w:before="0" w:after="0"/>
              <w:jc w:val="right"/>
              <w:rPr>
                <w:sz w:val="10"/>
                <w:szCs w:val="10"/>
              </w:rPr>
            </w:pPr>
            <w:r w:rsidRPr="001C4484">
              <w:rPr>
                <w:noProof/>
                <w:sz w:val="10"/>
                <w:szCs w:val="10"/>
              </w:rPr>
              <w:t>25,00</w:t>
            </w:r>
          </w:p>
        </w:tc>
        <w:tc>
          <w:tcPr>
            <w:tcW w:w="0" w:type="auto"/>
            <w:shd w:val="clear" w:color="auto" w:fill="auto"/>
          </w:tcPr>
          <w:p w14:paraId="61C48B5D" w14:textId="77777777" w:rsidR="008C5CFA" w:rsidRPr="001C4484" w:rsidRDefault="00E82A60" w:rsidP="00300A01">
            <w:pPr>
              <w:spacing w:before="0" w:after="0"/>
              <w:jc w:val="right"/>
              <w:rPr>
                <w:sz w:val="10"/>
                <w:szCs w:val="10"/>
                <w:lang w:val="fr-BE"/>
              </w:rPr>
            </w:pPr>
            <w:r w:rsidRPr="001C4484">
              <w:rPr>
                <w:noProof/>
                <w:sz w:val="10"/>
                <w:szCs w:val="10"/>
              </w:rPr>
              <w:t>100,00</w:t>
            </w:r>
          </w:p>
        </w:tc>
        <w:tc>
          <w:tcPr>
            <w:tcW w:w="0" w:type="auto"/>
          </w:tcPr>
          <w:p w14:paraId="4C2367A5" w14:textId="77777777" w:rsidR="008C5CFA" w:rsidRPr="001C4484" w:rsidRDefault="00E82A60" w:rsidP="00300A01">
            <w:pPr>
              <w:spacing w:before="0" w:after="0"/>
              <w:jc w:val="right"/>
              <w:rPr>
                <w:sz w:val="10"/>
                <w:szCs w:val="10"/>
              </w:rPr>
            </w:pPr>
            <w:r>
              <w:rPr>
                <w:noProof/>
                <w:sz w:val="10"/>
                <w:szCs w:val="10"/>
              </w:rPr>
              <w:t>71,00</w:t>
            </w:r>
          </w:p>
        </w:tc>
        <w:tc>
          <w:tcPr>
            <w:tcW w:w="0" w:type="auto"/>
            <w:shd w:val="clear" w:color="auto" w:fill="auto"/>
          </w:tcPr>
          <w:p w14:paraId="054BFE43" w14:textId="77777777" w:rsidR="008C5CFA" w:rsidRPr="001C4484" w:rsidRDefault="00E82A60" w:rsidP="00300A01">
            <w:pPr>
              <w:spacing w:before="0" w:after="0"/>
              <w:jc w:val="right"/>
              <w:rPr>
                <w:sz w:val="10"/>
                <w:szCs w:val="10"/>
              </w:rPr>
            </w:pPr>
            <w:r w:rsidRPr="001C4484">
              <w:rPr>
                <w:noProof/>
                <w:sz w:val="10"/>
                <w:szCs w:val="10"/>
              </w:rPr>
              <w:t>28,00</w:t>
            </w:r>
          </w:p>
        </w:tc>
        <w:tc>
          <w:tcPr>
            <w:tcW w:w="0" w:type="auto"/>
            <w:shd w:val="clear" w:color="auto" w:fill="auto"/>
          </w:tcPr>
          <w:p w14:paraId="4F65F13C" w14:textId="77777777" w:rsidR="008C5CFA" w:rsidRPr="001C4484" w:rsidRDefault="00E82A60" w:rsidP="00300A01">
            <w:pPr>
              <w:spacing w:before="0" w:after="0"/>
              <w:jc w:val="right"/>
              <w:rPr>
                <w:sz w:val="10"/>
                <w:szCs w:val="10"/>
                <w:lang w:val="fr-BE"/>
              </w:rPr>
            </w:pPr>
            <w:r w:rsidRPr="001C4484">
              <w:rPr>
                <w:noProof/>
                <w:sz w:val="10"/>
                <w:szCs w:val="10"/>
              </w:rPr>
              <w:t>43,00</w:t>
            </w:r>
          </w:p>
        </w:tc>
        <w:tc>
          <w:tcPr>
            <w:tcW w:w="0" w:type="auto"/>
          </w:tcPr>
          <w:p w14:paraId="14E45AAC" w14:textId="77777777" w:rsidR="008C5CFA" w:rsidRPr="001C4484" w:rsidRDefault="00E82A60" w:rsidP="00300A01">
            <w:pPr>
              <w:spacing w:before="0" w:after="0"/>
              <w:jc w:val="right"/>
              <w:rPr>
                <w:sz w:val="10"/>
                <w:szCs w:val="10"/>
              </w:rPr>
            </w:pPr>
            <w:r>
              <w:rPr>
                <w:noProof/>
                <w:sz w:val="10"/>
                <w:szCs w:val="10"/>
              </w:rPr>
              <w:t>12,00</w:t>
            </w:r>
          </w:p>
        </w:tc>
        <w:tc>
          <w:tcPr>
            <w:tcW w:w="0" w:type="auto"/>
            <w:shd w:val="clear" w:color="auto" w:fill="auto"/>
          </w:tcPr>
          <w:p w14:paraId="17774417" w14:textId="77777777" w:rsidR="008C5CFA" w:rsidRPr="001C4484" w:rsidRDefault="00E82A60" w:rsidP="00300A01">
            <w:pPr>
              <w:spacing w:before="0" w:after="0"/>
              <w:jc w:val="right"/>
              <w:rPr>
                <w:sz w:val="10"/>
                <w:szCs w:val="10"/>
              </w:rPr>
            </w:pPr>
            <w:r w:rsidRPr="001C4484">
              <w:rPr>
                <w:noProof/>
                <w:sz w:val="10"/>
                <w:szCs w:val="10"/>
              </w:rPr>
              <w:t>2,00</w:t>
            </w:r>
          </w:p>
        </w:tc>
        <w:tc>
          <w:tcPr>
            <w:tcW w:w="0" w:type="auto"/>
            <w:shd w:val="clear" w:color="auto" w:fill="auto"/>
          </w:tcPr>
          <w:p w14:paraId="557BE465" w14:textId="77777777" w:rsidR="008C5CFA" w:rsidRPr="001C4484" w:rsidRDefault="00E82A60" w:rsidP="00300A01">
            <w:pPr>
              <w:spacing w:before="0" w:after="0"/>
              <w:jc w:val="right"/>
              <w:rPr>
                <w:sz w:val="10"/>
                <w:szCs w:val="10"/>
                <w:lang w:val="fr-BE"/>
              </w:rPr>
            </w:pPr>
            <w:r w:rsidRPr="001C4484">
              <w:rPr>
                <w:noProof/>
                <w:sz w:val="10"/>
                <w:szCs w:val="10"/>
              </w:rPr>
              <w:t>10,00</w:t>
            </w:r>
          </w:p>
        </w:tc>
      </w:tr>
      <w:tr w:rsidR="006B2EC1" w14:paraId="21B00D5F" w14:textId="77777777" w:rsidTr="0047688D">
        <w:tc>
          <w:tcPr>
            <w:tcW w:w="0" w:type="auto"/>
            <w:shd w:val="clear" w:color="auto" w:fill="auto"/>
          </w:tcPr>
          <w:p w14:paraId="4F9828B2" w14:textId="77777777" w:rsidR="008C5CFA" w:rsidRPr="001C4484" w:rsidRDefault="00E82A60" w:rsidP="00300A01">
            <w:pPr>
              <w:spacing w:before="0" w:after="0"/>
              <w:rPr>
                <w:sz w:val="10"/>
                <w:szCs w:val="10"/>
                <w:lang w:val="fr-BE"/>
              </w:rPr>
            </w:pPr>
            <w:r w:rsidRPr="001C4484">
              <w:rPr>
                <w:noProof/>
                <w:sz w:val="10"/>
                <w:szCs w:val="10"/>
                <w:lang w:val="fr-BE"/>
              </w:rPr>
              <w:t>CO18</w:t>
            </w:r>
          </w:p>
        </w:tc>
        <w:tc>
          <w:tcPr>
            <w:tcW w:w="0" w:type="auto"/>
            <w:shd w:val="clear" w:color="auto" w:fill="auto"/>
          </w:tcPr>
          <w:p w14:paraId="1B5E115A" w14:textId="77777777" w:rsidR="008C5CFA" w:rsidRPr="001C4484" w:rsidRDefault="00E82A60" w:rsidP="00300A01">
            <w:pPr>
              <w:spacing w:before="0" w:after="0"/>
              <w:rPr>
                <w:sz w:val="10"/>
                <w:szCs w:val="10"/>
                <w:lang w:val="fr-BE"/>
              </w:rPr>
            </w:pPr>
            <w:r w:rsidRPr="001C4484">
              <w:rPr>
                <w:noProof/>
                <w:sz w:val="10"/>
                <w:szCs w:val="10"/>
                <w:lang w:val="fr-BE"/>
              </w:rPr>
              <w:t>osoby bezdomne lub dotknięte wykluczeniem z dostępu do mieszkań</w:t>
            </w:r>
          </w:p>
        </w:tc>
        <w:tc>
          <w:tcPr>
            <w:tcW w:w="0" w:type="auto"/>
            <w:shd w:val="clear" w:color="auto" w:fill="auto"/>
          </w:tcPr>
          <w:p w14:paraId="02CC77A0"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7915E500" w14:textId="77777777" w:rsidR="008C5CFA" w:rsidRPr="001C4484" w:rsidRDefault="00E82A60" w:rsidP="00300A01">
            <w:pPr>
              <w:spacing w:before="0" w:after="0"/>
              <w:jc w:val="right"/>
              <w:rPr>
                <w:sz w:val="10"/>
                <w:szCs w:val="10"/>
              </w:rPr>
            </w:pPr>
            <w:r>
              <w:rPr>
                <w:noProof/>
                <w:sz w:val="10"/>
                <w:szCs w:val="10"/>
              </w:rPr>
              <w:t>2,00</w:t>
            </w:r>
          </w:p>
        </w:tc>
        <w:tc>
          <w:tcPr>
            <w:tcW w:w="0" w:type="auto"/>
            <w:shd w:val="clear" w:color="auto" w:fill="auto"/>
          </w:tcPr>
          <w:p w14:paraId="57FF33D3" w14:textId="77777777" w:rsidR="008C5CFA" w:rsidRPr="001C4484" w:rsidRDefault="00E82A60" w:rsidP="00300A01">
            <w:pPr>
              <w:spacing w:before="0" w:after="0"/>
              <w:jc w:val="right"/>
              <w:rPr>
                <w:sz w:val="10"/>
                <w:szCs w:val="10"/>
              </w:rPr>
            </w:pPr>
            <w:r w:rsidRPr="001C4484">
              <w:rPr>
                <w:noProof/>
                <w:sz w:val="10"/>
                <w:szCs w:val="10"/>
              </w:rPr>
              <w:t>1,00</w:t>
            </w:r>
          </w:p>
        </w:tc>
        <w:tc>
          <w:tcPr>
            <w:tcW w:w="0" w:type="auto"/>
            <w:shd w:val="clear" w:color="auto" w:fill="auto"/>
          </w:tcPr>
          <w:p w14:paraId="74741C1C" w14:textId="77777777" w:rsidR="008C5CFA" w:rsidRPr="001C4484" w:rsidRDefault="00E82A60" w:rsidP="00300A01">
            <w:pPr>
              <w:spacing w:before="0" w:after="0"/>
              <w:jc w:val="right"/>
              <w:rPr>
                <w:sz w:val="10"/>
                <w:szCs w:val="10"/>
                <w:lang w:val="fr-BE"/>
              </w:rPr>
            </w:pPr>
            <w:r w:rsidRPr="001C4484">
              <w:rPr>
                <w:noProof/>
                <w:sz w:val="10"/>
                <w:szCs w:val="10"/>
              </w:rPr>
              <w:t>1,00</w:t>
            </w:r>
          </w:p>
        </w:tc>
        <w:tc>
          <w:tcPr>
            <w:tcW w:w="0" w:type="auto"/>
          </w:tcPr>
          <w:p w14:paraId="2567650B" w14:textId="77777777" w:rsidR="008C5CFA" w:rsidRPr="001C4484" w:rsidRDefault="00E82A60" w:rsidP="00300A01">
            <w:pPr>
              <w:spacing w:before="0" w:after="0"/>
              <w:jc w:val="right"/>
              <w:rPr>
                <w:sz w:val="10"/>
                <w:szCs w:val="10"/>
              </w:rPr>
            </w:pPr>
            <w:r>
              <w:rPr>
                <w:noProof/>
                <w:sz w:val="10"/>
                <w:szCs w:val="10"/>
              </w:rPr>
              <w:t>4,00</w:t>
            </w:r>
          </w:p>
        </w:tc>
        <w:tc>
          <w:tcPr>
            <w:tcW w:w="0" w:type="auto"/>
            <w:shd w:val="clear" w:color="auto" w:fill="auto"/>
          </w:tcPr>
          <w:p w14:paraId="0A9C2F0A" w14:textId="77777777" w:rsidR="008C5CFA" w:rsidRPr="001C4484" w:rsidRDefault="00E82A60" w:rsidP="00300A01">
            <w:pPr>
              <w:spacing w:before="0" w:after="0"/>
              <w:jc w:val="right"/>
              <w:rPr>
                <w:sz w:val="10"/>
                <w:szCs w:val="10"/>
              </w:rPr>
            </w:pPr>
            <w:r w:rsidRPr="001C4484">
              <w:rPr>
                <w:noProof/>
                <w:sz w:val="10"/>
                <w:szCs w:val="10"/>
              </w:rPr>
              <w:t>2,00</w:t>
            </w:r>
          </w:p>
        </w:tc>
        <w:tc>
          <w:tcPr>
            <w:tcW w:w="0" w:type="auto"/>
            <w:shd w:val="clear" w:color="auto" w:fill="auto"/>
          </w:tcPr>
          <w:p w14:paraId="24C55685" w14:textId="77777777" w:rsidR="008C5CFA" w:rsidRPr="001C4484" w:rsidRDefault="00E82A60" w:rsidP="00300A01">
            <w:pPr>
              <w:spacing w:before="0" w:after="0"/>
              <w:jc w:val="right"/>
              <w:rPr>
                <w:sz w:val="10"/>
                <w:szCs w:val="10"/>
                <w:lang w:val="fr-BE"/>
              </w:rPr>
            </w:pPr>
            <w:r w:rsidRPr="001C4484">
              <w:rPr>
                <w:noProof/>
                <w:sz w:val="10"/>
                <w:szCs w:val="10"/>
              </w:rPr>
              <w:t>2,00</w:t>
            </w:r>
          </w:p>
        </w:tc>
        <w:tc>
          <w:tcPr>
            <w:tcW w:w="0" w:type="auto"/>
          </w:tcPr>
          <w:p w14:paraId="4194F586"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0A9BDAEB"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182A168E" w14:textId="77777777" w:rsidR="008C5CFA" w:rsidRPr="001C4484" w:rsidRDefault="00E82A60" w:rsidP="00300A01">
            <w:pPr>
              <w:spacing w:before="0" w:after="0"/>
              <w:jc w:val="right"/>
              <w:rPr>
                <w:sz w:val="10"/>
                <w:szCs w:val="10"/>
                <w:lang w:val="fr-BE"/>
              </w:rPr>
            </w:pPr>
            <w:r w:rsidRPr="001C4484">
              <w:rPr>
                <w:noProof/>
                <w:sz w:val="10"/>
                <w:szCs w:val="10"/>
              </w:rPr>
              <w:t>0,00</w:t>
            </w:r>
          </w:p>
        </w:tc>
      </w:tr>
      <w:tr w:rsidR="006B2EC1" w14:paraId="38F1D7AC" w14:textId="77777777" w:rsidTr="0047688D">
        <w:tc>
          <w:tcPr>
            <w:tcW w:w="0" w:type="auto"/>
            <w:shd w:val="clear" w:color="auto" w:fill="auto"/>
          </w:tcPr>
          <w:p w14:paraId="79FDA96F" w14:textId="77777777" w:rsidR="008C5CFA" w:rsidRPr="001C4484" w:rsidRDefault="00E82A60" w:rsidP="00300A01">
            <w:pPr>
              <w:spacing w:before="0" w:after="0"/>
              <w:rPr>
                <w:sz w:val="10"/>
                <w:szCs w:val="10"/>
                <w:lang w:val="fr-BE"/>
              </w:rPr>
            </w:pPr>
            <w:r w:rsidRPr="001C4484">
              <w:rPr>
                <w:noProof/>
                <w:sz w:val="10"/>
                <w:szCs w:val="10"/>
                <w:lang w:val="fr-BE"/>
              </w:rPr>
              <w:t>CO19</w:t>
            </w:r>
          </w:p>
        </w:tc>
        <w:tc>
          <w:tcPr>
            <w:tcW w:w="0" w:type="auto"/>
            <w:shd w:val="clear" w:color="auto" w:fill="auto"/>
          </w:tcPr>
          <w:p w14:paraId="135A02CF" w14:textId="77777777" w:rsidR="008C5CFA" w:rsidRPr="001C4484" w:rsidRDefault="00E82A60" w:rsidP="00300A01">
            <w:pPr>
              <w:spacing w:before="0" w:after="0"/>
              <w:rPr>
                <w:sz w:val="10"/>
                <w:szCs w:val="10"/>
                <w:lang w:val="fr-BE"/>
              </w:rPr>
            </w:pPr>
            <w:r w:rsidRPr="001C4484">
              <w:rPr>
                <w:noProof/>
                <w:sz w:val="10"/>
                <w:szCs w:val="10"/>
                <w:lang w:val="fr-BE"/>
              </w:rPr>
              <w:t>osoby pochodzące z obszarów wiejskich</w:t>
            </w:r>
          </w:p>
        </w:tc>
        <w:tc>
          <w:tcPr>
            <w:tcW w:w="0" w:type="auto"/>
            <w:shd w:val="clear" w:color="auto" w:fill="auto"/>
          </w:tcPr>
          <w:p w14:paraId="7F2A7FDC"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1C7811C3" w14:textId="77777777" w:rsidR="008C5CFA" w:rsidRPr="001C4484" w:rsidRDefault="00E82A60" w:rsidP="00300A01">
            <w:pPr>
              <w:spacing w:before="0" w:after="0"/>
              <w:jc w:val="right"/>
              <w:rPr>
                <w:sz w:val="10"/>
                <w:szCs w:val="10"/>
              </w:rPr>
            </w:pPr>
            <w:r>
              <w:rPr>
                <w:noProof/>
                <w:sz w:val="10"/>
                <w:szCs w:val="10"/>
              </w:rPr>
              <w:t>536,00</w:t>
            </w:r>
          </w:p>
        </w:tc>
        <w:tc>
          <w:tcPr>
            <w:tcW w:w="0" w:type="auto"/>
            <w:shd w:val="clear" w:color="auto" w:fill="auto"/>
          </w:tcPr>
          <w:p w14:paraId="454E1C9D" w14:textId="77777777" w:rsidR="008C5CFA" w:rsidRPr="001C4484" w:rsidRDefault="00E82A60" w:rsidP="00300A01">
            <w:pPr>
              <w:spacing w:before="0" w:after="0"/>
              <w:jc w:val="right"/>
              <w:rPr>
                <w:sz w:val="10"/>
                <w:szCs w:val="10"/>
              </w:rPr>
            </w:pPr>
            <w:r w:rsidRPr="001C4484">
              <w:rPr>
                <w:noProof/>
                <w:sz w:val="10"/>
                <w:szCs w:val="10"/>
              </w:rPr>
              <w:t>153,00</w:t>
            </w:r>
          </w:p>
        </w:tc>
        <w:tc>
          <w:tcPr>
            <w:tcW w:w="0" w:type="auto"/>
            <w:shd w:val="clear" w:color="auto" w:fill="auto"/>
          </w:tcPr>
          <w:p w14:paraId="60AC8468" w14:textId="77777777" w:rsidR="008C5CFA" w:rsidRPr="001C4484" w:rsidRDefault="00E82A60" w:rsidP="00300A01">
            <w:pPr>
              <w:spacing w:before="0" w:after="0"/>
              <w:jc w:val="right"/>
              <w:rPr>
                <w:sz w:val="10"/>
                <w:szCs w:val="10"/>
                <w:lang w:val="fr-BE"/>
              </w:rPr>
            </w:pPr>
            <w:r w:rsidRPr="001C4484">
              <w:rPr>
                <w:noProof/>
                <w:sz w:val="10"/>
                <w:szCs w:val="10"/>
              </w:rPr>
              <w:t>383,00</w:t>
            </w:r>
          </w:p>
        </w:tc>
        <w:tc>
          <w:tcPr>
            <w:tcW w:w="0" w:type="auto"/>
          </w:tcPr>
          <w:p w14:paraId="55606DA9" w14:textId="77777777" w:rsidR="008C5CFA" w:rsidRPr="001C4484" w:rsidRDefault="00E82A60" w:rsidP="00300A01">
            <w:pPr>
              <w:spacing w:before="0" w:after="0"/>
              <w:jc w:val="right"/>
              <w:rPr>
                <w:sz w:val="10"/>
                <w:szCs w:val="10"/>
              </w:rPr>
            </w:pPr>
            <w:r>
              <w:rPr>
                <w:noProof/>
                <w:sz w:val="10"/>
                <w:szCs w:val="10"/>
              </w:rPr>
              <w:t>476,00</w:t>
            </w:r>
          </w:p>
        </w:tc>
        <w:tc>
          <w:tcPr>
            <w:tcW w:w="0" w:type="auto"/>
            <w:shd w:val="clear" w:color="auto" w:fill="auto"/>
          </w:tcPr>
          <w:p w14:paraId="6F5BCB1A" w14:textId="77777777" w:rsidR="008C5CFA" w:rsidRPr="001C4484" w:rsidRDefault="00E82A60" w:rsidP="00300A01">
            <w:pPr>
              <w:spacing w:before="0" w:after="0"/>
              <w:jc w:val="right"/>
              <w:rPr>
                <w:sz w:val="10"/>
                <w:szCs w:val="10"/>
              </w:rPr>
            </w:pPr>
            <w:r w:rsidRPr="001C4484">
              <w:rPr>
                <w:noProof/>
                <w:sz w:val="10"/>
                <w:szCs w:val="10"/>
              </w:rPr>
              <w:t>114,00</w:t>
            </w:r>
          </w:p>
        </w:tc>
        <w:tc>
          <w:tcPr>
            <w:tcW w:w="0" w:type="auto"/>
            <w:shd w:val="clear" w:color="auto" w:fill="auto"/>
          </w:tcPr>
          <w:p w14:paraId="2F8B9510" w14:textId="77777777" w:rsidR="008C5CFA" w:rsidRPr="001C4484" w:rsidRDefault="00E82A60" w:rsidP="00300A01">
            <w:pPr>
              <w:spacing w:before="0" w:after="0"/>
              <w:jc w:val="right"/>
              <w:rPr>
                <w:sz w:val="10"/>
                <w:szCs w:val="10"/>
                <w:lang w:val="fr-BE"/>
              </w:rPr>
            </w:pPr>
            <w:r w:rsidRPr="001C4484">
              <w:rPr>
                <w:noProof/>
                <w:sz w:val="10"/>
                <w:szCs w:val="10"/>
              </w:rPr>
              <w:t>362,00</w:t>
            </w:r>
          </w:p>
        </w:tc>
        <w:tc>
          <w:tcPr>
            <w:tcW w:w="0" w:type="auto"/>
          </w:tcPr>
          <w:p w14:paraId="18E260F4" w14:textId="77777777" w:rsidR="008C5CFA" w:rsidRPr="001C4484" w:rsidRDefault="00E82A60" w:rsidP="00300A01">
            <w:pPr>
              <w:spacing w:before="0" w:after="0"/>
              <w:jc w:val="right"/>
              <w:rPr>
                <w:sz w:val="10"/>
                <w:szCs w:val="10"/>
              </w:rPr>
            </w:pPr>
            <w:r>
              <w:rPr>
                <w:noProof/>
                <w:sz w:val="10"/>
                <w:szCs w:val="10"/>
              </w:rPr>
              <w:t>138,00</w:t>
            </w:r>
          </w:p>
        </w:tc>
        <w:tc>
          <w:tcPr>
            <w:tcW w:w="0" w:type="auto"/>
            <w:shd w:val="clear" w:color="auto" w:fill="auto"/>
          </w:tcPr>
          <w:p w14:paraId="3FAE37D3" w14:textId="77777777" w:rsidR="008C5CFA" w:rsidRPr="001C4484" w:rsidRDefault="00E82A60" w:rsidP="00300A01">
            <w:pPr>
              <w:spacing w:before="0" w:after="0"/>
              <w:jc w:val="right"/>
              <w:rPr>
                <w:sz w:val="10"/>
                <w:szCs w:val="10"/>
              </w:rPr>
            </w:pPr>
            <w:r w:rsidRPr="001C4484">
              <w:rPr>
                <w:noProof/>
                <w:sz w:val="10"/>
                <w:szCs w:val="10"/>
              </w:rPr>
              <w:t>37,00</w:t>
            </w:r>
          </w:p>
        </w:tc>
        <w:tc>
          <w:tcPr>
            <w:tcW w:w="0" w:type="auto"/>
            <w:shd w:val="clear" w:color="auto" w:fill="auto"/>
          </w:tcPr>
          <w:p w14:paraId="19A0628F" w14:textId="77777777" w:rsidR="008C5CFA" w:rsidRPr="001C4484" w:rsidRDefault="00E82A60" w:rsidP="00300A01">
            <w:pPr>
              <w:spacing w:before="0" w:after="0"/>
              <w:jc w:val="right"/>
              <w:rPr>
                <w:sz w:val="10"/>
                <w:szCs w:val="10"/>
                <w:lang w:val="fr-BE"/>
              </w:rPr>
            </w:pPr>
            <w:r w:rsidRPr="001C4484">
              <w:rPr>
                <w:noProof/>
                <w:sz w:val="10"/>
                <w:szCs w:val="10"/>
              </w:rPr>
              <w:t>101,00</w:t>
            </w:r>
          </w:p>
        </w:tc>
      </w:tr>
      <w:tr w:rsidR="006B2EC1" w14:paraId="402410CF" w14:textId="77777777" w:rsidTr="0047688D">
        <w:tc>
          <w:tcPr>
            <w:tcW w:w="0" w:type="auto"/>
            <w:shd w:val="clear" w:color="auto" w:fill="auto"/>
          </w:tcPr>
          <w:p w14:paraId="30EBC584" w14:textId="77777777" w:rsidR="008C5CFA" w:rsidRPr="001C4484" w:rsidRDefault="00E82A60" w:rsidP="00300A01">
            <w:pPr>
              <w:spacing w:before="0" w:after="0"/>
              <w:rPr>
                <w:sz w:val="10"/>
                <w:szCs w:val="10"/>
                <w:lang w:val="fr-BE"/>
              </w:rPr>
            </w:pPr>
            <w:r w:rsidRPr="001C4484">
              <w:rPr>
                <w:noProof/>
                <w:sz w:val="10"/>
                <w:szCs w:val="10"/>
                <w:lang w:val="fr-BE"/>
              </w:rPr>
              <w:t>CO20</w:t>
            </w:r>
          </w:p>
        </w:tc>
        <w:tc>
          <w:tcPr>
            <w:tcW w:w="0" w:type="auto"/>
            <w:shd w:val="clear" w:color="auto" w:fill="auto"/>
          </w:tcPr>
          <w:p w14:paraId="60051F3C" w14:textId="77777777" w:rsidR="008C5CFA" w:rsidRPr="001C4484" w:rsidRDefault="00E82A60" w:rsidP="00300A01">
            <w:pPr>
              <w:spacing w:before="0" w:after="0"/>
              <w:rPr>
                <w:sz w:val="10"/>
                <w:szCs w:val="10"/>
                <w:lang w:val="fr-BE"/>
              </w:rPr>
            </w:pPr>
            <w:r w:rsidRPr="001C4484">
              <w:rPr>
                <w:noProof/>
                <w:sz w:val="10"/>
                <w:szCs w:val="10"/>
                <w:lang w:val="fr-BE"/>
              </w:rPr>
              <w:t>liczba projektów zrealizowanych w pełni lub częściowo przez partnerów społecznych lub organizacje pozarządowe</w:t>
            </w:r>
          </w:p>
        </w:tc>
        <w:tc>
          <w:tcPr>
            <w:tcW w:w="0" w:type="auto"/>
            <w:shd w:val="clear" w:color="auto" w:fill="auto"/>
          </w:tcPr>
          <w:p w14:paraId="3F8C292C"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7F1457CB"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4A790CA5" w14:textId="77777777" w:rsidR="008C5CFA" w:rsidRPr="001C4484" w:rsidRDefault="008C5CFA" w:rsidP="00300A01">
            <w:pPr>
              <w:spacing w:before="0" w:after="0"/>
              <w:jc w:val="right"/>
              <w:rPr>
                <w:sz w:val="10"/>
                <w:szCs w:val="10"/>
              </w:rPr>
            </w:pPr>
          </w:p>
        </w:tc>
        <w:tc>
          <w:tcPr>
            <w:tcW w:w="0" w:type="auto"/>
            <w:shd w:val="clear" w:color="auto" w:fill="auto"/>
          </w:tcPr>
          <w:p w14:paraId="20E6E033" w14:textId="77777777" w:rsidR="008C5CFA" w:rsidRPr="001C4484" w:rsidRDefault="008C5CFA" w:rsidP="00300A01">
            <w:pPr>
              <w:spacing w:before="0" w:after="0"/>
              <w:jc w:val="right"/>
              <w:rPr>
                <w:sz w:val="10"/>
                <w:szCs w:val="10"/>
                <w:lang w:val="fr-BE"/>
              </w:rPr>
            </w:pPr>
          </w:p>
        </w:tc>
        <w:tc>
          <w:tcPr>
            <w:tcW w:w="0" w:type="auto"/>
          </w:tcPr>
          <w:p w14:paraId="5433B83A"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5F2F6FA5" w14:textId="77777777" w:rsidR="008C5CFA" w:rsidRPr="001C4484" w:rsidRDefault="008C5CFA" w:rsidP="00300A01">
            <w:pPr>
              <w:spacing w:before="0" w:after="0"/>
              <w:jc w:val="right"/>
              <w:rPr>
                <w:sz w:val="10"/>
                <w:szCs w:val="10"/>
              </w:rPr>
            </w:pPr>
          </w:p>
        </w:tc>
        <w:tc>
          <w:tcPr>
            <w:tcW w:w="0" w:type="auto"/>
            <w:shd w:val="clear" w:color="auto" w:fill="auto"/>
          </w:tcPr>
          <w:p w14:paraId="39DB0055" w14:textId="77777777" w:rsidR="008C5CFA" w:rsidRPr="001C4484" w:rsidRDefault="008C5CFA" w:rsidP="00300A01">
            <w:pPr>
              <w:spacing w:before="0" w:after="0"/>
              <w:jc w:val="right"/>
              <w:rPr>
                <w:sz w:val="10"/>
                <w:szCs w:val="10"/>
                <w:lang w:val="fr-BE"/>
              </w:rPr>
            </w:pPr>
          </w:p>
        </w:tc>
        <w:tc>
          <w:tcPr>
            <w:tcW w:w="0" w:type="auto"/>
          </w:tcPr>
          <w:p w14:paraId="21A88C3B" w14:textId="77777777" w:rsidR="008C5CFA" w:rsidRPr="001C4484" w:rsidRDefault="00E82A60" w:rsidP="00300A01">
            <w:pPr>
              <w:spacing w:before="0" w:after="0"/>
              <w:jc w:val="right"/>
              <w:rPr>
                <w:sz w:val="10"/>
                <w:szCs w:val="10"/>
              </w:rPr>
            </w:pPr>
            <w:r>
              <w:rPr>
                <w:noProof/>
                <w:sz w:val="10"/>
                <w:szCs w:val="10"/>
              </w:rPr>
              <w:t>2,00</w:t>
            </w:r>
          </w:p>
        </w:tc>
        <w:tc>
          <w:tcPr>
            <w:tcW w:w="0" w:type="auto"/>
            <w:shd w:val="clear" w:color="auto" w:fill="auto"/>
          </w:tcPr>
          <w:p w14:paraId="5A18749F" w14:textId="77777777" w:rsidR="008C5CFA" w:rsidRPr="001C4484" w:rsidRDefault="008C5CFA" w:rsidP="00300A01">
            <w:pPr>
              <w:spacing w:before="0" w:after="0"/>
              <w:jc w:val="right"/>
              <w:rPr>
                <w:sz w:val="10"/>
                <w:szCs w:val="10"/>
              </w:rPr>
            </w:pPr>
          </w:p>
        </w:tc>
        <w:tc>
          <w:tcPr>
            <w:tcW w:w="0" w:type="auto"/>
            <w:shd w:val="clear" w:color="auto" w:fill="auto"/>
          </w:tcPr>
          <w:p w14:paraId="773ED2A6" w14:textId="77777777" w:rsidR="008C5CFA" w:rsidRPr="001C4484" w:rsidRDefault="008C5CFA" w:rsidP="00300A01">
            <w:pPr>
              <w:spacing w:before="0" w:after="0"/>
              <w:jc w:val="right"/>
              <w:rPr>
                <w:sz w:val="10"/>
                <w:szCs w:val="10"/>
                <w:lang w:val="fr-BE"/>
              </w:rPr>
            </w:pPr>
          </w:p>
        </w:tc>
      </w:tr>
      <w:tr w:rsidR="006B2EC1" w14:paraId="66EDE096" w14:textId="77777777" w:rsidTr="0047688D">
        <w:tc>
          <w:tcPr>
            <w:tcW w:w="0" w:type="auto"/>
            <w:shd w:val="clear" w:color="auto" w:fill="auto"/>
          </w:tcPr>
          <w:p w14:paraId="42A59B42" w14:textId="77777777" w:rsidR="008C5CFA" w:rsidRPr="001C4484" w:rsidRDefault="00E82A60" w:rsidP="00300A01">
            <w:pPr>
              <w:spacing w:before="0" w:after="0"/>
              <w:rPr>
                <w:sz w:val="10"/>
                <w:szCs w:val="10"/>
                <w:lang w:val="fr-BE"/>
              </w:rPr>
            </w:pPr>
            <w:r w:rsidRPr="001C4484">
              <w:rPr>
                <w:noProof/>
                <w:sz w:val="10"/>
                <w:szCs w:val="10"/>
                <w:lang w:val="fr-BE"/>
              </w:rPr>
              <w:t>CO21</w:t>
            </w:r>
          </w:p>
        </w:tc>
        <w:tc>
          <w:tcPr>
            <w:tcW w:w="0" w:type="auto"/>
            <w:shd w:val="clear" w:color="auto" w:fill="auto"/>
          </w:tcPr>
          <w:p w14:paraId="66420672" w14:textId="77777777" w:rsidR="008C5CFA" w:rsidRPr="001C4484" w:rsidRDefault="00E82A60" w:rsidP="00300A01">
            <w:pPr>
              <w:spacing w:before="0" w:after="0"/>
              <w:rPr>
                <w:sz w:val="10"/>
                <w:szCs w:val="10"/>
                <w:lang w:val="fr-BE"/>
              </w:rPr>
            </w:pPr>
            <w:r w:rsidRPr="001C4484">
              <w:rPr>
                <w:noProof/>
                <w:sz w:val="10"/>
                <w:szCs w:val="10"/>
                <w:lang w:val="fr-BE"/>
              </w:rPr>
              <w:t>liczba projektów ukierunkowanych na trwały udział kobiet w zatrudnieniu i rozwój ich kariery zawodowej</w:t>
            </w:r>
          </w:p>
        </w:tc>
        <w:tc>
          <w:tcPr>
            <w:tcW w:w="0" w:type="auto"/>
            <w:shd w:val="clear" w:color="auto" w:fill="auto"/>
          </w:tcPr>
          <w:p w14:paraId="0DFE2A98"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6AB4C143"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33672273" w14:textId="77777777" w:rsidR="008C5CFA" w:rsidRPr="001C4484" w:rsidRDefault="008C5CFA" w:rsidP="00300A01">
            <w:pPr>
              <w:spacing w:before="0" w:after="0"/>
              <w:jc w:val="right"/>
              <w:rPr>
                <w:sz w:val="10"/>
                <w:szCs w:val="10"/>
              </w:rPr>
            </w:pPr>
          </w:p>
        </w:tc>
        <w:tc>
          <w:tcPr>
            <w:tcW w:w="0" w:type="auto"/>
            <w:shd w:val="clear" w:color="auto" w:fill="auto"/>
          </w:tcPr>
          <w:p w14:paraId="16A159F7" w14:textId="77777777" w:rsidR="008C5CFA" w:rsidRPr="001C4484" w:rsidRDefault="008C5CFA" w:rsidP="00300A01">
            <w:pPr>
              <w:spacing w:before="0" w:after="0"/>
              <w:jc w:val="right"/>
              <w:rPr>
                <w:sz w:val="10"/>
                <w:szCs w:val="10"/>
                <w:lang w:val="fr-BE"/>
              </w:rPr>
            </w:pPr>
          </w:p>
        </w:tc>
        <w:tc>
          <w:tcPr>
            <w:tcW w:w="0" w:type="auto"/>
          </w:tcPr>
          <w:p w14:paraId="47051772" w14:textId="77777777" w:rsidR="008C5CFA" w:rsidRPr="001C4484" w:rsidRDefault="00E82A60" w:rsidP="00300A01">
            <w:pPr>
              <w:spacing w:before="0" w:after="0"/>
              <w:jc w:val="right"/>
              <w:rPr>
                <w:sz w:val="10"/>
                <w:szCs w:val="10"/>
              </w:rPr>
            </w:pPr>
            <w:r>
              <w:rPr>
                <w:noProof/>
                <w:sz w:val="10"/>
                <w:szCs w:val="10"/>
              </w:rPr>
              <w:t>1,00</w:t>
            </w:r>
          </w:p>
        </w:tc>
        <w:tc>
          <w:tcPr>
            <w:tcW w:w="0" w:type="auto"/>
            <w:shd w:val="clear" w:color="auto" w:fill="auto"/>
          </w:tcPr>
          <w:p w14:paraId="29614B87" w14:textId="77777777" w:rsidR="008C5CFA" w:rsidRPr="001C4484" w:rsidRDefault="008C5CFA" w:rsidP="00300A01">
            <w:pPr>
              <w:spacing w:before="0" w:after="0"/>
              <w:jc w:val="right"/>
              <w:rPr>
                <w:sz w:val="10"/>
                <w:szCs w:val="10"/>
              </w:rPr>
            </w:pPr>
          </w:p>
        </w:tc>
        <w:tc>
          <w:tcPr>
            <w:tcW w:w="0" w:type="auto"/>
            <w:shd w:val="clear" w:color="auto" w:fill="auto"/>
          </w:tcPr>
          <w:p w14:paraId="149B4F17" w14:textId="77777777" w:rsidR="008C5CFA" w:rsidRPr="001C4484" w:rsidRDefault="008C5CFA" w:rsidP="00300A01">
            <w:pPr>
              <w:spacing w:before="0" w:after="0"/>
              <w:jc w:val="right"/>
              <w:rPr>
                <w:sz w:val="10"/>
                <w:szCs w:val="10"/>
                <w:lang w:val="fr-BE"/>
              </w:rPr>
            </w:pPr>
          </w:p>
        </w:tc>
        <w:tc>
          <w:tcPr>
            <w:tcW w:w="0" w:type="auto"/>
          </w:tcPr>
          <w:p w14:paraId="2535DF0D" w14:textId="77777777" w:rsidR="008C5CFA" w:rsidRPr="001C4484" w:rsidRDefault="00E82A60" w:rsidP="00300A01">
            <w:pPr>
              <w:spacing w:before="0" w:after="0"/>
              <w:jc w:val="right"/>
              <w:rPr>
                <w:sz w:val="10"/>
                <w:szCs w:val="10"/>
              </w:rPr>
            </w:pPr>
            <w:r>
              <w:rPr>
                <w:noProof/>
                <w:sz w:val="10"/>
                <w:szCs w:val="10"/>
              </w:rPr>
              <w:t>1,00</w:t>
            </w:r>
          </w:p>
        </w:tc>
        <w:tc>
          <w:tcPr>
            <w:tcW w:w="0" w:type="auto"/>
            <w:shd w:val="clear" w:color="auto" w:fill="auto"/>
          </w:tcPr>
          <w:p w14:paraId="1EBACA52" w14:textId="77777777" w:rsidR="008C5CFA" w:rsidRPr="001C4484" w:rsidRDefault="008C5CFA" w:rsidP="00300A01">
            <w:pPr>
              <w:spacing w:before="0" w:after="0"/>
              <w:jc w:val="right"/>
              <w:rPr>
                <w:sz w:val="10"/>
                <w:szCs w:val="10"/>
              </w:rPr>
            </w:pPr>
          </w:p>
        </w:tc>
        <w:tc>
          <w:tcPr>
            <w:tcW w:w="0" w:type="auto"/>
            <w:shd w:val="clear" w:color="auto" w:fill="auto"/>
          </w:tcPr>
          <w:p w14:paraId="7EF06209" w14:textId="77777777" w:rsidR="008C5CFA" w:rsidRPr="001C4484" w:rsidRDefault="008C5CFA" w:rsidP="00300A01">
            <w:pPr>
              <w:spacing w:before="0" w:after="0"/>
              <w:jc w:val="right"/>
              <w:rPr>
                <w:sz w:val="10"/>
                <w:szCs w:val="10"/>
                <w:lang w:val="fr-BE"/>
              </w:rPr>
            </w:pPr>
          </w:p>
        </w:tc>
      </w:tr>
      <w:tr w:rsidR="006B2EC1" w14:paraId="456FE88E" w14:textId="77777777" w:rsidTr="0047688D">
        <w:tc>
          <w:tcPr>
            <w:tcW w:w="0" w:type="auto"/>
            <w:shd w:val="clear" w:color="auto" w:fill="auto"/>
          </w:tcPr>
          <w:p w14:paraId="4ECDDB4B" w14:textId="77777777" w:rsidR="008C5CFA" w:rsidRPr="001C4484" w:rsidRDefault="00E82A60" w:rsidP="00300A01">
            <w:pPr>
              <w:spacing w:before="0" w:after="0"/>
              <w:rPr>
                <w:sz w:val="10"/>
                <w:szCs w:val="10"/>
                <w:lang w:val="fr-BE"/>
              </w:rPr>
            </w:pPr>
            <w:r w:rsidRPr="001C4484">
              <w:rPr>
                <w:noProof/>
                <w:sz w:val="10"/>
                <w:szCs w:val="10"/>
                <w:lang w:val="fr-BE"/>
              </w:rPr>
              <w:t>CO22</w:t>
            </w:r>
          </w:p>
        </w:tc>
        <w:tc>
          <w:tcPr>
            <w:tcW w:w="0" w:type="auto"/>
            <w:shd w:val="clear" w:color="auto" w:fill="auto"/>
          </w:tcPr>
          <w:p w14:paraId="4A62AF4D" w14:textId="77777777" w:rsidR="008C5CFA" w:rsidRPr="001C4484" w:rsidRDefault="00E82A60" w:rsidP="00300A01">
            <w:pPr>
              <w:spacing w:before="0" w:after="0"/>
              <w:rPr>
                <w:sz w:val="10"/>
                <w:szCs w:val="10"/>
                <w:lang w:val="fr-BE"/>
              </w:rPr>
            </w:pPr>
            <w:r w:rsidRPr="001C4484">
              <w:rPr>
                <w:noProof/>
                <w:sz w:val="10"/>
                <w:szCs w:val="10"/>
                <w:lang w:val="fr-BE"/>
              </w:rPr>
              <w:t>liczba projektów obejmujących administrację publiczną lub służby publiczne na szczeblu krajowym, regionalnym lub lokalnym</w:t>
            </w:r>
          </w:p>
        </w:tc>
        <w:tc>
          <w:tcPr>
            <w:tcW w:w="0" w:type="auto"/>
            <w:shd w:val="clear" w:color="auto" w:fill="auto"/>
          </w:tcPr>
          <w:p w14:paraId="46EBFBC2"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662612B2"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5DA832F8" w14:textId="77777777" w:rsidR="008C5CFA" w:rsidRPr="001C4484" w:rsidRDefault="008C5CFA" w:rsidP="00300A01">
            <w:pPr>
              <w:spacing w:before="0" w:after="0"/>
              <w:jc w:val="right"/>
              <w:rPr>
                <w:sz w:val="10"/>
                <w:szCs w:val="10"/>
              </w:rPr>
            </w:pPr>
          </w:p>
        </w:tc>
        <w:tc>
          <w:tcPr>
            <w:tcW w:w="0" w:type="auto"/>
            <w:shd w:val="clear" w:color="auto" w:fill="auto"/>
          </w:tcPr>
          <w:p w14:paraId="18B83B0C" w14:textId="77777777" w:rsidR="008C5CFA" w:rsidRPr="001C4484" w:rsidRDefault="008C5CFA" w:rsidP="00300A01">
            <w:pPr>
              <w:spacing w:before="0" w:after="0"/>
              <w:jc w:val="right"/>
              <w:rPr>
                <w:sz w:val="10"/>
                <w:szCs w:val="10"/>
                <w:lang w:val="fr-BE"/>
              </w:rPr>
            </w:pPr>
          </w:p>
        </w:tc>
        <w:tc>
          <w:tcPr>
            <w:tcW w:w="0" w:type="auto"/>
          </w:tcPr>
          <w:p w14:paraId="6EBE04DD"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0ACD7365" w14:textId="77777777" w:rsidR="008C5CFA" w:rsidRPr="001C4484" w:rsidRDefault="008C5CFA" w:rsidP="00300A01">
            <w:pPr>
              <w:spacing w:before="0" w:after="0"/>
              <w:jc w:val="right"/>
              <w:rPr>
                <w:sz w:val="10"/>
                <w:szCs w:val="10"/>
              </w:rPr>
            </w:pPr>
          </w:p>
        </w:tc>
        <w:tc>
          <w:tcPr>
            <w:tcW w:w="0" w:type="auto"/>
            <w:shd w:val="clear" w:color="auto" w:fill="auto"/>
          </w:tcPr>
          <w:p w14:paraId="06D0ACC2" w14:textId="77777777" w:rsidR="008C5CFA" w:rsidRPr="001C4484" w:rsidRDefault="008C5CFA" w:rsidP="00300A01">
            <w:pPr>
              <w:spacing w:before="0" w:after="0"/>
              <w:jc w:val="right"/>
              <w:rPr>
                <w:sz w:val="10"/>
                <w:szCs w:val="10"/>
                <w:lang w:val="fr-BE"/>
              </w:rPr>
            </w:pPr>
          </w:p>
        </w:tc>
        <w:tc>
          <w:tcPr>
            <w:tcW w:w="0" w:type="auto"/>
          </w:tcPr>
          <w:p w14:paraId="0E803166" w14:textId="77777777" w:rsidR="008C5CFA" w:rsidRPr="001C4484" w:rsidRDefault="00E82A60" w:rsidP="00300A01">
            <w:pPr>
              <w:spacing w:before="0" w:after="0"/>
              <w:jc w:val="right"/>
              <w:rPr>
                <w:sz w:val="10"/>
                <w:szCs w:val="10"/>
              </w:rPr>
            </w:pPr>
            <w:r>
              <w:rPr>
                <w:noProof/>
                <w:sz w:val="10"/>
                <w:szCs w:val="10"/>
              </w:rPr>
              <w:t>1,00</w:t>
            </w:r>
          </w:p>
        </w:tc>
        <w:tc>
          <w:tcPr>
            <w:tcW w:w="0" w:type="auto"/>
            <w:shd w:val="clear" w:color="auto" w:fill="auto"/>
          </w:tcPr>
          <w:p w14:paraId="66F3BBE4" w14:textId="77777777" w:rsidR="008C5CFA" w:rsidRPr="001C4484" w:rsidRDefault="008C5CFA" w:rsidP="00300A01">
            <w:pPr>
              <w:spacing w:before="0" w:after="0"/>
              <w:jc w:val="right"/>
              <w:rPr>
                <w:sz w:val="10"/>
                <w:szCs w:val="10"/>
              </w:rPr>
            </w:pPr>
          </w:p>
        </w:tc>
        <w:tc>
          <w:tcPr>
            <w:tcW w:w="0" w:type="auto"/>
            <w:shd w:val="clear" w:color="auto" w:fill="auto"/>
          </w:tcPr>
          <w:p w14:paraId="2F7C0F9E" w14:textId="77777777" w:rsidR="008C5CFA" w:rsidRPr="001C4484" w:rsidRDefault="008C5CFA" w:rsidP="00300A01">
            <w:pPr>
              <w:spacing w:before="0" w:after="0"/>
              <w:jc w:val="right"/>
              <w:rPr>
                <w:sz w:val="10"/>
                <w:szCs w:val="10"/>
                <w:lang w:val="fr-BE"/>
              </w:rPr>
            </w:pPr>
          </w:p>
        </w:tc>
      </w:tr>
      <w:tr w:rsidR="006B2EC1" w14:paraId="1CAF8CA9" w14:textId="77777777" w:rsidTr="0047688D">
        <w:tc>
          <w:tcPr>
            <w:tcW w:w="0" w:type="auto"/>
            <w:shd w:val="clear" w:color="auto" w:fill="auto"/>
          </w:tcPr>
          <w:p w14:paraId="7139665A" w14:textId="77777777" w:rsidR="008C5CFA" w:rsidRPr="001C4484" w:rsidRDefault="00E82A60" w:rsidP="00300A01">
            <w:pPr>
              <w:spacing w:before="0" w:after="0"/>
              <w:rPr>
                <w:sz w:val="10"/>
                <w:szCs w:val="10"/>
                <w:lang w:val="fr-BE"/>
              </w:rPr>
            </w:pPr>
            <w:r w:rsidRPr="001C4484">
              <w:rPr>
                <w:noProof/>
                <w:sz w:val="10"/>
                <w:szCs w:val="10"/>
                <w:lang w:val="fr-BE"/>
              </w:rPr>
              <w:t>CO23</w:t>
            </w:r>
          </w:p>
        </w:tc>
        <w:tc>
          <w:tcPr>
            <w:tcW w:w="0" w:type="auto"/>
            <w:shd w:val="clear" w:color="auto" w:fill="auto"/>
          </w:tcPr>
          <w:p w14:paraId="42187192" w14:textId="77777777" w:rsidR="008C5CFA" w:rsidRPr="001C4484" w:rsidRDefault="00E82A60" w:rsidP="00300A01">
            <w:pPr>
              <w:spacing w:before="0" w:after="0"/>
              <w:rPr>
                <w:sz w:val="10"/>
                <w:szCs w:val="10"/>
                <w:lang w:val="fr-BE"/>
              </w:rPr>
            </w:pPr>
            <w:r w:rsidRPr="001C4484">
              <w:rPr>
                <w:noProof/>
                <w:sz w:val="10"/>
                <w:szCs w:val="10"/>
                <w:lang w:val="fr-BE"/>
              </w:rPr>
              <w:t>liczba objętych wsparciem mikro-, małych i średnich przedsiębiorstw (w tym przedsiębiorstw spółdzielczych i przedsiębiorstw gospodarki społecznej)</w:t>
            </w:r>
          </w:p>
        </w:tc>
        <w:tc>
          <w:tcPr>
            <w:tcW w:w="0" w:type="auto"/>
            <w:shd w:val="clear" w:color="auto" w:fill="auto"/>
          </w:tcPr>
          <w:p w14:paraId="3EC9D704"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604A7A49"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24422773" w14:textId="77777777" w:rsidR="008C5CFA" w:rsidRPr="001C4484" w:rsidRDefault="008C5CFA" w:rsidP="00300A01">
            <w:pPr>
              <w:spacing w:before="0" w:after="0"/>
              <w:jc w:val="right"/>
              <w:rPr>
                <w:sz w:val="10"/>
                <w:szCs w:val="10"/>
              </w:rPr>
            </w:pPr>
          </w:p>
        </w:tc>
        <w:tc>
          <w:tcPr>
            <w:tcW w:w="0" w:type="auto"/>
            <w:shd w:val="clear" w:color="auto" w:fill="auto"/>
          </w:tcPr>
          <w:p w14:paraId="18F033F5" w14:textId="77777777" w:rsidR="008C5CFA" w:rsidRPr="001C4484" w:rsidRDefault="008C5CFA" w:rsidP="00300A01">
            <w:pPr>
              <w:spacing w:before="0" w:after="0"/>
              <w:jc w:val="right"/>
              <w:rPr>
                <w:sz w:val="10"/>
                <w:szCs w:val="10"/>
                <w:lang w:val="fr-BE"/>
              </w:rPr>
            </w:pPr>
          </w:p>
        </w:tc>
        <w:tc>
          <w:tcPr>
            <w:tcW w:w="0" w:type="auto"/>
          </w:tcPr>
          <w:p w14:paraId="5205F4ED"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49920768" w14:textId="77777777" w:rsidR="008C5CFA" w:rsidRPr="001C4484" w:rsidRDefault="008C5CFA" w:rsidP="00300A01">
            <w:pPr>
              <w:spacing w:before="0" w:after="0"/>
              <w:jc w:val="right"/>
              <w:rPr>
                <w:sz w:val="10"/>
                <w:szCs w:val="10"/>
              </w:rPr>
            </w:pPr>
          </w:p>
        </w:tc>
        <w:tc>
          <w:tcPr>
            <w:tcW w:w="0" w:type="auto"/>
            <w:shd w:val="clear" w:color="auto" w:fill="auto"/>
          </w:tcPr>
          <w:p w14:paraId="0232FC6C" w14:textId="77777777" w:rsidR="008C5CFA" w:rsidRPr="001C4484" w:rsidRDefault="008C5CFA" w:rsidP="00300A01">
            <w:pPr>
              <w:spacing w:before="0" w:after="0"/>
              <w:jc w:val="right"/>
              <w:rPr>
                <w:sz w:val="10"/>
                <w:szCs w:val="10"/>
                <w:lang w:val="fr-BE"/>
              </w:rPr>
            </w:pPr>
          </w:p>
        </w:tc>
        <w:tc>
          <w:tcPr>
            <w:tcW w:w="0" w:type="auto"/>
          </w:tcPr>
          <w:p w14:paraId="790A7454"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211DA418" w14:textId="77777777" w:rsidR="008C5CFA" w:rsidRPr="001C4484" w:rsidRDefault="008C5CFA" w:rsidP="00300A01">
            <w:pPr>
              <w:spacing w:before="0" w:after="0"/>
              <w:jc w:val="right"/>
              <w:rPr>
                <w:sz w:val="10"/>
                <w:szCs w:val="10"/>
              </w:rPr>
            </w:pPr>
          </w:p>
        </w:tc>
        <w:tc>
          <w:tcPr>
            <w:tcW w:w="0" w:type="auto"/>
            <w:shd w:val="clear" w:color="auto" w:fill="auto"/>
          </w:tcPr>
          <w:p w14:paraId="092CF494" w14:textId="77777777" w:rsidR="008C5CFA" w:rsidRPr="001C4484" w:rsidRDefault="008C5CFA" w:rsidP="00300A01">
            <w:pPr>
              <w:spacing w:before="0" w:after="0"/>
              <w:jc w:val="right"/>
              <w:rPr>
                <w:sz w:val="10"/>
                <w:szCs w:val="10"/>
                <w:lang w:val="fr-BE"/>
              </w:rPr>
            </w:pPr>
          </w:p>
        </w:tc>
      </w:tr>
      <w:tr w:rsidR="006B2EC1" w14:paraId="7C46B5BA" w14:textId="77777777" w:rsidTr="0047688D">
        <w:tc>
          <w:tcPr>
            <w:tcW w:w="0" w:type="auto"/>
            <w:shd w:val="clear" w:color="auto" w:fill="auto"/>
          </w:tcPr>
          <w:p w14:paraId="15B40065" w14:textId="77777777" w:rsidR="008C5CFA" w:rsidRPr="001C4484" w:rsidRDefault="008C5CFA" w:rsidP="00300A01">
            <w:pPr>
              <w:spacing w:before="0" w:after="0"/>
              <w:rPr>
                <w:sz w:val="10"/>
                <w:szCs w:val="10"/>
                <w:lang w:val="fr-BE"/>
              </w:rPr>
            </w:pPr>
          </w:p>
        </w:tc>
        <w:tc>
          <w:tcPr>
            <w:tcW w:w="0" w:type="auto"/>
            <w:shd w:val="clear" w:color="auto" w:fill="auto"/>
          </w:tcPr>
          <w:p w14:paraId="357FE3BB" w14:textId="77777777" w:rsidR="008C5CFA" w:rsidRPr="001C4484" w:rsidRDefault="00E82A60" w:rsidP="00300A01">
            <w:pPr>
              <w:spacing w:before="0" w:after="0"/>
              <w:rPr>
                <w:sz w:val="10"/>
                <w:szCs w:val="10"/>
                <w:lang w:val="fr-BE"/>
              </w:rPr>
            </w:pPr>
            <w:r w:rsidRPr="001C4484">
              <w:rPr>
                <w:noProof/>
                <w:sz w:val="10"/>
                <w:szCs w:val="10"/>
                <w:lang w:val="fr-BE"/>
              </w:rPr>
              <w:t>Całkowita łączna liczba uczestników</w:t>
            </w:r>
          </w:p>
        </w:tc>
        <w:tc>
          <w:tcPr>
            <w:tcW w:w="0" w:type="auto"/>
            <w:shd w:val="clear" w:color="auto" w:fill="auto"/>
          </w:tcPr>
          <w:p w14:paraId="065049E4" w14:textId="77777777" w:rsidR="008C5CFA" w:rsidRPr="001C4484" w:rsidRDefault="008C5CFA" w:rsidP="00300A01">
            <w:pPr>
              <w:spacing w:before="0" w:after="0"/>
              <w:rPr>
                <w:sz w:val="10"/>
                <w:szCs w:val="10"/>
                <w:lang w:val="fr-BE"/>
              </w:rPr>
            </w:pPr>
          </w:p>
        </w:tc>
        <w:tc>
          <w:tcPr>
            <w:tcW w:w="0" w:type="auto"/>
          </w:tcPr>
          <w:p w14:paraId="512F51D8" w14:textId="77777777" w:rsidR="008C5CFA" w:rsidRPr="001C4484" w:rsidRDefault="00E82A60" w:rsidP="00300A01">
            <w:pPr>
              <w:spacing w:before="0" w:after="0"/>
              <w:jc w:val="right"/>
              <w:rPr>
                <w:sz w:val="10"/>
                <w:szCs w:val="10"/>
              </w:rPr>
            </w:pPr>
            <w:r>
              <w:rPr>
                <w:noProof/>
                <w:sz w:val="10"/>
                <w:szCs w:val="10"/>
              </w:rPr>
              <w:t>748,00</w:t>
            </w:r>
          </w:p>
        </w:tc>
        <w:tc>
          <w:tcPr>
            <w:tcW w:w="0" w:type="auto"/>
            <w:shd w:val="clear" w:color="auto" w:fill="auto"/>
          </w:tcPr>
          <w:p w14:paraId="1F63B725" w14:textId="77777777" w:rsidR="008C5CFA" w:rsidRPr="001C4484" w:rsidRDefault="008C5CFA" w:rsidP="00300A01">
            <w:pPr>
              <w:spacing w:before="0" w:after="0"/>
              <w:jc w:val="right"/>
              <w:rPr>
                <w:sz w:val="10"/>
                <w:szCs w:val="10"/>
              </w:rPr>
            </w:pPr>
          </w:p>
        </w:tc>
        <w:tc>
          <w:tcPr>
            <w:tcW w:w="0" w:type="auto"/>
            <w:shd w:val="clear" w:color="auto" w:fill="auto"/>
          </w:tcPr>
          <w:p w14:paraId="4F75BA97" w14:textId="77777777" w:rsidR="008C5CFA" w:rsidRPr="001C4484" w:rsidRDefault="008C5CFA" w:rsidP="00300A01">
            <w:pPr>
              <w:spacing w:before="0" w:after="0"/>
              <w:jc w:val="right"/>
              <w:rPr>
                <w:sz w:val="10"/>
                <w:szCs w:val="10"/>
                <w:lang w:val="fr-BE"/>
              </w:rPr>
            </w:pPr>
          </w:p>
        </w:tc>
        <w:tc>
          <w:tcPr>
            <w:tcW w:w="0" w:type="auto"/>
          </w:tcPr>
          <w:p w14:paraId="72841CE0" w14:textId="77777777" w:rsidR="008C5CFA" w:rsidRPr="001C4484" w:rsidRDefault="00E82A60" w:rsidP="00300A01">
            <w:pPr>
              <w:spacing w:before="0" w:after="0"/>
              <w:jc w:val="right"/>
              <w:rPr>
                <w:sz w:val="10"/>
                <w:szCs w:val="10"/>
              </w:rPr>
            </w:pPr>
            <w:r>
              <w:rPr>
                <w:noProof/>
                <w:sz w:val="10"/>
                <w:szCs w:val="10"/>
              </w:rPr>
              <w:t>704,00</w:t>
            </w:r>
          </w:p>
        </w:tc>
        <w:tc>
          <w:tcPr>
            <w:tcW w:w="0" w:type="auto"/>
            <w:shd w:val="clear" w:color="auto" w:fill="auto"/>
          </w:tcPr>
          <w:p w14:paraId="5154BE67" w14:textId="77777777" w:rsidR="008C5CFA" w:rsidRPr="001C4484" w:rsidRDefault="008C5CFA" w:rsidP="00300A01">
            <w:pPr>
              <w:spacing w:before="0" w:after="0"/>
              <w:jc w:val="right"/>
              <w:rPr>
                <w:sz w:val="10"/>
                <w:szCs w:val="10"/>
              </w:rPr>
            </w:pPr>
          </w:p>
        </w:tc>
        <w:tc>
          <w:tcPr>
            <w:tcW w:w="0" w:type="auto"/>
            <w:shd w:val="clear" w:color="auto" w:fill="auto"/>
          </w:tcPr>
          <w:p w14:paraId="3B19472A" w14:textId="77777777" w:rsidR="008C5CFA" w:rsidRPr="001C4484" w:rsidRDefault="008C5CFA" w:rsidP="00300A01">
            <w:pPr>
              <w:spacing w:before="0" w:after="0"/>
              <w:jc w:val="right"/>
              <w:rPr>
                <w:sz w:val="10"/>
                <w:szCs w:val="10"/>
                <w:lang w:val="fr-BE"/>
              </w:rPr>
            </w:pPr>
          </w:p>
        </w:tc>
        <w:tc>
          <w:tcPr>
            <w:tcW w:w="0" w:type="auto"/>
          </w:tcPr>
          <w:p w14:paraId="53CBF69D" w14:textId="77777777" w:rsidR="008C5CFA" w:rsidRPr="001C4484" w:rsidRDefault="00E82A60" w:rsidP="00300A01">
            <w:pPr>
              <w:spacing w:before="0" w:after="0"/>
              <w:jc w:val="right"/>
              <w:rPr>
                <w:sz w:val="10"/>
                <w:szCs w:val="10"/>
              </w:rPr>
            </w:pPr>
            <w:r>
              <w:rPr>
                <w:noProof/>
                <w:sz w:val="10"/>
                <w:szCs w:val="10"/>
              </w:rPr>
              <w:t>288,00</w:t>
            </w:r>
          </w:p>
        </w:tc>
        <w:tc>
          <w:tcPr>
            <w:tcW w:w="0" w:type="auto"/>
            <w:shd w:val="clear" w:color="auto" w:fill="auto"/>
          </w:tcPr>
          <w:p w14:paraId="52C0D580" w14:textId="77777777" w:rsidR="008C5CFA" w:rsidRPr="001C4484" w:rsidRDefault="008C5CFA" w:rsidP="00300A01">
            <w:pPr>
              <w:spacing w:before="0" w:after="0"/>
              <w:jc w:val="right"/>
              <w:rPr>
                <w:sz w:val="10"/>
                <w:szCs w:val="10"/>
              </w:rPr>
            </w:pPr>
          </w:p>
        </w:tc>
        <w:tc>
          <w:tcPr>
            <w:tcW w:w="0" w:type="auto"/>
            <w:shd w:val="clear" w:color="auto" w:fill="auto"/>
          </w:tcPr>
          <w:p w14:paraId="4ACB81FD" w14:textId="77777777" w:rsidR="008C5CFA" w:rsidRPr="001C4484" w:rsidRDefault="008C5CFA" w:rsidP="00300A01">
            <w:pPr>
              <w:spacing w:before="0" w:after="0"/>
              <w:jc w:val="right"/>
              <w:rPr>
                <w:sz w:val="10"/>
                <w:szCs w:val="10"/>
                <w:lang w:val="fr-BE"/>
              </w:rPr>
            </w:pPr>
          </w:p>
        </w:tc>
      </w:tr>
    </w:tbl>
    <w:p w14:paraId="3FB69336"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514"/>
        <w:gridCol w:w="8970"/>
        <w:gridCol w:w="1534"/>
        <w:gridCol w:w="638"/>
        <w:gridCol w:w="807"/>
        <w:gridCol w:w="638"/>
        <w:gridCol w:w="638"/>
        <w:gridCol w:w="807"/>
        <w:gridCol w:w="638"/>
      </w:tblGrid>
      <w:tr w:rsidR="006B2EC1" w14:paraId="21484571" w14:textId="77777777" w:rsidTr="0047688D">
        <w:tc>
          <w:tcPr>
            <w:tcW w:w="0" w:type="auto"/>
            <w:shd w:val="clear" w:color="auto" w:fill="auto"/>
          </w:tcPr>
          <w:p w14:paraId="5A3A5528" w14:textId="77777777" w:rsidR="008C5CFA" w:rsidRPr="001C4484" w:rsidRDefault="00E82A60" w:rsidP="00300A01">
            <w:pPr>
              <w:spacing w:before="0" w:after="0"/>
              <w:rPr>
                <w:sz w:val="10"/>
                <w:szCs w:val="10"/>
              </w:rPr>
            </w:pPr>
            <w:r w:rsidRPr="001C4484">
              <w:rPr>
                <w:b/>
                <w:noProof/>
                <w:sz w:val="12"/>
                <w:szCs w:val="12"/>
                <w:lang w:val="fr-BE"/>
              </w:rPr>
              <w:t>ID</w:t>
            </w:r>
          </w:p>
        </w:tc>
        <w:tc>
          <w:tcPr>
            <w:tcW w:w="0" w:type="auto"/>
            <w:shd w:val="clear" w:color="auto" w:fill="auto"/>
          </w:tcPr>
          <w:p w14:paraId="0AE1D7DF" w14:textId="77777777" w:rsidR="008C5CFA" w:rsidRPr="001C4484" w:rsidRDefault="00E82A60" w:rsidP="00300A01">
            <w:pPr>
              <w:spacing w:before="0" w:after="0"/>
              <w:rPr>
                <w:sz w:val="10"/>
                <w:szCs w:val="10"/>
              </w:rPr>
            </w:pPr>
            <w:r w:rsidRPr="001C4484">
              <w:rPr>
                <w:b/>
                <w:noProof/>
                <w:sz w:val="12"/>
                <w:szCs w:val="12"/>
                <w:lang w:val="fr-BE"/>
              </w:rPr>
              <w:t>Wskaźnik</w:t>
            </w:r>
          </w:p>
        </w:tc>
        <w:tc>
          <w:tcPr>
            <w:tcW w:w="0" w:type="auto"/>
            <w:shd w:val="clear" w:color="auto" w:fill="auto"/>
          </w:tcPr>
          <w:p w14:paraId="15232E8D" w14:textId="77777777" w:rsidR="008C5CFA" w:rsidRPr="001C4484" w:rsidRDefault="00E82A60" w:rsidP="00300A01">
            <w:pPr>
              <w:spacing w:before="0" w:after="0"/>
              <w:rPr>
                <w:sz w:val="10"/>
                <w:szCs w:val="10"/>
              </w:rPr>
            </w:pPr>
            <w:r w:rsidRPr="001C4484">
              <w:rPr>
                <w:b/>
                <w:noProof/>
                <w:sz w:val="12"/>
                <w:szCs w:val="12"/>
                <w:lang w:val="fr-BE"/>
              </w:rPr>
              <w:t>Kategoria regionu</w:t>
            </w:r>
          </w:p>
        </w:tc>
        <w:tc>
          <w:tcPr>
            <w:tcW w:w="0" w:type="auto"/>
            <w:gridSpan w:val="3"/>
          </w:tcPr>
          <w:p w14:paraId="01BD94F8" w14:textId="77777777" w:rsidR="008C5CFA" w:rsidRPr="001C4484" w:rsidRDefault="00E82A60" w:rsidP="00300A01">
            <w:pPr>
              <w:spacing w:before="0" w:after="0"/>
              <w:jc w:val="center"/>
              <w:rPr>
                <w:sz w:val="10"/>
                <w:szCs w:val="10"/>
              </w:rPr>
            </w:pPr>
            <w:r w:rsidRPr="001C4484">
              <w:rPr>
                <w:sz w:val="10"/>
                <w:szCs w:val="10"/>
              </w:rPr>
              <w:t>2015</w:t>
            </w:r>
          </w:p>
        </w:tc>
        <w:tc>
          <w:tcPr>
            <w:tcW w:w="0" w:type="auto"/>
            <w:gridSpan w:val="3"/>
          </w:tcPr>
          <w:p w14:paraId="610894FB" w14:textId="77777777" w:rsidR="008C5CFA" w:rsidRPr="001C4484" w:rsidRDefault="00E82A60" w:rsidP="00300A01">
            <w:pPr>
              <w:spacing w:before="0" w:after="0"/>
              <w:jc w:val="center"/>
              <w:rPr>
                <w:sz w:val="10"/>
                <w:szCs w:val="10"/>
              </w:rPr>
            </w:pPr>
            <w:r w:rsidRPr="001C4484">
              <w:rPr>
                <w:sz w:val="10"/>
                <w:szCs w:val="10"/>
              </w:rPr>
              <w:t>2014</w:t>
            </w:r>
          </w:p>
        </w:tc>
      </w:tr>
      <w:tr w:rsidR="006B2EC1" w14:paraId="7D616906" w14:textId="77777777" w:rsidTr="0047688D">
        <w:tc>
          <w:tcPr>
            <w:tcW w:w="0" w:type="auto"/>
            <w:shd w:val="clear" w:color="auto" w:fill="auto"/>
          </w:tcPr>
          <w:p w14:paraId="6C9CCBE0" w14:textId="77777777" w:rsidR="008C5CFA" w:rsidRPr="001C4484" w:rsidRDefault="008C5CFA" w:rsidP="00300A01">
            <w:pPr>
              <w:spacing w:before="0" w:after="0"/>
              <w:rPr>
                <w:sz w:val="10"/>
                <w:szCs w:val="10"/>
              </w:rPr>
            </w:pPr>
          </w:p>
        </w:tc>
        <w:tc>
          <w:tcPr>
            <w:tcW w:w="0" w:type="auto"/>
            <w:shd w:val="clear" w:color="auto" w:fill="auto"/>
          </w:tcPr>
          <w:p w14:paraId="564649AF" w14:textId="77777777" w:rsidR="008C5CFA" w:rsidRPr="001C4484" w:rsidRDefault="008C5CFA" w:rsidP="00300A01">
            <w:pPr>
              <w:spacing w:before="0" w:after="0"/>
              <w:rPr>
                <w:sz w:val="10"/>
                <w:szCs w:val="10"/>
              </w:rPr>
            </w:pPr>
          </w:p>
        </w:tc>
        <w:tc>
          <w:tcPr>
            <w:tcW w:w="0" w:type="auto"/>
            <w:shd w:val="clear" w:color="auto" w:fill="auto"/>
          </w:tcPr>
          <w:p w14:paraId="61859B69" w14:textId="77777777" w:rsidR="008C5CFA" w:rsidRPr="001C4484" w:rsidRDefault="008C5CFA" w:rsidP="00300A01">
            <w:pPr>
              <w:spacing w:before="0" w:after="0"/>
              <w:rPr>
                <w:sz w:val="10"/>
                <w:szCs w:val="10"/>
              </w:rPr>
            </w:pPr>
          </w:p>
        </w:tc>
        <w:tc>
          <w:tcPr>
            <w:tcW w:w="0" w:type="auto"/>
          </w:tcPr>
          <w:p w14:paraId="5DA7E701" w14:textId="77777777" w:rsidR="008C5CFA" w:rsidRPr="001C4484" w:rsidRDefault="00E82A60" w:rsidP="00300A01">
            <w:pPr>
              <w:spacing w:before="0" w:after="0"/>
              <w:jc w:val="center"/>
              <w:rPr>
                <w:sz w:val="10"/>
                <w:szCs w:val="10"/>
              </w:rPr>
            </w:pPr>
            <w:r>
              <w:rPr>
                <w:noProof/>
                <w:sz w:val="10"/>
                <w:szCs w:val="10"/>
              </w:rPr>
              <w:t>Ogółem</w:t>
            </w:r>
          </w:p>
        </w:tc>
        <w:tc>
          <w:tcPr>
            <w:tcW w:w="0" w:type="auto"/>
            <w:shd w:val="clear" w:color="auto" w:fill="auto"/>
          </w:tcPr>
          <w:p w14:paraId="0D5605BB" w14:textId="77777777" w:rsidR="008C5CFA" w:rsidRPr="001C4484" w:rsidRDefault="00E82A60" w:rsidP="00300A01">
            <w:pPr>
              <w:spacing w:before="0" w:after="0"/>
              <w:jc w:val="center"/>
              <w:rPr>
                <w:sz w:val="10"/>
                <w:szCs w:val="10"/>
              </w:rPr>
            </w:pPr>
            <w:r w:rsidRPr="001C4484">
              <w:rPr>
                <w:noProof/>
                <w:sz w:val="10"/>
                <w:szCs w:val="10"/>
              </w:rPr>
              <w:t>Mężczyźni</w:t>
            </w:r>
          </w:p>
        </w:tc>
        <w:tc>
          <w:tcPr>
            <w:tcW w:w="0" w:type="auto"/>
            <w:shd w:val="clear" w:color="auto" w:fill="auto"/>
          </w:tcPr>
          <w:p w14:paraId="38268DC8" w14:textId="77777777" w:rsidR="008C5CFA" w:rsidRPr="001C4484" w:rsidRDefault="00E82A60" w:rsidP="00300A01">
            <w:pPr>
              <w:spacing w:before="0" w:after="0"/>
              <w:jc w:val="center"/>
              <w:rPr>
                <w:sz w:val="10"/>
                <w:szCs w:val="10"/>
              </w:rPr>
            </w:pPr>
            <w:r w:rsidRPr="001C4484">
              <w:rPr>
                <w:noProof/>
                <w:sz w:val="10"/>
                <w:szCs w:val="10"/>
              </w:rPr>
              <w:t>Kobiety</w:t>
            </w:r>
          </w:p>
        </w:tc>
        <w:tc>
          <w:tcPr>
            <w:tcW w:w="0" w:type="auto"/>
          </w:tcPr>
          <w:p w14:paraId="3A1A09FF" w14:textId="77777777" w:rsidR="008C5CFA" w:rsidRPr="001C4484" w:rsidRDefault="00E82A60" w:rsidP="00300A01">
            <w:pPr>
              <w:spacing w:before="0" w:after="0"/>
              <w:jc w:val="center"/>
              <w:rPr>
                <w:sz w:val="10"/>
                <w:szCs w:val="10"/>
              </w:rPr>
            </w:pPr>
            <w:r>
              <w:rPr>
                <w:noProof/>
                <w:sz w:val="10"/>
                <w:szCs w:val="10"/>
              </w:rPr>
              <w:t>Ogółem</w:t>
            </w:r>
          </w:p>
        </w:tc>
        <w:tc>
          <w:tcPr>
            <w:tcW w:w="0" w:type="auto"/>
            <w:shd w:val="clear" w:color="auto" w:fill="auto"/>
          </w:tcPr>
          <w:p w14:paraId="13FE5B66" w14:textId="77777777" w:rsidR="008C5CFA" w:rsidRPr="001C4484" w:rsidRDefault="00E82A60" w:rsidP="00300A01">
            <w:pPr>
              <w:spacing w:before="0" w:after="0"/>
              <w:jc w:val="center"/>
              <w:rPr>
                <w:sz w:val="10"/>
                <w:szCs w:val="10"/>
              </w:rPr>
            </w:pPr>
            <w:r w:rsidRPr="001C4484">
              <w:rPr>
                <w:noProof/>
                <w:sz w:val="10"/>
                <w:szCs w:val="10"/>
              </w:rPr>
              <w:t>Mężczyźni</w:t>
            </w:r>
          </w:p>
        </w:tc>
        <w:tc>
          <w:tcPr>
            <w:tcW w:w="0" w:type="auto"/>
            <w:shd w:val="clear" w:color="auto" w:fill="auto"/>
          </w:tcPr>
          <w:p w14:paraId="200510C7" w14:textId="77777777" w:rsidR="008C5CFA" w:rsidRPr="001C4484" w:rsidRDefault="00E82A60" w:rsidP="00300A01">
            <w:pPr>
              <w:spacing w:before="0" w:after="0"/>
              <w:jc w:val="center"/>
              <w:rPr>
                <w:sz w:val="10"/>
                <w:szCs w:val="10"/>
              </w:rPr>
            </w:pPr>
            <w:r w:rsidRPr="001C4484">
              <w:rPr>
                <w:noProof/>
                <w:sz w:val="10"/>
                <w:szCs w:val="10"/>
              </w:rPr>
              <w:t>Kobiety</w:t>
            </w:r>
          </w:p>
        </w:tc>
      </w:tr>
      <w:tr w:rsidR="006B2EC1" w14:paraId="64270837" w14:textId="77777777" w:rsidTr="0047688D">
        <w:tc>
          <w:tcPr>
            <w:tcW w:w="0" w:type="auto"/>
            <w:shd w:val="clear" w:color="auto" w:fill="auto"/>
          </w:tcPr>
          <w:p w14:paraId="1D06F701" w14:textId="77777777" w:rsidR="008C5CFA" w:rsidRPr="001C4484" w:rsidRDefault="00E82A60" w:rsidP="00300A01">
            <w:pPr>
              <w:spacing w:before="0" w:after="0"/>
              <w:rPr>
                <w:sz w:val="10"/>
                <w:szCs w:val="10"/>
                <w:lang w:val="fr-BE"/>
              </w:rPr>
            </w:pPr>
            <w:r w:rsidRPr="001C4484">
              <w:rPr>
                <w:noProof/>
                <w:sz w:val="10"/>
                <w:szCs w:val="10"/>
                <w:lang w:val="fr-BE"/>
              </w:rPr>
              <w:t>CO01</w:t>
            </w:r>
          </w:p>
        </w:tc>
        <w:tc>
          <w:tcPr>
            <w:tcW w:w="0" w:type="auto"/>
            <w:shd w:val="clear" w:color="auto" w:fill="auto"/>
          </w:tcPr>
          <w:p w14:paraId="2F3EA387" w14:textId="77777777" w:rsidR="008C5CFA" w:rsidRPr="001C4484" w:rsidRDefault="00E82A60" w:rsidP="00300A01">
            <w:pPr>
              <w:spacing w:before="0" w:after="0"/>
              <w:rPr>
                <w:sz w:val="10"/>
                <w:szCs w:val="10"/>
                <w:lang w:val="fr-BE"/>
              </w:rPr>
            </w:pPr>
            <w:r w:rsidRPr="001C4484">
              <w:rPr>
                <w:noProof/>
                <w:sz w:val="10"/>
                <w:szCs w:val="10"/>
                <w:lang w:val="fr-BE"/>
              </w:rPr>
              <w:t>bezrobotni, w tym długotrwale bezrobotni</w:t>
            </w:r>
          </w:p>
        </w:tc>
        <w:tc>
          <w:tcPr>
            <w:tcW w:w="0" w:type="auto"/>
            <w:shd w:val="clear" w:color="auto" w:fill="auto"/>
          </w:tcPr>
          <w:p w14:paraId="1114346F"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4F2C3740"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6E50838A"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21D3378D" w14:textId="77777777" w:rsidR="008C5CFA" w:rsidRPr="001C4484" w:rsidRDefault="00E82A60" w:rsidP="00300A01">
            <w:pPr>
              <w:spacing w:before="0" w:after="0"/>
              <w:jc w:val="right"/>
              <w:rPr>
                <w:sz w:val="10"/>
                <w:szCs w:val="10"/>
                <w:lang w:val="fr-BE"/>
              </w:rPr>
            </w:pPr>
            <w:r w:rsidRPr="001C4484">
              <w:rPr>
                <w:noProof/>
                <w:sz w:val="10"/>
                <w:szCs w:val="10"/>
              </w:rPr>
              <w:t>0,00</w:t>
            </w:r>
          </w:p>
        </w:tc>
        <w:tc>
          <w:tcPr>
            <w:tcW w:w="0" w:type="auto"/>
          </w:tcPr>
          <w:p w14:paraId="3F06DDC9"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05773F64"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4AC78ADC" w14:textId="77777777" w:rsidR="008C5CFA" w:rsidRPr="001C4484" w:rsidRDefault="00E82A60" w:rsidP="00300A01">
            <w:pPr>
              <w:spacing w:before="0" w:after="0"/>
              <w:jc w:val="right"/>
              <w:rPr>
                <w:sz w:val="10"/>
                <w:szCs w:val="10"/>
                <w:lang w:val="fr-BE"/>
              </w:rPr>
            </w:pPr>
            <w:r w:rsidRPr="001C4484">
              <w:rPr>
                <w:noProof/>
                <w:sz w:val="10"/>
                <w:szCs w:val="10"/>
                <w:lang w:val="fr-BE"/>
              </w:rPr>
              <w:t>0,00</w:t>
            </w:r>
          </w:p>
        </w:tc>
      </w:tr>
      <w:tr w:rsidR="006B2EC1" w14:paraId="1DA7462E" w14:textId="77777777" w:rsidTr="0047688D">
        <w:tc>
          <w:tcPr>
            <w:tcW w:w="0" w:type="auto"/>
            <w:shd w:val="clear" w:color="auto" w:fill="auto"/>
          </w:tcPr>
          <w:p w14:paraId="48730E35" w14:textId="77777777" w:rsidR="008C5CFA" w:rsidRPr="001C4484" w:rsidRDefault="00E82A60" w:rsidP="00300A01">
            <w:pPr>
              <w:spacing w:before="0" w:after="0"/>
              <w:rPr>
                <w:sz w:val="10"/>
                <w:szCs w:val="10"/>
                <w:lang w:val="fr-BE"/>
              </w:rPr>
            </w:pPr>
            <w:r w:rsidRPr="001C4484">
              <w:rPr>
                <w:noProof/>
                <w:sz w:val="10"/>
                <w:szCs w:val="10"/>
                <w:lang w:val="fr-BE"/>
              </w:rPr>
              <w:t>CO02</w:t>
            </w:r>
          </w:p>
        </w:tc>
        <w:tc>
          <w:tcPr>
            <w:tcW w:w="0" w:type="auto"/>
            <w:shd w:val="clear" w:color="auto" w:fill="auto"/>
          </w:tcPr>
          <w:p w14:paraId="00F4D422" w14:textId="77777777" w:rsidR="008C5CFA" w:rsidRPr="001C4484" w:rsidRDefault="00E82A60" w:rsidP="00300A01">
            <w:pPr>
              <w:spacing w:before="0" w:after="0"/>
              <w:rPr>
                <w:sz w:val="10"/>
                <w:szCs w:val="10"/>
                <w:lang w:val="fr-BE"/>
              </w:rPr>
            </w:pPr>
            <w:r w:rsidRPr="001C4484">
              <w:rPr>
                <w:noProof/>
                <w:sz w:val="10"/>
                <w:szCs w:val="10"/>
                <w:lang w:val="fr-BE"/>
              </w:rPr>
              <w:t>długotrwale bezrobotni</w:t>
            </w:r>
          </w:p>
        </w:tc>
        <w:tc>
          <w:tcPr>
            <w:tcW w:w="0" w:type="auto"/>
            <w:shd w:val="clear" w:color="auto" w:fill="auto"/>
          </w:tcPr>
          <w:p w14:paraId="4B7ADDC3"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439A71A2"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17063975"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64D6FCAB" w14:textId="77777777" w:rsidR="008C5CFA" w:rsidRPr="001C4484" w:rsidRDefault="00E82A60" w:rsidP="00300A01">
            <w:pPr>
              <w:spacing w:before="0" w:after="0"/>
              <w:jc w:val="right"/>
              <w:rPr>
                <w:sz w:val="10"/>
                <w:szCs w:val="10"/>
                <w:lang w:val="fr-BE"/>
              </w:rPr>
            </w:pPr>
            <w:r w:rsidRPr="001C4484">
              <w:rPr>
                <w:noProof/>
                <w:sz w:val="10"/>
                <w:szCs w:val="10"/>
              </w:rPr>
              <w:t>0,00</w:t>
            </w:r>
          </w:p>
        </w:tc>
        <w:tc>
          <w:tcPr>
            <w:tcW w:w="0" w:type="auto"/>
          </w:tcPr>
          <w:p w14:paraId="26A80AAF"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17AE97E5"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2005E823" w14:textId="77777777" w:rsidR="008C5CFA" w:rsidRPr="001C4484" w:rsidRDefault="00E82A60" w:rsidP="00300A01">
            <w:pPr>
              <w:spacing w:before="0" w:after="0"/>
              <w:jc w:val="right"/>
              <w:rPr>
                <w:sz w:val="10"/>
                <w:szCs w:val="10"/>
                <w:lang w:val="fr-BE"/>
              </w:rPr>
            </w:pPr>
            <w:r w:rsidRPr="001C4484">
              <w:rPr>
                <w:noProof/>
                <w:sz w:val="10"/>
                <w:szCs w:val="10"/>
                <w:lang w:val="fr-BE"/>
              </w:rPr>
              <w:t>0,00</w:t>
            </w:r>
          </w:p>
        </w:tc>
      </w:tr>
      <w:tr w:rsidR="006B2EC1" w14:paraId="56A64CEA" w14:textId="77777777" w:rsidTr="0047688D">
        <w:tc>
          <w:tcPr>
            <w:tcW w:w="0" w:type="auto"/>
            <w:shd w:val="clear" w:color="auto" w:fill="auto"/>
          </w:tcPr>
          <w:p w14:paraId="353C26C8" w14:textId="77777777" w:rsidR="008C5CFA" w:rsidRPr="001C4484" w:rsidRDefault="00E82A60" w:rsidP="00300A01">
            <w:pPr>
              <w:spacing w:before="0" w:after="0"/>
              <w:rPr>
                <w:sz w:val="10"/>
                <w:szCs w:val="10"/>
                <w:lang w:val="fr-BE"/>
              </w:rPr>
            </w:pPr>
            <w:r w:rsidRPr="001C4484">
              <w:rPr>
                <w:noProof/>
                <w:sz w:val="10"/>
                <w:szCs w:val="10"/>
                <w:lang w:val="fr-BE"/>
              </w:rPr>
              <w:t>CO03</w:t>
            </w:r>
          </w:p>
        </w:tc>
        <w:tc>
          <w:tcPr>
            <w:tcW w:w="0" w:type="auto"/>
            <w:shd w:val="clear" w:color="auto" w:fill="auto"/>
          </w:tcPr>
          <w:p w14:paraId="5FA898DA" w14:textId="77777777" w:rsidR="008C5CFA" w:rsidRPr="001C4484" w:rsidRDefault="00E82A60" w:rsidP="00300A01">
            <w:pPr>
              <w:spacing w:before="0" w:after="0"/>
              <w:rPr>
                <w:sz w:val="10"/>
                <w:szCs w:val="10"/>
                <w:lang w:val="fr-BE"/>
              </w:rPr>
            </w:pPr>
            <w:r w:rsidRPr="001C4484">
              <w:rPr>
                <w:noProof/>
                <w:sz w:val="10"/>
                <w:szCs w:val="10"/>
                <w:lang w:val="fr-BE"/>
              </w:rPr>
              <w:t>osoby bierne zawodowo</w:t>
            </w:r>
          </w:p>
        </w:tc>
        <w:tc>
          <w:tcPr>
            <w:tcW w:w="0" w:type="auto"/>
            <w:shd w:val="clear" w:color="auto" w:fill="auto"/>
          </w:tcPr>
          <w:p w14:paraId="61FCC700"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396B22BE"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5E20A166"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24DC9FBF" w14:textId="77777777" w:rsidR="008C5CFA" w:rsidRPr="001C4484" w:rsidRDefault="00E82A60" w:rsidP="00300A01">
            <w:pPr>
              <w:spacing w:before="0" w:after="0"/>
              <w:jc w:val="right"/>
              <w:rPr>
                <w:sz w:val="10"/>
                <w:szCs w:val="10"/>
                <w:lang w:val="fr-BE"/>
              </w:rPr>
            </w:pPr>
            <w:r w:rsidRPr="001C4484">
              <w:rPr>
                <w:noProof/>
                <w:sz w:val="10"/>
                <w:szCs w:val="10"/>
              </w:rPr>
              <w:t>0,00</w:t>
            </w:r>
          </w:p>
        </w:tc>
        <w:tc>
          <w:tcPr>
            <w:tcW w:w="0" w:type="auto"/>
          </w:tcPr>
          <w:p w14:paraId="3EE9261F"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116854E5"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6A8DA2AA" w14:textId="77777777" w:rsidR="008C5CFA" w:rsidRPr="001C4484" w:rsidRDefault="00E82A60" w:rsidP="00300A01">
            <w:pPr>
              <w:spacing w:before="0" w:after="0"/>
              <w:jc w:val="right"/>
              <w:rPr>
                <w:sz w:val="10"/>
                <w:szCs w:val="10"/>
                <w:lang w:val="fr-BE"/>
              </w:rPr>
            </w:pPr>
            <w:r w:rsidRPr="001C4484">
              <w:rPr>
                <w:noProof/>
                <w:sz w:val="10"/>
                <w:szCs w:val="10"/>
                <w:lang w:val="fr-BE"/>
              </w:rPr>
              <w:t>0,00</w:t>
            </w:r>
          </w:p>
        </w:tc>
      </w:tr>
      <w:tr w:rsidR="006B2EC1" w14:paraId="6029D110" w14:textId="77777777" w:rsidTr="0047688D">
        <w:tc>
          <w:tcPr>
            <w:tcW w:w="0" w:type="auto"/>
            <w:shd w:val="clear" w:color="auto" w:fill="auto"/>
          </w:tcPr>
          <w:p w14:paraId="44E1A232" w14:textId="77777777" w:rsidR="008C5CFA" w:rsidRPr="001C4484" w:rsidRDefault="00E82A60" w:rsidP="00300A01">
            <w:pPr>
              <w:spacing w:before="0" w:after="0"/>
              <w:rPr>
                <w:sz w:val="10"/>
                <w:szCs w:val="10"/>
                <w:lang w:val="fr-BE"/>
              </w:rPr>
            </w:pPr>
            <w:r w:rsidRPr="001C4484">
              <w:rPr>
                <w:noProof/>
                <w:sz w:val="10"/>
                <w:szCs w:val="10"/>
                <w:lang w:val="fr-BE"/>
              </w:rPr>
              <w:t>CO04</w:t>
            </w:r>
          </w:p>
        </w:tc>
        <w:tc>
          <w:tcPr>
            <w:tcW w:w="0" w:type="auto"/>
            <w:shd w:val="clear" w:color="auto" w:fill="auto"/>
          </w:tcPr>
          <w:p w14:paraId="1F18354D" w14:textId="77777777" w:rsidR="008C5CFA" w:rsidRPr="001C4484" w:rsidRDefault="00E82A60" w:rsidP="00300A01">
            <w:pPr>
              <w:spacing w:before="0" w:after="0"/>
              <w:rPr>
                <w:sz w:val="10"/>
                <w:szCs w:val="10"/>
                <w:lang w:val="fr-BE"/>
              </w:rPr>
            </w:pPr>
            <w:r w:rsidRPr="001C4484">
              <w:rPr>
                <w:noProof/>
                <w:sz w:val="10"/>
                <w:szCs w:val="10"/>
                <w:lang w:val="fr-BE"/>
              </w:rPr>
              <w:t>osoby bierne zawodowo, nieuczestniczące w kształceniu ani szkoleniu</w:t>
            </w:r>
          </w:p>
        </w:tc>
        <w:tc>
          <w:tcPr>
            <w:tcW w:w="0" w:type="auto"/>
            <w:shd w:val="clear" w:color="auto" w:fill="auto"/>
          </w:tcPr>
          <w:p w14:paraId="7EC19C57"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6497BFD9"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2CA7C69E"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3B7B6C9F" w14:textId="77777777" w:rsidR="008C5CFA" w:rsidRPr="001C4484" w:rsidRDefault="00E82A60" w:rsidP="00300A01">
            <w:pPr>
              <w:spacing w:before="0" w:after="0"/>
              <w:jc w:val="right"/>
              <w:rPr>
                <w:sz w:val="10"/>
                <w:szCs w:val="10"/>
                <w:lang w:val="fr-BE"/>
              </w:rPr>
            </w:pPr>
            <w:r w:rsidRPr="001C4484">
              <w:rPr>
                <w:noProof/>
                <w:sz w:val="10"/>
                <w:szCs w:val="10"/>
              </w:rPr>
              <w:t>0,00</w:t>
            </w:r>
          </w:p>
        </w:tc>
        <w:tc>
          <w:tcPr>
            <w:tcW w:w="0" w:type="auto"/>
          </w:tcPr>
          <w:p w14:paraId="0902E5B5"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4F331157"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752D2678" w14:textId="77777777" w:rsidR="008C5CFA" w:rsidRPr="001C4484" w:rsidRDefault="00E82A60" w:rsidP="00300A01">
            <w:pPr>
              <w:spacing w:before="0" w:after="0"/>
              <w:jc w:val="right"/>
              <w:rPr>
                <w:sz w:val="10"/>
                <w:szCs w:val="10"/>
                <w:lang w:val="fr-BE"/>
              </w:rPr>
            </w:pPr>
            <w:r w:rsidRPr="001C4484">
              <w:rPr>
                <w:noProof/>
                <w:sz w:val="10"/>
                <w:szCs w:val="10"/>
                <w:lang w:val="fr-BE"/>
              </w:rPr>
              <w:t>0,00</w:t>
            </w:r>
          </w:p>
        </w:tc>
      </w:tr>
      <w:tr w:rsidR="006B2EC1" w14:paraId="7E810D82" w14:textId="77777777" w:rsidTr="0047688D">
        <w:tc>
          <w:tcPr>
            <w:tcW w:w="0" w:type="auto"/>
            <w:shd w:val="clear" w:color="auto" w:fill="auto"/>
          </w:tcPr>
          <w:p w14:paraId="3F463C3D" w14:textId="77777777" w:rsidR="008C5CFA" w:rsidRPr="001C4484" w:rsidRDefault="00E82A60" w:rsidP="00300A01">
            <w:pPr>
              <w:spacing w:before="0" w:after="0"/>
              <w:rPr>
                <w:sz w:val="10"/>
                <w:szCs w:val="10"/>
                <w:lang w:val="fr-BE"/>
              </w:rPr>
            </w:pPr>
            <w:r w:rsidRPr="001C4484">
              <w:rPr>
                <w:noProof/>
                <w:sz w:val="10"/>
                <w:szCs w:val="10"/>
                <w:lang w:val="fr-BE"/>
              </w:rPr>
              <w:t>CO05</w:t>
            </w:r>
          </w:p>
        </w:tc>
        <w:tc>
          <w:tcPr>
            <w:tcW w:w="0" w:type="auto"/>
            <w:shd w:val="clear" w:color="auto" w:fill="auto"/>
          </w:tcPr>
          <w:p w14:paraId="0481B972" w14:textId="77777777" w:rsidR="008C5CFA" w:rsidRPr="001C4484" w:rsidRDefault="00E82A60" w:rsidP="00300A01">
            <w:pPr>
              <w:spacing w:before="0" w:after="0"/>
              <w:rPr>
                <w:sz w:val="10"/>
                <w:szCs w:val="10"/>
                <w:lang w:val="fr-BE"/>
              </w:rPr>
            </w:pPr>
            <w:r w:rsidRPr="001C4484">
              <w:rPr>
                <w:noProof/>
                <w:sz w:val="10"/>
                <w:szCs w:val="10"/>
                <w:lang w:val="fr-BE"/>
              </w:rPr>
              <w:t>osoby pracujące, łącznie z prowadzącymi działalność na własny rachunek</w:t>
            </w:r>
          </w:p>
        </w:tc>
        <w:tc>
          <w:tcPr>
            <w:tcW w:w="0" w:type="auto"/>
            <w:shd w:val="clear" w:color="auto" w:fill="auto"/>
          </w:tcPr>
          <w:p w14:paraId="7FB3F040"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3514BD0A"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77A4F0C9"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0DB64C27" w14:textId="77777777" w:rsidR="008C5CFA" w:rsidRPr="001C4484" w:rsidRDefault="00E82A60" w:rsidP="00300A01">
            <w:pPr>
              <w:spacing w:before="0" w:after="0"/>
              <w:jc w:val="right"/>
              <w:rPr>
                <w:sz w:val="10"/>
                <w:szCs w:val="10"/>
                <w:lang w:val="fr-BE"/>
              </w:rPr>
            </w:pPr>
            <w:r w:rsidRPr="001C4484">
              <w:rPr>
                <w:noProof/>
                <w:sz w:val="10"/>
                <w:szCs w:val="10"/>
              </w:rPr>
              <w:t>0,00</w:t>
            </w:r>
          </w:p>
        </w:tc>
        <w:tc>
          <w:tcPr>
            <w:tcW w:w="0" w:type="auto"/>
          </w:tcPr>
          <w:p w14:paraId="259434D5"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41BB9FDA"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55F04B2E" w14:textId="77777777" w:rsidR="008C5CFA" w:rsidRPr="001C4484" w:rsidRDefault="00E82A60" w:rsidP="00300A01">
            <w:pPr>
              <w:spacing w:before="0" w:after="0"/>
              <w:jc w:val="right"/>
              <w:rPr>
                <w:sz w:val="10"/>
                <w:szCs w:val="10"/>
                <w:lang w:val="fr-BE"/>
              </w:rPr>
            </w:pPr>
            <w:r w:rsidRPr="001C4484">
              <w:rPr>
                <w:noProof/>
                <w:sz w:val="10"/>
                <w:szCs w:val="10"/>
                <w:lang w:val="fr-BE"/>
              </w:rPr>
              <w:t>0,00</w:t>
            </w:r>
          </w:p>
        </w:tc>
      </w:tr>
      <w:tr w:rsidR="006B2EC1" w14:paraId="3D0614C6" w14:textId="77777777" w:rsidTr="0047688D">
        <w:tc>
          <w:tcPr>
            <w:tcW w:w="0" w:type="auto"/>
            <w:shd w:val="clear" w:color="auto" w:fill="auto"/>
          </w:tcPr>
          <w:p w14:paraId="37F02059" w14:textId="77777777" w:rsidR="008C5CFA" w:rsidRPr="001C4484" w:rsidRDefault="00E82A60" w:rsidP="00300A01">
            <w:pPr>
              <w:spacing w:before="0" w:after="0"/>
              <w:rPr>
                <w:sz w:val="10"/>
                <w:szCs w:val="10"/>
                <w:lang w:val="fr-BE"/>
              </w:rPr>
            </w:pPr>
            <w:r w:rsidRPr="001C4484">
              <w:rPr>
                <w:noProof/>
                <w:sz w:val="10"/>
                <w:szCs w:val="10"/>
                <w:lang w:val="fr-BE"/>
              </w:rPr>
              <w:t>CO06</w:t>
            </w:r>
          </w:p>
        </w:tc>
        <w:tc>
          <w:tcPr>
            <w:tcW w:w="0" w:type="auto"/>
            <w:shd w:val="clear" w:color="auto" w:fill="auto"/>
          </w:tcPr>
          <w:p w14:paraId="1215D45F" w14:textId="77777777" w:rsidR="008C5CFA" w:rsidRPr="001C4484" w:rsidRDefault="00E82A60" w:rsidP="00300A01">
            <w:pPr>
              <w:spacing w:before="0" w:after="0"/>
              <w:rPr>
                <w:sz w:val="10"/>
                <w:szCs w:val="10"/>
                <w:lang w:val="fr-BE"/>
              </w:rPr>
            </w:pPr>
            <w:r w:rsidRPr="001C4484">
              <w:rPr>
                <w:noProof/>
                <w:sz w:val="10"/>
                <w:szCs w:val="10"/>
                <w:lang w:val="fr-BE"/>
              </w:rPr>
              <w:t>osoby w wieku poniżej 25 lat</w:t>
            </w:r>
          </w:p>
        </w:tc>
        <w:tc>
          <w:tcPr>
            <w:tcW w:w="0" w:type="auto"/>
            <w:shd w:val="clear" w:color="auto" w:fill="auto"/>
          </w:tcPr>
          <w:p w14:paraId="6A80F269"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6FE0A54C"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183237D1"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59941348" w14:textId="77777777" w:rsidR="008C5CFA" w:rsidRPr="001C4484" w:rsidRDefault="00E82A60" w:rsidP="00300A01">
            <w:pPr>
              <w:spacing w:before="0" w:after="0"/>
              <w:jc w:val="right"/>
              <w:rPr>
                <w:sz w:val="10"/>
                <w:szCs w:val="10"/>
                <w:lang w:val="fr-BE"/>
              </w:rPr>
            </w:pPr>
            <w:r w:rsidRPr="001C4484">
              <w:rPr>
                <w:noProof/>
                <w:sz w:val="10"/>
                <w:szCs w:val="10"/>
              </w:rPr>
              <w:t>0,00</w:t>
            </w:r>
          </w:p>
        </w:tc>
        <w:tc>
          <w:tcPr>
            <w:tcW w:w="0" w:type="auto"/>
          </w:tcPr>
          <w:p w14:paraId="20B4A080"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4C7E2531"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1E65A8B6" w14:textId="77777777" w:rsidR="008C5CFA" w:rsidRPr="001C4484" w:rsidRDefault="00E82A60" w:rsidP="00300A01">
            <w:pPr>
              <w:spacing w:before="0" w:after="0"/>
              <w:jc w:val="right"/>
              <w:rPr>
                <w:sz w:val="10"/>
                <w:szCs w:val="10"/>
                <w:lang w:val="fr-BE"/>
              </w:rPr>
            </w:pPr>
            <w:r w:rsidRPr="001C4484">
              <w:rPr>
                <w:noProof/>
                <w:sz w:val="10"/>
                <w:szCs w:val="10"/>
                <w:lang w:val="fr-BE"/>
              </w:rPr>
              <w:t>0,00</w:t>
            </w:r>
          </w:p>
        </w:tc>
      </w:tr>
      <w:tr w:rsidR="006B2EC1" w14:paraId="2D9C7EA9" w14:textId="77777777" w:rsidTr="0047688D">
        <w:tc>
          <w:tcPr>
            <w:tcW w:w="0" w:type="auto"/>
            <w:shd w:val="clear" w:color="auto" w:fill="auto"/>
          </w:tcPr>
          <w:p w14:paraId="2D57D4C9" w14:textId="77777777" w:rsidR="008C5CFA" w:rsidRPr="001C4484" w:rsidRDefault="00E82A60" w:rsidP="00300A01">
            <w:pPr>
              <w:spacing w:before="0" w:after="0"/>
              <w:rPr>
                <w:sz w:val="10"/>
                <w:szCs w:val="10"/>
                <w:lang w:val="fr-BE"/>
              </w:rPr>
            </w:pPr>
            <w:r w:rsidRPr="001C4484">
              <w:rPr>
                <w:noProof/>
                <w:sz w:val="10"/>
                <w:szCs w:val="10"/>
                <w:lang w:val="fr-BE"/>
              </w:rPr>
              <w:lastRenderedPageBreak/>
              <w:t>CO07</w:t>
            </w:r>
          </w:p>
        </w:tc>
        <w:tc>
          <w:tcPr>
            <w:tcW w:w="0" w:type="auto"/>
            <w:shd w:val="clear" w:color="auto" w:fill="auto"/>
          </w:tcPr>
          <w:p w14:paraId="1D8AE93B" w14:textId="77777777" w:rsidR="008C5CFA" w:rsidRPr="001C4484" w:rsidRDefault="00E82A60" w:rsidP="00300A01">
            <w:pPr>
              <w:spacing w:before="0" w:after="0"/>
              <w:rPr>
                <w:sz w:val="10"/>
                <w:szCs w:val="10"/>
                <w:lang w:val="fr-BE"/>
              </w:rPr>
            </w:pPr>
            <w:r w:rsidRPr="001C4484">
              <w:rPr>
                <w:noProof/>
                <w:sz w:val="10"/>
                <w:szCs w:val="10"/>
                <w:lang w:val="fr-BE"/>
              </w:rPr>
              <w:t>osoby w wieku powyżej 54 lat</w:t>
            </w:r>
          </w:p>
        </w:tc>
        <w:tc>
          <w:tcPr>
            <w:tcW w:w="0" w:type="auto"/>
            <w:shd w:val="clear" w:color="auto" w:fill="auto"/>
          </w:tcPr>
          <w:p w14:paraId="75223779"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3CB72241"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58A9F6D9"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0B6FB781" w14:textId="77777777" w:rsidR="008C5CFA" w:rsidRPr="001C4484" w:rsidRDefault="00E82A60" w:rsidP="00300A01">
            <w:pPr>
              <w:spacing w:before="0" w:after="0"/>
              <w:jc w:val="right"/>
              <w:rPr>
                <w:sz w:val="10"/>
                <w:szCs w:val="10"/>
                <w:lang w:val="fr-BE"/>
              </w:rPr>
            </w:pPr>
            <w:r w:rsidRPr="001C4484">
              <w:rPr>
                <w:noProof/>
                <w:sz w:val="10"/>
                <w:szCs w:val="10"/>
              </w:rPr>
              <w:t>0,00</w:t>
            </w:r>
          </w:p>
        </w:tc>
        <w:tc>
          <w:tcPr>
            <w:tcW w:w="0" w:type="auto"/>
          </w:tcPr>
          <w:p w14:paraId="57DF8D14"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36342177"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08F4ACF9" w14:textId="77777777" w:rsidR="008C5CFA" w:rsidRPr="001C4484" w:rsidRDefault="00E82A60" w:rsidP="00300A01">
            <w:pPr>
              <w:spacing w:before="0" w:after="0"/>
              <w:jc w:val="right"/>
              <w:rPr>
                <w:sz w:val="10"/>
                <w:szCs w:val="10"/>
                <w:lang w:val="fr-BE"/>
              </w:rPr>
            </w:pPr>
            <w:r w:rsidRPr="001C4484">
              <w:rPr>
                <w:noProof/>
                <w:sz w:val="10"/>
                <w:szCs w:val="10"/>
                <w:lang w:val="fr-BE"/>
              </w:rPr>
              <w:t>0,00</w:t>
            </w:r>
          </w:p>
        </w:tc>
      </w:tr>
      <w:tr w:rsidR="006B2EC1" w14:paraId="058424B7" w14:textId="77777777" w:rsidTr="0047688D">
        <w:tc>
          <w:tcPr>
            <w:tcW w:w="0" w:type="auto"/>
            <w:shd w:val="clear" w:color="auto" w:fill="auto"/>
          </w:tcPr>
          <w:p w14:paraId="67B3E7B1" w14:textId="77777777" w:rsidR="008C5CFA" w:rsidRPr="001C4484" w:rsidRDefault="00E82A60" w:rsidP="00300A01">
            <w:pPr>
              <w:spacing w:before="0" w:after="0"/>
              <w:rPr>
                <w:sz w:val="10"/>
                <w:szCs w:val="10"/>
                <w:lang w:val="fr-BE"/>
              </w:rPr>
            </w:pPr>
            <w:r w:rsidRPr="001C4484">
              <w:rPr>
                <w:noProof/>
                <w:sz w:val="10"/>
                <w:szCs w:val="10"/>
                <w:lang w:val="fr-BE"/>
              </w:rPr>
              <w:t>CO08</w:t>
            </w:r>
          </w:p>
        </w:tc>
        <w:tc>
          <w:tcPr>
            <w:tcW w:w="0" w:type="auto"/>
            <w:shd w:val="clear" w:color="auto" w:fill="auto"/>
          </w:tcPr>
          <w:p w14:paraId="7BCC6A62" w14:textId="77777777" w:rsidR="008C5CFA" w:rsidRPr="001C4484" w:rsidRDefault="00E82A60" w:rsidP="00300A01">
            <w:pPr>
              <w:spacing w:before="0" w:after="0"/>
              <w:rPr>
                <w:sz w:val="10"/>
                <w:szCs w:val="10"/>
                <w:lang w:val="fr-BE"/>
              </w:rPr>
            </w:pPr>
            <w:r w:rsidRPr="001C4484">
              <w:rPr>
                <w:noProof/>
                <w:sz w:val="10"/>
                <w:szCs w:val="10"/>
                <w:lang w:val="fr-BE"/>
              </w:rPr>
              <w:t>osoby powyżej 54 lat, które są bezrobotne, łącznie z długotrwale bezrobotnymi, lub są bierne zawodowo i nie uczestniczą w kształceniu ani szkoleniu</w:t>
            </w:r>
          </w:p>
        </w:tc>
        <w:tc>
          <w:tcPr>
            <w:tcW w:w="0" w:type="auto"/>
            <w:shd w:val="clear" w:color="auto" w:fill="auto"/>
          </w:tcPr>
          <w:p w14:paraId="6C1A1FD2"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41439C9F"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59DC57CD"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75213DB8" w14:textId="77777777" w:rsidR="008C5CFA" w:rsidRPr="001C4484" w:rsidRDefault="00E82A60" w:rsidP="00300A01">
            <w:pPr>
              <w:spacing w:before="0" w:after="0"/>
              <w:jc w:val="right"/>
              <w:rPr>
                <w:sz w:val="10"/>
                <w:szCs w:val="10"/>
                <w:lang w:val="fr-BE"/>
              </w:rPr>
            </w:pPr>
            <w:r w:rsidRPr="001C4484">
              <w:rPr>
                <w:noProof/>
                <w:sz w:val="10"/>
                <w:szCs w:val="10"/>
              </w:rPr>
              <w:t>0,00</w:t>
            </w:r>
          </w:p>
        </w:tc>
        <w:tc>
          <w:tcPr>
            <w:tcW w:w="0" w:type="auto"/>
          </w:tcPr>
          <w:p w14:paraId="1749AB6A"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0041C6D2"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76751A70" w14:textId="77777777" w:rsidR="008C5CFA" w:rsidRPr="001C4484" w:rsidRDefault="00E82A60" w:rsidP="00300A01">
            <w:pPr>
              <w:spacing w:before="0" w:after="0"/>
              <w:jc w:val="right"/>
              <w:rPr>
                <w:sz w:val="10"/>
                <w:szCs w:val="10"/>
                <w:lang w:val="fr-BE"/>
              </w:rPr>
            </w:pPr>
            <w:r w:rsidRPr="001C4484">
              <w:rPr>
                <w:noProof/>
                <w:sz w:val="10"/>
                <w:szCs w:val="10"/>
                <w:lang w:val="fr-BE"/>
              </w:rPr>
              <w:t>0,00</w:t>
            </w:r>
          </w:p>
        </w:tc>
      </w:tr>
      <w:tr w:rsidR="006B2EC1" w14:paraId="4C7C1C5D" w14:textId="77777777" w:rsidTr="0047688D">
        <w:tc>
          <w:tcPr>
            <w:tcW w:w="0" w:type="auto"/>
            <w:shd w:val="clear" w:color="auto" w:fill="auto"/>
          </w:tcPr>
          <w:p w14:paraId="3981433E" w14:textId="77777777" w:rsidR="008C5CFA" w:rsidRPr="001C4484" w:rsidRDefault="00E82A60" w:rsidP="00300A01">
            <w:pPr>
              <w:spacing w:before="0" w:after="0"/>
              <w:rPr>
                <w:sz w:val="10"/>
                <w:szCs w:val="10"/>
                <w:lang w:val="fr-BE"/>
              </w:rPr>
            </w:pPr>
            <w:r w:rsidRPr="001C4484">
              <w:rPr>
                <w:noProof/>
                <w:sz w:val="10"/>
                <w:szCs w:val="10"/>
                <w:lang w:val="fr-BE"/>
              </w:rPr>
              <w:t>CO09</w:t>
            </w:r>
          </w:p>
        </w:tc>
        <w:tc>
          <w:tcPr>
            <w:tcW w:w="0" w:type="auto"/>
            <w:shd w:val="clear" w:color="auto" w:fill="auto"/>
          </w:tcPr>
          <w:p w14:paraId="2EFD754B" w14:textId="77777777" w:rsidR="008C5CFA" w:rsidRPr="001C4484" w:rsidRDefault="00E82A60" w:rsidP="00300A01">
            <w:pPr>
              <w:spacing w:before="0" w:after="0"/>
              <w:rPr>
                <w:sz w:val="10"/>
                <w:szCs w:val="10"/>
                <w:lang w:val="fr-BE"/>
              </w:rPr>
            </w:pPr>
            <w:r w:rsidRPr="001C4484">
              <w:rPr>
                <w:noProof/>
                <w:sz w:val="10"/>
                <w:szCs w:val="10"/>
                <w:lang w:val="fr-BE"/>
              </w:rPr>
              <w:t>osoby z wykształceniem podstawowym (ISCED 1) lub średnim I stopnia (ISCED 2)</w:t>
            </w:r>
          </w:p>
        </w:tc>
        <w:tc>
          <w:tcPr>
            <w:tcW w:w="0" w:type="auto"/>
            <w:shd w:val="clear" w:color="auto" w:fill="auto"/>
          </w:tcPr>
          <w:p w14:paraId="4C899AEF"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560990C0"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4802EBFE"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33244BBC" w14:textId="77777777" w:rsidR="008C5CFA" w:rsidRPr="001C4484" w:rsidRDefault="00E82A60" w:rsidP="00300A01">
            <w:pPr>
              <w:spacing w:before="0" w:after="0"/>
              <w:jc w:val="right"/>
              <w:rPr>
                <w:sz w:val="10"/>
                <w:szCs w:val="10"/>
                <w:lang w:val="fr-BE"/>
              </w:rPr>
            </w:pPr>
            <w:r w:rsidRPr="001C4484">
              <w:rPr>
                <w:noProof/>
                <w:sz w:val="10"/>
                <w:szCs w:val="10"/>
              </w:rPr>
              <w:t>0,00</w:t>
            </w:r>
          </w:p>
        </w:tc>
        <w:tc>
          <w:tcPr>
            <w:tcW w:w="0" w:type="auto"/>
          </w:tcPr>
          <w:p w14:paraId="127A4AAF"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788FD7D0"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41574843" w14:textId="77777777" w:rsidR="008C5CFA" w:rsidRPr="001C4484" w:rsidRDefault="00E82A60" w:rsidP="00300A01">
            <w:pPr>
              <w:spacing w:before="0" w:after="0"/>
              <w:jc w:val="right"/>
              <w:rPr>
                <w:sz w:val="10"/>
                <w:szCs w:val="10"/>
                <w:lang w:val="fr-BE"/>
              </w:rPr>
            </w:pPr>
            <w:r w:rsidRPr="001C4484">
              <w:rPr>
                <w:noProof/>
                <w:sz w:val="10"/>
                <w:szCs w:val="10"/>
                <w:lang w:val="fr-BE"/>
              </w:rPr>
              <w:t>0,00</w:t>
            </w:r>
          </w:p>
        </w:tc>
      </w:tr>
      <w:tr w:rsidR="006B2EC1" w14:paraId="38F8BBC5" w14:textId="77777777" w:rsidTr="0047688D">
        <w:tc>
          <w:tcPr>
            <w:tcW w:w="0" w:type="auto"/>
            <w:shd w:val="clear" w:color="auto" w:fill="auto"/>
          </w:tcPr>
          <w:p w14:paraId="5058F673" w14:textId="77777777" w:rsidR="008C5CFA" w:rsidRPr="001C4484" w:rsidRDefault="00E82A60" w:rsidP="00300A01">
            <w:pPr>
              <w:spacing w:before="0" w:after="0"/>
              <w:rPr>
                <w:sz w:val="10"/>
                <w:szCs w:val="10"/>
                <w:lang w:val="fr-BE"/>
              </w:rPr>
            </w:pPr>
            <w:r w:rsidRPr="001C4484">
              <w:rPr>
                <w:noProof/>
                <w:sz w:val="10"/>
                <w:szCs w:val="10"/>
                <w:lang w:val="fr-BE"/>
              </w:rPr>
              <w:t>CO10</w:t>
            </w:r>
          </w:p>
        </w:tc>
        <w:tc>
          <w:tcPr>
            <w:tcW w:w="0" w:type="auto"/>
            <w:shd w:val="clear" w:color="auto" w:fill="auto"/>
          </w:tcPr>
          <w:p w14:paraId="7FF36B5F" w14:textId="77777777" w:rsidR="008C5CFA" w:rsidRPr="001C4484" w:rsidRDefault="00E82A60" w:rsidP="00300A01">
            <w:pPr>
              <w:spacing w:before="0" w:after="0"/>
              <w:rPr>
                <w:sz w:val="10"/>
                <w:szCs w:val="10"/>
                <w:lang w:val="fr-BE"/>
              </w:rPr>
            </w:pPr>
            <w:r w:rsidRPr="001C4484">
              <w:rPr>
                <w:noProof/>
                <w:sz w:val="10"/>
                <w:szCs w:val="10"/>
                <w:lang w:val="fr-BE"/>
              </w:rPr>
              <w:t>osoby z wykształceniem średnim II stopnia (ISCED 3) lub policealnym (ISCED 4)</w:t>
            </w:r>
          </w:p>
        </w:tc>
        <w:tc>
          <w:tcPr>
            <w:tcW w:w="0" w:type="auto"/>
            <w:shd w:val="clear" w:color="auto" w:fill="auto"/>
          </w:tcPr>
          <w:p w14:paraId="386B144C"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7EF679F4"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50B17762"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433DBA40" w14:textId="77777777" w:rsidR="008C5CFA" w:rsidRPr="001C4484" w:rsidRDefault="00E82A60" w:rsidP="00300A01">
            <w:pPr>
              <w:spacing w:before="0" w:after="0"/>
              <w:jc w:val="right"/>
              <w:rPr>
                <w:sz w:val="10"/>
                <w:szCs w:val="10"/>
                <w:lang w:val="fr-BE"/>
              </w:rPr>
            </w:pPr>
            <w:r w:rsidRPr="001C4484">
              <w:rPr>
                <w:noProof/>
                <w:sz w:val="10"/>
                <w:szCs w:val="10"/>
              </w:rPr>
              <w:t>0,00</w:t>
            </w:r>
          </w:p>
        </w:tc>
        <w:tc>
          <w:tcPr>
            <w:tcW w:w="0" w:type="auto"/>
          </w:tcPr>
          <w:p w14:paraId="321F0650"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6B41F577"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5C72BE3B" w14:textId="77777777" w:rsidR="008C5CFA" w:rsidRPr="001C4484" w:rsidRDefault="00E82A60" w:rsidP="00300A01">
            <w:pPr>
              <w:spacing w:before="0" w:after="0"/>
              <w:jc w:val="right"/>
              <w:rPr>
                <w:sz w:val="10"/>
                <w:szCs w:val="10"/>
                <w:lang w:val="fr-BE"/>
              </w:rPr>
            </w:pPr>
            <w:r w:rsidRPr="001C4484">
              <w:rPr>
                <w:noProof/>
                <w:sz w:val="10"/>
                <w:szCs w:val="10"/>
                <w:lang w:val="fr-BE"/>
              </w:rPr>
              <w:t>0,00</w:t>
            </w:r>
          </w:p>
        </w:tc>
      </w:tr>
      <w:tr w:rsidR="006B2EC1" w14:paraId="5C36C4EA" w14:textId="77777777" w:rsidTr="0047688D">
        <w:tc>
          <w:tcPr>
            <w:tcW w:w="0" w:type="auto"/>
            <w:shd w:val="clear" w:color="auto" w:fill="auto"/>
          </w:tcPr>
          <w:p w14:paraId="39484258" w14:textId="77777777" w:rsidR="008C5CFA" w:rsidRPr="001C4484" w:rsidRDefault="00E82A60" w:rsidP="00300A01">
            <w:pPr>
              <w:spacing w:before="0" w:after="0"/>
              <w:rPr>
                <w:sz w:val="10"/>
                <w:szCs w:val="10"/>
                <w:lang w:val="fr-BE"/>
              </w:rPr>
            </w:pPr>
            <w:r w:rsidRPr="001C4484">
              <w:rPr>
                <w:noProof/>
                <w:sz w:val="10"/>
                <w:szCs w:val="10"/>
                <w:lang w:val="fr-BE"/>
              </w:rPr>
              <w:t>CO11</w:t>
            </w:r>
          </w:p>
        </w:tc>
        <w:tc>
          <w:tcPr>
            <w:tcW w:w="0" w:type="auto"/>
            <w:shd w:val="clear" w:color="auto" w:fill="auto"/>
          </w:tcPr>
          <w:p w14:paraId="2425F247" w14:textId="77777777" w:rsidR="008C5CFA" w:rsidRPr="001C4484" w:rsidRDefault="00E82A60" w:rsidP="00300A01">
            <w:pPr>
              <w:spacing w:before="0" w:after="0"/>
              <w:rPr>
                <w:sz w:val="10"/>
                <w:szCs w:val="10"/>
                <w:lang w:val="fr-BE"/>
              </w:rPr>
            </w:pPr>
            <w:r w:rsidRPr="001C4484">
              <w:rPr>
                <w:noProof/>
                <w:sz w:val="10"/>
                <w:szCs w:val="10"/>
                <w:lang w:val="fr-BE"/>
              </w:rPr>
              <w:t>osoby z wykształceniem wyższym (ISCED 5 do 8)</w:t>
            </w:r>
          </w:p>
        </w:tc>
        <w:tc>
          <w:tcPr>
            <w:tcW w:w="0" w:type="auto"/>
            <w:shd w:val="clear" w:color="auto" w:fill="auto"/>
          </w:tcPr>
          <w:p w14:paraId="5ECC4C22"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5E9192FC"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11C0B733"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2940D75A" w14:textId="77777777" w:rsidR="008C5CFA" w:rsidRPr="001C4484" w:rsidRDefault="00E82A60" w:rsidP="00300A01">
            <w:pPr>
              <w:spacing w:before="0" w:after="0"/>
              <w:jc w:val="right"/>
              <w:rPr>
                <w:sz w:val="10"/>
                <w:szCs w:val="10"/>
                <w:lang w:val="fr-BE"/>
              </w:rPr>
            </w:pPr>
            <w:r w:rsidRPr="001C4484">
              <w:rPr>
                <w:noProof/>
                <w:sz w:val="10"/>
                <w:szCs w:val="10"/>
              </w:rPr>
              <w:t>0,00</w:t>
            </w:r>
          </w:p>
        </w:tc>
        <w:tc>
          <w:tcPr>
            <w:tcW w:w="0" w:type="auto"/>
          </w:tcPr>
          <w:p w14:paraId="37925789"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0434F352"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7E674E60" w14:textId="77777777" w:rsidR="008C5CFA" w:rsidRPr="001C4484" w:rsidRDefault="00E82A60" w:rsidP="00300A01">
            <w:pPr>
              <w:spacing w:before="0" w:after="0"/>
              <w:jc w:val="right"/>
              <w:rPr>
                <w:sz w:val="10"/>
                <w:szCs w:val="10"/>
                <w:lang w:val="fr-BE"/>
              </w:rPr>
            </w:pPr>
            <w:r w:rsidRPr="001C4484">
              <w:rPr>
                <w:noProof/>
                <w:sz w:val="10"/>
                <w:szCs w:val="10"/>
                <w:lang w:val="fr-BE"/>
              </w:rPr>
              <w:t>0,00</w:t>
            </w:r>
          </w:p>
        </w:tc>
      </w:tr>
      <w:tr w:rsidR="006B2EC1" w14:paraId="6AD20889" w14:textId="77777777" w:rsidTr="0047688D">
        <w:tc>
          <w:tcPr>
            <w:tcW w:w="0" w:type="auto"/>
            <w:shd w:val="clear" w:color="auto" w:fill="auto"/>
          </w:tcPr>
          <w:p w14:paraId="3C2D3194" w14:textId="77777777" w:rsidR="008C5CFA" w:rsidRPr="001C4484" w:rsidRDefault="00E82A60" w:rsidP="00300A01">
            <w:pPr>
              <w:spacing w:before="0" w:after="0"/>
              <w:rPr>
                <w:sz w:val="10"/>
                <w:szCs w:val="10"/>
                <w:lang w:val="fr-BE"/>
              </w:rPr>
            </w:pPr>
            <w:r w:rsidRPr="001C4484">
              <w:rPr>
                <w:noProof/>
                <w:sz w:val="10"/>
                <w:szCs w:val="10"/>
                <w:lang w:val="fr-BE"/>
              </w:rPr>
              <w:t>CO15</w:t>
            </w:r>
          </w:p>
        </w:tc>
        <w:tc>
          <w:tcPr>
            <w:tcW w:w="0" w:type="auto"/>
            <w:shd w:val="clear" w:color="auto" w:fill="auto"/>
          </w:tcPr>
          <w:p w14:paraId="2CD3DC2D" w14:textId="77777777" w:rsidR="008C5CFA" w:rsidRPr="001C4484" w:rsidRDefault="00E82A60" w:rsidP="00300A01">
            <w:pPr>
              <w:spacing w:before="0" w:after="0"/>
              <w:rPr>
                <w:sz w:val="10"/>
                <w:szCs w:val="10"/>
                <w:lang w:val="fr-BE"/>
              </w:rPr>
            </w:pPr>
            <w:r w:rsidRPr="001C4484">
              <w:rPr>
                <w:noProof/>
                <w:sz w:val="10"/>
                <w:szCs w:val="10"/>
                <w:lang w:val="fr-BE"/>
              </w:rPr>
              <w:t>migranci, uczestnicy obcego pochodzenia, mniejszości (w tym społeczności marginalizowane, takie jak Romowie)</w:t>
            </w:r>
          </w:p>
        </w:tc>
        <w:tc>
          <w:tcPr>
            <w:tcW w:w="0" w:type="auto"/>
            <w:shd w:val="clear" w:color="auto" w:fill="auto"/>
          </w:tcPr>
          <w:p w14:paraId="56B262EB"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1489B088"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01461F1C"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7A243682" w14:textId="77777777" w:rsidR="008C5CFA" w:rsidRPr="001C4484" w:rsidRDefault="00E82A60" w:rsidP="00300A01">
            <w:pPr>
              <w:spacing w:before="0" w:after="0"/>
              <w:jc w:val="right"/>
              <w:rPr>
                <w:sz w:val="10"/>
                <w:szCs w:val="10"/>
                <w:lang w:val="fr-BE"/>
              </w:rPr>
            </w:pPr>
            <w:r w:rsidRPr="001C4484">
              <w:rPr>
                <w:noProof/>
                <w:sz w:val="10"/>
                <w:szCs w:val="10"/>
              </w:rPr>
              <w:t>0,00</w:t>
            </w:r>
          </w:p>
        </w:tc>
        <w:tc>
          <w:tcPr>
            <w:tcW w:w="0" w:type="auto"/>
          </w:tcPr>
          <w:p w14:paraId="5A4C020D"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30F79699"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25593850" w14:textId="77777777" w:rsidR="008C5CFA" w:rsidRPr="001C4484" w:rsidRDefault="00E82A60" w:rsidP="00300A01">
            <w:pPr>
              <w:spacing w:before="0" w:after="0"/>
              <w:jc w:val="right"/>
              <w:rPr>
                <w:sz w:val="10"/>
                <w:szCs w:val="10"/>
                <w:lang w:val="fr-BE"/>
              </w:rPr>
            </w:pPr>
            <w:r w:rsidRPr="001C4484">
              <w:rPr>
                <w:noProof/>
                <w:sz w:val="10"/>
                <w:szCs w:val="10"/>
                <w:lang w:val="fr-BE"/>
              </w:rPr>
              <w:t>0,00</w:t>
            </w:r>
          </w:p>
        </w:tc>
      </w:tr>
      <w:tr w:rsidR="006B2EC1" w14:paraId="738D9508" w14:textId="77777777" w:rsidTr="0047688D">
        <w:tc>
          <w:tcPr>
            <w:tcW w:w="0" w:type="auto"/>
            <w:shd w:val="clear" w:color="auto" w:fill="auto"/>
          </w:tcPr>
          <w:p w14:paraId="169E67CF" w14:textId="77777777" w:rsidR="008C5CFA" w:rsidRPr="001C4484" w:rsidRDefault="00E82A60" w:rsidP="00300A01">
            <w:pPr>
              <w:spacing w:before="0" w:after="0"/>
              <w:rPr>
                <w:sz w:val="10"/>
                <w:szCs w:val="10"/>
                <w:lang w:val="fr-BE"/>
              </w:rPr>
            </w:pPr>
            <w:r w:rsidRPr="001C4484">
              <w:rPr>
                <w:noProof/>
                <w:sz w:val="10"/>
                <w:szCs w:val="10"/>
                <w:lang w:val="fr-BE"/>
              </w:rPr>
              <w:t>CO16</w:t>
            </w:r>
          </w:p>
        </w:tc>
        <w:tc>
          <w:tcPr>
            <w:tcW w:w="0" w:type="auto"/>
            <w:shd w:val="clear" w:color="auto" w:fill="auto"/>
          </w:tcPr>
          <w:p w14:paraId="56012360" w14:textId="77777777" w:rsidR="008C5CFA" w:rsidRPr="001C4484" w:rsidRDefault="00E82A60" w:rsidP="00300A01">
            <w:pPr>
              <w:spacing w:before="0" w:after="0"/>
              <w:rPr>
                <w:sz w:val="10"/>
                <w:szCs w:val="10"/>
                <w:lang w:val="fr-BE"/>
              </w:rPr>
            </w:pPr>
            <w:r w:rsidRPr="001C4484">
              <w:rPr>
                <w:noProof/>
                <w:sz w:val="10"/>
                <w:szCs w:val="10"/>
                <w:lang w:val="fr-BE"/>
              </w:rPr>
              <w:t>uczestnicy z niepełnosprawnościami</w:t>
            </w:r>
          </w:p>
        </w:tc>
        <w:tc>
          <w:tcPr>
            <w:tcW w:w="0" w:type="auto"/>
            <w:shd w:val="clear" w:color="auto" w:fill="auto"/>
          </w:tcPr>
          <w:p w14:paraId="04B6F60A"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7A09A124"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5E77D52B"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3639AC76" w14:textId="77777777" w:rsidR="008C5CFA" w:rsidRPr="001C4484" w:rsidRDefault="00E82A60" w:rsidP="00300A01">
            <w:pPr>
              <w:spacing w:before="0" w:after="0"/>
              <w:jc w:val="right"/>
              <w:rPr>
                <w:sz w:val="10"/>
                <w:szCs w:val="10"/>
                <w:lang w:val="fr-BE"/>
              </w:rPr>
            </w:pPr>
            <w:r w:rsidRPr="001C4484">
              <w:rPr>
                <w:noProof/>
                <w:sz w:val="10"/>
                <w:szCs w:val="10"/>
              </w:rPr>
              <w:t>0,00</w:t>
            </w:r>
          </w:p>
        </w:tc>
        <w:tc>
          <w:tcPr>
            <w:tcW w:w="0" w:type="auto"/>
          </w:tcPr>
          <w:p w14:paraId="5D99FC8A"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777A1385"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214BC9E8" w14:textId="77777777" w:rsidR="008C5CFA" w:rsidRPr="001C4484" w:rsidRDefault="00E82A60" w:rsidP="00300A01">
            <w:pPr>
              <w:spacing w:before="0" w:after="0"/>
              <w:jc w:val="right"/>
              <w:rPr>
                <w:sz w:val="10"/>
                <w:szCs w:val="10"/>
                <w:lang w:val="fr-BE"/>
              </w:rPr>
            </w:pPr>
            <w:r w:rsidRPr="001C4484">
              <w:rPr>
                <w:noProof/>
                <w:sz w:val="10"/>
                <w:szCs w:val="10"/>
                <w:lang w:val="fr-BE"/>
              </w:rPr>
              <w:t>0,00</w:t>
            </w:r>
          </w:p>
        </w:tc>
      </w:tr>
      <w:tr w:rsidR="006B2EC1" w14:paraId="1AE5FAD4" w14:textId="77777777" w:rsidTr="0047688D">
        <w:tc>
          <w:tcPr>
            <w:tcW w:w="0" w:type="auto"/>
            <w:shd w:val="clear" w:color="auto" w:fill="auto"/>
          </w:tcPr>
          <w:p w14:paraId="199B4640" w14:textId="77777777" w:rsidR="008C5CFA" w:rsidRPr="001C4484" w:rsidRDefault="00E82A60" w:rsidP="00300A01">
            <w:pPr>
              <w:spacing w:before="0" w:after="0"/>
              <w:rPr>
                <w:sz w:val="10"/>
                <w:szCs w:val="10"/>
                <w:lang w:val="fr-BE"/>
              </w:rPr>
            </w:pPr>
            <w:r w:rsidRPr="001C4484">
              <w:rPr>
                <w:noProof/>
                <w:sz w:val="10"/>
                <w:szCs w:val="10"/>
                <w:lang w:val="fr-BE"/>
              </w:rPr>
              <w:t>CO17</w:t>
            </w:r>
          </w:p>
        </w:tc>
        <w:tc>
          <w:tcPr>
            <w:tcW w:w="0" w:type="auto"/>
            <w:shd w:val="clear" w:color="auto" w:fill="auto"/>
          </w:tcPr>
          <w:p w14:paraId="74E2BFEA" w14:textId="77777777" w:rsidR="008C5CFA" w:rsidRPr="001C4484" w:rsidRDefault="00E82A60" w:rsidP="00300A01">
            <w:pPr>
              <w:spacing w:before="0" w:after="0"/>
              <w:rPr>
                <w:sz w:val="10"/>
                <w:szCs w:val="10"/>
                <w:lang w:val="fr-BE"/>
              </w:rPr>
            </w:pPr>
            <w:r w:rsidRPr="001C4484">
              <w:rPr>
                <w:noProof/>
                <w:sz w:val="10"/>
                <w:szCs w:val="10"/>
                <w:lang w:val="fr-BE"/>
              </w:rPr>
              <w:t>inne osoby w niekorzystnej sytuacji społecznej</w:t>
            </w:r>
          </w:p>
        </w:tc>
        <w:tc>
          <w:tcPr>
            <w:tcW w:w="0" w:type="auto"/>
            <w:shd w:val="clear" w:color="auto" w:fill="auto"/>
          </w:tcPr>
          <w:p w14:paraId="39E97CD4"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4D669E91"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74DDFA70"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02DD8BC2" w14:textId="77777777" w:rsidR="008C5CFA" w:rsidRPr="001C4484" w:rsidRDefault="00E82A60" w:rsidP="00300A01">
            <w:pPr>
              <w:spacing w:before="0" w:after="0"/>
              <w:jc w:val="right"/>
              <w:rPr>
                <w:sz w:val="10"/>
                <w:szCs w:val="10"/>
                <w:lang w:val="fr-BE"/>
              </w:rPr>
            </w:pPr>
            <w:r w:rsidRPr="001C4484">
              <w:rPr>
                <w:noProof/>
                <w:sz w:val="10"/>
                <w:szCs w:val="10"/>
              </w:rPr>
              <w:t>0,00</w:t>
            </w:r>
          </w:p>
        </w:tc>
        <w:tc>
          <w:tcPr>
            <w:tcW w:w="0" w:type="auto"/>
          </w:tcPr>
          <w:p w14:paraId="084748B4"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31BCCFDA"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337E99FB" w14:textId="77777777" w:rsidR="008C5CFA" w:rsidRPr="001C4484" w:rsidRDefault="00E82A60" w:rsidP="00300A01">
            <w:pPr>
              <w:spacing w:before="0" w:after="0"/>
              <w:jc w:val="right"/>
              <w:rPr>
                <w:sz w:val="10"/>
                <w:szCs w:val="10"/>
                <w:lang w:val="fr-BE"/>
              </w:rPr>
            </w:pPr>
            <w:r w:rsidRPr="001C4484">
              <w:rPr>
                <w:noProof/>
                <w:sz w:val="10"/>
                <w:szCs w:val="10"/>
                <w:lang w:val="fr-BE"/>
              </w:rPr>
              <w:t>0,00</w:t>
            </w:r>
          </w:p>
        </w:tc>
      </w:tr>
      <w:tr w:rsidR="006B2EC1" w14:paraId="0EC5CBD1" w14:textId="77777777" w:rsidTr="0047688D">
        <w:tc>
          <w:tcPr>
            <w:tcW w:w="0" w:type="auto"/>
            <w:shd w:val="clear" w:color="auto" w:fill="auto"/>
          </w:tcPr>
          <w:p w14:paraId="03D46189" w14:textId="77777777" w:rsidR="008C5CFA" w:rsidRPr="001C4484" w:rsidRDefault="00E82A60" w:rsidP="00300A01">
            <w:pPr>
              <w:spacing w:before="0" w:after="0"/>
              <w:rPr>
                <w:sz w:val="10"/>
                <w:szCs w:val="10"/>
                <w:lang w:val="fr-BE"/>
              </w:rPr>
            </w:pPr>
            <w:r w:rsidRPr="001C4484">
              <w:rPr>
                <w:noProof/>
                <w:sz w:val="10"/>
                <w:szCs w:val="10"/>
                <w:lang w:val="fr-BE"/>
              </w:rPr>
              <w:t>CO18</w:t>
            </w:r>
          </w:p>
        </w:tc>
        <w:tc>
          <w:tcPr>
            <w:tcW w:w="0" w:type="auto"/>
            <w:shd w:val="clear" w:color="auto" w:fill="auto"/>
          </w:tcPr>
          <w:p w14:paraId="05AE7DAE" w14:textId="77777777" w:rsidR="008C5CFA" w:rsidRPr="001C4484" w:rsidRDefault="00E82A60" w:rsidP="00300A01">
            <w:pPr>
              <w:spacing w:before="0" w:after="0"/>
              <w:rPr>
                <w:sz w:val="10"/>
                <w:szCs w:val="10"/>
                <w:lang w:val="fr-BE"/>
              </w:rPr>
            </w:pPr>
            <w:r w:rsidRPr="001C4484">
              <w:rPr>
                <w:noProof/>
                <w:sz w:val="10"/>
                <w:szCs w:val="10"/>
                <w:lang w:val="fr-BE"/>
              </w:rPr>
              <w:t>osoby bezdomne lub dotknięte wykluczeniem z dostępu do mieszkań</w:t>
            </w:r>
          </w:p>
        </w:tc>
        <w:tc>
          <w:tcPr>
            <w:tcW w:w="0" w:type="auto"/>
            <w:shd w:val="clear" w:color="auto" w:fill="auto"/>
          </w:tcPr>
          <w:p w14:paraId="12184130"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47897669"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7F908387"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6612D16B" w14:textId="77777777" w:rsidR="008C5CFA" w:rsidRPr="001C4484" w:rsidRDefault="00E82A60" w:rsidP="00300A01">
            <w:pPr>
              <w:spacing w:before="0" w:after="0"/>
              <w:jc w:val="right"/>
              <w:rPr>
                <w:sz w:val="10"/>
                <w:szCs w:val="10"/>
                <w:lang w:val="fr-BE"/>
              </w:rPr>
            </w:pPr>
            <w:r w:rsidRPr="001C4484">
              <w:rPr>
                <w:noProof/>
                <w:sz w:val="10"/>
                <w:szCs w:val="10"/>
              </w:rPr>
              <w:t>0,00</w:t>
            </w:r>
          </w:p>
        </w:tc>
        <w:tc>
          <w:tcPr>
            <w:tcW w:w="0" w:type="auto"/>
          </w:tcPr>
          <w:p w14:paraId="7AF8EDFA"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3ACE968B"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22721CC1" w14:textId="77777777" w:rsidR="008C5CFA" w:rsidRPr="001C4484" w:rsidRDefault="00E82A60" w:rsidP="00300A01">
            <w:pPr>
              <w:spacing w:before="0" w:after="0"/>
              <w:jc w:val="right"/>
              <w:rPr>
                <w:sz w:val="10"/>
                <w:szCs w:val="10"/>
                <w:lang w:val="fr-BE"/>
              </w:rPr>
            </w:pPr>
            <w:r w:rsidRPr="001C4484">
              <w:rPr>
                <w:noProof/>
                <w:sz w:val="10"/>
                <w:szCs w:val="10"/>
                <w:lang w:val="fr-BE"/>
              </w:rPr>
              <w:t>0,00</w:t>
            </w:r>
          </w:p>
        </w:tc>
      </w:tr>
      <w:tr w:rsidR="006B2EC1" w14:paraId="744BEB9A" w14:textId="77777777" w:rsidTr="0047688D">
        <w:tc>
          <w:tcPr>
            <w:tcW w:w="0" w:type="auto"/>
            <w:shd w:val="clear" w:color="auto" w:fill="auto"/>
          </w:tcPr>
          <w:p w14:paraId="5528D123" w14:textId="77777777" w:rsidR="008C5CFA" w:rsidRPr="001C4484" w:rsidRDefault="00E82A60" w:rsidP="00300A01">
            <w:pPr>
              <w:spacing w:before="0" w:after="0"/>
              <w:rPr>
                <w:sz w:val="10"/>
                <w:szCs w:val="10"/>
                <w:lang w:val="fr-BE"/>
              </w:rPr>
            </w:pPr>
            <w:r w:rsidRPr="001C4484">
              <w:rPr>
                <w:noProof/>
                <w:sz w:val="10"/>
                <w:szCs w:val="10"/>
                <w:lang w:val="fr-BE"/>
              </w:rPr>
              <w:t>CO19</w:t>
            </w:r>
          </w:p>
        </w:tc>
        <w:tc>
          <w:tcPr>
            <w:tcW w:w="0" w:type="auto"/>
            <w:shd w:val="clear" w:color="auto" w:fill="auto"/>
          </w:tcPr>
          <w:p w14:paraId="19EC1F1B" w14:textId="77777777" w:rsidR="008C5CFA" w:rsidRPr="001C4484" w:rsidRDefault="00E82A60" w:rsidP="00300A01">
            <w:pPr>
              <w:spacing w:before="0" w:after="0"/>
              <w:rPr>
                <w:sz w:val="10"/>
                <w:szCs w:val="10"/>
                <w:lang w:val="fr-BE"/>
              </w:rPr>
            </w:pPr>
            <w:r w:rsidRPr="001C4484">
              <w:rPr>
                <w:noProof/>
                <w:sz w:val="10"/>
                <w:szCs w:val="10"/>
                <w:lang w:val="fr-BE"/>
              </w:rPr>
              <w:t>osoby pochodzące z obszarów wiejskich</w:t>
            </w:r>
          </w:p>
        </w:tc>
        <w:tc>
          <w:tcPr>
            <w:tcW w:w="0" w:type="auto"/>
            <w:shd w:val="clear" w:color="auto" w:fill="auto"/>
          </w:tcPr>
          <w:p w14:paraId="12721E29"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3EFBCC15"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5CD11C84"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5D3FDA74" w14:textId="77777777" w:rsidR="008C5CFA" w:rsidRPr="001C4484" w:rsidRDefault="00E82A60" w:rsidP="00300A01">
            <w:pPr>
              <w:spacing w:before="0" w:after="0"/>
              <w:jc w:val="right"/>
              <w:rPr>
                <w:sz w:val="10"/>
                <w:szCs w:val="10"/>
                <w:lang w:val="fr-BE"/>
              </w:rPr>
            </w:pPr>
            <w:r w:rsidRPr="001C4484">
              <w:rPr>
                <w:noProof/>
                <w:sz w:val="10"/>
                <w:szCs w:val="10"/>
              </w:rPr>
              <w:t>0,00</w:t>
            </w:r>
          </w:p>
        </w:tc>
        <w:tc>
          <w:tcPr>
            <w:tcW w:w="0" w:type="auto"/>
          </w:tcPr>
          <w:p w14:paraId="75AC808F"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75CCE7C8" w14:textId="77777777" w:rsidR="008C5CFA" w:rsidRPr="001C4484" w:rsidRDefault="00E82A60" w:rsidP="00300A01">
            <w:pPr>
              <w:spacing w:before="0" w:after="0"/>
              <w:jc w:val="right"/>
              <w:rPr>
                <w:sz w:val="10"/>
                <w:szCs w:val="10"/>
              </w:rPr>
            </w:pPr>
            <w:r w:rsidRPr="001C4484">
              <w:rPr>
                <w:noProof/>
                <w:sz w:val="10"/>
                <w:szCs w:val="10"/>
              </w:rPr>
              <w:t>0,00</w:t>
            </w:r>
          </w:p>
        </w:tc>
        <w:tc>
          <w:tcPr>
            <w:tcW w:w="0" w:type="auto"/>
            <w:shd w:val="clear" w:color="auto" w:fill="auto"/>
          </w:tcPr>
          <w:p w14:paraId="50E4CAFB" w14:textId="77777777" w:rsidR="008C5CFA" w:rsidRPr="001C4484" w:rsidRDefault="00E82A60" w:rsidP="00300A01">
            <w:pPr>
              <w:spacing w:before="0" w:after="0"/>
              <w:jc w:val="right"/>
              <w:rPr>
                <w:sz w:val="10"/>
                <w:szCs w:val="10"/>
                <w:lang w:val="fr-BE"/>
              </w:rPr>
            </w:pPr>
            <w:r w:rsidRPr="001C4484">
              <w:rPr>
                <w:noProof/>
                <w:sz w:val="10"/>
                <w:szCs w:val="10"/>
                <w:lang w:val="fr-BE"/>
              </w:rPr>
              <w:t>0,00</w:t>
            </w:r>
          </w:p>
        </w:tc>
      </w:tr>
      <w:tr w:rsidR="006B2EC1" w14:paraId="26494BFE" w14:textId="77777777" w:rsidTr="0047688D">
        <w:tc>
          <w:tcPr>
            <w:tcW w:w="0" w:type="auto"/>
            <w:shd w:val="clear" w:color="auto" w:fill="auto"/>
          </w:tcPr>
          <w:p w14:paraId="1F9A6CC8" w14:textId="77777777" w:rsidR="008C5CFA" w:rsidRPr="001C4484" w:rsidRDefault="00E82A60" w:rsidP="00300A01">
            <w:pPr>
              <w:spacing w:before="0" w:after="0"/>
              <w:rPr>
                <w:sz w:val="10"/>
                <w:szCs w:val="10"/>
                <w:lang w:val="fr-BE"/>
              </w:rPr>
            </w:pPr>
            <w:r w:rsidRPr="001C4484">
              <w:rPr>
                <w:noProof/>
                <w:sz w:val="10"/>
                <w:szCs w:val="10"/>
                <w:lang w:val="fr-BE"/>
              </w:rPr>
              <w:t>CO20</w:t>
            </w:r>
          </w:p>
        </w:tc>
        <w:tc>
          <w:tcPr>
            <w:tcW w:w="0" w:type="auto"/>
            <w:shd w:val="clear" w:color="auto" w:fill="auto"/>
          </w:tcPr>
          <w:p w14:paraId="024BF5A0" w14:textId="77777777" w:rsidR="008C5CFA" w:rsidRPr="001C4484" w:rsidRDefault="00E82A60" w:rsidP="00300A01">
            <w:pPr>
              <w:spacing w:before="0" w:after="0"/>
              <w:rPr>
                <w:sz w:val="10"/>
                <w:szCs w:val="10"/>
                <w:lang w:val="fr-BE"/>
              </w:rPr>
            </w:pPr>
            <w:r w:rsidRPr="001C4484">
              <w:rPr>
                <w:noProof/>
                <w:sz w:val="10"/>
                <w:szCs w:val="10"/>
                <w:lang w:val="fr-BE"/>
              </w:rPr>
              <w:t>liczba projektów zrealizowanych w pełni lub częściowo przez partnerów społecznych lub organizacje pozarządowe</w:t>
            </w:r>
          </w:p>
        </w:tc>
        <w:tc>
          <w:tcPr>
            <w:tcW w:w="0" w:type="auto"/>
            <w:shd w:val="clear" w:color="auto" w:fill="auto"/>
          </w:tcPr>
          <w:p w14:paraId="371A9ABF"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12AF5DE5"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6CB1CFC3" w14:textId="77777777" w:rsidR="008C5CFA" w:rsidRPr="001C4484" w:rsidRDefault="008C5CFA" w:rsidP="00300A01">
            <w:pPr>
              <w:spacing w:before="0" w:after="0"/>
              <w:jc w:val="right"/>
              <w:rPr>
                <w:sz w:val="10"/>
                <w:szCs w:val="10"/>
              </w:rPr>
            </w:pPr>
          </w:p>
        </w:tc>
        <w:tc>
          <w:tcPr>
            <w:tcW w:w="0" w:type="auto"/>
            <w:shd w:val="clear" w:color="auto" w:fill="auto"/>
          </w:tcPr>
          <w:p w14:paraId="7C7C672B" w14:textId="77777777" w:rsidR="008C5CFA" w:rsidRPr="001C4484" w:rsidRDefault="008C5CFA" w:rsidP="00300A01">
            <w:pPr>
              <w:spacing w:before="0" w:after="0"/>
              <w:jc w:val="right"/>
              <w:rPr>
                <w:sz w:val="10"/>
                <w:szCs w:val="10"/>
                <w:lang w:val="fr-BE"/>
              </w:rPr>
            </w:pPr>
          </w:p>
        </w:tc>
        <w:tc>
          <w:tcPr>
            <w:tcW w:w="0" w:type="auto"/>
          </w:tcPr>
          <w:p w14:paraId="4B8EDC39"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42A35D6F" w14:textId="77777777" w:rsidR="008C5CFA" w:rsidRPr="001C4484" w:rsidRDefault="008C5CFA" w:rsidP="00300A01">
            <w:pPr>
              <w:spacing w:before="0" w:after="0"/>
              <w:jc w:val="right"/>
              <w:rPr>
                <w:sz w:val="10"/>
                <w:szCs w:val="10"/>
              </w:rPr>
            </w:pPr>
          </w:p>
        </w:tc>
        <w:tc>
          <w:tcPr>
            <w:tcW w:w="0" w:type="auto"/>
            <w:shd w:val="clear" w:color="auto" w:fill="auto"/>
          </w:tcPr>
          <w:p w14:paraId="1044464A" w14:textId="77777777" w:rsidR="008C5CFA" w:rsidRPr="001C4484" w:rsidRDefault="008C5CFA" w:rsidP="00300A01">
            <w:pPr>
              <w:spacing w:before="0" w:after="0"/>
              <w:jc w:val="right"/>
              <w:rPr>
                <w:sz w:val="10"/>
                <w:szCs w:val="10"/>
                <w:lang w:val="fr-BE"/>
              </w:rPr>
            </w:pPr>
          </w:p>
        </w:tc>
      </w:tr>
      <w:tr w:rsidR="006B2EC1" w14:paraId="395EEE75" w14:textId="77777777" w:rsidTr="0047688D">
        <w:tc>
          <w:tcPr>
            <w:tcW w:w="0" w:type="auto"/>
            <w:shd w:val="clear" w:color="auto" w:fill="auto"/>
          </w:tcPr>
          <w:p w14:paraId="64F51135" w14:textId="77777777" w:rsidR="008C5CFA" w:rsidRPr="001C4484" w:rsidRDefault="00E82A60" w:rsidP="00300A01">
            <w:pPr>
              <w:spacing w:before="0" w:after="0"/>
              <w:rPr>
                <w:sz w:val="10"/>
                <w:szCs w:val="10"/>
                <w:lang w:val="fr-BE"/>
              </w:rPr>
            </w:pPr>
            <w:r w:rsidRPr="001C4484">
              <w:rPr>
                <w:noProof/>
                <w:sz w:val="10"/>
                <w:szCs w:val="10"/>
                <w:lang w:val="fr-BE"/>
              </w:rPr>
              <w:t>CO21</w:t>
            </w:r>
          </w:p>
        </w:tc>
        <w:tc>
          <w:tcPr>
            <w:tcW w:w="0" w:type="auto"/>
            <w:shd w:val="clear" w:color="auto" w:fill="auto"/>
          </w:tcPr>
          <w:p w14:paraId="28A21877" w14:textId="77777777" w:rsidR="008C5CFA" w:rsidRPr="001C4484" w:rsidRDefault="00E82A60" w:rsidP="00300A01">
            <w:pPr>
              <w:spacing w:before="0" w:after="0"/>
              <w:rPr>
                <w:sz w:val="10"/>
                <w:szCs w:val="10"/>
                <w:lang w:val="fr-BE"/>
              </w:rPr>
            </w:pPr>
            <w:r w:rsidRPr="001C4484">
              <w:rPr>
                <w:noProof/>
                <w:sz w:val="10"/>
                <w:szCs w:val="10"/>
                <w:lang w:val="fr-BE"/>
              </w:rPr>
              <w:t>liczba projektów ukierunkowanych na trwały udział kobiet w zatrudnieniu i rozwój ich kariery zawodowej</w:t>
            </w:r>
          </w:p>
        </w:tc>
        <w:tc>
          <w:tcPr>
            <w:tcW w:w="0" w:type="auto"/>
            <w:shd w:val="clear" w:color="auto" w:fill="auto"/>
          </w:tcPr>
          <w:p w14:paraId="6D914A85"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79E4C07B"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57B92BBD" w14:textId="77777777" w:rsidR="008C5CFA" w:rsidRPr="001C4484" w:rsidRDefault="008C5CFA" w:rsidP="00300A01">
            <w:pPr>
              <w:spacing w:before="0" w:after="0"/>
              <w:jc w:val="right"/>
              <w:rPr>
                <w:sz w:val="10"/>
                <w:szCs w:val="10"/>
              </w:rPr>
            </w:pPr>
          </w:p>
        </w:tc>
        <w:tc>
          <w:tcPr>
            <w:tcW w:w="0" w:type="auto"/>
            <w:shd w:val="clear" w:color="auto" w:fill="auto"/>
          </w:tcPr>
          <w:p w14:paraId="75CFD1A4" w14:textId="77777777" w:rsidR="008C5CFA" w:rsidRPr="001C4484" w:rsidRDefault="008C5CFA" w:rsidP="00300A01">
            <w:pPr>
              <w:spacing w:before="0" w:after="0"/>
              <w:jc w:val="right"/>
              <w:rPr>
                <w:sz w:val="10"/>
                <w:szCs w:val="10"/>
                <w:lang w:val="fr-BE"/>
              </w:rPr>
            </w:pPr>
          </w:p>
        </w:tc>
        <w:tc>
          <w:tcPr>
            <w:tcW w:w="0" w:type="auto"/>
          </w:tcPr>
          <w:p w14:paraId="40AA7491"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6646BF68" w14:textId="77777777" w:rsidR="008C5CFA" w:rsidRPr="001C4484" w:rsidRDefault="008C5CFA" w:rsidP="00300A01">
            <w:pPr>
              <w:spacing w:before="0" w:after="0"/>
              <w:jc w:val="right"/>
              <w:rPr>
                <w:sz w:val="10"/>
                <w:szCs w:val="10"/>
              </w:rPr>
            </w:pPr>
          </w:p>
        </w:tc>
        <w:tc>
          <w:tcPr>
            <w:tcW w:w="0" w:type="auto"/>
            <w:shd w:val="clear" w:color="auto" w:fill="auto"/>
          </w:tcPr>
          <w:p w14:paraId="4329E5BA" w14:textId="77777777" w:rsidR="008C5CFA" w:rsidRPr="001C4484" w:rsidRDefault="008C5CFA" w:rsidP="00300A01">
            <w:pPr>
              <w:spacing w:before="0" w:after="0"/>
              <w:jc w:val="right"/>
              <w:rPr>
                <w:sz w:val="10"/>
                <w:szCs w:val="10"/>
                <w:lang w:val="fr-BE"/>
              </w:rPr>
            </w:pPr>
          </w:p>
        </w:tc>
      </w:tr>
      <w:tr w:rsidR="006B2EC1" w14:paraId="47A62437" w14:textId="77777777" w:rsidTr="0047688D">
        <w:tc>
          <w:tcPr>
            <w:tcW w:w="0" w:type="auto"/>
            <w:shd w:val="clear" w:color="auto" w:fill="auto"/>
          </w:tcPr>
          <w:p w14:paraId="09EEC8D6" w14:textId="77777777" w:rsidR="008C5CFA" w:rsidRPr="001C4484" w:rsidRDefault="00E82A60" w:rsidP="00300A01">
            <w:pPr>
              <w:spacing w:before="0" w:after="0"/>
              <w:rPr>
                <w:sz w:val="10"/>
                <w:szCs w:val="10"/>
                <w:lang w:val="fr-BE"/>
              </w:rPr>
            </w:pPr>
            <w:r w:rsidRPr="001C4484">
              <w:rPr>
                <w:noProof/>
                <w:sz w:val="10"/>
                <w:szCs w:val="10"/>
                <w:lang w:val="fr-BE"/>
              </w:rPr>
              <w:t>CO22</w:t>
            </w:r>
          </w:p>
        </w:tc>
        <w:tc>
          <w:tcPr>
            <w:tcW w:w="0" w:type="auto"/>
            <w:shd w:val="clear" w:color="auto" w:fill="auto"/>
          </w:tcPr>
          <w:p w14:paraId="289B746A" w14:textId="77777777" w:rsidR="008C5CFA" w:rsidRPr="001C4484" w:rsidRDefault="00E82A60" w:rsidP="00300A01">
            <w:pPr>
              <w:spacing w:before="0" w:after="0"/>
              <w:rPr>
                <w:sz w:val="10"/>
                <w:szCs w:val="10"/>
                <w:lang w:val="fr-BE"/>
              </w:rPr>
            </w:pPr>
            <w:r w:rsidRPr="001C4484">
              <w:rPr>
                <w:noProof/>
                <w:sz w:val="10"/>
                <w:szCs w:val="10"/>
                <w:lang w:val="fr-BE"/>
              </w:rPr>
              <w:t>liczba projektów obejmujących administrację publiczną lub służby publiczne na szczeblu krajowym, regionalnym lub lokalnym</w:t>
            </w:r>
          </w:p>
        </w:tc>
        <w:tc>
          <w:tcPr>
            <w:tcW w:w="0" w:type="auto"/>
            <w:shd w:val="clear" w:color="auto" w:fill="auto"/>
          </w:tcPr>
          <w:p w14:paraId="6ECDC299"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66AF5B58"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7050313B" w14:textId="77777777" w:rsidR="008C5CFA" w:rsidRPr="001C4484" w:rsidRDefault="008C5CFA" w:rsidP="00300A01">
            <w:pPr>
              <w:spacing w:before="0" w:after="0"/>
              <w:jc w:val="right"/>
              <w:rPr>
                <w:sz w:val="10"/>
                <w:szCs w:val="10"/>
              </w:rPr>
            </w:pPr>
          </w:p>
        </w:tc>
        <w:tc>
          <w:tcPr>
            <w:tcW w:w="0" w:type="auto"/>
            <w:shd w:val="clear" w:color="auto" w:fill="auto"/>
          </w:tcPr>
          <w:p w14:paraId="4F7DA4B6" w14:textId="77777777" w:rsidR="008C5CFA" w:rsidRPr="001C4484" w:rsidRDefault="008C5CFA" w:rsidP="00300A01">
            <w:pPr>
              <w:spacing w:before="0" w:after="0"/>
              <w:jc w:val="right"/>
              <w:rPr>
                <w:sz w:val="10"/>
                <w:szCs w:val="10"/>
                <w:lang w:val="fr-BE"/>
              </w:rPr>
            </w:pPr>
          </w:p>
        </w:tc>
        <w:tc>
          <w:tcPr>
            <w:tcW w:w="0" w:type="auto"/>
          </w:tcPr>
          <w:p w14:paraId="2224B2C2"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74EA91BE" w14:textId="77777777" w:rsidR="008C5CFA" w:rsidRPr="001C4484" w:rsidRDefault="008C5CFA" w:rsidP="00300A01">
            <w:pPr>
              <w:spacing w:before="0" w:after="0"/>
              <w:jc w:val="right"/>
              <w:rPr>
                <w:sz w:val="10"/>
                <w:szCs w:val="10"/>
              </w:rPr>
            </w:pPr>
          </w:p>
        </w:tc>
        <w:tc>
          <w:tcPr>
            <w:tcW w:w="0" w:type="auto"/>
            <w:shd w:val="clear" w:color="auto" w:fill="auto"/>
          </w:tcPr>
          <w:p w14:paraId="65E61AFC" w14:textId="77777777" w:rsidR="008C5CFA" w:rsidRPr="001C4484" w:rsidRDefault="008C5CFA" w:rsidP="00300A01">
            <w:pPr>
              <w:spacing w:before="0" w:after="0"/>
              <w:jc w:val="right"/>
              <w:rPr>
                <w:sz w:val="10"/>
                <w:szCs w:val="10"/>
                <w:lang w:val="fr-BE"/>
              </w:rPr>
            </w:pPr>
          </w:p>
        </w:tc>
      </w:tr>
      <w:tr w:rsidR="006B2EC1" w14:paraId="59E53B26" w14:textId="77777777" w:rsidTr="0047688D">
        <w:tc>
          <w:tcPr>
            <w:tcW w:w="0" w:type="auto"/>
            <w:shd w:val="clear" w:color="auto" w:fill="auto"/>
          </w:tcPr>
          <w:p w14:paraId="4BC836AF" w14:textId="77777777" w:rsidR="008C5CFA" w:rsidRPr="001C4484" w:rsidRDefault="00E82A60" w:rsidP="00300A01">
            <w:pPr>
              <w:spacing w:before="0" w:after="0"/>
              <w:rPr>
                <w:sz w:val="10"/>
                <w:szCs w:val="10"/>
                <w:lang w:val="fr-BE"/>
              </w:rPr>
            </w:pPr>
            <w:r w:rsidRPr="001C4484">
              <w:rPr>
                <w:noProof/>
                <w:sz w:val="10"/>
                <w:szCs w:val="10"/>
                <w:lang w:val="fr-BE"/>
              </w:rPr>
              <w:t>CO23</w:t>
            </w:r>
          </w:p>
        </w:tc>
        <w:tc>
          <w:tcPr>
            <w:tcW w:w="0" w:type="auto"/>
            <w:shd w:val="clear" w:color="auto" w:fill="auto"/>
          </w:tcPr>
          <w:p w14:paraId="5AE6B635" w14:textId="77777777" w:rsidR="008C5CFA" w:rsidRPr="001C4484" w:rsidRDefault="00E82A60" w:rsidP="00300A01">
            <w:pPr>
              <w:spacing w:before="0" w:after="0"/>
              <w:rPr>
                <w:sz w:val="10"/>
                <w:szCs w:val="10"/>
                <w:lang w:val="fr-BE"/>
              </w:rPr>
            </w:pPr>
            <w:r w:rsidRPr="001C4484">
              <w:rPr>
                <w:noProof/>
                <w:sz w:val="10"/>
                <w:szCs w:val="10"/>
                <w:lang w:val="fr-BE"/>
              </w:rPr>
              <w:t>liczba objętych wsparciem mikro-, małych i średnich przedsiębiorstw (w tym przedsiębiorstw spółdzielczych i przedsiębiorstw gospodarki społecznej)</w:t>
            </w:r>
          </w:p>
        </w:tc>
        <w:tc>
          <w:tcPr>
            <w:tcW w:w="0" w:type="auto"/>
            <w:shd w:val="clear" w:color="auto" w:fill="auto"/>
          </w:tcPr>
          <w:p w14:paraId="5FE8F8E7" w14:textId="77777777" w:rsidR="008C5CFA" w:rsidRPr="001C4484" w:rsidRDefault="00E82A60" w:rsidP="00300A01">
            <w:pPr>
              <w:spacing w:before="0" w:after="0"/>
              <w:rPr>
                <w:sz w:val="10"/>
                <w:szCs w:val="10"/>
                <w:lang w:val="fr-BE"/>
              </w:rPr>
            </w:pPr>
            <w:r w:rsidRPr="001C4484">
              <w:rPr>
                <w:noProof/>
                <w:sz w:val="10"/>
                <w:szCs w:val="10"/>
                <w:lang w:val="fr-BE"/>
              </w:rPr>
              <w:t>Słabiej rozwinięte</w:t>
            </w:r>
          </w:p>
        </w:tc>
        <w:tc>
          <w:tcPr>
            <w:tcW w:w="0" w:type="auto"/>
          </w:tcPr>
          <w:p w14:paraId="07A1941B"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5CBB8FA5" w14:textId="77777777" w:rsidR="008C5CFA" w:rsidRPr="001C4484" w:rsidRDefault="008C5CFA" w:rsidP="00300A01">
            <w:pPr>
              <w:spacing w:before="0" w:after="0"/>
              <w:jc w:val="right"/>
              <w:rPr>
                <w:sz w:val="10"/>
                <w:szCs w:val="10"/>
              </w:rPr>
            </w:pPr>
          </w:p>
        </w:tc>
        <w:tc>
          <w:tcPr>
            <w:tcW w:w="0" w:type="auto"/>
            <w:shd w:val="clear" w:color="auto" w:fill="auto"/>
          </w:tcPr>
          <w:p w14:paraId="2282A3DB" w14:textId="77777777" w:rsidR="008C5CFA" w:rsidRPr="001C4484" w:rsidRDefault="008C5CFA" w:rsidP="00300A01">
            <w:pPr>
              <w:spacing w:before="0" w:after="0"/>
              <w:jc w:val="right"/>
              <w:rPr>
                <w:sz w:val="10"/>
                <w:szCs w:val="10"/>
                <w:lang w:val="fr-BE"/>
              </w:rPr>
            </w:pPr>
          </w:p>
        </w:tc>
        <w:tc>
          <w:tcPr>
            <w:tcW w:w="0" w:type="auto"/>
          </w:tcPr>
          <w:p w14:paraId="08D4C627"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65C2857B" w14:textId="77777777" w:rsidR="008C5CFA" w:rsidRPr="001C4484" w:rsidRDefault="008C5CFA" w:rsidP="00300A01">
            <w:pPr>
              <w:spacing w:before="0" w:after="0"/>
              <w:jc w:val="right"/>
              <w:rPr>
                <w:sz w:val="10"/>
                <w:szCs w:val="10"/>
              </w:rPr>
            </w:pPr>
          </w:p>
        </w:tc>
        <w:tc>
          <w:tcPr>
            <w:tcW w:w="0" w:type="auto"/>
            <w:shd w:val="clear" w:color="auto" w:fill="auto"/>
          </w:tcPr>
          <w:p w14:paraId="7287AC2D" w14:textId="77777777" w:rsidR="008C5CFA" w:rsidRPr="001C4484" w:rsidRDefault="008C5CFA" w:rsidP="00300A01">
            <w:pPr>
              <w:spacing w:before="0" w:after="0"/>
              <w:jc w:val="right"/>
              <w:rPr>
                <w:sz w:val="10"/>
                <w:szCs w:val="10"/>
                <w:lang w:val="fr-BE"/>
              </w:rPr>
            </w:pPr>
          </w:p>
        </w:tc>
      </w:tr>
      <w:tr w:rsidR="006B2EC1" w14:paraId="3E6ABA32" w14:textId="77777777" w:rsidTr="0047688D">
        <w:tc>
          <w:tcPr>
            <w:tcW w:w="0" w:type="auto"/>
            <w:shd w:val="clear" w:color="auto" w:fill="auto"/>
          </w:tcPr>
          <w:p w14:paraId="4A1B03EF" w14:textId="77777777" w:rsidR="008C5CFA" w:rsidRPr="001C4484" w:rsidRDefault="008C5CFA" w:rsidP="00300A01">
            <w:pPr>
              <w:spacing w:before="0" w:after="0"/>
              <w:rPr>
                <w:sz w:val="10"/>
                <w:szCs w:val="10"/>
                <w:lang w:val="fr-BE"/>
              </w:rPr>
            </w:pPr>
          </w:p>
        </w:tc>
        <w:tc>
          <w:tcPr>
            <w:tcW w:w="0" w:type="auto"/>
            <w:shd w:val="clear" w:color="auto" w:fill="auto"/>
          </w:tcPr>
          <w:p w14:paraId="0972CD95" w14:textId="77777777" w:rsidR="008C5CFA" w:rsidRPr="001C4484" w:rsidRDefault="00E82A60" w:rsidP="00300A01">
            <w:pPr>
              <w:spacing w:before="0" w:after="0"/>
              <w:rPr>
                <w:sz w:val="10"/>
                <w:szCs w:val="10"/>
                <w:lang w:val="fr-BE"/>
              </w:rPr>
            </w:pPr>
            <w:r w:rsidRPr="001C4484">
              <w:rPr>
                <w:noProof/>
                <w:sz w:val="10"/>
                <w:szCs w:val="10"/>
                <w:lang w:val="fr-BE"/>
              </w:rPr>
              <w:t>Całkowita łączna liczba uczestników</w:t>
            </w:r>
          </w:p>
        </w:tc>
        <w:tc>
          <w:tcPr>
            <w:tcW w:w="0" w:type="auto"/>
            <w:shd w:val="clear" w:color="auto" w:fill="auto"/>
          </w:tcPr>
          <w:p w14:paraId="144573DF" w14:textId="77777777" w:rsidR="008C5CFA" w:rsidRPr="001C4484" w:rsidRDefault="008C5CFA" w:rsidP="00300A01">
            <w:pPr>
              <w:spacing w:before="0" w:after="0"/>
              <w:rPr>
                <w:sz w:val="10"/>
                <w:szCs w:val="10"/>
                <w:lang w:val="fr-BE"/>
              </w:rPr>
            </w:pPr>
          </w:p>
        </w:tc>
        <w:tc>
          <w:tcPr>
            <w:tcW w:w="0" w:type="auto"/>
          </w:tcPr>
          <w:p w14:paraId="477AE1F7"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503BA429" w14:textId="77777777" w:rsidR="008C5CFA" w:rsidRPr="001C4484" w:rsidRDefault="008C5CFA" w:rsidP="00300A01">
            <w:pPr>
              <w:spacing w:before="0" w:after="0"/>
              <w:jc w:val="right"/>
              <w:rPr>
                <w:sz w:val="10"/>
                <w:szCs w:val="10"/>
              </w:rPr>
            </w:pPr>
          </w:p>
        </w:tc>
        <w:tc>
          <w:tcPr>
            <w:tcW w:w="0" w:type="auto"/>
            <w:shd w:val="clear" w:color="auto" w:fill="auto"/>
          </w:tcPr>
          <w:p w14:paraId="1B159429" w14:textId="77777777" w:rsidR="008C5CFA" w:rsidRPr="001C4484" w:rsidRDefault="008C5CFA" w:rsidP="00300A01">
            <w:pPr>
              <w:spacing w:before="0" w:after="0"/>
              <w:jc w:val="right"/>
              <w:rPr>
                <w:sz w:val="10"/>
                <w:szCs w:val="10"/>
                <w:lang w:val="fr-BE"/>
              </w:rPr>
            </w:pPr>
          </w:p>
        </w:tc>
        <w:tc>
          <w:tcPr>
            <w:tcW w:w="0" w:type="auto"/>
          </w:tcPr>
          <w:p w14:paraId="25E1A583" w14:textId="77777777" w:rsidR="008C5CFA" w:rsidRPr="001C4484" w:rsidRDefault="00E82A60" w:rsidP="00300A01">
            <w:pPr>
              <w:spacing w:before="0" w:after="0"/>
              <w:jc w:val="right"/>
              <w:rPr>
                <w:sz w:val="10"/>
                <w:szCs w:val="10"/>
              </w:rPr>
            </w:pPr>
            <w:r>
              <w:rPr>
                <w:noProof/>
                <w:sz w:val="10"/>
                <w:szCs w:val="10"/>
              </w:rPr>
              <w:t>0,00</w:t>
            </w:r>
          </w:p>
        </w:tc>
        <w:tc>
          <w:tcPr>
            <w:tcW w:w="0" w:type="auto"/>
            <w:shd w:val="clear" w:color="auto" w:fill="auto"/>
          </w:tcPr>
          <w:p w14:paraId="5C976A68" w14:textId="77777777" w:rsidR="008C5CFA" w:rsidRPr="001C4484" w:rsidRDefault="008C5CFA" w:rsidP="00300A01">
            <w:pPr>
              <w:spacing w:before="0" w:after="0"/>
              <w:jc w:val="right"/>
              <w:rPr>
                <w:sz w:val="10"/>
                <w:szCs w:val="10"/>
              </w:rPr>
            </w:pPr>
          </w:p>
        </w:tc>
        <w:tc>
          <w:tcPr>
            <w:tcW w:w="0" w:type="auto"/>
            <w:shd w:val="clear" w:color="auto" w:fill="auto"/>
          </w:tcPr>
          <w:p w14:paraId="37D9ED20" w14:textId="77777777" w:rsidR="008C5CFA" w:rsidRPr="001C4484" w:rsidRDefault="008C5CFA" w:rsidP="00300A01">
            <w:pPr>
              <w:spacing w:before="0" w:after="0"/>
              <w:jc w:val="right"/>
              <w:rPr>
                <w:sz w:val="10"/>
                <w:szCs w:val="10"/>
                <w:lang w:val="fr-BE"/>
              </w:rPr>
            </w:pPr>
          </w:p>
        </w:tc>
      </w:tr>
    </w:tbl>
    <w:p w14:paraId="1F75D447" w14:textId="77777777" w:rsidR="008C5CFA" w:rsidRDefault="00E82A60" w:rsidP="00300A01">
      <w:pPr>
        <w:spacing w:before="0" w:after="0"/>
        <w:rPr>
          <w:lang w:val="fr-BE"/>
        </w:rPr>
      </w:pPr>
      <w:r>
        <w:rPr>
          <w:lang w:val="fr-BE"/>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5"/>
        <w:gridCol w:w="13239"/>
      </w:tblGrid>
      <w:tr w:rsidR="006B2EC1" w14:paraId="40ABBAD1" w14:textId="77777777" w:rsidTr="0047688D">
        <w:tc>
          <w:tcPr>
            <w:tcW w:w="0" w:type="auto"/>
            <w:shd w:val="clear" w:color="auto" w:fill="auto"/>
          </w:tcPr>
          <w:p w14:paraId="065D5F8B" w14:textId="77777777" w:rsidR="008C5CFA" w:rsidRPr="002124FC" w:rsidRDefault="00E82A60" w:rsidP="00300A01">
            <w:pPr>
              <w:spacing w:before="0" w:after="0"/>
              <w:rPr>
                <w:sz w:val="20"/>
                <w:szCs w:val="20"/>
                <w:lang w:val="fr-BE"/>
              </w:rPr>
            </w:pPr>
            <w:r>
              <w:rPr>
                <w:lang w:val="fr-BE"/>
              </w:rPr>
              <w:lastRenderedPageBreak/>
              <w:br w:type="page"/>
            </w:r>
            <w:r>
              <w:rPr>
                <w:lang w:val="fr-BE"/>
              </w:rPr>
              <w:br w:type="page"/>
            </w:r>
            <w:r w:rsidRPr="002124FC">
              <w:rPr>
                <w:noProof/>
                <w:sz w:val="20"/>
                <w:szCs w:val="20"/>
                <w:lang w:val="fr-BE"/>
              </w:rPr>
              <w:t>Oś priorytetowa</w:t>
            </w:r>
          </w:p>
        </w:tc>
        <w:tc>
          <w:tcPr>
            <w:tcW w:w="0" w:type="auto"/>
            <w:shd w:val="clear" w:color="auto" w:fill="auto"/>
          </w:tcPr>
          <w:p w14:paraId="4727105E" w14:textId="77777777" w:rsidR="008C5CFA" w:rsidRPr="002124FC" w:rsidRDefault="00E82A60" w:rsidP="00300A01">
            <w:pPr>
              <w:spacing w:before="0" w:after="0"/>
              <w:rPr>
                <w:sz w:val="20"/>
                <w:szCs w:val="20"/>
                <w:lang w:val="fr-BE"/>
              </w:rPr>
            </w:pPr>
            <w:r w:rsidRPr="002124FC">
              <w:rPr>
                <w:noProof/>
                <w:sz w:val="20"/>
                <w:szCs w:val="20"/>
                <w:lang w:val="fr-BE"/>
              </w:rPr>
              <w:t>9</w:t>
            </w:r>
            <w:r w:rsidRPr="002124FC">
              <w:rPr>
                <w:sz w:val="20"/>
                <w:szCs w:val="20"/>
                <w:lang w:val="fr-BE"/>
              </w:rPr>
              <w:t xml:space="preserve"> - </w:t>
            </w:r>
            <w:r w:rsidRPr="002124FC">
              <w:rPr>
                <w:noProof/>
                <w:sz w:val="20"/>
                <w:szCs w:val="20"/>
                <w:lang w:val="fr-BE"/>
              </w:rPr>
              <w:t>Włączenie społeczne i walka z ubóstwem</w:t>
            </w:r>
          </w:p>
        </w:tc>
      </w:tr>
      <w:tr w:rsidR="006B2EC1" w14:paraId="7D7B058C" w14:textId="77777777" w:rsidTr="0047688D">
        <w:tc>
          <w:tcPr>
            <w:tcW w:w="0" w:type="auto"/>
            <w:shd w:val="clear" w:color="auto" w:fill="auto"/>
          </w:tcPr>
          <w:p w14:paraId="172AC782" w14:textId="77777777" w:rsidR="008C5CFA" w:rsidRPr="002124FC" w:rsidRDefault="00E82A60"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14:paraId="5F348910" w14:textId="77777777" w:rsidR="008C5CFA" w:rsidRPr="002124FC" w:rsidRDefault="00E82A60" w:rsidP="00300A01">
            <w:pPr>
              <w:spacing w:before="0" w:after="0"/>
              <w:rPr>
                <w:sz w:val="20"/>
                <w:szCs w:val="20"/>
                <w:lang w:val="fr-BE"/>
              </w:rPr>
            </w:pPr>
            <w:r w:rsidRPr="002124FC">
              <w:rPr>
                <w:noProof/>
                <w:sz w:val="20"/>
                <w:szCs w:val="20"/>
                <w:lang w:val="fr-BE"/>
              </w:rPr>
              <w:t>9v</w:t>
            </w:r>
            <w:r w:rsidRPr="002124FC">
              <w:rPr>
                <w:sz w:val="20"/>
                <w:szCs w:val="20"/>
                <w:lang w:val="fr-BE"/>
              </w:rPr>
              <w:t xml:space="preserve"> - </w:t>
            </w:r>
            <w:r w:rsidRPr="002124FC">
              <w:rPr>
                <w:noProof/>
                <w:sz w:val="20"/>
                <w:szCs w:val="20"/>
                <w:lang w:val="fr-BE"/>
              </w:rPr>
              <w:t>Wspieranie przedsiębiorczości społecznej i integracji zawodowej w przedsiębiorstwach społecznych oraz ekonomii społecznej i solidarnej w celu ułatwiania dostępu do zatrudnienia</w:t>
            </w:r>
          </w:p>
        </w:tc>
      </w:tr>
    </w:tbl>
    <w:p w14:paraId="7390CAC9" w14:textId="77777777" w:rsidR="008C5CFA" w:rsidRDefault="008C5CFA" w:rsidP="00300A01">
      <w:pPr>
        <w:spacing w:before="0" w:after="0"/>
      </w:pPr>
    </w:p>
    <w:p w14:paraId="14C075D6" w14:textId="77777777" w:rsidR="008C5CFA" w:rsidRPr="008E457C" w:rsidRDefault="00E82A60" w:rsidP="00300A01">
      <w:pPr>
        <w:pStyle w:val="Nagwek2"/>
        <w:spacing w:before="0" w:after="0"/>
        <w:rPr>
          <w:b w:val="0"/>
        </w:rPr>
      </w:pPr>
      <w:bookmarkStart w:id="78" w:name="_Toc46391762"/>
      <w:r w:rsidRPr="008E457C">
        <w:rPr>
          <w:b w:val="0"/>
          <w:noProof/>
          <w:lang w:val="fr-BE"/>
        </w:rPr>
        <w:t>Tabela 4B Specyficzne dla programu wskaźniki produktu dla EFS oraz Inicjatywy na rzecz zatrudnienia ludzi młodych</w:t>
      </w:r>
      <w:r w:rsidR="009A51C8">
        <w:rPr>
          <w:b w:val="0"/>
        </w:rPr>
        <w:t xml:space="preserve"> - </w:t>
      </w:r>
      <w:r w:rsidR="009A51C8" w:rsidRPr="002124FC">
        <w:rPr>
          <w:noProof/>
          <w:sz w:val="20"/>
          <w:szCs w:val="20"/>
          <w:lang w:val="fr-BE"/>
        </w:rPr>
        <w:t>9</w:t>
      </w:r>
      <w:bookmarkEnd w:id="78"/>
    </w:p>
    <w:p w14:paraId="36754D1D" w14:textId="77777777" w:rsidR="008C5CFA" w:rsidRDefault="008C5CFA" w:rsidP="00300A01">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89"/>
        <w:gridCol w:w="5265"/>
        <w:gridCol w:w="1123"/>
        <w:gridCol w:w="1039"/>
        <w:gridCol w:w="582"/>
        <w:gridCol w:w="707"/>
        <w:gridCol w:w="568"/>
        <w:gridCol w:w="562"/>
        <w:gridCol w:w="707"/>
        <w:gridCol w:w="568"/>
        <w:gridCol w:w="562"/>
        <w:gridCol w:w="707"/>
        <w:gridCol w:w="568"/>
        <w:gridCol w:w="562"/>
        <w:gridCol w:w="707"/>
        <w:gridCol w:w="568"/>
      </w:tblGrid>
      <w:tr w:rsidR="006B2EC1" w14:paraId="707859C1" w14:textId="77777777" w:rsidTr="002A1502">
        <w:trPr>
          <w:tblHeader/>
        </w:trPr>
        <w:tc>
          <w:tcPr>
            <w:tcW w:w="0" w:type="auto"/>
            <w:shd w:val="clear" w:color="auto" w:fill="auto"/>
          </w:tcPr>
          <w:p w14:paraId="4D1C181E" w14:textId="77777777" w:rsidR="008C5CFA" w:rsidRPr="00A92B39" w:rsidRDefault="00E82A60" w:rsidP="00300A01">
            <w:pPr>
              <w:spacing w:before="0" w:after="0"/>
              <w:rPr>
                <w:b/>
                <w:sz w:val="10"/>
                <w:szCs w:val="10"/>
                <w:lang w:val="fr-BE"/>
              </w:rPr>
            </w:pPr>
            <w:r w:rsidRPr="00A92B39">
              <w:rPr>
                <w:b/>
                <w:noProof/>
                <w:sz w:val="10"/>
                <w:szCs w:val="10"/>
                <w:lang w:val="fr-BE"/>
              </w:rPr>
              <w:t>ID</w:t>
            </w:r>
          </w:p>
        </w:tc>
        <w:tc>
          <w:tcPr>
            <w:tcW w:w="0" w:type="auto"/>
            <w:shd w:val="clear" w:color="auto" w:fill="auto"/>
          </w:tcPr>
          <w:p w14:paraId="49D614C9" w14:textId="77777777" w:rsidR="008C5CFA" w:rsidRPr="00A92B39" w:rsidRDefault="00E82A60" w:rsidP="00300A01">
            <w:pPr>
              <w:spacing w:before="0" w:after="0"/>
              <w:rPr>
                <w:b/>
                <w:sz w:val="10"/>
                <w:szCs w:val="10"/>
                <w:lang w:val="fr-BE"/>
              </w:rPr>
            </w:pPr>
            <w:r w:rsidRPr="00A92B39">
              <w:rPr>
                <w:b/>
                <w:noProof/>
                <w:sz w:val="10"/>
                <w:szCs w:val="10"/>
                <w:lang w:val="fr-BE"/>
              </w:rPr>
              <w:t>Wskaźnik</w:t>
            </w:r>
          </w:p>
        </w:tc>
        <w:tc>
          <w:tcPr>
            <w:tcW w:w="0" w:type="auto"/>
            <w:shd w:val="clear" w:color="auto" w:fill="auto"/>
          </w:tcPr>
          <w:p w14:paraId="34E82D59" w14:textId="77777777" w:rsidR="008C5CFA" w:rsidRPr="00A92B39" w:rsidRDefault="00E82A60" w:rsidP="00300A01">
            <w:pPr>
              <w:spacing w:before="0" w:after="0"/>
              <w:rPr>
                <w:b/>
                <w:sz w:val="10"/>
                <w:szCs w:val="10"/>
                <w:lang w:val="fr-BE"/>
              </w:rPr>
            </w:pPr>
            <w:r w:rsidRPr="00A92B39">
              <w:rPr>
                <w:b/>
                <w:noProof/>
                <w:sz w:val="10"/>
                <w:szCs w:val="10"/>
                <w:lang w:val="fr-BE"/>
              </w:rPr>
              <w:t>Kategoria regionu</w:t>
            </w:r>
          </w:p>
        </w:tc>
        <w:tc>
          <w:tcPr>
            <w:tcW w:w="0" w:type="auto"/>
          </w:tcPr>
          <w:p w14:paraId="4A20905D" w14:textId="77777777" w:rsidR="008C5CFA" w:rsidRPr="00A92B39" w:rsidRDefault="00E82A60" w:rsidP="00300A01">
            <w:pPr>
              <w:spacing w:before="0" w:after="0"/>
              <w:jc w:val="center"/>
              <w:rPr>
                <w:b/>
                <w:sz w:val="10"/>
                <w:szCs w:val="10"/>
                <w:lang w:val="fr-BE"/>
              </w:rPr>
            </w:pPr>
            <w:r w:rsidRPr="00A92B39">
              <w:rPr>
                <w:b/>
                <w:noProof/>
                <w:sz w:val="10"/>
                <w:szCs w:val="10"/>
                <w:lang w:val="fr-BE"/>
              </w:rPr>
              <w:t>Jednostka miary</w:t>
            </w:r>
          </w:p>
        </w:tc>
        <w:tc>
          <w:tcPr>
            <w:tcW w:w="0" w:type="auto"/>
            <w:gridSpan w:val="3"/>
            <w:shd w:val="clear" w:color="auto" w:fill="auto"/>
          </w:tcPr>
          <w:p w14:paraId="5E4F223D" w14:textId="77777777" w:rsidR="008C5CFA" w:rsidRPr="00A92B39" w:rsidRDefault="00E82A60" w:rsidP="00300A01">
            <w:pPr>
              <w:spacing w:before="0" w:after="0"/>
              <w:jc w:val="center"/>
              <w:rPr>
                <w:b/>
                <w:sz w:val="10"/>
                <w:szCs w:val="10"/>
                <w:lang w:val="fr-BE"/>
              </w:rPr>
            </w:pPr>
            <w:r w:rsidRPr="00A92B39">
              <w:rPr>
                <w:b/>
                <w:noProof/>
                <w:sz w:val="10"/>
                <w:szCs w:val="10"/>
                <w:lang w:val="fr-BE"/>
              </w:rPr>
              <w:t>Wartość docelowa (2023)</w:t>
            </w:r>
          </w:p>
        </w:tc>
        <w:tc>
          <w:tcPr>
            <w:tcW w:w="0" w:type="auto"/>
            <w:gridSpan w:val="3"/>
            <w:shd w:val="clear" w:color="auto" w:fill="auto"/>
          </w:tcPr>
          <w:p w14:paraId="1CE171ED" w14:textId="77777777" w:rsidR="008C5CFA" w:rsidRPr="00A92B39" w:rsidRDefault="00E82A60" w:rsidP="00300A01">
            <w:pPr>
              <w:spacing w:before="0" w:after="0"/>
              <w:jc w:val="center"/>
              <w:rPr>
                <w:b/>
                <w:sz w:val="10"/>
                <w:szCs w:val="10"/>
                <w:lang w:val="fr-BE"/>
              </w:rPr>
            </w:pPr>
            <w:r w:rsidRPr="00A92B39">
              <w:rPr>
                <w:b/>
                <w:noProof/>
                <w:sz w:val="10"/>
                <w:szCs w:val="10"/>
                <w:lang w:val="fr-BE"/>
              </w:rPr>
              <w:t>Wartość skumulowana</w:t>
            </w:r>
          </w:p>
        </w:tc>
        <w:tc>
          <w:tcPr>
            <w:tcW w:w="0" w:type="auto"/>
            <w:gridSpan w:val="3"/>
            <w:shd w:val="clear" w:color="auto" w:fill="auto"/>
          </w:tcPr>
          <w:p w14:paraId="0FDC5CEE" w14:textId="77777777" w:rsidR="008C5CFA" w:rsidRPr="00A92B39" w:rsidRDefault="00E82A60" w:rsidP="00300A01">
            <w:pPr>
              <w:spacing w:before="0" w:after="0"/>
              <w:jc w:val="center"/>
              <w:rPr>
                <w:b/>
                <w:sz w:val="10"/>
                <w:szCs w:val="10"/>
                <w:lang w:val="fr-BE"/>
              </w:rPr>
            </w:pPr>
            <w:r w:rsidRPr="00A92B39">
              <w:rPr>
                <w:b/>
                <w:noProof/>
                <w:sz w:val="10"/>
                <w:szCs w:val="10"/>
                <w:lang w:val="fr-BE"/>
              </w:rPr>
              <w:t>Wskaźnik osiągnięć</w:t>
            </w:r>
          </w:p>
        </w:tc>
        <w:tc>
          <w:tcPr>
            <w:tcW w:w="0" w:type="auto"/>
            <w:gridSpan w:val="3"/>
          </w:tcPr>
          <w:p w14:paraId="13E5C30C" w14:textId="77777777" w:rsidR="008C5CFA" w:rsidRPr="00A92B39" w:rsidRDefault="00E82A60" w:rsidP="00300A01">
            <w:pPr>
              <w:spacing w:before="0" w:after="0"/>
              <w:jc w:val="center"/>
              <w:rPr>
                <w:b/>
                <w:sz w:val="10"/>
                <w:szCs w:val="10"/>
                <w:lang w:val="fr-BE"/>
              </w:rPr>
            </w:pPr>
            <w:r w:rsidRPr="00A92B39">
              <w:rPr>
                <w:bCs/>
                <w:sz w:val="10"/>
                <w:szCs w:val="10"/>
                <w:lang w:val="en-US"/>
              </w:rPr>
              <w:t>2019</w:t>
            </w:r>
          </w:p>
        </w:tc>
      </w:tr>
      <w:tr w:rsidR="006B2EC1" w14:paraId="4870B400" w14:textId="77777777" w:rsidTr="002A1502">
        <w:trPr>
          <w:tblHeader/>
        </w:trPr>
        <w:tc>
          <w:tcPr>
            <w:tcW w:w="0" w:type="auto"/>
            <w:shd w:val="clear" w:color="auto" w:fill="auto"/>
          </w:tcPr>
          <w:p w14:paraId="54183C5F" w14:textId="77777777" w:rsidR="008C5CFA" w:rsidRPr="00A92B39" w:rsidRDefault="008C5CFA" w:rsidP="00300A01">
            <w:pPr>
              <w:spacing w:before="0" w:after="0"/>
              <w:rPr>
                <w:b/>
                <w:sz w:val="10"/>
                <w:szCs w:val="10"/>
                <w:lang w:val="fr-BE"/>
              </w:rPr>
            </w:pPr>
          </w:p>
        </w:tc>
        <w:tc>
          <w:tcPr>
            <w:tcW w:w="0" w:type="auto"/>
            <w:shd w:val="clear" w:color="auto" w:fill="auto"/>
          </w:tcPr>
          <w:p w14:paraId="40D0DAB5" w14:textId="77777777" w:rsidR="008C5CFA" w:rsidRPr="00A92B39" w:rsidRDefault="008C5CFA" w:rsidP="00300A01">
            <w:pPr>
              <w:spacing w:before="0" w:after="0"/>
              <w:rPr>
                <w:b/>
                <w:sz w:val="10"/>
                <w:szCs w:val="10"/>
                <w:lang w:val="fr-BE"/>
              </w:rPr>
            </w:pPr>
          </w:p>
        </w:tc>
        <w:tc>
          <w:tcPr>
            <w:tcW w:w="0" w:type="auto"/>
            <w:shd w:val="clear" w:color="auto" w:fill="auto"/>
          </w:tcPr>
          <w:p w14:paraId="2763358F" w14:textId="77777777" w:rsidR="008C5CFA" w:rsidRPr="00A92B39" w:rsidRDefault="008C5CFA" w:rsidP="00300A01">
            <w:pPr>
              <w:spacing w:before="0" w:after="0"/>
              <w:rPr>
                <w:b/>
                <w:sz w:val="10"/>
                <w:szCs w:val="10"/>
                <w:lang w:val="fr-BE"/>
              </w:rPr>
            </w:pPr>
          </w:p>
        </w:tc>
        <w:tc>
          <w:tcPr>
            <w:tcW w:w="0" w:type="auto"/>
          </w:tcPr>
          <w:p w14:paraId="240A86B1" w14:textId="77777777" w:rsidR="008C5CFA" w:rsidRPr="00A92B39" w:rsidRDefault="008C5CFA" w:rsidP="00300A01">
            <w:pPr>
              <w:spacing w:before="0" w:after="0"/>
              <w:jc w:val="center"/>
              <w:rPr>
                <w:b/>
                <w:sz w:val="10"/>
                <w:szCs w:val="10"/>
                <w:lang w:val="fr-BE"/>
              </w:rPr>
            </w:pPr>
          </w:p>
        </w:tc>
        <w:tc>
          <w:tcPr>
            <w:tcW w:w="0" w:type="auto"/>
            <w:shd w:val="clear" w:color="auto" w:fill="auto"/>
          </w:tcPr>
          <w:p w14:paraId="42DE02AD" w14:textId="77777777" w:rsidR="008C5CFA" w:rsidRPr="00A92B39" w:rsidRDefault="00E82A60" w:rsidP="00300A01">
            <w:pPr>
              <w:spacing w:before="0" w:after="0"/>
              <w:jc w:val="center"/>
              <w:rPr>
                <w:b/>
                <w:sz w:val="10"/>
                <w:szCs w:val="10"/>
                <w:lang w:val="fr-BE"/>
              </w:rPr>
            </w:pPr>
            <w:r w:rsidRPr="00A92B39">
              <w:rPr>
                <w:b/>
                <w:noProof/>
                <w:sz w:val="10"/>
                <w:szCs w:val="10"/>
                <w:lang w:val="fr-BE"/>
              </w:rPr>
              <w:t>Ogółem</w:t>
            </w:r>
          </w:p>
        </w:tc>
        <w:tc>
          <w:tcPr>
            <w:tcW w:w="0" w:type="auto"/>
            <w:shd w:val="clear" w:color="auto" w:fill="auto"/>
          </w:tcPr>
          <w:p w14:paraId="5A198089" w14:textId="77777777" w:rsidR="008C5CFA" w:rsidRPr="00A92B39" w:rsidRDefault="00E82A60" w:rsidP="00300A01">
            <w:pPr>
              <w:spacing w:before="0" w:after="0"/>
              <w:jc w:val="center"/>
              <w:rPr>
                <w:b/>
                <w:sz w:val="10"/>
                <w:szCs w:val="10"/>
                <w:lang w:val="fr-BE"/>
              </w:rPr>
            </w:pPr>
            <w:r w:rsidRPr="00A92B39">
              <w:rPr>
                <w:b/>
                <w:noProof/>
                <w:sz w:val="10"/>
                <w:szCs w:val="10"/>
                <w:lang w:val="fr-BE"/>
              </w:rPr>
              <w:t>Mężczyźni</w:t>
            </w:r>
          </w:p>
        </w:tc>
        <w:tc>
          <w:tcPr>
            <w:tcW w:w="0" w:type="auto"/>
            <w:shd w:val="clear" w:color="auto" w:fill="auto"/>
          </w:tcPr>
          <w:p w14:paraId="1F64F1DF" w14:textId="77777777" w:rsidR="008C5CFA" w:rsidRPr="00A92B39" w:rsidRDefault="00E82A60" w:rsidP="00300A01">
            <w:pPr>
              <w:spacing w:before="0" w:after="0"/>
              <w:jc w:val="center"/>
              <w:rPr>
                <w:b/>
                <w:sz w:val="10"/>
                <w:szCs w:val="10"/>
                <w:lang w:val="fr-BE"/>
              </w:rPr>
            </w:pPr>
            <w:r w:rsidRPr="00A92B39">
              <w:rPr>
                <w:b/>
                <w:noProof/>
                <w:sz w:val="10"/>
                <w:szCs w:val="10"/>
                <w:lang w:val="fr-BE"/>
              </w:rPr>
              <w:t>Kobiety</w:t>
            </w:r>
          </w:p>
        </w:tc>
        <w:tc>
          <w:tcPr>
            <w:tcW w:w="0" w:type="auto"/>
            <w:shd w:val="clear" w:color="auto" w:fill="auto"/>
          </w:tcPr>
          <w:p w14:paraId="7E9FB347" w14:textId="77777777" w:rsidR="008C5CFA" w:rsidRPr="00A92B39" w:rsidRDefault="00E82A60" w:rsidP="00300A01">
            <w:pPr>
              <w:spacing w:before="0" w:after="0"/>
              <w:jc w:val="center"/>
              <w:rPr>
                <w:b/>
                <w:sz w:val="10"/>
                <w:szCs w:val="10"/>
                <w:lang w:val="fr-BE"/>
              </w:rPr>
            </w:pPr>
            <w:r w:rsidRPr="00A92B39">
              <w:rPr>
                <w:b/>
                <w:noProof/>
                <w:sz w:val="10"/>
                <w:szCs w:val="10"/>
                <w:lang w:val="fr-BE"/>
              </w:rPr>
              <w:t>Ogółem</w:t>
            </w:r>
          </w:p>
        </w:tc>
        <w:tc>
          <w:tcPr>
            <w:tcW w:w="0" w:type="auto"/>
            <w:shd w:val="clear" w:color="auto" w:fill="auto"/>
          </w:tcPr>
          <w:p w14:paraId="4FAD9EA2" w14:textId="77777777" w:rsidR="008C5CFA" w:rsidRPr="00A92B39" w:rsidRDefault="00E82A60" w:rsidP="00300A01">
            <w:pPr>
              <w:spacing w:before="0" w:after="0"/>
              <w:jc w:val="center"/>
              <w:rPr>
                <w:b/>
                <w:sz w:val="10"/>
                <w:szCs w:val="10"/>
                <w:lang w:val="fr-BE"/>
              </w:rPr>
            </w:pPr>
            <w:r w:rsidRPr="00A92B39">
              <w:rPr>
                <w:b/>
                <w:noProof/>
                <w:sz w:val="10"/>
                <w:szCs w:val="10"/>
                <w:lang w:val="fr-BE"/>
              </w:rPr>
              <w:t>Mężczyźni</w:t>
            </w:r>
          </w:p>
        </w:tc>
        <w:tc>
          <w:tcPr>
            <w:tcW w:w="0" w:type="auto"/>
            <w:shd w:val="clear" w:color="auto" w:fill="auto"/>
          </w:tcPr>
          <w:p w14:paraId="52AB7FCC" w14:textId="77777777" w:rsidR="008C5CFA" w:rsidRPr="00A92B39" w:rsidRDefault="00E82A60" w:rsidP="00300A01">
            <w:pPr>
              <w:spacing w:before="0" w:after="0"/>
              <w:jc w:val="center"/>
              <w:rPr>
                <w:b/>
                <w:sz w:val="10"/>
                <w:szCs w:val="10"/>
                <w:lang w:val="fr-BE"/>
              </w:rPr>
            </w:pPr>
            <w:r w:rsidRPr="00A92B39">
              <w:rPr>
                <w:b/>
                <w:noProof/>
                <w:sz w:val="10"/>
                <w:szCs w:val="10"/>
                <w:lang w:val="fr-BE"/>
              </w:rPr>
              <w:t>Kobiety</w:t>
            </w:r>
          </w:p>
        </w:tc>
        <w:tc>
          <w:tcPr>
            <w:tcW w:w="0" w:type="auto"/>
            <w:shd w:val="clear" w:color="auto" w:fill="auto"/>
          </w:tcPr>
          <w:p w14:paraId="185291E0" w14:textId="77777777" w:rsidR="008C5CFA" w:rsidRPr="00A92B39" w:rsidRDefault="00E82A60" w:rsidP="00300A01">
            <w:pPr>
              <w:spacing w:before="0" w:after="0"/>
              <w:jc w:val="center"/>
              <w:rPr>
                <w:b/>
                <w:sz w:val="10"/>
                <w:szCs w:val="10"/>
                <w:lang w:val="fr-BE"/>
              </w:rPr>
            </w:pPr>
            <w:r w:rsidRPr="00A92B39">
              <w:rPr>
                <w:b/>
                <w:noProof/>
                <w:sz w:val="10"/>
                <w:szCs w:val="10"/>
                <w:lang w:val="fr-BE"/>
              </w:rPr>
              <w:t>Ogółem</w:t>
            </w:r>
          </w:p>
        </w:tc>
        <w:tc>
          <w:tcPr>
            <w:tcW w:w="0" w:type="auto"/>
            <w:shd w:val="clear" w:color="auto" w:fill="auto"/>
          </w:tcPr>
          <w:p w14:paraId="32B2ECE8" w14:textId="77777777" w:rsidR="008C5CFA" w:rsidRPr="00A92B39" w:rsidRDefault="00E82A60" w:rsidP="00300A01">
            <w:pPr>
              <w:spacing w:before="0" w:after="0"/>
              <w:jc w:val="center"/>
              <w:rPr>
                <w:b/>
                <w:sz w:val="10"/>
                <w:szCs w:val="10"/>
                <w:lang w:val="fr-BE"/>
              </w:rPr>
            </w:pPr>
            <w:r w:rsidRPr="00A92B39">
              <w:rPr>
                <w:b/>
                <w:noProof/>
                <w:sz w:val="10"/>
                <w:szCs w:val="10"/>
                <w:lang w:val="fr-BE"/>
              </w:rPr>
              <w:t>Mężczyźni</w:t>
            </w:r>
          </w:p>
        </w:tc>
        <w:tc>
          <w:tcPr>
            <w:tcW w:w="0" w:type="auto"/>
            <w:shd w:val="clear" w:color="auto" w:fill="auto"/>
          </w:tcPr>
          <w:p w14:paraId="15375268" w14:textId="77777777" w:rsidR="008C5CFA" w:rsidRPr="00A92B39" w:rsidRDefault="00E82A60" w:rsidP="00300A01">
            <w:pPr>
              <w:spacing w:before="0" w:after="0"/>
              <w:jc w:val="center"/>
              <w:rPr>
                <w:b/>
                <w:sz w:val="10"/>
                <w:szCs w:val="10"/>
                <w:lang w:val="fr-BE"/>
              </w:rPr>
            </w:pPr>
            <w:r w:rsidRPr="00A92B39">
              <w:rPr>
                <w:b/>
                <w:noProof/>
                <w:sz w:val="10"/>
                <w:szCs w:val="10"/>
                <w:lang w:val="fr-BE"/>
              </w:rPr>
              <w:t>Kobiety</w:t>
            </w:r>
          </w:p>
        </w:tc>
        <w:tc>
          <w:tcPr>
            <w:tcW w:w="0" w:type="auto"/>
          </w:tcPr>
          <w:p w14:paraId="06611642" w14:textId="77777777" w:rsidR="008C5CFA" w:rsidRPr="00A92B39" w:rsidRDefault="00E82A60" w:rsidP="00300A01">
            <w:pPr>
              <w:spacing w:before="0" w:after="0"/>
              <w:jc w:val="center"/>
              <w:rPr>
                <w:b/>
                <w:sz w:val="10"/>
                <w:szCs w:val="10"/>
                <w:lang w:val="fr-BE"/>
              </w:rPr>
            </w:pPr>
            <w:r w:rsidRPr="00A92B39">
              <w:rPr>
                <w:b/>
                <w:noProof/>
                <w:sz w:val="10"/>
                <w:szCs w:val="10"/>
                <w:lang w:val="fr-BE"/>
              </w:rPr>
              <w:t>Ogółem</w:t>
            </w:r>
          </w:p>
        </w:tc>
        <w:tc>
          <w:tcPr>
            <w:tcW w:w="0" w:type="auto"/>
            <w:shd w:val="clear" w:color="auto" w:fill="auto"/>
          </w:tcPr>
          <w:p w14:paraId="559F9779" w14:textId="77777777" w:rsidR="008C5CFA" w:rsidRPr="00A92B39" w:rsidRDefault="00E82A60" w:rsidP="00300A01">
            <w:pPr>
              <w:spacing w:before="0" w:after="0"/>
              <w:jc w:val="center"/>
              <w:rPr>
                <w:b/>
                <w:sz w:val="10"/>
                <w:szCs w:val="10"/>
                <w:lang w:val="fr-BE"/>
              </w:rPr>
            </w:pPr>
            <w:r w:rsidRPr="00A92B39">
              <w:rPr>
                <w:b/>
                <w:noProof/>
                <w:sz w:val="10"/>
                <w:szCs w:val="10"/>
                <w:lang w:val="fr-BE"/>
              </w:rPr>
              <w:t>Mężczyźni</w:t>
            </w:r>
          </w:p>
        </w:tc>
        <w:tc>
          <w:tcPr>
            <w:tcW w:w="0" w:type="auto"/>
            <w:shd w:val="clear" w:color="auto" w:fill="auto"/>
          </w:tcPr>
          <w:p w14:paraId="6682F152" w14:textId="77777777" w:rsidR="008C5CFA" w:rsidRPr="00A92B39" w:rsidRDefault="00E82A60" w:rsidP="00300A01">
            <w:pPr>
              <w:spacing w:before="0" w:after="0"/>
              <w:jc w:val="center"/>
              <w:rPr>
                <w:b/>
                <w:sz w:val="10"/>
                <w:szCs w:val="10"/>
                <w:lang w:val="fr-BE"/>
              </w:rPr>
            </w:pPr>
            <w:r w:rsidRPr="00A92B39">
              <w:rPr>
                <w:b/>
                <w:noProof/>
                <w:sz w:val="10"/>
                <w:szCs w:val="10"/>
                <w:lang w:val="fr-BE"/>
              </w:rPr>
              <w:t>Kobiety</w:t>
            </w:r>
          </w:p>
        </w:tc>
      </w:tr>
      <w:tr w:rsidR="006B2EC1" w14:paraId="2028BB13" w14:textId="77777777" w:rsidTr="002A1502">
        <w:tc>
          <w:tcPr>
            <w:tcW w:w="0" w:type="auto"/>
            <w:shd w:val="clear" w:color="auto" w:fill="auto"/>
          </w:tcPr>
          <w:p w14:paraId="26B63C58" w14:textId="77777777" w:rsidR="008C5CFA" w:rsidRPr="00A92B39" w:rsidRDefault="00E82A60" w:rsidP="00300A01">
            <w:pPr>
              <w:spacing w:before="0" w:after="0"/>
              <w:rPr>
                <w:sz w:val="10"/>
                <w:szCs w:val="10"/>
                <w:lang w:val="fr-BE"/>
              </w:rPr>
            </w:pPr>
            <w:r w:rsidRPr="00A92B39">
              <w:rPr>
                <w:noProof/>
                <w:sz w:val="10"/>
                <w:szCs w:val="10"/>
                <w:lang w:val="fr-BE"/>
              </w:rPr>
              <w:t>014a</w:t>
            </w:r>
          </w:p>
        </w:tc>
        <w:tc>
          <w:tcPr>
            <w:tcW w:w="0" w:type="auto"/>
            <w:shd w:val="clear" w:color="auto" w:fill="auto"/>
          </w:tcPr>
          <w:p w14:paraId="3835B55D" w14:textId="77777777" w:rsidR="008C5CFA" w:rsidRPr="00A92B39" w:rsidRDefault="00E82A60" w:rsidP="00300A01">
            <w:pPr>
              <w:spacing w:before="0" w:after="0"/>
              <w:rPr>
                <w:sz w:val="10"/>
                <w:szCs w:val="10"/>
                <w:lang w:val="fr-BE"/>
              </w:rPr>
            </w:pPr>
            <w:r w:rsidRPr="00A92B39">
              <w:rPr>
                <w:noProof/>
                <w:sz w:val="10"/>
                <w:szCs w:val="10"/>
                <w:lang w:val="fr-BE"/>
              </w:rPr>
              <w:t>Liczba osób zagrożonych ubóstwem lub wykluczeniem społecznym objętych wsparciem w programie</w:t>
            </w:r>
          </w:p>
        </w:tc>
        <w:tc>
          <w:tcPr>
            <w:tcW w:w="0" w:type="auto"/>
            <w:shd w:val="clear" w:color="auto" w:fill="auto"/>
          </w:tcPr>
          <w:p w14:paraId="7F7B8FDE" w14:textId="77777777" w:rsidR="008C5CFA" w:rsidRPr="00A92B39" w:rsidRDefault="00E82A60" w:rsidP="00300A01">
            <w:pPr>
              <w:spacing w:before="0" w:after="0"/>
              <w:rPr>
                <w:sz w:val="10"/>
                <w:szCs w:val="10"/>
                <w:lang w:val="fr-BE"/>
              </w:rPr>
            </w:pPr>
            <w:r w:rsidRPr="00A92B39">
              <w:rPr>
                <w:noProof/>
                <w:sz w:val="10"/>
                <w:szCs w:val="10"/>
                <w:lang w:val="fr-BE"/>
              </w:rPr>
              <w:t>Słabiej rozwinięte</w:t>
            </w:r>
          </w:p>
        </w:tc>
        <w:tc>
          <w:tcPr>
            <w:tcW w:w="0" w:type="auto"/>
          </w:tcPr>
          <w:p w14:paraId="424B24BF" w14:textId="77777777" w:rsidR="008C5CFA" w:rsidRPr="00A92B39" w:rsidRDefault="00E82A60" w:rsidP="00300A01">
            <w:pPr>
              <w:spacing w:before="0" w:after="0"/>
              <w:rPr>
                <w:sz w:val="10"/>
                <w:szCs w:val="10"/>
                <w:lang w:val="fr-BE"/>
              </w:rPr>
            </w:pPr>
            <w:r w:rsidRPr="00A92B39">
              <w:rPr>
                <w:noProof/>
                <w:sz w:val="10"/>
                <w:szCs w:val="10"/>
                <w:lang w:val="fr-BE"/>
              </w:rPr>
              <w:t>osoby</w:t>
            </w:r>
          </w:p>
        </w:tc>
        <w:tc>
          <w:tcPr>
            <w:tcW w:w="0" w:type="auto"/>
            <w:shd w:val="clear" w:color="auto" w:fill="auto"/>
          </w:tcPr>
          <w:p w14:paraId="57CD78D8" w14:textId="77777777" w:rsidR="008C5CFA" w:rsidRPr="00A92B39" w:rsidRDefault="00E82A60" w:rsidP="00300A01">
            <w:pPr>
              <w:spacing w:before="0" w:after="0"/>
              <w:jc w:val="right"/>
              <w:rPr>
                <w:sz w:val="10"/>
                <w:szCs w:val="10"/>
                <w:lang w:val="fr-BE"/>
              </w:rPr>
            </w:pPr>
            <w:r w:rsidRPr="00A92B39">
              <w:rPr>
                <w:noProof/>
                <w:sz w:val="10"/>
                <w:szCs w:val="10"/>
                <w:lang w:val="fr-BE"/>
              </w:rPr>
              <w:t>1 179,00</w:t>
            </w:r>
          </w:p>
        </w:tc>
        <w:tc>
          <w:tcPr>
            <w:tcW w:w="0" w:type="auto"/>
            <w:shd w:val="clear" w:color="auto" w:fill="auto"/>
          </w:tcPr>
          <w:p w14:paraId="00A1DEEC" w14:textId="77777777" w:rsidR="008C5CFA" w:rsidRPr="00A92B39" w:rsidRDefault="008C5CFA" w:rsidP="00300A01">
            <w:pPr>
              <w:spacing w:before="0" w:after="0"/>
              <w:jc w:val="right"/>
              <w:rPr>
                <w:sz w:val="10"/>
                <w:szCs w:val="10"/>
                <w:lang w:val="fr-BE"/>
              </w:rPr>
            </w:pPr>
          </w:p>
        </w:tc>
        <w:tc>
          <w:tcPr>
            <w:tcW w:w="0" w:type="auto"/>
            <w:shd w:val="clear" w:color="auto" w:fill="auto"/>
          </w:tcPr>
          <w:p w14:paraId="5CF1BF27" w14:textId="77777777" w:rsidR="008C5CFA" w:rsidRPr="00A92B39" w:rsidRDefault="008C5CFA" w:rsidP="00300A01">
            <w:pPr>
              <w:spacing w:before="0" w:after="0"/>
              <w:jc w:val="right"/>
              <w:rPr>
                <w:sz w:val="10"/>
                <w:szCs w:val="10"/>
                <w:lang w:val="fr-BE"/>
              </w:rPr>
            </w:pPr>
          </w:p>
        </w:tc>
        <w:tc>
          <w:tcPr>
            <w:tcW w:w="0" w:type="auto"/>
            <w:shd w:val="clear" w:color="auto" w:fill="auto"/>
          </w:tcPr>
          <w:p w14:paraId="413F1695" w14:textId="77777777" w:rsidR="008C5CFA" w:rsidRPr="00A92B39" w:rsidRDefault="00E82A60" w:rsidP="00300A01">
            <w:pPr>
              <w:spacing w:before="0" w:after="0"/>
              <w:jc w:val="right"/>
              <w:rPr>
                <w:sz w:val="10"/>
                <w:szCs w:val="10"/>
                <w:lang w:val="fr-BE"/>
              </w:rPr>
            </w:pPr>
            <w:r w:rsidRPr="00A92B39">
              <w:rPr>
                <w:noProof/>
                <w:sz w:val="10"/>
                <w:szCs w:val="10"/>
                <w:lang w:val="fr-BE"/>
              </w:rPr>
              <w:t>484,00</w:t>
            </w:r>
          </w:p>
        </w:tc>
        <w:tc>
          <w:tcPr>
            <w:tcW w:w="0" w:type="auto"/>
            <w:shd w:val="clear" w:color="auto" w:fill="auto"/>
          </w:tcPr>
          <w:p w14:paraId="2C522826"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14:paraId="66DB015C"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14:paraId="7AD0122A" w14:textId="77777777" w:rsidR="008C5CFA" w:rsidRPr="00A92B39" w:rsidRDefault="00E82A60" w:rsidP="00300A01">
            <w:pPr>
              <w:spacing w:before="0" w:after="0"/>
              <w:jc w:val="right"/>
              <w:rPr>
                <w:sz w:val="10"/>
                <w:szCs w:val="10"/>
                <w:lang w:val="fr-BE"/>
              </w:rPr>
            </w:pPr>
            <w:r>
              <w:rPr>
                <w:noProof/>
                <w:sz w:val="10"/>
                <w:szCs w:val="10"/>
                <w:lang w:val="fr-BE"/>
              </w:rPr>
              <w:t>0,41</w:t>
            </w:r>
          </w:p>
        </w:tc>
        <w:tc>
          <w:tcPr>
            <w:tcW w:w="0" w:type="auto"/>
            <w:shd w:val="clear" w:color="auto" w:fill="auto"/>
          </w:tcPr>
          <w:p w14:paraId="1B55DD1B" w14:textId="77777777" w:rsidR="008C5CFA" w:rsidRPr="00A92B39" w:rsidRDefault="008C5CFA" w:rsidP="00300A01">
            <w:pPr>
              <w:spacing w:before="0" w:after="0"/>
              <w:jc w:val="right"/>
              <w:rPr>
                <w:sz w:val="10"/>
                <w:szCs w:val="10"/>
                <w:lang w:val="fr-BE"/>
              </w:rPr>
            </w:pPr>
          </w:p>
        </w:tc>
        <w:tc>
          <w:tcPr>
            <w:tcW w:w="0" w:type="auto"/>
            <w:shd w:val="clear" w:color="auto" w:fill="auto"/>
          </w:tcPr>
          <w:p w14:paraId="4810146C" w14:textId="77777777" w:rsidR="008C5CFA" w:rsidRPr="00A92B39" w:rsidRDefault="008C5CFA" w:rsidP="00300A01">
            <w:pPr>
              <w:spacing w:before="0" w:after="0"/>
              <w:jc w:val="right"/>
              <w:rPr>
                <w:sz w:val="10"/>
                <w:szCs w:val="10"/>
                <w:lang w:val="fr-BE"/>
              </w:rPr>
            </w:pPr>
          </w:p>
        </w:tc>
        <w:tc>
          <w:tcPr>
            <w:tcW w:w="0" w:type="auto"/>
          </w:tcPr>
          <w:p w14:paraId="2BEC553E" w14:textId="77777777" w:rsidR="008C5CFA" w:rsidRPr="00A92B39" w:rsidRDefault="00E82A60" w:rsidP="00300A01">
            <w:pPr>
              <w:spacing w:before="0" w:after="0"/>
              <w:jc w:val="right"/>
              <w:rPr>
                <w:sz w:val="10"/>
                <w:szCs w:val="10"/>
                <w:lang w:val="fr-BE"/>
              </w:rPr>
            </w:pPr>
            <w:r w:rsidRPr="00A92B39">
              <w:rPr>
                <w:noProof/>
                <w:sz w:val="10"/>
                <w:szCs w:val="10"/>
                <w:lang w:val="fr-BE"/>
              </w:rPr>
              <w:t>254,00</w:t>
            </w:r>
          </w:p>
        </w:tc>
        <w:tc>
          <w:tcPr>
            <w:tcW w:w="0" w:type="auto"/>
            <w:shd w:val="clear" w:color="auto" w:fill="auto"/>
          </w:tcPr>
          <w:p w14:paraId="248EF57B"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14:paraId="1B6C2DE0"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r>
      <w:tr w:rsidR="006B2EC1" w14:paraId="24290C31" w14:textId="77777777" w:rsidTr="002A1502">
        <w:tc>
          <w:tcPr>
            <w:tcW w:w="0" w:type="auto"/>
            <w:shd w:val="clear" w:color="auto" w:fill="auto"/>
          </w:tcPr>
          <w:p w14:paraId="559D936E" w14:textId="77777777" w:rsidR="008C5CFA" w:rsidRPr="00A92B39" w:rsidRDefault="00E82A60" w:rsidP="00300A01">
            <w:pPr>
              <w:spacing w:before="0" w:after="0"/>
              <w:rPr>
                <w:sz w:val="10"/>
                <w:szCs w:val="10"/>
                <w:lang w:val="fr-BE"/>
              </w:rPr>
            </w:pPr>
            <w:r w:rsidRPr="00A92B39">
              <w:rPr>
                <w:noProof/>
                <w:sz w:val="10"/>
                <w:szCs w:val="10"/>
                <w:lang w:val="fr-BE"/>
              </w:rPr>
              <w:t>017</w:t>
            </w:r>
          </w:p>
        </w:tc>
        <w:tc>
          <w:tcPr>
            <w:tcW w:w="0" w:type="auto"/>
            <w:shd w:val="clear" w:color="auto" w:fill="auto"/>
          </w:tcPr>
          <w:p w14:paraId="192DC066" w14:textId="77777777" w:rsidR="008C5CFA" w:rsidRPr="00A92B39" w:rsidRDefault="00E82A60" w:rsidP="00300A01">
            <w:pPr>
              <w:spacing w:before="0" w:after="0"/>
              <w:rPr>
                <w:sz w:val="10"/>
                <w:szCs w:val="10"/>
                <w:lang w:val="fr-BE"/>
              </w:rPr>
            </w:pPr>
            <w:r w:rsidRPr="00A92B39">
              <w:rPr>
                <w:noProof/>
                <w:sz w:val="10"/>
                <w:szCs w:val="10"/>
                <w:lang w:val="fr-BE"/>
              </w:rPr>
              <w:t>Liczba podmiotów ekonomii społecznej objętych wsparciem.</w:t>
            </w:r>
          </w:p>
        </w:tc>
        <w:tc>
          <w:tcPr>
            <w:tcW w:w="0" w:type="auto"/>
            <w:shd w:val="clear" w:color="auto" w:fill="auto"/>
          </w:tcPr>
          <w:p w14:paraId="0B3ACFF1" w14:textId="77777777" w:rsidR="008C5CFA" w:rsidRPr="00A92B39" w:rsidRDefault="00E82A60" w:rsidP="00300A01">
            <w:pPr>
              <w:spacing w:before="0" w:after="0"/>
              <w:rPr>
                <w:sz w:val="10"/>
                <w:szCs w:val="10"/>
                <w:lang w:val="fr-BE"/>
              </w:rPr>
            </w:pPr>
            <w:r w:rsidRPr="00A92B39">
              <w:rPr>
                <w:noProof/>
                <w:sz w:val="10"/>
                <w:szCs w:val="10"/>
                <w:lang w:val="fr-BE"/>
              </w:rPr>
              <w:t>Słabiej rozwinięte</w:t>
            </w:r>
          </w:p>
        </w:tc>
        <w:tc>
          <w:tcPr>
            <w:tcW w:w="0" w:type="auto"/>
          </w:tcPr>
          <w:p w14:paraId="6A47FD95" w14:textId="77777777" w:rsidR="008C5CFA" w:rsidRPr="00A92B39" w:rsidRDefault="00E82A60" w:rsidP="00300A01">
            <w:pPr>
              <w:spacing w:before="0" w:after="0"/>
              <w:rPr>
                <w:sz w:val="10"/>
                <w:szCs w:val="10"/>
                <w:lang w:val="fr-BE"/>
              </w:rPr>
            </w:pPr>
            <w:r w:rsidRPr="00A92B39">
              <w:rPr>
                <w:noProof/>
                <w:sz w:val="10"/>
                <w:szCs w:val="10"/>
                <w:lang w:val="fr-BE"/>
              </w:rPr>
              <w:t>sztuka</w:t>
            </w:r>
          </w:p>
        </w:tc>
        <w:tc>
          <w:tcPr>
            <w:tcW w:w="0" w:type="auto"/>
            <w:shd w:val="clear" w:color="auto" w:fill="auto"/>
          </w:tcPr>
          <w:p w14:paraId="66D81D56" w14:textId="77777777" w:rsidR="008C5CFA" w:rsidRPr="00A92B39" w:rsidRDefault="00E82A60" w:rsidP="00300A01">
            <w:pPr>
              <w:spacing w:before="0" w:after="0"/>
              <w:jc w:val="right"/>
              <w:rPr>
                <w:sz w:val="10"/>
                <w:szCs w:val="10"/>
                <w:lang w:val="fr-BE"/>
              </w:rPr>
            </w:pPr>
            <w:r w:rsidRPr="00A92B39">
              <w:rPr>
                <w:noProof/>
                <w:sz w:val="10"/>
                <w:szCs w:val="10"/>
                <w:lang w:val="fr-BE"/>
              </w:rPr>
              <w:t>393,00</w:t>
            </w:r>
          </w:p>
        </w:tc>
        <w:tc>
          <w:tcPr>
            <w:tcW w:w="0" w:type="auto"/>
            <w:shd w:val="clear" w:color="auto" w:fill="auto"/>
          </w:tcPr>
          <w:p w14:paraId="0BEA4EC7" w14:textId="77777777" w:rsidR="008C5CFA" w:rsidRPr="00A92B39" w:rsidRDefault="008C5CFA" w:rsidP="00300A01">
            <w:pPr>
              <w:spacing w:before="0" w:after="0"/>
              <w:jc w:val="right"/>
              <w:rPr>
                <w:sz w:val="10"/>
                <w:szCs w:val="10"/>
                <w:lang w:val="fr-BE"/>
              </w:rPr>
            </w:pPr>
          </w:p>
        </w:tc>
        <w:tc>
          <w:tcPr>
            <w:tcW w:w="0" w:type="auto"/>
            <w:shd w:val="clear" w:color="auto" w:fill="auto"/>
          </w:tcPr>
          <w:p w14:paraId="36DCD64D" w14:textId="77777777" w:rsidR="008C5CFA" w:rsidRPr="00A92B39" w:rsidRDefault="008C5CFA" w:rsidP="00300A01">
            <w:pPr>
              <w:spacing w:before="0" w:after="0"/>
              <w:jc w:val="right"/>
              <w:rPr>
                <w:sz w:val="10"/>
                <w:szCs w:val="10"/>
                <w:lang w:val="fr-BE"/>
              </w:rPr>
            </w:pPr>
          </w:p>
        </w:tc>
        <w:tc>
          <w:tcPr>
            <w:tcW w:w="0" w:type="auto"/>
            <w:shd w:val="clear" w:color="auto" w:fill="auto"/>
          </w:tcPr>
          <w:p w14:paraId="51160FAE" w14:textId="77777777" w:rsidR="008C5CFA" w:rsidRPr="00A92B39" w:rsidRDefault="00E82A60" w:rsidP="00300A01">
            <w:pPr>
              <w:spacing w:before="0" w:after="0"/>
              <w:jc w:val="right"/>
              <w:rPr>
                <w:sz w:val="10"/>
                <w:szCs w:val="10"/>
                <w:lang w:val="fr-BE"/>
              </w:rPr>
            </w:pPr>
            <w:r w:rsidRPr="00A92B39">
              <w:rPr>
                <w:noProof/>
                <w:sz w:val="10"/>
                <w:szCs w:val="10"/>
                <w:lang w:val="fr-BE"/>
              </w:rPr>
              <w:t>414,00</w:t>
            </w:r>
          </w:p>
        </w:tc>
        <w:tc>
          <w:tcPr>
            <w:tcW w:w="0" w:type="auto"/>
            <w:shd w:val="clear" w:color="auto" w:fill="auto"/>
          </w:tcPr>
          <w:p w14:paraId="56645988"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14:paraId="62CB8FA5"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14:paraId="36529398" w14:textId="77777777" w:rsidR="008C5CFA" w:rsidRPr="00A92B39" w:rsidRDefault="00E82A60" w:rsidP="00300A01">
            <w:pPr>
              <w:spacing w:before="0" w:after="0"/>
              <w:jc w:val="right"/>
              <w:rPr>
                <w:sz w:val="10"/>
                <w:szCs w:val="10"/>
                <w:lang w:val="fr-BE"/>
              </w:rPr>
            </w:pPr>
            <w:r>
              <w:rPr>
                <w:noProof/>
                <w:sz w:val="10"/>
                <w:szCs w:val="10"/>
                <w:lang w:val="fr-BE"/>
              </w:rPr>
              <w:t>1,05</w:t>
            </w:r>
          </w:p>
        </w:tc>
        <w:tc>
          <w:tcPr>
            <w:tcW w:w="0" w:type="auto"/>
            <w:shd w:val="clear" w:color="auto" w:fill="auto"/>
          </w:tcPr>
          <w:p w14:paraId="18F50237" w14:textId="77777777" w:rsidR="008C5CFA" w:rsidRPr="00A92B39" w:rsidRDefault="008C5CFA" w:rsidP="00300A01">
            <w:pPr>
              <w:spacing w:before="0" w:after="0"/>
              <w:jc w:val="right"/>
              <w:rPr>
                <w:sz w:val="10"/>
                <w:szCs w:val="10"/>
                <w:lang w:val="fr-BE"/>
              </w:rPr>
            </w:pPr>
          </w:p>
        </w:tc>
        <w:tc>
          <w:tcPr>
            <w:tcW w:w="0" w:type="auto"/>
            <w:shd w:val="clear" w:color="auto" w:fill="auto"/>
          </w:tcPr>
          <w:p w14:paraId="0A62C336" w14:textId="77777777" w:rsidR="008C5CFA" w:rsidRPr="00A92B39" w:rsidRDefault="008C5CFA" w:rsidP="00300A01">
            <w:pPr>
              <w:spacing w:before="0" w:after="0"/>
              <w:jc w:val="right"/>
              <w:rPr>
                <w:sz w:val="10"/>
                <w:szCs w:val="10"/>
                <w:lang w:val="fr-BE"/>
              </w:rPr>
            </w:pPr>
          </w:p>
        </w:tc>
        <w:tc>
          <w:tcPr>
            <w:tcW w:w="0" w:type="auto"/>
          </w:tcPr>
          <w:p w14:paraId="09E7B02F" w14:textId="77777777" w:rsidR="008C5CFA" w:rsidRPr="00A92B39" w:rsidRDefault="00E82A60" w:rsidP="00300A01">
            <w:pPr>
              <w:spacing w:before="0" w:after="0"/>
              <w:jc w:val="right"/>
              <w:rPr>
                <w:sz w:val="10"/>
                <w:szCs w:val="10"/>
                <w:lang w:val="fr-BE"/>
              </w:rPr>
            </w:pPr>
            <w:r w:rsidRPr="00A92B39">
              <w:rPr>
                <w:noProof/>
                <w:sz w:val="10"/>
                <w:szCs w:val="10"/>
                <w:lang w:val="fr-BE"/>
              </w:rPr>
              <w:t>114,00</w:t>
            </w:r>
          </w:p>
        </w:tc>
        <w:tc>
          <w:tcPr>
            <w:tcW w:w="0" w:type="auto"/>
            <w:shd w:val="clear" w:color="auto" w:fill="auto"/>
          </w:tcPr>
          <w:p w14:paraId="185EAC14"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14:paraId="02FC4D2B"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r>
    </w:tbl>
    <w:p w14:paraId="55C575AA"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26"/>
        <w:gridCol w:w="5380"/>
        <w:gridCol w:w="1088"/>
        <w:gridCol w:w="507"/>
        <w:gridCol w:w="658"/>
        <w:gridCol w:w="513"/>
        <w:gridCol w:w="507"/>
        <w:gridCol w:w="658"/>
        <w:gridCol w:w="513"/>
        <w:gridCol w:w="507"/>
        <w:gridCol w:w="658"/>
        <w:gridCol w:w="513"/>
        <w:gridCol w:w="507"/>
        <w:gridCol w:w="658"/>
        <w:gridCol w:w="513"/>
        <w:gridCol w:w="507"/>
        <w:gridCol w:w="658"/>
        <w:gridCol w:w="513"/>
      </w:tblGrid>
      <w:tr w:rsidR="006B2EC1" w14:paraId="1561D98F" w14:textId="77777777" w:rsidTr="0047688D">
        <w:trPr>
          <w:tblHeader/>
        </w:trPr>
        <w:tc>
          <w:tcPr>
            <w:tcW w:w="0" w:type="auto"/>
            <w:shd w:val="clear" w:color="auto" w:fill="auto"/>
          </w:tcPr>
          <w:p w14:paraId="133FDEA4" w14:textId="77777777" w:rsidR="008C5CFA" w:rsidRPr="00A92B39" w:rsidRDefault="00E82A60" w:rsidP="00300A01">
            <w:pPr>
              <w:spacing w:before="0" w:after="0"/>
              <w:rPr>
                <w:b/>
                <w:sz w:val="10"/>
                <w:szCs w:val="10"/>
                <w:lang w:val="fr-BE"/>
              </w:rPr>
            </w:pPr>
            <w:r w:rsidRPr="00A92B39">
              <w:rPr>
                <w:b/>
                <w:noProof/>
                <w:sz w:val="10"/>
                <w:szCs w:val="10"/>
                <w:lang w:val="fr-BE"/>
              </w:rPr>
              <w:t>ID</w:t>
            </w:r>
          </w:p>
        </w:tc>
        <w:tc>
          <w:tcPr>
            <w:tcW w:w="0" w:type="auto"/>
            <w:shd w:val="clear" w:color="auto" w:fill="auto"/>
          </w:tcPr>
          <w:p w14:paraId="144CF1ED" w14:textId="77777777" w:rsidR="008C5CFA" w:rsidRPr="00A92B39" w:rsidRDefault="00E82A60" w:rsidP="00300A01">
            <w:pPr>
              <w:spacing w:before="0" w:after="0"/>
              <w:rPr>
                <w:b/>
                <w:sz w:val="10"/>
                <w:szCs w:val="10"/>
                <w:lang w:val="fr-BE"/>
              </w:rPr>
            </w:pPr>
            <w:r w:rsidRPr="00A92B39">
              <w:rPr>
                <w:b/>
                <w:noProof/>
                <w:sz w:val="10"/>
                <w:szCs w:val="10"/>
                <w:lang w:val="fr-BE"/>
              </w:rPr>
              <w:t>Wskaźnik</w:t>
            </w:r>
          </w:p>
        </w:tc>
        <w:tc>
          <w:tcPr>
            <w:tcW w:w="0" w:type="auto"/>
            <w:shd w:val="clear" w:color="auto" w:fill="auto"/>
          </w:tcPr>
          <w:p w14:paraId="66E9DB59" w14:textId="77777777" w:rsidR="008C5CFA" w:rsidRPr="00A92B39" w:rsidRDefault="00E82A60" w:rsidP="00300A01">
            <w:pPr>
              <w:spacing w:before="0" w:after="0"/>
              <w:rPr>
                <w:b/>
                <w:sz w:val="10"/>
                <w:szCs w:val="10"/>
                <w:lang w:val="fr-BE"/>
              </w:rPr>
            </w:pPr>
            <w:r w:rsidRPr="00A92B39">
              <w:rPr>
                <w:b/>
                <w:noProof/>
                <w:sz w:val="10"/>
                <w:szCs w:val="10"/>
                <w:lang w:val="fr-BE"/>
              </w:rPr>
              <w:t>Kategoria regionu</w:t>
            </w:r>
          </w:p>
        </w:tc>
        <w:tc>
          <w:tcPr>
            <w:tcW w:w="0" w:type="auto"/>
            <w:gridSpan w:val="3"/>
            <w:shd w:val="clear" w:color="auto" w:fill="auto"/>
          </w:tcPr>
          <w:p w14:paraId="3490E5C3" w14:textId="77777777" w:rsidR="008C5CFA" w:rsidRPr="00A92B39" w:rsidRDefault="00E82A60" w:rsidP="00300A01">
            <w:pPr>
              <w:spacing w:before="0" w:after="0"/>
              <w:jc w:val="center"/>
              <w:rPr>
                <w:b/>
                <w:sz w:val="10"/>
                <w:szCs w:val="10"/>
                <w:lang w:val="fr-BE"/>
              </w:rPr>
            </w:pPr>
            <w:r w:rsidRPr="00A92B39">
              <w:rPr>
                <w:b/>
                <w:sz w:val="10"/>
                <w:szCs w:val="10"/>
                <w:lang w:val="fr-BE"/>
              </w:rPr>
              <w:t>20</w:t>
            </w:r>
            <w:r>
              <w:rPr>
                <w:b/>
                <w:sz w:val="10"/>
                <w:szCs w:val="10"/>
                <w:lang w:val="fr-BE"/>
              </w:rPr>
              <w:t>18</w:t>
            </w:r>
          </w:p>
        </w:tc>
        <w:tc>
          <w:tcPr>
            <w:tcW w:w="0" w:type="auto"/>
            <w:gridSpan w:val="3"/>
          </w:tcPr>
          <w:p w14:paraId="35CB2A0E" w14:textId="77777777" w:rsidR="008C5CFA" w:rsidRPr="00A92B39" w:rsidRDefault="00E82A60" w:rsidP="00300A01">
            <w:pPr>
              <w:spacing w:before="0" w:after="0"/>
              <w:jc w:val="center"/>
              <w:rPr>
                <w:b/>
                <w:sz w:val="10"/>
                <w:szCs w:val="10"/>
                <w:lang w:val="fr-BE"/>
              </w:rPr>
            </w:pPr>
            <w:r>
              <w:rPr>
                <w:b/>
                <w:sz w:val="10"/>
                <w:szCs w:val="10"/>
                <w:lang w:val="fr-BE"/>
              </w:rPr>
              <w:t>2017</w:t>
            </w:r>
          </w:p>
        </w:tc>
        <w:tc>
          <w:tcPr>
            <w:tcW w:w="0" w:type="auto"/>
            <w:gridSpan w:val="3"/>
          </w:tcPr>
          <w:p w14:paraId="4E19281D" w14:textId="77777777" w:rsidR="008C5CFA" w:rsidRDefault="00E82A60" w:rsidP="00300A01">
            <w:pPr>
              <w:spacing w:before="0" w:after="0"/>
              <w:jc w:val="center"/>
              <w:rPr>
                <w:b/>
                <w:sz w:val="10"/>
                <w:szCs w:val="10"/>
                <w:lang w:val="fr-BE"/>
              </w:rPr>
            </w:pPr>
            <w:r>
              <w:rPr>
                <w:b/>
                <w:sz w:val="10"/>
                <w:szCs w:val="10"/>
                <w:lang w:val="fr-BE"/>
              </w:rPr>
              <w:t>2016</w:t>
            </w:r>
          </w:p>
        </w:tc>
        <w:tc>
          <w:tcPr>
            <w:tcW w:w="0" w:type="auto"/>
            <w:gridSpan w:val="3"/>
          </w:tcPr>
          <w:p w14:paraId="3624AFE3" w14:textId="77777777" w:rsidR="008C5CFA" w:rsidRDefault="00E82A60" w:rsidP="00300A01">
            <w:pPr>
              <w:spacing w:before="0" w:after="0"/>
              <w:jc w:val="center"/>
              <w:rPr>
                <w:b/>
                <w:sz w:val="10"/>
                <w:szCs w:val="10"/>
                <w:lang w:val="fr-BE"/>
              </w:rPr>
            </w:pPr>
            <w:r>
              <w:rPr>
                <w:b/>
                <w:sz w:val="10"/>
                <w:szCs w:val="10"/>
                <w:lang w:val="fr-BE"/>
              </w:rPr>
              <w:t>2015</w:t>
            </w:r>
          </w:p>
        </w:tc>
        <w:tc>
          <w:tcPr>
            <w:tcW w:w="0" w:type="auto"/>
            <w:gridSpan w:val="3"/>
          </w:tcPr>
          <w:p w14:paraId="387C58A7" w14:textId="77777777" w:rsidR="008C5CFA" w:rsidRDefault="00E82A60" w:rsidP="00300A01">
            <w:pPr>
              <w:spacing w:before="0" w:after="0"/>
              <w:jc w:val="center"/>
              <w:rPr>
                <w:b/>
                <w:sz w:val="10"/>
                <w:szCs w:val="10"/>
                <w:lang w:val="fr-BE"/>
              </w:rPr>
            </w:pPr>
            <w:r>
              <w:rPr>
                <w:b/>
                <w:sz w:val="10"/>
                <w:szCs w:val="10"/>
                <w:lang w:val="fr-BE"/>
              </w:rPr>
              <w:t>2014</w:t>
            </w:r>
          </w:p>
        </w:tc>
      </w:tr>
      <w:tr w:rsidR="006B2EC1" w14:paraId="2310D3C0" w14:textId="77777777" w:rsidTr="0047688D">
        <w:trPr>
          <w:tblHeader/>
        </w:trPr>
        <w:tc>
          <w:tcPr>
            <w:tcW w:w="0" w:type="auto"/>
            <w:shd w:val="clear" w:color="auto" w:fill="auto"/>
          </w:tcPr>
          <w:p w14:paraId="65E40316" w14:textId="77777777" w:rsidR="008C5CFA" w:rsidRPr="00A92B39" w:rsidRDefault="008C5CFA" w:rsidP="00300A01">
            <w:pPr>
              <w:spacing w:before="0" w:after="0"/>
              <w:rPr>
                <w:sz w:val="10"/>
                <w:szCs w:val="10"/>
                <w:lang w:val="fr-BE"/>
              </w:rPr>
            </w:pPr>
          </w:p>
        </w:tc>
        <w:tc>
          <w:tcPr>
            <w:tcW w:w="0" w:type="auto"/>
            <w:shd w:val="clear" w:color="auto" w:fill="auto"/>
          </w:tcPr>
          <w:p w14:paraId="77574F69" w14:textId="77777777" w:rsidR="008C5CFA" w:rsidRPr="00A92B39" w:rsidRDefault="008C5CFA" w:rsidP="00300A01">
            <w:pPr>
              <w:spacing w:before="0" w:after="0"/>
              <w:rPr>
                <w:sz w:val="10"/>
                <w:szCs w:val="10"/>
                <w:lang w:val="fr-BE"/>
              </w:rPr>
            </w:pPr>
          </w:p>
        </w:tc>
        <w:tc>
          <w:tcPr>
            <w:tcW w:w="0" w:type="auto"/>
            <w:shd w:val="clear" w:color="auto" w:fill="auto"/>
          </w:tcPr>
          <w:p w14:paraId="6B8E68FA" w14:textId="77777777" w:rsidR="008C5CFA" w:rsidRPr="00A92B39" w:rsidRDefault="008C5CFA" w:rsidP="00300A01">
            <w:pPr>
              <w:spacing w:before="0" w:after="0"/>
              <w:rPr>
                <w:sz w:val="10"/>
                <w:szCs w:val="10"/>
                <w:lang w:val="fr-BE"/>
              </w:rPr>
            </w:pPr>
          </w:p>
        </w:tc>
        <w:tc>
          <w:tcPr>
            <w:tcW w:w="0" w:type="auto"/>
            <w:shd w:val="clear" w:color="auto" w:fill="auto"/>
          </w:tcPr>
          <w:p w14:paraId="515E2625" w14:textId="77777777" w:rsidR="008C5CFA" w:rsidRPr="00A92B39" w:rsidRDefault="00E82A60" w:rsidP="00300A01">
            <w:pPr>
              <w:spacing w:before="0" w:after="0"/>
              <w:jc w:val="center"/>
              <w:rPr>
                <w:b/>
                <w:sz w:val="10"/>
                <w:szCs w:val="10"/>
                <w:lang w:val="fr-BE"/>
              </w:rPr>
            </w:pPr>
            <w:r w:rsidRPr="00A92B39">
              <w:rPr>
                <w:b/>
                <w:noProof/>
                <w:sz w:val="10"/>
                <w:szCs w:val="10"/>
                <w:lang w:val="fr-BE"/>
              </w:rPr>
              <w:t>Ogółem</w:t>
            </w:r>
          </w:p>
        </w:tc>
        <w:tc>
          <w:tcPr>
            <w:tcW w:w="0" w:type="auto"/>
            <w:shd w:val="clear" w:color="auto" w:fill="auto"/>
          </w:tcPr>
          <w:p w14:paraId="23EA45DD" w14:textId="77777777" w:rsidR="008C5CFA" w:rsidRPr="00A92B39" w:rsidRDefault="00E82A60" w:rsidP="00300A01">
            <w:pPr>
              <w:spacing w:before="0" w:after="0"/>
              <w:jc w:val="center"/>
              <w:rPr>
                <w:b/>
                <w:sz w:val="10"/>
                <w:szCs w:val="10"/>
                <w:lang w:val="fr-BE"/>
              </w:rPr>
            </w:pPr>
            <w:r w:rsidRPr="00A92B39">
              <w:rPr>
                <w:b/>
                <w:noProof/>
                <w:sz w:val="10"/>
                <w:szCs w:val="10"/>
                <w:lang w:val="fr-BE"/>
              </w:rPr>
              <w:t>Mężczyźni</w:t>
            </w:r>
          </w:p>
        </w:tc>
        <w:tc>
          <w:tcPr>
            <w:tcW w:w="0" w:type="auto"/>
            <w:shd w:val="clear" w:color="auto" w:fill="auto"/>
          </w:tcPr>
          <w:p w14:paraId="6D8702C1" w14:textId="77777777" w:rsidR="008C5CFA" w:rsidRPr="00A92B39" w:rsidRDefault="00E82A60" w:rsidP="00300A01">
            <w:pPr>
              <w:spacing w:before="0" w:after="0"/>
              <w:jc w:val="center"/>
              <w:rPr>
                <w:b/>
                <w:sz w:val="10"/>
                <w:szCs w:val="10"/>
                <w:lang w:val="fr-BE"/>
              </w:rPr>
            </w:pPr>
            <w:r w:rsidRPr="00A92B39">
              <w:rPr>
                <w:b/>
                <w:noProof/>
                <w:sz w:val="10"/>
                <w:szCs w:val="10"/>
                <w:lang w:val="fr-BE"/>
              </w:rPr>
              <w:t>Kobiety</w:t>
            </w:r>
          </w:p>
        </w:tc>
        <w:tc>
          <w:tcPr>
            <w:tcW w:w="0" w:type="auto"/>
          </w:tcPr>
          <w:p w14:paraId="6F818D49" w14:textId="77777777" w:rsidR="008C5CFA" w:rsidRPr="00A92B39" w:rsidRDefault="00E82A60" w:rsidP="00300A01">
            <w:pPr>
              <w:spacing w:before="0" w:after="0"/>
              <w:jc w:val="center"/>
              <w:rPr>
                <w:b/>
                <w:sz w:val="10"/>
                <w:szCs w:val="10"/>
                <w:lang w:val="fr-BE"/>
              </w:rPr>
            </w:pPr>
            <w:r w:rsidRPr="00A92B39">
              <w:rPr>
                <w:b/>
                <w:noProof/>
                <w:sz w:val="10"/>
                <w:szCs w:val="10"/>
                <w:lang w:val="fr-BE"/>
              </w:rPr>
              <w:t>Ogółem</w:t>
            </w:r>
          </w:p>
        </w:tc>
        <w:tc>
          <w:tcPr>
            <w:tcW w:w="0" w:type="auto"/>
          </w:tcPr>
          <w:p w14:paraId="58162E5E" w14:textId="77777777" w:rsidR="008C5CFA" w:rsidRPr="00A92B39" w:rsidRDefault="00E82A60" w:rsidP="00300A01">
            <w:pPr>
              <w:spacing w:before="0" w:after="0"/>
              <w:jc w:val="center"/>
              <w:rPr>
                <w:b/>
                <w:sz w:val="10"/>
                <w:szCs w:val="10"/>
                <w:lang w:val="fr-BE"/>
              </w:rPr>
            </w:pPr>
            <w:r w:rsidRPr="00A92B39">
              <w:rPr>
                <w:b/>
                <w:noProof/>
                <w:sz w:val="10"/>
                <w:szCs w:val="10"/>
                <w:lang w:val="fr-BE"/>
              </w:rPr>
              <w:t>Mężczyźni</w:t>
            </w:r>
          </w:p>
        </w:tc>
        <w:tc>
          <w:tcPr>
            <w:tcW w:w="0" w:type="auto"/>
          </w:tcPr>
          <w:p w14:paraId="65FDA7EF" w14:textId="77777777" w:rsidR="008C5CFA" w:rsidRPr="00A92B39" w:rsidRDefault="00E82A60" w:rsidP="00300A01">
            <w:pPr>
              <w:spacing w:before="0" w:after="0"/>
              <w:jc w:val="center"/>
              <w:rPr>
                <w:b/>
                <w:sz w:val="10"/>
                <w:szCs w:val="10"/>
                <w:lang w:val="fr-BE"/>
              </w:rPr>
            </w:pPr>
            <w:r w:rsidRPr="00A92B39">
              <w:rPr>
                <w:b/>
                <w:noProof/>
                <w:sz w:val="10"/>
                <w:szCs w:val="10"/>
                <w:lang w:val="fr-BE"/>
              </w:rPr>
              <w:t>Kobiety</w:t>
            </w:r>
          </w:p>
        </w:tc>
        <w:tc>
          <w:tcPr>
            <w:tcW w:w="0" w:type="auto"/>
          </w:tcPr>
          <w:p w14:paraId="4F206938" w14:textId="77777777" w:rsidR="008C5CFA" w:rsidRPr="00A92B39" w:rsidRDefault="00E82A60" w:rsidP="00300A01">
            <w:pPr>
              <w:spacing w:before="0" w:after="0"/>
              <w:jc w:val="center"/>
              <w:rPr>
                <w:b/>
                <w:sz w:val="10"/>
                <w:szCs w:val="10"/>
                <w:lang w:val="fr-BE"/>
              </w:rPr>
            </w:pPr>
            <w:r w:rsidRPr="00A92B39">
              <w:rPr>
                <w:b/>
                <w:noProof/>
                <w:sz w:val="10"/>
                <w:szCs w:val="10"/>
                <w:lang w:val="fr-BE"/>
              </w:rPr>
              <w:t>Ogółem</w:t>
            </w:r>
          </w:p>
        </w:tc>
        <w:tc>
          <w:tcPr>
            <w:tcW w:w="0" w:type="auto"/>
          </w:tcPr>
          <w:p w14:paraId="29716AAD" w14:textId="77777777" w:rsidR="008C5CFA" w:rsidRPr="00A92B39" w:rsidRDefault="00E82A60" w:rsidP="00300A01">
            <w:pPr>
              <w:spacing w:before="0" w:after="0"/>
              <w:jc w:val="center"/>
              <w:rPr>
                <w:b/>
                <w:sz w:val="10"/>
                <w:szCs w:val="10"/>
                <w:lang w:val="fr-BE"/>
              </w:rPr>
            </w:pPr>
            <w:r w:rsidRPr="00A92B39">
              <w:rPr>
                <w:b/>
                <w:noProof/>
                <w:sz w:val="10"/>
                <w:szCs w:val="10"/>
                <w:lang w:val="fr-BE"/>
              </w:rPr>
              <w:t>Mężczyźni</w:t>
            </w:r>
          </w:p>
        </w:tc>
        <w:tc>
          <w:tcPr>
            <w:tcW w:w="0" w:type="auto"/>
          </w:tcPr>
          <w:p w14:paraId="7F1646CF" w14:textId="77777777" w:rsidR="008C5CFA" w:rsidRPr="00A92B39" w:rsidRDefault="00E82A60" w:rsidP="00300A01">
            <w:pPr>
              <w:spacing w:before="0" w:after="0"/>
              <w:jc w:val="center"/>
              <w:rPr>
                <w:b/>
                <w:sz w:val="10"/>
                <w:szCs w:val="10"/>
                <w:lang w:val="fr-BE"/>
              </w:rPr>
            </w:pPr>
            <w:r w:rsidRPr="00A92B39">
              <w:rPr>
                <w:b/>
                <w:noProof/>
                <w:sz w:val="10"/>
                <w:szCs w:val="10"/>
                <w:lang w:val="fr-BE"/>
              </w:rPr>
              <w:t>Kobiety</w:t>
            </w:r>
          </w:p>
        </w:tc>
        <w:tc>
          <w:tcPr>
            <w:tcW w:w="0" w:type="auto"/>
          </w:tcPr>
          <w:p w14:paraId="14A77CD8" w14:textId="77777777" w:rsidR="008C5CFA" w:rsidRPr="00A92B39" w:rsidRDefault="00E82A60" w:rsidP="00300A01">
            <w:pPr>
              <w:spacing w:before="0" w:after="0"/>
              <w:jc w:val="center"/>
              <w:rPr>
                <w:b/>
                <w:sz w:val="10"/>
                <w:szCs w:val="10"/>
                <w:lang w:val="fr-BE"/>
              </w:rPr>
            </w:pPr>
            <w:r w:rsidRPr="00A92B39">
              <w:rPr>
                <w:b/>
                <w:noProof/>
                <w:sz w:val="10"/>
                <w:szCs w:val="10"/>
                <w:lang w:val="fr-BE"/>
              </w:rPr>
              <w:t>Ogółem</w:t>
            </w:r>
          </w:p>
        </w:tc>
        <w:tc>
          <w:tcPr>
            <w:tcW w:w="0" w:type="auto"/>
          </w:tcPr>
          <w:p w14:paraId="786D37DE" w14:textId="77777777" w:rsidR="008C5CFA" w:rsidRPr="00A92B39" w:rsidRDefault="00E82A60" w:rsidP="00300A01">
            <w:pPr>
              <w:spacing w:before="0" w:after="0"/>
              <w:jc w:val="center"/>
              <w:rPr>
                <w:b/>
                <w:sz w:val="10"/>
                <w:szCs w:val="10"/>
                <w:lang w:val="fr-BE"/>
              </w:rPr>
            </w:pPr>
            <w:r w:rsidRPr="00A92B39">
              <w:rPr>
                <w:b/>
                <w:noProof/>
                <w:sz w:val="10"/>
                <w:szCs w:val="10"/>
                <w:lang w:val="fr-BE"/>
              </w:rPr>
              <w:t>Mężczyźni</w:t>
            </w:r>
          </w:p>
        </w:tc>
        <w:tc>
          <w:tcPr>
            <w:tcW w:w="0" w:type="auto"/>
          </w:tcPr>
          <w:p w14:paraId="110531D8" w14:textId="77777777" w:rsidR="008C5CFA" w:rsidRPr="00A92B39" w:rsidRDefault="00E82A60" w:rsidP="00300A01">
            <w:pPr>
              <w:spacing w:before="0" w:after="0"/>
              <w:jc w:val="center"/>
              <w:rPr>
                <w:b/>
                <w:sz w:val="10"/>
                <w:szCs w:val="10"/>
                <w:lang w:val="fr-BE"/>
              </w:rPr>
            </w:pPr>
            <w:r w:rsidRPr="00A92B39">
              <w:rPr>
                <w:b/>
                <w:noProof/>
                <w:sz w:val="10"/>
                <w:szCs w:val="10"/>
                <w:lang w:val="fr-BE"/>
              </w:rPr>
              <w:t>Kobiety</w:t>
            </w:r>
          </w:p>
        </w:tc>
        <w:tc>
          <w:tcPr>
            <w:tcW w:w="0" w:type="auto"/>
          </w:tcPr>
          <w:p w14:paraId="0F55D80E" w14:textId="77777777" w:rsidR="008C5CFA" w:rsidRPr="00A92B39" w:rsidRDefault="00E82A60" w:rsidP="00300A01">
            <w:pPr>
              <w:spacing w:before="0" w:after="0"/>
              <w:jc w:val="center"/>
              <w:rPr>
                <w:b/>
                <w:sz w:val="10"/>
                <w:szCs w:val="10"/>
                <w:lang w:val="fr-BE"/>
              </w:rPr>
            </w:pPr>
            <w:r w:rsidRPr="00A92B39">
              <w:rPr>
                <w:b/>
                <w:noProof/>
                <w:sz w:val="10"/>
                <w:szCs w:val="10"/>
                <w:lang w:val="fr-BE"/>
              </w:rPr>
              <w:t>Ogółem</w:t>
            </w:r>
          </w:p>
        </w:tc>
        <w:tc>
          <w:tcPr>
            <w:tcW w:w="0" w:type="auto"/>
          </w:tcPr>
          <w:p w14:paraId="6B4E477B" w14:textId="77777777" w:rsidR="008C5CFA" w:rsidRPr="00A92B39" w:rsidRDefault="00E82A60" w:rsidP="00300A01">
            <w:pPr>
              <w:spacing w:before="0" w:after="0"/>
              <w:jc w:val="center"/>
              <w:rPr>
                <w:b/>
                <w:sz w:val="10"/>
                <w:szCs w:val="10"/>
                <w:lang w:val="fr-BE"/>
              </w:rPr>
            </w:pPr>
            <w:r w:rsidRPr="00A92B39">
              <w:rPr>
                <w:b/>
                <w:noProof/>
                <w:sz w:val="10"/>
                <w:szCs w:val="10"/>
                <w:lang w:val="fr-BE"/>
              </w:rPr>
              <w:t>Mężczyźni</w:t>
            </w:r>
          </w:p>
        </w:tc>
        <w:tc>
          <w:tcPr>
            <w:tcW w:w="0" w:type="auto"/>
          </w:tcPr>
          <w:p w14:paraId="351934F1" w14:textId="77777777" w:rsidR="008C5CFA" w:rsidRPr="00A92B39" w:rsidRDefault="00E82A60" w:rsidP="00300A01">
            <w:pPr>
              <w:spacing w:before="0" w:after="0"/>
              <w:jc w:val="center"/>
              <w:rPr>
                <w:b/>
                <w:sz w:val="10"/>
                <w:szCs w:val="10"/>
                <w:lang w:val="fr-BE"/>
              </w:rPr>
            </w:pPr>
            <w:r w:rsidRPr="00A92B39">
              <w:rPr>
                <w:b/>
                <w:noProof/>
                <w:sz w:val="10"/>
                <w:szCs w:val="10"/>
                <w:lang w:val="fr-BE"/>
              </w:rPr>
              <w:t>Kobiety</w:t>
            </w:r>
          </w:p>
        </w:tc>
      </w:tr>
      <w:tr w:rsidR="006B2EC1" w14:paraId="0D7E0FD0" w14:textId="77777777" w:rsidTr="0047688D">
        <w:tc>
          <w:tcPr>
            <w:tcW w:w="0" w:type="auto"/>
            <w:shd w:val="clear" w:color="auto" w:fill="auto"/>
          </w:tcPr>
          <w:p w14:paraId="57982A31" w14:textId="77777777" w:rsidR="008C5CFA" w:rsidRPr="00A92B39" w:rsidRDefault="00E82A60" w:rsidP="00300A01">
            <w:pPr>
              <w:spacing w:before="0" w:after="0"/>
              <w:rPr>
                <w:sz w:val="10"/>
                <w:szCs w:val="10"/>
                <w:lang w:val="fr-BE"/>
              </w:rPr>
            </w:pPr>
            <w:r w:rsidRPr="00A92B39">
              <w:rPr>
                <w:noProof/>
                <w:sz w:val="10"/>
                <w:szCs w:val="10"/>
                <w:lang w:val="fr-BE"/>
              </w:rPr>
              <w:t>014a</w:t>
            </w:r>
          </w:p>
        </w:tc>
        <w:tc>
          <w:tcPr>
            <w:tcW w:w="0" w:type="auto"/>
            <w:shd w:val="clear" w:color="auto" w:fill="auto"/>
          </w:tcPr>
          <w:p w14:paraId="0397718C" w14:textId="77777777" w:rsidR="008C5CFA" w:rsidRPr="00A92B39" w:rsidRDefault="00E82A60" w:rsidP="00300A01">
            <w:pPr>
              <w:spacing w:before="0" w:after="0"/>
              <w:rPr>
                <w:sz w:val="10"/>
                <w:szCs w:val="10"/>
                <w:lang w:val="fr-BE"/>
              </w:rPr>
            </w:pPr>
            <w:r w:rsidRPr="00A92B39">
              <w:rPr>
                <w:noProof/>
                <w:sz w:val="10"/>
                <w:szCs w:val="10"/>
                <w:lang w:val="fr-BE"/>
              </w:rPr>
              <w:t>Liczba osób zagrożonych ubóstwem lub wykluczeniem społecznym objętych wsparciem w programie</w:t>
            </w:r>
          </w:p>
        </w:tc>
        <w:tc>
          <w:tcPr>
            <w:tcW w:w="0" w:type="auto"/>
            <w:shd w:val="clear" w:color="auto" w:fill="auto"/>
          </w:tcPr>
          <w:p w14:paraId="63EBAFDF" w14:textId="77777777" w:rsidR="008C5CFA" w:rsidRPr="00A92B39" w:rsidRDefault="00E82A60" w:rsidP="00300A01">
            <w:pPr>
              <w:spacing w:before="0" w:after="0"/>
              <w:rPr>
                <w:sz w:val="10"/>
                <w:szCs w:val="10"/>
                <w:lang w:val="fr-BE"/>
              </w:rPr>
            </w:pPr>
            <w:r w:rsidRPr="00A92B39">
              <w:rPr>
                <w:noProof/>
                <w:sz w:val="10"/>
                <w:szCs w:val="10"/>
                <w:lang w:val="fr-BE"/>
              </w:rPr>
              <w:t>Słabiej rozwinięte</w:t>
            </w:r>
          </w:p>
        </w:tc>
        <w:tc>
          <w:tcPr>
            <w:tcW w:w="0" w:type="auto"/>
            <w:shd w:val="clear" w:color="auto" w:fill="auto"/>
          </w:tcPr>
          <w:p w14:paraId="63C6D7B3" w14:textId="77777777" w:rsidR="008C5CFA" w:rsidRPr="00A92B39" w:rsidRDefault="00E82A60" w:rsidP="00300A01">
            <w:pPr>
              <w:spacing w:before="0" w:after="0"/>
              <w:jc w:val="right"/>
              <w:rPr>
                <w:sz w:val="10"/>
                <w:szCs w:val="10"/>
                <w:lang w:val="fr-BE"/>
              </w:rPr>
            </w:pPr>
            <w:r w:rsidRPr="00A92B39">
              <w:rPr>
                <w:noProof/>
                <w:sz w:val="10"/>
                <w:szCs w:val="10"/>
                <w:lang w:val="fr-BE"/>
              </w:rPr>
              <w:t>181,00</w:t>
            </w:r>
          </w:p>
        </w:tc>
        <w:tc>
          <w:tcPr>
            <w:tcW w:w="0" w:type="auto"/>
            <w:shd w:val="clear" w:color="auto" w:fill="auto"/>
          </w:tcPr>
          <w:p w14:paraId="5E4DD820"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14:paraId="6B692541"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3BC72274" w14:textId="77777777" w:rsidR="008C5CFA" w:rsidRPr="00A92B39" w:rsidRDefault="00E82A60" w:rsidP="00300A01">
            <w:pPr>
              <w:spacing w:before="0" w:after="0"/>
              <w:jc w:val="right"/>
              <w:rPr>
                <w:sz w:val="10"/>
                <w:szCs w:val="10"/>
                <w:lang w:val="fr-BE"/>
              </w:rPr>
            </w:pPr>
            <w:r w:rsidRPr="00A92B39">
              <w:rPr>
                <w:noProof/>
                <w:sz w:val="10"/>
                <w:szCs w:val="10"/>
                <w:lang w:val="fr-BE"/>
              </w:rPr>
              <w:t>49,00</w:t>
            </w:r>
          </w:p>
        </w:tc>
        <w:tc>
          <w:tcPr>
            <w:tcW w:w="0" w:type="auto"/>
          </w:tcPr>
          <w:p w14:paraId="61818F16"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425B1BC1"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3C449002"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2D556ED9"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418A57AB"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735216FB"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2F488F8C"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0DB7CB26"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5EF929C0"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17C38664"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4307636C"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r>
      <w:tr w:rsidR="006B2EC1" w14:paraId="1165CCC9" w14:textId="77777777" w:rsidTr="0047688D">
        <w:tc>
          <w:tcPr>
            <w:tcW w:w="0" w:type="auto"/>
            <w:shd w:val="clear" w:color="auto" w:fill="auto"/>
          </w:tcPr>
          <w:p w14:paraId="38314F6B" w14:textId="77777777" w:rsidR="008C5CFA" w:rsidRPr="00A92B39" w:rsidRDefault="00E82A60" w:rsidP="00300A01">
            <w:pPr>
              <w:spacing w:before="0" w:after="0"/>
              <w:rPr>
                <w:sz w:val="10"/>
                <w:szCs w:val="10"/>
                <w:lang w:val="fr-BE"/>
              </w:rPr>
            </w:pPr>
            <w:r w:rsidRPr="00A92B39">
              <w:rPr>
                <w:noProof/>
                <w:sz w:val="10"/>
                <w:szCs w:val="10"/>
                <w:lang w:val="fr-BE"/>
              </w:rPr>
              <w:t>017</w:t>
            </w:r>
          </w:p>
        </w:tc>
        <w:tc>
          <w:tcPr>
            <w:tcW w:w="0" w:type="auto"/>
            <w:shd w:val="clear" w:color="auto" w:fill="auto"/>
          </w:tcPr>
          <w:p w14:paraId="56C07FD4" w14:textId="77777777" w:rsidR="008C5CFA" w:rsidRPr="00A92B39" w:rsidRDefault="00E82A60" w:rsidP="00300A01">
            <w:pPr>
              <w:spacing w:before="0" w:after="0"/>
              <w:rPr>
                <w:sz w:val="10"/>
                <w:szCs w:val="10"/>
                <w:lang w:val="fr-BE"/>
              </w:rPr>
            </w:pPr>
            <w:r w:rsidRPr="00A92B39">
              <w:rPr>
                <w:noProof/>
                <w:sz w:val="10"/>
                <w:szCs w:val="10"/>
                <w:lang w:val="fr-BE"/>
              </w:rPr>
              <w:t>Liczba podmiotów ekonomii społecznej objętych wsparciem.</w:t>
            </w:r>
          </w:p>
        </w:tc>
        <w:tc>
          <w:tcPr>
            <w:tcW w:w="0" w:type="auto"/>
            <w:shd w:val="clear" w:color="auto" w:fill="auto"/>
          </w:tcPr>
          <w:p w14:paraId="31F4DE8E" w14:textId="77777777" w:rsidR="008C5CFA" w:rsidRPr="00A92B39" w:rsidRDefault="00E82A60" w:rsidP="00300A01">
            <w:pPr>
              <w:spacing w:before="0" w:after="0"/>
              <w:rPr>
                <w:sz w:val="10"/>
                <w:szCs w:val="10"/>
                <w:lang w:val="fr-BE"/>
              </w:rPr>
            </w:pPr>
            <w:r w:rsidRPr="00A92B39">
              <w:rPr>
                <w:noProof/>
                <w:sz w:val="10"/>
                <w:szCs w:val="10"/>
                <w:lang w:val="fr-BE"/>
              </w:rPr>
              <w:t>Słabiej rozwinięte</w:t>
            </w:r>
          </w:p>
        </w:tc>
        <w:tc>
          <w:tcPr>
            <w:tcW w:w="0" w:type="auto"/>
            <w:shd w:val="clear" w:color="auto" w:fill="auto"/>
          </w:tcPr>
          <w:p w14:paraId="1A0AAEB4" w14:textId="77777777" w:rsidR="008C5CFA" w:rsidRPr="00A92B39" w:rsidRDefault="00E82A60" w:rsidP="00300A01">
            <w:pPr>
              <w:spacing w:before="0" w:after="0"/>
              <w:jc w:val="right"/>
              <w:rPr>
                <w:sz w:val="10"/>
                <w:szCs w:val="10"/>
                <w:lang w:val="fr-BE"/>
              </w:rPr>
            </w:pPr>
            <w:r w:rsidRPr="00A92B39">
              <w:rPr>
                <w:noProof/>
                <w:sz w:val="10"/>
                <w:szCs w:val="10"/>
                <w:lang w:val="fr-BE"/>
              </w:rPr>
              <w:t>132,00</w:t>
            </w:r>
          </w:p>
        </w:tc>
        <w:tc>
          <w:tcPr>
            <w:tcW w:w="0" w:type="auto"/>
            <w:shd w:val="clear" w:color="auto" w:fill="auto"/>
          </w:tcPr>
          <w:p w14:paraId="26DCDCF3"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14:paraId="02151A8B"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7EA7E5D0" w14:textId="77777777" w:rsidR="008C5CFA" w:rsidRPr="00A92B39" w:rsidRDefault="00E82A60" w:rsidP="00300A01">
            <w:pPr>
              <w:spacing w:before="0" w:after="0"/>
              <w:jc w:val="right"/>
              <w:rPr>
                <w:sz w:val="10"/>
                <w:szCs w:val="10"/>
                <w:lang w:val="fr-BE"/>
              </w:rPr>
            </w:pPr>
            <w:r w:rsidRPr="00A92B39">
              <w:rPr>
                <w:noProof/>
                <w:sz w:val="10"/>
                <w:szCs w:val="10"/>
                <w:lang w:val="fr-BE"/>
              </w:rPr>
              <w:t>168,00</w:t>
            </w:r>
          </w:p>
        </w:tc>
        <w:tc>
          <w:tcPr>
            <w:tcW w:w="0" w:type="auto"/>
          </w:tcPr>
          <w:p w14:paraId="0A2859EC"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490E78CB"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4B3CD737"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78194027"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7BBF1CF0"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6DC61E4B"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64850DDE"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5F71E9C5"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30220887"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24ADF458"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40838A84"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r>
    </w:tbl>
    <w:p w14:paraId="096E04E7" w14:textId="77777777" w:rsidR="008C5CFA" w:rsidRDefault="008C5CFA" w:rsidP="00300A01">
      <w:pPr>
        <w:spacing w:before="0" w:after="0"/>
        <w:rPr>
          <w:lang w:val="fr-BE"/>
        </w:rPr>
      </w:pPr>
    </w:p>
    <w:p w14:paraId="5CBEC924" w14:textId="77777777" w:rsidR="008C5CFA" w:rsidRDefault="00E82A60" w:rsidP="00300A01">
      <w:pPr>
        <w:spacing w:before="0" w:after="0"/>
        <w:rPr>
          <w:lang w:val="fr-BE"/>
        </w:rPr>
      </w:pPr>
      <w:r>
        <w:rPr>
          <w:lang w:val="fr-BE"/>
        </w:rPr>
        <w:br w:type="page"/>
      </w:r>
    </w:p>
    <w:p w14:paraId="1E373EE6" w14:textId="77777777" w:rsidR="008C5CFA" w:rsidRPr="00363F8D" w:rsidRDefault="00E82A60" w:rsidP="00300A01">
      <w:pPr>
        <w:spacing w:before="0" w:after="0"/>
        <w:rPr>
          <w:b/>
          <w:lang w:val="fr-BE"/>
        </w:rPr>
      </w:pPr>
      <w:r w:rsidRPr="003F04E4">
        <w:rPr>
          <w:b/>
          <w:noProof/>
          <w:lang w:val="fr-BE"/>
        </w:rPr>
        <w:lastRenderedPageBreak/>
        <w:t>Osie priorytetowe dla pomocy technicznej</w:t>
      </w:r>
    </w:p>
    <w:p w14:paraId="4874C8B5"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36"/>
        <w:gridCol w:w="8848"/>
      </w:tblGrid>
      <w:tr w:rsidR="006B2EC1" w14:paraId="468DF0D5" w14:textId="77777777" w:rsidTr="0047688D">
        <w:tc>
          <w:tcPr>
            <w:tcW w:w="0" w:type="auto"/>
            <w:shd w:val="clear" w:color="auto" w:fill="auto"/>
          </w:tcPr>
          <w:p w14:paraId="4344A8B6" w14:textId="77777777" w:rsidR="008C5CFA" w:rsidRPr="002124FC" w:rsidRDefault="00E82A60" w:rsidP="00300A01">
            <w:pPr>
              <w:spacing w:before="0" w:after="0"/>
              <w:rPr>
                <w:sz w:val="20"/>
                <w:szCs w:val="20"/>
                <w:lang w:val="fr-BE"/>
              </w:rPr>
            </w:pPr>
            <w:r w:rsidRPr="002124FC">
              <w:rPr>
                <w:noProof/>
                <w:sz w:val="20"/>
                <w:szCs w:val="20"/>
                <w:lang w:val="fr-BE"/>
              </w:rPr>
              <w:t>Oś priorytetowa</w:t>
            </w:r>
          </w:p>
        </w:tc>
        <w:tc>
          <w:tcPr>
            <w:tcW w:w="0" w:type="auto"/>
            <w:shd w:val="clear" w:color="auto" w:fill="auto"/>
          </w:tcPr>
          <w:p w14:paraId="3C09299B" w14:textId="77777777" w:rsidR="008C5CFA" w:rsidRPr="002124FC" w:rsidRDefault="00E82A60" w:rsidP="00300A01">
            <w:pPr>
              <w:spacing w:before="0" w:after="0"/>
              <w:rPr>
                <w:sz w:val="20"/>
                <w:szCs w:val="20"/>
                <w:lang w:val="fr-BE"/>
              </w:rPr>
            </w:pPr>
            <w:r w:rsidRPr="002124FC">
              <w:rPr>
                <w:noProof/>
                <w:sz w:val="20"/>
                <w:szCs w:val="20"/>
                <w:lang w:val="fr-BE"/>
              </w:rPr>
              <w:t>11</w:t>
            </w:r>
            <w:r w:rsidRPr="002124FC">
              <w:rPr>
                <w:sz w:val="20"/>
                <w:szCs w:val="20"/>
                <w:lang w:val="fr-BE"/>
              </w:rPr>
              <w:t xml:space="preserve"> - </w:t>
            </w:r>
            <w:r w:rsidRPr="002124FC">
              <w:rPr>
                <w:noProof/>
                <w:sz w:val="20"/>
                <w:szCs w:val="20"/>
                <w:lang w:val="fr-BE"/>
              </w:rPr>
              <w:t>Pomoc Techniczna</w:t>
            </w:r>
          </w:p>
        </w:tc>
      </w:tr>
    </w:tbl>
    <w:p w14:paraId="4E5CE6D5" w14:textId="77777777" w:rsidR="008C5CFA" w:rsidRDefault="008C5CFA" w:rsidP="00300A01">
      <w:pPr>
        <w:spacing w:before="0" w:after="0"/>
      </w:pPr>
    </w:p>
    <w:p w14:paraId="5D104FD8" w14:textId="77777777" w:rsidR="008C5CFA" w:rsidRDefault="00E82A60" w:rsidP="00300A01">
      <w:pPr>
        <w:pStyle w:val="Nagwek2"/>
        <w:spacing w:before="0" w:after="0"/>
      </w:pPr>
      <w:bookmarkStart w:id="79" w:name="_Toc46391763"/>
      <w:r w:rsidRPr="00920B4D">
        <w:rPr>
          <w:noProof/>
          <w:lang w:val="fr-BE"/>
        </w:rPr>
        <w:t>Tabela 4A</w:t>
      </w:r>
      <w:r>
        <w:t xml:space="preserve"> : </w:t>
      </w:r>
      <w:r>
        <w:rPr>
          <w:noProof/>
          <w:lang w:val="fr-BE"/>
        </w:rPr>
        <w:t>Wspólne wskaźniki produktu dla EFS oraz Inicjatywy na rzecz zatrudnienia ludzi młodych</w:t>
      </w:r>
      <w:r w:rsidR="00040967">
        <w:t xml:space="preserve"> - </w:t>
      </w:r>
      <w:r w:rsidR="00040967" w:rsidRPr="002124FC">
        <w:rPr>
          <w:noProof/>
          <w:sz w:val="20"/>
          <w:szCs w:val="20"/>
          <w:lang w:val="fr-BE"/>
        </w:rPr>
        <w:t>11</w:t>
      </w:r>
      <w:bookmarkEnd w:id="79"/>
    </w:p>
    <w:p w14:paraId="55D402D6" w14:textId="77777777" w:rsidR="008C5CFA" w:rsidRDefault="008C5CFA" w:rsidP="00300A01">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33"/>
        <w:gridCol w:w="1097"/>
        <w:gridCol w:w="1838"/>
        <w:gridCol w:w="899"/>
        <w:gridCol w:w="1144"/>
        <w:gridCol w:w="911"/>
        <w:gridCol w:w="899"/>
        <w:gridCol w:w="1144"/>
        <w:gridCol w:w="911"/>
        <w:gridCol w:w="899"/>
        <w:gridCol w:w="1144"/>
        <w:gridCol w:w="911"/>
        <w:gridCol w:w="899"/>
        <w:gridCol w:w="1144"/>
        <w:gridCol w:w="911"/>
      </w:tblGrid>
      <w:tr w:rsidR="006B2EC1" w14:paraId="7845459F" w14:textId="77777777" w:rsidTr="0047688D">
        <w:trPr>
          <w:tblHeader/>
        </w:trPr>
        <w:tc>
          <w:tcPr>
            <w:tcW w:w="0" w:type="auto"/>
            <w:shd w:val="clear" w:color="auto" w:fill="auto"/>
          </w:tcPr>
          <w:p w14:paraId="417D9EC3" w14:textId="77777777" w:rsidR="008C5CFA" w:rsidRPr="00F53019" w:rsidRDefault="00E82A60" w:rsidP="00300A01">
            <w:pPr>
              <w:spacing w:before="0" w:after="0"/>
              <w:rPr>
                <w:b/>
                <w:sz w:val="12"/>
                <w:szCs w:val="12"/>
                <w:lang w:val="fr-BE"/>
              </w:rPr>
            </w:pPr>
            <w:r w:rsidRPr="00F53019">
              <w:rPr>
                <w:b/>
                <w:noProof/>
                <w:sz w:val="12"/>
                <w:szCs w:val="12"/>
                <w:lang w:val="fr-BE"/>
              </w:rPr>
              <w:t>ID</w:t>
            </w:r>
          </w:p>
        </w:tc>
        <w:tc>
          <w:tcPr>
            <w:tcW w:w="0" w:type="auto"/>
            <w:shd w:val="clear" w:color="auto" w:fill="auto"/>
          </w:tcPr>
          <w:p w14:paraId="0B408293" w14:textId="77777777" w:rsidR="008C5CFA" w:rsidRPr="00F53019" w:rsidRDefault="00E82A60" w:rsidP="00300A01">
            <w:pPr>
              <w:spacing w:before="0" w:after="0"/>
              <w:rPr>
                <w:b/>
                <w:sz w:val="12"/>
                <w:szCs w:val="12"/>
                <w:lang w:val="fr-BE"/>
              </w:rPr>
            </w:pPr>
            <w:r w:rsidRPr="00F53019">
              <w:rPr>
                <w:b/>
                <w:noProof/>
                <w:sz w:val="12"/>
                <w:szCs w:val="12"/>
                <w:lang w:val="fr-BE"/>
              </w:rPr>
              <w:t>Wskaźnik</w:t>
            </w:r>
          </w:p>
        </w:tc>
        <w:tc>
          <w:tcPr>
            <w:tcW w:w="0" w:type="auto"/>
            <w:shd w:val="clear" w:color="auto" w:fill="auto"/>
          </w:tcPr>
          <w:p w14:paraId="44DDEBD0" w14:textId="77777777" w:rsidR="008C5CFA" w:rsidRPr="00F53019" w:rsidRDefault="00E82A60" w:rsidP="00300A01">
            <w:pPr>
              <w:spacing w:before="0" w:after="0"/>
              <w:rPr>
                <w:b/>
                <w:sz w:val="12"/>
                <w:szCs w:val="12"/>
                <w:lang w:val="fr-BE"/>
              </w:rPr>
            </w:pPr>
            <w:r w:rsidRPr="00F53019">
              <w:rPr>
                <w:b/>
                <w:noProof/>
                <w:sz w:val="12"/>
                <w:szCs w:val="12"/>
                <w:lang w:val="fr-BE"/>
              </w:rPr>
              <w:t>Kategoria regionu</w:t>
            </w:r>
          </w:p>
        </w:tc>
        <w:tc>
          <w:tcPr>
            <w:tcW w:w="0" w:type="auto"/>
            <w:gridSpan w:val="3"/>
            <w:shd w:val="clear" w:color="auto" w:fill="auto"/>
          </w:tcPr>
          <w:p w14:paraId="10AC5D10" w14:textId="77777777" w:rsidR="008C5CFA" w:rsidRPr="00F53019" w:rsidRDefault="00E82A60" w:rsidP="00300A01">
            <w:pPr>
              <w:spacing w:before="0" w:after="0"/>
              <w:jc w:val="center"/>
              <w:rPr>
                <w:b/>
                <w:sz w:val="12"/>
                <w:szCs w:val="12"/>
                <w:lang w:val="fr-BE"/>
              </w:rPr>
            </w:pPr>
            <w:r w:rsidRPr="00F53019">
              <w:rPr>
                <w:b/>
                <w:noProof/>
                <w:sz w:val="12"/>
                <w:szCs w:val="12"/>
                <w:lang w:val="fr-BE"/>
              </w:rPr>
              <w:t>Wartość docelowa (2023)</w:t>
            </w:r>
          </w:p>
        </w:tc>
        <w:tc>
          <w:tcPr>
            <w:tcW w:w="0" w:type="auto"/>
            <w:gridSpan w:val="3"/>
            <w:shd w:val="clear" w:color="auto" w:fill="auto"/>
          </w:tcPr>
          <w:p w14:paraId="3F7AE1C4" w14:textId="77777777" w:rsidR="008C5CFA" w:rsidRPr="00F53019" w:rsidRDefault="00E82A60" w:rsidP="00300A01">
            <w:pPr>
              <w:spacing w:before="0" w:after="0"/>
              <w:jc w:val="center"/>
              <w:rPr>
                <w:b/>
                <w:sz w:val="12"/>
                <w:szCs w:val="12"/>
                <w:lang w:val="fr-BE"/>
              </w:rPr>
            </w:pPr>
            <w:r w:rsidRPr="00F53019">
              <w:rPr>
                <w:b/>
                <w:noProof/>
                <w:sz w:val="12"/>
                <w:szCs w:val="12"/>
                <w:lang w:val="fr-BE"/>
              </w:rPr>
              <w:t>Wartość skumulowana</w:t>
            </w:r>
          </w:p>
        </w:tc>
        <w:tc>
          <w:tcPr>
            <w:tcW w:w="0" w:type="auto"/>
            <w:gridSpan w:val="3"/>
            <w:shd w:val="clear" w:color="auto" w:fill="auto"/>
          </w:tcPr>
          <w:p w14:paraId="6833E375" w14:textId="77777777" w:rsidR="008C5CFA" w:rsidRPr="00F53019" w:rsidRDefault="00E82A60" w:rsidP="00300A01">
            <w:pPr>
              <w:spacing w:before="0" w:after="0"/>
              <w:jc w:val="center"/>
              <w:rPr>
                <w:b/>
                <w:sz w:val="12"/>
                <w:szCs w:val="12"/>
                <w:lang w:val="fr-BE"/>
              </w:rPr>
            </w:pPr>
            <w:r w:rsidRPr="00F53019">
              <w:rPr>
                <w:b/>
                <w:noProof/>
                <w:sz w:val="12"/>
                <w:szCs w:val="12"/>
                <w:lang w:val="fr-BE"/>
              </w:rPr>
              <w:t>Wskaźnik osiągnięć</w:t>
            </w:r>
          </w:p>
        </w:tc>
        <w:tc>
          <w:tcPr>
            <w:tcW w:w="0" w:type="auto"/>
            <w:gridSpan w:val="3"/>
          </w:tcPr>
          <w:p w14:paraId="29A9F5BE" w14:textId="77777777" w:rsidR="008C5CFA" w:rsidRPr="00F53019" w:rsidRDefault="0047688D" w:rsidP="00300A01">
            <w:pPr>
              <w:spacing w:before="0" w:after="0"/>
              <w:jc w:val="center"/>
              <w:rPr>
                <w:b/>
                <w:sz w:val="12"/>
                <w:szCs w:val="12"/>
                <w:lang w:val="fr-BE"/>
              </w:rPr>
            </w:pPr>
            <w:r w:rsidRPr="008C2BD7">
              <w:rPr>
                <w:noProof/>
                <w:sz w:val="12"/>
                <w:szCs w:val="12"/>
              </w:rPr>
              <w:t>2019</w:t>
            </w:r>
          </w:p>
        </w:tc>
      </w:tr>
      <w:tr w:rsidR="006B2EC1" w14:paraId="12A48669" w14:textId="77777777" w:rsidTr="0047688D">
        <w:trPr>
          <w:tblHeader/>
        </w:trPr>
        <w:tc>
          <w:tcPr>
            <w:tcW w:w="0" w:type="auto"/>
            <w:shd w:val="clear" w:color="auto" w:fill="auto"/>
          </w:tcPr>
          <w:p w14:paraId="148CEF88" w14:textId="77777777" w:rsidR="008C5CFA" w:rsidRPr="00F53019" w:rsidRDefault="008C5CFA" w:rsidP="00300A01">
            <w:pPr>
              <w:spacing w:before="0" w:after="0"/>
              <w:rPr>
                <w:b/>
                <w:sz w:val="12"/>
                <w:szCs w:val="12"/>
                <w:lang w:val="fr-BE"/>
              </w:rPr>
            </w:pPr>
          </w:p>
        </w:tc>
        <w:tc>
          <w:tcPr>
            <w:tcW w:w="0" w:type="auto"/>
            <w:shd w:val="clear" w:color="auto" w:fill="auto"/>
          </w:tcPr>
          <w:p w14:paraId="7DCDF72A" w14:textId="77777777" w:rsidR="008C5CFA" w:rsidRPr="00F53019" w:rsidRDefault="008C5CFA" w:rsidP="00300A01">
            <w:pPr>
              <w:spacing w:before="0" w:after="0"/>
              <w:rPr>
                <w:b/>
                <w:sz w:val="12"/>
                <w:szCs w:val="12"/>
                <w:lang w:val="fr-BE"/>
              </w:rPr>
            </w:pPr>
          </w:p>
        </w:tc>
        <w:tc>
          <w:tcPr>
            <w:tcW w:w="0" w:type="auto"/>
            <w:shd w:val="clear" w:color="auto" w:fill="auto"/>
          </w:tcPr>
          <w:p w14:paraId="61900064" w14:textId="77777777" w:rsidR="008C5CFA" w:rsidRPr="00F53019" w:rsidRDefault="008C5CFA" w:rsidP="00300A01">
            <w:pPr>
              <w:spacing w:before="0" w:after="0"/>
              <w:rPr>
                <w:b/>
                <w:sz w:val="12"/>
                <w:szCs w:val="12"/>
                <w:lang w:val="fr-BE"/>
              </w:rPr>
            </w:pPr>
          </w:p>
        </w:tc>
        <w:tc>
          <w:tcPr>
            <w:tcW w:w="0" w:type="auto"/>
            <w:shd w:val="clear" w:color="auto" w:fill="auto"/>
          </w:tcPr>
          <w:p w14:paraId="6C6BD929" w14:textId="77777777" w:rsidR="008C5CFA" w:rsidRPr="00F53019" w:rsidRDefault="00E82A60" w:rsidP="00300A01">
            <w:pPr>
              <w:spacing w:before="0" w:after="0"/>
              <w:jc w:val="center"/>
              <w:rPr>
                <w:b/>
                <w:sz w:val="12"/>
                <w:szCs w:val="12"/>
                <w:lang w:val="fr-BE"/>
              </w:rPr>
            </w:pPr>
            <w:r w:rsidRPr="00F53019">
              <w:rPr>
                <w:b/>
                <w:noProof/>
                <w:sz w:val="12"/>
                <w:szCs w:val="12"/>
                <w:lang w:val="fr-BE"/>
              </w:rPr>
              <w:t>Ogółem</w:t>
            </w:r>
          </w:p>
        </w:tc>
        <w:tc>
          <w:tcPr>
            <w:tcW w:w="0" w:type="auto"/>
            <w:shd w:val="clear" w:color="auto" w:fill="auto"/>
          </w:tcPr>
          <w:p w14:paraId="0076FC20" w14:textId="77777777" w:rsidR="008C5CFA" w:rsidRPr="00F53019" w:rsidRDefault="00E82A60"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14:paraId="6FB2FF69" w14:textId="77777777" w:rsidR="008C5CFA" w:rsidRPr="00F53019" w:rsidRDefault="00E82A60" w:rsidP="00300A01">
            <w:pPr>
              <w:spacing w:before="0" w:after="0"/>
              <w:jc w:val="center"/>
              <w:rPr>
                <w:b/>
                <w:sz w:val="12"/>
                <w:szCs w:val="12"/>
                <w:lang w:val="fr-BE"/>
              </w:rPr>
            </w:pPr>
            <w:r w:rsidRPr="00F53019">
              <w:rPr>
                <w:b/>
                <w:noProof/>
                <w:sz w:val="12"/>
                <w:szCs w:val="12"/>
                <w:lang w:val="fr-BE"/>
              </w:rPr>
              <w:t>Kobiety</w:t>
            </w:r>
          </w:p>
        </w:tc>
        <w:tc>
          <w:tcPr>
            <w:tcW w:w="0" w:type="auto"/>
            <w:shd w:val="clear" w:color="auto" w:fill="auto"/>
          </w:tcPr>
          <w:p w14:paraId="40FD4A4B" w14:textId="77777777" w:rsidR="008C5CFA" w:rsidRPr="00F53019" w:rsidRDefault="00E82A60" w:rsidP="00300A01">
            <w:pPr>
              <w:spacing w:before="0" w:after="0"/>
              <w:jc w:val="center"/>
              <w:rPr>
                <w:b/>
                <w:sz w:val="12"/>
                <w:szCs w:val="12"/>
                <w:lang w:val="fr-BE"/>
              </w:rPr>
            </w:pPr>
            <w:r w:rsidRPr="00F53019">
              <w:rPr>
                <w:b/>
                <w:noProof/>
                <w:sz w:val="12"/>
                <w:szCs w:val="12"/>
                <w:lang w:val="fr-BE"/>
              </w:rPr>
              <w:t>Ogółem</w:t>
            </w:r>
          </w:p>
        </w:tc>
        <w:tc>
          <w:tcPr>
            <w:tcW w:w="0" w:type="auto"/>
            <w:shd w:val="clear" w:color="auto" w:fill="auto"/>
          </w:tcPr>
          <w:p w14:paraId="5017FAE2" w14:textId="77777777" w:rsidR="008C5CFA" w:rsidRPr="00F53019" w:rsidRDefault="00E82A60"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14:paraId="43008F8F" w14:textId="77777777" w:rsidR="008C5CFA" w:rsidRPr="00F53019" w:rsidRDefault="00E82A60" w:rsidP="00300A01">
            <w:pPr>
              <w:spacing w:before="0" w:after="0"/>
              <w:jc w:val="center"/>
              <w:rPr>
                <w:b/>
                <w:sz w:val="12"/>
                <w:szCs w:val="12"/>
                <w:lang w:val="fr-BE"/>
              </w:rPr>
            </w:pPr>
            <w:r w:rsidRPr="00F53019">
              <w:rPr>
                <w:b/>
                <w:noProof/>
                <w:sz w:val="12"/>
                <w:szCs w:val="12"/>
                <w:lang w:val="fr-BE"/>
              </w:rPr>
              <w:t>Kobiety</w:t>
            </w:r>
          </w:p>
        </w:tc>
        <w:tc>
          <w:tcPr>
            <w:tcW w:w="0" w:type="auto"/>
            <w:shd w:val="clear" w:color="auto" w:fill="auto"/>
          </w:tcPr>
          <w:p w14:paraId="07904A87" w14:textId="77777777" w:rsidR="008C5CFA" w:rsidRPr="00F53019" w:rsidRDefault="00E82A60" w:rsidP="00300A01">
            <w:pPr>
              <w:spacing w:before="0" w:after="0"/>
              <w:jc w:val="center"/>
              <w:rPr>
                <w:b/>
                <w:sz w:val="12"/>
                <w:szCs w:val="12"/>
                <w:lang w:val="fr-BE"/>
              </w:rPr>
            </w:pPr>
            <w:r w:rsidRPr="00F53019">
              <w:rPr>
                <w:b/>
                <w:noProof/>
                <w:sz w:val="12"/>
                <w:szCs w:val="12"/>
                <w:lang w:val="fr-BE"/>
              </w:rPr>
              <w:t>Ogółem</w:t>
            </w:r>
          </w:p>
        </w:tc>
        <w:tc>
          <w:tcPr>
            <w:tcW w:w="0" w:type="auto"/>
            <w:shd w:val="clear" w:color="auto" w:fill="auto"/>
          </w:tcPr>
          <w:p w14:paraId="4587CDE5" w14:textId="77777777" w:rsidR="008C5CFA" w:rsidRPr="00F53019" w:rsidRDefault="00E82A60"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14:paraId="05F2B485" w14:textId="77777777" w:rsidR="008C5CFA" w:rsidRPr="00F53019" w:rsidRDefault="00E82A60" w:rsidP="00300A01">
            <w:pPr>
              <w:spacing w:before="0" w:after="0"/>
              <w:jc w:val="center"/>
              <w:rPr>
                <w:b/>
                <w:sz w:val="12"/>
                <w:szCs w:val="12"/>
                <w:lang w:val="fr-BE"/>
              </w:rPr>
            </w:pPr>
            <w:r w:rsidRPr="00F53019">
              <w:rPr>
                <w:b/>
                <w:noProof/>
                <w:sz w:val="12"/>
                <w:szCs w:val="12"/>
                <w:lang w:val="fr-BE"/>
              </w:rPr>
              <w:t>Kobiety</w:t>
            </w:r>
          </w:p>
        </w:tc>
        <w:tc>
          <w:tcPr>
            <w:tcW w:w="0" w:type="auto"/>
          </w:tcPr>
          <w:p w14:paraId="4B03FC20" w14:textId="77777777" w:rsidR="008C5CFA" w:rsidRPr="00F53019" w:rsidRDefault="00E82A60" w:rsidP="00300A01">
            <w:pPr>
              <w:spacing w:before="0" w:after="0"/>
              <w:jc w:val="center"/>
              <w:rPr>
                <w:b/>
                <w:sz w:val="12"/>
                <w:szCs w:val="12"/>
                <w:lang w:val="fr-BE"/>
              </w:rPr>
            </w:pPr>
            <w:r w:rsidRPr="00F53019">
              <w:rPr>
                <w:b/>
                <w:noProof/>
                <w:sz w:val="12"/>
                <w:szCs w:val="12"/>
                <w:lang w:val="fr-BE"/>
              </w:rPr>
              <w:t>Ogółem</w:t>
            </w:r>
          </w:p>
        </w:tc>
        <w:tc>
          <w:tcPr>
            <w:tcW w:w="0" w:type="auto"/>
            <w:shd w:val="clear" w:color="auto" w:fill="auto"/>
          </w:tcPr>
          <w:p w14:paraId="72EC3F19" w14:textId="77777777" w:rsidR="008C5CFA" w:rsidRPr="00F53019" w:rsidRDefault="00E82A60"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14:paraId="6C3D9C5D" w14:textId="77777777" w:rsidR="008C5CFA" w:rsidRPr="00F53019" w:rsidRDefault="00E82A60" w:rsidP="00300A01">
            <w:pPr>
              <w:spacing w:before="0" w:after="0"/>
              <w:jc w:val="center"/>
              <w:rPr>
                <w:b/>
                <w:sz w:val="12"/>
                <w:szCs w:val="12"/>
                <w:lang w:val="fr-BE"/>
              </w:rPr>
            </w:pPr>
            <w:r w:rsidRPr="00F53019">
              <w:rPr>
                <w:b/>
                <w:noProof/>
                <w:sz w:val="12"/>
                <w:szCs w:val="12"/>
                <w:lang w:val="fr-BE"/>
              </w:rPr>
              <w:t>Kobiety</w:t>
            </w:r>
          </w:p>
        </w:tc>
      </w:tr>
    </w:tbl>
    <w:p w14:paraId="4CC52FE7"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06"/>
        <w:gridCol w:w="1535"/>
        <w:gridCol w:w="2570"/>
        <w:gridCol w:w="1069"/>
        <w:gridCol w:w="1353"/>
        <w:gridCol w:w="1069"/>
        <w:gridCol w:w="1069"/>
        <w:gridCol w:w="1353"/>
        <w:gridCol w:w="1069"/>
        <w:gridCol w:w="1069"/>
        <w:gridCol w:w="1353"/>
        <w:gridCol w:w="1069"/>
      </w:tblGrid>
      <w:tr w:rsidR="006B2EC1" w14:paraId="4BB07DB0" w14:textId="77777777" w:rsidTr="0047688D">
        <w:trPr>
          <w:tblHeader/>
        </w:trPr>
        <w:tc>
          <w:tcPr>
            <w:tcW w:w="0" w:type="auto"/>
            <w:shd w:val="clear" w:color="auto" w:fill="auto"/>
          </w:tcPr>
          <w:p w14:paraId="43CB8EE1" w14:textId="77777777" w:rsidR="008C5CFA" w:rsidRPr="001C4484" w:rsidRDefault="00E82A60" w:rsidP="00300A01">
            <w:pPr>
              <w:spacing w:before="0" w:after="0"/>
              <w:rPr>
                <w:sz w:val="10"/>
                <w:szCs w:val="10"/>
              </w:rPr>
            </w:pPr>
            <w:r w:rsidRPr="001C4484">
              <w:rPr>
                <w:b/>
                <w:noProof/>
                <w:sz w:val="12"/>
                <w:szCs w:val="12"/>
                <w:lang w:val="fr-BE"/>
              </w:rPr>
              <w:t>ID</w:t>
            </w:r>
          </w:p>
        </w:tc>
        <w:tc>
          <w:tcPr>
            <w:tcW w:w="0" w:type="auto"/>
            <w:shd w:val="clear" w:color="auto" w:fill="auto"/>
          </w:tcPr>
          <w:p w14:paraId="73351F08" w14:textId="77777777" w:rsidR="008C5CFA" w:rsidRPr="001C4484" w:rsidRDefault="00E82A60" w:rsidP="00300A01">
            <w:pPr>
              <w:spacing w:before="0" w:after="0"/>
              <w:rPr>
                <w:sz w:val="10"/>
                <w:szCs w:val="10"/>
              </w:rPr>
            </w:pPr>
            <w:r w:rsidRPr="001C4484">
              <w:rPr>
                <w:b/>
                <w:noProof/>
                <w:sz w:val="12"/>
                <w:szCs w:val="12"/>
                <w:lang w:val="fr-BE"/>
              </w:rPr>
              <w:t>Wskaźnik</w:t>
            </w:r>
          </w:p>
        </w:tc>
        <w:tc>
          <w:tcPr>
            <w:tcW w:w="0" w:type="auto"/>
            <w:shd w:val="clear" w:color="auto" w:fill="auto"/>
          </w:tcPr>
          <w:p w14:paraId="57F4792E" w14:textId="77777777" w:rsidR="008C5CFA" w:rsidRPr="001C4484" w:rsidRDefault="00E82A60" w:rsidP="00300A01">
            <w:pPr>
              <w:spacing w:before="0" w:after="0"/>
              <w:rPr>
                <w:sz w:val="10"/>
                <w:szCs w:val="10"/>
              </w:rPr>
            </w:pPr>
            <w:r w:rsidRPr="001C4484">
              <w:rPr>
                <w:b/>
                <w:noProof/>
                <w:sz w:val="12"/>
                <w:szCs w:val="12"/>
                <w:lang w:val="fr-BE"/>
              </w:rPr>
              <w:t>Kategoria regionu</w:t>
            </w:r>
          </w:p>
        </w:tc>
        <w:tc>
          <w:tcPr>
            <w:tcW w:w="0" w:type="auto"/>
            <w:gridSpan w:val="3"/>
          </w:tcPr>
          <w:p w14:paraId="58D9BC8A" w14:textId="77777777" w:rsidR="008C5CFA" w:rsidRPr="001C4484" w:rsidRDefault="00E82A60" w:rsidP="00300A01">
            <w:pPr>
              <w:spacing w:before="0" w:after="0"/>
              <w:jc w:val="center"/>
              <w:rPr>
                <w:sz w:val="10"/>
                <w:szCs w:val="10"/>
              </w:rPr>
            </w:pPr>
            <w:r w:rsidRPr="001C4484">
              <w:rPr>
                <w:sz w:val="10"/>
                <w:szCs w:val="10"/>
              </w:rPr>
              <w:t>2018</w:t>
            </w:r>
          </w:p>
        </w:tc>
        <w:tc>
          <w:tcPr>
            <w:tcW w:w="0" w:type="auto"/>
            <w:gridSpan w:val="3"/>
          </w:tcPr>
          <w:p w14:paraId="3422EA60" w14:textId="77777777" w:rsidR="008C5CFA" w:rsidRPr="001C4484" w:rsidRDefault="00E82A60" w:rsidP="00300A01">
            <w:pPr>
              <w:spacing w:before="0" w:after="0"/>
              <w:jc w:val="center"/>
              <w:rPr>
                <w:sz w:val="10"/>
                <w:szCs w:val="10"/>
              </w:rPr>
            </w:pPr>
            <w:r w:rsidRPr="001C4484">
              <w:rPr>
                <w:sz w:val="10"/>
                <w:szCs w:val="10"/>
              </w:rPr>
              <w:t>2017</w:t>
            </w:r>
          </w:p>
        </w:tc>
        <w:tc>
          <w:tcPr>
            <w:tcW w:w="0" w:type="auto"/>
            <w:gridSpan w:val="3"/>
          </w:tcPr>
          <w:p w14:paraId="3A864276" w14:textId="77777777" w:rsidR="008C5CFA" w:rsidRPr="001C4484" w:rsidRDefault="00E82A60" w:rsidP="00300A01">
            <w:pPr>
              <w:spacing w:before="0" w:after="0"/>
              <w:jc w:val="center"/>
              <w:rPr>
                <w:sz w:val="10"/>
                <w:szCs w:val="10"/>
              </w:rPr>
            </w:pPr>
            <w:r w:rsidRPr="001C4484">
              <w:rPr>
                <w:sz w:val="10"/>
                <w:szCs w:val="10"/>
              </w:rPr>
              <w:t>2016</w:t>
            </w:r>
          </w:p>
        </w:tc>
      </w:tr>
      <w:tr w:rsidR="006B2EC1" w14:paraId="4E583A12" w14:textId="77777777" w:rsidTr="0047688D">
        <w:trPr>
          <w:tblHeader/>
        </w:trPr>
        <w:tc>
          <w:tcPr>
            <w:tcW w:w="0" w:type="auto"/>
            <w:shd w:val="clear" w:color="auto" w:fill="auto"/>
          </w:tcPr>
          <w:p w14:paraId="4CD29417" w14:textId="77777777" w:rsidR="008C5CFA" w:rsidRPr="001C4484" w:rsidRDefault="008C5CFA" w:rsidP="00300A01">
            <w:pPr>
              <w:spacing w:before="0" w:after="0"/>
              <w:rPr>
                <w:sz w:val="10"/>
                <w:szCs w:val="10"/>
              </w:rPr>
            </w:pPr>
          </w:p>
        </w:tc>
        <w:tc>
          <w:tcPr>
            <w:tcW w:w="0" w:type="auto"/>
            <w:shd w:val="clear" w:color="auto" w:fill="auto"/>
          </w:tcPr>
          <w:p w14:paraId="45881750" w14:textId="77777777" w:rsidR="008C5CFA" w:rsidRPr="001C4484" w:rsidRDefault="008C5CFA" w:rsidP="00300A01">
            <w:pPr>
              <w:spacing w:before="0" w:after="0"/>
              <w:rPr>
                <w:sz w:val="10"/>
                <w:szCs w:val="10"/>
              </w:rPr>
            </w:pPr>
          </w:p>
        </w:tc>
        <w:tc>
          <w:tcPr>
            <w:tcW w:w="0" w:type="auto"/>
            <w:shd w:val="clear" w:color="auto" w:fill="auto"/>
          </w:tcPr>
          <w:p w14:paraId="10F3338E" w14:textId="77777777" w:rsidR="008C5CFA" w:rsidRPr="001C4484" w:rsidRDefault="008C5CFA" w:rsidP="00300A01">
            <w:pPr>
              <w:spacing w:before="0" w:after="0"/>
              <w:rPr>
                <w:sz w:val="10"/>
                <w:szCs w:val="10"/>
              </w:rPr>
            </w:pPr>
          </w:p>
        </w:tc>
        <w:tc>
          <w:tcPr>
            <w:tcW w:w="0" w:type="auto"/>
          </w:tcPr>
          <w:p w14:paraId="5D0D79BE" w14:textId="77777777" w:rsidR="008C5CFA" w:rsidRPr="001C4484" w:rsidRDefault="00E82A60" w:rsidP="00300A01">
            <w:pPr>
              <w:spacing w:before="0" w:after="0"/>
              <w:jc w:val="center"/>
              <w:rPr>
                <w:sz w:val="10"/>
                <w:szCs w:val="10"/>
              </w:rPr>
            </w:pPr>
            <w:r>
              <w:rPr>
                <w:noProof/>
                <w:sz w:val="10"/>
                <w:szCs w:val="10"/>
              </w:rPr>
              <w:t>Ogółem</w:t>
            </w:r>
          </w:p>
        </w:tc>
        <w:tc>
          <w:tcPr>
            <w:tcW w:w="0" w:type="auto"/>
            <w:shd w:val="clear" w:color="auto" w:fill="auto"/>
          </w:tcPr>
          <w:p w14:paraId="69045FD6" w14:textId="77777777" w:rsidR="008C5CFA" w:rsidRPr="001C4484" w:rsidRDefault="00E82A60" w:rsidP="00300A01">
            <w:pPr>
              <w:spacing w:before="0" w:after="0"/>
              <w:jc w:val="center"/>
              <w:rPr>
                <w:sz w:val="10"/>
                <w:szCs w:val="10"/>
              </w:rPr>
            </w:pPr>
            <w:r w:rsidRPr="001C4484">
              <w:rPr>
                <w:noProof/>
                <w:sz w:val="10"/>
                <w:szCs w:val="10"/>
              </w:rPr>
              <w:t>Mężczyźni</w:t>
            </w:r>
          </w:p>
        </w:tc>
        <w:tc>
          <w:tcPr>
            <w:tcW w:w="0" w:type="auto"/>
            <w:shd w:val="clear" w:color="auto" w:fill="auto"/>
          </w:tcPr>
          <w:p w14:paraId="67DD9192" w14:textId="77777777" w:rsidR="008C5CFA" w:rsidRPr="001C4484" w:rsidRDefault="00E82A60" w:rsidP="00300A01">
            <w:pPr>
              <w:spacing w:before="0" w:after="0"/>
              <w:jc w:val="center"/>
              <w:rPr>
                <w:sz w:val="10"/>
                <w:szCs w:val="10"/>
              </w:rPr>
            </w:pPr>
            <w:r w:rsidRPr="001C4484">
              <w:rPr>
                <w:noProof/>
                <w:sz w:val="10"/>
                <w:szCs w:val="10"/>
              </w:rPr>
              <w:t>Kobiety</w:t>
            </w:r>
          </w:p>
        </w:tc>
        <w:tc>
          <w:tcPr>
            <w:tcW w:w="0" w:type="auto"/>
          </w:tcPr>
          <w:p w14:paraId="3A267F68" w14:textId="77777777" w:rsidR="008C5CFA" w:rsidRPr="001C4484" w:rsidRDefault="00E82A60" w:rsidP="00300A01">
            <w:pPr>
              <w:spacing w:before="0" w:after="0"/>
              <w:jc w:val="center"/>
              <w:rPr>
                <w:sz w:val="10"/>
                <w:szCs w:val="10"/>
              </w:rPr>
            </w:pPr>
            <w:r>
              <w:rPr>
                <w:noProof/>
                <w:sz w:val="10"/>
                <w:szCs w:val="10"/>
              </w:rPr>
              <w:t>Ogółem</w:t>
            </w:r>
          </w:p>
        </w:tc>
        <w:tc>
          <w:tcPr>
            <w:tcW w:w="0" w:type="auto"/>
            <w:shd w:val="clear" w:color="auto" w:fill="auto"/>
          </w:tcPr>
          <w:p w14:paraId="71F28BCD" w14:textId="77777777" w:rsidR="008C5CFA" w:rsidRPr="001C4484" w:rsidRDefault="00E82A60" w:rsidP="00300A01">
            <w:pPr>
              <w:spacing w:before="0" w:after="0"/>
              <w:jc w:val="center"/>
              <w:rPr>
                <w:sz w:val="10"/>
                <w:szCs w:val="10"/>
              </w:rPr>
            </w:pPr>
            <w:r w:rsidRPr="001C4484">
              <w:rPr>
                <w:noProof/>
                <w:sz w:val="10"/>
                <w:szCs w:val="10"/>
              </w:rPr>
              <w:t>Mężczyźni</w:t>
            </w:r>
          </w:p>
        </w:tc>
        <w:tc>
          <w:tcPr>
            <w:tcW w:w="0" w:type="auto"/>
            <w:shd w:val="clear" w:color="auto" w:fill="auto"/>
          </w:tcPr>
          <w:p w14:paraId="00EA1B35" w14:textId="77777777" w:rsidR="008C5CFA" w:rsidRPr="001C4484" w:rsidRDefault="00E82A60" w:rsidP="00300A01">
            <w:pPr>
              <w:spacing w:before="0" w:after="0"/>
              <w:jc w:val="center"/>
              <w:rPr>
                <w:sz w:val="10"/>
                <w:szCs w:val="10"/>
              </w:rPr>
            </w:pPr>
            <w:r w:rsidRPr="001C4484">
              <w:rPr>
                <w:noProof/>
                <w:sz w:val="10"/>
                <w:szCs w:val="10"/>
              </w:rPr>
              <w:t>Kobiety</w:t>
            </w:r>
          </w:p>
        </w:tc>
        <w:tc>
          <w:tcPr>
            <w:tcW w:w="0" w:type="auto"/>
          </w:tcPr>
          <w:p w14:paraId="30226ABD" w14:textId="77777777" w:rsidR="008C5CFA" w:rsidRPr="001C4484" w:rsidRDefault="00E82A60" w:rsidP="00300A01">
            <w:pPr>
              <w:spacing w:before="0" w:after="0"/>
              <w:jc w:val="center"/>
              <w:rPr>
                <w:sz w:val="10"/>
                <w:szCs w:val="10"/>
              </w:rPr>
            </w:pPr>
            <w:r>
              <w:rPr>
                <w:noProof/>
                <w:sz w:val="10"/>
                <w:szCs w:val="10"/>
              </w:rPr>
              <w:t>Ogółem</w:t>
            </w:r>
          </w:p>
        </w:tc>
        <w:tc>
          <w:tcPr>
            <w:tcW w:w="0" w:type="auto"/>
            <w:shd w:val="clear" w:color="auto" w:fill="auto"/>
          </w:tcPr>
          <w:p w14:paraId="3365AE20" w14:textId="77777777" w:rsidR="008C5CFA" w:rsidRPr="001C4484" w:rsidRDefault="00E82A60" w:rsidP="00300A01">
            <w:pPr>
              <w:spacing w:before="0" w:after="0"/>
              <w:jc w:val="center"/>
              <w:rPr>
                <w:sz w:val="10"/>
                <w:szCs w:val="10"/>
              </w:rPr>
            </w:pPr>
            <w:r w:rsidRPr="001C4484">
              <w:rPr>
                <w:noProof/>
                <w:sz w:val="10"/>
                <w:szCs w:val="10"/>
              </w:rPr>
              <w:t>Mężczyźni</w:t>
            </w:r>
          </w:p>
        </w:tc>
        <w:tc>
          <w:tcPr>
            <w:tcW w:w="0" w:type="auto"/>
            <w:shd w:val="clear" w:color="auto" w:fill="auto"/>
          </w:tcPr>
          <w:p w14:paraId="5ED5E252" w14:textId="77777777" w:rsidR="008C5CFA" w:rsidRPr="001C4484" w:rsidRDefault="00E82A60" w:rsidP="00300A01">
            <w:pPr>
              <w:spacing w:before="0" w:after="0"/>
              <w:jc w:val="center"/>
              <w:rPr>
                <w:sz w:val="10"/>
                <w:szCs w:val="10"/>
              </w:rPr>
            </w:pPr>
            <w:r w:rsidRPr="001C4484">
              <w:rPr>
                <w:noProof/>
                <w:sz w:val="10"/>
                <w:szCs w:val="10"/>
              </w:rPr>
              <w:t>Kobiety</w:t>
            </w:r>
          </w:p>
        </w:tc>
      </w:tr>
    </w:tbl>
    <w:p w14:paraId="29B89144"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88"/>
        <w:gridCol w:w="1994"/>
        <w:gridCol w:w="3338"/>
        <w:gridCol w:w="1388"/>
        <w:gridCol w:w="1756"/>
        <w:gridCol w:w="1388"/>
        <w:gridCol w:w="1388"/>
        <w:gridCol w:w="1756"/>
        <w:gridCol w:w="1388"/>
      </w:tblGrid>
      <w:tr w:rsidR="006B2EC1" w14:paraId="30BEF4B1" w14:textId="77777777" w:rsidTr="0047688D">
        <w:trPr>
          <w:tblHeader/>
        </w:trPr>
        <w:tc>
          <w:tcPr>
            <w:tcW w:w="0" w:type="auto"/>
            <w:shd w:val="clear" w:color="auto" w:fill="auto"/>
          </w:tcPr>
          <w:p w14:paraId="28A9B78B" w14:textId="77777777" w:rsidR="008C5CFA" w:rsidRPr="001C4484" w:rsidRDefault="00E82A60" w:rsidP="00300A01">
            <w:pPr>
              <w:spacing w:before="0" w:after="0"/>
              <w:rPr>
                <w:sz w:val="10"/>
                <w:szCs w:val="10"/>
              </w:rPr>
            </w:pPr>
            <w:r w:rsidRPr="001C4484">
              <w:rPr>
                <w:b/>
                <w:noProof/>
                <w:sz w:val="12"/>
                <w:szCs w:val="12"/>
                <w:lang w:val="fr-BE"/>
              </w:rPr>
              <w:t>ID</w:t>
            </w:r>
          </w:p>
        </w:tc>
        <w:tc>
          <w:tcPr>
            <w:tcW w:w="0" w:type="auto"/>
            <w:shd w:val="clear" w:color="auto" w:fill="auto"/>
          </w:tcPr>
          <w:p w14:paraId="11F3212C" w14:textId="77777777" w:rsidR="008C5CFA" w:rsidRPr="001C4484" w:rsidRDefault="00E82A60" w:rsidP="00300A01">
            <w:pPr>
              <w:spacing w:before="0" w:after="0"/>
              <w:rPr>
                <w:sz w:val="10"/>
                <w:szCs w:val="10"/>
              </w:rPr>
            </w:pPr>
            <w:r w:rsidRPr="001C4484">
              <w:rPr>
                <w:b/>
                <w:noProof/>
                <w:sz w:val="12"/>
                <w:szCs w:val="12"/>
                <w:lang w:val="fr-BE"/>
              </w:rPr>
              <w:t>Wskaźnik</w:t>
            </w:r>
          </w:p>
        </w:tc>
        <w:tc>
          <w:tcPr>
            <w:tcW w:w="0" w:type="auto"/>
            <w:shd w:val="clear" w:color="auto" w:fill="auto"/>
          </w:tcPr>
          <w:p w14:paraId="374C4803" w14:textId="77777777" w:rsidR="008C5CFA" w:rsidRPr="001C4484" w:rsidRDefault="00E82A60" w:rsidP="00300A01">
            <w:pPr>
              <w:spacing w:before="0" w:after="0"/>
              <w:rPr>
                <w:sz w:val="10"/>
                <w:szCs w:val="10"/>
              </w:rPr>
            </w:pPr>
            <w:r w:rsidRPr="001C4484">
              <w:rPr>
                <w:b/>
                <w:noProof/>
                <w:sz w:val="12"/>
                <w:szCs w:val="12"/>
                <w:lang w:val="fr-BE"/>
              </w:rPr>
              <w:t>Kategoria regionu</w:t>
            </w:r>
          </w:p>
        </w:tc>
        <w:tc>
          <w:tcPr>
            <w:tcW w:w="0" w:type="auto"/>
            <w:gridSpan w:val="3"/>
          </w:tcPr>
          <w:p w14:paraId="04736952" w14:textId="77777777" w:rsidR="008C5CFA" w:rsidRPr="001C4484" w:rsidRDefault="00E82A60" w:rsidP="00300A01">
            <w:pPr>
              <w:spacing w:before="0" w:after="0"/>
              <w:jc w:val="center"/>
              <w:rPr>
                <w:sz w:val="10"/>
                <w:szCs w:val="10"/>
              </w:rPr>
            </w:pPr>
            <w:r w:rsidRPr="001C4484">
              <w:rPr>
                <w:sz w:val="10"/>
                <w:szCs w:val="10"/>
              </w:rPr>
              <w:t>2015</w:t>
            </w:r>
          </w:p>
        </w:tc>
        <w:tc>
          <w:tcPr>
            <w:tcW w:w="0" w:type="auto"/>
            <w:gridSpan w:val="3"/>
          </w:tcPr>
          <w:p w14:paraId="5A9C142D" w14:textId="77777777" w:rsidR="008C5CFA" w:rsidRPr="001C4484" w:rsidRDefault="00E82A60" w:rsidP="00300A01">
            <w:pPr>
              <w:spacing w:before="0" w:after="0"/>
              <w:jc w:val="center"/>
              <w:rPr>
                <w:sz w:val="10"/>
                <w:szCs w:val="10"/>
              </w:rPr>
            </w:pPr>
            <w:r w:rsidRPr="001C4484">
              <w:rPr>
                <w:sz w:val="10"/>
                <w:szCs w:val="10"/>
              </w:rPr>
              <w:t>2014</w:t>
            </w:r>
          </w:p>
        </w:tc>
      </w:tr>
      <w:tr w:rsidR="006B2EC1" w14:paraId="2503DB89" w14:textId="77777777" w:rsidTr="0047688D">
        <w:trPr>
          <w:tblHeader/>
        </w:trPr>
        <w:tc>
          <w:tcPr>
            <w:tcW w:w="0" w:type="auto"/>
            <w:shd w:val="clear" w:color="auto" w:fill="auto"/>
          </w:tcPr>
          <w:p w14:paraId="28BDE4D2" w14:textId="77777777" w:rsidR="008C5CFA" w:rsidRPr="001C4484" w:rsidRDefault="008C5CFA" w:rsidP="00300A01">
            <w:pPr>
              <w:spacing w:before="0" w:after="0"/>
              <w:rPr>
                <w:sz w:val="10"/>
                <w:szCs w:val="10"/>
              </w:rPr>
            </w:pPr>
          </w:p>
        </w:tc>
        <w:tc>
          <w:tcPr>
            <w:tcW w:w="0" w:type="auto"/>
            <w:shd w:val="clear" w:color="auto" w:fill="auto"/>
          </w:tcPr>
          <w:p w14:paraId="180020D0" w14:textId="77777777" w:rsidR="008C5CFA" w:rsidRPr="001C4484" w:rsidRDefault="008C5CFA" w:rsidP="00300A01">
            <w:pPr>
              <w:spacing w:before="0" w:after="0"/>
              <w:rPr>
                <w:sz w:val="10"/>
                <w:szCs w:val="10"/>
              </w:rPr>
            </w:pPr>
          </w:p>
        </w:tc>
        <w:tc>
          <w:tcPr>
            <w:tcW w:w="0" w:type="auto"/>
            <w:shd w:val="clear" w:color="auto" w:fill="auto"/>
          </w:tcPr>
          <w:p w14:paraId="57F77AD7" w14:textId="77777777" w:rsidR="008C5CFA" w:rsidRPr="001C4484" w:rsidRDefault="008C5CFA" w:rsidP="00300A01">
            <w:pPr>
              <w:spacing w:before="0" w:after="0"/>
              <w:rPr>
                <w:sz w:val="10"/>
                <w:szCs w:val="10"/>
              </w:rPr>
            </w:pPr>
          </w:p>
        </w:tc>
        <w:tc>
          <w:tcPr>
            <w:tcW w:w="0" w:type="auto"/>
          </w:tcPr>
          <w:p w14:paraId="4C307B8C" w14:textId="77777777" w:rsidR="008C5CFA" w:rsidRPr="001C4484" w:rsidRDefault="00E82A60" w:rsidP="00300A01">
            <w:pPr>
              <w:spacing w:before="0" w:after="0"/>
              <w:jc w:val="center"/>
              <w:rPr>
                <w:sz w:val="10"/>
                <w:szCs w:val="10"/>
              </w:rPr>
            </w:pPr>
            <w:r>
              <w:rPr>
                <w:noProof/>
                <w:sz w:val="10"/>
                <w:szCs w:val="10"/>
              </w:rPr>
              <w:t>Ogółem</w:t>
            </w:r>
          </w:p>
        </w:tc>
        <w:tc>
          <w:tcPr>
            <w:tcW w:w="0" w:type="auto"/>
            <w:shd w:val="clear" w:color="auto" w:fill="auto"/>
          </w:tcPr>
          <w:p w14:paraId="7B0083D8" w14:textId="77777777" w:rsidR="008C5CFA" w:rsidRPr="001C4484" w:rsidRDefault="00E82A60" w:rsidP="00300A01">
            <w:pPr>
              <w:spacing w:before="0" w:after="0"/>
              <w:jc w:val="center"/>
              <w:rPr>
                <w:sz w:val="10"/>
                <w:szCs w:val="10"/>
              </w:rPr>
            </w:pPr>
            <w:r w:rsidRPr="001C4484">
              <w:rPr>
                <w:noProof/>
                <w:sz w:val="10"/>
                <w:szCs w:val="10"/>
              </w:rPr>
              <w:t>Mężczyźni</w:t>
            </w:r>
          </w:p>
        </w:tc>
        <w:tc>
          <w:tcPr>
            <w:tcW w:w="0" w:type="auto"/>
            <w:shd w:val="clear" w:color="auto" w:fill="auto"/>
          </w:tcPr>
          <w:p w14:paraId="5DCEFB70" w14:textId="77777777" w:rsidR="008C5CFA" w:rsidRPr="001C4484" w:rsidRDefault="00E82A60" w:rsidP="00300A01">
            <w:pPr>
              <w:spacing w:before="0" w:after="0"/>
              <w:jc w:val="center"/>
              <w:rPr>
                <w:sz w:val="10"/>
                <w:szCs w:val="10"/>
              </w:rPr>
            </w:pPr>
            <w:r w:rsidRPr="001C4484">
              <w:rPr>
                <w:noProof/>
                <w:sz w:val="10"/>
                <w:szCs w:val="10"/>
              </w:rPr>
              <w:t>Kobiety</w:t>
            </w:r>
          </w:p>
        </w:tc>
        <w:tc>
          <w:tcPr>
            <w:tcW w:w="0" w:type="auto"/>
          </w:tcPr>
          <w:p w14:paraId="6890EF32" w14:textId="77777777" w:rsidR="008C5CFA" w:rsidRPr="001C4484" w:rsidRDefault="00E82A60" w:rsidP="00300A01">
            <w:pPr>
              <w:spacing w:before="0" w:after="0"/>
              <w:jc w:val="center"/>
              <w:rPr>
                <w:sz w:val="10"/>
                <w:szCs w:val="10"/>
              </w:rPr>
            </w:pPr>
            <w:r>
              <w:rPr>
                <w:noProof/>
                <w:sz w:val="10"/>
                <w:szCs w:val="10"/>
              </w:rPr>
              <w:t>Ogółem</w:t>
            </w:r>
          </w:p>
        </w:tc>
        <w:tc>
          <w:tcPr>
            <w:tcW w:w="0" w:type="auto"/>
            <w:shd w:val="clear" w:color="auto" w:fill="auto"/>
          </w:tcPr>
          <w:p w14:paraId="1B354681" w14:textId="77777777" w:rsidR="008C5CFA" w:rsidRPr="001C4484" w:rsidRDefault="00E82A60" w:rsidP="00300A01">
            <w:pPr>
              <w:spacing w:before="0" w:after="0"/>
              <w:jc w:val="center"/>
              <w:rPr>
                <w:sz w:val="10"/>
                <w:szCs w:val="10"/>
              </w:rPr>
            </w:pPr>
            <w:r w:rsidRPr="001C4484">
              <w:rPr>
                <w:noProof/>
                <w:sz w:val="10"/>
                <w:szCs w:val="10"/>
              </w:rPr>
              <w:t>Mężczyźni</w:t>
            </w:r>
          </w:p>
        </w:tc>
        <w:tc>
          <w:tcPr>
            <w:tcW w:w="0" w:type="auto"/>
            <w:shd w:val="clear" w:color="auto" w:fill="auto"/>
          </w:tcPr>
          <w:p w14:paraId="65DE8792" w14:textId="77777777" w:rsidR="008C5CFA" w:rsidRPr="001C4484" w:rsidRDefault="00E82A60" w:rsidP="00300A01">
            <w:pPr>
              <w:spacing w:before="0" w:after="0"/>
              <w:jc w:val="center"/>
              <w:rPr>
                <w:sz w:val="10"/>
                <w:szCs w:val="10"/>
              </w:rPr>
            </w:pPr>
            <w:r w:rsidRPr="001C4484">
              <w:rPr>
                <w:noProof/>
                <w:sz w:val="10"/>
                <w:szCs w:val="10"/>
              </w:rPr>
              <w:t>Kobiety</w:t>
            </w:r>
          </w:p>
        </w:tc>
      </w:tr>
    </w:tbl>
    <w:p w14:paraId="2009D50A" w14:textId="77777777" w:rsidR="008C5CFA" w:rsidRDefault="008C5CFA" w:rsidP="00300A01">
      <w:pPr>
        <w:spacing w:before="0" w:after="0"/>
        <w:rPr>
          <w:lang w:val="fr-BE"/>
        </w:rPr>
      </w:pPr>
    </w:p>
    <w:p w14:paraId="343E91F0" w14:textId="77777777" w:rsidR="008C5CFA" w:rsidRDefault="00E82A60" w:rsidP="00300A01">
      <w:pPr>
        <w:spacing w:before="0" w:after="0"/>
        <w:rPr>
          <w:lang w:val="fr-BE"/>
        </w:rPr>
      </w:pPr>
      <w:r>
        <w:rPr>
          <w:lang w:val="fr-BE"/>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36"/>
        <w:gridCol w:w="8848"/>
      </w:tblGrid>
      <w:tr w:rsidR="006B2EC1" w14:paraId="428AEA44" w14:textId="77777777" w:rsidTr="0047688D">
        <w:tc>
          <w:tcPr>
            <w:tcW w:w="0" w:type="auto"/>
            <w:shd w:val="clear" w:color="auto" w:fill="auto"/>
          </w:tcPr>
          <w:p w14:paraId="5F716B98" w14:textId="77777777" w:rsidR="008C5CFA" w:rsidRPr="002124FC" w:rsidRDefault="00E82A60" w:rsidP="00300A01">
            <w:pPr>
              <w:spacing w:before="0" w:after="0"/>
              <w:rPr>
                <w:sz w:val="20"/>
                <w:szCs w:val="20"/>
                <w:lang w:val="fr-BE"/>
              </w:rPr>
            </w:pPr>
            <w:r w:rsidRPr="002124FC">
              <w:rPr>
                <w:noProof/>
                <w:sz w:val="20"/>
                <w:szCs w:val="20"/>
                <w:lang w:val="fr-BE"/>
              </w:rPr>
              <w:lastRenderedPageBreak/>
              <w:t>Oś priorytetowa</w:t>
            </w:r>
          </w:p>
        </w:tc>
        <w:tc>
          <w:tcPr>
            <w:tcW w:w="0" w:type="auto"/>
            <w:shd w:val="clear" w:color="auto" w:fill="auto"/>
          </w:tcPr>
          <w:p w14:paraId="1D398408" w14:textId="77777777" w:rsidR="008C5CFA" w:rsidRPr="002124FC" w:rsidRDefault="00E82A60" w:rsidP="00300A01">
            <w:pPr>
              <w:spacing w:before="0" w:after="0"/>
              <w:rPr>
                <w:sz w:val="20"/>
                <w:szCs w:val="20"/>
                <w:lang w:val="fr-BE"/>
              </w:rPr>
            </w:pPr>
            <w:r w:rsidRPr="002124FC">
              <w:rPr>
                <w:noProof/>
                <w:sz w:val="20"/>
                <w:szCs w:val="20"/>
                <w:lang w:val="fr-BE"/>
              </w:rPr>
              <w:t>11</w:t>
            </w:r>
            <w:r w:rsidRPr="002124FC">
              <w:rPr>
                <w:sz w:val="20"/>
                <w:szCs w:val="20"/>
                <w:lang w:val="fr-BE"/>
              </w:rPr>
              <w:t xml:space="preserve"> - </w:t>
            </w:r>
            <w:r w:rsidRPr="002124FC">
              <w:rPr>
                <w:noProof/>
                <w:sz w:val="20"/>
                <w:szCs w:val="20"/>
                <w:lang w:val="fr-BE"/>
              </w:rPr>
              <w:t>Pomoc Techniczna</w:t>
            </w:r>
          </w:p>
        </w:tc>
      </w:tr>
    </w:tbl>
    <w:p w14:paraId="664A17DB" w14:textId="77777777" w:rsidR="008C5CFA" w:rsidRDefault="008C5CFA" w:rsidP="00300A01">
      <w:pPr>
        <w:spacing w:before="0" w:after="0"/>
      </w:pPr>
    </w:p>
    <w:p w14:paraId="43820EA4" w14:textId="77777777" w:rsidR="008C5CFA" w:rsidRDefault="00E82A60" w:rsidP="00300A01">
      <w:pPr>
        <w:pStyle w:val="Nagwek2"/>
        <w:spacing w:before="0" w:after="0"/>
      </w:pPr>
      <w:bookmarkStart w:id="80" w:name="_Toc46391764"/>
      <w:r w:rsidRPr="00920B4D">
        <w:rPr>
          <w:noProof/>
          <w:lang w:val="fr-BE"/>
        </w:rPr>
        <w:t>Tabela 4B Specyficzne dla programu wskaźniki produktu dla EFS oraz Inicjatywy na rzecz zatrudnienia ludzi młodych</w:t>
      </w:r>
      <w:r w:rsidR="009937DA">
        <w:t xml:space="preserve"> - </w:t>
      </w:r>
      <w:r w:rsidR="009937DA" w:rsidRPr="002124FC">
        <w:rPr>
          <w:noProof/>
          <w:sz w:val="20"/>
          <w:szCs w:val="20"/>
          <w:lang w:val="fr-BE"/>
        </w:rPr>
        <w:t>11</w:t>
      </w:r>
      <w:bookmarkEnd w:id="80"/>
    </w:p>
    <w:p w14:paraId="6F787A80" w14:textId="77777777" w:rsidR="008C5CFA" w:rsidRDefault="008C5CFA" w:rsidP="00300A01">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57"/>
        <w:gridCol w:w="4353"/>
        <w:gridCol w:w="1207"/>
        <w:gridCol w:w="1117"/>
        <w:gridCol w:w="604"/>
        <w:gridCol w:w="761"/>
        <w:gridCol w:w="611"/>
        <w:gridCol w:w="761"/>
        <w:gridCol w:w="761"/>
        <w:gridCol w:w="611"/>
        <w:gridCol w:w="604"/>
        <w:gridCol w:w="761"/>
        <w:gridCol w:w="611"/>
        <w:gridCol w:w="693"/>
        <w:gridCol w:w="761"/>
        <w:gridCol w:w="611"/>
      </w:tblGrid>
      <w:tr w:rsidR="006B2EC1" w14:paraId="5B11172A" w14:textId="77777777" w:rsidTr="00EE7BC4">
        <w:trPr>
          <w:tblHeader/>
        </w:trPr>
        <w:tc>
          <w:tcPr>
            <w:tcW w:w="0" w:type="auto"/>
            <w:shd w:val="clear" w:color="auto" w:fill="auto"/>
          </w:tcPr>
          <w:p w14:paraId="7C0060EE" w14:textId="77777777" w:rsidR="008C5CFA" w:rsidRPr="00A92B39" w:rsidRDefault="00E82A60" w:rsidP="00300A01">
            <w:pPr>
              <w:spacing w:before="0" w:after="0"/>
              <w:rPr>
                <w:b/>
                <w:sz w:val="10"/>
                <w:szCs w:val="10"/>
                <w:lang w:val="fr-BE"/>
              </w:rPr>
            </w:pPr>
            <w:r w:rsidRPr="00A92B39">
              <w:rPr>
                <w:b/>
                <w:noProof/>
                <w:sz w:val="10"/>
                <w:szCs w:val="10"/>
                <w:lang w:val="fr-BE"/>
              </w:rPr>
              <w:t>ID</w:t>
            </w:r>
          </w:p>
        </w:tc>
        <w:tc>
          <w:tcPr>
            <w:tcW w:w="0" w:type="auto"/>
            <w:shd w:val="clear" w:color="auto" w:fill="auto"/>
          </w:tcPr>
          <w:p w14:paraId="359381F9" w14:textId="77777777" w:rsidR="008C5CFA" w:rsidRPr="00A92B39" w:rsidRDefault="00E82A60" w:rsidP="00300A01">
            <w:pPr>
              <w:spacing w:before="0" w:after="0"/>
              <w:rPr>
                <w:b/>
                <w:sz w:val="10"/>
                <w:szCs w:val="10"/>
                <w:lang w:val="fr-BE"/>
              </w:rPr>
            </w:pPr>
            <w:r w:rsidRPr="00A92B39">
              <w:rPr>
                <w:b/>
                <w:noProof/>
                <w:sz w:val="10"/>
                <w:szCs w:val="10"/>
                <w:lang w:val="fr-BE"/>
              </w:rPr>
              <w:t>Wskaźnik</w:t>
            </w:r>
          </w:p>
        </w:tc>
        <w:tc>
          <w:tcPr>
            <w:tcW w:w="0" w:type="auto"/>
            <w:shd w:val="clear" w:color="auto" w:fill="auto"/>
          </w:tcPr>
          <w:p w14:paraId="76EDFC81" w14:textId="77777777" w:rsidR="008C5CFA" w:rsidRPr="00A92B39" w:rsidRDefault="00E82A60" w:rsidP="00300A01">
            <w:pPr>
              <w:spacing w:before="0" w:after="0"/>
              <w:rPr>
                <w:b/>
                <w:sz w:val="10"/>
                <w:szCs w:val="10"/>
                <w:lang w:val="fr-BE"/>
              </w:rPr>
            </w:pPr>
            <w:r w:rsidRPr="00A92B39">
              <w:rPr>
                <w:b/>
                <w:noProof/>
                <w:sz w:val="10"/>
                <w:szCs w:val="10"/>
                <w:lang w:val="fr-BE"/>
              </w:rPr>
              <w:t>Kategoria regionu</w:t>
            </w:r>
          </w:p>
        </w:tc>
        <w:tc>
          <w:tcPr>
            <w:tcW w:w="0" w:type="auto"/>
          </w:tcPr>
          <w:p w14:paraId="22FCD2E8" w14:textId="77777777" w:rsidR="008C5CFA" w:rsidRPr="00A92B39" w:rsidRDefault="00E82A60" w:rsidP="00300A01">
            <w:pPr>
              <w:spacing w:before="0" w:after="0"/>
              <w:jc w:val="center"/>
              <w:rPr>
                <w:b/>
                <w:sz w:val="10"/>
                <w:szCs w:val="10"/>
                <w:lang w:val="fr-BE"/>
              </w:rPr>
            </w:pPr>
            <w:r w:rsidRPr="00A92B39">
              <w:rPr>
                <w:b/>
                <w:noProof/>
                <w:sz w:val="10"/>
                <w:szCs w:val="10"/>
                <w:lang w:val="fr-BE"/>
              </w:rPr>
              <w:t>Jednostka miary</w:t>
            </w:r>
          </w:p>
        </w:tc>
        <w:tc>
          <w:tcPr>
            <w:tcW w:w="0" w:type="auto"/>
            <w:gridSpan w:val="3"/>
            <w:shd w:val="clear" w:color="auto" w:fill="auto"/>
          </w:tcPr>
          <w:p w14:paraId="5833D370" w14:textId="77777777" w:rsidR="008C5CFA" w:rsidRPr="00A92B39" w:rsidRDefault="00E82A60" w:rsidP="00300A01">
            <w:pPr>
              <w:spacing w:before="0" w:after="0"/>
              <w:jc w:val="center"/>
              <w:rPr>
                <w:b/>
                <w:sz w:val="10"/>
                <w:szCs w:val="10"/>
                <w:lang w:val="fr-BE"/>
              </w:rPr>
            </w:pPr>
            <w:r w:rsidRPr="00A92B39">
              <w:rPr>
                <w:b/>
                <w:noProof/>
                <w:sz w:val="10"/>
                <w:szCs w:val="10"/>
                <w:lang w:val="fr-BE"/>
              </w:rPr>
              <w:t>Wartość docelowa (2023)</w:t>
            </w:r>
          </w:p>
        </w:tc>
        <w:tc>
          <w:tcPr>
            <w:tcW w:w="0" w:type="auto"/>
            <w:gridSpan w:val="3"/>
            <w:shd w:val="clear" w:color="auto" w:fill="auto"/>
          </w:tcPr>
          <w:p w14:paraId="574362A0" w14:textId="77777777" w:rsidR="008C5CFA" w:rsidRPr="00A92B39" w:rsidRDefault="00E82A60" w:rsidP="00300A01">
            <w:pPr>
              <w:spacing w:before="0" w:after="0"/>
              <w:jc w:val="center"/>
              <w:rPr>
                <w:b/>
                <w:sz w:val="10"/>
                <w:szCs w:val="10"/>
                <w:lang w:val="fr-BE"/>
              </w:rPr>
            </w:pPr>
            <w:r w:rsidRPr="00A92B39">
              <w:rPr>
                <w:b/>
                <w:noProof/>
                <w:sz w:val="10"/>
                <w:szCs w:val="10"/>
                <w:lang w:val="fr-BE"/>
              </w:rPr>
              <w:t>Wartość skumulowana</w:t>
            </w:r>
          </w:p>
        </w:tc>
        <w:tc>
          <w:tcPr>
            <w:tcW w:w="0" w:type="auto"/>
            <w:gridSpan w:val="3"/>
            <w:shd w:val="clear" w:color="auto" w:fill="auto"/>
          </w:tcPr>
          <w:p w14:paraId="4F2B8664" w14:textId="77777777" w:rsidR="008C5CFA" w:rsidRPr="00A92B39" w:rsidRDefault="00E82A60" w:rsidP="00300A01">
            <w:pPr>
              <w:spacing w:before="0" w:after="0"/>
              <w:jc w:val="center"/>
              <w:rPr>
                <w:b/>
                <w:sz w:val="10"/>
                <w:szCs w:val="10"/>
                <w:lang w:val="fr-BE"/>
              </w:rPr>
            </w:pPr>
            <w:r w:rsidRPr="00A92B39">
              <w:rPr>
                <w:b/>
                <w:noProof/>
                <w:sz w:val="10"/>
                <w:szCs w:val="10"/>
                <w:lang w:val="fr-BE"/>
              </w:rPr>
              <w:t>Wskaźnik osiągnięć</w:t>
            </w:r>
          </w:p>
        </w:tc>
        <w:tc>
          <w:tcPr>
            <w:tcW w:w="0" w:type="auto"/>
            <w:gridSpan w:val="3"/>
          </w:tcPr>
          <w:p w14:paraId="53CF843E" w14:textId="77777777" w:rsidR="008C5CFA" w:rsidRPr="00A92B39" w:rsidRDefault="00E82A60" w:rsidP="00300A01">
            <w:pPr>
              <w:spacing w:before="0" w:after="0"/>
              <w:jc w:val="center"/>
              <w:rPr>
                <w:b/>
                <w:sz w:val="10"/>
                <w:szCs w:val="10"/>
                <w:lang w:val="fr-BE"/>
              </w:rPr>
            </w:pPr>
            <w:r w:rsidRPr="00A92B39">
              <w:rPr>
                <w:bCs/>
                <w:sz w:val="10"/>
                <w:szCs w:val="10"/>
                <w:lang w:val="en-US"/>
              </w:rPr>
              <w:t>2019</w:t>
            </w:r>
          </w:p>
        </w:tc>
      </w:tr>
      <w:tr w:rsidR="006B2EC1" w14:paraId="0D625957" w14:textId="77777777" w:rsidTr="00EE7BC4">
        <w:trPr>
          <w:tblHeader/>
        </w:trPr>
        <w:tc>
          <w:tcPr>
            <w:tcW w:w="0" w:type="auto"/>
            <w:shd w:val="clear" w:color="auto" w:fill="auto"/>
          </w:tcPr>
          <w:p w14:paraId="39B27B87" w14:textId="77777777" w:rsidR="008C5CFA" w:rsidRPr="00A92B39" w:rsidRDefault="008C5CFA" w:rsidP="00300A01">
            <w:pPr>
              <w:spacing w:before="0" w:after="0"/>
              <w:rPr>
                <w:b/>
                <w:sz w:val="10"/>
                <w:szCs w:val="10"/>
                <w:lang w:val="fr-BE"/>
              </w:rPr>
            </w:pPr>
          </w:p>
        </w:tc>
        <w:tc>
          <w:tcPr>
            <w:tcW w:w="0" w:type="auto"/>
            <w:shd w:val="clear" w:color="auto" w:fill="auto"/>
          </w:tcPr>
          <w:p w14:paraId="0F39B8A5" w14:textId="77777777" w:rsidR="008C5CFA" w:rsidRPr="00A92B39" w:rsidRDefault="008C5CFA" w:rsidP="00300A01">
            <w:pPr>
              <w:spacing w:before="0" w:after="0"/>
              <w:rPr>
                <w:b/>
                <w:sz w:val="10"/>
                <w:szCs w:val="10"/>
                <w:lang w:val="fr-BE"/>
              </w:rPr>
            </w:pPr>
          </w:p>
        </w:tc>
        <w:tc>
          <w:tcPr>
            <w:tcW w:w="0" w:type="auto"/>
            <w:shd w:val="clear" w:color="auto" w:fill="auto"/>
          </w:tcPr>
          <w:p w14:paraId="346D5A2C" w14:textId="77777777" w:rsidR="008C5CFA" w:rsidRPr="00A92B39" w:rsidRDefault="008C5CFA" w:rsidP="00300A01">
            <w:pPr>
              <w:spacing w:before="0" w:after="0"/>
              <w:rPr>
                <w:b/>
                <w:sz w:val="10"/>
                <w:szCs w:val="10"/>
                <w:lang w:val="fr-BE"/>
              </w:rPr>
            </w:pPr>
          </w:p>
        </w:tc>
        <w:tc>
          <w:tcPr>
            <w:tcW w:w="0" w:type="auto"/>
          </w:tcPr>
          <w:p w14:paraId="622927B8" w14:textId="77777777" w:rsidR="008C5CFA" w:rsidRPr="00A92B39" w:rsidRDefault="008C5CFA" w:rsidP="00300A01">
            <w:pPr>
              <w:spacing w:before="0" w:after="0"/>
              <w:jc w:val="center"/>
              <w:rPr>
                <w:b/>
                <w:sz w:val="10"/>
                <w:szCs w:val="10"/>
                <w:lang w:val="fr-BE"/>
              </w:rPr>
            </w:pPr>
          </w:p>
        </w:tc>
        <w:tc>
          <w:tcPr>
            <w:tcW w:w="0" w:type="auto"/>
            <w:shd w:val="clear" w:color="auto" w:fill="auto"/>
          </w:tcPr>
          <w:p w14:paraId="5FE5A099" w14:textId="77777777" w:rsidR="008C5CFA" w:rsidRPr="00A92B39" w:rsidRDefault="00E82A60" w:rsidP="00300A01">
            <w:pPr>
              <w:spacing w:before="0" w:after="0"/>
              <w:jc w:val="center"/>
              <w:rPr>
                <w:b/>
                <w:sz w:val="10"/>
                <w:szCs w:val="10"/>
                <w:lang w:val="fr-BE"/>
              </w:rPr>
            </w:pPr>
            <w:r w:rsidRPr="00A92B39">
              <w:rPr>
                <w:b/>
                <w:noProof/>
                <w:sz w:val="10"/>
                <w:szCs w:val="10"/>
                <w:lang w:val="fr-BE"/>
              </w:rPr>
              <w:t>Ogółem</w:t>
            </w:r>
          </w:p>
        </w:tc>
        <w:tc>
          <w:tcPr>
            <w:tcW w:w="0" w:type="auto"/>
            <w:shd w:val="clear" w:color="auto" w:fill="auto"/>
          </w:tcPr>
          <w:p w14:paraId="074EF6DC" w14:textId="77777777" w:rsidR="008C5CFA" w:rsidRPr="00A92B39" w:rsidRDefault="00E82A60" w:rsidP="00300A01">
            <w:pPr>
              <w:spacing w:before="0" w:after="0"/>
              <w:jc w:val="center"/>
              <w:rPr>
                <w:b/>
                <w:sz w:val="10"/>
                <w:szCs w:val="10"/>
                <w:lang w:val="fr-BE"/>
              </w:rPr>
            </w:pPr>
            <w:r w:rsidRPr="00A92B39">
              <w:rPr>
                <w:b/>
                <w:noProof/>
                <w:sz w:val="10"/>
                <w:szCs w:val="10"/>
                <w:lang w:val="fr-BE"/>
              </w:rPr>
              <w:t>Mężczyźni</w:t>
            </w:r>
          </w:p>
        </w:tc>
        <w:tc>
          <w:tcPr>
            <w:tcW w:w="0" w:type="auto"/>
            <w:shd w:val="clear" w:color="auto" w:fill="auto"/>
          </w:tcPr>
          <w:p w14:paraId="7B611143" w14:textId="77777777" w:rsidR="008C5CFA" w:rsidRPr="00A92B39" w:rsidRDefault="00E82A60" w:rsidP="00300A01">
            <w:pPr>
              <w:spacing w:before="0" w:after="0"/>
              <w:jc w:val="center"/>
              <w:rPr>
                <w:b/>
                <w:sz w:val="10"/>
                <w:szCs w:val="10"/>
                <w:lang w:val="fr-BE"/>
              </w:rPr>
            </w:pPr>
            <w:r w:rsidRPr="00A92B39">
              <w:rPr>
                <w:b/>
                <w:noProof/>
                <w:sz w:val="10"/>
                <w:szCs w:val="10"/>
                <w:lang w:val="fr-BE"/>
              </w:rPr>
              <w:t>Kobiety</w:t>
            </w:r>
          </w:p>
        </w:tc>
        <w:tc>
          <w:tcPr>
            <w:tcW w:w="0" w:type="auto"/>
            <w:shd w:val="clear" w:color="auto" w:fill="auto"/>
          </w:tcPr>
          <w:p w14:paraId="55E03225" w14:textId="77777777" w:rsidR="008C5CFA" w:rsidRPr="00A92B39" w:rsidRDefault="00E82A60" w:rsidP="00300A01">
            <w:pPr>
              <w:spacing w:before="0" w:after="0"/>
              <w:jc w:val="center"/>
              <w:rPr>
                <w:b/>
                <w:sz w:val="10"/>
                <w:szCs w:val="10"/>
                <w:lang w:val="fr-BE"/>
              </w:rPr>
            </w:pPr>
            <w:r w:rsidRPr="00A92B39">
              <w:rPr>
                <w:b/>
                <w:noProof/>
                <w:sz w:val="10"/>
                <w:szCs w:val="10"/>
                <w:lang w:val="fr-BE"/>
              </w:rPr>
              <w:t>Ogółem</w:t>
            </w:r>
          </w:p>
        </w:tc>
        <w:tc>
          <w:tcPr>
            <w:tcW w:w="0" w:type="auto"/>
            <w:shd w:val="clear" w:color="auto" w:fill="auto"/>
          </w:tcPr>
          <w:p w14:paraId="14F0AA8F" w14:textId="77777777" w:rsidR="008C5CFA" w:rsidRPr="00A92B39" w:rsidRDefault="00E82A60" w:rsidP="00300A01">
            <w:pPr>
              <w:spacing w:before="0" w:after="0"/>
              <w:jc w:val="center"/>
              <w:rPr>
                <w:b/>
                <w:sz w:val="10"/>
                <w:szCs w:val="10"/>
                <w:lang w:val="fr-BE"/>
              </w:rPr>
            </w:pPr>
            <w:r w:rsidRPr="00A92B39">
              <w:rPr>
                <w:b/>
                <w:noProof/>
                <w:sz w:val="10"/>
                <w:szCs w:val="10"/>
                <w:lang w:val="fr-BE"/>
              </w:rPr>
              <w:t>Mężczyźni</w:t>
            </w:r>
          </w:p>
        </w:tc>
        <w:tc>
          <w:tcPr>
            <w:tcW w:w="0" w:type="auto"/>
            <w:shd w:val="clear" w:color="auto" w:fill="auto"/>
          </w:tcPr>
          <w:p w14:paraId="6FCBDFC0" w14:textId="77777777" w:rsidR="008C5CFA" w:rsidRPr="00A92B39" w:rsidRDefault="00E82A60" w:rsidP="00300A01">
            <w:pPr>
              <w:spacing w:before="0" w:after="0"/>
              <w:jc w:val="center"/>
              <w:rPr>
                <w:b/>
                <w:sz w:val="10"/>
                <w:szCs w:val="10"/>
                <w:lang w:val="fr-BE"/>
              </w:rPr>
            </w:pPr>
            <w:r w:rsidRPr="00A92B39">
              <w:rPr>
                <w:b/>
                <w:noProof/>
                <w:sz w:val="10"/>
                <w:szCs w:val="10"/>
                <w:lang w:val="fr-BE"/>
              </w:rPr>
              <w:t>Kobiety</w:t>
            </w:r>
          </w:p>
        </w:tc>
        <w:tc>
          <w:tcPr>
            <w:tcW w:w="0" w:type="auto"/>
            <w:shd w:val="clear" w:color="auto" w:fill="auto"/>
          </w:tcPr>
          <w:p w14:paraId="7B53C49A" w14:textId="77777777" w:rsidR="008C5CFA" w:rsidRPr="00A92B39" w:rsidRDefault="00E82A60" w:rsidP="00300A01">
            <w:pPr>
              <w:spacing w:before="0" w:after="0"/>
              <w:jc w:val="center"/>
              <w:rPr>
                <w:b/>
                <w:sz w:val="10"/>
                <w:szCs w:val="10"/>
                <w:lang w:val="fr-BE"/>
              </w:rPr>
            </w:pPr>
            <w:r w:rsidRPr="00A92B39">
              <w:rPr>
                <w:b/>
                <w:noProof/>
                <w:sz w:val="10"/>
                <w:szCs w:val="10"/>
                <w:lang w:val="fr-BE"/>
              </w:rPr>
              <w:t>Ogółem</w:t>
            </w:r>
          </w:p>
        </w:tc>
        <w:tc>
          <w:tcPr>
            <w:tcW w:w="0" w:type="auto"/>
            <w:shd w:val="clear" w:color="auto" w:fill="auto"/>
          </w:tcPr>
          <w:p w14:paraId="57AA51E3" w14:textId="77777777" w:rsidR="008C5CFA" w:rsidRPr="00A92B39" w:rsidRDefault="00E82A60" w:rsidP="00300A01">
            <w:pPr>
              <w:spacing w:before="0" w:after="0"/>
              <w:jc w:val="center"/>
              <w:rPr>
                <w:b/>
                <w:sz w:val="10"/>
                <w:szCs w:val="10"/>
                <w:lang w:val="fr-BE"/>
              </w:rPr>
            </w:pPr>
            <w:r w:rsidRPr="00A92B39">
              <w:rPr>
                <w:b/>
                <w:noProof/>
                <w:sz w:val="10"/>
                <w:szCs w:val="10"/>
                <w:lang w:val="fr-BE"/>
              </w:rPr>
              <w:t>Mężczyźni</w:t>
            </w:r>
          </w:p>
        </w:tc>
        <w:tc>
          <w:tcPr>
            <w:tcW w:w="0" w:type="auto"/>
            <w:shd w:val="clear" w:color="auto" w:fill="auto"/>
          </w:tcPr>
          <w:p w14:paraId="3C145ABD" w14:textId="77777777" w:rsidR="008C5CFA" w:rsidRPr="00A92B39" w:rsidRDefault="00E82A60" w:rsidP="00300A01">
            <w:pPr>
              <w:spacing w:before="0" w:after="0"/>
              <w:jc w:val="center"/>
              <w:rPr>
                <w:b/>
                <w:sz w:val="10"/>
                <w:szCs w:val="10"/>
                <w:lang w:val="fr-BE"/>
              </w:rPr>
            </w:pPr>
            <w:r w:rsidRPr="00A92B39">
              <w:rPr>
                <w:b/>
                <w:noProof/>
                <w:sz w:val="10"/>
                <w:szCs w:val="10"/>
                <w:lang w:val="fr-BE"/>
              </w:rPr>
              <w:t>Kobiety</w:t>
            </w:r>
          </w:p>
        </w:tc>
        <w:tc>
          <w:tcPr>
            <w:tcW w:w="0" w:type="auto"/>
          </w:tcPr>
          <w:p w14:paraId="73E9E65D" w14:textId="77777777" w:rsidR="008C5CFA" w:rsidRPr="00A92B39" w:rsidRDefault="00E82A60" w:rsidP="00300A01">
            <w:pPr>
              <w:spacing w:before="0" w:after="0"/>
              <w:jc w:val="center"/>
              <w:rPr>
                <w:b/>
                <w:sz w:val="10"/>
                <w:szCs w:val="10"/>
                <w:lang w:val="fr-BE"/>
              </w:rPr>
            </w:pPr>
            <w:r w:rsidRPr="00A92B39">
              <w:rPr>
                <w:b/>
                <w:noProof/>
                <w:sz w:val="10"/>
                <w:szCs w:val="10"/>
                <w:lang w:val="fr-BE"/>
              </w:rPr>
              <w:t>Ogółem</w:t>
            </w:r>
          </w:p>
        </w:tc>
        <w:tc>
          <w:tcPr>
            <w:tcW w:w="0" w:type="auto"/>
            <w:shd w:val="clear" w:color="auto" w:fill="auto"/>
          </w:tcPr>
          <w:p w14:paraId="6F377897" w14:textId="77777777" w:rsidR="008C5CFA" w:rsidRPr="00A92B39" w:rsidRDefault="00E82A60" w:rsidP="00300A01">
            <w:pPr>
              <w:spacing w:before="0" w:after="0"/>
              <w:jc w:val="center"/>
              <w:rPr>
                <w:b/>
                <w:sz w:val="10"/>
                <w:szCs w:val="10"/>
                <w:lang w:val="fr-BE"/>
              </w:rPr>
            </w:pPr>
            <w:r w:rsidRPr="00A92B39">
              <w:rPr>
                <w:b/>
                <w:noProof/>
                <w:sz w:val="10"/>
                <w:szCs w:val="10"/>
                <w:lang w:val="fr-BE"/>
              </w:rPr>
              <w:t>Mężczyźni</w:t>
            </w:r>
          </w:p>
        </w:tc>
        <w:tc>
          <w:tcPr>
            <w:tcW w:w="0" w:type="auto"/>
            <w:shd w:val="clear" w:color="auto" w:fill="auto"/>
          </w:tcPr>
          <w:p w14:paraId="3E1A2DF8" w14:textId="77777777" w:rsidR="008C5CFA" w:rsidRPr="00A92B39" w:rsidRDefault="00E82A60" w:rsidP="00300A01">
            <w:pPr>
              <w:spacing w:before="0" w:after="0"/>
              <w:jc w:val="center"/>
              <w:rPr>
                <w:b/>
                <w:sz w:val="10"/>
                <w:szCs w:val="10"/>
                <w:lang w:val="fr-BE"/>
              </w:rPr>
            </w:pPr>
            <w:r w:rsidRPr="00A92B39">
              <w:rPr>
                <w:b/>
                <w:noProof/>
                <w:sz w:val="10"/>
                <w:szCs w:val="10"/>
                <w:lang w:val="fr-BE"/>
              </w:rPr>
              <w:t>Kobiety</w:t>
            </w:r>
          </w:p>
        </w:tc>
      </w:tr>
      <w:tr w:rsidR="006B2EC1" w14:paraId="7F0DDDD6" w14:textId="77777777" w:rsidTr="00EE7BC4">
        <w:tc>
          <w:tcPr>
            <w:tcW w:w="0" w:type="auto"/>
            <w:shd w:val="clear" w:color="auto" w:fill="auto"/>
          </w:tcPr>
          <w:p w14:paraId="110A14B5" w14:textId="77777777" w:rsidR="008C5CFA" w:rsidRPr="00A92B39" w:rsidRDefault="00E82A60" w:rsidP="00300A01">
            <w:pPr>
              <w:spacing w:before="0" w:after="0"/>
              <w:rPr>
                <w:sz w:val="10"/>
                <w:szCs w:val="10"/>
                <w:lang w:val="fr-BE"/>
              </w:rPr>
            </w:pPr>
            <w:r w:rsidRPr="00A92B39">
              <w:rPr>
                <w:noProof/>
                <w:sz w:val="10"/>
                <w:szCs w:val="10"/>
                <w:lang w:val="fr-BE"/>
              </w:rPr>
              <w:t>024</w:t>
            </w:r>
          </w:p>
        </w:tc>
        <w:tc>
          <w:tcPr>
            <w:tcW w:w="0" w:type="auto"/>
            <w:shd w:val="clear" w:color="auto" w:fill="auto"/>
          </w:tcPr>
          <w:p w14:paraId="4AC91CC6" w14:textId="77777777" w:rsidR="008C5CFA" w:rsidRPr="00A92B39" w:rsidRDefault="00E82A60" w:rsidP="00300A01">
            <w:pPr>
              <w:spacing w:before="0" w:after="0"/>
              <w:rPr>
                <w:sz w:val="10"/>
                <w:szCs w:val="10"/>
                <w:lang w:val="fr-BE"/>
              </w:rPr>
            </w:pPr>
            <w:r w:rsidRPr="00A92B39">
              <w:rPr>
                <w:noProof/>
                <w:sz w:val="10"/>
                <w:szCs w:val="10"/>
                <w:lang w:val="fr-BE"/>
              </w:rPr>
              <w:t>Liczba odwiedzin portalu informacyjnego/serwisu internetowego</w:t>
            </w:r>
          </w:p>
        </w:tc>
        <w:tc>
          <w:tcPr>
            <w:tcW w:w="0" w:type="auto"/>
            <w:shd w:val="clear" w:color="auto" w:fill="auto"/>
          </w:tcPr>
          <w:p w14:paraId="2061BA8A" w14:textId="77777777" w:rsidR="008C5CFA" w:rsidRPr="00A92B39" w:rsidRDefault="008C5CFA" w:rsidP="00300A01">
            <w:pPr>
              <w:spacing w:before="0" w:after="0"/>
              <w:rPr>
                <w:sz w:val="10"/>
                <w:szCs w:val="10"/>
                <w:lang w:val="fr-BE"/>
              </w:rPr>
            </w:pPr>
          </w:p>
        </w:tc>
        <w:tc>
          <w:tcPr>
            <w:tcW w:w="0" w:type="auto"/>
          </w:tcPr>
          <w:p w14:paraId="603DF51B" w14:textId="77777777" w:rsidR="008C5CFA" w:rsidRPr="00A92B39" w:rsidRDefault="00E82A60" w:rsidP="00300A01">
            <w:pPr>
              <w:spacing w:before="0" w:after="0"/>
              <w:rPr>
                <w:sz w:val="10"/>
                <w:szCs w:val="10"/>
                <w:lang w:val="fr-BE"/>
              </w:rPr>
            </w:pPr>
            <w:r w:rsidRPr="00A92B39">
              <w:rPr>
                <w:noProof/>
                <w:sz w:val="10"/>
                <w:szCs w:val="10"/>
                <w:lang w:val="fr-BE"/>
              </w:rPr>
              <w:t>szt.</w:t>
            </w:r>
          </w:p>
        </w:tc>
        <w:tc>
          <w:tcPr>
            <w:tcW w:w="0" w:type="auto"/>
            <w:shd w:val="clear" w:color="auto" w:fill="auto"/>
          </w:tcPr>
          <w:p w14:paraId="43F0F6C2" w14:textId="77777777" w:rsidR="008C5CFA" w:rsidRPr="00A92B39" w:rsidRDefault="008C5CFA" w:rsidP="00300A01">
            <w:pPr>
              <w:spacing w:before="0" w:after="0"/>
              <w:jc w:val="right"/>
              <w:rPr>
                <w:sz w:val="10"/>
                <w:szCs w:val="10"/>
                <w:lang w:val="fr-BE"/>
              </w:rPr>
            </w:pPr>
          </w:p>
        </w:tc>
        <w:tc>
          <w:tcPr>
            <w:tcW w:w="0" w:type="auto"/>
            <w:shd w:val="clear" w:color="auto" w:fill="auto"/>
          </w:tcPr>
          <w:p w14:paraId="0E37442D" w14:textId="77777777" w:rsidR="008C5CFA" w:rsidRPr="00A92B39" w:rsidRDefault="008C5CFA" w:rsidP="00300A01">
            <w:pPr>
              <w:spacing w:before="0" w:after="0"/>
              <w:jc w:val="right"/>
              <w:rPr>
                <w:sz w:val="10"/>
                <w:szCs w:val="10"/>
                <w:lang w:val="fr-BE"/>
              </w:rPr>
            </w:pPr>
          </w:p>
        </w:tc>
        <w:tc>
          <w:tcPr>
            <w:tcW w:w="0" w:type="auto"/>
            <w:shd w:val="clear" w:color="auto" w:fill="auto"/>
          </w:tcPr>
          <w:p w14:paraId="793F21B3" w14:textId="77777777" w:rsidR="008C5CFA" w:rsidRPr="00A92B39" w:rsidRDefault="008C5CFA" w:rsidP="00300A01">
            <w:pPr>
              <w:spacing w:before="0" w:after="0"/>
              <w:jc w:val="right"/>
              <w:rPr>
                <w:sz w:val="10"/>
                <w:szCs w:val="10"/>
                <w:lang w:val="fr-BE"/>
              </w:rPr>
            </w:pPr>
          </w:p>
        </w:tc>
        <w:tc>
          <w:tcPr>
            <w:tcW w:w="0" w:type="auto"/>
            <w:shd w:val="clear" w:color="auto" w:fill="auto"/>
          </w:tcPr>
          <w:p w14:paraId="05FCC871" w14:textId="77777777" w:rsidR="008C5CFA" w:rsidRPr="00A92B39" w:rsidRDefault="00E82A60" w:rsidP="00300A01">
            <w:pPr>
              <w:spacing w:before="0" w:after="0"/>
              <w:jc w:val="right"/>
              <w:rPr>
                <w:sz w:val="10"/>
                <w:szCs w:val="10"/>
                <w:lang w:val="fr-BE"/>
              </w:rPr>
            </w:pPr>
            <w:r w:rsidRPr="00A92B39">
              <w:rPr>
                <w:noProof/>
                <w:sz w:val="10"/>
                <w:szCs w:val="10"/>
                <w:lang w:val="fr-BE"/>
              </w:rPr>
              <w:t>656 606,00</w:t>
            </w:r>
          </w:p>
        </w:tc>
        <w:tc>
          <w:tcPr>
            <w:tcW w:w="0" w:type="auto"/>
            <w:shd w:val="clear" w:color="auto" w:fill="auto"/>
          </w:tcPr>
          <w:p w14:paraId="4DA246A1"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14:paraId="657C7570"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14:paraId="72B2398D" w14:textId="77777777" w:rsidR="008C5CFA" w:rsidRPr="00A92B39" w:rsidRDefault="008C5CFA" w:rsidP="00300A01">
            <w:pPr>
              <w:spacing w:before="0" w:after="0"/>
              <w:jc w:val="right"/>
              <w:rPr>
                <w:sz w:val="10"/>
                <w:szCs w:val="10"/>
                <w:lang w:val="fr-BE"/>
              </w:rPr>
            </w:pPr>
          </w:p>
        </w:tc>
        <w:tc>
          <w:tcPr>
            <w:tcW w:w="0" w:type="auto"/>
            <w:shd w:val="clear" w:color="auto" w:fill="auto"/>
          </w:tcPr>
          <w:p w14:paraId="3A56DDB2" w14:textId="77777777" w:rsidR="008C5CFA" w:rsidRPr="00A92B39" w:rsidRDefault="008C5CFA" w:rsidP="00300A01">
            <w:pPr>
              <w:spacing w:before="0" w:after="0"/>
              <w:jc w:val="right"/>
              <w:rPr>
                <w:sz w:val="10"/>
                <w:szCs w:val="10"/>
                <w:lang w:val="fr-BE"/>
              </w:rPr>
            </w:pPr>
          </w:p>
        </w:tc>
        <w:tc>
          <w:tcPr>
            <w:tcW w:w="0" w:type="auto"/>
            <w:shd w:val="clear" w:color="auto" w:fill="auto"/>
          </w:tcPr>
          <w:p w14:paraId="3183B8BA" w14:textId="77777777" w:rsidR="008C5CFA" w:rsidRPr="00A92B39" w:rsidRDefault="008C5CFA" w:rsidP="00300A01">
            <w:pPr>
              <w:spacing w:before="0" w:after="0"/>
              <w:jc w:val="right"/>
              <w:rPr>
                <w:sz w:val="10"/>
                <w:szCs w:val="10"/>
                <w:lang w:val="fr-BE"/>
              </w:rPr>
            </w:pPr>
          </w:p>
        </w:tc>
        <w:tc>
          <w:tcPr>
            <w:tcW w:w="0" w:type="auto"/>
          </w:tcPr>
          <w:p w14:paraId="255280DA" w14:textId="77777777" w:rsidR="008C5CFA" w:rsidRPr="00A92B39" w:rsidRDefault="00E82A60" w:rsidP="00300A01">
            <w:pPr>
              <w:spacing w:before="0" w:after="0"/>
              <w:jc w:val="right"/>
              <w:rPr>
                <w:sz w:val="10"/>
                <w:szCs w:val="10"/>
                <w:lang w:val="fr-BE"/>
              </w:rPr>
            </w:pPr>
            <w:r w:rsidRPr="00A92B39">
              <w:rPr>
                <w:noProof/>
                <w:sz w:val="10"/>
                <w:szCs w:val="10"/>
                <w:lang w:val="fr-BE"/>
              </w:rPr>
              <w:t>45 144,00</w:t>
            </w:r>
          </w:p>
        </w:tc>
        <w:tc>
          <w:tcPr>
            <w:tcW w:w="0" w:type="auto"/>
            <w:shd w:val="clear" w:color="auto" w:fill="auto"/>
          </w:tcPr>
          <w:p w14:paraId="6925F765"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14:paraId="7090D37A"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r>
      <w:tr w:rsidR="006B2EC1" w14:paraId="0CC1C3DE" w14:textId="77777777" w:rsidTr="00EE7BC4">
        <w:tc>
          <w:tcPr>
            <w:tcW w:w="0" w:type="auto"/>
            <w:shd w:val="clear" w:color="auto" w:fill="auto"/>
          </w:tcPr>
          <w:p w14:paraId="520457F2" w14:textId="77777777" w:rsidR="008C5CFA" w:rsidRPr="00A92B39" w:rsidRDefault="00E82A60" w:rsidP="00300A01">
            <w:pPr>
              <w:spacing w:before="0" w:after="0"/>
              <w:rPr>
                <w:sz w:val="10"/>
                <w:szCs w:val="10"/>
                <w:lang w:val="fr-BE"/>
              </w:rPr>
            </w:pPr>
            <w:r w:rsidRPr="00A92B39">
              <w:rPr>
                <w:noProof/>
                <w:sz w:val="10"/>
                <w:szCs w:val="10"/>
                <w:lang w:val="fr-BE"/>
              </w:rPr>
              <w:t>126</w:t>
            </w:r>
          </w:p>
        </w:tc>
        <w:tc>
          <w:tcPr>
            <w:tcW w:w="0" w:type="auto"/>
            <w:shd w:val="clear" w:color="auto" w:fill="auto"/>
          </w:tcPr>
          <w:p w14:paraId="0BAECCD6" w14:textId="77777777" w:rsidR="008C5CFA" w:rsidRPr="00A92B39" w:rsidRDefault="00E82A60" w:rsidP="00300A01">
            <w:pPr>
              <w:spacing w:before="0" w:after="0"/>
              <w:rPr>
                <w:sz w:val="10"/>
                <w:szCs w:val="10"/>
                <w:lang w:val="fr-BE"/>
              </w:rPr>
            </w:pPr>
            <w:r w:rsidRPr="00A92B39">
              <w:rPr>
                <w:noProof/>
                <w:sz w:val="10"/>
                <w:szCs w:val="10"/>
                <w:lang w:val="fr-BE"/>
              </w:rPr>
              <w:t>Liczba etatomiesięcy finansowanych ze środków pomocy technicznej</w:t>
            </w:r>
          </w:p>
        </w:tc>
        <w:tc>
          <w:tcPr>
            <w:tcW w:w="0" w:type="auto"/>
            <w:shd w:val="clear" w:color="auto" w:fill="auto"/>
          </w:tcPr>
          <w:p w14:paraId="4BF4F320" w14:textId="77777777" w:rsidR="008C5CFA" w:rsidRPr="00A92B39" w:rsidRDefault="008C5CFA" w:rsidP="00300A01">
            <w:pPr>
              <w:spacing w:before="0" w:after="0"/>
              <w:rPr>
                <w:sz w:val="10"/>
                <w:szCs w:val="10"/>
                <w:lang w:val="fr-BE"/>
              </w:rPr>
            </w:pPr>
          </w:p>
        </w:tc>
        <w:tc>
          <w:tcPr>
            <w:tcW w:w="0" w:type="auto"/>
          </w:tcPr>
          <w:p w14:paraId="0F1FF41C" w14:textId="77777777" w:rsidR="008C5CFA" w:rsidRPr="00A92B39" w:rsidRDefault="00E82A60" w:rsidP="00300A01">
            <w:pPr>
              <w:spacing w:before="0" w:after="0"/>
              <w:rPr>
                <w:sz w:val="10"/>
                <w:szCs w:val="10"/>
                <w:lang w:val="fr-BE"/>
              </w:rPr>
            </w:pPr>
            <w:r w:rsidRPr="00A92B39">
              <w:rPr>
                <w:noProof/>
                <w:sz w:val="10"/>
                <w:szCs w:val="10"/>
                <w:lang w:val="fr-BE"/>
              </w:rPr>
              <w:t>szt.</w:t>
            </w:r>
          </w:p>
        </w:tc>
        <w:tc>
          <w:tcPr>
            <w:tcW w:w="0" w:type="auto"/>
            <w:shd w:val="clear" w:color="auto" w:fill="auto"/>
          </w:tcPr>
          <w:p w14:paraId="57E495B6" w14:textId="77777777" w:rsidR="008C5CFA" w:rsidRPr="00A92B39" w:rsidRDefault="008C5CFA" w:rsidP="00300A01">
            <w:pPr>
              <w:spacing w:before="0" w:after="0"/>
              <w:jc w:val="right"/>
              <w:rPr>
                <w:sz w:val="10"/>
                <w:szCs w:val="10"/>
                <w:lang w:val="fr-BE"/>
              </w:rPr>
            </w:pPr>
          </w:p>
        </w:tc>
        <w:tc>
          <w:tcPr>
            <w:tcW w:w="0" w:type="auto"/>
            <w:shd w:val="clear" w:color="auto" w:fill="auto"/>
          </w:tcPr>
          <w:p w14:paraId="77504227" w14:textId="77777777" w:rsidR="008C5CFA" w:rsidRPr="00A92B39" w:rsidRDefault="008C5CFA" w:rsidP="00300A01">
            <w:pPr>
              <w:spacing w:before="0" w:after="0"/>
              <w:jc w:val="right"/>
              <w:rPr>
                <w:sz w:val="10"/>
                <w:szCs w:val="10"/>
                <w:lang w:val="fr-BE"/>
              </w:rPr>
            </w:pPr>
          </w:p>
        </w:tc>
        <w:tc>
          <w:tcPr>
            <w:tcW w:w="0" w:type="auto"/>
            <w:shd w:val="clear" w:color="auto" w:fill="auto"/>
          </w:tcPr>
          <w:p w14:paraId="5D06C69B" w14:textId="77777777" w:rsidR="008C5CFA" w:rsidRPr="00A92B39" w:rsidRDefault="008C5CFA" w:rsidP="00300A01">
            <w:pPr>
              <w:spacing w:before="0" w:after="0"/>
              <w:jc w:val="right"/>
              <w:rPr>
                <w:sz w:val="10"/>
                <w:szCs w:val="10"/>
                <w:lang w:val="fr-BE"/>
              </w:rPr>
            </w:pPr>
          </w:p>
        </w:tc>
        <w:tc>
          <w:tcPr>
            <w:tcW w:w="0" w:type="auto"/>
            <w:shd w:val="clear" w:color="auto" w:fill="auto"/>
          </w:tcPr>
          <w:p w14:paraId="67FE0CA3" w14:textId="77777777" w:rsidR="008C5CFA" w:rsidRPr="00A92B39" w:rsidRDefault="00E82A60" w:rsidP="00300A01">
            <w:pPr>
              <w:spacing w:before="0" w:after="0"/>
              <w:jc w:val="right"/>
              <w:rPr>
                <w:sz w:val="10"/>
                <w:szCs w:val="10"/>
                <w:lang w:val="fr-BE"/>
              </w:rPr>
            </w:pPr>
            <w:r w:rsidRPr="00A92B39">
              <w:rPr>
                <w:noProof/>
                <w:sz w:val="10"/>
                <w:szCs w:val="10"/>
                <w:lang w:val="fr-BE"/>
              </w:rPr>
              <w:t>14 181,15</w:t>
            </w:r>
          </w:p>
        </w:tc>
        <w:tc>
          <w:tcPr>
            <w:tcW w:w="0" w:type="auto"/>
            <w:shd w:val="clear" w:color="auto" w:fill="auto"/>
          </w:tcPr>
          <w:p w14:paraId="1837AB60"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14:paraId="2AB63367"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14:paraId="2ADED2BB" w14:textId="77777777" w:rsidR="008C5CFA" w:rsidRPr="00A92B39" w:rsidRDefault="008C5CFA" w:rsidP="00300A01">
            <w:pPr>
              <w:spacing w:before="0" w:after="0"/>
              <w:jc w:val="right"/>
              <w:rPr>
                <w:sz w:val="10"/>
                <w:szCs w:val="10"/>
                <w:lang w:val="fr-BE"/>
              </w:rPr>
            </w:pPr>
          </w:p>
        </w:tc>
        <w:tc>
          <w:tcPr>
            <w:tcW w:w="0" w:type="auto"/>
            <w:shd w:val="clear" w:color="auto" w:fill="auto"/>
          </w:tcPr>
          <w:p w14:paraId="41472162" w14:textId="77777777" w:rsidR="008C5CFA" w:rsidRPr="00A92B39" w:rsidRDefault="008C5CFA" w:rsidP="00300A01">
            <w:pPr>
              <w:spacing w:before="0" w:after="0"/>
              <w:jc w:val="right"/>
              <w:rPr>
                <w:sz w:val="10"/>
                <w:szCs w:val="10"/>
                <w:lang w:val="fr-BE"/>
              </w:rPr>
            </w:pPr>
          </w:p>
        </w:tc>
        <w:tc>
          <w:tcPr>
            <w:tcW w:w="0" w:type="auto"/>
            <w:shd w:val="clear" w:color="auto" w:fill="auto"/>
          </w:tcPr>
          <w:p w14:paraId="60D87116" w14:textId="77777777" w:rsidR="008C5CFA" w:rsidRPr="00A92B39" w:rsidRDefault="008C5CFA" w:rsidP="00300A01">
            <w:pPr>
              <w:spacing w:before="0" w:after="0"/>
              <w:jc w:val="right"/>
              <w:rPr>
                <w:sz w:val="10"/>
                <w:szCs w:val="10"/>
                <w:lang w:val="fr-BE"/>
              </w:rPr>
            </w:pPr>
          </w:p>
        </w:tc>
        <w:tc>
          <w:tcPr>
            <w:tcW w:w="0" w:type="auto"/>
          </w:tcPr>
          <w:p w14:paraId="6A773394" w14:textId="77777777" w:rsidR="008C5CFA" w:rsidRPr="00A92B39" w:rsidRDefault="00E82A60" w:rsidP="00300A01">
            <w:pPr>
              <w:spacing w:before="0" w:after="0"/>
              <w:jc w:val="right"/>
              <w:rPr>
                <w:sz w:val="10"/>
                <w:szCs w:val="10"/>
                <w:lang w:val="fr-BE"/>
              </w:rPr>
            </w:pPr>
            <w:r w:rsidRPr="00A92B39">
              <w:rPr>
                <w:noProof/>
                <w:sz w:val="10"/>
                <w:szCs w:val="10"/>
                <w:lang w:val="fr-BE"/>
              </w:rPr>
              <w:t>3 881,35</w:t>
            </w:r>
          </w:p>
        </w:tc>
        <w:tc>
          <w:tcPr>
            <w:tcW w:w="0" w:type="auto"/>
            <w:shd w:val="clear" w:color="auto" w:fill="auto"/>
          </w:tcPr>
          <w:p w14:paraId="7A02A5C1"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14:paraId="529DDA05"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r>
      <w:tr w:rsidR="006B2EC1" w14:paraId="330EEB93" w14:textId="77777777" w:rsidTr="00EE7BC4">
        <w:tc>
          <w:tcPr>
            <w:tcW w:w="0" w:type="auto"/>
            <w:shd w:val="clear" w:color="auto" w:fill="auto"/>
          </w:tcPr>
          <w:p w14:paraId="0083CB28" w14:textId="77777777" w:rsidR="008C5CFA" w:rsidRPr="00A92B39" w:rsidRDefault="00E82A60" w:rsidP="00300A01">
            <w:pPr>
              <w:spacing w:before="0" w:after="0"/>
              <w:rPr>
                <w:sz w:val="10"/>
                <w:szCs w:val="10"/>
                <w:lang w:val="fr-BE"/>
              </w:rPr>
            </w:pPr>
            <w:r w:rsidRPr="00A92B39">
              <w:rPr>
                <w:noProof/>
                <w:sz w:val="10"/>
                <w:szCs w:val="10"/>
                <w:lang w:val="fr-BE"/>
              </w:rPr>
              <w:t>127</w:t>
            </w:r>
          </w:p>
        </w:tc>
        <w:tc>
          <w:tcPr>
            <w:tcW w:w="0" w:type="auto"/>
            <w:shd w:val="clear" w:color="auto" w:fill="auto"/>
          </w:tcPr>
          <w:p w14:paraId="5B157726" w14:textId="77777777" w:rsidR="008C5CFA" w:rsidRPr="00A92B39" w:rsidRDefault="00E82A60" w:rsidP="00300A01">
            <w:pPr>
              <w:spacing w:before="0" w:after="0"/>
              <w:rPr>
                <w:sz w:val="10"/>
                <w:szCs w:val="10"/>
                <w:lang w:val="fr-BE"/>
              </w:rPr>
            </w:pPr>
            <w:r w:rsidRPr="00A92B39">
              <w:rPr>
                <w:noProof/>
                <w:sz w:val="10"/>
                <w:szCs w:val="10"/>
                <w:lang w:val="fr-BE"/>
              </w:rPr>
              <w:t>Liczba uczestników form szkoleniowych dla instytucji</w:t>
            </w:r>
          </w:p>
        </w:tc>
        <w:tc>
          <w:tcPr>
            <w:tcW w:w="0" w:type="auto"/>
            <w:shd w:val="clear" w:color="auto" w:fill="auto"/>
          </w:tcPr>
          <w:p w14:paraId="6188E0CB" w14:textId="77777777" w:rsidR="008C5CFA" w:rsidRPr="00A92B39" w:rsidRDefault="008C5CFA" w:rsidP="00300A01">
            <w:pPr>
              <w:spacing w:before="0" w:after="0"/>
              <w:rPr>
                <w:sz w:val="10"/>
                <w:szCs w:val="10"/>
                <w:lang w:val="fr-BE"/>
              </w:rPr>
            </w:pPr>
          </w:p>
        </w:tc>
        <w:tc>
          <w:tcPr>
            <w:tcW w:w="0" w:type="auto"/>
          </w:tcPr>
          <w:p w14:paraId="5B24B7F1" w14:textId="77777777" w:rsidR="008C5CFA" w:rsidRPr="00A92B39" w:rsidRDefault="00E82A60" w:rsidP="00300A01">
            <w:pPr>
              <w:spacing w:before="0" w:after="0"/>
              <w:rPr>
                <w:sz w:val="10"/>
                <w:szCs w:val="10"/>
                <w:lang w:val="fr-BE"/>
              </w:rPr>
            </w:pPr>
            <w:r w:rsidRPr="00A92B39">
              <w:rPr>
                <w:noProof/>
                <w:sz w:val="10"/>
                <w:szCs w:val="10"/>
                <w:lang w:val="fr-BE"/>
              </w:rPr>
              <w:t>os.</w:t>
            </w:r>
          </w:p>
        </w:tc>
        <w:tc>
          <w:tcPr>
            <w:tcW w:w="0" w:type="auto"/>
            <w:shd w:val="clear" w:color="auto" w:fill="auto"/>
          </w:tcPr>
          <w:p w14:paraId="2AB17D7B" w14:textId="77777777" w:rsidR="008C5CFA" w:rsidRPr="00A92B39" w:rsidRDefault="008C5CFA" w:rsidP="00300A01">
            <w:pPr>
              <w:spacing w:before="0" w:after="0"/>
              <w:jc w:val="right"/>
              <w:rPr>
                <w:sz w:val="10"/>
                <w:szCs w:val="10"/>
                <w:lang w:val="fr-BE"/>
              </w:rPr>
            </w:pPr>
          </w:p>
        </w:tc>
        <w:tc>
          <w:tcPr>
            <w:tcW w:w="0" w:type="auto"/>
            <w:shd w:val="clear" w:color="auto" w:fill="auto"/>
          </w:tcPr>
          <w:p w14:paraId="7627A4DB" w14:textId="77777777" w:rsidR="008C5CFA" w:rsidRPr="00A92B39" w:rsidRDefault="008C5CFA" w:rsidP="00300A01">
            <w:pPr>
              <w:spacing w:before="0" w:after="0"/>
              <w:jc w:val="right"/>
              <w:rPr>
                <w:sz w:val="10"/>
                <w:szCs w:val="10"/>
                <w:lang w:val="fr-BE"/>
              </w:rPr>
            </w:pPr>
          </w:p>
        </w:tc>
        <w:tc>
          <w:tcPr>
            <w:tcW w:w="0" w:type="auto"/>
            <w:shd w:val="clear" w:color="auto" w:fill="auto"/>
          </w:tcPr>
          <w:p w14:paraId="69EC6935" w14:textId="77777777" w:rsidR="008C5CFA" w:rsidRPr="00A92B39" w:rsidRDefault="008C5CFA" w:rsidP="00300A01">
            <w:pPr>
              <w:spacing w:before="0" w:after="0"/>
              <w:jc w:val="right"/>
              <w:rPr>
                <w:sz w:val="10"/>
                <w:szCs w:val="10"/>
                <w:lang w:val="fr-BE"/>
              </w:rPr>
            </w:pPr>
          </w:p>
        </w:tc>
        <w:tc>
          <w:tcPr>
            <w:tcW w:w="0" w:type="auto"/>
            <w:shd w:val="clear" w:color="auto" w:fill="auto"/>
          </w:tcPr>
          <w:p w14:paraId="2D8CF5A4" w14:textId="77777777" w:rsidR="008C5CFA" w:rsidRPr="00A92B39" w:rsidRDefault="00E82A60" w:rsidP="00300A01">
            <w:pPr>
              <w:spacing w:before="0" w:after="0"/>
              <w:jc w:val="right"/>
              <w:rPr>
                <w:sz w:val="10"/>
                <w:szCs w:val="10"/>
                <w:lang w:val="fr-BE"/>
              </w:rPr>
            </w:pPr>
            <w:r w:rsidRPr="00A92B39">
              <w:rPr>
                <w:noProof/>
                <w:sz w:val="10"/>
                <w:szCs w:val="10"/>
                <w:lang w:val="fr-BE"/>
              </w:rPr>
              <w:t>1 171,10</w:t>
            </w:r>
          </w:p>
        </w:tc>
        <w:tc>
          <w:tcPr>
            <w:tcW w:w="0" w:type="auto"/>
            <w:shd w:val="clear" w:color="auto" w:fill="auto"/>
          </w:tcPr>
          <w:p w14:paraId="13B850D3"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14:paraId="210163A1"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14:paraId="4D57DB13" w14:textId="77777777" w:rsidR="008C5CFA" w:rsidRPr="00A92B39" w:rsidRDefault="008C5CFA" w:rsidP="00300A01">
            <w:pPr>
              <w:spacing w:before="0" w:after="0"/>
              <w:jc w:val="right"/>
              <w:rPr>
                <w:sz w:val="10"/>
                <w:szCs w:val="10"/>
                <w:lang w:val="fr-BE"/>
              </w:rPr>
            </w:pPr>
          </w:p>
        </w:tc>
        <w:tc>
          <w:tcPr>
            <w:tcW w:w="0" w:type="auto"/>
            <w:shd w:val="clear" w:color="auto" w:fill="auto"/>
          </w:tcPr>
          <w:p w14:paraId="3E7C3B99" w14:textId="77777777" w:rsidR="008C5CFA" w:rsidRPr="00A92B39" w:rsidRDefault="008C5CFA" w:rsidP="00300A01">
            <w:pPr>
              <w:spacing w:before="0" w:after="0"/>
              <w:jc w:val="right"/>
              <w:rPr>
                <w:sz w:val="10"/>
                <w:szCs w:val="10"/>
                <w:lang w:val="fr-BE"/>
              </w:rPr>
            </w:pPr>
          </w:p>
        </w:tc>
        <w:tc>
          <w:tcPr>
            <w:tcW w:w="0" w:type="auto"/>
            <w:shd w:val="clear" w:color="auto" w:fill="auto"/>
          </w:tcPr>
          <w:p w14:paraId="3F07324D" w14:textId="77777777" w:rsidR="008C5CFA" w:rsidRPr="00A92B39" w:rsidRDefault="008C5CFA" w:rsidP="00300A01">
            <w:pPr>
              <w:spacing w:before="0" w:after="0"/>
              <w:jc w:val="right"/>
              <w:rPr>
                <w:sz w:val="10"/>
                <w:szCs w:val="10"/>
                <w:lang w:val="fr-BE"/>
              </w:rPr>
            </w:pPr>
          </w:p>
        </w:tc>
        <w:tc>
          <w:tcPr>
            <w:tcW w:w="0" w:type="auto"/>
          </w:tcPr>
          <w:p w14:paraId="12218606" w14:textId="77777777" w:rsidR="008C5CFA" w:rsidRPr="00A92B39" w:rsidRDefault="00E82A60" w:rsidP="00300A01">
            <w:pPr>
              <w:spacing w:before="0" w:after="0"/>
              <w:jc w:val="right"/>
              <w:rPr>
                <w:sz w:val="10"/>
                <w:szCs w:val="10"/>
                <w:lang w:val="fr-BE"/>
              </w:rPr>
            </w:pPr>
            <w:r w:rsidRPr="00A92B39">
              <w:rPr>
                <w:noProof/>
                <w:sz w:val="10"/>
                <w:szCs w:val="10"/>
                <w:lang w:val="fr-BE"/>
              </w:rPr>
              <w:t>215,50</w:t>
            </w:r>
          </w:p>
        </w:tc>
        <w:tc>
          <w:tcPr>
            <w:tcW w:w="0" w:type="auto"/>
            <w:shd w:val="clear" w:color="auto" w:fill="auto"/>
          </w:tcPr>
          <w:p w14:paraId="2B1F43B0"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14:paraId="6974708E"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r>
      <w:tr w:rsidR="006B2EC1" w14:paraId="6D029D20" w14:textId="77777777" w:rsidTr="00EE7BC4">
        <w:tc>
          <w:tcPr>
            <w:tcW w:w="0" w:type="auto"/>
            <w:shd w:val="clear" w:color="auto" w:fill="auto"/>
          </w:tcPr>
          <w:p w14:paraId="5E704722" w14:textId="77777777" w:rsidR="008C5CFA" w:rsidRPr="00A92B39" w:rsidRDefault="00E82A60" w:rsidP="00300A01">
            <w:pPr>
              <w:spacing w:before="0" w:after="0"/>
              <w:rPr>
                <w:sz w:val="10"/>
                <w:szCs w:val="10"/>
                <w:lang w:val="fr-BE"/>
              </w:rPr>
            </w:pPr>
            <w:r w:rsidRPr="00A92B39">
              <w:rPr>
                <w:noProof/>
                <w:sz w:val="10"/>
                <w:szCs w:val="10"/>
                <w:lang w:val="fr-BE"/>
              </w:rPr>
              <w:t>128</w:t>
            </w:r>
          </w:p>
        </w:tc>
        <w:tc>
          <w:tcPr>
            <w:tcW w:w="0" w:type="auto"/>
            <w:shd w:val="clear" w:color="auto" w:fill="auto"/>
          </w:tcPr>
          <w:p w14:paraId="1465D04D" w14:textId="77777777" w:rsidR="008C5CFA" w:rsidRPr="00A92B39" w:rsidRDefault="00E82A60" w:rsidP="00300A01">
            <w:pPr>
              <w:spacing w:before="0" w:after="0"/>
              <w:rPr>
                <w:sz w:val="10"/>
                <w:szCs w:val="10"/>
                <w:lang w:val="fr-BE"/>
              </w:rPr>
            </w:pPr>
            <w:r w:rsidRPr="00A92B39">
              <w:rPr>
                <w:noProof/>
                <w:sz w:val="10"/>
                <w:szCs w:val="10"/>
                <w:lang w:val="fr-BE"/>
              </w:rPr>
              <w:t>Liczba przeprowadzonych ewaluacji</w:t>
            </w:r>
          </w:p>
        </w:tc>
        <w:tc>
          <w:tcPr>
            <w:tcW w:w="0" w:type="auto"/>
            <w:shd w:val="clear" w:color="auto" w:fill="auto"/>
          </w:tcPr>
          <w:p w14:paraId="20F4D17F" w14:textId="77777777" w:rsidR="008C5CFA" w:rsidRPr="00A92B39" w:rsidRDefault="008C5CFA" w:rsidP="00300A01">
            <w:pPr>
              <w:spacing w:before="0" w:after="0"/>
              <w:rPr>
                <w:sz w:val="10"/>
                <w:szCs w:val="10"/>
                <w:lang w:val="fr-BE"/>
              </w:rPr>
            </w:pPr>
          </w:p>
        </w:tc>
        <w:tc>
          <w:tcPr>
            <w:tcW w:w="0" w:type="auto"/>
          </w:tcPr>
          <w:p w14:paraId="6B15BF77" w14:textId="77777777" w:rsidR="008C5CFA" w:rsidRPr="00A92B39" w:rsidRDefault="00E82A60" w:rsidP="00300A01">
            <w:pPr>
              <w:spacing w:before="0" w:after="0"/>
              <w:rPr>
                <w:sz w:val="10"/>
                <w:szCs w:val="10"/>
                <w:lang w:val="fr-BE"/>
              </w:rPr>
            </w:pPr>
            <w:r w:rsidRPr="00A92B39">
              <w:rPr>
                <w:noProof/>
                <w:sz w:val="10"/>
                <w:szCs w:val="10"/>
                <w:lang w:val="fr-BE"/>
              </w:rPr>
              <w:t>szt.</w:t>
            </w:r>
          </w:p>
        </w:tc>
        <w:tc>
          <w:tcPr>
            <w:tcW w:w="0" w:type="auto"/>
            <w:shd w:val="clear" w:color="auto" w:fill="auto"/>
          </w:tcPr>
          <w:p w14:paraId="3C5F1943" w14:textId="77777777" w:rsidR="008C5CFA" w:rsidRPr="00A92B39" w:rsidRDefault="008C5CFA" w:rsidP="00300A01">
            <w:pPr>
              <w:spacing w:before="0" w:after="0"/>
              <w:jc w:val="right"/>
              <w:rPr>
                <w:sz w:val="10"/>
                <w:szCs w:val="10"/>
                <w:lang w:val="fr-BE"/>
              </w:rPr>
            </w:pPr>
          </w:p>
        </w:tc>
        <w:tc>
          <w:tcPr>
            <w:tcW w:w="0" w:type="auto"/>
            <w:shd w:val="clear" w:color="auto" w:fill="auto"/>
          </w:tcPr>
          <w:p w14:paraId="275901DF" w14:textId="77777777" w:rsidR="008C5CFA" w:rsidRPr="00A92B39" w:rsidRDefault="008C5CFA" w:rsidP="00300A01">
            <w:pPr>
              <w:spacing w:before="0" w:after="0"/>
              <w:jc w:val="right"/>
              <w:rPr>
                <w:sz w:val="10"/>
                <w:szCs w:val="10"/>
                <w:lang w:val="fr-BE"/>
              </w:rPr>
            </w:pPr>
          </w:p>
        </w:tc>
        <w:tc>
          <w:tcPr>
            <w:tcW w:w="0" w:type="auto"/>
            <w:shd w:val="clear" w:color="auto" w:fill="auto"/>
          </w:tcPr>
          <w:p w14:paraId="1CA99C62" w14:textId="77777777" w:rsidR="008C5CFA" w:rsidRPr="00A92B39" w:rsidRDefault="008C5CFA" w:rsidP="00300A01">
            <w:pPr>
              <w:spacing w:before="0" w:after="0"/>
              <w:jc w:val="right"/>
              <w:rPr>
                <w:sz w:val="10"/>
                <w:szCs w:val="10"/>
                <w:lang w:val="fr-BE"/>
              </w:rPr>
            </w:pPr>
          </w:p>
        </w:tc>
        <w:tc>
          <w:tcPr>
            <w:tcW w:w="0" w:type="auto"/>
            <w:shd w:val="clear" w:color="auto" w:fill="auto"/>
          </w:tcPr>
          <w:p w14:paraId="31E1234F" w14:textId="77777777" w:rsidR="008C5CFA" w:rsidRPr="00A92B39" w:rsidRDefault="00E82A60" w:rsidP="00300A01">
            <w:pPr>
              <w:spacing w:before="0" w:after="0"/>
              <w:jc w:val="right"/>
              <w:rPr>
                <w:sz w:val="10"/>
                <w:szCs w:val="10"/>
                <w:lang w:val="fr-BE"/>
              </w:rPr>
            </w:pPr>
            <w:r w:rsidRPr="00A92B39">
              <w:rPr>
                <w:noProof/>
                <w:sz w:val="10"/>
                <w:szCs w:val="10"/>
                <w:lang w:val="fr-BE"/>
              </w:rPr>
              <w:t>9,00</w:t>
            </w:r>
          </w:p>
        </w:tc>
        <w:tc>
          <w:tcPr>
            <w:tcW w:w="0" w:type="auto"/>
            <w:shd w:val="clear" w:color="auto" w:fill="auto"/>
          </w:tcPr>
          <w:p w14:paraId="25146105"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14:paraId="19DAD60F"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14:paraId="7B52BDBC" w14:textId="77777777" w:rsidR="008C5CFA" w:rsidRPr="00A92B39" w:rsidRDefault="008C5CFA" w:rsidP="00300A01">
            <w:pPr>
              <w:spacing w:before="0" w:after="0"/>
              <w:jc w:val="right"/>
              <w:rPr>
                <w:sz w:val="10"/>
                <w:szCs w:val="10"/>
                <w:lang w:val="fr-BE"/>
              </w:rPr>
            </w:pPr>
          </w:p>
        </w:tc>
        <w:tc>
          <w:tcPr>
            <w:tcW w:w="0" w:type="auto"/>
            <w:shd w:val="clear" w:color="auto" w:fill="auto"/>
          </w:tcPr>
          <w:p w14:paraId="3045CFA8" w14:textId="77777777" w:rsidR="008C5CFA" w:rsidRPr="00A92B39" w:rsidRDefault="008C5CFA" w:rsidP="00300A01">
            <w:pPr>
              <w:spacing w:before="0" w:after="0"/>
              <w:jc w:val="right"/>
              <w:rPr>
                <w:sz w:val="10"/>
                <w:szCs w:val="10"/>
                <w:lang w:val="fr-BE"/>
              </w:rPr>
            </w:pPr>
          </w:p>
        </w:tc>
        <w:tc>
          <w:tcPr>
            <w:tcW w:w="0" w:type="auto"/>
            <w:shd w:val="clear" w:color="auto" w:fill="auto"/>
          </w:tcPr>
          <w:p w14:paraId="013C2B57" w14:textId="77777777" w:rsidR="008C5CFA" w:rsidRPr="00A92B39" w:rsidRDefault="008C5CFA" w:rsidP="00300A01">
            <w:pPr>
              <w:spacing w:before="0" w:after="0"/>
              <w:jc w:val="right"/>
              <w:rPr>
                <w:sz w:val="10"/>
                <w:szCs w:val="10"/>
                <w:lang w:val="fr-BE"/>
              </w:rPr>
            </w:pPr>
          </w:p>
        </w:tc>
        <w:tc>
          <w:tcPr>
            <w:tcW w:w="0" w:type="auto"/>
          </w:tcPr>
          <w:p w14:paraId="7C574AC5" w14:textId="77777777" w:rsidR="008C5CFA" w:rsidRPr="00A92B39" w:rsidRDefault="00E82A60" w:rsidP="00300A01">
            <w:pPr>
              <w:spacing w:before="0" w:after="0"/>
              <w:jc w:val="right"/>
              <w:rPr>
                <w:sz w:val="10"/>
                <w:szCs w:val="10"/>
                <w:lang w:val="fr-BE"/>
              </w:rPr>
            </w:pPr>
            <w:r w:rsidRPr="00A92B39">
              <w:rPr>
                <w:noProof/>
                <w:sz w:val="10"/>
                <w:szCs w:val="10"/>
                <w:lang w:val="fr-BE"/>
              </w:rPr>
              <w:t>2,00</w:t>
            </w:r>
          </w:p>
        </w:tc>
        <w:tc>
          <w:tcPr>
            <w:tcW w:w="0" w:type="auto"/>
            <w:shd w:val="clear" w:color="auto" w:fill="auto"/>
          </w:tcPr>
          <w:p w14:paraId="3BDC612D"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14:paraId="1088D93C"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r>
      <w:tr w:rsidR="006B2EC1" w14:paraId="70BBEEF2" w14:textId="77777777" w:rsidTr="00EE7BC4">
        <w:tc>
          <w:tcPr>
            <w:tcW w:w="0" w:type="auto"/>
            <w:shd w:val="clear" w:color="auto" w:fill="auto"/>
          </w:tcPr>
          <w:p w14:paraId="1852B5A9" w14:textId="77777777" w:rsidR="008C5CFA" w:rsidRPr="00A92B39" w:rsidRDefault="00E82A60" w:rsidP="00300A01">
            <w:pPr>
              <w:spacing w:before="0" w:after="0"/>
              <w:rPr>
                <w:sz w:val="10"/>
                <w:szCs w:val="10"/>
                <w:lang w:val="fr-BE"/>
              </w:rPr>
            </w:pPr>
            <w:r w:rsidRPr="00A92B39">
              <w:rPr>
                <w:noProof/>
                <w:sz w:val="10"/>
                <w:szCs w:val="10"/>
                <w:lang w:val="fr-BE"/>
              </w:rPr>
              <w:t>129</w:t>
            </w:r>
          </w:p>
        </w:tc>
        <w:tc>
          <w:tcPr>
            <w:tcW w:w="0" w:type="auto"/>
            <w:shd w:val="clear" w:color="auto" w:fill="auto"/>
          </w:tcPr>
          <w:p w14:paraId="380FD090" w14:textId="77777777" w:rsidR="008C5CFA" w:rsidRPr="00A92B39" w:rsidRDefault="00E82A60" w:rsidP="00300A01">
            <w:pPr>
              <w:spacing w:before="0" w:after="0"/>
              <w:rPr>
                <w:sz w:val="10"/>
                <w:szCs w:val="10"/>
                <w:lang w:val="fr-BE"/>
              </w:rPr>
            </w:pPr>
            <w:r w:rsidRPr="00A92B39">
              <w:rPr>
                <w:noProof/>
                <w:sz w:val="10"/>
                <w:szCs w:val="10"/>
                <w:lang w:val="fr-BE"/>
              </w:rPr>
              <w:t>Liczba projektów objętych wsparciem</w:t>
            </w:r>
          </w:p>
        </w:tc>
        <w:tc>
          <w:tcPr>
            <w:tcW w:w="0" w:type="auto"/>
            <w:shd w:val="clear" w:color="auto" w:fill="auto"/>
          </w:tcPr>
          <w:p w14:paraId="51C0F8AE" w14:textId="77777777" w:rsidR="008C5CFA" w:rsidRPr="00A92B39" w:rsidRDefault="008C5CFA" w:rsidP="00300A01">
            <w:pPr>
              <w:spacing w:before="0" w:after="0"/>
              <w:rPr>
                <w:sz w:val="10"/>
                <w:szCs w:val="10"/>
                <w:lang w:val="fr-BE"/>
              </w:rPr>
            </w:pPr>
          </w:p>
        </w:tc>
        <w:tc>
          <w:tcPr>
            <w:tcW w:w="0" w:type="auto"/>
          </w:tcPr>
          <w:p w14:paraId="73111947" w14:textId="77777777" w:rsidR="008C5CFA" w:rsidRPr="00A92B39" w:rsidRDefault="00E82A60" w:rsidP="00300A01">
            <w:pPr>
              <w:spacing w:before="0" w:after="0"/>
              <w:rPr>
                <w:sz w:val="10"/>
                <w:szCs w:val="10"/>
                <w:lang w:val="fr-BE"/>
              </w:rPr>
            </w:pPr>
            <w:r w:rsidRPr="00A92B39">
              <w:rPr>
                <w:noProof/>
                <w:sz w:val="10"/>
                <w:szCs w:val="10"/>
                <w:lang w:val="fr-BE"/>
              </w:rPr>
              <w:t>szt.</w:t>
            </w:r>
          </w:p>
        </w:tc>
        <w:tc>
          <w:tcPr>
            <w:tcW w:w="0" w:type="auto"/>
            <w:shd w:val="clear" w:color="auto" w:fill="auto"/>
          </w:tcPr>
          <w:p w14:paraId="7203B279" w14:textId="77777777" w:rsidR="008C5CFA" w:rsidRPr="00A92B39" w:rsidRDefault="008C5CFA" w:rsidP="00300A01">
            <w:pPr>
              <w:spacing w:before="0" w:after="0"/>
              <w:jc w:val="right"/>
              <w:rPr>
                <w:sz w:val="10"/>
                <w:szCs w:val="10"/>
                <w:lang w:val="fr-BE"/>
              </w:rPr>
            </w:pPr>
          </w:p>
        </w:tc>
        <w:tc>
          <w:tcPr>
            <w:tcW w:w="0" w:type="auto"/>
            <w:shd w:val="clear" w:color="auto" w:fill="auto"/>
          </w:tcPr>
          <w:p w14:paraId="12E2CB90" w14:textId="77777777" w:rsidR="008C5CFA" w:rsidRPr="00A92B39" w:rsidRDefault="008C5CFA" w:rsidP="00300A01">
            <w:pPr>
              <w:spacing w:before="0" w:after="0"/>
              <w:jc w:val="right"/>
              <w:rPr>
                <w:sz w:val="10"/>
                <w:szCs w:val="10"/>
                <w:lang w:val="fr-BE"/>
              </w:rPr>
            </w:pPr>
          </w:p>
        </w:tc>
        <w:tc>
          <w:tcPr>
            <w:tcW w:w="0" w:type="auto"/>
            <w:shd w:val="clear" w:color="auto" w:fill="auto"/>
          </w:tcPr>
          <w:p w14:paraId="21A813AE" w14:textId="77777777" w:rsidR="008C5CFA" w:rsidRPr="00A92B39" w:rsidRDefault="008C5CFA" w:rsidP="00300A01">
            <w:pPr>
              <w:spacing w:before="0" w:after="0"/>
              <w:jc w:val="right"/>
              <w:rPr>
                <w:sz w:val="10"/>
                <w:szCs w:val="10"/>
                <w:lang w:val="fr-BE"/>
              </w:rPr>
            </w:pPr>
          </w:p>
        </w:tc>
        <w:tc>
          <w:tcPr>
            <w:tcW w:w="0" w:type="auto"/>
            <w:shd w:val="clear" w:color="auto" w:fill="auto"/>
          </w:tcPr>
          <w:p w14:paraId="4807AECF" w14:textId="77777777" w:rsidR="008C5CFA" w:rsidRPr="00A92B39" w:rsidRDefault="00E82A60" w:rsidP="00300A01">
            <w:pPr>
              <w:spacing w:before="0" w:after="0"/>
              <w:jc w:val="right"/>
              <w:rPr>
                <w:sz w:val="10"/>
                <w:szCs w:val="10"/>
                <w:lang w:val="fr-BE"/>
              </w:rPr>
            </w:pPr>
            <w:r w:rsidRPr="00A92B39">
              <w:rPr>
                <w:noProof/>
                <w:sz w:val="10"/>
                <w:szCs w:val="10"/>
                <w:lang w:val="fr-BE"/>
              </w:rPr>
              <w:t>1,00</w:t>
            </w:r>
          </w:p>
        </w:tc>
        <w:tc>
          <w:tcPr>
            <w:tcW w:w="0" w:type="auto"/>
            <w:shd w:val="clear" w:color="auto" w:fill="auto"/>
          </w:tcPr>
          <w:p w14:paraId="69CA28AB"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14:paraId="0B87106D"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14:paraId="578DD314" w14:textId="77777777" w:rsidR="008C5CFA" w:rsidRPr="00A92B39" w:rsidRDefault="008C5CFA" w:rsidP="00300A01">
            <w:pPr>
              <w:spacing w:before="0" w:after="0"/>
              <w:jc w:val="right"/>
              <w:rPr>
                <w:sz w:val="10"/>
                <w:szCs w:val="10"/>
                <w:lang w:val="fr-BE"/>
              </w:rPr>
            </w:pPr>
          </w:p>
        </w:tc>
        <w:tc>
          <w:tcPr>
            <w:tcW w:w="0" w:type="auto"/>
            <w:shd w:val="clear" w:color="auto" w:fill="auto"/>
          </w:tcPr>
          <w:p w14:paraId="76E789EB" w14:textId="77777777" w:rsidR="008C5CFA" w:rsidRPr="00A92B39" w:rsidRDefault="008C5CFA" w:rsidP="00300A01">
            <w:pPr>
              <w:spacing w:before="0" w:after="0"/>
              <w:jc w:val="right"/>
              <w:rPr>
                <w:sz w:val="10"/>
                <w:szCs w:val="10"/>
                <w:lang w:val="fr-BE"/>
              </w:rPr>
            </w:pPr>
          </w:p>
        </w:tc>
        <w:tc>
          <w:tcPr>
            <w:tcW w:w="0" w:type="auto"/>
            <w:shd w:val="clear" w:color="auto" w:fill="auto"/>
          </w:tcPr>
          <w:p w14:paraId="2BA2EC8A" w14:textId="77777777" w:rsidR="008C5CFA" w:rsidRPr="00A92B39" w:rsidRDefault="008C5CFA" w:rsidP="00300A01">
            <w:pPr>
              <w:spacing w:before="0" w:after="0"/>
              <w:jc w:val="right"/>
              <w:rPr>
                <w:sz w:val="10"/>
                <w:szCs w:val="10"/>
                <w:lang w:val="fr-BE"/>
              </w:rPr>
            </w:pPr>
          </w:p>
        </w:tc>
        <w:tc>
          <w:tcPr>
            <w:tcW w:w="0" w:type="auto"/>
          </w:tcPr>
          <w:p w14:paraId="245940D4"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14:paraId="0F18BE90"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14:paraId="435360F8"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r>
      <w:tr w:rsidR="006B2EC1" w14:paraId="40202F80" w14:textId="77777777" w:rsidTr="00EE7BC4">
        <w:tc>
          <w:tcPr>
            <w:tcW w:w="0" w:type="auto"/>
            <w:shd w:val="clear" w:color="auto" w:fill="auto"/>
          </w:tcPr>
          <w:p w14:paraId="74CAA67B" w14:textId="77777777" w:rsidR="008C5CFA" w:rsidRPr="00A92B39" w:rsidRDefault="00E82A60" w:rsidP="00300A01">
            <w:pPr>
              <w:spacing w:before="0" w:after="0"/>
              <w:rPr>
                <w:sz w:val="10"/>
                <w:szCs w:val="10"/>
                <w:lang w:val="fr-BE"/>
              </w:rPr>
            </w:pPr>
            <w:r w:rsidRPr="00A92B39">
              <w:rPr>
                <w:noProof/>
                <w:sz w:val="10"/>
                <w:szCs w:val="10"/>
                <w:lang w:val="fr-BE"/>
              </w:rPr>
              <w:t>130</w:t>
            </w:r>
          </w:p>
        </w:tc>
        <w:tc>
          <w:tcPr>
            <w:tcW w:w="0" w:type="auto"/>
            <w:shd w:val="clear" w:color="auto" w:fill="auto"/>
          </w:tcPr>
          <w:p w14:paraId="1D61C488" w14:textId="77777777" w:rsidR="008C5CFA" w:rsidRPr="00A92B39" w:rsidRDefault="00E82A60" w:rsidP="00300A01">
            <w:pPr>
              <w:spacing w:before="0" w:after="0"/>
              <w:rPr>
                <w:sz w:val="10"/>
                <w:szCs w:val="10"/>
                <w:lang w:val="fr-BE"/>
              </w:rPr>
            </w:pPr>
            <w:r w:rsidRPr="00A92B39">
              <w:rPr>
                <w:noProof/>
                <w:sz w:val="10"/>
                <w:szCs w:val="10"/>
                <w:lang w:val="fr-BE"/>
              </w:rPr>
              <w:t>Liczba uczestników form szkoleniowych dla beneficjentów</w:t>
            </w:r>
          </w:p>
        </w:tc>
        <w:tc>
          <w:tcPr>
            <w:tcW w:w="0" w:type="auto"/>
            <w:shd w:val="clear" w:color="auto" w:fill="auto"/>
          </w:tcPr>
          <w:p w14:paraId="4ABD5505" w14:textId="77777777" w:rsidR="008C5CFA" w:rsidRPr="00A92B39" w:rsidRDefault="008C5CFA" w:rsidP="00300A01">
            <w:pPr>
              <w:spacing w:before="0" w:after="0"/>
              <w:rPr>
                <w:sz w:val="10"/>
                <w:szCs w:val="10"/>
                <w:lang w:val="fr-BE"/>
              </w:rPr>
            </w:pPr>
          </w:p>
        </w:tc>
        <w:tc>
          <w:tcPr>
            <w:tcW w:w="0" w:type="auto"/>
          </w:tcPr>
          <w:p w14:paraId="5C7382D2" w14:textId="77777777" w:rsidR="008C5CFA" w:rsidRPr="00A92B39" w:rsidRDefault="00E82A60" w:rsidP="00300A01">
            <w:pPr>
              <w:spacing w:before="0" w:after="0"/>
              <w:rPr>
                <w:sz w:val="10"/>
                <w:szCs w:val="10"/>
                <w:lang w:val="fr-BE"/>
              </w:rPr>
            </w:pPr>
            <w:r w:rsidRPr="00A92B39">
              <w:rPr>
                <w:noProof/>
                <w:sz w:val="10"/>
                <w:szCs w:val="10"/>
                <w:lang w:val="fr-BE"/>
              </w:rPr>
              <w:t>os.</w:t>
            </w:r>
          </w:p>
        </w:tc>
        <w:tc>
          <w:tcPr>
            <w:tcW w:w="0" w:type="auto"/>
            <w:shd w:val="clear" w:color="auto" w:fill="auto"/>
          </w:tcPr>
          <w:p w14:paraId="566EA29B" w14:textId="77777777" w:rsidR="008C5CFA" w:rsidRPr="00A92B39" w:rsidRDefault="008C5CFA" w:rsidP="00300A01">
            <w:pPr>
              <w:spacing w:before="0" w:after="0"/>
              <w:jc w:val="right"/>
              <w:rPr>
                <w:sz w:val="10"/>
                <w:szCs w:val="10"/>
                <w:lang w:val="fr-BE"/>
              </w:rPr>
            </w:pPr>
          </w:p>
        </w:tc>
        <w:tc>
          <w:tcPr>
            <w:tcW w:w="0" w:type="auto"/>
            <w:shd w:val="clear" w:color="auto" w:fill="auto"/>
          </w:tcPr>
          <w:p w14:paraId="6D60F8DC" w14:textId="77777777" w:rsidR="008C5CFA" w:rsidRPr="00A92B39" w:rsidRDefault="008C5CFA" w:rsidP="00300A01">
            <w:pPr>
              <w:spacing w:before="0" w:after="0"/>
              <w:jc w:val="right"/>
              <w:rPr>
                <w:sz w:val="10"/>
                <w:szCs w:val="10"/>
                <w:lang w:val="fr-BE"/>
              </w:rPr>
            </w:pPr>
          </w:p>
        </w:tc>
        <w:tc>
          <w:tcPr>
            <w:tcW w:w="0" w:type="auto"/>
            <w:shd w:val="clear" w:color="auto" w:fill="auto"/>
          </w:tcPr>
          <w:p w14:paraId="3C3806FC" w14:textId="77777777" w:rsidR="008C5CFA" w:rsidRPr="00A92B39" w:rsidRDefault="008C5CFA" w:rsidP="00300A01">
            <w:pPr>
              <w:spacing w:before="0" w:after="0"/>
              <w:jc w:val="right"/>
              <w:rPr>
                <w:sz w:val="10"/>
                <w:szCs w:val="10"/>
                <w:lang w:val="fr-BE"/>
              </w:rPr>
            </w:pPr>
          </w:p>
        </w:tc>
        <w:tc>
          <w:tcPr>
            <w:tcW w:w="0" w:type="auto"/>
            <w:shd w:val="clear" w:color="auto" w:fill="auto"/>
          </w:tcPr>
          <w:p w14:paraId="4C70BD26" w14:textId="77777777" w:rsidR="008C5CFA" w:rsidRPr="00A92B39" w:rsidRDefault="00E82A60" w:rsidP="00300A01">
            <w:pPr>
              <w:spacing w:before="0" w:after="0"/>
              <w:jc w:val="right"/>
              <w:rPr>
                <w:sz w:val="10"/>
                <w:szCs w:val="10"/>
                <w:lang w:val="fr-BE"/>
              </w:rPr>
            </w:pPr>
            <w:r w:rsidRPr="00A92B39">
              <w:rPr>
                <w:noProof/>
                <w:sz w:val="10"/>
                <w:szCs w:val="10"/>
                <w:lang w:val="fr-BE"/>
              </w:rPr>
              <w:t>3 717,00</w:t>
            </w:r>
          </w:p>
        </w:tc>
        <w:tc>
          <w:tcPr>
            <w:tcW w:w="0" w:type="auto"/>
            <w:shd w:val="clear" w:color="auto" w:fill="auto"/>
          </w:tcPr>
          <w:p w14:paraId="1C153F36"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14:paraId="7626BD60"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14:paraId="473C0602" w14:textId="77777777" w:rsidR="008C5CFA" w:rsidRPr="00A92B39" w:rsidRDefault="008C5CFA" w:rsidP="00300A01">
            <w:pPr>
              <w:spacing w:before="0" w:after="0"/>
              <w:jc w:val="right"/>
              <w:rPr>
                <w:sz w:val="10"/>
                <w:szCs w:val="10"/>
                <w:lang w:val="fr-BE"/>
              </w:rPr>
            </w:pPr>
          </w:p>
        </w:tc>
        <w:tc>
          <w:tcPr>
            <w:tcW w:w="0" w:type="auto"/>
            <w:shd w:val="clear" w:color="auto" w:fill="auto"/>
          </w:tcPr>
          <w:p w14:paraId="64BF5790" w14:textId="77777777" w:rsidR="008C5CFA" w:rsidRPr="00A92B39" w:rsidRDefault="008C5CFA" w:rsidP="00300A01">
            <w:pPr>
              <w:spacing w:before="0" w:after="0"/>
              <w:jc w:val="right"/>
              <w:rPr>
                <w:sz w:val="10"/>
                <w:szCs w:val="10"/>
                <w:lang w:val="fr-BE"/>
              </w:rPr>
            </w:pPr>
          </w:p>
        </w:tc>
        <w:tc>
          <w:tcPr>
            <w:tcW w:w="0" w:type="auto"/>
            <w:shd w:val="clear" w:color="auto" w:fill="auto"/>
          </w:tcPr>
          <w:p w14:paraId="1B8F0B2D" w14:textId="77777777" w:rsidR="008C5CFA" w:rsidRPr="00A92B39" w:rsidRDefault="008C5CFA" w:rsidP="00300A01">
            <w:pPr>
              <w:spacing w:before="0" w:after="0"/>
              <w:jc w:val="right"/>
              <w:rPr>
                <w:sz w:val="10"/>
                <w:szCs w:val="10"/>
                <w:lang w:val="fr-BE"/>
              </w:rPr>
            </w:pPr>
          </w:p>
        </w:tc>
        <w:tc>
          <w:tcPr>
            <w:tcW w:w="0" w:type="auto"/>
          </w:tcPr>
          <w:p w14:paraId="59AC8B59" w14:textId="77777777" w:rsidR="008C5CFA" w:rsidRPr="00A92B39" w:rsidRDefault="00E82A60" w:rsidP="00300A01">
            <w:pPr>
              <w:spacing w:before="0" w:after="0"/>
              <w:jc w:val="right"/>
              <w:rPr>
                <w:sz w:val="10"/>
                <w:szCs w:val="10"/>
                <w:lang w:val="fr-BE"/>
              </w:rPr>
            </w:pPr>
            <w:r w:rsidRPr="00A92B39">
              <w:rPr>
                <w:noProof/>
                <w:sz w:val="10"/>
                <w:szCs w:val="10"/>
                <w:lang w:val="fr-BE"/>
              </w:rPr>
              <w:t>219,00</w:t>
            </w:r>
          </w:p>
        </w:tc>
        <w:tc>
          <w:tcPr>
            <w:tcW w:w="0" w:type="auto"/>
            <w:shd w:val="clear" w:color="auto" w:fill="auto"/>
          </w:tcPr>
          <w:p w14:paraId="4B6AB28B"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14:paraId="575056D6"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r>
      <w:tr w:rsidR="006B2EC1" w14:paraId="28A6D2F2" w14:textId="77777777" w:rsidTr="00EE7BC4">
        <w:tc>
          <w:tcPr>
            <w:tcW w:w="0" w:type="auto"/>
            <w:shd w:val="clear" w:color="auto" w:fill="auto"/>
          </w:tcPr>
          <w:p w14:paraId="2DCB2096" w14:textId="77777777" w:rsidR="008C5CFA" w:rsidRPr="00A92B39" w:rsidRDefault="00E82A60" w:rsidP="00300A01">
            <w:pPr>
              <w:spacing w:before="0" w:after="0"/>
              <w:rPr>
                <w:sz w:val="10"/>
                <w:szCs w:val="10"/>
                <w:lang w:val="fr-BE"/>
              </w:rPr>
            </w:pPr>
            <w:r w:rsidRPr="00A92B39">
              <w:rPr>
                <w:noProof/>
                <w:sz w:val="10"/>
                <w:szCs w:val="10"/>
                <w:lang w:val="fr-BE"/>
              </w:rPr>
              <w:t>131</w:t>
            </w:r>
          </w:p>
        </w:tc>
        <w:tc>
          <w:tcPr>
            <w:tcW w:w="0" w:type="auto"/>
            <w:shd w:val="clear" w:color="auto" w:fill="auto"/>
          </w:tcPr>
          <w:p w14:paraId="64ADE139" w14:textId="77777777" w:rsidR="008C5CFA" w:rsidRPr="00A92B39" w:rsidRDefault="00E82A60" w:rsidP="00300A01">
            <w:pPr>
              <w:spacing w:before="0" w:after="0"/>
              <w:rPr>
                <w:sz w:val="10"/>
                <w:szCs w:val="10"/>
                <w:lang w:val="fr-BE"/>
              </w:rPr>
            </w:pPr>
            <w:r w:rsidRPr="00A92B39">
              <w:rPr>
                <w:noProof/>
                <w:sz w:val="10"/>
                <w:szCs w:val="10"/>
                <w:lang w:val="fr-BE"/>
              </w:rPr>
              <w:t>Liczba działań informacyjno-promocyjnych o szerokim zasięgu</w:t>
            </w:r>
          </w:p>
        </w:tc>
        <w:tc>
          <w:tcPr>
            <w:tcW w:w="0" w:type="auto"/>
            <w:shd w:val="clear" w:color="auto" w:fill="auto"/>
          </w:tcPr>
          <w:p w14:paraId="7DA63387" w14:textId="77777777" w:rsidR="008C5CFA" w:rsidRPr="00A92B39" w:rsidRDefault="008C5CFA" w:rsidP="00300A01">
            <w:pPr>
              <w:spacing w:before="0" w:after="0"/>
              <w:rPr>
                <w:sz w:val="10"/>
                <w:szCs w:val="10"/>
                <w:lang w:val="fr-BE"/>
              </w:rPr>
            </w:pPr>
          </w:p>
        </w:tc>
        <w:tc>
          <w:tcPr>
            <w:tcW w:w="0" w:type="auto"/>
          </w:tcPr>
          <w:p w14:paraId="6C13AA7E" w14:textId="77777777" w:rsidR="008C5CFA" w:rsidRPr="00A92B39" w:rsidRDefault="00E82A60" w:rsidP="00300A01">
            <w:pPr>
              <w:spacing w:before="0" w:after="0"/>
              <w:rPr>
                <w:sz w:val="10"/>
                <w:szCs w:val="10"/>
                <w:lang w:val="fr-BE"/>
              </w:rPr>
            </w:pPr>
            <w:r w:rsidRPr="00A92B39">
              <w:rPr>
                <w:noProof/>
                <w:sz w:val="10"/>
                <w:szCs w:val="10"/>
                <w:lang w:val="fr-BE"/>
              </w:rPr>
              <w:t>szt.</w:t>
            </w:r>
          </w:p>
        </w:tc>
        <w:tc>
          <w:tcPr>
            <w:tcW w:w="0" w:type="auto"/>
            <w:shd w:val="clear" w:color="auto" w:fill="auto"/>
          </w:tcPr>
          <w:p w14:paraId="498085B4" w14:textId="77777777" w:rsidR="008C5CFA" w:rsidRPr="00A92B39" w:rsidRDefault="008C5CFA" w:rsidP="00300A01">
            <w:pPr>
              <w:spacing w:before="0" w:after="0"/>
              <w:jc w:val="right"/>
              <w:rPr>
                <w:sz w:val="10"/>
                <w:szCs w:val="10"/>
                <w:lang w:val="fr-BE"/>
              </w:rPr>
            </w:pPr>
          </w:p>
        </w:tc>
        <w:tc>
          <w:tcPr>
            <w:tcW w:w="0" w:type="auto"/>
            <w:shd w:val="clear" w:color="auto" w:fill="auto"/>
          </w:tcPr>
          <w:p w14:paraId="629633D0" w14:textId="77777777" w:rsidR="008C5CFA" w:rsidRPr="00A92B39" w:rsidRDefault="008C5CFA" w:rsidP="00300A01">
            <w:pPr>
              <w:spacing w:before="0" w:after="0"/>
              <w:jc w:val="right"/>
              <w:rPr>
                <w:sz w:val="10"/>
                <w:szCs w:val="10"/>
                <w:lang w:val="fr-BE"/>
              </w:rPr>
            </w:pPr>
          </w:p>
        </w:tc>
        <w:tc>
          <w:tcPr>
            <w:tcW w:w="0" w:type="auto"/>
            <w:shd w:val="clear" w:color="auto" w:fill="auto"/>
          </w:tcPr>
          <w:p w14:paraId="374EA235" w14:textId="77777777" w:rsidR="008C5CFA" w:rsidRPr="00A92B39" w:rsidRDefault="008C5CFA" w:rsidP="00300A01">
            <w:pPr>
              <w:spacing w:before="0" w:after="0"/>
              <w:jc w:val="right"/>
              <w:rPr>
                <w:sz w:val="10"/>
                <w:szCs w:val="10"/>
                <w:lang w:val="fr-BE"/>
              </w:rPr>
            </w:pPr>
          </w:p>
        </w:tc>
        <w:tc>
          <w:tcPr>
            <w:tcW w:w="0" w:type="auto"/>
            <w:shd w:val="clear" w:color="auto" w:fill="auto"/>
          </w:tcPr>
          <w:p w14:paraId="5EB19774" w14:textId="77777777" w:rsidR="008C5CFA" w:rsidRPr="00A92B39" w:rsidRDefault="00E82A60" w:rsidP="00300A01">
            <w:pPr>
              <w:spacing w:before="0" w:after="0"/>
              <w:jc w:val="right"/>
              <w:rPr>
                <w:sz w:val="10"/>
                <w:szCs w:val="10"/>
                <w:lang w:val="fr-BE"/>
              </w:rPr>
            </w:pPr>
            <w:r w:rsidRPr="00A92B39">
              <w:rPr>
                <w:noProof/>
                <w:sz w:val="10"/>
                <w:szCs w:val="10"/>
                <w:lang w:val="fr-BE"/>
              </w:rPr>
              <w:t>17,00</w:t>
            </w:r>
          </w:p>
        </w:tc>
        <w:tc>
          <w:tcPr>
            <w:tcW w:w="0" w:type="auto"/>
            <w:shd w:val="clear" w:color="auto" w:fill="auto"/>
          </w:tcPr>
          <w:p w14:paraId="5E0C32ED"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14:paraId="150A9C9F"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14:paraId="5327302A" w14:textId="77777777" w:rsidR="008C5CFA" w:rsidRPr="00A92B39" w:rsidRDefault="008C5CFA" w:rsidP="00300A01">
            <w:pPr>
              <w:spacing w:before="0" w:after="0"/>
              <w:jc w:val="right"/>
              <w:rPr>
                <w:sz w:val="10"/>
                <w:szCs w:val="10"/>
                <w:lang w:val="fr-BE"/>
              </w:rPr>
            </w:pPr>
          </w:p>
        </w:tc>
        <w:tc>
          <w:tcPr>
            <w:tcW w:w="0" w:type="auto"/>
            <w:shd w:val="clear" w:color="auto" w:fill="auto"/>
          </w:tcPr>
          <w:p w14:paraId="216FA223" w14:textId="77777777" w:rsidR="008C5CFA" w:rsidRPr="00A92B39" w:rsidRDefault="008C5CFA" w:rsidP="00300A01">
            <w:pPr>
              <w:spacing w:before="0" w:after="0"/>
              <w:jc w:val="right"/>
              <w:rPr>
                <w:sz w:val="10"/>
                <w:szCs w:val="10"/>
                <w:lang w:val="fr-BE"/>
              </w:rPr>
            </w:pPr>
          </w:p>
        </w:tc>
        <w:tc>
          <w:tcPr>
            <w:tcW w:w="0" w:type="auto"/>
            <w:shd w:val="clear" w:color="auto" w:fill="auto"/>
          </w:tcPr>
          <w:p w14:paraId="52ABDB40" w14:textId="77777777" w:rsidR="008C5CFA" w:rsidRPr="00A92B39" w:rsidRDefault="008C5CFA" w:rsidP="00300A01">
            <w:pPr>
              <w:spacing w:before="0" w:after="0"/>
              <w:jc w:val="right"/>
              <w:rPr>
                <w:sz w:val="10"/>
                <w:szCs w:val="10"/>
                <w:lang w:val="fr-BE"/>
              </w:rPr>
            </w:pPr>
          </w:p>
        </w:tc>
        <w:tc>
          <w:tcPr>
            <w:tcW w:w="0" w:type="auto"/>
          </w:tcPr>
          <w:p w14:paraId="26070B7B" w14:textId="77777777" w:rsidR="008C5CFA" w:rsidRPr="00A92B39" w:rsidRDefault="00E82A60" w:rsidP="00300A01">
            <w:pPr>
              <w:spacing w:before="0" w:after="0"/>
              <w:jc w:val="right"/>
              <w:rPr>
                <w:sz w:val="10"/>
                <w:szCs w:val="10"/>
                <w:lang w:val="fr-BE"/>
              </w:rPr>
            </w:pPr>
            <w:r w:rsidRPr="00A92B39">
              <w:rPr>
                <w:noProof/>
                <w:sz w:val="10"/>
                <w:szCs w:val="10"/>
                <w:lang w:val="fr-BE"/>
              </w:rPr>
              <w:t>1,00</w:t>
            </w:r>
          </w:p>
        </w:tc>
        <w:tc>
          <w:tcPr>
            <w:tcW w:w="0" w:type="auto"/>
            <w:shd w:val="clear" w:color="auto" w:fill="auto"/>
          </w:tcPr>
          <w:p w14:paraId="7750305E"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14:paraId="5A5C7950"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r>
      <w:tr w:rsidR="006B2EC1" w14:paraId="2021423D" w14:textId="77777777" w:rsidTr="00EE7BC4">
        <w:tc>
          <w:tcPr>
            <w:tcW w:w="0" w:type="auto"/>
            <w:shd w:val="clear" w:color="auto" w:fill="auto"/>
          </w:tcPr>
          <w:p w14:paraId="22F7626F" w14:textId="77777777" w:rsidR="008C5CFA" w:rsidRPr="00A92B39" w:rsidRDefault="00E82A60" w:rsidP="00300A01">
            <w:pPr>
              <w:spacing w:before="0" w:after="0"/>
              <w:rPr>
                <w:sz w:val="10"/>
                <w:szCs w:val="10"/>
                <w:lang w:val="fr-BE"/>
              </w:rPr>
            </w:pPr>
            <w:r w:rsidRPr="00A92B39">
              <w:rPr>
                <w:noProof/>
                <w:sz w:val="10"/>
                <w:szCs w:val="10"/>
                <w:lang w:val="fr-BE"/>
              </w:rPr>
              <w:t>134</w:t>
            </w:r>
          </w:p>
        </w:tc>
        <w:tc>
          <w:tcPr>
            <w:tcW w:w="0" w:type="auto"/>
            <w:shd w:val="clear" w:color="auto" w:fill="auto"/>
          </w:tcPr>
          <w:p w14:paraId="078811F9" w14:textId="77777777" w:rsidR="008C5CFA" w:rsidRPr="00A92B39" w:rsidRDefault="00E82A60" w:rsidP="00300A01">
            <w:pPr>
              <w:spacing w:before="0" w:after="0"/>
              <w:rPr>
                <w:sz w:val="10"/>
                <w:szCs w:val="10"/>
                <w:lang w:val="fr-BE"/>
              </w:rPr>
            </w:pPr>
            <w:r w:rsidRPr="00A92B39">
              <w:rPr>
                <w:noProof/>
                <w:sz w:val="10"/>
                <w:szCs w:val="10"/>
                <w:lang w:val="fr-BE"/>
              </w:rPr>
              <w:t>Liczba zakupionych urządzeń oraz elementów wyposażenia stanowiska pracy</w:t>
            </w:r>
          </w:p>
        </w:tc>
        <w:tc>
          <w:tcPr>
            <w:tcW w:w="0" w:type="auto"/>
            <w:shd w:val="clear" w:color="auto" w:fill="auto"/>
          </w:tcPr>
          <w:p w14:paraId="0A26222D" w14:textId="77777777" w:rsidR="008C5CFA" w:rsidRPr="00A92B39" w:rsidRDefault="008C5CFA" w:rsidP="00300A01">
            <w:pPr>
              <w:spacing w:before="0" w:after="0"/>
              <w:rPr>
                <w:sz w:val="10"/>
                <w:szCs w:val="10"/>
                <w:lang w:val="fr-BE"/>
              </w:rPr>
            </w:pPr>
          </w:p>
        </w:tc>
        <w:tc>
          <w:tcPr>
            <w:tcW w:w="0" w:type="auto"/>
          </w:tcPr>
          <w:p w14:paraId="73F9CBF8" w14:textId="77777777" w:rsidR="008C5CFA" w:rsidRPr="00A92B39" w:rsidRDefault="00E82A60" w:rsidP="00300A01">
            <w:pPr>
              <w:spacing w:before="0" w:after="0"/>
              <w:rPr>
                <w:sz w:val="10"/>
                <w:szCs w:val="10"/>
                <w:lang w:val="fr-BE"/>
              </w:rPr>
            </w:pPr>
            <w:r w:rsidRPr="00A92B39">
              <w:rPr>
                <w:noProof/>
                <w:sz w:val="10"/>
                <w:szCs w:val="10"/>
                <w:lang w:val="fr-BE"/>
              </w:rPr>
              <w:t>szt.</w:t>
            </w:r>
          </w:p>
        </w:tc>
        <w:tc>
          <w:tcPr>
            <w:tcW w:w="0" w:type="auto"/>
            <w:shd w:val="clear" w:color="auto" w:fill="auto"/>
          </w:tcPr>
          <w:p w14:paraId="5112EF11" w14:textId="77777777" w:rsidR="008C5CFA" w:rsidRPr="00A92B39" w:rsidRDefault="008C5CFA" w:rsidP="00300A01">
            <w:pPr>
              <w:spacing w:before="0" w:after="0"/>
              <w:jc w:val="right"/>
              <w:rPr>
                <w:sz w:val="10"/>
                <w:szCs w:val="10"/>
                <w:lang w:val="fr-BE"/>
              </w:rPr>
            </w:pPr>
          </w:p>
        </w:tc>
        <w:tc>
          <w:tcPr>
            <w:tcW w:w="0" w:type="auto"/>
            <w:shd w:val="clear" w:color="auto" w:fill="auto"/>
          </w:tcPr>
          <w:p w14:paraId="5E6A3052" w14:textId="77777777" w:rsidR="008C5CFA" w:rsidRPr="00A92B39" w:rsidRDefault="008C5CFA" w:rsidP="00300A01">
            <w:pPr>
              <w:spacing w:before="0" w:after="0"/>
              <w:jc w:val="right"/>
              <w:rPr>
                <w:sz w:val="10"/>
                <w:szCs w:val="10"/>
                <w:lang w:val="fr-BE"/>
              </w:rPr>
            </w:pPr>
          </w:p>
        </w:tc>
        <w:tc>
          <w:tcPr>
            <w:tcW w:w="0" w:type="auto"/>
            <w:shd w:val="clear" w:color="auto" w:fill="auto"/>
          </w:tcPr>
          <w:p w14:paraId="2ACCAF21" w14:textId="77777777" w:rsidR="008C5CFA" w:rsidRPr="00A92B39" w:rsidRDefault="008C5CFA" w:rsidP="00300A01">
            <w:pPr>
              <w:spacing w:before="0" w:after="0"/>
              <w:jc w:val="right"/>
              <w:rPr>
                <w:sz w:val="10"/>
                <w:szCs w:val="10"/>
                <w:lang w:val="fr-BE"/>
              </w:rPr>
            </w:pPr>
          </w:p>
        </w:tc>
        <w:tc>
          <w:tcPr>
            <w:tcW w:w="0" w:type="auto"/>
            <w:shd w:val="clear" w:color="auto" w:fill="auto"/>
          </w:tcPr>
          <w:p w14:paraId="096749B4" w14:textId="77777777" w:rsidR="008C5CFA" w:rsidRPr="00A92B39" w:rsidRDefault="00E82A60" w:rsidP="00300A01">
            <w:pPr>
              <w:spacing w:before="0" w:after="0"/>
              <w:jc w:val="right"/>
              <w:rPr>
                <w:sz w:val="10"/>
                <w:szCs w:val="10"/>
                <w:lang w:val="fr-BE"/>
              </w:rPr>
            </w:pPr>
            <w:r w:rsidRPr="00A92B39">
              <w:rPr>
                <w:noProof/>
                <w:sz w:val="10"/>
                <w:szCs w:val="10"/>
                <w:lang w:val="fr-BE"/>
              </w:rPr>
              <w:t>1 497,00</w:t>
            </w:r>
          </w:p>
        </w:tc>
        <w:tc>
          <w:tcPr>
            <w:tcW w:w="0" w:type="auto"/>
            <w:shd w:val="clear" w:color="auto" w:fill="auto"/>
          </w:tcPr>
          <w:p w14:paraId="5A832128"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14:paraId="739BE028"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14:paraId="3DF35C90" w14:textId="77777777" w:rsidR="008C5CFA" w:rsidRPr="00A92B39" w:rsidRDefault="008C5CFA" w:rsidP="00300A01">
            <w:pPr>
              <w:spacing w:before="0" w:after="0"/>
              <w:jc w:val="right"/>
              <w:rPr>
                <w:sz w:val="10"/>
                <w:szCs w:val="10"/>
                <w:lang w:val="fr-BE"/>
              </w:rPr>
            </w:pPr>
          </w:p>
        </w:tc>
        <w:tc>
          <w:tcPr>
            <w:tcW w:w="0" w:type="auto"/>
            <w:shd w:val="clear" w:color="auto" w:fill="auto"/>
          </w:tcPr>
          <w:p w14:paraId="3C32C7DF" w14:textId="77777777" w:rsidR="008C5CFA" w:rsidRPr="00A92B39" w:rsidRDefault="008C5CFA" w:rsidP="00300A01">
            <w:pPr>
              <w:spacing w:before="0" w:after="0"/>
              <w:jc w:val="right"/>
              <w:rPr>
                <w:sz w:val="10"/>
                <w:szCs w:val="10"/>
                <w:lang w:val="fr-BE"/>
              </w:rPr>
            </w:pPr>
          </w:p>
        </w:tc>
        <w:tc>
          <w:tcPr>
            <w:tcW w:w="0" w:type="auto"/>
            <w:shd w:val="clear" w:color="auto" w:fill="auto"/>
          </w:tcPr>
          <w:p w14:paraId="032A7B66" w14:textId="77777777" w:rsidR="008C5CFA" w:rsidRPr="00A92B39" w:rsidRDefault="008C5CFA" w:rsidP="00300A01">
            <w:pPr>
              <w:spacing w:before="0" w:after="0"/>
              <w:jc w:val="right"/>
              <w:rPr>
                <w:sz w:val="10"/>
                <w:szCs w:val="10"/>
                <w:lang w:val="fr-BE"/>
              </w:rPr>
            </w:pPr>
          </w:p>
        </w:tc>
        <w:tc>
          <w:tcPr>
            <w:tcW w:w="0" w:type="auto"/>
          </w:tcPr>
          <w:p w14:paraId="0FCCB32D" w14:textId="77777777" w:rsidR="008C5CFA" w:rsidRPr="00A92B39" w:rsidRDefault="00E82A60" w:rsidP="00300A01">
            <w:pPr>
              <w:spacing w:before="0" w:after="0"/>
              <w:jc w:val="right"/>
              <w:rPr>
                <w:sz w:val="10"/>
                <w:szCs w:val="10"/>
                <w:lang w:val="fr-BE"/>
              </w:rPr>
            </w:pPr>
            <w:r w:rsidRPr="00A92B39">
              <w:rPr>
                <w:noProof/>
                <w:sz w:val="10"/>
                <w:szCs w:val="10"/>
                <w:lang w:val="fr-BE"/>
              </w:rPr>
              <w:t>256,00</w:t>
            </w:r>
          </w:p>
        </w:tc>
        <w:tc>
          <w:tcPr>
            <w:tcW w:w="0" w:type="auto"/>
            <w:shd w:val="clear" w:color="auto" w:fill="auto"/>
          </w:tcPr>
          <w:p w14:paraId="3B0284E4"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14:paraId="6AB0EA81"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r>
      <w:tr w:rsidR="006B2EC1" w14:paraId="767DFB85" w14:textId="77777777" w:rsidTr="00EE7BC4">
        <w:tc>
          <w:tcPr>
            <w:tcW w:w="0" w:type="auto"/>
            <w:shd w:val="clear" w:color="auto" w:fill="auto"/>
          </w:tcPr>
          <w:p w14:paraId="36F6DCCD" w14:textId="77777777" w:rsidR="008C5CFA" w:rsidRPr="00A92B39" w:rsidRDefault="00E82A60" w:rsidP="00300A01">
            <w:pPr>
              <w:spacing w:before="0" w:after="0"/>
              <w:rPr>
                <w:sz w:val="10"/>
                <w:szCs w:val="10"/>
                <w:lang w:val="fr-BE"/>
              </w:rPr>
            </w:pPr>
            <w:r w:rsidRPr="00A92B39">
              <w:rPr>
                <w:noProof/>
                <w:sz w:val="10"/>
                <w:szCs w:val="10"/>
                <w:lang w:val="fr-BE"/>
              </w:rPr>
              <w:t>135</w:t>
            </w:r>
          </w:p>
        </w:tc>
        <w:tc>
          <w:tcPr>
            <w:tcW w:w="0" w:type="auto"/>
            <w:shd w:val="clear" w:color="auto" w:fill="auto"/>
          </w:tcPr>
          <w:p w14:paraId="3781789E" w14:textId="77777777" w:rsidR="008C5CFA" w:rsidRPr="00A92B39" w:rsidRDefault="00E82A60" w:rsidP="00300A01">
            <w:pPr>
              <w:spacing w:before="0" w:after="0"/>
              <w:rPr>
                <w:sz w:val="10"/>
                <w:szCs w:val="10"/>
                <w:lang w:val="fr-BE"/>
              </w:rPr>
            </w:pPr>
            <w:r w:rsidRPr="00A92B39">
              <w:rPr>
                <w:noProof/>
                <w:sz w:val="10"/>
                <w:szCs w:val="10"/>
                <w:lang w:val="fr-BE"/>
              </w:rPr>
              <w:t>Liczba utworzonych lub dostosowanych systemów informatycznych</w:t>
            </w:r>
          </w:p>
        </w:tc>
        <w:tc>
          <w:tcPr>
            <w:tcW w:w="0" w:type="auto"/>
            <w:shd w:val="clear" w:color="auto" w:fill="auto"/>
          </w:tcPr>
          <w:p w14:paraId="7CFD1E8F" w14:textId="77777777" w:rsidR="008C5CFA" w:rsidRPr="00A92B39" w:rsidRDefault="008C5CFA" w:rsidP="00300A01">
            <w:pPr>
              <w:spacing w:before="0" w:after="0"/>
              <w:rPr>
                <w:sz w:val="10"/>
                <w:szCs w:val="10"/>
                <w:lang w:val="fr-BE"/>
              </w:rPr>
            </w:pPr>
          </w:p>
        </w:tc>
        <w:tc>
          <w:tcPr>
            <w:tcW w:w="0" w:type="auto"/>
          </w:tcPr>
          <w:p w14:paraId="158A5A00" w14:textId="77777777" w:rsidR="008C5CFA" w:rsidRPr="00A92B39" w:rsidRDefault="00E82A60" w:rsidP="00300A01">
            <w:pPr>
              <w:spacing w:before="0" w:after="0"/>
              <w:rPr>
                <w:sz w:val="10"/>
                <w:szCs w:val="10"/>
                <w:lang w:val="fr-BE"/>
              </w:rPr>
            </w:pPr>
            <w:r w:rsidRPr="00A92B39">
              <w:rPr>
                <w:noProof/>
                <w:sz w:val="10"/>
                <w:szCs w:val="10"/>
                <w:lang w:val="fr-BE"/>
              </w:rPr>
              <w:t>szt.</w:t>
            </w:r>
          </w:p>
        </w:tc>
        <w:tc>
          <w:tcPr>
            <w:tcW w:w="0" w:type="auto"/>
            <w:shd w:val="clear" w:color="auto" w:fill="auto"/>
          </w:tcPr>
          <w:p w14:paraId="77AB63D3" w14:textId="77777777" w:rsidR="008C5CFA" w:rsidRPr="00A92B39" w:rsidRDefault="008C5CFA" w:rsidP="00300A01">
            <w:pPr>
              <w:spacing w:before="0" w:after="0"/>
              <w:jc w:val="right"/>
              <w:rPr>
                <w:sz w:val="10"/>
                <w:szCs w:val="10"/>
                <w:lang w:val="fr-BE"/>
              </w:rPr>
            </w:pPr>
          </w:p>
        </w:tc>
        <w:tc>
          <w:tcPr>
            <w:tcW w:w="0" w:type="auto"/>
            <w:shd w:val="clear" w:color="auto" w:fill="auto"/>
          </w:tcPr>
          <w:p w14:paraId="05218DD7" w14:textId="77777777" w:rsidR="008C5CFA" w:rsidRPr="00A92B39" w:rsidRDefault="008C5CFA" w:rsidP="00300A01">
            <w:pPr>
              <w:spacing w:before="0" w:after="0"/>
              <w:jc w:val="right"/>
              <w:rPr>
                <w:sz w:val="10"/>
                <w:szCs w:val="10"/>
                <w:lang w:val="fr-BE"/>
              </w:rPr>
            </w:pPr>
          </w:p>
        </w:tc>
        <w:tc>
          <w:tcPr>
            <w:tcW w:w="0" w:type="auto"/>
            <w:shd w:val="clear" w:color="auto" w:fill="auto"/>
          </w:tcPr>
          <w:p w14:paraId="734B3211" w14:textId="77777777" w:rsidR="008C5CFA" w:rsidRPr="00A92B39" w:rsidRDefault="008C5CFA" w:rsidP="00300A01">
            <w:pPr>
              <w:spacing w:before="0" w:after="0"/>
              <w:jc w:val="right"/>
              <w:rPr>
                <w:sz w:val="10"/>
                <w:szCs w:val="10"/>
                <w:lang w:val="fr-BE"/>
              </w:rPr>
            </w:pPr>
          </w:p>
        </w:tc>
        <w:tc>
          <w:tcPr>
            <w:tcW w:w="0" w:type="auto"/>
            <w:shd w:val="clear" w:color="auto" w:fill="auto"/>
          </w:tcPr>
          <w:p w14:paraId="26CCA286" w14:textId="77777777" w:rsidR="008C5CFA" w:rsidRPr="00A92B39" w:rsidRDefault="00E82A60" w:rsidP="00300A01">
            <w:pPr>
              <w:spacing w:before="0" w:after="0"/>
              <w:jc w:val="right"/>
              <w:rPr>
                <w:sz w:val="10"/>
                <w:szCs w:val="10"/>
                <w:lang w:val="fr-BE"/>
              </w:rPr>
            </w:pPr>
            <w:r w:rsidRPr="00A92B39">
              <w:rPr>
                <w:noProof/>
                <w:sz w:val="10"/>
                <w:szCs w:val="10"/>
                <w:lang w:val="fr-BE"/>
              </w:rPr>
              <w:t>1,00</w:t>
            </w:r>
          </w:p>
        </w:tc>
        <w:tc>
          <w:tcPr>
            <w:tcW w:w="0" w:type="auto"/>
            <w:shd w:val="clear" w:color="auto" w:fill="auto"/>
          </w:tcPr>
          <w:p w14:paraId="1383BB56"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14:paraId="3FB67EC0"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14:paraId="5729618B" w14:textId="77777777" w:rsidR="008C5CFA" w:rsidRPr="00A92B39" w:rsidRDefault="008C5CFA" w:rsidP="00300A01">
            <w:pPr>
              <w:spacing w:before="0" w:after="0"/>
              <w:jc w:val="right"/>
              <w:rPr>
                <w:sz w:val="10"/>
                <w:szCs w:val="10"/>
                <w:lang w:val="fr-BE"/>
              </w:rPr>
            </w:pPr>
          </w:p>
        </w:tc>
        <w:tc>
          <w:tcPr>
            <w:tcW w:w="0" w:type="auto"/>
            <w:shd w:val="clear" w:color="auto" w:fill="auto"/>
          </w:tcPr>
          <w:p w14:paraId="698FEA82" w14:textId="77777777" w:rsidR="008C5CFA" w:rsidRPr="00A92B39" w:rsidRDefault="008C5CFA" w:rsidP="00300A01">
            <w:pPr>
              <w:spacing w:before="0" w:after="0"/>
              <w:jc w:val="right"/>
              <w:rPr>
                <w:sz w:val="10"/>
                <w:szCs w:val="10"/>
                <w:lang w:val="fr-BE"/>
              </w:rPr>
            </w:pPr>
          </w:p>
        </w:tc>
        <w:tc>
          <w:tcPr>
            <w:tcW w:w="0" w:type="auto"/>
            <w:shd w:val="clear" w:color="auto" w:fill="auto"/>
          </w:tcPr>
          <w:p w14:paraId="51247556" w14:textId="77777777" w:rsidR="008C5CFA" w:rsidRPr="00A92B39" w:rsidRDefault="008C5CFA" w:rsidP="00300A01">
            <w:pPr>
              <w:spacing w:before="0" w:after="0"/>
              <w:jc w:val="right"/>
              <w:rPr>
                <w:sz w:val="10"/>
                <w:szCs w:val="10"/>
                <w:lang w:val="fr-BE"/>
              </w:rPr>
            </w:pPr>
          </w:p>
        </w:tc>
        <w:tc>
          <w:tcPr>
            <w:tcW w:w="0" w:type="auto"/>
          </w:tcPr>
          <w:p w14:paraId="7EB64499"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14:paraId="3172920D"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14:paraId="1359C8EE"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r>
      <w:tr w:rsidR="006B2EC1" w14:paraId="5229A3D6" w14:textId="77777777" w:rsidTr="00EE7BC4">
        <w:tc>
          <w:tcPr>
            <w:tcW w:w="0" w:type="auto"/>
            <w:shd w:val="clear" w:color="auto" w:fill="auto"/>
          </w:tcPr>
          <w:p w14:paraId="5A270BD6" w14:textId="77777777" w:rsidR="008C5CFA" w:rsidRPr="00A92B39" w:rsidRDefault="00E82A60" w:rsidP="00300A01">
            <w:pPr>
              <w:spacing w:before="0" w:after="0"/>
              <w:rPr>
                <w:sz w:val="10"/>
                <w:szCs w:val="10"/>
                <w:lang w:val="fr-BE"/>
              </w:rPr>
            </w:pPr>
            <w:r w:rsidRPr="00A92B39">
              <w:rPr>
                <w:noProof/>
                <w:sz w:val="10"/>
                <w:szCs w:val="10"/>
                <w:lang w:val="fr-BE"/>
              </w:rPr>
              <w:t>136</w:t>
            </w:r>
          </w:p>
        </w:tc>
        <w:tc>
          <w:tcPr>
            <w:tcW w:w="0" w:type="auto"/>
            <w:shd w:val="clear" w:color="auto" w:fill="auto"/>
          </w:tcPr>
          <w:p w14:paraId="26FDE796" w14:textId="77777777" w:rsidR="008C5CFA" w:rsidRPr="00A92B39" w:rsidRDefault="00E82A60" w:rsidP="00300A01">
            <w:pPr>
              <w:spacing w:before="0" w:after="0"/>
              <w:rPr>
                <w:sz w:val="10"/>
                <w:szCs w:val="10"/>
                <w:lang w:val="fr-BE"/>
              </w:rPr>
            </w:pPr>
            <w:r w:rsidRPr="00A92B39">
              <w:rPr>
                <w:noProof/>
                <w:sz w:val="10"/>
                <w:szCs w:val="10"/>
                <w:lang w:val="fr-BE"/>
              </w:rPr>
              <w:t>Liczba użytkowników systemów informatycznych</w:t>
            </w:r>
          </w:p>
        </w:tc>
        <w:tc>
          <w:tcPr>
            <w:tcW w:w="0" w:type="auto"/>
            <w:shd w:val="clear" w:color="auto" w:fill="auto"/>
          </w:tcPr>
          <w:p w14:paraId="75AA2CF9" w14:textId="77777777" w:rsidR="008C5CFA" w:rsidRPr="00A92B39" w:rsidRDefault="008C5CFA" w:rsidP="00300A01">
            <w:pPr>
              <w:spacing w:before="0" w:after="0"/>
              <w:rPr>
                <w:sz w:val="10"/>
                <w:szCs w:val="10"/>
                <w:lang w:val="fr-BE"/>
              </w:rPr>
            </w:pPr>
          </w:p>
        </w:tc>
        <w:tc>
          <w:tcPr>
            <w:tcW w:w="0" w:type="auto"/>
          </w:tcPr>
          <w:p w14:paraId="1C8C313D" w14:textId="77777777" w:rsidR="008C5CFA" w:rsidRPr="00A92B39" w:rsidRDefault="00E82A60" w:rsidP="00300A01">
            <w:pPr>
              <w:spacing w:before="0" w:after="0"/>
              <w:rPr>
                <w:sz w:val="10"/>
                <w:szCs w:val="10"/>
                <w:lang w:val="fr-BE"/>
              </w:rPr>
            </w:pPr>
            <w:r w:rsidRPr="00A92B39">
              <w:rPr>
                <w:noProof/>
                <w:sz w:val="10"/>
                <w:szCs w:val="10"/>
                <w:lang w:val="fr-BE"/>
              </w:rPr>
              <w:t>os.</w:t>
            </w:r>
          </w:p>
        </w:tc>
        <w:tc>
          <w:tcPr>
            <w:tcW w:w="0" w:type="auto"/>
            <w:shd w:val="clear" w:color="auto" w:fill="auto"/>
          </w:tcPr>
          <w:p w14:paraId="4949B079" w14:textId="77777777" w:rsidR="008C5CFA" w:rsidRPr="00A92B39" w:rsidRDefault="008C5CFA" w:rsidP="00300A01">
            <w:pPr>
              <w:spacing w:before="0" w:after="0"/>
              <w:jc w:val="right"/>
              <w:rPr>
                <w:sz w:val="10"/>
                <w:szCs w:val="10"/>
                <w:lang w:val="fr-BE"/>
              </w:rPr>
            </w:pPr>
          </w:p>
        </w:tc>
        <w:tc>
          <w:tcPr>
            <w:tcW w:w="0" w:type="auto"/>
            <w:shd w:val="clear" w:color="auto" w:fill="auto"/>
          </w:tcPr>
          <w:p w14:paraId="2B03FE74" w14:textId="77777777" w:rsidR="008C5CFA" w:rsidRPr="00A92B39" w:rsidRDefault="008C5CFA" w:rsidP="00300A01">
            <w:pPr>
              <w:spacing w:before="0" w:after="0"/>
              <w:jc w:val="right"/>
              <w:rPr>
                <w:sz w:val="10"/>
                <w:szCs w:val="10"/>
                <w:lang w:val="fr-BE"/>
              </w:rPr>
            </w:pPr>
          </w:p>
        </w:tc>
        <w:tc>
          <w:tcPr>
            <w:tcW w:w="0" w:type="auto"/>
            <w:shd w:val="clear" w:color="auto" w:fill="auto"/>
          </w:tcPr>
          <w:p w14:paraId="53458294" w14:textId="77777777" w:rsidR="008C5CFA" w:rsidRPr="00A92B39" w:rsidRDefault="008C5CFA" w:rsidP="00300A01">
            <w:pPr>
              <w:spacing w:before="0" w:after="0"/>
              <w:jc w:val="right"/>
              <w:rPr>
                <w:sz w:val="10"/>
                <w:szCs w:val="10"/>
                <w:lang w:val="fr-BE"/>
              </w:rPr>
            </w:pPr>
          </w:p>
        </w:tc>
        <w:tc>
          <w:tcPr>
            <w:tcW w:w="0" w:type="auto"/>
            <w:shd w:val="clear" w:color="auto" w:fill="auto"/>
          </w:tcPr>
          <w:p w14:paraId="2CAF4AD3" w14:textId="77777777" w:rsidR="008C5CFA" w:rsidRPr="00A92B39" w:rsidRDefault="00E82A60" w:rsidP="00300A01">
            <w:pPr>
              <w:spacing w:before="0" w:after="0"/>
              <w:jc w:val="right"/>
              <w:rPr>
                <w:sz w:val="10"/>
                <w:szCs w:val="10"/>
                <w:lang w:val="fr-BE"/>
              </w:rPr>
            </w:pPr>
            <w:r w:rsidRPr="00A92B39">
              <w:rPr>
                <w:noProof/>
                <w:sz w:val="10"/>
                <w:szCs w:val="10"/>
                <w:lang w:val="fr-BE"/>
              </w:rPr>
              <w:t>9 694,00</w:t>
            </w:r>
          </w:p>
        </w:tc>
        <w:tc>
          <w:tcPr>
            <w:tcW w:w="0" w:type="auto"/>
            <w:shd w:val="clear" w:color="auto" w:fill="auto"/>
          </w:tcPr>
          <w:p w14:paraId="5BD63912"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14:paraId="44585F20"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14:paraId="0D462492" w14:textId="77777777" w:rsidR="008C5CFA" w:rsidRPr="00A92B39" w:rsidRDefault="008C5CFA" w:rsidP="00300A01">
            <w:pPr>
              <w:spacing w:before="0" w:after="0"/>
              <w:jc w:val="right"/>
              <w:rPr>
                <w:sz w:val="10"/>
                <w:szCs w:val="10"/>
                <w:lang w:val="fr-BE"/>
              </w:rPr>
            </w:pPr>
          </w:p>
        </w:tc>
        <w:tc>
          <w:tcPr>
            <w:tcW w:w="0" w:type="auto"/>
            <w:shd w:val="clear" w:color="auto" w:fill="auto"/>
          </w:tcPr>
          <w:p w14:paraId="56F5B5A0" w14:textId="77777777" w:rsidR="008C5CFA" w:rsidRPr="00A92B39" w:rsidRDefault="008C5CFA" w:rsidP="00300A01">
            <w:pPr>
              <w:spacing w:before="0" w:after="0"/>
              <w:jc w:val="right"/>
              <w:rPr>
                <w:sz w:val="10"/>
                <w:szCs w:val="10"/>
                <w:lang w:val="fr-BE"/>
              </w:rPr>
            </w:pPr>
          </w:p>
        </w:tc>
        <w:tc>
          <w:tcPr>
            <w:tcW w:w="0" w:type="auto"/>
            <w:shd w:val="clear" w:color="auto" w:fill="auto"/>
          </w:tcPr>
          <w:p w14:paraId="2B45AAFF" w14:textId="77777777" w:rsidR="008C5CFA" w:rsidRPr="00A92B39" w:rsidRDefault="008C5CFA" w:rsidP="00300A01">
            <w:pPr>
              <w:spacing w:before="0" w:after="0"/>
              <w:jc w:val="right"/>
              <w:rPr>
                <w:sz w:val="10"/>
                <w:szCs w:val="10"/>
                <w:lang w:val="fr-BE"/>
              </w:rPr>
            </w:pPr>
          </w:p>
        </w:tc>
        <w:tc>
          <w:tcPr>
            <w:tcW w:w="0" w:type="auto"/>
          </w:tcPr>
          <w:p w14:paraId="2ABDB362" w14:textId="77777777" w:rsidR="008C5CFA" w:rsidRPr="00A92B39" w:rsidRDefault="00E82A60" w:rsidP="00300A01">
            <w:pPr>
              <w:spacing w:before="0" w:after="0"/>
              <w:jc w:val="right"/>
              <w:rPr>
                <w:sz w:val="10"/>
                <w:szCs w:val="10"/>
                <w:lang w:val="fr-BE"/>
              </w:rPr>
            </w:pPr>
            <w:r w:rsidRPr="00A92B39">
              <w:rPr>
                <w:noProof/>
                <w:sz w:val="10"/>
                <w:szCs w:val="10"/>
                <w:lang w:val="fr-BE"/>
              </w:rPr>
              <w:t>1 106,00</w:t>
            </w:r>
          </w:p>
        </w:tc>
        <w:tc>
          <w:tcPr>
            <w:tcW w:w="0" w:type="auto"/>
            <w:shd w:val="clear" w:color="auto" w:fill="auto"/>
          </w:tcPr>
          <w:p w14:paraId="4A9779A9"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14:paraId="3023380A"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r>
      <w:tr w:rsidR="006B2EC1" w14:paraId="0E0C2BED" w14:textId="77777777" w:rsidTr="00EE7BC4">
        <w:tc>
          <w:tcPr>
            <w:tcW w:w="0" w:type="auto"/>
            <w:shd w:val="clear" w:color="auto" w:fill="auto"/>
          </w:tcPr>
          <w:p w14:paraId="227F182B" w14:textId="77777777" w:rsidR="008C5CFA" w:rsidRPr="00A92B39" w:rsidRDefault="00E82A60" w:rsidP="00300A01">
            <w:pPr>
              <w:spacing w:before="0" w:after="0"/>
              <w:rPr>
                <w:sz w:val="10"/>
                <w:szCs w:val="10"/>
                <w:lang w:val="fr-BE"/>
              </w:rPr>
            </w:pPr>
            <w:r w:rsidRPr="00A92B39">
              <w:rPr>
                <w:noProof/>
                <w:sz w:val="10"/>
                <w:szCs w:val="10"/>
                <w:lang w:val="fr-BE"/>
              </w:rPr>
              <w:t>137</w:t>
            </w:r>
          </w:p>
        </w:tc>
        <w:tc>
          <w:tcPr>
            <w:tcW w:w="0" w:type="auto"/>
            <w:shd w:val="clear" w:color="auto" w:fill="auto"/>
          </w:tcPr>
          <w:p w14:paraId="00CEF1C8" w14:textId="77777777" w:rsidR="008C5CFA" w:rsidRPr="00A92B39" w:rsidRDefault="00E82A60" w:rsidP="00300A01">
            <w:pPr>
              <w:spacing w:before="0" w:after="0"/>
              <w:rPr>
                <w:sz w:val="10"/>
                <w:szCs w:val="10"/>
                <w:lang w:val="fr-BE"/>
              </w:rPr>
            </w:pPr>
            <w:r w:rsidRPr="00A92B39">
              <w:rPr>
                <w:noProof/>
                <w:sz w:val="10"/>
                <w:szCs w:val="10"/>
                <w:lang w:val="fr-BE"/>
              </w:rPr>
              <w:t>Liczba opracowanych ekspertyz</w:t>
            </w:r>
          </w:p>
        </w:tc>
        <w:tc>
          <w:tcPr>
            <w:tcW w:w="0" w:type="auto"/>
            <w:shd w:val="clear" w:color="auto" w:fill="auto"/>
          </w:tcPr>
          <w:p w14:paraId="1E1E3610" w14:textId="77777777" w:rsidR="008C5CFA" w:rsidRPr="00A92B39" w:rsidRDefault="008C5CFA" w:rsidP="00300A01">
            <w:pPr>
              <w:spacing w:before="0" w:after="0"/>
              <w:rPr>
                <w:sz w:val="10"/>
                <w:szCs w:val="10"/>
                <w:lang w:val="fr-BE"/>
              </w:rPr>
            </w:pPr>
          </w:p>
        </w:tc>
        <w:tc>
          <w:tcPr>
            <w:tcW w:w="0" w:type="auto"/>
          </w:tcPr>
          <w:p w14:paraId="080CC455" w14:textId="77777777" w:rsidR="008C5CFA" w:rsidRPr="00A92B39" w:rsidRDefault="00E82A60" w:rsidP="00300A01">
            <w:pPr>
              <w:spacing w:before="0" w:after="0"/>
              <w:rPr>
                <w:sz w:val="10"/>
                <w:szCs w:val="10"/>
                <w:lang w:val="fr-BE"/>
              </w:rPr>
            </w:pPr>
            <w:r w:rsidRPr="00A92B39">
              <w:rPr>
                <w:noProof/>
                <w:sz w:val="10"/>
                <w:szCs w:val="10"/>
                <w:lang w:val="fr-BE"/>
              </w:rPr>
              <w:t>szt.</w:t>
            </w:r>
          </w:p>
        </w:tc>
        <w:tc>
          <w:tcPr>
            <w:tcW w:w="0" w:type="auto"/>
            <w:shd w:val="clear" w:color="auto" w:fill="auto"/>
          </w:tcPr>
          <w:p w14:paraId="6CD4988D" w14:textId="77777777" w:rsidR="008C5CFA" w:rsidRPr="00A92B39" w:rsidRDefault="008C5CFA" w:rsidP="00300A01">
            <w:pPr>
              <w:spacing w:before="0" w:after="0"/>
              <w:jc w:val="right"/>
              <w:rPr>
                <w:sz w:val="10"/>
                <w:szCs w:val="10"/>
                <w:lang w:val="fr-BE"/>
              </w:rPr>
            </w:pPr>
          </w:p>
        </w:tc>
        <w:tc>
          <w:tcPr>
            <w:tcW w:w="0" w:type="auto"/>
            <w:shd w:val="clear" w:color="auto" w:fill="auto"/>
          </w:tcPr>
          <w:p w14:paraId="32ED4D1A" w14:textId="77777777" w:rsidR="008C5CFA" w:rsidRPr="00A92B39" w:rsidRDefault="008C5CFA" w:rsidP="00300A01">
            <w:pPr>
              <w:spacing w:before="0" w:after="0"/>
              <w:jc w:val="right"/>
              <w:rPr>
                <w:sz w:val="10"/>
                <w:szCs w:val="10"/>
                <w:lang w:val="fr-BE"/>
              </w:rPr>
            </w:pPr>
          </w:p>
        </w:tc>
        <w:tc>
          <w:tcPr>
            <w:tcW w:w="0" w:type="auto"/>
            <w:shd w:val="clear" w:color="auto" w:fill="auto"/>
          </w:tcPr>
          <w:p w14:paraId="54B3A1A8" w14:textId="77777777" w:rsidR="008C5CFA" w:rsidRPr="00A92B39" w:rsidRDefault="008C5CFA" w:rsidP="00300A01">
            <w:pPr>
              <w:spacing w:before="0" w:after="0"/>
              <w:jc w:val="right"/>
              <w:rPr>
                <w:sz w:val="10"/>
                <w:szCs w:val="10"/>
                <w:lang w:val="fr-BE"/>
              </w:rPr>
            </w:pPr>
          </w:p>
        </w:tc>
        <w:tc>
          <w:tcPr>
            <w:tcW w:w="0" w:type="auto"/>
            <w:shd w:val="clear" w:color="auto" w:fill="auto"/>
          </w:tcPr>
          <w:p w14:paraId="0A4D8140" w14:textId="77777777" w:rsidR="008C5CFA" w:rsidRPr="00A92B39" w:rsidRDefault="00E82A60" w:rsidP="00300A01">
            <w:pPr>
              <w:spacing w:before="0" w:after="0"/>
              <w:jc w:val="right"/>
              <w:rPr>
                <w:sz w:val="10"/>
                <w:szCs w:val="10"/>
                <w:lang w:val="fr-BE"/>
              </w:rPr>
            </w:pPr>
            <w:r w:rsidRPr="00A92B39">
              <w:rPr>
                <w:noProof/>
                <w:sz w:val="10"/>
                <w:szCs w:val="10"/>
                <w:lang w:val="fr-BE"/>
              </w:rPr>
              <w:t>36,00</w:t>
            </w:r>
          </w:p>
        </w:tc>
        <w:tc>
          <w:tcPr>
            <w:tcW w:w="0" w:type="auto"/>
            <w:shd w:val="clear" w:color="auto" w:fill="auto"/>
          </w:tcPr>
          <w:p w14:paraId="5A643835"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14:paraId="51CD3FCA"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14:paraId="4A150FDC" w14:textId="77777777" w:rsidR="008C5CFA" w:rsidRPr="00A92B39" w:rsidRDefault="008C5CFA" w:rsidP="00300A01">
            <w:pPr>
              <w:spacing w:before="0" w:after="0"/>
              <w:jc w:val="right"/>
              <w:rPr>
                <w:sz w:val="10"/>
                <w:szCs w:val="10"/>
                <w:lang w:val="fr-BE"/>
              </w:rPr>
            </w:pPr>
          </w:p>
        </w:tc>
        <w:tc>
          <w:tcPr>
            <w:tcW w:w="0" w:type="auto"/>
            <w:shd w:val="clear" w:color="auto" w:fill="auto"/>
          </w:tcPr>
          <w:p w14:paraId="250E3ED8" w14:textId="77777777" w:rsidR="008C5CFA" w:rsidRPr="00A92B39" w:rsidRDefault="008C5CFA" w:rsidP="00300A01">
            <w:pPr>
              <w:spacing w:before="0" w:after="0"/>
              <w:jc w:val="right"/>
              <w:rPr>
                <w:sz w:val="10"/>
                <w:szCs w:val="10"/>
                <w:lang w:val="fr-BE"/>
              </w:rPr>
            </w:pPr>
          </w:p>
        </w:tc>
        <w:tc>
          <w:tcPr>
            <w:tcW w:w="0" w:type="auto"/>
            <w:shd w:val="clear" w:color="auto" w:fill="auto"/>
          </w:tcPr>
          <w:p w14:paraId="2E8DA8BB" w14:textId="77777777" w:rsidR="008C5CFA" w:rsidRPr="00A92B39" w:rsidRDefault="008C5CFA" w:rsidP="00300A01">
            <w:pPr>
              <w:spacing w:before="0" w:after="0"/>
              <w:jc w:val="right"/>
              <w:rPr>
                <w:sz w:val="10"/>
                <w:szCs w:val="10"/>
                <w:lang w:val="fr-BE"/>
              </w:rPr>
            </w:pPr>
          </w:p>
        </w:tc>
        <w:tc>
          <w:tcPr>
            <w:tcW w:w="0" w:type="auto"/>
          </w:tcPr>
          <w:p w14:paraId="0B8ED39F" w14:textId="77777777" w:rsidR="008C5CFA" w:rsidRPr="00A92B39" w:rsidRDefault="00E82A60" w:rsidP="00300A01">
            <w:pPr>
              <w:spacing w:before="0" w:after="0"/>
              <w:jc w:val="right"/>
              <w:rPr>
                <w:sz w:val="10"/>
                <w:szCs w:val="10"/>
                <w:lang w:val="fr-BE"/>
              </w:rPr>
            </w:pPr>
            <w:r w:rsidRPr="00A92B39">
              <w:rPr>
                <w:noProof/>
                <w:sz w:val="10"/>
                <w:szCs w:val="10"/>
                <w:lang w:val="fr-BE"/>
              </w:rPr>
              <w:t>9,00</w:t>
            </w:r>
          </w:p>
        </w:tc>
        <w:tc>
          <w:tcPr>
            <w:tcW w:w="0" w:type="auto"/>
            <w:shd w:val="clear" w:color="auto" w:fill="auto"/>
          </w:tcPr>
          <w:p w14:paraId="01592B65"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14:paraId="54E270BF"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r>
      <w:tr w:rsidR="006B2EC1" w14:paraId="7F86683E" w14:textId="77777777" w:rsidTr="00EE7BC4">
        <w:tc>
          <w:tcPr>
            <w:tcW w:w="0" w:type="auto"/>
            <w:shd w:val="clear" w:color="auto" w:fill="auto"/>
          </w:tcPr>
          <w:p w14:paraId="03FDEE8E" w14:textId="77777777" w:rsidR="008C5CFA" w:rsidRPr="00A92B39" w:rsidRDefault="00E82A60" w:rsidP="00300A01">
            <w:pPr>
              <w:spacing w:before="0" w:after="0"/>
              <w:rPr>
                <w:sz w:val="10"/>
                <w:szCs w:val="10"/>
                <w:lang w:val="fr-BE"/>
              </w:rPr>
            </w:pPr>
            <w:r w:rsidRPr="00A92B39">
              <w:rPr>
                <w:noProof/>
                <w:sz w:val="10"/>
                <w:szCs w:val="10"/>
                <w:lang w:val="fr-BE"/>
              </w:rPr>
              <w:t>138</w:t>
            </w:r>
          </w:p>
        </w:tc>
        <w:tc>
          <w:tcPr>
            <w:tcW w:w="0" w:type="auto"/>
            <w:shd w:val="clear" w:color="auto" w:fill="auto"/>
          </w:tcPr>
          <w:p w14:paraId="3FB56DB1" w14:textId="77777777" w:rsidR="008C5CFA" w:rsidRPr="00A92B39" w:rsidRDefault="00E82A60" w:rsidP="00300A01">
            <w:pPr>
              <w:spacing w:before="0" w:after="0"/>
              <w:rPr>
                <w:sz w:val="10"/>
                <w:szCs w:val="10"/>
                <w:lang w:val="fr-BE"/>
              </w:rPr>
            </w:pPr>
            <w:r w:rsidRPr="00A92B39">
              <w:rPr>
                <w:noProof/>
                <w:sz w:val="10"/>
                <w:szCs w:val="10"/>
                <w:lang w:val="fr-BE"/>
              </w:rPr>
              <w:t>Liczba zorganizowanych spotkań, konferencji, seminariów</w:t>
            </w:r>
          </w:p>
        </w:tc>
        <w:tc>
          <w:tcPr>
            <w:tcW w:w="0" w:type="auto"/>
            <w:shd w:val="clear" w:color="auto" w:fill="auto"/>
          </w:tcPr>
          <w:p w14:paraId="2E3DEA4E" w14:textId="77777777" w:rsidR="008C5CFA" w:rsidRPr="00A92B39" w:rsidRDefault="008C5CFA" w:rsidP="00300A01">
            <w:pPr>
              <w:spacing w:before="0" w:after="0"/>
              <w:rPr>
                <w:sz w:val="10"/>
                <w:szCs w:val="10"/>
                <w:lang w:val="fr-BE"/>
              </w:rPr>
            </w:pPr>
          </w:p>
        </w:tc>
        <w:tc>
          <w:tcPr>
            <w:tcW w:w="0" w:type="auto"/>
          </w:tcPr>
          <w:p w14:paraId="1852855C" w14:textId="77777777" w:rsidR="008C5CFA" w:rsidRPr="00A92B39" w:rsidRDefault="00E82A60" w:rsidP="00300A01">
            <w:pPr>
              <w:spacing w:before="0" w:after="0"/>
              <w:rPr>
                <w:sz w:val="10"/>
                <w:szCs w:val="10"/>
                <w:lang w:val="fr-BE"/>
              </w:rPr>
            </w:pPr>
            <w:r w:rsidRPr="00A92B39">
              <w:rPr>
                <w:noProof/>
                <w:sz w:val="10"/>
                <w:szCs w:val="10"/>
                <w:lang w:val="fr-BE"/>
              </w:rPr>
              <w:t>szt.</w:t>
            </w:r>
          </w:p>
        </w:tc>
        <w:tc>
          <w:tcPr>
            <w:tcW w:w="0" w:type="auto"/>
            <w:shd w:val="clear" w:color="auto" w:fill="auto"/>
          </w:tcPr>
          <w:p w14:paraId="30D2D7CA" w14:textId="77777777" w:rsidR="008C5CFA" w:rsidRPr="00A92B39" w:rsidRDefault="008C5CFA" w:rsidP="00300A01">
            <w:pPr>
              <w:spacing w:before="0" w:after="0"/>
              <w:jc w:val="right"/>
              <w:rPr>
                <w:sz w:val="10"/>
                <w:szCs w:val="10"/>
                <w:lang w:val="fr-BE"/>
              </w:rPr>
            </w:pPr>
          </w:p>
        </w:tc>
        <w:tc>
          <w:tcPr>
            <w:tcW w:w="0" w:type="auto"/>
            <w:shd w:val="clear" w:color="auto" w:fill="auto"/>
          </w:tcPr>
          <w:p w14:paraId="23AD3128" w14:textId="77777777" w:rsidR="008C5CFA" w:rsidRPr="00A92B39" w:rsidRDefault="008C5CFA" w:rsidP="00300A01">
            <w:pPr>
              <w:spacing w:before="0" w:after="0"/>
              <w:jc w:val="right"/>
              <w:rPr>
                <w:sz w:val="10"/>
                <w:szCs w:val="10"/>
                <w:lang w:val="fr-BE"/>
              </w:rPr>
            </w:pPr>
          </w:p>
        </w:tc>
        <w:tc>
          <w:tcPr>
            <w:tcW w:w="0" w:type="auto"/>
            <w:shd w:val="clear" w:color="auto" w:fill="auto"/>
          </w:tcPr>
          <w:p w14:paraId="46439E07" w14:textId="77777777" w:rsidR="008C5CFA" w:rsidRPr="00A92B39" w:rsidRDefault="008C5CFA" w:rsidP="00300A01">
            <w:pPr>
              <w:spacing w:before="0" w:after="0"/>
              <w:jc w:val="right"/>
              <w:rPr>
                <w:sz w:val="10"/>
                <w:szCs w:val="10"/>
                <w:lang w:val="fr-BE"/>
              </w:rPr>
            </w:pPr>
          </w:p>
        </w:tc>
        <w:tc>
          <w:tcPr>
            <w:tcW w:w="0" w:type="auto"/>
            <w:shd w:val="clear" w:color="auto" w:fill="auto"/>
          </w:tcPr>
          <w:p w14:paraId="2B124BDC" w14:textId="77777777" w:rsidR="008C5CFA" w:rsidRPr="00A92B39" w:rsidRDefault="00E82A60" w:rsidP="00300A01">
            <w:pPr>
              <w:spacing w:before="0" w:after="0"/>
              <w:jc w:val="right"/>
              <w:rPr>
                <w:sz w:val="10"/>
                <w:szCs w:val="10"/>
                <w:lang w:val="fr-BE"/>
              </w:rPr>
            </w:pPr>
            <w:r w:rsidRPr="00A92B39">
              <w:rPr>
                <w:noProof/>
                <w:sz w:val="10"/>
                <w:szCs w:val="10"/>
                <w:lang w:val="fr-BE"/>
              </w:rPr>
              <w:t>71,00</w:t>
            </w:r>
          </w:p>
        </w:tc>
        <w:tc>
          <w:tcPr>
            <w:tcW w:w="0" w:type="auto"/>
            <w:shd w:val="clear" w:color="auto" w:fill="auto"/>
          </w:tcPr>
          <w:p w14:paraId="77F4FE2D"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14:paraId="0CC7FA97"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14:paraId="6EE5183E" w14:textId="77777777" w:rsidR="008C5CFA" w:rsidRPr="00A92B39" w:rsidRDefault="008C5CFA" w:rsidP="00300A01">
            <w:pPr>
              <w:spacing w:before="0" w:after="0"/>
              <w:jc w:val="right"/>
              <w:rPr>
                <w:sz w:val="10"/>
                <w:szCs w:val="10"/>
                <w:lang w:val="fr-BE"/>
              </w:rPr>
            </w:pPr>
          </w:p>
        </w:tc>
        <w:tc>
          <w:tcPr>
            <w:tcW w:w="0" w:type="auto"/>
            <w:shd w:val="clear" w:color="auto" w:fill="auto"/>
          </w:tcPr>
          <w:p w14:paraId="65DFF4DD" w14:textId="77777777" w:rsidR="008C5CFA" w:rsidRPr="00A92B39" w:rsidRDefault="008C5CFA" w:rsidP="00300A01">
            <w:pPr>
              <w:spacing w:before="0" w:after="0"/>
              <w:jc w:val="right"/>
              <w:rPr>
                <w:sz w:val="10"/>
                <w:szCs w:val="10"/>
                <w:lang w:val="fr-BE"/>
              </w:rPr>
            </w:pPr>
          </w:p>
        </w:tc>
        <w:tc>
          <w:tcPr>
            <w:tcW w:w="0" w:type="auto"/>
            <w:shd w:val="clear" w:color="auto" w:fill="auto"/>
          </w:tcPr>
          <w:p w14:paraId="5BC1A351" w14:textId="77777777" w:rsidR="008C5CFA" w:rsidRPr="00A92B39" w:rsidRDefault="008C5CFA" w:rsidP="00300A01">
            <w:pPr>
              <w:spacing w:before="0" w:after="0"/>
              <w:jc w:val="right"/>
              <w:rPr>
                <w:sz w:val="10"/>
                <w:szCs w:val="10"/>
                <w:lang w:val="fr-BE"/>
              </w:rPr>
            </w:pPr>
          </w:p>
        </w:tc>
        <w:tc>
          <w:tcPr>
            <w:tcW w:w="0" w:type="auto"/>
          </w:tcPr>
          <w:p w14:paraId="2EA33CE2" w14:textId="77777777" w:rsidR="008C5CFA" w:rsidRPr="00A92B39" w:rsidRDefault="00E82A60" w:rsidP="00300A01">
            <w:pPr>
              <w:spacing w:before="0" w:after="0"/>
              <w:jc w:val="right"/>
              <w:rPr>
                <w:sz w:val="10"/>
                <w:szCs w:val="10"/>
                <w:lang w:val="fr-BE"/>
              </w:rPr>
            </w:pPr>
            <w:r w:rsidRPr="00A92B39">
              <w:rPr>
                <w:noProof/>
                <w:sz w:val="10"/>
                <w:szCs w:val="10"/>
                <w:lang w:val="fr-BE"/>
              </w:rPr>
              <w:t>8,00</w:t>
            </w:r>
          </w:p>
        </w:tc>
        <w:tc>
          <w:tcPr>
            <w:tcW w:w="0" w:type="auto"/>
            <w:shd w:val="clear" w:color="auto" w:fill="auto"/>
          </w:tcPr>
          <w:p w14:paraId="47637781"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14:paraId="4DEC5BB1"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r>
    </w:tbl>
    <w:p w14:paraId="625A15A5"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83"/>
        <w:gridCol w:w="4367"/>
        <w:gridCol w:w="1153"/>
        <w:gridCol w:w="697"/>
        <w:gridCol w:w="697"/>
        <w:gridCol w:w="544"/>
        <w:gridCol w:w="697"/>
        <w:gridCol w:w="698"/>
        <w:gridCol w:w="545"/>
        <w:gridCol w:w="698"/>
        <w:gridCol w:w="698"/>
        <w:gridCol w:w="545"/>
        <w:gridCol w:w="538"/>
        <w:gridCol w:w="698"/>
        <w:gridCol w:w="545"/>
        <w:gridCol w:w="538"/>
        <w:gridCol w:w="698"/>
        <w:gridCol w:w="545"/>
      </w:tblGrid>
      <w:tr w:rsidR="006B2EC1" w14:paraId="62521E8A" w14:textId="77777777" w:rsidTr="0047688D">
        <w:trPr>
          <w:tblHeader/>
        </w:trPr>
        <w:tc>
          <w:tcPr>
            <w:tcW w:w="0" w:type="auto"/>
            <w:shd w:val="clear" w:color="auto" w:fill="auto"/>
          </w:tcPr>
          <w:p w14:paraId="34FD5659" w14:textId="77777777" w:rsidR="008C5CFA" w:rsidRPr="00A92B39" w:rsidRDefault="00E82A60" w:rsidP="00300A01">
            <w:pPr>
              <w:spacing w:before="0" w:after="0"/>
              <w:rPr>
                <w:b/>
                <w:sz w:val="10"/>
                <w:szCs w:val="10"/>
                <w:lang w:val="fr-BE"/>
              </w:rPr>
            </w:pPr>
            <w:r w:rsidRPr="00A92B39">
              <w:rPr>
                <w:b/>
                <w:noProof/>
                <w:sz w:val="10"/>
                <w:szCs w:val="10"/>
                <w:lang w:val="fr-BE"/>
              </w:rPr>
              <w:t>ID</w:t>
            </w:r>
          </w:p>
        </w:tc>
        <w:tc>
          <w:tcPr>
            <w:tcW w:w="0" w:type="auto"/>
            <w:shd w:val="clear" w:color="auto" w:fill="auto"/>
          </w:tcPr>
          <w:p w14:paraId="75E67463" w14:textId="77777777" w:rsidR="008C5CFA" w:rsidRPr="00A92B39" w:rsidRDefault="00E82A60" w:rsidP="00300A01">
            <w:pPr>
              <w:spacing w:before="0" w:after="0"/>
              <w:rPr>
                <w:b/>
                <w:sz w:val="10"/>
                <w:szCs w:val="10"/>
                <w:lang w:val="fr-BE"/>
              </w:rPr>
            </w:pPr>
            <w:r w:rsidRPr="00A92B39">
              <w:rPr>
                <w:b/>
                <w:noProof/>
                <w:sz w:val="10"/>
                <w:szCs w:val="10"/>
                <w:lang w:val="fr-BE"/>
              </w:rPr>
              <w:t>Wskaźnik</w:t>
            </w:r>
          </w:p>
        </w:tc>
        <w:tc>
          <w:tcPr>
            <w:tcW w:w="0" w:type="auto"/>
            <w:shd w:val="clear" w:color="auto" w:fill="auto"/>
          </w:tcPr>
          <w:p w14:paraId="250BF4ED" w14:textId="77777777" w:rsidR="008C5CFA" w:rsidRPr="00A92B39" w:rsidRDefault="00E82A60" w:rsidP="00300A01">
            <w:pPr>
              <w:spacing w:before="0" w:after="0"/>
              <w:rPr>
                <w:b/>
                <w:sz w:val="10"/>
                <w:szCs w:val="10"/>
                <w:lang w:val="fr-BE"/>
              </w:rPr>
            </w:pPr>
            <w:r w:rsidRPr="00A92B39">
              <w:rPr>
                <w:b/>
                <w:noProof/>
                <w:sz w:val="10"/>
                <w:szCs w:val="10"/>
                <w:lang w:val="fr-BE"/>
              </w:rPr>
              <w:t>Kategoria regionu</w:t>
            </w:r>
          </w:p>
        </w:tc>
        <w:tc>
          <w:tcPr>
            <w:tcW w:w="0" w:type="auto"/>
            <w:gridSpan w:val="3"/>
            <w:shd w:val="clear" w:color="auto" w:fill="auto"/>
          </w:tcPr>
          <w:p w14:paraId="56BFDE6B" w14:textId="77777777" w:rsidR="008C5CFA" w:rsidRPr="00A92B39" w:rsidRDefault="00E82A60" w:rsidP="00300A01">
            <w:pPr>
              <w:spacing w:before="0" w:after="0"/>
              <w:jc w:val="center"/>
              <w:rPr>
                <w:b/>
                <w:sz w:val="10"/>
                <w:szCs w:val="10"/>
                <w:lang w:val="fr-BE"/>
              </w:rPr>
            </w:pPr>
            <w:r w:rsidRPr="00A92B39">
              <w:rPr>
                <w:b/>
                <w:sz w:val="10"/>
                <w:szCs w:val="10"/>
                <w:lang w:val="fr-BE"/>
              </w:rPr>
              <w:t>20</w:t>
            </w:r>
            <w:r>
              <w:rPr>
                <w:b/>
                <w:sz w:val="10"/>
                <w:szCs w:val="10"/>
                <w:lang w:val="fr-BE"/>
              </w:rPr>
              <w:t>18</w:t>
            </w:r>
          </w:p>
        </w:tc>
        <w:tc>
          <w:tcPr>
            <w:tcW w:w="0" w:type="auto"/>
            <w:gridSpan w:val="3"/>
          </w:tcPr>
          <w:p w14:paraId="19C4A32A" w14:textId="77777777" w:rsidR="008C5CFA" w:rsidRPr="00A92B39" w:rsidRDefault="00E82A60" w:rsidP="00300A01">
            <w:pPr>
              <w:spacing w:before="0" w:after="0"/>
              <w:jc w:val="center"/>
              <w:rPr>
                <w:b/>
                <w:sz w:val="10"/>
                <w:szCs w:val="10"/>
                <w:lang w:val="fr-BE"/>
              </w:rPr>
            </w:pPr>
            <w:r>
              <w:rPr>
                <w:b/>
                <w:sz w:val="10"/>
                <w:szCs w:val="10"/>
                <w:lang w:val="fr-BE"/>
              </w:rPr>
              <w:t>2017</w:t>
            </w:r>
          </w:p>
        </w:tc>
        <w:tc>
          <w:tcPr>
            <w:tcW w:w="0" w:type="auto"/>
            <w:gridSpan w:val="3"/>
          </w:tcPr>
          <w:p w14:paraId="27B43224" w14:textId="77777777" w:rsidR="008C5CFA" w:rsidRDefault="00E82A60" w:rsidP="00300A01">
            <w:pPr>
              <w:spacing w:before="0" w:after="0"/>
              <w:jc w:val="center"/>
              <w:rPr>
                <w:b/>
                <w:sz w:val="10"/>
                <w:szCs w:val="10"/>
                <w:lang w:val="fr-BE"/>
              </w:rPr>
            </w:pPr>
            <w:r>
              <w:rPr>
                <w:b/>
                <w:sz w:val="10"/>
                <w:szCs w:val="10"/>
                <w:lang w:val="fr-BE"/>
              </w:rPr>
              <w:t>2016</w:t>
            </w:r>
          </w:p>
        </w:tc>
        <w:tc>
          <w:tcPr>
            <w:tcW w:w="0" w:type="auto"/>
            <w:gridSpan w:val="3"/>
          </w:tcPr>
          <w:p w14:paraId="46F4452D" w14:textId="77777777" w:rsidR="008C5CFA" w:rsidRDefault="00E82A60" w:rsidP="00300A01">
            <w:pPr>
              <w:spacing w:before="0" w:after="0"/>
              <w:jc w:val="center"/>
              <w:rPr>
                <w:b/>
                <w:sz w:val="10"/>
                <w:szCs w:val="10"/>
                <w:lang w:val="fr-BE"/>
              </w:rPr>
            </w:pPr>
            <w:r>
              <w:rPr>
                <w:b/>
                <w:sz w:val="10"/>
                <w:szCs w:val="10"/>
                <w:lang w:val="fr-BE"/>
              </w:rPr>
              <w:t>2015</w:t>
            </w:r>
          </w:p>
        </w:tc>
        <w:tc>
          <w:tcPr>
            <w:tcW w:w="0" w:type="auto"/>
            <w:gridSpan w:val="3"/>
          </w:tcPr>
          <w:p w14:paraId="240EAEBC" w14:textId="77777777" w:rsidR="008C5CFA" w:rsidRDefault="00E82A60" w:rsidP="00300A01">
            <w:pPr>
              <w:spacing w:before="0" w:after="0"/>
              <w:jc w:val="center"/>
              <w:rPr>
                <w:b/>
                <w:sz w:val="10"/>
                <w:szCs w:val="10"/>
                <w:lang w:val="fr-BE"/>
              </w:rPr>
            </w:pPr>
            <w:r>
              <w:rPr>
                <w:b/>
                <w:sz w:val="10"/>
                <w:szCs w:val="10"/>
                <w:lang w:val="fr-BE"/>
              </w:rPr>
              <w:t>2014</w:t>
            </w:r>
          </w:p>
        </w:tc>
      </w:tr>
      <w:tr w:rsidR="006B2EC1" w14:paraId="067D593F" w14:textId="77777777" w:rsidTr="0047688D">
        <w:trPr>
          <w:tblHeader/>
        </w:trPr>
        <w:tc>
          <w:tcPr>
            <w:tcW w:w="0" w:type="auto"/>
            <w:shd w:val="clear" w:color="auto" w:fill="auto"/>
          </w:tcPr>
          <w:p w14:paraId="036A6F79" w14:textId="77777777" w:rsidR="008C5CFA" w:rsidRPr="00A92B39" w:rsidRDefault="008C5CFA" w:rsidP="00300A01">
            <w:pPr>
              <w:spacing w:before="0" w:after="0"/>
              <w:rPr>
                <w:sz w:val="10"/>
                <w:szCs w:val="10"/>
                <w:lang w:val="fr-BE"/>
              </w:rPr>
            </w:pPr>
          </w:p>
        </w:tc>
        <w:tc>
          <w:tcPr>
            <w:tcW w:w="0" w:type="auto"/>
            <w:shd w:val="clear" w:color="auto" w:fill="auto"/>
          </w:tcPr>
          <w:p w14:paraId="2543388B" w14:textId="77777777" w:rsidR="008C5CFA" w:rsidRPr="00A92B39" w:rsidRDefault="008C5CFA" w:rsidP="00300A01">
            <w:pPr>
              <w:spacing w:before="0" w:after="0"/>
              <w:rPr>
                <w:sz w:val="10"/>
                <w:szCs w:val="10"/>
                <w:lang w:val="fr-BE"/>
              </w:rPr>
            </w:pPr>
          </w:p>
        </w:tc>
        <w:tc>
          <w:tcPr>
            <w:tcW w:w="0" w:type="auto"/>
            <w:shd w:val="clear" w:color="auto" w:fill="auto"/>
          </w:tcPr>
          <w:p w14:paraId="1EDD0031" w14:textId="77777777" w:rsidR="008C5CFA" w:rsidRPr="00A92B39" w:rsidRDefault="008C5CFA" w:rsidP="00300A01">
            <w:pPr>
              <w:spacing w:before="0" w:after="0"/>
              <w:rPr>
                <w:sz w:val="10"/>
                <w:szCs w:val="10"/>
                <w:lang w:val="fr-BE"/>
              </w:rPr>
            </w:pPr>
          </w:p>
        </w:tc>
        <w:tc>
          <w:tcPr>
            <w:tcW w:w="0" w:type="auto"/>
            <w:shd w:val="clear" w:color="auto" w:fill="auto"/>
          </w:tcPr>
          <w:p w14:paraId="1F5D2D85" w14:textId="77777777" w:rsidR="008C5CFA" w:rsidRPr="00A92B39" w:rsidRDefault="00E82A60" w:rsidP="00300A01">
            <w:pPr>
              <w:spacing w:before="0" w:after="0"/>
              <w:jc w:val="center"/>
              <w:rPr>
                <w:b/>
                <w:sz w:val="10"/>
                <w:szCs w:val="10"/>
                <w:lang w:val="fr-BE"/>
              </w:rPr>
            </w:pPr>
            <w:r w:rsidRPr="00A92B39">
              <w:rPr>
                <w:b/>
                <w:noProof/>
                <w:sz w:val="10"/>
                <w:szCs w:val="10"/>
                <w:lang w:val="fr-BE"/>
              </w:rPr>
              <w:t>Ogółem</w:t>
            </w:r>
          </w:p>
        </w:tc>
        <w:tc>
          <w:tcPr>
            <w:tcW w:w="0" w:type="auto"/>
            <w:shd w:val="clear" w:color="auto" w:fill="auto"/>
          </w:tcPr>
          <w:p w14:paraId="54A8195D" w14:textId="77777777" w:rsidR="008C5CFA" w:rsidRPr="00A92B39" w:rsidRDefault="00E82A60" w:rsidP="00300A01">
            <w:pPr>
              <w:spacing w:before="0" w:after="0"/>
              <w:jc w:val="center"/>
              <w:rPr>
                <w:b/>
                <w:sz w:val="10"/>
                <w:szCs w:val="10"/>
                <w:lang w:val="fr-BE"/>
              </w:rPr>
            </w:pPr>
            <w:r w:rsidRPr="00A92B39">
              <w:rPr>
                <w:b/>
                <w:noProof/>
                <w:sz w:val="10"/>
                <w:szCs w:val="10"/>
                <w:lang w:val="fr-BE"/>
              </w:rPr>
              <w:t>Mężczyźni</w:t>
            </w:r>
          </w:p>
        </w:tc>
        <w:tc>
          <w:tcPr>
            <w:tcW w:w="0" w:type="auto"/>
            <w:shd w:val="clear" w:color="auto" w:fill="auto"/>
          </w:tcPr>
          <w:p w14:paraId="4FE1DAA7" w14:textId="77777777" w:rsidR="008C5CFA" w:rsidRPr="00A92B39" w:rsidRDefault="00E82A60" w:rsidP="00300A01">
            <w:pPr>
              <w:spacing w:before="0" w:after="0"/>
              <w:jc w:val="center"/>
              <w:rPr>
                <w:b/>
                <w:sz w:val="10"/>
                <w:szCs w:val="10"/>
                <w:lang w:val="fr-BE"/>
              </w:rPr>
            </w:pPr>
            <w:r w:rsidRPr="00A92B39">
              <w:rPr>
                <w:b/>
                <w:noProof/>
                <w:sz w:val="10"/>
                <w:szCs w:val="10"/>
                <w:lang w:val="fr-BE"/>
              </w:rPr>
              <w:t>Kobiety</w:t>
            </w:r>
          </w:p>
        </w:tc>
        <w:tc>
          <w:tcPr>
            <w:tcW w:w="0" w:type="auto"/>
          </w:tcPr>
          <w:p w14:paraId="268E18A7" w14:textId="77777777" w:rsidR="008C5CFA" w:rsidRPr="00A92B39" w:rsidRDefault="00E82A60" w:rsidP="00300A01">
            <w:pPr>
              <w:spacing w:before="0" w:after="0"/>
              <w:jc w:val="center"/>
              <w:rPr>
                <w:b/>
                <w:sz w:val="10"/>
                <w:szCs w:val="10"/>
                <w:lang w:val="fr-BE"/>
              </w:rPr>
            </w:pPr>
            <w:r w:rsidRPr="00A92B39">
              <w:rPr>
                <w:b/>
                <w:noProof/>
                <w:sz w:val="10"/>
                <w:szCs w:val="10"/>
                <w:lang w:val="fr-BE"/>
              </w:rPr>
              <w:t>Ogółem</w:t>
            </w:r>
          </w:p>
        </w:tc>
        <w:tc>
          <w:tcPr>
            <w:tcW w:w="0" w:type="auto"/>
          </w:tcPr>
          <w:p w14:paraId="34548C4B" w14:textId="77777777" w:rsidR="008C5CFA" w:rsidRPr="00A92B39" w:rsidRDefault="00E82A60" w:rsidP="00300A01">
            <w:pPr>
              <w:spacing w:before="0" w:after="0"/>
              <w:jc w:val="center"/>
              <w:rPr>
                <w:b/>
                <w:sz w:val="10"/>
                <w:szCs w:val="10"/>
                <w:lang w:val="fr-BE"/>
              </w:rPr>
            </w:pPr>
            <w:r w:rsidRPr="00A92B39">
              <w:rPr>
                <w:b/>
                <w:noProof/>
                <w:sz w:val="10"/>
                <w:szCs w:val="10"/>
                <w:lang w:val="fr-BE"/>
              </w:rPr>
              <w:t>Mężczyźni</w:t>
            </w:r>
          </w:p>
        </w:tc>
        <w:tc>
          <w:tcPr>
            <w:tcW w:w="0" w:type="auto"/>
          </w:tcPr>
          <w:p w14:paraId="2A96F9FB" w14:textId="77777777" w:rsidR="008C5CFA" w:rsidRPr="00A92B39" w:rsidRDefault="00E82A60" w:rsidP="00300A01">
            <w:pPr>
              <w:spacing w:before="0" w:after="0"/>
              <w:jc w:val="center"/>
              <w:rPr>
                <w:b/>
                <w:sz w:val="10"/>
                <w:szCs w:val="10"/>
                <w:lang w:val="fr-BE"/>
              </w:rPr>
            </w:pPr>
            <w:r w:rsidRPr="00A92B39">
              <w:rPr>
                <w:b/>
                <w:noProof/>
                <w:sz w:val="10"/>
                <w:szCs w:val="10"/>
                <w:lang w:val="fr-BE"/>
              </w:rPr>
              <w:t>Kobiety</w:t>
            </w:r>
          </w:p>
        </w:tc>
        <w:tc>
          <w:tcPr>
            <w:tcW w:w="0" w:type="auto"/>
          </w:tcPr>
          <w:p w14:paraId="7D00D8C3" w14:textId="77777777" w:rsidR="008C5CFA" w:rsidRPr="00A92B39" w:rsidRDefault="00E82A60" w:rsidP="00300A01">
            <w:pPr>
              <w:spacing w:before="0" w:after="0"/>
              <w:jc w:val="center"/>
              <w:rPr>
                <w:b/>
                <w:sz w:val="10"/>
                <w:szCs w:val="10"/>
                <w:lang w:val="fr-BE"/>
              </w:rPr>
            </w:pPr>
            <w:r w:rsidRPr="00A92B39">
              <w:rPr>
                <w:b/>
                <w:noProof/>
                <w:sz w:val="10"/>
                <w:szCs w:val="10"/>
                <w:lang w:val="fr-BE"/>
              </w:rPr>
              <w:t>Ogółem</w:t>
            </w:r>
          </w:p>
        </w:tc>
        <w:tc>
          <w:tcPr>
            <w:tcW w:w="0" w:type="auto"/>
          </w:tcPr>
          <w:p w14:paraId="2488B517" w14:textId="77777777" w:rsidR="008C5CFA" w:rsidRPr="00A92B39" w:rsidRDefault="00E82A60" w:rsidP="00300A01">
            <w:pPr>
              <w:spacing w:before="0" w:after="0"/>
              <w:jc w:val="center"/>
              <w:rPr>
                <w:b/>
                <w:sz w:val="10"/>
                <w:szCs w:val="10"/>
                <w:lang w:val="fr-BE"/>
              </w:rPr>
            </w:pPr>
            <w:r w:rsidRPr="00A92B39">
              <w:rPr>
                <w:b/>
                <w:noProof/>
                <w:sz w:val="10"/>
                <w:szCs w:val="10"/>
                <w:lang w:val="fr-BE"/>
              </w:rPr>
              <w:t>Mężczyźni</w:t>
            </w:r>
          </w:p>
        </w:tc>
        <w:tc>
          <w:tcPr>
            <w:tcW w:w="0" w:type="auto"/>
          </w:tcPr>
          <w:p w14:paraId="2B97FDC3" w14:textId="77777777" w:rsidR="008C5CFA" w:rsidRPr="00A92B39" w:rsidRDefault="00E82A60" w:rsidP="00300A01">
            <w:pPr>
              <w:spacing w:before="0" w:after="0"/>
              <w:jc w:val="center"/>
              <w:rPr>
                <w:b/>
                <w:sz w:val="10"/>
                <w:szCs w:val="10"/>
                <w:lang w:val="fr-BE"/>
              </w:rPr>
            </w:pPr>
            <w:r w:rsidRPr="00A92B39">
              <w:rPr>
                <w:b/>
                <w:noProof/>
                <w:sz w:val="10"/>
                <w:szCs w:val="10"/>
                <w:lang w:val="fr-BE"/>
              </w:rPr>
              <w:t>Kobiety</w:t>
            </w:r>
          </w:p>
        </w:tc>
        <w:tc>
          <w:tcPr>
            <w:tcW w:w="0" w:type="auto"/>
          </w:tcPr>
          <w:p w14:paraId="00EEE37B" w14:textId="77777777" w:rsidR="008C5CFA" w:rsidRPr="00A92B39" w:rsidRDefault="00E82A60" w:rsidP="00300A01">
            <w:pPr>
              <w:spacing w:before="0" w:after="0"/>
              <w:jc w:val="center"/>
              <w:rPr>
                <w:b/>
                <w:sz w:val="10"/>
                <w:szCs w:val="10"/>
                <w:lang w:val="fr-BE"/>
              </w:rPr>
            </w:pPr>
            <w:r w:rsidRPr="00A92B39">
              <w:rPr>
                <w:b/>
                <w:noProof/>
                <w:sz w:val="10"/>
                <w:szCs w:val="10"/>
                <w:lang w:val="fr-BE"/>
              </w:rPr>
              <w:t>Ogółem</w:t>
            </w:r>
          </w:p>
        </w:tc>
        <w:tc>
          <w:tcPr>
            <w:tcW w:w="0" w:type="auto"/>
          </w:tcPr>
          <w:p w14:paraId="67999DA7" w14:textId="77777777" w:rsidR="008C5CFA" w:rsidRPr="00A92B39" w:rsidRDefault="00E82A60" w:rsidP="00300A01">
            <w:pPr>
              <w:spacing w:before="0" w:after="0"/>
              <w:jc w:val="center"/>
              <w:rPr>
                <w:b/>
                <w:sz w:val="10"/>
                <w:szCs w:val="10"/>
                <w:lang w:val="fr-BE"/>
              </w:rPr>
            </w:pPr>
            <w:r w:rsidRPr="00A92B39">
              <w:rPr>
                <w:b/>
                <w:noProof/>
                <w:sz w:val="10"/>
                <w:szCs w:val="10"/>
                <w:lang w:val="fr-BE"/>
              </w:rPr>
              <w:t>Mężczyźni</w:t>
            </w:r>
          </w:p>
        </w:tc>
        <w:tc>
          <w:tcPr>
            <w:tcW w:w="0" w:type="auto"/>
          </w:tcPr>
          <w:p w14:paraId="0B4203D0" w14:textId="77777777" w:rsidR="008C5CFA" w:rsidRPr="00A92B39" w:rsidRDefault="00E82A60" w:rsidP="00300A01">
            <w:pPr>
              <w:spacing w:before="0" w:after="0"/>
              <w:jc w:val="center"/>
              <w:rPr>
                <w:b/>
                <w:sz w:val="10"/>
                <w:szCs w:val="10"/>
                <w:lang w:val="fr-BE"/>
              </w:rPr>
            </w:pPr>
            <w:r w:rsidRPr="00A92B39">
              <w:rPr>
                <w:b/>
                <w:noProof/>
                <w:sz w:val="10"/>
                <w:szCs w:val="10"/>
                <w:lang w:val="fr-BE"/>
              </w:rPr>
              <w:t>Kobiety</w:t>
            </w:r>
          </w:p>
        </w:tc>
        <w:tc>
          <w:tcPr>
            <w:tcW w:w="0" w:type="auto"/>
          </w:tcPr>
          <w:p w14:paraId="7E98EFF7" w14:textId="77777777" w:rsidR="008C5CFA" w:rsidRPr="00A92B39" w:rsidRDefault="00E82A60" w:rsidP="00300A01">
            <w:pPr>
              <w:spacing w:before="0" w:after="0"/>
              <w:jc w:val="center"/>
              <w:rPr>
                <w:b/>
                <w:sz w:val="10"/>
                <w:szCs w:val="10"/>
                <w:lang w:val="fr-BE"/>
              </w:rPr>
            </w:pPr>
            <w:r w:rsidRPr="00A92B39">
              <w:rPr>
                <w:b/>
                <w:noProof/>
                <w:sz w:val="10"/>
                <w:szCs w:val="10"/>
                <w:lang w:val="fr-BE"/>
              </w:rPr>
              <w:t>Ogółem</w:t>
            </w:r>
          </w:p>
        </w:tc>
        <w:tc>
          <w:tcPr>
            <w:tcW w:w="0" w:type="auto"/>
          </w:tcPr>
          <w:p w14:paraId="4C3AD9C8" w14:textId="77777777" w:rsidR="008C5CFA" w:rsidRPr="00A92B39" w:rsidRDefault="00E82A60" w:rsidP="00300A01">
            <w:pPr>
              <w:spacing w:before="0" w:after="0"/>
              <w:jc w:val="center"/>
              <w:rPr>
                <w:b/>
                <w:sz w:val="10"/>
                <w:szCs w:val="10"/>
                <w:lang w:val="fr-BE"/>
              </w:rPr>
            </w:pPr>
            <w:r w:rsidRPr="00A92B39">
              <w:rPr>
                <w:b/>
                <w:noProof/>
                <w:sz w:val="10"/>
                <w:szCs w:val="10"/>
                <w:lang w:val="fr-BE"/>
              </w:rPr>
              <w:t>Mężczyźni</w:t>
            </w:r>
          </w:p>
        </w:tc>
        <w:tc>
          <w:tcPr>
            <w:tcW w:w="0" w:type="auto"/>
          </w:tcPr>
          <w:p w14:paraId="08C19BA9" w14:textId="77777777" w:rsidR="008C5CFA" w:rsidRPr="00A92B39" w:rsidRDefault="00E82A60" w:rsidP="00300A01">
            <w:pPr>
              <w:spacing w:before="0" w:after="0"/>
              <w:jc w:val="center"/>
              <w:rPr>
                <w:b/>
                <w:sz w:val="10"/>
                <w:szCs w:val="10"/>
                <w:lang w:val="fr-BE"/>
              </w:rPr>
            </w:pPr>
            <w:r w:rsidRPr="00A92B39">
              <w:rPr>
                <w:b/>
                <w:noProof/>
                <w:sz w:val="10"/>
                <w:szCs w:val="10"/>
                <w:lang w:val="fr-BE"/>
              </w:rPr>
              <w:t>Kobiety</w:t>
            </w:r>
          </w:p>
        </w:tc>
      </w:tr>
      <w:tr w:rsidR="006B2EC1" w14:paraId="61277403" w14:textId="77777777" w:rsidTr="0047688D">
        <w:tc>
          <w:tcPr>
            <w:tcW w:w="0" w:type="auto"/>
            <w:shd w:val="clear" w:color="auto" w:fill="auto"/>
          </w:tcPr>
          <w:p w14:paraId="11D577DE" w14:textId="77777777" w:rsidR="008C5CFA" w:rsidRPr="00A92B39" w:rsidRDefault="00E82A60" w:rsidP="00300A01">
            <w:pPr>
              <w:spacing w:before="0" w:after="0"/>
              <w:rPr>
                <w:sz w:val="10"/>
                <w:szCs w:val="10"/>
                <w:lang w:val="fr-BE"/>
              </w:rPr>
            </w:pPr>
            <w:r w:rsidRPr="00A92B39">
              <w:rPr>
                <w:noProof/>
                <w:sz w:val="10"/>
                <w:szCs w:val="10"/>
                <w:lang w:val="fr-BE"/>
              </w:rPr>
              <w:t>024</w:t>
            </w:r>
          </w:p>
        </w:tc>
        <w:tc>
          <w:tcPr>
            <w:tcW w:w="0" w:type="auto"/>
            <w:shd w:val="clear" w:color="auto" w:fill="auto"/>
          </w:tcPr>
          <w:p w14:paraId="4564390B" w14:textId="77777777" w:rsidR="008C5CFA" w:rsidRPr="00A92B39" w:rsidRDefault="00E82A60" w:rsidP="00300A01">
            <w:pPr>
              <w:spacing w:before="0" w:after="0"/>
              <w:rPr>
                <w:sz w:val="10"/>
                <w:szCs w:val="10"/>
                <w:lang w:val="fr-BE"/>
              </w:rPr>
            </w:pPr>
            <w:r w:rsidRPr="00A92B39">
              <w:rPr>
                <w:noProof/>
                <w:sz w:val="10"/>
                <w:szCs w:val="10"/>
                <w:lang w:val="fr-BE"/>
              </w:rPr>
              <w:t>Liczba odwiedzin portalu informacyjnego/serwisu internetowego</w:t>
            </w:r>
          </w:p>
        </w:tc>
        <w:tc>
          <w:tcPr>
            <w:tcW w:w="0" w:type="auto"/>
            <w:shd w:val="clear" w:color="auto" w:fill="auto"/>
          </w:tcPr>
          <w:p w14:paraId="30ED3A15" w14:textId="77777777" w:rsidR="008C5CFA" w:rsidRPr="00A92B39" w:rsidRDefault="008C5CFA" w:rsidP="00300A01">
            <w:pPr>
              <w:spacing w:before="0" w:after="0"/>
              <w:rPr>
                <w:sz w:val="10"/>
                <w:szCs w:val="10"/>
                <w:lang w:val="fr-BE"/>
              </w:rPr>
            </w:pPr>
          </w:p>
        </w:tc>
        <w:tc>
          <w:tcPr>
            <w:tcW w:w="0" w:type="auto"/>
            <w:shd w:val="clear" w:color="auto" w:fill="auto"/>
          </w:tcPr>
          <w:p w14:paraId="17D9FE5D" w14:textId="77777777" w:rsidR="008C5CFA" w:rsidRPr="00A92B39" w:rsidRDefault="00E82A60" w:rsidP="00300A01">
            <w:pPr>
              <w:spacing w:before="0" w:after="0"/>
              <w:jc w:val="right"/>
              <w:rPr>
                <w:sz w:val="10"/>
                <w:szCs w:val="10"/>
                <w:lang w:val="fr-BE"/>
              </w:rPr>
            </w:pPr>
            <w:r w:rsidRPr="00A92B39">
              <w:rPr>
                <w:noProof/>
                <w:sz w:val="10"/>
                <w:szCs w:val="10"/>
                <w:lang w:val="fr-BE"/>
              </w:rPr>
              <w:t>217 770,00</w:t>
            </w:r>
          </w:p>
        </w:tc>
        <w:tc>
          <w:tcPr>
            <w:tcW w:w="0" w:type="auto"/>
            <w:shd w:val="clear" w:color="auto" w:fill="auto"/>
          </w:tcPr>
          <w:p w14:paraId="20FFFB3F"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14:paraId="175661FA"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67F96F3D" w14:textId="77777777" w:rsidR="008C5CFA" w:rsidRPr="00A92B39" w:rsidRDefault="00E82A60" w:rsidP="00300A01">
            <w:pPr>
              <w:spacing w:before="0" w:after="0"/>
              <w:jc w:val="right"/>
              <w:rPr>
                <w:sz w:val="10"/>
                <w:szCs w:val="10"/>
                <w:lang w:val="fr-BE"/>
              </w:rPr>
            </w:pPr>
            <w:r w:rsidRPr="00A92B39">
              <w:rPr>
                <w:noProof/>
                <w:sz w:val="10"/>
                <w:szCs w:val="10"/>
                <w:lang w:val="fr-BE"/>
              </w:rPr>
              <w:t>275 191,00</w:t>
            </w:r>
          </w:p>
        </w:tc>
        <w:tc>
          <w:tcPr>
            <w:tcW w:w="0" w:type="auto"/>
          </w:tcPr>
          <w:p w14:paraId="672D5292"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50C59BF5"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47FCD594" w14:textId="77777777" w:rsidR="008C5CFA" w:rsidRPr="00A92B39" w:rsidRDefault="00E82A60" w:rsidP="00300A01">
            <w:pPr>
              <w:spacing w:before="0" w:after="0"/>
              <w:jc w:val="right"/>
              <w:rPr>
                <w:sz w:val="10"/>
                <w:szCs w:val="10"/>
                <w:lang w:val="fr-BE"/>
              </w:rPr>
            </w:pPr>
            <w:r w:rsidRPr="00A92B39">
              <w:rPr>
                <w:noProof/>
                <w:sz w:val="10"/>
                <w:szCs w:val="10"/>
                <w:lang w:val="fr-BE"/>
              </w:rPr>
              <w:t>118 501,00</w:t>
            </w:r>
          </w:p>
        </w:tc>
        <w:tc>
          <w:tcPr>
            <w:tcW w:w="0" w:type="auto"/>
          </w:tcPr>
          <w:p w14:paraId="499A64DC"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431C1A72"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282F6F0B"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3EC3B47D"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74F001CA"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36818F2E"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235EA7A9"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0152D0F8"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r>
      <w:tr w:rsidR="006B2EC1" w14:paraId="5E8F74FB" w14:textId="77777777" w:rsidTr="0047688D">
        <w:tc>
          <w:tcPr>
            <w:tcW w:w="0" w:type="auto"/>
            <w:shd w:val="clear" w:color="auto" w:fill="auto"/>
          </w:tcPr>
          <w:p w14:paraId="419A8097" w14:textId="77777777" w:rsidR="008C5CFA" w:rsidRPr="00A92B39" w:rsidRDefault="00E82A60" w:rsidP="00300A01">
            <w:pPr>
              <w:spacing w:before="0" w:after="0"/>
              <w:rPr>
                <w:sz w:val="10"/>
                <w:szCs w:val="10"/>
                <w:lang w:val="fr-BE"/>
              </w:rPr>
            </w:pPr>
            <w:r w:rsidRPr="00A92B39">
              <w:rPr>
                <w:noProof/>
                <w:sz w:val="10"/>
                <w:szCs w:val="10"/>
                <w:lang w:val="fr-BE"/>
              </w:rPr>
              <w:t>126</w:t>
            </w:r>
          </w:p>
        </w:tc>
        <w:tc>
          <w:tcPr>
            <w:tcW w:w="0" w:type="auto"/>
            <w:shd w:val="clear" w:color="auto" w:fill="auto"/>
          </w:tcPr>
          <w:p w14:paraId="5F43FC91" w14:textId="77777777" w:rsidR="008C5CFA" w:rsidRPr="00A92B39" w:rsidRDefault="00E82A60" w:rsidP="00300A01">
            <w:pPr>
              <w:spacing w:before="0" w:after="0"/>
              <w:rPr>
                <w:sz w:val="10"/>
                <w:szCs w:val="10"/>
                <w:lang w:val="fr-BE"/>
              </w:rPr>
            </w:pPr>
            <w:r w:rsidRPr="00A92B39">
              <w:rPr>
                <w:noProof/>
                <w:sz w:val="10"/>
                <w:szCs w:val="10"/>
                <w:lang w:val="fr-BE"/>
              </w:rPr>
              <w:t>Liczba etatomiesięcy finansowanych ze środków pomocy technicznej</w:t>
            </w:r>
          </w:p>
        </w:tc>
        <w:tc>
          <w:tcPr>
            <w:tcW w:w="0" w:type="auto"/>
            <w:shd w:val="clear" w:color="auto" w:fill="auto"/>
          </w:tcPr>
          <w:p w14:paraId="4E3D2D1A" w14:textId="77777777" w:rsidR="008C5CFA" w:rsidRPr="00A92B39" w:rsidRDefault="008C5CFA" w:rsidP="00300A01">
            <w:pPr>
              <w:spacing w:before="0" w:after="0"/>
              <w:rPr>
                <w:sz w:val="10"/>
                <w:szCs w:val="10"/>
                <w:lang w:val="fr-BE"/>
              </w:rPr>
            </w:pPr>
          </w:p>
        </w:tc>
        <w:tc>
          <w:tcPr>
            <w:tcW w:w="0" w:type="auto"/>
            <w:shd w:val="clear" w:color="auto" w:fill="auto"/>
          </w:tcPr>
          <w:p w14:paraId="1BF823E7" w14:textId="77777777" w:rsidR="008C5CFA" w:rsidRPr="00A92B39" w:rsidRDefault="00E82A60" w:rsidP="00300A01">
            <w:pPr>
              <w:spacing w:before="0" w:after="0"/>
              <w:jc w:val="right"/>
              <w:rPr>
                <w:sz w:val="10"/>
                <w:szCs w:val="10"/>
                <w:lang w:val="fr-BE"/>
              </w:rPr>
            </w:pPr>
            <w:r w:rsidRPr="00A92B39">
              <w:rPr>
                <w:noProof/>
                <w:sz w:val="10"/>
                <w:szCs w:val="10"/>
                <w:lang w:val="fr-BE"/>
              </w:rPr>
              <w:t>3 487,30</w:t>
            </w:r>
          </w:p>
        </w:tc>
        <w:tc>
          <w:tcPr>
            <w:tcW w:w="0" w:type="auto"/>
            <w:shd w:val="clear" w:color="auto" w:fill="auto"/>
          </w:tcPr>
          <w:p w14:paraId="19860626"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14:paraId="45A6A03E"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245E4C75" w14:textId="77777777" w:rsidR="008C5CFA" w:rsidRPr="00A92B39" w:rsidRDefault="00E82A60" w:rsidP="00300A01">
            <w:pPr>
              <w:spacing w:before="0" w:after="0"/>
              <w:jc w:val="right"/>
              <w:rPr>
                <w:sz w:val="10"/>
                <w:szCs w:val="10"/>
                <w:lang w:val="fr-BE"/>
              </w:rPr>
            </w:pPr>
            <w:r w:rsidRPr="00A92B39">
              <w:rPr>
                <w:noProof/>
                <w:sz w:val="10"/>
                <w:szCs w:val="10"/>
                <w:lang w:val="fr-BE"/>
              </w:rPr>
              <w:t>3 837,60</w:t>
            </w:r>
          </w:p>
        </w:tc>
        <w:tc>
          <w:tcPr>
            <w:tcW w:w="0" w:type="auto"/>
          </w:tcPr>
          <w:p w14:paraId="50A7E77D"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54688F16"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4A460F51" w14:textId="77777777" w:rsidR="008C5CFA" w:rsidRPr="00A92B39" w:rsidRDefault="00E82A60" w:rsidP="00300A01">
            <w:pPr>
              <w:spacing w:before="0" w:after="0"/>
              <w:jc w:val="right"/>
              <w:rPr>
                <w:sz w:val="10"/>
                <w:szCs w:val="10"/>
                <w:lang w:val="fr-BE"/>
              </w:rPr>
            </w:pPr>
            <w:r w:rsidRPr="00A92B39">
              <w:rPr>
                <w:noProof/>
                <w:sz w:val="10"/>
                <w:szCs w:val="10"/>
                <w:lang w:val="fr-BE"/>
              </w:rPr>
              <w:t>2 974,90</w:t>
            </w:r>
          </w:p>
        </w:tc>
        <w:tc>
          <w:tcPr>
            <w:tcW w:w="0" w:type="auto"/>
          </w:tcPr>
          <w:p w14:paraId="7CC66579"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622FC4FF"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5DA55628"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2AE72F79"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021500DD"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7ACED1D5"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6B54D762"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30D7B6E0"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r>
      <w:tr w:rsidR="006B2EC1" w14:paraId="7C276B77" w14:textId="77777777" w:rsidTr="0047688D">
        <w:tc>
          <w:tcPr>
            <w:tcW w:w="0" w:type="auto"/>
            <w:shd w:val="clear" w:color="auto" w:fill="auto"/>
          </w:tcPr>
          <w:p w14:paraId="4087B792" w14:textId="77777777" w:rsidR="008C5CFA" w:rsidRPr="00A92B39" w:rsidRDefault="00E82A60" w:rsidP="00300A01">
            <w:pPr>
              <w:spacing w:before="0" w:after="0"/>
              <w:rPr>
                <w:sz w:val="10"/>
                <w:szCs w:val="10"/>
                <w:lang w:val="fr-BE"/>
              </w:rPr>
            </w:pPr>
            <w:r w:rsidRPr="00A92B39">
              <w:rPr>
                <w:noProof/>
                <w:sz w:val="10"/>
                <w:szCs w:val="10"/>
                <w:lang w:val="fr-BE"/>
              </w:rPr>
              <w:t>127</w:t>
            </w:r>
          </w:p>
        </w:tc>
        <w:tc>
          <w:tcPr>
            <w:tcW w:w="0" w:type="auto"/>
            <w:shd w:val="clear" w:color="auto" w:fill="auto"/>
          </w:tcPr>
          <w:p w14:paraId="319A3594" w14:textId="77777777" w:rsidR="008C5CFA" w:rsidRPr="00A92B39" w:rsidRDefault="00E82A60" w:rsidP="00300A01">
            <w:pPr>
              <w:spacing w:before="0" w:after="0"/>
              <w:rPr>
                <w:sz w:val="10"/>
                <w:szCs w:val="10"/>
                <w:lang w:val="fr-BE"/>
              </w:rPr>
            </w:pPr>
            <w:r w:rsidRPr="00A92B39">
              <w:rPr>
                <w:noProof/>
                <w:sz w:val="10"/>
                <w:szCs w:val="10"/>
                <w:lang w:val="fr-BE"/>
              </w:rPr>
              <w:t>Liczba uczestników form szkoleniowych dla instytucji</w:t>
            </w:r>
          </w:p>
        </w:tc>
        <w:tc>
          <w:tcPr>
            <w:tcW w:w="0" w:type="auto"/>
            <w:shd w:val="clear" w:color="auto" w:fill="auto"/>
          </w:tcPr>
          <w:p w14:paraId="04064AEE" w14:textId="77777777" w:rsidR="008C5CFA" w:rsidRPr="00A92B39" w:rsidRDefault="008C5CFA" w:rsidP="00300A01">
            <w:pPr>
              <w:spacing w:before="0" w:after="0"/>
              <w:rPr>
                <w:sz w:val="10"/>
                <w:szCs w:val="10"/>
                <w:lang w:val="fr-BE"/>
              </w:rPr>
            </w:pPr>
          </w:p>
        </w:tc>
        <w:tc>
          <w:tcPr>
            <w:tcW w:w="0" w:type="auto"/>
            <w:shd w:val="clear" w:color="auto" w:fill="auto"/>
          </w:tcPr>
          <w:p w14:paraId="00754FFA" w14:textId="77777777" w:rsidR="008C5CFA" w:rsidRPr="00A92B39" w:rsidRDefault="00E82A60" w:rsidP="00300A01">
            <w:pPr>
              <w:spacing w:before="0" w:after="0"/>
              <w:jc w:val="right"/>
              <w:rPr>
                <w:sz w:val="10"/>
                <w:szCs w:val="10"/>
                <w:lang w:val="fr-BE"/>
              </w:rPr>
            </w:pPr>
            <w:r w:rsidRPr="00A92B39">
              <w:rPr>
                <w:noProof/>
                <w:sz w:val="10"/>
                <w:szCs w:val="10"/>
                <w:lang w:val="fr-BE"/>
              </w:rPr>
              <w:t>193,30</w:t>
            </w:r>
          </w:p>
        </w:tc>
        <w:tc>
          <w:tcPr>
            <w:tcW w:w="0" w:type="auto"/>
            <w:shd w:val="clear" w:color="auto" w:fill="auto"/>
          </w:tcPr>
          <w:p w14:paraId="2F89D02F"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14:paraId="550474EA"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2706122F" w14:textId="77777777" w:rsidR="008C5CFA" w:rsidRPr="00A92B39" w:rsidRDefault="00E82A60" w:rsidP="00300A01">
            <w:pPr>
              <w:spacing w:before="0" w:after="0"/>
              <w:jc w:val="right"/>
              <w:rPr>
                <w:sz w:val="10"/>
                <w:szCs w:val="10"/>
                <w:lang w:val="fr-BE"/>
              </w:rPr>
            </w:pPr>
            <w:r w:rsidRPr="00A92B39">
              <w:rPr>
                <w:noProof/>
                <w:sz w:val="10"/>
                <w:szCs w:val="10"/>
                <w:lang w:val="fr-BE"/>
              </w:rPr>
              <w:t>492,30</w:t>
            </w:r>
          </w:p>
        </w:tc>
        <w:tc>
          <w:tcPr>
            <w:tcW w:w="0" w:type="auto"/>
          </w:tcPr>
          <w:p w14:paraId="2EF456B6"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6EAF6273"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5960C9EA" w14:textId="77777777" w:rsidR="008C5CFA" w:rsidRPr="00A92B39" w:rsidRDefault="00E82A60" w:rsidP="00300A01">
            <w:pPr>
              <w:spacing w:before="0" w:after="0"/>
              <w:jc w:val="right"/>
              <w:rPr>
                <w:sz w:val="10"/>
                <w:szCs w:val="10"/>
                <w:lang w:val="fr-BE"/>
              </w:rPr>
            </w:pPr>
            <w:r w:rsidRPr="00A92B39">
              <w:rPr>
                <w:noProof/>
                <w:sz w:val="10"/>
                <w:szCs w:val="10"/>
                <w:lang w:val="fr-BE"/>
              </w:rPr>
              <w:t>270,00</w:t>
            </w:r>
          </w:p>
        </w:tc>
        <w:tc>
          <w:tcPr>
            <w:tcW w:w="0" w:type="auto"/>
          </w:tcPr>
          <w:p w14:paraId="712F04D3"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33D9054B"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27ACE4CA"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2ED1EB5B"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463ED0F5"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72E32B1B"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0FF99E6D"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763F798F"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r>
      <w:tr w:rsidR="006B2EC1" w14:paraId="0D596592" w14:textId="77777777" w:rsidTr="0047688D">
        <w:tc>
          <w:tcPr>
            <w:tcW w:w="0" w:type="auto"/>
            <w:shd w:val="clear" w:color="auto" w:fill="auto"/>
          </w:tcPr>
          <w:p w14:paraId="0F52B2A3" w14:textId="77777777" w:rsidR="008C5CFA" w:rsidRPr="00A92B39" w:rsidRDefault="00E82A60" w:rsidP="00300A01">
            <w:pPr>
              <w:spacing w:before="0" w:after="0"/>
              <w:rPr>
                <w:sz w:val="10"/>
                <w:szCs w:val="10"/>
                <w:lang w:val="fr-BE"/>
              </w:rPr>
            </w:pPr>
            <w:r w:rsidRPr="00A92B39">
              <w:rPr>
                <w:noProof/>
                <w:sz w:val="10"/>
                <w:szCs w:val="10"/>
                <w:lang w:val="fr-BE"/>
              </w:rPr>
              <w:t>128</w:t>
            </w:r>
          </w:p>
        </w:tc>
        <w:tc>
          <w:tcPr>
            <w:tcW w:w="0" w:type="auto"/>
            <w:shd w:val="clear" w:color="auto" w:fill="auto"/>
          </w:tcPr>
          <w:p w14:paraId="729BDB2C" w14:textId="77777777" w:rsidR="008C5CFA" w:rsidRPr="00A92B39" w:rsidRDefault="00E82A60" w:rsidP="00300A01">
            <w:pPr>
              <w:spacing w:before="0" w:after="0"/>
              <w:rPr>
                <w:sz w:val="10"/>
                <w:szCs w:val="10"/>
                <w:lang w:val="fr-BE"/>
              </w:rPr>
            </w:pPr>
            <w:r w:rsidRPr="00A92B39">
              <w:rPr>
                <w:noProof/>
                <w:sz w:val="10"/>
                <w:szCs w:val="10"/>
                <w:lang w:val="fr-BE"/>
              </w:rPr>
              <w:t>Liczba przeprowadzonych ewaluacji</w:t>
            </w:r>
          </w:p>
        </w:tc>
        <w:tc>
          <w:tcPr>
            <w:tcW w:w="0" w:type="auto"/>
            <w:shd w:val="clear" w:color="auto" w:fill="auto"/>
          </w:tcPr>
          <w:p w14:paraId="60341D85" w14:textId="77777777" w:rsidR="008C5CFA" w:rsidRPr="00A92B39" w:rsidRDefault="008C5CFA" w:rsidP="00300A01">
            <w:pPr>
              <w:spacing w:before="0" w:after="0"/>
              <w:rPr>
                <w:sz w:val="10"/>
                <w:szCs w:val="10"/>
                <w:lang w:val="fr-BE"/>
              </w:rPr>
            </w:pPr>
          </w:p>
        </w:tc>
        <w:tc>
          <w:tcPr>
            <w:tcW w:w="0" w:type="auto"/>
            <w:shd w:val="clear" w:color="auto" w:fill="auto"/>
          </w:tcPr>
          <w:p w14:paraId="4A5D5EF1" w14:textId="77777777" w:rsidR="008C5CFA" w:rsidRPr="00A92B39" w:rsidRDefault="00E82A60" w:rsidP="00300A01">
            <w:pPr>
              <w:spacing w:before="0" w:after="0"/>
              <w:jc w:val="right"/>
              <w:rPr>
                <w:sz w:val="10"/>
                <w:szCs w:val="10"/>
                <w:lang w:val="fr-BE"/>
              </w:rPr>
            </w:pPr>
            <w:r w:rsidRPr="00A92B39">
              <w:rPr>
                <w:noProof/>
                <w:sz w:val="10"/>
                <w:szCs w:val="10"/>
                <w:lang w:val="fr-BE"/>
              </w:rPr>
              <w:t>2,00</w:t>
            </w:r>
          </w:p>
        </w:tc>
        <w:tc>
          <w:tcPr>
            <w:tcW w:w="0" w:type="auto"/>
            <w:shd w:val="clear" w:color="auto" w:fill="auto"/>
          </w:tcPr>
          <w:p w14:paraId="7B102567"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14:paraId="3577E92A"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5438B6C4" w14:textId="77777777" w:rsidR="008C5CFA" w:rsidRPr="00A92B39" w:rsidRDefault="00E82A60" w:rsidP="00300A01">
            <w:pPr>
              <w:spacing w:before="0" w:after="0"/>
              <w:jc w:val="right"/>
              <w:rPr>
                <w:sz w:val="10"/>
                <w:szCs w:val="10"/>
                <w:lang w:val="fr-BE"/>
              </w:rPr>
            </w:pPr>
            <w:r w:rsidRPr="00A92B39">
              <w:rPr>
                <w:noProof/>
                <w:sz w:val="10"/>
                <w:szCs w:val="10"/>
                <w:lang w:val="fr-BE"/>
              </w:rPr>
              <w:t>4,00</w:t>
            </w:r>
          </w:p>
        </w:tc>
        <w:tc>
          <w:tcPr>
            <w:tcW w:w="0" w:type="auto"/>
          </w:tcPr>
          <w:p w14:paraId="1EC8541F"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064FF7B7"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44DEE1C6" w14:textId="77777777" w:rsidR="008C5CFA" w:rsidRPr="00A92B39" w:rsidRDefault="00E82A60" w:rsidP="00300A01">
            <w:pPr>
              <w:spacing w:before="0" w:after="0"/>
              <w:jc w:val="right"/>
              <w:rPr>
                <w:sz w:val="10"/>
                <w:szCs w:val="10"/>
                <w:lang w:val="fr-BE"/>
              </w:rPr>
            </w:pPr>
            <w:r w:rsidRPr="00A92B39">
              <w:rPr>
                <w:noProof/>
                <w:sz w:val="10"/>
                <w:szCs w:val="10"/>
                <w:lang w:val="fr-BE"/>
              </w:rPr>
              <w:t>1,00</w:t>
            </w:r>
          </w:p>
        </w:tc>
        <w:tc>
          <w:tcPr>
            <w:tcW w:w="0" w:type="auto"/>
          </w:tcPr>
          <w:p w14:paraId="35884EE8"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4947FC4A"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69A66CD6"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30AA324C"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0C585E50"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3526C83A"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2BDC3682"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3A23E01C"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r>
      <w:tr w:rsidR="006B2EC1" w14:paraId="1A5E64C7" w14:textId="77777777" w:rsidTr="0047688D">
        <w:tc>
          <w:tcPr>
            <w:tcW w:w="0" w:type="auto"/>
            <w:shd w:val="clear" w:color="auto" w:fill="auto"/>
          </w:tcPr>
          <w:p w14:paraId="399A4BE2" w14:textId="77777777" w:rsidR="008C5CFA" w:rsidRPr="00A92B39" w:rsidRDefault="00E82A60" w:rsidP="00300A01">
            <w:pPr>
              <w:spacing w:before="0" w:after="0"/>
              <w:rPr>
                <w:sz w:val="10"/>
                <w:szCs w:val="10"/>
                <w:lang w:val="fr-BE"/>
              </w:rPr>
            </w:pPr>
            <w:r w:rsidRPr="00A92B39">
              <w:rPr>
                <w:noProof/>
                <w:sz w:val="10"/>
                <w:szCs w:val="10"/>
                <w:lang w:val="fr-BE"/>
              </w:rPr>
              <w:t>129</w:t>
            </w:r>
          </w:p>
        </w:tc>
        <w:tc>
          <w:tcPr>
            <w:tcW w:w="0" w:type="auto"/>
            <w:shd w:val="clear" w:color="auto" w:fill="auto"/>
          </w:tcPr>
          <w:p w14:paraId="6F5DFFA1" w14:textId="77777777" w:rsidR="008C5CFA" w:rsidRPr="00A92B39" w:rsidRDefault="00E82A60" w:rsidP="00300A01">
            <w:pPr>
              <w:spacing w:before="0" w:after="0"/>
              <w:rPr>
                <w:sz w:val="10"/>
                <w:szCs w:val="10"/>
                <w:lang w:val="fr-BE"/>
              </w:rPr>
            </w:pPr>
            <w:r w:rsidRPr="00A92B39">
              <w:rPr>
                <w:noProof/>
                <w:sz w:val="10"/>
                <w:szCs w:val="10"/>
                <w:lang w:val="fr-BE"/>
              </w:rPr>
              <w:t>Liczba projektów objętych wsparciem</w:t>
            </w:r>
          </w:p>
        </w:tc>
        <w:tc>
          <w:tcPr>
            <w:tcW w:w="0" w:type="auto"/>
            <w:shd w:val="clear" w:color="auto" w:fill="auto"/>
          </w:tcPr>
          <w:p w14:paraId="0424BE3A" w14:textId="77777777" w:rsidR="008C5CFA" w:rsidRPr="00A92B39" w:rsidRDefault="008C5CFA" w:rsidP="00300A01">
            <w:pPr>
              <w:spacing w:before="0" w:after="0"/>
              <w:rPr>
                <w:sz w:val="10"/>
                <w:szCs w:val="10"/>
                <w:lang w:val="fr-BE"/>
              </w:rPr>
            </w:pPr>
          </w:p>
        </w:tc>
        <w:tc>
          <w:tcPr>
            <w:tcW w:w="0" w:type="auto"/>
            <w:shd w:val="clear" w:color="auto" w:fill="auto"/>
          </w:tcPr>
          <w:p w14:paraId="10A25891"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14:paraId="3F2C6D92"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14:paraId="26744B0A"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566F7FAB"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0E81B670"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2140AF12"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49890AD9" w14:textId="77777777" w:rsidR="008C5CFA" w:rsidRPr="00A92B39" w:rsidRDefault="00E82A60" w:rsidP="00300A01">
            <w:pPr>
              <w:spacing w:before="0" w:after="0"/>
              <w:jc w:val="right"/>
              <w:rPr>
                <w:sz w:val="10"/>
                <w:szCs w:val="10"/>
                <w:lang w:val="fr-BE"/>
              </w:rPr>
            </w:pPr>
            <w:r w:rsidRPr="00A92B39">
              <w:rPr>
                <w:noProof/>
                <w:sz w:val="10"/>
                <w:szCs w:val="10"/>
                <w:lang w:val="fr-BE"/>
              </w:rPr>
              <w:t>1,00</w:t>
            </w:r>
          </w:p>
        </w:tc>
        <w:tc>
          <w:tcPr>
            <w:tcW w:w="0" w:type="auto"/>
          </w:tcPr>
          <w:p w14:paraId="29720159"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15AA76FF"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47A3C8F0"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716070C8"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1BD3A171"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20E53E66"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15979A6F"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740C63D2"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r>
      <w:tr w:rsidR="006B2EC1" w14:paraId="7488A265" w14:textId="77777777" w:rsidTr="0047688D">
        <w:tc>
          <w:tcPr>
            <w:tcW w:w="0" w:type="auto"/>
            <w:shd w:val="clear" w:color="auto" w:fill="auto"/>
          </w:tcPr>
          <w:p w14:paraId="324CF8F1" w14:textId="77777777" w:rsidR="008C5CFA" w:rsidRPr="00A92B39" w:rsidRDefault="00E82A60" w:rsidP="00300A01">
            <w:pPr>
              <w:spacing w:before="0" w:after="0"/>
              <w:rPr>
                <w:sz w:val="10"/>
                <w:szCs w:val="10"/>
                <w:lang w:val="fr-BE"/>
              </w:rPr>
            </w:pPr>
            <w:r w:rsidRPr="00A92B39">
              <w:rPr>
                <w:noProof/>
                <w:sz w:val="10"/>
                <w:szCs w:val="10"/>
                <w:lang w:val="fr-BE"/>
              </w:rPr>
              <w:t>130</w:t>
            </w:r>
          </w:p>
        </w:tc>
        <w:tc>
          <w:tcPr>
            <w:tcW w:w="0" w:type="auto"/>
            <w:shd w:val="clear" w:color="auto" w:fill="auto"/>
          </w:tcPr>
          <w:p w14:paraId="4DF6F670" w14:textId="77777777" w:rsidR="008C5CFA" w:rsidRPr="00A92B39" w:rsidRDefault="00E82A60" w:rsidP="00300A01">
            <w:pPr>
              <w:spacing w:before="0" w:after="0"/>
              <w:rPr>
                <w:sz w:val="10"/>
                <w:szCs w:val="10"/>
                <w:lang w:val="fr-BE"/>
              </w:rPr>
            </w:pPr>
            <w:r w:rsidRPr="00A92B39">
              <w:rPr>
                <w:noProof/>
                <w:sz w:val="10"/>
                <w:szCs w:val="10"/>
                <w:lang w:val="fr-BE"/>
              </w:rPr>
              <w:t>Liczba uczestników form szkoleniowych dla beneficjentów</w:t>
            </w:r>
          </w:p>
        </w:tc>
        <w:tc>
          <w:tcPr>
            <w:tcW w:w="0" w:type="auto"/>
            <w:shd w:val="clear" w:color="auto" w:fill="auto"/>
          </w:tcPr>
          <w:p w14:paraId="16590C11" w14:textId="77777777" w:rsidR="008C5CFA" w:rsidRPr="00A92B39" w:rsidRDefault="008C5CFA" w:rsidP="00300A01">
            <w:pPr>
              <w:spacing w:before="0" w:after="0"/>
              <w:rPr>
                <w:sz w:val="10"/>
                <w:szCs w:val="10"/>
                <w:lang w:val="fr-BE"/>
              </w:rPr>
            </w:pPr>
          </w:p>
        </w:tc>
        <w:tc>
          <w:tcPr>
            <w:tcW w:w="0" w:type="auto"/>
            <w:shd w:val="clear" w:color="auto" w:fill="auto"/>
          </w:tcPr>
          <w:p w14:paraId="7130B8CC" w14:textId="77777777" w:rsidR="008C5CFA" w:rsidRPr="00A92B39" w:rsidRDefault="00E82A60" w:rsidP="00300A01">
            <w:pPr>
              <w:spacing w:before="0" w:after="0"/>
              <w:jc w:val="right"/>
              <w:rPr>
                <w:sz w:val="10"/>
                <w:szCs w:val="10"/>
                <w:lang w:val="fr-BE"/>
              </w:rPr>
            </w:pPr>
            <w:r w:rsidRPr="00A92B39">
              <w:rPr>
                <w:noProof/>
                <w:sz w:val="10"/>
                <w:szCs w:val="10"/>
                <w:lang w:val="fr-BE"/>
              </w:rPr>
              <w:t>1 469,00</w:t>
            </w:r>
          </w:p>
        </w:tc>
        <w:tc>
          <w:tcPr>
            <w:tcW w:w="0" w:type="auto"/>
            <w:shd w:val="clear" w:color="auto" w:fill="auto"/>
          </w:tcPr>
          <w:p w14:paraId="752E5507"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14:paraId="0D80F58B"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27587CAF" w14:textId="77777777" w:rsidR="008C5CFA" w:rsidRPr="00A92B39" w:rsidRDefault="00E82A60" w:rsidP="00300A01">
            <w:pPr>
              <w:spacing w:before="0" w:after="0"/>
              <w:jc w:val="right"/>
              <w:rPr>
                <w:sz w:val="10"/>
                <w:szCs w:val="10"/>
                <w:lang w:val="fr-BE"/>
              </w:rPr>
            </w:pPr>
            <w:r w:rsidRPr="00A92B39">
              <w:rPr>
                <w:noProof/>
                <w:sz w:val="10"/>
                <w:szCs w:val="10"/>
                <w:lang w:val="fr-BE"/>
              </w:rPr>
              <w:t>530,00</w:t>
            </w:r>
          </w:p>
        </w:tc>
        <w:tc>
          <w:tcPr>
            <w:tcW w:w="0" w:type="auto"/>
          </w:tcPr>
          <w:p w14:paraId="08B41F58"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01231750"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3A420F36" w14:textId="77777777" w:rsidR="008C5CFA" w:rsidRPr="00A92B39" w:rsidRDefault="00E82A60" w:rsidP="00300A01">
            <w:pPr>
              <w:spacing w:before="0" w:after="0"/>
              <w:jc w:val="right"/>
              <w:rPr>
                <w:sz w:val="10"/>
                <w:szCs w:val="10"/>
                <w:lang w:val="fr-BE"/>
              </w:rPr>
            </w:pPr>
            <w:r w:rsidRPr="00A92B39">
              <w:rPr>
                <w:noProof/>
                <w:sz w:val="10"/>
                <w:szCs w:val="10"/>
                <w:lang w:val="fr-BE"/>
              </w:rPr>
              <w:t>1 499,00</w:t>
            </w:r>
          </w:p>
        </w:tc>
        <w:tc>
          <w:tcPr>
            <w:tcW w:w="0" w:type="auto"/>
          </w:tcPr>
          <w:p w14:paraId="134E5879"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3FA4CE55"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308C6B72"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1602C2B8"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02F4B935"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0171C7C0"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0508CBA6"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3D7960F0"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r>
      <w:tr w:rsidR="006B2EC1" w14:paraId="5BC764BC" w14:textId="77777777" w:rsidTr="0047688D">
        <w:tc>
          <w:tcPr>
            <w:tcW w:w="0" w:type="auto"/>
            <w:shd w:val="clear" w:color="auto" w:fill="auto"/>
          </w:tcPr>
          <w:p w14:paraId="38CAEC7C" w14:textId="77777777" w:rsidR="008C5CFA" w:rsidRPr="00A92B39" w:rsidRDefault="00E82A60" w:rsidP="00300A01">
            <w:pPr>
              <w:spacing w:before="0" w:after="0"/>
              <w:rPr>
                <w:sz w:val="10"/>
                <w:szCs w:val="10"/>
                <w:lang w:val="fr-BE"/>
              </w:rPr>
            </w:pPr>
            <w:r w:rsidRPr="00A92B39">
              <w:rPr>
                <w:noProof/>
                <w:sz w:val="10"/>
                <w:szCs w:val="10"/>
                <w:lang w:val="fr-BE"/>
              </w:rPr>
              <w:t>131</w:t>
            </w:r>
          </w:p>
        </w:tc>
        <w:tc>
          <w:tcPr>
            <w:tcW w:w="0" w:type="auto"/>
            <w:shd w:val="clear" w:color="auto" w:fill="auto"/>
          </w:tcPr>
          <w:p w14:paraId="5BDF2B2F" w14:textId="77777777" w:rsidR="008C5CFA" w:rsidRPr="00A92B39" w:rsidRDefault="00E82A60" w:rsidP="00300A01">
            <w:pPr>
              <w:spacing w:before="0" w:after="0"/>
              <w:rPr>
                <w:sz w:val="10"/>
                <w:szCs w:val="10"/>
                <w:lang w:val="fr-BE"/>
              </w:rPr>
            </w:pPr>
            <w:r w:rsidRPr="00A92B39">
              <w:rPr>
                <w:noProof/>
                <w:sz w:val="10"/>
                <w:szCs w:val="10"/>
                <w:lang w:val="fr-BE"/>
              </w:rPr>
              <w:t>Liczba działań informacyjno-promocyjnych o szerokim zasięgu</w:t>
            </w:r>
          </w:p>
        </w:tc>
        <w:tc>
          <w:tcPr>
            <w:tcW w:w="0" w:type="auto"/>
            <w:shd w:val="clear" w:color="auto" w:fill="auto"/>
          </w:tcPr>
          <w:p w14:paraId="1B88979F" w14:textId="77777777" w:rsidR="008C5CFA" w:rsidRPr="00A92B39" w:rsidRDefault="008C5CFA" w:rsidP="00300A01">
            <w:pPr>
              <w:spacing w:before="0" w:after="0"/>
              <w:rPr>
                <w:sz w:val="10"/>
                <w:szCs w:val="10"/>
                <w:lang w:val="fr-BE"/>
              </w:rPr>
            </w:pPr>
          </w:p>
        </w:tc>
        <w:tc>
          <w:tcPr>
            <w:tcW w:w="0" w:type="auto"/>
            <w:shd w:val="clear" w:color="auto" w:fill="auto"/>
          </w:tcPr>
          <w:p w14:paraId="622D77AA" w14:textId="77777777" w:rsidR="008C5CFA" w:rsidRPr="00A92B39" w:rsidRDefault="00E82A60" w:rsidP="00300A01">
            <w:pPr>
              <w:spacing w:before="0" w:after="0"/>
              <w:jc w:val="right"/>
              <w:rPr>
                <w:sz w:val="10"/>
                <w:szCs w:val="10"/>
                <w:lang w:val="fr-BE"/>
              </w:rPr>
            </w:pPr>
            <w:r w:rsidRPr="00A92B39">
              <w:rPr>
                <w:noProof/>
                <w:sz w:val="10"/>
                <w:szCs w:val="10"/>
                <w:lang w:val="fr-BE"/>
              </w:rPr>
              <w:t>3,00</w:t>
            </w:r>
          </w:p>
        </w:tc>
        <w:tc>
          <w:tcPr>
            <w:tcW w:w="0" w:type="auto"/>
            <w:shd w:val="clear" w:color="auto" w:fill="auto"/>
          </w:tcPr>
          <w:p w14:paraId="0554AAD9"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14:paraId="1C2B0480"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395868C9" w14:textId="77777777" w:rsidR="008C5CFA" w:rsidRPr="00A92B39" w:rsidRDefault="00E82A60" w:rsidP="00300A01">
            <w:pPr>
              <w:spacing w:before="0" w:after="0"/>
              <w:jc w:val="right"/>
              <w:rPr>
                <w:sz w:val="10"/>
                <w:szCs w:val="10"/>
                <w:lang w:val="fr-BE"/>
              </w:rPr>
            </w:pPr>
            <w:r w:rsidRPr="00A92B39">
              <w:rPr>
                <w:noProof/>
                <w:sz w:val="10"/>
                <w:szCs w:val="10"/>
                <w:lang w:val="fr-BE"/>
              </w:rPr>
              <w:t>2,00</w:t>
            </w:r>
          </w:p>
        </w:tc>
        <w:tc>
          <w:tcPr>
            <w:tcW w:w="0" w:type="auto"/>
          </w:tcPr>
          <w:p w14:paraId="0FB8A909"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3A3972B8"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48F2DC61" w14:textId="77777777" w:rsidR="008C5CFA" w:rsidRPr="00A92B39" w:rsidRDefault="00E82A60" w:rsidP="00300A01">
            <w:pPr>
              <w:spacing w:before="0" w:after="0"/>
              <w:jc w:val="right"/>
              <w:rPr>
                <w:sz w:val="10"/>
                <w:szCs w:val="10"/>
                <w:lang w:val="fr-BE"/>
              </w:rPr>
            </w:pPr>
            <w:r w:rsidRPr="00A92B39">
              <w:rPr>
                <w:noProof/>
                <w:sz w:val="10"/>
                <w:szCs w:val="10"/>
                <w:lang w:val="fr-BE"/>
              </w:rPr>
              <w:t>11,00</w:t>
            </w:r>
          </w:p>
        </w:tc>
        <w:tc>
          <w:tcPr>
            <w:tcW w:w="0" w:type="auto"/>
          </w:tcPr>
          <w:p w14:paraId="27FD3F6B"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3976BEF8"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1B88F46E"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7015EC9C"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142315E9"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210C3B3A"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6D48E0A8"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1FDF7CE7"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r>
      <w:tr w:rsidR="006B2EC1" w14:paraId="6F97496A" w14:textId="77777777" w:rsidTr="0047688D">
        <w:tc>
          <w:tcPr>
            <w:tcW w:w="0" w:type="auto"/>
            <w:shd w:val="clear" w:color="auto" w:fill="auto"/>
          </w:tcPr>
          <w:p w14:paraId="0B7070B1" w14:textId="77777777" w:rsidR="008C5CFA" w:rsidRPr="00A92B39" w:rsidRDefault="00E82A60" w:rsidP="00300A01">
            <w:pPr>
              <w:spacing w:before="0" w:after="0"/>
              <w:rPr>
                <w:sz w:val="10"/>
                <w:szCs w:val="10"/>
                <w:lang w:val="fr-BE"/>
              </w:rPr>
            </w:pPr>
            <w:r w:rsidRPr="00A92B39">
              <w:rPr>
                <w:noProof/>
                <w:sz w:val="10"/>
                <w:szCs w:val="10"/>
                <w:lang w:val="fr-BE"/>
              </w:rPr>
              <w:t>134</w:t>
            </w:r>
          </w:p>
        </w:tc>
        <w:tc>
          <w:tcPr>
            <w:tcW w:w="0" w:type="auto"/>
            <w:shd w:val="clear" w:color="auto" w:fill="auto"/>
          </w:tcPr>
          <w:p w14:paraId="739FFB75" w14:textId="77777777" w:rsidR="008C5CFA" w:rsidRPr="00A92B39" w:rsidRDefault="00E82A60" w:rsidP="00300A01">
            <w:pPr>
              <w:spacing w:before="0" w:after="0"/>
              <w:rPr>
                <w:sz w:val="10"/>
                <w:szCs w:val="10"/>
                <w:lang w:val="fr-BE"/>
              </w:rPr>
            </w:pPr>
            <w:r w:rsidRPr="00A92B39">
              <w:rPr>
                <w:noProof/>
                <w:sz w:val="10"/>
                <w:szCs w:val="10"/>
                <w:lang w:val="fr-BE"/>
              </w:rPr>
              <w:t>Liczba zakupionych urządzeń oraz elementów wyposażenia stanowiska pracy</w:t>
            </w:r>
          </w:p>
        </w:tc>
        <w:tc>
          <w:tcPr>
            <w:tcW w:w="0" w:type="auto"/>
            <w:shd w:val="clear" w:color="auto" w:fill="auto"/>
          </w:tcPr>
          <w:p w14:paraId="5B7EAA71" w14:textId="77777777" w:rsidR="008C5CFA" w:rsidRPr="00A92B39" w:rsidRDefault="008C5CFA" w:rsidP="00300A01">
            <w:pPr>
              <w:spacing w:before="0" w:after="0"/>
              <w:rPr>
                <w:sz w:val="10"/>
                <w:szCs w:val="10"/>
                <w:lang w:val="fr-BE"/>
              </w:rPr>
            </w:pPr>
          </w:p>
        </w:tc>
        <w:tc>
          <w:tcPr>
            <w:tcW w:w="0" w:type="auto"/>
            <w:shd w:val="clear" w:color="auto" w:fill="auto"/>
          </w:tcPr>
          <w:p w14:paraId="255DA378" w14:textId="77777777" w:rsidR="008C5CFA" w:rsidRPr="00A92B39" w:rsidRDefault="00E82A60" w:rsidP="00300A01">
            <w:pPr>
              <w:spacing w:before="0" w:after="0"/>
              <w:jc w:val="right"/>
              <w:rPr>
                <w:sz w:val="10"/>
                <w:szCs w:val="10"/>
                <w:lang w:val="fr-BE"/>
              </w:rPr>
            </w:pPr>
            <w:r w:rsidRPr="00A92B39">
              <w:rPr>
                <w:noProof/>
                <w:sz w:val="10"/>
                <w:szCs w:val="10"/>
                <w:lang w:val="fr-BE"/>
              </w:rPr>
              <w:t>108,00</w:t>
            </w:r>
          </w:p>
        </w:tc>
        <w:tc>
          <w:tcPr>
            <w:tcW w:w="0" w:type="auto"/>
            <w:shd w:val="clear" w:color="auto" w:fill="auto"/>
          </w:tcPr>
          <w:p w14:paraId="1454F416"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14:paraId="1A249A08"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0935D490" w14:textId="77777777" w:rsidR="008C5CFA" w:rsidRPr="00A92B39" w:rsidRDefault="00E82A60" w:rsidP="00300A01">
            <w:pPr>
              <w:spacing w:before="0" w:after="0"/>
              <w:jc w:val="right"/>
              <w:rPr>
                <w:sz w:val="10"/>
                <w:szCs w:val="10"/>
                <w:lang w:val="fr-BE"/>
              </w:rPr>
            </w:pPr>
            <w:r w:rsidRPr="00A92B39">
              <w:rPr>
                <w:noProof/>
                <w:sz w:val="10"/>
                <w:szCs w:val="10"/>
                <w:lang w:val="fr-BE"/>
              </w:rPr>
              <w:t>460,00</w:t>
            </w:r>
          </w:p>
        </w:tc>
        <w:tc>
          <w:tcPr>
            <w:tcW w:w="0" w:type="auto"/>
          </w:tcPr>
          <w:p w14:paraId="71285FDE"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34F2B365"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5DD90B52" w14:textId="77777777" w:rsidR="008C5CFA" w:rsidRPr="00A92B39" w:rsidRDefault="00E82A60" w:rsidP="00300A01">
            <w:pPr>
              <w:spacing w:before="0" w:after="0"/>
              <w:jc w:val="right"/>
              <w:rPr>
                <w:sz w:val="10"/>
                <w:szCs w:val="10"/>
                <w:lang w:val="fr-BE"/>
              </w:rPr>
            </w:pPr>
            <w:r w:rsidRPr="00A92B39">
              <w:rPr>
                <w:noProof/>
                <w:sz w:val="10"/>
                <w:szCs w:val="10"/>
                <w:lang w:val="fr-BE"/>
              </w:rPr>
              <w:t>673,00</w:t>
            </w:r>
          </w:p>
        </w:tc>
        <w:tc>
          <w:tcPr>
            <w:tcW w:w="0" w:type="auto"/>
          </w:tcPr>
          <w:p w14:paraId="6A943CA0"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53E6BF48"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56452258"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3543671B"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75D7482E"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5EF8F097"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0F32AFA5"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2688F7CD"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r>
      <w:tr w:rsidR="006B2EC1" w14:paraId="1B79DFC9" w14:textId="77777777" w:rsidTr="0047688D">
        <w:tc>
          <w:tcPr>
            <w:tcW w:w="0" w:type="auto"/>
            <w:shd w:val="clear" w:color="auto" w:fill="auto"/>
          </w:tcPr>
          <w:p w14:paraId="19E84E76" w14:textId="77777777" w:rsidR="008C5CFA" w:rsidRPr="00A92B39" w:rsidRDefault="00E82A60" w:rsidP="00300A01">
            <w:pPr>
              <w:spacing w:before="0" w:after="0"/>
              <w:rPr>
                <w:sz w:val="10"/>
                <w:szCs w:val="10"/>
                <w:lang w:val="fr-BE"/>
              </w:rPr>
            </w:pPr>
            <w:r w:rsidRPr="00A92B39">
              <w:rPr>
                <w:noProof/>
                <w:sz w:val="10"/>
                <w:szCs w:val="10"/>
                <w:lang w:val="fr-BE"/>
              </w:rPr>
              <w:t>135</w:t>
            </w:r>
          </w:p>
        </w:tc>
        <w:tc>
          <w:tcPr>
            <w:tcW w:w="0" w:type="auto"/>
            <w:shd w:val="clear" w:color="auto" w:fill="auto"/>
          </w:tcPr>
          <w:p w14:paraId="0016CE87" w14:textId="77777777" w:rsidR="008C5CFA" w:rsidRPr="00A92B39" w:rsidRDefault="00E82A60" w:rsidP="00300A01">
            <w:pPr>
              <w:spacing w:before="0" w:after="0"/>
              <w:rPr>
                <w:sz w:val="10"/>
                <w:szCs w:val="10"/>
                <w:lang w:val="fr-BE"/>
              </w:rPr>
            </w:pPr>
            <w:r w:rsidRPr="00A92B39">
              <w:rPr>
                <w:noProof/>
                <w:sz w:val="10"/>
                <w:szCs w:val="10"/>
                <w:lang w:val="fr-BE"/>
              </w:rPr>
              <w:t>Liczba utworzonych lub dostosowanych systemów informatycznych</w:t>
            </w:r>
          </w:p>
        </w:tc>
        <w:tc>
          <w:tcPr>
            <w:tcW w:w="0" w:type="auto"/>
            <w:shd w:val="clear" w:color="auto" w:fill="auto"/>
          </w:tcPr>
          <w:p w14:paraId="05FDB35D" w14:textId="77777777" w:rsidR="008C5CFA" w:rsidRPr="00A92B39" w:rsidRDefault="008C5CFA" w:rsidP="00300A01">
            <w:pPr>
              <w:spacing w:before="0" w:after="0"/>
              <w:rPr>
                <w:sz w:val="10"/>
                <w:szCs w:val="10"/>
                <w:lang w:val="fr-BE"/>
              </w:rPr>
            </w:pPr>
          </w:p>
        </w:tc>
        <w:tc>
          <w:tcPr>
            <w:tcW w:w="0" w:type="auto"/>
            <w:shd w:val="clear" w:color="auto" w:fill="auto"/>
          </w:tcPr>
          <w:p w14:paraId="70D6B19A"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14:paraId="77685EFE"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14:paraId="7A111C3F"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7D75A554"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25547EE1"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35943EDA"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133C051E" w14:textId="77777777" w:rsidR="008C5CFA" w:rsidRPr="00A92B39" w:rsidRDefault="00E82A60" w:rsidP="00300A01">
            <w:pPr>
              <w:spacing w:before="0" w:after="0"/>
              <w:jc w:val="right"/>
              <w:rPr>
                <w:sz w:val="10"/>
                <w:szCs w:val="10"/>
                <w:lang w:val="fr-BE"/>
              </w:rPr>
            </w:pPr>
            <w:r w:rsidRPr="00A92B39">
              <w:rPr>
                <w:noProof/>
                <w:sz w:val="10"/>
                <w:szCs w:val="10"/>
                <w:lang w:val="fr-BE"/>
              </w:rPr>
              <w:t>1,00</w:t>
            </w:r>
          </w:p>
        </w:tc>
        <w:tc>
          <w:tcPr>
            <w:tcW w:w="0" w:type="auto"/>
          </w:tcPr>
          <w:p w14:paraId="009D142A"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251B2E94"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1ED6BAC3"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2EC78566"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37555EE1"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61259E23"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7B30964E"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12031644"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r>
      <w:tr w:rsidR="006B2EC1" w14:paraId="178F64BD" w14:textId="77777777" w:rsidTr="0047688D">
        <w:tc>
          <w:tcPr>
            <w:tcW w:w="0" w:type="auto"/>
            <w:shd w:val="clear" w:color="auto" w:fill="auto"/>
          </w:tcPr>
          <w:p w14:paraId="2D8AD486" w14:textId="77777777" w:rsidR="008C5CFA" w:rsidRPr="00A92B39" w:rsidRDefault="00E82A60" w:rsidP="00300A01">
            <w:pPr>
              <w:spacing w:before="0" w:after="0"/>
              <w:rPr>
                <w:sz w:val="10"/>
                <w:szCs w:val="10"/>
                <w:lang w:val="fr-BE"/>
              </w:rPr>
            </w:pPr>
            <w:r w:rsidRPr="00A92B39">
              <w:rPr>
                <w:noProof/>
                <w:sz w:val="10"/>
                <w:szCs w:val="10"/>
                <w:lang w:val="fr-BE"/>
              </w:rPr>
              <w:t>136</w:t>
            </w:r>
          </w:p>
        </w:tc>
        <w:tc>
          <w:tcPr>
            <w:tcW w:w="0" w:type="auto"/>
            <w:shd w:val="clear" w:color="auto" w:fill="auto"/>
          </w:tcPr>
          <w:p w14:paraId="4207DC7D" w14:textId="77777777" w:rsidR="008C5CFA" w:rsidRPr="00A92B39" w:rsidRDefault="00E82A60" w:rsidP="00300A01">
            <w:pPr>
              <w:spacing w:before="0" w:after="0"/>
              <w:rPr>
                <w:sz w:val="10"/>
                <w:szCs w:val="10"/>
                <w:lang w:val="fr-BE"/>
              </w:rPr>
            </w:pPr>
            <w:r w:rsidRPr="00A92B39">
              <w:rPr>
                <w:noProof/>
                <w:sz w:val="10"/>
                <w:szCs w:val="10"/>
                <w:lang w:val="fr-BE"/>
              </w:rPr>
              <w:t>Liczba użytkowników systemów informatycznych</w:t>
            </w:r>
          </w:p>
        </w:tc>
        <w:tc>
          <w:tcPr>
            <w:tcW w:w="0" w:type="auto"/>
            <w:shd w:val="clear" w:color="auto" w:fill="auto"/>
          </w:tcPr>
          <w:p w14:paraId="42A29003" w14:textId="77777777" w:rsidR="008C5CFA" w:rsidRPr="00A92B39" w:rsidRDefault="008C5CFA" w:rsidP="00300A01">
            <w:pPr>
              <w:spacing w:before="0" w:after="0"/>
              <w:rPr>
                <w:sz w:val="10"/>
                <w:szCs w:val="10"/>
                <w:lang w:val="fr-BE"/>
              </w:rPr>
            </w:pPr>
          </w:p>
        </w:tc>
        <w:tc>
          <w:tcPr>
            <w:tcW w:w="0" w:type="auto"/>
            <w:shd w:val="clear" w:color="auto" w:fill="auto"/>
          </w:tcPr>
          <w:p w14:paraId="717B8C71" w14:textId="77777777" w:rsidR="008C5CFA" w:rsidRPr="00A92B39" w:rsidRDefault="00E82A60" w:rsidP="00300A01">
            <w:pPr>
              <w:spacing w:before="0" w:after="0"/>
              <w:jc w:val="right"/>
              <w:rPr>
                <w:sz w:val="10"/>
                <w:szCs w:val="10"/>
                <w:lang w:val="fr-BE"/>
              </w:rPr>
            </w:pPr>
            <w:r w:rsidRPr="00A92B39">
              <w:rPr>
                <w:noProof/>
                <w:sz w:val="10"/>
                <w:szCs w:val="10"/>
                <w:lang w:val="fr-BE"/>
              </w:rPr>
              <w:t>8 367,00</w:t>
            </w:r>
          </w:p>
        </w:tc>
        <w:tc>
          <w:tcPr>
            <w:tcW w:w="0" w:type="auto"/>
            <w:shd w:val="clear" w:color="auto" w:fill="auto"/>
          </w:tcPr>
          <w:p w14:paraId="2BC7C496"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14:paraId="29CD79F2"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4ACC0F62" w14:textId="77777777" w:rsidR="008C5CFA" w:rsidRPr="00A92B39" w:rsidRDefault="00E82A60" w:rsidP="00300A01">
            <w:pPr>
              <w:spacing w:before="0" w:after="0"/>
              <w:jc w:val="right"/>
              <w:rPr>
                <w:sz w:val="10"/>
                <w:szCs w:val="10"/>
                <w:lang w:val="fr-BE"/>
              </w:rPr>
            </w:pPr>
            <w:r w:rsidRPr="00A92B39">
              <w:rPr>
                <w:noProof/>
                <w:sz w:val="10"/>
                <w:szCs w:val="10"/>
                <w:lang w:val="fr-BE"/>
              </w:rPr>
              <w:t>6,00</w:t>
            </w:r>
          </w:p>
        </w:tc>
        <w:tc>
          <w:tcPr>
            <w:tcW w:w="0" w:type="auto"/>
          </w:tcPr>
          <w:p w14:paraId="1176ED9C"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1A862655"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2779483F" w14:textId="77777777" w:rsidR="008C5CFA" w:rsidRPr="00A92B39" w:rsidRDefault="00E82A60" w:rsidP="00300A01">
            <w:pPr>
              <w:spacing w:before="0" w:after="0"/>
              <w:jc w:val="right"/>
              <w:rPr>
                <w:sz w:val="10"/>
                <w:szCs w:val="10"/>
                <w:lang w:val="fr-BE"/>
              </w:rPr>
            </w:pPr>
            <w:r w:rsidRPr="00A92B39">
              <w:rPr>
                <w:noProof/>
                <w:sz w:val="10"/>
                <w:szCs w:val="10"/>
                <w:lang w:val="fr-BE"/>
              </w:rPr>
              <w:t>215,00</w:t>
            </w:r>
          </w:p>
        </w:tc>
        <w:tc>
          <w:tcPr>
            <w:tcW w:w="0" w:type="auto"/>
          </w:tcPr>
          <w:p w14:paraId="72D569A8"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00434AE5"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309CE638"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0E38C093"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32407B2E"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6EC25AE4"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3125CC19"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1213AAE2"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r>
      <w:tr w:rsidR="006B2EC1" w14:paraId="24DB87DD" w14:textId="77777777" w:rsidTr="0047688D">
        <w:tc>
          <w:tcPr>
            <w:tcW w:w="0" w:type="auto"/>
            <w:shd w:val="clear" w:color="auto" w:fill="auto"/>
          </w:tcPr>
          <w:p w14:paraId="731868D2" w14:textId="77777777" w:rsidR="008C5CFA" w:rsidRPr="00A92B39" w:rsidRDefault="00E82A60" w:rsidP="00300A01">
            <w:pPr>
              <w:spacing w:before="0" w:after="0"/>
              <w:rPr>
                <w:sz w:val="10"/>
                <w:szCs w:val="10"/>
                <w:lang w:val="fr-BE"/>
              </w:rPr>
            </w:pPr>
            <w:r w:rsidRPr="00A92B39">
              <w:rPr>
                <w:noProof/>
                <w:sz w:val="10"/>
                <w:szCs w:val="10"/>
                <w:lang w:val="fr-BE"/>
              </w:rPr>
              <w:t>137</w:t>
            </w:r>
          </w:p>
        </w:tc>
        <w:tc>
          <w:tcPr>
            <w:tcW w:w="0" w:type="auto"/>
            <w:shd w:val="clear" w:color="auto" w:fill="auto"/>
          </w:tcPr>
          <w:p w14:paraId="0A7A290B" w14:textId="77777777" w:rsidR="008C5CFA" w:rsidRPr="00A92B39" w:rsidRDefault="00E82A60" w:rsidP="00300A01">
            <w:pPr>
              <w:spacing w:before="0" w:after="0"/>
              <w:rPr>
                <w:sz w:val="10"/>
                <w:szCs w:val="10"/>
                <w:lang w:val="fr-BE"/>
              </w:rPr>
            </w:pPr>
            <w:r w:rsidRPr="00A92B39">
              <w:rPr>
                <w:noProof/>
                <w:sz w:val="10"/>
                <w:szCs w:val="10"/>
                <w:lang w:val="fr-BE"/>
              </w:rPr>
              <w:t>Liczba opracowanych ekspertyz</w:t>
            </w:r>
          </w:p>
        </w:tc>
        <w:tc>
          <w:tcPr>
            <w:tcW w:w="0" w:type="auto"/>
            <w:shd w:val="clear" w:color="auto" w:fill="auto"/>
          </w:tcPr>
          <w:p w14:paraId="0B853C14" w14:textId="77777777" w:rsidR="008C5CFA" w:rsidRPr="00A92B39" w:rsidRDefault="008C5CFA" w:rsidP="00300A01">
            <w:pPr>
              <w:spacing w:before="0" w:after="0"/>
              <w:rPr>
                <w:sz w:val="10"/>
                <w:szCs w:val="10"/>
                <w:lang w:val="fr-BE"/>
              </w:rPr>
            </w:pPr>
          </w:p>
        </w:tc>
        <w:tc>
          <w:tcPr>
            <w:tcW w:w="0" w:type="auto"/>
            <w:shd w:val="clear" w:color="auto" w:fill="auto"/>
          </w:tcPr>
          <w:p w14:paraId="115E7DC5" w14:textId="77777777" w:rsidR="008C5CFA" w:rsidRPr="00A92B39" w:rsidRDefault="00E82A60" w:rsidP="00300A01">
            <w:pPr>
              <w:spacing w:before="0" w:after="0"/>
              <w:jc w:val="right"/>
              <w:rPr>
                <w:sz w:val="10"/>
                <w:szCs w:val="10"/>
                <w:lang w:val="fr-BE"/>
              </w:rPr>
            </w:pPr>
            <w:r w:rsidRPr="00A92B39">
              <w:rPr>
                <w:noProof/>
                <w:sz w:val="10"/>
                <w:szCs w:val="10"/>
                <w:lang w:val="fr-BE"/>
              </w:rPr>
              <w:t>13,00</w:t>
            </w:r>
          </w:p>
        </w:tc>
        <w:tc>
          <w:tcPr>
            <w:tcW w:w="0" w:type="auto"/>
            <w:shd w:val="clear" w:color="auto" w:fill="auto"/>
          </w:tcPr>
          <w:p w14:paraId="710BB260"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14:paraId="68C6F579"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33C412AD" w14:textId="77777777" w:rsidR="008C5CFA" w:rsidRPr="00A92B39" w:rsidRDefault="00E82A60" w:rsidP="00300A01">
            <w:pPr>
              <w:spacing w:before="0" w:after="0"/>
              <w:jc w:val="right"/>
              <w:rPr>
                <w:sz w:val="10"/>
                <w:szCs w:val="10"/>
                <w:lang w:val="fr-BE"/>
              </w:rPr>
            </w:pPr>
            <w:r w:rsidRPr="00A92B39">
              <w:rPr>
                <w:noProof/>
                <w:sz w:val="10"/>
                <w:szCs w:val="10"/>
                <w:lang w:val="fr-BE"/>
              </w:rPr>
              <w:t>14,00</w:t>
            </w:r>
          </w:p>
        </w:tc>
        <w:tc>
          <w:tcPr>
            <w:tcW w:w="0" w:type="auto"/>
          </w:tcPr>
          <w:p w14:paraId="040D4A06"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0CDD6D1F"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25B006CB"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6D016CFD"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6ABF1E8B"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4103A56B"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43EDDB6E"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1707D179"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21FBBF83"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51EED30A"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5223074A"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r>
      <w:tr w:rsidR="006B2EC1" w14:paraId="5FE9DF44" w14:textId="77777777" w:rsidTr="0047688D">
        <w:tc>
          <w:tcPr>
            <w:tcW w:w="0" w:type="auto"/>
            <w:shd w:val="clear" w:color="auto" w:fill="auto"/>
          </w:tcPr>
          <w:p w14:paraId="14F7E4EE" w14:textId="77777777" w:rsidR="008C5CFA" w:rsidRPr="00A92B39" w:rsidRDefault="00E82A60" w:rsidP="00300A01">
            <w:pPr>
              <w:spacing w:before="0" w:after="0"/>
              <w:rPr>
                <w:sz w:val="10"/>
                <w:szCs w:val="10"/>
                <w:lang w:val="fr-BE"/>
              </w:rPr>
            </w:pPr>
            <w:r w:rsidRPr="00A92B39">
              <w:rPr>
                <w:noProof/>
                <w:sz w:val="10"/>
                <w:szCs w:val="10"/>
                <w:lang w:val="fr-BE"/>
              </w:rPr>
              <w:t>138</w:t>
            </w:r>
          </w:p>
        </w:tc>
        <w:tc>
          <w:tcPr>
            <w:tcW w:w="0" w:type="auto"/>
            <w:shd w:val="clear" w:color="auto" w:fill="auto"/>
          </w:tcPr>
          <w:p w14:paraId="0516486B" w14:textId="77777777" w:rsidR="008C5CFA" w:rsidRPr="00A92B39" w:rsidRDefault="00E82A60" w:rsidP="00300A01">
            <w:pPr>
              <w:spacing w:before="0" w:after="0"/>
              <w:rPr>
                <w:sz w:val="10"/>
                <w:szCs w:val="10"/>
                <w:lang w:val="fr-BE"/>
              </w:rPr>
            </w:pPr>
            <w:r w:rsidRPr="00A92B39">
              <w:rPr>
                <w:noProof/>
                <w:sz w:val="10"/>
                <w:szCs w:val="10"/>
                <w:lang w:val="fr-BE"/>
              </w:rPr>
              <w:t>Liczba zorganizowanych spotkań, konferencji, seminariów</w:t>
            </w:r>
          </w:p>
        </w:tc>
        <w:tc>
          <w:tcPr>
            <w:tcW w:w="0" w:type="auto"/>
            <w:shd w:val="clear" w:color="auto" w:fill="auto"/>
          </w:tcPr>
          <w:p w14:paraId="42E4EF10" w14:textId="77777777" w:rsidR="008C5CFA" w:rsidRPr="00A92B39" w:rsidRDefault="008C5CFA" w:rsidP="00300A01">
            <w:pPr>
              <w:spacing w:before="0" w:after="0"/>
              <w:rPr>
                <w:sz w:val="10"/>
                <w:szCs w:val="10"/>
                <w:lang w:val="fr-BE"/>
              </w:rPr>
            </w:pPr>
          </w:p>
        </w:tc>
        <w:tc>
          <w:tcPr>
            <w:tcW w:w="0" w:type="auto"/>
            <w:shd w:val="clear" w:color="auto" w:fill="auto"/>
          </w:tcPr>
          <w:p w14:paraId="63B40982" w14:textId="77777777" w:rsidR="008C5CFA" w:rsidRPr="00A92B39" w:rsidRDefault="00E82A60" w:rsidP="00300A01">
            <w:pPr>
              <w:spacing w:before="0" w:after="0"/>
              <w:jc w:val="right"/>
              <w:rPr>
                <w:sz w:val="10"/>
                <w:szCs w:val="10"/>
                <w:lang w:val="fr-BE"/>
              </w:rPr>
            </w:pPr>
            <w:r w:rsidRPr="00A92B39">
              <w:rPr>
                <w:noProof/>
                <w:sz w:val="10"/>
                <w:szCs w:val="10"/>
                <w:lang w:val="fr-BE"/>
              </w:rPr>
              <w:t>30,00</w:t>
            </w:r>
          </w:p>
        </w:tc>
        <w:tc>
          <w:tcPr>
            <w:tcW w:w="0" w:type="auto"/>
            <w:shd w:val="clear" w:color="auto" w:fill="auto"/>
          </w:tcPr>
          <w:p w14:paraId="0CDDB21F"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14:paraId="30070656"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188AD821" w14:textId="77777777" w:rsidR="008C5CFA" w:rsidRPr="00A92B39" w:rsidRDefault="00E82A60" w:rsidP="00300A01">
            <w:pPr>
              <w:spacing w:before="0" w:after="0"/>
              <w:jc w:val="right"/>
              <w:rPr>
                <w:sz w:val="10"/>
                <w:szCs w:val="10"/>
                <w:lang w:val="fr-BE"/>
              </w:rPr>
            </w:pPr>
            <w:r w:rsidRPr="00A92B39">
              <w:rPr>
                <w:noProof/>
                <w:sz w:val="10"/>
                <w:szCs w:val="10"/>
                <w:lang w:val="fr-BE"/>
              </w:rPr>
              <w:t>8,00</w:t>
            </w:r>
          </w:p>
        </w:tc>
        <w:tc>
          <w:tcPr>
            <w:tcW w:w="0" w:type="auto"/>
          </w:tcPr>
          <w:p w14:paraId="21921706"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7C89FB05"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546FF7B6" w14:textId="77777777" w:rsidR="008C5CFA" w:rsidRPr="00A92B39" w:rsidRDefault="00E82A60" w:rsidP="00300A01">
            <w:pPr>
              <w:spacing w:before="0" w:after="0"/>
              <w:jc w:val="right"/>
              <w:rPr>
                <w:sz w:val="10"/>
                <w:szCs w:val="10"/>
                <w:lang w:val="fr-BE"/>
              </w:rPr>
            </w:pPr>
            <w:r w:rsidRPr="00A92B39">
              <w:rPr>
                <w:noProof/>
                <w:sz w:val="10"/>
                <w:szCs w:val="10"/>
                <w:lang w:val="fr-BE"/>
              </w:rPr>
              <w:t>25,00</w:t>
            </w:r>
          </w:p>
        </w:tc>
        <w:tc>
          <w:tcPr>
            <w:tcW w:w="0" w:type="auto"/>
          </w:tcPr>
          <w:p w14:paraId="667ED58F"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2AD3C3FD"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1912901D"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782F5BC8"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4BE11126"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145BC4A3"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1F934EEC"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c>
          <w:tcPr>
            <w:tcW w:w="0" w:type="auto"/>
          </w:tcPr>
          <w:p w14:paraId="714785EE" w14:textId="77777777" w:rsidR="008C5CFA" w:rsidRPr="00A92B39" w:rsidRDefault="00E82A60" w:rsidP="00300A01">
            <w:pPr>
              <w:spacing w:before="0" w:after="0"/>
              <w:jc w:val="right"/>
              <w:rPr>
                <w:sz w:val="10"/>
                <w:szCs w:val="10"/>
                <w:lang w:val="fr-BE"/>
              </w:rPr>
            </w:pPr>
            <w:r w:rsidRPr="00A92B39">
              <w:rPr>
                <w:noProof/>
                <w:sz w:val="10"/>
                <w:szCs w:val="10"/>
                <w:lang w:val="fr-BE"/>
              </w:rPr>
              <w:t>0,00</w:t>
            </w:r>
          </w:p>
        </w:tc>
      </w:tr>
    </w:tbl>
    <w:p w14:paraId="2A270B72" w14:textId="77777777" w:rsidR="008C5CFA" w:rsidRDefault="00E82A60" w:rsidP="00300A01">
      <w:pPr>
        <w:spacing w:before="0" w:after="0"/>
      </w:pPr>
      <w:r>
        <w:rPr>
          <w:lang w:val="fr-BE"/>
        </w:rPr>
        <w:br w:type="page"/>
      </w:r>
    </w:p>
    <w:p w14:paraId="36EEE2CA"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
        <w:gridCol w:w="13671"/>
      </w:tblGrid>
      <w:tr w:rsidR="006B2EC1" w14:paraId="05F1BBDA" w14:textId="77777777" w:rsidTr="0047688D">
        <w:tc>
          <w:tcPr>
            <w:tcW w:w="0" w:type="auto"/>
            <w:shd w:val="clear" w:color="auto" w:fill="auto"/>
          </w:tcPr>
          <w:p w14:paraId="057F3913" w14:textId="77777777" w:rsidR="008C5CFA" w:rsidRPr="002124FC" w:rsidRDefault="00E82A60" w:rsidP="00300A01">
            <w:pPr>
              <w:spacing w:before="0" w:after="0"/>
              <w:rPr>
                <w:sz w:val="20"/>
                <w:szCs w:val="20"/>
                <w:lang w:val="fr-BE"/>
              </w:rPr>
            </w:pPr>
            <w:r w:rsidRPr="002124FC">
              <w:rPr>
                <w:noProof/>
                <w:sz w:val="20"/>
                <w:szCs w:val="20"/>
                <w:lang w:val="fr-BE"/>
              </w:rPr>
              <w:t>Oś priorytetowa</w:t>
            </w:r>
          </w:p>
        </w:tc>
        <w:tc>
          <w:tcPr>
            <w:tcW w:w="0" w:type="auto"/>
            <w:shd w:val="clear" w:color="auto" w:fill="auto"/>
          </w:tcPr>
          <w:p w14:paraId="7CBD51A2" w14:textId="77777777" w:rsidR="008C5CFA" w:rsidRPr="002124FC" w:rsidRDefault="00E82A60" w:rsidP="00300A01">
            <w:pPr>
              <w:spacing w:before="0" w:after="0"/>
              <w:rPr>
                <w:sz w:val="20"/>
                <w:szCs w:val="20"/>
                <w:lang w:val="fr-BE"/>
              </w:rPr>
            </w:pPr>
            <w:r w:rsidRPr="002124FC">
              <w:rPr>
                <w:noProof/>
                <w:sz w:val="20"/>
                <w:szCs w:val="20"/>
                <w:lang w:val="fr-BE"/>
              </w:rPr>
              <w:t>11</w:t>
            </w:r>
            <w:r w:rsidRPr="002124FC">
              <w:rPr>
                <w:sz w:val="20"/>
                <w:szCs w:val="20"/>
                <w:lang w:val="fr-BE"/>
              </w:rPr>
              <w:t xml:space="preserve"> - </w:t>
            </w:r>
            <w:r w:rsidRPr="002124FC">
              <w:rPr>
                <w:noProof/>
                <w:sz w:val="20"/>
                <w:szCs w:val="20"/>
                <w:lang w:val="fr-BE"/>
              </w:rPr>
              <w:t>Pomoc Techniczna</w:t>
            </w:r>
          </w:p>
        </w:tc>
      </w:tr>
      <w:tr w:rsidR="006B2EC1" w14:paraId="1D61AEDB" w14:textId="77777777" w:rsidTr="0047688D">
        <w:tc>
          <w:tcPr>
            <w:tcW w:w="0" w:type="auto"/>
            <w:shd w:val="clear" w:color="auto" w:fill="auto"/>
          </w:tcPr>
          <w:p w14:paraId="25C04162" w14:textId="77777777" w:rsidR="008C5CFA" w:rsidRPr="002124FC" w:rsidRDefault="00E82A60" w:rsidP="00300A01">
            <w:pPr>
              <w:spacing w:before="0" w:after="0"/>
              <w:ind w:left="113" w:hanging="113"/>
              <w:rPr>
                <w:sz w:val="20"/>
                <w:szCs w:val="20"/>
                <w:lang w:val="fr-BE"/>
              </w:rPr>
            </w:pPr>
            <w:r w:rsidRPr="002124FC">
              <w:rPr>
                <w:noProof/>
                <w:sz w:val="20"/>
                <w:szCs w:val="20"/>
                <w:lang w:val="fr-BE"/>
              </w:rPr>
              <w:t>Cel szczegółowy</w:t>
            </w:r>
          </w:p>
        </w:tc>
        <w:tc>
          <w:tcPr>
            <w:tcW w:w="0" w:type="auto"/>
            <w:shd w:val="clear" w:color="auto" w:fill="auto"/>
          </w:tcPr>
          <w:p w14:paraId="5B99265D" w14:textId="77777777" w:rsidR="008C5CFA" w:rsidRPr="002124FC" w:rsidRDefault="00E82A60" w:rsidP="00300A01">
            <w:pPr>
              <w:spacing w:before="0" w:after="0"/>
              <w:rPr>
                <w:sz w:val="20"/>
                <w:szCs w:val="20"/>
                <w:lang w:val="fr-BE"/>
              </w:rPr>
            </w:pPr>
            <w:r w:rsidRPr="002124FC">
              <w:rPr>
                <w:noProof/>
                <w:sz w:val="20"/>
                <w:szCs w:val="20"/>
                <w:lang w:val="fr-BE"/>
              </w:rPr>
              <w:t>1</w:t>
            </w:r>
            <w:r w:rsidRPr="002124FC">
              <w:rPr>
                <w:sz w:val="20"/>
                <w:szCs w:val="20"/>
                <w:lang w:val="fr-BE"/>
              </w:rPr>
              <w:t xml:space="preserve"> - </w:t>
            </w:r>
            <w:r w:rsidRPr="002124FC">
              <w:rPr>
                <w:noProof/>
                <w:sz w:val="20"/>
                <w:szCs w:val="20"/>
                <w:lang w:val="fr-BE"/>
              </w:rPr>
              <w:t>Skuteczny i efektywny system wdrażania Regionalnego Programu Operacyjnego Województwa Świętokrzyskiego na lata 2014-2020 poprzez efektywny system monitorowania i oceny oraz doskonalenie systemu informacyjnego.</w:t>
            </w:r>
          </w:p>
        </w:tc>
      </w:tr>
    </w:tbl>
    <w:p w14:paraId="477DBEB5" w14:textId="77777777" w:rsidR="008C5CFA" w:rsidRDefault="008C5CFA" w:rsidP="00300A01">
      <w:pPr>
        <w:spacing w:before="0" w:after="0"/>
        <w:rPr>
          <w:lang w:val="fr-BE"/>
        </w:rPr>
      </w:pPr>
    </w:p>
    <w:p w14:paraId="3E09F39B" w14:textId="77777777" w:rsidR="008C5CFA" w:rsidRDefault="00E82A60" w:rsidP="00300A01">
      <w:pPr>
        <w:pStyle w:val="Nagwek2"/>
        <w:spacing w:before="0" w:after="0"/>
      </w:pPr>
      <w:bookmarkStart w:id="81" w:name="_Toc46391765"/>
      <w:r w:rsidRPr="008E457C">
        <w:rPr>
          <w:noProof/>
          <w:lang w:val="fr-BE"/>
        </w:rPr>
        <w:t>Tabela 2C</w:t>
      </w:r>
      <w:r w:rsidRPr="008E457C">
        <w:t xml:space="preserve"> : </w:t>
      </w:r>
      <w:r w:rsidRPr="008E457C">
        <w:rPr>
          <w:noProof/>
          <w:lang w:val="fr-BE"/>
        </w:rPr>
        <w:t>Specyficzne dla programu wskaźniki rezultatu dla EFS oraz Inicjatywy na rzecz zatrudnienia ludzi młodych</w:t>
      </w:r>
      <w:r w:rsidR="00BF682D">
        <w:t xml:space="preserve"> - </w:t>
      </w:r>
      <w:r w:rsidR="00BF682D" w:rsidRPr="002124FC">
        <w:rPr>
          <w:noProof/>
          <w:sz w:val="20"/>
          <w:szCs w:val="20"/>
          <w:lang w:val="fr-BE"/>
        </w:rPr>
        <w:t>11</w:t>
      </w:r>
      <w:r w:rsidR="00BF682D">
        <w:rPr>
          <w:sz w:val="20"/>
          <w:szCs w:val="20"/>
          <w:lang w:val="fr-BE"/>
        </w:rPr>
        <w:t xml:space="preserve"> / </w:t>
      </w:r>
      <w:r w:rsidR="00BF682D" w:rsidRPr="002124FC">
        <w:rPr>
          <w:noProof/>
          <w:sz w:val="20"/>
          <w:szCs w:val="20"/>
          <w:lang w:val="fr-BE"/>
        </w:rPr>
        <w:t>1</w:t>
      </w:r>
      <w:bookmarkEnd w:id="81"/>
    </w:p>
    <w:p w14:paraId="1ED35096"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64"/>
        <w:gridCol w:w="1965"/>
        <w:gridCol w:w="821"/>
        <w:gridCol w:w="1264"/>
        <w:gridCol w:w="2401"/>
        <w:gridCol w:w="2011"/>
        <w:gridCol w:w="448"/>
        <w:gridCol w:w="564"/>
        <w:gridCol w:w="453"/>
        <w:gridCol w:w="448"/>
        <w:gridCol w:w="564"/>
        <w:gridCol w:w="453"/>
        <w:gridCol w:w="448"/>
        <w:gridCol w:w="564"/>
        <w:gridCol w:w="453"/>
        <w:gridCol w:w="448"/>
        <w:gridCol w:w="564"/>
        <w:gridCol w:w="453"/>
        <w:gridCol w:w="598"/>
      </w:tblGrid>
      <w:tr w:rsidR="006B2EC1" w14:paraId="5226794C" w14:textId="77777777" w:rsidTr="0047688D">
        <w:trPr>
          <w:tblHeader/>
        </w:trPr>
        <w:tc>
          <w:tcPr>
            <w:tcW w:w="0" w:type="auto"/>
            <w:shd w:val="clear" w:color="auto" w:fill="auto"/>
          </w:tcPr>
          <w:p w14:paraId="2BC744B7" w14:textId="77777777" w:rsidR="008C5CFA" w:rsidRPr="00601E29" w:rsidRDefault="00E82A60" w:rsidP="00300A01">
            <w:pPr>
              <w:spacing w:before="0" w:after="0"/>
              <w:rPr>
                <w:b/>
                <w:sz w:val="10"/>
                <w:szCs w:val="10"/>
                <w:lang w:val="fr-BE"/>
              </w:rPr>
            </w:pPr>
            <w:r w:rsidRPr="00601E29">
              <w:rPr>
                <w:b/>
                <w:noProof/>
                <w:sz w:val="10"/>
                <w:szCs w:val="10"/>
                <w:lang w:val="fr-BE"/>
              </w:rPr>
              <w:t>ID</w:t>
            </w:r>
          </w:p>
        </w:tc>
        <w:tc>
          <w:tcPr>
            <w:tcW w:w="0" w:type="auto"/>
            <w:shd w:val="clear" w:color="auto" w:fill="auto"/>
          </w:tcPr>
          <w:p w14:paraId="16A3D921" w14:textId="77777777" w:rsidR="008C5CFA" w:rsidRPr="00601E29" w:rsidRDefault="00E82A60" w:rsidP="00300A01">
            <w:pPr>
              <w:spacing w:before="0" w:after="0"/>
              <w:rPr>
                <w:b/>
                <w:sz w:val="10"/>
                <w:szCs w:val="10"/>
                <w:lang w:val="fr-BE"/>
              </w:rPr>
            </w:pPr>
            <w:r w:rsidRPr="00601E29">
              <w:rPr>
                <w:b/>
                <w:noProof/>
                <w:sz w:val="10"/>
                <w:szCs w:val="10"/>
                <w:lang w:val="fr-BE"/>
              </w:rPr>
              <w:t>Wskaźnik</w:t>
            </w:r>
          </w:p>
        </w:tc>
        <w:tc>
          <w:tcPr>
            <w:tcW w:w="0" w:type="auto"/>
            <w:shd w:val="clear" w:color="auto" w:fill="auto"/>
          </w:tcPr>
          <w:p w14:paraId="26CD86C1" w14:textId="77777777" w:rsidR="008C5CFA" w:rsidRPr="00601E29" w:rsidRDefault="00E82A60" w:rsidP="00300A01">
            <w:pPr>
              <w:spacing w:before="0" w:after="0"/>
              <w:rPr>
                <w:b/>
                <w:sz w:val="10"/>
                <w:szCs w:val="10"/>
                <w:lang w:val="fr-BE"/>
              </w:rPr>
            </w:pPr>
            <w:r w:rsidRPr="00601E29">
              <w:rPr>
                <w:b/>
                <w:noProof/>
                <w:sz w:val="10"/>
                <w:szCs w:val="10"/>
                <w:lang w:val="fr-BE"/>
              </w:rPr>
              <w:t>Kategoria regionu</w:t>
            </w:r>
          </w:p>
        </w:tc>
        <w:tc>
          <w:tcPr>
            <w:tcW w:w="0" w:type="auto"/>
            <w:shd w:val="clear" w:color="auto" w:fill="auto"/>
          </w:tcPr>
          <w:p w14:paraId="35B763B2" w14:textId="77777777" w:rsidR="008C5CFA" w:rsidRPr="00601E29" w:rsidRDefault="00E82A60" w:rsidP="00300A01">
            <w:pPr>
              <w:spacing w:before="0" w:after="0"/>
              <w:rPr>
                <w:b/>
                <w:sz w:val="10"/>
                <w:szCs w:val="10"/>
                <w:lang w:val="fr-BE"/>
              </w:rPr>
            </w:pPr>
            <w:r w:rsidRPr="00785F4A">
              <w:rPr>
                <w:b/>
                <w:noProof/>
                <w:sz w:val="10"/>
                <w:szCs w:val="10"/>
                <w:lang w:val="fr-BE"/>
              </w:rPr>
              <w:t>Jednostka pomiaru wskaźnika</w:t>
            </w:r>
          </w:p>
        </w:tc>
        <w:tc>
          <w:tcPr>
            <w:tcW w:w="0" w:type="auto"/>
            <w:shd w:val="clear" w:color="auto" w:fill="auto"/>
          </w:tcPr>
          <w:p w14:paraId="57786560" w14:textId="77777777" w:rsidR="008C5CFA" w:rsidRPr="00601E29" w:rsidRDefault="00E82A60" w:rsidP="00300A01">
            <w:pPr>
              <w:spacing w:before="0" w:after="0"/>
              <w:rPr>
                <w:b/>
                <w:sz w:val="10"/>
                <w:szCs w:val="10"/>
                <w:lang w:val="fr-BE"/>
              </w:rPr>
            </w:pPr>
            <w:r w:rsidRPr="00601E29">
              <w:rPr>
                <w:b/>
                <w:noProof/>
                <w:sz w:val="10"/>
                <w:szCs w:val="10"/>
                <w:lang w:val="fr-BE"/>
              </w:rPr>
              <w:t>Wskaźnik produktu stosowany jako podstawa do ustalania celów</w:t>
            </w:r>
          </w:p>
        </w:tc>
        <w:tc>
          <w:tcPr>
            <w:tcW w:w="0" w:type="auto"/>
            <w:shd w:val="clear" w:color="auto" w:fill="auto"/>
          </w:tcPr>
          <w:p w14:paraId="40D5F92E" w14:textId="77777777" w:rsidR="008C5CFA" w:rsidRPr="00601E29" w:rsidRDefault="00E82A60" w:rsidP="00300A01">
            <w:pPr>
              <w:spacing w:before="0" w:after="0"/>
              <w:rPr>
                <w:b/>
                <w:sz w:val="10"/>
                <w:szCs w:val="10"/>
                <w:lang w:val="fr-BE"/>
              </w:rPr>
            </w:pPr>
            <w:r w:rsidRPr="00601E29">
              <w:rPr>
                <w:b/>
                <w:noProof/>
                <w:sz w:val="10"/>
                <w:szCs w:val="10"/>
                <w:lang w:val="fr-BE"/>
              </w:rPr>
              <w:t>Jednostka pomiaru dla wartości bazowej i docelowej</w:t>
            </w:r>
          </w:p>
        </w:tc>
        <w:tc>
          <w:tcPr>
            <w:tcW w:w="0" w:type="auto"/>
            <w:gridSpan w:val="3"/>
            <w:shd w:val="clear" w:color="auto" w:fill="auto"/>
          </w:tcPr>
          <w:p w14:paraId="6BC5235D" w14:textId="77777777" w:rsidR="008C5CFA" w:rsidRPr="00601E29" w:rsidRDefault="00E82A60" w:rsidP="00300A01">
            <w:pPr>
              <w:spacing w:before="0" w:after="0"/>
              <w:jc w:val="center"/>
              <w:rPr>
                <w:b/>
                <w:sz w:val="10"/>
                <w:szCs w:val="10"/>
                <w:lang w:val="fr-BE"/>
              </w:rPr>
            </w:pPr>
            <w:r w:rsidRPr="00601E29">
              <w:rPr>
                <w:b/>
                <w:noProof/>
                <w:sz w:val="10"/>
                <w:szCs w:val="10"/>
                <w:lang w:val="fr-BE"/>
              </w:rPr>
              <w:t>Wartość docelowa (2023)</w:t>
            </w:r>
          </w:p>
        </w:tc>
        <w:tc>
          <w:tcPr>
            <w:tcW w:w="0" w:type="auto"/>
            <w:gridSpan w:val="3"/>
            <w:shd w:val="clear" w:color="auto" w:fill="auto"/>
          </w:tcPr>
          <w:p w14:paraId="04EA95D5" w14:textId="77777777" w:rsidR="008C5CFA" w:rsidRPr="00601E29" w:rsidRDefault="00E82A60" w:rsidP="00300A01">
            <w:pPr>
              <w:spacing w:before="0" w:after="0"/>
              <w:jc w:val="center"/>
              <w:rPr>
                <w:b/>
                <w:sz w:val="10"/>
                <w:szCs w:val="10"/>
                <w:lang w:val="fr-BE"/>
              </w:rPr>
            </w:pPr>
            <w:r w:rsidRPr="00601E29">
              <w:rPr>
                <w:b/>
                <w:noProof/>
                <w:sz w:val="10"/>
                <w:szCs w:val="10"/>
                <w:lang w:val="fr-BE"/>
              </w:rPr>
              <w:t>Wskaźnik osiągnięć</w:t>
            </w:r>
          </w:p>
        </w:tc>
        <w:tc>
          <w:tcPr>
            <w:tcW w:w="0" w:type="auto"/>
            <w:gridSpan w:val="7"/>
            <w:shd w:val="clear" w:color="auto" w:fill="auto"/>
          </w:tcPr>
          <w:p w14:paraId="3682C759" w14:textId="77777777" w:rsidR="008C5CFA" w:rsidRPr="00601E29" w:rsidRDefault="00E82A60" w:rsidP="00300A01">
            <w:pPr>
              <w:spacing w:before="0" w:after="0"/>
              <w:jc w:val="center"/>
              <w:rPr>
                <w:b/>
                <w:sz w:val="10"/>
                <w:szCs w:val="10"/>
                <w:lang w:val="fr-BE"/>
              </w:rPr>
            </w:pPr>
            <w:r>
              <w:rPr>
                <w:b/>
                <w:sz w:val="10"/>
                <w:szCs w:val="10"/>
                <w:lang w:val="fr-BE"/>
              </w:rPr>
              <w:t>2019</w:t>
            </w:r>
          </w:p>
        </w:tc>
      </w:tr>
      <w:tr w:rsidR="006B2EC1" w14:paraId="2CA8E6CC" w14:textId="77777777" w:rsidTr="0047688D">
        <w:trPr>
          <w:tblHeader/>
        </w:trPr>
        <w:tc>
          <w:tcPr>
            <w:tcW w:w="0" w:type="auto"/>
            <w:shd w:val="clear" w:color="auto" w:fill="auto"/>
          </w:tcPr>
          <w:p w14:paraId="29083BE4" w14:textId="77777777" w:rsidR="008C5CFA" w:rsidRPr="00601E29" w:rsidRDefault="008C5CFA" w:rsidP="00300A01">
            <w:pPr>
              <w:spacing w:before="0" w:after="0"/>
              <w:rPr>
                <w:b/>
                <w:sz w:val="10"/>
                <w:szCs w:val="10"/>
                <w:lang w:val="fr-BE"/>
              </w:rPr>
            </w:pPr>
          </w:p>
        </w:tc>
        <w:tc>
          <w:tcPr>
            <w:tcW w:w="0" w:type="auto"/>
            <w:shd w:val="clear" w:color="auto" w:fill="auto"/>
          </w:tcPr>
          <w:p w14:paraId="3BEE6728" w14:textId="77777777" w:rsidR="008C5CFA" w:rsidRPr="00601E29" w:rsidRDefault="008C5CFA" w:rsidP="00300A01">
            <w:pPr>
              <w:spacing w:before="0" w:after="0"/>
              <w:rPr>
                <w:b/>
                <w:sz w:val="10"/>
                <w:szCs w:val="10"/>
                <w:lang w:val="fr-BE"/>
              </w:rPr>
            </w:pPr>
          </w:p>
        </w:tc>
        <w:tc>
          <w:tcPr>
            <w:tcW w:w="0" w:type="auto"/>
            <w:shd w:val="clear" w:color="auto" w:fill="auto"/>
          </w:tcPr>
          <w:p w14:paraId="43F82E64" w14:textId="77777777" w:rsidR="008C5CFA" w:rsidRPr="00601E29" w:rsidRDefault="008C5CFA" w:rsidP="00300A01">
            <w:pPr>
              <w:spacing w:before="0" w:after="0"/>
              <w:rPr>
                <w:b/>
                <w:sz w:val="10"/>
                <w:szCs w:val="10"/>
                <w:lang w:val="fr-BE"/>
              </w:rPr>
            </w:pPr>
          </w:p>
        </w:tc>
        <w:tc>
          <w:tcPr>
            <w:tcW w:w="0" w:type="auto"/>
            <w:shd w:val="clear" w:color="auto" w:fill="auto"/>
          </w:tcPr>
          <w:p w14:paraId="23188966" w14:textId="77777777" w:rsidR="008C5CFA" w:rsidRPr="00601E29" w:rsidRDefault="008C5CFA" w:rsidP="00300A01">
            <w:pPr>
              <w:spacing w:before="0" w:after="0"/>
              <w:rPr>
                <w:b/>
                <w:sz w:val="10"/>
                <w:szCs w:val="10"/>
                <w:lang w:val="fr-BE"/>
              </w:rPr>
            </w:pPr>
          </w:p>
        </w:tc>
        <w:tc>
          <w:tcPr>
            <w:tcW w:w="0" w:type="auto"/>
            <w:shd w:val="clear" w:color="auto" w:fill="auto"/>
          </w:tcPr>
          <w:p w14:paraId="7F5BC413" w14:textId="77777777" w:rsidR="008C5CFA" w:rsidRPr="00601E29" w:rsidRDefault="008C5CFA" w:rsidP="00300A01">
            <w:pPr>
              <w:spacing w:before="0" w:after="0"/>
              <w:rPr>
                <w:b/>
                <w:sz w:val="10"/>
                <w:szCs w:val="10"/>
                <w:lang w:val="fr-BE"/>
              </w:rPr>
            </w:pPr>
          </w:p>
        </w:tc>
        <w:tc>
          <w:tcPr>
            <w:tcW w:w="0" w:type="auto"/>
            <w:shd w:val="clear" w:color="auto" w:fill="auto"/>
          </w:tcPr>
          <w:p w14:paraId="7E7E0BAD" w14:textId="77777777" w:rsidR="008C5CFA" w:rsidRPr="00601E29" w:rsidRDefault="008C5CFA" w:rsidP="00300A01">
            <w:pPr>
              <w:spacing w:before="0" w:after="0"/>
              <w:rPr>
                <w:b/>
                <w:sz w:val="10"/>
                <w:szCs w:val="10"/>
                <w:lang w:val="fr-BE"/>
              </w:rPr>
            </w:pPr>
          </w:p>
        </w:tc>
        <w:tc>
          <w:tcPr>
            <w:tcW w:w="0" w:type="auto"/>
            <w:shd w:val="clear" w:color="auto" w:fill="auto"/>
          </w:tcPr>
          <w:p w14:paraId="4492F8F0" w14:textId="77777777" w:rsidR="008C5CFA" w:rsidRPr="00601E29" w:rsidRDefault="008C5CFA" w:rsidP="00300A01">
            <w:pPr>
              <w:spacing w:before="0" w:after="0"/>
              <w:jc w:val="center"/>
              <w:rPr>
                <w:b/>
                <w:sz w:val="10"/>
                <w:szCs w:val="10"/>
                <w:lang w:val="fr-BE"/>
              </w:rPr>
            </w:pPr>
          </w:p>
        </w:tc>
        <w:tc>
          <w:tcPr>
            <w:tcW w:w="0" w:type="auto"/>
            <w:shd w:val="clear" w:color="auto" w:fill="auto"/>
          </w:tcPr>
          <w:p w14:paraId="5564EA39" w14:textId="77777777" w:rsidR="008C5CFA" w:rsidRPr="00601E29" w:rsidRDefault="008C5CFA" w:rsidP="00300A01">
            <w:pPr>
              <w:spacing w:before="0" w:after="0"/>
              <w:jc w:val="center"/>
              <w:rPr>
                <w:b/>
                <w:sz w:val="10"/>
                <w:szCs w:val="10"/>
                <w:lang w:val="fr-BE"/>
              </w:rPr>
            </w:pPr>
          </w:p>
        </w:tc>
        <w:tc>
          <w:tcPr>
            <w:tcW w:w="0" w:type="auto"/>
            <w:shd w:val="clear" w:color="auto" w:fill="auto"/>
          </w:tcPr>
          <w:p w14:paraId="1B7A8126" w14:textId="77777777" w:rsidR="008C5CFA" w:rsidRPr="00601E29" w:rsidRDefault="008C5CFA" w:rsidP="00300A01">
            <w:pPr>
              <w:spacing w:before="0" w:after="0"/>
              <w:jc w:val="center"/>
              <w:rPr>
                <w:b/>
                <w:sz w:val="10"/>
                <w:szCs w:val="10"/>
                <w:lang w:val="fr-BE"/>
              </w:rPr>
            </w:pPr>
          </w:p>
        </w:tc>
        <w:tc>
          <w:tcPr>
            <w:tcW w:w="0" w:type="auto"/>
            <w:shd w:val="clear" w:color="auto" w:fill="auto"/>
          </w:tcPr>
          <w:p w14:paraId="45B94C9F" w14:textId="77777777" w:rsidR="008C5CFA" w:rsidRPr="00601E29" w:rsidRDefault="008C5CFA" w:rsidP="00300A01">
            <w:pPr>
              <w:spacing w:before="0" w:after="0"/>
              <w:jc w:val="center"/>
              <w:rPr>
                <w:b/>
                <w:sz w:val="10"/>
                <w:szCs w:val="10"/>
                <w:lang w:val="fr-BE"/>
              </w:rPr>
            </w:pPr>
          </w:p>
        </w:tc>
        <w:tc>
          <w:tcPr>
            <w:tcW w:w="0" w:type="auto"/>
            <w:shd w:val="clear" w:color="auto" w:fill="auto"/>
          </w:tcPr>
          <w:p w14:paraId="70BD43FA" w14:textId="77777777" w:rsidR="008C5CFA" w:rsidRPr="00601E29" w:rsidRDefault="008C5CFA" w:rsidP="00300A01">
            <w:pPr>
              <w:spacing w:before="0" w:after="0"/>
              <w:jc w:val="center"/>
              <w:rPr>
                <w:b/>
                <w:sz w:val="10"/>
                <w:szCs w:val="10"/>
                <w:lang w:val="fr-BE"/>
              </w:rPr>
            </w:pPr>
          </w:p>
        </w:tc>
        <w:tc>
          <w:tcPr>
            <w:tcW w:w="0" w:type="auto"/>
            <w:shd w:val="clear" w:color="auto" w:fill="auto"/>
          </w:tcPr>
          <w:p w14:paraId="27E5D452" w14:textId="77777777" w:rsidR="008C5CFA" w:rsidRPr="00601E29" w:rsidRDefault="008C5CFA" w:rsidP="00300A01">
            <w:pPr>
              <w:spacing w:before="0" w:after="0"/>
              <w:jc w:val="center"/>
              <w:rPr>
                <w:b/>
                <w:sz w:val="10"/>
                <w:szCs w:val="10"/>
                <w:lang w:val="fr-BE"/>
              </w:rPr>
            </w:pPr>
          </w:p>
        </w:tc>
        <w:tc>
          <w:tcPr>
            <w:tcW w:w="0" w:type="auto"/>
            <w:gridSpan w:val="3"/>
            <w:shd w:val="clear" w:color="auto" w:fill="auto"/>
          </w:tcPr>
          <w:p w14:paraId="370F0310" w14:textId="77777777" w:rsidR="008C5CFA" w:rsidRPr="00601E29" w:rsidRDefault="00E82A60" w:rsidP="00300A01">
            <w:pPr>
              <w:spacing w:before="0" w:after="0"/>
              <w:jc w:val="center"/>
              <w:rPr>
                <w:b/>
                <w:sz w:val="10"/>
                <w:szCs w:val="10"/>
                <w:lang w:val="fr-BE"/>
              </w:rPr>
            </w:pPr>
            <w:r w:rsidRPr="00601E29">
              <w:rPr>
                <w:b/>
                <w:noProof/>
                <w:sz w:val="10"/>
                <w:szCs w:val="10"/>
                <w:lang w:val="fr-BE"/>
              </w:rPr>
              <w:t>Łącznie</w:t>
            </w:r>
          </w:p>
        </w:tc>
        <w:tc>
          <w:tcPr>
            <w:tcW w:w="0" w:type="auto"/>
            <w:gridSpan w:val="3"/>
          </w:tcPr>
          <w:p w14:paraId="55F55C45" w14:textId="77777777" w:rsidR="008C5CFA" w:rsidRPr="00601E29" w:rsidRDefault="00E82A60" w:rsidP="00300A01">
            <w:pPr>
              <w:spacing w:before="0" w:after="0"/>
              <w:jc w:val="center"/>
              <w:rPr>
                <w:b/>
                <w:sz w:val="10"/>
                <w:szCs w:val="10"/>
                <w:lang w:val="fr-BE"/>
              </w:rPr>
            </w:pPr>
            <w:r w:rsidRPr="00601E29">
              <w:rPr>
                <w:b/>
                <w:noProof/>
                <w:sz w:val="10"/>
                <w:szCs w:val="10"/>
                <w:lang w:val="fr-BE"/>
              </w:rPr>
              <w:t>Łącznie w roku</w:t>
            </w:r>
          </w:p>
        </w:tc>
        <w:tc>
          <w:tcPr>
            <w:tcW w:w="0" w:type="auto"/>
          </w:tcPr>
          <w:p w14:paraId="40E1ACA4" w14:textId="77777777" w:rsidR="008C5CFA" w:rsidRPr="00601E29" w:rsidRDefault="00E82A60" w:rsidP="00300A01">
            <w:pPr>
              <w:spacing w:before="0" w:after="0"/>
              <w:jc w:val="center"/>
              <w:rPr>
                <w:b/>
                <w:sz w:val="10"/>
                <w:szCs w:val="10"/>
                <w:lang w:val="fr-BE"/>
              </w:rPr>
            </w:pPr>
            <w:r w:rsidRPr="00601E29">
              <w:rPr>
                <w:b/>
                <w:noProof/>
                <w:sz w:val="10"/>
                <w:szCs w:val="10"/>
                <w:lang w:val="fr-BE"/>
              </w:rPr>
              <w:t>Jakościowe</w:t>
            </w:r>
          </w:p>
        </w:tc>
      </w:tr>
      <w:tr w:rsidR="006B2EC1" w14:paraId="01020980" w14:textId="77777777" w:rsidTr="0047688D">
        <w:trPr>
          <w:tblHeader/>
        </w:trPr>
        <w:tc>
          <w:tcPr>
            <w:tcW w:w="0" w:type="auto"/>
            <w:shd w:val="clear" w:color="auto" w:fill="auto"/>
          </w:tcPr>
          <w:p w14:paraId="66AAE411" w14:textId="77777777" w:rsidR="008C5CFA" w:rsidRPr="00601E29" w:rsidRDefault="008C5CFA" w:rsidP="00300A01">
            <w:pPr>
              <w:spacing w:before="0" w:after="0"/>
              <w:rPr>
                <w:b/>
                <w:sz w:val="10"/>
                <w:szCs w:val="10"/>
                <w:lang w:val="fr-BE"/>
              </w:rPr>
            </w:pPr>
          </w:p>
        </w:tc>
        <w:tc>
          <w:tcPr>
            <w:tcW w:w="0" w:type="auto"/>
            <w:shd w:val="clear" w:color="auto" w:fill="auto"/>
          </w:tcPr>
          <w:p w14:paraId="44FC56B6" w14:textId="77777777" w:rsidR="008C5CFA" w:rsidRPr="00601E29" w:rsidRDefault="008C5CFA" w:rsidP="00300A01">
            <w:pPr>
              <w:spacing w:before="0" w:after="0"/>
              <w:rPr>
                <w:b/>
                <w:sz w:val="10"/>
                <w:szCs w:val="10"/>
                <w:lang w:val="fr-BE"/>
              </w:rPr>
            </w:pPr>
          </w:p>
        </w:tc>
        <w:tc>
          <w:tcPr>
            <w:tcW w:w="0" w:type="auto"/>
            <w:shd w:val="clear" w:color="auto" w:fill="auto"/>
          </w:tcPr>
          <w:p w14:paraId="1F976B98" w14:textId="77777777" w:rsidR="008C5CFA" w:rsidRPr="00601E29" w:rsidRDefault="008C5CFA" w:rsidP="00300A01">
            <w:pPr>
              <w:spacing w:before="0" w:after="0"/>
              <w:rPr>
                <w:b/>
                <w:sz w:val="10"/>
                <w:szCs w:val="10"/>
                <w:lang w:val="fr-BE"/>
              </w:rPr>
            </w:pPr>
          </w:p>
        </w:tc>
        <w:tc>
          <w:tcPr>
            <w:tcW w:w="0" w:type="auto"/>
            <w:shd w:val="clear" w:color="auto" w:fill="auto"/>
          </w:tcPr>
          <w:p w14:paraId="0F077A24" w14:textId="77777777" w:rsidR="008C5CFA" w:rsidRPr="00601E29" w:rsidRDefault="008C5CFA" w:rsidP="00300A01">
            <w:pPr>
              <w:spacing w:before="0" w:after="0"/>
              <w:rPr>
                <w:b/>
                <w:sz w:val="10"/>
                <w:szCs w:val="10"/>
                <w:lang w:val="fr-BE"/>
              </w:rPr>
            </w:pPr>
          </w:p>
        </w:tc>
        <w:tc>
          <w:tcPr>
            <w:tcW w:w="0" w:type="auto"/>
            <w:shd w:val="clear" w:color="auto" w:fill="auto"/>
          </w:tcPr>
          <w:p w14:paraId="2CE57B57" w14:textId="77777777" w:rsidR="008C5CFA" w:rsidRPr="00601E29" w:rsidRDefault="008C5CFA" w:rsidP="00300A01">
            <w:pPr>
              <w:spacing w:before="0" w:after="0"/>
              <w:rPr>
                <w:b/>
                <w:sz w:val="10"/>
                <w:szCs w:val="10"/>
                <w:lang w:val="fr-BE"/>
              </w:rPr>
            </w:pPr>
          </w:p>
        </w:tc>
        <w:tc>
          <w:tcPr>
            <w:tcW w:w="0" w:type="auto"/>
            <w:shd w:val="clear" w:color="auto" w:fill="auto"/>
          </w:tcPr>
          <w:p w14:paraId="7AB97E49" w14:textId="77777777" w:rsidR="008C5CFA" w:rsidRPr="00601E29" w:rsidRDefault="008C5CFA" w:rsidP="00300A01">
            <w:pPr>
              <w:spacing w:before="0" w:after="0"/>
              <w:rPr>
                <w:b/>
                <w:sz w:val="10"/>
                <w:szCs w:val="10"/>
                <w:lang w:val="fr-BE"/>
              </w:rPr>
            </w:pPr>
          </w:p>
        </w:tc>
        <w:tc>
          <w:tcPr>
            <w:tcW w:w="0" w:type="auto"/>
            <w:shd w:val="clear" w:color="auto" w:fill="auto"/>
          </w:tcPr>
          <w:p w14:paraId="392EB3E0" w14:textId="77777777" w:rsidR="008C5CFA" w:rsidRPr="00601E29" w:rsidRDefault="00E82A60" w:rsidP="00300A01">
            <w:pPr>
              <w:spacing w:before="0" w:after="0"/>
              <w:jc w:val="center"/>
              <w:rPr>
                <w:b/>
                <w:sz w:val="10"/>
                <w:szCs w:val="10"/>
                <w:lang w:val="fr-BE"/>
              </w:rPr>
            </w:pPr>
            <w:r w:rsidRPr="00601E29">
              <w:rPr>
                <w:b/>
                <w:noProof/>
                <w:sz w:val="10"/>
                <w:szCs w:val="10"/>
                <w:lang w:val="fr-BE"/>
              </w:rPr>
              <w:t>Ogółem</w:t>
            </w:r>
          </w:p>
        </w:tc>
        <w:tc>
          <w:tcPr>
            <w:tcW w:w="0" w:type="auto"/>
            <w:shd w:val="clear" w:color="auto" w:fill="auto"/>
          </w:tcPr>
          <w:p w14:paraId="4FB76DDE" w14:textId="77777777" w:rsidR="008C5CFA" w:rsidRPr="00601E29" w:rsidRDefault="00E82A60" w:rsidP="00300A01">
            <w:pPr>
              <w:spacing w:before="0" w:after="0"/>
              <w:jc w:val="center"/>
              <w:rPr>
                <w:b/>
                <w:sz w:val="10"/>
                <w:szCs w:val="10"/>
                <w:lang w:val="fr-BE"/>
              </w:rPr>
            </w:pPr>
            <w:r w:rsidRPr="00601E29">
              <w:rPr>
                <w:b/>
                <w:noProof/>
                <w:sz w:val="10"/>
                <w:szCs w:val="10"/>
                <w:lang w:val="fr-BE"/>
              </w:rPr>
              <w:t>Mężczyźni</w:t>
            </w:r>
          </w:p>
        </w:tc>
        <w:tc>
          <w:tcPr>
            <w:tcW w:w="0" w:type="auto"/>
            <w:shd w:val="clear" w:color="auto" w:fill="auto"/>
          </w:tcPr>
          <w:p w14:paraId="4AFEC127" w14:textId="77777777" w:rsidR="008C5CFA" w:rsidRPr="00601E29" w:rsidRDefault="00E82A60" w:rsidP="00300A01">
            <w:pPr>
              <w:spacing w:before="0" w:after="0"/>
              <w:jc w:val="center"/>
              <w:rPr>
                <w:b/>
                <w:sz w:val="10"/>
                <w:szCs w:val="10"/>
                <w:lang w:val="fr-BE"/>
              </w:rPr>
            </w:pPr>
            <w:r w:rsidRPr="00601E29">
              <w:rPr>
                <w:b/>
                <w:noProof/>
                <w:sz w:val="10"/>
                <w:szCs w:val="10"/>
                <w:lang w:val="fr-BE"/>
              </w:rPr>
              <w:t>Kobiety</w:t>
            </w:r>
          </w:p>
        </w:tc>
        <w:tc>
          <w:tcPr>
            <w:tcW w:w="0" w:type="auto"/>
            <w:shd w:val="clear" w:color="auto" w:fill="auto"/>
          </w:tcPr>
          <w:p w14:paraId="2A44D767" w14:textId="77777777" w:rsidR="008C5CFA" w:rsidRPr="00601E29" w:rsidRDefault="00E82A60" w:rsidP="00300A01">
            <w:pPr>
              <w:spacing w:before="0" w:after="0"/>
              <w:jc w:val="center"/>
              <w:rPr>
                <w:b/>
                <w:sz w:val="10"/>
                <w:szCs w:val="10"/>
                <w:lang w:val="fr-BE"/>
              </w:rPr>
            </w:pPr>
            <w:r w:rsidRPr="00601E29">
              <w:rPr>
                <w:b/>
                <w:noProof/>
                <w:sz w:val="10"/>
                <w:szCs w:val="10"/>
                <w:lang w:val="fr-BE"/>
              </w:rPr>
              <w:t>Ogółem</w:t>
            </w:r>
          </w:p>
        </w:tc>
        <w:tc>
          <w:tcPr>
            <w:tcW w:w="0" w:type="auto"/>
            <w:shd w:val="clear" w:color="auto" w:fill="auto"/>
          </w:tcPr>
          <w:p w14:paraId="2E0842EA" w14:textId="77777777" w:rsidR="008C5CFA" w:rsidRPr="00601E29" w:rsidRDefault="00E82A60" w:rsidP="00300A01">
            <w:pPr>
              <w:spacing w:before="0" w:after="0"/>
              <w:jc w:val="center"/>
              <w:rPr>
                <w:b/>
                <w:sz w:val="10"/>
                <w:szCs w:val="10"/>
                <w:lang w:val="fr-BE"/>
              </w:rPr>
            </w:pPr>
            <w:r w:rsidRPr="00601E29">
              <w:rPr>
                <w:b/>
                <w:noProof/>
                <w:sz w:val="10"/>
                <w:szCs w:val="10"/>
                <w:lang w:val="fr-BE"/>
              </w:rPr>
              <w:t>Mężczyźni</w:t>
            </w:r>
          </w:p>
        </w:tc>
        <w:tc>
          <w:tcPr>
            <w:tcW w:w="0" w:type="auto"/>
            <w:shd w:val="clear" w:color="auto" w:fill="auto"/>
          </w:tcPr>
          <w:p w14:paraId="0DFBE334" w14:textId="77777777" w:rsidR="008C5CFA" w:rsidRPr="00601E29" w:rsidRDefault="00E82A60" w:rsidP="00300A01">
            <w:pPr>
              <w:spacing w:before="0" w:after="0"/>
              <w:jc w:val="center"/>
              <w:rPr>
                <w:b/>
                <w:sz w:val="10"/>
                <w:szCs w:val="10"/>
                <w:lang w:val="fr-BE"/>
              </w:rPr>
            </w:pPr>
            <w:r w:rsidRPr="00601E29">
              <w:rPr>
                <w:b/>
                <w:noProof/>
                <w:sz w:val="10"/>
                <w:szCs w:val="10"/>
                <w:lang w:val="fr-BE"/>
              </w:rPr>
              <w:t>Kobiety</w:t>
            </w:r>
          </w:p>
        </w:tc>
        <w:tc>
          <w:tcPr>
            <w:tcW w:w="0" w:type="auto"/>
            <w:shd w:val="clear" w:color="auto" w:fill="auto"/>
          </w:tcPr>
          <w:p w14:paraId="1347ED5A" w14:textId="77777777" w:rsidR="008C5CFA" w:rsidRPr="00601E29" w:rsidRDefault="00E82A60" w:rsidP="00300A01">
            <w:pPr>
              <w:spacing w:before="0" w:after="0"/>
              <w:jc w:val="center"/>
              <w:rPr>
                <w:b/>
                <w:sz w:val="10"/>
                <w:szCs w:val="10"/>
                <w:lang w:val="fr-BE"/>
              </w:rPr>
            </w:pPr>
            <w:r w:rsidRPr="00601E29">
              <w:rPr>
                <w:b/>
                <w:noProof/>
                <w:sz w:val="10"/>
                <w:szCs w:val="10"/>
                <w:lang w:val="fr-BE"/>
              </w:rPr>
              <w:t>Ogółem</w:t>
            </w:r>
          </w:p>
        </w:tc>
        <w:tc>
          <w:tcPr>
            <w:tcW w:w="0" w:type="auto"/>
            <w:shd w:val="clear" w:color="auto" w:fill="auto"/>
          </w:tcPr>
          <w:p w14:paraId="496956A8" w14:textId="77777777" w:rsidR="008C5CFA" w:rsidRPr="00601E29" w:rsidRDefault="00E82A60" w:rsidP="00300A01">
            <w:pPr>
              <w:spacing w:before="0" w:after="0"/>
              <w:jc w:val="center"/>
              <w:rPr>
                <w:b/>
                <w:sz w:val="10"/>
                <w:szCs w:val="10"/>
                <w:lang w:val="fr-BE"/>
              </w:rPr>
            </w:pPr>
            <w:r w:rsidRPr="00601E29">
              <w:rPr>
                <w:b/>
                <w:noProof/>
                <w:sz w:val="10"/>
                <w:szCs w:val="10"/>
                <w:lang w:val="fr-BE"/>
              </w:rPr>
              <w:t>Mężczyźni</w:t>
            </w:r>
          </w:p>
        </w:tc>
        <w:tc>
          <w:tcPr>
            <w:tcW w:w="0" w:type="auto"/>
            <w:shd w:val="clear" w:color="auto" w:fill="auto"/>
          </w:tcPr>
          <w:p w14:paraId="692E5760" w14:textId="77777777" w:rsidR="008C5CFA" w:rsidRPr="00601E29" w:rsidRDefault="00E82A60" w:rsidP="00300A01">
            <w:pPr>
              <w:spacing w:before="0" w:after="0"/>
              <w:jc w:val="center"/>
              <w:rPr>
                <w:b/>
                <w:sz w:val="10"/>
                <w:szCs w:val="10"/>
                <w:lang w:val="fr-BE"/>
              </w:rPr>
            </w:pPr>
            <w:r w:rsidRPr="00601E29">
              <w:rPr>
                <w:b/>
                <w:noProof/>
                <w:sz w:val="10"/>
                <w:szCs w:val="10"/>
                <w:lang w:val="fr-BE"/>
              </w:rPr>
              <w:t>Kobiety</w:t>
            </w:r>
          </w:p>
        </w:tc>
        <w:tc>
          <w:tcPr>
            <w:tcW w:w="0" w:type="auto"/>
          </w:tcPr>
          <w:p w14:paraId="31DAF0BE" w14:textId="77777777" w:rsidR="008C5CFA" w:rsidRPr="00601E29" w:rsidRDefault="00E82A60" w:rsidP="00300A01">
            <w:pPr>
              <w:spacing w:before="0" w:after="0"/>
              <w:jc w:val="center"/>
              <w:rPr>
                <w:b/>
                <w:sz w:val="10"/>
                <w:szCs w:val="10"/>
                <w:lang w:val="fr-BE"/>
              </w:rPr>
            </w:pPr>
            <w:r w:rsidRPr="00601E29">
              <w:rPr>
                <w:b/>
                <w:noProof/>
                <w:sz w:val="10"/>
                <w:szCs w:val="10"/>
                <w:lang w:val="fr-BE"/>
              </w:rPr>
              <w:t>Ogółem</w:t>
            </w:r>
          </w:p>
        </w:tc>
        <w:tc>
          <w:tcPr>
            <w:tcW w:w="0" w:type="auto"/>
            <w:shd w:val="clear" w:color="auto" w:fill="auto"/>
          </w:tcPr>
          <w:p w14:paraId="37526DF5" w14:textId="77777777" w:rsidR="008C5CFA" w:rsidRPr="00601E29" w:rsidRDefault="00E82A60" w:rsidP="00300A01">
            <w:pPr>
              <w:spacing w:before="0" w:after="0"/>
              <w:jc w:val="center"/>
              <w:rPr>
                <w:b/>
                <w:sz w:val="10"/>
                <w:szCs w:val="10"/>
                <w:lang w:val="fr-BE"/>
              </w:rPr>
            </w:pPr>
            <w:r w:rsidRPr="00601E29">
              <w:rPr>
                <w:b/>
                <w:noProof/>
                <w:sz w:val="10"/>
                <w:szCs w:val="10"/>
                <w:lang w:val="fr-BE"/>
              </w:rPr>
              <w:t>Mężczyźni</w:t>
            </w:r>
          </w:p>
        </w:tc>
        <w:tc>
          <w:tcPr>
            <w:tcW w:w="0" w:type="auto"/>
            <w:shd w:val="clear" w:color="auto" w:fill="auto"/>
          </w:tcPr>
          <w:p w14:paraId="70512E09" w14:textId="77777777" w:rsidR="008C5CFA" w:rsidRPr="00601E29" w:rsidRDefault="00E82A60" w:rsidP="00300A01">
            <w:pPr>
              <w:spacing w:before="0" w:after="0"/>
              <w:jc w:val="center"/>
              <w:rPr>
                <w:b/>
                <w:sz w:val="10"/>
                <w:szCs w:val="10"/>
                <w:lang w:val="fr-BE"/>
              </w:rPr>
            </w:pPr>
            <w:r w:rsidRPr="00601E29">
              <w:rPr>
                <w:b/>
                <w:noProof/>
                <w:sz w:val="10"/>
                <w:szCs w:val="10"/>
                <w:lang w:val="fr-BE"/>
              </w:rPr>
              <w:t>Kobiety</w:t>
            </w:r>
          </w:p>
        </w:tc>
        <w:tc>
          <w:tcPr>
            <w:tcW w:w="0" w:type="auto"/>
          </w:tcPr>
          <w:p w14:paraId="75600DE5" w14:textId="77777777" w:rsidR="008C5CFA" w:rsidRPr="00601E29" w:rsidRDefault="008C5CFA" w:rsidP="00300A01">
            <w:pPr>
              <w:spacing w:before="0" w:after="0"/>
              <w:jc w:val="center"/>
              <w:rPr>
                <w:b/>
                <w:sz w:val="10"/>
                <w:szCs w:val="10"/>
                <w:lang w:val="fr-BE"/>
              </w:rPr>
            </w:pPr>
          </w:p>
        </w:tc>
      </w:tr>
      <w:tr w:rsidR="006B2EC1" w14:paraId="1B48B40E" w14:textId="77777777" w:rsidTr="0047688D">
        <w:tc>
          <w:tcPr>
            <w:tcW w:w="0" w:type="auto"/>
            <w:shd w:val="clear" w:color="auto" w:fill="auto"/>
          </w:tcPr>
          <w:p w14:paraId="463317FD" w14:textId="77777777" w:rsidR="008C5CFA" w:rsidRPr="00601E29" w:rsidRDefault="00E82A60" w:rsidP="00300A01">
            <w:pPr>
              <w:spacing w:before="0" w:after="0"/>
              <w:rPr>
                <w:sz w:val="10"/>
                <w:szCs w:val="10"/>
                <w:lang w:val="fr-BE"/>
              </w:rPr>
            </w:pPr>
            <w:r w:rsidRPr="00601E29">
              <w:rPr>
                <w:noProof/>
                <w:sz w:val="10"/>
                <w:szCs w:val="10"/>
                <w:lang w:val="fr-BE"/>
              </w:rPr>
              <w:t>027</w:t>
            </w:r>
          </w:p>
        </w:tc>
        <w:tc>
          <w:tcPr>
            <w:tcW w:w="0" w:type="auto"/>
            <w:shd w:val="clear" w:color="auto" w:fill="auto"/>
          </w:tcPr>
          <w:p w14:paraId="312C305C" w14:textId="77777777" w:rsidR="008C5CFA" w:rsidRPr="00601E29" w:rsidRDefault="00E82A60" w:rsidP="00300A01">
            <w:pPr>
              <w:spacing w:before="0" w:after="0"/>
              <w:rPr>
                <w:sz w:val="10"/>
                <w:szCs w:val="10"/>
                <w:lang w:val="fr-BE"/>
              </w:rPr>
            </w:pPr>
            <w:r w:rsidRPr="00601E29">
              <w:rPr>
                <w:noProof/>
                <w:sz w:val="10"/>
                <w:szCs w:val="10"/>
                <w:lang w:val="fr-BE"/>
              </w:rPr>
              <w:t>Odsetek wdrożonych rekomendacji operacyjnych.</w:t>
            </w:r>
          </w:p>
        </w:tc>
        <w:tc>
          <w:tcPr>
            <w:tcW w:w="0" w:type="auto"/>
            <w:shd w:val="clear" w:color="auto" w:fill="auto"/>
          </w:tcPr>
          <w:p w14:paraId="07480A80" w14:textId="77777777" w:rsidR="008C5CFA" w:rsidRPr="00601E29" w:rsidRDefault="008C5CFA" w:rsidP="00300A01">
            <w:pPr>
              <w:spacing w:before="0" w:after="0"/>
              <w:rPr>
                <w:sz w:val="10"/>
                <w:szCs w:val="10"/>
                <w:lang w:val="fr-BE"/>
              </w:rPr>
            </w:pPr>
          </w:p>
        </w:tc>
        <w:tc>
          <w:tcPr>
            <w:tcW w:w="0" w:type="auto"/>
            <w:shd w:val="clear" w:color="auto" w:fill="auto"/>
          </w:tcPr>
          <w:p w14:paraId="71C77224" w14:textId="77777777" w:rsidR="008C5CFA" w:rsidRPr="00601E29" w:rsidRDefault="00E82A60" w:rsidP="00300A01">
            <w:pPr>
              <w:spacing w:before="0" w:after="0"/>
              <w:rPr>
                <w:sz w:val="10"/>
                <w:szCs w:val="10"/>
                <w:lang w:val="fr-BE"/>
              </w:rPr>
            </w:pPr>
            <w:r w:rsidRPr="00785F4A">
              <w:rPr>
                <w:noProof/>
                <w:sz w:val="10"/>
                <w:szCs w:val="10"/>
                <w:lang w:val="fr-BE"/>
              </w:rPr>
              <w:t>Współczynnik</w:t>
            </w:r>
            <w:r w:rsidR="00CE4603">
              <w:rPr>
                <w:sz w:val="10"/>
                <w:szCs w:val="10"/>
                <w:lang w:val="fr-BE"/>
              </w:rPr>
              <w:t xml:space="preserve"> </w:t>
            </w:r>
            <w:r w:rsidR="00CE4603">
              <w:rPr>
                <w:noProof/>
                <w:sz w:val="10"/>
                <w:szCs w:val="10"/>
                <w:lang w:val="fr-BE"/>
              </w:rPr>
              <w:t>(%)</w:t>
            </w:r>
          </w:p>
        </w:tc>
        <w:tc>
          <w:tcPr>
            <w:tcW w:w="0" w:type="auto"/>
            <w:shd w:val="clear" w:color="auto" w:fill="auto"/>
          </w:tcPr>
          <w:p w14:paraId="0B72BE46" w14:textId="77777777" w:rsidR="008C5CFA" w:rsidRPr="00601E29" w:rsidRDefault="00E82A60" w:rsidP="00300A01">
            <w:pPr>
              <w:spacing w:before="0" w:after="0"/>
              <w:rPr>
                <w:sz w:val="10"/>
                <w:szCs w:val="10"/>
                <w:lang w:val="fr-BE"/>
              </w:rPr>
            </w:pPr>
            <w:r w:rsidRPr="00601E29">
              <w:rPr>
                <w:sz w:val="10"/>
                <w:szCs w:val="10"/>
                <w:lang w:val="fr-BE"/>
              </w:rPr>
              <w:t xml:space="preserve"> </w:t>
            </w:r>
          </w:p>
        </w:tc>
        <w:tc>
          <w:tcPr>
            <w:tcW w:w="0" w:type="auto"/>
            <w:shd w:val="clear" w:color="auto" w:fill="auto"/>
          </w:tcPr>
          <w:p w14:paraId="4BFA4C2F" w14:textId="77777777" w:rsidR="008C5CFA" w:rsidRPr="00601E29" w:rsidRDefault="00E82A60" w:rsidP="00300A01">
            <w:pPr>
              <w:spacing w:before="0" w:after="0"/>
              <w:jc w:val="center"/>
              <w:rPr>
                <w:sz w:val="10"/>
                <w:szCs w:val="10"/>
                <w:lang w:val="fr-BE"/>
              </w:rPr>
            </w:pPr>
            <w:r w:rsidRPr="00601E29">
              <w:rPr>
                <w:noProof/>
                <w:sz w:val="10"/>
                <w:szCs w:val="10"/>
                <w:lang w:val="fr-BE"/>
              </w:rPr>
              <w:t>Współczynnik</w:t>
            </w:r>
          </w:p>
        </w:tc>
        <w:tc>
          <w:tcPr>
            <w:tcW w:w="0" w:type="auto"/>
            <w:shd w:val="clear" w:color="auto" w:fill="auto"/>
          </w:tcPr>
          <w:p w14:paraId="5C498F39" w14:textId="77777777" w:rsidR="008C5CFA" w:rsidRPr="00601E29" w:rsidRDefault="00E82A60" w:rsidP="00300A01">
            <w:pPr>
              <w:spacing w:before="0" w:after="0"/>
              <w:jc w:val="right"/>
              <w:rPr>
                <w:sz w:val="10"/>
                <w:szCs w:val="10"/>
                <w:lang w:val="fr-BE"/>
              </w:rPr>
            </w:pPr>
            <w:r w:rsidRPr="00601E29">
              <w:rPr>
                <w:noProof/>
                <w:sz w:val="10"/>
                <w:szCs w:val="10"/>
                <w:lang w:val="fr-BE"/>
              </w:rPr>
              <w:t>50,00</w:t>
            </w:r>
            <w:r>
              <w:rPr>
                <w:noProof/>
                <w:sz w:val="10"/>
                <w:szCs w:val="10"/>
                <w:lang w:val="fr-BE"/>
              </w:rPr>
              <w:t>%</w:t>
            </w:r>
          </w:p>
        </w:tc>
        <w:tc>
          <w:tcPr>
            <w:tcW w:w="0" w:type="auto"/>
            <w:shd w:val="clear" w:color="auto" w:fill="auto"/>
          </w:tcPr>
          <w:p w14:paraId="0D0869FB" w14:textId="77777777" w:rsidR="008C5CFA" w:rsidRPr="00601E29" w:rsidRDefault="008C5CFA" w:rsidP="00300A01">
            <w:pPr>
              <w:spacing w:before="0" w:after="0"/>
              <w:jc w:val="right"/>
              <w:rPr>
                <w:sz w:val="10"/>
                <w:szCs w:val="10"/>
                <w:lang w:val="fr-BE"/>
              </w:rPr>
            </w:pPr>
          </w:p>
        </w:tc>
        <w:tc>
          <w:tcPr>
            <w:tcW w:w="0" w:type="auto"/>
            <w:shd w:val="clear" w:color="auto" w:fill="auto"/>
          </w:tcPr>
          <w:p w14:paraId="16D687B8" w14:textId="77777777" w:rsidR="008C5CFA" w:rsidRPr="00601E29" w:rsidRDefault="008C5CFA" w:rsidP="00300A01">
            <w:pPr>
              <w:spacing w:before="0" w:after="0"/>
              <w:jc w:val="right"/>
              <w:rPr>
                <w:sz w:val="10"/>
                <w:szCs w:val="10"/>
                <w:lang w:val="fr-BE"/>
              </w:rPr>
            </w:pPr>
          </w:p>
        </w:tc>
        <w:tc>
          <w:tcPr>
            <w:tcW w:w="0" w:type="auto"/>
            <w:shd w:val="clear" w:color="auto" w:fill="auto"/>
          </w:tcPr>
          <w:p w14:paraId="3F2166E6" w14:textId="77777777" w:rsidR="008C5CFA" w:rsidRPr="00601E29" w:rsidRDefault="008C5CFA" w:rsidP="00300A01">
            <w:pPr>
              <w:spacing w:before="0" w:after="0"/>
              <w:jc w:val="right"/>
              <w:rPr>
                <w:sz w:val="10"/>
                <w:szCs w:val="10"/>
                <w:lang w:val="fr-BE"/>
              </w:rPr>
            </w:pPr>
          </w:p>
        </w:tc>
        <w:tc>
          <w:tcPr>
            <w:tcW w:w="0" w:type="auto"/>
            <w:shd w:val="clear" w:color="auto" w:fill="auto"/>
          </w:tcPr>
          <w:p w14:paraId="7F756336" w14:textId="77777777" w:rsidR="008C5CFA" w:rsidRPr="00601E29" w:rsidRDefault="008C5CFA" w:rsidP="00300A01">
            <w:pPr>
              <w:spacing w:before="0" w:after="0"/>
              <w:jc w:val="right"/>
              <w:rPr>
                <w:sz w:val="10"/>
                <w:szCs w:val="10"/>
                <w:lang w:val="fr-BE"/>
              </w:rPr>
            </w:pPr>
          </w:p>
        </w:tc>
        <w:tc>
          <w:tcPr>
            <w:tcW w:w="0" w:type="auto"/>
            <w:shd w:val="clear" w:color="auto" w:fill="auto"/>
          </w:tcPr>
          <w:p w14:paraId="556C10C4" w14:textId="77777777" w:rsidR="008C5CFA" w:rsidRPr="00601E29" w:rsidRDefault="008C5CFA" w:rsidP="00300A01">
            <w:pPr>
              <w:spacing w:before="0" w:after="0"/>
              <w:jc w:val="right"/>
              <w:rPr>
                <w:sz w:val="10"/>
                <w:szCs w:val="10"/>
                <w:lang w:val="fr-BE"/>
              </w:rPr>
            </w:pPr>
          </w:p>
        </w:tc>
        <w:tc>
          <w:tcPr>
            <w:tcW w:w="0" w:type="auto"/>
            <w:shd w:val="clear" w:color="auto" w:fill="auto"/>
          </w:tcPr>
          <w:p w14:paraId="2DCC1CAD" w14:textId="77777777" w:rsidR="008C5CFA" w:rsidRPr="00601E29" w:rsidRDefault="00E82A60" w:rsidP="00300A01">
            <w:pPr>
              <w:spacing w:before="0" w:after="0"/>
              <w:jc w:val="right"/>
              <w:rPr>
                <w:sz w:val="10"/>
                <w:szCs w:val="10"/>
                <w:lang w:val="fr-BE"/>
              </w:rPr>
            </w:pPr>
            <w:r w:rsidRPr="00601E29">
              <w:rPr>
                <w:noProof/>
                <w:sz w:val="10"/>
                <w:szCs w:val="10"/>
                <w:lang w:val="fr-BE"/>
              </w:rPr>
              <w:t>48,68</w:t>
            </w:r>
            <w:r>
              <w:rPr>
                <w:noProof/>
                <w:sz w:val="10"/>
                <w:szCs w:val="10"/>
                <w:lang w:val="fr-BE"/>
              </w:rPr>
              <w:t>%</w:t>
            </w:r>
          </w:p>
        </w:tc>
        <w:tc>
          <w:tcPr>
            <w:tcW w:w="0" w:type="auto"/>
            <w:shd w:val="clear" w:color="auto" w:fill="auto"/>
          </w:tcPr>
          <w:p w14:paraId="0A74DACA" w14:textId="77777777" w:rsidR="008C5CFA" w:rsidRPr="00601E29" w:rsidRDefault="00E82A60" w:rsidP="00300A01">
            <w:pPr>
              <w:spacing w:before="0" w:after="0"/>
              <w:jc w:val="right"/>
              <w:rPr>
                <w:sz w:val="10"/>
                <w:szCs w:val="10"/>
                <w:lang w:val="fr-BE"/>
              </w:rPr>
            </w:pPr>
            <w:r w:rsidRPr="00601E29">
              <w:rPr>
                <w:noProof/>
                <w:sz w:val="10"/>
                <w:szCs w:val="10"/>
                <w:lang w:val="fr-BE"/>
              </w:rPr>
              <w:t>0,00</w:t>
            </w:r>
            <w:r>
              <w:rPr>
                <w:noProof/>
                <w:sz w:val="10"/>
                <w:szCs w:val="10"/>
                <w:lang w:val="fr-BE"/>
              </w:rPr>
              <w:t>%</w:t>
            </w:r>
          </w:p>
        </w:tc>
        <w:tc>
          <w:tcPr>
            <w:tcW w:w="0" w:type="auto"/>
            <w:shd w:val="clear" w:color="auto" w:fill="auto"/>
          </w:tcPr>
          <w:p w14:paraId="3FFA24DD" w14:textId="77777777" w:rsidR="008C5CFA" w:rsidRPr="00601E29" w:rsidRDefault="00E82A60" w:rsidP="00300A01">
            <w:pPr>
              <w:spacing w:before="0" w:after="0"/>
              <w:jc w:val="right"/>
              <w:rPr>
                <w:sz w:val="10"/>
                <w:szCs w:val="10"/>
                <w:lang w:val="fr-BE"/>
              </w:rPr>
            </w:pPr>
            <w:r w:rsidRPr="00601E29">
              <w:rPr>
                <w:noProof/>
                <w:sz w:val="10"/>
                <w:szCs w:val="10"/>
                <w:lang w:val="fr-BE"/>
              </w:rPr>
              <w:t>0,00</w:t>
            </w:r>
            <w:r>
              <w:rPr>
                <w:noProof/>
                <w:sz w:val="10"/>
                <w:szCs w:val="10"/>
                <w:lang w:val="fr-BE"/>
              </w:rPr>
              <w:t>%</w:t>
            </w:r>
          </w:p>
        </w:tc>
        <w:tc>
          <w:tcPr>
            <w:tcW w:w="0" w:type="auto"/>
          </w:tcPr>
          <w:p w14:paraId="7A6515F0" w14:textId="77777777" w:rsidR="008C5CFA" w:rsidRPr="00601E29" w:rsidRDefault="00E82A60" w:rsidP="00300A01">
            <w:pPr>
              <w:spacing w:before="0" w:after="0"/>
              <w:jc w:val="right"/>
              <w:rPr>
                <w:sz w:val="10"/>
                <w:szCs w:val="10"/>
                <w:lang w:val="fr-BE"/>
              </w:rPr>
            </w:pPr>
            <w:r w:rsidRPr="00601E29">
              <w:rPr>
                <w:noProof/>
                <w:sz w:val="10"/>
                <w:szCs w:val="10"/>
                <w:lang w:val="fr-BE"/>
              </w:rPr>
              <w:t>0,00</w:t>
            </w:r>
            <w:r>
              <w:rPr>
                <w:noProof/>
                <w:sz w:val="10"/>
                <w:szCs w:val="10"/>
                <w:lang w:val="fr-BE"/>
              </w:rPr>
              <w:t>%</w:t>
            </w:r>
          </w:p>
        </w:tc>
        <w:tc>
          <w:tcPr>
            <w:tcW w:w="0" w:type="auto"/>
            <w:shd w:val="clear" w:color="auto" w:fill="auto"/>
          </w:tcPr>
          <w:p w14:paraId="1307885C" w14:textId="77777777" w:rsidR="008C5CFA" w:rsidRPr="00601E29" w:rsidRDefault="00E82A60" w:rsidP="00300A01">
            <w:pPr>
              <w:spacing w:before="0" w:after="0"/>
              <w:jc w:val="right"/>
              <w:rPr>
                <w:sz w:val="10"/>
                <w:szCs w:val="10"/>
                <w:lang w:val="fr-BE"/>
              </w:rPr>
            </w:pPr>
            <w:r w:rsidRPr="00601E29">
              <w:rPr>
                <w:noProof/>
                <w:sz w:val="10"/>
                <w:szCs w:val="10"/>
                <w:lang w:val="fr-BE"/>
              </w:rPr>
              <w:t>0,00</w:t>
            </w:r>
            <w:r>
              <w:rPr>
                <w:noProof/>
                <w:sz w:val="10"/>
                <w:szCs w:val="10"/>
                <w:lang w:val="fr-BE"/>
              </w:rPr>
              <w:t>%</w:t>
            </w:r>
          </w:p>
        </w:tc>
        <w:tc>
          <w:tcPr>
            <w:tcW w:w="0" w:type="auto"/>
            <w:shd w:val="clear" w:color="auto" w:fill="auto"/>
          </w:tcPr>
          <w:p w14:paraId="2306E1C1" w14:textId="77777777" w:rsidR="008C5CFA" w:rsidRPr="00601E29" w:rsidRDefault="00E82A60" w:rsidP="00300A01">
            <w:pPr>
              <w:spacing w:before="0" w:after="0"/>
              <w:jc w:val="right"/>
              <w:rPr>
                <w:sz w:val="10"/>
                <w:szCs w:val="10"/>
                <w:lang w:val="fr-BE"/>
              </w:rPr>
            </w:pPr>
            <w:r w:rsidRPr="00601E29">
              <w:rPr>
                <w:noProof/>
                <w:sz w:val="10"/>
                <w:szCs w:val="10"/>
                <w:lang w:val="fr-BE"/>
              </w:rPr>
              <w:t>0,00</w:t>
            </w:r>
            <w:r>
              <w:rPr>
                <w:noProof/>
                <w:sz w:val="10"/>
                <w:szCs w:val="10"/>
                <w:lang w:val="fr-BE"/>
              </w:rPr>
              <w:t>%</w:t>
            </w:r>
          </w:p>
        </w:tc>
        <w:tc>
          <w:tcPr>
            <w:tcW w:w="0" w:type="auto"/>
          </w:tcPr>
          <w:p w14:paraId="5A0F62A8" w14:textId="77777777" w:rsidR="008C5CFA" w:rsidRPr="00601E29" w:rsidRDefault="008C5CFA" w:rsidP="00300A01">
            <w:pPr>
              <w:spacing w:before="0" w:after="0"/>
              <w:jc w:val="right"/>
              <w:rPr>
                <w:sz w:val="10"/>
                <w:szCs w:val="10"/>
                <w:lang w:val="fr-BE"/>
              </w:rPr>
            </w:pPr>
          </w:p>
        </w:tc>
      </w:tr>
      <w:tr w:rsidR="006B2EC1" w14:paraId="0F52127A" w14:textId="77777777" w:rsidTr="0047688D">
        <w:tc>
          <w:tcPr>
            <w:tcW w:w="0" w:type="auto"/>
            <w:shd w:val="clear" w:color="auto" w:fill="auto"/>
          </w:tcPr>
          <w:p w14:paraId="4F303B93" w14:textId="77777777" w:rsidR="008C5CFA" w:rsidRPr="00601E29" w:rsidRDefault="00E82A60" w:rsidP="00300A01">
            <w:pPr>
              <w:spacing w:before="0" w:after="0"/>
              <w:rPr>
                <w:sz w:val="10"/>
                <w:szCs w:val="10"/>
                <w:lang w:val="fr-BE"/>
              </w:rPr>
            </w:pPr>
            <w:r w:rsidRPr="00601E29">
              <w:rPr>
                <w:noProof/>
                <w:sz w:val="10"/>
                <w:szCs w:val="10"/>
                <w:lang w:val="fr-BE"/>
              </w:rPr>
              <w:t>028</w:t>
            </w:r>
          </w:p>
        </w:tc>
        <w:tc>
          <w:tcPr>
            <w:tcW w:w="0" w:type="auto"/>
            <w:shd w:val="clear" w:color="auto" w:fill="auto"/>
          </w:tcPr>
          <w:p w14:paraId="086A62FA" w14:textId="77777777" w:rsidR="008C5CFA" w:rsidRPr="00601E29" w:rsidRDefault="00E82A60" w:rsidP="00300A01">
            <w:pPr>
              <w:spacing w:before="0" w:after="0"/>
              <w:rPr>
                <w:sz w:val="10"/>
                <w:szCs w:val="10"/>
                <w:lang w:val="fr-BE"/>
              </w:rPr>
            </w:pPr>
            <w:r w:rsidRPr="00601E29">
              <w:rPr>
                <w:noProof/>
                <w:sz w:val="10"/>
                <w:szCs w:val="10"/>
                <w:lang w:val="fr-BE"/>
              </w:rPr>
              <w:t>Średnia ocena użyteczności systemu informatycznego</w:t>
            </w:r>
          </w:p>
        </w:tc>
        <w:tc>
          <w:tcPr>
            <w:tcW w:w="0" w:type="auto"/>
            <w:shd w:val="clear" w:color="auto" w:fill="auto"/>
          </w:tcPr>
          <w:p w14:paraId="7463CBDC" w14:textId="77777777" w:rsidR="008C5CFA" w:rsidRPr="00601E29" w:rsidRDefault="008C5CFA" w:rsidP="00300A01">
            <w:pPr>
              <w:spacing w:before="0" w:after="0"/>
              <w:rPr>
                <w:sz w:val="10"/>
                <w:szCs w:val="10"/>
                <w:lang w:val="fr-BE"/>
              </w:rPr>
            </w:pPr>
          </w:p>
        </w:tc>
        <w:tc>
          <w:tcPr>
            <w:tcW w:w="0" w:type="auto"/>
            <w:shd w:val="clear" w:color="auto" w:fill="auto"/>
          </w:tcPr>
          <w:p w14:paraId="3390BC38" w14:textId="77777777" w:rsidR="008C5CFA" w:rsidRPr="00601E29" w:rsidRDefault="00E82A60" w:rsidP="00300A01">
            <w:pPr>
              <w:spacing w:before="0" w:after="0"/>
              <w:rPr>
                <w:sz w:val="10"/>
                <w:szCs w:val="10"/>
                <w:lang w:val="fr-BE"/>
              </w:rPr>
            </w:pPr>
            <w:r w:rsidRPr="00785F4A">
              <w:rPr>
                <w:noProof/>
                <w:sz w:val="10"/>
                <w:szCs w:val="10"/>
                <w:lang w:val="fr-BE"/>
              </w:rPr>
              <w:t>Liczba</w:t>
            </w:r>
            <w:r w:rsidR="00CE4603">
              <w:rPr>
                <w:sz w:val="10"/>
                <w:szCs w:val="10"/>
                <w:lang w:val="fr-BE"/>
              </w:rPr>
              <w:t xml:space="preserve"> </w:t>
            </w:r>
            <w:r w:rsidR="00CE4603">
              <w:rPr>
                <w:noProof/>
                <w:sz w:val="10"/>
                <w:szCs w:val="10"/>
                <w:lang w:val="fr-BE"/>
              </w:rPr>
              <w:t>(Skala 0-5)</w:t>
            </w:r>
          </w:p>
        </w:tc>
        <w:tc>
          <w:tcPr>
            <w:tcW w:w="0" w:type="auto"/>
            <w:shd w:val="clear" w:color="auto" w:fill="auto"/>
          </w:tcPr>
          <w:p w14:paraId="52918F94" w14:textId="77777777" w:rsidR="008C5CFA" w:rsidRPr="00601E29" w:rsidRDefault="00E82A60" w:rsidP="00300A01">
            <w:pPr>
              <w:spacing w:before="0" w:after="0"/>
              <w:rPr>
                <w:sz w:val="10"/>
                <w:szCs w:val="10"/>
                <w:lang w:val="fr-BE"/>
              </w:rPr>
            </w:pPr>
            <w:r w:rsidRPr="00601E29">
              <w:rPr>
                <w:sz w:val="10"/>
                <w:szCs w:val="10"/>
                <w:lang w:val="fr-BE"/>
              </w:rPr>
              <w:t xml:space="preserve"> </w:t>
            </w:r>
          </w:p>
        </w:tc>
        <w:tc>
          <w:tcPr>
            <w:tcW w:w="0" w:type="auto"/>
            <w:shd w:val="clear" w:color="auto" w:fill="auto"/>
          </w:tcPr>
          <w:p w14:paraId="353DF570" w14:textId="77777777" w:rsidR="008C5CFA" w:rsidRPr="00601E29" w:rsidRDefault="00E82A60" w:rsidP="00300A01">
            <w:pPr>
              <w:spacing w:before="0" w:after="0"/>
              <w:jc w:val="center"/>
              <w:rPr>
                <w:sz w:val="10"/>
                <w:szCs w:val="10"/>
                <w:lang w:val="fr-BE"/>
              </w:rPr>
            </w:pPr>
            <w:r w:rsidRPr="00601E29">
              <w:rPr>
                <w:noProof/>
                <w:sz w:val="10"/>
                <w:szCs w:val="10"/>
                <w:lang w:val="fr-BE"/>
              </w:rPr>
              <w:t>Liczba</w:t>
            </w:r>
          </w:p>
        </w:tc>
        <w:tc>
          <w:tcPr>
            <w:tcW w:w="0" w:type="auto"/>
            <w:shd w:val="clear" w:color="auto" w:fill="auto"/>
          </w:tcPr>
          <w:p w14:paraId="24FD86E8" w14:textId="77777777" w:rsidR="008C5CFA" w:rsidRPr="00601E29" w:rsidRDefault="00E82A60" w:rsidP="00300A01">
            <w:pPr>
              <w:spacing w:before="0" w:after="0"/>
              <w:jc w:val="right"/>
              <w:rPr>
                <w:sz w:val="10"/>
                <w:szCs w:val="10"/>
                <w:lang w:val="fr-BE"/>
              </w:rPr>
            </w:pPr>
            <w:r w:rsidRPr="00601E29">
              <w:rPr>
                <w:noProof/>
                <w:sz w:val="10"/>
                <w:szCs w:val="10"/>
                <w:lang w:val="fr-BE"/>
              </w:rPr>
              <w:t>3,85</w:t>
            </w:r>
          </w:p>
        </w:tc>
        <w:tc>
          <w:tcPr>
            <w:tcW w:w="0" w:type="auto"/>
            <w:shd w:val="clear" w:color="auto" w:fill="auto"/>
          </w:tcPr>
          <w:p w14:paraId="2D2D351E" w14:textId="77777777" w:rsidR="008C5CFA" w:rsidRPr="00601E29" w:rsidRDefault="008C5CFA" w:rsidP="00300A01">
            <w:pPr>
              <w:spacing w:before="0" w:after="0"/>
              <w:jc w:val="right"/>
              <w:rPr>
                <w:sz w:val="10"/>
                <w:szCs w:val="10"/>
                <w:lang w:val="fr-BE"/>
              </w:rPr>
            </w:pPr>
          </w:p>
        </w:tc>
        <w:tc>
          <w:tcPr>
            <w:tcW w:w="0" w:type="auto"/>
            <w:shd w:val="clear" w:color="auto" w:fill="auto"/>
          </w:tcPr>
          <w:p w14:paraId="3A5B9AA3" w14:textId="77777777" w:rsidR="008C5CFA" w:rsidRPr="00601E29" w:rsidRDefault="008C5CFA" w:rsidP="00300A01">
            <w:pPr>
              <w:spacing w:before="0" w:after="0"/>
              <w:jc w:val="right"/>
              <w:rPr>
                <w:sz w:val="10"/>
                <w:szCs w:val="10"/>
                <w:lang w:val="fr-BE"/>
              </w:rPr>
            </w:pPr>
          </w:p>
        </w:tc>
        <w:tc>
          <w:tcPr>
            <w:tcW w:w="0" w:type="auto"/>
            <w:shd w:val="clear" w:color="auto" w:fill="auto"/>
          </w:tcPr>
          <w:p w14:paraId="674837C7" w14:textId="77777777" w:rsidR="008C5CFA" w:rsidRPr="00601E29" w:rsidRDefault="00E82A60" w:rsidP="00300A01">
            <w:pPr>
              <w:spacing w:before="0" w:after="0"/>
              <w:jc w:val="right"/>
              <w:rPr>
                <w:sz w:val="10"/>
                <w:szCs w:val="10"/>
                <w:lang w:val="fr-BE"/>
              </w:rPr>
            </w:pPr>
            <w:r w:rsidRPr="00601E29">
              <w:rPr>
                <w:noProof/>
                <w:sz w:val="10"/>
                <w:szCs w:val="10"/>
                <w:lang w:val="fr-BE"/>
              </w:rPr>
              <w:t>0,99%</w:t>
            </w:r>
          </w:p>
        </w:tc>
        <w:tc>
          <w:tcPr>
            <w:tcW w:w="0" w:type="auto"/>
            <w:shd w:val="clear" w:color="auto" w:fill="auto"/>
          </w:tcPr>
          <w:p w14:paraId="5890C1F5" w14:textId="77777777" w:rsidR="008C5CFA" w:rsidRPr="00601E29" w:rsidRDefault="008C5CFA" w:rsidP="00300A01">
            <w:pPr>
              <w:spacing w:before="0" w:after="0"/>
              <w:jc w:val="right"/>
              <w:rPr>
                <w:sz w:val="10"/>
                <w:szCs w:val="10"/>
                <w:lang w:val="fr-BE"/>
              </w:rPr>
            </w:pPr>
          </w:p>
        </w:tc>
        <w:tc>
          <w:tcPr>
            <w:tcW w:w="0" w:type="auto"/>
            <w:shd w:val="clear" w:color="auto" w:fill="auto"/>
          </w:tcPr>
          <w:p w14:paraId="446DA6BA" w14:textId="77777777" w:rsidR="008C5CFA" w:rsidRPr="00601E29" w:rsidRDefault="008C5CFA" w:rsidP="00300A01">
            <w:pPr>
              <w:spacing w:before="0" w:after="0"/>
              <w:jc w:val="right"/>
              <w:rPr>
                <w:sz w:val="10"/>
                <w:szCs w:val="10"/>
                <w:lang w:val="fr-BE"/>
              </w:rPr>
            </w:pPr>
          </w:p>
        </w:tc>
        <w:tc>
          <w:tcPr>
            <w:tcW w:w="0" w:type="auto"/>
            <w:shd w:val="clear" w:color="auto" w:fill="auto"/>
          </w:tcPr>
          <w:p w14:paraId="3DA1F56D" w14:textId="77777777" w:rsidR="008C5CFA" w:rsidRPr="00601E29" w:rsidRDefault="00E82A60" w:rsidP="00300A01">
            <w:pPr>
              <w:spacing w:before="0" w:after="0"/>
              <w:jc w:val="right"/>
              <w:rPr>
                <w:sz w:val="10"/>
                <w:szCs w:val="10"/>
                <w:lang w:val="fr-BE"/>
              </w:rPr>
            </w:pPr>
            <w:r w:rsidRPr="00601E29">
              <w:rPr>
                <w:noProof/>
                <w:sz w:val="10"/>
                <w:szCs w:val="10"/>
                <w:lang w:val="fr-BE"/>
              </w:rPr>
              <w:t>3,80</w:t>
            </w:r>
          </w:p>
        </w:tc>
        <w:tc>
          <w:tcPr>
            <w:tcW w:w="0" w:type="auto"/>
            <w:shd w:val="clear" w:color="auto" w:fill="auto"/>
          </w:tcPr>
          <w:p w14:paraId="095137DC"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shd w:val="clear" w:color="auto" w:fill="auto"/>
          </w:tcPr>
          <w:p w14:paraId="0BD89D8F"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102137FD"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shd w:val="clear" w:color="auto" w:fill="auto"/>
          </w:tcPr>
          <w:p w14:paraId="656DB1DC"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shd w:val="clear" w:color="auto" w:fill="auto"/>
          </w:tcPr>
          <w:p w14:paraId="3C4D33AB"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78C3EC6D" w14:textId="77777777" w:rsidR="008C5CFA" w:rsidRPr="00601E29" w:rsidRDefault="008C5CFA" w:rsidP="00300A01">
            <w:pPr>
              <w:spacing w:before="0" w:after="0"/>
              <w:jc w:val="right"/>
              <w:rPr>
                <w:sz w:val="10"/>
                <w:szCs w:val="10"/>
                <w:lang w:val="fr-BE"/>
              </w:rPr>
            </w:pPr>
          </w:p>
        </w:tc>
      </w:tr>
    </w:tbl>
    <w:p w14:paraId="5A9B95FB"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83"/>
        <w:gridCol w:w="3294"/>
        <w:gridCol w:w="1295"/>
        <w:gridCol w:w="648"/>
        <w:gridCol w:w="816"/>
        <w:gridCol w:w="656"/>
        <w:gridCol w:w="648"/>
        <w:gridCol w:w="816"/>
        <w:gridCol w:w="656"/>
        <w:gridCol w:w="866"/>
        <w:gridCol w:w="648"/>
        <w:gridCol w:w="816"/>
        <w:gridCol w:w="656"/>
        <w:gridCol w:w="648"/>
        <w:gridCol w:w="816"/>
        <w:gridCol w:w="656"/>
        <w:gridCol w:w="866"/>
      </w:tblGrid>
      <w:tr w:rsidR="006B2EC1" w14:paraId="4E36FA88" w14:textId="77777777" w:rsidTr="0047688D">
        <w:trPr>
          <w:tblHeader/>
        </w:trPr>
        <w:tc>
          <w:tcPr>
            <w:tcW w:w="0" w:type="auto"/>
            <w:shd w:val="clear" w:color="auto" w:fill="auto"/>
          </w:tcPr>
          <w:p w14:paraId="1DD598D9" w14:textId="77777777" w:rsidR="008C5CFA" w:rsidRPr="00601E29" w:rsidRDefault="00E82A60" w:rsidP="00300A01">
            <w:pPr>
              <w:spacing w:before="0" w:after="0"/>
              <w:rPr>
                <w:b/>
                <w:sz w:val="10"/>
                <w:szCs w:val="10"/>
                <w:lang w:val="fr-BE"/>
              </w:rPr>
            </w:pPr>
            <w:r w:rsidRPr="00601E29">
              <w:rPr>
                <w:b/>
                <w:noProof/>
                <w:sz w:val="10"/>
                <w:szCs w:val="10"/>
                <w:lang w:val="fr-BE"/>
              </w:rPr>
              <w:t>ID</w:t>
            </w:r>
          </w:p>
        </w:tc>
        <w:tc>
          <w:tcPr>
            <w:tcW w:w="0" w:type="auto"/>
            <w:shd w:val="clear" w:color="auto" w:fill="auto"/>
          </w:tcPr>
          <w:p w14:paraId="26558E6E" w14:textId="77777777" w:rsidR="008C5CFA" w:rsidRPr="00601E29" w:rsidRDefault="00E82A60" w:rsidP="00300A01">
            <w:pPr>
              <w:spacing w:before="0" w:after="0"/>
              <w:rPr>
                <w:b/>
                <w:sz w:val="10"/>
                <w:szCs w:val="10"/>
                <w:lang w:val="fr-BE"/>
              </w:rPr>
            </w:pPr>
            <w:r w:rsidRPr="00601E29">
              <w:rPr>
                <w:b/>
                <w:noProof/>
                <w:sz w:val="10"/>
                <w:szCs w:val="10"/>
                <w:lang w:val="fr-BE"/>
              </w:rPr>
              <w:t>Wskaźnik</w:t>
            </w:r>
          </w:p>
        </w:tc>
        <w:tc>
          <w:tcPr>
            <w:tcW w:w="0" w:type="auto"/>
            <w:shd w:val="clear" w:color="auto" w:fill="auto"/>
          </w:tcPr>
          <w:p w14:paraId="3B45E462" w14:textId="77777777" w:rsidR="008C5CFA" w:rsidRPr="00601E29" w:rsidRDefault="00E82A60" w:rsidP="00300A01">
            <w:pPr>
              <w:spacing w:before="0" w:after="0"/>
              <w:rPr>
                <w:b/>
                <w:sz w:val="10"/>
                <w:szCs w:val="10"/>
                <w:lang w:val="fr-BE"/>
              </w:rPr>
            </w:pPr>
            <w:r w:rsidRPr="00601E29">
              <w:rPr>
                <w:b/>
                <w:noProof/>
                <w:sz w:val="10"/>
                <w:szCs w:val="10"/>
                <w:lang w:val="fr-BE"/>
              </w:rPr>
              <w:t>Kategoria regionu</w:t>
            </w:r>
          </w:p>
        </w:tc>
        <w:tc>
          <w:tcPr>
            <w:tcW w:w="0" w:type="auto"/>
            <w:gridSpan w:val="7"/>
          </w:tcPr>
          <w:p w14:paraId="035755F4" w14:textId="77777777" w:rsidR="008C5CFA" w:rsidRPr="00601E29" w:rsidRDefault="00E82A60" w:rsidP="00300A01">
            <w:pPr>
              <w:spacing w:before="0" w:after="0"/>
              <w:jc w:val="center"/>
              <w:rPr>
                <w:b/>
                <w:sz w:val="10"/>
                <w:szCs w:val="10"/>
                <w:lang w:val="fr-BE"/>
              </w:rPr>
            </w:pPr>
            <w:r>
              <w:rPr>
                <w:b/>
                <w:sz w:val="10"/>
                <w:szCs w:val="10"/>
                <w:lang w:val="fr-BE"/>
              </w:rPr>
              <w:t>2018</w:t>
            </w:r>
          </w:p>
        </w:tc>
        <w:tc>
          <w:tcPr>
            <w:tcW w:w="0" w:type="auto"/>
            <w:gridSpan w:val="7"/>
          </w:tcPr>
          <w:p w14:paraId="488916A8" w14:textId="77777777" w:rsidR="008C5CFA" w:rsidRPr="00601E29" w:rsidRDefault="00E82A60" w:rsidP="00300A01">
            <w:pPr>
              <w:spacing w:before="0" w:after="0"/>
              <w:jc w:val="center"/>
              <w:rPr>
                <w:b/>
                <w:sz w:val="10"/>
                <w:szCs w:val="10"/>
                <w:lang w:val="fr-BE"/>
              </w:rPr>
            </w:pPr>
            <w:r>
              <w:rPr>
                <w:b/>
                <w:sz w:val="10"/>
                <w:szCs w:val="10"/>
                <w:lang w:val="fr-BE"/>
              </w:rPr>
              <w:t>2017</w:t>
            </w:r>
          </w:p>
        </w:tc>
      </w:tr>
      <w:tr w:rsidR="006B2EC1" w14:paraId="5690DC53" w14:textId="77777777" w:rsidTr="0047688D">
        <w:trPr>
          <w:tblHeader/>
        </w:trPr>
        <w:tc>
          <w:tcPr>
            <w:tcW w:w="0" w:type="auto"/>
            <w:shd w:val="clear" w:color="auto" w:fill="auto"/>
          </w:tcPr>
          <w:p w14:paraId="2E360288" w14:textId="77777777" w:rsidR="008C5CFA" w:rsidRPr="00601E29" w:rsidRDefault="008C5CFA" w:rsidP="00300A01">
            <w:pPr>
              <w:spacing w:before="0" w:after="0"/>
              <w:rPr>
                <w:b/>
                <w:sz w:val="10"/>
                <w:szCs w:val="10"/>
                <w:lang w:val="fr-BE"/>
              </w:rPr>
            </w:pPr>
          </w:p>
        </w:tc>
        <w:tc>
          <w:tcPr>
            <w:tcW w:w="0" w:type="auto"/>
            <w:shd w:val="clear" w:color="auto" w:fill="auto"/>
          </w:tcPr>
          <w:p w14:paraId="690BEE0D" w14:textId="77777777" w:rsidR="008C5CFA" w:rsidRPr="00601E29" w:rsidRDefault="008C5CFA" w:rsidP="00300A01">
            <w:pPr>
              <w:spacing w:before="0" w:after="0"/>
              <w:rPr>
                <w:b/>
                <w:sz w:val="10"/>
                <w:szCs w:val="10"/>
                <w:lang w:val="fr-BE"/>
              </w:rPr>
            </w:pPr>
          </w:p>
        </w:tc>
        <w:tc>
          <w:tcPr>
            <w:tcW w:w="0" w:type="auto"/>
            <w:shd w:val="clear" w:color="auto" w:fill="auto"/>
          </w:tcPr>
          <w:p w14:paraId="09B84FFA" w14:textId="77777777" w:rsidR="008C5CFA" w:rsidRPr="00601E29" w:rsidRDefault="008C5CFA" w:rsidP="00300A01">
            <w:pPr>
              <w:spacing w:before="0" w:after="0"/>
              <w:rPr>
                <w:b/>
                <w:sz w:val="10"/>
                <w:szCs w:val="10"/>
                <w:lang w:val="fr-BE"/>
              </w:rPr>
            </w:pPr>
          </w:p>
        </w:tc>
        <w:tc>
          <w:tcPr>
            <w:tcW w:w="0" w:type="auto"/>
            <w:gridSpan w:val="3"/>
          </w:tcPr>
          <w:p w14:paraId="7EE0E8D5" w14:textId="77777777" w:rsidR="008C5CFA" w:rsidRPr="00601E29" w:rsidRDefault="00E82A60" w:rsidP="00300A01">
            <w:pPr>
              <w:spacing w:before="0" w:after="0"/>
              <w:jc w:val="center"/>
              <w:rPr>
                <w:b/>
                <w:sz w:val="10"/>
                <w:szCs w:val="10"/>
                <w:lang w:val="fr-BE"/>
              </w:rPr>
            </w:pPr>
            <w:r w:rsidRPr="00601E29">
              <w:rPr>
                <w:b/>
                <w:noProof/>
                <w:sz w:val="10"/>
                <w:szCs w:val="10"/>
                <w:lang w:val="fr-BE"/>
              </w:rPr>
              <w:t>Łącznie</w:t>
            </w:r>
          </w:p>
        </w:tc>
        <w:tc>
          <w:tcPr>
            <w:tcW w:w="0" w:type="auto"/>
            <w:gridSpan w:val="3"/>
          </w:tcPr>
          <w:p w14:paraId="15512A5E" w14:textId="77777777" w:rsidR="008C5CFA" w:rsidRPr="00601E29" w:rsidRDefault="00E82A60" w:rsidP="00300A01">
            <w:pPr>
              <w:spacing w:before="0" w:after="0"/>
              <w:jc w:val="center"/>
              <w:rPr>
                <w:b/>
                <w:sz w:val="10"/>
                <w:szCs w:val="10"/>
                <w:lang w:val="fr-BE"/>
              </w:rPr>
            </w:pPr>
            <w:r w:rsidRPr="00601E29">
              <w:rPr>
                <w:b/>
                <w:noProof/>
                <w:sz w:val="10"/>
                <w:szCs w:val="10"/>
                <w:lang w:val="fr-BE"/>
              </w:rPr>
              <w:t>Łącznie w roku</w:t>
            </w:r>
          </w:p>
        </w:tc>
        <w:tc>
          <w:tcPr>
            <w:tcW w:w="0" w:type="auto"/>
          </w:tcPr>
          <w:p w14:paraId="65D31CB5" w14:textId="77777777" w:rsidR="008C5CFA" w:rsidRPr="00601E29" w:rsidRDefault="00E82A60" w:rsidP="00300A01">
            <w:pPr>
              <w:spacing w:before="0" w:after="0"/>
              <w:jc w:val="center"/>
              <w:rPr>
                <w:b/>
                <w:sz w:val="10"/>
                <w:szCs w:val="10"/>
                <w:lang w:val="fr-BE"/>
              </w:rPr>
            </w:pPr>
            <w:r w:rsidRPr="00601E29">
              <w:rPr>
                <w:b/>
                <w:noProof/>
                <w:sz w:val="10"/>
                <w:szCs w:val="10"/>
                <w:lang w:val="fr-BE"/>
              </w:rPr>
              <w:t>Jakościowe</w:t>
            </w:r>
          </w:p>
        </w:tc>
        <w:tc>
          <w:tcPr>
            <w:tcW w:w="0" w:type="auto"/>
            <w:gridSpan w:val="3"/>
          </w:tcPr>
          <w:p w14:paraId="6F012D4F" w14:textId="77777777" w:rsidR="008C5CFA" w:rsidRPr="00601E29" w:rsidRDefault="00E82A60" w:rsidP="00300A01">
            <w:pPr>
              <w:spacing w:before="0" w:after="0"/>
              <w:jc w:val="center"/>
              <w:rPr>
                <w:b/>
                <w:sz w:val="10"/>
                <w:szCs w:val="10"/>
                <w:lang w:val="fr-BE"/>
              </w:rPr>
            </w:pPr>
            <w:r w:rsidRPr="00601E29">
              <w:rPr>
                <w:b/>
                <w:noProof/>
                <w:sz w:val="10"/>
                <w:szCs w:val="10"/>
                <w:lang w:val="fr-BE"/>
              </w:rPr>
              <w:t>Łącznie</w:t>
            </w:r>
          </w:p>
        </w:tc>
        <w:tc>
          <w:tcPr>
            <w:tcW w:w="0" w:type="auto"/>
            <w:gridSpan w:val="3"/>
          </w:tcPr>
          <w:p w14:paraId="1B341C93" w14:textId="77777777" w:rsidR="008C5CFA" w:rsidRPr="00601E29" w:rsidRDefault="00E82A60" w:rsidP="00300A01">
            <w:pPr>
              <w:spacing w:before="0" w:after="0"/>
              <w:jc w:val="center"/>
              <w:rPr>
                <w:b/>
                <w:sz w:val="10"/>
                <w:szCs w:val="10"/>
                <w:lang w:val="fr-BE"/>
              </w:rPr>
            </w:pPr>
            <w:r w:rsidRPr="00601E29">
              <w:rPr>
                <w:b/>
                <w:noProof/>
                <w:sz w:val="10"/>
                <w:szCs w:val="10"/>
                <w:lang w:val="fr-BE"/>
              </w:rPr>
              <w:t>Łącznie w roku</w:t>
            </w:r>
          </w:p>
        </w:tc>
        <w:tc>
          <w:tcPr>
            <w:tcW w:w="0" w:type="auto"/>
          </w:tcPr>
          <w:p w14:paraId="3938E408" w14:textId="77777777" w:rsidR="008C5CFA" w:rsidRPr="00601E29" w:rsidRDefault="00E82A60" w:rsidP="00300A01">
            <w:pPr>
              <w:spacing w:before="0" w:after="0"/>
              <w:jc w:val="center"/>
              <w:rPr>
                <w:b/>
                <w:sz w:val="10"/>
                <w:szCs w:val="10"/>
                <w:lang w:val="fr-BE"/>
              </w:rPr>
            </w:pPr>
            <w:r w:rsidRPr="00601E29">
              <w:rPr>
                <w:b/>
                <w:noProof/>
                <w:sz w:val="10"/>
                <w:szCs w:val="10"/>
                <w:lang w:val="fr-BE"/>
              </w:rPr>
              <w:t>Jakościowe</w:t>
            </w:r>
          </w:p>
        </w:tc>
      </w:tr>
      <w:tr w:rsidR="006B2EC1" w14:paraId="588EAEC0" w14:textId="77777777" w:rsidTr="0047688D">
        <w:trPr>
          <w:tblHeader/>
        </w:trPr>
        <w:tc>
          <w:tcPr>
            <w:tcW w:w="0" w:type="auto"/>
            <w:shd w:val="clear" w:color="auto" w:fill="auto"/>
          </w:tcPr>
          <w:p w14:paraId="0E6138B1" w14:textId="77777777" w:rsidR="008C5CFA" w:rsidRPr="00601E29" w:rsidRDefault="008C5CFA" w:rsidP="00300A01">
            <w:pPr>
              <w:spacing w:before="0" w:after="0"/>
              <w:rPr>
                <w:b/>
                <w:sz w:val="10"/>
                <w:szCs w:val="10"/>
                <w:lang w:val="fr-BE"/>
              </w:rPr>
            </w:pPr>
          </w:p>
        </w:tc>
        <w:tc>
          <w:tcPr>
            <w:tcW w:w="0" w:type="auto"/>
            <w:shd w:val="clear" w:color="auto" w:fill="auto"/>
          </w:tcPr>
          <w:p w14:paraId="42C89E4A" w14:textId="77777777" w:rsidR="008C5CFA" w:rsidRPr="00601E29" w:rsidRDefault="008C5CFA" w:rsidP="00300A01">
            <w:pPr>
              <w:spacing w:before="0" w:after="0"/>
              <w:rPr>
                <w:b/>
                <w:sz w:val="10"/>
                <w:szCs w:val="10"/>
                <w:lang w:val="fr-BE"/>
              </w:rPr>
            </w:pPr>
          </w:p>
        </w:tc>
        <w:tc>
          <w:tcPr>
            <w:tcW w:w="0" w:type="auto"/>
            <w:shd w:val="clear" w:color="auto" w:fill="auto"/>
          </w:tcPr>
          <w:p w14:paraId="256D5B5F" w14:textId="77777777" w:rsidR="008C5CFA" w:rsidRPr="00601E29" w:rsidRDefault="008C5CFA" w:rsidP="00300A01">
            <w:pPr>
              <w:spacing w:before="0" w:after="0"/>
              <w:rPr>
                <w:b/>
                <w:sz w:val="10"/>
                <w:szCs w:val="10"/>
                <w:lang w:val="fr-BE"/>
              </w:rPr>
            </w:pPr>
          </w:p>
        </w:tc>
        <w:tc>
          <w:tcPr>
            <w:tcW w:w="0" w:type="auto"/>
          </w:tcPr>
          <w:p w14:paraId="6F5700DC" w14:textId="77777777" w:rsidR="008C5CFA" w:rsidRPr="00601E29" w:rsidRDefault="00E82A60" w:rsidP="00300A01">
            <w:pPr>
              <w:spacing w:before="0" w:after="0"/>
              <w:jc w:val="center"/>
              <w:rPr>
                <w:b/>
                <w:sz w:val="10"/>
                <w:szCs w:val="10"/>
                <w:lang w:val="fr-BE"/>
              </w:rPr>
            </w:pPr>
            <w:r w:rsidRPr="00601E29">
              <w:rPr>
                <w:b/>
                <w:noProof/>
                <w:sz w:val="10"/>
                <w:szCs w:val="10"/>
                <w:lang w:val="fr-BE"/>
              </w:rPr>
              <w:t>Ogółem</w:t>
            </w:r>
          </w:p>
        </w:tc>
        <w:tc>
          <w:tcPr>
            <w:tcW w:w="0" w:type="auto"/>
          </w:tcPr>
          <w:p w14:paraId="77C8DE59" w14:textId="77777777" w:rsidR="008C5CFA" w:rsidRPr="00601E29" w:rsidRDefault="00E82A60" w:rsidP="00300A01">
            <w:pPr>
              <w:spacing w:before="0" w:after="0"/>
              <w:jc w:val="center"/>
              <w:rPr>
                <w:b/>
                <w:sz w:val="10"/>
                <w:szCs w:val="10"/>
                <w:lang w:val="fr-BE"/>
              </w:rPr>
            </w:pPr>
            <w:r w:rsidRPr="00601E29">
              <w:rPr>
                <w:b/>
                <w:noProof/>
                <w:sz w:val="10"/>
                <w:szCs w:val="10"/>
                <w:lang w:val="fr-BE"/>
              </w:rPr>
              <w:t>Mężczyźni</w:t>
            </w:r>
          </w:p>
        </w:tc>
        <w:tc>
          <w:tcPr>
            <w:tcW w:w="0" w:type="auto"/>
          </w:tcPr>
          <w:p w14:paraId="7006E1DB" w14:textId="77777777" w:rsidR="008C5CFA" w:rsidRPr="00601E29" w:rsidRDefault="00E82A60" w:rsidP="00300A01">
            <w:pPr>
              <w:spacing w:before="0" w:after="0"/>
              <w:jc w:val="center"/>
              <w:rPr>
                <w:b/>
                <w:sz w:val="10"/>
                <w:szCs w:val="10"/>
                <w:lang w:val="fr-BE"/>
              </w:rPr>
            </w:pPr>
            <w:r w:rsidRPr="00601E29">
              <w:rPr>
                <w:b/>
                <w:noProof/>
                <w:sz w:val="10"/>
                <w:szCs w:val="10"/>
                <w:lang w:val="fr-BE"/>
              </w:rPr>
              <w:t>Kobiety</w:t>
            </w:r>
          </w:p>
        </w:tc>
        <w:tc>
          <w:tcPr>
            <w:tcW w:w="0" w:type="auto"/>
          </w:tcPr>
          <w:p w14:paraId="5313938E" w14:textId="77777777" w:rsidR="008C5CFA" w:rsidRPr="00601E29" w:rsidRDefault="00E82A60" w:rsidP="00300A01">
            <w:pPr>
              <w:spacing w:before="0" w:after="0"/>
              <w:jc w:val="center"/>
              <w:rPr>
                <w:b/>
                <w:sz w:val="10"/>
                <w:szCs w:val="10"/>
                <w:lang w:val="fr-BE"/>
              </w:rPr>
            </w:pPr>
            <w:r w:rsidRPr="00601E29">
              <w:rPr>
                <w:b/>
                <w:noProof/>
                <w:sz w:val="10"/>
                <w:szCs w:val="10"/>
                <w:lang w:val="fr-BE"/>
              </w:rPr>
              <w:t>Ogółem</w:t>
            </w:r>
          </w:p>
        </w:tc>
        <w:tc>
          <w:tcPr>
            <w:tcW w:w="0" w:type="auto"/>
          </w:tcPr>
          <w:p w14:paraId="31109850" w14:textId="77777777" w:rsidR="008C5CFA" w:rsidRPr="00601E29" w:rsidRDefault="00E82A60" w:rsidP="00300A01">
            <w:pPr>
              <w:spacing w:before="0" w:after="0"/>
              <w:jc w:val="center"/>
              <w:rPr>
                <w:b/>
                <w:sz w:val="10"/>
                <w:szCs w:val="10"/>
                <w:lang w:val="fr-BE"/>
              </w:rPr>
            </w:pPr>
            <w:r w:rsidRPr="00601E29">
              <w:rPr>
                <w:b/>
                <w:noProof/>
                <w:sz w:val="10"/>
                <w:szCs w:val="10"/>
                <w:lang w:val="fr-BE"/>
              </w:rPr>
              <w:t>Mężczyźni</w:t>
            </w:r>
          </w:p>
        </w:tc>
        <w:tc>
          <w:tcPr>
            <w:tcW w:w="0" w:type="auto"/>
          </w:tcPr>
          <w:p w14:paraId="64AFF3DA" w14:textId="77777777" w:rsidR="008C5CFA" w:rsidRPr="00601E29" w:rsidRDefault="00E82A60" w:rsidP="00300A01">
            <w:pPr>
              <w:spacing w:before="0" w:after="0"/>
              <w:jc w:val="center"/>
              <w:rPr>
                <w:b/>
                <w:sz w:val="10"/>
                <w:szCs w:val="10"/>
                <w:lang w:val="fr-BE"/>
              </w:rPr>
            </w:pPr>
            <w:r w:rsidRPr="00601E29">
              <w:rPr>
                <w:b/>
                <w:noProof/>
                <w:sz w:val="10"/>
                <w:szCs w:val="10"/>
                <w:lang w:val="fr-BE"/>
              </w:rPr>
              <w:t>Kobiety</w:t>
            </w:r>
          </w:p>
        </w:tc>
        <w:tc>
          <w:tcPr>
            <w:tcW w:w="0" w:type="auto"/>
          </w:tcPr>
          <w:p w14:paraId="4D2AD447" w14:textId="77777777" w:rsidR="008C5CFA" w:rsidRPr="00601E29" w:rsidRDefault="008C5CFA" w:rsidP="00300A01">
            <w:pPr>
              <w:spacing w:before="0" w:after="0"/>
              <w:jc w:val="center"/>
              <w:rPr>
                <w:b/>
                <w:sz w:val="10"/>
                <w:szCs w:val="10"/>
                <w:lang w:val="fr-BE"/>
              </w:rPr>
            </w:pPr>
          </w:p>
        </w:tc>
        <w:tc>
          <w:tcPr>
            <w:tcW w:w="0" w:type="auto"/>
          </w:tcPr>
          <w:p w14:paraId="7F1E78B6" w14:textId="77777777" w:rsidR="008C5CFA" w:rsidRPr="00601E29" w:rsidRDefault="00E82A60" w:rsidP="00300A01">
            <w:pPr>
              <w:spacing w:before="0" w:after="0"/>
              <w:jc w:val="center"/>
              <w:rPr>
                <w:b/>
                <w:sz w:val="10"/>
                <w:szCs w:val="10"/>
                <w:lang w:val="fr-BE"/>
              </w:rPr>
            </w:pPr>
            <w:r w:rsidRPr="00601E29">
              <w:rPr>
                <w:b/>
                <w:noProof/>
                <w:sz w:val="10"/>
                <w:szCs w:val="10"/>
                <w:lang w:val="fr-BE"/>
              </w:rPr>
              <w:t>Ogółem</w:t>
            </w:r>
          </w:p>
        </w:tc>
        <w:tc>
          <w:tcPr>
            <w:tcW w:w="0" w:type="auto"/>
          </w:tcPr>
          <w:p w14:paraId="4F09E4EA" w14:textId="77777777" w:rsidR="008C5CFA" w:rsidRPr="00601E29" w:rsidRDefault="00E82A60" w:rsidP="00300A01">
            <w:pPr>
              <w:spacing w:before="0" w:after="0"/>
              <w:jc w:val="center"/>
              <w:rPr>
                <w:b/>
                <w:sz w:val="10"/>
                <w:szCs w:val="10"/>
                <w:lang w:val="fr-BE"/>
              </w:rPr>
            </w:pPr>
            <w:r w:rsidRPr="00601E29">
              <w:rPr>
                <w:b/>
                <w:noProof/>
                <w:sz w:val="10"/>
                <w:szCs w:val="10"/>
                <w:lang w:val="fr-BE"/>
              </w:rPr>
              <w:t>Mężczyźni</w:t>
            </w:r>
          </w:p>
        </w:tc>
        <w:tc>
          <w:tcPr>
            <w:tcW w:w="0" w:type="auto"/>
          </w:tcPr>
          <w:p w14:paraId="499FB628" w14:textId="77777777" w:rsidR="008C5CFA" w:rsidRPr="00601E29" w:rsidRDefault="00E82A60" w:rsidP="00300A01">
            <w:pPr>
              <w:spacing w:before="0" w:after="0"/>
              <w:jc w:val="center"/>
              <w:rPr>
                <w:b/>
                <w:sz w:val="10"/>
                <w:szCs w:val="10"/>
                <w:lang w:val="fr-BE"/>
              </w:rPr>
            </w:pPr>
            <w:r w:rsidRPr="00601E29">
              <w:rPr>
                <w:b/>
                <w:noProof/>
                <w:sz w:val="10"/>
                <w:szCs w:val="10"/>
                <w:lang w:val="fr-BE"/>
              </w:rPr>
              <w:t>Kobiety</w:t>
            </w:r>
          </w:p>
        </w:tc>
        <w:tc>
          <w:tcPr>
            <w:tcW w:w="0" w:type="auto"/>
          </w:tcPr>
          <w:p w14:paraId="0F1BEB82" w14:textId="77777777" w:rsidR="008C5CFA" w:rsidRPr="00601E29" w:rsidRDefault="00E82A60" w:rsidP="00300A01">
            <w:pPr>
              <w:spacing w:before="0" w:after="0"/>
              <w:jc w:val="center"/>
              <w:rPr>
                <w:b/>
                <w:sz w:val="10"/>
                <w:szCs w:val="10"/>
                <w:lang w:val="fr-BE"/>
              </w:rPr>
            </w:pPr>
            <w:r w:rsidRPr="00601E29">
              <w:rPr>
                <w:b/>
                <w:noProof/>
                <w:sz w:val="10"/>
                <w:szCs w:val="10"/>
                <w:lang w:val="fr-BE"/>
              </w:rPr>
              <w:t>Ogółem</w:t>
            </w:r>
          </w:p>
        </w:tc>
        <w:tc>
          <w:tcPr>
            <w:tcW w:w="0" w:type="auto"/>
          </w:tcPr>
          <w:p w14:paraId="3D269EF0" w14:textId="77777777" w:rsidR="008C5CFA" w:rsidRPr="00601E29" w:rsidRDefault="00E82A60" w:rsidP="00300A01">
            <w:pPr>
              <w:spacing w:before="0" w:after="0"/>
              <w:jc w:val="center"/>
              <w:rPr>
                <w:b/>
                <w:sz w:val="10"/>
                <w:szCs w:val="10"/>
                <w:lang w:val="fr-BE"/>
              </w:rPr>
            </w:pPr>
            <w:r w:rsidRPr="00601E29">
              <w:rPr>
                <w:b/>
                <w:noProof/>
                <w:sz w:val="10"/>
                <w:szCs w:val="10"/>
                <w:lang w:val="fr-BE"/>
              </w:rPr>
              <w:t>Mężczyźni</w:t>
            </w:r>
          </w:p>
        </w:tc>
        <w:tc>
          <w:tcPr>
            <w:tcW w:w="0" w:type="auto"/>
          </w:tcPr>
          <w:p w14:paraId="0DAC2652" w14:textId="77777777" w:rsidR="008C5CFA" w:rsidRPr="00601E29" w:rsidRDefault="00E82A60" w:rsidP="00300A01">
            <w:pPr>
              <w:spacing w:before="0" w:after="0"/>
              <w:jc w:val="center"/>
              <w:rPr>
                <w:b/>
                <w:sz w:val="10"/>
                <w:szCs w:val="10"/>
                <w:lang w:val="fr-BE"/>
              </w:rPr>
            </w:pPr>
            <w:r w:rsidRPr="00601E29">
              <w:rPr>
                <w:b/>
                <w:noProof/>
                <w:sz w:val="10"/>
                <w:szCs w:val="10"/>
                <w:lang w:val="fr-BE"/>
              </w:rPr>
              <w:t>Kobiety</w:t>
            </w:r>
          </w:p>
        </w:tc>
        <w:tc>
          <w:tcPr>
            <w:tcW w:w="0" w:type="auto"/>
          </w:tcPr>
          <w:p w14:paraId="2046D60F" w14:textId="77777777" w:rsidR="008C5CFA" w:rsidRPr="00601E29" w:rsidRDefault="008C5CFA" w:rsidP="00300A01">
            <w:pPr>
              <w:spacing w:before="0" w:after="0"/>
              <w:jc w:val="center"/>
              <w:rPr>
                <w:b/>
                <w:sz w:val="10"/>
                <w:szCs w:val="10"/>
                <w:lang w:val="fr-BE"/>
              </w:rPr>
            </w:pPr>
          </w:p>
        </w:tc>
      </w:tr>
      <w:tr w:rsidR="006B2EC1" w14:paraId="11668383" w14:textId="77777777" w:rsidTr="0047688D">
        <w:tc>
          <w:tcPr>
            <w:tcW w:w="0" w:type="auto"/>
            <w:shd w:val="clear" w:color="auto" w:fill="auto"/>
          </w:tcPr>
          <w:p w14:paraId="74D2E984" w14:textId="77777777" w:rsidR="008C5CFA" w:rsidRPr="00601E29" w:rsidRDefault="00E82A60" w:rsidP="00300A01">
            <w:pPr>
              <w:spacing w:before="0" w:after="0"/>
              <w:rPr>
                <w:sz w:val="10"/>
                <w:szCs w:val="10"/>
                <w:lang w:val="fr-BE"/>
              </w:rPr>
            </w:pPr>
            <w:r w:rsidRPr="00601E29">
              <w:rPr>
                <w:noProof/>
                <w:sz w:val="10"/>
                <w:szCs w:val="10"/>
                <w:lang w:val="fr-BE"/>
              </w:rPr>
              <w:t>027</w:t>
            </w:r>
          </w:p>
        </w:tc>
        <w:tc>
          <w:tcPr>
            <w:tcW w:w="0" w:type="auto"/>
            <w:shd w:val="clear" w:color="auto" w:fill="auto"/>
          </w:tcPr>
          <w:p w14:paraId="5A557120" w14:textId="77777777" w:rsidR="008C5CFA" w:rsidRPr="00601E29" w:rsidRDefault="00E82A60" w:rsidP="00300A01">
            <w:pPr>
              <w:spacing w:before="0" w:after="0"/>
              <w:rPr>
                <w:sz w:val="10"/>
                <w:szCs w:val="10"/>
                <w:lang w:val="fr-BE"/>
              </w:rPr>
            </w:pPr>
            <w:r w:rsidRPr="00601E29">
              <w:rPr>
                <w:noProof/>
                <w:sz w:val="10"/>
                <w:szCs w:val="10"/>
                <w:lang w:val="fr-BE"/>
              </w:rPr>
              <w:t>Odsetek wdrożonych rekomendacji operacyjnych.</w:t>
            </w:r>
          </w:p>
        </w:tc>
        <w:tc>
          <w:tcPr>
            <w:tcW w:w="0" w:type="auto"/>
            <w:shd w:val="clear" w:color="auto" w:fill="auto"/>
          </w:tcPr>
          <w:p w14:paraId="1AE1C25A" w14:textId="77777777" w:rsidR="008C5CFA" w:rsidRPr="00601E29" w:rsidRDefault="008C5CFA" w:rsidP="00300A01">
            <w:pPr>
              <w:spacing w:before="0" w:after="0"/>
              <w:rPr>
                <w:sz w:val="10"/>
                <w:szCs w:val="10"/>
                <w:lang w:val="fr-BE"/>
              </w:rPr>
            </w:pPr>
          </w:p>
        </w:tc>
        <w:tc>
          <w:tcPr>
            <w:tcW w:w="0" w:type="auto"/>
          </w:tcPr>
          <w:p w14:paraId="61E9B57C" w14:textId="77777777" w:rsidR="008C5CFA" w:rsidRPr="00601E29" w:rsidRDefault="00E82A60" w:rsidP="00300A01">
            <w:pPr>
              <w:spacing w:before="0" w:after="0"/>
              <w:jc w:val="right"/>
              <w:rPr>
                <w:sz w:val="10"/>
                <w:szCs w:val="10"/>
                <w:lang w:val="fr-BE"/>
              </w:rPr>
            </w:pPr>
            <w:r w:rsidRPr="00601E29">
              <w:rPr>
                <w:noProof/>
                <w:sz w:val="10"/>
                <w:szCs w:val="10"/>
                <w:lang w:val="fr-BE"/>
              </w:rPr>
              <w:t>0,00</w:t>
            </w:r>
            <w:r>
              <w:rPr>
                <w:noProof/>
                <w:sz w:val="10"/>
                <w:szCs w:val="10"/>
                <w:lang w:val="fr-BE"/>
              </w:rPr>
              <w:t>%</w:t>
            </w:r>
          </w:p>
        </w:tc>
        <w:tc>
          <w:tcPr>
            <w:tcW w:w="0" w:type="auto"/>
          </w:tcPr>
          <w:p w14:paraId="5DE43820" w14:textId="77777777" w:rsidR="008C5CFA" w:rsidRPr="00601E29" w:rsidRDefault="00E82A60" w:rsidP="00300A01">
            <w:pPr>
              <w:spacing w:before="0" w:after="0"/>
              <w:jc w:val="right"/>
              <w:rPr>
                <w:sz w:val="10"/>
                <w:szCs w:val="10"/>
                <w:lang w:val="fr-BE"/>
              </w:rPr>
            </w:pPr>
            <w:r>
              <w:rPr>
                <w:noProof/>
                <w:sz w:val="10"/>
                <w:szCs w:val="10"/>
                <w:lang w:val="fr-BE"/>
              </w:rPr>
              <w:t>%</w:t>
            </w:r>
          </w:p>
        </w:tc>
        <w:tc>
          <w:tcPr>
            <w:tcW w:w="0" w:type="auto"/>
          </w:tcPr>
          <w:p w14:paraId="174A1AEA" w14:textId="77777777" w:rsidR="008C5CFA" w:rsidRPr="00601E29" w:rsidRDefault="00E82A60" w:rsidP="00300A01">
            <w:pPr>
              <w:spacing w:before="0" w:after="0"/>
              <w:jc w:val="right"/>
              <w:rPr>
                <w:sz w:val="10"/>
                <w:szCs w:val="10"/>
                <w:lang w:val="fr-BE"/>
              </w:rPr>
            </w:pPr>
            <w:r>
              <w:rPr>
                <w:noProof/>
                <w:sz w:val="10"/>
                <w:szCs w:val="10"/>
                <w:lang w:val="fr-BE"/>
              </w:rPr>
              <w:t>%</w:t>
            </w:r>
          </w:p>
        </w:tc>
        <w:tc>
          <w:tcPr>
            <w:tcW w:w="0" w:type="auto"/>
          </w:tcPr>
          <w:p w14:paraId="10F73D15" w14:textId="77777777" w:rsidR="008C5CFA" w:rsidRPr="00601E29" w:rsidRDefault="00E82A60" w:rsidP="00300A01">
            <w:pPr>
              <w:spacing w:before="0" w:after="0"/>
              <w:jc w:val="right"/>
              <w:rPr>
                <w:sz w:val="10"/>
                <w:szCs w:val="10"/>
                <w:lang w:val="fr-BE"/>
              </w:rPr>
            </w:pPr>
            <w:r w:rsidRPr="00601E29">
              <w:rPr>
                <w:noProof/>
                <w:sz w:val="10"/>
                <w:szCs w:val="10"/>
                <w:lang w:val="fr-BE"/>
              </w:rPr>
              <w:t>92,50</w:t>
            </w:r>
            <w:r>
              <w:rPr>
                <w:noProof/>
                <w:sz w:val="10"/>
                <w:szCs w:val="10"/>
                <w:lang w:val="fr-BE"/>
              </w:rPr>
              <w:t>%</w:t>
            </w:r>
          </w:p>
        </w:tc>
        <w:tc>
          <w:tcPr>
            <w:tcW w:w="0" w:type="auto"/>
          </w:tcPr>
          <w:p w14:paraId="77EEF956" w14:textId="77777777" w:rsidR="008C5CFA" w:rsidRPr="00601E29" w:rsidRDefault="00E82A60" w:rsidP="00300A01">
            <w:pPr>
              <w:spacing w:before="0" w:after="0"/>
              <w:jc w:val="right"/>
              <w:rPr>
                <w:sz w:val="10"/>
                <w:szCs w:val="10"/>
                <w:lang w:val="fr-BE"/>
              </w:rPr>
            </w:pPr>
            <w:r w:rsidRPr="00601E29">
              <w:rPr>
                <w:noProof/>
                <w:sz w:val="10"/>
                <w:szCs w:val="10"/>
                <w:lang w:val="fr-BE"/>
              </w:rPr>
              <w:t>0,00</w:t>
            </w:r>
            <w:r>
              <w:rPr>
                <w:noProof/>
                <w:sz w:val="10"/>
                <w:szCs w:val="10"/>
                <w:lang w:val="fr-BE"/>
              </w:rPr>
              <w:t>%</w:t>
            </w:r>
          </w:p>
        </w:tc>
        <w:tc>
          <w:tcPr>
            <w:tcW w:w="0" w:type="auto"/>
          </w:tcPr>
          <w:p w14:paraId="25E0469D" w14:textId="77777777" w:rsidR="008C5CFA" w:rsidRPr="00601E29" w:rsidRDefault="00E82A60" w:rsidP="00300A01">
            <w:pPr>
              <w:spacing w:before="0" w:after="0"/>
              <w:jc w:val="right"/>
              <w:rPr>
                <w:sz w:val="10"/>
                <w:szCs w:val="10"/>
                <w:lang w:val="fr-BE"/>
              </w:rPr>
            </w:pPr>
            <w:r w:rsidRPr="00601E29">
              <w:rPr>
                <w:noProof/>
                <w:sz w:val="10"/>
                <w:szCs w:val="10"/>
                <w:lang w:val="fr-BE"/>
              </w:rPr>
              <w:t>0,00</w:t>
            </w:r>
            <w:r>
              <w:rPr>
                <w:noProof/>
                <w:sz w:val="10"/>
                <w:szCs w:val="10"/>
                <w:lang w:val="fr-BE"/>
              </w:rPr>
              <w:t>%</w:t>
            </w:r>
          </w:p>
        </w:tc>
        <w:tc>
          <w:tcPr>
            <w:tcW w:w="0" w:type="auto"/>
          </w:tcPr>
          <w:p w14:paraId="2801BDF1" w14:textId="77777777" w:rsidR="008C5CFA" w:rsidRPr="00601E29" w:rsidRDefault="008C5CFA" w:rsidP="00300A01">
            <w:pPr>
              <w:spacing w:before="0" w:after="0"/>
              <w:jc w:val="right"/>
              <w:rPr>
                <w:sz w:val="10"/>
                <w:szCs w:val="10"/>
                <w:lang w:val="fr-BE"/>
              </w:rPr>
            </w:pPr>
          </w:p>
        </w:tc>
        <w:tc>
          <w:tcPr>
            <w:tcW w:w="0" w:type="auto"/>
          </w:tcPr>
          <w:p w14:paraId="65E09646" w14:textId="77777777" w:rsidR="008C5CFA" w:rsidRPr="00601E29" w:rsidRDefault="00E82A60" w:rsidP="00300A01">
            <w:pPr>
              <w:spacing w:before="0" w:after="0"/>
              <w:jc w:val="right"/>
              <w:rPr>
                <w:sz w:val="10"/>
                <w:szCs w:val="10"/>
                <w:lang w:val="fr-BE"/>
              </w:rPr>
            </w:pPr>
            <w:r w:rsidRPr="00601E29">
              <w:rPr>
                <w:noProof/>
                <w:sz w:val="10"/>
                <w:szCs w:val="10"/>
                <w:lang w:val="fr-BE"/>
              </w:rPr>
              <w:t>0,00</w:t>
            </w:r>
            <w:r>
              <w:rPr>
                <w:noProof/>
                <w:sz w:val="10"/>
                <w:szCs w:val="10"/>
                <w:lang w:val="fr-BE"/>
              </w:rPr>
              <w:t>%</w:t>
            </w:r>
          </w:p>
        </w:tc>
        <w:tc>
          <w:tcPr>
            <w:tcW w:w="0" w:type="auto"/>
          </w:tcPr>
          <w:p w14:paraId="73F1DF75" w14:textId="77777777" w:rsidR="008C5CFA" w:rsidRPr="00601E29" w:rsidRDefault="00E82A60" w:rsidP="00300A01">
            <w:pPr>
              <w:spacing w:before="0" w:after="0"/>
              <w:jc w:val="right"/>
              <w:rPr>
                <w:sz w:val="10"/>
                <w:szCs w:val="10"/>
                <w:lang w:val="fr-BE"/>
              </w:rPr>
            </w:pPr>
            <w:r>
              <w:rPr>
                <w:noProof/>
                <w:sz w:val="10"/>
                <w:szCs w:val="10"/>
                <w:lang w:val="fr-BE"/>
              </w:rPr>
              <w:t>%</w:t>
            </w:r>
          </w:p>
        </w:tc>
        <w:tc>
          <w:tcPr>
            <w:tcW w:w="0" w:type="auto"/>
          </w:tcPr>
          <w:p w14:paraId="21167827" w14:textId="77777777" w:rsidR="008C5CFA" w:rsidRPr="00601E29" w:rsidRDefault="00E82A60" w:rsidP="00300A01">
            <w:pPr>
              <w:spacing w:before="0" w:after="0"/>
              <w:jc w:val="right"/>
              <w:rPr>
                <w:sz w:val="10"/>
                <w:szCs w:val="10"/>
                <w:lang w:val="fr-BE"/>
              </w:rPr>
            </w:pPr>
            <w:r>
              <w:rPr>
                <w:noProof/>
                <w:sz w:val="10"/>
                <w:szCs w:val="10"/>
                <w:lang w:val="fr-BE"/>
              </w:rPr>
              <w:t>%</w:t>
            </w:r>
          </w:p>
        </w:tc>
        <w:tc>
          <w:tcPr>
            <w:tcW w:w="0" w:type="auto"/>
          </w:tcPr>
          <w:p w14:paraId="760C3254" w14:textId="77777777" w:rsidR="008C5CFA" w:rsidRPr="00601E29" w:rsidRDefault="00E82A60" w:rsidP="00300A01">
            <w:pPr>
              <w:spacing w:before="0" w:after="0"/>
              <w:jc w:val="right"/>
              <w:rPr>
                <w:sz w:val="10"/>
                <w:szCs w:val="10"/>
                <w:lang w:val="fr-BE"/>
              </w:rPr>
            </w:pPr>
            <w:r w:rsidRPr="00601E29">
              <w:rPr>
                <w:noProof/>
                <w:sz w:val="10"/>
                <w:szCs w:val="10"/>
                <w:lang w:val="fr-BE"/>
              </w:rPr>
              <w:t>0,00</w:t>
            </w:r>
            <w:r>
              <w:rPr>
                <w:noProof/>
                <w:sz w:val="10"/>
                <w:szCs w:val="10"/>
                <w:lang w:val="fr-BE"/>
              </w:rPr>
              <w:t>%</w:t>
            </w:r>
          </w:p>
        </w:tc>
        <w:tc>
          <w:tcPr>
            <w:tcW w:w="0" w:type="auto"/>
          </w:tcPr>
          <w:p w14:paraId="4CF3A944" w14:textId="77777777" w:rsidR="008C5CFA" w:rsidRPr="00601E29" w:rsidRDefault="00E82A60" w:rsidP="00300A01">
            <w:pPr>
              <w:spacing w:before="0" w:after="0"/>
              <w:jc w:val="right"/>
              <w:rPr>
                <w:sz w:val="10"/>
                <w:szCs w:val="10"/>
                <w:lang w:val="fr-BE"/>
              </w:rPr>
            </w:pPr>
            <w:r w:rsidRPr="00601E29">
              <w:rPr>
                <w:noProof/>
                <w:sz w:val="10"/>
                <w:szCs w:val="10"/>
                <w:lang w:val="fr-BE"/>
              </w:rPr>
              <w:t>0,00</w:t>
            </w:r>
            <w:r>
              <w:rPr>
                <w:noProof/>
                <w:sz w:val="10"/>
                <w:szCs w:val="10"/>
                <w:lang w:val="fr-BE"/>
              </w:rPr>
              <w:t>%</w:t>
            </w:r>
          </w:p>
        </w:tc>
        <w:tc>
          <w:tcPr>
            <w:tcW w:w="0" w:type="auto"/>
          </w:tcPr>
          <w:p w14:paraId="3AB16D25" w14:textId="77777777" w:rsidR="008C5CFA" w:rsidRPr="00601E29" w:rsidRDefault="00E82A60" w:rsidP="00300A01">
            <w:pPr>
              <w:spacing w:before="0" w:after="0"/>
              <w:jc w:val="right"/>
              <w:rPr>
                <w:sz w:val="10"/>
                <w:szCs w:val="10"/>
                <w:lang w:val="fr-BE"/>
              </w:rPr>
            </w:pPr>
            <w:r w:rsidRPr="00601E29">
              <w:rPr>
                <w:noProof/>
                <w:sz w:val="10"/>
                <w:szCs w:val="10"/>
                <w:lang w:val="fr-BE"/>
              </w:rPr>
              <w:t>0,00</w:t>
            </w:r>
            <w:r>
              <w:rPr>
                <w:noProof/>
                <w:sz w:val="10"/>
                <w:szCs w:val="10"/>
                <w:lang w:val="fr-BE"/>
              </w:rPr>
              <w:t>%</w:t>
            </w:r>
          </w:p>
        </w:tc>
        <w:tc>
          <w:tcPr>
            <w:tcW w:w="0" w:type="auto"/>
          </w:tcPr>
          <w:p w14:paraId="43B4FD4E" w14:textId="77777777" w:rsidR="008C5CFA" w:rsidRPr="00601E29" w:rsidRDefault="008C5CFA" w:rsidP="00300A01">
            <w:pPr>
              <w:spacing w:before="0" w:after="0"/>
              <w:jc w:val="right"/>
              <w:rPr>
                <w:sz w:val="10"/>
                <w:szCs w:val="10"/>
                <w:lang w:val="fr-BE"/>
              </w:rPr>
            </w:pPr>
          </w:p>
        </w:tc>
      </w:tr>
      <w:tr w:rsidR="006B2EC1" w14:paraId="6236ABB1" w14:textId="77777777" w:rsidTr="0047688D">
        <w:tc>
          <w:tcPr>
            <w:tcW w:w="0" w:type="auto"/>
            <w:shd w:val="clear" w:color="auto" w:fill="auto"/>
          </w:tcPr>
          <w:p w14:paraId="24CFFAD4" w14:textId="77777777" w:rsidR="008C5CFA" w:rsidRPr="00601E29" w:rsidRDefault="00E82A60" w:rsidP="00300A01">
            <w:pPr>
              <w:spacing w:before="0" w:after="0"/>
              <w:rPr>
                <w:sz w:val="10"/>
                <w:szCs w:val="10"/>
                <w:lang w:val="fr-BE"/>
              </w:rPr>
            </w:pPr>
            <w:r w:rsidRPr="00601E29">
              <w:rPr>
                <w:noProof/>
                <w:sz w:val="10"/>
                <w:szCs w:val="10"/>
                <w:lang w:val="fr-BE"/>
              </w:rPr>
              <w:t>028</w:t>
            </w:r>
          </w:p>
        </w:tc>
        <w:tc>
          <w:tcPr>
            <w:tcW w:w="0" w:type="auto"/>
            <w:shd w:val="clear" w:color="auto" w:fill="auto"/>
          </w:tcPr>
          <w:p w14:paraId="59D6605F" w14:textId="77777777" w:rsidR="008C5CFA" w:rsidRPr="00601E29" w:rsidRDefault="00E82A60" w:rsidP="00300A01">
            <w:pPr>
              <w:spacing w:before="0" w:after="0"/>
              <w:rPr>
                <w:sz w:val="10"/>
                <w:szCs w:val="10"/>
                <w:lang w:val="fr-BE"/>
              </w:rPr>
            </w:pPr>
            <w:r w:rsidRPr="00601E29">
              <w:rPr>
                <w:noProof/>
                <w:sz w:val="10"/>
                <w:szCs w:val="10"/>
                <w:lang w:val="fr-BE"/>
              </w:rPr>
              <w:t>Średnia ocena użyteczności systemu informatycznego</w:t>
            </w:r>
          </w:p>
        </w:tc>
        <w:tc>
          <w:tcPr>
            <w:tcW w:w="0" w:type="auto"/>
            <w:shd w:val="clear" w:color="auto" w:fill="auto"/>
          </w:tcPr>
          <w:p w14:paraId="103BEFAF" w14:textId="77777777" w:rsidR="008C5CFA" w:rsidRPr="00601E29" w:rsidRDefault="008C5CFA" w:rsidP="00300A01">
            <w:pPr>
              <w:spacing w:before="0" w:after="0"/>
              <w:rPr>
                <w:sz w:val="10"/>
                <w:szCs w:val="10"/>
                <w:lang w:val="fr-BE"/>
              </w:rPr>
            </w:pPr>
          </w:p>
        </w:tc>
        <w:tc>
          <w:tcPr>
            <w:tcW w:w="0" w:type="auto"/>
          </w:tcPr>
          <w:p w14:paraId="6666D7E0" w14:textId="77777777" w:rsidR="008C5CFA" w:rsidRPr="00601E29" w:rsidRDefault="00E82A60" w:rsidP="00300A01">
            <w:pPr>
              <w:spacing w:before="0" w:after="0"/>
              <w:jc w:val="right"/>
              <w:rPr>
                <w:sz w:val="10"/>
                <w:szCs w:val="10"/>
                <w:lang w:val="fr-BE"/>
              </w:rPr>
            </w:pPr>
            <w:r w:rsidRPr="00601E29">
              <w:rPr>
                <w:noProof/>
                <w:sz w:val="10"/>
                <w:szCs w:val="10"/>
                <w:lang w:val="fr-BE"/>
              </w:rPr>
              <w:t>3,80</w:t>
            </w:r>
          </w:p>
        </w:tc>
        <w:tc>
          <w:tcPr>
            <w:tcW w:w="0" w:type="auto"/>
          </w:tcPr>
          <w:p w14:paraId="12749B46"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1E757950"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1BBBC456"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0D67DBA8"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64626949"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2E6E0AA2" w14:textId="77777777" w:rsidR="008C5CFA" w:rsidRPr="00601E29" w:rsidRDefault="008C5CFA" w:rsidP="00300A01">
            <w:pPr>
              <w:spacing w:before="0" w:after="0"/>
              <w:jc w:val="right"/>
              <w:rPr>
                <w:sz w:val="10"/>
                <w:szCs w:val="10"/>
                <w:lang w:val="fr-BE"/>
              </w:rPr>
            </w:pPr>
          </w:p>
        </w:tc>
        <w:tc>
          <w:tcPr>
            <w:tcW w:w="0" w:type="auto"/>
          </w:tcPr>
          <w:p w14:paraId="4E9ABF05" w14:textId="77777777" w:rsidR="008C5CFA" w:rsidRPr="00601E29" w:rsidRDefault="00E82A60" w:rsidP="00300A01">
            <w:pPr>
              <w:spacing w:before="0" w:after="0"/>
              <w:jc w:val="right"/>
              <w:rPr>
                <w:sz w:val="10"/>
                <w:szCs w:val="10"/>
                <w:lang w:val="fr-BE"/>
              </w:rPr>
            </w:pPr>
            <w:r w:rsidRPr="00601E29">
              <w:rPr>
                <w:noProof/>
                <w:sz w:val="10"/>
                <w:szCs w:val="10"/>
                <w:lang w:val="fr-BE"/>
              </w:rPr>
              <w:t>3,80</w:t>
            </w:r>
          </w:p>
        </w:tc>
        <w:tc>
          <w:tcPr>
            <w:tcW w:w="0" w:type="auto"/>
          </w:tcPr>
          <w:p w14:paraId="219EF850"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6AA8D234"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6994F71F" w14:textId="77777777" w:rsidR="008C5CFA" w:rsidRPr="00601E29" w:rsidRDefault="00E82A60" w:rsidP="00300A01">
            <w:pPr>
              <w:spacing w:before="0" w:after="0"/>
              <w:jc w:val="right"/>
              <w:rPr>
                <w:sz w:val="10"/>
                <w:szCs w:val="10"/>
                <w:lang w:val="fr-BE"/>
              </w:rPr>
            </w:pPr>
            <w:r w:rsidRPr="00601E29">
              <w:rPr>
                <w:noProof/>
                <w:sz w:val="10"/>
                <w:szCs w:val="10"/>
                <w:lang w:val="fr-BE"/>
              </w:rPr>
              <w:t>3,80</w:t>
            </w:r>
          </w:p>
        </w:tc>
        <w:tc>
          <w:tcPr>
            <w:tcW w:w="0" w:type="auto"/>
          </w:tcPr>
          <w:p w14:paraId="12D93F20"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33576074"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3A1C13F7" w14:textId="77777777" w:rsidR="008C5CFA" w:rsidRPr="00601E29" w:rsidRDefault="008C5CFA" w:rsidP="00300A01">
            <w:pPr>
              <w:spacing w:before="0" w:after="0"/>
              <w:jc w:val="right"/>
              <w:rPr>
                <w:sz w:val="10"/>
                <w:szCs w:val="10"/>
                <w:lang w:val="fr-BE"/>
              </w:rPr>
            </w:pPr>
          </w:p>
        </w:tc>
      </w:tr>
    </w:tbl>
    <w:p w14:paraId="666591A5"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83"/>
        <w:gridCol w:w="3294"/>
        <w:gridCol w:w="1295"/>
        <w:gridCol w:w="648"/>
        <w:gridCol w:w="816"/>
        <w:gridCol w:w="656"/>
        <w:gridCol w:w="648"/>
        <w:gridCol w:w="816"/>
        <w:gridCol w:w="656"/>
        <w:gridCol w:w="866"/>
        <w:gridCol w:w="648"/>
        <w:gridCol w:w="816"/>
        <w:gridCol w:w="656"/>
        <w:gridCol w:w="648"/>
        <w:gridCol w:w="816"/>
        <w:gridCol w:w="656"/>
        <w:gridCol w:w="866"/>
      </w:tblGrid>
      <w:tr w:rsidR="006B2EC1" w14:paraId="21C318EA" w14:textId="77777777" w:rsidTr="0047688D">
        <w:trPr>
          <w:tblHeader/>
        </w:trPr>
        <w:tc>
          <w:tcPr>
            <w:tcW w:w="0" w:type="auto"/>
            <w:shd w:val="clear" w:color="auto" w:fill="auto"/>
          </w:tcPr>
          <w:p w14:paraId="619159CE" w14:textId="77777777" w:rsidR="008C5CFA" w:rsidRPr="00601E29" w:rsidRDefault="00E82A60" w:rsidP="00300A01">
            <w:pPr>
              <w:spacing w:before="0" w:after="0"/>
              <w:rPr>
                <w:b/>
                <w:sz w:val="10"/>
                <w:szCs w:val="10"/>
                <w:lang w:val="fr-BE"/>
              </w:rPr>
            </w:pPr>
            <w:r w:rsidRPr="00601E29">
              <w:rPr>
                <w:b/>
                <w:noProof/>
                <w:sz w:val="10"/>
                <w:szCs w:val="10"/>
                <w:lang w:val="fr-BE"/>
              </w:rPr>
              <w:t>ID</w:t>
            </w:r>
          </w:p>
        </w:tc>
        <w:tc>
          <w:tcPr>
            <w:tcW w:w="0" w:type="auto"/>
            <w:shd w:val="clear" w:color="auto" w:fill="auto"/>
          </w:tcPr>
          <w:p w14:paraId="202F1F23" w14:textId="77777777" w:rsidR="008C5CFA" w:rsidRPr="00601E29" w:rsidRDefault="00E82A60" w:rsidP="00300A01">
            <w:pPr>
              <w:spacing w:before="0" w:after="0"/>
              <w:rPr>
                <w:b/>
                <w:sz w:val="10"/>
                <w:szCs w:val="10"/>
                <w:lang w:val="fr-BE"/>
              </w:rPr>
            </w:pPr>
            <w:r w:rsidRPr="00601E29">
              <w:rPr>
                <w:b/>
                <w:noProof/>
                <w:sz w:val="10"/>
                <w:szCs w:val="10"/>
                <w:lang w:val="fr-BE"/>
              </w:rPr>
              <w:t>Wskaźnik</w:t>
            </w:r>
          </w:p>
        </w:tc>
        <w:tc>
          <w:tcPr>
            <w:tcW w:w="0" w:type="auto"/>
            <w:shd w:val="clear" w:color="auto" w:fill="auto"/>
          </w:tcPr>
          <w:p w14:paraId="4ACA3963" w14:textId="77777777" w:rsidR="008C5CFA" w:rsidRPr="00601E29" w:rsidRDefault="00E82A60" w:rsidP="00300A01">
            <w:pPr>
              <w:spacing w:before="0" w:after="0"/>
              <w:rPr>
                <w:b/>
                <w:sz w:val="10"/>
                <w:szCs w:val="10"/>
                <w:lang w:val="fr-BE"/>
              </w:rPr>
            </w:pPr>
            <w:r w:rsidRPr="00601E29">
              <w:rPr>
                <w:b/>
                <w:noProof/>
                <w:sz w:val="10"/>
                <w:szCs w:val="10"/>
                <w:lang w:val="fr-BE"/>
              </w:rPr>
              <w:t>Kategoria regionu</w:t>
            </w:r>
          </w:p>
        </w:tc>
        <w:tc>
          <w:tcPr>
            <w:tcW w:w="0" w:type="auto"/>
            <w:gridSpan w:val="7"/>
          </w:tcPr>
          <w:p w14:paraId="4B08633B" w14:textId="77777777" w:rsidR="008C5CFA" w:rsidRPr="00601E29" w:rsidRDefault="00E82A60" w:rsidP="00300A01">
            <w:pPr>
              <w:spacing w:before="0" w:after="0"/>
              <w:jc w:val="center"/>
              <w:rPr>
                <w:b/>
                <w:sz w:val="10"/>
                <w:szCs w:val="10"/>
                <w:lang w:val="fr-BE"/>
              </w:rPr>
            </w:pPr>
            <w:r>
              <w:rPr>
                <w:b/>
                <w:sz w:val="10"/>
                <w:szCs w:val="10"/>
                <w:lang w:val="fr-BE"/>
              </w:rPr>
              <w:t>2016</w:t>
            </w:r>
          </w:p>
        </w:tc>
        <w:tc>
          <w:tcPr>
            <w:tcW w:w="0" w:type="auto"/>
            <w:gridSpan w:val="7"/>
          </w:tcPr>
          <w:p w14:paraId="1BD3A73A" w14:textId="77777777" w:rsidR="008C5CFA" w:rsidRPr="00601E29" w:rsidRDefault="00E82A60" w:rsidP="00300A01">
            <w:pPr>
              <w:spacing w:before="0" w:after="0"/>
              <w:jc w:val="center"/>
              <w:rPr>
                <w:b/>
                <w:sz w:val="10"/>
                <w:szCs w:val="10"/>
                <w:lang w:val="fr-BE"/>
              </w:rPr>
            </w:pPr>
            <w:r>
              <w:rPr>
                <w:b/>
                <w:sz w:val="10"/>
                <w:szCs w:val="10"/>
                <w:lang w:val="fr-BE"/>
              </w:rPr>
              <w:t>2015</w:t>
            </w:r>
          </w:p>
        </w:tc>
      </w:tr>
      <w:tr w:rsidR="006B2EC1" w14:paraId="5099051A" w14:textId="77777777" w:rsidTr="0047688D">
        <w:trPr>
          <w:tblHeader/>
        </w:trPr>
        <w:tc>
          <w:tcPr>
            <w:tcW w:w="0" w:type="auto"/>
            <w:shd w:val="clear" w:color="auto" w:fill="auto"/>
          </w:tcPr>
          <w:p w14:paraId="549F8F5D" w14:textId="77777777" w:rsidR="008C5CFA" w:rsidRPr="00601E29" w:rsidRDefault="008C5CFA" w:rsidP="00300A01">
            <w:pPr>
              <w:spacing w:before="0" w:after="0"/>
              <w:rPr>
                <w:b/>
                <w:sz w:val="10"/>
                <w:szCs w:val="10"/>
                <w:lang w:val="fr-BE"/>
              </w:rPr>
            </w:pPr>
          </w:p>
        </w:tc>
        <w:tc>
          <w:tcPr>
            <w:tcW w:w="0" w:type="auto"/>
            <w:shd w:val="clear" w:color="auto" w:fill="auto"/>
          </w:tcPr>
          <w:p w14:paraId="084BD222" w14:textId="77777777" w:rsidR="008C5CFA" w:rsidRPr="00601E29" w:rsidRDefault="008C5CFA" w:rsidP="00300A01">
            <w:pPr>
              <w:spacing w:before="0" w:after="0"/>
              <w:rPr>
                <w:b/>
                <w:sz w:val="10"/>
                <w:szCs w:val="10"/>
                <w:lang w:val="fr-BE"/>
              </w:rPr>
            </w:pPr>
          </w:p>
        </w:tc>
        <w:tc>
          <w:tcPr>
            <w:tcW w:w="0" w:type="auto"/>
            <w:shd w:val="clear" w:color="auto" w:fill="auto"/>
          </w:tcPr>
          <w:p w14:paraId="5FC912AE" w14:textId="77777777" w:rsidR="008C5CFA" w:rsidRPr="00601E29" w:rsidRDefault="008C5CFA" w:rsidP="00300A01">
            <w:pPr>
              <w:spacing w:before="0" w:after="0"/>
              <w:rPr>
                <w:b/>
                <w:sz w:val="10"/>
                <w:szCs w:val="10"/>
                <w:lang w:val="fr-BE"/>
              </w:rPr>
            </w:pPr>
          </w:p>
        </w:tc>
        <w:tc>
          <w:tcPr>
            <w:tcW w:w="0" w:type="auto"/>
            <w:gridSpan w:val="3"/>
          </w:tcPr>
          <w:p w14:paraId="3FDE7D1F" w14:textId="77777777" w:rsidR="008C5CFA" w:rsidRPr="00601E29" w:rsidRDefault="00E82A60" w:rsidP="00300A01">
            <w:pPr>
              <w:spacing w:before="0" w:after="0"/>
              <w:jc w:val="center"/>
              <w:rPr>
                <w:b/>
                <w:sz w:val="10"/>
                <w:szCs w:val="10"/>
                <w:lang w:val="fr-BE"/>
              </w:rPr>
            </w:pPr>
            <w:r w:rsidRPr="00601E29">
              <w:rPr>
                <w:b/>
                <w:noProof/>
                <w:sz w:val="10"/>
                <w:szCs w:val="10"/>
                <w:lang w:val="fr-BE"/>
              </w:rPr>
              <w:t>Łącznie</w:t>
            </w:r>
          </w:p>
        </w:tc>
        <w:tc>
          <w:tcPr>
            <w:tcW w:w="0" w:type="auto"/>
            <w:gridSpan w:val="3"/>
          </w:tcPr>
          <w:p w14:paraId="5572D4EB" w14:textId="77777777" w:rsidR="008C5CFA" w:rsidRPr="00601E29" w:rsidRDefault="00E82A60" w:rsidP="00300A01">
            <w:pPr>
              <w:spacing w:before="0" w:after="0"/>
              <w:jc w:val="center"/>
              <w:rPr>
                <w:b/>
                <w:sz w:val="10"/>
                <w:szCs w:val="10"/>
                <w:lang w:val="fr-BE"/>
              </w:rPr>
            </w:pPr>
            <w:r w:rsidRPr="00601E29">
              <w:rPr>
                <w:b/>
                <w:noProof/>
                <w:sz w:val="10"/>
                <w:szCs w:val="10"/>
                <w:lang w:val="fr-BE"/>
              </w:rPr>
              <w:t>Łącznie w roku</w:t>
            </w:r>
          </w:p>
        </w:tc>
        <w:tc>
          <w:tcPr>
            <w:tcW w:w="0" w:type="auto"/>
          </w:tcPr>
          <w:p w14:paraId="315F203A" w14:textId="77777777" w:rsidR="008C5CFA" w:rsidRPr="00601E29" w:rsidRDefault="00E82A60" w:rsidP="00300A01">
            <w:pPr>
              <w:spacing w:before="0" w:after="0"/>
              <w:jc w:val="center"/>
              <w:rPr>
                <w:b/>
                <w:sz w:val="10"/>
                <w:szCs w:val="10"/>
                <w:lang w:val="fr-BE"/>
              </w:rPr>
            </w:pPr>
            <w:r w:rsidRPr="00601E29">
              <w:rPr>
                <w:b/>
                <w:noProof/>
                <w:sz w:val="10"/>
                <w:szCs w:val="10"/>
                <w:lang w:val="fr-BE"/>
              </w:rPr>
              <w:t>Jakościowe</w:t>
            </w:r>
          </w:p>
        </w:tc>
        <w:tc>
          <w:tcPr>
            <w:tcW w:w="0" w:type="auto"/>
            <w:gridSpan w:val="3"/>
          </w:tcPr>
          <w:p w14:paraId="29641748" w14:textId="77777777" w:rsidR="008C5CFA" w:rsidRPr="00601E29" w:rsidRDefault="00E82A60" w:rsidP="00300A01">
            <w:pPr>
              <w:spacing w:before="0" w:after="0"/>
              <w:jc w:val="center"/>
              <w:rPr>
                <w:b/>
                <w:sz w:val="10"/>
                <w:szCs w:val="10"/>
                <w:lang w:val="fr-BE"/>
              </w:rPr>
            </w:pPr>
            <w:r w:rsidRPr="00601E29">
              <w:rPr>
                <w:b/>
                <w:noProof/>
                <w:sz w:val="10"/>
                <w:szCs w:val="10"/>
                <w:lang w:val="fr-BE"/>
              </w:rPr>
              <w:t>Łącznie</w:t>
            </w:r>
          </w:p>
        </w:tc>
        <w:tc>
          <w:tcPr>
            <w:tcW w:w="0" w:type="auto"/>
            <w:gridSpan w:val="3"/>
          </w:tcPr>
          <w:p w14:paraId="7FDDE032" w14:textId="77777777" w:rsidR="008C5CFA" w:rsidRPr="00601E29" w:rsidRDefault="00E82A60" w:rsidP="00300A01">
            <w:pPr>
              <w:spacing w:before="0" w:after="0"/>
              <w:jc w:val="center"/>
              <w:rPr>
                <w:b/>
                <w:sz w:val="10"/>
                <w:szCs w:val="10"/>
                <w:lang w:val="fr-BE"/>
              </w:rPr>
            </w:pPr>
            <w:r w:rsidRPr="00601E29">
              <w:rPr>
                <w:b/>
                <w:noProof/>
                <w:sz w:val="10"/>
                <w:szCs w:val="10"/>
                <w:lang w:val="fr-BE"/>
              </w:rPr>
              <w:t>Łącznie w roku</w:t>
            </w:r>
          </w:p>
        </w:tc>
        <w:tc>
          <w:tcPr>
            <w:tcW w:w="0" w:type="auto"/>
          </w:tcPr>
          <w:p w14:paraId="7DEEE375" w14:textId="77777777" w:rsidR="008C5CFA" w:rsidRPr="00601E29" w:rsidRDefault="00E82A60" w:rsidP="00300A01">
            <w:pPr>
              <w:spacing w:before="0" w:after="0"/>
              <w:jc w:val="center"/>
              <w:rPr>
                <w:b/>
                <w:sz w:val="10"/>
                <w:szCs w:val="10"/>
                <w:lang w:val="fr-BE"/>
              </w:rPr>
            </w:pPr>
            <w:r w:rsidRPr="00601E29">
              <w:rPr>
                <w:b/>
                <w:noProof/>
                <w:sz w:val="10"/>
                <w:szCs w:val="10"/>
                <w:lang w:val="fr-BE"/>
              </w:rPr>
              <w:t>Jakościowe</w:t>
            </w:r>
          </w:p>
        </w:tc>
      </w:tr>
      <w:tr w:rsidR="006B2EC1" w14:paraId="5618EA1D" w14:textId="77777777" w:rsidTr="0047688D">
        <w:trPr>
          <w:tblHeader/>
        </w:trPr>
        <w:tc>
          <w:tcPr>
            <w:tcW w:w="0" w:type="auto"/>
            <w:shd w:val="clear" w:color="auto" w:fill="auto"/>
          </w:tcPr>
          <w:p w14:paraId="19658B31" w14:textId="77777777" w:rsidR="008C5CFA" w:rsidRPr="00601E29" w:rsidRDefault="008C5CFA" w:rsidP="00300A01">
            <w:pPr>
              <w:spacing w:before="0" w:after="0"/>
              <w:rPr>
                <w:b/>
                <w:sz w:val="10"/>
                <w:szCs w:val="10"/>
                <w:lang w:val="fr-BE"/>
              </w:rPr>
            </w:pPr>
          </w:p>
        </w:tc>
        <w:tc>
          <w:tcPr>
            <w:tcW w:w="0" w:type="auto"/>
            <w:shd w:val="clear" w:color="auto" w:fill="auto"/>
          </w:tcPr>
          <w:p w14:paraId="67999AFC" w14:textId="77777777" w:rsidR="008C5CFA" w:rsidRPr="00601E29" w:rsidRDefault="008C5CFA" w:rsidP="00300A01">
            <w:pPr>
              <w:spacing w:before="0" w:after="0"/>
              <w:rPr>
                <w:b/>
                <w:sz w:val="10"/>
                <w:szCs w:val="10"/>
                <w:lang w:val="fr-BE"/>
              </w:rPr>
            </w:pPr>
          </w:p>
        </w:tc>
        <w:tc>
          <w:tcPr>
            <w:tcW w:w="0" w:type="auto"/>
            <w:shd w:val="clear" w:color="auto" w:fill="auto"/>
          </w:tcPr>
          <w:p w14:paraId="0ADB9AA1" w14:textId="77777777" w:rsidR="008C5CFA" w:rsidRPr="00601E29" w:rsidRDefault="008C5CFA" w:rsidP="00300A01">
            <w:pPr>
              <w:spacing w:before="0" w:after="0"/>
              <w:rPr>
                <w:b/>
                <w:sz w:val="10"/>
                <w:szCs w:val="10"/>
                <w:lang w:val="fr-BE"/>
              </w:rPr>
            </w:pPr>
          </w:p>
        </w:tc>
        <w:tc>
          <w:tcPr>
            <w:tcW w:w="0" w:type="auto"/>
          </w:tcPr>
          <w:p w14:paraId="25C7C73D" w14:textId="77777777" w:rsidR="008C5CFA" w:rsidRPr="00601E29" w:rsidRDefault="00E82A60" w:rsidP="00300A01">
            <w:pPr>
              <w:spacing w:before="0" w:after="0"/>
              <w:jc w:val="center"/>
              <w:rPr>
                <w:b/>
                <w:sz w:val="10"/>
                <w:szCs w:val="10"/>
                <w:lang w:val="fr-BE"/>
              </w:rPr>
            </w:pPr>
            <w:r w:rsidRPr="00601E29">
              <w:rPr>
                <w:b/>
                <w:noProof/>
                <w:sz w:val="10"/>
                <w:szCs w:val="10"/>
                <w:lang w:val="fr-BE"/>
              </w:rPr>
              <w:t>Ogółem</w:t>
            </w:r>
          </w:p>
        </w:tc>
        <w:tc>
          <w:tcPr>
            <w:tcW w:w="0" w:type="auto"/>
          </w:tcPr>
          <w:p w14:paraId="7C334433" w14:textId="77777777" w:rsidR="008C5CFA" w:rsidRPr="00601E29" w:rsidRDefault="00E82A60" w:rsidP="00300A01">
            <w:pPr>
              <w:spacing w:before="0" w:after="0"/>
              <w:jc w:val="center"/>
              <w:rPr>
                <w:b/>
                <w:sz w:val="10"/>
                <w:szCs w:val="10"/>
                <w:lang w:val="fr-BE"/>
              </w:rPr>
            </w:pPr>
            <w:r w:rsidRPr="00601E29">
              <w:rPr>
                <w:b/>
                <w:noProof/>
                <w:sz w:val="10"/>
                <w:szCs w:val="10"/>
                <w:lang w:val="fr-BE"/>
              </w:rPr>
              <w:t>Mężczyźni</w:t>
            </w:r>
          </w:p>
        </w:tc>
        <w:tc>
          <w:tcPr>
            <w:tcW w:w="0" w:type="auto"/>
          </w:tcPr>
          <w:p w14:paraId="55CC5EF3" w14:textId="77777777" w:rsidR="008C5CFA" w:rsidRPr="00601E29" w:rsidRDefault="00E82A60" w:rsidP="00300A01">
            <w:pPr>
              <w:spacing w:before="0" w:after="0"/>
              <w:jc w:val="center"/>
              <w:rPr>
                <w:b/>
                <w:sz w:val="10"/>
                <w:szCs w:val="10"/>
                <w:lang w:val="fr-BE"/>
              </w:rPr>
            </w:pPr>
            <w:r w:rsidRPr="00601E29">
              <w:rPr>
                <w:b/>
                <w:noProof/>
                <w:sz w:val="10"/>
                <w:szCs w:val="10"/>
                <w:lang w:val="fr-BE"/>
              </w:rPr>
              <w:t>Kobiety</w:t>
            </w:r>
          </w:p>
        </w:tc>
        <w:tc>
          <w:tcPr>
            <w:tcW w:w="0" w:type="auto"/>
          </w:tcPr>
          <w:p w14:paraId="1C636506" w14:textId="77777777" w:rsidR="008C5CFA" w:rsidRPr="00601E29" w:rsidRDefault="00E82A60" w:rsidP="00300A01">
            <w:pPr>
              <w:spacing w:before="0" w:after="0"/>
              <w:jc w:val="center"/>
              <w:rPr>
                <w:b/>
                <w:sz w:val="10"/>
                <w:szCs w:val="10"/>
                <w:lang w:val="fr-BE"/>
              </w:rPr>
            </w:pPr>
            <w:r w:rsidRPr="00601E29">
              <w:rPr>
                <w:b/>
                <w:noProof/>
                <w:sz w:val="10"/>
                <w:szCs w:val="10"/>
                <w:lang w:val="fr-BE"/>
              </w:rPr>
              <w:t>Ogółem</w:t>
            </w:r>
          </w:p>
        </w:tc>
        <w:tc>
          <w:tcPr>
            <w:tcW w:w="0" w:type="auto"/>
          </w:tcPr>
          <w:p w14:paraId="2C275B5E" w14:textId="77777777" w:rsidR="008C5CFA" w:rsidRPr="00601E29" w:rsidRDefault="00E82A60" w:rsidP="00300A01">
            <w:pPr>
              <w:spacing w:before="0" w:after="0"/>
              <w:jc w:val="center"/>
              <w:rPr>
                <w:b/>
                <w:sz w:val="10"/>
                <w:szCs w:val="10"/>
                <w:lang w:val="fr-BE"/>
              </w:rPr>
            </w:pPr>
            <w:r w:rsidRPr="00601E29">
              <w:rPr>
                <w:b/>
                <w:noProof/>
                <w:sz w:val="10"/>
                <w:szCs w:val="10"/>
                <w:lang w:val="fr-BE"/>
              </w:rPr>
              <w:t>Mężczyźni</w:t>
            </w:r>
          </w:p>
        </w:tc>
        <w:tc>
          <w:tcPr>
            <w:tcW w:w="0" w:type="auto"/>
          </w:tcPr>
          <w:p w14:paraId="7CE8E3DC" w14:textId="77777777" w:rsidR="008C5CFA" w:rsidRPr="00601E29" w:rsidRDefault="00E82A60" w:rsidP="00300A01">
            <w:pPr>
              <w:spacing w:before="0" w:after="0"/>
              <w:jc w:val="center"/>
              <w:rPr>
                <w:b/>
                <w:sz w:val="10"/>
                <w:szCs w:val="10"/>
                <w:lang w:val="fr-BE"/>
              </w:rPr>
            </w:pPr>
            <w:r w:rsidRPr="00601E29">
              <w:rPr>
                <w:b/>
                <w:noProof/>
                <w:sz w:val="10"/>
                <w:szCs w:val="10"/>
                <w:lang w:val="fr-BE"/>
              </w:rPr>
              <w:t>Kobiety</w:t>
            </w:r>
          </w:p>
        </w:tc>
        <w:tc>
          <w:tcPr>
            <w:tcW w:w="0" w:type="auto"/>
          </w:tcPr>
          <w:p w14:paraId="0D7A7067" w14:textId="77777777" w:rsidR="008C5CFA" w:rsidRPr="00601E29" w:rsidRDefault="008C5CFA" w:rsidP="00300A01">
            <w:pPr>
              <w:spacing w:before="0" w:after="0"/>
              <w:jc w:val="center"/>
              <w:rPr>
                <w:b/>
                <w:sz w:val="10"/>
                <w:szCs w:val="10"/>
                <w:lang w:val="fr-BE"/>
              </w:rPr>
            </w:pPr>
          </w:p>
        </w:tc>
        <w:tc>
          <w:tcPr>
            <w:tcW w:w="0" w:type="auto"/>
          </w:tcPr>
          <w:p w14:paraId="2D36CE1A" w14:textId="77777777" w:rsidR="008C5CFA" w:rsidRPr="00601E29" w:rsidRDefault="00E82A60" w:rsidP="00300A01">
            <w:pPr>
              <w:spacing w:before="0" w:after="0"/>
              <w:jc w:val="center"/>
              <w:rPr>
                <w:b/>
                <w:sz w:val="10"/>
                <w:szCs w:val="10"/>
                <w:lang w:val="fr-BE"/>
              </w:rPr>
            </w:pPr>
            <w:r w:rsidRPr="00601E29">
              <w:rPr>
                <w:b/>
                <w:noProof/>
                <w:sz w:val="10"/>
                <w:szCs w:val="10"/>
                <w:lang w:val="fr-BE"/>
              </w:rPr>
              <w:t>Ogółem</w:t>
            </w:r>
          </w:p>
        </w:tc>
        <w:tc>
          <w:tcPr>
            <w:tcW w:w="0" w:type="auto"/>
          </w:tcPr>
          <w:p w14:paraId="2A8D7524" w14:textId="77777777" w:rsidR="008C5CFA" w:rsidRPr="00601E29" w:rsidRDefault="00E82A60" w:rsidP="00300A01">
            <w:pPr>
              <w:spacing w:before="0" w:after="0"/>
              <w:jc w:val="center"/>
              <w:rPr>
                <w:b/>
                <w:sz w:val="10"/>
                <w:szCs w:val="10"/>
                <w:lang w:val="fr-BE"/>
              </w:rPr>
            </w:pPr>
            <w:r w:rsidRPr="00601E29">
              <w:rPr>
                <w:b/>
                <w:noProof/>
                <w:sz w:val="10"/>
                <w:szCs w:val="10"/>
                <w:lang w:val="fr-BE"/>
              </w:rPr>
              <w:t>Mężczyźni</w:t>
            </w:r>
          </w:p>
        </w:tc>
        <w:tc>
          <w:tcPr>
            <w:tcW w:w="0" w:type="auto"/>
          </w:tcPr>
          <w:p w14:paraId="0FD3BAAD" w14:textId="77777777" w:rsidR="008C5CFA" w:rsidRPr="00601E29" w:rsidRDefault="00E82A60" w:rsidP="00300A01">
            <w:pPr>
              <w:spacing w:before="0" w:after="0"/>
              <w:jc w:val="center"/>
              <w:rPr>
                <w:b/>
                <w:sz w:val="10"/>
                <w:szCs w:val="10"/>
                <w:lang w:val="fr-BE"/>
              </w:rPr>
            </w:pPr>
            <w:r w:rsidRPr="00601E29">
              <w:rPr>
                <w:b/>
                <w:noProof/>
                <w:sz w:val="10"/>
                <w:szCs w:val="10"/>
                <w:lang w:val="fr-BE"/>
              </w:rPr>
              <w:t>Kobiety</w:t>
            </w:r>
          </w:p>
        </w:tc>
        <w:tc>
          <w:tcPr>
            <w:tcW w:w="0" w:type="auto"/>
          </w:tcPr>
          <w:p w14:paraId="48AD3518" w14:textId="77777777" w:rsidR="008C5CFA" w:rsidRPr="00601E29" w:rsidRDefault="00E82A60" w:rsidP="00300A01">
            <w:pPr>
              <w:spacing w:before="0" w:after="0"/>
              <w:jc w:val="center"/>
              <w:rPr>
                <w:b/>
                <w:sz w:val="10"/>
                <w:szCs w:val="10"/>
                <w:lang w:val="fr-BE"/>
              </w:rPr>
            </w:pPr>
            <w:r w:rsidRPr="00601E29">
              <w:rPr>
                <w:b/>
                <w:noProof/>
                <w:sz w:val="10"/>
                <w:szCs w:val="10"/>
                <w:lang w:val="fr-BE"/>
              </w:rPr>
              <w:t>Ogółem</w:t>
            </w:r>
          </w:p>
        </w:tc>
        <w:tc>
          <w:tcPr>
            <w:tcW w:w="0" w:type="auto"/>
          </w:tcPr>
          <w:p w14:paraId="37DAC70A" w14:textId="77777777" w:rsidR="008C5CFA" w:rsidRPr="00601E29" w:rsidRDefault="00E82A60" w:rsidP="00300A01">
            <w:pPr>
              <w:spacing w:before="0" w:after="0"/>
              <w:jc w:val="center"/>
              <w:rPr>
                <w:b/>
                <w:sz w:val="10"/>
                <w:szCs w:val="10"/>
                <w:lang w:val="fr-BE"/>
              </w:rPr>
            </w:pPr>
            <w:r w:rsidRPr="00601E29">
              <w:rPr>
                <w:b/>
                <w:noProof/>
                <w:sz w:val="10"/>
                <w:szCs w:val="10"/>
                <w:lang w:val="fr-BE"/>
              </w:rPr>
              <w:t>Mężczyźni</w:t>
            </w:r>
          </w:p>
        </w:tc>
        <w:tc>
          <w:tcPr>
            <w:tcW w:w="0" w:type="auto"/>
          </w:tcPr>
          <w:p w14:paraId="5F12A4FF" w14:textId="77777777" w:rsidR="008C5CFA" w:rsidRPr="00601E29" w:rsidRDefault="00E82A60" w:rsidP="00300A01">
            <w:pPr>
              <w:spacing w:before="0" w:after="0"/>
              <w:jc w:val="center"/>
              <w:rPr>
                <w:b/>
                <w:sz w:val="10"/>
                <w:szCs w:val="10"/>
                <w:lang w:val="fr-BE"/>
              </w:rPr>
            </w:pPr>
            <w:r w:rsidRPr="00601E29">
              <w:rPr>
                <w:b/>
                <w:noProof/>
                <w:sz w:val="10"/>
                <w:szCs w:val="10"/>
                <w:lang w:val="fr-BE"/>
              </w:rPr>
              <w:t>Kobiety</w:t>
            </w:r>
          </w:p>
        </w:tc>
        <w:tc>
          <w:tcPr>
            <w:tcW w:w="0" w:type="auto"/>
          </w:tcPr>
          <w:p w14:paraId="6950A6B9" w14:textId="77777777" w:rsidR="008C5CFA" w:rsidRPr="00601E29" w:rsidRDefault="008C5CFA" w:rsidP="00300A01">
            <w:pPr>
              <w:spacing w:before="0" w:after="0"/>
              <w:jc w:val="center"/>
              <w:rPr>
                <w:b/>
                <w:sz w:val="10"/>
                <w:szCs w:val="10"/>
                <w:lang w:val="fr-BE"/>
              </w:rPr>
            </w:pPr>
          </w:p>
        </w:tc>
      </w:tr>
      <w:tr w:rsidR="006B2EC1" w14:paraId="27F5AF32" w14:textId="77777777" w:rsidTr="0047688D">
        <w:tc>
          <w:tcPr>
            <w:tcW w:w="0" w:type="auto"/>
            <w:shd w:val="clear" w:color="auto" w:fill="auto"/>
          </w:tcPr>
          <w:p w14:paraId="14DA2B63" w14:textId="77777777" w:rsidR="008C5CFA" w:rsidRPr="00601E29" w:rsidRDefault="00E82A60" w:rsidP="00300A01">
            <w:pPr>
              <w:spacing w:before="0" w:after="0"/>
              <w:rPr>
                <w:sz w:val="10"/>
                <w:szCs w:val="10"/>
                <w:lang w:val="fr-BE"/>
              </w:rPr>
            </w:pPr>
            <w:r w:rsidRPr="00601E29">
              <w:rPr>
                <w:noProof/>
                <w:sz w:val="10"/>
                <w:szCs w:val="10"/>
                <w:lang w:val="fr-BE"/>
              </w:rPr>
              <w:t>027</w:t>
            </w:r>
          </w:p>
        </w:tc>
        <w:tc>
          <w:tcPr>
            <w:tcW w:w="0" w:type="auto"/>
            <w:shd w:val="clear" w:color="auto" w:fill="auto"/>
          </w:tcPr>
          <w:p w14:paraId="10BF2812" w14:textId="77777777" w:rsidR="008C5CFA" w:rsidRPr="00601E29" w:rsidRDefault="00E82A60" w:rsidP="00300A01">
            <w:pPr>
              <w:spacing w:before="0" w:after="0"/>
              <w:rPr>
                <w:sz w:val="10"/>
                <w:szCs w:val="10"/>
                <w:lang w:val="fr-BE"/>
              </w:rPr>
            </w:pPr>
            <w:r w:rsidRPr="00601E29">
              <w:rPr>
                <w:noProof/>
                <w:sz w:val="10"/>
                <w:szCs w:val="10"/>
                <w:lang w:val="fr-BE"/>
              </w:rPr>
              <w:t>Odsetek wdrożonych rekomendacji operacyjnych.</w:t>
            </w:r>
          </w:p>
        </w:tc>
        <w:tc>
          <w:tcPr>
            <w:tcW w:w="0" w:type="auto"/>
            <w:shd w:val="clear" w:color="auto" w:fill="auto"/>
          </w:tcPr>
          <w:p w14:paraId="1070E95F" w14:textId="77777777" w:rsidR="008C5CFA" w:rsidRPr="00601E29" w:rsidRDefault="008C5CFA" w:rsidP="00300A01">
            <w:pPr>
              <w:spacing w:before="0" w:after="0"/>
              <w:rPr>
                <w:sz w:val="10"/>
                <w:szCs w:val="10"/>
                <w:lang w:val="fr-BE"/>
              </w:rPr>
            </w:pPr>
          </w:p>
        </w:tc>
        <w:tc>
          <w:tcPr>
            <w:tcW w:w="0" w:type="auto"/>
          </w:tcPr>
          <w:p w14:paraId="56B5A924" w14:textId="77777777" w:rsidR="008C5CFA" w:rsidRPr="00601E29" w:rsidRDefault="00E82A60" w:rsidP="00300A01">
            <w:pPr>
              <w:spacing w:before="0" w:after="0"/>
              <w:jc w:val="right"/>
              <w:rPr>
                <w:sz w:val="10"/>
                <w:szCs w:val="10"/>
                <w:lang w:val="fr-BE"/>
              </w:rPr>
            </w:pPr>
            <w:r w:rsidRPr="00601E29">
              <w:rPr>
                <w:noProof/>
                <w:sz w:val="10"/>
                <w:szCs w:val="10"/>
                <w:lang w:val="fr-BE"/>
              </w:rPr>
              <w:t>0,00</w:t>
            </w:r>
            <w:r>
              <w:rPr>
                <w:noProof/>
                <w:sz w:val="10"/>
                <w:szCs w:val="10"/>
                <w:lang w:val="fr-BE"/>
              </w:rPr>
              <w:t>%</w:t>
            </w:r>
          </w:p>
        </w:tc>
        <w:tc>
          <w:tcPr>
            <w:tcW w:w="0" w:type="auto"/>
          </w:tcPr>
          <w:p w14:paraId="1226BCCC" w14:textId="77777777" w:rsidR="008C5CFA" w:rsidRPr="00601E29" w:rsidRDefault="00E82A60" w:rsidP="00300A01">
            <w:pPr>
              <w:spacing w:before="0" w:after="0"/>
              <w:jc w:val="right"/>
              <w:rPr>
                <w:sz w:val="10"/>
                <w:szCs w:val="10"/>
                <w:lang w:val="fr-BE"/>
              </w:rPr>
            </w:pPr>
            <w:r>
              <w:rPr>
                <w:noProof/>
                <w:sz w:val="10"/>
                <w:szCs w:val="10"/>
                <w:lang w:val="fr-BE"/>
              </w:rPr>
              <w:t>%</w:t>
            </w:r>
          </w:p>
        </w:tc>
        <w:tc>
          <w:tcPr>
            <w:tcW w:w="0" w:type="auto"/>
          </w:tcPr>
          <w:p w14:paraId="7325951B" w14:textId="77777777" w:rsidR="008C5CFA" w:rsidRPr="00601E29" w:rsidRDefault="00E82A60" w:rsidP="00300A01">
            <w:pPr>
              <w:spacing w:before="0" w:after="0"/>
              <w:jc w:val="right"/>
              <w:rPr>
                <w:sz w:val="10"/>
                <w:szCs w:val="10"/>
                <w:lang w:val="fr-BE"/>
              </w:rPr>
            </w:pPr>
            <w:r>
              <w:rPr>
                <w:noProof/>
                <w:sz w:val="10"/>
                <w:szCs w:val="10"/>
                <w:lang w:val="fr-BE"/>
              </w:rPr>
              <w:t>%</w:t>
            </w:r>
          </w:p>
        </w:tc>
        <w:tc>
          <w:tcPr>
            <w:tcW w:w="0" w:type="auto"/>
          </w:tcPr>
          <w:p w14:paraId="03D61317" w14:textId="77777777" w:rsidR="008C5CFA" w:rsidRPr="00601E29" w:rsidRDefault="00E82A60" w:rsidP="00300A01">
            <w:pPr>
              <w:spacing w:before="0" w:after="0"/>
              <w:jc w:val="right"/>
              <w:rPr>
                <w:sz w:val="10"/>
                <w:szCs w:val="10"/>
                <w:lang w:val="fr-BE"/>
              </w:rPr>
            </w:pPr>
            <w:r w:rsidRPr="00601E29">
              <w:rPr>
                <w:noProof/>
                <w:sz w:val="10"/>
                <w:szCs w:val="10"/>
                <w:lang w:val="fr-BE"/>
              </w:rPr>
              <w:t>0,00</w:t>
            </w:r>
            <w:r>
              <w:rPr>
                <w:noProof/>
                <w:sz w:val="10"/>
                <w:szCs w:val="10"/>
                <w:lang w:val="fr-BE"/>
              </w:rPr>
              <w:t>%</w:t>
            </w:r>
          </w:p>
        </w:tc>
        <w:tc>
          <w:tcPr>
            <w:tcW w:w="0" w:type="auto"/>
          </w:tcPr>
          <w:p w14:paraId="46A70A95" w14:textId="77777777" w:rsidR="008C5CFA" w:rsidRPr="00601E29" w:rsidRDefault="00E82A60" w:rsidP="00300A01">
            <w:pPr>
              <w:spacing w:before="0" w:after="0"/>
              <w:jc w:val="right"/>
              <w:rPr>
                <w:sz w:val="10"/>
                <w:szCs w:val="10"/>
                <w:lang w:val="fr-BE"/>
              </w:rPr>
            </w:pPr>
            <w:r w:rsidRPr="00601E29">
              <w:rPr>
                <w:noProof/>
                <w:sz w:val="10"/>
                <w:szCs w:val="10"/>
                <w:lang w:val="fr-BE"/>
              </w:rPr>
              <w:t>0,00</w:t>
            </w:r>
            <w:r>
              <w:rPr>
                <w:noProof/>
                <w:sz w:val="10"/>
                <w:szCs w:val="10"/>
                <w:lang w:val="fr-BE"/>
              </w:rPr>
              <w:t>%</w:t>
            </w:r>
          </w:p>
        </w:tc>
        <w:tc>
          <w:tcPr>
            <w:tcW w:w="0" w:type="auto"/>
          </w:tcPr>
          <w:p w14:paraId="114DDCEF" w14:textId="77777777" w:rsidR="008C5CFA" w:rsidRPr="00601E29" w:rsidRDefault="00E82A60" w:rsidP="00300A01">
            <w:pPr>
              <w:spacing w:before="0" w:after="0"/>
              <w:jc w:val="right"/>
              <w:rPr>
                <w:sz w:val="10"/>
                <w:szCs w:val="10"/>
                <w:lang w:val="fr-BE"/>
              </w:rPr>
            </w:pPr>
            <w:r w:rsidRPr="00601E29">
              <w:rPr>
                <w:noProof/>
                <w:sz w:val="10"/>
                <w:szCs w:val="10"/>
                <w:lang w:val="fr-BE"/>
              </w:rPr>
              <w:t>0,00</w:t>
            </w:r>
            <w:r>
              <w:rPr>
                <w:noProof/>
                <w:sz w:val="10"/>
                <w:szCs w:val="10"/>
                <w:lang w:val="fr-BE"/>
              </w:rPr>
              <w:t>%</w:t>
            </w:r>
          </w:p>
        </w:tc>
        <w:tc>
          <w:tcPr>
            <w:tcW w:w="0" w:type="auto"/>
          </w:tcPr>
          <w:p w14:paraId="73217864" w14:textId="77777777" w:rsidR="008C5CFA" w:rsidRPr="00601E29" w:rsidRDefault="008C5CFA" w:rsidP="00300A01">
            <w:pPr>
              <w:spacing w:before="0" w:after="0"/>
              <w:jc w:val="right"/>
              <w:rPr>
                <w:sz w:val="10"/>
                <w:szCs w:val="10"/>
                <w:lang w:val="fr-BE"/>
              </w:rPr>
            </w:pPr>
          </w:p>
        </w:tc>
        <w:tc>
          <w:tcPr>
            <w:tcW w:w="0" w:type="auto"/>
          </w:tcPr>
          <w:p w14:paraId="66147DAD" w14:textId="77777777" w:rsidR="008C5CFA" w:rsidRPr="00601E29" w:rsidRDefault="00E82A60" w:rsidP="00300A01">
            <w:pPr>
              <w:spacing w:before="0" w:after="0"/>
              <w:jc w:val="right"/>
              <w:rPr>
                <w:sz w:val="10"/>
                <w:szCs w:val="10"/>
                <w:lang w:val="fr-BE"/>
              </w:rPr>
            </w:pPr>
            <w:r>
              <w:rPr>
                <w:noProof/>
                <w:sz w:val="10"/>
                <w:szCs w:val="10"/>
                <w:lang w:val="fr-BE"/>
              </w:rPr>
              <w:t>%</w:t>
            </w:r>
          </w:p>
        </w:tc>
        <w:tc>
          <w:tcPr>
            <w:tcW w:w="0" w:type="auto"/>
          </w:tcPr>
          <w:p w14:paraId="3B263EAC" w14:textId="77777777" w:rsidR="008C5CFA" w:rsidRPr="00601E29" w:rsidRDefault="00E82A60" w:rsidP="00300A01">
            <w:pPr>
              <w:spacing w:before="0" w:after="0"/>
              <w:jc w:val="right"/>
              <w:rPr>
                <w:sz w:val="10"/>
                <w:szCs w:val="10"/>
                <w:lang w:val="fr-BE"/>
              </w:rPr>
            </w:pPr>
            <w:r>
              <w:rPr>
                <w:noProof/>
                <w:sz w:val="10"/>
                <w:szCs w:val="10"/>
                <w:lang w:val="fr-BE"/>
              </w:rPr>
              <w:t>%</w:t>
            </w:r>
          </w:p>
        </w:tc>
        <w:tc>
          <w:tcPr>
            <w:tcW w:w="0" w:type="auto"/>
          </w:tcPr>
          <w:p w14:paraId="453F2ABF" w14:textId="77777777" w:rsidR="008C5CFA" w:rsidRPr="00601E29" w:rsidRDefault="00E82A60" w:rsidP="00300A01">
            <w:pPr>
              <w:spacing w:before="0" w:after="0"/>
              <w:jc w:val="right"/>
              <w:rPr>
                <w:sz w:val="10"/>
                <w:szCs w:val="10"/>
                <w:lang w:val="fr-BE"/>
              </w:rPr>
            </w:pPr>
            <w:r>
              <w:rPr>
                <w:noProof/>
                <w:sz w:val="10"/>
                <w:szCs w:val="10"/>
                <w:lang w:val="fr-BE"/>
              </w:rPr>
              <w:t>%</w:t>
            </w:r>
          </w:p>
        </w:tc>
        <w:tc>
          <w:tcPr>
            <w:tcW w:w="0" w:type="auto"/>
          </w:tcPr>
          <w:p w14:paraId="2357A832" w14:textId="77777777" w:rsidR="008C5CFA" w:rsidRPr="00601E29" w:rsidRDefault="00E82A60" w:rsidP="00300A01">
            <w:pPr>
              <w:spacing w:before="0" w:after="0"/>
              <w:jc w:val="right"/>
              <w:rPr>
                <w:sz w:val="10"/>
                <w:szCs w:val="10"/>
                <w:lang w:val="fr-BE"/>
              </w:rPr>
            </w:pPr>
            <w:r w:rsidRPr="00601E29">
              <w:rPr>
                <w:noProof/>
                <w:sz w:val="10"/>
                <w:szCs w:val="10"/>
                <w:lang w:val="fr-BE"/>
              </w:rPr>
              <w:t>0,00</w:t>
            </w:r>
            <w:r>
              <w:rPr>
                <w:noProof/>
                <w:sz w:val="10"/>
                <w:szCs w:val="10"/>
                <w:lang w:val="fr-BE"/>
              </w:rPr>
              <w:t>%</w:t>
            </w:r>
          </w:p>
        </w:tc>
        <w:tc>
          <w:tcPr>
            <w:tcW w:w="0" w:type="auto"/>
          </w:tcPr>
          <w:p w14:paraId="74DC5297" w14:textId="77777777" w:rsidR="008C5CFA" w:rsidRPr="00601E29" w:rsidRDefault="00E82A60" w:rsidP="00300A01">
            <w:pPr>
              <w:spacing w:before="0" w:after="0"/>
              <w:jc w:val="right"/>
              <w:rPr>
                <w:sz w:val="10"/>
                <w:szCs w:val="10"/>
                <w:lang w:val="fr-BE"/>
              </w:rPr>
            </w:pPr>
            <w:r w:rsidRPr="00601E29">
              <w:rPr>
                <w:noProof/>
                <w:sz w:val="10"/>
                <w:szCs w:val="10"/>
                <w:lang w:val="fr-BE"/>
              </w:rPr>
              <w:t>0,00</w:t>
            </w:r>
            <w:r>
              <w:rPr>
                <w:noProof/>
                <w:sz w:val="10"/>
                <w:szCs w:val="10"/>
                <w:lang w:val="fr-BE"/>
              </w:rPr>
              <w:t>%</w:t>
            </w:r>
          </w:p>
        </w:tc>
        <w:tc>
          <w:tcPr>
            <w:tcW w:w="0" w:type="auto"/>
          </w:tcPr>
          <w:p w14:paraId="43594F2F" w14:textId="77777777" w:rsidR="008C5CFA" w:rsidRPr="00601E29" w:rsidRDefault="00E82A60" w:rsidP="00300A01">
            <w:pPr>
              <w:spacing w:before="0" w:after="0"/>
              <w:jc w:val="right"/>
              <w:rPr>
                <w:sz w:val="10"/>
                <w:szCs w:val="10"/>
                <w:lang w:val="fr-BE"/>
              </w:rPr>
            </w:pPr>
            <w:r w:rsidRPr="00601E29">
              <w:rPr>
                <w:noProof/>
                <w:sz w:val="10"/>
                <w:szCs w:val="10"/>
                <w:lang w:val="fr-BE"/>
              </w:rPr>
              <w:t>0,00</w:t>
            </w:r>
            <w:r>
              <w:rPr>
                <w:noProof/>
                <w:sz w:val="10"/>
                <w:szCs w:val="10"/>
                <w:lang w:val="fr-BE"/>
              </w:rPr>
              <w:t>%</w:t>
            </w:r>
          </w:p>
        </w:tc>
        <w:tc>
          <w:tcPr>
            <w:tcW w:w="0" w:type="auto"/>
          </w:tcPr>
          <w:p w14:paraId="543FA04E" w14:textId="77777777" w:rsidR="008C5CFA" w:rsidRPr="00601E29" w:rsidRDefault="008C5CFA" w:rsidP="00300A01">
            <w:pPr>
              <w:spacing w:before="0" w:after="0"/>
              <w:jc w:val="right"/>
              <w:rPr>
                <w:sz w:val="10"/>
                <w:szCs w:val="10"/>
                <w:lang w:val="fr-BE"/>
              </w:rPr>
            </w:pPr>
          </w:p>
        </w:tc>
      </w:tr>
      <w:tr w:rsidR="006B2EC1" w14:paraId="17F0A7DF" w14:textId="77777777" w:rsidTr="0047688D">
        <w:tc>
          <w:tcPr>
            <w:tcW w:w="0" w:type="auto"/>
            <w:shd w:val="clear" w:color="auto" w:fill="auto"/>
          </w:tcPr>
          <w:p w14:paraId="174EE95C" w14:textId="77777777" w:rsidR="008C5CFA" w:rsidRPr="00601E29" w:rsidRDefault="00E82A60" w:rsidP="00300A01">
            <w:pPr>
              <w:spacing w:before="0" w:after="0"/>
              <w:rPr>
                <w:sz w:val="10"/>
                <w:szCs w:val="10"/>
                <w:lang w:val="fr-BE"/>
              </w:rPr>
            </w:pPr>
            <w:r w:rsidRPr="00601E29">
              <w:rPr>
                <w:noProof/>
                <w:sz w:val="10"/>
                <w:szCs w:val="10"/>
                <w:lang w:val="fr-BE"/>
              </w:rPr>
              <w:t>028</w:t>
            </w:r>
          </w:p>
        </w:tc>
        <w:tc>
          <w:tcPr>
            <w:tcW w:w="0" w:type="auto"/>
            <w:shd w:val="clear" w:color="auto" w:fill="auto"/>
          </w:tcPr>
          <w:p w14:paraId="495B19E1" w14:textId="77777777" w:rsidR="008C5CFA" w:rsidRPr="00601E29" w:rsidRDefault="00E82A60" w:rsidP="00300A01">
            <w:pPr>
              <w:spacing w:before="0" w:after="0"/>
              <w:rPr>
                <w:sz w:val="10"/>
                <w:szCs w:val="10"/>
                <w:lang w:val="fr-BE"/>
              </w:rPr>
            </w:pPr>
            <w:r w:rsidRPr="00601E29">
              <w:rPr>
                <w:noProof/>
                <w:sz w:val="10"/>
                <w:szCs w:val="10"/>
                <w:lang w:val="fr-BE"/>
              </w:rPr>
              <w:t>Średnia ocena użyteczności systemu informatycznego</w:t>
            </w:r>
          </w:p>
        </w:tc>
        <w:tc>
          <w:tcPr>
            <w:tcW w:w="0" w:type="auto"/>
            <w:shd w:val="clear" w:color="auto" w:fill="auto"/>
          </w:tcPr>
          <w:p w14:paraId="46FCB410" w14:textId="77777777" w:rsidR="008C5CFA" w:rsidRPr="00601E29" w:rsidRDefault="008C5CFA" w:rsidP="00300A01">
            <w:pPr>
              <w:spacing w:before="0" w:after="0"/>
              <w:rPr>
                <w:sz w:val="10"/>
                <w:szCs w:val="10"/>
                <w:lang w:val="fr-BE"/>
              </w:rPr>
            </w:pPr>
          </w:p>
        </w:tc>
        <w:tc>
          <w:tcPr>
            <w:tcW w:w="0" w:type="auto"/>
          </w:tcPr>
          <w:p w14:paraId="6794B628"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4F1D0F65"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28E480FE"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613547F2"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5415E72E"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6752A880"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691719B4" w14:textId="77777777" w:rsidR="008C5CFA" w:rsidRPr="00601E29" w:rsidRDefault="008C5CFA" w:rsidP="00300A01">
            <w:pPr>
              <w:spacing w:before="0" w:after="0"/>
              <w:jc w:val="right"/>
              <w:rPr>
                <w:sz w:val="10"/>
                <w:szCs w:val="10"/>
                <w:lang w:val="fr-BE"/>
              </w:rPr>
            </w:pPr>
          </w:p>
        </w:tc>
        <w:tc>
          <w:tcPr>
            <w:tcW w:w="0" w:type="auto"/>
          </w:tcPr>
          <w:p w14:paraId="3641FB1D"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1C4B5085"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105CAEA6"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4EA4CFD9"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23C6A4DB"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16AF240D"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5806CCEE" w14:textId="77777777" w:rsidR="008C5CFA" w:rsidRPr="00601E29" w:rsidRDefault="008C5CFA" w:rsidP="00300A01">
            <w:pPr>
              <w:spacing w:before="0" w:after="0"/>
              <w:jc w:val="right"/>
              <w:rPr>
                <w:sz w:val="10"/>
                <w:szCs w:val="10"/>
                <w:lang w:val="fr-BE"/>
              </w:rPr>
            </w:pPr>
          </w:p>
        </w:tc>
      </w:tr>
    </w:tbl>
    <w:p w14:paraId="0664CE96"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576"/>
        <w:gridCol w:w="4962"/>
        <w:gridCol w:w="1952"/>
        <w:gridCol w:w="977"/>
        <w:gridCol w:w="1230"/>
        <w:gridCol w:w="988"/>
        <w:gridCol w:w="977"/>
        <w:gridCol w:w="1230"/>
        <w:gridCol w:w="988"/>
        <w:gridCol w:w="1304"/>
      </w:tblGrid>
      <w:tr w:rsidR="006B2EC1" w14:paraId="37C20F5E" w14:textId="77777777" w:rsidTr="0047688D">
        <w:trPr>
          <w:tblHeader/>
        </w:trPr>
        <w:tc>
          <w:tcPr>
            <w:tcW w:w="0" w:type="auto"/>
            <w:shd w:val="clear" w:color="auto" w:fill="auto"/>
          </w:tcPr>
          <w:p w14:paraId="64560949" w14:textId="77777777" w:rsidR="008C5CFA" w:rsidRPr="00601E29" w:rsidRDefault="00E82A60" w:rsidP="00300A01">
            <w:pPr>
              <w:spacing w:before="0" w:after="0"/>
              <w:rPr>
                <w:b/>
                <w:sz w:val="10"/>
                <w:szCs w:val="10"/>
                <w:lang w:val="fr-BE"/>
              </w:rPr>
            </w:pPr>
            <w:r w:rsidRPr="00601E29">
              <w:rPr>
                <w:b/>
                <w:noProof/>
                <w:sz w:val="10"/>
                <w:szCs w:val="10"/>
                <w:lang w:val="fr-BE"/>
              </w:rPr>
              <w:t>ID</w:t>
            </w:r>
          </w:p>
        </w:tc>
        <w:tc>
          <w:tcPr>
            <w:tcW w:w="0" w:type="auto"/>
            <w:shd w:val="clear" w:color="auto" w:fill="auto"/>
          </w:tcPr>
          <w:p w14:paraId="53AF2995" w14:textId="77777777" w:rsidR="008C5CFA" w:rsidRPr="00601E29" w:rsidRDefault="00E82A60" w:rsidP="00300A01">
            <w:pPr>
              <w:spacing w:before="0" w:after="0"/>
              <w:rPr>
                <w:b/>
                <w:sz w:val="10"/>
                <w:szCs w:val="10"/>
                <w:lang w:val="fr-BE"/>
              </w:rPr>
            </w:pPr>
            <w:r w:rsidRPr="00601E29">
              <w:rPr>
                <w:b/>
                <w:noProof/>
                <w:sz w:val="10"/>
                <w:szCs w:val="10"/>
                <w:lang w:val="fr-BE"/>
              </w:rPr>
              <w:t>Wskaźnik</w:t>
            </w:r>
          </w:p>
        </w:tc>
        <w:tc>
          <w:tcPr>
            <w:tcW w:w="0" w:type="auto"/>
            <w:shd w:val="clear" w:color="auto" w:fill="auto"/>
          </w:tcPr>
          <w:p w14:paraId="01DB20D5" w14:textId="77777777" w:rsidR="008C5CFA" w:rsidRPr="00601E29" w:rsidRDefault="00E82A60" w:rsidP="00300A01">
            <w:pPr>
              <w:spacing w:before="0" w:after="0"/>
              <w:rPr>
                <w:b/>
                <w:sz w:val="10"/>
                <w:szCs w:val="10"/>
                <w:lang w:val="fr-BE"/>
              </w:rPr>
            </w:pPr>
            <w:r w:rsidRPr="00601E29">
              <w:rPr>
                <w:b/>
                <w:noProof/>
                <w:sz w:val="10"/>
                <w:szCs w:val="10"/>
                <w:lang w:val="fr-BE"/>
              </w:rPr>
              <w:t>Kategoria regionu</w:t>
            </w:r>
          </w:p>
        </w:tc>
        <w:tc>
          <w:tcPr>
            <w:tcW w:w="0" w:type="auto"/>
            <w:gridSpan w:val="7"/>
          </w:tcPr>
          <w:p w14:paraId="4E874DD7" w14:textId="77777777" w:rsidR="008C5CFA" w:rsidRPr="00601E29" w:rsidRDefault="00E82A60" w:rsidP="00300A01">
            <w:pPr>
              <w:spacing w:before="0" w:after="0"/>
              <w:jc w:val="center"/>
              <w:rPr>
                <w:b/>
                <w:sz w:val="10"/>
                <w:szCs w:val="10"/>
                <w:lang w:val="fr-BE"/>
              </w:rPr>
            </w:pPr>
            <w:r>
              <w:rPr>
                <w:b/>
                <w:sz w:val="10"/>
                <w:szCs w:val="10"/>
                <w:lang w:val="fr-BE"/>
              </w:rPr>
              <w:t>2014</w:t>
            </w:r>
          </w:p>
        </w:tc>
      </w:tr>
      <w:tr w:rsidR="006B2EC1" w14:paraId="6FBB0B23" w14:textId="77777777" w:rsidTr="0047688D">
        <w:trPr>
          <w:tblHeader/>
        </w:trPr>
        <w:tc>
          <w:tcPr>
            <w:tcW w:w="0" w:type="auto"/>
            <w:shd w:val="clear" w:color="auto" w:fill="auto"/>
          </w:tcPr>
          <w:p w14:paraId="2AD466F6" w14:textId="77777777" w:rsidR="008C5CFA" w:rsidRPr="00601E29" w:rsidRDefault="008C5CFA" w:rsidP="00300A01">
            <w:pPr>
              <w:spacing w:before="0" w:after="0"/>
              <w:rPr>
                <w:b/>
                <w:sz w:val="10"/>
                <w:szCs w:val="10"/>
                <w:lang w:val="fr-BE"/>
              </w:rPr>
            </w:pPr>
          </w:p>
        </w:tc>
        <w:tc>
          <w:tcPr>
            <w:tcW w:w="0" w:type="auto"/>
            <w:shd w:val="clear" w:color="auto" w:fill="auto"/>
          </w:tcPr>
          <w:p w14:paraId="317EAEBB" w14:textId="77777777" w:rsidR="008C5CFA" w:rsidRPr="00601E29" w:rsidRDefault="008C5CFA" w:rsidP="00300A01">
            <w:pPr>
              <w:spacing w:before="0" w:after="0"/>
              <w:rPr>
                <w:b/>
                <w:sz w:val="10"/>
                <w:szCs w:val="10"/>
                <w:lang w:val="fr-BE"/>
              </w:rPr>
            </w:pPr>
          </w:p>
        </w:tc>
        <w:tc>
          <w:tcPr>
            <w:tcW w:w="0" w:type="auto"/>
            <w:shd w:val="clear" w:color="auto" w:fill="auto"/>
          </w:tcPr>
          <w:p w14:paraId="6401FAB9" w14:textId="77777777" w:rsidR="008C5CFA" w:rsidRPr="00601E29" w:rsidRDefault="008C5CFA" w:rsidP="00300A01">
            <w:pPr>
              <w:spacing w:before="0" w:after="0"/>
              <w:rPr>
                <w:b/>
                <w:sz w:val="10"/>
                <w:szCs w:val="10"/>
                <w:lang w:val="fr-BE"/>
              </w:rPr>
            </w:pPr>
          </w:p>
        </w:tc>
        <w:tc>
          <w:tcPr>
            <w:tcW w:w="0" w:type="auto"/>
            <w:gridSpan w:val="3"/>
          </w:tcPr>
          <w:p w14:paraId="3AFC6D4A" w14:textId="77777777" w:rsidR="008C5CFA" w:rsidRPr="00601E29" w:rsidRDefault="00E82A60" w:rsidP="00300A01">
            <w:pPr>
              <w:spacing w:before="0" w:after="0"/>
              <w:jc w:val="center"/>
              <w:rPr>
                <w:b/>
                <w:sz w:val="10"/>
                <w:szCs w:val="10"/>
                <w:lang w:val="fr-BE"/>
              </w:rPr>
            </w:pPr>
            <w:r w:rsidRPr="00601E29">
              <w:rPr>
                <w:b/>
                <w:noProof/>
                <w:sz w:val="10"/>
                <w:szCs w:val="10"/>
                <w:lang w:val="fr-BE"/>
              </w:rPr>
              <w:t>Łącznie</w:t>
            </w:r>
          </w:p>
        </w:tc>
        <w:tc>
          <w:tcPr>
            <w:tcW w:w="0" w:type="auto"/>
            <w:gridSpan w:val="3"/>
          </w:tcPr>
          <w:p w14:paraId="00F980CF" w14:textId="77777777" w:rsidR="008C5CFA" w:rsidRPr="00601E29" w:rsidRDefault="00E82A60" w:rsidP="00300A01">
            <w:pPr>
              <w:spacing w:before="0" w:after="0"/>
              <w:jc w:val="center"/>
              <w:rPr>
                <w:b/>
                <w:sz w:val="10"/>
                <w:szCs w:val="10"/>
                <w:lang w:val="fr-BE"/>
              </w:rPr>
            </w:pPr>
            <w:r w:rsidRPr="00601E29">
              <w:rPr>
                <w:b/>
                <w:noProof/>
                <w:sz w:val="10"/>
                <w:szCs w:val="10"/>
                <w:lang w:val="fr-BE"/>
              </w:rPr>
              <w:t>Łącznie w roku</w:t>
            </w:r>
          </w:p>
        </w:tc>
        <w:tc>
          <w:tcPr>
            <w:tcW w:w="0" w:type="auto"/>
          </w:tcPr>
          <w:p w14:paraId="7ECF3F44" w14:textId="77777777" w:rsidR="008C5CFA" w:rsidRPr="00601E29" w:rsidRDefault="00E82A60" w:rsidP="00300A01">
            <w:pPr>
              <w:spacing w:before="0" w:after="0"/>
              <w:jc w:val="center"/>
              <w:rPr>
                <w:b/>
                <w:sz w:val="10"/>
                <w:szCs w:val="10"/>
                <w:lang w:val="fr-BE"/>
              </w:rPr>
            </w:pPr>
            <w:r w:rsidRPr="00601E29">
              <w:rPr>
                <w:b/>
                <w:noProof/>
                <w:sz w:val="10"/>
                <w:szCs w:val="10"/>
                <w:lang w:val="fr-BE"/>
              </w:rPr>
              <w:t>Jakościowe</w:t>
            </w:r>
          </w:p>
        </w:tc>
      </w:tr>
      <w:tr w:rsidR="006B2EC1" w14:paraId="7DE93EFA" w14:textId="77777777" w:rsidTr="0047688D">
        <w:trPr>
          <w:tblHeader/>
        </w:trPr>
        <w:tc>
          <w:tcPr>
            <w:tcW w:w="0" w:type="auto"/>
            <w:shd w:val="clear" w:color="auto" w:fill="auto"/>
          </w:tcPr>
          <w:p w14:paraId="75A7379F" w14:textId="77777777" w:rsidR="008C5CFA" w:rsidRPr="00601E29" w:rsidRDefault="008C5CFA" w:rsidP="00300A01">
            <w:pPr>
              <w:spacing w:before="0" w:after="0"/>
              <w:rPr>
                <w:b/>
                <w:sz w:val="10"/>
                <w:szCs w:val="10"/>
                <w:lang w:val="fr-BE"/>
              </w:rPr>
            </w:pPr>
          </w:p>
        </w:tc>
        <w:tc>
          <w:tcPr>
            <w:tcW w:w="0" w:type="auto"/>
            <w:shd w:val="clear" w:color="auto" w:fill="auto"/>
          </w:tcPr>
          <w:p w14:paraId="2B0DBCFC" w14:textId="77777777" w:rsidR="008C5CFA" w:rsidRPr="00601E29" w:rsidRDefault="008C5CFA" w:rsidP="00300A01">
            <w:pPr>
              <w:spacing w:before="0" w:after="0"/>
              <w:rPr>
                <w:b/>
                <w:sz w:val="10"/>
                <w:szCs w:val="10"/>
                <w:lang w:val="fr-BE"/>
              </w:rPr>
            </w:pPr>
          </w:p>
        </w:tc>
        <w:tc>
          <w:tcPr>
            <w:tcW w:w="0" w:type="auto"/>
            <w:shd w:val="clear" w:color="auto" w:fill="auto"/>
          </w:tcPr>
          <w:p w14:paraId="4917CA84" w14:textId="77777777" w:rsidR="008C5CFA" w:rsidRPr="00601E29" w:rsidRDefault="008C5CFA" w:rsidP="00300A01">
            <w:pPr>
              <w:spacing w:before="0" w:after="0"/>
              <w:rPr>
                <w:b/>
                <w:sz w:val="10"/>
                <w:szCs w:val="10"/>
                <w:lang w:val="fr-BE"/>
              </w:rPr>
            </w:pPr>
          </w:p>
        </w:tc>
        <w:tc>
          <w:tcPr>
            <w:tcW w:w="0" w:type="auto"/>
          </w:tcPr>
          <w:p w14:paraId="30C101EC" w14:textId="77777777" w:rsidR="008C5CFA" w:rsidRPr="00601E29" w:rsidRDefault="00E82A60" w:rsidP="00300A01">
            <w:pPr>
              <w:spacing w:before="0" w:after="0"/>
              <w:jc w:val="center"/>
              <w:rPr>
                <w:b/>
                <w:sz w:val="10"/>
                <w:szCs w:val="10"/>
                <w:lang w:val="fr-BE"/>
              </w:rPr>
            </w:pPr>
            <w:r w:rsidRPr="00601E29">
              <w:rPr>
                <w:b/>
                <w:noProof/>
                <w:sz w:val="10"/>
                <w:szCs w:val="10"/>
                <w:lang w:val="fr-BE"/>
              </w:rPr>
              <w:t>Ogółem</w:t>
            </w:r>
          </w:p>
        </w:tc>
        <w:tc>
          <w:tcPr>
            <w:tcW w:w="0" w:type="auto"/>
          </w:tcPr>
          <w:p w14:paraId="777377A6" w14:textId="77777777" w:rsidR="008C5CFA" w:rsidRPr="00601E29" w:rsidRDefault="00E82A60" w:rsidP="00300A01">
            <w:pPr>
              <w:spacing w:before="0" w:after="0"/>
              <w:jc w:val="center"/>
              <w:rPr>
                <w:b/>
                <w:sz w:val="10"/>
                <w:szCs w:val="10"/>
                <w:lang w:val="fr-BE"/>
              </w:rPr>
            </w:pPr>
            <w:r w:rsidRPr="00601E29">
              <w:rPr>
                <w:b/>
                <w:noProof/>
                <w:sz w:val="10"/>
                <w:szCs w:val="10"/>
                <w:lang w:val="fr-BE"/>
              </w:rPr>
              <w:t>Mężczyźni</w:t>
            </w:r>
          </w:p>
        </w:tc>
        <w:tc>
          <w:tcPr>
            <w:tcW w:w="0" w:type="auto"/>
          </w:tcPr>
          <w:p w14:paraId="23C20EFF" w14:textId="77777777" w:rsidR="008C5CFA" w:rsidRPr="00601E29" w:rsidRDefault="00E82A60" w:rsidP="00300A01">
            <w:pPr>
              <w:spacing w:before="0" w:after="0"/>
              <w:jc w:val="center"/>
              <w:rPr>
                <w:b/>
                <w:sz w:val="10"/>
                <w:szCs w:val="10"/>
                <w:lang w:val="fr-BE"/>
              </w:rPr>
            </w:pPr>
            <w:r w:rsidRPr="00601E29">
              <w:rPr>
                <w:b/>
                <w:noProof/>
                <w:sz w:val="10"/>
                <w:szCs w:val="10"/>
                <w:lang w:val="fr-BE"/>
              </w:rPr>
              <w:t>Kobiety</w:t>
            </w:r>
          </w:p>
        </w:tc>
        <w:tc>
          <w:tcPr>
            <w:tcW w:w="0" w:type="auto"/>
          </w:tcPr>
          <w:p w14:paraId="66C6117E" w14:textId="77777777" w:rsidR="008C5CFA" w:rsidRPr="00601E29" w:rsidRDefault="00E82A60" w:rsidP="00300A01">
            <w:pPr>
              <w:spacing w:before="0" w:after="0"/>
              <w:jc w:val="center"/>
              <w:rPr>
                <w:b/>
                <w:sz w:val="10"/>
                <w:szCs w:val="10"/>
                <w:lang w:val="fr-BE"/>
              </w:rPr>
            </w:pPr>
            <w:r w:rsidRPr="00601E29">
              <w:rPr>
                <w:b/>
                <w:noProof/>
                <w:sz w:val="10"/>
                <w:szCs w:val="10"/>
                <w:lang w:val="fr-BE"/>
              </w:rPr>
              <w:t>Ogółem</w:t>
            </w:r>
          </w:p>
        </w:tc>
        <w:tc>
          <w:tcPr>
            <w:tcW w:w="0" w:type="auto"/>
          </w:tcPr>
          <w:p w14:paraId="579A0C34" w14:textId="77777777" w:rsidR="008C5CFA" w:rsidRPr="00601E29" w:rsidRDefault="00E82A60" w:rsidP="00300A01">
            <w:pPr>
              <w:spacing w:before="0" w:after="0"/>
              <w:jc w:val="center"/>
              <w:rPr>
                <w:b/>
                <w:sz w:val="10"/>
                <w:szCs w:val="10"/>
                <w:lang w:val="fr-BE"/>
              </w:rPr>
            </w:pPr>
            <w:r w:rsidRPr="00601E29">
              <w:rPr>
                <w:b/>
                <w:noProof/>
                <w:sz w:val="10"/>
                <w:szCs w:val="10"/>
                <w:lang w:val="fr-BE"/>
              </w:rPr>
              <w:t>Mężczyźni</w:t>
            </w:r>
          </w:p>
        </w:tc>
        <w:tc>
          <w:tcPr>
            <w:tcW w:w="0" w:type="auto"/>
          </w:tcPr>
          <w:p w14:paraId="4BD30347" w14:textId="77777777" w:rsidR="008C5CFA" w:rsidRPr="00601E29" w:rsidRDefault="00E82A60" w:rsidP="00300A01">
            <w:pPr>
              <w:spacing w:before="0" w:after="0"/>
              <w:jc w:val="center"/>
              <w:rPr>
                <w:b/>
                <w:sz w:val="10"/>
                <w:szCs w:val="10"/>
                <w:lang w:val="fr-BE"/>
              </w:rPr>
            </w:pPr>
            <w:r w:rsidRPr="00601E29">
              <w:rPr>
                <w:b/>
                <w:noProof/>
                <w:sz w:val="10"/>
                <w:szCs w:val="10"/>
                <w:lang w:val="fr-BE"/>
              </w:rPr>
              <w:t>Kobiety</w:t>
            </w:r>
          </w:p>
        </w:tc>
        <w:tc>
          <w:tcPr>
            <w:tcW w:w="0" w:type="auto"/>
          </w:tcPr>
          <w:p w14:paraId="79319335" w14:textId="77777777" w:rsidR="008C5CFA" w:rsidRPr="00601E29" w:rsidRDefault="008C5CFA" w:rsidP="00300A01">
            <w:pPr>
              <w:spacing w:before="0" w:after="0"/>
              <w:jc w:val="center"/>
              <w:rPr>
                <w:b/>
                <w:sz w:val="10"/>
                <w:szCs w:val="10"/>
                <w:lang w:val="fr-BE"/>
              </w:rPr>
            </w:pPr>
          </w:p>
        </w:tc>
      </w:tr>
      <w:tr w:rsidR="006B2EC1" w14:paraId="1ABF06AC" w14:textId="77777777" w:rsidTr="0047688D">
        <w:tc>
          <w:tcPr>
            <w:tcW w:w="0" w:type="auto"/>
            <w:shd w:val="clear" w:color="auto" w:fill="auto"/>
          </w:tcPr>
          <w:p w14:paraId="7821FE38" w14:textId="77777777" w:rsidR="008C5CFA" w:rsidRPr="00601E29" w:rsidRDefault="00E82A60" w:rsidP="00300A01">
            <w:pPr>
              <w:spacing w:before="0" w:after="0"/>
              <w:rPr>
                <w:sz w:val="10"/>
                <w:szCs w:val="10"/>
                <w:lang w:val="fr-BE"/>
              </w:rPr>
            </w:pPr>
            <w:r w:rsidRPr="00601E29">
              <w:rPr>
                <w:noProof/>
                <w:sz w:val="10"/>
                <w:szCs w:val="10"/>
                <w:lang w:val="fr-BE"/>
              </w:rPr>
              <w:t>027</w:t>
            </w:r>
          </w:p>
        </w:tc>
        <w:tc>
          <w:tcPr>
            <w:tcW w:w="0" w:type="auto"/>
            <w:shd w:val="clear" w:color="auto" w:fill="auto"/>
          </w:tcPr>
          <w:p w14:paraId="4B229EDB" w14:textId="77777777" w:rsidR="008C5CFA" w:rsidRPr="00601E29" w:rsidRDefault="00E82A60" w:rsidP="00300A01">
            <w:pPr>
              <w:spacing w:before="0" w:after="0"/>
              <w:rPr>
                <w:sz w:val="10"/>
                <w:szCs w:val="10"/>
                <w:lang w:val="fr-BE"/>
              </w:rPr>
            </w:pPr>
            <w:r w:rsidRPr="00601E29">
              <w:rPr>
                <w:noProof/>
                <w:sz w:val="10"/>
                <w:szCs w:val="10"/>
                <w:lang w:val="fr-BE"/>
              </w:rPr>
              <w:t>Odsetek wdrożonych rekomendacji operacyjnych.</w:t>
            </w:r>
          </w:p>
        </w:tc>
        <w:tc>
          <w:tcPr>
            <w:tcW w:w="0" w:type="auto"/>
            <w:shd w:val="clear" w:color="auto" w:fill="auto"/>
          </w:tcPr>
          <w:p w14:paraId="0A3522C9" w14:textId="77777777" w:rsidR="008C5CFA" w:rsidRPr="00601E29" w:rsidRDefault="008C5CFA" w:rsidP="00300A01">
            <w:pPr>
              <w:spacing w:before="0" w:after="0"/>
              <w:rPr>
                <w:sz w:val="10"/>
                <w:szCs w:val="10"/>
                <w:lang w:val="fr-BE"/>
              </w:rPr>
            </w:pPr>
          </w:p>
        </w:tc>
        <w:tc>
          <w:tcPr>
            <w:tcW w:w="0" w:type="auto"/>
          </w:tcPr>
          <w:p w14:paraId="338429B9" w14:textId="77777777" w:rsidR="008C5CFA" w:rsidRPr="00601E29" w:rsidRDefault="00E82A60" w:rsidP="00300A01">
            <w:pPr>
              <w:spacing w:before="0" w:after="0"/>
              <w:jc w:val="right"/>
              <w:rPr>
                <w:sz w:val="10"/>
                <w:szCs w:val="10"/>
                <w:lang w:val="fr-BE"/>
              </w:rPr>
            </w:pPr>
            <w:r>
              <w:rPr>
                <w:noProof/>
                <w:sz w:val="10"/>
                <w:szCs w:val="10"/>
                <w:lang w:val="fr-BE"/>
              </w:rPr>
              <w:t>%</w:t>
            </w:r>
          </w:p>
        </w:tc>
        <w:tc>
          <w:tcPr>
            <w:tcW w:w="0" w:type="auto"/>
          </w:tcPr>
          <w:p w14:paraId="70417A97" w14:textId="77777777" w:rsidR="008C5CFA" w:rsidRPr="00601E29" w:rsidRDefault="00E82A60" w:rsidP="00300A01">
            <w:pPr>
              <w:spacing w:before="0" w:after="0"/>
              <w:jc w:val="right"/>
              <w:rPr>
                <w:sz w:val="10"/>
                <w:szCs w:val="10"/>
                <w:lang w:val="fr-BE"/>
              </w:rPr>
            </w:pPr>
            <w:r>
              <w:rPr>
                <w:noProof/>
                <w:sz w:val="10"/>
                <w:szCs w:val="10"/>
                <w:lang w:val="fr-BE"/>
              </w:rPr>
              <w:t>%</w:t>
            </w:r>
          </w:p>
        </w:tc>
        <w:tc>
          <w:tcPr>
            <w:tcW w:w="0" w:type="auto"/>
          </w:tcPr>
          <w:p w14:paraId="1B08F1A3" w14:textId="77777777" w:rsidR="008C5CFA" w:rsidRPr="00601E29" w:rsidRDefault="00E82A60" w:rsidP="00300A01">
            <w:pPr>
              <w:spacing w:before="0" w:after="0"/>
              <w:jc w:val="right"/>
              <w:rPr>
                <w:sz w:val="10"/>
                <w:szCs w:val="10"/>
                <w:lang w:val="fr-BE"/>
              </w:rPr>
            </w:pPr>
            <w:r>
              <w:rPr>
                <w:noProof/>
                <w:sz w:val="10"/>
                <w:szCs w:val="10"/>
                <w:lang w:val="fr-BE"/>
              </w:rPr>
              <w:t>%</w:t>
            </w:r>
          </w:p>
        </w:tc>
        <w:tc>
          <w:tcPr>
            <w:tcW w:w="0" w:type="auto"/>
          </w:tcPr>
          <w:p w14:paraId="412ABA94" w14:textId="77777777" w:rsidR="008C5CFA" w:rsidRPr="00601E29" w:rsidRDefault="00E82A60" w:rsidP="00300A01">
            <w:pPr>
              <w:spacing w:before="0" w:after="0"/>
              <w:jc w:val="right"/>
              <w:rPr>
                <w:sz w:val="10"/>
                <w:szCs w:val="10"/>
                <w:lang w:val="fr-BE"/>
              </w:rPr>
            </w:pPr>
            <w:r w:rsidRPr="00601E29">
              <w:rPr>
                <w:noProof/>
                <w:sz w:val="10"/>
                <w:szCs w:val="10"/>
                <w:lang w:val="fr-BE"/>
              </w:rPr>
              <w:t>0,00</w:t>
            </w:r>
            <w:r>
              <w:rPr>
                <w:noProof/>
                <w:sz w:val="10"/>
                <w:szCs w:val="10"/>
                <w:lang w:val="fr-BE"/>
              </w:rPr>
              <w:t>%</w:t>
            </w:r>
          </w:p>
        </w:tc>
        <w:tc>
          <w:tcPr>
            <w:tcW w:w="0" w:type="auto"/>
          </w:tcPr>
          <w:p w14:paraId="1F449ABB" w14:textId="77777777" w:rsidR="008C5CFA" w:rsidRPr="00601E29" w:rsidRDefault="00E82A60" w:rsidP="00300A01">
            <w:pPr>
              <w:spacing w:before="0" w:after="0"/>
              <w:jc w:val="right"/>
              <w:rPr>
                <w:sz w:val="10"/>
                <w:szCs w:val="10"/>
                <w:lang w:val="fr-BE"/>
              </w:rPr>
            </w:pPr>
            <w:r w:rsidRPr="00601E29">
              <w:rPr>
                <w:noProof/>
                <w:sz w:val="10"/>
                <w:szCs w:val="10"/>
                <w:lang w:val="fr-BE"/>
              </w:rPr>
              <w:t>0,00</w:t>
            </w:r>
            <w:r>
              <w:rPr>
                <w:noProof/>
                <w:sz w:val="10"/>
                <w:szCs w:val="10"/>
                <w:lang w:val="fr-BE"/>
              </w:rPr>
              <w:t>%</w:t>
            </w:r>
          </w:p>
        </w:tc>
        <w:tc>
          <w:tcPr>
            <w:tcW w:w="0" w:type="auto"/>
          </w:tcPr>
          <w:p w14:paraId="25F0BF0B" w14:textId="77777777" w:rsidR="008C5CFA" w:rsidRPr="00601E29" w:rsidRDefault="00E82A60" w:rsidP="00300A01">
            <w:pPr>
              <w:spacing w:before="0" w:after="0"/>
              <w:jc w:val="right"/>
              <w:rPr>
                <w:sz w:val="10"/>
                <w:szCs w:val="10"/>
                <w:lang w:val="fr-BE"/>
              </w:rPr>
            </w:pPr>
            <w:r w:rsidRPr="00601E29">
              <w:rPr>
                <w:noProof/>
                <w:sz w:val="10"/>
                <w:szCs w:val="10"/>
                <w:lang w:val="fr-BE"/>
              </w:rPr>
              <w:t>0,00</w:t>
            </w:r>
            <w:r>
              <w:rPr>
                <w:noProof/>
                <w:sz w:val="10"/>
                <w:szCs w:val="10"/>
                <w:lang w:val="fr-BE"/>
              </w:rPr>
              <w:t>%</w:t>
            </w:r>
          </w:p>
        </w:tc>
        <w:tc>
          <w:tcPr>
            <w:tcW w:w="0" w:type="auto"/>
          </w:tcPr>
          <w:p w14:paraId="1FDDCAEF" w14:textId="77777777" w:rsidR="008C5CFA" w:rsidRPr="00601E29" w:rsidRDefault="008C5CFA" w:rsidP="00300A01">
            <w:pPr>
              <w:spacing w:before="0" w:after="0"/>
              <w:jc w:val="right"/>
              <w:rPr>
                <w:sz w:val="10"/>
                <w:szCs w:val="10"/>
                <w:lang w:val="fr-BE"/>
              </w:rPr>
            </w:pPr>
          </w:p>
        </w:tc>
      </w:tr>
      <w:tr w:rsidR="006B2EC1" w14:paraId="1A48FCB2" w14:textId="77777777" w:rsidTr="0047688D">
        <w:tc>
          <w:tcPr>
            <w:tcW w:w="0" w:type="auto"/>
            <w:shd w:val="clear" w:color="auto" w:fill="auto"/>
          </w:tcPr>
          <w:p w14:paraId="2D6FB1C7" w14:textId="77777777" w:rsidR="008C5CFA" w:rsidRPr="00601E29" w:rsidRDefault="00E82A60" w:rsidP="00300A01">
            <w:pPr>
              <w:spacing w:before="0" w:after="0"/>
              <w:rPr>
                <w:sz w:val="10"/>
                <w:szCs w:val="10"/>
                <w:lang w:val="fr-BE"/>
              </w:rPr>
            </w:pPr>
            <w:r w:rsidRPr="00601E29">
              <w:rPr>
                <w:noProof/>
                <w:sz w:val="10"/>
                <w:szCs w:val="10"/>
                <w:lang w:val="fr-BE"/>
              </w:rPr>
              <w:t>028</w:t>
            </w:r>
          </w:p>
        </w:tc>
        <w:tc>
          <w:tcPr>
            <w:tcW w:w="0" w:type="auto"/>
            <w:shd w:val="clear" w:color="auto" w:fill="auto"/>
          </w:tcPr>
          <w:p w14:paraId="3103E919" w14:textId="77777777" w:rsidR="008C5CFA" w:rsidRPr="00601E29" w:rsidRDefault="00E82A60" w:rsidP="00300A01">
            <w:pPr>
              <w:spacing w:before="0" w:after="0"/>
              <w:rPr>
                <w:sz w:val="10"/>
                <w:szCs w:val="10"/>
                <w:lang w:val="fr-BE"/>
              </w:rPr>
            </w:pPr>
            <w:r w:rsidRPr="00601E29">
              <w:rPr>
                <w:noProof/>
                <w:sz w:val="10"/>
                <w:szCs w:val="10"/>
                <w:lang w:val="fr-BE"/>
              </w:rPr>
              <w:t>Średnia ocena użyteczności systemu informatycznego</w:t>
            </w:r>
          </w:p>
        </w:tc>
        <w:tc>
          <w:tcPr>
            <w:tcW w:w="0" w:type="auto"/>
            <w:shd w:val="clear" w:color="auto" w:fill="auto"/>
          </w:tcPr>
          <w:p w14:paraId="7E123AB2" w14:textId="77777777" w:rsidR="008C5CFA" w:rsidRPr="00601E29" w:rsidRDefault="008C5CFA" w:rsidP="00300A01">
            <w:pPr>
              <w:spacing w:before="0" w:after="0"/>
              <w:rPr>
                <w:sz w:val="10"/>
                <w:szCs w:val="10"/>
                <w:lang w:val="fr-BE"/>
              </w:rPr>
            </w:pPr>
          </w:p>
        </w:tc>
        <w:tc>
          <w:tcPr>
            <w:tcW w:w="0" w:type="auto"/>
          </w:tcPr>
          <w:p w14:paraId="1C62BDF8"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131E9DF3"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189E385D"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08E50D66"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563FABB7"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63AB6505"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414F4CFA" w14:textId="77777777" w:rsidR="008C5CFA" w:rsidRPr="00601E29" w:rsidRDefault="008C5CFA" w:rsidP="00300A01">
            <w:pPr>
              <w:spacing w:before="0" w:after="0"/>
              <w:jc w:val="right"/>
              <w:rPr>
                <w:sz w:val="10"/>
                <w:szCs w:val="10"/>
                <w:lang w:val="fr-BE"/>
              </w:rPr>
            </w:pPr>
          </w:p>
        </w:tc>
      </w:tr>
    </w:tbl>
    <w:p w14:paraId="7D130563" w14:textId="77777777" w:rsidR="008C5CFA" w:rsidRDefault="008C5CFA" w:rsidP="00300A01">
      <w:pPr>
        <w:spacing w:before="0" w:after="0"/>
        <w:rPr>
          <w:lang w:val="fr-BE"/>
        </w:rPr>
      </w:pPr>
    </w:p>
    <w:p w14:paraId="5DC2A72A" w14:textId="77777777" w:rsidR="008C5CFA" w:rsidRDefault="00E82A60" w:rsidP="00300A01">
      <w:pPr>
        <w:spacing w:before="0" w:after="0"/>
        <w:rPr>
          <w:lang w:val="fr-BE"/>
        </w:rPr>
      </w:pPr>
      <w:r>
        <w:rPr>
          <w:lang w:val="fr-BE"/>
        </w:rPr>
        <w:br w:type="page"/>
      </w:r>
    </w:p>
    <w:p w14:paraId="0F93EE5F"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13625"/>
      </w:tblGrid>
      <w:tr w:rsidR="006B2EC1" w14:paraId="03AD6603" w14:textId="77777777" w:rsidTr="0047688D">
        <w:tc>
          <w:tcPr>
            <w:tcW w:w="0" w:type="auto"/>
            <w:shd w:val="clear" w:color="auto" w:fill="auto"/>
          </w:tcPr>
          <w:p w14:paraId="392C6C82" w14:textId="77777777" w:rsidR="008C5CFA" w:rsidRPr="002124FC" w:rsidRDefault="00E82A60" w:rsidP="00300A01">
            <w:pPr>
              <w:spacing w:before="0" w:after="0"/>
              <w:rPr>
                <w:sz w:val="20"/>
                <w:szCs w:val="20"/>
                <w:lang w:val="fr-BE"/>
              </w:rPr>
            </w:pPr>
            <w:r w:rsidRPr="002124FC">
              <w:rPr>
                <w:noProof/>
                <w:sz w:val="20"/>
                <w:szCs w:val="20"/>
                <w:lang w:val="fr-BE"/>
              </w:rPr>
              <w:t>Oś priorytetowa</w:t>
            </w:r>
          </w:p>
        </w:tc>
        <w:tc>
          <w:tcPr>
            <w:tcW w:w="0" w:type="auto"/>
            <w:shd w:val="clear" w:color="auto" w:fill="auto"/>
          </w:tcPr>
          <w:p w14:paraId="784B8154" w14:textId="77777777" w:rsidR="008C5CFA" w:rsidRPr="002124FC" w:rsidRDefault="00E82A60" w:rsidP="00300A01">
            <w:pPr>
              <w:spacing w:before="0" w:after="0"/>
              <w:rPr>
                <w:sz w:val="20"/>
                <w:szCs w:val="20"/>
                <w:lang w:val="fr-BE"/>
              </w:rPr>
            </w:pPr>
            <w:r w:rsidRPr="002124FC">
              <w:rPr>
                <w:noProof/>
                <w:sz w:val="20"/>
                <w:szCs w:val="20"/>
                <w:lang w:val="fr-BE"/>
              </w:rPr>
              <w:t>11</w:t>
            </w:r>
            <w:r w:rsidRPr="002124FC">
              <w:rPr>
                <w:sz w:val="20"/>
                <w:szCs w:val="20"/>
                <w:lang w:val="fr-BE"/>
              </w:rPr>
              <w:t xml:space="preserve"> - </w:t>
            </w:r>
            <w:r w:rsidRPr="002124FC">
              <w:rPr>
                <w:noProof/>
                <w:sz w:val="20"/>
                <w:szCs w:val="20"/>
                <w:lang w:val="fr-BE"/>
              </w:rPr>
              <w:t>Pomoc Techniczna</w:t>
            </w:r>
          </w:p>
        </w:tc>
      </w:tr>
      <w:tr w:rsidR="006B2EC1" w14:paraId="1012E917" w14:textId="77777777" w:rsidTr="0047688D">
        <w:tc>
          <w:tcPr>
            <w:tcW w:w="0" w:type="auto"/>
            <w:shd w:val="clear" w:color="auto" w:fill="auto"/>
          </w:tcPr>
          <w:p w14:paraId="2E2F232F" w14:textId="77777777" w:rsidR="008C5CFA" w:rsidRPr="002124FC" w:rsidRDefault="00E82A60" w:rsidP="00300A01">
            <w:pPr>
              <w:spacing w:before="0" w:after="0"/>
              <w:ind w:left="113" w:hanging="113"/>
              <w:rPr>
                <w:sz w:val="20"/>
                <w:szCs w:val="20"/>
                <w:lang w:val="fr-BE"/>
              </w:rPr>
            </w:pPr>
            <w:r w:rsidRPr="002124FC">
              <w:rPr>
                <w:noProof/>
                <w:sz w:val="20"/>
                <w:szCs w:val="20"/>
                <w:lang w:val="fr-BE"/>
              </w:rPr>
              <w:t>Cel szczegółowy</w:t>
            </w:r>
          </w:p>
        </w:tc>
        <w:tc>
          <w:tcPr>
            <w:tcW w:w="0" w:type="auto"/>
            <w:shd w:val="clear" w:color="auto" w:fill="auto"/>
          </w:tcPr>
          <w:p w14:paraId="61658E59" w14:textId="77777777" w:rsidR="008C5CFA" w:rsidRPr="002124FC" w:rsidRDefault="00E82A60" w:rsidP="00300A01">
            <w:pPr>
              <w:spacing w:before="0" w:after="0"/>
              <w:rPr>
                <w:sz w:val="20"/>
                <w:szCs w:val="20"/>
                <w:lang w:val="fr-BE"/>
              </w:rPr>
            </w:pPr>
            <w:r w:rsidRPr="002124FC">
              <w:rPr>
                <w:noProof/>
                <w:sz w:val="20"/>
                <w:szCs w:val="20"/>
                <w:lang w:val="fr-BE"/>
              </w:rPr>
              <w:t>2</w:t>
            </w:r>
            <w:r w:rsidRPr="002124FC">
              <w:rPr>
                <w:sz w:val="20"/>
                <w:szCs w:val="20"/>
                <w:lang w:val="fr-BE"/>
              </w:rPr>
              <w:t xml:space="preserve"> - </w:t>
            </w:r>
            <w:r w:rsidRPr="002124FC">
              <w:rPr>
                <w:noProof/>
                <w:sz w:val="20"/>
                <w:szCs w:val="20"/>
                <w:lang w:val="fr-BE"/>
              </w:rPr>
              <w:t>Wzmocnienie potencjału administracyjnego jednostek uczestniczących we wdrażaniu Regionalnego Programu Operacyjnego Województwa Świętokrzyskiego na lata 2014-2020.</w:t>
            </w:r>
          </w:p>
        </w:tc>
      </w:tr>
    </w:tbl>
    <w:p w14:paraId="4084DB64" w14:textId="77777777" w:rsidR="008C5CFA" w:rsidRDefault="008C5CFA" w:rsidP="00300A01">
      <w:pPr>
        <w:spacing w:before="0" w:after="0"/>
        <w:rPr>
          <w:lang w:val="fr-BE"/>
        </w:rPr>
      </w:pPr>
    </w:p>
    <w:p w14:paraId="43E16278" w14:textId="77777777" w:rsidR="008C5CFA" w:rsidRDefault="00E82A60" w:rsidP="00300A01">
      <w:pPr>
        <w:pStyle w:val="Nagwek2"/>
        <w:spacing w:before="0" w:after="0"/>
      </w:pPr>
      <w:bookmarkStart w:id="82" w:name="_Toc46391766"/>
      <w:r w:rsidRPr="008E457C">
        <w:rPr>
          <w:noProof/>
          <w:lang w:val="fr-BE"/>
        </w:rPr>
        <w:t>Tabela 2C</w:t>
      </w:r>
      <w:r w:rsidRPr="008E457C">
        <w:t xml:space="preserve"> : </w:t>
      </w:r>
      <w:r w:rsidRPr="008E457C">
        <w:rPr>
          <w:noProof/>
          <w:lang w:val="fr-BE"/>
        </w:rPr>
        <w:t>Specyficzne dla programu wskaźniki rezultatu dla EFS oraz Inicjatywy na rzecz zatrudnienia ludzi młodych</w:t>
      </w:r>
      <w:r w:rsidR="00BF682D">
        <w:t xml:space="preserve"> - </w:t>
      </w:r>
      <w:r w:rsidR="00BF682D" w:rsidRPr="002124FC">
        <w:rPr>
          <w:noProof/>
          <w:sz w:val="20"/>
          <w:szCs w:val="20"/>
          <w:lang w:val="fr-BE"/>
        </w:rPr>
        <w:t>11</w:t>
      </w:r>
      <w:r w:rsidR="00BF682D">
        <w:rPr>
          <w:sz w:val="20"/>
          <w:szCs w:val="20"/>
          <w:lang w:val="fr-BE"/>
        </w:rPr>
        <w:t xml:space="preserve"> / </w:t>
      </w:r>
      <w:r w:rsidR="00BF682D" w:rsidRPr="002124FC">
        <w:rPr>
          <w:noProof/>
          <w:sz w:val="20"/>
          <w:szCs w:val="20"/>
          <w:lang w:val="fr-BE"/>
        </w:rPr>
        <w:t>2</w:t>
      </w:r>
      <w:bookmarkEnd w:id="82"/>
    </w:p>
    <w:p w14:paraId="388B78F3"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65"/>
        <w:gridCol w:w="2867"/>
        <w:gridCol w:w="765"/>
        <w:gridCol w:w="1103"/>
        <w:gridCol w:w="2032"/>
        <w:gridCol w:w="1694"/>
        <w:gridCol w:w="448"/>
        <w:gridCol w:w="564"/>
        <w:gridCol w:w="453"/>
        <w:gridCol w:w="448"/>
        <w:gridCol w:w="564"/>
        <w:gridCol w:w="453"/>
        <w:gridCol w:w="448"/>
        <w:gridCol w:w="564"/>
        <w:gridCol w:w="453"/>
        <w:gridCol w:w="448"/>
        <w:gridCol w:w="564"/>
        <w:gridCol w:w="453"/>
        <w:gridCol w:w="598"/>
      </w:tblGrid>
      <w:tr w:rsidR="006B2EC1" w14:paraId="5DFB8424" w14:textId="77777777" w:rsidTr="0047688D">
        <w:trPr>
          <w:tblHeader/>
        </w:trPr>
        <w:tc>
          <w:tcPr>
            <w:tcW w:w="0" w:type="auto"/>
            <w:shd w:val="clear" w:color="auto" w:fill="auto"/>
          </w:tcPr>
          <w:p w14:paraId="59ABD692" w14:textId="77777777" w:rsidR="008C5CFA" w:rsidRPr="00601E29" w:rsidRDefault="00E82A60" w:rsidP="00300A01">
            <w:pPr>
              <w:spacing w:before="0" w:after="0"/>
              <w:rPr>
                <w:b/>
                <w:sz w:val="10"/>
                <w:szCs w:val="10"/>
                <w:lang w:val="fr-BE"/>
              </w:rPr>
            </w:pPr>
            <w:r w:rsidRPr="00601E29">
              <w:rPr>
                <w:b/>
                <w:noProof/>
                <w:sz w:val="10"/>
                <w:szCs w:val="10"/>
                <w:lang w:val="fr-BE"/>
              </w:rPr>
              <w:t>ID</w:t>
            </w:r>
          </w:p>
        </w:tc>
        <w:tc>
          <w:tcPr>
            <w:tcW w:w="0" w:type="auto"/>
            <w:shd w:val="clear" w:color="auto" w:fill="auto"/>
          </w:tcPr>
          <w:p w14:paraId="30538624" w14:textId="77777777" w:rsidR="008C5CFA" w:rsidRPr="00601E29" w:rsidRDefault="00E82A60" w:rsidP="00300A01">
            <w:pPr>
              <w:spacing w:before="0" w:after="0"/>
              <w:rPr>
                <w:b/>
                <w:sz w:val="10"/>
                <w:szCs w:val="10"/>
                <w:lang w:val="fr-BE"/>
              </w:rPr>
            </w:pPr>
            <w:r w:rsidRPr="00601E29">
              <w:rPr>
                <w:b/>
                <w:noProof/>
                <w:sz w:val="10"/>
                <w:szCs w:val="10"/>
                <w:lang w:val="fr-BE"/>
              </w:rPr>
              <w:t>Wskaźnik</w:t>
            </w:r>
          </w:p>
        </w:tc>
        <w:tc>
          <w:tcPr>
            <w:tcW w:w="0" w:type="auto"/>
            <w:shd w:val="clear" w:color="auto" w:fill="auto"/>
          </w:tcPr>
          <w:p w14:paraId="0F4DEA86" w14:textId="77777777" w:rsidR="008C5CFA" w:rsidRPr="00601E29" w:rsidRDefault="00E82A60" w:rsidP="00300A01">
            <w:pPr>
              <w:spacing w:before="0" w:after="0"/>
              <w:rPr>
                <w:b/>
                <w:sz w:val="10"/>
                <w:szCs w:val="10"/>
                <w:lang w:val="fr-BE"/>
              </w:rPr>
            </w:pPr>
            <w:r w:rsidRPr="00601E29">
              <w:rPr>
                <w:b/>
                <w:noProof/>
                <w:sz w:val="10"/>
                <w:szCs w:val="10"/>
                <w:lang w:val="fr-BE"/>
              </w:rPr>
              <w:t>Kategoria regionu</w:t>
            </w:r>
          </w:p>
        </w:tc>
        <w:tc>
          <w:tcPr>
            <w:tcW w:w="0" w:type="auto"/>
            <w:shd w:val="clear" w:color="auto" w:fill="auto"/>
          </w:tcPr>
          <w:p w14:paraId="3B2AC92F" w14:textId="77777777" w:rsidR="008C5CFA" w:rsidRPr="00601E29" w:rsidRDefault="00E82A60" w:rsidP="00300A01">
            <w:pPr>
              <w:spacing w:before="0" w:after="0"/>
              <w:rPr>
                <w:b/>
                <w:sz w:val="10"/>
                <w:szCs w:val="10"/>
                <w:lang w:val="fr-BE"/>
              </w:rPr>
            </w:pPr>
            <w:r w:rsidRPr="00785F4A">
              <w:rPr>
                <w:b/>
                <w:noProof/>
                <w:sz w:val="10"/>
                <w:szCs w:val="10"/>
                <w:lang w:val="fr-BE"/>
              </w:rPr>
              <w:t>Jednostka pomiaru wskaźnika</w:t>
            </w:r>
          </w:p>
        </w:tc>
        <w:tc>
          <w:tcPr>
            <w:tcW w:w="0" w:type="auto"/>
            <w:shd w:val="clear" w:color="auto" w:fill="auto"/>
          </w:tcPr>
          <w:p w14:paraId="7374D3E2" w14:textId="77777777" w:rsidR="008C5CFA" w:rsidRPr="00601E29" w:rsidRDefault="00E82A60" w:rsidP="00300A01">
            <w:pPr>
              <w:spacing w:before="0" w:after="0"/>
              <w:rPr>
                <w:b/>
                <w:sz w:val="10"/>
                <w:szCs w:val="10"/>
                <w:lang w:val="fr-BE"/>
              </w:rPr>
            </w:pPr>
            <w:r w:rsidRPr="00601E29">
              <w:rPr>
                <w:b/>
                <w:noProof/>
                <w:sz w:val="10"/>
                <w:szCs w:val="10"/>
                <w:lang w:val="fr-BE"/>
              </w:rPr>
              <w:t>Wskaźnik produktu stosowany jako podstawa do ustalania celów</w:t>
            </w:r>
          </w:p>
        </w:tc>
        <w:tc>
          <w:tcPr>
            <w:tcW w:w="0" w:type="auto"/>
            <w:shd w:val="clear" w:color="auto" w:fill="auto"/>
          </w:tcPr>
          <w:p w14:paraId="63F16DB3" w14:textId="77777777" w:rsidR="008C5CFA" w:rsidRPr="00601E29" w:rsidRDefault="00E82A60" w:rsidP="00300A01">
            <w:pPr>
              <w:spacing w:before="0" w:after="0"/>
              <w:rPr>
                <w:b/>
                <w:sz w:val="10"/>
                <w:szCs w:val="10"/>
                <w:lang w:val="fr-BE"/>
              </w:rPr>
            </w:pPr>
            <w:r w:rsidRPr="00601E29">
              <w:rPr>
                <w:b/>
                <w:noProof/>
                <w:sz w:val="10"/>
                <w:szCs w:val="10"/>
                <w:lang w:val="fr-BE"/>
              </w:rPr>
              <w:t>Jednostka pomiaru dla wartości bazowej i docelowej</w:t>
            </w:r>
          </w:p>
        </w:tc>
        <w:tc>
          <w:tcPr>
            <w:tcW w:w="0" w:type="auto"/>
            <w:gridSpan w:val="3"/>
            <w:shd w:val="clear" w:color="auto" w:fill="auto"/>
          </w:tcPr>
          <w:p w14:paraId="400A5BBF" w14:textId="77777777" w:rsidR="008C5CFA" w:rsidRPr="00601E29" w:rsidRDefault="00E82A60" w:rsidP="00300A01">
            <w:pPr>
              <w:spacing w:before="0" w:after="0"/>
              <w:jc w:val="center"/>
              <w:rPr>
                <w:b/>
                <w:sz w:val="10"/>
                <w:szCs w:val="10"/>
                <w:lang w:val="fr-BE"/>
              </w:rPr>
            </w:pPr>
            <w:r w:rsidRPr="00601E29">
              <w:rPr>
                <w:b/>
                <w:noProof/>
                <w:sz w:val="10"/>
                <w:szCs w:val="10"/>
                <w:lang w:val="fr-BE"/>
              </w:rPr>
              <w:t>Wartość docelowa (2023)</w:t>
            </w:r>
          </w:p>
        </w:tc>
        <w:tc>
          <w:tcPr>
            <w:tcW w:w="0" w:type="auto"/>
            <w:gridSpan w:val="3"/>
            <w:shd w:val="clear" w:color="auto" w:fill="auto"/>
          </w:tcPr>
          <w:p w14:paraId="686E818E" w14:textId="77777777" w:rsidR="008C5CFA" w:rsidRPr="00601E29" w:rsidRDefault="00E82A60" w:rsidP="00300A01">
            <w:pPr>
              <w:spacing w:before="0" w:after="0"/>
              <w:jc w:val="center"/>
              <w:rPr>
                <w:b/>
                <w:sz w:val="10"/>
                <w:szCs w:val="10"/>
                <w:lang w:val="fr-BE"/>
              </w:rPr>
            </w:pPr>
            <w:r w:rsidRPr="00601E29">
              <w:rPr>
                <w:b/>
                <w:noProof/>
                <w:sz w:val="10"/>
                <w:szCs w:val="10"/>
                <w:lang w:val="fr-BE"/>
              </w:rPr>
              <w:t>Wskaźnik osiągnięć</w:t>
            </w:r>
          </w:p>
        </w:tc>
        <w:tc>
          <w:tcPr>
            <w:tcW w:w="0" w:type="auto"/>
            <w:gridSpan w:val="7"/>
            <w:shd w:val="clear" w:color="auto" w:fill="auto"/>
          </w:tcPr>
          <w:p w14:paraId="726D1640" w14:textId="77777777" w:rsidR="008C5CFA" w:rsidRPr="00601E29" w:rsidRDefault="00E82A60" w:rsidP="00300A01">
            <w:pPr>
              <w:spacing w:before="0" w:after="0"/>
              <w:jc w:val="center"/>
              <w:rPr>
                <w:b/>
                <w:sz w:val="10"/>
                <w:szCs w:val="10"/>
                <w:lang w:val="fr-BE"/>
              </w:rPr>
            </w:pPr>
            <w:r>
              <w:rPr>
                <w:b/>
                <w:sz w:val="10"/>
                <w:szCs w:val="10"/>
                <w:lang w:val="fr-BE"/>
              </w:rPr>
              <w:t>2019</w:t>
            </w:r>
          </w:p>
        </w:tc>
      </w:tr>
      <w:tr w:rsidR="006B2EC1" w14:paraId="2E3FE8C7" w14:textId="77777777" w:rsidTr="0047688D">
        <w:trPr>
          <w:tblHeader/>
        </w:trPr>
        <w:tc>
          <w:tcPr>
            <w:tcW w:w="0" w:type="auto"/>
            <w:shd w:val="clear" w:color="auto" w:fill="auto"/>
          </w:tcPr>
          <w:p w14:paraId="150952B1" w14:textId="77777777" w:rsidR="008C5CFA" w:rsidRPr="00601E29" w:rsidRDefault="008C5CFA" w:rsidP="00300A01">
            <w:pPr>
              <w:spacing w:before="0" w:after="0"/>
              <w:rPr>
                <w:b/>
                <w:sz w:val="10"/>
                <w:szCs w:val="10"/>
                <w:lang w:val="fr-BE"/>
              </w:rPr>
            </w:pPr>
          </w:p>
        </w:tc>
        <w:tc>
          <w:tcPr>
            <w:tcW w:w="0" w:type="auto"/>
            <w:shd w:val="clear" w:color="auto" w:fill="auto"/>
          </w:tcPr>
          <w:p w14:paraId="21B5FC36" w14:textId="77777777" w:rsidR="008C5CFA" w:rsidRPr="00601E29" w:rsidRDefault="008C5CFA" w:rsidP="00300A01">
            <w:pPr>
              <w:spacing w:before="0" w:after="0"/>
              <w:rPr>
                <w:b/>
                <w:sz w:val="10"/>
                <w:szCs w:val="10"/>
                <w:lang w:val="fr-BE"/>
              </w:rPr>
            </w:pPr>
          </w:p>
        </w:tc>
        <w:tc>
          <w:tcPr>
            <w:tcW w:w="0" w:type="auto"/>
            <w:shd w:val="clear" w:color="auto" w:fill="auto"/>
          </w:tcPr>
          <w:p w14:paraId="5D996806" w14:textId="77777777" w:rsidR="008C5CFA" w:rsidRPr="00601E29" w:rsidRDefault="008C5CFA" w:rsidP="00300A01">
            <w:pPr>
              <w:spacing w:before="0" w:after="0"/>
              <w:rPr>
                <w:b/>
                <w:sz w:val="10"/>
                <w:szCs w:val="10"/>
                <w:lang w:val="fr-BE"/>
              </w:rPr>
            </w:pPr>
          </w:p>
        </w:tc>
        <w:tc>
          <w:tcPr>
            <w:tcW w:w="0" w:type="auto"/>
            <w:shd w:val="clear" w:color="auto" w:fill="auto"/>
          </w:tcPr>
          <w:p w14:paraId="6138A829" w14:textId="77777777" w:rsidR="008C5CFA" w:rsidRPr="00601E29" w:rsidRDefault="008C5CFA" w:rsidP="00300A01">
            <w:pPr>
              <w:spacing w:before="0" w:after="0"/>
              <w:rPr>
                <w:b/>
                <w:sz w:val="10"/>
                <w:szCs w:val="10"/>
                <w:lang w:val="fr-BE"/>
              </w:rPr>
            </w:pPr>
          </w:p>
        </w:tc>
        <w:tc>
          <w:tcPr>
            <w:tcW w:w="0" w:type="auto"/>
            <w:shd w:val="clear" w:color="auto" w:fill="auto"/>
          </w:tcPr>
          <w:p w14:paraId="55982202" w14:textId="77777777" w:rsidR="008C5CFA" w:rsidRPr="00601E29" w:rsidRDefault="008C5CFA" w:rsidP="00300A01">
            <w:pPr>
              <w:spacing w:before="0" w:after="0"/>
              <w:rPr>
                <w:b/>
                <w:sz w:val="10"/>
                <w:szCs w:val="10"/>
                <w:lang w:val="fr-BE"/>
              </w:rPr>
            </w:pPr>
          </w:p>
        </w:tc>
        <w:tc>
          <w:tcPr>
            <w:tcW w:w="0" w:type="auto"/>
            <w:shd w:val="clear" w:color="auto" w:fill="auto"/>
          </w:tcPr>
          <w:p w14:paraId="485D7CE5" w14:textId="77777777" w:rsidR="008C5CFA" w:rsidRPr="00601E29" w:rsidRDefault="008C5CFA" w:rsidP="00300A01">
            <w:pPr>
              <w:spacing w:before="0" w:after="0"/>
              <w:rPr>
                <w:b/>
                <w:sz w:val="10"/>
                <w:szCs w:val="10"/>
                <w:lang w:val="fr-BE"/>
              </w:rPr>
            </w:pPr>
          </w:p>
        </w:tc>
        <w:tc>
          <w:tcPr>
            <w:tcW w:w="0" w:type="auto"/>
            <w:shd w:val="clear" w:color="auto" w:fill="auto"/>
          </w:tcPr>
          <w:p w14:paraId="458D32AF" w14:textId="77777777" w:rsidR="008C5CFA" w:rsidRPr="00601E29" w:rsidRDefault="008C5CFA" w:rsidP="00300A01">
            <w:pPr>
              <w:spacing w:before="0" w:after="0"/>
              <w:jc w:val="center"/>
              <w:rPr>
                <w:b/>
                <w:sz w:val="10"/>
                <w:szCs w:val="10"/>
                <w:lang w:val="fr-BE"/>
              </w:rPr>
            </w:pPr>
          </w:p>
        </w:tc>
        <w:tc>
          <w:tcPr>
            <w:tcW w:w="0" w:type="auto"/>
            <w:shd w:val="clear" w:color="auto" w:fill="auto"/>
          </w:tcPr>
          <w:p w14:paraId="54DE4714" w14:textId="77777777" w:rsidR="008C5CFA" w:rsidRPr="00601E29" w:rsidRDefault="008C5CFA" w:rsidP="00300A01">
            <w:pPr>
              <w:spacing w:before="0" w:after="0"/>
              <w:jc w:val="center"/>
              <w:rPr>
                <w:b/>
                <w:sz w:val="10"/>
                <w:szCs w:val="10"/>
                <w:lang w:val="fr-BE"/>
              </w:rPr>
            </w:pPr>
          </w:p>
        </w:tc>
        <w:tc>
          <w:tcPr>
            <w:tcW w:w="0" w:type="auto"/>
            <w:shd w:val="clear" w:color="auto" w:fill="auto"/>
          </w:tcPr>
          <w:p w14:paraId="6E59AC7E" w14:textId="77777777" w:rsidR="008C5CFA" w:rsidRPr="00601E29" w:rsidRDefault="008C5CFA" w:rsidP="00300A01">
            <w:pPr>
              <w:spacing w:before="0" w:after="0"/>
              <w:jc w:val="center"/>
              <w:rPr>
                <w:b/>
                <w:sz w:val="10"/>
                <w:szCs w:val="10"/>
                <w:lang w:val="fr-BE"/>
              </w:rPr>
            </w:pPr>
          </w:p>
        </w:tc>
        <w:tc>
          <w:tcPr>
            <w:tcW w:w="0" w:type="auto"/>
            <w:shd w:val="clear" w:color="auto" w:fill="auto"/>
          </w:tcPr>
          <w:p w14:paraId="013B6300" w14:textId="77777777" w:rsidR="008C5CFA" w:rsidRPr="00601E29" w:rsidRDefault="008C5CFA" w:rsidP="00300A01">
            <w:pPr>
              <w:spacing w:before="0" w:after="0"/>
              <w:jc w:val="center"/>
              <w:rPr>
                <w:b/>
                <w:sz w:val="10"/>
                <w:szCs w:val="10"/>
                <w:lang w:val="fr-BE"/>
              </w:rPr>
            </w:pPr>
          </w:p>
        </w:tc>
        <w:tc>
          <w:tcPr>
            <w:tcW w:w="0" w:type="auto"/>
            <w:shd w:val="clear" w:color="auto" w:fill="auto"/>
          </w:tcPr>
          <w:p w14:paraId="5E51A8FA" w14:textId="77777777" w:rsidR="008C5CFA" w:rsidRPr="00601E29" w:rsidRDefault="008C5CFA" w:rsidP="00300A01">
            <w:pPr>
              <w:spacing w:before="0" w:after="0"/>
              <w:jc w:val="center"/>
              <w:rPr>
                <w:b/>
                <w:sz w:val="10"/>
                <w:szCs w:val="10"/>
                <w:lang w:val="fr-BE"/>
              </w:rPr>
            </w:pPr>
          </w:p>
        </w:tc>
        <w:tc>
          <w:tcPr>
            <w:tcW w:w="0" w:type="auto"/>
            <w:shd w:val="clear" w:color="auto" w:fill="auto"/>
          </w:tcPr>
          <w:p w14:paraId="7DCC5E94" w14:textId="77777777" w:rsidR="008C5CFA" w:rsidRPr="00601E29" w:rsidRDefault="008C5CFA" w:rsidP="00300A01">
            <w:pPr>
              <w:spacing w:before="0" w:after="0"/>
              <w:jc w:val="center"/>
              <w:rPr>
                <w:b/>
                <w:sz w:val="10"/>
                <w:szCs w:val="10"/>
                <w:lang w:val="fr-BE"/>
              </w:rPr>
            </w:pPr>
          </w:p>
        </w:tc>
        <w:tc>
          <w:tcPr>
            <w:tcW w:w="0" w:type="auto"/>
            <w:gridSpan w:val="3"/>
            <w:shd w:val="clear" w:color="auto" w:fill="auto"/>
          </w:tcPr>
          <w:p w14:paraId="24553E51" w14:textId="77777777" w:rsidR="008C5CFA" w:rsidRPr="00601E29" w:rsidRDefault="00E82A60" w:rsidP="00300A01">
            <w:pPr>
              <w:spacing w:before="0" w:after="0"/>
              <w:jc w:val="center"/>
              <w:rPr>
                <w:b/>
                <w:sz w:val="10"/>
                <w:szCs w:val="10"/>
                <w:lang w:val="fr-BE"/>
              </w:rPr>
            </w:pPr>
            <w:r w:rsidRPr="00601E29">
              <w:rPr>
                <w:b/>
                <w:noProof/>
                <w:sz w:val="10"/>
                <w:szCs w:val="10"/>
                <w:lang w:val="fr-BE"/>
              </w:rPr>
              <w:t>Łącznie</w:t>
            </w:r>
          </w:p>
        </w:tc>
        <w:tc>
          <w:tcPr>
            <w:tcW w:w="0" w:type="auto"/>
            <w:gridSpan w:val="3"/>
          </w:tcPr>
          <w:p w14:paraId="7544684A" w14:textId="77777777" w:rsidR="008C5CFA" w:rsidRPr="00601E29" w:rsidRDefault="00E82A60" w:rsidP="00300A01">
            <w:pPr>
              <w:spacing w:before="0" w:after="0"/>
              <w:jc w:val="center"/>
              <w:rPr>
                <w:b/>
                <w:sz w:val="10"/>
                <w:szCs w:val="10"/>
                <w:lang w:val="fr-BE"/>
              </w:rPr>
            </w:pPr>
            <w:r w:rsidRPr="00601E29">
              <w:rPr>
                <w:b/>
                <w:noProof/>
                <w:sz w:val="10"/>
                <w:szCs w:val="10"/>
                <w:lang w:val="fr-BE"/>
              </w:rPr>
              <w:t>Łącznie w roku</w:t>
            </w:r>
          </w:p>
        </w:tc>
        <w:tc>
          <w:tcPr>
            <w:tcW w:w="0" w:type="auto"/>
          </w:tcPr>
          <w:p w14:paraId="5C61C7EE" w14:textId="77777777" w:rsidR="008C5CFA" w:rsidRPr="00601E29" w:rsidRDefault="00E82A60" w:rsidP="00300A01">
            <w:pPr>
              <w:spacing w:before="0" w:after="0"/>
              <w:jc w:val="center"/>
              <w:rPr>
                <w:b/>
                <w:sz w:val="10"/>
                <w:szCs w:val="10"/>
                <w:lang w:val="fr-BE"/>
              </w:rPr>
            </w:pPr>
            <w:r w:rsidRPr="00601E29">
              <w:rPr>
                <w:b/>
                <w:noProof/>
                <w:sz w:val="10"/>
                <w:szCs w:val="10"/>
                <w:lang w:val="fr-BE"/>
              </w:rPr>
              <w:t>Jakościowe</w:t>
            </w:r>
          </w:p>
        </w:tc>
      </w:tr>
      <w:tr w:rsidR="006B2EC1" w14:paraId="411A2D09" w14:textId="77777777" w:rsidTr="0047688D">
        <w:trPr>
          <w:tblHeader/>
        </w:trPr>
        <w:tc>
          <w:tcPr>
            <w:tcW w:w="0" w:type="auto"/>
            <w:shd w:val="clear" w:color="auto" w:fill="auto"/>
          </w:tcPr>
          <w:p w14:paraId="64D1E2AC" w14:textId="77777777" w:rsidR="008C5CFA" w:rsidRPr="00601E29" w:rsidRDefault="008C5CFA" w:rsidP="00300A01">
            <w:pPr>
              <w:spacing w:before="0" w:after="0"/>
              <w:rPr>
                <w:b/>
                <w:sz w:val="10"/>
                <w:szCs w:val="10"/>
                <w:lang w:val="fr-BE"/>
              </w:rPr>
            </w:pPr>
          </w:p>
        </w:tc>
        <w:tc>
          <w:tcPr>
            <w:tcW w:w="0" w:type="auto"/>
            <w:shd w:val="clear" w:color="auto" w:fill="auto"/>
          </w:tcPr>
          <w:p w14:paraId="62F1CC28" w14:textId="77777777" w:rsidR="008C5CFA" w:rsidRPr="00601E29" w:rsidRDefault="008C5CFA" w:rsidP="00300A01">
            <w:pPr>
              <w:spacing w:before="0" w:after="0"/>
              <w:rPr>
                <w:b/>
                <w:sz w:val="10"/>
                <w:szCs w:val="10"/>
                <w:lang w:val="fr-BE"/>
              </w:rPr>
            </w:pPr>
          </w:p>
        </w:tc>
        <w:tc>
          <w:tcPr>
            <w:tcW w:w="0" w:type="auto"/>
            <w:shd w:val="clear" w:color="auto" w:fill="auto"/>
          </w:tcPr>
          <w:p w14:paraId="7131F50B" w14:textId="77777777" w:rsidR="008C5CFA" w:rsidRPr="00601E29" w:rsidRDefault="008C5CFA" w:rsidP="00300A01">
            <w:pPr>
              <w:spacing w:before="0" w:after="0"/>
              <w:rPr>
                <w:b/>
                <w:sz w:val="10"/>
                <w:szCs w:val="10"/>
                <w:lang w:val="fr-BE"/>
              </w:rPr>
            </w:pPr>
          </w:p>
        </w:tc>
        <w:tc>
          <w:tcPr>
            <w:tcW w:w="0" w:type="auto"/>
            <w:shd w:val="clear" w:color="auto" w:fill="auto"/>
          </w:tcPr>
          <w:p w14:paraId="24929106" w14:textId="77777777" w:rsidR="008C5CFA" w:rsidRPr="00601E29" w:rsidRDefault="008C5CFA" w:rsidP="00300A01">
            <w:pPr>
              <w:spacing w:before="0" w:after="0"/>
              <w:rPr>
                <w:b/>
                <w:sz w:val="10"/>
                <w:szCs w:val="10"/>
                <w:lang w:val="fr-BE"/>
              </w:rPr>
            </w:pPr>
          </w:p>
        </w:tc>
        <w:tc>
          <w:tcPr>
            <w:tcW w:w="0" w:type="auto"/>
            <w:shd w:val="clear" w:color="auto" w:fill="auto"/>
          </w:tcPr>
          <w:p w14:paraId="25D2478E" w14:textId="77777777" w:rsidR="008C5CFA" w:rsidRPr="00601E29" w:rsidRDefault="008C5CFA" w:rsidP="00300A01">
            <w:pPr>
              <w:spacing w:before="0" w:after="0"/>
              <w:rPr>
                <w:b/>
                <w:sz w:val="10"/>
                <w:szCs w:val="10"/>
                <w:lang w:val="fr-BE"/>
              </w:rPr>
            </w:pPr>
          </w:p>
        </w:tc>
        <w:tc>
          <w:tcPr>
            <w:tcW w:w="0" w:type="auto"/>
            <w:shd w:val="clear" w:color="auto" w:fill="auto"/>
          </w:tcPr>
          <w:p w14:paraId="0F0FEB28" w14:textId="77777777" w:rsidR="008C5CFA" w:rsidRPr="00601E29" w:rsidRDefault="008C5CFA" w:rsidP="00300A01">
            <w:pPr>
              <w:spacing w:before="0" w:after="0"/>
              <w:rPr>
                <w:b/>
                <w:sz w:val="10"/>
                <w:szCs w:val="10"/>
                <w:lang w:val="fr-BE"/>
              </w:rPr>
            </w:pPr>
          </w:p>
        </w:tc>
        <w:tc>
          <w:tcPr>
            <w:tcW w:w="0" w:type="auto"/>
            <w:shd w:val="clear" w:color="auto" w:fill="auto"/>
          </w:tcPr>
          <w:p w14:paraId="70BD0577" w14:textId="77777777" w:rsidR="008C5CFA" w:rsidRPr="00601E29" w:rsidRDefault="00E82A60" w:rsidP="00300A01">
            <w:pPr>
              <w:spacing w:before="0" w:after="0"/>
              <w:jc w:val="center"/>
              <w:rPr>
                <w:b/>
                <w:sz w:val="10"/>
                <w:szCs w:val="10"/>
                <w:lang w:val="fr-BE"/>
              </w:rPr>
            </w:pPr>
            <w:r w:rsidRPr="00601E29">
              <w:rPr>
                <w:b/>
                <w:noProof/>
                <w:sz w:val="10"/>
                <w:szCs w:val="10"/>
                <w:lang w:val="fr-BE"/>
              </w:rPr>
              <w:t>Ogółem</w:t>
            </w:r>
          </w:p>
        </w:tc>
        <w:tc>
          <w:tcPr>
            <w:tcW w:w="0" w:type="auto"/>
            <w:shd w:val="clear" w:color="auto" w:fill="auto"/>
          </w:tcPr>
          <w:p w14:paraId="1E879F51" w14:textId="77777777" w:rsidR="008C5CFA" w:rsidRPr="00601E29" w:rsidRDefault="00E82A60" w:rsidP="00300A01">
            <w:pPr>
              <w:spacing w:before="0" w:after="0"/>
              <w:jc w:val="center"/>
              <w:rPr>
                <w:b/>
                <w:sz w:val="10"/>
                <w:szCs w:val="10"/>
                <w:lang w:val="fr-BE"/>
              </w:rPr>
            </w:pPr>
            <w:r w:rsidRPr="00601E29">
              <w:rPr>
                <w:b/>
                <w:noProof/>
                <w:sz w:val="10"/>
                <w:szCs w:val="10"/>
                <w:lang w:val="fr-BE"/>
              </w:rPr>
              <w:t>Mężczyźni</w:t>
            </w:r>
          </w:p>
        </w:tc>
        <w:tc>
          <w:tcPr>
            <w:tcW w:w="0" w:type="auto"/>
            <w:shd w:val="clear" w:color="auto" w:fill="auto"/>
          </w:tcPr>
          <w:p w14:paraId="53F7AE48" w14:textId="77777777" w:rsidR="008C5CFA" w:rsidRPr="00601E29" w:rsidRDefault="00E82A60" w:rsidP="00300A01">
            <w:pPr>
              <w:spacing w:before="0" w:after="0"/>
              <w:jc w:val="center"/>
              <w:rPr>
                <w:b/>
                <w:sz w:val="10"/>
                <w:szCs w:val="10"/>
                <w:lang w:val="fr-BE"/>
              </w:rPr>
            </w:pPr>
            <w:r w:rsidRPr="00601E29">
              <w:rPr>
                <w:b/>
                <w:noProof/>
                <w:sz w:val="10"/>
                <w:szCs w:val="10"/>
                <w:lang w:val="fr-BE"/>
              </w:rPr>
              <w:t>Kobiety</w:t>
            </w:r>
          </w:p>
        </w:tc>
        <w:tc>
          <w:tcPr>
            <w:tcW w:w="0" w:type="auto"/>
            <w:shd w:val="clear" w:color="auto" w:fill="auto"/>
          </w:tcPr>
          <w:p w14:paraId="5FE5E169" w14:textId="77777777" w:rsidR="008C5CFA" w:rsidRPr="00601E29" w:rsidRDefault="00E82A60" w:rsidP="00300A01">
            <w:pPr>
              <w:spacing w:before="0" w:after="0"/>
              <w:jc w:val="center"/>
              <w:rPr>
                <w:b/>
                <w:sz w:val="10"/>
                <w:szCs w:val="10"/>
                <w:lang w:val="fr-BE"/>
              </w:rPr>
            </w:pPr>
            <w:r w:rsidRPr="00601E29">
              <w:rPr>
                <w:b/>
                <w:noProof/>
                <w:sz w:val="10"/>
                <w:szCs w:val="10"/>
                <w:lang w:val="fr-BE"/>
              </w:rPr>
              <w:t>Ogółem</w:t>
            </w:r>
          </w:p>
        </w:tc>
        <w:tc>
          <w:tcPr>
            <w:tcW w:w="0" w:type="auto"/>
            <w:shd w:val="clear" w:color="auto" w:fill="auto"/>
          </w:tcPr>
          <w:p w14:paraId="11057082" w14:textId="77777777" w:rsidR="008C5CFA" w:rsidRPr="00601E29" w:rsidRDefault="00E82A60" w:rsidP="00300A01">
            <w:pPr>
              <w:spacing w:before="0" w:after="0"/>
              <w:jc w:val="center"/>
              <w:rPr>
                <w:b/>
                <w:sz w:val="10"/>
                <w:szCs w:val="10"/>
                <w:lang w:val="fr-BE"/>
              </w:rPr>
            </w:pPr>
            <w:r w:rsidRPr="00601E29">
              <w:rPr>
                <w:b/>
                <w:noProof/>
                <w:sz w:val="10"/>
                <w:szCs w:val="10"/>
                <w:lang w:val="fr-BE"/>
              </w:rPr>
              <w:t>Mężczyźni</w:t>
            </w:r>
          </w:p>
        </w:tc>
        <w:tc>
          <w:tcPr>
            <w:tcW w:w="0" w:type="auto"/>
            <w:shd w:val="clear" w:color="auto" w:fill="auto"/>
          </w:tcPr>
          <w:p w14:paraId="18B9EC44" w14:textId="77777777" w:rsidR="008C5CFA" w:rsidRPr="00601E29" w:rsidRDefault="00E82A60" w:rsidP="00300A01">
            <w:pPr>
              <w:spacing w:before="0" w:after="0"/>
              <w:jc w:val="center"/>
              <w:rPr>
                <w:b/>
                <w:sz w:val="10"/>
                <w:szCs w:val="10"/>
                <w:lang w:val="fr-BE"/>
              </w:rPr>
            </w:pPr>
            <w:r w:rsidRPr="00601E29">
              <w:rPr>
                <w:b/>
                <w:noProof/>
                <w:sz w:val="10"/>
                <w:szCs w:val="10"/>
                <w:lang w:val="fr-BE"/>
              </w:rPr>
              <w:t>Kobiety</w:t>
            </w:r>
          </w:p>
        </w:tc>
        <w:tc>
          <w:tcPr>
            <w:tcW w:w="0" w:type="auto"/>
            <w:shd w:val="clear" w:color="auto" w:fill="auto"/>
          </w:tcPr>
          <w:p w14:paraId="2FA9B9A8" w14:textId="77777777" w:rsidR="008C5CFA" w:rsidRPr="00601E29" w:rsidRDefault="00E82A60" w:rsidP="00300A01">
            <w:pPr>
              <w:spacing w:before="0" w:after="0"/>
              <w:jc w:val="center"/>
              <w:rPr>
                <w:b/>
                <w:sz w:val="10"/>
                <w:szCs w:val="10"/>
                <w:lang w:val="fr-BE"/>
              </w:rPr>
            </w:pPr>
            <w:r w:rsidRPr="00601E29">
              <w:rPr>
                <w:b/>
                <w:noProof/>
                <w:sz w:val="10"/>
                <w:szCs w:val="10"/>
                <w:lang w:val="fr-BE"/>
              </w:rPr>
              <w:t>Ogółem</w:t>
            </w:r>
          </w:p>
        </w:tc>
        <w:tc>
          <w:tcPr>
            <w:tcW w:w="0" w:type="auto"/>
            <w:shd w:val="clear" w:color="auto" w:fill="auto"/>
          </w:tcPr>
          <w:p w14:paraId="1D442A6A" w14:textId="77777777" w:rsidR="008C5CFA" w:rsidRPr="00601E29" w:rsidRDefault="00E82A60" w:rsidP="00300A01">
            <w:pPr>
              <w:spacing w:before="0" w:after="0"/>
              <w:jc w:val="center"/>
              <w:rPr>
                <w:b/>
                <w:sz w:val="10"/>
                <w:szCs w:val="10"/>
                <w:lang w:val="fr-BE"/>
              </w:rPr>
            </w:pPr>
            <w:r w:rsidRPr="00601E29">
              <w:rPr>
                <w:b/>
                <w:noProof/>
                <w:sz w:val="10"/>
                <w:szCs w:val="10"/>
                <w:lang w:val="fr-BE"/>
              </w:rPr>
              <w:t>Mężczyźni</w:t>
            </w:r>
          </w:p>
        </w:tc>
        <w:tc>
          <w:tcPr>
            <w:tcW w:w="0" w:type="auto"/>
            <w:shd w:val="clear" w:color="auto" w:fill="auto"/>
          </w:tcPr>
          <w:p w14:paraId="5B1BE9D1" w14:textId="77777777" w:rsidR="008C5CFA" w:rsidRPr="00601E29" w:rsidRDefault="00E82A60" w:rsidP="00300A01">
            <w:pPr>
              <w:spacing w:before="0" w:after="0"/>
              <w:jc w:val="center"/>
              <w:rPr>
                <w:b/>
                <w:sz w:val="10"/>
                <w:szCs w:val="10"/>
                <w:lang w:val="fr-BE"/>
              </w:rPr>
            </w:pPr>
            <w:r w:rsidRPr="00601E29">
              <w:rPr>
                <w:b/>
                <w:noProof/>
                <w:sz w:val="10"/>
                <w:szCs w:val="10"/>
                <w:lang w:val="fr-BE"/>
              </w:rPr>
              <w:t>Kobiety</w:t>
            </w:r>
          </w:p>
        </w:tc>
        <w:tc>
          <w:tcPr>
            <w:tcW w:w="0" w:type="auto"/>
          </w:tcPr>
          <w:p w14:paraId="58E5D170" w14:textId="77777777" w:rsidR="008C5CFA" w:rsidRPr="00601E29" w:rsidRDefault="00E82A60" w:rsidP="00300A01">
            <w:pPr>
              <w:spacing w:before="0" w:after="0"/>
              <w:jc w:val="center"/>
              <w:rPr>
                <w:b/>
                <w:sz w:val="10"/>
                <w:szCs w:val="10"/>
                <w:lang w:val="fr-BE"/>
              </w:rPr>
            </w:pPr>
            <w:r w:rsidRPr="00601E29">
              <w:rPr>
                <w:b/>
                <w:noProof/>
                <w:sz w:val="10"/>
                <w:szCs w:val="10"/>
                <w:lang w:val="fr-BE"/>
              </w:rPr>
              <w:t>Ogółem</w:t>
            </w:r>
          </w:p>
        </w:tc>
        <w:tc>
          <w:tcPr>
            <w:tcW w:w="0" w:type="auto"/>
            <w:shd w:val="clear" w:color="auto" w:fill="auto"/>
          </w:tcPr>
          <w:p w14:paraId="03A09FB7" w14:textId="77777777" w:rsidR="008C5CFA" w:rsidRPr="00601E29" w:rsidRDefault="00E82A60" w:rsidP="00300A01">
            <w:pPr>
              <w:spacing w:before="0" w:after="0"/>
              <w:jc w:val="center"/>
              <w:rPr>
                <w:b/>
                <w:sz w:val="10"/>
                <w:szCs w:val="10"/>
                <w:lang w:val="fr-BE"/>
              </w:rPr>
            </w:pPr>
            <w:r w:rsidRPr="00601E29">
              <w:rPr>
                <w:b/>
                <w:noProof/>
                <w:sz w:val="10"/>
                <w:szCs w:val="10"/>
                <w:lang w:val="fr-BE"/>
              </w:rPr>
              <w:t>Mężczyźni</w:t>
            </w:r>
          </w:p>
        </w:tc>
        <w:tc>
          <w:tcPr>
            <w:tcW w:w="0" w:type="auto"/>
            <w:shd w:val="clear" w:color="auto" w:fill="auto"/>
          </w:tcPr>
          <w:p w14:paraId="441BE3C8" w14:textId="77777777" w:rsidR="008C5CFA" w:rsidRPr="00601E29" w:rsidRDefault="00E82A60" w:rsidP="00300A01">
            <w:pPr>
              <w:spacing w:before="0" w:after="0"/>
              <w:jc w:val="center"/>
              <w:rPr>
                <w:b/>
                <w:sz w:val="10"/>
                <w:szCs w:val="10"/>
                <w:lang w:val="fr-BE"/>
              </w:rPr>
            </w:pPr>
            <w:r w:rsidRPr="00601E29">
              <w:rPr>
                <w:b/>
                <w:noProof/>
                <w:sz w:val="10"/>
                <w:szCs w:val="10"/>
                <w:lang w:val="fr-BE"/>
              </w:rPr>
              <w:t>Kobiety</w:t>
            </w:r>
          </w:p>
        </w:tc>
        <w:tc>
          <w:tcPr>
            <w:tcW w:w="0" w:type="auto"/>
          </w:tcPr>
          <w:p w14:paraId="7CFE4140" w14:textId="77777777" w:rsidR="008C5CFA" w:rsidRPr="00601E29" w:rsidRDefault="008C5CFA" w:rsidP="00300A01">
            <w:pPr>
              <w:spacing w:before="0" w:after="0"/>
              <w:jc w:val="center"/>
              <w:rPr>
                <w:b/>
                <w:sz w:val="10"/>
                <w:szCs w:val="10"/>
                <w:lang w:val="fr-BE"/>
              </w:rPr>
            </w:pPr>
          </w:p>
        </w:tc>
      </w:tr>
      <w:tr w:rsidR="006B2EC1" w14:paraId="5E0F402A" w14:textId="77777777" w:rsidTr="0047688D">
        <w:tc>
          <w:tcPr>
            <w:tcW w:w="0" w:type="auto"/>
            <w:shd w:val="clear" w:color="auto" w:fill="auto"/>
          </w:tcPr>
          <w:p w14:paraId="243E849E" w14:textId="77777777" w:rsidR="008C5CFA" w:rsidRPr="00601E29" w:rsidRDefault="00E82A60" w:rsidP="00300A01">
            <w:pPr>
              <w:spacing w:before="0" w:after="0"/>
              <w:rPr>
                <w:sz w:val="10"/>
                <w:szCs w:val="10"/>
                <w:lang w:val="fr-BE"/>
              </w:rPr>
            </w:pPr>
            <w:r w:rsidRPr="00601E29">
              <w:rPr>
                <w:noProof/>
                <w:sz w:val="10"/>
                <w:szCs w:val="10"/>
                <w:lang w:val="fr-BE"/>
              </w:rPr>
              <w:t>029</w:t>
            </w:r>
          </w:p>
        </w:tc>
        <w:tc>
          <w:tcPr>
            <w:tcW w:w="0" w:type="auto"/>
            <w:shd w:val="clear" w:color="auto" w:fill="auto"/>
          </w:tcPr>
          <w:p w14:paraId="0D726CC8" w14:textId="77777777" w:rsidR="008C5CFA" w:rsidRPr="00601E29" w:rsidRDefault="00E82A60" w:rsidP="00300A01">
            <w:pPr>
              <w:spacing w:before="0" w:after="0"/>
              <w:rPr>
                <w:sz w:val="10"/>
                <w:szCs w:val="10"/>
                <w:lang w:val="fr-BE"/>
              </w:rPr>
            </w:pPr>
            <w:r w:rsidRPr="00601E29">
              <w:rPr>
                <w:noProof/>
                <w:sz w:val="10"/>
                <w:szCs w:val="10"/>
                <w:lang w:val="fr-BE"/>
              </w:rPr>
              <w:t>Poziom fluktuacji pracowników w instytucjach zaangażowanych w politykę spójności</w:t>
            </w:r>
          </w:p>
        </w:tc>
        <w:tc>
          <w:tcPr>
            <w:tcW w:w="0" w:type="auto"/>
            <w:shd w:val="clear" w:color="auto" w:fill="auto"/>
          </w:tcPr>
          <w:p w14:paraId="79C3DDCA" w14:textId="77777777" w:rsidR="008C5CFA" w:rsidRPr="00601E29" w:rsidRDefault="008C5CFA" w:rsidP="00300A01">
            <w:pPr>
              <w:spacing w:before="0" w:after="0"/>
              <w:rPr>
                <w:sz w:val="10"/>
                <w:szCs w:val="10"/>
                <w:lang w:val="fr-BE"/>
              </w:rPr>
            </w:pPr>
          </w:p>
        </w:tc>
        <w:tc>
          <w:tcPr>
            <w:tcW w:w="0" w:type="auto"/>
            <w:shd w:val="clear" w:color="auto" w:fill="auto"/>
          </w:tcPr>
          <w:p w14:paraId="6A2083DE" w14:textId="77777777" w:rsidR="008C5CFA" w:rsidRPr="00601E29" w:rsidRDefault="00E82A60" w:rsidP="00300A01">
            <w:pPr>
              <w:spacing w:before="0" w:after="0"/>
              <w:rPr>
                <w:sz w:val="10"/>
                <w:szCs w:val="10"/>
                <w:lang w:val="fr-BE"/>
              </w:rPr>
            </w:pPr>
            <w:r w:rsidRPr="00785F4A">
              <w:rPr>
                <w:noProof/>
                <w:sz w:val="10"/>
                <w:szCs w:val="10"/>
                <w:lang w:val="fr-BE"/>
              </w:rPr>
              <w:t>Liczba</w:t>
            </w:r>
            <w:r w:rsidR="00CE4603">
              <w:rPr>
                <w:sz w:val="10"/>
                <w:szCs w:val="10"/>
                <w:lang w:val="fr-BE"/>
              </w:rPr>
              <w:t xml:space="preserve"> </w:t>
            </w:r>
            <w:r w:rsidR="00CE4603">
              <w:rPr>
                <w:noProof/>
                <w:sz w:val="10"/>
                <w:szCs w:val="10"/>
                <w:lang w:val="fr-BE"/>
              </w:rPr>
              <w:t>(sztuka)</w:t>
            </w:r>
          </w:p>
        </w:tc>
        <w:tc>
          <w:tcPr>
            <w:tcW w:w="0" w:type="auto"/>
            <w:shd w:val="clear" w:color="auto" w:fill="auto"/>
          </w:tcPr>
          <w:p w14:paraId="7C6FD4A7" w14:textId="77777777" w:rsidR="008C5CFA" w:rsidRPr="00601E29" w:rsidRDefault="00E82A60" w:rsidP="00300A01">
            <w:pPr>
              <w:spacing w:before="0" w:after="0"/>
              <w:rPr>
                <w:sz w:val="10"/>
                <w:szCs w:val="10"/>
                <w:lang w:val="fr-BE"/>
              </w:rPr>
            </w:pPr>
            <w:r w:rsidRPr="00601E29">
              <w:rPr>
                <w:sz w:val="10"/>
                <w:szCs w:val="10"/>
                <w:lang w:val="fr-BE"/>
              </w:rPr>
              <w:t xml:space="preserve"> </w:t>
            </w:r>
          </w:p>
        </w:tc>
        <w:tc>
          <w:tcPr>
            <w:tcW w:w="0" w:type="auto"/>
            <w:shd w:val="clear" w:color="auto" w:fill="auto"/>
          </w:tcPr>
          <w:p w14:paraId="693E1848" w14:textId="77777777" w:rsidR="008C5CFA" w:rsidRPr="00601E29" w:rsidRDefault="00E82A60" w:rsidP="00300A01">
            <w:pPr>
              <w:spacing w:before="0" w:after="0"/>
              <w:jc w:val="center"/>
              <w:rPr>
                <w:sz w:val="10"/>
                <w:szCs w:val="10"/>
                <w:lang w:val="fr-BE"/>
              </w:rPr>
            </w:pPr>
            <w:r w:rsidRPr="00601E29">
              <w:rPr>
                <w:noProof/>
                <w:sz w:val="10"/>
                <w:szCs w:val="10"/>
                <w:lang w:val="fr-BE"/>
              </w:rPr>
              <w:t>Liczba</w:t>
            </w:r>
          </w:p>
        </w:tc>
        <w:tc>
          <w:tcPr>
            <w:tcW w:w="0" w:type="auto"/>
            <w:shd w:val="clear" w:color="auto" w:fill="auto"/>
          </w:tcPr>
          <w:p w14:paraId="0E3667B0" w14:textId="77777777" w:rsidR="008C5CFA" w:rsidRPr="00601E29" w:rsidRDefault="00E82A60" w:rsidP="00300A01">
            <w:pPr>
              <w:spacing w:before="0" w:after="0"/>
              <w:jc w:val="right"/>
              <w:rPr>
                <w:sz w:val="10"/>
                <w:szCs w:val="10"/>
                <w:lang w:val="fr-BE"/>
              </w:rPr>
            </w:pPr>
            <w:r w:rsidRPr="00601E29">
              <w:rPr>
                <w:noProof/>
                <w:sz w:val="10"/>
                <w:szCs w:val="10"/>
                <w:lang w:val="fr-BE"/>
              </w:rPr>
              <w:t>2,50</w:t>
            </w:r>
          </w:p>
        </w:tc>
        <w:tc>
          <w:tcPr>
            <w:tcW w:w="0" w:type="auto"/>
            <w:shd w:val="clear" w:color="auto" w:fill="auto"/>
          </w:tcPr>
          <w:p w14:paraId="58348322" w14:textId="77777777" w:rsidR="008C5CFA" w:rsidRPr="00601E29" w:rsidRDefault="008C5CFA" w:rsidP="00300A01">
            <w:pPr>
              <w:spacing w:before="0" w:after="0"/>
              <w:jc w:val="right"/>
              <w:rPr>
                <w:sz w:val="10"/>
                <w:szCs w:val="10"/>
                <w:lang w:val="fr-BE"/>
              </w:rPr>
            </w:pPr>
          </w:p>
        </w:tc>
        <w:tc>
          <w:tcPr>
            <w:tcW w:w="0" w:type="auto"/>
            <w:shd w:val="clear" w:color="auto" w:fill="auto"/>
          </w:tcPr>
          <w:p w14:paraId="71979208" w14:textId="77777777" w:rsidR="008C5CFA" w:rsidRPr="00601E29" w:rsidRDefault="008C5CFA" w:rsidP="00300A01">
            <w:pPr>
              <w:spacing w:before="0" w:after="0"/>
              <w:jc w:val="right"/>
              <w:rPr>
                <w:sz w:val="10"/>
                <w:szCs w:val="10"/>
                <w:lang w:val="fr-BE"/>
              </w:rPr>
            </w:pPr>
          </w:p>
        </w:tc>
        <w:tc>
          <w:tcPr>
            <w:tcW w:w="0" w:type="auto"/>
            <w:shd w:val="clear" w:color="auto" w:fill="auto"/>
          </w:tcPr>
          <w:p w14:paraId="5ECA1F36" w14:textId="77777777" w:rsidR="008C5CFA" w:rsidRPr="00601E29" w:rsidRDefault="00E82A60" w:rsidP="00300A01">
            <w:pPr>
              <w:spacing w:before="0" w:after="0"/>
              <w:jc w:val="right"/>
              <w:rPr>
                <w:sz w:val="10"/>
                <w:szCs w:val="10"/>
                <w:lang w:val="fr-BE"/>
              </w:rPr>
            </w:pPr>
            <w:r w:rsidRPr="00601E29">
              <w:rPr>
                <w:noProof/>
                <w:sz w:val="10"/>
                <w:szCs w:val="10"/>
                <w:lang w:val="fr-BE"/>
              </w:rPr>
              <w:t>2,08%</w:t>
            </w:r>
          </w:p>
        </w:tc>
        <w:tc>
          <w:tcPr>
            <w:tcW w:w="0" w:type="auto"/>
            <w:shd w:val="clear" w:color="auto" w:fill="auto"/>
          </w:tcPr>
          <w:p w14:paraId="0B1C4073" w14:textId="77777777" w:rsidR="008C5CFA" w:rsidRPr="00601E29" w:rsidRDefault="008C5CFA" w:rsidP="00300A01">
            <w:pPr>
              <w:spacing w:before="0" w:after="0"/>
              <w:jc w:val="right"/>
              <w:rPr>
                <w:sz w:val="10"/>
                <w:szCs w:val="10"/>
                <w:lang w:val="fr-BE"/>
              </w:rPr>
            </w:pPr>
          </w:p>
        </w:tc>
        <w:tc>
          <w:tcPr>
            <w:tcW w:w="0" w:type="auto"/>
            <w:shd w:val="clear" w:color="auto" w:fill="auto"/>
          </w:tcPr>
          <w:p w14:paraId="55E1297C" w14:textId="77777777" w:rsidR="008C5CFA" w:rsidRPr="00601E29" w:rsidRDefault="008C5CFA" w:rsidP="00300A01">
            <w:pPr>
              <w:spacing w:before="0" w:after="0"/>
              <w:jc w:val="right"/>
              <w:rPr>
                <w:sz w:val="10"/>
                <w:szCs w:val="10"/>
                <w:lang w:val="fr-BE"/>
              </w:rPr>
            </w:pPr>
          </w:p>
        </w:tc>
        <w:tc>
          <w:tcPr>
            <w:tcW w:w="0" w:type="auto"/>
            <w:shd w:val="clear" w:color="auto" w:fill="auto"/>
          </w:tcPr>
          <w:p w14:paraId="3A014C3E" w14:textId="77777777" w:rsidR="008C5CFA" w:rsidRPr="00601E29" w:rsidRDefault="00E82A60" w:rsidP="00300A01">
            <w:pPr>
              <w:spacing w:before="0" w:after="0"/>
              <w:jc w:val="right"/>
              <w:rPr>
                <w:sz w:val="10"/>
                <w:szCs w:val="10"/>
                <w:lang w:val="fr-BE"/>
              </w:rPr>
            </w:pPr>
            <w:r w:rsidRPr="00601E29">
              <w:rPr>
                <w:noProof/>
                <w:sz w:val="10"/>
                <w:szCs w:val="10"/>
                <w:lang w:val="fr-BE"/>
              </w:rPr>
              <w:t>5,19</w:t>
            </w:r>
          </w:p>
        </w:tc>
        <w:tc>
          <w:tcPr>
            <w:tcW w:w="0" w:type="auto"/>
            <w:shd w:val="clear" w:color="auto" w:fill="auto"/>
          </w:tcPr>
          <w:p w14:paraId="5ED6CA54"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shd w:val="clear" w:color="auto" w:fill="auto"/>
          </w:tcPr>
          <w:p w14:paraId="711CD041"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796E4259" w14:textId="77777777" w:rsidR="008C5CFA" w:rsidRPr="00601E29" w:rsidRDefault="00E82A60" w:rsidP="00300A01">
            <w:pPr>
              <w:spacing w:before="0" w:after="0"/>
              <w:jc w:val="right"/>
              <w:rPr>
                <w:sz w:val="10"/>
                <w:szCs w:val="10"/>
                <w:lang w:val="fr-BE"/>
              </w:rPr>
            </w:pPr>
            <w:r w:rsidRPr="00601E29">
              <w:rPr>
                <w:noProof/>
                <w:sz w:val="10"/>
                <w:szCs w:val="10"/>
                <w:lang w:val="fr-BE"/>
              </w:rPr>
              <w:t>0,01</w:t>
            </w:r>
          </w:p>
        </w:tc>
        <w:tc>
          <w:tcPr>
            <w:tcW w:w="0" w:type="auto"/>
            <w:shd w:val="clear" w:color="auto" w:fill="auto"/>
          </w:tcPr>
          <w:p w14:paraId="15F4508A"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shd w:val="clear" w:color="auto" w:fill="auto"/>
          </w:tcPr>
          <w:p w14:paraId="58C26984"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3556CD50" w14:textId="77777777" w:rsidR="008C5CFA" w:rsidRPr="00601E29" w:rsidRDefault="008C5CFA" w:rsidP="00300A01">
            <w:pPr>
              <w:spacing w:before="0" w:after="0"/>
              <w:jc w:val="right"/>
              <w:rPr>
                <w:sz w:val="10"/>
                <w:szCs w:val="10"/>
                <w:lang w:val="fr-BE"/>
              </w:rPr>
            </w:pPr>
          </w:p>
        </w:tc>
      </w:tr>
      <w:tr w:rsidR="006B2EC1" w14:paraId="6D0DCB11" w14:textId="77777777" w:rsidTr="0047688D">
        <w:tc>
          <w:tcPr>
            <w:tcW w:w="0" w:type="auto"/>
            <w:shd w:val="clear" w:color="auto" w:fill="auto"/>
          </w:tcPr>
          <w:p w14:paraId="0A1D7DC0" w14:textId="77777777" w:rsidR="008C5CFA" w:rsidRPr="00601E29" w:rsidRDefault="00E82A60" w:rsidP="00300A01">
            <w:pPr>
              <w:spacing w:before="0" w:after="0"/>
              <w:rPr>
                <w:sz w:val="10"/>
                <w:szCs w:val="10"/>
                <w:lang w:val="fr-BE"/>
              </w:rPr>
            </w:pPr>
            <w:r w:rsidRPr="00601E29">
              <w:rPr>
                <w:noProof/>
                <w:sz w:val="10"/>
                <w:szCs w:val="10"/>
                <w:lang w:val="fr-BE"/>
              </w:rPr>
              <w:t>030</w:t>
            </w:r>
          </w:p>
        </w:tc>
        <w:tc>
          <w:tcPr>
            <w:tcW w:w="0" w:type="auto"/>
            <w:shd w:val="clear" w:color="auto" w:fill="auto"/>
          </w:tcPr>
          <w:p w14:paraId="286DF735" w14:textId="77777777" w:rsidR="008C5CFA" w:rsidRPr="00601E29" w:rsidRDefault="00E82A60" w:rsidP="00300A01">
            <w:pPr>
              <w:spacing w:before="0" w:after="0"/>
              <w:rPr>
                <w:sz w:val="10"/>
                <w:szCs w:val="10"/>
                <w:lang w:val="fr-BE"/>
              </w:rPr>
            </w:pPr>
            <w:r w:rsidRPr="00601E29">
              <w:rPr>
                <w:noProof/>
                <w:sz w:val="10"/>
                <w:szCs w:val="10"/>
                <w:lang w:val="fr-BE"/>
              </w:rPr>
              <w:t>Średnioroczna liczba szkoleń na jednego pracownika instytucji systemu wdrażania FE</w:t>
            </w:r>
          </w:p>
        </w:tc>
        <w:tc>
          <w:tcPr>
            <w:tcW w:w="0" w:type="auto"/>
            <w:shd w:val="clear" w:color="auto" w:fill="auto"/>
          </w:tcPr>
          <w:p w14:paraId="1DB17889" w14:textId="77777777" w:rsidR="008C5CFA" w:rsidRPr="00601E29" w:rsidRDefault="008C5CFA" w:rsidP="00300A01">
            <w:pPr>
              <w:spacing w:before="0" w:after="0"/>
              <w:rPr>
                <w:sz w:val="10"/>
                <w:szCs w:val="10"/>
                <w:lang w:val="fr-BE"/>
              </w:rPr>
            </w:pPr>
          </w:p>
        </w:tc>
        <w:tc>
          <w:tcPr>
            <w:tcW w:w="0" w:type="auto"/>
            <w:shd w:val="clear" w:color="auto" w:fill="auto"/>
          </w:tcPr>
          <w:p w14:paraId="3C69CFCD" w14:textId="77777777" w:rsidR="008C5CFA" w:rsidRPr="00601E29" w:rsidRDefault="00E82A60" w:rsidP="00300A01">
            <w:pPr>
              <w:spacing w:before="0" w:after="0"/>
              <w:rPr>
                <w:sz w:val="10"/>
                <w:szCs w:val="10"/>
                <w:lang w:val="fr-BE"/>
              </w:rPr>
            </w:pPr>
            <w:r w:rsidRPr="00785F4A">
              <w:rPr>
                <w:noProof/>
                <w:sz w:val="10"/>
                <w:szCs w:val="10"/>
                <w:lang w:val="fr-BE"/>
              </w:rPr>
              <w:t>Liczba</w:t>
            </w:r>
            <w:r w:rsidR="00CE4603">
              <w:rPr>
                <w:sz w:val="10"/>
                <w:szCs w:val="10"/>
                <w:lang w:val="fr-BE"/>
              </w:rPr>
              <w:t xml:space="preserve"> </w:t>
            </w:r>
            <w:r w:rsidR="00CE4603">
              <w:rPr>
                <w:noProof/>
                <w:sz w:val="10"/>
                <w:szCs w:val="10"/>
                <w:lang w:val="fr-BE"/>
              </w:rPr>
              <w:t>(sztuka)</w:t>
            </w:r>
          </w:p>
        </w:tc>
        <w:tc>
          <w:tcPr>
            <w:tcW w:w="0" w:type="auto"/>
            <w:shd w:val="clear" w:color="auto" w:fill="auto"/>
          </w:tcPr>
          <w:p w14:paraId="4255AF82" w14:textId="77777777" w:rsidR="008C5CFA" w:rsidRPr="00601E29" w:rsidRDefault="00E82A60" w:rsidP="00300A01">
            <w:pPr>
              <w:spacing w:before="0" w:after="0"/>
              <w:rPr>
                <w:sz w:val="10"/>
                <w:szCs w:val="10"/>
                <w:lang w:val="fr-BE"/>
              </w:rPr>
            </w:pPr>
            <w:r w:rsidRPr="00601E29">
              <w:rPr>
                <w:sz w:val="10"/>
                <w:szCs w:val="10"/>
                <w:lang w:val="fr-BE"/>
              </w:rPr>
              <w:t xml:space="preserve"> </w:t>
            </w:r>
          </w:p>
        </w:tc>
        <w:tc>
          <w:tcPr>
            <w:tcW w:w="0" w:type="auto"/>
            <w:shd w:val="clear" w:color="auto" w:fill="auto"/>
          </w:tcPr>
          <w:p w14:paraId="6C3AE55E" w14:textId="77777777" w:rsidR="008C5CFA" w:rsidRPr="00601E29" w:rsidRDefault="00E82A60" w:rsidP="00300A01">
            <w:pPr>
              <w:spacing w:before="0" w:after="0"/>
              <w:jc w:val="center"/>
              <w:rPr>
                <w:sz w:val="10"/>
                <w:szCs w:val="10"/>
                <w:lang w:val="fr-BE"/>
              </w:rPr>
            </w:pPr>
            <w:r w:rsidRPr="00601E29">
              <w:rPr>
                <w:noProof/>
                <w:sz w:val="10"/>
                <w:szCs w:val="10"/>
                <w:lang w:val="fr-BE"/>
              </w:rPr>
              <w:t>Liczba</w:t>
            </w:r>
          </w:p>
        </w:tc>
        <w:tc>
          <w:tcPr>
            <w:tcW w:w="0" w:type="auto"/>
            <w:shd w:val="clear" w:color="auto" w:fill="auto"/>
          </w:tcPr>
          <w:p w14:paraId="2A7E2A81" w14:textId="77777777" w:rsidR="008C5CFA" w:rsidRPr="00601E29" w:rsidRDefault="00E82A60" w:rsidP="00300A01">
            <w:pPr>
              <w:spacing w:before="0" w:after="0"/>
              <w:jc w:val="right"/>
              <w:rPr>
                <w:sz w:val="10"/>
                <w:szCs w:val="10"/>
                <w:lang w:val="fr-BE"/>
              </w:rPr>
            </w:pPr>
            <w:r w:rsidRPr="00601E29">
              <w:rPr>
                <w:noProof/>
                <w:sz w:val="10"/>
                <w:szCs w:val="10"/>
                <w:lang w:val="fr-BE"/>
              </w:rPr>
              <w:t>2,30</w:t>
            </w:r>
          </w:p>
        </w:tc>
        <w:tc>
          <w:tcPr>
            <w:tcW w:w="0" w:type="auto"/>
            <w:shd w:val="clear" w:color="auto" w:fill="auto"/>
          </w:tcPr>
          <w:p w14:paraId="45316B4F" w14:textId="77777777" w:rsidR="008C5CFA" w:rsidRPr="00601E29" w:rsidRDefault="008C5CFA" w:rsidP="00300A01">
            <w:pPr>
              <w:spacing w:before="0" w:after="0"/>
              <w:jc w:val="right"/>
              <w:rPr>
                <w:sz w:val="10"/>
                <w:szCs w:val="10"/>
                <w:lang w:val="fr-BE"/>
              </w:rPr>
            </w:pPr>
          </w:p>
        </w:tc>
        <w:tc>
          <w:tcPr>
            <w:tcW w:w="0" w:type="auto"/>
            <w:shd w:val="clear" w:color="auto" w:fill="auto"/>
          </w:tcPr>
          <w:p w14:paraId="13EE8460" w14:textId="77777777" w:rsidR="008C5CFA" w:rsidRPr="00601E29" w:rsidRDefault="008C5CFA" w:rsidP="00300A01">
            <w:pPr>
              <w:spacing w:before="0" w:after="0"/>
              <w:jc w:val="right"/>
              <w:rPr>
                <w:sz w:val="10"/>
                <w:szCs w:val="10"/>
                <w:lang w:val="fr-BE"/>
              </w:rPr>
            </w:pPr>
          </w:p>
        </w:tc>
        <w:tc>
          <w:tcPr>
            <w:tcW w:w="0" w:type="auto"/>
            <w:shd w:val="clear" w:color="auto" w:fill="auto"/>
          </w:tcPr>
          <w:p w14:paraId="40592613" w14:textId="77777777" w:rsidR="008C5CFA" w:rsidRPr="00601E29" w:rsidRDefault="00E82A60" w:rsidP="00300A01">
            <w:pPr>
              <w:spacing w:before="0" w:after="0"/>
              <w:jc w:val="right"/>
              <w:rPr>
                <w:sz w:val="10"/>
                <w:szCs w:val="10"/>
                <w:lang w:val="fr-BE"/>
              </w:rPr>
            </w:pPr>
            <w:r w:rsidRPr="00601E29">
              <w:rPr>
                <w:noProof/>
                <w:sz w:val="10"/>
                <w:szCs w:val="10"/>
                <w:lang w:val="fr-BE"/>
              </w:rPr>
              <w:t>1,55%</w:t>
            </w:r>
          </w:p>
        </w:tc>
        <w:tc>
          <w:tcPr>
            <w:tcW w:w="0" w:type="auto"/>
            <w:shd w:val="clear" w:color="auto" w:fill="auto"/>
          </w:tcPr>
          <w:p w14:paraId="37168084" w14:textId="77777777" w:rsidR="008C5CFA" w:rsidRPr="00601E29" w:rsidRDefault="008C5CFA" w:rsidP="00300A01">
            <w:pPr>
              <w:spacing w:before="0" w:after="0"/>
              <w:jc w:val="right"/>
              <w:rPr>
                <w:sz w:val="10"/>
                <w:szCs w:val="10"/>
                <w:lang w:val="fr-BE"/>
              </w:rPr>
            </w:pPr>
          </w:p>
        </w:tc>
        <w:tc>
          <w:tcPr>
            <w:tcW w:w="0" w:type="auto"/>
            <w:shd w:val="clear" w:color="auto" w:fill="auto"/>
          </w:tcPr>
          <w:p w14:paraId="754D2B15" w14:textId="77777777" w:rsidR="008C5CFA" w:rsidRPr="00601E29" w:rsidRDefault="008C5CFA" w:rsidP="00300A01">
            <w:pPr>
              <w:spacing w:before="0" w:after="0"/>
              <w:jc w:val="right"/>
              <w:rPr>
                <w:sz w:val="10"/>
                <w:szCs w:val="10"/>
                <w:lang w:val="fr-BE"/>
              </w:rPr>
            </w:pPr>
          </w:p>
        </w:tc>
        <w:tc>
          <w:tcPr>
            <w:tcW w:w="0" w:type="auto"/>
            <w:shd w:val="clear" w:color="auto" w:fill="auto"/>
          </w:tcPr>
          <w:p w14:paraId="2C7AAA62" w14:textId="77777777" w:rsidR="008C5CFA" w:rsidRPr="00601E29" w:rsidRDefault="00E82A60" w:rsidP="00300A01">
            <w:pPr>
              <w:spacing w:before="0" w:after="0"/>
              <w:jc w:val="right"/>
              <w:rPr>
                <w:sz w:val="10"/>
                <w:szCs w:val="10"/>
                <w:lang w:val="fr-BE"/>
              </w:rPr>
            </w:pPr>
            <w:r w:rsidRPr="00601E29">
              <w:rPr>
                <w:noProof/>
                <w:sz w:val="10"/>
                <w:szCs w:val="10"/>
                <w:lang w:val="fr-BE"/>
              </w:rPr>
              <w:t>3,56</w:t>
            </w:r>
          </w:p>
        </w:tc>
        <w:tc>
          <w:tcPr>
            <w:tcW w:w="0" w:type="auto"/>
            <w:shd w:val="clear" w:color="auto" w:fill="auto"/>
          </w:tcPr>
          <w:p w14:paraId="78E73ED9"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shd w:val="clear" w:color="auto" w:fill="auto"/>
          </w:tcPr>
          <w:p w14:paraId="5A631573"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263AB81E" w14:textId="77777777" w:rsidR="008C5CFA" w:rsidRPr="00601E29" w:rsidRDefault="00E82A60" w:rsidP="00300A01">
            <w:pPr>
              <w:spacing w:before="0" w:after="0"/>
              <w:jc w:val="right"/>
              <w:rPr>
                <w:sz w:val="10"/>
                <w:szCs w:val="10"/>
                <w:lang w:val="fr-BE"/>
              </w:rPr>
            </w:pPr>
            <w:r w:rsidRPr="00601E29">
              <w:rPr>
                <w:noProof/>
                <w:sz w:val="10"/>
                <w:szCs w:val="10"/>
                <w:lang w:val="fr-BE"/>
              </w:rPr>
              <w:t>0,32</w:t>
            </w:r>
          </w:p>
        </w:tc>
        <w:tc>
          <w:tcPr>
            <w:tcW w:w="0" w:type="auto"/>
            <w:shd w:val="clear" w:color="auto" w:fill="auto"/>
          </w:tcPr>
          <w:p w14:paraId="35B61A7C"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shd w:val="clear" w:color="auto" w:fill="auto"/>
          </w:tcPr>
          <w:p w14:paraId="2622DABE"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222E80BE" w14:textId="77777777" w:rsidR="008C5CFA" w:rsidRPr="00601E29" w:rsidRDefault="008C5CFA" w:rsidP="00300A01">
            <w:pPr>
              <w:spacing w:before="0" w:after="0"/>
              <w:jc w:val="right"/>
              <w:rPr>
                <w:sz w:val="10"/>
                <w:szCs w:val="10"/>
                <w:lang w:val="fr-BE"/>
              </w:rPr>
            </w:pPr>
          </w:p>
        </w:tc>
      </w:tr>
      <w:tr w:rsidR="006B2EC1" w14:paraId="50B17623" w14:textId="77777777" w:rsidTr="0047688D">
        <w:tc>
          <w:tcPr>
            <w:tcW w:w="0" w:type="auto"/>
            <w:shd w:val="clear" w:color="auto" w:fill="auto"/>
          </w:tcPr>
          <w:p w14:paraId="45344768" w14:textId="77777777" w:rsidR="008C5CFA" w:rsidRPr="00601E29" w:rsidRDefault="00E82A60" w:rsidP="00300A01">
            <w:pPr>
              <w:spacing w:before="0" w:after="0"/>
              <w:rPr>
                <w:sz w:val="10"/>
                <w:szCs w:val="10"/>
                <w:lang w:val="fr-BE"/>
              </w:rPr>
            </w:pPr>
            <w:r w:rsidRPr="00601E29">
              <w:rPr>
                <w:noProof/>
                <w:sz w:val="10"/>
                <w:szCs w:val="10"/>
                <w:lang w:val="fr-BE"/>
              </w:rPr>
              <w:t>031</w:t>
            </w:r>
          </w:p>
        </w:tc>
        <w:tc>
          <w:tcPr>
            <w:tcW w:w="0" w:type="auto"/>
            <w:shd w:val="clear" w:color="auto" w:fill="auto"/>
          </w:tcPr>
          <w:p w14:paraId="01A440EB" w14:textId="77777777" w:rsidR="008C5CFA" w:rsidRPr="00601E29" w:rsidRDefault="00E82A60" w:rsidP="00300A01">
            <w:pPr>
              <w:spacing w:before="0" w:after="0"/>
              <w:rPr>
                <w:sz w:val="10"/>
                <w:szCs w:val="10"/>
                <w:lang w:val="fr-BE"/>
              </w:rPr>
            </w:pPr>
            <w:r w:rsidRPr="00601E29">
              <w:rPr>
                <w:noProof/>
                <w:sz w:val="10"/>
                <w:szCs w:val="10"/>
                <w:lang w:val="fr-BE"/>
              </w:rPr>
              <w:t>Średni czas zatwierdzenia projektu (od złożenia wniosku o dofinansowanie do podpisania umowy)</w:t>
            </w:r>
          </w:p>
        </w:tc>
        <w:tc>
          <w:tcPr>
            <w:tcW w:w="0" w:type="auto"/>
            <w:shd w:val="clear" w:color="auto" w:fill="auto"/>
          </w:tcPr>
          <w:p w14:paraId="155B2C93" w14:textId="77777777" w:rsidR="008C5CFA" w:rsidRPr="00601E29" w:rsidRDefault="008C5CFA" w:rsidP="00300A01">
            <w:pPr>
              <w:spacing w:before="0" w:after="0"/>
              <w:rPr>
                <w:sz w:val="10"/>
                <w:szCs w:val="10"/>
                <w:lang w:val="fr-BE"/>
              </w:rPr>
            </w:pPr>
          </w:p>
        </w:tc>
        <w:tc>
          <w:tcPr>
            <w:tcW w:w="0" w:type="auto"/>
            <w:shd w:val="clear" w:color="auto" w:fill="auto"/>
          </w:tcPr>
          <w:p w14:paraId="65C9B587" w14:textId="77777777" w:rsidR="008C5CFA" w:rsidRPr="00601E29" w:rsidRDefault="00E82A60" w:rsidP="00300A01">
            <w:pPr>
              <w:spacing w:before="0" w:after="0"/>
              <w:rPr>
                <w:sz w:val="10"/>
                <w:szCs w:val="10"/>
                <w:lang w:val="fr-BE"/>
              </w:rPr>
            </w:pPr>
            <w:r w:rsidRPr="00785F4A">
              <w:rPr>
                <w:noProof/>
                <w:sz w:val="10"/>
                <w:szCs w:val="10"/>
                <w:lang w:val="fr-BE"/>
              </w:rPr>
              <w:t>Liczba</w:t>
            </w:r>
            <w:r w:rsidR="00CE4603">
              <w:rPr>
                <w:sz w:val="10"/>
                <w:szCs w:val="10"/>
                <w:lang w:val="fr-BE"/>
              </w:rPr>
              <w:t xml:space="preserve"> </w:t>
            </w:r>
            <w:r w:rsidR="00CE4603">
              <w:rPr>
                <w:noProof/>
                <w:sz w:val="10"/>
                <w:szCs w:val="10"/>
                <w:lang w:val="fr-BE"/>
              </w:rPr>
              <w:t>(liczba dni)</w:t>
            </w:r>
          </w:p>
        </w:tc>
        <w:tc>
          <w:tcPr>
            <w:tcW w:w="0" w:type="auto"/>
            <w:shd w:val="clear" w:color="auto" w:fill="auto"/>
          </w:tcPr>
          <w:p w14:paraId="0645F53E" w14:textId="77777777" w:rsidR="008C5CFA" w:rsidRPr="00601E29" w:rsidRDefault="00E82A60" w:rsidP="00300A01">
            <w:pPr>
              <w:spacing w:before="0" w:after="0"/>
              <w:rPr>
                <w:sz w:val="10"/>
                <w:szCs w:val="10"/>
                <w:lang w:val="fr-BE"/>
              </w:rPr>
            </w:pPr>
            <w:r w:rsidRPr="00601E29">
              <w:rPr>
                <w:sz w:val="10"/>
                <w:szCs w:val="10"/>
                <w:lang w:val="fr-BE"/>
              </w:rPr>
              <w:t xml:space="preserve"> </w:t>
            </w:r>
          </w:p>
        </w:tc>
        <w:tc>
          <w:tcPr>
            <w:tcW w:w="0" w:type="auto"/>
            <w:shd w:val="clear" w:color="auto" w:fill="auto"/>
          </w:tcPr>
          <w:p w14:paraId="44DE0A9D" w14:textId="77777777" w:rsidR="008C5CFA" w:rsidRPr="00601E29" w:rsidRDefault="00E82A60" w:rsidP="00300A01">
            <w:pPr>
              <w:spacing w:before="0" w:after="0"/>
              <w:jc w:val="center"/>
              <w:rPr>
                <w:sz w:val="10"/>
                <w:szCs w:val="10"/>
                <w:lang w:val="fr-BE"/>
              </w:rPr>
            </w:pPr>
            <w:r w:rsidRPr="00601E29">
              <w:rPr>
                <w:noProof/>
                <w:sz w:val="10"/>
                <w:szCs w:val="10"/>
                <w:lang w:val="fr-BE"/>
              </w:rPr>
              <w:t>Liczba</w:t>
            </w:r>
          </w:p>
        </w:tc>
        <w:tc>
          <w:tcPr>
            <w:tcW w:w="0" w:type="auto"/>
            <w:shd w:val="clear" w:color="auto" w:fill="auto"/>
          </w:tcPr>
          <w:p w14:paraId="154A00A1" w14:textId="77777777" w:rsidR="008C5CFA" w:rsidRPr="00601E29" w:rsidRDefault="00E82A60" w:rsidP="00300A01">
            <w:pPr>
              <w:spacing w:before="0" w:after="0"/>
              <w:jc w:val="right"/>
              <w:rPr>
                <w:sz w:val="10"/>
                <w:szCs w:val="10"/>
                <w:lang w:val="fr-BE"/>
              </w:rPr>
            </w:pPr>
            <w:r w:rsidRPr="00601E29">
              <w:rPr>
                <w:noProof/>
                <w:sz w:val="10"/>
                <w:szCs w:val="10"/>
                <w:lang w:val="fr-BE"/>
              </w:rPr>
              <w:t>390,00</w:t>
            </w:r>
          </w:p>
        </w:tc>
        <w:tc>
          <w:tcPr>
            <w:tcW w:w="0" w:type="auto"/>
            <w:shd w:val="clear" w:color="auto" w:fill="auto"/>
          </w:tcPr>
          <w:p w14:paraId="5306E0ED" w14:textId="77777777" w:rsidR="008C5CFA" w:rsidRPr="00601E29" w:rsidRDefault="008C5CFA" w:rsidP="00300A01">
            <w:pPr>
              <w:spacing w:before="0" w:after="0"/>
              <w:jc w:val="right"/>
              <w:rPr>
                <w:sz w:val="10"/>
                <w:szCs w:val="10"/>
                <w:lang w:val="fr-BE"/>
              </w:rPr>
            </w:pPr>
          </w:p>
        </w:tc>
        <w:tc>
          <w:tcPr>
            <w:tcW w:w="0" w:type="auto"/>
            <w:shd w:val="clear" w:color="auto" w:fill="auto"/>
          </w:tcPr>
          <w:p w14:paraId="49EFC607" w14:textId="77777777" w:rsidR="008C5CFA" w:rsidRPr="00601E29" w:rsidRDefault="008C5CFA" w:rsidP="00300A01">
            <w:pPr>
              <w:spacing w:before="0" w:after="0"/>
              <w:jc w:val="right"/>
              <w:rPr>
                <w:sz w:val="10"/>
                <w:szCs w:val="10"/>
                <w:lang w:val="fr-BE"/>
              </w:rPr>
            </w:pPr>
          </w:p>
        </w:tc>
        <w:tc>
          <w:tcPr>
            <w:tcW w:w="0" w:type="auto"/>
            <w:shd w:val="clear" w:color="auto" w:fill="auto"/>
          </w:tcPr>
          <w:p w14:paraId="0E8CE3E5" w14:textId="77777777" w:rsidR="008C5CFA" w:rsidRPr="00601E29" w:rsidRDefault="00E82A60" w:rsidP="00300A01">
            <w:pPr>
              <w:spacing w:before="0" w:after="0"/>
              <w:jc w:val="right"/>
              <w:rPr>
                <w:sz w:val="10"/>
                <w:szCs w:val="10"/>
                <w:lang w:val="fr-BE"/>
              </w:rPr>
            </w:pPr>
            <w:r w:rsidRPr="00601E29">
              <w:rPr>
                <w:noProof/>
                <w:sz w:val="10"/>
                <w:szCs w:val="10"/>
                <w:lang w:val="fr-BE"/>
              </w:rPr>
              <w:t>2,44%</w:t>
            </w:r>
          </w:p>
        </w:tc>
        <w:tc>
          <w:tcPr>
            <w:tcW w:w="0" w:type="auto"/>
            <w:shd w:val="clear" w:color="auto" w:fill="auto"/>
          </w:tcPr>
          <w:p w14:paraId="4E0F8A81" w14:textId="77777777" w:rsidR="008C5CFA" w:rsidRPr="00601E29" w:rsidRDefault="008C5CFA" w:rsidP="00300A01">
            <w:pPr>
              <w:spacing w:before="0" w:after="0"/>
              <w:jc w:val="right"/>
              <w:rPr>
                <w:sz w:val="10"/>
                <w:szCs w:val="10"/>
                <w:lang w:val="fr-BE"/>
              </w:rPr>
            </w:pPr>
          </w:p>
        </w:tc>
        <w:tc>
          <w:tcPr>
            <w:tcW w:w="0" w:type="auto"/>
            <w:shd w:val="clear" w:color="auto" w:fill="auto"/>
          </w:tcPr>
          <w:p w14:paraId="45414730" w14:textId="77777777" w:rsidR="008C5CFA" w:rsidRPr="00601E29" w:rsidRDefault="008C5CFA" w:rsidP="00300A01">
            <w:pPr>
              <w:spacing w:before="0" w:after="0"/>
              <w:jc w:val="right"/>
              <w:rPr>
                <w:sz w:val="10"/>
                <w:szCs w:val="10"/>
                <w:lang w:val="fr-BE"/>
              </w:rPr>
            </w:pPr>
          </w:p>
        </w:tc>
        <w:tc>
          <w:tcPr>
            <w:tcW w:w="0" w:type="auto"/>
            <w:shd w:val="clear" w:color="auto" w:fill="auto"/>
          </w:tcPr>
          <w:p w14:paraId="7454CB7C" w14:textId="77777777" w:rsidR="008C5CFA" w:rsidRPr="00601E29" w:rsidRDefault="00E82A60" w:rsidP="00300A01">
            <w:pPr>
              <w:spacing w:before="0" w:after="0"/>
              <w:jc w:val="right"/>
              <w:rPr>
                <w:sz w:val="10"/>
                <w:szCs w:val="10"/>
                <w:lang w:val="fr-BE"/>
              </w:rPr>
            </w:pPr>
            <w:r w:rsidRPr="00601E29">
              <w:rPr>
                <w:noProof/>
                <w:sz w:val="10"/>
                <w:szCs w:val="10"/>
                <w:lang w:val="fr-BE"/>
              </w:rPr>
              <w:t>949,98</w:t>
            </w:r>
          </w:p>
        </w:tc>
        <w:tc>
          <w:tcPr>
            <w:tcW w:w="0" w:type="auto"/>
            <w:shd w:val="clear" w:color="auto" w:fill="auto"/>
          </w:tcPr>
          <w:p w14:paraId="740F4616"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shd w:val="clear" w:color="auto" w:fill="auto"/>
          </w:tcPr>
          <w:p w14:paraId="0900A585"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78DA859A" w14:textId="77777777" w:rsidR="008C5CFA" w:rsidRPr="00601E29" w:rsidRDefault="00E82A60" w:rsidP="00300A01">
            <w:pPr>
              <w:spacing w:before="0" w:after="0"/>
              <w:jc w:val="right"/>
              <w:rPr>
                <w:sz w:val="10"/>
                <w:szCs w:val="10"/>
                <w:lang w:val="fr-BE"/>
              </w:rPr>
            </w:pPr>
            <w:r w:rsidRPr="00601E29">
              <w:rPr>
                <w:noProof/>
                <w:sz w:val="10"/>
                <w:szCs w:val="10"/>
                <w:lang w:val="fr-BE"/>
              </w:rPr>
              <w:t>241,67</w:t>
            </w:r>
          </w:p>
        </w:tc>
        <w:tc>
          <w:tcPr>
            <w:tcW w:w="0" w:type="auto"/>
            <w:shd w:val="clear" w:color="auto" w:fill="auto"/>
          </w:tcPr>
          <w:p w14:paraId="72445E2D"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shd w:val="clear" w:color="auto" w:fill="auto"/>
          </w:tcPr>
          <w:p w14:paraId="43DDE0A7"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32004DB2" w14:textId="77777777" w:rsidR="008C5CFA" w:rsidRPr="00601E29" w:rsidRDefault="008C5CFA" w:rsidP="00300A01">
            <w:pPr>
              <w:spacing w:before="0" w:after="0"/>
              <w:jc w:val="right"/>
              <w:rPr>
                <w:sz w:val="10"/>
                <w:szCs w:val="10"/>
                <w:lang w:val="fr-BE"/>
              </w:rPr>
            </w:pPr>
          </w:p>
        </w:tc>
      </w:tr>
    </w:tbl>
    <w:p w14:paraId="430DF9B3"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27"/>
        <w:gridCol w:w="5028"/>
        <w:gridCol w:w="1107"/>
        <w:gridCol w:w="554"/>
        <w:gridCol w:w="697"/>
        <w:gridCol w:w="560"/>
        <w:gridCol w:w="554"/>
        <w:gridCol w:w="697"/>
        <w:gridCol w:w="560"/>
        <w:gridCol w:w="739"/>
        <w:gridCol w:w="554"/>
        <w:gridCol w:w="697"/>
        <w:gridCol w:w="560"/>
        <w:gridCol w:w="554"/>
        <w:gridCol w:w="697"/>
        <w:gridCol w:w="560"/>
        <w:gridCol w:w="739"/>
      </w:tblGrid>
      <w:tr w:rsidR="006B2EC1" w14:paraId="01B3E28D" w14:textId="77777777" w:rsidTr="0047688D">
        <w:trPr>
          <w:tblHeader/>
        </w:trPr>
        <w:tc>
          <w:tcPr>
            <w:tcW w:w="0" w:type="auto"/>
            <w:shd w:val="clear" w:color="auto" w:fill="auto"/>
          </w:tcPr>
          <w:p w14:paraId="0A3131D4" w14:textId="77777777" w:rsidR="008C5CFA" w:rsidRPr="00601E29" w:rsidRDefault="00E82A60" w:rsidP="00300A01">
            <w:pPr>
              <w:spacing w:before="0" w:after="0"/>
              <w:rPr>
                <w:b/>
                <w:sz w:val="10"/>
                <w:szCs w:val="10"/>
                <w:lang w:val="fr-BE"/>
              </w:rPr>
            </w:pPr>
            <w:r w:rsidRPr="00601E29">
              <w:rPr>
                <w:b/>
                <w:noProof/>
                <w:sz w:val="10"/>
                <w:szCs w:val="10"/>
                <w:lang w:val="fr-BE"/>
              </w:rPr>
              <w:t>ID</w:t>
            </w:r>
          </w:p>
        </w:tc>
        <w:tc>
          <w:tcPr>
            <w:tcW w:w="0" w:type="auto"/>
            <w:shd w:val="clear" w:color="auto" w:fill="auto"/>
          </w:tcPr>
          <w:p w14:paraId="1C5157C7" w14:textId="77777777" w:rsidR="008C5CFA" w:rsidRPr="00601E29" w:rsidRDefault="00E82A60" w:rsidP="00300A01">
            <w:pPr>
              <w:spacing w:before="0" w:after="0"/>
              <w:rPr>
                <w:b/>
                <w:sz w:val="10"/>
                <w:szCs w:val="10"/>
                <w:lang w:val="fr-BE"/>
              </w:rPr>
            </w:pPr>
            <w:r w:rsidRPr="00601E29">
              <w:rPr>
                <w:b/>
                <w:noProof/>
                <w:sz w:val="10"/>
                <w:szCs w:val="10"/>
                <w:lang w:val="fr-BE"/>
              </w:rPr>
              <w:t>Wskaźnik</w:t>
            </w:r>
          </w:p>
        </w:tc>
        <w:tc>
          <w:tcPr>
            <w:tcW w:w="0" w:type="auto"/>
            <w:shd w:val="clear" w:color="auto" w:fill="auto"/>
          </w:tcPr>
          <w:p w14:paraId="77A124E3" w14:textId="77777777" w:rsidR="008C5CFA" w:rsidRPr="00601E29" w:rsidRDefault="00E82A60" w:rsidP="00300A01">
            <w:pPr>
              <w:spacing w:before="0" w:after="0"/>
              <w:rPr>
                <w:b/>
                <w:sz w:val="10"/>
                <w:szCs w:val="10"/>
                <w:lang w:val="fr-BE"/>
              </w:rPr>
            </w:pPr>
            <w:r w:rsidRPr="00601E29">
              <w:rPr>
                <w:b/>
                <w:noProof/>
                <w:sz w:val="10"/>
                <w:szCs w:val="10"/>
                <w:lang w:val="fr-BE"/>
              </w:rPr>
              <w:t>Kategoria regionu</w:t>
            </w:r>
          </w:p>
        </w:tc>
        <w:tc>
          <w:tcPr>
            <w:tcW w:w="0" w:type="auto"/>
            <w:gridSpan w:val="7"/>
          </w:tcPr>
          <w:p w14:paraId="7C11101F" w14:textId="77777777" w:rsidR="008C5CFA" w:rsidRPr="00601E29" w:rsidRDefault="00E82A60" w:rsidP="00300A01">
            <w:pPr>
              <w:spacing w:before="0" w:after="0"/>
              <w:jc w:val="center"/>
              <w:rPr>
                <w:b/>
                <w:sz w:val="10"/>
                <w:szCs w:val="10"/>
                <w:lang w:val="fr-BE"/>
              </w:rPr>
            </w:pPr>
            <w:r>
              <w:rPr>
                <w:b/>
                <w:sz w:val="10"/>
                <w:szCs w:val="10"/>
                <w:lang w:val="fr-BE"/>
              </w:rPr>
              <w:t>2018</w:t>
            </w:r>
          </w:p>
        </w:tc>
        <w:tc>
          <w:tcPr>
            <w:tcW w:w="0" w:type="auto"/>
            <w:gridSpan w:val="7"/>
          </w:tcPr>
          <w:p w14:paraId="35A4789D" w14:textId="77777777" w:rsidR="008C5CFA" w:rsidRPr="00601E29" w:rsidRDefault="00E82A60" w:rsidP="00300A01">
            <w:pPr>
              <w:spacing w:before="0" w:after="0"/>
              <w:jc w:val="center"/>
              <w:rPr>
                <w:b/>
                <w:sz w:val="10"/>
                <w:szCs w:val="10"/>
                <w:lang w:val="fr-BE"/>
              </w:rPr>
            </w:pPr>
            <w:r>
              <w:rPr>
                <w:b/>
                <w:sz w:val="10"/>
                <w:szCs w:val="10"/>
                <w:lang w:val="fr-BE"/>
              </w:rPr>
              <w:t>2017</w:t>
            </w:r>
          </w:p>
        </w:tc>
      </w:tr>
      <w:tr w:rsidR="006B2EC1" w14:paraId="2BB7C25A" w14:textId="77777777" w:rsidTr="0047688D">
        <w:trPr>
          <w:tblHeader/>
        </w:trPr>
        <w:tc>
          <w:tcPr>
            <w:tcW w:w="0" w:type="auto"/>
            <w:shd w:val="clear" w:color="auto" w:fill="auto"/>
          </w:tcPr>
          <w:p w14:paraId="6D06E195" w14:textId="77777777" w:rsidR="008C5CFA" w:rsidRPr="00601E29" w:rsidRDefault="008C5CFA" w:rsidP="00300A01">
            <w:pPr>
              <w:spacing w:before="0" w:after="0"/>
              <w:rPr>
                <w:b/>
                <w:sz w:val="10"/>
                <w:szCs w:val="10"/>
                <w:lang w:val="fr-BE"/>
              </w:rPr>
            </w:pPr>
          </w:p>
        </w:tc>
        <w:tc>
          <w:tcPr>
            <w:tcW w:w="0" w:type="auto"/>
            <w:shd w:val="clear" w:color="auto" w:fill="auto"/>
          </w:tcPr>
          <w:p w14:paraId="3C091156" w14:textId="77777777" w:rsidR="008C5CFA" w:rsidRPr="00601E29" w:rsidRDefault="008C5CFA" w:rsidP="00300A01">
            <w:pPr>
              <w:spacing w:before="0" w:after="0"/>
              <w:rPr>
                <w:b/>
                <w:sz w:val="10"/>
                <w:szCs w:val="10"/>
                <w:lang w:val="fr-BE"/>
              </w:rPr>
            </w:pPr>
          </w:p>
        </w:tc>
        <w:tc>
          <w:tcPr>
            <w:tcW w:w="0" w:type="auto"/>
            <w:shd w:val="clear" w:color="auto" w:fill="auto"/>
          </w:tcPr>
          <w:p w14:paraId="42EAD28E" w14:textId="77777777" w:rsidR="008C5CFA" w:rsidRPr="00601E29" w:rsidRDefault="008C5CFA" w:rsidP="00300A01">
            <w:pPr>
              <w:spacing w:before="0" w:after="0"/>
              <w:rPr>
                <w:b/>
                <w:sz w:val="10"/>
                <w:szCs w:val="10"/>
                <w:lang w:val="fr-BE"/>
              </w:rPr>
            </w:pPr>
          </w:p>
        </w:tc>
        <w:tc>
          <w:tcPr>
            <w:tcW w:w="0" w:type="auto"/>
            <w:gridSpan w:val="3"/>
          </w:tcPr>
          <w:p w14:paraId="459C61E9" w14:textId="77777777" w:rsidR="008C5CFA" w:rsidRPr="00601E29" w:rsidRDefault="00E82A60" w:rsidP="00300A01">
            <w:pPr>
              <w:spacing w:before="0" w:after="0"/>
              <w:jc w:val="center"/>
              <w:rPr>
                <w:b/>
                <w:sz w:val="10"/>
                <w:szCs w:val="10"/>
                <w:lang w:val="fr-BE"/>
              </w:rPr>
            </w:pPr>
            <w:r w:rsidRPr="00601E29">
              <w:rPr>
                <w:b/>
                <w:noProof/>
                <w:sz w:val="10"/>
                <w:szCs w:val="10"/>
                <w:lang w:val="fr-BE"/>
              </w:rPr>
              <w:t>Łącznie</w:t>
            </w:r>
          </w:p>
        </w:tc>
        <w:tc>
          <w:tcPr>
            <w:tcW w:w="0" w:type="auto"/>
            <w:gridSpan w:val="3"/>
          </w:tcPr>
          <w:p w14:paraId="1B64F6B2" w14:textId="77777777" w:rsidR="008C5CFA" w:rsidRPr="00601E29" w:rsidRDefault="00E82A60" w:rsidP="00300A01">
            <w:pPr>
              <w:spacing w:before="0" w:after="0"/>
              <w:jc w:val="center"/>
              <w:rPr>
                <w:b/>
                <w:sz w:val="10"/>
                <w:szCs w:val="10"/>
                <w:lang w:val="fr-BE"/>
              </w:rPr>
            </w:pPr>
            <w:r w:rsidRPr="00601E29">
              <w:rPr>
                <w:b/>
                <w:noProof/>
                <w:sz w:val="10"/>
                <w:szCs w:val="10"/>
                <w:lang w:val="fr-BE"/>
              </w:rPr>
              <w:t>Łącznie w roku</w:t>
            </w:r>
          </w:p>
        </w:tc>
        <w:tc>
          <w:tcPr>
            <w:tcW w:w="0" w:type="auto"/>
          </w:tcPr>
          <w:p w14:paraId="0B58D658" w14:textId="77777777" w:rsidR="008C5CFA" w:rsidRPr="00601E29" w:rsidRDefault="00E82A60" w:rsidP="00300A01">
            <w:pPr>
              <w:spacing w:before="0" w:after="0"/>
              <w:jc w:val="center"/>
              <w:rPr>
                <w:b/>
                <w:sz w:val="10"/>
                <w:szCs w:val="10"/>
                <w:lang w:val="fr-BE"/>
              </w:rPr>
            </w:pPr>
            <w:r w:rsidRPr="00601E29">
              <w:rPr>
                <w:b/>
                <w:noProof/>
                <w:sz w:val="10"/>
                <w:szCs w:val="10"/>
                <w:lang w:val="fr-BE"/>
              </w:rPr>
              <w:t>Jakościowe</w:t>
            </w:r>
          </w:p>
        </w:tc>
        <w:tc>
          <w:tcPr>
            <w:tcW w:w="0" w:type="auto"/>
            <w:gridSpan w:val="3"/>
          </w:tcPr>
          <w:p w14:paraId="6A23B2FA" w14:textId="77777777" w:rsidR="008C5CFA" w:rsidRPr="00601E29" w:rsidRDefault="00E82A60" w:rsidP="00300A01">
            <w:pPr>
              <w:spacing w:before="0" w:after="0"/>
              <w:jc w:val="center"/>
              <w:rPr>
                <w:b/>
                <w:sz w:val="10"/>
                <w:szCs w:val="10"/>
                <w:lang w:val="fr-BE"/>
              </w:rPr>
            </w:pPr>
            <w:r w:rsidRPr="00601E29">
              <w:rPr>
                <w:b/>
                <w:noProof/>
                <w:sz w:val="10"/>
                <w:szCs w:val="10"/>
                <w:lang w:val="fr-BE"/>
              </w:rPr>
              <w:t>Łącznie</w:t>
            </w:r>
          </w:p>
        </w:tc>
        <w:tc>
          <w:tcPr>
            <w:tcW w:w="0" w:type="auto"/>
            <w:gridSpan w:val="3"/>
          </w:tcPr>
          <w:p w14:paraId="769605D2" w14:textId="77777777" w:rsidR="008C5CFA" w:rsidRPr="00601E29" w:rsidRDefault="00E82A60" w:rsidP="00300A01">
            <w:pPr>
              <w:spacing w:before="0" w:after="0"/>
              <w:jc w:val="center"/>
              <w:rPr>
                <w:b/>
                <w:sz w:val="10"/>
                <w:szCs w:val="10"/>
                <w:lang w:val="fr-BE"/>
              </w:rPr>
            </w:pPr>
            <w:r w:rsidRPr="00601E29">
              <w:rPr>
                <w:b/>
                <w:noProof/>
                <w:sz w:val="10"/>
                <w:szCs w:val="10"/>
                <w:lang w:val="fr-BE"/>
              </w:rPr>
              <w:t>Łącznie w roku</w:t>
            </w:r>
          </w:p>
        </w:tc>
        <w:tc>
          <w:tcPr>
            <w:tcW w:w="0" w:type="auto"/>
          </w:tcPr>
          <w:p w14:paraId="746A43CB" w14:textId="77777777" w:rsidR="008C5CFA" w:rsidRPr="00601E29" w:rsidRDefault="00E82A60" w:rsidP="00300A01">
            <w:pPr>
              <w:spacing w:before="0" w:after="0"/>
              <w:jc w:val="center"/>
              <w:rPr>
                <w:b/>
                <w:sz w:val="10"/>
                <w:szCs w:val="10"/>
                <w:lang w:val="fr-BE"/>
              </w:rPr>
            </w:pPr>
            <w:r w:rsidRPr="00601E29">
              <w:rPr>
                <w:b/>
                <w:noProof/>
                <w:sz w:val="10"/>
                <w:szCs w:val="10"/>
                <w:lang w:val="fr-BE"/>
              </w:rPr>
              <w:t>Jakościowe</w:t>
            </w:r>
          </w:p>
        </w:tc>
      </w:tr>
      <w:tr w:rsidR="006B2EC1" w14:paraId="3F159A2C" w14:textId="77777777" w:rsidTr="0047688D">
        <w:trPr>
          <w:tblHeader/>
        </w:trPr>
        <w:tc>
          <w:tcPr>
            <w:tcW w:w="0" w:type="auto"/>
            <w:shd w:val="clear" w:color="auto" w:fill="auto"/>
          </w:tcPr>
          <w:p w14:paraId="43A7B70F" w14:textId="77777777" w:rsidR="008C5CFA" w:rsidRPr="00601E29" w:rsidRDefault="008C5CFA" w:rsidP="00300A01">
            <w:pPr>
              <w:spacing w:before="0" w:after="0"/>
              <w:rPr>
                <w:b/>
                <w:sz w:val="10"/>
                <w:szCs w:val="10"/>
                <w:lang w:val="fr-BE"/>
              </w:rPr>
            </w:pPr>
          </w:p>
        </w:tc>
        <w:tc>
          <w:tcPr>
            <w:tcW w:w="0" w:type="auto"/>
            <w:shd w:val="clear" w:color="auto" w:fill="auto"/>
          </w:tcPr>
          <w:p w14:paraId="1426956A" w14:textId="77777777" w:rsidR="008C5CFA" w:rsidRPr="00601E29" w:rsidRDefault="008C5CFA" w:rsidP="00300A01">
            <w:pPr>
              <w:spacing w:before="0" w:after="0"/>
              <w:rPr>
                <w:b/>
                <w:sz w:val="10"/>
                <w:szCs w:val="10"/>
                <w:lang w:val="fr-BE"/>
              </w:rPr>
            </w:pPr>
          </w:p>
        </w:tc>
        <w:tc>
          <w:tcPr>
            <w:tcW w:w="0" w:type="auto"/>
            <w:shd w:val="clear" w:color="auto" w:fill="auto"/>
          </w:tcPr>
          <w:p w14:paraId="273ECA9E" w14:textId="77777777" w:rsidR="008C5CFA" w:rsidRPr="00601E29" w:rsidRDefault="008C5CFA" w:rsidP="00300A01">
            <w:pPr>
              <w:spacing w:before="0" w:after="0"/>
              <w:rPr>
                <w:b/>
                <w:sz w:val="10"/>
                <w:szCs w:val="10"/>
                <w:lang w:val="fr-BE"/>
              </w:rPr>
            </w:pPr>
          </w:p>
        </w:tc>
        <w:tc>
          <w:tcPr>
            <w:tcW w:w="0" w:type="auto"/>
          </w:tcPr>
          <w:p w14:paraId="2EEFD156" w14:textId="77777777" w:rsidR="008C5CFA" w:rsidRPr="00601E29" w:rsidRDefault="00E82A60" w:rsidP="00300A01">
            <w:pPr>
              <w:spacing w:before="0" w:after="0"/>
              <w:jc w:val="center"/>
              <w:rPr>
                <w:b/>
                <w:sz w:val="10"/>
                <w:szCs w:val="10"/>
                <w:lang w:val="fr-BE"/>
              </w:rPr>
            </w:pPr>
            <w:r w:rsidRPr="00601E29">
              <w:rPr>
                <w:b/>
                <w:noProof/>
                <w:sz w:val="10"/>
                <w:szCs w:val="10"/>
                <w:lang w:val="fr-BE"/>
              </w:rPr>
              <w:t>Ogółem</w:t>
            </w:r>
          </w:p>
        </w:tc>
        <w:tc>
          <w:tcPr>
            <w:tcW w:w="0" w:type="auto"/>
          </w:tcPr>
          <w:p w14:paraId="413EA416" w14:textId="77777777" w:rsidR="008C5CFA" w:rsidRPr="00601E29" w:rsidRDefault="00E82A60" w:rsidP="00300A01">
            <w:pPr>
              <w:spacing w:before="0" w:after="0"/>
              <w:jc w:val="center"/>
              <w:rPr>
                <w:b/>
                <w:sz w:val="10"/>
                <w:szCs w:val="10"/>
                <w:lang w:val="fr-BE"/>
              </w:rPr>
            </w:pPr>
            <w:r w:rsidRPr="00601E29">
              <w:rPr>
                <w:b/>
                <w:noProof/>
                <w:sz w:val="10"/>
                <w:szCs w:val="10"/>
                <w:lang w:val="fr-BE"/>
              </w:rPr>
              <w:t>Mężczyźni</w:t>
            </w:r>
          </w:p>
        </w:tc>
        <w:tc>
          <w:tcPr>
            <w:tcW w:w="0" w:type="auto"/>
          </w:tcPr>
          <w:p w14:paraId="1B29C3A6" w14:textId="77777777" w:rsidR="008C5CFA" w:rsidRPr="00601E29" w:rsidRDefault="00E82A60" w:rsidP="00300A01">
            <w:pPr>
              <w:spacing w:before="0" w:after="0"/>
              <w:jc w:val="center"/>
              <w:rPr>
                <w:b/>
                <w:sz w:val="10"/>
                <w:szCs w:val="10"/>
                <w:lang w:val="fr-BE"/>
              </w:rPr>
            </w:pPr>
            <w:r w:rsidRPr="00601E29">
              <w:rPr>
                <w:b/>
                <w:noProof/>
                <w:sz w:val="10"/>
                <w:szCs w:val="10"/>
                <w:lang w:val="fr-BE"/>
              </w:rPr>
              <w:t>Kobiety</w:t>
            </w:r>
          </w:p>
        </w:tc>
        <w:tc>
          <w:tcPr>
            <w:tcW w:w="0" w:type="auto"/>
          </w:tcPr>
          <w:p w14:paraId="2C43811C" w14:textId="77777777" w:rsidR="008C5CFA" w:rsidRPr="00601E29" w:rsidRDefault="00E82A60" w:rsidP="00300A01">
            <w:pPr>
              <w:spacing w:before="0" w:after="0"/>
              <w:jc w:val="center"/>
              <w:rPr>
                <w:b/>
                <w:sz w:val="10"/>
                <w:szCs w:val="10"/>
                <w:lang w:val="fr-BE"/>
              </w:rPr>
            </w:pPr>
            <w:r w:rsidRPr="00601E29">
              <w:rPr>
                <w:b/>
                <w:noProof/>
                <w:sz w:val="10"/>
                <w:szCs w:val="10"/>
                <w:lang w:val="fr-BE"/>
              </w:rPr>
              <w:t>Ogółem</w:t>
            </w:r>
          </w:p>
        </w:tc>
        <w:tc>
          <w:tcPr>
            <w:tcW w:w="0" w:type="auto"/>
          </w:tcPr>
          <w:p w14:paraId="34BCE5CA" w14:textId="77777777" w:rsidR="008C5CFA" w:rsidRPr="00601E29" w:rsidRDefault="00E82A60" w:rsidP="00300A01">
            <w:pPr>
              <w:spacing w:before="0" w:after="0"/>
              <w:jc w:val="center"/>
              <w:rPr>
                <w:b/>
                <w:sz w:val="10"/>
                <w:szCs w:val="10"/>
                <w:lang w:val="fr-BE"/>
              </w:rPr>
            </w:pPr>
            <w:r w:rsidRPr="00601E29">
              <w:rPr>
                <w:b/>
                <w:noProof/>
                <w:sz w:val="10"/>
                <w:szCs w:val="10"/>
                <w:lang w:val="fr-BE"/>
              </w:rPr>
              <w:t>Mężczyźni</w:t>
            </w:r>
          </w:p>
        </w:tc>
        <w:tc>
          <w:tcPr>
            <w:tcW w:w="0" w:type="auto"/>
          </w:tcPr>
          <w:p w14:paraId="4DC84F52" w14:textId="77777777" w:rsidR="008C5CFA" w:rsidRPr="00601E29" w:rsidRDefault="00E82A60" w:rsidP="00300A01">
            <w:pPr>
              <w:spacing w:before="0" w:after="0"/>
              <w:jc w:val="center"/>
              <w:rPr>
                <w:b/>
                <w:sz w:val="10"/>
                <w:szCs w:val="10"/>
                <w:lang w:val="fr-BE"/>
              </w:rPr>
            </w:pPr>
            <w:r w:rsidRPr="00601E29">
              <w:rPr>
                <w:b/>
                <w:noProof/>
                <w:sz w:val="10"/>
                <w:szCs w:val="10"/>
                <w:lang w:val="fr-BE"/>
              </w:rPr>
              <w:t>Kobiety</w:t>
            </w:r>
          </w:p>
        </w:tc>
        <w:tc>
          <w:tcPr>
            <w:tcW w:w="0" w:type="auto"/>
          </w:tcPr>
          <w:p w14:paraId="1897EDEF" w14:textId="77777777" w:rsidR="008C5CFA" w:rsidRPr="00601E29" w:rsidRDefault="008C5CFA" w:rsidP="00300A01">
            <w:pPr>
              <w:spacing w:before="0" w:after="0"/>
              <w:jc w:val="center"/>
              <w:rPr>
                <w:b/>
                <w:sz w:val="10"/>
                <w:szCs w:val="10"/>
                <w:lang w:val="fr-BE"/>
              </w:rPr>
            </w:pPr>
          </w:p>
        </w:tc>
        <w:tc>
          <w:tcPr>
            <w:tcW w:w="0" w:type="auto"/>
          </w:tcPr>
          <w:p w14:paraId="178FA7F1" w14:textId="77777777" w:rsidR="008C5CFA" w:rsidRPr="00601E29" w:rsidRDefault="00E82A60" w:rsidP="00300A01">
            <w:pPr>
              <w:spacing w:before="0" w:after="0"/>
              <w:jc w:val="center"/>
              <w:rPr>
                <w:b/>
                <w:sz w:val="10"/>
                <w:szCs w:val="10"/>
                <w:lang w:val="fr-BE"/>
              </w:rPr>
            </w:pPr>
            <w:r w:rsidRPr="00601E29">
              <w:rPr>
                <w:b/>
                <w:noProof/>
                <w:sz w:val="10"/>
                <w:szCs w:val="10"/>
                <w:lang w:val="fr-BE"/>
              </w:rPr>
              <w:t>Ogółem</w:t>
            </w:r>
          </w:p>
        </w:tc>
        <w:tc>
          <w:tcPr>
            <w:tcW w:w="0" w:type="auto"/>
          </w:tcPr>
          <w:p w14:paraId="7D2A9247" w14:textId="77777777" w:rsidR="008C5CFA" w:rsidRPr="00601E29" w:rsidRDefault="00E82A60" w:rsidP="00300A01">
            <w:pPr>
              <w:spacing w:before="0" w:after="0"/>
              <w:jc w:val="center"/>
              <w:rPr>
                <w:b/>
                <w:sz w:val="10"/>
                <w:szCs w:val="10"/>
                <w:lang w:val="fr-BE"/>
              </w:rPr>
            </w:pPr>
            <w:r w:rsidRPr="00601E29">
              <w:rPr>
                <w:b/>
                <w:noProof/>
                <w:sz w:val="10"/>
                <w:szCs w:val="10"/>
                <w:lang w:val="fr-BE"/>
              </w:rPr>
              <w:t>Mężczyźni</w:t>
            </w:r>
          </w:p>
        </w:tc>
        <w:tc>
          <w:tcPr>
            <w:tcW w:w="0" w:type="auto"/>
          </w:tcPr>
          <w:p w14:paraId="653AA3CE" w14:textId="77777777" w:rsidR="008C5CFA" w:rsidRPr="00601E29" w:rsidRDefault="00E82A60" w:rsidP="00300A01">
            <w:pPr>
              <w:spacing w:before="0" w:after="0"/>
              <w:jc w:val="center"/>
              <w:rPr>
                <w:b/>
                <w:sz w:val="10"/>
                <w:szCs w:val="10"/>
                <w:lang w:val="fr-BE"/>
              </w:rPr>
            </w:pPr>
            <w:r w:rsidRPr="00601E29">
              <w:rPr>
                <w:b/>
                <w:noProof/>
                <w:sz w:val="10"/>
                <w:szCs w:val="10"/>
                <w:lang w:val="fr-BE"/>
              </w:rPr>
              <w:t>Kobiety</w:t>
            </w:r>
          </w:p>
        </w:tc>
        <w:tc>
          <w:tcPr>
            <w:tcW w:w="0" w:type="auto"/>
          </w:tcPr>
          <w:p w14:paraId="15AAF2FA" w14:textId="77777777" w:rsidR="008C5CFA" w:rsidRPr="00601E29" w:rsidRDefault="00E82A60" w:rsidP="00300A01">
            <w:pPr>
              <w:spacing w:before="0" w:after="0"/>
              <w:jc w:val="center"/>
              <w:rPr>
                <w:b/>
                <w:sz w:val="10"/>
                <w:szCs w:val="10"/>
                <w:lang w:val="fr-BE"/>
              </w:rPr>
            </w:pPr>
            <w:r w:rsidRPr="00601E29">
              <w:rPr>
                <w:b/>
                <w:noProof/>
                <w:sz w:val="10"/>
                <w:szCs w:val="10"/>
                <w:lang w:val="fr-BE"/>
              </w:rPr>
              <w:t>Ogółem</w:t>
            </w:r>
          </w:p>
        </w:tc>
        <w:tc>
          <w:tcPr>
            <w:tcW w:w="0" w:type="auto"/>
          </w:tcPr>
          <w:p w14:paraId="5A380BD4" w14:textId="77777777" w:rsidR="008C5CFA" w:rsidRPr="00601E29" w:rsidRDefault="00E82A60" w:rsidP="00300A01">
            <w:pPr>
              <w:spacing w:before="0" w:after="0"/>
              <w:jc w:val="center"/>
              <w:rPr>
                <w:b/>
                <w:sz w:val="10"/>
                <w:szCs w:val="10"/>
                <w:lang w:val="fr-BE"/>
              </w:rPr>
            </w:pPr>
            <w:r w:rsidRPr="00601E29">
              <w:rPr>
                <w:b/>
                <w:noProof/>
                <w:sz w:val="10"/>
                <w:szCs w:val="10"/>
                <w:lang w:val="fr-BE"/>
              </w:rPr>
              <w:t>Mężczyźni</w:t>
            </w:r>
          </w:p>
        </w:tc>
        <w:tc>
          <w:tcPr>
            <w:tcW w:w="0" w:type="auto"/>
          </w:tcPr>
          <w:p w14:paraId="332AA7E5" w14:textId="77777777" w:rsidR="008C5CFA" w:rsidRPr="00601E29" w:rsidRDefault="00E82A60" w:rsidP="00300A01">
            <w:pPr>
              <w:spacing w:before="0" w:after="0"/>
              <w:jc w:val="center"/>
              <w:rPr>
                <w:b/>
                <w:sz w:val="10"/>
                <w:szCs w:val="10"/>
                <w:lang w:val="fr-BE"/>
              </w:rPr>
            </w:pPr>
            <w:r w:rsidRPr="00601E29">
              <w:rPr>
                <w:b/>
                <w:noProof/>
                <w:sz w:val="10"/>
                <w:szCs w:val="10"/>
                <w:lang w:val="fr-BE"/>
              </w:rPr>
              <w:t>Kobiety</w:t>
            </w:r>
          </w:p>
        </w:tc>
        <w:tc>
          <w:tcPr>
            <w:tcW w:w="0" w:type="auto"/>
          </w:tcPr>
          <w:p w14:paraId="0677DAE8" w14:textId="77777777" w:rsidR="008C5CFA" w:rsidRPr="00601E29" w:rsidRDefault="008C5CFA" w:rsidP="00300A01">
            <w:pPr>
              <w:spacing w:before="0" w:after="0"/>
              <w:jc w:val="center"/>
              <w:rPr>
                <w:b/>
                <w:sz w:val="10"/>
                <w:szCs w:val="10"/>
                <w:lang w:val="fr-BE"/>
              </w:rPr>
            </w:pPr>
          </w:p>
        </w:tc>
      </w:tr>
      <w:tr w:rsidR="006B2EC1" w14:paraId="6023EDDB" w14:textId="77777777" w:rsidTr="0047688D">
        <w:tc>
          <w:tcPr>
            <w:tcW w:w="0" w:type="auto"/>
            <w:shd w:val="clear" w:color="auto" w:fill="auto"/>
          </w:tcPr>
          <w:p w14:paraId="3AC8640C" w14:textId="77777777" w:rsidR="008C5CFA" w:rsidRPr="00601E29" w:rsidRDefault="00E82A60" w:rsidP="00300A01">
            <w:pPr>
              <w:spacing w:before="0" w:after="0"/>
              <w:rPr>
                <w:sz w:val="10"/>
                <w:szCs w:val="10"/>
                <w:lang w:val="fr-BE"/>
              </w:rPr>
            </w:pPr>
            <w:r w:rsidRPr="00601E29">
              <w:rPr>
                <w:noProof/>
                <w:sz w:val="10"/>
                <w:szCs w:val="10"/>
                <w:lang w:val="fr-BE"/>
              </w:rPr>
              <w:t>029</w:t>
            </w:r>
          </w:p>
        </w:tc>
        <w:tc>
          <w:tcPr>
            <w:tcW w:w="0" w:type="auto"/>
            <w:shd w:val="clear" w:color="auto" w:fill="auto"/>
          </w:tcPr>
          <w:p w14:paraId="34B306F0" w14:textId="77777777" w:rsidR="008C5CFA" w:rsidRPr="00601E29" w:rsidRDefault="00E82A60" w:rsidP="00300A01">
            <w:pPr>
              <w:spacing w:before="0" w:after="0"/>
              <w:rPr>
                <w:sz w:val="10"/>
                <w:szCs w:val="10"/>
                <w:lang w:val="fr-BE"/>
              </w:rPr>
            </w:pPr>
            <w:r w:rsidRPr="00601E29">
              <w:rPr>
                <w:noProof/>
                <w:sz w:val="10"/>
                <w:szCs w:val="10"/>
                <w:lang w:val="fr-BE"/>
              </w:rPr>
              <w:t>Poziom fluktuacji pracowników w instytucjach zaangażowanych w politykę spójności</w:t>
            </w:r>
          </w:p>
        </w:tc>
        <w:tc>
          <w:tcPr>
            <w:tcW w:w="0" w:type="auto"/>
            <w:shd w:val="clear" w:color="auto" w:fill="auto"/>
          </w:tcPr>
          <w:p w14:paraId="531DF237" w14:textId="77777777" w:rsidR="008C5CFA" w:rsidRPr="00601E29" w:rsidRDefault="008C5CFA" w:rsidP="00300A01">
            <w:pPr>
              <w:spacing w:before="0" w:after="0"/>
              <w:rPr>
                <w:sz w:val="10"/>
                <w:szCs w:val="10"/>
                <w:lang w:val="fr-BE"/>
              </w:rPr>
            </w:pPr>
          </w:p>
        </w:tc>
        <w:tc>
          <w:tcPr>
            <w:tcW w:w="0" w:type="auto"/>
          </w:tcPr>
          <w:p w14:paraId="3EE1F754" w14:textId="77777777" w:rsidR="008C5CFA" w:rsidRPr="00601E29" w:rsidRDefault="00E82A60" w:rsidP="00300A01">
            <w:pPr>
              <w:spacing w:before="0" w:after="0"/>
              <w:jc w:val="right"/>
              <w:rPr>
                <w:sz w:val="10"/>
                <w:szCs w:val="10"/>
                <w:lang w:val="fr-BE"/>
              </w:rPr>
            </w:pPr>
            <w:r w:rsidRPr="00601E29">
              <w:rPr>
                <w:noProof/>
                <w:sz w:val="10"/>
                <w:szCs w:val="10"/>
                <w:lang w:val="fr-BE"/>
              </w:rPr>
              <w:t>5,18</w:t>
            </w:r>
          </w:p>
        </w:tc>
        <w:tc>
          <w:tcPr>
            <w:tcW w:w="0" w:type="auto"/>
          </w:tcPr>
          <w:p w14:paraId="7DDA3910"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37CC1C11"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2C5D7864" w14:textId="77777777" w:rsidR="008C5CFA" w:rsidRPr="00601E29" w:rsidRDefault="00E82A60" w:rsidP="00300A01">
            <w:pPr>
              <w:spacing w:before="0" w:after="0"/>
              <w:jc w:val="right"/>
              <w:rPr>
                <w:sz w:val="10"/>
                <w:szCs w:val="10"/>
                <w:lang w:val="fr-BE"/>
              </w:rPr>
            </w:pPr>
            <w:r w:rsidRPr="00601E29">
              <w:rPr>
                <w:noProof/>
                <w:sz w:val="10"/>
                <w:szCs w:val="10"/>
                <w:lang w:val="fr-BE"/>
              </w:rPr>
              <w:t>5,13</w:t>
            </w:r>
          </w:p>
        </w:tc>
        <w:tc>
          <w:tcPr>
            <w:tcW w:w="0" w:type="auto"/>
          </w:tcPr>
          <w:p w14:paraId="18E0615B"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7303AF68"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6F6D1054" w14:textId="77777777" w:rsidR="008C5CFA" w:rsidRPr="00601E29" w:rsidRDefault="008C5CFA" w:rsidP="00300A01">
            <w:pPr>
              <w:spacing w:before="0" w:after="0"/>
              <w:jc w:val="right"/>
              <w:rPr>
                <w:sz w:val="10"/>
                <w:szCs w:val="10"/>
                <w:lang w:val="fr-BE"/>
              </w:rPr>
            </w:pPr>
          </w:p>
        </w:tc>
        <w:tc>
          <w:tcPr>
            <w:tcW w:w="0" w:type="auto"/>
          </w:tcPr>
          <w:p w14:paraId="461867EB" w14:textId="77777777" w:rsidR="008C5CFA" w:rsidRPr="00601E29" w:rsidRDefault="00E82A60" w:rsidP="00300A01">
            <w:pPr>
              <w:spacing w:before="0" w:after="0"/>
              <w:jc w:val="right"/>
              <w:rPr>
                <w:sz w:val="10"/>
                <w:szCs w:val="10"/>
                <w:lang w:val="fr-BE"/>
              </w:rPr>
            </w:pPr>
            <w:r w:rsidRPr="00601E29">
              <w:rPr>
                <w:noProof/>
                <w:sz w:val="10"/>
                <w:szCs w:val="10"/>
                <w:lang w:val="fr-BE"/>
              </w:rPr>
              <w:t>0,05</w:t>
            </w:r>
          </w:p>
        </w:tc>
        <w:tc>
          <w:tcPr>
            <w:tcW w:w="0" w:type="auto"/>
          </w:tcPr>
          <w:p w14:paraId="31577086"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02848978"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319A6A54" w14:textId="77777777" w:rsidR="008C5CFA" w:rsidRPr="00601E29" w:rsidRDefault="00E82A60" w:rsidP="00300A01">
            <w:pPr>
              <w:spacing w:before="0" w:after="0"/>
              <w:jc w:val="right"/>
              <w:rPr>
                <w:sz w:val="10"/>
                <w:szCs w:val="10"/>
                <w:lang w:val="fr-BE"/>
              </w:rPr>
            </w:pPr>
            <w:r w:rsidRPr="00601E29">
              <w:rPr>
                <w:noProof/>
                <w:sz w:val="10"/>
                <w:szCs w:val="10"/>
                <w:lang w:val="fr-BE"/>
              </w:rPr>
              <w:t>0,02</w:t>
            </w:r>
          </w:p>
        </w:tc>
        <w:tc>
          <w:tcPr>
            <w:tcW w:w="0" w:type="auto"/>
          </w:tcPr>
          <w:p w14:paraId="0BEDF907"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43774A39"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52674DE3" w14:textId="77777777" w:rsidR="008C5CFA" w:rsidRPr="00601E29" w:rsidRDefault="008C5CFA" w:rsidP="00300A01">
            <w:pPr>
              <w:spacing w:before="0" w:after="0"/>
              <w:jc w:val="right"/>
              <w:rPr>
                <w:sz w:val="10"/>
                <w:szCs w:val="10"/>
                <w:lang w:val="fr-BE"/>
              </w:rPr>
            </w:pPr>
          </w:p>
        </w:tc>
      </w:tr>
      <w:tr w:rsidR="006B2EC1" w14:paraId="23EA9CA4" w14:textId="77777777" w:rsidTr="0047688D">
        <w:tc>
          <w:tcPr>
            <w:tcW w:w="0" w:type="auto"/>
            <w:shd w:val="clear" w:color="auto" w:fill="auto"/>
          </w:tcPr>
          <w:p w14:paraId="5D68D614" w14:textId="77777777" w:rsidR="008C5CFA" w:rsidRPr="00601E29" w:rsidRDefault="00E82A60" w:rsidP="00300A01">
            <w:pPr>
              <w:spacing w:before="0" w:after="0"/>
              <w:rPr>
                <w:sz w:val="10"/>
                <w:szCs w:val="10"/>
                <w:lang w:val="fr-BE"/>
              </w:rPr>
            </w:pPr>
            <w:r w:rsidRPr="00601E29">
              <w:rPr>
                <w:noProof/>
                <w:sz w:val="10"/>
                <w:szCs w:val="10"/>
                <w:lang w:val="fr-BE"/>
              </w:rPr>
              <w:t>030</w:t>
            </w:r>
          </w:p>
        </w:tc>
        <w:tc>
          <w:tcPr>
            <w:tcW w:w="0" w:type="auto"/>
            <w:shd w:val="clear" w:color="auto" w:fill="auto"/>
          </w:tcPr>
          <w:p w14:paraId="19E9B035" w14:textId="77777777" w:rsidR="008C5CFA" w:rsidRPr="00601E29" w:rsidRDefault="00E82A60" w:rsidP="00300A01">
            <w:pPr>
              <w:spacing w:before="0" w:after="0"/>
              <w:rPr>
                <w:sz w:val="10"/>
                <w:szCs w:val="10"/>
                <w:lang w:val="fr-BE"/>
              </w:rPr>
            </w:pPr>
            <w:r w:rsidRPr="00601E29">
              <w:rPr>
                <w:noProof/>
                <w:sz w:val="10"/>
                <w:szCs w:val="10"/>
                <w:lang w:val="fr-BE"/>
              </w:rPr>
              <w:t>Średnioroczna liczba szkoleń na jednego pracownika instytucji systemu wdrażania FE</w:t>
            </w:r>
          </w:p>
        </w:tc>
        <w:tc>
          <w:tcPr>
            <w:tcW w:w="0" w:type="auto"/>
            <w:shd w:val="clear" w:color="auto" w:fill="auto"/>
          </w:tcPr>
          <w:p w14:paraId="3519AD28" w14:textId="77777777" w:rsidR="008C5CFA" w:rsidRPr="00601E29" w:rsidRDefault="008C5CFA" w:rsidP="00300A01">
            <w:pPr>
              <w:spacing w:before="0" w:after="0"/>
              <w:rPr>
                <w:sz w:val="10"/>
                <w:szCs w:val="10"/>
                <w:lang w:val="fr-BE"/>
              </w:rPr>
            </w:pPr>
          </w:p>
        </w:tc>
        <w:tc>
          <w:tcPr>
            <w:tcW w:w="0" w:type="auto"/>
          </w:tcPr>
          <w:p w14:paraId="3514B172" w14:textId="77777777" w:rsidR="008C5CFA" w:rsidRPr="00601E29" w:rsidRDefault="00E82A60" w:rsidP="00300A01">
            <w:pPr>
              <w:spacing w:before="0" w:after="0"/>
              <w:jc w:val="right"/>
              <w:rPr>
                <w:sz w:val="10"/>
                <w:szCs w:val="10"/>
                <w:lang w:val="fr-BE"/>
              </w:rPr>
            </w:pPr>
            <w:r w:rsidRPr="00601E29">
              <w:rPr>
                <w:noProof/>
                <w:sz w:val="10"/>
                <w:szCs w:val="10"/>
                <w:lang w:val="fr-BE"/>
              </w:rPr>
              <w:t>3,24</w:t>
            </w:r>
          </w:p>
        </w:tc>
        <w:tc>
          <w:tcPr>
            <w:tcW w:w="0" w:type="auto"/>
          </w:tcPr>
          <w:p w14:paraId="75E83B0D"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692E5D5A"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32C03ACF" w14:textId="77777777" w:rsidR="008C5CFA" w:rsidRPr="00601E29" w:rsidRDefault="00E82A60" w:rsidP="00300A01">
            <w:pPr>
              <w:spacing w:before="0" w:after="0"/>
              <w:jc w:val="right"/>
              <w:rPr>
                <w:sz w:val="10"/>
                <w:szCs w:val="10"/>
                <w:lang w:val="fr-BE"/>
              </w:rPr>
            </w:pPr>
            <w:r w:rsidRPr="00601E29">
              <w:rPr>
                <w:noProof/>
                <w:sz w:val="10"/>
                <w:szCs w:val="10"/>
                <w:lang w:val="fr-BE"/>
              </w:rPr>
              <w:t>0,68</w:t>
            </w:r>
          </w:p>
        </w:tc>
        <w:tc>
          <w:tcPr>
            <w:tcW w:w="0" w:type="auto"/>
          </w:tcPr>
          <w:p w14:paraId="139CED5F"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064B04A5"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06FDEB16" w14:textId="77777777" w:rsidR="008C5CFA" w:rsidRPr="00601E29" w:rsidRDefault="008C5CFA" w:rsidP="00300A01">
            <w:pPr>
              <w:spacing w:before="0" w:after="0"/>
              <w:jc w:val="right"/>
              <w:rPr>
                <w:sz w:val="10"/>
                <w:szCs w:val="10"/>
                <w:lang w:val="fr-BE"/>
              </w:rPr>
            </w:pPr>
          </w:p>
        </w:tc>
        <w:tc>
          <w:tcPr>
            <w:tcW w:w="0" w:type="auto"/>
          </w:tcPr>
          <w:p w14:paraId="563066DC" w14:textId="77777777" w:rsidR="008C5CFA" w:rsidRPr="00601E29" w:rsidRDefault="00E82A60" w:rsidP="00300A01">
            <w:pPr>
              <w:spacing w:before="0" w:after="0"/>
              <w:jc w:val="right"/>
              <w:rPr>
                <w:sz w:val="10"/>
                <w:szCs w:val="10"/>
                <w:lang w:val="fr-BE"/>
              </w:rPr>
            </w:pPr>
            <w:r w:rsidRPr="00601E29">
              <w:rPr>
                <w:noProof/>
                <w:sz w:val="10"/>
                <w:szCs w:val="10"/>
                <w:lang w:val="fr-BE"/>
              </w:rPr>
              <w:t>2,56</w:t>
            </w:r>
          </w:p>
        </w:tc>
        <w:tc>
          <w:tcPr>
            <w:tcW w:w="0" w:type="auto"/>
          </w:tcPr>
          <w:p w14:paraId="19E6E4C9"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49E3A4D9"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3D37EAA7" w14:textId="77777777" w:rsidR="008C5CFA" w:rsidRPr="00601E29" w:rsidRDefault="00E82A60" w:rsidP="00300A01">
            <w:pPr>
              <w:spacing w:before="0" w:after="0"/>
              <w:jc w:val="right"/>
              <w:rPr>
                <w:sz w:val="10"/>
                <w:szCs w:val="10"/>
                <w:lang w:val="fr-BE"/>
              </w:rPr>
            </w:pPr>
            <w:r w:rsidRPr="00601E29">
              <w:rPr>
                <w:noProof/>
                <w:sz w:val="10"/>
                <w:szCs w:val="10"/>
                <w:lang w:val="fr-BE"/>
              </w:rPr>
              <w:t>1,00</w:t>
            </w:r>
          </w:p>
        </w:tc>
        <w:tc>
          <w:tcPr>
            <w:tcW w:w="0" w:type="auto"/>
          </w:tcPr>
          <w:p w14:paraId="2531EFFF"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07D0CFA0"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70B9D343" w14:textId="77777777" w:rsidR="008C5CFA" w:rsidRPr="00601E29" w:rsidRDefault="008C5CFA" w:rsidP="00300A01">
            <w:pPr>
              <w:spacing w:before="0" w:after="0"/>
              <w:jc w:val="right"/>
              <w:rPr>
                <w:sz w:val="10"/>
                <w:szCs w:val="10"/>
                <w:lang w:val="fr-BE"/>
              </w:rPr>
            </w:pPr>
          </w:p>
        </w:tc>
      </w:tr>
      <w:tr w:rsidR="006B2EC1" w14:paraId="0312C6F8" w14:textId="77777777" w:rsidTr="0047688D">
        <w:tc>
          <w:tcPr>
            <w:tcW w:w="0" w:type="auto"/>
            <w:shd w:val="clear" w:color="auto" w:fill="auto"/>
          </w:tcPr>
          <w:p w14:paraId="7A87F73F" w14:textId="77777777" w:rsidR="008C5CFA" w:rsidRPr="00601E29" w:rsidRDefault="00E82A60" w:rsidP="00300A01">
            <w:pPr>
              <w:spacing w:before="0" w:after="0"/>
              <w:rPr>
                <w:sz w:val="10"/>
                <w:szCs w:val="10"/>
                <w:lang w:val="fr-BE"/>
              </w:rPr>
            </w:pPr>
            <w:r w:rsidRPr="00601E29">
              <w:rPr>
                <w:noProof/>
                <w:sz w:val="10"/>
                <w:szCs w:val="10"/>
                <w:lang w:val="fr-BE"/>
              </w:rPr>
              <w:t>031</w:t>
            </w:r>
          </w:p>
        </w:tc>
        <w:tc>
          <w:tcPr>
            <w:tcW w:w="0" w:type="auto"/>
            <w:shd w:val="clear" w:color="auto" w:fill="auto"/>
          </w:tcPr>
          <w:p w14:paraId="4D252A84" w14:textId="77777777" w:rsidR="008C5CFA" w:rsidRPr="00601E29" w:rsidRDefault="00E82A60" w:rsidP="00300A01">
            <w:pPr>
              <w:spacing w:before="0" w:after="0"/>
              <w:rPr>
                <w:sz w:val="10"/>
                <w:szCs w:val="10"/>
                <w:lang w:val="fr-BE"/>
              </w:rPr>
            </w:pPr>
            <w:r w:rsidRPr="00601E29">
              <w:rPr>
                <w:noProof/>
                <w:sz w:val="10"/>
                <w:szCs w:val="10"/>
                <w:lang w:val="fr-BE"/>
              </w:rPr>
              <w:t>Średni czas zatwierdzenia projektu (od złożenia wniosku o dofinansowanie do podpisania umowy)</w:t>
            </w:r>
          </w:p>
        </w:tc>
        <w:tc>
          <w:tcPr>
            <w:tcW w:w="0" w:type="auto"/>
            <w:shd w:val="clear" w:color="auto" w:fill="auto"/>
          </w:tcPr>
          <w:p w14:paraId="25DCE2E5" w14:textId="77777777" w:rsidR="008C5CFA" w:rsidRPr="00601E29" w:rsidRDefault="008C5CFA" w:rsidP="00300A01">
            <w:pPr>
              <w:spacing w:before="0" w:after="0"/>
              <w:rPr>
                <w:sz w:val="10"/>
                <w:szCs w:val="10"/>
                <w:lang w:val="fr-BE"/>
              </w:rPr>
            </w:pPr>
          </w:p>
        </w:tc>
        <w:tc>
          <w:tcPr>
            <w:tcW w:w="0" w:type="auto"/>
          </w:tcPr>
          <w:p w14:paraId="25F935F9" w14:textId="77777777" w:rsidR="008C5CFA" w:rsidRPr="00601E29" w:rsidRDefault="00E82A60" w:rsidP="00300A01">
            <w:pPr>
              <w:spacing w:before="0" w:after="0"/>
              <w:jc w:val="right"/>
              <w:rPr>
                <w:sz w:val="10"/>
                <w:szCs w:val="10"/>
                <w:lang w:val="fr-BE"/>
              </w:rPr>
            </w:pPr>
            <w:r w:rsidRPr="00601E29">
              <w:rPr>
                <w:noProof/>
                <w:sz w:val="10"/>
                <w:szCs w:val="10"/>
                <w:lang w:val="fr-BE"/>
              </w:rPr>
              <w:t>708,31</w:t>
            </w:r>
          </w:p>
        </w:tc>
        <w:tc>
          <w:tcPr>
            <w:tcW w:w="0" w:type="auto"/>
          </w:tcPr>
          <w:p w14:paraId="64984F92"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42318422"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00A6DC01" w14:textId="77777777" w:rsidR="008C5CFA" w:rsidRPr="00601E29" w:rsidRDefault="00E82A60" w:rsidP="00300A01">
            <w:pPr>
              <w:spacing w:before="0" w:after="0"/>
              <w:jc w:val="right"/>
              <w:rPr>
                <w:sz w:val="10"/>
                <w:szCs w:val="10"/>
                <w:lang w:val="fr-BE"/>
              </w:rPr>
            </w:pPr>
            <w:r w:rsidRPr="00601E29">
              <w:rPr>
                <w:noProof/>
                <w:sz w:val="10"/>
                <w:szCs w:val="10"/>
                <w:lang w:val="fr-BE"/>
              </w:rPr>
              <w:t>266,75</w:t>
            </w:r>
          </w:p>
        </w:tc>
        <w:tc>
          <w:tcPr>
            <w:tcW w:w="0" w:type="auto"/>
          </w:tcPr>
          <w:p w14:paraId="1C52C910"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2EF83538"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031E727D" w14:textId="77777777" w:rsidR="008C5CFA" w:rsidRPr="00601E29" w:rsidRDefault="008C5CFA" w:rsidP="00300A01">
            <w:pPr>
              <w:spacing w:before="0" w:after="0"/>
              <w:jc w:val="right"/>
              <w:rPr>
                <w:sz w:val="10"/>
                <w:szCs w:val="10"/>
                <w:lang w:val="fr-BE"/>
              </w:rPr>
            </w:pPr>
          </w:p>
        </w:tc>
        <w:tc>
          <w:tcPr>
            <w:tcW w:w="0" w:type="auto"/>
          </w:tcPr>
          <w:p w14:paraId="421AC5AB" w14:textId="77777777" w:rsidR="008C5CFA" w:rsidRPr="00601E29" w:rsidRDefault="00E82A60" w:rsidP="00300A01">
            <w:pPr>
              <w:spacing w:before="0" w:after="0"/>
              <w:jc w:val="right"/>
              <w:rPr>
                <w:sz w:val="10"/>
                <w:szCs w:val="10"/>
                <w:lang w:val="fr-BE"/>
              </w:rPr>
            </w:pPr>
            <w:r w:rsidRPr="00601E29">
              <w:rPr>
                <w:noProof/>
                <w:sz w:val="10"/>
                <w:szCs w:val="10"/>
                <w:lang w:val="fr-BE"/>
              </w:rPr>
              <w:t>441,56</w:t>
            </w:r>
          </w:p>
        </w:tc>
        <w:tc>
          <w:tcPr>
            <w:tcW w:w="0" w:type="auto"/>
          </w:tcPr>
          <w:p w14:paraId="181DFF50"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51D86C1D"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76B87C62" w14:textId="77777777" w:rsidR="008C5CFA" w:rsidRPr="00601E29" w:rsidRDefault="00E82A60" w:rsidP="00300A01">
            <w:pPr>
              <w:spacing w:before="0" w:after="0"/>
              <w:jc w:val="right"/>
              <w:rPr>
                <w:sz w:val="10"/>
                <w:szCs w:val="10"/>
                <w:lang w:val="fr-BE"/>
              </w:rPr>
            </w:pPr>
            <w:r w:rsidRPr="00601E29">
              <w:rPr>
                <w:noProof/>
                <w:sz w:val="10"/>
                <w:szCs w:val="10"/>
                <w:lang w:val="fr-BE"/>
              </w:rPr>
              <w:t>178,56</w:t>
            </w:r>
          </w:p>
        </w:tc>
        <w:tc>
          <w:tcPr>
            <w:tcW w:w="0" w:type="auto"/>
          </w:tcPr>
          <w:p w14:paraId="1E88B25E"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7D2F6FE0"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1FE3D944" w14:textId="77777777" w:rsidR="008C5CFA" w:rsidRPr="00601E29" w:rsidRDefault="008C5CFA" w:rsidP="00300A01">
            <w:pPr>
              <w:spacing w:before="0" w:after="0"/>
              <w:jc w:val="right"/>
              <w:rPr>
                <w:sz w:val="10"/>
                <w:szCs w:val="10"/>
                <w:lang w:val="fr-BE"/>
              </w:rPr>
            </w:pPr>
          </w:p>
        </w:tc>
      </w:tr>
    </w:tbl>
    <w:p w14:paraId="0267D397"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27"/>
        <w:gridCol w:w="5028"/>
        <w:gridCol w:w="1107"/>
        <w:gridCol w:w="554"/>
        <w:gridCol w:w="697"/>
        <w:gridCol w:w="560"/>
        <w:gridCol w:w="554"/>
        <w:gridCol w:w="697"/>
        <w:gridCol w:w="560"/>
        <w:gridCol w:w="739"/>
        <w:gridCol w:w="554"/>
        <w:gridCol w:w="697"/>
        <w:gridCol w:w="560"/>
        <w:gridCol w:w="554"/>
        <w:gridCol w:w="697"/>
        <w:gridCol w:w="560"/>
        <w:gridCol w:w="739"/>
      </w:tblGrid>
      <w:tr w:rsidR="006B2EC1" w14:paraId="53BFA3AF" w14:textId="77777777" w:rsidTr="0047688D">
        <w:trPr>
          <w:tblHeader/>
        </w:trPr>
        <w:tc>
          <w:tcPr>
            <w:tcW w:w="0" w:type="auto"/>
            <w:shd w:val="clear" w:color="auto" w:fill="auto"/>
          </w:tcPr>
          <w:p w14:paraId="642D03E0" w14:textId="77777777" w:rsidR="008C5CFA" w:rsidRPr="00601E29" w:rsidRDefault="00E82A60" w:rsidP="00300A01">
            <w:pPr>
              <w:spacing w:before="0" w:after="0"/>
              <w:rPr>
                <w:b/>
                <w:sz w:val="10"/>
                <w:szCs w:val="10"/>
                <w:lang w:val="fr-BE"/>
              </w:rPr>
            </w:pPr>
            <w:r w:rsidRPr="00601E29">
              <w:rPr>
                <w:b/>
                <w:noProof/>
                <w:sz w:val="10"/>
                <w:szCs w:val="10"/>
                <w:lang w:val="fr-BE"/>
              </w:rPr>
              <w:t>ID</w:t>
            </w:r>
          </w:p>
        </w:tc>
        <w:tc>
          <w:tcPr>
            <w:tcW w:w="0" w:type="auto"/>
            <w:shd w:val="clear" w:color="auto" w:fill="auto"/>
          </w:tcPr>
          <w:p w14:paraId="2DFA85CF" w14:textId="77777777" w:rsidR="008C5CFA" w:rsidRPr="00601E29" w:rsidRDefault="00E82A60" w:rsidP="00300A01">
            <w:pPr>
              <w:spacing w:before="0" w:after="0"/>
              <w:rPr>
                <w:b/>
                <w:sz w:val="10"/>
                <w:szCs w:val="10"/>
                <w:lang w:val="fr-BE"/>
              </w:rPr>
            </w:pPr>
            <w:r w:rsidRPr="00601E29">
              <w:rPr>
                <w:b/>
                <w:noProof/>
                <w:sz w:val="10"/>
                <w:szCs w:val="10"/>
                <w:lang w:val="fr-BE"/>
              </w:rPr>
              <w:t>Wskaźnik</w:t>
            </w:r>
          </w:p>
        </w:tc>
        <w:tc>
          <w:tcPr>
            <w:tcW w:w="0" w:type="auto"/>
            <w:shd w:val="clear" w:color="auto" w:fill="auto"/>
          </w:tcPr>
          <w:p w14:paraId="7EEC156F" w14:textId="77777777" w:rsidR="008C5CFA" w:rsidRPr="00601E29" w:rsidRDefault="00E82A60" w:rsidP="00300A01">
            <w:pPr>
              <w:spacing w:before="0" w:after="0"/>
              <w:rPr>
                <w:b/>
                <w:sz w:val="10"/>
                <w:szCs w:val="10"/>
                <w:lang w:val="fr-BE"/>
              </w:rPr>
            </w:pPr>
            <w:r w:rsidRPr="00601E29">
              <w:rPr>
                <w:b/>
                <w:noProof/>
                <w:sz w:val="10"/>
                <w:szCs w:val="10"/>
                <w:lang w:val="fr-BE"/>
              </w:rPr>
              <w:t>Kategoria regionu</w:t>
            </w:r>
          </w:p>
        </w:tc>
        <w:tc>
          <w:tcPr>
            <w:tcW w:w="0" w:type="auto"/>
            <w:gridSpan w:val="7"/>
          </w:tcPr>
          <w:p w14:paraId="41FF4F37" w14:textId="77777777" w:rsidR="008C5CFA" w:rsidRPr="00601E29" w:rsidRDefault="00E82A60" w:rsidP="00300A01">
            <w:pPr>
              <w:spacing w:before="0" w:after="0"/>
              <w:jc w:val="center"/>
              <w:rPr>
                <w:b/>
                <w:sz w:val="10"/>
                <w:szCs w:val="10"/>
                <w:lang w:val="fr-BE"/>
              </w:rPr>
            </w:pPr>
            <w:r>
              <w:rPr>
                <w:b/>
                <w:sz w:val="10"/>
                <w:szCs w:val="10"/>
                <w:lang w:val="fr-BE"/>
              </w:rPr>
              <w:t>2016</w:t>
            </w:r>
          </w:p>
        </w:tc>
        <w:tc>
          <w:tcPr>
            <w:tcW w:w="0" w:type="auto"/>
            <w:gridSpan w:val="7"/>
          </w:tcPr>
          <w:p w14:paraId="7A8ECF9D" w14:textId="77777777" w:rsidR="008C5CFA" w:rsidRPr="00601E29" w:rsidRDefault="00E82A60" w:rsidP="00300A01">
            <w:pPr>
              <w:spacing w:before="0" w:after="0"/>
              <w:jc w:val="center"/>
              <w:rPr>
                <w:b/>
                <w:sz w:val="10"/>
                <w:szCs w:val="10"/>
                <w:lang w:val="fr-BE"/>
              </w:rPr>
            </w:pPr>
            <w:r>
              <w:rPr>
                <w:b/>
                <w:sz w:val="10"/>
                <w:szCs w:val="10"/>
                <w:lang w:val="fr-BE"/>
              </w:rPr>
              <w:t>2015</w:t>
            </w:r>
          </w:p>
        </w:tc>
      </w:tr>
      <w:tr w:rsidR="006B2EC1" w14:paraId="305EB853" w14:textId="77777777" w:rsidTr="0047688D">
        <w:trPr>
          <w:tblHeader/>
        </w:trPr>
        <w:tc>
          <w:tcPr>
            <w:tcW w:w="0" w:type="auto"/>
            <w:shd w:val="clear" w:color="auto" w:fill="auto"/>
          </w:tcPr>
          <w:p w14:paraId="79F74EE8" w14:textId="77777777" w:rsidR="008C5CFA" w:rsidRPr="00601E29" w:rsidRDefault="008C5CFA" w:rsidP="00300A01">
            <w:pPr>
              <w:spacing w:before="0" w:after="0"/>
              <w:rPr>
                <w:b/>
                <w:sz w:val="10"/>
                <w:szCs w:val="10"/>
                <w:lang w:val="fr-BE"/>
              </w:rPr>
            </w:pPr>
          </w:p>
        </w:tc>
        <w:tc>
          <w:tcPr>
            <w:tcW w:w="0" w:type="auto"/>
            <w:shd w:val="clear" w:color="auto" w:fill="auto"/>
          </w:tcPr>
          <w:p w14:paraId="1F9B0E6C" w14:textId="77777777" w:rsidR="008C5CFA" w:rsidRPr="00601E29" w:rsidRDefault="008C5CFA" w:rsidP="00300A01">
            <w:pPr>
              <w:spacing w:before="0" w:after="0"/>
              <w:rPr>
                <w:b/>
                <w:sz w:val="10"/>
                <w:szCs w:val="10"/>
                <w:lang w:val="fr-BE"/>
              </w:rPr>
            </w:pPr>
          </w:p>
        </w:tc>
        <w:tc>
          <w:tcPr>
            <w:tcW w:w="0" w:type="auto"/>
            <w:shd w:val="clear" w:color="auto" w:fill="auto"/>
          </w:tcPr>
          <w:p w14:paraId="1A850DB1" w14:textId="77777777" w:rsidR="008C5CFA" w:rsidRPr="00601E29" w:rsidRDefault="008C5CFA" w:rsidP="00300A01">
            <w:pPr>
              <w:spacing w:before="0" w:after="0"/>
              <w:rPr>
                <w:b/>
                <w:sz w:val="10"/>
                <w:szCs w:val="10"/>
                <w:lang w:val="fr-BE"/>
              </w:rPr>
            </w:pPr>
          </w:p>
        </w:tc>
        <w:tc>
          <w:tcPr>
            <w:tcW w:w="0" w:type="auto"/>
            <w:gridSpan w:val="3"/>
          </w:tcPr>
          <w:p w14:paraId="7D6B0B93" w14:textId="77777777" w:rsidR="008C5CFA" w:rsidRPr="00601E29" w:rsidRDefault="00E82A60" w:rsidP="00300A01">
            <w:pPr>
              <w:spacing w:before="0" w:after="0"/>
              <w:jc w:val="center"/>
              <w:rPr>
                <w:b/>
                <w:sz w:val="10"/>
                <w:szCs w:val="10"/>
                <w:lang w:val="fr-BE"/>
              </w:rPr>
            </w:pPr>
            <w:r w:rsidRPr="00601E29">
              <w:rPr>
                <w:b/>
                <w:noProof/>
                <w:sz w:val="10"/>
                <w:szCs w:val="10"/>
                <w:lang w:val="fr-BE"/>
              </w:rPr>
              <w:t>Łącznie</w:t>
            </w:r>
          </w:p>
        </w:tc>
        <w:tc>
          <w:tcPr>
            <w:tcW w:w="0" w:type="auto"/>
            <w:gridSpan w:val="3"/>
          </w:tcPr>
          <w:p w14:paraId="0EA80329" w14:textId="77777777" w:rsidR="008C5CFA" w:rsidRPr="00601E29" w:rsidRDefault="00E82A60" w:rsidP="00300A01">
            <w:pPr>
              <w:spacing w:before="0" w:after="0"/>
              <w:jc w:val="center"/>
              <w:rPr>
                <w:b/>
                <w:sz w:val="10"/>
                <w:szCs w:val="10"/>
                <w:lang w:val="fr-BE"/>
              </w:rPr>
            </w:pPr>
            <w:r w:rsidRPr="00601E29">
              <w:rPr>
                <w:b/>
                <w:noProof/>
                <w:sz w:val="10"/>
                <w:szCs w:val="10"/>
                <w:lang w:val="fr-BE"/>
              </w:rPr>
              <w:t>Łącznie w roku</w:t>
            </w:r>
          </w:p>
        </w:tc>
        <w:tc>
          <w:tcPr>
            <w:tcW w:w="0" w:type="auto"/>
          </w:tcPr>
          <w:p w14:paraId="5E8E0001" w14:textId="77777777" w:rsidR="008C5CFA" w:rsidRPr="00601E29" w:rsidRDefault="00E82A60" w:rsidP="00300A01">
            <w:pPr>
              <w:spacing w:before="0" w:after="0"/>
              <w:jc w:val="center"/>
              <w:rPr>
                <w:b/>
                <w:sz w:val="10"/>
                <w:szCs w:val="10"/>
                <w:lang w:val="fr-BE"/>
              </w:rPr>
            </w:pPr>
            <w:r w:rsidRPr="00601E29">
              <w:rPr>
                <w:b/>
                <w:noProof/>
                <w:sz w:val="10"/>
                <w:szCs w:val="10"/>
                <w:lang w:val="fr-BE"/>
              </w:rPr>
              <w:t>Jakościowe</w:t>
            </w:r>
          </w:p>
        </w:tc>
        <w:tc>
          <w:tcPr>
            <w:tcW w:w="0" w:type="auto"/>
            <w:gridSpan w:val="3"/>
          </w:tcPr>
          <w:p w14:paraId="08A3047A" w14:textId="77777777" w:rsidR="008C5CFA" w:rsidRPr="00601E29" w:rsidRDefault="00E82A60" w:rsidP="00300A01">
            <w:pPr>
              <w:spacing w:before="0" w:after="0"/>
              <w:jc w:val="center"/>
              <w:rPr>
                <w:b/>
                <w:sz w:val="10"/>
                <w:szCs w:val="10"/>
                <w:lang w:val="fr-BE"/>
              </w:rPr>
            </w:pPr>
            <w:r w:rsidRPr="00601E29">
              <w:rPr>
                <w:b/>
                <w:noProof/>
                <w:sz w:val="10"/>
                <w:szCs w:val="10"/>
                <w:lang w:val="fr-BE"/>
              </w:rPr>
              <w:t>Łącznie</w:t>
            </w:r>
          </w:p>
        </w:tc>
        <w:tc>
          <w:tcPr>
            <w:tcW w:w="0" w:type="auto"/>
            <w:gridSpan w:val="3"/>
          </w:tcPr>
          <w:p w14:paraId="70EF7530" w14:textId="77777777" w:rsidR="008C5CFA" w:rsidRPr="00601E29" w:rsidRDefault="00E82A60" w:rsidP="00300A01">
            <w:pPr>
              <w:spacing w:before="0" w:after="0"/>
              <w:jc w:val="center"/>
              <w:rPr>
                <w:b/>
                <w:sz w:val="10"/>
                <w:szCs w:val="10"/>
                <w:lang w:val="fr-BE"/>
              </w:rPr>
            </w:pPr>
            <w:r w:rsidRPr="00601E29">
              <w:rPr>
                <w:b/>
                <w:noProof/>
                <w:sz w:val="10"/>
                <w:szCs w:val="10"/>
                <w:lang w:val="fr-BE"/>
              </w:rPr>
              <w:t>Łącznie w roku</w:t>
            </w:r>
          </w:p>
        </w:tc>
        <w:tc>
          <w:tcPr>
            <w:tcW w:w="0" w:type="auto"/>
          </w:tcPr>
          <w:p w14:paraId="2D6FAD79" w14:textId="77777777" w:rsidR="008C5CFA" w:rsidRPr="00601E29" w:rsidRDefault="00E82A60" w:rsidP="00300A01">
            <w:pPr>
              <w:spacing w:before="0" w:after="0"/>
              <w:jc w:val="center"/>
              <w:rPr>
                <w:b/>
                <w:sz w:val="10"/>
                <w:szCs w:val="10"/>
                <w:lang w:val="fr-BE"/>
              </w:rPr>
            </w:pPr>
            <w:r w:rsidRPr="00601E29">
              <w:rPr>
                <w:b/>
                <w:noProof/>
                <w:sz w:val="10"/>
                <w:szCs w:val="10"/>
                <w:lang w:val="fr-BE"/>
              </w:rPr>
              <w:t>Jakościowe</w:t>
            </w:r>
          </w:p>
        </w:tc>
      </w:tr>
      <w:tr w:rsidR="006B2EC1" w14:paraId="38E57614" w14:textId="77777777" w:rsidTr="0047688D">
        <w:trPr>
          <w:tblHeader/>
        </w:trPr>
        <w:tc>
          <w:tcPr>
            <w:tcW w:w="0" w:type="auto"/>
            <w:shd w:val="clear" w:color="auto" w:fill="auto"/>
          </w:tcPr>
          <w:p w14:paraId="3CD218ED" w14:textId="77777777" w:rsidR="008C5CFA" w:rsidRPr="00601E29" w:rsidRDefault="008C5CFA" w:rsidP="00300A01">
            <w:pPr>
              <w:spacing w:before="0" w:after="0"/>
              <w:rPr>
                <w:b/>
                <w:sz w:val="10"/>
                <w:szCs w:val="10"/>
                <w:lang w:val="fr-BE"/>
              </w:rPr>
            </w:pPr>
          </w:p>
        </w:tc>
        <w:tc>
          <w:tcPr>
            <w:tcW w:w="0" w:type="auto"/>
            <w:shd w:val="clear" w:color="auto" w:fill="auto"/>
          </w:tcPr>
          <w:p w14:paraId="63130E98" w14:textId="77777777" w:rsidR="008C5CFA" w:rsidRPr="00601E29" w:rsidRDefault="008C5CFA" w:rsidP="00300A01">
            <w:pPr>
              <w:spacing w:before="0" w:after="0"/>
              <w:rPr>
                <w:b/>
                <w:sz w:val="10"/>
                <w:szCs w:val="10"/>
                <w:lang w:val="fr-BE"/>
              </w:rPr>
            </w:pPr>
          </w:p>
        </w:tc>
        <w:tc>
          <w:tcPr>
            <w:tcW w:w="0" w:type="auto"/>
            <w:shd w:val="clear" w:color="auto" w:fill="auto"/>
          </w:tcPr>
          <w:p w14:paraId="6D23B688" w14:textId="77777777" w:rsidR="008C5CFA" w:rsidRPr="00601E29" w:rsidRDefault="008C5CFA" w:rsidP="00300A01">
            <w:pPr>
              <w:spacing w:before="0" w:after="0"/>
              <w:rPr>
                <w:b/>
                <w:sz w:val="10"/>
                <w:szCs w:val="10"/>
                <w:lang w:val="fr-BE"/>
              </w:rPr>
            </w:pPr>
          </w:p>
        </w:tc>
        <w:tc>
          <w:tcPr>
            <w:tcW w:w="0" w:type="auto"/>
          </w:tcPr>
          <w:p w14:paraId="0E1E6D08" w14:textId="77777777" w:rsidR="008C5CFA" w:rsidRPr="00601E29" w:rsidRDefault="00E82A60" w:rsidP="00300A01">
            <w:pPr>
              <w:spacing w:before="0" w:after="0"/>
              <w:jc w:val="center"/>
              <w:rPr>
                <w:b/>
                <w:sz w:val="10"/>
                <w:szCs w:val="10"/>
                <w:lang w:val="fr-BE"/>
              </w:rPr>
            </w:pPr>
            <w:r w:rsidRPr="00601E29">
              <w:rPr>
                <w:b/>
                <w:noProof/>
                <w:sz w:val="10"/>
                <w:szCs w:val="10"/>
                <w:lang w:val="fr-BE"/>
              </w:rPr>
              <w:t>Ogółem</w:t>
            </w:r>
          </w:p>
        </w:tc>
        <w:tc>
          <w:tcPr>
            <w:tcW w:w="0" w:type="auto"/>
          </w:tcPr>
          <w:p w14:paraId="4049757E" w14:textId="77777777" w:rsidR="008C5CFA" w:rsidRPr="00601E29" w:rsidRDefault="00E82A60" w:rsidP="00300A01">
            <w:pPr>
              <w:spacing w:before="0" w:after="0"/>
              <w:jc w:val="center"/>
              <w:rPr>
                <w:b/>
                <w:sz w:val="10"/>
                <w:szCs w:val="10"/>
                <w:lang w:val="fr-BE"/>
              </w:rPr>
            </w:pPr>
            <w:r w:rsidRPr="00601E29">
              <w:rPr>
                <w:b/>
                <w:noProof/>
                <w:sz w:val="10"/>
                <w:szCs w:val="10"/>
                <w:lang w:val="fr-BE"/>
              </w:rPr>
              <w:t>Mężczyźni</w:t>
            </w:r>
          </w:p>
        </w:tc>
        <w:tc>
          <w:tcPr>
            <w:tcW w:w="0" w:type="auto"/>
          </w:tcPr>
          <w:p w14:paraId="5D2D3558" w14:textId="77777777" w:rsidR="008C5CFA" w:rsidRPr="00601E29" w:rsidRDefault="00E82A60" w:rsidP="00300A01">
            <w:pPr>
              <w:spacing w:before="0" w:after="0"/>
              <w:jc w:val="center"/>
              <w:rPr>
                <w:b/>
                <w:sz w:val="10"/>
                <w:szCs w:val="10"/>
                <w:lang w:val="fr-BE"/>
              </w:rPr>
            </w:pPr>
            <w:r w:rsidRPr="00601E29">
              <w:rPr>
                <w:b/>
                <w:noProof/>
                <w:sz w:val="10"/>
                <w:szCs w:val="10"/>
                <w:lang w:val="fr-BE"/>
              </w:rPr>
              <w:t>Kobiety</w:t>
            </w:r>
          </w:p>
        </w:tc>
        <w:tc>
          <w:tcPr>
            <w:tcW w:w="0" w:type="auto"/>
          </w:tcPr>
          <w:p w14:paraId="2A645141" w14:textId="77777777" w:rsidR="008C5CFA" w:rsidRPr="00601E29" w:rsidRDefault="00E82A60" w:rsidP="00300A01">
            <w:pPr>
              <w:spacing w:before="0" w:after="0"/>
              <w:jc w:val="center"/>
              <w:rPr>
                <w:b/>
                <w:sz w:val="10"/>
                <w:szCs w:val="10"/>
                <w:lang w:val="fr-BE"/>
              </w:rPr>
            </w:pPr>
            <w:r w:rsidRPr="00601E29">
              <w:rPr>
                <w:b/>
                <w:noProof/>
                <w:sz w:val="10"/>
                <w:szCs w:val="10"/>
                <w:lang w:val="fr-BE"/>
              </w:rPr>
              <w:t>Ogółem</w:t>
            </w:r>
          </w:p>
        </w:tc>
        <w:tc>
          <w:tcPr>
            <w:tcW w:w="0" w:type="auto"/>
          </w:tcPr>
          <w:p w14:paraId="658DEDBF" w14:textId="77777777" w:rsidR="008C5CFA" w:rsidRPr="00601E29" w:rsidRDefault="00E82A60" w:rsidP="00300A01">
            <w:pPr>
              <w:spacing w:before="0" w:after="0"/>
              <w:jc w:val="center"/>
              <w:rPr>
                <w:b/>
                <w:sz w:val="10"/>
                <w:szCs w:val="10"/>
                <w:lang w:val="fr-BE"/>
              </w:rPr>
            </w:pPr>
            <w:r w:rsidRPr="00601E29">
              <w:rPr>
                <w:b/>
                <w:noProof/>
                <w:sz w:val="10"/>
                <w:szCs w:val="10"/>
                <w:lang w:val="fr-BE"/>
              </w:rPr>
              <w:t>Mężczyźni</w:t>
            </w:r>
          </w:p>
        </w:tc>
        <w:tc>
          <w:tcPr>
            <w:tcW w:w="0" w:type="auto"/>
          </w:tcPr>
          <w:p w14:paraId="10E6AF00" w14:textId="77777777" w:rsidR="008C5CFA" w:rsidRPr="00601E29" w:rsidRDefault="00E82A60" w:rsidP="00300A01">
            <w:pPr>
              <w:spacing w:before="0" w:after="0"/>
              <w:jc w:val="center"/>
              <w:rPr>
                <w:b/>
                <w:sz w:val="10"/>
                <w:szCs w:val="10"/>
                <w:lang w:val="fr-BE"/>
              </w:rPr>
            </w:pPr>
            <w:r w:rsidRPr="00601E29">
              <w:rPr>
                <w:b/>
                <w:noProof/>
                <w:sz w:val="10"/>
                <w:szCs w:val="10"/>
                <w:lang w:val="fr-BE"/>
              </w:rPr>
              <w:t>Kobiety</w:t>
            </w:r>
          </w:p>
        </w:tc>
        <w:tc>
          <w:tcPr>
            <w:tcW w:w="0" w:type="auto"/>
          </w:tcPr>
          <w:p w14:paraId="7CD45B14" w14:textId="77777777" w:rsidR="008C5CFA" w:rsidRPr="00601E29" w:rsidRDefault="008C5CFA" w:rsidP="00300A01">
            <w:pPr>
              <w:spacing w:before="0" w:after="0"/>
              <w:jc w:val="center"/>
              <w:rPr>
                <w:b/>
                <w:sz w:val="10"/>
                <w:szCs w:val="10"/>
                <w:lang w:val="fr-BE"/>
              </w:rPr>
            </w:pPr>
          </w:p>
        </w:tc>
        <w:tc>
          <w:tcPr>
            <w:tcW w:w="0" w:type="auto"/>
          </w:tcPr>
          <w:p w14:paraId="79B7046D" w14:textId="77777777" w:rsidR="008C5CFA" w:rsidRPr="00601E29" w:rsidRDefault="00E82A60" w:rsidP="00300A01">
            <w:pPr>
              <w:spacing w:before="0" w:after="0"/>
              <w:jc w:val="center"/>
              <w:rPr>
                <w:b/>
                <w:sz w:val="10"/>
                <w:szCs w:val="10"/>
                <w:lang w:val="fr-BE"/>
              </w:rPr>
            </w:pPr>
            <w:r w:rsidRPr="00601E29">
              <w:rPr>
                <w:b/>
                <w:noProof/>
                <w:sz w:val="10"/>
                <w:szCs w:val="10"/>
                <w:lang w:val="fr-BE"/>
              </w:rPr>
              <w:t>Ogółem</w:t>
            </w:r>
          </w:p>
        </w:tc>
        <w:tc>
          <w:tcPr>
            <w:tcW w:w="0" w:type="auto"/>
          </w:tcPr>
          <w:p w14:paraId="7D31B4AB" w14:textId="77777777" w:rsidR="008C5CFA" w:rsidRPr="00601E29" w:rsidRDefault="00E82A60" w:rsidP="00300A01">
            <w:pPr>
              <w:spacing w:before="0" w:after="0"/>
              <w:jc w:val="center"/>
              <w:rPr>
                <w:b/>
                <w:sz w:val="10"/>
                <w:szCs w:val="10"/>
                <w:lang w:val="fr-BE"/>
              </w:rPr>
            </w:pPr>
            <w:r w:rsidRPr="00601E29">
              <w:rPr>
                <w:b/>
                <w:noProof/>
                <w:sz w:val="10"/>
                <w:szCs w:val="10"/>
                <w:lang w:val="fr-BE"/>
              </w:rPr>
              <w:t>Mężczyźni</w:t>
            </w:r>
          </w:p>
        </w:tc>
        <w:tc>
          <w:tcPr>
            <w:tcW w:w="0" w:type="auto"/>
          </w:tcPr>
          <w:p w14:paraId="76ECF3B0" w14:textId="77777777" w:rsidR="008C5CFA" w:rsidRPr="00601E29" w:rsidRDefault="00E82A60" w:rsidP="00300A01">
            <w:pPr>
              <w:spacing w:before="0" w:after="0"/>
              <w:jc w:val="center"/>
              <w:rPr>
                <w:b/>
                <w:sz w:val="10"/>
                <w:szCs w:val="10"/>
                <w:lang w:val="fr-BE"/>
              </w:rPr>
            </w:pPr>
            <w:r w:rsidRPr="00601E29">
              <w:rPr>
                <w:b/>
                <w:noProof/>
                <w:sz w:val="10"/>
                <w:szCs w:val="10"/>
                <w:lang w:val="fr-BE"/>
              </w:rPr>
              <w:t>Kobiety</w:t>
            </w:r>
          </w:p>
        </w:tc>
        <w:tc>
          <w:tcPr>
            <w:tcW w:w="0" w:type="auto"/>
          </w:tcPr>
          <w:p w14:paraId="7B4D929B" w14:textId="77777777" w:rsidR="008C5CFA" w:rsidRPr="00601E29" w:rsidRDefault="00E82A60" w:rsidP="00300A01">
            <w:pPr>
              <w:spacing w:before="0" w:after="0"/>
              <w:jc w:val="center"/>
              <w:rPr>
                <w:b/>
                <w:sz w:val="10"/>
                <w:szCs w:val="10"/>
                <w:lang w:val="fr-BE"/>
              </w:rPr>
            </w:pPr>
            <w:r w:rsidRPr="00601E29">
              <w:rPr>
                <w:b/>
                <w:noProof/>
                <w:sz w:val="10"/>
                <w:szCs w:val="10"/>
                <w:lang w:val="fr-BE"/>
              </w:rPr>
              <w:t>Ogółem</w:t>
            </w:r>
          </w:p>
        </w:tc>
        <w:tc>
          <w:tcPr>
            <w:tcW w:w="0" w:type="auto"/>
          </w:tcPr>
          <w:p w14:paraId="69FE4542" w14:textId="77777777" w:rsidR="008C5CFA" w:rsidRPr="00601E29" w:rsidRDefault="00E82A60" w:rsidP="00300A01">
            <w:pPr>
              <w:spacing w:before="0" w:after="0"/>
              <w:jc w:val="center"/>
              <w:rPr>
                <w:b/>
                <w:sz w:val="10"/>
                <w:szCs w:val="10"/>
                <w:lang w:val="fr-BE"/>
              </w:rPr>
            </w:pPr>
            <w:r w:rsidRPr="00601E29">
              <w:rPr>
                <w:b/>
                <w:noProof/>
                <w:sz w:val="10"/>
                <w:szCs w:val="10"/>
                <w:lang w:val="fr-BE"/>
              </w:rPr>
              <w:t>Mężczyźni</w:t>
            </w:r>
          </w:p>
        </w:tc>
        <w:tc>
          <w:tcPr>
            <w:tcW w:w="0" w:type="auto"/>
          </w:tcPr>
          <w:p w14:paraId="5AB3E60B" w14:textId="77777777" w:rsidR="008C5CFA" w:rsidRPr="00601E29" w:rsidRDefault="00E82A60" w:rsidP="00300A01">
            <w:pPr>
              <w:spacing w:before="0" w:after="0"/>
              <w:jc w:val="center"/>
              <w:rPr>
                <w:b/>
                <w:sz w:val="10"/>
                <w:szCs w:val="10"/>
                <w:lang w:val="fr-BE"/>
              </w:rPr>
            </w:pPr>
            <w:r w:rsidRPr="00601E29">
              <w:rPr>
                <w:b/>
                <w:noProof/>
                <w:sz w:val="10"/>
                <w:szCs w:val="10"/>
                <w:lang w:val="fr-BE"/>
              </w:rPr>
              <w:t>Kobiety</w:t>
            </w:r>
          </w:p>
        </w:tc>
        <w:tc>
          <w:tcPr>
            <w:tcW w:w="0" w:type="auto"/>
          </w:tcPr>
          <w:p w14:paraId="428D1182" w14:textId="77777777" w:rsidR="008C5CFA" w:rsidRPr="00601E29" w:rsidRDefault="008C5CFA" w:rsidP="00300A01">
            <w:pPr>
              <w:spacing w:before="0" w:after="0"/>
              <w:jc w:val="center"/>
              <w:rPr>
                <w:b/>
                <w:sz w:val="10"/>
                <w:szCs w:val="10"/>
                <w:lang w:val="fr-BE"/>
              </w:rPr>
            </w:pPr>
          </w:p>
        </w:tc>
      </w:tr>
      <w:tr w:rsidR="006B2EC1" w14:paraId="6C416877" w14:textId="77777777" w:rsidTr="0047688D">
        <w:tc>
          <w:tcPr>
            <w:tcW w:w="0" w:type="auto"/>
            <w:shd w:val="clear" w:color="auto" w:fill="auto"/>
          </w:tcPr>
          <w:p w14:paraId="55EFAC8A" w14:textId="77777777" w:rsidR="008C5CFA" w:rsidRPr="00601E29" w:rsidRDefault="00E82A60" w:rsidP="00300A01">
            <w:pPr>
              <w:spacing w:before="0" w:after="0"/>
              <w:rPr>
                <w:sz w:val="10"/>
                <w:szCs w:val="10"/>
                <w:lang w:val="fr-BE"/>
              </w:rPr>
            </w:pPr>
            <w:r w:rsidRPr="00601E29">
              <w:rPr>
                <w:noProof/>
                <w:sz w:val="10"/>
                <w:szCs w:val="10"/>
                <w:lang w:val="fr-BE"/>
              </w:rPr>
              <w:t>029</w:t>
            </w:r>
          </w:p>
        </w:tc>
        <w:tc>
          <w:tcPr>
            <w:tcW w:w="0" w:type="auto"/>
            <w:shd w:val="clear" w:color="auto" w:fill="auto"/>
          </w:tcPr>
          <w:p w14:paraId="66BB0AB7" w14:textId="77777777" w:rsidR="008C5CFA" w:rsidRPr="00601E29" w:rsidRDefault="00E82A60" w:rsidP="00300A01">
            <w:pPr>
              <w:spacing w:before="0" w:after="0"/>
              <w:rPr>
                <w:sz w:val="10"/>
                <w:szCs w:val="10"/>
                <w:lang w:val="fr-BE"/>
              </w:rPr>
            </w:pPr>
            <w:r w:rsidRPr="00601E29">
              <w:rPr>
                <w:noProof/>
                <w:sz w:val="10"/>
                <w:szCs w:val="10"/>
                <w:lang w:val="fr-BE"/>
              </w:rPr>
              <w:t>Poziom fluktuacji pracowników w instytucjach zaangażowanych w politykę spójności</w:t>
            </w:r>
          </w:p>
        </w:tc>
        <w:tc>
          <w:tcPr>
            <w:tcW w:w="0" w:type="auto"/>
            <w:shd w:val="clear" w:color="auto" w:fill="auto"/>
          </w:tcPr>
          <w:p w14:paraId="3096ED7E" w14:textId="77777777" w:rsidR="008C5CFA" w:rsidRPr="00601E29" w:rsidRDefault="008C5CFA" w:rsidP="00300A01">
            <w:pPr>
              <w:spacing w:before="0" w:after="0"/>
              <w:rPr>
                <w:sz w:val="10"/>
                <w:szCs w:val="10"/>
                <w:lang w:val="fr-BE"/>
              </w:rPr>
            </w:pPr>
          </w:p>
        </w:tc>
        <w:tc>
          <w:tcPr>
            <w:tcW w:w="0" w:type="auto"/>
          </w:tcPr>
          <w:p w14:paraId="2921BA8A" w14:textId="77777777" w:rsidR="008C5CFA" w:rsidRPr="00601E29" w:rsidRDefault="00E82A60" w:rsidP="00300A01">
            <w:pPr>
              <w:spacing w:before="0" w:after="0"/>
              <w:jc w:val="right"/>
              <w:rPr>
                <w:sz w:val="10"/>
                <w:szCs w:val="10"/>
                <w:lang w:val="fr-BE"/>
              </w:rPr>
            </w:pPr>
            <w:r w:rsidRPr="00601E29">
              <w:rPr>
                <w:noProof/>
                <w:sz w:val="10"/>
                <w:szCs w:val="10"/>
                <w:lang w:val="fr-BE"/>
              </w:rPr>
              <w:t>0,03</w:t>
            </w:r>
          </w:p>
        </w:tc>
        <w:tc>
          <w:tcPr>
            <w:tcW w:w="0" w:type="auto"/>
          </w:tcPr>
          <w:p w14:paraId="0DFE09B7"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65C77331"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2F9B041B" w14:textId="77777777" w:rsidR="008C5CFA" w:rsidRPr="00601E29" w:rsidRDefault="00E82A60" w:rsidP="00300A01">
            <w:pPr>
              <w:spacing w:before="0" w:after="0"/>
              <w:jc w:val="right"/>
              <w:rPr>
                <w:sz w:val="10"/>
                <w:szCs w:val="10"/>
                <w:lang w:val="fr-BE"/>
              </w:rPr>
            </w:pPr>
            <w:r w:rsidRPr="00601E29">
              <w:rPr>
                <w:noProof/>
                <w:sz w:val="10"/>
                <w:szCs w:val="10"/>
                <w:lang w:val="fr-BE"/>
              </w:rPr>
              <w:t>0,03</w:t>
            </w:r>
          </w:p>
        </w:tc>
        <w:tc>
          <w:tcPr>
            <w:tcW w:w="0" w:type="auto"/>
          </w:tcPr>
          <w:p w14:paraId="68F94976"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3E8422E9"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6E3C25D3" w14:textId="77777777" w:rsidR="008C5CFA" w:rsidRPr="00601E29" w:rsidRDefault="008C5CFA" w:rsidP="00300A01">
            <w:pPr>
              <w:spacing w:before="0" w:after="0"/>
              <w:jc w:val="right"/>
              <w:rPr>
                <w:sz w:val="10"/>
                <w:szCs w:val="10"/>
                <w:lang w:val="fr-BE"/>
              </w:rPr>
            </w:pPr>
          </w:p>
        </w:tc>
        <w:tc>
          <w:tcPr>
            <w:tcW w:w="0" w:type="auto"/>
          </w:tcPr>
          <w:p w14:paraId="1484000C"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27029185"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289567E5"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06BF8819"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7CD4DAA1"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0CD4517F"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4847241E" w14:textId="77777777" w:rsidR="008C5CFA" w:rsidRPr="00601E29" w:rsidRDefault="008C5CFA" w:rsidP="00300A01">
            <w:pPr>
              <w:spacing w:before="0" w:after="0"/>
              <w:jc w:val="right"/>
              <w:rPr>
                <w:sz w:val="10"/>
                <w:szCs w:val="10"/>
                <w:lang w:val="fr-BE"/>
              </w:rPr>
            </w:pPr>
          </w:p>
        </w:tc>
      </w:tr>
      <w:tr w:rsidR="006B2EC1" w14:paraId="15511AE7" w14:textId="77777777" w:rsidTr="0047688D">
        <w:tc>
          <w:tcPr>
            <w:tcW w:w="0" w:type="auto"/>
            <w:shd w:val="clear" w:color="auto" w:fill="auto"/>
          </w:tcPr>
          <w:p w14:paraId="245187B5" w14:textId="77777777" w:rsidR="008C5CFA" w:rsidRPr="00601E29" w:rsidRDefault="00E82A60" w:rsidP="00300A01">
            <w:pPr>
              <w:spacing w:before="0" w:after="0"/>
              <w:rPr>
                <w:sz w:val="10"/>
                <w:szCs w:val="10"/>
                <w:lang w:val="fr-BE"/>
              </w:rPr>
            </w:pPr>
            <w:r w:rsidRPr="00601E29">
              <w:rPr>
                <w:noProof/>
                <w:sz w:val="10"/>
                <w:szCs w:val="10"/>
                <w:lang w:val="fr-BE"/>
              </w:rPr>
              <w:t>030</w:t>
            </w:r>
          </w:p>
        </w:tc>
        <w:tc>
          <w:tcPr>
            <w:tcW w:w="0" w:type="auto"/>
            <w:shd w:val="clear" w:color="auto" w:fill="auto"/>
          </w:tcPr>
          <w:p w14:paraId="66CFE293" w14:textId="77777777" w:rsidR="008C5CFA" w:rsidRPr="00601E29" w:rsidRDefault="00E82A60" w:rsidP="00300A01">
            <w:pPr>
              <w:spacing w:before="0" w:after="0"/>
              <w:rPr>
                <w:sz w:val="10"/>
                <w:szCs w:val="10"/>
                <w:lang w:val="fr-BE"/>
              </w:rPr>
            </w:pPr>
            <w:r w:rsidRPr="00601E29">
              <w:rPr>
                <w:noProof/>
                <w:sz w:val="10"/>
                <w:szCs w:val="10"/>
                <w:lang w:val="fr-BE"/>
              </w:rPr>
              <w:t>Średnioroczna liczba szkoleń na jednego pracownika instytucji systemu wdrażania FE</w:t>
            </w:r>
          </w:p>
        </w:tc>
        <w:tc>
          <w:tcPr>
            <w:tcW w:w="0" w:type="auto"/>
            <w:shd w:val="clear" w:color="auto" w:fill="auto"/>
          </w:tcPr>
          <w:p w14:paraId="5034079B" w14:textId="77777777" w:rsidR="008C5CFA" w:rsidRPr="00601E29" w:rsidRDefault="008C5CFA" w:rsidP="00300A01">
            <w:pPr>
              <w:spacing w:before="0" w:after="0"/>
              <w:rPr>
                <w:sz w:val="10"/>
                <w:szCs w:val="10"/>
                <w:lang w:val="fr-BE"/>
              </w:rPr>
            </w:pPr>
          </w:p>
        </w:tc>
        <w:tc>
          <w:tcPr>
            <w:tcW w:w="0" w:type="auto"/>
          </w:tcPr>
          <w:p w14:paraId="771495DA" w14:textId="77777777" w:rsidR="008C5CFA" w:rsidRPr="00601E29" w:rsidRDefault="00E82A60" w:rsidP="00300A01">
            <w:pPr>
              <w:spacing w:before="0" w:after="0"/>
              <w:jc w:val="right"/>
              <w:rPr>
                <w:sz w:val="10"/>
                <w:szCs w:val="10"/>
                <w:lang w:val="fr-BE"/>
              </w:rPr>
            </w:pPr>
            <w:r w:rsidRPr="00601E29">
              <w:rPr>
                <w:noProof/>
                <w:sz w:val="10"/>
                <w:szCs w:val="10"/>
                <w:lang w:val="fr-BE"/>
              </w:rPr>
              <w:t>1,56</w:t>
            </w:r>
          </w:p>
        </w:tc>
        <w:tc>
          <w:tcPr>
            <w:tcW w:w="0" w:type="auto"/>
          </w:tcPr>
          <w:p w14:paraId="6BC5D683"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1FC3456B"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214AEE05" w14:textId="77777777" w:rsidR="008C5CFA" w:rsidRPr="00601E29" w:rsidRDefault="00E82A60" w:rsidP="00300A01">
            <w:pPr>
              <w:spacing w:before="0" w:after="0"/>
              <w:jc w:val="right"/>
              <w:rPr>
                <w:sz w:val="10"/>
                <w:szCs w:val="10"/>
                <w:lang w:val="fr-BE"/>
              </w:rPr>
            </w:pPr>
            <w:r w:rsidRPr="00601E29">
              <w:rPr>
                <w:noProof/>
                <w:sz w:val="10"/>
                <w:szCs w:val="10"/>
                <w:lang w:val="fr-BE"/>
              </w:rPr>
              <w:t>1,56</w:t>
            </w:r>
          </w:p>
        </w:tc>
        <w:tc>
          <w:tcPr>
            <w:tcW w:w="0" w:type="auto"/>
          </w:tcPr>
          <w:p w14:paraId="5299E89E"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757DD514"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77645EBE" w14:textId="77777777" w:rsidR="008C5CFA" w:rsidRPr="00601E29" w:rsidRDefault="008C5CFA" w:rsidP="00300A01">
            <w:pPr>
              <w:spacing w:before="0" w:after="0"/>
              <w:jc w:val="right"/>
              <w:rPr>
                <w:sz w:val="10"/>
                <w:szCs w:val="10"/>
                <w:lang w:val="fr-BE"/>
              </w:rPr>
            </w:pPr>
          </w:p>
        </w:tc>
        <w:tc>
          <w:tcPr>
            <w:tcW w:w="0" w:type="auto"/>
          </w:tcPr>
          <w:p w14:paraId="6093903D"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18115FAF"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6D908926"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5CEA6912"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27CDB188"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192067A7"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0B3542D2" w14:textId="77777777" w:rsidR="008C5CFA" w:rsidRPr="00601E29" w:rsidRDefault="008C5CFA" w:rsidP="00300A01">
            <w:pPr>
              <w:spacing w:before="0" w:after="0"/>
              <w:jc w:val="right"/>
              <w:rPr>
                <w:sz w:val="10"/>
                <w:szCs w:val="10"/>
                <w:lang w:val="fr-BE"/>
              </w:rPr>
            </w:pPr>
          </w:p>
        </w:tc>
      </w:tr>
      <w:tr w:rsidR="006B2EC1" w14:paraId="5CC1B541" w14:textId="77777777" w:rsidTr="0047688D">
        <w:tc>
          <w:tcPr>
            <w:tcW w:w="0" w:type="auto"/>
            <w:shd w:val="clear" w:color="auto" w:fill="auto"/>
          </w:tcPr>
          <w:p w14:paraId="6381D4A0" w14:textId="77777777" w:rsidR="008C5CFA" w:rsidRPr="00601E29" w:rsidRDefault="00E82A60" w:rsidP="00300A01">
            <w:pPr>
              <w:spacing w:before="0" w:after="0"/>
              <w:rPr>
                <w:sz w:val="10"/>
                <w:szCs w:val="10"/>
                <w:lang w:val="fr-BE"/>
              </w:rPr>
            </w:pPr>
            <w:r w:rsidRPr="00601E29">
              <w:rPr>
                <w:noProof/>
                <w:sz w:val="10"/>
                <w:szCs w:val="10"/>
                <w:lang w:val="fr-BE"/>
              </w:rPr>
              <w:t>031</w:t>
            </w:r>
          </w:p>
        </w:tc>
        <w:tc>
          <w:tcPr>
            <w:tcW w:w="0" w:type="auto"/>
            <w:shd w:val="clear" w:color="auto" w:fill="auto"/>
          </w:tcPr>
          <w:p w14:paraId="06C6ED9F" w14:textId="77777777" w:rsidR="008C5CFA" w:rsidRPr="00601E29" w:rsidRDefault="00E82A60" w:rsidP="00300A01">
            <w:pPr>
              <w:spacing w:before="0" w:after="0"/>
              <w:rPr>
                <w:sz w:val="10"/>
                <w:szCs w:val="10"/>
                <w:lang w:val="fr-BE"/>
              </w:rPr>
            </w:pPr>
            <w:r w:rsidRPr="00601E29">
              <w:rPr>
                <w:noProof/>
                <w:sz w:val="10"/>
                <w:szCs w:val="10"/>
                <w:lang w:val="fr-BE"/>
              </w:rPr>
              <w:t>Średni czas zatwierdzenia projektu (od złożenia wniosku o dofinansowanie do podpisania umowy)</w:t>
            </w:r>
          </w:p>
        </w:tc>
        <w:tc>
          <w:tcPr>
            <w:tcW w:w="0" w:type="auto"/>
            <w:shd w:val="clear" w:color="auto" w:fill="auto"/>
          </w:tcPr>
          <w:p w14:paraId="1896AB08" w14:textId="77777777" w:rsidR="008C5CFA" w:rsidRPr="00601E29" w:rsidRDefault="008C5CFA" w:rsidP="00300A01">
            <w:pPr>
              <w:spacing w:before="0" w:after="0"/>
              <w:rPr>
                <w:sz w:val="10"/>
                <w:szCs w:val="10"/>
                <w:lang w:val="fr-BE"/>
              </w:rPr>
            </w:pPr>
          </w:p>
        </w:tc>
        <w:tc>
          <w:tcPr>
            <w:tcW w:w="0" w:type="auto"/>
          </w:tcPr>
          <w:p w14:paraId="672C0335" w14:textId="77777777" w:rsidR="008C5CFA" w:rsidRPr="00601E29" w:rsidRDefault="00E82A60" w:rsidP="00300A01">
            <w:pPr>
              <w:spacing w:before="0" w:after="0"/>
              <w:jc w:val="right"/>
              <w:rPr>
                <w:sz w:val="10"/>
                <w:szCs w:val="10"/>
                <w:lang w:val="fr-BE"/>
              </w:rPr>
            </w:pPr>
            <w:r w:rsidRPr="00601E29">
              <w:rPr>
                <w:noProof/>
                <w:sz w:val="10"/>
                <w:szCs w:val="10"/>
                <w:lang w:val="fr-BE"/>
              </w:rPr>
              <w:t>263,00</w:t>
            </w:r>
          </w:p>
        </w:tc>
        <w:tc>
          <w:tcPr>
            <w:tcW w:w="0" w:type="auto"/>
          </w:tcPr>
          <w:p w14:paraId="1E83F607"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478221FD"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665ED0A2" w14:textId="77777777" w:rsidR="008C5CFA" w:rsidRPr="00601E29" w:rsidRDefault="00E82A60" w:rsidP="00300A01">
            <w:pPr>
              <w:spacing w:before="0" w:after="0"/>
              <w:jc w:val="right"/>
              <w:rPr>
                <w:sz w:val="10"/>
                <w:szCs w:val="10"/>
                <w:lang w:val="fr-BE"/>
              </w:rPr>
            </w:pPr>
            <w:r w:rsidRPr="00601E29">
              <w:rPr>
                <w:noProof/>
                <w:sz w:val="10"/>
                <w:szCs w:val="10"/>
                <w:lang w:val="fr-BE"/>
              </w:rPr>
              <w:t>263,00</w:t>
            </w:r>
          </w:p>
        </w:tc>
        <w:tc>
          <w:tcPr>
            <w:tcW w:w="0" w:type="auto"/>
          </w:tcPr>
          <w:p w14:paraId="5E76BC01"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0C175473"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760F6A55" w14:textId="77777777" w:rsidR="008C5CFA" w:rsidRPr="00601E29" w:rsidRDefault="008C5CFA" w:rsidP="00300A01">
            <w:pPr>
              <w:spacing w:before="0" w:after="0"/>
              <w:jc w:val="right"/>
              <w:rPr>
                <w:sz w:val="10"/>
                <w:szCs w:val="10"/>
                <w:lang w:val="fr-BE"/>
              </w:rPr>
            </w:pPr>
          </w:p>
        </w:tc>
        <w:tc>
          <w:tcPr>
            <w:tcW w:w="0" w:type="auto"/>
          </w:tcPr>
          <w:p w14:paraId="486F45AD"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6FD0CEFE"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38A1DB9D"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3472DAE5"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35445A42"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1A47725E"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41FB3233" w14:textId="77777777" w:rsidR="008C5CFA" w:rsidRPr="00601E29" w:rsidRDefault="008C5CFA" w:rsidP="00300A01">
            <w:pPr>
              <w:spacing w:before="0" w:after="0"/>
              <w:jc w:val="right"/>
              <w:rPr>
                <w:sz w:val="10"/>
                <w:szCs w:val="10"/>
                <w:lang w:val="fr-BE"/>
              </w:rPr>
            </w:pPr>
          </w:p>
        </w:tc>
      </w:tr>
    </w:tbl>
    <w:p w14:paraId="0E535994"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59"/>
        <w:gridCol w:w="7053"/>
        <w:gridCol w:w="1553"/>
        <w:gridCol w:w="777"/>
        <w:gridCol w:w="978"/>
        <w:gridCol w:w="786"/>
        <w:gridCol w:w="777"/>
        <w:gridCol w:w="978"/>
        <w:gridCol w:w="786"/>
        <w:gridCol w:w="1037"/>
      </w:tblGrid>
      <w:tr w:rsidR="006B2EC1" w14:paraId="264FF3FE" w14:textId="77777777" w:rsidTr="0047688D">
        <w:trPr>
          <w:tblHeader/>
        </w:trPr>
        <w:tc>
          <w:tcPr>
            <w:tcW w:w="0" w:type="auto"/>
            <w:shd w:val="clear" w:color="auto" w:fill="auto"/>
          </w:tcPr>
          <w:p w14:paraId="2EA049E0" w14:textId="77777777" w:rsidR="008C5CFA" w:rsidRPr="00601E29" w:rsidRDefault="00E82A60" w:rsidP="00300A01">
            <w:pPr>
              <w:spacing w:before="0" w:after="0"/>
              <w:rPr>
                <w:b/>
                <w:sz w:val="10"/>
                <w:szCs w:val="10"/>
                <w:lang w:val="fr-BE"/>
              </w:rPr>
            </w:pPr>
            <w:r w:rsidRPr="00601E29">
              <w:rPr>
                <w:b/>
                <w:noProof/>
                <w:sz w:val="10"/>
                <w:szCs w:val="10"/>
                <w:lang w:val="fr-BE"/>
              </w:rPr>
              <w:t>ID</w:t>
            </w:r>
          </w:p>
        </w:tc>
        <w:tc>
          <w:tcPr>
            <w:tcW w:w="0" w:type="auto"/>
            <w:shd w:val="clear" w:color="auto" w:fill="auto"/>
          </w:tcPr>
          <w:p w14:paraId="563ED850" w14:textId="77777777" w:rsidR="008C5CFA" w:rsidRPr="00601E29" w:rsidRDefault="00E82A60" w:rsidP="00300A01">
            <w:pPr>
              <w:spacing w:before="0" w:after="0"/>
              <w:rPr>
                <w:b/>
                <w:sz w:val="10"/>
                <w:szCs w:val="10"/>
                <w:lang w:val="fr-BE"/>
              </w:rPr>
            </w:pPr>
            <w:r w:rsidRPr="00601E29">
              <w:rPr>
                <w:b/>
                <w:noProof/>
                <w:sz w:val="10"/>
                <w:szCs w:val="10"/>
                <w:lang w:val="fr-BE"/>
              </w:rPr>
              <w:t>Wskaźnik</w:t>
            </w:r>
          </w:p>
        </w:tc>
        <w:tc>
          <w:tcPr>
            <w:tcW w:w="0" w:type="auto"/>
            <w:shd w:val="clear" w:color="auto" w:fill="auto"/>
          </w:tcPr>
          <w:p w14:paraId="43FD48E8" w14:textId="77777777" w:rsidR="008C5CFA" w:rsidRPr="00601E29" w:rsidRDefault="00E82A60" w:rsidP="00300A01">
            <w:pPr>
              <w:spacing w:before="0" w:after="0"/>
              <w:rPr>
                <w:b/>
                <w:sz w:val="10"/>
                <w:szCs w:val="10"/>
                <w:lang w:val="fr-BE"/>
              </w:rPr>
            </w:pPr>
            <w:r w:rsidRPr="00601E29">
              <w:rPr>
                <w:b/>
                <w:noProof/>
                <w:sz w:val="10"/>
                <w:szCs w:val="10"/>
                <w:lang w:val="fr-BE"/>
              </w:rPr>
              <w:t>Kategoria regionu</w:t>
            </w:r>
          </w:p>
        </w:tc>
        <w:tc>
          <w:tcPr>
            <w:tcW w:w="0" w:type="auto"/>
            <w:gridSpan w:val="7"/>
          </w:tcPr>
          <w:p w14:paraId="66E2CFEF" w14:textId="77777777" w:rsidR="008C5CFA" w:rsidRPr="00601E29" w:rsidRDefault="00E82A60" w:rsidP="00300A01">
            <w:pPr>
              <w:spacing w:before="0" w:after="0"/>
              <w:jc w:val="center"/>
              <w:rPr>
                <w:b/>
                <w:sz w:val="10"/>
                <w:szCs w:val="10"/>
                <w:lang w:val="fr-BE"/>
              </w:rPr>
            </w:pPr>
            <w:r>
              <w:rPr>
                <w:b/>
                <w:sz w:val="10"/>
                <w:szCs w:val="10"/>
                <w:lang w:val="fr-BE"/>
              </w:rPr>
              <w:t>2014</w:t>
            </w:r>
          </w:p>
        </w:tc>
      </w:tr>
      <w:tr w:rsidR="006B2EC1" w14:paraId="080327BC" w14:textId="77777777" w:rsidTr="0047688D">
        <w:trPr>
          <w:tblHeader/>
        </w:trPr>
        <w:tc>
          <w:tcPr>
            <w:tcW w:w="0" w:type="auto"/>
            <w:shd w:val="clear" w:color="auto" w:fill="auto"/>
          </w:tcPr>
          <w:p w14:paraId="64502DE3" w14:textId="77777777" w:rsidR="008C5CFA" w:rsidRPr="00601E29" w:rsidRDefault="008C5CFA" w:rsidP="00300A01">
            <w:pPr>
              <w:spacing w:before="0" w:after="0"/>
              <w:rPr>
                <w:b/>
                <w:sz w:val="10"/>
                <w:szCs w:val="10"/>
                <w:lang w:val="fr-BE"/>
              </w:rPr>
            </w:pPr>
          </w:p>
        </w:tc>
        <w:tc>
          <w:tcPr>
            <w:tcW w:w="0" w:type="auto"/>
            <w:shd w:val="clear" w:color="auto" w:fill="auto"/>
          </w:tcPr>
          <w:p w14:paraId="72FD5CC4" w14:textId="77777777" w:rsidR="008C5CFA" w:rsidRPr="00601E29" w:rsidRDefault="008C5CFA" w:rsidP="00300A01">
            <w:pPr>
              <w:spacing w:before="0" w:after="0"/>
              <w:rPr>
                <w:b/>
                <w:sz w:val="10"/>
                <w:szCs w:val="10"/>
                <w:lang w:val="fr-BE"/>
              </w:rPr>
            </w:pPr>
          </w:p>
        </w:tc>
        <w:tc>
          <w:tcPr>
            <w:tcW w:w="0" w:type="auto"/>
            <w:shd w:val="clear" w:color="auto" w:fill="auto"/>
          </w:tcPr>
          <w:p w14:paraId="7CDCBC57" w14:textId="77777777" w:rsidR="008C5CFA" w:rsidRPr="00601E29" w:rsidRDefault="008C5CFA" w:rsidP="00300A01">
            <w:pPr>
              <w:spacing w:before="0" w:after="0"/>
              <w:rPr>
                <w:b/>
                <w:sz w:val="10"/>
                <w:szCs w:val="10"/>
                <w:lang w:val="fr-BE"/>
              </w:rPr>
            </w:pPr>
          </w:p>
        </w:tc>
        <w:tc>
          <w:tcPr>
            <w:tcW w:w="0" w:type="auto"/>
            <w:gridSpan w:val="3"/>
          </w:tcPr>
          <w:p w14:paraId="3B326099" w14:textId="77777777" w:rsidR="008C5CFA" w:rsidRPr="00601E29" w:rsidRDefault="00E82A60" w:rsidP="00300A01">
            <w:pPr>
              <w:spacing w:before="0" w:after="0"/>
              <w:jc w:val="center"/>
              <w:rPr>
                <w:b/>
                <w:sz w:val="10"/>
                <w:szCs w:val="10"/>
                <w:lang w:val="fr-BE"/>
              </w:rPr>
            </w:pPr>
            <w:r w:rsidRPr="00601E29">
              <w:rPr>
                <w:b/>
                <w:noProof/>
                <w:sz w:val="10"/>
                <w:szCs w:val="10"/>
                <w:lang w:val="fr-BE"/>
              </w:rPr>
              <w:t>Łącznie</w:t>
            </w:r>
          </w:p>
        </w:tc>
        <w:tc>
          <w:tcPr>
            <w:tcW w:w="0" w:type="auto"/>
            <w:gridSpan w:val="3"/>
          </w:tcPr>
          <w:p w14:paraId="16B0A553" w14:textId="77777777" w:rsidR="008C5CFA" w:rsidRPr="00601E29" w:rsidRDefault="00E82A60" w:rsidP="00300A01">
            <w:pPr>
              <w:spacing w:before="0" w:after="0"/>
              <w:jc w:val="center"/>
              <w:rPr>
                <w:b/>
                <w:sz w:val="10"/>
                <w:szCs w:val="10"/>
                <w:lang w:val="fr-BE"/>
              </w:rPr>
            </w:pPr>
            <w:r w:rsidRPr="00601E29">
              <w:rPr>
                <w:b/>
                <w:noProof/>
                <w:sz w:val="10"/>
                <w:szCs w:val="10"/>
                <w:lang w:val="fr-BE"/>
              </w:rPr>
              <w:t>Łącznie w roku</w:t>
            </w:r>
          </w:p>
        </w:tc>
        <w:tc>
          <w:tcPr>
            <w:tcW w:w="0" w:type="auto"/>
          </w:tcPr>
          <w:p w14:paraId="11C32F88" w14:textId="77777777" w:rsidR="008C5CFA" w:rsidRPr="00601E29" w:rsidRDefault="00E82A60" w:rsidP="00300A01">
            <w:pPr>
              <w:spacing w:before="0" w:after="0"/>
              <w:jc w:val="center"/>
              <w:rPr>
                <w:b/>
                <w:sz w:val="10"/>
                <w:szCs w:val="10"/>
                <w:lang w:val="fr-BE"/>
              </w:rPr>
            </w:pPr>
            <w:r w:rsidRPr="00601E29">
              <w:rPr>
                <w:b/>
                <w:noProof/>
                <w:sz w:val="10"/>
                <w:szCs w:val="10"/>
                <w:lang w:val="fr-BE"/>
              </w:rPr>
              <w:t>Jakościowe</w:t>
            </w:r>
          </w:p>
        </w:tc>
      </w:tr>
      <w:tr w:rsidR="006B2EC1" w14:paraId="26341A75" w14:textId="77777777" w:rsidTr="0047688D">
        <w:trPr>
          <w:tblHeader/>
        </w:trPr>
        <w:tc>
          <w:tcPr>
            <w:tcW w:w="0" w:type="auto"/>
            <w:shd w:val="clear" w:color="auto" w:fill="auto"/>
          </w:tcPr>
          <w:p w14:paraId="7C181B07" w14:textId="77777777" w:rsidR="008C5CFA" w:rsidRPr="00601E29" w:rsidRDefault="008C5CFA" w:rsidP="00300A01">
            <w:pPr>
              <w:spacing w:before="0" w:after="0"/>
              <w:rPr>
                <w:b/>
                <w:sz w:val="10"/>
                <w:szCs w:val="10"/>
                <w:lang w:val="fr-BE"/>
              </w:rPr>
            </w:pPr>
          </w:p>
        </w:tc>
        <w:tc>
          <w:tcPr>
            <w:tcW w:w="0" w:type="auto"/>
            <w:shd w:val="clear" w:color="auto" w:fill="auto"/>
          </w:tcPr>
          <w:p w14:paraId="43D1E38A" w14:textId="77777777" w:rsidR="008C5CFA" w:rsidRPr="00601E29" w:rsidRDefault="008C5CFA" w:rsidP="00300A01">
            <w:pPr>
              <w:spacing w:before="0" w:after="0"/>
              <w:rPr>
                <w:b/>
                <w:sz w:val="10"/>
                <w:szCs w:val="10"/>
                <w:lang w:val="fr-BE"/>
              </w:rPr>
            </w:pPr>
          </w:p>
        </w:tc>
        <w:tc>
          <w:tcPr>
            <w:tcW w:w="0" w:type="auto"/>
            <w:shd w:val="clear" w:color="auto" w:fill="auto"/>
          </w:tcPr>
          <w:p w14:paraId="6612F2AE" w14:textId="77777777" w:rsidR="008C5CFA" w:rsidRPr="00601E29" w:rsidRDefault="008C5CFA" w:rsidP="00300A01">
            <w:pPr>
              <w:spacing w:before="0" w:after="0"/>
              <w:rPr>
                <w:b/>
                <w:sz w:val="10"/>
                <w:szCs w:val="10"/>
                <w:lang w:val="fr-BE"/>
              </w:rPr>
            </w:pPr>
          </w:p>
        </w:tc>
        <w:tc>
          <w:tcPr>
            <w:tcW w:w="0" w:type="auto"/>
          </w:tcPr>
          <w:p w14:paraId="7FF4FD56" w14:textId="77777777" w:rsidR="008C5CFA" w:rsidRPr="00601E29" w:rsidRDefault="00E82A60" w:rsidP="00300A01">
            <w:pPr>
              <w:spacing w:before="0" w:after="0"/>
              <w:jc w:val="center"/>
              <w:rPr>
                <w:b/>
                <w:sz w:val="10"/>
                <w:szCs w:val="10"/>
                <w:lang w:val="fr-BE"/>
              </w:rPr>
            </w:pPr>
            <w:r w:rsidRPr="00601E29">
              <w:rPr>
                <w:b/>
                <w:noProof/>
                <w:sz w:val="10"/>
                <w:szCs w:val="10"/>
                <w:lang w:val="fr-BE"/>
              </w:rPr>
              <w:t>Ogółem</w:t>
            </w:r>
          </w:p>
        </w:tc>
        <w:tc>
          <w:tcPr>
            <w:tcW w:w="0" w:type="auto"/>
          </w:tcPr>
          <w:p w14:paraId="74A7BD4E" w14:textId="77777777" w:rsidR="008C5CFA" w:rsidRPr="00601E29" w:rsidRDefault="00E82A60" w:rsidP="00300A01">
            <w:pPr>
              <w:spacing w:before="0" w:after="0"/>
              <w:jc w:val="center"/>
              <w:rPr>
                <w:b/>
                <w:sz w:val="10"/>
                <w:szCs w:val="10"/>
                <w:lang w:val="fr-BE"/>
              </w:rPr>
            </w:pPr>
            <w:r w:rsidRPr="00601E29">
              <w:rPr>
                <w:b/>
                <w:noProof/>
                <w:sz w:val="10"/>
                <w:szCs w:val="10"/>
                <w:lang w:val="fr-BE"/>
              </w:rPr>
              <w:t>Mężczyźni</w:t>
            </w:r>
          </w:p>
        </w:tc>
        <w:tc>
          <w:tcPr>
            <w:tcW w:w="0" w:type="auto"/>
          </w:tcPr>
          <w:p w14:paraId="62165D48" w14:textId="77777777" w:rsidR="008C5CFA" w:rsidRPr="00601E29" w:rsidRDefault="00E82A60" w:rsidP="00300A01">
            <w:pPr>
              <w:spacing w:before="0" w:after="0"/>
              <w:jc w:val="center"/>
              <w:rPr>
                <w:b/>
                <w:sz w:val="10"/>
                <w:szCs w:val="10"/>
                <w:lang w:val="fr-BE"/>
              </w:rPr>
            </w:pPr>
            <w:r w:rsidRPr="00601E29">
              <w:rPr>
                <w:b/>
                <w:noProof/>
                <w:sz w:val="10"/>
                <w:szCs w:val="10"/>
                <w:lang w:val="fr-BE"/>
              </w:rPr>
              <w:t>Kobiety</w:t>
            </w:r>
          </w:p>
        </w:tc>
        <w:tc>
          <w:tcPr>
            <w:tcW w:w="0" w:type="auto"/>
          </w:tcPr>
          <w:p w14:paraId="0F058E6B" w14:textId="77777777" w:rsidR="008C5CFA" w:rsidRPr="00601E29" w:rsidRDefault="00E82A60" w:rsidP="00300A01">
            <w:pPr>
              <w:spacing w:before="0" w:after="0"/>
              <w:jc w:val="center"/>
              <w:rPr>
                <w:b/>
                <w:sz w:val="10"/>
                <w:szCs w:val="10"/>
                <w:lang w:val="fr-BE"/>
              </w:rPr>
            </w:pPr>
            <w:r w:rsidRPr="00601E29">
              <w:rPr>
                <w:b/>
                <w:noProof/>
                <w:sz w:val="10"/>
                <w:szCs w:val="10"/>
                <w:lang w:val="fr-BE"/>
              </w:rPr>
              <w:t>Ogółem</w:t>
            </w:r>
          </w:p>
        </w:tc>
        <w:tc>
          <w:tcPr>
            <w:tcW w:w="0" w:type="auto"/>
          </w:tcPr>
          <w:p w14:paraId="63354AA1" w14:textId="77777777" w:rsidR="008C5CFA" w:rsidRPr="00601E29" w:rsidRDefault="00E82A60" w:rsidP="00300A01">
            <w:pPr>
              <w:spacing w:before="0" w:after="0"/>
              <w:jc w:val="center"/>
              <w:rPr>
                <w:b/>
                <w:sz w:val="10"/>
                <w:szCs w:val="10"/>
                <w:lang w:val="fr-BE"/>
              </w:rPr>
            </w:pPr>
            <w:r w:rsidRPr="00601E29">
              <w:rPr>
                <w:b/>
                <w:noProof/>
                <w:sz w:val="10"/>
                <w:szCs w:val="10"/>
                <w:lang w:val="fr-BE"/>
              </w:rPr>
              <w:t>Mężczyźni</w:t>
            </w:r>
          </w:p>
        </w:tc>
        <w:tc>
          <w:tcPr>
            <w:tcW w:w="0" w:type="auto"/>
          </w:tcPr>
          <w:p w14:paraId="0E7CDF54" w14:textId="77777777" w:rsidR="008C5CFA" w:rsidRPr="00601E29" w:rsidRDefault="00E82A60" w:rsidP="00300A01">
            <w:pPr>
              <w:spacing w:before="0" w:after="0"/>
              <w:jc w:val="center"/>
              <w:rPr>
                <w:b/>
                <w:sz w:val="10"/>
                <w:szCs w:val="10"/>
                <w:lang w:val="fr-BE"/>
              </w:rPr>
            </w:pPr>
            <w:r w:rsidRPr="00601E29">
              <w:rPr>
                <w:b/>
                <w:noProof/>
                <w:sz w:val="10"/>
                <w:szCs w:val="10"/>
                <w:lang w:val="fr-BE"/>
              </w:rPr>
              <w:t>Kobiety</w:t>
            </w:r>
          </w:p>
        </w:tc>
        <w:tc>
          <w:tcPr>
            <w:tcW w:w="0" w:type="auto"/>
          </w:tcPr>
          <w:p w14:paraId="67904F03" w14:textId="77777777" w:rsidR="008C5CFA" w:rsidRPr="00601E29" w:rsidRDefault="008C5CFA" w:rsidP="00300A01">
            <w:pPr>
              <w:spacing w:before="0" w:after="0"/>
              <w:jc w:val="center"/>
              <w:rPr>
                <w:b/>
                <w:sz w:val="10"/>
                <w:szCs w:val="10"/>
                <w:lang w:val="fr-BE"/>
              </w:rPr>
            </w:pPr>
          </w:p>
        </w:tc>
      </w:tr>
      <w:tr w:rsidR="006B2EC1" w14:paraId="59762D77" w14:textId="77777777" w:rsidTr="0047688D">
        <w:tc>
          <w:tcPr>
            <w:tcW w:w="0" w:type="auto"/>
            <w:shd w:val="clear" w:color="auto" w:fill="auto"/>
          </w:tcPr>
          <w:p w14:paraId="37E7B15A" w14:textId="77777777" w:rsidR="008C5CFA" w:rsidRPr="00601E29" w:rsidRDefault="00E82A60" w:rsidP="00300A01">
            <w:pPr>
              <w:spacing w:before="0" w:after="0"/>
              <w:rPr>
                <w:sz w:val="10"/>
                <w:szCs w:val="10"/>
                <w:lang w:val="fr-BE"/>
              </w:rPr>
            </w:pPr>
            <w:r w:rsidRPr="00601E29">
              <w:rPr>
                <w:noProof/>
                <w:sz w:val="10"/>
                <w:szCs w:val="10"/>
                <w:lang w:val="fr-BE"/>
              </w:rPr>
              <w:t>029</w:t>
            </w:r>
          </w:p>
        </w:tc>
        <w:tc>
          <w:tcPr>
            <w:tcW w:w="0" w:type="auto"/>
            <w:shd w:val="clear" w:color="auto" w:fill="auto"/>
          </w:tcPr>
          <w:p w14:paraId="4E8BA209" w14:textId="77777777" w:rsidR="008C5CFA" w:rsidRPr="00601E29" w:rsidRDefault="00E82A60" w:rsidP="00300A01">
            <w:pPr>
              <w:spacing w:before="0" w:after="0"/>
              <w:rPr>
                <w:sz w:val="10"/>
                <w:szCs w:val="10"/>
                <w:lang w:val="fr-BE"/>
              </w:rPr>
            </w:pPr>
            <w:r w:rsidRPr="00601E29">
              <w:rPr>
                <w:noProof/>
                <w:sz w:val="10"/>
                <w:szCs w:val="10"/>
                <w:lang w:val="fr-BE"/>
              </w:rPr>
              <w:t>Poziom fluktuacji pracowników w instytucjach zaangażowanych w politykę spójności</w:t>
            </w:r>
          </w:p>
        </w:tc>
        <w:tc>
          <w:tcPr>
            <w:tcW w:w="0" w:type="auto"/>
            <w:shd w:val="clear" w:color="auto" w:fill="auto"/>
          </w:tcPr>
          <w:p w14:paraId="5DD41307" w14:textId="77777777" w:rsidR="008C5CFA" w:rsidRPr="00601E29" w:rsidRDefault="008C5CFA" w:rsidP="00300A01">
            <w:pPr>
              <w:spacing w:before="0" w:after="0"/>
              <w:rPr>
                <w:sz w:val="10"/>
                <w:szCs w:val="10"/>
                <w:lang w:val="fr-BE"/>
              </w:rPr>
            </w:pPr>
          </w:p>
        </w:tc>
        <w:tc>
          <w:tcPr>
            <w:tcW w:w="0" w:type="auto"/>
          </w:tcPr>
          <w:p w14:paraId="2BEAD2A1"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6A9F3138"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78301D2A"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68DBBCB5"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50E34DAF"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3B281BED"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0CC4156A" w14:textId="77777777" w:rsidR="008C5CFA" w:rsidRPr="00601E29" w:rsidRDefault="008C5CFA" w:rsidP="00300A01">
            <w:pPr>
              <w:spacing w:before="0" w:after="0"/>
              <w:jc w:val="right"/>
              <w:rPr>
                <w:sz w:val="10"/>
                <w:szCs w:val="10"/>
                <w:lang w:val="fr-BE"/>
              </w:rPr>
            </w:pPr>
          </w:p>
        </w:tc>
      </w:tr>
      <w:tr w:rsidR="006B2EC1" w14:paraId="3089BCC2" w14:textId="77777777" w:rsidTr="0047688D">
        <w:tc>
          <w:tcPr>
            <w:tcW w:w="0" w:type="auto"/>
            <w:shd w:val="clear" w:color="auto" w:fill="auto"/>
          </w:tcPr>
          <w:p w14:paraId="25BB23A5" w14:textId="77777777" w:rsidR="008C5CFA" w:rsidRPr="00601E29" w:rsidRDefault="00E82A60" w:rsidP="00300A01">
            <w:pPr>
              <w:spacing w:before="0" w:after="0"/>
              <w:rPr>
                <w:sz w:val="10"/>
                <w:szCs w:val="10"/>
                <w:lang w:val="fr-BE"/>
              </w:rPr>
            </w:pPr>
            <w:r w:rsidRPr="00601E29">
              <w:rPr>
                <w:noProof/>
                <w:sz w:val="10"/>
                <w:szCs w:val="10"/>
                <w:lang w:val="fr-BE"/>
              </w:rPr>
              <w:t>030</w:t>
            </w:r>
          </w:p>
        </w:tc>
        <w:tc>
          <w:tcPr>
            <w:tcW w:w="0" w:type="auto"/>
            <w:shd w:val="clear" w:color="auto" w:fill="auto"/>
          </w:tcPr>
          <w:p w14:paraId="17533C9F" w14:textId="77777777" w:rsidR="008C5CFA" w:rsidRPr="00601E29" w:rsidRDefault="00E82A60" w:rsidP="00300A01">
            <w:pPr>
              <w:spacing w:before="0" w:after="0"/>
              <w:rPr>
                <w:sz w:val="10"/>
                <w:szCs w:val="10"/>
                <w:lang w:val="fr-BE"/>
              </w:rPr>
            </w:pPr>
            <w:r w:rsidRPr="00601E29">
              <w:rPr>
                <w:noProof/>
                <w:sz w:val="10"/>
                <w:szCs w:val="10"/>
                <w:lang w:val="fr-BE"/>
              </w:rPr>
              <w:t>Średnioroczna liczba szkoleń na jednego pracownika instytucji systemu wdrażania FE</w:t>
            </w:r>
          </w:p>
        </w:tc>
        <w:tc>
          <w:tcPr>
            <w:tcW w:w="0" w:type="auto"/>
            <w:shd w:val="clear" w:color="auto" w:fill="auto"/>
          </w:tcPr>
          <w:p w14:paraId="6F4964C5" w14:textId="77777777" w:rsidR="008C5CFA" w:rsidRPr="00601E29" w:rsidRDefault="008C5CFA" w:rsidP="00300A01">
            <w:pPr>
              <w:spacing w:before="0" w:after="0"/>
              <w:rPr>
                <w:sz w:val="10"/>
                <w:szCs w:val="10"/>
                <w:lang w:val="fr-BE"/>
              </w:rPr>
            </w:pPr>
          </w:p>
        </w:tc>
        <w:tc>
          <w:tcPr>
            <w:tcW w:w="0" w:type="auto"/>
          </w:tcPr>
          <w:p w14:paraId="6DABBE91"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70BABB2E"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46ABD350"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48D68ACA"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69974258"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6AD91770"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25650BFD" w14:textId="77777777" w:rsidR="008C5CFA" w:rsidRPr="00601E29" w:rsidRDefault="008C5CFA" w:rsidP="00300A01">
            <w:pPr>
              <w:spacing w:before="0" w:after="0"/>
              <w:jc w:val="right"/>
              <w:rPr>
                <w:sz w:val="10"/>
                <w:szCs w:val="10"/>
                <w:lang w:val="fr-BE"/>
              </w:rPr>
            </w:pPr>
          </w:p>
        </w:tc>
      </w:tr>
      <w:tr w:rsidR="006B2EC1" w14:paraId="0B8FA717" w14:textId="77777777" w:rsidTr="0047688D">
        <w:tc>
          <w:tcPr>
            <w:tcW w:w="0" w:type="auto"/>
            <w:shd w:val="clear" w:color="auto" w:fill="auto"/>
          </w:tcPr>
          <w:p w14:paraId="2F1B1BC5" w14:textId="77777777" w:rsidR="008C5CFA" w:rsidRPr="00601E29" w:rsidRDefault="00E82A60" w:rsidP="00300A01">
            <w:pPr>
              <w:spacing w:before="0" w:after="0"/>
              <w:rPr>
                <w:sz w:val="10"/>
                <w:szCs w:val="10"/>
                <w:lang w:val="fr-BE"/>
              </w:rPr>
            </w:pPr>
            <w:r w:rsidRPr="00601E29">
              <w:rPr>
                <w:noProof/>
                <w:sz w:val="10"/>
                <w:szCs w:val="10"/>
                <w:lang w:val="fr-BE"/>
              </w:rPr>
              <w:t>031</w:t>
            </w:r>
          </w:p>
        </w:tc>
        <w:tc>
          <w:tcPr>
            <w:tcW w:w="0" w:type="auto"/>
            <w:shd w:val="clear" w:color="auto" w:fill="auto"/>
          </w:tcPr>
          <w:p w14:paraId="3E051E5F" w14:textId="77777777" w:rsidR="008C5CFA" w:rsidRPr="00601E29" w:rsidRDefault="00E82A60" w:rsidP="00300A01">
            <w:pPr>
              <w:spacing w:before="0" w:after="0"/>
              <w:rPr>
                <w:sz w:val="10"/>
                <w:szCs w:val="10"/>
                <w:lang w:val="fr-BE"/>
              </w:rPr>
            </w:pPr>
            <w:r w:rsidRPr="00601E29">
              <w:rPr>
                <w:noProof/>
                <w:sz w:val="10"/>
                <w:szCs w:val="10"/>
                <w:lang w:val="fr-BE"/>
              </w:rPr>
              <w:t>Średni czas zatwierdzenia projektu (od złożenia wniosku o dofinansowanie do podpisania umowy)</w:t>
            </w:r>
          </w:p>
        </w:tc>
        <w:tc>
          <w:tcPr>
            <w:tcW w:w="0" w:type="auto"/>
            <w:shd w:val="clear" w:color="auto" w:fill="auto"/>
          </w:tcPr>
          <w:p w14:paraId="656AF920" w14:textId="77777777" w:rsidR="008C5CFA" w:rsidRPr="00601E29" w:rsidRDefault="008C5CFA" w:rsidP="00300A01">
            <w:pPr>
              <w:spacing w:before="0" w:after="0"/>
              <w:rPr>
                <w:sz w:val="10"/>
                <w:szCs w:val="10"/>
                <w:lang w:val="fr-BE"/>
              </w:rPr>
            </w:pPr>
          </w:p>
        </w:tc>
        <w:tc>
          <w:tcPr>
            <w:tcW w:w="0" w:type="auto"/>
          </w:tcPr>
          <w:p w14:paraId="53E43FED"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7675583D"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0EC700A4"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03705D63"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08BB4F39"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14DAF049"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2E40EB4D" w14:textId="77777777" w:rsidR="008C5CFA" w:rsidRPr="00601E29" w:rsidRDefault="008C5CFA" w:rsidP="00300A01">
            <w:pPr>
              <w:spacing w:before="0" w:after="0"/>
              <w:jc w:val="right"/>
              <w:rPr>
                <w:sz w:val="10"/>
                <w:szCs w:val="10"/>
                <w:lang w:val="fr-BE"/>
              </w:rPr>
            </w:pPr>
          </w:p>
        </w:tc>
      </w:tr>
    </w:tbl>
    <w:p w14:paraId="2109E716" w14:textId="77777777" w:rsidR="008C5CFA" w:rsidRDefault="008C5CFA" w:rsidP="00300A01">
      <w:pPr>
        <w:spacing w:before="0" w:after="0"/>
        <w:rPr>
          <w:lang w:val="fr-BE"/>
        </w:rPr>
      </w:pPr>
    </w:p>
    <w:p w14:paraId="13F306A5" w14:textId="77777777" w:rsidR="008C5CFA" w:rsidRDefault="00E82A60" w:rsidP="00300A01">
      <w:pPr>
        <w:spacing w:before="0" w:after="0"/>
        <w:rPr>
          <w:lang w:val="fr-BE"/>
        </w:rPr>
      </w:pPr>
      <w:r>
        <w:rPr>
          <w:lang w:val="fr-BE"/>
        </w:rPr>
        <w:br w:type="page"/>
      </w:r>
    </w:p>
    <w:p w14:paraId="6D529EA3"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1"/>
        <w:gridCol w:w="11723"/>
      </w:tblGrid>
      <w:tr w:rsidR="006B2EC1" w14:paraId="2D3B3548" w14:textId="77777777" w:rsidTr="0047688D">
        <w:tc>
          <w:tcPr>
            <w:tcW w:w="0" w:type="auto"/>
            <w:shd w:val="clear" w:color="auto" w:fill="auto"/>
          </w:tcPr>
          <w:p w14:paraId="159CC3FC" w14:textId="77777777" w:rsidR="008C5CFA" w:rsidRPr="002124FC" w:rsidRDefault="00E82A60" w:rsidP="00300A01">
            <w:pPr>
              <w:spacing w:before="0" w:after="0"/>
              <w:rPr>
                <w:sz w:val="20"/>
                <w:szCs w:val="20"/>
                <w:lang w:val="fr-BE"/>
              </w:rPr>
            </w:pPr>
            <w:r w:rsidRPr="002124FC">
              <w:rPr>
                <w:noProof/>
                <w:sz w:val="20"/>
                <w:szCs w:val="20"/>
                <w:lang w:val="fr-BE"/>
              </w:rPr>
              <w:t>Oś priorytetowa</w:t>
            </w:r>
          </w:p>
        </w:tc>
        <w:tc>
          <w:tcPr>
            <w:tcW w:w="0" w:type="auto"/>
            <w:shd w:val="clear" w:color="auto" w:fill="auto"/>
          </w:tcPr>
          <w:p w14:paraId="3A175C42" w14:textId="77777777" w:rsidR="008C5CFA" w:rsidRPr="002124FC" w:rsidRDefault="00E82A60" w:rsidP="00300A01">
            <w:pPr>
              <w:spacing w:before="0" w:after="0"/>
              <w:rPr>
                <w:sz w:val="20"/>
                <w:szCs w:val="20"/>
                <w:lang w:val="fr-BE"/>
              </w:rPr>
            </w:pPr>
            <w:r w:rsidRPr="002124FC">
              <w:rPr>
                <w:noProof/>
                <w:sz w:val="20"/>
                <w:szCs w:val="20"/>
                <w:lang w:val="fr-BE"/>
              </w:rPr>
              <w:t>11</w:t>
            </w:r>
            <w:r w:rsidRPr="002124FC">
              <w:rPr>
                <w:sz w:val="20"/>
                <w:szCs w:val="20"/>
                <w:lang w:val="fr-BE"/>
              </w:rPr>
              <w:t xml:space="preserve"> - </w:t>
            </w:r>
            <w:r w:rsidRPr="002124FC">
              <w:rPr>
                <w:noProof/>
                <w:sz w:val="20"/>
                <w:szCs w:val="20"/>
                <w:lang w:val="fr-BE"/>
              </w:rPr>
              <w:t>Pomoc Techniczna</w:t>
            </w:r>
          </w:p>
        </w:tc>
      </w:tr>
      <w:tr w:rsidR="006B2EC1" w14:paraId="2CDF43B5" w14:textId="77777777" w:rsidTr="0047688D">
        <w:tc>
          <w:tcPr>
            <w:tcW w:w="0" w:type="auto"/>
            <w:shd w:val="clear" w:color="auto" w:fill="auto"/>
          </w:tcPr>
          <w:p w14:paraId="5377D4CF" w14:textId="77777777" w:rsidR="008C5CFA" w:rsidRPr="002124FC" w:rsidRDefault="00E82A60" w:rsidP="00300A01">
            <w:pPr>
              <w:spacing w:before="0" w:after="0"/>
              <w:ind w:left="113" w:hanging="113"/>
              <w:rPr>
                <w:sz w:val="20"/>
                <w:szCs w:val="20"/>
                <w:lang w:val="fr-BE"/>
              </w:rPr>
            </w:pPr>
            <w:r w:rsidRPr="002124FC">
              <w:rPr>
                <w:noProof/>
                <w:sz w:val="20"/>
                <w:szCs w:val="20"/>
                <w:lang w:val="fr-BE"/>
              </w:rPr>
              <w:t>Cel szczegółowy</w:t>
            </w:r>
          </w:p>
        </w:tc>
        <w:tc>
          <w:tcPr>
            <w:tcW w:w="0" w:type="auto"/>
            <w:shd w:val="clear" w:color="auto" w:fill="auto"/>
          </w:tcPr>
          <w:p w14:paraId="372BF83E" w14:textId="77777777" w:rsidR="008C5CFA" w:rsidRPr="002124FC" w:rsidRDefault="00E82A60" w:rsidP="00300A01">
            <w:pPr>
              <w:spacing w:before="0" w:after="0"/>
              <w:rPr>
                <w:sz w:val="20"/>
                <w:szCs w:val="20"/>
                <w:lang w:val="fr-BE"/>
              </w:rPr>
            </w:pPr>
            <w:r w:rsidRPr="002124FC">
              <w:rPr>
                <w:noProof/>
                <w:sz w:val="20"/>
                <w:szCs w:val="20"/>
                <w:lang w:val="fr-BE"/>
              </w:rPr>
              <w:t>3</w:t>
            </w:r>
            <w:r w:rsidRPr="002124FC">
              <w:rPr>
                <w:sz w:val="20"/>
                <w:szCs w:val="20"/>
                <w:lang w:val="fr-BE"/>
              </w:rPr>
              <w:t xml:space="preserve"> - </w:t>
            </w:r>
            <w:r w:rsidRPr="002124FC">
              <w:rPr>
                <w:noProof/>
                <w:sz w:val="20"/>
                <w:szCs w:val="20"/>
                <w:lang w:val="fr-BE"/>
              </w:rPr>
              <w:t>Skuteczne i efektywne działania informacyjne i promocyjne.</w:t>
            </w:r>
          </w:p>
        </w:tc>
      </w:tr>
    </w:tbl>
    <w:p w14:paraId="0C3540C9" w14:textId="77777777" w:rsidR="008C5CFA" w:rsidRDefault="008C5CFA" w:rsidP="00300A01">
      <w:pPr>
        <w:spacing w:before="0" w:after="0"/>
        <w:rPr>
          <w:lang w:val="fr-BE"/>
        </w:rPr>
      </w:pPr>
    </w:p>
    <w:p w14:paraId="7203242D" w14:textId="77777777" w:rsidR="008C5CFA" w:rsidRDefault="00E82A60" w:rsidP="00300A01">
      <w:pPr>
        <w:pStyle w:val="Nagwek2"/>
        <w:spacing w:before="0" w:after="0"/>
      </w:pPr>
      <w:bookmarkStart w:id="83" w:name="_Toc46391767"/>
      <w:r w:rsidRPr="008E457C">
        <w:rPr>
          <w:noProof/>
          <w:lang w:val="fr-BE"/>
        </w:rPr>
        <w:t>Tabela 2C</w:t>
      </w:r>
      <w:r w:rsidRPr="008E457C">
        <w:t xml:space="preserve"> : </w:t>
      </w:r>
      <w:r w:rsidRPr="008E457C">
        <w:rPr>
          <w:noProof/>
          <w:lang w:val="fr-BE"/>
        </w:rPr>
        <w:t>Specyficzne dla programu wskaźniki rezultatu dla EFS oraz Inicjatywy na rzecz zatrudnienia ludzi młodych</w:t>
      </w:r>
      <w:r w:rsidR="00BF682D">
        <w:t xml:space="preserve"> - </w:t>
      </w:r>
      <w:r w:rsidR="00BF682D" w:rsidRPr="002124FC">
        <w:rPr>
          <w:noProof/>
          <w:sz w:val="20"/>
          <w:szCs w:val="20"/>
          <w:lang w:val="fr-BE"/>
        </w:rPr>
        <w:t>11</w:t>
      </w:r>
      <w:r w:rsidR="00BF682D">
        <w:rPr>
          <w:sz w:val="20"/>
          <w:szCs w:val="20"/>
          <w:lang w:val="fr-BE"/>
        </w:rPr>
        <w:t xml:space="preserve"> / </w:t>
      </w:r>
      <w:r w:rsidR="00BF682D" w:rsidRPr="002124FC">
        <w:rPr>
          <w:noProof/>
          <w:sz w:val="20"/>
          <w:szCs w:val="20"/>
          <w:lang w:val="fr-BE"/>
        </w:rPr>
        <w:t>3</w:t>
      </w:r>
      <w:bookmarkEnd w:id="83"/>
    </w:p>
    <w:p w14:paraId="7D8FC549"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64"/>
        <w:gridCol w:w="2094"/>
        <w:gridCol w:w="816"/>
        <w:gridCol w:w="1226"/>
        <w:gridCol w:w="2370"/>
        <w:gridCol w:w="1956"/>
        <w:gridCol w:w="448"/>
        <w:gridCol w:w="564"/>
        <w:gridCol w:w="453"/>
        <w:gridCol w:w="448"/>
        <w:gridCol w:w="564"/>
        <w:gridCol w:w="453"/>
        <w:gridCol w:w="448"/>
        <w:gridCol w:w="564"/>
        <w:gridCol w:w="453"/>
        <w:gridCol w:w="448"/>
        <w:gridCol w:w="564"/>
        <w:gridCol w:w="453"/>
        <w:gridCol w:w="598"/>
      </w:tblGrid>
      <w:tr w:rsidR="006B2EC1" w14:paraId="75C87254" w14:textId="77777777" w:rsidTr="0047688D">
        <w:trPr>
          <w:tblHeader/>
        </w:trPr>
        <w:tc>
          <w:tcPr>
            <w:tcW w:w="0" w:type="auto"/>
            <w:shd w:val="clear" w:color="auto" w:fill="auto"/>
          </w:tcPr>
          <w:p w14:paraId="0F9073F0" w14:textId="77777777" w:rsidR="008C5CFA" w:rsidRPr="00601E29" w:rsidRDefault="00E82A60" w:rsidP="00300A01">
            <w:pPr>
              <w:spacing w:before="0" w:after="0"/>
              <w:rPr>
                <w:b/>
                <w:sz w:val="10"/>
                <w:szCs w:val="10"/>
                <w:lang w:val="fr-BE"/>
              </w:rPr>
            </w:pPr>
            <w:r w:rsidRPr="00601E29">
              <w:rPr>
                <w:b/>
                <w:noProof/>
                <w:sz w:val="10"/>
                <w:szCs w:val="10"/>
                <w:lang w:val="fr-BE"/>
              </w:rPr>
              <w:t>ID</w:t>
            </w:r>
          </w:p>
        </w:tc>
        <w:tc>
          <w:tcPr>
            <w:tcW w:w="0" w:type="auto"/>
            <w:shd w:val="clear" w:color="auto" w:fill="auto"/>
          </w:tcPr>
          <w:p w14:paraId="33BC7FC0" w14:textId="77777777" w:rsidR="008C5CFA" w:rsidRPr="00601E29" w:rsidRDefault="00E82A60" w:rsidP="00300A01">
            <w:pPr>
              <w:spacing w:before="0" w:after="0"/>
              <w:rPr>
                <w:b/>
                <w:sz w:val="10"/>
                <w:szCs w:val="10"/>
                <w:lang w:val="fr-BE"/>
              </w:rPr>
            </w:pPr>
            <w:r w:rsidRPr="00601E29">
              <w:rPr>
                <w:b/>
                <w:noProof/>
                <w:sz w:val="10"/>
                <w:szCs w:val="10"/>
                <w:lang w:val="fr-BE"/>
              </w:rPr>
              <w:t>Wskaźnik</w:t>
            </w:r>
          </w:p>
        </w:tc>
        <w:tc>
          <w:tcPr>
            <w:tcW w:w="0" w:type="auto"/>
            <w:shd w:val="clear" w:color="auto" w:fill="auto"/>
          </w:tcPr>
          <w:p w14:paraId="617DC01D" w14:textId="77777777" w:rsidR="008C5CFA" w:rsidRPr="00601E29" w:rsidRDefault="00E82A60" w:rsidP="00300A01">
            <w:pPr>
              <w:spacing w:before="0" w:after="0"/>
              <w:rPr>
                <w:b/>
                <w:sz w:val="10"/>
                <w:szCs w:val="10"/>
                <w:lang w:val="fr-BE"/>
              </w:rPr>
            </w:pPr>
            <w:r w:rsidRPr="00601E29">
              <w:rPr>
                <w:b/>
                <w:noProof/>
                <w:sz w:val="10"/>
                <w:szCs w:val="10"/>
                <w:lang w:val="fr-BE"/>
              </w:rPr>
              <w:t>Kategoria regionu</w:t>
            </w:r>
          </w:p>
        </w:tc>
        <w:tc>
          <w:tcPr>
            <w:tcW w:w="0" w:type="auto"/>
            <w:shd w:val="clear" w:color="auto" w:fill="auto"/>
          </w:tcPr>
          <w:p w14:paraId="304010CC" w14:textId="77777777" w:rsidR="008C5CFA" w:rsidRPr="00601E29" w:rsidRDefault="00E82A60" w:rsidP="00300A01">
            <w:pPr>
              <w:spacing w:before="0" w:after="0"/>
              <w:rPr>
                <w:b/>
                <w:sz w:val="10"/>
                <w:szCs w:val="10"/>
                <w:lang w:val="fr-BE"/>
              </w:rPr>
            </w:pPr>
            <w:r w:rsidRPr="00785F4A">
              <w:rPr>
                <w:b/>
                <w:noProof/>
                <w:sz w:val="10"/>
                <w:szCs w:val="10"/>
                <w:lang w:val="fr-BE"/>
              </w:rPr>
              <w:t>Jednostka pomiaru wskaźnika</w:t>
            </w:r>
          </w:p>
        </w:tc>
        <w:tc>
          <w:tcPr>
            <w:tcW w:w="0" w:type="auto"/>
            <w:shd w:val="clear" w:color="auto" w:fill="auto"/>
          </w:tcPr>
          <w:p w14:paraId="24D12A0B" w14:textId="77777777" w:rsidR="008C5CFA" w:rsidRPr="00601E29" w:rsidRDefault="00E82A60" w:rsidP="00300A01">
            <w:pPr>
              <w:spacing w:before="0" w:after="0"/>
              <w:rPr>
                <w:b/>
                <w:sz w:val="10"/>
                <w:szCs w:val="10"/>
                <w:lang w:val="fr-BE"/>
              </w:rPr>
            </w:pPr>
            <w:r w:rsidRPr="00601E29">
              <w:rPr>
                <w:b/>
                <w:noProof/>
                <w:sz w:val="10"/>
                <w:szCs w:val="10"/>
                <w:lang w:val="fr-BE"/>
              </w:rPr>
              <w:t>Wskaźnik produktu stosowany jako podstawa do ustalania celów</w:t>
            </w:r>
          </w:p>
        </w:tc>
        <w:tc>
          <w:tcPr>
            <w:tcW w:w="0" w:type="auto"/>
            <w:shd w:val="clear" w:color="auto" w:fill="auto"/>
          </w:tcPr>
          <w:p w14:paraId="0746A9DD" w14:textId="77777777" w:rsidR="008C5CFA" w:rsidRPr="00601E29" w:rsidRDefault="00E82A60" w:rsidP="00300A01">
            <w:pPr>
              <w:spacing w:before="0" w:after="0"/>
              <w:rPr>
                <w:b/>
                <w:sz w:val="10"/>
                <w:szCs w:val="10"/>
                <w:lang w:val="fr-BE"/>
              </w:rPr>
            </w:pPr>
            <w:r w:rsidRPr="00601E29">
              <w:rPr>
                <w:b/>
                <w:noProof/>
                <w:sz w:val="10"/>
                <w:szCs w:val="10"/>
                <w:lang w:val="fr-BE"/>
              </w:rPr>
              <w:t>Jednostka pomiaru dla wartości bazowej i docelowej</w:t>
            </w:r>
          </w:p>
        </w:tc>
        <w:tc>
          <w:tcPr>
            <w:tcW w:w="0" w:type="auto"/>
            <w:gridSpan w:val="3"/>
            <w:shd w:val="clear" w:color="auto" w:fill="auto"/>
          </w:tcPr>
          <w:p w14:paraId="3CEF29CC" w14:textId="77777777" w:rsidR="008C5CFA" w:rsidRPr="00601E29" w:rsidRDefault="00E82A60" w:rsidP="00300A01">
            <w:pPr>
              <w:spacing w:before="0" w:after="0"/>
              <w:jc w:val="center"/>
              <w:rPr>
                <w:b/>
                <w:sz w:val="10"/>
                <w:szCs w:val="10"/>
                <w:lang w:val="fr-BE"/>
              </w:rPr>
            </w:pPr>
            <w:r w:rsidRPr="00601E29">
              <w:rPr>
                <w:b/>
                <w:noProof/>
                <w:sz w:val="10"/>
                <w:szCs w:val="10"/>
                <w:lang w:val="fr-BE"/>
              </w:rPr>
              <w:t>Wartość docelowa (2023)</w:t>
            </w:r>
          </w:p>
        </w:tc>
        <w:tc>
          <w:tcPr>
            <w:tcW w:w="0" w:type="auto"/>
            <w:gridSpan w:val="3"/>
            <w:shd w:val="clear" w:color="auto" w:fill="auto"/>
          </w:tcPr>
          <w:p w14:paraId="3E235EE3" w14:textId="77777777" w:rsidR="008C5CFA" w:rsidRPr="00601E29" w:rsidRDefault="00E82A60" w:rsidP="00300A01">
            <w:pPr>
              <w:spacing w:before="0" w:after="0"/>
              <w:jc w:val="center"/>
              <w:rPr>
                <w:b/>
                <w:sz w:val="10"/>
                <w:szCs w:val="10"/>
                <w:lang w:val="fr-BE"/>
              </w:rPr>
            </w:pPr>
            <w:r w:rsidRPr="00601E29">
              <w:rPr>
                <w:b/>
                <w:noProof/>
                <w:sz w:val="10"/>
                <w:szCs w:val="10"/>
                <w:lang w:val="fr-BE"/>
              </w:rPr>
              <w:t>Wskaźnik osiągnięć</w:t>
            </w:r>
          </w:p>
        </w:tc>
        <w:tc>
          <w:tcPr>
            <w:tcW w:w="0" w:type="auto"/>
            <w:gridSpan w:val="7"/>
            <w:shd w:val="clear" w:color="auto" w:fill="auto"/>
          </w:tcPr>
          <w:p w14:paraId="6DFBF3E4" w14:textId="77777777" w:rsidR="008C5CFA" w:rsidRPr="00601E29" w:rsidRDefault="00E82A60" w:rsidP="00300A01">
            <w:pPr>
              <w:spacing w:before="0" w:after="0"/>
              <w:jc w:val="center"/>
              <w:rPr>
                <w:b/>
                <w:sz w:val="10"/>
                <w:szCs w:val="10"/>
                <w:lang w:val="fr-BE"/>
              </w:rPr>
            </w:pPr>
            <w:r>
              <w:rPr>
                <w:b/>
                <w:sz w:val="10"/>
                <w:szCs w:val="10"/>
                <w:lang w:val="fr-BE"/>
              </w:rPr>
              <w:t>2019</w:t>
            </w:r>
          </w:p>
        </w:tc>
      </w:tr>
      <w:tr w:rsidR="006B2EC1" w14:paraId="194B3FC9" w14:textId="77777777" w:rsidTr="0047688D">
        <w:trPr>
          <w:tblHeader/>
        </w:trPr>
        <w:tc>
          <w:tcPr>
            <w:tcW w:w="0" w:type="auto"/>
            <w:shd w:val="clear" w:color="auto" w:fill="auto"/>
          </w:tcPr>
          <w:p w14:paraId="25D6EE23" w14:textId="77777777" w:rsidR="008C5CFA" w:rsidRPr="00601E29" w:rsidRDefault="008C5CFA" w:rsidP="00300A01">
            <w:pPr>
              <w:spacing w:before="0" w:after="0"/>
              <w:rPr>
                <w:b/>
                <w:sz w:val="10"/>
                <w:szCs w:val="10"/>
                <w:lang w:val="fr-BE"/>
              </w:rPr>
            </w:pPr>
          </w:p>
        </w:tc>
        <w:tc>
          <w:tcPr>
            <w:tcW w:w="0" w:type="auto"/>
            <w:shd w:val="clear" w:color="auto" w:fill="auto"/>
          </w:tcPr>
          <w:p w14:paraId="417A84AA" w14:textId="77777777" w:rsidR="008C5CFA" w:rsidRPr="00601E29" w:rsidRDefault="008C5CFA" w:rsidP="00300A01">
            <w:pPr>
              <w:spacing w:before="0" w:after="0"/>
              <w:rPr>
                <w:b/>
                <w:sz w:val="10"/>
                <w:szCs w:val="10"/>
                <w:lang w:val="fr-BE"/>
              </w:rPr>
            </w:pPr>
          </w:p>
        </w:tc>
        <w:tc>
          <w:tcPr>
            <w:tcW w:w="0" w:type="auto"/>
            <w:shd w:val="clear" w:color="auto" w:fill="auto"/>
          </w:tcPr>
          <w:p w14:paraId="14404055" w14:textId="77777777" w:rsidR="008C5CFA" w:rsidRPr="00601E29" w:rsidRDefault="008C5CFA" w:rsidP="00300A01">
            <w:pPr>
              <w:spacing w:before="0" w:after="0"/>
              <w:rPr>
                <w:b/>
                <w:sz w:val="10"/>
                <w:szCs w:val="10"/>
                <w:lang w:val="fr-BE"/>
              </w:rPr>
            </w:pPr>
          </w:p>
        </w:tc>
        <w:tc>
          <w:tcPr>
            <w:tcW w:w="0" w:type="auto"/>
            <w:shd w:val="clear" w:color="auto" w:fill="auto"/>
          </w:tcPr>
          <w:p w14:paraId="7FF0B6CB" w14:textId="77777777" w:rsidR="008C5CFA" w:rsidRPr="00601E29" w:rsidRDefault="008C5CFA" w:rsidP="00300A01">
            <w:pPr>
              <w:spacing w:before="0" w:after="0"/>
              <w:rPr>
                <w:b/>
                <w:sz w:val="10"/>
                <w:szCs w:val="10"/>
                <w:lang w:val="fr-BE"/>
              </w:rPr>
            </w:pPr>
          </w:p>
        </w:tc>
        <w:tc>
          <w:tcPr>
            <w:tcW w:w="0" w:type="auto"/>
            <w:shd w:val="clear" w:color="auto" w:fill="auto"/>
          </w:tcPr>
          <w:p w14:paraId="50A1999C" w14:textId="77777777" w:rsidR="008C5CFA" w:rsidRPr="00601E29" w:rsidRDefault="008C5CFA" w:rsidP="00300A01">
            <w:pPr>
              <w:spacing w:before="0" w:after="0"/>
              <w:rPr>
                <w:b/>
                <w:sz w:val="10"/>
                <w:szCs w:val="10"/>
                <w:lang w:val="fr-BE"/>
              </w:rPr>
            </w:pPr>
          </w:p>
        </w:tc>
        <w:tc>
          <w:tcPr>
            <w:tcW w:w="0" w:type="auto"/>
            <w:shd w:val="clear" w:color="auto" w:fill="auto"/>
          </w:tcPr>
          <w:p w14:paraId="628EC5EB" w14:textId="77777777" w:rsidR="008C5CFA" w:rsidRPr="00601E29" w:rsidRDefault="008C5CFA" w:rsidP="00300A01">
            <w:pPr>
              <w:spacing w:before="0" w:after="0"/>
              <w:rPr>
                <w:b/>
                <w:sz w:val="10"/>
                <w:szCs w:val="10"/>
                <w:lang w:val="fr-BE"/>
              </w:rPr>
            </w:pPr>
          </w:p>
        </w:tc>
        <w:tc>
          <w:tcPr>
            <w:tcW w:w="0" w:type="auto"/>
            <w:shd w:val="clear" w:color="auto" w:fill="auto"/>
          </w:tcPr>
          <w:p w14:paraId="1A4BB6D1" w14:textId="77777777" w:rsidR="008C5CFA" w:rsidRPr="00601E29" w:rsidRDefault="008C5CFA" w:rsidP="00300A01">
            <w:pPr>
              <w:spacing w:before="0" w:after="0"/>
              <w:jc w:val="center"/>
              <w:rPr>
                <w:b/>
                <w:sz w:val="10"/>
                <w:szCs w:val="10"/>
                <w:lang w:val="fr-BE"/>
              </w:rPr>
            </w:pPr>
          </w:p>
        </w:tc>
        <w:tc>
          <w:tcPr>
            <w:tcW w:w="0" w:type="auto"/>
            <w:shd w:val="clear" w:color="auto" w:fill="auto"/>
          </w:tcPr>
          <w:p w14:paraId="65B13FB9" w14:textId="77777777" w:rsidR="008C5CFA" w:rsidRPr="00601E29" w:rsidRDefault="008C5CFA" w:rsidP="00300A01">
            <w:pPr>
              <w:spacing w:before="0" w:after="0"/>
              <w:jc w:val="center"/>
              <w:rPr>
                <w:b/>
                <w:sz w:val="10"/>
                <w:szCs w:val="10"/>
                <w:lang w:val="fr-BE"/>
              </w:rPr>
            </w:pPr>
          </w:p>
        </w:tc>
        <w:tc>
          <w:tcPr>
            <w:tcW w:w="0" w:type="auto"/>
            <w:shd w:val="clear" w:color="auto" w:fill="auto"/>
          </w:tcPr>
          <w:p w14:paraId="5BE68734" w14:textId="77777777" w:rsidR="008C5CFA" w:rsidRPr="00601E29" w:rsidRDefault="008C5CFA" w:rsidP="00300A01">
            <w:pPr>
              <w:spacing w:before="0" w:after="0"/>
              <w:jc w:val="center"/>
              <w:rPr>
                <w:b/>
                <w:sz w:val="10"/>
                <w:szCs w:val="10"/>
                <w:lang w:val="fr-BE"/>
              </w:rPr>
            </w:pPr>
          </w:p>
        </w:tc>
        <w:tc>
          <w:tcPr>
            <w:tcW w:w="0" w:type="auto"/>
            <w:shd w:val="clear" w:color="auto" w:fill="auto"/>
          </w:tcPr>
          <w:p w14:paraId="35DDBE6B" w14:textId="77777777" w:rsidR="008C5CFA" w:rsidRPr="00601E29" w:rsidRDefault="008C5CFA" w:rsidP="00300A01">
            <w:pPr>
              <w:spacing w:before="0" w:after="0"/>
              <w:jc w:val="center"/>
              <w:rPr>
                <w:b/>
                <w:sz w:val="10"/>
                <w:szCs w:val="10"/>
                <w:lang w:val="fr-BE"/>
              </w:rPr>
            </w:pPr>
          </w:p>
        </w:tc>
        <w:tc>
          <w:tcPr>
            <w:tcW w:w="0" w:type="auto"/>
            <w:shd w:val="clear" w:color="auto" w:fill="auto"/>
          </w:tcPr>
          <w:p w14:paraId="16DED143" w14:textId="77777777" w:rsidR="008C5CFA" w:rsidRPr="00601E29" w:rsidRDefault="008C5CFA" w:rsidP="00300A01">
            <w:pPr>
              <w:spacing w:before="0" w:after="0"/>
              <w:jc w:val="center"/>
              <w:rPr>
                <w:b/>
                <w:sz w:val="10"/>
                <w:szCs w:val="10"/>
                <w:lang w:val="fr-BE"/>
              </w:rPr>
            </w:pPr>
          </w:p>
        </w:tc>
        <w:tc>
          <w:tcPr>
            <w:tcW w:w="0" w:type="auto"/>
            <w:shd w:val="clear" w:color="auto" w:fill="auto"/>
          </w:tcPr>
          <w:p w14:paraId="7D0EA844" w14:textId="77777777" w:rsidR="008C5CFA" w:rsidRPr="00601E29" w:rsidRDefault="008C5CFA" w:rsidP="00300A01">
            <w:pPr>
              <w:spacing w:before="0" w:after="0"/>
              <w:jc w:val="center"/>
              <w:rPr>
                <w:b/>
                <w:sz w:val="10"/>
                <w:szCs w:val="10"/>
                <w:lang w:val="fr-BE"/>
              </w:rPr>
            </w:pPr>
          </w:p>
        </w:tc>
        <w:tc>
          <w:tcPr>
            <w:tcW w:w="0" w:type="auto"/>
            <w:gridSpan w:val="3"/>
            <w:shd w:val="clear" w:color="auto" w:fill="auto"/>
          </w:tcPr>
          <w:p w14:paraId="365A29FF" w14:textId="77777777" w:rsidR="008C5CFA" w:rsidRPr="00601E29" w:rsidRDefault="00E82A60" w:rsidP="00300A01">
            <w:pPr>
              <w:spacing w:before="0" w:after="0"/>
              <w:jc w:val="center"/>
              <w:rPr>
                <w:b/>
                <w:sz w:val="10"/>
                <w:szCs w:val="10"/>
                <w:lang w:val="fr-BE"/>
              </w:rPr>
            </w:pPr>
            <w:r w:rsidRPr="00601E29">
              <w:rPr>
                <w:b/>
                <w:noProof/>
                <w:sz w:val="10"/>
                <w:szCs w:val="10"/>
                <w:lang w:val="fr-BE"/>
              </w:rPr>
              <w:t>Łącznie</w:t>
            </w:r>
          </w:p>
        </w:tc>
        <w:tc>
          <w:tcPr>
            <w:tcW w:w="0" w:type="auto"/>
            <w:gridSpan w:val="3"/>
          </w:tcPr>
          <w:p w14:paraId="3C09E7B1" w14:textId="77777777" w:rsidR="008C5CFA" w:rsidRPr="00601E29" w:rsidRDefault="00E82A60" w:rsidP="00300A01">
            <w:pPr>
              <w:spacing w:before="0" w:after="0"/>
              <w:jc w:val="center"/>
              <w:rPr>
                <w:b/>
                <w:sz w:val="10"/>
                <w:szCs w:val="10"/>
                <w:lang w:val="fr-BE"/>
              </w:rPr>
            </w:pPr>
            <w:r w:rsidRPr="00601E29">
              <w:rPr>
                <w:b/>
                <w:noProof/>
                <w:sz w:val="10"/>
                <w:szCs w:val="10"/>
                <w:lang w:val="fr-BE"/>
              </w:rPr>
              <w:t>Łącznie w roku</w:t>
            </w:r>
          </w:p>
        </w:tc>
        <w:tc>
          <w:tcPr>
            <w:tcW w:w="0" w:type="auto"/>
          </w:tcPr>
          <w:p w14:paraId="630A32C9" w14:textId="77777777" w:rsidR="008C5CFA" w:rsidRPr="00601E29" w:rsidRDefault="00E82A60" w:rsidP="00300A01">
            <w:pPr>
              <w:spacing w:before="0" w:after="0"/>
              <w:jc w:val="center"/>
              <w:rPr>
                <w:b/>
                <w:sz w:val="10"/>
                <w:szCs w:val="10"/>
                <w:lang w:val="fr-BE"/>
              </w:rPr>
            </w:pPr>
            <w:r w:rsidRPr="00601E29">
              <w:rPr>
                <w:b/>
                <w:noProof/>
                <w:sz w:val="10"/>
                <w:szCs w:val="10"/>
                <w:lang w:val="fr-BE"/>
              </w:rPr>
              <w:t>Jakościowe</w:t>
            </w:r>
          </w:p>
        </w:tc>
      </w:tr>
      <w:tr w:rsidR="006B2EC1" w14:paraId="31444683" w14:textId="77777777" w:rsidTr="0047688D">
        <w:trPr>
          <w:tblHeader/>
        </w:trPr>
        <w:tc>
          <w:tcPr>
            <w:tcW w:w="0" w:type="auto"/>
            <w:shd w:val="clear" w:color="auto" w:fill="auto"/>
          </w:tcPr>
          <w:p w14:paraId="76DAB1AC" w14:textId="77777777" w:rsidR="008C5CFA" w:rsidRPr="00601E29" w:rsidRDefault="008C5CFA" w:rsidP="00300A01">
            <w:pPr>
              <w:spacing w:before="0" w:after="0"/>
              <w:rPr>
                <w:b/>
                <w:sz w:val="10"/>
                <w:szCs w:val="10"/>
                <w:lang w:val="fr-BE"/>
              </w:rPr>
            </w:pPr>
          </w:p>
        </w:tc>
        <w:tc>
          <w:tcPr>
            <w:tcW w:w="0" w:type="auto"/>
            <w:shd w:val="clear" w:color="auto" w:fill="auto"/>
          </w:tcPr>
          <w:p w14:paraId="3EDF0168" w14:textId="77777777" w:rsidR="008C5CFA" w:rsidRPr="00601E29" w:rsidRDefault="008C5CFA" w:rsidP="00300A01">
            <w:pPr>
              <w:spacing w:before="0" w:after="0"/>
              <w:rPr>
                <w:b/>
                <w:sz w:val="10"/>
                <w:szCs w:val="10"/>
                <w:lang w:val="fr-BE"/>
              </w:rPr>
            </w:pPr>
          </w:p>
        </w:tc>
        <w:tc>
          <w:tcPr>
            <w:tcW w:w="0" w:type="auto"/>
            <w:shd w:val="clear" w:color="auto" w:fill="auto"/>
          </w:tcPr>
          <w:p w14:paraId="0C45B83E" w14:textId="77777777" w:rsidR="008C5CFA" w:rsidRPr="00601E29" w:rsidRDefault="008C5CFA" w:rsidP="00300A01">
            <w:pPr>
              <w:spacing w:before="0" w:after="0"/>
              <w:rPr>
                <w:b/>
                <w:sz w:val="10"/>
                <w:szCs w:val="10"/>
                <w:lang w:val="fr-BE"/>
              </w:rPr>
            </w:pPr>
          </w:p>
        </w:tc>
        <w:tc>
          <w:tcPr>
            <w:tcW w:w="0" w:type="auto"/>
            <w:shd w:val="clear" w:color="auto" w:fill="auto"/>
          </w:tcPr>
          <w:p w14:paraId="69B9E49C" w14:textId="77777777" w:rsidR="008C5CFA" w:rsidRPr="00601E29" w:rsidRDefault="008C5CFA" w:rsidP="00300A01">
            <w:pPr>
              <w:spacing w:before="0" w:after="0"/>
              <w:rPr>
                <w:b/>
                <w:sz w:val="10"/>
                <w:szCs w:val="10"/>
                <w:lang w:val="fr-BE"/>
              </w:rPr>
            </w:pPr>
          </w:p>
        </w:tc>
        <w:tc>
          <w:tcPr>
            <w:tcW w:w="0" w:type="auto"/>
            <w:shd w:val="clear" w:color="auto" w:fill="auto"/>
          </w:tcPr>
          <w:p w14:paraId="1B841675" w14:textId="77777777" w:rsidR="008C5CFA" w:rsidRPr="00601E29" w:rsidRDefault="008C5CFA" w:rsidP="00300A01">
            <w:pPr>
              <w:spacing w:before="0" w:after="0"/>
              <w:rPr>
                <w:b/>
                <w:sz w:val="10"/>
                <w:szCs w:val="10"/>
                <w:lang w:val="fr-BE"/>
              </w:rPr>
            </w:pPr>
          </w:p>
        </w:tc>
        <w:tc>
          <w:tcPr>
            <w:tcW w:w="0" w:type="auto"/>
            <w:shd w:val="clear" w:color="auto" w:fill="auto"/>
          </w:tcPr>
          <w:p w14:paraId="355E3B8E" w14:textId="77777777" w:rsidR="008C5CFA" w:rsidRPr="00601E29" w:rsidRDefault="008C5CFA" w:rsidP="00300A01">
            <w:pPr>
              <w:spacing w:before="0" w:after="0"/>
              <w:rPr>
                <w:b/>
                <w:sz w:val="10"/>
                <w:szCs w:val="10"/>
                <w:lang w:val="fr-BE"/>
              </w:rPr>
            </w:pPr>
          </w:p>
        </w:tc>
        <w:tc>
          <w:tcPr>
            <w:tcW w:w="0" w:type="auto"/>
            <w:shd w:val="clear" w:color="auto" w:fill="auto"/>
          </w:tcPr>
          <w:p w14:paraId="7B1F8123" w14:textId="77777777" w:rsidR="008C5CFA" w:rsidRPr="00601E29" w:rsidRDefault="00E82A60" w:rsidP="00300A01">
            <w:pPr>
              <w:spacing w:before="0" w:after="0"/>
              <w:jc w:val="center"/>
              <w:rPr>
                <w:b/>
                <w:sz w:val="10"/>
                <w:szCs w:val="10"/>
                <w:lang w:val="fr-BE"/>
              </w:rPr>
            </w:pPr>
            <w:r w:rsidRPr="00601E29">
              <w:rPr>
                <w:b/>
                <w:noProof/>
                <w:sz w:val="10"/>
                <w:szCs w:val="10"/>
                <w:lang w:val="fr-BE"/>
              </w:rPr>
              <w:t>Ogółem</w:t>
            </w:r>
          </w:p>
        </w:tc>
        <w:tc>
          <w:tcPr>
            <w:tcW w:w="0" w:type="auto"/>
            <w:shd w:val="clear" w:color="auto" w:fill="auto"/>
          </w:tcPr>
          <w:p w14:paraId="02AA11A8" w14:textId="77777777" w:rsidR="008C5CFA" w:rsidRPr="00601E29" w:rsidRDefault="00E82A60" w:rsidP="00300A01">
            <w:pPr>
              <w:spacing w:before="0" w:after="0"/>
              <w:jc w:val="center"/>
              <w:rPr>
                <w:b/>
                <w:sz w:val="10"/>
                <w:szCs w:val="10"/>
                <w:lang w:val="fr-BE"/>
              </w:rPr>
            </w:pPr>
            <w:r w:rsidRPr="00601E29">
              <w:rPr>
                <w:b/>
                <w:noProof/>
                <w:sz w:val="10"/>
                <w:szCs w:val="10"/>
                <w:lang w:val="fr-BE"/>
              </w:rPr>
              <w:t>Mężczyźni</w:t>
            </w:r>
          </w:p>
        </w:tc>
        <w:tc>
          <w:tcPr>
            <w:tcW w:w="0" w:type="auto"/>
            <w:shd w:val="clear" w:color="auto" w:fill="auto"/>
          </w:tcPr>
          <w:p w14:paraId="517409E9" w14:textId="77777777" w:rsidR="008C5CFA" w:rsidRPr="00601E29" w:rsidRDefault="00E82A60" w:rsidP="00300A01">
            <w:pPr>
              <w:spacing w:before="0" w:after="0"/>
              <w:jc w:val="center"/>
              <w:rPr>
                <w:b/>
                <w:sz w:val="10"/>
                <w:szCs w:val="10"/>
                <w:lang w:val="fr-BE"/>
              </w:rPr>
            </w:pPr>
            <w:r w:rsidRPr="00601E29">
              <w:rPr>
                <w:b/>
                <w:noProof/>
                <w:sz w:val="10"/>
                <w:szCs w:val="10"/>
                <w:lang w:val="fr-BE"/>
              </w:rPr>
              <w:t>Kobiety</w:t>
            </w:r>
          </w:p>
        </w:tc>
        <w:tc>
          <w:tcPr>
            <w:tcW w:w="0" w:type="auto"/>
            <w:shd w:val="clear" w:color="auto" w:fill="auto"/>
          </w:tcPr>
          <w:p w14:paraId="6BAD0C1B" w14:textId="77777777" w:rsidR="008C5CFA" w:rsidRPr="00601E29" w:rsidRDefault="00E82A60" w:rsidP="00300A01">
            <w:pPr>
              <w:spacing w:before="0" w:after="0"/>
              <w:jc w:val="center"/>
              <w:rPr>
                <w:b/>
                <w:sz w:val="10"/>
                <w:szCs w:val="10"/>
                <w:lang w:val="fr-BE"/>
              </w:rPr>
            </w:pPr>
            <w:r w:rsidRPr="00601E29">
              <w:rPr>
                <w:b/>
                <w:noProof/>
                <w:sz w:val="10"/>
                <w:szCs w:val="10"/>
                <w:lang w:val="fr-BE"/>
              </w:rPr>
              <w:t>Ogółem</w:t>
            </w:r>
          </w:p>
        </w:tc>
        <w:tc>
          <w:tcPr>
            <w:tcW w:w="0" w:type="auto"/>
            <w:shd w:val="clear" w:color="auto" w:fill="auto"/>
          </w:tcPr>
          <w:p w14:paraId="68B65E31" w14:textId="77777777" w:rsidR="008C5CFA" w:rsidRPr="00601E29" w:rsidRDefault="00E82A60" w:rsidP="00300A01">
            <w:pPr>
              <w:spacing w:before="0" w:after="0"/>
              <w:jc w:val="center"/>
              <w:rPr>
                <w:b/>
                <w:sz w:val="10"/>
                <w:szCs w:val="10"/>
                <w:lang w:val="fr-BE"/>
              </w:rPr>
            </w:pPr>
            <w:r w:rsidRPr="00601E29">
              <w:rPr>
                <w:b/>
                <w:noProof/>
                <w:sz w:val="10"/>
                <w:szCs w:val="10"/>
                <w:lang w:val="fr-BE"/>
              </w:rPr>
              <w:t>Mężczyźni</w:t>
            </w:r>
          </w:p>
        </w:tc>
        <w:tc>
          <w:tcPr>
            <w:tcW w:w="0" w:type="auto"/>
            <w:shd w:val="clear" w:color="auto" w:fill="auto"/>
          </w:tcPr>
          <w:p w14:paraId="37487DB4" w14:textId="77777777" w:rsidR="008C5CFA" w:rsidRPr="00601E29" w:rsidRDefault="00E82A60" w:rsidP="00300A01">
            <w:pPr>
              <w:spacing w:before="0" w:after="0"/>
              <w:jc w:val="center"/>
              <w:rPr>
                <w:b/>
                <w:sz w:val="10"/>
                <w:szCs w:val="10"/>
                <w:lang w:val="fr-BE"/>
              </w:rPr>
            </w:pPr>
            <w:r w:rsidRPr="00601E29">
              <w:rPr>
                <w:b/>
                <w:noProof/>
                <w:sz w:val="10"/>
                <w:szCs w:val="10"/>
                <w:lang w:val="fr-BE"/>
              </w:rPr>
              <w:t>Kobiety</w:t>
            </w:r>
          </w:p>
        </w:tc>
        <w:tc>
          <w:tcPr>
            <w:tcW w:w="0" w:type="auto"/>
            <w:shd w:val="clear" w:color="auto" w:fill="auto"/>
          </w:tcPr>
          <w:p w14:paraId="730B3E8D" w14:textId="77777777" w:rsidR="008C5CFA" w:rsidRPr="00601E29" w:rsidRDefault="00E82A60" w:rsidP="00300A01">
            <w:pPr>
              <w:spacing w:before="0" w:after="0"/>
              <w:jc w:val="center"/>
              <w:rPr>
                <w:b/>
                <w:sz w:val="10"/>
                <w:szCs w:val="10"/>
                <w:lang w:val="fr-BE"/>
              </w:rPr>
            </w:pPr>
            <w:r w:rsidRPr="00601E29">
              <w:rPr>
                <w:b/>
                <w:noProof/>
                <w:sz w:val="10"/>
                <w:szCs w:val="10"/>
                <w:lang w:val="fr-BE"/>
              </w:rPr>
              <w:t>Ogółem</w:t>
            </w:r>
          </w:p>
        </w:tc>
        <w:tc>
          <w:tcPr>
            <w:tcW w:w="0" w:type="auto"/>
            <w:shd w:val="clear" w:color="auto" w:fill="auto"/>
          </w:tcPr>
          <w:p w14:paraId="116B9119" w14:textId="77777777" w:rsidR="008C5CFA" w:rsidRPr="00601E29" w:rsidRDefault="00E82A60" w:rsidP="00300A01">
            <w:pPr>
              <w:spacing w:before="0" w:after="0"/>
              <w:jc w:val="center"/>
              <w:rPr>
                <w:b/>
                <w:sz w:val="10"/>
                <w:szCs w:val="10"/>
                <w:lang w:val="fr-BE"/>
              </w:rPr>
            </w:pPr>
            <w:r w:rsidRPr="00601E29">
              <w:rPr>
                <w:b/>
                <w:noProof/>
                <w:sz w:val="10"/>
                <w:szCs w:val="10"/>
                <w:lang w:val="fr-BE"/>
              </w:rPr>
              <w:t>Mężczyźni</w:t>
            </w:r>
          </w:p>
        </w:tc>
        <w:tc>
          <w:tcPr>
            <w:tcW w:w="0" w:type="auto"/>
            <w:shd w:val="clear" w:color="auto" w:fill="auto"/>
          </w:tcPr>
          <w:p w14:paraId="66AA38E2" w14:textId="77777777" w:rsidR="008C5CFA" w:rsidRPr="00601E29" w:rsidRDefault="00E82A60" w:rsidP="00300A01">
            <w:pPr>
              <w:spacing w:before="0" w:after="0"/>
              <w:jc w:val="center"/>
              <w:rPr>
                <w:b/>
                <w:sz w:val="10"/>
                <w:szCs w:val="10"/>
                <w:lang w:val="fr-BE"/>
              </w:rPr>
            </w:pPr>
            <w:r w:rsidRPr="00601E29">
              <w:rPr>
                <w:b/>
                <w:noProof/>
                <w:sz w:val="10"/>
                <w:szCs w:val="10"/>
                <w:lang w:val="fr-BE"/>
              </w:rPr>
              <w:t>Kobiety</w:t>
            </w:r>
          </w:p>
        </w:tc>
        <w:tc>
          <w:tcPr>
            <w:tcW w:w="0" w:type="auto"/>
          </w:tcPr>
          <w:p w14:paraId="2B5516E9" w14:textId="77777777" w:rsidR="008C5CFA" w:rsidRPr="00601E29" w:rsidRDefault="00E82A60" w:rsidP="00300A01">
            <w:pPr>
              <w:spacing w:before="0" w:after="0"/>
              <w:jc w:val="center"/>
              <w:rPr>
                <w:b/>
                <w:sz w:val="10"/>
                <w:szCs w:val="10"/>
                <w:lang w:val="fr-BE"/>
              </w:rPr>
            </w:pPr>
            <w:r w:rsidRPr="00601E29">
              <w:rPr>
                <w:b/>
                <w:noProof/>
                <w:sz w:val="10"/>
                <w:szCs w:val="10"/>
                <w:lang w:val="fr-BE"/>
              </w:rPr>
              <w:t>Ogółem</w:t>
            </w:r>
          </w:p>
        </w:tc>
        <w:tc>
          <w:tcPr>
            <w:tcW w:w="0" w:type="auto"/>
            <w:shd w:val="clear" w:color="auto" w:fill="auto"/>
          </w:tcPr>
          <w:p w14:paraId="7A5CB631" w14:textId="77777777" w:rsidR="008C5CFA" w:rsidRPr="00601E29" w:rsidRDefault="00E82A60" w:rsidP="00300A01">
            <w:pPr>
              <w:spacing w:before="0" w:after="0"/>
              <w:jc w:val="center"/>
              <w:rPr>
                <w:b/>
                <w:sz w:val="10"/>
                <w:szCs w:val="10"/>
                <w:lang w:val="fr-BE"/>
              </w:rPr>
            </w:pPr>
            <w:r w:rsidRPr="00601E29">
              <w:rPr>
                <w:b/>
                <w:noProof/>
                <w:sz w:val="10"/>
                <w:szCs w:val="10"/>
                <w:lang w:val="fr-BE"/>
              </w:rPr>
              <w:t>Mężczyźni</w:t>
            </w:r>
          </w:p>
        </w:tc>
        <w:tc>
          <w:tcPr>
            <w:tcW w:w="0" w:type="auto"/>
            <w:shd w:val="clear" w:color="auto" w:fill="auto"/>
          </w:tcPr>
          <w:p w14:paraId="51C675ED" w14:textId="77777777" w:rsidR="008C5CFA" w:rsidRPr="00601E29" w:rsidRDefault="00E82A60" w:rsidP="00300A01">
            <w:pPr>
              <w:spacing w:before="0" w:after="0"/>
              <w:jc w:val="center"/>
              <w:rPr>
                <w:b/>
                <w:sz w:val="10"/>
                <w:szCs w:val="10"/>
                <w:lang w:val="fr-BE"/>
              </w:rPr>
            </w:pPr>
            <w:r w:rsidRPr="00601E29">
              <w:rPr>
                <w:b/>
                <w:noProof/>
                <w:sz w:val="10"/>
                <w:szCs w:val="10"/>
                <w:lang w:val="fr-BE"/>
              </w:rPr>
              <w:t>Kobiety</w:t>
            </w:r>
          </w:p>
        </w:tc>
        <w:tc>
          <w:tcPr>
            <w:tcW w:w="0" w:type="auto"/>
          </w:tcPr>
          <w:p w14:paraId="45A6F650" w14:textId="77777777" w:rsidR="008C5CFA" w:rsidRPr="00601E29" w:rsidRDefault="008C5CFA" w:rsidP="00300A01">
            <w:pPr>
              <w:spacing w:before="0" w:after="0"/>
              <w:jc w:val="center"/>
              <w:rPr>
                <w:b/>
                <w:sz w:val="10"/>
                <w:szCs w:val="10"/>
                <w:lang w:val="fr-BE"/>
              </w:rPr>
            </w:pPr>
          </w:p>
        </w:tc>
      </w:tr>
      <w:tr w:rsidR="006B2EC1" w14:paraId="1FC61EB3" w14:textId="77777777" w:rsidTr="0047688D">
        <w:tc>
          <w:tcPr>
            <w:tcW w:w="0" w:type="auto"/>
            <w:shd w:val="clear" w:color="auto" w:fill="auto"/>
          </w:tcPr>
          <w:p w14:paraId="2351D533" w14:textId="77777777" w:rsidR="008C5CFA" w:rsidRPr="00601E29" w:rsidRDefault="00E82A60" w:rsidP="00300A01">
            <w:pPr>
              <w:spacing w:before="0" w:after="0"/>
              <w:rPr>
                <w:sz w:val="10"/>
                <w:szCs w:val="10"/>
                <w:lang w:val="fr-BE"/>
              </w:rPr>
            </w:pPr>
            <w:r w:rsidRPr="00601E29">
              <w:rPr>
                <w:noProof/>
                <w:sz w:val="10"/>
                <w:szCs w:val="10"/>
                <w:lang w:val="fr-BE"/>
              </w:rPr>
              <w:t>032</w:t>
            </w:r>
          </w:p>
        </w:tc>
        <w:tc>
          <w:tcPr>
            <w:tcW w:w="0" w:type="auto"/>
            <w:shd w:val="clear" w:color="auto" w:fill="auto"/>
          </w:tcPr>
          <w:p w14:paraId="156CD58E" w14:textId="77777777" w:rsidR="008C5CFA" w:rsidRPr="00601E29" w:rsidRDefault="00E82A60" w:rsidP="00300A01">
            <w:pPr>
              <w:spacing w:before="0" w:after="0"/>
              <w:rPr>
                <w:sz w:val="10"/>
                <w:szCs w:val="10"/>
                <w:lang w:val="fr-BE"/>
              </w:rPr>
            </w:pPr>
            <w:r w:rsidRPr="00601E29">
              <w:rPr>
                <w:noProof/>
                <w:sz w:val="10"/>
                <w:szCs w:val="10"/>
                <w:lang w:val="fr-BE"/>
              </w:rPr>
              <w:t>Ocena przydatności form szkoleniowych dla beneficjentów</w:t>
            </w:r>
          </w:p>
        </w:tc>
        <w:tc>
          <w:tcPr>
            <w:tcW w:w="0" w:type="auto"/>
            <w:shd w:val="clear" w:color="auto" w:fill="auto"/>
          </w:tcPr>
          <w:p w14:paraId="0B495BC4" w14:textId="77777777" w:rsidR="008C5CFA" w:rsidRPr="00601E29" w:rsidRDefault="008C5CFA" w:rsidP="00300A01">
            <w:pPr>
              <w:spacing w:before="0" w:after="0"/>
              <w:rPr>
                <w:sz w:val="10"/>
                <w:szCs w:val="10"/>
                <w:lang w:val="fr-BE"/>
              </w:rPr>
            </w:pPr>
          </w:p>
        </w:tc>
        <w:tc>
          <w:tcPr>
            <w:tcW w:w="0" w:type="auto"/>
            <w:shd w:val="clear" w:color="auto" w:fill="auto"/>
          </w:tcPr>
          <w:p w14:paraId="18522401" w14:textId="77777777" w:rsidR="008C5CFA" w:rsidRPr="00601E29" w:rsidRDefault="00E82A60" w:rsidP="00300A01">
            <w:pPr>
              <w:spacing w:before="0" w:after="0"/>
              <w:rPr>
                <w:sz w:val="10"/>
                <w:szCs w:val="10"/>
                <w:lang w:val="fr-BE"/>
              </w:rPr>
            </w:pPr>
            <w:r w:rsidRPr="00785F4A">
              <w:rPr>
                <w:noProof/>
                <w:sz w:val="10"/>
                <w:szCs w:val="10"/>
                <w:lang w:val="fr-BE"/>
              </w:rPr>
              <w:t>Liczba</w:t>
            </w:r>
            <w:r w:rsidR="00CE4603">
              <w:rPr>
                <w:sz w:val="10"/>
                <w:szCs w:val="10"/>
                <w:lang w:val="fr-BE"/>
              </w:rPr>
              <w:t xml:space="preserve"> </w:t>
            </w:r>
            <w:r w:rsidR="00CE4603">
              <w:rPr>
                <w:noProof/>
                <w:sz w:val="10"/>
                <w:szCs w:val="10"/>
                <w:lang w:val="fr-BE"/>
              </w:rPr>
              <w:t>(Skala 0-5)</w:t>
            </w:r>
          </w:p>
        </w:tc>
        <w:tc>
          <w:tcPr>
            <w:tcW w:w="0" w:type="auto"/>
            <w:shd w:val="clear" w:color="auto" w:fill="auto"/>
          </w:tcPr>
          <w:p w14:paraId="223BFDE0" w14:textId="77777777" w:rsidR="008C5CFA" w:rsidRPr="00601E29" w:rsidRDefault="00E82A60" w:rsidP="00300A01">
            <w:pPr>
              <w:spacing w:before="0" w:after="0"/>
              <w:rPr>
                <w:sz w:val="10"/>
                <w:szCs w:val="10"/>
                <w:lang w:val="fr-BE"/>
              </w:rPr>
            </w:pPr>
            <w:r w:rsidRPr="00601E29">
              <w:rPr>
                <w:sz w:val="10"/>
                <w:szCs w:val="10"/>
                <w:lang w:val="fr-BE"/>
              </w:rPr>
              <w:t xml:space="preserve"> </w:t>
            </w:r>
          </w:p>
        </w:tc>
        <w:tc>
          <w:tcPr>
            <w:tcW w:w="0" w:type="auto"/>
            <w:shd w:val="clear" w:color="auto" w:fill="auto"/>
          </w:tcPr>
          <w:p w14:paraId="72874719" w14:textId="77777777" w:rsidR="008C5CFA" w:rsidRPr="00601E29" w:rsidRDefault="00E82A60" w:rsidP="00300A01">
            <w:pPr>
              <w:spacing w:before="0" w:after="0"/>
              <w:jc w:val="center"/>
              <w:rPr>
                <w:sz w:val="10"/>
                <w:szCs w:val="10"/>
                <w:lang w:val="fr-BE"/>
              </w:rPr>
            </w:pPr>
            <w:r w:rsidRPr="00601E29">
              <w:rPr>
                <w:noProof/>
                <w:sz w:val="10"/>
                <w:szCs w:val="10"/>
                <w:lang w:val="fr-BE"/>
              </w:rPr>
              <w:t>Liczba</w:t>
            </w:r>
          </w:p>
        </w:tc>
        <w:tc>
          <w:tcPr>
            <w:tcW w:w="0" w:type="auto"/>
            <w:shd w:val="clear" w:color="auto" w:fill="auto"/>
          </w:tcPr>
          <w:p w14:paraId="4ABF8A49" w14:textId="77777777" w:rsidR="008C5CFA" w:rsidRPr="00601E29" w:rsidRDefault="00E82A60" w:rsidP="00300A01">
            <w:pPr>
              <w:spacing w:before="0" w:after="0"/>
              <w:jc w:val="right"/>
              <w:rPr>
                <w:sz w:val="10"/>
                <w:szCs w:val="10"/>
                <w:lang w:val="fr-BE"/>
              </w:rPr>
            </w:pPr>
            <w:r w:rsidRPr="00601E29">
              <w:rPr>
                <w:noProof/>
                <w:sz w:val="10"/>
                <w:szCs w:val="10"/>
                <w:lang w:val="fr-BE"/>
              </w:rPr>
              <w:t>4,20</w:t>
            </w:r>
          </w:p>
        </w:tc>
        <w:tc>
          <w:tcPr>
            <w:tcW w:w="0" w:type="auto"/>
            <w:shd w:val="clear" w:color="auto" w:fill="auto"/>
          </w:tcPr>
          <w:p w14:paraId="3128E444" w14:textId="77777777" w:rsidR="008C5CFA" w:rsidRPr="00601E29" w:rsidRDefault="008C5CFA" w:rsidP="00300A01">
            <w:pPr>
              <w:spacing w:before="0" w:after="0"/>
              <w:jc w:val="right"/>
              <w:rPr>
                <w:sz w:val="10"/>
                <w:szCs w:val="10"/>
                <w:lang w:val="fr-BE"/>
              </w:rPr>
            </w:pPr>
          </w:p>
        </w:tc>
        <w:tc>
          <w:tcPr>
            <w:tcW w:w="0" w:type="auto"/>
            <w:shd w:val="clear" w:color="auto" w:fill="auto"/>
          </w:tcPr>
          <w:p w14:paraId="08C9E511" w14:textId="77777777" w:rsidR="008C5CFA" w:rsidRPr="00601E29" w:rsidRDefault="008C5CFA" w:rsidP="00300A01">
            <w:pPr>
              <w:spacing w:before="0" w:after="0"/>
              <w:jc w:val="right"/>
              <w:rPr>
                <w:sz w:val="10"/>
                <w:szCs w:val="10"/>
                <w:lang w:val="fr-BE"/>
              </w:rPr>
            </w:pPr>
          </w:p>
        </w:tc>
        <w:tc>
          <w:tcPr>
            <w:tcW w:w="0" w:type="auto"/>
            <w:shd w:val="clear" w:color="auto" w:fill="auto"/>
          </w:tcPr>
          <w:p w14:paraId="446560EB" w14:textId="77777777" w:rsidR="008C5CFA" w:rsidRPr="00601E29" w:rsidRDefault="00E82A60" w:rsidP="00300A01">
            <w:pPr>
              <w:spacing w:before="0" w:after="0"/>
              <w:jc w:val="right"/>
              <w:rPr>
                <w:sz w:val="10"/>
                <w:szCs w:val="10"/>
                <w:lang w:val="fr-BE"/>
              </w:rPr>
            </w:pPr>
            <w:r w:rsidRPr="00601E29">
              <w:rPr>
                <w:noProof/>
                <w:sz w:val="10"/>
                <w:szCs w:val="10"/>
                <w:lang w:val="fr-BE"/>
              </w:rPr>
              <w:t>2,89%</w:t>
            </w:r>
          </w:p>
        </w:tc>
        <w:tc>
          <w:tcPr>
            <w:tcW w:w="0" w:type="auto"/>
            <w:shd w:val="clear" w:color="auto" w:fill="auto"/>
          </w:tcPr>
          <w:p w14:paraId="0043E381" w14:textId="77777777" w:rsidR="008C5CFA" w:rsidRPr="00601E29" w:rsidRDefault="008C5CFA" w:rsidP="00300A01">
            <w:pPr>
              <w:spacing w:before="0" w:after="0"/>
              <w:jc w:val="right"/>
              <w:rPr>
                <w:sz w:val="10"/>
                <w:szCs w:val="10"/>
                <w:lang w:val="fr-BE"/>
              </w:rPr>
            </w:pPr>
          </w:p>
        </w:tc>
        <w:tc>
          <w:tcPr>
            <w:tcW w:w="0" w:type="auto"/>
            <w:shd w:val="clear" w:color="auto" w:fill="auto"/>
          </w:tcPr>
          <w:p w14:paraId="477B6DF5" w14:textId="77777777" w:rsidR="008C5CFA" w:rsidRPr="00601E29" w:rsidRDefault="008C5CFA" w:rsidP="00300A01">
            <w:pPr>
              <w:spacing w:before="0" w:after="0"/>
              <w:jc w:val="right"/>
              <w:rPr>
                <w:sz w:val="10"/>
                <w:szCs w:val="10"/>
                <w:lang w:val="fr-BE"/>
              </w:rPr>
            </w:pPr>
          </w:p>
        </w:tc>
        <w:tc>
          <w:tcPr>
            <w:tcW w:w="0" w:type="auto"/>
            <w:shd w:val="clear" w:color="auto" w:fill="auto"/>
          </w:tcPr>
          <w:p w14:paraId="65361C48" w14:textId="77777777" w:rsidR="008C5CFA" w:rsidRPr="00601E29" w:rsidRDefault="00E82A60" w:rsidP="00300A01">
            <w:pPr>
              <w:spacing w:before="0" w:after="0"/>
              <w:jc w:val="right"/>
              <w:rPr>
                <w:sz w:val="10"/>
                <w:szCs w:val="10"/>
                <w:lang w:val="fr-BE"/>
              </w:rPr>
            </w:pPr>
            <w:r w:rsidRPr="00601E29">
              <w:rPr>
                <w:noProof/>
                <w:sz w:val="10"/>
                <w:szCs w:val="10"/>
                <w:lang w:val="fr-BE"/>
              </w:rPr>
              <w:t>12,14</w:t>
            </w:r>
          </w:p>
        </w:tc>
        <w:tc>
          <w:tcPr>
            <w:tcW w:w="0" w:type="auto"/>
            <w:shd w:val="clear" w:color="auto" w:fill="auto"/>
          </w:tcPr>
          <w:p w14:paraId="67E7DAEF"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shd w:val="clear" w:color="auto" w:fill="auto"/>
          </w:tcPr>
          <w:p w14:paraId="44C6E86D"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1DCF8321"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shd w:val="clear" w:color="auto" w:fill="auto"/>
          </w:tcPr>
          <w:p w14:paraId="3CE6412F"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shd w:val="clear" w:color="auto" w:fill="auto"/>
          </w:tcPr>
          <w:p w14:paraId="685F8AC1"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345AF06C" w14:textId="77777777" w:rsidR="008C5CFA" w:rsidRPr="00601E29" w:rsidRDefault="008C5CFA" w:rsidP="00300A01">
            <w:pPr>
              <w:spacing w:before="0" w:after="0"/>
              <w:jc w:val="right"/>
              <w:rPr>
                <w:sz w:val="10"/>
                <w:szCs w:val="10"/>
                <w:lang w:val="fr-BE"/>
              </w:rPr>
            </w:pPr>
          </w:p>
        </w:tc>
      </w:tr>
    </w:tbl>
    <w:p w14:paraId="0E948D1A"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73"/>
        <w:gridCol w:w="3530"/>
        <w:gridCol w:w="1269"/>
        <w:gridCol w:w="636"/>
        <w:gridCol w:w="800"/>
        <w:gridCol w:w="643"/>
        <w:gridCol w:w="636"/>
        <w:gridCol w:w="800"/>
        <w:gridCol w:w="643"/>
        <w:gridCol w:w="848"/>
        <w:gridCol w:w="636"/>
        <w:gridCol w:w="800"/>
        <w:gridCol w:w="643"/>
        <w:gridCol w:w="636"/>
        <w:gridCol w:w="800"/>
        <w:gridCol w:w="643"/>
        <w:gridCol w:w="848"/>
      </w:tblGrid>
      <w:tr w:rsidR="006B2EC1" w14:paraId="7FC1F41A" w14:textId="77777777" w:rsidTr="0047688D">
        <w:trPr>
          <w:tblHeader/>
        </w:trPr>
        <w:tc>
          <w:tcPr>
            <w:tcW w:w="0" w:type="auto"/>
            <w:shd w:val="clear" w:color="auto" w:fill="auto"/>
          </w:tcPr>
          <w:p w14:paraId="73F5CA47" w14:textId="77777777" w:rsidR="008C5CFA" w:rsidRPr="00601E29" w:rsidRDefault="00E82A60" w:rsidP="00300A01">
            <w:pPr>
              <w:spacing w:before="0" w:after="0"/>
              <w:rPr>
                <w:b/>
                <w:sz w:val="10"/>
                <w:szCs w:val="10"/>
                <w:lang w:val="fr-BE"/>
              </w:rPr>
            </w:pPr>
            <w:r w:rsidRPr="00601E29">
              <w:rPr>
                <w:b/>
                <w:noProof/>
                <w:sz w:val="10"/>
                <w:szCs w:val="10"/>
                <w:lang w:val="fr-BE"/>
              </w:rPr>
              <w:t>ID</w:t>
            </w:r>
          </w:p>
        </w:tc>
        <w:tc>
          <w:tcPr>
            <w:tcW w:w="0" w:type="auto"/>
            <w:shd w:val="clear" w:color="auto" w:fill="auto"/>
          </w:tcPr>
          <w:p w14:paraId="375DE999" w14:textId="77777777" w:rsidR="008C5CFA" w:rsidRPr="00601E29" w:rsidRDefault="00E82A60" w:rsidP="00300A01">
            <w:pPr>
              <w:spacing w:before="0" w:after="0"/>
              <w:rPr>
                <w:b/>
                <w:sz w:val="10"/>
                <w:szCs w:val="10"/>
                <w:lang w:val="fr-BE"/>
              </w:rPr>
            </w:pPr>
            <w:r w:rsidRPr="00601E29">
              <w:rPr>
                <w:b/>
                <w:noProof/>
                <w:sz w:val="10"/>
                <w:szCs w:val="10"/>
                <w:lang w:val="fr-BE"/>
              </w:rPr>
              <w:t>Wskaźnik</w:t>
            </w:r>
          </w:p>
        </w:tc>
        <w:tc>
          <w:tcPr>
            <w:tcW w:w="0" w:type="auto"/>
            <w:shd w:val="clear" w:color="auto" w:fill="auto"/>
          </w:tcPr>
          <w:p w14:paraId="28D76A53" w14:textId="77777777" w:rsidR="008C5CFA" w:rsidRPr="00601E29" w:rsidRDefault="00E82A60" w:rsidP="00300A01">
            <w:pPr>
              <w:spacing w:before="0" w:after="0"/>
              <w:rPr>
                <w:b/>
                <w:sz w:val="10"/>
                <w:szCs w:val="10"/>
                <w:lang w:val="fr-BE"/>
              </w:rPr>
            </w:pPr>
            <w:r w:rsidRPr="00601E29">
              <w:rPr>
                <w:b/>
                <w:noProof/>
                <w:sz w:val="10"/>
                <w:szCs w:val="10"/>
                <w:lang w:val="fr-BE"/>
              </w:rPr>
              <w:t>Kategoria regionu</w:t>
            </w:r>
          </w:p>
        </w:tc>
        <w:tc>
          <w:tcPr>
            <w:tcW w:w="0" w:type="auto"/>
            <w:gridSpan w:val="7"/>
          </w:tcPr>
          <w:p w14:paraId="6B16C086" w14:textId="77777777" w:rsidR="008C5CFA" w:rsidRPr="00601E29" w:rsidRDefault="00E82A60" w:rsidP="00300A01">
            <w:pPr>
              <w:spacing w:before="0" w:after="0"/>
              <w:jc w:val="center"/>
              <w:rPr>
                <w:b/>
                <w:sz w:val="10"/>
                <w:szCs w:val="10"/>
                <w:lang w:val="fr-BE"/>
              </w:rPr>
            </w:pPr>
            <w:r>
              <w:rPr>
                <w:b/>
                <w:sz w:val="10"/>
                <w:szCs w:val="10"/>
                <w:lang w:val="fr-BE"/>
              </w:rPr>
              <w:t>2018</w:t>
            </w:r>
          </w:p>
        </w:tc>
        <w:tc>
          <w:tcPr>
            <w:tcW w:w="0" w:type="auto"/>
            <w:gridSpan w:val="7"/>
          </w:tcPr>
          <w:p w14:paraId="62E4D4BB" w14:textId="77777777" w:rsidR="008C5CFA" w:rsidRPr="00601E29" w:rsidRDefault="00E82A60" w:rsidP="00300A01">
            <w:pPr>
              <w:spacing w:before="0" w:after="0"/>
              <w:jc w:val="center"/>
              <w:rPr>
                <w:b/>
                <w:sz w:val="10"/>
                <w:szCs w:val="10"/>
                <w:lang w:val="fr-BE"/>
              </w:rPr>
            </w:pPr>
            <w:r>
              <w:rPr>
                <w:b/>
                <w:sz w:val="10"/>
                <w:szCs w:val="10"/>
                <w:lang w:val="fr-BE"/>
              </w:rPr>
              <w:t>2017</w:t>
            </w:r>
          </w:p>
        </w:tc>
      </w:tr>
      <w:tr w:rsidR="006B2EC1" w14:paraId="1B3BA9A7" w14:textId="77777777" w:rsidTr="0047688D">
        <w:trPr>
          <w:tblHeader/>
        </w:trPr>
        <w:tc>
          <w:tcPr>
            <w:tcW w:w="0" w:type="auto"/>
            <w:shd w:val="clear" w:color="auto" w:fill="auto"/>
          </w:tcPr>
          <w:p w14:paraId="4EBE9868" w14:textId="77777777" w:rsidR="008C5CFA" w:rsidRPr="00601E29" w:rsidRDefault="008C5CFA" w:rsidP="00300A01">
            <w:pPr>
              <w:spacing w:before="0" w:after="0"/>
              <w:rPr>
                <w:b/>
                <w:sz w:val="10"/>
                <w:szCs w:val="10"/>
                <w:lang w:val="fr-BE"/>
              </w:rPr>
            </w:pPr>
          </w:p>
        </w:tc>
        <w:tc>
          <w:tcPr>
            <w:tcW w:w="0" w:type="auto"/>
            <w:shd w:val="clear" w:color="auto" w:fill="auto"/>
          </w:tcPr>
          <w:p w14:paraId="00E9BD81" w14:textId="77777777" w:rsidR="008C5CFA" w:rsidRPr="00601E29" w:rsidRDefault="008C5CFA" w:rsidP="00300A01">
            <w:pPr>
              <w:spacing w:before="0" w:after="0"/>
              <w:rPr>
                <w:b/>
                <w:sz w:val="10"/>
                <w:szCs w:val="10"/>
                <w:lang w:val="fr-BE"/>
              </w:rPr>
            </w:pPr>
          </w:p>
        </w:tc>
        <w:tc>
          <w:tcPr>
            <w:tcW w:w="0" w:type="auto"/>
            <w:shd w:val="clear" w:color="auto" w:fill="auto"/>
          </w:tcPr>
          <w:p w14:paraId="2217AAAC" w14:textId="77777777" w:rsidR="008C5CFA" w:rsidRPr="00601E29" w:rsidRDefault="008C5CFA" w:rsidP="00300A01">
            <w:pPr>
              <w:spacing w:before="0" w:after="0"/>
              <w:rPr>
                <w:b/>
                <w:sz w:val="10"/>
                <w:szCs w:val="10"/>
                <w:lang w:val="fr-BE"/>
              </w:rPr>
            </w:pPr>
          </w:p>
        </w:tc>
        <w:tc>
          <w:tcPr>
            <w:tcW w:w="0" w:type="auto"/>
            <w:gridSpan w:val="3"/>
          </w:tcPr>
          <w:p w14:paraId="00FB53CB" w14:textId="77777777" w:rsidR="008C5CFA" w:rsidRPr="00601E29" w:rsidRDefault="00E82A60" w:rsidP="00300A01">
            <w:pPr>
              <w:spacing w:before="0" w:after="0"/>
              <w:jc w:val="center"/>
              <w:rPr>
                <w:b/>
                <w:sz w:val="10"/>
                <w:szCs w:val="10"/>
                <w:lang w:val="fr-BE"/>
              </w:rPr>
            </w:pPr>
            <w:r w:rsidRPr="00601E29">
              <w:rPr>
                <w:b/>
                <w:noProof/>
                <w:sz w:val="10"/>
                <w:szCs w:val="10"/>
                <w:lang w:val="fr-BE"/>
              </w:rPr>
              <w:t>Łącznie</w:t>
            </w:r>
          </w:p>
        </w:tc>
        <w:tc>
          <w:tcPr>
            <w:tcW w:w="0" w:type="auto"/>
            <w:gridSpan w:val="3"/>
          </w:tcPr>
          <w:p w14:paraId="44CA406A" w14:textId="77777777" w:rsidR="008C5CFA" w:rsidRPr="00601E29" w:rsidRDefault="00E82A60" w:rsidP="00300A01">
            <w:pPr>
              <w:spacing w:before="0" w:after="0"/>
              <w:jc w:val="center"/>
              <w:rPr>
                <w:b/>
                <w:sz w:val="10"/>
                <w:szCs w:val="10"/>
                <w:lang w:val="fr-BE"/>
              </w:rPr>
            </w:pPr>
            <w:r w:rsidRPr="00601E29">
              <w:rPr>
                <w:b/>
                <w:noProof/>
                <w:sz w:val="10"/>
                <w:szCs w:val="10"/>
                <w:lang w:val="fr-BE"/>
              </w:rPr>
              <w:t>Łącznie w roku</w:t>
            </w:r>
          </w:p>
        </w:tc>
        <w:tc>
          <w:tcPr>
            <w:tcW w:w="0" w:type="auto"/>
          </w:tcPr>
          <w:p w14:paraId="1E160468" w14:textId="77777777" w:rsidR="008C5CFA" w:rsidRPr="00601E29" w:rsidRDefault="00E82A60" w:rsidP="00300A01">
            <w:pPr>
              <w:spacing w:before="0" w:after="0"/>
              <w:jc w:val="center"/>
              <w:rPr>
                <w:b/>
                <w:sz w:val="10"/>
                <w:szCs w:val="10"/>
                <w:lang w:val="fr-BE"/>
              </w:rPr>
            </w:pPr>
            <w:r w:rsidRPr="00601E29">
              <w:rPr>
                <w:b/>
                <w:noProof/>
                <w:sz w:val="10"/>
                <w:szCs w:val="10"/>
                <w:lang w:val="fr-BE"/>
              </w:rPr>
              <w:t>Jakościowe</w:t>
            </w:r>
          </w:p>
        </w:tc>
        <w:tc>
          <w:tcPr>
            <w:tcW w:w="0" w:type="auto"/>
            <w:gridSpan w:val="3"/>
          </w:tcPr>
          <w:p w14:paraId="4DB3C19A" w14:textId="77777777" w:rsidR="008C5CFA" w:rsidRPr="00601E29" w:rsidRDefault="00E82A60" w:rsidP="00300A01">
            <w:pPr>
              <w:spacing w:before="0" w:after="0"/>
              <w:jc w:val="center"/>
              <w:rPr>
                <w:b/>
                <w:sz w:val="10"/>
                <w:szCs w:val="10"/>
                <w:lang w:val="fr-BE"/>
              </w:rPr>
            </w:pPr>
            <w:r w:rsidRPr="00601E29">
              <w:rPr>
                <w:b/>
                <w:noProof/>
                <w:sz w:val="10"/>
                <w:szCs w:val="10"/>
                <w:lang w:val="fr-BE"/>
              </w:rPr>
              <w:t>Łącznie</w:t>
            </w:r>
          </w:p>
        </w:tc>
        <w:tc>
          <w:tcPr>
            <w:tcW w:w="0" w:type="auto"/>
            <w:gridSpan w:val="3"/>
          </w:tcPr>
          <w:p w14:paraId="04171727" w14:textId="77777777" w:rsidR="008C5CFA" w:rsidRPr="00601E29" w:rsidRDefault="00E82A60" w:rsidP="00300A01">
            <w:pPr>
              <w:spacing w:before="0" w:after="0"/>
              <w:jc w:val="center"/>
              <w:rPr>
                <w:b/>
                <w:sz w:val="10"/>
                <w:szCs w:val="10"/>
                <w:lang w:val="fr-BE"/>
              </w:rPr>
            </w:pPr>
            <w:r w:rsidRPr="00601E29">
              <w:rPr>
                <w:b/>
                <w:noProof/>
                <w:sz w:val="10"/>
                <w:szCs w:val="10"/>
                <w:lang w:val="fr-BE"/>
              </w:rPr>
              <w:t>Łącznie w roku</w:t>
            </w:r>
          </w:p>
        </w:tc>
        <w:tc>
          <w:tcPr>
            <w:tcW w:w="0" w:type="auto"/>
          </w:tcPr>
          <w:p w14:paraId="04DFDD5B" w14:textId="77777777" w:rsidR="008C5CFA" w:rsidRPr="00601E29" w:rsidRDefault="00E82A60" w:rsidP="00300A01">
            <w:pPr>
              <w:spacing w:before="0" w:after="0"/>
              <w:jc w:val="center"/>
              <w:rPr>
                <w:b/>
                <w:sz w:val="10"/>
                <w:szCs w:val="10"/>
                <w:lang w:val="fr-BE"/>
              </w:rPr>
            </w:pPr>
            <w:r w:rsidRPr="00601E29">
              <w:rPr>
                <w:b/>
                <w:noProof/>
                <w:sz w:val="10"/>
                <w:szCs w:val="10"/>
                <w:lang w:val="fr-BE"/>
              </w:rPr>
              <w:t>Jakościowe</w:t>
            </w:r>
          </w:p>
        </w:tc>
      </w:tr>
      <w:tr w:rsidR="006B2EC1" w14:paraId="15E82B16" w14:textId="77777777" w:rsidTr="0047688D">
        <w:trPr>
          <w:tblHeader/>
        </w:trPr>
        <w:tc>
          <w:tcPr>
            <w:tcW w:w="0" w:type="auto"/>
            <w:shd w:val="clear" w:color="auto" w:fill="auto"/>
          </w:tcPr>
          <w:p w14:paraId="5AE82AFB" w14:textId="77777777" w:rsidR="008C5CFA" w:rsidRPr="00601E29" w:rsidRDefault="008C5CFA" w:rsidP="00300A01">
            <w:pPr>
              <w:spacing w:before="0" w:after="0"/>
              <w:rPr>
                <w:b/>
                <w:sz w:val="10"/>
                <w:szCs w:val="10"/>
                <w:lang w:val="fr-BE"/>
              </w:rPr>
            </w:pPr>
          </w:p>
        </w:tc>
        <w:tc>
          <w:tcPr>
            <w:tcW w:w="0" w:type="auto"/>
            <w:shd w:val="clear" w:color="auto" w:fill="auto"/>
          </w:tcPr>
          <w:p w14:paraId="17C5CBAF" w14:textId="77777777" w:rsidR="008C5CFA" w:rsidRPr="00601E29" w:rsidRDefault="008C5CFA" w:rsidP="00300A01">
            <w:pPr>
              <w:spacing w:before="0" w:after="0"/>
              <w:rPr>
                <w:b/>
                <w:sz w:val="10"/>
                <w:szCs w:val="10"/>
                <w:lang w:val="fr-BE"/>
              </w:rPr>
            </w:pPr>
          </w:p>
        </w:tc>
        <w:tc>
          <w:tcPr>
            <w:tcW w:w="0" w:type="auto"/>
            <w:shd w:val="clear" w:color="auto" w:fill="auto"/>
          </w:tcPr>
          <w:p w14:paraId="1A23ACA7" w14:textId="77777777" w:rsidR="008C5CFA" w:rsidRPr="00601E29" w:rsidRDefault="008C5CFA" w:rsidP="00300A01">
            <w:pPr>
              <w:spacing w:before="0" w:after="0"/>
              <w:rPr>
                <w:b/>
                <w:sz w:val="10"/>
                <w:szCs w:val="10"/>
                <w:lang w:val="fr-BE"/>
              </w:rPr>
            </w:pPr>
          </w:p>
        </w:tc>
        <w:tc>
          <w:tcPr>
            <w:tcW w:w="0" w:type="auto"/>
          </w:tcPr>
          <w:p w14:paraId="65A33F5C" w14:textId="77777777" w:rsidR="008C5CFA" w:rsidRPr="00601E29" w:rsidRDefault="00E82A60" w:rsidP="00300A01">
            <w:pPr>
              <w:spacing w:before="0" w:after="0"/>
              <w:jc w:val="center"/>
              <w:rPr>
                <w:b/>
                <w:sz w:val="10"/>
                <w:szCs w:val="10"/>
                <w:lang w:val="fr-BE"/>
              </w:rPr>
            </w:pPr>
            <w:r w:rsidRPr="00601E29">
              <w:rPr>
                <w:b/>
                <w:noProof/>
                <w:sz w:val="10"/>
                <w:szCs w:val="10"/>
                <w:lang w:val="fr-BE"/>
              </w:rPr>
              <w:t>Ogółem</w:t>
            </w:r>
          </w:p>
        </w:tc>
        <w:tc>
          <w:tcPr>
            <w:tcW w:w="0" w:type="auto"/>
          </w:tcPr>
          <w:p w14:paraId="42C28B35" w14:textId="77777777" w:rsidR="008C5CFA" w:rsidRPr="00601E29" w:rsidRDefault="00E82A60" w:rsidP="00300A01">
            <w:pPr>
              <w:spacing w:before="0" w:after="0"/>
              <w:jc w:val="center"/>
              <w:rPr>
                <w:b/>
                <w:sz w:val="10"/>
                <w:szCs w:val="10"/>
                <w:lang w:val="fr-BE"/>
              </w:rPr>
            </w:pPr>
            <w:r w:rsidRPr="00601E29">
              <w:rPr>
                <w:b/>
                <w:noProof/>
                <w:sz w:val="10"/>
                <w:szCs w:val="10"/>
                <w:lang w:val="fr-BE"/>
              </w:rPr>
              <w:t>Mężczyźni</w:t>
            </w:r>
          </w:p>
        </w:tc>
        <w:tc>
          <w:tcPr>
            <w:tcW w:w="0" w:type="auto"/>
          </w:tcPr>
          <w:p w14:paraId="3C63417A" w14:textId="77777777" w:rsidR="008C5CFA" w:rsidRPr="00601E29" w:rsidRDefault="00E82A60" w:rsidP="00300A01">
            <w:pPr>
              <w:spacing w:before="0" w:after="0"/>
              <w:jc w:val="center"/>
              <w:rPr>
                <w:b/>
                <w:sz w:val="10"/>
                <w:szCs w:val="10"/>
                <w:lang w:val="fr-BE"/>
              </w:rPr>
            </w:pPr>
            <w:r w:rsidRPr="00601E29">
              <w:rPr>
                <w:b/>
                <w:noProof/>
                <w:sz w:val="10"/>
                <w:szCs w:val="10"/>
                <w:lang w:val="fr-BE"/>
              </w:rPr>
              <w:t>Kobiety</w:t>
            </w:r>
          </w:p>
        </w:tc>
        <w:tc>
          <w:tcPr>
            <w:tcW w:w="0" w:type="auto"/>
          </w:tcPr>
          <w:p w14:paraId="46D3BB43" w14:textId="77777777" w:rsidR="008C5CFA" w:rsidRPr="00601E29" w:rsidRDefault="00E82A60" w:rsidP="00300A01">
            <w:pPr>
              <w:spacing w:before="0" w:after="0"/>
              <w:jc w:val="center"/>
              <w:rPr>
                <w:b/>
                <w:sz w:val="10"/>
                <w:szCs w:val="10"/>
                <w:lang w:val="fr-BE"/>
              </w:rPr>
            </w:pPr>
            <w:r w:rsidRPr="00601E29">
              <w:rPr>
                <w:b/>
                <w:noProof/>
                <w:sz w:val="10"/>
                <w:szCs w:val="10"/>
                <w:lang w:val="fr-BE"/>
              </w:rPr>
              <w:t>Ogółem</w:t>
            </w:r>
          </w:p>
        </w:tc>
        <w:tc>
          <w:tcPr>
            <w:tcW w:w="0" w:type="auto"/>
          </w:tcPr>
          <w:p w14:paraId="43C3E04B" w14:textId="77777777" w:rsidR="008C5CFA" w:rsidRPr="00601E29" w:rsidRDefault="00E82A60" w:rsidP="00300A01">
            <w:pPr>
              <w:spacing w:before="0" w:after="0"/>
              <w:jc w:val="center"/>
              <w:rPr>
                <w:b/>
                <w:sz w:val="10"/>
                <w:szCs w:val="10"/>
                <w:lang w:val="fr-BE"/>
              </w:rPr>
            </w:pPr>
            <w:r w:rsidRPr="00601E29">
              <w:rPr>
                <w:b/>
                <w:noProof/>
                <w:sz w:val="10"/>
                <w:szCs w:val="10"/>
                <w:lang w:val="fr-BE"/>
              </w:rPr>
              <w:t>Mężczyźni</w:t>
            </w:r>
          </w:p>
        </w:tc>
        <w:tc>
          <w:tcPr>
            <w:tcW w:w="0" w:type="auto"/>
          </w:tcPr>
          <w:p w14:paraId="4C8066C0" w14:textId="77777777" w:rsidR="008C5CFA" w:rsidRPr="00601E29" w:rsidRDefault="00E82A60" w:rsidP="00300A01">
            <w:pPr>
              <w:spacing w:before="0" w:after="0"/>
              <w:jc w:val="center"/>
              <w:rPr>
                <w:b/>
                <w:sz w:val="10"/>
                <w:szCs w:val="10"/>
                <w:lang w:val="fr-BE"/>
              </w:rPr>
            </w:pPr>
            <w:r w:rsidRPr="00601E29">
              <w:rPr>
                <w:b/>
                <w:noProof/>
                <w:sz w:val="10"/>
                <w:szCs w:val="10"/>
                <w:lang w:val="fr-BE"/>
              </w:rPr>
              <w:t>Kobiety</w:t>
            </w:r>
          </w:p>
        </w:tc>
        <w:tc>
          <w:tcPr>
            <w:tcW w:w="0" w:type="auto"/>
          </w:tcPr>
          <w:p w14:paraId="74F2B4DB" w14:textId="77777777" w:rsidR="008C5CFA" w:rsidRPr="00601E29" w:rsidRDefault="008C5CFA" w:rsidP="00300A01">
            <w:pPr>
              <w:spacing w:before="0" w:after="0"/>
              <w:jc w:val="center"/>
              <w:rPr>
                <w:b/>
                <w:sz w:val="10"/>
                <w:szCs w:val="10"/>
                <w:lang w:val="fr-BE"/>
              </w:rPr>
            </w:pPr>
          </w:p>
        </w:tc>
        <w:tc>
          <w:tcPr>
            <w:tcW w:w="0" w:type="auto"/>
          </w:tcPr>
          <w:p w14:paraId="1E111EFC" w14:textId="77777777" w:rsidR="008C5CFA" w:rsidRPr="00601E29" w:rsidRDefault="00E82A60" w:rsidP="00300A01">
            <w:pPr>
              <w:spacing w:before="0" w:after="0"/>
              <w:jc w:val="center"/>
              <w:rPr>
                <w:b/>
                <w:sz w:val="10"/>
                <w:szCs w:val="10"/>
                <w:lang w:val="fr-BE"/>
              </w:rPr>
            </w:pPr>
            <w:r w:rsidRPr="00601E29">
              <w:rPr>
                <w:b/>
                <w:noProof/>
                <w:sz w:val="10"/>
                <w:szCs w:val="10"/>
                <w:lang w:val="fr-BE"/>
              </w:rPr>
              <w:t>Ogółem</w:t>
            </w:r>
          </w:p>
        </w:tc>
        <w:tc>
          <w:tcPr>
            <w:tcW w:w="0" w:type="auto"/>
          </w:tcPr>
          <w:p w14:paraId="11DE72E8" w14:textId="77777777" w:rsidR="008C5CFA" w:rsidRPr="00601E29" w:rsidRDefault="00E82A60" w:rsidP="00300A01">
            <w:pPr>
              <w:spacing w:before="0" w:after="0"/>
              <w:jc w:val="center"/>
              <w:rPr>
                <w:b/>
                <w:sz w:val="10"/>
                <w:szCs w:val="10"/>
                <w:lang w:val="fr-BE"/>
              </w:rPr>
            </w:pPr>
            <w:r w:rsidRPr="00601E29">
              <w:rPr>
                <w:b/>
                <w:noProof/>
                <w:sz w:val="10"/>
                <w:szCs w:val="10"/>
                <w:lang w:val="fr-BE"/>
              </w:rPr>
              <w:t>Mężczyźni</w:t>
            </w:r>
          </w:p>
        </w:tc>
        <w:tc>
          <w:tcPr>
            <w:tcW w:w="0" w:type="auto"/>
          </w:tcPr>
          <w:p w14:paraId="1DEADB17" w14:textId="77777777" w:rsidR="008C5CFA" w:rsidRPr="00601E29" w:rsidRDefault="00E82A60" w:rsidP="00300A01">
            <w:pPr>
              <w:spacing w:before="0" w:after="0"/>
              <w:jc w:val="center"/>
              <w:rPr>
                <w:b/>
                <w:sz w:val="10"/>
                <w:szCs w:val="10"/>
                <w:lang w:val="fr-BE"/>
              </w:rPr>
            </w:pPr>
            <w:r w:rsidRPr="00601E29">
              <w:rPr>
                <w:b/>
                <w:noProof/>
                <w:sz w:val="10"/>
                <w:szCs w:val="10"/>
                <w:lang w:val="fr-BE"/>
              </w:rPr>
              <w:t>Kobiety</w:t>
            </w:r>
          </w:p>
        </w:tc>
        <w:tc>
          <w:tcPr>
            <w:tcW w:w="0" w:type="auto"/>
          </w:tcPr>
          <w:p w14:paraId="55E3CCA8" w14:textId="77777777" w:rsidR="008C5CFA" w:rsidRPr="00601E29" w:rsidRDefault="00E82A60" w:rsidP="00300A01">
            <w:pPr>
              <w:spacing w:before="0" w:after="0"/>
              <w:jc w:val="center"/>
              <w:rPr>
                <w:b/>
                <w:sz w:val="10"/>
                <w:szCs w:val="10"/>
                <w:lang w:val="fr-BE"/>
              </w:rPr>
            </w:pPr>
            <w:r w:rsidRPr="00601E29">
              <w:rPr>
                <w:b/>
                <w:noProof/>
                <w:sz w:val="10"/>
                <w:szCs w:val="10"/>
                <w:lang w:val="fr-BE"/>
              </w:rPr>
              <w:t>Ogółem</w:t>
            </w:r>
          </w:p>
        </w:tc>
        <w:tc>
          <w:tcPr>
            <w:tcW w:w="0" w:type="auto"/>
          </w:tcPr>
          <w:p w14:paraId="1F2F37ED" w14:textId="77777777" w:rsidR="008C5CFA" w:rsidRPr="00601E29" w:rsidRDefault="00E82A60" w:rsidP="00300A01">
            <w:pPr>
              <w:spacing w:before="0" w:after="0"/>
              <w:jc w:val="center"/>
              <w:rPr>
                <w:b/>
                <w:sz w:val="10"/>
                <w:szCs w:val="10"/>
                <w:lang w:val="fr-BE"/>
              </w:rPr>
            </w:pPr>
            <w:r w:rsidRPr="00601E29">
              <w:rPr>
                <w:b/>
                <w:noProof/>
                <w:sz w:val="10"/>
                <w:szCs w:val="10"/>
                <w:lang w:val="fr-BE"/>
              </w:rPr>
              <w:t>Mężczyźni</w:t>
            </w:r>
          </w:p>
        </w:tc>
        <w:tc>
          <w:tcPr>
            <w:tcW w:w="0" w:type="auto"/>
          </w:tcPr>
          <w:p w14:paraId="71815257" w14:textId="77777777" w:rsidR="008C5CFA" w:rsidRPr="00601E29" w:rsidRDefault="00E82A60" w:rsidP="00300A01">
            <w:pPr>
              <w:spacing w:before="0" w:after="0"/>
              <w:jc w:val="center"/>
              <w:rPr>
                <w:b/>
                <w:sz w:val="10"/>
                <w:szCs w:val="10"/>
                <w:lang w:val="fr-BE"/>
              </w:rPr>
            </w:pPr>
            <w:r w:rsidRPr="00601E29">
              <w:rPr>
                <w:b/>
                <w:noProof/>
                <w:sz w:val="10"/>
                <w:szCs w:val="10"/>
                <w:lang w:val="fr-BE"/>
              </w:rPr>
              <w:t>Kobiety</w:t>
            </w:r>
          </w:p>
        </w:tc>
        <w:tc>
          <w:tcPr>
            <w:tcW w:w="0" w:type="auto"/>
          </w:tcPr>
          <w:p w14:paraId="0940CC3E" w14:textId="77777777" w:rsidR="008C5CFA" w:rsidRPr="00601E29" w:rsidRDefault="008C5CFA" w:rsidP="00300A01">
            <w:pPr>
              <w:spacing w:before="0" w:after="0"/>
              <w:jc w:val="center"/>
              <w:rPr>
                <w:b/>
                <w:sz w:val="10"/>
                <w:szCs w:val="10"/>
                <w:lang w:val="fr-BE"/>
              </w:rPr>
            </w:pPr>
          </w:p>
        </w:tc>
      </w:tr>
      <w:tr w:rsidR="006B2EC1" w14:paraId="4FFA8D59" w14:textId="77777777" w:rsidTr="0047688D">
        <w:tc>
          <w:tcPr>
            <w:tcW w:w="0" w:type="auto"/>
            <w:shd w:val="clear" w:color="auto" w:fill="auto"/>
          </w:tcPr>
          <w:p w14:paraId="06C9A630" w14:textId="77777777" w:rsidR="008C5CFA" w:rsidRPr="00601E29" w:rsidRDefault="00E82A60" w:rsidP="00300A01">
            <w:pPr>
              <w:spacing w:before="0" w:after="0"/>
              <w:rPr>
                <w:sz w:val="10"/>
                <w:szCs w:val="10"/>
                <w:lang w:val="fr-BE"/>
              </w:rPr>
            </w:pPr>
            <w:r w:rsidRPr="00601E29">
              <w:rPr>
                <w:noProof/>
                <w:sz w:val="10"/>
                <w:szCs w:val="10"/>
                <w:lang w:val="fr-BE"/>
              </w:rPr>
              <w:t>032</w:t>
            </w:r>
          </w:p>
        </w:tc>
        <w:tc>
          <w:tcPr>
            <w:tcW w:w="0" w:type="auto"/>
            <w:shd w:val="clear" w:color="auto" w:fill="auto"/>
          </w:tcPr>
          <w:p w14:paraId="00F945F3" w14:textId="77777777" w:rsidR="008C5CFA" w:rsidRPr="00601E29" w:rsidRDefault="00E82A60" w:rsidP="00300A01">
            <w:pPr>
              <w:spacing w:before="0" w:after="0"/>
              <w:rPr>
                <w:sz w:val="10"/>
                <w:szCs w:val="10"/>
                <w:lang w:val="fr-BE"/>
              </w:rPr>
            </w:pPr>
            <w:r w:rsidRPr="00601E29">
              <w:rPr>
                <w:noProof/>
                <w:sz w:val="10"/>
                <w:szCs w:val="10"/>
                <w:lang w:val="fr-BE"/>
              </w:rPr>
              <w:t>Ocena przydatności form szkoleniowych dla beneficjentów</w:t>
            </w:r>
          </w:p>
        </w:tc>
        <w:tc>
          <w:tcPr>
            <w:tcW w:w="0" w:type="auto"/>
            <w:shd w:val="clear" w:color="auto" w:fill="auto"/>
          </w:tcPr>
          <w:p w14:paraId="75FD2BD4" w14:textId="77777777" w:rsidR="008C5CFA" w:rsidRPr="00601E29" w:rsidRDefault="008C5CFA" w:rsidP="00300A01">
            <w:pPr>
              <w:spacing w:before="0" w:after="0"/>
              <w:rPr>
                <w:sz w:val="10"/>
                <w:szCs w:val="10"/>
                <w:lang w:val="fr-BE"/>
              </w:rPr>
            </w:pPr>
          </w:p>
        </w:tc>
        <w:tc>
          <w:tcPr>
            <w:tcW w:w="0" w:type="auto"/>
          </w:tcPr>
          <w:p w14:paraId="0C8758D5" w14:textId="77777777" w:rsidR="008C5CFA" w:rsidRPr="00601E29" w:rsidRDefault="00E82A60" w:rsidP="00300A01">
            <w:pPr>
              <w:spacing w:before="0" w:after="0"/>
              <w:jc w:val="right"/>
              <w:rPr>
                <w:sz w:val="10"/>
                <w:szCs w:val="10"/>
                <w:lang w:val="fr-BE"/>
              </w:rPr>
            </w:pPr>
            <w:r w:rsidRPr="00601E29">
              <w:rPr>
                <w:noProof/>
                <w:sz w:val="10"/>
                <w:szCs w:val="10"/>
                <w:lang w:val="fr-BE"/>
              </w:rPr>
              <w:t>12,14</w:t>
            </w:r>
          </w:p>
        </w:tc>
        <w:tc>
          <w:tcPr>
            <w:tcW w:w="0" w:type="auto"/>
          </w:tcPr>
          <w:p w14:paraId="3F67A94A"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06D6416C"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64986EED" w14:textId="77777777" w:rsidR="008C5CFA" w:rsidRPr="00601E29" w:rsidRDefault="00E82A60" w:rsidP="00300A01">
            <w:pPr>
              <w:spacing w:before="0" w:after="0"/>
              <w:jc w:val="right"/>
              <w:rPr>
                <w:sz w:val="10"/>
                <w:szCs w:val="10"/>
                <w:lang w:val="fr-BE"/>
              </w:rPr>
            </w:pPr>
            <w:r w:rsidRPr="00601E29">
              <w:rPr>
                <w:noProof/>
                <w:sz w:val="10"/>
                <w:szCs w:val="10"/>
                <w:lang w:val="fr-BE"/>
              </w:rPr>
              <w:t>4,47</w:t>
            </w:r>
          </w:p>
        </w:tc>
        <w:tc>
          <w:tcPr>
            <w:tcW w:w="0" w:type="auto"/>
          </w:tcPr>
          <w:p w14:paraId="46E457C2" w14:textId="77777777" w:rsidR="008C5CFA" w:rsidRPr="00601E29" w:rsidRDefault="008C5CFA" w:rsidP="00300A01">
            <w:pPr>
              <w:spacing w:before="0" w:after="0"/>
              <w:jc w:val="right"/>
              <w:rPr>
                <w:sz w:val="10"/>
                <w:szCs w:val="10"/>
                <w:lang w:val="fr-BE"/>
              </w:rPr>
            </w:pPr>
          </w:p>
        </w:tc>
        <w:tc>
          <w:tcPr>
            <w:tcW w:w="0" w:type="auto"/>
          </w:tcPr>
          <w:p w14:paraId="41078944" w14:textId="77777777" w:rsidR="008C5CFA" w:rsidRPr="00601E29" w:rsidRDefault="008C5CFA" w:rsidP="00300A01">
            <w:pPr>
              <w:spacing w:before="0" w:after="0"/>
              <w:jc w:val="right"/>
              <w:rPr>
                <w:sz w:val="10"/>
                <w:szCs w:val="10"/>
                <w:lang w:val="fr-BE"/>
              </w:rPr>
            </w:pPr>
          </w:p>
        </w:tc>
        <w:tc>
          <w:tcPr>
            <w:tcW w:w="0" w:type="auto"/>
          </w:tcPr>
          <w:p w14:paraId="5929BCBC" w14:textId="77777777" w:rsidR="008C5CFA" w:rsidRPr="00601E29" w:rsidRDefault="008C5CFA" w:rsidP="00300A01">
            <w:pPr>
              <w:spacing w:before="0" w:after="0"/>
              <w:jc w:val="right"/>
              <w:rPr>
                <w:sz w:val="10"/>
                <w:szCs w:val="10"/>
                <w:lang w:val="fr-BE"/>
              </w:rPr>
            </w:pPr>
          </w:p>
        </w:tc>
        <w:tc>
          <w:tcPr>
            <w:tcW w:w="0" w:type="auto"/>
          </w:tcPr>
          <w:p w14:paraId="313A59A1" w14:textId="77777777" w:rsidR="008C5CFA" w:rsidRPr="00601E29" w:rsidRDefault="00E82A60" w:rsidP="00300A01">
            <w:pPr>
              <w:spacing w:before="0" w:after="0"/>
              <w:jc w:val="right"/>
              <w:rPr>
                <w:sz w:val="10"/>
                <w:szCs w:val="10"/>
                <w:lang w:val="fr-BE"/>
              </w:rPr>
            </w:pPr>
            <w:r w:rsidRPr="00601E29">
              <w:rPr>
                <w:noProof/>
                <w:sz w:val="10"/>
                <w:szCs w:val="10"/>
                <w:lang w:val="fr-BE"/>
              </w:rPr>
              <w:t>7,67</w:t>
            </w:r>
          </w:p>
        </w:tc>
        <w:tc>
          <w:tcPr>
            <w:tcW w:w="0" w:type="auto"/>
          </w:tcPr>
          <w:p w14:paraId="268D4D75"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15E13E6C"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7D24828F" w14:textId="77777777" w:rsidR="008C5CFA" w:rsidRPr="00601E29" w:rsidRDefault="00E82A60" w:rsidP="00300A01">
            <w:pPr>
              <w:spacing w:before="0" w:after="0"/>
              <w:jc w:val="right"/>
              <w:rPr>
                <w:sz w:val="10"/>
                <w:szCs w:val="10"/>
                <w:lang w:val="fr-BE"/>
              </w:rPr>
            </w:pPr>
            <w:r w:rsidRPr="00601E29">
              <w:rPr>
                <w:noProof/>
                <w:sz w:val="10"/>
                <w:szCs w:val="10"/>
                <w:lang w:val="fr-BE"/>
              </w:rPr>
              <w:t>3,07</w:t>
            </w:r>
          </w:p>
        </w:tc>
        <w:tc>
          <w:tcPr>
            <w:tcW w:w="0" w:type="auto"/>
          </w:tcPr>
          <w:p w14:paraId="7CB1932B"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4367D620"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018E6D0F" w14:textId="77777777" w:rsidR="008C5CFA" w:rsidRPr="00601E29" w:rsidRDefault="008C5CFA" w:rsidP="00300A01">
            <w:pPr>
              <w:spacing w:before="0" w:after="0"/>
              <w:jc w:val="right"/>
              <w:rPr>
                <w:sz w:val="10"/>
                <w:szCs w:val="10"/>
                <w:lang w:val="fr-BE"/>
              </w:rPr>
            </w:pPr>
          </w:p>
        </w:tc>
      </w:tr>
    </w:tbl>
    <w:p w14:paraId="5A0D7250"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73"/>
        <w:gridCol w:w="3530"/>
        <w:gridCol w:w="1269"/>
        <w:gridCol w:w="636"/>
        <w:gridCol w:w="800"/>
        <w:gridCol w:w="643"/>
        <w:gridCol w:w="636"/>
        <w:gridCol w:w="800"/>
        <w:gridCol w:w="643"/>
        <w:gridCol w:w="848"/>
        <w:gridCol w:w="636"/>
        <w:gridCol w:w="800"/>
        <w:gridCol w:w="643"/>
        <w:gridCol w:w="636"/>
        <w:gridCol w:w="800"/>
        <w:gridCol w:w="643"/>
        <w:gridCol w:w="848"/>
      </w:tblGrid>
      <w:tr w:rsidR="006B2EC1" w14:paraId="7D739D11" w14:textId="77777777" w:rsidTr="0047688D">
        <w:trPr>
          <w:tblHeader/>
        </w:trPr>
        <w:tc>
          <w:tcPr>
            <w:tcW w:w="0" w:type="auto"/>
            <w:shd w:val="clear" w:color="auto" w:fill="auto"/>
          </w:tcPr>
          <w:p w14:paraId="50E74A57" w14:textId="77777777" w:rsidR="008C5CFA" w:rsidRPr="00601E29" w:rsidRDefault="00E82A60" w:rsidP="00300A01">
            <w:pPr>
              <w:spacing w:before="0" w:after="0"/>
              <w:rPr>
                <w:b/>
                <w:sz w:val="10"/>
                <w:szCs w:val="10"/>
                <w:lang w:val="fr-BE"/>
              </w:rPr>
            </w:pPr>
            <w:r w:rsidRPr="00601E29">
              <w:rPr>
                <w:b/>
                <w:noProof/>
                <w:sz w:val="10"/>
                <w:szCs w:val="10"/>
                <w:lang w:val="fr-BE"/>
              </w:rPr>
              <w:t>ID</w:t>
            </w:r>
          </w:p>
        </w:tc>
        <w:tc>
          <w:tcPr>
            <w:tcW w:w="0" w:type="auto"/>
            <w:shd w:val="clear" w:color="auto" w:fill="auto"/>
          </w:tcPr>
          <w:p w14:paraId="541BDF4B" w14:textId="77777777" w:rsidR="008C5CFA" w:rsidRPr="00601E29" w:rsidRDefault="00E82A60" w:rsidP="00300A01">
            <w:pPr>
              <w:spacing w:before="0" w:after="0"/>
              <w:rPr>
                <w:b/>
                <w:sz w:val="10"/>
                <w:szCs w:val="10"/>
                <w:lang w:val="fr-BE"/>
              </w:rPr>
            </w:pPr>
            <w:r w:rsidRPr="00601E29">
              <w:rPr>
                <w:b/>
                <w:noProof/>
                <w:sz w:val="10"/>
                <w:szCs w:val="10"/>
                <w:lang w:val="fr-BE"/>
              </w:rPr>
              <w:t>Wskaźnik</w:t>
            </w:r>
          </w:p>
        </w:tc>
        <w:tc>
          <w:tcPr>
            <w:tcW w:w="0" w:type="auto"/>
            <w:shd w:val="clear" w:color="auto" w:fill="auto"/>
          </w:tcPr>
          <w:p w14:paraId="4C522B78" w14:textId="77777777" w:rsidR="008C5CFA" w:rsidRPr="00601E29" w:rsidRDefault="00E82A60" w:rsidP="00300A01">
            <w:pPr>
              <w:spacing w:before="0" w:after="0"/>
              <w:rPr>
                <w:b/>
                <w:sz w:val="10"/>
                <w:szCs w:val="10"/>
                <w:lang w:val="fr-BE"/>
              </w:rPr>
            </w:pPr>
            <w:r w:rsidRPr="00601E29">
              <w:rPr>
                <w:b/>
                <w:noProof/>
                <w:sz w:val="10"/>
                <w:szCs w:val="10"/>
                <w:lang w:val="fr-BE"/>
              </w:rPr>
              <w:t>Kategoria regionu</w:t>
            </w:r>
          </w:p>
        </w:tc>
        <w:tc>
          <w:tcPr>
            <w:tcW w:w="0" w:type="auto"/>
            <w:gridSpan w:val="7"/>
          </w:tcPr>
          <w:p w14:paraId="075A71AA" w14:textId="77777777" w:rsidR="008C5CFA" w:rsidRPr="00601E29" w:rsidRDefault="00E82A60" w:rsidP="00300A01">
            <w:pPr>
              <w:spacing w:before="0" w:after="0"/>
              <w:jc w:val="center"/>
              <w:rPr>
                <w:b/>
                <w:sz w:val="10"/>
                <w:szCs w:val="10"/>
                <w:lang w:val="fr-BE"/>
              </w:rPr>
            </w:pPr>
            <w:r>
              <w:rPr>
                <w:b/>
                <w:sz w:val="10"/>
                <w:szCs w:val="10"/>
                <w:lang w:val="fr-BE"/>
              </w:rPr>
              <w:t>2016</w:t>
            </w:r>
          </w:p>
        </w:tc>
        <w:tc>
          <w:tcPr>
            <w:tcW w:w="0" w:type="auto"/>
            <w:gridSpan w:val="7"/>
          </w:tcPr>
          <w:p w14:paraId="33C73CC8" w14:textId="77777777" w:rsidR="008C5CFA" w:rsidRPr="00601E29" w:rsidRDefault="00E82A60" w:rsidP="00300A01">
            <w:pPr>
              <w:spacing w:before="0" w:after="0"/>
              <w:jc w:val="center"/>
              <w:rPr>
                <w:b/>
                <w:sz w:val="10"/>
                <w:szCs w:val="10"/>
                <w:lang w:val="fr-BE"/>
              </w:rPr>
            </w:pPr>
            <w:r>
              <w:rPr>
                <w:b/>
                <w:sz w:val="10"/>
                <w:szCs w:val="10"/>
                <w:lang w:val="fr-BE"/>
              </w:rPr>
              <w:t>2015</w:t>
            </w:r>
          </w:p>
        </w:tc>
      </w:tr>
      <w:tr w:rsidR="006B2EC1" w14:paraId="737E3F08" w14:textId="77777777" w:rsidTr="0047688D">
        <w:trPr>
          <w:tblHeader/>
        </w:trPr>
        <w:tc>
          <w:tcPr>
            <w:tcW w:w="0" w:type="auto"/>
            <w:shd w:val="clear" w:color="auto" w:fill="auto"/>
          </w:tcPr>
          <w:p w14:paraId="575DA244" w14:textId="77777777" w:rsidR="008C5CFA" w:rsidRPr="00601E29" w:rsidRDefault="008C5CFA" w:rsidP="00300A01">
            <w:pPr>
              <w:spacing w:before="0" w:after="0"/>
              <w:rPr>
                <w:b/>
                <w:sz w:val="10"/>
                <w:szCs w:val="10"/>
                <w:lang w:val="fr-BE"/>
              </w:rPr>
            </w:pPr>
          </w:p>
        </w:tc>
        <w:tc>
          <w:tcPr>
            <w:tcW w:w="0" w:type="auto"/>
            <w:shd w:val="clear" w:color="auto" w:fill="auto"/>
          </w:tcPr>
          <w:p w14:paraId="3E26E5BE" w14:textId="77777777" w:rsidR="008C5CFA" w:rsidRPr="00601E29" w:rsidRDefault="008C5CFA" w:rsidP="00300A01">
            <w:pPr>
              <w:spacing w:before="0" w:after="0"/>
              <w:rPr>
                <w:b/>
                <w:sz w:val="10"/>
                <w:szCs w:val="10"/>
                <w:lang w:val="fr-BE"/>
              </w:rPr>
            </w:pPr>
          </w:p>
        </w:tc>
        <w:tc>
          <w:tcPr>
            <w:tcW w:w="0" w:type="auto"/>
            <w:shd w:val="clear" w:color="auto" w:fill="auto"/>
          </w:tcPr>
          <w:p w14:paraId="75487819" w14:textId="77777777" w:rsidR="008C5CFA" w:rsidRPr="00601E29" w:rsidRDefault="008C5CFA" w:rsidP="00300A01">
            <w:pPr>
              <w:spacing w:before="0" w:after="0"/>
              <w:rPr>
                <w:b/>
                <w:sz w:val="10"/>
                <w:szCs w:val="10"/>
                <w:lang w:val="fr-BE"/>
              </w:rPr>
            </w:pPr>
          </w:p>
        </w:tc>
        <w:tc>
          <w:tcPr>
            <w:tcW w:w="0" w:type="auto"/>
            <w:gridSpan w:val="3"/>
          </w:tcPr>
          <w:p w14:paraId="78343B42" w14:textId="77777777" w:rsidR="008C5CFA" w:rsidRPr="00601E29" w:rsidRDefault="00E82A60" w:rsidP="00300A01">
            <w:pPr>
              <w:spacing w:before="0" w:after="0"/>
              <w:jc w:val="center"/>
              <w:rPr>
                <w:b/>
                <w:sz w:val="10"/>
                <w:szCs w:val="10"/>
                <w:lang w:val="fr-BE"/>
              </w:rPr>
            </w:pPr>
            <w:r w:rsidRPr="00601E29">
              <w:rPr>
                <w:b/>
                <w:noProof/>
                <w:sz w:val="10"/>
                <w:szCs w:val="10"/>
                <w:lang w:val="fr-BE"/>
              </w:rPr>
              <w:t>Łącznie</w:t>
            </w:r>
          </w:p>
        </w:tc>
        <w:tc>
          <w:tcPr>
            <w:tcW w:w="0" w:type="auto"/>
            <w:gridSpan w:val="3"/>
          </w:tcPr>
          <w:p w14:paraId="06D24DA3" w14:textId="77777777" w:rsidR="008C5CFA" w:rsidRPr="00601E29" w:rsidRDefault="00E82A60" w:rsidP="00300A01">
            <w:pPr>
              <w:spacing w:before="0" w:after="0"/>
              <w:jc w:val="center"/>
              <w:rPr>
                <w:b/>
                <w:sz w:val="10"/>
                <w:szCs w:val="10"/>
                <w:lang w:val="fr-BE"/>
              </w:rPr>
            </w:pPr>
            <w:r w:rsidRPr="00601E29">
              <w:rPr>
                <w:b/>
                <w:noProof/>
                <w:sz w:val="10"/>
                <w:szCs w:val="10"/>
                <w:lang w:val="fr-BE"/>
              </w:rPr>
              <w:t>Łącznie w roku</w:t>
            </w:r>
          </w:p>
        </w:tc>
        <w:tc>
          <w:tcPr>
            <w:tcW w:w="0" w:type="auto"/>
          </w:tcPr>
          <w:p w14:paraId="4CF92707" w14:textId="77777777" w:rsidR="008C5CFA" w:rsidRPr="00601E29" w:rsidRDefault="00E82A60" w:rsidP="00300A01">
            <w:pPr>
              <w:spacing w:before="0" w:after="0"/>
              <w:jc w:val="center"/>
              <w:rPr>
                <w:b/>
                <w:sz w:val="10"/>
                <w:szCs w:val="10"/>
                <w:lang w:val="fr-BE"/>
              </w:rPr>
            </w:pPr>
            <w:r w:rsidRPr="00601E29">
              <w:rPr>
                <w:b/>
                <w:noProof/>
                <w:sz w:val="10"/>
                <w:szCs w:val="10"/>
                <w:lang w:val="fr-BE"/>
              </w:rPr>
              <w:t>Jakościowe</w:t>
            </w:r>
          </w:p>
        </w:tc>
        <w:tc>
          <w:tcPr>
            <w:tcW w:w="0" w:type="auto"/>
            <w:gridSpan w:val="3"/>
          </w:tcPr>
          <w:p w14:paraId="0D5B15F5" w14:textId="77777777" w:rsidR="008C5CFA" w:rsidRPr="00601E29" w:rsidRDefault="00E82A60" w:rsidP="00300A01">
            <w:pPr>
              <w:spacing w:before="0" w:after="0"/>
              <w:jc w:val="center"/>
              <w:rPr>
                <w:b/>
                <w:sz w:val="10"/>
                <w:szCs w:val="10"/>
                <w:lang w:val="fr-BE"/>
              </w:rPr>
            </w:pPr>
            <w:r w:rsidRPr="00601E29">
              <w:rPr>
                <w:b/>
                <w:noProof/>
                <w:sz w:val="10"/>
                <w:szCs w:val="10"/>
                <w:lang w:val="fr-BE"/>
              </w:rPr>
              <w:t>Łącznie</w:t>
            </w:r>
          </w:p>
        </w:tc>
        <w:tc>
          <w:tcPr>
            <w:tcW w:w="0" w:type="auto"/>
            <w:gridSpan w:val="3"/>
          </w:tcPr>
          <w:p w14:paraId="7A660662" w14:textId="77777777" w:rsidR="008C5CFA" w:rsidRPr="00601E29" w:rsidRDefault="00E82A60" w:rsidP="00300A01">
            <w:pPr>
              <w:spacing w:before="0" w:after="0"/>
              <w:jc w:val="center"/>
              <w:rPr>
                <w:b/>
                <w:sz w:val="10"/>
                <w:szCs w:val="10"/>
                <w:lang w:val="fr-BE"/>
              </w:rPr>
            </w:pPr>
            <w:r w:rsidRPr="00601E29">
              <w:rPr>
                <w:b/>
                <w:noProof/>
                <w:sz w:val="10"/>
                <w:szCs w:val="10"/>
                <w:lang w:val="fr-BE"/>
              </w:rPr>
              <w:t>Łącznie w roku</w:t>
            </w:r>
          </w:p>
        </w:tc>
        <w:tc>
          <w:tcPr>
            <w:tcW w:w="0" w:type="auto"/>
          </w:tcPr>
          <w:p w14:paraId="370FC827" w14:textId="77777777" w:rsidR="008C5CFA" w:rsidRPr="00601E29" w:rsidRDefault="00E82A60" w:rsidP="00300A01">
            <w:pPr>
              <w:spacing w:before="0" w:after="0"/>
              <w:jc w:val="center"/>
              <w:rPr>
                <w:b/>
                <w:sz w:val="10"/>
                <w:szCs w:val="10"/>
                <w:lang w:val="fr-BE"/>
              </w:rPr>
            </w:pPr>
            <w:r w:rsidRPr="00601E29">
              <w:rPr>
                <w:b/>
                <w:noProof/>
                <w:sz w:val="10"/>
                <w:szCs w:val="10"/>
                <w:lang w:val="fr-BE"/>
              </w:rPr>
              <w:t>Jakościowe</w:t>
            </w:r>
          </w:p>
        </w:tc>
      </w:tr>
      <w:tr w:rsidR="006B2EC1" w14:paraId="48FCAAAC" w14:textId="77777777" w:rsidTr="0047688D">
        <w:trPr>
          <w:tblHeader/>
        </w:trPr>
        <w:tc>
          <w:tcPr>
            <w:tcW w:w="0" w:type="auto"/>
            <w:shd w:val="clear" w:color="auto" w:fill="auto"/>
          </w:tcPr>
          <w:p w14:paraId="4D44FEF5" w14:textId="77777777" w:rsidR="008C5CFA" w:rsidRPr="00601E29" w:rsidRDefault="008C5CFA" w:rsidP="00300A01">
            <w:pPr>
              <w:spacing w:before="0" w:after="0"/>
              <w:rPr>
                <w:b/>
                <w:sz w:val="10"/>
                <w:szCs w:val="10"/>
                <w:lang w:val="fr-BE"/>
              </w:rPr>
            </w:pPr>
          </w:p>
        </w:tc>
        <w:tc>
          <w:tcPr>
            <w:tcW w:w="0" w:type="auto"/>
            <w:shd w:val="clear" w:color="auto" w:fill="auto"/>
          </w:tcPr>
          <w:p w14:paraId="6AF5C9F4" w14:textId="77777777" w:rsidR="008C5CFA" w:rsidRPr="00601E29" w:rsidRDefault="008C5CFA" w:rsidP="00300A01">
            <w:pPr>
              <w:spacing w:before="0" w:after="0"/>
              <w:rPr>
                <w:b/>
                <w:sz w:val="10"/>
                <w:szCs w:val="10"/>
                <w:lang w:val="fr-BE"/>
              </w:rPr>
            </w:pPr>
          </w:p>
        </w:tc>
        <w:tc>
          <w:tcPr>
            <w:tcW w:w="0" w:type="auto"/>
            <w:shd w:val="clear" w:color="auto" w:fill="auto"/>
          </w:tcPr>
          <w:p w14:paraId="72518462" w14:textId="77777777" w:rsidR="008C5CFA" w:rsidRPr="00601E29" w:rsidRDefault="008C5CFA" w:rsidP="00300A01">
            <w:pPr>
              <w:spacing w:before="0" w:after="0"/>
              <w:rPr>
                <w:b/>
                <w:sz w:val="10"/>
                <w:szCs w:val="10"/>
                <w:lang w:val="fr-BE"/>
              </w:rPr>
            </w:pPr>
          </w:p>
        </w:tc>
        <w:tc>
          <w:tcPr>
            <w:tcW w:w="0" w:type="auto"/>
          </w:tcPr>
          <w:p w14:paraId="3C508F6D" w14:textId="77777777" w:rsidR="008C5CFA" w:rsidRPr="00601E29" w:rsidRDefault="00E82A60" w:rsidP="00300A01">
            <w:pPr>
              <w:spacing w:before="0" w:after="0"/>
              <w:jc w:val="center"/>
              <w:rPr>
                <w:b/>
                <w:sz w:val="10"/>
                <w:szCs w:val="10"/>
                <w:lang w:val="fr-BE"/>
              </w:rPr>
            </w:pPr>
            <w:r w:rsidRPr="00601E29">
              <w:rPr>
                <w:b/>
                <w:noProof/>
                <w:sz w:val="10"/>
                <w:szCs w:val="10"/>
                <w:lang w:val="fr-BE"/>
              </w:rPr>
              <w:t>Ogółem</w:t>
            </w:r>
          </w:p>
        </w:tc>
        <w:tc>
          <w:tcPr>
            <w:tcW w:w="0" w:type="auto"/>
          </w:tcPr>
          <w:p w14:paraId="799B0AC2" w14:textId="77777777" w:rsidR="008C5CFA" w:rsidRPr="00601E29" w:rsidRDefault="00E82A60" w:rsidP="00300A01">
            <w:pPr>
              <w:spacing w:before="0" w:after="0"/>
              <w:jc w:val="center"/>
              <w:rPr>
                <w:b/>
                <w:sz w:val="10"/>
                <w:szCs w:val="10"/>
                <w:lang w:val="fr-BE"/>
              </w:rPr>
            </w:pPr>
            <w:r w:rsidRPr="00601E29">
              <w:rPr>
                <w:b/>
                <w:noProof/>
                <w:sz w:val="10"/>
                <w:szCs w:val="10"/>
                <w:lang w:val="fr-BE"/>
              </w:rPr>
              <w:t>Mężczyźni</w:t>
            </w:r>
          </w:p>
        </w:tc>
        <w:tc>
          <w:tcPr>
            <w:tcW w:w="0" w:type="auto"/>
          </w:tcPr>
          <w:p w14:paraId="4BF89D3A" w14:textId="77777777" w:rsidR="008C5CFA" w:rsidRPr="00601E29" w:rsidRDefault="00E82A60" w:rsidP="00300A01">
            <w:pPr>
              <w:spacing w:before="0" w:after="0"/>
              <w:jc w:val="center"/>
              <w:rPr>
                <w:b/>
                <w:sz w:val="10"/>
                <w:szCs w:val="10"/>
                <w:lang w:val="fr-BE"/>
              </w:rPr>
            </w:pPr>
            <w:r w:rsidRPr="00601E29">
              <w:rPr>
                <w:b/>
                <w:noProof/>
                <w:sz w:val="10"/>
                <w:szCs w:val="10"/>
                <w:lang w:val="fr-BE"/>
              </w:rPr>
              <w:t>Kobiety</w:t>
            </w:r>
          </w:p>
        </w:tc>
        <w:tc>
          <w:tcPr>
            <w:tcW w:w="0" w:type="auto"/>
          </w:tcPr>
          <w:p w14:paraId="1BB49184" w14:textId="77777777" w:rsidR="008C5CFA" w:rsidRPr="00601E29" w:rsidRDefault="00E82A60" w:rsidP="00300A01">
            <w:pPr>
              <w:spacing w:before="0" w:after="0"/>
              <w:jc w:val="center"/>
              <w:rPr>
                <w:b/>
                <w:sz w:val="10"/>
                <w:szCs w:val="10"/>
                <w:lang w:val="fr-BE"/>
              </w:rPr>
            </w:pPr>
            <w:r w:rsidRPr="00601E29">
              <w:rPr>
                <w:b/>
                <w:noProof/>
                <w:sz w:val="10"/>
                <w:szCs w:val="10"/>
                <w:lang w:val="fr-BE"/>
              </w:rPr>
              <w:t>Ogółem</w:t>
            </w:r>
          </w:p>
        </w:tc>
        <w:tc>
          <w:tcPr>
            <w:tcW w:w="0" w:type="auto"/>
          </w:tcPr>
          <w:p w14:paraId="793F2774" w14:textId="77777777" w:rsidR="008C5CFA" w:rsidRPr="00601E29" w:rsidRDefault="00E82A60" w:rsidP="00300A01">
            <w:pPr>
              <w:spacing w:before="0" w:after="0"/>
              <w:jc w:val="center"/>
              <w:rPr>
                <w:b/>
                <w:sz w:val="10"/>
                <w:szCs w:val="10"/>
                <w:lang w:val="fr-BE"/>
              </w:rPr>
            </w:pPr>
            <w:r w:rsidRPr="00601E29">
              <w:rPr>
                <w:b/>
                <w:noProof/>
                <w:sz w:val="10"/>
                <w:szCs w:val="10"/>
                <w:lang w:val="fr-BE"/>
              </w:rPr>
              <w:t>Mężczyźni</w:t>
            </w:r>
          </w:p>
        </w:tc>
        <w:tc>
          <w:tcPr>
            <w:tcW w:w="0" w:type="auto"/>
          </w:tcPr>
          <w:p w14:paraId="06D97751" w14:textId="77777777" w:rsidR="008C5CFA" w:rsidRPr="00601E29" w:rsidRDefault="00E82A60" w:rsidP="00300A01">
            <w:pPr>
              <w:spacing w:before="0" w:after="0"/>
              <w:jc w:val="center"/>
              <w:rPr>
                <w:b/>
                <w:sz w:val="10"/>
                <w:szCs w:val="10"/>
                <w:lang w:val="fr-BE"/>
              </w:rPr>
            </w:pPr>
            <w:r w:rsidRPr="00601E29">
              <w:rPr>
                <w:b/>
                <w:noProof/>
                <w:sz w:val="10"/>
                <w:szCs w:val="10"/>
                <w:lang w:val="fr-BE"/>
              </w:rPr>
              <w:t>Kobiety</w:t>
            </w:r>
          </w:p>
        </w:tc>
        <w:tc>
          <w:tcPr>
            <w:tcW w:w="0" w:type="auto"/>
          </w:tcPr>
          <w:p w14:paraId="5FC320BC" w14:textId="77777777" w:rsidR="008C5CFA" w:rsidRPr="00601E29" w:rsidRDefault="008C5CFA" w:rsidP="00300A01">
            <w:pPr>
              <w:spacing w:before="0" w:after="0"/>
              <w:jc w:val="center"/>
              <w:rPr>
                <w:b/>
                <w:sz w:val="10"/>
                <w:szCs w:val="10"/>
                <w:lang w:val="fr-BE"/>
              </w:rPr>
            </w:pPr>
          </w:p>
        </w:tc>
        <w:tc>
          <w:tcPr>
            <w:tcW w:w="0" w:type="auto"/>
          </w:tcPr>
          <w:p w14:paraId="5BCBC2FB" w14:textId="77777777" w:rsidR="008C5CFA" w:rsidRPr="00601E29" w:rsidRDefault="00E82A60" w:rsidP="00300A01">
            <w:pPr>
              <w:spacing w:before="0" w:after="0"/>
              <w:jc w:val="center"/>
              <w:rPr>
                <w:b/>
                <w:sz w:val="10"/>
                <w:szCs w:val="10"/>
                <w:lang w:val="fr-BE"/>
              </w:rPr>
            </w:pPr>
            <w:r w:rsidRPr="00601E29">
              <w:rPr>
                <w:b/>
                <w:noProof/>
                <w:sz w:val="10"/>
                <w:szCs w:val="10"/>
                <w:lang w:val="fr-BE"/>
              </w:rPr>
              <w:t>Ogółem</w:t>
            </w:r>
          </w:p>
        </w:tc>
        <w:tc>
          <w:tcPr>
            <w:tcW w:w="0" w:type="auto"/>
          </w:tcPr>
          <w:p w14:paraId="33040C99" w14:textId="77777777" w:rsidR="008C5CFA" w:rsidRPr="00601E29" w:rsidRDefault="00E82A60" w:rsidP="00300A01">
            <w:pPr>
              <w:spacing w:before="0" w:after="0"/>
              <w:jc w:val="center"/>
              <w:rPr>
                <w:b/>
                <w:sz w:val="10"/>
                <w:szCs w:val="10"/>
                <w:lang w:val="fr-BE"/>
              </w:rPr>
            </w:pPr>
            <w:r w:rsidRPr="00601E29">
              <w:rPr>
                <w:b/>
                <w:noProof/>
                <w:sz w:val="10"/>
                <w:szCs w:val="10"/>
                <w:lang w:val="fr-BE"/>
              </w:rPr>
              <w:t>Mężczyźni</w:t>
            </w:r>
          </w:p>
        </w:tc>
        <w:tc>
          <w:tcPr>
            <w:tcW w:w="0" w:type="auto"/>
          </w:tcPr>
          <w:p w14:paraId="3D641543" w14:textId="77777777" w:rsidR="008C5CFA" w:rsidRPr="00601E29" w:rsidRDefault="00E82A60" w:rsidP="00300A01">
            <w:pPr>
              <w:spacing w:before="0" w:after="0"/>
              <w:jc w:val="center"/>
              <w:rPr>
                <w:b/>
                <w:sz w:val="10"/>
                <w:szCs w:val="10"/>
                <w:lang w:val="fr-BE"/>
              </w:rPr>
            </w:pPr>
            <w:r w:rsidRPr="00601E29">
              <w:rPr>
                <w:b/>
                <w:noProof/>
                <w:sz w:val="10"/>
                <w:szCs w:val="10"/>
                <w:lang w:val="fr-BE"/>
              </w:rPr>
              <w:t>Kobiety</w:t>
            </w:r>
          </w:p>
        </w:tc>
        <w:tc>
          <w:tcPr>
            <w:tcW w:w="0" w:type="auto"/>
          </w:tcPr>
          <w:p w14:paraId="43907059" w14:textId="77777777" w:rsidR="008C5CFA" w:rsidRPr="00601E29" w:rsidRDefault="00E82A60" w:rsidP="00300A01">
            <w:pPr>
              <w:spacing w:before="0" w:after="0"/>
              <w:jc w:val="center"/>
              <w:rPr>
                <w:b/>
                <w:sz w:val="10"/>
                <w:szCs w:val="10"/>
                <w:lang w:val="fr-BE"/>
              </w:rPr>
            </w:pPr>
            <w:r w:rsidRPr="00601E29">
              <w:rPr>
                <w:b/>
                <w:noProof/>
                <w:sz w:val="10"/>
                <w:szCs w:val="10"/>
                <w:lang w:val="fr-BE"/>
              </w:rPr>
              <w:t>Ogółem</w:t>
            </w:r>
          </w:p>
        </w:tc>
        <w:tc>
          <w:tcPr>
            <w:tcW w:w="0" w:type="auto"/>
          </w:tcPr>
          <w:p w14:paraId="1732EB57" w14:textId="77777777" w:rsidR="008C5CFA" w:rsidRPr="00601E29" w:rsidRDefault="00E82A60" w:rsidP="00300A01">
            <w:pPr>
              <w:spacing w:before="0" w:after="0"/>
              <w:jc w:val="center"/>
              <w:rPr>
                <w:b/>
                <w:sz w:val="10"/>
                <w:szCs w:val="10"/>
                <w:lang w:val="fr-BE"/>
              </w:rPr>
            </w:pPr>
            <w:r w:rsidRPr="00601E29">
              <w:rPr>
                <w:b/>
                <w:noProof/>
                <w:sz w:val="10"/>
                <w:szCs w:val="10"/>
                <w:lang w:val="fr-BE"/>
              </w:rPr>
              <w:t>Mężczyźni</w:t>
            </w:r>
          </w:p>
        </w:tc>
        <w:tc>
          <w:tcPr>
            <w:tcW w:w="0" w:type="auto"/>
          </w:tcPr>
          <w:p w14:paraId="177B1664" w14:textId="77777777" w:rsidR="008C5CFA" w:rsidRPr="00601E29" w:rsidRDefault="00E82A60" w:rsidP="00300A01">
            <w:pPr>
              <w:spacing w:before="0" w:after="0"/>
              <w:jc w:val="center"/>
              <w:rPr>
                <w:b/>
                <w:sz w:val="10"/>
                <w:szCs w:val="10"/>
                <w:lang w:val="fr-BE"/>
              </w:rPr>
            </w:pPr>
            <w:r w:rsidRPr="00601E29">
              <w:rPr>
                <w:b/>
                <w:noProof/>
                <w:sz w:val="10"/>
                <w:szCs w:val="10"/>
                <w:lang w:val="fr-BE"/>
              </w:rPr>
              <w:t>Kobiety</w:t>
            </w:r>
          </w:p>
        </w:tc>
        <w:tc>
          <w:tcPr>
            <w:tcW w:w="0" w:type="auto"/>
          </w:tcPr>
          <w:p w14:paraId="6816AD21" w14:textId="77777777" w:rsidR="008C5CFA" w:rsidRPr="00601E29" w:rsidRDefault="008C5CFA" w:rsidP="00300A01">
            <w:pPr>
              <w:spacing w:before="0" w:after="0"/>
              <w:jc w:val="center"/>
              <w:rPr>
                <w:b/>
                <w:sz w:val="10"/>
                <w:szCs w:val="10"/>
                <w:lang w:val="fr-BE"/>
              </w:rPr>
            </w:pPr>
          </w:p>
        </w:tc>
      </w:tr>
      <w:tr w:rsidR="006B2EC1" w14:paraId="3572B7C1" w14:textId="77777777" w:rsidTr="0047688D">
        <w:tc>
          <w:tcPr>
            <w:tcW w:w="0" w:type="auto"/>
            <w:shd w:val="clear" w:color="auto" w:fill="auto"/>
          </w:tcPr>
          <w:p w14:paraId="202C609A" w14:textId="77777777" w:rsidR="008C5CFA" w:rsidRPr="00601E29" w:rsidRDefault="00E82A60" w:rsidP="00300A01">
            <w:pPr>
              <w:spacing w:before="0" w:after="0"/>
              <w:rPr>
                <w:sz w:val="10"/>
                <w:szCs w:val="10"/>
                <w:lang w:val="fr-BE"/>
              </w:rPr>
            </w:pPr>
            <w:r w:rsidRPr="00601E29">
              <w:rPr>
                <w:noProof/>
                <w:sz w:val="10"/>
                <w:szCs w:val="10"/>
                <w:lang w:val="fr-BE"/>
              </w:rPr>
              <w:t>032</w:t>
            </w:r>
          </w:p>
        </w:tc>
        <w:tc>
          <w:tcPr>
            <w:tcW w:w="0" w:type="auto"/>
            <w:shd w:val="clear" w:color="auto" w:fill="auto"/>
          </w:tcPr>
          <w:p w14:paraId="6182BECC" w14:textId="77777777" w:rsidR="008C5CFA" w:rsidRPr="00601E29" w:rsidRDefault="00E82A60" w:rsidP="00300A01">
            <w:pPr>
              <w:spacing w:before="0" w:after="0"/>
              <w:rPr>
                <w:sz w:val="10"/>
                <w:szCs w:val="10"/>
                <w:lang w:val="fr-BE"/>
              </w:rPr>
            </w:pPr>
            <w:r w:rsidRPr="00601E29">
              <w:rPr>
                <w:noProof/>
                <w:sz w:val="10"/>
                <w:szCs w:val="10"/>
                <w:lang w:val="fr-BE"/>
              </w:rPr>
              <w:t>Ocena przydatności form szkoleniowych dla beneficjentów</w:t>
            </w:r>
          </w:p>
        </w:tc>
        <w:tc>
          <w:tcPr>
            <w:tcW w:w="0" w:type="auto"/>
            <w:shd w:val="clear" w:color="auto" w:fill="auto"/>
          </w:tcPr>
          <w:p w14:paraId="6FDE838E" w14:textId="77777777" w:rsidR="008C5CFA" w:rsidRPr="00601E29" w:rsidRDefault="008C5CFA" w:rsidP="00300A01">
            <w:pPr>
              <w:spacing w:before="0" w:after="0"/>
              <w:rPr>
                <w:sz w:val="10"/>
                <w:szCs w:val="10"/>
                <w:lang w:val="fr-BE"/>
              </w:rPr>
            </w:pPr>
          </w:p>
        </w:tc>
        <w:tc>
          <w:tcPr>
            <w:tcW w:w="0" w:type="auto"/>
          </w:tcPr>
          <w:p w14:paraId="4669CA8F" w14:textId="77777777" w:rsidR="008C5CFA" w:rsidRPr="00601E29" w:rsidRDefault="00E82A60" w:rsidP="00300A01">
            <w:pPr>
              <w:spacing w:before="0" w:after="0"/>
              <w:jc w:val="right"/>
              <w:rPr>
                <w:sz w:val="10"/>
                <w:szCs w:val="10"/>
                <w:lang w:val="fr-BE"/>
              </w:rPr>
            </w:pPr>
            <w:r w:rsidRPr="00601E29">
              <w:rPr>
                <w:noProof/>
                <w:sz w:val="10"/>
                <w:szCs w:val="10"/>
                <w:lang w:val="fr-BE"/>
              </w:rPr>
              <w:t>4,60</w:t>
            </w:r>
          </w:p>
        </w:tc>
        <w:tc>
          <w:tcPr>
            <w:tcW w:w="0" w:type="auto"/>
          </w:tcPr>
          <w:p w14:paraId="638CA00C"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24E4CCDE"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789438B0" w14:textId="77777777" w:rsidR="008C5CFA" w:rsidRPr="00601E29" w:rsidRDefault="00E82A60" w:rsidP="00300A01">
            <w:pPr>
              <w:spacing w:before="0" w:after="0"/>
              <w:jc w:val="right"/>
              <w:rPr>
                <w:sz w:val="10"/>
                <w:szCs w:val="10"/>
                <w:lang w:val="fr-BE"/>
              </w:rPr>
            </w:pPr>
            <w:r w:rsidRPr="00601E29">
              <w:rPr>
                <w:noProof/>
                <w:sz w:val="10"/>
                <w:szCs w:val="10"/>
                <w:lang w:val="fr-BE"/>
              </w:rPr>
              <w:t>4,60</w:t>
            </w:r>
          </w:p>
        </w:tc>
        <w:tc>
          <w:tcPr>
            <w:tcW w:w="0" w:type="auto"/>
          </w:tcPr>
          <w:p w14:paraId="694FA22F"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2F0DD4CB"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40A942EB" w14:textId="77777777" w:rsidR="008C5CFA" w:rsidRPr="00601E29" w:rsidRDefault="008C5CFA" w:rsidP="00300A01">
            <w:pPr>
              <w:spacing w:before="0" w:after="0"/>
              <w:jc w:val="right"/>
              <w:rPr>
                <w:sz w:val="10"/>
                <w:szCs w:val="10"/>
                <w:lang w:val="fr-BE"/>
              </w:rPr>
            </w:pPr>
          </w:p>
        </w:tc>
        <w:tc>
          <w:tcPr>
            <w:tcW w:w="0" w:type="auto"/>
          </w:tcPr>
          <w:p w14:paraId="3878FCAD"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14824162"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6412F97B"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46F9DC51"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7A85FA32"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00DC4A27"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1E15628F" w14:textId="77777777" w:rsidR="008C5CFA" w:rsidRPr="00601E29" w:rsidRDefault="008C5CFA" w:rsidP="00300A01">
            <w:pPr>
              <w:spacing w:before="0" w:after="0"/>
              <w:jc w:val="right"/>
              <w:rPr>
                <w:sz w:val="10"/>
                <w:szCs w:val="10"/>
                <w:lang w:val="fr-BE"/>
              </w:rPr>
            </w:pPr>
          </w:p>
        </w:tc>
      </w:tr>
    </w:tbl>
    <w:p w14:paraId="0D00481D"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558"/>
        <w:gridCol w:w="5267"/>
        <w:gridCol w:w="1894"/>
        <w:gridCol w:w="948"/>
        <w:gridCol w:w="1193"/>
        <w:gridCol w:w="959"/>
        <w:gridCol w:w="948"/>
        <w:gridCol w:w="1193"/>
        <w:gridCol w:w="959"/>
        <w:gridCol w:w="1265"/>
      </w:tblGrid>
      <w:tr w:rsidR="006B2EC1" w14:paraId="3599A839" w14:textId="77777777" w:rsidTr="0047688D">
        <w:trPr>
          <w:tblHeader/>
        </w:trPr>
        <w:tc>
          <w:tcPr>
            <w:tcW w:w="0" w:type="auto"/>
            <w:shd w:val="clear" w:color="auto" w:fill="auto"/>
          </w:tcPr>
          <w:p w14:paraId="5EDB25FF" w14:textId="77777777" w:rsidR="008C5CFA" w:rsidRPr="00601E29" w:rsidRDefault="00E82A60" w:rsidP="00300A01">
            <w:pPr>
              <w:spacing w:before="0" w:after="0"/>
              <w:rPr>
                <w:b/>
                <w:sz w:val="10"/>
                <w:szCs w:val="10"/>
                <w:lang w:val="fr-BE"/>
              </w:rPr>
            </w:pPr>
            <w:r w:rsidRPr="00601E29">
              <w:rPr>
                <w:b/>
                <w:noProof/>
                <w:sz w:val="10"/>
                <w:szCs w:val="10"/>
                <w:lang w:val="fr-BE"/>
              </w:rPr>
              <w:t>ID</w:t>
            </w:r>
          </w:p>
        </w:tc>
        <w:tc>
          <w:tcPr>
            <w:tcW w:w="0" w:type="auto"/>
            <w:shd w:val="clear" w:color="auto" w:fill="auto"/>
          </w:tcPr>
          <w:p w14:paraId="184DA0F3" w14:textId="77777777" w:rsidR="008C5CFA" w:rsidRPr="00601E29" w:rsidRDefault="00E82A60" w:rsidP="00300A01">
            <w:pPr>
              <w:spacing w:before="0" w:after="0"/>
              <w:rPr>
                <w:b/>
                <w:sz w:val="10"/>
                <w:szCs w:val="10"/>
                <w:lang w:val="fr-BE"/>
              </w:rPr>
            </w:pPr>
            <w:r w:rsidRPr="00601E29">
              <w:rPr>
                <w:b/>
                <w:noProof/>
                <w:sz w:val="10"/>
                <w:szCs w:val="10"/>
                <w:lang w:val="fr-BE"/>
              </w:rPr>
              <w:t>Wskaźnik</w:t>
            </w:r>
          </w:p>
        </w:tc>
        <w:tc>
          <w:tcPr>
            <w:tcW w:w="0" w:type="auto"/>
            <w:shd w:val="clear" w:color="auto" w:fill="auto"/>
          </w:tcPr>
          <w:p w14:paraId="752440AC" w14:textId="77777777" w:rsidR="008C5CFA" w:rsidRPr="00601E29" w:rsidRDefault="00E82A60" w:rsidP="00300A01">
            <w:pPr>
              <w:spacing w:before="0" w:after="0"/>
              <w:rPr>
                <w:b/>
                <w:sz w:val="10"/>
                <w:szCs w:val="10"/>
                <w:lang w:val="fr-BE"/>
              </w:rPr>
            </w:pPr>
            <w:r w:rsidRPr="00601E29">
              <w:rPr>
                <w:b/>
                <w:noProof/>
                <w:sz w:val="10"/>
                <w:szCs w:val="10"/>
                <w:lang w:val="fr-BE"/>
              </w:rPr>
              <w:t>Kategoria regionu</w:t>
            </w:r>
          </w:p>
        </w:tc>
        <w:tc>
          <w:tcPr>
            <w:tcW w:w="0" w:type="auto"/>
            <w:gridSpan w:val="7"/>
          </w:tcPr>
          <w:p w14:paraId="0AD201BF" w14:textId="77777777" w:rsidR="008C5CFA" w:rsidRPr="00601E29" w:rsidRDefault="00E82A60" w:rsidP="00300A01">
            <w:pPr>
              <w:spacing w:before="0" w:after="0"/>
              <w:jc w:val="center"/>
              <w:rPr>
                <w:b/>
                <w:sz w:val="10"/>
                <w:szCs w:val="10"/>
                <w:lang w:val="fr-BE"/>
              </w:rPr>
            </w:pPr>
            <w:r>
              <w:rPr>
                <w:b/>
                <w:sz w:val="10"/>
                <w:szCs w:val="10"/>
                <w:lang w:val="fr-BE"/>
              </w:rPr>
              <w:t>2014</w:t>
            </w:r>
          </w:p>
        </w:tc>
      </w:tr>
      <w:tr w:rsidR="006B2EC1" w14:paraId="0CF0F1AE" w14:textId="77777777" w:rsidTr="0047688D">
        <w:trPr>
          <w:tblHeader/>
        </w:trPr>
        <w:tc>
          <w:tcPr>
            <w:tcW w:w="0" w:type="auto"/>
            <w:shd w:val="clear" w:color="auto" w:fill="auto"/>
          </w:tcPr>
          <w:p w14:paraId="62D75025" w14:textId="77777777" w:rsidR="008C5CFA" w:rsidRPr="00601E29" w:rsidRDefault="008C5CFA" w:rsidP="00300A01">
            <w:pPr>
              <w:spacing w:before="0" w:after="0"/>
              <w:rPr>
                <w:b/>
                <w:sz w:val="10"/>
                <w:szCs w:val="10"/>
                <w:lang w:val="fr-BE"/>
              </w:rPr>
            </w:pPr>
          </w:p>
        </w:tc>
        <w:tc>
          <w:tcPr>
            <w:tcW w:w="0" w:type="auto"/>
            <w:shd w:val="clear" w:color="auto" w:fill="auto"/>
          </w:tcPr>
          <w:p w14:paraId="792A998B" w14:textId="77777777" w:rsidR="008C5CFA" w:rsidRPr="00601E29" w:rsidRDefault="008C5CFA" w:rsidP="00300A01">
            <w:pPr>
              <w:spacing w:before="0" w:after="0"/>
              <w:rPr>
                <w:b/>
                <w:sz w:val="10"/>
                <w:szCs w:val="10"/>
                <w:lang w:val="fr-BE"/>
              </w:rPr>
            </w:pPr>
          </w:p>
        </w:tc>
        <w:tc>
          <w:tcPr>
            <w:tcW w:w="0" w:type="auto"/>
            <w:shd w:val="clear" w:color="auto" w:fill="auto"/>
          </w:tcPr>
          <w:p w14:paraId="72515E3B" w14:textId="77777777" w:rsidR="008C5CFA" w:rsidRPr="00601E29" w:rsidRDefault="008C5CFA" w:rsidP="00300A01">
            <w:pPr>
              <w:spacing w:before="0" w:after="0"/>
              <w:rPr>
                <w:b/>
                <w:sz w:val="10"/>
                <w:szCs w:val="10"/>
                <w:lang w:val="fr-BE"/>
              </w:rPr>
            </w:pPr>
          </w:p>
        </w:tc>
        <w:tc>
          <w:tcPr>
            <w:tcW w:w="0" w:type="auto"/>
            <w:gridSpan w:val="3"/>
          </w:tcPr>
          <w:p w14:paraId="3698FDA3" w14:textId="77777777" w:rsidR="008C5CFA" w:rsidRPr="00601E29" w:rsidRDefault="00E82A60" w:rsidP="00300A01">
            <w:pPr>
              <w:spacing w:before="0" w:after="0"/>
              <w:jc w:val="center"/>
              <w:rPr>
                <w:b/>
                <w:sz w:val="10"/>
                <w:szCs w:val="10"/>
                <w:lang w:val="fr-BE"/>
              </w:rPr>
            </w:pPr>
            <w:r w:rsidRPr="00601E29">
              <w:rPr>
                <w:b/>
                <w:noProof/>
                <w:sz w:val="10"/>
                <w:szCs w:val="10"/>
                <w:lang w:val="fr-BE"/>
              </w:rPr>
              <w:t>Łącznie</w:t>
            </w:r>
          </w:p>
        </w:tc>
        <w:tc>
          <w:tcPr>
            <w:tcW w:w="0" w:type="auto"/>
            <w:gridSpan w:val="3"/>
          </w:tcPr>
          <w:p w14:paraId="264727F7" w14:textId="77777777" w:rsidR="008C5CFA" w:rsidRPr="00601E29" w:rsidRDefault="00E82A60" w:rsidP="00300A01">
            <w:pPr>
              <w:spacing w:before="0" w:after="0"/>
              <w:jc w:val="center"/>
              <w:rPr>
                <w:b/>
                <w:sz w:val="10"/>
                <w:szCs w:val="10"/>
                <w:lang w:val="fr-BE"/>
              </w:rPr>
            </w:pPr>
            <w:r w:rsidRPr="00601E29">
              <w:rPr>
                <w:b/>
                <w:noProof/>
                <w:sz w:val="10"/>
                <w:szCs w:val="10"/>
                <w:lang w:val="fr-BE"/>
              </w:rPr>
              <w:t>Łącznie w roku</w:t>
            </w:r>
          </w:p>
        </w:tc>
        <w:tc>
          <w:tcPr>
            <w:tcW w:w="0" w:type="auto"/>
          </w:tcPr>
          <w:p w14:paraId="12D4E8BA" w14:textId="77777777" w:rsidR="008C5CFA" w:rsidRPr="00601E29" w:rsidRDefault="00E82A60" w:rsidP="00300A01">
            <w:pPr>
              <w:spacing w:before="0" w:after="0"/>
              <w:jc w:val="center"/>
              <w:rPr>
                <w:b/>
                <w:sz w:val="10"/>
                <w:szCs w:val="10"/>
                <w:lang w:val="fr-BE"/>
              </w:rPr>
            </w:pPr>
            <w:r w:rsidRPr="00601E29">
              <w:rPr>
                <w:b/>
                <w:noProof/>
                <w:sz w:val="10"/>
                <w:szCs w:val="10"/>
                <w:lang w:val="fr-BE"/>
              </w:rPr>
              <w:t>Jakościowe</w:t>
            </w:r>
          </w:p>
        </w:tc>
      </w:tr>
      <w:tr w:rsidR="006B2EC1" w14:paraId="54950DE6" w14:textId="77777777" w:rsidTr="0047688D">
        <w:trPr>
          <w:tblHeader/>
        </w:trPr>
        <w:tc>
          <w:tcPr>
            <w:tcW w:w="0" w:type="auto"/>
            <w:shd w:val="clear" w:color="auto" w:fill="auto"/>
          </w:tcPr>
          <w:p w14:paraId="127445FA" w14:textId="77777777" w:rsidR="008C5CFA" w:rsidRPr="00601E29" w:rsidRDefault="008C5CFA" w:rsidP="00300A01">
            <w:pPr>
              <w:spacing w:before="0" w:after="0"/>
              <w:rPr>
                <w:b/>
                <w:sz w:val="10"/>
                <w:szCs w:val="10"/>
                <w:lang w:val="fr-BE"/>
              </w:rPr>
            </w:pPr>
          </w:p>
        </w:tc>
        <w:tc>
          <w:tcPr>
            <w:tcW w:w="0" w:type="auto"/>
            <w:shd w:val="clear" w:color="auto" w:fill="auto"/>
          </w:tcPr>
          <w:p w14:paraId="11AD5047" w14:textId="77777777" w:rsidR="008C5CFA" w:rsidRPr="00601E29" w:rsidRDefault="008C5CFA" w:rsidP="00300A01">
            <w:pPr>
              <w:spacing w:before="0" w:after="0"/>
              <w:rPr>
                <w:b/>
                <w:sz w:val="10"/>
                <w:szCs w:val="10"/>
                <w:lang w:val="fr-BE"/>
              </w:rPr>
            </w:pPr>
          </w:p>
        </w:tc>
        <w:tc>
          <w:tcPr>
            <w:tcW w:w="0" w:type="auto"/>
            <w:shd w:val="clear" w:color="auto" w:fill="auto"/>
          </w:tcPr>
          <w:p w14:paraId="40ED8012" w14:textId="77777777" w:rsidR="008C5CFA" w:rsidRPr="00601E29" w:rsidRDefault="008C5CFA" w:rsidP="00300A01">
            <w:pPr>
              <w:spacing w:before="0" w:after="0"/>
              <w:rPr>
                <w:b/>
                <w:sz w:val="10"/>
                <w:szCs w:val="10"/>
                <w:lang w:val="fr-BE"/>
              </w:rPr>
            </w:pPr>
          </w:p>
        </w:tc>
        <w:tc>
          <w:tcPr>
            <w:tcW w:w="0" w:type="auto"/>
          </w:tcPr>
          <w:p w14:paraId="725708EE" w14:textId="77777777" w:rsidR="008C5CFA" w:rsidRPr="00601E29" w:rsidRDefault="00E82A60" w:rsidP="00300A01">
            <w:pPr>
              <w:spacing w:before="0" w:after="0"/>
              <w:jc w:val="center"/>
              <w:rPr>
                <w:b/>
                <w:sz w:val="10"/>
                <w:szCs w:val="10"/>
                <w:lang w:val="fr-BE"/>
              </w:rPr>
            </w:pPr>
            <w:r w:rsidRPr="00601E29">
              <w:rPr>
                <w:b/>
                <w:noProof/>
                <w:sz w:val="10"/>
                <w:szCs w:val="10"/>
                <w:lang w:val="fr-BE"/>
              </w:rPr>
              <w:t>Ogółem</w:t>
            </w:r>
          </w:p>
        </w:tc>
        <w:tc>
          <w:tcPr>
            <w:tcW w:w="0" w:type="auto"/>
          </w:tcPr>
          <w:p w14:paraId="0FFE7CDD" w14:textId="77777777" w:rsidR="008C5CFA" w:rsidRPr="00601E29" w:rsidRDefault="00E82A60" w:rsidP="00300A01">
            <w:pPr>
              <w:spacing w:before="0" w:after="0"/>
              <w:jc w:val="center"/>
              <w:rPr>
                <w:b/>
                <w:sz w:val="10"/>
                <w:szCs w:val="10"/>
                <w:lang w:val="fr-BE"/>
              </w:rPr>
            </w:pPr>
            <w:r w:rsidRPr="00601E29">
              <w:rPr>
                <w:b/>
                <w:noProof/>
                <w:sz w:val="10"/>
                <w:szCs w:val="10"/>
                <w:lang w:val="fr-BE"/>
              </w:rPr>
              <w:t>Mężczyźni</w:t>
            </w:r>
          </w:p>
        </w:tc>
        <w:tc>
          <w:tcPr>
            <w:tcW w:w="0" w:type="auto"/>
          </w:tcPr>
          <w:p w14:paraId="3108DB11" w14:textId="77777777" w:rsidR="008C5CFA" w:rsidRPr="00601E29" w:rsidRDefault="00E82A60" w:rsidP="00300A01">
            <w:pPr>
              <w:spacing w:before="0" w:after="0"/>
              <w:jc w:val="center"/>
              <w:rPr>
                <w:b/>
                <w:sz w:val="10"/>
                <w:szCs w:val="10"/>
                <w:lang w:val="fr-BE"/>
              </w:rPr>
            </w:pPr>
            <w:r w:rsidRPr="00601E29">
              <w:rPr>
                <w:b/>
                <w:noProof/>
                <w:sz w:val="10"/>
                <w:szCs w:val="10"/>
                <w:lang w:val="fr-BE"/>
              </w:rPr>
              <w:t>Kobiety</w:t>
            </w:r>
          </w:p>
        </w:tc>
        <w:tc>
          <w:tcPr>
            <w:tcW w:w="0" w:type="auto"/>
          </w:tcPr>
          <w:p w14:paraId="3BC8D82B" w14:textId="77777777" w:rsidR="008C5CFA" w:rsidRPr="00601E29" w:rsidRDefault="00E82A60" w:rsidP="00300A01">
            <w:pPr>
              <w:spacing w:before="0" w:after="0"/>
              <w:jc w:val="center"/>
              <w:rPr>
                <w:b/>
                <w:sz w:val="10"/>
                <w:szCs w:val="10"/>
                <w:lang w:val="fr-BE"/>
              </w:rPr>
            </w:pPr>
            <w:r w:rsidRPr="00601E29">
              <w:rPr>
                <w:b/>
                <w:noProof/>
                <w:sz w:val="10"/>
                <w:szCs w:val="10"/>
                <w:lang w:val="fr-BE"/>
              </w:rPr>
              <w:t>Ogółem</w:t>
            </w:r>
          </w:p>
        </w:tc>
        <w:tc>
          <w:tcPr>
            <w:tcW w:w="0" w:type="auto"/>
          </w:tcPr>
          <w:p w14:paraId="2319BDEB" w14:textId="77777777" w:rsidR="008C5CFA" w:rsidRPr="00601E29" w:rsidRDefault="00E82A60" w:rsidP="00300A01">
            <w:pPr>
              <w:spacing w:before="0" w:after="0"/>
              <w:jc w:val="center"/>
              <w:rPr>
                <w:b/>
                <w:sz w:val="10"/>
                <w:szCs w:val="10"/>
                <w:lang w:val="fr-BE"/>
              </w:rPr>
            </w:pPr>
            <w:r w:rsidRPr="00601E29">
              <w:rPr>
                <w:b/>
                <w:noProof/>
                <w:sz w:val="10"/>
                <w:szCs w:val="10"/>
                <w:lang w:val="fr-BE"/>
              </w:rPr>
              <w:t>Mężczyźni</w:t>
            </w:r>
          </w:p>
        </w:tc>
        <w:tc>
          <w:tcPr>
            <w:tcW w:w="0" w:type="auto"/>
          </w:tcPr>
          <w:p w14:paraId="2D97A11C" w14:textId="77777777" w:rsidR="008C5CFA" w:rsidRPr="00601E29" w:rsidRDefault="00E82A60" w:rsidP="00300A01">
            <w:pPr>
              <w:spacing w:before="0" w:after="0"/>
              <w:jc w:val="center"/>
              <w:rPr>
                <w:b/>
                <w:sz w:val="10"/>
                <w:szCs w:val="10"/>
                <w:lang w:val="fr-BE"/>
              </w:rPr>
            </w:pPr>
            <w:r w:rsidRPr="00601E29">
              <w:rPr>
                <w:b/>
                <w:noProof/>
                <w:sz w:val="10"/>
                <w:szCs w:val="10"/>
                <w:lang w:val="fr-BE"/>
              </w:rPr>
              <w:t>Kobiety</w:t>
            </w:r>
          </w:p>
        </w:tc>
        <w:tc>
          <w:tcPr>
            <w:tcW w:w="0" w:type="auto"/>
          </w:tcPr>
          <w:p w14:paraId="2D0C869D" w14:textId="77777777" w:rsidR="008C5CFA" w:rsidRPr="00601E29" w:rsidRDefault="008C5CFA" w:rsidP="00300A01">
            <w:pPr>
              <w:spacing w:before="0" w:after="0"/>
              <w:jc w:val="center"/>
              <w:rPr>
                <w:b/>
                <w:sz w:val="10"/>
                <w:szCs w:val="10"/>
                <w:lang w:val="fr-BE"/>
              </w:rPr>
            </w:pPr>
          </w:p>
        </w:tc>
      </w:tr>
      <w:tr w:rsidR="006B2EC1" w14:paraId="58B51878" w14:textId="77777777" w:rsidTr="0047688D">
        <w:tc>
          <w:tcPr>
            <w:tcW w:w="0" w:type="auto"/>
            <w:shd w:val="clear" w:color="auto" w:fill="auto"/>
          </w:tcPr>
          <w:p w14:paraId="75431ABA" w14:textId="77777777" w:rsidR="008C5CFA" w:rsidRPr="00601E29" w:rsidRDefault="00E82A60" w:rsidP="00300A01">
            <w:pPr>
              <w:spacing w:before="0" w:after="0"/>
              <w:rPr>
                <w:sz w:val="10"/>
                <w:szCs w:val="10"/>
                <w:lang w:val="fr-BE"/>
              </w:rPr>
            </w:pPr>
            <w:r w:rsidRPr="00601E29">
              <w:rPr>
                <w:noProof/>
                <w:sz w:val="10"/>
                <w:szCs w:val="10"/>
                <w:lang w:val="fr-BE"/>
              </w:rPr>
              <w:t>032</w:t>
            </w:r>
          </w:p>
        </w:tc>
        <w:tc>
          <w:tcPr>
            <w:tcW w:w="0" w:type="auto"/>
            <w:shd w:val="clear" w:color="auto" w:fill="auto"/>
          </w:tcPr>
          <w:p w14:paraId="2A653A2C" w14:textId="77777777" w:rsidR="008C5CFA" w:rsidRPr="00601E29" w:rsidRDefault="00E82A60" w:rsidP="00300A01">
            <w:pPr>
              <w:spacing w:before="0" w:after="0"/>
              <w:rPr>
                <w:sz w:val="10"/>
                <w:szCs w:val="10"/>
                <w:lang w:val="fr-BE"/>
              </w:rPr>
            </w:pPr>
            <w:r w:rsidRPr="00601E29">
              <w:rPr>
                <w:noProof/>
                <w:sz w:val="10"/>
                <w:szCs w:val="10"/>
                <w:lang w:val="fr-BE"/>
              </w:rPr>
              <w:t>Ocena przydatności form szkoleniowych dla beneficjentów</w:t>
            </w:r>
          </w:p>
        </w:tc>
        <w:tc>
          <w:tcPr>
            <w:tcW w:w="0" w:type="auto"/>
            <w:shd w:val="clear" w:color="auto" w:fill="auto"/>
          </w:tcPr>
          <w:p w14:paraId="08757358" w14:textId="77777777" w:rsidR="008C5CFA" w:rsidRPr="00601E29" w:rsidRDefault="008C5CFA" w:rsidP="00300A01">
            <w:pPr>
              <w:spacing w:before="0" w:after="0"/>
              <w:rPr>
                <w:sz w:val="10"/>
                <w:szCs w:val="10"/>
                <w:lang w:val="fr-BE"/>
              </w:rPr>
            </w:pPr>
          </w:p>
        </w:tc>
        <w:tc>
          <w:tcPr>
            <w:tcW w:w="0" w:type="auto"/>
          </w:tcPr>
          <w:p w14:paraId="1CD6A3C7"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7155D498"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04C9BA1E"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49F5BDC8"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737E73ED"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553235DF" w14:textId="77777777" w:rsidR="008C5CFA" w:rsidRPr="00601E29" w:rsidRDefault="00E82A60" w:rsidP="00300A01">
            <w:pPr>
              <w:spacing w:before="0" w:after="0"/>
              <w:jc w:val="right"/>
              <w:rPr>
                <w:sz w:val="10"/>
                <w:szCs w:val="10"/>
                <w:lang w:val="fr-BE"/>
              </w:rPr>
            </w:pPr>
            <w:r w:rsidRPr="00601E29">
              <w:rPr>
                <w:noProof/>
                <w:sz w:val="10"/>
                <w:szCs w:val="10"/>
                <w:lang w:val="fr-BE"/>
              </w:rPr>
              <w:t>0,00</w:t>
            </w:r>
          </w:p>
        </w:tc>
        <w:tc>
          <w:tcPr>
            <w:tcW w:w="0" w:type="auto"/>
          </w:tcPr>
          <w:p w14:paraId="02497FB6" w14:textId="77777777" w:rsidR="008C5CFA" w:rsidRPr="00601E29" w:rsidRDefault="008C5CFA" w:rsidP="00300A01">
            <w:pPr>
              <w:spacing w:before="0" w:after="0"/>
              <w:jc w:val="right"/>
              <w:rPr>
                <w:sz w:val="10"/>
                <w:szCs w:val="10"/>
                <w:lang w:val="fr-BE"/>
              </w:rPr>
            </w:pPr>
          </w:p>
        </w:tc>
      </w:tr>
    </w:tbl>
    <w:p w14:paraId="3678AC02" w14:textId="77777777" w:rsidR="008C5CFA" w:rsidRDefault="008C5CFA" w:rsidP="00300A01">
      <w:pPr>
        <w:spacing w:before="0" w:after="0"/>
        <w:rPr>
          <w:lang w:val="fr-BE"/>
        </w:rPr>
      </w:pPr>
    </w:p>
    <w:p w14:paraId="4E6B8F3C" w14:textId="77777777" w:rsidR="008C5CFA" w:rsidRDefault="00E82A60" w:rsidP="00300A01">
      <w:pPr>
        <w:spacing w:before="0" w:after="0"/>
        <w:rPr>
          <w:lang w:val="fr-BE"/>
        </w:rPr>
      </w:pPr>
      <w:r>
        <w:rPr>
          <w:lang w:val="fr-BE"/>
        </w:rPr>
        <w:br w:type="page"/>
      </w:r>
    </w:p>
    <w:p w14:paraId="0F62C7B8" w14:textId="77777777" w:rsidR="00203AAA" w:rsidRDefault="00E82A60" w:rsidP="00203AAA">
      <w:pPr>
        <w:pStyle w:val="Nagwek2"/>
        <w:spacing w:before="0" w:after="0"/>
        <w:rPr>
          <w:lang w:val="fr-BE"/>
        </w:rPr>
      </w:pPr>
      <w:bookmarkStart w:id="84" w:name="_Toc46391768"/>
      <w:r>
        <w:rPr>
          <w:noProof/>
          <w:lang w:val="fr-BE"/>
        </w:rPr>
        <w:lastRenderedPageBreak/>
        <w:t>Tabela 3B: Liczba przedsiębiorstw otrzymujących wsparcie w ramach programu operacyjnego — przy czym każde przedsiębiorstwo liczone jest tylko raz, niezależnie od liczby projektów w ramach danego przedsiębiorstwa</w:t>
      </w:r>
      <w:bookmarkEnd w:id="84"/>
    </w:p>
    <w:p w14:paraId="5B9485EE" w14:textId="77777777" w:rsidR="00203AAA" w:rsidRDefault="00203AAA" w:rsidP="00203AAA">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0"/>
        <w:gridCol w:w="9414"/>
      </w:tblGrid>
      <w:tr w:rsidR="006B2EC1" w14:paraId="5AE28374" w14:textId="77777777" w:rsidTr="003C0F39">
        <w:tc>
          <w:tcPr>
            <w:tcW w:w="0" w:type="auto"/>
            <w:shd w:val="clear" w:color="auto" w:fill="auto"/>
          </w:tcPr>
          <w:p w14:paraId="6BE2DC1E" w14:textId="77777777" w:rsidR="00203AAA" w:rsidRPr="0087203A" w:rsidRDefault="00E82A60" w:rsidP="003C0F39">
            <w:pPr>
              <w:spacing w:before="0" w:after="0"/>
              <w:rPr>
                <w:lang w:val="fr-BE"/>
              </w:rPr>
            </w:pPr>
            <w:r w:rsidRPr="0087203A">
              <w:rPr>
                <w:noProof/>
                <w:lang w:val="fr-BE"/>
              </w:rPr>
              <w:t>Wskaźnik</w:t>
            </w:r>
          </w:p>
        </w:tc>
        <w:tc>
          <w:tcPr>
            <w:tcW w:w="0" w:type="auto"/>
            <w:shd w:val="clear" w:color="auto" w:fill="auto"/>
          </w:tcPr>
          <w:p w14:paraId="792350DF" w14:textId="77777777" w:rsidR="00203AAA" w:rsidRPr="0087203A" w:rsidRDefault="00E82A60" w:rsidP="003C0F39">
            <w:pPr>
              <w:spacing w:before="0" w:after="0"/>
              <w:rPr>
                <w:lang w:val="fr-BE"/>
              </w:rPr>
            </w:pPr>
            <w:r w:rsidRPr="0087203A">
              <w:rPr>
                <w:noProof/>
                <w:lang w:val="fr-BE"/>
              </w:rPr>
              <w:t>Liczba przedsiębiorstw otrzymujących wsparcie w ramach PO – przy czym każde przedsiębiorstwo liczone jest tylko raz, niezależnie od liczby projektów w ramach danego przedsiębiorstwa</w:t>
            </w:r>
          </w:p>
        </w:tc>
      </w:tr>
      <w:tr w:rsidR="006B2EC1" w14:paraId="08427BE0" w14:textId="77777777" w:rsidTr="003C0F39">
        <w:tc>
          <w:tcPr>
            <w:tcW w:w="0" w:type="auto"/>
            <w:shd w:val="clear" w:color="auto" w:fill="auto"/>
          </w:tcPr>
          <w:p w14:paraId="3ED9F080" w14:textId="77777777" w:rsidR="00203AAA" w:rsidRPr="0087203A" w:rsidRDefault="00E82A60" w:rsidP="003C0F39">
            <w:pPr>
              <w:spacing w:before="0" w:after="0"/>
              <w:rPr>
                <w:lang w:val="fr-BE"/>
              </w:rPr>
            </w:pPr>
            <w:r w:rsidRPr="0087203A">
              <w:rPr>
                <w:noProof/>
                <w:lang w:val="fr-BE"/>
              </w:rPr>
              <w:t>CO01</w:t>
            </w:r>
            <w:r w:rsidRPr="0087203A">
              <w:rPr>
                <w:lang w:val="fr-BE"/>
              </w:rPr>
              <w:t xml:space="preserve"> - </w:t>
            </w:r>
            <w:r w:rsidRPr="0087203A">
              <w:rPr>
                <w:noProof/>
                <w:lang w:val="fr-BE"/>
              </w:rPr>
              <w:t>Inwestycje produkcyjne: liczba przedsiębiorstw otrzymujących wsparcie</w:t>
            </w:r>
          </w:p>
        </w:tc>
        <w:tc>
          <w:tcPr>
            <w:tcW w:w="0" w:type="auto"/>
            <w:shd w:val="clear" w:color="auto" w:fill="auto"/>
          </w:tcPr>
          <w:p w14:paraId="49EC45E7" w14:textId="77777777" w:rsidR="00203AAA" w:rsidRPr="0087203A" w:rsidRDefault="00E82A60" w:rsidP="003C0F39">
            <w:pPr>
              <w:spacing w:before="0" w:after="0"/>
              <w:jc w:val="right"/>
              <w:rPr>
                <w:lang w:val="fr-BE"/>
              </w:rPr>
            </w:pPr>
            <w:r w:rsidRPr="0087203A">
              <w:rPr>
                <w:noProof/>
                <w:lang w:val="fr-BE"/>
              </w:rPr>
              <w:t>1 158</w:t>
            </w:r>
          </w:p>
        </w:tc>
      </w:tr>
      <w:tr w:rsidR="006B2EC1" w14:paraId="12F19497" w14:textId="77777777" w:rsidTr="003C0F39">
        <w:tc>
          <w:tcPr>
            <w:tcW w:w="0" w:type="auto"/>
            <w:shd w:val="clear" w:color="auto" w:fill="auto"/>
          </w:tcPr>
          <w:p w14:paraId="7996E264" w14:textId="77777777" w:rsidR="00203AAA" w:rsidRPr="0087203A" w:rsidRDefault="00E82A60" w:rsidP="003C0F39">
            <w:pPr>
              <w:spacing w:before="0" w:after="0"/>
              <w:rPr>
                <w:lang w:val="fr-BE"/>
              </w:rPr>
            </w:pPr>
            <w:r w:rsidRPr="0087203A">
              <w:rPr>
                <w:noProof/>
                <w:lang w:val="fr-BE"/>
              </w:rPr>
              <w:t>CO02</w:t>
            </w:r>
            <w:r w:rsidRPr="0087203A">
              <w:rPr>
                <w:lang w:val="fr-BE"/>
              </w:rPr>
              <w:t xml:space="preserve"> - </w:t>
            </w:r>
            <w:r w:rsidRPr="0087203A">
              <w:rPr>
                <w:noProof/>
                <w:lang w:val="fr-BE"/>
              </w:rPr>
              <w:t>Inwestycje produkcyjne: liczba przedsiębiorstw otrzymujących dotacje</w:t>
            </w:r>
          </w:p>
        </w:tc>
        <w:tc>
          <w:tcPr>
            <w:tcW w:w="0" w:type="auto"/>
            <w:shd w:val="clear" w:color="auto" w:fill="auto"/>
          </w:tcPr>
          <w:p w14:paraId="2C780200" w14:textId="77777777" w:rsidR="00203AAA" w:rsidRPr="0087203A" w:rsidRDefault="00E82A60" w:rsidP="003C0F39">
            <w:pPr>
              <w:spacing w:before="0" w:after="0"/>
              <w:jc w:val="right"/>
              <w:rPr>
                <w:lang w:val="fr-BE"/>
              </w:rPr>
            </w:pPr>
            <w:r w:rsidRPr="0087203A">
              <w:rPr>
                <w:noProof/>
                <w:lang w:val="fr-BE"/>
              </w:rPr>
              <w:t>250</w:t>
            </w:r>
          </w:p>
        </w:tc>
      </w:tr>
      <w:tr w:rsidR="006B2EC1" w14:paraId="7F9538D3" w14:textId="77777777" w:rsidTr="003C0F39">
        <w:tc>
          <w:tcPr>
            <w:tcW w:w="0" w:type="auto"/>
            <w:shd w:val="clear" w:color="auto" w:fill="auto"/>
          </w:tcPr>
          <w:p w14:paraId="58DE2F7C" w14:textId="77777777" w:rsidR="00203AAA" w:rsidRPr="0087203A" w:rsidRDefault="00E82A60" w:rsidP="003C0F39">
            <w:pPr>
              <w:spacing w:before="0" w:after="0"/>
              <w:rPr>
                <w:lang w:val="fr-BE"/>
              </w:rPr>
            </w:pPr>
            <w:r w:rsidRPr="0087203A">
              <w:rPr>
                <w:noProof/>
                <w:lang w:val="fr-BE"/>
              </w:rPr>
              <w:t>CO03</w:t>
            </w:r>
            <w:r w:rsidRPr="0087203A">
              <w:rPr>
                <w:lang w:val="fr-BE"/>
              </w:rPr>
              <w:t xml:space="preserve"> - </w:t>
            </w:r>
            <w:r w:rsidRPr="0087203A">
              <w:rPr>
                <w:noProof/>
                <w:lang w:val="fr-BE"/>
              </w:rPr>
              <w:t>Inwestycje produkcyjne: liczba przedsiębiorstw otrzymujących wsparcie finansowe inne niż dotacje</w:t>
            </w:r>
          </w:p>
        </w:tc>
        <w:tc>
          <w:tcPr>
            <w:tcW w:w="0" w:type="auto"/>
            <w:shd w:val="clear" w:color="auto" w:fill="auto"/>
          </w:tcPr>
          <w:p w14:paraId="5ED07E96" w14:textId="77777777" w:rsidR="00203AAA" w:rsidRPr="0087203A" w:rsidRDefault="00E82A60" w:rsidP="003C0F39">
            <w:pPr>
              <w:spacing w:before="0" w:after="0"/>
              <w:jc w:val="right"/>
              <w:rPr>
                <w:lang w:val="fr-BE"/>
              </w:rPr>
            </w:pPr>
            <w:r w:rsidRPr="0087203A">
              <w:rPr>
                <w:noProof/>
                <w:lang w:val="fr-BE"/>
              </w:rPr>
              <w:t>583</w:t>
            </w:r>
          </w:p>
        </w:tc>
      </w:tr>
      <w:tr w:rsidR="006B2EC1" w14:paraId="3F0E89A8" w14:textId="77777777" w:rsidTr="003C0F39">
        <w:tc>
          <w:tcPr>
            <w:tcW w:w="0" w:type="auto"/>
            <w:shd w:val="clear" w:color="auto" w:fill="auto"/>
          </w:tcPr>
          <w:p w14:paraId="1AB1EBEB" w14:textId="77777777" w:rsidR="00203AAA" w:rsidRPr="0087203A" w:rsidRDefault="00E82A60" w:rsidP="003C0F39">
            <w:pPr>
              <w:spacing w:before="0" w:after="0"/>
              <w:rPr>
                <w:lang w:val="fr-BE"/>
              </w:rPr>
            </w:pPr>
            <w:r w:rsidRPr="0087203A">
              <w:rPr>
                <w:noProof/>
                <w:lang w:val="fr-BE"/>
              </w:rPr>
              <w:t>CO04</w:t>
            </w:r>
            <w:r w:rsidRPr="0087203A">
              <w:rPr>
                <w:lang w:val="fr-BE"/>
              </w:rPr>
              <w:t xml:space="preserve"> - </w:t>
            </w:r>
            <w:r w:rsidRPr="0087203A">
              <w:rPr>
                <w:noProof/>
                <w:lang w:val="fr-BE"/>
              </w:rPr>
              <w:t>Inwestycje produkcyjne: liczba przedsiębiorstw otrzymujących wsparcie niefinansowe</w:t>
            </w:r>
          </w:p>
        </w:tc>
        <w:tc>
          <w:tcPr>
            <w:tcW w:w="0" w:type="auto"/>
            <w:shd w:val="clear" w:color="auto" w:fill="auto"/>
          </w:tcPr>
          <w:p w14:paraId="36B45430" w14:textId="77777777" w:rsidR="00203AAA" w:rsidRPr="0087203A" w:rsidRDefault="00E82A60" w:rsidP="003C0F39">
            <w:pPr>
              <w:spacing w:before="0" w:after="0"/>
              <w:jc w:val="right"/>
              <w:rPr>
                <w:lang w:val="fr-BE"/>
              </w:rPr>
            </w:pPr>
            <w:r w:rsidRPr="0087203A">
              <w:rPr>
                <w:noProof/>
                <w:lang w:val="fr-BE"/>
              </w:rPr>
              <w:t>265</w:t>
            </w:r>
          </w:p>
        </w:tc>
      </w:tr>
      <w:tr w:rsidR="006B2EC1" w14:paraId="658F00C7" w14:textId="77777777" w:rsidTr="003C0F39">
        <w:tc>
          <w:tcPr>
            <w:tcW w:w="0" w:type="auto"/>
            <w:shd w:val="clear" w:color="auto" w:fill="auto"/>
          </w:tcPr>
          <w:p w14:paraId="2BC3D22A" w14:textId="77777777" w:rsidR="00203AAA" w:rsidRPr="0087203A" w:rsidRDefault="00E82A60" w:rsidP="003C0F39">
            <w:pPr>
              <w:spacing w:before="0" w:after="0"/>
              <w:rPr>
                <w:lang w:val="fr-BE"/>
              </w:rPr>
            </w:pPr>
            <w:r w:rsidRPr="0087203A">
              <w:rPr>
                <w:noProof/>
                <w:lang w:val="fr-BE"/>
              </w:rPr>
              <w:t>CO05</w:t>
            </w:r>
            <w:r w:rsidRPr="0087203A">
              <w:rPr>
                <w:lang w:val="fr-BE"/>
              </w:rPr>
              <w:t xml:space="preserve"> - </w:t>
            </w:r>
            <w:r w:rsidRPr="0087203A">
              <w:rPr>
                <w:noProof/>
                <w:lang w:val="fr-BE"/>
              </w:rPr>
              <w:t>Inwestycje produkcyjne: liczba wspieranych nowych przedsiębiorstw</w:t>
            </w:r>
          </w:p>
        </w:tc>
        <w:tc>
          <w:tcPr>
            <w:tcW w:w="0" w:type="auto"/>
            <w:shd w:val="clear" w:color="auto" w:fill="auto"/>
          </w:tcPr>
          <w:p w14:paraId="126270D3" w14:textId="77777777" w:rsidR="00203AAA" w:rsidRPr="0087203A" w:rsidRDefault="00E82A60" w:rsidP="003C0F39">
            <w:pPr>
              <w:spacing w:before="0" w:after="0"/>
              <w:jc w:val="right"/>
              <w:rPr>
                <w:lang w:val="fr-BE"/>
              </w:rPr>
            </w:pPr>
            <w:r w:rsidRPr="0087203A">
              <w:rPr>
                <w:noProof/>
                <w:lang w:val="fr-BE"/>
              </w:rPr>
              <w:t>16</w:t>
            </w:r>
          </w:p>
        </w:tc>
      </w:tr>
    </w:tbl>
    <w:p w14:paraId="3A1DBFFD" w14:textId="77777777" w:rsidR="00203AAA" w:rsidRDefault="00203AAA" w:rsidP="00203AAA">
      <w:pPr>
        <w:spacing w:before="0" w:after="0"/>
        <w:rPr>
          <w:lang w:val="fr-BE"/>
        </w:rPr>
      </w:pPr>
    </w:p>
    <w:p w14:paraId="225B23C1" w14:textId="77777777" w:rsidR="008C5CFA" w:rsidRPr="008E457C" w:rsidRDefault="00203AAA" w:rsidP="00300A01">
      <w:pPr>
        <w:pStyle w:val="Nagwek2"/>
        <w:spacing w:before="0" w:after="0"/>
        <w:rPr>
          <w:lang w:val="fr-BE"/>
        </w:rPr>
      </w:pPr>
      <w:r>
        <w:rPr>
          <w:lang w:val="fr-BE"/>
        </w:rPr>
        <w:br w:type="page"/>
      </w:r>
      <w:bookmarkStart w:id="85" w:name="_Toc46391769"/>
      <w:r w:rsidR="00E82A60" w:rsidRPr="008E457C">
        <w:rPr>
          <w:noProof/>
          <w:lang w:val="fr-BE"/>
        </w:rPr>
        <w:lastRenderedPageBreak/>
        <w:t>Tabela 5</w:t>
      </w:r>
      <w:r w:rsidR="00E82A60" w:rsidRPr="008E457C">
        <w:rPr>
          <w:lang w:val="fr-BE"/>
        </w:rPr>
        <w:t xml:space="preserve">: </w:t>
      </w:r>
      <w:r w:rsidR="00E82A60" w:rsidRPr="008E457C">
        <w:rPr>
          <w:noProof/>
          <w:lang w:val="fr-BE"/>
        </w:rPr>
        <w:t>Informacje na temat celów pośrednich i końcowych określonych w ramach wykonania</w:t>
      </w:r>
      <w:bookmarkEnd w:id="85"/>
    </w:p>
    <w:p w14:paraId="1D776A99"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824"/>
        <w:gridCol w:w="833"/>
        <w:gridCol w:w="1089"/>
        <w:gridCol w:w="4255"/>
        <w:gridCol w:w="785"/>
        <w:gridCol w:w="497"/>
        <w:gridCol w:w="822"/>
        <w:gridCol w:w="943"/>
        <w:gridCol w:w="1000"/>
        <w:gridCol w:w="894"/>
        <w:gridCol w:w="890"/>
        <w:gridCol w:w="1241"/>
        <w:gridCol w:w="1111"/>
      </w:tblGrid>
      <w:tr w:rsidR="006B2EC1" w14:paraId="38339337" w14:textId="77777777" w:rsidTr="0047688D">
        <w:trPr>
          <w:tblHeader/>
        </w:trPr>
        <w:tc>
          <w:tcPr>
            <w:tcW w:w="0" w:type="auto"/>
            <w:shd w:val="clear" w:color="auto" w:fill="auto"/>
          </w:tcPr>
          <w:p w14:paraId="09412E00" w14:textId="77777777" w:rsidR="008C5CFA" w:rsidRPr="00D4605F" w:rsidRDefault="00E82A60" w:rsidP="00300A01">
            <w:pPr>
              <w:spacing w:before="0" w:after="0"/>
              <w:rPr>
                <w:b/>
                <w:sz w:val="12"/>
                <w:szCs w:val="12"/>
                <w:lang w:val="fr-BE"/>
              </w:rPr>
            </w:pPr>
            <w:r w:rsidRPr="00D4605F">
              <w:rPr>
                <w:b/>
                <w:noProof/>
                <w:sz w:val="12"/>
                <w:szCs w:val="12"/>
                <w:lang w:val="fr-BE"/>
              </w:rPr>
              <w:t>Oś priorytetowa</w:t>
            </w:r>
          </w:p>
        </w:tc>
        <w:tc>
          <w:tcPr>
            <w:tcW w:w="0" w:type="auto"/>
            <w:shd w:val="clear" w:color="auto" w:fill="auto"/>
          </w:tcPr>
          <w:p w14:paraId="248E753E" w14:textId="77777777" w:rsidR="008C5CFA" w:rsidRPr="00D4605F" w:rsidRDefault="00E82A60" w:rsidP="00300A01">
            <w:pPr>
              <w:spacing w:before="0" w:after="0"/>
              <w:rPr>
                <w:b/>
                <w:sz w:val="12"/>
                <w:szCs w:val="12"/>
                <w:lang w:val="fr-BE"/>
              </w:rPr>
            </w:pPr>
            <w:r w:rsidRPr="00D4605F">
              <w:rPr>
                <w:b/>
                <w:noProof/>
                <w:sz w:val="12"/>
                <w:szCs w:val="12"/>
                <w:lang w:val="fr-BE"/>
              </w:rPr>
              <w:t>Rodzaj wskaźnika</w:t>
            </w:r>
          </w:p>
        </w:tc>
        <w:tc>
          <w:tcPr>
            <w:tcW w:w="0" w:type="auto"/>
            <w:shd w:val="clear" w:color="auto" w:fill="auto"/>
          </w:tcPr>
          <w:p w14:paraId="08348AB1" w14:textId="77777777" w:rsidR="008C5CFA" w:rsidRPr="00D4605F" w:rsidRDefault="00E82A60" w:rsidP="00300A01">
            <w:pPr>
              <w:spacing w:before="0" w:after="0"/>
              <w:rPr>
                <w:b/>
                <w:sz w:val="12"/>
                <w:szCs w:val="12"/>
                <w:lang w:val="fr-BE"/>
              </w:rPr>
            </w:pPr>
            <w:r w:rsidRPr="00D4605F">
              <w:rPr>
                <w:b/>
                <w:noProof/>
                <w:sz w:val="12"/>
                <w:szCs w:val="12"/>
                <w:lang w:val="fr-BE"/>
              </w:rPr>
              <w:t>Numer identyfikacyjny</w:t>
            </w:r>
          </w:p>
        </w:tc>
        <w:tc>
          <w:tcPr>
            <w:tcW w:w="0" w:type="auto"/>
            <w:shd w:val="clear" w:color="auto" w:fill="auto"/>
          </w:tcPr>
          <w:p w14:paraId="62B9607F" w14:textId="77777777" w:rsidR="008C5CFA" w:rsidRPr="00D4605F" w:rsidRDefault="00E82A60" w:rsidP="00300A01">
            <w:pPr>
              <w:spacing w:before="0" w:after="0"/>
              <w:rPr>
                <w:b/>
                <w:sz w:val="12"/>
                <w:szCs w:val="12"/>
                <w:lang w:val="fr-BE"/>
              </w:rPr>
            </w:pPr>
            <w:r w:rsidRPr="00D4605F">
              <w:rPr>
                <w:b/>
                <w:noProof/>
                <w:sz w:val="12"/>
                <w:szCs w:val="12"/>
                <w:lang w:val="fr-BE"/>
              </w:rPr>
              <w:t>Wskaźnik</w:t>
            </w:r>
          </w:p>
        </w:tc>
        <w:tc>
          <w:tcPr>
            <w:tcW w:w="0" w:type="auto"/>
            <w:shd w:val="clear" w:color="auto" w:fill="auto"/>
          </w:tcPr>
          <w:p w14:paraId="7CB7CAD0" w14:textId="77777777" w:rsidR="008C5CFA" w:rsidRPr="00D4605F" w:rsidRDefault="00E82A60" w:rsidP="00300A01">
            <w:pPr>
              <w:spacing w:before="0" w:after="0"/>
              <w:rPr>
                <w:b/>
                <w:sz w:val="12"/>
                <w:szCs w:val="12"/>
                <w:lang w:val="fr-BE"/>
              </w:rPr>
            </w:pPr>
            <w:r w:rsidRPr="00D4605F">
              <w:rPr>
                <w:b/>
                <w:noProof/>
                <w:sz w:val="12"/>
                <w:szCs w:val="12"/>
                <w:lang w:val="fr-BE"/>
              </w:rPr>
              <w:t>Jednostka miary</w:t>
            </w:r>
          </w:p>
        </w:tc>
        <w:tc>
          <w:tcPr>
            <w:tcW w:w="0" w:type="auto"/>
            <w:shd w:val="clear" w:color="auto" w:fill="auto"/>
          </w:tcPr>
          <w:p w14:paraId="31EC963C" w14:textId="77777777" w:rsidR="008C5CFA" w:rsidRPr="00D4605F" w:rsidRDefault="00E82A60" w:rsidP="00300A01">
            <w:pPr>
              <w:spacing w:before="0" w:after="0"/>
              <w:rPr>
                <w:b/>
                <w:sz w:val="12"/>
                <w:szCs w:val="12"/>
                <w:lang w:val="fr-BE"/>
              </w:rPr>
            </w:pPr>
            <w:r w:rsidRPr="00D4605F">
              <w:rPr>
                <w:b/>
                <w:noProof/>
                <w:sz w:val="12"/>
                <w:szCs w:val="12"/>
                <w:lang w:val="fr-BE"/>
              </w:rPr>
              <w:t>Fundusz</w:t>
            </w:r>
          </w:p>
        </w:tc>
        <w:tc>
          <w:tcPr>
            <w:tcW w:w="0" w:type="auto"/>
          </w:tcPr>
          <w:p w14:paraId="5C4C3B42" w14:textId="77777777" w:rsidR="008C5CFA" w:rsidRPr="00D4605F" w:rsidRDefault="00E82A60" w:rsidP="00300A01">
            <w:pPr>
              <w:spacing w:before="0" w:after="0"/>
              <w:rPr>
                <w:b/>
                <w:sz w:val="12"/>
                <w:szCs w:val="12"/>
                <w:lang w:val="fr-BE"/>
              </w:rPr>
            </w:pPr>
            <w:r w:rsidRPr="00D4605F">
              <w:rPr>
                <w:b/>
                <w:noProof/>
                <w:sz w:val="12"/>
                <w:szCs w:val="12"/>
                <w:lang w:val="fr-BE"/>
              </w:rPr>
              <w:t>Kategoria regionu</w:t>
            </w:r>
          </w:p>
        </w:tc>
        <w:tc>
          <w:tcPr>
            <w:tcW w:w="0" w:type="auto"/>
          </w:tcPr>
          <w:p w14:paraId="738A4D68" w14:textId="77777777" w:rsidR="008C5CFA" w:rsidRPr="00D4605F" w:rsidRDefault="00E82A60" w:rsidP="00300A01">
            <w:pPr>
              <w:spacing w:before="0" w:after="0"/>
              <w:jc w:val="center"/>
              <w:rPr>
                <w:b/>
                <w:sz w:val="12"/>
                <w:szCs w:val="12"/>
                <w:lang w:val="fr-BE"/>
              </w:rPr>
            </w:pPr>
            <w:r>
              <w:rPr>
                <w:b/>
                <w:sz w:val="12"/>
                <w:szCs w:val="12"/>
                <w:lang w:val="fr-BE"/>
              </w:rPr>
              <w:t xml:space="preserve">2019 </w:t>
            </w:r>
            <w:r w:rsidRPr="00D4605F">
              <w:rPr>
                <w:b/>
                <w:noProof/>
                <w:sz w:val="12"/>
                <w:szCs w:val="12"/>
                <w:lang w:val="fr-BE"/>
              </w:rPr>
              <w:t>Ogółem razem</w:t>
            </w:r>
          </w:p>
        </w:tc>
        <w:tc>
          <w:tcPr>
            <w:tcW w:w="0" w:type="auto"/>
          </w:tcPr>
          <w:p w14:paraId="1BC88758" w14:textId="77777777" w:rsidR="008C5CFA" w:rsidRPr="00D4605F" w:rsidRDefault="00E82A60" w:rsidP="00300A01">
            <w:pPr>
              <w:spacing w:before="0" w:after="0"/>
              <w:jc w:val="center"/>
              <w:rPr>
                <w:b/>
                <w:sz w:val="12"/>
                <w:szCs w:val="12"/>
                <w:lang w:val="fr-BE"/>
              </w:rPr>
            </w:pPr>
            <w:r>
              <w:rPr>
                <w:b/>
                <w:sz w:val="12"/>
                <w:szCs w:val="12"/>
                <w:lang w:val="fr-BE"/>
              </w:rPr>
              <w:t xml:space="preserve">2019 </w:t>
            </w:r>
            <w:r w:rsidRPr="00D4605F">
              <w:rPr>
                <w:b/>
                <w:noProof/>
                <w:sz w:val="12"/>
                <w:szCs w:val="12"/>
                <w:lang w:val="fr-BE"/>
              </w:rPr>
              <w:t>Ogółem mężczyźni</w:t>
            </w:r>
          </w:p>
        </w:tc>
        <w:tc>
          <w:tcPr>
            <w:tcW w:w="0" w:type="auto"/>
          </w:tcPr>
          <w:p w14:paraId="76FCF87B" w14:textId="77777777" w:rsidR="008C5CFA" w:rsidRPr="00D4605F" w:rsidRDefault="00E82A60" w:rsidP="00300A01">
            <w:pPr>
              <w:spacing w:before="0" w:after="0"/>
              <w:jc w:val="center"/>
              <w:rPr>
                <w:b/>
                <w:sz w:val="12"/>
                <w:szCs w:val="12"/>
                <w:lang w:val="fr-BE"/>
              </w:rPr>
            </w:pPr>
            <w:r>
              <w:rPr>
                <w:b/>
                <w:sz w:val="12"/>
                <w:szCs w:val="12"/>
                <w:lang w:val="fr-BE"/>
              </w:rPr>
              <w:t xml:space="preserve">2019 </w:t>
            </w:r>
            <w:r w:rsidRPr="00D4605F">
              <w:rPr>
                <w:b/>
                <w:noProof/>
                <w:sz w:val="12"/>
                <w:szCs w:val="12"/>
                <w:lang w:val="fr-BE"/>
              </w:rPr>
              <w:t>Ogółem kobiety</w:t>
            </w:r>
          </w:p>
        </w:tc>
        <w:tc>
          <w:tcPr>
            <w:tcW w:w="0" w:type="auto"/>
          </w:tcPr>
          <w:p w14:paraId="61D58BC1" w14:textId="77777777" w:rsidR="008C5CFA" w:rsidRPr="008C04A5" w:rsidRDefault="00E82A60" w:rsidP="00300A01">
            <w:pPr>
              <w:spacing w:before="0" w:after="0"/>
              <w:jc w:val="center"/>
              <w:rPr>
                <w:b/>
                <w:sz w:val="12"/>
                <w:szCs w:val="12"/>
                <w:lang w:val="fr-BE"/>
              </w:rPr>
            </w:pPr>
            <w:r>
              <w:rPr>
                <w:b/>
                <w:sz w:val="12"/>
                <w:szCs w:val="12"/>
                <w:lang w:val="fr-BE"/>
              </w:rPr>
              <w:t xml:space="preserve">2019 </w:t>
            </w:r>
            <w:r w:rsidRPr="008C04A5">
              <w:rPr>
                <w:b/>
                <w:noProof/>
                <w:sz w:val="12"/>
                <w:szCs w:val="12"/>
                <w:lang w:val="fr-BE"/>
              </w:rPr>
              <w:t>Rocznie ogółem</w:t>
            </w:r>
          </w:p>
        </w:tc>
        <w:tc>
          <w:tcPr>
            <w:tcW w:w="0" w:type="auto"/>
          </w:tcPr>
          <w:p w14:paraId="585F5BBB" w14:textId="77777777" w:rsidR="008C5CFA" w:rsidRPr="008C04A5" w:rsidRDefault="00E82A60" w:rsidP="00300A01">
            <w:pPr>
              <w:spacing w:before="0" w:after="0"/>
              <w:jc w:val="center"/>
              <w:rPr>
                <w:b/>
                <w:sz w:val="12"/>
                <w:szCs w:val="12"/>
                <w:lang w:val="fr-BE"/>
              </w:rPr>
            </w:pPr>
            <w:r>
              <w:rPr>
                <w:b/>
                <w:sz w:val="12"/>
                <w:szCs w:val="12"/>
                <w:lang w:val="fr-BE"/>
              </w:rPr>
              <w:t xml:space="preserve">2019 </w:t>
            </w:r>
            <w:r w:rsidRPr="008C04A5">
              <w:rPr>
                <w:b/>
                <w:noProof/>
                <w:sz w:val="12"/>
                <w:szCs w:val="12"/>
                <w:lang w:val="fr-BE"/>
              </w:rPr>
              <w:t>Rocznie ogółem mężczyźni</w:t>
            </w:r>
          </w:p>
        </w:tc>
        <w:tc>
          <w:tcPr>
            <w:tcW w:w="0" w:type="auto"/>
          </w:tcPr>
          <w:p w14:paraId="5D4EEEFF" w14:textId="77777777" w:rsidR="008C5CFA" w:rsidRPr="008C04A5" w:rsidRDefault="00E82A60" w:rsidP="00300A01">
            <w:pPr>
              <w:spacing w:before="0" w:after="0"/>
              <w:jc w:val="center"/>
              <w:rPr>
                <w:b/>
                <w:sz w:val="12"/>
                <w:szCs w:val="12"/>
                <w:lang w:val="fr-BE"/>
              </w:rPr>
            </w:pPr>
            <w:r>
              <w:rPr>
                <w:b/>
                <w:sz w:val="12"/>
                <w:szCs w:val="12"/>
                <w:lang w:val="fr-BE"/>
              </w:rPr>
              <w:t xml:space="preserve">2019 </w:t>
            </w:r>
            <w:r>
              <w:rPr>
                <w:b/>
                <w:noProof/>
                <w:sz w:val="12"/>
                <w:szCs w:val="12"/>
                <w:lang w:val="fr-BE"/>
              </w:rPr>
              <w:t>Rocznie ogółem kobiety</w:t>
            </w:r>
          </w:p>
        </w:tc>
      </w:tr>
      <w:tr w:rsidR="006B2EC1" w14:paraId="5B8208C3" w14:textId="77777777" w:rsidTr="0047688D">
        <w:tc>
          <w:tcPr>
            <w:tcW w:w="0" w:type="auto"/>
            <w:shd w:val="clear" w:color="auto" w:fill="auto"/>
          </w:tcPr>
          <w:p w14:paraId="2DA37202" w14:textId="77777777" w:rsidR="008C5CFA" w:rsidRPr="00D4605F" w:rsidRDefault="00E82A60" w:rsidP="00300A01">
            <w:pPr>
              <w:spacing w:before="0" w:after="0"/>
              <w:rPr>
                <w:sz w:val="12"/>
                <w:szCs w:val="12"/>
                <w:lang w:val="fr-BE"/>
              </w:rPr>
            </w:pPr>
            <w:r w:rsidRPr="00D4605F">
              <w:rPr>
                <w:noProof/>
                <w:sz w:val="12"/>
                <w:szCs w:val="12"/>
                <w:lang w:val="fr-BE"/>
              </w:rPr>
              <w:t>1</w:t>
            </w:r>
          </w:p>
        </w:tc>
        <w:tc>
          <w:tcPr>
            <w:tcW w:w="0" w:type="auto"/>
            <w:shd w:val="clear" w:color="auto" w:fill="auto"/>
          </w:tcPr>
          <w:p w14:paraId="72598613" w14:textId="77777777" w:rsidR="008C5CFA" w:rsidRPr="00D4605F" w:rsidRDefault="00E82A60" w:rsidP="00300A01">
            <w:pPr>
              <w:spacing w:before="0" w:after="0"/>
              <w:rPr>
                <w:sz w:val="12"/>
                <w:szCs w:val="12"/>
                <w:lang w:val="fr-BE"/>
              </w:rPr>
            </w:pPr>
            <w:r w:rsidRPr="00D4605F">
              <w:rPr>
                <w:noProof/>
                <w:sz w:val="12"/>
                <w:szCs w:val="12"/>
                <w:lang w:val="fr-BE"/>
              </w:rPr>
              <w:t>F</w:t>
            </w:r>
          </w:p>
        </w:tc>
        <w:tc>
          <w:tcPr>
            <w:tcW w:w="0" w:type="auto"/>
            <w:shd w:val="clear" w:color="auto" w:fill="auto"/>
          </w:tcPr>
          <w:p w14:paraId="6F796E73" w14:textId="77777777" w:rsidR="008C5CFA" w:rsidRPr="00D4605F" w:rsidRDefault="00E82A60" w:rsidP="00300A01">
            <w:pPr>
              <w:spacing w:before="0" w:after="0"/>
              <w:rPr>
                <w:sz w:val="12"/>
                <w:szCs w:val="12"/>
                <w:lang w:val="fr-BE"/>
              </w:rPr>
            </w:pPr>
            <w:r w:rsidRPr="00D4605F">
              <w:rPr>
                <w:noProof/>
                <w:sz w:val="12"/>
                <w:szCs w:val="12"/>
                <w:lang w:val="fr-BE"/>
              </w:rPr>
              <w:t>001</w:t>
            </w:r>
          </w:p>
        </w:tc>
        <w:tc>
          <w:tcPr>
            <w:tcW w:w="0" w:type="auto"/>
            <w:shd w:val="clear" w:color="auto" w:fill="auto"/>
          </w:tcPr>
          <w:p w14:paraId="208F332E" w14:textId="77777777" w:rsidR="008C5CFA" w:rsidRPr="00D4605F" w:rsidRDefault="00E82A60" w:rsidP="00300A01">
            <w:pPr>
              <w:spacing w:before="0" w:after="0"/>
              <w:rPr>
                <w:sz w:val="12"/>
                <w:szCs w:val="12"/>
                <w:lang w:val="fr-BE"/>
              </w:rPr>
            </w:pPr>
            <w:r w:rsidRPr="00D4605F">
              <w:rPr>
                <w:noProof/>
                <w:sz w:val="12"/>
                <w:szCs w:val="12"/>
                <w:lang w:val="fr-BE"/>
              </w:rPr>
              <w:t>Całkowita kwota certyfikowanych wydatków kwalifikowalnych</w:t>
            </w:r>
          </w:p>
        </w:tc>
        <w:tc>
          <w:tcPr>
            <w:tcW w:w="0" w:type="auto"/>
            <w:shd w:val="clear" w:color="auto" w:fill="auto"/>
          </w:tcPr>
          <w:p w14:paraId="30AB39DD" w14:textId="77777777" w:rsidR="008C5CFA" w:rsidRPr="00D4605F" w:rsidRDefault="00E82A60" w:rsidP="00300A01">
            <w:pPr>
              <w:spacing w:before="0" w:after="0"/>
              <w:rPr>
                <w:sz w:val="12"/>
                <w:szCs w:val="12"/>
                <w:lang w:val="fr-BE"/>
              </w:rPr>
            </w:pPr>
            <w:r w:rsidRPr="00D4605F">
              <w:rPr>
                <w:noProof/>
                <w:sz w:val="12"/>
                <w:szCs w:val="12"/>
                <w:lang w:val="fr-BE"/>
              </w:rPr>
              <w:t>EUR</w:t>
            </w:r>
          </w:p>
        </w:tc>
        <w:tc>
          <w:tcPr>
            <w:tcW w:w="0" w:type="auto"/>
            <w:shd w:val="clear" w:color="auto" w:fill="auto"/>
          </w:tcPr>
          <w:p w14:paraId="33D79812" w14:textId="77777777" w:rsidR="008C5CFA" w:rsidRPr="00D4605F" w:rsidRDefault="00E82A60" w:rsidP="00300A01">
            <w:pPr>
              <w:spacing w:before="0" w:after="0"/>
              <w:rPr>
                <w:sz w:val="12"/>
                <w:szCs w:val="12"/>
                <w:lang w:val="fr-BE"/>
              </w:rPr>
            </w:pPr>
            <w:r w:rsidRPr="00D4605F">
              <w:rPr>
                <w:noProof/>
                <w:sz w:val="12"/>
                <w:szCs w:val="12"/>
                <w:lang w:val="fr-BE"/>
              </w:rPr>
              <w:t>EFRR</w:t>
            </w:r>
          </w:p>
        </w:tc>
        <w:tc>
          <w:tcPr>
            <w:tcW w:w="0" w:type="auto"/>
          </w:tcPr>
          <w:p w14:paraId="70F1BAA2" w14:textId="77777777" w:rsidR="008C5CFA" w:rsidRPr="00D4605F" w:rsidRDefault="00E82A60" w:rsidP="00300A01">
            <w:pPr>
              <w:spacing w:before="0" w:after="0"/>
              <w:rPr>
                <w:sz w:val="12"/>
                <w:szCs w:val="12"/>
                <w:lang w:val="fr-BE"/>
              </w:rPr>
            </w:pPr>
            <w:r w:rsidRPr="00D4605F">
              <w:rPr>
                <w:noProof/>
                <w:sz w:val="12"/>
                <w:szCs w:val="12"/>
                <w:lang w:val="fr-BE"/>
              </w:rPr>
              <w:t>Słabiej rozwinięte</w:t>
            </w:r>
          </w:p>
        </w:tc>
        <w:tc>
          <w:tcPr>
            <w:tcW w:w="0" w:type="auto"/>
          </w:tcPr>
          <w:p w14:paraId="0491DFBA" w14:textId="77777777" w:rsidR="008C5CFA" w:rsidRPr="00D4605F" w:rsidRDefault="00E82A60" w:rsidP="00136029">
            <w:pPr>
              <w:spacing w:before="0" w:after="0"/>
              <w:jc w:val="right"/>
              <w:rPr>
                <w:sz w:val="12"/>
                <w:szCs w:val="12"/>
                <w:lang w:val="fr-BE"/>
              </w:rPr>
            </w:pPr>
            <w:r>
              <w:rPr>
                <w:noProof/>
                <w:sz w:val="12"/>
                <w:szCs w:val="12"/>
                <w:lang w:val="fr-BE"/>
              </w:rPr>
              <w:t>19 667 982,67</w:t>
            </w:r>
          </w:p>
        </w:tc>
        <w:tc>
          <w:tcPr>
            <w:tcW w:w="0" w:type="auto"/>
          </w:tcPr>
          <w:p w14:paraId="6B40943F" w14:textId="77777777" w:rsidR="008C5CFA" w:rsidRPr="00D4605F" w:rsidRDefault="008C5CFA" w:rsidP="00300A01">
            <w:pPr>
              <w:spacing w:before="0" w:after="0"/>
              <w:jc w:val="right"/>
              <w:rPr>
                <w:sz w:val="12"/>
                <w:szCs w:val="12"/>
                <w:lang w:val="fr-BE"/>
              </w:rPr>
            </w:pPr>
          </w:p>
        </w:tc>
        <w:tc>
          <w:tcPr>
            <w:tcW w:w="0" w:type="auto"/>
          </w:tcPr>
          <w:p w14:paraId="27841F23" w14:textId="77777777" w:rsidR="008C5CFA" w:rsidRPr="00D4605F" w:rsidRDefault="008C5CFA" w:rsidP="00300A01">
            <w:pPr>
              <w:spacing w:before="0" w:after="0"/>
              <w:jc w:val="right"/>
              <w:rPr>
                <w:sz w:val="12"/>
                <w:szCs w:val="12"/>
                <w:lang w:val="fr-BE"/>
              </w:rPr>
            </w:pPr>
          </w:p>
        </w:tc>
        <w:tc>
          <w:tcPr>
            <w:tcW w:w="0" w:type="auto"/>
          </w:tcPr>
          <w:p w14:paraId="12AB4B13" w14:textId="77777777" w:rsidR="008C5CFA" w:rsidRPr="008C04A5" w:rsidRDefault="008C5CFA" w:rsidP="00300A01">
            <w:pPr>
              <w:spacing w:before="0" w:after="0"/>
              <w:jc w:val="right"/>
              <w:rPr>
                <w:sz w:val="12"/>
                <w:szCs w:val="12"/>
                <w:lang w:val="fr-BE"/>
              </w:rPr>
            </w:pPr>
          </w:p>
        </w:tc>
        <w:tc>
          <w:tcPr>
            <w:tcW w:w="0" w:type="auto"/>
          </w:tcPr>
          <w:p w14:paraId="506BC4B5" w14:textId="77777777" w:rsidR="008C5CFA" w:rsidRPr="008C04A5" w:rsidRDefault="008C5CFA" w:rsidP="00300A01">
            <w:pPr>
              <w:spacing w:before="0" w:after="0"/>
              <w:jc w:val="right"/>
              <w:rPr>
                <w:sz w:val="12"/>
                <w:szCs w:val="12"/>
                <w:lang w:val="fr-BE"/>
              </w:rPr>
            </w:pPr>
          </w:p>
        </w:tc>
        <w:tc>
          <w:tcPr>
            <w:tcW w:w="0" w:type="auto"/>
          </w:tcPr>
          <w:p w14:paraId="5166456B" w14:textId="77777777" w:rsidR="008C5CFA" w:rsidRPr="008C04A5" w:rsidRDefault="008C5CFA" w:rsidP="00300A01">
            <w:pPr>
              <w:spacing w:before="0" w:after="0"/>
              <w:jc w:val="right"/>
              <w:rPr>
                <w:sz w:val="12"/>
                <w:szCs w:val="12"/>
                <w:lang w:val="fr-BE"/>
              </w:rPr>
            </w:pPr>
          </w:p>
        </w:tc>
      </w:tr>
      <w:tr w:rsidR="006B2EC1" w14:paraId="5C5973E0" w14:textId="77777777" w:rsidTr="0047688D">
        <w:tc>
          <w:tcPr>
            <w:tcW w:w="0" w:type="auto"/>
            <w:shd w:val="clear" w:color="auto" w:fill="auto"/>
          </w:tcPr>
          <w:p w14:paraId="26971A73" w14:textId="77777777" w:rsidR="008C5CFA" w:rsidRPr="00D4605F" w:rsidRDefault="00E82A60" w:rsidP="00300A01">
            <w:pPr>
              <w:spacing w:before="0" w:after="0"/>
              <w:rPr>
                <w:sz w:val="12"/>
                <w:szCs w:val="12"/>
                <w:lang w:val="fr-BE"/>
              </w:rPr>
            </w:pPr>
            <w:r w:rsidRPr="00D4605F">
              <w:rPr>
                <w:noProof/>
                <w:sz w:val="12"/>
                <w:szCs w:val="12"/>
                <w:lang w:val="fr-BE"/>
              </w:rPr>
              <w:t>1</w:t>
            </w:r>
          </w:p>
        </w:tc>
        <w:tc>
          <w:tcPr>
            <w:tcW w:w="0" w:type="auto"/>
            <w:shd w:val="clear" w:color="auto" w:fill="auto"/>
          </w:tcPr>
          <w:p w14:paraId="0DDE800D" w14:textId="77777777" w:rsidR="008C5CFA" w:rsidRPr="00D4605F" w:rsidRDefault="00E82A60" w:rsidP="00300A01">
            <w:pPr>
              <w:spacing w:before="0" w:after="0"/>
              <w:rPr>
                <w:sz w:val="12"/>
                <w:szCs w:val="12"/>
                <w:lang w:val="fr-BE"/>
              </w:rPr>
            </w:pPr>
            <w:r w:rsidRPr="00D4605F">
              <w:rPr>
                <w:noProof/>
                <w:sz w:val="12"/>
                <w:szCs w:val="12"/>
                <w:lang w:val="fr-BE"/>
              </w:rPr>
              <w:t>I</w:t>
            </w:r>
          </w:p>
        </w:tc>
        <w:tc>
          <w:tcPr>
            <w:tcW w:w="0" w:type="auto"/>
            <w:shd w:val="clear" w:color="auto" w:fill="auto"/>
          </w:tcPr>
          <w:p w14:paraId="2BE33722" w14:textId="77777777" w:rsidR="008C5CFA" w:rsidRPr="00D4605F" w:rsidRDefault="00E82A60" w:rsidP="00300A01">
            <w:pPr>
              <w:spacing w:before="0" w:after="0"/>
              <w:rPr>
                <w:sz w:val="12"/>
                <w:szCs w:val="12"/>
                <w:lang w:val="fr-BE"/>
              </w:rPr>
            </w:pPr>
            <w:r w:rsidRPr="00D4605F">
              <w:rPr>
                <w:noProof/>
                <w:sz w:val="12"/>
                <w:szCs w:val="12"/>
                <w:lang w:val="fr-BE"/>
              </w:rPr>
              <w:t>002</w:t>
            </w:r>
          </w:p>
        </w:tc>
        <w:tc>
          <w:tcPr>
            <w:tcW w:w="0" w:type="auto"/>
            <w:shd w:val="clear" w:color="auto" w:fill="auto"/>
          </w:tcPr>
          <w:p w14:paraId="46C6E6F9" w14:textId="77777777" w:rsidR="008C5CFA" w:rsidRPr="00D4605F" w:rsidRDefault="00E82A60" w:rsidP="00300A01">
            <w:pPr>
              <w:spacing w:before="0" w:after="0"/>
              <w:rPr>
                <w:sz w:val="12"/>
                <w:szCs w:val="12"/>
                <w:lang w:val="fr-BE"/>
              </w:rPr>
            </w:pPr>
            <w:r w:rsidRPr="00D4605F">
              <w:rPr>
                <w:noProof/>
                <w:sz w:val="12"/>
                <w:szCs w:val="12"/>
                <w:lang w:val="fr-BE"/>
              </w:rPr>
              <w:t>liczba jednostek naukowych ponoszących nakłady inwestycyjne na działalność B+R w podpisanych umowach</w:t>
            </w:r>
          </w:p>
        </w:tc>
        <w:tc>
          <w:tcPr>
            <w:tcW w:w="0" w:type="auto"/>
            <w:shd w:val="clear" w:color="auto" w:fill="auto"/>
          </w:tcPr>
          <w:p w14:paraId="5797AD35" w14:textId="77777777" w:rsidR="008C5CFA" w:rsidRPr="00D4605F" w:rsidRDefault="00E82A60" w:rsidP="00300A01">
            <w:pPr>
              <w:spacing w:before="0" w:after="0"/>
              <w:rPr>
                <w:sz w:val="12"/>
                <w:szCs w:val="12"/>
                <w:lang w:val="fr-BE"/>
              </w:rPr>
            </w:pPr>
            <w:r w:rsidRPr="00D4605F">
              <w:rPr>
                <w:noProof/>
                <w:sz w:val="12"/>
                <w:szCs w:val="12"/>
                <w:lang w:val="fr-BE"/>
              </w:rPr>
              <w:t>szt</w:t>
            </w:r>
          </w:p>
        </w:tc>
        <w:tc>
          <w:tcPr>
            <w:tcW w:w="0" w:type="auto"/>
            <w:shd w:val="clear" w:color="auto" w:fill="auto"/>
          </w:tcPr>
          <w:p w14:paraId="70DCA06B" w14:textId="77777777" w:rsidR="008C5CFA" w:rsidRPr="00D4605F" w:rsidRDefault="00E82A60" w:rsidP="00300A01">
            <w:pPr>
              <w:spacing w:before="0" w:after="0"/>
              <w:rPr>
                <w:sz w:val="12"/>
                <w:szCs w:val="12"/>
                <w:lang w:val="fr-BE"/>
              </w:rPr>
            </w:pPr>
            <w:r w:rsidRPr="00D4605F">
              <w:rPr>
                <w:noProof/>
                <w:sz w:val="12"/>
                <w:szCs w:val="12"/>
                <w:lang w:val="fr-BE"/>
              </w:rPr>
              <w:t>EFRR</w:t>
            </w:r>
          </w:p>
        </w:tc>
        <w:tc>
          <w:tcPr>
            <w:tcW w:w="0" w:type="auto"/>
          </w:tcPr>
          <w:p w14:paraId="5B0324BA" w14:textId="77777777" w:rsidR="008C5CFA" w:rsidRPr="00D4605F" w:rsidRDefault="00E82A60" w:rsidP="00300A01">
            <w:pPr>
              <w:spacing w:before="0" w:after="0"/>
              <w:rPr>
                <w:sz w:val="12"/>
                <w:szCs w:val="12"/>
                <w:lang w:val="fr-BE"/>
              </w:rPr>
            </w:pPr>
            <w:r w:rsidRPr="00D4605F">
              <w:rPr>
                <w:noProof/>
                <w:sz w:val="12"/>
                <w:szCs w:val="12"/>
                <w:lang w:val="fr-BE"/>
              </w:rPr>
              <w:t>Słabiej rozwinięte</w:t>
            </w:r>
          </w:p>
        </w:tc>
        <w:tc>
          <w:tcPr>
            <w:tcW w:w="0" w:type="auto"/>
          </w:tcPr>
          <w:p w14:paraId="22A4D727" w14:textId="77777777" w:rsidR="008C5CFA" w:rsidRPr="00D4605F" w:rsidRDefault="00E82A60" w:rsidP="00136029">
            <w:pPr>
              <w:spacing w:before="0" w:after="0"/>
              <w:jc w:val="right"/>
              <w:rPr>
                <w:sz w:val="12"/>
                <w:szCs w:val="12"/>
                <w:lang w:val="fr-BE"/>
              </w:rPr>
            </w:pPr>
            <w:r>
              <w:rPr>
                <w:noProof/>
                <w:sz w:val="12"/>
                <w:szCs w:val="12"/>
                <w:lang w:val="fr-BE"/>
              </w:rPr>
              <w:t>4,00</w:t>
            </w:r>
          </w:p>
        </w:tc>
        <w:tc>
          <w:tcPr>
            <w:tcW w:w="0" w:type="auto"/>
          </w:tcPr>
          <w:p w14:paraId="28DEB601" w14:textId="77777777" w:rsidR="008C5CFA" w:rsidRPr="00D4605F" w:rsidRDefault="008C5CFA" w:rsidP="00300A01">
            <w:pPr>
              <w:spacing w:before="0" w:after="0"/>
              <w:jc w:val="right"/>
              <w:rPr>
                <w:sz w:val="12"/>
                <w:szCs w:val="12"/>
                <w:lang w:val="fr-BE"/>
              </w:rPr>
            </w:pPr>
          </w:p>
        </w:tc>
        <w:tc>
          <w:tcPr>
            <w:tcW w:w="0" w:type="auto"/>
          </w:tcPr>
          <w:p w14:paraId="02F91F1B" w14:textId="77777777" w:rsidR="008C5CFA" w:rsidRPr="00D4605F" w:rsidRDefault="008C5CFA" w:rsidP="00300A01">
            <w:pPr>
              <w:spacing w:before="0" w:after="0"/>
              <w:jc w:val="right"/>
              <w:rPr>
                <w:sz w:val="12"/>
                <w:szCs w:val="12"/>
                <w:lang w:val="fr-BE"/>
              </w:rPr>
            </w:pPr>
          </w:p>
        </w:tc>
        <w:tc>
          <w:tcPr>
            <w:tcW w:w="0" w:type="auto"/>
          </w:tcPr>
          <w:p w14:paraId="2A2B0103" w14:textId="77777777" w:rsidR="008C5CFA" w:rsidRPr="008C04A5" w:rsidRDefault="008C5CFA" w:rsidP="00300A01">
            <w:pPr>
              <w:spacing w:before="0" w:after="0"/>
              <w:jc w:val="right"/>
              <w:rPr>
                <w:sz w:val="12"/>
                <w:szCs w:val="12"/>
                <w:lang w:val="fr-BE"/>
              </w:rPr>
            </w:pPr>
          </w:p>
        </w:tc>
        <w:tc>
          <w:tcPr>
            <w:tcW w:w="0" w:type="auto"/>
          </w:tcPr>
          <w:p w14:paraId="4ED29E64" w14:textId="77777777" w:rsidR="008C5CFA" w:rsidRPr="008C04A5" w:rsidRDefault="008C5CFA" w:rsidP="00300A01">
            <w:pPr>
              <w:spacing w:before="0" w:after="0"/>
              <w:jc w:val="right"/>
              <w:rPr>
                <w:sz w:val="12"/>
                <w:szCs w:val="12"/>
                <w:lang w:val="fr-BE"/>
              </w:rPr>
            </w:pPr>
          </w:p>
        </w:tc>
        <w:tc>
          <w:tcPr>
            <w:tcW w:w="0" w:type="auto"/>
          </w:tcPr>
          <w:p w14:paraId="01134C0E" w14:textId="77777777" w:rsidR="008C5CFA" w:rsidRPr="008C04A5" w:rsidRDefault="008C5CFA" w:rsidP="00300A01">
            <w:pPr>
              <w:spacing w:before="0" w:after="0"/>
              <w:jc w:val="right"/>
              <w:rPr>
                <w:sz w:val="12"/>
                <w:szCs w:val="12"/>
                <w:lang w:val="fr-BE"/>
              </w:rPr>
            </w:pPr>
          </w:p>
        </w:tc>
      </w:tr>
      <w:tr w:rsidR="006B2EC1" w14:paraId="77B439C8" w14:textId="77777777" w:rsidTr="0047688D">
        <w:tc>
          <w:tcPr>
            <w:tcW w:w="0" w:type="auto"/>
            <w:shd w:val="clear" w:color="auto" w:fill="auto"/>
          </w:tcPr>
          <w:p w14:paraId="6EBF3A74" w14:textId="77777777" w:rsidR="008C5CFA" w:rsidRPr="00D4605F" w:rsidRDefault="00E82A60" w:rsidP="00300A01">
            <w:pPr>
              <w:spacing w:before="0" w:after="0"/>
              <w:rPr>
                <w:sz w:val="12"/>
                <w:szCs w:val="12"/>
                <w:lang w:val="fr-BE"/>
              </w:rPr>
            </w:pPr>
            <w:r w:rsidRPr="00D4605F">
              <w:rPr>
                <w:noProof/>
                <w:sz w:val="12"/>
                <w:szCs w:val="12"/>
                <w:lang w:val="fr-BE"/>
              </w:rPr>
              <w:t>1</w:t>
            </w:r>
          </w:p>
        </w:tc>
        <w:tc>
          <w:tcPr>
            <w:tcW w:w="0" w:type="auto"/>
            <w:shd w:val="clear" w:color="auto" w:fill="auto"/>
          </w:tcPr>
          <w:p w14:paraId="393276E4" w14:textId="77777777" w:rsidR="008C5CFA" w:rsidRPr="00D4605F" w:rsidRDefault="00E82A60" w:rsidP="00300A01">
            <w:pPr>
              <w:spacing w:before="0" w:after="0"/>
              <w:rPr>
                <w:sz w:val="12"/>
                <w:szCs w:val="12"/>
                <w:lang w:val="fr-BE"/>
              </w:rPr>
            </w:pPr>
            <w:r w:rsidRPr="00D4605F">
              <w:rPr>
                <w:noProof/>
                <w:sz w:val="12"/>
                <w:szCs w:val="12"/>
                <w:lang w:val="fr-BE"/>
              </w:rPr>
              <w:t>O</w:t>
            </w:r>
          </w:p>
        </w:tc>
        <w:tc>
          <w:tcPr>
            <w:tcW w:w="0" w:type="auto"/>
            <w:shd w:val="clear" w:color="auto" w:fill="auto"/>
          </w:tcPr>
          <w:p w14:paraId="6007E151" w14:textId="77777777" w:rsidR="008C5CFA" w:rsidRPr="00D4605F" w:rsidRDefault="00E82A60" w:rsidP="00300A01">
            <w:pPr>
              <w:spacing w:before="0" w:after="0"/>
              <w:rPr>
                <w:sz w:val="12"/>
                <w:szCs w:val="12"/>
                <w:lang w:val="fr-BE"/>
              </w:rPr>
            </w:pPr>
            <w:r w:rsidRPr="00D4605F">
              <w:rPr>
                <w:noProof/>
                <w:sz w:val="12"/>
                <w:szCs w:val="12"/>
                <w:lang w:val="fr-BE"/>
              </w:rPr>
              <w:t>025</w:t>
            </w:r>
          </w:p>
        </w:tc>
        <w:tc>
          <w:tcPr>
            <w:tcW w:w="0" w:type="auto"/>
            <w:shd w:val="clear" w:color="auto" w:fill="auto"/>
          </w:tcPr>
          <w:p w14:paraId="295BCE1F" w14:textId="77777777" w:rsidR="008C5CFA" w:rsidRPr="00D4605F" w:rsidRDefault="00E82A60" w:rsidP="00300A01">
            <w:pPr>
              <w:spacing w:before="0" w:after="0"/>
              <w:rPr>
                <w:sz w:val="12"/>
                <w:szCs w:val="12"/>
                <w:lang w:val="fr-BE"/>
              </w:rPr>
            </w:pPr>
            <w:r w:rsidRPr="00D4605F">
              <w:rPr>
                <w:noProof/>
                <w:sz w:val="12"/>
                <w:szCs w:val="12"/>
                <w:lang w:val="fr-BE"/>
              </w:rPr>
              <w:t>Liczba jednostek naukowych ponoszących nakłady inwestycyjne na działalność B+R</w:t>
            </w:r>
          </w:p>
        </w:tc>
        <w:tc>
          <w:tcPr>
            <w:tcW w:w="0" w:type="auto"/>
            <w:shd w:val="clear" w:color="auto" w:fill="auto"/>
          </w:tcPr>
          <w:p w14:paraId="41FF521B" w14:textId="77777777" w:rsidR="008C5CFA" w:rsidRPr="00D4605F" w:rsidRDefault="00E82A60" w:rsidP="00300A01">
            <w:pPr>
              <w:spacing w:before="0" w:after="0"/>
              <w:rPr>
                <w:sz w:val="12"/>
                <w:szCs w:val="12"/>
                <w:lang w:val="fr-BE"/>
              </w:rPr>
            </w:pPr>
            <w:r w:rsidRPr="00D4605F">
              <w:rPr>
                <w:noProof/>
                <w:sz w:val="12"/>
                <w:szCs w:val="12"/>
                <w:lang w:val="fr-BE"/>
              </w:rPr>
              <w:t>sztuka</w:t>
            </w:r>
          </w:p>
        </w:tc>
        <w:tc>
          <w:tcPr>
            <w:tcW w:w="0" w:type="auto"/>
            <w:shd w:val="clear" w:color="auto" w:fill="auto"/>
          </w:tcPr>
          <w:p w14:paraId="7AFD9D49" w14:textId="77777777" w:rsidR="008C5CFA" w:rsidRPr="00D4605F" w:rsidRDefault="00E82A60" w:rsidP="00300A01">
            <w:pPr>
              <w:spacing w:before="0" w:after="0"/>
              <w:rPr>
                <w:sz w:val="12"/>
                <w:szCs w:val="12"/>
                <w:lang w:val="fr-BE"/>
              </w:rPr>
            </w:pPr>
            <w:r w:rsidRPr="00D4605F">
              <w:rPr>
                <w:noProof/>
                <w:sz w:val="12"/>
                <w:szCs w:val="12"/>
                <w:lang w:val="fr-BE"/>
              </w:rPr>
              <w:t>EFRR</w:t>
            </w:r>
          </w:p>
        </w:tc>
        <w:tc>
          <w:tcPr>
            <w:tcW w:w="0" w:type="auto"/>
          </w:tcPr>
          <w:p w14:paraId="6E8804A9" w14:textId="77777777" w:rsidR="008C5CFA" w:rsidRPr="00D4605F" w:rsidRDefault="00E82A60" w:rsidP="00300A01">
            <w:pPr>
              <w:spacing w:before="0" w:after="0"/>
              <w:rPr>
                <w:sz w:val="12"/>
                <w:szCs w:val="12"/>
                <w:lang w:val="fr-BE"/>
              </w:rPr>
            </w:pPr>
            <w:r w:rsidRPr="00D4605F">
              <w:rPr>
                <w:noProof/>
                <w:sz w:val="12"/>
                <w:szCs w:val="12"/>
                <w:lang w:val="fr-BE"/>
              </w:rPr>
              <w:t>Słabiej rozwinięte</w:t>
            </w:r>
          </w:p>
        </w:tc>
        <w:tc>
          <w:tcPr>
            <w:tcW w:w="0" w:type="auto"/>
          </w:tcPr>
          <w:p w14:paraId="7327AD12" w14:textId="77777777" w:rsidR="008C5CFA" w:rsidRPr="00D4605F" w:rsidRDefault="00E82A60" w:rsidP="00136029">
            <w:pPr>
              <w:spacing w:before="0" w:after="0"/>
              <w:jc w:val="right"/>
              <w:rPr>
                <w:sz w:val="12"/>
                <w:szCs w:val="12"/>
                <w:lang w:val="fr-BE"/>
              </w:rPr>
            </w:pPr>
            <w:r>
              <w:rPr>
                <w:noProof/>
                <w:sz w:val="12"/>
                <w:szCs w:val="12"/>
                <w:lang w:val="fr-BE"/>
              </w:rPr>
              <w:t>2,00</w:t>
            </w:r>
          </w:p>
        </w:tc>
        <w:tc>
          <w:tcPr>
            <w:tcW w:w="0" w:type="auto"/>
          </w:tcPr>
          <w:p w14:paraId="5427781C" w14:textId="77777777" w:rsidR="008C5CFA" w:rsidRPr="00D4605F" w:rsidRDefault="008C5CFA" w:rsidP="00300A01">
            <w:pPr>
              <w:spacing w:before="0" w:after="0"/>
              <w:jc w:val="right"/>
              <w:rPr>
                <w:sz w:val="12"/>
                <w:szCs w:val="12"/>
                <w:lang w:val="fr-BE"/>
              </w:rPr>
            </w:pPr>
          </w:p>
        </w:tc>
        <w:tc>
          <w:tcPr>
            <w:tcW w:w="0" w:type="auto"/>
          </w:tcPr>
          <w:p w14:paraId="0937ABA8" w14:textId="77777777" w:rsidR="008C5CFA" w:rsidRPr="00D4605F" w:rsidRDefault="008C5CFA" w:rsidP="00300A01">
            <w:pPr>
              <w:spacing w:before="0" w:after="0"/>
              <w:jc w:val="right"/>
              <w:rPr>
                <w:sz w:val="12"/>
                <w:szCs w:val="12"/>
                <w:lang w:val="fr-BE"/>
              </w:rPr>
            </w:pPr>
          </w:p>
        </w:tc>
        <w:tc>
          <w:tcPr>
            <w:tcW w:w="0" w:type="auto"/>
          </w:tcPr>
          <w:p w14:paraId="37C10B92" w14:textId="77777777" w:rsidR="008C5CFA" w:rsidRPr="008C04A5" w:rsidRDefault="008C5CFA" w:rsidP="00300A01">
            <w:pPr>
              <w:spacing w:before="0" w:after="0"/>
              <w:jc w:val="right"/>
              <w:rPr>
                <w:sz w:val="12"/>
                <w:szCs w:val="12"/>
                <w:lang w:val="fr-BE"/>
              </w:rPr>
            </w:pPr>
          </w:p>
        </w:tc>
        <w:tc>
          <w:tcPr>
            <w:tcW w:w="0" w:type="auto"/>
          </w:tcPr>
          <w:p w14:paraId="03E5BB15" w14:textId="77777777" w:rsidR="008C5CFA" w:rsidRPr="008C04A5" w:rsidRDefault="008C5CFA" w:rsidP="00300A01">
            <w:pPr>
              <w:spacing w:before="0" w:after="0"/>
              <w:jc w:val="right"/>
              <w:rPr>
                <w:sz w:val="12"/>
                <w:szCs w:val="12"/>
                <w:lang w:val="fr-BE"/>
              </w:rPr>
            </w:pPr>
          </w:p>
        </w:tc>
        <w:tc>
          <w:tcPr>
            <w:tcW w:w="0" w:type="auto"/>
          </w:tcPr>
          <w:p w14:paraId="1F46BC58" w14:textId="77777777" w:rsidR="008C5CFA" w:rsidRPr="008C04A5" w:rsidRDefault="008C5CFA" w:rsidP="00300A01">
            <w:pPr>
              <w:spacing w:before="0" w:after="0"/>
              <w:jc w:val="right"/>
              <w:rPr>
                <w:sz w:val="12"/>
                <w:szCs w:val="12"/>
                <w:lang w:val="fr-BE"/>
              </w:rPr>
            </w:pPr>
          </w:p>
        </w:tc>
      </w:tr>
      <w:tr w:rsidR="006B2EC1" w14:paraId="5B4E57B6" w14:textId="77777777" w:rsidTr="0047688D">
        <w:tc>
          <w:tcPr>
            <w:tcW w:w="0" w:type="auto"/>
            <w:shd w:val="clear" w:color="auto" w:fill="auto"/>
          </w:tcPr>
          <w:p w14:paraId="5819A83D" w14:textId="77777777" w:rsidR="008C5CFA" w:rsidRPr="00D4605F" w:rsidRDefault="00E82A60" w:rsidP="00300A01">
            <w:pPr>
              <w:spacing w:before="0" w:after="0"/>
              <w:rPr>
                <w:sz w:val="12"/>
                <w:szCs w:val="12"/>
                <w:lang w:val="fr-BE"/>
              </w:rPr>
            </w:pPr>
            <w:r w:rsidRPr="00D4605F">
              <w:rPr>
                <w:noProof/>
                <w:sz w:val="12"/>
                <w:szCs w:val="12"/>
                <w:lang w:val="fr-BE"/>
              </w:rPr>
              <w:t>10</w:t>
            </w:r>
          </w:p>
        </w:tc>
        <w:tc>
          <w:tcPr>
            <w:tcW w:w="0" w:type="auto"/>
            <w:shd w:val="clear" w:color="auto" w:fill="auto"/>
          </w:tcPr>
          <w:p w14:paraId="6B580C4A" w14:textId="77777777" w:rsidR="008C5CFA" w:rsidRPr="00D4605F" w:rsidRDefault="00E82A60" w:rsidP="00300A01">
            <w:pPr>
              <w:spacing w:before="0" w:after="0"/>
              <w:rPr>
                <w:sz w:val="12"/>
                <w:szCs w:val="12"/>
                <w:lang w:val="fr-BE"/>
              </w:rPr>
            </w:pPr>
            <w:r w:rsidRPr="00D4605F">
              <w:rPr>
                <w:noProof/>
                <w:sz w:val="12"/>
                <w:szCs w:val="12"/>
                <w:lang w:val="fr-BE"/>
              </w:rPr>
              <w:t>F</w:t>
            </w:r>
          </w:p>
        </w:tc>
        <w:tc>
          <w:tcPr>
            <w:tcW w:w="0" w:type="auto"/>
            <w:shd w:val="clear" w:color="auto" w:fill="auto"/>
          </w:tcPr>
          <w:p w14:paraId="2BDC74CF" w14:textId="77777777" w:rsidR="008C5CFA" w:rsidRPr="00D4605F" w:rsidRDefault="00E82A60" w:rsidP="00300A01">
            <w:pPr>
              <w:spacing w:before="0" w:after="0"/>
              <w:rPr>
                <w:sz w:val="12"/>
                <w:szCs w:val="12"/>
                <w:lang w:val="fr-BE"/>
              </w:rPr>
            </w:pPr>
            <w:r w:rsidRPr="00D4605F">
              <w:rPr>
                <w:noProof/>
                <w:sz w:val="12"/>
                <w:szCs w:val="12"/>
                <w:lang w:val="fr-BE"/>
              </w:rPr>
              <w:t>001</w:t>
            </w:r>
          </w:p>
        </w:tc>
        <w:tc>
          <w:tcPr>
            <w:tcW w:w="0" w:type="auto"/>
            <w:shd w:val="clear" w:color="auto" w:fill="auto"/>
          </w:tcPr>
          <w:p w14:paraId="437A01D7" w14:textId="77777777" w:rsidR="008C5CFA" w:rsidRPr="00D4605F" w:rsidRDefault="00E82A60" w:rsidP="00300A01">
            <w:pPr>
              <w:spacing w:before="0" w:after="0"/>
              <w:rPr>
                <w:sz w:val="12"/>
                <w:szCs w:val="12"/>
                <w:lang w:val="fr-BE"/>
              </w:rPr>
            </w:pPr>
            <w:r w:rsidRPr="00D4605F">
              <w:rPr>
                <w:noProof/>
                <w:sz w:val="12"/>
                <w:szCs w:val="12"/>
                <w:lang w:val="fr-BE"/>
              </w:rPr>
              <w:t>Całkowita kwota certyfikowanych wydatków kwalifikowalnych</w:t>
            </w:r>
          </w:p>
        </w:tc>
        <w:tc>
          <w:tcPr>
            <w:tcW w:w="0" w:type="auto"/>
            <w:shd w:val="clear" w:color="auto" w:fill="auto"/>
          </w:tcPr>
          <w:p w14:paraId="3AA56A60" w14:textId="77777777" w:rsidR="008C5CFA" w:rsidRPr="00D4605F" w:rsidRDefault="00E82A60" w:rsidP="00300A01">
            <w:pPr>
              <w:spacing w:before="0" w:after="0"/>
              <w:rPr>
                <w:sz w:val="12"/>
                <w:szCs w:val="12"/>
                <w:lang w:val="fr-BE"/>
              </w:rPr>
            </w:pPr>
            <w:r w:rsidRPr="00D4605F">
              <w:rPr>
                <w:noProof/>
                <w:sz w:val="12"/>
                <w:szCs w:val="12"/>
                <w:lang w:val="fr-BE"/>
              </w:rPr>
              <w:t>EUR</w:t>
            </w:r>
          </w:p>
        </w:tc>
        <w:tc>
          <w:tcPr>
            <w:tcW w:w="0" w:type="auto"/>
            <w:shd w:val="clear" w:color="auto" w:fill="auto"/>
          </w:tcPr>
          <w:p w14:paraId="76EEB379" w14:textId="77777777" w:rsidR="008C5CFA" w:rsidRPr="00D4605F" w:rsidRDefault="00E82A60" w:rsidP="00300A01">
            <w:pPr>
              <w:spacing w:before="0" w:after="0"/>
              <w:rPr>
                <w:sz w:val="12"/>
                <w:szCs w:val="12"/>
                <w:lang w:val="fr-BE"/>
              </w:rPr>
            </w:pPr>
            <w:r w:rsidRPr="00D4605F">
              <w:rPr>
                <w:noProof/>
                <w:sz w:val="12"/>
                <w:szCs w:val="12"/>
                <w:lang w:val="fr-BE"/>
              </w:rPr>
              <w:t>EFS</w:t>
            </w:r>
          </w:p>
        </w:tc>
        <w:tc>
          <w:tcPr>
            <w:tcW w:w="0" w:type="auto"/>
          </w:tcPr>
          <w:p w14:paraId="3E68178D" w14:textId="77777777" w:rsidR="008C5CFA" w:rsidRPr="00D4605F" w:rsidRDefault="00E82A60" w:rsidP="00300A01">
            <w:pPr>
              <w:spacing w:before="0" w:after="0"/>
              <w:rPr>
                <w:sz w:val="12"/>
                <w:szCs w:val="12"/>
                <w:lang w:val="fr-BE"/>
              </w:rPr>
            </w:pPr>
            <w:r w:rsidRPr="00D4605F">
              <w:rPr>
                <w:noProof/>
                <w:sz w:val="12"/>
                <w:szCs w:val="12"/>
                <w:lang w:val="fr-BE"/>
              </w:rPr>
              <w:t>Słabiej rozwinięte</w:t>
            </w:r>
          </w:p>
        </w:tc>
        <w:tc>
          <w:tcPr>
            <w:tcW w:w="0" w:type="auto"/>
          </w:tcPr>
          <w:p w14:paraId="3A5C59F5" w14:textId="77777777" w:rsidR="008C5CFA" w:rsidRPr="00D4605F" w:rsidRDefault="00E82A60" w:rsidP="00136029">
            <w:pPr>
              <w:spacing w:before="0" w:after="0"/>
              <w:jc w:val="right"/>
              <w:rPr>
                <w:sz w:val="12"/>
                <w:szCs w:val="12"/>
                <w:lang w:val="fr-BE"/>
              </w:rPr>
            </w:pPr>
            <w:r>
              <w:rPr>
                <w:noProof/>
                <w:sz w:val="12"/>
                <w:szCs w:val="12"/>
                <w:lang w:val="fr-BE"/>
              </w:rPr>
              <w:t>91 907 135,11</w:t>
            </w:r>
          </w:p>
        </w:tc>
        <w:tc>
          <w:tcPr>
            <w:tcW w:w="0" w:type="auto"/>
          </w:tcPr>
          <w:p w14:paraId="03F3EEC3" w14:textId="77777777" w:rsidR="008C5CFA" w:rsidRPr="00D4605F" w:rsidRDefault="008C5CFA" w:rsidP="00300A01">
            <w:pPr>
              <w:spacing w:before="0" w:after="0"/>
              <w:jc w:val="right"/>
              <w:rPr>
                <w:sz w:val="12"/>
                <w:szCs w:val="12"/>
                <w:lang w:val="fr-BE"/>
              </w:rPr>
            </w:pPr>
          </w:p>
        </w:tc>
        <w:tc>
          <w:tcPr>
            <w:tcW w:w="0" w:type="auto"/>
          </w:tcPr>
          <w:p w14:paraId="401B71C0" w14:textId="77777777" w:rsidR="008C5CFA" w:rsidRPr="00D4605F" w:rsidRDefault="008C5CFA" w:rsidP="00300A01">
            <w:pPr>
              <w:spacing w:before="0" w:after="0"/>
              <w:jc w:val="right"/>
              <w:rPr>
                <w:sz w:val="12"/>
                <w:szCs w:val="12"/>
                <w:lang w:val="fr-BE"/>
              </w:rPr>
            </w:pPr>
          </w:p>
        </w:tc>
        <w:tc>
          <w:tcPr>
            <w:tcW w:w="0" w:type="auto"/>
          </w:tcPr>
          <w:p w14:paraId="77E7B474" w14:textId="77777777" w:rsidR="008C5CFA" w:rsidRPr="008C04A5" w:rsidRDefault="008C5CFA" w:rsidP="00300A01">
            <w:pPr>
              <w:spacing w:before="0" w:after="0"/>
              <w:jc w:val="right"/>
              <w:rPr>
                <w:sz w:val="12"/>
                <w:szCs w:val="12"/>
                <w:lang w:val="fr-BE"/>
              </w:rPr>
            </w:pPr>
          </w:p>
        </w:tc>
        <w:tc>
          <w:tcPr>
            <w:tcW w:w="0" w:type="auto"/>
          </w:tcPr>
          <w:p w14:paraId="0F02C0F4" w14:textId="77777777" w:rsidR="008C5CFA" w:rsidRPr="008C04A5" w:rsidRDefault="008C5CFA" w:rsidP="00300A01">
            <w:pPr>
              <w:spacing w:before="0" w:after="0"/>
              <w:jc w:val="right"/>
              <w:rPr>
                <w:sz w:val="12"/>
                <w:szCs w:val="12"/>
                <w:lang w:val="fr-BE"/>
              </w:rPr>
            </w:pPr>
          </w:p>
        </w:tc>
        <w:tc>
          <w:tcPr>
            <w:tcW w:w="0" w:type="auto"/>
          </w:tcPr>
          <w:p w14:paraId="77B0F906" w14:textId="77777777" w:rsidR="008C5CFA" w:rsidRPr="008C04A5" w:rsidRDefault="008C5CFA" w:rsidP="00300A01">
            <w:pPr>
              <w:spacing w:before="0" w:after="0"/>
              <w:jc w:val="right"/>
              <w:rPr>
                <w:sz w:val="12"/>
                <w:szCs w:val="12"/>
                <w:lang w:val="fr-BE"/>
              </w:rPr>
            </w:pPr>
          </w:p>
        </w:tc>
      </w:tr>
      <w:tr w:rsidR="006B2EC1" w14:paraId="09EEA0FC" w14:textId="77777777" w:rsidTr="0047688D">
        <w:tc>
          <w:tcPr>
            <w:tcW w:w="0" w:type="auto"/>
            <w:shd w:val="clear" w:color="auto" w:fill="auto"/>
          </w:tcPr>
          <w:p w14:paraId="6787B6C2" w14:textId="77777777" w:rsidR="008C5CFA" w:rsidRPr="00D4605F" w:rsidRDefault="00E82A60" w:rsidP="00300A01">
            <w:pPr>
              <w:spacing w:before="0" w:after="0"/>
              <w:rPr>
                <w:sz w:val="12"/>
                <w:szCs w:val="12"/>
                <w:lang w:val="fr-BE"/>
              </w:rPr>
            </w:pPr>
            <w:r w:rsidRPr="00D4605F">
              <w:rPr>
                <w:noProof/>
                <w:sz w:val="12"/>
                <w:szCs w:val="12"/>
                <w:lang w:val="fr-BE"/>
              </w:rPr>
              <w:t>10</w:t>
            </w:r>
          </w:p>
        </w:tc>
        <w:tc>
          <w:tcPr>
            <w:tcW w:w="0" w:type="auto"/>
            <w:shd w:val="clear" w:color="auto" w:fill="auto"/>
          </w:tcPr>
          <w:p w14:paraId="5C7B21EB" w14:textId="77777777" w:rsidR="008C5CFA" w:rsidRPr="00D4605F" w:rsidRDefault="00E82A60" w:rsidP="00300A01">
            <w:pPr>
              <w:spacing w:before="0" w:after="0"/>
              <w:rPr>
                <w:sz w:val="12"/>
                <w:szCs w:val="12"/>
                <w:lang w:val="fr-BE"/>
              </w:rPr>
            </w:pPr>
            <w:r w:rsidRPr="00D4605F">
              <w:rPr>
                <w:noProof/>
                <w:sz w:val="12"/>
                <w:szCs w:val="12"/>
                <w:lang w:val="fr-BE"/>
              </w:rPr>
              <w:t>O</w:t>
            </w:r>
          </w:p>
        </w:tc>
        <w:tc>
          <w:tcPr>
            <w:tcW w:w="0" w:type="auto"/>
            <w:shd w:val="clear" w:color="auto" w:fill="auto"/>
          </w:tcPr>
          <w:p w14:paraId="7AD10E5B" w14:textId="77777777" w:rsidR="008C5CFA" w:rsidRPr="00D4605F" w:rsidRDefault="00E82A60" w:rsidP="00300A01">
            <w:pPr>
              <w:spacing w:before="0" w:after="0"/>
              <w:rPr>
                <w:sz w:val="12"/>
                <w:szCs w:val="12"/>
                <w:lang w:val="fr-BE"/>
              </w:rPr>
            </w:pPr>
            <w:r w:rsidRPr="00D4605F">
              <w:rPr>
                <w:noProof/>
                <w:sz w:val="12"/>
                <w:szCs w:val="12"/>
                <w:lang w:val="fr-BE"/>
              </w:rPr>
              <w:t>146</w:t>
            </w:r>
          </w:p>
        </w:tc>
        <w:tc>
          <w:tcPr>
            <w:tcW w:w="0" w:type="auto"/>
            <w:shd w:val="clear" w:color="auto" w:fill="auto"/>
          </w:tcPr>
          <w:p w14:paraId="4120BF08" w14:textId="77777777" w:rsidR="008C5CFA" w:rsidRPr="00D4605F" w:rsidRDefault="00E82A60" w:rsidP="00300A01">
            <w:pPr>
              <w:spacing w:before="0" w:after="0"/>
              <w:rPr>
                <w:sz w:val="12"/>
                <w:szCs w:val="12"/>
                <w:lang w:val="fr-BE"/>
              </w:rPr>
            </w:pPr>
            <w:r w:rsidRPr="00D4605F">
              <w:rPr>
                <w:noProof/>
                <w:sz w:val="12"/>
                <w:szCs w:val="12"/>
                <w:lang w:val="fr-BE"/>
              </w:rPr>
              <w:t>Liczba osób bezrobotnych (łącznie z długotrwale bezrobotnymi) objętych wsparciem</w:t>
            </w:r>
          </w:p>
        </w:tc>
        <w:tc>
          <w:tcPr>
            <w:tcW w:w="0" w:type="auto"/>
            <w:shd w:val="clear" w:color="auto" w:fill="auto"/>
          </w:tcPr>
          <w:p w14:paraId="204D670E" w14:textId="77777777" w:rsidR="008C5CFA" w:rsidRPr="00D4605F" w:rsidRDefault="00E82A60" w:rsidP="00300A01">
            <w:pPr>
              <w:spacing w:before="0" w:after="0"/>
              <w:rPr>
                <w:sz w:val="12"/>
                <w:szCs w:val="12"/>
                <w:lang w:val="fr-BE"/>
              </w:rPr>
            </w:pPr>
            <w:r w:rsidRPr="00D4605F">
              <w:rPr>
                <w:noProof/>
                <w:sz w:val="12"/>
                <w:szCs w:val="12"/>
                <w:lang w:val="fr-BE"/>
              </w:rPr>
              <w:t>Liczba</w:t>
            </w:r>
          </w:p>
        </w:tc>
        <w:tc>
          <w:tcPr>
            <w:tcW w:w="0" w:type="auto"/>
            <w:shd w:val="clear" w:color="auto" w:fill="auto"/>
          </w:tcPr>
          <w:p w14:paraId="5477530F" w14:textId="77777777" w:rsidR="008C5CFA" w:rsidRPr="00D4605F" w:rsidRDefault="00E82A60" w:rsidP="00300A01">
            <w:pPr>
              <w:spacing w:before="0" w:after="0"/>
              <w:rPr>
                <w:sz w:val="12"/>
                <w:szCs w:val="12"/>
                <w:lang w:val="fr-BE"/>
              </w:rPr>
            </w:pPr>
            <w:r w:rsidRPr="00D4605F">
              <w:rPr>
                <w:noProof/>
                <w:sz w:val="12"/>
                <w:szCs w:val="12"/>
                <w:lang w:val="fr-BE"/>
              </w:rPr>
              <w:t>EFS</w:t>
            </w:r>
          </w:p>
        </w:tc>
        <w:tc>
          <w:tcPr>
            <w:tcW w:w="0" w:type="auto"/>
          </w:tcPr>
          <w:p w14:paraId="00BA5187" w14:textId="77777777" w:rsidR="008C5CFA" w:rsidRPr="00D4605F" w:rsidRDefault="00E82A60" w:rsidP="00300A01">
            <w:pPr>
              <w:spacing w:before="0" w:after="0"/>
              <w:rPr>
                <w:sz w:val="12"/>
                <w:szCs w:val="12"/>
                <w:lang w:val="fr-BE"/>
              </w:rPr>
            </w:pPr>
            <w:r w:rsidRPr="00D4605F">
              <w:rPr>
                <w:noProof/>
                <w:sz w:val="12"/>
                <w:szCs w:val="12"/>
                <w:lang w:val="fr-BE"/>
              </w:rPr>
              <w:t>Słabiej rozwinięte</w:t>
            </w:r>
          </w:p>
        </w:tc>
        <w:tc>
          <w:tcPr>
            <w:tcW w:w="0" w:type="auto"/>
          </w:tcPr>
          <w:p w14:paraId="06D64AD0" w14:textId="77777777" w:rsidR="008C5CFA" w:rsidRPr="00D4605F" w:rsidRDefault="00E82A60" w:rsidP="00136029">
            <w:pPr>
              <w:spacing w:before="0" w:after="0"/>
              <w:jc w:val="right"/>
              <w:rPr>
                <w:sz w:val="12"/>
                <w:szCs w:val="12"/>
                <w:lang w:val="fr-BE"/>
              </w:rPr>
            </w:pPr>
            <w:r>
              <w:rPr>
                <w:noProof/>
                <w:sz w:val="12"/>
                <w:szCs w:val="12"/>
                <w:lang w:val="fr-BE"/>
              </w:rPr>
              <w:t>19 823,00</w:t>
            </w:r>
          </w:p>
        </w:tc>
        <w:tc>
          <w:tcPr>
            <w:tcW w:w="0" w:type="auto"/>
          </w:tcPr>
          <w:p w14:paraId="6600CBD4" w14:textId="77777777" w:rsidR="008C5CFA" w:rsidRPr="00D4605F" w:rsidRDefault="00E82A60" w:rsidP="00300A01">
            <w:pPr>
              <w:spacing w:before="0" w:after="0"/>
              <w:jc w:val="right"/>
              <w:rPr>
                <w:sz w:val="12"/>
                <w:szCs w:val="12"/>
                <w:lang w:val="fr-BE"/>
              </w:rPr>
            </w:pPr>
            <w:r>
              <w:rPr>
                <w:noProof/>
                <w:sz w:val="12"/>
                <w:szCs w:val="12"/>
                <w:lang w:val="fr-BE"/>
              </w:rPr>
              <w:t>8 346,00</w:t>
            </w:r>
          </w:p>
        </w:tc>
        <w:tc>
          <w:tcPr>
            <w:tcW w:w="0" w:type="auto"/>
          </w:tcPr>
          <w:p w14:paraId="4798672F" w14:textId="77777777" w:rsidR="008C5CFA" w:rsidRPr="00D4605F" w:rsidRDefault="00E82A60" w:rsidP="00300A01">
            <w:pPr>
              <w:spacing w:before="0" w:after="0"/>
              <w:jc w:val="right"/>
              <w:rPr>
                <w:sz w:val="12"/>
                <w:szCs w:val="12"/>
                <w:lang w:val="fr-BE"/>
              </w:rPr>
            </w:pPr>
            <w:r>
              <w:rPr>
                <w:noProof/>
                <w:sz w:val="12"/>
                <w:szCs w:val="12"/>
                <w:lang w:val="fr-BE"/>
              </w:rPr>
              <w:t>11 477,00</w:t>
            </w:r>
          </w:p>
        </w:tc>
        <w:tc>
          <w:tcPr>
            <w:tcW w:w="0" w:type="auto"/>
          </w:tcPr>
          <w:p w14:paraId="3CBB4C18" w14:textId="77777777" w:rsidR="008C5CFA" w:rsidRPr="008C04A5" w:rsidRDefault="00E82A60" w:rsidP="00300A01">
            <w:pPr>
              <w:spacing w:before="0" w:after="0"/>
              <w:jc w:val="right"/>
              <w:rPr>
                <w:sz w:val="12"/>
                <w:szCs w:val="12"/>
                <w:lang w:val="fr-BE"/>
              </w:rPr>
            </w:pPr>
            <w:r>
              <w:rPr>
                <w:noProof/>
                <w:sz w:val="12"/>
                <w:szCs w:val="12"/>
                <w:lang w:val="fr-BE"/>
              </w:rPr>
              <w:t>4 194,00</w:t>
            </w:r>
          </w:p>
        </w:tc>
        <w:tc>
          <w:tcPr>
            <w:tcW w:w="0" w:type="auto"/>
          </w:tcPr>
          <w:p w14:paraId="7862FC46" w14:textId="77777777" w:rsidR="008C5CFA" w:rsidRPr="008C04A5" w:rsidRDefault="00E82A60" w:rsidP="00300A01">
            <w:pPr>
              <w:spacing w:before="0" w:after="0"/>
              <w:jc w:val="right"/>
              <w:rPr>
                <w:sz w:val="12"/>
                <w:szCs w:val="12"/>
                <w:lang w:val="fr-BE"/>
              </w:rPr>
            </w:pPr>
            <w:r>
              <w:rPr>
                <w:noProof/>
                <w:sz w:val="12"/>
                <w:szCs w:val="12"/>
                <w:lang w:val="fr-BE"/>
              </w:rPr>
              <w:t>1 787,00</w:t>
            </w:r>
          </w:p>
        </w:tc>
        <w:tc>
          <w:tcPr>
            <w:tcW w:w="0" w:type="auto"/>
          </w:tcPr>
          <w:p w14:paraId="0874F52E" w14:textId="77777777" w:rsidR="008C5CFA" w:rsidRPr="008C04A5" w:rsidRDefault="00E82A60" w:rsidP="00300A01">
            <w:pPr>
              <w:spacing w:before="0" w:after="0"/>
              <w:jc w:val="right"/>
              <w:rPr>
                <w:sz w:val="12"/>
                <w:szCs w:val="12"/>
                <w:lang w:val="fr-BE"/>
              </w:rPr>
            </w:pPr>
            <w:r>
              <w:rPr>
                <w:noProof/>
                <w:sz w:val="12"/>
                <w:szCs w:val="12"/>
                <w:lang w:val="fr-BE"/>
              </w:rPr>
              <w:t>2 407,00</w:t>
            </w:r>
          </w:p>
        </w:tc>
      </w:tr>
      <w:tr w:rsidR="006B2EC1" w14:paraId="76F6C6B4" w14:textId="77777777" w:rsidTr="0047688D">
        <w:tc>
          <w:tcPr>
            <w:tcW w:w="0" w:type="auto"/>
            <w:shd w:val="clear" w:color="auto" w:fill="auto"/>
          </w:tcPr>
          <w:p w14:paraId="22A28AA9" w14:textId="77777777" w:rsidR="008C5CFA" w:rsidRPr="00D4605F" w:rsidRDefault="00E82A60" w:rsidP="00300A01">
            <w:pPr>
              <w:spacing w:before="0" w:after="0"/>
              <w:rPr>
                <w:sz w:val="12"/>
                <w:szCs w:val="12"/>
                <w:lang w:val="fr-BE"/>
              </w:rPr>
            </w:pPr>
            <w:r w:rsidRPr="00D4605F">
              <w:rPr>
                <w:noProof/>
                <w:sz w:val="12"/>
                <w:szCs w:val="12"/>
                <w:lang w:val="fr-BE"/>
              </w:rPr>
              <w:t>2</w:t>
            </w:r>
          </w:p>
        </w:tc>
        <w:tc>
          <w:tcPr>
            <w:tcW w:w="0" w:type="auto"/>
            <w:shd w:val="clear" w:color="auto" w:fill="auto"/>
          </w:tcPr>
          <w:p w14:paraId="50AE4831" w14:textId="77777777" w:rsidR="008C5CFA" w:rsidRPr="00D4605F" w:rsidRDefault="00E82A60" w:rsidP="00300A01">
            <w:pPr>
              <w:spacing w:before="0" w:after="0"/>
              <w:rPr>
                <w:sz w:val="12"/>
                <w:szCs w:val="12"/>
                <w:lang w:val="fr-BE"/>
              </w:rPr>
            </w:pPr>
            <w:r w:rsidRPr="00D4605F">
              <w:rPr>
                <w:noProof/>
                <w:sz w:val="12"/>
                <w:szCs w:val="12"/>
                <w:lang w:val="fr-BE"/>
              </w:rPr>
              <w:t>O</w:t>
            </w:r>
          </w:p>
        </w:tc>
        <w:tc>
          <w:tcPr>
            <w:tcW w:w="0" w:type="auto"/>
            <w:shd w:val="clear" w:color="auto" w:fill="auto"/>
          </w:tcPr>
          <w:p w14:paraId="49144EA0" w14:textId="77777777" w:rsidR="008C5CFA" w:rsidRPr="00D4605F" w:rsidRDefault="00E82A60" w:rsidP="00300A01">
            <w:pPr>
              <w:spacing w:before="0" w:after="0"/>
              <w:rPr>
                <w:sz w:val="12"/>
                <w:szCs w:val="12"/>
                <w:lang w:val="fr-BE"/>
              </w:rPr>
            </w:pPr>
            <w:r w:rsidRPr="00D4605F">
              <w:rPr>
                <w:noProof/>
                <w:sz w:val="12"/>
                <w:szCs w:val="12"/>
                <w:lang w:val="fr-BE"/>
              </w:rPr>
              <w:t>CO02</w:t>
            </w:r>
          </w:p>
        </w:tc>
        <w:tc>
          <w:tcPr>
            <w:tcW w:w="0" w:type="auto"/>
            <w:shd w:val="clear" w:color="auto" w:fill="auto"/>
          </w:tcPr>
          <w:p w14:paraId="2B192D43" w14:textId="77777777" w:rsidR="008C5CFA" w:rsidRPr="00D4605F" w:rsidRDefault="00E82A60" w:rsidP="00300A01">
            <w:pPr>
              <w:spacing w:before="0" w:after="0"/>
              <w:rPr>
                <w:sz w:val="12"/>
                <w:szCs w:val="12"/>
                <w:lang w:val="fr-BE"/>
              </w:rPr>
            </w:pPr>
            <w:r w:rsidRPr="00D4605F">
              <w:rPr>
                <w:noProof/>
                <w:sz w:val="12"/>
                <w:szCs w:val="12"/>
                <w:lang w:val="fr-BE"/>
              </w:rPr>
              <w:t>Inwestycje produkcyjne: liczba przedsiębiorstw otrzymujących dotacje</w:t>
            </w:r>
          </w:p>
        </w:tc>
        <w:tc>
          <w:tcPr>
            <w:tcW w:w="0" w:type="auto"/>
            <w:shd w:val="clear" w:color="auto" w:fill="auto"/>
          </w:tcPr>
          <w:p w14:paraId="7FEA34B5" w14:textId="77777777" w:rsidR="008C5CFA" w:rsidRPr="00D4605F" w:rsidRDefault="00E82A60" w:rsidP="00300A01">
            <w:pPr>
              <w:spacing w:before="0" w:after="0"/>
              <w:rPr>
                <w:sz w:val="12"/>
                <w:szCs w:val="12"/>
                <w:lang w:val="fr-BE"/>
              </w:rPr>
            </w:pPr>
            <w:r w:rsidRPr="00D4605F">
              <w:rPr>
                <w:noProof/>
                <w:sz w:val="12"/>
                <w:szCs w:val="12"/>
                <w:lang w:val="fr-BE"/>
              </w:rPr>
              <w:t>Enterprises</w:t>
            </w:r>
          </w:p>
        </w:tc>
        <w:tc>
          <w:tcPr>
            <w:tcW w:w="0" w:type="auto"/>
            <w:shd w:val="clear" w:color="auto" w:fill="auto"/>
          </w:tcPr>
          <w:p w14:paraId="56F50DFF" w14:textId="77777777" w:rsidR="008C5CFA" w:rsidRPr="00D4605F" w:rsidRDefault="00E82A60" w:rsidP="00300A01">
            <w:pPr>
              <w:spacing w:before="0" w:after="0"/>
              <w:rPr>
                <w:sz w:val="12"/>
                <w:szCs w:val="12"/>
                <w:lang w:val="fr-BE"/>
              </w:rPr>
            </w:pPr>
            <w:r w:rsidRPr="00D4605F">
              <w:rPr>
                <w:noProof/>
                <w:sz w:val="12"/>
                <w:szCs w:val="12"/>
                <w:lang w:val="fr-BE"/>
              </w:rPr>
              <w:t>EFRR</w:t>
            </w:r>
          </w:p>
        </w:tc>
        <w:tc>
          <w:tcPr>
            <w:tcW w:w="0" w:type="auto"/>
          </w:tcPr>
          <w:p w14:paraId="1226CE6D" w14:textId="77777777" w:rsidR="008C5CFA" w:rsidRPr="00D4605F" w:rsidRDefault="00E82A60" w:rsidP="00300A01">
            <w:pPr>
              <w:spacing w:before="0" w:after="0"/>
              <w:rPr>
                <w:sz w:val="12"/>
                <w:szCs w:val="12"/>
                <w:lang w:val="fr-BE"/>
              </w:rPr>
            </w:pPr>
            <w:r w:rsidRPr="00D4605F">
              <w:rPr>
                <w:noProof/>
                <w:sz w:val="12"/>
                <w:szCs w:val="12"/>
                <w:lang w:val="fr-BE"/>
              </w:rPr>
              <w:t>Słabiej rozwinięte</w:t>
            </w:r>
          </w:p>
        </w:tc>
        <w:tc>
          <w:tcPr>
            <w:tcW w:w="0" w:type="auto"/>
          </w:tcPr>
          <w:p w14:paraId="75C9D674" w14:textId="77777777" w:rsidR="008C5CFA" w:rsidRPr="00D4605F" w:rsidRDefault="00E82A60" w:rsidP="00136029">
            <w:pPr>
              <w:spacing w:before="0" w:after="0"/>
              <w:jc w:val="right"/>
              <w:rPr>
                <w:sz w:val="12"/>
                <w:szCs w:val="12"/>
                <w:lang w:val="fr-BE"/>
              </w:rPr>
            </w:pPr>
            <w:r>
              <w:rPr>
                <w:noProof/>
                <w:sz w:val="12"/>
                <w:szCs w:val="12"/>
                <w:lang w:val="fr-BE"/>
              </w:rPr>
              <w:t>211,00</w:t>
            </w:r>
          </w:p>
        </w:tc>
        <w:tc>
          <w:tcPr>
            <w:tcW w:w="0" w:type="auto"/>
          </w:tcPr>
          <w:p w14:paraId="5B351C72" w14:textId="77777777" w:rsidR="008C5CFA" w:rsidRPr="00D4605F" w:rsidRDefault="008C5CFA" w:rsidP="00300A01">
            <w:pPr>
              <w:spacing w:before="0" w:after="0"/>
              <w:jc w:val="right"/>
              <w:rPr>
                <w:sz w:val="12"/>
                <w:szCs w:val="12"/>
                <w:lang w:val="fr-BE"/>
              </w:rPr>
            </w:pPr>
          </w:p>
        </w:tc>
        <w:tc>
          <w:tcPr>
            <w:tcW w:w="0" w:type="auto"/>
          </w:tcPr>
          <w:p w14:paraId="1F912871" w14:textId="77777777" w:rsidR="008C5CFA" w:rsidRPr="00D4605F" w:rsidRDefault="008C5CFA" w:rsidP="00300A01">
            <w:pPr>
              <w:spacing w:before="0" w:after="0"/>
              <w:jc w:val="right"/>
              <w:rPr>
                <w:sz w:val="12"/>
                <w:szCs w:val="12"/>
                <w:lang w:val="fr-BE"/>
              </w:rPr>
            </w:pPr>
          </w:p>
        </w:tc>
        <w:tc>
          <w:tcPr>
            <w:tcW w:w="0" w:type="auto"/>
          </w:tcPr>
          <w:p w14:paraId="1EC94787" w14:textId="77777777" w:rsidR="008C5CFA" w:rsidRPr="008C04A5" w:rsidRDefault="008C5CFA" w:rsidP="00300A01">
            <w:pPr>
              <w:spacing w:before="0" w:after="0"/>
              <w:jc w:val="right"/>
              <w:rPr>
                <w:sz w:val="12"/>
                <w:szCs w:val="12"/>
                <w:lang w:val="fr-BE"/>
              </w:rPr>
            </w:pPr>
          </w:p>
        </w:tc>
        <w:tc>
          <w:tcPr>
            <w:tcW w:w="0" w:type="auto"/>
          </w:tcPr>
          <w:p w14:paraId="2AC9BCAB" w14:textId="77777777" w:rsidR="008C5CFA" w:rsidRPr="008C04A5" w:rsidRDefault="008C5CFA" w:rsidP="00300A01">
            <w:pPr>
              <w:spacing w:before="0" w:after="0"/>
              <w:jc w:val="right"/>
              <w:rPr>
                <w:sz w:val="12"/>
                <w:szCs w:val="12"/>
                <w:lang w:val="fr-BE"/>
              </w:rPr>
            </w:pPr>
          </w:p>
        </w:tc>
        <w:tc>
          <w:tcPr>
            <w:tcW w:w="0" w:type="auto"/>
          </w:tcPr>
          <w:p w14:paraId="1857AF8F" w14:textId="77777777" w:rsidR="008C5CFA" w:rsidRPr="008C04A5" w:rsidRDefault="008C5CFA" w:rsidP="00300A01">
            <w:pPr>
              <w:spacing w:before="0" w:after="0"/>
              <w:jc w:val="right"/>
              <w:rPr>
                <w:sz w:val="12"/>
                <w:szCs w:val="12"/>
                <w:lang w:val="fr-BE"/>
              </w:rPr>
            </w:pPr>
          </w:p>
        </w:tc>
      </w:tr>
      <w:tr w:rsidR="006B2EC1" w14:paraId="45307F60" w14:textId="77777777" w:rsidTr="0047688D">
        <w:tc>
          <w:tcPr>
            <w:tcW w:w="0" w:type="auto"/>
            <w:shd w:val="clear" w:color="auto" w:fill="auto"/>
          </w:tcPr>
          <w:p w14:paraId="7431EBB6" w14:textId="77777777" w:rsidR="008C5CFA" w:rsidRPr="00D4605F" w:rsidRDefault="00E82A60" w:rsidP="00300A01">
            <w:pPr>
              <w:spacing w:before="0" w:after="0"/>
              <w:rPr>
                <w:sz w:val="12"/>
                <w:szCs w:val="12"/>
                <w:lang w:val="fr-BE"/>
              </w:rPr>
            </w:pPr>
            <w:r w:rsidRPr="00D4605F">
              <w:rPr>
                <w:noProof/>
                <w:sz w:val="12"/>
                <w:szCs w:val="12"/>
                <w:lang w:val="fr-BE"/>
              </w:rPr>
              <w:t>2</w:t>
            </w:r>
          </w:p>
        </w:tc>
        <w:tc>
          <w:tcPr>
            <w:tcW w:w="0" w:type="auto"/>
            <w:shd w:val="clear" w:color="auto" w:fill="auto"/>
          </w:tcPr>
          <w:p w14:paraId="3A2C9CEE" w14:textId="77777777" w:rsidR="008C5CFA" w:rsidRPr="00D4605F" w:rsidRDefault="00E82A60" w:rsidP="00300A01">
            <w:pPr>
              <w:spacing w:before="0" w:after="0"/>
              <w:rPr>
                <w:sz w:val="12"/>
                <w:szCs w:val="12"/>
                <w:lang w:val="fr-BE"/>
              </w:rPr>
            </w:pPr>
            <w:r w:rsidRPr="00D4605F">
              <w:rPr>
                <w:noProof/>
                <w:sz w:val="12"/>
                <w:szCs w:val="12"/>
                <w:lang w:val="fr-BE"/>
              </w:rPr>
              <w:t>F</w:t>
            </w:r>
          </w:p>
        </w:tc>
        <w:tc>
          <w:tcPr>
            <w:tcW w:w="0" w:type="auto"/>
            <w:shd w:val="clear" w:color="auto" w:fill="auto"/>
          </w:tcPr>
          <w:p w14:paraId="5C8D1B05" w14:textId="77777777" w:rsidR="008C5CFA" w:rsidRPr="00D4605F" w:rsidRDefault="00E82A60" w:rsidP="00300A01">
            <w:pPr>
              <w:spacing w:before="0" w:after="0"/>
              <w:rPr>
                <w:sz w:val="12"/>
                <w:szCs w:val="12"/>
                <w:lang w:val="fr-BE"/>
              </w:rPr>
            </w:pPr>
            <w:r w:rsidRPr="00D4605F">
              <w:rPr>
                <w:noProof/>
                <w:sz w:val="12"/>
                <w:szCs w:val="12"/>
                <w:lang w:val="fr-BE"/>
              </w:rPr>
              <w:t>001</w:t>
            </w:r>
          </w:p>
        </w:tc>
        <w:tc>
          <w:tcPr>
            <w:tcW w:w="0" w:type="auto"/>
            <w:shd w:val="clear" w:color="auto" w:fill="auto"/>
          </w:tcPr>
          <w:p w14:paraId="2C527060" w14:textId="77777777" w:rsidR="008C5CFA" w:rsidRPr="00D4605F" w:rsidRDefault="00E82A60" w:rsidP="00300A01">
            <w:pPr>
              <w:spacing w:before="0" w:after="0"/>
              <w:rPr>
                <w:sz w:val="12"/>
                <w:szCs w:val="12"/>
                <w:lang w:val="fr-BE"/>
              </w:rPr>
            </w:pPr>
            <w:r w:rsidRPr="00D4605F">
              <w:rPr>
                <w:noProof/>
                <w:sz w:val="12"/>
                <w:szCs w:val="12"/>
                <w:lang w:val="fr-BE"/>
              </w:rPr>
              <w:t>Całkowita kwota certyfikowanych wydatków kwalifikowalnych</w:t>
            </w:r>
          </w:p>
        </w:tc>
        <w:tc>
          <w:tcPr>
            <w:tcW w:w="0" w:type="auto"/>
            <w:shd w:val="clear" w:color="auto" w:fill="auto"/>
          </w:tcPr>
          <w:p w14:paraId="71ADD961" w14:textId="77777777" w:rsidR="008C5CFA" w:rsidRPr="00D4605F" w:rsidRDefault="00E82A60" w:rsidP="00300A01">
            <w:pPr>
              <w:spacing w:before="0" w:after="0"/>
              <w:rPr>
                <w:sz w:val="12"/>
                <w:szCs w:val="12"/>
                <w:lang w:val="fr-BE"/>
              </w:rPr>
            </w:pPr>
            <w:r w:rsidRPr="00D4605F">
              <w:rPr>
                <w:noProof/>
                <w:sz w:val="12"/>
                <w:szCs w:val="12"/>
                <w:lang w:val="fr-BE"/>
              </w:rPr>
              <w:t>EUR</w:t>
            </w:r>
          </w:p>
        </w:tc>
        <w:tc>
          <w:tcPr>
            <w:tcW w:w="0" w:type="auto"/>
            <w:shd w:val="clear" w:color="auto" w:fill="auto"/>
          </w:tcPr>
          <w:p w14:paraId="35795B85" w14:textId="77777777" w:rsidR="008C5CFA" w:rsidRPr="00D4605F" w:rsidRDefault="00E82A60" w:rsidP="00300A01">
            <w:pPr>
              <w:spacing w:before="0" w:after="0"/>
              <w:rPr>
                <w:sz w:val="12"/>
                <w:szCs w:val="12"/>
                <w:lang w:val="fr-BE"/>
              </w:rPr>
            </w:pPr>
            <w:r w:rsidRPr="00D4605F">
              <w:rPr>
                <w:noProof/>
                <w:sz w:val="12"/>
                <w:szCs w:val="12"/>
                <w:lang w:val="fr-BE"/>
              </w:rPr>
              <w:t>EFRR</w:t>
            </w:r>
          </w:p>
        </w:tc>
        <w:tc>
          <w:tcPr>
            <w:tcW w:w="0" w:type="auto"/>
          </w:tcPr>
          <w:p w14:paraId="0BB8CBC5" w14:textId="77777777" w:rsidR="008C5CFA" w:rsidRPr="00D4605F" w:rsidRDefault="00E82A60" w:rsidP="00300A01">
            <w:pPr>
              <w:spacing w:before="0" w:after="0"/>
              <w:rPr>
                <w:sz w:val="12"/>
                <w:szCs w:val="12"/>
                <w:lang w:val="fr-BE"/>
              </w:rPr>
            </w:pPr>
            <w:r w:rsidRPr="00D4605F">
              <w:rPr>
                <w:noProof/>
                <w:sz w:val="12"/>
                <w:szCs w:val="12"/>
                <w:lang w:val="fr-BE"/>
              </w:rPr>
              <w:t>Słabiej rozwinięte</w:t>
            </w:r>
          </w:p>
        </w:tc>
        <w:tc>
          <w:tcPr>
            <w:tcW w:w="0" w:type="auto"/>
          </w:tcPr>
          <w:p w14:paraId="4B6DFEDC" w14:textId="77777777" w:rsidR="008C5CFA" w:rsidRPr="00D4605F" w:rsidRDefault="00E82A60" w:rsidP="00136029">
            <w:pPr>
              <w:spacing w:before="0" w:after="0"/>
              <w:jc w:val="right"/>
              <w:rPr>
                <w:sz w:val="12"/>
                <w:szCs w:val="12"/>
                <w:lang w:val="fr-BE"/>
              </w:rPr>
            </w:pPr>
            <w:r>
              <w:rPr>
                <w:noProof/>
                <w:sz w:val="12"/>
                <w:szCs w:val="12"/>
                <w:lang w:val="fr-BE"/>
              </w:rPr>
              <w:t>84 361 746,20</w:t>
            </w:r>
          </w:p>
        </w:tc>
        <w:tc>
          <w:tcPr>
            <w:tcW w:w="0" w:type="auto"/>
          </w:tcPr>
          <w:p w14:paraId="55D723E6" w14:textId="77777777" w:rsidR="008C5CFA" w:rsidRPr="00D4605F" w:rsidRDefault="008C5CFA" w:rsidP="00300A01">
            <w:pPr>
              <w:spacing w:before="0" w:after="0"/>
              <w:jc w:val="right"/>
              <w:rPr>
                <w:sz w:val="12"/>
                <w:szCs w:val="12"/>
                <w:lang w:val="fr-BE"/>
              </w:rPr>
            </w:pPr>
          </w:p>
        </w:tc>
        <w:tc>
          <w:tcPr>
            <w:tcW w:w="0" w:type="auto"/>
          </w:tcPr>
          <w:p w14:paraId="39891090" w14:textId="77777777" w:rsidR="008C5CFA" w:rsidRPr="00D4605F" w:rsidRDefault="008C5CFA" w:rsidP="00300A01">
            <w:pPr>
              <w:spacing w:before="0" w:after="0"/>
              <w:jc w:val="right"/>
              <w:rPr>
                <w:sz w:val="12"/>
                <w:szCs w:val="12"/>
                <w:lang w:val="fr-BE"/>
              </w:rPr>
            </w:pPr>
          </w:p>
        </w:tc>
        <w:tc>
          <w:tcPr>
            <w:tcW w:w="0" w:type="auto"/>
          </w:tcPr>
          <w:p w14:paraId="5A4D2E44" w14:textId="77777777" w:rsidR="008C5CFA" w:rsidRPr="008C04A5" w:rsidRDefault="008C5CFA" w:rsidP="00300A01">
            <w:pPr>
              <w:spacing w:before="0" w:after="0"/>
              <w:jc w:val="right"/>
              <w:rPr>
                <w:sz w:val="12"/>
                <w:szCs w:val="12"/>
                <w:lang w:val="fr-BE"/>
              </w:rPr>
            </w:pPr>
          </w:p>
        </w:tc>
        <w:tc>
          <w:tcPr>
            <w:tcW w:w="0" w:type="auto"/>
          </w:tcPr>
          <w:p w14:paraId="5DF4CB41" w14:textId="77777777" w:rsidR="008C5CFA" w:rsidRPr="008C04A5" w:rsidRDefault="008C5CFA" w:rsidP="00300A01">
            <w:pPr>
              <w:spacing w:before="0" w:after="0"/>
              <w:jc w:val="right"/>
              <w:rPr>
                <w:sz w:val="12"/>
                <w:szCs w:val="12"/>
                <w:lang w:val="fr-BE"/>
              </w:rPr>
            </w:pPr>
          </w:p>
        </w:tc>
        <w:tc>
          <w:tcPr>
            <w:tcW w:w="0" w:type="auto"/>
          </w:tcPr>
          <w:p w14:paraId="132673AD" w14:textId="77777777" w:rsidR="008C5CFA" w:rsidRPr="008C04A5" w:rsidRDefault="008C5CFA" w:rsidP="00300A01">
            <w:pPr>
              <w:spacing w:before="0" w:after="0"/>
              <w:jc w:val="right"/>
              <w:rPr>
                <w:sz w:val="12"/>
                <w:szCs w:val="12"/>
                <w:lang w:val="fr-BE"/>
              </w:rPr>
            </w:pPr>
          </w:p>
        </w:tc>
      </w:tr>
      <w:tr w:rsidR="006B2EC1" w14:paraId="040B8EC1" w14:textId="77777777" w:rsidTr="0047688D">
        <w:tc>
          <w:tcPr>
            <w:tcW w:w="0" w:type="auto"/>
            <w:shd w:val="clear" w:color="auto" w:fill="auto"/>
          </w:tcPr>
          <w:p w14:paraId="7093634F" w14:textId="77777777" w:rsidR="008C5CFA" w:rsidRPr="00D4605F" w:rsidRDefault="00E82A60" w:rsidP="00300A01">
            <w:pPr>
              <w:spacing w:before="0" w:after="0"/>
              <w:rPr>
                <w:sz w:val="12"/>
                <w:szCs w:val="12"/>
                <w:lang w:val="fr-BE"/>
              </w:rPr>
            </w:pPr>
            <w:r w:rsidRPr="00D4605F">
              <w:rPr>
                <w:noProof/>
                <w:sz w:val="12"/>
                <w:szCs w:val="12"/>
                <w:lang w:val="fr-BE"/>
              </w:rPr>
              <w:t>2</w:t>
            </w:r>
          </w:p>
        </w:tc>
        <w:tc>
          <w:tcPr>
            <w:tcW w:w="0" w:type="auto"/>
            <w:shd w:val="clear" w:color="auto" w:fill="auto"/>
          </w:tcPr>
          <w:p w14:paraId="6155BAF1" w14:textId="77777777" w:rsidR="008C5CFA" w:rsidRPr="00D4605F" w:rsidRDefault="00E82A60" w:rsidP="00300A01">
            <w:pPr>
              <w:spacing w:before="0" w:after="0"/>
              <w:rPr>
                <w:sz w:val="12"/>
                <w:szCs w:val="12"/>
                <w:lang w:val="fr-BE"/>
              </w:rPr>
            </w:pPr>
            <w:r w:rsidRPr="00D4605F">
              <w:rPr>
                <w:noProof/>
                <w:sz w:val="12"/>
                <w:szCs w:val="12"/>
                <w:lang w:val="fr-BE"/>
              </w:rPr>
              <w:t>O</w:t>
            </w:r>
          </w:p>
        </w:tc>
        <w:tc>
          <w:tcPr>
            <w:tcW w:w="0" w:type="auto"/>
            <w:shd w:val="clear" w:color="auto" w:fill="auto"/>
          </w:tcPr>
          <w:p w14:paraId="30F1A976" w14:textId="77777777" w:rsidR="008C5CFA" w:rsidRPr="00D4605F" w:rsidRDefault="00E82A60" w:rsidP="00300A01">
            <w:pPr>
              <w:spacing w:before="0" w:after="0"/>
              <w:rPr>
                <w:sz w:val="12"/>
                <w:szCs w:val="12"/>
                <w:lang w:val="fr-BE"/>
              </w:rPr>
            </w:pPr>
            <w:r w:rsidRPr="00D4605F">
              <w:rPr>
                <w:noProof/>
                <w:sz w:val="12"/>
                <w:szCs w:val="12"/>
                <w:lang w:val="fr-BE"/>
              </w:rPr>
              <w:t>026</w:t>
            </w:r>
          </w:p>
        </w:tc>
        <w:tc>
          <w:tcPr>
            <w:tcW w:w="0" w:type="auto"/>
            <w:shd w:val="clear" w:color="auto" w:fill="auto"/>
          </w:tcPr>
          <w:p w14:paraId="41FEDBA6" w14:textId="77777777" w:rsidR="008C5CFA" w:rsidRPr="00D4605F" w:rsidRDefault="00E82A60" w:rsidP="00300A01">
            <w:pPr>
              <w:spacing w:before="0" w:after="0"/>
              <w:rPr>
                <w:sz w:val="12"/>
                <w:szCs w:val="12"/>
                <w:lang w:val="fr-BE"/>
              </w:rPr>
            </w:pPr>
            <w:r w:rsidRPr="00D4605F">
              <w:rPr>
                <w:noProof/>
                <w:sz w:val="12"/>
                <w:szCs w:val="12"/>
                <w:lang w:val="fr-BE"/>
              </w:rPr>
              <w:t>Liczba nowych i ulepszonych usług świadczonych przez instytucje otoczenia biznesu</w:t>
            </w:r>
          </w:p>
        </w:tc>
        <w:tc>
          <w:tcPr>
            <w:tcW w:w="0" w:type="auto"/>
            <w:shd w:val="clear" w:color="auto" w:fill="auto"/>
          </w:tcPr>
          <w:p w14:paraId="693D4997" w14:textId="77777777" w:rsidR="008C5CFA" w:rsidRPr="00D4605F" w:rsidRDefault="00E82A60" w:rsidP="00300A01">
            <w:pPr>
              <w:spacing w:before="0" w:after="0"/>
              <w:rPr>
                <w:sz w:val="12"/>
                <w:szCs w:val="12"/>
                <w:lang w:val="fr-BE"/>
              </w:rPr>
            </w:pPr>
            <w:r w:rsidRPr="00D4605F">
              <w:rPr>
                <w:noProof/>
                <w:sz w:val="12"/>
                <w:szCs w:val="12"/>
                <w:lang w:val="fr-BE"/>
              </w:rPr>
              <w:t>szt.</w:t>
            </w:r>
          </w:p>
        </w:tc>
        <w:tc>
          <w:tcPr>
            <w:tcW w:w="0" w:type="auto"/>
            <w:shd w:val="clear" w:color="auto" w:fill="auto"/>
          </w:tcPr>
          <w:p w14:paraId="6F3D2156" w14:textId="77777777" w:rsidR="008C5CFA" w:rsidRPr="00D4605F" w:rsidRDefault="00E82A60" w:rsidP="00300A01">
            <w:pPr>
              <w:spacing w:before="0" w:after="0"/>
              <w:rPr>
                <w:sz w:val="12"/>
                <w:szCs w:val="12"/>
                <w:lang w:val="fr-BE"/>
              </w:rPr>
            </w:pPr>
            <w:r w:rsidRPr="00D4605F">
              <w:rPr>
                <w:noProof/>
                <w:sz w:val="12"/>
                <w:szCs w:val="12"/>
                <w:lang w:val="fr-BE"/>
              </w:rPr>
              <w:t>EFRR</w:t>
            </w:r>
          </w:p>
        </w:tc>
        <w:tc>
          <w:tcPr>
            <w:tcW w:w="0" w:type="auto"/>
          </w:tcPr>
          <w:p w14:paraId="1734C745" w14:textId="77777777" w:rsidR="008C5CFA" w:rsidRPr="00D4605F" w:rsidRDefault="00E82A60" w:rsidP="00300A01">
            <w:pPr>
              <w:spacing w:before="0" w:after="0"/>
              <w:rPr>
                <w:sz w:val="12"/>
                <w:szCs w:val="12"/>
                <w:lang w:val="fr-BE"/>
              </w:rPr>
            </w:pPr>
            <w:r w:rsidRPr="00D4605F">
              <w:rPr>
                <w:noProof/>
                <w:sz w:val="12"/>
                <w:szCs w:val="12"/>
                <w:lang w:val="fr-BE"/>
              </w:rPr>
              <w:t>Słabiej rozwinięte</w:t>
            </w:r>
          </w:p>
        </w:tc>
        <w:tc>
          <w:tcPr>
            <w:tcW w:w="0" w:type="auto"/>
          </w:tcPr>
          <w:p w14:paraId="5ECD729D" w14:textId="77777777" w:rsidR="008C5CFA" w:rsidRPr="00D4605F" w:rsidRDefault="00E82A60" w:rsidP="00136029">
            <w:pPr>
              <w:spacing w:before="0" w:after="0"/>
              <w:jc w:val="right"/>
              <w:rPr>
                <w:sz w:val="12"/>
                <w:szCs w:val="12"/>
                <w:lang w:val="fr-BE"/>
              </w:rPr>
            </w:pPr>
            <w:r>
              <w:rPr>
                <w:noProof/>
                <w:sz w:val="12"/>
                <w:szCs w:val="12"/>
                <w:lang w:val="fr-BE"/>
              </w:rPr>
              <w:t>26,00</w:t>
            </w:r>
          </w:p>
        </w:tc>
        <w:tc>
          <w:tcPr>
            <w:tcW w:w="0" w:type="auto"/>
          </w:tcPr>
          <w:p w14:paraId="0AB2D4FE" w14:textId="77777777" w:rsidR="008C5CFA" w:rsidRPr="00D4605F" w:rsidRDefault="008C5CFA" w:rsidP="00300A01">
            <w:pPr>
              <w:spacing w:before="0" w:after="0"/>
              <w:jc w:val="right"/>
              <w:rPr>
                <w:sz w:val="12"/>
                <w:szCs w:val="12"/>
                <w:lang w:val="fr-BE"/>
              </w:rPr>
            </w:pPr>
          </w:p>
        </w:tc>
        <w:tc>
          <w:tcPr>
            <w:tcW w:w="0" w:type="auto"/>
          </w:tcPr>
          <w:p w14:paraId="09A1D397" w14:textId="77777777" w:rsidR="008C5CFA" w:rsidRPr="00D4605F" w:rsidRDefault="008C5CFA" w:rsidP="00300A01">
            <w:pPr>
              <w:spacing w:before="0" w:after="0"/>
              <w:jc w:val="right"/>
              <w:rPr>
                <w:sz w:val="12"/>
                <w:szCs w:val="12"/>
                <w:lang w:val="fr-BE"/>
              </w:rPr>
            </w:pPr>
          </w:p>
        </w:tc>
        <w:tc>
          <w:tcPr>
            <w:tcW w:w="0" w:type="auto"/>
          </w:tcPr>
          <w:p w14:paraId="203F0DFE" w14:textId="77777777" w:rsidR="008C5CFA" w:rsidRPr="008C04A5" w:rsidRDefault="008C5CFA" w:rsidP="00300A01">
            <w:pPr>
              <w:spacing w:before="0" w:after="0"/>
              <w:jc w:val="right"/>
              <w:rPr>
                <w:sz w:val="12"/>
                <w:szCs w:val="12"/>
                <w:lang w:val="fr-BE"/>
              </w:rPr>
            </w:pPr>
          </w:p>
        </w:tc>
        <w:tc>
          <w:tcPr>
            <w:tcW w:w="0" w:type="auto"/>
          </w:tcPr>
          <w:p w14:paraId="2E087D5A" w14:textId="77777777" w:rsidR="008C5CFA" w:rsidRPr="008C04A5" w:rsidRDefault="008C5CFA" w:rsidP="00300A01">
            <w:pPr>
              <w:spacing w:before="0" w:after="0"/>
              <w:jc w:val="right"/>
              <w:rPr>
                <w:sz w:val="12"/>
                <w:szCs w:val="12"/>
                <w:lang w:val="fr-BE"/>
              </w:rPr>
            </w:pPr>
          </w:p>
        </w:tc>
        <w:tc>
          <w:tcPr>
            <w:tcW w:w="0" w:type="auto"/>
          </w:tcPr>
          <w:p w14:paraId="16BDA264" w14:textId="77777777" w:rsidR="008C5CFA" w:rsidRPr="008C04A5" w:rsidRDefault="008C5CFA" w:rsidP="00300A01">
            <w:pPr>
              <w:spacing w:before="0" w:after="0"/>
              <w:jc w:val="right"/>
              <w:rPr>
                <w:sz w:val="12"/>
                <w:szCs w:val="12"/>
                <w:lang w:val="fr-BE"/>
              </w:rPr>
            </w:pPr>
          </w:p>
        </w:tc>
      </w:tr>
      <w:tr w:rsidR="006B2EC1" w14:paraId="09A1C031" w14:textId="77777777" w:rsidTr="0047688D">
        <w:tc>
          <w:tcPr>
            <w:tcW w:w="0" w:type="auto"/>
            <w:shd w:val="clear" w:color="auto" w:fill="auto"/>
          </w:tcPr>
          <w:p w14:paraId="4A702CF9" w14:textId="77777777" w:rsidR="008C5CFA" w:rsidRPr="00D4605F" w:rsidRDefault="00E82A60" w:rsidP="00300A01">
            <w:pPr>
              <w:spacing w:before="0" w:after="0"/>
              <w:rPr>
                <w:sz w:val="12"/>
                <w:szCs w:val="12"/>
                <w:lang w:val="fr-BE"/>
              </w:rPr>
            </w:pPr>
            <w:r w:rsidRPr="00D4605F">
              <w:rPr>
                <w:noProof/>
                <w:sz w:val="12"/>
                <w:szCs w:val="12"/>
                <w:lang w:val="fr-BE"/>
              </w:rPr>
              <w:t>3</w:t>
            </w:r>
          </w:p>
        </w:tc>
        <w:tc>
          <w:tcPr>
            <w:tcW w:w="0" w:type="auto"/>
            <w:shd w:val="clear" w:color="auto" w:fill="auto"/>
          </w:tcPr>
          <w:p w14:paraId="4C7A2266" w14:textId="77777777" w:rsidR="008C5CFA" w:rsidRPr="00D4605F" w:rsidRDefault="00E82A60" w:rsidP="00300A01">
            <w:pPr>
              <w:spacing w:before="0" w:after="0"/>
              <w:rPr>
                <w:sz w:val="12"/>
                <w:szCs w:val="12"/>
                <w:lang w:val="fr-BE"/>
              </w:rPr>
            </w:pPr>
            <w:r w:rsidRPr="00D4605F">
              <w:rPr>
                <w:noProof/>
                <w:sz w:val="12"/>
                <w:szCs w:val="12"/>
                <w:lang w:val="fr-BE"/>
              </w:rPr>
              <w:t>F</w:t>
            </w:r>
          </w:p>
        </w:tc>
        <w:tc>
          <w:tcPr>
            <w:tcW w:w="0" w:type="auto"/>
            <w:shd w:val="clear" w:color="auto" w:fill="auto"/>
          </w:tcPr>
          <w:p w14:paraId="04868A03" w14:textId="77777777" w:rsidR="008C5CFA" w:rsidRPr="00D4605F" w:rsidRDefault="00E82A60" w:rsidP="00300A01">
            <w:pPr>
              <w:spacing w:before="0" w:after="0"/>
              <w:rPr>
                <w:sz w:val="12"/>
                <w:szCs w:val="12"/>
                <w:lang w:val="fr-BE"/>
              </w:rPr>
            </w:pPr>
            <w:r w:rsidRPr="00D4605F">
              <w:rPr>
                <w:noProof/>
                <w:sz w:val="12"/>
                <w:szCs w:val="12"/>
                <w:lang w:val="fr-BE"/>
              </w:rPr>
              <w:t>001</w:t>
            </w:r>
          </w:p>
        </w:tc>
        <w:tc>
          <w:tcPr>
            <w:tcW w:w="0" w:type="auto"/>
            <w:shd w:val="clear" w:color="auto" w:fill="auto"/>
          </w:tcPr>
          <w:p w14:paraId="3869383B" w14:textId="77777777" w:rsidR="008C5CFA" w:rsidRPr="00D4605F" w:rsidRDefault="00E82A60" w:rsidP="00300A01">
            <w:pPr>
              <w:spacing w:before="0" w:after="0"/>
              <w:rPr>
                <w:sz w:val="12"/>
                <w:szCs w:val="12"/>
                <w:lang w:val="fr-BE"/>
              </w:rPr>
            </w:pPr>
            <w:r w:rsidRPr="00D4605F">
              <w:rPr>
                <w:noProof/>
                <w:sz w:val="12"/>
                <w:szCs w:val="12"/>
                <w:lang w:val="fr-BE"/>
              </w:rPr>
              <w:t>Całkowita kwota certyfikowanych wydatków kwalifikowalnych</w:t>
            </w:r>
          </w:p>
        </w:tc>
        <w:tc>
          <w:tcPr>
            <w:tcW w:w="0" w:type="auto"/>
            <w:shd w:val="clear" w:color="auto" w:fill="auto"/>
          </w:tcPr>
          <w:p w14:paraId="379F108B" w14:textId="77777777" w:rsidR="008C5CFA" w:rsidRPr="00D4605F" w:rsidRDefault="00E82A60" w:rsidP="00300A01">
            <w:pPr>
              <w:spacing w:before="0" w:after="0"/>
              <w:rPr>
                <w:sz w:val="12"/>
                <w:szCs w:val="12"/>
                <w:lang w:val="fr-BE"/>
              </w:rPr>
            </w:pPr>
            <w:r w:rsidRPr="00D4605F">
              <w:rPr>
                <w:noProof/>
                <w:sz w:val="12"/>
                <w:szCs w:val="12"/>
                <w:lang w:val="fr-BE"/>
              </w:rPr>
              <w:t>EUR</w:t>
            </w:r>
          </w:p>
        </w:tc>
        <w:tc>
          <w:tcPr>
            <w:tcW w:w="0" w:type="auto"/>
            <w:shd w:val="clear" w:color="auto" w:fill="auto"/>
          </w:tcPr>
          <w:p w14:paraId="6C4A678E" w14:textId="77777777" w:rsidR="008C5CFA" w:rsidRPr="00D4605F" w:rsidRDefault="00E82A60" w:rsidP="00300A01">
            <w:pPr>
              <w:spacing w:before="0" w:after="0"/>
              <w:rPr>
                <w:sz w:val="12"/>
                <w:szCs w:val="12"/>
                <w:lang w:val="fr-BE"/>
              </w:rPr>
            </w:pPr>
            <w:r w:rsidRPr="00D4605F">
              <w:rPr>
                <w:noProof/>
                <w:sz w:val="12"/>
                <w:szCs w:val="12"/>
                <w:lang w:val="fr-BE"/>
              </w:rPr>
              <w:t>EFRR</w:t>
            </w:r>
          </w:p>
        </w:tc>
        <w:tc>
          <w:tcPr>
            <w:tcW w:w="0" w:type="auto"/>
          </w:tcPr>
          <w:p w14:paraId="7D73A23A" w14:textId="77777777" w:rsidR="008C5CFA" w:rsidRPr="00D4605F" w:rsidRDefault="00E82A60" w:rsidP="00300A01">
            <w:pPr>
              <w:spacing w:before="0" w:after="0"/>
              <w:rPr>
                <w:sz w:val="12"/>
                <w:szCs w:val="12"/>
                <w:lang w:val="fr-BE"/>
              </w:rPr>
            </w:pPr>
            <w:r w:rsidRPr="00D4605F">
              <w:rPr>
                <w:noProof/>
                <w:sz w:val="12"/>
                <w:szCs w:val="12"/>
                <w:lang w:val="fr-BE"/>
              </w:rPr>
              <w:t>Słabiej rozwinięte</w:t>
            </w:r>
          </w:p>
        </w:tc>
        <w:tc>
          <w:tcPr>
            <w:tcW w:w="0" w:type="auto"/>
          </w:tcPr>
          <w:p w14:paraId="58237DC9" w14:textId="77777777" w:rsidR="008C5CFA" w:rsidRPr="00D4605F" w:rsidRDefault="00E82A60" w:rsidP="00136029">
            <w:pPr>
              <w:spacing w:before="0" w:after="0"/>
              <w:jc w:val="right"/>
              <w:rPr>
                <w:sz w:val="12"/>
                <w:szCs w:val="12"/>
                <w:lang w:val="fr-BE"/>
              </w:rPr>
            </w:pPr>
            <w:r>
              <w:rPr>
                <w:noProof/>
                <w:sz w:val="12"/>
                <w:szCs w:val="12"/>
                <w:lang w:val="fr-BE"/>
              </w:rPr>
              <w:t>46 141 471,39</w:t>
            </w:r>
          </w:p>
        </w:tc>
        <w:tc>
          <w:tcPr>
            <w:tcW w:w="0" w:type="auto"/>
          </w:tcPr>
          <w:p w14:paraId="649D6574" w14:textId="77777777" w:rsidR="008C5CFA" w:rsidRPr="00D4605F" w:rsidRDefault="008C5CFA" w:rsidP="00300A01">
            <w:pPr>
              <w:spacing w:before="0" w:after="0"/>
              <w:jc w:val="right"/>
              <w:rPr>
                <w:sz w:val="12"/>
                <w:szCs w:val="12"/>
                <w:lang w:val="fr-BE"/>
              </w:rPr>
            </w:pPr>
          </w:p>
        </w:tc>
        <w:tc>
          <w:tcPr>
            <w:tcW w:w="0" w:type="auto"/>
          </w:tcPr>
          <w:p w14:paraId="054A0064" w14:textId="77777777" w:rsidR="008C5CFA" w:rsidRPr="00D4605F" w:rsidRDefault="008C5CFA" w:rsidP="00300A01">
            <w:pPr>
              <w:spacing w:before="0" w:after="0"/>
              <w:jc w:val="right"/>
              <w:rPr>
                <w:sz w:val="12"/>
                <w:szCs w:val="12"/>
                <w:lang w:val="fr-BE"/>
              </w:rPr>
            </w:pPr>
          </w:p>
        </w:tc>
        <w:tc>
          <w:tcPr>
            <w:tcW w:w="0" w:type="auto"/>
          </w:tcPr>
          <w:p w14:paraId="02FDA95D" w14:textId="77777777" w:rsidR="008C5CFA" w:rsidRPr="008C04A5" w:rsidRDefault="008C5CFA" w:rsidP="00300A01">
            <w:pPr>
              <w:spacing w:before="0" w:after="0"/>
              <w:jc w:val="right"/>
              <w:rPr>
                <w:sz w:val="12"/>
                <w:szCs w:val="12"/>
                <w:lang w:val="fr-BE"/>
              </w:rPr>
            </w:pPr>
          </w:p>
        </w:tc>
        <w:tc>
          <w:tcPr>
            <w:tcW w:w="0" w:type="auto"/>
          </w:tcPr>
          <w:p w14:paraId="58570EA1" w14:textId="77777777" w:rsidR="008C5CFA" w:rsidRPr="008C04A5" w:rsidRDefault="008C5CFA" w:rsidP="00300A01">
            <w:pPr>
              <w:spacing w:before="0" w:after="0"/>
              <w:jc w:val="right"/>
              <w:rPr>
                <w:sz w:val="12"/>
                <w:szCs w:val="12"/>
                <w:lang w:val="fr-BE"/>
              </w:rPr>
            </w:pPr>
          </w:p>
        </w:tc>
        <w:tc>
          <w:tcPr>
            <w:tcW w:w="0" w:type="auto"/>
          </w:tcPr>
          <w:p w14:paraId="1ED91906" w14:textId="77777777" w:rsidR="008C5CFA" w:rsidRPr="008C04A5" w:rsidRDefault="008C5CFA" w:rsidP="00300A01">
            <w:pPr>
              <w:spacing w:before="0" w:after="0"/>
              <w:jc w:val="right"/>
              <w:rPr>
                <w:sz w:val="12"/>
                <w:szCs w:val="12"/>
                <w:lang w:val="fr-BE"/>
              </w:rPr>
            </w:pPr>
          </w:p>
        </w:tc>
      </w:tr>
      <w:tr w:rsidR="006B2EC1" w14:paraId="521FC308" w14:textId="77777777" w:rsidTr="0047688D">
        <w:tc>
          <w:tcPr>
            <w:tcW w:w="0" w:type="auto"/>
            <w:shd w:val="clear" w:color="auto" w:fill="auto"/>
          </w:tcPr>
          <w:p w14:paraId="1D56D671" w14:textId="77777777" w:rsidR="008C5CFA" w:rsidRPr="00D4605F" w:rsidRDefault="00E82A60" w:rsidP="00300A01">
            <w:pPr>
              <w:spacing w:before="0" w:after="0"/>
              <w:rPr>
                <w:sz w:val="12"/>
                <w:szCs w:val="12"/>
                <w:lang w:val="fr-BE"/>
              </w:rPr>
            </w:pPr>
            <w:r w:rsidRPr="00D4605F">
              <w:rPr>
                <w:noProof/>
                <w:sz w:val="12"/>
                <w:szCs w:val="12"/>
                <w:lang w:val="fr-BE"/>
              </w:rPr>
              <w:t>3</w:t>
            </w:r>
          </w:p>
        </w:tc>
        <w:tc>
          <w:tcPr>
            <w:tcW w:w="0" w:type="auto"/>
            <w:shd w:val="clear" w:color="auto" w:fill="auto"/>
          </w:tcPr>
          <w:p w14:paraId="276D8132" w14:textId="77777777" w:rsidR="008C5CFA" w:rsidRPr="00D4605F" w:rsidRDefault="00E82A60" w:rsidP="00300A01">
            <w:pPr>
              <w:spacing w:before="0" w:after="0"/>
              <w:rPr>
                <w:sz w:val="12"/>
                <w:szCs w:val="12"/>
                <w:lang w:val="fr-BE"/>
              </w:rPr>
            </w:pPr>
            <w:r w:rsidRPr="00D4605F">
              <w:rPr>
                <w:noProof/>
                <w:sz w:val="12"/>
                <w:szCs w:val="12"/>
                <w:lang w:val="fr-BE"/>
              </w:rPr>
              <w:t>O</w:t>
            </w:r>
          </w:p>
        </w:tc>
        <w:tc>
          <w:tcPr>
            <w:tcW w:w="0" w:type="auto"/>
            <w:shd w:val="clear" w:color="auto" w:fill="auto"/>
          </w:tcPr>
          <w:p w14:paraId="2F023455" w14:textId="77777777" w:rsidR="008C5CFA" w:rsidRPr="00D4605F" w:rsidRDefault="00E82A60" w:rsidP="00300A01">
            <w:pPr>
              <w:spacing w:before="0" w:after="0"/>
              <w:rPr>
                <w:sz w:val="12"/>
                <w:szCs w:val="12"/>
                <w:lang w:val="fr-BE"/>
              </w:rPr>
            </w:pPr>
            <w:r w:rsidRPr="00D4605F">
              <w:rPr>
                <w:noProof/>
                <w:sz w:val="12"/>
                <w:szCs w:val="12"/>
                <w:lang w:val="fr-BE"/>
              </w:rPr>
              <w:t>27</w:t>
            </w:r>
          </w:p>
        </w:tc>
        <w:tc>
          <w:tcPr>
            <w:tcW w:w="0" w:type="auto"/>
            <w:shd w:val="clear" w:color="auto" w:fill="auto"/>
          </w:tcPr>
          <w:p w14:paraId="029E5A34" w14:textId="77777777" w:rsidR="008C5CFA" w:rsidRPr="00D4605F" w:rsidRDefault="00E82A60" w:rsidP="00300A01">
            <w:pPr>
              <w:spacing w:before="0" w:after="0"/>
              <w:rPr>
                <w:sz w:val="12"/>
                <w:szCs w:val="12"/>
                <w:lang w:val="fr-BE"/>
              </w:rPr>
            </w:pPr>
            <w:r w:rsidRPr="00D4605F">
              <w:rPr>
                <w:noProof/>
                <w:sz w:val="12"/>
                <w:szCs w:val="12"/>
                <w:lang w:val="fr-BE"/>
              </w:rPr>
              <w:t>Liczba jednostek wytwarzania energii elektrycznej z OZE</w:t>
            </w:r>
          </w:p>
        </w:tc>
        <w:tc>
          <w:tcPr>
            <w:tcW w:w="0" w:type="auto"/>
            <w:shd w:val="clear" w:color="auto" w:fill="auto"/>
          </w:tcPr>
          <w:p w14:paraId="0FF72EA5" w14:textId="77777777" w:rsidR="008C5CFA" w:rsidRPr="00D4605F" w:rsidRDefault="00E82A60" w:rsidP="00300A01">
            <w:pPr>
              <w:spacing w:before="0" w:after="0"/>
              <w:rPr>
                <w:sz w:val="12"/>
                <w:szCs w:val="12"/>
                <w:lang w:val="fr-BE"/>
              </w:rPr>
            </w:pPr>
            <w:r w:rsidRPr="00D4605F">
              <w:rPr>
                <w:noProof/>
                <w:sz w:val="12"/>
                <w:szCs w:val="12"/>
                <w:lang w:val="fr-BE"/>
              </w:rPr>
              <w:t>szt.</w:t>
            </w:r>
          </w:p>
        </w:tc>
        <w:tc>
          <w:tcPr>
            <w:tcW w:w="0" w:type="auto"/>
            <w:shd w:val="clear" w:color="auto" w:fill="auto"/>
          </w:tcPr>
          <w:p w14:paraId="18C53ACD" w14:textId="77777777" w:rsidR="008C5CFA" w:rsidRPr="00D4605F" w:rsidRDefault="00E82A60" w:rsidP="00300A01">
            <w:pPr>
              <w:spacing w:before="0" w:after="0"/>
              <w:rPr>
                <w:sz w:val="12"/>
                <w:szCs w:val="12"/>
                <w:lang w:val="fr-BE"/>
              </w:rPr>
            </w:pPr>
            <w:r w:rsidRPr="00D4605F">
              <w:rPr>
                <w:noProof/>
                <w:sz w:val="12"/>
                <w:szCs w:val="12"/>
                <w:lang w:val="fr-BE"/>
              </w:rPr>
              <w:t>EFRR</w:t>
            </w:r>
          </w:p>
        </w:tc>
        <w:tc>
          <w:tcPr>
            <w:tcW w:w="0" w:type="auto"/>
          </w:tcPr>
          <w:p w14:paraId="616D8032" w14:textId="77777777" w:rsidR="008C5CFA" w:rsidRPr="00D4605F" w:rsidRDefault="00E82A60" w:rsidP="00300A01">
            <w:pPr>
              <w:spacing w:before="0" w:after="0"/>
              <w:rPr>
                <w:sz w:val="12"/>
                <w:szCs w:val="12"/>
                <w:lang w:val="fr-BE"/>
              </w:rPr>
            </w:pPr>
            <w:r w:rsidRPr="00D4605F">
              <w:rPr>
                <w:noProof/>
                <w:sz w:val="12"/>
                <w:szCs w:val="12"/>
                <w:lang w:val="fr-BE"/>
              </w:rPr>
              <w:t>Słabiej rozwinięte</w:t>
            </w:r>
          </w:p>
        </w:tc>
        <w:tc>
          <w:tcPr>
            <w:tcW w:w="0" w:type="auto"/>
          </w:tcPr>
          <w:p w14:paraId="40DBE112" w14:textId="77777777" w:rsidR="008C5CFA" w:rsidRPr="00D4605F" w:rsidRDefault="00E82A60" w:rsidP="00136029">
            <w:pPr>
              <w:spacing w:before="0" w:after="0"/>
              <w:jc w:val="right"/>
              <w:rPr>
                <w:sz w:val="12"/>
                <w:szCs w:val="12"/>
                <w:lang w:val="fr-BE"/>
              </w:rPr>
            </w:pPr>
            <w:r>
              <w:rPr>
                <w:noProof/>
                <w:sz w:val="12"/>
                <w:szCs w:val="12"/>
                <w:lang w:val="fr-BE"/>
              </w:rPr>
              <w:t>1 878,00</w:t>
            </w:r>
          </w:p>
        </w:tc>
        <w:tc>
          <w:tcPr>
            <w:tcW w:w="0" w:type="auto"/>
          </w:tcPr>
          <w:p w14:paraId="4E564063" w14:textId="77777777" w:rsidR="008C5CFA" w:rsidRPr="00D4605F" w:rsidRDefault="008C5CFA" w:rsidP="00300A01">
            <w:pPr>
              <w:spacing w:before="0" w:after="0"/>
              <w:jc w:val="right"/>
              <w:rPr>
                <w:sz w:val="12"/>
                <w:szCs w:val="12"/>
                <w:lang w:val="fr-BE"/>
              </w:rPr>
            </w:pPr>
          </w:p>
        </w:tc>
        <w:tc>
          <w:tcPr>
            <w:tcW w:w="0" w:type="auto"/>
          </w:tcPr>
          <w:p w14:paraId="5DF0EF6D" w14:textId="77777777" w:rsidR="008C5CFA" w:rsidRPr="00D4605F" w:rsidRDefault="008C5CFA" w:rsidP="00300A01">
            <w:pPr>
              <w:spacing w:before="0" w:after="0"/>
              <w:jc w:val="right"/>
              <w:rPr>
                <w:sz w:val="12"/>
                <w:szCs w:val="12"/>
                <w:lang w:val="fr-BE"/>
              </w:rPr>
            </w:pPr>
          </w:p>
        </w:tc>
        <w:tc>
          <w:tcPr>
            <w:tcW w:w="0" w:type="auto"/>
          </w:tcPr>
          <w:p w14:paraId="7F1E2427" w14:textId="77777777" w:rsidR="008C5CFA" w:rsidRPr="008C04A5" w:rsidRDefault="008C5CFA" w:rsidP="00300A01">
            <w:pPr>
              <w:spacing w:before="0" w:after="0"/>
              <w:jc w:val="right"/>
              <w:rPr>
                <w:sz w:val="12"/>
                <w:szCs w:val="12"/>
                <w:lang w:val="fr-BE"/>
              </w:rPr>
            </w:pPr>
          </w:p>
        </w:tc>
        <w:tc>
          <w:tcPr>
            <w:tcW w:w="0" w:type="auto"/>
          </w:tcPr>
          <w:p w14:paraId="425DDA2A" w14:textId="77777777" w:rsidR="008C5CFA" w:rsidRPr="008C04A5" w:rsidRDefault="008C5CFA" w:rsidP="00300A01">
            <w:pPr>
              <w:spacing w:before="0" w:after="0"/>
              <w:jc w:val="right"/>
              <w:rPr>
                <w:sz w:val="12"/>
                <w:szCs w:val="12"/>
                <w:lang w:val="fr-BE"/>
              </w:rPr>
            </w:pPr>
          </w:p>
        </w:tc>
        <w:tc>
          <w:tcPr>
            <w:tcW w:w="0" w:type="auto"/>
          </w:tcPr>
          <w:p w14:paraId="2587499D" w14:textId="77777777" w:rsidR="008C5CFA" w:rsidRPr="008C04A5" w:rsidRDefault="008C5CFA" w:rsidP="00300A01">
            <w:pPr>
              <w:spacing w:before="0" w:after="0"/>
              <w:jc w:val="right"/>
              <w:rPr>
                <w:sz w:val="12"/>
                <w:szCs w:val="12"/>
                <w:lang w:val="fr-BE"/>
              </w:rPr>
            </w:pPr>
          </w:p>
        </w:tc>
      </w:tr>
      <w:tr w:rsidR="006B2EC1" w14:paraId="5C2A6689" w14:textId="77777777" w:rsidTr="0047688D">
        <w:tc>
          <w:tcPr>
            <w:tcW w:w="0" w:type="auto"/>
            <w:shd w:val="clear" w:color="auto" w:fill="auto"/>
          </w:tcPr>
          <w:p w14:paraId="2789F02F" w14:textId="77777777" w:rsidR="008C5CFA" w:rsidRPr="00D4605F" w:rsidRDefault="00E82A60" w:rsidP="00300A01">
            <w:pPr>
              <w:spacing w:before="0" w:after="0"/>
              <w:rPr>
                <w:sz w:val="12"/>
                <w:szCs w:val="12"/>
                <w:lang w:val="fr-BE"/>
              </w:rPr>
            </w:pPr>
            <w:r w:rsidRPr="00D4605F">
              <w:rPr>
                <w:noProof/>
                <w:sz w:val="12"/>
                <w:szCs w:val="12"/>
                <w:lang w:val="fr-BE"/>
              </w:rPr>
              <w:t>3</w:t>
            </w:r>
          </w:p>
        </w:tc>
        <w:tc>
          <w:tcPr>
            <w:tcW w:w="0" w:type="auto"/>
            <w:shd w:val="clear" w:color="auto" w:fill="auto"/>
          </w:tcPr>
          <w:p w14:paraId="71D01296" w14:textId="77777777" w:rsidR="008C5CFA" w:rsidRPr="00D4605F" w:rsidRDefault="00E82A60" w:rsidP="00300A01">
            <w:pPr>
              <w:spacing w:before="0" w:after="0"/>
              <w:rPr>
                <w:sz w:val="12"/>
                <w:szCs w:val="12"/>
                <w:lang w:val="fr-BE"/>
              </w:rPr>
            </w:pPr>
            <w:r w:rsidRPr="00D4605F">
              <w:rPr>
                <w:noProof/>
                <w:sz w:val="12"/>
                <w:szCs w:val="12"/>
                <w:lang w:val="fr-BE"/>
              </w:rPr>
              <w:t>O</w:t>
            </w:r>
          </w:p>
        </w:tc>
        <w:tc>
          <w:tcPr>
            <w:tcW w:w="0" w:type="auto"/>
            <w:shd w:val="clear" w:color="auto" w:fill="auto"/>
          </w:tcPr>
          <w:p w14:paraId="56660AB0" w14:textId="77777777" w:rsidR="008C5CFA" w:rsidRPr="00D4605F" w:rsidRDefault="00E82A60" w:rsidP="00300A01">
            <w:pPr>
              <w:spacing w:before="0" w:after="0"/>
              <w:rPr>
                <w:sz w:val="12"/>
                <w:szCs w:val="12"/>
                <w:lang w:val="fr-BE"/>
              </w:rPr>
            </w:pPr>
            <w:r w:rsidRPr="00D4605F">
              <w:rPr>
                <w:noProof/>
                <w:sz w:val="12"/>
                <w:szCs w:val="12"/>
                <w:lang w:val="fr-BE"/>
              </w:rPr>
              <w:t>31</w:t>
            </w:r>
          </w:p>
        </w:tc>
        <w:tc>
          <w:tcPr>
            <w:tcW w:w="0" w:type="auto"/>
            <w:shd w:val="clear" w:color="auto" w:fill="auto"/>
          </w:tcPr>
          <w:p w14:paraId="23B4E811" w14:textId="77777777" w:rsidR="008C5CFA" w:rsidRPr="00D4605F" w:rsidRDefault="00E82A60" w:rsidP="00300A01">
            <w:pPr>
              <w:spacing w:before="0" w:after="0"/>
              <w:rPr>
                <w:sz w:val="12"/>
                <w:szCs w:val="12"/>
                <w:lang w:val="fr-BE"/>
              </w:rPr>
            </w:pPr>
            <w:r w:rsidRPr="00D4605F">
              <w:rPr>
                <w:noProof/>
                <w:sz w:val="12"/>
                <w:szCs w:val="12"/>
                <w:lang w:val="fr-BE"/>
              </w:rPr>
              <w:t>Liczba przedsiębiorstw, które w wyniku wsparcia poprawiły efektywność energetyczną</w:t>
            </w:r>
          </w:p>
        </w:tc>
        <w:tc>
          <w:tcPr>
            <w:tcW w:w="0" w:type="auto"/>
            <w:shd w:val="clear" w:color="auto" w:fill="auto"/>
          </w:tcPr>
          <w:p w14:paraId="6E379DC1" w14:textId="77777777" w:rsidR="008C5CFA" w:rsidRPr="00D4605F" w:rsidRDefault="00E82A60" w:rsidP="00300A01">
            <w:pPr>
              <w:spacing w:before="0" w:after="0"/>
              <w:rPr>
                <w:sz w:val="12"/>
                <w:szCs w:val="12"/>
                <w:lang w:val="fr-BE"/>
              </w:rPr>
            </w:pPr>
            <w:r w:rsidRPr="00D4605F">
              <w:rPr>
                <w:noProof/>
                <w:sz w:val="12"/>
                <w:szCs w:val="12"/>
                <w:lang w:val="fr-BE"/>
              </w:rPr>
              <w:t>szt.</w:t>
            </w:r>
          </w:p>
        </w:tc>
        <w:tc>
          <w:tcPr>
            <w:tcW w:w="0" w:type="auto"/>
            <w:shd w:val="clear" w:color="auto" w:fill="auto"/>
          </w:tcPr>
          <w:p w14:paraId="66ABDD30" w14:textId="77777777" w:rsidR="008C5CFA" w:rsidRPr="00D4605F" w:rsidRDefault="00E82A60" w:rsidP="00300A01">
            <w:pPr>
              <w:spacing w:before="0" w:after="0"/>
              <w:rPr>
                <w:sz w:val="12"/>
                <w:szCs w:val="12"/>
                <w:lang w:val="fr-BE"/>
              </w:rPr>
            </w:pPr>
            <w:r w:rsidRPr="00D4605F">
              <w:rPr>
                <w:noProof/>
                <w:sz w:val="12"/>
                <w:szCs w:val="12"/>
                <w:lang w:val="fr-BE"/>
              </w:rPr>
              <w:t>EFRR</w:t>
            </w:r>
          </w:p>
        </w:tc>
        <w:tc>
          <w:tcPr>
            <w:tcW w:w="0" w:type="auto"/>
          </w:tcPr>
          <w:p w14:paraId="6A515FD0" w14:textId="77777777" w:rsidR="008C5CFA" w:rsidRPr="00D4605F" w:rsidRDefault="00E82A60" w:rsidP="00300A01">
            <w:pPr>
              <w:spacing w:before="0" w:after="0"/>
              <w:rPr>
                <w:sz w:val="12"/>
                <w:szCs w:val="12"/>
                <w:lang w:val="fr-BE"/>
              </w:rPr>
            </w:pPr>
            <w:r w:rsidRPr="00D4605F">
              <w:rPr>
                <w:noProof/>
                <w:sz w:val="12"/>
                <w:szCs w:val="12"/>
                <w:lang w:val="fr-BE"/>
              </w:rPr>
              <w:t>Słabiej rozwinięte</w:t>
            </w:r>
          </w:p>
        </w:tc>
        <w:tc>
          <w:tcPr>
            <w:tcW w:w="0" w:type="auto"/>
          </w:tcPr>
          <w:p w14:paraId="4ED5A58C" w14:textId="77777777" w:rsidR="008C5CFA" w:rsidRPr="00D4605F" w:rsidRDefault="00E82A60" w:rsidP="00136029">
            <w:pPr>
              <w:spacing w:before="0" w:after="0"/>
              <w:jc w:val="right"/>
              <w:rPr>
                <w:sz w:val="12"/>
                <w:szCs w:val="12"/>
                <w:lang w:val="fr-BE"/>
              </w:rPr>
            </w:pPr>
            <w:r>
              <w:rPr>
                <w:noProof/>
                <w:sz w:val="12"/>
                <w:szCs w:val="12"/>
                <w:lang w:val="fr-BE"/>
              </w:rPr>
              <w:t>32,00</w:t>
            </w:r>
          </w:p>
        </w:tc>
        <w:tc>
          <w:tcPr>
            <w:tcW w:w="0" w:type="auto"/>
          </w:tcPr>
          <w:p w14:paraId="753CD6C7" w14:textId="77777777" w:rsidR="008C5CFA" w:rsidRPr="00D4605F" w:rsidRDefault="008C5CFA" w:rsidP="00300A01">
            <w:pPr>
              <w:spacing w:before="0" w:after="0"/>
              <w:jc w:val="right"/>
              <w:rPr>
                <w:sz w:val="12"/>
                <w:szCs w:val="12"/>
                <w:lang w:val="fr-BE"/>
              </w:rPr>
            </w:pPr>
          </w:p>
        </w:tc>
        <w:tc>
          <w:tcPr>
            <w:tcW w:w="0" w:type="auto"/>
          </w:tcPr>
          <w:p w14:paraId="3A089837" w14:textId="77777777" w:rsidR="008C5CFA" w:rsidRPr="00D4605F" w:rsidRDefault="008C5CFA" w:rsidP="00300A01">
            <w:pPr>
              <w:spacing w:before="0" w:after="0"/>
              <w:jc w:val="right"/>
              <w:rPr>
                <w:sz w:val="12"/>
                <w:szCs w:val="12"/>
                <w:lang w:val="fr-BE"/>
              </w:rPr>
            </w:pPr>
          </w:p>
        </w:tc>
        <w:tc>
          <w:tcPr>
            <w:tcW w:w="0" w:type="auto"/>
          </w:tcPr>
          <w:p w14:paraId="76C43CA3" w14:textId="77777777" w:rsidR="008C5CFA" w:rsidRPr="008C04A5" w:rsidRDefault="008C5CFA" w:rsidP="00300A01">
            <w:pPr>
              <w:spacing w:before="0" w:after="0"/>
              <w:jc w:val="right"/>
              <w:rPr>
                <w:sz w:val="12"/>
                <w:szCs w:val="12"/>
                <w:lang w:val="fr-BE"/>
              </w:rPr>
            </w:pPr>
          </w:p>
        </w:tc>
        <w:tc>
          <w:tcPr>
            <w:tcW w:w="0" w:type="auto"/>
          </w:tcPr>
          <w:p w14:paraId="61571E11" w14:textId="77777777" w:rsidR="008C5CFA" w:rsidRPr="008C04A5" w:rsidRDefault="008C5CFA" w:rsidP="00300A01">
            <w:pPr>
              <w:spacing w:before="0" w:after="0"/>
              <w:jc w:val="right"/>
              <w:rPr>
                <w:sz w:val="12"/>
                <w:szCs w:val="12"/>
                <w:lang w:val="fr-BE"/>
              </w:rPr>
            </w:pPr>
          </w:p>
        </w:tc>
        <w:tc>
          <w:tcPr>
            <w:tcW w:w="0" w:type="auto"/>
          </w:tcPr>
          <w:p w14:paraId="66295EE5" w14:textId="77777777" w:rsidR="008C5CFA" w:rsidRPr="008C04A5" w:rsidRDefault="008C5CFA" w:rsidP="00300A01">
            <w:pPr>
              <w:spacing w:before="0" w:after="0"/>
              <w:jc w:val="right"/>
              <w:rPr>
                <w:sz w:val="12"/>
                <w:szCs w:val="12"/>
                <w:lang w:val="fr-BE"/>
              </w:rPr>
            </w:pPr>
          </w:p>
        </w:tc>
      </w:tr>
      <w:tr w:rsidR="006B2EC1" w14:paraId="12AB723B" w14:textId="77777777" w:rsidTr="0047688D">
        <w:tc>
          <w:tcPr>
            <w:tcW w:w="0" w:type="auto"/>
            <w:shd w:val="clear" w:color="auto" w:fill="auto"/>
          </w:tcPr>
          <w:p w14:paraId="61AC6C76" w14:textId="77777777" w:rsidR="008C5CFA" w:rsidRPr="00D4605F" w:rsidRDefault="00E82A60" w:rsidP="00300A01">
            <w:pPr>
              <w:spacing w:before="0" w:after="0"/>
              <w:rPr>
                <w:sz w:val="12"/>
                <w:szCs w:val="12"/>
                <w:lang w:val="fr-BE"/>
              </w:rPr>
            </w:pPr>
            <w:r w:rsidRPr="00D4605F">
              <w:rPr>
                <w:noProof/>
                <w:sz w:val="12"/>
                <w:szCs w:val="12"/>
                <w:lang w:val="fr-BE"/>
              </w:rPr>
              <w:t>3</w:t>
            </w:r>
          </w:p>
        </w:tc>
        <w:tc>
          <w:tcPr>
            <w:tcW w:w="0" w:type="auto"/>
            <w:shd w:val="clear" w:color="auto" w:fill="auto"/>
          </w:tcPr>
          <w:p w14:paraId="2EC9CAC7" w14:textId="77777777" w:rsidR="008C5CFA" w:rsidRPr="00D4605F" w:rsidRDefault="00E82A60" w:rsidP="00300A01">
            <w:pPr>
              <w:spacing w:before="0" w:after="0"/>
              <w:rPr>
                <w:sz w:val="12"/>
                <w:szCs w:val="12"/>
                <w:lang w:val="fr-BE"/>
              </w:rPr>
            </w:pPr>
            <w:r w:rsidRPr="00D4605F">
              <w:rPr>
                <w:noProof/>
                <w:sz w:val="12"/>
                <w:szCs w:val="12"/>
                <w:lang w:val="fr-BE"/>
              </w:rPr>
              <w:t>O</w:t>
            </w:r>
          </w:p>
        </w:tc>
        <w:tc>
          <w:tcPr>
            <w:tcW w:w="0" w:type="auto"/>
            <w:shd w:val="clear" w:color="auto" w:fill="auto"/>
          </w:tcPr>
          <w:p w14:paraId="0E74FAF4" w14:textId="77777777" w:rsidR="008C5CFA" w:rsidRPr="00D4605F" w:rsidRDefault="00E82A60" w:rsidP="00300A01">
            <w:pPr>
              <w:spacing w:before="0" w:after="0"/>
              <w:rPr>
                <w:sz w:val="12"/>
                <w:szCs w:val="12"/>
                <w:lang w:val="fr-BE"/>
              </w:rPr>
            </w:pPr>
            <w:r w:rsidRPr="00D4605F">
              <w:rPr>
                <w:noProof/>
                <w:sz w:val="12"/>
                <w:szCs w:val="12"/>
                <w:lang w:val="fr-BE"/>
              </w:rPr>
              <w:t>34</w:t>
            </w:r>
          </w:p>
        </w:tc>
        <w:tc>
          <w:tcPr>
            <w:tcW w:w="0" w:type="auto"/>
            <w:shd w:val="clear" w:color="auto" w:fill="auto"/>
          </w:tcPr>
          <w:p w14:paraId="38CC2122" w14:textId="77777777" w:rsidR="008C5CFA" w:rsidRPr="00D4605F" w:rsidRDefault="00E82A60" w:rsidP="00300A01">
            <w:pPr>
              <w:spacing w:before="0" w:after="0"/>
              <w:rPr>
                <w:sz w:val="12"/>
                <w:szCs w:val="12"/>
                <w:lang w:val="fr-BE"/>
              </w:rPr>
            </w:pPr>
            <w:r w:rsidRPr="00D4605F">
              <w:rPr>
                <w:noProof/>
                <w:sz w:val="12"/>
                <w:szCs w:val="12"/>
                <w:lang w:val="fr-BE"/>
              </w:rPr>
              <w:t>Liczba zmodernizowanych energetycznie budynków</w:t>
            </w:r>
          </w:p>
        </w:tc>
        <w:tc>
          <w:tcPr>
            <w:tcW w:w="0" w:type="auto"/>
            <w:shd w:val="clear" w:color="auto" w:fill="auto"/>
          </w:tcPr>
          <w:p w14:paraId="0A1FDB90" w14:textId="77777777" w:rsidR="008C5CFA" w:rsidRPr="00D4605F" w:rsidRDefault="00E82A60" w:rsidP="00300A01">
            <w:pPr>
              <w:spacing w:before="0" w:after="0"/>
              <w:rPr>
                <w:sz w:val="12"/>
                <w:szCs w:val="12"/>
                <w:lang w:val="fr-BE"/>
              </w:rPr>
            </w:pPr>
            <w:r w:rsidRPr="00D4605F">
              <w:rPr>
                <w:noProof/>
                <w:sz w:val="12"/>
                <w:szCs w:val="12"/>
                <w:lang w:val="fr-BE"/>
              </w:rPr>
              <w:t>szt.</w:t>
            </w:r>
          </w:p>
        </w:tc>
        <w:tc>
          <w:tcPr>
            <w:tcW w:w="0" w:type="auto"/>
            <w:shd w:val="clear" w:color="auto" w:fill="auto"/>
          </w:tcPr>
          <w:p w14:paraId="0336DE5C" w14:textId="77777777" w:rsidR="008C5CFA" w:rsidRPr="00D4605F" w:rsidRDefault="00E82A60" w:rsidP="00300A01">
            <w:pPr>
              <w:spacing w:before="0" w:after="0"/>
              <w:rPr>
                <w:sz w:val="12"/>
                <w:szCs w:val="12"/>
                <w:lang w:val="fr-BE"/>
              </w:rPr>
            </w:pPr>
            <w:r w:rsidRPr="00D4605F">
              <w:rPr>
                <w:noProof/>
                <w:sz w:val="12"/>
                <w:szCs w:val="12"/>
                <w:lang w:val="fr-BE"/>
              </w:rPr>
              <w:t>EFRR</w:t>
            </w:r>
          </w:p>
        </w:tc>
        <w:tc>
          <w:tcPr>
            <w:tcW w:w="0" w:type="auto"/>
          </w:tcPr>
          <w:p w14:paraId="6AFD27FE" w14:textId="77777777" w:rsidR="008C5CFA" w:rsidRPr="00D4605F" w:rsidRDefault="00E82A60" w:rsidP="00300A01">
            <w:pPr>
              <w:spacing w:before="0" w:after="0"/>
              <w:rPr>
                <w:sz w:val="12"/>
                <w:szCs w:val="12"/>
                <w:lang w:val="fr-BE"/>
              </w:rPr>
            </w:pPr>
            <w:r w:rsidRPr="00D4605F">
              <w:rPr>
                <w:noProof/>
                <w:sz w:val="12"/>
                <w:szCs w:val="12"/>
                <w:lang w:val="fr-BE"/>
              </w:rPr>
              <w:t>Słabiej rozwinięte</w:t>
            </w:r>
          </w:p>
        </w:tc>
        <w:tc>
          <w:tcPr>
            <w:tcW w:w="0" w:type="auto"/>
          </w:tcPr>
          <w:p w14:paraId="0CF41A70" w14:textId="77777777" w:rsidR="008C5CFA" w:rsidRPr="00D4605F" w:rsidRDefault="00E82A60" w:rsidP="00136029">
            <w:pPr>
              <w:spacing w:before="0" w:after="0"/>
              <w:jc w:val="right"/>
              <w:rPr>
                <w:sz w:val="12"/>
                <w:szCs w:val="12"/>
                <w:lang w:val="fr-BE"/>
              </w:rPr>
            </w:pPr>
            <w:r>
              <w:rPr>
                <w:noProof/>
                <w:sz w:val="12"/>
                <w:szCs w:val="12"/>
                <w:lang w:val="fr-BE"/>
              </w:rPr>
              <w:t>152,00</w:t>
            </w:r>
          </w:p>
        </w:tc>
        <w:tc>
          <w:tcPr>
            <w:tcW w:w="0" w:type="auto"/>
          </w:tcPr>
          <w:p w14:paraId="0BA6F91B" w14:textId="77777777" w:rsidR="008C5CFA" w:rsidRPr="00D4605F" w:rsidRDefault="008C5CFA" w:rsidP="00300A01">
            <w:pPr>
              <w:spacing w:before="0" w:after="0"/>
              <w:jc w:val="right"/>
              <w:rPr>
                <w:sz w:val="12"/>
                <w:szCs w:val="12"/>
                <w:lang w:val="fr-BE"/>
              </w:rPr>
            </w:pPr>
          </w:p>
        </w:tc>
        <w:tc>
          <w:tcPr>
            <w:tcW w:w="0" w:type="auto"/>
          </w:tcPr>
          <w:p w14:paraId="1FAF400D" w14:textId="77777777" w:rsidR="008C5CFA" w:rsidRPr="00D4605F" w:rsidRDefault="008C5CFA" w:rsidP="00300A01">
            <w:pPr>
              <w:spacing w:before="0" w:after="0"/>
              <w:jc w:val="right"/>
              <w:rPr>
                <w:sz w:val="12"/>
                <w:szCs w:val="12"/>
                <w:lang w:val="fr-BE"/>
              </w:rPr>
            </w:pPr>
          </w:p>
        </w:tc>
        <w:tc>
          <w:tcPr>
            <w:tcW w:w="0" w:type="auto"/>
          </w:tcPr>
          <w:p w14:paraId="2138F1E4" w14:textId="77777777" w:rsidR="008C5CFA" w:rsidRPr="008C04A5" w:rsidRDefault="008C5CFA" w:rsidP="00300A01">
            <w:pPr>
              <w:spacing w:before="0" w:after="0"/>
              <w:jc w:val="right"/>
              <w:rPr>
                <w:sz w:val="12"/>
                <w:szCs w:val="12"/>
                <w:lang w:val="fr-BE"/>
              </w:rPr>
            </w:pPr>
          </w:p>
        </w:tc>
        <w:tc>
          <w:tcPr>
            <w:tcW w:w="0" w:type="auto"/>
          </w:tcPr>
          <w:p w14:paraId="20A47007" w14:textId="77777777" w:rsidR="008C5CFA" w:rsidRPr="008C04A5" w:rsidRDefault="008C5CFA" w:rsidP="00300A01">
            <w:pPr>
              <w:spacing w:before="0" w:after="0"/>
              <w:jc w:val="right"/>
              <w:rPr>
                <w:sz w:val="12"/>
                <w:szCs w:val="12"/>
                <w:lang w:val="fr-BE"/>
              </w:rPr>
            </w:pPr>
          </w:p>
        </w:tc>
        <w:tc>
          <w:tcPr>
            <w:tcW w:w="0" w:type="auto"/>
          </w:tcPr>
          <w:p w14:paraId="5F6A78DC" w14:textId="77777777" w:rsidR="008C5CFA" w:rsidRPr="008C04A5" w:rsidRDefault="008C5CFA" w:rsidP="00300A01">
            <w:pPr>
              <w:spacing w:before="0" w:after="0"/>
              <w:jc w:val="right"/>
              <w:rPr>
                <w:sz w:val="12"/>
                <w:szCs w:val="12"/>
                <w:lang w:val="fr-BE"/>
              </w:rPr>
            </w:pPr>
          </w:p>
        </w:tc>
      </w:tr>
      <w:tr w:rsidR="006B2EC1" w14:paraId="2F5738E6" w14:textId="77777777" w:rsidTr="0047688D">
        <w:tc>
          <w:tcPr>
            <w:tcW w:w="0" w:type="auto"/>
            <w:shd w:val="clear" w:color="auto" w:fill="auto"/>
          </w:tcPr>
          <w:p w14:paraId="564A00E6" w14:textId="77777777" w:rsidR="008C5CFA" w:rsidRPr="00D4605F" w:rsidRDefault="00E82A60" w:rsidP="00300A01">
            <w:pPr>
              <w:spacing w:before="0" w:after="0"/>
              <w:rPr>
                <w:sz w:val="12"/>
                <w:szCs w:val="12"/>
                <w:lang w:val="fr-BE"/>
              </w:rPr>
            </w:pPr>
            <w:r w:rsidRPr="00D4605F">
              <w:rPr>
                <w:noProof/>
                <w:sz w:val="12"/>
                <w:szCs w:val="12"/>
                <w:lang w:val="fr-BE"/>
              </w:rPr>
              <w:t>4</w:t>
            </w:r>
          </w:p>
        </w:tc>
        <w:tc>
          <w:tcPr>
            <w:tcW w:w="0" w:type="auto"/>
            <w:shd w:val="clear" w:color="auto" w:fill="auto"/>
          </w:tcPr>
          <w:p w14:paraId="70114B9F" w14:textId="77777777" w:rsidR="008C5CFA" w:rsidRPr="00D4605F" w:rsidRDefault="00E82A60" w:rsidP="00300A01">
            <w:pPr>
              <w:spacing w:before="0" w:after="0"/>
              <w:rPr>
                <w:sz w:val="12"/>
                <w:szCs w:val="12"/>
                <w:lang w:val="fr-BE"/>
              </w:rPr>
            </w:pPr>
            <w:r w:rsidRPr="00D4605F">
              <w:rPr>
                <w:noProof/>
                <w:sz w:val="12"/>
                <w:szCs w:val="12"/>
                <w:lang w:val="fr-BE"/>
              </w:rPr>
              <w:t>F</w:t>
            </w:r>
          </w:p>
        </w:tc>
        <w:tc>
          <w:tcPr>
            <w:tcW w:w="0" w:type="auto"/>
            <w:shd w:val="clear" w:color="auto" w:fill="auto"/>
          </w:tcPr>
          <w:p w14:paraId="628F0B52" w14:textId="77777777" w:rsidR="008C5CFA" w:rsidRPr="00D4605F" w:rsidRDefault="00E82A60" w:rsidP="00300A01">
            <w:pPr>
              <w:spacing w:before="0" w:after="0"/>
              <w:rPr>
                <w:sz w:val="12"/>
                <w:szCs w:val="12"/>
                <w:lang w:val="fr-BE"/>
              </w:rPr>
            </w:pPr>
            <w:r w:rsidRPr="00D4605F">
              <w:rPr>
                <w:noProof/>
                <w:sz w:val="12"/>
                <w:szCs w:val="12"/>
                <w:lang w:val="fr-BE"/>
              </w:rPr>
              <w:t>001</w:t>
            </w:r>
          </w:p>
        </w:tc>
        <w:tc>
          <w:tcPr>
            <w:tcW w:w="0" w:type="auto"/>
            <w:shd w:val="clear" w:color="auto" w:fill="auto"/>
          </w:tcPr>
          <w:p w14:paraId="24B22CAC" w14:textId="77777777" w:rsidR="008C5CFA" w:rsidRPr="00D4605F" w:rsidRDefault="00E82A60" w:rsidP="00300A01">
            <w:pPr>
              <w:spacing w:before="0" w:after="0"/>
              <w:rPr>
                <w:sz w:val="12"/>
                <w:szCs w:val="12"/>
                <w:lang w:val="fr-BE"/>
              </w:rPr>
            </w:pPr>
            <w:r w:rsidRPr="00D4605F">
              <w:rPr>
                <w:noProof/>
                <w:sz w:val="12"/>
                <w:szCs w:val="12"/>
                <w:lang w:val="fr-BE"/>
              </w:rPr>
              <w:t>Całkowita kwota certyfikowanych wydatków kwalifikowalnych</w:t>
            </w:r>
          </w:p>
        </w:tc>
        <w:tc>
          <w:tcPr>
            <w:tcW w:w="0" w:type="auto"/>
            <w:shd w:val="clear" w:color="auto" w:fill="auto"/>
          </w:tcPr>
          <w:p w14:paraId="62687AD4" w14:textId="77777777" w:rsidR="008C5CFA" w:rsidRPr="00D4605F" w:rsidRDefault="00E82A60" w:rsidP="00300A01">
            <w:pPr>
              <w:spacing w:before="0" w:after="0"/>
              <w:rPr>
                <w:sz w:val="12"/>
                <w:szCs w:val="12"/>
                <w:lang w:val="fr-BE"/>
              </w:rPr>
            </w:pPr>
            <w:r w:rsidRPr="00D4605F">
              <w:rPr>
                <w:noProof/>
                <w:sz w:val="12"/>
                <w:szCs w:val="12"/>
                <w:lang w:val="fr-BE"/>
              </w:rPr>
              <w:t>EUR</w:t>
            </w:r>
          </w:p>
        </w:tc>
        <w:tc>
          <w:tcPr>
            <w:tcW w:w="0" w:type="auto"/>
            <w:shd w:val="clear" w:color="auto" w:fill="auto"/>
          </w:tcPr>
          <w:p w14:paraId="5D3D07A2" w14:textId="77777777" w:rsidR="008C5CFA" w:rsidRPr="00D4605F" w:rsidRDefault="00E82A60" w:rsidP="00300A01">
            <w:pPr>
              <w:spacing w:before="0" w:after="0"/>
              <w:rPr>
                <w:sz w:val="12"/>
                <w:szCs w:val="12"/>
                <w:lang w:val="fr-BE"/>
              </w:rPr>
            </w:pPr>
            <w:r w:rsidRPr="00D4605F">
              <w:rPr>
                <w:noProof/>
                <w:sz w:val="12"/>
                <w:szCs w:val="12"/>
                <w:lang w:val="fr-BE"/>
              </w:rPr>
              <w:t>EFRR</w:t>
            </w:r>
          </w:p>
        </w:tc>
        <w:tc>
          <w:tcPr>
            <w:tcW w:w="0" w:type="auto"/>
          </w:tcPr>
          <w:p w14:paraId="095AABEB" w14:textId="77777777" w:rsidR="008C5CFA" w:rsidRPr="00D4605F" w:rsidRDefault="00E82A60" w:rsidP="00300A01">
            <w:pPr>
              <w:spacing w:before="0" w:after="0"/>
              <w:rPr>
                <w:sz w:val="12"/>
                <w:szCs w:val="12"/>
                <w:lang w:val="fr-BE"/>
              </w:rPr>
            </w:pPr>
            <w:r w:rsidRPr="00D4605F">
              <w:rPr>
                <w:noProof/>
                <w:sz w:val="12"/>
                <w:szCs w:val="12"/>
                <w:lang w:val="fr-BE"/>
              </w:rPr>
              <w:t>Słabiej rozwinięte</w:t>
            </w:r>
          </w:p>
        </w:tc>
        <w:tc>
          <w:tcPr>
            <w:tcW w:w="0" w:type="auto"/>
          </w:tcPr>
          <w:p w14:paraId="76821695" w14:textId="77777777" w:rsidR="008C5CFA" w:rsidRPr="00D4605F" w:rsidRDefault="00E82A60" w:rsidP="00136029">
            <w:pPr>
              <w:spacing w:before="0" w:after="0"/>
              <w:jc w:val="right"/>
              <w:rPr>
                <w:sz w:val="12"/>
                <w:szCs w:val="12"/>
                <w:lang w:val="fr-BE"/>
              </w:rPr>
            </w:pPr>
            <w:r>
              <w:rPr>
                <w:noProof/>
                <w:sz w:val="12"/>
                <w:szCs w:val="12"/>
                <w:lang w:val="fr-BE"/>
              </w:rPr>
              <w:t>46 168 851,76</w:t>
            </w:r>
          </w:p>
        </w:tc>
        <w:tc>
          <w:tcPr>
            <w:tcW w:w="0" w:type="auto"/>
          </w:tcPr>
          <w:p w14:paraId="77A94584" w14:textId="77777777" w:rsidR="008C5CFA" w:rsidRPr="00D4605F" w:rsidRDefault="008C5CFA" w:rsidP="00300A01">
            <w:pPr>
              <w:spacing w:before="0" w:after="0"/>
              <w:jc w:val="right"/>
              <w:rPr>
                <w:sz w:val="12"/>
                <w:szCs w:val="12"/>
                <w:lang w:val="fr-BE"/>
              </w:rPr>
            </w:pPr>
          </w:p>
        </w:tc>
        <w:tc>
          <w:tcPr>
            <w:tcW w:w="0" w:type="auto"/>
          </w:tcPr>
          <w:p w14:paraId="33DCCEAB" w14:textId="77777777" w:rsidR="008C5CFA" w:rsidRPr="00D4605F" w:rsidRDefault="008C5CFA" w:rsidP="00300A01">
            <w:pPr>
              <w:spacing w:before="0" w:after="0"/>
              <w:jc w:val="right"/>
              <w:rPr>
                <w:sz w:val="12"/>
                <w:szCs w:val="12"/>
                <w:lang w:val="fr-BE"/>
              </w:rPr>
            </w:pPr>
          </w:p>
        </w:tc>
        <w:tc>
          <w:tcPr>
            <w:tcW w:w="0" w:type="auto"/>
          </w:tcPr>
          <w:p w14:paraId="38F13762" w14:textId="77777777" w:rsidR="008C5CFA" w:rsidRPr="008C04A5" w:rsidRDefault="008C5CFA" w:rsidP="00300A01">
            <w:pPr>
              <w:spacing w:before="0" w:after="0"/>
              <w:jc w:val="right"/>
              <w:rPr>
                <w:sz w:val="12"/>
                <w:szCs w:val="12"/>
                <w:lang w:val="fr-BE"/>
              </w:rPr>
            </w:pPr>
          </w:p>
        </w:tc>
        <w:tc>
          <w:tcPr>
            <w:tcW w:w="0" w:type="auto"/>
          </w:tcPr>
          <w:p w14:paraId="18E68C76" w14:textId="77777777" w:rsidR="008C5CFA" w:rsidRPr="008C04A5" w:rsidRDefault="008C5CFA" w:rsidP="00300A01">
            <w:pPr>
              <w:spacing w:before="0" w:after="0"/>
              <w:jc w:val="right"/>
              <w:rPr>
                <w:sz w:val="12"/>
                <w:szCs w:val="12"/>
                <w:lang w:val="fr-BE"/>
              </w:rPr>
            </w:pPr>
          </w:p>
        </w:tc>
        <w:tc>
          <w:tcPr>
            <w:tcW w:w="0" w:type="auto"/>
          </w:tcPr>
          <w:p w14:paraId="5FA746E2" w14:textId="77777777" w:rsidR="008C5CFA" w:rsidRPr="008C04A5" w:rsidRDefault="008C5CFA" w:rsidP="00300A01">
            <w:pPr>
              <w:spacing w:before="0" w:after="0"/>
              <w:jc w:val="right"/>
              <w:rPr>
                <w:sz w:val="12"/>
                <w:szCs w:val="12"/>
                <w:lang w:val="fr-BE"/>
              </w:rPr>
            </w:pPr>
          </w:p>
        </w:tc>
      </w:tr>
      <w:tr w:rsidR="006B2EC1" w14:paraId="2A8AF2CB" w14:textId="77777777" w:rsidTr="0047688D">
        <w:tc>
          <w:tcPr>
            <w:tcW w:w="0" w:type="auto"/>
            <w:shd w:val="clear" w:color="auto" w:fill="auto"/>
          </w:tcPr>
          <w:p w14:paraId="402E9F81" w14:textId="77777777" w:rsidR="008C5CFA" w:rsidRPr="00D4605F" w:rsidRDefault="00E82A60" w:rsidP="00300A01">
            <w:pPr>
              <w:spacing w:before="0" w:after="0"/>
              <w:rPr>
                <w:sz w:val="12"/>
                <w:szCs w:val="12"/>
                <w:lang w:val="fr-BE"/>
              </w:rPr>
            </w:pPr>
            <w:r w:rsidRPr="00D4605F">
              <w:rPr>
                <w:noProof/>
                <w:sz w:val="12"/>
                <w:szCs w:val="12"/>
                <w:lang w:val="fr-BE"/>
              </w:rPr>
              <w:t>4</w:t>
            </w:r>
          </w:p>
        </w:tc>
        <w:tc>
          <w:tcPr>
            <w:tcW w:w="0" w:type="auto"/>
            <w:shd w:val="clear" w:color="auto" w:fill="auto"/>
          </w:tcPr>
          <w:p w14:paraId="57A9EA6F" w14:textId="77777777" w:rsidR="008C5CFA" w:rsidRPr="00D4605F" w:rsidRDefault="00E82A60" w:rsidP="00300A01">
            <w:pPr>
              <w:spacing w:before="0" w:after="0"/>
              <w:rPr>
                <w:sz w:val="12"/>
                <w:szCs w:val="12"/>
                <w:lang w:val="fr-BE"/>
              </w:rPr>
            </w:pPr>
            <w:r w:rsidRPr="00D4605F">
              <w:rPr>
                <w:noProof/>
                <w:sz w:val="12"/>
                <w:szCs w:val="12"/>
                <w:lang w:val="fr-BE"/>
              </w:rPr>
              <w:t>O</w:t>
            </w:r>
          </w:p>
        </w:tc>
        <w:tc>
          <w:tcPr>
            <w:tcW w:w="0" w:type="auto"/>
            <w:shd w:val="clear" w:color="auto" w:fill="auto"/>
          </w:tcPr>
          <w:p w14:paraId="2C93849C" w14:textId="77777777" w:rsidR="008C5CFA" w:rsidRPr="00D4605F" w:rsidRDefault="00E82A60" w:rsidP="00300A01">
            <w:pPr>
              <w:spacing w:before="0" w:after="0"/>
              <w:rPr>
                <w:sz w:val="12"/>
                <w:szCs w:val="12"/>
                <w:lang w:val="fr-BE"/>
              </w:rPr>
            </w:pPr>
            <w:r w:rsidRPr="00D4605F">
              <w:rPr>
                <w:noProof/>
                <w:sz w:val="12"/>
                <w:szCs w:val="12"/>
                <w:lang w:val="fr-BE"/>
              </w:rPr>
              <w:t>47</w:t>
            </w:r>
          </w:p>
        </w:tc>
        <w:tc>
          <w:tcPr>
            <w:tcW w:w="0" w:type="auto"/>
            <w:shd w:val="clear" w:color="auto" w:fill="auto"/>
          </w:tcPr>
          <w:p w14:paraId="325317CF" w14:textId="77777777" w:rsidR="008C5CFA" w:rsidRPr="00D4605F" w:rsidRDefault="00E82A60" w:rsidP="00300A01">
            <w:pPr>
              <w:spacing w:before="0" w:after="0"/>
              <w:rPr>
                <w:sz w:val="12"/>
                <w:szCs w:val="12"/>
                <w:lang w:val="fr-BE"/>
              </w:rPr>
            </w:pPr>
            <w:r w:rsidRPr="00D4605F">
              <w:rPr>
                <w:noProof/>
                <w:sz w:val="12"/>
                <w:szCs w:val="12"/>
                <w:lang w:val="fr-BE"/>
              </w:rPr>
              <w:t>Liczba jednostek służb ratowniczych doposażonych  w sprzęt do prowadzenia akcji ratowniczych  i usuwania skutków katastrof</w:t>
            </w:r>
          </w:p>
        </w:tc>
        <w:tc>
          <w:tcPr>
            <w:tcW w:w="0" w:type="auto"/>
            <w:shd w:val="clear" w:color="auto" w:fill="auto"/>
          </w:tcPr>
          <w:p w14:paraId="38C53073" w14:textId="77777777" w:rsidR="008C5CFA" w:rsidRPr="00D4605F" w:rsidRDefault="00E82A60" w:rsidP="00300A01">
            <w:pPr>
              <w:spacing w:before="0" w:after="0"/>
              <w:rPr>
                <w:sz w:val="12"/>
                <w:szCs w:val="12"/>
                <w:lang w:val="fr-BE"/>
              </w:rPr>
            </w:pPr>
            <w:r w:rsidRPr="00D4605F">
              <w:rPr>
                <w:noProof/>
                <w:sz w:val="12"/>
                <w:szCs w:val="12"/>
                <w:lang w:val="fr-BE"/>
              </w:rPr>
              <w:t>szt.</w:t>
            </w:r>
          </w:p>
        </w:tc>
        <w:tc>
          <w:tcPr>
            <w:tcW w:w="0" w:type="auto"/>
            <w:shd w:val="clear" w:color="auto" w:fill="auto"/>
          </w:tcPr>
          <w:p w14:paraId="7FE073DB" w14:textId="77777777" w:rsidR="008C5CFA" w:rsidRPr="00D4605F" w:rsidRDefault="00E82A60" w:rsidP="00300A01">
            <w:pPr>
              <w:spacing w:before="0" w:after="0"/>
              <w:rPr>
                <w:sz w:val="12"/>
                <w:szCs w:val="12"/>
                <w:lang w:val="fr-BE"/>
              </w:rPr>
            </w:pPr>
            <w:r w:rsidRPr="00D4605F">
              <w:rPr>
                <w:noProof/>
                <w:sz w:val="12"/>
                <w:szCs w:val="12"/>
                <w:lang w:val="fr-BE"/>
              </w:rPr>
              <w:t>EFRR</w:t>
            </w:r>
          </w:p>
        </w:tc>
        <w:tc>
          <w:tcPr>
            <w:tcW w:w="0" w:type="auto"/>
          </w:tcPr>
          <w:p w14:paraId="60C98EB8" w14:textId="77777777" w:rsidR="008C5CFA" w:rsidRPr="00D4605F" w:rsidRDefault="00E82A60" w:rsidP="00300A01">
            <w:pPr>
              <w:spacing w:before="0" w:after="0"/>
              <w:rPr>
                <w:sz w:val="12"/>
                <w:szCs w:val="12"/>
                <w:lang w:val="fr-BE"/>
              </w:rPr>
            </w:pPr>
            <w:r w:rsidRPr="00D4605F">
              <w:rPr>
                <w:noProof/>
                <w:sz w:val="12"/>
                <w:szCs w:val="12"/>
                <w:lang w:val="fr-BE"/>
              </w:rPr>
              <w:t>Słabiej rozwinięte</w:t>
            </w:r>
          </w:p>
        </w:tc>
        <w:tc>
          <w:tcPr>
            <w:tcW w:w="0" w:type="auto"/>
          </w:tcPr>
          <w:p w14:paraId="2F7513EB" w14:textId="77777777" w:rsidR="008C5CFA" w:rsidRPr="00D4605F" w:rsidRDefault="00E82A60" w:rsidP="00136029">
            <w:pPr>
              <w:spacing w:before="0" w:after="0"/>
              <w:jc w:val="right"/>
              <w:rPr>
                <w:sz w:val="12"/>
                <w:szCs w:val="12"/>
                <w:lang w:val="fr-BE"/>
              </w:rPr>
            </w:pPr>
            <w:r>
              <w:rPr>
                <w:noProof/>
                <w:sz w:val="12"/>
                <w:szCs w:val="12"/>
                <w:lang w:val="fr-BE"/>
              </w:rPr>
              <w:t>26,00</w:t>
            </w:r>
          </w:p>
        </w:tc>
        <w:tc>
          <w:tcPr>
            <w:tcW w:w="0" w:type="auto"/>
          </w:tcPr>
          <w:p w14:paraId="3989E780" w14:textId="77777777" w:rsidR="008C5CFA" w:rsidRPr="00D4605F" w:rsidRDefault="008C5CFA" w:rsidP="00300A01">
            <w:pPr>
              <w:spacing w:before="0" w:after="0"/>
              <w:jc w:val="right"/>
              <w:rPr>
                <w:sz w:val="12"/>
                <w:szCs w:val="12"/>
                <w:lang w:val="fr-BE"/>
              </w:rPr>
            </w:pPr>
          </w:p>
        </w:tc>
        <w:tc>
          <w:tcPr>
            <w:tcW w:w="0" w:type="auto"/>
          </w:tcPr>
          <w:p w14:paraId="7A82FE20" w14:textId="77777777" w:rsidR="008C5CFA" w:rsidRPr="00D4605F" w:rsidRDefault="008C5CFA" w:rsidP="00300A01">
            <w:pPr>
              <w:spacing w:before="0" w:after="0"/>
              <w:jc w:val="right"/>
              <w:rPr>
                <w:sz w:val="12"/>
                <w:szCs w:val="12"/>
                <w:lang w:val="fr-BE"/>
              </w:rPr>
            </w:pPr>
          </w:p>
        </w:tc>
        <w:tc>
          <w:tcPr>
            <w:tcW w:w="0" w:type="auto"/>
          </w:tcPr>
          <w:p w14:paraId="0E5C0FA8" w14:textId="77777777" w:rsidR="008C5CFA" w:rsidRPr="008C04A5" w:rsidRDefault="008C5CFA" w:rsidP="00300A01">
            <w:pPr>
              <w:spacing w:before="0" w:after="0"/>
              <w:jc w:val="right"/>
              <w:rPr>
                <w:sz w:val="12"/>
                <w:szCs w:val="12"/>
                <w:lang w:val="fr-BE"/>
              </w:rPr>
            </w:pPr>
          </w:p>
        </w:tc>
        <w:tc>
          <w:tcPr>
            <w:tcW w:w="0" w:type="auto"/>
          </w:tcPr>
          <w:p w14:paraId="7CD16796" w14:textId="77777777" w:rsidR="008C5CFA" w:rsidRPr="008C04A5" w:rsidRDefault="008C5CFA" w:rsidP="00300A01">
            <w:pPr>
              <w:spacing w:before="0" w:after="0"/>
              <w:jc w:val="right"/>
              <w:rPr>
                <w:sz w:val="12"/>
                <w:szCs w:val="12"/>
                <w:lang w:val="fr-BE"/>
              </w:rPr>
            </w:pPr>
          </w:p>
        </w:tc>
        <w:tc>
          <w:tcPr>
            <w:tcW w:w="0" w:type="auto"/>
          </w:tcPr>
          <w:p w14:paraId="087FD13E" w14:textId="77777777" w:rsidR="008C5CFA" w:rsidRPr="008C04A5" w:rsidRDefault="008C5CFA" w:rsidP="00300A01">
            <w:pPr>
              <w:spacing w:before="0" w:after="0"/>
              <w:jc w:val="right"/>
              <w:rPr>
                <w:sz w:val="12"/>
                <w:szCs w:val="12"/>
                <w:lang w:val="fr-BE"/>
              </w:rPr>
            </w:pPr>
          </w:p>
        </w:tc>
      </w:tr>
      <w:tr w:rsidR="006B2EC1" w14:paraId="1BFEC078" w14:textId="77777777" w:rsidTr="0047688D">
        <w:tc>
          <w:tcPr>
            <w:tcW w:w="0" w:type="auto"/>
            <w:shd w:val="clear" w:color="auto" w:fill="auto"/>
          </w:tcPr>
          <w:p w14:paraId="2F912339" w14:textId="77777777" w:rsidR="008C5CFA" w:rsidRPr="00D4605F" w:rsidRDefault="00E82A60" w:rsidP="00300A01">
            <w:pPr>
              <w:spacing w:before="0" w:after="0"/>
              <w:rPr>
                <w:sz w:val="12"/>
                <w:szCs w:val="12"/>
                <w:lang w:val="fr-BE"/>
              </w:rPr>
            </w:pPr>
            <w:r w:rsidRPr="00D4605F">
              <w:rPr>
                <w:noProof/>
                <w:sz w:val="12"/>
                <w:szCs w:val="12"/>
                <w:lang w:val="fr-BE"/>
              </w:rPr>
              <w:t>4</w:t>
            </w:r>
          </w:p>
        </w:tc>
        <w:tc>
          <w:tcPr>
            <w:tcW w:w="0" w:type="auto"/>
            <w:shd w:val="clear" w:color="auto" w:fill="auto"/>
          </w:tcPr>
          <w:p w14:paraId="6E011480" w14:textId="77777777" w:rsidR="008C5CFA" w:rsidRPr="00D4605F" w:rsidRDefault="00E82A60" w:rsidP="00300A01">
            <w:pPr>
              <w:spacing w:before="0" w:after="0"/>
              <w:rPr>
                <w:sz w:val="12"/>
                <w:szCs w:val="12"/>
                <w:lang w:val="fr-BE"/>
              </w:rPr>
            </w:pPr>
            <w:r w:rsidRPr="00D4605F">
              <w:rPr>
                <w:noProof/>
                <w:sz w:val="12"/>
                <w:szCs w:val="12"/>
                <w:lang w:val="fr-BE"/>
              </w:rPr>
              <w:t>O</w:t>
            </w:r>
          </w:p>
        </w:tc>
        <w:tc>
          <w:tcPr>
            <w:tcW w:w="0" w:type="auto"/>
            <w:shd w:val="clear" w:color="auto" w:fill="auto"/>
          </w:tcPr>
          <w:p w14:paraId="3A7C67B0" w14:textId="77777777" w:rsidR="008C5CFA" w:rsidRPr="00D4605F" w:rsidRDefault="00E82A60" w:rsidP="00300A01">
            <w:pPr>
              <w:spacing w:before="0" w:after="0"/>
              <w:rPr>
                <w:sz w:val="12"/>
                <w:szCs w:val="12"/>
                <w:lang w:val="fr-BE"/>
              </w:rPr>
            </w:pPr>
            <w:r w:rsidRPr="00D4605F">
              <w:rPr>
                <w:noProof/>
                <w:sz w:val="12"/>
                <w:szCs w:val="12"/>
                <w:lang w:val="fr-BE"/>
              </w:rPr>
              <w:t>56</w:t>
            </w:r>
          </w:p>
        </w:tc>
        <w:tc>
          <w:tcPr>
            <w:tcW w:w="0" w:type="auto"/>
            <w:shd w:val="clear" w:color="auto" w:fill="auto"/>
          </w:tcPr>
          <w:p w14:paraId="51A2A813" w14:textId="77777777" w:rsidR="008C5CFA" w:rsidRPr="00D4605F" w:rsidRDefault="00E82A60" w:rsidP="00300A01">
            <w:pPr>
              <w:spacing w:before="0" w:after="0"/>
              <w:rPr>
                <w:sz w:val="12"/>
                <w:szCs w:val="12"/>
                <w:lang w:val="fr-BE"/>
              </w:rPr>
            </w:pPr>
            <w:r w:rsidRPr="00D4605F">
              <w:rPr>
                <w:noProof/>
                <w:sz w:val="12"/>
                <w:szCs w:val="12"/>
                <w:lang w:val="fr-BE"/>
              </w:rPr>
              <w:t>Długość wybudowanej kanalizacji sanitarnej</w:t>
            </w:r>
          </w:p>
        </w:tc>
        <w:tc>
          <w:tcPr>
            <w:tcW w:w="0" w:type="auto"/>
            <w:shd w:val="clear" w:color="auto" w:fill="auto"/>
          </w:tcPr>
          <w:p w14:paraId="6816B246" w14:textId="77777777" w:rsidR="008C5CFA" w:rsidRPr="00D4605F" w:rsidRDefault="00E82A60" w:rsidP="00300A01">
            <w:pPr>
              <w:spacing w:before="0" w:after="0"/>
              <w:rPr>
                <w:sz w:val="12"/>
                <w:szCs w:val="12"/>
                <w:lang w:val="fr-BE"/>
              </w:rPr>
            </w:pPr>
            <w:r w:rsidRPr="00D4605F">
              <w:rPr>
                <w:noProof/>
                <w:sz w:val="12"/>
                <w:szCs w:val="12"/>
                <w:lang w:val="fr-BE"/>
              </w:rPr>
              <w:t>km</w:t>
            </w:r>
          </w:p>
        </w:tc>
        <w:tc>
          <w:tcPr>
            <w:tcW w:w="0" w:type="auto"/>
            <w:shd w:val="clear" w:color="auto" w:fill="auto"/>
          </w:tcPr>
          <w:p w14:paraId="49C20B4F" w14:textId="77777777" w:rsidR="008C5CFA" w:rsidRPr="00D4605F" w:rsidRDefault="00E82A60" w:rsidP="00300A01">
            <w:pPr>
              <w:spacing w:before="0" w:after="0"/>
              <w:rPr>
                <w:sz w:val="12"/>
                <w:szCs w:val="12"/>
                <w:lang w:val="fr-BE"/>
              </w:rPr>
            </w:pPr>
            <w:r w:rsidRPr="00D4605F">
              <w:rPr>
                <w:noProof/>
                <w:sz w:val="12"/>
                <w:szCs w:val="12"/>
                <w:lang w:val="fr-BE"/>
              </w:rPr>
              <w:t>EFRR</w:t>
            </w:r>
          </w:p>
        </w:tc>
        <w:tc>
          <w:tcPr>
            <w:tcW w:w="0" w:type="auto"/>
          </w:tcPr>
          <w:p w14:paraId="3438B469" w14:textId="77777777" w:rsidR="008C5CFA" w:rsidRPr="00D4605F" w:rsidRDefault="00E82A60" w:rsidP="00300A01">
            <w:pPr>
              <w:spacing w:before="0" w:after="0"/>
              <w:rPr>
                <w:sz w:val="12"/>
                <w:szCs w:val="12"/>
                <w:lang w:val="fr-BE"/>
              </w:rPr>
            </w:pPr>
            <w:r w:rsidRPr="00D4605F">
              <w:rPr>
                <w:noProof/>
                <w:sz w:val="12"/>
                <w:szCs w:val="12"/>
                <w:lang w:val="fr-BE"/>
              </w:rPr>
              <w:t>Słabiej rozwinięte</w:t>
            </w:r>
          </w:p>
        </w:tc>
        <w:tc>
          <w:tcPr>
            <w:tcW w:w="0" w:type="auto"/>
          </w:tcPr>
          <w:p w14:paraId="7E6DEA65" w14:textId="77777777" w:rsidR="008C5CFA" w:rsidRPr="00D4605F" w:rsidRDefault="00E82A60" w:rsidP="00136029">
            <w:pPr>
              <w:spacing w:before="0" w:after="0"/>
              <w:jc w:val="right"/>
              <w:rPr>
                <w:sz w:val="12"/>
                <w:szCs w:val="12"/>
                <w:lang w:val="fr-BE"/>
              </w:rPr>
            </w:pPr>
            <w:r>
              <w:rPr>
                <w:noProof/>
                <w:sz w:val="12"/>
                <w:szCs w:val="12"/>
                <w:lang w:val="fr-BE"/>
              </w:rPr>
              <w:t>131,31</w:t>
            </w:r>
          </w:p>
        </w:tc>
        <w:tc>
          <w:tcPr>
            <w:tcW w:w="0" w:type="auto"/>
          </w:tcPr>
          <w:p w14:paraId="59C6251E" w14:textId="77777777" w:rsidR="008C5CFA" w:rsidRPr="00D4605F" w:rsidRDefault="008C5CFA" w:rsidP="00300A01">
            <w:pPr>
              <w:spacing w:before="0" w:after="0"/>
              <w:jc w:val="right"/>
              <w:rPr>
                <w:sz w:val="12"/>
                <w:szCs w:val="12"/>
                <w:lang w:val="fr-BE"/>
              </w:rPr>
            </w:pPr>
          </w:p>
        </w:tc>
        <w:tc>
          <w:tcPr>
            <w:tcW w:w="0" w:type="auto"/>
          </w:tcPr>
          <w:p w14:paraId="218AD6A1" w14:textId="77777777" w:rsidR="008C5CFA" w:rsidRPr="00D4605F" w:rsidRDefault="008C5CFA" w:rsidP="00300A01">
            <w:pPr>
              <w:spacing w:before="0" w:after="0"/>
              <w:jc w:val="right"/>
              <w:rPr>
                <w:sz w:val="12"/>
                <w:szCs w:val="12"/>
                <w:lang w:val="fr-BE"/>
              </w:rPr>
            </w:pPr>
          </w:p>
        </w:tc>
        <w:tc>
          <w:tcPr>
            <w:tcW w:w="0" w:type="auto"/>
          </w:tcPr>
          <w:p w14:paraId="66589316" w14:textId="77777777" w:rsidR="008C5CFA" w:rsidRPr="008C04A5" w:rsidRDefault="008C5CFA" w:rsidP="00300A01">
            <w:pPr>
              <w:spacing w:before="0" w:after="0"/>
              <w:jc w:val="right"/>
              <w:rPr>
                <w:sz w:val="12"/>
                <w:szCs w:val="12"/>
                <w:lang w:val="fr-BE"/>
              </w:rPr>
            </w:pPr>
          </w:p>
        </w:tc>
        <w:tc>
          <w:tcPr>
            <w:tcW w:w="0" w:type="auto"/>
          </w:tcPr>
          <w:p w14:paraId="6F0FA076" w14:textId="77777777" w:rsidR="008C5CFA" w:rsidRPr="008C04A5" w:rsidRDefault="008C5CFA" w:rsidP="00300A01">
            <w:pPr>
              <w:spacing w:before="0" w:after="0"/>
              <w:jc w:val="right"/>
              <w:rPr>
                <w:sz w:val="12"/>
                <w:szCs w:val="12"/>
                <w:lang w:val="fr-BE"/>
              </w:rPr>
            </w:pPr>
          </w:p>
        </w:tc>
        <w:tc>
          <w:tcPr>
            <w:tcW w:w="0" w:type="auto"/>
          </w:tcPr>
          <w:p w14:paraId="458BB72B" w14:textId="77777777" w:rsidR="008C5CFA" w:rsidRPr="008C04A5" w:rsidRDefault="008C5CFA" w:rsidP="00300A01">
            <w:pPr>
              <w:spacing w:before="0" w:after="0"/>
              <w:jc w:val="right"/>
              <w:rPr>
                <w:sz w:val="12"/>
                <w:szCs w:val="12"/>
                <w:lang w:val="fr-BE"/>
              </w:rPr>
            </w:pPr>
          </w:p>
        </w:tc>
      </w:tr>
      <w:tr w:rsidR="006B2EC1" w14:paraId="7F99A9C7" w14:textId="77777777" w:rsidTr="0047688D">
        <w:tc>
          <w:tcPr>
            <w:tcW w:w="0" w:type="auto"/>
            <w:shd w:val="clear" w:color="auto" w:fill="auto"/>
          </w:tcPr>
          <w:p w14:paraId="172A78E3" w14:textId="77777777" w:rsidR="008C5CFA" w:rsidRPr="00D4605F" w:rsidRDefault="00E82A60" w:rsidP="00300A01">
            <w:pPr>
              <w:spacing w:before="0" w:after="0"/>
              <w:rPr>
                <w:sz w:val="12"/>
                <w:szCs w:val="12"/>
                <w:lang w:val="fr-BE"/>
              </w:rPr>
            </w:pPr>
            <w:r w:rsidRPr="00D4605F">
              <w:rPr>
                <w:noProof/>
                <w:sz w:val="12"/>
                <w:szCs w:val="12"/>
                <w:lang w:val="fr-BE"/>
              </w:rPr>
              <w:t>4</w:t>
            </w:r>
          </w:p>
        </w:tc>
        <w:tc>
          <w:tcPr>
            <w:tcW w:w="0" w:type="auto"/>
            <w:shd w:val="clear" w:color="auto" w:fill="auto"/>
          </w:tcPr>
          <w:p w14:paraId="536C6645" w14:textId="77777777" w:rsidR="008C5CFA" w:rsidRPr="00D4605F" w:rsidRDefault="00E82A60" w:rsidP="00300A01">
            <w:pPr>
              <w:spacing w:before="0" w:after="0"/>
              <w:rPr>
                <w:sz w:val="12"/>
                <w:szCs w:val="12"/>
                <w:lang w:val="fr-BE"/>
              </w:rPr>
            </w:pPr>
            <w:r w:rsidRPr="00D4605F">
              <w:rPr>
                <w:noProof/>
                <w:sz w:val="12"/>
                <w:szCs w:val="12"/>
                <w:lang w:val="fr-BE"/>
              </w:rPr>
              <w:t>O</w:t>
            </w:r>
          </w:p>
        </w:tc>
        <w:tc>
          <w:tcPr>
            <w:tcW w:w="0" w:type="auto"/>
            <w:shd w:val="clear" w:color="auto" w:fill="auto"/>
          </w:tcPr>
          <w:p w14:paraId="009C3BB0" w14:textId="77777777" w:rsidR="008C5CFA" w:rsidRPr="00D4605F" w:rsidRDefault="00E82A60" w:rsidP="00300A01">
            <w:pPr>
              <w:spacing w:before="0" w:after="0"/>
              <w:rPr>
                <w:sz w:val="12"/>
                <w:szCs w:val="12"/>
                <w:lang w:val="fr-BE"/>
              </w:rPr>
            </w:pPr>
            <w:r w:rsidRPr="00D4605F">
              <w:rPr>
                <w:noProof/>
                <w:sz w:val="12"/>
                <w:szCs w:val="12"/>
                <w:lang w:val="fr-BE"/>
              </w:rPr>
              <w:t>70</w:t>
            </w:r>
          </w:p>
        </w:tc>
        <w:tc>
          <w:tcPr>
            <w:tcW w:w="0" w:type="auto"/>
            <w:shd w:val="clear" w:color="auto" w:fill="auto"/>
          </w:tcPr>
          <w:p w14:paraId="04AA8185" w14:textId="77777777" w:rsidR="008C5CFA" w:rsidRPr="00D4605F" w:rsidRDefault="00E82A60" w:rsidP="00300A01">
            <w:pPr>
              <w:spacing w:before="0" w:after="0"/>
              <w:rPr>
                <w:sz w:val="12"/>
                <w:szCs w:val="12"/>
                <w:lang w:val="fr-BE"/>
              </w:rPr>
            </w:pPr>
            <w:r w:rsidRPr="00D4605F">
              <w:rPr>
                <w:noProof/>
                <w:sz w:val="12"/>
                <w:szCs w:val="12"/>
                <w:lang w:val="fr-BE"/>
              </w:rPr>
              <w:t>Liczba zabytków nieruchomych i instytucji kultury objętych wsparciem</w:t>
            </w:r>
          </w:p>
        </w:tc>
        <w:tc>
          <w:tcPr>
            <w:tcW w:w="0" w:type="auto"/>
            <w:shd w:val="clear" w:color="auto" w:fill="auto"/>
          </w:tcPr>
          <w:p w14:paraId="1C376FBC" w14:textId="77777777" w:rsidR="008C5CFA" w:rsidRPr="00D4605F" w:rsidRDefault="00E82A60" w:rsidP="00300A01">
            <w:pPr>
              <w:spacing w:before="0" w:after="0"/>
              <w:rPr>
                <w:sz w:val="12"/>
                <w:szCs w:val="12"/>
                <w:lang w:val="fr-BE"/>
              </w:rPr>
            </w:pPr>
            <w:r w:rsidRPr="00D4605F">
              <w:rPr>
                <w:noProof/>
                <w:sz w:val="12"/>
                <w:szCs w:val="12"/>
                <w:lang w:val="fr-BE"/>
              </w:rPr>
              <w:t>szt.</w:t>
            </w:r>
          </w:p>
        </w:tc>
        <w:tc>
          <w:tcPr>
            <w:tcW w:w="0" w:type="auto"/>
            <w:shd w:val="clear" w:color="auto" w:fill="auto"/>
          </w:tcPr>
          <w:p w14:paraId="15C648EA" w14:textId="77777777" w:rsidR="008C5CFA" w:rsidRPr="00D4605F" w:rsidRDefault="00E82A60" w:rsidP="00300A01">
            <w:pPr>
              <w:spacing w:before="0" w:after="0"/>
              <w:rPr>
                <w:sz w:val="12"/>
                <w:szCs w:val="12"/>
                <w:lang w:val="fr-BE"/>
              </w:rPr>
            </w:pPr>
            <w:r w:rsidRPr="00D4605F">
              <w:rPr>
                <w:noProof/>
                <w:sz w:val="12"/>
                <w:szCs w:val="12"/>
                <w:lang w:val="fr-BE"/>
              </w:rPr>
              <w:t>EFRR</w:t>
            </w:r>
          </w:p>
        </w:tc>
        <w:tc>
          <w:tcPr>
            <w:tcW w:w="0" w:type="auto"/>
          </w:tcPr>
          <w:p w14:paraId="72E7E361" w14:textId="77777777" w:rsidR="008C5CFA" w:rsidRPr="00D4605F" w:rsidRDefault="00E82A60" w:rsidP="00300A01">
            <w:pPr>
              <w:spacing w:before="0" w:after="0"/>
              <w:rPr>
                <w:sz w:val="12"/>
                <w:szCs w:val="12"/>
                <w:lang w:val="fr-BE"/>
              </w:rPr>
            </w:pPr>
            <w:r w:rsidRPr="00D4605F">
              <w:rPr>
                <w:noProof/>
                <w:sz w:val="12"/>
                <w:szCs w:val="12"/>
                <w:lang w:val="fr-BE"/>
              </w:rPr>
              <w:t>Słabiej rozwinięte</w:t>
            </w:r>
          </w:p>
        </w:tc>
        <w:tc>
          <w:tcPr>
            <w:tcW w:w="0" w:type="auto"/>
          </w:tcPr>
          <w:p w14:paraId="450AE26F" w14:textId="77777777" w:rsidR="008C5CFA" w:rsidRPr="00D4605F" w:rsidRDefault="00E82A60" w:rsidP="00136029">
            <w:pPr>
              <w:spacing w:before="0" w:after="0"/>
              <w:jc w:val="right"/>
              <w:rPr>
                <w:sz w:val="12"/>
                <w:szCs w:val="12"/>
                <w:lang w:val="fr-BE"/>
              </w:rPr>
            </w:pPr>
            <w:r>
              <w:rPr>
                <w:noProof/>
                <w:sz w:val="12"/>
                <w:szCs w:val="12"/>
                <w:lang w:val="fr-BE"/>
              </w:rPr>
              <w:t>64,00</w:t>
            </w:r>
          </w:p>
        </w:tc>
        <w:tc>
          <w:tcPr>
            <w:tcW w:w="0" w:type="auto"/>
          </w:tcPr>
          <w:p w14:paraId="4D9D84A1" w14:textId="77777777" w:rsidR="008C5CFA" w:rsidRPr="00D4605F" w:rsidRDefault="008C5CFA" w:rsidP="00300A01">
            <w:pPr>
              <w:spacing w:before="0" w:after="0"/>
              <w:jc w:val="right"/>
              <w:rPr>
                <w:sz w:val="12"/>
                <w:szCs w:val="12"/>
                <w:lang w:val="fr-BE"/>
              </w:rPr>
            </w:pPr>
          </w:p>
        </w:tc>
        <w:tc>
          <w:tcPr>
            <w:tcW w:w="0" w:type="auto"/>
          </w:tcPr>
          <w:p w14:paraId="2EF5F931" w14:textId="77777777" w:rsidR="008C5CFA" w:rsidRPr="00D4605F" w:rsidRDefault="008C5CFA" w:rsidP="00300A01">
            <w:pPr>
              <w:spacing w:before="0" w:after="0"/>
              <w:jc w:val="right"/>
              <w:rPr>
                <w:sz w:val="12"/>
                <w:szCs w:val="12"/>
                <w:lang w:val="fr-BE"/>
              </w:rPr>
            </w:pPr>
          </w:p>
        </w:tc>
        <w:tc>
          <w:tcPr>
            <w:tcW w:w="0" w:type="auto"/>
          </w:tcPr>
          <w:p w14:paraId="2D65AB70" w14:textId="77777777" w:rsidR="008C5CFA" w:rsidRPr="008C04A5" w:rsidRDefault="008C5CFA" w:rsidP="00300A01">
            <w:pPr>
              <w:spacing w:before="0" w:after="0"/>
              <w:jc w:val="right"/>
              <w:rPr>
                <w:sz w:val="12"/>
                <w:szCs w:val="12"/>
                <w:lang w:val="fr-BE"/>
              </w:rPr>
            </w:pPr>
          </w:p>
        </w:tc>
        <w:tc>
          <w:tcPr>
            <w:tcW w:w="0" w:type="auto"/>
          </w:tcPr>
          <w:p w14:paraId="306EAAF9" w14:textId="77777777" w:rsidR="008C5CFA" w:rsidRPr="008C04A5" w:rsidRDefault="008C5CFA" w:rsidP="00300A01">
            <w:pPr>
              <w:spacing w:before="0" w:after="0"/>
              <w:jc w:val="right"/>
              <w:rPr>
                <w:sz w:val="12"/>
                <w:szCs w:val="12"/>
                <w:lang w:val="fr-BE"/>
              </w:rPr>
            </w:pPr>
          </w:p>
        </w:tc>
        <w:tc>
          <w:tcPr>
            <w:tcW w:w="0" w:type="auto"/>
          </w:tcPr>
          <w:p w14:paraId="20A1F0A5" w14:textId="77777777" w:rsidR="008C5CFA" w:rsidRPr="008C04A5" w:rsidRDefault="008C5CFA" w:rsidP="00300A01">
            <w:pPr>
              <w:spacing w:before="0" w:after="0"/>
              <w:jc w:val="right"/>
              <w:rPr>
                <w:sz w:val="12"/>
                <w:szCs w:val="12"/>
                <w:lang w:val="fr-BE"/>
              </w:rPr>
            </w:pPr>
          </w:p>
        </w:tc>
      </w:tr>
      <w:tr w:rsidR="006B2EC1" w14:paraId="0BBE90CB" w14:textId="77777777" w:rsidTr="0047688D">
        <w:tc>
          <w:tcPr>
            <w:tcW w:w="0" w:type="auto"/>
            <w:shd w:val="clear" w:color="auto" w:fill="auto"/>
          </w:tcPr>
          <w:p w14:paraId="45132E34" w14:textId="77777777" w:rsidR="008C5CFA" w:rsidRPr="00D4605F" w:rsidRDefault="00E82A60" w:rsidP="00300A01">
            <w:pPr>
              <w:spacing w:before="0" w:after="0"/>
              <w:rPr>
                <w:sz w:val="12"/>
                <w:szCs w:val="12"/>
                <w:lang w:val="fr-BE"/>
              </w:rPr>
            </w:pPr>
            <w:r w:rsidRPr="00D4605F">
              <w:rPr>
                <w:noProof/>
                <w:sz w:val="12"/>
                <w:szCs w:val="12"/>
                <w:lang w:val="fr-BE"/>
              </w:rPr>
              <w:t>5</w:t>
            </w:r>
          </w:p>
        </w:tc>
        <w:tc>
          <w:tcPr>
            <w:tcW w:w="0" w:type="auto"/>
            <w:shd w:val="clear" w:color="auto" w:fill="auto"/>
          </w:tcPr>
          <w:p w14:paraId="0BE064EC" w14:textId="77777777" w:rsidR="008C5CFA" w:rsidRPr="00D4605F" w:rsidRDefault="00E82A60" w:rsidP="00300A01">
            <w:pPr>
              <w:spacing w:before="0" w:after="0"/>
              <w:rPr>
                <w:sz w:val="12"/>
                <w:szCs w:val="12"/>
                <w:lang w:val="fr-BE"/>
              </w:rPr>
            </w:pPr>
            <w:r w:rsidRPr="00D4605F">
              <w:rPr>
                <w:noProof/>
                <w:sz w:val="12"/>
                <w:szCs w:val="12"/>
                <w:lang w:val="fr-BE"/>
              </w:rPr>
              <w:t>F</w:t>
            </w:r>
          </w:p>
        </w:tc>
        <w:tc>
          <w:tcPr>
            <w:tcW w:w="0" w:type="auto"/>
            <w:shd w:val="clear" w:color="auto" w:fill="auto"/>
          </w:tcPr>
          <w:p w14:paraId="3A8C7805" w14:textId="77777777" w:rsidR="008C5CFA" w:rsidRPr="00D4605F" w:rsidRDefault="00E82A60" w:rsidP="00300A01">
            <w:pPr>
              <w:spacing w:before="0" w:after="0"/>
              <w:rPr>
                <w:sz w:val="12"/>
                <w:szCs w:val="12"/>
                <w:lang w:val="fr-BE"/>
              </w:rPr>
            </w:pPr>
            <w:r w:rsidRPr="00D4605F">
              <w:rPr>
                <w:noProof/>
                <w:sz w:val="12"/>
                <w:szCs w:val="12"/>
                <w:lang w:val="fr-BE"/>
              </w:rPr>
              <w:t>001</w:t>
            </w:r>
          </w:p>
        </w:tc>
        <w:tc>
          <w:tcPr>
            <w:tcW w:w="0" w:type="auto"/>
            <w:shd w:val="clear" w:color="auto" w:fill="auto"/>
          </w:tcPr>
          <w:p w14:paraId="39E519D4" w14:textId="77777777" w:rsidR="008C5CFA" w:rsidRPr="00D4605F" w:rsidRDefault="00E82A60" w:rsidP="00300A01">
            <w:pPr>
              <w:spacing w:before="0" w:after="0"/>
              <w:rPr>
                <w:sz w:val="12"/>
                <w:szCs w:val="12"/>
                <w:lang w:val="fr-BE"/>
              </w:rPr>
            </w:pPr>
            <w:r w:rsidRPr="00D4605F">
              <w:rPr>
                <w:noProof/>
                <w:sz w:val="12"/>
                <w:szCs w:val="12"/>
                <w:lang w:val="fr-BE"/>
              </w:rPr>
              <w:t>Całkowita kwota certyfikowanych wydatków kwalifikowalnych</w:t>
            </w:r>
          </w:p>
        </w:tc>
        <w:tc>
          <w:tcPr>
            <w:tcW w:w="0" w:type="auto"/>
            <w:shd w:val="clear" w:color="auto" w:fill="auto"/>
          </w:tcPr>
          <w:p w14:paraId="251CB4D5" w14:textId="77777777" w:rsidR="008C5CFA" w:rsidRPr="00D4605F" w:rsidRDefault="00E82A60" w:rsidP="00300A01">
            <w:pPr>
              <w:spacing w:before="0" w:after="0"/>
              <w:rPr>
                <w:sz w:val="12"/>
                <w:szCs w:val="12"/>
                <w:lang w:val="fr-BE"/>
              </w:rPr>
            </w:pPr>
            <w:r w:rsidRPr="00D4605F">
              <w:rPr>
                <w:noProof/>
                <w:sz w:val="12"/>
                <w:szCs w:val="12"/>
                <w:lang w:val="fr-BE"/>
              </w:rPr>
              <w:t>EUR</w:t>
            </w:r>
          </w:p>
        </w:tc>
        <w:tc>
          <w:tcPr>
            <w:tcW w:w="0" w:type="auto"/>
            <w:shd w:val="clear" w:color="auto" w:fill="auto"/>
          </w:tcPr>
          <w:p w14:paraId="5952088C" w14:textId="77777777" w:rsidR="008C5CFA" w:rsidRPr="00D4605F" w:rsidRDefault="00E82A60" w:rsidP="00300A01">
            <w:pPr>
              <w:spacing w:before="0" w:after="0"/>
              <w:rPr>
                <w:sz w:val="12"/>
                <w:szCs w:val="12"/>
                <w:lang w:val="fr-BE"/>
              </w:rPr>
            </w:pPr>
            <w:r w:rsidRPr="00D4605F">
              <w:rPr>
                <w:noProof/>
                <w:sz w:val="12"/>
                <w:szCs w:val="12"/>
                <w:lang w:val="fr-BE"/>
              </w:rPr>
              <w:t>EFRR</w:t>
            </w:r>
          </w:p>
        </w:tc>
        <w:tc>
          <w:tcPr>
            <w:tcW w:w="0" w:type="auto"/>
          </w:tcPr>
          <w:p w14:paraId="3B1ED367" w14:textId="77777777" w:rsidR="008C5CFA" w:rsidRPr="00D4605F" w:rsidRDefault="00E82A60" w:rsidP="00300A01">
            <w:pPr>
              <w:spacing w:before="0" w:after="0"/>
              <w:rPr>
                <w:sz w:val="12"/>
                <w:szCs w:val="12"/>
                <w:lang w:val="fr-BE"/>
              </w:rPr>
            </w:pPr>
            <w:r w:rsidRPr="00D4605F">
              <w:rPr>
                <w:noProof/>
                <w:sz w:val="12"/>
                <w:szCs w:val="12"/>
                <w:lang w:val="fr-BE"/>
              </w:rPr>
              <w:t>Słabiej rozwinięte</w:t>
            </w:r>
          </w:p>
        </w:tc>
        <w:tc>
          <w:tcPr>
            <w:tcW w:w="0" w:type="auto"/>
          </w:tcPr>
          <w:p w14:paraId="28A0E984" w14:textId="77777777" w:rsidR="008C5CFA" w:rsidRPr="00D4605F" w:rsidRDefault="00E82A60" w:rsidP="00136029">
            <w:pPr>
              <w:spacing w:before="0" w:after="0"/>
              <w:jc w:val="right"/>
              <w:rPr>
                <w:sz w:val="12"/>
                <w:szCs w:val="12"/>
                <w:lang w:val="fr-BE"/>
              </w:rPr>
            </w:pPr>
            <w:r>
              <w:rPr>
                <w:noProof/>
                <w:sz w:val="12"/>
                <w:szCs w:val="12"/>
                <w:lang w:val="fr-BE"/>
              </w:rPr>
              <w:t>78 154 995,25</w:t>
            </w:r>
          </w:p>
        </w:tc>
        <w:tc>
          <w:tcPr>
            <w:tcW w:w="0" w:type="auto"/>
          </w:tcPr>
          <w:p w14:paraId="402B314A" w14:textId="77777777" w:rsidR="008C5CFA" w:rsidRPr="00D4605F" w:rsidRDefault="008C5CFA" w:rsidP="00300A01">
            <w:pPr>
              <w:spacing w:before="0" w:after="0"/>
              <w:jc w:val="right"/>
              <w:rPr>
                <w:sz w:val="12"/>
                <w:szCs w:val="12"/>
                <w:lang w:val="fr-BE"/>
              </w:rPr>
            </w:pPr>
          </w:p>
        </w:tc>
        <w:tc>
          <w:tcPr>
            <w:tcW w:w="0" w:type="auto"/>
          </w:tcPr>
          <w:p w14:paraId="540EB089" w14:textId="77777777" w:rsidR="008C5CFA" w:rsidRPr="00D4605F" w:rsidRDefault="008C5CFA" w:rsidP="00300A01">
            <w:pPr>
              <w:spacing w:before="0" w:after="0"/>
              <w:jc w:val="right"/>
              <w:rPr>
                <w:sz w:val="12"/>
                <w:szCs w:val="12"/>
                <w:lang w:val="fr-BE"/>
              </w:rPr>
            </w:pPr>
          </w:p>
        </w:tc>
        <w:tc>
          <w:tcPr>
            <w:tcW w:w="0" w:type="auto"/>
          </w:tcPr>
          <w:p w14:paraId="52974AA4" w14:textId="77777777" w:rsidR="008C5CFA" w:rsidRPr="008C04A5" w:rsidRDefault="008C5CFA" w:rsidP="00300A01">
            <w:pPr>
              <w:spacing w:before="0" w:after="0"/>
              <w:jc w:val="right"/>
              <w:rPr>
                <w:sz w:val="12"/>
                <w:szCs w:val="12"/>
                <w:lang w:val="fr-BE"/>
              </w:rPr>
            </w:pPr>
          </w:p>
        </w:tc>
        <w:tc>
          <w:tcPr>
            <w:tcW w:w="0" w:type="auto"/>
          </w:tcPr>
          <w:p w14:paraId="11174B60" w14:textId="77777777" w:rsidR="008C5CFA" w:rsidRPr="008C04A5" w:rsidRDefault="008C5CFA" w:rsidP="00300A01">
            <w:pPr>
              <w:spacing w:before="0" w:after="0"/>
              <w:jc w:val="right"/>
              <w:rPr>
                <w:sz w:val="12"/>
                <w:szCs w:val="12"/>
                <w:lang w:val="fr-BE"/>
              </w:rPr>
            </w:pPr>
          </w:p>
        </w:tc>
        <w:tc>
          <w:tcPr>
            <w:tcW w:w="0" w:type="auto"/>
          </w:tcPr>
          <w:p w14:paraId="45B35487" w14:textId="77777777" w:rsidR="008C5CFA" w:rsidRPr="008C04A5" w:rsidRDefault="008C5CFA" w:rsidP="00300A01">
            <w:pPr>
              <w:spacing w:before="0" w:after="0"/>
              <w:jc w:val="right"/>
              <w:rPr>
                <w:sz w:val="12"/>
                <w:szCs w:val="12"/>
                <w:lang w:val="fr-BE"/>
              </w:rPr>
            </w:pPr>
          </w:p>
        </w:tc>
      </w:tr>
      <w:tr w:rsidR="006B2EC1" w14:paraId="3E9EB543" w14:textId="77777777" w:rsidTr="0047688D">
        <w:tc>
          <w:tcPr>
            <w:tcW w:w="0" w:type="auto"/>
            <w:shd w:val="clear" w:color="auto" w:fill="auto"/>
          </w:tcPr>
          <w:p w14:paraId="28C575BE" w14:textId="77777777" w:rsidR="008C5CFA" w:rsidRPr="00D4605F" w:rsidRDefault="00E82A60" w:rsidP="00300A01">
            <w:pPr>
              <w:spacing w:before="0" w:after="0"/>
              <w:rPr>
                <w:sz w:val="12"/>
                <w:szCs w:val="12"/>
                <w:lang w:val="fr-BE"/>
              </w:rPr>
            </w:pPr>
            <w:r w:rsidRPr="00D4605F">
              <w:rPr>
                <w:noProof/>
                <w:sz w:val="12"/>
                <w:szCs w:val="12"/>
                <w:lang w:val="fr-BE"/>
              </w:rPr>
              <w:t>5</w:t>
            </w:r>
          </w:p>
        </w:tc>
        <w:tc>
          <w:tcPr>
            <w:tcW w:w="0" w:type="auto"/>
            <w:shd w:val="clear" w:color="auto" w:fill="auto"/>
          </w:tcPr>
          <w:p w14:paraId="3A42C421" w14:textId="77777777" w:rsidR="008C5CFA" w:rsidRPr="00D4605F" w:rsidRDefault="00E82A60" w:rsidP="00300A01">
            <w:pPr>
              <w:spacing w:before="0" w:after="0"/>
              <w:rPr>
                <w:sz w:val="12"/>
                <w:szCs w:val="12"/>
                <w:lang w:val="fr-BE"/>
              </w:rPr>
            </w:pPr>
            <w:r w:rsidRPr="00D4605F">
              <w:rPr>
                <w:noProof/>
                <w:sz w:val="12"/>
                <w:szCs w:val="12"/>
                <w:lang w:val="fr-BE"/>
              </w:rPr>
              <w:t>O</w:t>
            </w:r>
          </w:p>
        </w:tc>
        <w:tc>
          <w:tcPr>
            <w:tcW w:w="0" w:type="auto"/>
            <w:shd w:val="clear" w:color="auto" w:fill="auto"/>
          </w:tcPr>
          <w:p w14:paraId="2E6AF21E" w14:textId="77777777" w:rsidR="008C5CFA" w:rsidRPr="00D4605F" w:rsidRDefault="00E82A60" w:rsidP="00300A01">
            <w:pPr>
              <w:spacing w:before="0" w:after="0"/>
              <w:rPr>
                <w:sz w:val="12"/>
                <w:szCs w:val="12"/>
                <w:lang w:val="fr-BE"/>
              </w:rPr>
            </w:pPr>
            <w:r w:rsidRPr="00D4605F">
              <w:rPr>
                <w:noProof/>
                <w:sz w:val="12"/>
                <w:szCs w:val="12"/>
                <w:lang w:val="fr-BE"/>
              </w:rPr>
              <w:t>148</w:t>
            </w:r>
          </w:p>
        </w:tc>
        <w:tc>
          <w:tcPr>
            <w:tcW w:w="0" w:type="auto"/>
            <w:shd w:val="clear" w:color="auto" w:fill="auto"/>
          </w:tcPr>
          <w:p w14:paraId="57D7315A" w14:textId="77777777" w:rsidR="008C5CFA" w:rsidRPr="00D4605F" w:rsidRDefault="00E82A60" w:rsidP="00300A01">
            <w:pPr>
              <w:spacing w:before="0" w:after="0"/>
              <w:rPr>
                <w:sz w:val="12"/>
                <w:szCs w:val="12"/>
                <w:lang w:val="fr-BE"/>
              </w:rPr>
            </w:pPr>
            <w:r w:rsidRPr="00D4605F">
              <w:rPr>
                <w:noProof/>
                <w:sz w:val="12"/>
                <w:szCs w:val="12"/>
                <w:lang w:val="fr-BE"/>
              </w:rPr>
              <w:t>Całkowita długość nowych, przebudowanych lub zmodernizowanych dróg</w:t>
            </w:r>
          </w:p>
        </w:tc>
        <w:tc>
          <w:tcPr>
            <w:tcW w:w="0" w:type="auto"/>
            <w:shd w:val="clear" w:color="auto" w:fill="auto"/>
          </w:tcPr>
          <w:p w14:paraId="758D3C55" w14:textId="77777777" w:rsidR="008C5CFA" w:rsidRPr="00D4605F" w:rsidRDefault="00E82A60" w:rsidP="00300A01">
            <w:pPr>
              <w:spacing w:before="0" w:after="0"/>
              <w:rPr>
                <w:sz w:val="12"/>
                <w:szCs w:val="12"/>
                <w:lang w:val="fr-BE"/>
              </w:rPr>
            </w:pPr>
            <w:r w:rsidRPr="00D4605F">
              <w:rPr>
                <w:noProof/>
                <w:sz w:val="12"/>
                <w:szCs w:val="12"/>
                <w:lang w:val="fr-BE"/>
              </w:rPr>
              <w:t>km</w:t>
            </w:r>
          </w:p>
        </w:tc>
        <w:tc>
          <w:tcPr>
            <w:tcW w:w="0" w:type="auto"/>
            <w:shd w:val="clear" w:color="auto" w:fill="auto"/>
          </w:tcPr>
          <w:p w14:paraId="465085A2" w14:textId="77777777" w:rsidR="008C5CFA" w:rsidRPr="00D4605F" w:rsidRDefault="00E82A60" w:rsidP="00300A01">
            <w:pPr>
              <w:spacing w:before="0" w:after="0"/>
              <w:rPr>
                <w:sz w:val="12"/>
                <w:szCs w:val="12"/>
                <w:lang w:val="fr-BE"/>
              </w:rPr>
            </w:pPr>
            <w:r w:rsidRPr="00D4605F">
              <w:rPr>
                <w:noProof/>
                <w:sz w:val="12"/>
                <w:szCs w:val="12"/>
                <w:lang w:val="fr-BE"/>
              </w:rPr>
              <w:t>EFRR</w:t>
            </w:r>
          </w:p>
        </w:tc>
        <w:tc>
          <w:tcPr>
            <w:tcW w:w="0" w:type="auto"/>
          </w:tcPr>
          <w:p w14:paraId="1A238254" w14:textId="77777777" w:rsidR="008C5CFA" w:rsidRPr="00D4605F" w:rsidRDefault="00E82A60" w:rsidP="00300A01">
            <w:pPr>
              <w:spacing w:before="0" w:after="0"/>
              <w:rPr>
                <w:sz w:val="12"/>
                <w:szCs w:val="12"/>
                <w:lang w:val="fr-BE"/>
              </w:rPr>
            </w:pPr>
            <w:r w:rsidRPr="00D4605F">
              <w:rPr>
                <w:noProof/>
                <w:sz w:val="12"/>
                <w:szCs w:val="12"/>
                <w:lang w:val="fr-BE"/>
              </w:rPr>
              <w:t>Słabiej rozwinięte</w:t>
            </w:r>
          </w:p>
        </w:tc>
        <w:tc>
          <w:tcPr>
            <w:tcW w:w="0" w:type="auto"/>
          </w:tcPr>
          <w:p w14:paraId="5F4B8843" w14:textId="77777777" w:rsidR="008C5CFA" w:rsidRPr="00D4605F" w:rsidRDefault="00E82A60" w:rsidP="00136029">
            <w:pPr>
              <w:spacing w:before="0" w:after="0"/>
              <w:jc w:val="right"/>
              <w:rPr>
                <w:sz w:val="12"/>
                <w:szCs w:val="12"/>
                <w:lang w:val="fr-BE"/>
              </w:rPr>
            </w:pPr>
            <w:r>
              <w:rPr>
                <w:noProof/>
                <w:sz w:val="12"/>
                <w:szCs w:val="12"/>
                <w:lang w:val="fr-BE"/>
              </w:rPr>
              <w:t>38,21</w:t>
            </w:r>
          </w:p>
        </w:tc>
        <w:tc>
          <w:tcPr>
            <w:tcW w:w="0" w:type="auto"/>
          </w:tcPr>
          <w:p w14:paraId="6FB75192" w14:textId="77777777" w:rsidR="008C5CFA" w:rsidRPr="00D4605F" w:rsidRDefault="008C5CFA" w:rsidP="00300A01">
            <w:pPr>
              <w:spacing w:before="0" w:after="0"/>
              <w:jc w:val="right"/>
              <w:rPr>
                <w:sz w:val="12"/>
                <w:szCs w:val="12"/>
                <w:lang w:val="fr-BE"/>
              </w:rPr>
            </w:pPr>
          </w:p>
        </w:tc>
        <w:tc>
          <w:tcPr>
            <w:tcW w:w="0" w:type="auto"/>
          </w:tcPr>
          <w:p w14:paraId="66C14912" w14:textId="77777777" w:rsidR="008C5CFA" w:rsidRPr="00D4605F" w:rsidRDefault="008C5CFA" w:rsidP="00300A01">
            <w:pPr>
              <w:spacing w:before="0" w:after="0"/>
              <w:jc w:val="right"/>
              <w:rPr>
                <w:sz w:val="12"/>
                <w:szCs w:val="12"/>
                <w:lang w:val="fr-BE"/>
              </w:rPr>
            </w:pPr>
          </w:p>
        </w:tc>
        <w:tc>
          <w:tcPr>
            <w:tcW w:w="0" w:type="auto"/>
          </w:tcPr>
          <w:p w14:paraId="201D1B45" w14:textId="77777777" w:rsidR="008C5CFA" w:rsidRPr="008C04A5" w:rsidRDefault="008C5CFA" w:rsidP="00300A01">
            <w:pPr>
              <w:spacing w:before="0" w:after="0"/>
              <w:jc w:val="right"/>
              <w:rPr>
                <w:sz w:val="12"/>
                <w:szCs w:val="12"/>
                <w:lang w:val="fr-BE"/>
              </w:rPr>
            </w:pPr>
          </w:p>
        </w:tc>
        <w:tc>
          <w:tcPr>
            <w:tcW w:w="0" w:type="auto"/>
          </w:tcPr>
          <w:p w14:paraId="17ABF6D8" w14:textId="77777777" w:rsidR="008C5CFA" w:rsidRPr="008C04A5" w:rsidRDefault="008C5CFA" w:rsidP="00300A01">
            <w:pPr>
              <w:spacing w:before="0" w:after="0"/>
              <w:jc w:val="right"/>
              <w:rPr>
                <w:sz w:val="12"/>
                <w:szCs w:val="12"/>
                <w:lang w:val="fr-BE"/>
              </w:rPr>
            </w:pPr>
          </w:p>
        </w:tc>
        <w:tc>
          <w:tcPr>
            <w:tcW w:w="0" w:type="auto"/>
          </w:tcPr>
          <w:p w14:paraId="3B29689A" w14:textId="77777777" w:rsidR="008C5CFA" w:rsidRPr="008C04A5" w:rsidRDefault="008C5CFA" w:rsidP="00300A01">
            <w:pPr>
              <w:spacing w:before="0" w:after="0"/>
              <w:jc w:val="right"/>
              <w:rPr>
                <w:sz w:val="12"/>
                <w:szCs w:val="12"/>
                <w:lang w:val="fr-BE"/>
              </w:rPr>
            </w:pPr>
          </w:p>
        </w:tc>
      </w:tr>
      <w:tr w:rsidR="006B2EC1" w14:paraId="12BBC257" w14:textId="77777777" w:rsidTr="0047688D">
        <w:tc>
          <w:tcPr>
            <w:tcW w:w="0" w:type="auto"/>
            <w:shd w:val="clear" w:color="auto" w:fill="auto"/>
          </w:tcPr>
          <w:p w14:paraId="699C9298" w14:textId="77777777" w:rsidR="008C5CFA" w:rsidRPr="00D4605F" w:rsidRDefault="00E82A60" w:rsidP="00300A01">
            <w:pPr>
              <w:spacing w:before="0" w:after="0"/>
              <w:rPr>
                <w:sz w:val="12"/>
                <w:szCs w:val="12"/>
                <w:lang w:val="fr-BE"/>
              </w:rPr>
            </w:pPr>
            <w:r w:rsidRPr="00D4605F">
              <w:rPr>
                <w:noProof/>
                <w:sz w:val="12"/>
                <w:szCs w:val="12"/>
                <w:lang w:val="fr-BE"/>
              </w:rPr>
              <w:t>6</w:t>
            </w:r>
          </w:p>
        </w:tc>
        <w:tc>
          <w:tcPr>
            <w:tcW w:w="0" w:type="auto"/>
            <w:shd w:val="clear" w:color="auto" w:fill="auto"/>
          </w:tcPr>
          <w:p w14:paraId="36B0C775" w14:textId="77777777" w:rsidR="008C5CFA" w:rsidRPr="00D4605F" w:rsidRDefault="00E82A60" w:rsidP="00300A01">
            <w:pPr>
              <w:spacing w:before="0" w:after="0"/>
              <w:rPr>
                <w:sz w:val="12"/>
                <w:szCs w:val="12"/>
                <w:lang w:val="fr-BE"/>
              </w:rPr>
            </w:pPr>
            <w:r w:rsidRPr="00D4605F">
              <w:rPr>
                <w:noProof/>
                <w:sz w:val="12"/>
                <w:szCs w:val="12"/>
                <w:lang w:val="fr-BE"/>
              </w:rPr>
              <w:t>F</w:t>
            </w:r>
          </w:p>
        </w:tc>
        <w:tc>
          <w:tcPr>
            <w:tcW w:w="0" w:type="auto"/>
            <w:shd w:val="clear" w:color="auto" w:fill="auto"/>
          </w:tcPr>
          <w:p w14:paraId="36E09F1C" w14:textId="77777777" w:rsidR="008C5CFA" w:rsidRPr="00D4605F" w:rsidRDefault="00E82A60" w:rsidP="00300A01">
            <w:pPr>
              <w:spacing w:before="0" w:after="0"/>
              <w:rPr>
                <w:sz w:val="12"/>
                <w:szCs w:val="12"/>
                <w:lang w:val="fr-BE"/>
              </w:rPr>
            </w:pPr>
            <w:r w:rsidRPr="00D4605F">
              <w:rPr>
                <w:noProof/>
                <w:sz w:val="12"/>
                <w:szCs w:val="12"/>
                <w:lang w:val="fr-BE"/>
              </w:rPr>
              <w:t>001</w:t>
            </w:r>
          </w:p>
        </w:tc>
        <w:tc>
          <w:tcPr>
            <w:tcW w:w="0" w:type="auto"/>
            <w:shd w:val="clear" w:color="auto" w:fill="auto"/>
          </w:tcPr>
          <w:p w14:paraId="6244B336" w14:textId="77777777" w:rsidR="008C5CFA" w:rsidRPr="00D4605F" w:rsidRDefault="00E82A60" w:rsidP="00300A01">
            <w:pPr>
              <w:spacing w:before="0" w:after="0"/>
              <w:rPr>
                <w:sz w:val="12"/>
                <w:szCs w:val="12"/>
                <w:lang w:val="fr-BE"/>
              </w:rPr>
            </w:pPr>
            <w:r w:rsidRPr="00D4605F">
              <w:rPr>
                <w:noProof/>
                <w:sz w:val="12"/>
                <w:szCs w:val="12"/>
                <w:lang w:val="fr-BE"/>
              </w:rPr>
              <w:t>Całkowita kwota certyfikowanych wydatków kwalifikowalnych</w:t>
            </w:r>
          </w:p>
        </w:tc>
        <w:tc>
          <w:tcPr>
            <w:tcW w:w="0" w:type="auto"/>
            <w:shd w:val="clear" w:color="auto" w:fill="auto"/>
          </w:tcPr>
          <w:p w14:paraId="009C07BF" w14:textId="77777777" w:rsidR="008C5CFA" w:rsidRPr="00D4605F" w:rsidRDefault="00E82A60" w:rsidP="00300A01">
            <w:pPr>
              <w:spacing w:before="0" w:after="0"/>
              <w:rPr>
                <w:sz w:val="12"/>
                <w:szCs w:val="12"/>
                <w:lang w:val="fr-BE"/>
              </w:rPr>
            </w:pPr>
            <w:r w:rsidRPr="00D4605F">
              <w:rPr>
                <w:noProof/>
                <w:sz w:val="12"/>
                <w:szCs w:val="12"/>
                <w:lang w:val="fr-BE"/>
              </w:rPr>
              <w:t>EUR</w:t>
            </w:r>
          </w:p>
        </w:tc>
        <w:tc>
          <w:tcPr>
            <w:tcW w:w="0" w:type="auto"/>
            <w:shd w:val="clear" w:color="auto" w:fill="auto"/>
          </w:tcPr>
          <w:p w14:paraId="7CE1D7CA" w14:textId="77777777" w:rsidR="008C5CFA" w:rsidRPr="00D4605F" w:rsidRDefault="00E82A60" w:rsidP="00300A01">
            <w:pPr>
              <w:spacing w:before="0" w:after="0"/>
              <w:rPr>
                <w:sz w:val="12"/>
                <w:szCs w:val="12"/>
                <w:lang w:val="fr-BE"/>
              </w:rPr>
            </w:pPr>
            <w:r w:rsidRPr="00D4605F">
              <w:rPr>
                <w:noProof/>
                <w:sz w:val="12"/>
                <w:szCs w:val="12"/>
                <w:lang w:val="fr-BE"/>
              </w:rPr>
              <w:t>EFRR</w:t>
            </w:r>
          </w:p>
        </w:tc>
        <w:tc>
          <w:tcPr>
            <w:tcW w:w="0" w:type="auto"/>
          </w:tcPr>
          <w:p w14:paraId="7F20636E" w14:textId="77777777" w:rsidR="008C5CFA" w:rsidRPr="00D4605F" w:rsidRDefault="00E82A60" w:rsidP="00300A01">
            <w:pPr>
              <w:spacing w:before="0" w:after="0"/>
              <w:rPr>
                <w:sz w:val="12"/>
                <w:szCs w:val="12"/>
                <w:lang w:val="fr-BE"/>
              </w:rPr>
            </w:pPr>
            <w:r w:rsidRPr="00D4605F">
              <w:rPr>
                <w:noProof/>
                <w:sz w:val="12"/>
                <w:szCs w:val="12"/>
                <w:lang w:val="fr-BE"/>
              </w:rPr>
              <w:t>Słabiej rozwinięte</w:t>
            </w:r>
          </w:p>
        </w:tc>
        <w:tc>
          <w:tcPr>
            <w:tcW w:w="0" w:type="auto"/>
          </w:tcPr>
          <w:p w14:paraId="189372DE" w14:textId="77777777" w:rsidR="008C5CFA" w:rsidRPr="00D4605F" w:rsidRDefault="00E82A60" w:rsidP="00136029">
            <w:pPr>
              <w:spacing w:before="0" w:after="0"/>
              <w:jc w:val="right"/>
              <w:rPr>
                <w:sz w:val="12"/>
                <w:szCs w:val="12"/>
                <w:lang w:val="fr-BE"/>
              </w:rPr>
            </w:pPr>
            <w:r>
              <w:rPr>
                <w:noProof/>
                <w:sz w:val="12"/>
                <w:szCs w:val="12"/>
                <w:lang w:val="fr-BE"/>
              </w:rPr>
              <w:t>49 906 516,63</w:t>
            </w:r>
          </w:p>
        </w:tc>
        <w:tc>
          <w:tcPr>
            <w:tcW w:w="0" w:type="auto"/>
          </w:tcPr>
          <w:p w14:paraId="6BAA6485" w14:textId="77777777" w:rsidR="008C5CFA" w:rsidRPr="00D4605F" w:rsidRDefault="008C5CFA" w:rsidP="00300A01">
            <w:pPr>
              <w:spacing w:before="0" w:after="0"/>
              <w:jc w:val="right"/>
              <w:rPr>
                <w:sz w:val="12"/>
                <w:szCs w:val="12"/>
                <w:lang w:val="fr-BE"/>
              </w:rPr>
            </w:pPr>
          </w:p>
        </w:tc>
        <w:tc>
          <w:tcPr>
            <w:tcW w:w="0" w:type="auto"/>
          </w:tcPr>
          <w:p w14:paraId="02DF332A" w14:textId="77777777" w:rsidR="008C5CFA" w:rsidRPr="00D4605F" w:rsidRDefault="008C5CFA" w:rsidP="00300A01">
            <w:pPr>
              <w:spacing w:before="0" w:after="0"/>
              <w:jc w:val="right"/>
              <w:rPr>
                <w:sz w:val="12"/>
                <w:szCs w:val="12"/>
                <w:lang w:val="fr-BE"/>
              </w:rPr>
            </w:pPr>
          </w:p>
        </w:tc>
        <w:tc>
          <w:tcPr>
            <w:tcW w:w="0" w:type="auto"/>
          </w:tcPr>
          <w:p w14:paraId="47BA74A6" w14:textId="77777777" w:rsidR="008C5CFA" w:rsidRPr="008C04A5" w:rsidRDefault="008C5CFA" w:rsidP="00300A01">
            <w:pPr>
              <w:spacing w:before="0" w:after="0"/>
              <w:jc w:val="right"/>
              <w:rPr>
                <w:sz w:val="12"/>
                <w:szCs w:val="12"/>
                <w:lang w:val="fr-BE"/>
              </w:rPr>
            </w:pPr>
          </w:p>
        </w:tc>
        <w:tc>
          <w:tcPr>
            <w:tcW w:w="0" w:type="auto"/>
          </w:tcPr>
          <w:p w14:paraId="5719EC75" w14:textId="77777777" w:rsidR="008C5CFA" w:rsidRPr="008C04A5" w:rsidRDefault="008C5CFA" w:rsidP="00300A01">
            <w:pPr>
              <w:spacing w:before="0" w:after="0"/>
              <w:jc w:val="right"/>
              <w:rPr>
                <w:sz w:val="12"/>
                <w:szCs w:val="12"/>
                <w:lang w:val="fr-BE"/>
              </w:rPr>
            </w:pPr>
          </w:p>
        </w:tc>
        <w:tc>
          <w:tcPr>
            <w:tcW w:w="0" w:type="auto"/>
          </w:tcPr>
          <w:p w14:paraId="1891216B" w14:textId="77777777" w:rsidR="008C5CFA" w:rsidRPr="008C04A5" w:rsidRDefault="008C5CFA" w:rsidP="00300A01">
            <w:pPr>
              <w:spacing w:before="0" w:after="0"/>
              <w:jc w:val="right"/>
              <w:rPr>
                <w:sz w:val="12"/>
                <w:szCs w:val="12"/>
                <w:lang w:val="fr-BE"/>
              </w:rPr>
            </w:pPr>
          </w:p>
        </w:tc>
      </w:tr>
      <w:tr w:rsidR="006B2EC1" w14:paraId="6F931594" w14:textId="77777777" w:rsidTr="0047688D">
        <w:tc>
          <w:tcPr>
            <w:tcW w:w="0" w:type="auto"/>
            <w:shd w:val="clear" w:color="auto" w:fill="auto"/>
          </w:tcPr>
          <w:p w14:paraId="481B4D7C" w14:textId="77777777" w:rsidR="008C5CFA" w:rsidRPr="00D4605F" w:rsidRDefault="00E82A60" w:rsidP="00300A01">
            <w:pPr>
              <w:spacing w:before="0" w:after="0"/>
              <w:rPr>
                <w:sz w:val="12"/>
                <w:szCs w:val="12"/>
                <w:lang w:val="fr-BE"/>
              </w:rPr>
            </w:pPr>
            <w:r w:rsidRPr="00D4605F">
              <w:rPr>
                <w:noProof/>
                <w:sz w:val="12"/>
                <w:szCs w:val="12"/>
                <w:lang w:val="fr-BE"/>
              </w:rPr>
              <w:t>6</w:t>
            </w:r>
          </w:p>
        </w:tc>
        <w:tc>
          <w:tcPr>
            <w:tcW w:w="0" w:type="auto"/>
            <w:shd w:val="clear" w:color="auto" w:fill="auto"/>
          </w:tcPr>
          <w:p w14:paraId="5A786BA2" w14:textId="77777777" w:rsidR="008C5CFA" w:rsidRPr="00D4605F" w:rsidRDefault="00E82A60" w:rsidP="00300A01">
            <w:pPr>
              <w:spacing w:before="0" w:after="0"/>
              <w:rPr>
                <w:sz w:val="12"/>
                <w:szCs w:val="12"/>
                <w:lang w:val="fr-BE"/>
              </w:rPr>
            </w:pPr>
            <w:r w:rsidRPr="00D4605F">
              <w:rPr>
                <w:noProof/>
                <w:sz w:val="12"/>
                <w:szCs w:val="12"/>
                <w:lang w:val="fr-BE"/>
              </w:rPr>
              <w:t>I</w:t>
            </w:r>
          </w:p>
        </w:tc>
        <w:tc>
          <w:tcPr>
            <w:tcW w:w="0" w:type="auto"/>
            <w:shd w:val="clear" w:color="auto" w:fill="auto"/>
          </w:tcPr>
          <w:p w14:paraId="58C5FAAB" w14:textId="77777777" w:rsidR="008C5CFA" w:rsidRPr="00D4605F" w:rsidRDefault="00E82A60" w:rsidP="00300A01">
            <w:pPr>
              <w:spacing w:before="0" w:after="0"/>
              <w:rPr>
                <w:sz w:val="12"/>
                <w:szCs w:val="12"/>
                <w:lang w:val="fr-BE"/>
              </w:rPr>
            </w:pPr>
            <w:r w:rsidRPr="00D4605F">
              <w:rPr>
                <w:noProof/>
                <w:sz w:val="12"/>
                <w:szCs w:val="12"/>
                <w:lang w:val="fr-BE"/>
              </w:rPr>
              <w:t>003</w:t>
            </w:r>
          </w:p>
        </w:tc>
        <w:tc>
          <w:tcPr>
            <w:tcW w:w="0" w:type="auto"/>
            <w:shd w:val="clear" w:color="auto" w:fill="auto"/>
          </w:tcPr>
          <w:p w14:paraId="3E2E63A3" w14:textId="77777777" w:rsidR="008C5CFA" w:rsidRPr="00D4605F" w:rsidRDefault="00E82A60" w:rsidP="00300A01">
            <w:pPr>
              <w:spacing w:before="0" w:after="0"/>
              <w:rPr>
                <w:sz w:val="12"/>
                <w:szCs w:val="12"/>
                <w:lang w:val="fr-BE"/>
              </w:rPr>
            </w:pPr>
            <w:r w:rsidRPr="00D4605F">
              <w:rPr>
                <w:noProof/>
                <w:sz w:val="12"/>
                <w:szCs w:val="12"/>
                <w:lang w:val="fr-BE"/>
              </w:rPr>
              <w:t>Powierzchnia obszarów objętych rewitalizacją w podpisanych umowach</w:t>
            </w:r>
          </w:p>
        </w:tc>
        <w:tc>
          <w:tcPr>
            <w:tcW w:w="0" w:type="auto"/>
            <w:shd w:val="clear" w:color="auto" w:fill="auto"/>
          </w:tcPr>
          <w:p w14:paraId="14B1452D" w14:textId="77777777" w:rsidR="008C5CFA" w:rsidRPr="00D4605F" w:rsidRDefault="00E82A60" w:rsidP="00300A01">
            <w:pPr>
              <w:spacing w:before="0" w:after="0"/>
              <w:rPr>
                <w:sz w:val="12"/>
                <w:szCs w:val="12"/>
                <w:lang w:val="fr-BE"/>
              </w:rPr>
            </w:pPr>
            <w:r w:rsidRPr="00D4605F">
              <w:rPr>
                <w:noProof/>
                <w:sz w:val="12"/>
                <w:szCs w:val="12"/>
                <w:lang w:val="fr-BE"/>
              </w:rPr>
              <w:t>ha</w:t>
            </w:r>
          </w:p>
        </w:tc>
        <w:tc>
          <w:tcPr>
            <w:tcW w:w="0" w:type="auto"/>
            <w:shd w:val="clear" w:color="auto" w:fill="auto"/>
          </w:tcPr>
          <w:p w14:paraId="6FB78478" w14:textId="77777777" w:rsidR="008C5CFA" w:rsidRPr="00D4605F" w:rsidRDefault="00E82A60" w:rsidP="00300A01">
            <w:pPr>
              <w:spacing w:before="0" w:after="0"/>
              <w:rPr>
                <w:sz w:val="12"/>
                <w:szCs w:val="12"/>
                <w:lang w:val="fr-BE"/>
              </w:rPr>
            </w:pPr>
            <w:r w:rsidRPr="00D4605F">
              <w:rPr>
                <w:noProof/>
                <w:sz w:val="12"/>
                <w:szCs w:val="12"/>
                <w:lang w:val="fr-BE"/>
              </w:rPr>
              <w:t>EFRR</w:t>
            </w:r>
          </w:p>
        </w:tc>
        <w:tc>
          <w:tcPr>
            <w:tcW w:w="0" w:type="auto"/>
          </w:tcPr>
          <w:p w14:paraId="6E61E77A" w14:textId="77777777" w:rsidR="008C5CFA" w:rsidRPr="00D4605F" w:rsidRDefault="00E82A60" w:rsidP="00300A01">
            <w:pPr>
              <w:spacing w:before="0" w:after="0"/>
              <w:rPr>
                <w:sz w:val="12"/>
                <w:szCs w:val="12"/>
                <w:lang w:val="fr-BE"/>
              </w:rPr>
            </w:pPr>
            <w:r w:rsidRPr="00D4605F">
              <w:rPr>
                <w:noProof/>
                <w:sz w:val="12"/>
                <w:szCs w:val="12"/>
                <w:lang w:val="fr-BE"/>
              </w:rPr>
              <w:t>Słabiej rozwinięte</w:t>
            </w:r>
          </w:p>
        </w:tc>
        <w:tc>
          <w:tcPr>
            <w:tcW w:w="0" w:type="auto"/>
          </w:tcPr>
          <w:p w14:paraId="3CFA2523" w14:textId="77777777" w:rsidR="008C5CFA" w:rsidRPr="00D4605F" w:rsidRDefault="00E82A60" w:rsidP="00136029">
            <w:pPr>
              <w:spacing w:before="0" w:after="0"/>
              <w:jc w:val="right"/>
              <w:rPr>
                <w:sz w:val="12"/>
                <w:szCs w:val="12"/>
                <w:lang w:val="fr-BE"/>
              </w:rPr>
            </w:pPr>
            <w:r>
              <w:rPr>
                <w:noProof/>
                <w:sz w:val="12"/>
                <w:szCs w:val="12"/>
                <w:lang w:val="fr-BE"/>
              </w:rPr>
              <w:t>184,86</w:t>
            </w:r>
          </w:p>
        </w:tc>
        <w:tc>
          <w:tcPr>
            <w:tcW w:w="0" w:type="auto"/>
          </w:tcPr>
          <w:p w14:paraId="636F8641" w14:textId="77777777" w:rsidR="008C5CFA" w:rsidRPr="00D4605F" w:rsidRDefault="008C5CFA" w:rsidP="00300A01">
            <w:pPr>
              <w:spacing w:before="0" w:after="0"/>
              <w:jc w:val="right"/>
              <w:rPr>
                <w:sz w:val="12"/>
                <w:szCs w:val="12"/>
                <w:lang w:val="fr-BE"/>
              </w:rPr>
            </w:pPr>
          </w:p>
        </w:tc>
        <w:tc>
          <w:tcPr>
            <w:tcW w:w="0" w:type="auto"/>
          </w:tcPr>
          <w:p w14:paraId="487E63F3" w14:textId="77777777" w:rsidR="008C5CFA" w:rsidRPr="00D4605F" w:rsidRDefault="008C5CFA" w:rsidP="00300A01">
            <w:pPr>
              <w:spacing w:before="0" w:after="0"/>
              <w:jc w:val="right"/>
              <w:rPr>
                <w:sz w:val="12"/>
                <w:szCs w:val="12"/>
                <w:lang w:val="fr-BE"/>
              </w:rPr>
            </w:pPr>
          </w:p>
        </w:tc>
        <w:tc>
          <w:tcPr>
            <w:tcW w:w="0" w:type="auto"/>
          </w:tcPr>
          <w:p w14:paraId="33CD302E" w14:textId="77777777" w:rsidR="008C5CFA" w:rsidRPr="008C04A5" w:rsidRDefault="008C5CFA" w:rsidP="00300A01">
            <w:pPr>
              <w:spacing w:before="0" w:after="0"/>
              <w:jc w:val="right"/>
              <w:rPr>
                <w:sz w:val="12"/>
                <w:szCs w:val="12"/>
                <w:lang w:val="fr-BE"/>
              </w:rPr>
            </w:pPr>
          </w:p>
        </w:tc>
        <w:tc>
          <w:tcPr>
            <w:tcW w:w="0" w:type="auto"/>
          </w:tcPr>
          <w:p w14:paraId="61BE1273" w14:textId="77777777" w:rsidR="008C5CFA" w:rsidRPr="008C04A5" w:rsidRDefault="008C5CFA" w:rsidP="00300A01">
            <w:pPr>
              <w:spacing w:before="0" w:after="0"/>
              <w:jc w:val="right"/>
              <w:rPr>
                <w:sz w:val="12"/>
                <w:szCs w:val="12"/>
                <w:lang w:val="fr-BE"/>
              </w:rPr>
            </w:pPr>
          </w:p>
        </w:tc>
        <w:tc>
          <w:tcPr>
            <w:tcW w:w="0" w:type="auto"/>
          </w:tcPr>
          <w:p w14:paraId="53D6B964" w14:textId="77777777" w:rsidR="008C5CFA" w:rsidRPr="008C04A5" w:rsidRDefault="008C5CFA" w:rsidP="00300A01">
            <w:pPr>
              <w:spacing w:before="0" w:after="0"/>
              <w:jc w:val="right"/>
              <w:rPr>
                <w:sz w:val="12"/>
                <w:szCs w:val="12"/>
                <w:lang w:val="fr-BE"/>
              </w:rPr>
            </w:pPr>
          </w:p>
        </w:tc>
      </w:tr>
      <w:tr w:rsidR="006B2EC1" w14:paraId="63DCBA10" w14:textId="77777777" w:rsidTr="0047688D">
        <w:tc>
          <w:tcPr>
            <w:tcW w:w="0" w:type="auto"/>
            <w:shd w:val="clear" w:color="auto" w:fill="auto"/>
          </w:tcPr>
          <w:p w14:paraId="78AFD050" w14:textId="77777777" w:rsidR="008C5CFA" w:rsidRPr="00D4605F" w:rsidRDefault="00E82A60" w:rsidP="00300A01">
            <w:pPr>
              <w:spacing w:before="0" w:after="0"/>
              <w:rPr>
                <w:sz w:val="12"/>
                <w:szCs w:val="12"/>
                <w:lang w:val="fr-BE"/>
              </w:rPr>
            </w:pPr>
            <w:r w:rsidRPr="00D4605F">
              <w:rPr>
                <w:noProof/>
                <w:sz w:val="12"/>
                <w:szCs w:val="12"/>
                <w:lang w:val="fr-BE"/>
              </w:rPr>
              <w:t>6</w:t>
            </w:r>
          </w:p>
        </w:tc>
        <w:tc>
          <w:tcPr>
            <w:tcW w:w="0" w:type="auto"/>
            <w:shd w:val="clear" w:color="auto" w:fill="auto"/>
          </w:tcPr>
          <w:p w14:paraId="0BD78F84" w14:textId="77777777" w:rsidR="008C5CFA" w:rsidRPr="00D4605F" w:rsidRDefault="00E82A60" w:rsidP="00300A01">
            <w:pPr>
              <w:spacing w:before="0" w:after="0"/>
              <w:rPr>
                <w:sz w:val="12"/>
                <w:szCs w:val="12"/>
                <w:lang w:val="fr-BE"/>
              </w:rPr>
            </w:pPr>
            <w:r w:rsidRPr="00D4605F">
              <w:rPr>
                <w:noProof/>
                <w:sz w:val="12"/>
                <w:szCs w:val="12"/>
                <w:lang w:val="fr-BE"/>
              </w:rPr>
              <w:t>O</w:t>
            </w:r>
          </w:p>
        </w:tc>
        <w:tc>
          <w:tcPr>
            <w:tcW w:w="0" w:type="auto"/>
            <w:shd w:val="clear" w:color="auto" w:fill="auto"/>
          </w:tcPr>
          <w:p w14:paraId="67A97791" w14:textId="77777777" w:rsidR="008C5CFA" w:rsidRPr="00D4605F" w:rsidRDefault="00E82A60" w:rsidP="00300A01">
            <w:pPr>
              <w:spacing w:before="0" w:after="0"/>
              <w:rPr>
                <w:sz w:val="12"/>
                <w:szCs w:val="12"/>
                <w:lang w:val="fr-BE"/>
              </w:rPr>
            </w:pPr>
            <w:r w:rsidRPr="00D4605F">
              <w:rPr>
                <w:noProof/>
                <w:sz w:val="12"/>
                <w:szCs w:val="12"/>
                <w:lang w:val="fr-BE"/>
              </w:rPr>
              <w:t>041</w:t>
            </w:r>
          </w:p>
        </w:tc>
        <w:tc>
          <w:tcPr>
            <w:tcW w:w="0" w:type="auto"/>
            <w:shd w:val="clear" w:color="auto" w:fill="auto"/>
          </w:tcPr>
          <w:p w14:paraId="6B5CF3DA" w14:textId="77777777" w:rsidR="008C5CFA" w:rsidRPr="00D4605F" w:rsidRDefault="00E82A60" w:rsidP="00300A01">
            <w:pPr>
              <w:spacing w:before="0" w:after="0"/>
              <w:rPr>
                <w:sz w:val="12"/>
                <w:szCs w:val="12"/>
                <w:lang w:val="fr-BE"/>
              </w:rPr>
            </w:pPr>
            <w:r w:rsidRPr="00D4605F">
              <w:rPr>
                <w:noProof/>
                <w:sz w:val="12"/>
                <w:szCs w:val="12"/>
                <w:lang w:val="fr-BE"/>
              </w:rPr>
              <w:t>Powierzchnia obszarów objętych rewitalizacją</w:t>
            </w:r>
          </w:p>
        </w:tc>
        <w:tc>
          <w:tcPr>
            <w:tcW w:w="0" w:type="auto"/>
            <w:shd w:val="clear" w:color="auto" w:fill="auto"/>
          </w:tcPr>
          <w:p w14:paraId="6803EDE6" w14:textId="77777777" w:rsidR="008C5CFA" w:rsidRPr="00D4605F" w:rsidRDefault="00E82A60" w:rsidP="00300A01">
            <w:pPr>
              <w:spacing w:before="0" w:after="0"/>
              <w:rPr>
                <w:sz w:val="12"/>
                <w:szCs w:val="12"/>
                <w:lang w:val="fr-BE"/>
              </w:rPr>
            </w:pPr>
            <w:r w:rsidRPr="00D4605F">
              <w:rPr>
                <w:noProof/>
                <w:sz w:val="12"/>
                <w:szCs w:val="12"/>
                <w:lang w:val="fr-BE"/>
              </w:rPr>
              <w:t>ha</w:t>
            </w:r>
          </w:p>
        </w:tc>
        <w:tc>
          <w:tcPr>
            <w:tcW w:w="0" w:type="auto"/>
            <w:shd w:val="clear" w:color="auto" w:fill="auto"/>
          </w:tcPr>
          <w:p w14:paraId="79CA8C8F" w14:textId="77777777" w:rsidR="008C5CFA" w:rsidRPr="00D4605F" w:rsidRDefault="00E82A60" w:rsidP="00300A01">
            <w:pPr>
              <w:spacing w:before="0" w:after="0"/>
              <w:rPr>
                <w:sz w:val="12"/>
                <w:szCs w:val="12"/>
                <w:lang w:val="fr-BE"/>
              </w:rPr>
            </w:pPr>
            <w:r w:rsidRPr="00D4605F">
              <w:rPr>
                <w:noProof/>
                <w:sz w:val="12"/>
                <w:szCs w:val="12"/>
                <w:lang w:val="fr-BE"/>
              </w:rPr>
              <w:t>EFRR</w:t>
            </w:r>
          </w:p>
        </w:tc>
        <w:tc>
          <w:tcPr>
            <w:tcW w:w="0" w:type="auto"/>
          </w:tcPr>
          <w:p w14:paraId="6A7F3B63" w14:textId="77777777" w:rsidR="008C5CFA" w:rsidRPr="00D4605F" w:rsidRDefault="00E82A60" w:rsidP="00300A01">
            <w:pPr>
              <w:spacing w:before="0" w:after="0"/>
              <w:rPr>
                <w:sz w:val="12"/>
                <w:szCs w:val="12"/>
                <w:lang w:val="fr-BE"/>
              </w:rPr>
            </w:pPr>
            <w:r w:rsidRPr="00D4605F">
              <w:rPr>
                <w:noProof/>
                <w:sz w:val="12"/>
                <w:szCs w:val="12"/>
                <w:lang w:val="fr-BE"/>
              </w:rPr>
              <w:t>Słabiej rozwinięte</w:t>
            </w:r>
          </w:p>
        </w:tc>
        <w:tc>
          <w:tcPr>
            <w:tcW w:w="0" w:type="auto"/>
          </w:tcPr>
          <w:p w14:paraId="2E164578" w14:textId="77777777" w:rsidR="008C5CFA" w:rsidRPr="00D4605F" w:rsidRDefault="00E82A60" w:rsidP="00136029">
            <w:pPr>
              <w:spacing w:before="0" w:after="0"/>
              <w:jc w:val="right"/>
              <w:rPr>
                <w:sz w:val="12"/>
                <w:szCs w:val="12"/>
                <w:lang w:val="fr-BE"/>
              </w:rPr>
            </w:pPr>
            <w:r>
              <w:rPr>
                <w:noProof/>
                <w:sz w:val="12"/>
                <w:szCs w:val="12"/>
                <w:lang w:val="fr-BE"/>
              </w:rPr>
              <w:t>19,33</w:t>
            </w:r>
          </w:p>
        </w:tc>
        <w:tc>
          <w:tcPr>
            <w:tcW w:w="0" w:type="auto"/>
          </w:tcPr>
          <w:p w14:paraId="2773D3C7" w14:textId="77777777" w:rsidR="008C5CFA" w:rsidRPr="00D4605F" w:rsidRDefault="008C5CFA" w:rsidP="00300A01">
            <w:pPr>
              <w:spacing w:before="0" w:after="0"/>
              <w:jc w:val="right"/>
              <w:rPr>
                <w:sz w:val="12"/>
                <w:szCs w:val="12"/>
                <w:lang w:val="fr-BE"/>
              </w:rPr>
            </w:pPr>
          </w:p>
        </w:tc>
        <w:tc>
          <w:tcPr>
            <w:tcW w:w="0" w:type="auto"/>
          </w:tcPr>
          <w:p w14:paraId="21904233" w14:textId="77777777" w:rsidR="008C5CFA" w:rsidRPr="00D4605F" w:rsidRDefault="008C5CFA" w:rsidP="00300A01">
            <w:pPr>
              <w:spacing w:before="0" w:after="0"/>
              <w:jc w:val="right"/>
              <w:rPr>
                <w:sz w:val="12"/>
                <w:szCs w:val="12"/>
                <w:lang w:val="fr-BE"/>
              </w:rPr>
            </w:pPr>
          </w:p>
        </w:tc>
        <w:tc>
          <w:tcPr>
            <w:tcW w:w="0" w:type="auto"/>
          </w:tcPr>
          <w:p w14:paraId="36486E41" w14:textId="77777777" w:rsidR="008C5CFA" w:rsidRPr="008C04A5" w:rsidRDefault="008C5CFA" w:rsidP="00300A01">
            <w:pPr>
              <w:spacing w:before="0" w:after="0"/>
              <w:jc w:val="right"/>
              <w:rPr>
                <w:sz w:val="12"/>
                <w:szCs w:val="12"/>
                <w:lang w:val="fr-BE"/>
              </w:rPr>
            </w:pPr>
          </w:p>
        </w:tc>
        <w:tc>
          <w:tcPr>
            <w:tcW w:w="0" w:type="auto"/>
          </w:tcPr>
          <w:p w14:paraId="13BA7148" w14:textId="77777777" w:rsidR="008C5CFA" w:rsidRPr="008C04A5" w:rsidRDefault="008C5CFA" w:rsidP="00300A01">
            <w:pPr>
              <w:spacing w:before="0" w:after="0"/>
              <w:jc w:val="right"/>
              <w:rPr>
                <w:sz w:val="12"/>
                <w:szCs w:val="12"/>
                <w:lang w:val="fr-BE"/>
              </w:rPr>
            </w:pPr>
          </w:p>
        </w:tc>
        <w:tc>
          <w:tcPr>
            <w:tcW w:w="0" w:type="auto"/>
          </w:tcPr>
          <w:p w14:paraId="72989D70" w14:textId="77777777" w:rsidR="008C5CFA" w:rsidRPr="008C04A5" w:rsidRDefault="008C5CFA" w:rsidP="00300A01">
            <w:pPr>
              <w:spacing w:before="0" w:after="0"/>
              <w:jc w:val="right"/>
              <w:rPr>
                <w:sz w:val="12"/>
                <w:szCs w:val="12"/>
                <w:lang w:val="fr-BE"/>
              </w:rPr>
            </w:pPr>
          </w:p>
        </w:tc>
      </w:tr>
      <w:tr w:rsidR="006B2EC1" w14:paraId="6FF85800" w14:textId="77777777" w:rsidTr="0047688D">
        <w:tc>
          <w:tcPr>
            <w:tcW w:w="0" w:type="auto"/>
            <w:shd w:val="clear" w:color="auto" w:fill="auto"/>
          </w:tcPr>
          <w:p w14:paraId="25DAD2B4" w14:textId="77777777" w:rsidR="008C5CFA" w:rsidRPr="00D4605F" w:rsidRDefault="00E82A60" w:rsidP="00300A01">
            <w:pPr>
              <w:spacing w:before="0" w:after="0"/>
              <w:rPr>
                <w:sz w:val="12"/>
                <w:szCs w:val="12"/>
                <w:lang w:val="fr-BE"/>
              </w:rPr>
            </w:pPr>
            <w:r w:rsidRPr="00D4605F">
              <w:rPr>
                <w:noProof/>
                <w:sz w:val="12"/>
                <w:szCs w:val="12"/>
                <w:lang w:val="fr-BE"/>
              </w:rPr>
              <w:t>6</w:t>
            </w:r>
          </w:p>
        </w:tc>
        <w:tc>
          <w:tcPr>
            <w:tcW w:w="0" w:type="auto"/>
            <w:shd w:val="clear" w:color="auto" w:fill="auto"/>
          </w:tcPr>
          <w:p w14:paraId="56D20387" w14:textId="77777777" w:rsidR="008C5CFA" w:rsidRPr="00D4605F" w:rsidRDefault="00E82A60" w:rsidP="00300A01">
            <w:pPr>
              <w:spacing w:before="0" w:after="0"/>
              <w:rPr>
                <w:sz w:val="12"/>
                <w:szCs w:val="12"/>
                <w:lang w:val="fr-BE"/>
              </w:rPr>
            </w:pPr>
            <w:r w:rsidRPr="00D4605F">
              <w:rPr>
                <w:noProof/>
                <w:sz w:val="12"/>
                <w:szCs w:val="12"/>
                <w:lang w:val="fr-BE"/>
              </w:rPr>
              <w:t>O</w:t>
            </w:r>
          </w:p>
        </w:tc>
        <w:tc>
          <w:tcPr>
            <w:tcW w:w="0" w:type="auto"/>
            <w:shd w:val="clear" w:color="auto" w:fill="auto"/>
          </w:tcPr>
          <w:p w14:paraId="51DE3E77" w14:textId="77777777" w:rsidR="008C5CFA" w:rsidRPr="00D4605F" w:rsidRDefault="00E82A60" w:rsidP="00300A01">
            <w:pPr>
              <w:spacing w:before="0" w:after="0"/>
              <w:rPr>
                <w:sz w:val="12"/>
                <w:szCs w:val="12"/>
                <w:lang w:val="fr-BE"/>
              </w:rPr>
            </w:pPr>
            <w:r w:rsidRPr="00D4605F">
              <w:rPr>
                <w:noProof/>
                <w:sz w:val="12"/>
                <w:szCs w:val="12"/>
                <w:lang w:val="fr-BE"/>
              </w:rPr>
              <w:t>34</w:t>
            </w:r>
          </w:p>
        </w:tc>
        <w:tc>
          <w:tcPr>
            <w:tcW w:w="0" w:type="auto"/>
            <w:shd w:val="clear" w:color="auto" w:fill="auto"/>
          </w:tcPr>
          <w:p w14:paraId="560F2EB3" w14:textId="77777777" w:rsidR="008C5CFA" w:rsidRPr="00D4605F" w:rsidRDefault="00E82A60" w:rsidP="00300A01">
            <w:pPr>
              <w:spacing w:before="0" w:after="0"/>
              <w:rPr>
                <w:sz w:val="12"/>
                <w:szCs w:val="12"/>
                <w:lang w:val="fr-BE"/>
              </w:rPr>
            </w:pPr>
            <w:r w:rsidRPr="00D4605F">
              <w:rPr>
                <w:noProof/>
                <w:sz w:val="12"/>
                <w:szCs w:val="12"/>
                <w:lang w:val="fr-BE"/>
              </w:rPr>
              <w:t>Liczba zmodernizowanych energetycznie budynków</w:t>
            </w:r>
          </w:p>
        </w:tc>
        <w:tc>
          <w:tcPr>
            <w:tcW w:w="0" w:type="auto"/>
            <w:shd w:val="clear" w:color="auto" w:fill="auto"/>
          </w:tcPr>
          <w:p w14:paraId="1F7F7035" w14:textId="77777777" w:rsidR="008C5CFA" w:rsidRPr="00D4605F" w:rsidRDefault="00E82A60" w:rsidP="00300A01">
            <w:pPr>
              <w:spacing w:before="0" w:after="0"/>
              <w:rPr>
                <w:sz w:val="12"/>
                <w:szCs w:val="12"/>
                <w:lang w:val="fr-BE"/>
              </w:rPr>
            </w:pPr>
            <w:r w:rsidRPr="00D4605F">
              <w:rPr>
                <w:noProof/>
                <w:sz w:val="12"/>
                <w:szCs w:val="12"/>
                <w:lang w:val="fr-BE"/>
              </w:rPr>
              <w:t>szt.</w:t>
            </w:r>
          </w:p>
        </w:tc>
        <w:tc>
          <w:tcPr>
            <w:tcW w:w="0" w:type="auto"/>
            <w:shd w:val="clear" w:color="auto" w:fill="auto"/>
          </w:tcPr>
          <w:p w14:paraId="7700594C" w14:textId="77777777" w:rsidR="008C5CFA" w:rsidRPr="00D4605F" w:rsidRDefault="00E82A60" w:rsidP="00300A01">
            <w:pPr>
              <w:spacing w:before="0" w:after="0"/>
              <w:rPr>
                <w:sz w:val="12"/>
                <w:szCs w:val="12"/>
                <w:lang w:val="fr-BE"/>
              </w:rPr>
            </w:pPr>
            <w:r w:rsidRPr="00D4605F">
              <w:rPr>
                <w:noProof/>
                <w:sz w:val="12"/>
                <w:szCs w:val="12"/>
                <w:lang w:val="fr-BE"/>
              </w:rPr>
              <w:t>EFRR</w:t>
            </w:r>
          </w:p>
        </w:tc>
        <w:tc>
          <w:tcPr>
            <w:tcW w:w="0" w:type="auto"/>
          </w:tcPr>
          <w:p w14:paraId="636EB3B7" w14:textId="77777777" w:rsidR="008C5CFA" w:rsidRPr="00D4605F" w:rsidRDefault="00E82A60" w:rsidP="00300A01">
            <w:pPr>
              <w:spacing w:before="0" w:after="0"/>
              <w:rPr>
                <w:sz w:val="12"/>
                <w:szCs w:val="12"/>
                <w:lang w:val="fr-BE"/>
              </w:rPr>
            </w:pPr>
            <w:r w:rsidRPr="00D4605F">
              <w:rPr>
                <w:noProof/>
                <w:sz w:val="12"/>
                <w:szCs w:val="12"/>
                <w:lang w:val="fr-BE"/>
              </w:rPr>
              <w:t>Słabiej rozwinięte</w:t>
            </w:r>
          </w:p>
        </w:tc>
        <w:tc>
          <w:tcPr>
            <w:tcW w:w="0" w:type="auto"/>
          </w:tcPr>
          <w:p w14:paraId="28F15E1B" w14:textId="77777777" w:rsidR="008C5CFA" w:rsidRPr="00D4605F" w:rsidRDefault="00E82A60" w:rsidP="00136029">
            <w:pPr>
              <w:spacing w:before="0" w:after="0"/>
              <w:jc w:val="right"/>
              <w:rPr>
                <w:sz w:val="12"/>
                <w:szCs w:val="12"/>
                <w:lang w:val="fr-BE"/>
              </w:rPr>
            </w:pPr>
            <w:r>
              <w:rPr>
                <w:noProof/>
                <w:sz w:val="12"/>
                <w:szCs w:val="12"/>
                <w:lang w:val="fr-BE"/>
              </w:rPr>
              <w:t>41,00</w:t>
            </w:r>
          </w:p>
        </w:tc>
        <w:tc>
          <w:tcPr>
            <w:tcW w:w="0" w:type="auto"/>
          </w:tcPr>
          <w:p w14:paraId="4EB3F77E" w14:textId="77777777" w:rsidR="008C5CFA" w:rsidRPr="00D4605F" w:rsidRDefault="008C5CFA" w:rsidP="00300A01">
            <w:pPr>
              <w:spacing w:before="0" w:after="0"/>
              <w:jc w:val="right"/>
              <w:rPr>
                <w:sz w:val="12"/>
                <w:szCs w:val="12"/>
                <w:lang w:val="fr-BE"/>
              </w:rPr>
            </w:pPr>
          </w:p>
        </w:tc>
        <w:tc>
          <w:tcPr>
            <w:tcW w:w="0" w:type="auto"/>
          </w:tcPr>
          <w:p w14:paraId="692A73C3" w14:textId="77777777" w:rsidR="008C5CFA" w:rsidRPr="00D4605F" w:rsidRDefault="008C5CFA" w:rsidP="00300A01">
            <w:pPr>
              <w:spacing w:before="0" w:after="0"/>
              <w:jc w:val="right"/>
              <w:rPr>
                <w:sz w:val="12"/>
                <w:szCs w:val="12"/>
                <w:lang w:val="fr-BE"/>
              </w:rPr>
            </w:pPr>
          </w:p>
        </w:tc>
        <w:tc>
          <w:tcPr>
            <w:tcW w:w="0" w:type="auto"/>
          </w:tcPr>
          <w:p w14:paraId="1CA7FBA0" w14:textId="77777777" w:rsidR="008C5CFA" w:rsidRPr="008C04A5" w:rsidRDefault="008C5CFA" w:rsidP="00300A01">
            <w:pPr>
              <w:spacing w:before="0" w:after="0"/>
              <w:jc w:val="right"/>
              <w:rPr>
                <w:sz w:val="12"/>
                <w:szCs w:val="12"/>
                <w:lang w:val="fr-BE"/>
              </w:rPr>
            </w:pPr>
          </w:p>
        </w:tc>
        <w:tc>
          <w:tcPr>
            <w:tcW w:w="0" w:type="auto"/>
          </w:tcPr>
          <w:p w14:paraId="736CDF4C" w14:textId="77777777" w:rsidR="008C5CFA" w:rsidRPr="008C04A5" w:rsidRDefault="008C5CFA" w:rsidP="00300A01">
            <w:pPr>
              <w:spacing w:before="0" w:after="0"/>
              <w:jc w:val="right"/>
              <w:rPr>
                <w:sz w:val="12"/>
                <w:szCs w:val="12"/>
                <w:lang w:val="fr-BE"/>
              </w:rPr>
            </w:pPr>
          </w:p>
        </w:tc>
        <w:tc>
          <w:tcPr>
            <w:tcW w:w="0" w:type="auto"/>
          </w:tcPr>
          <w:p w14:paraId="32BF4CF6" w14:textId="77777777" w:rsidR="008C5CFA" w:rsidRPr="008C04A5" w:rsidRDefault="008C5CFA" w:rsidP="00300A01">
            <w:pPr>
              <w:spacing w:before="0" w:after="0"/>
              <w:jc w:val="right"/>
              <w:rPr>
                <w:sz w:val="12"/>
                <w:szCs w:val="12"/>
                <w:lang w:val="fr-BE"/>
              </w:rPr>
            </w:pPr>
          </w:p>
        </w:tc>
      </w:tr>
      <w:tr w:rsidR="006B2EC1" w14:paraId="1C4F7E03" w14:textId="77777777" w:rsidTr="0047688D">
        <w:tc>
          <w:tcPr>
            <w:tcW w:w="0" w:type="auto"/>
            <w:shd w:val="clear" w:color="auto" w:fill="auto"/>
          </w:tcPr>
          <w:p w14:paraId="2554E1A7" w14:textId="77777777" w:rsidR="008C5CFA" w:rsidRPr="00D4605F" w:rsidRDefault="00E82A60" w:rsidP="00300A01">
            <w:pPr>
              <w:spacing w:before="0" w:after="0"/>
              <w:rPr>
                <w:sz w:val="12"/>
                <w:szCs w:val="12"/>
                <w:lang w:val="fr-BE"/>
              </w:rPr>
            </w:pPr>
            <w:r w:rsidRPr="00D4605F">
              <w:rPr>
                <w:noProof/>
                <w:sz w:val="12"/>
                <w:szCs w:val="12"/>
                <w:lang w:val="fr-BE"/>
              </w:rPr>
              <w:t>7</w:t>
            </w:r>
          </w:p>
        </w:tc>
        <w:tc>
          <w:tcPr>
            <w:tcW w:w="0" w:type="auto"/>
            <w:shd w:val="clear" w:color="auto" w:fill="auto"/>
          </w:tcPr>
          <w:p w14:paraId="44617BA4" w14:textId="77777777" w:rsidR="008C5CFA" w:rsidRPr="00D4605F" w:rsidRDefault="00E82A60" w:rsidP="00300A01">
            <w:pPr>
              <w:spacing w:before="0" w:after="0"/>
              <w:rPr>
                <w:sz w:val="12"/>
                <w:szCs w:val="12"/>
                <w:lang w:val="fr-BE"/>
              </w:rPr>
            </w:pPr>
            <w:r w:rsidRPr="00D4605F">
              <w:rPr>
                <w:noProof/>
                <w:sz w:val="12"/>
                <w:szCs w:val="12"/>
                <w:lang w:val="fr-BE"/>
              </w:rPr>
              <w:t>F</w:t>
            </w:r>
          </w:p>
        </w:tc>
        <w:tc>
          <w:tcPr>
            <w:tcW w:w="0" w:type="auto"/>
            <w:shd w:val="clear" w:color="auto" w:fill="auto"/>
          </w:tcPr>
          <w:p w14:paraId="6AD1105A" w14:textId="77777777" w:rsidR="008C5CFA" w:rsidRPr="00D4605F" w:rsidRDefault="00E82A60" w:rsidP="00300A01">
            <w:pPr>
              <w:spacing w:before="0" w:after="0"/>
              <w:rPr>
                <w:sz w:val="12"/>
                <w:szCs w:val="12"/>
                <w:lang w:val="fr-BE"/>
              </w:rPr>
            </w:pPr>
            <w:r w:rsidRPr="00D4605F">
              <w:rPr>
                <w:noProof/>
                <w:sz w:val="12"/>
                <w:szCs w:val="12"/>
                <w:lang w:val="fr-BE"/>
              </w:rPr>
              <w:t>001</w:t>
            </w:r>
          </w:p>
        </w:tc>
        <w:tc>
          <w:tcPr>
            <w:tcW w:w="0" w:type="auto"/>
            <w:shd w:val="clear" w:color="auto" w:fill="auto"/>
          </w:tcPr>
          <w:p w14:paraId="716D3B5D" w14:textId="77777777" w:rsidR="008C5CFA" w:rsidRPr="00D4605F" w:rsidRDefault="00E82A60" w:rsidP="00300A01">
            <w:pPr>
              <w:spacing w:before="0" w:after="0"/>
              <w:rPr>
                <w:sz w:val="12"/>
                <w:szCs w:val="12"/>
                <w:lang w:val="fr-BE"/>
              </w:rPr>
            </w:pPr>
            <w:r w:rsidRPr="00D4605F">
              <w:rPr>
                <w:noProof/>
                <w:sz w:val="12"/>
                <w:szCs w:val="12"/>
                <w:lang w:val="fr-BE"/>
              </w:rPr>
              <w:t>Całkowita kwota certyfikowanych wydatków kwalifikowalnych</w:t>
            </w:r>
          </w:p>
        </w:tc>
        <w:tc>
          <w:tcPr>
            <w:tcW w:w="0" w:type="auto"/>
            <w:shd w:val="clear" w:color="auto" w:fill="auto"/>
          </w:tcPr>
          <w:p w14:paraId="068B4391" w14:textId="77777777" w:rsidR="008C5CFA" w:rsidRPr="00D4605F" w:rsidRDefault="00E82A60" w:rsidP="00300A01">
            <w:pPr>
              <w:spacing w:before="0" w:after="0"/>
              <w:rPr>
                <w:sz w:val="12"/>
                <w:szCs w:val="12"/>
                <w:lang w:val="fr-BE"/>
              </w:rPr>
            </w:pPr>
            <w:r w:rsidRPr="00D4605F">
              <w:rPr>
                <w:noProof/>
                <w:sz w:val="12"/>
                <w:szCs w:val="12"/>
                <w:lang w:val="fr-BE"/>
              </w:rPr>
              <w:t>EUR</w:t>
            </w:r>
          </w:p>
        </w:tc>
        <w:tc>
          <w:tcPr>
            <w:tcW w:w="0" w:type="auto"/>
            <w:shd w:val="clear" w:color="auto" w:fill="auto"/>
          </w:tcPr>
          <w:p w14:paraId="27ABD0FE" w14:textId="77777777" w:rsidR="008C5CFA" w:rsidRPr="00D4605F" w:rsidRDefault="00E82A60" w:rsidP="00300A01">
            <w:pPr>
              <w:spacing w:before="0" w:after="0"/>
              <w:rPr>
                <w:sz w:val="12"/>
                <w:szCs w:val="12"/>
                <w:lang w:val="fr-BE"/>
              </w:rPr>
            </w:pPr>
            <w:r w:rsidRPr="00D4605F">
              <w:rPr>
                <w:noProof/>
                <w:sz w:val="12"/>
                <w:szCs w:val="12"/>
                <w:lang w:val="fr-BE"/>
              </w:rPr>
              <w:t>EFRR</w:t>
            </w:r>
          </w:p>
        </w:tc>
        <w:tc>
          <w:tcPr>
            <w:tcW w:w="0" w:type="auto"/>
          </w:tcPr>
          <w:p w14:paraId="057D6669" w14:textId="77777777" w:rsidR="008C5CFA" w:rsidRPr="00D4605F" w:rsidRDefault="00E82A60" w:rsidP="00300A01">
            <w:pPr>
              <w:spacing w:before="0" w:after="0"/>
              <w:rPr>
                <w:sz w:val="12"/>
                <w:szCs w:val="12"/>
                <w:lang w:val="fr-BE"/>
              </w:rPr>
            </w:pPr>
            <w:r w:rsidRPr="00D4605F">
              <w:rPr>
                <w:noProof/>
                <w:sz w:val="12"/>
                <w:szCs w:val="12"/>
                <w:lang w:val="fr-BE"/>
              </w:rPr>
              <w:t>Słabiej rozwinięte</w:t>
            </w:r>
          </w:p>
        </w:tc>
        <w:tc>
          <w:tcPr>
            <w:tcW w:w="0" w:type="auto"/>
          </w:tcPr>
          <w:p w14:paraId="36CE7E38" w14:textId="77777777" w:rsidR="008C5CFA" w:rsidRPr="00D4605F" w:rsidRDefault="00E82A60" w:rsidP="00136029">
            <w:pPr>
              <w:spacing w:before="0" w:after="0"/>
              <w:jc w:val="right"/>
              <w:rPr>
                <w:sz w:val="12"/>
                <w:szCs w:val="12"/>
                <w:lang w:val="fr-BE"/>
              </w:rPr>
            </w:pPr>
            <w:r>
              <w:rPr>
                <w:noProof/>
                <w:sz w:val="12"/>
                <w:szCs w:val="12"/>
                <w:lang w:val="fr-BE"/>
              </w:rPr>
              <w:t>77 071 184,49</w:t>
            </w:r>
          </w:p>
        </w:tc>
        <w:tc>
          <w:tcPr>
            <w:tcW w:w="0" w:type="auto"/>
          </w:tcPr>
          <w:p w14:paraId="2ACD0D67" w14:textId="77777777" w:rsidR="008C5CFA" w:rsidRPr="00D4605F" w:rsidRDefault="008C5CFA" w:rsidP="00300A01">
            <w:pPr>
              <w:spacing w:before="0" w:after="0"/>
              <w:jc w:val="right"/>
              <w:rPr>
                <w:sz w:val="12"/>
                <w:szCs w:val="12"/>
                <w:lang w:val="fr-BE"/>
              </w:rPr>
            </w:pPr>
          </w:p>
        </w:tc>
        <w:tc>
          <w:tcPr>
            <w:tcW w:w="0" w:type="auto"/>
          </w:tcPr>
          <w:p w14:paraId="1787E0D7" w14:textId="77777777" w:rsidR="008C5CFA" w:rsidRPr="00D4605F" w:rsidRDefault="008C5CFA" w:rsidP="00300A01">
            <w:pPr>
              <w:spacing w:before="0" w:after="0"/>
              <w:jc w:val="right"/>
              <w:rPr>
                <w:sz w:val="12"/>
                <w:szCs w:val="12"/>
                <w:lang w:val="fr-BE"/>
              </w:rPr>
            </w:pPr>
          </w:p>
        </w:tc>
        <w:tc>
          <w:tcPr>
            <w:tcW w:w="0" w:type="auto"/>
          </w:tcPr>
          <w:p w14:paraId="52C96954" w14:textId="77777777" w:rsidR="008C5CFA" w:rsidRPr="008C04A5" w:rsidRDefault="008C5CFA" w:rsidP="00300A01">
            <w:pPr>
              <w:spacing w:before="0" w:after="0"/>
              <w:jc w:val="right"/>
              <w:rPr>
                <w:sz w:val="12"/>
                <w:szCs w:val="12"/>
                <w:lang w:val="fr-BE"/>
              </w:rPr>
            </w:pPr>
          </w:p>
        </w:tc>
        <w:tc>
          <w:tcPr>
            <w:tcW w:w="0" w:type="auto"/>
          </w:tcPr>
          <w:p w14:paraId="13DA9176" w14:textId="77777777" w:rsidR="008C5CFA" w:rsidRPr="008C04A5" w:rsidRDefault="008C5CFA" w:rsidP="00300A01">
            <w:pPr>
              <w:spacing w:before="0" w:after="0"/>
              <w:jc w:val="right"/>
              <w:rPr>
                <w:sz w:val="12"/>
                <w:szCs w:val="12"/>
                <w:lang w:val="fr-BE"/>
              </w:rPr>
            </w:pPr>
          </w:p>
        </w:tc>
        <w:tc>
          <w:tcPr>
            <w:tcW w:w="0" w:type="auto"/>
          </w:tcPr>
          <w:p w14:paraId="430B1C75" w14:textId="77777777" w:rsidR="008C5CFA" w:rsidRPr="008C04A5" w:rsidRDefault="008C5CFA" w:rsidP="00300A01">
            <w:pPr>
              <w:spacing w:before="0" w:after="0"/>
              <w:jc w:val="right"/>
              <w:rPr>
                <w:sz w:val="12"/>
                <w:szCs w:val="12"/>
                <w:lang w:val="fr-BE"/>
              </w:rPr>
            </w:pPr>
          </w:p>
        </w:tc>
      </w:tr>
      <w:tr w:rsidR="006B2EC1" w14:paraId="0DFFBBAB" w14:textId="77777777" w:rsidTr="0047688D">
        <w:tc>
          <w:tcPr>
            <w:tcW w:w="0" w:type="auto"/>
            <w:shd w:val="clear" w:color="auto" w:fill="auto"/>
          </w:tcPr>
          <w:p w14:paraId="30A1F3D6" w14:textId="77777777" w:rsidR="008C5CFA" w:rsidRPr="00D4605F" w:rsidRDefault="00E82A60" w:rsidP="00300A01">
            <w:pPr>
              <w:spacing w:before="0" w:after="0"/>
              <w:rPr>
                <w:sz w:val="12"/>
                <w:szCs w:val="12"/>
                <w:lang w:val="fr-BE"/>
              </w:rPr>
            </w:pPr>
            <w:r w:rsidRPr="00D4605F">
              <w:rPr>
                <w:noProof/>
                <w:sz w:val="12"/>
                <w:szCs w:val="12"/>
                <w:lang w:val="fr-BE"/>
              </w:rPr>
              <w:t>7</w:t>
            </w:r>
          </w:p>
        </w:tc>
        <w:tc>
          <w:tcPr>
            <w:tcW w:w="0" w:type="auto"/>
            <w:shd w:val="clear" w:color="auto" w:fill="auto"/>
          </w:tcPr>
          <w:p w14:paraId="50141BCD" w14:textId="77777777" w:rsidR="008C5CFA" w:rsidRPr="00D4605F" w:rsidRDefault="00E82A60" w:rsidP="00300A01">
            <w:pPr>
              <w:spacing w:before="0" w:after="0"/>
              <w:rPr>
                <w:sz w:val="12"/>
                <w:szCs w:val="12"/>
                <w:lang w:val="fr-BE"/>
              </w:rPr>
            </w:pPr>
            <w:r w:rsidRPr="00D4605F">
              <w:rPr>
                <w:noProof/>
                <w:sz w:val="12"/>
                <w:szCs w:val="12"/>
                <w:lang w:val="fr-BE"/>
              </w:rPr>
              <w:t>O</w:t>
            </w:r>
          </w:p>
        </w:tc>
        <w:tc>
          <w:tcPr>
            <w:tcW w:w="0" w:type="auto"/>
            <w:shd w:val="clear" w:color="auto" w:fill="auto"/>
          </w:tcPr>
          <w:p w14:paraId="2E7B771E" w14:textId="77777777" w:rsidR="008C5CFA" w:rsidRPr="00D4605F" w:rsidRDefault="00E82A60" w:rsidP="00300A01">
            <w:pPr>
              <w:spacing w:before="0" w:after="0"/>
              <w:rPr>
                <w:sz w:val="12"/>
                <w:szCs w:val="12"/>
                <w:lang w:val="fr-BE"/>
              </w:rPr>
            </w:pPr>
            <w:r w:rsidRPr="00D4605F">
              <w:rPr>
                <w:noProof/>
                <w:sz w:val="12"/>
                <w:szCs w:val="12"/>
                <w:lang w:val="fr-BE"/>
              </w:rPr>
              <w:t>047</w:t>
            </w:r>
          </w:p>
        </w:tc>
        <w:tc>
          <w:tcPr>
            <w:tcW w:w="0" w:type="auto"/>
            <w:shd w:val="clear" w:color="auto" w:fill="auto"/>
          </w:tcPr>
          <w:p w14:paraId="5195861A" w14:textId="77777777" w:rsidR="008C5CFA" w:rsidRPr="00D4605F" w:rsidRDefault="00E82A60" w:rsidP="00300A01">
            <w:pPr>
              <w:spacing w:before="0" w:after="0"/>
              <w:rPr>
                <w:sz w:val="12"/>
                <w:szCs w:val="12"/>
                <w:lang w:val="fr-BE"/>
              </w:rPr>
            </w:pPr>
            <w:r w:rsidRPr="00D4605F">
              <w:rPr>
                <w:noProof/>
                <w:sz w:val="12"/>
                <w:szCs w:val="12"/>
                <w:lang w:val="fr-BE"/>
              </w:rPr>
              <w:t>Liczba obiektów infrastruktury jednostek organizacyjnych systemu oświaty</w:t>
            </w:r>
          </w:p>
        </w:tc>
        <w:tc>
          <w:tcPr>
            <w:tcW w:w="0" w:type="auto"/>
            <w:shd w:val="clear" w:color="auto" w:fill="auto"/>
          </w:tcPr>
          <w:p w14:paraId="704662DE" w14:textId="77777777" w:rsidR="008C5CFA" w:rsidRPr="00D4605F" w:rsidRDefault="00E82A60" w:rsidP="00300A01">
            <w:pPr>
              <w:spacing w:before="0" w:after="0"/>
              <w:rPr>
                <w:sz w:val="12"/>
                <w:szCs w:val="12"/>
                <w:lang w:val="fr-BE"/>
              </w:rPr>
            </w:pPr>
            <w:r w:rsidRPr="00D4605F">
              <w:rPr>
                <w:noProof/>
                <w:sz w:val="12"/>
                <w:szCs w:val="12"/>
                <w:lang w:val="fr-BE"/>
              </w:rPr>
              <w:t>szt.</w:t>
            </w:r>
          </w:p>
        </w:tc>
        <w:tc>
          <w:tcPr>
            <w:tcW w:w="0" w:type="auto"/>
            <w:shd w:val="clear" w:color="auto" w:fill="auto"/>
          </w:tcPr>
          <w:p w14:paraId="574BCD2B" w14:textId="77777777" w:rsidR="008C5CFA" w:rsidRPr="00D4605F" w:rsidRDefault="00E82A60" w:rsidP="00300A01">
            <w:pPr>
              <w:spacing w:before="0" w:after="0"/>
              <w:rPr>
                <w:sz w:val="12"/>
                <w:szCs w:val="12"/>
                <w:lang w:val="fr-BE"/>
              </w:rPr>
            </w:pPr>
            <w:r w:rsidRPr="00D4605F">
              <w:rPr>
                <w:noProof/>
                <w:sz w:val="12"/>
                <w:szCs w:val="12"/>
                <w:lang w:val="fr-BE"/>
              </w:rPr>
              <w:t>EFRR</w:t>
            </w:r>
          </w:p>
        </w:tc>
        <w:tc>
          <w:tcPr>
            <w:tcW w:w="0" w:type="auto"/>
          </w:tcPr>
          <w:p w14:paraId="120AC177" w14:textId="77777777" w:rsidR="008C5CFA" w:rsidRPr="00D4605F" w:rsidRDefault="00E82A60" w:rsidP="00300A01">
            <w:pPr>
              <w:spacing w:before="0" w:after="0"/>
              <w:rPr>
                <w:sz w:val="12"/>
                <w:szCs w:val="12"/>
                <w:lang w:val="fr-BE"/>
              </w:rPr>
            </w:pPr>
            <w:r w:rsidRPr="00D4605F">
              <w:rPr>
                <w:noProof/>
                <w:sz w:val="12"/>
                <w:szCs w:val="12"/>
                <w:lang w:val="fr-BE"/>
              </w:rPr>
              <w:t>Słabiej rozwinięte</w:t>
            </w:r>
          </w:p>
        </w:tc>
        <w:tc>
          <w:tcPr>
            <w:tcW w:w="0" w:type="auto"/>
          </w:tcPr>
          <w:p w14:paraId="41ACB9B6" w14:textId="77777777" w:rsidR="008C5CFA" w:rsidRPr="00D4605F" w:rsidRDefault="00E82A60" w:rsidP="00136029">
            <w:pPr>
              <w:spacing w:before="0" w:after="0"/>
              <w:jc w:val="right"/>
              <w:rPr>
                <w:sz w:val="12"/>
                <w:szCs w:val="12"/>
                <w:lang w:val="fr-BE"/>
              </w:rPr>
            </w:pPr>
            <w:r>
              <w:rPr>
                <w:noProof/>
                <w:sz w:val="12"/>
                <w:szCs w:val="12"/>
                <w:lang w:val="fr-BE"/>
              </w:rPr>
              <w:t>271,00</w:t>
            </w:r>
          </w:p>
        </w:tc>
        <w:tc>
          <w:tcPr>
            <w:tcW w:w="0" w:type="auto"/>
          </w:tcPr>
          <w:p w14:paraId="1A5D5FE6" w14:textId="77777777" w:rsidR="008C5CFA" w:rsidRPr="00D4605F" w:rsidRDefault="008C5CFA" w:rsidP="00300A01">
            <w:pPr>
              <w:spacing w:before="0" w:after="0"/>
              <w:jc w:val="right"/>
              <w:rPr>
                <w:sz w:val="12"/>
                <w:szCs w:val="12"/>
                <w:lang w:val="fr-BE"/>
              </w:rPr>
            </w:pPr>
          </w:p>
        </w:tc>
        <w:tc>
          <w:tcPr>
            <w:tcW w:w="0" w:type="auto"/>
          </w:tcPr>
          <w:p w14:paraId="0B34B9CC" w14:textId="77777777" w:rsidR="008C5CFA" w:rsidRPr="00D4605F" w:rsidRDefault="008C5CFA" w:rsidP="00300A01">
            <w:pPr>
              <w:spacing w:before="0" w:after="0"/>
              <w:jc w:val="right"/>
              <w:rPr>
                <w:sz w:val="12"/>
                <w:szCs w:val="12"/>
                <w:lang w:val="fr-BE"/>
              </w:rPr>
            </w:pPr>
          </w:p>
        </w:tc>
        <w:tc>
          <w:tcPr>
            <w:tcW w:w="0" w:type="auto"/>
          </w:tcPr>
          <w:p w14:paraId="00C88647" w14:textId="77777777" w:rsidR="008C5CFA" w:rsidRPr="008C04A5" w:rsidRDefault="008C5CFA" w:rsidP="00300A01">
            <w:pPr>
              <w:spacing w:before="0" w:after="0"/>
              <w:jc w:val="right"/>
              <w:rPr>
                <w:sz w:val="12"/>
                <w:szCs w:val="12"/>
                <w:lang w:val="fr-BE"/>
              </w:rPr>
            </w:pPr>
          </w:p>
        </w:tc>
        <w:tc>
          <w:tcPr>
            <w:tcW w:w="0" w:type="auto"/>
          </w:tcPr>
          <w:p w14:paraId="27D409FE" w14:textId="77777777" w:rsidR="008C5CFA" w:rsidRPr="008C04A5" w:rsidRDefault="008C5CFA" w:rsidP="00300A01">
            <w:pPr>
              <w:spacing w:before="0" w:after="0"/>
              <w:jc w:val="right"/>
              <w:rPr>
                <w:sz w:val="12"/>
                <w:szCs w:val="12"/>
                <w:lang w:val="fr-BE"/>
              </w:rPr>
            </w:pPr>
          </w:p>
        </w:tc>
        <w:tc>
          <w:tcPr>
            <w:tcW w:w="0" w:type="auto"/>
          </w:tcPr>
          <w:p w14:paraId="0C901198" w14:textId="77777777" w:rsidR="008C5CFA" w:rsidRPr="008C04A5" w:rsidRDefault="008C5CFA" w:rsidP="00300A01">
            <w:pPr>
              <w:spacing w:before="0" w:after="0"/>
              <w:jc w:val="right"/>
              <w:rPr>
                <w:sz w:val="12"/>
                <w:szCs w:val="12"/>
                <w:lang w:val="fr-BE"/>
              </w:rPr>
            </w:pPr>
          </w:p>
        </w:tc>
      </w:tr>
      <w:tr w:rsidR="006B2EC1" w14:paraId="1248DDEE" w14:textId="77777777" w:rsidTr="0047688D">
        <w:tc>
          <w:tcPr>
            <w:tcW w:w="0" w:type="auto"/>
            <w:shd w:val="clear" w:color="auto" w:fill="auto"/>
          </w:tcPr>
          <w:p w14:paraId="26CF36DF" w14:textId="77777777" w:rsidR="008C5CFA" w:rsidRPr="00D4605F" w:rsidRDefault="00E82A60" w:rsidP="00300A01">
            <w:pPr>
              <w:spacing w:before="0" w:after="0"/>
              <w:rPr>
                <w:sz w:val="12"/>
                <w:szCs w:val="12"/>
                <w:lang w:val="fr-BE"/>
              </w:rPr>
            </w:pPr>
            <w:r w:rsidRPr="00D4605F">
              <w:rPr>
                <w:noProof/>
                <w:sz w:val="12"/>
                <w:szCs w:val="12"/>
                <w:lang w:val="fr-BE"/>
              </w:rPr>
              <w:t>7</w:t>
            </w:r>
          </w:p>
        </w:tc>
        <w:tc>
          <w:tcPr>
            <w:tcW w:w="0" w:type="auto"/>
            <w:shd w:val="clear" w:color="auto" w:fill="auto"/>
          </w:tcPr>
          <w:p w14:paraId="7678DD7E" w14:textId="77777777" w:rsidR="008C5CFA" w:rsidRPr="00D4605F" w:rsidRDefault="00E82A60" w:rsidP="00300A01">
            <w:pPr>
              <w:spacing w:before="0" w:after="0"/>
              <w:rPr>
                <w:sz w:val="12"/>
                <w:szCs w:val="12"/>
                <w:lang w:val="fr-BE"/>
              </w:rPr>
            </w:pPr>
            <w:r w:rsidRPr="00D4605F">
              <w:rPr>
                <w:noProof/>
                <w:sz w:val="12"/>
                <w:szCs w:val="12"/>
                <w:lang w:val="fr-BE"/>
              </w:rPr>
              <w:t>O</w:t>
            </w:r>
          </w:p>
        </w:tc>
        <w:tc>
          <w:tcPr>
            <w:tcW w:w="0" w:type="auto"/>
            <w:shd w:val="clear" w:color="auto" w:fill="auto"/>
          </w:tcPr>
          <w:p w14:paraId="15D6101E" w14:textId="77777777" w:rsidR="008C5CFA" w:rsidRPr="00D4605F" w:rsidRDefault="00E82A60" w:rsidP="00300A01">
            <w:pPr>
              <w:spacing w:before="0" w:after="0"/>
              <w:rPr>
                <w:sz w:val="12"/>
                <w:szCs w:val="12"/>
                <w:lang w:val="fr-BE"/>
              </w:rPr>
            </w:pPr>
            <w:r w:rsidRPr="00D4605F">
              <w:rPr>
                <w:noProof/>
                <w:sz w:val="12"/>
                <w:szCs w:val="12"/>
                <w:lang w:val="fr-BE"/>
              </w:rPr>
              <w:t>050</w:t>
            </w:r>
          </w:p>
        </w:tc>
        <w:tc>
          <w:tcPr>
            <w:tcW w:w="0" w:type="auto"/>
            <w:shd w:val="clear" w:color="auto" w:fill="auto"/>
          </w:tcPr>
          <w:p w14:paraId="503508F8" w14:textId="77777777" w:rsidR="008C5CFA" w:rsidRPr="00D4605F" w:rsidRDefault="00E82A60" w:rsidP="00300A01">
            <w:pPr>
              <w:spacing w:before="0" w:after="0"/>
              <w:rPr>
                <w:sz w:val="12"/>
                <w:szCs w:val="12"/>
                <w:lang w:val="fr-BE"/>
              </w:rPr>
            </w:pPr>
            <w:r w:rsidRPr="00D4605F">
              <w:rPr>
                <w:noProof/>
                <w:sz w:val="12"/>
                <w:szCs w:val="12"/>
                <w:lang w:val="fr-BE"/>
              </w:rPr>
              <w:t>Liczba wybudowanych oraz przebudowanych obiektów, w których realizowane są usługi aktywizacji społeczno-zawodowej</w:t>
            </w:r>
          </w:p>
        </w:tc>
        <w:tc>
          <w:tcPr>
            <w:tcW w:w="0" w:type="auto"/>
            <w:shd w:val="clear" w:color="auto" w:fill="auto"/>
          </w:tcPr>
          <w:p w14:paraId="1DA5E32B" w14:textId="77777777" w:rsidR="008C5CFA" w:rsidRPr="00D4605F" w:rsidRDefault="00E82A60" w:rsidP="00300A01">
            <w:pPr>
              <w:spacing w:before="0" w:after="0"/>
              <w:rPr>
                <w:sz w:val="12"/>
                <w:szCs w:val="12"/>
                <w:lang w:val="fr-BE"/>
              </w:rPr>
            </w:pPr>
            <w:r w:rsidRPr="00D4605F">
              <w:rPr>
                <w:noProof/>
                <w:sz w:val="12"/>
                <w:szCs w:val="12"/>
                <w:lang w:val="fr-BE"/>
              </w:rPr>
              <w:t>szt.</w:t>
            </w:r>
          </w:p>
        </w:tc>
        <w:tc>
          <w:tcPr>
            <w:tcW w:w="0" w:type="auto"/>
            <w:shd w:val="clear" w:color="auto" w:fill="auto"/>
          </w:tcPr>
          <w:p w14:paraId="0008B0A2" w14:textId="77777777" w:rsidR="008C5CFA" w:rsidRPr="00D4605F" w:rsidRDefault="00E82A60" w:rsidP="00300A01">
            <w:pPr>
              <w:spacing w:before="0" w:after="0"/>
              <w:rPr>
                <w:sz w:val="12"/>
                <w:szCs w:val="12"/>
                <w:lang w:val="fr-BE"/>
              </w:rPr>
            </w:pPr>
            <w:r w:rsidRPr="00D4605F">
              <w:rPr>
                <w:noProof/>
                <w:sz w:val="12"/>
                <w:szCs w:val="12"/>
                <w:lang w:val="fr-BE"/>
              </w:rPr>
              <w:t>EFRR</w:t>
            </w:r>
          </w:p>
        </w:tc>
        <w:tc>
          <w:tcPr>
            <w:tcW w:w="0" w:type="auto"/>
          </w:tcPr>
          <w:p w14:paraId="686CD951" w14:textId="77777777" w:rsidR="008C5CFA" w:rsidRPr="00D4605F" w:rsidRDefault="00E82A60" w:rsidP="00300A01">
            <w:pPr>
              <w:spacing w:before="0" w:after="0"/>
              <w:rPr>
                <w:sz w:val="12"/>
                <w:szCs w:val="12"/>
                <w:lang w:val="fr-BE"/>
              </w:rPr>
            </w:pPr>
            <w:r w:rsidRPr="00D4605F">
              <w:rPr>
                <w:noProof/>
                <w:sz w:val="12"/>
                <w:szCs w:val="12"/>
                <w:lang w:val="fr-BE"/>
              </w:rPr>
              <w:t>Słabiej rozwinięte</w:t>
            </w:r>
          </w:p>
        </w:tc>
        <w:tc>
          <w:tcPr>
            <w:tcW w:w="0" w:type="auto"/>
          </w:tcPr>
          <w:p w14:paraId="32D9E78C" w14:textId="77777777" w:rsidR="008C5CFA" w:rsidRPr="00D4605F" w:rsidRDefault="00E82A60" w:rsidP="00136029">
            <w:pPr>
              <w:spacing w:before="0" w:after="0"/>
              <w:jc w:val="right"/>
              <w:rPr>
                <w:sz w:val="12"/>
                <w:szCs w:val="12"/>
                <w:lang w:val="fr-BE"/>
              </w:rPr>
            </w:pPr>
            <w:r>
              <w:rPr>
                <w:noProof/>
                <w:sz w:val="12"/>
                <w:szCs w:val="12"/>
                <w:lang w:val="fr-BE"/>
              </w:rPr>
              <w:t>17,00</w:t>
            </w:r>
          </w:p>
        </w:tc>
        <w:tc>
          <w:tcPr>
            <w:tcW w:w="0" w:type="auto"/>
          </w:tcPr>
          <w:p w14:paraId="6C94B548" w14:textId="77777777" w:rsidR="008C5CFA" w:rsidRPr="00D4605F" w:rsidRDefault="008C5CFA" w:rsidP="00300A01">
            <w:pPr>
              <w:spacing w:before="0" w:after="0"/>
              <w:jc w:val="right"/>
              <w:rPr>
                <w:sz w:val="12"/>
                <w:szCs w:val="12"/>
                <w:lang w:val="fr-BE"/>
              </w:rPr>
            </w:pPr>
          </w:p>
        </w:tc>
        <w:tc>
          <w:tcPr>
            <w:tcW w:w="0" w:type="auto"/>
          </w:tcPr>
          <w:p w14:paraId="1FFB79AE" w14:textId="77777777" w:rsidR="008C5CFA" w:rsidRPr="00D4605F" w:rsidRDefault="008C5CFA" w:rsidP="00300A01">
            <w:pPr>
              <w:spacing w:before="0" w:after="0"/>
              <w:jc w:val="right"/>
              <w:rPr>
                <w:sz w:val="12"/>
                <w:szCs w:val="12"/>
                <w:lang w:val="fr-BE"/>
              </w:rPr>
            </w:pPr>
          </w:p>
        </w:tc>
        <w:tc>
          <w:tcPr>
            <w:tcW w:w="0" w:type="auto"/>
          </w:tcPr>
          <w:p w14:paraId="0D77B8B1" w14:textId="77777777" w:rsidR="008C5CFA" w:rsidRPr="008C04A5" w:rsidRDefault="008C5CFA" w:rsidP="00300A01">
            <w:pPr>
              <w:spacing w:before="0" w:after="0"/>
              <w:jc w:val="right"/>
              <w:rPr>
                <w:sz w:val="12"/>
                <w:szCs w:val="12"/>
                <w:lang w:val="fr-BE"/>
              </w:rPr>
            </w:pPr>
          </w:p>
        </w:tc>
        <w:tc>
          <w:tcPr>
            <w:tcW w:w="0" w:type="auto"/>
          </w:tcPr>
          <w:p w14:paraId="44F525C8" w14:textId="77777777" w:rsidR="008C5CFA" w:rsidRPr="008C04A5" w:rsidRDefault="008C5CFA" w:rsidP="00300A01">
            <w:pPr>
              <w:spacing w:before="0" w:after="0"/>
              <w:jc w:val="right"/>
              <w:rPr>
                <w:sz w:val="12"/>
                <w:szCs w:val="12"/>
                <w:lang w:val="fr-BE"/>
              </w:rPr>
            </w:pPr>
          </w:p>
        </w:tc>
        <w:tc>
          <w:tcPr>
            <w:tcW w:w="0" w:type="auto"/>
          </w:tcPr>
          <w:p w14:paraId="0BB74E70" w14:textId="77777777" w:rsidR="008C5CFA" w:rsidRPr="008C04A5" w:rsidRDefault="008C5CFA" w:rsidP="00300A01">
            <w:pPr>
              <w:spacing w:before="0" w:after="0"/>
              <w:jc w:val="right"/>
              <w:rPr>
                <w:sz w:val="12"/>
                <w:szCs w:val="12"/>
                <w:lang w:val="fr-BE"/>
              </w:rPr>
            </w:pPr>
          </w:p>
        </w:tc>
      </w:tr>
      <w:tr w:rsidR="006B2EC1" w14:paraId="078D147B" w14:textId="77777777" w:rsidTr="0047688D">
        <w:tc>
          <w:tcPr>
            <w:tcW w:w="0" w:type="auto"/>
            <w:shd w:val="clear" w:color="auto" w:fill="auto"/>
          </w:tcPr>
          <w:p w14:paraId="1076B2A1" w14:textId="77777777" w:rsidR="008C5CFA" w:rsidRPr="00D4605F" w:rsidRDefault="00E82A60" w:rsidP="00300A01">
            <w:pPr>
              <w:spacing w:before="0" w:after="0"/>
              <w:rPr>
                <w:sz w:val="12"/>
                <w:szCs w:val="12"/>
                <w:lang w:val="fr-BE"/>
              </w:rPr>
            </w:pPr>
            <w:r w:rsidRPr="00D4605F">
              <w:rPr>
                <w:noProof/>
                <w:sz w:val="12"/>
                <w:szCs w:val="12"/>
                <w:lang w:val="fr-BE"/>
              </w:rPr>
              <w:t>7</w:t>
            </w:r>
          </w:p>
        </w:tc>
        <w:tc>
          <w:tcPr>
            <w:tcW w:w="0" w:type="auto"/>
            <w:shd w:val="clear" w:color="auto" w:fill="auto"/>
          </w:tcPr>
          <w:p w14:paraId="34AF82AF" w14:textId="77777777" w:rsidR="008C5CFA" w:rsidRPr="00D4605F" w:rsidRDefault="00E82A60" w:rsidP="00300A01">
            <w:pPr>
              <w:spacing w:before="0" w:after="0"/>
              <w:rPr>
                <w:sz w:val="12"/>
                <w:szCs w:val="12"/>
                <w:lang w:val="fr-BE"/>
              </w:rPr>
            </w:pPr>
            <w:r w:rsidRPr="00D4605F">
              <w:rPr>
                <w:noProof/>
                <w:sz w:val="12"/>
                <w:szCs w:val="12"/>
                <w:lang w:val="fr-BE"/>
              </w:rPr>
              <w:t>O</w:t>
            </w:r>
          </w:p>
        </w:tc>
        <w:tc>
          <w:tcPr>
            <w:tcW w:w="0" w:type="auto"/>
            <w:shd w:val="clear" w:color="auto" w:fill="auto"/>
          </w:tcPr>
          <w:p w14:paraId="4C355641" w14:textId="77777777" w:rsidR="008C5CFA" w:rsidRPr="00D4605F" w:rsidRDefault="00E82A60" w:rsidP="00300A01">
            <w:pPr>
              <w:spacing w:before="0" w:after="0"/>
              <w:rPr>
                <w:sz w:val="12"/>
                <w:szCs w:val="12"/>
                <w:lang w:val="fr-BE"/>
              </w:rPr>
            </w:pPr>
            <w:r w:rsidRPr="00D4605F">
              <w:rPr>
                <w:noProof/>
                <w:sz w:val="12"/>
                <w:szCs w:val="12"/>
                <w:lang w:val="fr-BE"/>
              </w:rPr>
              <w:t>88</w:t>
            </w:r>
          </w:p>
        </w:tc>
        <w:tc>
          <w:tcPr>
            <w:tcW w:w="0" w:type="auto"/>
            <w:shd w:val="clear" w:color="auto" w:fill="auto"/>
          </w:tcPr>
          <w:p w14:paraId="353ADDEC" w14:textId="77777777" w:rsidR="008C5CFA" w:rsidRPr="00D4605F" w:rsidRDefault="00E82A60" w:rsidP="00300A01">
            <w:pPr>
              <w:spacing w:before="0" w:after="0"/>
              <w:rPr>
                <w:sz w:val="12"/>
                <w:szCs w:val="12"/>
                <w:lang w:val="fr-BE"/>
              </w:rPr>
            </w:pPr>
            <w:r w:rsidRPr="00D4605F">
              <w:rPr>
                <w:noProof/>
                <w:sz w:val="12"/>
                <w:szCs w:val="12"/>
                <w:lang w:val="fr-BE"/>
              </w:rPr>
              <w:t>Liczba wspartych podmiotów leczniczych</w:t>
            </w:r>
          </w:p>
        </w:tc>
        <w:tc>
          <w:tcPr>
            <w:tcW w:w="0" w:type="auto"/>
            <w:shd w:val="clear" w:color="auto" w:fill="auto"/>
          </w:tcPr>
          <w:p w14:paraId="2E606633" w14:textId="77777777" w:rsidR="008C5CFA" w:rsidRPr="00D4605F" w:rsidRDefault="00E82A60" w:rsidP="00300A01">
            <w:pPr>
              <w:spacing w:before="0" w:after="0"/>
              <w:rPr>
                <w:sz w:val="12"/>
                <w:szCs w:val="12"/>
                <w:lang w:val="fr-BE"/>
              </w:rPr>
            </w:pPr>
            <w:r w:rsidRPr="00D4605F">
              <w:rPr>
                <w:noProof/>
                <w:sz w:val="12"/>
                <w:szCs w:val="12"/>
                <w:lang w:val="fr-BE"/>
              </w:rPr>
              <w:t>szt.</w:t>
            </w:r>
          </w:p>
        </w:tc>
        <w:tc>
          <w:tcPr>
            <w:tcW w:w="0" w:type="auto"/>
            <w:shd w:val="clear" w:color="auto" w:fill="auto"/>
          </w:tcPr>
          <w:p w14:paraId="433D8699" w14:textId="77777777" w:rsidR="008C5CFA" w:rsidRPr="00D4605F" w:rsidRDefault="00E82A60" w:rsidP="00300A01">
            <w:pPr>
              <w:spacing w:before="0" w:after="0"/>
              <w:rPr>
                <w:sz w:val="12"/>
                <w:szCs w:val="12"/>
                <w:lang w:val="fr-BE"/>
              </w:rPr>
            </w:pPr>
            <w:r w:rsidRPr="00D4605F">
              <w:rPr>
                <w:noProof/>
                <w:sz w:val="12"/>
                <w:szCs w:val="12"/>
                <w:lang w:val="fr-BE"/>
              </w:rPr>
              <w:t>EFRR</w:t>
            </w:r>
          </w:p>
        </w:tc>
        <w:tc>
          <w:tcPr>
            <w:tcW w:w="0" w:type="auto"/>
          </w:tcPr>
          <w:p w14:paraId="2A616DC8" w14:textId="77777777" w:rsidR="008C5CFA" w:rsidRPr="00D4605F" w:rsidRDefault="00E82A60" w:rsidP="00300A01">
            <w:pPr>
              <w:spacing w:before="0" w:after="0"/>
              <w:rPr>
                <w:sz w:val="12"/>
                <w:szCs w:val="12"/>
                <w:lang w:val="fr-BE"/>
              </w:rPr>
            </w:pPr>
            <w:r w:rsidRPr="00D4605F">
              <w:rPr>
                <w:noProof/>
                <w:sz w:val="12"/>
                <w:szCs w:val="12"/>
                <w:lang w:val="fr-BE"/>
              </w:rPr>
              <w:t>Słabiej rozwinięte</w:t>
            </w:r>
          </w:p>
        </w:tc>
        <w:tc>
          <w:tcPr>
            <w:tcW w:w="0" w:type="auto"/>
          </w:tcPr>
          <w:p w14:paraId="76BD4F18" w14:textId="77777777" w:rsidR="008C5CFA" w:rsidRPr="00D4605F" w:rsidRDefault="00E82A60" w:rsidP="00136029">
            <w:pPr>
              <w:spacing w:before="0" w:after="0"/>
              <w:jc w:val="right"/>
              <w:rPr>
                <w:sz w:val="12"/>
                <w:szCs w:val="12"/>
                <w:lang w:val="fr-BE"/>
              </w:rPr>
            </w:pPr>
            <w:r>
              <w:rPr>
                <w:noProof/>
                <w:sz w:val="12"/>
                <w:szCs w:val="12"/>
                <w:lang w:val="fr-BE"/>
              </w:rPr>
              <w:t>19,00</w:t>
            </w:r>
          </w:p>
        </w:tc>
        <w:tc>
          <w:tcPr>
            <w:tcW w:w="0" w:type="auto"/>
          </w:tcPr>
          <w:p w14:paraId="579049D2" w14:textId="77777777" w:rsidR="008C5CFA" w:rsidRPr="00D4605F" w:rsidRDefault="008C5CFA" w:rsidP="00300A01">
            <w:pPr>
              <w:spacing w:before="0" w:after="0"/>
              <w:jc w:val="right"/>
              <w:rPr>
                <w:sz w:val="12"/>
                <w:szCs w:val="12"/>
                <w:lang w:val="fr-BE"/>
              </w:rPr>
            </w:pPr>
          </w:p>
        </w:tc>
        <w:tc>
          <w:tcPr>
            <w:tcW w:w="0" w:type="auto"/>
          </w:tcPr>
          <w:p w14:paraId="556CF21A" w14:textId="77777777" w:rsidR="008C5CFA" w:rsidRPr="00D4605F" w:rsidRDefault="008C5CFA" w:rsidP="00300A01">
            <w:pPr>
              <w:spacing w:before="0" w:after="0"/>
              <w:jc w:val="right"/>
              <w:rPr>
                <w:sz w:val="12"/>
                <w:szCs w:val="12"/>
                <w:lang w:val="fr-BE"/>
              </w:rPr>
            </w:pPr>
          </w:p>
        </w:tc>
        <w:tc>
          <w:tcPr>
            <w:tcW w:w="0" w:type="auto"/>
          </w:tcPr>
          <w:p w14:paraId="4F90B01A" w14:textId="77777777" w:rsidR="008C5CFA" w:rsidRPr="008C04A5" w:rsidRDefault="008C5CFA" w:rsidP="00300A01">
            <w:pPr>
              <w:spacing w:before="0" w:after="0"/>
              <w:jc w:val="right"/>
              <w:rPr>
                <w:sz w:val="12"/>
                <w:szCs w:val="12"/>
                <w:lang w:val="fr-BE"/>
              </w:rPr>
            </w:pPr>
          </w:p>
        </w:tc>
        <w:tc>
          <w:tcPr>
            <w:tcW w:w="0" w:type="auto"/>
          </w:tcPr>
          <w:p w14:paraId="7CC0BB6B" w14:textId="77777777" w:rsidR="008C5CFA" w:rsidRPr="008C04A5" w:rsidRDefault="008C5CFA" w:rsidP="00300A01">
            <w:pPr>
              <w:spacing w:before="0" w:after="0"/>
              <w:jc w:val="right"/>
              <w:rPr>
                <w:sz w:val="12"/>
                <w:szCs w:val="12"/>
                <w:lang w:val="fr-BE"/>
              </w:rPr>
            </w:pPr>
          </w:p>
        </w:tc>
        <w:tc>
          <w:tcPr>
            <w:tcW w:w="0" w:type="auto"/>
          </w:tcPr>
          <w:p w14:paraId="08E3003F" w14:textId="77777777" w:rsidR="008C5CFA" w:rsidRPr="008C04A5" w:rsidRDefault="008C5CFA" w:rsidP="00300A01">
            <w:pPr>
              <w:spacing w:before="0" w:after="0"/>
              <w:jc w:val="right"/>
              <w:rPr>
                <w:sz w:val="12"/>
                <w:szCs w:val="12"/>
                <w:lang w:val="fr-BE"/>
              </w:rPr>
            </w:pPr>
          </w:p>
        </w:tc>
      </w:tr>
      <w:tr w:rsidR="006B2EC1" w14:paraId="5489837D" w14:textId="77777777" w:rsidTr="0047688D">
        <w:tc>
          <w:tcPr>
            <w:tcW w:w="0" w:type="auto"/>
            <w:shd w:val="clear" w:color="auto" w:fill="auto"/>
          </w:tcPr>
          <w:p w14:paraId="4A5770E0" w14:textId="77777777" w:rsidR="008C5CFA" w:rsidRPr="00D4605F" w:rsidRDefault="00E82A60" w:rsidP="00300A01">
            <w:pPr>
              <w:spacing w:before="0" w:after="0"/>
              <w:rPr>
                <w:sz w:val="12"/>
                <w:szCs w:val="12"/>
                <w:lang w:val="fr-BE"/>
              </w:rPr>
            </w:pPr>
            <w:r w:rsidRPr="00D4605F">
              <w:rPr>
                <w:noProof/>
                <w:sz w:val="12"/>
                <w:szCs w:val="12"/>
                <w:lang w:val="fr-BE"/>
              </w:rPr>
              <w:t>8</w:t>
            </w:r>
          </w:p>
        </w:tc>
        <w:tc>
          <w:tcPr>
            <w:tcW w:w="0" w:type="auto"/>
            <w:shd w:val="clear" w:color="auto" w:fill="auto"/>
          </w:tcPr>
          <w:p w14:paraId="17921213" w14:textId="77777777" w:rsidR="008C5CFA" w:rsidRPr="00D4605F" w:rsidRDefault="00E82A60" w:rsidP="00300A01">
            <w:pPr>
              <w:spacing w:before="0" w:after="0"/>
              <w:rPr>
                <w:sz w:val="12"/>
                <w:szCs w:val="12"/>
                <w:lang w:val="fr-BE"/>
              </w:rPr>
            </w:pPr>
            <w:r w:rsidRPr="00D4605F">
              <w:rPr>
                <w:noProof/>
                <w:sz w:val="12"/>
                <w:szCs w:val="12"/>
                <w:lang w:val="fr-BE"/>
              </w:rPr>
              <w:t>F</w:t>
            </w:r>
          </w:p>
        </w:tc>
        <w:tc>
          <w:tcPr>
            <w:tcW w:w="0" w:type="auto"/>
            <w:shd w:val="clear" w:color="auto" w:fill="auto"/>
          </w:tcPr>
          <w:p w14:paraId="59CC2E6E" w14:textId="77777777" w:rsidR="008C5CFA" w:rsidRPr="00D4605F" w:rsidRDefault="00E82A60" w:rsidP="00300A01">
            <w:pPr>
              <w:spacing w:before="0" w:after="0"/>
              <w:rPr>
                <w:sz w:val="12"/>
                <w:szCs w:val="12"/>
                <w:lang w:val="fr-BE"/>
              </w:rPr>
            </w:pPr>
            <w:r w:rsidRPr="00D4605F">
              <w:rPr>
                <w:noProof/>
                <w:sz w:val="12"/>
                <w:szCs w:val="12"/>
                <w:lang w:val="fr-BE"/>
              </w:rPr>
              <w:t>001</w:t>
            </w:r>
          </w:p>
        </w:tc>
        <w:tc>
          <w:tcPr>
            <w:tcW w:w="0" w:type="auto"/>
            <w:shd w:val="clear" w:color="auto" w:fill="auto"/>
          </w:tcPr>
          <w:p w14:paraId="091E0F66" w14:textId="77777777" w:rsidR="008C5CFA" w:rsidRPr="00D4605F" w:rsidRDefault="00E82A60" w:rsidP="00300A01">
            <w:pPr>
              <w:spacing w:before="0" w:after="0"/>
              <w:rPr>
                <w:sz w:val="12"/>
                <w:szCs w:val="12"/>
                <w:lang w:val="fr-BE"/>
              </w:rPr>
            </w:pPr>
            <w:r w:rsidRPr="00D4605F">
              <w:rPr>
                <w:noProof/>
                <w:sz w:val="12"/>
                <w:szCs w:val="12"/>
                <w:lang w:val="fr-BE"/>
              </w:rPr>
              <w:t>Całkowita kwota certyfikowanych wydatków kwalifikowalnych</w:t>
            </w:r>
          </w:p>
        </w:tc>
        <w:tc>
          <w:tcPr>
            <w:tcW w:w="0" w:type="auto"/>
            <w:shd w:val="clear" w:color="auto" w:fill="auto"/>
          </w:tcPr>
          <w:p w14:paraId="614182EF" w14:textId="77777777" w:rsidR="008C5CFA" w:rsidRPr="00D4605F" w:rsidRDefault="00E82A60" w:rsidP="00300A01">
            <w:pPr>
              <w:spacing w:before="0" w:after="0"/>
              <w:rPr>
                <w:sz w:val="12"/>
                <w:szCs w:val="12"/>
                <w:lang w:val="fr-BE"/>
              </w:rPr>
            </w:pPr>
            <w:r w:rsidRPr="00D4605F">
              <w:rPr>
                <w:noProof/>
                <w:sz w:val="12"/>
                <w:szCs w:val="12"/>
                <w:lang w:val="fr-BE"/>
              </w:rPr>
              <w:t>EUR</w:t>
            </w:r>
          </w:p>
        </w:tc>
        <w:tc>
          <w:tcPr>
            <w:tcW w:w="0" w:type="auto"/>
            <w:shd w:val="clear" w:color="auto" w:fill="auto"/>
          </w:tcPr>
          <w:p w14:paraId="29490496" w14:textId="77777777" w:rsidR="008C5CFA" w:rsidRPr="00D4605F" w:rsidRDefault="00E82A60" w:rsidP="00300A01">
            <w:pPr>
              <w:spacing w:before="0" w:after="0"/>
              <w:rPr>
                <w:sz w:val="12"/>
                <w:szCs w:val="12"/>
                <w:lang w:val="fr-BE"/>
              </w:rPr>
            </w:pPr>
            <w:r w:rsidRPr="00D4605F">
              <w:rPr>
                <w:noProof/>
                <w:sz w:val="12"/>
                <w:szCs w:val="12"/>
                <w:lang w:val="fr-BE"/>
              </w:rPr>
              <w:t>EFS</w:t>
            </w:r>
          </w:p>
        </w:tc>
        <w:tc>
          <w:tcPr>
            <w:tcW w:w="0" w:type="auto"/>
          </w:tcPr>
          <w:p w14:paraId="7141A856" w14:textId="77777777" w:rsidR="008C5CFA" w:rsidRPr="00D4605F" w:rsidRDefault="00E82A60" w:rsidP="00300A01">
            <w:pPr>
              <w:spacing w:before="0" w:after="0"/>
              <w:rPr>
                <w:sz w:val="12"/>
                <w:szCs w:val="12"/>
                <w:lang w:val="fr-BE"/>
              </w:rPr>
            </w:pPr>
            <w:r w:rsidRPr="00D4605F">
              <w:rPr>
                <w:noProof/>
                <w:sz w:val="12"/>
                <w:szCs w:val="12"/>
                <w:lang w:val="fr-BE"/>
              </w:rPr>
              <w:t>Słabiej rozwinięte</w:t>
            </w:r>
          </w:p>
        </w:tc>
        <w:tc>
          <w:tcPr>
            <w:tcW w:w="0" w:type="auto"/>
          </w:tcPr>
          <w:p w14:paraId="7EE3CDC5" w14:textId="77777777" w:rsidR="008C5CFA" w:rsidRPr="00D4605F" w:rsidRDefault="00E82A60" w:rsidP="00136029">
            <w:pPr>
              <w:spacing w:before="0" w:after="0"/>
              <w:jc w:val="right"/>
              <w:rPr>
                <w:sz w:val="12"/>
                <w:szCs w:val="12"/>
                <w:lang w:val="fr-BE"/>
              </w:rPr>
            </w:pPr>
            <w:r>
              <w:rPr>
                <w:noProof/>
                <w:sz w:val="12"/>
                <w:szCs w:val="12"/>
                <w:lang w:val="fr-BE"/>
              </w:rPr>
              <w:t>48 817 110,70</w:t>
            </w:r>
          </w:p>
        </w:tc>
        <w:tc>
          <w:tcPr>
            <w:tcW w:w="0" w:type="auto"/>
          </w:tcPr>
          <w:p w14:paraId="0459F961" w14:textId="77777777" w:rsidR="008C5CFA" w:rsidRPr="00D4605F" w:rsidRDefault="008C5CFA" w:rsidP="00300A01">
            <w:pPr>
              <w:spacing w:before="0" w:after="0"/>
              <w:jc w:val="right"/>
              <w:rPr>
                <w:sz w:val="12"/>
                <w:szCs w:val="12"/>
                <w:lang w:val="fr-BE"/>
              </w:rPr>
            </w:pPr>
          </w:p>
        </w:tc>
        <w:tc>
          <w:tcPr>
            <w:tcW w:w="0" w:type="auto"/>
          </w:tcPr>
          <w:p w14:paraId="0AC0A6A1" w14:textId="77777777" w:rsidR="008C5CFA" w:rsidRPr="00D4605F" w:rsidRDefault="008C5CFA" w:rsidP="00300A01">
            <w:pPr>
              <w:spacing w:before="0" w:after="0"/>
              <w:jc w:val="right"/>
              <w:rPr>
                <w:sz w:val="12"/>
                <w:szCs w:val="12"/>
                <w:lang w:val="fr-BE"/>
              </w:rPr>
            </w:pPr>
          </w:p>
        </w:tc>
        <w:tc>
          <w:tcPr>
            <w:tcW w:w="0" w:type="auto"/>
          </w:tcPr>
          <w:p w14:paraId="1BC51E4C" w14:textId="77777777" w:rsidR="008C5CFA" w:rsidRPr="008C04A5" w:rsidRDefault="008C5CFA" w:rsidP="00300A01">
            <w:pPr>
              <w:spacing w:before="0" w:after="0"/>
              <w:jc w:val="right"/>
              <w:rPr>
                <w:sz w:val="12"/>
                <w:szCs w:val="12"/>
                <w:lang w:val="fr-BE"/>
              </w:rPr>
            </w:pPr>
          </w:p>
        </w:tc>
        <w:tc>
          <w:tcPr>
            <w:tcW w:w="0" w:type="auto"/>
          </w:tcPr>
          <w:p w14:paraId="7427F8BD" w14:textId="77777777" w:rsidR="008C5CFA" w:rsidRPr="008C04A5" w:rsidRDefault="008C5CFA" w:rsidP="00300A01">
            <w:pPr>
              <w:spacing w:before="0" w:after="0"/>
              <w:jc w:val="right"/>
              <w:rPr>
                <w:sz w:val="12"/>
                <w:szCs w:val="12"/>
                <w:lang w:val="fr-BE"/>
              </w:rPr>
            </w:pPr>
          </w:p>
        </w:tc>
        <w:tc>
          <w:tcPr>
            <w:tcW w:w="0" w:type="auto"/>
          </w:tcPr>
          <w:p w14:paraId="3C7E4E2A" w14:textId="77777777" w:rsidR="008C5CFA" w:rsidRPr="008C04A5" w:rsidRDefault="008C5CFA" w:rsidP="00300A01">
            <w:pPr>
              <w:spacing w:before="0" w:after="0"/>
              <w:jc w:val="right"/>
              <w:rPr>
                <w:sz w:val="12"/>
                <w:szCs w:val="12"/>
                <w:lang w:val="fr-BE"/>
              </w:rPr>
            </w:pPr>
          </w:p>
        </w:tc>
      </w:tr>
      <w:tr w:rsidR="006B2EC1" w14:paraId="4CB4EB40" w14:textId="77777777" w:rsidTr="0047688D">
        <w:tc>
          <w:tcPr>
            <w:tcW w:w="0" w:type="auto"/>
            <w:shd w:val="clear" w:color="auto" w:fill="auto"/>
          </w:tcPr>
          <w:p w14:paraId="3A863145" w14:textId="77777777" w:rsidR="008C5CFA" w:rsidRPr="00D4605F" w:rsidRDefault="00E82A60" w:rsidP="00300A01">
            <w:pPr>
              <w:spacing w:before="0" w:after="0"/>
              <w:rPr>
                <w:sz w:val="12"/>
                <w:szCs w:val="12"/>
                <w:lang w:val="fr-BE"/>
              </w:rPr>
            </w:pPr>
            <w:r w:rsidRPr="00D4605F">
              <w:rPr>
                <w:noProof/>
                <w:sz w:val="12"/>
                <w:szCs w:val="12"/>
                <w:lang w:val="fr-BE"/>
              </w:rPr>
              <w:t>8</w:t>
            </w:r>
          </w:p>
        </w:tc>
        <w:tc>
          <w:tcPr>
            <w:tcW w:w="0" w:type="auto"/>
            <w:shd w:val="clear" w:color="auto" w:fill="auto"/>
          </w:tcPr>
          <w:p w14:paraId="491CFC42" w14:textId="77777777" w:rsidR="008C5CFA" w:rsidRPr="00D4605F" w:rsidRDefault="00E82A60" w:rsidP="00300A01">
            <w:pPr>
              <w:spacing w:before="0" w:after="0"/>
              <w:rPr>
                <w:sz w:val="12"/>
                <w:szCs w:val="12"/>
                <w:lang w:val="fr-BE"/>
              </w:rPr>
            </w:pPr>
            <w:r w:rsidRPr="00D4605F">
              <w:rPr>
                <w:noProof/>
                <w:sz w:val="12"/>
                <w:szCs w:val="12"/>
                <w:lang w:val="fr-BE"/>
              </w:rPr>
              <w:t>O</w:t>
            </w:r>
          </w:p>
        </w:tc>
        <w:tc>
          <w:tcPr>
            <w:tcW w:w="0" w:type="auto"/>
            <w:shd w:val="clear" w:color="auto" w:fill="auto"/>
          </w:tcPr>
          <w:p w14:paraId="780641CC" w14:textId="77777777" w:rsidR="008C5CFA" w:rsidRPr="00D4605F" w:rsidRDefault="00E82A60" w:rsidP="00300A01">
            <w:pPr>
              <w:spacing w:before="0" w:after="0"/>
              <w:rPr>
                <w:sz w:val="12"/>
                <w:szCs w:val="12"/>
                <w:lang w:val="fr-BE"/>
              </w:rPr>
            </w:pPr>
            <w:r w:rsidRPr="00D4605F">
              <w:rPr>
                <w:noProof/>
                <w:sz w:val="12"/>
                <w:szCs w:val="12"/>
                <w:lang w:val="fr-BE"/>
              </w:rPr>
              <w:t>004</w:t>
            </w:r>
          </w:p>
        </w:tc>
        <w:tc>
          <w:tcPr>
            <w:tcW w:w="0" w:type="auto"/>
            <w:shd w:val="clear" w:color="auto" w:fill="auto"/>
          </w:tcPr>
          <w:p w14:paraId="23171670" w14:textId="77777777" w:rsidR="008C5CFA" w:rsidRPr="00D4605F" w:rsidRDefault="00E82A60" w:rsidP="00300A01">
            <w:pPr>
              <w:spacing w:before="0" w:after="0"/>
              <w:rPr>
                <w:sz w:val="12"/>
                <w:szCs w:val="12"/>
                <w:lang w:val="fr-BE"/>
              </w:rPr>
            </w:pPr>
            <w:r w:rsidRPr="00D4605F">
              <w:rPr>
                <w:noProof/>
                <w:sz w:val="12"/>
                <w:szCs w:val="12"/>
                <w:lang w:val="fr-BE"/>
              </w:rPr>
              <w:t>Liczba osób opiekujących się dziećmi w wieku do lat 3 objętych wsparciem w programie</w:t>
            </w:r>
          </w:p>
        </w:tc>
        <w:tc>
          <w:tcPr>
            <w:tcW w:w="0" w:type="auto"/>
            <w:shd w:val="clear" w:color="auto" w:fill="auto"/>
          </w:tcPr>
          <w:p w14:paraId="47C48CBF" w14:textId="77777777" w:rsidR="008C5CFA" w:rsidRPr="00D4605F" w:rsidRDefault="00E82A60" w:rsidP="00300A01">
            <w:pPr>
              <w:spacing w:before="0" w:after="0"/>
              <w:rPr>
                <w:sz w:val="12"/>
                <w:szCs w:val="12"/>
                <w:lang w:val="fr-BE"/>
              </w:rPr>
            </w:pPr>
            <w:r w:rsidRPr="00D4605F">
              <w:rPr>
                <w:noProof/>
                <w:sz w:val="12"/>
                <w:szCs w:val="12"/>
                <w:lang w:val="fr-BE"/>
              </w:rPr>
              <w:t>osoba</w:t>
            </w:r>
          </w:p>
        </w:tc>
        <w:tc>
          <w:tcPr>
            <w:tcW w:w="0" w:type="auto"/>
            <w:shd w:val="clear" w:color="auto" w:fill="auto"/>
          </w:tcPr>
          <w:p w14:paraId="5A584EDB" w14:textId="77777777" w:rsidR="008C5CFA" w:rsidRPr="00D4605F" w:rsidRDefault="00E82A60" w:rsidP="00300A01">
            <w:pPr>
              <w:spacing w:before="0" w:after="0"/>
              <w:rPr>
                <w:sz w:val="12"/>
                <w:szCs w:val="12"/>
                <w:lang w:val="fr-BE"/>
              </w:rPr>
            </w:pPr>
            <w:r w:rsidRPr="00D4605F">
              <w:rPr>
                <w:noProof/>
                <w:sz w:val="12"/>
                <w:szCs w:val="12"/>
                <w:lang w:val="fr-BE"/>
              </w:rPr>
              <w:t>EFS</w:t>
            </w:r>
          </w:p>
        </w:tc>
        <w:tc>
          <w:tcPr>
            <w:tcW w:w="0" w:type="auto"/>
          </w:tcPr>
          <w:p w14:paraId="08D60EBD" w14:textId="77777777" w:rsidR="008C5CFA" w:rsidRPr="00D4605F" w:rsidRDefault="00E82A60" w:rsidP="00300A01">
            <w:pPr>
              <w:spacing w:before="0" w:after="0"/>
              <w:rPr>
                <w:sz w:val="12"/>
                <w:szCs w:val="12"/>
                <w:lang w:val="fr-BE"/>
              </w:rPr>
            </w:pPr>
            <w:r w:rsidRPr="00D4605F">
              <w:rPr>
                <w:noProof/>
                <w:sz w:val="12"/>
                <w:szCs w:val="12"/>
                <w:lang w:val="fr-BE"/>
              </w:rPr>
              <w:t>Słabiej rozwinięte</w:t>
            </w:r>
          </w:p>
        </w:tc>
        <w:tc>
          <w:tcPr>
            <w:tcW w:w="0" w:type="auto"/>
          </w:tcPr>
          <w:p w14:paraId="170020B6" w14:textId="77777777" w:rsidR="008C5CFA" w:rsidRPr="00D4605F" w:rsidRDefault="00E82A60" w:rsidP="00136029">
            <w:pPr>
              <w:spacing w:before="0" w:after="0"/>
              <w:jc w:val="right"/>
              <w:rPr>
                <w:sz w:val="12"/>
                <w:szCs w:val="12"/>
                <w:lang w:val="fr-BE"/>
              </w:rPr>
            </w:pPr>
            <w:r>
              <w:rPr>
                <w:noProof/>
                <w:sz w:val="12"/>
                <w:szCs w:val="12"/>
                <w:lang w:val="fr-BE"/>
              </w:rPr>
              <w:t>909,00</w:t>
            </w:r>
          </w:p>
        </w:tc>
        <w:tc>
          <w:tcPr>
            <w:tcW w:w="0" w:type="auto"/>
          </w:tcPr>
          <w:p w14:paraId="7AF3947F" w14:textId="77777777" w:rsidR="008C5CFA" w:rsidRPr="00D4605F" w:rsidRDefault="00E82A60" w:rsidP="00300A01">
            <w:pPr>
              <w:spacing w:before="0" w:after="0"/>
              <w:jc w:val="right"/>
              <w:rPr>
                <w:sz w:val="12"/>
                <w:szCs w:val="12"/>
                <w:lang w:val="fr-BE"/>
              </w:rPr>
            </w:pPr>
            <w:r>
              <w:rPr>
                <w:noProof/>
                <w:sz w:val="12"/>
                <w:szCs w:val="12"/>
                <w:lang w:val="fr-BE"/>
              </w:rPr>
              <w:t>0,00</w:t>
            </w:r>
          </w:p>
        </w:tc>
        <w:tc>
          <w:tcPr>
            <w:tcW w:w="0" w:type="auto"/>
          </w:tcPr>
          <w:p w14:paraId="6D94B6AF" w14:textId="77777777" w:rsidR="008C5CFA" w:rsidRPr="00D4605F" w:rsidRDefault="00E82A60" w:rsidP="00300A01">
            <w:pPr>
              <w:spacing w:before="0" w:after="0"/>
              <w:jc w:val="right"/>
              <w:rPr>
                <w:sz w:val="12"/>
                <w:szCs w:val="12"/>
                <w:lang w:val="fr-BE"/>
              </w:rPr>
            </w:pPr>
            <w:r>
              <w:rPr>
                <w:noProof/>
                <w:sz w:val="12"/>
                <w:szCs w:val="12"/>
                <w:lang w:val="fr-BE"/>
              </w:rPr>
              <w:t>0,00</w:t>
            </w:r>
          </w:p>
        </w:tc>
        <w:tc>
          <w:tcPr>
            <w:tcW w:w="0" w:type="auto"/>
          </w:tcPr>
          <w:p w14:paraId="7D313CCD" w14:textId="77777777" w:rsidR="008C5CFA" w:rsidRPr="008C04A5" w:rsidRDefault="00E82A60" w:rsidP="00300A01">
            <w:pPr>
              <w:spacing w:before="0" w:after="0"/>
              <w:jc w:val="right"/>
              <w:rPr>
                <w:sz w:val="12"/>
                <w:szCs w:val="12"/>
                <w:lang w:val="fr-BE"/>
              </w:rPr>
            </w:pPr>
            <w:r>
              <w:rPr>
                <w:noProof/>
                <w:sz w:val="12"/>
                <w:szCs w:val="12"/>
                <w:lang w:val="fr-BE"/>
              </w:rPr>
              <w:t>312,00</w:t>
            </w:r>
          </w:p>
        </w:tc>
        <w:tc>
          <w:tcPr>
            <w:tcW w:w="0" w:type="auto"/>
          </w:tcPr>
          <w:p w14:paraId="64F66D98" w14:textId="77777777" w:rsidR="008C5CFA" w:rsidRPr="008C04A5" w:rsidRDefault="00E82A60" w:rsidP="00300A01">
            <w:pPr>
              <w:spacing w:before="0" w:after="0"/>
              <w:jc w:val="right"/>
              <w:rPr>
                <w:sz w:val="12"/>
                <w:szCs w:val="12"/>
                <w:lang w:val="fr-BE"/>
              </w:rPr>
            </w:pPr>
            <w:r>
              <w:rPr>
                <w:noProof/>
                <w:sz w:val="12"/>
                <w:szCs w:val="12"/>
                <w:lang w:val="fr-BE"/>
              </w:rPr>
              <w:t>0,00</w:t>
            </w:r>
          </w:p>
        </w:tc>
        <w:tc>
          <w:tcPr>
            <w:tcW w:w="0" w:type="auto"/>
          </w:tcPr>
          <w:p w14:paraId="5CD75A6D" w14:textId="77777777" w:rsidR="008C5CFA" w:rsidRPr="008C04A5" w:rsidRDefault="00E82A60" w:rsidP="00300A01">
            <w:pPr>
              <w:spacing w:before="0" w:after="0"/>
              <w:jc w:val="right"/>
              <w:rPr>
                <w:sz w:val="12"/>
                <w:szCs w:val="12"/>
                <w:lang w:val="fr-BE"/>
              </w:rPr>
            </w:pPr>
            <w:r>
              <w:rPr>
                <w:noProof/>
                <w:sz w:val="12"/>
                <w:szCs w:val="12"/>
                <w:lang w:val="fr-BE"/>
              </w:rPr>
              <w:t>0,00</w:t>
            </w:r>
          </w:p>
        </w:tc>
      </w:tr>
      <w:tr w:rsidR="006B2EC1" w14:paraId="64EFC27C" w14:textId="77777777" w:rsidTr="0047688D">
        <w:tc>
          <w:tcPr>
            <w:tcW w:w="0" w:type="auto"/>
            <w:shd w:val="clear" w:color="auto" w:fill="auto"/>
          </w:tcPr>
          <w:p w14:paraId="53B1E66B" w14:textId="77777777" w:rsidR="008C5CFA" w:rsidRPr="00D4605F" w:rsidRDefault="00E82A60" w:rsidP="00300A01">
            <w:pPr>
              <w:spacing w:before="0" w:after="0"/>
              <w:rPr>
                <w:sz w:val="12"/>
                <w:szCs w:val="12"/>
                <w:lang w:val="fr-BE"/>
              </w:rPr>
            </w:pPr>
            <w:r w:rsidRPr="00D4605F">
              <w:rPr>
                <w:noProof/>
                <w:sz w:val="12"/>
                <w:szCs w:val="12"/>
                <w:lang w:val="fr-BE"/>
              </w:rPr>
              <w:t>8</w:t>
            </w:r>
          </w:p>
        </w:tc>
        <w:tc>
          <w:tcPr>
            <w:tcW w:w="0" w:type="auto"/>
            <w:shd w:val="clear" w:color="auto" w:fill="auto"/>
          </w:tcPr>
          <w:p w14:paraId="6AE16D7C" w14:textId="77777777" w:rsidR="008C5CFA" w:rsidRPr="00D4605F" w:rsidRDefault="00E82A60" w:rsidP="00300A01">
            <w:pPr>
              <w:spacing w:before="0" w:after="0"/>
              <w:rPr>
                <w:sz w:val="12"/>
                <w:szCs w:val="12"/>
                <w:lang w:val="fr-BE"/>
              </w:rPr>
            </w:pPr>
            <w:r w:rsidRPr="00D4605F">
              <w:rPr>
                <w:noProof/>
                <w:sz w:val="12"/>
                <w:szCs w:val="12"/>
                <w:lang w:val="fr-BE"/>
              </w:rPr>
              <w:t>O</w:t>
            </w:r>
          </w:p>
        </w:tc>
        <w:tc>
          <w:tcPr>
            <w:tcW w:w="0" w:type="auto"/>
            <w:shd w:val="clear" w:color="auto" w:fill="auto"/>
          </w:tcPr>
          <w:p w14:paraId="65322D59" w14:textId="77777777" w:rsidR="008C5CFA" w:rsidRPr="00D4605F" w:rsidRDefault="00E82A60" w:rsidP="00300A01">
            <w:pPr>
              <w:spacing w:before="0" w:after="0"/>
              <w:rPr>
                <w:sz w:val="12"/>
                <w:szCs w:val="12"/>
                <w:lang w:val="fr-BE"/>
              </w:rPr>
            </w:pPr>
            <w:r w:rsidRPr="00D4605F">
              <w:rPr>
                <w:noProof/>
                <w:sz w:val="12"/>
                <w:szCs w:val="12"/>
                <w:lang w:val="fr-BE"/>
              </w:rPr>
              <w:t>102</w:t>
            </w:r>
          </w:p>
        </w:tc>
        <w:tc>
          <w:tcPr>
            <w:tcW w:w="0" w:type="auto"/>
            <w:shd w:val="clear" w:color="auto" w:fill="auto"/>
          </w:tcPr>
          <w:p w14:paraId="5102A08C" w14:textId="77777777" w:rsidR="008C5CFA" w:rsidRPr="00D4605F" w:rsidRDefault="00E82A60" w:rsidP="00300A01">
            <w:pPr>
              <w:spacing w:before="0" w:after="0"/>
              <w:rPr>
                <w:sz w:val="12"/>
                <w:szCs w:val="12"/>
                <w:lang w:val="fr-BE"/>
              </w:rPr>
            </w:pPr>
            <w:r w:rsidRPr="00D4605F">
              <w:rPr>
                <w:noProof/>
                <w:sz w:val="12"/>
                <w:szCs w:val="12"/>
                <w:lang w:val="fr-BE"/>
              </w:rPr>
              <w:t>Liczba uczniów objętych wsparciem w programie</w:t>
            </w:r>
          </w:p>
        </w:tc>
        <w:tc>
          <w:tcPr>
            <w:tcW w:w="0" w:type="auto"/>
            <w:shd w:val="clear" w:color="auto" w:fill="auto"/>
          </w:tcPr>
          <w:p w14:paraId="6CD6064E" w14:textId="77777777" w:rsidR="008C5CFA" w:rsidRPr="00D4605F" w:rsidRDefault="00E82A60" w:rsidP="00300A01">
            <w:pPr>
              <w:spacing w:before="0" w:after="0"/>
              <w:rPr>
                <w:sz w:val="12"/>
                <w:szCs w:val="12"/>
                <w:lang w:val="fr-BE"/>
              </w:rPr>
            </w:pPr>
            <w:r w:rsidRPr="00D4605F">
              <w:rPr>
                <w:noProof/>
                <w:sz w:val="12"/>
                <w:szCs w:val="12"/>
                <w:lang w:val="fr-BE"/>
              </w:rPr>
              <w:t>osoba</w:t>
            </w:r>
          </w:p>
        </w:tc>
        <w:tc>
          <w:tcPr>
            <w:tcW w:w="0" w:type="auto"/>
            <w:shd w:val="clear" w:color="auto" w:fill="auto"/>
          </w:tcPr>
          <w:p w14:paraId="69BCCA4E" w14:textId="77777777" w:rsidR="008C5CFA" w:rsidRPr="00D4605F" w:rsidRDefault="00E82A60" w:rsidP="00300A01">
            <w:pPr>
              <w:spacing w:before="0" w:after="0"/>
              <w:rPr>
                <w:sz w:val="12"/>
                <w:szCs w:val="12"/>
                <w:lang w:val="fr-BE"/>
              </w:rPr>
            </w:pPr>
            <w:r w:rsidRPr="00D4605F">
              <w:rPr>
                <w:noProof/>
                <w:sz w:val="12"/>
                <w:szCs w:val="12"/>
                <w:lang w:val="fr-BE"/>
              </w:rPr>
              <w:t>EFS</w:t>
            </w:r>
          </w:p>
        </w:tc>
        <w:tc>
          <w:tcPr>
            <w:tcW w:w="0" w:type="auto"/>
          </w:tcPr>
          <w:p w14:paraId="0AAA08CD" w14:textId="77777777" w:rsidR="008C5CFA" w:rsidRPr="00D4605F" w:rsidRDefault="00E82A60" w:rsidP="00300A01">
            <w:pPr>
              <w:spacing w:before="0" w:after="0"/>
              <w:rPr>
                <w:sz w:val="12"/>
                <w:szCs w:val="12"/>
                <w:lang w:val="fr-BE"/>
              </w:rPr>
            </w:pPr>
            <w:r w:rsidRPr="00D4605F">
              <w:rPr>
                <w:noProof/>
                <w:sz w:val="12"/>
                <w:szCs w:val="12"/>
                <w:lang w:val="fr-BE"/>
              </w:rPr>
              <w:t>Słabiej rozwinięte</w:t>
            </w:r>
          </w:p>
        </w:tc>
        <w:tc>
          <w:tcPr>
            <w:tcW w:w="0" w:type="auto"/>
          </w:tcPr>
          <w:p w14:paraId="38205A9E" w14:textId="77777777" w:rsidR="008C5CFA" w:rsidRPr="00D4605F" w:rsidRDefault="00E82A60" w:rsidP="00136029">
            <w:pPr>
              <w:spacing w:before="0" w:after="0"/>
              <w:jc w:val="right"/>
              <w:rPr>
                <w:sz w:val="12"/>
                <w:szCs w:val="12"/>
                <w:lang w:val="fr-BE"/>
              </w:rPr>
            </w:pPr>
            <w:r>
              <w:rPr>
                <w:noProof/>
                <w:sz w:val="12"/>
                <w:szCs w:val="12"/>
                <w:lang w:val="fr-BE"/>
              </w:rPr>
              <w:t>27 855,00</w:t>
            </w:r>
          </w:p>
        </w:tc>
        <w:tc>
          <w:tcPr>
            <w:tcW w:w="0" w:type="auto"/>
          </w:tcPr>
          <w:p w14:paraId="4C413770" w14:textId="77777777" w:rsidR="008C5CFA" w:rsidRPr="00D4605F" w:rsidRDefault="00E82A60" w:rsidP="00300A01">
            <w:pPr>
              <w:spacing w:before="0" w:after="0"/>
              <w:jc w:val="right"/>
              <w:rPr>
                <w:sz w:val="12"/>
                <w:szCs w:val="12"/>
                <w:lang w:val="fr-BE"/>
              </w:rPr>
            </w:pPr>
            <w:r>
              <w:rPr>
                <w:noProof/>
                <w:sz w:val="12"/>
                <w:szCs w:val="12"/>
                <w:lang w:val="fr-BE"/>
              </w:rPr>
              <w:t>0,00</w:t>
            </w:r>
          </w:p>
        </w:tc>
        <w:tc>
          <w:tcPr>
            <w:tcW w:w="0" w:type="auto"/>
          </w:tcPr>
          <w:p w14:paraId="7CF8ADEF" w14:textId="77777777" w:rsidR="008C5CFA" w:rsidRPr="00D4605F" w:rsidRDefault="00E82A60" w:rsidP="00300A01">
            <w:pPr>
              <w:spacing w:before="0" w:after="0"/>
              <w:jc w:val="right"/>
              <w:rPr>
                <w:sz w:val="12"/>
                <w:szCs w:val="12"/>
                <w:lang w:val="fr-BE"/>
              </w:rPr>
            </w:pPr>
            <w:r>
              <w:rPr>
                <w:noProof/>
                <w:sz w:val="12"/>
                <w:szCs w:val="12"/>
                <w:lang w:val="fr-BE"/>
              </w:rPr>
              <w:t>0,00</w:t>
            </w:r>
          </w:p>
        </w:tc>
        <w:tc>
          <w:tcPr>
            <w:tcW w:w="0" w:type="auto"/>
          </w:tcPr>
          <w:p w14:paraId="6B359964" w14:textId="77777777" w:rsidR="008C5CFA" w:rsidRPr="008C04A5" w:rsidRDefault="00E82A60" w:rsidP="00300A01">
            <w:pPr>
              <w:spacing w:before="0" w:after="0"/>
              <w:jc w:val="right"/>
              <w:rPr>
                <w:sz w:val="12"/>
                <w:szCs w:val="12"/>
                <w:lang w:val="fr-BE"/>
              </w:rPr>
            </w:pPr>
            <w:r>
              <w:rPr>
                <w:noProof/>
                <w:sz w:val="12"/>
                <w:szCs w:val="12"/>
                <w:lang w:val="fr-BE"/>
              </w:rPr>
              <w:t>10 275,00</w:t>
            </w:r>
          </w:p>
        </w:tc>
        <w:tc>
          <w:tcPr>
            <w:tcW w:w="0" w:type="auto"/>
          </w:tcPr>
          <w:p w14:paraId="024A7D01" w14:textId="77777777" w:rsidR="008C5CFA" w:rsidRPr="008C04A5" w:rsidRDefault="00E82A60" w:rsidP="00300A01">
            <w:pPr>
              <w:spacing w:before="0" w:after="0"/>
              <w:jc w:val="right"/>
              <w:rPr>
                <w:sz w:val="12"/>
                <w:szCs w:val="12"/>
                <w:lang w:val="fr-BE"/>
              </w:rPr>
            </w:pPr>
            <w:r>
              <w:rPr>
                <w:noProof/>
                <w:sz w:val="12"/>
                <w:szCs w:val="12"/>
                <w:lang w:val="fr-BE"/>
              </w:rPr>
              <w:t>0,00</w:t>
            </w:r>
          </w:p>
        </w:tc>
        <w:tc>
          <w:tcPr>
            <w:tcW w:w="0" w:type="auto"/>
          </w:tcPr>
          <w:p w14:paraId="7EAA4396" w14:textId="77777777" w:rsidR="008C5CFA" w:rsidRPr="008C04A5" w:rsidRDefault="00E82A60" w:rsidP="00300A01">
            <w:pPr>
              <w:spacing w:before="0" w:after="0"/>
              <w:jc w:val="right"/>
              <w:rPr>
                <w:sz w:val="12"/>
                <w:szCs w:val="12"/>
                <w:lang w:val="fr-BE"/>
              </w:rPr>
            </w:pPr>
            <w:r>
              <w:rPr>
                <w:noProof/>
                <w:sz w:val="12"/>
                <w:szCs w:val="12"/>
                <w:lang w:val="fr-BE"/>
              </w:rPr>
              <w:t>0,00</w:t>
            </w:r>
          </w:p>
        </w:tc>
      </w:tr>
      <w:tr w:rsidR="006B2EC1" w14:paraId="2F21595F" w14:textId="77777777" w:rsidTr="0047688D">
        <w:tc>
          <w:tcPr>
            <w:tcW w:w="0" w:type="auto"/>
            <w:shd w:val="clear" w:color="auto" w:fill="auto"/>
          </w:tcPr>
          <w:p w14:paraId="5D04FCAA" w14:textId="77777777" w:rsidR="008C5CFA" w:rsidRPr="00D4605F" w:rsidRDefault="00E82A60" w:rsidP="00300A01">
            <w:pPr>
              <w:spacing w:before="0" w:after="0"/>
              <w:rPr>
                <w:sz w:val="12"/>
                <w:szCs w:val="12"/>
                <w:lang w:val="fr-BE"/>
              </w:rPr>
            </w:pPr>
            <w:r w:rsidRPr="00D4605F">
              <w:rPr>
                <w:noProof/>
                <w:sz w:val="12"/>
                <w:szCs w:val="12"/>
                <w:lang w:val="fr-BE"/>
              </w:rPr>
              <w:t>8</w:t>
            </w:r>
          </w:p>
        </w:tc>
        <w:tc>
          <w:tcPr>
            <w:tcW w:w="0" w:type="auto"/>
            <w:shd w:val="clear" w:color="auto" w:fill="auto"/>
          </w:tcPr>
          <w:p w14:paraId="235DFBFF" w14:textId="77777777" w:rsidR="008C5CFA" w:rsidRPr="00D4605F" w:rsidRDefault="00E82A60" w:rsidP="00300A01">
            <w:pPr>
              <w:spacing w:before="0" w:after="0"/>
              <w:rPr>
                <w:sz w:val="12"/>
                <w:szCs w:val="12"/>
                <w:lang w:val="fr-BE"/>
              </w:rPr>
            </w:pPr>
            <w:r w:rsidRPr="00D4605F">
              <w:rPr>
                <w:noProof/>
                <w:sz w:val="12"/>
                <w:szCs w:val="12"/>
                <w:lang w:val="fr-BE"/>
              </w:rPr>
              <w:t>O</w:t>
            </w:r>
          </w:p>
        </w:tc>
        <w:tc>
          <w:tcPr>
            <w:tcW w:w="0" w:type="auto"/>
            <w:shd w:val="clear" w:color="auto" w:fill="auto"/>
          </w:tcPr>
          <w:p w14:paraId="6799313D" w14:textId="77777777" w:rsidR="008C5CFA" w:rsidRPr="00D4605F" w:rsidRDefault="00E82A60" w:rsidP="00300A01">
            <w:pPr>
              <w:spacing w:before="0" w:after="0"/>
              <w:rPr>
                <w:sz w:val="12"/>
                <w:szCs w:val="12"/>
                <w:lang w:val="fr-BE"/>
              </w:rPr>
            </w:pPr>
            <w:r w:rsidRPr="00D4605F">
              <w:rPr>
                <w:noProof/>
                <w:sz w:val="12"/>
                <w:szCs w:val="12"/>
                <w:lang w:val="fr-BE"/>
              </w:rPr>
              <w:t>98</w:t>
            </w:r>
          </w:p>
        </w:tc>
        <w:tc>
          <w:tcPr>
            <w:tcW w:w="0" w:type="auto"/>
            <w:shd w:val="clear" w:color="auto" w:fill="auto"/>
          </w:tcPr>
          <w:p w14:paraId="7B02D590" w14:textId="77777777" w:rsidR="008C5CFA" w:rsidRPr="00D4605F" w:rsidRDefault="00E82A60" w:rsidP="00300A01">
            <w:pPr>
              <w:spacing w:before="0" w:after="0"/>
              <w:rPr>
                <w:sz w:val="12"/>
                <w:szCs w:val="12"/>
                <w:lang w:val="fr-BE"/>
              </w:rPr>
            </w:pPr>
            <w:r w:rsidRPr="00D4605F">
              <w:rPr>
                <w:noProof/>
                <w:sz w:val="12"/>
                <w:szCs w:val="12"/>
                <w:lang w:val="fr-BE"/>
              </w:rPr>
              <w:t>Liczba dzieci objętych w ramach programu dodatkowymi zajęciami zwiększającymi ich szanse edukacyjne w edukacji przedszkolnej</w:t>
            </w:r>
          </w:p>
        </w:tc>
        <w:tc>
          <w:tcPr>
            <w:tcW w:w="0" w:type="auto"/>
            <w:shd w:val="clear" w:color="auto" w:fill="auto"/>
          </w:tcPr>
          <w:p w14:paraId="36C7DE70" w14:textId="77777777" w:rsidR="008C5CFA" w:rsidRPr="00D4605F" w:rsidRDefault="00E82A60" w:rsidP="00300A01">
            <w:pPr>
              <w:spacing w:before="0" w:after="0"/>
              <w:rPr>
                <w:sz w:val="12"/>
                <w:szCs w:val="12"/>
                <w:lang w:val="fr-BE"/>
              </w:rPr>
            </w:pPr>
            <w:r w:rsidRPr="00D4605F">
              <w:rPr>
                <w:noProof/>
                <w:sz w:val="12"/>
                <w:szCs w:val="12"/>
                <w:lang w:val="fr-BE"/>
              </w:rPr>
              <w:t>osoba</w:t>
            </w:r>
          </w:p>
        </w:tc>
        <w:tc>
          <w:tcPr>
            <w:tcW w:w="0" w:type="auto"/>
            <w:shd w:val="clear" w:color="auto" w:fill="auto"/>
          </w:tcPr>
          <w:p w14:paraId="2CAD4289" w14:textId="77777777" w:rsidR="008C5CFA" w:rsidRPr="00D4605F" w:rsidRDefault="00E82A60" w:rsidP="00300A01">
            <w:pPr>
              <w:spacing w:before="0" w:after="0"/>
              <w:rPr>
                <w:sz w:val="12"/>
                <w:szCs w:val="12"/>
                <w:lang w:val="fr-BE"/>
              </w:rPr>
            </w:pPr>
            <w:r w:rsidRPr="00D4605F">
              <w:rPr>
                <w:noProof/>
                <w:sz w:val="12"/>
                <w:szCs w:val="12"/>
                <w:lang w:val="fr-BE"/>
              </w:rPr>
              <w:t>EFS</w:t>
            </w:r>
          </w:p>
        </w:tc>
        <w:tc>
          <w:tcPr>
            <w:tcW w:w="0" w:type="auto"/>
          </w:tcPr>
          <w:p w14:paraId="0DDE3F10" w14:textId="77777777" w:rsidR="008C5CFA" w:rsidRPr="00D4605F" w:rsidRDefault="00E82A60" w:rsidP="00300A01">
            <w:pPr>
              <w:spacing w:before="0" w:after="0"/>
              <w:rPr>
                <w:sz w:val="12"/>
                <w:szCs w:val="12"/>
                <w:lang w:val="fr-BE"/>
              </w:rPr>
            </w:pPr>
            <w:r w:rsidRPr="00D4605F">
              <w:rPr>
                <w:noProof/>
                <w:sz w:val="12"/>
                <w:szCs w:val="12"/>
                <w:lang w:val="fr-BE"/>
              </w:rPr>
              <w:t>Słabiej rozwinięte</w:t>
            </w:r>
          </w:p>
        </w:tc>
        <w:tc>
          <w:tcPr>
            <w:tcW w:w="0" w:type="auto"/>
          </w:tcPr>
          <w:p w14:paraId="2226129E" w14:textId="77777777" w:rsidR="008C5CFA" w:rsidRPr="00D4605F" w:rsidRDefault="00E82A60" w:rsidP="00136029">
            <w:pPr>
              <w:spacing w:before="0" w:after="0"/>
              <w:jc w:val="right"/>
              <w:rPr>
                <w:sz w:val="12"/>
                <w:szCs w:val="12"/>
                <w:lang w:val="fr-BE"/>
              </w:rPr>
            </w:pPr>
            <w:r>
              <w:rPr>
                <w:noProof/>
                <w:sz w:val="12"/>
                <w:szCs w:val="12"/>
                <w:lang w:val="fr-BE"/>
              </w:rPr>
              <w:t>4 464,00</w:t>
            </w:r>
          </w:p>
        </w:tc>
        <w:tc>
          <w:tcPr>
            <w:tcW w:w="0" w:type="auto"/>
          </w:tcPr>
          <w:p w14:paraId="29A50E04" w14:textId="77777777" w:rsidR="008C5CFA" w:rsidRPr="00D4605F" w:rsidRDefault="00E82A60" w:rsidP="00300A01">
            <w:pPr>
              <w:spacing w:before="0" w:after="0"/>
              <w:jc w:val="right"/>
              <w:rPr>
                <w:sz w:val="12"/>
                <w:szCs w:val="12"/>
                <w:lang w:val="fr-BE"/>
              </w:rPr>
            </w:pPr>
            <w:r>
              <w:rPr>
                <w:noProof/>
                <w:sz w:val="12"/>
                <w:szCs w:val="12"/>
                <w:lang w:val="fr-BE"/>
              </w:rPr>
              <w:t>0,00</w:t>
            </w:r>
          </w:p>
        </w:tc>
        <w:tc>
          <w:tcPr>
            <w:tcW w:w="0" w:type="auto"/>
          </w:tcPr>
          <w:p w14:paraId="3C178865" w14:textId="77777777" w:rsidR="008C5CFA" w:rsidRPr="00D4605F" w:rsidRDefault="00E82A60" w:rsidP="00300A01">
            <w:pPr>
              <w:spacing w:before="0" w:after="0"/>
              <w:jc w:val="right"/>
              <w:rPr>
                <w:sz w:val="12"/>
                <w:szCs w:val="12"/>
                <w:lang w:val="fr-BE"/>
              </w:rPr>
            </w:pPr>
            <w:r>
              <w:rPr>
                <w:noProof/>
                <w:sz w:val="12"/>
                <w:szCs w:val="12"/>
                <w:lang w:val="fr-BE"/>
              </w:rPr>
              <w:t>0,00</w:t>
            </w:r>
          </w:p>
        </w:tc>
        <w:tc>
          <w:tcPr>
            <w:tcW w:w="0" w:type="auto"/>
          </w:tcPr>
          <w:p w14:paraId="6DD85578" w14:textId="77777777" w:rsidR="008C5CFA" w:rsidRPr="008C04A5" w:rsidRDefault="00E82A60" w:rsidP="00300A01">
            <w:pPr>
              <w:spacing w:before="0" w:after="0"/>
              <w:jc w:val="right"/>
              <w:rPr>
                <w:sz w:val="12"/>
                <w:szCs w:val="12"/>
                <w:lang w:val="fr-BE"/>
              </w:rPr>
            </w:pPr>
            <w:r>
              <w:rPr>
                <w:noProof/>
                <w:sz w:val="12"/>
                <w:szCs w:val="12"/>
                <w:lang w:val="fr-BE"/>
              </w:rPr>
              <w:t>966,00</w:t>
            </w:r>
          </w:p>
        </w:tc>
        <w:tc>
          <w:tcPr>
            <w:tcW w:w="0" w:type="auto"/>
          </w:tcPr>
          <w:p w14:paraId="1F53C113" w14:textId="77777777" w:rsidR="008C5CFA" w:rsidRPr="008C04A5" w:rsidRDefault="00E82A60" w:rsidP="00300A01">
            <w:pPr>
              <w:spacing w:before="0" w:after="0"/>
              <w:jc w:val="right"/>
              <w:rPr>
                <w:sz w:val="12"/>
                <w:szCs w:val="12"/>
                <w:lang w:val="fr-BE"/>
              </w:rPr>
            </w:pPr>
            <w:r>
              <w:rPr>
                <w:noProof/>
                <w:sz w:val="12"/>
                <w:szCs w:val="12"/>
                <w:lang w:val="fr-BE"/>
              </w:rPr>
              <w:t>0,00</w:t>
            </w:r>
          </w:p>
        </w:tc>
        <w:tc>
          <w:tcPr>
            <w:tcW w:w="0" w:type="auto"/>
          </w:tcPr>
          <w:p w14:paraId="6B22BFB4" w14:textId="77777777" w:rsidR="008C5CFA" w:rsidRPr="008C04A5" w:rsidRDefault="00E82A60" w:rsidP="00300A01">
            <w:pPr>
              <w:spacing w:before="0" w:after="0"/>
              <w:jc w:val="right"/>
              <w:rPr>
                <w:sz w:val="12"/>
                <w:szCs w:val="12"/>
                <w:lang w:val="fr-BE"/>
              </w:rPr>
            </w:pPr>
            <w:r>
              <w:rPr>
                <w:noProof/>
                <w:sz w:val="12"/>
                <w:szCs w:val="12"/>
                <w:lang w:val="fr-BE"/>
              </w:rPr>
              <w:t>0,00</w:t>
            </w:r>
          </w:p>
        </w:tc>
      </w:tr>
      <w:tr w:rsidR="006B2EC1" w14:paraId="5545B436" w14:textId="77777777" w:rsidTr="0047688D">
        <w:tc>
          <w:tcPr>
            <w:tcW w:w="0" w:type="auto"/>
            <w:shd w:val="clear" w:color="auto" w:fill="auto"/>
          </w:tcPr>
          <w:p w14:paraId="2D6E6A74" w14:textId="77777777" w:rsidR="008C5CFA" w:rsidRPr="00D4605F" w:rsidRDefault="00E82A60" w:rsidP="00300A01">
            <w:pPr>
              <w:spacing w:before="0" w:after="0"/>
              <w:rPr>
                <w:sz w:val="12"/>
                <w:szCs w:val="12"/>
                <w:lang w:val="fr-BE"/>
              </w:rPr>
            </w:pPr>
            <w:r w:rsidRPr="00D4605F">
              <w:rPr>
                <w:noProof/>
                <w:sz w:val="12"/>
                <w:szCs w:val="12"/>
                <w:lang w:val="fr-BE"/>
              </w:rPr>
              <w:t>9</w:t>
            </w:r>
          </w:p>
        </w:tc>
        <w:tc>
          <w:tcPr>
            <w:tcW w:w="0" w:type="auto"/>
            <w:shd w:val="clear" w:color="auto" w:fill="auto"/>
          </w:tcPr>
          <w:p w14:paraId="7FF6AEEA" w14:textId="77777777" w:rsidR="008C5CFA" w:rsidRPr="00D4605F" w:rsidRDefault="00E82A60" w:rsidP="00300A01">
            <w:pPr>
              <w:spacing w:before="0" w:after="0"/>
              <w:rPr>
                <w:sz w:val="12"/>
                <w:szCs w:val="12"/>
                <w:lang w:val="fr-BE"/>
              </w:rPr>
            </w:pPr>
            <w:r w:rsidRPr="00D4605F">
              <w:rPr>
                <w:noProof/>
                <w:sz w:val="12"/>
                <w:szCs w:val="12"/>
                <w:lang w:val="fr-BE"/>
              </w:rPr>
              <w:t>F</w:t>
            </w:r>
          </w:p>
        </w:tc>
        <w:tc>
          <w:tcPr>
            <w:tcW w:w="0" w:type="auto"/>
            <w:shd w:val="clear" w:color="auto" w:fill="auto"/>
          </w:tcPr>
          <w:p w14:paraId="35A151DA" w14:textId="77777777" w:rsidR="008C5CFA" w:rsidRPr="00D4605F" w:rsidRDefault="00E82A60" w:rsidP="00300A01">
            <w:pPr>
              <w:spacing w:before="0" w:after="0"/>
              <w:rPr>
                <w:sz w:val="12"/>
                <w:szCs w:val="12"/>
                <w:lang w:val="fr-BE"/>
              </w:rPr>
            </w:pPr>
            <w:r w:rsidRPr="00D4605F">
              <w:rPr>
                <w:noProof/>
                <w:sz w:val="12"/>
                <w:szCs w:val="12"/>
                <w:lang w:val="fr-BE"/>
              </w:rPr>
              <w:t>001</w:t>
            </w:r>
          </w:p>
        </w:tc>
        <w:tc>
          <w:tcPr>
            <w:tcW w:w="0" w:type="auto"/>
            <w:shd w:val="clear" w:color="auto" w:fill="auto"/>
          </w:tcPr>
          <w:p w14:paraId="08CDE201" w14:textId="77777777" w:rsidR="008C5CFA" w:rsidRPr="00D4605F" w:rsidRDefault="00E82A60" w:rsidP="00300A01">
            <w:pPr>
              <w:spacing w:before="0" w:after="0"/>
              <w:rPr>
                <w:sz w:val="12"/>
                <w:szCs w:val="12"/>
                <w:lang w:val="fr-BE"/>
              </w:rPr>
            </w:pPr>
            <w:r w:rsidRPr="00D4605F">
              <w:rPr>
                <w:noProof/>
                <w:sz w:val="12"/>
                <w:szCs w:val="12"/>
                <w:lang w:val="fr-BE"/>
              </w:rPr>
              <w:t>Całkowita kwota certyfikowanych wydatków kwalifikowalnych</w:t>
            </w:r>
          </w:p>
        </w:tc>
        <w:tc>
          <w:tcPr>
            <w:tcW w:w="0" w:type="auto"/>
            <w:shd w:val="clear" w:color="auto" w:fill="auto"/>
          </w:tcPr>
          <w:p w14:paraId="5D63F09E" w14:textId="77777777" w:rsidR="008C5CFA" w:rsidRPr="00D4605F" w:rsidRDefault="00E82A60" w:rsidP="00300A01">
            <w:pPr>
              <w:spacing w:before="0" w:after="0"/>
              <w:rPr>
                <w:sz w:val="12"/>
                <w:szCs w:val="12"/>
                <w:lang w:val="fr-BE"/>
              </w:rPr>
            </w:pPr>
            <w:r w:rsidRPr="00D4605F">
              <w:rPr>
                <w:noProof/>
                <w:sz w:val="12"/>
                <w:szCs w:val="12"/>
                <w:lang w:val="fr-BE"/>
              </w:rPr>
              <w:t>EUR</w:t>
            </w:r>
          </w:p>
        </w:tc>
        <w:tc>
          <w:tcPr>
            <w:tcW w:w="0" w:type="auto"/>
            <w:shd w:val="clear" w:color="auto" w:fill="auto"/>
          </w:tcPr>
          <w:p w14:paraId="5E12B656" w14:textId="77777777" w:rsidR="008C5CFA" w:rsidRPr="00D4605F" w:rsidRDefault="00E82A60" w:rsidP="00300A01">
            <w:pPr>
              <w:spacing w:before="0" w:after="0"/>
              <w:rPr>
                <w:sz w:val="12"/>
                <w:szCs w:val="12"/>
                <w:lang w:val="fr-BE"/>
              </w:rPr>
            </w:pPr>
            <w:r w:rsidRPr="00D4605F">
              <w:rPr>
                <w:noProof/>
                <w:sz w:val="12"/>
                <w:szCs w:val="12"/>
                <w:lang w:val="fr-BE"/>
              </w:rPr>
              <w:t>EFS</w:t>
            </w:r>
          </w:p>
        </w:tc>
        <w:tc>
          <w:tcPr>
            <w:tcW w:w="0" w:type="auto"/>
          </w:tcPr>
          <w:p w14:paraId="0EE9F263" w14:textId="77777777" w:rsidR="008C5CFA" w:rsidRPr="00D4605F" w:rsidRDefault="00E82A60" w:rsidP="00300A01">
            <w:pPr>
              <w:spacing w:before="0" w:after="0"/>
              <w:rPr>
                <w:sz w:val="12"/>
                <w:szCs w:val="12"/>
                <w:lang w:val="fr-BE"/>
              </w:rPr>
            </w:pPr>
            <w:r w:rsidRPr="00D4605F">
              <w:rPr>
                <w:noProof/>
                <w:sz w:val="12"/>
                <w:szCs w:val="12"/>
                <w:lang w:val="fr-BE"/>
              </w:rPr>
              <w:t>Słabiej rozwinięte</w:t>
            </w:r>
          </w:p>
        </w:tc>
        <w:tc>
          <w:tcPr>
            <w:tcW w:w="0" w:type="auto"/>
          </w:tcPr>
          <w:p w14:paraId="40047E15" w14:textId="77777777" w:rsidR="008C5CFA" w:rsidRPr="00D4605F" w:rsidRDefault="00E82A60" w:rsidP="00136029">
            <w:pPr>
              <w:spacing w:before="0" w:after="0"/>
              <w:jc w:val="right"/>
              <w:rPr>
                <w:sz w:val="12"/>
                <w:szCs w:val="12"/>
                <w:lang w:val="fr-BE"/>
              </w:rPr>
            </w:pPr>
            <w:r>
              <w:rPr>
                <w:noProof/>
                <w:sz w:val="12"/>
                <w:szCs w:val="12"/>
                <w:lang w:val="fr-BE"/>
              </w:rPr>
              <w:t>25 908 361,54</w:t>
            </w:r>
          </w:p>
        </w:tc>
        <w:tc>
          <w:tcPr>
            <w:tcW w:w="0" w:type="auto"/>
          </w:tcPr>
          <w:p w14:paraId="0765B55D" w14:textId="77777777" w:rsidR="008C5CFA" w:rsidRPr="00D4605F" w:rsidRDefault="008C5CFA" w:rsidP="00300A01">
            <w:pPr>
              <w:spacing w:before="0" w:after="0"/>
              <w:jc w:val="right"/>
              <w:rPr>
                <w:sz w:val="12"/>
                <w:szCs w:val="12"/>
                <w:lang w:val="fr-BE"/>
              </w:rPr>
            </w:pPr>
          </w:p>
        </w:tc>
        <w:tc>
          <w:tcPr>
            <w:tcW w:w="0" w:type="auto"/>
          </w:tcPr>
          <w:p w14:paraId="63EB5A12" w14:textId="77777777" w:rsidR="008C5CFA" w:rsidRPr="00D4605F" w:rsidRDefault="008C5CFA" w:rsidP="00300A01">
            <w:pPr>
              <w:spacing w:before="0" w:after="0"/>
              <w:jc w:val="right"/>
              <w:rPr>
                <w:sz w:val="12"/>
                <w:szCs w:val="12"/>
                <w:lang w:val="fr-BE"/>
              </w:rPr>
            </w:pPr>
          </w:p>
        </w:tc>
        <w:tc>
          <w:tcPr>
            <w:tcW w:w="0" w:type="auto"/>
          </w:tcPr>
          <w:p w14:paraId="56EB4199" w14:textId="77777777" w:rsidR="008C5CFA" w:rsidRPr="008C04A5" w:rsidRDefault="008C5CFA" w:rsidP="00300A01">
            <w:pPr>
              <w:spacing w:before="0" w:after="0"/>
              <w:jc w:val="right"/>
              <w:rPr>
                <w:sz w:val="12"/>
                <w:szCs w:val="12"/>
                <w:lang w:val="fr-BE"/>
              </w:rPr>
            </w:pPr>
          </w:p>
        </w:tc>
        <w:tc>
          <w:tcPr>
            <w:tcW w:w="0" w:type="auto"/>
          </w:tcPr>
          <w:p w14:paraId="1A407B5A" w14:textId="77777777" w:rsidR="008C5CFA" w:rsidRPr="008C04A5" w:rsidRDefault="008C5CFA" w:rsidP="00300A01">
            <w:pPr>
              <w:spacing w:before="0" w:after="0"/>
              <w:jc w:val="right"/>
              <w:rPr>
                <w:sz w:val="12"/>
                <w:szCs w:val="12"/>
                <w:lang w:val="fr-BE"/>
              </w:rPr>
            </w:pPr>
          </w:p>
        </w:tc>
        <w:tc>
          <w:tcPr>
            <w:tcW w:w="0" w:type="auto"/>
          </w:tcPr>
          <w:p w14:paraId="36C8ED55" w14:textId="77777777" w:rsidR="008C5CFA" w:rsidRPr="008C04A5" w:rsidRDefault="008C5CFA" w:rsidP="00300A01">
            <w:pPr>
              <w:spacing w:before="0" w:after="0"/>
              <w:jc w:val="right"/>
              <w:rPr>
                <w:sz w:val="12"/>
                <w:szCs w:val="12"/>
                <w:lang w:val="fr-BE"/>
              </w:rPr>
            </w:pPr>
          </w:p>
        </w:tc>
      </w:tr>
      <w:tr w:rsidR="006B2EC1" w14:paraId="4BFA7A07" w14:textId="77777777" w:rsidTr="0047688D">
        <w:tc>
          <w:tcPr>
            <w:tcW w:w="0" w:type="auto"/>
            <w:shd w:val="clear" w:color="auto" w:fill="auto"/>
          </w:tcPr>
          <w:p w14:paraId="6E1F6FC1" w14:textId="77777777" w:rsidR="008C5CFA" w:rsidRPr="00D4605F" w:rsidRDefault="00E82A60" w:rsidP="00300A01">
            <w:pPr>
              <w:spacing w:before="0" w:after="0"/>
              <w:rPr>
                <w:sz w:val="12"/>
                <w:szCs w:val="12"/>
                <w:lang w:val="fr-BE"/>
              </w:rPr>
            </w:pPr>
            <w:r w:rsidRPr="00D4605F">
              <w:rPr>
                <w:noProof/>
                <w:sz w:val="12"/>
                <w:szCs w:val="12"/>
                <w:lang w:val="fr-BE"/>
              </w:rPr>
              <w:lastRenderedPageBreak/>
              <w:t>9</w:t>
            </w:r>
          </w:p>
        </w:tc>
        <w:tc>
          <w:tcPr>
            <w:tcW w:w="0" w:type="auto"/>
            <w:shd w:val="clear" w:color="auto" w:fill="auto"/>
          </w:tcPr>
          <w:p w14:paraId="470F2DC8" w14:textId="77777777" w:rsidR="008C5CFA" w:rsidRPr="00D4605F" w:rsidRDefault="00E82A60" w:rsidP="00300A01">
            <w:pPr>
              <w:spacing w:before="0" w:after="0"/>
              <w:rPr>
                <w:sz w:val="12"/>
                <w:szCs w:val="12"/>
                <w:lang w:val="fr-BE"/>
              </w:rPr>
            </w:pPr>
            <w:r w:rsidRPr="00D4605F">
              <w:rPr>
                <w:noProof/>
                <w:sz w:val="12"/>
                <w:szCs w:val="12"/>
                <w:lang w:val="fr-BE"/>
              </w:rPr>
              <w:t>O</w:t>
            </w:r>
          </w:p>
        </w:tc>
        <w:tc>
          <w:tcPr>
            <w:tcW w:w="0" w:type="auto"/>
            <w:shd w:val="clear" w:color="auto" w:fill="auto"/>
          </w:tcPr>
          <w:p w14:paraId="2C5C3670" w14:textId="77777777" w:rsidR="008C5CFA" w:rsidRPr="00D4605F" w:rsidRDefault="00E82A60" w:rsidP="00300A01">
            <w:pPr>
              <w:spacing w:before="0" w:after="0"/>
              <w:rPr>
                <w:sz w:val="12"/>
                <w:szCs w:val="12"/>
                <w:lang w:val="fr-BE"/>
              </w:rPr>
            </w:pPr>
            <w:r w:rsidRPr="00D4605F">
              <w:rPr>
                <w:noProof/>
                <w:sz w:val="12"/>
                <w:szCs w:val="12"/>
                <w:lang w:val="fr-BE"/>
              </w:rPr>
              <w:t>145</w:t>
            </w:r>
          </w:p>
        </w:tc>
        <w:tc>
          <w:tcPr>
            <w:tcW w:w="0" w:type="auto"/>
            <w:shd w:val="clear" w:color="auto" w:fill="auto"/>
          </w:tcPr>
          <w:p w14:paraId="68A125ED" w14:textId="77777777" w:rsidR="008C5CFA" w:rsidRPr="00D4605F" w:rsidRDefault="00E82A60" w:rsidP="00300A01">
            <w:pPr>
              <w:spacing w:before="0" w:after="0"/>
              <w:rPr>
                <w:sz w:val="12"/>
                <w:szCs w:val="12"/>
                <w:lang w:val="fr-BE"/>
              </w:rPr>
            </w:pPr>
            <w:r w:rsidRPr="00D4605F">
              <w:rPr>
                <w:noProof/>
                <w:sz w:val="12"/>
                <w:szCs w:val="12"/>
                <w:lang w:val="fr-BE"/>
              </w:rPr>
              <w:t>Liczba osób zagrożonych ubóstwem lub wykluczeniem społecznym objętych wsparciem.</w:t>
            </w:r>
          </w:p>
        </w:tc>
        <w:tc>
          <w:tcPr>
            <w:tcW w:w="0" w:type="auto"/>
            <w:shd w:val="clear" w:color="auto" w:fill="auto"/>
          </w:tcPr>
          <w:p w14:paraId="0938DAA1" w14:textId="77777777" w:rsidR="008C5CFA" w:rsidRPr="00D4605F" w:rsidRDefault="00E82A60" w:rsidP="00300A01">
            <w:pPr>
              <w:spacing w:before="0" w:after="0"/>
              <w:rPr>
                <w:sz w:val="12"/>
                <w:szCs w:val="12"/>
                <w:lang w:val="fr-BE"/>
              </w:rPr>
            </w:pPr>
            <w:r w:rsidRPr="00D4605F">
              <w:rPr>
                <w:noProof/>
                <w:sz w:val="12"/>
                <w:szCs w:val="12"/>
                <w:lang w:val="fr-BE"/>
              </w:rPr>
              <w:t>osoba</w:t>
            </w:r>
          </w:p>
        </w:tc>
        <w:tc>
          <w:tcPr>
            <w:tcW w:w="0" w:type="auto"/>
            <w:shd w:val="clear" w:color="auto" w:fill="auto"/>
          </w:tcPr>
          <w:p w14:paraId="65280AAF" w14:textId="77777777" w:rsidR="008C5CFA" w:rsidRPr="00D4605F" w:rsidRDefault="00E82A60" w:rsidP="00300A01">
            <w:pPr>
              <w:spacing w:before="0" w:after="0"/>
              <w:rPr>
                <w:sz w:val="12"/>
                <w:szCs w:val="12"/>
                <w:lang w:val="fr-BE"/>
              </w:rPr>
            </w:pPr>
            <w:r w:rsidRPr="00D4605F">
              <w:rPr>
                <w:noProof/>
                <w:sz w:val="12"/>
                <w:szCs w:val="12"/>
                <w:lang w:val="fr-BE"/>
              </w:rPr>
              <w:t>EFS</w:t>
            </w:r>
          </w:p>
        </w:tc>
        <w:tc>
          <w:tcPr>
            <w:tcW w:w="0" w:type="auto"/>
          </w:tcPr>
          <w:p w14:paraId="4C2EBE41" w14:textId="77777777" w:rsidR="008C5CFA" w:rsidRPr="00D4605F" w:rsidRDefault="00E82A60" w:rsidP="00300A01">
            <w:pPr>
              <w:spacing w:before="0" w:after="0"/>
              <w:rPr>
                <w:sz w:val="12"/>
                <w:szCs w:val="12"/>
                <w:lang w:val="fr-BE"/>
              </w:rPr>
            </w:pPr>
            <w:r w:rsidRPr="00D4605F">
              <w:rPr>
                <w:noProof/>
                <w:sz w:val="12"/>
                <w:szCs w:val="12"/>
                <w:lang w:val="fr-BE"/>
              </w:rPr>
              <w:t>Słabiej rozwinięte</w:t>
            </w:r>
          </w:p>
        </w:tc>
        <w:tc>
          <w:tcPr>
            <w:tcW w:w="0" w:type="auto"/>
          </w:tcPr>
          <w:p w14:paraId="3845A5EC" w14:textId="77777777" w:rsidR="008C5CFA" w:rsidRPr="00D4605F" w:rsidRDefault="00E82A60" w:rsidP="00136029">
            <w:pPr>
              <w:spacing w:before="0" w:after="0"/>
              <w:jc w:val="right"/>
              <w:rPr>
                <w:sz w:val="12"/>
                <w:szCs w:val="12"/>
                <w:lang w:val="fr-BE"/>
              </w:rPr>
            </w:pPr>
            <w:r>
              <w:rPr>
                <w:noProof/>
                <w:sz w:val="12"/>
                <w:szCs w:val="12"/>
                <w:lang w:val="fr-BE"/>
              </w:rPr>
              <w:t>15 442,00</w:t>
            </w:r>
          </w:p>
        </w:tc>
        <w:tc>
          <w:tcPr>
            <w:tcW w:w="0" w:type="auto"/>
          </w:tcPr>
          <w:p w14:paraId="62FB0E32" w14:textId="77777777" w:rsidR="008C5CFA" w:rsidRPr="00D4605F" w:rsidRDefault="00E82A60" w:rsidP="00300A01">
            <w:pPr>
              <w:spacing w:before="0" w:after="0"/>
              <w:jc w:val="right"/>
              <w:rPr>
                <w:sz w:val="12"/>
                <w:szCs w:val="12"/>
                <w:lang w:val="fr-BE"/>
              </w:rPr>
            </w:pPr>
            <w:r>
              <w:rPr>
                <w:noProof/>
                <w:sz w:val="12"/>
                <w:szCs w:val="12"/>
                <w:lang w:val="fr-BE"/>
              </w:rPr>
              <w:t>0,00</w:t>
            </w:r>
          </w:p>
        </w:tc>
        <w:tc>
          <w:tcPr>
            <w:tcW w:w="0" w:type="auto"/>
          </w:tcPr>
          <w:p w14:paraId="545C8E99" w14:textId="77777777" w:rsidR="008C5CFA" w:rsidRPr="00D4605F" w:rsidRDefault="00E82A60" w:rsidP="00300A01">
            <w:pPr>
              <w:spacing w:before="0" w:after="0"/>
              <w:jc w:val="right"/>
              <w:rPr>
                <w:sz w:val="12"/>
                <w:szCs w:val="12"/>
                <w:lang w:val="fr-BE"/>
              </w:rPr>
            </w:pPr>
            <w:r>
              <w:rPr>
                <w:noProof/>
                <w:sz w:val="12"/>
                <w:szCs w:val="12"/>
                <w:lang w:val="fr-BE"/>
              </w:rPr>
              <w:t>0,00</w:t>
            </w:r>
          </w:p>
        </w:tc>
        <w:tc>
          <w:tcPr>
            <w:tcW w:w="0" w:type="auto"/>
          </w:tcPr>
          <w:p w14:paraId="7DD755C6" w14:textId="77777777" w:rsidR="008C5CFA" w:rsidRPr="008C04A5" w:rsidRDefault="00E82A60" w:rsidP="00300A01">
            <w:pPr>
              <w:spacing w:before="0" w:after="0"/>
              <w:jc w:val="right"/>
              <w:rPr>
                <w:sz w:val="12"/>
                <w:szCs w:val="12"/>
                <w:lang w:val="fr-BE"/>
              </w:rPr>
            </w:pPr>
            <w:r>
              <w:rPr>
                <w:noProof/>
                <w:sz w:val="12"/>
                <w:szCs w:val="12"/>
                <w:lang w:val="fr-BE"/>
              </w:rPr>
              <w:t>5 852,00</w:t>
            </w:r>
          </w:p>
        </w:tc>
        <w:tc>
          <w:tcPr>
            <w:tcW w:w="0" w:type="auto"/>
          </w:tcPr>
          <w:p w14:paraId="49029719" w14:textId="77777777" w:rsidR="008C5CFA" w:rsidRPr="008C04A5" w:rsidRDefault="00E82A60" w:rsidP="00300A01">
            <w:pPr>
              <w:spacing w:before="0" w:after="0"/>
              <w:jc w:val="right"/>
              <w:rPr>
                <w:sz w:val="12"/>
                <w:szCs w:val="12"/>
                <w:lang w:val="fr-BE"/>
              </w:rPr>
            </w:pPr>
            <w:r>
              <w:rPr>
                <w:noProof/>
                <w:sz w:val="12"/>
                <w:szCs w:val="12"/>
                <w:lang w:val="fr-BE"/>
              </w:rPr>
              <w:t>0,00</w:t>
            </w:r>
          </w:p>
        </w:tc>
        <w:tc>
          <w:tcPr>
            <w:tcW w:w="0" w:type="auto"/>
          </w:tcPr>
          <w:p w14:paraId="036B71D4" w14:textId="77777777" w:rsidR="008C5CFA" w:rsidRPr="008C04A5" w:rsidRDefault="00E82A60" w:rsidP="00300A01">
            <w:pPr>
              <w:spacing w:before="0" w:after="0"/>
              <w:jc w:val="right"/>
              <w:rPr>
                <w:sz w:val="12"/>
                <w:szCs w:val="12"/>
                <w:lang w:val="fr-BE"/>
              </w:rPr>
            </w:pPr>
            <w:r>
              <w:rPr>
                <w:noProof/>
                <w:sz w:val="12"/>
                <w:szCs w:val="12"/>
                <w:lang w:val="fr-BE"/>
              </w:rPr>
              <w:t>0,00</w:t>
            </w:r>
          </w:p>
        </w:tc>
      </w:tr>
    </w:tbl>
    <w:p w14:paraId="6328383B"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30"/>
        <w:gridCol w:w="999"/>
        <w:gridCol w:w="1253"/>
        <w:gridCol w:w="5807"/>
        <w:gridCol w:w="930"/>
        <w:gridCol w:w="555"/>
        <w:gridCol w:w="996"/>
        <w:gridCol w:w="1091"/>
        <w:gridCol w:w="1091"/>
        <w:gridCol w:w="1091"/>
        <w:gridCol w:w="441"/>
      </w:tblGrid>
      <w:tr w:rsidR="006B2EC1" w14:paraId="70EA2EB3" w14:textId="77777777" w:rsidTr="0047688D">
        <w:trPr>
          <w:tblHeader/>
        </w:trPr>
        <w:tc>
          <w:tcPr>
            <w:tcW w:w="0" w:type="auto"/>
            <w:shd w:val="clear" w:color="auto" w:fill="auto"/>
          </w:tcPr>
          <w:p w14:paraId="19021989" w14:textId="77777777" w:rsidR="008C5CFA" w:rsidRPr="00696324" w:rsidRDefault="00E82A60" w:rsidP="00300A01">
            <w:pPr>
              <w:spacing w:before="0" w:after="0"/>
              <w:rPr>
                <w:b/>
                <w:sz w:val="12"/>
                <w:szCs w:val="12"/>
                <w:lang w:val="fr-BE"/>
              </w:rPr>
            </w:pPr>
            <w:r w:rsidRPr="00696324">
              <w:rPr>
                <w:b/>
                <w:noProof/>
                <w:sz w:val="12"/>
                <w:szCs w:val="12"/>
                <w:lang w:val="fr-BE"/>
              </w:rPr>
              <w:t>Oś priorytetowa</w:t>
            </w:r>
          </w:p>
        </w:tc>
        <w:tc>
          <w:tcPr>
            <w:tcW w:w="0" w:type="auto"/>
            <w:shd w:val="clear" w:color="auto" w:fill="auto"/>
          </w:tcPr>
          <w:p w14:paraId="009A580B" w14:textId="77777777" w:rsidR="008C5CFA" w:rsidRPr="00696324" w:rsidRDefault="00E82A60" w:rsidP="00300A01">
            <w:pPr>
              <w:spacing w:before="0" w:after="0"/>
              <w:rPr>
                <w:b/>
                <w:sz w:val="12"/>
                <w:szCs w:val="12"/>
                <w:lang w:val="fr-BE"/>
              </w:rPr>
            </w:pPr>
            <w:r w:rsidRPr="00696324">
              <w:rPr>
                <w:b/>
                <w:noProof/>
                <w:sz w:val="12"/>
                <w:szCs w:val="12"/>
                <w:lang w:val="fr-BE"/>
              </w:rPr>
              <w:t>Rodzaj wskaźnika</w:t>
            </w:r>
          </w:p>
        </w:tc>
        <w:tc>
          <w:tcPr>
            <w:tcW w:w="0" w:type="auto"/>
          </w:tcPr>
          <w:p w14:paraId="3C30451C" w14:textId="77777777" w:rsidR="008C5CFA" w:rsidRPr="00696324" w:rsidRDefault="00E82A60" w:rsidP="00300A01">
            <w:pPr>
              <w:spacing w:before="0" w:after="0"/>
              <w:rPr>
                <w:b/>
                <w:sz w:val="12"/>
                <w:szCs w:val="12"/>
                <w:lang w:val="fr-BE"/>
              </w:rPr>
            </w:pPr>
            <w:r w:rsidRPr="00696324">
              <w:rPr>
                <w:b/>
                <w:noProof/>
                <w:sz w:val="12"/>
                <w:szCs w:val="12"/>
                <w:lang w:val="fr-BE"/>
              </w:rPr>
              <w:t>Numer identyfikacyjny</w:t>
            </w:r>
          </w:p>
        </w:tc>
        <w:tc>
          <w:tcPr>
            <w:tcW w:w="0" w:type="auto"/>
          </w:tcPr>
          <w:p w14:paraId="22D815F9" w14:textId="77777777" w:rsidR="008C5CFA" w:rsidRPr="00696324" w:rsidRDefault="00E82A60" w:rsidP="00300A01">
            <w:pPr>
              <w:spacing w:before="0" w:after="0"/>
              <w:rPr>
                <w:b/>
                <w:sz w:val="12"/>
                <w:szCs w:val="12"/>
                <w:lang w:val="fr-BE"/>
              </w:rPr>
            </w:pPr>
            <w:r w:rsidRPr="00696324">
              <w:rPr>
                <w:b/>
                <w:noProof/>
                <w:sz w:val="12"/>
                <w:szCs w:val="12"/>
                <w:lang w:val="fr-BE"/>
              </w:rPr>
              <w:t>Wskaźnik</w:t>
            </w:r>
          </w:p>
        </w:tc>
        <w:tc>
          <w:tcPr>
            <w:tcW w:w="0" w:type="auto"/>
          </w:tcPr>
          <w:p w14:paraId="56CFA562" w14:textId="77777777" w:rsidR="008C5CFA" w:rsidRPr="00696324" w:rsidRDefault="00E82A60" w:rsidP="00300A01">
            <w:pPr>
              <w:spacing w:before="0" w:after="0"/>
              <w:rPr>
                <w:b/>
                <w:sz w:val="12"/>
                <w:szCs w:val="12"/>
                <w:lang w:val="fr-BE"/>
              </w:rPr>
            </w:pPr>
            <w:r w:rsidRPr="00696324">
              <w:rPr>
                <w:b/>
                <w:noProof/>
                <w:sz w:val="12"/>
                <w:szCs w:val="12"/>
                <w:lang w:val="fr-BE"/>
              </w:rPr>
              <w:t>Jednostka miary</w:t>
            </w:r>
          </w:p>
        </w:tc>
        <w:tc>
          <w:tcPr>
            <w:tcW w:w="0" w:type="auto"/>
          </w:tcPr>
          <w:p w14:paraId="770875B8" w14:textId="77777777" w:rsidR="008C5CFA" w:rsidRPr="00696324" w:rsidRDefault="00E82A60" w:rsidP="00300A01">
            <w:pPr>
              <w:spacing w:before="0" w:after="0"/>
              <w:jc w:val="center"/>
              <w:rPr>
                <w:b/>
                <w:sz w:val="12"/>
                <w:szCs w:val="12"/>
                <w:lang w:val="fr-BE"/>
              </w:rPr>
            </w:pPr>
            <w:r w:rsidRPr="00D4605F">
              <w:rPr>
                <w:b/>
                <w:noProof/>
                <w:sz w:val="12"/>
                <w:szCs w:val="12"/>
                <w:lang w:val="fr-BE"/>
              </w:rPr>
              <w:t>Fundusz</w:t>
            </w:r>
          </w:p>
        </w:tc>
        <w:tc>
          <w:tcPr>
            <w:tcW w:w="0" w:type="auto"/>
          </w:tcPr>
          <w:p w14:paraId="1A98FADF" w14:textId="77777777" w:rsidR="008C5CFA" w:rsidRPr="00696324" w:rsidRDefault="00E82A60" w:rsidP="00300A01">
            <w:pPr>
              <w:spacing w:before="0" w:after="0"/>
              <w:jc w:val="center"/>
              <w:rPr>
                <w:b/>
                <w:sz w:val="12"/>
                <w:szCs w:val="12"/>
                <w:lang w:val="fr-BE"/>
              </w:rPr>
            </w:pPr>
            <w:r w:rsidRPr="00D4605F">
              <w:rPr>
                <w:b/>
                <w:noProof/>
                <w:sz w:val="12"/>
                <w:szCs w:val="12"/>
                <w:lang w:val="fr-BE"/>
              </w:rPr>
              <w:t>Kategoria regionu</w:t>
            </w:r>
          </w:p>
        </w:tc>
        <w:tc>
          <w:tcPr>
            <w:tcW w:w="0" w:type="auto"/>
            <w:shd w:val="clear" w:color="auto" w:fill="auto"/>
          </w:tcPr>
          <w:p w14:paraId="79DD0D8E" w14:textId="77777777" w:rsidR="008C5CFA" w:rsidRPr="00696324" w:rsidRDefault="00E82A60" w:rsidP="00300A01">
            <w:pPr>
              <w:spacing w:before="0" w:after="0"/>
              <w:jc w:val="center"/>
              <w:rPr>
                <w:b/>
                <w:sz w:val="12"/>
                <w:szCs w:val="12"/>
                <w:lang w:val="fr-BE"/>
              </w:rPr>
            </w:pPr>
            <w:r w:rsidRPr="00696324">
              <w:rPr>
                <w:b/>
                <w:sz w:val="12"/>
                <w:szCs w:val="12"/>
                <w:lang w:val="fr-BE"/>
              </w:rPr>
              <w:t>201</w:t>
            </w:r>
            <w:r>
              <w:rPr>
                <w:b/>
                <w:sz w:val="12"/>
                <w:szCs w:val="12"/>
                <w:lang w:val="fr-BE"/>
              </w:rPr>
              <w:t>8</w:t>
            </w:r>
            <w:r w:rsidRPr="00696324">
              <w:rPr>
                <w:b/>
                <w:sz w:val="12"/>
                <w:szCs w:val="12"/>
                <w:lang w:val="fr-BE"/>
              </w:rPr>
              <w:t xml:space="preserve"> </w:t>
            </w:r>
            <w:r w:rsidRPr="00D4605F">
              <w:rPr>
                <w:b/>
                <w:noProof/>
                <w:sz w:val="12"/>
                <w:szCs w:val="12"/>
                <w:lang w:val="fr-BE"/>
              </w:rPr>
              <w:t>Ogółem razem</w:t>
            </w:r>
          </w:p>
        </w:tc>
        <w:tc>
          <w:tcPr>
            <w:tcW w:w="0" w:type="auto"/>
          </w:tcPr>
          <w:p w14:paraId="305E0AE8" w14:textId="77777777" w:rsidR="008C5CFA" w:rsidRPr="00696324" w:rsidRDefault="00E82A60" w:rsidP="00300A01">
            <w:pPr>
              <w:spacing w:before="0" w:after="0"/>
              <w:jc w:val="center"/>
              <w:rPr>
                <w:b/>
                <w:sz w:val="12"/>
                <w:szCs w:val="12"/>
                <w:lang w:val="fr-BE"/>
              </w:rPr>
            </w:pPr>
            <w:r w:rsidRPr="00696324">
              <w:rPr>
                <w:b/>
                <w:sz w:val="12"/>
                <w:szCs w:val="12"/>
                <w:lang w:val="fr-BE"/>
              </w:rPr>
              <w:t>201</w:t>
            </w:r>
            <w:r>
              <w:rPr>
                <w:b/>
                <w:sz w:val="12"/>
                <w:szCs w:val="12"/>
                <w:lang w:val="fr-BE"/>
              </w:rPr>
              <w:t>7</w:t>
            </w:r>
            <w:r w:rsidRPr="00696324">
              <w:rPr>
                <w:b/>
                <w:sz w:val="12"/>
                <w:szCs w:val="12"/>
                <w:lang w:val="fr-BE"/>
              </w:rPr>
              <w:t xml:space="preserve"> </w:t>
            </w:r>
            <w:r w:rsidRPr="00D4605F">
              <w:rPr>
                <w:b/>
                <w:noProof/>
                <w:sz w:val="12"/>
                <w:szCs w:val="12"/>
                <w:lang w:val="fr-BE"/>
              </w:rPr>
              <w:t>Ogółem razem</w:t>
            </w:r>
          </w:p>
        </w:tc>
        <w:tc>
          <w:tcPr>
            <w:tcW w:w="0" w:type="auto"/>
          </w:tcPr>
          <w:p w14:paraId="22D525BF" w14:textId="77777777" w:rsidR="008C5CFA" w:rsidRPr="00696324" w:rsidRDefault="00E82A60" w:rsidP="00300A01">
            <w:pPr>
              <w:spacing w:before="0" w:after="0"/>
              <w:jc w:val="center"/>
              <w:rPr>
                <w:b/>
                <w:sz w:val="12"/>
                <w:szCs w:val="12"/>
                <w:lang w:val="fr-BE"/>
              </w:rPr>
            </w:pPr>
            <w:r w:rsidRPr="00696324">
              <w:rPr>
                <w:b/>
                <w:sz w:val="12"/>
                <w:szCs w:val="12"/>
                <w:lang w:val="fr-BE"/>
              </w:rPr>
              <w:t>201</w:t>
            </w:r>
            <w:r>
              <w:rPr>
                <w:b/>
                <w:sz w:val="12"/>
                <w:szCs w:val="12"/>
                <w:lang w:val="fr-BE"/>
              </w:rPr>
              <w:t>6</w:t>
            </w:r>
            <w:r w:rsidRPr="00696324">
              <w:rPr>
                <w:b/>
                <w:sz w:val="12"/>
                <w:szCs w:val="12"/>
                <w:lang w:val="fr-BE"/>
              </w:rPr>
              <w:t xml:space="preserve"> </w:t>
            </w:r>
            <w:r w:rsidRPr="00D4605F">
              <w:rPr>
                <w:b/>
                <w:noProof/>
                <w:sz w:val="12"/>
                <w:szCs w:val="12"/>
                <w:lang w:val="fr-BE"/>
              </w:rPr>
              <w:t>Ogółem razem</w:t>
            </w:r>
          </w:p>
        </w:tc>
        <w:tc>
          <w:tcPr>
            <w:tcW w:w="0" w:type="auto"/>
            <w:shd w:val="clear" w:color="auto" w:fill="auto"/>
          </w:tcPr>
          <w:p w14:paraId="6615E474" w14:textId="77777777" w:rsidR="008C5CFA" w:rsidRPr="00696324" w:rsidRDefault="00E82A60" w:rsidP="00300A01">
            <w:pPr>
              <w:spacing w:before="0" w:after="0"/>
              <w:jc w:val="center"/>
              <w:rPr>
                <w:b/>
                <w:sz w:val="12"/>
                <w:szCs w:val="12"/>
                <w:lang w:val="fr-BE"/>
              </w:rPr>
            </w:pPr>
            <w:r>
              <w:rPr>
                <w:b/>
                <w:noProof/>
                <w:sz w:val="12"/>
                <w:szCs w:val="12"/>
                <w:lang w:val="fr-BE"/>
              </w:rPr>
              <w:t>Uwagi</w:t>
            </w:r>
          </w:p>
        </w:tc>
      </w:tr>
      <w:tr w:rsidR="006B2EC1" w14:paraId="6D3036A2" w14:textId="77777777" w:rsidTr="0047688D">
        <w:tc>
          <w:tcPr>
            <w:tcW w:w="0" w:type="auto"/>
            <w:shd w:val="clear" w:color="auto" w:fill="auto"/>
          </w:tcPr>
          <w:p w14:paraId="630E6CD4" w14:textId="77777777" w:rsidR="008C5CFA" w:rsidRPr="00696324" w:rsidRDefault="00E82A60" w:rsidP="00300A01">
            <w:pPr>
              <w:spacing w:before="0" w:after="0"/>
              <w:rPr>
                <w:sz w:val="12"/>
                <w:szCs w:val="12"/>
                <w:lang w:val="fr-BE"/>
              </w:rPr>
            </w:pPr>
            <w:r w:rsidRPr="00696324">
              <w:rPr>
                <w:noProof/>
                <w:sz w:val="12"/>
                <w:szCs w:val="12"/>
                <w:lang w:val="fr-BE"/>
              </w:rPr>
              <w:t>1</w:t>
            </w:r>
          </w:p>
        </w:tc>
        <w:tc>
          <w:tcPr>
            <w:tcW w:w="0" w:type="auto"/>
            <w:shd w:val="clear" w:color="auto" w:fill="auto"/>
          </w:tcPr>
          <w:p w14:paraId="3B71FF1F" w14:textId="77777777" w:rsidR="008C5CFA" w:rsidRPr="00696324" w:rsidRDefault="00E82A60" w:rsidP="00300A01">
            <w:pPr>
              <w:spacing w:before="0" w:after="0"/>
              <w:rPr>
                <w:sz w:val="12"/>
                <w:szCs w:val="12"/>
                <w:lang w:val="fr-BE"/>
              </w:rPr>
            </w:pPr>
            <w:r w:rsidRPr="00696324">
              <w:rPr>
                <w:noProof/>
                <w:sz w:val="12"/>
                <w:szCs w:val="12"/>
                <w:lang w:val="fr-BE"/>
              </w:rPr>
              <w:t>F</w:t>
            </w:r>
          </w:p>
        </w:tc>
        <w:tc>
          <w:tcPr>
            <w:tcW w:w="0" w:type="auto"/>
          </w:tcPr>
          <w:p w14:paraId="1F5516A4" w14:textId="77777777" w:rsidR="008C5CFA" w:rsidRPr="00696324" w:rsidRDefault="00E82A60" w:rsidP="00300A01">
            <w:pPr>
              <w:spacing w:before="0" w:after="0"/>
              <w:rPr>
                <w:sz w:val="12"/>
                <w:szCs w:val="12"/>
                <w:lang w:val="fr-BE"/>
              </w:rPr>
            </w:pPr>
            <w:r w:rsidRPr="00696324">
              <w:rPr>
                <w:noProof/>
                <w:sz w:val="12"/>
                <w:szCs w:val="12"/>
                <w:lang w:val="fr-BE"/>
              </w:rPr>
              <w:t>001</w:t>
            </w:r>
          </w:p>
        </w:tc>
        <w:tc>
          <w:tcPr>
            <w:tcW w:w="0" w:type="auto"/>
          </w:tcPr>
          <w:p w14:paraId="1E5244E8" w14:textId="77777777" w:rsidR="008C5CFA" w:rsidRPr="00696324" w:rsidRDefault="00E82A60" w:rsidP="00300A01">
            <w:pPr>
              <w:spacing w:before="0" w:after="0"/>
              <w:rPr>
                <w:sz w:val="12"/>
                <w:szCs w:val="12"/>
                <w:lang w:val="fr-BE"/>
              </w:rPr>
            </w:pPr>
            <w:r w:rsidRPr="00696324">
              <w:rPr>
                <w:noProof/>
                <w:sz w:val="12"/>
                <w:szCs w:val="12"/>
                <w:lang w:val="fr-BE"/>
              </w:rPr>
              <w:t>Całkowita kwota certyfikowanych wydatków kwalifikowalnych</w:t>
            </w:r>
          </w:p>
        </w:tc>
        <w:tc>
          <w:tcPr>
            <w:tcW w:w="0" w:type="auto"/>
          </w:tcPr>
          <w:p w14:paraId="552A3C04" w14:textId="77777777" w:rsidR="008C5CFA" w:rsidRPr="00696324" w:rsidRDefault="00E82A60" w:rsidP="00300A01">
            <w:pPr>
              <w:spacing w:before="0" w:after="0"/>
              <w:rPr>
                <w:sz w:val="12"/>
                <w:szCs w:val="12"/>
                <w:lang w:val="fr-BE"/>
              </w:rPr>
            </w:pPr>
            <w:r w:rsidRPr="00696324">
              <w:rPr>
                <w:noProof/>
                <w:sz w:val="12"/>
                <w:szCs w:val="12"/>
                <w:lang w:val="fr-BE"/>
              </w:rPr>
              <w:t>EUR</w:t>
            </w:r>
          </w:p>
        </w:tc>
        <w:tc>
          <w:tcPr>
            <w:tcW w:w="0" w:type="auto"/>
          </w:tcPr>
          <w:p w14:paraId="504D4716" w14:textId="77777777" w:rsidR="008C5CFA" w:rsidRPr="00696324" w:rsidRDefault="00E82A60" w:rsidP="00300A01">
            <w:pPr>
              <w:spacing w:before="0" w:after="0"/>
              <w:rPr>
                <w:sz w:val="12"/>
                <w:szCs w:val="12"/>
                <w:lang w:val="fr-BE"/>
              </w:rPr>
            </w:pPr>
            <w:r w:rsidRPr="00D4605F">
              <w:rPr>
                <w:noProof/>
                <w:sz w:val="12"/>
                <w:szCs w:val="12"/>
                <w:lang w:val="fr-BE"/>
              </w:rPr>
              <w:t>EFRR</w:t>
            </w:r>
          </w:p>
        </w:tc>
        <w:tc>
          <w:tcPr>
            <w:tcW w:w="0" w:type="auto"/>
          </w:tcPr>
          <w:p w14:paraId="3FACE478" w14:textId="77777777" w:rsidR="008C5CFA" w:rsidRPr="00696324" w:rsidRDefault="00E82A60" w:rsidP="00300A01">
            <w:pPr>
              <w:spacing w:before="0" w:after="0"/>
              <w:rPr>
                <w:sz w:val="12"/>
                <w:szCs w:val="12"/>
                <w:lang w:val="fr-BE"/>
              </w:rPr>
            </w:pPr>
            <w:r w:rsidRPr="00D4605F">
              <w:rPr>
                <w:noProof/>
                <w:sz w:val="12"/>
                <w:szCs w:val="12"/>
                <w:lang w:val="fr-BE"/>
              </w:rPr>
              <w:t>Słabiej rozwinięte</w:t>
            </w:r>
          </w:p>
        </w:tc>
        <w:tc>
          <w:tcPr>
            <w:tcW w:w="0" w:type="auto"/>
            <w:shd w:val="clear" w:color="auto" w:fill="auto"/>
          </w:tcPr>
          <w:p w14:paraId="66C5A263" w14:textId="77777777" w:rsidR="008C5CFA" w:rsidRPr="00696324" w:rsidRDefault="00E82A60" w:rsidP="00136029">
            <w:pPr>
              <w:spacing w:before="0" w:after="0"/>
              <w:jc w:val="right"/>
              <w:rPr>
                <w:sz w:val="12"/>
                <w:szCs w:val="12"/>
                <w:lang w:val="fr-BE"/>
              </w:rPr>
            </w:pPr>
            <w:r w:rsidRPr="00696324">
              <w:rPr>
                <w:noProof/>
                <w:sz w:val="12"/>
                <w:szCs w:val="12"/>
                <w:lang w:val="fr-BE"/>
              </w:rPr>
              <w:t>7 115 912,13</w:t>
            </w:r>
          </w:p>
        </w:tc>
        <w:tc>
          <w:tcPr>
            <w:tcW w:w="0" w:type="auto"/>
          </w:tcPr>
          <w:p w14:paraId="46F3A527" w14:textId="77777777" w:rsidR="008C5CFA" w:rsidRPr="00696324" w:rsidRDefault="00E82A60" w:rsidP="00136029">
            <w:pPr>
              <w:spacing w:before="0" w:after="0"/>
              <w:jc w:val="right"/>
              <w:rPr>
                <w:sz w:val="12"/>
                <w:szCs w:val="12"/>
                <w:lang w:val="fr-BE"/>
              </w:rPr>
            </w:pPr>
            <w:r w:rsidRPr="00696324">
              <w:rPr>
                <w:noProof/>
                <w:sz w:val="12"/>
                <w:szCs w:val="12"/>
                <w:lang w:val="fr-BE"/>
              </w:rPr>
              <w:t>719 871,63</w:t>
            </w:r>
          </w:p>
        </w:tc>
        <w:tc>
          <w:tcPr>
            <w:tcW w:w="0" w:type="auto"/>
          </w:tcPr>
          <w:p w14:paraId="0C13A64F" w14:textId="77777777" w:rsidR="008C5CFA" w:rsidRPr="00696324" w:rsidRDefault="00E82A60" w:rsidP="00136029">
            <w:pPr>
              <w:spacing w:before="0" w:after="0"/>
              <w:jc w:val="right"/>
              <w:rPr>
                <w:sz w:val="12"/>
                <w:szCs w:val="12"/>
                <w:lang w:val="fr-BE"/>
              </w:rPr>
            </w:pPr>
            <w:r w:rsidRPr="00696324">
              <w:rPr>
                <w:noProof/>
                <w:sz w:val="12"/>
                <w:szCs w:val="12"/>
                <w:lang w:val="fr-BE"/>
              </w:rPr>
              <w:t>0,00</w:t>
            </w:r>
          </w:p>
        </w:tc>
        <w:tc>
          <w:tcPr>
            <w:tcW w:w="0" w:type="auto"/>
            <w:shd w:val="clear" w:color="auto" w:fill="auto"/>
          </w:tcPr>
          <w:p w14:paraId="68DFCFB5" w14:textId="77777777" w:rsidR="008C5CFA" w:rsidRPr="00696324" w:rsidRDefault="008C5CFA" w:rsidP="00300A01">
            <w:pPr>
              <w:spacing w:before="0" w:after="0"/>
              <w:rPr>
                <w:sz w:val="12"/>
                <w:szCs w:val="12"/>
                <w:lang w:val="fr-BE"/>
              </w:rPr>
            </w:pPr>
          </w:p>
        </w:tc>
      </w:tr>
      <w:tr w:rsidR="006B2EC1" w14:paraId="34DE2808" w14:textId="77777777" w:rsidTr="0047688D">
        <w:tc>
          <w:tcPr>
            <w:tcW w:w="0" w:type="auto"/>
            <w:shd w:val="clear" w:color="auto" w:fill="auto"/>
          </w:tcPr>
          <w:p w14:paraId="6DACC38F" w14:textId="77777777" w:rsidR="008C5CFA" w:rsidRPr="00696324" w:rsidRDefault="00E82A60" w:rsidP="00300A01">
            <w:pPr>
              <w:spacing w:before="0" w:after="0"/>
              <w:rPr>
                <w:sz w:val="12"/>
                <w:szCs w:val="12"/>
                <w:lang w:val="fr-BE"/>
              </w:rPr>
            </w:pPr>
            <w:r w:rsidRPr="00696324">
              <w:rPr>
                <w:noProof/>
                <w:sz w:val="12"/>
                <w:szCs w:val="12"/>
                <w:lang w:val="fr-BE"/>
              </w:rPr>
              <w:t>1</w:t>
            </w:r>
          </w:p>
        </w:tc>
        <w:tc>
          <w:tcPr>
            <w:tcW w:w="0" w:type="auto"/>
            <w:shd w:val="clear" w:color="auto" w:fill="auto"/>
          </w:tcPr>
          <w:p w14:paraId="17D73592" w14:textId="77777777" w:rsidR="008C5CFA" w:rsidRPr="00696324" w:rsidRDefault="00E82A60" w:rsidP="00300A01">
            <w:pPr>
              <w:spacing w:before="0" w:after="0"/>
              <w:rPr>
                <w:sz w:val="12"/>
                <w:szCs w:val="12"/>
                <w:lang w:val="fr-BE"/>
              </w:rPr>
            </w:pPr>
            <w:r w:rsidRPr="00696324">
              <w:rPr>
                <w:noProof/>
                <w:sz w:val="12"/>
                <w:szCs w:val="12"/>
                <w:lang w:val="fr-BE"/>
              </w:rPr>
              <w:t>I</w:t>
            </w:r>
          </w:p>
        </w:tc>
        <w:tc>
          <w:tcPr>
            <w:tcW w:w="0" w:type="auto"/>
          </w:tcPr>
          <w:p w14:paraId="362ED5D1" w14:textId="77777777" w:rsidR="008C5CFA" w:rsidRPr="00696324" w:rsidRDefault="00E82A60" w:rsidP="00300A01">
            <w:pPr>
              <w:spacing w:before="0" w:after="0"/>
              <w:rPr>
                <w:sz w:val="12"/>
                <w:szCs w:val="12"/>
                <w:lang w:val="fr-BE"/>
              </w:rPr>
            </w:pPr>
            <w:r w:rsidRPr="00696324">
              <w:rPr>
                <w:noProof/>
                <w:sz w:val="12"/>
                <w:szCs w:val="12"/>
                <w:lang w:val="fr-BE"/>
              </w:rPr>
              <w:t>002</w:t>
            </w:r>
          </w:p>
        </w:tc>
        <w:tc>
          <w:tcPr>
            <w:tcW w:w="0" w:type="auto"/>
          </w:tcPr>
          <w:p w14:paraId="3DCD7A1C" w14:textId="77777777" w:rsidR="008C5CFA" w:rsidRPr="00696324" w:rsidRDefault="00E82A60" w:rsidP="00300A01">
            <w:pPr>
              <w:spacing w:before="0" w:after="0"/>
              <w:rPr>
                <w:sz w:val="12"/>
                <w:szCs w:val="12"/>
                <w:lang w:val="fr-BE"/>
              </w:rPr>
            </w:pPr>
            <w:r w:rsidRPr="00696324">
              <w:rPr>
                <w:noProof/>
                <w:sz w:val="12"/>
                <w:szCs w:val="12"/>
                <w:lang w:val="fr-BE"/>
              </w:rPr>
              <w:t>liczba jednostek naukowych ponoszących nakłady inwestycyjne na działalność B+R w podpisanych umowach</w:t>
            </w:r>
          </w:p>
        </w:tc>
        <w:tc>
          <w:tcPr>
            <w:tcW w:w="0" w:type="auto"/>
          </w:tcPr>
          <w:p w14:paraId="0ED24D15" w14:textId="77777777" w:rsidR="008C5CFA" w:rsidRPr="00696324" w:rsidRDefault="00E82A60" w:rsidP="00300A01">
            <w:pPr>
              <w:spacing w:before="0" w:after="0"/>
              <w:rPr>
                <w:sz w:val="12"/>
                <w:szCs w:val="12"/>
                <w:lang w:val="fr-BE"/>
              </w:rPr>
            </w:pPr>
            <w:r w:rsidRPr="00696324">
              <w:rPr>
                <w:noProof/>
                <w:sz w:val="12"/>
                <w:szCs w:val="12"/>
                <w:lang w:val="fr-BE"/>
              </w:rPr>
              <w:t>szt</w:t>
            </w:r>
          </w:p>
        </w:tc>
        <w:tc>
          <w:tcPr>
            <w:tcW w:w="0" w:type="auto"/>
          </w:tcPr>
          <w:p w14:paraId="34E3C7FE" w14:textId="77777777" w:rsidR="008C5CFA" w:rsidRPr="00696324" w:rsidRDefault="00E82A60" w:rsidP="00300A01">
            <w:pPr>
              <w:spacing w:before="0" w:after="0"/>
              <w:rPr>
                <w:sz w:val="12"/>
                <w:szCs w:val="12"/>
                <w:lang w:val="fr-BE"/>
              </w:rPr>
            </w:pPr>
            <w:r w:rsidRPr="00D4605F">
              <w:rPr>
                <w:noProof/>
                <w:sz w:val="12"/>
                <w:szCs w:val="12"/>
                <w:lang w:val="fr-BE"/>
              </w:rPr>
              <w:t>EFRR</w:t>
            </w:r>
          </w:p>
        </w:tc>
        <w:tc>
          <w:tcPr>
            <w:tcW w:w="0" w:type="auto"/>
          </w:tcPr>
          <w:p w14:paraId="217C18F1" w14:textId="77777777" w:rsidR="008C5CFA" w:rsidRPr="00696324" w:rsidRDefault="00E82A60" w:rsidP="00300A01">
            <w:pPr>
              <w:spacing w:before="0" w:after="0"/>
              <w:rPr>
                <w:sz w:val="12"/>
                <w:szCs w:val="12"/>
                <w:lang w:val="fr-BE"/>
              </w:rPr>
            </w:pPr>
            <w:r w:rsidRPr="00D4605F">
              <w:rPr>
                <w:noProof/>
                <w:sz w:val="12"/>
                <w:szCs w:val="12"/>
                <w:lang w:val="fr-BE"/>
              </w:rPr>
              <w:t>Słabiej rozwinięte</w:t>
            </w:r>
          </w:p>
        </w:tc>
        <w:tc>
          <w:tcPr>
            <w:tcW w:w="0" w:type="auto"/>
            <w:shd w:val="clear" w:color="auto" w:fill="auto"/>
          </w:tcPr>
          <w:p w14:paraId="30D59BD6" w14:textId="77777777" w:rsidR="008C5CFA" w:rsidRPr="00696324" w:rsidRDefault="00E82A60" w:rsidP="00136029">
            <w:pPr>
              <w:spacing w:before="0" w:after="0"/>
              <w:jc w:val="right"/>
              <w:rPr>
                <w:sz w:val="12"/>
                <w:szCs w:val="12"/>
                <w:lang w:val="fr-BE"/>
              </w:rPr>
            </w:pPr>
            <w:r w:rsidRPr="00696324">
              <w:rPr>
                <w:noProof/>
                <w:sz w:val="12"/>
                <w:szCs w:val="12"/>
                <w:lang w:val="fr-BE"/>
              </w:rPr>
              <w:t>4,00</w:t>
            </w:r>
          </w:p>
        </w:tc>
        <w:tc>
          <w:tcPr>
            <w:tcW w:w="0" w:type="auto"/>
          </w:tcPr>
          <w:p w14:paraId="0DC822C2" w14:textId="77777777" w:rsidR="008C5CFA" w:rsidRPr="00696324" w:rsidRDefault="00E82A60" w:rsidP="00136029">
            <w:pPr>
              <w:spacing w:before="0" w:after="0"/>
              <w:jc w:val="right"/>
              <w:rPr>
                <w:sz w:val="12"/>
                <w:szCs w:val="12"/>
                <w:lang w:val="fr-BE"/>
              </w:rPr>
            </w:pPr>
            <w:r w:rsidRPr="00696324">
              <w:rPr>
                <w:noProof/>
                <w:sz w:val="12"/>
                <w:szCs w:val="12"/>
                <w:lang w:val="fr-BE"/>
              </w:rPr>
              <w:t>0,00</w:t>
            </w:r>
          </w:p>
        </w:tc>
        <w:tc>
          <w:tcPr>
            <w:tcW w:w="0" w:type="auto"/>
          </w:tcPr>
          <w:p w14:paraId="51EA20ED" w14:textId="77777777" w:rsidR="008C5CFA" w:rsidRPr="00696324" w:rsidRDefault="00E82A60" w:rsidP="00136029">
            <w:pPr>
              <w:spacing w:before="0" w:after="0"/>
              <w:jc w:val="right"/>
              <w:rPr>
                <w:sz w:val="12"/>
                <w:szCs w:val="12"/>
                <w:lang w:val="fr-BE"/>
              </w:rPr>
            </w:pPr>
            <w:r w:rsidRPr="00696324">
              <w:rPr>
                <w:noProof/>
                <w:sz w:val="12"/>
                <w:szCs w:val="12"/>
                <w:lang w:val="fr-BE"/>
              </w:rPr>
              <w:t>0,00</w:t>
            </w:r>
          </w:p>
        </w:tc>
        <w:tc>
          <w:tcPr>
            <w:tcW w:w="0" w:type="auto"/>
            <w:shd w:val="clear" w:color="auto" w:fill="auto"/>
          </w:tcPr>
          <w:p w14:paraId="1DFE03A2" w14:textId="77777777" w:rsidR="008C5CFA" w:rsidRPr="00696324" w:rsidRDefault="008C5CFA" w:rsidP="00300A01">
            <w:pPr>
              <w:spacing w:before="0" w:after="0"/>
              <w:rPr>
                <w:sz w:val="12"/>
                <w:szCs w:val="12"/>
                <w:lang w:val="fr-BE"/>
              </w:rPr>
            </w:pPr>
          </w:p>
        </w:tc>
      </w:tr>
      <w:tr w:rsidR="006B2EC1" w14:paraId="3510D340" w14:textId="77777777" w:rsidTr="0047688D">
        <w:tc>
          <w:tcPr>
            <w:tcW w:w="0" w:type="auto"/>
            <w:shd w:val="clear" w:color="auto" w:fill="auto"/>
          </w:tcPr>
          <w:p w14:paraId="49B28E00" w14:textId="77777777" w:rsidR="008C5CFA" w:rsidRPr="00696324" w:rsidRDefault="00E82A60" w:rsidP="00300A01">
            <w:pPr>
              <w:spacing w:before="0" w:after="0"/>
              <w:rPr>
                <w:sz w:val="12"/>
                <w:szCs w:val="12"/>
                <w:lang w:val="fr-BE"/>
              </w:rPr>
            </w:pPr>
            <w:r w:rsidRPr="00696324">
              <w:rPr>
                <w:noProof/>
                <w:sz w:val="12"/>
                <w:szCs w:val="12"/>
                <w:lang w:val="fr-BE"/>
              </w:rPr>
              <w:t>1</w:t>
            </w:r>
          </w:p>
        </w:tc>
        <w:tc>
          <w:tcPr>
            <w:tcW w:w="0" w:type="auto"/>
            <w:shd w:val="clear" w:color="auto" w:fill="auto"/>
          </w:tcPr>
          <w:p w14:paraId="61FE80B2" w14:textId="77777777" w:rsidR="008C5CFA" w:rsidRPr="00696324" w:rsidRDefault="00E82A60" w:rsidP="00300A01">
            <w:pPr>
              <w:spacing w:before="0" w:after="0"/>
              <w:rPr>
                <w:sz w:val="12"/>
                <w:szCs w:val="12"/>
                <w:lang w:val="fr-BE"/>
              </w:rPr>
            </w:pPr>
            <w:r w:rsidRPr="00696324">
              <w:rPr>
                <w:noProof/>
                <w:sz w:val="12"/>
                <w:szCs w:val="12"/>
                <w:lang w:val="fr-BE"/>
              </w:rPr>
              <w:t>O</w:t>
            </w:r>
          </w:p>
        </w:tc>
        <w:tc>
          <w:tcPr>
            <w:tcW w:w="0" w:type="auto"/>
          </w:tcPr>
          <w:p w14:paraId="7B9C1FAD" w14:textId="77777777" w:rsidR="008C5CFA" w:rsidRPr="00696324" w:rsidRDefault="00E82A60" w:rsidP="00300A01">
            <w:pPr>
              <w:spacing w:before="0" w:after="0"/>
              <w:rPr>
                <w:sz w:val="12"/>
                <w:szCs w:val="12"/>
                <w:lang w:val="fr-BE"/>
              </w:rPr>
            </w:pPr>
            <w:r w:rsidRPr="00696324">
              <w:rPr>
                <w:noProof/>
                <w:sz w:val="12"/>
                <w:szCs w:val="12"/>
                <w:lang w:val="fr-BE"/>
              </w:rPr>
              <w:t>025</w:t>
            </w:r>
          </w:p>
        </w:tc>
        <w:tc>
          <w:tcPr>
            <w:tcW w:w="0" w:type="auto"/>
          </w:tcPr>
          <w:p w14:paraId="2F782915" w14:textId="77777777" w:rsidR="008C5CFA" w:rsidRPr="00696324" w:rsidRDefault="00E82A60" w:rsidP="00300A01">
            <w:pPr>
              <w:spacing w:before="0" w:after="0"/>
              <w:rPr>
                <w:sz w:val="12"/>
                <w:szCs w:val="12"/>
                <w:lang w:val="fr-BE"/>
              </w:rPr>
            </w:pPr>
            <w:r w:rsidRPr="00696324">
              <w:rPr>
                <w:noProof/>
                <w:sz w:val="12"/>
                <w:szCs w:val="12"/>
                <w:lang w:val="fr-BE"/>
              </w:rPr>
              <w:t>Liczba jednostek naukowych ponoszących nakłady inwestycyjne na działalność B+R</w:t>
            </w:r>
          </w:p>
        </w:tc>
        <w:tc>
          <w:tcPr>
            <w:tcW w:w="0" w:type="auto"/>
          </w:tcPr>
          <w:p w14:paraId="2FCCE093" w14:textId="77777777" w:rsidR="008C5CFA" w:rsidRPr="00696324" w:rsidRDefault="00E82A60" w:rsidP="00300A01">
            <w:pPr>
              <w:spacing w:before="0" w:after="0"/>
              <w:rPr>
                <w:sz w:val="12"/>
                <w:szCs w:val="12"/>
                <w:lang w:val="fr-BE"/>
              </w:rPr>
            </w:pPr>
            <w:r w:rsidRPr="00696324">
              <w:rPr>
                <w:noProof/>
                <w:sz w:val="12"/>
                <w:szCs w:val="12"/>
                <w:lang w:val="fr-BE"/>
              </w:rPr>
              <w:t>sztuka</w:t>
            </w:r>
          </w:p>
        </w:tc>
        <w:tc>
          <w:tcPr>
            <w:tcW w:w="0" w:type="auto"/>
          </w:tcPr>
          <w:p w14:paraId="61D027FD" w14:textId="77777777" w:rsidR="008C5CFA" w:rsidRPr="00696324" w:rsidRDefault="00E82A60" w:rsidP="00300A01">
            <w:pPr>
              <w:spacing w:before="0" w:after="0"/>
              <w:rPr>
                <w:sz w:val="12"/>
                <w:szCs w:val="12"/>
                <w:lang w:val="fr-BE"/>
              </w:rPr>
            </w:pPr>
            <w:r w:rsidRPr="00D4605F">
              <w:rPr>
                <w:noProof/>
                <w:sz w:val="12"/>
                <w:szCs w:val="12"/>
                <w:lang w:val="fr-BE"/>
              </w:rPr>
              <w:t>EFRR</w:t>
            </w:r>
          </w:p>
        </w:tc>
        <w:tc>
          <w:tcPr>
            <w:tcW w:w="0" w:type="auto"/>
          </w:tcPr>
          <w:p w14:paraId="099B04C8" w14:textId="77777777" w:rsidR="008C5CFA" w:rsidRPr="00696324" w:rsidRDefault="00E82A60" w:rsidP="00300A01">
            <w:pPr>
              <w:spacing w:before="0" w:after="0"/>
              <w:rPr>
                <w:sz w:val="12"/>
                <w:szCs w:val="12"/>
                <w:lang w:val="fr-BE"/>
              </w:rPr>
            </w:pPr>
            <w:r w:rsidRPr="00D4605F">
              <w:rPr>
                <w:noProof/>
                <w:sz w:val="12"/>
                <w:szCs w:val="12"/>
                <w:lang w:val="fr-BE"/>
              </w:rPr>
              <w:t>Słabiej rozwinięte</w:t>
            </w:r>
          </w:p>
        </w:tc>
        <w:tc>
          <w:tcPr>
            <w:tcW w:w="0" w:type="auto"/>
            <w:shd w:val="clear" w:color="auto" w:fill="auto"/>
          </w:tcPr>
          <w:p w14:paraId="1B132767" w14:textId="77777777" w:rsidR="008C5CFA" w:rsidRPr="00696324" w:rsidRDefault="00E82A60" w:rsidP="00136029">
            <w:pPr>
              <w:spacing w:before="0" w:after="0"/>
              <w:jc w:val="right"/>
              <w:rPr>
                <w:sz w:val="12"/>
                <w:szCs w:val="12"/>
                <w:lang w:val="fr-BE"/>
              </w:rPr>
            </w:pPr>
            <w:r w:rsidRPr="00696324">
              <w:rPr>
                <w:noProof/>
                <w:sz w:val="12"/>
                <w:szCs w:val="12"/>
                <w:lang w:val="fr-BE"/>
              </w:rPr>
              <w:t>1,00</w:t>
            </w:r>
          </w:p>
        </w:tc>
        <w:tc>
          <w:tcPr>
            <w:tcW w:w="0" w:type="auto"/>
          </w:tcPr>
          <w:p w14:paraId="48DB5D7B" w14:textId="77777777" w:rsidR="008C5CFA" w:rsidRPr="00696324" w:rsidRDefault="00E82A60" w:rsidP="00136029">
            <w:pPr>
              <w:spacing w:before="0" w:after="0"/>
              <w:jc w:val="right"/>
              <w:rPr>
                <w:sz w:val="12"/>
                <w:szCs w:val="12"/>
                <w:lang w:val="fr-BE"/>
              </w:rPr>
            </w:pPr>
            <w:r w:rsidRPr="00696324">
              <w:rPr>
                <w:noProof/>
                <w:sz w:val="12"/>
                <w:szCs w:val="12"/>
                <w:lang w:val="fr-BE"/>
              </w:rPr>
              <w:t>0,00</w:t>
            </w:r>
          </w:p>
        </w:tc>
        <w:tc>
          <w:tcPr>
            <w:tcW w:w="0" w:type="auto"/>
          </w:tcPr>
          <w:p w14:paraId="229E00F7" w14:textId="77777777" w:rsidR="008C5CFA" w:rsidRPr="00696324" w:rsidRDefault="00E82A60" w:rsidP="00136029">
            <w:pPr>
              <w:spacing w:before="0" w:after="0"/>
              <w:jc w:val="right"/>
              <w:rPr>
                <w:sz w:val="12"/>
                <w:szCs w:val="12"/>
                <w:lang w:val="fr-BE"/>
              </w:rPr>
            </w:pPr>
            <w:r w:rsidRPr="00696324">
              <w:rPr>
                <w:noProof/>
                <w:sz w:val="12"/>
                <w:szCs w:val="12"/>
                <w:lang w:val="fr-BE"/>
              </w:rPr>
              <w:t>0,00</w:t>
            </w:r>
          </w:p>
        </w:tc>
        <w:tc>
          <w:tcPr>
            <w:tcW w:w="0" w:type="auto"/>
            <w:shd w:val="clear" w:color="auto" w:fill="auto"/>
          </w:tcPr>
          <w:p w14:paraId="2297CFEF" w14:textId="77777777" w:rsidR="008C5CFA" w:rsidRPr="00696324" w:rsidRDefault="008C5CFA" w:rsidP="00300A01">
            <w:pPr>
              <w:spacing w:before="0" w:after="0"/>
              <w:rPr>
                <w:sz w:val="12"/>
                <w:szCs w:val="12"/>
                <w:lang w:val="fr-BE"/>
              </w:rPr>
            </w:pPr>
          </w:p>
        </w:tc>
      </w:tr>
      <w:tr w:rsidR="006B2EC1" w14:paraId="630206D7" w14:textId="77777777" w:rsidTr="0047688D">
        <w:tc>
          <w:tcPr>
            <w:tcW w:w="0" w:type="auto"/>
            <w:shd w:val="clear" w:color="auto" w:fill="auto"/>
          </w:tcPr>
          <w:p w14:paraId="61850667" w14:textId="77777777" w:rsidR="008C5CFA" w:rsidRPr="00696324" w:rsidRDefault="00E82A60" w:rsidP="00300A01">
            <w:pPr>
              <w:spacing w:before="0" w:after="0"/>
              <w:rPr>
                <w:sz w:val="12"/>
                <w:szCs w:val="12"/>
                <w:lang w:val="fr-BE"/>
              </w:rPr>
            </w:pPr>
            <w:r w:rsidRPr="00696324">
              <w:rPr>
                <w:noProof/>
                <w:sz w:val="12"/>
                <w:szCs w:val="12"/>
                <w:lang w:val="fr-BE"/>
              </w:rPr>
              <w:t>10</w:t>
            </w:r>
          </w:p>
        </w:tc>
        <w:tc>
          <w:tcPr>
            <w:tcW w:w="0" w:type="auto"/>
            <w:shd w:val="clear" w:color="auto" w:fill="auto"/>
          </w:tcPr>
          <w:p w14:paraId="47539A8C" w14:textId="77777777" w:rsidR="008C5CFA" w:rsidRPr="00696324" w:rsidRDefault="00E82A60" w:rsidP="00300A01">
            <w:pPr>
              <w:spacing w:before="0" w:after="0"/>
              <w:rPr>
                <w:sz w:val="12"/>
                <w:szCs w:val="12"/>
                <w:lang w:val="fr-BE"/>
              </w:rPr>
            </w:pPr>
            <w:r w:rsidRPr="00696324">
              <w:rPr>
                <w:noProof/>
                <w:sz w:val="12"/>
                <w:szCs w:val="12"/>
                <w:lang w:val="fr-BE"/>
              </w:rPr>
              <w:t>F</w:t>
            </w:r>
          </w:p>
        </w:tc>
        <w:tc>
          <w:tcPr>
            <w:tcW w:w="0" w:type="auto"/>
          </w:tcPr>
          <w:p w14:paraId="6D5CD3BC" w14:textId="77777777" w:rsidR="008C5CFA" w:rsidRPr="00696324" w:rsidRDefault="00E82A60" w:rsidP="00300A01">
            <w:pPr>
              <w:spacing w:before="0" w:after="0"/>
              <w:rPr>
                <w:sz w:val="12"/>
                <w:szCs w:val="12"/>
                <w:lang w:val="fr-BE"/>
              </w:rPr>
            </w:pPr>
            <w:r w:rsidRPr="00696324">
              <w:rPr>
                <w:noProof/>
                <w:sz w:val="12"/>
                <w:szCs w:val="12"/>
                <w:lang w:val="fr-BE"/>
              </w:rPr>
              <w:t>001</w:t>
            </w:r>
          </w:p>
        </w:tc>
        <w:tc>
          <w:tcPr>
            <w:tcW w:w="0" w:type="auto"/>
          </w:tcPr>
          <w:p w14:paraId="1D33BC33" w14:textId="77777777" w:rsidR="008C5CFA" w:rsidRPr="00696324" w:rsidRDefault="00E82A60" w:rsidP="00300A01">
            <w:pPr>
              <w:spacing w:before="0" w:after="0"/>
              <w:rPr>
                <w:sz w:val="12"/>
                <w:szCs w:val="12"/>
                <w:lang w:val="fr-BE"/>
              </w:rPr>
            </w:pPr>
            <w:r w:rsidRPr="00696324">
              <w:rPr>
                <w:noProof/>
                <w:sz w:val="12"/>
                <w:szCs w:val="12"/>
                <w:lang w:val="fr-BE"/>
              </w:rPr>
              <w:t>Całkowita kwota certyfikowanych wydatków kwalifikowalnych</w:t>
            </w:r>
          </w:p>
        </w:tc>
        <w:tc>
          <w:tcPr>
            <w:tcW w:w="0" w:type="auto"/>
          </w:tcPr>
          <w:p w14:paraId="64C7AF64" w14:textId="77777777" w:rsidR="008C5CFA" w:rsidRPr="00696324" w:rsidRDefault="00E82A60" w:rsidP="00300A01">
            <w:pPr>
              <w:spacing w:before="0" w:after="0"/>
              <w:rPr>
                <w:sz w:val="12"/>
                <w:szCs w:val="12"/>
                <w:lang w:val="fr-BE"/>
              </w:rPr>
            </w:pPr>
            <w:r w:rsidRPr="00696324">
              <w:rPr>
                <w:noProof/>
                <w:sz w:val="12"/>
                <w:szCs w:val="12"/>
                <w:lang w:val="fr-BE"/>
              </w:rPr>
              <w:t>EUR</w:t>
            </w:r>
          </w:p>
        </w:tc>
        <w:tc>
          <w:tcPr>
            <w:tcW w:w="0" w:type="auto"/>
          </w:tcPr>
          <w:p w14:paraId="5BA07860" w14:textId="77777777" w:rsidR="008C5CFA" w:rsidRPr="00696324" w:rsidRDefault="00E82A60" w:rsidP="00300A01">
            <w:pPr>
              <w:spacing w:before="0" w:after="0"/>
              <w:rPr>
                <w:sz w:val="12"/>
                <w:szCs w:val="12"/>
                <w:lang w:val="fr-BE"/>
              </w:rPr>
            </w:pPr>
            <w:r w:rsidRPr="00D4605F">
              <w:rPr>
                <w:noProof/>
                <w:sz w:val="12"/>
                <w:szCs w:val="12"/>
                <w:lang w:val="fr-BE"/>
              </w:rPr>
              <w:t>EFS</w:t>
            </w:r>
          </w:p>
        </w:tc>
        <w:tc>
          <w:tcPr>
            <w:tcW w:w="0" w:type="auto"/>
          </w:tcPr>
          <w:p w14:paraId="3636EE0A" w14:textId="77777777" w:rsidR="008C5CFA" w:rsidRPr="00696324" w:rsidRDefault="00E82A60" w:rsidP="00300A01">
            <w:pPr>
              <w:spacing w:before="0" w:after="0"/>
              <w:rPr>
                <w:sz w:val="12"/>
                <w:szCs w:val="12"/>
                <w:lang w:val="fr-BE"/>
              </w:rPr>
            </w:pPr>
            <w:r w:rsidRPr="00D4605F">
              <w:rPr>
                <w:noProof/>
                <w:sz w:val="12"/>
                <w:szCs w:val="12"/>
                <w:lang w:val="fr-BE"/>
              </w:rPr>
              <w:t>Słabiej rozwinięte</w:t>
            </w:r>
          </w:p>
        </w:tc>
        <w:tc>
          <w:tcPr>
            <w:tcW w:w="0" w:type="auto"/>
            <w:shd w:val="clear" w:color="auto" w:fill="auto"/>
          </w:tcPr>
          <w:p w14:paraId="7456D670" w14:textId="77777777" w:rsidR="008C5CFA" w:rsidRPr="00696324" w:rsidRDefault="00E82A60" w:rsidP="00136029">
            <w:pPr>
              <w:spacing w:before="0" w:after="0"/>
              <w:jc w:val="right"/>
              <w:rPr>
                <w:sz w:val="12"/>
                <w:szCs w:val="12"/>
                <w:lang w:val="fr-BE"/>
              </w:rPr>
            </w:pPr>
            <w:r w:rsidRPr="00696324">
              <w:rPr>
                <w:noProof/>
                <w:sz w:val="12"/>
                <w:szCs w:val="12"/>
                <w:lang w:val="fr-BE"/>
              </w:rPr>
              <w:t>72 740 177,50</w:t>
            </w:r>
          </w:p>
        </w:tc>
        <w:tc>
          <w:tcPr>
            <w:tcW w:w="0" w:type="auto"/>
          </w:tcPr>
          <w:p w14:paraId="426D7A9A" w14:textId="77777777" w:rsidR="008C5CFA" w:rsidRPr="00696324" w:rsidRDefault="00E82A60" w:rsidP="00136029">
            <w:pPr>
              <w:spacing w:before="0" w:after="0"/>
              <w:jc w:val="right"/>
              <w:rPr>
                <w:sz w:val="12"/>
                <w:szCs w:val="12"/>
                <w:lang w:val="fr-BE"/>
              </w:rPr>
            </w:pPr>
            <w:r w:rsidRPr="00696324">
              <w:rPr>
                <w:noProof/>
                <w:sz w:val="12"/>
                <w:szCs w:val="12"/>
                <w:lang w:val="fr-BE"/>
              </w:rPr>
              <w:t>45 900 287,00</w:t>
            </w:r>
          </w:p>
        </w:tc>
        <w:tc>
          <w:tcPr>
            <w:tcW w:w="0" w:type="auto"/>
          </w:tcPr>
          <w:p w14:paraId="7D053FC8" w14:textId="77777777" w:rsidR="008C5CFA" w:rsidRPr="00696324" w:rsidRDefault="00E82A60" w:rsidP="00136029">
            <w:pPr>
              <w:spacing w:before="0" w:after="0"/>
              <w:jc w:val="right"/>
              <w:rPr>
                <w:sz w:val="12"/>
                <w:szCs w:val="12"/>
                <w:lang w:val="fr-BE"/>
              </w:rPr>
            </w:pPr>
            <w:r w:rsidRPr="00696324">
              <w:rPr>
                <w:noProof/>
                <w:sz w:val="12"/>
                <w:szCs w:val="12"/>
                <w:lang w:val="fr-BE"/>
              </w:rPr>
              <w:t>16 339 156,44</w:t>
            </w:r>
          </w:p>
        </w:tc>
        <w:tc>
          <w:tcPr>
            <w:tcW w:w="0" w:type="auto"/>
            <w:shd w:val="clear" w:color="auto" w:fill="auto"/>
          </w:tcPr>
          <w:p w14:paraId="4D6CD3B1" w14:textId="77777777" w:rsidR="008C5CFA" w:rsidRPr="00696324" w:rsidRDefault="008C5CFA" w:rsidP="00300A01">
            <w:pPr>
              <w:spacing w:before="0" w:after="0"/>
              <w:rPr>
                <w:sz w:val="12"/>
                <w:szCs w:val="12"/>
                <w:lang w:val="fr-BE"/>
              </w:rPr>
            </w:pPr>
          </w:p>
        </w:tc>
      </w:tr>
      <w:tr w:rsidR="006B2EC1" w14:paraId="3A4093CF" w14:textId="77777777" w:rsidTr="0047688D">
        <w:tc>
          <w:tcPr>
            <w:tcW w:w="0" w:type="auto"/>
            <w:shd w:val="clear" w:color="auto" w:fill="auto"/>
          </w:tcPr>
          <w:p w14:paraId="5FCD4244" w14:textId="77777777" w:rsidR="008C5CFA" w:rsidRPr="00696324" w:rsidRDefault="00E82A60" w:rsidP="00300A01">
            <w:pPr>
              <w:spacing w:before="0" w:after="0"/>
              <w:rPr>
                <w:sz w:val="12"/>
                <w:szCs w:val="12"/>
                <w:lang w:val="fr-BE"/>
              </w:rPr>
            </w:pPr>
            <w:r w:rsidRPr="00696324">
              <w:rPr>
                <w:noProof/>
                <w:sz w:val="12"/>
                <w:szCs w:val="12"/>
                <w:lang w:val="fr-BE"/>
              </w:rPr>
              <w:t>10</w:t>
            </w:r>
          </w:p>
        </w:tc>
        <w:tc>
          <w:tcPr>
            <w:tcW w:w="0" w:type="auto"/>
            <w:shd w:val="clear" w:color="auto" w:fill="auto"/>
          </w:tcPr>
          <w:p w14:paraId="60741493" w14:textId="77777777" w:rsidR="008C5CFA" w:rsidRPr="00696324" w:rsidRDefault="00E82A60" w:rsidP="00300A01">
            <w:pPr>
              <w:spacing w:before="0" w:after="0"/>
              <w:rPr>
                <w:sz w:val="12"/>
                <w:szCs w:val="12"/>
                <w:lang w:val="fr-BE"/>
              </w:rPr>
            </w:pPr>
            <w:r w:rsidRPr="00696324">
              <w:rPr>
                <w:noProof/>
                <w:sz w:val="12"/>
                <w:szCs w:val="12"/>
                <w:lang w:val="fr-BE"/>
              </w:rPr>
              <w:t>O</w:t>
            </w:r>
          </w:p>
        </w:tc>
        <w:tc>
          <w:tcPr>
            <w:tcW w:w="0" w:type="auto"/>
          </w:tcPr>
          <w:p w14:paraId="60463E7E" w14:textId="77777777" w:rsidR="008C5CFA" w:rsidRPr="00696324" w:rsidRDefault="00E82A60" w:rsidP="00300A01">
            <w:pPr>
              <w:spacing w:before="0" w:after="0"/>
              <w:rPr>
                <w:sz w:val="12"/>
                <w:szCs w:val="12"/>
                <w:lang w:val="fr-BE"/>
              </w:rPr>
            </w:pPr>
            <w:r w:rsidRPr="00696324">
              <w:rPr>
                <w:noProof/>
                <w:sz w:val="12"/>
                <w:szCs w:val="12"/>
                <w:lang w:val="fr-BE"/>
              </w:rPr>
              <w:t>146</w:t>
            </w:r>
          </w:p>
        </w:tc>
        <w:tc>
          <w:tcPr>
            <w:tcW w:w="0" w:type="auto"/>
          </w:tcPr>
          <w:p w14:paraId="01D8419E" w14:textId="77777777" w:rsidR="008C5CFA" w:rsidRPr="00696324" w:rsidRDefault="00E82A60" w:rsidP="00300A01">
            <w:pPr>
              <w:spacing w:before="0" w:after="0"/>
              <w:rPr>
                <w:sz w:val="12"/>
                <w:szCs w:val="12"/>
                <w:lang w:val="fr-BE"/>
              </w:rPr>
            </w:pPr>
            <w:r w:rsidRPr="00696324">
              <w:rPr>
                <w:noProof/>
                <w:sz w:val="12"/>
                <w:szCs w:val="12"/>
                <w:lang w:val="fr-BE"/>
              </w:rPr>
              <w:t>Liczba osób bezrobotnych (łącznie z długotrwale bezrobotnymi) objętych wsparciem</w:t>
            </w:r>
          </w:p>
        </w:tc>
        <w:tc>
          <w:tcPr>
            <w:tcW w:w="0" w:type="auto"/>
          </w:tcPr>
          <w:p w14:paraId="6059F5B5" w14:textId="77777777" w:rsidR="008C5CFA" w:rsidRPr="00696324" w:rsidRDefault="00E82A60" w:rsidP="00300A01">
            <w:pPr>
              <w:spacing w:before="0" w:after="0"/>
              <w:rPr>
                <w:sz w:val="12"/>
                <w:szCs w:val="12"/>
                <w:lang w:val="fr-BE"/>
              </w:rPr>
            </w:pPr>
            <w:r w:rsidRPr="00696324">
              <w:rPr>
                <w:noProof/>
                <w:sz w:val="12"/>
                <w:szCs w:val="12"/>
                <w:lang w:val="fr-BE"/>
              </w:rPr>
              <w:t>Liczba</w:t>
            </w:r>
          </w:p>
        </w:tc>
        <w:tc>
          <w:tcPr>
            <w:tcW w:w="0" w:type="auto"/>
          </w:tcPr>
          <w:p w14:paraId="7633FA25" w14:textId="77777777" w:rsidR="008C5CFA" w:rsidRPr="00696324" w:rsidRDefault="00E82A60" w:rsidP="00300A01">
            <w:pPr>
              <w:spacing w:before="0" w:after="0"/>
              <w:rPr>
                <w:sz w:val="12"/>
                <w:szCs w:val="12"/>
                <w:lang w:val="fr-BE"/>
              </w:rPr>
            </w:pPr>
            <w:r w:rsidRPr="00D4605F">
              <w:rPr>
                <w:noProof/>
                <w:sz w:val="12"/>
                <w:szCs w:val="12"/>
                <w:lang w:val="fr-BE"/>
              </w:rPr>
              <w:t>EFS</w:t>
            </w:r>
          </w:p>
        </w:tc>
        <w:tc>
          <w:tcPr>
            <w:tcW w:w="0" w:type="auto"/>
          </w:tcPr>
          <w:p w14:paraId="431042AB" w14:textId="77777777" w:rsidR="008C5CFA" w:rsidRPr="00696324" w:rsidRDefault="00E82A60" w:rsidP="00300A01">
            <w:pPr>
              <w:spacing w:before="0" w:after="0"/>
              <w:rPr>
                <w:sz w:val="12"/>
                <w:szCs w:val="12"/>
                <w:lang w:val="fr-BE"/>
              </w:rPr>
            </w:pPr>
            <w:r w:rsidRPr="00D4605F">
              <w:rPr>
                <w:noProof/>
                <w:sz w:val="12"/>
                <w:szCs w:val="12"/>
                <w:lang w:val="fr-BE"/>
              </w:rPr>
              <w:t>Słabiej rozwinięte</w:t>
            </w:r>
          </w:p>
        </w:tc>
        <w:tc>
          <w:tcPr>
            <w:tcW w:w="0" w:type="auto"/>
            <w:shd w:val="clear" w:color="auto" w:fill="auto"/>
          </w:tcPr>
          <w:p w14:paraId="61DA833E" w14:textId="77777777" w:rsidR="008C5CFA" w:rsidRPr="00696324" w:rsidRDefault="00E82A60" w:rsidP="00136029">
            <w:pPr>
              <w:spacing w:before="0" w:after="0"/>
              <w:jc w:val="right"/>
              <w:rPr>
                <w:sz w:val="12"/>
                <w:szCs w:val="12"/>
                <w:lang w:val="fr-BE"/>
              </w:rPr>
            </w:pPr>
            <w:r w:rsidRPr="00696324">
              <w:rPr>
                <w:noProof/>
                <w:sz w:val="12"/>
                <w:szCs w:val="12"/>
                <w:lang w:val="fr-BE"/>
              </w:rPr>
              <w:t>15 629,00</w:t>
            </w:r>
          </w:p>
        </w:tc>
        <w:tc>
          <w:tcPr>
            <w:tcW w:w="0" w:type="auto"/>
          </w:tcPr>
          <w:p w14:paraId="16E9DBA9" w14:textId="77777777" w:rsidR="008C5CFA" w:rsidRPr="00696324" w:rsidRDefault="00E82A60" w:rsidP="00136029">
            <w:pPr>
              <w:spacing w:before="0" w:after="0"/>
              <w:jc w:val="right"/>
              <w:rPr>
                <w:sz w:val="12"/>
                <w:szCs w:val="12"/>
                <w:lang w:val="fr-BE"/>
              </w:rPr>
            </w:pPr>
            <w:r w:rsidRPr="00696324">
              <w:rPr>
                <w:noProof/>
                <w:sz w:val="12"/>
                <w:szCs w:val="12"/>
                <w:lang w:val="fr-BE"/>
              </w:rPr>
              <w:t>5 072,00</w:t>
            </w:r>
          </w:p>
        </w:tc>
        <w:tc>
          <w:tcPr>
            <w:tcW w:w="0" w:type="auto"/>
          </w:tcPr>
          <w:p w14:paraId="249C98B8" w14:textId="77777777" w:rsidR="008C5CFA" w:rsidRPr="00696324" w:rsidRDefault="00E82A60" w:rsidP="00136029">
            <w:pPr>
              <w:spacing w:before="0" w:after="0"/>
              <w:jc w:val="right"/>
              <w:rPr>
                <w:sz w:val="12"/>
                <w:szCs w:val="12"/>
                <w:lang w:val="fr-BE"/>
              </w:rPr>
            </w:pPr>
            <w:r w:rsidRPr="00696324">
              <w:rPr>
                <w:noProof/>
                <w:sz w:val="12"/>
                <w:szCs w:val="12"/>
                <w:lang w:val="fr-BE"/>
              </w:rPr>
              <w:t>6 330,00</w:t>
            </w:r>
          </w:p>
        </w:tc>
        <w:tc>
          <w:tcPr>
            <w:tcW w:w="0" w:type="auto"/>
            <w:shd w:val="clear" w:color="auto" w:fill="auto"/>
          </w:tcPr>
          <w:p w14:paraId="269B98C5" w14:textId="77777777" w:rsidR="008C5CFA" w:rsidRPr="00696324" w:rsidRDefault="008C5CFA" w:rsidP="00300A01">
            <w:pPr>
              <w:spacing w:before="0" w:after="0"/>
              <w:rPr>
                <w:sz w:val="12"/>
                <w:szCs w:val="12"/>
                <w:lang w:val="fr-BE"/>
              </w:rPr>
            </w:pPr>
          </w:p>
        </w:tc>
      </w:tr>
      <w:tr w:rsidR="006B2EC1" w14:paraId="291121A3" w14:textId="77777777" w:rsidTr="0047688D">
        <w:tc>
          <w:tcPr>
            <w:tcW w:w="0" w:type="auto"/>
            <w:shd w:val="clear" w:color="auto" w:fill="auto"/>
          </w:tcPr>
          <w:p w14:paraId="5A7348A9" w14:textId="77777777" w:rsidR="008C5CFA" w:rsidRPr="00696324" w:rsidRDefault="00E82A60" w:rsidP="00300A01">
            <w:pPr>
              <w:spacing w:before="0" w:after="0"/>
              <w:rPr>
                <w:sz w:val="12"/>
                <w:szCs w:val="12"/>
                <w:lang w:val="fr-BE"/>
              </w:rPr>
            </w:pPr>
            <w:r w:rsidRPr="00696324">
              <w:rPr>
                <w:noProof/>
                <w:sz w:val="12"/>
                <w:szCs w:val="12"/>
                <w:lang w:val="fr-BE"/>
              </w:rPr>
              <w:t>2</w:t>
            </w:r>
          </w:p>
        </w:tc>
        <w:tc>
          <w:tcPr>
            <w:tcW w:w="0" w:type="auto"/>
            <w:shd w:val="clear" w:color="auto" w:fill="auto"/>
          </w:tcPr>
          <w:p w14:paraId="13B75AC8" w14:textId="77777777" w:rsidR="008C5CFA" w:rsidRPr="00696324" w:rsidRDefault="00E82A60" w:rsidP="00300A01">
            <w:pPr>
              <w:spacing w:before="0" w:after="0"/>
              <w:rPr>
                <w:sz w:val="12"/>
                <w:szCs w:val="12"/>
                <w:lang w:val="fr-BE"/>
              </w:rPr>
            </w:pPr>
            <w:r w:rsidRPr="00696324">
              <w:rPr>
                <w:noProof/>
                <w:sz w:val="12"/>
                <w:szCs w:val="12"/>
                <w:lang w:val="fr-BE"/>
              </w:rPr>
              <w:t>O</w:t>
            </w:r>
          </w:p>
        </w:tc>
        <w:tc>
          <w:tcPr>
            <w:tcW w:w="0" w:type="auto"/>
          </w:tcPr>
          <w:p w14:paraId="7C2266E5" w14:textId="77777777" w:rsidR="008C5CFA" w:rsidRPr="00696324" w:rsidRDefault="00E82A60" w:rsidP="00300A01">
            <w:pPr>
              <w:spacing w:before="0" w:after="0"/>
              <w:rPr>
                <w:sz w:val="12"/>
                <w:szCs w:val="12"/>
                <w:lang w:val="fr-BE"/>
              </w:rPr>
            </w:pPr>
            <w:r w:rsidRPr="00696324">
              <w:rPr>
                <w:noProof/>
                <w:sz w:val="12"/>
                <w:szCs w:val="12"/>
                <w:lang w:val="fr-BE"/>
              </w:rPr>
              <w:t>CO02</w:t>
            </w:r>
          </w:p>
        </w:tc>
        <w:tc>
          <w:tcPr>
            <w:tcW w:w="0" w:type="auto"/>
          </w:tcPr>
          <w:p w14:paraId="4ED260E4" w14:textId="77777777" w:rsidR="008C5CFA" w:rsidRPr="00696324" w:rsidRDefault="00E82A60" w:rsidP="00300A01">
            <w:pPr>
              <w:spacing w:before="0" w:after="0"/>
              <w:rPr>
                <w:sz w:val="12"/>
                <w:szCs w:val="12"/>
                <w:lang w:val="fr-BE"/>
              </w:rPr>
            </w:pPr>
            <w:r w:rsidRPr="00696324">
              <w:rPr>
                <w:noProof/>
                <w:sz w:val="12"/>
                <w:szCs w:val="12"/>
                <w:lang w:val="fr-BE"/>
              </w:rPr>
              <w:t>Inwestycje produkcyjne: liczba przedsiębiorstw otrzymujących dotacje</w:t>
            </w:r>
          </w:p>
        </w:tc>
        <w:tc>
          <w:tcPr>
            <w:tcW w:w="0" w:type="auto"/>
          </w:tcPr>
          <w:p w14:paraId="77DBF4D9" w14:textId="77777777" w:rsidR="008C5CFA" w:rsidRPr="00696324" w:rsidRDefault="00E82A60" w:rsidP="00300A01">
            <w:pPr>
              <w:spacing w:before="0" w:after="0"/>
              <w:rPr>
                <w:sz w:val="12"/>
                <w:szCs w:val="12"/>
                <w:lang w:val="fr-BE"/>
              </w:rPr>
            </w:pPr>
            <w:r w:rsidRPr="00696324">
              <w:rPr>
                <w:noProof/>
                <w:sz w:val="12"/>
                <w:szCs w:val="12"/>
                <w:lang w:val="fr-BE"/>
              </w:rPr>
              <w:t>Enterprises</w:t>
            </w:r>
          </w:p>
        </w:tc>
        <w:tc>
          <w:tcPr>
            <w:tcW w:w="0" w:type="auto"/>
          </w:tcPr>
          <w:p w14:paraId="4C4D29DC" w14:textId="77777777" w:rsidR="008C5CFA" w:rsidRPr="00696324" w:rsidRDefault="00E82A60" w:rsidP="00300A01">
            <w:pPr>
              <w:spacing w:before="0" w:after="0"/>
              <w:rPr>
                <w:sz w:val="12"/>
                <w:szCs w:val="12"/>
                <w:lang w:val="fr-BE"/>
              </w:rPr>
            </w:pPr>
            <w:r w:rsidRPr="00D4605F">
              <w:rPr>
                <w:noProof/>
                <w:sz w:val="12"/>
                <w:szCs w:val="12"/>
                <w:lang w:val="fr-BE"/>
              </w:rPr>
              <w:t>EFRR</w:t>
            </w:r>
          </w:p>
        </w:tc>
        <w:tc>
          <w:tcPr>
            <w:tcW w:w="0" w:type="auto"/>
          </w:tcPr>
          <w:p w14:paraId="474BAEAB" w14:textId="77777777" w:rsidR="008C5CFA" w:rsidRPr="00696324" w:rsidRDefault="00E82A60" w:rsidP="00300A01">
            <w:pPr>
              <w:spacing w:before="0" w:after="0"/>
              <w:rPr>
                <w:sz w:val="12"/>
                <w:szCs w:val="12"/>
                <w:lang w:val="fr-BE"/>
              </w:rPr>
            </w:pPr>
            <w:r w:rsidRPr="00D4605F">
              <w:rPr>
                <w:noProof/>
                <w:sz w:val="12"/>
                <w:szCs w:val="12"/>
                <w:lang w:val="fr-BE"/>
              </w:rPr>
              <w:t>Słabiej rozwinięte</w:t>
            </w:r>
          </w:p>
        </w:tc>
        <w:tc>
          <w:tcPr>
            <w:tcW w:w="0" w:type="auto"/>
            <w:shd w:val="clear" w:color="auto" w:fill="auto"/>
          </w:tcPr>
          <w:p w14:paraId="3D78B67B" w14:textId="77777777" w:rsidR="008C5CFA" w:rsidRPr="00696324" w:rsidRDefault="00E82A60" w:rsidP="00136029">
            <w:pPr>
              <w:spacing w:before="0" w:after="0"/>
              <w:jc w:val="right"/>
              <w:rPr>
                <w:sz w:val="12"/>
                <w:szCs w:val="12"/>
                <w:lang w:val="fr-BE"/>
              </w:rPr>
            </w:pPr>
            <w:r w:rsidRPr="00696324">
              <w:rPr>
                <w:noProof/>
                <w:sz w:val="12"/>
                <w:szCs w:val="12"/>
                <w:lang w:val="fr-BE"/>
              </w:rPr>
              <w:t>152,00</w:t>
            </w:r>
          </w:p>
        </w:tc>
        <w:tc>
          <w:tcPr>
            <w:tcW w:w="0" w:type="auto"/>
          </w:tcPr>
          <w:p w14:paraId="5AFD56C9" w14:textId="77777777" w:rsidR="008C5CFA" w:rsidRPr="00696324" w:rsidRDefault="00E82A60" w:rsidP="00136029">
            <w:pPr>
              <w:spacing w:before="0" w:after="0"/>
              <w:jc w:val="right"/>
              <w:rPr>
                <w:sz w:val="12"/>
                <w:szCs w:val="12"/>
                <w:lang w:val="fr-BE"/>
              </w:rPr>
            </w:pPr>
            <w:r w:rsidRPr="00696324">
              <w:rPr>
                <w:noProof/>
                <w:sz w:val="12"/>
                <w:szCs w:val="12"/>
                <w:lang w:val="fr-BE"/>
              </w:rPr>
              <w:t>20,00</w:t>
            </w:r>
          </w:p>
        </w:tc>
        <w:tc>
          <w:tcPr>
            <w:tcW w:w="0" w:type="auto"/>
          </w:tcPr>
          <w:p w14:paraId="43F74F83" w14:textId="77777777" w:rsidR="008C5CFA" w:rsidRPr="00696324" w:rsidRDefault="00E82A60" w:rsidP="00136029">
            <w:pPr>
              <w:spacing w:before="0" w:after="0"/>
              <w:jc w:val="right"/>
              <w:rPr>
                <w:sz w:val="12"/>
                <w:szCs w:val="12"/>
                <w:lang w:val="fr-BE"/>
              </w:rPr>
            </w:pPr>
            <w:r w:rsidRPr="00696324">
              <w:rPr>
                <w:noProof/>
                <w:sz w:val="12"/>
                <w:szCs w:val="12"/>
                <w:lang w:val="fr-BE"/>
              </w:rPr>
              <w:t>0,00</w:t>
            </w:r>
          </w:p>
        </w:tc>
        <w:tc>
          <w:tcPr>
            <w:tcW w:w="0" w:type="auto"/>
            <w:shd w:val="clear" w:color="auto" w:fill="auto"/>
          </w:tcPr>
          <w:p w14:paraId="01B21D0D" w14:textId="77777777" w:rsidR="008C5CFA" w:rsidRPr="00696324" w:rsidRDefault="008C5CFA" w:rsidP="00300A01">
            <w:pPr>
              <w:spacing w:before="0" w:after="0"/>
              <w:rPr>
                <w:sz w:val="12"/>
                <w:szCs w:val="12"/>
                <w:lang w:val="fr-BE"/>
              </w:rPr>
            </w:pPr>
          </w:p>
        </w:tc>
      </w:tr>
      <w:tr w:rsidR="006B2EC1" w14:paraId="1FE72C61" w14:textId="77777777" w:rsidTr="0047688D">
        <w:tc>
          <w:tcPr>
            <w:tcW w:w="0" w:type="auto"/>
            <w:shd w:val="clear" w:color="auto" w:fill="auto"/>
          </w:tcPr>
          <w:p w14:paraId="1144409D" w14:textId="77777777" w:rsidR="008C5CFA" w:rsidRPr="00696324" w:rsidRDefault="00E82A60" w:rsidP="00300A01">
            <w:pPr>
              <w:spacing w:before="0" w:after="0"/>
              <w:rPr>
                <w:sz w:val="12"/>
                <w:szCs w:val="12"/>
                <w:lang w:val="fr-BE"/>
              </w:rPr>
            </w:pPr>
            <w:r w:rsidRPr="00696324">
              <w:rPr>
                <w:noProof/>
                <w:sz w:val="12"/>
                <w:szCs w:val="12"/>
                <w:lang w:val="fr-BE"/>
              </w:rPr>
              <w:t>2</w:t>
            </w:r>
          </w:p>
        </w:tc>
        <w:tc>
          <w:tcPr>
            <w:tcW w:w="0" w:type="auto"/>
            <w:shd w:val="clear" w:color="auto" w:fill="auto"/>
          </w:tcPr>
          <w:p w14:paraId="026F7BB7" w14:textId="77777777" w:rsidR="008C5CFA" w:rsidRPr="00696324" w:rsidRDefault="00E82A60" w:rsidP="00300A01">
            <w:pPr>
              <w:spacing w:before="0" w:after="0"/>
              <w:rPr>
                <w:sz w:val="12"/>
                <w:szCs w:val="12"/>
                <w:lang w:val="fr-BE"/>
              </w:rPr>
            </w:pPr>
            <w:r w:rsidRPr="00696324">
              <w:rPr>
                <w:noProof/>
                <w:sz w:val="12"/>
                <w:szCs w:val="12"/>
                <w:lang w:val="fr-BE"/>
              </w:rPr>
              <w:t>F</w:t>
            </w:r>
          </w:p>
        </w:tc>
        <w:tc>
          <w:tcPr>
            <w:tcW w:w="0" w:type="auto"/>
          </w:tcPr>
          <w:p w14:paraId="09E9C332" w14:textId="77777777" w:rsidR="008C5CFA" w:rsidRPr="00696324" w:rsidRDefault="00E82A60" w:rsidP="00300A01">
            <w:pPr>
              <w:spacing w:before="0" w:after="0"/>
              <w:rPr>
                <w:sz w:val="12"/>
                <w:szCs w:val="12"/>
                <w:lang w:val="fr-BE"/>
              </w:rPr>
            </w:pPr>
            <w:r w:rsidRPr="00696324">
              <w:rPr>
                <w:noProof/>
                <w:sz w:val="12"/>
                <w:szCs w:val="12"/>
                <w:lang w:val="fr-BE"/>
              </w:rPr>
              <w:t>001</w:t>
            </w:r>
          </w:p>
        </w:tc>
        <w:tc>
          <w:tcPr>
            <w:tcW w:w="0" w:type="auto"/>
          </w:tcPr>
          <w:p w14:paraId="67F212FB" w14:textId="77777777" w:rsidR="008C5CFA" w:rsidRPr="00696324" w:rsidRDefault="00E82A60" w:rsidP="00300A01">
            <w:pPr>
              <w:spacing w:before="0" w:after="0"/>
              <w:rPr>
                <w:sz w:val="12"/>
                <w:szCs w:val="12"/>
                <w:lang w:val="fr-BE"/>
              </w:rPr>
            </w:pPr>
            <w:r w:rsidRPr="00696324">
              <w:rPr>
                <w:noProof/>
                <w:sz w:val="12"/>
                <w:szCs w:val="12"/>
                <w:lang w:val="fr-BE"/>
              </w:rPr>
              <w:t>Całkowita kwota certyfikowanych wydatków kwalifikowalnych</w:t>
            </w:r>
          </w:p>
        </w:tc>
        <w:tc>
          <w:tcPr>
            <w:tcW w:w="0" w:type="auto"/>
          </w:tcPr>
          <w:p w14:paraId="4CCF1265" w14:textId="77777777" w:rsidR="008C5CFA" w:rsidRPr="00696324" w:rsidRDefault="00E82A60" w:rsidP="00300A01">
            <w:pPr>
              <w:spacing w:before="0" w:after="0"/>
              <w:rPr>
                <w:sz w:val="12"/>
                <w:szCs w:val="12"/>
                <w:lang w:val="fr-BE"/>
              </w:rPr>
            </w:pPr>
            <w:r w:rsidRPr="00696324">
              <w:rPr>
                <w:noProof/>
                <w:sz w:val="12"/>
                <w:szCs w:val="12"/>
                <w:lang w:val="fr-BE"/>
              </w:rPr>
              <w:t>EUR</w:t>
            </w:r>
          </w:p>
        </w:tc>
        <w:tc>
          <w:tcPr>
            <w:tcW w:w="0" w:type="auto"/>
          </w:tcPr>
          <w:p w14:paraId="3F019AD6" w14:textId="77777777" w:rsidR="008C5CFA" w:rsidRPr="00696324" w:rsidRDefault="00E82A60" w:rsidP="00300A01">
            <w:pPr>
              <w:spacing w:before="0" w:after="0"/>
              <w:rPr>
                <w:sz w:val="12"/>
                <w:szCs w:val="12"/>
                <w:lang w:val="fr-BE"/>
              </w:rPr>
            </w:pPr>
            <w:r w:rsidRPr="00D4605F">
              <w:rPr>
                <w:noProof/>
                <w:sz w:val="12"/>
                <w:szCs w:val="12"/>
                <w:lang w:val="fr-BE"/>
              </w:rPr>
              <w:t>EFRR</w:t>
            </w:r>
          </w:p>
        </w:tc>
        <w:tc>
          <w:tcPr>
            <w:tcW w:w="0" w:type="auto"/>
          </w:tcPr>
          <w:p w14:paraId="3B9DDE08" w14:textId="77777777" w:rsidR="008C5CFA" w:rsidRPr="00696324" w:rsidRDefault="00E82A60" w:rsidP="00300A01">
            <w:pPr>
              <w:spacing w:before="0" w:after="0"/>
              <w:rPr>
                <w:sz w:val="12"/>
                <w:szCs w:val="12"/>
                <w:lang w:val="fr-BE"/>
              </w:rPr>
            </w:pPr>
            <w:r w:rsidRPr="00D4605F">
              <w:rPr>
                <w:noProof/>
                <w:sz w:val="12"/>
                <w:szCs w:val="12"/>
                <w:lang w:val="fr-BE"/>
              </w:rPr>
              <w:t>Słabiej rozwinięte</w:t>
            </w:r>
          </w:p>
        </w:tc>
        <w:tc>
          <w:tcPr>
            <w:tcW w:w="0" w:type="auto"/>
            <w:shd w:val="clear" w:color="auto" w:fill="auto"/>
          </w:tcPr>
          <w:p w14:paraId="325BAE07" w14:textId="77777777" w:rsidR="008C5CFA" w:rsidRPr="00696324" w:rsidRDefault="00E82A60" w:rsidP="00136029">
            <w:pPr>
              <w:spacing w:before="0" w:after="0"/>
              <w:jc w:val="right"/>
              <w:rPr>
                <w:sz w:val="12"/>
                <w:szCs w:val="12"/>
                <w:lang w:val="fr-BE"/>
              </w:rPr>
            </w:pPr>
            <w:r w:rsidRPr="00696324">
              <w:rPr>
                <w:noProof/>
                <w:sz w:val="12"/>
                <w:szCs w:val="12"/>
                <w:lang w:val="fr-BE"/>
              </w:rPr>
              <w:t>48 131 511,06</w:t>
            </w:r>
          </w:p>
        </w:tc>
        <w:tc>
          <w:tcPr>
            <w:tcW w:w="0" w:type="auto"/>
          </w:tcPr>
          <w:p w14:paraId="02300336" w14:textId="77777777" w:rsidR="008C5CFA" w:rsidRPr="00696324" w:rsidRDefault="00E82A60" w:rsidP="00136029">
            <w:pPr>
              <w:spacing w:before="0" w:after="0"/>
              <w:jc w:val="right"/>
              <w:rPr>
                <w:sz w:val="12"/>
                <w:szCs w:val="12"/>
                <w:lang w:val="fr-BE"/>
              </w:rPr>
            </w:pPr>
            <w:r w:rsidRPr="00696324">
              <w:rPr>
                <w:noProof/>
                <w:sz w:val="12"/>
                <w:szCs w:val="12"/>
                <w:lang w:val="fr-BE"/>
              </w:rPr>
              <w:t>18 820 836,36</w:t>
            </w:r>
          </w:p>
        </w:tc>
        <w:tc>
          <w:tcPr>
            <w:tcW w:w="0" w:type="auto"/>
          </w:tcPr>
          <w:p w14:paraId="06F7D8BB" w14:textId="77777777" w:rsidR="008C5CFA" w:rsidRPr="00696324" w:rsidRDefault="00E82A60" w:rsidP="00136029">
            <w:pPr>
              <w:spacing w:before="0" w:after="0"/>
              <w:jc w:val="right"/>
              <w:rPr>
                <w:sz w:val="12"/>
                <w:szCs w:val="12"/>
                <w:lang w:val="fr-BE"/>
              </w:rPr>
            </w:pPr>
            <w:r w:rsidRPr="00696324">
              <w:rPr>
                <w:noProof/>
                <w:sz w:val="12"/>
                <w:szCs w:val="12"/>
                <w:lang w:val="fr-BE"/>
              </w:rPr>
              <w:t>37 364,62</w:t>
            </w:r>
          </w:p>
        </w:tc>
        <w:tc>
          <w:tcPr>
            <w:tcW w:w="0" w:type="auto"/>
            <w:shd w:val="clear" w:color="auto" w:fill="auto"/>
          </w:tcPr>
          <w:p w14:paraId="6D42348E" w14:textId="77777777" w:rsidR="008C5CFA" w:rsidRPr="00696324" w:rsidRDefault="008C5CFA" w:rsidP="00300A01">
            <w:pPr>
              <w:spacing w:before="0" w:after="0"/>
              <w:rPr>
                <w:sz w:val="12"/>
                <w:szCs w:val="12"/>
                <w:lang w:val="fr-BE"/>
              </w:rPr>
            </w:pPr>
          </w:p>
        </w:tc>
      </w:tr>
      <w:tr w:rsidR="006B2EC1" w14:paraId="04DA4800" w14:textId="77777777" w:rsidTr="0047688D">
        <w:tc>
          <w:tcPr>
            <w:tcW w:w="0" w:type="auto"/>
            <w:shd w:val="clear" w:color="auto" w:fill="auto"/>
          </w:tcPr>
          <w:p w14:paraId="029E5916" w14:textId="77777777" w:rsidR="008C5CFA" w:rsidRPr="00696324" w:rsidRDefault="00E82A60" w:rsidP="00300A01">
            <w:pPr>
              <w:spacing w:before="0" w:after="0"/>
              <w:rPr>
                <w:sz w:val="12"/>
                <w:szCs w:val="12"/>
                <w:lang w:val="fr-BE"/>
              </w:rPr>
            </w:pPr>
            <w:r w:rsidRPr="00696324">
              <w:rPr>
                <w:noProof/>
                <w:sz w:val="12"/>
                <w:szCs w:val="12"/>
                <w:lang w:val="fr-BE"/>
              </w:rPr>
              <w:t>2</w:t>
            </w:r>
          </w:p>
        </w:tc>
        <w:tc>
          <w:tcPr>
            <w:tcW w:w="0" w:type="auto"/>
            <w:shd w:val="clear" w:color="auto" w:fill="auto"/>
          </w:tcPr>
          <w:p w14:paraId="0FCC5E49" w14:textId="77777777" w:rsidR="008C5CFA" w:rsidRPr="00696324" w:rsidRDefault="00E82A60" w:rsidP="00300A01">
            <w:pPr>
              <w:spacing w:before="0" w:after="0"/>
              <w:rPr>
                <w:sz w:val="12"/>
                <w:szCs w:val="12"/>
                <w:lang w:val="fr-BE"/>
              </w:rPr>
            </w:pPr>
            <w:r w:rsidRPr="00696324">
              <w:rPr>
                <w:noProof/>
                <w:sz w:val="12"/>
                <w:szCs w:val="12"/>
                <w:lang w:val="fr-BE"/>
              </w:rPr>
              <w:t>O</w:t>
            </w:r>
          </w:p>
        </w:tc>
        <w:tc>
          <w:tcPr>
            <w:tcW w:w="0" w:type="auto"/>
          </w:tcPr>
          <w:p w14:paraId="2E49E054" w14:textId="77777777" w:rsidR="008C5CFA" w:rsidRPr="00696324" w:rsidRDefault="00E82A60" w:rsidP="00300A01">
            <w:pPr>
              <w:spacing w:before="0" w:after="0"/>
              <w:rPr>
                <w:sz w:val="12"/>
                <w:szCs w:val="12"/>
                <w:lang w:val="fr-BE"/>
              </w:rPr>
            </w:pPr>
            <w:r w:rsidRPr="00696324">
              <w:rPr>
                <w:noProof/>
                <w:sz w:val="12"/>
                <w:szCs w:val="12"/>
                <w:lang w:val="fr-BE"/>
              </w:rPr>
              <w:t>026</w:t>
            </w:r>
          </w:p>
        </w:tc>
        <w:tc>
          <w:tcPr>
            <w:tcW w:w="0" w:type="auto"/>
          </w:tcPr>
          <w:p w14:paraId="632FBDC5" w14:textId="77777777" w:rsidR="008C5CFA" w:rsidRPr="00696324" w:rsidRDefault="00E82A60" w:rsidP="00300A01">
            <w:pPr>
              <w:spacing w:before="0" w:after="0"/>
              <w:rPr>
                <w:sz w:val="12"/>
                <w:szCs w:val="12"/>
                <w:lang w:val="fr-BE"/>
              </w:rPr>
            </w:pPr>
            <w:r w:rsidRPr="00696324">
              <w:rPr>
                <w:noProof/>
                <w:sz w:val="12"/>
                <w:szCs w:val="12"/>
                <w:lang w:val="fr-BE"/>
              </w:rPr>
              <w:t>Liczba nowych i ulepszonych usług świadczonych przez instytucje otoczenia biznesu</w:t>
            </w:r>
          </w:p>
        </w:tc>
        <w:tc>
          <w:tcPr>
            <w:tcW w:w="0" w:type="auto"/>
          </w:tcPr>
          <w:p w14:paraId="399024CE" w14:textId="77777777" w:rsidR="008C5CFA" w:rsidRPr="00696324" w:rsidRDefault="00E82A60" w:rsidP="00300A01">
            <w:pPr>
              <w:spacing w:before="0" w:after="0"/>
              <w:rPr>
                <w:sz w:val="12"/>
                <w:szCs w:val="12"/>
                <w:lang w:val="fr-BE"/>
              </w:rPr>
            </w:pPr>
            <w:r w:rsidRPr="00696324">
              <w:rPr>
                <w:noProof/>
                <w:sz w:val="12"/>
                <w:szCs w:val="12"/>
                <w:lang w:val="fr-BE"/>
              </w:rPr>
              <w:t>szt.</w:t>
            </w:r>
          </w:p>
        </w:tc>
        <w:tc>
          <w:tcPr>
            <w:tcW w:w="0" w:type="auto"/>
          </w:tcPr>
          <w:p w14:paraId="69E0BE70" w14:textId="77777777" w:rsidR="008C5CFA" w:rsidRPr="00696324" w:rsidRDefault="00E82A60" w:rsidP="00300A01">
            <w:pPr>
              <w:spacing w:before="0" w:after="0"/>
              <w:rPr>
                <w:sz w:val="12"/>
                <w:szCs w:val="12"/>
                <w:lang w:val="fr-BE"/>
              </w:rPr>
            </w:pPr>
            <w:r w:rsidRPr="00D4605F">
              <w:rPr>
                <w:noProof/>
                <w:sz w:val="12"/>
                <w:szCs w:val="12"/>
                <w:lang w:val="fr-BE"/>
              </w:rPr>
              <w:t>EFRR</w:t>
            </w:r>
          </w:p>
        </w:tc>
        <w:tc>
          <w:tcPr>
            <w:tcW w:w="0" w:type="auto"/>
          </w:tcPr>
          <w:p w14:paraId="6DF6B317" w14:textId="77777777" w:rsidR="008C5CFA" w:rsidRPr="00696324" w:rsidRDefault="00E82A60" w:rsidP="00300A01">
            <w:pPr>
              <w:spacing w:before="0" w:after="0"/>
              <w:rPr>
                <w:sz w:val="12"/>
                <w:szCs w:val="12"/>
                <w:lang w:val="fr-BE"/>
              </w:rPr>
            </w:pPr>
            <w:r w:rsidRPr="00D4605F">
              <w:rPr>
                <w:noProof/>
                <w:sz w:val="12"/>
                <w:szCs w:val="12"/>
                <w:lang w:val="fr-BE"/>
              </w:rPr>
              <w:t>Słabiej rozwinięte</w:t>
            </w:r>
          </w:p>
        </w:tc>
        <w:tc>
          <w:tcPr>
            <w:tcW w:w="0" w:type="auto"/>
            <w:shd w:val="clear" w:color="auto" w:fill="auto"/>
          </w:tcPr>
          <w:p w14:paraId="2C41627B" w14:textId="77777777" w:rsidR="008C5CFA" w:rsidRPr="00696324" w:rsidRDefault="00E82A60" w:rsidP="00136029">
            <w:pPr>
              <w:spacing w:before="0" w:after="0"/>
              <w:jc w:val="right"/>
              <w:rPr>
                <w:sz w:val="12"/>
                <w:szCs w:val="12"/>
                <w:lang w:val="fr-BE"/>
              </w:rPr>
            </w:pPr>
            <w:r w:rsidRPr="00696324">
              <w:rPr>
                <w:noProof/>
                <w:sz w:val="12"/>
                <w:szCs w:val="12"/>
                <w:lang w:val="fr-BE"/>
              </w:rPr>
              <w:t>7,00</w:t>
            </w:r>
          </w:p>
        </w:tc>
        <w:tc>
          <w:tcPr>
            <w:tcW w:w="0" w:type="auto"/>
          </w:tcPr>
          <w:p w14:paraId="636BDC87" w14:textId="77777777" w:rsidR="008C5CFA" w:rsidRPr="00696324" w:rsidRDefault="00E82A60" w:rsidP="00136029">
            <w:pPr>
              <w:spacing w:before="0" w:after="0"/>
              <w:jc w:val="right"/>
              <w:rPr>
                <w:sz w:val="12"/>
                <w:szCs w:val="12"/>
                <w:lang w:val="fr-BE"/>
              </w:rPr>
            </w:pPr>
            <w:r w:rsidRPr="00696324">
              <w:rPr>
                <w:noProof/>
                <w:sz w:val="12"/>
                <w:szCs w:val="12"/>
                <w:lang w:val="fr-BE"/>
              </w:rPr>
              <w:t>0,00</w:t>
            </w:r>
          </w:p>
        </w:tc>
        <w:tc>
          <w:tcPr>
            <w:tcW w:w="0" w:type="auto"/>
          </w:tcPr>
          <w:p w14:paraId="3BF80AB3" w14:textId="77777777" w:rsidR="008C5CFA" w:rsidRPr="00696324" w:rsidRDefault="00E82A60" w:rsidP="00136029">
            <w:pPr>
              <w:spacing w:before="0" w:after="0"/>
              <w:jc w:val="right"/>
              <w:rPr>
                <w:sz w:val="12"/>
                <w:szCs w:val="12"/>
                <w:lang w:val="fr-BE"/>
              </w:rPr>
            </w:pPr>
            <w:r w:rsidRPr="00696324">
              <w:rPr>
                <w:noProof/>
                <w:sz w:val="12"/>
                <w:szCs w:val="12"/>
                <w:lang w:val="fr-BE"/>
              </w:rPr>
              <w:t>0,00</w:t>
            </w:r>
          </w:p>
        </w:tc>
        <w:tc>
          <w:tcPr>
            <w:tcW w:w="0" w:type="auto"/>
            <w:shd w:val="clear" w:color="auto" w:fill="auto"/>
          </w:tcPr>
          <w:p w14:paraId="35BF3ED5" w14:textId="77777777" w:rsidR="008C5CFA" w:rsidRPr="00696324" w:rsidRDefault="008C5CFA" w:rsidP="00300A01">
            <w:pPr>
              <w:spacing w:before="0" w:after="0"/>
              <w:rPr>
                <w:sz w:val="12"/>
                <w:szCs w:val="12"/>
                <w:lang w:val="fr-BE"/>
              </w:rPr>
            </w:pPr>
          </w:p>
        </w:tc>
      </w:tr>
      <w:tr w:rsidR="006B2EC1" w14:paraId="1664BEB8" w14:textId="77777777" w:rsidTr="0047688D">
        <w:tc>
          <w:tcPr>
            <w:tcW w:w="0" w:type="auto"/>
            <w:shd w:val="clear" w:color="auto" w:fill="auto"/>
          </w:tcPr>
          <w:p w14:paraId="4508DA94" w14:textId="77777777" w:rsidR="008C5CFA" w:rsidRPr="00696324" w:rsidRDefault="00E82A60" w:rsidP="00300A01">
            <w:pPr>
              <w:spacing w:before="0" w:after="0"/>
              <w:rPr>
                <w:sz w:val="12"/>
                <w:szCs w:val="12"/>
                <w:lang w:val="fr-BE"/>
              </w:rPr>
            </w:pPr>
            <w:r w:rsidRPr="00696324">
              <w:rPr>
                <w:noProof/>
                <w:sz w:val="12"/>
                <w:szCs w:val="12"/>
                <w:lang w:val="fr-BE"/>
              </w:rPr>
              <w:t>3</w:t>
            </w:r>
          </w:p>
        </w:tc>
        <w:tc>
          <w:tcPr>
            <w:tcW w:w="0" w:type="auto"/>
            <w:shd w:val="clear" w:color="auto" w:fill="auto"/>
          </w:tcPr>
          <w:p w14:paraId="7FB62A8A" w14:textId="77777777" w:rsidR="008C5CFA" w:rsidRPr="00696324" w:rsidRDefault="00E82A60" w:rsidP="00300A01">
            <w:pPr>
              <w:spacing w:before="0" w:after="0"/>
              <w:rPr>
                <w:sz w:val="12"/>
                <w:szCs w:val="12"/>
                <w:lang w:val="fr-BE"/>
              </w:rPr>
            </w:pPr>
            <w:r w:rsidRPr="00696324">
              <w:rPr>
                <w:noProof/>
                <w:sz w:val="12"/>
                <w:szCs w:val="12"/>
                <w:lang w:val="fr-BE"/>
              </w:rPr>
              <w:t>F</w:t>
            </w:r>
          </w:p>
        </w:tc>
        <w:tc>
          <w:tcPr>
            <w:tcW w:w="0" w:type="auto"/>
          </w:tcPr>
          <w:p w14:paraId="0A8AFAFB" w14:textId="77777777" w:rsidR="008C5CFA" w:rsidRPr="00696324" w:rsidRDefault="00E82A60" w:rsidP="00300A01">
            <w:pPr>
              <w:spacing w:before="0" w:after="0"/>
              <w:rPr>
                <w:sz w:val="12"/>
                <w:szCs w:val="12"/>
                <w:lang w:val="fr-BE"/>
              </w:rPr>
            </w:pPr>
            <w:r w:rsidRPr="00696324">
              <w:rPr>
                <w:noProof/>
                <w:sz w:val="12"/>
                <w:szCs w:val="12"/>
                <w:lang w:val="fr-BE"/>
              </w:rPr>
              <w:t>001</w:t>
            </w:r>
          </w:p>
        </w:tc>
        <w:tc>
          <w:tcPr>
            <w:tcW w:w="0" w:type="auto"/>
          </w:tcPr>
          <w:p w14:paraId="10CB12A1" w14:textId="77777777" w:rsidR="008C5CFA" w:rsidRPr="00696324" w:rsidRDefault="00E82A60" w:rsidP="00300A01">
            <w:pPr>
              <w:spacing w:before="0" w:after="0"/>
              <w:rPr>
                <w:sz w:val="12"/>
                <w:szCs w:val="12"/>
                <w:lang w:val="fr-BE"/>
              </w:rPr>
            </w:pPr>
            <w:r w:rsidRPr="00696324">
              <w:rPr>
                <w:noProof/>
                <w:sz w:val="12"/>
                <w:szCs w:val="12"/>
                <w:lang w:val="fr-BE"/>
              </w:rPr>
              <w:t>Całkowita kwota certyfikowanych wydatków kwalifikowalnych</w:t>
            </w:r>
          </w:p>
        </w:tc>
        <w:tc>
          <w:tcPr>
            <w:tcW w:w="0" w:type="auto"/>
          </w:tcPr>
          <w:p w14:paraId="59965ABE" w14:textId="77777777" w:rsidR="008C5CFA" w:rsidRPr="00696324" w:rsidRDefault="00E82A60" w:rsidP="00300A01">
            <w:pPr>
              <w:spacing w:before="0" w:after="0"/>
              <w:rPr>
                <w:sz w:val="12"/>
                <w:szCs w:val="12"/>
                <w:lang w:val="fr-BE"/>
              </w:rPr>
            </w:pPr>
            <w:r w:rsidRPr="00696324">
              <w:rPr>
                <w:noProof/>
                <w:sz w:val="12"/>
                <w:szCs w:val="12"/>
                <w:lang w:val="fr-BE"/>
              </w:rPr>
              <w:t>EUR</w:t>
            </w:r>
          </w:p>
        </w:tc>
        <w:tc>
          <w:tcPr>
            <w:tcW w:w="0" w:type="auto"/>
          </w:tcPr>
          <w:p w14:paraId="782403F6" w14:textId="77777777" w:rsidR="008C5CFA" w:rsidRPr="00696324" w:rsidRDefault="00E82A60" w:rsidP="00300A01">
            <w:pPr>
              <w:spacing w:before="0" w:after="0"/>
              <w:rPr>
                <w:sz w:val="12"/>
                <w:szCs w:val="12"/>
                <w:lang w:val="fr-BE"/>
              </w:rPr>
            </w:pPr>
            <w:r w:rsidRPr="00D4605F">
              <w:rPr>
                <w:noProof/>
                <w:sz w:val="12"/>
                <w:szCs w:val="12"/>
                <w:lang w:val="fr-BE"/>
              </w:rPr>
              <w:t>EFRR</w:t>
            </w:r>
          </w:p>
        </w:tc>
        <w:tc>
          <w:tcPr>
            <w:tcW w:w="0" w:type="auto"/>
          </w:tcPr>
          <w:p w14:paraId="18B8E583" w14:textId="77777777" w:rsidR="008C5CFA" w:rsidRPr="00696324" w:rsidRDefault="00E82A60" w:rsidP="00300A01">
            <w:pPr>
              <w:spacing w:before="0" w:after="0"/>
              <w:rPr>
                <w:sz w:val="12"/>
                <w:szCs w:val="12"/>
                <w:lang w:val="fr-BE"/>
              </w:rPr>
            </w:pPr>
            <w:r w:rsidRPr="00D4605F">
              <w:rPr>
                <w:noProof/>
                <w:sz w:val="12"/>
                <w:szCs w:val="12"/>
                <w:lang w:val="fr-BE"/>
              </w:rPr>
              <w:t>Słabiej rozwinięte</w:t>
            </w:r>
          </w:p>
        </w:tc>
        <w:tc>
          <w:tcPr>
            <w:tcW w:w="0" w:type="auto"/>
            <w:shd w:val="clear" w:color="auto" w:fill="auto"/>
          </w:tcPr>
          <w:p w14:paraId="084990DC" w14:textId="77777777" w:rsidR="008C5CFA" w:rsidRPr="00696324" w:rsidRDefault="00E82A60" w:rsidP="00136029">
            <w:pPr>
              <w:spacing w:before="0" w:after="0"/>
              <w:jc w:val="right"/>
              <w:rPr>
                <w:sz w:val="12"/>
                <w:szCs w:val="12"/>
                <w:lang w:val="fr-BE"/>
              </w:rPr>
            </w:pPr>
            <w:r w:rsidRPr="00696324">
              <w:rPr>
                <w:noProof/>
                <w:sz w:val="12"/>
                <w:szCs w:val="12"/>
                <w:lang w:val="fr-BE"/>
              </w:rPr>
              <w:t>25 104 861,89</w:t>
            </w:r>
          </w:p>
        </w:tc>
        <w:tc>
          <w:tcPr>
            <w:tcW w:w="0" w:type="auto"/>
          </w:tcPr>
          <w:p w14:paraId="0946F93A" w14:textId="77777777" w:rsidR="008C5CFA" w:rsidRPr="00696324" w:rsidRDefault="00E82A60" w:rsidP="00136029">
            <w:pPr>
              <w:spacing w:before="0" w:after="0"/>
              <w:jc w:val="right"/>
              <w:rPr>
                <w:sz w:val="12"/>
                <w:szCs w:val="12"/>
                <w:lang w:val="fr-BE"/>
              </w:rPr>
            </w:pPr>
            <w:r w:rsidRPr="00696324">
              <w:rPr>
                <w:noProof/>
                <w:sz w:val="12"/>
                <w:szCs w:val="12"/>
                <w:lang w:val="fr-BE"/>
              </w:rPr>
              <w:t>63 916,72</w:t>
            </w:r>
          </w:p>
        </w:tc>
        <w:tc>
          <w:tcPr>
            <w:tcW w:w="0" w:type="auto"/>
          </w:tcPr>
          <w:p w14:paraId="02D3ED7B" w14:textId="77777777" w:rsidR="008C5CFA" w:rsidRPr="00696324" w:rsidRDefault="00E82A60" w:rsidP="00136029">
            <w:pPr>
              <w:spacing w:before="0" w:after="0"/>
              <w:jc w:val="right"/>
              <w:rPr>
                <w:sz w:val="12"/>
                <w:szCs w:val="12"/>
                <w:lang w:val="fr-BE"/>
              </w:rPr>
            </w:pPr>
            <w:r w:rsidRPr="00696324">
              <w:rPr>
                <w:noProof/>
                <w:sz w:val="12"/>
                <w:szCs w:val="12"/>
                <w:lang w:val="fr-BE"/>
              </w:rPr>
              <w:t>0,00</w:t>
            </w:r>
          </w:p>
        </w:tc>
        <w:tc>
          <w:tcPr>
            <w:tcW w:w="0" w:type="auto"/>
            <w:shd w:val="clear" w:color="auto" w:fill="auto"/>
          </w:tcPr>
          <w:p w14:paraId="174A3F22" w14:textId="77777777" w:rsidR="008C5CFA" w:rsidRPr="00696324" w:rsidRDefault="008C5CFA" w:rsidP="00300A01">
            <w:pPr>
              <w:spacing w:before="0" w:after="0"/>
              <w:rPr>
                <w:sz w:val="12"/>
                <w:szCs w:val="12"/>
                <w:lang w:val="fr-BE"/>
              </w:rPr>
            </w:pPr>
          </w:p>
        </w:tc>
      </w:tr>
      <w:tr w:rsidR="006B2EC1" w14:paraId="7BE579F3" w14:textId="77777777" w:rsidTr="0047688D">
        <w:tc>
          <w:tcPr>
            <w:tcW w:w="0" w:type="auto"/>
            <w:shd w:val="clear" w:color="auto" w:fill="auto"/>
          </w:tcPr>
          <w:p w14:paraId="31F54846" w14:textId="77777777" w:rsidR="008C5CFA" w:rsidRPr="00696324" w:rsidRDefault="00E82A60" w:rsidP="00300A01">
            <w:pPr>
              <w:spacing w:before="0" w:after="0"/>
              <w:rPr>
                <w:sz w:val="12"/>
                <w:szCs w:val="12"/>
                <w:lang w:val="fr-BE"/>
              </w:rPr>
            </w:pPr>
            <w:r w:rsidRPr="00696324">
              <w:rPr>
                <w:noProof/>
                <w:sz w:val="12"/>
                <w:szCs w:val="12"/>
                <w:lang w:val="fr-BE"/>
              </w:rPr>
              <w:t>3</w:t>
            </w:r>
          </w:p>
        </w:tc>
        <w:tc>
          <w:tcPr>
            <w:tcW w:w="0" w:type="auto"/>
            <w:shd w:val="clear" w:color="auto" w:fill="auto"/>
          </w:tcPr>
          <w:p w14:paraId="29E27E72" w14:textId="77777777" w:rsidR="008C5CFA" w:rsidRPr="00696324" w:rsidRDefault="00E82A60" w:rsidP="00300A01">
            <w:pPr>
              <w:spacing w:before="0" w:after="0"/>
              <w:rPr>
                <w:sz w:val="12"/>
                <w:szCs w:val="12"/>
                <w:lang w:val="fr-BE"/>
              </w:rPr>
            </w:pPr>
            <w:r w:rsidRPr="00696324">
              <w:rPr>
                <w:noProof/>
                <w:sz w:val="12"/>
                <w:szCs w:val="12"/>
                <w:lang w:val="fr-BE"/>
              </w:rPr>
              <w:t>O</w:t>
            </w:r>
          </w:p>
        </w:tc>
        <w:tc>
          <w:tcPr>
            <w:tcW w:w="0" w:type="auto"/>
          </w:tcPr>
          <w:p w14:paraId="7119AD28" w14:textId="77777777" w:rsidR="008C5CFA" w:rsidRPr="00696324" w:rsidRDefault="00E82A60" w:rsidP="00300A01">
            <w:pPr>
              <w:spacing w:before="0" w:after="0"/>
              <w:rPr>
                <w:sz w:val="12"/>
                <w:szCs w:val="12"/>
                <w:lang w:val="fr-BE"/>
              </w:rPr>
            </w:pPr>
            <w:r w:rsidRPr="00696324">
              <w:rPr>
                <w:noProof/>
                <w:sz w:val="12"/>
                <w:szCs w:val="12"/>
                <w:lang w:val="fr-BE"/>
              </w:rPr>
              <w:t>27</w:t>
            </w:r>
          </w:p>
        </w:tc>
        <w:tc>
          <w:tcPr>
            <w:tcW w:w="0" w:type="auto"/>
          </w:tcPr>
          <w:p w14:paraId="0114DE42" w14:textId="77777777" w:rsidR="008C5CFA" w:rsidRPr="00696324" w:rsidRDefault="00E82A60" w:rsidP="00300A01">
            <w:pPr>
              <w:spacing w:before="0" w:after="0"/>
              <w:rPr>
                <w:sz w:val="12"/>
                <w:szCs w:val="12"/>
                <w:lang w:val="fr-BE"/>
              </w:rPr>
            </w:pPr>
            <w:r w:rsidRPr="00696324">
              <w:rPr>
                <w:noProof/>
                <w:sz w:val="12"/>
                <w:szCs w:val="12"/>
                <w:lang w:val="fr-BE"/>
              </w:rPr>
              <w:t>Liczba jednostek wytwarzania energii elektrycznej z OZE</w:t>
            </w:r>
          </w:p>
        </w:tc>
        <w:tc>
          <w:tcPr>
            <w:tcW w:w="0" w:type="auto"/>
          </w:tcPr>
          <w:p w14:paraId="189F2DDF" w14:textId="77777777" w:rsidR="008C5CFA" w:rsidRPr="00696324" w:rsidRDefault="00E82A60" w:rsidP="00300A01">
            <w:pPr>
              <w:spacing w:before="0" w:after="0"/>
              <w:rPr>
                <w:sz w:val="12"/>
                <w:szCs w:val="12"/>
                <w:lang w:val="fr-BE"/>
              </w:rPr>
            </w:pPr>
            <w:r w:rsidRPr="00696324">
              <w:rPr>
                <w:noProof/>
                <w:sz w:val="12"/>
                <w:szCs w:val="12"/>
                <w:lang w:val="fr-BE"/>
              </w:rPr>
              <w:t>szt.</w:t>
            </w:r>
          </w:p>
        </w:tc>
        <w:tc>
          <w:tcPr>
            <w:tcW w:w="0" w:type="auto"/>
          </w:tcPr>
          <w:p w14:paraId="2DAF77B7" w14:textId="77777777" w:rsidR="008C5CFA" w:rsidRPr="00696324" w:rsidRDefault="00E82A60" w:rsidP="00300A01">
            <w:pPr>
              <w:spacing w:before="0" w:after="0"/>
              <w:rPr>
                <w:sz w:val="12"/>
                <w:szCs w:val="12"/>
                <w:lang w:val="fr-BE"/>
              </w:rPr>
            </w:pPr>
            <w:r w:rsidRPr="00D4605F">
              <w:rPr>
                <w:noProof/>
                <w:sz w:val="12"/>
                <w:szCs w:val="12"/>
                <w:lang w:val="fr-BE"/>
              </w:rPr>
              <w:t>EFRR</w:t>
            </w:r>
          </w:p>
        </w:tc>
        <w:tc>
          <w:tcPr>
            <w:tcW w:w="0" w:type="auto"/>
          </w:tcPr>
          <w:p w14:paraId="3F907332" w14:textId="77777777" w:rsidR="008C5CFA" w:rsidRPr="00696324" w:rsidRDefault="00E82A60" w:rsidP="00300A01">
            <w:pPr>
              <w:spacing w:before="0" w:after="0"/>
              <w:rPr>
                <w:sz w:val="12"/>
                <w:szCs w:val="12"/>
                <w:lang w:val="fr-BE"/>
              </w:rPr>
            </w:pPr>
            <w:r w:rsidRPr="00D4605F">
              <w:rPr>
                <w:noProof/>
                <w:sz w:val="12"/>
                <w:szCs w:val="12"/>
                <w:lang w:val="fr-BE"/>
              </w:rPr>
              <w:t>Słabiej rozwinięte</w:t>
            </w:r>
          </w:p>
        </w:tc>
        <w:tc>
          <w:tcPr>
            <w:tcW w:w="0" w:type="auto"/>
            <w:shd w:val="clear" w:color="auto" w:fill="auto"/>
          </w:tcPr>
          <w:p w14:paraId="23A020D7" w14:textId="77777777" w:rsidR="008C5CFA" w:rsidRPr="00696324" w:rsidRDefault="00E82A60" w:rsidP="00136029">
            <w:pPr>
              <w:spacing w:before="0" w:after="0"/>
              <w:jc w:val="right"/>
              <w:rPr>
                <w:sz w:val="12"/>
                <w:szCs w:val="12"/>
                <w:lang w:val="fr-BE"/>
              </w:rPr>
            </w:pPr>
            <w:r w:rsidRPr="00696324">
              <w:rPr>
                <w:noProof/>
                <w:sz w:val="12"/>
                <w:szCs w:val="12"/>
                <w:lang w:val="fr-BE"/>
              </w:rPr>
              <w:t>45,00</w:t>
            </w:r>
          </w:p>
        </w:tc>
        <w:tc>
          <w:tcPr>
            <w:tcW w:w="0" w:type="auto"/>
          </w:tcPr>
          <w:p w14:paraId="5118A7D4" w14:textId="77777777" w:rsidR="008C5CFA" w:rsidRPr="00696324" w:rsidRDefault="00E82A60" w:rsidP="00136029">
            <w:pPr>
              <w:spacing w:before="0" w:after="0"/>
              <w:jc w:val="right"/>
              <w:rPr>
                <w:sz w:val="12"/>
                <w:szCs w:val="12"/>
                <w:lang w:val="fr-BE"/>
              </w:rPr>
            </w:pPr>
            <w:r w:rsidRPr="00696324">
              <w:rPr>
                <w:noProof/>
                <w:sz w:val="12"/>
                <w:szCs w:val="12"/>
                <w:lang w:val="fr-BE"/>
              </w:rPr>
              <w:t>0,00</w:t>
            </w:r>
          </w:p>
        </w:tc>
        <w:tc>
          <w:tcPr>
            <w:tcW w:w="0" w:type="auto"/>
          </w:tcPr>
          <w:p w14:paraId="39EB540C" w14:textId="77777777" w:rsidR="008C5CFA" w:rsidRPr="00696324" w:rsidRDefault="00E82A60" w:rsidP="00136029">
            <w:pPr>
              <w:spacing w:before="0" w:after="0"/>
              <w:jc w:val="right"/>
              <w:rPr>
                <w:sz w:val="12"/>
                <w:szCs w:val="12"/>
                <w:lang w:val="fr-BE"/>
              </w:rPr>
            </w:pPr>
            <w:r w:rsidRPr="00696324">
              <w:rPr>
                <w:noProof/>
                <w:sz w:val="12"/>
                <w:szCs w:val="12"/>
                <w:lang w:val="fr-BE"/>
              </w:rPr>
              <w:t>0,00</w:t>
            </w:r>
          </w:p>
        </w:tc>
        <w:tc>
          <w:tcPr>
            <w:tcW w:w="0" w:type="auto"/>
            <w:shd w:val="clear" w:color="auto" w:fill="auto"/>
          </w:tcPr>
          <w:p w14:paraId="140416A5" w14:textId="77777777" w:rsidR="008C5CFA" w:rsidRPr="00696324" w:rsidRDefault="008C5CFA" w:rsidP="00300A01">
            <w:pPr>
              <w:spacing w:before="0" w:after="0"/>
              <w:rPr>
                <w:sz w:val="12"/>
                <w:szCs w:val="12"/>
                <w:lang w:val="fr-BE"/>
              </w:rPr>
            </w:pPr>
          </w:p>
        </w:tc>
      </w:tr>
      <w:tr w:rsidR="006B2EC1" w14:paraId="3D817267" w14:textId="77777777" w:rsidTr="0047688D">
        <w:tc>
          <w:tcPr>
            <w:tcW w:w="0" w:type="auto"/>
            <w:shd w:val="clear" w:color="auto" w:fill="auto"/>
          </w:tcPr>
          <w:p w14:paraId="2D846075" w14:textId="77777777" w:rsidR="008C5CFA" w:rsidRPr="00696324" w:rsidRDefault="00E82A60" w:rsidP="00300A01">
            <w:pPr>
              <w:spacing w:before="0" w:after="0"/>
              <w:rPr>
                <w:sz w:val="12"/>
                <w:szCs w:val="12"/>
                <w:lang w:val="fr-BE"/>
              </w:rPr>
            </w:pPr>
            <w:r w:rsidRPr="00696324">
              <w:rPr>
                <w:noProof/>
                <w:sz w:val="12"/>
                <w:szCs w:val="12"/>
                <w:lang w:val="fr-BE"/>
              </w:rPr>
              <w:t>3</w:t>
            </w:r>
          </w:p>
        </w:tc>
        <w:tc>
          <w:tcPr>
            <w:tcW w:w="0" w:type="auto"/>
            <w:shd w:val="clear" w:color="auto" w:fill="auto"/>
          </w:tcPr>
          <w:p w14:paraId="4A7521AD" w14:textId="77777777" w:rsidR="008C5CFA" w:rsidRPr="00696324" w:rsidRDefault="00E82A60" w:rsidP="00300A01">
            <w:pPr>
              <w:spacing w:before="0" w:after="0"/>
              <w:rPr>
                <w:sz w:val="12"/>
                <w:szCs w:val="12"/>
                <w:lang w:val="fr-BE"/>
              </w:rPr>
            </w:pPr>
            <w:r w:rsidRPr="00696324">
              <w:rPr>
                <w:noProof/>
                <w:sz w:val="12"/>
                <w:szCs w:val="12"/>
                <w:lang w:val="fr-BE"/>
              </w:rPr>
              <w:t>O</w:t>
            </w:r>
          </w:p>
        </w:tc>
        <w:tc>
          <w:tcPr>
            <w:tcW w:w="0" w:type="auto"/>
          </w:tcPr>
          <w:p w14:paraId="0A99B408" w14:textId="77777777" w:rsidR="008C5CFA" w:rsidRPr="00696324" w:rsidRDefault="00E82A60" w:rsidP="00300A01">
            <w:pPr>
              <w:spacing w:before="0" w:after="0"/>
              <w:rPr>
                <w:sz w:val="12"/>
                <w:szCs w:val="12"/>
                <w:lang w:val="fr-BE"/>
              </w:rPr>
            </w:pPr>
            <w:r w:rsidRPr="00696324">
              <w:rPr>
                <w:noProof/>
                <w:sz w:val="12"/>
                <w:szCs w:val="12"/>
                <w:lang w:val="fr-BE"/>
              </w:rPr>
              <w:t>31</w:t>
            </w:r>
          </w:p>
        </w:tc>
        <w:tc>
          <w:tcPr>
            <w:tcW w:w="0" w:type="auto"/>
          </w:tcPr>
          <w:p w14:paraId="459C43A3" w14:textId="77777777" w:rsidR="008C5CFA" w:rsidRPr="00696324" w:rsidRDefault="00E82A60" w:rsidP="00300A01">
            <w:pPr>
              <w:spacing w:before="0" w:after="0"/>
              <w:rPr>
                <w:sz w:val="12"/>
                <w:szCs w:val="12"/>
                <w:lang w:val="fr-BE"/>
              </w:rPr>
            </w:pPr>
            <w:r w:rsidRPr="00696324">
              <w:rPr>
                <w:noProof/>
                <w:sz w:val="12"/>
                <w:szCs w:val="12"/>
                <w:lang w:val="fr-BE"/>
              </w:rPr>
              <w:t>Liczba przedsiębiorstw, które w wyniku wsparcia poprawiły efektywność energetyczną</w:t>
            </w:r>
          </w:p>
        </w:tc>
        <w:tc>
          <w:tcPr>
            <w:tcW w:w="0" w:type="auto"/>
          </w:tcPr>
          <w:p w14:paraId="16DBAEEA" w14:textId="77777777" w:rsidR="008C5CFA" w:rsidRPr="00696324" w:rsidRDefault="00E82A60" w:rsidP="00300A01">
            <w:pPr>
              <w:spacing w:before="0" w:after="0"/>
              <w:rPr>
                <w:sz w:val="12"/>
                <w:szCs w:val="12"/>
                <w:lang w:val="fr-BE"/>
              </w:rPr>
            </w:pPr>
            <w:r w:rsidRPr="00696324">
              <w:rPr>
                <w:noProof/>
                <w:sz w:val="12"/>
                <w:szCs w:val="12"/>
                <w:lang w:val="fr-BE"/>
              </w:rPr>
              <w:t>szt.</w:t>
            </w:r>
          </w:p>
        </w:tc>
        <w:tc>
          <w:tcPr>
            <w:tcW w:w="0" w:type="auto"/>
          </w:tcPr>
          <w:p w14:paraId="04D213AA" w14:textId="77777777" w:rsidR="008C5CFA" w:rsidRPr="00696324" w:rsidRDefault="00E82A60" w:rsidP="00300A01">
            <w:pPr>
              <w:spacing w:before="0" w:after="0"/>
              <w:rPr>
                <w:sz w:val="12"/>
                <w:szCs w:val="12"/>
                <w:lang w:val="fr-BE"/>
              </w:rPr>
            </w:pPr>
            <w:r w:rsidRPr="00D4605F">
              <w:rPr>
                <w:noProof/>
                <w:sz w:val="12"/>
                <w:szCs w:val="12"/>
                <w:lang w:val="fr-BE"/>
              </w:rPr>
              <w:t>EFRR</w:t>
            </w:r>
          </w:p>
        </w:tc>
        <w:tc>
          <w:tcPr>
            <w:tcW w:w="0" w:type="auto"/>
          </w:tcPr>
          <w:p w14:paraId="0A490D45" w14:textId="77777777" w:rsidR="008C5CFA" w:rsidRPr="00696324" w:rsidRDefault="00E82A60" w:rsidP="00300A01">
            <w:pPr>
              <w:spacing w:before="0" w:after="0"/>
              <w:rPr>
                <w:sz w:val="12"/>
                <w:szCs w:val="12"/>
                <w:lang w:val="fr-BE"/>
              </w:rPr>
            </w:pPr>
            <w:r w:rsidRPr="00D4605F">
              <w:rPr>
                <w:noProof/>
                <w:sz w:val="12"/>
                <w:szCs w:val="12"/>
                <w:lang w:val="fr-BE"/>
              </w:rPr>
              <w:t>Słabiej rozwinięte</w:t>
            </w:r>
          </w:p>
        </w:tc>
        <w:tc>
          <w:tcPr>
            <w:tcW w:w="0" w:type="auto"/>
            <w:shd w:val="clear" w:color="auto" w:fill="auto"/>
          </w:tcPr>
          <w:p w14:paraId="2F8EBF7F" w14:textId="77777777" w:rsidR="008C5CFA" w:rsidRPr="00696324" w:rsidRDefault="00E82A60" w:rsidP="00136029">
            <w:pPr>
              <w:spacing w:before="0" w:after="0"/>
              <w:jc w:val="right"/>
              <w:rPr>
                <w:sz w:val="12"/>
                <w:szCs w:val="12"/>
                <w:lang w:val="fr-BE"/>
              </w:rPr>
            </w:pPr>
            <w:r w:rsidRPr="00696324">
              <w:rPr>
                <w:noProof/>
                <w:sz w:val="12"/>
                <w:szCs w:val="12"/>
                <w:lang w:val="fr-BE"/>
              </w:rPr>
              <w:t>19,00</w:t>
            </w:r>
          </w:p>
        </w:tc>
        <w:tc>
          <w:tcPr>
            <w:tcW w:w="0" w:type="auto"/>
          </w:tcPr>
          <w:p w14:paraId="12554428" w14:textId="77777777" w:rsidR="008C5CFA" w:rsidRPr="00696324" w:rsidRDefault="00E82A60" w:rsidP="00136029">
            <w:pPr>
              <w:spacing w:before="0" w:after="0"/>
              <w:jc w:val="right"/>
              <w:rPr>
                <w:sz w:val="12"/>
                <w:szCs w:val="12"/>
                <w:lang w:val="fr-BE"/>
              </w:rPr>
            </w:pPr>
            <w:r w:rsidRPr="00696324">
              <w:rPr>
                <w:noProof/>
                <w:sz w:val="12"/>
                <w:szCs w:val="12"/>
                <w:lang w:val="fr-BE"/>
              </w:rPr>
              <w:t>0,00</w:t>
            </w:r>
          </w:p>
        </w:tc>
        <w:tc>
          <w:tcPr>
            <w:tcW w:w="0" w:type="auto"/>
          </w:tcPr>
          <w:p w14:paraId="6C245DEA" w14:textId="77777777" w:rsidR="008C5CFA" w:rsidRPr="00696324" w:rsidRDefault="00E82A60" w:rsidP="00136029">
            <w:pPr>
              <w:spacing w:before="0" w:after="0"/>
              <w:jc w:val="right"/>
              <w:rPr>
                <w:sz w:val="12"/>
                <w:szCs w:val="12"/>
                <w:lang w:val="fr-BE"/>
              </w:rPr>
            </w:pPr>
            <w:r w:rsidRPr="00696324">
              <w:rPr>
                <w:noProof/>
                <w:sz w:val="12"/>
                <w:szCs w:val="12"/>
                <w:lang w:val="fr-BE"/>
              </w:rPr>
              <w:t>0,00</w:t>
            </w:r>
          </w:p>
        </w:tc>
        <w:tc>
          <w:tcPr>
            <w:tcW w:w="0" w:type="auto"/>
            <w:shd w:val="clear" w:color="auto" w:fill="auto"/>
          </w:tcPr>
          <w:p w14:paraId="4A33BA5E" w14:textId="77777777" w:rsidR="008C5CFA" w:rsidRPr="00696324" w:rsidRDefault="008C5CFA" w:rsidP="00300A01">
            <w:pPr>
              <w:spacing w:before="0" w:after="0"/>
              <w:rPr>
                <w:sz w:val="12"/>
                <w:szCs w:val="12"/>
                <w:lang w:val="fr-BE"/>
              </w:rPr>
            </w:pPr>
          </w:p>
        </w:tc>
      </w:tr>
      <w:tr w:rsidR="006B2EC1" w14:paraId="463135D7" w14:textId="77777777" w:rsidTr="0047688D">
        <w:tc>
          <w:tcPr>
            <w:tcW w:w="0" w:type="auto"/>
            <w:shd w:val="clear" w:color="auto" w:fill="auto"/>
          </w:tcPr>
          <w:p w14:paraId="2A0EB37C" w14:textId="77777777" w:rsidR="008C5CFA" w:rsidRPr="00696324" w:rsidRDefault="00E82A60" w:rsidP="00300A01">
            <w:pPr>
              <w:spacing w:before="0" w:after="0"/>
              <w:rPr>
                <w:sz w:val="12"/>
                <w:szCs w:val="12"/>
                <w:lang w:val="fr-BE"/>
              </w:rPr>
            </w:pPr>
            <w:r w:rsidRPr="00696324">
              <w:rPr>
                <w:noProof/>
                <w:sz w:val="12"/>
                <w:szCs w:val="12"/>
                <w:lang w:val="fr-BE"/>
              </w:rPr>
              <w:t>3</w:t>
            </w:r>
          </w:p>
        </w:tc>
        <w:tc>
          <w:tcPr>
            <w:tcW w:w="0" w:type="auto"/>
            <w:shd w:val="clear" w:color="auto" w:fill="auto"/>
          </w:tcPr>
          <w:p w14:paraId="11085C43" w14:textId="77777777" w:rsidR="008C5CFA" w:rsidRPr="00696324" w:rsidRDefault="00E82A60" w:rsidP="00300A01">
            <w:pPr>
              <w:spacing w:before="0" w:after="0"/>
              <w:rPr>
                <w:sz w:val="12"/>
                <w:szCs w:val="12"/>
                <w:lang w:val="fr-BE"/>
              </w:rPr>
            </w:pPr>
            <w:r w:rsidRPr="00696324">
              <w:rPr>
                <w:noProof/>
                <w:sz w:val="12"/>
                <w:szCs w:val="12"/>
                <w:lang w:val="fr-BE"/>
              </w:rPr>
              <w:t>O</w:t>
            </w:r>
          </w:p>
        </w:tc>
        <w:tc>
          <w:tcPr>
            <w:tcW w:w="0" w:type="auto"/>
          </w:tcPr>
          <w:p w14:paraId="08C8435F" w14:textId="77777777" w:rsidR="008C5CFA" w:rsidRPr="00696324" w:rsidRDefault="00E82A60" w:rsidP="00300A01">
            <w:pPr>
              <w:spacing w:before="0" w:after="0"/>
              <w:rPr>
                <w:sz w:val="12"/>
                <w:szCs w:val="12"/>
                <w:lang w:val="fr-BE"/>
              </w:rPr>
            </w:pPr>
            <w:r w:rsidRPr="00696324">
              <w:rPr>
                <w:noProof/>
                <w:sz w:val="12"/>
                <w:szCs w:val="12"/>
                <w:lang w:val="fr-BE"/>
              </w:rPr>
              <w:t>34</w:t>
            </w:r>
          </w:p>
        </w:tc>
        <w:tc>
          <w:tcPr>
            <w:tcW w:w="0" w:type="auto"/>
          </w:tcPr>
          <w:p w14:paraId="05CD3C80" w14:textId="77777777" w:rsidR="008C5CFA" w:rsidRPr="00696324" w:rsidRDefault="00E82A60" w:rsidP="00300A01">
            <w:pPr>
              <w:spacing w:before="0" w:after="0"/>
              <w:rPr>
                <w:sz w:val="12"/>
                <w:szCs w:val="12"/>
                <w:lang w:val="fr-BE"/>
              </w:rPr>
            </w:pPr>
            <w:r w:rsidRPr="00696324">
              <w:rPr>
                <w:noProof/>
                <w:sz w:val="12"/>
                <w:szCs w:val="12"/>
                <w:lang w:val="fr-BE"/>
              </w:rPr>
              <w:t>Liczba zmodernizowanych energetycznie budynków</w:t>
            </w:r>
          </w:p>
        </w:tc>
        <w:tc>
          <w:tcPr>
            <w:tcW w:w="0" w:type="auto"/>
          </w:tcPr>
          <w:p w14:paraId="2D96BBB0" w14:textId="77777777" w:rsidR="008C5CFA" w:rsidRPr="00696324" w:rsidRDefault="00E82A60" w:rsidP="00300A01">
            <w:pPr>
              <w:spacing w:before="0" w:after="0"/>
              <w:rPr>
                <w:sz w:val="12"/>
                <w:szCs w:val="12"/>
                <w:lang w:val="fr-BE"/>
              </w:rPr>
            </w:pPr>
            <w:r w:rsidRPr="00696324">
              <w:rPr>
                <w:noProof/>
                <w:sz w:val="12"/>
                <w:szCs w:val="12"/>
                <w:lang w:val="fr-BE"/>
              </w:rPr>
              <w:t>szt.</w:t>
            </w:r>
          </w:p>
        </w:tc>
        <w:tc>
          <w:tcPr>
            <w:tcW w:w="0" w:type="auto"/>
          </w:tcPr>
          <w:p w14:paraId="0AAB29D4" w14:textId="77777777" w:rsidR="008C5CFA" w:rsidRPr="00696324" w:rsidRDefault="00E82A60" w:rsidP="00300A01">
            <w:pPr>
              <w:spacing w:before="0" w:after="0"/>
              <w:rPr>
                <w:sz w:val="12"/>
                <w:szCs w:val="12"/>
                <w:lang w:val="fr-BE"/>
              </w:rPr>
            </w:pPr>
            <w:r w:rsidRPr="00D4605F">
              <w:rPr>
                <w:noProof/>
                <w:sz w:val="12"/>
                <w:szCs w:val="12"/>
                <w:lang w:val="fr-BE"/>
              </w:rPr>
              <w:t>EFRR</w:t>
            </w:r>
          </w:p>
        </w:tc>
        <w:tc>
          <w:tcPr>
            <w:tcW w:w="0" w:type="auto"/>
          </w:tcPr>
          <w:p w14:paraId="63706A27" w14:textId="77777777" w:rsidR="008C5CFA" w:rsidRPr="00696324" w:rsidRDefault="00E82A60" w:rsidP="00300A01">
            <w:pPr>
              <w:spacing w:before="0" w:after="0"/>
              <w:rPr>
                <w:sz w:val="12"/>
                <w:szCs w:val="12"/>
                <w:lang w:val="fr-BE"/>
              </w:rPr>
            </w:pPr>
            <w:r w:rsidRPr="00D4605F">
              <w:rPr>
                <w:noProof/>
                <w:sz w:val="12"/>
                <w:szCs w:val="12"/>
                <w:lang w:val="fr-BE"/>
              </w:rPr>
              <w:t>Słabiej rozwinięte</w:t>
            </w:r>
          </w:p>
        </w:tc>
        <w:tc>
          <w:tcPr>
            <w:tcW w:w="0" w:type="auto"/>
            <w:shd w:val="clear" w:color="auto" w:fill="auto"/>
          </w:tcPr>
          <w:p w14:paraId="6AA54696" w14:textId="77777777" w:rsidR="008C5CFA" w:rsidRPr="00696324" w:rsidRDefault="00E82A60" w:rsidP="00136029">
            <w:pPr>
              <w:spacing w:before="0" w:after="0"/>
              <w:jc w:val="right"/>
              <w:rPr>
                <w:sz w:val="12"/>
                <w:szCs w:val="12"/>
                <w:lang w:val="fr-BE"/>
              </w:rPr>
            </w:pPr>
            <w:r w:rsidRPr="00696324">
              <w:rPr>
                <w:noProof/>
                <w:sz w:val="12"/>
                <w:szCs w:val="12"/>
                <w:lang w:val="fr-BE"/>
              </w:rPr>
              <w:t>63,00</w:t>
            </w:r>
          </w:p>
        </w:tc>
        <w:tc>
          <w:tcPr>
            <w:tcW w:w="0" w:type="auto"/>
          </w:tcPr>
          <w:p w14:paraId="6191E253" w14:textId="77777777" w:rsidR="008C5CFA" w:rsidRPr="00696324" w:rsidRDefault="00E82A60" w:rsidP="00136029">
            <w:pPr>
              <w:spacing w:before="0" w:after="0"/>
              <w:jc w:val="right"/>
              <w:rPr>
                <w:sz w:val="12"/>
                <w:szCs w:val="12"/>
                <w:lang w:val="fr-BE"/>
              </w:rPr>
            </w:pPr>
            <w:r w:rsidRPr="00696324">
              <w:rPr>
                <w:noProof/>
                <w:sz w:val="12"/>
                <w:szCs w:val="12"/>
                <w:lang w:val="fr-BE"/>
              </w:rPr>
              <w:t>0,00</w:t>
            </w:r>
          </w:p>
        </w:tc>
        <w:tc>
          <w:tcPr>
            <w:tcW w:w="0" w:type="auto"/>
          </w:tcPr>
          <w:p w14:paraId="34A47154" w14:textId="77777777" w:rsidR="008C5CFA" w:rsidRPr="00696324" w:rsidRDefault="00E82A60" w:rsidP="00136029">
            <w:pPr>
              <w:spacing w:before="0" w:after="0"/>
              <w:jc w:val="right"/>
              <w:rPr>
                <w:sz w:val="12"/>
                <w:szCs w:val="12"/>
                <w:lang w:val="fr-BE"/>
              </w:rPr>
            </w:pPr>
            <w:r w:rsidRPr="00696324">
              <w:rPr>
                <w:noProof/>
                <w:sz w:val="12"/>
                <w:szCs w:val="12"/>
                <w:lang w:val="fr-BE"/>
              </w:rPr>
              <w:t>0,00</w:t>
            </w:r>
          </w:p>
        </w:tc>
        <w:tc>
          <w:tcPr>
            <w:tcW w:w="0" w:type="auto"/>
            <w:shd w:val="clear" w:color="auto" w:fill="auto"/>
          </w:tcPr>
          <w:p w14:paraId="239C81ED" w14:textId="77777777" w:rsidR="008C5CFA" w:rsidRPr="00696324" w:rsidRDefault="008C5CFA" w:rsidP="00300A01">
            <w:pPr>
              <w:spacing w:before="0" w:after="0"/>
              <w:rPr>
                <w:sz w:val="12"/>
                <w:szCs w:val="12"/>
                <w:lang w:val="fr-BE"/>
              </w:rPr>
            </w:pPr>
          </w:p>
        </w:tc>
      </w:tr>
      <w:tr w:rsidR="006B2EC1" w14:paraId="68BC3C13" w14:textId="77777777" w:rsidTr="0047688D">
        <w:tc>
          <w:tcPr>
            <w:tcW w:w="0" w:type="auto"/>
            <w:shd w:val="clear" w:color="auto" w:fill="auto"/>
          </w:tcPr>
          <w:p w14:paraId="68EB63A7" w14:textId="77777777" w:rsidR="008C5CFA" w:rsidRPr="00696324" w:rsidRDefault="00E82A60" w:rsidP="00300A01">
            <w:pPr>
              <w:spacing w:before="0" w:after="0"/>
              <w:rPr>
                <w:sz w:val="12"/>
                <w:szCs w:val="12"/>
                <w:lang w:val="fr-BE"/>
              </w:rPr>
            </w:pPr>
            <w:r w:rsidRPr="00696324">
              <w:rPr>
                <w:noProof/>
                <w:sz w:val="12"/>
                <w:szCs w:val="12"/>
                <w:lang w:val="fr-BE"/>
              </w:rPr>
              <w:t>4</w:t>
            </w:r>
          </w:p>
        </w:tc>
        <w:tc>
          <w:tcPr>
            <w:tcW w:w="0" w:type="auto"/>
            <w:shd w:val="clear" w:color="auto" w:fill="auto"/>
          </w:tcPr>
          <w:p w14:paraId="295AE2BF" w14:textId="77777777" w:rsidR="008C5CFA" w:rsidRPr="00696324" w:rsidRDefault="00E82A60" w:rsidP="00300A01">
            <w:pPr>
              <w:spacing w:before="0" w:after="0"/>
              <w:rPr>
                <w:sz w:val="12"/>
                <w:szCs w:val="12"/>
                <w:lang w:val="fr-BE"/>
              </w:rPr>
            </w:pPr>
            <w:r w:rsidRPr="00696324">
              <w:rPr>
                <w:noProof/>
                <w:sz w:val="12"/>
                <w:szCs w:val="12"/>
                <w:lang w:val="fr-BE"/>
              </w:rPr>
              <w:t>F</w:t>
            </w:r>
          </w:p>
        </w:tc>
        <w:tc>
          <w:tcPr>
            <w:tcW w:w="0" w:type="auto"/>
          </w:tcPr>
          <w:p w14:paraId="1EB99480" w14:textId="77777777" w:rsidR="008C5CFA" w:rsidRPr="00696324" w:rsidRDefault="00E82A60" w:rsidP="00300A01">
            <w:pPr>
              <w:spacing w:before="0" w:after="0"/>
              <w:rPr>
                <w:sz w:val="12"/>
                <w:szCs w:val="12"/>
                <w:lang w:val="fr-BE"/>
              </w:rPr>
            </w:pPr>
            <w:r w:rsidRPr="00696324">
              <w:rPr>
                <w:noProof/>
                <w:sz w:val="12"/>
                <w:szCs w:val="12"/>
                <w:lang w:val="fr-BE"/>
              </w:rPr>
              <w:t>001</w:t>
            </w:r>
          </w:p>
        </w:tc>
        <w:tc>
          <w:tcPr>
            <w:tcW w:w="0" w:type="auto"/>
          </w:tcPr>
          <w:p w14:paraId="5082C78B" w14:textId="77777777" w:rsidR="008C5CFA" w:rsidRPr="00696324" w:rsidRDefault="00E82A60" w:rsidP="00300A01">
            <w:pPr>
              <w:spacing w:before="0" w:after="0"/>
              <w:rPr>
                <w:sz w:val="12"/>
                <w:szCs w:val="12"/>
                <w:lang w:val="fr-BE"/>
              </w:rPr>
            </w:pPr>
            <w:r w:rsidRPr="00696324">
              <w:rPr>
                <w:noProof/>
                <w:sz w:val="12"/>
                <w:szCs w:val="12"/>
                <w:lang w:val="fr-BE"/>
              </w:rPr>
              <w:t>Całkowita kwota certyfikowanych wydatków kwalifikowalnych</w:t>
            </w:r>
          </w:p>
        </w:tc>
        <w:tc>
          <w:tcPr>
            <w:tcW w:w="0" w:type="auto"/>
          </w:tcPr>
          <w:p w14:paraId="442DFF8E" w14:textId="77777777" w:rsidR="008C5CFA" w:rsidRPr="00696324" w:rsidRDefault="00E82A60" w:rsidP="00300A01">
            <w:pPr>
              <w:spacing w:before="0" w:after="0"/>
              <w:rPr>
                <w:sz w:val="12"/>
                <w:szCs w:val="12"/>
                <w:lang w:val="fr-BE"/>
              </w:rPr>
            </w:pPr>
            <w:r w:rsidRPr="00696324">
              <w:rPr>
                <w:noProof/>
                <w:sz w:val="12"/>
                <w:szCs w:val="12"/>
                <w:lang w:val="fr-BE"/>
              </w:rPr>
              <w:t>EUR</w:t>
            </w:r>
          </w:p>
        </w:tc>
        <w:tc>
          <w:tcPr>
            <w:tcW w:w="0" w:type="auto"/>
          </w:tcPr>
          <w:p w14:paraId="33B1BF2E" w14:textId="77777777" w:rsidR="008C5CFA" w:rsidRPr="00696324" w:rsidRDefault="00E82A60" w:rsidP="00300A01">
            <w:pPr>
              <w:spacing w:before="0" w:after="0"/>
              <w:rPr>
                <w:sz w:val="12"/>
                <w:szCs w:val="12"/>
                <w:lang w:val="fr-BE"/>
              </w:rPr>
            </w:pPr>
            <w:r w:rsidRPr="00D4605F">
              <w:rPr>
                <w:noProof/>
                <w:sz w:val="12"/>
                <w:szCs w:val="12"/>
                <w:lang w:val="fr-BE"/>
              </w:rPr>
              <w:t>EFRR</w:t>
            </w:r>
          </w:p>
        </w:tc>
        <w:tc>
          <w:tcPr>
            <w:tcW w:w="0" w:type="auto"/>
          </w:tcPr>
          <w:p w14:paraId="45002453" w14:textId="77777777" w:rsidR="008C5CFA" w:rsidRPr="00696324" w:rsidRDefault="00E82A60" w:rsidP="00300A01">
            <w:pPr>
              <w:spacing w:before="0" w:after="0"/>
              <w:rPr>
                <w:sz w:val="12"/>
                <w:szCs w:val="12"/>
                <w:lang w:val="fr-BE"/>
              </w:rPr>
            </w:pPr>
            <w:r w:rsidRPr="00D4605F">
              <w:rPr>
                <w:noProof/>
                <w:sz w:val="12"/>
                <w:szCs w:val="12"/>
                <w:lang w:val="fr-BE"/>
              </w:rPr>
              <w:t>Słabiej rozwinięte</w:t>
            </w:r>
          </w:p>
        </w:tc>
        <w:tc>
          <w:tcPr>
            <w:tcW w:w="0" w:type="auto"/>
            <w:shd w:val="clear" w:color="auto" w:fill="auto"/>
          </w:tcPr>
          <w:p w14:paraId="317E4B1C" w14:textId="77777777" w:rsidR="008C5CFA" w:rsidRPr="00696324" w:rsidRDefault="00E82A60" w:rsidP="00136029">
            <w:pPr>
              <w:spacing w:before="0" w:after="0"/>
              <w:jc w:val="right"/>
              <w:rPr>
                <w:sz w:val="12"/>
                <w:szCs w:val="12"/>
                <w:lang w:val="fr-BE"/>
              </w:rPr>
            </w:pPr>
            <w:r w:rsidRPr="00696324">
              <w:rPr>
                <w:noProof/>
                <w:sz w:val="12"/>
                <w:szCs w:val="12"/>
                <w:lang w:val="fr-BE"/>
              </w:rPr>
              <w:t>23 917 393,46</w:t>
            </w:r>
          </w:p>
        </w:tc>
        <w:tc>
          <w:tcPr>
            <w:tcW w:w="0" w:type="auto"/>
          </w:tcPr>
          <w:p w14:paraId="55144B89" w14:textId="77777777" w:rsidR="008C5CFA" w:rsidRPr="00696324" w:rsidRDefault="00E82A60" w:rsidP="00136029">
            <w:pPr>
              <w:spacing w:before="0" w:after="0"/>
              <w:jc w:val="right"/>
              <w:rPr>
                <w:sz w:val="12"/>
                <w:szCs w:val="12"/>
                <w:lang w:val="fr-BE"/>
              </w:rPr>
            </w:pPr>
            <w:r w:rsidRPr="00696324">
              <w:rPr>
                <w:noProof/>
                <w:sz w:val="12"/>
                <w:szCs w:val="12"/>
                <w:lang w:val="fr-BE"/>
              </w:rPr>
              <w:t>3 532 367,02</w:t>
            </w:r>
          </w:p>
        </w:tc>
        <w:tc>
          <w:tcPr>
            <w:tcW w:w="0" w:type="auto"/>
          </w:tcPr>
          <w:p w14:paraId="06A2A2DC" w14:textId="77777777" w:rsidR="008C5CFA" w:rsidRPr="00696324" w:rsidRDefault="00E82A60" w:rsidP="00136029">
            <w:pPr>
              <w:spacing w:before="0" w:after="0"/>
              <w:jc w:val="right"/>
              <w:rPr>
                <w:sz w:val="12"/>
                <w:szCs w:val="12"/>
                <w:lang w:val="fr-BE"/>
              </w:rPr>
            </w:pPr>
            <w:r w:rsidRPr="00696324">
              <w:rPr>
                <w:noProof/>
                <w:sz w:val="12"/>
                <w:szCs w:val="12"/>
                <w:lang w:val="fr-BE"/>
              </w:rPr>
              <w:t>0,00</w:t>
            </w:r>
          </w:p>
        </w:tc>
        <w:tc>
          <w:tcPr>
            <w:tcW w:w="0" w:type="auto"/>
            <w:shd w:val="clear" w:color="auto" w:fill="auto"/>
          </w:tcPr>
          <w:p w14:paraId="284E8E77" w14:textId="77777777" w:rsidR="008C5CFA" w:rsidRPr="00696324" w:rsidRDefault="008C5CFA" w:rsidP="00300A01">
            <w:pPr>
              <w:spacing w:before="0" w:after="0"/>
              <w:rPr>
                <w:sz w:val="12"/>
                <w:szCs w:val="12"/>
                <w:lang w:val="fr-BE"/>
              </w:rPr>
            </w:pPr>
          </w:p>
        </w:tc>
      </w:tr>
      <w:tr w:rsidR="006B2EC1" w14:paraId="2C5DFE73" w14:textId="77777777" w:rsidTr="0047688D">
        <w:tc>
          <w:tcPr>
            <w:tcW w:w="0" w:type="auto"/>
            <w:shd w:val="clear" w:color="auto" w:fill="auto"/>
          </w:tcPr>
          <w:p w14:paraId="1859A4BC" w14:textId="77777777" w:rsidR="008C5CFA" w:rsidRPr="00696324" w:rsidRDefault="00E82A60" w:rsidP="00300A01">
            <w:pPr>
              <w:spacing w:before="0" w:after="0"/>
              <w:rPr>
                <w:sz w:val="12"/>
                <w:szCs w:val="12"/>
                <w:lang w:val="fr-BE"/>
              </w:rPr>
            </w:pPr>
            <w:r w:rsidRPr="00696324">
              <w:rPr>
                <w:noProof/>
                <w:sz w:val="12"/>
                <w:szCs w:val="12"/>
                <w:lang w:val="fr-BE"/>
              </w:rPr>
              <w:t>4</w:t>
            </w:r>
          </w:p>
        </w:tc>
        <w:tc>
          <w:tcPr>
            <w:tcW w:w="0" w:type="auto"/>
            <w:shd w:val="clear" w:color="auto" w:fill="auto"/>
          </w:tcPr>
          <w:p w14:paraId="42116F21" w14:textId="77777777" w:rsidR="008C5CFA" w:rsidRPr="00696324" w:rsidRDefault="00E82A60" w:rsidP="00300A01">
            <w:pPr>
              <w:spacing w:before="0" w:after="0"/>
              <w:rPr>
                <w:sz w:val="12"/>
                <w:szCs w:val="12"/>
                <w:lang w:val="fr-BE"/>
              </w:rPr>
            </w:pPr>
            <w:r w:rsidRPr="00696324">
              <w:rPr>
                <w:noProof/>
                <w:sz w:val="12"/>
                <w:szCs w:val="12"/>
                <w:lang w:val="fr-BE"/>
              </w:rPr>
              <w:t>O</w:t>
            </w:r>
          </w:p>
        </w:tc>
        <w:tc>
          <w:tcPr>
            <w:tcW w:w="0" w:type="auto"/>
          </w:tcPr>
          <w:p w14:paraId="31E10C9F" w14:textId="77777777" w:rsidR="008C5CFA" w:rsidRPr="00696324" w:rsidRDefault="00E82A60" w:rsidP="00300A01">
            <w:pPr>
              <w:spacing w:before="0" w:after="0"/>
              <w:rPr>
                <w:sz w:val="12"/>
                <w:szCs w:val="12"/>
                <w:lang w:val="fr-BE"/>
              </w:rPr>
            </w:pPr>
            <w:r w:rsidRPr="00696324">
              <w:rPr>
                <w:noProof/>
                <w:sz w:val="12"/>
                <w:szCs w:val="12"/>
                <w:lang w:val="fr-BE"/>
              </w:rPr>
              <w:t>47</w:t>
            </w:r>
          </w:p>
        </w:tc>
        <w:tc>
          <w:tcPr>
            <w:tcW w:w="0" w:type="auto"/>
          </w:tcPr>
          <w:p w14:paraId="21ADFC1E" w14:textId="77777777" w:rsidR="008C5CFA" w:rsidRPr="00696324" w:rsidRDefault="00E82A60" w:rsidP="00300A01">
            <w:pPr>
              <w:spacing w:before="0" w:after="0"/>
              <w:rPr>
                <w:sz w:val="12"/>
                <w:szCs w:val="12"/>
                <w:lang w:val="fr-BE"/>
              </w:rPr>
            </w:pPr>
            <w:r w:rsidRPr="00696324">
              <w:rPr>
                <w:noProof/>
                <w:sz w:val="12"/>
                <w:szCs w:val="12"/>
                <w:lang w:val="fr-BE"/>
              </w:rPr>
              <w:t>Liczba jednostek służb ratowniczych doposażonych  w sprzęt do prowadzenia akcji ratowniczych  i usuwania skutków katastrof</w:t>
            </w:r>
          </w:p>
        </w:tc>
        <w:tc>
          <w:tcPr>
            <w:tcW w:w="0" w:type="auto"/>
          </w:tcPr>
          <w:p w14:paraId="2AADC1E6" w14:textId="77777777" w:rsidR="008C5CFA" w:rsidRPr="00696324" w:rsidRDefault="00E82A60" w:rsidP="00300A01">
            <w:pPr>
              <w:spacing w:before="0" w:after="0"/>
              <w:rPr>
                <w:sz w:val="12"/>
                <w:szCs w:val="12"/>
                <w:lang w:val="fr-BE"/>
              </w:rPr>
            </w:pPr>
            <w:r w:rsidRPr="00696324">
              <w:rPr>
                <w:noProof/>
                <w:sz w:val="12"/>
                <w:szCs w:val="12"/>
                <w:lang w:val="fr-BE"/>
              </w:rPr>
              <w:t>szt.</w:t>
            </w:r>
          </w:p>
        </w:tc>
        <w:tc>
          <w:tcPr>
            <w:tcW w:w="0" w:type="auto"/>
          </w:tcPr>
          <w:p w14:paraId="66F45477" w14:textId="77777777" w:rsidR="008C5CFA" w:rsidRPr="00696324" w:rsidRDefault="00E82A60" w:rsidP="00300A01">
            <w:pPr>
              <w:spacing w:before="0" w:after="0"/>
              <w:rPr>
                <w:sz w:val="12"/>
                <w:szCs w:val="12"/>
                <w:lang w:val="fr-BE"/>
              </w:rPr>
            </w:pPr>
            <w:r w:rsidRPr="00D4605F">
              <w:rPr>
                <w:noProof/>
                <w:sz w:val="12"/>
                <w:szCs w:val="12"/>
                <w:lang w:val="fr-BE"/>
              </w:rPr>
              <w:t>EFRR</w:t>
            </w:r>
          </w:p>
        </w:tc>
        <w:tc>
          <w:tcPr>
            <w:tcW w:w="0" w:type="auto"/>
          </w:tcPr>
          <w:p w14:paraId="4659571C" w14:textId="77777777" w:rsidR="008C5CFA" w:rsidRPr="00696324" w:rsidRDefault="00E82A60" w:rsidP="00300A01">
            <w:pPr>
              <w:spacing w:before="0" w:after="0"/>
              <w:rPr>
                <w:sz w:val="12"/>
                <w:szCs w:val="12"/>
                <w:lang w:val="fr-BE"/>
              </w:rPr>
            </w:pPr>
            <w:r w:rsidRPr="00D4605F">
              <w:rPr>
                <w:noProof/>
                <w:sz w:val="12"/>
                <w:szCs w:val="12"/>
                <w:lang w:val="fr-BE"/>
              </w:rPr>
              <w:t>Słabiej rozwinięte</w:t>
            </w:r>
          </w:p>
        </w:tc>
        <w:tc>
          <w:tcPr>
            <w:tcW w:w="0" w:type="auto"/>
            <w:shd w:val="clear" w:color="auto" w:fill="auto"/>
          </w:tcPr>
          <w:p w14:paraId="6C6FAD01" w14:textId="77777777" w:rsidR="008C5CFA" w:rsidRPr="00696324" w:rsidRDefault="00E82A60" w:rsidP="00136029">
            <w:pPr>
              <w:spacing w:before="0" w:after="0"/>
              <w:jc w:val="right"/>
              <w:rPr>
                <w:sz w:val="12"/>
                <w:szCs w:val="12"/>
                <w:lang w:val="fr-BE"/>
              </w:rPr>
            </w:pPr>
            <w:r w:rsidRPr="00696324">
              <w:rPr>
                <w:noProof/>
                <w:sz w:val="12"/>
                <w:szCs w:val="12"/>
                <w:lang w:val="fr-BE"/>
              </w:rPr>
              <w:t>14,00</w:t>
            </w:r>
          </w:p>
        </w:tc>
        <w:tc>
          <w:tcPr>
            <w:tcW w:w="0" w:type="auto"/>
          </w:tcPr>
          <w:p w14:paraId="134CE56B" w14:textId="77777777" w:rsidR="008C5CFA" w:rsidRPr="00696324" w:rsidRDefault="00E82A60" w:rsidP="00136029">
            <w:pPr>
              <w:spacing w:before="0" w:after="0"/>
              <w:jc w:val="right"/>
              <w:rPr>
                <w:sz w:val="12"/>
                <w:szCs w:val="12"/>
                <w:lang w:val="fr-BE"/>
              </w:rPr>
            </w:pPr>
            <w:r w:rsidRPr="00696324">
              <w:rPr>
                <w:noProof/>
                <w:sz w:val="12"/>
                <w:szCs w:val="12"/>
                <w:lang w:val="fr-BE"/>
              </w:rPr>
              <w:t>11,00</w:t>
            </w:r>
          </w:p>
        </w:tc>
        <w:tc>
          <w:tcPr>
            <w:tcW w:w="0" w:type="auto"/>
          </w:tcPr>
          <w:p w14:paraId="0809FCA3" w14:textId="77777777" w:rsidR="008C5CFA" w:rsidRPr="00696324" w:rsidRDefault="00E82A60" w:rsidP="00136029">
            <w:pPr>
              <w:spacing w:before="0" w:after="0"/>
              <w:jc w:val="right"/>
              <w:rPr>
                <w:sz w:val="12"/>
                <w:szCs w:val="12"/>
                <w:lang w:val="fr-BE"/>
              </w:rPr>
            </w:pPr>
            <w:r w:rsidRPr="00696324">
              <w:rPr>
                <w:noProof/>
                <w:sz w:val="12"/>
                <w:szCs w:val="12"/>
                <w:lang w:val="fr-BE"/>
              </w:rPr>
              <w:t>0,00</w:t>
            </w:r>
          </w:p>
        </w:tc>
        <w:tc>
          <w:tcPr>
            <w:tcW w:w="0" w:type="auto"/>
            <w:shd w:val="clear" w:color="auto" w:fill="auto"/>
          </w:tcPr>
          <w:p w14:paraId="022DA6A0" w14:textId="77777777" w:rsidR="008C5CFA" w:rsidRPr="00696324" w:rsidRDefault="008C5CFA" w:rsidP="00300A01">
            <w:pPr>
              <w:spacing w:before="0" w:after="0"/>
              <w:rPr>
                <w:sz w:val="12"/>
                <w:szCs w:val="12"/>
                <w:lang w:val="fr-BE"/>
              </w:rPr>
            </w:pPr>
          </w:p>
        </w:tc>
      </w:tr>
      <w:tr w:rsidR="006B2EC1" w14:paraId="5066D084" w14:textId="77777777" w:rsidTr="0047688D">
        <w:tc>
          <w:tcPr>
            <w:tcW w:w="0" w:type="auto"/>
            <w:shd w:val="clear" w:color="auto" w:fill="auto"/>
          </w:tcPr>
          <w:p w14:paraId="2CF74FB5" w14:textId="77777777" w:rsidR="008C5CFA" w:rsidRPr="00696324" w:rsidRDefault="00E82A60" w:rsidP="00300A01">
            <w:pPr>
              <w:spacing w:before="0" w:after="0"/>
              <w:rPr>
                <w:sz w:val="12"/>
                <w:szCs w:val="12"/>
                <w:lang w:val="fr-BE"/>
              </w:rPr>
            </w:pPr>
            <w:r w:rsidRPr="00696324">
              <w:rPr>
                <w:noProof/>
                <w:sz w:val="12"/>
                <w:szCs w:val="12"/>
                <w:lang w:val="fr-BE"/>
              </w:rPr>
              <w:t>4</w:t>
            </w:r>
          </w:p>
        </w:tc>
        <w:tc>
          <w:tcPr>
            <w:tcW w:w="0" w:type="auto"/>
            <w:shd w:val="clear" w:color="auto" w:fill="auto"/>
          </w:tcPr>
          <w:p w14:paraId="26B999A3" w14:textId="77777777" w:rsidR="008C5CFA" w:rsidRPr="00696324" w:rsidRDefault="00E82A60" w:rsidP="00300A01">
            <w:pPr>
              <w:spacing w:before="0" w:after="0"/>
              <w:rPr>
                <w:sz w:val="12"/>
                <w:szCs w:val="12"/>
                <w:lang w:val="fr-BE"/>
              </w:rPr>
            </w:pPr>
            <w:r w:rsidRPr="00696324">
              <w:rPr>
                <w:noProof/>
                <w:sz w:val="12"/>
                <w:szCs w:val="12"/>
                <w:lang w:val="fr-BE"/>
              </w:rPr>
              <w:t>O</w:t>
            </w:r>
          </w:p>
        </w:tc>
        <w:tc>
          <w:tcPr>
            <w:tcW w:w="0" w:type="auto"/>
          </w:tcPr>
          <w:p w14:paraId="3947D59C" w14:textId="77777777" w:rsidR="008C5CFA" w:rsidRPr="00696324" w:rsidRDefault="00E82A60" w:rsidP="00300A01">
            <w:pPr>
              <w:spacing w:before="0" w:after="0"/>
              <w:rPr>
                <w:sz w:val="12"/>
                <w:szCs w:val="12"/>
                <w:lang w:val="fr-BE"/>
              </w:rPr>
            </w:pPr>
            <w:r w:rsidRPr="00696324">
              <w:rPr>
                <w:noProof/>
                <w:sz w:val="12"/>
                <w:szCs w:val="12"/>
                <w:lang w:val="fr-BE"/>
              </w:rPr>
              <w:t>56</w:t>
            </w:r>
          </w:p>
        </w:tc>
        <w:tc>
          <w:tcPr>
            <w:tcW w:w="0" w:type="auto"/>
          </w:tcPr>
          <w:p w14:paraId="13DAA1E2" w14:textId="77777777" w:rsidR="008C5CFA" w:rsidRPr="00696324" w:rsidRDefault="00E82A60" w:rsidP="00300A01">
            <w:pPr>
              <w:spacing w:before="0" w:after="0"/>
              <w:rPr>
                <w:sz w:val="12"/>
                <w:szCs w:val="12"/>
                <w:lang w:val="fr-BE"/>
              </w:rPr>
            </w:pPr>
            <w:r w:rsidRPr="00696324">
              <w:rPr>
                <w:noProof/>
                <w:sz w:val="12"/>
                <w:szCs w:val="12"/>
                <w:lang w:val="fr-BE"/>
              </w:rPr>
              <w:t>Długość wybudowanej kanalizacji sanitarnej</w:t>
            </w:r>
          </w:p>
        </w:tc>
        <w:tc>
          <w:tcPr>
            <w:tcW w:w="0" w:type="auto"/>
          </w:tcPr>
          <w:p w14:paraId="45811745" w14:textId="77777777" w:rsidR="008C5CFA" w:rsidRPr="00696324" w:rsidRDefault="00E82A60" w:rsidP="00300A01">
            <w:pPr>
              <w:spacing w:before="0" w:after="0"/>
              <w:rPr>
                <w:sz w:val="12"/>
                <w:szCs w:val="12"/>
                <w:lang w:val="fr-BE"/>
              </w:rPr>
            </w:pPr>
            <w:r w:rsidRPr="00696324">
              <w:rPr>
                <w:noProof/>
                <w:sz w:val="12"/>
                <w:szCs w:val="12"/>
                <w:lang w:val="fr-BE"/>
              </w:rPr>
              <w:t>km</w:t>
            </w:r>
          </w:p>
        </w:tc>
        <w:tc>
          <w:tcPr>
            <w:tcW w:w="0" w:type="auto"/>
          </w:tcPr>
          <w:p w14:paraId="04668671" w14:textId="77777777" w:rsidR="008C5CFA" w:rsidRPr="00696324" w:rsidRDefault="00E82A60" w:rsidP="00300A01">
            <w:pPr>
              <w:spacing w:before="0" w:after="0"/>
              <w:rPr>
                <w:sz w:val="12"/>
                <w:szCs w:val="12"/>
                <w:lang w:val="fr-BE"/>
              </w:rPr>
            </w:pPr>
            <w:r w:rsidRPr="00D4605F">
              <w:rPr>
                <w:noProof/>
                <w:sz w:val="12"/>
                <w:szCs w:val="12"/>
                <w:lang w:val="fr-BE"/>
              </w:rPr>
              <w:t>EFRR</w:t>
            </w:r>
          </w:p>
        </w:tc>
        <w:tc>
          <w:tcPr>
            <w:tcW w:w="0" w:type="auto"/>
          </w:tcPr>
          <w:p w14:paraId="6C403E64" w14:textId="77777777" w:rsidR="008C5CFA" w:rsidRPr="00696324" w:rsidRDefault="00E82A60" w:rsidP="00300A01">
            <w:pPr>
              <w:spacing w:before="0" w:after="0"/>
              <w:rPr>
                <w:sz w:val="12"/>
                <w:szCs w:val="12"/>
                <w:lang w:val="fr-BE"/>
              </w:rPr>
            </w:pPr>
            <w:r w:rsidRPr="00D4605F">
              <w:rPr>
                <w:noProof/>
                <w:sz w:val="12"/>
                <w:szCs w:val="12"/>
                <w:lang w:val="fr-BE"/>
              </w:rPr>
              <w:t>Słabiej rozwinięte</w:t>
            </w:r>
          </w:p>
        </w:tc>
        <w:tc>
          <w:tcPr>
            <w:tcW w:w="0" w:type="auto"/>
            <w:shd w:val="clear" w:color="auto" w:fill="auto"/>
          </w:tcPr>
          <w:p w14:paraId="77A67C02" w14:textId="77777777" w:rsidR="008C5CFA" w:rsidRPr="00696324" w:rsidRDefault="00E82A60" w:rsidP="00136029">
            <w:pPr>
              <w:spacing w:before="0" w:after="0"/>
              <w:jc w:val="right"/>
              <w:rPr>
                <w:sz w:val="12"/>
                <w:szCs w:val="12"/>
                <w:lang w:val="fr-BE"/>
              </w:rPr>
            </w:pPr>
            <w:r w:rsidRPr="00696324">
              <w:rPr>
                <w:noProof/>
                <w:sz w:val="12"/>
                <w:szCs w:val="12"/>
                <w:lang w:val="fr-BE"/>
              </w:rPr>
              <w:t>80,26</w:t>
            </w:r>
          </w:p>
        </w:tc>
        <w:tc>
          <w:tcPr>
            <w:tcW w:w="0" w:type="auto"/>
          </w:tcPr>
          <w:p w14:paraId="48F05854" w14:textId="77777777" w:rsidR="008C5CFA" w:rsidRPr="00696324" w:rsidRDefault="00E82A60" w:rsidP="00136029">
            <w:pPr>
              <w:spacing w:before="0" w:after="0"/>
              <w:jc w:val="right"/>
              <w:rPr>
                <w:sz w:val="12"/>
                <w:szCs w:val="12"/>
                <w:lang w:val="fr-BE"/>
              </w:rPr>
            </w:pPr>
            <w:r w:rsidRPr="00696324">
              <w:rPr>
                <w:noProof/>
                <w:sz w:val="12"/>
                <w:szCs w:val="12"/>
                <w:lang w:val="fr-BE"/>
              </w:rPr>
              <w:t>0,00</w:t>
            </w:r>
          </w:p>
        </w:tc>
        <w:tc>
          <w:tcPr>
            <w:tcW w:w="0" w:type="auto"/>
          </w:tcPr>
          <w:p w14:paraId="4779753E" w14:textId="77777777" w:rsidR="008C5CFA" w:rsidRPr="00696324" w:rsidRDefault="00E82A60" w:rsidP="00136029">
            <w:pPr>
              <w:spacing w:before="0" w:after="0"/>
              <w:jc w:val="right"/>
              <w:rPr>
                <w:sz w:val="12"/>
                <w:szCs w:val="12"/>
                <w:lang w:val="fr-BE"/>
              </w:rPr>
            </w:pPr>
            <w:r w:rsidRPr="00696324">
              <w:rPr>
                <w:noProof/>
                <w:sz w:val="12"/>
                <w:szCs w:val="12"/>
                <w:lang w:val="fr-BE"/>
              </w:rPr>
              <w:t>0,00</w:t>
            </w:r>
          </w:p>
        </w:tc>
        <w:tc>
          <w:tcPr>
            <w:tcW w:w="0" w:type="auto"/>
            <w:shd w:val="clear" w:color="auto" w:fill="auto"/>
          </w:tcPr>
          <w:p w14:paraId="1993A67D" w14:textId="77777777" w:rsidR="008C5CFA" w:rsidRPr="00696324" w:rsidRDefault="008C5CFA" w:rsidP="00300A01">
            <w:pPr>
              <w:spacing w:before="0" w:after="0"/>
              <w:rPr>
                <w:sz w:val="12"/>
                <w:szCs w:val="12"/>
                <w:lang w:val="fr-BE"/>
              </w:rPr>
            </w:pPr>
          </w:p>
        </w:tc>
      </w:tr>
      <w:tr w:rsidR="006B2EC1" w14:paraId="6B8E8388" w14:textId="77777777" w:rsidTr="0047688D">
        <w:tc>
          <w:tcPr>
            <w:tcW w:w="0" w:type="auto"/>
            <w:shd w:val="clear" w:color="auto" w:fill="auto"/>
          </w:tcPr>
          <w:p w14:paraId="135A4042" w14:textId="77777777" w:rsidR="008C5CFA" w:rsidRPr="00696324" w:rsidRDefault="00E82A60" w:rsidP="00300A01">
            <w:pPr>
              <w:spacing w:before="0" w:after="0"/>
              <w:rPr>
                <w:sz w:val="12"/>
                <w:szCs w:val="12"/>
                <w:lang w:val="fr-BE"/>
              </w:rPr>
            </w:pPr>
            <w:r w:rsidRPr="00696324">
              <w:rPr>
                <w:noProof/>
                <w:sz w:val="12"/>
                <w:szCs w:val="12"/>
                <w:lang w:val="fr-BE"/>
              </w:rPr>
              <w:t>4</w:t>
            </w:r>
          </w:p>
        </w:tc>
        <w:tc>
          <w:tcPr>
            <w:tcW w:w="0" w:type="auto"/>
            <w:shd w:val="clear" w:color="auto" w:fill="auto"/>
          </w:tcPr>
          <w:p w14:paraId="085FD176" w14:textId="77777777" w:rsidR="008C5CFA" w:rsidRPr="00696324" w:rsidRDefault="00E82A60" w:rsidP="00300A01">
            <w:pPr>
              <w:spacing w:before="0" w:after="0"/>
              <w:rPr>
                <w:sz w:val="12"/>
                <w:szCs w:val="12"/>
                <w:lang w:val="fr-BE"/>
              </w:rPr>
            </w:pPr>
            <w:r w:rsidRPr="00696324">
              <w:rPr>
                <w:noProof/>
                <w:sz w:val="12"/>
                <w:szCs w:val="12"/>
                <w:lang w:val="fr-BE"/>
              </w:rPr>
              <w:t>O</w:t>
            </w:r>
          </w:p>
        </w:tc>
        <w:tc>
          <w:tcPr>
            <w:tcW w:w="0" w:type="auto"/>
          </w:tcPr>
          <w:p w14:paraId="5EF35928" w14:textId="77777777" w:rsidR="008C5CFA" w:rsidRPr="00696324" w:rsidRDefault="00E82A60" w:rsidP="00300A01">
            <w:pPr>
              <w:spacing w:before="0" w:after="0"/>
              <w:rPr>
                <w:sz w:val="12"/>
                <w:szCs w:val="12"/>
                <w:lang w:val="fr-BE"/>
              </w:rPr>
            </w:pPr>
            <w:r w:rsidRPr="00696324">
              <w:rPr>
                <w:noProof/>
                <w:sz w:val="12"/>
                <w:szCs w:val="12"/>
                <w:lang w:val="fr-BE"/>
              </w:rPr>
              <w:t>70</w:t>
            </w:r>
          </w:p>
        </w:tc>
        <w:tc>
          <w:tcPr>
            <w:tcW w:w="0" w:type="auto"/>
          </w:tcPr>
          <w:p w14:paraId="38B043B3" w14:textId="77777777" w:rsidR="008C5CFA" w:rsidRPr="00696324" w:rsidRDefault="00E82A60" w:rsidP="00300A01">
            <w:pPr>
              <w:spacing w:before="0" w:after="0"/>
              <w:rPr>
                <w:sz w:val="12"/>
                <w:szCs w:val="12"/>
                <w:lang w:val="fr-BE"/>
              </w:rPr>
            </w:pPr>
            <w:r w:rsidRPr="00696324">
              <w:rPr>
                <w:noProof/>
                <w:sz w:val="12"/>
                <w:szCs w:val="12"/>
                <w:lang w:val="fr-BE"/>
              </w:rPr>
              <w:t>Liczba zabytków nieruchomych i instytucji kultury objętych wsparciem</w:t>
            </w:r>
          </w:p>
        </w:tc>
        <w:tc>
          <w:tcPr>
            <w:tcW w:w="0" w:type="auto"/>
          </w:tcPr>
          <w:p w14:paraId="5D2200A5" w14:textId="77777777" w:rsidR="008C5CFA" w:rsidRPr="00696324" w:rsidRDefault="00E82A60" w:rsidP="00300A01">
            <w:pPr>
              <w:spacing w:before="0" w:after="0"/>
              <w:rPr>
                <w:sz w:val="12"/>
                <w:szCs w:val="12"/>
                <w:lang w:val="fr-BE"/>
              </w:rPr>
            </w:pPr>
            <w:r w:rsidRPr="00696324">
              <w:rPr>
                <w:noProof/>
                <w:sz w:val="12"/>
                <w:szCs w:val="12"/>
                <w:lang w:val="fr-BE"/>
              </w:rPr>
              <w:t>szt.</w:t>
            </w:r>
          </w:p>
        </w:tc>
        <w:tc>
          <w:tcPr>
            <w:tcW w:w="0" w:type="auto"/>
          </w:tcPr>
          <w:p w14:paraId="7C7F92E1" w14:textId="77777777" w:rsidR="008C5CFA" w:rsidRPr="00696324" w:rsidRDefault="00E82A60" w:rsidP="00300A01">
            <w:pPr>
              <w:spacing w:before="0" w:after="0"/>
              <w:rPr>
                <w:sz w:val="12"/>
                <w:szCs w:val="12"/>
                <w:lang w:val="fr-BE"/>
              </w:rPr>
            </w:pPr>
            <w:r w:rsidRPr="00D4605F">
              <w:rPr>
                <w:noProof/>
                <w:sz w:val="12"/>
                <w:szCs w:val="12"/>
                <w:lang w:val="fr-BE"/>
              </w:rPr>
              <w:t>EFRR</w:t>
            </w:r>
          </w:p>
        </w:tc>
        <w:tc>
          <w:tcPr>
            <w:tcW w:w="0" w:type="auto"/>
          </w:tcPr>
          <w:p w14:paraId="4532B2E1" w14:textId="77777777" w:rsidR="008C5CFA" w:rsidRPr="00696324" w:rsidRDefault="00E82A60" w:rsidP="00300A01">
            <w:pPr>
              <w:spacing w:before="0" w:after="0"/>
              <w:rPr>
                <w:sz w:val="12"/>
                <w:szCs w:val="12"/>
                <w:lang w:val="fr-BE"/>
              </w:rPr>
            </w:pPr>
            <w:r w:rsidRPr="00D4605F">
              <w:rPr>
                <w:noProof/>
                <w:sz w:val="12"/>
                <w:szCs w:val="12"/>
                <w:lang w:val="fr-BE"/>
              </w:rPr>
              <w:t>Słabiej rozwinięte</w:t>
            </w:r>
          </w:p>
        </w:tc>
        <w:tc>
          <w:tcPr>
            <w:tcW w:w="0" w:type="auto"/>
            <w:shd w:val="clear" w:color="auto" w:fill="auto"/>
          </w:tcPr>
          <w:p w14:paraId="4505465E" w14:textId="77777777" w:rsidR="008C5CFA" w:rsidRPr="00696324" w:rsidRDefault="00E82A60" w:rsidP="00136029">
            <w:pPr>
              <w:spacing w:before="0" w:after="0"/>
              <w:jc w:val="right"/>
              <w:rPr>
                <w:sz w:val="12"/>
                <w:szCs w:val="12"/>
                <w:lang w:val="fr-BE"/>
              </w:rPr>
            </w:pPr>
            <w:r w:rsidRPr="00696324">
              <w:rPr>
                <w:noProof/>
                <w:sz w:val="12"/>
                <w:szCs w:val="12"/>
                <w:lang w:val="fr-BE"/>
              </w:rPr>
              <w:t>43,00</w:t>
            </w:r>
          </w:p>
        </w:tc>
        <w:tc>
          <w:tcPr>
            <w:tcW w:w="0" w:type="auto"/>
          </w:tcPr>
          <w:p w14:paraId="76695BD0" w14:textId="77777777" w:rsidR="008C5CFA" w:rsidRPr="00696324" w:rsidRDefault="00E82A60" w:rsidP="00136029">
            <w:pPr>
              <w:spacing w:before="0" w:after="0"/>
              <w:jc w:val="right"/>
              <w:rPr>
                <w:sz w:val="12"/>
                <w:szCs w:val="12"/>
                <w:lang w:val="fr-BE"/>
              </w:rPr>
            </w:pPr>
            <w:r w:rsidRPr="00696324">
              <w:rPr>
                <w:noProof/>
                <w:sz w:val="12"/>
                <w:szCs w:val="12"/>
                <w:lang w:val="fr-BE"/>
              </w:rPr>
              <w:t>0,00</w:t>
            </w:r>
          </w:p>
        </w:tc>
        <w:tc>
          <w:tcPr>
            <w:tcW w:w="0" w:type="auto"/>
          </w:tcPr>
          <w:p w14:paraId="42F42855" w14:textId="77777777" w:rsidR="008C5CFA" w:rsidRPr="00696324" w:rsidRDefault="00E82A60" w:rsidP="00136029">
            <w:pPr>
              <w:spacing w:before="0" w:after="0"/>
              <w:jc w:val="right"/>
              <w:rPr>
                <w:sz w:val="12"/>
                <w:szCs w:val="12"/>
                <w:lang w:val="fr-BE"/>
              </w:rPr>
            </w:pPr>
            <w:r w:rsidRPr="00696324">
              <w:rPr>
                <w:noProof/>
                <w:sz w:val="12"/>
                <w:szCs w:val="12"/>
                <w:lang w:val="fr-BE"/>
              </w:rPr>
              <w:t>0,00</w:t>
            </w:r>
          </w:p>
        </w:tc>
        <w:tc>
          <w:tcPr>
            <w:tcW w:w="0" w:type="auto"/>
            <w:shd w:val="clear" w:color="auto" w:fill="auto"/>
          </w:tcPr>
          <w:p w14:paraId="2BBC22C4" w14:textId="77777777" w:rsidR="008C5CFA" w:rsidRPr="00696324" w:rsidRDefault="008C5CFA" w:rsidP="00300A01">
            <w:pPr>
              <w:spacing w:before="0" w:after="0"/>
              <w:rPr>
                <w:sz w:val="12"/>
                <w:szCs w:val="12"/>
                <w:lang w:val="fr-BE"/>
              </w:rPr>
            </w:pPr>
          </w:p>
        </w:tc>
      </w:tr>
      <w:tr w:rsidR="006B2EC1" w14:paraId="23DFCAEC" w14:textId="77777777" w:rsidTr="0047688D">
        <w:tc>
          <w:tcPr>
            <w:tcW w:w="0" w:type="auto"/>
            <w:shd w:val="clear" w:color="auto" w:fill="auto"/>
          </w:tcPr>
          <w:p w14:paraId="5558D970" w14:textId="77777777" w:rsidR="008C5CFA" w:rsidRPr="00696324" w:rsidRDefault="00E82A60" w:rsidP="00300A01">
            <w:pPr>
              <w:spacing w:before="0" w:after="0"/>
              <w:rPr>
                <w:sz w:val="12"/>
                <w:szCs w:val="12"/>
                <w:lang w:val="fr-BE"/>
              </w:rPr>
            </w:pPr>
            <w:r w:rsidRPr="00696324">
              <w:rPr>
                <w:noProof/>
                <w:sz w:val="12"/>
                <w:szCs w:val="12"/>
                <w:lang w:val="fr-BE"/>
              </w:rPr>
              <w:t>5</w:t>
            </w:r>
          </w:p>
        </w:tc>
        <w:tc>
          <w:tcPr>
            <w:tcW w:w="0" w:type="auto"/>
            <w:shd w:val="clear" w:color="auto" w:fill="auto"/>
          </w:tcPr>
          <w:p w14:paraId="4C9A8038" w14:textId="77777777" w:rsidR="008C5CFA" w:rsidRPr="00696324" w:rsidRDefault="00E82A60" w:rsidP="00300A01">
            <w:pPr>
              <w:spacing w:before="0" w:after="0"/>
              <w:rPr>
                <w:sz w:val="12"/>
                <w:szCs w:val="12"/>
                <w:lang w:val="fr-BE"/>
              </w:rPr>
            </w:pPr>
            <w:r w:rsidRPr="00696324">
              <w:rPr>
                <w:noProof/>
                <w:sz w:val="12"/>
                <w:szCs w:val="12"/>
                <w:lang w:val="fr-BE"/>
              </w:rPr>
              <w:t>F</w:t>
            </w:r>
          </w:p>
        </w:tc>
        <w:tc>
          <w:tcPr>
            <w:tcW w:w="0" w:type="auto"/>
          </w:tcPr>
          <w:p w14:paraId="5E35B8B6" w14:textId="77777777" w:rsidR="008C5CFA" w:rsidRPr="00696324" w:rsidRDefault="00E82A60" w:rsidP="00300A01">
            <w:pPr>
              <w:spacing w:before="0" w:after="0"/>
              <w:rPr>
                <w:sz w:val="12"/>
                <w:szCs w:val="12"/>
                <w:lang w:val="fr-BE"/>
              </w:rPr>
            </w:pPr>
            <w:r w:rsidRPr="00696324">
              <w:rPr>
                <w:noProof/>
                <w:sz w:val="12"/>
                <w:szCs w:val="12"/>
                <w:lang w:val="fr-BE"/>
              </w:rPr>
              <w:t>001</w:t>
            </w:r>
          </w:p>
        </w:tc>
        <w:tc>
          <w:tcPr>
            <w:tcW w:w="0" w:type="auto"/>
          </w:tcPr>
          <w:p w14:paraId="4DFC0C30" w14:textId="77777777" w:rsidR="008C5CFA" w:rsidRPr="00696324" w:rsidRDefault="00E82A60" w:rsidP="00300A01">
            <w:pPr>
              <w:spacing w:before="0" w:after="0"/>
              <w:rPr>
                <w:sz w:val="12"/>
                <w:szCs w:val="12"/>
                <w:lang w:val="fr-BE"/>
              </w:rPr>
            </w:pPr>
            <w:r w:rsidRPr="00696324">
              <w:rPr>
                <w:noProof/>
                <w:sz w:val="12"/>
                <w:szCs w:val="12"/>
                <w:lang w:val="fr-BE"/>
              </w:rPr>
              <w:t>Całkowita kwota certyfikowanych wydatków kwalifikowalnych</w:t>
            </w:r>
          </w:p>
        </w:tc>
        <w:tc>
          <w:tcPr>
            <w:tcW w:w="0" w:type="auto"/>
          </w:tcPr>
          <w:p w14:paraId="596C60C2" w14:textId="77777777" w:rsidR="008C5CFA" w:rsidRPr="00696324" w:rsidRDefault="00E82A60" w:rsidP="00300A01">
            <w:pPr>
              <w:spacing w:before="0" w:after="0"/>
              <w:rPr>
                <w:sz w:val="12"/>
                <w:szCs w:val="12"/>
                <w:lang w:val="fr-BE"/>
              </w:rPr>
            </w:pPr>
            <w:r w:rsidRPr="00696324">
              <w:rPr>
                <w:noProof/>
                <w:sz w:val="12"/>
                <w:szCs w:val="12"/>
                <w:lang w:val="fr-BE"/>
              </w:rPr>
              <w:t>EUR</w:t>
            </w:r>
          </w:p>
        </w:tc>
        <w:tc>
          <w:tcPr>
            <w:tcW w:w="0" w:type="auto"/>
          </w:tcPr>
          <w:p w14:paraId="2DC8CBB8" w14:textId="77777777" w:rsidR="008C5CFA" w:rsidRPr="00696324" w:rsidRDefault="00E82A60" w:rsidP="00300A01">
            <w:pPr>
              <w:spacing w:before="0" w:after="0"/>
              <w:rPr>
                <w:sz w:val="12"/>
                <w:szCs w:val="12"/>
                <w:lang w:val="fr-BE"/>
              </w:rPr>
            </w:pPr>
            <w:r w:rsidRPr="00D4605F">
              <w:rPr>
                <w:noProof/>
                <w:sz w:val="12"/>
                <w:szCs w:val="12"/>
                <w:lang w:val="fr-BE"/>
              </w:rPr>
              <w:t>EFRR</w:t>
            </w:r>
          </w:p>
        </w:tc>
        <w:tc>
          <w:tcPr>
            <w:tcW w:w="0" w:type="auto"/>
          </w:tcPr>
          <w:p w14:paraId="0B3C1223" w14:textId="77777777" w:rsidR="008C5CFA" w:rsidRPr="00696324" w:rsidRDefault="00E82A60" w:rsidP="00300A01">
            <w:pPr>
              <w:spacing w:before="0" w:after="0"/>
              <w:rPr>
                <w:sz w:val="12"/>
                <w:szCs w:val="12"/>
                <w:lang w:val="fr-BE"/>
              </w:rPr>
            </w:pPr>
            <w:r w:rsidRPr="00D4605F">
              <w:rPr>
                <w:noProof/>
                <w:sz w:val="12"/>
                <w:szCs w:val="12"/>
                <w:lang w:val="fr-BE"/>
              </w:rPr>
              <w:t>Słabiej rozwinięte</w:t>
            </w:r>
          </w:p>
        </w:tc>
        <w:tc>
          <w:tcPr>
            <w:tcW w:w="0" w:type="auto"/>
            <w:shd w:val="clear" w:color="auto" w:fill="auto"/>
          </w:tcPr>
          <w:p w14:paraId="1A907659" w14:textId="77777777" w:rsidR="008C5CFA" w:rsidRPr="00696324" w:rsidRDefault="00E82A60" w:rsidP="00136029">
            <w:pPr>
              <w:spacing w:before="0" w:after="0"/>
              <w:jc w:val="right"/>
              <w:rPr>
                <w:sz w:val="12"/>
                <w:szCs w:val="12"/>
                <w:lang w:val="fr-BE"/>
              </w:rPr>
            </w:pPr>
            <w:r w:rsidRPr="00696324">
              <w:rPr>
                <w:noProof/>
                <w:sz w:val="12"/>
                <w:szCs w:val="12"/>
                <w:lang w:val="fr-BE"/>
              </w:rPr>
              <w:t>44 226 029,89</w:t>
            </w:r>
          </w:p>
        </w:tc>
        <w:tc>
          <w:tcPr>
            <w:tcW w:w="0" w:type="auto"/>
          </w:tcPr>
          <w:p w14:paraId="3318FF90" w14:textId="77777777" w:rsidR="008C5CFA" w:rsidRPr="00696324" w:rsidRDefault="00E82A60" w:rsidP="00136029">
            <w:pPr>
              <w:spacing w:before="0" w:after="0"/>
              <w:jc w:val="right"/>
              <w:rPr>
                <w:sz w:val="12"/>
                <w:szCs w:val="12"/>
                <w:lang w:val="fr-BE"/>
              </w:rPr>
            </w:pPr>
            <w:r w:rsidRPr="00696324">
              <w:rPr>
                <w:noProof/>
                <w:sz w:val="12"/>
                <w:szCs w:val="12"/>
                <w:lang w:val="fr-BE"/>
              </w:rPr>
              <w:t>14 427 814,46</w:t>
            </w:r>
          </w:p>
        </w:tc>
        <w:tc>
          <w:tcPr>
            <w:tcW w:w="0" w:type="auto"/>
          </w:tcPr>
          <w:p w14:paraId="6110F8E0" w14:textId="77777777" w:rsidR="008C5CFA" w:rsidRPr="00696324" w:rsidRDefault="00E82A60" w:rsidP="00136029">
            <w:pPr>
              <w:spacing w:before="0" w:after="0"/>
              <w:jc w:val="right"/>
              <w:rPr>
                <w:sz w:val="12"/>
                <w:szCs w:val="12"/>
                <w:lang w:val="fr-BE"/>
              </w:rPr>
            </w:pPr>
            <w:r w:rsidRPr="00696324">
              <w:rPr>
                <w:noProof/>
                <w:sz w:val="12"/>
                <w:szCs w:val="12"/>
                <w:lang w:val="fr-BE"/>
              </w:rPr>
              <w:t>0,00</w:t>
            </w:r>
          </w:p>
        </w:tc>
        <w:tc>
          <w:tcPr>
            <w:tcW w:w="0" w:type="auto"/>
            <w:shd w:val="clear" w:color="auto" w:fill="auto"/>
          </w:tcPr>
          <w:p w14:paraId="632880BD" w14:textId="77777777" w:rsidR="008C5CFA" w:rsidRPr="00696324" w:rsidRDefault="008C5CFA" w:rsidP="00300A01">
            <w:pPr>
              <w:spacing w:before="0" w:after="0"/>
              <w:rPr>
                <w:sz w:val="12"/>
                <w:szCs w:val="12"/>
                <w:lang w:val="fr-BE"/>
              </w:rPr>
            </w:pPr>
          </w:p>
        </w:tc>
      </w:tr>
      <w:tr w:rsidR="006B2EC1" w14:paraId="491113EB" w14:textId="77777777" w:rsidTr="0047688D">
        <w:tc>
          <w:tcPr>
            <w:tcW w:w="0" w:type="auto"/>
            <w:shd w:val="clear" w:color="auto" w:fill="auto"/>
          </w:tcPr>
          <w:p w14:paraId="5B7887AA" w14:textId="77777777" w:rsidR="008C5CFA" w:rsidRPr="00696324" w:rsidRDefault="00E82A60" w:rsidP="00300A01">
            <w:pPr>
              <w:spacing w:before="0" w:after="0"/>
              <w:rPr>
                <w:sz w:val="12"/>
                <w:szCs w:val="12"/>
                <w:lang w:val="fr-BE"/>
              </w:rPr>
            </w:pPr>
            <w:r w:rsidRPr="00696324">
              <w:rPr>
                <w:noProof/>
                <w:sz w:val="12"/>
                <w:szCs w:val="12"/>
                <w:lang w:val="fr-BE"/>
              </w:rPr>
              <w:t>5</w:t>
            </w:r>
          </w:p>
        </w:tc>
        <w:tc>
          <w:tcPr>
            <w:tcW w:w="0" w:type="auto"/>
            <w:shd w:val="clear" w:color="auto" w:fill="auto"/>
          </w:tcPr>
          <w:p w14:paraId="39F96CFC" w14:textId="77777777" w:rsidR="008C5CFA" w:rsidRPr="00696324" w:rsidRDefault="00E82A60" w:rsidP="00300A01">
            <w:pPr>
              <w:spacing w:before="0" w:after="0"/>
              <w:rPr>
                <w:sz w:val="12"/>
                <w:szCs w:val="12"/>
                <w:lang w:val="fr-BE"/>
              </w:rPr>
            </w:pPr>
            <w:r w:rsidRPr="00696324">
              <w:rPr>
                <w:noProof/>
                <w:sz w:val="12"/>
                <w:szCs w:val="12"/>
                <w:lang w:val="fr-BE"/>
              </w:rPr>
              <w:t>O</w:t>
            </w:r>
          </w:p>
        </w:tc>
        <w:tc>
          <w:tcPr>
            <w:tcW w:w="0" w:type="auto"/>
          </w:tcPr>
          <w:p w14:paraId="30D6CC6D" w14:textId="77777777" w:rsidR="008C5CFA" w:rsidRPr="00696324" w:rsidRDefault="00E82A60" w:rsidP="00300A01">
            <w:pPr>
              <w:spacing w:before="0" w:after="0"/>
              <w:rPr>
                <w:sz w:val="12"/>
                <w:szCs w:val="12"/>
                <w:lang w:val="fr-BE"/>
              </w:rPr>
            </w:pPr>
            <w:r w:rsidRPr="00696324">
              <w:rPr>
                <w:noProof/>
                <w:sz w:val="12"/>
                <w:szCs w:val="12"/>
                <w:lang w:val="fr-BE"/>
              </w:rPr>
              <w:t>148</w:t>
            </w:r>
          </w:p>
        </w:tc>
        <w:tc>
          <w:tcPr>
            <w:tcW w:w="0" w:type="auto"/>
          </w:tcPr>
          <w:p w14:paraId="3B6D3303" w14:textId="77777777" w:rsidR="008C5CFA" w:rsidRPr="00696324" w:rsidRDefault="00E82A60" w:rsidP="00300A01">
            <w:pPr>
              <w:spacing w:before="0" w:after="0"/>
              <w:rPr>
                <w:sz w:val="12"/>
                <w:szCs w:val="12"/>
                <w:lang w:val="fr-BE"/>
              </w:rPr>
            </w:pPr>
            <w:r w:rsidRPr="00696324">
              <w:rPr>
                <w:noProof/>
                <w:sz w:val="12"/>
                <w:szCs w:val="12"/>
                <w:lang w:val="fr-BE"/>
              </w:rPr>
              <w:t>Całkowita długość nowych, przebudowanych lub zmodernizowanych dróg</w:t>
            </w:r>
          </w:p>
        </w:tc>
        <w:tc>
          <w:tcPr>
            <w:tcW w:w="0" w:type="auto"/>
          </w:tcPr>
          <w:p w14:paraId="674AC384" w14:textId="77777777" w:rsidR="008C5CFA" w:rsidRPr="00696324" w:rsidRDefault="00E82A60" w:rsidP="00300A01">
            <w:pPr>
              <w:spacing w:before="0" w:after="0"/>
              <w:rPr>
                <w:sz w:val="12"/>
                <w:szCs w:val="12"/>
                <w:lang w:val="fr-BE"/>
              </w:rPr>
            </w:pPr>
            <w:r w:rsidRPr="00696324">
              <w:rPr>
                <w:noProof/>
                <w:sz w:val="12"/>
                <w:szCs w:val="12"/>
                <w:lang w:val="fr-BE"/>
              </w:rPr>
              <w:t>km</w:t>
            </w:r>
          </w:p>
        </w:tc>
        <w:tc>
          <w:tcPr>
            <w:tcW w:w="0" w:type="auto"/>
          </w:tcPr>
          <w:p w14:paraId="3A3B9F75" w14:textId="77777777" w:rsidR="008C5CFA" w:rsidRPr="00696324" w:rsidRDefault="00E82A60" w:rsidP="00300A01">
            <w:pPr>
              <w:spacing w:before="0" w:after="0"/>
              <w:rPr>
                <w:sz w:val="12"/>
                <w:szCs w:val="12"/>
                <w:lang w:val="fr-BE"/>
              </w:rPr>
            </w:pPr>
            <w:r w:rsidRPr="00D4605F">
              <w:rPr>
                <w:noProof/>
                <w:sz w:val="12"/>
                <w:szCs w:val="12"/>
                <w:lang w:val="fr-BE"/>
              </w:rPr>
              <w:t>EFRR</w:t>
            </w:r>
          </w:p>
        </w:tc>
        <w:tc>
          <w:tcPr>
            <w:tcW w:w="0" w:type="auto"/>
          </w:tcPr>
          <w:p w14:paraId="1C6112B0" w14:textId="77777777" w:rsidR="008C5CFA" w:rsidRPr="00696324" w:rsidRDefault="00E82A60" w:rsidP="00300A01">
            <w:pPr>
              <w:spacing w:before="0" w:after="0"/>
              <w:rPr>
                <w:sz w:val="12"/>
                <w:szCs w:val="12"/>
                <w:lang w:val="fr-BE"/>
              </w:rPr>
            </w:pPr>
            <w:r w:rsidRPr="00D4605F">
              <w:rPr>
                <w:noProof/>
                <w:sz w:val="12"/>
                <w:szCs w:val="12"/>
                <w:lang w:val="fr-BE"/>
              </w:rPr>
              <w:t>Słabiej rozwinięte</w:t>
            </w:r>
          </w:p>
        </w:tc>
        <w:tc>
          <w:tcPr>
            <w:tcW w:w="0" w:type="auto"/>
            <w:shd w:val="clear" w:color="auto" w:fill="auto"/>
          </w:tcPr>
          <w:p w14:paraId="5316B2D8" w14:textId="77777777" w:rsidR="008C5CFA" w:rsidRPr="00696324" w:rsidRDefault="00E82A60" w:rsidP="00136029">
            <w:pPr>
              <w:spacing w:before="0" w:after="0"/>
              <w:jc w:val="right"/>
              <w:rPr>
                <w:sz w:val="12"/>
                <w:szCs w:val="12"/>
                <w:lang w:val="fr-BE"/>
              </w:rPr>
            </w:pPr>
            <w:r w:rsidRPr="00696324">
              <w:rPr>
                <w:noProof/>
                <w:sz w:val="12"/>
                <w:szCs w:val="12"/>
                <w:lang w:val="fr-BE"/>
              </w:rPr>
              <w:t>33,12</w:t>
            </w:r>
          </w:p>
        </w:tc>
        <w:tc>
          <w:tcPr>
            <w:tcW w:w="0" w:type="auto"/>
          </w:tcPr>
          <w:p w14:paraId="28D7D832" w14:textId="77777777" w:rsidR="008C5CFA" w:rsidRPr="00696324" w:rsidRDefault="00E82A60" w:rsidP="00136029">
            <w:pPr>
              <w:spacing w:before="0" w:after="0"/>
              <w:jc w:val="right"/>
              <w:rPr>
                <w:sz w:val="12"/>
                <w:szCs w:val="12"/>
                <w:lang w:val="fr-BE"/>
              </w:rPr>
            </w:pPr>
            <w:r w:rsidRPr="00696324">
              <w:rPr>
                <w:noProof/>
                <w:sz w:val="12"/>
                <w:szCs w:val="12"/>
                <w:lang w:val="fr-BE"/>
              </w:rPr>
              <w:t>1,65</w:t>
            </w:r>
          </w:p>
        </w:tc>
        <w:tc>
          <w:tcPr>
            <w:tcW w:w="0" w:type="auto"/>
          </w:tcPr>
          <w:p w14:paraId="7B8DB3D4" w14:textId="77777777" w:rsidR="008C5CFA" w:rsidRPr="00696324" w:rsidRDefault="00E82A60" w:rsidP="00136029">
            <w:pPr>
              <w:spacing w:before="0" w:after="0"/>
              <w:jc w:val="right"/>
              <w:rPr>
                <w:sz w:val="12"/>
                <w:szCs w:val="12"/>
                <w:lang w:val="fr-BE"/>
              </w:rPr>
            </w:pPr>
            <w:r w:rsidRPr="00696324">
              <w:rPr>
                <w:noProof/>
                <w:sz w:val="12"/>
                <w:szCs w:val="12"/>
                <w:lang w:val="fr-BE"/>
              </w:rPr>
              <w:t>0,00</w:t>
            </w:r>
          </w:p>
        </w:tc>
        <w:tc>
          <w:tcPr>
            <w:tcW w:w="0" w:type="auto"/>
            <w:shd w:val="clear" w:color="auto" w:fill="auto"/>
          </w:tcPr>
          <w:p w14:paraId="0638B8AA" w14:textId="77777777" w:rsidR="008C5CFA" w:rsidRPr="00696324" w:rsidRDefault="008C5CFA" w:rsidP="00300A01">
            <w:pPr>
              <w:spacing w:before="0" w:after="0"/>
              <w:rPr>
                <w:sz w:val="12"/>
                <w:szCs w:val="12"/>
                <w:lang w:val="fr-BE"/>
              </w:rPr>
            </w:pPr>
          </w:p>
        </w:tc>
      </w:tr>
      <w:tr w:rsidR="006B2EC1" w14:paraId="1A87FF05" w14:textId="77777777" w:rsidTr="0047688D">
        <w:tc>
          <w:tcPr>
            <w:tcW w:w="0" w:type="auto"/>
            <w:shd w:val="clear" w:color="auto" w:fill="auto"/>
          </w:tcPr>
          <w:p w14:paraId="2F36071F" w14:textId="77777777" w:rsidR="008C5CFA" w:rsidRPr="00696324" w:rsidRDefault="00E82A60" w:rsidP="00300A01">
            <w:pPr>
              <w:spacing w:before="0" w:after="0"/>
              <w:rPr>
                <w:sz w:val="12"/>
                <w:szCs w:val="12"/>
                <w:lang w:val="fr-BE"/>
              </w:rPr>
            </w:pPr>
            <w:r w:rsidRPr="00696324">
              <w:rPr>
                <w:noProof/>
                <w:sz w:val="12"/>
                <w:szCs w:val="12"/>
                <w:lang w:val="fr-BE"/>
              </w:rPr>
              <w:t>6</w:t>
            </w:r>
          </w:p>
        </w:tc>
        <w:tc>
          <w:tcPr>
            <w:tcW w:w="0" w:type="auto"/>
            <w:shd w:val="clear" w:color="auto" w:fill="auto"/>
          </w:tcPr>
          <w:p w14:paraId="46BC078E" w14:textId="77777777" w:rsidR="008C5CFA" w:rsidRPr="00696324" w:rsidRDefault="00E82A60" w:rsidP="00300A01">
            <w:pPr>
              <w:spacing w:before="0" w:after="0"/>
              <w:rPr>
                <w:sz w:val="12"/>
                <w:szCs w:val="12"/>
                <w:lang w:val="fr-BE"/>
              </w:rPr>
            </w:pPr>
            <w:r w:rsidRPr="00696324">
              <w:rPr>
                <w:noProof/>
                <w:sz w:val="12"/>
                <w:szCs w:val="12"/>
                <w:lang w:val="fr-BE"/>
              </w:rPr>
              <w:t>F</w:t>
            </w:r>
          </w:p>
        </w:tc>
        <w:tc>
          <w:tcPr>
            <w:tcW w:w="0" w:type="auto"/>
          </w:tcPr>
          <w:p w14:paraId="367A9D84" w14:textId="77777777" w:rsidR="008C5CFA" w:rsidRPr="00696324" w:rsidRDefault="00E82A60" w:rsidP="00300A01">
            <w:pPr>
              <w:spacing w:before="0" w:after="0"/>
              <w:rPr>
                <w:sz w:val="12"/>
                <w:szCs w:val="12"/>
                <w:lang w:val="fr-BE"/>
              </w:rPr>
            </w:pPr>
            <w:r w:rsidRPr="00696324">
              <w:rPr>
                <w:noProof/>
                <w:sz w:val="12"/>
                <w:szCs w:val="12"/>
                <w:lang w:val="fr-BE"/>
              </w:rPr>
              <w:t>001</w:t>
            </w:r>
          </w:p>
        </w:tc>
        <w:tc>
          <w:tcPr>
            <w:tcW w:w="0" w:type="auto"/>
          </w:tcPr>
          <w:p w14:paraId="18F99D02" w14:textId="77777777" w:rsidR="008C5CFA" w:rsidRPr="00696324" w:rsidRDefault="00E82A60" w:rsidP="00300A01">
            <w:pPr>
              <w:spacing w:before="0" w:after="0"/>
              <w:rPr>
                <w:sz w:val="12"/>
                <w:szCs w:val="12"/>
                <w:lang w:val="fr-BE"/>
              </w:rPr>
            </w:pPr>
            <w:r w:rsidRPr="00696324">
              <w:rPr>
                <w:noProof/>
                <w:sz w:val="12"/>
                <w:szCs w:val="12"/>
                <w:lang w:val="fr-BE"/>
              </w:rPr>
              <w:t>Całkowita kwota certyfikowanych wydatków kwalifikowalnych</w:t>
            </w:r>
          </w:p>
        </w:tc>
        <w:tc>
          <w:tcPr>
            <w:tcW w:w="0" w:type="auto"/>
          </w:tcPr>
          <w:p w14:paraId="3B091737" w14:textId="77777777" w:rsidR="008C5CFA" w:rsidRPr="00696324" w:rsidRDefault="00E82A60" w:rsidP="00300A01">
            <w:pPr>
              <w:spacing w:before="0" w:after="0"/>
              <w:rPr>
                <w:sz w:val="12"/>
                <w:szCs w:val="12"/>
                <w:lang w:val="fr-BE"/>
              </w:rPr>
            </w:pPr>
            <w:r w:rsidRPr="00696324">
              <w:rPr>
                <w:noProof/>
                <w:sz w:val="12"/>
                <w:szCs w:val="12"/>
                <w:lang w:val="fr-BE"/>
              </w:rPr>
              <w:t>EUR</w:t>
            </w:r>
          </w:p>
        </w:tc>
        <w:tc>
          <w:tcPr>
            <w:tcW w:w="0" w:type="auto"/>
          </w:tcPr>
          <w:p w14:paraId="66CC6960" w14:textId="77777777" w:rsidR="008C5CFA" w:rsidRPr="00696324" w:rsidRDefault="00E82A60" w:rsidP="00300A01">
            <w:pPr>
              <w:spacing w:before="0" w:after="0"/>
              <w:rPr>
                <w:sz w:val="12"/>
                <w:szCs w:val="12"/>
                <w:lang w:val="fr-BE"/>
              </w:rPr>
            </w:pPr>
            <w:r w:rsidRPr="00D4605F">
              <w:rPr>
                <w:noProof/>
                <w:sz w:val="12"/>
                <w:szCs w:val="12"/>
                <w:lang w:val="fr-BE"/>
              </w:rPr>
              <w:t>EFRR</w:t>
            </w:r>
          </w:p>
        </w:tc>
        <w:tc>
          <w:tcPr>
            <w:tcW w:w="0" w:type="auto"/>
          </w:tcPr>
          <w:p w14:paraId="4AF38441" w14:textId="77777777" w:rsidR="008C5CFA" w:rsidRPr="00696324" w:rsidRDefault="00E82A60" w:rsidP="00300A01">
            <w:pPr>
              <w:spacing w:before="0" w:after="0"/>
              <w:rPr>
                <w:sz w:val="12"/>
                <w:szCs w:val="12"/>
                <w:lang w:val="fr-BE"/>
              </w:rPr>
            </w:pPr>
            <w:r w:rsidRPr="00D4605F">
              <w:rPr>
                <w:noProof/>
                <w:sz w:val="12"/>
                <w:szCs w:val="12"/>
                <w:lang w:val="fr-BE"/>
              </w:rPr>
              <w:t>Słabiej rozwinięte</w:t>
            </w:r>
          </w:p>
        </w:tc>
        <w:tc>
          <w:tcPr>
            <w:tcW w:w="0" w:type="auto"/>
            <w:shd w:val="clear" w:color="auto" w:fill="auto"/>
          </w:tcPr>
          <w:p w14:paraId="7B259F88" w14:textId="77777777" w:rsidR="008C5CFA" w:rsidRPr="00696324" w:rsidRDefault="00E82A60" w:rsidP="00136029">
            <w:pPr>
              <w:spacing w:before="0" w:after="0"/>
              <w:jc w:val="right"/>
              <w:rPr>
                <w:sz w:val="12"/>
                <w:szCs w:val="12"/>
                <w:lang w:val="fr-BE"/>
              </w:rPr>
            </w:pPr>
            <w:r w:rsidRPr="00696324">
              <w:rPr>
                <w:noProof/>
                <w:sz w:val="12"/>
                <w:szCs w:val="12"/>
                <w:lang w:val="fr-BE"/>
              </w:rPr>
              <w:t>20 151 935,56</w:t>
            </w:r>
          </w:p>
        </w:tc>
        <w:tc>
          <w:tcPr>
            <w:tcW w:w="0" w:type="auto"/>
          </w:tcPr>
          <w:p w14:paraId="6D661027" w14:textId="77777777" w:rsidR="008C5CFA" w:rsidRPr="00696324" w:rsidRDefault="00E82A60" w:rsidP="00136029">
            <w:pPr>
              <w:spacing w:before="0" w:after="0"/>
              <w:jc w:val="right"/>
              <w:rPr>
                <w:sz w:val="12"/>
                <w:szCs w:val="12"/>
                <w:lang w:val="fr-BE"/>
              </w:rPr>
            </w:pPr>
            <w:r w:rsidRPr="00696324">
              <w:rPr>
                <w:noProof/>
                <w:sz w:val="12"/>
                <w:szCs w:val="12"/>
                <w:lang w:val="fr-BE"/>
              </w:rPr>
              <w:t>16 402,11</w:t>
            </w:r>
          </w:p>
        </w:tc>
        <w:tc>
          <w:tcPr>
            <w:tcW w:w="0" w:type="auto"/>
          </w:tcPr>
          <w:p w14:paraId="7F8689CC" w14:textId="77777777" w:rsidR="008C5CFA" w:rsidRPr="00696324" w:rsidRDefault="00E82A60" w:rsidP="00136029">
            <w:pPr>
              <w:spacing w:before="0" w:after="0"/>
              <w:jc w:val="right"/>
              <w:rPr>
                <w:sz w:val="12"/>
                <w:szCs w:val="12"/>
                <w:lang w:val="fr-BE"/>
              </w:rPr>
            </w:pPr>
            <w:r w:rsidRPr="00696324">
              <w:rPr>
                <w:noProof/>
                <w:sz w:val="12"/>
                <w:szCs w:val="12"/>
                <w:lang w:val="fr-BE"/>
              </w:rPr>
              <w:t>0,00</w:t>
            </w:r>
          </w:p>
        </w:tc>
        <w:tc>
          <w:tcPr>
            <w:tcW w:w="0" w:type="auto"/>
            <w:shd w:val="clear" w:color="auto" w:fill="auto"/>
          </w:tcPr>
          <w:p w14:paraId="67614B05" w14:textId="77777777" w:rsidR="008C5CFA" w:rsidRPr="00696324" w:rsidRDefault="008C5CFA" w:rsidP="00300A01">
            <w:pPr>
              <w:spacing w:before="0" w:after="0"/>
              <w:rPr>
                <w:sz w:val="12"/>
                <w:szCs w:val="12"/>
                <w:lang w:val="fr-BE"/>
              </w:rPr>
            </w:pPr>
          </w:p>
        </w:tc>
      </w:tr>
      <w:tr w:rsidR="006B2EC1" w14:paraId="2D594232" w14:textId="77777777" w:rsidTr="0047688D">
        <w:tc>
          <w:tcPr>
            <w:tcW w:w="0" w:type="auto"/>
            <w:shd w:val="clear" w:color="auto" w:fill="auto"/>
          </w:tcPr>
          <w:p w14:paraId="6E4F347C" w14:textId="77777777" w:rsidR="008C5CFA" w:rsidRPr="00696324" w:rsidRDefault="00E82A60" w:rsidP="00300A01">
            <w:pPr>
              <w:spacing w:before="0" w:after="0"/>
              <w:rPr>
                <w:sz w:val="12"/>
                <w:szCs w:val="12"/>
                <w:lang w:val="fr-BE"/>
              </w:rPr>
            </w:pPr>
            <w:r w:rsidRPr="00696324">
              <w:rPr>
                <w:noProof/>
                <w:sz w:val="12"/>
                <w:szCs w:val="12"/>
                <w:lang w:val="fr-BE"/>
              </w:rPr>
              <w:t>6</w:t>
            </w:r>
          </w:p>
        </w:tc>
        <w:tc>
          <w:tcPr>
            <w:tcW w:w="0" w:type="auto"/>
            <w:shd w:val="clear" w:color="auto" w:fill="auto"/>
          </w:tcPr>
          <w:p w14:paraId="6F9D78CC" w14:textId="77777777" w:rsidR="008C5CFA" w:rsidRPr="00696324" w:rsidRDefault="00E82A60" w:rsidP="00300A01">
            <w:pPr>
              <w:spacing w:before="0" w:after="0"/>
              <w:rPr>
                <w:sz w:val="12"/>
                <w:szCs w:val="12"/>
                <w:lang w:val="fr-BE"/>
              </w:rPr>
            </w:pPr>
            <w:r w:rsidRPr="00696324">
              <w:rPr>
                <w:noProof/>
                <w:sz w:val="12"/>
                <w:szCs w:val="12"/>
                <w:lang w:val="fr-BE"/>
              </w:rPr>
              <w:t>I</w:t>
            </w:r>
          </w:p>
        </w:tc>
        <w:tc>
          <w:tcPr>
            <w:tcW w:w="0" w:type="auto"/>
          </w:tcPr>
          <w:p w14:paraId="07301EC7" w14:textId="77777777" w:rsidR="008C5CFA" w:rsidRPr="00696324" w:rsidRDefault="00E82A60" w:rsidP="00300A01">
            <w:pPr>
              <w:spacing w:before="0" w:after="0"/>
              <w:rPr>
                <w:sz w:val="12"/>
                <w:szCs w:val="12"/>
                <w:lang w:val="fr-BE"/>
              </w:rPr>
            </w:pPr>
            <w:r w:rsidRPr="00696324">
              <w:rPr>
                <w:noProof/>
                <w:sz w:val="12"/>
                <w:szCs w:val="12"/>
                <w:lang w:val="fr-BE"/>
              </w:rPr>
              <w:t>003</w:t>
            </w:r>
          </w:p>
        </w:tc>
        <w:tc>
          <w:tcPr>
            <w:tcW w:w="0" w:type="auto"/>
          </w:tcPr>
          <w:p w14:paraId="5C1964B9" w14:textId="77777777" w:rsidR="008C5CFA" w:rsidRPr="00696324" w:rsidRDefault="00E82A60" w:rsidP="00300A01">
            <w:pPr>
              <w:spacing w:before="0" w:after="0"/>
              <w:rPr>
                <w:sz w:val="12"/>
                <w:szCs w:val="12"/>
                <w:lang w:val="fr-BE"/>
              </w:rPr>
            </w:pPr>
            <w:r w:rsidRPr="00696324">
              <w:rPr>
                <w:noProof/>
                <w:sz w:val="12"/>
                <w:szCs w:val="12"/>
                <w:lang w:val="fr-BE"/>
              </w:rPr>
              <w:t>Powierzchnia obszarów objętych rewitalizacją w podpisanych umowach</w:t>
            </w:r>
          </w:p>
        </w:tc>
        <w:tc>
          <w:tcPr>
            <w:tcW w:w="0" w:type="auto"/>
          </w:tcPr>
          <w:p w14:paraId="553A0265" w14:textId="77777777" w:rsidR="008C5CFA" w:rsidRPr="00696324" w:rsidRDefault="00E82A60" w:rsidP="00300A01">
            <w:pPr>
              <w:spacing w:before="0" w:after="0"/>
              <w:rPr>
                <w:sz w:val="12"/>
                <w:szCs w:val="12"/>
                <w:lang w:val="fr-BE"/>
              </w:rPr>
            </w:pPr>
            <w:r w:rsidRPr="00696324">
              <w:rPr>
                <w:noProof/>
                <w:sz w:val="12"/>
                <w:szCs w:val="12"/>
                <w:lang w:val="fr-BE"/>
              </w:rPr>
              <w:t>ha</w:t>
            </w:r>
          </w:p>
        </w:tc>
        <w:tc>
          <w:tcPr>
            <w:tcW w:w="0" w:type="auto"/>
          </w:tcPr>
          <w:p w14:paraId="2D7AB9D4" w14:textId="77777777" w:rsidR="008C5CFA" w:rsidRPr="00696324" w:rsidRDefault="00E82A60" w:rsidP="00300A01">
            <w:pPr>
              <w:spacing w:before="0" w:after="0"/>
              <w:rPr>
                <w:sz w:val="12"/>
                <w:szCs w:val="12"/>
                <w:lang w:val="fr-BE"/>
              </w:rPr>
            </w:pPr>
            <w:r w:rsidRPr="00D4605F">
              <w:rPr>
                <w:noProof/>
                <w:sz w:val="12"/>
                <w:szCs w:val="12"/>
                <w:lang w:val="fr-BE"/>
              </w:rPr>
              <w:t>EFRR</w:t>
            </w:r>
          </w:p>
        </w:tc>
        <w:tc>
          <w:tcPr>
            <w:tcW w:w="0" w:type="auto"/>
          </w:tcPr>
          <w:p w14:paraId="5837CB63" w14:textId="77777777" w:rsidR="008C5CFA" w:rsidRPr="00696324" w:rsidRDefault="00E82A60" w:rsidP="00300A01">
            <w:pPr>
              <w:spacing w:before="0" w:after="0"/>
              <w:rPr>
                <w:sz w:val="12"/>
                <w:szCs w:val="12"/>
                <w:lang w:val="fr-BE"/>
              </w:rPr>
            </w:pPr>
            <w:r w:rsidRPr="00D4605F">
              <w:rPr>
                <w:noProof/>
                <w:sz w:val="12"/>
                <w:szCs w:val="12"/>
                <w:lang w:val="fr-BE"/>
              </w:rPr>
              <w:t>Słabiej rozwinięte</w:t>
            </w:r>
          </w:p>
        </w:tc>
        <w:tc>
          <w:tcPr>
            <w:tcW w:w="0" w:type="auto"/>
            <w:shd w:val="clear" w:color="auto" w:fill="auto"/>
          </w:tcPr>
          <w:p w14:paraId="6F8278D7" w14:textId="77777777" w:rsidR="008C5CFA" w:rsidRPr="00696324" w:rsidRDefault="00E82A60" w:rsidP="00136029">
            <w:pPr>
              <w:spacing w:before="0" w:after="0"/>
              <w:jc w:val="right"/>
              <w:rPr>
                <w:sz w:val="12"/>
                <w:szCs w:val="12"/>
                <w:lang w:val="fr-BE"/>
              </w:rPr>
            </w:pPr>
            <w:r w:rsidRPr="00696324">
              <w:rPr>
                <w:noProof/>
                <w:sz w:val="12"/>
                <w:szCs w:val="12"/>
                <w:lang w:val="fr-BE"/>
              </w:rPr>
              <w:t>195,42</w:t>
            </w:r>
          </w:p>
        </w:tc>
        <w:tc>
          <w:tcPr>
            <w:tcW w:w="0" w:type="auto"/>
          </w:tcPr>
          <w:p w14:paraId="7B62D52D" w14:textId="77777777" w:rsidR="008C5CFA" w:rsidRPr="00696324" w:rsidRDefault="00E82A60" w:rsidP="00136029">
            <w:pPr>
              <w:spacing w:before="0" w:after="0"/>
              <w:jc w:val="right"/>
              <w:rPr>
                <w:sz w:val="12"/>
                <w:szCs w:val="12"/>
                <w:lang w:val="fr-BE"/>
              </w:rPr>
            </w:pPr>
            <w:r w:rsidRPr="00696324">
              <w:rPr>
                <w:noProof/>
                <w:sz w:val="12"/>
                <w:szCs w:val="12"/>
                <w:lang w:val="fr-BE"/>
              </w:rPr>
              <w:t>0,00</w:t>
            </w:r>
          </w:p>
        </w:tc>
        <w:tc>
          <w:tcPr>
            <w:tcW w:w="0" w:type="auto"/>
          </w:tcPr>
          <w:p w14:paraId="19990FF8" w14:textId="77777777" w:rsidR="008C5CFA" w:rsidRPr="00696324" w:rsidRDefault="00E82A60" w:rsidP="00136029">
            <w:pPr>
              <w:spacing w:before="0" w:after="0"/>
              <w:jc w:val="right"/>
              <w:rPr>
                <w:sz w:val="12"/>
                <w:szCs w:val="12"/>
                <w:lang w:val="fr-BE"/>
              </w:rPr>
            </w:pPr>
            <w:r w:rsidRPr="00696324">
              <w:rPr>
                <w:noProof/>
                <w:sz w:val="12"/>
                <w:szCs w:val="12"/>
                <w:lang w:val="fr-BE"/>
              </w:rPr>
              <w:t>0,00</w:t>
            </w:r>
          </w:p>
        </w:tc>
        <w:tc>
          <w:tcPr>
            <w:tcW w:w="0" w:type="auto"/>
            <w:shd w:val="clear" w:color="auto" w:fill="auto"/>
          </w:tcPr>
          <w:p w14:paraId="200650DF" w14:textId="77777777" w:rsidR="008C5CFA" w:rsidRPr="00696324" w:rsidRDefault="008C5CFA" w:rsidP="00300A01">
            <w:pPr>
              <w:spacing w:before="0" w:after="0"/>
              <w:rPr>
                <w:sz w:val="12"/>
                <w:szCs w:val="12"/>
                <w:lang w:val="fr-BE"/>
              </w:rPr>
            </w:pPr>
          </w:p>
        </w:tc>
      </w:tr>
      <w:tr w:rsidR="006B2EC1" w14:paraId="1BD4C0A4" w14:textId="77777777" w:rsidTr="0047688D">
        <w:tc>
          <w:tcPr>
            <w:tcW w:w="0" w:type="auto"/>
            <w:shd w:val="clear" w:color="auto" w:fill="auto"/>
          </w:tcPr>
          <w:p w14:paraId="544D4112" w14:textId="77777777" w:rsidR="008C5CFA" w:rsidRPr="00696324" w:rsidRDefault="00E82A60" w:rsidP="00300A01">
            <w:pPr>
              <w:spacing w:before="0" w:after="0"/>
              <w:rPr>
                <w:sz w:val="12"/>
                <w:szCs w:val="12"/>
                <w:lang w:val="fr-BE"/>
              </w:rPr>
            </w:pPr>
            <w:r w:rsidRPr="00696324">
              <w:rPr>
                <w:noProof/>
                <w:sz w:val="12"/>
                <w:szCs w:val="12"/>
                <w:lang w:val="fr-BE"/>
              </w:rPr>
              <w:t>6</w:t>
            </w:r>
          </w:p>
        </w:tc>
        <w:tc>
          <w:tcPr>
            <w:tcW w:w="0" w:type="auto"/>
            <w:shd w:val="clear" w:color="auto" w:fill="auto"/>
          </w:tcPr>
          <w:p w14:paraId="32C61F44" w14:textId="77777777" w:rsidR="008C5CFA" w:rsidRPr="00696324" w:rsidRDefault="00E82A60" w:rsidP="00300A01">
            <w:pPr>
              <w:spacing w:before="0" w:after="0"/>
              <w:rPr>
                <w:sz w:val="12"/>
                <w:szCs w:val="12"/>
                <w:lang w:val="fr-BE"/>
              </w:rPr>
            </w:pPr>
            <w:r w:rsidRPr="00696324">
              <w:rPr>
                <w:noProof/>
                <w:sz w:val="12"/>
                <w:szCs w:val="12"/>
                <w:lang w:val="fr-BE"/>
              </w:rPr>
              <w:t>O</w:t>
            </w:r>
          </w:p>
        </w:tc>
        <w:tc>
          <w:tcPr>
            <w:tcW w:w="0" w:type="auto"/>
          </w:tcPr>
          <w:p w14:paraId="75AA315E" w14:textId="77777777" w:rsidR="008C5CFA" w:rsidRPr="00696324" w:rsidRDefault="00E82A60" w:rsidP="00300A01">
            <w:pPr>
              <w:spacing w:before="0" w:after="0"/>
              <w:rPr>
                <w:sz w:val="12"/>
                <w:szCs w:val="12"/>
                <w:lang w:val="fr-BE"/>
              </w:rPr>
            </w:pPr>
            <w:r w:rsidRPr="00696324">
              <w:rPr>
                <w:noProof/>
                <w:sz w:val="12"/>
                <w:szCs w:val="12"/>
                <w:lang w:val="fr-BE"/>
              </w:rPr>
              <w:t>041</w:t>
            </w:r>
          </w:p>
        </w:tc>
        <w:tc>
          <w:tcPr>
            <w:tcW w:w="0" w:type="auto"/>
          </w:tcPr>
          <w:p w14:paraId="1D34CFCC" w14:textId="77777777" w:rsidR="008C5CFA" w:rsidRPr="00696324" w:rsidRDefault="00E82A60" w:rsidP="00300A01">
            <w:pPr>
              <w:spacing w:before="0" w:after="0"/>
              <w:rPr>
                <w:sz w:val="12"/>
                <w:szCs w:val="12"/>
                <w:lang w:val="fr-BE"/>
              </w:rPr>
            </w:pPr>
            <w:r w:rsidRPr="00696324">
              <w:rPr>
                <w:noProof/>
                <w:sz w:val="12"/>
                <w:szCs w:val="12"/>
                <w:lang w:val="fr-BE"/>
              </w:rPr>
              <w:t>Powierzchnia obszarów objętych rewitalizacją</w:t>
            </w:r>
          </w:p>
        </w:tc>
        <w:tc>
          <w:tcPr>
            <w:tcW w:w="0" w:type="auto"/>
          </w:tcPr>
          <w:p w14:paraId="0E148746" w14:textId="77777777" w:rsidR="008C5CFA" w:rsidRPr="00696324" w:rsidRDefault="00E82A60" w:rsidP="00300A01">
            <w:pPr>
              <w:spacing w:before="0" w:after="0"/>
              <w:rPr>
                <w:sz w:val="12"/>
                <w:szCs w:val="12"/>
                <w:lang w:val="fr-BE"/>
              </w:rPr>
            </w:pPr>
            <w:r w:rsidRPr="00696324">
              <w:rPr>
                <w:noProof/>
                <w:sz w:val="12"/>
                <w:szCs w:val="12"/>
                <w:lang w:val="fr-BE"/>
              </w:rPr>
              <w:t>ha</w:t>
            </w:r>
          </w:p>
        </w:tc>
        <w:tc>
          <w:tcPr>
            <w:tcW w:w="0" w:type="auto"/>
          </w:tcPr>
          <w:p w14:paraId="44964AD1" w14:textId="77777777" w:rsidR="008C5CFA" w:rsidRPr="00696324" w:rsidRDefault="00E82A60" w:rsidP="00300A01">
            <w:pPr>
              <w:spacing w:before="0" w:after="0"/>
              <w:rPr>
                <w:sz w:val="12"/>
                <w:szCs w:val="12"/>
                <w:lang w:val="fr-BE"/>
              </w:rPr>
            </w:pPr>
            <w:r w:rsidRPr="00D4605F">
              <w:rPr>
                <w:noProof/>
                <w:sz w:val="12"/>
                <w:szCs w:val="12"/>
                <w:lang w:val="fr-BE"/>
              </w:rPr>
              <w:t>EFRR</w:t>
            </w:r>
          </w:p>
        </w:tc>
        <w:tc>
          <w:tcPr>
            <w:tcW w:w="0" w:type="auto"/>
          </w:tcPr>
          <w:p w14:paraId="54C10B37" w14:textId="77777777" w:rsidR="008C5CFA" w:rsidRPr="00696324" w:rsidRDefault="00E82A60" w:rsidP="00300A01">
            <w:pPr>
              <w:spacing w:before="0" w:after="0"/>
              <w:rPr>
                <w:sz w:val="12"/>
                <w:szCs w:val="12"/>
                <w:lang w:val="fr-BE"/>
              </w:rPr>
            </w:pPr>
            <w:r w:rsidRPr="00D4605F">
              <w:rPr>
                <w:noProof/>
                <w:sz w:val="12"/>
                <w:szCs w:val="12"/>
                <w:lang w:val="fr-BE"/>
              </w:rPr>
              <w:t>Słabiej rozwinięte</w:t>
            </w:r>
          </w:p>
        </w:tc>
        <w:tc>
          <w:tcPr>
            <w:tcW w:w="0" w:type="auto"/>
            <w:shd w:val="clear" w:color="auto" w:fill="auto"/>
          </w:tcPr>
          <w:p w14:paraId="0CD82E47" w14:textId="77777777" w:rsidR="008C5CFA" w:rsidRPr="00696324" w:rsidRDefault="00E82A60" w:rsidP="00136029">
            <w:pPr>
              <w:spacing w:before="0" w:after="0"/>
              <w:jc w:val="right"/>
              <w:rPr>
                <w:sz w:val="12"/>
                <w:szCs w:val="12"/>
                <w:lang w:val="fr-BE"/>
              </w:rPr>
            </w:pPr>
            <w:r w:rsidRPr="00696324">
              <w:rPr>
                <w:noProof/>
                <w:sz w:val="12"/>
                <w:szCs w:val="12"/>
                <w:lang w:val="fr-BE"/>
              </w:rPr>
              <w:t>11,00</w:t>
            </w:r>
          </w:p>
        </w:tc>
        <w:tc>
          <w:tcPr>
            <w:tcW w:w="0" w:type="auto"/>
          </w:tcPr>
          <w:p w14:paraId="5C73FF7B" w14:textId="77777777" w:rsidR="008C5CFA" w:rsidRPr="00696324" w:rsidRDefault="00E82A60" w:rsidP="00136029">
            <w:pPr>
              <w:spacing w:before="0" w:after="0"/>
              <w:jc w:val="right"/>
              <w:rPr>
                <w:sz w:val="12"/>
                <w:szCs w:val="12"/>
                <w:lang w:val="fr-BE"/>
              </w:rPr>
            </w:pPr>
            <w:r w:rsidRPr="00696324">
              <w:rPr>
                <w:noProof/>
                <w:sz w:val="12"/>
                <w:szCs w:val="12"/>
                <w:lang w:val="fr-BE"/>
              </w:rPr>
              <w:t>0,00</w:t>
            </w:r>
          </w:p>
        </w:tc>
        <w:tc>
          <w:tcPr>
            <w:tcW w:w="0" w:type="auto"/>
          </w:tcPr>
          <w:p w14:paraId="691CF988" w14:textId="77777777" w:rsidR="008C5CFA" w:rsidRPr="00696324" w:rsidRDefault="00E82A60" w:rsidP="00136029">
            <w:pPr>
              <w:spacing w:before="0" w:after="0"/>
              <w:jc w:val="right"/>
              <w:rPr>
                <w:sz w:val="12"/>
                <w:szCs w:val="12"/>
                <w:lang w:val="fr-BE"/>
              </w:rPr>
            </w:pPr>
            <w:r w:rsidRPr="00696324">
              <w:rPr>
                <w:noProof/>
                <w:sz w:val="12"/>
                <w:szCs w:val="12"/>
                <w:lang w:val="fr-BE"/>
              </w:rPr>
              <w:t>0,00</w:t>
            </w:r>
          </w:p>
        </w:tc>
        <w:tc>
          <w:tcPr>
            <w:tcW w:w="0" w:type="auto"/>
            <w:shd w:val="clear" w:color="auto" w:fill="auto"/>
          </w:tcPr>
          <w:p w14:paraId="179DCD2C" w14:textId="77777777" w:rsidR="008C5CFA" w:rsidRPr="00696324" w:rsidRDefault="008C5CFA" w:rsidP="00300A01">
            <w:pPr>
              <w:spacing w:before="0" w:after="0"/>
              <w:rPr>
                <w:sz w:val="12"/>
                <w:szCs w:val="12"/>
                <w:lang w:val="fr-BE"/>
              </w:rPr>
            </w:pPr>
          </w:p>
        </w:tc>
      </w:tr>
      <w:tr w:rsidR="006B2EC1" w14:paraId="43E586AF" w14:textId="77777777" w:rsidTr="0047688D">
        <w:tc>
          <w:tcPr>
            <w:tcW w:w="0" w:type="auto"/>
            <w:shd w:val="clear" w:color="auto" w:fill="auto"/>
          </w:tcPr>
          <w:p w14:paraId="4BEF1B22" w14:textId="77777777" w:rsidR="008C5CFA" w:rsidRPr="00696324" w:rsidRDefault="00E82A60" w:rsidP="00300A01">
            <w:pPr>
              <w:spacing w:before="0" w:after="0"/>
              <w:rPr>
                <w:sz w:val="12"/>
                <w:szCs w:val="12"/>
                <w:lang w:val="fr-BE"/>
              </w:rPr>
            </w:pPr>
            <w:r w:rsidRPr="00696324">
              <w:rPr>
                <w:noProof/>
                <w:sz w:val="12"/>
                <w:szCs w:val="12"/>
                <w:lang w:val="fr-BE"/>
              </w:rPr>
              <w:t>6</w:t>
            </w:r>
          </w:p>
        </w:tc>
        <w:tc>
          <w:tcPr>
            <w:tcW w:w="0" w:type="auto"/>
            <w:shd w:val="clear" w:color="auto" w:fill="auto"/>
          </w:tcPr>
          <w:p w14:paraId="2EF0D31A" w14:textId="77777777" w:rsidR="008C5CFA" w:rsidRPr="00696324" w:rsidRDefault="00E82A60" w:rsidP="00300A01">
            <w:pPr>
              <w:spacing w:before="0" w:after="0"/>
              <w:rPr>
                <w:sz w:val="12"/>
                <w:szCs w:val="12"/>
                <w:lang w:val="fr-BE"/>
              </w:rPr>
            </w:pPr>
            <w:r w:rsidRPr="00696324">
              <w:rPr>
                <w:noProof/>
                <w:sz w:val="12"/>
                <w:szCs w:val="12"/>
                <w:lang w:val="fr-BE"/>
              </w:rPr>
              <w:t>O</w:t>
            </w:r>
          </w:p>
        </w:tc>
        <w:tc>
          <w:tcPr>
            <w:tcW w:w="0" w:type="auto"/>
          </w:tcPr>
          <w:p w14:paraId="67DF4790" w14:textId="77777777" w:rsidR="008C5CFA" w:rsidRPr="00696324" w:rsidRDefault="00E82A60" w:rsidP="00300A01">
            <w:pPr>
              <w:spacing w:before="0" w:after="0"/>
              <w:rPr>
                <w:sz w:val="12"/>
                <w:szCs w:val="12"/>
                <w:lang w:val="fr-BE"/>
              </w:rPr>
            </w:pPr>
            <w:r w:rsidRPr="00696324">
              <w:rPr>
                <w:noProof/>
                <w:sz w:val="12"/>
                <w:szCs w:val="12"/>
                <w:lang w:val="fr-BE"/>
              </w:rPr>
              <w:t>34</w:t>
            </w:r>
          </w:p>
        </w:tc>
        <w:tc>
          <w:tcPr>
            <w:tcW w:w="0" w:type="auto"/>
          </w:tcPr>
          <w:p w14:paraId="7BC94536" w14:textId="77777777" w:rsidR="008C5CFA" w:rsidRPr="00696324" w:rsidRDefault="00E82A60" w:rsidP="00300A01">
            <w:pPr>
              <w:spacing w:before="0" w:after="0"/>
              <w:rPr>
                <w:sz w:val="12"/>
                <w:szCs w:val="12"/>
                <w:lang w:val="fr-BE"/>
              </w:rPr>
            </w:pPr>
            <w:r w:rsidRPr="00696324">
              <w:rPr>
                <w:noProof/>
                <w:sz w:val="12"/>
                <w:szCs w:val="12"/>
                <w:lang w:val="fr-BE"/>
              </w:rPr>
              <w:t>Liczba zmodernizowanych energetycznie budynków</w:t>
            </w:r>
          </w:p>
        </w:tc>
        <w:tc>
          <w:tcPr>
            <w:tcW w:w="0" w:type="auto"/>
          </w:tcPr>
          <w:p w14:paraId="73712A04" w14:textId="77777777" w:rsidR="008C5CFA" w:rsidRPr="00696324" w:rsidRDefault="00E82A60" w:rsidP="00300A01">
            <w:pPr>
              <w:spacing w:before="0" w:after="0"/>
              <w:rPr>
                <w:sz w:val="12"/>
                <w:szCs w:val="12"/>
                <w:lang w:val="fr-BE"/>
              </w:rPr>
            </w:pPr>
            <w:r w:rsidRPr="00696324">
              <w:rPr>
                <w:noProof/>
                <w:sz w:val="12"/>
                <w:szCs w:val="12"/>
                <w:lang w:val="fr-BE"/>
              </w:rPr>
              <w:t>szt.</w:t>
            </w:r>
          </w:p>
        </w:tc>
        <w:tc>
          <w:tcPr>
            <w:tcW w:w="0" w:type="auto"/>
          </w:tcPr>
          <w:p w14:paraId="5765CFF7" w14:textId="77777777" w:rsidR="008C5CFA" w:rsidRPr="00696324" w:rsidRDefault="00E82A60" w:rsidP="00300A01">
            <w:pPr>
              <w:spacing w:before="0" w:after="0"/>
              <w:rPr>
                <w:sz w:val="12"/>
                <w:szCs w:val="12"/>
                <w:lang w:val="fr-BE"/>
              </w:rPr>
            </w:pPr>
            <w:r w:rsidRPr="00D4605F">
              <w:rPr>
                <w:noProof/>
                <w:sz w:val="12"/>
                <w:szCs w:val="12"/>
                <w:lang w:val="fr-BE"/>
              </w:rPr>
              <w:t>EFRR</w:t>
            </w:r>
          </w:p>
        </w:tc>
        <w:tc>
          <w:tcPr>
            <w:tcW w:w="0" w:type="auto"/>
          </w:tcPr>
          <w:p w14:paraId="77E821F3" w14:textId="77777777" w:rsidR="008C5CFA" w:rsidRPr="00696324" w:rsidRDefault="00E82A60" w:rsidP="00300A01">
            <w:pPr>
              <w:spacing w:before="0" w:after="0"/>
              <w:rPr>
                <w:sz w:val="12"/>
                <w:szCs w:val="12"/>
                <w:lang w:val="fr-BE"/>
              </w:rPr>
            </w:pPr>
            <w:r w:rsidRPr="00D4605F">
              <w:rPr>
                <w:noProof/>
                <w:sz w:val="12"/>
                <w:szCs w:val="12"/>
                <w:lang w:val="fr-BE"/>
              </w:rPr>
              <w:t>Słabiej rozwinięte</w:t>
            </w:r>
          </w:p>
        </w:tc>
        <w:tc>
          <w:tcPr>
            <w:tcW w:w="0" w:type="auto"/>
            <w:shd w:val="clear" w:color="auto" w:fill="auto"/>
          </w:tcPr>
          <w:p w14:paraId="1F6B64B6" w14:textId="77777777" w:rsidR="008C5CFA" w:rsidRPr="00696324" w:rsidRDefault="00E82A60" w:rsidP="00136029">
            <w:pPr>
              <w:spacing w:before="0" w:after="0"/>
              <w:jc w:val="right"/>
              <w:rPr>
                <w:sz w:val="12"/>
                <w:szCs w:val="12"/>
                <w:lang w:val="fr-BE"/>
              </w:rPr>
            </w:pPr>
            <w:r w:rsidRPr="00696324">
              <w:rPr>
                <w:noProof/>
                <w:sz w:val="12"/>
                <w:szCs w:val="12"/>
                <w:lang w:val="fr-BE"/>
              </w:rPr>
              <w:t>28,00</w:t>
            </w:r>
          </w:p>
        </w:tc>
        <w:tc>
          <w:tcPr>
            <w:tcW w:w="0" w:type="auto"/>
          </w:tcPr>
          <w:p w14:paraId="7603504A" w14:textId="77777777" w:rsidR="008C5CFA" w:rsidRPr="00696324" w:rsidRDefault="00E82A60" w:rsidP="00136029">
            <w:pPr>
              <w:spacing w:before="0" w:after="0"/>
              <w:jc w:val="right"/>
              <w:rPr>
                <w:sz w:val="12"/>
                <w:szCs w:val="12"/>
                <w:lang w:val="fr-BE"/>
              </w:rPr>
            </w:pPr>
            <w:r w:rsidRPr="00696324">
              <w:rPr>
                <w:noProof/>
                <w:sz w:val="12"/>
                <w:szCs w:val="12"/>
                <w:lang w:val="fr-BE"/>
              </w:rPr>
              <w:t>0,00</w:t>
            </w:r>
          </w:p>
        </w:tc>
        <w:tc>
          <w:tcPr>
            <w:tcW w:w="0" w:type="auto"/>
          </w:tcPr>
          <w:p w14:paraId="782C0D3B" w14:textId="77777777" w:rsidR="008C5CFA" w:rsidRPr="00696324" w:rsidRDefault="00E82A60" w:rsidP="00136029">
            <w:pPr>
              <w:spacing w:before="0" w:after="0"/>
              <w:jc w:val="right"/>
              <w:rPr>
                <w:sz w:val="12"/>
                <w:szCs w:val="12"/>
                <w:lang w:val="fr-BE"/>
              </w:rPr>
            </w:pPr>
            <w:r w:rsidRPr="00696324">
              <w:rPr>
                <w:noProof/>
                <w:sz w:val="12"/>
                <w:szCs w:val="12"/>
                <w:lang w:val="fr-BE"/>
              </w:rPr>
              <w:t>0,00</w:t>
            </w:r>
          </w:p>
        </w:tc>
        <w:tc>
          <w:tcPr>
            <w:tcW w:w="0" w:type="auto"/>
            <w:shd w:val="clear" w:color="auto" w:fill="auto"/>
          </w:tcPr>
          <w:p w14:paraId="4D04956E" w14:textId="77777777" w:rsidR="008C5CFA" w:rsidRPr="00696324" w:rsidRDefault="008C5CFA" w:rsidP="00300A01">
            <w:pPr>
              <w:spacing w:before="0" w:after="0"/>
              <w:rPr>
                <w:sz w:val="12"/>
                <w:szCs w:val="12"/>
                <w:lang w:val="fr-BE"/>
              </w:rPr>
            </w:pPr>
          </w:p>
        </w:tc>
      </w:tr>
      <w:tr w:rsidR="006B2EC1" w14:paraId="2F41FF7C" w14:textId="77777777" w:rsidTr="0047688D">
        <w:tc>
          <w:tcPr>
            <w:tcW w:w="0" w:type="auto"/>
            <w:shd w:val="clear" w:color="auto" w:fill="auto"/>
          </w:tcPr>
          <w:p w14:paraId="576CCCBA" w14:textId="77777777" w:rsidR="008C5CFA" w:rsidRPr="00696324" w:rsidRDefault="00E82A60" w:rsidP="00300A01">
            <w:pPr>
              <w:spacing w:before="0" w:after="0"/>
              <w:rPr>
                <w:sz w:val="12"/>
                <w:szCs w:val="12"/>
                <w:lang w:val="fr-BE"/>
              </w:rPr>
            </w:pPr>
            <w:r w:rsidRPr="00696324">
              <w:rPr>
                <w:noProof/>
                <w:sz w:val="12"/>
                <w:szCs w:val="12"/>
                <w:lang w:val="fr-BE"/>
              </w:rPr>
              <w:t>7</w:t>
            </w:r>
          </w:p>
        </w:tc>
        <w:tc>
          <w:tcPr>
            <w:tcW w:w="0" w:type="auto"/>
            <w:shd w:val="clear" w:color="auto" w:fill="auto"/>
          </w:tcPr>
          <w:p w14:paraId="03F6DDA8" w14:textId="77777777" w:rsidR="008C5CFA" w:rsidRPr="00696324" w:rsidRDefault="00E82A60" w:rsidP="00300A01">
            <w:pPr>
              <w:spacing w:before="0" w:after="0"/>
              <w:rPr>
                <w:sz w:val="12"/>
                <w:szCs w:val="12"/>
                <w:lang w:val="fr-BE"/>
              </w:rPr>
            </w:pPr>
            <w:r w:rsidRPr="00696324">
              <w:rPr>
                <w:noProof/>
                <w:sz w:val="12"/>
                <w:szCs w:val="12"/>
                <w:lang w:val="fr-BE"/>
              </w:rPr>
              <w:t>F</w:t>
            </w:r>
          </w:p>
        </w:tc>
        <w:tc>
          <w:tcPr>
            <w:tcW w:w="0" w:type="auto"/>
          </w:tcPr>
          <w:p w14:paraId="30A22097" w14:textId="77777777" w:rsidR="008C5CFA" w:rsidRPr="00696324" w:rsidRDefault="00E82A60" w:rsidP="00300A01">
            <w:pPr>
              <w:spacing w:before="0" w:after="0"/>
              <w:rPr>
                <w:sz w:val="12"/>
                <w:szCs w:val="12"/>
                <w:lang w:val="fr-BE"/>
              </w:rPr>
            </w:pPr>
            <w:r w:rsidRPr="00696324">
              <w:rPr>
                <w:noProof/>
                <w:sz w:val="12"/>
                <w:szCs w:val="12"/>
                <w:lang w:val="fr-BE"/>
              </w:rPr>
              <w:t>001</w:t>
            </w:r>
          </w:p>
        </w:tc>
        <w:tc>
          <w:tcPr>
            <w:tcW w:w="0" w:type="auto"/>
          </w:tcPr>
          <w:p w14:paraId="56C9214A" w14:textId="77777777" w:rsidR="008C5CFA" w:rsidRPr="00696324" w:rsidRDefault="00E82A60" w:rsidP="00300A01">
            <w:pPr>
              <w:spacing w:before="0" w:after="0"/>
              <w:rPr>
                <w:sz w:val="12"/>
                <w:szCs w:val="12"/>
                <w:lang w:val="fr-BE"/>
              </w:rPr>
            </w:pPr>
            <w:r w:rsidRPr="00696324">
              <w:rPr>
                <w:noProof/>
                <w:sz w:val="12"/>
                <w:szCs w:val="12"/>
                <w:lang w:val="fr-BE"/>
              </w:rPr>
              <w:t>Całkowita kwota certyfikowanych wydatków kwalifikowalnych</w:t>
            </w:r>
          </w:p>
        </w:tc>
        <w:tc>
          <w:tcPr>
            <w:tcW w:w="0" w:type="auto"/>
          </w:tcPr>
          <w:p w14:paraId="7D0EE4F4" w14:textId="77777777" w:rsidR="008C5CFA" w:rsidRPr="00696324" w:rsidRDefault="00E82A60" w:rsidP="00300A01">
            <w:pPr>
              <w:spacing w:before="0" w:after="0"/>
              <w:rPr>
                <w:sz w:val="12"/>
                <w:szCs w:val="12"/>
                <w:lang w:val="fr-BE"/>
              </w:rPr>
            </w:pPr>
            <w:r w:rsidRPr="00696324">
              <w:rPr>
                <w:noProof/>
                <w:sz w:val="12"/>
                <w:szCs w:val="12"/>
                <w:lang w:val="fr-BE"/>
              </w:rPr>
              <w:t>EUR</w:t>
            </w:r>
          </w:p>
        </w:tc>
        <w:tc>
          <w:tcPr>
            <w:tcW w:w="0" w:type="auto"/>
          </w:tcPr>
          <w:p w14:paraId="3F725303" w14:textId="77777777" w:rsidR="008C5CFA" w:rsidRPr="00696324" w:rsidRDefault="00E82A60" w:rsidP="00300A01">
            <w:pPr>
              <w:spacing w:before="0" w:after="0"/>
              <w:rPr>
                <w:sz w:val="12"/>
                <w:szCs w:val="12"/>
                <w:lang w:val="fr-BE"/>
              </w:rPr>
            </w:pPr>
            <w:r w:rsidRPr="00D4605F">
              <w:rPr>
                <w:noProof/>
                <w:sz w:val="12"/>
                <w:szCs w:val="12"/>
                <w:lang w:val="fr-BE"/>
              </w:rPr>
              <w:t>EFRR</w:t>
            </w:r>
          </w:p>
        </w:tc>
        <w:tc>
          <w:tcPr>
            <w:tcW w:w="0" w:type="auto"/>
          </w:tcPr>
          <w:p w14:paraId="1FE762FF" w14:textId="77777777" w:rsidR="008C5CFA" w:rsidRPr="00696324" w:rsidRDefault="00E82A60" w:rsidP="00300A01">
            <w:pPr>
              <w:spacing w:before="0" w:after="0"/>
              <w:rPr>
                <w:sz w:val="12"/>
                <w:szCs w:val="12"/>
                <w:lang w:val="fr-BE"/>
              </w:rPr>
            </w:pPr>
            <w:r w:rsidRPr="00D4605F">
              <w:rPr>
                <w:noProof/>
                <w:sz w:val="12"/>
                <w:szCs w:val="12"/>
                <w:lang w:val="fr-BE"/>
              </w:rPr>
              <w:t>Słabiej rozwinięte</w:t>
            </w:r>
          </w:p>
        </w:tc>
        <w:tc>
          <w:tcPr>
            <w:tcW w:w="0" w:type="auto"/>
            <w:shd w:val="clear" w:color="auto" w:fill="auto"/>
          </w:tcPr>
          <w:p w14:paraId="0ACDA05D" w14:textId="77777777" w:rsidR="008C5CFA" w:rsidRPr="00696324" w:rsidRDefault="00E82A60" w:rsidP="00136029">
            <w:pPr>
              <w:spacing w:before="0" w:after="0"/>
              <w:jc w:val="right"/>
              <w:rPr>
                <w:sz w:val="12"/>
                <w:szCs w:val="12"/>
                <w:lang w:val="fr-BE"/>
              </w:rPr>
            </w:pPr>
            <w:r w:rsidRPr="00696324">
              <w:rPr>
                <w:noProof/>
                <w:sz w:val="12"/>
                <w:szCs w:val="12"/>
                <w:lang w:val="fr-BE"/>
              </w:rPr>
              <w:t>45 474 238,65</w:t>
            </w:r>
          </w:p>
        </w:tc>
        <w:tc>
          <w:tcPr>
            <w:tcW w:w="0" w:type="auto"/>
          </w:tcPr>
          <w:p w14:paraId="0D8DCD74" w14:textId="77777777" w:rsidR="008C5CFA" w:rsidRPr="00696324" w:rsidRDefault="00E82A60" w:rsidP="00136029">
            <w:pPr>
              <w:spacing w:before="0" w:after="0"/>
              <w:jc w:val="right"/>
              <w:rPr>
                <w:sz w:val="12"/>
                <w:szCs w:val="12"/>
                <w:lang w:val="fr-BE"/>
              </w:rPr>
            </w:pPr>
            <w:r w:rsidRPr="00696324">
              <w:rPr>
                <w:noProof/>
                <w:sz w:val="12"/>
                <w:szCs w:val="12"/>
                <w:lang w:val="fr-BE"/>
              </w:rPr>
              <w:t>1 060 873,88</w:t>
            </w:r>
          </w:p>
        </w:tc>
        <w:tc>
          <w:tcPr>
            <w:tcW w:w="0" w:type="auto"/>
          </w:tcPr>
          <w:p w14:paraId="140FA16D" w14:textId="77777777" w:rsidR="008C5CFA" w:rsidRPr="00696324" w:rsidRDefault="00E82A60" w:rsidP="00136029">
            <w:pPr>
              <w:spacing w:before="0" w:after="0"/>
              <w:jc w:val="right"/>
              <w:rPr>
                <w:sz w:val="12"/>
                <w:szCs w:val="12"/>
                <w:lang w:val="fr-BE"/>
              </w:rPr>
            </w:pPr>
            <w:r w:rsidRPr="00696324">
              <w:rPr>
                <w:noProof/>
                <w:sz w:val="12"/>
                <w:szCs w:val="12"/>
                <w:lang w:val="fr-BE"/>
              </w:rPr>
              <w:t>0,00</w:t>
            </w:r>
          </w:p>
        </w:tc>
        <w:tc>
          <w:tcPr>
            <w:tcW w:w="0" w:type="auto"/>
            <w:shd w:val="clear" w:color="auto" w:fill="auto"/>
          </w:tcPr>
          <w:p w14:paraId="36B0949C" w14:textId="77777777" w:rsidR="008C5CFA" w:rsidRPr="00696324" w:rsidRDefault="008C5CFA" w:rsidP="00300A01">
            <w:pPr>
              <w:spacing w:before="0" w:after="0"/>
              <w:rPr>
                <w:sz w:val="12"/>
                <w:szCs w:val="12"/>
                <w:lang w:val="fr-BE"/>
              </w:rPr>
            </w:pPr>
          </w:p>
        </w:tc>
      </w:tr>
      <w:tr w:rsidR="006B2EC1" w14:paraId="55A4ADE2" w14:textId="77777777" w:rsidTr="0047688D">
        <w:tc>
          <w:tcPr>
            <w:tcW w:w="0" w:type="auto"/>
            <w:shd w:val="clear" w:color="auto" w:fill="auto"/>
          </w:tcPr>
          <w:p w14:paraId="11F31795" w14:textId="77777777" w:rsidR="008C5CFA" w:rsidRPr="00696324" w:rsidRDefault="00E82A60" w:rsidP="00300A01">
            <w:pPr>
              <w:spacing w:before="0" w:after="0"/>
              <w:rPr>
                <w:sz w:val="12"/>
                <w:szCs w:val="12"/>
                <w:lang w:val="fr-BE"/>
              </w:rPr>
            </w:pPr>
            <w:r w:rsidRPr="00696324">
              <w:rPr>
                <w:noProof/>
                <w:sz w:val="12"/>
                <w:szCs w:val="12"/>
                <w:lang w:val="fr-BE"/>
              </w:rPr>
              <w:t>7</w:t>
            </w:r>
          </w:p>
        </w:tc>
        <w:tc>
          <w:tcPr>
            <w:tcW w:w="0" w:type="auto"/>
            <w:shd w:val="clear" w:color="auto" w:fill="auto"/>
          </w:tcPr>
          <w:p w14:paraId="35DC794F" w14:textId="77777777" w:rsidR="008C5CFA" w:rsidRPr="00696324" w:rsidRDefault="00E82A60" w:rsidP="00300A01">
            <w:pPr>
              <w:spacing w:before="0" w:after="0"/>
              <w:rPr>
                <w:sz w:val="12"/>
                <w:szCs w:val="12"/>
                <w:lang w:val="fr-BE"/>
              </w:rPr>
            </w:pPr>
            <w:r w:rsidRPr="00696324">
              <w:rPr>
                <w:noProof/>
                <w:sz w:val="12"/>
                <w:szCs w:val="12"/>
                <w:lang w:val="fr-BE"/>
              </w:rPr>
              <w:t>O</w:t>
            </w:r>
          </w:p>
        </w:tc>
        <w:tc>
          <w:tcPr>
            <w:tcW w:w="0" w:type="auto"/>
          </w:tcPr>
          <w:p w14:paraId="66269ECB" w14:textId="77777777" w:rsidR="008C5CFA" w:rsidRPr="00696324" w:rsidRDefault="00E82A60" w:rsidP="00300A01">
            <w:pPr>
              <w:spacing w:before="0" w:after="0"/>
              <w:rPr>
                <w:sz w:val="12"/>
                <w:szCs w:val="12"/>
                <w:lang w:val="fr-BE"/>
              </w:rPr>
            </w:pPr>
            <w:r w:rsidRPr="00696324">
              <w:rPr>
                <w:noProof/>
                <w:sz w:val="12"/>
                <w:szCs w:val="12"/>
                <w:lang w:val="fr-BE"/>
              </w:rPr>
              <w:t>047</w:t>
            </w:r>
          </w:p>
        </w:tc>
        <w:tc>
          <w:tcPr>
            <w:tcW w:w="0" w:type="auto"/>
          </w:tcPr>
          <w:p w14:paraId="72A6BC71" w14:textId="77777777" w:rsidR="008C5CFA" w:rsidRPr="00696324" w:rsidRDefault="00E82A60" w:rsidP="00300A01">
            <w:pPr>
              <w:spacing w:before="0" w:after="0"/>
              <w:rPr>
                <w:sz w:val="12"/>
                <w:szCs w:val="12"/>
                <w:lang w:val="fr-BE"/>
              </w:rPr>
            </w:pPr>
            <w:r w:rsidRPr="00696324">
              <w:rPr>
                <w:noProof/>
                <w:sz w:val="12"/>
                <w:szCs w:val="12"/>
                <w:lang w:val="fr-BE"/>
              </w:rPr>
              <w:t>Liczba obiektów infrastruktury jednostek organizacyjnych systemu oświaty</w:t>
            </w:r>
          </w:p>
        </w:tc>
        <w:tc>
          <w:tcPr>
            <w:tcW w:w="0" w:type="auto"/>
          </w:tcPr>
          <w:p w14:paraId="01982E12" w14:textId="77777777" w:rsidR="008C5CFA" w:rsidRPr="00696324" w:rsidRDefault="00E82A60" w:rsidP="00300A01">
            <w:pPr>
              <w:spacing w:before="0" w:after="0"/>
              <w:rPr>
                <w:sz w:val="12"/>
                <w:szCs w:val="12"/>
                <w:lang w:val="fr-BE"/>
              </w:rPr>
            </w:pPr>
            <w:r w:rsidRPr="00696324">
              <w:rPr>
                <w:noProof/>
                <w:sz w:val="12"/>
                <w:szCs w:val="12"/>
                <w:lang w:val="fr-BE"/>
              </w:rPr>
              <w:t>szt.</w:t>
            </w:r>
          </w:p>
        </w:tc>
        <w:tc>
          <w:tcPr>
            <w:tcW w:w="0" w:type="auto"/>
          </w:tcPr>
          <w:p w14:paraId="462C151F" w14:textId="77777777" w:rsidR="008C5CFA" w:rsidRPr="00696324" w:rsidRDefault="00E82A60" w:rsidP="00300A01">
            <w:pPr>
              <w:spacing w:before="0" w:after="0"/>
              <w:rPr>
                <w:sz w:val="12"/>
                <w:szCs w:val="12"/>
                <w:lang w:val="fr-BE"/>
              </w:rPr>
            </w:pPr>
            <w:r w:rsidRPr="00D4605F">
              <w:rPr>
                <w:noProof/>
                <w:sz w:val="12"/>
                <w:szCs w:val="12"/>
                <w:lang w:val="fr-BE"/>
              </w:rPr>
              <w:t>EFRR</w:t>
            </w:r>
          </w:p>
        </w:tc>
        <w:tc>
          <w:tcPr>
            <w:tcW w:w="0" w:type="auto"/>
          </w:tcPr>
          <w:p w14:paraId="24332307" w14:textId="77777777" w:rsidR="008C5CFA" w:rsidRPr="00696324" w:rsidRDefault="00E82A60" w:rsidP="00300A01">
            <w:pPr>
              <w:spacing w:before="0" w:after="0"/>
              <w:rPr>
                <w:sz w:val="12"/>
                <w:szCs w:val="12"/>
                <w:lang w:val="fr-BE"/>
              </w:rPr>
            </w:pPr>
            <w:r w:rsidRPr="00D4605F">
              <w:rPr>
                <w:noProof/>
                <w:sz w:val="12"/>
                <w:szCs w:val="12"/>
                <w:lang w:val="fr-BE"/>
              </w:rPr>
              <w:t>Słabiej rozwinięte</w:t>
            </w:r>
          </w:p>
        </w:tc>
        <w:tc>
          <w:tcPr>
            <w:tcW w:w="0" w:type="auto"/>
            <w:shd w:val="clear" w:color="auto" w:fill="auto"/>
          </w:tcPr>
          <w:p w14:paraId="58D37D89" w14:textId="77777777" w:rsidR="008C5CFA" w:rsidRPr="00696324" w:rsidRDefault="00E82A60" w:rsidP="00136029">
            <w:pPr>
              <w:spacing w:before="0" w:after="0"/>
              <w:jc w:val="right"/>
              <w:rPr>
                <w:sz w:val="12"/>
                <w:szCs w:val="12"/>
                <w:lang w:val="fr-BE"/>
              </w:rPr>
            </w:pPr>
            <w:r w:rsidRPr="00696324">
              <w:rPr>
                <w:noProof/>
                <w:sz w:val="12"/>
                <w:szCs w:val="12"/>
                <w:lang w:val="fr-BE"/>
              </w:rPr>
              <w:t>100,00</w:t>
            </w:r>
          </w:p>
        </w:tc>
        <w:tc>
          <w:tcPr>
            <w:tcW w:w="0" w:type="auto"/>
          </w:tcPr>
          <w:p w14:paraId="4483E13D" w14:textId="77777777" w:rsidR="008C5CFA" w:rsidRPr="00696324" w:rsidRDefault="00E82A60" w:rsidP="00136029">
            <w:pPr>
              <w:spacing w:before="0" w:after="0"/>
              <w:jc w:val="right"/>
              <w:rPr>
                <w:sz w:val="12"/>
                <w:szCs w:val="12"/>
                <w:lang w:val="fr-BE"/>
              </w:rPr>
            </w:pPr>
            <w:r w:rsidRPr="00696324">
              <w:rPr>
                <w:noProof/>
                <w:sz w:val="12"/>
                <w:szCs w:val="12"/>
                <w:lang w:val="fr-BE"/>
              </w:rPr>
              <w:t>0,00</w:t>
            </w:r>
          </w:p>
        </w:tc>
        <w:tc>
          <w:tcPr>
            <w:tcW w:w="0" w:type="auto"/>
          </w:tcPr>
          <w:p w14:paraId="1264AD4A" w14:textId="77777777" w:rsidR="008C5CFA" w:rsidRPr="00696324" w:rsidRDefault="00E82A60" w:rsidP="00136029">
            <w:pPr>
              <w:spacing w:before="0" w:after="0"/>
              <w:jc w:val="right"/>
              <w:rPr>
                <w:sz w:val="12"/>
                <w:szCs w:val="12"/>
                <w:lang w:val="fr-BE"/>
              </w:rPr>
            </w:pPr>
            <w:r w:rsidRPr="00696324">
              <w:rPr>
                <w:noProof/>
                <w:sz w:val="12"/>
                <w:szCs w:val="12"/>
                <w:lang w:val="fr-BE"/>
              </w:rPr>
              <w:t>0,00</w:t>
            </w:r>
          </w:p>
        </w:tc>
        <w:tc>
          <w:tcPr>
            <w:tcW w:w="0" w:type="auto"/>
            <w:shd w:val="clear" w:color="auto" w:fill="auto"/>
          </w:tcPr>
          <w:p w14:paraId="3B58B857" w14:textId="77777777" w:rsidR="008C5CFA" w:rsidRPr="00696324" w:rsidRDefault="008C5CFA" w:rsidP="00300A01">
            <w:pPr>
              <w:spacing w:before="0" w:after="0"/>
              <w:rPr>
                <w:sz w:val="12"/>
                <w:szCs w:val="12"/>
                <w:lang w:val="fr-BE"/>
              </w:rPr>
            </w:pPr>
          </w:p>
        </w:tc>
      </w:tr>
      <w:tr w:rsidR="006B2EC1" w14:paraId="09F3F079" w14:textId="77777777" w:rsidTr="0047688D">
        <w:tc>
          <w:tcPr>
            <w:tcW w:w="0" w:type="auto"/>
            <w:shd w:val="clear" w:color="auto" w:fill="auto"/>
          </w:tcPr>
          <w:p w14:paraId="29AF8D7F" w14:textId="77777777" w:rsidR="008C5CFA" w:rsidRPr="00696324" w:rsidRDefault="00E82A60" w:rsidP="00300A01">
            <w:pPr>
              <w:spacing w:before="0" w:after="0"/>
              <w:rPr>
                <w:sz w:val="12"/>
                <w:szCs w:val="12"/>
                <w:lang w:val="fr-BE"/>
              </w:rPr>
            </w:pPr>
            <w:r w:rsidRPr="00696324">
              <w:rPr>
                <w:noProof/>
                <w:sz w:val="12"/>
                <w:szCs w:val="12"/>
                <w:lang w:val="fr-BE"/>
              </w:rPr>
              <w:t>7</w:t>
            </w:r>
          </w:p>
        </w:tc>
        <w:tc>
          <w:tcPr>
            <w:tcW w:w="0" w:type="auto"/>
            <w:shd w:val="clear" w:color="auto" w:fill="auto"/>
          </w:tcPr>
          <w:p w14:paraId="4ED4052C" w14:textId="77777777" w:rsidR="008C5CFA" w:rsidRPr="00696324" w:rsidRDefault="00E82A60" w:rsidP="00300A01">
            <w:pPr>
              <w:spacing w:before="0" w:after="0"/>
              <w:rPr>
                <w:sz w:val="12"/>
                <w:szCs w:val="12"/>
                <w:lang w:val="fr-BE"/>
              </w:rPr>
            </w:pPr>
            <w:r w:rsidRPr="00696324">
              <w:rPr>
                <w:noProof/>
                <w:sz w:val="12"/>
                <w:szCs w:val="12"/>
                <w:lang w:val="fr-BE"/>
              </w:rPr>
              <w:t>O</w:t>
            </w:r>
          </w:p>
        </w:tc>
        <w:tc>
          <w:tcPr>
            <w:tcW w:w="0" w:type="auto"/>
          </w:tcPr>
          <w:p w14:paraId="36D74020" w14:textId="77777777" w:rsidR="008C5CFA" w:rsidRPr="00696324" w:rsidRDefault="00E82A60" w:rsidP="00300A01">
            <w:pPr>
              <w:spacing w:before="0" w:after="0"/>
              <w:rPr>
                <w:sz w:val="12"/>
                <w:szCs w:val="12"/>
                <w:lang w:val="fr-BE"/>
              </w:rPr>
            </w:pPr>
            <w:r w:rsidRPr="00696324">
              <w:rPr>
                <w:noProof/>
                <w:sz w:val="12"/>
                <w:szCs w:val="12"/>
                <w:lang w:val="fr-BE"/>
              </w:rPr>
              <w:t>050</w:t>
            </w:r>
          </w:p>
        </w:tc>
        <w:tc>
          <w:tcPr>
            <w:tcW w:w="0" w:type="auto"/>
          </w:tcPr>
          <w:p w14:paraId="7AC3EEFA" w14:textId="77777777" w:rsidR="008C5CFA" w:rsidRPr="00696324" w:rsidRDefault="00E82A60" w:rsidP="00300A01">
            <w:pPr>
              <w:spacing w:before="0" w:after="0"/>
              <w:rPr>
                <w:sz w:val="12"/>
                <w:szCs w:val="12"/>
                <w:lang w:val="fr-BE"/>
              </w:rPr>
            </w:pPr>
            <w:r w:rsidRPr="00696324">
              <w:rPr>
                <w:noProof/>
                <w:sz w:val="12"/>
                <w:szCs w:val="12"/>
                <w:lang w:val="fr-BE"/>
              </w:rPr>
              <w:t>Liczba wybudowanych oraz przebudowanych obiektów, w których realizowane są usługi aktywizacji społeczno-zawodowej</w:t>
            </w:r>
          </w:p>
        </w:tc>
        <w:tc>
          <w:tcPr>
            <w:tcW w:w="0" w:type="auto"/>
          </w:tcPr>
          <w:p w14:paraId="49B3E77A" w14:textId="77777777" w:rsidR="008C5CFA" w:rsidRPr="00696324" w:rsidRDefault="00E82A60" w:rsidP="00300A01">
            <w:pPr>
              <w:spacing w:before="0" w:after="0"/>
              <w:rPr>
                <w:sz w:val="12"/>
                <w:szCs w:val="12"/>
                <w:lang w:val="fr-BE"/>
              </w:rPr>
            </w:pPr>
            <w:r w:rsidRPr="00696324">
              <w:rPr>
                <w:noProof/>
                <w:sz w:val="12"/>
                <w:szCs w:val="12"/>
                <w:lang w:val="fr-BE"/>
              </w:rPr>
              <w:t>szt.</w:t>
            </w:r>
          </w:p>
        </w:tc>
        <w:tc>
          <w:tcPr>
            <w:tcW w:w="0" w:type="auto"/>
          </w:tcPr>
          <w:p w14:paraId="15C41A80" w14:textId="77777777" w:rsidR="008C5CFA" w:rsidRPr="00696324" w:rsidRDefault="00E82A60" w:rsidP="00300A01">
            <w:pPr>
              <w:spacing w:before="0" w:after="0"/>
              <w:rPr>
                <w:sz w:val="12"/>
                <w:szCs w:val="12"/>
                <w:lang w:val="fr-BE"/>
              </w:rPr>
            </w:pPr>
            <w:r w:rsidRPr="00D4605F">
              <w:rPr>
                <w:noProof/>
                <w:sz w:val="12"/>
                <w:szCs w:val="12"/>
                <w:lang w:val="fr-BE"/>
              </w:rPr>
              <w:t>EFRR</w:t>
            </w:r>
          </w:p>
        </w:tc>
        <w:tc>
          <w:tcPr>
            <w:tcW w:w="0" w:type="auto"/>
          </w:tcPr>
          <w:p w14:paraId="1F39588C" w14:textId="77777777" w:rsidR="008C5CFA" w:rsidRPr="00696324" w:rsidRDefault="00E82A60" w:rsidP="00300A01">
            <w:pPr>
              <w:spacing w:before="0" w:after="0"/>
              <w:rPr>
                <w:sz w:val="12"/>
                <w:szCs w:val="12"/>
                <w:lang w:val="fr-BE"/>
              </w:rPr>
            </w:pPr>
            <w:r w:rsidRPr="00D4605F">
              <w:rPr>
                <w:noProof/>
                <w:sz w:val="12"/>
                <w:szCs w:val="12"/>
                <w:lang w:val="fr-BE"/>
              </w:rPr>
              <w:t>Słabiej rozwinięte</w:t>
            </w:r>
          </w:p>
        </w:tc>
        <w:tc>
          <w:tcPr>
            <w:tcW w:w="0" w:type="auto"/>
            <w:shd w:val="clear" w:color="auto" w:fill="auto"/>
          </w:tcPr>
          <w:p w14:paraId="7606C79A" w14:textId="77777777" w:rsidR="008C5CFA" w:rsidRPr="00696324" w:rsidRDefault="00E82A60" w:rsidP="00136029">
            <w:pPr>
              <w:spacing w:before="0" w:after="0"/>
              <w:jc w:val="right"/>
              <w:rPr>
                <w:sz w:val="12"/>
                <w:szCs w:val="12"/>
                <w:lang w:val="fr-BE"/>
              </w:rPr>
            </w:pPr>
            <w:r w:rsidRPr="00696324">
              <w:rPr>
                <w:noProof/>
                <w:sz w:val="12"/>
                <w:szCs w:val="12"/>
                <w:lang w:val="fr-BE"/>
              </w:rPr>
              <w:t>6,15</w:t>
            </w:r>
          </w:p>
        </w:tc>
        <w:tc>
          <w:tcPr>
            <w:tcW w:w="0" w:type="auto"/>
          </w:tcPr>
          <w:p w14:paraId="7D24497D" w14:textId="77777777" w:rsidR="008C5CFA" w:rsidRPr="00696324" w:rsidRDefault="00E82A60" w:rsidP="00136029">
            <w:pPr>
              <w:spacing w:before="0" w:after="0"/>
              <w:jc w:val="right"/>
              <w:rPr>
                <w:sz w:val="12"/>
                <w:szCs w:val="12"/>
                <w:lang w:val="fr-BE"/>
              </w:rPr>
            </w:pPr>
            <w:r w:rsidRPr="00696324">
              <w:rPr>
                <w:noProof/>
                <w:sz w:val="12"/>
                <w:szCs w:val="12"/>
                <w:lang w:val="fr-BE"/>
              </w:rPr>
              <w:t>0,00</w:t>
            </w:r>
          </w:p>
        </w:tc>
        <w:tc>
          <w:tcPr>
            <w:tcW w:w="0" w:type="auto"/>
          </w:tcPr>
          <w:p w14:paraId="74244C00" w14:textId="77777777" w:rsidR="008C5CFA" w:rsidRPr="00696324" w:rsidRDefault="00E82A60" w:rsidP="00136029">
            <w:pPr>
              <w:spacing w:before="0" w:after="0"/>
              <w:jc w:val="right"/>
              <w:rPr>
                <w:sz w:val="12"/>
                <w:szCs w:val="12"/>
                <w:lang w:val="fr-BE"/>
              </w:rPr>
            </w:pPr>
            <w:r w:rsidRPr="00696324">
              <w:rPr>
                <w:noProof/>
                <w:sz w:val="12"/>
                <w:szCs w:val="12"/>
                <w:lang w:val="fr-BE"/>
              </w:rPr>
              <w:t>0,00</w:t>
            </w:r>
          </w:p>
        </w:tc>
        <w:tc>
          <w:tcPr>
            <w:tcW w:w="0" w:type="auto"/>
            <w:shd w:val="clear" w:color="auto" w:fill="auto"/>
          </w:tcPr>
          <w:p w14:paraId="2F848520" w14:textId="77777777" w:rsidR="008C5CFA" w:rsidRPr="00696324" w:rsidRDefault="008C5CFA" w:rsidP="00300A01">
            <w:pPr>
              <w:spacing w:before="0" w:after="0"/>
              <w:rPr>
                <w:sz w:val="12"/>
                <w:szCs w:val="12"/>
                <w:lang w:val="fr-BE"/>
              </w:rPr>
            </w:pPr>
          </w:p>
        </w:tc>
      </w:tr>
      <w:tr w:rsidR="006B2EC1" w14:paraId="383471D3" w14:textId="77777777" w:rsidTr="0047688D">
        <w:tc>
          <w:tcPr>
            <w:tcW w:w="0" w:type="auto"/>
            <w:shd w:val="clear" w:color="auto" w:fill="auto"/>
          </w:tcPr>
          <w:p w14:paraId="6E5D0F3F" w14:textId="77777777" w:rsidR="008C5CFA" w:rsidRPr="00696324" w:rsidRDefault="00E82A60" w:rsidP="00300A01">
            <w:pPr>
              <w:spacing w:before="0" w:after="0"/>
              <w:rPr>
                <w:sz w:val="12"/>
                <w:szCs w:val="12"/>
                <w:lang w:val="fr-BE"/>
              </w:rPr>
            </w:pPr>
            <w:r w:rsidRPr="00696324">
              <w:rPr>
                <w:noProof/>
                <w:sz w:val="12"/>
                <w:szCs w:val="12"/>
                <w:lang w:val="fr-BE"/>
              </w:rPr>
              <w:t>7</w:t>
            </w:r>
          </w:p>
        </w:tc>
        <w:tc>
          <w:tcPr>
            <w:tcW w:w="0" w:type="auto"/>
            <w:shd w:val="clear" w:color="auto" w:fill="auto"/>
          </w:tcPr>
          <w:p w14:paraId="031ED40F" w14:textId="77777777" w:rsidR="008C5CFA" w:rsidRPr="00696324" w:rsidRDefault="00E82A60" w:rsidP="00300A01">
            <w:pPr>
              <w:spacing w:before="0" w:after="0"/>
              <w:rPr>
                <w:sz w:val="12"/>
                <w:szCs w:val="12"/>
                <w:lang w:val="fr-BE"/>
              </w:rPr>
            </w:pPr>
            <w:r w:rsidRPr="00696324">
              <w:rPr>
                <w:noProof/>
                <w:sz w:val="12"/>
                <w:szCs w:val="12"/>
                <w:lang w:val="fr-BE"/>
              </w:rPr>
              <w:t>O</w:t>
            </w:r>
          </w:p>
        </w:tc>
        <w:tc>
          <w:tcPr>
            <w:tcW w:w="0" w:type="auto"/>
          </w:tcPr>
          <w:p w14:paraId="50B9F3C7" w14:textId="77777777" w:rsidR="008C5CFA" w:rsidRPr="00696324" w:rsidRDefault="00E82A60" w:rsidP="00300A01">
            <w:pPr>
              <w:spacing w:before="0" w:after="0"/>
              <w:rPr>
                <w:sz w:val="12"/>
                <w:szCs w:val="12"/>
                <w:lang w:val="fr-BE"/>
              </w:rPr>
            </w:pPr>
            <w:r w:rsidRPr="00696324">
              <w:rPr>
                <w:noProof/>
                <w:sz w:val="12"/>
                <w:szCs w:val="12"/>
                <w:lang w:val="fr-BE"/>
              </w:rPr>
              <w:t>88</w:t>
            </w:r>
          </w:p>
        </w:tc>
        <w:tc>
          <w:tcPr>
            <w:tcW w:w="0" w:type="auto"/>
          </w:tcPr>
          <w:p w14:paraId="08C9F935" w14:textId="77777777" w:rsidR="008C5CFA" w:rsidRPr="00696324" w:rsidRDefault="00E82A60" w:rsidP="00300A01">
            <w:pPr>
              <w:spacing w:before="0" w:after="0"/>
              <w:rPr>
                <w:sz w:val="12"/>
                <w:szCs w:val="12"/>
                <w:lang w:val="fr-BE"/>
              </w:rPr>
            </w:pPr>
            <w:r w:rsidRPr="00696324">
              <w:rPr>
                <w:noProof/>
                <w:sz w:val="12"/>
                <w:szCs w:val="12"/>
                <w:lang w:val="fr-BE"/>
              </w:rPr>
              <w:t>Liczba wspartych podmiotów leczniczych</w:t>
            </w:r>
          </w:p>
        </w:tc>
        <w:tc>
          <w:tcPr>
            <w:tcW w:w="0" w:type="auto"/>
          </w:tcPr>
          <w:p w14:paraId="476A1D8D" w14:textId="77777777" w:rsidR="008C5CFA" w:rsidRPr="00696324" w:rsidRDefault="00E82A60" w:rsidP="00300A01">
            <w:pPr>
              <w:spacing w:before="0" w:after="0"/>
              <w:rPr>
                <w:sz w:val="12"/>
                <w:szCs w:val="12"/>
                <w:lang w:val="fr-BE"/>
              </w:rPr>
            </w:pPr>
            <w:r w:rsidRPr="00696324">
              <w:rPr>
                <w:noProof/>
                <w:sz w:val="12"/>
                <w:szCs w:val="12"/>
                <w:lang w:val="fr-BE"/>
              </w:rPr>
              <w:t>szt.</w:t>
            </w:r>
          </w:p>
        </w:tc>
        <w:tc>
          <w:tcPr>
            <w:tcW w:w="0" w:type="auto"/>
          </w:tcPr>
          <w:p w14:paraId="4CFC8602" w14:textId="77777777" w:rsidR="008C5CFA" w:rsidRPr="00696324" w:rsidRDefault="00E82A60" w:rsidP="00300A01">
            <w:pPr>
              <w:spacing w:before="0" w:after="0"/>
              <w:rPr>
                <w:sz w:val="12"/>
                <w:szCs w:val="12"/>
                <w:lang w:val="fr-BE"/>
              </w:rPr>
            </w:pPr>
            <w:r w:rsidRPr="00D4605F">
              <w:rPr>
                <w:noProof/>
                <w:sz w:val="12"/>
                <w:szCs w:val="12"/>
                <w:lang w:val="fr-BE"/>
              </w:rPr>
              <w:t>EFRR</w:t>
            </w:r>
          </w:p>
        </w:tc>
        <w:tc>
          <w:tcPr>
            <w:tcW w:w="0" w:type="auto"/>
          </w:tcPr>
          <w:p w14:paraId="0EADE820" w14:textId="77777777" w:rsidR="008C5CFA" w:rsidRPr="00696324" w:rsidRDefault="00E82A60" w:rsidP="00300A01">
            <w:pPr>
              <w:spacing w:before="0" w:after="0"/>
              <w:rPr>
                <w:sz w:val="12"/>
                <w:szCs w:val="12"/>
                <w:lang w:val="fr-BE"/>
              </w:rPr>
            </w:pPr>
            <w:r w:rsidRPr="00D4605F">
              <w:rPr>
                <w:noProof/>
                <w:sz w:val="12"/>
                <w:szCs w:val="12"/>
                <w:lang w:val="fr-BE"/>
              </w:rPr>
              <w:t>Słabiej rozwinięte</w:t>
            </w:r>
          </w:p>
        </w:tc>
        <w:tc>
          <w:tcPr>
            <w:tcW w:w="0" w:type="auto"/>
            <w:shd w:val="clear" w:color="auto" w:fill="auto"/>
          </w:tcPr>
          <w:p w14:paraId="40AECE98" w14:textId="77777777" w:rsidR="008C5CFA" w:rsidRPr="00696324" w:rsidRDefault="00E82A60" w:rsidP="00136029">
            <w:pPr>
              <w:spacing w:before="0" w:after="0"/>
              <w:jc w:val="right"/>
              <w:rPr>
                <w:sz w:val="12"/>
                <w:szCs w:val="12"/>
                <w:lang w:val="fr-BE"/>
              </w:rPr>
            </w:pPr>
            <w:r w:rsidRPr="00696324">
              <w:rPr>
                <w:noProof/>
                <w:sz w:val="12"/>
                <w:szCs w:val="12"/>
                <w:lang w:val="fr-BE"/>
              </w:rPr>
              <w:t>13,00</w:t>
            </w:r>
          </w:p>
        </w:tc>
        <w:tc>
          <w:tcPr>
            <w:tcW w:w="0" w:type="auto"/>
          </w:tcPr>
          <w:p w14:paraId="0D387530" w14:textId="77777777" w:rsidR="008C5CFA" w:rsidRPr="00696324" w:rsidRDefault="00E82A60" w:rsidP="00136029">
            <w:pPr>
              <w:spacing w:before="0" w:after="0"/>
              <w:jc w:val="right"/>
              <w:rPr>
                <w:sz w:val="12"/>
                <w:szCs w:val="12"/>
                <w:lang w:val="fr-BE"/>
              </w:rPr>
            </w:pPr>
            <w:r w:rsidRPr="00696324">
              <w:rPr>
                <w:noProof/>
                <w:sz w:val="12"/>
                <w:szCs w:val="12"/>
                <w:lang w:val="fr-BE"/>
              </w:rPr>
              <w:t>0,00</w:t>
            </w:r>
          </w:p>
        </w:tc>
        <w:tc>
          <w:tcPr>
            <w:tcW w:w="0" w:type="auto"/>
          </w:tcPr>
          <w:p w14:paraId="49F46F5B" w14:textId="77777777" w:rsidR="008C5CFA" w:rsidRPr="00696324" w:rsidRDefault="00E82A60" w:rsidP="00136029">
            <w:pPr>
              <w:spacing w:before="0" w:after="0"/>
              <w:jc w:val="right"/>
              <w:rPr>
                <w:sz w:val="12"/>
                <w:szCs w:val="12"/>
                <w:lang w:val="fr-BE"/>
              </w:rPr>
            </w:pPr>
            <w:r w:rsidRPr="00696324">
              <w:rPr>
                <w:noProof/>
                <w:sz w:val="12"/>
                <w:szCs w:val="12"/>
                <w:lang w:val="fr-BE"/>
              </w:rPr>
              <w:t>0,00</w:t>
            </w:r>
          </w:p>
        </w:tc>
        <w:tc>
          <w:tcPr>
            <w:tcW w:w="0" w:type="auto"/>
            <w:shd w:val="clear" w:color="auto" w:fill="auto"/>
          </w:tcPr>
          <w:p w14:paraId="4160C363" w14:textId="77777777" w:rsidR="008C5CFA" w:rsidRPr="00696324" w:rsidRDefault="008C5CFA" w:rsidP="00300A01">
            <w:pPr>
              <w:spacing w:before="0" w:after="0"/>
              <w:rPr>
                <w:sz w:val="12"/>
                <w:szCs w:val="12"/>
                <w:lang w:val="fr-BE"/>
              </w:rPr>
            </w:pPr>
          </w:p>
        </w:tc>
      </w:tr>
      <w:tr w:rsidR="006B2EC1" w14:paraId="7C056855" w14:textId="77777777" w:rsidTr="0047688D">
        <w:tc>
          <w:tcPr>
            <w:tcW w:w="0" w:type="auto"/>
            <w:shd w:val="clear" w:color="auto" w:fill="auto"/>
          </w:tcPr>
          <w:p w14:paraId="4EFF82B8" w14:textId="77777777" w:rsidR="008C5CFA" w:rsidRPr="00696324" w:rsidRDefault="00E82A60" w:rsidP="00300A01">
            <w:pPr>
              <w:spacing w:before="0" w:after="0"/>
              <w:rPr>
                <w:sz w:val="12"/>
                <w:szCs w:val="12"/>
                <w:lang w:val="fr-BE"/>
              </w:rPr>
            </w:pPr>
            <w:r w:rsidRPr="00696324">
              <w:rPr>
                <w:noProof/>
                <w:sz w:val="12"/>
                <w:szCs w:val="12"/>
                <w:lang w:val="fr-BE"/>
              </w:rPr>
              <w:t>8</w:t>
            </w:r>
          </w:p>
        </w:tc>
        <w:tc>
          <w:tcPr>
            <w:tcW w:w="0" w:type="auto"/>
            <w:shd w:val="clear" w:color="auto" w:fill="auto"/>
          </w:tcPr>
          <w:p w14:paraId="3B46A93B" w14:textId="77777777" w:rsidR="008C5CFA" w:rsidRPr="00696324" w:rsidRDefault="00E82A60" w:rsidP="00300A01">
            <w:pPr>
              <w:spacing w:before="0" w:after="0"/>
              <w:rPr>
                <w:sz w:val="12"/>
                <w:szCs w:val="12"/>
                <w:lang w:val="fr-BE"/>
              </w:rPr>
            </w:pPr>
            <w:r w:rsidRPr="00696324">
              <w:rPr>
                <w:noProof/>
                <w:sz w:val="12"/>
                <w:szCs w:val="12"/>
                <w:lang w:val="fr-BE"/>
              </w:rPr>
              <w:t>F</w:t>
            </w:r>
          </w:p>
        </w:tc>
        <w:tc>
          <w:tcPr>
            <w:tcW w:w="0" w:type="auto"/>
          </w:tcPr>
          <w:p w14:paraId="20D714DA" w14:textId="77777777" w:rsidR="008C5CFA" w:rsidRPr="00696324" w:rsidRDefault="00E82A60" w:rsidP="00300A01">
            <w:pPr>
              <w:spacing w:before="0" w:after="0"/>
              <w:rPr>
                <w:sz w:val="12"/>
                <w:szCs w:val="12"/>
                <w:lang w:val="fr-BE"/>
              </w:rPr>
            </w:pPr>
            <w:r w:rsidRPr="00696324">
              <w:rPr>
                <w:noProof/>
                <w:sz w:val="12"/>
                <w:szCs w:val="12"/>
                <w:lang w:val="fr-BE"/>
              </w:rPr>
              <w:t>001</w:t>
            </w:r>
          </w:p>
        </w:tc>
        <w:tc>
          <w:tcPr>
            <w:tcW w:w="0" w:type="auto"/>
          </w:tcPr>
          <w:p w14:paraId="7647AF8E" w14:textId="77777777" w:rsidR="008C5CFA" w:rsidRPr="00696324" w:rsidRDefault="00E82A60" w:rsidP="00300A01">
            <w:pPr>
              <w:spacing w:before="0" w:after="0"/>
              <w:rPr>
                <w:sz w:val="12"/>
                <w:szCs w:val="12"/>
                <w:lang w:val="fr-BE"/>
              </w:rPr>
            </w:pPr>
            <w:r w:rsidRPr="00696324">
              <w:rPr>
                <w:noProof/>
                <w:sz w:val="12"/>
                <w:szCs w:val="12"/>
                <w:lang w:val="fr-BE"/>
              </w:rPr>
              <w:t>Całkowita kwota certyfikowanych wydatków kwalifikowalnych</w:t>
            </w:r>
          </w:p>
        </w:tc>
        <w:tc>
          <w:tcPr>
            <w:tcW w:w="0" w:type="auto"/>
          </w:tcPr>
          <w:p w14:paraId="3726DBEA" w14:textId="77777777" w:rsidR="008C5CFA" w:rsidRPr="00696324" w:rsidRDefault="00E82A60" w:rsidP="00300A01">
            <w:pPr>
              <w:spacing w:before="0" w:after="0"/>
              <w:rPr>
                <w:sz w:val="12"/>
                <w:szCs w:val="12"/>
                <w:lang w:val="fr-BE"/>
              </w:rPr>
            </w:pPr>
            <w:r w:rsidRPr="00696324">
              <w:rPr>
                <w:noProof/>
                <w:sz w:val="12"/>
                <w:szCs w:val="12"/>
                <w:lang w:val="fr-BE"/>
              </w:rPr>
              <w:t>EUR</w:t>
            </w:r>
          </w:p>
        </w:tc>
        <w:tc>
          <w:tcPr>
            <w:tcW w:w="0" w:type="auto"/>
          </w:tcPr>
          <w:p w14:paraId="68CF6743" w14:textId="77777777" w:rsidR="008C5CFA" w:rsidRPr="00696324" w:rsidRDefault="00E82A60" w:rsidP="00300A01">
            <w:pPr>
              <w:spacing w:before="0" w:after="0"/>
              <w:rPr>
                <w:sz w:val="12"/>
                <w:szCs w:val="12"/>
                <w:lang w:val="fr-BE"/>
              </w:rPr>
            </w:pPr>
            <w:r w:rsidRPr="00D4605F">
              <w:rPr>
                <w:noProof/>
                <w:sz w:val="12"/>
                <w:szCs w:val="12"/>
                <w:lang w:val="fr-BE"/>
              </w:rPr>
              <w:t>EFS</w:t>
            </w:r>
          </w:p>
        </w:tc>
        <w:tc>
          <w:tcPr>
            <w:tcW w:w="0" w:type="auto"/>
          </w:tcPr>
          <w:p w14:paraId="77B96B93" w14:textId="77777777" w:rsidR="008C5CFA" w:rsidRPr="00696324" w:rsidRDefault="00E82A60" w:rsidP="00300A01">
            <w:pPr>
              <w:spacing w:before="0" w:after="0"/>
              <w:rPr>
                <w:sz w:val="12"/>
                <w:szCs w:val="12"/>
                <w:lang w:val="fr-BE"/>
              </w:rPr>
            </w:pPr>
            <w:r w:rsidRPr="00D4605F">
              <w:rPr>
                <w:noProof/>
                <w:sz w:val="12"/>
                <w:szCs w:val="12"/>
                <w:lang w:val="fr-BE"/>
              </w:rPr>
              <w:t>Słabiej rozwinięte</w:t>
            </w:r>
          </w:p>
        </w:tc>
        <w:tc>
          <w:tcPr>
            <w:tcW w:w="0" w:type="auto"/>
            <w:shd w:val="clear" w:color="auto" w:fill="auto"/>
          </w:tcPr>
          <w:p w14:paraId="1F60D85F" w14:textId="77777777" w:rsidR="008C5CFA" w:rsidRPr="00696324" w:rsidRDefault="00E82A60" w:rsidP="00136029">
            <w:pPr>
              <w:spacing w:before="0" w:after="0"/>
              <w:jc w:val="right"/>
              <w:rPr>
                <w:sz w:val="12"/>
                <w:szCs w:val="12"/>
                <w:lang w:val="fr-BE"/>
              </w:rPr>
            </w:pPr>
            <w:r w:rsidRPr="00696324">
              <w:rPr>
                <w:noProof/>
                <w:sz w:val="12"/>
                <w:szCs w:val="12"/>
                <w:lang w:val="fr-BE"/>
              </w:rPr>
              <w:t>28 537 496,81</w:t>
            </w:r>
          </w:p>
        </w:tc>
        <w:tc>
          <w:tcPr>
            <w:tcW w:w="0" w:type="auto"/>
          </w:tcPr>
          <w:p w14:paraId="615972A0" w14:textId="77777777" w:rsidR="008C5CFA" w:rsidRPr="00696324" w:rsidRDefault="00E82A60" w:rsidP="00136029">
            <w:pPr>
              <w:spacing w:before="0" w:after="0"/>
              <w:jc w:val="right"/>
              <w:rPr>
                <w:sz w:val="12"/>
                <w:szCs w:val="12"/>
                <w:lang w:val="fr-BE"/>
              </w:rPr>
            </w:pPr>
            <w:r w:rsidRPr="00696324">
              <w:rPr>
                <w:noProof/>
                <w:sz w:val="12"/>
                <w:szCs w:val="12"/>
                <w:lang w:val="fr-BE"/>
              </w:rPr>
              <w:t>10 566 741,85</w:t>
            </w:r>
          </w:p>
        </w:tc>
        <w:tc>
          <w:tcPr>
            <w:tcW w:w="0" w:type="auto"/>
          </w:tcPr>
          <w:p w14:paraId="3F8F5438" w14:textId="77777777" w:rsidR="008C5CFA" w:rsidRPr="00696324" w:rsidRDefault="00E82A60" w:rsidP="00136029">
            <w:pPr>
              <w:spacing w:before="0" w:after="0"/>
              <w:jc w:val="right"/>
              <w:rPr>
                <w:sz w:val="12"/>
                <w:szCs w:val="12"/>
                <w:lang w:val="fr-BE"/>
              </w:rPr>
            </w:pPr>
            <w:r w:rsidRPr="00696324">
              <w:rPr>
                <w:noProof/>
                <w:sz w:val="12"/>
                <w:szCs w:val="12"/>
                <w:lang w:val="fr-BE"/>
              </w:rPr>
              <w:t>320 121,38</w:t>
            </w:r>
          </w:p>
        </w:tc>
        <w:tc>
          <w:tcPr>
            <w:tcW w:w="0" w:type="auto"/>
            <w:shd w:val="clear" w:color="auto" w:fill="auto"/>
          </w:tcPr>
          <w:p w14:paraId="789EB7FD" w14:textId="77777777" w:rsidR="008C5CFA" w:rsidRPr="00696324" w:rsidRDefault="008C5CFA" w:rsidP="00300A01">
            <w:pPr>
              <w:spacing w:before="0" w:after="0"/>
              <w:rPr>
                <w:sz w:val="12"/>
                <w:szCs w:val="12"/>
                <w:lang w:val="fr-BE"/>
              </w:rPr>
            </w:pPr>
          </w:p>
        </w:tc>
      </w:tr>
      <w:tr w:rsidR="006B2EC1" w14:paraId="52B6A725" w14:textId="77777777" w:rsidTr="0047688D">
        <w:tc>
          <w:tcPr>
            <w:tcW w:w="0" w:type="auto"/>
            <w:shd w:val="clear" w:color="auto" w:fill="auto"/>
          </w:tcPr>
          <w:p w14:paraId="768075CB" w14:textId="77777777" w:rsidR="008C5CFA" w:rsidRPr="00696324" w:rsidRDefault="00E82A60" w:rsidP="00300A01">
            <w:pPr>
              <w:spacing w:before="0" w:after="0"/>
              <w:rPr>
                <w:sz w:val="12"/>
                <w:szCs w:val="12"/>
                <w:lang w:val="fr-BE"/>
              </w:rPr>
            </w:pPr>
            <w:r w:rsidRPr="00696324">
              <w:rPr>
                <w:noProof/>
                <w:sz w:val="12"/>
                <w:szCs w:val="12"/>
                <w:lang w:val="fr-BE"/>
              </w:rPr>
              <w:t>8</w:t>
            </w:r>
          </w:p>
        </w:tc>
        <w:tc>
          <w:tcPr>
            <w:tcW w:w="0" w:type="auto"/>
            <w:shd w:val="clear" w:color="auto" w:fill="auto"/>
          </w:tcPr>
          <w:p w14:paraId="3933E2C2" w14:textId="77777777" w:rsidR="008C5CFA" w:rsidRPr="00696324" w:rsidRDefault="00E82A60" w:rsidP="00300A01">
            <w:pPr>
              <w:spacing w:before="0" w:after="0"/>
              <w:rPr>
                <w:sz w:val="12"/>
                <w:szCs w:val="12"/>
                <w:lang w:val="fr-BE"/>
              </w:rPr>
            </w:pPr>
            <w:r w:rsidRPr="00696324">
              <w:rPr>
                <w:noProof/>
                <w:sz w:val="12"/>
                <w:szCs w:val="12"/>
                <w:lang w:val="fr-BE"/>
              </w:rPr>
              <w:t>O</w:t>
            </w:r>
          </w:p>
        </w:tc>
        <w:tc>
          <w:tcPr>
            <w:tcW w:w="0" w:type="auto"/>
          </w:tcPr>
          <w:p w14:paraId="168F099E" w14:textId="77777777" w:rsidR="008C5CFA" w:rsidRPr="00696324" w:rsidRDefault="00E82A60" w:rsidP="00300A01">
            <w:pPr>
              <w:spacing w:before="0" w:after="0"/>
              <w:rPr>
                <w:sz w:val="12"/>
                <w:szCs w:val="12"/>
                <w:lang w:val="fr-BE"/>
              </w:rPr>
            </w:pPr>
            <w:r w:rsidRPr="00696324">
              <w:rPr>
                <w:noProof/>
                <w:sz w:val="12"/>
                <w:szCs w:val="12"/>
                <w:lang w:val="fr-BE"/>
              </w:rPr>
              <w:t>004</w:t>
            </w:r>
          </w:p>
        </w:tc>
        <w:tc>
          <w:tcPr>
            <w:tcW w:w="0" w:type="auto"/>
          </w:tcPr>
          <w:p w14:paraId="08709D69" w14:textId="77777777" w:rsidR="008C5CFA" w:rsidRPr="00696324" w:rsidRDefault="00E82A60" w:rsidP="00300A01">
            <w:pPr>
              <w:spacing w:before="0" w:after="0"/>
              <w:rPr>
                <w:sz w:val="12"/>
                <w:szCs w:val="12"/>
                <w:lang w:val="fr-BE"/>
              </w:rPr>
            </w:pPr>
            <w:r w:rsidRPr="00696324">
              <w:rPr>
                <w:noProof/>
                <w:sz w:val="12"/>
                <w:szCs w:val="12"/>
                <w:lang w:val="fr-BE"/>
              </w:rPr>
              <w:t>Liczba osób opiekujących się dziećmi w wieku do lat 3 objętych wsparciem w programie</w:t>
            </w:r>
          </w:p>
        </w:tc>
        <w:tc>
          <w:tcPr>
            <w:tcW w:w="0" w:type="auto"/>
          </w:tcPr>
          <w:p w14:paraId="635382A9" w14:textId="77777777" w:rsidR="008C5CFA" w:rsidRPr="00696324" w:rsidRDefault="00E82A60" w:rsidP="00300A01">
            <w:pPr>
              <w:spacing w:before="0" w:after="0"/>
              <w:rPr>
                <w:sz w:val="12"/>
                <w:szCs w:val="12"/>
                <w:lang w:val="fr-BE"/>
              </w:rPr>
            </w:pPr>
            <w:r w:rsidRPr="00696324">
              <w:rPr>
                <w:noProof/>
                <w:sz w:val="12"/>
                <w:szCs w:val="12"/>
                <w:lang w:val="fr-BE"/>
              </w:rPr>
              <w:t>osoba</w:t>
            </w:r>
          </w:p>
        </w:tc>
        <w:tc>
          <w:tcPr>
            <w:tcW w:w="0" w:type="auto"/>
          </w:tcPr>
          <w:p w14:paraId="15C86C1B" w14:textId="77777777" w:rsidR="008C5CFA" w:rsidRPr="00696324" w:rsidRDefault="00E82A60" w:rsidP="00300A01">
            <w:pPr>
              <w:spacing w:before="0" w:after="0"/>
              <w:rPr>
                <w:sz w:val="12"/>
                <w:szCs w:val="12"/>
                <w:lang w:val="fr-BE"/>
              </w:rPr>
            </w:pPr>
            <w:r w:rsidRPr="00D4605F">
              <w:rPr>
                <w:noProof/>
                <w:sz w:val="12"/>
                <w:szCs w:val="12"/>
                <w:lang w:val="fr-BE"/>
              </w:rPr>
              <w:t>EFS</w:t>
            </w:r>
          </w:p>
        </w:tc>
        <w:tc>
          <w:tcPr>
            <w:tcW w:w="0" w:type="auto"/>
          </w:tcPr>
          <w:p w14:paraId="44E81210" w14:textId="77777777" w:rsidR="008C5CFA" w:rsidRPr="00696324" w:rsidRDefault="00E82A60" w:rsidP="00300A01">
            <w:pPr>
              <w:spacing w:before="0" w:after="0"/>
              <w:rPr>
                <w:sz w:val="12"/>
                <w:szCs w:val="12"/>
                <w:lang w:val="fr-BE"/>
              </w:rPr>
            </w:pPr>
            <w:r w:rsidRPr="00D4605F">
              <w:rPr>
                <w:noProof/>
                <w:sz w:val="12"/>
                <w:szCs w:val="12"/>
                <w:lang w:val="fr-BE"/>
              </w:rPr>
              <w:t>Słabiej rozwinięte</w:t>
            </w:r>
          </w:p>
        </w:tc>
        <w:tc>
          <w:tcPr>
            <w:tcW w:w="0" w:type="auto"/>
            <w:shd w:val="clear" w:color="auto" w:fill="auto"/>
          </w:tcPr>
          <w:p w14:paraId="1609C9E1" w14:textId="77777777" w:rsidR="008C5CFA" w:rsidRPr="00696324" w:rsidRDefault="00E82A60" w:rsidP="00136029">
            <w:pPr>
              <w:spacing w:before="0" w:after="0"/>
              <w:jc w:val="right"/>
              <w:rPr>
                <w:sz w:val="12"/>
                <w:szCs w:val="12"/>
                <w:lang w:val="fr-BE"/>
              </w:rPr>
            </w:pPr>
            <w:r w:rsidRPr="00696324">
              <w:rPr>
                <w:noProof/>
                <w:sz w:val="12"/>
                <w:szCs w:val="12"/>
                <w:lang w:val="fr-BE"/>
              </w:rPr>
              <w:t>597,00</w:t>
            </w:r>
          </w:p>
        </w:tc>
        <w:tc>
          <w:tcPr>
            <w:tcW w:w="0" w:type="auto"/>
          </w:tcPr>
          <w:p w14:paraId="10927CF4" w14:textId="77777777" w:rsidR="008C5CFA" w:rsidRPr="00696324" w:rsidRDefault="00E82A60" w:rsidP="00136029">
            <w:pPr>
              <w:spacing w:before="0" w:after="0"/>
              <w:jc w:val="right"/>
              <w:rPr>
                <w:sz w:val="12"/>
                <w:szCs w:val="12"/>
                <w:lang w:val="fr-BE"/>
              </w:rPr>
            </w:pPr>
            <w:r w:rsidRPr="00696324">
              <w:rPr>
                <w:noProof/>
                <w:sz w:val="12"/>
                <w:szCs w:val="12"/>
                <w:lang w:val="fr-BE"/>
              </w:rPr>
              <w:t>319,00</w:t>
            </w:r>
          </w:p>
        </w:tc>
        <w:tc>
          <w:tcPr>
            <w:tcW w:w="0" w:type="auto"/>
          </w:tcPr>
          <w:p w14:paraId="5ED069AA" w14:textId="77777777" w:rsidR="008C5CFA" w:rsidRPr="00696324" w:rsidRDefault="00E82A60" w:rsidP="00136029">
            <w:pPr>
              <w:spacing w:before="0" w:after="0"/>
              <w:jc w:val="right"/>
              <w:rPr>
                <w:sz w:val="12"/>
                <w:szCs w:val="12"/>
                <w:lang w:val="fr-BE"/>
              </w:rPr>
            </w:pPr>
            <w:r w:rsidRPr="00696324">
              <w:rPr>
                <w:noProof/>
                <w:sz w:val="12"/>
                <w:szCs w:val="12"/>
                <w:lang w:val="fr-BE"/>
              </w:rPr>
              <w:t>32,00</w:t>
            </w:r>
          </w:p>
        </w:tc>
        <w:tc>
          <w:tcPr>
            <w:tcW w:w="0" w:type="auto"/>
            <w:shd w:val="clear" w:color="auto" w:fill="auto"/>
          </w:tcPr>
          <w:p w14:paraId="7C729477" w14:textId="77777777" w:rsidR="008C5CFA" w:rsidRPr="00696324" w:rsidRDefault="008C5CFA" w:rsidP="00300A01">
            <w:pPr>
              <w:spacing w:before="0" w:after="0"/>
              <w:rPr>
                <w:sz w:val="12"/>
                <w:szCs w:val="12"/>
                <w:lang w:val="fr-BE"/>
              </w:rPr>
            </w:pPr>
          </w:p>
        </w:tc>
      </w:tr>
      <w:tr w:rsidR="006B2EC1" w14:paraId="508A1AD5" w14:textId="77777777" w:rsidTr="0047688D">
        <w:tc>
          <w:tcPr>
            <w:tcW w:w="0" w:type="auto"/>
            <w:shd w:val="clear" w:color="auto" w:fill="auto"/>
          </w:tcPr>
          <w:p w14:paraId="4437117B" w14:textId="77777777" w:rsidR="008C5CFA" w:rsidRPr="00696324" w:rsidRDefault="00E82A60" w:rsidP="00300A01">
            <w:pPr>
              <w:spacing w:before="0" w:after="0"/>
              <w:rPr>
                <w:sz w:val="12"/>
                <w:szCs w:val="12"/>
                <w:lang w:val="fr-BE"/>
              </w:rPr>
            </w:pPr>
            <w:r w:rsidRPr="00696324">
              <w:rPr>
                <w:noProof/>
                <w:sz w:val="12"/>
                <w:szCs w:val="12"/>
                <w:lang w:val="fr-BE"/>
              </w:rPr>
              <w:t>8</w:t>
            </w:r>
          </w:p>
        </w:tc>
        <w:tc>
          <w:tcPr>
            <w:tcW w:w="0" w:type="auto"/>
            <w:shd w:val="clear" w:color="auto" w:fill="auto"/>
          </w:tcPr>
          <w:p w14:paraId="0FA669C3" w14:textId="77777777" w:rsidR="008C5CFA" w:rsidRPr="00696324" w:rsidRDefault="00E82A60" w:rsidP="00300A01">
            <w:pPr>
              <w:spacing w:before="0" w:after="0"/>
              <w:rPr>
                <w:sz w:val="12"/>
                <w:szCs w:val="12"/>
                <w:lang w:val="fr-BE"/>
              </w:rPr>
            </w:pPr>
            <w:r w:rsidRPr="00696324">
              <w:rPr>
                <w:noProof/>
                <w:sz w:val="12"/>
                <w:szCs w:val="12"/>
                <w:lang w:val="fr-BE"/>
              </w:rPr>
              <w:t>O</w:t>
            </w:r>
          </w:p>
        </w:tc>
        <w:tc>
          <w:tcPr>
            <w:tcW w:w="0" w:type="auto"/>
          </w:tcPr>
          <w:p w14:paraId="7E341BA7" w14:textId="77777777" w:rsidR="008C5CFA" w:rsidRPr="00696324" w:rsidRDefault="00E82A60" w:rsidP="00300A01">
            <w:pPr>
              <w:spacing w:before="0" w:after="0"/>
              <w:rPr>
                <w:sz w:val="12"/>
                <w:szCs w:val="12"/>
                <w:lang w:val="fr-BE"/>
              </w:rPr>
            </w:pPr>
            <w:r w:rsidRPr="00696324">
              <w:rPr>
                <w:noProof/>
                <w:sz w:val="12"/>
                <w:szCs w:val="12"/>
                <w:lang w:val="fr-BE"/>
              </w:rPr>
              <w:t>102</w:t>
            </w:r>
          </w:p>
        </w:tc>
        <w:tc>
          <w:tcPr>
            <w:tcW w:w="0" w:type="auto"/>
          </w:tcPr>
          <w:p w14:paraId="3015D040" w14:textId="77777777" w:rsidR="008C5CFA" w:rsidRPr="00696324" w:rsidRDefault="00E82A60" w:rsidP="00300A01">
            <w:pPr>
              <w:spacing w:before="0" w:after="0"/>
              <w:rPr>
                <w:sz w:val="12"/>
                <w:szCs w:val="12"/>
                <w:lang w:val="fr-BE"/>
              </w:rPr>
            </w:pPr>
            <w:r w:rsidRPr="00696324">
              <w:rPr>
                <w:noProof/>
                <w:sz w:val="12"/>
                <w:szCs w:val="12"/>
                <w:lang w:val="fr-BE"/>
              </w:rPr>
              <w:t>Liczba uczniów objętych wsparciem w programie</w:t>
            </w:r>
          </w:p>
        </w:tc>
        <w:tc>
          <w:tcPr>
            <w:tcW w:w="0" w:type="auto"/>
          </w:tcPr>
          <w:p w14:paraId="4FE30762" w14:textId="77777777" w:rsidR="008C5CFA" w:rsidRPr="00696324" w:rsidRDefault="00E82A60" w:rsidP="00300A01">
            <w:pPr>
              <w:spacing w:before="0" w:after="0"/>
              <w:rPr>
                <w:sz w:val="12"/>
                <w:szCs w:val="12"/>
                <w:lang w:val="fr-BE"/>
              </w:rPr>
            </w:pPr>
            <w:r w:rsidRPr="00696324">
              <w:rPr>
                <w:noProof/>
                <w:sz w:val="12"/>
                <w:szCs w:val="12"/>
                <w:lang w:val="fr-BE"/>
              </w:rPr>
              <w:t>osoba</w:t>
            </w:r>
          </w:p>
        </w:tc>
        <w:tc>
          <w:tcPr>
            <w:tcW w:w="0" w:type="auto"/>
          </w:tcPr>
          <w:p w14:paraId="539F162A" w14:textId="77777777" w:rsidR="008C5CFA" w:rsidRPr="00696324" w:rsidRDefault="00E82A60" w:rsidP="00300A01">
            <w:pPr>
              <w:spacing w:before="0" w:after="0"/>
              <w:rPr>
                <w:sz w:val="12"/>
                <w:szCs w:val="12"/>
                <w:lang w:val="fr-BE"/>
              </w:rPr>
            </w:pPr>
            <w:r w:rsidRPr="00D4605F">
              <w:rPr>
                <w:noProof/>
                <w:sz w:val="12"/>
                <w:szCs w:val="12"/>
                <w:lang w:val="fr-BE"/>
              </w:rPr>
              <w:t>EFS</w:t>
            </w:r>
          </w:p>
        </w:tc>
        <w:tc>
          <w:tcPr>
            <w:tcW w:w="0" w:type="auto"/>
          </w:tcPr>
          <w:p w14:paraId="192221C0" w14:textId="77777777" w:rsidR="008C5CFA" w:rsidRPr="00696324" w:rsidRDefault="00E82A60" w:rsidP="00300A01">
            <w:pPr>
              <w:spacing w:before="0" w:after="0"/>
              <w:rPr>
                <w:sz w:val="12"/>
                <w:szCs w:val="12"/>
                <w:lang w:val="fr-BE"/>
              </w:rPr>
            </w:pPr>
            <w:r w:rsidRPr="00D4605F">
              <w:rPr>
                <w:noProof/>
                <w:sz w:val="12"/>
                <w:szCs w:val="12"/>
                <w:lang w:val="fr-BE"/>
              </w:rPr>
              <w:t>Słabiej rozwinięte</w:t>
            </w:r>
          </w:p>
        </w:tc>
        <w:tc>
          <w:tcPr>
            <w:tcW w:w="0" w:type="auto"/>
            <w:shd w:val="clear" w:color="auto" w:fill="auto"/>
          </w:tcPr>
          <w:p w14:paraId="4D758A15" w14:textId="77777777" w:rsidR="008C5CFA" w:rsidRPr="00696324" w:rsidRDefault="00E82A60" w:rsidP="00136029">
            <w:pPr>
              <w:spacing w:before="0" w:after="0"/>
              <w:jc w:val="right"/>
              <w:rPr>
                <w:sz w:val="12"/>
                <w:szCs w:val="12"/>
                <w:lang w:val="fr-BE"/>
              </w:rPr>
            </w:pPr>
            <w:r w:rsidRPr="00696324">
              <w:rPr>
                <w:noProof/>
                <w:sz w:val="12"/>
                <w:szCs w:val="12"/>
                <w:lang w:val="fr-BE"/>
              </w:rPr>
              <w:t>17 580,00</w:t>
            </w:r>
          </w:p>
        </w:tc>
        <w:tc>
          <w:tcPr>
            <w:tcW w:w="0" w:type="auto"/>
          </w:tcPr>
          <w:p w14:paraId="313F1E79" w14:textId="77777777" w:rsidR="008C5CFA" w:rsidRPr="00696324" w:rsidRDefault="00E82A60" w:rsidP="00136029">
            <w:pPr>
              <w:spacing w:before="0" w:after="0"/>
              <w:jc w:val="right"/>
              <w:rPr>
                <w:sz w:val="12"/>
                <w:szCs w:val="12"/>
                <w:lang w:val="fr-BE"/>
              </w:rPr>
            </w:pPr>
            <w:r w:rsidRPr="00696324">
              <w:rPr>
                <w:noProof/>
                <w:sz w:val="12"/>
                <w:szCs w:val="12"/>
                <w:lang w:val="fr-BE"/>
              </w:rPr>
              <w:t>9 085,00</w:t>
            </w:r>
          </w:p>
        </w:tc>
        <w:tc>
          <w:tcPr>
            <w:tcW w:w="0" w:type="auto"/>
          </w:tcPr>
          <w:p w14:paraId="5D80CF70" w14:textId="77777777" w:rsidR="008C5CFA" w:rsidRPr="00696324" w:rsidRDefault="00E82A60" w:rsidP="00136029">
            <w:pPr>
              <w:spacing w:before="0" w:after="0"/>
              <w:jc w:val="right"/>
              <w:rPr>
                <w:sz w:val="12"/>
                <w:szCs w:val="12"/>
                <w:lang w:val="fr-BE"/>
              </w:rPr>
            </w:pPr>
            <w:r w:rsidRPr="00696324">
              <w:rPr>
                <w:noProof/>
                <w:sz w:val="12"/>
                <w:szCs w:val="12"/>
                <w:lang w:val="fr-BE"/>
              </w:rPr>
              <w:t>1 253,00</w:t>
            </w:r>
          </w:p>
        </w:tc>
        <w:tc>
          <w:tcPr>
            <w:tcW w:w="0" w:type="auto"/>
            <w:shd w:val="clear" w:color="auto" w:fill="auto"/>
          </w:tcPr>
          <w:p w14:paraId="31A2E078" w14:textId="77777777" w:rsidR="008C5CFA" w:rsidRPr="00696324" w:rsidRDefault="008C5CFA" w:rsidP="00300A01">
            <w:pPr>
              <w:spacing w:before="0" w:after="0"/>
              <w:rPr>
                <w:sz w:val="12"/>
                <w:szCs w:val="12"/>
                <w:lang w:val="fr-BE"/>
              </w:rPr>
            </w:pPr>
          </w:p>
        </w:tc>
      </w:tr>
      <w:tr w:rsidR="006B2EC1" w14:paraId="4EEA4DB3" w14:textId="77777777" w:rsidTr="0047688D">
        <w:tc>
          <w:tcPr>
            <w:tcW w:w="0" w:type="auto"/>
            <w:shd w:val="clear" w:color="auto" w:fill="auto"/>
          </w:tcPr>
          <w:p w14:paraId="5D3442E8" w14:textId="77777777" w:rsidR="008C5CFA" w:rsidRPr="00696324" w:rsidRDefault="00E82A60" w:rsidP="00300A01">
            <w:pPr>
              <w:spacing w:before="0" w:after="0"/>
              <w:rPr>
                <w:sz w:val="12"/>
                <w:szCs w:val="12"/>
                <w:lang w:val="fr-BE"/>
              </w:rPr>
            </w:pPr>
            <w:r w:rsidRPr="00696324">
              <w:rPr>
                <w:noProof/>
                <w:sz w:val="12"/>
                <w:szCs w:val="12"/>
                <w:lang w:val="fr-BE"/>
              </w:rPr>
              <w:t>8</w:t>
            </w:r>
          </w:p>
        </w:tc>
        <w:tc>
          <w:tcPr>
            <w:tcW w:w="0" w:type="auto"/>
            <w:shd w:val="clear" w:color="auto" w:fill="auto"/>
          </w:tcPr>
          <w:p w14:paraId="38F79CD7" w14:textId="77777777" w:rsidR="008C5CFA" w:rsidRPr="00696324" w:rsidRDefault="00E82A60" w:rsidP="00300A01">
            <w:pPr>
              <w:spacing w:before="0" w:after="0"/>
              <w:rPr>
                <w:sz w:val="12"/>
                <w:szCs w:val="12"/>
                <w:lang w:val="fr-BE"/>
              </w:rPr>
            </w:pPr>
            <w:r w:rsidRPr="00696324">
              <w:rPr>
                <w:noProof/>
                <w:sz w:val="12"/>
                <w:szCs w:val="12"/>
                <w:lang w:val="fr-BE"/>
              </w:rPr>
              <w:t>O</w:t>
            </w:r>
          </w:p>
        </w:tc>
        <w:tc>
          <w:tcPr>
            <w:tcW w:w="0" w:type="auto"/>
          </w:tcPr>
          <w:p w14:paraId="0E48C6CA" w14:textId="77777777" w:rsidR="008C5CFA" w:rsidRPr="00696324" w:rsidRDefault="00E82A60" w:rsidP="00300A01">
            <w:pPr>
              <w:spacing w:before="0" w:after="0"/>
              <w:rPr>
                <w:sz w:val="12"/>
                <w:szCs w:val="12"/>
                <w:lang w:val="fr-BE"/>
              </w:rPr>
            </w:pPr>
            <w:r w:rsidRPr="00696324">
              <w:rPr>
                <w:noProof/>
                <w:sz w:val="12"/>
                <w:szCs w:val="12"/>
                <w:lang w:val="fr-BE"/>
              </w:rPr>
              <w:t>98</w:t>
            </w:r>
          </w:p>
        </w:tc>
        <w:tc>
          <w:tcPr>
            <w:tcW w:w="0" w:type="auto"/>
          </w:tcPr>
          <w:p w14:paraId="18FEEF54" w14:textId="77777777" w:rsidR="008C5CFA" w:rsidRPr="00696324" w:rsidRDefault="00E82A60" w:rsidP="00300A01">
            <w:pPr>
              <w:spacing w:before="0" w:after="0"/>
              <w:rPr>
                <w:sz w:val="12"/>
                <w:szCs w:val="12"/>
                <w:lang w:val="fr-BE"/>
              </w:rPr>
            </w:pPr>
            <w:r w:rsidRPr="00696324">
              <w:rPr>
                <w:noProof/>
                <w:sz w:val="12"/>
                <w:szCs w:val="12"/>
                <w:lang w:val="fr-BE"/>
              </w:rPr>
              <w:t>Liczba dzieci objętych w ramach programu dodatkowymi zajęciami zwiększającymi ich szanse edukacyjne w edukacji przedszkolnej</w:t>
            </w:r>
          </w:p>
        </w:tc>
        <w:tc>
          <w:tcPr>
            <w:tcW w:w="0" w:type="auto"/>
          </w:tcPr>
          <w:p w14:paraId="073028FC" w14:textId="77777777" w:rsidR="008C5CFA" w:rsidRPr="00696324" w:rsidRDefault="00E82A60" w:rsidP="00300A01">
            <w:pPr>
              <w:spacing w:before="0" w:after="0"/>
              <w:rPr>
                <w:sz w:val="12"/>
                <w:szCs w:val="12"/>
                <w:lang w:val="fr-BE"/>
              </w:rPr>
            </w:pPr>
            <w:r w:rsidRPr="00696324">
              <w:rPr>
                <w:noProof/>
                <w:sz w:val="12"/>
                <w:szCs w:val="12"/>
                <w:lang w:val="fr-BE"/>
              </w:rPr>
              <w:t>osoba</w:t>
            </w:r>
          </w:p>
        </w:tc>
        <w:tc>
          <w:tcPr>
            <w:tcW w:w="0" w:type="auto"/>
          </w:tcPr>
          <w:p w14:paraId="5DA0F940" w14:textId="77777777" w:rsidR="008C5CFA" w:rsidRPr="00696324" w:rsidRDefault="00E82A60" w:rsidP="00300A01">
            <w:pPr>
              <w:spacing w:before="0" w:after="0"/>
              <w:rPr>
                <w:sz w:val="12"/>
                <w:szCs w:val="12"/>
                <w:lang w:val="fr-BE"/>
              </w:rPr>
            </w:pPr>
            <w:r w:rsidRPr="00D4605F">
              <w:rPr>
                <w:noProof/>
                <w:sz w:val="12"/>
                <w:szCs w:val="12"/>
                <w:lang w:val="fr-BE"/>
              </w:rPr>
              <w:t>EFS</w:t>
            </w:r>
          </w:p>
        </w:tc>
        <w:tc>
          <w:tcPr>
            <w:tcW w:w="0" w:type="auto"/>
          </w:tcPr>
          <w:p w14:paraId="038704D0" w14:textId="77777777" w:rsidR="008C5CFA" w:rsidRPr="00696324" w:rsidRDefault="00E82A60" w:rsidP="00300A01">
            <w:pPr>
              <w:spacing w:before="0" w:after="0"/>
              <w:rPr>
                <w:sz w:val="12"/>
                <w:szCs w:val="12"/>
                <w:lang w:val="fr-BE"/>
              </w:rPr>
            </w:pPr>
            <w:r w:rsidRPr="00D4605F">
              <w:rPr>
                <w:noProof/>
                <w:sz w:val="12"/>
                <w:szCs w:val="12"/>
                <w:lang w:val="fr-BE"/>
              </w:rPr>
              <w:t>Słabiej rozwinięte</w:t>
            </w:r>
          </w:p>
        </w:tc>
        <w:tc>
          <w:tcPr>
            <w:tcW w:w="0" w:type="auto"/>
            <w:shd w:val="clear" w:color="auto" w:fill="auto"/>
          </w:tcPr>
          <w:p w14:paraId="6DD05D00" w14:textId="77777777" w:rsidR="008C5CFA" w:rsidRPr="00696324" w:rsidRDefault="00E82A60" w:rsidP="00136029">
            <w:pPr>
              <w:spacing w:before="0" w:after="0"/>
              <w:jc w:val="right"/>
              <w:rPr>
                <w:sz w:val="12"/>
                <w:szCs w:val="12"/>
                <w:lang w:val="fr-BE"/>
              </w:rPr>
            </w:pPr>
            <w:r w:rsidRPr="00696324">
              <w:rPr>
                <w:noProof/>
                <w:sz w:val="12"/>
                <w:szCs w:val="12"/>
                <w:lang w:val="fr-BE"/>
              </w:rPr>
              <w:t>3 498,00</w:t>
            </w:r>
          </w:p>
        </w:tc>
        <w:tc>
          <w:tcPr>
            <w:tcW w:w="0" w:type="auto"/>
          </w:tcPr>
          <w:p w14:paraId="6D8CC71A" w14:textId="77777777" w:rsidR="008C5CFA" w:rsidRPr="00696324" w:rsidRDefault="00E82A60" w:rsidP="00136029">
            <w:pPr>
              <w:spacing w:before="0" w:after="0"/>
              <w:jc w:val="right"/>
              <w:rPr>
                <w:sz w:val="12"/>
                <w:szCs w:val="12"/>
                <w:lang w:val="fr-BE"/>
              </w:rPr>
            </w:pPr>
            <w:r w:rsidRPr="00696324">
              <w:rPr>
                <w:noProof/>
                <w:sz w:val="12"/>
                <w:szCs w:val="12"/>
                <w:lang w:val="fr-BE"/>
              </w:rPr>
              <w:t>2 255,00</w:t>
            </w:r>
          </w:p>
        </w:tc>
        <w:tc>
          <w:tcPr>
            <w:tcW w:w="0" w:type="auto"/>
          </w:tcPr>
          <w:p w14:paraId="4CBF2542" w14:textId="77777777" w:rsidR="008C5CFA" w:rsidRPr="00696324" w:rsidRDefault="00E82A60" w:rsidP="00136029">
            <w:pPr>
              <w:spacing w:before="0" w:after="0"/>
              <w:jc w:val="right"/>
              <w:rPr>
                <w:sz w:val="12"/>
                <w:szCs w:val="12"/>
                <w:lang w:val="fr-BE"/>
              </w:rPr>
            </w:pPr>
            <w:r w:rsidRPr="00696324">
              <w:rPr>
                <w:noProof/>
                <w:sz w:val="12"/>
                <w:szCs w:val="12"/>
                <w:lang w:val="fr-BE"/>
              </w:rPr>
              <w:t>612,00</w:t>
            </w:r>
          </w:p>
        </w:tc>
        <w:tc>
          <w:tcPr>
            <w:tcW w:w="0" w:type="auto"/>
            <w:shd w:val="clear" w:color="auto" w:fill="auto"/>
          </w:tcPr>
          <w:p w14:paraId="5C0535B5" w14:textId="77777777" w:rsidR="008C5CFA" w:rsidRPr="00696324" w:rsidRDefault="008C5CFA" w:rsidP="00300A01">
            <w:pPr>
              <w:spacing w:before="0" w:after="0"/>
              <w:rPr>
                <w:sz w:val="12"/>
                <w:szCs w:val="12"/>
                <w:lang w:val="fr-BE"/>
              </w:rPr>
            </w:pPr>
          </w:p>
        </w:tc>
      </w:tr>
      <w:tr w:rsidR="006B2EC1" w14:paraId="747C0D91" w14:textId="77777777" w:rsidTr="0047688D">
        <w:tc>
          <w:tcPr>
            <w:tcW w:w="0" w:type="auto"/>
            <w:shd w:val="clear" w:color="auto" w:fill="auto"/>
          </w:tcPr>
          <w:p w14:paraId="0DB3A9EA" w14:textId="77777777" w:rsidR="008C5CFA" w:rsidRPr="00696324" w:rsidRDefault="00E82A60" w:rsidP="00300A01">
            <w:pPr>
              <w:spacing w:before="0" w:after="0"/>
              <w:rPr>
                <w:sz w:val="12"/>
                <w:szCs w:val="12"/>
                <w:lang w:val="fr-BE"/>
              </w:rPr>
            </w:pPr>
            <w:r w:rsidRPr="00696324">
              <w:rPr>
                <w:noProof/>
                <w:sz w:val="12"/>
                <w:szCs w:val="12"/>
                <w:lang w:val="fr-BE"/>
              </w:rPr>
              <w:t>9</w:t>
            </w:r>
          </w:p>
        </w:tc>
        <w:tc>
          <w:tcPr>
            <w:tcW w:w="0" w:type="auto"/>
            <w:shd w:val="clear" w:color="auto" w:fill="auto"/>
          </w:tcPr>
          <w:p w14:paraId="408A4056" w14:textId="77777777" w:rsidR="008C5CFA" w:rsidRPr="00696324" w:rsidRDefault="00E82A60" w:rsidP="00300A01">
            <w:pPr>
              <w:spacing w:before="0" w:after="0"/>
              <w:rPr>
                <w:sz w:val="12"/>
                <w:szCs w:val="12"/>
                <w:lang w:val="fr-BE"/>
              </w:rPr>
            </w:pPr>
            <w:r w:rsidRPr="00696324">
              <w:rPr>
                <w:noProof/>
                <w:sz w:val="12"/>
                <w:szCs w:val="12"/>
                <w:lang w:val="fr-BE"/>
              </w:rPr>
              <w:t>F</w:t>
            </w:r>
          </w:p>
        </w:tc>
        <w:tc>
          <w:tcPr>
            <w:tcW w:w="0" w:type="auto"/>
          </w:tcPr>
          <w:p w14:paraId="12D30447" w14:textId="77777777" w:rsidR="008C5CFA" w:rsidRPr="00696324" w:rsidRDefault="00E82A60" w:rsidP="00300A01">
            <w:pPr>
              <w:spacing w:before="0" w:after="0"/>
              <w:rPr>
                <w:sz w:val="12"/>
                <w:szCs w:val="12"/>
                <w:lang w:val="fr-BE"/>
              </w:rPr>
            </w:pPr>
            <w:r w:rsidRPr="00696324">
              <w:rPr>
                <w:noProof/>
                <w:sz w:val="12"/>
                <w:szCs w:val="12"/>
                <w:lang w:val="fr-BE"/>
              </w:rPr>
              <w:t>001</w:t>
            </w:r>
          </w:p>
        </w:tc>
        <w:tc>
          <w:tcPr>
            <w:tcW w:w="0" w:type="auto"/>
          </w:tcPr>
          <w:p w14:paraId="4457D3E3" w14:textId="77777777" w:rsidR="008C5CFA" w:rsidRPr="00696324" w:rsidRDefault="00E82A60" w:rsidP="00300A01">
            <w:pPr>
              <w:spacing w:before="0" w:after="0"/>
              <w:rPr>
                <w:sz w:val="12"/>
                <w:szCs w:val="12"/>
                <w:lang w:val="fr-BE"/>
              </w:rPr>
            </w:pPr>
            <w:r w:rsidRPr="00696324">
              <w:rPr>
                <w:noProof/>
                <w:sz w:val="12"/>
                <w:szCs w:val="12"/>
                <w:lang w:val="fr-BE"/>
              </w:rPr>
              <w:t>Całkowita kwota certyfikowanych wydatków kwalifikowalnych</w:t>
            </w:r>
          </w:p>
        </w:tc>
        <w:tc>
          <w:tcPr>
            <w:tcW w:w="0" w:type="auto"/>
          </w:tcPr>
          <w:p w14:paraId="786878DD" w14:textId="77777777" w:rsidR="008C5CFA" w:rsidRPr="00696324" w:rsidRDefault="00E82A60" w:rsidP="00300A01">
            <w:pPr>
              <w:spacing w:before="0" w:after="0"/>
              <w:rPr>
                <w:sz w:val="12"/>
                <w:szCs w:val="12"/>
                <w:lang w:val="fr-BE"/>
              </w:rPr>
            </w:pPr>
            <w:r w:rsidRPr="00696324">
              <w:rPr>
                <w:noProof/>
                <w:sz w:val="12"/>
                <w:szCs w:val="12"/>
                <w:lang w:val="fr-BE"/>
              </w:rPr>
              <w:t>EUR</w:t>
            </w:r>
          </w:p>
        </w:tc>
        <w:tc>
          <w:tcPr>
            <w:tcW w:w="0" w:type="auto"/>
          </w:tcPr>
          <w:p w14:paraId="5AF1A879" w14:textId="77777777" w:rsidR="008C5CFA" w:rsidRPr="00696324" w:rsidRDefault="00E82A60" w:rsidP="00300A01">
            <w:pPr>
              <w:spacing w:before="0" w:after="0"/>
              <w:rPr>
                <w:sz w:val="12"/>
                <w:szCs w:val="12"/>
                <w:lang w:val="fr-BE"/>
              </w:rPr>
            </w:pPr>
            <w:r w:rsidRPr="00D4605F">
              <w:rPr>
                <w:noProof/>
                <w:sz w:val="12"/>
                <w:szCs w:val="12"/>
                <w:lang w:val="fr-BE"/>
              </w:rPr>
              <w:t>EFS</w:t>
            </w:r>
          </w:p>
        </w:tc>
        <w:tc>
          <w:tcPr>
            <w:tcW w:w="0" w:type="auto"/>
          </w:tcPr>
          <w:p w14:paraId="03D92345" w14:textId="77777777" w:rsidR="008C5CFA" w:rsidRPr="00696324" w:rsidRDefault="00E82A60" w:rsidP="00300A01">
            <w:pPr>
              <w:spacing w:before="0" w:after="0"/>
              <w:rPr>
                <w:sz w:val="12"/>
                <w:szCs w:val="12"/>
                <w:lang w:val="fr-BE"/>
              </w:rPr>
            </w:pPr>
            <w:r w:rsidRPr="00D4605F">
              <w:rPr>
                <w:noProof/>
                <w:sz w:val="12"/>
                <w:szCs w:val="12"/>
                <w:lang w:val="fr-BE"/>
              </w:rPr>
              <w:t>Słabiej rozwinięte</w:t>
            </w:r>
          </w:p>
        </w:tc>
        <w:tc>
          <w:tcPr>
            <w:tcW w:w="0" w:type="auto"/>
            <w:shd w:val="clear" w:color="auto" w:fill="auto"/>
          </w:tcPr>
          <w:p w14:paraId="3C2AC477" w14:textId="77777777" w:rsidR="008C5CFA" w:rsidRPr="00696324" w:rsidRDefault="00E82A60" w:rsidP="00136029">
            <w:pPr>
              <w:spacing w:before="0" w:after="0"/>
              <w:jc w:val="right"/>
              <w:rPr>
                <w:sz w:val="12"/>
                <w:szCs w:val="12"/>
                <w:lang w:val="fr-BE"/>
              </w:rPr>
            </w:pPr>
            <w:r w:rsidRPr="00696324">
              <w:rPr>
                <w:noProof/>
                <w:sz w:val="12"/>
                <w:szCs w:val="12"/>
                <w:lang w:val="fr-BE"/>
              </w:rPr>
              <w:t>16 419 590,84</w:t>
            </w:r>
          </w:p>
        </w:tc>
        <w:tc>
          <w:tcPr>
            <w:tcW w:w="0" w:type="auto"/>
          </w:tcPr>
          <w:p w14:paraId="4FBFDE20" w14:textId="77777777" w:rsidR="008C5CFA" w:rsidRPr="00696324" w:rsidRDefault="00E82A60" w:rsidP="00136029">
            <w:pPr>
              <w:spacing w:before="0" w:after="0"/>
              <w:jc w:val="right"/>
              <w:rPr>
                <w:sz w:val="12"/>
                <w:szCs w:val="12"/>
                <w:lang w:val="fr-BE"/>
              </w:rPr>
            </w:pPr>
            <w:r w:rsidRPr="00696324">
              <w:rPr>
                <w:noProof/>
                <w:sz w:val="12"/>
                <w:szCs w:val="12"/>
                <w:lang w:val="fr-BE"/>
              </w:rPr>
              <w:t>4 887 657,00</w:t>
            </w:r>
          </w:p>
        </w:tc>
        <w:tc>
          <w:tcPr>
            <w:tcW w:w="0" w:type="auto"/>
          </w:tcPr>
          <w:p w14:paraId="0EB943C0" w14:textId="77777777" w:rsidR="008C5CFA" w:rsidRPr="00696324" w:rsidRDefault="00E82A60" w:rsidP="00136029">
            <w:pPr>
              <w:spacing w:before="0" w:after="0"/>
              <w:jc w:val="right"/>
              <w:rPr>
                <w:sz w:val="12"/>
                <w:szCs w:val="12"/>
                <w:lang w:val="fr-BE"/>
              </w:rPr>
            </w:pPr>
            <w:r w:rsidRPr="00696324">
              <w:rPr>
                <w:noProof/>
                <w:sz w:val="12"/>
                <w:szCs w:val="12"/>
                <w:lang w:val="fr-BE"/>
              </w:rPr>
              <w:t>246 346,11</w:t>
            </w:r>
          </w:p>
        </w:tc>
        <w:tc>
          <w:tcPr>
            <w:tcW w:w="0" w:type="auto"/>
            <w:shd w:val="clear" w:color="auto" w:fill="auto"/>
          </w:tcPr>
          <w:p w14:paraId="7468D338" w14:textId="77777777" w:rsidR="008C5CFA" w:rsidRPr="00696324" w:rsidRDefault="008C5CFA" w:rsidP="00300A01">
            <w:pPr>
              <w:spacing w:before="0" w:after="0"/>
              <w:rPr>
                <w:sz w:val="12"/>
                <w:szCs w:val="12"/>
                <w:lang w:val="fr-BE"/>
              </w:rPr>
            </w:pPr>
          </w:p>
        </w:tc>
      </w:tr>
      <w:tr w:rsidR="006B2EC1" w14:paraId="091B83E8" w14:textId="77777777" w:rsidTr="0047688D">
        <w:tc>
          <w:tcPr>
            <w:tcW w:w="0" w:type="auto"/>
            <w:shd w:val="clear" w:color="auto" w:fill="auto"/>
          </w:tcPr>
          <w:p w14:paraId="56216830" w14:textId="77777777" w:rsidR="008C5CFA" w:rsidRPr="00696324" w:rsidRDefault="00E82A60" w:rsidP="00300A01">
            <w:pPr>
              <w:spacing w:before="0" w:after="0"/>
              <w:rPr>
                <w:sz w:val="12"/>
                <w:szCs w:val="12"/>
                <w:lang w:val="fr-BE"/>
              </w:rPr>
            </w:pPr>
            <w:r w:rsidRPr="00696324">
              <w:rPr>
                <w:noProof/>
                <w:sz w:val="12"/>
                <w:szCs w:val="12"/>
                <w:lang w:val="fr-BE"/>
              </w:rPr>
              <w:t>9</w:t>
            </w:r>
          </w:p>
        </w:tc>
        <w:tc>
          <w:tcPr>
            <w:tcW w:w="0" w:type="auto"/>
            <w:shd w:val="clear" w:color="auto" w:fill="auto"/>
          </w:tcPr>
          <w:p w14:paraId="5AA6E4A9" w14:textId="77777777" w:rsidR="008C5CFA" w:rsidRPr="00696324" w:rsidRDefault="00E82A60" w:rsidP="00300A01">
            <w:pPr>
              <w:spacing w:before="0" w:after="0"/>
              <w:rPr>
                <w:sz w:val="12"/>
                <w:szCs w:val="12"/>
                <w:lang w:val="fr-BE"/>
              </w:rPr>
            </w:pPr>
            <w:r w:rsidRPr="00696324">
              <w:rPr>
                <w:noProof/>
                <w:sz w:val="12"/>
                <w:szCs w:val="12"/>
                <w:lang w:val="fr-BE"/>
              </w:rPr>
              <w:t>O</w:t>
            </w:r>
          </w:p>
        </w:tc>
        <w:tc>
          <w:tcPr>
            <w:tcW w:w="0" w:type="auto"/>
          </w:tcPr>
          <w:p w14:paraId="4F9EFE76" w14:textId="77777777" w:rsidR="008C5CFA" w:rsidRPr="00696324" w:rsidRDefault="00E82A60" w:rsidP="00300A01">
            <w:pPr>
              <w:spacing w:before="0" w:after="0"/>
              <w:rPr>
                <w:sz w:val="12"/>
                <w:szCs w:val="12"/>
                <w:lang w:val="fr-BE"/>
              </w:rPr>
            </w:pPr>
            <w:r w:rsidRPr="00696324">
              <w:rPr>
                <w:noProof/>
                <w:sz w:val="12"/>
                <w:szCs w:val="12"/>
                <w:lang w:val="fr-BE"/>
              </w:rPr>
              <w:t>145</w:t>
            </w:r>
          </w:p>
        </w:tc>
        <w:tc>
          <w:tcPr>
            <w:tcW w:w="0" w:type="auto"/>
          </w:tcPr>
          <w:p w14:paraId="2194D142" w14:textId="77777777" w:rsidR="008C5CFA" w:rsidRPr="00696324" w:rsidRDefault="00E82A60" w:rsidP="00300A01">
            <w:pPr>
              <w:spacing w:before="0" w:after="0"/>
              <w:rPr>
                <w:sz w:val="12"/>
                <w:szCs w:val="12"/>
                <w:lang w:val="fr-BE"/>
              </w:rPr>
            </w:pPr>
            <w:r w:rsidRPr="00696324">
              <w:rPr>
                <w:noProof/>
                <w:sz w:val="12"/>
                <w:szCs w:val="12"/>
                <w:lang w:val="fr-BE"/>
              </w:rPr>
              <w:t>Liczba osób zagrożonych ubóstwem lub wykluczeniem społecznym objętych wsparciem.</w:t>
            </w:r>
          </w:p>
        </w:tc>
        <w:tc>
          <w:tcPr>
            <w:tcW w:w="0" w:type="auto"/>
          </w:tcPr>
          <w:p w14:paraId="652C8307" w14:textId="77777777" w:rsidR="008C5CFA" w:rsidRPr="00696324" w:rsidRDefault="00E82A60" w:rsidP="00300A01">
            <w:pPr>
              <w:spacing w:before="0" w:after="0"/>
              <w:rPr>
                <w:sz w:val="12"/>
                <w:szCs w:val="12"/>
                <w:lang w:val="fr-BE"/>
              </w:rPr>
            </w:pPr>
            <w:r w:rsidRPr="00696324">
              <w:rPr>
                <w:noProof/>
                <w:sz w:val="12"/>
                <w:szCs w:val="12"/>
                <w:lang w:val="fr-BE"/>
              </w:rPr>
              <w:t>osoba</w:t>
            </w:r>
          </w:p>
        </w:tc>
        <w:tc>
          <w:tcPr>
            <w:tcW w:w="0" w:type="auto"/>
          </w:tcPr>
          <w:p w14:paraId="77AB8A44" w14:textId="77777777" w:rsidR="008C5CFA" w:rsidRPr="00696324" w:rsidRDefault="00E82A60" w:rsidP="00300A01">
            <w:pPr>
              <w:spacing w:before="0" w:after="0"/>
              <w:rPr>
                <w:sz w:val="12"/>
                <w:szCs w:val="12"/>
                <w:lang w:val="fr-BE"/>
              </w:rPr>
            </w:pPr>
            <w:r w:rsidRPr="00D4605F">
              <w:rPr>
                <w:noProof/>
                <w:sz w:val="12"/>
                <w:szCs w:val="12"/>
                <w:lang w:val="fr-BE"/>
              </w:rPr>
              <w:t>EFS</w:t>
            </w:r>
          </w:p>
        </w:tc>
        <w:tc>
          <w:tcPr>
            <w:tcW w:w="0" w:type="auto"/>
          </w:tcPr>
          <w:p w14:paraId="0AE45408" w14:textId="77777777" w:rsidR="008C5CFA" w:rsidRPr="00696324" w:rsidRDefault="00E82A60" w:rsidP="00300A01">
            <w:pPr>
              <w:spacing w:before="0" w:after="0"/>
              <w:rPr>
                <w:sz w:val="12"/>
                <w:szCs w:val="12"/>
                <w:lang w:val="fr-BE"/>
              </w:rPr>
            </w:pPr>
            <w:r w:rsidRPr="00D4605F">
              <w:rPr>
                <w:noProof/>
                <w:sz w:val="12"/>
                <w:szCs w:val="12"/>
                <w:lang w:val="fr-BE"/>
              </w:rPr>
              <w:t>Słabiej rozwinięte</w:t>
            </w:r>
          </w:p>
        </w:tc>
        <w:tc>
          <w:tcPr>
            <w:tcW w:w="0" w:type="auto"/>
            <w:shd w:val="clear" w:color="auto" w:fill="auto"/>
          </w:tcPr>
          <w:p w14:paraId="74787E29" w14:textId="77777777" w:rsidR="008C5CFA" w:rsidRPr="00696324" w:rsidRDefault="00E82A60" w:rsidP="00136029">
            <w:pPr>
              <w:spacing w:before="0" w:after="0"/>
              <w:jc w:val="right"/>
              <w:rPr>
                <w:sz w:val="12"/>
                <w:szCs w:val="12"/>
                <w:lang w:val="fr-BE"/>
              </w:rPr>
            </w:pPr>
            <w:r w:rsidRPr="00696324">
              <w:rPr>
                <w:noProof/>
                <w:sz w:val="12"/>
                <w:szCs w:val="12"/>
                <w:lang w:val="fr-BE"/>
              </w:rPr>
              <w:t>9 590,00</w:t>
            </w:r>
          </w:p>
        </w:tc>
        <w:tc>
          <w:tcPr>
            <w:tcW w:w="0" w:type="auto"/>
          </w:tcPr>
          <w:p w14:paraId="4D8CE122" w14:textId="77777777" w:rsidR="008C5CFA" w:rsidRPr="00696324" w:rsidRDefault="00E82A60" w:rsidP="00136029">
            <w:pPr>
              <w:spacing w:before="0" w:after="0"/>
              <w:jc w:val="right"/>
              <w:rPr>
                <w:sz w:val="12"/>
                <w:szCs w:val="12"/>
                <w:lang w:val="fr-BE"/>
              </w:rPr>
            </w:pPr>
            <w:r w:rsidRPr="00696324">
              <w:rPr>
                <w:noProof/>
                <w:sz w:val="12"/>
                <w:szCs w:val="12"/>
                <w:lang w:val="fr-BE"/>
              </w:rPr>
              <w:t>4 597,00</w:t>
            </w:r>
          </w:p>
        </w:tc>
        <w:tc>
          <w:tcPr>
            <w:tcW w:w="0" w:type="auto"/>
          </w:tcPr>
          <w:p w14:paraId="30A5A11B" w14:textId="77777777" w:rsidR="008C5CFA" w:rsidRPr="00696324" w:rsidRDefault="00E82A60" w:rsidP="00136029">
            <w:pPr>
              <w:spacing w:before="0" w:after="0"/>
              <w:jc w:val="right"/>
              <w:rPr>
                <w:sz w:val="12"/>
                <w:szCs w:val="12"/>
                <w:lang w:val="fr-BE"/>
              </w:rPr>
            </w:pPr>
            <w:r w:rsidRPr="00696324">
              <w:rPr>
                <w:noProof/>
                <w:sz w:val="12"/>
                <w:szCs w:val="12"/>
                <w:lang w:val="fr-BE"/>
              </w:rPr>
              <w:t>574,00</w:t>
            </w:r>
          </w:p>
        </w:tc>
        <w:tc>
          <w:tcPr>
            <w:tcW w:w="0" w:type="auto"/>
            <w:shd w:val="clear" w:color="auto" w:fill="auto"/>
          </w:tcPr>
          <w:p w14:paraId="5D2254C9" w14:textId="77777777" w:rsidR="008C5CFA" w:rsidRPr="00696324" w:rsidRDefault="008C5CFA" w:rsidP="00300A01">
            <w:pPr>
              <w:spacing w:before="0" w:after="0"/>
              <w:rPr>
                <w:sz w:val="12"/>
                <w:szCs w:val="12"/>
                <w:lang w:val="fr-BE"/>
              </w:rPr>
            </w:pPr>
          </w:p>
        </w:tc>
      </w:tr>
    </w:tbl>
    <w:p w14:paraId="7FA0096F" w14:textId="77777777" w:rsidR="008C5CFA" w:rsidRDefault="008C5CFA" w:rsidP="00300A01">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84"/>
        <w:gridCol w:w="1088"/>
        <w:gridCol w:w="1350"/>
        <w:gridCol w:w="6747"/>
        <w:gridCol w:w="1005"/>
        <w:gridCol w:w="574"/>
        <w:gridCol w:w="1088"/>
        <w:gridCol w:w="1174"/>
        <w:gridCol w:w="1174"/>
      </w:tblGrid>
      <w:tr w:rsidR="006B2EC1" w14:paraId="43C43514" w14:textId="77777777" w:rsidTr="0047688D">
        <w:trPr>
          <w:tblHeader/>
        </w:trPr>
        <w:tc>
          <w:tcPr>
            <w:tcW w:w="0" w:type="auto"/>
            <w:shd w:val="clear" w:color="auto" w:fill="auto"/>
          </w:tcPr>
          <w:p w14:paraId="3996E355" w14:textId="77777777" w:rsidR="008C5CFA" w:rsidRPr="00696324" w:rsidRDefault="00E82A60" w:rsidP="00300A01">
            <w:pPr>
              <w:spacing w:before="0" w:after="0"/>
              <w:rPr>
                <w:b/>
                <w:sz w:val="12"/>
                <w:szCs w:val="12"/>
                <w:lang w:val="fr-BE"/>
              </w:rPr>
            </w:pPr>
            <w:r w:rsidRPr="00696324">
              <w:rPr>
                <w:b/>
                <w:noProof/>
                <w:sz w:val="12"/>
                <w:szCs w:val="12"/>
                <w:lang w:val="fr-BE"/>
              </w:rPr>
              <w:t>Oś priorytetowa</w:t>
            </w:r>
          </w:p>
        </w:tc>
        <w:tc>
          <w:tcPr>
            <w:tcW w:w="0" w:type="auto"/>
            <w:shd w:val="clear" w:color="auto" w:fill="auto"/>
          </w:tcPr>
          <w:p w14:paraId="6C9BFF08" w14:textId="77777777" w:rsidR="008C5CFA" w:rsidRPr="00696324" w:rsidRDefault="00E82A60" w:rsidP="00300A01">
            <w:pPr>
              <w:spacing w:before="0" w:after="0"/>
              <w:rPr>
                <w:b/>
                <w:sz w:val="12"/>
                <w:szCs w:val="12"/>
                <w:lang w:val="fr-BE"/>
              </w:rPr>
            </w:pPr>
            <w:r w:rsidRPr="00696324">
              <w:rPr>
                <w:b/>
                <w:noProof/>
                <w:sz w:val="12"/>
                <w:szCs w:val="12"/>
                <w:lang w:val="fr-BE"/>
              </w:rPr>
              <w:t>Rodzaj wskaźnika</w:t>
            </w:r>
          </w:p>
        </w:tc>
        <w:tc>
          <w:tcPr>
            <w:tcW w:w="0" w:type="auto"/>
          </w:tcPr>
          <w:p w14:paraId="3793B6DD" w14:textId="77777777" w:rsidR="008C5CFA" w:rsidRPr="00696324" w:rsidRDefault="00E82A60" w:rsidP="00300A01">
            <w:pPr>
              <w:spacing w:before="0" w:after="0"/>
              <w:rPr>
                <w:b/>
                <w:sz w:val="12"/>
                <w:szCs w:val="12"/>
                <w:lang w:val="fr-BE"/>
              </w:rPr>
            </w:pPr>
            <w:r w:rsidRPr="00696324">
              <w:rPr>
                <w:b/>
                <w:noProof/>
                <w:sz w:val="12"/>
                <w:szCs w:val="12"/>
                <w:lang w:val="fr-BE"/>
              </w:rPr>
              <w:t>Numer identyfikacyjny</w:t>
            </w:r>
          </w:p>
        </w:tc>
        <w:tc>
          <w:tcPr>
            <w:tcW w:w="0" w:type="auto"/>
          </w:tcPr>
          <w:p w14:paraId="38DB17EC" w14:textId="77777777" w:rsidR="008C5CFA" w:rsidRPr="00696324" w:rsidRDefault="00E82A60" w:rsidP="00300A01">
            <w:pPr>
              <w:spacing w:before="0" w:after="0"/>
              <w:rPr>
                <w:b/>
                <w:sz w:val="12"/>
                <w:szCs w:val="12"/>
                <w:lang w:val="fr-BE"/>
              </w:rPr>
            </w:pPr>
            <w:r w:rsidRPr="00696324">
              <w:rPr>
                <w:b/>
                <w:noProof/>
                <w:sz w:val="12"/>
                <w:szCs w:val="12"/>
                <w:lang w:val="fr-BE"/>
              </w:rPr>
              <w:t>Wskaźnik</w:t>
            </w:r>
          </w:p>
        </w:tc>
        <w:tc>
          <w:tcPr>
            <w:tcW w:w="0" w:type="auto"/>
          </w:tcPr>
          <w:p w14:paraId="48319831" w14:textId="77777777" w:rsidR="008C5CFA" w:rsidRPr="00696324" w:rsidRDefault="00E82A60" w:rsidP="00300A01">
            <w:pPr>
              <w:spacing w:before="0" w:after="0"/>
              <w:rPr>
                <w:b/>
                <w:sz w:val="12"/>
                <w:szCs w:val="12"/>
                <w:lang w:val="fr-BE"/>
              </w:rPr>
            </w:pPr>
            <w:r w:rsidRPr="00696324">
              <w:rPr>
                <w:b/>
                <w:noProof/>
                <w:sz w:val="12"/>
                <w:szCs w:val="12"/>
                <w:lang w:val="fr-BE"/>
              </w:rPr>
              <w:t>Jednostka miary</w:t>
            </w:r>
          </w:p>
        </w:tc>
        <w:tc>
          <w:tcPr>
            <w:tcW w:w="0" w:type="auto"/>
          </w:tcPr>
          <w:p w14:paraId="31A87960" w14:textId="77777777" w:rsidR="008C5CFA" w:rsidRPr="00696324" w:rsidRDefault="00E82A60" w:rsidP="00300A01">
            <w:pPr>
              <w:spacing w:before="0" w:after="0"/>
              <w:jc w:val="center"/>
              <w:rPr>
                <w:b/>
                <w:sz w:val="12"/>
                <w:szCs w:val="12"/>
                <w:lang w:val="fr-BE"/>
              </w:rPr>
            </w:pPr>
            <w:r w:rsidRPr="00D4605F">
              <w:rPr>
                <w:b/>
                <w:noProof/>
                <w:sz w:val="12"/>
                <w:szCs w:val="12"/>
                <w:lang w:val="fr-BE"/>
              </w:rPr>
              <w:t>Fundusz</w:t>
            </w:r>
          </w:p>
        </w:tc>
        <w:tc>
          <w:tcPr>
            <w:tcW w:w="0" w:type="auto"/>
          </w:tcPr>
          <w:p w14:paraId="27452F18" w14:textId="77777777" w:rsidR="008C5CFA" w:rsidRPr="00696324" w:rsidRDefault="00E82A60" w:rsidP="00300A01">
            <w:pPr>
              <w:spacing w:before="0" w:after="0"/>
              <w:jc w:val="center"/>
              <w:rPr>
                <w:b/>
                <w:sz w:val="12"/>
                <w:szCs w:val="12"/>
                <w:lang w:val="fr-BE"/>
              </w:rPr>
            </w:pPr>
            <w:r w:rsidRPr="00D4605F">
              <w:rPr>
                <w:b/>
                <w:noProof/>
                <w:sz w:val="12"/>
                <w:szCs w:val="12"/>
                <w:lang w:val="fr-BE"/>
              </w:rPr>
              <w:t>Kategoria regionu</w:t>
            </w:r>
          </w:p>
        </w:tc>
        <w:tc>
          <w:tcPr>
            <w:tcW w:w="0" w:type="auto"/>
          </w:tcPr>
          <w:p w14:paraId="242C6FAE" w14:textId="77777777" w:rsidR="008C5CFA" w:rsidRPr="00696324" w:rsidRDefault="00E82A60" w:rsidP="00300A01">
            <w:pPr>
              <w:spacing w:before="0" w:after="0"/>
              <w:jc w:val="center"/>
              <w:rPr>
                <w:b/>
                <w:sz w:val="12"/>
                <w:szCs w:val="12"/>
                <w:lang w:val="fr-BE"/>
              </w:rPr>
            </w:pPr>
            <w:r w:rsidRPr="00696324">
              <w:rPr>
                <w:b/>
                <w:sz w:val="12"/>
                <w:szCs w:val="12"/>
                <w:lang w:val="fr-BE"/>
              </w:rPr>
              <w:t>201</w:t>
            </w:r>
            <w:r>
              <w:rPr>
                <w:b/>
                <w:sz w:val="12"/>
                <w:szCs w:val="12"/>
                <w:lang w:val="fr-BE"/>
              </w:rPr>
              <w:t>5</w:t>
            </w:r>
            <w:r w:rsidRPr="00696324">
              <w:rPr>
                <w:b/>
                <w:sz w:val="12"/>
                <w:szCs w:val="12"/>
                <w:lang w:val="fr-BE"/>
              </w:rPr>
              <w:t xml:space="preserve"> </w:t>
            </w:r>
            <w:r w:rsidRPr="00D4605F">
              <w:rPr>
                <w:b/>
                <w:noProof/>
                <w:sz w:val="12"/>
                <w:szCs w:val="12"/>
                <w:lang w:val="fr-BE"/>
              </w:rPr>
              <w:t>Ogółem razem</w:t>
            </w:r>
          </w:p>
        </w:tc>
        <w:tc>
          <w:tcPr>
            <w:tcW w:w="0" w:type="auto"/>
          </w:tcPr>
          <w:p w14:paraId="57C53662" w14:textId="77777777" w:rsidR="008C5CFA" w:rsidRPr="00696324" w:rsidRDefault="00E82A60" w:rsidP="00300A01">
            <w:pPr>
              <w:spacing w:before="0" w:after="0"/>
              <w:jc w:val="center"/>
              <w:rPr>
                <w:b/>
                <w:sz w:val="12"/>
                <w:szCs w:val="12"/>
                <w:lang w:val="fr-BE"/>
              </w:rPr>
            </w:pPr>
            <w:r w:rsidRPr="00696324">
              <w:rPr>
                <w:b/>
                <w:sz w:val="12"/>
                <w:szCs w:val="12"/>
                <w:lang w:val="fr-BE"/>
              </w:rPr>
              <w:t>201</w:t>
            </w:r>
            <w:r>
              <w:rPr>
                <w:b/>
                <w:sz w:val="12"/>
                <w:szCs w:val="12"/>
                <w:lang w:val="fr-BE"/>
              </w:rPr>
              <w:t>4</w:t>
            </w:r>
            <w:r w:rsidRPr="00696324">
              <w:rPr>
                <w:b/>
                <w:sz w:val="12"/>
                <w:szCs w:val="12"/>
                <w:lang w:val="fr-BE"/>
              </w:rPr>
              <w:t xml:space="preserve"> </w:t>
            </w:r>
            <w:r w:rsidRPr="00D4605F">
              <w:rPr>
                <w:b/>
                <w:noProof/>
                <w:sz w:val="12"/>
                <w:szCs w:val="12"/>
                <w:lang w:val="fr-BE"/>
              </w:rPr>
              <w:t>Ogółem razem</w:t>
            </w:r>
          </w:p>
        </w:tc>
      </w:tr>
      <w:tr w:rsidR="006B2EC1" w14:paraId="6A21024D" w14:textId="77777777" w:rsidTr="0047688D">
        <w:tc>
          <w:tcPr>
            <w:tcW w:w="0" w:type="auto"/>
            <w:shd w:val="clear" w:color="auto" w:fill="auto"/>
          </w:tcPr>
          <w:p w14:paraId="5935142F" w14:textId="77777777" w:rsidR="008C5CFA" w:rsidRPr="00696324" w:rsidRDefault="00E82A60" w:rsidP="00300A01">
            <w:pPr>
              <w:spacing w:before="0" w:after="0"/>
              <w:rPr>
                <w:sz w:val="12"/>
                <w:szCs w:val="12"/>
                <w:lang w:val="fr-BE"/>
              </w:rPr>
            </w:pPr>
            <w:r w:rsidRPr="00696324">
              <w:rPr>
                <w:noProof/>
                <w:sz w:val="12"/>
                <w:szCs w:val="12"/>
                <w:lang w:val="fr-BE"/>
              </w:rPr>
              <w:t>1</w:t>
            </w:r>
          </w:p>
        </w:tc>
        <w:tc>
          <w:tcPr>
            <w:tcW w:w="0" w:type="auto"/>
            <w:shd w:val="clear" w:color="auto" w:fill="auto"/>
          </w:tcPr>
          <w:p w14:paraId="645439B2" w14:textId="77777777" w:rsidR="008C5CFA" w:rsidRPr="00696324" w:rsidRDefault="00E82A60" w:rsidP="00300A01">
            <w:pPr>
              <w:spacing w:before="0" w:after="0"/>
              <w:rPr>
                <w:sz w:val="12"/>
                <w:szCs w:val="12"/>
                <w:lang w:val="fr-BE"/>
              </w:rPr>
            </w:pPr>
            <w:r w:rsidRPr="00696324">
              <w:rPr>
                <w:noProof/>
                <w:sz w:val="12"/>
                <w:szCs w:val="12"/>
                <w:lang w:val="fr-BE"/>
              </w:rPr>
              <w:t>F</w:t>
            </w:r>
          </w:p>
        </w:tc>
        <w:tc>
          <w:tcPr>
            <w:tcW w:w="0" w:type="auto"/>
          </w:tcPr>
          <w:p w14:paraId="0E364DB7" w14:textId="77777777" w:rsidR="008C5CFA" w:rsidRPr="00696324" w:rsidRDefault="00E82A60" w:rsidP="00300A01">
            <w:pPr>
              <w:spacing w:before="0" w:after="0"/>
              <w:rPr>
                <w:sz w:val="12"/>
                <w:szCs w:val="12"/>
                <w:lang w:val="fr-BE"/>
              </w:rPr>
            </w:pPr>
            <w:r w:rsidRPr="00696324">
              <w:rPr>
                <w:noProof/>
                <w:sz w:val="12"/>
                <w:szCs w:val="12"/>
                <w:lang w:val="fr-BE"/>
              </w:rPr>
              <w:t>001</w:t>
            </w:r>
          </w:p>
        </w:tc>
        <w:tc>
          <w:tcPr>
            <w:tcW w:w="0" w:type="auto"/>
          </w:tcPr>
          <w:p w14:paraId="5450161C" w14:textId="77777777" w:rsidR="008C5CFA" w:rsidRPr="00696324" w:rsidRDefault="00E82A60" w:rsidP="00300A01">
            <w:pPr>
              <w:spacing w:before="0" w:after="0"/>
              <w:rPr>
                <w:sz w:val="12"/>
                <w:szCs w:val="12"/>
                <w:lang w:val="fr-BE"/>
              </w:rPr>
            </w:pPr>
            <w:r w:rsidRPr="00696324">
              <w:rPr>
                <w:noProof/>
                <w:sz w:val="12"/>
                <w:szCs w:val="12"/>
                <w:lang w:val="fr-BE"/>
              </w:rPr>
              <w:t>Całkowita kwota certyfikowanych wydatków kwalifikowalnych</w:t>
            </w:r>
          </w:p>
        </w:tc>
        <w:tc>
          <w:tcPr>
            <w:tcW w:w="0" w:type="auto"/>
          </w:tcPr>
          <w:p w14:paraId="1F6D0598" w14:textId="77777777" w:rsidR="008C5CFA" w:rsidRPr="00696324" w:rsidRDefault="00E82A60" w:rsidP="00300A01">
            <w:pPr>
              <w:spacing w:before="0" w:after="0"/>
              <w:rPr>
                <w:sz w:val="12"/>
                <w:szCs w:val="12"/>
                <w:lang w:val="fr-BE"/>
              </w:rPr>
            </w:pPr>
            <w:r w:rsidRPr="00696324">
              <w:rPr>
                <w:noProof/>
                <w:sz w:val="12"/>
                <w:szCs w:val="12"/>
                <w:lang w:val="fr-BE"/>
              </w:rPr>
              <w:t>EUR</w:t>
            </w:r>
          </w:p>
        </w:tc>
        <w:tc>
          <w:tcPr>
            <w:tcW w:w="0" w:type="auto"/>
          </w:tcPr>
          <w:p w14:paraId="347C4E65" w14:textId="77777777" w:rsidR="008C5CFA" w:rsidRPr="00696324" w:rsidRDefault="00E82A60" w:rsidP="00300A01">
            <w:pPr>
              <w:spacing w:before="0" w:after="0"/>
              <w:rPr>
                <w:sz w:val="12"/>
                <w:szCs w:val="12"/>
                <w:lang w:val="fr-BE"/>
              </w:rPr>
            </w:pPr>
            <w:r w:rsidRPr="00D4605F">
              <w:rPr>
                <w:noProof/>
                <w:sz w:val="12"/>
                <w:szCs w:val="12"/>
                <w:lang w:val="fr-BE"/>
              </w:rPr>
              <w:t>EFRR</w:t>
            </w:r>
          </w:p>
        </w:tc>
        <w:tc>
          <w:tcPr>
            <w:tcW w:w="0" w:type="auto"/>
          </w:tcPr>
          <w:p w14:paraId="1FD838AF" w14:textId="77777777" w:rsidR="008C5CFA" w:rsidRPr="00696324" w:rsidRDefault="00E82A60" w:rsidP="00300A01">
            <w:pPr>
              <w:spacing w:before="0" w:after="0"/>
              <w:rPr>
                <w:sz w:val="12"/>
                <w:szCs w:val="12"/>
                <w:lang w:val="fr-BE"/>
              </w:rPr>
            </w:pPr>
            <w:r w:rsidRPr="00D4605F">
              <w:rPr>
                <w:noProof/>
                <w:sz w:val="12"/>
                <w:szCs w:val="12"/>
                <w:lang w:val="fr-BE"/>
              </w:rPr>
              <w:t>Słabiej rozwinięte</w:t>
            </w:r>
          </w:p>
        </w:tc>
        <w:tc>
          <w:tcPr>
            <w:tcW w:w="0" w:type="auto"/>
          </w:tcPr>
          <w:p w14:paraId="450349B2" w14:textId="77777777" w:rsidR="008C5CFA" w:rsidRPr="00696324" w:rsidRDefault="00E82A60" w:rsidP="00136029">
            <w:pPr>
              <w:spacing w:before="0" w:after="0"/>
              <w:jc w:val="right"/>
              <w:rPr>
                <w:sz w:val="12"/>
                <w:szCs w:val="12"/>
                <w:lang w:val="fr-BE"/>
              </w:rPr>
            </w:pPr>
            <w:r w:rsidRPr="00696324">
              <w:rPr>
                <w:noProof/>
                <w:sz w:val="12"/>
                <w:szCs w:val="12"/>
                <w:lang w:val="fr-BE"/>
              </w:rPr>
              <w:t>0,00</w:t>
            </w:r>
          </w:p>
        </w:tc>
        <w:tc>
          <w:tcPr>
            <w:tcW w:w="0" w:type="auto"/>
          </w:tcPr>
          <w:p w14:paraId="2A2F0D61" w14:textId="77777777" w:rsidR="008C5CFA" w:rsidRPr="00696324" w:rsidRDefault="00E82A60" w:rsidP="00136029">
            <w:pPr>
              <w:spacing w:before="0" w:after="0"/>
              <w:jc w:val="right"/>
              <w:rPr>
                <w:sz w:val="12"/>
                <w:szCs w:val="12"/>
                <w:lang w:val="fr-BE"/>
              </w:rPr>
            </w:pPr>
            <w:r w:rsidRPr="00696324">
              <w:rPr>
                <w:noProof/>
                <w:sz w:val="12"/>
                <w:szCs w:val="12"/>
                <w:lang w:val="fr-BE"/>
              </w:rPr>
              <w:t>0,00</w:t>
            </w:r>
          </w:p>
        </w:tc>
      </w:tr>
      <w:tr w:rsidR="006B2EC1" w14:paraId="652573D5" w14:textId="77777777" w:rsidTr="0047688D">
        <w:tc>
          <w:tcPr>
            <w:tcW w:w="0" w:type="auto"/>
            <w:shd w:val="clear" w:color="auto" w:fill="auto"/>
          </w:tcPr>
          <w:p w14:paraId="0F62296E" w14:textId="77777777" w:rsidR="008C5CFA" w:rsidRPr="00696324" w:rsidRDefault="00E82A60" w:rsidP="00300A01">
            <w:pPr>
              <w:spacing w:before="0" w:after="0"/>
              <w:rPr>
                <w:sz w:val="12"/>
                <w:szCs w:val="12"/>
                <w:lang w:val="fr-BE"/>
              </w:rPr>
            </w:pPr>
            <w:r w:rsidRPr="00696324">
              <w:rPr>
                <w:noProof/>
                <w:sz w:val="12"/>
                <w:szCs w:val="12"/>
                <w:lang w:val="fr-BE"/>
              </w:rPr>
              <w:t>1</w:t>
            </w:r>
          </w:p>
        </w:tc>
        <w:tc>
          <w:tcPr>
            <w:tcW w:w="0" w:type="auto"/>
            <w:shd w:val="clear" w:color="auto" w:fill="auto"/>
          </w:tcPr>
          <w:p w14:paraId="43DC1230" w14:textId="77777777" w:rsidR="008C5CFA" w:rsidRPr="00696324" w:rsidRDefault="00E82A60" w:rsidP="00300A01">
            <w:pPr>
              <w:spacing w:before="0" w:after="0"/>
              <w:rPr>
                <w:sz w:val="12"/>
                <w:szCs w:val="12"/>
                <w:lang w:val="fr-BE"/>
              </w:rPr>
            </w:pPr>
            <w:r w:rsidRPr="00696324">
              <w:rPr>
                <w:noProof/>
                <w:sz w:val="12"/>
                <w:szCs w:val="12"/>
                <w:lang w:val="fr-BE"/>
              </w:rPr>
              <w:t>I</w:t>
            </w:r>
          </w:p>
        </w:tc>
        <w:tc>
          <w:tcPr>
            <w:tcW w:w="0" w:type="auto"/>
          </w:tcPr>
          <w:p w14:paraId="6CB2A23D" w14:textId="77777777" w:rsidR="008C5CFA" w:rsidRPr="00696324" w:rsidRDefault="00E82A60" w:rsidP="00300A01">
            <w:pPr>
              <w:spacing w:before="0" w:after="0"/>
              <w:rPr>
                <w:sz w:val="12"/>
                <w:szCs w:val="12"/>
                <w:lang w:val="fr-BE"/>
              </w:rPr>
            </w:pPr>
            <w:r w:rsidRPr="00696324">
              <w:rPr>
                <w:noProof/>
                <w:sz w:val="12"/>
                <w:szCs w:val="12"/>
                <w:lang w:val="fr-BE"/>
              </w:rPr>
              <w:t>002</w:t>
            </w:r>
          </w:p>
        </w:tc>
        <w:tc>
          <w:tcPr>
            <w:tcW w:w="0" w:type="auto"/>
          </w:tcPr>
          <w:p w14:paraId="1C06E018" w14:textId="77777777" w:rsidR="008C5CFA" w:rsidRPr="00696324" w:rsidRDefault="00E82A60" w:rsidP="00300A01">
            <w:pPr>
              <w:spacing w:before="0" w:after="0"/>
              <w:rPr>
                <w:sz w:val="12"/>
                <w:szCs w:val="12"/>
                <w:lang w:val="fr-BE"/>
              </w:rPr>
            </w:pPr>
            <w:r w:rsidRPr="00696324">
              <w:rPr>
                <w:noProof/>
                <w:sz w:val="12"/>
                <w:szCs w:val="12"/>
                <w:lang w:val="fr-BE"/>
              </w:rPr>
              <w:t>liczba jednostek naukowych ponoszących nakłady inwestycyjne na działalność B+R w podpisanych umowach</w:t>
            </w:r>
          </w:p>
        </w:tc>
        <w:tc>
          <w:tcPr>
            <w:tcW w:w="0" w:type="auto"/>
          </w:tcPr>
          <w:p w14:paraId="4ECFBBC7" w14:textId="77777777" w:rsidR="008C5CFA" w:rsidRPr="00696324" w:rsidRDefault="00E82A60" w:rsidP="00300A01">
            <w:pPr>
              <w:spacing w:before="0" w:after="0"/>
              <w:rPr>
                <w:sz w:val="12"/>
                <w:szCs w:val="12"/>
                <w:lang w:val="fr-BE"/>
              </w:rPr>
            </w:pPr>
            <w:r w:rsidRPr="00696324">
              <w:rPr>
                <w:noProof/>
                <w:sz w:val="12"/>
                <w:szCs w:val="12"/>
                <w:lang w:val="fr-BE"/>
              </w:rPr>
              <w:t>szt</w:t>
            </w:r>
          </w:p>
        </w:tc>
        <w:tc>
          <w:tcPr>
            <w:tcW w:w="0" w:type="auto"/>
          </w:tcPr>
          <w:p w14:paraId="1263B0F0" w14:textId="77777777" w:rsidR="008C5CFA" w:rsidRPr="00696324" w:rsidRDefault="00E82A60" w:rsidP="00300A01">
            <w:pPr>
              <w:spacing w:before="0" w:after="0"/>
              <w:rPr>
                <w:sz w:val="12"/>
                <w:szCs w:val="12"/>
                <w:lang w:val="fr-BE"/>
              </w:rPr>
            </w:pPr>
            <w:r w:rsidRPr="00D4605F">
              <w:rPr>
                <w:noProof/>
                <w:sz w:val="12"/>
                <w:szCs w:val="12"/>
                <w:lang w:val="fr-BE"/>
              </w:rPr>
              <w:t>EFRR</w:t>
            </w:r>
          </w:p>
        </w:tc>
        <w:tc>
          <w:tcPr>
            <w:tcW w:w="0" w:type="auto"/>
          </w:tcPr>
          <w:p w14:paraId="1587B364" w14:textId="77777777" w:rsidR="008C5CFA" w:rsidRPr="00696324" w:rsidRDefault="00E82A60" w:rsidP="00300A01">
            <w:pPr>
              <w:spacing w:before="0" w:after="0"/>
              <w:rPr>
                <w:sz w:val="12"/>
                <w:szCs w:val="12"/>
                <w:lang w:val="fr-BE"/>
              </w:rPr>
            </w:pPr>
            <w:r w:rsidRPr="00D4605F">
              <w:rPr>
                <w:noProof/>
                <w:sz w:val="12"/>
                <w:szCs w:val="12"/>
                <w:lang w:val="fr-BE"/>
              </w:rPr>
              <w:t>Słabiej rozwinięte</w:t>
            </w:r>
          </w:p>
        </w:tc>
        <w:tc>
          <w:tcPr>
            <w:tcW w:w="0" w:type="auto"/>
          </w:tcPr>
          <w:p w14:paraId="11F9D2C1" w14:textId="77777777" w:rsidR="008C5CFA" w:rsidRPr="00696324" w:rsidRDefault="00E82A60" w:rsidP="00136029">
            <w:pPr>
              <w:spacing w:before="0" w:after="0"/>
              <w:jc w:val="right"/>
              <w:rPr>
                <w:sz w:val="12"/>
                <w:szCs w:val="12"/>
                <w:lang w:val="fr-BE"/>
              </w:rPr>
            </w:pPr>
            <w:r w:rsidRPr="00696324">
              <w:rPr>
                <w:noProof/>
                <w:sz w:val="12"/>
                <w:szCs w:val="12"/>
                <w:lang w:val="fr-BE"/>
              </w:rPr>
              <w:t>0,00</w:t>
            </w:r>
          </w:p>
        </w:tc>
        <w:tc>
          <w:tcPr>
            <w:tcW w:w="0" w:type="auto"/>
          </w:tcPr>
          <w:p w14:paraId="3816FE45" w14:textId="77777777" w:rsidR="008C5CFA" w:rsidRPr="00696324" w:rsidRDefault="00E82A60" w:rsidP="00136029">
            <w:pPr>
              <w:spacing w:before="0" w:after="0"/>
              <w:jc w:val="right"/>
              <w:rPr>
                <w:sz w:val="12"/>
                <w:szCs w:val="12"/>
                <w:lang w:val="fr-BE"/>
              </w:rPr>
            </w:pPr>
            <w:r w:rsidRPr="00696324">
              <w:rPr>
                <w:noProof/>
                <w:sz w:val="12"/>
                <w:szCs w:val="12"/>
                <w:lang w:val="fr-BE"/>
              </w:rPr>
              <w:t>0,00</w:t>
            </w:r>
          </w:p>
        </w:tc>
      </w:tr>
      <w:tr w:rsidR="006B2EC1" w14:paraId="56E109CD" w14:textId="77777777" w:rsidTr="0047688D">
        <w:tc>
          <w:tcPr>
            <w:tcW w:w="0" w:type="auto"/>
            <w:shd w:val="clear" w:color="auto" w:fill="auto"/>
          </w:tcPr>
          <w:p w14:paraId="68D99941" w14:textId="77777777" w:rsidR="008C5CFA" w:rsidRPr="00696324" w:rsidRDefault="00E82A60" w:rsidP="00300A01">
            <w:pPr>
              <w:spacing w:before="0" w:after="0"/>
              <w:rPr>
                <w:sz w:val="12"/>
                <w:szCs w:val="12"/>
                <w:lang w:val="fr-BE"/>
              </w:rPr>
            </w:pPr>
            <w:r w:rsidRPr="00696324">
              <w:rPr>
                <w:noProof/>
                <w:sz w:val="12"/>
                <w:szCs w:val="12"/>
                <w:lang w:val="fr-BE"/>
              </w:rPr>
              <w:t>1</w:t>
            </w:r>
          </w:p>
        </w:tc>
        <w:tc>
          <w:tcPr>
            <w:tcW w:w="0" w:type="auto"/>
            <w:shd w:val="clear" w:color="auto" w:fill="auto"/>
          </w:tcPr>
          <w:p w14:paraId="7ED93B82" w14:textId="77777777" w:rsidR="008C5CFA" w:rsidRPr="00696324" w:rsidRDefault="00E82A60" w:rsidP="00300A01">
            <w:pPr>
              <w:spacing w:before="0" w:after="0"/>
              <w:rPr>
                <w:sz w:val="12"/>
                <w:szCs w:val="12"/>
                <w:lang w:val="fr-BE"/>
              </w:rPr>
            </w:pPr>
            <w:r w:rsidRPr="00696324">
              <w:rPr>
                <w:noProof/>
                <w:sz w:val="12"/>
                <w:szCs w:val="12"/>
                <w:lang w:val="fr-BE"/>
              </w:rPr>
              <w:t>O</w:t>
            </w:r>
          </w:p>
        </w:tc>
        <w:tc>
          <w:tcPr>
            <w:tcW w:w="0" w:type="auto"/>
          </w:tcPr>
          <w:p w14:paraId="6ECCF5D1" w14:textId="77777777" w:rsidR="008C5CFA" w:rsidRPr="00696324" w:rsidRDefault="00E82A60" w:rsidP="00300A01">
            <w:pPr>
              <w:spacing w:before="0" w:after="0"/>
              <w:rPr>
                <w:sz w:val="12"/>
                <w:szCs w:val="12"/>
                <w:lang w:val="fr-BE"/>
              </w:rPr>
            </w:pPr>
            <w:r w:rsidRPr="00696324">
              <w:rPr>
                <w:noProof/>
                <w:sz w:val="12"/>
                <w:szCs w:val="12"/>
                <w:lang w:val="fr-BE"/>
              </w:rPr>
              <w:t>025</w:t>
            </w:r>
          </w:p>
        </w:tc>
        <w:tc>
          <w:tcPr>
            <w:tcW w:w="0" w:type="auto"/>
          </w:tcPr>
          <w:p w14:paraId="47FF3C0D" w14:textId="77777777" w:rsidR="008C5CFA" w:rsidRPr="00696324" w:rsidRDefault="00E82A60" w:rsidP="00300A01">
            <w:pPr>
              <w:spacing w:before="0" w:after="0"/>
              <w:rPr>
                <w:sz w:val="12"/>
                <w:szCs w:val="12"/>
                <w:lang w:val="fr-BE"/>
              </w:rPr>
            </w:pPr>
            <w:r w:rsidRPr="00696324">
              <w:rPr>
                <w:noProof/>
                <w:sz w:val="12"/>
                <w:szCs w:val="12"/>
                <w:lang w:val="fr-BE"/>
              </w:rPr>
              <w:t>Liczba jednostek naukowych ponoszących nakłady inwestycyjne na działalność B+R</w:t>
            </w:r>
          </w:p>
        </w:tc>
        <w:tc>
          <w:tcPr>
            <w:tcW w:w="0" w:type="auto"/>
          </w:tcPr>
          <w:p w14:paraId="25AF9292" w14:textId="77777777" w:rsidR="008C5CFA" w:rsidRPr="00696324" w:rsidRDefault="00E82A60" w:rsidP="00300A01">
            <w:pPr>
              <w:spacing w:before="0" w:after="0"/>
              <w:rPr>
                <w:sz w:val="12"/>
                <w:szCs w:val="12"/>
                <w:lang w:val="fr-BE"/>
              </w:rPr>
            </w:pPr>
            <w:r w:rsidRPr="00696324">
              <w:rPr>
                <w:noProof/>
                <w:sz w:val="12"/>
                <w:szCs w:val="12"/>
                <w:lang w:val="fr-BE"/>
              </w:rPr>
              <w:t>sztuka</w:t>
            </w:r>
          </w:p>
        </w:tc>
        <w:tc>
          <w:tcPr>
            <w:tcW w:w="0" w:type="auto"/>
          </w:tcPr>
          <w:p w14:paraId="5B96A854" w14:textId="77777777" w:rsidR="008C5CFA" w:rsidRPr="00696324" w:rsidRDefault="00E82A60" w:rsidP="00300A01">
            <w:pPr>
              <w:spacing w:before="0" w:after="0"/>
              <w:rPr>
                <w:sz w:val="12"/>
                <w:szCs w:val="12"/>
                <w:lang w:val="fr-BE"/>
              </w:rPr>
            </w:pPr>
            <w:r w:rsidRPr="00D4605F">
              <w:rPr>
                <w:noProof/>
                <w:sz w:val="12"/>
                <w:szCs w:val="12"/>
                <w:lang w:val="fr-BE"/>
              </w:rPr>
              <w:t>EFRR</w:t>
            </w:r>
          </w:p>
        </w:tc>
        <w:tc>
          <w:tcPr>
            <w:tcW w:w="0" w:type="auto"/>
          </w:tcPr>
          <w:p w14:paraId="3DC48EAF" w14:textId="77777777" w:rsidR="008C5CFA" w:rsidRPr="00696324" w:rsidRDefault="00E82A60" w:rsidP="00300A01">
            <w:pPr>
              <w:spacing w:before="0" w:after="0"/>
              <w:rPr>
                <w:sz w:val="12"/>
                <w:szCs w:val="12"/>
                <w:lang w:val="fr-BE"/>
              </w:rPr>
            </w:pPr>
            <w:r w:rsidRPr="00D4605F">
              <w:rPr>
                <w:noProof/>
                <w:sz w:val="12"/>
                <w:szCs w:val="12"/>
                <w:lang w:val="fr-BE"/>
              </w:rPr>
              <w:t>Słabiej rozwinięte</w:t>
            </w:r>
          </w:p>
        </w:tc>
        <w:tc>
          <w:tcPr>
            <w:tcW w:w="0" w:type="auto"/>
          </w:tcPr>
          <w:p w14:paraId="38A2A631" w14:textId="77777777" w:rsidR="008C5CFA" w:rsidRPr="00696324" w:rsidRDefault="00E82A60" w:rsidP="00136029">
            <w:pPr>
              <w:spacing w:before="0" w:after="0"/>
              <w:jc w:val="right"/>
              <w:rPr>
                <w:sz w:val="12"/>
                <w:szCs w:val="12"/>
                <w:lang w:val="fr-BE"/>
              </w:rPr>
            </w:pPr>
            <w:r w:rsidRPr="00696324">
              <w:rPr>
                <w:noProof/>
                <w:sz w:val="12"/>
                <w:szCs w:val="12"/>
                <w:lang w:val="fr-BE"/>
              </w:rPr>
              <w:t>0,00</w:t>
            </w:r>
          </w:p>
        </w:tc>
        <w:tc>
          <w:tcPr>
            <w:tcW w:w="0" w:type="auto"/>
          </w:tcPr>
          <w:p w14:paraId="52CE7EBD" w14:textId="77777777" w:rsidR="008C5CFA" w:rsidRPr="00696324" w:rsidRDefault="00E82A60" w:rsidP="00136029">
            <w:pPr>
              <w:spacing w:before="0" w:after="0"/>
              <w:jc w:val="right"/>
              <w:rPr>
                <w:sz w:val="12"/>
                <w:szCs w:val="12"/>
                <w:lang w:val="fr-BE"/>
              </w:rPr>
            </w:pPr>
            <w:r w:rsidRPr="00696324">
              <w:rPr>
                <w:noProof/>
                <w:sz w:val="12"/>
                <w:szCs w:val="12"/>
                <w:lang w:val="fr-BE"/>
              </w:rPr>
              <w:t>0,00</w:t>
            </w:r>
          </w:p>
        </w:tc>
      </w:tr>
      <w:tr w:rsidR="006B2EC1" w14:paraId="0EBDCC24" w14:textId="77777777" w:rsidTr="0047688D">
        <w:tc>
          <w:tcPr>
            <w:tcW w:w="0" w:type="auto"/>
            <w:shd w:val="clear" w:color="auto" w:fill="auto"/>
          </w:tcPr>
          <w:p w14:paraId="1241E1F4" w14:textId="77777777" w:rsidR="008C5CFA" w:rsidRPr="00696324" w:rsidRDefault="00E82A60" w:rsidP="00300A01">
            <w:pPr>
              <w:spacing w:before="0" w:after="0"/>
              <w:rPr>
                <w:sz w:val="12"/>
                <w:szCs w:val="12"/>
                <w:lang w:val="fr-BE"/>
              </w:rPr>
            </w:pPr>
            <w:r w:rsidRPr="00696324">
              <w:rPr>
                <w:noProof/>
                <w:sz w:val="12"/>
                <w:szCs w:val="12"/>
                <w:lang w:val="fr-BE"/>
              </w:rPr>
              <w:t>10</w:t>
            </w:r>
          </w:p>
        </w:tc>
        <w:tc>
          <w:tcPr>
            <w:tcW w:w="0" w:type="auto"/>
            <w:shd w:val="clear" w:color="auto" w:fill="auto"/>
          </w:tcPr>
          <w:p w14:paraId="04861760" w14:textId="77777777" w:rsidR="008C5CFA" w:rsidRPr="00696324" w:rsidRDefault="00E82A60" w:rsidP="00300A01">
            <w:pPr>
              <w:spacing w:before="0" w:after="0"/>
              <w:rPr>
                <w:sz w:val="12"/>
                <w:szCs w:val="12"/>
                <w:lang w:val="fr-BE"/>
              </w:rPr>
            </w:pPr>
            <w:r w:rsidRPr="00696324">
              <w:rPr>
                <w:noProof/>
                <w:sz w:val="12"/>
                <w:szCs w:val="12"/>
                <w:lang w:val="fr-BE"/>
              </w:rPr>
              <w:t>F</w:t>
            </w:r>
          </w:p>
        </w:tc>
        <w:tc>
          <w:tcPr>
            <w:tcW w:w="0" w:type="auto"/>
          </w:tcPr>
          <w:p w14:paraId="273B672A" w14:textId="77777777" w:rsidR="008C5CFA" w:rsidRPr="00696324" w:rsidRDefault="00E82A60" w:rsidP="00300A01">
            <w:pPr>
              <w:spacing w:before="0" w:after="0"/>
              <w:rPr>
                <w:sz w:val="12"/>
                <w:szCs w:val="12"/>
                <w:lang w:val="fr-BE"/>
              </w:rPr>
            </w:pPr>
            <w:r w:rsidRPr="00696324">
              <w:rPr>
                <w:noProof/>
                <w:sz w:val="12"/>
                <w:szCs w:val="12"/>
                <w:lang w:val="fr-BE"/>
              </w:rPr>
              <w:t>001</w:t>
            </w:r>
          </w:p>
        </w:tc>
        <w:tc>
          <w:tcPr>
            <w:tcW w:w="0" w:type="auto"/>
          </w:tcPr>
          <w:p w14:paraId="2CF16CF5" w14:textId="77777777" w:rsidR="008C5CFA" w:rsidRPr="00696324" w:rsidRDefault="00E82A60" w:rsidP="00300A01">
            <w:pPr>
              <w:spacing w:before="0" w:after="0"/>
              <w:rPr>
                <w:sz w:val="12"/>
                <w:szCs w:val="12"/>
                <w:lang w:val="fr-BE"/>
              </w:rPr>
            </w:pPr>
            <w:r w:rsidRPr="00696324">
              <w:rPr>
                <w:noProof/>
                <w:sz w:val="12"/>
                <w:szCs w:val="12"/>
                <w:lang w:val="fr-BE"/>
              </w:rPr>
              <w:t>Całkowita kwota certyfikowanych wydatków kwalifikowalnych</w:t>
            </w:r>
          </w:p>
        </w:tc>
        <w:tc>
          <w:tcPr>
            <w:tcW w:w="0" w:type="auto"/>
          </w:tcPr>
          <w:p w14:paraId="44EDBD68" w14:textId="77777777" w:rsidR="008C5CFA" w:rsidRPr="00696324" w:rsidRDefault="00E82A60" w:rsidP="00300A01">
            <w:pPr>
              <w:spacing w:before="0" w:after="0"/>
              <w:rPr>
                <w:sz w:val="12"/>
                <w:szCs w:val="12"/>
                <w:lang w:val="fr-BE"/>
              </w:rPr>
            </w:pPr>
            <w:r w:rsidRPr="00696324">
              <w:rPr>
                <w:noProof/>
                <w:sz w:val="12"/>
                <w:szCs w:val="12"/>
                <w:lang w:val="fr-BE"/>
              </w:rPr>
              <w:t>EUR</w:t>
            </w:r>
          </w:p>
        </w:tc>
        <w:tc>
          <w:tcPr>
            <w:tcW w:w="0" w:type="auto"/>
          </w:tcPr>
          <w:p w14:paraId="6F8826C7" w14:textId="77777777" w:rsidR="008C5CFA" w:rsidRPr="00696324" w:rsidRDefault="00E82A60" w:rsidP="00300A01">
            <w:pPr>
              <w:spacing w:before="0" w:after="0"/>
              <w:rPr>
                <w:sz w:val="12"/>
                <w:szCs w:val="12"/>
                <w:lang w:val="fr-BE"/>
              </w:rPr>
            </w:pPr>
            <w:r w:rsidRPr="00D4605F">
              <w:rPr>
                <w:noProof/>
                <w:sz w:val="12"/>
                <w:szCs w:val="12"/>
                <w:lang w:val="fr-BE"/>
              </w:rPr>
              <w:t>EFS</w:t>
            </w:r>
          </w:p>
        </w:tc>
        <w:tc>
          <w:tcPr>
            <w:tcW w:w="0" w:type="auto"/>
          </w:tcPr>
          <w:p w14:paraId="5544A4FD" w14:textId="77777777" w:rsidR="008C5CFA" w:rsidRPr="00696324" w:rsidRDefault="00E82A60" w:rsidP="00300A01">
            <w:pPr>
              <w:spacing w:before="0" w:after="0"/>
              <w:rPr>
                <w:sz w:val="12"/>
                <w:szCs w:val="12"/>
                <w:lang w:val="fr-BE"/>
              </w:rPr>
            </w:pPr>
            <w:r w:rsidRPr="00D4605F">
              <w:rPr>
                <w:noProof/>
                <w:sz w:val="12"/>
                <w:szCs w:val="12"/>
                <w:lang w:val="fr-BE"/>
              </w:rPr>
              <w:t>Słabiej rozwinięte</w:t>
            </w:r>
          </w:p>
        </w:tc>
        <w:tc>
          <w:tcPr>
            <w:tcW w:w="0" w:type="auto"/>
          </w:tcPr>
          <w:p w14:paraId="457A7220" w14:textId="77777777" w:rsidR="008C5CFA" w:rsidRPr="00696324" w:rsidRDefault="00E82A60" w:rsidP="00136029">
            <w:pPr>
              <w:spacing w:before="0" w:after="0"/>
              <w:jc w:val="right"/>
              <w:rPr>
                <w:sz w:val="12"/>
                <w:szCs w:val="12"/>
                <w:lang w:val="fr-BE"/>
              </w:rPr>
            </w:pPr>
            <w:r w:rsidRPr="00696324">
              <w:rPr>
                <w:noProof/>
                <w:sz w:val="12"/>
                <w:szCs w:val="12"/>
                <w:lang w:val="fr-BE"/>
              </w:rPr>
              <w:t>0,00</w:t>
            </w:r>
          </w:p>
        </w:tc>
        <w:tc>
          <w:tcPr>
            <w:tcW w:w="0" w:type="auto"/>
          </w:tcPr>
          <w:p w14:paraId="057904E7" w14:textId="77777777" w:rsidR="008C5CFA" w:rsidRPr="00696324" w:rsidRDefault="00E82A60" w:rsidP="00136029">
            <w:pPr>
              <w:spacing w:before="0" w:after="0"/>
              <w:jc w:val="right"/>
              <w:rPr>
                <w:sz w:val="12"/>
                <w:szCs w:val="12"/>
                <w:lang w:val="fr-BE"/>
              </w:rPr>
            </w:pPr>
            <w:r w:rsidRPr="00696324">
              <w:rPr>
                <w:noProof/>
                <w:sz w:val="12"/>
                <w:szCs w:val="12"/>
                <w:lang w:val="fr-BE"/>
              </w:rPr>
              <w:t>0,00</w:t>
            </w:r>
          </w:p>
        </w:tc>
      </w:tr>
      <w:tr w:rsidR="006B2EC1" w14:paraId="0243ADBA" w14:textId="77777777" w:rsidTr="0047688D">
        <w:tc>
          <w:tcPr>
            <w:tcW w:w="0" w:type="auto"/>
            <w:shd w:val="clear" w:color="auto" w:fill="auto"/>
          </w:tcPr>
          <w:p w14:paraId="224D39BA" w14:textId="77777777" w:rsidR="008C5CFA" w:rsidRPr="00696324" w:rsidRDefault="00E82A60" w:rsidP="00300A01">
            <w:pPr>
              <w:spacing w:before="0" w:after="0"/>
              <w:rPr>
                <w:sz w:val="12"/>
                <w:szCs w:val="12"/>
                <w:lang w:val="fr-BE"/>
              </w:rPr>
            </w:pPr>
            <w:r w:rsidRPr="00696324">
              <w:rPr>
                <w:noProof/>
                <w:sz w:val="12"/>
                <w:szCs w:val="12"/>
                <w:lang w:val="fr-BE"/>
              </w:rPr>
              <w:t>10</w:t>
            </w:r>
          </w:p>
        </w:tc>
        <w:tc>
          <w:tcPr>
            <w:tcW w:w="0" w:type="auto"/>
            <w:shd w:val="clear" w:color="auto" w:fill="auto"/>
          </w:tcPr>
          <w:p w14:paraId="07AC5457" w14:textId="77777777" w:rsidR="008C5CFA" w:rsidRPr="00696324" w:rsidRDefault="00E82A60" w:rsidP="00300A01">
            <w:pPr>
              <w:spacing w:before="0" w:after="0"/>
              <w:rPr>
                <w:sz w:val="12"/>
                <w:szCs w:val="12"/>
                <w:lang w:val="fr-BE"/>
              </w:rPr>
            </w:pPr>
            <w:r w:rsidRPr="00696324">
              <w:rPr>
                <w:noProof/>
                <w:sz w:val="12"/>
                <w:szCs w:val="12"/>
                <w:lang w:val="fr-BE"/>
              </w:rPr>
              <w:t>O</w:t>
            </w:r>
          </w:p>
        </w:tc>
        <w:tc>
          <w:tcPr>
            <w:tcW w:w="0" w:type="auto"/>
          </w:tcPr>
          <w:p w14:paraId="792C30D2" w14:textId="77777777" w:rsidR="008C5CFA" w:rsidRPr="00696324" w:rsidRDefault="00E82A60" w:rsidP="00300A01">
            <w:pPr>
              <w:spacing w:before="0" w:after="0"/>
              <w:rPr>
                <w:sz w:val="12"/>
                <w:szCs w:val="12"/>
                <w:lang w:val="fr-BE"/>
              </w:rPr>
            </w:pPr>
            <w:r w:rsidRPr="00696324">
              <w:rPr>
                <w:noProof/>
                <w:sz w:val="12"/>
                <w:szCs w:val="12"/>
                <w:lang w:val="fr-BE"/>
              </w:rPr>
              <w:t>146</w:t>
            </w:r>
          </w:p>
        </w:tc>
        <w:tc>
          <w:tcPr>
            <w:tcW w:w="0" w:type="auto"/>
          </w:tcPr>
          <w:p w14:paraId="2F59D05E" w14:textId="77777777" w:rsidR="008C5CFA" w:rsidRPr="00696324" w:rsidRDefault="00E82A60" w:rsidP="00300A01">
            <w:pPr>
              <w:spacing w:before="0" w:after="0"/>
              <w:rPr>
                <w:sz w:val="12"/>
                <w:szCs w:val="12"/>
                <w:lang w:val="fr-BE"/>
              </w:rPr>
            </w:pPr>
            <w:r w:rsidRPr="00696324">
              <w:rPr>
                <w:noProof/>
                <w:sz w:val="12"/>
                <w:szCs w:val="12"/>
                <w:lang w:val="fr-BE"/>
              </w:rPr>
              <w:t>Liczba osób bezrobotnych (łącznie z długotrwale bezrobotnymi) objętych wsparciem</w:t>
            </w:r>
          </w:p>
        </w:tc>
        <w:tc>
          <w:tcPr>
            <w:tcW w:w="0" w:type="auto"/>
          </w:tcPr>
          <w:p w14:paraId="239B652A" w14:textId="77777777" w:rsidR="008C5CFA" w:rsidRPr="00696324" w:rsidRDefault="00E82A60" w:rsidP="00300A01">
            <w:pPr>
              <w:spacing w:before="0" w:after="0"/>
              <w:rPr>
                <w:sz w:val="12"/>
                <w:szCs w:val="12"/>
                <w:lang w:val="fr-BE"/>
              </w:rPr>
            </w:pPr>
            <w:r w:rsidRPr="00696324">
              <w:rPr>
                <w:noProof/>
                <w:sz w:val="12"/>
                <w:szCs w:val="12"/>
                <w:lang w:val="fr-BE"/>
              </w:rPr>
              <w:t>Liczba</w:t>
            </w:r>
          </w:p>
        </w:tc>
        <w:tc>
          <w:tcPr>
            <w:tcW w:w="0" w:type="auto"/>
          </w:tcPr>
          <w:p w14:paraId="1B84CCE2" w14:textId="77777777" w:rsidR="008C5CFA" w:rsidRPr="00696324" w:rsidRDefault="00E82A60" w:rsidP="00300A01">
            <w:pPr>
              <w:spacing w:before="0" w:after="0"/>
              <w:rPr>
                <w:sz w:val="12"/>
                <w:szCs w:val="12"/>
                <w:lang w:val="fr-BE"/>
              </w:rPr>
            </w:pPr>
            <w:r w:rsidRPr="00D4605F">
              <w:rPr>
                <w:noProof/>
                <w:sz w:val="12"/>
                <w:szCs w:val="12"/>
                <w:lang w:val="fr-BE"/>
              </w:rPr>
              <w:t>EFS</w:t>
            </w:r>
          </w:p>
        </w:tc>
        <w:tc>
          <w:tcPr>
            <w:tcW w:w="0" w:type="auto"/>
          </w:tcPr>
          <w:p w14:paraId="50B4BEA9" w14:textId="77777777" w:rsidR="008C5CFA" w:rsidRPr="00696324" w:rsidRDefault="00E82A60" w:rsidP="00300A01">
            <w:pPr>
              <w:spacing w:before="0" w:after="0"/>
              <w:rPr>
                <w:sz w:val="12"/>
                <w:szCs w:val="12"/>
                <w:lang w:val="fr-BE"/>
              </w:rPr>
            </w:pPr>
            <w:r w:rsidRPr="00D4605F">
              <w:rPr>
                <w:noProof/>
                <w:sz w:val="12"/>
                <w:szCs w:val="12"/>
                <w:lang w:val="fr-BE"/>
              </w:rPr>
              <w:t>Słabiej rozwinięte</w:t>
            </w:r>
          </w:p>
        </w:tc>
        <w:tc>
          <w:tcPr>
            <w:tcW w:w="0" w:type="auto"/>
          </w:tcPr>
          <w:p w14:paraId="41033AF4" w14:textId="77777777" w:rsidR="008C5CFA" w:rsidRPr="00696324" w:rsidRDefault="00E82A60" w:rsidP="00136029">
            <w:pPr>
              <w:spacing w:before="0" w:after="0"/>
              <w:jc w:val="right"/>
              <w:rPr>
                <w:sz w:val="12"/>
                <w:szCs w:val="12"/>
                <w:lang w:val="fr-BE"/>
              </w:rPr>
            </w:pPr>
            <w:r w:rsidRPr="00696324">
              <w:rPr>
                <w:noProof/>
                <w:sz w:val="12"/>
                <w:szCs w:val="12"/>
                <w:lang w:val="fr-BE"/>
              </w:rPr>
              <w:t>0,00</w:t>
            </w:r>
          </w:p>
        </w:tc>
        <w:tc>
          <w:tcPr>
            <w:tcW w:w="0" w:type="auto"/>
          </w:tcPr>
          <w:p w14:paraId="33F96926" w14:textId="77777777" w:rsidR="008C5CFA" w:rsidRPr="00696324" w:rsidRDefault="00E82A60" w:rsidP="00136029">
            <w:pPr>
              <w:spacing w:before="0" w:after="0"/>
              <w:jc w:val="right"/>
              <w:rPr>
                <w:sz w:val="12"/>
                <w:szCs w:val="12"/>
                <w:lang w:val="fr-BE"/>
              </w:rPr>
            </w:pPr>
            <w:r w:rsidRPr="00696324">
              <w:rPr>
                <w:noProof/>
                <w:sz w:val="12"/>
                <w:szCs w:val="12"/>
                <w:lang w:val="fr-BE"/>
              </w:rPr>
              <w:t>0,00</w:t>
            </w:r>
          </w:p>
        </w:tc>
      </w:tr>
      <w:tr w:rsidR="006B2EC1" w14:paraId="3614DA97" w14:textId="77777777" w:rsidTr="0047688D">
        <w:tc>
          <w:tcPr>
            <w:tcW w:w="0" w:type="auto"/>
            <w:shd w:val="clear" w:color="auto" w:fill="auto"/>
          </w:tcPr>
          <w:p w14:paraId="796C60A7" w14:textId="77777777" w:rsidR="008C5CFA" w:rsidRPr="00696324" w:rsidRDefault="00E82A60" w:rsidP="00300A01">
            <w:pPr>
              <w:spacing w:before="0" w:after="0"/>
              <w:rPr>
                <w:sz w:val="12"/>
                <w:szCs w:val="12"/>
                <w:lang w:val="fr-BE"/>
              </w:rPr>
            </w:pPr>
            <w:r w:rsidRPr="00696324">
              <w:rPr>
                <w:noProof/>
                <w:sz w:val="12"/>
                <w:szCs w:val="12"/>
                <w:lang w:val="fr-BE"/>
              </w:rPr>
              <w:t>2</w:t>
            </w:r>
          </w:p>
        </w:tc>
        <w:tc>
          <w:tcPr>
            <w:tcW w:w="0" w:type="auto"/>
            <w:shd w:val="clear" w:color="auto" w:fill="auto"/>
          </w:tcPr>
          <w:p w14:paraId="4DC4EDB1" w14:textId="77777777" w:rsidR="008C5CFA" w:rsidRPr="00696324" w:rsidRDefault="00E82A60" w:rsidP="00300A01">
            <w:pPr>
              <w:spacing w:before="0" w:after="0"/>
              <w:rPr>
                <w:sz w:val="12"/>
                <w:szCs w:val="12"/>
                <w:lang w:val="fr-BE"/>
              </w:rPr>
            </w:pPr>
            <w:r w:rsidRPr="00696324">
              <w:rPr>
                <w:noProof/>
                <w:sz w:val="12"/>
                <w:szCs w:val="12"/>
                <w:lang w:val="fr-BE"/>
              </w:rPr>
              <w:t>O</w:t>
            </w:r>
          </w:p>
        </w:tc>
        <w:tc>
          <w:tcPr>
            <w:tcW w:w="0" w:type="auto"/>
          </w:tcPr>
          <w:p w14:paraId="16DF75FF" w14:textId="77777777" w:rsidR="008C5CFA" w:rsidRPr="00696324" w:rsidRDefault="00E82A60" w:rsidP="00300A01">
            <w:pPr>
              <w:spacing w:before="0" w:after="0"/>
              <w:rPr>
                <w:sz w:val="12"/>
                <w:szCs w:val="12"/>
                <w:lang w:val="fr-BE"/>
              </w:rPr>
            </w:pPr>
            <w:r w:rsidRPr="00696324">
              <w:rPr>
                <w:noProof/>
                <w:sz w:val="12"/>
                <w:szCs w:val="12"/>
                <w:lang w:val="fr-BE"/>
              </w:rPr>
              <w:t>CO02</w:t>
            </w:r>
          </w:p>
        </w:tc>
        <w:tc>
          <w:tcPr>
            <w:tcW w:w="0" w:type="auto"/>
          </w:tcPr>
          <w:p w14:paraId="15BE712F" w14:textId="77777777" w:rsidR="008C5CFA" w:rsidRPr="00696324" w:rsidRDefault="00E82A60" w:rsidP="00300A01">
            <w:pPr>
              <w:spacing w:before="0" w:after="0"/>
              <w:rPr>
                <w:sz w:val="12"/>
                <w:szCs w:val="12"/>
                <w:lang w:val="fr-BE"/>
              </w:rPr>
            </w:pPr>
            <w:r w:rsidRPr="00696324">
              <w:rPr>
                <w:noProof/>
                <w:sz w:val="12"/>
                <w:szCs w:val="12"/>
                <w:lang w:val="fr-BE"/>
              </w:rPr>
              <w:t>Inwestycje produkcyjne: liczba przedsiębiorstw otrzymujących dotacje</w:t>
            </w:r>
          </w:p>
        </w:tc>
        <w:tc>
          <w:tcPr>
            <w:tcW w:w="0" w:type="auto"/>
          </w:tcPr>
          <w:p w14:paraId="4608DEBB" w14:textId="77777777" w:rsidR="008C5CFA" w:rsidRPr="00696324" w:rsidRDefault="00E82A60" w:rsidP="00300A01">
            <w:pPr>
              <w:spacing w:before="0" w:after="0"/>
              <w:rPr>
                <w:sz w:val="12"/>
                <w:szCs w:val="12"/>
                <w:lang w:val="fr-BE"/>
              </w:rPr>
            </w:pPr>
            <w:r w:rsidRPr="00696324">
              <w:rPr>
                <w:noProof/>
                <w:sz w:val="12"/>
                <w:szCs w:val="12"/>
                <w:lang w:val="fr-BE"/>
              </w:rPr>
              <w:t>Enterprises</w:t>
            </w:r>
          </w:p>
        </w:tc>
        <w:tc>
          <w:tcPr>
            <w:tcW w:w="0" w:type="auto"/>
          </w:tcPr>
          <w:p w14:paraId="5D5590C9" w14:textId="77777777" w:rsidR="008C5CFA" w:rsidRPr="00696324" w:rsidRDefault="00E82A60" w:rsidP="00300A01">
            <w:pPr>
              <w:spacing w:before="0" w:after="0"/>
              <w:rPr>
                <w:sz w:val="12"/>
                <w:szCs w:val="12"/>
                <w:lang w:val="fr-BE"/>
              </w:rPr>
            </w:pPr>
            <w:r w:rsidRPr="00D4605F">
              <w:rPr>
                <w:noProof/>
                <w:sz w:val="12"/>
                <w:szCs w:val="12"/>
                <w:lang w:val="fr-BE"/>
              </w:rPr>
              <w:t>EFRR</w:t>
            </w:r>
          </w:p>
        </w:tc>
        <w:tc>
          <w:tcPr>
            <w:tcW w:w="0" w:type="auto"/>
          </w:tcPr>
          <w:p w14:paraId="36A05B97" w14:textId="77777777" w:rsidR="008C5CFA" w:rsidRPr="00696324" w:rsidRDefault="00E82A60" w:rsidP="00300A01">
            <w:pPr>
              <w:spacing w:before="0" w:after="0"/>
              <w:rPr>
                <w:sz w:val="12"/>
                <w:szCs w:val="12"/>
                <w:lang w:val="fr-BE"/>
              </w:rPr>
            </w:pPr>
            <w:r w:rsidRPr="00D4605F">
              <w:rPr>
                <w:noProof/>
                <w:sz w:val="12"/>
                <w:szCs w:val="12"/>
                <w:lang w:val="fr-BE"/>
              </w:rPr>
              <w:t>Słabiej rozwinięte</w:t>
            </w:r>
          </w:p>
        </w:tc>
        <w:tc>
          <w:tcPr>
            <w:tcW w:w="0" w:type="auto"/>
          </w:tcPr>
          <w:p w14:paraId="40E69143" w14:textId="77777777" w:rsidR="008C5CFA" w:rsidRPr="00696324" w:rsidRDefault="00E82A60" w:rsidP="00136029">
            <w:pPr>
              <w:spacing w:before="0" w:after="0"/>
              <w:jc w:val="right"/>
              <w:rPr>
                <w:sz w:val="12"/>
                <w:szCs w:val="12"/>
                <w:lang w:val="fr-BE"/>
              </w:rPr>
            </w:pPr>
            <w:r w:rsidRPr="00696324">
              <w:rPr>
                <w:noProof/>
                <w:sz w:val="12"/>
                <w:szCs w:val="12"/>
                <w:lang w:val="fr-BE"/>
              </w:rPr>
              <w:t>0,00</w:t>
            </w:r>
          </w:p>
        </w:tc>
        <w:tc>
          <w:tcPr>
            <w:tcW w:w="0" w:type="auto"/>
          </w:tcPr>
          <w:p w14:paraId="685F9646" w14:textId="77777777" w:rsidR="008C5CFA" w:rsidRPr="00696324" w:rsidRDefault="00E82A60" w:rsidP="00136029">
            <w:pPr>
              <w:spacing w:before="0" w:after="0"/>
              <w:jc w:val="right"/>
              <w:rPr>
                <w:sz w:val="12"/>
                <w:szCs w:val="12"/>
                <w:lang w:val="fr-BE"/>
              </w:rPr>
            </w:pPr>
            <w:r w:rsidRPr="00696324">
              <w:rPr>
                <w:noProof/>
                <w:sz w:val="12"/>
                <w:szCs w:val="12"/>
                <w:lang w:val="fr-BE"/>
              </w:rPr>
              <w:t>0,00</w:t>
            </w:r>
          </w:p>
        </w:tc>
      </w:tr>
      <w:tr w:rsidR="006B2EC1" w14:paraId="24D4F293" w14:textId="77777777" w:rsidTr="0047688D">
        <w:tc>
          <w:tcPr>
            <w:tcW w:w="0" w:type="auto"/>
            <w:shd w:val="clear" w:color="auto" w:fill="auto"/>
          </w:tcPr>
          <w:p w14:paraId="5912A08E" w14:textId="77777777" w:rsidR="008C5CFA" w:rsidRPr="00696324" w:rsidRDefault="00E82A60" w:rsidP="00300A01">
            <w:pPr>
              <w:spacing w:before="0" w:after="0"/>
              <w:rPr>
                <w:sz w:val="12"/>
                <w:szCs w:val="12"/>
                <w:lang w:val="fr-BE"/>
              </w:rPr>
            </w:pPr>
            <w:r w:rsidRPr="00696324">
              <w:rPr>
                <w:noProof/>
                <w:sz w:val="12"/>
                <w:szCs w:val="12"/>
                <w:lang w:val="fr-BE"/>
              </w:rPr>
              <w:t>2</w:t>
            </w:r>
          </w:p>
        </w:tc>
        <w:tc>
          <w:tcPr>
            <w:tcW w:w="0" w:type="auto"/>
            <w:shd w:val="clear" w:color="auto" w:fill="auto"/>
          </w:tcPr>
          <w:p w14:paraId="3AA64F4A" w14:textId="77777777" w:rsidR="008C5CFA" w:rsidRPr="00696324" w:rsidRDefault="00E82A60" w:rsidP="00300A01">
            <w:pPr>
              <w:spacing w:before="0" w:after="0"/>
              <w:rPr>
                <w:sz w:val="12"/>
                <w:szCs w:val="12"/>
                <w:lang w:val="fr-BE"/>
              </w:rPr>
            </w:pPr>
            <w:r w:rsidRPr="00696324">
              <w:rPr>
                <w:noProof/>
                <w:sz w:val="12"/>
                <w:szCs w:val="12"/>
                <w:lang w:val="fr-BE"/>
              </w:rPr>
              <w:t>F</w:t>
            </w:r>
          </w:p>
        </w:tc>
        <w:tc>
          <w:tcPr>
            <w:tcW w:w="0" w:type="auto"/>
          </w:tcPr>
          <w:p w14:paraId="193C8C59" w14:textId="77777777" w:rsidR="008C5CFA" w:rsidRPr="00696324" w:rsidRDefault="00E82A60" w:rsidP="00300A01">
            <w:pPr>
              <w:spacing w:before="0" w:after="0"/>
              <w:rPr>
                <w:sz w:val="12"/>
                <w:szCs w:val="12"/>
                <w:lang w:val="fr-BE"/>
              </w:rPr>
            </w:pPr>
            <w:r w:rsidRPr="00696324">
              <w:rPr>
                <w:noProof/>
                <w:sz w:val="12"/>
                <w:szCs w:val="12"/>
                <w:lang w:val="fr-BE"/>
              </w:rPr>
              <w:t>001</w:t>
            </w:r>
          </w:p>
        </w:tc>
        <w:tc>
          <w:tcPr>
            <w:tcW w:w="0" w:type="auto"/>
          </w:tcPr>
          <w:p w14:paraId="42E0EA3B" w14:textId="77777777" w:rsidR="008C5CFA" w:rsidRPr="00696324" w:rsidRDefault="00E82A60" w:rsidP="00300A01">
            <w:pPr>
              <w:spacing w:before="0" w:after="0"/>
              <w:rPr>
                <w:sz w:val="12"/>
                <w:szCs w:val="12"/>
                <w:lang w:val="fr-BE"/>
              </w:rPr>
            </w:pPr>
            <w:r w:rsidRPr="00696324">
              <w:rPr>
                <w:noProof/>
                <w:sz w:val="12"/>
                <w:szCs w:val="12"/>
                <w:lang w:val="fr-BE"/>
              </w:rPr>
              <w:t>Całkowita kwota certyfikowanych wydatków kwalifikowalnych</w:t>
            </w:r>
          </w:p>
        </w:tc>
        <w:tc>
          <w:tcPr>
            <w:tcW w:w="0" w:type="auto"/>
          </w:tcPr>
          <w:p w14:paraId="4986A03E" w14:textId="77777777" w:rsidR="008C5CFA" w:rsidRPr="00696324" w:rsidRDefault="00E82A60" w:rsidP="00300A01">
            <w:pPr>
              <w:spacing w:before="0" w:after="0"/>
              <w:rPr>
                <w:sz w:val="12"/>
                <w:szCs w:val="12"/>
                <w:lang w:val="fr-BE"/>
              </w:rPr>
            </w:pPr>
            <w:r w:rsidRPr="00696324">
              <w:rPr>
                <w:noProof/>
                <w:sz w:val="12"/>
                <w:szCs w:val="12"/>
                <w:lang w:val="fr-BE"/>
              </w:rPr>
              <w:t>EUR</w:t>
            </w:r>
          </w:p>
        </w:tc>
        <w:tc>
          <w:tcPr>
            <w:tcW w:w="0" w:type="auto"/>
          </w:tcPr>
          <w:p w14:paraId="4CBE36F3" w14:textId="77777777" w:rsidR="008C5CFA" w:rsidRPr="00696324" w:rsidRDefault="00E82A60" w:rsidP="00300A01">
            <w:pPr>
              <w:spacing w:before="0" w:after="0"/>
              <w:rPr>
                <w:sz w:val="12"/>
                <w:szCs w:val="12"/>
                <w:lang w:val="fr-BE"/>
              </w:rPr>
            </w:pPr>
            <w:r w:rsidRPr="00D4605F">
              <w:rPr>
                <w:noProof/>
                <w:sz w:val="12"/>
                <w:szCs w:val="12"/>
                <w:lang w:val="fr-BE"/>
              </w:rPr>
              <w:t>EFRR</w:t>
            </w:r>
          </w:p>
        </w:tc>
        <w:tc>
          <w:tcPr>
            <w:tcW w:w="0" w:type="auto"/>
          </w:tcPr>
          <w:p w14:paraId="384EEC9B" w14:textId="77777777" w:rsidR="008C5CFA" w:rsidRPr="00696324" w:rsidRDefault="00E82A60" w:rsidP="00300A01">
            <w:pPr>
              <w:spacing w:before="0" w:after="0"/>
              <w:rPr>
                <w:sz w:val="12"/>
                <w:szCs w:val="12"/>
                <w:lang w:val="fr-BE"/>
              </w:rPr>
            </w:pPr>
            <w:r w:rsidRPr="00D4605F">
              <w:rPr>
                <w:noProof/>
                <w:sz w:val="12"/>
                <w:szCs w:val="12"/>
                <w:lang w:val="fr-BE"/>
              </w:rPr>
              <w:t>Słabiej rozwinięte</w:t>
            </w:r>
          </w:p>
        </w:tc>
        <w:tc>
          <w:tcPr>
            <w:tcW w:w="0" w:type="auto"/>
          </w:tcPr>
          <w:p w14:paraId="46D7D877" w14:textId="77777777" w:rsidR="008C5CFA" w:rsidRPr="00696324" w:rsidRDefault="00E82A60" w:rsidP="00136029">
            <w:pPr>
              <w:spacing w:before="0" w:after="0"/>
              <w:jc w:val="right"/>
              <w:rPr>
                <w:sz w:val="12"/>
                <w:szCs w:val="12"/>
                <w:lang w:val="fr-BE"/>
              </w:rPr>
            </w:pPr>
            <w:r w:rsidRPr="00696324">
              <w:rPr>
                <w:noProof/>
                <w:sz w:val="12"/>
                <w:szCs w:val="12"/>
                <w:lang w:val="fr-BE"/>
              </w:rPr>
              <w:t>0,00</w:t>
            </w:r>
          </w:p>
        </w:tc>
        <w:tc>
          <w:tcPr>
            <w:tcW w:w="0" w:type="auto"/>
          </w:tcPr>
          <w:p w14:paraId="6198251F" w14:textId="77777777" w:rsidR="008C5CFA" w:rsidRPr="00696324" w:rsidRDefault="00E82A60" w:rsidP="00136029">
            <w:pPr>
              <w:spacing w:before="0" w:after="0"/>
              <w:jc w:val="right"/>
              <w:rPr>
                <w:sz w:val="12"/>
                <w:szCs w:val="12"/>
                <w:lang w:val="fr-BE"/>
              </w:rPr>
            </w:pPr>
            <w:r w:rsidRPr="00696324">
              <w:rPr>
                <w:noProof/>
                <w:sz w:val="12"/>
                <w:szCs w:val="12"/>
                <w:lang w:val="fr-BE"/>
              </w:rPr>
              <w:t>0,00</w:t>
            </w:r>
          </w:p>
        </w:tc>
      </w:tr>
      <w:tr w:rsidR="006B2EC1" w14:paraId="518F4CD9" w14:textId="77777777" w:rsidTr="0047688D">
        <w:tc>
          <w:tcPr>
            <w:tcW w:w="0" w:type="auto"/>
            <w:shd w:val="clear" w:color="auto" w:fill="auto"/>
          </w:tcPr>
          <w:p w14:paraId="186AC2DA" w14:textId="77777777" w:rsidR="008C5CFA" w:rsidRPr="00696324" w:rsidRDefault="00E82A60" w:rsidP="00300A01">
            <w:pPr>
              <w:spacing w:before="0" w:after="0"/>
              <w:rPr>
                <w:sz w:val="12"/>
                <w:szCs w:val="12"/>
                <w:lang w:val="fr-BE"/>
              </w:rPr>
            </w:pPr>
            <w:r w:rsidRPr="00696324">
              <w:rPr>
                <w:noProof/>
                <w:sz w:val="12"/>
                <w:szCs w:val="12"/>
                <w:lang w:val="fr-BE"/>
              </w:rPr>
              <w:t>2</w:t>
            </w:r>
          </w:p>
        </w:tc>
        <w:tc>
          <w:tcPr>
            <w:tcW w:w="0" w:type="auto"/>
            <w:shd w:val="clear" w:color="auto" w:fill="auto"/>
          </w:tcPr>
          <w:p w14:paraId="52C1E9AE" w14:textId="77777777" w:rsidR="008C5CFA" w:rsidRPr="00696324" w:rsidRDefault="00E82A60" w:rsidP="00300A01">
            <w:pPr>
              <w:spacing w:before="0" w:after="0"/>
              <w:rPr>
                <w:sz w:val="12"/>
                <w:szCs w:val="12"/>
                <w:lang w:val="fr-BE"/>
              </w:rPr>
            </w:pPr>
            <w:r w:rsidRPr="00696324">
              <w:rPr>
                <w:noProof/>
                <w:sz w:val="12"/>
                <w:szCs w:val="12"/>
                <w:lang w:val="fr-BE"/>
              </w:rPr>
              <w:t>O</w:t>
            </w:r>
          </w:p>
        </w:tc>
        <w:tc>
          <w:tcPr>
            <w:tcW w:w="0" w:type="auto"/>
          </w:tcPr>
          <w:p w14:paraId="742E92CC" w14:textId="77777777" w:rsidR="008C5CFA" w:rsidRPr="00696324" w:rsidRDefault="00E82A60" w:rsidP="00300A01">
            <w:pPr>
              <w:spacing w:before="0" w:after="0"/>
              <w:rPr>
                <w:sz w:val="12"/>
                <w:szCs w:val="12"/>
                <w:lang w:val="fr-BE"/>
              </w:rPr>
            </w:pPr>
            <w:r w:rsidRPr="00696324">
              <w:rPr>
                <w:noProof/>
                <w:sz w:val="12"/>
                <w:szCs w:val="12"/>
                <w:lang w:val="fr-BE"/>
              </w:rPr>
              <w:t>026</w:t>
            </w:r>
          </w:p>
        </w:tc>
        <w:tc>
          <w:tcPr>
            <w:tcW w:w="0" w:type="auto"/>
          </w:tcPr>
          <w:p w14:paraId="39C28D1A" w14:textId="77777777" w:rsidR="008C5CFA" w:rsidRPr="00696324" w:rsidRDefault="00E82A60" w:rsidP="00300A01">
            <w:pPr>
              <w:spacing w:before="0" w:after="0"/>
              <w:rPr>
                <w:sz w:val="12"/>
                <w:szCs w:val="12"/>
                <w:lang w:val="fr-BE"/>
              </w:rPr>
            </w:pPr>
            <w:r w:rsidRPr="00696324">
              <w:rPr>
                <w:noProof/>
                <w:sz w:val="12"/>
                <w:szCs w:val="12"/>
                <w:lang w:val="fr-BE"/>
              </w:rPr>
              <w:t>Liczba nowych i ulepszonych usług świadczonych przez instytucje otoczenia biznesu</w:t>
            </w:r>
          </w:p>
        </w:tc>
        <w:tc>
          <w:tcPr>
            <w:tcW w:w="0" w:type="auto"/>
          </w:tcPr>
          <w:p w14:paraId="77ABF4FC" w14:textId="77777777" w:rsidR="008C5CFA" w:rsidRPr="00696324" w:rsidRDefault="00E82A60" w:rsidP="00300A01">
            <w:pPr>
              <w:spacing w:before="0" w:after="0"/>
              <w:rPr>
                <w:sz w:val="12"/>
                <w:szCs w:val="12"/>
                <w:lang w:val="fr-BE"/>
              </w:rPr>
            </w:pPr>
            <w:r w:rsidRPr="00696324">
              <w:rPr>
                <w:noProof/>
                <w:sz w:val="12"/>
                <w:szCs w:val="12"/>
                <w:lang w:val="fr-BE"/>
              </w:rPr>
              <w:t>szt.</w:t>
            </w:r>
          </w:p>
        </w:tc>
        <w:tc>
          <w:tcPr>
            <w:tcW w:w="0" w:type="auto"/>
          </w:tcPr>
          <w:p w14:paraId="1AE25FE2" w14:textId="77777777" w:rsidR="008C5CFA" w:rsidRPr="00696324" w:rsidRDefault="00E82A60" w:rsidP="00300A01">
            <w:pPr>
              <w:spacing w:before="0" w:after="0"/>
              <w:rPr>
                <w:sz w:val="12"/>
                <w:szCs w:val="12"/>
                <w:lang w:val="fr-BE"/>
              </w:rPr>
            </w:pPr>
            <w:r w:rsidRPr="00D4605F">
              <w:rPr>
                <w:noProof/>
                <w:sz w:val="12"/>
                <w:szCs w:val="12"/>
                <w:lang w:val="fr-BE"/>
              </w:rPr>
              <w:t>EFRR</w:t>
            </w:r>
          </w:p>
        </w:tc>
        <w:tc>
          <w:tcPr>
            <w:tcW w:w="0" w:type="auto"/>
          </w:tcPr>
          <w:p w14:paraId="79853026" w14:textId="77777777" w:rsidR="008C5CFA" w:rsidRPr="00696324" w:rsidRDefault="00E82A60" w:rsidP="00300A01">
            <w:pPr>
              <w:spacing w:before="0" w:after="0"/>
              <w:rPr>
                <w:sz w:val="12"/>
                <w:szCs w:val="12"/>
                <w:lang w:val="fr-BE"/>
              </w:rPr>
            </w:pPr>
            <w:r w:rsidRPr="00D4605F">
              <w:rPr>
                <w:noProof/>
                <w:sz w:val="12"/>
                <w:szCs w:val="12"/>
                <w:lang w:val="fr-BE"/>
              </w:rPr>
              <w:t>Słabiej rozwinięte</w:t>
            </w:r>
          </w:p>
        </w:tc>
        <w:tc>
          <w:tcPr>
            <w:tcW w:w="0" w:type="auto"/>
          </w:tcPr>
          <w:p w14:paraId="059513D9" w14:textId="77777777" w:rsidR="008C5CFA" w:rsidRPr="00696324" w:rsidRDefault="00E82A60" w:rsidP="00136029">
            <w:pPr>
              <w:spacing w:before="0" w:after="0"/>
              <w:jc w:val="right"/>
              <w:rPr>
                <w:sz w:val="12"/>
                <w:szCs w:val="12"/>
                <w:lang w:val="fr-BE"/>
              </w:rPr>
            </w:pPr>
            <w:r w:rsidRPr="00696324">
              <w:rPr>
                <w:noProof/>
                <w:sz w:val="12"/>
                <w:szCs w:val="12"/>
                <w:lang w:val="fr-BE"/>
              </w:rPr>
              <w:t>0,00</w:t>
            </w:r>
          </w:p>
        </w:tc>
        <w:tc>
          <w:tcPr>
            <w:tcW w:w="0" w:type="auto"/>
          </w:tcPr>
          <w:p w14:paraId="432730FE" w14:textId="77777777" w:rsidR="008C5CFA" w:rsidRPr="00696324" w:rsidRDefault="00E82A60" w:rsidP="00136029">
            <w:pPr>
              <w:spacing w:before="0" w:after="0"/>
              <w:jc w:val="right"/>
              <w:rPr>
                <w:sz w:val="12"/>
                <w:szCs w:val="12"/>
                <w:lang w:val="fr-BE"/>
              </w:rPr>
            </w:pPr>
            <w:r w:rsidRPr="00696324">
              <w:rPr>
                <w:noProof/>
                <w:sz w:val="12"/>
                <w:szCs w:val="12"/>
                <w:lang w:val="fr-BE"/>
              </w:rPr>
              <w:t>0,00</w:t>
            </w:r>
          </w:p>
        </w:tc>
      </w:tr>
      <w:tr w:rsidR="006B2EC1" w14:paraId="14171547" w14:textId="77777777" w:rsidTr="0047688D">
        <w:tc>
          <w:tcPr>
            <w:tcW w:w="0" w:type="auto"/>
            <w:shd w:val="clear" w:color="auto" w:fill="auto"/>
          </w:tcPr>
          <w:p w14:paraId="0184131A" w14:textId="77777777" w:rsidR="008C5CFA" w:rsidRPr="00696324" w:rsidRDefault="00E82A60" w:rsidP="00300A01">
            <w:pPr>
              <w:spacing w:before="0" w:after="0"/>
              <w:rPr>
                <w:sz w:val="12"/>
                <w:szCs w:val="12"/>
                <w:lang w:val="fr-BE"/>
              </w:rPr>
            </w:pPr>
            <w:r w:rsidRPr="00696324">
              <w:rPr>
                <w:noProof/>
                <w:sz w:val="12"/>
                <w:szCs w:val="12"/>
                <w:lang w:val="fr-BE"/>
              </w:rPr>
              <w:t>3</w:t>
            </w:r>
          </w:p>
        </w:tc>
        <w:tc>
          <w:tcPr>
            <w:tcW w:w="0" w:type="auto"/>
            <w:shd w:val="clear" w:color="auto" w:fill="auto"/>
          </w:tcPr>
          <w:p w14:paraId="42DD7FFF" w14:textId="77777777" w:rsidR="008C5CFA" w:rsidRPr="00696324" w:rsidRDefault="00E82A60" w:rsidP="00300A01">
            <w:pPr>
              <w:spacing w:before="0" w:after="0"/>
              <w:rPr>
                <w:sz w:val="12"/>
                <w:szCs w:val="12"/>
                <w:lang w:val="fr-BE"/>
              </w:rPr>
            </w:pPr>
            <w:r w:rsidRPr="00696324">
              <w:rPr>
                <w:noProof/>
                <w:sz w:val="12"/>
                <w:szCs w:val="12"/>
                <w:lang w:val="fr-BE"/>
              </w:rPr>
              <w:t>F</w:t>
            </w:r>
          </w:p>
        </w:tc>
        <w:tc>
          <w:tcPr>
            <w:tcW w:w="0" w:type="auto"/>
          </w:tcPr>
          <w:p w14:paraId="46843247" w14:textId="77777777" w:rsidR="008C5CFA" w:rsidRPr="00696324" w:rsidRDefault="00E82A60" w:rsidP="00300A01">
            <w:pPr>
              <w:spacing w:before="0" w:after="0"/>
              <w:rPr>
                <w:sz w:val="12"/>
                <w:szCs w:val="12"/>
                <w:lang w:val="fr-BE"/>
              </w:rPr>
            </w:pPr>
            <w:r w:rsidRPr="00696324">
              <w:rPr>
                <w:noProof/>
                <w:sz w:val="12"/>
                <w:szCs w:val="12"/>
                <w:lang w:val="fr-BE"/>
              </w:rPr>
              <w:t>001</w:t>
            </w:r>
          </w:p>
        </w:tc>
        <w:tc>
          <w:tcPr>
            <w:tcW w:w="0" w:type="auto"/>
          </w:tcPr>
          <w:p w14:paraId="5889AE86" w14:textId="77777777" w:rsidR="008C5CFA" w:rsidRPr="00696324" w:rsidRDefault="00E82A60" w:rsidP="00300A01">
            <w:pPr>
              <w:spacing w:before="0" w:after="0"/>
              <w:rPr>
                <w:sz w:val="12"/>
                <w:szCs w:val="12"/>
                <w:lang w:val="fr-BE"/>
              </w:rPr>
            </w:pPr>
            <w:r w:rsidRPr="00696324">
              <w:rPr>
                <w:noProof/>
                <w:sz w:val="12"/>
                <w:szCs w:val="12"/>
                <w:lang w:val="fr-BE"/>
              </w:rPr>
              <w:t>Całkowita kwota certyfikowanych wydatków kwalifikowalnych</w:t>
            </w:r>
          </w:p>
        </w:tc>
        <w:tc>
          <w:tcPr>
            <w:tcW w:w="0" w:type="auto"/>
          </w:tcPr>
          <w:p w14:paraId="34F937A0" w14:textId="77777777" w:rsidR="008C5CFA" w:rsidRPr="00696324" w:rsidRDefault="00E82A60" w:rsidP="00300A01">
            <w:pPr>
              <w:spacing w:before="0" w:after="0"/>
              <w:rPr>
                <w:sz w:val="12"/>
                <w:szCs w:val="12"/>
                <w:lang w:val="fr-BE"/>
              </w:rPr>
            </w:pPr>
            <w:r w:rsidRPr="00696324">
              <w:rPr>
                <w:noProof/>
                <w:sz w:val="12"/>
                <w:szCs w:val="12"/>
                <w:lang w:val="fr-BE"/>
              </w:rPr>
              <w:t>EUR</w:t>
            </w:r>
          </w:p>
        </w:tc>
        <w:tc>
          <w:tcPr>
            <w:tcW w:w="0" w:type="auto"/>
          </w:tcPr>
          <w:p w14:paraId="57D7D302" w14:textId="77777777" w:rsidR="008C5CFA" w:rsidRPr="00696324" w:rsidRDefault="00E82A60" w:rsidP="00300A01">
            <w:pPr>
              <w:spacing w:before="0" w:after="0"/>
              <w:rPr>
                <w:sz w:val="12"/>
                <w:szCs w:val="12"/>
                <w:lang w:val="fr-BE"/>
              </w:rPr>
            </w:pPr>
            <w:r w:rsidRPr="00D4605F">
              <w:rPr>
                <w:noProof/>
                <w:sz w:val="12"/>
                <w:szCs w:val="12"/>
                <w:lang w:val="fr-BE"/>
              </w:rPr>
              <w:t>EFRR</w:t>
            </w:r>
          </w:p>
        </w:tc>
        <w:tc>
          <w:tcPr>
            <w:tcW w:w="0" w:type="auto"/>
          </w:tcPr>
          <w:p w14:paraId="0DC6E46C" w14:textId="77777777" w:rsidR="008C5CFA" w:rsidRPr="00696324" w:rsidRDefault="00E82A60" w:rsidP="00300A01">
            <w:pPr>
              <w:spacing w:before="0" w:after="0"/>
              <w:rPr>
                <w:sz w:val="12"/>
                <w:szCs w:val="12"/>
                <w:lang w:val="fr-BE"/>
              </w:rPr>
            </w:pPr>
            <w:r w:rsidRPr="00D4605F">
              <w:rPr>
                <w:noProof/>
                <w:sz w:val="12"/>
                <w:szCs w:val="12"/>
                <w:lang w:val="fr-BE"/>
              </w:rPr>
              <w:t>Słabiej rozwinięte</w:t>
            </w:r>
          </w:p>
        </w:tc>
        <w:tc>
          <w:tcPr>
            <w:tcW w:w="0" w:type="auto"/>
          </w:tcPr>
          <w:p w14:paraId="2235BDE8" w14:textId="77777777" w:rsidR="008C5CFA" w:rsidRPr="00696324" w:rsidRDefault="00E82A60" w:rsidP="00136029">
            <w:pPr>
              <w:spacing w:before="0" w:after="0"/>
              <w:jc w:val="right"/>
              <w:rPr>
                <w:sz w:val="12"/>
                <w:szCs w:val="12"/>
                <w:lang w:val="fr-BE"/>
              </w:rPr>
            </w:pPr>
            <w:r w:rsidRPr="00696324">
              <w:rPr>
                <w:noProof/>
                <w:sz w:val="12"/>
                <w:szCs w:val="12"/>
                <w:lang w:val="fr-BE"/>
              </w:rPr>
              <w:t>0,00</w:t>
            </w:r>
          </w:p>
        </w:tc>
        <w:tc>
          <w:tcPr>
            <w:tcW w:w="0" w:type="auto"/>
          </w:tcPr>
          <w:p w14:paraId="02C32961" w14:textId="77777777" w:rsidR="008C5CFA" w:rsidRPr="00696324" w:rsidRDefault="00E82A60" w:rsidP="00136029">
            <w:pPr>
              <w:spacing w:before="0" w:after="0"/>
              <w:jc w:val="right"/>
              <w:rPr>
                <w:sz w:val="12"/>
                <w:szCs w:val="12"/>
                <w:lang w:val="fr-BE"/>
              </w:rPr>
            </w:pPr>
            <w:r w:rsidRPr="00696324">
              <w:rPr>
                <w:noProof/>
                <w:sz w:val="12"/>
                <w:szCs w:val="12"/>
                <w:lang w:val="fr-BE"/>
              </w:rPr>
              <w:t>0,00</w:t>
            </w:r>
          </w:p>
        </w:tc>
      </w:tr>
      <w:tr w:rsidR="006B2EC1" w14:paraId="256BBEEE" w14:textId="77777777" w:rsidTr="0047688D">
        <w:tc>
          <w:tcPr>
            <w:tcW w:w="0" w:type="auto"/>
            <w:shd w:val="clear" w:color="auto" w:fill="auto"/>
          </w:tcPr>
          <w:p w14:paraId="5498109F" w14:textId="77777777" w:rsidR="008C5CFA" w:rsidRPr="00696324" w:rsidRDefault="00E82A60" w:rsidP="00300A01">
            <w:pPr>
              <w:spacing w:before="0" w:after="0"/>
              <w:rPr>
                <w:sz w:val="12"/>
                <w:szCs w:val="12"/>
                <w:lang w:val="fr-BE"/>
              </w:rPr>
            </w:pPr>
            <w:r w:rsidRPr="00696324">
              <w:rPr>
                <w:noProof/>
                <w:sz w:val="12"/>
                <w:szCs w:val="12"/>
                <w:lang w:val="fr-BE"/>
              </w:rPr>
              <w:t>3</w:t>
            </w:r>
          </w:p>
        </w:tc>
        <w:tc>
          <w:tcPr>
            <w:tcW w:w="0" w:type="auto"/>
            <w:shd w:val="clear" w:color="auto" w:fill="auto"/>
          </w:tcPr>
          <w:p w14:paraId="68C28DB5" w14:textId="77777777" w:rsidR="008C5CFA" w:rsidRPr="00696324" w:rsidRDefault="00E82A60" w:rsidP="00300A01">
            <w:pPr>
              <w:spacing w:before="0" w:after="0"/>
              <w:rPr>
                <w:sz w:val="12"/>
                <w:szCs w:val="12"/>
                <w:lang w:val="fr-BE"/>
              </w:rPr>
            </w:pPr>
            <w:r w:rsidRPr="00696324">
              <w:rPr>
                <w:noProof/>
                <w:sz w:val="12"/>
                <w:szCs w:val="12"/>
                <w:lang w:val="fr-BE"/>
              </w:rPr>
              <w:t>O</w:t>
            </w:r>
          </w:p>
        </w:tc>
        <w:tc>
          <w:tcPr>
            <w:tcW w:w="0" w:type="auto"/>
          </w:tcPr>
          <w:p w14:paraId="0AC352D1" w14:textId="77777777" w:rsidR="008C5CFA" w:rsidRPr="00696324" w:rsidRDefault="00E82A60" w:rsidP="00300A01">
            <w:pPr>
              <w:spacing w:before="0" w:after="0"/>
              <w:rPr>
                <w:sz w:val="12"/>
                <w:szCs w:val="12"/>
                <w:lang w:val="fr-BE"/>
              </w:rPr>
            </w:pPr>
            <w:r w:rsidRPr="00696324">
              <w:rPr>
                <w:noProof/>
                <w:sz w:val="12"/>
                <w:szCs w:val="12"/>
                <w:lang w:val="fr-BE"/>
              </w:rPr>
              <w:t>27</w:t>
            </w:r>
          </w:p>
        </w:tc>
        <w:tc>
          <w:tcPr>
            <w:tcW w:w="0" w:type="auto"/>
          </w:tcPr>
          <w:p w14:paraId="024CCB49" w14:textId="77777777" w:rsidR="008C5CFA" w:rsidRPr="00696324" w:rsidRDefault="00E82A60" w:rsidP="00300A01">
            <w:pPr>
              <w:spacing w:before="0" w:after="0"/>
              <w:rPr>
                <w:sz w:val="12"/>
                <w:szCs w:val="12"/>
                <w:lang w:val="fr-BE"/>
              </w:rPr>
            </w:pPr>
            <w:r w:rsidRPr="00696324">
              <w:rPr>
                <w:noProof/>
                <w:sz w:val="12"/>
                <w:szCs w:val="12"/>
                <w:lang w:val="fr-BE"/>
              </w:rPr>
              <w:t>Liczba jednostek wytwarzania energii elektrycznej z OZE</w:t>
            </w:r>
          </w:p>
        </w:tc>
        <w:tc>
          <w:tcPr>
            <w:tcW w:w="0" w:type="auto"/>
          </w:tcPr>
          <w:p w14:paraId="571F5B34" w14:textId="77777777" w:rsidR="008C5CFA" w:rsidRPr="00696324" w:rsidRDefault="00E82A60" w:rsidP="00300A01">
            <w:pPr>
              <w:spacing w:before="0" w:after="0"/>
              <w:rPr>
                <w:sz w:val="12"/>
                <w:szCs w:val="12"/>
                <w:lang w:val="fr-BE"/>
              </w:rPr>
            </w:pPr>
            <w:r w:rsidRPr="00696324">
              <w:rPr>
                <w:noProof/>
                <w:sz w:val="12"/>
                <w:szCs w:val="12"/>
                <w:lang w:val="fr-BE"/>
              </w:rPr>
              <w:t>szt.</w:t>
            </w:r>
          </w:p>
        </w:tc>
        <w:tc>
          <w:tcPr>
            <w:tcW w:w="0" w:type="auto"/>
          </w:tcPr>
          <w:p w14:paraId="68FAAFC2" w14:textId="77777777" w:rsidR="008C5CFA" w:rsidRPr="00696324" w:rsidRDefault="00E82A60" w:rsidP="00300A01">
            <w:pPr>
              <w:spacing w:before="0" w:after="0"/>
              <w:rPr>
                <w:sz w:val="12"/>
                <w:szCs w:val="12"/>
                <w:lang w:val="fr-BE"/>
              </w:rPr>
            </w:pPr>
            <w:r w:rsidRPr="00D4605F">
              <w:rPr>
                <w:noProof/>
                <w:sz w:val="12"/>
                <w:szCs w:val="12"/>
                <w:lang w:val="fr-BE"/>
              </w:rPr>
              <w:t>EFRR</w:t>
            </w:r>
          </w:p>
        </w:tc>
        <w:tc>
          <w:tcPr>
            <w:tcW w:w="0" w:type="auto"/>
          </w:tcPr>
          <w:p w14:paraId="74359C76" w14:textId="77777777" w:rsidR="008C5CFA" w:rsidRPr="00696324" w:rsidRDefault="00E82A60" w:rsidP="00300A01">
            <w:pPr>
              <w:spacing w:before="0" w:after="0"/>
              <w:rPr>
                <w:sz w:val="12"/>
                <w:szCs w:val="12"/>
                <w:lang w:val="fr-BE"/>
              </w:rPr>
            </w:pPr>
            <w:r w:rsidRPr="00D4605F">
              <w:rPr>
                <w:noProof/>
                <w:sz w:val="12"/>
                <w:szCs w:val="12"/>
                <w:lang w:val="fr-BE"/>
              </w:rPr>
              <w:t>Słabiej rozwinięte</w:t>
            </w:r>
          </w:p>
        </w:tc>
        <w:tc>
          <w:tcPr>
            <w:tcW w:w="0" w:type="auto"/>
          </w:tcPr>
          <w:p w14:paraId="47C045CA" w14:textId="77777777" w:rsidR="008C5CFA" w:rsidRPr="00696324" w:rsidRDefault="00E82A60" w:rsidP="00136029">
            <w:pPr>
              <w:spacing w:before="0" w:after="0"/>
              <w:jc w:val="right"/>
              <w:rPr>
                <w:sz w:val="12"/>
                <w:szCs w:val="12"/>
                <w:lang w:val="fr-BE"/>
              </w:rPr>
            </w:pPr>
            <w:r w:rsidRPr="00696324">
              <w:rPr>
                <w:noProof/>
                <w:sz w:val="12"/>
                <w:szCs w:val="12"/>
                <w:lang w:val="fr-BE"/>
              </w:rPr>
              <w:t>0,00</w:t>
            </w:r>
          </w:p>
        </w:tc>
        <w:tc>
          <w:tcPr>
            <w:tcW w:w="0" w:type="auto"/>
          </w:tcPr>
          <w:p w14:paraId="36423804" w14:textId="77777777" w:rsidR="008C5CFA" w:rsidRPr="00696324" w:rsidRDefault="00E82A60" w:rsidP="00136029">
            <w:pPr>
              <w:spacing w:before="0" w:after="0"/>
              <w:jc w:val="right"/>
              <w:rPr>
                <w:sz w:val="12"/>
                <w:szCs w:val="12"/>
                <w:lang w:val="fr-BE"/>
              </w:rPr>
            </w:pPr>
            <w:r w:rsidRPr="00696324">
              <w:rPr>
                <w:noProof/>
                <w:sz w:val="12"/>
                <w:szCs w:val="12"/>
                <w:lang w:val="fr-BE"/>
              </w:rPr>
              <w:t>0,00</w:t>
            </w:r>
          </w:p>
        </w:tc>
      </w:tr>
      <w:tr w:rsidR="006B2EC1" w14:paraId="038AC96D" w14:textId="77777777" w:rsidTr="0047688D">
        <w:tc>
          <w:tcPr>
            <w:tcW w:w="0" w:type="auto"/>
            <w:shd w:val="clear" w:color="auto" w:fill="auto"/>
          </w:tcPr>
          <w:p w14:paraId="31888342" w14:textId="77777777" w:rsidR="008C5CFA" w:rsidRPr="00696324" w:rsidRDefault="00E82A60" w:rsidP="00300A01">
            <w:pPr>
              <w:spacing w:before="0" w:after="0"/>
              <w:rPr>
                <w:sz w:val="12"/>
                <w:szCs w:val="12"/>
                <w:lang w:val="fr-BE"/>
              </w:rPr>
            </w:pPr>
            <w:r w:rsidRPr="00696324">
              <w:rPr>
                <w:noProof/>
                <w:sz w:val="12"/>
                <w:szCs w:val="12"/>
                <w:lang w:val="fr-BE"/>
              </w:rPr>
              <w:t>3</w:t>
            </w:r>
          </w:p>
        </w:tc>
        <w:tc>
          <w:tcPr>
            <w:tcW w:w="0" w:type="auto"/>
            <w:shd w:val="clear" w:color="auto" w:fill="auto"/>
          </w:tcPr>
          <w:p w14:paraId="5D2049CD" w14:textId="77777777" w:rsidR="008C5CFA" w:rsidRPr="00696324" w:rsidRDefault="00E82A60" w:rsidP="00300A01">
            <w:pPr>
              <w:spacing w:before="0" w:after="0"/>
              <w:rPr>
                <w:sz w:val="12"/>
                <w:szCs w:val="12"/>
                <w:lang w:val="fr-BE"/>
              </w:rPr>
            </w:pPr>
            <w:r w:rsidRPr="00696324">
              <w:rPr>
                <w:noProof/>
                <w:sz w:val="12"/>
                <w:szCs w:val="12"/>
                <w:lang w:val="fr-BE"/>
              </w:rPr>
              <w:t>O</w:t>
            </w:r>
          </w:p>
        </w:tc>
        <w:tc>
          <w:tcPr>
            <w:tcW w:w="0" w:type="auto"/>
          </w:tcPr>
          <w:p w14:paraId="3ABC1A9C" w14:textId="77777777" w:rsidR="008C5CFA" w:rsidRPr="00696324" w:rsidRDefault="00E82A60" w:rsidP="00300A01">
            <w:pPr>
              <w:spacing w:before="0" w:after="0"/>
              <w:rPr>
                <w:sz w:val="12"/>
                <w:szCs w:val="12"/>
                <w:lang w:val="fr-BE"/>
              </w:rPr>
            </w:pPr>
            <w:r w:rsidRPr="00696324">
              <w:rPr>
                <w:noProof/>
                <w:sz w:val="12"/>
                <w:szCs w:val="12"/>
                <w:lang w:val="fr-BE"/>
              </w:rPr>
              <w:t>31</w:t>
            </w:r>
          </w:p>
        </w:tc>
        <w:tc>
          <w:tcPr>
            <w:tcW w:w="0" w:type="auto"/>
          </w:tcPr>
          <w:p w14:paraId="5D55A40B" w14:textId="77777777" w:rsidR="008C5CFA" w:rsidRPr="00696324" w:rsidRDefault="00E82A60" w:rsidP="00300A01">
            <w:pPr>
              <w:spacing w:before="0" w:after="0"/>
              <w:rPr>
                <w:sz w:val="12"/>
                <w:szCs w:val="12"/>
                <w:lang w:val="fr-BE"/>
              </w:rPr>
            </w:pPr>
            <w:r w:rsidRPr="00696324">
              <w:rPr>
                <w:noProof/>
                <w:sz w:val="12"/>
                <w:szCs w:val="12"/>
                <w:lang w:val="fr-BE"/>
              </w:rPr>
              <w:t>Liczba przedsiębiorstw, które w wyniku wsparcia poprawiły efektywność energetyczną</w:t>
            </w:r>
          </w:p>
        </w:tc>
        <w:tc>
          <w:tcPr>
            <w:tcW w:w="0" w:type="auto"/>
          </w:tcPr>
          <w:p w14:paraId="39831DE0" w14:textId="77777777" w:rsidR="008C5CFA" w:rsidRPr="00696324" w:rsidRDefault="00E82A60" w:rsidP="00300A01">
            <w:pPr>
              <w:spacing w:before="0" w:after="0"/>
              <w:rPr>
                <w:sz w:val="12"/>
                <w:szCs w:val="12"/>
                <w:lang w:val="fr-BE"/>
              </w:rPr>
            </w:pPr>
            <w:r w:rsidRPr="00696324">
              <w:rPr>
                <w:noProof/>
                <w:sz w:val="12"/>
                <w:szCs w:val="12"/>
                <w:lang w:val="fr-BE"/>
              </w:rPr>
              <w:t>szt.</w:t>
            </w:r>
          </w:p>
        </w:tc>
        <w:tc>
          <w:tcPr>
            <w:tcW w:w="0" w:type="auto"/>
          </w:tcPr>
          <w:p w14:paraId="761DF915" w14:textId="77777777" w:rsidR="008C5CFA" w:rsidRPr="00696324" w:rsidRDefault="00E82A60" w:rsidP="00300A01">
            <w:pPr>
              <w:spacing w:before="0" w:after="0"/>
              <w:rPr>
                <w:sz w:val="12"/>
                <w:szCs w:val="12"/>
                <w:lang w:val="fr-BE"/>
              </w:rPr>
            </w:pPr>
            <w:r w:rsidRPr="00D4605F">
              <w:rPr>
                <w:noProof/>
                <w:sz w:val="12"/>
                <w:szCs w:val="12"/>
                <w:lang w:val="fr-BE"/>
              </w:rPr>
              <w:t>EFRR</w:t>
            </w:r>
          </w:p>
        </w:tc>
        <w:tc>
          <w:tcPr>
            <w:tcW w:w="0" w:type="auto"/>
          </w:tcPr>
          <w:p w14:paraId="76E98B3E" w14:textId="77777777" w:rsidR="008C5CFA" w:rsidRPr="00696324" w:rsidRDefault="00E82A60" w:rsidP="00300A01">
            <w:pPr>
              <w:spacing w:before="0" w:after="0"/>
              <w:rPr>
                <w:sz w:val="12"/>
                <w:szCs w:val="12"/>
                <w:lang w:val="fr-BE"/>
              </w:rPr>
            </w:pPr>
            <w:r w:rsidRPr="00D4605F">
              <w:rPr>
                <w:noProof/>
                <w:sz w:val="12"/>
                <w:szCs w:val="12"/>
                <w:lang w:val="fr-BE"/>
              </w:rPr>
              <w:t>Słabiej rozwinięte</w:t>
            </w:r>
          </w:p>
        </w:tc>
        <w:tc>
          <w:tcPr>
            <w:tcW w:w="0" w:type="auto"/>
          </w:tcPr>
          <w:p w14:paraId="788FCA06" w14:textId="77777777" w:rsidR="008C5CFA" w:rsidRPr="00696324" w:rsidRDefault="00E82A60" w:rsidP="00136029">
            <w:pPr>
              <w:spacing w:before="0" w:after="0"/>
              <w:jc w:val="right"/>
              <w:rPr>
                <w:sz w:val="12"/>
                <w:szCs w:val="12"/>
                <w:lang w:val="fr-BE"/>
              </w:rPr>
            </w:pPr>
            <w:r w:rsidRPr="00696324">
              <w:rPr>
                <w:noProof/>
                <w:sz w:val="12"/>
                <w:szCs w:val="12"/>
                <w:lang w:val="fr-BE"/>
              </w:rPr>
              <w:t>0,00</w:t>
            </w:r>
          </w:p>
        </w:tc>
        <w:tc>
          <w:tcPr>
            <w:tcW w:w="0" w:type="auto"/>
          </w:tcPr>
          <w:p w14:paraId="3F4635CD" w14:textId="77777777" w:rsidR="008C5CFA" w:rsidRPr="00696324" w:rsidRDefault="00E82A60" w:rsidP="00136029">
            <w:pPr>
              <w:spacing w:before="0" w:after="0"/>
              <w:jc w:val="right"/>
              <w:rPr>
                <w:sz w:val="12"/>
                <w:szCs w:val="12"/>
                <w:lang w:val="fr-BE"/>
              </w:rPr>
            </w:pPr>
            <w:r w:rsidRPr="00696324">
              <w:rPr>
                <w:noProof/>
                <w:sz w:val="12"/>
                <w:szCs w:val="12"/>
                <w:lang w:val="fr-BE"/>
              </w:rPr>
              <w:t>0,00</w:t>
            </w:r>
          </w:p>
        </w:tc>
      </w:tr>
      <w:tr w:rsidR="006B2EC1" w14:paraId="4E536EEA" w14:textId="77777777" w:rsidTr="0047688D">
        <w:tc>
          <w:tcPr>
            <w:tcW w:w="0" w:type="auto"/>
            <w:shd w:val="clear" w:color="auto" w:fill="auto"/>
          </w:tcPr>
          <w:p w14:paraId="7E5E06CD" w14:textId="77777777" w:rsidR="008C5CFA" w:rsidRPr="00696324" w:rsidRDefault="00E82A60" w:rsidP="00300A01">
            <w:pPr>
              <w:spacing w:before="0" w:after="0"/>
              <w:rPr>
                <w:sz w:val="12"/>
                <w:szCs w:val="12"/>
                <w:lang w:val="fr-BE"/>
              </w:rPr>
            </w:pPr>
            <w:r w:rsidRPr="00696324">
              <w:rPr>
                <w:noProof/>
                <w:sz w:val="12"/>
                <w:szCs w:val="12"/>
                <w:lang w:val="fr-BE"/>
              </w:rPr>
              <w:t>3</w:t>
            </w:r>
          </w:p>
        </w:tc>
        <w:tc>
          <w:tcPr>
            <w:tcW w:w="0" w:type="auto"/>
            <w:shd w:val="clear" w:color="auto" w:fill="auto"/>
          </w:tcPr>
          <w:p w14:paraId="7837ED1E" w14:textId="77777777" w:rsidR="008C5CFA" w:rsidRPr="00696324" w:rsidRDefault="00E82A60" w:rsidP="00300A01">
            <w:pPr>
              <w:spacing w:before="0" w:after="0"/>
              <w:rPr>
                <w:sz w:val="12"/>
                <w:szCs w:val="12"/>
                <w:lang w:val="fr-BE"/>
              </w:rPr>
            </w:pPr>
            <w:r w:rsidRPr="00696324">
              <w:rPr>
                <w:noProof/>
                <w:sz w:val="12"/>
                <w:szCs w:val="12"/>
                <w:lang w:val="fr-BE"/>
              </w:rPr>
              <w:t>O</w:t>
            </w:r>
          </w:p>
        </w:tc>
        <w:tc>
          <w:tcPr>
            <w:tcW w:w="0" w:type="auto"/>
          </w:tcPr>
          <w:p w14:paraId="1490817A" w14:textId="77777777" w:rsidR="008C5CFA" w:rsidRPr="00696324" w:rsidRDefault="00E82A60" w:rsidP="00300A01">
            <w:pPr>
              <w:spacing w:before="0" w:after="0"/>
              <w:rPr>
                <w:sz w:val="12"/>
                <w:szCs w:val="12"/>
                <w:lang w:val="fr-BE"/>
              </w:rPr>
            </w:pPr>
            <w:r w:rsidRPr="00696324">
              <w:rPr>
                <w:noProof/>
                <w:sz w:val="12"/>
                <w:szCs w:val="12"/>
                <w:lang w:val="fr-BE"/>
              </w:rPr>
              <w:t>34</w:t>
            </w:r>
          </w:p>
        </w:tc>
        <w:tc>
          <w:tcPr>
            <w:tcW w:w="0" w:type="auto"/>
          </w:tcPr>
          <w:p w14:paraId="06C3D641" w14:textId="77777777" w:rsidR="008C5CFA" w:rsidRPr="00696324" w:rsidRDefault="00E82A60" w:rsidP="00300A01">
            <w:pPr>
              <w:spacing w:before="0" w:after="0"/>
              <w:rPr>
                <w:sz w:val="12"/>
                <w:szCs w:val="12"/>
                <w:lang w:val="fr-BE"/>
              </w:rPr>
            </w:pPr>
            <w:r w:rsidRPr="00696324">
              <w:rPr>
                <w:noProof/>
                <w:sz w:val="12"/>
                <w:szCs w:val="12"/>
                <w:lang w:val="fr-BE"/>
              </w:rPr>
              <w:t>Liczba zmodernizowanych energetycznie budynków</w:t>
            </w:r>
          </w:p>
        </w:tc>
        <w:tc>
          <w:tcPr>
            <w:tcW w:w="0" w:type="auto"/>
          </w:tcPr>
          <w:p w14:paraId="21FF202E" w14:textId="77777777" w:rsidR="008C5CFA" w:rsidRPr="00696324" w:rsidRDefault="00E82A60" w:rsidP="00300A01">
            <w:pPr>
              <w:spacing w:before="0" w:after="0"/>
              <w:rPr>
                <w:sz w:val="12"/>
                <w:szCs w:val="12"/>
                <w:lang w:val="fr-BE"/>
              </w:rPr>
            </w:pPr>
            <w:r w:rsidRPr="00696324">
              <w:rPr>
                <w:noProof/>
                <w:sz w:val="12"/>
                <w:szCs w:val="12"/>
                <w:lang w:val="fr-BE"/>
              </w:rPr>
              <w:t>szt.</w:t>
            </w:r>
          </w:p>
        </w:tc>
        <w:tc>
          <w:tcPr>
            <w:tcW w:w="0" w:type="auto"/>
          </w:tcPr>
          <w:p w14:paraId="538250C3" w14:textId="77777777" w:rsidR="008C5CFA" w:rsidRPr="00696324" w:rsidRDefault="00E82A60" w:rsidP="00300A01">
            <w:pPr>
              <w:spacing w:before="0" w:after="0"/>
              <w:rPr>
                <w:sz w:val="12"/>
                <w:szCs w:val="12"/>
                <w:lang w:val="fr-BE"/>
              </w:rPr>
            </w:pPr>
            <w:r w:rsidRPr="00D4605F">
              <w:rPr>
                <w:noProof/>
                <w:sz w:val="12"/>
                <w:szCs w:val="12"/>
                <w:lang w:val="fr-BE"/>
              </w:rPr>
              <w:t>EFRR</w:t>
            </w:r>
          </w:p>
        </w:tc>
        <w:tc>
          <w:tcPr>
            <w:tcW w:w="0" w:type="auto"/>
          </w:tcPr>
          <w:p w14:paraId="496130B1" w14:textId="77777777" w:rsidR="008C5CFA" w:rsidRPr="00696324" w:rsidRDefault="00E82A60" w:rsidP="00300A01">
            <w:pPr>
              <w:spacing w:before="0" w:after="0"/>
              <w:rPr>
                <w:sz w:val="12"/>
                <w:szCs w:val="12"/>
                <w:lang w:val="fr-BE"/>
              </w:rPr>
            </w:pPr>
            <w:r w:rsidRPr="00D4605F">
              <w:rPr>
                <w:noProof/>
                <w:sz w:val="12"/>
                <w:szCs w:val="12"/>
                <w:lang w:val="fr-BE"/>
              </w:rPr>
              <w:t>Słabiej rozwinięte</w:t>
            </w:r>
          </w:p>
        </w:tc>
        <w:tc>
          <w:tcPr>
            <w:tcW w:w="0" w:type="auto"/>
          </w:tcPr>
          <w:p w14:paraId="3095C6B3" w14:textId="77777777" w:rsidR="008C5CFA" w:rsidRPr="00696324" w:rsidRDefault="00E82A60" w:rsidP="00136029">
            <w:pPr>
              <w:spacing w:before="0" w:after="0"/>
              <w:jc w:val="right"/>
              <w:rPr>
                <w:sz w:val="12"/>
                <w:szCs w:val="12"/>
                <w:lang w:val="fr-BE"/>
              </w:rPr>
            </w:pPr>
            <w:r w:rsidRPr="00696324">
              <w:rPr>
                <w:noProof/>
                <w:sz w:val="12"/>
                <w:szCs w:val="12"/>
                <w:lang w:val="fr-BE"/>
              </w:rPr>
              <w:t>0,00</w:t>
            </w:r>
          </w:p>
        </w:tc>
        <w:tc>
          <w:tcPr>
            <w:tcW w:w="0" w:type="auto"/>
          </w:tcPr>
          <w:p w14:paraId="7CF4970B" w14:textId="77777777" w:rsidR="008C5CFA" w:rsidRPr="00696324" w:rsidRDefault="00E82A60" w:rsidP="00136029">
            <w:pPr>
              <w:spacing w:before="0" w:after="0"/>
              <w:jc w:val="right"/>
              <w:rPr>
                <w:sz w:val="12"/>
                <w:szCs w:val="12"/>
                <w:lang w:val="fr-BE"/>
              </w:rPr>
            </w:pPr>
            <w:r w:rsidRPr="00696324">
              <w:rPr>
                <w:noProof/>
                <w:sz w:val="12"/>
                <w:szCs w:val="12"/>
                <w:lang w:val="fr-BE"/>
              </w:rPr>
              <w:t>0,00</w:t>
            </w:r>
          </w:p>
        </w:tc>
      </w:tr>
      <w:tr w:rsidR="006B2EC1" w14:paraId="371F6C78" w14:textId="77777777" w:rsidTr="0047688D">
        <w:tc>
          <w:tcPr>
            <w:tcW w:w="0" w:type="auto"/>
            <w:shd w:val="clear" w:color="auto" w:fill="auto"/>
          </w:tcPr>
          <w:p w14:paraId="71D2F2D4" w14:textId="77777777" w:rsidR="008C5CFA" w:rsidRPr="00696324" w:rsidRDefault="00E82A60" w:rsidP="00300A01">
            <w:pPr>
              <w:spacing w:before="0" w:after="0"/>
              <w:rPr>
                <w:sz w:val="12"/>
                <w:szCs w:val="12"/>
                <w:lang w:val="fr-BE"/>
              </w:rPr>
            </w:pPr>
            <w:r w:rsidRPr="00696324">
              <w:rPr>
                <w:noProof/>
                <w:sz w:val="12"/>
                <w:szCs w:val="12"/>
                <w:lang w:val="fr-BE"/>
              </w:rPr>
              <w:t>4</w:t>
            </w:r>
          </w:p>
        </w:tc>
        <w:tc>
          <w:tcPr>
            <w:tcW w:w="0" w:type="auto"/>
            <w:shd w:val="clear" w:color="auto" w:fill="auto"/>
          </w:tcPr>
          <w:p w14:paraId="44BA9777" w14:textId="77777777" w:rsidR="008C5CFA" w:rsidRPr="00696324" w:rsidRDefault="00E82A60" w:rsidP="00300A01">
            <w:pPr>
              <w:spacing w:before="0" w:after="0"/>
              <w:rPr>
                <w:sz w:val="12"/>
                <w:szCs w:val="12"/>
                <w:lang w:val="fr-BE"/>
              </w:rPr>
            </w:pPr>
            <w:r w:rsidRPr="00696324">
              <w:rPr>
                <w:noProof/>
                <w:sz w:val="12"/>
                <w:szCs w:val="12"/>
                <w:lang w:val="fr-BE"/>
              </w:rPr>
              <w:t>F</w:t>
            </w:r>
          </w:p>
        </w:tc>
        <w:tc>
          <w:tcPr>
            <w:tcW w:w="0" w:type="auto"/>
          </w:tcPr>
          <w:p w14:paraId="45519229" w14:textId="77777777" w:rsidR="008C5CFA" w:rsidRPr="00696324" w:rsidRDefault="00E82A60" w:rsidP="00300A01">
            <w:pPr>
              <w:spacing w:before="0" w:after="0"/>
              <w:rPr>
                <w:sz w:val="12"/>
                <w:szCs w:val="12"/>
                <w:lang w:val="fr-BE"/>
              </w:rPr>
            </w:pPr>
            <w:r w:rsidRPr="00696324">
              <w:rPr>
                <w:noProof/>
                <w:sz w:val="12"/>
                <w:szCs w:val="12"/>
                <w:lang w:val="fr-BE"/>
              </w:rPr>
              <w:t>001</w:t>
            </w:r>
          </w:p>
        </w:tc>
        <w:tc>
          <w:tcPr>
            <w:tcW w:w="0" w:type="auto"/>
          </w:tcPr>
          <w:p w14:paraId="6561183E" w14:textId="77777777" w:rsidR="008C5CFA" w:rsidRPr="00696324" w:rsidRDefault="00E82A60" w:rsidP="00300A01">
            <w:pPr>
              <w:spacing w:before="0" w:after="0"/>
              <w:rPr>
                <w:sz w:val="12"/>
                <w:szCs w:val="12"/>
                <w:lang w:val="fr-BE"/>
              </w:rPr>
            </w:pPr>
            <w:r w:rsidRPr="00696324">
              <w:rPr>
                <w:noProof/>
                <w:sz w:val="12"/>
                <w:szCs w:val="12"/>
                <w:lang w:val="fr-BE"/>
              </w:rPr>
              <w:t>Całkowita kwota certyfikowanych wydatków kwalifikowalnych</w:t>
            </w:r>
          </w:p>
        </w:tc>
        <w:tc>
          <w:tcPr>
            <w:tcW w:w="0" w:type="auto"/>
          </w:tcPr>
          <w:p w14:paraId="58EBEB32" w14:textId="77777777" w:rsidR="008C5CFA" w:rsidRPr="00696324" w:rsidRDefault="00E82A60" w:rsidP="00300A01">
            <w:pPr>
              <w:spacing w:before="0" w:after="0"/>
              <w:rPr>
                <w:sz w:val="12"/>
                <w:szCs w:val="12"/>
                <w:lang w:val="fr-BE"/>
              </w:rPr>
            </w:pPr>
            <w:r w:rsidRPr="00696324">
              <w:rPr>
                <w:noProof/>
                <w:sz w:val="12"/>
                <w:szCs w:val="12"/>
                <w:lang w:val="fr-BE"/>
              </w:rPr>
              <w:t>EUR</w:t>
            </w:r>
          </w:p>
        </w:tc>
        <w:tc>
          <w:tcPr>
            <w:tcW w:w="0" w:type="auto"/>
          </w:tcPr>
          <w:p w14:paraId="6DAAD3D9" w14:textId="77777777" w:rsidR="008C5CFA" w:rsidRPr="00696324" w:rsidRDefault="00E82A60" w:rsidP="00300A01">
            <w:pPr>
              <w:spacing w:before="0" w:after="0"/>
              <w:rPr>
                <w:sz w:val="12"/>
                <w:szCs w:val="12"/>
                <w:lang w:val="fr-BE"/>
              </w:rPr>
            </w:pPr>
            <w:r w:rsidRPr="00D4605F">
              <w:rPr>
                <w:noProof/>
                <w:sz w:val="12"/>
                <w:szCs w:val="12"/>
                <w:lang w:val="fr-BE"/>
              </w:rPr>
              <w:t>EFRR</w:t>
            </w:r>
          </w:p>
        </w:tc>
        <w:tc>
          <w:tcPr>
            <w:tcW w:w="0" w:type="auto"/>
          </w:tcPr>
          <w:p w14:paraId="4D8E213F" w14:textId="77777777" w:rsidR="008C5CFA" w:rsidRPr="00696324" w:rsidRDefault="00E82A60" w:rsidP="00300A01">
            <w:pPr>
              <w:spacing w:before="0" w:after="0"/>
              <w:rPr>
                <w:sz w:val="12"/>
                <w:szCs w:val="12"/>
                <w:lang w:val="fr-BE"/>
              </w:rPr>
            </w:pPr>
            <w:r w:rsidRPr="00D4605F">
              <w:rPr>
                <w:noProof/>
                <w:sz w:val="12"/>
                <w:szCs w:val="12"/>
                <w:lang w:val="fr-BE"/>
              </w:rPr>
              <w:t>Słabiej rozwinięte</w:t>
            </w:r>
          </w:p>
        </w:tc>
        <w:tc>
          <w:tcPr>
            <w:tcW w:w="0" w:type="auto"/>
          </w:tcPr>
          <w:p w14:paraId="609E39A3" w14:textId="77777777" w:rsidR="008C5CFA" w:rsidRPr="00696324" w:rsidRDefault="00E82A60" w:rsidP="00136029">
            <w:pPr>
              <w:spacing w:before="0" w:after="0"/>
              <w:jc w:val="right"/>
              <w:rPr>
                <w:sz w:val="12"/>
                <w:szCs w:val="12"/>
                <w:lang w:val="fr-BE"/>
              </w:rPr>
            </w:pPr>
            <w:r w:rsidRPr="00696324">
              <w:rPr>
                <w:noProof/>
                <w:sz w:val="12"/>
                <w:szCs w:val="12"/>
                <w:lang w:val="fr-BE"/>
              </w:rPr>
              <w:t>0,00</w:t>
            </w:r>
          </w:p>
        </w:tc>
        <w:tc>
          <w:tcPr>
            <w:tcW w:w="0" w:type="auto"/>
          </w:tcPr>
          <w:p w14:paraId="3116148F" w14:textId="77777777" w:rsidR="008C5CFA" w:rsidRPr="00696324" w:rsidRDefault="00E82A60" w:rsidP="00136029">
            <w:pPr>
              <w:spacing w:before="0" w:after="0"/>
              <w:jc w:val="right"/>
              <w:rPr>
                <w:sz w:val="12"/>
                <w:szCs w:val="12"/>
                <w:lang w:val="fr-BE"/>
              </w:rPr>
            </w:pPr>
            <w:r w:rsidRPr="00696324">
              <w:rPr>
                <w:noProof/>
                <w:sz w:val="12"/>
                <w:szCs w:val="12"/>
                <w:lang w:val="fr-BE"/>
              </w:rPr>
              <w:t>0,00</w:t>
            </w:r>
          </w:p>
        </w:tc>
      </w:tr>
      <w:tr w:rsidR="006B2EC1" w14:paraId="4E5D0A1F" w14:textId="77777777" w:rsidTr="0047688D">
        <w:tc>
          <w:tcPr>
            <w:tcW w:w="0" w:type="auto"/>
            <w:shd w:val="clear" w:color="auto" w:fill="auto"/>
          </w:tcPr>
          <w:p w14:paraId="4B910C1D" w14:textId="77777777" w:rsidR="008C5CFA" w:rsidRPr="00696324" w:rsidRDefault="00E82A60" w:rsidP="00300A01">
            <w:pPr>
              <w:spacing w:before="0" w:after="0"/>
              <w:rPr>
                <w:sz w:val="12"/>
                <w:szCs w:val="12"/>
                <w:lang w:val="fr-BE"/>
              </w:rPr>
            </w:pPr>
            <w:r w:rsidRPr="00696324">
              <w:rPr>
                <w:noProof/>
                <w:sz w:val="12"/>
                <w:szCs w:val="12"/>
                <w:lang w:val="fr-BE"/>
              </w:rPr>
              <w:t>4</w:t>
            </w:r>
          </w:p>
        </w:tc>
        <w:tc>
          <w:tcPr>
            <w:tcW w:w="0" w:type="auto"/>
            <w:shd w:val="clear" w:color="auto" w:fill="auto"/>
          </w:tcPr>
          <w:p w14:paraId="168A8A2E" w14:textId="77777777" w:rsidR="008C5CFA" w:rsidRPr="00696324" w:rsidRDefault="00E82A60" w:rsidP="00300A01">
            <w:pPr>
              <w:spacing w:before="0" w:after="0"/>
              <w:rPr>
                <w:sz w:val="12"/>
                <w:szCs w:val="12"/>
                <w:lang w:val="fr-BE"/>
              </w:rPr>
            </w:pPr>
            <w:r w:rsidRPr="00696324">
              <w:rPr>
                <w:noProof/>
                <w:sz w:val="12"/>
                <w:szCs w:val="12"/>
                <w:lang w:val="fr-BE"/>
              </w:rPr>
              <w:t>O</w:t>
            </w:r>
          </w:p>
        </w:tc>
        <w:tc>
          <w:tcPr>
            <w:tcW w:w="0" w:type="auto"/>
          </w:tcPr>
          <w:p w14:paraId="5BE3D1CA" w14:textId="77777777" w:rsidR="008C5CFA" w:rsidRPr="00696324" w:rsidRDefault="00E82A60" w:rsidP="00300A01">
            <w:pPr>
              <w:spacing w:before="0" w:after="0"/>
              <w:rPr>
                <w:sz w:val="12"/>
                <w:szCs w:val="12"/>
                <w:lang w:val="fr-BE"/>
              </w:rPr>
            </w:pPr>
            <w:r w:rsidRPr="00696324">
              <w:rPr>
                <w:noProof/>
                <w:sz w:val="12"/>
                <w:szCs w:val="12"/>
                <w:lang w:val="fr-BE"/>
              </w:rPr>
              <w:t>47</w:t>
            </w:r>
          </w:p>
        </w:tc>
        <w:tc>
          <w:tcPr>
            <w:tcW w:w="0" w:type="auto"/>
          </w:tcPr>
          <w:p w14:paraId="4DF40C5F" w14:textId="77777777" w:rsidR="008C5CFA" w:rsidRPr="00696324" w:rsidRDefault="00E82A60" w:rsidP="00300A01">
            <w:pPr>
              <w:spacing w:before="0" w:after="0"/>
              <w:rPr>
                <w:sz w:val="12"/>
                <w:szCs w:val="12"/>
                <w:lang w:val="fr-BE"/>
              </w:rPr>
            </w:pPr>
            <w:r w:rsidRPr="00696324">
              <w:rPr>
                <w:noProof/>
                <w:sz w:val="12"/>
                <w:szCs w:val="12"/>
                <w:lang w:val="fr-BE"/>
              </w:rPr>
              <w:t>Liczba jednostek służb ratowniczych doposażonych  w sprzęt do prowadzenia akcji ratowniczych  i usuwania skutków katastrof</w:t>
            </w:r>
          </w:p>
        </w:tc>
        <w:tc>
          <w:tcPr>
            <w:tcW w:w="0" w:type="auto"/>
          </w:tcPr>
          <w:p w14:paraId="268B781F" w14:textId="77777777" w:rsidR="008C5CFA" w:rsidRPr="00696324" w:rsidRDefault="00E82A60" w:rsidP="00300A01">
            <w:pPr>
              <w:spacing w:before="0" w:after="0"/>
              <w:rPr>
                <w:sz w:val="12"/>
                <w:szCs w:val="12"/>
                <w:lang w:val="fr-BE"/>
              </w:rPr>
            </w:pPr>
            <w:r w:rsidRPr="00696324">
              <w:rPr>
                <w:noProof/>
                <w:sz w:val="12"/>
                <w:szCs w:val="12"/>
                <w:lang w:val="fr-BE"/>
              </w:rPr>
              <w:t>szt.</w:t>
            </w:r>
          </w:p>
        </w:tc>
        <w:tc>
          <w:tcPr>
            <w:tcW w:w="0" w:type="auto"/>
          </w:tcPr>
          <w:p w14:paraId="4F8C0E69" w14:textId="77777777" w:rsidR="008C5CFA" w:rsidRPr="00696324" w:rsidRDefault="00E82A60" w:rsidP="00300A01">
            <w:pPr>
              <w:spacing w:before="0" w:after="0"/>
              <w:rPr>
                <w:sz w:val="12"/>
                <w:szCs w:val="12"/>
                <w:lang w:val="fr-BE"/>
              </w:rPr>
            </w:pPr>
            <w:r w:rsidRPr="00D4605F">
              <w:rPr>
                <w:noProof/>
                <w:sz w:val="12"/>
                <w:szCs w:val="12"/>
                <w:lang w:val="fr-BE"/>
              </w:rPr>
              <w:t>EFRR</w:t>
            </w:r>
          </w:p>
        </w:tc>
        <w:tc>
          <w:tcPr>
            <w:tcW w:w="0" w:type="auto"/>
          </w:tcPr>
          <w:p w14:paraId="4B11A11E" w14:textId="77777777" w:rsidR="008C5CFA" w:rsidRPr="00696324" w:rsidRDefault="00E82A60" w:rsidP="00300A01">
            <w:pPr>
              <w:spacing w:before="0" w:after="0"/>
              <w:rPr>
                <w:sz w:val="12"/>
                <w:szCs w:val="12"/>
                <w:lang w:val="fr-BE"/>
              </w:rPr>
            </w:pPr>
            <w:r w:rsidRPr="00D4605F">
              <w:rPr>
                <w:noProof/>
                <w:sz w:val="12"/>
                <w:szCs w:val="12"/>
                <w:lang w:val="fr-BE"/>
              </w:rPr>
              <w:t>Słabiej rozwinięte</w:t>
            </w:r>
          </w:p>
        </w:tc>
        <w:tc>
          <w:tcPr>
            <w:tcW w:w="0" w:type="auto"/>
          </w:tcPr>
          <w:p w14:paraId="7E5EE6F8" w14:textId="77777777" w:rsidR="008C5CFA" w:rsidRPr="00696324" w:rsidRDefault="00E82A60" w:rsidP="00136029">
            <w:pPr>
              <w:spacing w:before="0" w:after="0"/>
              <w:jc w:val="right"/>
              <w:rPr>
                <w:sz w:val="12"/>
                <w:szCs w:val="12"/>
                <w:lang w:val="fr-BE"/>
              </w:rPr>
            </w:pPr>
            <w:r w:rsidRPr="00696324">
              <w:rPr>
                <w:noProof/>
                <w:sz w:val="12"/>
                <w:szCs w:val="12"/>
                <w:lang w:val="fr-BE"/>
              </w:rPr>
              <w:t>0,00</w:t>
            </w:r>
          </w:p>
        </w:tc>
        <w:tc>
          <w:tcPr>
            <w:tcW w:w="0" w:type="auto"/>
          </w:tcPr>
          <w:p w14:paraId="19CFA797" w14:textId="77777777" w:rsidR="008C5CFA" w:rsidRPr="00696324" w:rsidRDefault="00E82A60" w:rsidP="00136029">
            <w:pPr>
              <w:spacing w:before="0" w:after="0"/>
              <w:jc w:val="right"/>
              <w:rPr>
                <w:sz w:val="12"/>
                <w:szCs w:val="12"/>
                <w:lang w:val="fr-BE"/>
              </w:rPr>
            </w:pPr>
            <w:r w:rsidRPr="00696324">
              <w:rPr>
                <w:noProof/>
                <w:sz w:val="12"/>
                <w:szCs w:val="12"/>
                <w:lang w:val="fr-BE"/>
              </w:rPr>
              <w:t>0,00</w:t>
            </w:r>
          </w:p>
        </w:tc>
      </w:tr>
      <w:tr w:rsidR="006B2EC1" w14:paraId="333D509D" w14:textId="77777777" w:rsidTr="0047688D">
        <w:tc>
          <w:tcPr>
            <w:tcW w:w="0" w:type="auto"/>
            <w:shd w:val="clear" w:color="auto" w:fill="auto"/>
          </w:tcPr>
          <w:p w14:paraId="625A1EED" w14:textId="77777777" w:rsidR="008C5CFA" w:rsidRPr="00696324" w:rsidRDefault="00E82A60" w:rsidP="00300A01">
            <w:pPr>
              <w:spacing w:before="0" w:after="0"/>
              <w:rPr>
                <w:sz w:val="12"/>
                <w:szCs w:val="12"/>
                <w:lang w:val="fr-BE"/>
              </w:rPr>
            </w:pPr>
            <w:r w:rsidRPr="00696324">
              <w:rPr>
                <w:noProof/>
                <w:sz w:val="12"/>
                <w:szCs w:val="12"/>
                <w:lang w:val="fr-BE"/>
              </w:rPr>
              <w:t>4</w:t>
            </w:r>
          </w:p>
        </w:tc>
        <w:tc>
          <w:tcPr>
            <w:tcW w:w="0" w:type="auto"/>
            <w:shd w:val="clear" w:color="auto" w:fill="auto"/>
          </w:tcPr>
          <w:p w14:paraId="366157DE" w14:textId="77777777" w:rsidR="008C5CFA" w:rsidRPr="00696324" w:rsidRDefault="00E82A60" w:rsidP="00300A01">
            <w:pPr>
              <w:spacing w:before="0" w:after="0"/>
              <w:rPr>
                <w:sz w:val="12"/>
                <w:szCs w:val="12"/>
                <w:lang w:val="fr-BE"/>
              </w:rPr>
            </w:pPr>
            <w:r w:rsidRPr="00696324">
              <w:rPr>
                <w:noProof/>
                <w:sz w:val="12"/>
                <w:szCs w:val="12"/>
                <w:lang w:val="fr-BE"/>
              </w:rPr>
              <w:t>O</w:t>
            </w:r>
          </w:p>
        </w:tc>
        <w:tc>
          <w:tcPr>
            <w:tcW w:w="0" w:type="auto"/>
          </w:tcPr>
          <w:p w14:paraId="4F74BD75" w14:textId="77777777" w:rsidR="008C5CFA" w:rsidRPr="00696324" w:rsidRDefault="00E82A60" w:rsidP="00300A01">
            <w:pPr>
              <w:spacing w:before="0" w:after="0"/>
              <w:rPr>
                <w:sz w:val="12"/>
                <w:szCs w:val="12"/>
                <w:lang w:val="fr-BE"/>
              </w:rPr>
            </w:pPr>
            <w:r w:rsidRPr="00696324">
              <w:rPr>
                <w:noProof/>
                <w:sz w:val="12"/>
                <w:szCs w:val="12"/>
                <w:lang w:val="fr-BE"/>
              </w:rPr>
              <w:t>56</w:t>
            </w:r>
          </w:p>
        </w:tc>
        <w:tc>
          <w:tcPr>
            <w:tcW w:w="0" w:type="auto"/>
          </w:tcPr>
          <w:p w14:paraId="4C951B3A" w14:textId="77777777" w:rsidR="008C5CFA" w:rsidRPr="00696324" w:rsidRDefault="00E82A60" w:rsidP="00300A01">
            <w:pPr>
              <w:spacing w:before="0" w:after="0"/>
              <w:rPr>
                <w:sz w:val="12"/>
                <w:szCs w:val="12"/>
                <w:lang w:val="fr-BE"/>
              </w:rPr>
            </w:pPr>
            <w:r w:rsidRPr="00696324">
              <w:rPr>
                <w:noProof/>
                <w:sz w:val="12"/>
                <w:szCs w:val="12"/>
                <w:lang w:val="fr-BE"/>
              </w:rPr>
              <w:t>Długość wybudowanej kanalizacji sanitarnej</w:t>
            </w:r>
          </w:p>
        </w:tc>
        <w:tc>
          <w:tcPr>
            <w:tcW w:w="0" w:type="auto"/>
          </w:tcPr>
          <w:p w14:paraId="0F42653A" w14:textId="77777777" w:rsidR="008C5CFA" w:rsidRPr="00696324" w:rsidRDefault="00E82A60" w:rsidP="00300A01">
            <w:pPr>
              <w:spacing w:before="0" w:after="0"/>
              <w:rPr>
                <w:sz w:val="12"/>
                <w:szCs w:val="12"/>
                <w:lang w:val="fr-BE"/>
              </w:rPr>
            </w:pPr>
            <w:r w:rsidRPr="00696324">
              <w:rPr>
                <w:noProof/>
                <w:sz w:val="12"/>
                <w:szCs w:val="12"/>
                <w:lang w:val="fr-BE"/>
              </w:rPr>
              <w:t>km</w:t>
            </w:r>
          </w:p>
        </w:tc>
        <w:tc>
          <w:tcPr>
            <w:tcW w:w="0" w:type="auto"/>
          </w:tcPr>
          <w:p w14:paraId="01321DCB" w14:textId="77777777" w:rsidR="008C5CFA" w:rsidRPr="00696324" w:rsidRDefault="00E82A60" w:rsidP="00300A01">
            <w:pPr>
              <w:spacing w:before="0" w:after="0"/>
              <w:rPr>
                <w:sz w:val="12"/>
                <w:szCs w:val="12"/>
                <w:lang w:val="fr-BE"/>
              </w:rPr>
            </w:pPr>
            <w:r w:rsidRPr="00D4605F">
              <w:rPr>
                <w:noProof/>
                <w:sz w:val="12"/>
                <w:szCs w:val="12"/>
                <w:lang w:val="fr-BE"/>
              </w:rPr>
              <w:t>EFRR</w:t>
            </w:r>
          </w:p>
        </w:tc>
        <w:tc>
          <w:tcPr>
            <w:tcW w:w="0" w:type="auto"/>
          </w:tcPr>
          <w:p w14:paraId="7AAD9F4D" w14:textId="77777777" w:rsidR="008C5CFA" w:rsidRPr="00696324" w:rsidRDefault="00E82A60" w:rsidP="00300A01">
            <w:pPr>
              <w:spacing w:before="0" w:after="0"/>
              <w:rPr>
                <w:sz w:val="12"/>
                <w:szCs w:val="12"/>
                <w:lang w:val="fr-BE"/>
              </w:rPr>
            </w:pPr>
            <w:r w:rsidRPr="00D4605F">
              <w:rPr>
                <w:noProof/>
                <w:sz w:val="12"/>
                <w:szCs w:val="12"/>
                <w:lang w:val="fr-BE"/>
              </w:rPr>
              <w:t>Słabiej rozwinięte</w:t>
            </w:r>
          </w:p>
        </w:tc>
        <w:tc>
          <w:tcPr>
            <w:tcW w:w="0" w:type="auto"/>
          </w:tcPr>
          <w:p w14:paraId="71C553C4" w14:textId="77777777" w:rsidR="008C5CFA" w:rsidRPr="00696324" w:rsidRDefault="00E82A60" w:rsidP="00136029">
            <w:pPr>
              <w:spacing w:before="0" w:after="0"/>
              <w:jc w:val="right"/>
              <w:rPr>
                <w:sz w:val="12"/>
                <w:szCs w:val="12"/>
                <w:lang w:val="fr-BE"/>
              </w:rPr>
            </w:pPr>
            <w:r w:rsidRPr="00696324">
              <w:rPr>
                <w:noProof/>
                <w:sz w:val="12"/>
                <w:szCs w:val="12"/>
                <w:lang w:val="fr-BE"/>
              </w:rPr>
              <w:t>0,00</w:t>
            </w:r>
          </w:p>
        </w:tc>
        <w:tc>
          <w:tcPr>
            <w:tcW w:w="0" w:type="auto"/>
          </w:tcPr>
          <w:p w14:paraId="3A2B8941" w14:textId="77777777" w:rsidR="008C5CFA" w:rsidRPr="00696324" w:rsidRDefault="00E82A60" w:rsidP="00136029">
            <w:pPr>
              <w:spacing w:before="0" w:after="0"/>
              <w:jc w:val="right"/>
              <w:rPr>
                <w:sz w:val="12"/>
                <w:szCs w:val="12"/>
                <w:lang w:val="fr-BE"/>
              </w:rPr>
            </w:pPr>
            <w:r w:rsidRPr="00696324">
              <w:rPr>
                <w:noProof/>
                <w:sz w:val="12"/>
                <w:szCs w:val="12"/>
                <w:lang w:val="fr-BE"/>
              </w:rPr>
              <w:t>0,00</w:t>
            </w:r>
          </w:p>
        </w:tc>
      </w:tr>
      <w:tr w:rsidR="006B2EC1" w14:paraId="42117363" w14:textId="77777777" w:rsidTr="0047688D">
        <w:tc>
          <w:tcPr>
            <w:tcW w:w="0" w:type="auto"/>
            <w:shd w:val="clear" w:color="auto" w:fill="auto"/>
          </w:tcPr>
          <w:p w14:paraId="524A743F" w14:textId="77777777" w:rsidR="008C5CFA" w:rsidRPr="00696324" w:rsidRDefault="00E82A60" w:rsidP="00300A01">
            <w:pPr>
              <w:spacing w:before="0" w:after="0"/>
              <w:rPr>
                <w:sz w:val="12"/>
                <w:szCs w:val="12"/>
                <w:lang w:val="fr-BE"/>
              </w:rPr>
            </w:pPr>
            <w:r w:rsidRPr="00696324">
              <w:rPr>
                <w:noProof/>
                <w:sz w:val="12"/>
                <w:szCs w:val="12"/>
                <w:lang w:val="fr-BE"/>
              </w:rPr>
              <w:t>4</w:t>
            </w:r>
          </w:p>
        </w:tc>
        <w:tc>
          <w:tcPr>
            <w:tcW w:w="0" w:type="auto"/>
            <w:shd w:val="clear" w:color="auto" w:fill="auto"/>
          </w:tcPr>
          <w:p w14:paraId="0D5A6D3B" w14:textId="77777777" w:rsidR="008C5CFA" w:rsidRPr="00696324" w:rsidRDefault="00E82A60" w:rsidP="00300A01">
            <w:pPr>
              <w:spacing w:before="0" w:after="0"/>
              <w:rPr>
                <w:sz w:val="12"/>
                <w:szCs w:val="12"/>
                <w:lang w:val="fr-BE"/>
              </w:rPr>
            </w:pPr>
            <w:r w:rsidRPr="00696324">
              <w:rPr>
                <w:noProof/>
                <w:sz w:val="12"/>
                <w:szCs w:val="12"/>
                <w:lang w:val="fr-BE"/>
              </w:rPr>
              <w:t>O</w:t>
            </w:r>
          </w:p>
        </w:tc>
        <w:tc>
          <w:tcPr>
            <w:tcW w:w="0" w:type="auto"/>
          </w:tcPr>
          <w:p w14:paraId="611D29D4" w14:textId="77777777" w:rsidR="008C5CFA" w:rsidRPr="00696324" w:rsidRDefault="00E82A60" w:rsidP="00300A01">
            <w:pPr>
              <w:spacing w:before="0" w:after="0"/>
              <w:rPr>
                <w:sz w:val="12"/>
                <w:szCs w:val="12"/>
                <w:lang w:val="fr-BE"/>
              </w:rPr>
            </w:pPr>
            <w:r w:rsidRPr="00696324">
              <w:rPr>
                <w:noProof/>
                <w:sz w:val="12"/>
                <w:szCs w:val="12"/>
                <w:lang w:val="fr-BE"/>
              </w:rPr>
              <w:t>70</w:t>
            </w:r>
          </w:p>
        </w:tc>
        <w:tc>
          <w:tcPr>
            <w:tcW w:w="0" w:type="auto"/>
          </w:tcPr>
          <w:p w14:paraId="36DA891A" w14:textId="77777777" w:rsidR="008C5CFA" w:rsidRPr="00696324" w:rsidRDefault="00E82A60" w:rsidP="00300A01">
            <w:pPr>
              <w:spacing w:before="0" w:after="0"/>
              <w:rPr>
                <w:sz w:val="12"/>
                <w:szCs w:val="12"/>
                <w:lang w:val="fr-BE"/>
              </w:rPr>
            </w:pPr>
            <w:r w:rsidRPr="00696324">
              <w:rPr>
                <w:noProof/>
                <w:sz w:val="12"/>
                <w:szCs w:val="12"/>
                <w:lang w:val="fr-BE"/>
              </w:rPr>
              <w:t>Liczba zabytków nieruchomych i instytucji kultury objętych wsparciem</w:t>
            </w:r>
          </w:p>
        </w:tc>
        <w:tc>
          <w:tcPr>
            <w:tcW w:w="0" w:type="auto"/>
          </w:tcPr>
          <w:p w14:paraId="78CA712D" w14:textId="77777777" w:rsidR="008C5CFA" w:rsidRPr="00696324" w:rsidRDefault="00E82A60" w:rsidP="00300A01">
            <w:pPr>
              <w:spacing w:before="0" w:after="0"/>
              <w:rPr>
                <w:sz w:val="12"/>
                <w:szCs w:val="12"/>
                <w:lang w:val="fr-BE"/>
              </w:rPr>
            </w:pPr>
            <w:r w:rsidRPr="00696324">
              <w:rPr>
                <w:noProof/>
                <w:sz w:val="12"/>
                <w:szCs w:val="12"/>
                <w:lang w:val="fr-BE"/>
              </w:rPr>
              <w:t>szt.</w:t>
            </w:r>
          </w:p>
        </w:tc>
        <w:tc>
          <w:tcPr>
            <w:tcW w:w="0" w:type="auto"/>
          </w:tcPr>
          <w:p w14:paraId="0964B72C" w14:textId="77777777" w:rsidR="008C5CFA" w:rsidRPr="00696324" w:rsidRDefault="00E82A60" w:rsidP="00300A01">
            <w:pPr>
              <w:spacing w:before="0" w:after="0"/>
              <w:rPr>
                <w:sz w:val="12"/>
                <w:szCs w:val="12"/>
                <w:lang w:val="fr-BE"/>
              </w:rPr>
            </w:pPr>
            <w:r w:rsidRPr="00D4605F">
              <w:rPr>
                <w:noProof/>
                <w:sz w:val="12"/>
                <w:szCs w:val="12"/>
                <w:lang w:val="fr-BE"/>
              </w:rPr>
              <w:t>EFRR</w:t>
            </w:r>
          </w:p>
        </w:tc>
        <w:tc>
          <w:tcPr>
            <w:tcW w:w="0" w:type="auto"/>
          </w:tcPr>
          <w:p w14:paraId="77D3D525" w14:textId="77777777" w:rsidR="008C5CFA" w:rsidRPr="00696324" w:rsidRDefault="00E82A60" w:rsidP="00300A01">
            <w:pPr>
              <w:spacing w:before="0" w:after="0"/>
              <w:rPr>
                <w:sz w:val="12"/>
                <w:szCs w:val="12"/>
                <w:lang w:val="fr-BE"/>
              </w:rPr>
            </w:pPr>
            <w:r w:rsidRPr="00D4605F">
              <w:rPr>
                <w:noProof/>
                <w:sz w:val="12"/>
                <w:szCs w:val="12"/>
                <w:lang w:val="fr-BE"/>
              </w:rPr>
              <w:t>Słabiej rozwinięte</w:t>
            </w:r>
          </w:p>
        </w:tc>
        <w:tc>
          <w:tcPr>
            <w:tcW w:w="0" w:type="auto"/>
          </w:tcPr>
          <w:p w14:paraId="14A4D532" w14:textId="77777777" w:rsidR="008C5CFA" w:rsidRPr="00696324" w:rsidRDefault="00E82A60" w:rsidP="00136029">
            <w:pPr>
              <w:spacing w:before="0" w:after="0"/>
              <w:jc w:val="right"/>
              <w:rPr>
                <w:sz w:val="12"/>
                <w:szCs w:val="12"/>
                <w:lang w:val="fr-BE"/>
              </w:rPr>
            </w:pPr>
            <w:r w:rsidRPr="00696324">
              <w:rPr>
                <w:noProof/>
                <w:sz w:val="12"/>
                <w:szCs w:val="12"/>
                <w:lang w:val="fr-BE"/>
              </w:rPr>
              <w:t>0,00</w:t>
            </w:r>
          </w:p>
        </w:tc>
        <w:tc>
          <w:tcPr>
            <w:tcW w:w="0" w:type="auto"/>
          </w:tcPr>
          <w:p w14:paraId="1293903F" w14:textId="77777777" w:rsidR="008C5CFA" w:rsidRPr="00696324" w:rsidRDefault="00E82A60" w:rsidP="00136029">
            <w:pPr>
              <w:spacing w:before="0" w:after="0"/>
              <w:jc w:val="right"/>
              <w:rPr>
                <w:sz w:val="12"/>
                <w:szCs w:val="12"/>
                <w:lang w:val="fr-BE"/>
              </w:rPr>
            </w:pPr>
            <w:r w:rsidRPr="00696324">
              <w:rPr>
                <w:noProof/>
                <w:sz w:val="12"/>
                <w:szCs w:val="12"/>
                <w:lang w:val="fr-BE"/>
              </w:rPr>
              <w:t>0,00</w:t>
            </w:r>
          </w:p>
        </w:tc>
      </w:tr>
      <w:tr w:rsidR="006B2EC1" w14:paraId="1BE286A5" w14:textId="77777777" w:rsidTr="0047688D">
        <w:tc>
          <w:tcPr>
            <w:tcW w:w="0" w:type="auto"/>
            <w:shd w:val="clear" w:color="auto" w:fill="auto"/>
          </w:tcPr>
          <w:p w14:paraId="32848724" w14:textId="77777777" w:rsidR="008C5CFA" w:rsidRPr="00696324" w:rsidRDefault="00E82A60" w:rsidP="00300A01">
            <w:pPr>
              <w:spacing w:before="0" w:after="0"/>
              <w:rPr>
                <w:sz w:val="12"/>
                <w:szCs w:val="12"/>
                <w:lang w:val="fr-BE"/>
              </w:rPr>
            </w:pPr>
            <w:r w:rsidRPr="00696324">
              <w:rPr>
                <w:noProof/>
                <w:sz w:val="12"/>
                <w:szCs w:val="12"/>
                <w:lang w:val="fr-BE"/>
              </w:rPr>
              <w:t>5</w:t>
            </w:r>
          </w:p>
        </w:tc>
        <w:tc>
          <w:tcPr>
            <w:tcW w:w="0" w:type="auto"/>
            <w:shd w:val="clear" w:color="auto" w:fill="auto"/>
          </w:tcPr>
          <w:p w14:paraId="21413251" w14:textId="77777777" w:rsidR="008C5CFA" w:rsidRPr="00696324" w:rsidRDefault="00E82A60" w:rsidP="00300A01">
            <w:pPr>
              <w:spacing w:before="0" w:after="0"/>
              <w:rPr>
                <w:sz w:val="12"/>
                <w:szCs w:val="12"/>
                <w:lang w:val="fr-BE"/>
              </w:rPr>
            </w:pPr>
            <w:r w:rsidRPr="00696324">
              <w:rPr>
                <w:noProof/>
                <w:sz w:val="12"/>
                <w:szCs w:val="12"/>
                <w:lang w:val="fr-BE"/>
              </w:rPr>
              <w:t>F</w:t>
            </w:r>
          </w:p>
        </w:tc>
        <w:tc>
          <w:tcPr>
            <w:tcW w:w="0" w:type="auto"/>
          </w:tcPr>
          <w:p w14:paraId="5D3416C7" w14:textId="77777777" w:rsidR="008C5CFA" w:rsidRPr="00696324" w:rsidRDefault="00E82A60" w:rsidP="00300A01">
            <w:pPr>
              <w:spacing w:before="0" w:after="0"/>
              <w:rPr>
                <w:sz w:val="12"/>
                <w:szCs w:val="12"/>
                <w:lang w:val="fr-BE"/>
              </w:rPr>
            </w:pPr>
            <w:r w:rsidRPr="00696324">
              <w:rPr>
                <w:noProof/>
                <w:sz w:val="12"/>
                <w:szCs w:val="12"/>
                <w:lang w:val="fr-BE"/>
              </w:rPr>
              <w:t>001</w:t>
            </w:r>
          </w:p>
        </w:tc>
        <w:tc>
          <w:tcPr>
            <w:tcW w:w="0" w:type="auto"/>
          </w:tcPr>
          <w:p w14:paraId="325AC9D4" w14:textId="77777777" w:rsidR="008C5CFA" w:rsidRPr="00696324" w:rsidRDefault="00E82A60" w:rsidP="00300A01">
            <w:pPr>
              <w:spacing w:before="0" w:after="0"/>
              <w:rPr>
                <w:sz w:val="12"/>
                <w:szCs w:val="12"/>
                <w:lang w:val="fr-BE"/>
              </w:rPr>
            </w:pPr>
            <w:r w:rsidRPr="00696324">
              <w:rPr>
                <w:noProof/>
                <w:sz w:val="12"/>
                <w:szCs w:val="12"/>
                <w:lang w:val="fr-BE"/>
              </w:rPr>
              <w:t>Całkowita kwota certyfikowanych wydatków kwalifikowalnych</w:t>
            </w:r>
          </w:p>
        </w:tc>
        <w:tc>
          <w:tcPr>
            <w:tcW w:w="0" w:type="auto"/>
          </w:tcPr>
          <w:p w14:paraId="5FFD9551" w14:textId="77777777" w:rsidR="008C5CFA" w:rsidRPr="00696324" w:rsidRDefault="00E82A60" w:rsidP="00300A01">
            <w:pPr>
              <w:spacing w:before="0" w:after="0"/>
              <w:rPr>
                <w:sz w:val="12"/>
                <w:szCs w:val="12"/>
                <w:lang w:val="fr-BE"/>
              </w:rPr>
            </w:pPr>
            <w:r w:rsidRPr="00696324">
              <w:rPr>
                <w:noProof/>
                <w:sz w:val="12"/>
                <w:szCs w:val="12"/>
                <w:lang w:val="fr-BE"/>
              </w:rPr>
              <w:t>EUR</w:t>
            </w:r>
          </w:p>
        </w:tc>
        <w:tc>
          <w:tcPr>
            <w:tcW w:w="0" w:type="auto"/>
          </w:tcPr>
          <w:p w14:paraId="1E563352" w14:textId="77777777" w:rsidR="008C5CFA" w:rsidRPr="00696324" w:rsidRDefault="00E82A60" w:rsidP="00300A01">
            <w:pPr>
              <w:spacing w:before="0" w:after="0"/>
              <w:rPr>
                <w:sz w:val="12"/>
                <w:szCs w:val="12"/>
                <w:lang w:val="fr-BE"/>
              </w:rPr>
            </w:pPr>
            <w:r w:rsidRPr="00D4605F">
              <w:rPr>
                <w:noProof/>
                <w:sz w:val="12"/>
                <w:szCs w:val="12"/>
                <w:lang w:val="fr-BE"/>
              </w:rPr>
              <w:t>EFRR</w:t>
            </w:r>
          </w:p>
        </w:tc>
        <w:tc>
          <w:tcPr>
            <w:tcW w:w="0" w:type="auto"/>
          </w:tcPr>
          <w:p w14:paraId="6BFBA408" w14:textId="77777777" w:rsidR="008C5CFA" w:rsidRPr="00696324" w:rsidRDefault="00E82A60" w:rsidP="00300A01">
            <w:pPr>
              <w:spacing w:before="0" w:after="0"/>
              <w:rPr>
                <w:sz w:val="12"/>
                <w:szCs w:val="12"/>
                <w:lang w:val="fr-BE"/>
              </w:rPr>
            </w:pPr>
            <w:r w:rsidRPr="00D4605F">
              <w:rPr>
                <w:noProof/>
                <w:sz w:val="12"/>
                <w:szCs w:val="12"/>
                <w:lang w:val="fr-BE"/>
              </w:rPr>
              <w:t>Słabiej rozwinięte</w:t>
            </w:r>
          </w:p>
        </w:tc>
        <w:tc>
          <w:tcPr>
            <w:tcW w:w="0" w:type="auto"/>
          </w:tcPr>
          <w:p w14:paraId="2FD0BF8B" w14:textId="77777777" w:rsidR="008C5CFA" w:rsidRPr="00696324" w:rsidRDefault="00E82A60" w:rsidP="00136029">
            <w:pPr>
              <w:spacing w:before="0" w:after="0"/>
              <w:jc w:val="right"/>
              <w:rPr>
                <w:sz w:val="12"/>
                <w:szCs w:val="12"/>
                <w:lang w:val="fr-BE"/>
              </w:rPr>
            </w:pPr>
            <w:r w:rsidRPr="00696324">
              <w:rPr>
                <w:noProof/>
                <w:sz w:val="12"/>
                <w:szCs w:val="12"/>
                <w:lang w:val="fr-BE"/>
              </w:rPr>
              <w:t>0,00</w:t>
            </w:r>
          </w:p>
        </w:tc>
        <w:tc>
          <w:tcPr>
            <w:tcW w:w="0" w:type="auto"/>
          </w:tcPr>
          <w:p w14:paraId="7650FC0D" w14:textId="77777777" w:rsidR="008C5CFA" w:rsidRPr="00696324" w:rsidRDefault="00E82A60" w:rsidP="00136029">
            <w:pPr>
              <w:spacing w:before="0" w:after="0"/>
              <w:jc w:val="right"/>
              <w:rPr>
                <w:sz w:val="12"/>
                <w:szCs w:val="12"/>
                <w:lang w:val="fr-BE"/>
              </w:rPr>
            </w:pPr>
            <w:r w:rsidRPr="00696324">
              <w:rPr>
                <w:noProof/>
                <w:sz w:val="12"/>
                <w:szCs w:val="12"/>
                <w:lang w:val="fr-BE"/>
              </w:rPr>
              <w:t>0,00</w:t>
            </w:r>
          </w:p>
        </w:tc>
      </w:tr>
      <w:tr w:rsidR="006B2EC1" w14:paraId="201CB9A1" w14:textId="77777777" w:rsidTr="0047688D">
        <w:tc>
          <w:tcPr>
            <w:tcW w:w="0" w:type="auto"/>
            <w:shd w:val="clear" w:color="auto" w:fill="auto"/>
          </w:tcPr>
          <w:p w14:paraId="5C542E99" w14:textId="77777777" w:rsidR="008C5CFA" w:rsidRPr="00696324" w:rsidRDefault="00E82A60" w:rsidP="00300A01">
            <w:pPr>
              <w:spacing w:before="0" w:after="0"/>
              <w:rPr>
                <w:sz w:val="12"/>
                <w:szCs w:val="12"/>
                <w:lang w:val="fr-BE"/>
              </w:rPr>
            </w:pPr>
            <w:r w:rsidRPr="00696324">
              <w:rPr>
                <w:noProof/>
                <w:sz w:val="12"/>
                <w:szCs w:val="12"/>
                <w:lang w:val="fr-BE"/>
              </w:rPr>
              <w:t>5</w:t>
            </w:r>
          </w:p>
        </w:tc>
        <w:tc>
          <w:tcPr>
            <w:tcW w:w="0" w:type="auto"/>
            <w:shd w:val="clear" w:color="auto" w:fill="auto"/>
          </w:tcPr>
          <w:p w14:paraId="248C8870" w14:textId="77777777" w:rsidR="008C5CFA" w:rsidRPr="00696324" w:rsidRDefault="00E82A60" w:rsidP="00300A01">
            <w:pPr>
              <w:spacing w:before="0" w:after="0"/>
              <w:rPr>
                <w:sz w:val="12"/>
                <w:szCs w:val="12"/>
                <w:lang w:val="fr-BE"/>
              </w:rPr>
            </w:pPr>
            <w:r w:rsidRPr="00696324">
              <w:rPr>
                <w:noProof/>
                <w:sz w:val="12"/>
                <w:szCs w:val="12"/>
                <w:lang w:val="fr-BE"/>
              </w:rPr>
              <w:t>O</w:t>
            </w:r>
          </w:p>
        </w:tc>
        <w:tc>
          <w:tcPr>
            <w:tcW w:w="0" w:type="auto"/>
          </w:tcPr>
          <w:p w14:paraId="3E5AF6E5" w14:textId="77777777" w:rsidR="008C5CFA" w:rsidRPr="00696324" w:rsidRDefault="00E82A60" w:rsidP="00300A01">
            <w:pPr>
              <w:spacing w:before="0" w:after="0"/>
              <w:rPr>
                <w:sz w:val="12"/>
                <w:szCs w:val="12"/>
                <w:lang w:val="fr-BE"/>
              </w:rPr>
            </w:pPr>
            <w:r w:rsidRPr="00696324">
              <w:rPr>
                <w:noProof/>
                <w:sz w:val="12"/>
                <w:szCs w:val="12"/>
                <w:lang w:val="fr-BE"/>
              </w:rPr>
              <w:t>148</w:t>
            </w:r>
          </w:p>
        </w:tc>
        <w:tc>
          <w:tcPr>
            <w:tcW w:w="0" w:type="auto"/>
          </w:tcPr>
          <w:p w14:paraId="42BE9099" w14:textId="77777777" w:rsidR="008C5CFA" w:rsidRPr="00696324" w:rsidRDefault="00E82A60" w:rsidP="00300A01">
            <w:pPr>
              <w:spacing w:before="0" w:after="0"/>
              <w:rPr>
                <w:sz w:val="12"/>
                <w:szCs w:val="12"/>
                <w:lang w:val="fr-BE"/>
              </w:rPr>
            </w:pPr>
            <w:r w:rsidRPr="00696324">
              <w:rPr>
                <w:noProof/>
                <w:sz w:val="12"/>
                <w:szCs w:val="12"/>
                <w:lang w:val="fr-BE"/>
              </w:rPr>
              <w:t>Całkowita długość nowych, przebudowanych lub zmodernizowanych dróg</w:t>
            </w:r>
          </w:p>
        </w:tc>
        <w:tc>
          <w:tcPr>
            <w:tcW w:w="0" w:type="auto"/>
          </w:tcPr>
          <w:p w14:paraId="23BE1C85" w14:textId="77777777" w:rsidR="008C5CFA" w:rsidRPr="00696324" w:rsidRDefault="00E82A60" w:rsidP="00300A01">
            <w:pPr>
              <w:spacing w:before="0" w:after="0"/>
              <w:rPr>
                <w:sz w:val="12"/>
                <w:szCs w:val="12"/>
                <w:lang w:val="fr-BE"/>
              </w:rPr>
            </w:pPr>
            <w:r w:rsidRPr="00696324">
              <w:rPr>
                <w:noProof/>
                <w:sz w:val="12"/>
                <w:szCs w:val="12"/>
                <w:lang w:val="fr-BE"/>
              </w:rPr>
              <w:t>km</w:t>
            </w:r>
          </w:p>
        </w:tc>
        <w:tc>
          <w:tcPr>
            <w:tcW w:w="0" w:type="auto"/>
          </w:tcPr>
          <w:p w14:paraId="4F58D31D" w14:textId="77777777" w:rsidR="008C5CFA" w:rsidRPr="00696324" w:rsidRDefault="00E82A60" w:rsidP="00300A01">
            <w:pPr>
              <w:spacing w:before="0" w:after="0"/>
              <w:rPr>
                <w:sz w:val="12"/>
                <w:szCs w:val="12"/>
                <w:lang w:val="fr-BE"/>
              </w:rPr>
            </w:pPr>
            <w:r w:rsidRPr="00D4605F">
              <w:rPr>
                <w:noProof/>
                <w:sz w:val="12"/>
                <w:szCs w:val="12"/>
                <w:lang w:val="fr-BE"/>
              </w:rPr>
              <w:t>EFRR</w:t>
            </w:r>
          </w:p>
        </w:tc>
        <w:tc>
          <w:tcPr>
            <w:tcW w:w="0" w:type="auto"/>
          </w:tcPr>
          <w:p w14:paraId="1DA7CD3D" w14:textId="77777777" w:rsidR="008C5CFA" w:rsidRPr="00696324" w:rsidRDefault="00E82A60" w:rsidP="00300A01">
            <w:pPr>
              <w:spacing w:before="0" w:after="0"/>
              <w:rPr>
                <w:sz w:val="12"/>
                <w:szCs w:val="12"/>
                <w:lang w:val="fr-BE"/>
              </w:rPr>
            </w:pPr>
            <w:r w:rsidRPr="00D4605F">
              <w:rPr>
                <w:noProof/>
                <w:sz w:val="12"/>
                <w:szCs w:val="12"/>
                <w:lang w:val="fr-BE"/>
              </w:rPr>
              <w:t>Słabiej rozwinięte</w:t>
            </w:r>
          </w:p>
        </w:tc>
        <w:tc>
          <w:tcPr>
            <w:tcW w:w="0" w:type="auto"/>
          </w:tcPr>
          <w:p w14:paraId="49795E7F" w14:textId="77777777" w:rsidR="008C5CFA" w:rsidRPr="00696324" w:rsidRDefault="00E82A60" w:rsidP="00136029">
            <w:pPr>
              <w:spacing w:before="0" w:after="0"/>
              <w:jc w:val="right"/>
              <w:rPr>
                <w:sz w:val="12"/>
                <w:szCs w:val="12"/>
                <w:lang w:val="fr-BE"/>
              </w:rPr>
            </w:pPr>
            <w:r w:rsidRPr="00696324">
              <w:rPr>
                <w:noProof/>
                <w:sz w:val="12"/>
                <w:szCs w:val="12"/>
                <w:lang w:val="fr-BE"/>
              </w:rPr>
              <w:t>0,00</w:t>
            </w:r>
          </w:p>
        </w:tc>
        <w:tc>
          <w:tcPr>
            <w:tcW w:w="0" w:type="auto"/>
          </w:tcPr>
          <w:p w14:paraId="502B16F6" w14:textId="77777777" w:rsidR="008C5CFA" w:rsidRPr="00696324" w:rsidRDefault="00E82A60" w:rsidP="00136029">
            <w:pPr>
              <w:spacing w:before="0" w:after="0"/>
              <w:jc w:val="right"/>
              <w:rPr>
                <w:sz w:val="12"/>
                <w:szCs w:val="12"/>
                <w:lang w:val="fr-BE"/>
              </w:rPr>
            </w:pPr>
            <w:r w:rsidRPr="00696324">
              <w:rPr>
                <w:noProof/>
                <w:sz w:val="12"/>
                <w:szCs w:val="12"/>
                <w:lang w:val="fr-BE"/>
              </w:rPr>
              <w:t>0,00</w:t>
            </w:r>
          </w:p>
        </w:tc>
      </w:tr>
      <w:tr w:rsidR="006B2EC1" w14:paraId="631D9627" w14:textId="77777777" w:rsidTr="0047688D">
        <w:tc>
          <w:tcPr>
            <w:tcW w:w="0" w:type="auto"/>
            <w:shd w:val="clear" w:color="auto" w:fill="auto"/>
          </w:tcPr>
          <w:p w14:paraId="090A1C4D" w14:textId="77777777" w:rsidR="008C5CFA" w:rsidRPr="00696324" w:rsidRDefault="00E82A60" w:rsidP="00300A01">
            <w:pPr>
              <w:spacing w:before="0" w:after="0"/>
              <w:rPr>
                <w:sz w:val="12"/>
                <w:szCs w:val="12"/>
                <w:lang w:val="fr-BE"/>
              </w:rPr>
            </w:pPr>
            <w:r w:rsidRPr="00696324">
              <w:rPr>
                <w:noProof/>
                <w:sz w:val="12"/>
                <w:szCs w:val="12"/>
                <w:lang w:val="fr-BE"/>
              </w:rPr>
              <w:t>6</w:t>
            </w:r>
          </w:p>
        </w:tc>
        <w:tc>
          <w:tcPr>
            <w:tcW w:w="0" w:type="auto"/>
            <w:shd w:val="clear" w:color="auto" w:fill="auto"/>
          </w:tcPr>
          <w:p w14:paraId="63EC5C09" w14:textId="77777777" w:rsidR="008C5CFA" w:rsidRPr="00696324" w:rsidRDefault="00E82A60" w:rsidP="00300A01">
            <w:pPr>
              <w:spacing w:before="0" w:after="0"/>
              <w:rPr>
                <w:sz w:val="12"/>
                <w:szCs w:val="12"/>
                <w:lang w:val="fr-BE"/>
              </w:rPr>
            </w:pPr>
            <w:r w:rsidRPr="00696324">
              <w:rPr>
                <w:noProof/>
                <w:sz w:val="12"/>
                <w:szCs w:val="12"/>
                <w:lang w:val="fr-BE"/>
              </w:rPr>
              <w:t>F</w:t>
            </w:r>
          </w:p>
        </w:tc>
        <w:tc>
          <w:tcPr>
            <w:tcW w:w="0" w:type="auto"/>
          </w:tcPr>
          <w:p w14:paraId="7D93A998" w14:textId="77777777" w:rsidR="008C5CFA" w:rsidRPr="00696324" w:rsidRDefault="00E82A60" w:rsidP="00300A01">
            <w:pPr>
              <w:spacing w:before="0" w:after="0"/>
              <w:rPr>
                <w:sz w:val="12"/>
                <w:szCs w:val="12"/>
                <w:lang w:val="fr-BE"/>
              </w:rPr>
            </w:pPr>
            <w:r w:rsidRPr="00696324">
              <w:rPr>
                <w:noProof/>
                <w:sz w:val="12"/>
                <w:szCs w:val="12"/>
                <w:lang w:val="fr-BE"/>
              </w:rPr>
              <w:t>001</w:t>
            </w:r>
          </w:p>
        </w:tc>
        <w:tc>
          <w:tcPr>
            <w:tcW w:w="0" w:type="auto"/>
          </w:tcPr>
          <w:p w14:paraId="24DE34BD" w14:textId="77777777" w:rsidR="008C5CFA" w:rsidRPr="00696324" w:rsidRDefault="00E82A60" w:rsidP="00300A01">
            <w:pPr>
              <w:spacing w:before="0" w:after="0"/>
              <w:rPr>
                <w:sz w:val="12"/>
                <w:szCs w:val="12"/>
                <w:lang w:val="fr-BE"/>
              </w:rPr>
            </w:pPr>
            <w:r w:rsidRPr="00696324">
              <w:rPr>
                <w:noProof/>
                <w:sz w:val="12"/>
                <w:szCs w:val="12"/>
                <w:lang w:val="fr-BE"/>
              </w:rPr>
              <w:t>Całkowita kwota certyfikowanych wydatków kwalifikowalnych</w:t>
            </w:r>
          </w:p>
        </w:tc>
        <w:tc>
          <w:tcPr>
            <w:tcW w:w="0" w:type="auto"/>
          </w:tcPr>
          <w:p w14:paraId="7B9A0EB3" w14:textId="77777777" w:rsidR="008C5CFA" w:rsidRPr="00696324" w:rsidRDefault="00E82A60" w:rsidP="00300A01">
            <w:pPr>
              <w:spacing w:before="0" w:after="0"/>
              <w:rPr>
                <w:sz w:val="12"/>
                <w:szCs w:val="12"/>
                <w:lang w:val="fr-BE"/>
              </w:rPr>
            </w:pPr>
            <w:r w:rsidRPr="00696324">
              <w:rPr>
                <w:noProof/>
                <w:sz w:val="12"/>
                <w:szCs w:val="12"/>
                <w:lang w:val="fr-BE"/>
              </w:rPr>
              <w:t>EUR</w:t>
            </w:r>
          </w:p>
        </w:tc>
        <w:tc>
          <w:tcPr>
            <w:tcW w:w="0" w:type="auto"/>
          </w:tcPr>
          <w:p w14:paraId="6032D346" w14:textId="77777777" w:rsidR="008C5CFA" w:rsidRPr="00696324" w:rsidRDefault="00E82A60" w:rsidP="00300A01">
            <w:pPr>
              <w:spacing w:before="0" w:after="0"/>
              <w:rPr>
                <w:sz w:val="12"/>
                <w:szCs w:val="12"/>
                <w:lang w:val="fr-BE"/>
              </w:rPr>
            </w:pPr>
            <w:r w:rsidRPr="00D4605F">
              <w:rPr>
                <w:noProof/>
                <w:sz w:val="12"/>
                <w:szCs w:val="12"/>
                <w:lang w:val="fr-BE"/>
              </w:rPr>
              <w:t>EFRR</w:t>
            </w:r>
          </w:p>
        </w:tc>
        <w:tc>
          <w:tcPr>
            <w:tcW w:w="0" w:type="auto"/>
          </w:tcPr>
          <w:p w14:paraId="18E01427" w14:textId="77777777" w:rsidR="008C5CFA" w:rsidRPr="00696324" w:rsidRDefault="00E82A60" w:rsidP="00300A01">
            <w:pPr>
              <w:spacing w:before="0" w:after="0"/>
              <w:rPr>
                <w:sz w:val="12"/>
                <w:szCs w:val="12"/>
                <w:lang w:val="fr-BE"/>
              </w:rPr>
            </w:pPr>
            <w:r w:rsidRPr="00D4605F">
              <w:rPr>
                <w:noProof/>
                <w:sz w:val="12"/>
                <w:szCs w:val="12"/>
                <w:lang w:val="fr-BE"/>
              </w:rPr>
              <w:t>Słabiej rozwinięte</w:t>
            </w:r>
          </w:p>
        </w:tc>
        <w:tc>
          <w:tcPr>
            <w:tcW w:w="0" w:type="auto"/>
          </w:tcPr>
          <w:p w14:paraId="6771C8F9" w14:textId="77777777" w:rsidR="008C5CFA" w:rsidRPr="00696324" w:rsidRDefault="00E82A60" w:rsidP="00136029">
            <w:pPr>
              <w:spacing w:before="0" w:after="0"/>
              <w:jc w:val="right"/>
              <w:rPr>
                <w:sz w:val="12"/>
                <w:szCs w:val="12"/>
                <w:lang w:val="fr-BE"/>
              </w:rPr>
            </w:pPr>
            <w:r w:rsidRPr="00696324">
              <w:rPr>
                <w:noProof/>
                <w:sz w:val="12"/>
                <w:szCs w:val="12"/>
                <w:lang w:val="fr-BE"/>
              </w:rPr>
              <w:t>0,00</w:t>
            </w:r>
          </w:p>
        </w:tc>
        <w:tc>
          <w:tcPr>
            <w:tcW w:w="0" w:type="auto"/>
          </w:tcPr>
          <w:p w14:paraId="1337EA20" w14:textId="77777777" w:rsidR="008C5CFA" w:rsidRPr="00696324" w:rsidRDefault="00E82A60" w:rsidP="00136029">
            <w:pPr>
              <w:spacing w:before="0" w:after="0"/>
              <w:jc w:val="right"/>
              <w:rPr>
                <w:sz w:val="12"/>
                <w:szCs w:val="12"/>
                <w:lang w:val="fr-BE"/>
              </w:rPr>
            </w:pPr>
            <w:r w:rsidRPr="00696324">
              <w:rPr>
                <w:noProof/>
                <w:sz w:val="12"/>
                <w:szCs w:val="12"/>
                <w:lang w:val="fr-BE"/>
              </w:rPr>
              <w:t>0,00</w:t>
            </w:r>
          </w:p>
        </w:tc>
      </w:tr>
      <w:tr w:rsidR="006B2EC1" w14:paraId="597C76DB" w14:textId="77777777" w:rsidTr="0047688D">
        <w:tc>
          <w:tcPr>
            <w:tcW w:w="0" w:type="auto"/>
            <w:shd w:val="clear" w:color="auto" w:fill="auto"/>
          </w:tcPr>
          <w:p w14:paraId="01164FC8" w14:textId="77777777" w:rsidR="008C5CFA" w:rsidRPr="00696324" w:rsidRDefault="00E82A60" w:rsidP="00300A01">
            <w:pPr>
              <w:spacing w:before="0" w:after="0"/>
              <w:rPr>
                <w:sz w:val="12"/>
                <w:szCs w:val="12"/>
                <w:lang w:val="fr-BE"/>
              </w:rPr>
            </w:pPr>
            <w:r w:rsidRPr="00696324">
              <w:rPr>
                <w:noProof/>
                <w:sz w:val="12"/>
                <w:szCs w:val="12"/>
                <w:lang w:val="fr-BE"/>
              </w:rPr>
              <w:t>6</w:t>
            </w:r>
          </w:p>
        </w:tc>
        <w:tc>
          <w:tcPr>
            <w:tcW w:w="0" w:type="auto"/>
            <w:shd w:val="clear" w:color="auto" w:fill="auto"/>
          </w:tcPr>
          <w:p w14:paraId="4FFF5790" w14:textId="77777777" w:rsidR="008C5CFA" w:rsidRPr="00696324" w:rsidRDefault="00E82A60" w:rsidP="00300A01">
            <w:pPr>
              <w:spacing w:before="0" w:after="0"/>
              <w:rPr>
                <w:sz w:val="12"/>
                <w:szCs w:val="12"/>
                <w:lang w:val="fr-BE"/>
              </w:rPr>
            </w:pPr>
            <w:r w:rsidRPr="00696324">
              <w:rPr>
                <w:noProof/>
                <w:sz w:val="12"/>
                <w:szCs w:val="12"/>
                <w:lang w:val="fr-BE"/>
              </w:rPr>
              <w:t>I</w:t>
            </w:r>
          </w:p>
        </w:tc>
        <w:tc>
          <w:tcPr>
            <w:tcW w:w="0" w:type="auto"/>
          </w:tcPr>
          <w:p w14:paraId="11CF1A17" w14:textId="77777777" w:rsidR="008C5CFA" w:rsidRPr="00696324" w:rsidRDefault="00E82A60" w:rsidP="00300A01">
            <w:pPr>
              <w:spacing w:before="0" w:after="0"/>
              <w:rPr>
                <w:sz w:val="12"/>
                <w:szCs w:val="12"/>
                <w:lang w:val="fr-BE"/>
              </w:rPr>
            </w:pPr>
            <w:r w:rsidRPr="00696324">
              <w:rPr>
                <w:noProof/>
                <w:sz w:val="12"/>
                <w:szCs w:val="12"/>
                <w:lang w:val="fr-BE"/>
              </w:rPr>
              <w:t>003</w:t>
            </w:r>
          </w:p>
        </w:tc>
        <w:tc>
          <w:tcPr>
            <w:tcW w:w="0" w:type="auto"/>
          </w:tcPr>
          <w:p w14:paraId="51289D13" w14:textId="77777777" w:rsidR="008C5CFA" w:rsidRPr="00696324" w:rsidRDefault="00E82A60" w:rsidP="00300A01">
            <w:pPr>
              <w:spacing w:before="0" w:after="0"/>
              <w:rPr>
                <w:sz w:val="12"/>
                <w:szCs w:val="12"/>
                <w:lang w:val="fr-BE"/>
              </w:rPr>
            </w:pPr>
            <w:r w:rsidRPr="00696324">
              <w:rPr>
                <w:noProof/>
                <w:sz w:val="12"/>
                <w:szCs w:val="12"/>
                <w:lang w:val="fr-BE"/>
              </w:rPr>
              <w:t>Powierzchnia obszarów objętych rewitalizacją w podpisanych umowach</w:t>
            </w:r>
          </w:p>
        </w:tc>
        <w:tc>
          <w:tcPr>
            <w:tcW w:w="0" w:type="auto"/>
          </w:tcPr>
          <w:p w14:paraId="1E1ECF00" w14:textId="77777777" w:rsidR="008C5CFA" w:rsidRPr="00696324" w:rsidRDefault="00E82A60" w:rsidP="00300A01">
            <w:pPr>
              <w:spacing w:before="0" w:after="0"/>
              <w:rPr>
                <w:sz w:val="12"/>
                <w:szCs w:val="12"/>
                <w:lang w:val="fr-BE"/>
              </w:rPr>
            </w:pPr>
            <w:r w:rsidRPr="00696324">
              <w:rPr>
                <w:noProof/>
                <w:sz w:val="12"/>
                <w:szCs w:val="12"/>
                <w:lang w:val="fr-BE"/>
              </w:rPr>
              <w:t>ha</w:t>
            </w:r>
          </w:p>
        </w:tc>
        <w:tc>
          <w:tcPr>
            <w:tcW w:w="0" w:type="auto"/>
          </w:tcPr>
          <w:p w14:paraId="1EF7F876" w14:textId="77777777" w:rsidR="008C5CFA" w:rsidRPr="00696324" w:rsidRDefault="00E82A60" w:rsidP="00300A01">
            <w:pPr>
              <w:spacing w:before="0" w:after="0"/>
              <w:rPr>
                <w:sz w:val="12"/>
                <w:szCs w:val="12"/>
                <w:lang w:val="fr-BE"/>
              </w:rPr>
            </w:pPr>
            <w:r w:rsidRPr="00D4605F">
              <w:rPr>
                <w:noProof/>
                <w:sz w:val="12"/>
                <w:szCs w:val="12"/>
                <w:lang w:val="fr-BE"/>
              </w:rPr>
              <w:t>EFRR</w:t>
            </w:r>
          </w:p>
        </w:tc>
        <w:tc>
          <w:tcPr>
            <w:tcW w:w="0" w:type="auto"/>
          </w:tcPr>
          <w:p w14:paraId="2A0388F5" w14:textId="77777777" w:rsidR="008C5CFA" w:rsidRPr="00696324" w:rsidRDefault="00E82A60" w:rsidP="00300A01">
            <w:pPr>
              <w:spacing w:before="0" w:after="0"/>
              <w:rPr>
                <w:sz w:val="12"/>
                <w:szCs w:val="12"/>
                <w:lang w:val="fr-BE"/>
              </w:rPr>
            </w:pPr>
            <w:r w:rsidRPr="00D4605F">
              <w:rPr>
                <w:noProof/>
                <w:sz w:val="12"/>
                <w:szCs w:val="12"/>
                <w:lang w:val="fr-BE"/>
              </w:rPr>
              <w:t>Słabiej rozwinięte</w:t>
            </w:r>
          </w:p>
        </w:tc>
        <w:tc>
          <w:tcPr>
            <w:tcW w:w="0" w:type="auto"/>
          </w:tcPr>
          <w:p w14:paraId="64A9DA6C" w14:textId="77777777" w:rsidR="008C5CFA" w:rsidRPr="00696324" w:rsidRDefault="00E82A60" w:rsidP="00136029">
            <w:pPr>
              <w:spacing w:before="0" w:after="0"/>
              <w:jc w:val="right"/>
              <w:rPr>
                <w:sz w:val="12"/>
                <w:szCs w:val="12"/>
                <w:lang w:val="fr-BE"/>
              </w:rPr>
            </w:pPr>
            <w:r w:rsidRPr="00696324">
              <w:rPr>
                <w:noProof/>
                <w:sz w:val="12"/>
                <w:szCs w:val="12"/>
                <w:lang w:val="fr-BE"/>
              </w:rPr>
              <w:t>0,00</w:t>
            </w:r>
          </w:p>
        </w:tc>
        <w:tc>
          <w:tcPr>
            <w:tcW w:w="0" w:type="auto"/>
          </w:tcPr>
          <w:p w14:paraId="632D3CA5" w14:textId="77777777" w:rsidR="008C5CFA" w:rsidRPr="00696324" w:rsidRDefault="00E82A60" w:rsidP="00136029">
            <w:pPr>
              <w:spacing w:before="0" w:after="0"/>
              <w:jc w:val="right"/>
              <w:rPr>
                <w:sz w:val="12"/>
                <w:szCs w:val="12"/>
                <w:lang w:val="fr-BE"/>
              </w:rPr>
            </w:pPr>
            <w:r w:rsidRPr="00696324">
              <w:rPr>
                <w:noProof/>
                <w:sz w:val="12"/>
                <w:szCs w:val="12"/>
                <w:lang w:val="fr-BE"/>
              </w:rPr>
              <w:t>0,00</w:t>
            </w:r>
          </w:p>
        </w:tc>
      </w:tr>
      <w:tr w:rsidR="006B2EC1" w14:paraId="201881E9" w14:textId="77777777" w:rsidTr="0047688D">
        <w:tc>
          <w:tcPr>
            <w:tcW w:w="0" w:type="auto"/>
            <w:shd w:val="clear" w:color="auto" w:fill="auto"/>
          </w:tcPr>
          <w:p w14:paraId="16E8A580" w14:textId="77777777" w:rsidR="008C5CFA" w:rsidRPr="00696324" w:rsidRDefault="00E82A60" w:rsidP="00300A01">
            <w:pPr>
              <w:spacing w:before="0" w:after="0"/>
              <w:rPr>
                <w:sz w:val="12"/>
                <w:szCs w:val="12"/>
                <w:lang w:val="fr-BE"/>
              </w:rPr>
            </w:pPr>
            <w:r w:rsidRPr="00696324">
              <w:rPr>
                <w:noProof/>
                <w:sz w:val="12"/>
                <w:szCs w:val="12"/>
                <w:lang w:val="fr-BE"/>
              </w:rPr>
              <w:t>6</w:t>
            </w:r>
          </w:p>
        </w:tc>
        <w:tc>
          <w:tcPr>
            <w:tcW w:w="0" w:type="auto"/>
            <w:shd w:val="clear" w:color="auto" w:fill="auto"/>
          </w:tcPr>
          <w:p w14:paraId="7621CF3A" w14:textId="77777777" w:rsidR="008C5CFA" w:rsidRPr="00696324" w:rsidRDefault="00E82A60" w:rsidP="00300A01">
            <w:pPr>
              <w:spacing w:before="0" w:after="0"/>
              <w:rPr>
                <w:sz w:val="12"/>
                <w:szCs w:val="12"/>
                <w:lang w:val="fr-BE"/>
              </w:rPr>
            </w:pPr>
            <w:r w:rsidRPr="00696324">
              <w:rPr>
                <w:noProof/>
                <w:sz w:val="12"/>
                <w:szCs w:val="12"/>
                <w:lang w:val="fr-BE"/>
              </w:rPr>
              <w:t>O</w:t>
            </w:r>
          </w:p>
        </w:tc>
        <w:tc>
          <w:tcPr>
            <w:tcW w:w="0" w:type="auto"/>
          </w:tcPr>
          <w:p w14:paraId="0A17D8F6" w14:textId="77777777" w:rsidR="008C5CFA" w:rsidRPr="00696324" w:rsidRDefault="00E82A60" w:rsidP="00300A01">
            <w:pPr>
              <w:spacing w:before="0" w:after="0"/>
              <w:rPr>
                <w:sz w:val="12"/>
                <w:szCs w:val="12"/>
                <w:lang w:val="fr-BE"/>
              </w:rPr>
            </w:pPr>
            <w:r w:rsidRPr="00696324">
              <w:rPr>
                <w:noProof/>
                <w:sz w:val="12"/>
                <w:szCs w:val="12"/>
                <w:lang w:val="fr-BE"/>
              </w:rPr>
              <w:t>041</w:t>
            </w:r>
          </w:p>
        </w:tc>
        <w:tc>
          <w:tcPr>
            <w:tcW w:w="0" w:type="auto"/>
          </w:tcPr>
          <w:p w14:paraId="4FEB16A1" w14:textId="77777777" w:rsidR="008C5CFA" w:rsidRPr="00696324" w:rsidRDefault="00E82A60" w:rsidP="00300A01">
            <w:pPr>
              <w:spacing w:before="0" w:after="0"/>
              <w:rPr>
                <w:sz w:val="12"/>
                <w:szCs w:val="12"/>
                <w:lang w:val="fr-BE"/>
              </w:rPr>
            </w:pPr>
            <w:r w:rsidRPr="00696324">
              <w:rPr>
                <w:noProof/>
                <w:sz w:val="12"/>
                <w:szCs w:val="12"/>
                <w:lang w:val="fr-BE"/>
              </w:rPr>
              <w:t>Powierzchnia obszarów objętych rewitalizacją</w:t>
            </w:r>
          </w:p>
        </w:tc>
        <w:tc>
          <w:tcPr>
            <w:tcW w:w="0" w:type="auto"/>
          </w:tcPr>
          <w:p w14:paraId="08D00059" w14:textId="77777777" w:rsidR="008C5CFA" w:rsidRPr="00696324" w:rsidRDefault="00E82A60" w:rsidP="00300A01">
            <w:pPr>
              <w:spacing w:before="0" w:after="0"/>
              <w:rPr>
                <w:sz w:val="12"/>
                <w:szCs w:val="12"/>
                <w:lang w:val="fr-BE"/>
              </w:rPr>
            </w:pPr>
            <w:r w:rsidRPr="00696324">
              <w:rPr>
                <w:noProof/>
                <w:sz w:val="12"/>
                <w:szCs w:val="12"/>
                <w:lang w:val="fr-BE"/>
              </w:rPr>
              <w:t>ha</w:t>
            </w:r>
          </w:p>
        </w:tc>
        <w:tc>
          <w:tcPr>
            <w:tcW w:w="0" w:type="auto"/>
          </w:tcPr>
          <w:p w14:paraId="2EAA125A" w14:textId="77777777" w:rsidR="008C5CFA" w:rsidRPr="00696324" w:rsidRDefault="00E82A60" w:rsidP="00300A01">
            <w:pPr>
              <w:spacing w:before="0" w:after="0"/>
              <w:rPr>
                <w:sz w:val="12"/>
                <w:szCs w:val="12"/>
                <w:lang w:val="fr-BE"/>
              </w:rPr>
            </w:pPr>
            <w:r w:rsidRPr="00D4605F">
              <w:rPr>
                <w:noProof/>
                <w:sz w:val="12"/>
                <w:szCs w:val="12"/>
                <w:lang w:val="fr-BE"/>
              </w:rPr>
              <w:t>EFRR</w:t>
            </w:r>
          </w:p>
        </w:tc>
        <w:tc>
          <w:tcPr>
            <w:tcW w:w="0" w:type="auto"/>
          </w:tcPr>
          <w:p w14:paraId="4D8ECD21" w14:textId="77777777" w:rsidR="008C5CFA" w:rsidRPr="00696324" w:rsidRDefault="00E82A60" w:rsidP="00300A01">
            <w:pPr>
              <w:spacing w:before="0" w:after="0"/>
              <w:rPr>
                <w:sz w:val="12"/>
                <w:szCs w:val="12"/>
                <w:lang w:val="fr-BE"/>
              </w:rPr>
            </w:pPr>
            <w:r w:rsidRPr="00D4605F">
              <w:rPr>
                <w:noProof/>
                <w:sz w:val="12"/>
                <w:szCs w:val="12"/>
                <w:lang w:val="fr-BE"/>
              </w:rPr>
              <w:t>Słabiej rozwinięte</w:t>
            </w:r>
          </w:p>
        </w:tc>
        <w:tc>
          <w:tcPr>
            <w:tcW w:w="0" w:type="auto"/>
          </w:tcPr>
          <w:p w14:paraId="7A603AEF" w14:textId="77777777" w:rsidR="008C5CFA" w:rsidRPr="00696324" w:rsidRDefault="00E82A60" w:rsidP="00136029">
            <w:pPr>
              <w:spacing w:before="0" w:after="0"/>
              <w:jc w:val="right"/>
              <w:rPr>
                <w:sz w:val="12"/>
                <w:szCs w:val="12"/>
                <w:lang w:val="fr-BE"/>
              </w:rPr>
            </w:pPr>
            <w:r w:rsidRPr="00696324">
              <w:rPr>
                <w:noProof/>
                <w:sz w:val="12"/>
                <w:szCs w:val="12"/>
                <w:lang w:val="fr-BE"/>
              </w:rPr>
              <w:t>0,00</w:t>
            </w:r>
          </w:p>
        </w:tc>
        <w:tc>
          <w:tcPr>
            <w:tcW w:w="0" w:type="auto"/>
          </w:tcPr>
          <w:p w14:paraId="58C1DBC2" w14:textId="77777777" w:rsidR="008C5CFA" w:rsidRPr="00696324" w:rsidRDefault="00E82A60" w:rsidP="00136029">
            <w:pPr>
              <w:spacing w:before="0" w:after="0"/>
              <w:jc w:val="right"/>
              <w:rPr>
                <w:sz w:val="12"/>
                <w:szCs w:val="12"/>
                <w:lang w:val="fr-BE"/>
              </w:rPr>
            </w:pPr>
            <w:r w:rsidRPr="00696324">
              <w:rPr>
                <w:noProof/>
                <w:sz w:val="12"/>
                <w:szCs w:val="12"/>
                <w:lang w:val="fr-BE"/>
              </w:rPr>
              <w:t>0,00</w:t>
            </w:r>
          </w:p>
        </w:tc>
      </w:tr>
      <w:tr w:rsidR="006B2EC1" w14:paraId="5C7D3A78" w14:textId="77777777" w:rsidTr="0047688D">
        <w:tc>
          <w:tcPr>
            <w:tcW w:w="0" w:type="auto"/>
            <w:shd w:val="clear" w:color="auto" w:fill="auto"/>
          </w:tcPr>
          <w:p w14:paraId="673C98B7" w14:textId="77777777" w:rsidR="008C5CFA" w:rsidRPr="00696324" w:rsidRDefault="00E82A60" w:rsidP="00300A01">
            <w:pPr>
              <w:spacing w:before="0" w:after="0"/>
              <w:rPr>
                <w:sz w:val="12"/>
                <w:szCs w:val="12"/>
                <w:lang w:val="fr-BE"/>
              </w:rPr>
            </w:pPr>
            <w:r w:rsidRPr="00696324">
              <w:rPr>
                <w:noProof/>
                <w:sz w:val="12"/>
                <w:szCs w:val="12"/>
                <w:lang w:val="fr-BE"/>
              </w:rPr>
              <w:lastRenderedPageBreak/>
              <w:t>6</w:t>
            </w:r>
          </w:p>
        </w:tc>
        <w:tc>
          <w:tcPr>
            <w:tcW w:w="0" w:type="auto"/>
            <w:shd w:val="clear" w:color="auto" w:fill="auto"/>
          </w:tcPr>
          <w:p w14:paraId="1ABB92DA" w14:textId="77777777" w:rsidR="008C5CFA" w:rsidRPr="00696324" w:rsidRDefault="00E82A60" w:rsidP="00300A01">
            <w:pPr>
              <w:spacing w:before="0" w:after="0"/>
              <w:rPr>
                <w:sz w:val="12"/>
                <w:szCs w:val="12"/>
                <w:lang w:val="fr-BE"/>
              </w:rPr>
            </w:pPr>
            <w:r w:rsidRPr="00696324">
              <w:rPr>
                <w:noProof/>
                <w:sz w:val="12"/>
                <w:szCs w:val="12"/>
                <w:lang w:val="fr-BE"/>
              </w:rPr>
              <w:t>O</w:t>
            </w:r>
          </w:p>
        </w:tc>
        <w:tc>
          <w:tcPr>
            <w:tcW w:w="0" w:type="auto"/>
          </w:tcPr>
          <w:p w14:paraId="28FD7E07" w14:textId="77777777" w:rsidR="008C5CFA" w:rsidRPr="00696324" w:rsidRDefault="00E82A60" w:rsidP="00300A01">
            <w:pPr>
              <w:spacing w:before="0" w:after="0"/>
              <w:rPr>
                <w:sz w:val="12"/>
                <w:szCs w:val="12"/>
                <w:lang w:val="fr-BE"/>
              </w:rPr>
            </w:pPr>
            <w:r w:rsidRPr="00696324">
              <w:rPr>
                <w:noProof/>
                <w:sz w:val="12"/>
                <w:szCs w:val="12"/>
                <w:lang w:val="fr-BE"/>
              </w:rPr>
              <w:t>34</w:t>
            </w:r>
          </w:p>
        </w:tc>
        <w:tc>
          <w:tcPr>
            <w:tcW w:w="0" w:type="auto"/>
          </w:tcPr>
          <w:p w14:paraId="1FD89B4D" w14:textId="77777777" w:rsidR="008C5CFA" w:rsidRPr="00696324" w:rsidRDefault="00E82A60" w:rsidP="00300A01">
            <w:pPr>
              <w:spacing w:before="0" w:after="0"/>
              <w:rPr>
                <w:sz w:val="12"/>
                <w:szCs w:val="12"/>
                <w:lang w:val="fr-BE"/>
              </w:rPr>
            </w:pPr>
            <w:r w:rsidRPr="00696324">
              <w:rPr>
                <w:noProof/>
                <w:sz w:val="12"/>
                <w:szCs w:val="12"/>
                <w:lang w:val="fr-BE"/>
              </w:rPr>
              <w:t>Liczba zmodernizowanych energetycznie budynków</w:t>
            </w:r>
          </w:p>
        </w:tc>
        <w:tc>
          <w:tcPr>
            <w:tcW w:w="0" w:type="auto"/>
          </w:tcPr>
          <w:p w14:paraId="53CA9AC2" w14:textId="77777777" w:rsidR="008C5CFA" w:rsidRPr="00696324" w:rsidRDefault="00E82A60" w:rsidP="00300A01">
            <w:pPr>
              <w:spacing w:before="0" w:after="0"/>
              <w:rPr>
                <w:sz w:val="12"/>
                <w:szCs w:val="12"/>
                <w:lang w:val="fr-BE"/>
              </w:rPr>
            </w:pPr>
            <w:r w:rsidRPr="00696324">
              <w:rPr>
                <w:noProof/>
                <w:sz w:val="12"/>
                <w:szCs w:val="12"/>
                <w:lang w:val="fr-BE"/>
              </w:rPr>
              <w:t>szt.</w:t>
            </w:r>
          </w:p>
        </w:tc>
        <w:tc>
          <w:tcPr>
            <w:tcW w:w="0" w:type="auto"/>
          </w:tcPr>
          <w:p w14:paraId="1E9FF0C0" w14:textId="77777777" w:rsidR="008C5CFA" w:rsidRPr="00696324" w:rsidRDefault="00E82A60" w:rsidP="00300A01">
            <w:pPr>
              <w:spacing w:before="0" w:after="0"/>
              <w:rPr>
                <w:sz w:val="12"/>
                <w:szCs w:val="12"/>
                <w:lang w:val="fr-BE"/>
              </w:rPr>
            </w:pPr>
            <w:r w:rsidRPr="00D4605F">
              <w:rPr>
                <w:noProof/>
                <w:sz w:val="12"/>
                <w:szCs w:val="12"/>
                <w:lang w:val="fr-BE"/>
              </w:rPr>
              <w:t>EFRR</w:t>
            </w:r>
          </w:p>
        </w:tc>
        <w:tc>
          <w:tcPr>
            <w:tcW w:w="0" w:type="auto"/>
          </w:tcPr>
          <w:p w14:paraId="78E3BB48" w14:textId="77777777" w:rsidR="008C5CFA" w:rsidRPr="00696324" w:rsidRDefault="00E82A60" w:rsidP="00300A01">
            <w:pPr>
              <w:spacing w:before="0" w:after="0"/>
              <w:rPr>
                <w:sz w:val="12"/>
                <w:szCs w:val="12"/>
                <w:lang w:val="fr-BE"/>
              </w:rPr>
            </w:pPr>
            <w:r w:rsidRPr="00D4605F">
              <w:rPr>
                <w:noProof/>
                <w:sz w:val="12"/>
                <w:szCs w:val="12"/>
                <w:lang w:val="fr-BE"/>
              </w:rPr>
              <w:t>Słabiej rozwinięte</w:t>
            </w:r>
          </w:p>
        </w:tc>
        <w:tc>
          <w:tcPr>
            <w:tcW w:w="0" w:type="auto"/>
          </w:tcPr>
          <w:p w14:paraId="5394A893" w14:textId="77777777" w:rsidR="008C5CFA" w:rsidRPr="00696324" w:rsidRDefault="00E82A60" w:rsidP="00136029">
            <w:pPr>
              <w:spacing w:before="0" w:after="0"/>
              <w:jc w:val="right"/>
              <w:rPr>
                <w:sz w:val="12"/>
                <w:szCs w:val="12"/>
                <w:lang w:val="fr-BE"/>
              </w:rPr>
            </w:pPr>
            <w:r w:rsidRPr="00696324">
              <w:rPr>
                <w:noProof/>
                <w:sz w:val="12"/>
                <w:szCs w:val="12"/>
                <w:lang w:val="fr-BE"/>
              </w:rPr>
              <w:t>0,00</w:t>
            </w:r>
          </w:p>
        </w:tc>
        <w:tc>
          <w:tcPr>
            <w:tcW w:w="0" w:type="auto"/>
          </w:tcPr>
          <w:p w14:paraId="0913ED24" w14:textId="77777777" w:rsidR="008C5CFA" w:rsidRPr="00696324" w:rsidRDefault="00E82A60" w:rsidP="00136029">
            <w:pPr>
              <w:spacing w:before="0" w:after="0"/>
              <w:jc w:val="right"/>
              <w:rPr>
                <w:sz w:val="12"/>
                <w:szCs w:val="12"/>
                <w:lang w:val="fr-BE"/>
              </w:rPr>
            </w:pPr>
            <w:r w:rsidRPr="00696324">
              <w:rPr>
                <w:noProof/>
                <w:sz w:val="12"/>
                <w:szCs w:val="12"/>
                <w:lang w:val="fr-BE"/>
              </w:rPr>
              <w:t>0,00</w:t>
            </w:r>
          </w:p>
        </w:tc>
      </w:tr>
      <w:tr w:rsidR="006B2EC1" w14:paraId="5A014D9F" w14:textId="77777777" w:rsidTr="0047688D">
        <w:tc>
          <w:tcPr>
            <w:tcW w:w="0" w:type="auto"/>
            <w:shd w:val="clear" w:color="auto" w:fill="auto"/>
          </w:tcPr>
          <w:p w14:paraId="4B38F6DE" w14:textId="77777777" w:rsidR="008C5CFA" w:rsidRPr="00696324" w:rsidRDefault="00E82A60" w:rsidP="00300A01">
            <w:pPr>
              <w:spacing w:before="0" w:after="0"/>
              <w:rPr>
                <w:sz w:val="12"/>
                <w:szCs w:val="12"/>
                <w:lang w:val="fr-BE"/>
              </w:rPr>
            </w:pPr>
            <w:r w:rsidRPr="00696324">
              <w:rPr>
                <w:noProof/>
                <w:sz w:val="12"/>
                <w:szCs w:val="12"/>
                <w:lang w:val="fr-BE"/>
              </w:rPr>
              <w:t>7</w:t>
            </w:r>
          </w:p>
        </w:tc>
        <w:tc>
          <w:tcPr>
            <w:tcW w:w="0" w:type="auto"/>
            <w:shd w:val="clear" w:color="auto" w:fill="auto"/>
          </w:tcPr>
          <w:p w14:paraId="6363845A" w14:textId="77777777" w:rsidR="008C5CFA" w:rsidRPr="00696324" w:rsidRDefault="00E82A60" w:rsidP="00300A01">
            <w:pPr>
              <w:spacing w:before="0" w:after="0"/>
              <w:rPr>
                <w:sz w:val="12"/>
                <w:szCs w:val="12"/>
                <w:lang w:val="fr-BE"/>
              </w:rPr>
            </w:pPr>
            <w:r w:rsidRPr="00696324">
              <w:rPr>
                <w:noProof/>
                <w:sz w:val="12"/>
                <w:szCs w:val="12"/>
                <w:lang w:val="fr-BE"/>
              </w:rPr>
              <w:t>F</w:t>
            </w:r>
          </w:p>
        </w:tc>
        <w:tc>
          <w:tcPr>
            <w:tcW w:w="0" w:type="auto"/>
          </w:tcPr>
          <w:p w14:paraId="7BD96B80" w14:textId="77777777" w:rsidR="008C5CFA" w:rsidRPr="00696324" w:rsidRDefault="00E82A60" w:rsidP="00300A01">
            <w:pPr>
              <w:spacing w:before="0" w:after="0"/>
              <w:rPr>
                <w:sz w:val="12"/>
                <w:szCs w:val="12"/>
                <w:lang w:val="fr-BE"/>
              </w:rPr>
            </w:pPr>
            <w:r w:rsidRPr="00696324">
              <w:rPr>
                <w:noProof/>
                <w:sz w:val="12"/>
                <w:szCs w:val="12"/>
                <w:lang w:val="fr-BE"/>
              </w:rPr>
              <w:t>001</w:t>
            </w:r>
          </w:p>
        </w:tc>
        <w:tc>
          <w:tcPr>
            <w:tcW w:w="0" w:type="auto"/>
          </w:tcPr>
          <w:p w14:paraId="5EFE0289" w14:textId="77777777" w:rsidR="008C5CFA" w:rsidRPr="00696324" w:rsidRDefault="00E82A60" w:rsidP="00300A01">
            <w:pPr>
              <w:spacing w:before="0" w:after="0"/>
              <w:rPr>
                <w:sz w:val="12"/>
                <w:szCs w:val="12"/>
                <w:lang w:val="fr-BE"/>
              </w:rPr>
            </w:pPr>
            <w:r w:rsidRPr="00696324">
              <w:rPr>
                <w:noProof/>
                <w:sz w:val="12"/>
                <w:szCs w:val="12"/>
                <w:lang w:val="fr-BE"/>
              </w:rPr>
              <w:t>Całkowita kwota certyfikowanych wydatków kwalifikowalnych</w:t>
            </w:r>
          </w:p>
        </w:tc>
        <w:tc>
          <w:tcPr>
            <w:tcW w:w="0" w:type="auto"/>
          </w:tcPr>
          <w:p w14:paraId="51B4377B" w14:textId="77777777" w:rsidR="008C5CFA" w:rsidRPr="00696324" w:rsidRDefault="00E82A60" w:rsidP="00300A01">
            <w:pPr>
              <w:spacing w:before="0" w:after="0"/>
              <w:rPr>
                <w:sz w:val="12"/>
                <w:szCs w:val="12"/>
                <w:lang w:val="fr-BE"/>
              </w:rPr>
            </w:pPr>
            <w:r w:rsidRPr="00696324">
              <w:rPr>
                <w:noProof/>
                <w:sz w:val="12"/>
                <w:szCs w:val="12"/>
                <w:lang w:val="fr-BE"/>
              </w:rPr>
              <w:t>EUR</w:t>
            </w:r>
          </w:p>
        </w:tc>
        <w:tc>
          <w:tcPr>
            <w:tcW w:w="0" w:type="auto"/>
          </w:tcPr>
          <w:p w14:paraId="09C1513D" w14:textId="77777777" w:rsidR="008C5CFA" w:rsidRPr="00696324" w:rsidRDefault="00E82A60" w:rsidP="00300A01">
            <w:pPr>
              <w:spacing w:before="0" w:after="0"/>
              <w:rPr>
                <w:sz w:val="12"/>
                <w:szCs w:val="12"/>
                <w:lang w:val="fr-BE"/>
              </w:rPr>
            </w:pPr>
            <w:r w:rsidRPr="00D4605F">
              <w:rPr>
                <w:noProof/>
                <w:sz w:val="12"/>
                <w:szCs w:val="12"/>
                <w:lang w:val="fr-BE"/>
              </w:rPr>
              <w:t>EFRR</w:t>
            </w:r>
          </w:p>
        </w:tc>
        <w:tc>
          <w:tcPr>
            <w:tcW w:w="0" w:type="auto"/>
          </w:tcPr>
          <w:p w14:paraId="585645AF" w14:textId="77777777" w:rsidR="008C5CFA" w:rsidRPr="00696324" w:rsidRDefault="00E82A60" w:rsidP="00300A01">
            <w:pPr>
              <w:spacing w:before="0" w:after="0"/>
              <w:rPr>
                <w:sz w:val="12"/>
                <w:szCs w:val="12"/>
                <w:lang w:val="fr-BE"/>
              </w:rPr>
            </w:pPr>
            <w:r w:rsidRPr="00D4605F">
              <w:rPr>
                <w:noProof/>
                <w:sz w:val="12"/>
                <w:szCs w:val="12"/>
                <w:lang w:val="fr-BE"/>
              </w:rPr>
              <w:t>Słabiej rozwinięte</w:t>
            </w:r>
          </w:p>
        </w:tc>
        <w:tc>
          <w:tcPr>
            <w:tcW w:w="0" w:type="auto"/>
          </w:tcPr>
          <w:p w14:paraId="00BC3115" w14:textId="77777777" w:rsidR="008C5CFA" w:rsidRPr="00696324" w:rsidRDefault="00E82A60" w:rsidP="00136029">
            <w:pPr>
              <w:spacing w:before="0" w:after="0"/>
              <w:jc w:val="right"/>
              <w:rPr>
                <w:sz w:val="12"/>
                <w:szCs w:val="12"/>
                <w:lang w:val="fr-BE"/>
              </w:rPr>
            </w:pPr>
            <w:r w:rsidRPr="00696324">
              <w:rPr>
                <w:noProof/>
                <w:sz w:val="12"/>
                <w:szCs w:val="12"/>
                <w:lang w:val="fr-BE"/>
              </w:rPr>
              <w:t>0,00</w:t>
            </w:r>
          </w:p>
        </w:tc>
        <w:tc>
          <w:tcPr>
            <w:tcW w:w="0" w:type="auto"/>
          </w:tcPr>
          <w:p w14:paraId="4EB39253" w14:textId="77777777" w:rsidR="008C5CFA" w:rsidRPr="00696324" w:rsidRDefault="00E82A60" w:rsidP="00136029">
            <w:pPr>
              <w:spacing w:before="0" w:after="0"/>
              <w:jc w:val="right"/>
              <w:rPr>
                <w:sz w:val="12"/>
                <w:szCs w:val="12"/>
                <w:lang w:val="fr-BE"/>
              </w:rPr>
            </w:pPr>
            <w:r w:rsidRPr="00696324">
              <w:rPr>
                <w:noProof/>
                <w:sz w:val="12"/>
                <w:szCs w:val="12"/>
                <w:lang w:val="fr-BE"/>
              </w:rPr>
              <w:t>0,00</w:t>
            </w:r>
          </w:p>
        </w:tc>
      </w:tr>
      <w:tr w:rsidR="006B2EC1" w14:paraId="1E73F221" w14:textId="77777777" w:rsidTr="0047688D">
        <w:tc>
          <w:tcPr>
            <w:tcW w:w="0" w:type="auto"/>
            <w:shd w:val="clear" w:color="auto" w:fill="auto"/>
          </w:tcPr>
          <w:p w14:paraId="7F0BBF66" w14:textId="77777777" w:rsidR="008C5CFA" w:rsidRPr="00696324" w:rsidRDefault="00E82A60" w:rsidP="00300A01">
            <w:pPr>
              <w:spacing w:before="0" w:after="0"/>
              <w:rPr>
                <w:sz w:val="12"/>
                <w:szCs w:val="12"/>
                <w:lang w:val="fr-BE"/>
              </w:rPr>
            </w:pPr>
            <w:r w:rsidRPr="00696324">
              <w:rPr>
                <w:noProof/>
                <w:sz w:val="12"/>
                <w:szCs w:val="12"/>
                <w:lang w:val="fr-BE"/>
              </w:rPr>
              <w:t>7</w:t>
            </w:r>
          </w:p>
        </w:tc>
        <w:tc>
          <w:tcPr>
            <w:tcW w:w="0" w:type="auto"/>
            <w:shd w:val="clear" w:color="auto" w:fill="auto"/>
          </w:tcPr>
          <w:p w14:paraId="00BAA8D1" w14:textId="77777777" w:rsidR="008C5CFA" w:rsidRPr="00696324" w:rsidRDefault="00E82A60" w:rsidP="00300A01">
            <w:pPr>
              <w:spacing w:before="0" w:after="0"/>
              <w:rPr>
                <w:sz w:val="12"/>
                <w:szCs w:val="12"/>
                <w:lang w:val="fr-BE"/>
              </w:rPr>
            </w:pPr>
            <w:r w:rsidRPr="00696324">
              <w:rPr>
                <w:noProof/>
                <w:sz w:val="12"/>
                <w:szCs w:val="12"/>
                <w:lang w:val="fr-BE"/>
              </w:rPr>
              <w:t>O</w:t>
            </w:r>
          </w:p>
        </w:tc>
        <w:tc>
          <w:tcPr>
            <w:tcW w:w="0" w:type="auto"/>
          </w:tcPr>
          <w:p w14:paraId="13EAF7AD" w14:textId="77777777" w:rsidR="008C5CFA" w:rsidRPr="00696324" w:rsidRDefault="00E82A60" w:rsidP="00300A01">
            <w:pPr>
              <w:spacing w:before="0" w:after="0"/>
              <w:rPr>
                <w:sz w:val="12"/>
                <w:szCs w:val="12"/>
                <w:lang w:val="fr-BE"/>
              </w:rPr>
            </w:pPr>
            <w:r w:rsidRPr="00696324">
              <w:rPr>
                <w:noProof/>
                <w:sz w:val="12"/>
                <w:szCs w:val="12"/>
                <w:lang w:val="fr-BE"/>
              </w:rPr>
              <w:t>047</w:t>
            </w:r>
          </w:p>
        </w:tc>
        <w:tc>
          <w:tcPr>
            <w:tcW w:w="0" w:type="auto"/>
          </w:tcPr>
          <w:p w14:paraId="382C5F99" w14:textId="77777777" w:rsidR="008C5CFA" w:rsidRPr="00696324" w:rsidRDefault="00E82A60" w:rsidP="00300A01">
            <w:pPr>
              <w:spacing w:before="0" w:after="0"/>
              <w:rPr>
                <w:sz w:val="12"/>
                <w:szCs w:val="12"/>
                <w:lang w:val="fr-BE"/>
              </w:rPr>
            </w:pPr>
            <w:r w:rsidRPr="00696324">
              <w:rPr>
                <w:noProof/>
                <w:sz w:val="12"/>
                <w:szCs w:val="12"/>
                <w:lang w:val="fr-BE"/>
              </w:rPr>
              <w:t>Liczba obiektów infrastruktury jednostek organizacyjnych systemu oświaty</w:t>
            </w:r>
          </w:p>
        </w:tc>
        <w:tc>
          <w:tcPr>
            <w:tcW w:w="0" w:type="auto"/>
          </w:tcPr>
          <w:p w14:paraId="195C34F5" w14:textId="77777777" w:rsidR="008C5CFA" w:rsidRPr="00696324" w:rsidRDefault="00E82A60" w:rsidP="00300A01">
            <w:pPr>
              <w:spacing w:before="0" w:after="0"/>
              <w:rPr>
                <w:sz w:val="12"/>
                <w:szCs w:val="12"/>
                <w:lang w:val="fr-BE"/>
              </w:rPr>
            </w:pPr>
            <w:r w:rsidRPr="00696324">
              <w:rPr>
                <w:noProof/>
                <w:sz w:val="12"/>
                <w:szCs w:val="12"/>
                <w:lang w:val="fr-BE"/>
              </w:rPr>
              <w:t>szt.</w:t>
            </w:r>
          </w:p>
        </w:tc>
        <w:tc>
          <w:tcPr>
            <w:tcW w:w="0" w:type="auto"/>
          </w:tcPr>
          <w:p w14:paraId="01685800" w14:textId="77777777" w:rsidR="008C5CFA" w:rsidRPr="00696324" w:rsidRDefault="00E82A60" w:rsidP="00300A01">
            <w:pPr>
              <w:spacing w:before="0" w:after="0"/>
              <w:rPr>
                <w:sz w:val="12"/>
                <w:szCs w:val="12"/>
                <w:lang w:val="fr-BE"/>
              </w:rPr>
            </w:pPr>
            <w:r w:rsidRPr="00D4605F">
              <w:rPr>
                <w:noProof/>
                <w:sz w:val="12"/>
                <w:szCs w:val="12"/>
                <w:lang w:val="fr-BE"/>
              </w:rPr>
              <w:t>EFRR</w:t>
            </w:r>
          </w:p>
        </w:tc>
        <w:tc>
          <w:tcPr>
            <w:tcW w:w="0" w:type="auto"/>
          </w:tcPr>
          <w:p w14:paraId="1B04A5EF" w14:textId="77777777" w:rsidR="008C5CFA" w:rsidRPr="00696324" w:rsidRDefault="00E82A60" w:rsidP="00300A01">
            <w:pPr>
              <w:spacing w:before="0" w:after="0"/>
              <w:rPr>
                <w:sz w:val="12"/>
                <w:szCs w:val="12"/>
                <w:lang w:val="fr-BE"/>
              </w:rPr>
            </w:pPr>
            <w:r w:rsidRPr="00D4605F">
              <w:rPr>
                <w:noProof/>
                <w:sz w:val="12"/>
                <w:szCs w:val="12"/>
                <w:lang w:val="fr-BE"/>
              </w:rPr>
              <w:t>Słabiej rozwinięte</w:t>
            </w:r>
          </w:p>
        </w:tc>
        <w:tc>
          <w:tcPr>
            <w:tcW w:w="0" w:type="auto"/>
          </w:tcPr>
          <w:p w14:paraId="1C5E8291" w14:textId="77777777" w:rsidR="008C5CFA" w:rsidRPr="00696324" w:rsidRDefault="00E82A60" w:rsidP="00136029">
            <w:pPr>
              <w:spacing w:before="0" w:after="0"/>
              <w:jc w:val="right"/>
              <w:rPr>
                <w:sz w:val="12"/>
                <w:szCs w:val="12"/>
                <w:lang w:val="fr-BE"/>
              </w:rPr>
            </w:pPr>
            <w:r w:rsidRPr="00696324">
              <w:rPr>
                <w:noProof/>
                <w:sz w:val="12"/>
                <w:szCs w:val="12"/>
                <w:lang w:val="fr-BE"/>
              </w:rPr>
              <w:t>0,00</w:t>
            </w:r>
          </w:p>
        </w:tc>
        <w:tc>
          <w:tcPr>
            <w:tcW w:w="0" w:type="auto"/>
          </w:tcPr>
          <w:p w14:paraId="70C3B141" w14:textId="77777777" w:rsidR="008C5CFA" w:rsidRPr="00696324" w:rsidRDefault="00E82A60" w:rsidP="00136029">
            <w:pPr>
              <w:spacing w:before="0" w:after="0"/>
              <w:jc w:val="right"/>
              <w:rPr>
                <w:sz w:val="12"/>
                <w:szCs w:val="12"/>
                <w:lang w:val="fr-BE"/>
              </w:rPr>
            </w:pPr>
            <w:r w:rsidRPr="00696324">
              <w:rPr>
                <w:noProof/>
                <w:sz w:val="12"/>
                <w:szCs w:val="12"/>
                <w:lang w:val="fr-BE"/>
              </w:rPr>
              <w:t>0,00</w:t>
            </w:r>
          </w:p>
        </w:tc>
      </w:tr>
      <w:tr w:rsidR="006B2EC1" w14:paraId="30EEF446" w14:textId="77777777" w:rsidTr="0047688D">
        <w:tc>
          <w:tcPr>
            <w:tcW w:w="0" w:type="auto"/>
            <w:shd w:val="clear" w:color="auto" w:fill="auto"/>
          </w:tcPr>
          <w:p w14:paraId="611CA03F" w14:textId="77777777" w:rsidR="008C5CFA" w:rsidRPr="00696324" w:rsidRDefault="00E82A60" w:rsidP="00300A01">
            <w:pPr>
              <w:spacing w:before="0" w:after="0"/>
              <w:rPr>
                <w:sz w:val="12"/>
                <w:szCs w:val="12"/>
                <w:lang w:val="fr-BE"/>
              </w:rPr>
            </w:pPr>
            <w:r w:rsidRPr="00696324">
              <w:rPr>
                <w:noProof/>
                <w:sz w:val="12"/>
                <w:szCs w:val="12"/>
                <w:lang w:val="fr-BE"/>
              </w:rPr>
              <w:t>7</w:t>
            </w:r>
          </w:p>
        </w:tc>
        <w:tc>
          <w:tcPr>
            <w:tcW w:w="0" w:type="auto"/>
            <w:shd w:val="clear" w:color="auto" w:fill="auto"/>
          </w:tcPr>
          <w:p w14:paraId="223C7CEF" w14:textId="77777777" w:rsidR="008C5CFA" w:rsidRPr="00696324" w:rsidRDefault="00E82A60" w:rsidP="00300A01">
            <w:pPr>
              <w:spacing w:before="0" w:after="0"/>
              <w:rPr>
                <w:sz w:val="12"/>
                <w:szCs w:val="12"/>
                <w:lang w:val="fr-BE"/>
              </w:rPr>
            </w:pPr>
            <w:r w:rsidRPr="00696324">
              <w:rPr>
                <w:noProof/>
                <w:sz w:val="12"/>
                <w:szCs w:val="12"/>
                <w:lang w:val="fr-BE"/>
              </w:rPr>
              <w:t>O</w:t>
            </w:r>
          </w:p>
        </w:tc>
        <w:tc>
          <w:tcPr>
            <w:tcW w:w="0" w:type="auto"/>
          </w:tcPr>
          <w:p w14:paraId="0591B3D2" w14:textId="77777777" w:rsidR="008C5CFA" w:rsidRPr="00696324" w:rsidRDefault="00E82A60" w:rsidP="00300A01">
            <w:pPr>
              <w:spacing w:before="0" w:after="0"/>
              <w:rPr>
                <w:sz w:val="12"/>
                <w:szCs w:val="12"/>
                <w:lang w:val="fr-BE"/>
              </w:rPr>
            </w:pPr>
            <w:r w:rsidRPr="00696324">
              <w:rPr>
                <w:noProof/>
                <w:sz w:val="12"/>
                <w:szCs w:val="12"/>
                <w:lang w:val="fr-BE"/>
              </w:rPr>
              <w:t>050</w:t>
            </w:r>
          </w:p>
        </w:tc>
        <w:tc>
          <w:tcPr>
            <w:tcW w:w="0" w:type="auto"/>
          </w:tcPr>
          <w:p w14:paraId="41AC2E58" w14:textId="77777777" w:rsidR="008C5CFA" w:rsidRPr="00696324" w:rsidRDefault="00E82A60" w:rsidP="00300A01">
            <w:pPr>
              <w:spacing w:before="0" w:after="0"/>
              <w:rPr>
                <w:sz w:val="12"/>
                <w:szCs w:val="12"/>
                <w:lang w:val="fr-BE"/>
              </w:rPr>
            </w:pPr>
            <w:r w:rsidRPr="00696324">
              <w:rPr>
                <w:noProof/>
                <w:sz w:val="12"/>
                <w:szCs w:val="12"/>
                <w:lang w:val="fr-BE"/>
              </w:rPr>
              <w:t>Liczba wybudowanych oraz przebudowanych obiektów, w których realizowane są usługi aktywizacji społeczno-zawodowej</w:t>
            </w:r>
          </w:p>
        </w:tc>
        <w:tc>
          <w:tcPr>
            <w:tcW w:w="0" w:type="auto"/>
          </w:tcPr>
          <w:p w14:paraId="057AC282" w14:textId="77777777" w:rsidR="008C5CFA" w:rsidRPr="00696324" w:rsidRDefault="00E82A60" w:rsidP="00300A01">
            <w:pPr>
              <w:spacing w:before="0" w:after="0"/>
              <w:rPr>
                <w:sz w:val="12"/>
                <w:szCs w:val="12"/>
                <w:lang w:val="fr-BE"/>
              </w:rPr>
            </w:pPr>
            <w:r w:rsidRPr="00696324">
              <w:rPr>
                <w:noProof/>
                <w:sz w:val="12"/>
                <w:szCs w:val="12"/>
                <w:lang w:val="fr-BE"/>
              </w:rPr>
              <w:t>szt.</w:t>
            </w:r>
          </w:p>
        </w:tc>
        <w:tc>
          <w:tcPr>
            <w:tcW w:w="0" w:type="auto"/>
          </w:tcPr>
          <w:p w14:paraId="5184B537" w14:textId="77777777" w:rsidR="008C5CFA" w:rsidRPr="00696324" w:rsidRDefault="00E82A60" w:rsidP="00300A01">
            <w:pPr>
              <w:spacing w:before="0" w:after="0"/>
              <w:rPr>
                <w:sz w:val="12"/>
                <w:szCs w:val="12"/>
                <w:lang w:val="fr-BE"/>
              </w:rPr>
            </w:pPr>
            <w:r w:rsidRPr="00D4605F">
              <w:rPr>
                <w:noProof/>
                <w:sz w:val="12"/>
                <w:szCs w:val="12"/>
                <w:lang w:val="fr-BE"/>
              </w:rPr>
              <w:t>EFRR</w:t>
            </w:r>
          </w:p>
        </w:tc>
        <w:tc>
          <w:tcPr>
            <w:tcW w:w="0" w:type="auto"/>
          </w:tcPr>
          <w:p w14:paraId="6B28DD76" w14:textId="77777777" w:rsidR="008C5CFA" w:rsidRPr="00696324" w:rsidRDefault="00E82A60" w:rsidP="00300A01">
            <w:pPr>
              <w:spacing w:before="0" w:after="0"/>
              <w:rPr>
                <w:sz w:val="12"/>
                <w:szCs w:val="12"/>
                <w:lang w:val="fr-BE"/>
              </w:rPr>
            </w:pPr>
            <w:r w:rsidRPr="00D4605F">
              <w:rPr>
                <w:noProof/>
                <w:sz w:val="12"/>
                <w:szCs w:val="12"/>
                <w:lang w:val="fr-BE"/>
              </w:rPr>
              <w:t>Słabiej rozwinięte</w:t>
            </w:r>
          </w:p>
        </w:tc>
        <w:tc>
          <w:tcPr>
            <w:tcW w:w="0" w:type="auto"/>
          </w:tcPr>
          <w:p w14:paraId="19C4F9F2" w14:textId="77777777" w:rsidR="008C5CFA" w:rsidRPr="00696324" w:rsidRDefault="00E82A60" w:rsidP="00136029">
            <w:pPr>
              <w:spacing w:before="0" w:after="0"/>
              <w:jc w:val="right"/>
              <w:rPr>
                <w:sz w:val="12"/>
                <w:szCs w:val="12"/>
                <w:lang w:val="fr-BE"/>
              </w:rPr>
            </w:pPr>
            <w:r w:rsidRPr="00696324">
              <w:rPr>
                <w:noProof/>
                <w:sz w:val="12"/>
                <w:szCs w:val="12"/>
                <w:lang w:val="fr-BE"/>
              </w:rPr>
              <w:t>0,00</w:t>
            </w:r>
          </w:p>
        </w:tc>
        <w:tc>
          <w:tcPr>
            <w:tcW w:w="0" w:type="auto"/>
          </w:tcPr>
          <w:p w14:paraId="34B578FB" w14:textId="77777777" w:rsidR="008C5CFA" w:rsidRPr="00696324" w:rsidRDefault="00E82A60" w:rsidP="00136029">
            <w:pPr>
              <w:spacing w:before="0" w:after="0"/>
              <w:jc w:val="right"/>
              <w:rPr>
                <w:sz w:val="12"/>
                <w:szCs w:val="12"/>
                <w:lang w:val="fr-BE"/>
              </w:rPr>
            </w:pPr>
            <w:r w:rsidRPr="00696324">
              <w:rPr>
                <w:noProof/>
                <w:sz w:val="12"/>
                <w:szCs w:val="12"/>
                <w:lang w:val="fr-BE"/>
              </w:rPr>
              <w:t>0,00</w:t>
            </w:r>
          </w:p>
        </w:tc>
      </w:tr>
      <w:tr w:rsidR="006B2EC1" w14:paraId="6ED52EAD" w14:textId="77777777" w:rsidTr="0047688D">
        <w:tc>
          <w:tcPr>
            <w:tcW w:w="0" w:type="auto"/>
            <w:shd w:val="clear" w:color="auto" w:fill="auto"/>
          </w:tcPr>
          <w:p w14:paraId="5A1DF905" w14:textId="77777777" w:rsidR="008C5CFA" w:rsidRPr="00696324" w:rsidRDefault="00E82A60" w:rsidP="00300A01">
            <w:pPr>
              <w:spacing w:before="0" w:after="0"/>
              <w:rPr>
                <w:sz w:val="12"/>
                <w:szCs w:val="12"/>
                <w:lang w:val="fr-BE"/>
              </w:rPr>
            </w:pPr>
            <w:r w:rsidRPr="00696324">
              <w:rPr>
                <w:noProof/>
                <w:sz w:val="12"/>
                <w:szCs w:val="12"/>
                <w:lang w:val="fr-BE"/>
              </w:rPr>
              <w:t>7</w:t>
            </w:r>
          </w:p>
        </w:tc>
        <w:tc>
          <w:tcPr>
            <w:tcW w:w="0" w:type="auto"/>
            <w:shd w:val="clear" w:color="auto" w:fill="auto"/>
          </w:tcPr>
          <w:p w14:paraId="4AE71B9E" w14:textId="77777777" w:rsidR="008C5CFA" w:rsidRPr="00696324" w:rsidRDefault="00E82A60" w:rsidP="00300A01">
            <w:pPr>
              <w:spacing w:before="0" w:after="0"/>
              <w:rPr>
                <w:sz w:val="12"/>
                <w:szCs w:val="12"/>
                <w:lang w:val="fr-BE"/>
              </w:rPr>
            </w:pPr>
            <w:r w:rsidRPr="00696324">
              <w:rPr>
                <w:noProof/>
                <w:sz w:val="12"/>
                <w:szCs w:val="12"/>
                <w:lang w:val="fr-BE"/>
              </w:rPr>
              <w:t>O</w:t>
            </w:r>
          </w:p>
        </w:tc>
        <w:tc>
          <w:tcPr>
            <w:tcW w:w="0" w:type="auto"/>
          </w:tcPr>
          <w:p w14:paraId="1F1B5E55" w14:textId="77777777" w:rsidR="008C5CFA" w:rsidRPr="00696324" w:rsidRDefault="00E82A60" w:rsidP="00300A01">
            <w:pPr>
              <w:spacing w:before="0" w:after="0"/>
              <w:rPr>
                <w:sz w:val="12"/>
                <w:szCs w:val="12"/>
                <w:lang w:val="fr-BE"/>
              </w:rPr>
            </w:pPr>
            <w:r w:rsidRPr="00696324">
              <w:rPr>
                <w:noProof/>
                <w:sz w:val="12"/>
                <w:szCs w:val="12"/>
                <w:lang w:val="fr-BE"/>
              </w:rPr>
              <w:t>88</w:t>
            </w:r>
          </w:p>
        </w:tc>
        <w:tc>
          <w:tcPr>
            <w:tcW w:w="0" w:type="auto"/>
          </w:tcPr>
          <w:p w14:paraId="77FEA5DD" w14:textId="77777777" w:rsidR="008C5CFA" w:rsidRPr="00696324" w:rsidRDefault="00E82A60" w:rsidP="00300A01">
            <w:pPr>
              <w:spacing w:before="0" w:after="0"/>
              <w:rPr>
                <w:sz w:val="12"/>
                <w:szCs w:val="12"/>
                <w:lang w:val="fr-BE"/>
              </w:rPr>
            </w:pPr>
            <w:r w:rsidRPr="00696324">
              <w:rPr>
                <w:noProof/>
                <w:sz w:val="12"/>
                <w:szCs w:val="12"/>
                <w:lang w:val="fr-BE"/>
              </w:rPr>
              <w:t>Liczba wspartych podmiotów leczniczych</w:t>
            </w:r>
          </w:p>
        </w:tc>
        <w:tc>
          <w:tcPr>
            <w:tcW w:w="0" w:type="auto"/>
          </w:tcPr>
          <w:p w14:paraId="7F2DF7F5" w14:textId="77777777" w:rsidR="008C5CFA" w:rsidRPr="00696324" w:rsidRDefault="00E82A60" w:rsidP="00300A01">
            <w:pPr>
              <w:spacing w:before="0" w:after="0"/>
              <w:rPr>
                <w:sz w:val="12"/>
                <w:szCs w:val="12"/>
                <w:lang w:val="fr-BE"/>
              </w:rPr>
            </w:pPr>
            <w:r w:rsidRPr="00696324">
              <w:rPr>
                <w:noProof/>
                <w:sz w:val="12"/>
                <w:szCs w:val="12"/>
                <w:lang w:val="fr-BE"/>
              </w:rPr>
              <w:t>szt.</w:t>
            </w:r>
          </w:p>
        </w:tc>
        <w:tc>
          <w:tcPr>
            <w:tcW w:w="0" w:type="auto"/>
          </w:tcPr>
          <w:p w14:paraId="218E68C4" w14:textId="77777777" w:rsidR="008C5CFA" w:rsidRPr="00696324" w:rsidRDefault="00E82A60" w:rsidP="00300A01">
            <w:pPr>
              <w:spacing w:before="0" w:after="0"/>
              <w:rPr>
                <w:sz w:val="12"/>
                <w:szCs w:val="12"/>
                <w:lang w:val="fr-BE"/>
              </w:rPr>
            </w:pPr>
            <w:r w:rsidRPr="00D4605F">
              <w:rPr>
                <w:noProof/>
                <w:sz w:val="12"/>
                <w:szCs w:val="12"/>
                <w:lang w:val="fr-BE"/>
              </w:rPr>
              <w:t>EFRR</w:t>
            </w:r>
          </w:p>
        </w:tc>
        <w:tc>
          <w:tcPr>
            <w:tcW w:w="0" w:type="auto"/>
          </w:tcPr>
          <w:p w14:paraId="6F55FD4B" w14:textId="77777777" w:rsidR="008C5CFA" w:rsidRPr="00696324" w:rsidRDefault="00E82A60" w:rsidP="00300A01">
            <w:pPr>
              <w:spacing w:before="0" w:after="0"/>
              <w:rPr>
                <w:sz w:val="12"/>
                <w:szCs w:val="12"/>
                <w:lang w:val="fr-BE"/>
              </w:rPr>
            </w:pPr>
            <w:r w:rsidRPr="00D4605F">
              <w:rPr>
                <w:noProof/>
                <w:sz w:val="12"/>
                <w:szCs w:val="12"/>
                <w:lang w:val="fr-BE"/>
              </w:rPr>
              <w:t>Słabiej rozwinięte</w:t>
            </w:r>
          </w:p>
        </w:tc>
        <w:tc>
          <w:tcPr>
            <w:tcW w:w="0" w:type="auto"/>
          </w:tcPr>
          <w:p w14:paraId="50E31B22" w14:textId="77777777" w:rsidR="008C5CFA" w:rsidRPr="00696324" w:rsidRDefault="00E82A60" w:rsidP="00136029">
            <w:pPr>
              <w:spacing w:before="0" w:after="0"/>
              <w:jc w:val="right"/>
              <w:rPr>
                <w:sz w:val="12"/>
                <w:szCs w:val="12"/>
                <w:lang w:val="fr-BE"/>
              </w:rPr>
            </w:pPr>
            <w:r w:rsidRPr="00696324">
              <w:rPr>
                <w:noProof/>
                <w:sz w:val="12"/>
                <w:szCs w:val="12"/>
                <w:lang w:val="fr-BE"/>
              </w:rPr>
              <w:t>0,00</w:t>
            </w:r>
          </w:p>
        </w:tc>
        <w:tc>
          <w:tcPr>
            <w:tcW w:w="0" w:type="auto"/>
          </w:tcPr>
          <w:p w14:paraId="3394CEFA" w14:textId="77777777" w:rsidR="008C5CFA" w:rsidRPr="00696324" w:rsidRDefault="00E82A60" w:rsidP="00136029">
            <w:pPr>
              <w:spacing w:before="0" w:after="0"/>
              <w:jc w:val="right"/>
              <w:rPr>
                <w:sz w:val="12"/>
                <w:szCs w:val="12"/>
                <w:lang w:val="fr-BE"/>
              </w:rPr>
            </w:pPr>
            <w:r w:rsidRPr="00696324">
              <w:rPr>
                <w:noProof/>
                <w:sz w:val="12"/>
                <w:szCs w:val="12"/>
                <w:lang w:val="fr-BE"/>
              </w:rPr>
              <w:t>0,00</w:t>
            </w:r>
          </w:p>
        </w:tc>
      </w:tr>
      <w:tr w:rsidR="006B2EC1" w14:paraId="6739FACF" w14:textId="77777777" w:rsidTr="0047688D">
        <w:tc>
          <w:tcPr>
            <w:tcW w:w="0" w:type="auto"/>
            <w:shd w:val="clear" w:color="auto" w:fill="auto"/>
          </w:tcPr>
          <w:p w14:paraId="036C853C" w14:textId="77777777" w:rsidR="008C5CFA" w:rsidRPr="00696324" w:rsidRDefault="00E82A60" w:rsidP="00300A01">
            <w:pPr>
              <w:spacing w:before="0" w:after="0"/>
              <w:rPr>
                <w:sz w:val="12"/>
                <w:szCs w:val="12"/>
                <w:lang w:val="fr-BE"/>
              </w:rPr>
            </w:pPr>
            <w:r w:rsidRPr="00696324">
              <w:rPr>
                <w:noProof/>
                <w:sz w:val="12"/>
                <w:szCs w:val="12"/>
                <w:lang w:val="fr-BE"/>
              </w:rPr>
              <w:t>8</w:t>
            </w:r>
          </w:p>
        </w:tc>
        <w:tc>
          <w:tcPr>
            <w:tcW w:w="0" w:type="auto"/>
            <w:shd w:val="clear" w:color="auto" w:fill="auto"/>
          </w:tcPr>
          <w:p w14:paraId="753FEEF0" w14:textId="77777777" w:rsidR="008C5CFA" w:rsidRPr="00696324" w:rsidRDefault="00E82A60" w:rsidP="00300A01">
            <w:pPr>
              <w:spacing w:before="0" w:after="0"/>
              <w:rPr>
                <w:sz w:val="12"/>
                <w:szCs w:val="12"/>
                <w:lang w:val="fr-BE"/>
              </w:rPr>
            </w:pPr>
            <w:r w:rsidRPr="00696324">
              <w:rPr>
                <w:noProof/>
                <w:sz w:val="12"/>
                <w:szCs w:val="12"/>
                <w:lang w:val="fr-BE"/>
              </w:rPr>
              <w:t>F</w:t>
            </w:r>
          </w:p>
        </w:tc>
        <w:tc>
          <w:tcPr>
            <w:tcW w:w="0" w:type="auto"/>
          </w:tcPr>
          <w:p w14:paraId="30BE6A78" w14:textId="77777777" w:rsidR="008C5CFA" w:rsidRPr="00696324" w:rsidRDefault="00E82A60" w:rsidP="00300A01">
            <w:pPr>
              <w:spacing w:before="0" w:after="0"/>
              <w:rPr>
                <w:sz w:val="12"/>
                <w:szCs w:val="12"/>
                <w:lang w:val="fr-BE"/>
              </w:rPr>
            </w:pPr>
            <w:r w:rsidRPr="00696324">
              <w:rPr>
                <w:noProof/>
                <w:sz w:val="12"/>
                <w:szCs w:val="12"/>
                <w:lang w:val="fr-BE"/>
              </w:rPr>
              <w:t>001</w:t>
            </w:r>
          </w:p>
        </w:tc>
        <w:tc>
          <w:tcPr>
            <w:tcW w:w="0" w:type="auto"/>
          </w:tcPr>
          <w:p w14:paraId="14074C0C" w14:textId="77777777" w:rsidR="008C5CFA" w:rsidRPr="00696324" w:rsidRDefault="00E82A60" w:rsidP="00300A01">
            <w:pPr>
              <w:spacing w:before="0" w:after="0"/>
              <w:rPr>
                <w:sz w:val="12"/>
                <w:szCs w:val="12"/>
                <w:lang w:val="fr-BE"/>
              </w:rPr>
            </w:pPr>
            <w:r w:rsidRPr="00696324">
              <w:rPr>
                <w:noProof/>
                <w:sz w:val="12"/>
                <w:szCs w:val="12"/>
                <w:lang w:val="fr-BE"/>
              </w:rPr>
              <w:t>Całkowita kwota certyfikowanych wydatków kwalifikowalnych</w:t>
            </w:r>
          </w:p>
        </w:tc>
        <w:tc>
          <w:tcPr>
            <w:tcW w:w="0" w:type="auto"/>
          </w:tcPr>
          <w:p w14:paraId="76FD22A7" w14:textId="77777777" w:rsidR="008C5CFA" w:rsidRPr="00696324" w:rsidRDefault="00E82A60" w:rsidP="00300A01">
            <w:pPr>
              <w:spacing w:before="0" w:after="0"/>
              <w:rPr>
                <w:sz w:val="12"/>
                <w:szCs w:val="12"/>
                <w:lang w:val="fr-BE"/>
              </w:rPr>
            </w:pPr>
            <w:r w:rsidRPr="00696324">
              <w:rPr>
                <w:noProof/>
                <w:sz w:val="12"/>
                <w:szCs w:val="12"/>
                <w:lang w:val="fr-BE"/>
              </w:rPr>
              <w:t>EUR</w:t>
            </w:r>
          </w:p>
        </w:tc>
        <w:tc>
          <w:tcPr>
            <w:tcW w:w="0" w:type="auto"/>
          </w:tcPr>
          <w:p w14:paraId="682746A5" w14:textId="77777777" w:rsidR="008C5CFA" w:rsidRPr="00696324" w:rsidRDefault="00E82A60" w:rsidP="00300A01">
            <w:pPr>
              <w:spacing w:before="0" w:after="0"/>
              <w:rPr>
                <w:sz w:val="12"/>
                <w:szCs w:val="12"/>
                <w:lang w:val="fr-BE"/>
              </w:rPr>
            </w:pPr>
            <w:r w:rsidRPr="00D4605F">
              <w:rPr>
                <w:noProof/>
                <w:sz w:val="12"/>
                <w:szCs w:val="12"/>
                <w:lang w:val="fr-BE"/>
              </w:rPr>
              <w:t>EFS</w:t>
            </w:r>
          </w:p>
        </w:tc>
        <w:tc>
          <w:tcPr>
            <w:tcW w:w="0" w:type="auto"/>
          </w:tcPr>
          <w:p w14:paraId="45CE0A06" w14:textId="77777777" w:rsidR="008C5CFA" w:rsidRPr="00696324" w:rsidRDefault="00E82A60" w:rsidP="00300A01">
            <w:pPr>
              <w:spacing w:before="0" w:after="0"/>
              <w:rPr>
                <w:sz w:val="12"/>
                <w:szCs w:val="12"/>
                <w:lang w:val="fr-BE"/>
              </w:rPr>
            </w:pPr>
            <w:r w:rsidRPr="00D4605F">
              <w:rPr>
                <w:noProof/>
                <w:sz w:val="12"/>
                <w:szCs w:val="12"/>
                <w:lang w:val="fr-BE"/>
              </w:rPr>
              <w:t>Słabiej rozwinięte</w:t>
            </w:r>
          </w:p>
        </w:tc>
        <w:tc>
          <w:tcPr>
            <w:tcW w:w="0" w:type="auto"/>
          </w:tcPr>
          <w:p w14:paraId="0C63591B" w14:textId="77777777" w:rsidR="008C5CFA" w:rsidRPr="00696324" w:rsidRDefault="00E82A60" w:rsidP="00136029">
            <w:pPr>
              <w:spacing w:before="0" w:after="0"/>
              <w:jc w:val="right"/>
              <w:rPr>
                <w:sz w:val="12"/>
                <w:szCs w:val="12"/>
                <w:lang w:val="fr-BE"/>
              </w:rPr>
            </w:pPr>
            <w:r w:rsidRPr="00696324">
              <w:rPr>
                <w:noProof/>
                <w:sz w:val="12"/>
                <w:szCs w:val="12"/>
                <w:lang w:val="fr-BE"/>
              </w:rPr>
              <w:t>0,00</w:t>
            </w:r>
          </w:p>
        </w:tc>
        <w:tc>
          <w:tcPr>
            <w:tcW w:w="0" w:type="auto"/>
          </w:tcPr>
          <w:p w14:paraId="5A5E1AE0" w14:textId="77777777" w:rsidR="008C5CFA" w:rsidRPr="00696324" w:rsidRDefault="00E82A60" w:rsidP="00136029">
            <w:pPr>
              <w:spacing w:before="0" w:after="0"/>
              <w:jc w:val="right"/>
              <w:rPr>
                <w:sz w:val="12"/>
                <w:szCs w:val="12"/>
                <w:lang w:val="fr-BE"/>
              </w:rPr>
            </w:pPr>
            <w:r w:rsidRPr="00696324">
              <w:rPr>
                <w:noProof/>
                <w:sz w:val="12"/>
                <w:szCs w:val="12"/>
                <w:lang w:val="fr-BE"/>
              </w:rPr>
              <w:t>0,00</w:t>
            </w:r>
          </w:p>
        </w:tc>
      </w:tr>
      <w:tr w:rsidR="006B2EC1" w14:paraId="3482FAB6" w14:textId="77777777" w:rsidTr="0047688D">
        <w:tc>
          <w:tcPr>
            <w:tcW w:w="0" w:type="auto"/>
            <w:shd w:val="clear" w:color="auto" w:fill="auto"/>
          </w:tcPr>
          <w:p w14:paraId="3657C592" w14:textId="77777777" w:rsidR="008C5CFA" w:rsidRPr="00696324" w:rsidRDefault="00E82A60" w:rsidP="00300A01">
            <w:pPr>
              <w:spacing w:before="0" w:after="0"/>
              <w:rPr>
                <w:sz w:val="12"/>
                <w:szCs w:val="12"/>
                <w:lang w:val="fr-BE"/>
              </w:rPr>
            </w:pPr>
            <w:r w:rsidRPr="00696324">
              <w:rPr>
                <w:noProof/>
                <w:sz w:val="12"/>
                <w:szCs w:val="12"/>
                <w:lang w:val="fr-BE"/>
              </w:rPr>
              <w:t>8</w:t>
            </w:r>
          </w:p>
        </w:tc>
        <w:tc>
          <w:tcPr>
            <w:tcW w:w="0" w:type="auto"/>
            <w:shd w:val="clear" w:color="auto" w:fill="auto"/>
          </w:tcPr>
          <w:p w14:paraId="60433ADE" w14:textId="77777777" w:rsidR="008C5CFA" w:rsidRPr="00696324" w:rsidRDefault="00E82A60" w:rsidP="00300A01">
            <w:pPr>
              <w:spacing w:before="0" w:after="0"/>
              <w:rPr>
                <w:sz w:val="12"/>
                <w:szCs w:val="12"/>
                <w:lang w:val="fr-BE"/>
              </w:rPr>
            </w:pPr>
            <w:r w:rsidRPr="00696324">
              <w:rPr>
                <w:noProof/>
                <w:sz w:val="12"/>
                <w:szCs w:val="12"/>
                <w:lang w:val="fr-BE"/>
              </w:rPr>
              <w:t>O</w:t>
            </w:r>
          </w:p>
        </w:tc>
        <w:tc>
          <w:tcPr>
            <w:tcW w:w="0" w:type="auto"/>
          </w:tcPr>
          <w:p w14:paraId="0E3645C5" w14:textId="77777777" w:rsidR="008C5CFA" w:rsidRPr="00696324" w:rsidRDefault="00E82A60" w:rsidP="00300A01">
            <w:pPr>
              <w:spacing w:before="0" w:after="0"/>
              <w:rPr>
                <w:sz w:val="12"/>
                <w:szCs w:val="12"/>
                <w:lang w:val="fr-BE"/>
              </w:rPr>
            </w:pPr>
            <w:r w:rsidRPr="00696324">
              <w:rPr>
                <w:noProof/>
                <w:sz w:val="12"/>
                <w:szCs w:val="12"/>
                <w:lang w:val="fr-BE"/>
              </w:rPr>
              <w:t>004</w:t>
            </w:r>
          </w:p>
        </w:tc>
        <w:tc>
          <w:tcPr>
            <w:tcW w:w="0" w:type="auto"/>
          </w:tcPr>
          <w:p w14:paraId="531F585A" w14:textId="77777777" w:rsidR="008C5CFA" w:rsidRPr="00696324" w:rsidRDefault="00E82A60" w:rsidP="00300A01">
            <w:pPr>
              <w:spacing w:before="0" w:after="0"/>
              <w:rPr>
                <w:sz w:val="12"/>
                <w:szCs w:val="12"/>
                <w:lang w:val="fr-BE"/>
              </w:rPr>
            </w:pPr>
            <w:r w:rsidRPr="00696324">
              <w:rPr>
                <w:noProof/>
                <w:sz w:val="12"/>
                <w:szCs w:val="12"/>
                <w:lang w:val="fr-BE"/>
              </w:rPr>
              <w:t>Liczba osób opiekujących się dziećmi w wieku do lat 3 objętych wsparciem w programie</w:t>
            </w:r>
          </w:p>
        </w:tc>
        <w:tc>
          <w:tcPr>
            <w:tcW w:w="0" w:type="auto"/>
          </w:tcPr>
          <w:p w14:paraId="748D60F7" w14:textId="77777777" w:rsidR="008C5CFA" w:rsidRPr="00696324" w:rsidRDefault="00E82A60" w:rsidP="00300A01">
            <w:pPr>
              <w:spacing w:before="0" w:after="0"/>
              <w:rPr>
                <w:sz w:val="12"/>
                <w:szCs w:val="12"/>
                <w:lang w:val="fr-BE"/>
              </w:rPr>
            </w:pPr>
            <w:r w:rsidRPr="00696324">
              <w:rPr>
                <w:noProof/>
                <w:sz w:val="12"/>
                <w:szCs w:val="12"/>
                <w:lang w:val="fr-BE"/>
              </w:rPr>
              <w:t>osoba</w:t>
            </w:r>
          </w:p>
        </w:tc>
        <w:tc>
          <w:tcPr>
            <w:tcW w:w="0" w:type="auto"/>
          </w:tcPr>
          <w:p w14:paraId="6ECDCFA0" w14:textId="77777777" w:rsidR="008C5CFA" w:rsidRPr="00696324" w:rsidRDefault="00E82A60" w:rsidP="00300A01">
            <w:pPr>
              <w:spacing w:before="0" w:after="0"/>
              <w:rPr>
                <w:sz w:val="12"/>
                <w:szCs w:val="12"/>
                <w:lang w:val="fr-BE"/>
              </w:rPr>
            </w:pPr>
            <w:r w:rsidRPr="00D4605F">
              <w:rPr>
                <w:noProof/>
                <w:sz w:val="12"/>
                <w:szCs w:val="12"/>
                <w:lang w:val="fr-BE"/>
              </w:rPr>
              <w:t>EFS</w:t>
            </w:r>
          </w:p>
        </w:tc>
        <w:tc>
          <w:tcPr>
            <w:tcW w:w="0" w:type="auto"/>
          </w:tcPr>
          <w:p w14:paraId="68A31C8B" w14:textId="77777777" w:rsidR="008C5CFA" w:rsidRPr="00696324" w:rsidRDefault="00E82A60" w:rsidP="00300A01">
            <w:pPr>
              <w:spacing w:before="0" w:after="0"/>
              <w:rPr>
                <w:sz w:val="12"/>
                <w:szCs w:val="12"/>
                <w:lang w:val="fr-BE"/>
              </w:rPr>
            </w:pPr>
            <w:r w:rsidRPr="00D4605F">
              <w:rPr>
                <w:noProof/>
                <w:sz w:val="12"/>
                <w:szCs w:val="12"/>
                <w:lang w:val="fr-BE"/>
              </w:rPr>
              <w:t>Słabiej rozwinięte</w:t>
            </w:r>
          </w:p>
        </w:tc>
        <w:tc>
          <w:tcPr>
            <w:tcW w:w="0" w:type="auto"/>
          </w:tcPr>
          <w:p w14:paraId="548ADE3B" w14:textId="77777777" w:rsidR="008C5CFA" w:rsidRPr="00696324" w:rsidRDefault="00E82A60" w:rsidP="00136029">
            <w:pPr>
              <w:spacing w:before="0" w:after="0"/>
              <w:jc w:val="right"/>
              <w:rPr>
                <w:sz w:val="12"/>
                <w:szCs w:val="12"/>
                <w:lang w:val="fr-BE"/>
              </w:rPr>
            </w:pPr>
            <w:r w:rsidRPr="00696324">
              <w:rPr>
                <w:noProof/>
                <w:sz w:val="12"/>
                <w:szCs w:val="12"/>
                <w:lang w:val="fr-BE"/>
              </w:rPr>
              <w:t>0,00</w:t>
            </w:r>
          </w:p>
        </w:tc>
        <w:tc>
          <w:tcPr>
            <w:tcW w:w="0" w:type="auto"/>
          </w:tcPr>
          <w:p w14:paraId="6E7C6030" w14:textId="77777777" w:rsidR="008C5CFA" w:rsidRPr="00696324" w:rsidRDefault="00E82A60" w:rsidP="00136029">
            <w:pPr>
              <w:spacing w:before="0" w:after="0"/>
              <w:jc w:val="right"/>
              <w:rPr>
                <w:sz w:val="12"/>
                <w:szCs w:val="12"/>
                <w:lang w:val="fr-BE"/>
              </w:rPr>
            </w:pPr>
            <w:r w:rsidRPr="00696324">
              <w:rPr>
                <w:noProof/>
                <w:sz w:val="12"/>
                <w:szCs w:val="12"/>
                <w:lang w:val="fr-BE"/>
              </w:rPr>
              <w:t>0,00</w:t>
            </w:r>
          </w:p>
        </w:tc>
      </w:tr>
      <w:tr w:rsidR="006B2EC1" w14:paraId="5ECC2182" w14:textId="77777777" w:rsidTr="0047688D">
        <w:tc>
          <w:tcPr>
            <w:tcW w:w="0" w:type="auto"/>
            <w:shd w:val="clear" w:color="auto" w:fill="auto"/>
          </w:tcPr>
          <w:p w14:paraId="1FD8F9E7" w14:textId="77777777" w:rsidR="008C5CFA" w:rsidRPr="00696324" w:rsidRDefault="00E82A60" w:rsidP="00300A01">
            <w:pPr>
              <w:spacing w:before="0" w:after="0"/>
              <w:rPr>
                <w:sz w:val="12"/>
                <w:szCs w:val="12"/>
                <w:lang w:val="fr-BE"/>
              </w:rPr>
            </w:pPr>
            <w:r w:rsidRPr="00696324">
              <w:rPr>
                <w:noProof/>
                <w:sz w:val="12"/>
                <w:szCs w:val="12"/>
                <w:lang w:val="fr-BE"/>
              </w:rPr>
              <w:t>8</w:t>
            </w:r>
          </w:p>
        </w:tc>
        <w:tc>
          <w:tcPr>
            <w:tcW w:w="0" w:type="auto"/>
            <w:shd w:val="clear" w:color="auto" w:fill="auto"/>
          </w:tcPr>
          <w:p w14:paraId="61F7C7F7" w14:textId="77777777" w:rsidR="008C5CFA" w:rsidRPr="00696324" w:rsidRDefault="00E82A60" w:rsidP="00300A01">
            <w:pPr>
              <w:spacing w:before="0" w:after="0"/>
              <w:rPr>
                <w:sz w:val="12"/>
                <w:szCs w:val="12"/>
                <w:lang w:val="fr-BE"/>
              </w:rPr>
            </w:pPr>
            <w:r w:rsidRPr="00696324">
              <w:rPr>
                <w:noProof/>
                <w:sz w:val="12"/>
                <w:szCs w:val="12"/>
                <w:lang w:val="fr-BE"/>
              </w:rPr>
              <w:t>O</w:t>
            </w:r>
          </w:p>
        </w:tc>
        <w:tc>
          <w:tcPr>
            <w:tcW w:w="0" w:type="auto"/>
          </w:tcPr>
          <w:p w14:paraId="79BF3FA5" w14:textId="77777777" w:rsidR="008C5CFA" w:rsidRPr="00696324" w:rsidRDefault="00E82A60" w:rsidP="00300A01">
            <w:pPr>
              <w:spacing w:before="0" w:after="0"/>
              <w:rPr>
                <w:sz w:val="12"/>
                <w:szCs w:val="12"/>
                <w:lang w:val="fr-BE"/>
              </w:rPr>
            </w:pPr>
            <w:r w:rsidRPr="00696324">
              <w:rPr>
                <w:noProof/>
                <w:sz w:val="12"/>
                <w:szCs w:val="12"/>
                <w:lang w:val="fr-BE"/>
              </w:rPr>
              <w:t>102</w:t>
            </w:r>
          </w:p>
        </w:tc>
        <w:tc>
          <w:tcPr>
            <w:tcW w:w="0" w:type="auto"/>
          </w:tcPr>
          <w:p w14:paraId="38F992E1" w14:textId="77777777" w:rsidR="008C5CFA" w:rsidRPr="00696324" w:rsidRDefault="00E82A60" w:rsidP="00300A01">
            <w:pPr>
              <w:spacing w:before="0" w:after="0"/>
              <w:rPr>
                <w:sz w:val="12"/>
                <w:szCs w:val="12"/>
                <w:lang w:val="fr-BE"/>
              </w:rPr>
            </w:pPr>
            <w:r w:rsidRPr="00696324">
              <w:rPr>
                <w:noProof/>
                <w:sz w:val="12"/>
                <w:szCs w:val="12"/>
                <w:lang w:val="fr-BE"/>
              </w:rPr>
              <w:t>Liczba uczniów objętych wsparciem w programie</w:t>
            </w:r>
          </w:p>
        </w:tc>
        <w:tc>
          <w:tcPr>
            <w:tcW w:w="0" w:type="auto"/>
          </w:tcPr>
          <w:p w14:paraId="598497FB" w14:textId="77777777" w:rsidR="008C5CFA" w:rsidRPr="00696324" w:rsidRDefault="00E82A60" w:rsidP="00300A01">
            <w:pPr>
              <w:spacing w:before="0" w:after="0"/>
              <w:rPr>
                <w:sz w:val="12"/>
                <w:szCs w:val="12"/>
                <w:lang w:val="fr-BE"/>
              </w:rPr>
            </w:pPr>
            <w:r w:rsidRPr="00696324">
              <w:rPr>
                <w:noProof/>
                <w:sz w:val="12"/>
                <w:szCs w:val="12"/>
                <w:lang w:val="fr-BE"/>
              </w:rPr>
              <w:t>osoba</w:t>
            </w:r>
          </w:p>
        </w:tc>
        <w:tc>
          <w:tcPr>
            <w:tcW w:w="0" w:type="auto"/>
          </w:tcPr>
          <w:p w14:paraId="4EC754A5" w14:textId="77777777" w:rsidR="008C5CFA" w:rsidRPr="00696324" w:rsidRDefault="00E82A60" w:rsidP="00300A01">
            <w:pPr>
              <w:spacing w:before="0" w:after="0"/>
              <w:rPr>
                <w:sz w:val="12"/>
                <w:szCs w:val="12"/>
                <w:lang w:val="fr-BE"/>
              </w:rPr>
            </w:pPr>
            <w:r w:rsidRPr="00D4605F">
              <w:rPr>
                <w:noProof/>
                <w:sz w:val="12"/>
                <w:szCs w:val="12"/>
                <w:lang w:val="fr-BE"/>
              </w:rPr>
              <w:t>EFS</w:t>
            </w:r>
          </w:p>
        </w:tc>
        <w:tc>
          <w:tcPr>
            <w:tcW w:w="0" w:type="auto"/>
          </w:tcPr>
          <w:p w14:paraId="50071D53" w14:textId="77777777" w:rsidR="008C5CFA" w:rsidRPr="00696324" w:rsidRDefault="00E82A60" w:rsidP="00300A01">
            <w:pPr>
              <w:spacing w:before="0" w:after="0"/>
              <w:rPr>
                <w:sz w:val="12"/>
                <w:szCs w:val="12"/>
                <w:lang w:val="fr-BE"/>
              </w:rPr>
            </w:pPr>
            <w:r w:rsidRPr="00D4605F">
              <w:rPr>
                <w:noProof/>
                <w:sz w:val="12"/>
                <w:szCs w:val="12"/>
                <w:lang w:val="fr-BE"/>
              </w:rPr>
              <w:t>Słabiej rozwinięte</w:t>
            </w:r>
          </w:p>
        </w:tc>
        <w:tc>
          <w:tcPr>
            <w:tcW w:w="0" w:type="auto"/>
          </w:tcPr>
          <w:p w14:paraId="3BFCDBC2" w14:textId="77777777" w:rsidR="008C5CFA" w:rsidRPr="00696324" w:rsidRDefault="00E82A60" w:rsidP="00136029">
            <w:pPr>
              <w:spacing w:before="0" w:after="0"/>
              <w:jc w:val="right"/>
              <w:rPr>
                <w:sz w:val="12"/>
                <w:szCs w:val="12"/>
                <w:lang w:val="fr-BE"/>
              </w:rPr>
            </w:pPr>
            <w:r w:rsidRPr="00696324">
              <w:rPr>
                <w:noProof/>
                <w:sz w:val="12"/>
                <w:szCs w:val="12"/>
                <w:lang w:val="fr-BE"/>
              </w:rPr>
              <w:t>0,00</w:t>
            </w:r>
          </w:p>
        </w:tc>
        <w:tc>
          <w:tcPr>
            <w:tcW w:w="0" w:type="auto"/>
          </w:tcPr>
          <w:p w14:paraId="6E877CD0" w14:textId="77777777" w:rsidR="008C5CFA" w:rsidRPr="00696324" w:rsidRDefault="00E82A60" w:rsidP="00136029">
            <w:pPr>
              <w:spacing w:before="0" w:after="0"/>
              <w:jc w:val="right"/>
              <w:rPr>
                <w:sz w:val="12"/>
                <w:szCs w:val="12"/>
                <w:lang w:val="fr-BE"/>
              </w:rPr>
            </w:pPr>
            <w:r w:rsidRPr="00696324">
              <w:rPr>
                <w:noProof/>
                <w:sz w:val="12"/>
                <w:szCs w:val="12"/>
                <w:lang w:val="fr-BE"/>
              </w:rPr>
              <w:t>0,00</w:t>
            </w:r>
          </w:p>
        </w:tc>
      </w:tr>
      <w:tr w:rsidR="006B2EC1" w14:paraId="1CDA8C5B" w14:textId="77777777" w:rsidTr="0047688D">
        <w:tc>
          <w:tcPr>
            <w:tcW w:w="0" w:type="auto"/>
            <w:shd w:val="clear" w:color="auto" w:fill="auto"/>
          </w:tcPr>
          <w:p w14:paraId="582E726F" w14:textId="77777777" w:rsidR="008C5CFA" w:rsidRPr="00696324" w:rsidRDefault="00E82A60" w:rsidP="00300A01">
            <w:pPr>
              <w:spacing w:before="0" w:after="0"/>
              <w:rPr>
                <w:sz w:val="12"/>
                <w:szCs w:val="12"/>
                <w:lang w:val="fr-BE"/>
              </w:rPr>
            </w:pPr>
            <w:r w:rsidRPr="00696324">
              <w:rPr>
                <w:noProof/>
                <w:sz w:val="12"/>
                <w:szCs w:val="12"/>
                <w:lang w:val="fr-BE"/>
              </w:rPr>
              <w:t>8</w:t>
            </w:r>
          </w:p>
        </w:tc>
        <w:tc>
          <w:tcPr>
            <w:tcW w:w="0" w:type="auto"/>
            <w:shd w:val="clear" w:color="auto" w:fill="auto"/>
          </w:tcPr>
          <w:p w14:paraId="08E8EFFC" w14:textId="77777777" w:rsidR="008C5CFA" w:rsidRPr="00696324" w:rsidRDefault="00E82A60" w:rsidP="00300A01">
            <w:pPr>
              <w:spacing w:before="0" w:after="0"/>
              <w:rPr>
                <w:sz w:val="12"/>
                <w:szCs w:val="12"/>
                <w:lang w:val="fr-BE"/>
              </w:rPr>
            </w:pPr>
            <w:r w:rsidRPr="00696324">
              <w:rPr>
                <w:noProof/>
                <w:sz w:val="12"/>
                <w:szCs w:val="12"/>
                <w:lang w:val="fr-BE"/>
              </w:rPr>
              <w:t>O</w:t>
            </w:r>
          </w:p>
        </w:tc>
        <w:tc>
          <w:tcPr>
            <w:tcW w:w="0" w:type="auto"/>
          </w:tcPr>
          <w:p w14:paraId="6B4B39FC" w14:textId="77777777" w:rsidR="008C5CFA" w:rsidRPr="00696324" w:rsidRDefault="00E82A60" w:rsidP="00300A01">
            <w:pPr>
              <w:spacing w:before="0" w:after="0"/>
              <w:rPr>
                <w:sz w:val="12"/>
                <w:szCs w:val="12"/>
                <w:lang w:val="fr-BE"/>
              </w:rPr>
            </w:pPr>
            <w:r w:rsidRPr="00696324">
              <w:rPr>
                <w:noProof/>
                <w:sz w:val="12"/>
                <w:szCs w:val="12"/>
                <w:lang w:val="fr-BE"/>
              </w:rPr>
              <w:t>98</w:t>
            </w:r>
          </w:p>
        </w:tc>
        <w:tc>
          <w:tcPr>
            <w:tcW w:w="0" w:type="auto"/>
          </w:tcPr>
          <w:p w14:paraId="3FFC7587" w14:textId="77777777" w:rsidR="008C5CFA" w:rsidRPr="00696324" w:rsidRDefault="00E82A60" w:rsidP="00300A01">
            <w:pPr>
              <w:spacing w:before="0" w:after="0"/>
              <w:rPr>
                <w:sz w:val="12"/>
                <w:szCs w:val="12"/>
                <w:lang w:val="fr-BE"/>
              </w:rPr>
            </w:pPr>
            <w:r w:rsidRPr="00696324">
              <w:rPr>
                <w:noProof/>
                <w:sz w:val="12"/>
                <w:szCs w:val="12"/>
                <w:lang w:val="fr-BE"/>
              </w:rPr>
              <w:t>Liczba dzieci objętych w ramach programu dodatkowymi zajęciami zwiększającymi ich szanse edukacyjne w edukacji przedszkolnej</w:t>
            </w:r>
          </w:p>
        </w:tc>
        <w:tc>
          <w:tcPr>
            <w:tcW w:w="0" w:type="auto"/>
          </w:tcPr>
          <w:p w14:paraId="533594FB" w14:textId="77777777" w:rsidR="008C5CFA" w:rsidRPr="00696324" w:rsidRDefault="00E82A60" w:rsidP="00300A01">
            <w:pPr>
              <w:spacing w:before="0" w:after="0"/>
              <w:rPr>
                <w:sz w:val="12"/>
                <w:szCs w:val="12"/>
                <w:lang w:val="fr-BE"/>
              </w:rPr>
            </w:pPr>
            <w:r w:rsidRPr="00696324">
              <w:rPr>
                <w:noProof/>
                <w:sz w:val="12"/>
                <w:szCs w:val="12"/>
                <w:lang w:val="fr-BE"/>
              </w:rPr>
              <w:t>osoba</w:t>
            </w:r>
          </w:p>
        </w:tc>
        <w:tc>
          <w:tcPr>
            <w:tcW w:w="0" w:type="auto"/>
          </w:tcPr>
          <w:p w14:paraId="49A15253" w14:textId="77777777" w:rsidR="008C5CFA" w:rsidRPr="00696324" w:rsidRDefault="00E82A60" w:rsidP="00300A01">
            <w:pPr>
              <w:spacing w:before="0" w:after="0"/>
              <w:rPr>
                <w:sz w:val="12"/>
                <w:szCs w:val="12"/>
                <w:lang w:val="fr-BE"/>
              </w:rPr>
            </w:pPr>
            <w:r w:rsidRPr="00D4605F">
              <w:rPr>
                <w:noProof/>
                <w:sz w:val="12"/>
                <w:szCs w:val="12"/>
                <w:lang w:val="fr-BE"/>
              </w:rPr>
              <w:t>EFS</w:t>
            </w:r>
          </w:p>
        </w:tc>
        <w:tc>
          <w:tcPr>
            <w:tcW w:w="0" w:type="auto"/>
          </w:tcPr>
          <w:p w14:paraId="4CE01EA1" w14:textId="77777777" w:rsidR="008C5CFA" w:rsidRPr="00696324" w:rsidRDefault="00E82A60" w:rsidP="00300A01">
            <w:pPr>
              <w:spacing w:before="0" w:after="0"/>
              <w:rPr>
                <w:sz w:val="12"/>
                <w:szCs w:val="12"/>
                <w:lang w:val="fr-BE"/>
              </w:rPr>
            </w:pPr>
            <w:r w:rsidRPr="00D4605F">
              <w:rPr>
                <w:noProof/>
                <w:sz w:val="12"/>
                <w:szCs w:val="12"/>
                <w:lang w:val="fr-BE"/>
              </w:rPr>
              <w:t>Słabiej rozwinięte</w:t>
            </w:r>
          </w:p>
        </w:tc>
        <w:tc>
          <w:tcPr>
            <w:tcW w:w="0" w:type="auto"/>
          </w:tcPr>
          <w:p w14:paraId="4D03F695" w14:textId="77777777" w:rsidR="008C5CFA" w:rsidRPr="00696324" w:rsidRDefault="00E82A60" w:rsidP="00136029">
            <w:pPr>
              <w:spacing w:before="0" w:after="0"/>
              <w:jc w:val="right"/>
              <w:rPr>
                <w:sz w:val="12"/>
                <w:szCs w:val="12"/>
                <w:lang w:val="fr-BE"/>
              </w:rPr>
            </w:pPr>
            <w:r w:rsidRPr="00696324">
              <w:rPr>
                <w:noProof/>
                <w:sz w:val="12"/>
                <w:szCs w:val="12"/>
                <w:lang w:val="fr-BE"/>
              </w:rPr>
              <w:t>0,00</w:t>
            </w:r>
          </w:p>
        </w:tc>
        <w:tc>
          <w:tcPr>
            <w:tcW w:w="0" w:type="auto"/>
          </w:tcPr>
          <w:p w14:paraId="2C1781C7" w14:textId="77777777" w:rsidR="008C5CFA" w:rsidRPr="00696324" w:rsidRDefault="00E82A60" w:rsidP="00136029">
            <w:pPr>
              <w:spacing w:before="0" w:after="0"/>
              <w:jc w:val="right"/>
              <w:rPr>
                <w:sz w:val="12"/>
                <w:szCs w:val="12"/>
                <w:lang w:val="fr-BE"/>
              </w:rPr>
            </w:pPr>
            <w:r w:rsidRPr="00696324">
              <w:rPr>
                <w:noProof/>
                <w:sz w:val="12"/>
                <w:szCs w:val="12"/>
                <w:lang w:val="fr-BE"/>
              </w:rPr>
              <w:t>0,00</w:t>
            </w:r>
          </w:p>
        </w:tc>
      </w:tr>
      <w:tr w:rsidR="006B2EC1" w14:paraId="7240C30B" w14:textId="77777777" w:rsidTr="0047688D">
        <w:tc>
          <w:tcPr>
            <w:tcW w:w="0" w:type="auto"/>
            <w:shd w:val="clear" w:color="auto" w:fill="auto"/>
          </w:tcPr>
          <w:p w14:paraId="07474977" w14:textId="77777777" w:rsidR="008C5CFA" w:rsidRPr="00696324" w:rsidRDefault="00E82A60" w:rsidP="00300A01">
            <w:pPr>
              <w:spacing w:before="0" w:after="0"/>
              <w:rPr>
                <w:sz w:val="12"/>
                <w:szCs w:val="12"/>
                <w:lang w:val="fr-BE"/>
              </w:rPr>
            </w:pPr>
            <w:r w:rsidRPr="00696324">
              <w:rPr>
                <w:noProof/>
                <w:sz w:val="12"/>
                <w:szCs w:val="12"/>
                <w:lang w:val="fr-BE"/>
              </w:rPr>
              <w:t>9</w:t>
            </w:r>
          </w:p>
        </w:tc>
        <w:tc>
          <w:tcPr>
            <w:tcW w:w="0" w:type="auto"/>
            <w:shd w:val="clear" w:color="auto" w:fill="auto"/>
          </w:tcPr>
          <w:p w14:paraId="54DA1BDE" w14:textId="77777777" w:rsidR="008C5CFA" w:rsidRPr="00696324" w:rsidRDefault="00E82A60" w:rsidP="00300A01">
            <w:pPr>
              <w:spacing w:before="0" w:after="0"/>
              <w:rPr>
                <w:sz w:val="12"/>
                <w:szCs w:val="12"/>
                <w:lang w:val="fr-BE"/>
              </w:rPr>
            </w:pPr>
            <w:r w:rsidRPr="00696324">
              <w:rPr>
                <w:noProof/>
                <w:sz w:val="12"/>
                <w:szCs w:val="12"/>
                <w:lang w:val="fr-BE"/>
              </w:rPr>
              <w:t>F</w:t>
            </w:r>
          </w:p>
        </w:tc>
        <w:tc>
          <w:tcPr>
            <w:tcW w:w="0" w:type="auto"/>
          </w:tcPr>
          <w:p w14:paraId="4E6BF1FC" w14:textId="77777777" w:rsidR="008C5CFA" w:rsidRPr="00696324" w:rsidRDefault="00E82A60" w:rsidP="00300A01">
            <w:pPr>
              <w:spacing w:before="0" w:after="0"/>
              <w:rPr>
                <w:sz w:val="12"/>
                <w:szCs w:val="12"/>
                <w:lang w:val="fr-BE"/>
              </w:rPr>
            </w:pPr>
            <w:r w:rsidRPr="00696324">
              <w:rPr>
                <w:noProof/>
                <w:sz w:val="12"/>
                <w:szCs w:val="12"/>
                <w:lang w:val="fr-BE"/>
              </w:rPr>
              <w:t>001</w:t>
            </w:r>
          </w:p>
        </w:tc>
        <w:tc>
          <w:tcPr>
            <w:tcW w:w="0" w:type="auto"/>
          </w:tcPr>
          <w:p w14:paraId="1E2F1E53" w14:textId="77777777" w:rsidR="008C5CFA" w:rsidRPr="00696324" w:rsidRDefault="00E82A60" w:rsidP="00300A01">
            <w:pPr>
              <w:spacing w:before="0" w:after="0"/>
              <w:rPr>
                <w:sz w:val="12"/>
                <w:szCs w:val="12"/>
                <w:lang w:val="fr-BE"/>
              </w:rPr>
            </w:pPr>
            <w:r w:rsidRPr="00696324">
              <w:rPr>
                <w:noProof/>
                <w:sz w:val="12"/>
                <w:szCs w:val="12"/>
                <w:lang w:val="fr-BE"/>
              </w:rPr>
              <w:t>Całkowita kwota certyfikowanych wydatków kwalifikowalnych</w:t>
            </w:r>
          </w:p>
        </w:tc>
        <w:tc>
          <w:tcPr>
            <w:tcW w:w="0" w:type="auto"/>
          </w:tcPr>
          <w:p w14:paraId="10AB1E76" w14:textId="77777777" w:rsidR="008C5CFA" w:rsidRPr="00696324" w:rsidRDefault="00E82A60" w:rsidP="00300A01">
            <w:pPr>
              <w:spacing w:before="0" w:after="0"/>
              <w:rPr>
                <w:sz w:val="12"/>
                <w:szCs w:val="12"/>
                <w:lang w:val="fr-BE"/>
              </w:rPr>
            </w:pPr>
            <w:r w:rsidRPr="00696324">
              <w:rPr>
                <w:noProof/>
                <w:sz w:val="12"/>
                <w:szCs w:val="12"/>
                <w:lang w:val="fr-BE"/>
              </w:rPr>
              <w:t>EUR</w:t>
            </w:r>
          </w:p>
        </w:tc>
        <w:tc>
          <w:tcPr>
            <w:tcW w:w="0" w:type="auto"/>
          </w:tcPr>
          <w:p w14:paraId="0FBC5336" w14:textId="77777777" w:rsidR="008C5CFA" w:rsidRPr="00696324" w:rsidRDefault="00E82A60" w:rsidP="00300A01">
            <w:pPr>
              <w:spacing w:before="0" w:after="0"/>
              <w:rPr>
                <w:sz w:val="12"/>
                <w:szCs w:val="12"/>
                <w:lang w:val="fr-BE"/>
              </w:rPr>
            </w:pPr>
            <w:r w:rsidRPr="00D4605F">
              <w:rPr>
                <w:noProof/>
                <w:sz w:val="12"/>
                <w:szCs w:val="12"/>
                <w:lang w:val="fr-BE"/>
              </w:rPr>
              <w:t>EFS</w:t>
            </w:r>
          </w:p>
        </w:tc>
        <w:tc>
          <w:tcPr>
            <w:tcW w:w="0" w:type="auto"/>
          </w:tcPr>
          <w:p w14:paraId="46D0F6E3" w14:textId="77777777" w:rsidR="008C5CFA" w:rsidRPr="00696324" w:rsidRDefault="00E82A60" w:rsidP="00300A01">
            <w:pPr>
              <w:spacing w:before="0" w:after="0"/>
              <w:rPr>
                <w:sz w:val="12"/>
                <w:szCs w:val="12"/>
                <w:lang w:val="fr-BE"/>
              </w:rPr>
            </w:pPr>
            <w:r w:rsidRPr="00D4605F">
              <w:rPr>
                <w:noProof/>
                <w:sz w:val="12"/>
                <w:szCs w:val="12"/>
                <w:lang w:val="fr-BE"/>
              </w:rPr>
              <w:t>Słabiej rozwinięte</w:t>
            </w:r>
          </w:p>
        </w:tc>
        <w:tc>
          <w:tcPr>
            <w:tcW w:w="0" w:type="auto"/>
          </w:tcPr>
          <w:p w14:paraId="599C4C1D" w14:textId="77777777" w:rsidR="008C5CFA" w:rsidRPr="00696324" w:rsidRDefault="00E82A60" w:rsidP="00136029">
            <w:pPr>
              <w:spacing w:before="0" w:after="0"/>
              <w:jc w:val="right"/>
              <w:rPr>
                <w:sz w:val="12"/>
                <w:szCs w:val="12"/>
                <w:lang w:val="fr-BE"/>
              </w:rPr>
            </w:pPr>
            <w:r w:rsidRPr="00696324">
              <w:rPr>
                <w:noProof/>
                <w:sz w:val="12"/>
                <w:szCs w:val="12"/>
                <w:lang w:val="fr-BE"/>
              </w:rPr>
              <w:t>0,00</w:t>
            </w:r>
          </w:p>
        </w:tc>
        <w:tc>
          <w:tcPr>
            <w:tcW w:w="0" w:type="auto"/>
          </w:tcPr>
          <w:p w14:paraId="5C20D2B8" w14:textId="77777777" w:rsidR="008C5CFA" w:rsidRPr="00696324" w:rsidRDefault="00E82A60" w:rsidP="00136029">
            <w:pPr>
              <w:spacing w:before="0" w:after="0"/>
              <w:jc w:val="right"/>
              <w:rPr>
                <w:sz w:val="12"/>
                <w:szCs w:val="12"/>
                <w:lang w:val="fr-BE"/>
              </w:rPr>
            </w:pPr>
            <w:r w:rsidRPr="00696324">
              <w:rPr>
                <w:noProof/>
                <w:sz w:val="12"/>
                <w:szCs w:val="12"/>
                <w:lang w:val="fr-BE"/>
              </w:rPr>
              <w:t>0,00</w:t>
            </w:r>
          </w:p>
        </w:tc>
      </w:tr>
      <w:tr w:rsidR="006B2EC1" w14:paraId="173FE9A1" w14:textId="77777777" w:rsidTr="0047688D">
        <w:tc>
          <w:tcPr>
            <w:tcW w:w="0" w:type="auto"/>
            <w:shd w:val="clear" w:color="auto" w:fill="auto"/>
          </w:tcPr>
          <w:p w14:paraId="398773E8" w14:textId="77777777" w:rsidR="008C5CFA" w:rsidRPr="00696324" w:rsidRDefault="00E82A60" w:rsidP="00300A01">
            <w:pPr>
              <w:spacing w:before="0" w:after="0"/>
              <w:rPr>
                <w:sz w:val="12"/>
                <w:szCs w:val="12"/>
                <w:lang w:val="fr-BE"/>
              </w:rPr>
            </w:pPr>
            <w:r w:rsidRPr="00696324">
              <w:rPr>
                <w:noProof/>
                <w:sz w:val="12"/>
                <w:szCs w:val="12"/>
                <w:lang w:val="fr-BE"/>
              </w:rPr>
              <w:t>9</w:t>
            </w:r>
          </w:p>
        </w:tc>
        <w:tc>
          <w:tcPr>
            <w:tcW w:w="0" w:type="auto"/>
            <w:shd w:val="clear" w:color="auto" w:fill="auto"/>
          </w:tcPr>
          <w:p w14:paraId="1C766F50" w14:textId="77777777" w:rsidR="008C5CFA" w:rsidRPr="00696324" w:rsidRDefault="00E82A60" w:rsidP="00300A01">
            <w:pPr>
              <w:spacing w:before="0" w:after="0"/>
              <w:rPr>
                <w:sz w:val="12"/>
                <w:szCs w:val="12"/>
                <w:lang w:val="fr-BE"/>
              </w:rPr>
            </w:pPr>
            <w:r w:rsidRPr="00696324">
              <w:rPr>
                <w:noProof/>
                <w:sz w:val="12"/>
                <w:szCs w:val="12"/>
                <w:lang w:val="fr-BE"/>
              </w:rPr>
              <w:t>O</w:t>
            </w:r>
          </w:p>
        </w:tc>
        <w:tc>
          <w:tcPr>
            <w:tcW w:w="0" w:type="auto"/>
          </w:tcPr>
          <w:p w14:paraId="06991659" w14:textId="77777777" w:rsidR="008C5CFA" w:rsidRPr="00696324" w:rsidRDefault="00E82A60" w:rsidP="00300A01">
            <w:pPr>
              <w:spacing w:before="0" w:after="0"/>
              <w:rPr>
                <w:sz w:val="12"/>
                <w:szCs w:val="12"/>
                <w:lang w:val="fr-BE"/>
              </w:rPr>
            </w:pPr>
            <w:r w:rsidRPr="00696324">
              <w:rPr>
                <w:noProof/>
                <w:sz w:val="12"/>
                <w:szCs w:val="12"/>
                <w:lang w:val="fr-BE"/>
              </w:rPr>
              <w:t>145</w:t>
            </w:r>
          </w:p>
        </w:tc>
        <w:tc>
          <w:tcPr>
            <w:tcW w:w="0" w:type="auto"/>
          </w:tcPr>
          <w:p w14:paraId="39FB1658" w14:textId="77777777" w:rsidR="008C5CFA" w:rsidRPr="00696324" w:rsidRDefault="00E82A60" w:rsidP="00300A01">
            <w:pPr>
              <w:spacing w:before="0" w:after="0"/>
              <w:rPr>
                <w:sz w:val="12"/>
                <w:szCs w:val="12"/>
                <w:lang w:val="fr-BE"/>
              </w:rPr>
            </w:pPr>
            <w:r w:rsidRPr="00696324">
              <w:rPr>
                <w:noProof/>
                <w:sz w:val="12"/>
                <w:szCs w:val="12"/>
                <w:lang w:val="fr-BE"/>
              </w:rPr>
              <w:t>Liczba osób zagrożonych ubóstwem lub wykluczeniem społecznym objętych wsparciem.</w:t>
            </w:r>
          </w:p>
        </w:tc>
        <w:tc>
          <w:tcPr>
            <w:tcW w:w="0" w:type="auto"/>
          </w:tcPr>
          <w:p w14:paraId="709508C7" w14:textId="77777777" w:rsidR="008C5CFA" w:rsidRPr="00696324" w:rsidRDefault="00E82A60" w:rsidP="00300A01">
            <w:pPr>
              <w:spacing w:before="0" w:after="0"/>
              <w:rPr>
                <w:sz w:val="12"/>
                <w:szCs w:val="12"/>
                <w:lang w:val="fr-BE"/>
              </w:rPr>
            </w:pPr>
            <w:r w:rsidRPr="00696324">
              <w:rPr>
                <w:noProof/>
                <w:sz w:val="12"/>
                <w:szCs w:val="12"/>
                <w:lang w:val="fr-BE"/>
              </w:rPr>
              <w:t>osoba</w:t>
            </w:r>
          </w:p>
        </w:tc>
        <w:tc>
          <w:tcPr>
            <w:tcW w:w="0" w:type="auto"/>
          </w:tcPr>
          <w:p w14:paraId="207EC031" w14:textId="77777777" w:rsidR="008C5CFA" w:rsidRPr="00696324" w:rsidRDefault="00E82A60" w:rsidP="00300A01">
            <w:pPr>
              <w:spacing w:before="0" w:after="0"/>
              <w:rPr>
                <w:sz w:val="12"/>
                <w:szCs w:val="12"/>
                <w:lang w:val="fr-BE"/>
              </w:rPr>
            </w:pPr>
            <w:r w:rsidRPr="00D4605F">
              <w:rPr>
                <w:noProof/>
                <w:sz w:val="12"/>
                <w:szCs w:val="12"/>
                <w:lang w:val="fr-BE"/>
              </w:rPr>
              <w:t>EFS</w:t>
            </w:r>
          </w:p>
        </w:tc>
        <w:tc>
          <w:tcPr>
            <w:tcW w:w="0" w:type="auto"/>
          </w:tcPr>
          <w:p w14:paraId="399FE20E" w14:textId="77777777" w:rsidR="008C5CFA" w:rsidRPr="00696324" w:rsidRDefault="00E82A60" w:rsidP="00300A01">
            <w:pPr>
              <w:spacing w:before="0" w:after="0"/>
              <w:rPr>
                <w:sz w:val="12"/>
                <w:szCs w:val="12"/>
                <w:lang w:val="fr-BE"/>
              </w:rPr>
            </w:pPr>
            <w:r w:rsidRPr="00D4605F">
              <w:rPr>
                <w:noProof/>
                <w:sz w:val="12"/>
                <w:szCs w:val="12"/>
                <w:lang w:val="fr-BE"/>
              </w:rPr>
              <w:t>Słabiej rozwinięte</w:t>
            </w:r>
          </w:p>
        </w:tc>
        <w:tc>
          <w:tcPr>
            <w:tcW w:w="0" w:type="auto"/>
          </w:tcPr>
          <w:p w14:paraId="45B00D26" w14:textId="77777777" w:rsidR="008C5CFA" w:rsidRPr="00696324" w:rsidRDefault="00E82A60" w:rsidP="00136029">
            <w:pPr>
              <w:spacing w:before="0" w:after="0"/>
              <w:jc w:val="right"/>
              <w:rPr>
                <w:sz w:val="12"/>
                <w:szCs w:val="12"/>
                <w:lang w:val="fr-BE"/>
              </w:rPr>
            </w:pPr>
            <w:r w:rsidRPr="00696324">
              <w:rPr>
                <w:noProof/>
                <w:sz w:val="12"/>
                <w:szCs w:val="12"/>
                <w:lang w:val="fr-BE"/>
              </w:rPr>
              <w:t>0,00</w:t>
            </w:r>
          </w:p>
        </w:tc>
        <w:tc>
          <w:tcPr>
            <w:tcW w:w="0" w:type="auto"/>
          </w:tcPr>
          <w:p w14:paraId="0DF55163" w14:textId="77777777" w:rsidR="008C5CFA" w:rsidRPr="00696324" w:rsidRDefault="00E82A60" w:rsidP="00136029">
            <w:pPr>
              <w:spacing w:before="0" w:after="0"/>
              <w:jc w:val="right"/>
              <w:rPr>
                <w:sz w:val="12"/>
                <w:szCs w:val="12"/>
                <w:lang w:val="fr-BE"/>
              </w:rPr>
            </w:pPr>
            <w:r w:rsidRPr="00696324">
              <w:rPr>
                <w:noProof/>
                <w:sz w:val="12"/>
                <w:szCs w:val="12"/>
                <w:lang w:val="fr-BE"/>
              </w:rPr>
              <w:t>0,00</w:t>
            </w:r>
          </w:p>
        </w:tc>
      </w:tr>
    </w:tbl>
    <w:p w14:paraId="09F294D7" w14:textId="77777777" w:rsidR="008C5CFA" w:rsidRPr="009C6F09" w:rsidRDefault="008C5CFA" w:rsidP="00300A01">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807"/>
        <w:gridCol w:w="793"/>
        <w:gridCol w:w="1049"/>
        <w:gridCol w:w="3697"/>
        <w:gridCol w:w="753"/>
        <w:gridCol w:w="497"/>
        <w:gridCol w:w="779"/>
        <w:gridCol w:w="1159"/>
        <w:gridCol w:w="1186"/>
        <w:gridCol w:w="1073"/>
        <w:gridCol w:w="1185"/>
        <w:gridCol w:w="1151"/>
        <w:gridCol w:w="1055"/>
      </w:tblGrid>
      <w:tr w:rsidR="006B2EC1" w14:paraId="5E4ADA55" w14:textId="77777777" w:rsidTr="0047688D">
        <w:trPr>
          <w:tblHeader/>
        </w:trPr>
        <w:tc>
          <w:tcPr>
            <w:tcW w:w="0" w:type="auto"/>
            <w:shd w:val="clear" w:color="auto" w:fill="auto"/>
          </w:tcPr>
          <w:p w14:paraId="3A44BD4B" w14:textId="77777777" w:rsidR="008C5CFA" w:rsidRDefault="008C5CFA" w:rsidP="00300A01">
            <w:pPr>
              <w:spacing w:before="0" w:after="0"/>
              <w:rPr>
                <w:b/>
                <w:sz w:val="12"/>
                <w:szCs w:val="12"/>
                <w:lang w:val="fr-BE"/>
              </w:rPr>
            </w:pPr>
          </w:p>
          <w:p w14:paraId="7A1EC122" w14:textId="77777777" w:rsidR="008C5CFA" w:rsidRPr="00D4605F" w:rsidRDefault="00E82A60" w:rsidP="00300A01">
            <w:pPr>
              <w:spacing w:before="0" w:after="0"/>
              <w:rPr>
                <w:b/>
                <w:sz w:val="12"/>
                <w:szCs w:val="12"/>
                <w:lang w:val="fr-BE"/>
              </w:rPr>
            </w:pPr>
            <w:r w:rsidRPr="00D4605F">
              <w:rPr>
                <w:b/>
                <w:noProof/>
                <w:sz w:val="12"/>
                <w:szCs w:val="12"/>
                <w:lang w:val="fr-BE"/>
              </w:rPr>
              <w:t>Oś priorytetowa</w:t>
            </w:r>
          </w:p>
        </w:tc>
        <w:tc>
          <w:tcPr>
            <w:tcW w:w="0" w:type="auto"/>
            <w:shd w:val="clear" w:color="auto" w:fill="auto"/>
          </w:tcPr>
          <w:p w14:paraId="08E41BDB" w14:textId="77777777" w:rsidR="008C5CFA" w:rsidRPr="00D4605F" w:rsidRDefault="00E82A60" w:rsidP="00300A01">
            <w:pPr>
              <w:spacing w:before="0" w:after="0"/>
              <w:rPr>
                <w:b/>
                <w:sz w:val="12"/>
                <w:szCs w:val="12"/>
                <w:lang w:val="fr-BE"/>
              </w:rPr>
            </w:pPr>
            <w:r w:rsidRPr="00D4605F">
              <w:rPr>
                <w:b/>
                <w:noProof/>
                <w:sz w:val="12"/>
                <w:szCs w:val="12"/>
                <w:lang w:val="fr-BE"/>
              </w:rPr>
              <w:t>Rodzaj wskaźnika</w:t>
            </w:r>
          </w:p>
        </w:tc>
        <w:tc>
          <w:tcPr>
            <w:tcW w:w="0" w:type="auto"/>
            <w:shd w:val="clear" w:color="auto" w:fill="auto"/>
          </w:tcPr>
          <w:p w14:paraId="320D669E" w14:textId="77777777" w:rsidR="008C5CFA" w:rsidRPr="00D4605F" w:rsidRDefault="00E82A60" w:rsidP="00300A01">
            <w:pPr>
              <w:spacing w:before="0" w:after="0"/>
              <w:rPr>
                <w:b/>
                <w:sz w:val="12"/>
                <w:szCs w:val="12"/>
                <w:lang w:val="fr-BE"/>
              </w:rPr>
            </w:pPr>
            <w:r w:rsidRPr="00D4605F">
              <w:rPr>
                <w:b/>
                <w:noProof/>
                <w:sz w:val="12"/>
                <w:szCs w:val="12"/>
                <w:lang w:val="fr-BE"/>
              </w:rPr>
              <w:t>Numer identyfikacyjny</w:t>
            </w:r>
          </w:p>
        </w:tc>
        <w:tc>
          <w:tcPr>
            <w:tcW w:w="0" w:type="auto"/>
            <w:shd w:val="clear" w:color="auto" w:fill="auto"/>
          </w:tcPr>
          <w:p w14:paraId="47268EDE" w14:textId="77777777" w:rsidR="008C5CFA" w:rsidRPr="00D4605F" w:rsidRDefault="00E82A60" w:rsidP="00300A01">
            <w:pPr>
              <w:spacing w:before="0" w:after="0"/>
              <w:rPr>
                <w:b/>
                <w:sz w:val="12"/>
                <w:szCs w:val="12"/>
                <w:lang w:val="fr-BE"/>
              </w:rPr>
            </w:pPr>
            <w:r w:rsidRPr="00D4605F">
              <w:rPr>
                <w:b/>
                <w:noProof/>
                <w:sz w:val="12"/>
                <w:szCs w:val="12"/>
                <w:lang w:val="fr-BE"/>
              </w:rPr>
              <w:t>Wskaźnik</w:t>
            </w:r>
          </w:p>
        </w:tc>
        <w:tc>
          <w:tcPr>
            <w:tcW w:w="0" w:type="auto"/>
            <w:shd w:val="clear" w:color="auto" w:fill="auto"/>
          </w:tcPr>
          <w:p w14:paraId="2D43C1D3" w14:textId="77777777" w:rsidR="008C5CFA" w:rsidRPr="00D4605F" w:rsidRDefault="00E82A60" w:rsidP="00300A01">
            <w:pPr>
              <w:spacing w:before="0" w:after="0"/>
              <w:rPr>
                <w:b/>
                <w:sz w:val="12"/>
                <w:szCs w:val="12"/>
                <w:lang w:val="fr-BE"/>
              </w:rPr>
            </w:pPr>
            <w:r w:rsidRPr="00D4605F">
              <w:rPr>
                <w:b/>
                <w:noProof/>
                <w:sz w:val="12"/>
                <w:szCs w:val="12"/>
                <w:lang w:val="fr-BE"/>
              </w:rPr>
              <w:t>Jednostka miary</w:t>
            </w:r>
          </w:p>
        </w:tc>
        <w:tc>
          <w:tcPr>
            <w:tcW w:w="0" w:type="auto"/>
            <w:shd w:val="clear" w:color="auto" w:fill="auto"/>
          </w:tcPr>
          <w:p w14:paraId="1B6F9A11" w14:textId="77777777" w:rsidR="008C5CFA" w:rsidRPr="00D4605F" w:rsidRDefault="00E82A60" w:rsidP="00300A01">
            <w:pPr>
              <w:spacing w:before="0" w:after="0"/>
              <w:rPr>
                <w:b/>
                <w:sz w:val="12"/>
                <w:szCs w:val="12"/>
                <w:lang w:val="fr-BE"/>
              </w:rPr>
            </w:pPr>
            <w:r w:rsidRPr="00D4605F">
              <w:rPr>
                <w:b/>
                <w:noProof/>
                <w:sz w:val="12"/>
                <w:szCs w:val="12"/>
                <w:lang w:val="fr-BE"/>
              </w:rPr>
              <w:t>Fundusz</w:t>
            </w:r>
          </w:p>
        </w:tc>
        <w:tc>
          <w:tcPr>
            <w:tcW w:w="0" w:type="auto"/>
          </w:tcPr>
          <w:p w14:paraId="23762C8F" w14:textId="77777777" w:rsidR="008C5CFA" w:rsidRPr="00D4605F" w:rsidRDefault="00E82A60" w:rsidP="00300A01">
            <w:pPr>
              <w:spacing w:before="0" w:after="0"/>
              <w:rPr>
                <w:b/>
                <w:sz w:val="12"/>
                <w:szCs w:val="12"/>
                <w:lang w:val="fr-BE"/>
              </w:rPr>
            </w:pPr>
            <w:r w:rsidRPr="00D4605F">
              <w:rPr>
                <w:b/>
                <w:noProof/>
                <w:sz w:val="12"/>
                <w:szCs w:val="12"/>
                <w:lang w:val="fr-BE"/>
              </w:rPr>
              <w:t>Kategoria regionu</w:t>
            </w:r>
          </w:p>
        </w:tc>
        <w:tc>
          <w:tcPr>
            <w:tcW w:w="0" w:type="auto"/>
          </w:tcPr>
          <w:p w14:paraId="07982E23" w14:textId="77777777" w:rsidR="008C5CFA" w:rsidRPr="00D4605F" w:rsidRDefault="00E82A60" w:rsidP="00300A01">
            <w:pPr>
              <w:spacing w:before="0" w:after="0"/>
              <w:jc w:val="center"/>
              <w:rPr>
                <w:b/>
                <w:sz w:val="12"/>
                <w:szCs w:val="12"/>
                <w:lang w:val="fr-BE"/>
              </w:rPr>
            </w:pPr>
            <w:r w:rsidRPr="00D4605F">
              <w:rPr>
                <w:b/>
                <w:noProof/>
                <w:sz w:val="12"/>
                <w:szCs w:val="12"/>
                <w:lang w:val="fr-BE"/>
              </w:rPr>
              <w:t>Cel pośredni na 2018 r. ogółem</w:t>
            </w:r>
          </w:p>
        </w:tc>
        <w:tc>
          <w:tcPr>
            <w:tcW w:w="0" w:type="auto"/>
          </w:tcPr>
          <w:p w14:paraId="742EB36D" w14:textId="77777777" w:rsidR="008C5CFA" w:rsidRPr="00D4605F" w:rsidRDefault="00E82A60" w:rsidP="00300A01">
            <w:pPr>
              <w:spacing w:before="0" w:after="0"/>
              <w:jc w:val="center"/>
              <w:rPr>
                <w:b/>
                <w:sz w:val="12"/>
                <w:szCs w:val="12"/>
                <w:lang w:val="fr-BE"/>
              </w:rPr>
            </w:pPr>
            <w:r w:rsidRPr="00D4605F">
              <w:rPr>
                <w:b/>
                <w:noProof/>
                <w:sz w:val="12"/>
                <w:szCs w:val="12"/>
                <w:lang w:val="fr-BE"/>
              </w:rPr>
              <w:t>Cel pośredni na 2018 r. mężczyźni</w:t>
            </w:r>
          </w:p>
        </w:tc>
        <w:tc>
          <w:tcPr>
            <w:tcW w:w="0" w:type="auto"/>
          </w:tcPr>
          <w:p w14:paraId="3EA65E13" w14:textId="77777777" w:rsidR="008C5CFA" w:rsidRPr="00D4605F" w:rsidRDefault="00E82A60" w:rsidP="00300A01">
            <w:pPr>
              <w:spacing w:before="0" w:after="0"/>
              <w:jc w:val="center"/>
              <w:rPr>
                <w:b/>
                <w:sz w:val="12"/>
                <w:szCs w:val="12"/>
                <w:lang w:val="fr-BE"/>
              </w:rPr>
            </w:pPr>
            <w:r w:rsidRPr="00D4605F">
              <w:rPr>
                <w:b/>
                <w:noProof/>
                <w:sz w:val="12"/>
                <w:szCs w:val="12"/>
                <w:lang w:val="fr-BE"/>
              </w:rPr>
              <w:t>Cel pośredni na 2018 r. kobiety</w:t>
            </w:r>
          </w:p>
        </w:tc>
        <w:tc>
          <w:tcPr>
            <w:tcW w:w="0" w:type="auto"/>
          </w:tcPr>
          <w:p w14:paraId="0F73D3F3" w14:textId="77777777" w:rsidR="008C5CFA" w:rsidRPr="00B05D34" w:rsidRDefault="00E82A60" w:rsidP="00300A01">
            <w:pPr>
              <w:spacing w:before="0" w:after="0"/>
              <w:jc w:val="center"/>
              <w:rPr>
                <w:b/>
                <w:sz w:val="12"/>
                <w:szCs w:val="12"/>
                <w:lang w:val="fr-BE"/>
              </w:rPr>
            </w:pPr>
            <w:r w:rsidRPr="00B05D34">
              <w:rPr>
                <w:b/>
                <w:noProof/>
                <w:sz w:val="12"/>
                <w:szCs w:val="12"/>
                <w:lang w:val="fr-BE"/>
              </w:rPr>
              <w:t>Cel końcowy (2023 r.) ogółem</w:t>
            </w:r>
          </w:p>
        </w:tc>
        <w:tc>
          <w:tcPr>
            <w:tcW w:w="0" w:type="auto"/>
          </w:tcPr>
          <w:p w14:paraId="6996CAF8" w14:textId="77777777" w:rsidR="008C5CFA" w:rsidRPr="00B05D34" w:rsidRDefault="00E82A60" w:rsidP="00300A01">
            <w:pPr>
              <w:spacing w:before="0" w:after="0"/>
              <w:jc w:val="center"/>
              <w:rPr>
                <w:b/>
                <w:sz w:val="12"/>
                <w:szCs w:val="12"/>
                <w:lang w:val="fr-BE"/>
              </w:rPr>
            </w:pPr>
            <w:r w:rsidRPr="00B05D34">
              <w:rPr>
                <w:b/>
                <w:noProof/>
                <w:sz w:val="12"/>
                <w:szCs w:val="12"/>
                <w:lang w:val="fr-BE"/>
              </w:rPr>
              <w:t>Cel końcowy (2023 r.) mężczyźni</w:t>
            </w:r>
          </w:p>
        </w:tc>
        <w:tc>
          <w:tcPr>
            <w:tcW w:w="0" w:type="auto"/>
          </w:tcPr>
          <w:p w14:paraId="58F5870D" w14:textId="77777777" w:rsidR="008C5CFA" w:rsidRPr="00B05D34" w:rsidRDefault="00E82A60" w:rsidP="00300A01">
            <w:pPr>
              <w:spacing w:before="0" w:after="0"/>
              <w:jc w:val="center"/>
              <w:rPr>
                <w:b/>
                <w:sz w:val="12"/>
                <w:szCs w:val="12"/>
                <w:lang w:val="fr-BE"/>
              </w:rPr>
            </w:pPr>
            <w:r w:rsidRPr="00B05D34">
              <w:rPr>
                <w:b/>
                <w:noProof/>
                <w:sz w:val="12"/>
                <w:szCs w:val="12"/>
                <w:lang w:val="fr-BE"/>
              </w:rPr>
              <w:t>Cel końcowy (2023 r.) kobiety</w:t>
            </w:r>
          </w:p>
        </w:tc>
      </w:tr>
      <w:tr w:rsidR="006B2EC1" w14:paraId="6EB5FB07" w14:textId="77777777" w:rsidTr="0047688D">
        <w:tc>
          <w:tcPr>
            <w:tcW w:w="0" w:type="auto"/>
            <w:shd w:val="clear" w:color="auto" w:fill="auto"/>
          </w:tcPr>
          <w:p w14:paraId="78A6DC32" w14:textId="77777777" w:rsidR="008C5CFA" w:rsidRPr="00D4605F" w:rsidRDefault="00E82A60" w:rsidP="00300A01">
            <w:pPr>
              <w:spacing w:before="0" w:after="0"/>
              <w:rPr>
                <w:sz w:val="12"/>
                <w:szCs w:val="12"/>
                <w:lang w:val="fr-BE"/>
              </w:rPr>
            </w:pPr>
            <w:r w:rsidRPr="00D4605F">
              <w:rPr>
                <w:noProof/>
                <w:sz w:val="12"/>
                <w:szCs w:val="12"/>
                <w:lang w:val="fr-BE"/>
              </w:rPr>
              <w:t>1</w:t>
            </w:r>
          </w:p>
        </w:tc>
        <w:tc>
          <w:tcPr>
            <w:tcW w:w="0" w:type="auto"/>
            <w:shd w:val="clear" w:color="auto" w:fill="auto"/>
          </w:tcPr>
          <w:p w14:paraId="345A6AE4" w14:textId="77777777" w:rsidR="008C5CFA" w:rsidRPr="00D4605F" w:rsidRDefault="00E82A60" w:rsidP="00300A01">
            <w:pPr>
              <w:spacing w:before="0" w:after="0"/>
              <w:rPr>
                <w:sz w:val="12"/>
                <w:szCs w:val="12"/>
                <w:lang w:val="fr-BE"/>
              </w:rPr>
            </w:pPr>
            <w:r w:rsidRPr="00D4605F">
              <w:rPr>
                <w:noProof/>
                <w:sz w:val="12"/>
                <w:szCs w:val="12"/>
                <w:lang w:val="fr-BE"/>
              </w:rPr>
              <w:t>F</w:t>
            </w:r>
          </w:p>
        </w:tc>
        <w:tc>
          <w:tcPr>
            <w:tcW w:w="0" w:type="auto"/>
            <w:shd w:val="clear" w:color="auto" w:fill="auto"/>
          </w:tcPr>
          <w:p w14:paraId="0BC38912" w14:textId="77777777" w:rsidR="008C5CFA" w:rsidRPr="00D4605F" w:rsidRDefault="00E82A60" w:rsidP="00300A01">
            <w:pPr>
              <w:spacing w:before="0" w:after="0"/>
              <w:rPr>
                <w:sz w:val="12"/>
                <w:szCs w:val="12"/>
                <w:lang w:val="fr-BE"/>
              </w:rPr>
            </w:pPr>
            <w:r w:rsidRPr="00D4605F">
              <w:rPr>
                <w:noProof/>
                <w:sz w:val="12"/>
                <w:szCs w:val="12"/>
                <w:lang w:val="fr-BE"/>
              </w:rPr>
              <w:t>001</w:t>
            </w:r>
          </w:p>
        </w:tc>
        <w:tc>
          <w:tcPr>
            <w:tcW w:w="0" w:type="auto"/>
            <w:shd w:val="clear" w:color="auto" w:fill="auto"/>
          </w:tcPr>
          <w:p w14:paraId="676E1BA7" w14:textId="77777777" w:rsidR="008C5CFA" w:rsidRPr="00D4605F" w:rsidRDefault="00E82A60" w:rsidP="00300A01">
            <w:pPr>
              <w:spacing w:before="0" w:after="0"/>
              <w:rPr>
                <w:sz w:val="12"/>
                <w:szCs w:val="12"/>
                <w:lang w:val="fr-BE"/>
              </w:rPr>
            </w:pPr>
            <w:r w:rsidRPr="00D4605F">
              <w:rPr>
                <w:noProof/>
                <w:sz w:val="12"/>
                <w:szCs w:val="12"/>
                <w:lang w:val="fr-BE"/>
              </w:rPr>
              <w:t>Całkowita kwota certyfikowanych wydatków kwalifikowalnych</w:t>
            </w:r>
          </w:p>
        </w:tc>
        <w:tc>
          <w:tcPr>
            <w:tcW w:w="0" w:type="auto"/>
            <w:shd w:val="clear" w:color="auto" w:fill="auto"/>
          </w:tcPr>
          <w:p w14:paraId="0627C4A4" w14:textId="77777777" w:rsidR="008C5CFA" w:rsidRPr="00D4605F" w:rsidRDefault="00E82A60" w:rsidP="00300A01">
            <w:pPr>
              <w:spacing w:before="0" w:after="0"/>
              <w:rPr>
                <w:sz w:val="12"/>
                <w:szCs w:val="12"/>
                <w:lang w:val="fr-BE"/>
              </w:rPr>
            </w:pPr>
            <w:r w:rsidRPr="00D4605F">
              <w:rPr>
                <w:noProof/>
                <w:sz w:val="12"/>
                <w:szCs w:val="12"/>
                <w:lang w:val="fr-BE"/>
              </w:rPr>
              <w:t>EUR</w:t>
            </w:r>
          </w:p>
        </w:tc>
        <w:tc>
          <w:tcPr>
            <w:tcW w:w="0" w:type="auto"/>
            <w:shd w:val="clear" w:color="auto" w:fill="auto"/>
          </w:tcPr>
          <w:p w14:paraId="3EAF7B6E" w14:textId="77777777" w:rsidR="008C5CFA" w:rsidRPr="00D4605F" w:rsidRDefault="00E82A60" w:rsidP="00300A01">
            <w:pPr>
              <w:spacing w:before="0" w:after="0"/>
              <w:rPr>
                <w:sz w:val="12"/>
                <w:szCs w:val="12"/>
                <w:lang w:val="fr-BE"/>
              </w:rPr>
            </w:pPr>
            <w:r w:rsidRPr="00D4605F">
              <w:rPr>
                <w:noProof/>
                <w:sz w:val="12"/>
                <w:szCs w:val="12"/>
                <w:lang w:val="fr-BE"/>
              </w:rPr>
              <w:t>EFRR</w:t>
            </w:r>
          </w:p>
        </w:tc>
        <w:tc>
          <w:tcPr>
            <w:tcW w:w="0" w:type="auto"/>
          </w:tcPr>
          <w:p w14:paraId="6D1EF91C" w14:textId="77777777" w:rsidR="008C5CFA" w:rsidRPr="00D4605F" w:rsidRDefault="00E82A60" w:rsidP="00300A01">
            <w:pPr>
              <w:spacing w:before="0" w:after="0"/>
              <w:rPr>
                <w:sz w:val="12"/>
                <w:szCs w:val="12"/>
                <w:lang w:val="fr-BE"/>
              </w:rPr>
            </w:pPr>
            <w:r w:rsidRPr="00D4605F">
              <w:rPr>
                <w:noProof/>
                <w:sz w:val="12"/>
                <w:szCs w:val="12"/>
                <w:lang w:val="fr-BE"/>
              </w:rPr>
              <w:t>Słabiej rozwinięte</w:t>
            </w:r>
          </w:p>
        </w:tc>
        <w:tc>
          <w:tcPr>
            <w:tcW w:w="0" w:type="auto"/>
          </w:tcPr>
          <w:p w14:paraId="58479251" w14:textId="77777777" w:rsidR="008C5CFA" w:rsidRPr="00D4605F" w:rsidRDefault="00E82A60" w:rsidP="00300A01">
            <w:pPr>
              <w:spacing w:before="0" w:after="0"/>
              <w:rPr>
                <w:sz w:val="12"/>
                <w:szCs w:val="12"/>
                <w:lang w:val="fr-BE"/>
              </w:rPr>
            </w:pPr>
            <w:r w:rsidRPr="00D4605F">
              <w:rPr>
                <w:noProof/>
                <w:sz w:val="12"/>
                <w:szCs w:val="12"/>
                <w:lang w:val="fr-BE"/>
              </w:rPr>
              <w:t>7 669 600,00</w:t>
            </w:r>
          </w:p>
        </w:tc>
        <w:tc>
          <w:tcPr>
            <w:tcW w:w="0" w:type="auto"/>
          </w:tcPr>
          <w:p w14:paraId="4CC52409" w14:textId="77777777" w:rsidR="008C5CFA" w:rsidRPr="00D4605F" w:rsidRDefault="008C5CFA" w:rsidP="00300A01">
            <w:pPr>
              <w:spacing w:before="0" w:after="0"/>
              <w:rPr>
                <w:sz w:val="12"/>
                <w:szCs w:val="12"/>
                <w:lang w:val="fr-BE"/>
              </w:rPr>
            </w:pPr>
          </w:p>
        </w:tc>
        <w:tc>
          <w:tcPr>
            <w:tcW w:w="0" w:type="auto"/>
          </w:tcPr>
          <w:p w14:paraId="42045BB7" w14:textId="77777777" w:rsidR="008C5CFA" w:rsidRPr="00D4605F" w:rsidRDefault="008C5CFA" w:rsidP="00300A01">
            <w:pPr>
              <w:spacing w:before="0" w:after="0"/>
              <w:rPr>
                <w:sz w:val="12"/>
                <w:szCs w:val="12"/>
                <w:lang w:val="fr-BE"/>
              </w:rPr>
            </w:pPr>
          </w:p>
        </w:tc>
        <w:tc>
          <w:tcPr>
            <w:tcW w:w="0" w:type="auto"/>
          </w:tcPr>
          <w:p w14:paraId="3C3F4B48" w14:textId="77777777" w:rsidR="008C5CFA" w:rsidRPr="00B05D34" w:rsidRDefault="00E82A60" w:rsidP="00136029">
            <w:pPr>
              <w:spacing w:before="0" w:after="0"/>
              <w:jc w:val="right"/>
              <w:rPr>
                <w:sz w:val="12"/>
                <w:szCs w:val="12"/>
                <w:lang w:val="fr-BE"/>
              </w:rPr>
            </w:pPr>
            <w:r w:rsidRPr="00B05D34">
              <w:rPr>
                <w:noProof/>
                <w:sz w:val="12"/>
                <w:szCs w:val="12"/>
                <w:lang w:val="fr-BE"/>
              </w:rPr>
              <w:t>113 144 013,00</w:t>
            </w:r>
          </w:p>
        </w:tc>
        <w:tc>
          <w:tcPr>
            <w:tcW w:w="0" w:type="auto"/>
          </w:tcPr>
          <w:p w14:paraId="6337CDCA" w14:textId="77777777" w:rsidR="008C5CFA" w:rsidRPr="00B05D34" w:rsidRDefault="008C5CFA" w:rsidP="00300A01">
            <w:pPr>
              <w:spacing w:before="0" w:after="0"/>
              <w:jc w:val="right"/>
              <w:rPr>
                <w:sz w:val="12"/>
                <w:szCs w:val="12"/>
                <w:lang w:val="fr-BE"/>
              </w:rPr>
            </w:pPr>
          </w:p>
        </w:tc>
        <w:tc>
          <w:tcPr>
            <w:tcW w:w="0" w:type="auto"/>
          </w:tcPr>
          <w:p w14:paraId="6EDEA6E8" w14:textId="77777777" w:rsidR="008C5CFA" w:rsidRPr="00B05D34" w:rsidRDefault="008C5CFA" w:rsidP="00300A01">
            <w:pPr>
              <w:spacing w:before="0" w:after="0"/>
              <w:jc w:val="right"/>
              <w:rPr>
                <w:sz w:val="12"/>
                <w:szCs w:val="12"/>
                <w:lang w:val="fr-BE"/>
              </w:rPr>
            </w:pPr>
          </w:p>
        </w:tc>
      </w:tr>
      <w:tr w:rsidR="006B2EC1" w14:paraId="73994B02" w14:textId="77777777" w:rsidTr="0047688D">
        <w:tc>
          <w:tcPr>
            <w:tcW w:w="0" w:type="auto"/>
            <w:shd w:val="clear" w:color="auto" w:fill="auto"/>
          </w:tcPr>
          <w:p w14:paraId="566C3959" w14:textId="77777777" w:rsidR="008C5CFA" w:rsidRPr="00D4605F" w:rsidRDefault="00E82A60" w:rsidP="00300A01">
            <w:pPr>
              <w:spacing w:before="0" w:after="0"/>
              <w:rPr>
                <w:sz w:val="12"/>
                <w:szCs w:val="12"/>
                <w:lang w:val="fr-BE"/>
              </w:rPr>
            </w:pPr>
            <w:r w:rsidRPr="00D4605F">
              <w:rPr>
                <w:noProof/>
                <w:sz w:val="12"/>
                <w:szCs w:val="12"/>
                <w:lang w:val="fr-BE"/>
              </w:rPr>
              <w:t>1</w:t>
            </w:r>
          </w:p>
        </w:tc>
        <w:tc>
          <w:tcPr>
            <w:tcW w:w="0" w:type="auto"/>
            <w:shd w:val="clear" w:color="auto" w:fill="auto"/>
          </w:tcPr>
          <w:p w14:paraId="10E0E446" w14:textId="77777777" w:rsidR="008C5CFA" w:rsidRPr="00D4605F" w:rsidRDefault="00E82A60" w:rsidP="00300A01">
            <w:pPr>
              <w:spacing w:before="0" w:after="0"/>
              <w:rPr>
                <w:sz w:val="12"/>
                <w:szCs w:val="12"/>
                <w:lang w:val="fr-BE"/>
              </w:rPr>
            </w:pPr>
            <w:r w:rsidRPr="00D4605F">
              <w:rPr>
                <w:noProof/>
                <w:sz w:val="12"/>
                <w:szCs w:val="12"/>
                <w:lang w:val="fr-BE"/>
              </w:rPr>
              <w:t>I</w:t>
            </w:r>
          </w:p>
        </w:tc>
        <w:tc>
          <w:tcPr>
            <w:tcW w:w="0" w:type="auto"/>
            <w:shd w:val="clear" w:color="auto" w:fill="auto"/>
          </w:tcPr>
          <w:p w14:paraId="1EA21C36" w14:textId="77777777" w:rsidR="008C5CFA" w:rsidRPr="00D4605F" w:rsidRDefault="00E82A60" w:rsidP="00300A01">
            <w:pPr>
              <w:spacing w:before="0" w:after="0"/>
              <w:rPr>
                <w:sz w:val="12"/>
                <w:szCs w:val="12"/>
                <w:lang w:val="fr-BE"/>
              </w:rPr>
            </w:pPr>
            <w:r w:rsidRPr="00D4605F">
              <w:rPr>
                <w:noProof/>
                <w:sz w:val="12"/>
                <w:szCs w:val="12"/>
                <w:lang w:val="fr-BE"/>
              </w:rPr>
              <w:t>002</w:t>
            </w:r>
          </w:p>
        </w:tc>
        <w:tc>
          <w:tcPr>
            <w:tcW w:w="0" w:type="auto"/>
            <w:shd w:val="clear" w:color="auto" w:fill="auto"/>
          </w:tcPr>
          <w:p w14:paraId="4C2101BB" w14:textId="77777777" w:rsidR="008C5CFA" w:rsidRPr="00D4605F" w:rsidRDefault="00E82A60" w:rsidP="00300A01">
            <w:pPr>
              <w:spacing w:before="0" w:after="0"/>
              <w:rPr>
                <w:sz w:val="12"/>
                <w:szCs w:val="12"/>
                <w:lang w:val="fr-BE"/>
              </w:rPr>
            </w:pPr>
            <w:r w:rsidRPr="00D4605F">
              <w:rPr>
                <w:noProof/>
                <w:sz w:val="12"/>
                <w:szCs w:val="12"/>
                <w:lang w:val="fr-BE"/>
              </w:rPr>
              <w:t>liczba jednostek naukowych ponoszących nakłady inwestycyjne na działalność B+R w podpisanych umowach</w:t>
            </w:r>
          </w:p>
        </w:tc>
        <w:tc>
          <w:tcPr>
            <w:tcW w:w="0" w:type="auto"/>
            <w:shd w:val="clear" w:color="auto" w:fill="auto"/>
          </w:tcPr>
          <w:p w14:paraId="294C5307" w14:textId="77777777" w:rsidR="008C5CFA" w:rsidRPr="00D4605F" w:rsidRDefault="00E82A60" w:rsidP="00300A01">
            <w:pPr>
              <w:spacing w:before="0" w:after="0"/>
              <w:rPr>
                <w:sz w:val="12"/>
                <w:szCs w:val="12"/>
                <w:lang w:val="fr-BE"/>
              </w:rPr>
            </w:pPr>
            <w:r w:rsidRPr="00D4605F">
              <w:rPr>
                <w:noProof/>
                <w:sz w:val="12"/>
                <w:szCs w:val="12"/>
                <w:lang w:val="fr-BE"/>
              </w:rPr>
              <w:t>szt</w:t>
            </w:r>
          </w:p>
        </w:tc>
        <w:tc>
          <w:tcPr>
            <w:tcW w:w="0" w:type="auto"/>
            <w:shd w:val="clear" w:color="auto" w:fill="auto"/>
          </w:tcPr>
          <w:p w14:paraId="701A0330" w14:textId="77777777" w:rsidR="008C5CFA" w:rsidRPr="00D4605F" w:rsidRDefault="00E82A60" w:rsidP="00300A01">
            <w:pPr>
              <w:spacing w:before="0" w:after="0"/>
              <w:rPr>
                <w:sz w:val="12"/>
                <w:szCs w:val="12"/>
                <w:lang w:val="fr-BE"/>
              </w:rPr>
            </w:pPr>
            <w:r w:rsidRPr="00D4605F">
              <w:rPr>
                <w:noProof/>
                <w:sz w:val="12"/>
                <w:szCs w:val="12"/>
                <w:lang w:val="fr-BE"/>
              </w:rPr>
              <w:t>EFRR</w:t>
            </w:r>
          </w:p>
        </w:tc>
        <w:tc>
          <w:tcPr>
            <w:tcW w:w="0" w:type="auto"/>
          </w:tcPr>
          <w:p w14:paraId="30F94BDD" w14:textId="77777777" w:rsidR="008C5CFA" w:rsidRPr="00D4605F" w:rsidRDefault="00E82A60" w:rsidP="00300A01">
            <w:pPr>
              <w:spacing w:before="0" w:after="0"/>
              <w:rPr>
                <w:sz w:val="12"/>
                <w:szCs w:val="12"/>
                <w:lang w:val="fr-BE"/>
              </w:rPr>
            </w:pPr>
            <w:r w:rsidRPr="00D4605F">
              <w:rPr>
                <w:noProof/>
                <w:sz w:val="12"/>
                <w:szCs w:val="12"/>
                <w:lang w:val="fr-BE"/>
              </w:rPr>
              <w:t>Słabiej rozwinięte</w:t>
            </w:r>
          </w:p>
        </w:tc>
        <w:tc>
          <w:tcPr>
            <w:tcW w:w="0" w:type="auto"/>
          </w:tcPr>
          <w:p w14:paraId="66E027D6" w14:textId="77777777" w:rsidR="008C5CFA" w:rsidRPr="00D4605F" w:rsidRDefault="00E82A60" w:rsidP="00300A01">
            <w:pPr>
              <w:spacing w:before="0" w:after="0"/>
              <w:rPr>
                <w:sz w:val="12"/>
                <w:szCs w:val="12"/>
                <w:lang w:val="fr-BE"/>
              </w:rPr>
            </w:pPr>
            <w:r w:rsidRPr="00D4605F">
              <w:rPr>
                <w:noProof/>
                <w:sz w:val="12"/>
                <w:szCs w:val="12"/>
                <w:lang w:val="fr-BE"/>
              </w:rPr>
              <w:t>3</w:t>
            </w:r>
          </w:p>
        </w:tc>
        <w:tc>
          <w:tcPr>
            <w:tcW w:w="0" w:type="auto"/>
          </w:tcPr>
          <w:p w14:paraId="406532AE" w14:textId="77777777" w:rsidR="008C5CFA" w:rsidRPr="00D4605F" w:rsidRDefault="008C5CFA" w:rsidP="00300A01">
            <w:pPr>
              <w:spacing w:before="0" w:after="0"/>
              <w:rPr>
                <w:sz w:val="12"/>
                <w:szCs w:val="12"/>
                <w:lang w:val="fr-BE"/>
              </w:rPr>
            </w:pPr>
          </w:p>
        </w:tc>
        <w:tc>
          <w:tcPr>
            <w:tcW w:w="0" w:type="auto"/>
          </w:tcPr>
          <w:p w14:paraId="0556134F" w14:textId="77777777" w:rsidR="008C5CFA" w:rsidRPr="00D4605F" w:rsidRDefault="008C5CFA" w:rsidP="00300A01">
            <w:pPr>
              <w:spacing w:before="0" w:after="0"/>
              <w:rPr>
                <w:sz w:val="12"/>
                <w:szCs w:val="12"/>
                <w:lang w:val="fr-BE"/>
              </w:rPr>
            </w:pPr>
          </w:p>
        </w:tc>
        <w:tc>
          <w:tcPr>
            <w:tcW w:w="0" w:type="auto"/>
          </w:tcPr>
          <w:p w14:paraId="522F65DC" w14:textId="77777777" w:rsidR="008C5CFA" w:rsidRPr="00B05D34" w:rsidRDefault="00E82A60" w:rsidP="00136029">
            <w:pPr>
              <w:spacing w:before="0" w:after="0"/>
              <w:jc w:val="right"/>
              <w:rPr>
                <w:sz w:val="12"/>
                <w:szCs w:val="12"/>
                <w:lang w:val="fr-BE"/>
              </w:rPr>
            </w:pPr>
            <w:r w:rsidRPr="00B05D34">
              <w:rPr>
                <w:noProof/>
                <w:sz w:val="12"/>
                <w:szCs w:val="12"/>
                <w:lang w:val="fr-BE"/>
              </w:rPr>
              <w:t>3,00</w:t>
            </w:r>
          </w:p>
        </w:tc>
        <w:tc>
          <w:tcPr>
            <w:tcW w:w="0" w:type="auto"/>
          </w:tcPr>
          <w:p w14:paraId="7F63908B" w14:textId="77777777" w:rsidR="008C5CFA" w:rsidRPr="00B05D34" w:rsidRDefault="008C5CFA" w:rsidP="00300A01">
            <w:pPr>
              <w:spacing w:before="0" w:after="0"/>
              <w:jc w:val="right"/>
              <w:rPr>
                <w:sz w:val="12"/>
                <w:szCs w:val="12"/>
                <w:lang w:val="fr-BE"/>
              </w:rPr>
            </w:pPr>
          </w:p>
        </w:tc>
        <w:tc>
          <w:tcPr>
            <w:tcW w:w="0" w:type="auto"/>
          </w:tcPr>
          <w:p w14:paraId="29AD2CB8" w14:textId="77777777" w:rsidR="008C5CFA" w:rsidRPr="00B05D34" w:rsidRDefault="008C5CFA" w:rsidP="00300A01">
            <w:pPr>
              <w:spacing w:before="0" w:after="0"/>
              <w:jc w:val="right"/>
              <w:rPr>
                <w:sz w:val="12"/>
                <w:szCs w:val="12"/>
                <w:lang w:val="fr-BE"/>
              </w:rPr>
            </w:pPr>
          </w:p>
        </w:tc>
      </w:tr>
      <w:tr w:rsidR="006B2EC1" w14:paraId="53CD68C5" w14:textId="77777777" w:rsidTr="0047688D">
        <w:tc>
          <w:tcPr>
            <w:tcW w:w="0" w:type="auto"/>
            <w:shd w:val="clear" w:color="auto" w:fill="auto"/>
          </w:tcPr>
          <w:p w14:paraId="5ADF8675" w14:textId="77777777" w:rsidR="008C5CFA" w:rsidRPr="00D4605F" w:rsidRDefault="00E82A60" w:rsidP="00300A01">
            <w:pPr>
              <w:spacing w:before="0" w:after="0"/>
              <w:rPr>
                <w:sz w:val="12"/>
                <w:szCs w:val="12"/>
                <w:lang w:val="fr-BE"/>
              </w:rPr>
            </w:pPr>
            <w:r w:rsidRPr="00D4605F">
              <w:rPr>
                <w:noProof/>
                <w:sz w:val="12"/>
                <w:szCs w:val="12"/>
                <w:lang w:val="fr-BE"/>
              </w:rPr>
              <w:t>1</w:t>
            </w:r>
          </w:p>
        </w:tc>
        <w:tc>
          <w:tcPr>
            <w:tcW w:w="0" w:type="auto"/>
            <w:shd w:val="clear" w:color="auto" w:fill="auto"/>
          </w:tcPr>
          <w:p w14:paraId="4C3624B9" w14:textId="77777777" w:rsidR="008C5CFA" w:rsidRPr="00D4605F" w:rsidRDefault="00E82A60" w:rsidP="00300A01">
            <w:pPr>
              <w:spacing w:before="0" w:after="0"/>
              <w:rPr>
                <w:sz w:val="12"/>
                <w:szCs w:val="12"/>
                <w:lang w:val="fr-BE"/>
              </w:rPr>
            </w:pPr>
            <w:r w:rsidRPr="00D4605F">
              <w:rPr>
                <w:noProof/>
                <w:sz w:val="12"/>
                <w:szCs w:val="12"/>
                <w:lang w:val="fr-BE"/>
              </w:rPr>
              <w:t>O</w:t>
            </w:r>
          </w:p>
        </w:tc>
        <w:tc>
          <w:tcPr>
            <w:tcW w:w="0" w:type="auto"/>
            <w:shd w:val="clear" w:color="auto" w:fill="auto"/>
          </w:tcPr>
          <w:p w14:paraId="542BAE77" w14:textId="77777777" w:rsidR="008C5CFA" w:rsidRPr="00D4605F" w:rsidRDefault="00E82A60" w:rsidP="00300A01">
            <w:pPr>
              <w:spacing w:before="0" w:after="0"/>
              <w:rPr>
                <w:sz w:val="12"/>
                <w:szCs w:val="12"/>
                <w:lang w:val="fr-BE"/>
              </w:rPr>
            </w:pPr>
            <w:r w:rsidRPr="00D4605F">
              <w:rPr>
                <w:noProof/>
                <w:sz w:val="12"/>
                <w:szCs w:val="12"/>
                <w:lang w:val="fr-BE"/>
              </w:rPr>
              <w:t>025</w:t>
            </w:r>
          </w:p>
        </w:tc>
        <w:tc>
          <w:tcPr>
            <w:tcW w:w="0" w:type="auto"/>
            <w:shd w:val="clear" w:color="auto" w:fill="auto"/>
          </w:tcPr>
          <w:p w14:paraId="2AD0DC3B" w14:textId="77777777" w:rsidR="008C5CFA" w:rsidRPr="00D4605F" w:rsidRDefault="00E82A60" w:rsidP="00300A01">
            <w:pPr>
              <w:spacing w:before="0" w:after="0"/>
              <w:rPr>
                <w:sz w:val="12"/>
                <w:szCs w:val="12"/>
                <w:lang w:val="fr-BE"/>
              </w:rPr>
            </w:pPr>
            <w:r w:rsidRPr="00D4605F">
              <w:rPr>
                <w:noProof/>
                <w:sz w:val="12"/>
                <w:szCs w:val="12"/>
                <w:lang w:val="fr-BE"/>
              </w:rPr>
              <w:t>Liczba jednostek naukowych ponoszących nakłady inwestycyjne na działalność B+R</w:t>
            </w:r>
          </w:p>
        </w:tc>
        <w:tc>
          <w:tcPr>
            <w:tcW w:w="0" w:type="auto"/>
            <w:shd w:val="clear" w:color="auto" w:fill="auto"/>
          </w:tcPr>
          <w:p w14:paraId="299D8479" w14:textId="77777777" w:rsidR="008C5CFA" w:rsidRPr="00D4605F" w:rsidRDefault="00E82A60" w:rsidP="00300A01">
            <w:pPr>
              <w:spacing w:before="0" w:after="0"/>
              <w:rPr>
                <w:sz w:val="12"/>
                <w:szCs w:val="12"/>
                <w:lang w:val="fr-BE"/>
              </w:rPr>
            </w:pPr>
            <w:r w:rsidRPr="00D4605F">
              <w:rPr>
                <w:noProof/>
                <w:sz w:val="12"/>
                <w:szCs w:val="12"/>
                <w:lang w:val="fr-BE"/>
              </w:rPr>
              <w:t>sztuka</w:t>
            </w:r>
          </w:p>
        </w:tc>
        <w:tc>
          <w:tcPr>
            <w:tcW w:w="0" w:type="auto"/>
            <w:shd w:val="clear" w:color="auto" w:fill="auto"/>
          </w:tcPr>
          <w:p w14:paraId="1AEFE2E9" w14:textId="77777777" w:rsidR="008C5CFA" w:rsidRPr="00D4605F" w:rsidRDefault="00E82A60" w:rsidP="00300A01">
            <w:pPr>
              <w:spacing w:before="0" w:after="0"/>
              <w:rPr>
                <w:sz w:val="12"/>
                <w:szCs w:val="12"/>
                <w:lang w:val="fr-BE"/>
              </w:rPr>
            </w:pPr>
            <w:r w:rsidRPr="00D4605F">
              <w:rPr>
                <w:noProof/>
                <w:sz w:val="12"/>
                <w:szCs w:val="12"/>
                <w:lang w:val="fr-BE"/>
              </w:rPr>
              <w:t>EFRR</w:t>
            </w:r>
          </w:p>
        </w:tc>
        <w:tc>
          <w:tcPr>
            <w:tcW w:w="0" w:type="auto"/>
          </w:tcPr>
          <w:p w14:paraId="7FE0CD06" w14:textId="77777777" w:rsidR="008C5CFA" w:rsidRPr="00D4605F" w:rsidRDefault="00E82A60" w:rsidP="00300A01">
            <w:pPr>
              <w:spacing w:before="0" w:after="0"/>
              <w:rPr>
                <w:sz w:val="12"/>
                <w:szCs w:val="12"/>
                <w:lang w:val="fr-BE"/>
              </w:rPr>
            </w:pPr>
            <w:r w:rsidRPr="00D4605F">
              <w:rPr>
                <w:noProof/>
                <w:sz w:val="12"/>
                <w:szCs w:val="12"/>
                <w:lang w:val="fr-BE"/>
              </w:rPr>
              <w:t>Słabiej rozwinięte</w:t>
            </w:r>
          </w:p>
        </w:tc>
        <w:tc>
          <w:tcPr>
            <w:tcW w:w="0" w:type="auto"/>
          </w:tcPr>
          <w:p w14:paraId="6E264AD9" w14:textId="77777777" w:rsidR="008C5CFA" w:rsidRPr="00D4605F" w:rsidRDefault="00E82A60" w:rsidP="00300A01">
            <w:pPr>
              <w:spacing w:before="0" w:after="0"/>
              <w:rPr>
                <w:sz w:val="12"/>
                <w:szCs w:val="12"/>
                <w:lang w:val="fr-BE"/>
              </w:rPr>
            </w:pPr>
            <w:r w:rsidRPr="00D4605F">
              <w:rPr>
                <w:noProof/>
                <w:sz w:val="12"/>
                <w:szCs w:val="12"/>
                <w:lang w:val="fr-BE"/>
              </w:rPr>
              <w:t>0</w:t>
            </w:r>
          </w:p>
        </w:tc>
        <w:tc>
          <w:tcPr>
            <w:tcW w:w="0" w:type="auto"/>
          </w:tcPr>
          <w:p w14:paraId="4E1267C8" w14:textId="77777777" w:rsidR="008C5CFA" w:rsidRPr="00D4605F" w:rsidRDefault="008C5CFA" w:rsidP="00300A01">
            <w:pPr>
              <w:spacing w:before="0" w:after="0"/>
              <w:rPr>
                <w:sz w:val="12"/>
                <w:szCs w:val="12"/>
                <w:lang w:val="fr-BE"/>
              </w:rPr>
            </w:pPr>
          </w:p>
        </w:tc>
        <w:tc>
          <w:tcPr>
            <w:tcW w:w="0" w:type="auto"/>
          </w:tcPr>
          <w:p w14:paraId="332454B9" w14:textId="77777777" w:rsidR="008C5CFA" w:rsidRPr="00D4605F" w:rsidRDefault="008C5CFA" w:rsidP="00300A01">
            <w:pPr>
              <w:spacing w:before="0" w:after="0"/>
              <w:rPr>
                <w:sz w:val="12"/>
                <w:szCs w:val="12"/>
                <w:lang w:val="fr-BE"/>
              </w:rPr>
            </w:pPr>
          </w:p>
        </w:tc>
        <w:tc>
          <w:tcPr>
            <w:tcW w:w="0" w:type="auto"/>
          </w:tcPr>
          <w:p w14:paraId="13D31AB8" w14:textId="77777777" w:rsidR="008C5CFA" w:rsidRPr="00B05D34" w:rsidRDefault="00E82A60" w:rsidP="00136029">
            <w:pPr>
              <w:spacing w:before="0" w:after="0"/>
              <w:jc w:val="right"/>
              <w:rPr>
                <w:sz w:val="12"/>
                <w:szCs w:val="12"/>
                <w:lang w:val="fr-BE"/>
              </w:rPr>
            </w:pPr>
            <w:r w:rsidRPr="00B05D34">
              <w:rPr>
                <w:noProof/>
                <w:sz w:val="12"/>
                <w:szCs w:val="12"/>
                <w:lang w:val="fr-BE"/>
              </w:rPr>
              <w:t>3,00</w:t>
            </w:r>
          </w:p>
        </w:tc>
        <w:tc>
          <w:tcPr>
            <w:tcW w:w="0" w:type="auto"/>
          </w:tcPr>
          <w:p w14:paraId="24B4D2B2" w14:textId="77777777" w:rsidR="008C5CFA" w:rsidRPr="00B05D34" w:rsidRDefault="008C5CFA" w:rsidP="00300A01">
            <w:pPr>
              <w:spacing w:before="0" w:after="0"/>
              <w:jc w:val="right"/>
              <w:rPr>
                <w:sz w:val="12"/>
                <w:szCs w:val="12"/>
                <w:lang w:val="fr-BE"/>
              </w:rPr>
            </w:pPr>
          </w:p>
        </w:tc>
        <w:tc>
          <w:tcPr>
            <w:tcW w:w="0" w:type="auto"/>
          </w:tcPr>
          <w:p w14:paraId="4803C5F0" w14:textId="77777777" w:rsidR="008C5CFA" w:rsidRPr="00B05D34" w:rsidRDefault="008C5CFA" w:rsidP="00300A01">
            <w:pPr>
              <w:spacing w:before="0" w:after="0"/>
              <w:jc w:val="right"/>
              <w:rPr>
                <w:sz w:val="12"/>
                <w:szCs w:val="12"/>
                <w:lang w:val="fr-BE"/>
              </w:rPr>
            </w:pPr>
          </w:p>
        </w:tc>
      </w:tr>
      <w:tr w:rsidR="006B2EC1" w14:paraId="35BDA5B6" w14:textId="77777777" w:rsidTr="0047688D">
        <w:tc>
          <w:tcPr>
            <w:tcW w:w="0" w:type="auto"/>
            <w:shd w:val="clear" w:color="auto" w:fill="auto"/>
          </w:tcPr>
          <w:p w14:paraId="0A392C94" w14:textId="77777777" w:rsidR="008C5CFA" w:rsidRPr="00D4605F" w:rsidRDefault="00E82A60" w:rsidP="00300A01">
            <w:pPr>
              <w:spacing w:before="0" w:after="0"/>
              <w:rPr>
                <w:sz w:val="12"/>
                <w:szCs w:val="12"/>
                <w:lang w:val="fr-BE"/>
              </w:rPr>
            </w:pPr>
            <w:r w:rsidRPr="00D4605F">
              <w:rPr>
                <w:noProof/>
                <w:sz w:val="12"/>
                <w:szCs w:val="12"/>
                <w:lang w:val="fr-BE"/>
              </w:rPr>
              <w:t>10</w:t>
            </w:r>
          </w:p>
        </w:tc>
        <w:tc>
          <w:tcPr>
            <w:tcW w:w="0" w:type="auto"/>
            <w:shd w:val="clear" w:color="auto" w:fill="auto"/>
          </w:tcPr>
          <w:p w14:paraId="4E6FE987" w14:textId="77777777" w:rsidR="008C5CFA" w:rsidRPr="00D4605F" w:rsidRDefault="00E82A60" w:rsidP="00300A01">
            <w:pPr>
              <w:spacing w:before="0" w:after="0"/>
              <w:rPr>
                <w:sz w:val="12"/>
                <w:szCs w:val="12"/>
                <w:lang w:val="fr-BE"/>
              </w:rPr>
            </w:pPr>
            <w:r w:rsidRPr="00D4605F">
              <w:rPr>
                <w:noProof/>
                <w:sz w:val="12"/>
                <w:szCs w:val="12"/>
                <w:lang w:val="fr-BE"/>
              </w:rPr>
              <w:t>F</w:t>
            </w:r>
          </w:p>
        </w:tc>
        <w:tc>
          <w:tcPr>
            <w:tcW w:w="0" w:type="auto"/>
            <w:shd w:val="clear" w:color="auto" w:fill="auto"/>
          </w:tcPr>
          <w:p w14:paraId="365ECFFD" w14:textId="77777777" w:rsidR="008C5CFA" w:rsidRPr="00D4605F" w:rsidRDefault="00E82A60" w:rsidP="00300A01">
            <w:pPr>
              <w:spacing w:before="0" w:after="0"/>
              <w:rPr>
                <w:sz w:val="12"/>
                <w:szCs w:val="12"/>
                <w:lang w:val="fr-BE"/>
              </w:rPr>
            </w:pPr>
            <w:r w:rsidRPr="00D4605F">
              <w:rPr>
                <w:noProof/>
                <w:sz w:val="12"/>
                <w:szCs w:val="12"/>
                <w:lang w:val="fr-BE"/>
              </w:rPr>
              <w:t>001</w:t>
            </w:r>
          </w:p>
        </w:tc>
        <w:tc>
          <w:tcPr>
            <w:tcW w:w="0" w:type="auto"/>
            <w:shd w:val="clear" w:color="auto" w:fill="auto"/>
          </w:tcPr>
          <w:p w14:paraId="6E5DDE9F" w14:textId="77777777" w:rsidR="008C5CFA" w:rsidRPr="00D4605F" w:rsidRDefault="00E82A60" w:rsidP="00300A01">
            <w:pPr>
              <w:spacing w:before="0" w:after="0"/>
              <w:rPr>
                <w:sz w:val="12"/>
                <w:szCs w:val="12"/>
                <w:lang w:val="fr-BE"/>
              </w:rPr>
            </w:pPr>
            <w:r w:rsidRPr="00D4605F">
              <w:rPr>
                <w:noProof/>
                <w:sz w:val="12"/>
                <w:szCs w:val="12"/>
                <w:lang w:val="fr-BE"/>
              </w:rPr>
              <w:t>Całkowita kwota certyfikowanych wydatków kwalifikowalnych</w:t>
            </w:r>
          </w:p>
        </w:tc>
        <w:tc>
          <w:tcPr>
            <w:tcW w:w="0" w:type="auto"/>
            <w:shd w:val="clear" w:color="auto" w:fill="auto"/>
          </w:tcPr>
          <w:p w14:paraId="22325F11" w14:textId="77777777" w:rsidR="008C5CFA" w:rsidRPr="00D4605F" w:rsidRDefault="00E82A60" w:rsidP="00300A01">
            <w:pPr>
              <w:spacing w:before="0" w:after="0"/>
              <w:rPr>
                <w:sz w:val="12"/>
                <w:szCs w:val="12"/>
                <w:lang w:val="fr-BE"/>
              </w:rPr>
            </w:pPr>
            <w:r w:rsidRPr="00D4605F">
              <w:rPr>
                <w:noProof/>
                <w:sz w:val="12"/>
                <w:szCs w:val="12"/>
                <w:lang w:val="fr-BE"/>
              </w:rPr>
              <w:t>EUR</w:t>
            </w:r>
          </w:p>
        </w:tc>
        <w:tc>
          <w:tcPr>
            <w:tcW w:w="0" w:type="auto"/>
            <w:shd w:val="clear" w:color="auto" w:fill="auto"/>
          </w:tcPr>
          <w:p w14:paraId="0175D8D6" w14:textId="77777777" w:rsidR="008C5CFA" w:rsidRPr="00D4605F" w:rsidRDefault="00E82A60" w:rsidP="00300A01">
            <w:pPr>
              <w:spacing w:before="0" w:after="0"/>
              <w:rPr>
                <w:sz w:val="12"/>
                <w:szCs w:val="12"/>
                <w:lang w:val="fr-BE"/>
              </w:rPr>
            </w:pPr>
            <w:r w:rsidRPr="00D4605F">
              <w:rPr>
                <w:noProof/>
                <w:sz w:val="12"/>
                <w:szCs w:val="12"/>
                <w:lang w:val="fr-BE"/>
              </w:rPr>
              <w:t>EFS</w:t>
            </w:r>
          </w:p>
        </w:tc>
        <w:tc>
          <w:tcPr>
            <w:tcW w:w="0" w:type="auto"/>
          </w:tcPr>
          <w:p w14:paraId="210C2C10" w14:textId="77777777" w:rsidR="008C5CFA" w:rsidRPr="00D4605F" w:rsidRDefault="00E82A60" w:rsidP="00300A01">
            <w:pPr>
              <w:spacing w:before="0" w:after="0"/>
              <w:rPr>
                <w:sz w:val="12"/>
                <w:szCs w:val="12"/>
                <w:lang w:val="fr-BE"/>
              </w:rPr>
            </w:pPr>
            <w:r w:rsidRPr="00D4605F">
              <w:rPr>
                <w:noProof/>
                <w:sz w:val="12"/>
                <w:szCs w:val="12"/>
                <w:lang w:val="fr-BE"/>
              </w:rPr>
              <w:t>Słabiej rozwinięte</w:t>
            </w:r>
          </w:p>
        </w:tc>
        <w:tc>
          <w:tcPr>
            <w:tcW w:w="0" w:type="auto"/>
          </w:tcPr>
          <w:p w14:paraId="6B031CA1" w14:textId="77777777" w:rsidR="008C5CFA" w:rsidRPr="00D4605F" w:rsidRDefault="00E82A60" w:rsidP="00300A01">
            <w:pPr>
              <w:spacing w:before="0" w:after="0"/>
              <w:rPr>
                <w:sz w:val="12"/>
                <w:szCs w:val="12"/>
                <w:lang w:val="fr-BE"/>
              </w:rPr>
            </w:pPr>
            <w:r w:rsidRPr="00D4605F">
              <w:rPr>
                <w:noProof/>
                <w:sz w:val="12"/>
                <w:szCs w:val="12"/>
                <w:lang w:val="fr-BE"/>
              </w:rPr>
              <w:t>30 656 772,00</w:t>
            </w:r>
          </w:p>
        </w:tc>
        <w:tc>
          <w:tcPr>
            <w:tcW w:w="0" w:type="auto"/>
          </w:tcPr>
          <w:p w14:paraId="716E4861" w14:textId="77777777" w:rsidR="008C5CFA" w:rsidRPr="00D4605F" w:rsidRDefault="008C5CFA" w:rsidP="00300A01">
            <w:pPr>
              <w:spacing w:before="0" w:after="0"/>
              <w:rPr>
                <w:sz w:val="12"/>
                <w:szCs w:val="12"/>
                <w:lang w:val="fr-BE"/>
              </w:rPr>
            </w:pPr>
          </w:p>
        </w:tc>
        <w:tc>
          <w:tcPr>
            <w:tcW w:w="0" w:type="auto"/>
          </w:tcPr>
          <w:p w14:paraId="2EDBAB73" w14:textId="77777777" w:rsidR="008C5CFA" w:rsidRPr="00D4605F" w:rsidRDefault="008C5CFA" w:rsidP="00300A01">
            <w:pPr>
              <w:spacing w:before="0" w:after="0"/>
              <w:rPr>
                <w:sz w:val="12"/>
                <w:szCs w:val="12"/>
                <w:lang w:val="fr-BE"/>
              </w:rPr>
            </w:pPr>
          </w:p>
        </w:tc>
        <w:tc>
          <w:tcPr>
            <w:tcW w:w="0" w:type="auto"/>
          </w:tcPr>
          <w:p w14:paraId="3C4D1825" w14:textId="77777777" w:rsidR="008C5CFA" w:rsidRPr="00B05D34" w:rsidRDefault="00E82A60" w:rsidP="00136029">
            <w:pPr>
              <w:spacing w:before="0" w:after="0"/>
              <w:jc w:val="right"/>
              <w:rPr>
                <w:sz w:val="12"/>
                <w:szCs w:val="12"/>
                <w:lang w:val="fr-BE"/>
              </w:rPr>
            </w:pPr>
            <w:r w:rsidRPr="00B05D34">
              <w:rPr>
                <w:noProof/>
                <w:sz w:val="12"/>
                <w:szCs w:val="12"/>
                <w:lang w:val="fr-BE"/>
              </w:rPr>
              <w:t>147 152 983,00</w:t>
            </w:r>
          </w:p>
        </w:tc>
        <w:tc>
          <w:tcPr>
            <w:tcW w:w="0" w:type="auto"/>
          </w:tcPr>
          <w:p w14:paraId="74A41436" w14:textId="77777777" w:rsidR="008C5CFA" w:rsidRPr="00B05D34" w:rsidRDefault="008C5CFA" w:rsidP="00300A01">
            <w:pPr>
              <w:spacing w:before="0" w:after="0"/>
              <w:jc w:val="right"/>
              <w:rPr>
                <w:sz w:val="12"/>
                <w:szCs w:val="12"/>
                <w:lang w:val="fr-BE"/>
              </w:rPr>
            </w:pPr>
          </w:p>
        </w:tc>
        <w:tc>
          <w:tcPr>
            <w:tcW w:w="0" w:type="auto"/>
          </w:tcPr>
          <w:p w14:paraId="55A8547A" w14:textId="77777777" w:rsidR="008C5CFA" w:rsidRPr="00B05D34" w:rsidRDefault="008C5CFA" w:rsidP="00300A01">
            <w:pPr>
              <w:spacing w:before="0" w:after="0"/>
              <w:jc w:val="right"/>
              <w:rPr>
                <w:sz w:val="12"/>
                <w:szCs w:val="12"/>
                <w:lang w:val="fr-BE"/>
              </w:rPr>
            </w:pPr>
          </w:p>
        </w:tc>
      </w:tr>
      <w:tr w:rsidR="006B2EC1" w14:paraId="2822142C" w14:textId="77777777" w:rsidTr="0047688D">
        <w:tc>
          <w:tcPr>
            <w:tcW w:w="0" w:type="auto"/>
            <w:shd w:val="clear" w:color="auto" w:fill="auto"/>
          </w:tcPr>
          <w:p w14:paraId="478B0558" w14:textId="77777777" w:rsidR="008C5CFA" w:rsidRPr="00D4605F" w:rsidRDefault="00E82A60" w:rsidP="00300A01">
            <w:pPr>
              <w:spacing w:before="0" w:after="0"/>
              <w:rPr>
                <w:sz w:val="12"/>
                <w:szCs w:val="12"/>
                <w:lang w:val="fr-BE"/>
              </w:rPr>
            </w:pPr>
            <w:r w:rsidRPr="00D4605F">
              <w:rPr>
                <w:noProof/>
                <w:sz w:val="12"/>
                <w:szCs w:val="12"/>
                <w:lang w:val="fr-BE"/>
              </w:rPr>
              <w:t>10</w:t>
            </w:r>
          </w:p>
        </w:tc>
        <w:tc>
          <w:tcPr>
            <w:tcW w:w="0" w:type="auto"/>
            <w:shd w:val="clear" w:color="auto" w:fill="auto"/>
          </w:tcPr>
          <w:p w14:paraId="3B58CCB9" w14:textId="77777777" w:rsidR="008C5CFA" w:rsidRPr="00D4605F" w:rsidRDefault="00E82A60" w:rsidP="00300A01">
            <w:pPr>
              <w:spacing w:before="0" w:after="0"/>
              <w:rPr>
                <w:sz w:val="12"/>
                <w:szCs w:val="12"/>
                <w:lang w:val="fr-BE"/>
              </w:rPr>
            </w:pPr>
            <w:r w:rsidRPr="00D4605F">
              <w:rPr>
                <w:noProof/>
                <w:sz w:val="12"/>
                <w:szCs w:val="12"/>
                <w:lang w:val="fr-BE"/>
              </w:rPr>
              <w:t>O</w:t>
            </w:r>
          </w:p>
        </w:tc>
        <w:tc>
          <w:tcPr>
            <w:tcW w:w="0" w:type="auto"/>
            <w:shd w:val="clear" w:color="auto" w:fill="auto"/>
          </w:tcPr>
          <w:p w14:paraId="58B2A12F" w14:textId="77777777" w:rsidR="008C5CFA" w:rsidRPr="00D4605F" w:rsidRDefault="00E82A60" w:rsidP="00300A01">
            <w:pPr>
              <w:spacing w:before="0" w:after="0"/>
              <w:rPr>
                <w:sz w:val="12"/>
                <w:szCs w:val="12"/>
                <w:lang w:val="fr-BE"/>
              </w:rPr>
            </w:pPr>
            <w:r w:rsidRPr="00D4605F">
              <w:rPr>
                <w:noProof/>
                <w:sz w:val="12"/>
                <w:szCs w:val="12"/>
                <w:lang w:val="fr-BE"/>
              </w:rPr>
              <w:t>146</w:t>
            </w:r>
          </w:p>
        </w:tc>
        <w:tc>
          <w:tcPr>
            <w:tcW w:w="0" w:type="auto"/>
            <w:shd w:val="clear" w:color="auto" w:fill="auto"/>
          </w:tcPr>
          <w:p w14:paraId="57DE68F5" w14:textId="77777777" w:rsidR="008C5CFA" w:rsidRPr="00D4605F" w:rsidRDefault="00E82A60" w:rsidP="00300A01">
            <w:pPr>
              <w:spacing w:before="0" w:after="0"/>
              <w:rPr>
                <w:sz w:val="12"/>
                <w:szCs w:val="12"/>
                <w:lang w:val="fr-BE"/>
              </w:rPr>
            </w:pPr>
            <w:r w:rsidRPr="00D4605F">
              <w:rPr>
                <w:noProof/>
                <w:sz w:val="12"/>
                <w:szCs w:val="12"/>
                <w:lang w:val="fr-BE"/>
              </w:rPr>
              <w:t>Liczba osób bezrobotnych (łącznie z długotrwale bezrobotnymi) objętych wsparciem</w:t>
            </w:r>
          </w:p>
        </w:tc>
        <w:tc>
          <w:tcPr>
            <w:tcW w:w="0" w:type="auto"/>
            <w:shd w:val="clear" w:color="auto" w:fill="auto"/>
          </w:tcPr>
          <w:p w14:paraId="0A6D5387" w14:textId="77777777" w:rsidR="008C5CFA" w:rsidRPr="00D4605F" w:rsidRDefault="00E82A60" w:rsidP="00300A01">
            <w:pPr>
              <w:spacing w:before="0" w:after="0"/>
              <w:rPr>
                <w:sz w:val="12"/>
                <w:szCs w:val="12"/>
                <w:lang w:val="fr-BE"/>
              </w:rPr>
            </w:pPr>
            <w:r w:rsidRPr="00D4605F">
              <w:rPr>
                <w:noProof/>
                <w:sz w:val="12"/>
                <w:szCs w:val="12"/>
                <w:lang w:val="fr-BE"/>
              </w:rPr>
              <w:t>Liczba</w:t>
            </w:r>
          </w:p>
        </w:tc>
        <w:tc>
          <w:tcPr>
            <w:tcW w:w="0" w:type="auto"/>
            <w:shd w:val="clear" w:color="auto" w:fill="auto"/>
          </w:tcPr>
          <w:p w14:paraId="1F2A1153" w14:textId="77777777" w:rsidR="008C5CFA" w:rsidRPr="00D4605F" w:rsidRDefault="00E82A60" w:rsidP="00300A01">
            <w:pPr>
              <w:spacing w:before="0" w:after="0"/>
              <w:rPr>
                <w:sz w:val="12"/>
                <w:szCs w:val="12"/>
                <w:lang w:val="fr-BE"/>
              </w:rPr>
            </w:pPr>
            <w:r w:rsidRPr="00D4605F">
              <w:rPr>
                <w:noProof/>
                <w:sz w:val="12"/>
                <w:szCs w:val="12"/>
                <w:lang w:val="fr-BE"/>
              </w:rPr>
              <w:t>EFS</w:t>
            </w:r>
          </w:p>
        </w:tc>
        <w:tc>
          <w:tcPr>
            <w:tcW w:w="0" w:type="auto"/>
          </w:tcPr>
          <w:p w14:paraId="2BE7683B" w14:textId="77777777" w:rsidR="008C5CFA" w:rsidRPr="00D4605F" w:rsidRDefault="00E82A60" w:rsidP="00300A01">
            <w:pPr>
              <w:spacing w:before="0" w:after="0"/>
              <w:rPr>
                <w:sz w:val="12"/>
                <w:szCs w:val="12"/>
                <w:lang w:val="fr-BE"/>
              </w:rPr>
            </w:pPr>
            <w:r w:rsidRPr="00D4605F">
              <w:rPr>
                <w:noProof/>
                <w:sz w:val="12"/>
                <w:szCs w:val="12"/>
                <w:lang w:val="fr-BE"/>
              </w:rPr>
              <w:t>Słabiej rozwinięte</w:t>
            </w:r>
          </w:p>
        </w:tc>
        <w:tc>
          <w:tcPr>
            <w:tcW w:w="0" w:type="auto"/>
          </w:tcPr>
          <w:p w14:paraId="6796796C" w14:textId="77777777" w:rsidR="008C5CFA" w:rsidRPr="00D4605F" w:rsidRDefault="00E82A60" w:rsidP="00300A01">
            <w:pPr>
              <w:spacing w:before="0" w:after="0"/>
              <w:rPr>
                <w:sz w:val="12"/>
                <w:szCs w:val="12"/>
                <w:lang w:val="fr-BE"/>
              </w:rPr>
            </w:pPr>
            <w:r w:rsidRPr="00D4605F">
              <w:rPr>
                <w:noProof/>
                <w:sz w:val="12"/>
                <w:szCs w:val="12"/>
                <w:lang w:val="fr-BE"/>
              </w:rPr>
              <w:t>11 916,00</w:t>
            </w:r>
          </w:p>
        </w:tc>
        <w:tc>
          <w:tcPr>
            <w:tcW w:w="0" w:type="auto"/>
          </w:tcPr>
          <w:p w14:paraId="12BD03D9" w14:textId="77777777" w:rsidR="008C5CFA" w:rsidRPr="00D4605F" w:rsidRDefault="00E82A60" w:rsidP="00300A01">
            <w:pPr>
              <w:spacing w:before="0" w:after="0"/>
              <w:rPr>
                <w:sz w:val="12"/>
                <w:szCs w:val="12"/>
                <w:lang w:val="fr-BE"/>
              </w:rPr>
            </w:pPr>
            <w:r w:rsidRPr="00D4605F">
              <w:rPr>
                <w:noProof/>
                <w:sz w:val="12"/>
                <w:szCs w:val="12"/>
                <w:lang w:val="fr-BE"/>
              </w:rPr>
              <w:t>4 862,00</w:t>
            </w:r>
          </w:p>
        </w:tc>
        <w:tc>
          <w:tcPr>
            <w:tcW w:w="0" w:type="auto"/>
          </w:tcPr>
          <w:p w14:paraId="7849469D" w14:textId="77777777" w:rsidR="008C5CFA" w:rsidRPr="00D4605F" w:rsidRDefault="00E82A60" w:rsidP="00300A01">
            <w:pPr>
              <w:spacing w:before="0" w:after="0"/>
              <w:rPr>
                <w:sz w:val="12"/>
                <w:szCs w:val="12"/>
                <w:lang w:val="fr-BE"/>
              </w:rPr>
            </w:pPr>
            <w:r w:rsidRPr="00D4605F">
              <w:rPr>
                <w:noProof/>
                <w:sz w:val="12"/>
                <w:szCs w:val="12"/>
                <w:lang w:val="fr-BE"/>
              </w:rPr>
              <w:t>7 054,00</w:t>
            </w:r>
          </w:p>
        </w:tc>
        <w:tc>
          <w:tcPr>
            <w:tcW w:w="0" w:type="auto"/>
          </w:tcPr>
          <w:p w14:paraId="2E26EA60" w14:textId="77777777" w:rsidR="008C5CFA" w:rsidRPr="00B05D34" w:rsidRDefault="00E82A60" w:rsidP="00136029">
            <w:pPr>
              <w:spacing w:before="0" w:after="0"/>
              <w:jc w:val="right"/>
              <w:rPr>
                <w:sz w:val="12"/>
                <w:szCs w:val="12"/>
                <w:lang w:val="fr-BE"/>
              </w:rPr>
            </w:pPr>
            <w:r w:rsidRPr="00B05D34">
              <w:rPr>
                <w:noProof/>
                <w:sz w:val="12"/>
                <w:szCs w:val="12"/>
                <w:lang w:val="fr-BE"/>
              </w:rPr>
              <w:t>29 790,00</w:t>
            </w:r>
          </w:p>
        </w:tc>
        <w:tc>
          <w:tcPr>
            <w:tcW w:w="0" w:type="auto"/>
          </w:tcPr>
          <w:p w14:paraId="25FA29BC" w14:textId="77777777" w:rsidR="008C5CFA" w:rsidRPr="00B05D34" w:rsidRDefault="00E82A60" w:rsidP="00300A01">
            <w:pPr>
              <w:spacing w:before="0" w:after="0"/>
              <w:jc w:val="right"/>
              <w:rPr>
                <w:sz w:val="12"/>
                <w:szCs w:val="12"/>
                <w:lang w:val="fr-BE"/>
              </w:rPr>
            </w:pPr>
            <w:r w:rsidRPr="00B05D34">
              <w:rPr>
                <w:noProof/>
                <w:sz w:val="12"/>
                <w:szCs w:val="12"/>
                <w:lang w:val="fr-BE"/>
              </w:rPr>
              <w:t>12 154,00</w:t>
            </w:r>
          </w:p>
        </w:tc>
        <w:tc>
          <w:tcPr>
            <w:tcW w:w="0" w:type="auto"/>
          </w:tcPr>
          <w:p w14:paraId="091FE85E" w14:textId="77777777" w:rsidR="008C5CFA" w:rsidRPr="00B05D34" w:rsidRDefault="00E82A60" w:rsidP="00300A01">
            <w:pPr>
              <w:spacing w:before="0" w:after="0"/>
              <w:jc w:val="right"/>
              <w:rPr>
                <w:sz w:val="12"/>
                <w:szCs w:val="12"/>
                <w:lang w:val="fr-BE"/>
              </w:rPr>
            </w:pPr>
            <w:r w:rsidRPr="00B05D34">
              <w:rPr>
                <w:noProof/>
                <w:sz w:val="12"/>
                <w:szCs w:val="12"/>
                <w:lang w:val="fr-BE"/>
              </w:rPr>
              <w:t>17 636,00</w:t>
            </w:r>
          </w:p>
        </w:tc>
      </w:tr>
      <w:tr w:rsidR="006B2EC1" w14:paraId="5AE0F146" w14:textId="77777777" w:rsidTr="0047688D">
        <w:tc>
          <w:tcPr>
            <w:tcW w:w="0" w:type="auto"/>
            <w:shd w:val="clear" w:color="auto" w:fill="auto"/>
          </w:tcPr>
          <w:p w14:paraId="3E6CB466" w14:textId="77777777" w:rsidR="008C5CFA" w:rsidRPr="00D4605F" w:rsidRDefault="00E82A60" w:rsidP="00300A01">
            <w:pPr>
              <w:spacing w:before="0" w:after="0"/>
              <w:rPr>
                <w:sz w:val="12"/>
                <w:szCs w:val="12"/>
                <w:lang w:val="fr-BE"/>
              </w:rPr>
            </w:pPr>
            <w:r w:rsidRPr="00D4605F">
              <w:rPr>
                <w:noProof/>
                <w:sz w:val="12"/>
                <w:szCs w:val="12"/>
                <w:lang w:val="fr-BE"/>
              </w:rPr>
              <w:t>2</w:t>
            </w:r>
          </w:p>
        </w:tc>
        <w:tc>
          <w:tcPr>
            <w:tcW w:w="0" w:type="auto"/>
            <w:shd w:val="clear" w:color="auto" w:fill="auto"/>
          </w:tcPr>
          <w:p w14:paraId="6B5193C7" w14:textId="77777777" w:rsidR="008C5CFA" w:rsidRPr="00D4605F" w:rsidRDefault="00E82A60" w:rsidP="00300A01">
            <w:pPr>
              <w:spacing w:before="0" w:after="0"/>
              <w:rPr>
                <w:sz w:val="12"/>
                <w:szCs w:val="12"/>
                <w:lang w:val="fr-BE"/>
              </w:rPr>
            </w:pPr>
            <w:r w:rsidRPr="00D4605F">
              <w:rPr>
                <w:noProof/>
                <w:sz w:val="12"/>
                <w:szCs w:val="12"/>
                <w:lang w:val="fr-BE"/>
              </w:rPr>
              <w:t>O</w:t>
            </w:r>
          </w:p>
        </w:tc>
        <w:tc>
          <w:tcPr>
            <w:tcW w:w="0" w:type="auto"/>
            <w:shd w:val="clear" w:color="auto" w:fill="auto"/>
          </w:tcPr>
          <w:p w14:paraId="339F3A9F" w14:textId="77777777" w:rsidR="008C5CFA" w:rsidRPr="00D4605F" w:rsidRDefault="00E82A60" w:rsidP="00300A01">
            <w:pPr>
              <w:spacing w:before="0" w:after="0"/>
              <w:rPr>
                <w:sz w:val="12"/>
                <w:szCs w:val="12"/>
                <w:lang w:val="fr-BE"/>
              </w:rPr>
            </w:pPr>
            <w:r w:rsidRPr="00D4605F">
              <w:rPr>
                <w:noProof/>
                <w:sz w:val="12"/>
                <w:szCs w:val="12"/>
                <w:lang w:val="fr-BE"/>
              </w:rPr>
              <w:t>CO02</w:t>
            </w:r>
          </w:p>
        </w:tc>
        <w:tc>
          <w:tcPr>
            <w:tcW w:w="0" w:type="auto"/>
            <w:shd w:val="clear" w:color="auto" w:fill="auto"/>
          </w:tcPr>
          <w:p w14:paraId="7E98AD04" w14:textId="77777777" w:rsidR="008C5CFA" w:rsidRPr="00D4605F" w:rsidRDefault="00E82A60" w:rsidP="00300A01">
            <w:pPr>
              <w:spacing w:before="0" w:after="0"/>
              <w:rPr>
                <w:sz w:val="12"/>
                <w:szCs w:val="12"/>
                <w:lang w:val="fr-BE"/>
              </w:rPr>
            </w:pPr>
            <w:r w:rsidRPr="00D4605F">
              <w:rPr>
                <w:noProof/>
                <w:sz w:val="12"/>
                <w:szCs w:val="12"/>
                <w:lang w:val="fr-BE"/>
              </w:rPr>
              <w:t>Inwestycje produkcyjne: liczba przedsiębiorstw otrzymujących dotacje</w:t>
            </w:r>
          </w:p>
        </w:tc>
        <w:tc>
          <w:tcPr>
            <w:tcW w:w="0" w:type="auto"/>
            <w:shd w:val="clear" w:color="auto" w:fill="auto"/>
          </w:tcPr>
          <w:p w14:paraId="423268B1" w14:textId="77777777" w:rsidR="008C5CFA" w:rsidRPr="00D4605F" w:rsidRDefault="00E82A60" w:rsidP="00300A01">
            <w:pPr>
              <w:spacing w:before="0" w:after="0"/>
              <w:rPr>
                <w:sz w:val="12"/>
                <w:szCs w:val="12"/>
                <w:lang w:val="fr-BE"/>
              </w:rPr>
            </w:pPr>
            <w:r w:rsidRPr="00D4605F">
              <w:rPr>
                <w:noProof/>
                <w:sz w:val="12"/>
                <w:szCs w:val="12"/>
                <w:lang w:val="fr-BE"/>
              </w:rPr>
              <w:t>Enterprises</w:t>
            </w:r>
          </w:p>
        </w:tc>
        <w:tc>
          <w:tcPr>
            <w:tcW w:w="0" w:type="auto"/>
            <w:shd w:val="clear" w:color="auto" w:fill="auto"/>
          </w:tcPr>
          <w:p w14:paraId="22E71A0E" w14:textId="77777777" w:rsidR="008C5CFA" w:rsidRPr="00D4605F" w:rsidRDefault="00E82A60" w:rsidP="00300A01">
            <w:pPr>
              <w:spacing w:before="0" w:after="0"/>
              <w:rPr>
                <w:sz w:val="12"/>
                <w:szCs w:val="12"/>
                <w:lang w:val="fr-BE"/>
              </w:rPr>
            </w:pPr>
            <w:r w:rsidRPr="00D4605F">
              <w:rPr>
                <w:noProof/>
                <w:sz w:val="12"/>
                <w:szCs w:val="12"/>
                <w:lang w:val="fr-BE"/>
              </w:rPr>
              <w:t>EFRR</w:t>
            </w:r>
          </w:p>
        </w:tc>
        <w:tc>
          <w:tcPr>
            <w:tcW w:w="0" w:type="auto"/>
          </w:tcPr>
          <w:p w14:paraId="16DF5711" w14:textId="77777777" w:rsidR="008C5CFA" w:rsidRPr="00D4605F" w:rsidRDefault="00E82A60" w:rsidP="00300A01">
            <w:pPr>
              <w:spacing w:before="0" w:after="0"/>
              <w:rPr>
                <w:sz w:val="12"/>
                <w:szCs w:val="12"/>
                <w:lang w:val="fr-BE"/>
              </w:rPr>
            </w:pPr>
            <w:r w:rsidRPr="00D4605F">
              <w:rPr>
                <w:noProof/>
                <w:sz w:val="12"/>
                <w:szCs w:val="12"/>
                <w:lang w:val="fr-BE"/>
              </w:rPr>
              <w:t>Słabiej rozwinięte</w:t>
            </w:r>
          </w:p>
        </w:tc>
        <w:tc>
          <w:tcPr>
            <w:tcW w:w="0" w:type="auto"/>
          </w:tcPr>
          <w:p w14:paraId="111BE1B3" w14:textId="77777777" w:rsidR="008C5CFA" w:rsidRPr="00D4605F" w:rsidRDefault="00E82A60" w:rsidP="00300A01">
            <w:pPr>
              <w:spacing w:before="0" w:after="0"/>
              <w:rPr>
                <w:sz w:val="12"/>
                <w:szCs w:val="12"/>
                <w:lang w:val="fr-BE"/>
              </w:rPr>
            </w:pPr>
            <w:r w:rsidRPr="00D4605F">
              <w:rPr>
                <w:noProof/>
                <w:sz w:val="12"/>
                <w:szCs w:val="12"/>
                <w:lang w:val="fr-BE"/>
              </w:rPr>
              <w:t>125</w:t>
            </w:r>
          </w:p>
        </w:tc>
        <w:tc>
          <w:tcPr>
            <w:tcW w:w="0" w:type="auto"/>
          </w:tcPr>
          <w:p w14:paraId="75AE3E2E" w14:textId="77777777" w:rsidR="008C5CFA" w:rsidRPr="00D4605F" w:rsidRDefault="008C5CFA" w:rsidP="00300A01">
            <w:pPr>
              <w:spacing w:before="0" w:after="0"/>
              <w:rPr>
                <w:sz w:val="12"/>
                <w:szCs w:val="12"/>
                <w:lang w:val="fr-BE"/>
              </w:rPr>
            </w:pPr>
          </w:p>
        </w:tc>
        <w:tc>
          <w:tcPr>
            <w:tcW w:w="0" w:type="auto"/>
          </w:tcPr>
          <w:p w14:paraId="389466B8" w14:textId="77777777" w:rsidR="008C5CFA" w:rsidRPr="00D4605F" w:rsidRDefault="008C5CFA" w:rsidP="00300A01">
            <w:pPr>
              <w:spacing w:before="0" w:after="0"/>
              <w:rPr>
                <w:sz w:val="12"/>
                <w:szCs w:val="12"/>
                <w:lang w:val="fr-BE"/>
              </w:rPr>
            </w:pPr>
          </w:p>
        </w:tc>
        <w:tc>
          <w:tcPr>
            <w:tcW w:w="0" w:type="auto"/>
          </w:tcPr>
          <w:p w14:paraId="30356C00" w14:textId="77777777" w:rsidR="008C5CFA" w:rsidRPr="00B05D34" w:rsidRDefault="00E82A60" w:rsidP="00136029">
            <w:pPr>
              <w:spacing w:before="0" w:after="0"/>
              <w:jc w:val="right"/>
              <w:rPr>
                <w:sz w:val="12"/>
                <w:szCs w:val="12"/>
                <w:lang w:val="fr-BE"/>
              </w:rPr>
            </w:pPr>
            <w:r w:rsidRPr="00B05D34">
              <w:rPr>
                <w:noProof/>
                <w:sz w:val="12"/>
                <w:szCs w:val="12"/>
                <w:lang w:val="fr-BE"/>
              </w:rPr>
              <w:t>273,00</w:t>
            </w:r>
          </w:p>
        </w:tc>
        <w:tc>
          <w:tcPr>
            <w:tcW w:w="0" w:type="auto"/>
          </w:tcPr>
          <w:p w14:paraId="0C7CF699" w14:textId="77777777" w:rsidR="008C5CFA" w:rsidRPr="00B05D34" w:rsidRDefault="008C5CFA" w:rsidP="00300A01">
            <w:pPr>
              <w:spacing w:before="0" w:after="0"/>
              <w:jc w:val="right"/>
              <w:rPr>
                <w:sz w:val="12"/>
                <w:szCs w:val="12"/>
                <w:lang w:val="fr-BE"/>
              </w:rPr>
            </w:pPr>
          </w:p>
        </w:tc>
        <w:tc>
          <w:tcPr>
            <w:tcW w:w="0" w:type="auto"/>
          </w:tcPr>
          <w:p w14:paraId="310D00B5" w14:textId="77777777" w:rsidR="008C5CFA" w:rsidRPr="00B05D34" w:rsidRDefault="008C5CFA" w:rsidP="00300A01">
            <w:pPr>
              <w:spacing w:before="0" w:after="0"/>
              <w:jc w:val="right"/>
              <w:rPr>
                <w:sz w:val="12"/>
                <w:szCs w:val="12"/>
                <w:lang w:val="fr-BE"/>
              </w:rPr>
            </w:pPr>
          </w:p>
        </w:tc>
      </w:tr>
      <w:tr w:rsidR="006B2EC1" w14:paraId="115A2150" w14:textId="77777777" w:rsidTr="0047688D">
        <w:tc>
          <w:tcPr>
            <w:tcW w:w="0" w:type="auto"/>
            <w:shd w:val="clear" w:color="auto" w:fill="auto"/>
          </w:tcPr>
          <w:p w14:paraId="0294FC40" w14:textId="77777777" w:rsidR="008C5CFA" w:rsidRPr="00D4605F" w:rsidRDefault="00E82A60" w:rsidP="00300A01">
            <w:pPr>
              <w:spacing w:before="0" w:after="0"/>
              <w:rPr>
                <w:sz w:val="12"/>
                <w:szCs w:val="12"/>
                <w:lang w:val="fr-BE"/>
              </w:rPr>
            </w:pPr>
            <w:r w:rsidRPr="00D4605F">
              <w:rPr>
                <w:noProof/>
                <w:sz w:val="12"/>
                <w:szCs w:val="12"/>
                <w:lang w:val="fr-BE"/>
              </w:rPr>
              <w:t>2</w:t>
            </w:r>
          </w:p>
        </w:tc>
        <w:tc>
          <w:tcPr>
            <w:tcW w:w="0" w:type="auto"/>
            <w:shd w:val="clear" w:color="auto" w:fill="auto"/>
          </w:tcPr>
          <w:p w14:paraId="289DD35B" w14:textId="77777777" w:rsidR="008C5CFA" w:rsidRPr="00D4605F" w:rsidRDefault="00E82A60" w:rsidP="00300A01">
            <w:pPr>
              <w:spacing w:before="0" w:after="0"/>
              <w:rPr>
                <w:sz w:val="12"/>
                <w:szCs w:val="12"/>
                <w:lang w:val="fr-BE"/>
              </w:rPr>
            </w:pPr>
            <w:r w:rsidRPr="00D4605F">
              <w:rPr>
                <w:noProof/>
                <w:sz w:val="12"/>
                <w:szCs w:val="12"/>
                <w:lang w:val="fr-BE"/>
              </w:rPr>
              <w:t>F</w:t>
            </w:r>
          </w:p>
        </w:tc>
        <w:tc>
          <w:tcPr>
            <w:tcW w:w="0" w:type="auto"/>
            <w:shd w:val="clear" w:color="auto" w:fill="auto"/>
          </w:tcPr>
          <w:p w14:paraId="49C21510" w14:textId="77777777" w:rsidR="008C5CFA" w:rsidRPr="00D4605F" w:rsidRDefault="00E82A60" w:rsidP="00300A01">
            <w:pPr>
              <w:spacing w:before="0" w:after="0"/>
              <w:rPr>
                <w:sz w:val="12"/>
                <w:szCs w:val="12"/>
                <w:lang w:val="fr-BE"/>
              </w:rPr>
            </w:pPr>
            <w:r w:rsidRPr="00D4605F">
              <w:rPr>
                <w:noProof/>
                <w:sz w:val="12"/>
                <w:szCs w:val="12"/>
                <w:lang w:val="fr-BE"/>
              </w:rPr>
              <w:t>001</w:t>
            </w:r>
          </w:p>
        </w:tc>
        <w:tc>
          <w:tcPr>
            <w:tcW w:w="0" w:type="auto"/>
            <w:shd w:val="clear" w:color="auto" w:fill="auto"/>
          </w:tcPr>
          <w:p w14:paraId="35AEF0D6" w14:textId="77777777" w:rsidR="008C5CFA" w:rsidRPr="00D4605F" w:rsidRDefault="00E82A60" w:rsidP="00300A01">
            <w:pPr>
              <w:spacing w:before="0" w:after="0"/>
              <w:rPr>
                <w:sz w:val="12"/>
                <w:szCs w:val="12"/>
                <w:lang w:val="fr-BE"/>
              </w:rPr>
            </w:pPr>
            <w:r w:rsidRPr="00D4605F">
              <w:rPr>
                <w:noProof/>
                <w:sz w:val="12"/>
                <w:szCs w:val="12"/>
                <w:lang w:val="fr-BE"/>
              </w:rPr>
              <w:t>Całkowita kwota certyfikowanych wydatków kwalifikowalnych</w:t>
            </w:r>
          </w:p>
        </w:tc>
        <w:tc>
          <w:tcPr>
            <w:tcW w:w="0" w:type="auto"/>
            <w:shd w:val="clear" w:color="auto" w:fill="auto"/>
          </w:tcPr>
          <w:p w14:paraId="135A1C69" w14:textId="77777777" w:rsidR="008C5CFA" w:rsidRPr="00D4605F" w:rsidRDefault="00E82A60" w:rsidP="00300A01">
            <w:pPr>
              <w:spacing w:before="0" w:after="0"/>
              <w:rPr>
                <w:sz w:val="12"/>
                <w:szCs w:val="12"/>
                <w:lang w:val="fr-BE"/>
              </w:rPr>
            </w:pPr>
            <w:r w:rsidRPr="00D4605F">
              <w:rPr>
                <w:noProof/>
                <w:sz w:val="12"/>
                <w:szCs w:val="12"/>
                <w:lang w:val="fr-BE"/>
              </w:rPr>
              <w:t>EUR</w:t>
            </w:r>
          </w:p>
        </w:tc>
        <w:tc>
          <w:tcPr>
            <w:tcW w:w="0" w:type="auto"/>
            <w:shd w:val="clear" w:color="auto" w:fill="auto"/>
          </w:tcPr>
          <w:p w14:paraId="03009362" w14:textId="77777777" w:rsidR="008C5CFA" w:rsidRPr="00D4605F" w:rsidRDefault="00E82A60" w:rsidP="00300A01">
            <w:pPr>
              <w:spacing w:before="0" w:after="0"/>
              <w:rPr>
                <w:sz w:val="12"/>
                <w:szCs w:val="12"/>
                <w:lang w:val="fr-BE"/>
              </w:rPr>
            </w:pPr>
            <w:r w:rsidRPr="00D4605F">
              <w:rPr>
                <w:noProof/>
                <w:sz w:val="12"/>
                <w:szCs w:val="12"/>
                <w:lang w:val="fr-BE"/>
              </w:rPr>
              <w:t>EFRR</w:t>
            </w:r>
          </w:p>
        </w:tc>
        <w:tc>
          <w:tcPr>
            <w:tcW w:w="0" w:type="auto"/>
          </w:tcPr>
          <w:p w14:paraId="4822C2A9" w14:textId="77777777" w:rsidR="008C5CFA" w:rsidRPr="00D4605F" w:rsidRDefault="00E82A60" w:rsidP="00300A01">
            <w:pPr>
              <w:spacing w:before="0" w:after="0"/>
              <w:rPr>
                <w:sz w:val="12"/>
                <w:szCs w:val="12"/>
                <w:lang w:val="fr-BE"/>
              </w:rPr>
            </w:pPr>
            <w:r w:rsidRPr="00D4605F">
              <w:rPr>
                <w:noProof/>
                <w:sz w:val="12"/>
                <w:szCs w:val="12"/>
                <w:lang w:val="fr-BE"/>
              </w:rPr>
              <w:t>Słabiej rozwinięte</w:t>
            </w:r>
          </w:p>
        </w:tc>
        <w:tc>
          <w:tcPr>
            <w:tcW w:w="0" w:type="auto"/>
          </w:tcPr>
          <w:p w14:paraId="78929FBD" w14:textId="77777777" w:rsidR="008C5CFA" w:rsidRPr="00D4605F" w:rsidRDefault="00E82A60" w:rsidP="00300A01">
            <w:pPr>
              <w:spacing w:before="0" w:after="0"/>
              <w:rPr>
                <w:sz w:val="12"/>
                <w:szCs w:val="12"/>
                <w:lang w:val="fr-BE"/>
              </w:rPr>
            </w:pPr>
            <w:r w:rsidRPr="00D4605F">
              <w:rPr>
                <w:noProof/>
                <w:sz w:val="12"/>
                <w:szCs w:val="12"/>
                <w:lang w:val="fr-BE"/>
              </w:rPr>
              <w:t>42 985 565,00</w:t>
            </w:r>
          </w:p>
        </w:tc>
        <w:tc>
          <w:tcPr>
            <w:tcW w:w="0" w:type="auto"/>
          </w:tcPr>
          <w:p w14:paraId="2C071E68" w14:textId="77777777" w:rsidR="008C5CFA" w:rsidRPr="00D4605F" w:rsidRDefault="008C5CFA" w:rsidP="00300A01">
            <w:pPr>
              <w:spacing w:before="0" w:after="0"/>
              <w:rPr>
                <w:sz w:val="12"/>
                <w:szCs w:val="12"/>
                <w:lang w:val="fr-BE"/>
              </w:rPr>
            </w:pPr>
          </w:p>
        </w:tc>
        <w:tc>
          <w:tcPr>
            <w:tcW w:w="0" w:type="auto"/>
          </w:tcPr>
          <w:p w14:paraId="2826424A" w14:textId="77777777" w:rsidR="008C5CFA" w:rsidRPr="00D4605F" w:rsidRDefault="008C5CFA" w:rsidP="00300A01">
            <w:pPr>
              <w:spacing w:before="0" w:after="0"/>
              <w:rPr>
                <w:sz w:val="12"/>
                <w:szCs w:val="12"/>
                <w:lang w:val="fr-BE"/>
              </w:rPr>
            </w:pPr>
          </w:p>
        </w:tc>
        <w:tc>
          <w:tcPr>
            <w:tcW w:w="0" w:type="auto"/>
          </w:tcPr>
          <w:p w14:paraId="5EC9E7CC" w14:textId="77777777" w:rsidR="008C5CFA" w:rsidRPr="00B05D34" w:rsidRDefault="00E82A60" w:rsidP="00136029">
            <w:pPr>
              <w:spacing w:before="0" w:after="0"/>
              <w:jc w:val="right"/>
              <w:rPr>
                <w:sz w:val="12"/>
                <w:szCs w:val="12"/>
                <w:lang w:val="fr-BE"/>
              </w:rPr>
            </w:pPr>
            <w:r w:rsidRPr="00B05D34">
              <w:rPr>
                <w:noProof/>
                <w:sz w:val="12"/>
                <w:szCs w:val="12"/>
                <w:lang w:val="fr-BE"/>
              </w:rPr>
              <w:t>189 702 580,00</w:t>
            </w:r>
          </w:p>
        </w:tc>
        <w:tc>
          <w:tcPr>
            <w:tcW w:w="0" w:type="auto"/>
          </w:tcPr>
          <w:p w14:paraId="02CE71ED" w14:textId="77777777" w:rsidR="008C5CFA" w:rsidRPr="00B05D34" w:rsidRDefault="008C5CFA" w:rsidP="00300A01">
            <w:pPr>
              <w:spacing w:before="0" w:after="0"/>
              <w:jc w:val="right"/>
              <w:rPr>
                <w:sz w:val="12"/>
                <w:szCs w:val="12"/>
                <w:lang w:val="fr-BE"/>
              </w:rPr>
            </w:pPr>
          </w:p>
        </w:tc>
        <w:tc>
          <w:tcPr>
            <w:tcW w:w="0" w:type="auto"/>
          </w:tcPr>
          <w:p w14:paraId="44F54B64" w14:textId="77777777" w:rsidR="008C5CFA" w:rsidRPr="00B05D34" w:rsidRDefault="008C5CFA" w:rsidP="00300A01">
            <w:pPr>
              <w:spacing w:before="0" w:after="0"/>
              <w:jc w:val="right"/>
              <w:rPr>
                <w:sz w:val="12"/>
                <w:szCs w:val="12"/>
                <w:lang w:val="fr-BE"/>
              </w:rPr>
            </w:pPr>
          </w:p>
        </w:tc>
      </w:tr>
      <w:tr w:rsidR="006B2EC1" w14:paraId="42EA52BF" w14:textId="77777777" w:rsidTr="0047688D">
        <w:tc>
          <w:tcPr>
            <w:tcW w:w="0" w:type="auto"/>
            <w:shd w:val="clear" w:color="auto" w:fill="auto"/>
          </w:tcPr>
          <w:p w14:paraId="49BCA658" w14:textId="77777777" w:rsidR="008C5CFA" w:rsidRPr="00D4605F" w:rsidRDefault="00E82A60" w:rsidP="00300A01">
            <w:pPr>
              <w:spacing w:before="0" w:after="0"/>
              <w:rPr>
                <w:sz w:val="12"/>
                <w:szCs w:val="12"/>
                <w:lang w:val="fr-BE"/>
              </w:rPr>
            </w:pPr>
            <w:r w:rsidRPr="00D4605F">
              <w:rPr>
                <w:noProof/>
                <w:sz w:val="12"/>
                <w:szCs w:val="12"/>
                <w:lang w:val="fr-BE"/>
              </w:rPr>
              <w:t>2</w:t>
            </w:r>
          </w:p>
        </w:tc>
        <w:tc>
          <w:tcPr>
            <w:tcW w:w="0" w:type="auto"/>
            <w:shd w:val="clear" w:color="auto" w:fill="auto"/>
          </w:tcPr>
          <w:p w14:paraId="65466538" w14:textId="77777777" w:rsidR="008C5CFA" w:rsidRPr="00D4605F" w:rsidRDefault="00E82A60" w:rsidP="00300A01">
            <w:pPr>
              <w:spacing w:before="0" w:after="0"/>
              <w:rPr>
                <w:sz w:val="12"/>
                <w:szCs w:val="12"/>
                <w:lang w:val="fr-BE"/>
              </w:rPr>
            </w:pPr>
            <w:r w:rsidRPr="00D4605F">
              <w:rPr>
                <w:noProof/>
                <w:sz w:val="12"/>
                <w:szCs w:val="12"/>
                <w:lang w:val="fr-BE"/>
              </w:rPr>
              <w:t>O</w:t>
            </w:r>
          </w:p>
        </w:tc>
        <w:tc>
          <w:tcPr>
            <w:tcW w:w="0" w:type="auto"/>
            <w:shd w:val="clear" w:color="auto" w:fill="auto"/>
          </w:tcPr>
          <w:p w14:paraId="58A5FAB8" w14:textId="77777777" w:rsidR="008C5CFA" w:rsidRPr="00D4605F" w:rsidRDefault="00E82A60" w:rsidP="00300A01">
            <w:pPr>
              <w:spacing w:before="0" w:after="0"/>
              <w:rPr>
                <w:sz w:val="12"/>
                <w:szCs w:val="12"/>
                <w:lang w:val="fr-BE"/>
              </w:rPr>
            </w:pPr>
            <w:r w:rsidRPr="00D4605F">
              <w:rPr>
                <w:noProof/>
                <w:sz w:val="12"/>
                <w:szCs w:val="12"/>
                <w:lang w:val="fr-BE"/>
              </w:rPr>
              <w:t>026</w:t>
            </w:r>
          </w:p>
        </w:tc>
        <w:tc>
          <w:tcPr>
            <w:tcW w:w="0" w:type="auto"/>
            <w:shd w:val="clear" w:color="auto" w:fill="auto"/>
          </w:tcPr>
          <w:p w14:paraId="72905BD4" w14:textId="77777777" w:rsidR="008C5CFA" w:rsidRPr="00D4605F" w:rsidRDefault="00E82A60" w:rsidP="00300A01">
            <w:pPr>
              <w:spacing w:before="0" w:after="0"/>
              <w:rPr>
                <w:sz w:val="12"/>
                <w:szCs w:val="12"/>
                <w:lang w:val="fr-BE"/>
              </w:rPr>
            </w:pPr>
            <w:r w:rsidRPr="00D4605F">
              <w:rPr>
                <w:noProof/>
                <w:sz w:val="12"/>
                <w:szCs w:val="12"/>
                <w:lang w:val="fr-BE"/>
              </w:rPr>
              <w:t>Liczba nowych i ulepszonych usług świadczonych przez instytucje otoczenia biznesu</w:t>
            </w:r>
          </w:p>
        </w:tc>
        <w:tc>
          <w:tcPr>
            <w:tcW w:w="0" w:type="auto"/>
            <w:shd w:val="clear" w:color="auto" w:fill="auto"/>
          </w:tcPr>
          <w:p w14:paraId="271FBEF1" w14:textId="77777777" w:rsidR="008C5CFA" w:rsidRPr="00D4605F" w:rsidRDefault="00E82A60" w:rsidP="00300A01">
            <w:pPr>
              <w:spacing w:before="0" w:after="0"/>
              <w:rPr>
                <w:sz w:val="12"/>
                <w:szCs w:val="12"/>
                <w:lang w:val="fr-BE"/>
              </w:rPr>
            </w:pPr>
            <w:r w:rsidRPr="00D4605F">
              <w:rPr>
                <w:noProof/>
                <w:sz w:val="12"/>
                <w:szCs w:val="12"/>
                <w:lang w:val="fr-BE"/>
              </w:rPr>
              <w:t>szt.</w:t>
            </w:r>
          </w:p>
        </w:tc>
        <w:tc>
          <w:tcPr>
            <w:tcW w:w="0" w:type="auto"/>
            <w:shd w:val="clear" w:color="auto" w:fill="auto"/>
          </w:tcPr>
          <w:p w14:paraId="07ECDED3" w14:textId="77777777" w:rsidR="008C5CFA" w:rsidRPr="00D4605F" w:rsidRDefault="00E82A60" w:rsidP="00300A01">
            <w:pPr>
              <w:spacing w:before="0" w:after="0"/>
              <w:rPr>
                <w:sz w:val="12"/>
                <w:szCs w:val="12"/>
                <w:lang w:val="fr-BE"/>
              </w:rPr>
            </w:pPr>
            <w:r w:rsidRPr="00D4605F">
              <w:rPr>
                <w:noProof/>
                <w:sz w:val="12"/>
                <w:szCs w:val="12"/>
                <w:lang w:val="fr-BE"/>
              </w:rPr>
              <w:t>EFRR</w:t>
            </w:r>
          </w:p>
        </w:tc>
        <w:tc>
          <w:tcPr>
            <w:tcW w:w="0" w:type="auto"/>
          </w:tcPr>
          <w:p w14:paraId="252CEBC4" w14:textId="77777777" w:rsidR="008C5CFA" w:rsidRPr="00D4605F" w:rsidRDefault="00E82A60" w:rsidP="00300A01">
            <w:pPr>
              <w:spacing w:before="0" w:after="0"/>
              <w:rPr>
                <w:sz w:val="12"/>
                <w:szCs w:val="12"/>
                <w:lang w:val="fr-BE"/>
              </w:rPr>
            </w:pPr>
            <w:r w:rsidRPr="00D4605F">
              <w:rPr>
                <w:noProof/>
                <w:sz w:val="12"/>
                <w:szCs w:val="12"/>
                <w:lang w:val="fr-BE"/>
              </w:rPr>
              <w:t>Słabiej rozwinięte</w:t>
            </w:r>
          </w:p>
        </w:tc>
        <w:tc>
          <w:tcPr>
            <w:tcW w:w="0" w:type="auto"/>
          </w:tcPr>
          <w:p w14:paraId="475D9100" w14:textId="77777777" w:rsidR="008C5CFA" w:rsidRPr="00D4605F" w:rsidRDefault="00E82A60" w:rsidP="00300A01">
            <w:pPr>
              <w:spacing w:before="0" w:after="0"/>
              <w:rPr>
                <w:sz w:val="12"/>
                <w:szCs w:val="12"/>
                <w:lang w:val="fr-BE"/>
              </w:rPr>
            </w:pPr>
            <w:r w:rsidRPr="00D4605F">
              <w:rPr>
                <w:noProof/>
                <w:sz w:val="12"/>
                <w:szCs w:val="12"/>
                <w:lang w:val="fr-BE"/>
              </w:rPr>
              <w:t>2</w:t>
            </w:r>
          </w:p>
        </w:tc>
        <w:tc>
          <w:tcPr>
            <w:tcW w:w="0" w:type="auto"/>
          </w:tcPr>
          <w:p w14:paraId="6B907BD2" w14:textId="77777777" w:rsidR="008C5CFA" w:rsidRPr="00D4605F" w:rsidRDefault="008C5CFA" w:rsidP="00300A01">
            <w:pPr>
              <w:spacing w:before="0" w:after="0"/>
              <w:rPr>
                <w:sz w:val="12"/>
                <w:szCs w:val="12"/>
                <w:lang w:val="fr-BE"/>
              </w:rPr>
            </w:pPr>
          </w:p>
        </w:tc>
        <w:tc>
          <w:tcPr>
            <w:tcW w:w="0" w:type="auto"/>
          </w:tcPr>
          <w:p w14:paraId="20EB2ACA" w14:textId="77777777" w:rsidR="008C5CFA" w:rsidRPr="00D4605F" w:rsidRDefault="008C5CFA" w:rsidP="00300A01">
            <w:pPr>
              <w:spacing w:before="0" w:after="0"/>
              <w:rPr>
                <w:sz w:val="12"/>
                <w:szCs w:val="12"/>
                <w:lang w:val="fr-BE"/>
              </w:rPr>
            </w:pPr>
          </w:p>
        </w:tc>
        <w:tc>
          <w:tcPr>
            <w:tcW w:w="0" w:type="auto"/>
          </w:tcPr>
          <w:p w14:paraId="78D558D4" w14:textId="77777777" w:rsidR="008C5CFA" w:rsidRPr="00B05D34" w:rsidRDefault="00E82A60" w:rsidP="00136029">
            <w:pPr>
              <w:spacing w:before="0" w:after="0"/>
              <w:jc w:val="right"/>
              <w:rPr>
                <w:sz w:val="12"/>
                <w:szCs w:val="12"/>
                <w:lang w:val="fr-BE"/>
              </w:rPr>
            </w:pPr>
            <w:r w:rsidRPr="00B05D34">
              <w:rPr>
                <w:noProof/>
                <w:sz w:val="12"/>
                <w:szCs w:val="12"/>
                <w:lang w:val="fr-BE"/>
              </w:rPr>
              <w:t>18,00</w:t>
            </w:r>
          </w:p>
        </w:tc>
        <w:tc>
          <w:tcPr>
            <w:tcW w:w="0" w:type="auto"/>
          </w:tcPr>
          <w:p w14:paraId="2BBDA7DD" w14:textId="77777777" w:rsidR="008C5CFA" w:rsidRPr="00B05D34" w:rsidRDefault="008C5CFA" w:rsidP="00300A01">
            <w:pPr>
              <w:spacing w:before="0" w:after="0"/>
              <w:jc w:val="right"/>
              <w:rPr>
                <w:sz w:val="12"/>
                <w:szCs w:val="12"/>
                <w:lang w:val="fr-BE"/>
              </w:rPr>
            </w:pPr>
          </w:p>
        </w:tc>
        <w:tc>
          <w:tcPr>
            <w:tcW w:w="0" w:type="auto"/>
          </w:tcPr>
          <w:p w14:paraId="25DDA406" w14:textId="77777777" w:rsidR="008C5CFA" w:rsidRPr="00B05D34" w:rsidRDefault="008C5CFA" w:rsidP="00300A01">
            <w:pPr>
              <w:spacing w:before="0" w:after="0"/>
              <w:jc w:val="right"/>
              <w:rPr>
                <w:sz w:val="12"/>
                <w:szCs w:val="12"/>
                <w:lang w:val="fr-BE"/>
              </w:rPr>
            </w:pPr>
          </w:p>
        </w:tc>
      </w:tr>
      <w:tr w:rsidR="006B2EC1" w14:paraId="1C127C0C" w14:textId="77777777" w:rsidTr="0047688D">
        <w:tc>
          <w:tcPr>
            <w:tcW w:w="0" w:type="auto"/>
            <w:shd w:val="clear" w:color="auto" w:fill="auto"/>
          </w:tcPr>
          <w:p w14:paraId="327537B0" w14:textId="77777777" w:rsidR="008C5CFA" w:rsidRPr="00D4605F" w:rsidRDefault="00E82A60" w:rsidP="00300A01">
            <w:pPr>
              <w:spacing w:before="0" w:after="0"/>
              <w:rPr>
                <w:sz w:val="12"/>
                <w:szCs w:val="12"/>
                <w:lang w:val="fr-BE"/>
              </w:rPr>
            </w:pPr>
            <w:r w:rsidRPr="00D4605F">
              <w:rPr>
                <w:noProof/>
                <w:sz w:val="12"/>
                <w:szCs w:val="12"/>
                <w:lang w:val="fr-BE"/>
              </w:rPr>
              <w:t>3</w:t>
            </w:r>
          </w:p>
        </w:tc>
        <w:tc>
          <w:tcPr>
            <w:tcW w:w="0" w:type="auto"/>
            <w:shd w:val="clear" w:color="auto" w:fill="auto"/>
          </w:tcPr>
          <w:p w14:paraId="55E62DA8" w14:textId="77777777" w:rsidR="008C5CFA" w:rsidRPr="00D4605F" w:rsidRDefault="00E82A60" w:rsidP="00300A01">
            <w:pPr>
              <w:spacing w:before="0" w:after="0"/>
              <w:rPr>
                <w:sz w:val="12"/>
                <w:szCs w:val="12"/>
                <w:lang w:val="fr-BE"/>
              </w:rPr>
            </w:pPr>
            <w:r w:rsidRPr="00D4605F">
              <w:rPr>
                <w:noProof/>
                <w:sz w:val="12"/>
                <w:szCs w:val="12"/>
                <w:lang w:val="fr-BE"/>
              </w:rPr>
              <w:t>F</w:t>
            </w:r>
          </w:p>
        </w:tc>
        <w:tc>
          <w:tcPr>
            <w:tcW w:w="0" w:type="auto"/>
            <w:shd w:val="clear" w:color="auto" w:fill="auto"/>
          </w:tcPr>
          <w:p w14:paraId="7A72743F" w14:textId="77777777" w:rsidR="008C5CFA" w:rsidRPr="00D4605F" w:rsidRDefault="00E82A60" w:rsidP="00300A01">
            <w:pPr>
              <w:spacing w:before="0" w:after="0"/>
              <w:rPr>
                <w:sz w:val="12"/>
                <w:szCs w:val="12"/>
                <w:lang w:val="fr-BE"/>
              </w:rPr>
            </w:pPr>
            <w:r w:rsidRPr="00D4605F">
              <w:rPr>
                <w:noProof/>
                <w:sz w:val="12"/>
                <w:szCs w:val="12"/>
                <w:lang w:val="fr-BE"/>
              </w:rPr>
              <w:t>001</w:t>
            </w:r>
          </w:p>
        </w:tc>
        <w:tc>
          <w:tcPr>
            <w:tcW w:w="0" w:type="auto"/>
            <w:shd w:val="clear" w:color="auto" w:fill="auto"/>
          </w:tcPr>
          <w:p w14:paraId="13E29C83" w14:textId="77777777" w:rsidR="008C5CFA" w:rsidRPr="00D4605F" w:rsidRDefault="00E82A60" w:rsidP="00300A01">
            <w:pPr>
              <w:spacing w:before="0" w:after="0"/>
              <w:rPr>
                <w:sz w:val="12"/>
                <w:szCs w:val="12"/>
                <w:lang w:val="fr-BE"/>
              </w:rPr>
            </w:pPr>
            <w:r w:rsidRPr="00D4605F">
              <w:rPr>
                <w:noProof/>
                <w:sz w:val="12"/>
                <w:szCs w:val="12"/>
                <w:lang w:val="fr-BE"/>
              </w:rPr>
              <w:t>Całkowita kwota certyfikowanych wydatków kwalifikowalnych</w:t>
            </w:r>
          </w:p>
        </w:tc>
        <w:tc>
          <w:tcPr>
            <w:tcW w:w="0" w:type="auto"/>
            <w:shd w:val="clear" w:color="auto" w:fill="auto"/>
          </w:tcPr>
          <w:p w14:paraId="779AF85F" w14:textId="77777777" w:rsidR="008C5CFA" w:rsidRPr="00D4605F" w:rsidRDefault="00E82A60" w:rsidP="00300A01">
            <w:pPr>
              <w:spacing w:before="0" w:after="0"/>
              <w:rPr>
                <w:sz w:val="12"/>
                <w:szCs w:val="12"/>
                <w:lang w:val="fr-BE"/>
              </w:rPr>
            </w:pPr>
            <w:r w:rsidRPr="00D4605F">
              <w:rPr>
                <w:noProof/>
                <w:sz w:val="12"/>
                <w:szCs w:val="12"/>
                <w:lang w:val="fr-BE"/>
              </w:rPr>
              <w:t>EUR</w:t>
            </w:r>
          </w:p>
        </w:tc>
        <w:tc>
          <w:tcPr>
            <w:tcW w:w="0" w:type="auto"/>
            <w:shd w:val="clear" w:color="auto" w:fill="auto"/>
          </w:tcPr>
          <w:p w14:paraId="0F3749DA" w14:textId="77777777" w:rsidR="008C5CFA" w:rsidRPr="00D4605F" w:rsidRDefault="00E82A60" w:rsidP="00300A01">
            <w:pPr>
              <w:spacing w:before="0" w:after="0"/>
              <w:rPr>
                <w:sz w:val="12"/>
                <w:szCs w:val="12"/>
                <w:lang w:val="fr-BE"/>
              </w:rPr>
            </w:pPr>
            <w:r w:rsidRPr="00D4605F">
              <w:rPr>
                <w:noProof/>
                <w:sz w:val="12"/>
                <w:szCs w:val="12"/>
                <w:lang w:val="fr-BE"/>
              </w:rPr>
              <w:t>EFRR</w:t>
            </w:r>
          </w:p>
        </w:tc>
        <w:tc>
          <w:tcPr>
            <w:tcW w:w="0" w:type="auto"/>
          </w:tcPr>
          <w:p w14:paraId="5718F50E" w14:textId="77777777" w:rsidR="008C5CFA" w:rsidRPr="00D4605F" w:rsidRDefault="00E82A60" w:rsidP="00300A01">
            <w:pPr>
              <w:spacing w:before="0" w:after="0"/>
              <w:rPr>
                <w:sz w:val="12"/>
                <w:szCs w:val="12"/>
                <w:lang w:val="fr-BE"/>
              </w:rPr>
            </w:pPr>
            <w:r w:rsidRPr="00D4605F">
              <w:rPr>
                <w:noProof/>
                <w:sz w:val="12"/>
                <w:szCs w:val="12"/>
                <w:lang w:val="fr-BE"/>
              </w:rPr>
              <w:t>Słabiej rozwinięte</w:t>
            </w:r>
          </w:p>
        </w:tc>
        <w:tc>
          <w:tcPr>
            <w:tcW w:w="0" w:type="auto"/>
          </w:tcPr>
          <w:p w14:paraId="737DF126" w14:textId="77777777" w:rsidR="008C5CFA" w:rsidRPr="00D4605F" w:rsidRDefault="00E82A60" w:rsidP="00300A01">
            <w:pPr>
              <w:spacing w:before="0" w:after="0"/>
              <w:rPr>
                <w:sz w:val="12"/>
                <w:szCs w:val="12"/>
                <w:lang w:val="fr-BE"/>
              </w:rPr>
            </w:pPr>
            <w:r w:rsidRPr="00D4605F">
              <w:rPr>
                <w:noProof/>
                <w:sz w:val="12"/>
                <w:szCs w:val="12"/>
                <w:lang w:val="fr-BE"/>
              </w:rPr>
              <w:t>19 681 202,00</w:t>
            </w:r>
          </w:p>
        </w:tc>
        <w:tc>
          <w:tcPr>
            <w:tcW w:w="0" w:type="auto"/>
          </w:tcPr>
          <w:p w14:paraId="4199418E" w14:textId="77777777" w:rsidR="008C5CFA" w:rsidRPr="00D4605F" w:rsidRDefault="008C5CFA" w:rsidP="00300A01">
            <w:pPr>
              <w:spacing w:before="0" w:after="0"/>
              <w:rPr>
                <w:sz w:val="12"/>
                <w:szCs w:val="12"/>
                <w:lang w:val="fr-BE"/>
              </w:rPr>
            </w:pPr>
          </w:p>
        </w:tc>
        <w:tc>
          <w:tcPr>
            <w:tcW w:w="0" w:type="auto"/>
          </w:tcPr>
          <w:p w14:paraId="2F74BD14" w14:textId="77777777" w:rsidR="008C5CFA" w:rsidRPr="00D4605F" w:rsidRDefault="008C5CFA" w:rsidP="00300A01">
            <w:pPr>
              <w:spacing w:before="0" w:after="0"/>
              <w:rPr>
                <w:sz w:val="12"/>
                <w:szCs w:val="12"/>
                <w:lang w:val="fr-BE"/>
              </w:rPr>
            </w:pPr>
          </w:p>
        </w:tc>
        <w:tc>
          <w:tcPr>
            <w:tcW w:w="0" w:type="auto"/>
          </w:tcPr>
          <w:p w14:paraId="2C866F99" w14:textId="77777777" w:rsidR="008C5CFA" w:rsidRPr="00B05D34" w:rsidRDefault="00E82A60" w:rsidP="00136029">
            <w:pPr>
              <w:spacing w:before="0" w:after="0"/>
              <w:jc w:val="right"/>
              <w:rPr>
                <w:sz w:val="12"/>
                <w:szCs w:val="12"/>
                <w:lang w:val="fr-BE"/>
              </w:rPr>
            </w:pPr>
            <w:r w:rsidRPr="00B05D34">
              <w:rPr>
                <w:noProof/>
                <w:sz w:val="12"/>
                <w:szCs w:val="12"/>
                <w:lang w:val="fr-BE"/>
              </w:rPr>
              <w:t>205 556 281,00</w:t>
            </w:r>
          </w:p>
        </w:tc>
        <w:tc>
          <w:tcPr>
            <w:tcW w:w="0" w:type="auto"/>
          </w:tcPr>
          <w:p w14:paraId="3C74176D" w14:textId="77777777" w:rsidR="008C5CFA" w:rsidRPr="00B05D34" w:rsidRDefault="008C5CFA" w:rsidP="00300A01">
            <w:pPr>
              <w:spacing w:before="0" w:after="0"/>
              <w:jc w:val="right"/>
              <w:rPr>
                <w:sz w:val="12"/>
                <w:szCs w:val="12"/>
                <w:lang w:val="fr-BE"/>
              </w:rPr>
            </w:pPr>
          </w:p>
        </w:tc>
        <w:tc>
          <w:tcPr>
            <w:tcW w:w="0" w:type="auto"/>
          </w:tcPr>
          <w:p w14:paraId="4CB37814" w14:textId="77777777" w:rsidR="008C5CFA" w:rsidRPr="00B05D34" w:rsidRDefault="008C5CFA" w:rsidP="00300A01">
            <w:pPr>
              <w:spacing w:before="0" w:after="0"/>
              <w:jc w:val="right"/>
              <w:rPr>
                <w:sz w:val="12"/>
                <w:szCs w:val="12"/>
                <w:lang w:val="fr-BE"/>
              </w:rPr>
            </w:pPr>
          </w:p>
        </w:tc>
      </w:tr>
      <w:tr w:rsidR="006B2EC1" w14:paraId="4AF7D6B2" w14:textId="77777777" w:rsidTr="0047688D">
        <w:tc>
          <w:tcPr>
            <w:tcW w:w="0" w:type="auto"/>
            <w:shd w:val="clear" w:color="auto" w:fill="auto"/>
          </w:tcPr>
          <w:p w14:paraId="0C2D979A" w14:textId="77777777" w:rsidR="008C5CFA" w:rsidRPr="00D4605F" w:rsidRDefault="00E82A60" w:rsidP="00300A01">
            <w:pPr>
              <w:spacing w:before="0" w:after="0"/>
              <w:rPr>
                <w:sz w:val="12"/>
                <w:szCs w:val="12"/>
                <w:lang w:val="fr-BE"/>
              </w:rPr>
            </w:pPr>
            <w:r w:rsidRPr="00D4605F">
              <w:rPr>
                <w:noProof/>
                <w:sz w:val="12"/>
                <w:szCs w:val="12"/>
                <w:lang w:val="fr-BE"/>
              </w:rPr>
              <w:t>3</w:t>
            </w:r>
          </w:p>
        </w:tc>
        <w:tc>
          <w:tcPr>
            <w:tcW w:w="0" w:type="auto"/>
            <w:shd w:val="clear" w:color="auto" w:fill="auto"/>
          </w:tcPr>
          <w:p w14:paraId="4C1DAE1C" w14:textId="77777777" w:rsidR="008C5CFA" w:rsidRPr="00D4605F" w:rsidRDefault="00E82A60" w:rsidP="00300A01">
            <w:pPr>
              <w:spacing w:before="0" w:after="0"/>
              <w:rPr>
                <w:sz w:val="12"/>
                <w:szCs w:val="12"/>
                <w:lang w:val="fr-BE"/>
              </w:rPr>
            </w:pPr>
            <w:r w:rsidRPr="00D4605F">
              <w:rPr>
                <w:noProof/>
                <w:sz w:val="12"/>
                <w:szCs w:val="12"/>
                <w:lang w:val="fr-BE"/>
              </w:rPr>
              <w:t>O</w:t>
            </w:r>
          </w:p>
        </w:tc>
        <w:tc>
          <w:tcPr>
            <w:tcW w:w="0" w:type="auto"/>
            <w:shd w:val="clear" w:color="auto" w:fill="auto"/>
          </w:tcPr>
          <w:p w14:paraId="29AD46BC" w14:textId="77777777" w:rsidR="008C5CFA" w:rsidRPr="00D4605F" w:rsidRDefault="00E82A60" w:rsidP="00300A01">
            <w:pPr>
              <w:spacing w:before="0" w:after="0"/>
              <w:rPr>
                <w:sz w:val="12"/>
                <w:szCs w:val="12"/>
                <w:lang w:val="fr-BE"/>
              </w:rPr>
            </w:pPr>
            <w:r w:rsidRPr="00D4605F">
              <w:rPr>
                <w:noProof/>
                <w:sz w:val="12"/>
                <w:szCs w:val="12"/>
                <w:lang w:val="fr-BE"/>
              </w:rPr>
              <w:t>27</w:t>
            </w:r>
          </w:p>
        </w:tc>
        <w:tc>
          <w:tcPr>
            <w:tcW w:w="0" w:type="auto"/>
            <w:shd w:val="clear" w:color="auto" w:fill="auto"/>
          </w:tcPr>
          <w:p w14:paraId="777F569C" w14:textId="77777777" w:rsidR="008C5CFA" w:rsidRPr="00D4605F" w:rsidRDefault="00E82A60" w:rsidP="00300A01">
            <w:pPr>
              <w:spacing w:before="0" w:after="0"/>
              <w:rPr>
                <w:sz w:val="12"/>
                <w:szCs w:val="12"/>
                <w:lang w:val="fr-BE"/>
              </w:rPr>
            </w:pPr>
            <w:r w:rsidRPr="00D4605F">
              <w:rPr>
                <w:noProof/>
                <w:sz w:val="12"/>
                <w:szCs w:val="12"/>
                <w:lang w:val="fr-BE"/>
              </w:rPr>
              <w:t>Liczba jednostek wytwarzania energii elektrycznej z OZE</w:t>
            </w:r>
          </w:p>
        </w:tc>
        <w:tc>
          <w:tcPr>
            <w:tcW w:w="0" w:type="auto"/>
            <w:shd w:val="clear" w:color="auto" w:fill="auto"/>
          </w:tcPr>
          <w:p w14:paraId="6B2AA757" w14:textId="77777777" w:rsidR="008C5CFA" w:rsidRPr="00D4605F" w:rsidRDefault="00E82A60" w:rsidP="00300A01">
            <w:pPr>
              <w:spacing w:before="0" w:after="0"/>
              <w:rPr>
                <w:sz w:val="12"/>
                <w:szCs w:val="12"/>
                <w:lang w:val="fr-BE"/>
              </w:rPr>
            </w:pPr>
            <w:r w:rsidRPr="00D4605F">
              <w:rPr>
                <w:noProof/>
                <w:sz w:val="12"/>
                <w:szCs w:val="12"/>
                <w:lang w:val="fr-BE"/>
              </w:rPr>
              <w:t>szt.</w:t>
            </w:r>
          </w:p>
        </w:tc>
        <w:tc>
          <w:tcPr>
            <w:tcW w:w="0" w:type="auto"/>
            <w:shd w:val="clear" w:color="auto" w:fill="auto"/>
          </w:tcPr>
          <w:p w14:paraId="5E629A6E" w14:textId="77777777" w:rsidR="008C5CFA" w:rsidRPr="00D4605F" w:rsidRDefault="00E82A60" w:rsidP="00300A01">
            <w:pPr>
              <w:spacing w:before="0" w:after="0"/>
              <w:rPr>
                <w:sz w:val="12"/>
                <w:szCs w:val="12"/>
                <w:lang w:val="fr-BE"/>
              </w:rPr>
            </w:pPr>
            <w:r w:rsidRPr="00D4605F">
              <w:rPr>
                <w:noProof/>
                <w:sz w:val="12"/>
                <w:szCs w:val="12"/>
                <w:lang w:val="fr-BE"/>
              </w:rPr>
              <w:t>EFRR</w:t>
            </w:r>
          </w:p>
        </w:tc>
        <w:tc>
          <w:tcPr>
            <w:tcW w:w="0" w:type="auto"/>
          </w:tcPr>
          <w:p w14:paraId="07CB6879" w14:textId="77777777" w:rsidR="008C5CFA" w:rsidRPr="00D4605F" w:rsidRDefault="00E82A60" w:rsidP="00300A01">
            <w:pPr>
              <w:spacing w:before="0" w:after="0"/>
              <w:rPr>
                <w:sz w:val="12"/>
                <w:szCs w:val="12"/>
                <w:lang w:val="fr-BE"/>
              </w:rPr>
            </w:pPr>
            <w:r w:rsidRPr="00D4605F">
              <w:rPr>
                <w:noProof/>
                <w:sz w:val="12"/>
                <w:szCs w:val="12"/>
                <w:lang w:val="fr-BE"/>
              </w:rPr>
              <w:t>Słabiej rozwinięte</w:t>
            </w:r>
          </w:p>
        </w:tc>
        <w:tc>
          <w:tcPr>
            <w:tcW w:w="0" w:type="auto"/>
          </w:tcPr>
          <w:p w14:paraId="21739CC3" w14:textId="77777777" w:rsidR="008C5CFA" w:rsidRPr="00D4605F" w:rsidRDefault="00E82A60" w:rsidP="00300A01">
            <w:pPr>
              <w:spacing w:before="0" w:after="0"/>
              <w:rPr>
                <w:sz w:val="12"/>
                <w:szCs w:val="12"/>
                <w:lang w:val="fr-BE"/>
              </w:rPr>
            </w:pPr>
            <w:r w:rsidRPr="00D4605F">
              <w:rPr>
                <w:noProof/>
                <w:sz w:val="12"/>
                <w:szCs w:val="12"/>
                <w:lang w:val="fr-BE"/>
              </w:rPr>
              <w:t>3</w:t>
            </w:r>
          </w:p>
        </w:tc>
        <w:tc>
          <w:tcPr>
            <w:tcW w:w="0" w:type="auto"/>
          </w:tcPr>
          <w:p w14:paraId="6B519E28" w14:textId="77777777" w:rsidR="008C5CFA" w:rsidRPr="00D4605F" w:rsidRDefault="008C5CFA" w:rsidP="00300A01">
            <w:pPr>
              <w:spacing w:before="0" w:after="0"/>
              <w:rPr>
                <w:sz w:val="12"/>
                <w:szCs w:val="12"/>
                <w:lang w:val="fr-BE"/>
              </w:rPr>
            </w:pPr>
          </w:p>
        </w:tc>
        <w:tc>
          <w:tcPr>
            <w:tcW w:w="0" w:type="auto"/>
          </w:tcPr>
          <w:p w14:paraId="352D6303" w14:textId="77777777" w:rsidR="008C5CFA" w:rsidRPr="00D4605F" w:rsidRDefault="008C5CFA" w:rsidP="00300A01">
            <w:pPr>
              <w:spacing w:before="0" w:after="0"/>
              <w:rPr>
                <w:sz w:val="12"/>
                <w:szCs w:val="12"/>
                <w:lang w:val="fr-BE"/>
              </w:rPr>
            </w:pPr>
          </w:p>
        </w:tc>
        <w:tc>
          <w:tcPr>
            <w:tcW w:w="0" w:type="auto"/>
          </w:tcPr>
          <w:p w14:paraId="293C34F2" w14:textId="77777777" w:rsidR="008C5CFA" w:rsidRPr="00B05D34" w:rsidRDefault="00E82A60" w:rsidP="00136029">
            <w:pPr>
              <w:spacing w:before="0" w:after="0"/>
              <w:jc w:val="right"/>
              <w:rPr>
                <w:sz w:val="12"/>
                <w:szCs w:val="12"/>
                <w:lang w:val="fr-BE"/>
              </w:rPr>
            </w:pPr>
            <w:r w:rsidRPr="00B05D34">
              <w:rPr>
                <w:noProof/>
                <w:sz w:val="12"/>
                <w:szCs w:val="12"/>
                <w:lang w:val="fr-BE"/>
              </w:rPr>
              <w:t>23,00</w:t>
            </w:r>
          </w:p>
        </w:tc>
        <w:tc>
          <w:tcPr>
            <w:tcW w:w="0" w:type="auto"/>
          </w:tcPr>
          <w:p w14:paraId="05C7ED00" w14:textId="77777777" w:rsidR="008C5CFA" w:rsidRPr="00B05D34" w:rsidRDefault="008C5CFA" w:rsidP="00300A01">
            <w:pPr>
              <w:spacing w:before="0" w:after="0"/>
              <w:jc w:val="right"/>
              <w:rPr>
                <w:sz w:val="12"/>
                <w:szCs w:val="12"/>
                <w:lang w:val="fr-BE"/>
              </w:rPr>
            </w:pPr>
          </w:p>
        </w:tc>
        <w:tc>
          <w:tcPr>
            <w:tcW w:w="0" w:type="auto"/>
          </w:tcPr>
          <w:p w14:paraId="61DBDE9B" w14:textId="77777777" w:rsidR="008C5CFA" w:rsidRPr="00B05D34" w:rsidRDefault="008C5CFA" w:rsidP="00300A01">
            <w:pPr>
              <w:spacing w:before="0" w:after="0"/>
              <w:jc w:val="right"/>
              <w:rPr>
                <w:sz w:val="12"/>
                <w:szCs w:val="12"/>
                <w:lang w:val="fr-BE"/>
              </w:rPr>
            </w:pPr>
          </w:p>
        </w:tc>
      </w:tr>
      <w:tr w:rsidR="006B2EC1" w14:paraId="7B077936" w14:textId="77777777" w:rsidTr="0047688D">
        <w:tc>
          <w:tcPr>
            <w:tcW w:w="0" w:type="auto"/>
            <w:shd w:val="clear" w:color="auto" w:fill="auto"/>
          </w:tcPr>
          <w:p w14:paraId="20F44435" w14:textId="77777777" w:rsidR="008C5CFA" w:rsidRPr="00D4605F" w:rsidRDefault="00E82A60" w:rsidP="00300A01">
            <w:pPr>
              <w:spacing w:before="0" w:after="0"/>
              <w:rPr>
                <w:sz w:val="12"/>
                <w:szCs w:val="12"/>
                <w:lang w:val="fr-BE"/>
              </w:rPr>
            </w:pPr>
            <w:r w:rsidRPr="00D4605F">
              <w:rPr>
                <w:noProof/>
                <w:sz w:val="12"/>
                <w:szCs w:val="12"/>
                <w:lang w:val="fr-BE"/>
              </w:rPr>
              <w:t>3</w:t>
            </w:r>
          </w:p>
        </w:tc>
        <w:tc>
          <w:tcPr>
            <w:tcW w:w="0" w:type="auto"/>
            <w:shd w:val="clear" w:color="auto" w:fill="auto"/>
          </w:tcPr>
          <w:p w14:paraId="55E95B0D" w14:textId="77777777" w:rsidR="008C5CFA" w:rsidRPr="00D4605F" w:rsidRDefault="00E82A60" w:rsidP="00300A01">
            <w:pPr>
              <w:spacing w:before="0" w:after="0"/>
              <w:rPr>
                <w:sz w:val="12"/>
                <w:szCs w:val="12"/>
                <w:lang w:val="fr-BE"/>
              </w:rPr>
            </w:pPr>
            <w:r w:rsidRPr="00D4605F">
              <w:rPr>
                <w:noProof/>
                <w:sz w:val="12"/>
                <w:szCs w:val="12"/>
                <w:lang w:val="fr-BE"/>
              </w:rPr>
              <w:t>O</w:t>
            </w:r>
          </w:p>
        </w:tc>
        <w:tc>
          <w:tcPr>
            <w:tcW w:w="0" w:type="auto"/>
            <w:shd w:val="clear" w:color="auto" w:fill="auto"/>
          </w:tcPr>
          <w:p w14:paraId="7456EB98" w14:textId="77777777" w:rsidR="008C5CFA" w:rsidRPr="00D4605F" w:rsidRDefault="00E82A60" w:rsidP="00300A01">
            <w:pPr>
              <w:spacing w:before="0" w:after="0"/>
              <w:rPr>
                <w:sz w:val="12"/>
                <w:szCs w:val="12"/>
                <w:lang w:val="fr-BE"/>
              </w:rPr>
            </w:pPr>
            <w:r w:rsidRPr="00D4605F">
              <w:rPr>
                <w:noProof/>
                <w:sz w:val="12"/>
                <w:szCs w:val="12"/>
                <w:lang w:val="fr-BE"/>
              </w:rPr>
              <w:t>31</w:t>
            </w:r>
          </w:p>
        </w:tc>
        <w:tc>
          <w:tcPr>
            <w:tcW w:w="0" w:type="auto"/>
            <w:shd w:val="clear" w:color="auto" w:fill="auto"/>
          </w:tcPr>
          <w:p w14:paraId="4599194F" w14:textId="77777777" w:rsidR="008C5CFA" w:rsidRPr="00D4605F" w:rsidRDefault="00E82A60" w:rsidP="00300A01">
            <w:pPr>
              <w:spacing w:before="0" w:after="0"/>
              <w:rPr>
                <w:sz w:val="12"/>
                <w:szCs w:val="12"/>
                <w:lang w:val="fr-BE"/>
              </w:rPr>
            </w:pPr>
            <w:r w:rsidRPr="00D4605F">
              <w:rPr>
                <w:noProof/>
                <w:sz w:val="12"/>
                <w:szCs w:val="12"/>
                <w:lang w:val="fr-BE"/>
              </w:rPr>
              <w:t>Liczba przedsiębiorstw, które w wyniku wsparcia poprawiły efektywność energetyczną</w:t>
            </w:r>
          </w:p>
        </w:tc>
        <w:tc>
          <w:tcPr>
            <w:tcW w:w="0" w:type="auto"/>
            <w:shd w:val="clear" w:color="auto" w:fill="auto"/>
          </w:tcPr>
          <w:p w14:paraId="1D6CC58A" w14:textId="77777777" w:rsidR="008C5CFA" w:rsidRPr="00D4605F" w:rsidRDefault="00E82A60" w:rsidP="00300A01">
            <w:pPr>
              <w:spacing w:before="0" w:after="0"/>
              <w:rPr>
                <w:sz w:val="12"/>
                <w:szCs w:val="12"/>
                <w:lang w:val="fr-BE"/>
              </w:rPr>
            </w:pPr>
            <w:r w:rsidRPr="00D4605F">
              <w:rPr>
                <w:noProof/>
                <w:sz w:val="12"/>
                <w:szCs w:val="12"/>
                <w:lang w:val="fr-BE"/>
              </w:rPr>
              <w:t>szt.</w:t>
            </w:r>
          </w:p>
        </w:tc>
        <w:tc>
          <w:tcPr>
            <w:tcW w:w="0" w:type="auto"/>
            <w:shd w:val="clear" w:color="auto" w:fill="auto"/>
          </w:tcPr>
          <w:p w14:paraId="70E310CD" w14:textId="77777777" w:rsidR="008C5CFA" w:rsidRPr="00D4605F" w:rsidRDefault="00E82A60" w:rsidP="00300A01">
            <w:pPr>
              <w:spacing w:before="0" w:after="0"/>
              <w:rPr>
                <w:sz w:val="12"/>
                <w:szCs w:val="12"/>
                <w:lang w:val="fr-BE"/>
              </w:rPr>
            </w:pPr>
            <w:r w:rsidRPr="00D4605F">
              <w:rPr>
                <w:noProof/>
                <w:sz w:val="12"/>
                <w:szCs w:val="12"/>
                <w:lang w:val="fr-BE"/>
              </w:rPr>
              <w:t>EFRR</w:t>
            </w:r>
          </w:p>
        </w:tc>
        <w:tc>
          <w:tcPr>
            <w:tcW w:w="0" w:type="auto"/>
          </w:tcPr>
          <w:p w14:paraId="5208883A" w14:textId="77777777" w:rsidR="008C5CFA" w:rsidRPr="00D4605F" w:rsidRDefault="00E82A60" w:rsidP="00300A01">
            <w:pPr>
              <w:spacing w:before="0" w:after="0"/>
              <w:rPr>
                <w:sz w:val="12"/>
                <w:szCs w:val="12"/>
                <w:lang w:val="fr-BE"/>
              </w:rPr>
            </w:pPr>
            <w:r w:rsidRPr="00D4605F">
              <w:rPr>
                <w:noProof/>
                <w:sz w:val="12"/>
                <w:szCs w:val="12"/>
                <w:lang w:val="fr-BE"/>
              </w:rPr>
              <w:t>Słabiej rozwinięte</w:t>
            </w:r>
          </w:p>
        </w:tc>
        <w:tc>
          <w:tcPr>
            <w:tcW w:w="0" w:type="auto"/>
          </w:tcPr>
          <w:p w14:paraId="2C5EE75F" w14:textId="77777777" w:rsidR="008C5CFA" w:rsidRPr="00D4605F" w:rsidRDefault="00E82A60" w:rsidP="00300A01">
            <w:pPr>
              <w:spacing w:before="0" w:after="0"/>
              <w:rPr>
                <w:sz w:val="12"/>
                <w:szCs w:val="12"/>
                <w:lang w:val="fr-BE"/>
              </w:rPr>
            </w:pPr>
            <w:r w:rsidRPr="00D4605F">
              <w:rPr>
                <w:noProof/>
                <w:sz w:val="12"/>
                <w:szCs w:val="12"/>
                <w:lang w:val="fr-BE"/>
              </w:rPr>
              <w:t>12</w:t>
            </w:r>
          </w:p>
        </w:tc>
        <w:tc>
          <w:tcPr>
            <w:tcW w:w="0" w:type="auto"/>
          </w:tcPr>
          <w:p w14:paraId="4FDEFA3B" w14:textId="77777777" w:rsidR="008C5CFA" w:rsidRPr="00D4605F" w:rsidRDefault="008C5CFA" w:rsidP="00300A01">
            <w:pPr>
              <w:spacing w:before="0" w:after="0"/>
              <w:rPr>
                <w:sz w:val="12"/>
                <w:szCs w:val="12"/>
                <w:lang w:val="fr-BE"/>
              </w:rPr>
            </w:pPr>
          </w:p>
        </w:tc>
        <w:tc>
          <w:tcPr>
            <w:tcW w:w="0" w:type="auto"/>
          </w:tcPr>
          <w:p w14:paraId="383297A7" w14:textId="77777777" w:rsidR="008C5CFA" w:rsidRPr="00D4605F" w:rsidRDefault="008C5CFA" w:rsidP="00300A01">
            <w:pPr>
              <w:spacing w:before="0" w:after="0"/>
              <w:rPr>
                <w:sz w:val="12"/>
                <w:szCs w:val="12"/>
                <w:lang w:val="fr-BE"/>
              </w:rPr>
            </w:pPr>
          </w:p>
        </w:tc>
        <w:tc>
          <w:tcPr>
            <w:tcW w:w="0" w:type="auto"/>
          </w:tcPr>
          <w:p w14:paraId="07F0C2EE" w14:textId="77777777" w:rsidR="008C5CFA" w:rsidRPr="00B05D34" w:rsidRDefault="00E82A60" w:rsidP="00136029">
            <w:pPr>
              <w:spacing w:before="0" w:after="0"/>
              <w:jc w:val="right"/>
              <w:rPr>
                <w:sz w:val="12"/>
                <w:szCs w:val="12"/>
                <w:lang w:val="fr-BE"/>
              </w:rPr>
            </w:pPr>
            <w:r w:rsidRPr="00B05D34">
              <w:rPr>
                <w:noProof/>
                <w:sz w:val="12"/>
                <w:szCs w:val="12"/>
                <w:lang w:val="fr-BE"/>
              </w:rPr>
              <w:t>55,00</w:t>
            </w:r>
          </w:p>
        </w:tc>
        <w:tc>
          <w:tcPr>
            <w:tcW w:w="0" w:type="auto"/>
          </w:tcPr>
          <w:p w14:paraId="3A72CF19" w14:textId="77777777" w:rsidR="008C5CFA" w:rsidRPr="00B05D34" w:rsidRDefault="008C5CFA" w:rsidP="00300A01">
            <w:pPr>
              <w:spacing w:before="0" w:after="0"/>
              <w:jc w:val="right"/>
              <w:rPr>
                <w:sz w:val="12"/>
                <w:szCs w:val="12"/>
                <w:lang w:val="fr-BE"/>
              </w:rPr>
            </w:pPr>
          </w:p>
        </w:tc>
        <w:tc>
          <w:tcPr>
            <w:tcW w:w="0" w:type="auto"/>
          </w:tcPr>
          <w:p w14:paraId="617FB31E" w14:textId="77777777" w:rsidR="008C5CFA" w:rsidRPr="00B05D34" w:rsidRDefault="008C5CFA" w:rsidP="00300A01">
            <w:pPr>
              <w:spacing w:before="0" w:after="0"/>
              <w:jc w:val="right"/>
              <w:rPr>
                <w:sz w:val="12"/>
                <w:szCs w:val="12"/>
                <w:lang w:val="fr-BE"/>
              </w:rPr>
            </w:pPr>
          </w:p>
        </w:tc>
      </w:tr>
      <w:tr w:rsidR="006B2EC1" w14:paraId="6D69C6C3" w14:textId="77777777" w:rsidTr="0047688D">
        <w:tc>
          <w:tcPr>
            <w:tcW w:w="0" w:type="auto"/>
            <w:shd w:val="clear" w:color="auto" w:fill="auto"/>
          </w:tcPr>
          <w:p w14:paraId="68C1FB5C" w14:textId="77777777" w:rsidR="008C5CFA" w:rsidRPr="00D4605F" w:rsidRDefault="00E82A60" w:rsidP="00300A01">
            <w:pPr>
              <w:spacing w:before="0" w:after="0"/>
              <w:rPr>
                <w:sz w:val="12"/>
                <w:szCs w:val="12"/>
                <w:lang w:val="fr-BE"/>
              </w:rPr>
            </w:pPr>
            <w:r w:rsidRPr="00D4605F">
              <w:rPr>
                <w:noProof/>
                <w:sz w:val="12"/>
                <w:szCs w:val="12"/>
                <w:lang w:val="fr-BE"/>
              </w:rPr>
              <w:t>3</w:t>
            </w:r>
          </w:p>
        </w:tc>
        <w:tc>
          <w:tcPr>
            <w:tcW w:w="0" w:type="auto"/>
            <w:shd w:val="clear" w:color="auto" w:fill="auto"/>
          </w:tcPr>
          <w:p w14:paraId="74D4E43E" w14:textId="77777777" w:rsidR="008C5CFA" w:rsidRPr="00D4605F" w:rsidRDefault="00E82A60" w:rsidP="00300A01">
            <w:pPr>
              <w:spacing w:before="0" w:after="0"/>
              <w:rPr>
                <w:sz w:val="12"/>
                <w:szCs w:val="12"/>
                <w:lang w:val="fr-BE"/>
              </w:rPr>
            </w:pPr>
            <w:r w:rsidRPr="00D4605F">
              <w:rPr>
                <w:noProof/>
                <w:sz w:val="12"/>
                <w:szCs w:val="12"/>
                <w:lang w:val="fr-BE"/>
              </w:rPr>
              <w:t>O</w:t>
            </w:r>
          </w:p>
        </w:tc>
        <w:tc>
          <w:tcPr>
            <w:tcW w:w="0" w:type="auto"/>
            <w:shd w:val="clear" w:color="auto" w:fill="auto"/>
          </w:tcPr>
          <w:p w14:paraId="264506FA" w14:textId="77777777" w:rsidR="008C5CFA" w:rsidRPr="00D4605F" w:rsidRDefault="00E82A60" w:rsidP="00300A01">
            <w:pPr>
              <w:spacing w:before="0" w:after="0"/>
              <w:rPr>
                <w:sz w:val="12"/>
                <w:szCs w:val="12"/>
                <w:lang w:val="fr-BE"/>
              </w:rPr>
            </w:pPr>
            <w:r w:rsidRPr="00D4605F">
              <w:rPr>
                <w:noProof/>
                <w:sz w:val="12"/>
                <w:szCs w:val="12"/>
                <w:lang w:val="fr-BE"/>
              </w:rPr>
              <w:t>34</w:t>
            </w:r>
          </w:p>
        </w:tc>
        <w:tc>
          <w:tcPr>
            <w:tcW w:w="0" w:type="auto"/>
            <w:shd w:val="clear" w:color="auto" w:fill="auto"/>
          </w:tcPr>
          <w:p w14:paraId="41296063" w14:textId="77777777" w:rsidR="008C5CFA" w:rsidRPr="00D4605F" w:rsidRDefault="00E82A60" w:rsidP="00300A01">
            <w:pPr>
              <w:spacing w:before="0" w:after="0"/>
              <w:rPr>
                <w:sz w:val="12"/>
                <w:szCs w:val="12"/>
                <w:lang w:val="fr-BE"/>
              </w:rPr>
            </w:pPr>
            <w:r w:rsidRPr="00D4605F">
              <w:rPr>
                <w:noProof/>
                <w:sz w:val="12"/>
                <w:szCs w:val="12"/>
                <w:lang w:val="fr-BE"/>
              </w:rPr>
              <w:t>Liczba zmodernizowanych energetycznie budynków</w:t>
            </w:r>
          </w:p>
        </w:tc>
        <w:tc>
          <w:tcPr>
            <w:tcW w:w="0" w:type="auto"/>
            <w:shd w:val="clear" w:color="auto" w:fill="auto"/>
          </w:tcPr>
          <w:p w14:paraId="6B639F50" w14:textId="77777777" w:rsidR="008C5CFA" w:rsidRPr="00D4605F" w:rsidRDefault="00E82A60" w:rsidP="00300A01">
            <w:pPr>
              <w:spacing w:before="0" w:after="0"/>
              <w:rPr>
                <w:sz w:val="12"/>
                <w:szCs w:val="12"/>
                <w:lang w:val="fr-BE"/>
              </w:rPr>
            </w:pPr>
            <w:r w:rsidRPr="00D4605F">
              <w:rPr>
                <w:noProof/>
                <w:sz w:val="12"/>
                <w:szCs w:val="12"/>
                <w:lang w:val="fr-BE"/>
              </w:rPr>
              <w:t>szt.</w:t>
            </w:r>
          </w:p>
        </w:tc>
        <w:tc>
          <w:tcPr>
            <w:tcW w:w="0" w:type="auto"/>
            <w:shd w:val="clear" w:color="auto" w:fill="auto"/>
          </w:tcPr>
          <w:p w14:paraId="67E3A8BC" w14:textId="77777777" w:rsidR="008C5CFA" w:rsidRPr="00D4605F" w:rsidRDefault="00E82A60" w:rsidP="00300A01">
            <w:pPr>
              <w:spacing w:before="0" w:after="0"/>
              <w:rPr>
                <w:sz w:val="12"/>
                <w:szCs w:val="12"/>
                <w:lang w:val="fr-BE"/>
              </w:rPr>
            </w:pPr>
            <w:r w:rsidRPr="00D4605F">
              <w:rPr>
                <w:noProof/>
                <w:sz w:val="12"/>
                <w:szCs w:val="12"/>
                <w:lang w:val="fr-BE"/>
              </w:rPr>
              <w:t>EFRR</w:t>
            </w:r>
          </w:p>
        </w:tc>
        <w:tc>
          <w:tcPr>
            <w:tcW w:w="0" w:type="auto"/>
          </w:tcPr>
          <w:p w14:paraId="23CD2B0F" w14:textId="77777777" w:rsidR="008C5CFA" w:rsidRPr="00D4605F" w:rsidRDefault="00E82A60" w:rsidP="00300A01">
            <w:pPr>
              <w:spacing w:before="0" w:after="0"/>
              <w:rPr>
                <w:sz w:val="12"/>
                <w:szCs w:val="12"/>
                <w:lang w:val="fr-BE"/>
              </w:rPr>
            </w:pPr>
            <w:r w:rsidRPr="00D4605F">
              <w:rPr>
                <w:noProof/>
                <w:sz w:val="12"/>
                <w:szCs w:val="12"/>
                <w:lang w:val="fr-BE"/>
              </w:rPr>
              <w:t>Słabiej rozwinięte</w:t>
            </w:r>
          </w:p>
        </w:tc>
        <w:tc>
          <w:tcPr>
            <w:tcW w:w="0" w:type="auto"/>
          </w:tcPr>
          <w:p w14:paraId="10F9B478" w14:textId="77777777" w:rsidR="008C5CFA" w:rsidRPr="00D4605F" w:rsidRDefault="00E82A60" w:rsidP="00300A01">
            <w:pPr>
              <w:spacing w:before="0" w:after="0"/>
              <w:rPr>
                <w:sz w:val="12"/>
                <w:szCs w:val="12"/>
                <w:lang w:val="fr-BE"/>
              </w:rPr>
            </w:pPr>
            <w:r w:rsidRPr="00D4605F">
              <w:rPr>
                <w:noProof/>
                <w:sz w:val="12"/>
                <w:szCs w:val="12"/>
                <w:lang w:val="fr-BE"/>
              </w:rPr>
              <w:t>60</w:t>
            </w:r>
          </w:p>
        </w:tc>
        <w:tc>
          <w:tcPr>
            <w:tcW w:w="0" w:type="auto"/>
          </w:tcPr>
          <w:p w14:paraId="568D2726" w14:textId="77777777" w:rsidR="008C5CFA" w:rsidRPr="00D4605F" w:rsidRDefault="008C5CFA" w:rsidP="00300A01">
            <w:pPr>
              <w:spacing w:before="0" w:after="0"/>
              <w:rPr>
                <w:sz w:val="12"/>
                <w:szCs w:val="12"/>
                <w:lang w:val="fr-BE"/>
              </w:rPr>
            </w:pPr>
          </w:p>
        </w:tc>
        <w:tc>
          <w:tcPr>
            <w:tcW w:w="0" w:type="auto"/>
          </w:tcPr>
          <w:p w14:paraId="0023C88E" w14:textId="77777777" w:rsidR="008C5CFA" w:rsidRPr="00D4605F" w:rsidRDefault="008C5CFA" w:rsidP="00300A01">
            <w:pPr>
              <w:spacing w:before="0" w:after="0"/>
              <w:rPr>
                <w:sz w:val="12"/>
                <w:szCs w:val="12"/>
                <w:lang w:val="fr-BE"/>
              </w:rPr>
            </w:pPr>
          </w:p>
        </w:tc>
        <w:tc>
          <w:tcPr>
            <w:tcW w:w="0" w:type="auto"/>
          </w:tcPr>
          <w:p w14:paraId="77D1AAB4" w14:textId="77777777" w:rsidR="008C5CFA" w:rsidRPr="00B05D34" w:rsidRDefault="00E82A60" w:rsidP="00136029">
            <w:pPr>
              <w:spacing w:before="0" w:after="0"/>
              <w:jc w:val="right"/>
              <w:rPr>
                <w:sz w:val="12"/>
                <w:szCs w:val="12"/>
                <w:lang w:val="fr-BE"/>
              </w:rPr>
            </w:pPr>
            <w:r w:rsidRPr="00B05D34">
              <w:rPr>
                <w:noProof/>
                <w:sz w:val="12"/>
                <w:szCs w:val="12"/>
                <w:lang w:val="fr-BE"/>
              </w:rPr>
              <w:t>280,00</w:t>
            </w:r>
          </w:p>
        </w:tc>
        <w:tc>
          <w:tcPr>
            <w:tcW w:w="0" w:type="auto"/>
          </w:tcPr>
          <w:p w14:paraId="418EA14B" w14:textId="77777777" w:rsidR="008C5CFA" w:rsidRPr="00B05D34" w:rsidRDefault="008C5CFA" w:rsidP="00300A01">
            <w:pPr>
              <w:spacing w:before="0" w:after="0"/>
              <w:jc w:val="right"/>
              <w:rPr>
                <w:sz w:val="12"/>
                <w:szCs w:val="12"/>
                <w:lang w:val="fr-BE"/>
              </w:rPr>
            </w:pPr>
          </w:p>
        </w:tc>
        <w:tc>
          <w:tcPr>
            <w:tcW w:w="0" w:type="auto"/>
          </w:tcPr>
          <w:p w14:paraId="17CEA3AC" w14:textId="77777777" w:rsidR="008C5CFA" w:rsidRPr="00B05D34" w:rsidRDefault="008C5CFA" w:rsidP="00300A01">
            <w:pPr>
              <w:spacing w:before="0" w:after="0"/>
              <w:jc w:val="right"/>
              <w:rPr>
                <w:sz w:val="12"/>
                <w:szCs w:val="12"/>
                <w:lang w:val="fr-BE"/>
              </w:rPr>
            </w:pPr>
          </w:p>
        </w:tc>
      </w:tr>
      <w:tr w:rsidR="006B2EC1" w14:paraId="7806712C" w14:textId="77777777" w:rsidTr="0047688D">
        <w:tc>
          <w:tcPr>
            <w:tcW w:w="0" w:type="auto"/>
            <w:shd w:val="clear" w:color="auto" w:fill="auto"/>
          </w:tcPr>
          <w:p w14:paraId="0DFB1969" w14:textId="77777777" w:rsidR="008C5CFA" w:rsidRPr="00D4605F" w:rsidRDefault="00E82A60" w:rsidP="00300A01">
            <w:pPr>
              <w:spacing w:before="0" w:after="0"/>
              <w:rPr>
                <w:sz w:val="12"/>
                <w:szCs w:val="12"/>
                <w:lang w:val="fr-BE"/>
              </w:rPr>
            </w:pPr>
            <w:r w:rsidRPr="00D4605F">
              <w:rPr>
                <w:noProof/>
                <w:sz w:val="12"/>
                <w:szCs w:val="12"/>
                <w:lang w:val="fr-BE"/>
              </w:rPr>
              <w:t>4</w:t>
            </w:r>
          </w:p>
        </w:tc>
        <w:tc>
          <w:tcPr>
            <w:tcW w:w="0" w:type="auto"/>
            <w:shd w:val="clear" w:color="auto" w:fill="auto"/>
          </w:tcPr>
          <w:p w14:paraId="750A7A47" w14:textId="77777777" w:rsidR="008C5CFA" w:rsidRPr="00D4605F" w:rsidRDefault="00E82A60" w:rsidP="00300A01">
            <w:pPr>
              <w:spacing w:before="0" w:after="0"/>
              <w:rPr>
                <w:sz w:val="12"/>
                <w:szCs w:val="12"/>
                <w:lang w:val="fr-BE"/>
              </w:rPr>
            </w:pPr>
            <w:r w:rsidRPr="00D4605F">
              <w:rPr>
                <w:noProof/>
                <w:sz w:val="12"/>
                <w:szCs w:val="12"/>
                <w:lang w:val="fr-BE"/>
              </w:rPr>
              <w:t>F</w:t>
            </w:r>
          </w:p>
        </w:tc>
        <w:tc>
          <w:tcPr>
            <w:tcW w:w="0" w:type="auto"/>
            <w:shd w:val="clear" w:color="auto" w:fill="auto"/>
          </w:tcPr>
          <w:p w14:paraId="2E01EB48" w14:textId="77777777" w:rsidR="008C5CFA" w:rsidRPr="00D4605F" w:rsidRDefault="00E82A60" w:rsidP="00300A01">
            <w:pPr>
              <w:spacing w:before="0" w:after="0"/>
              <w:rPr>
                <w:sz w:val="12"/>
                <w:szCs w:val="12"/>
                <w:lang w:val="fr-BE"/>
              </w:rPr>
            </w:pPr>
            <w:r w:rsidRPr="00D4605F">
              <w:rPr>
                <w:noProof/>
                <w:sz w:val="12"/>
                <w:szCs w:val="12"/>
                <w:lang w:val="fr-BE"/>
              </w:rPr>
              <w:t>001</w:t>
            </w:r>
          </w:p>
        </w:tc>
        <w:tc>
          <w:tcPr>
            <w:tcW w:w="0" w:type="auto"/>
            <w:shd w:val="clear" w:color="auto" w:fill="auto"/>
          </w:tcPr>
          <w:p w14:paraId="1AABFBCE" w14:textId="77777777" w:rsidR="008C5CFA" w:rsidRPr="00D4605F" w:rsidRDefault="00E82A60" w:rsidP="00300A01">
            <w:pPr>
              <w:spacing w:before="0" w:after="0"/>
              <w:rPr>
                <w:sz w:val="12"/>
                <w:szCs w:val="12"/>
                <w:lang w:val="fr-BE"/>
              </w:rPr>
            </w:pPr>
            <w:r w:rsidRPr="00D4605F">
              <w:rPr>
                <w:noProof/>
                <w:sz w:val="12"/>
                <w:szCs w:val="12"/>
                <w:lang w:val="fr-BE"/>
              </w:rPr>
              <w:t>Całkowita kwota certyfikowanych wydatków kwalifikowalnych</w:t>
            </w:r>
          </w:p>
        </w:tc>
        <w:tc>
          <w:tcPr>
            <w:tcW w:w="0" w:type="auto"/>
            <w:shd w:val="clear" w:color="auto" w:fill="auto"/>
          </w:tcPr>
          <w:p w14:paraId="52E7CEB9" w14:textId="77777777" w:rsidR="008C5CFA" w:rsidRPr="00D4605F" w:rsidRDefault="00E82A60" w:rsidP="00300A01">
            <w:pPr>
              <w:spacing w:before="0" w:after="0"/>
              <w:rPr>
                <w:sz w:val="12"/>
                <w:szCs w:val="12"/>
                <w:lang w:val="fr-BE"/>
              </w:rPr>
            </w:pPr>
            <w:r w:rsidRPr="00D4605F">
              <w:rPr>
                <w:noProof/>
                <w:sz w:val="12"/>
                <w:szCs w:val="12"/>
                <w:lang w:val="fr-BE"/>
              </w:rPr>
              <w:t>EUR</w:t>
            </w:r>
          </w:p>
        </w:tc>
        <w:tc>
          <w:tcPr>
            <w:tcW w:w="0" w:type="auto"/>
            <w:shd w:val="clear" w:color="auto" w:fill="auto"/>
          </w:tcPr>
          <w:p w14:paraId="21F27496" w14:textId="77777777" w:rsidR="008C5CFA" w:rsidRPr="00D4605F" w:rsidRDefault="00E82A60" w:rsidP="00300A01">
            <w:pPr>
              <w:spacing w:before="0" w:after="0"/>
              <w:rPr>
                <w:sz w:val="12"/>
                <w:szCs w:val="12"/>
                <w:lang w:val="fr-BE"/>
              </w:rPr>
            </w:pPr>
            <w:r w:rsidRPr="00D4605F">
              <w:rPr>
                <w:noProof/>
                <w:sz w:val="12"/>
                <w:szCs w:val="12"/>
                <w:lang w:val="fr-BE"/>
              </w:rPr>
              <w:t>EFRR</w:t>
            </w:r>
          </w:p>
        </w:tc>
        <w:tc>
          <w:tcPr>
            <w:tcW w:w="0" w:type="auto"/>
          </w:tcPr>
          <w:p w14:paraId="6D6F6F1D" w14:textId="77777777" w:rsidR="008C5CFA" w:rsidRPr="00D4605F" w:rsidRDefault="00E82A60" w:rsidP="00300A01">
            <w:pPr>
              <w:spacing w:before="0" w:after="0"/>
              <w:rPr>
                <w:sz w:val="12"/>
                <w:szCs w:val="12"/>
                <w:lang w:val="fr-BE"/>
              </w:rPr>
            </w:pPr>
            <w:r w:rsidRPr="00D4605F">
              <w:rPr>
                <w:noProof/>
                <w:sz w:val="12"/>
                <w:szCs w:val="12"/>
                <w:lang w:val="fr-BE"/>
              </w:rPr>
              <w:t>Słabiej rozwinięte</w:t>
            </w:r>
          </w:p>
        </w:tc>
        <w:tc>
          <w:tcPr>
            <w:tcW w:w="0" w:type="auto"/>
          </w:tcPr>
          <w:p w14:paraId="67069675" w14:textId="77777777" w:rsidR="008C5CFA" w:rsidRPr="00D4605F" w:rsidRDefault="00E82A60" w:rsidP="00300A01">
            <w:pPr>
              <w:spacing w:before="0" w:after="0"/>
              <w:rPr>
                <w:sz w:val="12"/>
                <w:szCs w:val="12"/>
                <w:lang w:val="fr-BE"/>
              </w:rPr>
            </w:pPr>
            <w:r w:rsidRPr="00D4605F">
              <w:rPr>
                <w:noProof/>
                <w:sz w:val="12"/>
                <w:szCs w:val="12"/>
                <w:lang w:val="fr-BE"/>
              </w:rPr>
              <w:t>21 470 588,00</w:t>
            </w:r>
          </w:p>
        </w:tc>
        <w:tc>
          <w:tcPr>
            <w:tcW w:w="0" w:type="auto"/>
          </w:tcPr>
          <w:p w14:paraId="02C6E824" w14:textId="77777777" w:rsidR="008C5CFA" w:rsidRPr="00D4605F" w:rsidRDefault="008C5CFA" w:rsidP="00300A01">
            <w:pPr>
              <w:spacing w:before="0" w:after="0"/>
              <w:rPr>
                <w:sz w:val="12"/>
                <w:szCs w:val="12"/>
                <w:lang w:val="fr-BE"/>
              </w:rPr>
            </w:pPr>
          </w:p>
        </w:tc>
        <w:tc>
          <w:tcPr>
            <w:tcW w:w="0" w:type="auto"/>
          </w:tcPr>
          <w:p w14:paraId="23C45431" w14:textId="77777777" w:rsidR="008C5CFA" w:rsidRPr="00D4605F" w:rsidRDefault="008C5CFA" w:rsidP="00300A01">
            <w:pPr>
              <w:spacing w:before="0" w:after="0"/>
              <w:rPr>
                <w:sz w:val="12"/>
                <w:szCs w:val="12"/>
                <w:lang w:val="fr-BE"/>
              </w:rPr>
            </w:pPr>
          </w:p>
        </w:tc>
        <w:tc>
          <w:tcPr>
            <w:tcW w:w="0" w:type="auto"/>
          </w:tcPr>
          <w:p w14:paraId="3DDEAE99" w14:textId="77777777" w:rsidR="008C5CFA" w:rsidRPr="00B05D34" w:rsidRDefault="00E82A60" w:rsidP="00136029">
            <w:pPr>
              <w:spacing w:before="0" w:after="0"/>
              <w:jc w:val="right"/>
              <w:rPr>
                <w:sz w:val="12"/>
                <w:szCs w:val="12"/>
                <w:lang w:val="fr-BE"/>
              </w:rPr>
            </w:pPr>
            <w:r w:rsidRPr="00B05D34">
              <w:rPr>
                <w:noProof/>
                <w:sz w:val="12"/>
                <w:szCs w:val="12"/>
                <w:lang w:val="fr-BE"/>
              </w:rPr>
              <w:t>198 973 817,00</w:t>
            </w:r>
          </w:p>
        </w:tc>
        <w:tc>
          <w:tcPr>
            <w:tcW w:w="0" w:type="auto"/>
          </w:tcPr>
          <w:p w14:paraId="22DD0969" w14:textId="77777777" w:rsidR="008C5CFA" w:rsidRPr="00B05D34" w:rsidRDefault="008C5CFA" w:rsidP="00300A01">
            <w:pPr>
              <w:spacing w:before="0" w:after="0"/>
              <w:jc w:val="right"/>
              <w:rPr>
                <w:sz w:val="12"/>
                <w:szCs w:val="12"/>
                <w:lang w:val="fr-BE"/>
              </w:rPr>
            </w:pPr>
          </w:p>
        </w:tc>
        <w:tc>
          <w:tcPr>
            <w:tcW w:w="0" w:type="auto"/>
          </w:tcPr>
          <w:p w14:paraId="14BED538" w14:textId="77777777" w:rsidR="008C5CFA" w:rsidRPr="00B05D34" w:rsidRDefault="008C5CFA" w:rsidP="00300A01">
            <w:pPr>
              <w:spacing w:before="0" w:after="0"/>
              <w:jc w:val="right"/>
              <w:rPr>
                <w:sz w:val="12"/>
                <w:szCs w:val="12"/>
                <w:lang w:val="fr-BE"/>
              </w:rPr>
            </w:pPr>
          </w:p>
        </w:tc>
      </w:tr>
      <w:tr w:rsidR="006B2EC1" w14:paraId="3FE5C983" w14:textId="77777777" w:rsidTr="0047688D">
        <w:tc>
          <w:tcPr>
            <w:tcW w:w="0" w:type="auto"/>
            <w:shd w:val="clear" w:color="auto" w:fill="auto"/>
          </w:tcPr>
          <w:p w14:paraId="2A30AF27" w14:textId="77777777" w:rsidR="008C5CFA" w:rsidRPr="00D4605F" w:rsidRDefault="00E82A60" w:rsidP="00300A01">
            <w:pPr>
              <w:spacing w:before="0" w:after="0"/>
              <w:rPr>
                <w:sz w:val="12"/>
                <w:szCs w:val="12"/>
                <w:lang w:val="fr-BE"/>
              </w:rPr>
            </w:pPr>
            <w:r w:rsidRPr="00D4605F">
              <w:rPr>
                <w:noProof/>
                <w:sz w:val="12"/>
                <w:szCs w:val="12"/>
                <w:lang w:val="fr-BE"/>
              </w:rPr>
              <w:t>4</w:t>
            </w:r>
          </w:p>
        </w:tc>
        <w:tc>
          <w:tcPr>
            <w:tcW w:w="0" w:type="auto"/>
            <w:shd w:val="clear" w:color="auto" w:fill="auto"/>
          </w:tcPr>
          <w:p w14:paraId="28BC42E9" w14:textId="77777777" w:rsidR="008C5CFA" w:rsidRPr="00D4605F" w:rsidRDefault="00E82A60" w:rsidP="00300A01">
            <w:pPr>
              <w:spacing w:before="0" w:after="0"/>
              <w:rPr>
                <w:sz w:val="12"/>
                <w:szCs w:val="12"/>
                <w:lang w:val="fr-BE"/>
              </w:rPr>
            </w:pPr>
            <w:r w:rsidRPr="00D4605F">
              <w:rPr>
                <w:noProof/>
                <w:sz w:val="12"/>
                <w:szCs w:val="12"/>
                <w:lang w:val="fr-BE"/>
              </w:rPr>
              <w:t>O</w:t>
            </w:r>
          </w:p>
        </w:tc>
        <w:tc>
          <w:tcPr>
            <w:tcW w:w="0" w:type="auto"/>
            <w:shd w:val="clear" w:color="auto" w:fill="auto"/>
          </w:tcPr>
          <w:p w14:paraId="595FB305" w14:textId="77777777" w:rsidR="008C5CFA" w:rsidRPr="00D4605F" w:rsidRDefault="00E82A60" w:rsidP="00300A01">
            <w:pPr>
              <w:spacing w:before="0" w:after="0"/>
              <w:rPr>
                <w:sz w:val="12"/>
                <w:szCs w:val="12"/>
                <w:lang w:val="fr-BE"/>
              </w:rPr>
            </w:pPr>
            <w:r w:rsidRPr="00D4605F">
              <w:rPr>
                <w:noProof/>
                <w:sz w:val="12"/>
                <w:szCs w:val="12"/>
                <w:lang w:val="fr-BE"/>
              </w:rPr>
              <w:t>47</w:t>
            </w:r>
          </w:p>
        </w:tc>
        <w:tc>
          <w:tcPr>
            <w:tcW w:w="0" w:type="auto"/>
            <w:shd w:val="clear" w:color="auto" w:fill="auto"/>
          </w:tcPr>
          <w:p w14:paraId="4763A081" w14:textId="77777777" w:rsidR="008C5CFA" w:rsidRPr="00D4605F" w:rsidRDefault="00E82A60" w:rsidP="00300A01">
            <w:pPr>
              <w:spacing w:before="0" w:after="0"/>
              <w:rPr>
                <w:sz w:val="12"/>
                <w:szCs w:val="12"/>
                <w:lang w:val="fr-BE"/>
              </w:rPr>
            </w:pPr>
            <w:r w:rsidRPr="00D4605F">
              <w:rPr>
                <w:noProof/>
                <w:sz w:val="12"/>
                <w:szCs w:val="12"/>
                <w:lang w:val="fr-BE"/>
              </w:rPr>
              <w:t>Liczba jednostek służb ratowniczych doposażonych  w sprzęt do prowadzenia akcji ratowniczych  i usuwania skutków katastrof</w:t>
            </w:r>
          </w:p>
        </w:tc>
        <w:tc>
          <w:tcPr>
            <w:tcW w:w="0" w:type="auto"/>
            <w:shd w:val="clear" w:color="auto" w:fill="auto"/>
          </w:tcPr>
          <w:p w14:paraId="54115EF6" w14:textId="77777777" w:rsidR="008C5CFA" w:rsidRPr="00D4605F" w:rsidRDefault="00E82A60" w:rsidP="00300A01">
            <w:pPr>
              <w:spacing w:before="0" w:after="0"/>
              <w:rPr>
                <w:sz w:val="12"/>
                <w:szCs w:val="12"/>
                <w:lang w:val="fr-BE"/>
              </w:rPr>
            </w:pPr>
            <w:r w:rsidRPr="00D4605F">
              <w:rPr>
                <w:noProof/>
                <w:sz w:val="12"/>
                <w:szCs w:val="12"/>
                <w:lang w:val="fr-BE"/>
              </w:rPr>
              <w:t>szt.</w:t>
            </w:r>
          </w:p>
        </w:tc>
        <w:tc>
          <w:tcPr>
            <w:tcW w:w="0" w:type="auto"/>
            <w:shd w:val="clear" w:color="auto" w:fill="auto"/>
          </w:tcPr>
          <w:p w14:paraId="3974E500" w14:textId="77777777" w:rsidR="008C5CFA" w:rsidRPr="00D4605F" w:rsidRDefault="00E82A60" w:rsidP="00300A01">
            <w:pPr>
              <w:spacing w:before="0" w:after="0"/>
              <w:rPr>
                <w:sz w:val="12"/>
                <w:szCs w:val="12"/>
                <w:lang w:val="fr-BE"/>
              </w:rPr>
            </w:pPr>
            <w:r w:rsidRPr="00D4605F">
              <w:rPr>
                <w:noProof/>
                <w:sz w:val="12"/>
                <w:szCs w:val="12"/>
                <w:lang w:val="fr-BE"/>
              </w:rPr>
              <w:t>EFRR</w:t>
            </w:r>
          </w:p>
        </w:tc>
        <w:tc>
          <w:tcPr>
            <w:tcW w:w="0" w:type="auto"/>
          </w:tcPr>
          <w:p w14:paraId="5481FE7A" w14:textId="77777777" w:rsidR="008C5CFA" w:rsidRPr="00D4605F" w:rsidRDefault="00E82A60" w:rsidP="00300A01">
            <w:pPr>
              <w:spacing w:before="0" w:after="0"/>
              <w:rPr>
                <w:sz w:val="12"/>
                <w:szCs w:val="12"/>
                <w:lang w:val="fr-BE"/>
              </w:rPr>
            </w:pPr>
            <w:r w:rsidRPr="00D4605F">
              <w:rPr>
                <w:noProof/>
                <w:sz w:val="12"/>
                <w:szCs w:val="12"/>
                <w:lang w:val="fr-BE"/>
              </w:rPr>
              <w:t>Słabiej rozwinięte</w:t>
            </w:r>
          </w:p>
        </w:tc>
        <w:tc>
          <w:tcPr>
            <w:tcW w:w="0" w:type="auto"/>
          </w:tcPr>
          <w:p w14:paraId="1A0C611E" w14:textId="77777777" w:rsidR="008C5CFA" w:rsidRPr="00D4605F" w:rsidRDefault="00E82A60" w:rsidP="00300A01">
            <w:pPr>
              <w:spacing w:before="0" w:after="0"/>
              <w:rPr>
                <w:sz w:val="12"/>
                <w:szCs w:val="12"/>
                <w:lang w:val="fr-BE"/>
              </w:rPr>
            </w:pPr>
            <w:r w:rsidRPr="00D4605F">
              <w:rPr>
                <w:noProof/>
                <w:sz w:val="12"/>
                <w:szCs w:val="12"/>
                <w:lang w:val="fr-BE"/>
              </w:rPr>
              <w:t>12</w:t>
            </w:r>
          </w:p>
        </w:tc>
        <w:tc>
          <w:tcPr>
            <w:tcW w:w="0" w:type="auto"/>
          </w:tcPr>
          <w:p w14:paraId="67F68AB9" w14:textId="77777777" w:rsidR="008C5CFA" w:rsidRPr="00D4605F" w:rsidRDefault="008C5CFA" w:rsidP="00300A01">
            <w:pPr>
              <w:spacing w:before="0" w:after="0"/>
              <w:rPr>
                <w:sz w:val="12"/>
                <w:szCs w:val="12"/>
                <w:lang w:val="fr-BE"/>
              </w:rPr>
            </w:pPr>
          </w:p>
        </w:tc>
        <w:tc>
          <w:tcPr>
            <w:tcW w:w="0" w:type="auto"/>
          </w:tcPr>
          <w:p w14:paraId="7834B857" w14:textId="77777777" w:rsidR="008C5CFA" w:rsidRPr="00D4605F" w:rsidRDefault="008C5CFA" w:rsidP="00300A01">
            <w:pPr>
              <w:spacing w:before="0" w:after="0"/>
              <w:rPr>
                <w:sz w:val="12"/>
                <w:szCs w:val="12"/>
                <w:lang w:val="fr-BE"/>
              </w:rPr>
            </w:pPr>
          </w:p>
        </w:tc>
        <w:tc>
          <w:tcPr>
            <w:tcW w:w="0" w:type="auto"/>
          </w:tcPr>
          <w:p w14:paraId="1990D958" w14:textId="77777777" w:rsidR="008C5CFA" w:rsidRPr="00B05D34" w:rsidRDefault="00E82A60" w:rsidP="00136029">
            <w:pPr>
              <w:spacing w:before="0" w:after="0"/>
              <w:jc w:val="right"/>
              <w:rPr>
                <w:sz w:val="12"/>
                <w:szCs w:val="12"/>
                <w:lang w:val="fr-BE"/>
              </w:rPr>
            </w:pPr>
            <w:r w:rsidRPr="00B05D34">
              <w:rPr>
                <w:noProof/>
                <w:sz w:val="12"/>
                <w:szCs w:val="12"/>
                <w:lang w:val="fr-BE"/>
              </w:rPr>
              <w:t>25,00</w:t>
            </w:r>
          </w:p>
        </w:tc>
        <w:tc>
          <w:tcPr>
            <w:tcW w:w="0" w:type="auto"/>
          </w:tcPr>
          <w:p w14:paraId="64EEC2A2" w14:textId="77777777" w:rsidR="008C5CFA" w:rsidRPr="00B05D34" w:rsidRDefault="008C5CFA" w:rsidP="00300A01">
            <w:pPr>
              <w:spacing w:before="0" w:after="0"/>
              <w:jc w:val="right"/>
              <w:rPr>
                <w:sz w:val="12"/>
                <w:szCs w:val="12"/>
                <w:lang w:val="fr-BE"/>
              </w:rPr>
            </w:pPr>
          </w:p>
        </w:tc>
        <w:tc>
          <w:tcPr>
            <w:tcW w:w="0" w:type="auto"/>
          </w:tcPr>
          <w:p w14:paraId="36ADAD80" w14:textId="77777777" w:rsidR="008C5CFA" w:rsidRPr="00B05D34" w:rsidRDefault="008C5CFA" w:rsidP="00300A01">
            <w:pPr>
              <w:spacing w:before="0" w:after="0"/>
              <w:jc w:val="right"/>
              <w:rPr>
                <w:sz w:val="12"/>
                <w:szCs w:val="12"/>
                <w:lang w:val="fr-BE"/>
              </w:rPr>
            </w:pPr>
          </w:p>
        </w:tc>
      </w:tr>
      <w:tr w:rsidR="006B2EC1" w14:paraId="02A5EE52" w14:textId="77777777" w:rsidTr="0047688D">
        <w:tc>
          <w:tcPr>
            <w:tcW w:w="0" w:type="auto"/>
            <w:shd w:val="clear" w:color="auto" w:fill="auto"/>
          </w:tcPr>
          <w:p w14:paraId="6D708167" w14:textId="77777777" w:rsidR="008C5CFA" w:rsidRPr="00D4605F" w:rsidRDefault="00E82A60" w:rsidP="00300A01">
            <w:pPr>
              <w:spacing w:before="0" w:after="0"/>
              <w:rPr>
                <w:sz w:val="12"/>
                <w:szCs w:val="12"/>
                <w:lang w:val="fr-BE"/>
              </w:rPr>
            </w:pPr>
            <w:r w:rsidRPr="00D4605F">
              <w:rPr>
                <w:noProof/>
                <w:sz w:val="12"/>
                <w:szCs w:val="12"/>
                <w:lang w:val="fr-BE"/>
              </w:rPr>
              <w:t>4</w:t>
            </w:r>
          </w:p>
        </w:tc>
        <w:tc>
          <w:tcPr>
            <w:tcW w:w="0" w:type="auto"/>
            <w:shd w:val="clear" w:color="auto" w:fill="auto"/>
          </w:tcPr>
          <w:p w14:paraId="10212BF4" w14:textId="77777777" w:rsidR="008C5CFA" w:rsidRPr="00D4605F" w:rsidRDefault="00E82A60" w:rsidP="00300A01">
            <w:pPr>
              <w:spacing w:before="0" w:after="0"/>
              <w:rPr>
                <w:sz w:val="12"/>
                <w:szCs w:val="12"/>
                <w:lang w:val="fr-BE"/>
              </w:rPr>
            </w:pPr>
            <w:r w:rsidRPr="00D4605F">
              <w:rPr>
                <w:noProof/>
                <w:sz w:val="12"/>
                <w:szCs w:val="12"/>
                <w:lang w:val="fr-BE"/>
              </w:rPr>
              <w:t>O</w:t>
            </w:r>
          </w:p>
        </w:tc>
        <w:tc>
          <w:tcPr>
            <w:tcW w:w="0" w:type="auto"/>
            <w:shd w:val="clear" w:color="auto" w:fill="auto"/>
          </w:tcPr>
          <w:p w14:paraId="639FF9E5" w14:textId="77777777" w:rsidR="008C5CFA" w:rsidRPr="00D4605F" w:rsidRDefault="00E82A60" w:rsidP="00300A01">
            <w:pPr>
              <w:spacing w:before="0" w:after="0"/>
              <w:rPr>
                <w:sz w:val="12"/>
                <w:szCs w:val="12"/>
                <w:lang w:val="fr-BE"/>
              </w:rPr>
            </w:pPr>
            <w:r w:rsidRPr="00D4605F">
              <w:rPr>
                <w:noProof/>
                <w:sz w:val="12"/>
                <w:szCs w:val="12"/>
                <w:lang w:val="fr-BE"/>
              </w:rPr>
              <w:t>56</w:t>
            </w:r>
          </w:p>
        </w:tc>
        <w:tc>
          <w:tcPr>
            <w:tcW w:w="0" w:type="auto"/>
            <w:shd w:val="clear" w:color="auto" w:fill="auto"/>
          </w:tcPr>
          <w:p w14:paraId="0B42A042" w14:textId="77777777" w:rsidR="008C5CFA" w:rsidRPr="00D4605F" w:rsidRDefault="00E82A60" w:rsidP="00300A01">
            <w:pPr>
              <w:spacing w:before="0" w:after="0"/>
              <w:rPr>
                <w:sz w:val="12"/>
                <w:szCs w:val="12"/>
                <w:lang w:val="fr-BE"/>
              </w:rPr>
            </w:pPr>
            <w:r w:rsidRPr="00D4605F">
              <w:rPr>
                <w:noProof/>
                <w:sz w:val="12"/>
                <w:szCs w:val="12"/>
                <w:lang w:val="fr-BE"/>
              </w:rPr>
              <w:t>Długość wybudowanej kanalizacji sanitarnej</w:t>
            </w:r>
          </w:p>
        </w:tc>
        <w:tc>
          <w:tcPr>
            <w:tcW w:w="0" w:type="auto"/>
            <w:shd w:val="clear" w:color="auto" w:fill="auto"/>
          </w:tcPr>
          <w:p w14:paraId="160AC431" w14:textId="77777777" w:rsidR="008C5CFA" w:rsidRPr="00D4605F" w:rsidRDefault="00E82A60" w:rsidP="00300A01">
            <w:pPr>
              <w:spacing w:before="0" w:after="0"/>
              <w:rPr>
                <w:sz w:val="12"/>
                <w:szCs w:val="12"/>
                <w:lang w:val="fr-BE"/>
              </w:rPr>
            </w:pPr>
            <w:r w:rsidRPr="00D4605F">
              <w:rPr>
                <w:noProof/>
                <w:sz w:val="12"/>
                <w:szCs w:val="12"/>
                <w:lang w:val="fr-BE"/>
              </w:rPr>
              <w:t>km</w:t>
            </w:r>
          </w:p>
        </w:tc>
        <w:tc>
          <w:tcPr>
            <w:tcW w:w="0" w:type="auto"/>
            <w:shd w:val="clear" w:color="auto" w:fill="auto"/>
          </w:tcPr>
          <w:p w14:paraId="361558D4" w14:textId="77777777" w:rsidR="008C5CFA" w:rsidRPr="00D4605F" w:rsidRDefault="00E82A60" w:rsidP="00300A01">
            <w:pPr>
              <w:spacing w:before="0" w:after="0"/>
              <w:rPr>
                <w:sz w:val="12"/>
                <w:szCs w:val="12"/>
                <w:lang w:val="fr-BE"/>
              </w:rPr>
            </w:pPr>
            <w:r w:rsidRPr="00D4605F">
              <w:rPr>
                <w:noProof/>
                <w:sz w:val="12"/>
                <w:szCs w:val="12"/>
                <w:lang w:val="fr-BE"/>
              </w:rPr>
              <w:t>EFRR</w:t>
            </w:r>
          </w:p>
        </w:tc>
        <w:tc>
          <w:tcPr>
            <w:tcW w:w="0" w:type="auto"/>
          </w:tcPr>
          <w:p w14:paraId="6BFD8C5D" w14:textId="77777777" w:rsidR="008C5CFA" w:rsidRPr="00D4605F" w:rsidRDefault="00E82A60" w:rsidP="00300A01">
            <w:pPr>
              <w:spacing w:before="0" w:after="0"/>
              <w:rPr>
                <w:sz w:val="12"/>
                <w:szCs w:val="12"/>
                <w:lang w:val="fr-BE"/>
              </w:rPr>
            </w:pPr>
            <w:r w:rsidRPr="00D4605F">
              <w:rPr>
                <w:noProof/>
                <w:sz w:val="12"/>
                <w:szCs w:val="12"/>
                <w:lang w:val="fr-BE"/>
              </w:rPr>
              <w:t>Słabiej rozwinięte</w:t>
            </w:r>
          </w:p>
        </w:tc>
        <w:tc>
          <w:tcPr>
            <w:tcW w:w="0" w:type="auto"/>
          </w:tcPr>
          <w:p w14:paraId="78FEB355" w14:textId="77777777" w:rsidR="008C5CFA" w:rsidRPr="00D4605F" w:rsidRDefault="00E82A60" w:rsidP="00300A01">
            <w:pPr>
              <w:spacing w:before="0" w:after="0"/>
              <w:rPr>
                <w:sz w:val="12"/>
                <w:szCs w:val="12"/>
                <w:lang w:val="fr-BE"/>
              </w:rPr>
            </w:pPr>
            <w:r w:rsidRPr="00D4605F">
              <w:rPr>
                <w:noProof/>
                <w:sz w:val="12"/>
                <w:szCs w:val="12"/>
                <w:lang w:val="fr-BE"/>
              </w:rPr>
              <w:t>70</w:t>
            </w:r>
          </w:p>
        </w:tc>
        <w:tc>
          <w:tcPr>
            <w:tcW w:w="0" w:type="auto"/>
          </w:tcPr>
          <w:p w14:paraId="5E32C547" w14:textId="77777777" w:rsidR="008C5CFA" w:rsidRPr="00D4605F" w:rsidRDefault="008C5CFA" w:rsidP="00300A01">
            <w:pPr>
              <w:spacing w:before="0" w:after="0"/>
              <w:rPr>
                <w:sz w:val="12"/>
                <w:szCs w:val="12"/>
                <w:lang w:val="fr-BE"/>
              </w:rPr>
            </w:pPr>
          </w:p>
        </w:tc>
        <w:tc>
          <w:tcPr>
            <w:tcW w:w="0" w:type="auto"/>
          </w:tcPr>
          <w:p w14:paraId="5CC7294E" w14:textId="77777777" w:rsidR="008C5CFA" w:rsidRPr="00D4605F" w:rsidRDefault="008C5CFA" w:rsidP="00300A01">
            <w:pPr>
              <w:spacing w:before="0" w:after="0"/>
              <w:rPr>
                <w:sz w:val="12"/>
                <w:szCs w:val="12"/>
                <w:lang w:val="fr-BE"/>
              </w:rPr>
            </w:pPr>
          </w:p>
        </w:tc>
        <w:tc>
          <w:tcPr>
            <w:tcW w:w="0" w:type="auto"/>
          </w:tcPr>
          <w:p w14:paraId="5F88807B" w14:textId="77777777" w:rsidR="008C5CFA" w:rsidRPr="00B05D34" w:rsidRDefault="00E82A60" w:rsidP="00136029">
            <w:pPr>
              <w:spacing w:before="0" w:after="0"/>
              <w:jc w:val="right"/>
              <w:rPr>
                <w:sz w:val="12"/>
                <w:szCs w:val="12"/>
                <w:lang w:val="fr-BE"/>
              </w:rPr>
            </w:pPr>
            <w:r w:rsidRPr="00B05D34">
              <w:rPr>
                <w:noProof/>
                <w:sz w:val="12"/>
                <w:szCs w:val="12"/>
                <w:lang w:val="fr-BE"/>
              </w:rPr>
              <w:t>300,00</w:t>
            </w:r>
          </w:p>
        </w:tc>
        <w:tc>
          <w:tcPr>
            <w:tcW w:w="0" w:type="auto"/>
          </w:tcPr>
          <w:p w14:paraId="12B5E526" w14:textId="77777777" w:rsidR="008C5CFA" w:rsidRPr="00B05D34" w:rsidRDefault="008C5CFA" w:rsidP="00300A01">
            <w:pPr>
              <w:spacing w:before="0" w:after="0"/>
              <w:jc w:val="right"/>
              <w:rPr>
                <w:sz w:val="12"/>
                <w:szCs w:val="12"/>
                <w:lang w:val="fr-BE"/>
              </w:rPr>
            </w:pPr>
          </w:p>
        </w:tc>
        <w:tc>
          <w:tcPr>
            <w:tcW w:w="0" w:type="auto"/>
          </w:tcPr>
          <w:p w14:paraId="67249CF2" w14:textId="77777777" w:rsidR="008C5CFA" w:rsidRPr="00B05D34" w:rsidRDefault="008C5CFA" w:rsidP="00300A01">
            <w:pPr>
              <w:spacing w:before="0" w:after="0"/>
              <w:jc w:val="right"/>
              <w:rPr>
                <w:sz w:val="12"/>
                <w:szCs w:val="12"/>
                <w:lang w:val="fr-BE"/>
              </w:rPr>
            </w:pPr>
          </w:p>
        </w:tc>
      </w:tr>
      <w:tr w:rsidR="006B2EC1" w14:paraId="1040DDC3" w14:textId="77777777" w:rsidTr="0047688D">
        <w:tc>
          <w:tcPr>
            <w:tcW w:w="0" w:type="auto"/>
            <w:shd w:val="clear" w:color="auto" w:fill="auto"/>
          </w:tcPr>
          <w:p w14:paraId="32B483AD" w14:textId="77777777" w:rsidR="008C5CFA" w:rsidRPr="00D4605F" w:rsidRDefault="00E82A60" w:rsidP="00300A01">
            <w:pPr>
              <w:spacing w:before="0" w:after="0"/>
              <w:rPr>
                <w:sz w:val="12"/>
                <w:szCs w:val="12"/>
                <w:lang w:val="fr-BE"/>
              </w:rPr>
            </w:pPr>
            <w:r w:rsidRPr="00D4605F">
              <w:rPr>
                <w:noProof/>
                <w:sz w:val="12"/>
                <w:szCs w:val="12"/>
                <w:lang w:val="fr-BE"/>
              </w:rPr>
              <w:t>4</w:t>
            </w:r>
          </w:p>
        </w:tc>
        <w:tc>
          <w:tcPr>
            <w:tcW w:w="0" w:type="auto"/>
            <w:shd w:val="clear" w:color="auto" w:fill="auto"/>
          </w:tcPr>
          <w:p w14:paraId="522C4D0E" w14:textId="77777777" w:rsidR="008C5CFA" w:rsidRPr="00D4605F" w:rsidRDefault="00E82A60" w:rsidP="00300A01">
            <w:pPr>
              <w:spacing w:before="0" w:after="0"/>
              <w:rPr>
                <w:sz w:val="12"/>
                <w:szCs w:val="12"/>
                <w:lang w:val="fr-BE"/>
              </w:rPr>
            </w:pPr>
            <w:r w:rsidRPr="00D4605F">
              <w:rPr>
                <w:noProof/>
                <w:sz w:val="12"/>
                <w:szCs w:val="12"/>
                <w:lang w:val="fr-BE"/>
              </w:rPr>
              <w:t>O</w:t>
            </w:r>
          </w:p>
        </w:tc>
        <w:tc>
          <w:tcPr>
            <w:tcW w:w="0" w:type="auto"/>
            <w:shd w:val="clear" w:color="auto" w:fill="auto"/>
          </w:tcPr>
          <w:p w14:paraId="0894EE54" w14:textId="77777777" w:rsidR="008C5CFA" w:rsidRPr="00D4605F" w:rsidRDefault="00E82A60" w:rsidP="00300A01">
            <w:pPr>
              <w:spacing w:before="0" w:after="0"/>
              <w:rPr>
                <w:sz w:val="12"/>
                <w:szCs w:val="12"/>
                <w:lang w:val="fr-BE"/>
              </w:rPr>
            </w:pPr>
            <w:r w:rsidRPr="00D4605F">
              <w:rPr>
                <w:noProof/>
                <w:sz w:val="12"/>
                <w:szCs w:val="12"/>
                <w:lang w:val="fr-BE"/>
              </w:rPr>
              <w:t>70</w:t>
            </w:r>
          </w:p>
        </w:tc>
        <w:tc>
          <w:tcPr>
            <w:tcW w:w="0" w:type="auto"/>
            <w:shd w:val="clear" w:color="auto" w:fill="auto"/>
          </w:tcPr>
          <w:p w14:paraId="5487B0A1" w14:textId="77777777" w:rsidR="008C5CFA" w:rsidRPr="00D4605F" w:rsidRDefault="00E82A60" w:rsidP="00300A01">
            <w:pPr>
              <w:spacing w:before="0" w:after="0"/>
              <w:rPr>
                <w:sz w:val="12"/>
                <w:szCs w:val="12"/>
                <w:lang w:val="fr-BE"/>
              </w:rPr>
            </w:pPr>
            <w:r w:rsidRPr="00D4605F">
              <w:rPr>
                <w:noProof/>
                <w:sz w:val="12"/>
                <w:szCs w:val="12"/>
                <w:lang w:val="fr-BE"/>
              </w:rPr>
              <w:t>Liczba zabytków nieruchomych i instytucji kultury objętych wsparciem</w:t>
            </w:r>
          </w:p>
        </w:tc>
        <w:tc>
          <w:tcPr>
            <w:tcW w:w="0" w:type="auto"/>
            <w:shd w:val="clear" w:color="auto" w:fill="auto"/>
          </w:tcPr>
          <w:p w14:paraId="748FFF74" w14:textId="77777777" w:rsidR="008C5CFA" w:rsidRPr="00D4605F" w:rsidRDefault="00E82A60" w:rsidP="00300A01">
            <w:pPr>
              <w:spacing w:before="0" w:after="0"/>
              <w:rPr>
                <w:sz w:val="12"/>
                <w:szCs w:val="12"/>
                <w:lang w:val="fr-BE"/>
              </w:rPr>
            </w:pPr>
            <w:r w:rsidRPr="00D4605F">
              <w:rPr>
                <w:noProof/>
                <w:sz w:val="12"/>
                <w:szCs w:val="12"/>
                <w:lang w:val="fr-BE"/>
              </w:rPr>
              <w:t>szt.</w:t>
            </w:r>
          </w:p>
        </w:tc>
        <w:tc>
          <w:tcPr>
            <w:tcW w:w="0" w:type="auto"/>
            <w:shd w:val="clear" w:color="auto" w:fill="auto"/>
          </w:tcPr>
          <w:p w14:paraId="534805B7" w14:textId="77777777" w:rsidR="008C5CFA" w:rsidRPr="00D4605F" w:rsidRDefault="00E82A60" w:rsidP="00300A01">
            <w:pPr>
              <w:spacing w:before="0" w:after="0"/>
              <w:rPr>
                <w:sz w:val="12"/>
                <w:szCs w:val="12"/>
                <w:lang w:val="fr-BE"/>
              </w:rPr>
            </w:pPr>
            <w:r w:rsidRPr="00D4605F">
              <w:rPr>
                <w:noProof/>
                <w:sz w:val="12"/>
                <w:szCs w:val="12"/>
                <w:lang w:val="fr-BE"/>
              </w:rPr>
              <w:t>EFRR</w:t>
            </w:r>
          </w:p>
        </w:tc>
        <w:tc>
          <w:tcPr>
            <w:tcW w:w="0" w:type="auto"/>
          </w:tcPr>
          <w:p w14:paraId="0D1031FF" w14:textId="77777777" w:rsidR="008C5CFA" w:rsidRPr="00D4605F" w:rsidRDefault="00E82A60" w:rsidP="00300A01">
            <w:pPr>
              <w:spacing w:before="0" w:after="0"/>
              <w:rPr>
                <w:sz w:val="12"/>
                <w:szCs w:val="12"/>
                <w:lang w:val="fr-BE"/>
              </w:rPr>
            </w:pPr>
            <w:r w:rsidRPr="00D4605F">
              <w:rPr>
                <w:noProof/>
                <w:sz w:val="12"/>
                <w:szCs w:val="12"/>
                <w:lang w:val="fr-BE"/>
              </w:rPr>
              <w:t>Słabiej rozwinięte</w:t>
            </w:r>
          </w:p>
        </w:tc>
        <w:tc>
          <w:tcPr>
            <w:tcW w:w="0" w:type="auto"/>
          </w:tcPr>
          <w:p w14:paraId="415AC86C" w14:textId="77777777" w:rsidR="008C5CFA" w:rsidRPr="00D4605F" w:rsidRDefault="00E82A60" w:rsidP="00300A01">
            <w:pPr>
              <w:spacing w:before="0" w:after="0"/>
              <w:rPr>
                <w:sz w:val="12"/>
                <w:szCs w:val="12"/>
                <w:lang w:val="fr-BE"/>
              </w:rPr>
            </w:pPr>
            <w:r w:rsidRPr="00D4605F">
              <w:rPr>
                <w:noProof/>
                <w:sz w:val="12"/>
                <w:szCs w:val="12"/>
                <w:lang w:val="fr-BE"/>
              </w:rPr>
              <w:t>6</w:t>
            </w:r>
          </w:p>
        </w:tc>
        <w:tc>
          <w:tcPr>
            <w:tcW w:w="0" w:type="auto"/>
          </w:tcPr>
          <w:p w14:paraId="52C7A755" w14:textId="77777777" w:rsidR="008C5CFA" w:rsidRPr="00D4605F" w:rsidRDefault="008C5CFA" w:rsidP="00300A01">
            <w:pPr>
              <w:spacing w:before="0" w:after="0"/>
              <w:rPr>
                <w:sz w:val="12"/>
                <w:szCs w:val="12"/>
                <w:lang w:val="fr-BE"/>
              </w:rPr>
            </w:pPr>
          </w:p>
        </w:tc>
        <w:tc>
          <w:tcPr>
            <w:tcW w:w="0" w:type="auto"/>
          </w:tcPr>
          <w:p w14:paraId="506B4863" w14:textId="77777777" w:rsidR="008C5CFA" w:rsidRPr="00D4605F" w:rsidRDefault="008C5CFA" w:rsidP="00300A01">
            <w:pPr>
              <w:spacing w:before="0" w:after="0"/>
              <w:rPr>
                <w:sz w:val="12"/>
                <w:szCs w:val="12"/>
                <w:lang w:val="fr-BE"/>
              </w:rPr>
            </w:pPr>
          </w:p>
        </w:tc>
        <w:tc>
          <w:tcPr>
            <w:tcW w:w="0" w:type="auto"/>
          </w:tcPr>
          <w:p w14:paraId="3EC4D602" w14:textId="77777777" w:rsidR="008C5CFA" w:rsidRPr="00B05D34" w:rsidRDefault="00E82A60" w:rsidP="00136029">
            <w:pPr>
              <w:spacing w:before="0" w:after="0"/>
              <w:jc w:val="right"/>
              <w:rPr>
                <w:sz w:val="12"/>
                <w:szCs w:val="12"/>
                <w:lang w:val="fr-BE"/>
              </w:rPr>
            </w:pPr>
            <w:r w:rsidRPr="00B05D34">
              <w:rPr>
                <w:noProof/>
                <w:sz w:val="12"/>
                <w:szCs w:val="12"/>
                <w:lang w:val="fr-BE"/>
              </w:rPr>
              <w:t>37,00</w:t>
            </w:r>
          </w:p>
        </w:tc>
        <w:tc>
          <w:tcPr>
            <w:tcW w:w="0" w:type="auto"/>
          </w:tcPr>
          <w:p w14:paraId="2052CE9D" w14:textId="77777777" w:rsidR="008C5CFA" w:rsidRPr="00B05D34" w:rsidRDefault="008C5CFA" w:rsidP="00300A01">
            <w:pPr>
              <w:spacing w:before="0" w:after="0"/>
              <w:jc w:val="right"/>
              <w:rPr>
                <w:sz w:val="12"/>
                <w:szCs w:val="12"/>
                <w:lang w:val="fr-BE"/>
              </w:rPr>
            </w:pPr>
          </w:p>
        </w:tc>
        <w:tc>
          <w:tcPr>
            <w:tcW w:w="0" w:type="auto"/>
          </w:tcPr>
          <w:p w14:paraId="23CD263E" w14:textId="77777777" w:rsidR="008C5CFA" w:rsidRPr="00B05D34" w:rsidRDefault="008C5CFA" w:rsidP="00300A01">
            <w:pPr>
              <w:spacing w:before="0" w:after="0"/>
              <w:jc w:val="right"/>
              <w:rPr>
                <w:sz w:val="12"/>
                <w:szCs w:val="12"/>
                <w:lang w:val="fr-BE"/>
              </w:rPr>
            </w:pPr>
          </w:p>
        </w:tc>
      </w:tr>
      <w:tr w:rsidR="006B2EC1" w14:paraId="6B795EAC" w14:textId="77777777" w:rsidTr="0047688D">
        <w:tc>
          <w:tcPr>
            <w:tcW w:w="0" w:type="auto"/>
            <w:shd w:val="clear" w:color="auto" w:fill="auto"/>
          </w:tcPr>
          <w:p w14:paraId="23882F06" w14:textId="77777777" w:rsidR="008C5CFA" w:rsidRPr="00D4605F" w:rsidRDefault="00E82A60" w:rsidP="00300A01">
            <w:pPr>
              <w:spacing w:before="0" w:after="0"/>
              <w:rPr>
                <w:sz w:val="12"/>
                <w:szCs w:val="12"/>
                <w:lang w:val="fr-BE"/>
              </w:rPr>
            </w:pPr>
            <w:r w:rsidRPr="00D4605F">
              <w:rPr>
                <w:noProof/>
                <w:sz w:val="12"/>
                <w:szCs w:val="12"/>
                <w:lang w:val="fr-BE"/>
              </w:rPr>
              <w:t>5</w:t>
            </w:r>
          </w:p>
        </w:tc>
        <w:tc>
          <w:tcPr>
            <w:tcW w:w="0" w:type="auto"/>
            <w:shd w:val="clear" w:color="auto" w:fill="auto"/>
          </w:tcPr>
          <w:p w14:paraId="3A80C0F6" w14:textId="77777777" w:rsidR="008C5CFA" w:rsidRPr="00D4605F" w:rsidRDefault="00E82A60" w:rsidP="00300A01">
            <w:pPr>
              <w:spacing w:before="0" w:after="0"/>
              <w:rPr>
                <w:sz w:val="12"/>
                <w:szCs w:val="12"/>
                <w:lang w:val="fr-BE"/>
              </w:rPr>
            </w:pPr>
            <w:r w:rsidRPr="00D4605F">
              <w:rPr>
                <w:noProof/>
                <w:sz w:val="12"/>
                <w:szCs w:val="12"/>
                <w:lang w:val="fr-BE"/>
              </w:rPr>
              <w:t>F</w:t>
            </w:r>
          </w:p>
        </w:tc>
        <w:tc>
          <w:tcPr>
            <w:tcW w:w="0" w:type="auto"/>
            <w:shd w:val="clear" w:color="auto" w:fill="auto"/>
          </w:tcPr>
          <w:p w14:paraId="787777A7" w14:textId="77777777" w:rsidR="008C5CFA" w:rsidRPr="00D4605F" w:rsidRDefault="00E82A60" w:rsidP="00300A01">
            <w:pPr>
              <w:spacing w:before="0" w:after="0"/>
              <w:rPr>
                <w:sz w:val="12"/>
                <w:szCs w:val="12"/>
                <w:lang w:val="fr-BE"/>
              </w:rPr>
            </w:pPr>
            <w:r w:rsidRPr="00D4605F">
              <w:rPr>
                <w:noProof/>
                <w:sz w:val="12"/>
                <w:szCs w:val="12"/>
                <w:lang w:val="fr-BE"/>
              </w:rPr>
              <w:t>001</w:t>
            </w:r>
          </w:p>
        </w:tc>
        <w:tc>
          <w:tcPr>
            <w:tcW w:w="0" w:type="auto"/>
            <w:shd w:val="clear" w:color="auto" w:fill="auto"/>
          </w:tcPr>
          <w:p w14:paraId="1A363D27" w14:textId="77777777" w:rsidR="008C5CFA" w:rsidRPr="00D4605F" w:rsidRDefault="00E82A60" w:rsidP="00300A01">
            <w:pPr>
              <w:spacing w:before="0" w:after="0"/>
              <w:rPr>
                <w:sz w:val="12"/>
                <w:szCs w:val="12"/>
                <w:lang w:val="fr-BE"/>
              </w:rPr>
            </w:pPr>
            <w:r w:rsidRPr="00D4605F">
              <w:rPr>
                <w:noProof/>
                <w:sz w:val="12"/>
                <w:szCs w:val="12"/>
                <w:lang w:val="fr-BE"/>
              </w:rPr>
              <w:t>Całkowita kwota certyfikowanych wydatków kwalifikowalnych</w:t>
            </w:r>
          </w:p>
        </w:tc>
        <w:tc>
          <w:tcPr>
            <w:tcW w:w="0" w:type="auto"/>
            <w:shd w:val="clear" w:color="auto" w:fill="auto"/>
          </w:tcPr>
          <w:p w14:paraId="2DD4C1D5" w14:textId="77777777" w:rsidR="008C5CFA" w:rsidRPr="00D4605F" w:rsidRDefault="00E82A60" w:rsidP="00300A01">
            <w:pPr>
              <w:spacing w:before="0" w:after="0"/>
              <w:rPr>
                <w:sz w:val="12"/>
                <w:szCs w:val="12"/>
                <w:lang w:val="fr-BE"/>
              </w:rPr>
            </w:pPr>
            <w:r w:rsidRPr="00D4605F">
              <w:rPr>
                <w:noProof/>
                <w:sz w:val="12"/>
                <w:szCs w:val="12"/>
                <w:lang w:val="fr-BE"/>
              </w:rPr>
              <w:t>EUR</w:t>
            </w:r>
          </w:p>
        </w:tc>
        <w:tc>
          <w:tcPr>
            <w:tcW w:w="0" w:type="auto"/>
            <w:shd w:val="clear" w:color="auto" w:fill="auto"/>
          </w:tcPr>
          <w:p w14:paraId="561CD8DA" w14:textId="77777777" w:rsidR="008C5CFA" w:rsidRPr="00D4605F" w:rsidRDefault="00E82A60" w:rsidP="00300A01">
            <w:pPr>
              <w:spacing w:before="0" w:after="0"/>
              <w:rPr>
                <w:sz w:val="12"/>
                <w:szCs w:val="12"/>
                <w:lang w:val="fr-BE"/>
              </w:rPr>
            </w:pPr>
            <w:r w:rsidRPr="00D4605F">
              <w:rPr>
                <w:noProof/>
                <w:sz w:val="12"/>
                <w:szCs w:val="12"/>
                <w:lang w:val="fr-BE"/>
              </w:rPr>
              <w:t>EFRR</w:t>
            </w:r>
          </w:p>
        </w:tc>
        <w:tc>
          <w:tcPr>
            <w:tcW w:w="0" w:type="auto"/>
          </w:tcPr>
          <w:p w14:paraId="2BB8002F" w14:textId="77777777" w:rsidR="008C5CFA" w:rsidRPr="00D4605F" w:rsidRDefault="00E82A60" w:rsidP="00300A01">
            <w:pPr>
              <w:spacing w:before="0" w:after="0"/>
              <w:rPr>
                <w:sz w:val="12"/>
                <w:szCs w:val="12"/>
                <w:lang w:val="fr-BE"/>
              </w:rPr>
            </w:pPr>
            <w:r w:rsidRPr="00D4605F">
              <w:rPr>
                <w:noProof/>
                <w:sz w:val="12"/>
                <w:szCs w:val="12"/>
                <w:lang w:val="fr-BE"/>
              </w:rPr>
              <w:t>Słabiej rozwinięte</w:t>
            </w:r>
          </w:p>
        </w:tc>
        <w:tc>
          <w:tcPr>
            <w:tcW w:w="0" w:type="auto"/>
          </w:tcPr>
          <w:p w14:paraId="4CEBCE82" w14:textId="77777777" w:rsidR="008C5CFA" w:rsidRPr="00D4605F" w:rsidRDefault="00E82A60" w:rsidP="00300A01">
            <w:pPr>
              <w:spacing w:before="0" w:after="0"/>
              <w:rPr>
                <w:sz w:val="12"/>
                <w:szCs w:val="12"/>
                <w:lang w:val="fr-BE"/>
              </w:rPr>
            </w:pPr>
            <w:r w:rsidRPr="00D4605F">
              <w:rPr>
                <w:noProof/>
                <w:sz w:val="12"/>
                <w:szCs w:val="12"/>
                <w:lang w:val="fr-BE"/>
              </w:rPr>
              <w:t>32  294 118,00</w:t>
            </w:r>
          </w:p>
        </w:tc>
        <w:tc>
          <w:tcPr>
            <w:tcW w:w="0" w:type="auto"/>
          </w:tcPr>
          <w:p w14:paraId="0D5E3D5A" w14:textId="77777777" w:rsidR="008C5CFA" w:rsidRPr="00D4605F" w:rsidRDefault="008C5CFA" w:rsidP="00300A01">
            <w:pPr>
              <w:spacing w:before="0" w:after="0"/>
              <w:rPr>
                <w:sz w:val="12"/>
                <w:szCs w:val="12"/>
                <w:lang w:val="fr-BE"/>
              </w:rPr>
            </w:pPr>
          </w:p>
        </w:tc>
        <w:tc>
          <w:tcPr>
            <w:tcW w:w="0" w:type="auto"/>
          </w:tcPr>
          <w:p w14:paraId="73645D4A" w14:textId="77777777" w:rsidR="008C5CFA" w:rsidRPr="00D4605F" w:rsidRDefault="008C5CFA" w:rsidP="00300A01">
            <w:pPr>
              <w:spacing w:before="0" w:after="0"/>
              <w:rPr>
                <w:sz w:val="12"/>
                <w:szCs w:val="12"/>
                <w:lang w:val="fr-BE"/>
              </w:rPr>
            </w:pPr>
          </w:p>
        </w:tc>
        <w:tc>
          <w:tcPr>
            <w:tcW w:w="0" w:type="auto"/>
          </w:tcPr>
          <w:p w14:paraId="6C5BD78A" w14:textId="77777777" w:rsidR="008C5CFA" w:rsidRPr="00B05D34" w:rsidRDefault="00E82A60" w:rsidP="00136029">
            <w:pPr>
              <w:spacing w:before="0" w:after="0"/>
              <w:jc w:val="right"/>
              <w:rPr>
                <w:sz w:val="12"/>
                <w:szCs w:val="12"/>
                <w:lang w:val="fr-BE"/>
              </w:rPr>
            </w:pPr>
            <w:r w:rsidRPr="00B05D34">
              <w:rPr>
                <w:noProof/>
                <w:sz w:val="12"/>
                <w:szCs w:val="12"/>
                <w:lang w:val="fr-BE"/>
              </w:rPr>
              <w:t>152 374 003,00</w:t>
            </w:r>
          </w:p>
        </w:tc>
        <w:tc>
          <w:tcPr>
            <w:tcW w:w="0" w:type="auto"/>
          </w:tcPr>
          <w:p w14:paraId="1A68CC7C" w14:textId="77777777" w:rsidR="008C5CFA" w:rsidRPr="00B05D34" w:rsidRDefault="008C5CFA" w:rsidP="00300A01">
            <w:pPr>
              <w:spacing w:before="0" w:after="0"/>
              <w:jc w:val="right"/>
              <w:rPr>
                <w:sz w:val="12"/>
                <w:szCs w:val="12"/>
                <w:lang w:val="fr-BE"/>
              </w:rPr>
            </w:pPr>
          </w:p>
        </w:tc>
        <w:tc>
          <w:tcPr>
            <w:tcW w:w="0" w:type="auto"/>
          </w:tcPr>
          <w:p w14:paraId="4179748F" w14:textId="77777777" w:rsidR="008C5CFA" w:rsidRPr="00B05D34" w:rsidRDefault="008C5CFA" w:rsidP="00300A01">
            <w:pPr>
              <w:spacing w:before="0" w:after="0"/>
              <w:jc w:val="right"/>
              <w:rPr>
                <w:sz w:val="12"/>
                <w:szCs w:val="12"/>
                <w:lang w:val="fr-BE"/>
              </w:rPr>
            </w:pPr>
          </w:p>
        </w:tc>
      </w:tr>
      <w:tr w:rsidR="006B2EC1" w14:paraId="7DCB2F79" w14:textId="77777777" w:rsidTr="0047688D">
        <w:tc>
          <w:tcPr>
            <w:tcW w:w="0" w:type="auto"/>
            <w:shd w:val="clear" w:color="auto" w:fill="auto"/>
          </w:tcPr>
          <w:p w14:paraId="2A31ECB0" w14:textId="77777777" w:rsidR="008C5CFA" w:rsidRPr="00D4605F" w:rsidRDefault="00E82A60" w:rsidP="00300A01">
            <w:pPr>
              <w:spacing w:before="0" w:after="0"/>
              <w:rPr>
                <w:sz w:val="12"/>
                <w:szCs w:val="12"/>
                <w:lang w:val="fr-BE"/>
              </w:rPr>
            </w:pPr>
            <w:r w:rsidRPr="00D4605F">
              <w:rPr>
                <w:noProof/>
                <w:sz w:val="12"/>
                <w:szCs w:val="12"/>
                <w:lang w:val="fr-BE"/>
              </w:rPr>
              <w:t>5</w:t>
            </w:r>
          </w:p>
        </w:tc>
        <w:tc>
          <w:tcPr>
            <w:tcW w:w="0" w:type="auto"/>
            <w:shd w:val="clear" w:color="auto" w:fill="auto"/>
          </w:tcPr>
          <w:p w14:paraId="5851EDAF" w14:textId="77777777" w:rsidR="008C5CFA" w:rsidRPr="00D4605F" w:rsidRDefault="00E82A60" w:rsidP="00300A01">
            <w:pPr>
              <w:spacing w:before="0" w:after="0"/>
              <w:rPr>
                <w:sz w:val="12"/>
                <w:szCs w:val="12"/>
                <w:lang w:val="fr-BE"/>
              </w:rPr>
            </w:pPr>
            <w:r w:rsidRPr="00D4605F">
              <w:rPr>
                <w:noProof/>
                <w:sz w:val="12"/>
                <w:szCs w:val="12"/>
                <w:lang w:val="fr-BE"/>
              </w:rPr>
              <w:t>O</w:t>
            </w:r>
          </w:p>
        </w:tc>
        <w:tc>
          <w:tcPr>
            <w:tcW w:w="0" w:type="auto"/>
            <w:shd w:val="clear" w:color="auto" w:fill="auto"/>
          </w:tcPr>
          <w:p w14:paraId="5A1832EE" w14:textId="77777777" w:rsidR="008C5CFA" w:rsidRPr="00D4605F" w:rsidRDefault="00E82A60" w:rsidP="00300A01">
            <w:pPr>
              <w:spacing w:before="0" w:after="0"/>
              <w:rPr>
                <w:sz w:val="12"/>
                <w:szCs w:val="12"/>
                <w:lang w:val="fr-BE"/>
              </w:rPr>
            </w:pPr>
            <w:r w:rsidRPr="00D4605F">
              <w:rPr>
                <w:noProof/>
                <w:sz w:val="12"/>
                <w:szCs w:val="12"/>
                <w:lang w:val="fr-BE"/>
              </w:rPr>
              <w:t>148</w:t>
            </w:r>
          </w:p>
        </w:tc>
        <w:tc>
          <w:tcPr>
            <w:tcW w:w="0" w:type="auto"/>
            <w:shd w:val="clear" w:color="auto" w:fill="auto"/>
          </w:tcPr>
          <w:p w14:paraId="6D66C4ED" w14:textId="77777777" w:rsidR="008C5CFA" w:rsidRPr="00D4605F" w:rsidRDefault="00E82A60" w:rsidP="00300A01">
            <w:pPr>
              <w:spacing w:before="0" w:after="0"/>
              <w:rPr>
                <w:sz w:val="12"/>
                <w:szCs w:val="12"/>
                <w:lang w:val="fr-BE"/>
              </w:rPr>
            </w:pPr>
            <w:r w:rsidRPr="00D4605F">
              <w:rPr>
                <w:noProof/>
                <w:sz w:val="12"/>
                <w:szCs w:val="12"/>
                <w:lang w:val="fr-BE"/>
              </w:rPr>
              <w:t>Całkowita długość nowych, przebudowanych lub zmodernizowanych dróg</w:t>
            </w:r>
          </w:p>
        </w:tc>
        <w:tc>
          <w:tcPr>
            <w:tcW w:w="0" w:type="auto"/>
            <w:shd w:val="clear" w:color="auto" w:fill="auto"/>
          </w:tcPr>
          <w:p w14:paraId="1A9DAA97" w14:textId="77777777" w:rsidR="008C5CFA" w:rsidRPr="00D4605F" w:rsidRDefault="00E82A60" w:rsidP="00300A01">
            <w:pPr>
              <w:spacing w:before="0" w:after="0"/>
              <w:rPr>
                <w:sz w:val="12"/>
                <w:szCs w:val="12"/>
                <w:lang w:val="fr-BE"/>
              </w:rPr>
            </w:pPr>
            <w:r w:rsidRPr="00D4605F">
              <w:rPr>
                <w:noProof/>
                <w:sz w:val="12"/>
                <w:szCs w:val="12"/>
                <w:lang w:val="fr-BE"/>
              </w:rPr>
              <w:t>km</w:t>
            </w:r>
          </w:p>
        </w:tc>
        <w:tc>
          <w:tcPr>
            <w:tcW w:w="0" w:type="auto"/>
            <w:shd w:val="clear" w:color="auto" w:fill="auto"/>
          </w:tcPr>
          <w:p w14:paraId="2DA62B50" w14:textId="77777777" w:rsidR="008C5CFA" w:rsidRPr="00D4605F" w:rsidRDefault="00E82A60" w:rsidP="00300A01">
            <w:pPr>
              <w:spacing w:before="0" w:after="0"/>
              <w:rPr>
                <w:sz w:val="12"/>
                <w:szCs w:val="12"/>
                <w:lang w:val="fr-BE"/>
              </w:rPr>
            </w:pPr>
            <w:r w:rsidRPr="00D4605F">
              <w:rPr>
                <w:noProof/>
                <w:sz w:val="12"/>
                <w:szCs w:val="12"/>
                <w:lang w:val="fr-BE"/>
              </w:rPr>
              <w:t>EFRR</w:t>
            </w:r>
          </w:p>
        </w:tc>
        <w:tc>
          <w:tcPr>
            <w:tcW w:w="0" w:type="auto"/>
          </w:tcPr>
          <w:p w14:paraId="5AD86857" w14:textId="77777777" w:rsidR="008C5CFA" w:rsidRPr="00D4605F" w:rsidRDefault="00E82A60" w:rsidP="00300A01">
            <w:pPr>
              <w:spacing w:before="0" w:after="0"/>
              <w:rPr>
                <w:sz w:val="12"/>
                <w:szCs w:val="12"/>
                <w:lang w:val="fr-BE"/>
              </w:rPr>
            </w:pPr>
            <w:r w:rsidRPr="00D4605F">
              <w:rPr>
                <w:noProof/>
                <w:sz w:val="12"/>
                <w:szCs w:val="12"/>
                <w:lang w:val="fr-BE"/>
              </w:rPr>
              <w:t>Słabiej rozwinięte</w:t>
            </w:r>
          </w:p>
        </w:tc>
        <w:tc>
          <w:tcPr>
            <w:tcW w:w="0" w:type="auto"/>
          </w:tcPr>
          <w:p w14:paraId="3B27A800" w14:textId="77777777" w:rsidR="008C5CFA" w:rsidRPr="00D4605F" w:rsidRDefault="00E82A60" w:rsidP="00300A01">
            <w:pPr>
              <w:spacing w:before="0" w:after="0"/>
              <w:rPr>
                <w:sz w:val="12"/>
                <w:szCs w:val="12"/>
                <w:lang w:val="fr-BE"/>
              </w:rPr>
            </w:pPr>
            <w:r w:rsidRPr="00D4605F">
              <w:rPr>
                <w:noProof/>
                <w:sz w:val="12"/>
                <w:szCs w:val="12"/>
                <w:lang w:val="fr-BE"/>
              </w:rPr>
              <w:t>21,00</w:t>
            </w:r>
          </w:p>
        </w:tc>
        <w:tc>
          <w:tcPr>
            <w:tcW w:w="0" w:type="auto"/>
          </w:tcPr>
          <w:p w14:paraId="7B64CC08" w14:textId="77777777" w:rsidR="008C5CFA" w:rsidRPr="00D4605F" w:rsidRDefault="008C5CFA" w:rsidP="00300A01">
            <w:pPr>
              <w:spacing w:before="0" w:after="0"/>
              <w:rPr>
                <w:sz w:val="12"/>
                <w:szCs w:val="12"/>
                <w:lang w:val="fr-BE"/>
              </w:rPr>
            </w:pPr>
          </w:p>
        </w:tc>
        <w:tc>
          <w:tcPr>
            <w:tcW w:w="0" w:type="auto"/>
          </w:tcPr>
          <w:p w14:paraId="64F44C69" w14:textId="77777777" w:rsidR="008C5CFA" w:rsidRPr="00D4605F" w:rsidRDefault="008C5CFA" w:rsidP="00300A01">
            <w:pPr>
              <w:spacing w:before="0" w:after="0"/>
              <w:rPr>
                <w:sz w:val="12"/>
                <w:szCs w:val="12"/>
                <w:lang w:val="fr-BE"/>
              </w:rPr>
            </w:pPr>
          </w:p>
        </w:tc>
        <w:tc>
          <w:tcPr>
            <w:tcW w:w="0" w:type="auto"/>
          </w:tcPr>
          <w:p w14:paraId="0B243B94" w14:textId="77777777" w:rsidR="008C5CFA" w:rsidRPr="00B05D34" w:rsidRDefault="00E82A60" w:rsidP="00136029">
            <w:pPr>
              <w:spacing w:before="0" w:after="0"/>
              <w:jc w:val="right"/>
              <w:rPr>
                <w:sz w:val="12"/>
                <w:szCs w:val="12"/>
                <w:lang w:val="fr-BE"/>
              </w:rPr>
            </w:pPr>
            <w:r w:rsidRPr="00B05D34">
              <w:rPr>
                <w:noProof/>
                <w:sz w:val="12"/>
                <w:szCs w:val="12"/>
                <w:lang w:val="fr-BE"/>
              </w:rPr>
              <w:t>100,00</w:t>
            </w:r>
          </w:p>
        </w:tc>
        <w:tc>
          <w:tcPr>
            <w:tcW w:w="0" w:type="auto"/>
          </w:tcPr>
          <w:p w14:paraId="080E51AB" w14:textId="77777777" w:rsidR="008C5CFA" w:rsidRPr="00B05D34" w:rsidRDefault="008C5CFA" w:rsidP="00300A01">
            <w:pPr>
              <w:spacing w:before="0" w:after="0"/>
              <w:jc w:val="right"/>
              <w:rPr>
                <w:sz w:val="12"/>
                <w:szCs w:val="12"/>
                <w:lang w:val="fr-BE"/>
              </w:rPr>
            </w:pPr>
          </w:p>
        </w:tc>
        <w:tc>
          <w:tcPr>
            <w:tcW w:w="0" w:type="auto"/>
          </w:tcPr>
          <w:p w14:paraId="285FC9BD" w14:textId="77777777" w:rsidR="008C5CFA" w:rsidRPr="00B05D34" w:rsidRDefault="008C5CFA" w:rsidP="00300A01">
            <w:pPr>
              <w:spacing w:before="0" w:after="0"/>
              <w:jc w:val="right"/>
              <w:rPr>
                <w:sz w:val="12"/>
                <w:szCs w:val="12"/>
                <w:lang w:val="fr-BE"/>
              </w:rPr>
            </w:pPr>
          </w:p>
        </w:tc>
      </w:tr>
      <w:tr w:rsidR="006B2EC1" w14:paraId="62B81937" w14:textId="77777777" w:rsidTr="0047688D">
        <w:tc>
          <w:tcPr>
            <w:tcW w:w="0" w:type="auto"/>
            <w:shd w:val="clear" w:color="auto" w:fill="auto"/>
          </w:tcPr>
          <w:p w14:paraId="76E930A9" w14:textId="77777777" w:rsidR="008C5CFA" w:rsidRPr="00D4605F" w:rsidRDefault="00E82A60" w:rsidP="00300A01">
            <w:pPr>
              <w:spacing w:before="0" w:after="0"/>
              <w:rPr>
                <w:sz w:val="12"/>
                <w:szCs w:val="12"/>
                <w:lang w:val="fr-BE"/>
              </w:rPr>
            </w:pPr>
            <w:r w:rsidRPr="00D4605F">
              <w:rPr>
                <w:noProof/>
                <w:sz w:val="12"/>
                <w:szCs w:val="12"/>
                <w:lang w:val="fr-BE"/>
              </w:rPr>
              <w:t>6</w:t>
            </w:r>
          </w:p>
        </w:tc>
        <w:tc>
          <w:tcPr>
            <w:tcW w:w="0" w:type="auto"/>
            <w:shd w:val="clear" w:color="auto" w:fill="auto"/>
          </w:tcPr>
          <w:p w14:paraId="6AFCBF66" w14:textId="77777777" w:rsidR="008C5CFA" w:rsidRPr="00D4605F" w:rsidRDefault="00E82A60" w:rsidP="00300A01">
            <w:pPr>
              <w:spacing w:before="0" w:after="0"/>
              <w:rPr>
                <w:sz w:val="12"/>
                <w:szCs w:val="12"/>
                <w:lang w:val="fr-BE"/>
              </w:rPr>
            </w:pPr>
            <w:r w:rsidRPr="00D4605F">
              <w:rPr>
                <w:noProof/>
                <w:sz w:val="12"/>
                <w:szCs w:val="12"/>
                <w:lang w:val="fr-BE"/>
              </w:rPr>
              <w:t>F</w:t>
            </w:r>
          </w:p>
        </w:tc>
        <w:tc>
          <w:tcPr>
            <w:tcW w:w="0" w:type="auto"/>
            <w:shd w:val="clear" w:color="auto" w:fill="auto"/>
          </w:tcPr>
          <w:p w14:paraId="7D479D91" w14:textId="77777777" w:rsidR="008C5CFA" w:rsidRPr="00D4605F" w:rsidRDefault="00E82A60" w:rsidP="00300A01">
            <w:pPr>
              <w:spacing w:before="0" w:after="0"/>
              <w:rPr>
                <w:sz w:val="12"/>
                <w:szCs w:val="12"/>
                <w:lang w:val="fr-BE"/>
              </w:rPr>
            </w:pPr>
            <w:r w:rsidRPr="00D4605F">
              <w:rPr>
                <w:noProof/>
                <w:sz w:val="12"/>
                <w:szCs w:val="12"/>
                <w:lang w:val="fr-BE"/>
              </w:rPr>
              <w:t>001</w:t>
            </w:r>
          </w:p>
        </w:tc>
        <w:tc>
          <w:tcPr>
            <w:tcW w:w="0" w:type="auto"/>
            <w:shd w:val="clear" w:color="auto" w:fill="auto"/>
          </w:tcPr>
          <w:p w14:paraId="3F74CB12" w14:textId="77777777" w:rsidR="008C5CFA" w:rsidRPr="00D4605F" w:rsidRDefault="00E82A60" w:rsidP="00300A01">
            <w:pPr>
              <w:spacing w:before="0" w:after="0"/>
              <w:rPr>
                <w:sz w:val="12"/>
                <w:szCs w:val="12"/>
                <w:lang w:val="fr-BE"/>
              </w:rPr>
            </w:pPr>
            <w:r w:rsidRPr="00D4605F">
              <w:rPr>
                <w:noProof/>
                <w:sz w:val="12"/>
                <w:szCs w:val="12"/>
                <w:lang w:val="fr-BE"/>
              </w:rPr>
              <w:t>Całkowita kwota certyfikowanych wydatków kwalifikowalnych</w:t>
            </w:r>
          </w:p>
        </w:tc>
        <w:tc>
          <w:tcPr>
            <w:tcW w:w="0" w:type="auto"/>
            <w:shd w:val="clear" w:color="auto" w:fill="auto"/>
          </w:tcPr>
          <w:p w14:paraId="7E9F5411" w14:textId="77777777" w:rsidR="008C5CFA" w:rsidRPr="00D4605F" w:rsidRDefault="00E82A60" w:rsidP="00300A01">
            <w:pPr>
              <w:spacing w:before="0" w:after="0"/>
              <w:rPr>
                <w:sz w:val="12"/>
                <w:szCs w:val="12"/>
                <w:lang w:val="fr-BE"/>
              </w:rPr>
            </w:pPr>
            <w:r w:rsidRPr="00D4605F">
              <w:rPr>
                <w:noProof/>
                <w:sz w:val="12"/>
                <w:szCs w:val="12"/>
                <w:lang w:val="fr-BE"/>
              </w:rPr>
              <w:t>EUR</w:t>
            </w:r>
          </w:p>
        </w:tc>
        <w:tc>
          <w:tcPr>
            <w:tcW w:w="0" w:type="auto"/>
            <w:shd w:val="clear" w:color="auto" w:fill="auto"/>
          </w:tcPr>
          <w:p w14:paraId="41690AE9" w14:textId="77777777" w:rsidR="008C5CFA" w:rsidRPr="00D4605F" w:rsidRDefault="00E82A60" w:rsidP="00300A01">
            <w:pPr>
              <w:spacing w:before="0" w:after="0"/>
              <w:rPr>
                <w:sz w:val="12"/>
                <w:szCs w:val="12"/>
                <w:lang w:val="fr-BE"/>
              </w:rPr>
            </w:pPr>
            <w:r w:rsidRPr="00D4605F">
              <w:rPr>
                <w:noProof/>
                <w:sz w:val="12"/>
                <w:szCs w:val="12"/>
                <w:lang w:val="fr-BE"/>
              </w:rPr>
              <w:t>EFRR</w:t>
            </w:r>
          </w:p>
        </w:tc>
        <w:tc>
          <w:tcPr>
            <w:tcW w:w="0" w:type="auto"/>
          </w:tcPr>
          <w:p w14:paraId="75D4547F" w14:textId="77777777" w:rsidR="008C5CFA" w:rsidRPr="00D4605F" w:rsidRDefault="00E82A60" w:rsidP="00300A01">
            <w:pPr>
              <w:spacing w:before="0" w:after="0"/>
              <w:rPr>
                <w:sz w:val="12"/>
                <w:szCs w:val="12"/>
                <w:lang w:val="fr-BE"/>
              </w:rPr>
            </w:pPr>
            <w:r w:rsidRPr="00D4605F">
              <w:rPr>
                <w:noProof/>
                <w:sz w:val="12"/>
                <w:szCs w:val="12"/>
                <w:lang w:val="fr-BE"/>
              </w:rPr>
              <w:t>Słabiej rozwinięte</w:t>
            </w:r>
          </w:p>
        </w:tc>
        <w:tc>
          <w:tcPr>
            <w:tcW w:w="0" w:type="auto"/>
          </w:tcPr>
          <w:p w14:paraId="6DBA93C1" w14:textId="77777777" w:rsidR="008C5CFA" w:rsidRPr="00D4605F" w:rsidRDefault="00E82A60" w:rsidP="00300A01">
            <w:pPr>
              <w:spacing w:before="0" w:after="0"/>
              <w:rPr>
                <w:sz w:val="12"/>
                <w:szCs w:val="12"/>
                <w:lang w:val="fr-BE"/>
              </w:rPr>
            </w:pPr>
            <w:r w:rsidRPr="00D4605F">
              <w:rPr>
                <w:noProof/>
                <w:sz w:val="12"/>
                <w:szCs w:val="12"/>
                <w:lang w:val="fr-BE"/>
              </w:rPr>
              <w:t>16 470 588,00</w:t>
            </w:r>
          </w:p>
        </w:tc>
        <w:tc>
          <w:tcPr>
            <w:tcW w:w="0" w:type="auto"/>
          </w:tcPr>
          <w:p w14:paraId="29C34AA0" w14:textId="77777777" w:rsidR="008C5CFA" w:rsidRPr="00D4605F" w:rsidRDefault="008C5CFA" w:rsidP="00300A01">
            <w:pPr>
              <w:spacing w:before="0" w:after="0"/>
              <w:rPr>
                <w:sz w:val="12"/>
                <w:szCs w:val="12"/>
                <w:lang w:val="fr-BE"/>
              </w:rPr>
            </w:pPr>
          </w:p>
        </w:tc>
        <w:tc>
          <w:tcPr>
            <w:tcW w:w="0" w:type="auto"/>
          </w:tcPr>
          <w:p w14:paraId="4412AB2D" w14:textId="77777777" w:rsidR="008C5CFA" w:rsidRPr="00D4605F" w:rsidRDefault="008C5CFA" w:rsidP="00300A01">
            <w:pPr>
              <w:spacing w:before="0" w:after="0"/>
              <w:rPr>
                <w:sz w:val="12"/>
                <w:szCs w:val="12"/>
                <w:lang w:val="fr-BE"/>
              </w:rPr>
            </w:pPr>
          </w:p>
        </w:tc>
        <w:tc>
          <w:tcPr>
            <w:tcW w:w="0" w:type="auto"/>
          </w:tcPr>
          <w:p w14:paraId="1B3DA907" w14:textId="77777777" w:rsidR="008C5CFA" w:rsidRPr="00B05D34" w:rsidRDefault="00E82A60" w:rsidP="00136029">
            <w:pPr>
              <w:spacing w:before="0" w:after="0"/>
              <w:jc w:val="right"/>
              <w:rPr>
                <w:sz w:val="12"/>
                <w:szCs w:val="12"/>
                <w:lang w:val="fr-BE"/>
              </w:rPr>
            </w:pPr>
            <w:r w:rsidRPr="00B05D34">
              <w:rPr>
                <w:noProof/>
                <w:sz w:val="12"/>
                <w:szCs w:val="12"/>
                <w:lang w:val="fr-BE"/>
              </w:rPr>
              <w:t>139 570 830,00</w:t>
            </w:r>
          </w:p>
        </w:tc>
        <w:tc>
          <w:tcPr>
            <w:tcW w:w="0" w:type="auto"/>
          </w:tcPr>
          <w:p w14:paraId="278A368E" w14:textId="77777777" w:rsidR="008C5CFA" w:rsidRPr="00B05D34" w:rsidRDefault="008C5CFA" w:rsidP="00300A01">
            <w:pPr>
              <w:spacing w:before="0" w:after="0"/>
              <w:jc w:val="right"/>
              <w:rPr>
                <w:sz w:val="12"/>
                <w:szCs w:val="12"/>
                <w:lang w:val="fr-BE"/>
              </w:rPr>
            </w:pPr>
          </w:p>
        </w:tc>
        <w:tc>
          <w:tcPr>
            <w:tcW w:w="0" w:type="auto"/>
          </w:tcPr>
          <w:p w14:paraId="7C5BA439" w14:textId="77777777" w:rsidR="008C5CFA" w:rsidRPr="00B05D34" w:rsidRDefault="008C5CFA" w:rsidP="00300A01">
            <w:pPr>
              <w:spacing w:before="0" w:after="0"/>
              <w:jc w:val="right"/>
              <w:rPr>
                <w:sz w:val="12"/>
                <w:szCs w:val="12"/>
                <w:lang w:val="fr-BE"/>
              </w:rPr>
            </w:pPr>
          </w:p>
        </w:tc>
      </w:tr>
      <w:tr w:rsidR="006B2EC1" w14:paraId="03AFA1A2" w14:textId="77777777" w:rsidTr="0047688D">
        <w:tc>
          <w:tcPr>
            <w:tcW w:w="0" w:type="auto"/>
            <w:shd w:val="clear" w:color="auto" w:fill="auto"/>
          </w:tcPr>
          <w:p w14:paraId="4BAC2C38" w14:textId="77777777" w:rsidR="008C5CFA" w:rsidRPr="00D4605F" w:rsidRDefault="00E82A60" w:rsidP="00300A01">
            <w:pPr>
              <w:spacing w:before="0" w:after="0"/>
              <w:rPr>
                <w:sz w:val="12"/>
                <w:szCs w:val="12"/>
                <w:lang w:val="fr-BE"/>
              </w:rPr>
            </w:pPr>
            <w:r w:rsidRPr="00D4605F">
              <w:rPr>
                <w:noProof/>
                <w:sz w:val="12"/>
                <w:szCs w:val="12"/>
                <w:lang w:val="fr-BE"/>
              </w:rPr>
              <w:t>6</w:t>
            </w:r>
          </w:p>
        </w:tc>
        <w:tc>
          <w:tcPr>
            <w:tcW w:w="0" w:type="auto"/>
            <w:shd w:val="clear" w:color="auto" w:fill="auto"/>
          </w:tcPr>
          <w:p w14:paraId="272946FF" w14:textId="77777777" w:rsidR="008C5CFA" w:rsidRPr="00D4605F" w:rsidRDefault="00E82A60" w:rsidP="00300A01">
            <w:pPr>
              <w:spacing w:before="0" w:after="0"/>
              <w:rPr>
                <w:sz w:val="12"/>
                <w:szCs w:val="12"/>
                <w:lang w:val="fr-BE"/>
              </w:rPr>
            </w:pPr>
            <w:r w:rsidRPr="00D4605F">
              <w:rPr>
                <w:noProof/>
                <w:sz w:val="12"/>
                <w:szCs w:val="12"/>
                <w:lang w:val="fr-BE"/>
              </w:rPr>
              <w:t>I</w:t>
            </w:r>
          </w:p>
        </w:tc>
        <w:tc>
          <w:tcPr>
            <w:tcW w:w="0" w:type="auto"/>
            <w:shd w:val="clear" w:color="auto" w:fill="auto"/>
          </w:tcPr>
          <w:p w14:paraId="759578A1" w14:textId="77777777" w:rsidR="008C5CFA" w:rsidRPr="00D4605F" w:rsidRDefault="00E82A60" w:rsidP="00300A01">
            <w:pPr>
              <w:spacing w:before="0" w:after="0"/>
              <w:rPr>
                <w:sz w:val="12"/>
                <w:szCs w:val="12"/>
                <w:lang w:val="fr-BE"/>
              </w:rPr>
            </w:pPr>
            <w:r w:rsidRPr="00D4605F">
              <w:rPr>
                <w:noProof/>
                <w:sz w:val="12"/>
                <w:szCs w:val="12"/>
                <w:lang w:val="fr-BE"/>
              </w:rPr>
              <w:t>003</w:t>
            </w:r>
          </w:p>
        </w:tc>
        <w:tc>
          <w:tcPr>
            <w:tcW w:w="0" w:type="auto"/>
            <w:shd w:val="clear" w:color="auto" w:fill="auto"/>
          </w:tcPr>
          <w:p w14:paraId="0241AA15" w14:textId="77777777" w:rsidR="008C5CFA" w:rsidRPr="00D4605F" w:rsidRDefault="00E82A60" w:rsidP="00300A01">
            <w:pPr>
              <w:spacing w:before="0" w:after="0"/>
              <w:rPr>
                <w:sz w:val="12"/>
                <w:szCs w:val="12"/>
                <w:lang w:val="fr-BE"/>
              </w:rPr>
            </w:pPr>
            <w:r w:rsidRPr="00D4605F">
              <w:rPr>
                <w:noProof/>
                <w:sz w:val="12"/>
                <w:szCs w:val="12"/>
                <w:lang w:val="fr-BE"/>
              </w:rPr>
              <w:t>Powierzchnia obszarów objętych rewitalizacją w podpisanych umowach</w:t>
            </w:r>
          </w:p>
        </w:tc>
        <w:tc>
          <w:tcPr>
            <w:tcW w:w="0" w:type="auto"/>
            <w:shd w:val="clear" w:color="auto" w:fill="auto"/>
          </w:tcPr>
          <w:p w14:paraId="2C26A931" w14:textId="77777777" w:rsidR="008C5CFA" w:rsidRPr="00D4605F" w:rsidRDefault="00E82A60" w:rsidP="00300A01">
            <w:pPr>
              <w:spacing w:before="0" w:after="0"/>
              <w:rPr>
                <w:sz w:val="12"/>
                <w:szCs w:val="12"/>
                <w:lang w:val="fr-BE"/>
              </w:rPr>
            </w:pPr>
            <w:r w:rsidRPr="00D4605F">
              <w:rPr>
                <w:noProof/>
                <w:sz w:val="12"/>
                <w:szCs w:val="12"/>
                <w:lang w:val="fr-BE"/>
              </w:rPr>
              <w:t>ha</w:t>
            </w:r>
          </w:p>
        </w:tc>
        <w:tc>
          <w:tcPr>
            <w:tcW w:w="0" w:type="auto"/>
            <w:shd w:val="clear" w:color="auto" w:fill="auto"/>
          </w:tcPr>
          <w:p w14:paraId="6235942B" w14:textId="77777777" w:rsidR="008C5CFA" w:rsidRPr="00D4605F" w:rsidRDefault="00E82A60" w:rsidP="00300A01">
            <w:pPr>
              <w:spacing w:before="0" w:after="0"/>
              <w:rPr>
                <w:sz w:val="12"/>
                <w:szCs w:val="12"/>
                <w:lang w:val="fr-BE"/>
              </w:rPr>
            </w:pPr>
            <w:r w:rsidRPr="00D4605F">
              <w:rPr>
                <w:noProof/>
                <w:sz w:val="12"/>
                <w:szCs w:val="12"/>
                <w:lang w:val="fr-BE"/>
              </w:rPr>
              <w:t>EFRR</w:t>
            </w:r>
          </w:p>
        </w:tc>
        <w:tc>
          <w:tcPr>
            <w:tcW w:w="0" w:type="auto"/>
          </w:tcPr>
          <w:p w14:paraId="3C821E85" w14:textId="77777777" w:rsidR="008C5CFA" w:rsidRPr="00D4605F" w:rsidRDefault="00E82A60" w:rsidP="00300A01">
            <w:pPr>
              <w:spacing w:before="0" w:after="0"/>
              <w:rPr>
                <w:sz w:val="12"/>
                <w:szCs w:val="12"/>
                <w:lang w:val="fr-BE"/>
              </w:rPr>
            </w:pPr>
            <w:r w:rsidRPr="00D4605F">
              <w:rPr>
                <w:noProof/>
                <w:sz w:val="12"/>
                <w:szCs w:val="12"/>
                <w:lang w:val="fr-BE"/>
              </w:rPr>
              <w:t>Słabiej rozwinięte</w:t>
            </w:r>
          </w:p>
        </w:tc>
        <w:tc>
          <w:tcPr>
            <w:tcW w:w="0" w:type="auto"/>
          </w:tcPr>
          <w:p w14:paraId="66D9B98B" w14:textId="77777777" w:rsidR="008C5CFA" w:rsidRPr="00D4605F" w:rsidRDefault="00E82A60" w:rsidP="00300A01">
            <w:pPr>
              <w:spacing w:before="0" w:after="0"/>
              <w:rPr>
                <w:sz w:val="12"/>
                <w:szCs w:val="12"/>
                <w:lang w:val="fr-BE"/>
              </w:rPr>
            </w:pPr>
            <w:r w:rsidRPr="00D4605F">
              <w:rPr>
                <w:noProof/>
                <w:sz w:val="12"/>
                <w:szCs w:val="12"/>
                <w:lang w:val="fr-BE"/>
              </w:rPr>
              <w:t>70</w:t>
            </w:r>
          </w:p>
        </w:tc>
        <w:tc>
          <w:tcPr>
            <w:tcW w:w="0" w:type="auto"/>
          </w:tcPr>
          <w:p w14:paraId="49AFF28C" w14:textId="77777777" w:rsidR="008C5CFA" w:rsidRPr="00D4605F" w:rsidRDefault="008C5CFA" w:rsidP="00300A01">
            <w:pPr>
              <w:spacing w:before="0" w:after="0"/>
              <w:rPr>
                <w:sz w:val="12"/>
                <w:szCs w:val="12"/>
                <w:lang w:val="fr-BE"/>
              </w:rPr>
            </w:pPr>
          </w:p>
        </w:tc>
        <w:tc>
          <w:tcPr>
            <w:tcW w:w="0" w:type="auto"/>
          </w:tcPr>
          <w:p w14:paraId="7DF8B1A8" w14:textId="77777777" w:rsidR="008C5CFA" w:rsidRPr="00D4605F" w:rsidRDefault="008C5CFA" w:rsidP="00300A01">
            <w:pPr>
              <w:spacing w:before="0" w:after="0"/>
              <w:rPr>
                <w:sz w:val="12"/>
                <w:szCs w:val="12"/>
                <w:lang w:val="fr-BE"/>
              </w:rPr>
            </w:pPr>
          </w:p>
        </w:tc>
        <w:tc>
          <w:tcPr>
            <w:tcW w:w="0" w:type="auto"/>
          </w:tcPr>
          <w:p w14:paraId="48C48134" w14:textId="77777777" w:rsidR="008C5CFA" w:rsidRPr="00B05D34" w:rsidRDefault="00E82A60" w:rsidP="00136029">
            <w:pPr>
              <w:spacing w:before="0" w:after="0"/>
              <w:jc w:val="right"/>
              <w:rPr>
                <w:sz w:val="12"/>
                <w:szCs w:val="12"/>
                <w:lang w:val="fr-BE"/>
              </w:rPr>
            </w:pPr>
            <w:r w:rsidRPr="00B05D34">
              <w:rPr>
                <w:noProof/>
                <w:sz w:val="12"/>
                <w:szCs w:val="12"/>
                <w:lang w:val="fr-BE"/>
              </w:rPr>
              <w:t>96,00</w:t>
            </w:r>
          </w:p>
        </w:tc>
        <w:tc>
          <w:tcPr>
            <w:tcW w:w="0" w:type="auto"/>
          </w:tcPr>
          <w:p w14:paraId="359D7571" w14:textId="77777777" w:rsidR="008C5CFA" w:rsidRPr="00B05D34" w:rsidRDefault="008C5CFA" w:rsidP="00300A01">
            <w:pPr>
              <w:spacing w:before="0" w:after="0"/>
              <w:jc w:val="right"/>
              <w:rPr>
                <w:sz w:val="12"/>
                <w:szCs w:val="12"/>
                <w:lang w:val="fr-BE"/>
              </w:rPr>
            </w:pPr>
          </w:p>
        </w:tc>
        <w:tc>
          <w:tcPr>
            <w:tcW w:w="0" w:type="auto"/>
          </w:tcPr>
          <w:p w14:paraId="74AF49D0" w14:textId="77777777" w:rsidR="008C5CFA" w:rsidRPr="00B05D34" w:rsidRDefault="008C5CFA" w:rsidP="00300A01">
            <w:pPr>
              <w:spacing w:before="0" w:after="0"/>
              <w:jc w:val="right"/>
              <w:rPr>
                <w:sz w:val="12"/>
                <w:szCs w:val="12"/>
                <w:lang w:val="fr-BE"/>
              </w:rPr>
            </w:pPr>
          </w:p>
        </w:tc>
      </w:tr>
      <w:tr w:rsidR="006B2EC1" w14:paraId="69AC31CA" w14:textId="77777777" w:rsidTr="0047688D">
        <w:tc>
          <w:tcPr>
            <w:tcW w:w="0" w:type="auto"/>
            <w:shd w:val="clear" w:color="auto" w:fill="auto"/>
          </w:tcPr>
          <w:p w14:paraId="03D87B14" w14:textId="77777777" w:rsidR="008C5CFA" w:rsidRPr="00D4605F" w:rsidRDefault="00E82A60" w:rsidP="00300A01">
            <w:pPr>
              <w:spacing w:before="0" w:after="0"/>
              <w:rPr>
                <w:sz w:val="12"/>
                <w:szCs w:val="12"/>
                <w:lang w:val="fr-BE"/>
              </w:rPr>
            </w:pPr>
            <w:r w:rsidRPr="00D4605F">
              <w:rPr>
                <w:noProof/>
                <w:sz w:val="12"/>
                <w:szCs w:val="12"/>
                <w:lang w:val="fr-BE"/>
              </w:rPr>
              <w:t>6</w:t>
            </w:r>
          </w:p>
        </w:tc>
        <w:tc>
          <w:tcPr>
            <w:tcW w:w="0" w:type="auto"/>
            <w:shd w:val="clear" w:color="auto" w:fill="auto"/>
          </w:tcPr>
          <w:p w14:paraId="22F65CB9" w14:textId="77777777" w:rsidR="008C5CFA" w:rsidRPr="00D4605F" w:rsidRDefault="00E82A60" w:rsidP="00300A01">
            <w:pPr>
              <w:spacing w:before="0" w:after="0"/>
              <w:rPr>
                <w:sz w:val="12"/>
                <w:szCs w:val="12"/>
                <w:lang w:val="fr-BE"/>
              </w:rPr>
            </w:pPr>
            <w:r w:rsidRPr="00D4605F">
              <w:rPr>
                <w:noProof/>
                <w:sz w:val="12"/>
                <w:szCs w:val="12"/>
                <w:lang w:val="fr-BE"/>
              </w:rPr>
              <w:t>O</w:t>
            </w:r>
          </w:p>
        </w:tc>
        <w:tc>
          <w:tcPr>
            <w:tcW w:w="0" w:type="auto"/>
            <w:shd w:val="clear" w:color="auto" w:fill="auto"/>
          </w:tcPr>
          <w:p w14:paraId="604FF05C" w14:textId="77777777" w:rsidR="008C5CFA" w:rsidRPr="00D4605F" w:rsidRDefault="00E82A60" w:rsidP="00300A01">
            <w:pPr>
              <w:spacing w:before="0" w:after="0"/>
              <w:rPr>
                <w:sz w:val="12"/>
                <w:szCs w:val="12"/>
                <w:lang w:val="fr-BE"/>
              </w:rPr>
            </w:pPr>
            <w:r w:rsidRPr="00D4605F">
              <w:rPr>
                <w:noProof/>
                <w:sz w:val="12"/>
                <w:szCs w:val="12"/>
                <w:lang w:val="fr-BE"/>
              </w:rPr>
              <w:t>041</w:t>
            </w:r>
          </w:p>
        </w:tc>
        <w:tc>
          <w:tcPr>
            <w:tcW w:w="0" w:type="auto"/>
            <w:shd w:val="clear" w:color="auto" w:fill="auto"/>
          </w:tcPr>
          <w:p w14:paraId="75C4DA60" w14:textId="77777777" w:rsidR="008C5CFA" w:rsidRPr="00D4605F" w:rsidRDefault="00E82A60" w:rsidP="00300A01">
            <w:pPr>
              <w:spacing w:before="0" w:after="0"/>
              <w:rPr>
                <w:sz w:val="12"/>
                <w:szCs w:val="12"/>
                <w:lang w:val="fr-BE"/>
              </w:rPr>
            </w:pPr>
            <w:r w:rsidRPr="00D4605F">
              <w:rPr>
                <w:noProof/>
                <w:sz w:val="12"/>
                <w:szCs w:val="12"/>
                <w:lang w:val="fr-BE"/>
              </w:rPr>
              <w:t>Powierzchnia obszarów objętych rewitalizacją</w:t>
            </w:r>
          </w:p>
        </w:tc>
        <w:tc>
          <w:tcPr>
            <w:tcW w:w="0" w:type="auto"/>
            <w:shd w:val="clear" w:color="auto" w:fill="auto"/>
          </w:tcPr>
          <w:p w14:paraId="1BFA96BA" w14:textId="77777777" w:rsidR="008C5CFA" w:rsidRPr="00D4605F" w:rsidRDefault="00E82A60" w:rsidP="00300A01">
            <w:pPr>
              <w:spacing w:before="0" w:after="0"/>
              <w:rPr>
                <w:sz w:val="12"/>
                <w:szCs w:val="12"/>
                <w:lang w:val="fr-BE"/>
              </w:rPr>
            </w:pPr>
            <w:r w:rsidRPr="00D4605F">
              <w:rPr>
                <w:noProof/>
                <w:sz w:val="12"/>
                <w:szCs w:val="12"/>
                <w:lang w:val="fr-BE"/>
              </w:rPr>
              <w:t>ha</w:t>
            </w:r>
          </w:p>
        </w:tc>
        <w:tc>
          <w:tcPr>
            <w:tcW w:w="0" w:type="auto"/>
            <w:shd w:val="clear" w:color="auto" w:fill="auto"/>
          </w:tcPr>
          <w:p w14:paraId="77752F2A" w14:textId="77777777" w:rsidR="008C5CFA" w:rsidRPr="00D4605F" w:rsidRDefault="00E82A60" w:rsidP="00300A01">
            <w:pPr>
              <w:spacing w:before="0" w:after="0"/>
              <w:rPr>
                <w:sz w:val="12"/>
                <w:szCs w:val="12"/>
                <w:lang w:val="fr-BE"/>
              </w:rPr>
            </w:pPr>
            <w:r w:rsidRPr="00D4605F">
              <w:rPr>
                <w:noProof/>
                <w:sz w:val="12"/>
                <w:szCs w:val="12"/>
                <w:lang w:val="fr-BE"/>
              </w:rPr>
              <w:t>EFRR</w:t>
            </w:r>
          </w:p>
        </w:tc>
        <w:tc>
          <w:tcPr>
            <w:tcW w:w="0" w:type="auto"/>
          </w:tcPr>
          <w:p w14:paraId="659F570A" w14:textId="77777777" w:rsidR="008C5CFA" w:rsidRPr="00D4605F" w:rsidRDefault="00E82A60" w:rsidP="00300A01">
            <w:pPr>
              <w:spacing w:before="0" w:after="0"/>
              <w:rPr>
                <w:sz w:val="12"/>
                <w:szCs w:val="12"/>
                <w:lang w:val="fr-BE"/>
              </w:rPr>
            </w:pPr>
            <w:r w:rsidRPr="00D4605F">
              <w:rPr>
                <w:noProof/>
                <w:sz w:val="12"/>
                <w:szCs w:val="12"/>
                <w:lang w:val="fr-BE"/>
              </w:rPr>
              <w:t>Słabiej rozwinięte</w:t>
            </w:r>
          </w:p>
        </w:tc>
        <w:tc>
          <w:tcPr>
            <w:tcW w:w="0" w:type="auto"/>
          </w:tcPr>
          <w:p w14:paraId="2CDB1358" w14:textId="77777777" w:rsidR="008C5CFA" w:rsidRPr="00D4605F" w:rsidRDefault="00E82A60" w:rsidP="00300A01">
            <w:pPr>
              <w:spacing w:before="0" w:after="0"/>
              <w:rPr>
                <w:sz w:val="12"/>
                <w:szCs w:val="12"/>
                <w:lang w:val="fr-BE"/>
              </w:rPr>
            </w:pPr>
            <w:r w:rsidRPr="00D4605F">
              <w:rPr>
                <w:noProof/>
                <w:sz w:val="12"/>
                <w:szCs w:val="12"/>
                <w:lang w:val="fr-BE"/>
              </w:rPr>
              <w:t>0</w:t>
            </w:r>
          </w:p>
        </w:tc>
        <w:tc>
          <w:tcPr>
            <w:tcW w:w="0" w:type="auto"/>
          </w:tcPr>
          <w:p w14:paraId="6B81E258" w14:textId="77777777" w:rsidR="008C5CFA" w:rsidRPr="00D4605F" w:rsidRDefault="008C5CFA" w:rsidP="00300A01">
            <w:pPr>
              <w:spacing w:before="0" w:after="0"/>
              <w:rPr>
                <w:sz w:val="12"/>
                <w:szCs w:val="12"/>
                <w:lang w:val="fr-BE"/>
              </w:rPr>
            </w:pPr>
          </w:p>
        </w:tc>
        <w:tc>
          <w:tcPr>
            <w:tcW w:w="0" w:type="auto"/>
          </w:tcPr>
          <w:p w14:paraId="70D53FD4" w14:textId="77777777" w:rsidR="008C5CFA" w:rsidRPr="00D4605F" w:rsidRDefault="008C5CFA" w:rsidP="00300A01">
            <w:pPr>
              <w:spacing w:before="0" w:after="0"/>
              <w:rPr>
                <w:sz w:val="12"/>
                <w:szCs w:val="12"/>
                <w:lang w:val="fr-BE"/>
              </w:rPr>
            </w:pPr>
          </w:p>
        </w:tc>
        <w:tc>
          <w:tcPr>
            <w:tcW w:w="0" w:type="auto"/>
          </w:tcPr>
          <w:p w14:paraId="3FFE9D94" w14:textId="77777777" w:rsidR="008C5CFA" w:rsidRPr="00B05D34" w:rsidRDefault="00E82A60" w:rsidP="00136029">
            <w:pPr>
              <w:spacing w:before="0" w:after="0"/>
              <w:jc w:val="right"/>
              <w:rPr>
                <w:sz w:val="12"/>
                <w:szCs w:val="12"/>
                <w:lang w:val="fr-BE"/>
              </w:rPr>
            </w:pPr>
            <w:r w:rsidRPr="00B05D34">
              <w:rPr>
                <w:noProof/>
                <w:sz w:val="12"/>
                <w:szCs w:val="12"/>
                <w:lang w:val="fr-BE"/>
              </w:rPr>
              <w:t>96,00</w:t>
            </w:r>
          </w:p>
        </w:tc>
        <w:tc>
          <w:tcPr>
            <w:tcW w:w="0" w:type="auto"/>
          </w:tcPr>
          <w:p w14:paraId="25F01075" w14:textId="77777777" w:rsidR="008C5CFA" w:rsidRPr="00B05D34" w:rsidRDefault="008C5CFA" w:rsidP="00300A01">
            <w:pPr>
              <w:spacing w:before="0" w:after="0"/>
              <w:jc w:val="right"/>
              <w:rPr>
                <w:sz w:val="12"/>
                <w:szCs w:val="12"/>
                <w:lang w:val="fr-BE"/>
              </w:rPr>
            </w:pPr>
          </w:p>
        </w:tc>
        <w:tc>
          <w:tcPr>
            <w:tcW w:w="0" w:type="auto"/>
          </w:tcPr>
          <w:p w14:paraId="05B41C3E" w14:textId="77777777" w:rsidR="008C5CFA" w:rsidRPr="00B05D34" w:rsidRDefault="008C5CFA" w:rsidP="00300A01">
            <w:pPr>
              <w:spacing w:before="0" w:after="0"/>
              <w:jc w:val="right"/>
              <w:rPr>
                <w:sz w:val="12"/>
                <w:szCs w:val="12"/>
                <w:lang w:val="fr-BE"/>
              </w:rPr>
            </w:pPr>
          </w:p>
        </w:tc>
      </w:tr>
      <w:tr w:rsidR="006B2EC1" w14:paraId="148C98BB" w14:textId="77777777" w:rsidTr="0047688D">
        <w:tc>
          <w:tcPr>
            <w:tcW w:w="0" w:type="auto"/>
            <w:shd w:val="clear" w:color="auto" w:fill="auto"/>
          </w:tcPr>
          <w:p w14:paraId="0DFF063A" w14:textId="77777777" w:rsidR="008C5CFA" w:rsidRPr="00D4605F" w:rsidRDefault="00E82A60" w:rsidP="00300A01">
            <w:pPr>
              <w:spacing w:before="0" w:after="0"/>
              <w:rPr>
                <w:sz w:val="12"/>
                <w:szCs w:val="12"/>
                <w:lang w:val="fr-BE"/>
              </w:rPr>
            </w:pPr>
            <w:r w:rsidRPr="00D4605F">
              <w:rPr>
                <w:noProof/>
                <w:sz w:val="12"/>
                <w:szCs w:val="12"/>
                <w:lang w:val="fr-BE"/>
              </w:rPr>
              <w:t>6</w:t>
            </w:r>
          </w:p>
        </w:tc>
        <w:tc>
          <w:tcPr>
            <w:tcW w:w="0" w:type="auto"/>
            <w:shd w:val="clear" w:color="auto" w:fill="auto"/>
          </w:tcPr>
          <w:p w14:paraId="0B9E8B82" w14:textId="77777777" w:rsidR="008C5CFA" w:rsidRPr="00D4605F" w:rsidRDefault="00E82A60" w:rsidP="00300A01">
            <w:pPr>
              <w:spacing w:before="0" w:after="0"/>
              <w:rPr>
                <w:sz w:val="12"/>
                <w:szCs w:val="12"/>
                <w:lang w:val="fr-BE"/>
              </w:rPr>
            </w:pPr>
            <w:r w:rsidRPr="00D4605F">
              <w:rPr>
                <w:noProof/>
                <w:sz w:val="12"/>
                <w:szCs w:val="12"/>
                <w:lang w:val="fr-BE"/>
              </w:rPr>
              <w:t>O</w:t>
            </w:r>
          </w:p>
        </w:tc>
        <w:tc>
          <w:tcPr>
            <w:tcW w:w="0" w:type="auto"/>
            <w:shd w:val="clear" w:color="auto" w:fill="auto"/>
          </w:tcPr>
          <w:p w14:paraId="5C5AA2B0" w14:textId="77777777" w:rsidR="008C5CFA" w:rsidRPr="00D4605F" w:rsidRDefault="00E82A60" w:rsidP="00300A01">
            <w:pPr>
              <w:spacing w:before="0" w:after="0"/>
              <w:rPr>
                <w:sz w:val="12"/>
                <w:szCs w:val="12"/>
                <w:lang w:val="fr-BE"/>
              </w:rPr>
            </w:pPr>
            <w:r w:rsidRPr="00D4605F">
              <w:rPr>
                <w:noProof/>
                <w:sz w:val="12"/>
                <w:szCs w:val="12"/>
                <w:lang w:val="fr-BE"/>
              </w:rPr>
              <w:t>34</w:t>
            </w:r>
          </w:p>
        </w:tc>
        <w:tc>
          <w:tcPr>
            <w:tcW w:w="0" w:type="auto"/>
            <w:shd w:val="clear" w:color="auto" w:fill="auto"/>
          </w:tcPr>
          <w:p w14:paraId="1C201713" w14:textId="77777777" w:rsidR="008C5CFA" w:rsidRPr="00D4605F" w:rsidRDefault="00E82A60" w:rsidP="00300A01">
            <w:pPr>
              <w:spacing w:before="0" w:after="0"/>
              <w:rPr>
                <w:sz w:val="12"/>
                <w:szCs w:val="12"/>
                <w:lang w:val="fr-BE"/>
              </w:rPr>
            </w:pPr>
            <w:r w:rsidRPr="00D4605F">
              <w:rPr>
                <w:noProof/>
                <w:sz w:val="12"/>
                <w:szCs w:val="12"/>
                <w:lang w:val="fr-BE"/>
              </w:rPr>
              <w:t>Liczba zmodernizowanych energetycznie budynków</w:t>
            </w:r>
          </w:p>
        </w:tc>
        <w:tc>
          <w:tcPr>
            <w:tcW w:w="0" w:type="auto"/>
            <w:shd w:val="clear" w:color="auto" w:fill="auto"/>
          </w:tcPr>
          <w:p w14:paraId="16220547" w14:textId="77777777" w:rsidR="008C5CFA" w:rsidRPr="00D4605F" w:rsidRDefault="00E82A60" w:rsidP="00300A01">
            <w:pPr>
              <w:spacing w:before="0" w:after="0"/>
              <w:rPr>
                <w:sz w:val="12"/>
                <w:szCs w:val="12"/>
                <w:lang w:val="fr-BE"/>
              </w:rPr>
            </w:pPr>
            <w:r w:rsidRPr="00D4605F">
              <w:rPr>
                <w:noProof/>
                <w:sz w:val="12"/>
                <w:szCs w:val="12"/>
                <w:lang w:val="fr-BE"/>
              </w:rPr>
              <w:t>szt.</w:t>
            </w:r>
          </w:p>
        </w:tc>
        <w:tc>
          <w:tcPr>
            <w:tcW w:w="0" w:type="auto"/>
            <w:shd w:val="clear" w:color="auto" w:fill="auto"/>
          </w:tcPr>
          <w:p w14:paraId="3231324F" w14:textId="77777777" w:rsidR="008C5CFA" w:rsidRPr="00D4605F" w:rsidRDefault="00E82A60" w:rsidP="00300A01">
            <w:pPr>
              <w:spacing w:before="0" w:after="0"/>
              <w:rPr>
                <w:sz w:val="12"/>
                <w:szCs w:val="12"/>
                <w:lang w:val="fr-BE"/>
              </w:rPr>
            </w:pPr>
            <w:r w:rsidRPr="00D4605F">
              <w:rPr>
                <w:noProof/>
                <w:sz w:val="12"/>
                <w:szCs w:val="12"/>
                <w:lang w:val="fr-BE"/>
              </w:rPr>
              <w:t>EFRR</w:t>
            </w:r>
          </w:p>
        </w:tc>
        <w:tc>
          <w:tcPr>
            <w:tcW w:w="0" w:type="auto"/>
          </w:tcPr>
          <w:p w14:paraId="2463DF69" w14:textId="77777777" w:rsidR="008C5CFA" w:rsidRPr="00D4605F" w:rsidRDefault="00E82A60" w:rsidP="00300A01">
            <w:pPr>
              <w:spacing w:before="0" w:after="0"/>
              <w:rPr>
                <w:sz w:val="12"/>
                <w:szCs w:val="12"/>
                <w:lang w:val="fr-BE"/>
              </w:rPr>
            </w:pPr>
            <w:r w:rsidRPr="00D4605F">
              <w:rPr>
                <w:noProof/>
                <w:sz w:val="12"/>
                <w:szCs w:val="12"/>
                <w:lang w:val="fr-BE"/>
              </w:rPr>
              <w:t>Słabiej rozwinięte</w:t>
            </w:r>
          </w:p>
        </w:tc>
        <w:tc>
          <w:tcPr>
            <w:tcW w:w="0" w:type="auto"/>
          </w:tcPr>
          <w:p w14:paraId="267E8966" w14:textId="77777777" w:rsidR="008C5CFA" w:rsidRPr="00D4605F" w:rsidRDefault="00E82A60" w:rsidP="00300A01">
            <w:pPr>
              <w:spacing w:before="0" w:after="0"/>
              <w:rPr>
                <w:sz w:val="12"/>
                <w:szCs w:val="12"/>
                <w:lang w:val="fr-BE"/>
              </w:rPr>
            </w:pPr>
            <w:r w:rsidRPr="00D4605F">
              <w:rPr>
                <w:noProof/>
                <w:sz w:val="12"/>
                <w:szCs w:val="12"/>
                <w:lang w:val="fr-BE"/>
              </w:rPr>
              <w:t>8</w:t>
            </w:r>
          </w:p>
        </w:tc>
        <w:tc>
          <w:tcPr>
            <w:tcW w:w="0" w:type="auto"/>
          </w:tcPr>
          <w:p w14:paraId="5F69E81E" w14:textId="77777777" w:rsidR="008C5CFA" w:rsidRPr="00D4605F" w:rsidRDefault="008C5CFA" w:rsidP="00300A01">
            <w:pPr>
              <w:spacing w:before="0" w:after="0"/>
              <w:rPr>
                <w:sz w:val="12"/>
                <w:szCs w:val="12"/>
                <w:lang w:val="fr-BE"/>
              </w:rPr>
            </w:pPr>
          </w:p>
        </w:tc>
        <w:tc>
          <w:tcPr>
            <w:tcW w:w="0" w:type="auto"/>
          </w:tcPr>
          <w:p w14:paraId="7CFAAD79" w14:textId="77777777" w:rsidR="008C5CFA" w:rsidRPr="00D4605F" w:rsidRDefault="008C5CFA" w:rsidP="00300A01">
            <w:pPr>
              <w:spacing w:before="0" w:after="0"/>
              <w:rPr>
                <w:sz w:val="12"/>
                <w:szCs w:val="12"/>
                <w:lang w:val="fr-BE"/>
              </w:rPr>
            </w:pPr>
          </w:p>
        </w:tc>
        <w:tc>
          <w:tcPr>
            <w:tcW w:w="0" w:type="auto"/>
          </w:tcPr>
          <w:p w14:paraId="37DDEE59" w14:textId="77777777" w:rsidR="008C5CFA" w:rsidRPr="00B05D34" w:rsidRDefault="00E82A60" w:rsidP="00136029">
            <w:pPr>
              <w:spacing w:before="0" w:after="0"/>
              <w:jc w:val="right"/>
              <w:rPr>
                <w:sz w:val="12"/>
                <w:szCs w:val="12"/>
                <w:lang w:val="fr-BE"/>
              </w:rPr>
            </w:pPr>
            <w:r w:rsidRPr="00B05D34">
              <w:rPr>
                <w:noProof/>
                <w:sz w:val="12"/>
                <w:szCs w:val="12"/>
                <w:lang w:val="fr-BE"/>
              </w:rPr>
              <w:t>41,00</w:t>
            </w:r>
          </w:p>
        </w:tc>
        <w:tc>
          <w:tcPr>
            <w:tcW w:w="0" w:type="auto"/>
          </w:tcPr>
          <w:p w14:paraId="580D9BAE" w14:textId="77777777" w:rsidR="008C5CFA" w:rsidRPr="00B05D34" w:rsidRDefault="008C5CFA" w:rsidP="00300A01">
            <w:pPr>
              <w:spacing w:before="0" w:after="0"/>
              <w:jc w:val="right"/>
              <w:rPr>
                <w:sz w:val="12"/>
                <w:szCs w:val="12"/>
                <w:lang w:val="fr-BE"/>
              </w:rPr>
            </w:pPr>
          </w:p>
        </w:tc>
        <w:tc>
          <w:tcPr>
            <w:tcW w:w="0" w:type="auto"/>
          </w:tcPr>
          <w:p w14:paraId="1D1A49C4" w14:textId="77777777" w:rsidR="008C5CFA" w:rsidRPr="00B05D34" w:rsidRDefault="008C5CFA" w:rsidP="00300A01">
            <w:pPr>
              <w:spacing w:before="0" w:after="0"/>
              <w:jc w:val="right"/>
              <w:rPr>
                <w:sz w:val="12"/>
                <w:szCs w:val="12"/>
                <w:lang w:val="fr-BE"/>
              </w:rPr>
            </w:pPr>
          </w:p>
        </w:tc>
      </w:tr>
      <w:tr w:rsidR="006B2EC1" w14:paraId="3DB5611C" w14:textId="77777777" w:rsidTr="0047688D">
        <w:tc>
          <w:tcPr>
            <w:tcW w:w="0" w:type="auto"/>
            <w:shd w:val="clear" w:color="auto" w:fill="auto"/>
          </w:tcPr>
          <w:p w14:paraId="70CBFE12" w14:textId="77777777" w:rsidR="008C5CFA" w:rsidRPr="00D4605F" w:rsidRDefault="00E82A60" w:rsidP="00300A01">
            <w:pPr>
              <w:spacing w:before="0" w:after="0"/>
              <w:rPr>
                <w:sz w:val="12"/>
                <w:szCs w:val="12"/>
                <w:lang w:val="fr-BE"/>
              </w:rPr>
            </w:pPr>
            <w:r w:rsidRPr="00D4605F">
              <w:rPr>
                <w:noProof/>
                <w:sz w:val="12"/>
                <w:szCs w:val="12"/>
                <w:lang w:val="fr-BE"/>
              </w:rPr>
              <w:t>7</w:t>
            </w:r>
          </w:p>
        </w:tc>
        <w:tc>
          <w:tcPr>
            <w:tcW w:w="0" w:type="auto"/>
            <w:shd w:val="clear" w:color="auto" w:fill="auto"/>
          </w:tcPr>
          <w:p w14:paraId="5CDEE4F5" w14:textId="77777777" w:rsidR="008C5CFA" w:rsidRPr="00D4605F" w:rsidRDefault="00E82A60" w:rsidP="00300A01">
            <w:pPr>
              <w:spacing w:before="0" w:after="0"/>
              <w:rPr>
                <w:sz w:val="12"/>
                <w:szCs w:val="12"/>
                <w:lang w:val="fr-BE"/>
              </w:rPr>
            </w:pPr>
            <w:r w:rsidRPr="00D4605F">
              <w:rPr>
                <w:noProof/>
                <w:sz w:val="12"/>
                <w:szCs w:val="12"/>
                <w:lang w:val="fr-BE"/>
              </w:rPr>
              <w:t>F</w:t>
            </w:r>
          </w:p>
        </w:tc>
        <w:tc>
          <w:tcPr>
            <w:tcW w:w="0" w:type="auto"/>
            <w:shd w:val="clear" w:color="auto" w:fill="auto"/>
          </w:tcPr>
          <w:p w14:paraId="6E0284E9" w14:textId="77777777" w:rsidR="008C5CFA" w:rsidRPr="00D4605F" w:rsidRDefault="00E82A60" w:rsidP="00300A01">
            <w:pPr>
              <w:spacing w:before="0" w:after="0"/>
              <w:rPr>
                <w:sz w:val="12"/>
                <w:szCs w:val="12"/>
                <w:lang w:val="fr-BE"/>
              </w:rPr>
            </w:pPr>
            <w:r w:rsidRPr="00D4605F">
              <w:rPr>
                <w:noProof/>
                <w:sz w:val="12"/>
                <w:szCs w:val="12"/>
                <w:lang w:val="fr-BE"/>
              </w:rPr>
              <w:t>001</w:t>
            </w:r>
          </w:p>
        </w:tc>
        <w:tc>
          <w:tcPr>
            <w:tcW w:w="0" w:type="auto"/>
            <w:shd w:val="clear" w:color="auto" w:fill="auto"/>
          </w:tcPr>
          <w:p w14:paraId="71B1CCC9" w14:textId="77777777" w:rsidR="008C5CFA" w:rsidRPr="00D4605F" w:rsidRDefault="00E82A60" w:rsidP="00300A01">
            <w:pPr>
              <w:spacing w:before="0" w:after="0"/>
              <w:rPr>
                <w:sz w:val="12"/>
                <w:szCs w:val="12"/>
                <w:lang w:val="fr-BE"/>
              </w:rPr>
            </w:pPr>
            <w:r w:rsidRPr="00D4605F">
              <w:rPr>
                <w:noProof/>
                <w:sz w:val="12"/>
                <w:szCs w:val="12"/>
                <w:lang w:val="fr-BE"/>
              </w:rPr>
              <w:t>Całkowita kwota certyfikowanych wydatków kwalifikowalnych</w:t>
            </w:r>
          </w:p>
        </w:tc>
        <w:tc>
          <w:tcPr>
            <w:tcW w:w="0" w:type="auto"/>
            <w:shd w:val="clear" w:color="auto" w:fill="auto"/>
          </w:tcPr>
          <w:p w14:paraId="4D0A3BD2" w14:textId="77777777" w:rsidR="008C5CFA" w:rsidRPr="00D4605F" w:rsidRDefault="00E82A60" w:rsidP="00300A01">
            <w:pPr>
              <w:spacing w:before="0" w:after="0"/>
              <w:rPr>
                <w:sz w:val="12"/>
                <w:szCs w:val="12"/>
                <w:lang w:val="fr-BE"/>
              </w:rPr>
            </w:pPr>
            <w:r w:rsidRPr="00D4605F">
              <w:rPr>
                <w:noProof/>
                <w:sz w:val="12"/>
                <w:szCs w:val="12"/>
                <w:lang w:val="fr-BE"/>
              </w:rPr>
              <w:t>EUR</w:t>
            </w:r>
          </w:p>
        </w:tc>
        <w:tc>
          <w:tcPr>
            <w:tcW w:w="0" w:type="auto"/>
            <w:shd w:val="clear" w:color="auto" w:fill="auto"/>
          </w:tcPr>
          <w:p w14:paraId="1CA5CA6C" w14:textId="77777777" w:rsidR="008C5CFA" w:rsidRPr="00D4605F" w:rsidRDefault="00E82A60" w:rsidP="00300A01">
            <w:pPr>
              <w:spacing w:before="0" w:after="0"/>
              <w:rPr>
                <w:sz w:val="12"/>
                <w:szCs w:val="12"/>
                <w:lang w:val="fr-BE"/>
              </w:rPr>
            </w:pPr>
            <w:r w:rsidRPr="00D4605F">
              <w:rPr>
                <w:noProof/>
                <w:sz w:val="12"/>
                <w:szCs w:val="12"/>
                <w:lang w:val="fr-BE"/>
              </w:rPr>
              <w:t>EFRR</w:t>
            </w:r>
          </w:p>
        </w:tc>
        <w:tc>
          <w:tcPr>
            <w:tcW w:w="0" w:type="auto"/>
          </w:tcPr>
          <w:p w14:paraId="1F5350A0" w14:textId="77777777" w:rsidR="008C5CFA" w:rsidRPr="00D4605F" w:rsidRDefault="00E82A60" w:rsidP="00300A01">
            <w:pPr>
              <w:spacing w:before="0" w:after="0"/>
              <w:rPr>
                <w:sz w:val="12"/>
                <w:szCs w:val="12"/>
                <w:lang w:val="fr-BE"/>
              </w:rPr>
            </w:pPr>
            <w:r w:rsidRPr="00D4605F">
              <w:rPr>
                <w:noProof/>
                <w:sz w:val="12"/>
                <w:szCs w:val="12"/>
                <w:lang w:val="fr-BE"/>
              </w:rPr>
              <w:t>Słabiej rozwinięte</w:t>
            </w:r>
          </w:p>
        </w:tc>
        <w:tc>
          <w:tcPr>
            <w:tcW w:w="0" w:type="auto"/>
          </w:tcPr>
          <w:p w14:paraId="5A48D73A" w14:textId="77777777" w:rsidR="008C5CFA" w:rsidRPr="00D4605F" w:rsidRDefault="00E82A60" w:rsidP="00300A01">
            <w:pPr>
              <w:spacing w:before="0" w:after="0"/>
              <w:rPr>
                <w:sz w:val="12"/>
                <w:szCs w:val="12"/>
                <w:lang w:val="fr-BE"/>
              </w:rPr>
            </w:pPr>
            <w:r w:rsidRPr="00D4605F">
              <w:rPr>
                <w:noProof/>
                <w:sz w:val="12"/>
                <w:szCs w:val="12"/>
                <w:lang w:val="fr-BE"/>
              </w:rPr>
              <w:t>18 665 150,00</w:t>
            </w:r>
          </w:p>
        </w:tc>
        <w:tc>
          <w:tcPr>
            <w:tcW w:w="0" w:type="auto"/>
          </w:tcPr>
          <w:p w14:paraId="3775A263" w14:textId="77777777" w:rsidR="008C5CFA" w:rsidRPr="00D4605F" w:rsidRDefault="008C5CFA" w:rsidP="00300A01">
            <w:pPr>
              <w:spacing w:before="0" w:after="0"/>
              <w:rPr>
                <w:sz w:val="12"/>
                <w:szCs w:val="12"/>
                <w:lang w:val="fr-BE"/>
              </w:rPr>
            </w:pPr>
          </w:p>
        </w:tc>
        <w:tc>
          <w:tcPr>
            <w:tcW w:w="0" w:type="auto"/>
          </w:tcPr>
          <w:p w14:paraId="36E39365" w14:textId="77777777" w:rsidR="008C5CFA" w:rsidRPr="00D4605F" w:rsidRDefault="008C5CFA" w:rsidP="00300A01">
            <w:pPr>
              <w:spacing w:before="0" w:after="0"/>
              <w:rPr>
                <w:sz w:val="12"/>
                <w:szCs w:val="12"/>
                <w:lang w:val="fr-BE"/>
              </w:rPr>
            </w:pPr>
          </w:p>
        </w:tc>
        <w:tc>
          <w:tcPr>
            <w:tcW w:w="0" w:type="auto"/>
          </w:tcPr>
          <w:p w14:paraId="539A64F4" w14:textId="77777777" w:rsidR="008C5CFA" w:rsidRPr="00B05D34" w:rsidRDefault="00E82A60" w:rsidP="00136029">
            <w:pPr>
              <w:spacing w:before="0" w:after="0"/>
              <w:jc w:val="right"/>
              <w:rPr>
                <w:sz w:val="12"/>
                <w:szCs w:val="12"/>
                <w:lang w:val="fr-BE"/>
              </w:rPr>
            </w:pPr>
            <w:r w:rsidRPr="00B05D34">
              <w:rPr>
                <w:noProof/>
                <w:sz w:val="12"/>
                <w:szCs w:val="12"/>
                <w:lang w:val="fr-BE"/>
              </w:rPr>
              <w:t>154 447 969,00</w:t>
            </w:r>
          </w:p>
        </w:tc>
        <w:tc>
          <w:tcPr>
            <w:tcW w:w="0" w:type="auto"/>
          </w:tcPr>
          <w:p w14:paraId="651FC79E" w14:textId="77777777" w:rsidR="008C5CFA" w:rsidRPr="00B05D34" w:rsidRDefault="008C5CFA" w:rsidP="00300A01">
            <w:pPr>
              <w:spacing w:before="0" w:after="0"/>
              <w:jc w:val="right"/>
              <w:rPr>
                <w:sz w:val="12"/>
                <w:szCs w:val="12"/>
                <w:lang w:val="fr-BE"/>
              </w:rPr>
            </w:pPr>
          </w:p>
        </w:tc>
        <w:tc>
          <w:tcPr>
            <w:tcW w:w="0" w:type="auto"/>
          </w:tcPr>
          <w:p w14:paraId="0F39F695" w14:textId="77777777" w:rsidR="008C5CFA" w:rsidRPr="00B05D34" w:rsidRDefault="008C5CFA" w:rsidP="00300A01">
            <w:pPr>
              <w:spacing w:before="0" w:after="0"/>
              <w:jc w:val="right"/>
              <w:rPr>
                <w:sz w:val="12"/>
                <w:szCs w:val="12"/>
                <w:lang w:val="fr-BE"/>
              </w:rPr>
            </w:pPr>
          </w:p>
        </w:tc>
      </w:tr>
      <w:tr w:rsidR="006B2EC1" w14:paraId="20CB9D48" w14:textId="77777777" w:rsidTr="0047688D">
        <w:tc>
          <w:tcPr>
            <w:tcW w:w="0" w:type="auto"/>
            <w:shd w:val="clear" w:color="auto" w:fill="auto"/>
          </w:tcPr>
          <w:p w14:paraId="725B44BD" w14:textId="77777777" w:rsidR="008C5CFA" w:rsidRPr="00D4605F" w:rsidRDefault="00E82A60" w:rsidP="00300A01">
            <w:pPr>
              <w:spacing w:before="0" w:after="0"/>
              <w:rPr>
                <w:sz w:val="12"/>
                <w:szCs w:val="12"/>
                <w:lang w:val="fr-BE"/>
              </w:rPr>
            </w:pPr>
            <w:r w:rsidRPr="00D4605F">
              <w:rPr>
                <w:noProof/>
                <w:sz w:val="12"/>
                <w:szCs w:val="12"/>
                <w:lang w:val="fr-BE"/>
              </w:rPr>
              <w:t>7</w:t>
            </w:r>
          </w:p>
        </w:tc>
        <w:tc>
          <w:tcPr>
            <w:tcW w:w="0" w:type="auto"/>
            <w:shd w:val="clear" w:color="auto" w:fill="auto"/>
          </w:tcPr>
          <w:p w14:paraId="3268F122" w14:textId="77777777" w:rsidR="008C5CFA" w:rsidRPr="00D4605F" w:rsidRDefault="00E82A60" w:rsidP="00300A01">
            <w:pPr>
              <w:spacing w:before="0" w:after="0"/>
              <w:rPr>
                <w:sz w:val="12"/>
                <w:szCs w:val="12"/>
                <w:lang w:val="fr-BE"/>
              </w:rPr>
            </w:pPr>
            <w:r w:rsidRPr="00D4605F">
              <w:rPr>
                <w:noProof/>
                <w:sz w:val="12"/>
                <w:szCs w:val="12"/>
                <w:lang w:val="fr-BE"/>
              </w:rPr>
              <w:t>O</w:t>
            </w:r>
          </w:p>
        </w:tc>
        <w:tc>
          <w:tcPr>
            <w:tcW w:w="0" w:type="auto"/>
            <w:shd w:val="clear" w:color="auto" w:fill="auto"/>
          </w:tcPr>
          <w:p w14:paraId="7EF78388" w14:textId="77777777" w:rsidR="008C5CFA" w:rsidRPr="00D4605F" w:rsidRDefault="00E82A60" w:rsidP="00300A01">
            <w:pPr>
              <w:spacing w:before="0" w:after="0"/>
              <w:rPr>
                <w:sz w:val="12"/>
                <w:szCs w:val="12"/>
                <w:lang w:val="fr-BE"/>
              </w:rPr>
            </w:pPr>
            <w:r w:rsidRPr="00D4605F">
              <w:rPr>
                <w:noProof/>
                <w:sz w:val="12"/>
                <w:szCs w:val="12"/>
                <w:lang w:val="fr-BE"/>
              </w:rPr>
              <w:t>047</w:t>
            </w:r>
          </w:p>
        </w:tc>
        <w:tc>
          <w:tcPr>
            <w:tcW w:w="0" w:type="auto"/>
            <w:shd w:val="clear" w:color="auto" w:fill="auto"/>
          </w:tcPr>
          <w:p w14:paraId="787E04F8" w14:textId="77777777" w:rsidR="008C5CFA" w:rsidRPr="00D4605F" w:rsidRDefault="00E82A60" w:rsidP="00300A01">
            <w:pPr>
              <w:spacing w:before="0" w:after="0"/>
              <w:rPr>
                <w:sz w:val="12"/>
                <w:szCs w:val="12"/>
                <w:lang w:val="fr-BE"/>
              </w:rPr>
            </w:pPr>
            <w:r w:rsidRPr="00D4605F">
              <w:rPr>
                <w:noProof/>
                <w:sz w:val="12"/>
                <w:szCs w:val="12"/>
                <w:lang w:val="fr-BE"/>
              </w:rPr>
              <w:t>Liczba obiektów infrastruktury jednostek organizacyjnych systemu oświaty</w:t>
            </w:r>
          </w:p>
        </w:tc>
        <w:tc>
          <w:tcPr>
            <w:tcW w:w="0" w:type="auto"/>
            <w:shd w:val="clear" w:color="auto" w:fill="auto"/>
          </w:tcPr>
          <w:p w14:paraId="15919502" w14:textId="77777777" w:rsidR="008C5CFA" w:rsidRPr="00D4605F" w:rsidRDefault="00E82A60" w:rsidP="00300A01">
            <w:pPr>
              <w:spacing w:before="0" w:after="0"/>
              <w:rPr>
                <w:sz w:val="12"/>
                <w:szCs w:val="12"/>
                <w:lang w:val="fr-BE"/>
              </w:rPr>
            </w:pPr>
            <w:r w:rsidRPr="00D4605F">
              <w:rPr>
                <w:noProof/>
                <w:sz w:val="12"/>
                <w:szCs w:val="12"/>
                <w:lang w:val="fr-BE"/>
              </w:rPr>
              <w:t>szt.</w:t>
            </w:r>
          </w:p>
        </w:tc>
        <w:tc>
          <w:tcPr>
            <w:tcW w:w="0" w:type="auto"/>
            <w:shd w:val="clear" w:color="auto" w:fill="auto"/>
          </w:tcPr>
          <w:p w14:paraId="0D0E2B65" w14:textId="77777777" w:rsidR="008C5CFA" w:rsidRPr="00D4605F" w:rsidRDefault="00E82A60" w:rsidP="00300A01">
            <w:pPr>
              <w:spacing w:before="0" w:after="0"/>
              <w:rPr>
                <w:sz w:val="12"/>
                <w:szCs w:val="12"/>
                <w:lang w:val="fr-BE"/>
              </w:rPr>
            </w:pPr>
            <w:r w:rsidRPr="00D4605F">
              <w:rPr>
                <w:noProof/>
                <w:sz w:val="12"/>
                <w:szCs w:val="12"/>
                <w:lang w:val="fr-BE"/>
              </w:rPr>
              <w:t>EFRR</w:t>
            </w:r>
          </w:p>
        </w:tc>
        <w:tc>
          <w:tcPr>
            <w:tcW w:w="0" w:type="auto"/>
          </w:tcPr>
          <w:p w14:paraId="73A387F9" w14:textId="77777777" w:rsidR="008C5CFA" w:rsidRPr="00D4605F" w:rsidRDefault="00E82A60" w:rsidP="00300A01">
            <w:pPr>
              <w:spacing w:before="0" w:after="0"/>
              <w:rPr>
                <w:sz w:val="12"/>
                <w:szCs w:val="12"/>
                <w:lang w:val="fr-BE"/>
              </w:rPr>
            </w:pPr>
            <w:r w:rsidRPr="00D4605F">
              <w:rPr>
                <w:noProof/>
                <w:sz w:val="12"/>
                <w:szCs w:val="12"/>
                <w:lang w:val="fr-BE"/>
              </w:rPr>
              <w:t>Słabiej rozwinięte</w:t>
            </w:r>
          </w:p>
        </w:tc>
        <w:tc>
          <w:tcPr>
            <w:tcW w:w="0" w:type="auto"/>
          </w:tcPr>
          <w:p w14:paraId="63A443D5" w14:textId="77777777" w:rsidR="008C5CFA" w:rsidRPr="00D4605F" w:rsidRDefault="00E82A60" w:rsidP="00300A01">
            <w:pPr>
              <w:spacing w:before="0" w:after="0"/>
              <w:rPr>
                <w:sz w:val="12"/>
                <w:szCs w:val="12"/>
                <w:lang w:val="fr-BE"/>
              </w:rPr>
            </w:pPr>
            <w:r w:rsidRPr="00D4605F">
              <w:rPr>
                <w:noProof/>
                <w:sz w:val="12"/>
                <w:szCs w:val="12"/>
                <w:lang w:val="fr-BE"/>
              </w:rPr>
              <w:t>3</w:t>
            </w:r>
          </w:p>
        </w:tc>
        <w:tc>
          <w:tcPr>
            <w:tcW w:w="0" w:type="auto"/>
          </w:tcPr>
          <w:p w14:paraId="2FCB1D45" w14:textId="77777777" w:rsidR="008C5CFA" w:rsidRPr="00D4605F" w:rsidRDefault="008C5CFA" w:rsidP="00300A01">
            <w:pPr>
              <w:spacing w:before="0" w:after="0"/>
              <w:rPr>
                <w:sz w:val="12"/>
                <w:szCs w:val="12"/>
                <w:lang w:val="fr-BE"/>
              </w:rPr>
            </w:pPr>
          </w:p>
        </w:tc>
        <w:tc>
          <w:tcPr>
            <w:tcW w:w="0" w:type="auto"/>
          </w:tcPr>
          <w:p w14:paraId="1E2EA035" w14:textId="77777777" w:rsidR="008C5CFA" w:rsidRPr="00D4605F" w:rsidRDefault="008C5CFA" w:rsidP="00300A01">
            <w:pPr>
              <w:spacing w:before="0" w:after="0"/>
              <w:rPr>
                <w:sz w:val="12"/>
                <w:szCs w:val="12"/>
                <w:lang w:val="fr-BE"/>
              </w:rPr>
            </w:pPr>
          </w:p>
        </w:tc>
        <w:tc>
          <w:tcPr>
            <w:tcW w:w="0" w:type="auto"/>
          </w:tcPr>
          <w:p w14:paraId="7DC4D74F" w14:textId="77777777" w:rsidR="008C5CFA" w:rsidRPr="00B05D34" w:rsidRDefault="00E82A60" w:rsidP="00136029">
            <w:pPr>
              <w:spacing w:before="0" w:after="0"/>
              <w:jc w:val="right"/>
              <w:rPr>
                <w:sz w:val="12"/>
                <w:szCs w:val="12"/>
                <w:lang w:val="fr-BE"/>
              </w:rPr>
            </w:pPr>
            <w:r w:rsidRPr="00B05D34">
              <w:rPr>
                <w:noProof/>
                <w:sz w:val="12"/>
                <w:szCs w:val="12"/>
                <w:lang w:val="fr-BE"/>
              </w:rPr>
              <w:t>17,00</w:t>
            </w:r>
          </w:p>
        </w:tc>
        <w:tc>
          <w:tcPr>
            <w:tcW w:w="0" w:type="auto"/>
          </w:tcPr>
          <w:p w14:paraId="0384EB89" w14:textId="77777777" w:rsidR="008C5CFA" w:rsidRPr="00B05D34" w:rsidRDefault="008C5CFA" w:rsidP="00300A01">
            <w:pPr>
              <w:spacing w:before="0" w:after="0"/>
              <w:jc w:val="right"/>
              <w:rPr>
                <w:sz w:val="12"/>
                <w:szCs w:val="12"/>
                <w:lang w:val="fr-BE"/>
              </w:rPr>
            </w:pPr>
          </w:p>
        </w:tc>
        <w:tc>
          <w:tcPr>
            <w:tcW w:w="0" w:type="auto"/>
          </w:tcPr>
          <w:p w14:paraId="1D4CA7BC" w14:textId="77777777" w:rsidR="008C5CFA" w:rsidRPr="00B05D34" w:rsidRDefault="008C5CFA" w:rsidP="00300A01">
            <w:pPr>
              <w:spacing w:before="0" w:after="0"/>
              <w:jc w:val="right"/>
              <w:rPr>
                <w:sz w:val="12"/>
                <w:szCs w:val="12"/>
                <w:lang w:val="fr-BE"/>
              </w:rPr>
            </w:pPr>
          </w:p>
        </w:tc>
      </w:tr>
      <w:tr w:rsidR="006B2EC1" w14:paraId="706E2ACE" w14:textId="77777777" w:rsidTr="0047688D">
        <w:tc>
          <w:tcPr>
            <w:tcW w:w="0" w:type="auto"/>
            <w:shd w:val="clear" w:color="auto" w:fill="auto"/>
          </w:tcPr>
          <w:p w14:paraId="3E5D9FA9" w14:textId="77777777" w:rsidR="008C5CFA" w:rsidRPr="00D4605F" w:rsidRDefault="00E82A60" w:rsidP="00300A01">
            <w:pPr>
              <w:spacing w:before="0" w:after="0"/>
              <w:rPr>
                <w:sz w:val="12"/>
                <w:szCs w:val="12"/>
                <w:lang w:val="fr-BE"/>
              </w:rPr>
            </w:pPr>
            <w:r w:rsidRPr="00D4605F">
              <w:rPr>
                <w:noProof/>
                <w:sz w:val="12"/>
                <w:szCs w:val="12"/>
                <w:lang w:val="fr-BE"/>
              </w:rPr>
              <w:t>7</w:t>
            </w:r>
          </w:p>
        </w:tc>
        <w:tc>
          <w:tcPr>
            <w:tcW w:w="0" w:type="auto"/>
            <w:shd w:val="clear" w:color="auto" w:fill="auto"/>
          </w:tcPr>
          <w:p w14:paraId="28C2DB55" w14:textId="77777777" w:rsidR="008C5CFA" w:rsidRPr="00D4605F" w:rsidRDefault="00E82A60" w:rsidP="00300A01">
            <w:pPr>
              <w:spacing w:before="0" w:after="0"/>
              <w:rPr>
                <w:sz w:val="12"/>
                <w:szCs w:val="12"/>
                <w:lang w:val="fr-BE"/>
              </w:rPr>
            </w:pPr>
            <w:r w:rsidRPr="00D4605F">
              <w:rPr>
                <w:noProof/>
                <w:sz w:val="12"/>
                <w:szCs w:val="12"/>
                <w:lang w:val="fr-BE"/>
              </w:rPr>
              <w:t>O</w:t>
            </w:r>
          </w:p>
        </w:tc>
        <w:tc>
          <w:tcPr>
            <w:tcW w:w="0" w:type="auto"/>
            <w:shd w:val="clear" w:color="auto" w:fill="auto"/>
          </w:tcPr>
          <w:p w14:paraId="5665038D" w14:textId="77777777" w:rsidR="008C5CFA" w:rsidRPr="00D4605F" w:rsidRDefault="00E82A60" w:rsidP="00300A01">
            <w:pPr>
              <w:spacing w:before="0" w:after="0"/>
              <w:rPr>
                <w:sz w:val="12"/>
                <w:szCs w:val="12"/>
                <w:lang w:val="fr-BE"/>
              </w:rPr>
            </w:pPr>
            <w:r w:rsidRPr="00D4605F">
              <w:rPr>
                <w:noProof/>
                <w:sz w:val="12"/>
                <w:szCs w:val="12"/>
                <w:lang w:val="fr-BE"/>
              </w:rPr>
              <w:t>050</w:t>
            </w:r>
          </w:p>
        </w:tc>
        <w:tc>
          <w:tcPr>
            <w:tcW w:w="0" w:type="auto"/>
            <w:shd w:val="clear" w:color="auto" w:fill="auto"/>
          </w:tcPr>
          <w:p w14:paraId="7C46107C" w14:textId="77777777" w:rsidR="008C5CFA" w:rsidRPr="00D4605F" w:rsidRDefault="00E82A60" w:rsidP="00300A01">
            <w:pPr>
              <w:spacing w:before="0" w:after="0"/>
              <w:rPr>
                <w:sz w:val="12"/>
                <w:szCs w:val="12"/>
                <w:lang w:val="fr-BE"/>
              </w:rPr>
            </w:pPr>
            <w:r w:rsidRPr="00D4605F">
              <w:rPr>
                <w:noProof/>
                <w:sz w:val="12"/>
                <w:szCs w:val="12"/>
                <w:lang w:val="fr-BE"/>
              </w:rPr>
              <w:t>Liczba wybudowanych oraz przebudowanych obiektów, w których realizowane są usługi aktywizacji społeczno-zawodowej</w:t>
            </w:r>
          </w:p>
        </w:tc>
        <w:tc>
          <w:tcPr>
            <w:tcW w:w="0" w:type="auto"/>
            <w:shd w:val="clear" w:color="auto" w:fill="auto"/>
          </w:tcPr>
          <w:p w14:paraId="26F36434" w14:textId="77777777" w:rsidR="008C5CFA" w:rsidRPr="00D4605F" w:rsidRDefault="00E82A60" w:rsidP="00300A01">
            <w:pPr>
              <w:spacing w:before="0" w:after="0"/>
              <w:rPr>
                <w:sz w:val="12"/>
                <w:szCs w:val="12"/>
                <w:lang w:val="fr-BE"/>
              </w:rPr>
            </w:pPr>
            <w:r w:rsidRPr="00D4605F">
              <w:rPr>
                <w:noProof/>
                <w:sz w:val="12"/>
                <w:szCs w:val="12"/>
                <w:lang w:val="fr-BE"/>
              </w:rPr>
              <w:t>szt.</w:t>
            </w:r>
          </w:p>
        </w:tc>
        <w:tc>
          <w:tcPr>
            <w:tcW w:w="0" w:type="auto"/>
            <w:shd w:val="clear" w:color="auto" w:fill="auto"/>
          </w:tcPr>
          <w:p w14:paraId="6257DBCE" w14:textId="77777777" w:rsidR="008C5CFA" w:rsidRPr="00D4605F" w:rsidRDefault="00E82A60" w:rsidP="00300A01">
            <w:pPr>
              <w:spacing w:before="0" w:after="0"/>
              <w:rPr>
                <w:sz w:val="12"/>
                <w:szCs w:val="12"/>
                <w:lang w:val="fr-BE"/>
              </w:rPr>
            </w:pPr>
            <w:r w:rsidRPr="00D4605F">
              <w:rPr>
                <w:noProof/>
                <w:sz w:val="12"/>
                <w:szCs w:val="12"/>
                <w:lang w:val="fr-BE"/>
              </w:rPr>
              <w:t>EFRR</w:t>
            </w:r>
          </w:p>
        </w:tc>
        <w:tc>
          <w:tcPr>
            <w:tcW w:w="0" w:type="auto"/>
          </w:tcPr>
          <w:p w14:paraId="5F986186" w14:textId="77777777" w:rsidR="008C5CFA" w:rsidRPr="00D4605F" w:rsidRDefault="00E82A60" w:rsidP="00300A01">
            <w:pPr>
              <w:spacing w:before="0" w:after="0"/>
              <w:rPr>
                <w:sz w:val="12"/>
                <w:szCs w:val="12"/>
                <w:lang w:val="fr-BE"/>
              </w:rPr>
            </w:pPr>
            <w:r w:rsidRPr="00D4605F">
              <w:rPr>
                <w:noProof/>
                <w:sz w:val="12"/>
                <w:szCs w:val="12"/>
                <w:lang w:val="fr-BE"/>
              </w:rPr>
              <w:t>Słabiej rozwinięte</w:t>
            </w:r>
          </w:p>
        </w:tc>
        <w:tc>
          <w:tcPr>
            <w:tcW w:w="0" w:type="auto"/>
          </w:tcPr>
          <w:p w14:paraId="73E23CE6" w14:textId="77777777" w:rsidR="008C5CFA" w:rsidRPr="00D4605F" w:rsidRDefault="00E82A60" w:rsidP="00300A01">
            <w:pPr>
              <w:spacing w:before="0" w:after="0"/>
              <w:rPr>
                <w:sz w:val="12"/>
                <w:szCs w:val="12"/>
                <w:lang w:val="fr-BE"/>
              </w:rPr>
            </w:pPr>
            <w:r w:rsidRPr="00D4605F">
              <w:rPr>
                <w:noProof/>
                <w:sz w:val="12"/>
                <w:szCs w:val="12"/>
                <w:lang w:val="fr-BE"/>
              </w:rPr>
              <w:t>2</w:t>
            </w:r>
          </w:p>
        </w:tc>
        <w:tc>
          <w:tcPr>
            <w:tcW w:w="0" w:type="auto"/>
          </w:tcPr>
          <w:p w14:paraId="494740FC" w14:textId="77777777" w:rsidR="008C5CFA" w:rsidRPr="00D4605F" w:rsidRDefault="008C5CFA" w:rsidP="00300A01">
            <w:pPr>
              <w:spacing w:before="0" w:after="0"/>
              <w:rPr>
                <w:sz w:val="12"/>
                <w:szCs w:val="12"/>
                <w:lang w:val="fr-BE"/>
              </w:rPr>
            </w:pPr>
          </w:p>
        </w:tc>
        <w:tc>
          <w:tcPr>
            <w:tcW w:w="0" w:type="auto"/>
          </w:tcPr>
          <w:p w14:paraId="4D94E015" w14:textId="77777777" w:rsidR="008C5CFA" w:rsidRPr="00D4605F" w:rsidRDefault="008C5CFA" w:rsidP="00300A01">
            <w:pPr>
              <w:spacing w:before="0" w:after="0"/>
              <w:rPr>
                <w:sz w:val="12"/>
                <w:szCs w:val="12"/>
                <w:lang w:val="fr-BE"/>
              </w:rPr>
            </w:pPr>
          </w:p>
        </w:tc>
        <w:tc>
          <w:tcPr>
            <w:tcW w:w="0" w:type="auto"/>
          </w:tcPr>
          <w:p w14:paraId="63656BFB" w14:textId="77777777" w:rsidR="008C5CFA" w:rsidRPr="00B05D34" w:rsidRDefault="00E82A60" w:rsidP="00136029">
            <w:pPr>
              <w:spacing w:before="0" w:after="0"/>
              <w:jc w:val="right"/>
              <w:rPr>
                <w:sz w:val="12"/>
                <w:szCs w:val="12"/>
                <w:lang w:val="fr-BE"/>
              </w:rPr>
            </w:pPr>
            <w:r w:rsidRPr="00B05D34">
              <w:rPr>
                <w:noProof/>
                <w:sz w:val="12"/>
                <w:szCs w:val="12"/>
                <w:lang w:val="fr-BE"/>
              </w:rPr>
              <w:t>13,00</w:t>
            </w:r>
          </w:p>
        </w:tc>
        <w:tc>
          <w:tcPr>
            <w:tcW w:w="0" w:type="auto"/>
          </w:tcPr>
          <w:p w14:paraId="44EC5AAB" w14:textId="77777777" w:rsidR="008C5CFA" w:rsidRPr="00B05D34" w:rsidRDefault="008C5CFA" w:rsidP="00300A01">
            <w:pPr>
              <w:spacing w:before="0" w:after="0"/>
              <w:jc w:val="right"/>
              <w:rPr>
                <w:sz w:val="12"/>
                <w:szCs w:val="12"/>
                <w:lang w:val="fr-BE"/>
              </w:rPr>
            </w:pPr>
          </w:p>
        </w:tc>
        <w:tc>
          <w:tcPr>
            <w:tcW w:w="0" w:type="auto"/>
          </w:tcPr>
          <w:p w14:paraId="3A5F2DD6" w14:textId="77777777" w:rsidR="008C5CFA" w:rsidRPr="00B05D34" w:rsidRDefault="008C5CFA" w:rsidP="00300A01">
            <w:pPr>
              <w:spacing w:before="0" w:after="0"/>
              <w:jc w:val="right"/>
              <w:rPr>
                <w:sz w:val="12"/>
                <w:szCs w:val="12"/>
                <w:lang w:val="fr-BE"/>
              </w:rPr>
            </w:pPr>
          </w:p>
        </w:tc>
      </w:tr>
      <w:tr w:rsidR="006B2EC1" w14:paraId="10DE1CDA" w14:textId="77777777" w:rsidTr="0047688D">
        <w:tc>
          <w:tcPr>
            <w:tcW w:w="0" w:type="auto"/>
            <w:shd w:val="clear" w:color="auto" w:fill="auto"/>
          </w:tcPr>
          <w:p w14:paraId="4D6D064A" w14:textId="77777777" w:rsidR="008C5CFA" w:rsidRPr="00D4605F" w:rsidRDefault="00E82A60" w:rsidP="00300A01">
            <w:pPr>
              <w:spacing w:before="0" w:after="0"/>
              <w:rPr>
                <w:sz w:val="12"/>
                <w:szCs w:val="12"/>
                <w:lang w:val="fr-BE"/>
              </w:rPr>
            </w:pPr>
            <w:r w:rsidRPr="00D4605F">
              <w:rPr>
                <w:noProof/>
                <w:sz w:val="12"/>
                <w:szCs w:val="12"/>
                <w:lang w:val="fr-BE"/>
              </w:rPr>
              <w:lastRenderedPageBreak/>
              <w:t>7</w:t>
            </w:r>
          </w:p>
        </w:tc>
        <w:tc>
          <w:tcPr>
            <w:tcW w:w="0" w:type="auto"/>
            <w:shd w:val="clear" w:color="auto" w:fill="auto"/>
          </w:tcPr>
          <w:p w14:paraId="6A971C9F" w14:textId="77777777" w:rsidR="008C5CFA" w:rsidRPr="00D4605F" w:rsidRDefault="00E82A60" w:rsidP="00300A01">
            <w:pPr>
              <w:spacing w:before="0" w:after="0"/>
              <w:rPr>
                <w:sz w:val="12"/>
                <w:szCs w:val="12"/>
                <w:lang w:val="fr-BE"/>
              </w:rPr>
            </w:pPr>
            <w:r w:rsidRPr="00D4605F">
              <w:rPr>
                <w:noProof/>
                <w:sz w:val="12"/>
                <w:szCs w:val="12"/>
                <w:lang w:val="fr-BE"/>
              </w:rPr>
              <w:t>O</w:t>
            </w:r>
          </w:p>
        </w:tc>
        <w:tc>
          <w:tcPr>
            <w:tcW w:w="0" w:type="auto"/>
            <w:shd w:val="clear" w:color="auto" w:fill="auto"/>
          </w:tcPr>
          <w:p w14:paraId="4231F480" w14:textId="77777777" w:rsidR="008C5CFA" w:rsidRPr="00D4605F" w:rsidRDefault="00E82A60" w:rsidP="00300A01">
            <w:pPr>
              <w:spacing w:before="0" w:after="0"/>
              <w:rPr>
                <w:sz w:val="12"/>
                <w:szCs w:val="12"/>
                <w:lang w:val="fr-BE"/>
              </w:rPr>
            </w:pPr>
            <w:r w:rsidRPr="00D4605F">
              <w:rPr>
                <w:noProof/>
                <w:sz w:val="12"/>
                <w:szCs w:val="12"/>
                <w:lang w:val="fr-BE"/>
              </w:rPr>
              <w:t>88</w:t>
            </w:r>
          </w:p>
        </w:tc>
        <w:tc>
          <w:tcPr>
            <w:tcW w:w="0" w:type="auto"/>
            <w:shd w:val="clear" w:color="auto" w:fill="auto"/>
          </w:tcPr>
          <w:p w14:paraId="117DAC31" w14:textId="77777777" w:rsidR="008C5CFA" w:rsidRPr="00D4605F" w:rsidRDefault="00E82A60" w:rsidP="00300A01">
            <w:pPr>
              <w:spacing w:before="0" w:after="0"/>
              <w:rPr>
                <w:sz w:val="12"/>
                <w:szCs w:val="12"/>
                <w:lang w:val="fr-BE"/>
              </w:rPr>
            </w:pPr>
            <w:r w:rsidRPr="00D4605F">
              <w:rPr>
                <w:noProof/>
                <w:sz w:val="12"/>
                <w:szCs w:val="12"/>
                <w:lang w:val="fr-BE"/>
              </w:rPr>
              <w:t>Liczba wspartych podmiotów leczniczych</w:t>
            </w:r>
          </w:p>
        </w:tc>
        <w:tc>
          <w:tcPr>
            <w:tcW w:w="0" w:type="auto"/>
            <w:shd w:val="clear" w:color="auto" w:fill="auto"/>
          </w:tcPr>
          <w:p w14:paraId="1D43978A" w14:textId="77777777" w:rsidR="008C5CFA" w:rsidRPr="00D4605F" w:rsidRDefault="00E82A60" w:rsidP="00300A01">
            <w:pPr>
              <w:spacing w:before="0" w:after="0"/>
              <w:rPr>
                <w:sz w:val="12"/>
                <w:szCs w:val="12"/>
                <w:lang w:val="fr-BE"/>
              </w:rPr>
            </w:pPr>
            <w:r w:rsidRPr="00D4605F">
              <w:rPr>
                <w:noProof/>
                <w:sz w:val="12"/>
                <w:szCs w:val="12"/>
                <w:lang w:val="fr-BE"/>
              </w:rPr>
              <w:t>szt.</w:t>
            </w:r>
          </w:p>
        </w:tc>
        <w:tc>
          <w:tcPr>
            <w:tcW w:w="0" w:type="auto"/>
            <w:shd w:val="clear" w:color="auto" w:fill="auto"/>
          </w:tcPr>
          <w:p w14:paraId="45194467" w14:textId="77777777" w:rsidR="008C5CFA" w:rsidRPr="00D4605F" w:rsidRDefault="00E82A60" w:rsidP="00300A01">
            <w:pPr>
              <w:spacing w:before="0" w:after="0"/>
              <w:rPr>
                <w:sz w:val="12"/>
                <w:szCs w:val="12"/>
                <w:lang w:val="fr-BE"/>
              </w:rPr>
            </w:pPr>
            <w:r w:rsidRPr="00D4605F">
              <w:rPr>
                <w:noProof/>
                <w:sz w:val="12"/>
                <w:szCs w:val="12"/>
                <w:lang w:val="fr-BE"/>
              </w:rPr>
              <w:t>EFRR</w:t>
            </w:r>
          </w:p>
        </w:tc>
        <w:tc>
          <w:tcPr>
            <w:tcW w:w="0" w:type="auto"/>
          </w:tcPr>
          <w:p w14:paraId="7561F0E4" w14:textId="77777777" w:rsidR="008C5CFA" w:rsidRPr="00D4605F" w:rsidRDefault="00E82A60" w:rsidP="00300A01">
            <w:pPr>
              <w:spacing w:before="0" w:after="0"/>
              <w:rPr>
                <w:sz w:val="12"/>
                <w:szCs w:val="12"/>
                <w:lang w:val="fr-BE"/>
              </w:rPr>
            </w:pPr>
            <w:r w:rsidRPr="00D4605F">
              <w:rPr>
                <w:noProof/>
                <w:sz w:val="12"/>
                <w:szCs w:val="12"/>
                <w:lang w:val="fr-BE"/>
              </w:rPr>
              <w:t>Słabiej rozwinięte</w:t>
            </w:r>
          </w:p>
        </w:tc>
        <w:tc>
          <w:tcPr>
            <w:tcW w:w="0" w:type="auto"/>
          </w:tcPr>
          <w:p w14:paraId="496353FD" w14:textId="77777777" w:rsidR="008C5CFA" w:rsidRPr="00D4605F" w:rsidRDefault="00E82A60" w:rsidP="00300A01">
            <w:pPr>
              <w:spacing w:before="0" w:after="0"/>
              <w:rPr>
                <w:sz w:val="12"/>
                <w:szCs w:val="12"/>
                <w:lang w:val="fr-BE"/>
              </w:rPr>
            </w:pPr>
            <w:r w:rsidRPr="00D4605F">
              <w:rPr>
                <w:noProof/>
                <w:sz w:val="12"/>
                <w:szCs w:val="12"/>
                <w:lang w:val="fr-BE"/>
              </w:rPr>
              <w:t>4</w:t>
            </w:r>
          </w:p>
        </w:tc>
        <w:tc>
          <w:tcPr>
            <w:tcW w:w="0" w:type="auto"/>
          </w:tcPr>
          <w:p w14:paraId="0299DFD0" w14:textId="77777777" w:rsidR="008C5CFA" w:rsidRPr="00D4605F" w:rsidRDefault="008C5CFA" w:rsidP="00300A01">
            <w:pPr>
              <w:spacing w:before="0" w:after="0"/>
              <w:rPr>
                <w:sz w:val="12"/>
                <w:szCs w:val="12"/>
                <w:lang w:val="fr-BE"/>
              </w:rPr>
            </w:pPr>
          </w:p>
        </w:tc>
        <w:tc>
          <w:tcPr>
            <w:tcW w:w="0" w:type="auto"/>
          </w:tcPr>
          <w:p w14:paraId="642BEC4D" w14:textId="77777777" w:rsidR="008C5CFA" w:rsidRPr="00D4605F" w:rsidRDefault="008C5CFA" w:rsidP="00300A01">
            <w:pPr>
              <w:spacing w:before="0" w:after="0"/>
              <w:rPr>
                <w:sz w:val="12"/>
                <w:szCs w:val="12"/>
                <w:lang w:val="fr-BE"/>
              </w:rPr>
            </w:pPr>
          </w:p>
        </w:tc>
        <w:tc>
          <w:tcPr>
            <w:tcW w:w="0" w:type="auto"/>
          </w:tcPr>
          <w:p w14:paraId="04153998" w14:textId="77777777" w:rsidR="008C5CFA" w:rsidRPr="00B05D34" w:rsidRDefault="00E82A60" w:rsidP="00136029">
            <w:pPr>
              <w:spacing w:before="0" w:after="0"/>
              <w:jc w:val="right"/>
              <w:rPr>
                <w:sz w:val="12"/>
                <w:szCs w:val="12"/>
                <w:lang w:val="fr-BE"/>
              </w:rPr>
            </w:pPr>
            <w:r w:rsidRPr="00B05D34">
              <w:rPr>
                <w:noProof/>
                <w:sz w:val="12"/>
                <w:szCs w:val="12"/>
                <w:lang w:val="fr-BE"/>
              </w:rPr>
              <w:t>21,00</w:t>
            </w:r>
          </w:p>
        </w:tc>
        <w:tc>
          <w:tcPr>
            <w:tcW w:w="0" w:type="auto"/>
          </w:tcPr>
          <w:p w14:paraId="3D4F2AC0" w14:textId="77777777" w:rsidR="008C5CFA" w:rsidRPr="00B05D34" w:rsidRDefault="008C5CFA" w:rsidP="00300A01">
            <w:pPr>
              <w:spacing w:before="0" w:after="0"/>
              <w:jc w:val="right"/>
              <w:rPr>
                <w:sz w:val="12"/>
                <w:szCs w:val="12"/>
                <w:lang w:val="fr-BE"/>
              </w:rPr>
            </w:pPr>
          </w:p>
        </w:tc>
        <w:tc>
          <w:tcPr>
            <w:tcW w:w="0" w:type="auto"/>
          </w:tcPr>
          <w:p w14:paraId="2127D9E0" w14:textId="77777777" w:rsidR="008C5CFA" w:rsidRPr="00B05D34" w:rsidRDefault="008C5CFA" w:rsidP="00300A01">
            <w:pPr>
              <w:spacing w:before="0" w:after="0"/>
              <w:jc w:val="right"/>
              <w:rPr>
                <w:sz w:val="12"/>
                <w:szCs w:val="12"/>
                <w:lang w:val="fr-BE"/>
              </w:rPr>
            </w:pPr>
          </w:p>
        </w:tc>
      </w:tr>
      <w:tr w:rsidR="006B2EC1" w14:paraId="427584F2" w14:textId="77777777" w:rsidTr="0047688D">
        <w:tc>
          <w:tcPr>
            <w:tcW w:w="0" w:type="auto"/>
            <w:shd w:val="clear" w:color="auto" w:fill="auto"/>
          </w:tcPr>
          <w:p w14:paraId="34058CB2" w14:textId="77777777" w:rsidR="008C5CFA" w:rsidRPr="00D4605F" w:rsidRDefault="00E82A60" w:rsidP="00300A01">
            <w:pPr>
              <w:spacing w:before="0" w:after="0"/>
              <w:rPr>
                <w:sz w:val="12"/>
                <w:szCs w:val="12"/>
                <w:lang w:val="fr-BE"/>
              </w:rPr>
            </w:pPr>
            <w:r w:rsidRPr="00D4605F">
              <w:rPr>
                <w:noProof/>
                <w:sz w:val="12"/>
                <w:szCs w:val="12"/>
                <w:lang w:val="fr-BE"/>
              </w:rPr>
              <w:t>8</w:t>
            </w:r>
          </w:p>
        </w:tc>
        <w:tc>
          <w:tcPr>
            <w:tcW w:w="0" w:type="auto"/>
            <w:shd w:val="clear" w:color="auto" w:fill="auto"/>
          </w:tcPr>
          <w:p w14:paraId="53F356AA" w14:textId="77777777" w:rsidR="008C5CFA" w:rsidRPr="00D4605F" w:rsidRDefault="00E82A60" w:rsidP="00300A01">
            <w:pPr>
              <w:spacing w:before="0" w:after="0"/>
              <w:rPr>
                <w:sz w:val="12"/>
                <w:szCs w:val="12"/>
                <w:lang w:val="fr-BE"/>
              </w:rPr>
            </w:pPr>
            <w:r w:rsidRPr="00D4605F">
              <w:rPr>
                <w:noProof/>
                <w:sz w:val="12"/>
                <w:szCs w:val="12"/>
                <w:lang w:val="fr-BE"/>
              </w:rPr>
              <w:t>F</w:t>
            </w:r>
          </w:p>
        </w:tc>
        <w:tc>
          <w:tcPr>
            <w:tcW w:w="0" w:type="auto"/>
            <w:shd w:val="clear" w:color="auto" w:fill="auto"/>
          </w:tcPr>
          <w:p w14:paraId="395094F8" w14:textId="77777777" w:rsidR="008C5CFA" w:rsidRPr="00D4605F" w:rsidRDefault="00E82A60" w:rsidP="00300A01">
            <w:pPr>
              <w:spacing w:before="0" w:after="0"/>
              <w:rPr>
                <w:sz w:val="12"/>
                <w:szCs w:val="12"/>
                <w:lang w:val="fr-BE"/>
              </w:rPr>
            </w:pPr>
            <w:r w:rsidRPr="00D4605F">
              <w:rPr>
                <w:noProof/>
                <w:sz w:val="12"/>
                <w:szCs w:val="12"/>
                <w:lang w:val="fr-BE"/>
              </w:rPr>
              <w:t>001</w:t>
            </w:r>
          </w:p>
        </w:tc>
        <w:tc>
          <w:tcPr>
            <w:tcW w:w="0" w:type="auto"/>
            <w:shd w:val="clear" w:color="auto" w:fill="auto"/>
          </w:tcPr>
          <w:p w14:paraId="636FC66F" w14:textId="77777777" w:rsidR="008C5CFA" w:rsidRPr="00D4605F" w:rsidRDefault="00E82A60" w:rsidP="00300A01">
            <w:pPr>
              <w:spacing w:before="0" w:after="0"/>
              <w:rPr>
                <w:sz w:val="12"/>
                <w:szCs w:val="12"/>
                <w:lang w:val="fr-BE"/>
              </w:rPr>
            </w:pPr>
            <w:r w:rsidRPr="00D4605F">
              <w:rPr>
                <w:noProof/>
                <w:sz w:val="12"/>
                <w:szCs w:val="12"/>
                <w:lang w:val="fr-BE"/>
              </w:rPr>
              <w:t>Całkowita kwota certyfikowanych wydatków kwalifikowalnych</w:t>
            </w:r>
          </w:p>
        </w:tc>
        <w:tc>
          <w:tcPr>
            <w:tcW w:w="0" w:type="auto"/>
            <w:shd w:val="clear" w:color="auto" w:fill="auto"/>
          </w:tcPr>
          <w:p w14:paraId="521C7015" w14:textId="77777777" w:rsidR="008C5CFA" w:rsidRPr="00D4605F" w:rsidRDefault="00E82A60" w:rsidP="00300A01">
            <w:pPr>
              <w:spacing w:before="0" w:after="0"/>
              <w:rPr>
                <w:sz w:val="12"/>
                <w:szCs w:val="12"/>
                <w:lang w:val="fr-BE"/>
              </w:rPr>
            </w:pPr>
            <w:r w:rsidRPr="00D4605F">
              <w:rPr>
                <w:noProof/>
                <w:sz w:val="12"/>
                <w:szCs w:val="12"/>
                <w:lang w:val="fr-BE"/>
              </w:rPr>
              <w:t>EUR</w:t>
            </w:r>
          </w:p>
        </w:tc>
        <w:tc>
          <w:tcPr>
            <w:tcW w:w="0" w:type="auto"/>
            <w:shd w:val="clear" w:color="auto" w:fill="auto"/>
          </w:tcPr>
          <w:p w14:paraId="2804B4B7" w14:textId="77777777" w:rsidR="008C5CFA" w:rsidRPr="00D4605F" w:rsidRDefault="00E82A60" w:rsidP="00300A01">
            <w:pPr>
              <w:spacing w:before="0" w:after="0"/>
              <w:rPr>
                <w:sz w:val="12"/>
                <w:szCs w:val="12"/>
                <w:lang w:val="fr-BE"/>
              </w:rPr>
            </w:pPr>
            <w:r w:rsidRPr="00D4605F">
              <w:rPr>
                <w:noProof/>
                <w:sz w:val="12"/>
                <w:szCs w:val="12"/>
                <w:lang w:val="fr-BE"/>
              </w:rPr>
              <w:t>EFS</w:t>
            </w:r>
          </w:p>
        </w:tc>
        <w:tc>
          <w:tcPr>
            <w:tcW w:w="0" w:type="auto"/>
          </w:tcPr>
          <w:p w14:paraId="57959736" w14:textId="77777777" w:rsidR="008C5CFA" w:rsidRPr="00D4605F" w:rsidRDefault="00E82A60" w:rsidP="00300A01">
            <w:pPr>
              <w:spacing w:before="0" w:after="0"/>
              <w:rPr>
                <w:sz w:val="12"/>
                <w:szCs w:val="12"/>
                <w:lang w:val="fr-BE"/>
              </w:rPr>
            </w:pPr>
            <w:r w:rsidRPr="00D4605F">
              <w:rPr>
                <w:noProof/>
                <w:sz w:val="12"/>
                <w:szCs w:val="12"/>
                <w:lang w:val="fr-BE"/>
              </w:rPr>
              <w:t>Słabiej rozwinięte</w:t>
            </w:r>
          </w:p>
        </w:tc>
        <w:tc>
          <w:tcPr>
            <w:tcW w:w="0" w:type="auto"/>
          </w:tcPr>
          <w:p w14:paraId="20D6DE71" w14:textId="77777777" w:rsidR="008C5CFA" w:rsidRPr="00D4605F" w:rsidRDefault="00E82A60" w:rsidP="00300A01">
            <w:pPr>
              <w:spacing w:before="0" w:after="0"/>
              <w:rPr>
                <w:sz w:val="12"/>
                <w:szCs w:val="12"/>
                <w:lang w:val="fr-BE"/>
              </w:rPr>
            </w:pPr>
            <w:r w:rsidRPr="00D4605F">
              <w:rPr>
                <w:noProof/>
                <w:sz w:val="12"/>
                <w:szCs w:val="12"/>
                <w:lang w:val="fr-BE"/>
              </w:rPr>
              <w:t>21835945,00</w:t>
            </w:r>
          </w:p>
        </w:tc>
        <w:tc>
          <w:tcPr>
            <w:tcW w:w="0" w:type="auto"/>
          </w:tcPr>
          <w:p w14:paraId="6E205723" w14:textId="77777777" w:rsidR="008C5CFA" w:rsidRPr="00D4605F" w:rsidRDefault="008C5CFA" w:rsidP="00300A01">
            <w:pPr>
              <w:spacing w:before="0" w:after="0"/>
              <w:rPr>
                <w:sz w:val="12"/>
                <w:szCs w:val="12"/>
                <w:lang w:val="fr-BE"/>
              </w:rPr>
            </w:pPr>
          </w:p>
        </w:tc>
        <w:tc>
          <w:tcPr>
            <w:tcW w:w="0" w:type="auto"/>
          </w:tcPr>
          <w:p w14:paraId="69BBBB7E" w14:textId="77777777" w:rsidR="008C5CFA" w:rsidRPr="00D4605F" w:rsidRDefault="008C5CFA" w:rsidP="00300A01">
            <w:pPr>
              <w:spacing w:before="0" w:after="0"/>
              <w:rPr>
                <w:sz w:val="12"/>
                <w:szCs w:val="12"/>
                <w:lang w:val="fr-BE"/>
              </w:rPr>
            </w:pPr>
          </w:p>
        </w:tc>
        <w:tc>
          <w:tcPr>
            <w:tcW w:w="0" w:type="auto"/>
          </w:tcPr>
          <w:p w14:paraId="6214D29F" w14:textId="77777777" w:rsidR="008C5CFA" w:rsidRPr="00B05D34" w:rsidRDefault="00E82A60" w:rsidP="00136029">
            <w:pPr>
              <w:spacing w:before="0" w:after="0"/>
              <w:jc w:val="right"/>
              <w:rPr>
                <w:sz w:val="12"/>
                <w:szCs w:val="12"/>
                <w:lang w:val="fr-BE"/>
              </w:rPr>
            </w:pPr>
            <w:r w:rsidRPr="00B05D34">
              <w:rPr>
                <w:noProof/>
                <w:sz w:val="12"/>
                <w:szCs w:val="12"/>
                <w:lang w:val="fr-BE"/>
              </w:rPr>
              <w:t>128 453 308,00</w:t>
            </w:r>
          </w:p>
        </w:tc>
        <w:tc>
          <w:tcPr>
            <w:tcW w:w="0" w:type="auto"/>
          </w:tcPr>
          <w:p w14:paraId="53E115A5" w14:textId="77777777" w:rsidR="008C5CFA" w:rsidRPr="00B05D34" w:rsidRDefault="008C5CFA" w:rsidP="00300A01">
            <w:pPr>
              <w:spacing w:before="0" w:after="0"/>
              <w:jc w:val="right"/>
              <w:rPr>
                <w:sz w:val="12"/>
                <w:szCs w:val="12"/>
                <w:lang w:val="fr-BE"/>
              </w:rPr>
            </w:pPr>
          </w:p>
        </w:tc>
        <w:tc>
          <w:tcPr>
            <w:tcW w:w="0" w:type="auto"/>
          </w:tcPr>
          <w:p w14:paraId="7D084CC1" w14:textId="77777777" w:rsidR="008C5CFA" w:rsidRPr="00B05D34" w:rsidRDefault="008C5CFA" w:rsidP="00300A01">
            <w:pPr>
              <w:spacing w:before="0" w:after="0"/>
              <w:jc w:val="right"/>
              <w:rPr>
                <w:sz w:val="12"/>
                <w:szCs w:val="12"/>
                <w:lang w:val="fr-BE"/>
              </w:rPr>
            </w:pPr>
          </w:p>
        </w:tc>
      </w:tr>
      <w:tr w:rsidR="006B2EC1" w14:paraId="5ADCEB37" w14:textId="77777777" w:rsidTr="0047688D">
        <w:tc>
          <w:tcPr>
            <w:tcW w:w="0" w:type="auto"/>
            <w:shd w:val="clear" w:color="auto" w:fill="auto"/>
          </w:tcPr>
          <w:p w14:paraId="317A0311" w14:textId="77777777" w:rsidR="008C5CFA" w:rsidRPr="00D4605F" w:rsidRDefault="00E82A60" w:rsidP="00300A01">
            <w:pPr>
              <w:spacing w:before="0" w:after="0"/>
              <w:rPr>
                <w:sz w:val="12"/>
                <w:szCs w:val="12"/>
                <w:lang w:val="fr-BE"/>
              </w:rPr>
            </w:pPr>
            <w:r w:rsidRPr="00D4605F">
              <w:rPr>
                <w:noProof/>
                <w:sz w:val="12"/>
                <w:szCs w:val="12"/>
                <w:lang w:val="fr-BE"/>
              </w:rPr>
              <w:t>8</w:t>
            </w:r>
          </w:p>
        </w:tc>
        <w:tc>
          <w:tcPr>
            <w:tcW w:w="0" w:type="auto"/>
            <w:shd w:val="clear" w:color="auto" w:fill="auto"/>
          </w:tcPr>
          <w:p w14:paraId="30D48422" w14:textId="77777777" w:rsidR="008C5CFA" w:rsidRPr="00D4605F" w:rsidRDefault="00E82A60" w:rsidP="00300A01">
            <w:pPr>
              <w:spacing w:before="0" w:after="0"/>
              <w:rPr>
                <w:sz w:val="12"/>
                <w:szCs w:val="12"/>
                <w:lang w:val="fr-BE"/>
              </w:rPr>
            </w:pPr>
            <w:r w:rsidRPr="00D4605F">
              <w:rPr>
                <w:noProof/>
                <w:sz w:val="12"/>
                <w:szCs w:val="12"/>
                <w:lang w:val="fr-BE"/>
              </w:rPr>
              <w:t>O</w:t>
            </w:r>
          </w:p>
        </w:tc>
        <w:tc>
          <w:tcPr>
            <w:tcW w:w="0" w:type="auto"/>
            <w:shd w:val="clear" w:color="auto" w:fill="auto"/>
          </w:tcPr>
          <w:p w14:paraId="63DDE7D6" w14:textId="77777777" w:rsidR="008C5CFA" w:rsidRPr="00D4605F" w:rsidRDefault="00E82A60" w:rsidP="00300A01">
            <w:pPr>
              <w:spacing w:before="0" w:after="0"/>
              <w:rPr>
                <w:sz w:val="12"/>
                <w:szCs w:val="12"/>
                <w:lang w:val="fr-BE"/>
              </w:rPr>
            </w:pPr>
            <w:r w:rsidRPr="00D4605F">
              <w:rPr>
                <w:noProof/>
                <w:sz w:val="12"/>
                <w:szCs w:val="12"/>
                <w:lang w:val="fr-BE"/>
              </w:rPr>
              <w:t>004</w:t>
            </w:r>
          </w:p>
        </w:tc>
        <w:tc>
          <w:tcPr>
            <w:tcW w:w="0" w:type="auto"/>
            <w:shd w:val="clear" w:color="auto" w:fill="auto"/>
          </w:tcPr>
          <w:p w14:paraId="5313F4A0" w14:textId="77777777" w:rsidR="008C5CFA" w:rsidRPr="00D4605F" w:rsidRDefault="00E82A60" w:rsidP="00300A01">
            <w:pPr>
              <w:spacing w:before="0" w:after="0"/>
              <w:rPr>
                <w:sz w:val="12"/>
                <w:szCs w:val="12"/>
                <w:lang w:val="fr-BE"/>
              </w:rPr>
            </w:pPr>
            <w:r w:rsidRPr="00D4605F">
              <w:rPr>
                <w:noProof/>
                <w:sz w:val="12"/>
                <w:szCs w:val="12"/>
                <w:lang w:val="fr-BE"/>
              </w:rPr>
              <w:t>Liczba osób opiekujących się dziećmi w wieku do lat 3 objętych wsparciem w programie</w:t>
            </w:r>
          </w:p>
        </w:tc>
        <w:tc>
          <w:tcPr>
            <w:tcW w:w="0" w:type="auto"/>
            <w:shd w:val="clear" w:color="auto" w:fill="auto"/>
          </w:tcPr>
          <w:p w14:paraId="3F9C8FF1" w14:textId="77777777" w:rsidR="008C5CFA" w:rsidRPr="00D4605F" w:rsidRDefault="00E82A60" w:rsidP="00300A01">
            <w:pPr>
              <w:spacing w:before="0" w:after="0"/>
              <w:rPr>
                <w:sz w:val="12"/>
                <w:szCs w:val="12"/>
                <w:lang w:val="fr-BE"/>
              </w:rPr>
            </w:pPr>
            <w:r w:rsidRPr="00D4605F">
              <w:rPr>
                <w:noProof/>
                <w:sz w:val="12"/>
                <w:szCs w:val="12"/>
                <w:lang w:val="fr-BE"/>
              </w:rPr>
              <w:t>osoba</w:t>
            </w:r>
          </w:p>
        </w:tc>
        <w:tc>
          <w:tcPr>
            <w:tcW w:w="0" w:type="auto"/>
            <w:shd w:val="clear" w:color="auto" w:fill="auto"/>
          </w:tcPr>
          <w:p w14:paraId="744AE704" w14:textId="77777777" w:rsidR="008C5CFA" w:rsidRPr="00D4605F" w:rsidRDefault="00E82A60" w:rsidP="00300A01">
            <w:pPr>
              <w:spacing w:before="0" w:after="0"/>
              <w:rPr>
                <w:sz w:val="12"/>
                <w:szCs w:val="12"/>
                <w:lang w:val="fr-BE"/>
              </w:rPr>
            </w:pPr>
            <w:r w:rsidRPr="00D4605F">
              <w:rPr>
                <w:noProof/>
                <w:sz w:val="12"/>
                <w:szCs w:val="12"/>
                <w:lang w:val="fr-BE"/>
              </w:rPr>
              <w:t>EFS</w:t>
            </w:r>
          </w:p>
        </w:tc>
        <w:tc>
          <w:tcPr>
            <w:tcW w:w="0" w:type="auto"/>
          </w:tcPr>
          <w:p w14:paraId="788D75D1" w14:textId="77777777" w:rsidR="008C5CFA" w:rsidRPr="00D4605F" w:rsidRDefault="00E82A60" w:rsidP="00300A01">
            <w:pPr>
              <w:spacing w:before="0" w:after="0"/>
              <w:rPr>
                <w:sz w:val="12"/>
                <w:szCs w:val="12"/>
                <w:lang w:val="fr-BE"/>
              </w:rPr>
            </w:pPr>
            <w:r w:rsidRPr="00D4605F">
              <w:rPr>
                <w:noProof/>
                <w:sz w:val="12"/>
                <w:szCs w:val="12"/>
                <w:lang w:val="fr-BE"/>
              </w:rPr>
              <w:t>Słabiej rozwinięte</w:t>
            </w:r>
          </w:p>
        </w:tc>
        <w:tc>
          <w:tcPr>
            <w:tcW w:w="0" w:type="auto"/>
          </w:tcPr>
          <w:p w14:paraId="65EDCC62" w14:textId="77777777" w:rsidR="008C5CFA" w:rsidRPr="00D4605F" w:rsidRDefault="00E82A60" w:rsidP="00300A01">
            <w:pPr>
              <w:spacing w:before="0" w:after="0"/>
              <w:rPr>
                <w:sz w:val="12"/>
                <w:szCs w:val="12"/>
                <w:lang w:val="fr-BE"/>
              </w:rPr>
            </w:pPr>
            <w:r w:rsidRPr="00D4605F">
              <w:rPr>
                <w:noProof/>
                <w:sz w:val="12"/>
                <w:szCs w:val="12"/>
                <w:lang w:val="fr-BE"/>
              </w:rPr>
              <w:t>466</w:t>
            </w:r>
          </w:p>
        </w:tc>
        <w:tc>
          <w:tcPr>
            <w:tcW w:w="0" w:type="auto"/>
          </w:tcPr>
          <w:p w14:paraId="6EC6B65F" w14:textId="77777777" w:rsidR="008C5CFA" w:rsidRPr="00D4605F" w:rsidRDefault="008C5CFA" w:rsidP="00300A01">
            <w:pPr>
              <w:spacing w:before="0" w:after="0"/>
              <w:rPr>
                <w:sz w:val="12"/>
                <w:szCs w:val="12"/>
                <w:lang w:val="fr-BE"/>
              </w:rPr>
            </w:pPr>
          </w:p>
        </w:tc>
        <w:tc>
          <w:tcPr>
            <w:tcW w:w="0" w:type="auto"/>
          </w:tcPr>
          <w:p w14:paraId="584F547E" w14:textId="77777777" w:rsidR="008C5CFA" w:rsidRPr="00D4605F" w:rsidRDefault="008C5CFA" w:rsidP="00300A01">
            <w:pPr>
              <w:spacing w:before="0" w:after="0"/>
              <w:rPr>
                <w:sz w:val="12"/>
                <w:szCs w:val="12"/>
                <w:lang w:val="fr-BE"/>
              </w:rPr>
            </w:pPr>
          </w:p>
        </w:tc>
        <w:tc>
          <w:tcPr>
            <w:tcW w:w="0" w:type="auto"/>
          </w:tcPr>
          <w:p w14:paraId="76695AE2" w14:textId="77777777" w:rsidR="008C5CFA" w:rsidRPr="00B05D34" w:rsidRDefault="00E82A60" w:rsidP="00136029">
            <w:pPr>
              <w:spacing w:before="0" w:after="0"/>
              <w:jc w:val="right"/>
              <w:rPr>
                <w:sz w:val="12"/>
                <w:szCs w:val="12"/>
                <w:lang w:val="fr-BE"/>
              </w:rPr>
            </w:pPr>
            <w:r w:rsidRPr="00B05D34">
              <w:rPr>
                <w:noProof/>
                <w:sz w:val="12"/>
                <w:szCs w:val="12"/>
                <w:lang w:val="fr-BE"/>
              </w:rPr>
              <w:t>1 166,00</w:t>
            </w:r>
          </w:p>
        </w:tc>
        <w:tc>
          <w:tcPr>
            <w:tcW w:w="0" w:type="auto"/>
          </w:tcPr>
          <w:p w14:paraId="42D08CA2" w14:textId="77777777" w:rsidR="008C5CFA" w:rsidRPr="00B05D34" w:rsidRDefault="008C5CFA" w:rsidP="00300A01">
            <w:pPr>
              <w:spacing w:before="0" w:after="0"/>
              <w:jc w:val="right"/>
              <w:rPr>
                <w:sz w:val="12"/>
                <w:szCs w:val="12"/>
                <w:lang w:val="fr-BE"/>
              </w:rPr>
            </w:pPr>
          </w:p>
        </w:tc>
        <w:tc>
          <w:tcPr>
            <w:tcW w:w="0" w:type="auto"/>
          </w:tcPr>
          <w:p w14:paraId="55AFF87E" w14:textId="77777777" w:rsidR="008C5CFA" w:rsidRPr="00B05D34" w:rsidRDefault="008C5CFA" w:rsidP="00300A01">
            <w:pPr>
              <w:spacing w:before="0" w:after="0"/>
              <w:jc w:val="right"/>
              <w:rPr>
                <w:sz w:val="12"/>
                <w:szCs w:val="12"/>
                <w:lang w:val="fr-BE"/>
              </w:rPr>
            </w:pPr>
          </w:p>
        </w:tc>
      </w:tr>
      <w:tr w:rsidR="006B2EC1" w14:paraId="2C1BDBF8" w14:textId="77777777" w:rsidTr="0047688D">
        <w:tc>
          <w:tcPr>
            <w:tcW w:w="0" w:type="auto"/>
            <w:shd w:val="clear" w:color="auto" w:fill="auto"/>
          </w:tcPr>
          <w:p w14:paraId="683876F8" w14:textId="77777777" w:rsidR="008C5CFA" w:rsidRPr="00D4605F" w:rsidRDefault="00E82A60" w:rsidP="00300A01">
            <w:pPr>
              <w:spacing w:before="0" w:after="0"/>
              <w:rPr>
                <w:sz w:val="12"/>
                <w:szCs w:val="12"/>
                <w:lang w:val="fr-BE"/>
              </w:rPr>
            </w:pPr>
            <w:r w:rsidRPr="00D4605F">
              <w:rPr>
                <w:noProof/>
                <w:sz w:val="12"/>
                <w:szCs w:val="12"/>
                <w:lang w:val="fr-BE"/>
              </w:rPr>
              <w:t>8</w:t>
            </w:r>
          </w:p>
        </w:tc>
        <w:tc>
          <w:tcPr>
            <w:tcW w:w="0" w:type="auto"/>
            <w:shd w:val="clear" w:color="auto" w:fill="auto"/>
          </w:tcPr>
          <w:p w14:paraId="5938E7B3" w14:textId="77777777" w:rsidR="008C5CFA" w:rsidRPr="00D4605F" w:rsidRDefault="00E82A60" w:rsidP="00300A01">
            <w:pPr>
              <w:spacing w:before="0" w:after="0"/>
              <w:rPr>
                <w:sz w:val="12"/>
                <w:szCs w:val="12"/>
                <w:lang w:val="fr-BE"/>
              </w:rPr>
            </w:pPr>
            <w:r w:rsidRPr="00D4605F">
              <w:rPr>
                <w:noProof/>
                <w:sz w:val="12"/>
                <w:szCs w:val="12"/>
                <w:lang w:val="fr-BE"/>
              </w:rPr>
              <w:t>O</w:t>
            </w:r>
          </w:p>
        </w:tc>
        <w:tc>
          <w:tcPr>
            <w:tcW w:w="0" w:type="auto"/>
            <w:shd w:val="clear" w:color="auto" w:fill="auto"/>
          </w:tcPr>
          <w:p w14:paraId="771DB589" w14:textId="77777777" w:rsidR="008C5CFA" w:rsidRPr="00D4605F" w:rsidRDefault="00E82A60" w:rsidP="00300A01">
            <w:pPr>
              <w:spacing w:before="0" w:after="0"/>
              <w:rPr>
                <w:sz w:val="12"/>
                <w:szCs w:val="12"/>
                <w:lang w:val="fr-BE"/>
              </w:rPr>
            </w:pPr>
            <w:r w:rsidRPr="00D4605F">
              <w:rPr>
                <w:noProof/>
                <w:sz w:val="12"/>
                <w:szCs w:val="12"/>
                <w:lang w:val="fr-BE"/>
              </w:rPr>
              <w:t>102</w:t>
            </w:r>
          </w:p>
        </w:tc>
        <w:tc>
          <w:tcPr>
            <w:tcW w:w="0" w:type="auto"/>
            <w:shd w:val="clear" w:color="auto" w:fill="auto"/>
          </w:tcPr>
          <w:p w14:paraId="49CA3E1B" w14:textId="77777777" w:rsidR="008C5CFA" w:rsidRPr="00D4605F" w:rsidRDefault="00E82A60" w:rsidP="00300A01">
            <w:pPr>
              <w:spacing w:before="0" w:after="0"/>
              <w:rPr>
                <w:sz w:val="12"/>
                <w:szCs w:val="12"/>
                <w:lang w:val="fr-BE"/>
              </w:rPr>
            </w:pPr>
            <w:r w:rsidRPr="00D4605F">
              <w:rPr>
                <w:noProof/>
                <w:sz w:val="12"/>
                <w:szCs w:val="12"/>
                <w:lang w:val="fr-BE"/>
              </w:rPr>
              <w:t>Liczba uczniów objętych wsparciem w programie</w:t>
            </w:r>
          </w:p>
        </w:tc>
        <w:tc>
          <w:tcPr>
            <w:tcW w:w="0" w:type="auto"/>
            <w:shd w:val="clear" w:color="auto" w:fill="auto"/>
          </w:tcPr>
          <w:p w14:paraId="6EBD7D07" w14:textId="77777777" w:rsidR="008C5CFA" w:rsidRPr="00D4605F" w:rsidRDefault="00E82A60" w:rsidP="00300A01">
            <w:pPr>
              <w:spacing w:before="0" w:after="0"/>
              <w:rPr>
                <w:sz w:val="12"/>
                <w:szCs w:val="12"/>
                <w:lang w:val="fr-BE"/>
              </w:rPr>
            </w:pPr>
            <w:r w:rsidRPr="00D4605F">
              <w:rPr>
                <w:noProof/>
                <w:sz w:val="12"/>
                <w:szCs w:val="12"/>
                <w:lang w:val="fr-BE"/>
              </w:rPr>
              <w:t>osoba</w:t>
            </w:r>
          </w:p>
        </w:tc>
        <w:tc>
          <w:tcPr>
            <w:tcW w:w="0" w:type="auto"/>
            <w:shd w:val="clear" w:color="auto" w:fill="auto"/>
          </w:tcPr>
          <w:p w14:paraId="767272F8" w14:textId="77777777" w:rsidR="008C5CFA" w:rsidRPr="00D4605F" w:rsidRDefault="00E82A60" w:rsidP="00300A01">
            <w:pPr>
              <w:spacing w:before="0" w:after="0"/>
              <w:rPr>
                <w:sz w:val="12"/>
                <w:szCs w:val="12"/>
                <w:lang w:val="fr-BE"/>
              </w:rPr>
            </w:pPr>
            <w:r w:rsidRPr="00D4605F">
              <w:rPr>
                <w:noProof/>
                <w:sz w:val="12"/>
                <w:szCs w:val="12"/>
                <w:lang w:val="fr-BE"/>
              </w:rPr>
              <w:t>EFS</w:t>
            </w:r>
          </w:p>
        </w:tc>
        <w:tc>
          <w:tcPr>
            <w:tcW w:w="0" w:type="auto"/>
          </w:tcPr>
          <w:p w14:paraId="1FB196FF" w14:textId="77777777" w:rsidR="008C5CFA" w:rsidRPr="00D4605F" w:rsidRDefault="00E82A60" w:rsidP="00300A01">
            <w:pPr>
              <w:spacing w:before="0" w:after="0"/>
              <w:rPr>
                <w:sz w:val="12"/>
                <w:szCs w:val="12"/>
                <w:lang w:val="fr-BE"/>
              </w:rPr>
            </w:pPr>
            <w:r w:rsidRPr="00D4605F">
              <w:rPr>
                <w:noProof/>
                <w:sz w:val="12"/>
                <w:szCs w:val="12"/>
                <w:lang w:val="fr-BE"/>
              </w:rPr>
              <w:t>Słabiej rozwinięte</w:t>
            </w:r>
          </w:p>
        </w:tc>
        <w:tc>
          <w:tcPr>
            <w:tcW w:w="0" w:type="auto"/>
          </w:tcPr>
          <w:p w14:paraId="7AFA74B2" w14:textId="77777777" w:rsidR="008C5CFA" w:rsidRPr="00D4605F" w:rsidRDefault="00E82A60" w:rsidP="00300A01">
            <w:pPr>
              <w:spacing w:before="0" w:after="0"/>
              <w:rPr>
                <w:sz w:val="12"/>
                <w:szCs w:val="12"/>
                <w:lang w:val="fr-BE"/>
              </w:rPr>
            </w:pPr>
            <w:r w:rsidRPr="00D4605F">
              <w:rPr>
                <w:noProof/>
                <w:sz w:val="12"/>
                <w:szCs w:val="12"/>
                <w:lang w:val="fr-BE"/>
              </w:rPr>
              <w:t>9224</w:t>
            </w:r>
          </w:p>
        </w:tc>
        <w:tc>
          <w:tcPr>
            <w:tcW w:w="0" w:type="auto"/>
          </w:tcPr>
          <w:p w14:paraId="755BDC7A" w14:textId="77777777" w:rsidR="008C5CFA" w:rsidRPr="00D4605F" w:rsidRDefault="008C5CFA" w:rsidP="00300A01">
            <w:pPr>
              <w:spacing w:before="0" w:after="0"/>
              <w:rPr>
                <w:sz w:val="12"/>
                <w:szCs w:val="12"/>
                <w:lang w:val="fr-BE"/>
              </w:rPr>
            </w:pPr>
          </w:p>
        </w:tc>
        <w:tc>
          <w:tcPr>
            <w:tcW w:w="0" w:type="auto"/>
          </w:tcPr>
          <w:p w14:paraId="6026326C" w14:textId="77777777" w:rsidR="008C5CFA" w:rsidRPr="00D4605F" w:rsidRDefault="008C5CFA" w:rsidP="00300A01">
            <w:pPr>
              <w:spacing w:before="0" w:after="0"/>
              <w:rPr>
                <w:sz w:val="12"/>
                <w:szCs w:val="12"/>
                <w:lang w:val="fr-BE"/>
              </w:rPr>
            </w:pPr>
          </w:p>
        </w:tc>
        <w:tc>
          <w:tcPr>
            <w:tcW w:w="0" w:type="auto"/>
          </w:tcPr>
          <w:p w14:paraId="34694E0C" w14:textId="77777777" w:rsidR="008C5CFA" w:rsidRPr="00B05D34" w:rsidRDefault="00E82A60" w:rsidP="00136029">
            <w:pPr>
              <w:spacing w:before="0" w:after="0"/>
              <w:jc w:val="right"/>
              <w:rPr>
                <w:sz w:val="12"/>
                <w:szCs w:val="12"/>
                <w:lang w:val="fr-BE"/>
              </w:rPr>
            </w:pPr>
            <w:r w:rsidRPr="00B05D34">
              <w:rPr>
                <w:noProof/>
                <w:sz w:val="12"/>
                <w:szCs w:val="12"/>
                <w:lang w:val="fr-BE"/>
              </w:rPr>
              <w:t>23 060,00</w:t>
            </w:r>
          </w:p>
        </w:tc>
        <w:tc>
          <w:tcPr>
            <w:tcW w:w="0" w:type="auto"/>
          </w:tcPr>
          <w:p w14:paraId="46E40304" w14:textId="77777777" w:rsidR="008C5CFA" w:rsidRPr="00B05D34" w:rsidRDefault="008C5CFA" w:rsidP="00300A01">
            <w:pPr>
              <w:spacing w:before="0" w:after="0"/>
              <w:jc w:val="right"/>
              <w:rPr>
                <w:sz w:val="12"/>
                <w:szCs w:val="12"/>
                <w:lang w:val="fr-BE"/>
              </w:rPr>
            </w:pPr>
          </w:p>
        </w:tc>
        <w:tc>
          <w:tcPr>
            <w:tcW w:w="0" w:type="auto"/>
          </w:tcPr>
          <w:p w14:paraId="3454966E" w14:textId="77777777" w:rsidR="008C5CFA" w:rsidRPr="00B05D34" w:rsidRDefault="008C5CFA" w:rsidP="00300A01">
            <w:pPr>
              <w:spacing w:before="0" w:after="0"/>
              <w:jc w:val="right"/>
              <w:rPr>
                <w:sz w:val="12"/>
                <w:szCs w:val="12"/>
                <w:lang w:val="fr-BE"/>
              </w:rPr>
            </w:pPr>
          </w:p>
        </w:tc>
      </w:tr>
      <w:tr w:rsidR="006B2EC1" w14:paraId="4DA1A5B0" w14:textId="77777777" w:rsidTr="0047688D">
        <w:tc>
          <w:tcPr>
            <w:tcW w:w="0" w:type="auto"/>
            <w:shd w:val="clear" w:color="auto" w:fill="auto"/>
          </w:tcPr>
          <w:p w14:paraId="43D2830C" w14:textId="77777777" w:rsidR="008C5CFA" w:rsidRPr="00D4605F" w:rsidRDefault="00E82A60" w:rsidP="00300A01">
            <w:pPr>
              <w:spacing w:before="0" w:after="0"/>
              <w:rPr>
                <w:sz w:val="12"/>
                <w:szCs w:val="12"/>
                <w:lang w:val="fr-BE"/>
              </w:rPr>
            </w:pPr>
            <w:r w:rsidRPr="00D4605F">
              <w:rPr>
                <w:noProof/>
                <w:sz w:val="12"/>
                <w:szCs w:val="12"/>
                <w:lang w:val="fr-BE"/>
              </w:rPr>
              <w:t>8</w:t>
            </w:r>
          </w:p>
        </w:tc>
        <w:tc>
          <w:tcPr>
            <w:tcW w:w="0" w:type="auto"/>
            <w:shd w:val="clear" w:color="auto" w:fill="auto"/>
          </w:tcPr>
          <w:p w14:paraId="7DFA47E9" w14:textId="77777777" w:rsidR="008C5CFA" w:rsidRPr="00D4605F" w:rsidRDefault="00E82A60" w:rsidP="00300A01">
            <w:pPr>
              <w:spacing w:before="0" w:after="0"/>
              <w:rPr>
                <w:sz w:val="12"/>
                <w:szCs w:val="12"/>
                <w:lang w:val="fr-BE"/>
              </w:rPr>
            </w:pPr>
            <w:r w:rsidRPr="00D4605F">
              <w:rPr>
                <w:noProof/>
                <w:sz w:val="12"/>
                <w:szCs w:val="12"/>
                <w:lang w:val="fr-BE"/>
              </w:rPr>
              <w:t>O</w:t>
            </w:r>
          </w:p>
        </w:tc>
        <w:tc>
          <w:tcPr>
            <w:tcW w:w="0" w:type="auto"/>
            <w:shd w:val="clear" w:color="auto" w:fill="auto"/>
          </w:tcPr>
          <w:p w14:paraId="05A5ACB6" w14:textId="77777777" w:rsidR="008C5CFA" w:rsidRPr="00D4605F" w:rsidRDefault="00E82A60" w:rsidP="00300A01">
            <w:pPr>
              <w:spacing w:before="0" w:after="0"/>
              <w:rPr>
                <w:sz w:val="12"/>
                <w:szCs w:val="12"/>
                <w:lang w:val="fr-BE"/>
              </w:rPr>
            </w:pPr>
            <w:r w:rsidRPr="00D4605F">
              <w:rPr>
                <w:noProof/>
                <w:sz w:val="12"/>
                <w:szCs w:val="12"/>
                <w:lang w:val="fr-BE"/>
              </w:rPr>
              <w:t>98</w:t>
            </w:r>
          </w:p>
        </w:tc>
        <w:tc>
          <w:tcPr>
            <w:tcW w:w="0" w:type="auto"/>
            <w:shd w:val="clear" w:color="auto" w:fill="auto"/>
          </w:tcPr>
          <w:p w14:paraId="3FDF675B" w14:textId="77777777" w:rsidR="008C5CFA" w:rsidRPr="00D4605F" w:rsidRDefault="00E82A60" w:rsidP="00300A01">
            <w:pPr>
              <w:spacing w:before="0" w:after="0"/>
              <w:rPr>
                <w:sz w:val="12"/>
                <w:szCs w:val="12"/>
                <w:lang w:val="fr-BE"/>
              </w:rPr>
            </w:pPr>
            <w:r w:rsidRPr="00D4605F">
              <w:rPr>
                <w:noProof/>
                <w:sz w:val="12"/>
                <w:szCs w:val="12"/>
                <w:lang w:val="fr-BE"/>
              </w:rPr>
              <w:t>Liczba dzieci objętych w ramach programu dodatkowymi zajęciami zwiększającymi ich szanse edukacyjne w edukacji przedszkolnej</w:t>
            </w:r>
          </w:p>
        </w:tc>
        <w:tc>
          <w:tcPr>
            <w:tcW w:w="0" w:type="auto"/>
            <w:shd w:val="clear" w:color="auto" w:fill="auto"/>
          </w:tcPr>
          <w:p w14:paraId="788CF276" w14:textId="77777777" w:rsidR="008C5CFA" w:rsidRPr="00D4605F" w:rsidRDefault="00E82A60" w:rsidP="00300A01">
            <w:pPr>
              <w:spacing w:before="0" w:after="0"/>
              <w:rPr>
                <w:sz w:val="12"/>
                <w:szCs w:val="12"/>
                <w:lang w:val="fr-BE"/>
              </w:rPr>
            </w:pPr>
            <w:r w:rsidRPr="00D4605F">
              <w:rPr>
                <w:noProof/>
                <w:sz w:val="12"/>
                <w:szCs w:val="12"/>
                <w:lang w:val="fr-BE"/>
              </w:rPr>
              <w:t>osoba</w:t>
            </w:r>
          </w:p>
        </w:tc>
        <w:tc>
          <w:tcPr>
            <w:tcW w:w="0" w:type="auto"/>
            <w:shd w:val="clear" w:color="auto" w:fill="auto"/>
          </w:tcPr>
          <w:p w14:paraId="523E81FE" w14:textId="77777777" w:rsidR="008C5CFA" w:rsidRPr="00D4605F" w:rsidRDefault="00E82A60" w:rsidP="00300A01">
            <w:pPr>
              <w:spacing w:before="0" w:after="0"/>
              <w:rPr>
                <w:sz w:val="12"/>
                <w:szCs w:val="12"/>
                <w:lang w:val="fr-BE"/>
              </w:rPr>
            </w:pPr>
            <w:r w:rsidRPr="00D4605F">
              <w:rPr>
                <w:noProof/>
                <w:sz w:val="12"/>
                <w:szCs w:val="12"/>
                <w:lang w:val="fr-BE"/>
              </w:rPr>
              <w:t>EFS</w:t>
            </w:r>
          </w:p>
        </w:tc>
        <w:tc>
          <w:tcPr>
            <w:tcW w:w="0" w:type="auto"/>
          </w:tcPr>
          <w:p w14:paraId="430DC11E" w14:textId="77777777" w:rsidR="008C5CFA" w:rsidRPr="00D4605F" w:rsidRDefault="00E82A60" w:rsidP="00300A01">
            <w:pPr>
              <w:spacing w:before="0" w:after="0"/>
              <w:rPr>
                <w:sz w:val="12"/>
                <w:szCs w:val="12"/>
                <w:lang w:val="fr-BE"/>
              </w:rPr>
            </w:pPr>
            <w:r w:rsidRPr="00D4605F">
              <w:rPr>
                <w:noProof/>
                <w:sz w:val="12"/>
                <w:szCs w:val="12"/>
                <w:lang w:val="fr-BE"/>
              </w:rPr>
              <w:t>Słabiej rozwinięte</w:t>
            </w:r>
          </w:p>
        </w:tc>
        <w:tc>
          <w:tcPr>
            <w:tcW w:w="0" w:type="auto"/>
          </w:tcPr>
          <w:p w14:paraId="01B67F8F" w14:textId="77777777" w:rsidR="008C5CFA" w:rsidRPr="00D4605F" w:rsidRDefault="00E82A60" w:rsidP="00300A01">
            <w:pPr>
              <w:spacing w:before="0" w:after="0"/>
              <w:rPr>
                <w:sz w:val="12"/>
                <w:szCs w:val="12"/>
                <w:lang w:val="fr-BE"/>
              </w:rPr>
            </w:pPr>
            <w:r w:rsidRPr="00D4605F">
              <w:rPr>
                <w:noProof/>
                <w:sz w:val="12"/>
                <w:szCs w:val="12"/>
                <w:lang w:val="fr-BE"/>
              </w:rPr>
              <w:t>1751</w:t>
            </w:r>
          </w:p>
        </w:tc>
        <w:tc>
          <w:tcPr>
            <w:tcW w:w="0" w:type="auto"/>
          </w:tcPr>
          <w:p w14:paraId="51483464" w14:textId="77777777" w:rsidR="008C5CFA" w:rsidRPr="00D4605F" w:rsidRDefault="008C5CFA" w:rsidP="00300A01">
            <w:pPr>
              <w:spacing w:before="0" w:after="0"/>
              <w:rPr>
                <w:sz w:val="12"/>
                <w:szCs w:val="12"/>
                <w:lang w:val="fr-BE"/>
              </w:rPr>
            </w:pPr>
          </w:p>
        </w:tc>
        <w:tc>
          <w:tcPr>
            <w:tcW w:w="0" w:type="auto"/>
          </w:tcPr>
          <w:p w14:paraId="5A0EB6F2" w14:textId="77777777" w:rsidR="008C5CFA" w:rsidRPr="00D4605F" w:rsidRDefault="008C5CFA" w:rsidP="00300A01">
            <w:pPr>
              <w:spacing w:before="0" w:after="0"/>
              <w:rPr>
                <w:sz w:val="12"/>
                <w:szCs w:val="12"/>
                <w:lang w:val="fr-BE"/>
              </w:rPr>
            </w:pPr>
          </w:p>
        </w:tc>
        <w:tc>
          <w:tcPr>
            <w:tcW w:w="0" w:type="auto"/>
          </w:tcPr>
          <w:p w14:paraId="018D51DC" w14:textId="77777777" w:rsidR="008C5CFA" w:rsidRPr="00B05D34" w:rsidRDefault="00E82A60" w:rsidP="00136029">
            <w:pPr>
              <w:spacing w:before="0" w:after="0"/>
              <w:jc w:val="right"/>
              <w:rPr>
                <w:sz w:val="12"/>
                <w:szCs w:val="12"/>
                <w:lang w:val="fr-BE"/>
              </w:rPr>
            </w:pPr>
            <w:r w:rsidRPr="00B05D34">
              <w:rPr>
                <w:noProof/>
                <w:sz w:val="12"/>
                <w:szCs w:val="12"/>
                <w:lang w:val="fr-BE"/>
              </w:rPr>
              <w:t>4 378,00</w:t>
            </w:r>
          </w:p>
        </w:tc>
        <w:tc>
          <w:tcPr>
            <w:tcW w:w="0" w:type="auto"/>
          </w:tcPr>
          <w:p w14:paraId="258A26A3" w14:textId="77777777" w:rsidR="008C5CFA" w:rsidRPr="00B05D34" w:rsidRDefault="008C5CFA" w:rsidP="00300A01">
            <w:pPr>
              <w:spacing w:before="0" w:after="0"/>
              <w:jc w:val="right"/>
              <w:rPr>
                <w:sz w:val="12"/>
                <w:szCs w:val="12"/>
                <w:lang w:val="fr-BE"/>
              </w:rPr>
            </w:pPr>
          </w:p>
        </w:tc>
        <w:tc>
          <w:tcPr>
            <w:tcW w:w="0" w:type="auto"/>
          </w:tcPr>
          <w:p w14:paraId="3FF8FA28" w14:textId="77777777" w:rsidR="008C5CFA" w:rsidRPr="00B05D34" w:rsidRDefault="008C5CFA" w:rsidP="00300A01">
            <w:pPr>
              <w:spacing w:before="0" w:after="0"/>
              <w:jc w:val="right"/>
              <w:rPr>
                <w:sz w:val="12"/>
                <w:szCs w:val="12"/>
                <w:lang w:val="fr-BE"/>
              </w:rPr>
            </w:pPr>
          </w:p>
        </w:tc>
      </w:tr>
      <w:tr w:rsidR="006B2EC1" w14:paraId="18EAA616" w14:textId="77777777" w:rsidTr="0047688D">
        <w:tc>
          <w:tcPr>
            <w:tcW w:w="0" w:type="auto"/>
            <w:shd w:val="clear" w:color="auto" w:fill="auto"/>
          </w:tcPr>
          <w:p w14:paraId="4D5E284E" w14:textId="77777777" w:rsidR="008C5CFA" w:rsidRPr="00D4605F" w:rsidRDefault="00E82A60" w:rsidP="00300A01">
            <w:pPr>
              <w:spacing w:before="0" w:after="0"/>
              <w:rPr>
                <w:sz w:val="12"/>
                <w:szCs w:val="12"/>
                <w:lang w:val="fr-BE"/>
              </w:rPr>
            </w:pPr>
            <w:r w:rsidRPr="00D4605F">
              <w:rPr>
                <w:noProof/>
                <w:sz w:val="12"/>
                <w:szCs w:val="12"/>
                <w:lang w:val="fr-BE"/>
              </w:rPr>
              <w:t>9</w:t>
            </w:r>
          </w:p>
        </w:tc>
        <w:tc>
          <w:tcPr>
            <w:tcW w:w="0" w:type="auto"/>
            <w:shd w:val="clear" w:color="auto" w:fill="auto"/>
          </w:tcPr>
          <w:p w14:paraId="303D0A3C" w14:textId="77777777" w:rsidR="008C5CFA" w:rsidRPr="00D4605F" w:rsidRDefault="00E82A60" w:rsidP="00300A01">
            <w:pPr>
              <w:spacing w:before="0" w:after="0"/>
              <w:rPr>
                <w:sz w:val="12"/>
                <w:szCs w:val="12"/>
                <w:lang w:val="fr-BE"/>
              </w:rPr>
            </w:pPr>
            <w:r w:rsidRPr="00D4605F">
              <w:rPr>
                <w:noProof/>
                <w:sz w:val="12"/>
                <w:szCs w:val="12"/>
                <w:lang w:val="fr-BE"/>
              </w:rPr>
              <w:t>F</w:t>
            </w:r>
          </w:p>
        </w:tc>
        <w:tc>
          <w:tcPr>
            <w:tcW w:w="0" w:type="auto"/>
            <w:shd w:val="clear" w:color="auto" w:fill="auto"/>
          </w:tcPr>
          <w:p w14:paraId="30BE67BB" w14:textId="77777777" w:rsidR="008C5CFA" w:rsidRPr="00D4605F" w:rsidRDefault="00E82A60" w:rsidP="00300A01">
            <w:pPr>
              <w:spacing w:before="0" w:after="0"/>
              <w:rPr>
                <w:sz w:val="12"/>
                <w:szCs w:val="12"/>
                <w:lang w:val="fr-BE"/>
              </w:rPr>
            </w:pPr>
            <w:r w:rsidRPr="00D4605F">
              <w:rPr>
                <w:noProof/>
                <w:sz w:val="12"/>
                <w:szCs w:val="12"/>
                <w:lang w:val="fr-BE"/>
              </w:rPr>
              <w:t>001</w:t>
            </w:r>
          </w:p>
        </w:tc>
        <w:tc>
          <w:tcPr>
            <w:tcW w:w="0" w:type="auto"/>
            <w:shd w:val="clear" w:color="auto" w:fill="auto"/>
          </w:tcPr>
          <w:p w14:paraId="139E32CC" w14:textId="77777777" w:rsidR="008C5CFA" w:rsidRPr="00D4605F" w:rsidRDefault="00E82A60" w:rsidP="00300A01">
            <w:pPr>
              <w:spacing w:before="0" w:after="0"/>
              <w:rPr>
                <w:sz w:val="12"/>
                <w:szCs w:val="12"/>
                <w:lang w:val="fr-BE"/>
              </w:rPr>
            </w:pPr>
            <w:r w:rsidRPr="00D4605F">
              <w:rPr>
                <w:noProof/>
                <w:sz w:val="12"/>
                <w:szCs w:val="12"/>
                <w:lang w:val="fr-BE"/>
              </w:rPr>
              <w:t>Całkowita kwota certyfikowanych wydatków kwalifikowalnych</w:t>
            </w:r>
          </w:p>
        </w:tc>
        <w:tc>
          <w:tcPr>
            <w:tcW w:w="0" w:type="auto"/>
            <w:shd w:val="clear" w:color="auto" w:fill="auto"/>
          </w:tcPr>
          <w:p w14:paraId="370F88FD" w14:textId="77777777" w:rsidR="008C5CFA" w:rsidRPr="00D4605F" w:rsidRDefault="00E82A60" w:rsidP="00300A01">
            <w:pPr>
              <w:spacing w:before="0" w:after="0"/>
              <w:rPr>
                <w:sz w:val="12"/>
                <w:szCs w:val="12"/>
                <w:lang w:val="fr-BE"/>
              </w:rPr>
            </w:pPr>
            <w:r w:rsidRPr="00D4605F">
              <w:rPr>
                <w:noProof/>
                <w:sz w:val="12"/>
                <w:szCs w:val="12"/>
                <w:lang w:val="fr-BE"/>
              </w:rPr>
              <w:t>EUR</w:t>
            </w:r>
          </w:p>
        </w:tc>
        <w:tc>
          <w:tcPr>
            <w:tcW w:w="0" w:type="auto"/>
            <w:shd w:val="clear" w:color="auto" w:fill="auto"/>
          </w:tcPr>
          <w:p w14:paraId="6A071352" w14:textId="77777777" w:rsidR="008C5CFA" w:rsidRPr="00D4605F" w:rsidRDefault="00E82A60" w:rsidP="00300A01">
            <w:pPr>
              <w:spacing w:before="0" w:after="0"/>
              <w:rPr>
                <w:sz w:val="12"/>
                <w:szCs w:val="12"/>
                <w:lang w:val="fr-BE"/>
              </w:rPr>
            </w:pPr>
            <w:r w:rsidRPr="00D4605F">
              <w:rPr>
                <w:noProof/>
                <w:sz w:val="12"/>
                <w:szCs w:val="12"/>
                <w:lang w:val="fr-BE"/>
              </w:rPr>
              <w:t>EFS</w:t>
            </w:r>
          </w:p>
        </w:tc>
        <w:tc>
          <w:tcPr>
            <w:tcW w:w="0" w:type="auto"/>
          </w:tcPr>
          <w:p w14:paraId="2C7D2095" w14:textId="77777777" w:rsidR="008C5CFA" w:rsidRPr="00D4605F" w:rsidRDefault="00E82A60" w:rsidP="00300A01">
            <w:pPr>
              <w:spacing w:before="0" w:after="0"/>
              <w:rPr>
                <w:sz w:val="12"/>
                <w:szCs w:val="12"/>
                <w:lang w:val="fr-BE"/>
              </w:rPr>
            </w:pPr>
            <w:r w:rsidRPr="00D4605F">
              <w:rPr>
                <w:noProof/>
                <w:sz w:val="12"/>
                <w:szCs w:val="12"/>
                <w:lang w:val="fr-BE"/>
              </w:rPr>
              <w:t>Słabiej rozwinięte</w:t>
            </w:r>
          </w:p>
        </w:tc>
        <w:tc>
          <w:tcPr>
            <w:tcW w:w="0" w:type="auto"/>
          </w:tcPr>
          <w:p w14:paraId="5757CE44" w14:textId="77777777" w:rsidR="008C5CFA" w:rsidRPr="00D4605F" w:rsidRDefault="00E82A60" w:rsidP="00300A01">
            <w:pPr>
              <w:spacing w:before="0" w:after="0"/>
              <w:rPr>
                <w:sz w:val="12"/>
                <w:szCs w:val="12"/>
                <w:lang w:val="fr-BE"/>
              </w:rPr>
            </w:pPr>
            <w:r w:rsidRPr="00D4605F">
              <w:rPr>
                <w:noProof/>
                <w:sz w:val="12"/>
                <w:szCs w:val="12"/>
                <w:lang w:val="fr-BE"/>
              </w:rPr>
              <w:t>16 166 165,00</w:t>
            </w:r>
          </w:p>
        </w:tc>
        <w:tc>
          <w:tcPr>
            <w:tcW w:w="0" w:type="auto"/>
          </w:tcPr>
          <w:p w14:paraId="5E90F43F" w14:textId="77777777" w:rsidR="008C5CFA" w:rsidRPr="00D4605F" w:rsidRDefault="008C5CFA" w:rsidP="00300A01">
            <w:pPr>
              <w:spacing w:before="0" w:after="0"/>
              <w:rPr>
                <w:sz w:val="12"/>
                <w:szCs w:val="12"/>
                <w:lang w:val="fr-BE"/>
              </w:rPr>
            </w:pPr>
          </w:p>
        </w:tc>
        <w:tc>
          <w:tcPr>
            <w:tcW w:w="0" w:type="auto"/>
          </w:tcPr>
          <w:p w14:paraId="79F70427" w14:textId="77777777" w:rsidR="008C5CFA" w:rsidRPr="00D4605F" w:rsidRDefault="008C5CFA" w:rsidP="00300A01">
            <w:pPr>
              <w:spacing w:before="0" w:after="0"/>
              <w:rPr>
                <w:sz w:val="12"/>
                <w:szCs w:val="12"/>
                <w:lang w:val="fr-BE"/>
              </w:rPr>
            </w:pPr>
          </w:p>
        </w:tc>
        <w:tc>
          <w:tcPr>
            <w:tcW w:w="0" w:type="auto"/>
          </w:tcPr>
          <w:p w14:paraId="14674242" w14:textId="77777777" w:rsidR="008C5CFA" w:rsidRPr="00B05D34" w:rsidRDefault="00E82A60" w:rsidP="00136029">
            <w:pPr>
              <w:spacing w:before="0" w:after="0"/>
              <w:jc w:val="right"/>
              <w:rPr>
                <w:sz w:val="12"/>
                <w:szCs w:val="12"/>
                <w:lang w:val="fr-BE"/>
              </w:rPr>
            </w:pPr>
            <w:r w:rsidRPr="00B05D34">
              <w:rPr>
                <w:noProof/>
                <w:sz w:val="12"/>
                <w:szCs w:val="12"/>
                <w:lang w:val="fr-BE"/>
              </w:rPr>
              <w:t>117 146 096,00</w:t>
            </w:r>
          </w:p>
        </w:tc>
        <w:tc>
          <w:tcPr>
            <w:tcW w:w="0" w:type="auto"/>
          </w:tcPr>
          <w:p w14:paraId="58659BA4" w14:textId="77777777" w:rsidR="008C5CFA" w:rsidRPr="00B05D34" w:rsidRDefault="008C5CFA" w:rsidP="00300A01">
            <w:pPr>
              <w:spacing w:before="0" w:after="0"/>
              <w:jc w:val="right"/>
              <w:rPr>
                <w:sz w:val="12"/>
                <w:szCs w:val="12"/>
                <w:lang w:val="fr-BE"/>
              </w:rPr>
            </w:pPr>
          </w:p>
        </w:tc>
        <w:tc>
          <w:tcPr>
            <w:tcW w:w="0" w:type="auto"/>
          </w:tcPr>
          <w:p w14:paraId="4D10CF39" w14:textId="77777777" w:rsidR="008C5CFA" w:rsidRPr="00B05D34" w:rsidRDefault="008C5CFA" w:rsidP="00300A01">
            <w:pPr>
              <w:spacing w:before="0" w:after="0"/>
              <w:jc w:val="right"/>
              <w:rPr>
                <w:sz w:val="12"/>
                <w:szCs w:val="12"/>
                <w:lang w:val="fr-BE"/>
              </w:rPr>
            </w:pPr>
          </w:p>
        </w:tc>
      </w:tr>
      <w:tr w:rsidR="006B2EC1" w14:paraId="4D2BDC63" w14:textId="77777777" w:rsidTr="0047688D">
        <w:tc>
          <w:tcPr>
            <w:tcW w:w="0" w:type="auto"/>
            <w:shd w:val="clear" w:color="auto" w:fill="auto"/>
          </w:tcPr>
          <w:p w14:paraId="7CF24E70" w14:textId="77777777" w:rsidR="008C5CFA" w:rsidRPr="00D4605F" w:rsidRDefault="00E82A60" w:rsidP="00300A01">
            <w:pPr>
              <w:spacing w:before="0" w:after="0"/>
              <w:rPr>
                <w:sz w:val="12"/>
                <w:szCs w:val="12"/>
                <w:lang w:val="fr-BE"/>
              </w:rPr>
            </w:pPr>
            <w:r w:rsidRPr="00D4605F">
              <w:rPr>
                <w:noProof/>
                <w:sz w:val="12"/>
                <w:szCs w:val="12"/>
                <w:lang w:val="fr-BE"/>
              </w:rPr>
              <w:t>9</w:t>
            </w:r>
          </w:p>
        </w:tc>
        <w:tc>
          <w:tcPr>
            <w:tcW w:w="0" w:type="auto"/>
            <w:shd w:val="clear" w:color="auto" w:fill="auto"/>
          </w:tcPr>
          <w:p w14:paraId="76B82495" w14:textId="77777777" w:rsidR="008C5CFA" w:rsidRPr="00D4605F" w:rsidRDefault="00E82A60" w:rsidP="00300A01">
            <w:pPr>
              <w:spacing w:before="0" w:after="0"/>
              <w:rPr>
                <w:sz w:val="12"/>
                <w:szCs w:val="12"/>
                <w:lang w:val="fr-BE"/>
              </w:rPr>
            </w:pPr>
            <w:r w:rsidRPr="00D4605F">
              <w:rPr>
                <w:noProof/>
                <w:sz w:val="12"/>
                <w:szCs w:val="12"/>
                <w:lang w:val="fr-BE"/>
              </w:rPr>
              <w:t>O</w:t>
            </w:r>
          </w:p>
        </w:tc>
        <w:tc>
          <w:tcPr>
            <w:tcW w:w="0" w:type="auto"/>
            <w:shd w:val="clear" w:color="auto" w:fill="auto"/>
          </w:tcPr>
          <w:p w14:paraId="116058C0" w14:textId="77777777" w:rsidR="008C5CFA" w:rsidRPr="00D4605F" w:rsidRDefault="00E82A60" w:rsidP="00300A01">
            <w:pPr>
              <w:spacing w:before="0" w:after="0"/>
              <w:rPr>
                <w:sz w:val="12"/>
                <w:szCs w:val="12"/>
                <w:lang w:val="fr-BE"/>
              </w:rPr>
            </w:pPr>
            <w:r w:rsidRPr="00D4605F">
              <w:rPr>
                <w:noProof/>
                <w:sz w:val="12"/>
                <w:szCs w:val="12"/>
                <w:lang w:val="fr-BE"/>
              </w:rPr>
              <w:t>145</w:t>
            </w:r>
          </w:p>
        </w:tc>
        <w:tc>
          <w:tcPr>
            <w:tcW w:w="0" w:type="auto"/>
            <w:shd w:val="clear" w:color="auto" w:fill="auto"/>
          </w:tcPr>
          <w:p w14:paraId="38397187" w14:textId="77777777" w:rsidR="008C5CFA" w:rsidRPr="00D4605F" w:rsidRDefault="00E82A60" w:rsidP="00300A01">
            <w:pPr>
              <w:spacing w:before="0" w:after="0"/>
              <w:rPr>
                <w:sz w:val="12"/>
                <w:szCs w:val="12"/>
                <w:lang w:val="fr-BE"/>
              </w:rPr>
            </w:pPr>
            <w:r w:rsidRPr="00D4605F">
              <w:rPr>
                <w:noProof/>
                <w:sz w:val="12"/>
                <w:szCs w:val="12"/>
                <w:lang w:val="fr-BE"/>
              </w:rPr>
              <w:t>Liczba osób zagrożonych ubóstwem lub wykluczeniem społecznym objętych wsparciem.</w:t>
            </w:r>
          </w:p>
        </w:tc>
        <w:tc>
          <w:tcPr>
            <w:tcW w:w="0" w:type="auto"/>
            <w:shd w:val="clear" w:color="auto" w:fill="auto"/>
          </w:tcPr>
          <w:p w14:paraId="0EC50F3A" w14:textId="77777777" w:rsidR="008C5CFA" w:rsidRPr="00D4605F" w:rsidRDefault="00E82A60" w:rsidP="00300A01">
            <w:pPr>
              <w:spacing w:before="0" w:after="0"/>
              <w:rPr>
                <w:sz w:val="12"/>
                <w:szCs w:val="12"/>
                <w:lang w:val="fr-BE"/>
              </w:rPr>
            </w:pPr>
            <w:r w:rsidRPr="00D4605F">
              <w:rPr>
                <w:noProof/>
                <w:sz w:val="12"/>
                <w:szCs w:val="12"/>
                <w:lang w:val="fr-BE"/>
              </w:rPr>
              <w:t>osoba</w:t>
            </w:r>
          </w:p>
        </w:tc>
        <w:tc>
          <w:tcPr>
            <w:tcW w:w="0" w:type="auto"/>
            <w:shd w:val="clear" w:color="auto" w:fill="auto"/>
          </w:tcPr>
          <w:p w14:paraId="38E5ECFA" w14:textId="77777777" w:rsidR="008C5CFA" w:rsidRPr="00D4605F" w:rsidRDefault="00E82A60" w:rsidP="00300A01">
            <w:pPr>
              <w:spacing w:before="0" w:after="0"/>
              <w:rPr>
                <w:sz w:val="12"/>
                <w:szCs w:val="12"/>
                <w:lang w:val="fr-BE"/>
              </w:rPr>
            </w:pPr>
            <w:r w:rsidRPr="00D4605F">
              <w:rPr>
                <w:noProof/>
                <w:sz w:val="12"/>
                <w:szCs w:val="12"/>
                <w:lang w:val="fr-BE"/>
              </w:rPr>
              <w:t>EFS</w:t>
            </w:r>
          </w:p>
        </w:tc>
        <w:tc>
          <w:tcPr>
            <w:tcW w:w="0" w:type="auto"/>
          </w:tcPr>
          <w:p w14:paraId="67C1028B" w14:textId="77777777" w:rsidR="008C5CFA" w:rsidRPr="00D4605F" w:rsidRDefault="00E82A60" w:rsidP="00300A01">
            <w:pPr>
              <w:spacing w:before="0" w:after="0"/>
              <w:rPr>
                <w:sz w:val="12"/>
                <w:szCs w:val="12"/>
                <w:lang w:val="fr-BE"/>
              </w:rPr>
            </w:pPr>
            <w:r w:rsidRPr="00D4605F">
              <w:rPr>
                <w:noProof/>
                <w:sz w:val="12"/>
                <w:szCs w:val="12"/>
                <w:lang w:val="fr-BE"/>
              </w:rPr>
              <w:t>Słabiej rozwinięte</w:t>
            </w:r>
          </w:p>
        </w:tc>
        <w:tc>
          <w:tcPr>
            <w:tcW w:w="0" w:type="auto"/>
          </w:tcPr>
          <w:p w14:paraId="728B7286" w14:textId="77777777" w:rsidR="008C5CFA" w:rsidRPr="00D4605F" w:rsidRDefault="00E82A60" w:rsidP="00300A01">
            <w:pPr>
              <w:spacing w:before="0" w:after="0"/>
              <w:rPr>
                <w:sz w:val="12"/>
                <w:szCs w:val="12"/>
                <w:lang w:val="fr-BE"/>
              </w:rPr>
            </w:pPr>
            <w:r w:rsidRPr="00D4605F">
              <w:rPr>
                <w:noProof/>
                <w:sz w:val="12"/>
                <w:szCs w:val="12"/>
                <w:lang w:val="fr-BE"/>
              </w:rPr>
              <w:t>8 669,00</w:t>
            </w:r>
          </w:p>
        </w:tc>
        <w:tc>
          <w:tcPr>
            <w:tcW w:w="0" w:type="auto"/>
          </w:tcPr>
          <w:p w14:paraId="6AB56B53" w14:textId="77777777" w:rsidR="008C5CFA" w:rsidRPr="00D4605F" w:rsidRDefault="008C5CFA" w:rsidP="00300A01">
            <w:pPr>
              <w:spacing w:before="0" w:after="0"/>
              <w:rPr>
                <w:sz w:val="12"/>
                <w:szCs w:val="12"/>
                <w:lang w:val="fr-BE"/>
              </w:rPr>
            </w:pPr>
          </w:p>
        </w:tc>
        <w:tc>
          <w:tcPr>
            <w:tcW w:w="0" w:type="auto"/>
          </w:tcPr>
          <w:p w14:paraId="4CE337AD" w14:textId="77777777" w:rsidR="008C5CFA" w:rsidRPr="00D4605F" w:rsidRDefault="008C5CFA" w:rsidP="00300A01">
            <w:pPr>
              <w:spacing w:before="0" w:after="0"/>
              <w:rPr>
                <w:sz w:val="12"/>
                <w:szCs w:val="12"/>
                <w:lang w:val="fr-BE"/>
              </w:rPr>
            </w:pPr>
          </w:p>
        </w:tc>
        <w:tc>
          <w:tcPr>
            <w:tcW w:w="0" w:type="auto"/>
          </w:tcPr>
          <w:p w14:paraId="43DBD099" w14:textId="77777777" w:rsidR="008C5CFA" w:rsidRPr="00B05D34" w:rsidRDefault="00E82A60" w:rsidP="00136029">
            <w:pPr>
              <w:spacing w:before="0" w:after="0"/>
              <w:jc w:val="right"/>
              <w:rPr>
                <w:sz w:val="12"/>
                <w:szCs w:val="12"/>
                <w:lang w:val="fr-BE"/>
              </w:rPr>
            </w:pPr>
            <w:r w:rsidRPr="00B05D34">
              <w:rPr>
                <w:noProof/>
                <w:sz w:val="12"/>
                <w:szCs w:val="12"/>
                <w:lang w:val="fr-BE"/>
              </w:rPr>
              <w:t>30 959,00</w:t>
            </w:r>
          </w:p>
        </w:tc>
        <w:tc>
          <w:tcPr>
            <w:tcW w:w="0" w:type="auto"/>
          </w:tcPr>
          <w:p w14:paraId="62DE54DF" w14:textId="77777777" w:rsidR="008C5CFA" w:rsidRPr="00B05D34" w:rsidRDefault="008C5CFA" w:rsidP="00300A01">
            <w:pPr>
              <w:spacing w:before="0" w:after="0"/>
              <w:jc w:val="right"/>
              <w:rPr>
                <w:sz w:val="12"/>
                <w:szCs w:val="12"/>
                <w:lang w:val="fr-BE"/>
              </w:rPr>
            </w:pPr>
          </w:p>
        </w:tc>
        <w:tc>
          <w:tcPr>
            <w:tcW w:w="0" w:type="auto"/>
          </w:tcPr>
          <w:p w14:paraId="066AE04F" w14:textId="77777777" w:rsidR="008C5CFA" w:rsidRPr="00B05D34" w:rsidRDefault="008C5CFA" w:rsidP="00300A01">
            <w:pPr>
              <w:spacing w:before="0" w:after="0"/>
              <w:jc w:val="right"/>
              <w:rPr>
                <w:sz w:val="12"/>
                <w:szCs w:val="12"/>
                <w:lang w:val="fr-BE"/>
              </w:rPr>
            </w:pPr>
          </w:p>
        </w:tc>
      </w:tr>
    </w:tbl>
    <w:p w14:paraId="26B2A9D1" w14:textId="77777777" w:rsidR="008C5CFA" w:rsidRDefault="00E82A60" w:rsidP="00300A01">
      <w:pPr>
        <w:pStyle w:val="Nagwek2"/>
        <w:spacing w:before="0" w:after="0"/>
        <w:rPr>
          <w:lang w:val="fr-BE"/>
        </w:rPr>
      </w:pPr>
      <w:r>
        <w:rPr>
          <w:lang w:val="fr-BE"/>
        </w:rPr>
        <w:br w:type="page"/>
      </w:r>
      <w:bookmarkStart w:id="86" w:name="_Toc46391770"/>
      <w:r>
        <w:rPr>
          <w:noProof/>
          <w:lang w:val="fr-BE"/>
        </w:rPr>
        <w:lastRenderedPageBreak/>
        <w:t>3.4 Dane finansowe (art. 50 ust. 2 rozporządzenia (UE) nr 1303/2013)</w:t>
      </w:r>
      <w:bookmarkEnd w:id="86"/>
    </w:p>
    <w:p w14:paraId="2F298753" w14:textId="77777777" w:rsidR="008C5CFA" w:rsidRDefault="008C5CFA" w:rsidP="00300A01">
      <w:pPr>
        <w:spacing w:before="0" w:after="0"/>
        <w:rPr>
          <w:lang w:val="fr-BE"/>
        </w:rPr>
      </w:pPr>
    </w:p>
    <w:p w14:paraId="6739512B" w14:textId="77777777" w:rsidR="008C5CFA" w:rsidRDefault="00E82A60" w:rsidP="00300A01">
      <w:pPr>
        <w:pStyle w:val="Nagwek2"/>
        <w:spacing w:before="0" w:after="0"/>
        <w:rPr>
          <w:lang w:val="fr-BE"/>
        </w:rPr>
      </w:pPr>
      <w:bookmarkStart w:id="87" w:name="_Toc46391771"/>
      <w:r w:rsidRPr="008E457C">
        <w:rPr>
          <w:noProof/>
          <w:lang w:val="fr-BE"/>
        </w:rPr>
        <w:t>Tabela 6</w:t>
      </w:r>
      <w:r w:rsidRPr="008E457C">
        <w:rPr>
          <w:lang w:val="fr-BE"/>
        </w:rPr>
        <w:t xml:space="preserve">: </w:t>
      </w:r>
      <w:r w:rsidRPr="008E457C">
        <w:rPr>
          <w:noProof/>
          <w:lang w:val="fr-BE"/>
        </w:rPr>
        <w:t>Informacje finansowe na poziomie osi priorytetowej i programu</w:t>
      </w:r>
      <w:bookmarkEnd w:id="87"/>
    </w:p>
    <w:p w14:paraId="1CEBCC8B" w14:textId="77777777" w:rsidR="008C5CFA" w:rsidRDefault="008C5CFA" w:rsidP="00300A01">
      <w:pPr>
        <w:spacing w:before="0" w:after="0"/>
        <w:rPr>
          <w:lang w:val="fr-BE"/>
        </w:rPr>
      </w:pPr>
    </w:p>
    <w:p w14:paraId="1D12B5E2" w14:textId="77777777" w:rsidR="008C5CFA" w:rsidRPr="008E457C" w:rsidRDefault="00E82A60" w:rsidP="00300A01">
      <w:pPr>
        <w:spacing w:before="0" w:after="0"/>
        <w:rPr>
          <w:lang w:val="fr-BE"/>
        </w:rPr>
      </w:pPr>
      <w:r>
        <w:rPr>
          <w:noProof/>
          <w:lang w:val="fr-BE"/>
        </w:rPr>
        <w:t>(jak określono w tabeli 1 załącznika II do rozporządzenia wykonawczego Komisji (UE) nr 1011/2014 [wzór do celów przedkładania danych finansowych])</w:t>
      </w:r>
    </w:p>
    <w:p w14:paraId="71D85A38" w14:textId="77777777" w:rsidR="008C5CFA" w:rsidRDefault="008C5CFA" w:rsidP="00300A01">
      <w:pPr>
        <w:spacing w:before="0" w:after="0"/>
        <w:rPr>
          <w:lang w:val="fr-BE"/>
        </w:rPr>
      </w:pPr>
    </w:p>
    <w:p w14:paraId="1409FC40" w14:textId="77777777" w:rsidR="002B2FB6" w:rsidRDefault="002B2FB6"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730"/>
        <w:gridCol w:w="873"/>
        <w:gridCol w:w="861"/>
        <w:gridCol w:w="1219"/>
        <w:gridCol w:w="1186"/>
        <w:gridCol w:w="1466"/>
        <w:gridCol w:w="1966"/>
        <w:gridCol w:w="1464"/>
        <w:gridCol w:w="1484"/>
        <w:gridCol w:w="1970"/>
        <w:gridCol w:w="957"/>
      </w:tblGrid>
      <w:tr w:rsidR="006B2EC1" w14:paraId="12B0CFBE" w14:textId="77777777" w:rsidTr="00C11C12">
        <w:tc>
          <w:tcPr>
            <w:tcW w:w="0" w:type="auto"/>
            <w:shd w:val="clear" w:color="auto" w:fill="auto"/>
          </w:tcPr>
          <w:p w14:paraId="5E1ED7EC" w14:textId="77777777" w:rsidR="00C11C12" w:rsidRPr="002C6A18" w:rsidRDefault="00E82A60" w:rsidP="00DE0B35">
            <w:pPr>
              <w:spacing w:before="0" w:after="0"/>
              <w:jc w:val="left"/>
              <w:rPr>
                <w:b/>
                <w:sz w:val="14"/>
                <w:szCs w:val="14"/>
                <w:lang w:val="fr-BE"/>
              </w:rPr>
            </w:pPr>
            <w:r w:rsidRPr="002C6A18">
              <w:rPr>
                <w:b/>
                <w:noProof/>
                <w:sz w:val="14"/>
                <w:szCs w:val="14"/>
                <w:lang w:val="fr-BE"/>
              </w:rPr>
              <w:t>Oś priorytetowa</w:t>
            </w:r>
          </w:p>
        </w:tc>
        <w:tc>
          <w:tcPr>
            <w:tcW w:w="0" w:type="auto"/>
            <w:shd w:val="clear" w:color="auto" w:fill="auto"/>
          </w:tcPr>
          <w:p w14:paraId="604E6D2C" w14:textId="77777777" w:rsidR="00C11C12" w:rsidRPr="002C6A18" w:rsidRDefault="00E82A60" w:rsidP="00DE0B35">
            <w:pPr>
              <w:spacing w:before="0" w:after="0"/>
              <w:jc w:val="left"/>
              <w:rPr>
                <w:b/>
                <w:sz w:val="14"/>
                <w:szCs w:val="14"/>
                <w:lang w:val="fr-BE"/>
              </w:rPr>
            </w:pPr>
            <w:r w:rsidRPr="002C6A18">
              <w:rPr>
                <w:b/>
                <w:noProof/>
                <w:sz w:val="14"/>
                <w:szCs w:val="14"/>
                <w:lang w:val="fr-BE"/>
              </w:rPr>
              <w:t>Fundusz</w:t>
            </w:r>
          </w:p>
        </w:tc>
        <w:tc>
          <w:tcPr>
            <w:tcW w:w="0" w:type="auto"/>
            <w:shd w:val="clear" w:color="auto" w:fill="auto"/>
          </w:tcPr>
          <w:p w14:paraId="3BBF152A" w14:textId="77777777" w:rsidR="00C11C12" w:rsidRPr="002C6A18" w:rsidRDefault="00E82A60" w:rsidP="00DE0B35">
            <w:pPr>
              <w:spacing w:before="0" w:after="0"/>
              <w:jc w:val="left"/>
              <w:rPr>
                <w:b/>
                <w:sz w:val="14"/>
                <w:szCs w:val="14"/>
                <w:lang w:val="fr-BE"/>
              </w:rPr>
            </w:pPr>
            <w:r w:rsidRPr="002C6A18">
              <w:rPr>
                <w:b/>
                <w:noProof/>
                <w:sz w:val="14"/>
                <w:szCs w:val="14"/>
                <w:lang w:val="fr-BE"/>
              </w:rPr>
              <w:t>Kategoria regionu</w:t>
            </w:r>
          </w:p>
        </w:tc>
        <w:tc>
          <w:tcPr>
            <w:tcW w:w="0" w:type="auto"/>
            <w:shd w:val="clear" w:color="auto" w:fill="auto"/>
          </w:tcPr>
          <w:p w14:paraId="2C9BC07B" w14:textId="77777777" w:rsidR="00C11C12" w:rsidRPr="002C6A18" w:rsidRDefault="00E82A60" w:rsidP="00DE0B35">
            <w:pPr>
              <w:spacing w:before="0" w:after="0"/>
              <w:jc w:val="left"/>
              <w:rPr>
                <w:b/>
                <w:sz w:val="14"/>
                <w:szCs w:val="14"/>
                <w:lang w:val="fr-BE"/>
              </w:rPr>
            </w:pPr>
            <w:r w:rsidRPr="002C6A18">
              <w:rPr>
                <w:b/>
                <w:noProof/>
                <w:sz w:val="14"/>
                <w:szCs w:val="14"/>
                <w:lang w:val="fr-BE"/>
              </w:rPr>
              <w:t>Podstawa obliczenia</w:t>
            </w:r>
          </w:p>
        </w:tc>
        <w:tc>
          <w:tcPr>
            <w:tcW w:w="0" w:type="auto"/>
            <w:shd w:val="clear" w:color="auto" w:fill="auto"/>
          </w:tcPr>
          <w:p w14:paraId="6E33E873" w14:textId="77777777" w:rsidR="00C11C12" w:rsidRPr="002C6A18" w:rsidRDefault="00E82A60" w:rsidP="00DE0B35">
            <w:pPr>
              <w:spacing w:before="0" w:after="0"/>
              <w:jc w:val="left"/>
              <w:rPr>
                <w:b/>
                <w:sz w:val="14"/>
                <w:szCs w:val="14"/>
                <w:lang w:val="fr-BE"/>
              </w:rPr>
            </w:pPr>
            <w:r w:rsidRPr="002C6A18">
              <w:rPr>
                <w:b/>
                <w:noProof/>
                <w:sz w:val="14"/>
                <w:szCs w:val="14"/>
                <w:lang w:val="fr-BE"/>
              </w:rPr>
              <w:t>Finansowanie ogółem</w:t>
            </w:r>
          </w:p>
        </w:tc>
        <w:tc>
          <w:tcPr>
            <w:tcW w:w="0" w:type="auto"/>
            <w:shd w:val="clear" w:color="auto" w:fill="auto"/>
          </w:tcPr>
          <w:p w14:paraId="586985B4" w14:textId="77777777" w:rsidR="00C11C12" w:rsidRPr="002C6A18" w:rsidRDefault="00E82A60" w:rsidP="00DE0B35">
            <w:pPr>
              <w:spacing w:before="0" w:after="0"/>
              <w:jc w:val="left"/>
              <w:rPr>
                <w:b/>
                <w:sz w:val="14"/>
                <w:szCs w:val="14"/>
                <w:lang w:val="fr-BE"/>
              </w:rPr>
            </w:pPr>
            <w:r w:rsidRPr="002C6A18">
              <w:rPr>
                <w:b/>
                <w:noProof/>
                <w:sz w:val="14"/>
                <w:szCs w:val="14"/>
                <w:lang w:val="fr-BE"/>
              </w:rPr>
              <w:t>Stopa dofinansowania</w:t>
            </w:r>
          </w:p>
        </w:tc>
        <w:tc>
          <w:tcPr>
            <w:tcW w:w="0" w:type="auto"/>
            <w:shd w:val="clear" w:color="auto" w:fill="auto"/>
          </w:tcPr>
          <w:p w14:paraId="633B2307" w14:textId="77777777" w:rsidR="00C11C12" w:rsidRPr="0029142A" w:rsidRDefault="00E82A60" w:rsidP="00DE0B35">
            <w:pPr>
              <w:spacing w:before="0" w:after="0"/>
              <w:jc w:val="left"/>
              <w:rPr>
                <w:b/>
                <w:sz w:val="14"/>
                <w:szCs w:val="14"/>
              </w:rPr>
            </w:pPr>
            <w:r w:rsidRPr="0029142A">
              <w:rPr>
                <w:b/>
                <w:noProof/>
                <w:sz w:val="14"/>
                <w:szCs w:val="14"/>
              </w:rPr>
              <w:t>Całkowite koszty kwalifikowalne operacji wybranych do udzielenia wsparcia</w:t>
            </w:r>
          </w:p>
        </w:tc>
        <w:tc>
          <w:tcPr>
            <w:tcW w:w="0" w:type="auto"/>
            <w:shd w:val="clear" w:color="auto" w:fill="auto"/>
          </w:tcPr>
          <w:p w14:paraId="6EBBBF2C" w14:textId="77777777" w:rsidR="00C11C12" w:rsidRPr="003F04E4" w:rsidRDefault="00E82A60" w:rsidP="00DE0B35">
            <w:pPr>
              <w:spacing w:before="0" w:after="0"/>
              <w:jc w:val="left"/>
              <w:rPr>
                <w:b/>
                <w:sz w:val="14"/>
                <w:szCs w:val="14"/>
              </w:rPr>
            </w:pPr>
            <w:r w:rsidRPr="003F04E4">
              <w:rPr>
                <w:b/>
                <w:noProof/>
                <w:sz w:val="14"/>
                <w:szCs w:val="14"/>
              </w:rPr>
              <w:t>Udział wartości całkowitych kosztów kwalifikowalnych operacji wybranych do dofinansowania w alokacji całkowitych kosztów kwalifikowalnych dla danej osi priorytetowej</w:t>
            </w:r>
          </w:p>
        </w:tc>
        <w:tc>
          <w:tcPr>
            <w:tcW w:w="0" w:type="auto"/>
            <w:shd w:val="clear" w:color="auto" w:fill="auto"/>
          </w:tcPr>
          <w:p w14:paraId="33A1EFF3" w14:textId="77777777" w:rsidR="00C11C12" w:rsidRPr="003F04E4" w:rsidRDefault="00E82A60" w:rsidP="00DE0B35">
            <w:pPr>
              <w:spacing w:before="0" w:after="0"/>
              <w:jc w:val="left"/>
              <w:rPr>
                <w:b/>
                <w:sz w:val="14"/>
                <w:szCs w:val="14"/>
              </w:rPr>
            </w:pPr>
            <w:r w:rsidRPr="003F04E4">
              <w:rPr>
                <w:b/>
                <w:noProof/>
                <w:sz w:val="14"/>
                <w:szCs w:val="14"/>
              </w:rPr>
              <w:t>Publiczne koszty kwalifikowalne operacji wybranych do udzielenia wsparcia</w:t>
            </w:r>
          </w:p>
        </w:tc>
        <w:tc>
          <w:tcPr>
            <w:tcW w:w="0" w:type="auto"/>
            <w:shd w:val="clear" w:color="auto" w:fill="auto"/>
          </w:tcPr>
          <w:p w14:paraId="667F0595" w14:textId="77777777" w:rsidR="00C11C12" w:rsidRPr="003F04E4" w:rsidRDefault="00E82A60" w:rsidP="00DE0B35">
            <w:pPr>
              <w:spacing w:before="0" w:after="0"/>
              <w:jc w:val="left"/>
              <w:rPr>
                <w:b/>
                <w:sz w:val="14"/>
                <w:szCs w:val="14"/>
              </w:rPr>
            </w:pPr>
            <w:r w:rsidRPr="003F04E4">
              <w:rPr>
                <w:b/>
                <w:noProof/>
                <w:sz w:val="14"/>
                <w:szCs w:val="14"/>
              </w:rPr>
              <w:t>Całkowite wydatki kwalifikowalne zadeklarowane przez beneficjentów instytucji zarządzającej</w:t>
            </w:r>
          </w:p>
        </w:tc>
        <w:tc>
          <w:tcPr>
            <w:tcW w:w="0" w:type="auto"/>
            <w:shd w:val="clear" w:color="auto" w:fill="auto"/>
          </w:tcPr>
          <w:p w14:paraId="320609D5" w14:textId="77777777" w:rsidR="00C11C12" w:rsidRPr="003F04E4" w:rsidRDefault="00E82A60" w:rsidP="00DE0B35">
            <w:pPr>
              <w:spacing w:before="0" w:after="0"/>
              <w:jc w:val="left"/>
              <w:rPr>
                <w:b/>
                <w:sz w:val="14"/>
                <w:szCs w:val="14"/>
              </w:rPr>
            </w:pPr>
            <w:r w:rsidRPr="003F04E4">
              <w:rPr>
                <w:b/>
                <w:noProof/>
                <w:sz w:val="14"/>
                <w:szCs w:val="14"/>
              </w:rPr>
              <w:t>Udział wartości całkowitych wydatków kwalifikowalnych zadeklarowanych przez beneficjentów w alokacji całkowitych kosztów kwalifikowalnych dla danej osi priorytetowej</w:t>
            </w:r>
          </w:p>
        </w:tc>
        <w:tc>
          <w:tcPr>
            <w:tcW w:w="0" w:type="auto"/>
          </w:tcPr>
          <w:p w14:paraId="2CB40F04" w14:textId="77777777" w:rsidR="00C11C12" w:rsidRPr="002C6A18" w:rsidRDefault="00E82A60" w:rsidP="00DE0B35">
            <w:pPr>
              <w:spacing w:before="0" w:after="0"/>
              <w:jc w:val="left"/>
              <w:rPr>
                <w:b/>
                <w:sz w:val="14"/>
                <w:szCs w:val="14"/>
                <w:lang w:val="fr-BE"/>
              </w:rPr>
            </w:pPr>
            <w:r w:rsidRPr="0029142A">
              <w:rPr>
                <w:b/>
                <w:noProof/>
                <w:sz w:val="14"/>
                <w:szCs w:val="14"/>
              </w:rPr>
              <w:t>Liczba wybranych operacji</w:t>
            </w:r>
          </w:p>
        </w:tc>
      </w:tr>
      <w:tr w:rsidR="006B2EC1" w14:paraId="7FBE8D51" w14:textId="77777777" w:rsidTr="00C11C12">
        <w:tc>
          <w:tcPr>
            <w:tcW w:w="0" w:type="auto"/>
            <w:shd w:val="clear" w:color="auto" w:fill="auto"/>
          </w:tcPr>
          <w:p w14:paraId="241E63D9" w14:textId="77777777" w:rsidR="00C11C12" w:rsidRPr="0001723F" w:rsidRDefault="00E82A60" w:rsidP="00DE0B35">
            <w:pPr>
              <w:spacing w:before="0" w:after="0"/>
              <w:rPr>
                <w:sz w:val="14"/>
                <w:szCs w:val="14"/>
                <w:lang w:val="fr-BE"/>
              </w:rPr>
            </w:pPr>
            <w:r>
              <w:rPr>
                <w:noProof/>
                <w:sz w:val="14"/>
                <w:szCs w:val="14"/>
                <w:lang w:val="fr-BE"/>
              </w:rPr>
              <w:t>1</w:t>
            </w:r>
          </w:p>
        </w:tc>
        <w:tc>
          <w:tcPr>
            <w:tcW w:w="0" w:type="auto"/>
            <w:shd w:val="clear" w:color="auto" w:fill="auto"/>
          </w:tcPr>
          <w:p w14:paraId="3CE93BAC" w14:textId="77777777" w:rsidR="00C11C12" w:rsidRPr="0001723F" w:rsidRDefault="00E82A60" w:rsidP="00DE0B35">
            <w:pPr>
              <w:spacing w:before="0" w:after="0"/>
              <w:rPr>
                <w:sz w:val="14"/>
                <w:szCs w:val="14"/>
                <w:lang w:val="fr-BE"/>
              </w:rPr>
            </w:pPr>
            <w:r w:rsidRPr="0001723F">
              <w:rPr>
                <w:noProof/>
                <w:sz w:val="14"/>
                <w:szCs w:val="14"/>
                <w:lang w:val="fr-BE"/>
              </w:rPr>
              <w:t>EFRR</w:t>
            </w:r>
          </w:p>
        </w:tc>
        <w:tc>
          <w:tcPr>
            <w:tcW w:w="0" w:type="auto"/>
            <w:shd w:val="clear" w:color="auto" w:fill="auto"/>
          </w:tcPr>
          <w:p w14:paraId="5AA30608" w14:textId="77777777" w:rsidR="00C11C12" w:rsidRPr="0001723F" w:rsidRDefault="00E82A60" w:rsidP="00DE0B35">
            <w:pPr>
              <w:spacing w:before="0" w:after="0"/>
              <w:rPr>
                <w:sz w:val="14"/>
                <w:szCs w:val="14"/>
                <w:lang w:val="fr-BE"/>
              </w:rPr>
            </w:pPr>
            <w:r w:rsidRPr="0001723F">
              <w:rPr>
                <w:noProof/>
                <w:sz w:val="14"/>
                <w:szCs w:val="14"/>
                <w:lang w:val="fr-BE"/>
              </w:rPr>
              <w:t>Słabiej rozwinięte</w:t>
            </w:r>
          </w:p>
        </w:tc>
        <w:tc>
          <w:tcPr>
            <w:tcW w:w="0" w:type="auto"/>
            <w:shd w:val="clear" w:color="auto" w:fill="auto"/>
          </w:tcPr>
          <w:p w14:paraId="3B2B44DC" w14:textId="77777777" w:rsidR="00C11C12" w:rsidRPr="0001723F" w:rsidRDefault="00E82A60" w:rsidP="00DE0B35">
            <w:pPr>
              <w:spacing w:before="0" w:after="0"/>
              <w:rPr>
                <w:sz w:val="14"/>
                <w:szCs w:val="14"/>
                <w:lang w:val="fr-BE"/>
              </w:rPr>
            </w:pPr>
            <w:r w:rsidRPr="0001723F">
              <w:rPr>
                <w:noProof/>
                <w:sz w:val="14"/>
                <w:szCs w:val="14"/>
              </w:rPr>
              <w:t>Ogółem</w:t>
            </w:r>
          </w:p>
        </w:tc>
        <w:tc>
          <w:tcPr>
            <w:tcW w:w="0" w:type="auto"/>
            <w:shd w:val="clear" w:color="auto" w:fill="auto"/>
          </w:tcPr>
          <w:p w14:paraId="05FD919A" w14:textId="77777777" w:rsidR="00C11C12" w:rsidRPr="0001723F" w:rsidRDefault="00E82A60" w:rsidP="00DE0B35">
            <w:pPr>
              <w:spacing w:before="0" w:after="0"/>
              <w:jc w:val="right"/>
              <w:rPr>
                <w:sz w:val="14"/>
                <w:szCs w:val="14"/>
                <w:lang w:val="fr-BE"/>
              </w:rPr>
            </w:pPr>
            <w:r>
              <w:rPr>
                <w:noProof/>
                <w:sz w:val="14"/>
                <w:szCs w:val="14"/>
              </w:rPr>
              <w:t>113 144 013,00</w:t>
            </w:r>
          </w:p>
        </w:tc>
        <w:tc>
          <w:tcPr>
            <w:tcW w:w="0" w:type="auto"/>
            <w:shd w:val="clear" w:color="auto" w:fill="auto"/>
          </w:tcPr>
          <w:p w14:paraId="6BC78713" w14:textId="77777777" w:rsidR="00C11C12" w:rsidRPr="0001723F" w:rsidRDefault="00E82A60" w:rsidP="00DE0B35">
            <w:pPr>
              <w:spacing w:before="0" w:after="0"/>
              <w:jc w:val="right"/>
              <w:rPr>
                <w:sz w:val="14"/>
                <w:szCs w:val="14"/>
                <w:lang w:val="fr-BE"/>
              </w:rPr>
            </w:pPr>
            <w:r>
              <w:rPr>
                <w:noProof/>
                <w:sz w:val="14"/>
                <w:szCs w:val="14"/>
                <w:lang w:val="fr-BE"/>
              </w:rPr>
              <w:t>85,00%</w:t>
            </w:r>
          </w:p>
        </w:tc>
        <w:tc>
          <w:tcPr>
            <w:tcW w:w="0" w:type="auto"/>
            <w:shd w:val="clear" w:color="auto" w:fill="auto"/>
          </w:tcPr>
          <w:p w14:paraId="6095E4B4" w14:textId="77777777" w:rsidR="00C11C12" w:rsidRPr="0001723F" w:rsidRDefault="00E82A60" w:rsidP="00DE0B35">
            <w:pPr>
              <w:spacing w:before="0" w:after="0"/>
              <w:jc w:val="right"/>
              <w:rPr>
                <w:sz w:val="14"/>
                <w:szCs w:val="14"/>
                <w:lang w:val="fr-BE"/>
              </w:rPr>
            </w:pPr>
            <w:r>
              <w:rPr>
                <w:noProof/>
                <w:sz w:val="14"/>
                <w:szCs w:val="14"/>
                <w:lang w:val="fr-BE"/>
              </w:rPr>
              <w:t>113 105 577,56</w:t>
            </w:r>
          </w:p>
        </w:tc>
        <w:tc>
          <w:tcPr>
            <w:tcW w:w="0" w:type="auto"/>
            <w:shd w:val="clear" w:color="auto" w:fill="auto"/>
          </w:tcPr>
          <w:p w14:paraId="7173B085" w14:textId="77777777" w:rsidR="00C11C12" w:rsidRPr="0001723F" w:rsidRDefault="00E82A60" w:rsidP="00DE0B35">
            <w:pPr>
              <w:spacing w:before="0" w:after="0"/>
              <w:jc w:val="right"/>
              <w:rPr>
                <w:sz w:val="14"/>
                <w:szCs w:val="14"/>
                <w:lang w:val="fr-BE"/>
              </w:rPr>
            </w:pPr>
            <w:r>
              <w:rPr>
                <w:noProof/>
                <w:sz w:val="14"/>
                <w:szCs w:val="14"/>
                <w:lang w:val="fr-BE"/>
              </w:rPr>
              <w:t>99,97%</w:t>
            </w:r>
          </w:p>
        </w:tc>
        <w:tc>
          <w:tcPr>
            <w:tcW w:w="0" w:type="auto"/>
            <w:shd w:val="clear" w:color="auto" w:fill="auto"/>
          </w:tcPr>
          <w:p w14:paraId="7E47C411" w14:textId="77777777" w:rsidR="00C11C12" w:rsidRPr="0001723F" w:rsidRDefault="00E82A60" w:rsidP="00DE0B35">
            <w:pPr>
              <w:spacing w:before="0" w:after="0"/>
              <w:jc w:val="right"/>
              <w:rPr>
                <w:sz w:val="14"/>
                <w:szCs w:val="14"/>
                <w:lang w:val="fr-BE"/>
              </w:rPr>
            </w:pPr>
            <w:r>
              <w:rPr>
                <w:noProof/>
                <w:sz w:val="14"/>
                <w:szCs w:val="14"/>
                <w:lang w:val="fr-BE"/>
              </w:rPr>
              <w:t>86 956 620,66</w:t>
            </w:r>
          </w:p>
        </w:tc>
        <w:tc>
          <w:tcPr>
            <w:tcW w:w="0" w:type="auto"/>
            <w:shd w:val="clear" w:color="auto" w:fill="auto"/>
          </w:tcPr>
          <w:p w14:paraId="2239B3CB" w14:textId="77777777" w:rsidR="00C11C12" w:rsidRPr="0001723F" w:rsidRDefault="00E82A60" w:rsidP="00DE0B35">
            <w:pPr>
              <w:spacing w:before="0" w:after="0"/>
              <w:jc w:val="right"/>
              <w:rPr>
                <w:sz w:val="14"/>
                <w:szCs w:val="14"/>
                <w:lang w:val="fr-BE"/>
              </w:rPr>
            </w:pPr>
            <w:r>
              <w:rPr>
                <w:noProof/>
                <w:sz w:val="14"/>
                <w:szCs w:val="14"/>
                <w:lang w:val="fr-BE"/>
              </w:rPr>
              <w:t>16 270 927,10</w:t>
            </w:r>
          </w:p>
        </w:tc>
        <w:tc>
          <w:tcPr>
            <w:tcW w:w="0" w:type="auto"/>
            <w:shd w:val="clear" w:color="auto" w:fill="auto"/>
          </w:tcPr>
          <w:p w14:paraId="1AB330B7" w14:textId="77777777" w:rsidR="00C11C12" w:rsidRPr="0001723F" w:rsidRDefault="00E82A60" w:rsidP="00DE0B35">
            <w:pPr>
              <w:spacing w:before="0" w:after="0"/>
              <w:jc w:val="right"/>
              <w:rPr>
                <w:sz w:val="14"/>
                <w:szCs w:val="14"/>
                <w:lang w:val="fr-BE"/>
              </w:rPr>
            </w:pPr>
            <w:r>
              <w:rPr>
                <w:noProof/>
                <w:sz w:val="14"/>
                <w:szCs w:val="14"/>
                <w:lang w:val="fr-BE"/>
              </w:rPr>
              <w:t>14,38%</w:t>
            </w:r>
          </w:p>
        </w:tc>
        <w:tc>
          <w:tcPr>
            <w:tcW w:w="0" w:type="auto"/>
          </w:tcPr>
          <w:p w14:paraId="67609845" w14:textId="77777777" w:rsidR="00C11C12" w:rsidRDefault="00E82A60" w:rsidP="00DE0B35">
            <w:pPr>
              <w:spacing w:before="0" w:after="0"/>
              <w:jc w:val="right"/>
              <w:rPr>
                <w:sz w:val="14"/>
                <w:szCs w:val="14"/>
                <w:lang w:val="fr-BE"/>
              </w:rPr>
            </w:pPr>
            <w:r>
              <w:rPr>
                <w:noProof/>
                <w:sz w:val="14"/>
                <w:szCs w:val="14"/>
                <w:lang w:val="fr-BE"/>
              </w:rPr>
              <w:t>61</w:t>
            </w:r>
          </w:p>
        </w:tc>
      </w:tr>
      <w:tr w:rsidR="006B2EC1" w14:paraId="137EAF5F" w14:textId="77777777" w:rsidTr="00C11C12">
        <w:tc>
          <w:tcPr>
            <w:tcW w:w="0" w:type="auto"/>
            <w:shd w:val="clear" w:color="auto" w:fill="auto"/>
          </w:tcPr>
          <w:p w14:paraId="4C405F1A" w14:textId="77777777" w:rsidR="00C11C12" w:rsidRPr="0001723F" w:rsidRDefault="00E82A60" w:rsidP="00DE0B35">
            <w:pPr>
              <w:spacing w:before="0" w:after="0"/>
              <w:rPr>
                <w:sz w:val="14"/>
                <w:szCs w:val="14"/>
                <w:lang w:val="fr-BE"/>
              </w:rPr>
            </w:pPr>
            <w:r>
              <w:rPr>
                <w:noProof/>
                <w:sz w:val="14"/>
                <w:szCs w:val="14"/>
                <w:lang w:val="fr-BE"/>
              </w:rPr>
              <w:t>10</w:t>
            </w:r>
          </w:p>
        </w:tc>
        <w:tc>
          <w:tcPr>
            <w:tcW w:w="0" w:type="auto"/>
            <w:shd w:val="clear" w:color="auto" w:fill="auto"/>
          </w:tcPr>
          <w:p w14:paraId="5C8D39E4" w14:textId="77777777" w:rsidR="00C11C12" w:rsidRPr="0001723F" w:rsidRDefault="00E82A60" w:rsidP="00DE0B35">
            <w:pPr>
              <w:spacing w:before="0" w:after="0"/>
              <w:rPr>
                <w:sz w:val="14"/>
                <w:szCs w:val="14"/>
                <w:lang w:val="fr-BE"/>
              </w:rPr>
            </w:pPr>
            <w:r w:rsidRPr="0001723F">
              <w:rPr>
                <w:noProof/>
                <w:sz w:val="14"/>
                <w:szCs w:val="14"/>
                <w:lang w:val="fr-BE"/>
              </w:rPr>
              <w:t>EFS</w:t>
            </w:r>
          </w:p>
        </w:tc>
        <w:tc>
          <w:tcPr>
            <w:tcW w:w="0" w:type="auto"/>
            <w:shd w:val="clear" w:color="auto" w:fill="auto"/>
          </w:tcPr>
          <w:p w14:paraId="30F2CAAD" w14:textId="77777777" w:rsidR="00C11C12" w:rsidRPr="0001723F" w:rsidRDefault="00E82A60" w:rsidP="00DE0B35">
            <w:pPr>
              <w:spacing w:before="0" w:after="0"/>
              <w:rPr>
                <w:sz w:val="14"/>
                <w:szCs w:val="14"/>
                <w:lang w:val="fr-BE"/>
              </w:rPr>
            </w:pPr>
            <w:r w:rsidRPr="0001723F">
              <w:rPr>
                <w:noProof/>
                <w:sz w:val="14"/>
                <w:szCs w:val="14"/>
                <w:lang w:val="fr-BE"/>
              </w:rPr>
              <w:t>Słabiej rozwinięte</w:t>
            </w:r>
          </w:p>
        </w:tc>
        <w:tc>
          <w:tcPr>
            <w:tcW w:w="0" w:type="auto"/>
            <w:shd w:val="clear" w:color="auto" w:fill="auto"/>
          </w:tcPr>
          <w:p w14:paraId="6D56296F" w14:textId="77777777" w:rsidR="00C11C12" w:rsidRPr="0001723F" w:rsidRDefault="00E82A60" w:rsidP="00DE0B35">
            <w:pPr>
              <w:spacing w:before="0" w:after="0"/>
              <w:rPr>
                <w:sz w:val="14"/>
                <w:szCs w:val="14"/>
                <w:lang w:val="fr-BE"/>
              </w:rPr>
            </w:pPr>
            <w:r w:rsidRPr="0001723F">
              <w:rPr>
                <w:noProof/>
                <w:sz w:val="14"/>
                <w:szCs w:val="14"/>
              </w:rPr>
              <w:t>Ogółem</w:t>
            </w:r>
          </w:p>
        </w:tc>
        <w:tc>
          <w:tcPr>
            <w:tcW w:w="0" w:type="auto"/>
            <w:shd w:val="clear" w:color="auto" w:fill="auto"/>
          </w:tcPr>
          <w:p w14:paraId="1D807852" w14:textId="77777777" w:rsidR="00C11C12" w:rsidRPr="0001723F" w:rsidRDefault="00E82A60" w:rsidP="00DE0B35">
            <w:pPr>
              <w:spacing w:before="0" w:after="0"/>
              <w:jc w:val="right"/>
              <w:rPr>
                <w:sz w:val="14"/>
                <w:szCs w:val="14"/>
                <w:lang w:val="fr-BE"/>
              </w:rPr>
            </w:pPr>
            <w:r>
              <w:rPr>
                <w:noProof/>
                <w:sz w:val="14"/>
                <w:szCs w:val="14"/>
              </w:rPr>
              <w:t>147 152 983,00</w:t>
            </w:r>
          </w:p>
        </w:tc>
        <w:tc>
          <w:tcPr>
            <w:tcW w:w="0" w:type="auto"/>
            <w:shd w:val="clear" w:color="auto" w:fill="auto"/>
          </w:tcPr>
          <w:p w14:paraId="649491F7" w14:textId="77777777" w:rsidR="00C11C12" w:rsidRPr="0001723F" w:rsidRDefault="00E82A60" w:rsidP="00DE0B35">
            <w:pPr>
              <w:spacing w:before="0" w:after="0"/>
              <w:jc w:val="right"/>
              <w:rPr>
                <w:sz w:val="14"/>
                <w:szCs w:val="14"/>
                <w:lang w:val="fr-BE"/>
              </w:rPr>
            </w:pPr>
            <w:r>
              <w:rPr>
                <w:noProof/>
                <w:sz w:val="14"/>
                <w:szCs w:val="14"/>
                <w:lang w:val="fr-BE"/>
              </w:rPr>
              <w:t>85,00%</w:t>
            </w:r>
          </w:p>
        </w:tc>
        <w:tc>
          <w:tcPr>
            <w:tcW w:w="0" w:type="auto"/>
            <w:shd w:val="clear" w:color="auto" w:fill="auto"/>
          </w:tcPr>
          <w:p w14:paraId="32B0A911" w14:textId="77777777" w:rsidR="00C11C12" w:rsidRPr="0001723F" w:rsidRDefault="00E82A60" w:rsidP="00DE0B35">
            <w:pPr>
              <w:spacing w:before="0" w:after="0"/>
              <w:jc w:val="right"/>
              <w:rPr>
                <w:sz w:val="14"/>
                <w:szCs w:val="14"/>
                <w:lang w:val="fr-BE"/>
              </w:rPr>
            </w:pPr>
            <w:r>
              <w:rPr>
                <w:noProof/>
                <w:sz w:val="14"/>
                <w:szCs w:val="14"/>
                <w:lang w:val="fr-BE"/>
              </w:rPr>
              <w:t>120 386 408,90</w:t>
            </w:r>
          </w:p>
        </w:tc>
        <w:tc>
          <w:tcPr>
            <w:tcW w:w="0" w:type="auto"/>
            <w:shd w:val="clear" w:color="auto" w:fill="auto"/>
          </w:tcPr>
          <w:p w14:paraId="3E52C013" w14:textId="77777777" w:rsidR="00C11C12" w:rsidRPr="0001723F" w:rsidRDefault="00E82A60" w:rsidP="00DE0B35">
            <w:pPr>
              <w:spacing w:before="0" w:after="0"/>
              <w:jc w:val="right"/>
              <w:rPr>
                <w:sz w:val="14"/>
                <w:szCs w:val="14"/>
                <w:lang w:val="fr-BE"/>
              </w:rPr>
            </w:pPr>
            <w:r>
              <w:rPr>
                <w:noProof/>
                <w:sz w:val="14"/>
                <w:szCs w:val="14"/>
                <w:lang w:val="fr-BE"/>
              </w:rPr>
              <w:t>81,81%</w:t>
            </w:r>
          </w:p>
        </w:tc>
        <w:tc>
          <w:tcPr>
            <w:tcW w:w="0" w:type="auto"/>
            <w:shd w:val="clear" w:color="auto" w:fill="auto"/>
          </w:tcPr>
          <w:p w14:paraId="079F7D03" w14:textId="77777777" w:rsidR="00C11C12" w:rsidRPr="0001723F" w:rsidRDefault="00E82A60" w:rsidP="00DE0B35">
            <w:pPr>
              <w:spacing w:before="0" w:after="0"/>
              <w:jc w:val="right"/>
              <w:rPr>
                <w:sz w:val="14"/>
                <w:szCs w:val="14"/>
                <w:lang w:val="fr-BE"/>
              </w:rPr>
            </w:pPr>
            <w:r>
              <w:rPr>
                <w:noProof/>
                <w:sz w:val="14"/>
                <w:szCs w:val="14"/>
                <w:lang w:val="fr-BE"/>
              </w:rPr>
              <w:t>113 283 266,59</w:t>
            </w:r>
          </w:p>
        </w:tc>
        <w:tc>
          <w:tcPr>
            <w:tcW w:w="0" w:type="auto"/>
            <w:shd w:val="clear" w:color="auto" w:fill="auto"/>
          </w:tcPr>
          <w:p w14:paraId="0C8B82FB" w14:textId="77777777" w:rsidR="00C11C12" w:rsidRPr="0001723F" w:rsidRDefault="00E82A60" w:rsidP="00DE0B35">
            <w:pPr>
              <w:spacing w:before="0" w:after="0"/>
              <w:jc w:val="right"/>
              <w:rPr>
                <w:sz w:val="14"/>
                <w:szCs w:val="14"/>
                <w:lang w:val="fr-BE"/>
              </w:rPr>
            </w:pPr>
            <w:r>
              <w:rPr>
                <w:noProof/>
                <w:sz w:val="14"/>
                <w:szCs w:val="14"/>
                <w:lang w:val="fr-BE"/>
              </w:rPr>
              <w:t>90 889 633,88</w:t>
            </w:r>
          </w:p>
        </w:tc>
        <w:tc>
          <w:tcPr>
            <w:tcW w:w="0" w:type="auto"/>
            <w:shd w:val="clear" w:color="auto" w:fill="auto"/>
          </w:tcPr>
          <w:p w14:paraId="5F2C9513" w14:textId="77777777" w:rsidR="00C11C12" w:rsidRPr="0001723F" w:rsidRDefault="00E82A60" w:rsidP="00DE0B35">
            <w:pPr>
              <w:spacing w:before="0" w:after="0"/>
              <w:jc w:val="right"/>
              <w:rPr>
                <w:sz w:val="14"/>
                <w:szCs w:val="14"/>
                <w:lang w:val="fr-BE"/>
              </w:rPr>
            </w:pPr>
            <w:r>
              <w:rPr>
                <w:noProof/>
                <w:sz w:val="14"/>
                <w:szCs w:val="14"/>
                <w:lang w:val="fr-BE"/>
              </w:rPr>
              <w:t>61,77%</w:t>
            </w:r>
          </w:p>
        </w:tc>
        <w:tc>
          <w:tcPr>
            <w:tcW w:w="0" w:type="auto"/>
          </w:tcPr>
          <w:p w14:paraId="4C5FD517" w14:textId="77777777" w:rsidR="00C11C12" w:rsidRDefault="00E82A60" w:rsidP="00DE0B35">
            <w:pPr>
              <w:spacing w:before="0" w:after="0"/>
              <w:jc w:val="right"/>
              <w:rPr>
                <w:sz w:val="14"/>
                <w:szCs w:val="14"/>
                <w:lang w:val="fr-BE"/>
              </w:rPr>
            </w:pPr>
            <w:r>
              <w:rPr>
                <w:noProof/>
                <w:sz w:val="14"/>
                <w:szCs w:val="14"/>
                <w:lang w:val="fr-BE"/>
              </w:rPr>
              <w:t>200</w:t>
            </w:r>
          </w:p>
        </w:tc>
      </w:tr>
      <w:tr w:rsidR="006B2EC1" w14:paraId="1B5F4B87" w14:textId="77777777" w:rsidTr="00C11C12">
        <w:tc>
          <w:tcPr>
            <w:tcW w:w="0" w:type="auto"/>
            <w:shd w:val="clear" w:color="auto" w:fill="auto"/>
          </w:tcPr>
          <w:p w14:paraId="7E1A8515" w14:textId="77777777" w:rsidR="00C11C12" w:rsidRPr="0001723F" w:rsidRDefault="00E82A60" w:rsidP="00DE0B35">
            <w:pPr>
              <w:spacing w:before="0" w:after="0"/>
              <w:rPr>
                <w:sz w:val="14"/>
                <w:szCs w:val="14"/>
                <w:lang w:val="fr-BE"/>
              </w:rPr>
            </w:pPr>
            <w:r>
              <w:rPr>
                <w:noProof/>
                <w:sz w:val="14"/>
                <w:szCs w:val="14"/>
                <w:lang w:val="fr-BE"/>
              </w:rPr>
              <w:t>2</w:t>
            </w:r>
          </w:p>
        </w:tc>
        <w:tc>
          <w:tcPr>
            <w:tcW w:w="0" w:type="auto"/>
            <w:shd w:val="clear" w:color="auto" w:fill="auto"/>
          </w:tcPr>
          <w:p w14:paraId="5A7071F6" w14:textId="77777777" w:rsidR="00C11C12" w:rsidRPr="0001723F" w:rsidRDefault="00E82A60" w:rsidP="00DE0B35">
            <w:pPr>
              <w:spacing w:before="0" w:after="0"/>
              <w:rPr>
                <w:sz w:val="14"/>
                <w:szCs w:val="14"/>
                <w:lang w:val="fr-BE"/>
              </w:rPr>
            </w:pPr>
            <w:r w:rsidRPr="0001723F">
              <w:rPr>
                <w:noProof/>
                <w:sz w:val="14"/>
                <w:szCs w:val="14"/>
                <w:lang w:val="fr-BE"/>
              </w:rPr>
              <w:t>EFRR</w:t>
            </w:r>
          </w:p>
        </w:tc>
        <w:tc>
          <w:tcPr>
            <w:tcW w:w="0" w:type="auto"/>
            <w:shd w:val="clear" w:color="auto" w:fill="auto"/>
          </w:tcPr>
          <w:p w14:paraId="26D0C39C" w14:textId="77777777" w:rsidR="00C11C12" w:rsidRPr="0001723F" w:rsidRDefault="00E82A60" w:rsidP="00DE0B35">
            <w:pPr>
              <w:spacing w:before="0" w:after="0"/>
              <w:rPr>
                <w:sz w:val="14"/>
                <w:szCs w:val="14"/>
                <w:lang w:val="fr-BE"/>
              </w:rPr>
            </w:pPr>
            <w:r w:rsidRPr="0001723F">
              <w:rPr>
                <w:noProof/>
                <w:sz w:val="14"/>
                <w:szCs w:val="14"/>
                <w:lang w:val="fr-BE"/>
              </w:rPr>
              <w:t>Słabiej rozwinięte</w:t>
            </w:r>
          </w:p>
        </w:tc>
        <w:tc>
          <w:tcPr>
            <w:tcW w:w="0" w:type="auto"/>
            <w:shd w:val="clear" w:color="auto" w:fill="auto"/>
          </w:tcPr>
          <w:p w14:paraId="31ECF7F6" w14:textId="77777777" w:rsidR="00C11C12" w:rsidRPr="0001723F" w:rsidRDefault="00E82A60" w:rsidP="00DE0B35">
            <w:pPr>
              <w:spacing w:before="0" w:after="0"/>
              <w:rPr>
                <w:sz w:val="14"/>
                <w:szCs w:val="14"/>
                <w:lang w:val="fr-BE"/>
              </w:rPr>
            </w:pPr>
            <w:r w:rsidRPr="0001723F">
              <w:rPr>
                <w:noProof/>
                <w:sz w:val="14"/>
                <w:szCs w:val="14"/>
              </w:rPr>
              <w:t>Ogółem</w:t>
            </w:r>
          </w:p>
        </w:tc>
        <w:tc>
          <w:tcPr>
            <w:tcW w:w="0" w:type="auto"/>
            <w:shd w:val="clear" w:color="auto" w:fill="auto"/>
          </w:tcPr>
          <w:p w14:paraId="6AF16C5C" w14:textId="77777777" w:rsidR="00C11C12" w:rsidRPr="0001723F" w:rsidRDefault="00E82A60" w:rsidP="00DE0B35">
            <w:pPr>
              <w:spacing w:before="0" w:after="0"/>
              <w:jc w:val="right"/>
              <w:rPr>
                <w:sz w:val="14"/>
                <w:szCs w:val="14"/>
                <w:lang w:val="fr-BE"/>
              </w:rPr>
            </w:pPr>
            <w:r>
              <w:rPr>
                <w:noProof/>
                <w:sz w:val="14"/>
                <w:szCs w:val="14"/>
              </w:rPr>
              <w:t>189 702 580,00</w:t>
            </w:r>
          </w:p>
        </w:tc>
        <w:tc>
          <w:tcPr>
            <w:tcW w:w="0" w:type="auto"/>
            <w:shd w:val="clear" w:color="auto" w:fill="auto"/>
          </w:tcPr>
          <w:p w14:paraId="4AD6F703" w14:textId="77777777" w:rsidR="00C11C12" w:rsidRPr="0001723F" w:rsidRDefault="00E82A60" w:rsidP="00DE0B35">
            <w:pPr>
              <w:spacing w:before="0" w:after="0"/>
              <w:jc w:val="right"/>
              <w:rPr>
                <w:sz w:val="14"/>
                <w:szCs w:val="14"/>
                <w:lang w:val="fr-BE"/>
              </w:rPr>
            </w:pPr>
            <w:r>
              <w:rPr>
                <w:noProof/>
                <w:sz w:val="14"/>
                <w:szCs w:val="14"/>
                <w:lang w:val="fr-BE"/>
              </w:rPr>
              <w:t>85,00%</w:t>
            </w:r>
          </w:p>
        </w:tc>
        <w:tc>
          <w:tcPr>
            <w:tcW w:w="0" w:type="auto"/>
            <w:shd w:val="clear" w:color="auto" w:fill="auto"/>
          </w:tcPr>
          <w:p w14:paraId="33CF1604" w14:textId="77777777" w:rsidR="00C11C12" w:rsidRPr="0001723F" w:rsidRDefault="00E82A60" w:rsidP="00DE0B35">
            <w:pPr>
              <w:spacing w:before="0" w:after="0"/>
              <w:jc w:val="right"/>
              <w:rPr>
                <w:sz w:val="14"/>
                <w:szCs w:val="14"/>
                <w:lang w:val="fr-BE"/>
              </w:rPr>
            </w:pPr>
            <w:r>
              <w:rPr>
                <w:noProof/>
                <w:sz w:val="14"/>
                <w:szCs w:val="14"/>
                <w:lang w:val="fr-BE"/>
              </w:rPr>
              <w:t>149 487 210,29</w:t>
            </w:r>
          </w:p>
        </w:tc>
        <w:tc>
          <w:tcPr>
            <w:tcW w:w="0" w:type="auto"/>
            <w:shd w:val="clear" w:color="auto" w:fill="auto"/>
          </w:tcPr>
          <w:p w14:paraId="2A8C6ED2" w14:textId="77777777" w:rsidR="00C11C12" w:rsidRPr="0001723F" w:rsidRDefault="00E82A60" w:rsidP="00DE0B35">
            <w:pPr>
              <w:spacing w:before="0" w:after="0"/>
              <w:jc w:val="right"/>
              <w:rPr>
                <w:sz w:val="14"/>
                <w:szCs w:val="14"/>
                <w:lang w:val="fr-BE"/>
              </w:rPr>
            </w:pPr>
            <w:r>
              <w:rPr>
                <w:noProof/>
                <w:sz w:val="14"/>
                <w:szCs w:val="14"/>
                <w:lang w:val="fr-BE"/>
              </w:rPr>
              <w:t>78,80%</w:t>
            </w:r>
          </w:p>
        </w:tc>
        <w:tc>
          <w:tcPr>
            <w:tcW w:w="0" w:type="auto"/>
            <w:shd w:val="clear" w:color="auto" w:fill="auto"/>
          </w:tcPr>
          <w:p w14:paraId="6884402F" w14:textId="77777777" w:rsidR="00C11C12" w:rsidRPr="0001723F" w:rsidRDefault="00E82A60" w:rsidP="00DE0B35">
            <w:pPr>
              <w:spacing w:before="0" w:after="0"/>
              <w:jc w:val="right"/>
              <w:rPr>
                <w:sz w:val="14"/>
                <w:szCs w:val="14"/>
                <w:lang w:val="fr-BE"/>
              </w:rPr>
            </w:pPr>
            <w:r>
              <w:rPr>
                <w:noProof/>
                <w:sz w:val="14"/>
                <w:szCs w:val="14"/>
                <w:lang w:val="fr-BE"/>
              </w:rPr>
              <w:t>115 288 490,39</w:t>
            </w:r>
          </w:p>
        </w:tc>
        <w:tc>
          <w:tcPr>
            <w:tcW w:w="0" w:type="auto"/>
            <w:shd w:val="clear" w:color="auto" w:fill="auto"/>
          </w:tcPr>
          <w:p w14:paraId="349F395F" w14:textId="77777777" w:rsidR="00C11C12" w:rsidRPr="0001723F" w:rsidRDefault="00E82A60" w:rsidP="00DE0B35">
            <w:pPr>
              <w:spacing w:before="0" w:after="0"/>
              <w:jc w:val="right"/>
              <w:rPr>
                <w:sz w:val="14"/>
                <w:szCs w:val="14"/>
                <w:lang w:val="fr-BE"/>
              </w:rPr>
            </w:pPr>
            <w:r>
              <w:rPr>
                <w:noProof/>
                <w:sz w:val="14"/>
                <w:szCs w:val="14"/>
                <w:lang w:val="fr-BE"/>
              </w:rPr>
              <w:t>82 948 225,79</w:t>
            </w:r>
          </w:p>
        </w:tc>
        <w:tc>
          <w:tcPr>
            <w:tcW w:w="0" w:type="auto"/>
            <w:shd w:val="clear" w:color="auto" w:fill="auto"/>
          </w:tcPr>
          <w:p w14:paraId="5B68B35F" w14:textId="77777777" w:rsidR="00C11C12" w:rsidRPr="0001723F" w:rsidRDefault="00E82A60" w:rsidP="00DE0B35">
            <w:pPr>
              <w:spacing w:before="0" w:after="0"/>
              <w:jc w:val="right"/>
              <w:rPr>
                <w:sz w:val="14"/>
                <w:szCs w:val="14"/>
                <w:lang w:val="fr-BE"/>
              </w:rPr>
            </w:pPr>
            <w:r>
              <w:rPr>
                <w:noProof/>
                <w:sz w:val="14"/>
                <w:szCs w:val="14"/>
                <w:lang w:val="fr-BE"/>
              </w:rPr>
              <w:t>43,73%</w:t>
            </w:r>
          </w:p>
        </w:tc>
        <w:tc>
          <w:tcPr>
            <w:tcW w:w="0" w:type="auto"/>
          </w:tcPr>
          <w:p w14:paraId="5AB636C0" w14:textId="77777777" w:rsidR="00C11C12" w:rsidRDefault="00E82A60" w:rsidP="00DE0B35">
            <w:pPr>
              <w:spacing w:before="0" w:after="0"/>
              <w:jc w:val="right"/>
              <w:rPr>
                <w:sz w:val="14"/>
                <w:szCs w:val="14"/>
                <w:lang w:val="fr-BE"/>
              </w:rPr>
            </w:pPr>
            <w:r>
              <w:rPr>
                <w:noProof/>
                <w:sz w:val="14"/>
                <w:szCs w:val="14"/>
                <w:lang w:val="fr-BE"/>
              </w:rPr>
              <w:t>265</w:t>
            </w:r>
          </w:p>
        </w:tc>
      </w:tr>
      <w:tr w:rsidR="006B2EC1" w14:paraId="4A25460F" w14:textId="77777777" w:rsidTr="00C11C12">
        <w:tc>
          <w:tcPr>
            <w:tcW w:w="0" w:type="auto"/>
            <w:shd w:val="clear" w:color="auto" w:fill="auto"/>
          </w:tcPr>
          <w:p w14:paraId="31E14379" w14:textId="77777777" w:rsidR="00C11C12" w:rsidRPr="0001723F" w:rsidRDefault="00E82A60" w:rsidP="00DE0B35">
            <w:pPr>
              <w:spacing w:before="0" w:after="0"/>
              <w:rPr>
                <w:sz w:val="14"/>
                <w:szCs w:val="14"/>
                <w:lang w:val="fr-BE"/>
              </w:rPr>
            </w:pPr>
            <w:r>
              <w:rPr>
                <w:noProof/>
                <w:sz w:val="14"/>
                <w:szCs w:val="14"/>
                <w:lang w:val="fr-BE"/>
              </w:rPr>
              <w:t>3</w:t>
            </w:r>
          </w:p>
        </w:tc>
        <w:tc>
          <w:tcPr>
            <w:tcW w:w="0" w:type="auto"/>
            <w:shd w:val="clear" w:color="auto" w:fill="auto"/>
          </w:tcPr>
          <w:p w14:paraId="29E65319" w14:textId="77777777" w:rsidR="00C11C12" w:rsidRPr="0001723F" w:rsidRDefault="00E82A60" w:rsidP="00DE0B35">
            <w:pPr>
              <w:spacing w:before="0" w:after="0"/>
              <w:rPr>
                <w:sz w:val="14"/>
                <w:szCs w:val="14"/>
                <w:lang w:val="fr-BE"/>
              </w:rPr>
            </w:pPr>
            <w:r w:rsidRPr="0001723F">
              <w:rPr>
                <w:noProof/>
                <w:sz w:val="14"/>
                <w:szCs w:val="14"/>
                <w:lang w:val="fr-BE"/>
              </w:rPr>
              <w:t>EFRR</w:t>
            </w:r>
          </w:p>
        </w:tc>
        <w:tc>
          <w:tcPr>
            <w:tcW w:w="0" w:type="auto"/>
            <w:shd w:val="clear" w:color="auto" w:fill="auto"/>
          </w:tcPr>
          <w:p w14:paraId="040EAD45" w14:textId="77777777" w:rsidR="00C11C12" w:rsidRPr="0001723F" w:rsidRDefault="00E82A60" w:rsidP="00DE0B35">
            <w:pPr>
              <w:spacing w:before="0" w:after="0"/>
              <w:rPr>
                <w:sz w:val="14"/>
                <w:szCs w:val="14"/>
                <w:lang w:val="fr-BE"/>
              </w:rPr>
            </w:pPr>
            <w:r w:rsidRPr="0001723F">
              <w:rPr>
                <w:noProof/>
                <w:sz w:val="14"/>
                <w:szCs w:val="14"/>
                <w:lang w:val="fr-BE"/>
              </w:rPr>
              <w:t>Słabiej rozwinięte</w:t>
            </w:r>
          </w:p>
        </w:tc>
        <w:tc>
          <w:tcPr>
            <w:tcW w:w="0" w:type="auto"/>
            <w:shd w:val="clear" w:color="auto" w:fill="auto"/>
          </w:tcPr>
          <w:p w14:paraId="4219D29C" w14:textId="77777777" w:rsidR="00C11C12" w:rsidRPr="0001723F" w:rsidRDefault="00E82A60" w:rsidP="00DE0B35">
            <w:pPr>
              <w:spacing w:before="0" w:after="0"/>
              <w:rPr>
                <w:sz w:val="14"/>
                <w:szCs w:val="14"/>
                <w:lang w:val="fr-BE"/>
              </w:rPr>
            </w:pPr>
            <w:r w:rsidRPr="0001723F">
              <w:rPr>
                <w:noProof/>
                <w:sz w:val="14"/>
                <w:szCs w:val="14"/>
              </w:rPr>
              <w:t>Ogółem</w:t>
            </w:r>
          </w:p>
        </w:tc>
        <w:tc>
          <w:tcPr>
            <w:tcW w:w="0" w:type="auto"/>
            <w:shd w:val="clear" w:color="auto" w:fill="auto"/>
          </w:tcPr>
          <w:p w14:paraId="73B17A65" w14:textId="77777777" w:rsidR="00C11C12" w:rsidRPr="0001723F" w:rsidRDefault="00E82A60" w:rsidP="00DE0B35">
            <w:pPr>
              <w:spacing w:before="0" w:after="0"/>
              <w:jc w:val="right"/>
              <w:rPr>
                <w:sz w:val="14"/>
                <w:szCs w:val="14"/>
                <w:lang w:val="fr-BE"/>
              </w:rPr>
            </w:pPr>
            <w:r>
              <w:rPr>
                <w:noProof/>
                <w:sz w:val="14"/>
                <w:szCs w:val="14"/>
              </w:rPr>
              <w:t>205 556 280,00</w:t>
            </w:r>
          </w:p>
        </w:tc>
        <w:tc>
          <w:tcPr>
            <w:tcW w:w="0" w:type="auto"/>
            <w:shd w:val="clear" w:color="auto" w:fill="auto"/>
          </w:tcPr>
          <w:p w14:paraId="7AB158B8" w14:textId="77777777" w:rsidR="00C11C12" w:rsidRPr="0001723F" w:rsidRDefault="00E82A60" w:rsidP="00DE0B35">
            <w:pPr>
              <w:spacing w:before="0" w:after="0"/>
              <w:jc w:val="right"/>
              <w:rPr>
                <w:sz w:val="14"/>
                <w:szCs w:val="14"/>
                <w:lang w:val="fr-BE"/>
              </w:rPr>
            </w:pPr>
            <w:r>
              <w:rPr>
                <w:noProof/>
                <w:sz w:val="14"/>
                <w:szCs w:val="14"/>
                <w:lang w:val="fr-BE"/>
              </w:rPr>
              <w:t>85,00%</w:t>
            </w:r>
          </w:p>
        </w:tc>
        <w:tc>
          <w:tcPr>
            <w:tcW w:w="0" w:type="auto"/>
            <w:shd w:val="clear" w:color="auto" w:fill="auto"/>
          </w:tcPr>
          <w:p w14:paraId="00A57792" w14:textId="77777777" w:rsidR="00C11C12" w:rsidRPr="0001723F" w:rsidRDefault="00E82A60" w:rsidP="00DE0B35">
            <w:pPr>
              <w:spacing w:before="0" w:after="0"/>
              <w:jc w:val="right"/>
              <w:rPr>
                <w:sz w:val="14"/>
                <w:szCs w:val="14"/>
                <w:lang w:val="fr-BE"/>
              </w:rPr>
            </w:pPr>
            <w:r>
              <w:rPr>
                <w:noProof/>
                <w:sz w:val="14"/>
                <w:szCs w:val="14"/>
                <w:lang w:val="fr-BE"/>
              </w:rPr>
              <w:t>154 870 603,71</w:t>
            </w:r>
          </w:p>
        </w:tc>
        <w:tc>
          <w:tcPr>
            <w:tcW w:w="0" w:type="auto"/>
            <w:shd w:val="clear" w:color="auto" w:fill="auto"/>
          </w:tcPr>
          <w:p w14:paraId="66E8BEBB" w14:textId="77777777" w:rsidR="00C11C12" w:rsidRPr="0001723F" w:rsidRDefault="00E82A60" w:rsidP="00DE0B35">
            <w:pPr>
              <w:spacing w:before="0" w:after="0"/>
              <w:jc w:val="right"/>
              <w:rPr>
                <w:sz w:val="14"/>
                <w:szCs w:val="14"/>
                <w:lang w:val="fr-BE"/>
              </w:rPr>
            </w:pPr>
            <w:r>
              <w:rPr>
                <w:noProof/>
                <w:sz w:val="14"/>
                <w:szCs w:val="14"/>
                <w:lang w:val="fr-BE"/>
              </w:rPr>
              <w:t>75,34%</w:t>
            </w:r>
          </w:p>
        </w:tc>
        <w:tc>
          <w:tcPr>
            <w:tcW w:w="0" w:type="auto"/>
            <w:shd w:val="clear" w:color="auto" w:fill="auto"/>
          </w:tcPr>
          <w:p w14:paraId="09E9E999" w14:textId="77777777" w:rsidR="00C11C12" w:rsidRPr="0001723F" w:rsidRDefault="00E82A60" w:rsidP="00DE0B35">
            <w:pPr>
              <w:spacing w:before="0" w:after="0"/>
              <w:jc w:val="right"/>
              <w:rPr>
                <w:sz w:val="14"/>
                <w:szCs w:val="14"/>
                <w:lang w:val="fr-BE"/>
              </w:rPr>
            </w:pPr>
            <w:r>
              <w:rPr>
                <w:noProof/>
                <w:sz w:val="14"/>
                <w:szCs w:val="14"/>
                <w:lang w:val="fr-BE"/>
              </w:rPr>
              <w:t>143 096 955,78</w:t>
            </w:r>
          </w:p>
        </w:tc>
        <w:tc>
          <w:tcPr>
            <w:tcW w:w="0" w:type="auto"/>
            <w:shd w:val="clear" w:color="auto" w:fill="auto"/>
          </w:tcPr>
          <w:p w14:paraId="6DB35378" w14:textId="77777777" w:rsidR="00C11C12" w:rsidRPr="0001723F" w:rsidRDefault="00E82A60" w:rsidP="00DE0B35">
            <w:pPr>
              <w:spacing w:before="0" w:after="0"/>
              <w:jc w:val="right"/>
              <w:rPr>
                <w:sz w:val="14"/>
                <w:szCs w:val="14"/>
                <w:lang w:val="fr-BE"/>
              </w:rPr>
            </w:pPr>
            <w:r>
              <w:rPr>
                <w:noProof/>
                <w:sz w:val="14"/>
                <w:szCs w:val="14"/>
                <w:lang w:val="fr-BE"/>
              </w:rPr>
              <w:t>47 058 012,25</w:t>
            </w:r>
          </w:p>
        </w:tc>
        <w:tc>
          <w:tcPr>
            <w:tcW w:w="0" w:type="auto"/>
            <w:shd w:val="clear" w:color="auto" w:fill="auto"/>
          </w:tcPr>
          <w:p w14:paraId="139607FA" w14:textId="77777777" w:rsidR="00C11C12" w:rsidRPr="0001723F" w:rsidRDefault="00E82A60" w:rsidP="00DE0B35">
            <w:pPr>
              <w:spacing w:before="0" w:after="0"/>
              <w:jc w:val="right"/>
              <w:rPr>
                <w:sz w:val="14"/>
                <w:szCs w:val="14"/>
                <w:lang w:val="fr-BE"/>
              </w:rPr>
            </w:pPr>
            <w:r>
              <w:rPr>
                <w:noProof/>
                <w:sz w:val="14"/>
                <w:szCs w:val="14"/>
                <w:lang w:val="fr-BE"/>
              </w:rPr>
              <w:t>22,89%</w:t>
            </w:r>
          </w:p>
        </w:tc>
        <w:tc>
          <w:tcPr>
            <w:tcW w:w="0" w:type="auto"/>
          </w:tcPr>
          <w:p w14:paraId="7DBCAC27" w14:textId="77777777" w:rsidR="00C11C12" w:rsidRDefault="00E82A60" w:rsidP="00DE0B35">
            <w:pPr>
              <w:spacing w:before="0" w:after="0"/>
              <w:jc w:val="right"/>
              <w:rPr>
                <w:sz w:val="14"/>
                <w:szCs w:val="14"/>
                <w:lang w:val="fr-BE"/>
              </w:rPr>
            </w:pPr>
            <w:r>
              <w:rPr>
                <w:noProof/>
                <w:sz w:val="14"/>
                <w:szCs w:val="14"/>
                <w:lang w:val="fr-BE"/>
              </w:rPr>
              <w:t>268</w:t>
            </w:r>
          </w:p>
        </w:tc>
      </w:tr>
      <w:tr w:rsidR="006B2EC1" w14:paraId="48C36E43" w14:textId="77777777" w:rsidTr="00C11C12">
        <w:tc>
          <w:tcPr>
            <w:tcW w:w="0" w:type="auto"/>
            <w:shd w:val="clear" w:color="auto" w:fill="auto"/>
          </w:tcPr>
          <w:p w14:paraId="12FD8AE3" w14:textId="77777777" w:rsidR="00C11C12" w:rsidRPr="0001723F" w:rsidRDefault="00E82A60" w:rsidP="00DE0B35">
            <w:pPr>
              <w:spacing w:before="0" w:after="0"/>
              <w:rPr>
                <w:sz w:val="14"/>
                <w:szCs w:val="14"/>
                <w:lang w:val="fr-BE"/>
              </w:rPr>
            </w:pPr>
            <w:r>
              <w:rPr>
                <w:noProof/>
                <w:sz w:val="14"/>
                <w:szCs w:val="14"/>
                <w:lang w:val="fr-BE"/>
              </w:rPr>
              <w:t>4</w:t>
            </w:r>
          </w:p>
        </w:tc>
        <w:tc>
          <w:tcPr>
            <w:tcW w:w="0" w:type="auto"/>
            <w:shd w:val="clear" w:color="auto" w:fill="auto"/>
          </w:tcPr>
          <w:p w14:paraId="23C5ED59" w14:textId="77777777" w:rsidR="00C11C12" w:rsidRPr="0001723F" w:rsidRDefault="00E82A60" w:rsidP="00DE0B35">
            <w:pPr>
              <w:spacing w:before="0" w:after="0"/>
              <w:rPr>
                <w:sz w:val="14"/>
                <w:szCs w:val="14"/>
                <w:lang w:val="fr-BE"/>
              </w:rPr>
            </w:pPr>
            <w:r w:rsidRPr="0001723F">
              <w:rPr>
                <w:noProof/>
                <w:sz w:val="14"/>
                <w:szCs w:val="14"/>
                <w:lang w:val="fr-BE"/>
              </w:rPr>
              <w:t>EFRR</w:t>
            </w:r>
          </w:p>
        </w:tc>
        <w:tc>
          <w:tcPr>
            <w:tcW w:w="0" w:type="auto"/>
            <w:shd w:val="clear" w:color="auto" w:fill="auto"/>
          </w:tcPr>
          <w:p w14:paraId="7B2F42B9" w14:textId="77777777" w:rsidR="00C11C12" w:rsidRPr="0001723F" w:rsidRDefault="00E82A60" w:rsidP="00DE0B35">
            <w:pPr>
              <w:spacing w:before="0" w:after="0"/>
              <w:rPr>
                <w:sz w:val="14"/>
                <w:szCs w:val="14"/>
                <w:lang w:val="fr-BE"/>
              </w:rPr>
            </w:pPr>
            <w:r w:rsidRPr="0001723F">
              <w:rPr>
                <w:noProof/>
                <w:sz w:val="14"/>
                <w:szCs w:val="14"/>
                <w:lang w:val="fr-BE"/>
              </w:rPr>
              <w:t>Słabiej rozwinięte</w:t>
            </w:r>
          </w:p>
        </w:tc>
        <w:tc>
          <w:tcPr>
            <w:tcW w:w="0" w:type="auto"/>
            <w:shd w:val="clear" w:color="auto" w:fill="auto"/>
          </w:tcPr>
          <w:p w14:paraId="5F1FB9C7" w14:textId="77777777" w:rsidR="00C11C12" w:rsidRPr="0001723F" w:rsidRDefault="00E82A60" w:rsidP="00DE0B35">
            <w:pPr>
              <w:spacing w:before="0" w:after="0"/>
              <w:rPr>
                <w:sz w:val="14"/>
                <w:szCs w:val="14"/>
                <w:lang w:val="fr-BE"/>
              </w:rPr>
            </w:pPr>
            <w:r w:rsidRPr="0001723F">
              <w:rPr>
                <w:noProof/>
                <w:sz w:val="14"/>
                <w:szCs w:val="14"/>
              </w:rPr>
              <w:t>Ogółem</w:t>
            </w:r>
          </w:p>
        </w:tc>
        <w:tc>
          <w:tcPr>
            <w:tcW w:w="0" w:type="auto"/>
            <w:shd w:val="clear" w:color="auto" w:fill="auto"/>
          </w:tcPr>
          <w:p w14:paraId="5F26E9D2" w14:textId="77777777" w:rsidR="00C11C12" w:rsidRPr="0001723F" w:rsidRDefault="00E82A60" w:rsidP="00DE0B35">
            <w:pPr>
              <w:spacing w:before="0" w:after="0"/>
              <w:jc w:val="right"/>
              <w:rPr>
                <w:sz w:val="14"/>
                <w:szCs w:val="14"/>
                <w:lang w:val="fr-BE"/>
              </w:rPr>
            </w:pPr>
            <w:r>
              <w:rPr>
                <w:noProof/>
                <w:sz w:val="14"/>
                <w:szCs w:val="14"/>
              </w:rPr>
              <w:t>198 973 818,00</w:t>
            </w:r>
          </w:p>
        </w:tc>
        <w:tc>
          <w:tcPr>
            <w:tcW w:w="0" w:type="auto"/>
            <w:shd w:val="clear" w:color="auto" w:fill="auto"/>
          </w:tcPr>
          <w:p w14:paraId="72E51805" w14:textId="77777777" w:rsidR="00C11C12" w:rsidRPr="0001723F" w:rsidRDefault="00E82A60" w:rsidP="00DE0B35">
            <w:pPr>
              <w:spacing w:before="0" w:after="0"/>
              <w:jc w:val="right"/>
              <w:rPr>
                <w:sz w:val="14"/>
                <w:szCs w:val="14"/>
                <w:lang w:val="fr-BE"/>
              </w:rPr>
            </w:pPr>
            <w:r>
              <w:rPr>
                <w:noProof/>
                <w:sz w:val="14"/>
                <w:szCs w:val="14"/>
                <w:lang w:val="fr-BE"/>
              </w:rPr>
              <w:t>85,00%</w:t>
            </w:r>
          </w:p>
        </w:tc>
        <w:tc>
          <w:tcPr>
            <w:tcW w:w="0" w:type="auto"/>
            <w:shd w:val="clear" w:color="auto" w:fill="auto"/>
          </w:tcPr>
          <w:p w14:paraId="59D765E3" w14:textId="77777777" w:rsidR="00C11C12" w:rsidRPr="0001723F" w:rsidRDefault="00E82A60" w:rsidP="00DE0B35">
            <w:pPr>
              <w:spacing w:before="0" w:after="0"/>
              <w:jc w:val="right"/>
              <w:rPr>
                <w:sz w:val="14"/>
                <w:szCs w:val="14"/>
                <w:lang w:val="fr-BE"/>
              </w:rPr>
            </w:pPr>
            <w:r>
              <w:rPr>
                <w:noProof/>
                <w:sz w:val="14"/>
                <w:szCs w:val="14"/>
                <w:lang w:val="fr-BE"/>
              </w:rPr>
              <w:t>162 882 705,32</w:t>
            </w:r>
          </w:p>
        </w:tc>
        <w:tc>
          <w:tcPr>
            <w:tcW w:w="0" w:type="auto"/>
            <w:shd w:val="clear" w:color="auto" w:fill="auto"/>
          </w:tcPr>
          <w:p w14:paraId="376C88DC" w14:textId="77777777" w:rsidR="00C11C12" w:rsidRPr="0001723F" w:rsidRDefault="00E82A60" w:rsidP="00DE0B35">
            <w:pPr>
              <w:spacing w:before="0" w:after="0"/>
              <w:jc w:val="right"/>
              <w:rPr>
                <w:sz w:val="14"/>
                <w:szCs w:val="14"/>
                <w:lang w:val="fr-BE"/>
              </w:rPr>
            </w:pPr>
            <w:r>
              <w:rPr>
                <w:noProof/>
                <w:sz w:val="14"/>
                <w:szCs w:val="14"/>
                <w:lang w:val="fr-BE"/>
              </w:rPr>
              <w:t>81,86%</w:t>
            </w:r>
          </w:p>
        </w:tc>
        <w:tc>
          <w:tcPr>
            <w:tcW w:w="0" w:type="auto"/>
            <w:shd w:val="clear" w:color="auto" w:fill="auto"/>
          </w:tcPr>
          <w:p w14:paraId="59CB4021" w14:textId="77777777" w:rsidR="00C11C12" w:rsidRPr="0001723F" w:rsidRDefault="00E82A60" w:rsidP="00DE0B35">
            <w:pPr>
              <w:spacing w:before="0" w:after="0"/>
              <w:jc w:val="right"/>
              <w:rPr>
                <w:sz w:val="14"/>
                <w:szCs w:val="14"/>
                <w:lang w:val="fr-BE"/>
              </w:rPr>
            </w:pPr>
            <w:r>
              <w:rPr>
                <w:noProof/>
                <w:sz w:val="14"/>
                <w:szCs w:val="14"/>
                <w:lang w:val="fr-BE"/>
              </w:rPr>
              <w:t>160 851 954,18</w:t>
            </w:r>
          </w:p>
        </w:tc>
        <w:tc>
          <w:tcPr>
            <w:tcW w:w="0" w:type="auto"/>
            <w:shd w:val="clear" w:color="auto" w:fill="auto"/>
          </w:tcPr>
          <w:p w14:paraId="65681484" w14:textId="77777777" w:rsidR="00C11C12" w:rsidRPr="0001723F" w:rsidRDefault="00E82A60" w:rsidP="00DE0B35">
            <w:pPr>
              <w:spacing w:before="0" w:after="0"/>
              <w:jc w:val="right"/>
              <w:rPr>
                <w:sz w:val="14"/>
                <w:szCs w:val="14"/>
                <w:lang w:val="fr-BE"/>
              </w:rPr>
            </w:pPr>
            <w:r>
              <w:rPr>
                <w:noProof/>
                <w:sz w:val="14"/>
                <w:szCs w:val="14"/>
                <w:lang w:val="fr-BE"/>
              </w:rPr>
              <w:t>47 014 107,65</w:t>
            </w:r>
          </w:p>
        </w:tc>
        <w:tc>
          <w:tcPr>
            <w:tcW w:w="0" w:type="auto"/>
            <w:shd w:val="clear" w:color="auto" w:fill="auto"/>
          </w:tcPr>
          <w:p w14:paraId="64E806AF" w14:textId="77777777" w:rsidR="00C11C12" w:rsidRPr="0001723F" w:rsidRDefault="00E82A60" w:rsidP="00DE0B35">
            <w:pPr>
              <w:spacing w:before="0" w:after="0"/>
              <w:jc w:val="right"/>
              <w:rPr>
                <w:sz w:val="14"/>
                <w:szCs w:val="14"/>
                <w:lang w:val="fr-BE"/>
              </w:rPr>
            </w:pPr>
            <w:r>
              <w:rPr>
                <w:noProof/>
                <w:sz w:val="14"/>
                <w:szCs w:val="14"/>
                <w:lang w:val="fr-BE"/>
              </w:rPr>
              <w:t>23,63%</w:t>
            </w:r>
          </w:p>
        </w:tc>
        <w:tc>
          <w:tcPr>
            <w:tcW w:w="0" w:type="auto"/>
          </w:tcPr>
          <w:p w14:paraId="345555A5" w14:textId="77777777" w:rsidR="00C11C12" w:rsidRDefault="00E82A60" w:rsidP="00DE0B35">
            <w:pPr>
              <w:spacing w:before="0" w:after="0"/>
              <w:jc w:val="right"/>
              <w:rPr>
                <w:sz w:val="14"/>
                <w:szCs w:val="14"/>
                <w:lang w:val="fr-BE"/>
              </w:rPr>
            </w:pPr>
            <w:r>
              <w:rPr>
                <w:noProof/>
                <w:sz w:val="14"/>
                <w:szCs w:val="14"/>
                <w:lang w:val="fr-BE"/>
              </w:rPr>
              <w:t>133</w:t>
            </w:r>
          </w:p>
        </w:tc>
      </w:tr>
      <w:tr w:rsidR="006B2EC1" w14:paraId="30729802" w14:textId="77777777" w:rsidTr="00C11C12">
        <w:tc>
          <w:tcPr>
            <w:tcW w:w="0" w:type="auto"/>
            <w:shd w:val="clear" w:color="auto" w:fill="auto"/>
          </w:tcPr>
          <w:p w14:paraId="0C69D995" w14:textId="77777777" w:rsidR="00C11C12" w:rsidRPr="0001723F" w:rsidRDefault="00E82A60" w:rsidP="00DE0B35">
            <w:pPr>
              <w:spacing w:before="0" w:after="0"/>
              <w:rPr>
                <w:sz w:val="14"/>
                <w:szCs w:val="14"/>
                <w:lang w:val="fr-BE"/>
              </w:rPr>
            </w:pPr>
            <w:r>
              <w:rPr>
                <w:noProof/>
                <w:sz w:val="14"/>
                <w:szCs w:val="14"/>
                <w:lang w:val="fr-BE"/>
              </w:rPr>
              <w:t>5</w:t>
            </w:r>
          </w:p>
        </w:tc>
        <w:tc>
          <w:tcPr>
            <w:tcW w:w="0" w:type="auto"/>
            <w:shd w:val="clear" w:color="auto" w:fill="auto"/>
          </w:tcPr>
          <w:p w14:paraId="53CCE96B" w14:textId="77777777" w:rsidR="00C11C12" w:rsidRPr="0001723F" w:rsidRDefault="00E82A60" w:rsidP="00DE0B35">
            <w:pPr>
              <w:spacing w:before="0" w:after="0"/>
              <w:rPr>
                <w:sz w:val="14"/>
                <w:szCs w:val="14"/>
                <w:lang w:val="fr-BE"/>
              </w:rPr>
            </w:pPr>
            <w:r w:rsidRPr="0001723F">
              <w:rPr>
                <w:noProof/>
                <w:sz w:val="14"/>
                <w:szCs w:val="14"/>
                <w:lang w:val="fr-BE"/>
              </w:rPr>
              <w:t>EFRR</w:t>
            </w:r>
          </w:p>
        </w:tc>
        <w:tc>
          <w:tcPr>
            <w:tcW w:w="0" w:type="auto"/>
            <w:shd w:val="clear" w:color="auto" w:fill="auto"/>
          </w:tcPr>
          <w:p w14:paraId="772381DD" w14:textId="77777777" w:rsidR="00C11C12" w:rsidRPr="0001723F" w:rsidRDefault="00E82A60" w:rsidP="00DE0B35">
            <w:pPr>
              <w:spacing w:before="0" w:after="0"/>
              <w:rPr>
                <w:sz w:val="14"/>
                <w:szCs w:val="14"/>
                <w:lang w:val="fr-BE"/>
              </w:rPr>
            </w:pPr>
            <w:r w:rsidRPr="0001723F">
              <w:rPr>
                <w:noProof/>
                <w:sz w:val="14"/>
                <w:szCs w:val="14"/>
                <w:lang w:val="fr-BE"/>
              </w:rPr>
              <w:t>Słabiej rozwinięte</w:t>
            </w:r>
          </w:p>
        </w:tc>
        <w:tc>
          <w:tcPr>
            <w:tcW w:w="0" w:type="auto"/>
            <w:shd w:val="clear" w:color="auto" w:fill="auto"/>
          </w:tcPr>
          <w:p w14:paraId="2839ECE1" w14:textId="77777777" w:rsidR="00C11C12" w:rsidRPr="0001723F" w:rsidRDefault="00E82A60" w:rsidP="00DE0B35">
            <w:pPr>
              <w:spacing w:before="0" w:after="0"/>
              <w:rPr>
                <w:sz w:val="14"/>
                <w:szCs w:val="14"/>
                <w:lang w:val="fr-BE"/>
              </w:rPr>
            </w:pPr>
            <w:r w:rsidRPr="0001723F">
              <w:rPr>
                <w:noProof/>
                <w:sz w:val="14"/>
                <w:szCs w:val="14"/>
              </w:rPr>
              <w:t>Ogółem</w:t>
            </w:r>
          </w:p>
        </w:tc>
        <w:tc>
          <w:tcPr>
            <w:tcW w:w="0" w:type="auto"/>
            <w:shd w:val="clear" w:color="auto" w:fill="auto"/>
          </w:tcPr>
          <w:p w14:paraId="5141354D" w14:textId="77777777" w:rsidR="00C11C12" w:rsidRPr="0001723F" w:rsidRDefault="00E82A60" w:rsidP="00DE0B35">
            <w:pPr>
              <w:spacing w:before="0" w:after="0"/>
              <w:jc w:val="right"/>
              <w:rPr>
                <w:sz w:val="14"/>
                <w:szCs w:val="14"/>
                <w:lang w:val="fr-BE"/>
              </w:rPr>
            </w:pPr>
            <w:r>
              <w:rPr>
                <w:noProof/>
                <w:sz w:val="14"/>
                <w:szCs w:val="14"/>
              </w:rPr>
              <w:t>152 374 003,00</w:t>
            </w:r>
          </w:p>
        </w:tc>
        <w:tc>
          <w:tcPr>
            <w:tcW w:w="0" w:type="auto"/>
            <w:shd w:val="clear" w:color="auto" w:fill="auto"/>
          </w:tcPr>
          <w:p w14:paraId="4DA6A257" w14:textId="77777777" w:rsidR="00C11C12" w:rsidRPr="0001723F" w:rsidRDefault="00E82A60" w:rsidP="00DE0B35">
            <w:pPr>
              <w:spacing w:before="0" w:after="0"/>
              <w:jc w:val="right"/>
              <w:rPr>
                <w:sz w:val="14"/>
                <w:szCs w:val="14"/>
                <w:lang w:val="fr-BE"/>
              </w:rPr>
            </w:pPr>
            <w:r>
              <w:rPr>
                <w:noProof/>
                <w:sz w:val="14"/>
                <w:szCs w:val="14"/>
                <w:lang w:val="fr-BE"/>
              </w:rPr>
              <w:t>85,00%</w:t>
            </w:r>
          </w:p>
        </w:tc>
        <w:tc>
          <w:tcPr>
            <w:tcW w:w="0" w:type="auto"/>
            <w:shd w:val="clear" w:color="auto" w:fill="auto"/>
          </w:tcPr>
          <w:p w14:paraId="0CAEB581" w14:textId="77777777" w:rsidR="00C11C12" w:rsidRPr="0001723F" w:rsidRDefault="00E82A60" w:rsidP="00DE0B35">
            <w:pPr>
              <w:spacing w:before="0" w:after="0"/>
              <w:jc w:val="right"/>
              <w:rPr>
                <w:sz w:val="14"/>
                <w:szCs w:val="14"/>
                <w:lang w:val="fr-BE"/>
              </w:rPr>
            </w:pPr>
            <w:r>
              <w:rPr>
                <w:noProof/>
                <w:sz w:val="14"/>
                <w:szCs w:val="14"/>
                <w:lang w:val="fr-BE"/>
              </w:rPr>
              <w:t>134 176 829,88</w:t>
            </w:r>
          </w:p>
        </w:tc>
        <w:tc>
          <w:tcPr>
            <w:tcW w:w="0" w:type="auto"/>
            <w:shd w:val="clear" w:color="auto" w:fill="auto"/>
          </w:tcPr>
          <w:p w14:paraId="2575DDCC" w14:textId="77777777" w:rsidR="00C11C12" w:rsidRPr="0001723F" w:rsidRDefault="00E82A60" w:rsidP="00DE0B35">
            <w:pPr>
              <w:spacing w:before="0" w:after="0"/>
              <w:jc w:val="right"/>
              <w:rPr>
                <w:sz w:val="14"/>
                <w:szCs w:val="14"/>
                <w:lang w:val="fr-BE"/>
              </w:rPr>
            </w:pPr>
            <w:r>
              <w:rPr>
                <w:noProof/>
                <w:sz w:val="14"/>
                <w:szCs w:val="14"/>
                <w:lang w:val="fr-BE"/>
              </w:rPr>
              <w:t>88,06%</w:t>
            </w:r>
          </w:p>
        </w:tc>
        <w:tc>
          <w:tcPr>
            <w:tcW w:w="0" w:type="auto"/>
            <w:shd w:val="clear" w:color="auto" w:fill="auto"/>
          </w:tcPr>
          <w:p w14:paraId="35CA9CF9" w14:textId="77777777" w:rsidR="00C11C12" w:rsidRPr="0001723F" w:rsidRDefault="00E82A60" w:rsidP="00DE0B35">
            <w:pPr>
              <w:spacing w:before="0" w:after="0"/>
              <w:jc w:val="right"/>
              <w:rPr>
                <w:sz w:val="14"/>
                <w:szCs w:val="14"/>
                <w:lang w:val="fr-BE"/>
              </w:rPr>
            </w:pPr>
            <w:r>
              <w:rPr>
                <w:noProof/>
                <w:sz w:val="14"/>
                <w:szCs w:val="14"/>
                <w:lang w:val="fr-BE"/>
              </w:rPr>
              <w:t>134 176 829,88</w:t>
            </w:r>
          </w:p>
        </w:tc>
        <w:tc>
          <w:tcPr>
            <w:tcW w:w="0" w:type="auto"/>
            <w:shd w:val="clear" w:color="auto" w:fill="auto"/>
          </w:tcPr>
          <w:p w14:paraId="38F4C956" w14:textId="77777777" w:rsidR="00C11C12" w:rsidRPr="0001723F" w:rsidRDefault="00E82A60" w:rsidP="00DE0B35">
            <w:pPr>
              <w:spacing w:before="0" w:after="0"/>
              <w:jc w:val="right"/>
              <w:rPr>
                <w:sz w:val="14"/>
                <w:szCs w:val="14"/>
                <w:lang w:val="fr-BE"/>
              </w:rPr>
            </w:pPr>
            <w:r>
              <w:rPr>
                <w:noProof/>
                <w:sz w:val="14"/>
                <w:szCs w:val="14"/>
                <w:lang w:val="fr-BE"/>
              </w:rPr>
              <w:t>78 674 696,95</w:t>
            </w:r>
          </w:p>
        </w:tc>
        <w:tc>
          <w:tcPr>
            <w:tcW w:w="0" w:type="auto"/>
            <w:shd w:val="clear" w:color="auto" w:fill="auto"/>
          </w:tcPr>
          <w:p w14:paraId="21DCA9A8" w14:textId="77777777" w:rsidR="00C11C12" w:rsidRPr="0001723F" w:rsidRDefault="00E82A60" w:rsidP="00DE0B35">
            <w:pPr>
              <w:spacing w:before="0" w:after="0"/>
              <w:jc w:val="right"/>
              <w:rPr>
                <w:sz w:val="14"/>
                <w:szCs w:val="14"/>
                <w:lang w:val="fr-BE"/>
              </w:rPr>
            </w:pPr>
            <w:r>
              <w:rPr>
                <w:noProof/>
                <w:sz w:val="14"/>
                <w:szCs w:val="14"/>
                <w:lang w:val="fr-BE"/>
              </w:rPr>
              <w:t>51,63%</w:t>
            </w:r>
          </w:p>
        </w:tc>
        <w:tc>
          <w:tcPr>
            <w:tcW w:w="0" w:type="auto"/>
          </w:tcPr>
          <w:p w14:paraId="29655B76" w14:textId="77777777" w:rsidR="00C11C12" w:rsidRDefault="00E82A60" w:rsidP="00DE0B35">
            <w:pPr>
              <w:spacing w:before="0" w:after="0"/>
              <w:jc w:val="right"/>
              <w:rPr>
                <w:sz w:val="14"/>
                <w:szCs w:val="14"/>
                <w:lang w:val="fr-BE"/>
              </w:rPr>
            </w:pPr>
            <w:r>
              <w:rPr>
                <w:noProof/>
                <w:sz w:val="14"/>
                <w:szCs w:val="14"/>
                <w:lang w:val="fr-BE"/>
              </w:rPr>
              <w:t>14</w:t>
            </w:r>
          </w:p>
        </w:tc>
      </w:tr>
      <w:tr w:rsidR="006B2EC1" w14:paraId="4B427E92" w14:textId="77777777" w:rsidTr="00C11C12">
        <w:tc>
          <w:tcPr>
            <w:tcW w:w="0" w:type="auto"/>
            <w:shd w:val="clear" w:color="auto" w:fill="auto"/>
          </w:tcPr>
          <w:p w14:paraId="373E4BE9" w14:textId="77777777" w:rsidR="00C11C12" w:rsidRPr="0001723F" w:rsidRDefault="00E82A60" w:rsidP="00DE0B35">
            <w:pPr>
              <w:spacing w:before="0" w:after="0"/>
              <w:rPr>
                <w:sz w:val="14"/>
                <w:szCs w:val="14"/>
                <w:lang w:val="fr-BE"/>
              </w:rPr>
            </w:pPr>
            <w:r>
              <w:rPr>
                <w:noProof/>
                <w:sz w:val="14"/>
                <w:szCs w:val="14"/>
                <w:lang w:val="fr-BE"/>
              </w:rPr>
              <w:t>6</w:t>
            </w:r>
          </w:p>
        </w:tc>
        <w:tc>
          <w:tcPr>
            <w:tcW w:w="0" w:type="auto"/>
            <w:shd w:val="clear" w:color="auto" w:fill="auto"/>
          </w:tcPr>
          <w:p w14:paraId="6BF2F28C" w14:textId="77777777" w:rsidR="00C11C12" w:rsidRPr="0001723F" w:rsidRDefault="00E82A60" w:rsidP="00DE0B35">
            <w:pPr>
              <w:spacing w:before="0" w:after="0"/>
              <w:rPr>
                <w:sz w:val="14"/>
                <w:szCs w:val="14"/>
                <w:lang w:val="fr-BE"/>
              </w:rPr>
            </w:pPr>
            <w:r w:rsidRPr="0001723F">
              <w:rPr>
                <w:noProof/>
                <w:sz w:val="14"/>
                <w:szCs w:val="14"/>
                <w:lang w:val="fr-BE"/>
              </w:rPr>
              <w:t>EFRR</w:t>
            </w:r>
          </w:p>
        </w:tc>
        <w:tc>
          <w:tcPr>
            <w:tcW w:w="0" w:type="auto"/>
            <w:shd w:val="clear" w:color="auto" w:fill="auto"/>
          </w:tcPr>
          <w:p w14:paraId="624FDAF2" w14:textId="77777777" w:rsidR="00C11C12" w:rsidRPr="0001723F" w:rsidRDefault="00E82A60" w:rsidP="00DE0B35">
            <w:pPr>
              <w:spacing w:before="0" w:after="0"/>
              <w:rPr>
                <w:sz w:val="14"/>
                <w:szCs w:val="14"/>
                <w:lang w:val="fr-BE"/>
              </w:rPr>
            </w:pPr>
            <w:r w:rsidRPr="0001723F">
              <w:rPr>
                <w:noProof/>
                <w:sz w:val="14"/>
                <w:szCs w:val="14"/>
                <w:lang w:val="fr-BE"/>
              </w:rPr>
              <w:t>Słabiej rozwinięte</w:t>
            </w:r>
          </w:p>
        </w:tc>
        <w:tc>
          <w:tcPr>
            <w:tcW w:w="0" w:type="auto"/>
            <w:shd w:val="clear" w:color="auto" w:fill="auto"/>
          </w:tcPr>
          <w:p w14:paraId="2C8F59F2" w14:textId="77777777" w:rsidR="00C11C12" w:rsidRPr="0001723F" w:rsidRDefault="00E82A60" w:rsidP="00DE0B35">
            <w:pPr>
              <w:spacing w:before="0" w:after="0"/>
              <w:rPr>
                <w:sz w:val="14"/>
                <w:szCs w:val="14"/>
                <w:lang w:val="fr-BE"/>
              </w:rPr>
            </w:pPr>
            <w:r w:rsidRPr="0001723F">
              <w:rPr>
                <w:noProof/>
                <w:sz w:val="14"/>
                <w:szCs w:val="14"/>
              </w:rPr>
              <w:t>Ogółem</w:t>
            </w:r>
          </w:p>
        </w:tc>
        <w:tc>
          <w:tcPr>
            <w:tcW w:w="0" w:type="auto"/>
            <w:shd w:val="clear" w:color="auto" w:fill="auto"/>
          </w:tcPr>
          <w:p w14:paraId="127A5F33" w14:textId="77777777" w:rsidR="00C11C12" w:rsidRPr="0001723F" w:rsidRDefault="00E82A60" w:rsidP="00DE0B35">
            <w:pPr>
              <w:spacing w:before="0" w:after="0"/>
              <w:jc w:val="right"/>
              <w:rPr>
                <w:sz w:val="14"/>
                <w:szCs w:val="14"/>
                <w:lang w:val="fr-BE"/>
              </w:rPr>
            </w:pPr>
            <w:r>
              <w:rPr>
                <w:noProof/>
                <w:sz w:val="14"/>
                <w:szCs w:val="14"/>
              </w:rPr>
              <w:t>139 570 830,00</w:t>
            </w:r>
          </w:p>
        </w:tc>
        <w:tc>
          <w:tcPr>
            <w:tcW w:w="0" w:type="auto"/>
            <w:shd w:val="clear" w:color="auto" w:fill="auto"/>
          </w:tcPr>
          <w:p w14:paraId="7BA2E989" w14:textId="77777777" w:rsidR="00C11C12" w:rsidRPr="0001723F" w:rsidRDefault="00E82A60" w:rsidP="00DE0B35">
            <w:pPr>
              <w:spacing w:before="0" w:after="0"/>
              <w:jc w:val="right"/>
              <w:rPr>
                <w:sz w:val="14"/>
                <w:szCs w:val="14"/>
                <w:lang w:val="fr-BE"/>
              </w:rPr>
            </w:pPr>
            <w:r>
              <w:rPr>
                <w:noProof/>
                <w:sz w:val="14"/>
                <w:szCs w:val="14"/>
                <w:lang w:val="fr-BE"/>
              </w:rPr>
              <w:t>85,00%</w:t>
            </w:r>
          </w:p>
        </w:tc>
        <w:tc>
          <w:tcPr>
            <w:tcW w:w="0" w:type="auto"/>
            <w:shd w:val="clear" w:color="auto" w:fill="auto"/>
          </w:tcPr>
          <w:p w14:paraId="33E62DF2" w14:textId="77777777" w:rsidR="00C11C12" w:rsidRPr="0001723F" w:rsidRDefault="00E82A60" w:rsidP="00DE0B35">
            <w:pPr>
              <w:spacing w:before="0" w:after="0"/>
              <w:jc w:val="right"/>
              <w:rPr>
                <w:sz w:val="14"/>
                <w:szCs w:val="14"/>
                <w:lang w:val="fr-BE"/>
              </w:rPr>
            </w:pPr>
            <w:r>
              <w:rPr>
                <w:noProof/>
                <w:sz w:val="14"/>
                <w:szCs w:val="14"/>
                <w:lang w:val="fr-BE"/>
              </w:rPr>
              <w:t>131 585 521,92</w:t>
            </w:r>
          </w:p>
        </w:tc>
        <w:tc>
          <w:tcPr>
            <w:tcW w:w="0" w:type="auto"/>
            <w:shd w:val="clear" w:color="auto" w:fill="auto"/>
          </w:tcPr>
          <w:p w14:paraId="207D7C73" w14:textId="77777777" w:rsidR="00C11C12" w:rsidRPr="0001723F" w:rsidRDefault="00E82A60" w:rsidP="00DE0B35">
            <w:pPr>
              <w:spacing w:before="0" w:after="0"/>
              <w:jc w:val="right"/>
              <w:rPr>
                <w:sz w:val="14"/>
                <w:szCs w:val="14"/>
                <w:lang w:val="fr-BE"/>
              </w:rPr>
            </w:pPr>
            <w:r>
              <w:rPr>
                <w:noProof/>
                <w:sz w:val="14"/>
                <w:szCs w:val="14"/>
                <w:lang w:val="fr-BE"/>
              </w:rPr>
              <w:t>94,28%</w:t>
            </w:r>
          </w:p>
        </w:tc>
        <w:tc>
          <w:tcPr>
            <w:tcW w:w="0" w:type="auto"/>
            <w:shd w:val="clear" w:color="auto" w:fill="auto"/>
          </w:tcPr>
          <w:p w14:paraId="091C11F6" w14:textId="77777777" w:rsidR="00C11C12" w:rsidRPr="0001723F" w:rsidRDefault="00E82A60" w:rsidP="00DE0B35">
            <w:pPr>
              <w:spacing w:before="0" w:after="0"/>
              <w:jc w:val="right"/>
              <w:rPr>
                <w:sz w:val="14"/>
                <w:szCs w:val="14"/>
                <w:lang w:val="fr-BE"/>
              </w:rPr>
            </w:pPr>
            <w:r>
              <w:rPr>
                <w:noProof/>
                <w:sz w:val="14"/>
                <w:szCs w:val="14"/>
                <w:lang w:val="fr-BE"/>
              </w:rPr>
              <w:t>130 540 528,28</w:t>
            </w:r>
          </w:p>
        </w:tc>
        <w:tc>
          <w:tcPr>
            <w:tcW w:w="0" w:type="auto"/>
            <w:shd w:val="clear" w:color="auto" w:fill="auto"/>
          </w:tcPr>
          <w:p w14:paraId="14E9B71A" w14:textId="77777777" w:rsidR="00C11C12" w:rsidRPr="0001723F" w:rsidRDefault="00E82A60" w:rsidP="00DE0B35">
            <w:pPr>
              <w:spacing w:before="0" w:after="0"/>
              <w:jc w:val="right"/>
              <w:rPr>
                <w:sz w:val="14"/>
                <w:szCs w:val="14"/>
                <w:lang w:val="fr-BE"/>
              </w:rPr>
            </w:pPr>
            <w:r>
              <w:rPr>
                <w:noProof/>
                <w:sz w:val="14"/>
                <w:szCs w:val="14"/>
                <w:lang w:val="fr-BE"/>
              </w:rPr>
              <w:t>50 454 885,97</w:t>
            </w:r>
          </w:p>
        </w:tc>
        <w:tc>
          <w:tcPr>
            <w:tcW w:w="0" w:type="auto"/>
            <w:shd w:val="clear" w:color="auto" w:fill="auto"/>
          </w:tcPr>
          <w:p w14:paraId="652224C7" w14:textId="77777777" w:rsidR="00C11C12" w:rsidRPr="0001723F" w:rsidRDefault="00E82A60" w:rsidP="00DE0B35">
            <w:pPr>
              <w:spacing w:before="0" w:after="0"/>
              <w:jc w:val="right"/>
              <w:rPr>
                <w:sz w:val="14"/>
                <w:szCs w:val="14"/>
                <w:lang w:val="fr-BE"/>
              </w:rPr>
            </w:pPr>
            <w:r>
              <w:rPr>
                <w:noProof/>
                <w:sz w:val="14"/>
                <w:szCs w:val="14"/>
                <w:lang w:val="fr-BE"/>
              </w:rPr>
              <w:t>36,15%</w:t>
            </w:r>
          </w:p>
        </w:tc>
        <w:tc>
          <w:tcPr>
            <w:tcW w:w="0" w:type="auto"/>
          </w:tcPr>
          <w:p w14:paraId="69E9D94E" w14:textId="77777777" w:rsidR="00C11C12" w:rsidRDefault="00E82A60" w:rsidP="00DE0B35">
            <w:pPr>
              <w:spacing w:before="0" w:after="0"/>
              <w:jc w:val="right"/>
              <w:rPr>
                <w:sz w:val="14"/>
                <w:szCs w:val="14"/>
                <w:lang w:val="fr-BE"/>
              </w:rPr>
            </w:pPr>
            <w:r>
              <w:rPr>
                <w:noProof/>
                <w:sz w:val="14"/>
                <w:szCs w:val="14"/>
                <w:lang w:val="fr-BE"/>
              </w:rPr>
              <w:t>57</w:t>
            </w:r>
          </w:p>
        </w:tc>
      </w:tr>
      <w:tr w:rsidR="006B2EC1" w14:paraId="297A79F5" w14:textId="77777777" w:rsidTr="00C11C12">
        <w:tc>
          <w:tcPr>
            <w:tcW w:w="0" w:type="auto"/>
            <w:shd w:val="clear" w:color="auto" w:fill="auto"/>
          </w:tcPr>
          <w:p w14:paraId="50FE7CD5" w14:textId="77777777" w:rsidR="00C11C12" w:rsidRPr="0001723F" w:rsidRDefault="00E82A60" w:rsidP="00DE0B35">
            <w:pPr>
              <w:spacing w:before="0" w:after="0"/>
              <w:rPr>
                <w:sz w:val="14"/>
                <w:szCs w:val="14"/>
                <w:lang w:val="fr-BE"/>
              </w:rPr>
            </w:pPr>
            <w:r>
              <w:rPr>
                <w:noProof/>
                <w:sz w:val="14"/>
                <w:szCs w:val="14"/>
                <w:lang w:val="fr-BE"/>
              </w:rPr>
              <w:t>7</w:t>
            </w:r>
          </w:p>
        </w:tc>
        <w:tc>
          <w:tcPr>
            <w:tcW w:w="0" w:type="auto"/>
            <w:shd w:val="clear" w:color="auto" w:fill="auto"/>
          </w:tcPr>
          <w:p w14:paraId="4E07D065" w14:textId="77777777" w:rsidR="00C11C12" w:rsidRPr="0001723F" w:rsidRDefault="00E82A60" w:rsidP="00DE0B35">
            <w:pPr>
              <w:spacing w:before="0" w:after="0"/>
              <w:rPr>
                <w:sz w:val="14"/>
                <w:szCs w:val="14"/>
                <w:lang w:val="fr-BE"/>
              </w:rPr>
            </w:pPr>
            <w:r w:rsidRPr="0001723F">
              <w:rPr>
                <w:noProof/>
                <w:sz w:val="14"/>
                <w:szCs w:val="14"/>
                <w:lang w:val="fr-BE"/>
              </w:rPr>
              <w:t>EFRR</w:t>
            </w:r>
          </w:p>
        </w:tc>
        <w:tc>
          <w:tcPr>
            <w:tcW w:w="0" w:type="auto"/>
            <w:shd w:val="clear" w:color="auto" w:fill="auto"/>
          </w:tcPr>
          <w:p w14:paraId="1CD28471" w14:textId="77777777" w:rsidR="00C11C12" w:rsidRPr="0001723F" w:rsidRDefault="00E82A60" w:rsidP="00DE0B35">
            <w:pPr>
              <w:spacing w:before="0" w:after="0"/>
              <w:rPr>
                <w:sz w:val="14"/>
                <w:szCs w:val="14"/>
                <w:lang w:val="fr-BE"/>
              </w:rPr>
            </w:pPr>
            <w:r w:rsidRPr="0001723F">
              <w:rPr>
                <w:noProof/>
                <w:sz w:val="14"/>
                <w:szCs w:val="14"/>
                <w:lang w:val="fr-BE"/>
              </w:rPr>
              <w:t>Słabiej rozwinięte</w:t>
            </w:r>
          </w:p>
        </w:tc>
        <w:tc>
          <w:tcPr>
            <w:tcW w:w="0" w:type="auto"/>
            <w:shd w:val="clear" w:color="auto" w:fill="auto"/>
          </w:tcPr>
          <w:p w14:paraId="532F9D0B" w14:textId="77777777" w:rsidR="00C11C12" w:rsidRPr="0001723F" w:rsidRDefault="00E82A60" w:rsidP="00DE0B35">
            <w:pPr>
              <w:spacing w:before="0" w:after="0"/>
              <w:rPr>
                <w:sz w:val="14"/>
                <w:szCs w:val="14"/>
                <w:lang w:val="fr-BE"/>
              </w:rPr>
            </w:pPr>
            <w:r w:rsidRPr="0001723F">
              <w:rPr>
                <w:noProof/>
                <w:sz w:val="14"/>
                <w:szCs w:val="14"/>
              </w:rPr>
              <w:t>Ogółem</w:t>
            </w:r>
          </w:p>
        </w:tc>
        <w:tc>
          <w:tcPr>
            <w:tcW w:w="0" w:type="auto"/>
            <w:shd w:val="clear" w:color="auto" w:fill="auto"/>
          </w:tcPr>
          <w:p w14:paraId="64A89F76" w14:textId="77777777" w:rsidR="00C11C12" w:rsidRPr="0001723F" w:rsidRDefault="00E82A60" w:rsidP="00DE0B35">
            <w:pPr>
              <w:spacing w:before="0" w:after="0"/>
              <w:jc w:val="right"/>
              <w:rPr>
                <w:sz w:val="14"/>
                <w:szCs w:val="14"/>
                <w:lang w:val="fr-BE"/>
              </w:rPr>
            </w:pPr>
            <w:r>
              <w:rPr>
                <w:noProof/>
                <w:sz w:val="14"/>
                <w:szCs w:val="14"/>
              </w:rPr>
              <w:t>154 447 969,00</w:t>
            </w:r>
          </w:p>
        </w:tc>
        <w:tc>
          <w:tcPr>
            <w:tcW w:w="0" w:type="auto"/>
            <w:shd w:val="clear" w:color="auto" w:fill="auto"/>
          </w:tcPr>
          <w:p w14:paraId="33FA645C" w14:textId="77777777" w:rsidR="00C11C12" w:rsidRPr="0001723F" w:rsidRDefault="00E82A60" w:rsidP="00DE0B35">
            <w:pPr>
              <w:spacing w:before="0" w:after="0"/>
              <w:jc w:val="right"/>
              <w:rPr>
                <w:sz w:val="14"/>
                <w:szCs w:val="14"/>
                <w:lang w:val="fr-BE"/>
              </w:rPr>
            </w:pPr>
            <w:r>
              <w:rPr>
                <w:noProof/>
                <w:sz w:val="14"/>
                <w:szCs w:val="14"/>
                <w:lang w:val="fr-BE"/>
              </w:rPr>
              <w:t>85,00%</w:t>
            </w:r>
          </w:p>
        </w:tc>
        <w:tc>
          <w:tcPr>
            <w:tcW w:w="0" w:type="auto"/>
            <w:shd w:val="clear" w:color="auto" w:fill="auto"/>
          </w:tcPr>
          <w:p w14:paraId="27E8E5E1" w14:textId="77777777" w:rsidR="00C11C12" w:rsidRPr="0001723F" w:rsidRDefault="00E82A60" w:rsidP="00DE0B35">
            <w:pPr>
              <w:spacing w:before="0" w:after="0"/>
              <w:jc w:val="right"/>
              <w:rPr>
                <w:sz w:val="14"/>
                <w:szCs w:val="14"/>
                <w:lang w:val="fr-BE"/>
              </w:rPr>
            </w:pPr>
            <w:r>
              <w:rPr>
                <w:noProof/>
                <w:sz w:val="14"/>
                <w:szCs w:val="14"/>
                <w:lang w:val="fr-BE"/>
              </w:rPr>
              <w:t>181 035 472,92</w:t>
            </w:r>
          </w:p>
        </w:tc>
        <w:tc>
          <w:tcPr>
            <w:tcW w:w="0" w:type="auto"/>
            <w:shd w:val="clear" w:color="auto" w:fill="auto"/>
          </w:tcPr>
          <w:p w14:paraId="2CC7B504" w14:textId="77777777" w:rsidR="00C11C12" w:rsidRPr="0001723F" w:rsidRDefault="00E82A60" w:rsidP="00DE0B35">
            <w:pPr>
              <w:spacing w:before="0" w:after="0"/>
              <w:jc w:val="right"/>
              <w:rPr>
                <w:sz w:val="14"/>
                <w:szCs w:val="14"/>
                <w:lang w:val="fr-BE"/>
              </w:rPr>
            </w:pPr>
            <w:r>
              <w:rPr>
                <w:noProof/>
                <w:sz w:val="14"/>
                <w:szCs w:val="14"/>
                <w:lang w:val="fr-BE"/>
              </w:rPr>
              <w:t>117,21%</w:t>
            </w:r>
          </w:p>
        </w:tc>
        <w:tc>
          <w:tcPr>
            <w:tcW w:w="0" w:type="auto"/>
            <w:shd w:val="clear" w:color="auto" w:fill="auto"/>
          </w:tcPr>
          <w:p w14:paraId="047830D9" w14:textId="77777777" w:rsidR="00C11C12" w:rsidRPr="0001723F" w:rsidRDefault="00E82A60" w:rsidP="00DE0B35">
            <w:pPr>
              <w:spacing w:before="0" w:after="0"/>
              <w:jc w:val="right"/>
              <w:rPr>
                <w:sz w:val="14"/>
                <w:szCs w:val="14"/>
                <w:lang w:val="fr-BE"/>
              </w:rPr>
            </w:pPr>
            <w:r>
              <w:rPr>
                <w:noProof/>
                <w:sz w:val="14"/>
                <w:szCs w:val="14"/>
                <w:lang w:val="fr-BE"/>
              </w:rPr>
              <w:t>177 232 014,17</w:t>
            </w:r>
          </w:p>
        </w:tc>
        <w:tc>
          <w:tcPr>
            <w:tcW w:w="0" w:type="auto"/>
            <w:shd w:val="clear" w:color="auto" w:fill="auto"/>
          </w:tcPr>
          <w:p w14:paraId="11F6B8DF" w14:textId="77777777" w:rsidR="00C11C12" w:rsidRPr="0001723F" w:rsidRDefault="00E82A60" w:rsidP="00DE0B35">
            <w:pPr>
              <w:spacing w:before="0" w:after="0"/>
              <w:jc w:val="right"/>
              <w:rPr>
                <w:sz w:val="14"/>
                <w:szCs w:val="14"/>
                <w:lang w:val="fr-BE"/>
              </w:rPr>
            </w:pPr>
            <w:r>
              <w:rPr>
                <w:noProof/>
                <w:sz w:val="14"/>
                <w:szCs w:val="14"/>
                <w:lang w:val="fr-BE"/>
              </w:rPr>
              <w:t>78 941 689,23</w:t>
            </w:r>
          </w:p>
        </w:tc>
        <w:tc>
          <w:tcPr>
            <w:tcW w:w="0" w:type="auto"/>
            <w:shd w:val="clear" w:color="auto" w:fill="auto"/>
          </w:tcPr>
          <w:p w14:paraId="411EF3CA" w14:textId="77777777" w:rsidR="00C11C12" w:rsidRPr="0001723F" w:rsidRDefault="00E82A60" w:rsidP="00DE0B35">
            <w:pPr>
              <w:spacing w:before="0" w:after="0"/>
              <w:jc w:val="right"/>
              <w:rPr>
                <w:sz w:val="14"/>
                <w:szCs w:val="14"/>
                <w:lang w:val="fr-BE"/>
              </w:rPr>
            </w:pPr>
            <w:r>
              <w:rPr>
                <w:noProof/>
                <w:sz w:val="14"/>
                <w:szCs w:val="14"/>
                <w:lang w:val="fr-BE"/>
              </w:rPr>
              <w:t>51,11%</w:t>
            </w:r>
          </w:p>
        </w:tc>
        <w:tc>
          <w:tcPr>
            <w:tcW w:w="0" w:type="auto"/>
          </w:tcPr>
          <w:p w14:paraId="5B7B6FBD" w14:textId="77777777" w:rsidR="00C11C12" w:rsidRDefault="00E82A60" w:rsidP="00DE0B35">
            <w:pPr>
              <w:spacing w:before="0" w:after="0"/>
              <w:jc w:val="right"/>
              <w:rPr>
                <w:sz w:val="14"/>
                <w:szCs w:val="14"/>
                <w:lang w:val="fr-BE"/>
              </w:rPr>
            </w:pPr>
            <w:r>
              <w:rPr>
                <w:noProof/>
                <w:sz w:val="14"/>
                <w:szCs w:val="14"/>
                <w:lang w:val="fr-BE"/>
              </w:rPr>
              <w:t>220</w:t>
            </w:r>
          </w:p>
        </w:tc>
      </w:tr>
      <w:tr w:rsidR="006B2EC1" w14:paraId="1A1DCBF1" w14:textId="77777777" w:rsidTr="00C11C12">
        <w:tc>
          <w:tcPr>
            <w:tcW w:w="0" w:type="auto"/>
            <w:shd w:val="clear" w:color="auto" w:fill="auto"/>
          </w:tcPr>
          <w:p w14:paraId="5AA56CBE" w14:textId="77777777" w:rsidR="00C11C12" w:rsidRPr="0001723F" w:rsidRDefault="00E82A60" w:rsidP="00DE0B35">
            <w:pPr>
              <w:spacing w:before="0" w:after="0"/>
              <w:rPr>
                <w:sz w:val="14"/>
                <w:szCs w:val="14"/>
                <w:lang w:val="fr-BE"/>
              </w:rPr>
            </w:pPr>
            <w:r>
              <w:rPr>
                <w:noProof/>
                <w:sz w:val="14"/>
                <w:szCs w:val="14"/>
                <w:lang w:val="fr-BE"/>
              </w:rPr>
              <w:t>8</w:t>
            </w:r>
          </w:p>
        </w:tc>
        <w:tc>
          <w:tcPr>
            <w:tcW w:w="0" w:type="auto"/>
            <w:shd w:val="clear" w:color="auto" w:fill="auto"/>
          </w:tcPr>
          <w:p w14:paraId="17498C78" w14:textId="77777777" w:rsidR="00C11C12" w:rsidRPr="0001723F" w:rsidRDefault="00E82A60" w:rsidP="00DE0B35">
            <w:pPr>
              <w:spacing w:before="0" w:after="0"/>
              <w:rPr>
                <w:sz w:val="14"/>
                <w:szCs w:val="14"/>
                <w:lang w:val="fr-BE"/>
              </w:rPr>
            </w:pPr>
            <w:r w:rsidRPr="0001723F">
              <w:rPr>
                <w:noProof/>
                <w:sz w:val="14"/>
                <w:szCs w:val="14"/>
                <w:lang w:val="fr-BE"/>
              </w:rPr>
              <w:t>EFS</w:t>
            </w:r>
          </w:p>
        </w:tc>
        <w:tc>
          <w:tcPr>
            <w:tcW w:w="0" w:type="auto"/>
            <w:shd w:val="clear" w:color="auto" w:fill="auto"/>
          </w:tcPr>
          <w:p w14:paraId="7B9E8A18" w14:textId="77777777" w:rsidR="00C11C12" w:rsidRPr="0001723F" w:rsidRDefault="00E82A60" w:rsidP="00DE0B35">
            <w:pPr>
              <w:spacing w:before="0" w:after="0"/>
              <w:rPr>
                <w:sz w:val="14"/>
                <w:szCs w:val="14"/>
                <w:lang w:val="fr-BE"/>
              </w:rPr>
            </w:pPr>
            <w:r w:rsidRPr="0001723F">
              <w:rPr>
                <w:noProof/>
                <w:sz w:val="14"/>
                <w:szCs w:val="14"/>
                <w:lang w:val="fr-BE"/>
              </w:rPr>
              <w:t>Słabiej rozwinięte</w:t>
            </w:r>
          </w:p>
        </w:tc>
        <w:tc>
          <w:tcPr>
            <w:tcW w:w="0" w:type="auto"/>
            <w:shd w:val="clear" w:color="auto" w:fill="auto"/>
          </w:tcPr>
          <w:p w14:paraId="0C24A4E5" w14:textId="77777777" w:rsidR="00C11C12" w:rsidRPr="0001723F" w:rsidRDefault="00E82A60" w:rsidP="00DE0B35">
            <w:pPr>
              <w:spacing w:before="0" w:after="0"/>
              <w:rPr>
                <w:sz w:val="14"/>
                <w:szCs w:val="14"/>
                <w:lang w:val="fr-BE"/>
              </w:rPr>
            </w:pPr>
            <w:r w:rsidRPr="0001723F">
              <w:rPr>
                <w:noProof/>
                <w:sz w:val="14"/>
                <w:szCs w:val="14"/>
              </w:rPr>
              <w:t>Ogółem</w:t>
            </w:r>
          </w:p>
        </w:tc>
        <w:tc>
          <w:tcPr>
            <w:tcW w:w="0" w:type="auto"/>
            <w:shd w:val="clear" w:color="auto" w:fill="auto"/>
          </w:tcPr>
          <w:p w14:paraId="74D6A780" w14:textId="77777777" w:rsidR="00C11C12" w:rsidRPr="0001723F" w:rsidRDefault="00E82A60" w:rsidP="00DE0B35">
            <w:pPr>
              <w:spacing w:before="0" w:after="0"/>
              <w:jc w:val="right"/>
              <w:rPr>
                <w:sz w:val="14"/>
                <w:szCs w:val="14"/>
                <w:lang w:val="fr-BE"/>
              </w:rPr>
            </w:pPr>
            <w:r>
              <w:rPr>
                <w:noProof/>
                <w:sz w:val="14"/>
                <w:szCs w:val="14"/>
              </w:rPr>
              <w:t>128 453 308,00</w:t>
            </w:r>
          </w:p>
        </w:tc>
        <w:tc>
          <w:tcPr>
            <w:tcW w:w="0" w:type="auto"/>
            <w:shd w:val="clear" w:color="auto" w:fill="auto"/>
          </w:tcPr>
          <w:p w14:paraId="69E4D02F" w14:textId="77777777" w:rsidR="00C11C12" w:rsidRPr="0001723F" w:rsidRDefault="00E82A60" w:rsidP="00DE0B35">
            <w:pPr>
              <w:spacing w:before="0" w:after="0"/>
              <w:jc w:val="right"/>
              <w:rPr>
                <w:sz w:val="14"/>
                <w:szCs w:val="14"/>
                <w:lang w:val="fr-BE"/>
              </w:rPr>
            </w:pPr>
            <w:r>
              <w:rPr>
                <w:noProof/>
                <w:sz w:val="14"/>
                <w:szCs w:val="14"/>
                <w:lang w:val="fr-BE"/>
              </w:rPr>
              <w:t>85,00%</w:t>
            </w:r>
          </w:p>
        </w:tc>
        <w:tc>
          <w:tcPr>
            <w:tcW w:w="0" w:type="auto"/>
            <w:shd w:val="clear" w:color="auto" w:fill="auto"/>
          </w:tcPr>
          <w:p w14:paraId="0A13907E" w14:textId="77777777" w:rsidR="00C11C12" w:rsidRPr="0001723F" w:rsidRDefault="00E82A60" w:rsidP="00DE0B35">
            <w:pPr>
              <w:spacing w:before="0" w:after="0"/>
              <w:jc w:val="right"/>
              <w:rPr>
                <w:sz w:val="14"/>
                <w:szCs w:val="14"/>
                <w:lang w:val="fr-BE"/>
              </w:rPr>
            </w:pPr>
            <w:r>
              <w:rPr>
                <w:noProof/>
                <w:sz w:val="14"/>
                <w:szCs w:val="14"/>
                <w:lang w:val="fr-BE"/>
              </w:rPr>
              <w:t>83 035 972,08</w:t>
            </w:r>
          </w:p>
        </w:tc>
        <w:tc>
          <w:tcPr>
            <w:tcW w:w="0" w:type="auto"/>
            <w:shd w:val="clear" w:color="auto" w:fill="auto"/>
          </w:tcPr>
          <w:p w14:paraId="2B9AD717" w14:textId="77777777" w:rsidR="00C11C12" w:rsidRPr="0001723F" w:rsidRDefault="00E82A60" w:rsidP="00DE0B35">
            <w:pPr>
              <w:spacing w:before="0" w:after="0"/>
              <w:jc w:val="right"/>
              <w:rPr>
                <w:sz w:val="14"/>
                <w:szCs w:val="14"/>
                <w:lang w:val="fr-BE"/>
              </w:rPr>
            </w:pPr>
            <w:r>
              <w:rPr>
                <w:noProof/>
                <w:sz w:val="14"/>
                <w:szCs w:val="14"/>
                <w:lang w:val="fr-BE"/>
              </w:rPr>
              <w:t>64,64%</w:t>
            </w:r>
          </w:p>
        </w:tc>
        <w:tc>
          <w:tcPr>
            <w:tcW w:w="0" w:type="auto"/>
            <w:shd w:val="clear" w:color="auto" w:fill="auto"/>
          </w:tcPr>
          <w:p w14:paraId="6E3A525D" w14:textId="77777777" w:rsidR="00C11C12" w:rsidRPr="0001723F" w:rsidRDefault="00E82A60" w:rsidP="00DE0B35">
            <w:pPr>
              <w:spacing w:before="0" w:after="0"/>
              <w:jc w:val="right"/>
              <w:rPr>
                <w:sz w:val="14"/>
                <w:szCs w:val="14"/>
                <w:lang w:val="fr-BE"/>
              </w:rPr>
            </w:pPr>
            <w:r>
              <w:rPr>
                <w:noProof/>
                <w:sz w:val="14"/>
                <w:szCs w:val="14"/>
                <w:lang w:val="fr-BE"/>
              </w:rPr>
              <w:t>78 624 839,02</w:t>
            </w:r>
          </w:p>
        </w:tc>
        <w:tc>
          <w:tcPr>
            <w:tcW w:w="0" w:type="auto"/>
            <w:shd w:val="clear" w:color="auto" w:fill="auto"/>
          </w:tcPr>
          <w:p w14:paraId="4E769ECA" w14:textId="77777777" w:rsidR="00C11C12" w:rsidRPr="0001723F" w:rsidRDefault="00E82A60" w:rsidP="00DE0B35">
            <w:pPr>
              <w:spacing w:before="0" w:after="0"/>
              <w:jc w:val="right"/>
              <w:rPr>
                <w:sz w:val="14"/>
                <w:szCs w:val="14"/>
                <w:lang w:val="fr-BE"/>
              </w:rPr>
            </w:pPr>
            <w:r>
              <w:rPr>
                <w:noProof/>
                <w:sz w:val="14"/>
                <w:szCs w:val="14"/>
                <w:lang w:val="fr-BE"/>
              </w:rPr>
              <w:t>51 174 077,33</w:t>
            </w:r>
          </w:p>
        </w:tc>
        <w:tc>
          <w:tcPr>
            <w:tcW w:w="0" w:type="auto"/>
            <w:shd w:val="clear" w:color="auto" w:fill="auto"/>
          </w:tcPr>
          <w:p w14:paraId="37B67F87" w14:textId="77777777" w:rsidR="00C11C12" w:rsidRPr="0001723F" w:rsidRDefault="00E82A60" w:rsidP="00DE0B35">
            <w:pPr>
              <w:spacing w:before="0" w:after="0"/>
              <w:jc w:val="right"/>
              <w:rPr>
                <w:sz w:val="14"/>
                <w:szCs w:val="14"/>
                <w:lang w:val="fr-BE"/>
              </w:rPr>
            </w:pPr>
            <w:r>
              <w:rPr>
                <w:noProof/>
                <w:sz w:val="14"/>
                <w:szCs w:val="14"/>
                <w:lang w:val="fr-BE"/>
              </w:rPr>
              <w:t>39,84%</w:t>
            </w:r>
          </w:p>
        </w:tc>
        <w:tc>
          <w:tcPr>
            <w:tcW w:w="0" w:type="auto"/>
          </w:tcPr>
          <w:p w14:paraId="6F473734" w14:textId="77777777" w:rsidR="00C11C12" w:rsidRDefault="00E82A60" w:rsidP="00DE0B35">
            <w:pPr>
              <w:spacing w:before="0" w:after="0"/>
              <w:jc w:val="right"/>
              <w:rPr>
                <w:sz w:val="14"/>
                <w:szCs w:val="14"/>
                <w:lang w:val="fr-BE"/>
              </w:rPr>
            </w:pPr>
            <w:r>
              <w:rPr>
                <w:noProof/>
                <w:sz w:val="14"/>
                <w:szCs w:val="14"/>
                <w:lang w:val="fr-BE"/>
              </w:rPr>
              <w:t>473</w:t>
            </w:r>
          </w:p>
        </w:tc>
      </w:tr>
      <w:tr w:rsidR="006B2EC1" w14:paraId="705B6E17" w14:textId="77777777" w:rsidTr="00C11C12">
        <w:tc>
          <w:tcPr>
            <w:tcW w:w="0" w:type="auto"/>
            <w:shd w:val="clear" w:color="auto" w:fill="auto"/>
          </w:tcPr>
          <w:p w14:paraId="04258E62" w14:textId="77777777" w:rsidR="00C11C12" w:rsidRPr="0001723F" w:rsidRDefault="00E82A60" w:rsidP="00DE0B35">
            <w:pPr>
              <w:spacing w:before="0" w:after="0"/>
              <w:rPr>
                <w:sz w:val="14"/>
                <w:szCs w:val="14"/>
                <w:lang w:val="fr-BE"/>
              </w:rPr>
            </w:pPr>
            <w:r>
              <w:rPr>
                <w:noProof/>
                <w:sz w:val="14"/>
                <w:szCs w:val="14"/>
                <w:lang w:val="fr-BE"/>
              </w:rPr>
              <w:t>9</w:t>
            </w:r>
          </w:p>
        </w:tc>
        <w:tc>
          <w:tcPr>
            <w:tcW w:w="0" w:type="auto"/>
            <w:shd w:val="clear" w:color="auto" w:fill="auto"/>
          </w:tcPr>
          <w:p w14:paraId="2FD3F110" w14:textId="77777777" w:rsidR="00C11C12" w:rsidRPr="0001723F" w:rsidRDefault="00E82A60" w:rsidP="00DE0B35">
            <w:pPr>
              <w:spacing w:before="0" w:after="0"/>
              <w:rPr>
                <w:sz w:val="14"/>
                <w:szCs w:val="14"/>
                <w:lang w:val="fr-BE"/>
              </w:rPr>
            </w:pPr>
            <w:r w:rsidRPr="0001723F">
              <w:rPr>
                <w:noProof/>
                <w:sz w:val="14"/>
                <w:szCs w:val="14"/>
                <w:lang w:val="fr-BE"/>
              </w:rPr>
              <w:t>EFS</w:t>
            </w:r>
          </w:p>
        </w:tc>
        <w:tc>
          <w:tcPr>
            <w:tcW w:w="0" w:type="auto"/>
            <w:shd w:val="clear" w:color="auto" w:fill="auto"/>
          </w:tcPr>
          <w:p w14:paraId="70D3B3C6" w14:textId="77777777" w:rsidR="00C11C12" w:rsidRPr="0001723F" w:rsidRDefault="00E82A60" w:rsidP="00DE0B35">
            <w:pPr>
              <w:spacing w:before="0" w:after="0"/>
              <w:rPr>
                <w:sz w:val="14"/>
                <w:szCs w:val="14"/>
                <w:lang w:val="fr-BE"/>
              </w:rPr>
            </w:pPr>
            <w:r w:rsidRPr="0001723F">
              <w:rPr>
                <w:noProof/>
                <w:sz w:val="14"/>
                <w:szCs w:val="14"/>
                <w:lang w:val="fr-BE"/>
              </w:rPr>
              <w:t>Słabiej rozwinięte</w:t>
            </w:r>
          </w:p>
        </w:tc>
        <w:tc>
          <w:tcPr>
            <w:tcW w:w="0" w:type="auto"/>
            <w:shd w:val="clear" w:color="auto" w:fill="auto"/>
          </w:tcPr>
          <w:p w14:paraId="04A49F48" w14:textId="77777777" w:rsidR="00C11C12" w:rsidRPr="0001723F" w:rsidRDefault="00E82A60" w:rsidP="00DE0B35">
            <w:pPr>
              <w:spacing w:before="0" w:after="0"/>
              <w:rPr>
                <w:sz w:val="14"/>
                <w:szCs w:val="14"/>
                <w:lang w:val="fr-BE"/>
              </w:rPr>
            </w:pPr>
            <w:r w:rsidRPr="0001723F">
              <w:rPr>
                <w:noProof/>
                <w:sz w:val="14"/>
                <w:szCs w:val="14"/>
              </w:rPr>
              <w:t>Ogółem</w:t>
            </w:r>
          </w:p>
        </w:tc>
        <w:tc>
          <w:tcPr>
            <w:tcW w:w="0" w:type="auto"/>
            <w:shd w:val="clear" w:color="auto" w:fill="auto"/>
          </w:tcPr>
          <w:p w14:paraId="3A7F3372" w14:textId="77777777" w:rsidR="00C11C12" w:rsidRPr="0001723F" w:rsidRDefault="00E82A60" w:rsidP="00DE0B35">
            <w:pPr>
              <w:spacing w:before="0" w:after="0"/>
              <w:jc w:val="right"/>
              <w:rPr>
                <w:sz w:val="14"/>
                <w:szCs w:val="14"/>
                <w:lang w:val="fr-BE"/>
              </w:rPr>
            </w:pPr>
            <w:r>
              <w:rPr>
                <w:noProof/>
                <w:sz w:val="14"/>
                <w:szCs w:val="14"/>
              </w:rPr>
              <w:t>117 146 096,00</w:t>
            </w:r>
          </w:p>
        </w:tc>
        <w:tc>
          <w:tcPr>
            <w:tcW w:w="0" w:type="auto"/>
            <w:shd w:val="clear" w:color="auto" w:fill="auto"/>
          </w:tcPr>
          <w:p w14:paraId="3CE56F49" w14:textId="77777777" w:rsidR="00C11C12" w:rsidRPr="0001723F" w:rsidRDefault="00E82A60" w:rsidP="00DE0B35">
            <w:pPr>
              <w:spacing w:before="0" w:after="0"/>
              <w:jc w:val="right"/>
              <w:rPr>
                <w:sz w:val="14"/>
                <w:szCs w:val="14"/>
                <w:lang w:val="fr-BE"/>
              </w:rPr>
            </w:pPr>
            <w:r>
              <w:rPr>
                <w:noProof/>
                <w:sz w:val="14"/>
                <w:szCs w:val="14"/>
                <w:lang w:val="fr-BE"/>
              </w:rPr>
              <w:t>85,00%</w:t>
            </w:r>
          </w:p>
        </w:tc>
        <w:tc>
          <w:tcPr>
            <w:tcW w:w="0" w:type="auto"/>
            <w:shd w:val="clear" w:color="auto" w:fill="auto"/>
          </w:tcPr>
          <w:p w14:paraId="48EB1950" w14:textId="77777777" w:rsidR="00C11C12" w:rsidRPr="0001723F" w:rsidRDefault="00E82A60" w:rsidP="00DE0B35">
            <w:pPr>
              <w:spacing w:before="0" w:after="0"/>
              <w:jc w:val="right"/>
              <w:rPr>
                <w:sz w:val="14"/>
                <w:szCs w:val="14"/>
                <w:lang w:val="fr-BE"/>
              </w:rPr>
            </w:pPr>
            <w:r>
              <w:rPr>
                <w:noProof/>
                <w:sz w:val="14"/>
                <w:szCs w:val="14"/>
                <w:lang w:val="fr-BE"/>
              </w:rPr>
              <w:t>78 881 062,85</w:t>
            </w:r>
          </w:p>
        </w:tc>
        <w:tc>
          <w:tcPr>
            <w:tcW w:w="0" w:type="auto"/>
            <w:shd w:val="clear" w:color="auto" w:fill="auto"/>
          </w:tcPr>
          <w:p w14:paraId="7E36EB13" w14:textId="77777777" w:rsidR="00C11C12" w:rsidRPr="0001723F" w:rsidRDefault="00E82A60" w:rsidP="00DE0B35">
            <w:pPr>
              <w:spacing w:before="0" w:after="0"/>
              <w:jc w:val="right"/>
              <w:rPr>
                <w:sz w:val="14"/>
                <w:szCs w:val="14"/>
                <w:lang w:val="fr-BE"/>
              </w:rPr>
            </w:pPr>
            <w:r>
              <w:rPr>
                <w:noProof/>
                <w:sz w:val="14"/>
                <w:szCs w:val="14"/>
                <w:lang w:val="fr-BE"/>
              </w:rPr>
              <w:t>67,34%</w:t>
            </w:r>
          </w:p>
        </w:tc>
        <w:tc>
          <w:tcPr>
            <w:tcW w:w="0" w:type="auto"/>
            <w:shd w:val="clear" w:color="auto" w:fill="auto"/>
          </w:tcPr>
          <w:p w14:paraId="1BE53004" w14:textId="77777777" w:rsidR="00C11C12" w:rsidRPr="0001723F" w:rsidRDefault="00E82A60" w:rsidP="00DE0B35">
            <w:pPr>
              <w:spacing w:before="0" w:after="0"/>
              <w:jc w:val="right"/>
              <w:rPr>
                <w:sz w:val="14"/>
                <w:szCs w:val="14"/>
                <w:lang w:val="fr-BE"/>
              </w:rPr>
            </w:pPr>
            <w:r>
              <w:rPr>
                <w:noProof/>
                <w:sz w:val="14"/>
                <w:szCs w:val="14"/>
                <w:lang w:val="fr-BE"/>
              </w:rPr>
              <w:t>76 541 680,09</w:t>
            </w:r>
          </w:p>
        </w:tc>
        <w:tc>
          <w:tcPr>
            <w:tcW w:w="0" w:type="auto"/>
            <w:shd w:val="clear" w:color="auto" w:fill="auto"/>
          </w:tcPr>
          <w:p w14:paraId="426FC386" w14:textId="77777777" w:rsidR="00C11C12" w:rsidRPr="0001723F" w:rsidRDefault="00E82A60" w:rsidP="00DE0B35">
            <w:pPr>
              <w:spacing w:before="0" w:after="0"/>
              <w:jc w:val="right"/>
              <w:rPr>
                <w:sz w:val="14"/>
                <w:szCs w:val="14"/>
                <w:lang w:val="fr-BE"/>
              </w:rPr>
            </w:pPr>
            <w:r>
              <w:rPr>
                <w:noProof/>
                <w:sz w:val="14"/>
                <w:szCs w:val="14"/>
                <w:lang w:val="fr-BE"/>
              </w:rPr>
              <w:t>28 146 758,80</w:t>
            </w:r>
          </w:p>
        </w:tc>
        <w:tc>
          <w:tcPr>
            <w:tcW w:w="0" w:type="auto"/>
            <w:shd w:val="clear" w:color="auto" w:fill="auto"/>
          </w:tcPr>
          <w:p w14:paraId="54ACBCC0" w14:textId="77777777" w:rsidR="00C11C12" w:rsidRPr="0001723F" w:rsidRDefault="00E82A60" w:rsidP="00DE0B35">
            <w:pPr>
              <w:spacing w:before="0" w:after="0"/>
              <w:jc w:val="right"/>
              <w:rPr>
                <w:sz w:val="14"/>
                <w:szCs w:val="14"/>
                <w:lang w:val="fr-BE"/>
              </w:rPr>
            </w:pPr>
            <w:r>
              <w:rPr>
                <w:noProof/>
                <w:sz w:val="14"/>
                <w:szCs w:val="14"/>
                <w:lang w:val="fr-BE"/>
              </w:rPr>
              <w:t>24,03%</w:t>
            </w:r>
          </w:p>
        </w:tc>
        <w:tc>
          <w:tcPr>
            <w:tcW w:w="0" w:type="auto"/>
          </w:tcPr>
          <w:p w14:paraId="01D20020" w14:textId="77777777" w:rsidR="00C11C12" w:rsidRDefault="00E82A60" w:rsidP="00DE0B35">
            <w:pPr>
              <w:spacing w:before="0" w:after="0"/>
              <w:jc w:val="right"/>
              <w:rPr>
                <w:sz w:val="14"/>
                <w:szCs w:val="14"/>
                <w:lang w:val="fr-BE"/>
              </w:rPr>
            </w:pPr>
            <w:r>
              <w:rPr>
                <w:noProof/>
                <w:sz w:val="14"/>
                <w:szCs w:val="14"/>
                <w:lang w:val="fr-BE"/>
              </w:rPr>
              <w:t>227</w:t>
            </w:r>
          </w:p>
        </w:tc>
      </w:tr>
      <w:tr w:rsidR="006B2EC1" w14:paraId="2F980BD8" w14:textId="77777777" w:rsidTr="00C11C12">
        <w:tc>
          <w:tcPr>
            <w:tcW w:w="0" w:type="auto"/>
            <w:shd w:val="clear" w:color="auto" w:fill="auto"/>
          </w:tcPr>
          <w:p w14:paraId="7E9B5779" w14:textId="77777777" w:rsidR="00C11C12" w:rsidRPr="0001723F" w:rsidRDefault="00E82A60" w:rsidP="00DE0B35">
            <w:pPr>
              <w:spacing w:before="0" w:after="0"/>
              <w:rPr>
                <w:sz w:val="14"/>
                <w:szCs w:val="14"/>
                <w:lang w:val="fr-BE"/>
              </w:rPr>
            </w:pPr>
            <w:r>
              <w:rPr>
                <w:noProof/>
                <w:sz w:val="14"/>
                <w:szCs w:val="14"/>
                <w:lang w:val="fr-BE"/>
              </w:rPr>
              <w:t>11</w:t>
            </w:r>
          </w:p>
        </w:tc>
        <w:tc>
          <w:tcPr>
            <w:tcW w:w="0" w:type="auto"/>
            <w:shd w:val="clear" w:color="auto" w:fill="auto"/>
          </w:tcPr>
          <w:p w14:paraId="2877BC1D" w14:textId="77777777" w:rsidR="00C11C12" w:rsidRPr="0001723F" w:rsidRDefault="00E82A60" w:rsidP="00DE0B35">
            <w:pPr>
              <w:spacing w:before="0" w:after="0"/>
              <w:rPr>
                <w:sz w:val="14"/>
                <w:szCs w:val="14"/>
                <w:lang w:val="fr-BE"/>
              </w:rPr>
            </w:pPr>
            <w:r w:rsidRPr="0001723F">
              <w:rPr>
                <w:noProof/>
                <w:sz w:val="14"/>
                <w:szCs w:val="14"/>
                <w:lang w:val="fr-BE"/>
              </w:rPr>
              <w:t>EFS</w:t>
            </w:r>
          </w:p>
        </w:tc>
        <w:tc>
          <w:tcPr>
            <w:tcW w:w="0" w:type="auto"/>
            <w:shd w:val="clear" w:color="auto" w:fill="auto"/>
          </w:tcPr>
          <w:p w14:paraId="14786174" w14:textId="77777777" w:rsidR="00C11C12" w:rsidRPr="0001723F" w:rsidRDefault="00E82A60" w:rsidP="00DE0B35">
            <w:pPr>
              <w:spacing w:before="0" w:after="0"/>
              <w:rPr>
                <w:sz w:val="14"/>
                <w:szCs w:val="14"/>
                <w:lang w:val="fr-BE"/>
              </w:rPr>
            </w:pPr>
            <w:r w:rsidRPr="0001723F">
              <w:rPr>
                <w:noProof/>
                <w:sz w:val="14"/>
                <w:szCs w:val="14"/>
                <w:lang w:val="fr-BE"/>
              </w:rPr>
              <w:t>Słabiej rozwinięte</w:t>
            </w:r>
          </w:p>
        </w:tc>
        <w:tc>
          <w:tcPr>
            <w:tcW w:w="0" w:type="auto"/>
            <w:shd w:val="clear" w:color="auto" w:fill="auto"/>
          </w:tcPr>
          <w:p w14:paraId="693F6C77" w14:textId="77777777" w:rsidR="00C11C12" w:rsidRPr="0001723F" w:rsidRDefault="00E82A60" w:rsidP="00DE0B35">
            <w:pPr>
              <w:spacing w:before="0" w:after="0"/>
              <w:rPr>
                <w:sz w:val="14"/>
                <w:szCs w:val="14"/>
                <w:lang w:val="fr-BE"/>
              </w:rPr>
            </w:pPr>
            <w:r w:rsidRPr="0001723F">
              <w:rPr>
                <w:noProof/>
                <w:sz w:val="14"/>
                <w:szCs w:val="14"/>
              </w:rPr>
              <w:t>Ogółem</w:t>
            </w:r>
          </w:p>
        </w:tc>
        <w:tc>
          <w:tcPr>
            <w:tcW w:w="0" w:type="auto"/>
            <w:shd w:val="clear" w:color="auto" w:fill="auto"/>
          </w:tcPr>
          <w:p w14:paraId="4130FC74" w14:textId="77777777" w:rsidR="00C11C12" w:rsidRPr="0001723F" w:rsidRDefault="00E82A60" w:rsidP="00DE0B35">
            <w:pPr>
              <w:spacing w:before="0" w:after="0"/>
              <w:jc w:val="right"/>
              <w:rPr>
                <w:sz w:val="14"/>
                <w:szCs w:val="14"/>
                <w:lang w:val="fr-BE"/>
              </w:rPr>
            </w:pPr>
            <w:r>
              <w:rPr>
                <w:noProof/>
                <w:sz w:val="14"/>
                <w:szCs w:val="14"/>
              </w:rPr>
              <w:t>58 823 530,00</w:t>
            </w:r>
          </w:p>
        </w:tc>
        <w:tc>
          <w:tcPr>
            <w:tcW w:w="0" w:type="auto"/>
            <w:shd w:val="clear" w:color="auto" w:fill="auto"/>
          </w:tcPr>
          <w:p w14:paraId="0F51C536" w14:textId="77777777" w:rsidR="00C11C12" w:rsidRPr="0001723F" w:rsidRDefault="00E82A60" w:rsidP="00DE0B35">
            <w:pPr>
              <w:spacing w:before="0" w:after="0"/>
              <w:jc w:val="right"/>
              <w:rPr>
                <w:sz w:val="14"/>
                <w:szCs w:val="14"/>
                <w:lang w:val="fr-BE"/>
              </w:rPr>
            </w:pPr>
            <w:r>
              <w:rPr>
                <w:noProof/>
                <w:sz w:val="14"/>
                <w:szCs w:val="14"/>
                <w:lang w:val="fr-BE"/>
              </w:rPr>
              <w:t>85,00%</w:t>
            </w:r>
          </w:p>
        </w:tc>
        <w:tc>
          <w:tcPr>
            <w:tcW w:w="0" w:type="auto"/>
            <w:shd w:val="clear" w:color="auto" w:fill="auto"/>
          </w:tcPr>
          <w:p w14:paraId="4F075EA4" w14:textId="77777777" w:rsidR="00C11C12" w:rsidRPr="0001723F" w:rsidRDefault="00E82A60" w:rsidP="00DE0B35">
            <w:pPr>
              <w:spacing w:before="0" w:after="0"/>
              <w:jc w:val="right"/>
              <w:rPr>
                <w:sz w:val="14"/>
                <w:szCs w:val="14"/>
                <w:lang w:val="fr-BE"/>
              </w:rPr>
            </w:pPr>
            <w:r>
              <w:rPr>
                <w:noProof/>
                <w:sz w:val="14"/>
                <w:szCs w:val="14"/>
                <w:lang w:val="fr-BE"/>
              </w:rPr>
              <w:t>38 459 515,71</w:t>
            </w:r>
          </w:p>
        </w:tc>
        <w:tc>
          <w:tcPr>
            <w:tcW w:w="0" w:type="auto"/>
            <w:shd w:val="clear" w:color="auto" w:fill="auto"/>
          </w:tcPr>
          <w:p w14:paraId="68C691FE" w14:textId="77777777" w:rsidR="00C11C12" w:rsidRPr="0001723F" w:rsidRDefault="00E82A60" w:rsidP="00DE0B35">
            <w:pPr>
              <w:spacing w:before="0" w:after="0"/>
              <w:jc w:val="right"/>
              <w:rPr>
                <w:sz w:val="14"/>
                <w:szCs w:val="14"/>
                <w:lang w:val="fr-BE"/>
              </w:rPr>
            </w:pPr>
            <w:r>
              <w:rPr>
                <w:noProof/>
                <w:sz w:val="14"/>
                <w:szCs w:val="14"/>
                <w:lang w:val="fr-BE"/>
              </w:rPr>
              <w:t>65,38%</w:t>
            </w:r>
          </w:p>
        </w:tc>
        <w:tc>
          <w:tcPr>
            <w:tcW w:w="0" w:type="auto"/>
            <w:shd w:val="clear" w:color="auto" w:fill="auto"/>
          </w:tcPr>
          <w:p w14:paraId="24DBA401" w14:textId="77777777" w:rsidR="00C11C12" w:rsidRPr="0001723F" w:rsidRDefault="00E82A60" w:rsidP="00DE0B35">
            <w:pPr>
              <w:spacing w:before="0" w:after="0"/>
              <w:jc w:val="right"/>
              <w:rPr>
                <w:sz w:val="14"/>
                <w:szCs w:val="14"/>
                <w:lang w:val="fr-BE"/>
              </w:rPr>
            </w:pPr>
            <w:r>
              <w:rPr>
                <w:noProof/>
                <w:sz w:val="14"/>
                <w:szCs w:val="14"/>
                <w:lang w:val="fr-BE"/>
              </w:rPr>
              <w:t>38 459 515,71</w:t>
            </w:r>
          </w:p>
        </w:tc>
        <w:tc>
          <w:tcPr>
            <w:tcW w:w="0" w:type="auto"/>
            <w:shd w:val="clear" w:color="auto" w:fill="auto"/>
          </w:tcPr>
          <w:p w14:paraId="192F6EF7" w14:textId="77777777" w:rsidR="00C11C12" w:rsidRPr="0001723F" w:rsidRDefault="00E82A60" w:rsidP="00DE0B35">
            <w:pPr>
              <w:spacing w:before="0" w:after="0"/>
              <w:jc w:val="right"/>
              <w:rPr>
                <w:sz w:val="14"/>
                <w:szCs w:val="14"/>
                <w:lang w:val="fr-BE"/>
              </w:rPr>
            </w:pPr>
            <w:r>
              <w:rPr>
                <w:noProof/>
                <w:sz w:val="14"/>
                <w:szCs w:val="14"/>
                <w:lang w:val="fr-BE"/>
              </w:rPr>
              <w:t>22 902 465,15</w:t>
            </w:r>
          </w:p>
        </w:tc>
        <w:tc>
          <w:tcPr>
            <w:tcW w:w="0" w:type="auto"/>
            <w:shd w:val="clear" w:color="auto" w:fill="auto"/>
          </w:tcPr>
          <w:p w14:paraId="4BC0C0D6" w14:textId="77777777" w:rsidR="00C11C12" w:rsidRPr="0001723F" w:rsidRDefault="00E82A60" w:rsidP="00DE0B35">
            <w:pPr>
              <w:spacing w:before="0" w:after="0"/>
              <w:jc w:val="right"/>
              <w:rPr>
                <w:sz w:val="14"/>
                <w:szCs w:val="14"/>
                <w:lang w:val="fr-BE"/>
              </w:rPr>
            </w:pPr>
            <w:r>
              <w:rPr>
                <w:noProof/>
                <w:sz w:val="14"/>
                <w:szCs w:val="14"/>
                <w:lang w:val="fr-BE"/>
              </w:rPr>
              <w:t>38,93%</w:t>
            </w:r>
          </w:p>
        </w:tc>
        <w:tc>
          <w:tcPr>
            <w:tcW w:w="0" w:type="auto"/>
          </w:tcPr>
          <w:p w14:paraId="3CB2BA0B" w14:textId="77777777" w:rsidR="00C11C12" w:rsidRDefault="00E82A60" w:rsidP="00DE0B35">
            <w:pPr>
              <w:spacing w:before="0" w:after="0"/>
              <w:jc w:val="right"/>
              <w:rPr>
                <w:sz w:val="14"/>
                <w:szCs w:val="14"/>
                <w:lang w:val="fr-BE"/>
              </w:rPr>
            </w:pPr>
            <w:r>
              <w:rPr>
                <w:noProof/>
                <w:sz w:val="14"/>
                <w:szCs w:val="14"/>
                <w:lang w:val="fr-BE"/>
              </w:rPr>
              <w:t>156</w:t>
            </w:r>
          </w:p>
        </w:tc>
      </w:tr>
      <w:tr w:rsidR="006B2EC1" w14:paraId="1A2548D1" w14:textId="77777777" w:rsidTr="00C11C12">
        <w:tc>
          <w:tcPr>
            <w:tcW w:w="0" w:type="auto"/>
            <w:shd w:val="clear" w:color="auto" w:fill="auto"/>
          </w:tcPr>
          <w:p w14:paraId="770B1AC2" w14:textId="77777777" w:rsidR="00C11C12" w:rsidRPr="001A1933" w:rsidRDefault="00E82A60" w:rsidP="00DE0B35">
            <w:pPr>
              <w:spacing w:before="0" w:after="0"/>
              <w:jc w:val="left"/>
              <w:rPr>
                <w:b/>
                <w:sz w:val="14"/>
                <w:szCs w:val="14"/>
                <w:lang w:val="fr-BE"/>
              </w:rPr>
            </w:pPr>
            <w:r>
              <w:rPr>
                <w:b/>
                <w:noProof/>
                <w:sz w:val="14"/>
                <w:szCs w:val="14"/>
                <w:lang w:val="fr-BE"/>
              </w:rPr>
              <w:t>Ogółem</w:t>
            </w:r>
          </w:p>
        </w:tc>
        <w:tc>
          <w:tcPr>
            <w:tcW w:w="0" w:type="auto"/>
            <w:shd w:val="clear" w:color="auto" w:fill="auto"/>
          </w:tcPr>
          <w:p w14:paraId="000E74A6" w14:textId="77777777" w:rsidR="00C11C12" w:rsidRPr="001A1933" w:rsidRDefault="00E82A60" w:rsidP="00DE0B35">
            <w:pPr>
              <w:spacing w:before="0" w:after="0"/>
              <w:jc w:val="left"/>
              <w:rPr>
                <w:b/>
                <w:sz w:val="14"/>
                <w:szCs w:val="14"/>
                <w:lang w:val="fr-BE"/>
              </w:rPr>
            </w:pPr>
            <w:r w:rsidRPr="001A1933">
              <w:rPr>
                <w:b/>
                <w:noProof/>
                <w:sz w:val="14"/>
                <w:szCs w:val="14"/>
                <w:lang w:val="fr-BE"/>
              </w:rPr>
              <w:t>EFRR</w:t>
            </w:r>
          </w:p>
        </w:tc>
        <w:tc>
          <w:tcPr>
            <w:tcW w:w="0" w:type="auto"/>
            <w:shd w:val="clear" w:color="auto" w:fill="auto"/>
          </w:tcPr>
          <w:p w14:paraId="459DB4A2" w14:textId="77777777" w:rsidR="00C11C12" w:rsidRPr="001A1933" w:rsidRDefault="00E82A60" w:rsidP="00DE0B35">
            <w:pPr>
              <w:spacing w:before="0" w:after="0"/>
              <w:jc w:val="left"/>
              <w:rPr>
                <w:b/>
                <w:sz w:val="14"/>
                <w:szCs w:val="14"/>
                <w:lang w:val="fr-BE"/>
              </w:rPr>
            </w:pPr>
            <w:r>
              <w:rPr>
                <w:b/>
                <w:noProof/>
                <w:sz w:val="14"/>
                <w:szCs w:val="14"/>
                <w:lang w:val="fr-BE"/>
              </w:rPr>
              <w:t>Słabiej rozwinięte</w:t>
            </w:r>
          </w:p>
        </w:tc>
        <w:tc>
          <w:tcPr>
            <w:tcW w:w="0" w:type="auto"/>
            <w:shd w:val="clear" w:color="auto" w:fill="auto"/>
          </w:tcPr>
          <w:p w14:paraId="4E278AC3" w14:textId="77777777" w:rsidR="00C11C12" w:rsidRPr="001A1933" w:rsidRDefault="00C11C12" w:rsidP="00DE0B35">
            <w:pPr>
              <w:spacing w:before="0" w:after="0"/>
              <w:jc w:val="left"/>
              <w:rPr>
                <w:b/>
                <w:sz w:val="14"/>
                <w:szCs w:val="14"/>
                <w:lang w:val="fr-BE"/>
              </w:rPr>
            </w:pPr>
          </w:p>
        </w:tc>
        <w:tc>
          <w:tcPr>
            <w:tcW w:w="0" w:type="auto"/>
            <w:shd w:val="clear" w:color="auto" w:fill="auto"/>
          </w:tcPr>
          <w:p w14:paraId="5E032F22" w14:textId="77777777" w:rsidR="00C11C12" w:rsidRPr="001A1933" w:rsidRDefault="00E82A60" w:rsidP="00DE0B35">
            <w:pPr>
              <w:spacing w:before="0" w:after="0"/>
              <w:jc w:val="right"/>
              <w:rPr>
                <w:b/>
                <w:sz w:val="14"/>
                <w:szCs w:val="14"/>
                <w:lang w:val="fr-BE"/>
              </w:rPr>
            </w:pPr>
            <w:r w:rsidRPr="001A1933">
              <w:rPr>
                <w:b/>
                <w:noProof/>
                <w:sz w:val="14"/>
                <w:szCs w:val="14"/>
              </w:rPr>
              <w:t>1 153 769 493,00</w:t>
            </w:r>
          </w:p>
        </w:tc>
        <w:tc>
          <w:tcPr>
            <w:tcW w:w="0" w:type="auto"/>
            <w:shd w:val="clear" w:color="auto" w:fill="auto"/>
          </w:tcPr>
          <w:p w14:paraId="3B341274" w14:textId="77777777" w:rsidR="00C11C12" w:rsidRPr="001A1933" w:rsidRDefault="00E82A60" w:rsidP="00DE0B35">
            <w:pPr>
              <w:spacing w:before="0" w:after="0"/>
              <w:jc w:val="right"/>
              <w:rPr>
                <w:b/>
                <w:sz w:val="14"/>
                <w:szCs w:val="14"/>
                <w:lang w:val="fr-BE"/>
              </w:rPr>
            </w:pPr>
            <w:r>
              <w:rPr>
                <w:b/>
                <w:noProof/>
                <w:sz w:val="14"/>
                <w:szCs w:val="14"/>
                <w:lang w:val="fr-BE"/>
              </w:rPr>
              <w:t>85,00%</w:t>
            </w:r>
          </w:p>
        </w:tc>
        <w:tc>
          <w:tcPr>
            <w:tcW w:w="0" w:type="auto"/>
            <w:shd w:val="clear" w:color="auto" w:fill="auto"/>
          </w:tcPr>
          <w:p w14:paraId="57B4C395" w14:textId="77777777" w:rsidR="00C11C12" w:rsidRPr="001A1933" w:rsidRDefault="00E82A60" w:rsidP="00DE0B35">
            <w:pPr>
              <w:spacing w:before="0" w:after="0"/>
              <w:jc w:val="right"/>
              <w:rPr>
                <w:b/>
                <w:sz w:val="14"/>
                <w:szCs w:val="14"/>
                <w:lang w:val="fr-BE"/>
              </w:rPr>
            </w:pPr>
            <w:r w:rsidRPr="001A1933">
              <w:rPr>
                <w:b/>
                <w:noProof/>
                <w:sz w:val="14"/>
                <w:szCs w:val="14"/>
                <w:lang w:val="fr-BE"/>
              </w:rPr>
              <w:t>1 027 143 921,60</w:t>
            </w:r>
          </w:p>
        </w:tc>
        <w:tc>
          <w:tcPr>
            <w:tcW w:w="0" w:type="auto"/>
            <w:shd w:val="clear" w:color="auto" w:fill="auto"/>
          </w:tcPr>
          <w:p w14:paraId="4CC003FE" w14:textId="77777777" w:rsidR="00C11C12" w:rsidRPr="001A1933" w:rsidRDefault="00E82A60" w:rsidP="00DE0B35">
            <w:pPr>
              <w:spacing w:before="0" w:after="0"/>
              <w:jc w:val="right"/>
              <w:rPr>
                <w:b/>
                <w:sz w:val="14"/>
                <w:szCs w:val="14"/>
                <w:lang w:val="fr-BE"/>
              </w:rPr>
            </w:pPr>
            <w:r>
              <w:rPr>
                <w:b/>
                <w:noProof/>
                <w:sz w:val="14"/>
                <w:szCs w:val="14"/>
                <w:lang w:val="fr-BE"/>
              </w:rPr>
              <w:t>89,03%</w:t>
            </w:r>
          </w:p>
        </w:tc>
        <w:tc>
          <w:tcPr>
            <w:tcW w:w="0" w:type="auto"/>
            <w:shd w:val="clear" w:color="auto" w:fill="auto"/>
          </w:tcPr>
          <w:p w14:paraId="7D661172" w14:textId="77777777" w:rsidR="00C11C12" w:rsidRPr="001A1933" w:rsidRDefault="00E82A60" w:rsidP="00DE0B35">
            <w:pPr>
              <w:spacing w:before="0" w:after="0"/>
              <w:jc w:val="right"/>
              <w:rPr>
                <w:b/>
                <w:sz w:val="14"/>
                <w:szCs w:val="14"/>
                <w:lang w:val="fr-BE"/>
              </w:rPr>
            </w:pPr>
            <w:r w:rsidRPr="001A1933">
              <w:rPr>
                <w:b/>
                <w:noProof/>
                <w:sz w:val="14"/>
                <w:szCs w:val="14"/>
                <w:lang w:val="fr-BE"/>
              </w:rPr>
              <w:t>948 143 393,34</w:t>
            </w:r>
          </w:p>
        </w:tc>
        <w:tc>
          <w:tcPr>
            <w:tcW w:w="0" w:type="auto"/>
            <w:shd w:val="clear" w:color="auto" w:fill="auto"/>
          </w:tcPr>
          <w:p w14:paraId="4FB82B03" w14:textId="77777777" w:rsidR="00C11C12" w:rsidRPr="001A1933" w:rsidRDefault="00E82A60" w:rsidP="00DE0B35">
            <w:pPr>
              <w:spacing w:before="0" w:after="0"/>
              <w:jc w:val="right"/>
              <w:rPr>
                <w:b/>
                <w:sz w:val="14"/>
                <w:szCs w:val="14"/>
                <w:lang w:val="fr-BE"/>
              </w:rPr>
            </w:pPr>
            <w:r w:rsidRPr="001A1933">
              <w:rPr>
                <w:b/>
                <w:noProof/>
                <w:sz w:val="14"/>
                <w:szCs w:val="14"/>
                <w:lang w:val="fr-BE"/>
              </w:rPr>
              <w:t>401 362 544,94</w:t>
            </w:r>
          </w:p>
        </w:tc>
        <w:tc>
          <w:tcPr>
            <w:tcW w:w="0" w:type="auto"/>
            <w:shd w:val="clear" w:color="auto" w:fill="auto"/>
          </w:tcPr>
          <w:p w14:paraId="675701CE" w14:textId="77777777" w:rsidR="00C11C12" w:rsidRPr="001A1933" w:rsidRDefault="00E82A60" w:rsidP="00DE0B35">
            <w:pPr>
              <w:spacing w:before="0" w:after="0"/>
              <w:jc w:val="right"/>
              <w:rPr>
                <w:b/>
                <w:sz w:val="14"/>
                <w:szCs w:val="14"/>
                <w:lang w:val="fr-BE"/>
              </w:rPr>
            </w:pPr>
            <w:r>
              <w:rPr>
                <w:b/>
                <w:noProof/>
                <w:sz w:val="14"/>
                <w:szCs w:val="14"/>
                <w:lang w:val="fr-BE"/>
              </w:rPr>
              <w:t>34,79%</w:t>
            </w:r>
          </w:p>
        </w:tc>
        <w:tc>
          <w:tcPr>
            <w:tcW w:w="0" w:type="auto"/>
          </w:tcPr>
          <w:p w14:paraId="0FED355F" w14:textId="77777777" w:rsidR="00C11C12" w:rsidRPr="001A1933" w:rsidRDefault="00E82A60" w:rsidP="00DE0B35">
            <w:pPr>
              <w:spacing w:before="0" w:after="0"/>
              <w:jc w:val="right"/>
              <w:rPr>
                <w:b/>
                <w:sz w:val="14"/>
                <w:szCs w:val="14"/>
                <w:lang w:val="fr-BE"/>
              </w:rPr>
            </w:pPr>
            <w:r w:rsidRPr="001A1933">
              <w:rPr>
                <w:b/>
                <w:noProof/>
                <w:sz w:val="14"/>
                <w:szCs w:val="14"/>
                <w:lang w:val="fr-BE"/>
              </w:rPr>
              <w:t>1 018</w:t>
            </w:r>
          </w:p>
        </w:tc>
      </w:tr>
      <w:tr w:rsidR="006B2EC1" w14:paraId="16CDF7A8" w14:textId="77777777" w:rsidTr="00C11C12">
        <w:tc>
          <w:tcPr>
            <w:tcW w:w="0" w:type="auto"/>
            <w:shd w:val="clear" w:color="auto" w:fill="auto"/>
          </w:tcPr>
          <w:p w14:paraId="23674275" w14:textId="77777777" w:rsidR="00C11C12" w:rsidRPr="001A1933" w:rsidRDefault="00E82A60" w:rsidP="00DE0B35">
            <w:pPr>
              <w:spacing w:before="0" w:after="0"/>
              <w:jc w:val="left"/>
              <w:rPr>
                <w:b/>
                <w:sz w:val="14"/>
                <w:szCs w:val="14"/>
                <w:lang w:val="fr-BE"/>
              </w:rPr>
            </w:pPr>
            <w:r>
              <w:rPr>
                <w:b/>
                <w:noProof/>
                <w:sz w:val="14"/>
                <w:szCs w:val="14"/>
                <w:lang w:val="fr-BE"/>
              </w:rPr>
              <w:t>Ogółem</w:t>
            </w:r>
          </w:p>
        </w:tc>
        <w:tc>
          <w:tcPr>
            <w:tcW w:w="0" w:type="auto"/>
            <w:shd w:val="clear" w:color="auto" w:fill="auto"/>
          </w:tcPr>
          <w:p w14:paraId="4B6D55C0" w14:textId="77777777" w:rsidR="00C11C12" w:rsidRPr="001A1933" w:rsidRDefault="00E82A60" w:rsidP="00DE0B35">
            <w:pPr>
              <w:spacing w:before="0" w:after="0"/>
              <w:jc w:val="left"/>
              <w:rPr>
                <w:b/>
                <w:sz w:val="14"/>
                <w:szCs w:val="14"/>
                <w:lang w:val="fr-BE"/>
              </w:rPr>
            </w:pPr>
            <w:r w:rsidRPr="001A1933">
              <w:rPr>
                <w:b/>
                <w:noProof/>
                <w:sz w:val="14"/>
                <w:szCs w:val="14"/>
                <w:lang w:val="fr-BE"/>
              </w:rPr>
              <w:t>EFS</w:t>
            </w:r>
          </w:p>
        </w:tc>
        <w:tc>
          <w:tcPr>
            <w:tcW w:w="0" w:type="auto"/>
            <w:shd w:val="clear" w:color="auto" w:fill="auto"/>
          </w:tcPr>
          <w:p w14:paraId="3C7F7906" w14:textId="77777777" w:rsidR="00C11C12" w:rsidRPr="001A1933" w:rsidRDefault="00E82A60" w:rsidP="00DE0B35">
            <w:pPr>
              <w:spacing w:before="0" w:after="0"/>
              <w:jc w:val="left"/>
              <w:rPr>
                <w:b/>
                <w:sz w:val="14"/>
                <w:szCs w:val="14"/>
                <w:lang w:val="fr-BE"/>
              </w:rPr>
            </w:pPr>
            <w:r>
              <w:rPr>
                <w:b/>
                <w:noProof/>
                <w:sz w:val="14"/>
                <w:szCs w:val="14"/>
                <w:lang w:val="fr-BE"/>
              </w:rPr>
              <w:t>Słabiej rozwinięte</w:t>
            </w:r>
          </w:p>
        </w:tc>
        <w:tc>
          <w:tcPr>
            <w:tcW w:w="0" w:type="auto"/>
            <w:shd w:val="clear" w:color="auto" w:fill="auto"/>
          </w:tcPr>
          <w:p w14:paraId="01529F98" w14:textId="77777777" w:rsidR="00C11C12" w:rsidRPr="001A1933" w:rsidRDefault="00C11C12" w:rsidP="00DE0B35">
            <w:pPr>
              <w:spacing w:before="0" w:after="0"/>
              <w:jc w:val="left"/>
              <w:rPr>
                <w:b/>
                <w:sz w:val="14"/>
                <w:szCs w:val="14"/>
                <w:lang w:val="fr-BE"/>
              </w:rPr>
            </w:pPr>
          </w:p>
        </w:tc>
        <w:tc>
          <w:tcPr>
            <w:tcW w:w="0" w:type="auto"/>
            <w:shd w:val="clear" w:color="auto" w:fill="auto"/>
          </w:tcPr>
          <w:p w14:paraId="59C13779" w14:textId="77777777" w:rsidR="00C11C12" w:rsidRPr="001A1933" w:rsidRDefault="00E82A60" w:rsidP="00DE0B35">
            <w:pPr>
              <w:spacing w:before="0" w:after="0"/>
              <w:jc w:val="right"/>
              <w:rPr>
                <w:b/>
                <w:sz w:val="14"/>
                <w:szCs w:val="14"/>
                <w:lang w:val="fr-BE"/>
              </w:rPr>
            </w:pPr>
            <w:r w:rsidRPr="001A1933">
              <w:rPr>
                <w:b/>
                <w:noProof/>
                <w:sz w:val="14"/>
                <w:szCs w:val="14"/>
              </w:rPr>
              <w:t>451 575 917,00</w:t>
            </w:r>
          </w:p>
        </w:tc>
        <w:tc>
          <w:tcPr>
            <w:tcW w:w="0" w:type="auto"/>
            <w:shd w:val="clear" w:color="auto" w:fill="auto"/>
          </w:tcPr>
          <w:p w14:paraId="647A1212" w14:textId="77777777" w:rsidR="00C11C12" w:rsidRPr="001A1933" w:rsidRDefault="00E82A60" w:rsidP="00DE0B35">
            <w:pPr>
              <w:spacing w:before="0" w:after="0"/>
              <w:jc w:val="right"/>
              <w:rPr>
                <w:b/>
                <w:sz w:val="14"/>
                <w:szCs w:val="14"/>
                <w:lang w:val="fr-BE"/>
              </w:rPr>
            </w:pPr>
            <w:r>
              <w:rPr>
                <w:b/>
                <w:noProof/>
                <w:sz w:val="14"/>
                <w:szCs w:val="14"/>
                <w:lang w:val="fr-BE"/>
              </w:rPr>
              <w:t>85,00%</w:t>
            </w:r>
          </w:p>
        </w:tc>
        <w:tc>
          <w:tcPr>
            <w:tcW w:w="0" w:type="auto"/>
            <w:shd w:val="clear" w:color="auto" w:fill="auto"/>
          </w:tcPr>
          <w:p w14:paraId="3A141E2C" w14:textId="77777777" w:rsidR="00C11C12" w:rsidRPr="001A1933" w:rsidRDefault="00E82A60" w:rsidP="00DE0B35">
            <w:pPr>
              <w:spacing w:before="0" w:after="0"/>
              <w:jc w:val="right"/>
              <w:rPr>
                <w:b/>
                <w:sz w:val="14"/>
                <w:szCs w:val="14"/>
                <w:lang w:val="fr-BE"/>
              </w:rPr>
            </w:pPr>
            <w:r w:rsidRPr="001A1933">
              <w:rPr>
                <w:b/>
                <w:noProof/>
                <w:sz w:val="14"/>
                <w:szCs w:val="14"/>
                <w:lang w:val="fr-BE"/>
              </w:rPr>
              <w:t>320 762 959,54</w:t>
            </w:r>
          </w:p>
        </w:tc>
        <w:tc>
          <w:tcPr>
            <w:tcW w:w="0" w:type="auto"/>
            <w:shd w:val="clear" w:color="auto" w:fill="auto"/>
          </w:tcPr>
          <w:p w14:paraId="30D64B76" w14:textId="77777777" w:rsidR="00C11C12" w:rsidRPr="001A1933" w:rsidRDefault="00E82A60" w:rsidP="00DE0B35">
            <w:pPr>
              <w:spacing w:before="0" w:after="0"/>
              <w:jc w:val="right"/>
              <w:rPr>
                <w:b/>
                <w:sz w:val="14"/>
                <w:szCs w:val="14"/>
                <w:lang w:val="fr-BE"/>
              </w:rPr>
            </w:pPr>
            <w:r>
              <w:rPr>
                <w:b/>
                <w:noProof/>
                <w:sz w:val="14"/>
                <w:szCs w:val="14"/>
                <w:lang w:val="fr-BE"/>
              </w:rPr>
              <w:t>71,03%</w:t>
            </w:r>
          </w:p>
        </w:tc>
        <w:tc>
          <w:tcPr>
            <w:tcW w:w="0" w:type="auto"/>
            <w:shd w:val="clear" w:color="auto" w:fill="auto"/>
          </w:tcPr>
          <w:p w14:paraId="2819C0AA" w14:textId="77777777" w:rsidR="00C11C12" w:rsidRPr="001A1933" w:rsidRDefault="00E82A60" w:rsidP="00DE0B35">
            <w:pPr>
              <w:spacing w:before="0" w:after="0"/>
              <w:jc w:val="right"/>
              <w:rPr>
                <w:b/>
                <w:sz w:val="14"/>
                <w:szCs w:val="14"/>
                <w:lang w:val="fr-BE"/>
              </w:rPr>
            </w:pPr>
            <w:r w:rsidRPr="001A1933">
              <w:rPr>
                <w:b/>
                <w:noProof/>
                <w:sz w:val="14"/>
                <w:szCs w:val="14"/>
                <w:lang w:val="fr-BE"/>
              </w:rPr>
              <w:t>306 909 301,41</w:t>
            </w:r>
          </w:p>
        </w:tc>
        <w:tc>
          <w:tcPr>
            <w:tcW w:w="0" w:type="auto"/>
            <w:shd w:val="clear" w:color="auto" w:fill="auto"/>
          </w:tcPr>
          <w:p w14:paraId="7F010894" w14:textId="77777777" w:rsidR="00C11C12" w:rsidRPr="001A1933" w:rsidRDefault="00E82A60" w:rsidP="00DE0B35">
            <w:pPr>
              <w:spacing w:before="0" w:after="0"/>
              <w:jc w:val="right"/>
              <w:rPr>
                <w:b/>
                <w:sz w:val="14"/>
                <w:szCs w:val="14"/>
                <w:lang w:val="fr-BE"/>
              </w:rPr>
            </w:pPr>
            <w:r w:rsidRPr="001A1933">
              <w:rPr>
                <w:b/>
                <w:noProof/>
                <w:sz w:val="14"/>
                <w:szCs w:val="14"/>
                <w:lang w:val="fr-BE"/>
              </w:rPr>
              <w:t>193 112 935,16</w:t>
            </w:r>
          </w:p>
        </w:tc>
        <w:tc>
          <w:tcPr>
            <w:tcW w:w="0" w:type="auto"/>
            <w:shd w:val="clear" w:color="auto" w:fill="auto"/>
          </w:tcPr>
          <w:p w14:paraId="65B31943" w14:textId="77777777" w:rsidR="00C11C12" w:rsidRPr="001A1933" w:rsidRDefault="00E82A60" w:rsidP="00DE0B35">
            <w:pPr>
              <w:spacing w:before="0" w:after="0"/>
              <w:jc w:val="right"/>
              <w:rPr>
                <w:b/>
                <w:sz w:val="14"/>
                <w:szCs w:val="14"/>
                <w:lang w:val="fr-BE"/>
              </w:rPr>
            </w:pPr>
            <w:r>
              <w:rPr>
                <w:b/>
                <w:noProof/>
                <w:sz w:val="14"/>
                <w:szCs w:val="14"/>
                <w:lang w:val="fr-BE"/>
              </w:rPr>
              <w:t>42,76%</w:t>
            </w:r>
          </w:p>
        </w:tc>
        <w:tc>
          <w:tcPr>
            <w:tcW w:w="0" w:type="auto"/>
          </w:tcPr>
          <w:p w14:paraId="22DD1727" w14:textId="77777777" w:rsidR="00C11C12" w:rsidRPr="001A1933" w:rsidRDefault="00E82A60" w:rsidP="00DE0B35">
            <w:pPr>
              <w:spacing w:before="0" w:after="0"/>
              <w:jc w:val="right"/>
              <w:rPr>
                <w:b/>
                <w:sz w:val="14"/>
                <w:szCs w:val="14"/>
                <w:lang w:val="fr-BE"/>
              </w:rPr>
            </w:pPr>
            <w:r w:rsidRPr="001A1933">
              <w:rPr>
                <w:b/>
                <w:noProof/>
                <w:sz w:val="14"/>
                <w:szCs w:val="14"/>
                <w:lang w:val="fr-BE"/>
              </w:rPr>
              <w:t>1 056</w:t>
            </w:r>
          </w:p>
        </w:tc>
      </w:tr>
      <w:tr w:rsidR="006B2EC1" w14:paraId="481C5627" w14:textId="77777777" w:rsidTr="00C11C12">
        <w:tc>
          <w:tcPr>
            <w:tcW w:w="0" w:type="auto"/>
            <w:shd w:val="clear" w:color="auto" w:fill="auto"/>
          </w:tcPr>
          <w:p w14:paraId="76A29C41" w14:textId="77777777" w:rsidR="00C11C12" w:rsidRPr="001A1933" w:rsidRDefault="00E82A60" w:rsidP="00DE0B35">
            <w:pPr>
              <w:spacing w:before="0" w:after="0"/>
              <w:jc w:val="left"/>
              <w:rPr>
                <w:b/>
                <w:sz w:val="14"/>
                <w:szCs w:val="14"/>
                <w:lang w:val="fr-BE"/>
              </w:rPr>
            </w:pPr>
            <w:r>
              <w:rPr>
                <w:b/>
                <w:noProof/>
                <w:sz w:val="14"/>
                <w:szCs w:val="14"/>
                <w:lang w:val="fr-BE"/>
              </w:rPr>
              <w:t>Suma całkowita</w:t>
            </w:r>
          </w:p>
        </w:tc>
        <w:tc>
          <w:tcPr>
            <w:tcW w:w="0" w:type="auto"/>
            <w:shd w:val="clear" w:color="auto" w:fill="auto"/>
          </w:tcPr>
          <w:p w14:paraId="57515A9B" w14:textId="77777777" w:rsidR="00C11C12" w:rsidRPr="001A1933" w:rsidRDefault="00C11C12" w:rsidP="00DE0B35">
            <w:pPr>
              <w:spacing w:before="0" w:after="0"/>
              <w:jc w:val="left"/>
              <w:rPr>
                <w:b/>
                <w:sz w:val="14"/>
                <w:szCs w:val="14"/>
                <w:lang w:val="fr-BE"/>
              </w:rPr>
            </w:pPr>
          </w:p>
        </w:tc>
        <w:tc>
          <w:tcPr>
            <w:tcW w:w="0" w:type="auto"/>
            <w:shd w:val="clear" w:color="auto" w:fill="auto"/>
          </w:tcPr>
          <w:p w14:paraId="670DC2D9" w14:textId="77777777" w:rsidR="00C11C12" w:rsidRPr="001A1933" w:rsidRDefault="00C11C12" w:rsidP="00DE0B35">
            <w:pPr>
              <w:spacing w:before="0" w:after="0"/>
              <w:jc w:val="left"/>
              <w:rPr>
                <w:b/>
                <w:sz w:val="14"/>
                <w:szCs w:val="14"/>
                <w:lang w:val="fr-BE"/>
              </w:rPr>
            </w:pPr>
          </w:p>
        </w:tc>
        <w:tc>
          <w:tcPr>
            <w:tcW w:w="0" w:type="auto"/>
            <w:shd w:val="clear" w:color="auto" w:fill="auto"/>
          </w:tcPr>
          <w:p w14:paraId="15F8F72B" w14:textId="77777777" w:rsidR="00C11C12" w:rsidRPr="001A1933" w:rsidRDefault="00C11C12" w:rsidP="00DE0B35">
            <w:pPr>
              <w:spacing w:before="0" w:after="0"/>
              <w:jc w:val="left"/>
              <w:rPr>
                <w:b/>
                <w:sz w:val="14"/>
                <w:szCs w:val="14"/>
                <w:lang w:val="fr-BE"/>
              </w:rPr>
            </w:pPr>
          </w:p>
        </w:tc>
        <w:tc>
          <w:tcPr>
            <w:tcW w:w="0" w:type="auto"/>
            <w:shd w:val="clear" w:color="auto" w:fill="auto"/>
          </w:tcPr>
          <w:p w14:paraId="0B2EFB86" w14:textId="77777777" w:rsidR="00C11C12" w:rsidRPr="001A1933" w:rsidRDefault="00E82A60" w:rsidP="00DE0B35">
            <w:pPr>
              <w:spacing w:before="0" w:after="0"/>
              <w:jc w:val="right"/>
              <w:rPr>
                <w:b/>
                <w:sz w:val="14"/>
                <w:szCs w:val="14"/>
                <w:lang w:val="fr-BE"/>
              </w:rPr>
            </w:pPr>
            <w:r w:rsidRPr="001A1933">
              <w:rPr>
                <w:b/>
                <w:noProof/>
                <w:sz w:val="14"/>
                <w:szCs w:val="14"/>
              </w:rPr>
              <w:t>1 605 345 410,00</w:t>
            </w:r>
          </w:p>
        </w:tc>
        <w:tc>
          <w:tcPr>
            <w:tcW w:w="0" w:type="auto"/>
            <w:shd w:val="clear" w:color="auto" w:fill="auto"/>
          </w:tcPr>
          <w:p w14:paraId="2474016C" w14:textId="77777777" w:rsidR="00C11C12" w:rsidRPr="001A1933" w:rsidRDefault="00E82A60" w:rsidP="00DE0B35">
            <w:pPr>
              <w:spacing w:before="0" w:after="0"/>
              <w:jc w:val="right"/>
              <w:rPr>
                <w:b/>
                <w:sz w:val="14"/>
                <w:szCs w:val="14"/>
                <w:lang w:val="fr-BE"/>
              </w:rPr>
            </w:pPr>
            <w:r>
              <w:rPr>
                <w:b/>
                <w:noProof/>
                <w:sz w:val="14"/>
                <w:szCs w:val="14"/>
                <w:lang w:val="fr-BE"/>
              </w:rPr>
              <w:t>85,00%</w:t>
            </w:r>
          </w:p>
        </w:tc>
        <w:tc>
          <w:tcPr>
            <w:tcW w:w="0" w:type="auto"/>
            <w:shd w:val="clear" w:color="auto" w:fill="auto"/>
          </w:tcPr>
          <w:p w14:paraId="1167597D" w14:textId="77777777" w:rsidR="00C11C12" w:rsidRPr="001A1933" w:rsidRDefault="00E82A60" w:rsidP="00DE0B35">
            <w:pPr>
              <w:spacing w:before="0" w:after="0"/>
              <w:jc w:val="right"/>
              <w:rPr>
                <w:b/>
                <w:sz w:val="14"/>
                <w:szCs w:val="14"/>
                <w:lang w:val="fr-BE"/>
              </w:rPr>
            </w:pPr>
            <w:r w:rsidRPr="001A1933">
              <w:rPr>
                <w:b/>
                <w:noProof/>
                <w:sz w:val="14"/>
                <w:szCs w:val="14"/>
                <w:lang w:val="fr-BE"/>
              </w:rPr>
              <w:t>1 347 906 881,14</w:t>
            </w:r>
          </w:p>
        </w:tc>
        <w:tc>
          <w:tcPr>
            <w:tcW w:w="0" w:type="auto"/>
            <w:shd w:val="clear" w:color="auto" w:fill="auto"/>
          </w:tcPr>
          <w:p w14:paraId="44E0CE4D" w14:textId="77777777" w:rsidR="00C11C12" w:rsidRPr="001A1933" w:rsidRDefault="00E82A60" w:rsidP="00DE0B35">
            <w:pPr>
              <w:spacing w:before="0" w:after="0"/>
              <w:jc w:val="right"/>
              <w:rPr>
                <w:b/>
                <w:sz w:val="14"/>
                <w:szCs w:val="14"/>
                <w:lang w:val="fr-BE"/>
              </w:rPr>
            </w:pPr>
            <w:r>
              <w:rPr>
                <w:b/>
                <w:noProof/>
                <w:sz w:val="14"/>
                <w:szCs w:val="14"/>
                <w:lang w:val="fr-BE"/>
              </w:rPr>
              <w:t>83,96%</w:t>
            </w:r>
          </w:p>
        </w:tc>
        <w:tc>
          <w:tcPr>
            <w:tcW w:w="0" w:type="auto"/>
            <w:shd w:val="clear" w:color="auto" w:fill="auto"/>
          </w:tcPr>
          <w:p w14:paraId="7F573B28" w14:textId="77777777" w:rsidR="00C11C12" w:rsidRPr="001A1933" w:rsidRDefault="00E82A60" w:rsidP="00DE0B35">
            <w:pPr>
              <w:spacing w:before="0" w:after="0"/>
              <w:jc w:val="right"/>
              <w:rPr>
                <w:b/>
                <w:sz w:val="14"/>
                <w:szCs w:val="14"/>
                <w:lang w:val="fr-BE"/>
              </w:rPr>
            </w:pPr>
            <w:r w:rsidRPr="001A1933">
              <w:rPr>
                <w:b/>
                <w:noProof/>
                <w:sz w:val="14"/>
                <w:szCs w:val="14"/>
                <w:lang w:val="fr-BE"/>
              </w:rPr>
              <w:t>1 255 052 694,75</w:t>
            </w:r>
          </w:p>
        </w:tc>
        <w:tc>
          <w:tcPr>
            <w:tcW w:w="0" w:type="auto"/>
            <w:shd w:val="clear" w:color="auto" w:fill="auto"/>
          </w:tcPr>
          <w:p w14:paraId="50856FE8" w14:textId="77777777" w:rsidR="00C11C12" w:rsidRPr="001A1933" w:rsidRDefault="00E82A60" w:rsidP="00DE0B35">
            <w:pPr>
              <w:spacing w:before="0" w:after="0"/>
              <w:jc w:val="right"/>
              <w:rPr>
                <w:b/>
                <w:sz w:val="14"/>
                <w:szCs w:val="14"/>
                <w:lang w:val="fr-BE"/>
              </w:rPr>
            </w:pPr>
            <w:r w:rsidRPr="001A1933">
              <w:rPr>
                <w:b/>
                <w:noProof/>
                <w:sz w:val="14"/>
                <w:szCs w:val="14"/>
                <w:lang w:val="fr-BE"/>
              </w:rPr>
              <w:t>594 475 480,10</w:t>
            </w:r>
          </w:p>
        </w:tc>
        <w:tc>
          <w:tcPr>
            <w:tcW w:w="0" w:type="auto"/>
            <w:shd w:val="clear" w:color="auto" w:fill="auto"/>
          </w:tcPr>
          <w:p w14:paraId="2A22F338" w14:textId="77777777" w:rsidR="00C11C12" w:rsidRPr="001A1933" w:rsidRDefault="00E82A60" w:rsidP="00DE0B35">
            <w:pPr>
              <w:spacing w:before="0" w:after="0"/>
              <w:jc w:val="right"/>
              <w:rPr>
                <w:b/>
                <w:sz w:val="14"/>
                <w:szCs w:val="14"/>
                <w:lang w:val="fr-BE"/>
              </w:rPr>
            </w:pPr>
            <w:r>
              <w:rPr>
                <w:b/>
                <w:noProof/>
                <w:sz w:val="14"/>
                <w:szCs w:val="14"/>
                <w:lang w:val="fr-BE"/>
              </w:rPr>
              <w:t>37,03%</w:t>
            </w:r>
          </w:p>
        </w:tc>
        <w:tc>
          <w:tcPr>
            <w:tcW w:w="0" w:type="auto"/>
          </w:tcPr>
          <w:p w14:paraId="19D98051" w14:textId="77777777" w:rsidR="00C11C12" w:rsidRPr="001A1933" w:rsidRDefault="00E82A60" w:rsidP="00DE0B35">
            <w:pPr>
              <w:spacing w:before="0" w:after="0"/>
              <w:jc w:val="right"/>
              <w:rPr>
                <w:b/>
                <w:sz w:val="14"/>
                <w:szCs w:val="14"/>
                <w:lang w:val="fr-BE"/>
              </w:rPr>
            </w:pPr>
            <w:r w:rsidRPr="001A1933">
              <w:rPr>
                <w:b/>
                <w:noProof/>
                <w:sz w:val="14"/>
                <w:szCs w:val="14"/>
                <w:lang w:val="fr-BE"/>
              </w:rPr>
              <w:t>2 074</w:t>
            </w:r>
          </w:p>
        </w:tc>
      </w:tr>
    </w:tbl>
    <w:p w14:paraId="0221EEE3" w14:textId="77777777" w:rsidR="008C5CFA" w:rsidRDefault="008C5CFA" w:rsidP="00300A01">
      <w:pPr>
        <w:spacing w:before="0" w:after="0"/>
        <w:rPr>
          <w:lang w:val="fr-BE"/>
        </w:rPr>
      </w:pPr>
    </w:p>
    <w:p w14:paraId="6AD63056" w14:textId="77777777" w:rsidR="008C5CFA" w:rsidRDefault="008C5CFA" w:rsidP="00300A01">
      <w:pPr>
        <w:spacing w:before="0" w:after="0"/>
        <w:rPr>
          <w:lang w:val="fr-BE"/>
        </w:rPr>
      </w:pPr>
    </w:p>
    <w:p w14:paraId="36094416" w14:textId="77777777" w:rsidR="008C5CFA" w:rsidRPr="008E457C" w:rsidRDefault="00E82A60" w:rsidP="00300A01">
      <w:pPr>
        <w:pStyle w:val="Nagwek2"/>
        <w:spacing w:before="0" w:after="0"/>
        <w:rPr>
          <w:lang w:val="fr-BE"/>
        </w:rPr>
      </w:pPr>
      <w:r>
        <w:rPr>
          <w:lang w:val="fr-BE"/>
        </w:rPr>
        <w:br w:type="page"/>
      </w:r>
      <w:bookmarkStart w:id="88" w:name="_Toc46391772"/>
      <w:r w:rsidRPr="008E457C">
        <w:rPr>
          <w:noProof/>
          <w:lang w:val="fr-BE"/>
        </w:rPr>
        <w:lastRenderedPageBreak/>
        <w:t>Tabela 7: Podział zbiorczych danych finansowych według kategorii interwencji dla EFRR, EFS i Funduszu Spójności (art. 112 ust. 1 i 2 rozporządzenia (UE) nr 1303/2013 i art. 5 rozporządzenia (UE) nr 1304/2013)</w:t>
      </w:r>
      <w:bookmarkEnd w:id="88"/>
    </w:p>
    <w:p w14:paraId="1C85DFAE"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824"/>
        <w:gridCol w:w="555"/>
        <w:gridCol w:w="732"/>
        <w:gridCol w:w="790"/>
        <w:gridCol w:w="888"/>
        <w:gridCol w:w="841"/>
        <w:gridCol w:w="1061"/>
        <w:gridCol w:w="751"/>
        <w:gridCol w:w="979"/>
        <w:gridCol w:w="867"/>
        <w:gridCol w:w="754"/>
        <w:gridCol w:w="1674"/>
        <w:gridCol w:w="1670"/>
        <w:gridCol w:w="1906"/>
        <w:gridCol w:w="892"/>
      </w:tblGrid>
      <w:tr w:rsidR="006B2EC1" w14:paraId="442D6DF9" w14:textId="77777777" w:rsidTr="0047688D">
        <w:trPr>
          <w:tblHeader/>
        </w:trPr>
        <w:tc>
          <w:tcPr>
            <w:tcW w:w="0" w:type="auto"/>
            <w:shd w:val="clear" w:color="auto" w:fill="auto"/>
          </w:tcPr>
          <w:p w14:paraId="56E2C7F6" w14:textId="77777777" w:rsidR="008C5CFA" w:rsidRPr="001C6064" w:rsidRDefault="00E82A60" w:rsidP="00300A01">
            <w:pPr>
              <w:pStyle w:val="Text1"/>
              <w:spacing w:before="0" w:after="0"/>
              <w:ind w:left="0"/>
              <w:rPr>
                <w:b/>
                <w:sz w:val="12"/>
                <w:szCs w:val="12"/>
              </w:rPr>
            </w:pPr>
            <w:r w:rsidRPr="001C6064">
              <w:rPr>
                <w:b/>
                <w:noProof/>
                <w:sz w:val="12"/>
                <w:szCs w:val="12"/>
              </w:rPr>
              <w:t>Oś priorytetowa</w:t>
            </w:r>
          </w:p>
        </w:tc>
        <w:tc>
          <w:tcPr>
            <w:tcW w:w="0" w:type="auto"/>
            <w:gridSpan w:val="2"/>
            <w:shd w:val="clear" w:color="auto" w:fill="auto"/>
          </w:tcPr>
          <w:p w14:paraId="551E1995" w14:textId="77777777" w:rsidR="008C5CFA" w:rsidRPr="001C6064" w:rsidRDefault="00E82A60" w:rsidP="00300A01">
            <w:pPr>
              <w:pStyle w:val="Text1"/>
              <w:spacing w:before="0" w:after="0"/>
              <w:ind w:left="0"/>
              <w:jc w:val="center"/>
              <w:rPr>
                <w:b/>
                <w:sz w:val="12"/>
                <w:szCs w:val="12"/>
              </w:rPr>
            </w:pPr>
            <w:r>
              <w:rPr>
                <w:b/>
                <w:noProof/>
                <w:sz w:val="12"/>
                <w:szCs w:val="12"/>
              </w:rPr>
              <w:t>Charakterystyka wydatków</w:t>
            </w:r>
          </w:p>
        </w:tc>
        <w:tc>
          <w:tcPr>
            <w:tcW w:w="0" w:type="auto"/>
            <w:gridSpan w:val="8"/>
            <w:shd w:val="clear" w:color="auto" w:fill="auto"/>
          </w:tcPr>
          <w:p w14:paraId="7EC85493" w14:textId="77777777" w:rsidR="008C5CFA" w:rsidRPr="001C6064" w:rsidRDefault="00E82A60" w:rsidP="00300A01">
            <w:pPr>
              <w:pStyle w:val="Text1"/>
              <w:spacing w:before="0" w:after="0"/>
              <w:ind w:left="0"/>
              <w:jc w:val="center"/>
              <w:rPr>
                <w:b/>
                <w:sz w:val="12"/>
                <w:szCs w:val="12"/>
              </w:rPr>
            </w:pPr>
            <w:r w:rsidRPr="001C6064">
              <w:rPr>
                <w:b/>
                <w:noProof/>
                <w:sz w:val="12"/>
                <w:szCs w:val="12"/>
              </w:rPr>
              <w:t>Rodzaje kategorii</w:t>
            </w:r>
          </w:p>
        </w:tc>
        <w:tc>
          <w:tcPr>
            <w:tcW w:w="0" w:type="auto"/>
            <w:gridSpan w:val="4"/>
            <w:shd w:val="clear" w:color="auto" w:fill="auto"/>
          </w:tcPr>
          <w:p w14:paraId="6661775F" w14:textId="77777777" w:rsidR="008C5CFA" w:rsidRPr="001C6064" w:rsidRDefault="00E82A60" w:rsidP="00300A01">
            <w:pPr>
              <w:pStyle w:val="Text1"/>
              <w:spacing w:before="0" w:after="0"/>
              <w:ind w:left="0"/>
              <w:jc w:val="center"/>
              <w:rPr>
                <w:b/>
                <w:sz w:val="12"/>
                <w:szCs w:val="12"/>
              </w:rPr>
            </w:pPr>
            <w:r w:rsidRPr="001C6064">
              <w:rPr>
                <w:b/>
                <w:noProof/>
                <w:sz w:val="12"/>
                <w:szCs w:val="12"/>
              </w:rPr>
              <w:t>Dane finansowe</w:t>
            </w:r>
          </w:p>
        </w:tc>
      </w:tr>
      <w:tr w:rsidR="006B2EC1" w14:paraId="65435F07" w14:textId="77777777" w:rsidTr="0047688D">
        <w:trPr>
          <w:tblHeader/>
        </w:trPr>
        <w:tc>
          <w:tcPr>
            <w:tcW w:w="0" w:type="auto"/>
            <w:shd w:val="clear" w:color="auto" w:fill="auto"/>
          </w:tcPr>
          <w:p w14:paraId="1DE0C9F8" w14:textId="77777777" w:rsidR="008C5CFA" w:rsidRPr="001C6064" w:rsidRDefault="008C5CFA" w:rsidP="00300A01">
            <w:pPr>
              <w:pStyle w:val="Text1"/>
              <w:spacing w:before="0" w:after="0"/>
              <w:ind w:left="0"/>
              <w:jc w:val="center"/>
              <w:rPr>
                <w:b/>
                <w:sz w:val="12"/>
                <w:szCs w:val="12"/>
              </w:rPr>
            </w:pPr>
          </w:p>
        </w:tc>
        <w:tc>
          <w:tcPr>
            <w:tcW w:w="0" w:type="auto"/>
            <w:shd w:val="clear" w:color="auto" w:fill="auto"/>
          </w:tcPr>
          <w:p w14:paraId="53B0E0C5" w14:textId="77777777" w:rsidR="008C5CFA" w:rsidRPr="001C6064" w:rsidRDefault="00E82A60" w:rsidP="00300A01">
            <w:pPr>
              <w:pStyle w:val="Text1"/>
              <w:spacing w:before="0" w:after="0"/>
              <w:ind w:left="0"/>
              <w:jc w:val="center"/>
              <w:rPr>
                <w:b/>
                <w:sz w:val="12"/>
                <w:szCs w:val="12"/>
              </w:rPr>
            </w:pPr>
            <w:r w:rsidRPr="001C6064">
              <w:rPr>
                <w:b/>
                <w:noProof/>
                <w:sz w:val="12"/>
                <w:szCs w:val="12"/>
              </w:rPr>
              <w:t>Fundusz</w:t>
            </w:r>
          </w:p>
        </w:tc>
        <w:tc>
          <w:tcPr>
            <w:tcW w:w="0" w:type="auto"/>
            <w:shd w:val="clear" w:color="auto" w:fill="auto"/>
          </w:tcPr>
          <w:p w14:paraId="43ABCFD1" w14:textId="77777777" w:rsidR="008C5CFA" w:rsidRPr="001C6064" w:rsidRDefault="00E82A60" w:rsidP="00300A01">
            <w:pPr>
              <w:pStyle w:val="Text1"/>
              <w:spacing w:before="0" w:after="0"/>
              <w:ind w:left="0"/>
              <w:jc w:val="center"/>
              <w:rPr>
                <w:b/>
                <w:sz w:val="12"/>
                <w:szCs w:val="12"/>
              </w:rPr>
            </w:pPr>
            <w:r w:rsidRPr="001C6064">
              <w:rPr>
                <w:b/>
                <w:noProof/>
                <w:sz w:val="12"/>
                <w:szCs w:val="12"/>
              </w:rPr>
              <w:t>Kategoria regionu</w:t>
            </w:r>
          </w:p>
        </w:tc>
        <w:tc>
          <w:tcPr>
            <w:tcW w:w="0" w:type="auto"/>
            <w:shd w:val="clear" w:color="auto" w:fill="auto"/>
          </w:tcPr>
          <w:p w14:paraId="31504E22" w14:textId="77777777" w:rsidR="008C5CFA" w:rsidRPr="001C6064" w:rsidRDefault="00E82A60" w:rsidP="00300A01">
            <w:pPr>
              <w:pStyle w:val="Text1"/>
              <w:spacing w:before="0" w:after="0"/>
              <w:ind w:left="0"/>
              <w:jc w:val="center"/>
              <w:rPr>
                <w:b/>
                <w:sz w:val="12"/>
                <w:szCs w:val="12"/>
              </w:rPr>
            </w:pPr>
            <w:r>
              <w:rPr>
                <w:b/>
                <w:noProof/>
                <w:sz w:val="12"/>
                <w:szCs w:val="12"/>
              </w:rPr>
              <w:t>Zakres interwencji</w:t>
            </w:r>
          </w:p>
        </w:tc>
        <w:tc>
          <w:tcPr>
            <w:tcW w:w="0" w:type="auto"/>
            <w:shd w:val="clear" w:color="auto" w:fill="auto"/>
          </w:tcPr>
          <w:p w14:paraId="70D23395" w14:textId="77777777" w:rsidR="008C5CFA" w:rsidRPr="003F04E4" w:rsidRDefault="00E82A60" w:rsidP="00300A01">
            <w:pPr>
              <w:pStyle w:val="Text1"/>
              <w:spacing w:before="0" w:after="0"/>
              <w:ind w:left="0"/>
              <w:jc w:val="center"/>
              <w:rPr>
                <w:b/>
                <w:sz w:val="12"/>
                <w:szCs w:val="12"/>
                <w:lang w:val="nb-NO"/>
              </w:rPr>
            </w:pPr>
            <w:r w:rsidRPr="003F04E4">
              <w:rPr>
                <w:b/>
                <w:noProof/>
                <w:sz w:val="12"/>
                <w:szCs w:val="12"/>
                <w:lang w:val="nb-NO"/>
              </w:rPr>
              <w:t>Forma finansowania</w:t>
            </w:r>
          </w:p>
        </w:tc>
        <w:tc>
          <w:tcPr>
            <w:tcW w:w="0" w:type="auto"/>
            <w:shd w:val="clear" w:color="auto" w:fill="auto"/>
          </w:tcPr>
          <w:p w14:paraId="4B11D509" w14:textId="77777777" w:rsidR="008C5CFA" w:rsidRPr="001C6064" w:rsidRDefault="00E82A60" w:rsidP="00300A01">
            <w:pPr>
              <w:pStyle w:val="Text1"/>
              <w:spacing w:before="0" w:after="0"/>
              <w:ind w:left="0"/>
              <w:jc w:val="center"/>
              <w:rPr>
                <w:b/>
                <w:sz w:val="12"/>
                <w:szCs w:val="12"/>
              </w:rPr>
            </w:pPr>
            <w:r>
              <w:rPr>
                <w:b/>
                <w:noProof/>
                <w:sz w:val="12"/>
                <w:szCs w:val="12"/>
              </w:rPr>
              <w:t>Wymiar terytorialny</w:t>
            </w:r>
          </w:p>
        </w:tc>
        <w:tc>
          <w:tcPr>
            <w:tcW w:w="0" w:type="auto"/>
            <w:shd w:val="clear" w:color="auto" w:fill="auto"/>
          </w:tcPr>
          <w:p w14:paraId="0626A87E" w14:textId="77777777" w:rsidR="008C5CFA" w:rsidRPr="001C6064" w:rsidRDefault="00E82A60" w:rsidP="00300A01">
            <w:pPr>
              <w:pStyle w:val="Text1"/>
              <w:spacing w:before="0" w:after="0"/>
              <w:ind w:left="0"/>
              <w:jc w:val="center"/>
              <w:rPr>
                <w:b/>
                <w:sz w:val="12"/>
                <w:szCs w:val="12"/>
              </w:rPr>
            </w:pPr>
            <w:r>
              <w:rPr>
                <w:b/>
                <w:noProof/>
                <w:sz w:val="12"/>
                <w:szCs w:val="12"/>
              </w:rPr>
              <w:t>Terytorialny mechanizm wdrażania</w:t>
            </w:r>
          </w:p>
        </w:tc>
        <w:tc>
          <w:tcPr>
            <w:tcW w:w="0" w:type="auto"/>
            <w:shd w:val="clear" w:color="auto" w:fill="auto"/>
          </w:tcPr>
          <w:p w14:paraId="141AA4AC" w14:textId="77777777" w:rsidR="008C5CFA" w:rsidRPr="001C6064" w:rsidRDefault="00E82A60" w:rsidP="00300A01">
            <w:pPr>
              <w:pStyle w:val="Text1"/>
              <w:spacing w:before="0" w:after="0"/>
              <w:ind w:left="0"/>
              <w:jc w:val="center"/>
              <w:rPr>
                <w:b/>
                <w:sz w:val="12"/>
                <w:szCs w:val="12"/>
              </w:rPr>
            </w:pPr>
            <w:r>
              <w:rPr>
                <w:b/>
                <w:noProof/>
                <w:sz w:val="12"/>
                <w:szCs w:val="12"/>
              </w:rPr>
              <w:t>Cel tematyczny</w:t>
            </w:r>
          </w:p>
        </w:tc>
        <w:tc>
          <w:tcPr>
            <w:tcW w:w="0" w:type="auto"/>
            <w:shd w:val="clear" w:color="auto" w:fill="auto"/>
          </w:tcPr>
          <w:p w14:paraId="5D2C051E" w14:textId="77777777" w:rsidR="008C5CFA" w:rsidRPr="001C6064" w:rsidRDefault="00E82A60" w:rsidP="00300A01">
            <w:pPr>
              <w:pStyle w:val="Text1"/>
              <w:spacing w:before="0" w:after="0"/>
              <w:ind w:left="0"/>
              <w:jc w:val="center"/>
              <w:rPr>
                <w:b/>
                <w:sz w:val="12"/>
                <w:szCs w:val="12"/>
              </w:rPr>
            </w:pPr>
            <w:r>
              <w:rPr>
                <w:b/>
                <w:noProof/>
                <w:sz w:val="12"/>
                <w:szCs w:val="12"/>
              </w:rPr>
              <w:t>Temat uzupełniający EFS</w:t>
            </w:r>
          </w:p>
        </w:tc>
        <w:tc>
          <w:tcPr>
            <w:tcW w:w="0" w:type="auto"/>
            <w:shd w:val="clear" w:color="auto" w:fill="auto"/>
          </w:tcPr>
          <w:p w14:paraId="7CCD374C" w14:textId="77777777" w:rsidR="008C5CFA" w:rsidRPr="001C6064" w:rsidRDefault="00E82A60" w:rsidP="00300A01">
            <w:pPr>
              <w:pStyle w:val="Text1"/>
              <w:spacing w:before="0" w:after="0"/>
              <w:ind w:left="0"/>
              <w:jc w:val="center"/>
              <w:rPr>
                <w:b/>
                <w:sz w:val="12"/>
                <w:szCs w:val="12"/>
              </w:rPr>
            </w:pPr>
            <w:r>
              <w:rPr>
                <w:b/>
                <w:noProof/>
                <w:sz w:val="12"/>
                <w:szCs w:val="12"/>
              </w:rPr>
              <w:t>Wymiar gospodarczy</w:t>
            </w:r>
          </w:p>
        </w:tc>
        <w:tc>
          <w:tcPr>
            <w:tcW w:w="0" w:type="auto"/>
            <w:shd w:val="clear" w:color="auto" w:fill="auto"/>
          </w:tcPr>
          <w:p w14:paraId="67CF51EC" w14:textId="77777777" w:rsidR="008C5CFA" w:rsidRPr="001C6064" w:rsidRDefault="00E82A60" w:rsidP="00300A01">
            <w:pPr>
              <w:pStyle w:val="Text1"/>
              <w:spacing w:before="0" w:after="0"/>
              <w:ind w:left="0"/>
              <w:jc w:val="center"/>
              <w:rPr>
                <w:b/>
                <w:sz w:val="12"/>
                <w:szCs w:val="12"/>
              </w:rPr>
            </w:pPr>
            <w:r>
              <w:rPr>
                <w:b/>
                <w:noProof/>
                <w:sz w:val="12"/>
                <w:szCs w:val="12"/>
              </w:rPr>
              <w:t>Wymiar lokalizacji</w:t>
            </w:r>
          </w:p>
        </w:tc>
        <w:tc>
          <w:tcPr>
            <w:tcW w:w="0" w:type="auto"/>
            <w:shd w:val="clear" w:color="auto" w:fill="auto"/>
          </w:tcPr>
          <w:p w14:paraId="1786B98E" w14:textId="77777777" w:rsidR="008C5CFA" w:rsidRPr="001C6064" w:rsidRDefault="00E82A60" w:rsidP="00300A01">
            <w:pPr>
              <w:pStyle w:val="Text1"/>
              <w:spacing w:before="0" w:after="0"/>
              <w:ind w:left="0"/>
              <w:jc w:val="center"/>
              <w:rPr>
                <w:b/>
                <w:sz w:val="12"/>
                <w:szCs w:val="12"/>
              </w:rPr>
            </w:pPr>
            <w:r>
              <w:rPr>
                <w:b/>
                <w:noProof/>
                <w:sz w:val="12"/>
                <w:szCs w:val="12"/>
              </w:rPr>
              <w:t>Całkowite koszty kwalifikowalne operacji wybranych do udzielenia wsparcia</w:t>
            </w:r>
          </w:p>
        </w:tc>
        <w:tc>
          <w:tcPr>
            <w:tcW w:w="0" w:type="auto"/>
            <w:shd w:val="clear" w:color="auto" w:fill="auto"/>
          </w:tcPr>
          <w:p w14:paraId="268948DD" w14:textId="77777777" w:rsidR="008C5CFA" w:rsidRPr="001C6064" w:rsidRDefault="00E82A60" w:rsidP="00300A01">
            <w:pPr>
              <w:pStyle w:val="Text1"/>
              <w:spacing w:before="0" w:after="0"/>
              <w:ind w:left="0"/>
              <w:jc w:val="center"/>
              <w:rPr>
                <w:b/>
                <w:sz w:val="12"/>
                <w:szCs w:val="12"/>
              </w:rPr>
            </w:pPr>
            <w:r>
              <w:rPr>
                <w:b/>
                <w:noProof/>
                <w:sz w:val="12"/>
                <w:szCs w:val="12"/>
              </w:rPr>
              <w:t>Publiczne koszty kwalifikowalne operacji wybranych do udzielenia wsparcia</w:t>
            </w:r>
          </w:p>
        </w:tc>
        <w:tc>
          <w:tcPr>
            <w:tcW w:w="0" w:type="auto"/>
            <w:shd w:val="clear" w:color="auto" w:fill="auto"/>
          </w:tcPr>
          <w:p w14:paraId="7BBD1CAD" w14:textId="77777777" w:rsidR="008C5CFA" w:rsidRPr="001C6064" w:rsidRDefault="00E82A60" w:rsidP="00300A01">
            <w:pPr>
              <w:pStyle w:val="Text1"/>
              <w:spacing w:before="0" w:after="0"/>
              <w:ind w:left="0"/>
              <w:jc w:val="center"/>
              <w:rPr>
                <w:b/>
                <w:sz w:val="12"/>
                <w:szCs w:val="12"/>
              </w:rPr>
            </w:pPr>
            <w:r>
              <w:rPr>
                <w:b/>
                <w:noProof/>
                <w:sz w:val="12"/>
                <w:szCs w:val="12"/>
              </w:rPr>
              <w:t>Całkowite wydatki kwalifikowalne zadeklarowane przez beneficjentów instytucji zarządzającej</w:t>
            </w:r>
          </w:p>
        </w:tc>
        <w:tc>
          <w:tcPr>
            <w:tcW w:w="0" w:type="auto"/>
            <w:shd w:val="clear" w:color="auto" w:fill="auto"/>
          </w:tcPr>
          <w:p w14:paraId="2102033F" w14:textId="77777777" w:rsidR="008C5CFA" w:rsidRPr="001C6064" w:rsidRDefault="00E82A60" w:rsidP="00300A01">
            <w:pPr>
              <w:pStyle w:val="Text1"/>
              <w:spacing w:before="0" w:after="0"/>
              <w:ind w:left="0"/>
              <w:jc w:val="center"/>
              <w:rPr>
                <w:b/>
                <w:sz w:val="12"/>
                <w:szCs w:val="12"/>
              </w:rPr>
            </w:pPr>
            <w:r>
              <w:rPr>
                <w:b/>
                <w:noProof/>
                <w:sz w:val="12"/>
                <w:szCs w:val="12"/>
              </w:rPr>
              <w:t>Liczba wybranych operacji</w:t>
            </w:r>
          </w:p>
        </w:tc>
      </w:tr>
      <w:tr w:rsidR="006B2EC1" w14:paraId="702F7AEC" w14:textId="77777777" w:rsidTr="0047688D">
        <w:tc>
          <w:tcPr>
            <w:tcW w:w="0" w:type="auto"/>
            <w:shd w:val="clear" w:color="auto" w:fill="auto"/>
          </w:tcPr>
          <w:p w14:paraId="64A172E5" w14:textId="77777777" w:rsidR="008C5CFA" w:rsidRPr="009C3005" w:rsidRDefault="00E82A60" w:rsidP="00300A01">
            <w:pPr>
              <w:pStyle w:val="Text1"/>
              <w:spacing w:before="0" w:after="0"/>
              <w:ind w:left="0"/>
              <w:rPr>
                <w:sz w:val="12"/>
                <w:szCs w:val="12"/>
              </w:rPr>
            </w:pPr>
            <w:r>
              <w:rPr>
                <w:noProof/>
                <w:sz w:val="14"/>
                <w:szCs w:val="14"/>
                <w:lang w:val="fr-BE"/>
              </w:rPr>
              <w:t>1</w:t>
            </w:r>
          </w:p>
        </w:tc>
        <w:tc>
          <w:tcPr>
            <w:tcW w:w="0" w:type="auto"/>
            <w:shd w:val="clear" w:color="auto" w:fill="auto"/>
          </w:tcPr>
          <w:p w14:paraId="20C1B5DA" w14:textId="77777777" w:rsidR="008C5CFA" w:rsidRPr="009C3005" w:rsidRDefault="00E82A60" w:rsidP="00300A01">
            <w:pPr>
              <w:pStyle w:val="Text1"/>
              <w:spacing w:before="0" w:after="0"/>
              <w:ind w:left="0"/>
              <w:rPr>
                <w:sz w:val="12"/>
                <w:szCs w:val="12"/>
              </w:rPr>
            </w:pPr>
            <w:r>
              <w:rPr>
                <w:noProof/>
                <w:sz w:val="12"/>
                <w:szCs w:val="12"/>
              </w:rPr>
              <w:t>EFRR</w:t>
            </w:r>
          </w:p>
        </w:tc>
        <w:tc>
          <w:tcPr>
            <w:tcW w:w="0" w:type="auto"/>
            <w:shd w:val="clear" w:color="auto" w:fill="auto"/>
          </w:tcPr>
          <w:p w14:paraId="426A2CEF" w14:textId="77777777" w:rsidR="008C5CFA" w:rsidRPr="009C3005" w:rsidRDefault="00E82A60" w:rsidP="00300A01">
            <w:pPr>
              <w:pStyle w:val="Text1"/>
              <w:spacing w:before="0" w:after="0"/>
              <w:ind w:left="0"/>
              <w:rPr>
                <w:sz w:val="12"/>
                <w:szCs w:val="12"/>
              </w:rPr>
            </w:pPr>
            <w:r>
              <w:rPr>
                <w:noProof/>
                <w:sz w:val="12"/>
                <w:szCs w:val="12"/>
              </w:rPr>
              <w:t>Słabiej rozwinięte</w:t>
            </w:r>
          </w:p>
        </w:tc>
        <w:tc>
          <w:tcPr>
            <w:tcW w:w="0" w:type="auto"/>
            <w:shd w:val="clear" w:color="auto" w:fill="auto"/>
          </w:tcPr>
          <w:p w14:paraId="7E4AA443" w14:textId="77777777" w:rsidR="008C5CFA" w:rsidRPr="009C3005" w:rsidRDefault="00E82A60" w:rsidP="00300A01">
            <w:pPr>
              <w:pStyle w:val="Text1"/>
              <w:spacing w:before="0" w:after="0"/>
              <w:ind w:left="0"/>
              <w:rPr>
                <w:sz w:val="12"/>
                <w:szCs w:val="12"/>
              </w:rPr>
            </w:pPr>
            <w:r>
              <w:rPr>
                <w:noProof/>
                <w:sz w:val="12"/>
                <w:szCs w:val="12"/>
              </w:rPr>
              <w:t>002</w:t>
            </w:r>
          </w:p>
        </w:tc>
        <w:tc>
          <w:tcPr>
            <w:tcW w:w="0" w:type="auto"/>
            <w:shd w:val="clear" w:color="auto" w:fill="auto"/>
          </w:tcPr>
          <w:p w14:paraId="108C9D92"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7D85ADFF"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0C71062D"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6706AD9C"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063F1B88" w14:textId="77777777" w:rsidR="008C5CFA" w:rsidRPr="009C3005" w:rsidRDefault="00E82A60" w:rsidP="00300A01">
            <w:pPr>
              <w:pStyle w:val="Text1"/>
              <w:spacing w:before="0" w:after="0"/>
              <w:ind w:left="0"/>
              <w:rPr>
                <w:sz w:val="12"/>
                <w:szCs w:val="12"/>
              </w:rPr>
            </w:pPr>
            <w:r>
              <w:rPr>
                <w:sz w:val="12"/>
                <w:szCs w:val="12"/>
              </w:rPr>
              <w:t xml:space="preserve"> </w:t>
            </w:r>
          </w:p>
        </w:tc>
        <w:tc>
          <w:tcPr>
            <w:tcW w:w="0" w:type="auto"/>
            <w:shd w:val="clear" w:color="auto" w:fill="auto"/>
          </w:tcPr>
          <w:p w14:paraId="3E0FEC6D"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03EDD809" w14:textId="77777777" w:rsidR="008C5CFA" w:rsidRPr="009C3005" w:rsidRDefault="00E82A60" w:rsidP="00300A01">
            <w:pPr>
              <w:pStyle w:val="Text1"/>
              <w:spacing w:before="0" w:after="0"/>
              <w:ind w:left="0"/>
              <w:rPr>
                <w:sz w:val="12"/>
                <w:szCs w:val="12"/>
              </w:rPr>
            </w:pPr>
            <w:r>
              <w:rPr>
                <w:noProof/>
                <w:sz w:val="12"/>
                <w:szCs w:val="12"/>
              </w:rPr>
              <w:t>PL33</w:t>
            </w:r>
          </w:p>
        </w:tc>
        <w:tc>
          <w:tcPr>
            <w:tcW w:w="0" w:type="auto"/>
            <w:shd w:val="clear" w:color="auto" w:fill="auto"/>
          </w:tcPr>
          <w:p w14:paraId="56857ADB" w14:textId="77777777" w:rsidR="008C5CFA" w:rsidRPr="009C3005" w:rsidRDefault="00E82A60" w:rsidP="00300A01">
            <w:pPr>
              <w:pStyle w:val="Text1"/>
              <w:spacing w:before="0" w:after="0"/>
              <w:ind w:left="0"/>
              <w:jc w:val="right"/>
              <w:rPr>
                <w:sz w:val="12"/>
                <w:szCs w:val="12"/>
              </w:rPr>
            </w:pPr>
            <w:r w:rsidRPr="009C3005">
              <w:rPr>
                <w:noProof/>
                <w:sz w:val="12"/>
                <w:szCs w:val="12"/>
              </w:rPr>
              <w:t>454 929,88</w:t>
            </w:r>
          </w:p>
        </w:tc>
        <w:tc>
          <w:tcPr>
            <w:tcW w:w="0" w:type="auto"/>
            <w:shd w:val="clear" w:color="auto" w:fill="auto"/>
          </w:tcPr>
          <w:p w14:paraId="59C6F621" w14:textId="77777777" w:rsidR="008C5CFA" w:rsidRPr="009C3005" w:rsidRDefault="00E82A60" w:rsidP="00300A01">
            <w:pPr>
              <w:pStyle w:val="Text1"/>
              <w:spacing w:before="0" w:after="0"/>
              <w:ind w:left="0"/>
              <w:jc w:val="right"/>
              <w:rPr>
                <w:sz w:val="12"/>
                <w:szCs w:val="12"/>
              </w:rPr>
            </w:pPr>
            <w:r w:rsidRPr="009C3005">
              <w:rPr>
                <w:noProof/>
                <w:sz w:val="12"/>
                <w:szCs w:val="12"/>
              </w:rPr>
              <w:t>254 768,95</w:t>
            </w:r>
          </w:p>
        </w:tc>
        <w:tc>
          <w:tcPr>
            <w:tcW w:w="0" w:type="auto"/>
            <w:shd w:val="clear" w:color="auto" w:fill="auto"/>
          </w:tcPr>
          <w:p w14:paraId="40DD3045" w14:textId="77777777" w:rsidR="008C5CFA" w:rsidRPr="009C3005" w:rsidRDefault="00E82A60" w:rsidP="00300A01">
            <w:pPr>
              <w:pStyle w:val="Text1"/>
              <w:spacing w:before="0" w:after="0"/>
              <w:ind w:left="0"/>
              <w:jc w:val="right"/>
              <w:rPr>
                <w:sz w:val="12"/>
                <w:szCs w:val="12"/>
              </w:rPr>
            </w:pPr>
            <w:r w:rsidRPr="009C3005">
              <w:rPr>
                <w:noProof/>
                <w:sz w:val="12"/>
                <w:szCs w:val="12"/>
              </w:rPr>
              <w:t>159 540,61</w:t>
            </w:r>
          </w:p>
        </w:tc>
        <w:tc>
          <w:tcPr>
            <w:tcW w:w="0" w:type="auto"/>
            <w:shd w:val="clear" w:color="auto" w:fill="auto"/>
          </w:tcPr>
          <w:p w14:paraId="0091B092" w14:textId="77777777" w:rsidR="008C5CFA" w:rsidRPr="009C3005" w:rsidRDefault="00E82A60" w:rsidP="00300A01">
            <w:pPr>
              <w:pStyle w:val="Text1"/>
              <w:spacing w:before="0" w:after="0"/>
              <w:ind w:left="0"/>
              <w:jc w:val="right"/>
              <w:rPr>
                <w:sz w:val="12"/>
                <w:szCs w:val="12"/>
              </w:rPr>
            </w:pPr>
            <w:r w:rsidRPr="009C3005">
              <w:rPr>
                <w:noProof/>
                <w:sz w:val="12"/>
                <w:szCs w:val="12"/>
              </w:rPr>
              <w:t>1</w:t>
            </w:r>
          </w:p>
        </w:tc>
      </w:tr>
      <w:tr w:rsidR="006B2EC1" w14:paraId="738EFE8F" w14:textId="77777777" w:rsidTr="0047688D">
        <w:tc>
          <w:tcPr>
            <w:tcW w:w="0" w:type="auto"/>
            <w:shd w:val="clear" w:color="auto" w:fill="auto"/>
          </w:tcPr>
          <w:p w14:paraId="688B9E2D" w14:textId="77777777" w:rsidR="008C5CFA" w:rsidRPr="009C3005" w:rsidRDefault="00E82A60" w:rsidP="00300A01">
            <w:pPr>
              <w:pStyle w:val="Text1"/>
              <w:spacing w:before="0" w:after="0"/>
              <w:ind w:left="0"/>
              <w:rPr>
                <w:sz w:val="12"/>
                <w:szCs w:val="12"/>
              </w:rPr>
            </w:pPr>
            <w:r>
              <w:rPr>
                <w:noProof/>
                <w:sz w:val="14"/>
                <w:szCs w:val="14"/>
                <w:lang w:val="fr-BE"/>
              </w:rPr>
              <w:t>1</w:t>
            </w:r>
          </w:p>
        </w:tc>
        <w:tc>
          <w:tcPr>
            <w:tcW w:w="0" w:type="auto"/>
            <w:shd w:val="clear" w:color="auto" w:fill="auto"/>
          </w:tcPr>
          <w:p w14:paraId="4F40260C" w14:textId="77777777" w:rsidR="008C5CFA" w:rsidRPr="009C3005" w:rsidRDefault="00E82A60" w:rsidP="00300A01">
            <w:pPr>
              <w:pStyle w:val="Text1"/>
              <w:spacing w:before="0" w:after="0"/>
              <w:ind w:left="0"/>
              <w:rPr>
                <w:sz w:val="12"/>
                <w:szCs w:val="12"/>
              </w:rPr>
            </w:pPr>
            <w:r>
              <w:rPr>
                <w:noProof/>
                <w:sz w:val="12"/>
                <w:szCs w:val="12"/>
              </w:rPr>
              <w:t>EFRR</w:t>
            </w:r>
          </w:p>
        </w:tc>
        <w:tc>
          <w:tcPr>
            <w:tcW w:w="0" w:type="auto"/>
            <w:shd w:val="clear" w:color="auto" w:fill="auto"/>
          </w:tcPr>
          <w:p w14:paraId="6B00844E" w14:textId="77777777" w:rsidR="008C5CFA" w:rsidRPr="009C3005" w:rsidRDefault="00E82A60" w:rsidP="00300A01">
            <w:pPr>
              <w:pStyle w:val="Text1"/>
              <w:spacing w:before="0" w:after="0"/>
              <w:ind w:left="0"/>
              <w:rPr>
                <w:sz w:val="12"/>
                <w:szCs w:val="12"/>
              </w:rPr>
            </w:pPr>
            <w:r>
              <w:rPr>
                <w:noProof/>
                <w:sz w:val="12"/>
                <w:szCs w:val="12"/>
              </w:rPr>
              <w:t>Słabiej rozwinięte</w:t>
            </w:r>
          </w:p>
        </w:tc>
        <w:tc>
          <w:tcPr>
            <w:tcW w:w="0" w:type="auto"/>
            <w:shd w:val="clear" w:color="auto" w:fill="auto"/>
          </w:tcPr>
          <w:p w14:paraId="0DE09E66" w14:textId="77777777" w:rsidR="008C5CFA" w:rsidRPr="009C3005" w:rsidRDefault="00E82A60" w:rsidP="00300A01">
            <w:pPr>
              <w:pStyle w:val="Text1"/>
              <w:spacing w:before="0" w:after="0"/>
              <w:ind w:left="0"/>
              <w:rPr>
                <w:sz w:val="12"/>
                <w:szCs w:val="12"/>
              </w:rPr>
            </w:pPr>
            <w:r>
              <w:rPr>
                <w:noProof/>
                <w:sz w:val="12"/>
                <w:szCs w:val="12"/>
              </w:rPr>
              <w:t>002</w:t>
            </w:r>
          </w:p>
        </w:tc>
        <w:tc>
          <w:tcPr>
            <w:tcW w:w="0" w:type="auto"/>
            <w:shd w:val="clear" w:color="auto" w:fill="auto"/>
          </w:tcPr>
          <w:p w14:paraId="7D295E7B"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371A9410"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11AEFB90"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00F57D50"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64D509CD" w14:textId="77777777" w:rsidR="008C5CFA" w:rsidRPr="009C3005" w:rsidRDefault="00E82A60" w:rsidP="00300A01">
            <w:pPr>
              <w:pStyle w:val="Text1"/>
              <w:spacing w:before="0" w:after="0"/>
              <w:ind w:left="0"/>
              <w:rPr>
                <w:sz w:val="12"/>
                <w:szCs w:val="12"/>
              </w:rPr>
            </w:pPr>
            <w:r>
              <w:rPr>
                <w:sz w:val="12"/>
                <w:szCs w:val="12"/>
              </w:rPr>
              <w:t xml:space="preserve"> </w:t>
            </w:r>
          </w:p>
        </w:tc>
        <w:tc>
          <w:tcPr>
            <w:tcW w:w="0" w:type="auto"/>
            <w:shd w:val="clear" w:color="auto" w:fill="auto"/>
          </w:tcPr>
          <w:p w14:paraId="5BE5EFF6" w14:textId="77777777" w:rsidR="008C5CFA" w:rsidRPr="009C3005" w:rsidRDefault="00E82A60" w:rsidP="00300A01">
            <w:pPr>
              <w:pStyle w:val="Text1"/>
              <w:spacing w:before="0" w:after="0"/>
              <w:ind w:left="0"/>
              <w:rPr>
                <w:sz w:val="12"/>
                <w:szCs w:val="12"/>
              </w:rPr>
            </w:pPr>
            <w:r>
              <w:rPr>
                <w:noProof/>
                <w:sz w:val="12"/>
                <w:szCs w:val="12"/>
              </w:rPr>
              <w:t>20</w:t>
            </w:r>
          </w:p>
        </w:tc>
        <w:tc>
          <w:tcPr>
            <w:tcW w:w="0" w:type="auto"/>
            <w:shd w:val="clear" w:color="auto" w:fill="auto"/>
          </w:tcPr>
          <w:p w14:paraId="1F33AAA7" w14:textId="77777777" w:rsidR="008C5CFA" w:rsidRPr="009C3005" w:rsidRDefault="00E82A60" w:rsidP="00300A01">
            <w:pPr>
              <w:pStyle w:val="Text1"/>
              <w:spacing w:before="0" w:after="0"/>
              <w:ind w:left="0"/>
              <w:rPr>
                <w:sz w:val="12"/>
                <w:szCs w:val="12"/>
              </w:rPr>
            </w:pPr>
            <w:r>
              <w:rPr>
                <w:noProof/>
                <w:sz w:val="12"/>
                <w:szCs w:val="12"/>
              </w:rPr>
              <w:t>PL33</w:t>
            </w:r>
          </w:p>
        </w:tc>
        <w:tc>
          <w:tcPr>
            <w:tcW w:w="0" w:type="auto"/>
            <w:shd w:val="clear" w:color="auto" w:fill="auto"/>
          </w:tcPr>
          <w:p w14:paraId="1C268CEE" w14:textId="77777777" w:rsidR="008C5CFA" w:rsidRPr="009C3005" w:rsidRDefault="00E82A60" w:rsidP="00300A01">
            <w:pPr>
              <w:pStyle w:val="Text1"/>
              <w:spacing w:before="0" w:after="0"/>
              <w:ind w:left="0"/>
              <w:jc w:val="right"/>
              <w:rPr>
                <w:sz w:val="12"/>
                <w:szCs w:val="12"/>
              </w:rPr>
            </w:pPr>
            <w:r w:rsidRPr="009C3005">
              <w:rPr>
                <w:noProof/>
                <w:sz w:val="12"/>
                <w:szCs w:val="12"/>
              </w:rPr>
              <w:t>823 320,88</w:t>
            </w:r>
          </w:p>
        </w:tc>
        <w:tc>
          <w:tcPr>
            <w:tcW w:w="0" w:type="auto"/>
            <w:shd w:val="clear" w:color="auto" w:fill="auto"/>
          </w:tcPr>
          <w:p w14:paraId="0DF94C26" w14:textId="77777777" w:rsidR="008C5CFA" w:rsidRPr="009C3005" w:rsidRDefault="00E82A60" w:rsidP="00300A01">
            <w:pPr>
              <w:pStyle w:val="Text1"/>
              <w:spacing w:before="0" w:after="0"/>
              <w:ind w:left="0"/>
              <w:jc w:val="right"/>
              <w:rPr>
                <w:sz w:val="12"/>
                <w:szCs w:val="12"/>
              </w:rPr>
            </w:pPr>
            <w:r w:rsidRPr="009C3005">
              <w:rPr>
                <w:noProof/>
                <w:sz w:val="12"/>
                <w:szCs w:val="12"/>
              </w:rPr>
              <w:t>516 063,62</w:t>
            </w:r>
          </w:p>
        </w:tc>
        <w:tc>
          <w:tcPr>
            <w:tcW w:w="0" w:type="auto"/>
            <w:shd w:val="clear" w:color="auto" w:fill="auto"/>
          </w:tcPr>
          <w:p w14:paraId="2FEAFE6F" w14:textId="77777777" w:rsidR="008C5CFA" w:rsidRPr="009C3005" w:rsidRDefault="00E82A60" w:rsidP="00300A01">
            <w:pPr>
              <w:pStyle w:val="Text1"/>
              <w:spacing w:before="0" w:after="0"/>
              <w:ind w:left="0"/>
              <w:jc w:val="right"/>
              <w:rPr>
                <w:sz w:val="12"/>
                <w:szCs w:val="12"/>
              </w:rPr>
            </w:pPr>
            <w:r w:rsidRPr="009C3005">
              <w:rPr>
                <w:noProof/>
                <w:sz w:val="12"/>
                <w:szCs w:val="12"/>
              </w:rPr>
              <w:t>655 866,19</w:t>
            </w:r>
          </w:p>
        </w:tc>
        <w:tc>
          <w:tcPr>
            <w:tcW w:w="0" w:type="auto"/>
            <w:shd w:val="clear" w:color="auto" w:fill="auto"/>
          </w:tcPr>
          <w:p w14:paraId="652FBDBE" w14:textId="77777777" w:rsidR="008C5CFA" w:rsidRPr="009C3005" w:rsidRDefault="00E82A60" w:rsidP="00300A01">
            <w:pPr>
              <w:pStyle w:val="Text1"/>
              <w:spacing w:before="0" w:after="0"/>
              <w:ind w:left="0"/>
              <w:jc w:val="right"/>
              <w:rPr>
                <w:sz w:val="12"/>
                <w:szCs w:val="12"/>
              </w:rPr>
            </w:pPr>
            <w:r w:rsidRPr="009C3005">
              <w:rPr>
                <w:noProof/>
                <w:sz w:val="12"/>
                <w:szCs w:val="12"/>
              </w:rPr>
              <w:t>1</w:t>
            </w:r>
          </w:p>
        </w:tc>
      </w:tr>
      <w:tr w:rsidR="006B2EC1" w14:paraId="6DA72511" w14:textId="77777777" w:rsidTr="0047688D">
        <w:tc>
          <w:tcPr>
            <w:tcW w:w="0" w:type="auto"/>
            <w:shd w:val="clear" w:color="auto" w:fill="auto"/>
          </w:tcPr>
          <w:p w14:paraId="4FC89A4D" w14:textId="77777777" w:rsidR="008C5CFA" w:rsidRPr="009C3005" w:rsidRDefault="00E82A60" w:rsidP="00300A01">
            <w:pPr>
              <w:pStyle w:val="Text1"/>
              <w:spacing w:before="0" w:after="0"/>
              <w:ind w:left="0"/>
              <w:rPr>
                <w:sz w:val="12"/>
                <w:szCs w:val="12"/>
              </w:rPr>
            </w:pPr>
            <w:r>
              <w:rPr>
                <w:noProof/>
                <w:sz w:val="14"/>
                <w:szCs w:val="14"/>
                <w:lang w:val="fr-BE"/>
              </w:rPr>
              <w:t>1</w:t>
            </w:r>
          </w:p>
        </w:tc>
        <w:tc>
          <w:tcPr>
            <w:tcW w:w="0" w:type="auto"/>
            <w:shd w:val="clear" w:color="auto" w:fill="auto"/>
          </w:tcPr>
          <w:p w14:paraId="5DD45A9B" w14:textId="77777777" w:rsidR="008C5CFA" w:rsidRPr="009C3005" w:rsidRDefault="00E82A60" w:rsidP="00300A01">
            <w:pPr>
              <w:pStyle w:val="Text1"/>
              <w:spacing w:before="0" w:after="0"/>
              <w:ind w:left="0"/>
              <w:rPr>
                <w:sz w:val="12"/>
                <w:szCs w:val="12"/>
              </w:rPr>
            </w:pPr>
            <w:r>
              <w:rPr>
                <w:noProof/>
                <w:sz w:val="12"/>
                <w:szCs w:val="12"/>
              </w:rPr>
              <w:t>EFRR</w:t>
            </w:r>
          </w:p>
        </w:tc>
        <w:tc>
          <w:tcPr>
            <w:tcW w:w="0" w:type="auto"/>
            <w:shd w:val="clear" w:color="auto" w:fill="auto"/>
          </w:tcPr>
          <w:p w14:paraId="36A4D5F5" w14:textId="77777777" w:rsidR="008C5CFA" w:rsidRPr="009C3005" w:rsidRDefault="00E82A60" w:rsidP="00300A01">
            <w:pPr>
              <w:pStyle w:val="Text1"/>
              <w:spacing w:before="0" w:after="0"/>
              <w:ind w:left="0"/>
              <w:rPr>
                <w:sz w:val="12"/>
                <w:szCs w:val="12"/>
              </w:rPr>
            </w:pPr>
            <w:r>
              <w:rPr>
                <w:noProof/>
                <w:sz w:val="12"/>
                <w:szCs w:val="12"/>
              </w:rPr>
              <w:t>Słabiej rozwinięte</w:t>
            </w:r>
          </w:p>
        </w:tc>
        <w:tc>
          <w:tcPr>
            <w:tcW w:w="0" w:type="auto"/>
            <w:shd w:val="clear" w:color="auto" w:fill="auto"/>
          </w:tcPr>
          <w:p w14:paraId="6CB0F630" w14:textId="77777777" w:rsidR="008C5CFA" w:rsidRPr="009C3005" w:rsidRDefault="00E82A60" w:rsidP="00300A01">
            <w:pPr>
              <w:pStyle w:val="Text1"/>
              <w:spacing w:before="0" w:after="0"/>
              <w:ind w:left="0"/>
              <w:rPr>
                <w:sz w:val="12"/>
                <w:szCs w:val="12"/>
              </w:rPr>
            </w:pPr>
            <w:r>
              <w:rPr>
                <w:noProof/>
                <w:sz w:val="12"/>
                <w:szCs w:val="12"/>
              </w:rPr>
              <w:t>002</w:t>
            </w:r>
          </w:p>
        </w:tc>
        <w:tc>
          <w:tcPr>
            <w:tcW w:w="0" w:type="auto"/>
            <w:shd w:val="clear" w:color="auto" w:fill="auto"/>
          </w:tcPr>
          <w:p w14:paraId="5BE175A3"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736AE520" w14:textId="77777777" w:rsidR="008C5CFA" w:rsidRPr="009C3005" w:rsidRDefault="00E82A60" w:rsidP="00300A01">
            <w:pPr>
              <w:pStyle w:val="Text1"/>
              <w:spacing w:before="0" w:after="0"/>
              <w:ind w:left="0"/>
              <w:rPr>
                <w:sz w:val="12"/>
                <w:szCs w:val="12"/>
              </w:rPr>
            </w:pPr>
            <w:r>
              <w:rPr>
                <w:noProof/>
                <w:sz w:val="12"/>
                <w:szCs w:val="12"/>
              </w:rPr>
              <w:t>02</w:t>
            </w:r>
          </w:p>
        </w:tc>
        <w:tc>
          <w:tcPr>
            <w:tcW w:w="0" w:type="auto"/>
            <w:shd w:val="clear" w:color="auto" w:fill="auto"/>
          </w:tcPr>
          <w:p w14:paraId="66E4E094"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75887397"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0EC7624B" w14:textId="77777777" w:rsidR="008C5CFA" w:rsidRPr="009C3005" w:rsidRDefault="00E82A60" w:rsidP="00300A01">
            <w:pPr>
              <w:pStyle w:val="Text1"/>
              <w:spacing w:before="0" w:after="0"/>
              <w:ind w:left="0"/>
              <w:rPr>
                <w:sz w:val="12"/>
                <w:szCs w:val="12"/>
              </w:rPr>
            </w:pPr>
            <w:r>
              <w:rPr>
                <w:sz w:val="12"/>
                <w:szCs w:val="12"/>
              </w:rPr>
              <w:t xml:space="preserve"> </w:t>
            </w:r>
          </w:p>
        </w:tc>
        <w:tc>
          <w:tcPr>
            <w:tcW w:w="0" w:type="auto"/>
            <w:shd w:val="clear" w:color="auto" w:fill="auto"/>
          </w:tcPr>
          <w:p w14:paraId="1212833B" w14:textId="77777777" w:rsidR="008C5CFA" w:rsidRPr="009C3005" w:rsidRDefault="00E82A60" w:rsidP="00300A01">
            <w:pPr>
              <w:pStyle w:val="Text1"/>
              <w:spacing w:before="0" w:after="0"/>
              <w:ind w:left="0"/>
              <w:rPr>
                <w:sz w:val="12"/>
                <w:szCs w:val="12"/>
              </w:rPr>
            </w:pPr>
            <w:r>
              <w:rPr>
                <w:noProof/>
                <w:sz w:val="12"/>
                <w:szCs w:val="12"/>
              </w:rPr>
              <w:t>20</w:t>
            </w:r>
          </w:p>
        </w:tc>
        <w:tc>
          <w:tcPr>
            <w:tcW w:w="0" w:type="auto"/>
            <w:shd w:val="clear" w:color="auto" w:fill="auto"/>
          </w:tcPr>
          <w:p w14:paraId="6B4139CF" w14:textId="77777777" w:rsidR="008C5CFA" w:rsidRPr="009C3005" w:rsidRDefault="00E82A60" w:rsidP="00300A01">
            <w:pPr>
              <w:pStyle w:val="Text1"/>
              <w:spacing w:before="0" w:after="0"/>
              <w:ind w:left="0"/>
              <w:rPr>
                <w:sz w:val="12"/>
                <w:szCs w:val="12"/>
              </w:rPr>
            </w:pPr>
            <w:r>
              <w:rPr>
                <w:noProof/>
                <w:sz w:val="12"/>
                <w:szCs w:val="12"/>
              </w:rPr>
              <w:t>PL33</w:t>
            </w:r>
          </w:p>
        </w:tc>
        <w:tc>
          <w:tcPr>
            <w:tcW w:w="0" w:type="auto"/>
            <w:shd w:val="clear" w:color="auto" w:fill="auto"/>
          </w:tcPr>
          <w:p w14:paraId="4053B010" w14:textId="77777777" w:rsidR="008C5CFA" w:rsidRPr="009C3005" w:rsidRDefault="00E82A60" w:rsidP="00300A01">
            <w:pPr>
              <w:pStyle w:val="Text1"/>
              <w:spacing w:before="0" w:after="0"/>
              <w:ind w:left="0"/>
              <w:jc w:val="right"/>
              <w:rPr>
                <w:sz w:val="12"/>
                <w:szCs w:val="12"/>
              </w:rPr>
            </w:pPr>
            <w:r w:rsidRPr="009C3005">
              <w:rPr>
                <w:noProof/>
                <w:sz w:val="12"/>
                <w:szCs w:val="12"/>
              </w:rPr>
              <w:t>966 644,36</w:t>
            </w:r>
          </w:p>
        </w:tc>
        <w:tc>
          <w:tcPr>
            <w:tcW w:w="0" w:type="auto"/>
            <w:shd w:val="clear" w:color="auto" w:fill="auto"/>
          </w:tcPr>
          <w:p w14:paraId="65962502" w14:textId="77777777" w:rsidR="008C5CFA" w:rsidRPr="009C3005" w:rsidRDefault="00E82A60" w:rsidP="00300A01">
            <w:pPr>
              <w:pStyle w:val="Text1"/>
              <w:spacing w:before="0" w:after="0"/>
              <w:ind w:left="0"/>
              <w:jc w:val="right"/>
              <w:rPr>
                <w:sz w:val="12"/>
                <w:szCs w:val="12"/>
              </w:rPr>
            </w:pPr>
            <w:r w:rsidRPr="009C3005">
              <w:rPr>
                <w:noProof/>
                <w:sz w:val="12"/>
                <w:szCs w:val="12"/>
              </w:rPr>
              <w:t>399 629,33</w:t>
            </w:r>
          </w:p>
        </w:tc>
        <w:tc>
          <w:tcPr>
            <w:tcW w:w="0" w:type="auto"/>
            <w:shd w:val="clear" w:color="auto" w:fill="auto"/>
          </w:tcPr>
          <w:p w14:paraId="4C16BDB4" w14:textId="77777777" w:rsidR="008C5CFA" w:rsidRPr="009C3005" w:rsidRDefault="00E82A60" w:rsidP="00300A01">
            <w:pPr>
              <w:pStyle w:val="Text1"/>
              <w:spacing w:before="0" w:after="0"/>
              <w:ind w:left="0"/>
              <w:jc w:val="right"/>
              <w:rPr>
                <w:sz w:val="12"/>
                <w:szCs w:val="12"/>
              </w:rPr>
            </w:pPr>
            <w:r w:rsidRPr="009C3005">
              <w:rPr>
                <w:noProof/>
                <w:sz w:val="12"/>
                <w:szCs w:val="12"/>
              </w:rPr>
              <w:t>0,00</w:t>
            </w:r>
          </w:p>
        </w:tc>
        <w:tc>
          <w:tcPr>
            <w:tcW w:w="0" w:type="auto"/>
            <w:shd w:val="clear" w:color="auto" w:fill="auto"/>
          </w:tcPr>
          <w:p w14:paraId="1F788586" w14:textId="77777777" w:rsidR="008C5CFA" w:rsidRPr="009C3005" w:rsidRDefault="00E82A60" w:rsidP="00300A01">
            <w:pPr>
              <w:pStyle w:val="Text1"/>
              <w:spacing w:before="0" w:after="0"/>
              <w:ind w:left="0"/>
              <w:jc w:val="right"/>
              <w:rPr>
                <w:sz w:val="12"/>
                <w:szCs w:val="12"/>
              </w:rPr>
            </w:pPr>
            <w:r w:rsidRPr="009C3005">
              <w:rPr>
                <w:noProof/>
                <w:sz w:val="12"/>
                <w:szCs w:val="12"/>
              </w:rPr>
              <w:t>1</w:t>
            </w:r>
          </w:p>
        </w:tc>
      </w:tr>
      <w:tr w:rsidR="006B2EC1" w14:paraId="19C407CB" w14:textId="77777777" w:rsidTr="0047688D">
        <w:tc>
          <w:tcPr>
            <w:tcW w:w="0" w:type="auto"/>
            <w:shd w:val="clear" w:color="auto" w:fill="auto"/>
          </w:tcPr>
          <w:p w14:paraId="4045F0A4" w14:textId="77777777" w:rsidR="008C5CFA" w:rsidRPr="009C3005" w:rsidRDefault="00E82A60" w:rsidP="00300A01">
            <w:pPr>
              <w:pStyle w:val="Text1"/>
              <w:spacing w:before="0" w:after="0"/>
              <w:ind w:left="0"/>
              <w:rPr>
                <w:sz w:val="12"/>
                <w:szCs w:val="12"/>
              </w:rPr>
            </w:pPr>
            <w:r>
              <w:rPr>
                <w:noProof/>
                <w:sz w:val="14"/>
                <w:szCs w:val="14"/>
                <w:lang w:val="fr-BE"/>
              </w:rPr>
              <w:t>1</w:t>
            </w:r>
          </w:p>
        </w:tc>
        <w:tc>
          <w:tcPr>
            <w:tcW w:w="0" w:type="auto"/>
            <w:shd w:val="clear" w:color="auto" w:fill="auto"/>
          </w:tcPr>
          <w:p w14:paraId="562D99F8" w14:textId="77777777" w:rsidR="008C5CFA" w:rsidRPr="009C3005" w:rsidRDefault="00E82A60" w:rsidP="00300A01">
            <w:pPr>
              <w:pStyle w:val="Text1"/>
              <w:spacing w:before="0" w:after="0"/>
              <w:ind w:left="0"/>
              <w:rPr>
                <w:sz w:val="12"/>
                <w:szCs w:val="12"/>
              </w:rPr>
            </w:pPr>
            <w:r>
              <w:rPr>
                <w:noProof/>
                <w:sz w:val="12"/>
                <w:szCs w:val="12"/>
              </w:rPr>
              <w:t>EFRR</w:t>
            </w:r>
          </w:p>
        </w:tc>
        <w:tc>
          <w:tcPr>
            <w:tcW w:w="0" w:type="auto"/>
            <w:shd w:val="clear" w:color="auto" w:fill="auto"/>
          </w:tcPr>
          <w:p w14:paraId="2E78A97E" w14:textId="77777777" w:rsidR="008C5CFA" w:rsidRPr="009C3005" w:rsidRDefault="00E82A60" w:rsidP="00300A01">
            <w:pPr>
              <w:pStyle w:val="Text1"/>
              <w:spacing w:before="0" w:after="0"/>
              <w:ind w:left="0"/>
              <w:rPr>
                <w:sz w:val="12"/>
                <w:szCs w:val="12"/>
              </w:rPr>
            </w:pPr>
            <w:r>
              <w:rPr>
                <w:noProof/>
                <w:sz w:val="12"/>
                <w:szCs w:val="12"/>
              </w:rPr>
              <w:t>Słabiej rozwinięte</w:t>
            </w:r>
          </w:p>
        </w:tc>
        <w:tc>
          <w:tcPr>
            <w:tcW w:w="0" w:type="auto"/>
            <w:shd w:val="clear" w:color="auto" w:fill="auto"/>
          </w:tcPr>
          <w:p w14:paraId="660B1DEA" w14:textId="77777777" w:rsidR="008C5CFA" w:rsidRPr="009C3005" w:rsidRDefault="00E82A60" w:rsidP="00300A01">
            <w:pPr>
              <w:pStyle w:val="Text1"/>
              <w:spacing w:before="0" w:after="0"/>
              <w:ind w:left="0"/>
              <w:rPr>
                <w:sz w:val="12"/>
                <w:szCs w:val="12"/>
              </w:rPr>
            </w:pPr>
            <w:r>
              <w:rPr>
                <w:noProof/>
                <w:sz w:val="12"/>
                <w:szCs w:val="12"/>
              </w:rPr>
              <w:t>002</w:t>
            </w:r>
          </w:p>
        </w:tc>
        <w:tc>
          <w:tcPr>
            <w:tcW w:w="0" w:type="auto"/>
            <w:shd w:val="clear" w:color="auto" w:fill="auto"/>
          </w:tcPr>
          <w:p w14:paraId="53877D5D"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0FE12D15" w14:textId="77777777" w:rsidR="008C5CFA" w:rsidRPr="009C3005" w:rsidRDefault="00E82A60" w:rsidP="00300A01">
            <w:pPr>
              <w:pStyle w:val="Text1"/>
              <w:spacing w:before="0" w:after="0"/>
              <w:ind w:left="0"/>
              <w:rPr>
                <w:sz w:val="12"/>
                <w:szCs w:val="12"/>
              </w:rPr>
            </w:pPr>
            <w:r>
              <w:rPr>
                <w:noProof/>
                <w:sz w:val="12"/>
                <w:szCs w:val="12"/>
              </w:rPr>
              <w:t>03</w:t>
            </w:r>
          </w:p>
        </w:tc>
        <w:tc>
          <w:tcPr>
            <w:tcW w:w="0" w:type="auto"/>
            <w:shd w:val="clear" w:color="auto" w:fill="auto"/>
          </w:tcPr>
          <w:p w14:paraId="4C8B3F5E"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150AD098"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5AF109B8" w14:textId="77777777" w:rsidR="008C5CFA" w:rsidRPr="009C3005" w:rsidRDefault="00E82A60" w:rsidP="00300A01">
            <w:pPr>
              <w:pStyle w:val="Text1"/>
              <w:spacing w:before="0" w:after="0"/>
              <w:ind w:left="0"/>
              <w:rPr>
                <w:sz w:val="12"/>
                <w:szCs w:val="12"/>
              </w:rPr>
            </w:pPr>
            <w:r>
              <w:rPr>
                <w:sz w:val="12"/>
                <w:szCs w:val="12"/>
              </w:rPr>
              <w:t xml:space="preserve"> </w:t>
            </w:r>
          </w:p>
        </w:tc>
        <w:tc>
          <w:tcPr>
            <w:tcW w:w="0" w:type="auto"/>
            <w:shd w:val="clear" w:color="auto" w:fill="auto"/>
          </w:tcPr>
          <w:p w14:paraId="6C0EC204"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0D35FC0E" w14:textId="77777777" w:rsidR="008C5CFA" w:rsidRPr="009C3005" w:rsidRDefault="00E82A60" w:rsidP="00300A01">
            <w:pPr>
              <w:pStyle w:val="Text1"/>
              <w:spacing w:before="0" w:after="0"/>
              <w:ind w:left="0"/>
              <w:rPr>
                <w:sz w:val="12"/>
                <w:szCs w:val="12"/>
              </w:rPr>
            </w:pPr>
            <w:r>
              <w:rPr>
                <w:noProof/>
                <w:sz w:val="12"/>
                <w:szCs w:val="12"/>
              </w:rPr>
              <w:t>PL33</w:t>
            </w:r>
          </w:p>
        </w:tc>
        <w:tc>
          <w:tcPr>
            <w:tcW w:w="0" w:type="auto"/>
            <w:shd w:val="clear" w:color="auto" w:fill="auto"/>
          </w:tcPr>
          <w:p w14:paraId="6B136E70" w14:textId="77777777" w:rsidR="008C5CFA" w:rsidRPr="009C3005" w:rsidRDefault="00E82A60" w:rsidP="00300A01">
            <w:pPr>
              <w:pStyle w:val="Text1"/>
              <w:spacing w:before="0" w:after="0"/>
              <w:ind w:left="0"/>
              <w:jc w:val="right"/>
              <w:rPr>
                <w:sz w:val="12"/>
                <w:szCs w:val="12"/>
              </w:rPr>
            </w:pPr>
            <w:r w:rsidRPr="009C3005">
              <w:rPr>
                <w:noProof/>
                <w:sz w:val="12"/>
                <w:szCs w:val="12"/>
              </w:rPr>
              <w:t>386 277,58</w:t>
            </w:r>
          </w:p>
        </w:tc>
        <w:tc>
          <w:tcPr>
            <w:tcW w:w="0" w:type="auto"/>
            <w:shd w:val="clear" w:color="auto" w:fill="auto"/>
          </w:tcPr>
          <w:p w14:paraId="6380B838" w14:textId="77777777" w:rsidR="008C5CFA" w:rsidRPr="009C3005" w:rsidRDefault="00E82A60" w:rsidP="00300A01">
            <w:pPr>
              <w:pStyle w:val="Text1"/>
              <w:spacing w:before="0" w:after="0"/>
              <w:ind w:left="0"/>
              <w:jc w:val="right"/>
              <w:rPr>
                <w:sz w:val="12"/>
                <w:szCs w:val="12"/>
              </w:rPr>
            </w:pPr>
            <w:r w:rsidRPr="009C3005">
              <w:rPr>
                <w:noProof/>
                <w:sz w:val="12"/>
                <w:szCs w:val="12"/>
              </w:rPr>
              <w:t>162 501,77</w:t>
            </w:r>
          </w:p>
        </w:tc>
        <w:tc>
          <w:tcPr>
            <w:tcW w:w="0" w:type="auto"/>
            <w:shd w:val="clear" w:color="auto" w:fill="auto"/>
          </w:tcPr>
          <w:p w14:paraId="5C282E29" w14:textId="77777777" w:rsidR="008C5CFA" w:rsidRPr="009C3005" w:rsidRDefault="00E82A60" w:rsidP="00300A01">
            <w:pPr>
              <w:pStyle w:val="Text1"/>
              <w:spacing w:before="0" w:after="0"/>
              <w:ind w:left="0"/>
              <w:jc w:val="right"/>
              <w:rPr>
                <w:sz w:val="12"/>
                <w:szCs w:val="12"/>
              </w:rPr>
            </w:pPr>
            <w:r w:rsidRPr="009C3005">
              <w:rPr>
                <w:noProof/>
                <w:sz w:val="12"/>
                <w:szCs w:val="12"/>
              </w:rPr>
              <w:t>46 578,68</w:t>
            </w:r>
          </w:p>
        </w:tc>
        <w:tc>
          <w:tcPr>
            <w:tcW w:w="0" w:type="auto"/>
            <w:shd w:val="clear" w:color="auto" w:fill="auto"/>
          </w:tcPr>
          <w:p w14:paraId="0C7FB15E" w14:textId="77777777" w:rsidR="008C5CFA" w:rsidRPr="009C3005" w:rsidRDefault="00E82A60" w:rsidP="00300A01">
            <w:pPr>
              <w:pStyle w:val="Text1"/>
              <w:spacing w:before="0" w:after="0"/>
              <w:ind w:left="0"/>
              <w:jc w:val="right"/>
              <w:rPr>
                <w:sz w:val="12"/>
                <w:szCs w:val="12"/>
              </w:rPr>
            </w:pPr>
            <w:r w:rsidRPr="009C3005">
              <w:rPr>
                <w:noProof/>
                <w:sz w:val="12"/>
                <w:szCs w:val="12"/>
              </w:rPr>
              <w:t>1</w:t>
            </w:r>
          </w:p>
        </w:tc>
      </w:tr>
      <w:tr w:rsidR="006B2EC1" w14:paraId="218AB2C8" w14:textId="77777777" w:rsidTr="0047688D">
        <w:tc>
          <w:tcPr>
            <w:tcW w:w="0" w:type="auto"/>
            <w:shd w:val="clear" w:color="auto" w:fill="auto"/>
          </w:tcPr>
          <w:p w14:paraId="106BA368" w14:textId="77777777" w:rsidR="008C5CFA" w:rsidRPr="009C3005" w:rsidRDefault="00E82A60" w:rsidP="00300A01">
            <w:pPr>
              <w:pStyle w:val="Text1"/>
              <w:spacing w:before="0" w:after="0"/>
              <w:ind w:left="0"/>
              <w:rPr>
                <w:sz w:val="12"/>
                <w:szCs w:val="12"/>
              </w:rPr>
            </w:pPr>
            <w:r>
              <w:rPr>
                <w:noProof/>
                <w:sz w:val="14"/>
                <w:szCs w:val="14"/>
                <w:lang w:val="fr-BE"/>
              </w:rPr>
              <w:t>1</w:t>
            </w:r>
          </w:p>
        </w:tc>
        <w:tc>
          <w:tcPr>
            <w:tcW w:w="0" w:type="auto"/>
            <w:shd w:val="clear" w:color="auto" w:fill="auto"/>
          </w:tcPr>
          <w:p w14:paraId="0C688A27" w14:textId="77777777" w:rsidR="008C5CFA" w:rsidRPr="009C3005" w:rsidRDefault="00E82A60" w:rsidP="00300A01">
            <w:pPr>
              <w:pStyle w:val="Text1"/>
              <w:spacing w:before="0" w:after="0"/>
              <w:ind w:left="0"/>
              <w:rPr>
                <w:sz w:val="12"/>
                <w:szCs w:val="12"/>
              </w:rPr>
            </w:pPr>
            <w:r>
              <w:rPr>
                <w:noProof/>
                <w:sz w:val="12"/>
                <w:szCs w:val="12"/>
              </w:rPr>
              <w:t>EFRR</w:t>
            </w:r>
          </w:p>
        </w:tc>
        <w:tc>
          <w:tcPr>
            <w:tcW w:w="0" w:type="auto"/>
            <w:shd w:val="clear" w:color="auto" w:fill="auto"/>
          </w:tcPr>
          <w:p w14:paraId="2188A494" w14:textId="77777777" w:rsidR="008C5CFA" w:rsidRPr="009C3005" w:rsidRDefault="00E82A60" w:rsidP="00300A01">
            <w:pPr>
              <w:pStyle w:val="Text1"/>
              <w:spacing w:before="0" w:after="0"/>
              <w:ind w:left="0"/>
              <w:rPr>
                <w:sz w:val="12"/>
                <w:szCs w:val="12"/>
              </w:rPr>
            </w:pPr>
            <w:r>
              <w:rPr>
                <w:noProof/>
                <w:sz w:val="12"/>
                <w:szCs w:val="12"/>
              </w:rPr>
              <w:t>Słabiej rozwinięte</w:t>
            </w:r>
          </w:p>
        </w:tc>
        <w:tc>
          <w:tcPr>
            <w:tcW w:w="0" w:type="auto"/>
            <w:shd w:val="clear" w:color="auto" w:fill="auto"/>
          </w:tcPr>
          <w:p w14:paraId="121E9444" w14:textId="77777777" w:rsidR="008C5CFA" w:rsidRPr="009C3005" w:rsidRDefault="00E82A60" w:rsidP="00300A01">
            <w:pPr>
              <w:pStyle w:val="Text1"/>
              <w:spacing w:before="0" w:after="0"/>
              <w:ind w:left="0"/>
              <w:rPr>
                <w:sz w:val="12"/>
                <w:szCs w:val="12"/>
              </w:rPr>
            </w:pPr>
            <w:r>
              <w:rPr>
                <w:noProof/>
                <w:sz w:val="12"/>
                <w:szCs w:val="12"/>
              </w:rPr>
              <w:t>056</w:t>
            </w:r>
          </w:p>
        </w:tc>
        <w:tc>
          <w:tcPr>
            <w:tcW w:w="0" w:type="auto"/>
            <w:shd w:val="clear" w:color="auto" w:fill="auto"/>
          </w:tcPr>
          <w:p w14:paraId="3A2AA7A8"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116E9F4B"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5BE1A9C1"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7B3A4313"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052C3AAC" w14:textId="77777777" w:rsidR="008C5CFA" w:rsidRPr="009C3005" w:rsidRDefault="00E82A60" w:rsidP="00300A01">
            <w:pPr>
              <w:pStyle w:val="Text1"/>
              <w:spacing w:before="0" w:after="0"/>
              <w:ind w:left="0"/>
              <w:rPr>
                <w:sz w:val="12"/>
                <w:szCs w:val="12"/>
              </w:rPr>
            </w:pPr>
            <w:r>
              <w:rPr>
                <w:sz w:val="12"/>
                <w:szCs w:val="12"/>
              </w:rPr>
              <w:t xml:space="preserve"> </w:t>
            </w:r>
          </w:p>
        </w:tc>
        <w:tc>
          <w:tcPr>
            <w:tcW w:w="0" w:type="auto"/>
            <w:shd w:val="clear" w:color="auto" w:fill="auto"/>
          </w:tcPr>
          <w:p w14:paraId="0CD39B40" w14:textId="77777777" w:rsidR="008C5CFA" w:rsidRPr="009C3005" w:rsidRDefault="00E82A60" w:rsidP="00300A01">
            <w:pPr>
              <w:pStyle w:val="Text1"/>
              <w:spacing w:before="0" w:after="0"/>
              <w:ind w:left="0"/>
              <w:rPr>
                <w:sz w:val="12"/>
                <w:szCs w:val="12"/>
              </w:rPr>
            </w:pPr>
            <w:r>
              <w:rPr>
                <w:noProof/>
                <w:sz w:val="12"/>
                <w:szCs w:val="12"/>
              </w:rPr>
              <w:t>05</w:t>
            </w:r>
          </w:p>
        </w:tc>
        <w:tc>
          <w:tcPr>
            <w:tcW w:w="0" w:type="auto"/>
            <w:shd w:val="clear" w:color="auto" w:fill="auto"/>
          </w:tcPr>
          <w:p w14:paraId="2CF793A8" w14:textId="77777777" w:rsidR="008C5CFA" w:rsidRPr="009C3005" w:rsidRDefault="00E82A60" w:rsidP="00300A01">
            <w:pPr>
              <w:pStyle w:val="Text1"/>
              <w:spacing w:before="0" w:after="0"/>
              <w:ind w:left="0"/>
              <w:rPr>
                <w:sz w:val="12"/>
                <w:szCs w:val="12"/>
              </w:rPr>
            </w:pPr>
            <w:r>
              <w:rPr>
                <w:noProof/>
                <w:sz w:val="12"/>
                <w:szCs w:val="12"/>
              </w:rPr>
              <w:t>PL33</w:t>
            </w:r>
          </w:p>
        </w:tc>
        <w:tc>
          <w:tcPr>
            <w:tcW w:w="0" w:type="auto"/>
            <w:shd w:val="clear" w:color="auto" w:fill="auto"/>
          </w:tcPr>
          <w:p w14:paraId="30E870B8" w14:textId="77777777" w:rsidR="008C5CFA" w:rsidRPr="009C3005" w:rsidRDefault="00E82A60" w:rsidP="00300A01">
            <w:pPr>
              <w:pStyle w:val="Text1"/>
              <w:spacing w:before="0" w:after="0"/>
              <w:ind w:left="0"/>
              <w:jc w:val="right"/>
              <w:rPr>
                <w:sz w:val="12"/>
                <w:szCs w:val="12"/>
              </w:rPr>
            </w:pPr>
            <w:r w:rsidRPr="009C3005">
              <w:rPr>
                <w:noProof/>
                <w:sz w:val="12"/>
                <w:szCs w:val="12"/>
              </w:rPr>
              <w:t>845 725,56</w:t>
            </w:r>
          </w:p>
        </w:tc>
        <w:tc>
          <w:tcPr>
            <w:tcW w:w="0" w:type="auto"/>
            <w:shd w:val="clear" w:color="auto" w:fill="auto"/>
          </w:tcPr>
          <w:p w14:paraId="603910C4" w14:textId="77777777" w:rsidR="008C5CFA" w:rsidRPr="009C3005" w:rsidRDefault="00E82A60" w:rsidP="00300A01">
            <w:pPr>
              <w:pStyle w:val="Text1"/>
              <w:spacing w:before="0" w:after="0"/>
              <w:ind w:left="0"/>
              <w:jc w:val="right"/>
              <w:rPr>
                <w:sz w:val="12"/>
                <w:szCs w:val="12"/>
              </w:rPr>
            </w:pPr>
            <w:r w:rsidRPr="009C3005">
              <w:rPr>
                <w:noProof/>
                <w:sz w:val="12"/>
                <w:szCs w:val="12"/>
              </w:rPr>
              <w:t>465 149,06</w:t>
            </w:r>
          </w:p>
        </w:tc>
        <w:tc>
          <w:tcPr>
            <w:tcW w:w="0" w:type="auto"/>
            <w:shd w:val="clear" w:color="auto" w:fill="auto"/>
          </w:tcPr>
          <w:p w14:paraId="08452BD0" w14:textId="77777777" w:rsidR="008C5CFA" w:rsidRPr="009C3005" w:rsidRDefault="00E82A60" w:rsidP="00300A01">
            <w:pPr>
              <w:pStyle w:val="Text1"/>
              <w:spacing w:before="0" w:after="0"/>
              <w:ind w:left="0"/>
              <w:jc w:val="right"/>
              <w:rPr>
                <w:sz w:val="12"/>
                <w:szCs w:val="12"/>
              </w:rPr>
            </w:pPr>
            <w:r w:rsidRPr="009C3005">
              <w:rPr>
                <w:noProof/>
                <w:sz w:val="12"/>
                <w:szCs w:val="12"/>
              </w:rPr>
              <w:t>0,00</w:t>
            </w:r>
          </w:p>
        </w:tc>
        <w:tc>
          <w:tcPr>
            <w:tcW w:w="0" w:type="auto"/>
            <w:shd w:val="clear" w:color="auto" w:fill="auto"/>
          </w:tcPr>
          <w:p w14:paraId="60AE80A9" w14:textId="77777777" w:rsidR="008C5CFA" w:rsidRPr="009C3005" w:rsidRDefault="00E82A60" w:rsidP="00300A01">
            <w:pPr>
              <w:pStyle w:val="Text1"/>
              <w:spacing w:before="0" w:after="0"/>
              <w:ind w:left="0"/>
              <w:jc w:val="right"/>
              <w:rPr>
                <w:sz w:val="12"/>
                <w:szCs w:val="12"/>
              </w:rPr>
            </w:pPr>
            <w:r w:rsidRPr="009C3005">
              <w:rPr>
                <w:noProof/>
                <w:sz w:val="12"/>
                <w:szCs w:val="12"/>
              </w:rPr>
              <w:t>1</w:t>
            </w:r>
          </w:p>
        </w:tc>
      </w:tr>
      <w:tr w:rsidR="006B2EC1" w14:paraId="2C789BDC" w14:textId="77777777" w:rsidTr="0047688D">
        <w:tc>
          <w:tcPr>
            <w:tcW w:w="0" w:type="auto"/>
            <w:shd w:val="clear" w:color="auto" w:fill="auto"/>
          </w:tcPr>
          <w:p w14:paraId="60F95EE6" w14:textId="77777777" w:rsidR="008C5CFA" w:rsidRPr="009C3005" w:rsidRDefault="00E82A60" w:rsidP="00300A01">
            <w:pPr>
              <w:pStyle w:val="Text1"/>
              <w:spacing w:before="0" w:after="0"/>
              <w:ind w:left="0"/>
              <w:rPr>
                <w:sz w:val="12"/>
                <w:szCs w:val="12"/>
              </w:rPr>
            </w:pPr>
            <w:r>
              <w:rPr>
                <w:noProof/>
                <w:sz w:val="14"/>
                <w:szCs w:val="14"/>
                <w:lang w:val="fr-BE"/>
              </w:rPr>
              <w:t>1</w:t>
            </w:r>
          </w:p>
        </w:tc>
        <w:tc>
          <w:tcPr>
            <w:tcW w:w="0" w:type="auto"/>
            <w:shd w:val="clear" w:color="auto" w:fill="auto"/>
          </w:tcPr>
          <w:p w14:paraId="59BA78E4" w14:textId="77777777" w:rsidR="008C5CFA" w:rsidRPr="009C3005" w:rsidRDefault="00E82A60" w:rsidP="00300A01">
            <w:pPr>
              <w:pStyle w:val="Text1"/>
              <w:spacing w:before="0" w:after="0"/>
              <w:ind w:left="0"/>
              <w:rPr>
                <w:sz w:val="12"/>
                <w:szCs w:val="12"/>
              </w:rPr>
            </w:pPr>
            <w:r>
              <w:rPr>
                <w:noProof/>
                <w:sz w:val="12"/>
                <w:szCs w:val="12"/>
              </w:rPr>
              <w:t>EFRR</w:t>
            </w:r>
          </w:p>
        </w:tc>
        <w:tc>
          <w:tcPr>
            <w:tcW w:w="0" w:type="auto"/>
            <w:shd w:val="clear" w:color="auto" w:fill="auto"/>
          </w:tcPr>
          <w:p w14:paraId="61BCACC6" w14:textId="77777777" w:rsidR="008C5CFA" w:rsidRPr="009C3005" w:rsidRDefault="00E82A60" w:rsidP="00300A01">
            <w:pPr>
              <w:pStyle w:val="Text1"/>
              <w:spacing w:before="0" w:after="0"/>
              <w:ind w:left="0"/>
              <w:rPr>
                <w:sz w:val="12"/>
                <w:szCs w:val="12"/>
              </w:rPr>
            </w:pPr>
            <w:r>
              <w:rPr>
                <w:noProof/>
                <w:sz w:val="12"/>
                <w:szCs w:val="12"/>
              </w:rPr>
              <w:t>Słabiej rozwinięte</w:t>
            </w:r>
          </w:p>
        </w:tc>
        <w:tc>
          <w:tcPr>
            <w:tcW w:w="0" w:type="auto"/>
            <w:shd w:val="clear" w:color="auto" w:fill="auto"/>
          </w:tcPr>
          <w:p w14:paraId="1E3D21FE" w14:textId="77777777" w:rsidR="008C5CFA" w:rsidRPr="009C3005" w:rsidRDefault="00E82A60" w:rsidP="00300A01">
            <w:pPr>
              <w:pStyle w:val="Text1"/>
              <w:spacing w:before="0" w:after="0"/>
              <w:ind w:left="0"/>
              <w:rPr>
                <w:sz w:val="12"/>
                <w:szCs w:val="12"/>
              </w:rPr>
            </w:pPr>
            <w:r>
              <w:rPr>
                <w:noProof/>
                <w:sz w:val="12"/>
                <w:szCs w:val="12"/>
              </w:rPr>
              <w:t>056</w:t>
            </w:r>
          </w:p>
        </w:tc>
        <w:tc>
          <w:tcPr>
            <w:tcW w:w="0" w:type="auto"/>
            <w:shd w:val="clear" w:color="auto" w:fill="auto"/>
          </w:tcPr>
          <w:p w14:paraId="2A4DBCA1"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034A3E8A"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524DE3A3"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1122C434"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7DCDBD27" w14:textId="77777777" w:rsidR="008C5CFA" w:rsidRPr="009C3005" w:rsidRDefault="00E82A60" w:rsidP="00300A01">
            <w:pPr>
              <w:pStyle w:val="Text1"/>
              <w:spacing w:before="0" w:after="0"/>
              <w:ind w:left="0"/>
              <w:rPr>
                <w:sz w:val="12"/>
                <w:szCs w:val="12"/>
              </w:rPr>
            </w:pPr>
            <w:r>
              <w:rPr>
                <w:sz w:val="12"/>
                <w:szCs w:val="12"/>
              </w:rPr>
              <w:t xml:space="preserve"> </w:t>
            </w:r>
          </w:p>
        </w:tc>
        <w:tc>
          <w:tcPr>
            <w:tcW w:w="0" w:type="auto"/>
            <w:shd w:val="clear" w:color="auto" w:fill="auto"/>
          </w:tcPr>
          <w:p w14:paraId="58DE7F32"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6AC28F15" w14:textId="77777777" w:rsidR="008C5CFA" w:rsidRPr="009C3005" w:rsidRDefault="00E82A60" w:rsidP="00300A01">
            <w:pPr>
              <w:pStyle w:val="Text1"/>
              <w:spacing w:before="0" w:after="0"/>
              <w:ind w:left="0"/>
              <w:rPr>
                <w:sz w:val="12"/>
                <w:szCs w:val="12"/>
              </w:rPr>
            </w:pPr>
            <w:r>
              <w:rPr>
                <w:noProof/>
                <w:sz w:val="12"/>
                <w:szCs w:val="12"/>
              </w:rPr>
              <w:t>PL33</w:t>
            </w:r>
          </w:p>
        </w:tc>
        <w:tc>
          <w:tcPr>
            <w:tcW w:w="0" w:type="auto"/>
            <w:shd w:val="clear" w:color="auto" w:fill="auto"/>
          </w:tcPr>
          <w:p w14:paraId="44F80460" w14:textId="77777777" w:rsidR="008C5CFA" w:rsidRPr="009C3005" w:rsidRDefault="00E82A60" w:rsidP="00300A01">
            <w:pPr>
              <w:pStyle w:val="Text1"/>
              <w:spacing w:before="0" w:after="0"/>
              <w:ind w:left="0"/>
              <w:jc w:val="right"/>
              <w:rPr>
                <w:sz w:val="12"/>
                <w:szCs w:val="12"/>
              </w:rPr>
            </w:pPr>
            <w:r w:rsidRPr="009C3005">
              <w:rPr>
                <w:noProof/>
                <w:sz w:val="12"/>
                <w:szCs w:val="12"/>
              </w:rPr>
              <w:t>232 021,14</w:t>
            </w:r>
          </w:p>
        </w:tc>
        <w:tc>
          <w:tcPr>
            <w:tcW w:w="0" w:type="auto"/>
            <w:shd w:val="clear" w:color="auto" w:fill="auto"/>
          </w:tcPr>
          <w:p w14:paraId="79CCB85A" w14:textId="77777777" w:rsidR="008C5CFA" w:rsidRPr="009C3005" w:rsidRDefault="00E82A60" w:rsidP="00300A01">
            <w:pPr>
              <w:pStyle w:val="Text1"/>
              <w:spacing w:before="0" w:after="0"/>
              <w:ind w:left="0"/>
              <w:jc w:val="right"/>
              <w:rPr>
                <w:sz w:val="12"/>
                <w:szCs w:val="12"/>
              </w:rPr>
            </w:pPr>
            <w:r w:rsidRPr="009C3005">
              <w:rPr>
                <w:noProof/>
                <w:sz w:val="12"/>
                <w:szCs w:val="12"/>
              </w:rPr>
              <w:t>104 409,51</w:t>
            </w:r>
          </w:p>
        </w:tc>
        <w:tc>
          <w:tcPr>
            <w:tcW w:w="0" w:type="auto"/>
            <w:shd w:val="clear" w:color="auto" w:fill="auto"/>
          </w:tcPr>
          <w:p w14:paraId="3DC960F6" w14:textId="77777777" w:rsidR="008C5CFA" w:rsidRPr="009C3005" w:rsidRDefault="00E82A60" w:rsidP="00300A01">
            <w:pPr>
              <w:pStyle w:val="Text1"/>
              <w:spacing w:before="0" w:after="0"/>
              <w:ind w:left="0"/>
              <w:jc w:val="right"/>
              <w:rPr>
                <w:sz w:val="12"/>
                <w:szCs w:val="12"/>
              </w:rPr>
            </w:pPr>
            <w:r w:rsidRPr="009C3005">
              <w:rPr>
                <w:noProof/>
                <w:sz w:val="12"/>
                <w:szCs w:val="12"/>
              </w:rPr>
              <w:t>0,00</w:t>
            </w:r>
          </w:p>
        </w:tc>
        <w:tc>
          <w:tcPr>
            <w:tcW w:w="0" w:type="auto"/>
            <w:shd w:val="clear" w:color="auto" w:fill="auto"/>
          </w:tcPr>
          <w:p w14:paraId="71999867" w14:textId="77777777" w:rsidR="008C5CFA" w:rsidRPr="009C3005" w:rsidRDefault="00E82A60" w:rsidP="00300A01">
            <w:pPr>
              <w:pStyle w:val="Text1"/>
              <w:spacing w:before="0" w:after="0"/>
              <w:ind w:left="0"/>
              <w:jc w:val="right"/>
              <w:rPr>
                <w:sz w:val="12"/>
                <w:szCs w:val="12"/>
              </w:rPr>
            </w:pPr>
            <w:r w:rsidRPr="009C3005">
              <w:rPr>
                <w:noProof/>
                <w:sz w:val="12"/>
                <w:szCs w:val="12"/>
              </w:rPr>
              <w:t>1</w:t>
            </w:r>
          </w:p>
        </w:tc>
      </w:tr>
      <w:tr w:rsidR="006B2EC1" w14:paraId="4FE8C06D" w14:textId="77777777" w:rsidTr="0047688D">
        <w:tc>
          <w:tcPr>
            <w:tcW w:w="0" w:type="auto"/>
            <w:shd w:val="clear" w:color="auto" w:fill="auto"/>
          </w:tcPr>
          <w:p w14:paraId="2A0004E4" w14:textId="77777777" w:rsidR="008C5CFA" w:rsidRPr="009C3005" w:rsidRDefault="00E82A60" w:rsidP="00300A01">
            <w:pPr>
              <w:pStyle w:val="Text1"/>
              <w:spacing w:before="0" w:after="0"/>
              <w:ind w:left="0"/>
              <w:rPr>
                <w:sz w:val="12"/>
                <w:szCs w:val="12"/>
              </w:rPr>
            </w:pPr>
            <w:r>
              <w:rPr>
                <w:noProof/>
                <w:sz w:val="14"/>
                <w:szCs w:val="14"/>
                <w:lang w:val="fr-BE"/>
              </w:rPr>
              <w:t>1</w:t>
            </w:r>
          </w:p>
        </w:tc>
        <w:tc>
          <w:tcPr>
            <w:tcW w:w="0" w:type="auto"/>
            <w:shd w:val="clear" w:color="auto" w:fill="auto"/>
          </w:tcPr>
          <w:p w14:paraId="5DC85A9F" w14:textId="77777777" w:rsidR="008C5CFA" w:rsidRPr="009C3005" w:rsidRDefault="00E82A60" w:rsidP="00300A01">
            <w:pPr>
              <w:pStyle w:val="Text1"/>
              <w:spacing w:before="0" w:after="0"/>
              <w:ind w:left="0"/>
              <w:rPr>
                <w:sz w:val="12"/>
                <w:szCs w:val="12"/>
              </w:rPr>
            </w:pPr>
            <w:r>
              <w:rPr>
                <w:noProof/>
                <w:sz w:val="12"/>
                <w:szCs w:val="12"/>
              </w:rPr>
              <w:t>EFRR</w:t>
            </w:r>
          </w:p>
        </w:tc>
        <w:tc>
          <w:tcPr>
            <w:tcW w:w="0" w:type="auto"/>
            <w:shd w:val="clear" w:color="auto" w:fill="auto"/>
          </w:tcPr>
          <w:p w14:paraId="6A495DA6" w14:textId="77777777" w:rsidR="008C5CFA" w:rsidRPr="009C3005" w:rsidRDefault="00E82A60" w:rsidP="00300A01">
            <w:pPr>
              <w:pStyle w:val="Text1"/>
              <w:spacing w:before="0" w:after="0"/>
              <w:ind w:left="0"/>
              <w:rPr>
                <w:sz w:val="12"/>
                <w:szCs w:val="12"/>
              </w:rPr>
            </w:pPr>
            <w:r>
              <w:rPr>
                <w:noProof/>
                <w:sz w:val="12"/>
                <w:szCs w:val="12"/>
              </w:rPr>
              <w:t>Słabiej rozwinięte</w:t>
            </w:r>
          </w:p>
        </w:tc>
        <w:tc>
          <w:tcPr>
            <w:tcW w:w="0" w:type="auto"/>
            <w:shd w:val="clear" w:color="auto" w:fill="auto"/>
          </w:tcPr>
          <w:p w14:paraId="1B9AABFB" w14:textId="77777777" w:rsidR="008C5CFA" w:rsidRPr="009C3005" w:rsidRDefault="00E82A60" w:rsidP="00300A01">
            <w:pPr>
              <w:pStyle w:val="Text1"/>
              <w:spacing w:before="0" w:after="0"/>
              <w:ind w:left="0"/>
              <w:rPr>
                <w:sz w:val="12"/>
                <w:szCs w:val="12"/>
              </w:rPr>
            </w:pPr>
            <w:r>
              <w:rPr>
                <w:noProof/>
                <w:sz w:val="12"/>
                <w:szCs w:val="12"/>
              </w:rPr>
              <w:t>056</w:t>
            </w:r>
          </w:p>
        </w:tc>
        <w:tc>
          <w:tcPr>
            <w:tcW w:w="0" w:type="auto"/>
            <w:shd w:val="clear" w:color="auto" w:fill="auto"/>
          </w:tcPr>
          <w:p w14:paraId="17C48DA2"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6A7A4455"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6F9C71D4"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5FC7C302"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0D90FA46" w14:textId="77777777" w:rsidR="008C5CFA" w:rsidRPr="009C3005" w:rsidRDefault="00E82A60" w:rsidP="00300A01">
            <w:pPr>
              <w:pStyle w:val="Text1"/>
              <w:spacing w:before="0" w:after="0"/>
              <w:ind w:left="0"/>
              <w:rPr>
                <w:sz w:val="12"/>
                <w:szCs w:val="12"/>
              </w:rPr>
            </w:pPr>
            <w:r>
              <w:rPr>
                <w:sz w:val="12"/>
                <w:szCs w:val="12"/>
              </w:rPr>
              <w:t xml:space="preserve"> </w:t>
            </w:r>
          </w:p>
        </w:tc>
        <w:tc>
          <w:tcPr>
            <w:tcW w:w="0" w:type="auto"/>
            <w:shd w:val="clear" w:color="auto" w:fill="auto"/>
          </w:tcPr>
          <w:p w14:paraId="0DDDFB0B" w14:textId="77777777" w:rsidR="008C5CFA" w:rsidRPr="009C3005" w:rsidRDefault="00E82A60" w:rsidP="00300A01">
            <w:pPr>
              <w:pStyle w:val="Text1"/>
              <w:spacing w:before="0" w:after="0"/>
              <w:ind w:left="0"/>
              <w:rPr>
                <w:sz w:val="12"/>
                <w:szCs w:val="12"/>
              </w:rPr>
            </w:pPr>
            <w:r>
              <w:rPr>
                <w:noProof/>
                <w:sz w:val="12"/>
                <w:szCs w:val="12"/>
              </w:rPr>
              <w:t>08</w:t>
            </w:r>
          </w:p>
        </w:tc>
        <w:tc>
          <w:tcPr>
            <w:tcW w:w="0" w:type="auto"/>
            <w:shd w:val="clear" w:color="auto" w:fill="auto"/>
          </w:tcPr>
          <w:p w14:paraId="17F47D89" w14:textId="77777777" w:rsidR="008C5CFA" w:rsidRPr="009C3005" w:rsidRDefault="00E82A60" w:rsidP="00300A01">
            <w:pPr>
              <w:pStyle w:val="Text1"/>
              <w:spacing w:before="0" w:after="0"/>
              <w:ind w:left="0"/>
              <w:rPr>
                <w:sz w:val="12"/>
                <w:szCs w:val="12"/>
              </w:rPr>
            </w:pPr>
            <w:r>
              <w:rPr>
                <w:noProof/>
                <w:sz w:val="12"/>
                <w:szCs w:val="12"/>
              </w:rPr>
              <w:t>PL33</w:t>
            </w:r>
          </w:p>
        </w:tc>
        <w:tc>
          <w:tcPr>
            <w:tcW w:w="0" w:type="auto"/>
            <w:shd w:val="clear" w:color="auto" w:fill="auto"/>
          </w:tcPr>
          <w:p w14:paraId="1980AE83" w14:textId="77777777" w:rsidR="008C5CFA" w:rsidRPr="009C3005" w:rsidRDefault="00E82A60" w:rsidP="00300A01">
            <w:pPr>
              <w:pStyle w:val="Text1"/>
              <w:spacing w:before="0" w:after="0"/>
              <w:ind w:left="0"/>
              <w:jc w:val="right"/>
              <w:rPr>
                <w:sz w:val="12"/>
                <w:szCs w:val="12"/>
              </w:rPr>
            </w:pPr>
            <w:r w:rsidRPr="009C3005">
              <w:rPr>
                <w:noProof/>
                <w:sz w:val="12"/>
                <w:szCs w:val="12"/>
              </w:rPr>
              <w:t>2 651 274,08</w:t>
            </w:r>
          </w:p>
        </w:tc>
        <w:tc>
          <w:tcPr>
            <w:tcW w:w="0" w:type="auto"/>
            <w:shd w:val="clear" w:color="auto" w:fill="auto"/>
          </w:tcPr>
          <w:p w14:paraId="78B3A4D6" w14:textId="77777777" w:rsidR="008C5CFA" w:rsidRPr="009C3005" w:rsidRDefault="00E82A60" w:rsidP="00300A01">
            <w:pPr>
              <w:pStyle w:val="Text1"/>
              <w:spacing w:before="0" w:after="0"/>
              <w:ind w:left="0"/>
              <w:jc w:val="right"/>
              <w:rPr>
                <w:sz w:val="12"/>
                <w:szCs w:val="12"/>
              </w:rPr>
            </w:pPr>
            <w:r w:rsidRPr="009C3005">
              <w:rPr>
                <w:noProof/>
                <w:sz w:val="12"/>
                <w:szCs w:val="12"/>
              </w:rPr>
              <w:t>1 493 935,37</w:t>
            </w:r>
          </w:p>
        </w:tc>
        <w:tc>
          <w:tcPr>
            <w:tcW w:w="0" w:type="auto"/>
            <w:shd w:val="clear" w:color="auto" w:fill="auto"/>
          </w:tcPr>
          <w:p w14:paraId="1EC7B05D" w14:textId="77777777" w:rsidR="008C5CFA" w:rsidRPr="009C3005" w:rsidRDefault="00E82A60" w:rsidP="00300A01">
            <w:pPr>
              <w:pStyle w:val="Text1"/>
              <w:spacing w:before="0" w:after="0"/>
              <w:ind w:left="0"/>
              <w:jc w:val="right"/>
              <w:rPr>
                <w:sz w:val="12"/>
                <w:szCs w:val="12"/>
              </w:rPr>
            </w:pPr>
            <w:r w:rsidRPr="009C3005">
              <w:rPr>
                <w:noProof/>
                <w:sz w:val="12"/>
                <w:szCs w:val="12"/>
              </w:rPr>
              <w:t>0,00</w:t>
            </w:r>
          </w:p>
        </w:tc>
        <w:tc>
          <w:tcPr>
            <w:tcW w:w="0" w:type="auto"/>
            <w:shd w:val="clear" w:color="auto" w:fill="auto"/>
          </w:tcPr>
          <w:p w14:paraId="6DC594C2" w14:textId="77777777" w:rsidR="008C5CFA" w:rsidRPr="009C3005" w:rsidRDefault="00E82A60" w:rsidP="00300A01">
            <w:pPr>
              <w:pStyle w:val="Text1"/>
              <w:spacing w:before="0" w:after="0"/>
              <w:ind w:left="0"/>
              <w:jc w:val="right"/>
              <w:rPr>
                <w:sz w:val="12"/>
                <w:szCs w:val="12"/>
              </w:rPr>
            </w:pPr>
            <w:r w:rsidRPr="009C3005">
              <w:rPr>
                <w:noProof/>
                <w:sz w:val="12"/>
                <w:szCs w:val="12"/>
              </w:rPr>
              <w:t>3</w:t>
            </w:r>
          </w:p>
        </w:tc>
      </w:tr>
      <w:tr w:rsidR="006B2EC1" w14:paraId="07F481DF" w14:textId="77777777" w:rsidTr="0047688D">
        <w:tc>
          <w:tcPr>
            <w:tcW w:w="0" w:type="auto"/>
            <w:shd w:val="clear" w:color="auto" w:fill="auto"/>
          </w:tcPr>
          <w:p w14:paraId="2F2AE972" w14:textId="77777777" w:rsidR="008C5CFA" w:rsidRPr="009C3005" w:rsidRDefault="00E82A60" w:rsidP="00300A01">
            <w:pPr>
              <w:pStyle w:val="Text1"/>
              <w:spacing w:before="0" w:after="0"/>
              <w:ind w:left="0"/>
              <w:rPr>
                <w:sz w:val="12"/>
                <w:szCs w:val="12"/>
              </w:rPr>
            </w:pPr>
            <w:r>
              <w:rPr>
                <w:noProof/>
                <w:sz w:val="14"/>
                <w:szCs w:val="14"/>
                <w:lang w:val="fr-BE"/>
              </w:rPr>
              <w:t>1</w:t>
            </w:r>
          </w:p>
        </w:tc>
        <w:tc>
          <w:tcPr>
            <w:tcW w:w="0" w:type="auto"/>
            <w:shd w:val="clear" w:color="auto" w:fill="auto"/>
          </w:tcPr>
          <w:p w14:paraId="1C4A77B5" w14:textId="77777777" w:rsidR="008C5CFA" w:rsidRPr="009C3005" w:rsidRDefault="00E82A60" w:rsidP="00300A01">
            <w:pPr>
              <w:pStyle w:val="Text1"/>
              <w:spacing w:before="0" w:after="0"/>
              <w:ind w:left="0"/>
              <w:rPr>
                <w:sz w:val="12"/>
                <w:szCs w:val="12"/>
              </w:rPr>
            </w:pPr>
            <w:r>
              <w:rPr>
                <w:noProof/>
                <w:sz w:val="12"/>
                <w:szCs w:val="12"/>
              </w:rPr>
              <w:t>EFRR</w:t>
            </w:r>
          </w:p>
        </w:tc>
        <w:tc>
          <w:tcPr>
            <w:tcW w:w="0" w:type="auto"/>
            <w:shd w:val="clear" w:color="auto" w:fill="auto"/>
          </w:tcPr>
          <w:p w14:paraId="6FDF248E" w14:textId="77777777" w:rsidR="008C5CFA" w:rsidRPr="009C3005" w:rsidRDefault="00E82A60" w:rsidP="00300A01">
            <w:pPr>
              <w:pStyle w:val="Text1"/>
              <w:spacing w:before="0" w:after="0"/>
              <w:ind w:left="0"/>
              <w:rPr>
                <w:sz w:val="12"/>
                <w:szCs w:val="12"/>
              </w:rPr>
            </w:pPr>
            <w:r>
              <w:rPr>
                <w:noProof/>
                <w:sz w:val="12"/>
                <w:szCs w:val="12"/>
              </w:rPr>
              <w:t>Słabiej rozwinięte</w:t>
            </w:r>
          </w:p>
        </w:tc>
        <w:tc>
          <w:tcPr>
            <w:tcW w:w="0" w:type="auto"/>
            <w:shd w:val="clear" w:color="auto" w:fill="auto"/>
          </w:tcPr>
          <w:p w14:paraId="5E8A5891" w14:textId="77777777" w:rsidR="008C5CFA" w:rsidRPr="009C3005" w:rsidRDefault="00E82A60" w:rsidP="00300A01">
            <w:pPr>
              <w:pStyle w:val="Text1"/>
              <w:spacing w:before="0" w:after="0"/>
              <w:ind w:left="0"/>
              <w:rPr>
                <w:sz w:val="12"/>
                <w:szCs w:val="12"/>
              </w:rPr>
            </w:pPr>
            <w:r>
              <w:rPr>
                <w:noProof/>
                <w:sz w:val="12"/>
                <w:szCs w:val="12"/>
              </w:rPr>
              <w:t>056</w:t>
            </w:r>
          </w:p>
        </w:tc>
        <w:tc>
          <w:tcPr>
            <w:tcW w:w="0" w:type="auto"/>
            <w:shd w:val="clear" w:color="auto" w:fill="auto"/>
          </w:tcPr>
          <w:p w14:paraId="7C748B9D"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1E1CF72E"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58435DFA"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2B79177D"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5F86DDD1" w14:textId="77777777" w:rsidR="008C5CFA" w:rsidRPr="009C3005" w:rsidRDefault="00E82A60" w:rsidP="00300A01">
            <w:pPr>
              <w:pStyle w:val="Text1"/>
              <w:spacing w:before="0" w:after="0"/>
              <w:ind w:left="0"/>
              <w:rPr>
                <w:sz w:val="12"/>
                <w:szCs w:val="12"/>
              </w:rPr>
            </w:pPr>
            <w:r>
              <w:rPr>
                <w:sz w:val="12"/>
                <w:szCs w:val="12"/>
              </w:rPr>
              <w:t xml:space="preserve"> </w:t>
            </w:r>
          </w:p>
        </w:tc>
        <w:tc>
          <w:tcPr>
            <w:tcW w:w="0" w:type="auto"/>
            <w:shd w:val="clear" w:color="auto" w:fill="auto"/>
          </w:tcPr>
          <w:p w14:paraId="53F878BC" w14:textId="77777777" w:rsidR="008C5CFA" w:rsidRPr="009C3005" w:rsidRDefault="00E82A60" w:rsidP="00300A01">
            <w:pPr>
              <w:pStyle w:val="Text1"/>
              <w:spacing w:before="0" w:after="0"/>
              <w:ind w:left="0"/>
              <w:rPr>
                <w:sz w:val="12"/>
                <w:szCs w:val="12"/>
              </w:rPr>
            </w:pPr>
            <w:r>
              <w:rPr>
                <w:noProof/>
                <w:sz w:val="12"/>
                <w:szCs w:val="12"/>
              </w:rPr>
              <w:t>13</w:t>
            </w:r>
          </w:p>
        </w:tc>
        <w:tc>
          <w:tcPr>
            <w:tcW w:w="0" w:type="auto"/>
            <w:shd w:val="clear" w:color="auto" w:fill="auto"/>
          </w:tcPr>
          <w:p w14:paraId="7E3CAE04" w14:textId="77777777" w:rsidR="008C5CFA" w:rsidRPr="009C3005" w:rsidRDefault="00E82A60" w:rsidP="00300A01">
            <w:pPr>
              <w:pStyle w:val="Text1"/>
              <w:spacing w:before="0" w:after="0"/>
              <w:ind w:left="0"/>
              <w:rPr>
                <w:sz w:val="12"/>
                <w:szCs w:val="12"/>
              </w:rPr>
            </w:pPr>
            <w:r>
              <w:rPr>
                <w:noProof/>
                <w:sz w:val="12"/>
                <w:szCs w:val="12"/>
              </w:rPr>
              <w:t>PL33</w:t>
            </w:r>
          </w:p>
        </w:tc>
        <w:tc>
          <w:tcPr>
            <w:tcW w:w="0" w:type="auto"/>
            <w:shd w:val="clear" w:color="auto" w:fill="auto"/>
          </w:tcPr>
          <w:p w14:paraId="78ECDAF7" w14:textId="77777777" w:rsidR="008C5CFA" w:rsidRPr="009C3005" w:rsidRDefault="00E82A60" w:rsidP="00300A01">
            <w:pPr>
              <w:pStyle w:val="Text1"/>
              <w:spacing w:before="0" w:after="0"/>
              <w:ind w:left="0"/>
              <w:jc w:val="right"/>
              <w:rPr>
                <w:sz w:val="12"/>
                <w:szCs w:val="12"/>
              </w:rPr>
            </w:pPr>
            <w:r w:rsidRPr="009C3005">
              <w:rPr>
                <w:noProof/>
                <w:sz w:val="12"/>
                <w:szCs w:val="12"/>
              </w:rPr>
              <w:t>406 065,73</w:t>
            </w:r>
          </w:p>
        </w:tc>
        <w:tc>
          <w:tcPr>
            <w:tcW w:w="0" w:type="auto"/>
            <w:shd w:val="clear" w:color="auto" w:fill="auto"/>
          </w:tcPr>
          <w:p w14:paraId="31993E53" w14:textId="77777777" w:rsidR="008C5CFA" w:rsidRPr="009C3005" w:rsidRDefault="00E82A60" w:rsidP="00300A01">
            <w:pPr>
              <w:pStyle w:val="Text1"/>
              <w:spacing w:before="0" w:after="0"/>
              <w:ind w:left="0"/>
              <w:jc w:val="right"/>
              <w:rPr>
                <w:sz w:val="12"/>
                <w:szCs w:val="12"/>
              </w:rPr>
            </w:pPr>
            <w:r w:rsidRPr="009C3005">
              <w:rPr>
                <w:noProof/>
                <w:sz w:val="12"/>
                <w:szCs w:val="12"/>
              </w:rPr>
              <w:t>223 336,15</w:t>
            </w:r>
          </w:p>
        </w:tc>
        <w:tc>
          <w:tcPr>
            <w:tcW w:w="0" w:type="auto"/>
            <w:shd w:val="clear" w:color="auto" w:fill="auto"/>
          </w:tcPr>
          <w:p w14:paraId="5EF8D516" w14:textId="77777777" w:rsidR="008C5CFA" w:rsidRPr="009C3005" w:rsidRDefault="00E82A60" w:rsidP="00300A01">
            <w:pPr>
              <w:pStyle w:val="Text1"/>
              <w:spacing w:before="0" w:after="0"/>
              <w:ind w:left="0"/>
              <w:jc w:val="right"/>
              <w:rPr>
                <w:sz w:val="12"/>
                <w:szCs w:val="12"/>
              </w:rPr>
            </w:pPr>
            <w:r w:rsidRPr="009C3005">
              <w:rPr>
                <w:noProof/>
                <w:sz w:val="12"/>
                <w:szCs w:val="12"/>
              </w:rPr>
              <w:t>305 779,01</w:t>
            </w:r>
          </w:p>
        </w:tc>
        <w:tc>
          <w:tcPr>
            <w:tcW w:w="0" w:type="auto"/>
            <w:shd w:val="clear" w:color="auto" w:fill="auto"/>
          </w:tcPr>
          <w:p w14:paraId="0B138C28" w14:textId="77777777" w:rsidR="008C5CFA" w:rsidRPr="009C3005" w:rsidRDefault="00E82A60" w:rsidP="00300A01">
            <w:pPr>
              <w:pStyle w:val="Text1"/>
              <w:spacing w:before="0" w:after="0"/>
              <w:ind w:left="0"/>
              <w:jc w:val="right"/>
              <w:rPr>
                <w:sz w:val="12"/>
                <w:szCs w:val="12"/>
              </w:rPr>
            </w:pPr>
            <w:r w:rsidRPr="009C3005">
              <w:rPr>
                <w:noProof/>
                <w:sz w:val="12"/>
                <w:szCs w:val="12"/>
              </w:rPr>
              <w:t>1</w:t>
            </w:r>
          </w:p>
        </w:tc>
      </w:tr>
      <w:tr w:rsidR="006B2EC1" w14:paraId="0EFDD530" w14:textId="77777777" w:rsidTr="0047688D">
        <w:tc>
          <w:tcPr>
            <w:tcW w:w="0" w:type="auto"/>
            <w:shd w:val="clear" w:color="auto" w:fill="auto"/>
          </w:tcPr>
          <w:p w14:paraId="4A270959" w14:textId="77777777" w:rsidR="008C5CFA" w:rsidRPr="009C3005" w:rsidRDefault="00E82A60" w:rsidP="00300A01">
            <w:pPr>
              <w:pStyle w:val="Text1"/>
              <w:spacing w:before="0" w:after="0"/>
              <w:ind w:left="0"/>
              <w:rPr>
                <w:sz w:val="12"/>
                <w:szCs w:val="12"/>
              </w:rPr>
            </w:pPr>
            <w:r>
              <w:rPr>
                <w:noProof/>
                <w:sz w:val="14"/>
                <w:szCs w:val="14"/>
                <w:lang w:val="fr-BE"/>
              </w:rPr>
              <w:t>1</w:t>
            </w:r>
          </w:p>
        </w:tc>
        <w:tc>
          <w:tcPr>
            <w:tcW w:w="0" w:type="auto"/>
            <w:shd w:val="clear" w:color="auto" w:fill="auto"/>
          </w:tcPr>
          <w:p w14:paraId="569E8428" w14:textId="77777777" w:rsidR="008C5CFA" w:rsidRPr="009C3005" w:rsidRDefault="00E82A60" w:rsidP="00300A01">
            <w:pPr>
              <w:pStyle w:val="Text1"/>
              <w:spacing w:before="0" w:after="0"/>
              <w:ind w:left="0"/>
              <w:rPr>
                <w:sz w:val="12"/>
                <w:szCs w:val="12"/>
              </w:rPr>
            </w:pPr>
            <w:r>
              <w:rPr>
                <w:noProof/>
                <w:sz w:val="12"/>
                <w:szCs w:val="12"/>
              </w:rPr>
              <w:t>EFRR</w:t>
            </w:r>
          </w:p>
        </w:tc>
        <w:tc>
          <w:tcPr>
            <w:tcW w:w="0" w:type="auto"/>
            <w:shd w:val="clear" w:color="auto" w:fill="auto"/>
          </w:tcPr>
          <w:p w14:paraId="1A40D0CB" w14:textId="77777777" w:rsidR="008C5CFA" w:rsidRPr="009C3005" w:rsidRDefault="00E82A60" w:rsidP="00300A01">
            <w:pPr>
              <w:pStyle w:val="Text1"/>
              <w:spacing w:before="0" w:after="0"/>
              <w:ind w:left="0"/>
              <w:rPr>
                <w:sz w:val="12"/>
                <w:szCs w:val="12"/>
              </w:rPr>
            </w:pPr>
            <w:r>
              <w:rPr>
                <w:noProof/>
                <w:sz w:val="12"/>
                <w:szCs w:val="12"/>
              </w:rPr>
              <w:t>Słabiej rozwinięte</w:t>
            </w:r>
          </w:p>
        </w:tc>
        <w:tc>
          <w:tcPr>
            <w:tcW w:w="0" w:type="auto"/>
            <w:shd w:val="clear" w:color="auto" w:fill="auto"/>
          </w:tcPr>
          <w:p w14:paraId="4396C28E" w14:textId="77777777" w:rsidR="008C5CFA" w:rsidRPr="009C3005" w:rsidRDefault="00E82A60" w:rsidP="00300A01">
            <w:pPr>
              <w:pStyle w:val="Text1"/>
              <w:spacing w:before="0" w:after="0"/>
              <w:ind w:left="0"/>
              <w:rPr>
                <w:sz w:val="12"/>
                <w:szCs w:val="12"/>
              </w:rPr>
            </w:pPr>
            <w:r>
              <w:rPr>
                <w:noProof/>
                <w:sz w:val="12"/>
                <w:szCs w:val="12"/>
              </w:rPr>
              <w:t>056</w:t>
            </w:r>
          </w:p>
        </w:tc>
        <w:tc>
          <w:tcPr>
            <w:tcW w:w="0" w:type="auto"/>
            <w:shd w:val="clear" w:color="auto" w:fill="auto"/>
          </w:tcPr>
          <w:p w14:paraId="09B28E04"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21FEED6C"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4BE70407"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7892586E"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215776A3" w14:textId="77777777" w:rsidR="008C5CFA" w:rsidRPr="009C3005" w:rsidRDefault="00E82A60" w:rsidP="00300A01">
            <w:pPr>
              <w:pStyle w:val="Text1"/>
              <w:spacing w:before="0" w:after="0"/>
              <w:ind w:left="0"/>
              <w:rPr>
                <w:sz w:val="12"/>
                <w:szCs w:val="12"/>
              </w:rPr>
            </w:pPr>
            <w:r>
              <w:rPr>
                <w:sz w:val="12"/>
                <w:szCs w:val="12"/>
              </w:rPr>
              <w:t xml:space="preserve"> </w:t>
            </w:r>
          </w:p>
        </w:tc>
        <w:tc>
          <w:tcPr>
            <w:tcW w:w="0" w:type="auto"/>
            <w:shd w:val="clear" w:color="auto" w:fill="auto"/>
          </w:tcPr>
          <w:p w14:paraId="336F1CAA" w14:textId="77777777" w:rsidR="008C5CFA" w:rsidRPr="009C3005" w:rsidRDefault="00E82A60" w:rsidP="00300A01">
            <w:pPr>
              <w:pStyle w:val="Text1"/>
              <w:spacing w:before="0" w:after="0"/>
              <w:ind w:left="0"/>
              <w:rPr>
                <w:sz w:val="12"/>
                <w:szCs w:val="12"/>
              </w:rPr>
            </w:pPr>
            <w:r>
              <w:rPr>
                <w:noProof/>
                <w:sz w:val="12"/>
                <w:szCs w:val="12"/>
              </w:rPr>
              <w:t>14</w:t>
            </w:r>
          </w:p>
        </w:tc>
        <w:tc>
          <w:tcPr>
            <w:tcW w:w="0" w:type="auto"/>
            <w:shd w:val="clear" w:color="auto" w:fill="auto"/>
          </w:tcPr>
          <w:p w14:paraId="48AB6A3E" w14:textId="77777777" w:rsidR="008C5CFA" w:rsidRPr="009C3005" w:rsidRDefault="00E82A60" w:rsidP="00300A01">
            <w:pPr>
              <w:pStyle w:val="Text1"/>
              <w:spacing w:before="0" w:after="0"/>
              <w:ind w:left="0"/>
              <w:rPr>
                <w:sz w:val="12"/>
                <w:szCs w:val="12"/>
              </w:rPr>
            </w:pPr>
            <w:r>
              <w:rPr>
                <w:noProof/>
                <w:sz w:val="12"/>
                <w:szCs w:val="12"/>
              </w:rPr>
              <w:t>PL33</w:t>
            </w:r>
          </w:p>
        </w:tc>
        <w:tc>
          <w:tcPr>
            <w:tcW w:w="0" w:type="auto"/>
            <w:shd w:val="clear" w:color="auto" w:fill="auto"/>
          </w:tcPr>
          <w:p w14:paraId="7317A71C" w14:textId="77777777" w:rsidR="008C5CFA" w:rsidRPr="009C3005" w:rsidRDefault="00E82A60" w:rsidP="00300A01">
            <w:pPr>
              <w:pStyle w:val="Text1"/>
              <w:spacing w:before="0" w:after="0"/>
              <w:ind w:left="0"/>
              <w:jc w:val="right"/>
              <w:rPr>
                <w:sz w:val="12"/>
                <w:szCs w:val="12"/>
              </w:rPr>
            </w:pPr>
            <w:r w:rsidRPr="009C3005">
              <w:rPr>
                <w:noProof/>
                <w:sz w:val="12"/>
                <w:szCs w:val="12"/>
              </w:rPr>
              <w:t>199 117,41</w:t>
            </w:r>
          </w:p>
        </w:tc>
        <w:tc>
          <w:tcPr>
            <w:tcW w:w="0" w:type="auto"/>
            <w:shd w:val="clear" w:color="auto" w:fill="auto"/>
          </w:tcPr>
          <w:p w14:paraId="6D72CE29" w14:textId="77777777" w:rsidR="008C5CFA" w:rsidRPr="009C3005" w:rsidRDefault="00E82A60" w:rsidP="00300A01">
            <w:pPr>
              <w:pStyle w:val="Text1"/>
              <w:spacing w:before="0" w:after="0"/>
              <w:ind w:left="0"/>
              <w:jc w:val="right"/>
              <w:rPr>
                <w:sz w:val="12"/>
                <w:szCs w:val="12"/>
              </w:rPr>
            </w:pPr>
            <w:r w:rsidRPr="009C3005">
              <w:rPr>
                <w:noProof/>
                <w:sz w:val="12"/>
                <w:szCs w:val="12"/>
              </w:rPr>
              <w:t>89 602,83</w:t>
            </w:r>
          </w:p>
        </w:tc>
        <w:tc>
          <w:tcPr>
            <w:tcW w:w="0" w:type="auto"/>
            <w:shd w:val="clear" w:color="auto" w:fill="auto"/>
          </w:tcPr>
          <w:p w14:paraId="685BF7CC" w14:textId="77777777" w:rsidR="008C5CFA" w:rsidRPr="009C3005" w:rsidRDefault="00E82A60" w:rsidP="00300A01">
            <w:pPr>
              <w:pStyle w:val="Text1"/>
              <w:spacing w:before="0" w:after="0"/>
              <w:ind w:left="0"/>
              <w:jc w:val="right"/>
              <w:rPr>
                <w:sz w:val="12"/>
                <w:szCs w:val="12"/>
              </w:rPr>
            </w:pPr>
            <w:r w:rsidRPr="009C3005">
              <w:rPr>
                <w:noProof/>
                <w:sz w:val="12"/>
                <w:szCs w:val="12"/>
              </w:rPr>
              <w:t>179 264,82</w:t>
            </w:r>
          </w:p>
        </w:tc>
        <w:tc>
          <w:tcPr>
            <w:tcW w:w="0" w:type="auto"/>
            <w:shd w:val="clear" w:color="auto" w:fill="auto"/>
          </w:tcPr>
          <w:p w14:paraId="2B3E4585" w14:textId="77777777" w:rsidR="008C5CFA" w:rsidRPr="009C3005" w:rsidRDefault="00E82A60" w:rsidP="00300A01">
            <w:pPr>
              <w:pStyle w:val="Text1"/>
              <w:spacing w:before="0" w:after="0"/>
              <w:ind w:left="0"/>
              <w:jc w:val="right"/>
              <w:rPr>
                <w:sz w:val="12"/>
                <w:szCs w:val="12"/>
              </w:rPr>
            </w:pPr>
            <w:r w:rsidRPr="009C3005">
              <w:rPr>
                <w:noProof/>
                <w:sz w:val="12"/>
                <w:szCs w:val="12"/>
              </w:rPr>
              <w:t>1</w:t>
            </w:r>
          </w:p>
        </w:tc>
      </w:tr>
      <w:tr w:rsidR="006B2EC1" w14:paraId="48559BF9" w14:textId="77777777" w:rsidTr="0047688D">
        <w:tc>
          <w:tcPr>
            <w:tcW w:w="0" w:type="auto"/>
            <w:shd w:val="clear" w:color="auto" w:fill="auto"/>
          </w:tcPr>
          <w:p w14:paraId="3AE84C0F" w14:textId="77777777" w:rsidR="008C5CFA" w:rsidRPr="009C3005" w:rsidRDefault="00E82A60" w:rsidP="00300A01">
            <w:pPr>
              <w:pStyle w:val="Text1"/>
              <w:spacing w:before="0" w:after="0"/>
              <w:ind w:left="0"/>
              <w:rPr>
                <w:sz w:val="12"/>
                <w:szCs w:val="12"/>
              </w:rPr>
            </w:pPr>
            <w:r>
              <w:rPr>
                <w:noProof/>
                <w:sz w:val="14"/>
                <w:szCs w:val="14"/>
                <w:lang w:val="fr-BE"/>
              </w:rPr>
              <w:t>1</w:t>
            </w:r>
          </w:p>
        </w:tc>
        <w:tc>
          <w:tcPr>
            <w:tcW w:w="0" w:type="auto"/>
            <w:shd w:val="clear" w:color="auto" w:fill="auto"/>
          </w:tcPr>
          <w:p w14:paraId="7CBAA912" w14:textId="77777777" w:rsidR="008C5CFA" w:rsidRPr="009C3005" w:rsidRDefault="00E82A60" w:rsidP="00300A01">
            <w:pPr>
              <w:pStyle w:val="Text1"/>
              <w:spacing w:before="0" w:after="0"/>
              <w:ind w:left="0"/>
              <w:rPr>
                <w:sz w:val="12"/>
                <w:szCs w:val="12"/>
              </w:rPr>
            </w:pPr>
            <w:r>
              <w:rPr>
                <w:noProof/>
                <w:sz w:val="12"/>
                <w:szCs w:val="12"/>
              </w:rPr>
              <w:t>EFRR</w:t>
            </w:r>
          </w:p>
        </w:tc>
        <w:tc>
          <w:tcPr>
            <w:tcW w:w="0" w:type="auto"/>
            <w:shd w:val="clear" w:color="auto" w:fill="auto"/>
          </w:tcPr>
          <w:p w14:paraId="1FF51EA3" w14:textId="77777777" w:rsidR="008C5CFA" w:rsidRPr="009C3005" w:rsidRDefault="00E82A60" w:rsidP="00300A01">
            <w:pPr>
              <w:pStyle w:val="Text1"/>
              <w:spacing w:before="0" w:after="0"/>
              <w:ind w:left="0"/>
              <w:rPr>
                <w:sz w:val="12"/>
                <w:szCs w:val="12"/>
              </w:rPr>
            </w:pPr>
            <w:r>
              <w:rPr>
                <w:noProof/>
                <w:sz w:val="12"/>
                <w:szCs w:val="12"/>
              </w:rPr>
              <w:t>Słabiej rozwinięte</w:t>
            </w:r>
          </w:p>
        </w:tc>
        <w:tc>
          <w:tcPr>
            <w:tcW w:w="0" w:type="auto"/>
            <w:shd w:val="clear" w:color="auto" w:fill="auto"/>
          </w:tcPr>
          <w:p w14:paraId="19A519E0" w14:textId="77777777" w:rsidR="008C5CFA" w:rsidRPr="009C3005" w:rsidRDefault="00E82A60" w:rsidP="00300A01">
            <w:pPr>
              <w:pStyle w:val="Text1"/>
              <w:spacing w:before="0" w:after="0"/>
              <w:ind w:left="0"/>
              <w:rPr>
                <w:sz w:val="12"/>
                <w:szCs w:val="12"/>
              </w:rPr>
            </w:pPr>
            <w:r>
              <w:rPr>
                <w:noProof/>
                <w:sz w:val="12"/>
                <w:szCs w:val="12"/>
              </w:rPr>
              <w:t>056</w:t>
            </w:r>
          </w:p>
        </w:tc>
        <w:tc>
          <w:tcPr>
            <w:tcW w:w="0" w:type="auto"/>
            <w:shd w:val="clear" w:color="auto" w:fill="auto"/>
          </w:tcPr>
          <w:p w14:paraId="6DDE64DD"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07D05EDC"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5FD3D90A"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5D3A3A89"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1DE474CF" w14:textId="77777777" w:rsidR="008C5CFA" w:rsidRPr="009C3005" w:rsidRDefault="00E82A60" w:rsidP="00300A01">
            <w:pPr>
              <w:pStyle w:val="Text1"/>
              <w:spacing w:before="0" w:after="0"/>
              <w:ind w:left="0"/>
              <w:rPr>
                <w:sz w:val="12"/>
                <w:szCs w:val="12"/>
              </w:rPr>
            </w:pPr>
            <w:r>
              <w:rPr>
                <w:sz w:val="12"/>
                <w:szCs w:val="12"/>
              </w:rPr>
              <w:t xml:space="preserve"> </w:t>
            </w:r>
          </w:p>
        </w:tc>
        <w:tc>
          <w:tcPr>
            <w:tcW w:w="0" w:type="auto"/>
            <w:shd w:val="clear" w:color="auto" w:fill="auto"/>
          </w:tcPr>
          <w:p w14:paraId="6061F746" w14:textId="77777777" w:rsidR="008C5CFA" w:rsidRPr="009C3005" w:rsidRDefault="00E82A60" w:rsidP="00300A01">
            <w:pPr>
              <w:pStyle w:val="Text1"/>
              <w:spacing w:before="0" w:after="0"/>
              <w:ind w:left="0"/>
              <w:rPr>
                <w:sz w:val="12"/>
                <w:szCs w:val="12"/>
              </w:rPr>
            </w:pPr>
            <w:r>
              <w:rPr>
                <w:noProof/>
                <w:sz w:val="12"/>
                <w:szCs w:val="12"/>
              </w:rPr>
              <w:t>20</w:t>
            </w:r>
          </w:p>
        </w:tc>
        <w:tc>
          <w:tcPr>
            <w:tcW w:w="0" w:type="auto"/>
            <w:shd w:val="clear" w:color="auto" w:fill="auto"/>
          </w:tcPr>
          <w:p w14:paraId="29581C9C" w14:textId="77777777" w:rsidR="008C5CFA" w:rsidRPr="009C3005" w:rsidRDefault="00E82A60" w:rsidP="00300A01">
            <w:pPr>
              <w:pStyle w:val="Text1"/>
              <w:spacing w:before="0" w:after="0"/>
              <w:ind w:left="0"/>
              <w:rPr>
                <w:sz w:val="12"/>
                <w:szCs w:val="12"/>
              </w:rPr>
            </w:pPr>
            <w:r>
              <w:rPr>
                <w:noProof/>
                <w:sz w:val="12"/>
                <w:szCs w:val="12"/>
              </w:rPr>
              <w:t>PL33</w:t>
            </w:r>
          </w:p>
        </w:tc>
        <w:tc>
          <w:tcPr>
            <w:tcW w:w="0" w:type="auto"/>
            <w:shd w:val="clear" w:color="auto" w:fill="auto"/>
          </w:tcPr>
          <w:p w14:paraId="344E60E4" w14:textId="77777777" w:rsidR="008C5CFA" w:rsidRPr="009C3005" w:rsidRDefault="00E82A60" w:rsidP="00300A01">
            <w:pPr>
              <w:pStyle w:val="Text1"/>
              <w:spacing w:before="0" w:after="0"/>
              <w:ind w:left="0"/>
              <w:jc w:val="right"/>
              <w:rPr>
                <w:sz w:val="12"/>
                <w:szCs w:val="12"/>
              </w:rPr>
            </w:pPr>
            <w:r w:rsidRPr="009C3005">
              <w:rPr>
                <w:noProof/>
                <w:sz w:val="12"/>
                <w:szCs w:val="12"/>
              </w:rPr>
              <w:t>569 434,60</w:t>
            </w:r>
          </w:p>
        </w:tc>
        <w:tc>
          <w:tcPr>
            <w:tcW w:w="0" w:type="auto"/>
            <w:shd w:val="clear" w:color="auto" w:fill="auto"/>
          </w:tcPr>
          <w:p w14:paraId="3DE7EAF6" w14:textId="77777777" w:rsidR="008C5CFA" w:rsidRPr="009C3005" w:rsidRDefault="00E82A60" w:rsidP="00300A01">
            <w:pPr>
              <w:pStyle w:val="Text1"/>
              <w:spacing w:before="0" w:after="0"/>
              <w:ind w:left="0"/>
              <w:jc w:val="right"/>
              <w:rPr>
                <w:sz w:val="12"/>
                <w:szCs w:val="12"/>
              </w:rPr>
            </w:pPr>
            <w:r w:rsidRPr="009C3005">
              <w:rPr>
                <w:noProof/>
                <w:sz w:val="12"/>
                <w:szCs w:val="12"/>
              </w:rPr>
              <w:t>327 775,31</w:t>
            </w:r>
          </w:p>
        </w:tc>
        <w:tc>
          <w:tcPr>
            <w:tcW w:w="0" w:type="auto"/>
            <w:shd w:val="clear" w:color="auto" w:fill="auto"/>
          </w:tcPr>
          <w:p w14:paraId="052DBAEF" w14:textId="77777777" w:rsidR="008C5CFA" w:rsidRPr="009C3005" w:rsidRDefault="00E82A60" w:rsidP="00300A01">
            <w:pPr>
              <w:pStyle w:val="Text1"/>
              <w:spacing w:before="0" w:after="0"/>
              <w:ind w:left="0"/>
              <w:jc w:val="right"/>
              <w:rPr>
                <w:sz w:val="12"/>
                <w:szCs w:val="12"/>
              </w:rPr>
            </w:pPr>
            <w:r w:rsidRPr="009C3005">
              <w:rPr>
                <w:noProof/>
                <w:sz w:val="12"/>
                <w:szCs w:val="12"/>
              </w:rPr>
              <w:t>110 793,24</w:t>
            </w:r>
          </w:p>
        </w:tc>
        <w:tc>
          <w:tcPr>
            <w:tcW w:w="0" w:type="auto"/>
            <w:shd w:val="clear" w:color="auto" w:fill="auto"/>
          </w:tcPr>
          <w:p w14:paraId="466914F4" w14:textId="77777777" w:rsidR="008C5CFA" w:rsidRPr="009C3005" w:rsidRDefault="00E82A60" w:rsidP="00300A01">
            <w:pPr>
              <w:pStyle w:val="Text1"/>
              <w:spacing w:before="0" w:after="0"/>
              <w:ind w:left="0"/>
              <w:jc w:val="right"/>
              <w:rPr>
                <w:sz w:val="12"/>
                <w:szCs w:val="12"/>
              </w:rPr>
            </w:pPr>
            <w:r w:rsidRPr="009C3005">
              <w:rPr>
                <w:noProof/>
                <w:sz w:val="12"/>
                <w:szCs w:val="12"/>
              </w:rPr>
              <w:t>3</w:t>
            </w:r>
          </w:p>
        </w:tc>
      </w:tr>
      <w:tr w:rsidR="006B2EC1" w14:paraId="45C542D4" w14:textId="77777777" w:rsidTr="0047688D">
        <w:tc>
          <w:tcPr>
            <w:tcW w:w="0" w:type="auto"/>
            <w:shd w:val="clear" w:color="auto" w:fill="auto"/>
          </w:tcPr>
          <w:p w14:paraId="174D764D" w14:textId="77777777" w:rsidR="008C5CFA" w:rsidRPr="009C3005" w:rsidRDefault="00E82A60" w:rsidP="00300A01">
            <w:pPr>
              <w:pStyle w:val="Text1"/>
              <w:spacing w:before="0" w:after="0"/>
              <w:ind w:left="0"/>
              <w:rPr>
                <w:sz w:val="12"/>
                <w:szCs w:val="12"/>
              </w:rPr>
            </w:pPr>
            <w:r>
              <w:rPr>
                <w:noProof/>
                <w:sz w:val="14"/>
                <w:szCs w:val="14"/>
                <w:lang w:val="fr-BE"/>
              </w:rPr>
              <w:t>1</w:t>
            </w:r>
          </w:p>
        </w:tc>
        <w:tc>
          <w:tcPr>
            <w:tcW w:w="0" w:type="auto"/>
            <w:shd w:val="clear" w:color="auto" w:fill="auto"/>
          </w:tcPr>
          <w:p w14:paraId="11C02F75" w14:textId="77777777" w:rsidR="008C5CFA" w:rsidRPr="009C3005" w:rsidRDefault="00E82A60" w:rsidP="00300A01">
            <w:pPr>
              <w:pStyle w:val="Text1"/>
              <w:spacing w:before="0" w:after="0"/>
              <w:ind w:left="0"/>
              <w:rPr>
                <w:sz w:val="12"/>
                <w:szCs w:val="12"/>
              </w:rPr>
            </w:pPr>
            <w:r>
              <w:rPr>
                <w:noProof/>
                <w:sz w:val="12"/>
                <w:szCs w:val="12"/>
              </w:rPr>
              <w:t>EFRR</w:t>
            </w:r>
          </w:p>
        </w:tc>
        <w:tc>
          <w:tcPr>
            <w:tcW w:w="0" w:type="auto"/>
            <w:shd w:val="clear" w:color="auto" w:fill="auto"/>
          </w:tcPr>
          <w:p w14:paraId="14E959EC" w14:textId="77777777" w:rsidR="008C5CFA" w:rsidRPr="009C3005" w:rsidRDefault="00E82A60" w:rsidP="00300A01">
            <w:pPr>
              <w:pStyle w:val="Text1"/>
              <w:spacing w:before="0" w:after="0"/>
              <w:ind w:left="0"/>
              <w:rPr>
                <w:sz w:val="12"/>
                <w:szCs w:val="12"/>
              </w:rPr>
            </w:pPr>
            <w:r>
              <w:rPr>
                <w:noProof/>
                <w:sz w:val="12"/>
                <w:szCs w:val="12"/>
              </w:rPr>
              <w:t>Słabiej rozwinięte</w:t>
            </w:r>
          </w:p>
        </w:tc>
        <w:tc>
          <w:tcPr>
            <w:tcW w:w="0" w:type="auto"/>
            <w:shd w:val="clear" w:color="auto" w:fill="auto"/>
          </w:tcPr>
          <w:p w14:paraId="572B71F9" w14:textId="77777777" w:rsidR="008C5CFA" w:rsidRPr="009C3005" w:rsidRDefault="00E82A60" w:rsidP="00300A01">
            <w:pPr>
              <w:pStyle w:val="Text1"/>
              <w:spacing w:before="0" w:after="0"/>
              <w:ind w:left="0"/>
              <w:rPr>
                <w:sz w:val="12"/>
                <w:szCs w:val="12"/>
              </w:rPr>
            </w:pPr>
            <w:r>
              <w:rPr>
                <w:noProof/>
                <w:sz w:val="12"/>
                <w:szCs w:val="12"/>
              </w:rPr>
              <w:t>056</w:t>
            </w:r>
          </w:p>
        </w:tc>
        <w:tc>
          <w:tcPr>
            <w:tcW w:w="0" w:type="auto"/>
            <w:shd w:val="clear" w:color="auto" w:fill="auto"/>
          </w:tcPr>
          <w:p w14:paraId="38C042FC"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42D69C1B"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3E2F9A7D"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43468FB7"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05044550" w14:textId="77777777" w:rsidR="008C5CFA" w:rsidRPr="009C3005" w:rsidRDefault="00E82A60" w:rsidP="00300A01">
            <w:pPr>
              <w:pStyle w:val="Text1"/>
              <w:spacing w:before="0" w:after="0"/>
              <w:ind w:left="0"/>
              <w:rPr>
                <w:sz w:val="12"/>
                <w:szCs w:val="12"/>
              </w:rPr>
            </w:pPr>
            <w:r>
              <w:rPr>
                <w:sz w:val="12"/>
                <w:szCs w:val="12"/>
              </w:rPr>
              <w:t xml:space="preserve"> </w:t>
            </w:r>
          </w:p>
        </w:tc>
        <w:tc>
          <w:tcPr>
            <w:tcW w:w="0" w:type="auto"/>
            <w:shd w:val="clear" w:color="auto" w:fill="auto"/>
          </w:tcPr>
          <w:p w14:paraId="0FE3BBC6" w14:textId="77777777" w:rsidR="008C5CFA" w:rsidRPr="009C3005" w:rsidRDefault="00E82A60" w:rsidP="00300A01">
            <w:pPr>
              <w:pStyle w:val="Text1"/>
              <w:spacing w:before="0" w:after="0"/>
              <w:ind w:left="0"/>
              <w:rPr>
                <w:sz w:val="12"/>
                <w:szCs w:val="12"/>
              </w:rPr>
            </w:pPr>
            <w:r>
              <w:rPr>
                <w:noProof/>
                <w:sz w:val="12"/>
                <w:szCs w:val="12"/>
              </w:rPr>
              <w:t>24</w:t>
            </w:r>
          </w:p>
        </w:tc>
        <w:tc>
          <w:tcPr>
            <w:tcW w:w="0" w:type="auto"/>
            <w:shd w:val="clear" w:color="auto" w:fill="auto"/>
          </w:tcPr>
          <w:p w14:paraId="2EA746C4" w14:textId="77777777" w:rsidR="008C5CFA" w:rsidRPr="009C3005" w:rsidRDefault="00E82A60" w:rsidP="00300A01">
            <w:pPr>
              <w:pStyle w:val="Text1"/>
              <w:spacing w:before="0" w:after="0"/>
              <w:ind w:left="0"/>
              <w:rPr>
                <w:sz w:val="12"/>
                <w:szCs w:val="12"/>
              </w:rPr>
            </w:pPr>
            <w:r>
              <w:rPr>
                <w:noProof/>
                <w:sz w:val="12"/>
                <w:szCs w:val="12"/>
              </w:rPr>
              <w:t>PL33</w:t>
            </w:r>
          </w:p>
        </w:tc>
        <w:tc>
          <w:tcPr>
            <w:tcW w:w="0" w:type="auto"/>
            <w:shd w:val="clear" w:color="auto" w:fill="auto"/>
          </w:tcPr>
          <w:p w14:paraId="62528AA4" w14:textId="77777777" w:rsidR="008C5CFA" w:rsidRPr="009C3005" w:rsidRDefault="00E82A60" w:rsidP="00300A01">
            <w:pPr>
              <w:pStyle w:val="Text1"/>
              <w:spacing w:before="0" w:after="0"/>
              <w:ind w:left="0"/>
              <w:jc w:val="right"/>
              <w:rPr>
                <w:sz w:val="12"/>
                <w:szCs w:val="12"/>
              </w:rPr>
            </w:pPr>
            <w:r w:rsidRPr="009C3005">
              <w:rPr>
                <w:noProof/>
                <w:sz w:val="12"/>
                <w:szCs w:val="12"/>
              </w:rPr>
              <w:t>1 137 856,25</w:t>
            </w:r>
          </w:p>
        </w:tc>
        <w:tc>
          <w:tcPr>
            <w:tcW w:w="0" w:type="auto"/>
            <w:shd w:val="clear" w:color="auto" w:fill="auto"/>
          </w:tcPr>
          <w:p w14:paraId="139DB3AF" w14:textId="77777777" w:rsidR="008C5CFA" w:rsidRPr="009C3005" w:rsidRDefault="00E82A60" w:rsidP="00300A01">
            <w:pPr>
              <w:pStyle w:val="Text1"/>
              <w:spacing w:before="0" w:after="0"/>
              <w:ind w:left="0"/>
              <w:jc w:val="right"/>
              <w:rPr>
                <w:sz w:val="12"/>
                <w:szCs w:val="12"/>
              </w:rPr>
            </w:pPr>
            <w:r w:rsidRPr="009C3005">
              <w:rPr>
                <w:noProof/>
                <w:sz w:val="12"/>
                <w:szCs w:val="12"/>
              </w:rPr>
              <w:t>568 928,12</w:t>
            </w:r>
          </w:p>
        </w:tc>
        <w:tc>
          <w:tcPr>
            <w:tcW w:w="0" w:type="auto"/>
            <w:shd w:val="clear" w:color="auto" w:fill="auto"/>
          </w:tcPr>
          <w:p w14:paraId="24030EF4" w14:textId="77777777" w:rsidR="008C5CFA" w:rsidRPr="009C3005" w:rsidRDefault="00E82A60" w:rsidP="00300A01">
            <w:pPr>
              <w:pStyle w:val="Text1"/>
              <w:spacing w:before="0" w:after="0"/>
              <w:ind w:left="0"/>
              <w:jc w:val="right"/>
              <w:rPr>
                <w:sz w:val="12"/>
                <w:szCs w:val="12"/>
              </w:rPr>
            </w:pPr>
            <w:r w:rsidRPr="009C3005">
              <w:rPr>
                <w:noProof/>
                <w:sz w:val="12"/>
                <w:szCs w:val="12"/>
              </w:rPr>
              <w:t>0,00</w:t>
            </w:r>
          </w:p>
        </w:tc>
        <w:tc>
          <w:tcPr>
            <w:tcW w:w="0" w:type="auto"/>
            <w:shd w:val="clear" w:color="auto" w:fill="auto"/>
          </w:tcPr>
          <w:p w14:paraId="246159F8" w14:textId="77777777" w:rsidR="008C5CFA" w:rsidRPr="009C3005" w:rsidRDefault="00E82A60" w:rsidP="00300A01">
            <w:pPr>
              <w:pStyle w:val="Text1"/>
              <w:spacing w:before="0" w:after="0"/>
              <w:ind w:left="0"/>
              <w:jc w:val="right"/>
              <w:rPr>
                <w:sz w:val="12"/>
                <w:szCs w:val="12"/>
              </w:rPr>
            </w:pPr>
            <w:r w:rsidRPr="009C3005">
              <w:rPr>
                <w:noProof/>
                <w:sz w:val="12"/>
                <w:szCs w:val="12"/>
              </w:rPr>
              <w:t>1</w:t>
            </w:r>
          </w:p>
        </w:tc>
      </w:tr>
      <w:tr w:rsidR="006B2EC1" w14:paraId="333F2D6A" w14:textId="77777777" w:rsidTr="0047688D">
        <w:tc>
          <w:tcPr>
            <w:tcW w:w="0" w:type="auto"/>
            <w:shd w:val="clear" w:color="auto" w:fill="auto"/>
          </w:tcPr>
          <w:p w14:paraId="3BA1A0A6" w14:textId="77777777" w:rsidR="008C5CFA" w:rsidRPr="009C3005" w:rsidRDefault="00E82A60" w:rsidP="00300A01">
            <w:pPr>
              <w:pStyle w:val="Text1"/>
              <w:spacing w:before="0" w:after="0"/>
              <w:ind w:left="0"/>
              <w:rPr>
                <w:sz w:val="12"/>
                <w:szCs w:val="12"/>
              </w:rPr>
            </w:pPr>
            <w:r>
              <w:rPr>
                <w:noProof/>
                <w:sz w:val="14"/>
                <w:szCs w:val="14"/>
                <w:lang w:val="fr-BE"/>
              </w:rPr>
              <w:t>1</w:t>
            </w:r>
          </w:p>
        </w:tc>
        <w:tc>
          <w:tcPr>
            <w:tcW w:w="0" w:type="auto"/>
            <w:shd w:val="clear" w:color="auto" w:fill="auto"/>
          </w:tcPr>
          <w:p w14:paraId="429CCDC8" w14:textId="77777777" w:rsidR="008C5CFA" w:rsidRPr="009C3005" w:rsidRDefault="00E82A60" w:rsidP="00300A01">
            <w:pPr>
              <w:pStyle w:val="Text1"/>
              <w:spacing w:before="0" w:after="0"/>
              <w:ind w:left="0"/>
              <w:rPr>
                <w:sz w:val="12"/>
                <w:szCs w:val="12"/>
              </w:rPr>
            </w:pPr>
            <w:r>
              <w:rPr>
                <w:noProof/>
                <w:sz w:val="12"/>
                <w:szCs w:val="12"/>
              </w:rPr>
              <w:t>EFRR</w:t>
            </w:r>
          </w:p>
        </w:tc>
        <w:tc>
          <w:tcPr>
            <w:tcW w:w="0" w:type="auto"/>
            <w:shd w:val="clear" w:color="auto" w:fill="auto"/>
          </w:tcPr>
          <w:p w14:paraId="148F4474" w14:textId="77777777" w:rsidR="008C5CFA" w:rsidRPr="009C3005" w:rsidRDefault="00E82A60" w:rsidP="00300A01">
            <w:pPr>
              <w:pStyle w:val="Text1"/>
              <w:spacing w:before="0" w:after="0"/>
              <w:ind w:left="0"/>
              <w:rPr>
                <w:sz w:val="12"/>
                <w:szCs w:val="12"/>
              </w:rPr>
            </w:pPr>
            <w:r>
              <w:rPr>
                <w:noProof/>
                <w:sz w:val="12"/>
                <w:szCs w:val="12"/>
              </w:rPr>
              <w:t>Słabiej rozwinięte</w:t>
            </w:r>
          </w:p>
        </w:tc>
        <w:tc>
          <w:tcPr>
            <w:tcW w:w="0" w:type="auto"/>
            <w:shd w:val="clear" w:color="auto" w:fill="auto"/>
          </w:tcPr>
          <w:p w14:paraId="5741E4F7" w14:textId="77777777" w:rsidR="008C5CFA" w:rsidRPr="009C3005" w:rsidRDefault="00E82A60" w:rsidP="00300A01">
            <w:pPr>
              <w:pStyle w:val="Text1"/>
              <w:spacing w:before="0" w:after="0"/>
              <w:ind w:left="0"/>
              <w:rPr>
                <w:sz w:val="12"/>
                <w:szCs w:val="12"/>
              </w:rPr>
            </w:pPr>
            <w:r>
              <w:rPr>
                <w:noProof/>
                <w:sz w:val="12"/>
                <w:szCs w:val="12"/>
              </w:rPr>
              <w:t>056</w:t>
            </w:r>
          </w:p>
        </w:tc>
        <w:tc>
          <w:tcPr>
            <w:tcW w:w="0" w:type="auto"/>
            <w:shd w:val="clear" w:color="auto" w:fill="auto"/>
          </w:tcPr>
          <w:p w14:paraId="15F9B4DF"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279C7A06" w14:textId="77777777" w:rsidR="008C5CFA" w:rsidRPr="009C3005" w:rsidRDefault="00E82A60" w:rsidP="00300A01">
            <w:pPr>
              <w:pStyle w:val="Text1"/>
              <w:spacing w:before="0" w:after="0"/>
              <w:ind w:left="0"/>
              <w:rPr>
                <w:sz w:val="12"/>
                <w:szCs w:val="12"/>
              </w:rPr>
            </w:pPr>
            <w:r>
              <w:rPr>
                <w:noProof/>
                <w:sz w:val="12"/>
                <w:szCs w:val="12"/>
              </w:rPr>
              <w:t>02</w:t>
            </w:r>
          </w:p>
        </w:tc>
        <w:tc>
          <w:tcPr>
            <w:tcW w:w="0" w:type="auto"/>
            <w:shd w:val="clear" w:color="auto" w:fill="auto"/>
          </w:tcPr>
          <w:p w14:paraId="3901F5B2"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1B3B8C60"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56850921" w14:textId="77777777" w:rsidR="008C5CFA" w:rsidRPr="009C3005" w:rsidRDefault="00E82A60" w:rsidP="00300A01">
            <w:pPr>
              <w:pStyle w:val="Text1"/>
              <w:spacing w:before="0" w:after="0"/>
              <w:ind w:left="0"/>
              <w:rPr>
                <w:sz w:val="12"/>
                <w:szCs w:val="12"/>
              </w:rPr>
            </w:pPr>
            <w:r>
              <w:rPr>
                <w:sz w:val="12"/>
                <w:szCs w:val="12"/>
              </w:rPr>
              <w:t xml:space="preserve"> </w:t>
            </w:r>
          </w:p>
        </w:tc>
        <w:tc>
          <w:tcPr>
            <w:tcW w:w="0" w:type="auto"/>
            <w:shd w:val="clear" w:color="auto" w:fill="auto"/>
          </w:tcPr>
          <w:p w14:paraId="48BC110D"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71E7064C" w14:textId="77777777" w:rsidR="008C5CFA" w:rsidRPr="009C3005" w:rsidRDefault="00E82A60" w:rsidP="00300A01">
            <w:pPr>
              <w:pStyle w:val="Text1"/>
              <w:spacing w:before="0" w:after="0"/>
              <w:ind w:left="0"/>
              <w:rPr>
                <w:sz w:val="12"/>
                <w:szCs w:val="12"/>
              </w:rPr>
            </w:pPr>
            <w:r>
              <w:rPr>
                <w:noProof/>
                <w:sz w:val="12"/>
                <w:szCs w:val="12"/>
              </w:rPr>
              <w:t>PL33</w:t>
            </w:r>
          </w:p>
        </w:tc>
        <w:tc>
          <w:tcPr>
            <w:tcW w:w="0" w:type="auto"/>
            <w:shd w:val="clear" w:color="auto" w:fill="auto"/>
          </w:tcPr>
          <w:p w14:paraId="46E98500" w14:textId="77777777" w:rsidR="008C5CFA" w:rsidRPr="009C3005" w:rsidRDefault="00E82A60" w:rsidP="00300A01">
            <w:pPr>
              <w:pStyle w:val="Text1"/>
              <w:spacing w:before="0" w:after="0"/>
              <w:ind w:left="0"/>
              <w:jc w:val="right"/>
              <w:rPr>
                <w:sz w:val="12"/>
                <w:szCs w:val="12"/>
              </w:rPr>
            </w:pPr>
            <w:r w:rsidRPr="009C3005">
              <w:rPr>
                <w:noProof/>
                <w:sz w:val="12"/>
                <w:szCs w:val="12"/>
              </w:rPr>
              <w:t>277 210,05</w:t>
            </w:r>
          </w:p>
        </w:tc>
        <w:tc>
          <w:tcPr>
            <w:tcW w:w="0" w:type="auto"/>
            <w:shd w:val="clear" w:color="auto" w:fill="auto"/>
          </w:tcPr>
          <w:p w14:paraId="07A0205A" w14:textId="77777777" w:rsidR="008C5CFA" w:rsidRPr="009C3005" w:rsidRDefault="00E82A60" w:rsidP="00300A01">
            <w:pPr>
              <w:pStyle w:val="Text1"/>
              <w:spacing w:before="0" w:after="0"/>
              <w:ind w:left="0"/>
              <w:jc w:val="right"/>
              <w:rPr>
                <w:sz w:val="12"/>
                <w:szCs w:val="12"/>
              </w:rPr>
            </w:pPr>
            <w:r w:rsidRPr="009C3005">
              <w:rPr>
                <w:noProof/>
                <w:sz w:val="12"/>
                <w:szCs w:val="12"/>
              </w:rPr>
              <w:t>113 656,12</w:t>
            </w:r>
          </w:p>
        </w:tc>
        <w:tc>
          <w:tcPr>
            <w:tcW w:w="0" w:type="auto"/>
            <w:shd w:val="clear" w:color="auto" w:fill="auto"/>
          </w:tcPr>
          <w:p w14:paraId="2505DDE3" w14:textId="77777777" w:rsidR="008C5CFA" w:rsidRPr="009C3005" w:rsidRDefault="00E82A60" w:rsidP="00300A01">
            <w:pPr>
              <w:pStyle w:val="Text1"/>
              <w:spacing w:before="0" w:after="0"/>
              <w:ind w:left="0"/>
              <w:jc w:val="right"/>
              <w:rPr>
                <w:sz w:val="12"/>
                <w:szCs w:val="12"/>
              </w:rPr>
            </w:pPr>
            <w:r w:rsidRPr="009C3005">
              <w:rPr>
                <w:noProof/>
                <w:sz w:val="12"/>
                <w:szCs w:val="12"/>
              </w:rPr>
              <w:t>0,00</w:t>
            </w:r>
          </w:p>
        </w:tc>
        <w:tc>
          <w:tcPr>
            <w:tcW w:w="0" w:type="auto"/>
            <w:shd w:val="clear" w:color="auto" w:fill="auto"/>
          </w:tcPr>
          <w:p w14:paraId="6D1E01FD" w14:textId="77777777" w:rsidR="008C5CFA" w:rsidRPr="009C3005" w:rsidRDefault="00E82A60" w:rsidP="00300A01">
            <w:pPr>
              <w:pStyle w:val="Text1"/>
              <w:spacing w:before="0" w:after="0"/>
              <w:ind w:left="0"/>
              <w:jc w:val="right"/>
              <w:rPr>
                <w:sz w:val="12"/>
                <w:szCs w:val="12"/>
              </w:rPr>
            </w:pPr>
            <w:r w:rsidRPr="009C3005">
              <w:rPr>
                <w:noProof/>
                <w:sz w:val="12"/>
                <w:szCs w:val="12"/>
              </w:rPr>
              <w:t>1</w:t>
            </w:r>
          </w:p>
        </w:tc>
      </w:tr>
      <w:tr w:rsidR="006B2EC1" w14:paraId="6A8E252C" w14:textId="77777777" w:rsidTr="0047688D">
        <w:tc>
          <w:tcPr>
            <w:tcW w:w="0" w:type="auto"/>
            <w:shd w:val="clear" w:color="auto" w:fill="auto"/>
          </w:tcPr>
          <w:p w14:paraId="19BE0192" w14:textId="77777777" w:rsidR="008C5CFA" w:rsidRPr="009C3005" w:rsidRDefault="00E82A60" w:rsidP="00300A01">
            <w:pPr>
              <w:pStyle w:val="Text1"/>
              <w:spacing w:before="0" w:after="0"/>
              <w:ind w:left="0"/>
              <w:rPr>
                <w:sz w:val="12"/>
                <w:szCs w:val="12"/>
              </w:rPr>
            </w:pPr>
            <w:r>
              <w:rPr>
                <w:noProof/>
                <w:sz w:val="14"/>
                <w:szCs w:val="14"/>
                <w:lang w:val="fr-BE"/>
              </w:rPr>
              <w:t>1</w:t>
            </w:r>
          </w:p>
        </w:tc>
        <w:tc>
          <w:tcPr>
            <w:tcW w:w="0" w:type="auto"/>
            <w:shd w:val="clear" w:color="auto" w:fill="auto"/>
          </w:tcPr>
          <w:p w14:paraId="294EEB26" w14:textId="77777777" w:rsidR="008C5CFA" w:rsidRPr="009C3005" w:rsidRDefault="00E82A60" w:rsidP="00300A01">
            <w:pPr>
              <w:pStyle w:val="Text1"/>
              <w:spacing w:before="0" w:after="0"/>
              <w:ind w:left="0"/>
              <w:rPr>
                <w:sz w:val="12"/>
                <w:szCs w:val="12"/>
              </w:rPr>
            </w:pPr>
            <w:r>
              <w:rPr>
                <w:noProof/>
                <w:sz w:val="12"/>
                <w:szCs w:val="12"/>
              </w:rPr>
              <w:t>EFRR</w:t>
            </w:r>
          </w:p>
        </w:tc>
        <w:tc>
          <w:tcPr>
            <w:tcW w:w="0" w:type="auto"/>
            <w:shd w:val="clear" w:color="auto" w:fill="auto"/>
          </w:tcPr>
          <w:p w14:paraId="539FD19E" w14:textId="77777777" w:rsidR="008C5CFA" w:rsidRPr="009C3005" w:rsidRDefault="00E82A60" w:rsidP="00300A01">
            <w:pPr>
              <w:pStyle w:val="Text1"/>
              <w:spacing w:before="0" w:after="0"/>
              <w:ind w:left="0"/>
              <w:rPr>
                <w:sz w:val="12"/>
                <w:szCs w:val="12"/>
              </w:rPr>
            </w:pPr>
            <w:r>
              <w:rPr>
                <w:noProof/>
                <w:sz w:val="12"/>
                <w:szCs w:val="12"/>
              </w:rPr>
              <w:t>Słabiej rozwinięte</w:t>
            </w:r>
          </w:p>
        </w:tc>
        <w:tc>
          <w:tcPr>
            <w:tcW w:w="0" w:type="auto"/>
            <w:shd w:val="clear" w:color="auto" w:fill="auto"/>
          </w:tcPr>
          <w:p w14:paraId="353978CF" w14:textId="77777777" w:rsidR="008C5CFA" w:rsidRPr="009C3005" w:rsidRDefault="00E82A60" w:rsidP="00300A01">
            <w:pPr>
              <w:pStyle w:val="Text1"/>
              <w:spacing w:before="0" w:after="0"/>
              <w:ind w:left="0"/>
              <w:rPr>
                <w:sz w:val="12"/>
                <w:szCs w:val="12"/>
              </w:rPr>
            </w:pPr>
            <w:r>
              <w:rPr>
                <w:noProof/>
                <w:sz w:val="12"/>
                <w:szCs w:val="12"/>
              </w:rPr>
              <w:t>056</w:t>
            </w:r>
          </w:p>
        </w:tc>
        <w:tc>
          <w:tcPr>
            <w:tcW w:w="0" w:type="auto"/>
            <w:shd w:val="clear" w:color="auto" w:fill="auto"/>
          </w:tcPr>
          <w:p w14:paraId="78DC71F1"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3C0C1519" w14:textId="77777777" w:rsidR="008C5CFA" w:rsidRPr="009C3005" w:rsidRDefault="00E82A60" w:rsidP="00300A01">
            <w:pPr>
              <w:pStyle w:val="Text1"/>
              <w:spacing w:before="0" w:after="0"/>
              <w:ind w:left="0"/>
              <w:rPr>
                <w:sz w:val="12"/>
                <w:szCs w:val="12"/>
              </w:rPr>
            </w:pPr>
            <w:r>
              <w:rPr>
                <w:noProof/>
                <w:sz w:val="12"/>
                <w:szCs w:val="12"/>
              </w:rPr>
              <w:t>02</w:t>
            </w:r>
          </w:p>
        </w:tc>
        <w:tc>
          <w:tcPr>
            <w:tcW w:w="0" w:type="auto"/>
            <w:shd w:val="clear" w:color="auto" w:fill="auto"/>
          </w:tcPr>
          <w:p w14:paraId="36924550"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2479D0C0"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704A228D" w14:textId="77777777" w:rsidR="008C5CFA" w:rsidRPr="009C3005" w:rsidRDefault="00E82A60" w:rsidP="00300A01">
            <w:pPr>
              <w:pStyle w:val="Text1"/>
              <w:spacing w:before="0" w:after="0"/>
              <w:ind w:left="0"/>
              <w:rPr>
                <w:sz w:val="12"/>
                <w:szCs w:val="12"/>
              </w:rPr>
            </w:pPr>
            <w:r>
              <w:rPr>
                <w:sz w:val="12"/>
                <w:szCs w:val="12"/>
              </w:rPr>
              <w:t xml:space="preserve"> </w:t>
            </w:r>
          </w:p>
        </w:tc>
        <w:tc>
          <w:tcPr>
            <w:tcW w:w="0" w:type="auto"/>
            <w:shd w:val="clear" w:color="auto" w:fill="auto"/>
          </w:tcPr>
          <w:p w14:paraId="671C5C07" w14:textId="77777777" w:rsidR="008C5CFA" w:rsidRPr="009C3005" w:rsidRDefault="00E82A60" w:rsidP="00300A01">
            <w:pPr>
              <w:pStyle w:val="Text1"/>
              <w:spacing w:before="0" w:after="0"/>
              <w:ind w:left="0"/>
              <w:rPr>
                <w:sz w:val="12"/>
                <w:szCs w:val="12"/>
              </w:rPr>
            </w:pPr>
            <w:r>
              <w:rPr>
                <w:noProof/>
                <w:sz w:val="12"/>
                <w:szCs w:val="12"/>
              </w:rPr>
              <w:t>08</w:t>
            </w:r>
          </w:p>
        </w:tc>
        <w:tc>
          <w:tcPr>
            <w:tcW w:w="0" w:type="auto"/>
            <w:shd w:val="clear" w:color="auto" w:fill="auto"/>
          </w:tcPr>
          <w:p w14:paraId="46036C75" w14:textId="77777777" w:rsidR="008C5CFA" w:rsidRPr="009C3005" w:rsidRDefault="00E82A60" w:rsidP="00300A01">
            <w:pPr>
              <w:pStyle w:val="Text1"/>
              <w:spacing w:before="0" w:after="0"/>
              <w:ind w:left="0"/>
              <w:rPr>
                <w:sz w:val="12"/>
                <w:szCs w:val="12"/>
              </w:rPr>
            </w:pPr>
            <w:r>
              <w:rPr>
                <w:noProof/>
                <w:sz w:val="12"/>
                <w:szCs w:val="12"/>
              </w:rPr>
              <w:t>PL33</w:t>
            </w:r>
          </w:p>
        </w:tc>
        <w:tc>
          <w:tcPr>
            <w:tcW w:w="0" w:type="auto"/>
            <w:shd w:val="clear" w:color="auto" w:fill="auto"/>
          </w:tcPr>
          <w:p w14:paraId="0C649E45" w14:textId="77777777" w:rsidR="008C5CFA" w:rsidRPr="009C3005" w:rsidRDefault="00E82A60" w:rsidP="00300A01">
            <w:pPr>
              <w:pStyle w:val="Text1"/>
              <w:spacing w:before="0" w:after="0"/>
              <w:ind w:left="0"/>
              <w:jc w:val="right"/>
              <w:rPr>
                <w:sz w:val="12"/>
                <w:szCs w:val="12"/>
              </w:rPr>
            </w:pPr>
            <w:r w:rsidRPr="009C3005">
              <w:rPr>
                <w:noProof/>
                <w:sz w:val="12"/>
                <w:szCs w:val="12"/>
              </w:rPr>
              <w:t>1 217 374,96</w:t>
            </w:r>
          </w:p>
        </w:tc>
        <w:tc>
          <w:tcPr>
            <w:tcW w:w="0" w:type="auto"/>
            <w:shd w:val="clear" w:color="auto" w:fill="auto"/>
          </w:tcPr>
          <w:p w14:paraId="0B1887C6" w14:textId="77777777" w:rsidR="008C5CFA" w:rsidRPr="009C3005" w:rsidRDefault="00E82A60" w:rsidP="00300A01">
            <w:pPr>
              <w:pStyle w:val="Text1"/>
              <w:spacing w:before="0" w:after="0"/>
              <w:ind w:left="0"/>
              <w:jc w:val="right"/>
              <w:rPr>
                <w:sz w:val="12"/>
                <w:szCs w:val="12"/>
              </w:rPr>
            </w:pPr>
            <w:r w:rsidRPr="009C3005">
              <w:rPr>
                <w:noProof/>
                <w:sz w:val="12"/>
                <w:szCs w:val="12"/>
              </w:rPr>
              <w:t>669 556,23</w:t>
            </w:r>
          </w:p>
        </w:tc>
        <w:tc>
          <w:tcPr>
            <w:tcW w:w="0" w:type="auto"/>
            <w:shd w:val="clear" w:color="auto" w:fill="auto"/>
          </w:tcPr>
          <w:p w14:paraId="471D6E14" w14:textId="77777777" w:rsidR="008C5CFA" w:rsidRPr="009C3005" w:rsidRDefault="00E82A60" w:rsidP="00300A01">
            <w:pPr>
              <w:pStyle w:val="Text1"/>
              <w:spacing w:before="0" w:after="0"/>
              <w:ind w:left="0"/>
              <w:jc w:val="right"/>
              <w:rPr>
                <w:sz w:val="12"/>
                <w:szCs w:val="12"/>
              </w:rPr>
            </w:pPr>
            <w:r w:rsidRPr="009C3005">
              <w:rPr>
                <w:noProof/>
                <w:sz w:val="12"/>
                <w:szCs w:val="12"/>
              </w:rPr>
              <w:t>0,00</w:t>
            </w:r>
          </w:p>
        </w:tc>
        <w:tc>
          <w:tcPr>
            <w:tcW w:w="0" w:type="auto"/>
            <w:shd w:val="clear" w:color="auto" w:fill="auto"/>
          </w:tcPr>
          <w:p w14:paraId="4F14C31E" w14:textId="77777777" w:rsidR="008C5CFA" w:rsidRPr="009C3005" w:rsidRDefault="00E82A60" w:rsidP="00300A01">
            <w:pPr>
              <w:pStyle w:val="Text1"/>
              <w:spacing w:before="0" w:after="0"/>
              <w:ind w:left="0"/>
              <w:jc w:val="right"/>
              <w:rPr>
                <w:sz w:val="12"/>
                <w:szCs w:val="12"/>
              </w:rPr>
            </w:pPr>
            <w:r w:rsidRPr="009C3005">
              <w:rPr>
                <w:noProof/>
                <w:sz w:val="12"/>
                <w:szCs w:val="12"/>
              </w:rPr>
              <w:t>1</w:t>
            </w:r>
          </w:p>
        </w:tc>
      </w:tr>
      <w:tr w:rsidR="006B2EC1" w14:paraId="6341CF54" w14:textId="77777777" w:rsidTr="0047688D">
        <w:tc>
          <w:tcPr>
            <w:tcW w:w="0" w:type="auto"/>
            <w:shd w:val="clear" w:color="auto" w:fill="auto"/>
          </w:tcPr>
          <w:p w14:paraId="6A34E991" w14:textId="77777777" w:rsidR="008C5CFA" w:rsidRPr="009C3005" w:rsidRDefault="00E82A60" w:rsidP="00300A01">
            <w:pPr>
              <w:pStyle w:val="Text1"/>
              <w:spacing w:before="0" w:after="0"/>
              <w:ind w:left="0"/>
              <w:rPr>
                <w:sz w:val="12"/>
                <w:szCs w:val="12"/>
              </w:rPr>
            </w:pPr>
            <w:r>
              <w:rPr>
                <w:noProof/>
                <w:sz w:val="14"/>
                <w:szCs w:val="14"/>
                <w:lang w:val="fr-BE"/>
              </w:rPr>
              <w:t>1</w:t>
            </w:r>
          </w:p>
        </w:tc>
        <w:tc>
          <w:tcPr>
            <w:tcW w:w="0" w:type="auto"/>
            <w:shd w:val="clear" w:color="auto" w:fill="auto"/>
          </w:tcPr>
          <w:p w14:paraId="0AF13EB0" w14:textId="77777777" w:rsidR="008C5CFA" w:rsidRPr="009C3005" w:rsidRDefault="00E82A60" w:rsidP="00300A01">
            <w:pPr>
              <w:pStyle w:val="Text1"/>
              <w:spacing w:before="0" w:after="0"/>
              <w:ind w:left="0"/>
              <w:rPr>
                <w:sz w:val="12"/>
                <w:szCs w:val="12"/>
              </w:rPr>
            </w:pPr>
            <w:r>
              <w:rPr>
                <w:noProof/>
                <w:sz w:val="12"/>
                <w:szCs w:val="12"/>
              </w:rPr>
              <w:t>EFRR</w:t>
            </w:r>
          </w:p>
        </w:tc>
        <w:tc>
          <w:tcPr>
            <w:tcW w:w="0" w:type="auto"/>
            <w:shd w:val="clear" w:color="auto" w:fill="auto"/>
          </w:tcPr>
          <w:p w14:paraId="63FEA5B3" w14:textId="77777777" w:rsidR="008C5CFA" w:rsidRPr="009C3005" w:rsidRDefault="00E82A60" w:rsidP="00300A01">
            <w:pPr>
              <w:pStyle w:val="Text1"/>
              <w:spacing w:before="0" w:after="0"/>
              <w:ind w:left="0"/>
              <w:rPr>
                <w:sz w:val="12"/>
                <w:szCs w:val="12"/>
              </w:rPr>
            </w:pPr>
            <w:r>
              <w:rPr>
                <w:noProof/>
                <w:sz w:val="12"/>
                <w:szCs w:val="12"/>
              </w:rPr>
              <w:t>Słabiej rozwinięte</w:t>
            </w:r>
          </w:p>
        </w:tc>
        <w:tc>
          <w:tcPr>
            <w:tcW w:w="0" w:type="auto"/>
            <w:shd w:val="clear" w:color="auto" w:fill="auto"/>
          </w:tcPr>
          <w:p w14:paraId="3B27B3F9" w14:textId="77777777" w:rsidR="008C5CFA" w:rsidRPr="009C3005" w:rsidRDefault="00E82A60" w:rsidP="00300A01">
            <w:pPr>
              <w:pStyle w:val="Text1"/>
              <w:spacing w:before="0" w:after="0"/>
              <w:ind w:left="0"/>
              <w:rPr>
                <w:sz w:val="12"/>
                <w:szCs w:val="12"/>
              </w:rPr>
            </w:pPr>
            <w:r>
              <w:rPr>
                <w:noProof/>
                <w:sz w:val="12"/>
                <w:szCs w:val="12"/>
              </w:rPr>
              <w:t>056</w:t>
            </w:r>
          </w:p>
        </w:tc>
        <w:tc>
          <w:tcPr>
            <w:tcW w:w="0" w:type="auto"/>
            <w:shd w:val="clear" w:color="auto" w:fill="auto"/>
          </w:tcPr>
          <w:p w14:paraId="7D30192A"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39426BED" w14:textId="77777777" w:rsidR="008C5CFA" w:rsidRPr="009C3005" w:rsidRDefault="00E82A60" w:rsidP="00300A01">
            <w:pPr>
              <w:pStyle w:val="Text1"/>
              <w:spacing w:before="0" w:after="0"/>
              <w:ind w:left="0"/>
              <w:rPr>
                <w:sz w:val="12"/>
                <w:szCs w:val="12"/>
              </w:rPr>
            </w:pPr>
            <w:r>
              <w:rPr>
                <w:noProof/>
                <w:sz w:val="12"/>
                <w:szCs w:val="12"/>
              </w:rPr>
              <w:t>03</w:t>
            </w:r>
          </w:p>
        </w:tc>
        <w:tc>
          <w:tcPr>
            <w:tcW w:w="0" w:type="auto"/>
            <w:shd w:val="clear" w:color="auto" w:fill="auto"/>
          </w:tcPr>
          <w:p w14:paraId="44332CC1"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7A48B0CA"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51B33CED" w14:textId="77777777" w:rsidR="008C5CFA" w:rsidRPr="009C3005" w:rsidRDefault="00E82A60" w:rsidP="00300A01">
            <w:pPr>
              <w:pStyle w:val="Text1"/>
              <w:spacing w:before="0" w:after="0"/>
              <w:ind w:left="0"/>
              <w:rPr>
                <w:sz w:val="12"/>
                <w:szCs w:val="12"/>
              </w:rPr>
            </w:pPr>
            <w:r>
              <w:rPr>
                <w:sz w:val="12"/>
                <w:szCs w:val="12"/>
              </w:rPr>
              <w:t xml:space="preserve"> </w:t>
            </w:r>
          </w:p>
        </w:tc>
        <w:tc>
          <w:tcPr>
            <w:tcW w:w="0" w:type="auto"/>
            <w:shd w:val="clear" w:color="auto" w:fill="auto"/>
          </w:tcPr>
          <w:p w14:paraId="64354090"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69FAC6CD" w14:textId="77777777" w:rsidR="008C5CFA" w:rsidRPr="009C3005" w:rsidRDefault="00E82A60" w:rsidP="00300A01">
            <w:pPr>
              <w:pStyle w:val="Text1"/>
              <w:spacing w:before="0" w:after="0"/>
              <w:ind w:left="0"/>
              <w:rPr>
                <w:sz w:val="12"/>
                <w:szCs w:val="12"/>
              </w:rPr>
            </w:pPr>
            <w:r>
              <w:rPr>
                <w:noProof/>
                <w:sz w:val="12"/>
                <w:szCs w:val="12"/>
              </w:rPr>
              <w:t>PL33</w:t>
            </w:r>
          </w:p>
        </w:tc>
        <w:tc>
          <w:tcPr>
            <w:tcW w:w="0" w:type="auto"/>
            <w:shd w:val="clear" w:color="auto" w:fill="auto"/>
          </w:tcPr>
          <w:p w14:paraId="54A9954A" w14:textId="77777777" w:rsidR="008C5CFA" w:rsidRPr="009C3005" w:rsidRDefault="00E82A60" w:rsidP="00300A01">
            <w:pPr>
              <w:pStyle w:val="Text1"/>
              <w:spacing w:before="0" w:after="0"/>
              <w:ind w:left="0"/>
              <w:jc w:val="right"/>
              <w:rPr>
                <w:sz w:val="12"/>
                <w:szCs w:val="12"/>
              </w:rPr>
            </w:pPr>
            <w:r w:rsidRPr="009C3005">
              <w:rPr>
                <w:noProof/>
                <w:sz w:val="12"/>
                <w:szCs w:val="12"/>
              </w:rPr>
              <w:t>1 413 305,38</w:t>
            </w:r>
          </w:p>
        </w:tc>
        <w:tc>
          <w:tcPr>
            <w:tcW w:w="0" w:type="auto"/>
            <w:shd w:val="clear" w:color="auto" w:fill="auto"/>
          </w:tcPr>
          <w:p w14:paraId="08D12A87" w14:textId="77777777" w:rsidR="008C5CFA" w:rsidRPr="009C3005" w:rsidRDefault="00E82A60" w:rsidP="00300A01">
            <w:pPr>
              <w:pStyle w:val="Text1"/>
              <w:spacing w:before="0" w:after="0"/>
              <w:ind w:left="0"/>
              <w:jc w:val="right"/>
              <w:rPr>
                <w:sz w:val="12"/>
                <w:szCs w:val="12"/>
              </w:rPr>
            </w:pPr>
            <w:r w:rsidRPr="009C3005">
              <w:rPr>
                <w:noProof/>
                <w:sz w:val="12"/>
                <w:szCs w:val="12"/>
              </w:rPr>
              <w:t>830 901,09</w:t>
            </w:r>
          </w:p>
        </w:tc>
        <w:tc>
          <w:tcPr>
            <w:tcW w:w="0" w:type="auto"/>
            <w:shd w:val="clear" w:color="auto" w:fill="auto"/>
          </w:tcPr>
          <w:p w14:paraId="5B592D12" w14:textId="77777777" w:rsidR="008C5CFA" w:rsidRPr="009C3005" w:rsidRDefault="00E82A60" w:rsidP="00300A01">
            <w:pPr>
              <w:pStyle w:val="Text1"/>
              <w:spacing w:before="0" w:after="0"/>
              <w:ind w:left="0"/>
              <w:jc w:val="right"/>
              <w:rPr>
                <w:sz w:val="12"/>
                <w:szCs w:val="12"/>
              </w:rPr>
            </w:pPr>
            <w:r w:rsidRPr="009C3005">
              <w:rPr>
                <w:noProof/>
                <w:sz w:val="12"/>
                <w:szCs w:val="12"/>
              </w:rPr>
              <w:t>31 501,82</w:t>
            </w:r>
          </w:p>
        </w:tc>
        <w:tc>
          <w:tcPr>
            <w:tcW w:w="0" w:type="auto"/>
            <w:shd w:val="clear" w:color="auto" w:fill="auto"/>
          </w:tcPr>
          <w:p w14:paraId="0722F5F1" w14:textId="77777777" w:rsidR="008C5CFA" w:rsidRPr="009C3005" w:rsidRDefault="00E82A60" w:rsidP="00300A01">
            <w:pPr>
              <w:pStyle w:val="Text1"/>
              <w:spacing w:before="0" w:after="0"/>
              <w:ind w:left="0"/>
              <w:jc w:val="right"/>
              <w:rPr>
                <w:sz w:val="12"/>
                <w:szCs w:val="12"/>
              </w:rPr>
            </w:pPr>
            <w:r w:rsidRPr="009C3005">
              <w:rPr>
                <w:noProof/>
                <w:sz w:val="12"/>
                <w:szCs w:val="12"/>
              </w:rPr>
              <w:t>3</w:t>
            </w:r>
          </w:p>
        </w:tc>
      </w:tr>
      <w:tr w:rsidR="006B2EC1" w14:paraId="52B34897" w14:textId="77777777" w:rsidTr="0047688D">
        <w:tc>
          <w:tcPr>
            <w:tcW w:w="0" w:type="auto"/>
            <w:shd w:val="clear" w:color="auto" w:fill="auto"/>
          </w:tcPr>
          <w:p w14:paraId="6EBBACDE" w14:textId="77777777" w:rsidR="008C5CFA" w:rsidRPr="009C3005" w:rsidRDefault="00E82A60" w:rsidP="00300A01">
            <w:pPr>
              <w:pStyle w:val="Text1"/>
              <w:spacing w:before="0" w:after="0"/>
              <w:ind w:left="0"/>
              <w:rPr>
                <w:sz w:val="12"/>
                <w:szCs w:val="12"/>
              </w:rPr>
            </w:pPr>
            <w:r>
              <w:rPr>
                <w:noProof/>
                <w:sz w:val="14"/>
                <w:szCs w:val="14"/>
                <w:lang w:val="fr-BE"/>
              </w:rPr>
              <w:t>1</w:t>
            </w:r>
          </w:p>
        </w:tc>
        <w:tc>
          <w:tcPr>
            <w:tcW w:w="0" w:type="auto"/>
            <w:shd w:val="clear" w:color="auto" w:fill="auto"/>
          </w:tcPr>
          <w:p w14:paraId="30E3BB4F" w14:textId="77777777" w:rsidR="008C5CFA" w:rsidRPr="009C3005" w:rsidRDefault="00E82A60" w:rsidP="00300A01">
            <w:pPr>
              <w:pStyle w:val="Text1"/>
              <w:spacing w:before="0" w:after="0"/>
              <w:ind w:left="0"/>
              <w:rPr>
                <w:sz w:val="12"/>
                <w:szCs w:val="12"/>
              </w:rPr>
            </w:pPr>
            <w:r>
              <w:rPr>
                <w:noProof/>
                <w:sz w:val="12"/>
                <w:szCs w:val="12"/>
              </w:rPr>
              <w:t>EFRR</w:t>
            </w:r>
          </w:p>
        </w:tc>
        <w:tc>
          <w:tcPr>
            <w:tcW w:w="0" w:type="auto"/>
            <w:shd w:val="clear" w:color="auto" w:fill="auto"/>
          </w:tcPr>
          <w:p w14:paraId="2B958684" w14:textId="77777777" w:rsidR="008C5CFA" w:rsidRPr="009C3005" w:rsidRDefault="00E82A60" w:rsidP="00300A01">
            <w:pPr>
              <w:pStyle w:val="Text1"/>
              <w:spacing w:before="0" w:after="0"/>
              <w:ind w:left="0"/>
              <w:rPr>
                <w:sz w:val="12"/>
                <w:szCs w:val="12"/>
              </w:rPr>
            </w:pPr>
            <w:r>
              <w:rPr>
                <w:noProof/>
                <w:sz w:val="12"/>
                <w:szCs w:val="12"/>
              </w:rPr>
              <w:t>Słabiej rozwinięte</w:t>
            </w:r>
          </w:p>
        </w:tc>
        <w:tc>
          <w:tcPr>
            <w:tcW w:w="0" w:type="auto"/>
            <w:shd w:val="clear" w:color="auto" w:fill="auto"/>
          </w:tcPr>
          <w:p w14:paraId="22562E00" w14:textId="77777777" w:rsidR="008C5CFA" w:rsidRPr="009C3005" w:rsidRDefault="00E82A60" w:rsidP="00300A01">
            <w:pPr>
              <w:pStyle w:val="Text1"/>
              <w:spacing w:before="0" w:after="0"/>
              <w:ind w:left="0"/>
              <w:rPr>
                <w:sz w:val="12"/>
                <w:szCs w:val="12"/>
              </w:rPr>
            </w:pPr>
            <w:r>
              <w:rPr>
                <w:noProof/>
                <w:sz w:val="12"/>
                <w:szCs w:val="12"/>
              </w:rPr>
              <w:t>056</w:t>
            </w:r>
          </w:p>
        </w:tc>
        <w:tc>
          <w:tcPr>
            <w:tcW w:w="0" w:type="auto"/>
            <w:shd w:val="clear" w:color="auto" w:fill="auto"/>
          </w:tcPr>
          <w:p w14:paraId="5F2F8ABE"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3DEA8592" w14:textId="77777777" w:rsidR="008C5CFA" w:rsidRPr="009C3005" w:rsidRDefault="00E82A60" w:rsidP="00300A01">
            <w:pPr>
              <w:pStyle w:val="Text1"/>
              <w:spacing w:before="0" w:after="0"/>
              <w:ind w:left="0"/>
              <w:rPr>
                <w:sz w:val="12"/>
                <w:szCs w:val="12"/>
              </w:rPr>
            </w:pPr>
            <w:r>
              <w:rPr>
                <w:noProof/>
                <w:sz w:val="12"/>
                <w:szCs w:val="12"/>
              </w:rPr>
              <w:t>03</w:t>
            </w:r>
          </w:p>
        </w:tc>
        <w:tc>
          <w:tcPr>
            <w:tcW w:w="0" w:type="auto"/>
            <w:shd w:val="clear" w:color="auto" w:fill="auto"/>
          </w:tcPr>
          <w:p w14:paraId="6913171D"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1C6AB504"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44AF0922" w14:textId="77777777" w:rsidR="008C5CFA" w:rsidRPr="009C3005" w:rsidRDefault="00E82A60" w:rsidP="00300A01">
            <w:pPr>
              <w:pStyle w:val="Text1"/>
              <w:spacing w:before="0" w:after="0"/>
              <w:ind w:left="0"/>
              <w:rPr>
                <w:sz w:val="12"/>
                <w:szCs w:val="12"/>
              </w:rPr>
            </w:pPr>
            <w:r>
              <w:rPr>
                <w:sz w:val="12"/>
                <w:szCs w:val="12"/>
              </w:rPr>
              <w:t xml:space="preserve"> </w:t>
            </w:r>
          </w:p>
        </w:tc>
        <w:tc>
          <w:tcPr>
            <w:tcW w:w="0" w:type="auto"/>
            <w:shd w:val="clear" w:color="auto" w:fill="auto"/>
          </w:tcPr>
          <w:p w14:paraId="09FE3D6A" w14:textId="77777777" w:rsidR="008C5CFA" w:rsidRPr="009C3005" w:rsidRDefault="00E82A60" w:rsidP="00300A01">
            <w:pPr>
              <w:pStyle w:val="Text1"/>
              <w:spacing w:before="0" w:after="0"/>
              <w:ind w:left="0"/>
              <w:rPr>
                <w:sz w:val="12"/>
                <w:szCs w:val="12"/>
              </w:rPr>
            </w:pPr>
            <w:r>
              <w:rPr>
                <w:noProof/>
                <w:sz w:val="12"/>
                <w:szCs w:val="12"/>
              </w:rPr>
              <w:t>08</w:t>
            </w:r>
          </w:p>
        </w:tc>
        <w:tc>
          <w:tcPr>
            <w:tcW w:w="0" w:type="auto"/>
            <w:shd w:val="clear" w:color="auto" w:fill="auto"/>
          </w:tcPr>
          <w:p w14:paraId="7986B9BC" w14:textId="77777777" w:rsidR="008C5CFA" w:rsidRPr="009C3005" w:rsidRDefault="00E82A60" w:rsidP="00300A01">
            <w:pPr>
              <w:pStyle w:val="Text1"/>
              <w:spacing w:before="0" w:after="0"/>
              <w:ind w:left="0"/>
              <w:rPr>
                <w:sz w:val="12"/>
                <w:szCs w:val="12"/>
              </w:rPr>
            </w:pPr>
            <w:r>
              <w:rPr>
                <w:noProof/>
                <w:sz w:val="12"/>
                <w:szCs w:val="12"/>
              </w:rPr>
              <w:t>PL33</w:t>
            </w:r>
          </w:p>
        </w:tc>
        <w:tc>
          <w:tcPr>
            <w:tcW w:w="0" w:type="auto"/>
            <w:shd w:val="clear" w:color="auto" w:fill="auto"/>
          </w:tcPr>
          <w:p w14:paraId="40906446" w14:textId="77777777" w:rsidR="008C5CFA" w:rsidRPr="009C3005" w:rsidRDefault="00E82A60" w:rsidP="00300A01">
            <w:pPr>
              <w:pStyle w:val="Text1"/>
              <w:spacing w:before="0" w:after="0"/>
              <w:ind w:left="0"/>
              <w:jc w:val="right"/>
              <w:rPr>
                <w:sz w:val="12"/>
                <w:szCs w:val="12"/>
              </w:rPr>
            </w:pPr>
            <w:r w:rsidRPr="009C3005">
              <w:rPr>
                <w:noProof/>
                <w:sz w:val="12"/>
                <w:szCs w:val="12"/>
              </w:rPr>
              <w:t>1 589 027,60</w:t>
            </w:r>
          </w:p>
        </w:tc>
        <w:tc>
          <w:tcPr>
            <w:tcW w:w="0" w:type="auto"/>
            <w:shd w:val="clear" w:color="auto" w:fill="auto"/>
          </w:tcPr>
          <w:p w14:paraId="7E639862" w14:textId="77777777" w:rsidR="008C5CFA" w:rsidRPr="009C3005" w:rsidRDefault="00E82A60" w:rsidP="00300A01">
            <w:pPr>
              <w:pStyle w:val="Text1"/>
              <w:spacing w:before="0" w:after="0"/>
              <w:ind w:left="0"/>
              <w:jc w:val="right"/>
              <w:rPr>
                <w:sz w:val="12"/>
                <w:szCs w:val="12"/>
              </w:rPr>
            </w:pPr>
            <w:r w:rsidRPr="009C3005">
              <w:rPr>
                <w:noProof/>
                <w:sz w:val="12"/>
                <w:szCs w:val="12"/>
              </w:rPr>
              <w:t>794 513,80</w:t>
            </w:r>
          </w:p>
        </w:tc>
        <w:tc>
          <w:tcPr>
            <w:tcW w:w="0" w:type="auto"/>
            <w:shd w:val="clear" w:color="auto" w:fill="auto"/>
          </w:tcPr>
          <w:p w14:paraId="4DD9E854" w14:textId="77777777" w:rsidR="008C5CFA" w:rsidRPr="009C3005" w:rsidRDefault="00E82A60" w:rsidP="00300A01">
            <w:pPr>
              <w:pStyle w:val="Text1"/>
              <w:spacing w:before="0" w:after="0"/>
              <w:ind w:left="0"/>
              <w:jc w:val="right"/>
              <w:rPr>
                <w:sz w:val="12"/>
                <w:szCs w:val="12"/>
              </w:rPr>
            </w:pPr>
            <w:r w:rsidRPr="009C3005">
              <w:rPr>
                <w:noProof/>
                <w:sz w:val="12"/>
                <w:szCs w:val="12"/>
              </w:rPr>
              <w:t>0,00</w:t>
            </w:r>
          </w:p>
        </w:tc>
        <w:tc>
          <w:tcPr>
            <w:tcW w:w="0" w:type="auto"/>
            <w:shd w:val="clear" w:color="auto" w:fill="auto"/>
          </w:tcPr>
          <w:p w14:paraId="3BB2BAC1" w14:textId="77777777" w:rsidR="008C5CFA" w:rsidRPr="009C3005" w:rsidRDefault="00E82A60" w:rsidP="00300A01">
            <w:pPr>
              <w:pStyle w:val="Text1"/>
              <w:spacing w:before="0" w:after="0"/>
              <w:ind w:left="0"/>
              <w:jc w:val="right"/>
              <w:rPr>
                <w:sz w:val="12"/>
                <w:szCs w:val="12"/>
              </w:rPr>
            </w:pPr>
            <w:r w:rsidRPr="009C3005">
              <w:rPr>
                <w:noProof/>
                <w:sz w:val="12"/>
                <w:szCs w:val="12"/>
              </w:rPr>
              <w:t>1</w:t>
            </w:r>
          </w:p>
        </w:tc>
      </w:tr>
      <w:tr w:rsidR="006B2EC1" w14:paraId="6430F628" w14:textId="77777777" w:rsidTr="0047688D">
        <w:tc>
          <w:tcPr>
            <w:tcW w:w="0" w:type="auto"/>
            <w:shd w:val="clear" w:color="auto" w:fill="auto"/>
          </w:tcPr>
          <w:p w14:paraId="42F4B7D3" w14:textId="77777777" w:rsidR="008C5CFA" w:rsidRPr="009C3005" w:rsidRDefault="00E82A60" w:rsidP="00300A01">
            <w:pPr>
              <w:pStyle w:val="Text1"/>
              <w:spacing w:before="0" w:after="0"/>
              <w:ind w:left="0"/>
              <w:rPr>
                <w:sz w:val="12"/>
                <w:szCs w:val="12"/>
              </w:rPr>
            </w:pPr>
            <w:r>
              <w:rPr>
                <w:noProof/>
                <w:sz w:val="14"/>
                <w:szCs w:val="14"/>
                <w:lang w:val="fr-BE"/>
              </w:rPr>
              <w:t>1</w:t>
            </w:r>
          </w:p>
        </w:tc>
        <w:tc>
          <w:tcPr>
            <w:tcW w:w="0" w:type="auto"/>
            <w:shd w:val="clear" w:color="auto" w:fill="auto"/>
          </w:tcPr>
          <w:p w14:paraId="413CF3DE" w14:textId="77777777" w:rsidR="008C5CFA" w:rsidRPr="009C3005" w:rsidRDefault="00E82A60" w:rsidP="00300A01">
            <w:pPr>
              <w:pStyle w:val="Text1"/>
              <w:spacing w:before="0" w:after="0"/>
              <w:ind w:left="0"/>
              <w:rPr>
                <w:sz w:val="12"/>
                <w:szCs w:val="12"/>
              </w:rPr>
            </w:pPr>
            <w:r>
              <w:rPr>
                <w:noProof/>
                <w:sz w:val="12"/>
                <w:szCs w:val="12"/>
              </w:rPr>
              <w:t>EFRR</w:t>
            </w:r>
          </w:p>
        </w:tc>
        <w:tc>
          <w:tcPr>
            <w:tcW w:w="0" w:type="auto"/>
            <w:shd w:val="clear" w:color="auto" w:fill="auto"/>
          </w:tcPr>
          <w:p w14:paraId="5A6459CC" w14:textId="77777777" w:rsidR="008C5CFA" w:rsidRPr="009C3005" w:rsidRDefault="00E82A60" w:rsidP="00300A01">
            <w:pPr>
              <w:pStyle w:val="Text1"/>
              <w:spacing w:before="0" w:after="0"/>
              <w:ind w:left="0"/>
              <w:rPr>
                <w:sz w:val="12"/>
                <w:szCs w:val="12"/>
              </w:rPr>
            </w:pPr>
            <w:r>
              <w:rPr>
                <w:noProof/>
                <w:sz w:val="12"/>
                <w:szCs w:val="12"/>
              </w:rPr>
              <w:t>Słabiej rozwinięte</w:t>
            </w:r>
          </w:p>
        </w:tc>
        <w:tc>
          <w:tcPr>
            <w:tcW w:w="0" w:type="auto"/>
            <w:shd w:val="clear" w:color="auto" w:fill="auto"/>
          </w:tcPr>
          <w:p w14:paraId="56D5D241" w14:textId="77777777" w:rsidR="008C5CFA" w:rsidRPr="009C3005" w:rsidRDefault="00E82A60" w:rsidP="00300A01">
            <w:pPr>
              <w:pStyle w:val="Text1"/>
              <w:spacing w:before="0" w:after="0"/>
              <w:ind w:left="0"/>
              <w:rPr>
                <w:sz w:val="12"/>
                <w:szCs w:val="12"/>
              </w:rPr>
            </w:pPr>
            <w:r>
              <w:rPr>
                <w:noProof/>
                <w:sz w:val="12"/>
                <w:szCs w:val="12"/>
              </w:rPr>
              <w:t>056</w:t>
            </w:r>
          </w:p>
        </w:tc>
        <w:tc>
          <w:tcPr>
            <w:tcW w:w="0" w:type="auto"/>
            <w:shd w:val="clear" w:color="auto" w:fill="auto"/>
          </w:tcPr>
          <w:p w14:paraId="63EFFE13"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08F2FF6A" w14:textId="77777777" w:rsidR="008C5CFA" w:rsidRPr="009C3005" w:rsidRDefault="00E82A60" w:rsidP="00300A01">
            <w:pPr>
              <w:pStyle w:val="Text1"/>
              <w:spacing w:before="0" w:after="0"/>
              <w:ind w:left="0"/>
              <w:rPr>
                <w:sz w:val="12"/>
                <w:szCs w:val="12"/>
              </w:rPr>
            </w:pPr>
            <w:r>
              <w:rPr>
                <w:noProof/>
                <w:sz w:val="12"/>
                <w:szCs w:val="12"/>
              </w:rPr>
              <w:t>03</w:t>
            </w:r>
          </w:p>
        </w:tc>
        <w:tc>
          <w:tcPr>
            <w:tcW w:w="0" w:type="auto"/>
            <w:shd w:val="clear" w:color="auto" w:fill="auto"/>
          </w:tcPr>
          <w:p w14:paraId="6D3D372F"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607AF052"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67626981" w14:textId="77777777" w:rsidR="008C5CFA" w:rsidRPr="009C3005" w:rsidRDefault="00E82A60" w:rsidP="00300A01">
            <w:pPr>
              <w:pStyle w:val="Text1"/>
              <w:spacing w:before="0" w:after="0"/>
              <w:ind w:left="0"/>
              <w:rPr>
                <w:sz w:val="12"/>
                <w:szCs w:val="12"/>
              </w:rPr>
            </w:pPr>
            <w:r>
              <w:rPr>
                <w:sz w:val="12"/>
                <w:szCs w:val="12"/>
              </w:rPr>
              <w:t xml:space="preserve"> </w:t>
            </w:r>
          </w:p>
        </w:tc>
        <w:tc>
          <w:tcPr>
            <w:tcW w:w="0" w:type="auto"/>
            <w:shd w:val="clear" w:color="auto" w:fill="auto"/>
          </w:tcPr>
          <w:p w14:paraId="45767366" w14:textId="77777777" w:rsidR="008C5CFA" w:rsidRPr="009C3005" w:rsidRDefault="00E82A60" w:rsidP="00300A01">
            <w:pPr>
              <w:pStyle w:val="Text1"/>
              <w:spacing w:before="0" w:after="0"/>
              <w:ind w:left="0"/>
              <w:rPr>
                <w:sz w:val="12"/>
                <w:szCs w:val="12"/>
              </w:rPr>
            </w:pPr>
            <w:r>
              <w:rPr>
                <w:noProof/>
                <w:sz w:val="12"/>
                <w:szCs w:val="12"/>
              </w:rPr>
              <w:t>09</w:t>
            </w:r>
          </w:p>
        </w:tc>
        <w:tc>
          <w:tcPr>
            <w:tcW w:w="0" w:type="auto"/>
            <w:shd w:val="clear" w:color="auto" w:fill="auto"/>
          </w:tcPr>
          <w:p w14:paraId="6C35DB5B" w14:textId="77777777" w:rsidR="008C5CFA" w:rsidRPr="009C3005" w:rsidRDefault="00E82A60" w:rsidP="00300A01">
            <w:pPr>
              <w:pStyle w:val="Text1"/>
              <w:spacing w:before="0" w:after="0"/>
              <w:ind w:left="0"/>
              <w:rPr>
                <w:sz w:val="12"/>
                <w:szCs w:val="12"/>
              </w:rPr>
            </w:pPr>
            <w:r>
              <w:rPr>
                <w:noProof/>
                <w:sz w:val="12"/>
                <w:szCs w:val="12"/>
              </w:rPr>
              <w:t>PL33</w:t>
            </w:r>
          </w:p>
        </w:tc>
        <w:tc>
          <w:tcPr>
            <w:tcW w:w="0" w:type="auto"/>
            <w:shd w:val="clear" w:color="auto" w:fill="auto"/>
          </w:tcPr>
          <w:p w14:paraId="692D20F3" w14:textId="77777777" w:rsidR="008C5CFA" w:rsidRPr="009C3005" w:rsidRDefault="00E82A60" w:rsidP="00300A01">
            <w:pPr>
              <w:pStyle w:val="Text1"/>
              <w:spacing w:before="0" w:after="0"/>
              <w:ind w:left="0"/>
              <w:jc w:val="right"/>
              <w:rPr>
                <w:sz w:val="12"/>
                <w:szCs w:val="12"/>
              </w:rPr>
            </w:pPr>
            <w:r w:rsidRPr="009C3005">
              <w:rPr>
                <w:noProof/>
                <w:sz w:val="12"/>
                <w:szCs w:val="12"/>
              </w:rPr>
              <w:t>1 713 081,18</w:t>
            </w:r>
          </w:p>
        </w:tc>
        <w:tc>
          <w:tcPr>
            <w:tcW w:w="0" w:type="auto"/>
            <w:shd w:val="clear" w:color="auto" w:fill="auto"/>
          </w:tcPr>
          <w:p w14:paraId="035603E4" w14:textId="77777777" w:rsidR="008C5CFA" w:rsidRPr="009C3005" w:rsidRDefault="00E82A60" w:rsidP="00300A01">
            <w:pPr>
              <w:pStyle w:val="Text1"/>
              <w:spacing w:before="0" w:after="0"/>
              <w:ind w:left="0"/>
              <w:jc w:val="right"/>
              <w:rPr>
                <w:sz w:val="12"/>
                <w:szCs w:val="12"/>
              </w:rPr>
            </w:pPr>
            <w:r w:rsidRPr="009C3005">
              <w:rPr>
                <w:noProof/>
                <w:sz w:val="12"/>
                <w:szCs w:val="12"/>
              </w:rPr>
              <w:t>770 886,53</w:t>
            </w:r>
          </w:p>
        </w:tc>
        <w:tc>
          <w:tcPr>
            <w:tcW w:w="0" w:type="auto"/>
            <w:shd w:val="clear" w:color="auto" w:fill="auto"/>
          </w:tcPr>
          <w:p w14:paraId="15DFEDBD" w14:textId="77777777" w:rsidR="008C5CFA" w:rsidRPr="009C3005" w:rsidRDefault="00E82A60" w:rsidP="00300A01">
            <w:pPr>
              <w:pStyle w:val="Text1"/>
              <w:spacing w:before="0" w:after="0"/>
              <w:ind w:left="0"/>
              <w:jc w:val="right"/>
              <w:rPr>
                <w:sz w:val="12"/>
                <w:szCs w:val="12"/>
              </w:rPr>
            </w:pPr>
            <w:r w:rsidRPr="009C3005">
              <w:rPr>
                <w:noProof/>
                <w:sz w:val="12"/>
                <w:szCs w:val="12"/>
              </w:rPr>
              <w:t>0,00</w:t>
            </w:r>
          </w:p>
        </w:tc>
        <w:tc>
          <w:tcPr>
            <w:tcW w:w="0" w:type="auto"/>
            <w:shd w:val="clear" w:color="auto" w:fill="auto"/>
          </w:tcPr>
          <w:p w14:paraId="4AB03012" w14:textId="77777777" w:rsidR="008C5CFA" w:rsidRPr="009C3005" w:rsidRDefault="00E82A60" w:rsidP="00300A01">
            <w:pPr>
              <w:pStyle w:val="Text1"/>
              <w:spacing w:before="0" w:after="0"/>
              <w:ind w:left="0"/>
              <w:jc w:val="right"/>
              <w:rPr>
                <w:sz w:val="12"/>
                <w:szCs w:val="12"/>
              </w:rPr>
            </w:pPr>
            <w:r w:rsidRPr="009C3005">
              <w:rPr>
                <w:noProof/>
                <w:sz w:val="12"/>
                <w:szCs w:val="12"/>
              </w:rPr>
              <w:t>1</w:t>
            </w:r>
          </w:p>
        </w:tc>
      </w:tr>
      <w:tr w:rsidR="006B2EC1" w14:paraId="69E1FFE6" w14:textId="77777777" w:rsidTr="0047688D">
        <w:tc>
          <w:tcPr>
            <w:tcW w:w="0" w:type="auto"/>
            <w:shd w:val="clear" w:color="auto" w:fill="auto"/>
          </w:tcPr>
          <w:p w14:paraId="456051A5" w14:textId="77777777" w:rsidR="008C5CFA" w:rsidRPr="009C3005" w:rsidRDefault="00E82A60" w:rsidP="00300A01">
            <w:pPr>
              <w:pStyle w:val="Text1"/>
              <w:spacing w:before="0" w:after="0"/>
              <w:ind w:left="0"/>
              <w:rPr>
                <w:sz w:val="12"/>
                <w:szCs w:val="12"/>
              </w:rPr>
            </w:pPr>
            <w:r>
              <w:rPr>
                <w:noProof/>
                <w:sz w:val="14"/>
                <w:szCs w:val="14"/>
                <w:lang w:val="fr-BE"/>
              </w:rPr>
              <w:t>1</w:t>
            </w:r>
          </w:p>
        </w:tc>
        <w:tc>
          <w:tcPr>
            <w:tcW w:w="0" w:type="auto"/>
            <w:shd w:val="clear" w:color="auto" w:fill="auto"/>
          </w:tcPr>
          <w:p w14:paraId="1B28FD1D" w14:textId="77777777" w:rsidR="008C5CFA" w:rsidRPr="009C3005" w:rsidRDefault="00E82A60" w:rsidP="00300A01">
            <w:pPr>
              <w:pStyle w:val="Text1"/>
              <w:spacing w:before="0" w:after="0"/>
              <w:ind w:left="0"/>
              <w:rPr>
                <w:sz w:val="12"/>
                <w:szCs w:val="12"/>
              </w:rPr>
            </w:pPr>
            <w:r>
              <w:rPr>
                <w:noProof/>
                <w:sz w:val="12"/>
                <w:szCs w:val="12"/>
              </w:rPr>
              <w:t>EFRR</w:t>
            </w:r>
          </w:p>
        </w:tc>
        <w:tc>
          <w:tcPr>
            <w:tcW w:w="0" w:type="auto"/>
            <w:shd w:val="clear" w:color="auto" w:fill="auto"/>
          </w:tcPr>
          <w:p w14:paraId="0E82F0AB" w14:textId="77777777" w:rsidR="008C5CFA" w:rsidRPr="009C3005" w:rsidRDefault="00E82A60" w:rsidP="00300A01">
            <w:pPr>
              <w:pStyle w:val="Text1"/>
              <w:spacing w:before="0" w:after="0"/>
              <w:ind w:left="0"/>
              <w:rPr>
                <w:sz w:val="12"/>
                <w:szCs w:val="12"/>
              </w:rPr>
            </w:pPr>
            <w:r>
              <w:rPr>
                <w:noProof/>
                <w:sz w:val="12"/>
                <w:szCs w:val="12"/>
              </w:rPr>
              <w:t>Słabiej rozwinięte</w:t>
            </w:r>
          </w:p>
        </w:tc>
        <w:tc>
          <w:tcPr>
            <w:tcW w:w="0" w:type="auto"/>
            <w:shd w:val="clear" w:color="auto" w:fill="auto"/>
          </w:tcPr>
          <w:p w14:paraId="50578D43" w14:textId="77777777" w:rsidR="008C5CFA" w:rsidRPr="009C3005" w:rsidRDefault="00E82A60" w:rsidP="00300A01">
            <w:pPr>
              <w:pStyle w:val="Text1"/>
              <w:spacing w:before="0" w:after="0"/>
              <w:ind w:left="0"/>
              <w:rPr>
                <w:sz w:val="12"/>
                <w:szCs w:val="12"/>
              </w:rPr>
            </w:pPr>
            <w:r>
              <w:rPr>
                <w:noProof/>
                <w:sz w:val="12"/>
                <w:szCs w:val="12"/>
              </w:rPr>
              <w:t>056</w:t>
            </w:r>
          </w:p>
        </w:tc>
        <w:tc>
          <w:tcPr>
            <w:tcW w:w="0" w:type="auto"/>
            <w:shd w:val="clear" w:color="auto" w:fill="auto"/>
          </w:tcPr>
          <w:p w14:paraId="49D32592"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445530E6" w14:textId="77777777" w:rsidR="008C5CFA" w:rsidRPr="009C3005" w:rsidRDefault="00E82A60" w:rsidP="00300A01">
            <w:pPr>
              <w:pStyle w:val="Text1"/>
              <w:spacing w:before="0" w:after="0"/>
              <w:ind w:left="0"/>
              <w:rPr>
                <w:sz w:val="12"/>
                <w:szCs w:val="12"/>
              </w:rPr>
            </w:pPr>
            <w:r>
              <w:rPr>
                <w:noProof/>
                <w:sz w:val="12"/>
                <w:szCs w:val="12"/>
              </w:rPr>
              <w:t>03</w:t>
            </w:r>
          </w:p>
        </w:tc>
        <w:tc>
          <w:tcPr>
            <w:tcW w:w="0" w:type="auto"/>
            <w:shd w:val="clear" w:color="auto" w:fill="auto"/>
          </w:tcPr>
          <w:p w14:paraId="1341BFC0"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5C65D435"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498ADC94" w14:textId="77777777" w:rsidR="008C5CFA" w:rsidRPr="009C3005" w:rsidRDefault="00E82A60" w:rsidP="00300A01">
            <w:pPr>
              <w:pStyle w:val="Text1"/>
              <w:spacing w:before="0" w:after="0"/>
              <w:ind w:left="0"/>
              <w:rPr>
                <w:sz w:val="12"/>
                <w:szCs w:val="12"/>
              </w:rPr>
            </w:pPr>
            <w:r>
              <w:rPr>
                <w:sz w:val="12"/>
                <w:szCs w:val="12"/>
              </w:rPr>
              <w:t xml:space="preserve"> </w:t>
            </w:r>
          </w:p>
        </w:tc>
        <w:tc>
          <w:tcPr>
            <w:tcW w:w="0" w:type="auto"/>
            <w:shd w:val="clear" w:color="auto" w:fill="auto"/>
          </w:tcPr>
          <w:p w14:paraId="6F3D061C" w14:textId="77777777" w:rsidR="008C5CFA" w:rsidRPr="009C3005" w:rsidRDefault="00E82A60" w:rsidP="00300A01">
            <w:pPr>
              <w:pStyle w:val="Text1"/>
              <w:spacing w:before="0" w:after="0"/>
              <w:ind w:left="0"/>
              <w:rPr>
                <w:sz w:val="12"/>
                <w:szCs w:val="12"/>
              </w:rPr>
            </w:pPr>
            <w:r>
              <w:rPr>
                <w:noProof/>
                <w:sz w:val="12"/>
                <w:szCs w:val="12"/>
              </w:rPr>
              <w:t>20</w:t>
            </w:r>
          </w:p>
        </w:tc>
        <w:tc>
          <w:tcPr>
            <w:tcW w:w="0" w:type="auto"/>
            <w:shd w:val="clear" w:color="auto" w:fill="auto"/>
          </w:tcPr>
          <w:p w14:paraId="1320530A" w14:textId="77777777" w:rsidR="008C5CFA" w:rsidRPr="009C3005" w:rsidRDefault="00E82A60" w:rsidP="00300A01">
            <w:pPr>
              <w:pStyle w:val="Text1"/>
              <w:spacing w:before="0" w:after="0"/>
              <w:ind w:left="0"/>
              <w:rPr>
                <w:sz w:val="12"/>
                <w:szCs w:val="12"/>
              </w:rPr>
            </w:pPr>
            <w:r>
              <w:rPr>
                <w:noProof/>
                <w:sz w:val="12"/>
                <w:szCs w:val="12"/>
              </w:rPr>
              <w:t>PL33</w:t>
            </w:r>
          </w:p>
        </w:tc>
        <w:tc>
          <w:tcPr>
            <w:tcW w:w="0" w:type="auto"/>
            <w:shd w:val="clear" w:color="auto" w:fill="auto"/>
          </w:tcPr>
          <w:p w14:paraId="5A1E6BA4" w14:textId="77777777" w:rsidR="008C5CFA" w:rsidRPr="009C3005" w:rsidRDefault="00E82A60" w:rsidP="00300A01">
            <w:pPr>
              <w:pStyle w:val="Text1"/>
              <w:spacing w:before="0" w:after="0"/>
              <w:ind w:left="0"/>
              <w:jc w:val="right"/>
              <w:rPr>
                <w:sz w:val="12"/>
                <w:szCs w:val="12"/>
              </w:rPr>
            </w:pPr>
            <w:r w:rsidRPr="009C3005">
              <w:rPr>
                <w:noProof/>
                <w:sz w:val="12"/>
                <w:szCs w:val="12"/>
              </w:rPr>
              <w:t>192 635,42</w:t>
            </w:r>
          </w:p>
        </w:tc>
        <w:tc>
          <w:tcPr>
            <w:tcW w:w="0" w:type="auto"/>
            <w:shd w:val="clear" w:color="auto" w:fill="auto"/>
          </w:tcPr>
          <w:p w14:paraId="5C145794" w14:textId="77777777" w:rsidR="008C5CFA" w:rsidRPr="009C3005" w:rsidRDefault="00E82A60" w:rsidP="00300A01">
            <w:pPr>
              <w:pStyle w:val="Text1"/>
              <w:spacing w:before="0" w:after="0"/>
              <w:ind w:left="0"/>
              <w:jc w:val="right"/>
              <w:rPr>
                <w:sz w:val="12"/>
                <w:szCs w:val="12"/>
              </w:rPr>
            </w:pPr>
            <w:r w:rsidRPr="009C3005">
              <w:rPr>
                <w:noProof/>
                <w:sz w:val="12"/>
                <w:szCs w:val="12"/>
              </w:rPr>
              <w:t>132 918,44</w:t>
            </w:r>
          </w:p>
        </w:tc>
        <w:tc>
          <w:tcPr>
            <w:tcW w:w="0" w:type="auto"/>
            <w:shd w:val="clear" w:color="auto" w:fill="auto"/>
          </w:tcPr>
          <w:p w14:paraId="1370C347" w14:textId="77777777" w:rsidR="008C5CFA" w:rsidRPr="009C3005" w:rsidRDefault="00E82A60" w:rsidP="00300A01">
            <w:pPr>
              <w:pStyle w:val="Text1"/>
              <w:spacing w:before="0" w:after="0"/>
              <w:ind w:left="0"/>
              <w:jc w:val="right"/>
              <w:rPr>
                <w:sz w:val="12"/>
                <w:szCs w:val="12"/>
              </w:rPr>
            </w:pPr>
            <w:r w:rsidRPr="009C3005">
              <w:rPr>
                <w:noProof/>
                <w:sz w:val="12"/>
                <w:szCs w:val="12"/>
              </w:rPr>
              <w:t>0,00</w:t>
            </w:r>
          </w:p>
        </w:tc>
        <w:tc>
          <w:tcPr>
            <w:tcW w:w="0" w:type="auto"/>
            <w:shd w:val="clear" w:color="auto" w:fill="auto"/>
          </w:tcPr>
          <w:p w14:paraId="68002D98" w14:textId="77777777" w:rsidR="008C5CFA" w:rsidRPr="009C3005" w:rsidRDefault="00E82A60" w:rsidP="00300A01">
            <w:pPr>
              <w:pStyle w:val="Text1"/>
              <w:spacing w:before="0" w:after="0"/>
              <w:ind w:left="0"/>
              <w:jc w:val="right"/>
              <w:rPr>
                <w:sz w:val="12"/>
                <w:szCs w:val="12"/>
              </w:rPr>
            </w:pPr>
            <w:r w:rsidRPr="009C3005">
              <w:rPr>
                <w:noProof/>
                <w:sz w:val="12"/>
                <w:szCs w:val="12"/>
              </w:rPr>
              <w:t>1</w:t>
            </w:r>
          </w:p>
        </w:tc>
      </w:tr>
      <w:tr w:rsidR="006B2EC1" w14:paraId="7907A58F" w14:textId="77777777" w:rsidTr="0047688D">
        <w:tc>
          <w:tcPr>
            <w:tcW w:w="0" w:type="auto"/>
            <w:shd w:val="clear" w:color="auto" w:fill="auto"/>
          </w:tcPr>
          <w:p w14:paraId="1E231909" w14:textId="77777777" w:rsidR="008C5CFA" w:rsidRPr="009C3005" w:rsidRDefault="00E82A60" w:rsidP="00300A01">
            <w:pPr>
              <w:pStyle w:val="Text1"/>
              <w:spacing w:before="0" w:after="0"/>
              <w:ind w:left="0"/>
              <w:rPr>
                <w:sz w:val="12"/>
                <w:szCs w:val="12"/>
              </w:rPr>
            </w:pPr>
            <w:r>
              <w:rPr>
                <w:noProof/>
                <w:sz w:val="14"/>
                <w:szCs w:val="14"/>
                <w:lang w:val="fr-BE"/>
              </w:rPr>
              <w:t>1</w:t>
            </w:r>
          </w:p>
        </w:tc>
        <w:tc>
          <w:tcPr>
            <w:tcW w:w="0" w:type="auto"/>
            <w:shd w:val="clear" w:color="auto" w:fill="auto"/>
          </w:tcPr>
          <w:p w14:paraId="4384391F" w14:textId="77777777" w:rsidR="008C5CFA" w:rsidRPr="009C3005" w:rsidRDefault="00E82A60" w:rsidP="00300A01">
            <w:pPr>
              <w:pStyle w:val="Text1"/>
              <w:spacing w:before="0" w:after="0"/>
              <w:ind w:left="0"/>
              <w:rPr>
                <w:sz w:val="12"/>
                <w:szCs w:val="12"/>
              </w:rPr>
            </w:pPr>
            <w:r>
              <w:rPr>
                <w:noProof/>
                <w:sz w:val="12"/>
                <w:szCs w:val="12"/>
              </w:rPr>
              <w:t>EFRR</w:t>
            </w:r>
          </w:p>
        </w:tc>
        <w:tc>
          <w:tcPr>
            <w:tcW w:w="0" w:type="auto"/>
            <w:shd w:val="clear" w:color="auto" w:fill="auto"/>
          </w:tcPr>
          <w:p w14:paraId="429045B6" w14:textId="77777777" w:rsidR="008C5CFA" w:rsidRPr="009C3005" w:rsidRDefault="00E82A60" w:rsidP="00300A01">
            <w:pPr>
              <w:pStyle w:val="Text1"/>
              <w:spacing w:before="0" w:after="0"/>
              <w:ind w:left="0"/>
              <w:rPr>
                <w:sz w:val="12"/>
                <w:szCs w:val="12"/>
              </w:rPr>
            </w:pPr>
            <w:r>
              <w:rPr>
                <w:noProof/>
                <w:sz w:val="12"/>
                <w:szCs w:val="12"/>
              </w:rPr>
              <w:t>Słabiej rozwinięte</w:t>
            </w:r>
          </w:p>
        </w:tc>
        <w:tc>
          <w:tcPr>
            <w:tcW w:w="0" w:type="auto"/>
            <w:shd w:val="clear" w:color="auto" w:fill="auto"/>
          </w:tcPr>
          <w:p w14:paraId="33CF1CBA" w14:textId="77777777" w:rsidR="008C5CFA" w:rsidRPr="009C3005" w:rsidRDefault="00E82A60" w:rsidP="00300A01">
            <w:pPr>
              <w:pStyle w:val="Text1"/>
              <w:spacing w:before="0" w:after="0"/>
              <w:ind w:left="0"/>
              <w:rPr>
                <w:sz w:val="12"/>
                <w:szCs w:val="12"/>
              </w:rPr>
            </w:pPr>
            <w:r>
              <w:rPr>
                <w:noProof/>
                <w:sz w:val="12"/>
                <w:szCs w:val="12"/>
              </w:rPr>
              <w:t>056</w:t>
            </w:r>
          </w:p>
        </w:tc>
        <w:tc>
          <w:tcPr>
            <w:tcW w:w="0" w:type="auto"/>
            <w:shd w:val="clear" w:color="auto" w:fill="auto"/>
          </w:tcPr>
          <w:p w14:paraId="2B8DDB98"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7C2E2FC1" w14:textId="77777777" w:rsidR="008C5CFA" w:rsidRPr="009C3005" w:rsidRDefault="00E82A60" w:rsidP="00300A01">
            <w:pPr>
              <w:pStyle w:val="Text1"/>
              <w:spacing w:before="0" w:after="0"/>
              <w:ind w:left="0"/>
              <w:rPr>
                <w:sz w:val="12"/>
                <w:szCs w:val="12"/>
              </w:rPr>
            </w:pPr>
            <w:r>
              <w:rPr>
                <w:noProof/>
                <w:sz w:val="12"/>
                <w:szCs w:val="12"/>
              </w:rPr>
              <w:t>03</w:t>
            </w:r>
          </w:p>
        </w:tc>
        <w:tc>
          <w:tcPr>
            <w:tcW w:w="0" w:type="auto"/>
            <w:shd w:val="clear" w:color="auto" w:fill="auto"/>
          </w:tcPr>
          <w:p w14:paraId="12EB01A4"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5CAAB43D"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1BD162D3" w14:textId="77777777" w:rsidR="008C5CFA" w:rsidRPr="009C3005" w:rsidRDefault="00E82A60" w:rsidP="00300A01">
            <w:pPr>
              <w:pStyle w:val="Text1"/>
              <w:spacing w:before="0" w:after="0"/>
              <w:ind w:left="0"/>
              <w:rPr>
                <w:sz w:val="12"/>
                <w:szCs w:val="12"/>
              </w:rPr>
            </w:pPr>
            <w:r>
              <w:rPr>
                <w:sz w:val="12"/>
                <w:szCs w:val="12"/>
              </w:rPr>
              <w:t xml:space="preserve"> </w:t>
            </w:r>
          </w:p>
        </w:tc>
        <w:tc>
          <w:tcPr>
            <w:tcW w:w="0" w:type="auto"/>
            <w:shd w:val="clear" w:color="auto" w:fill="auto"/>
          </w:tcPr>
          <w:p w14:paraId="4AC90A40" w14:textId="77777777" w:rsidR="008C5CFA" w:rsidRPr="009C3005" w:rsidRDefault="00E82A60" w:rsidP="00300A01">
            <w:pPr>
              <w:pStyle w:val="Text1"/>
              <w:spacing w:before="0" w:after="0"/>
              <w:ind w:left="0"/>
              <w:rPr>
                <w:sz w:val="12"/>
                <w:szCs w:val="12"/>
              </w:rPr>
            </w:pPr>
            <w:r>
              <w:rPr>
                <w:noProof/>
                <w:sz w:val="12"/>
                <w:szCs w:val="12"/>
              </w:rPr>
              <w:t>24</w:t>
            </w:r>
          </w:p>
        </w:tc>
        <w:tc>
          <w:tcPr>
            <w:tcW w:w="0" w:type="auto"/>
            <w:shd w:val="clear" w:color="auto" w:fill="auto"/>
          </w:tcPr>
          <w:p w14:paraId="1D9B0BAC" w14:textId="77777777" w:rsidR="008C5CFA" w:rsidRPr="009C3005" w:rsidRDefault="00E82A60" w:rsidP="00300A01">
            <w:pPr>
              <w:pStyle w:val="Text1"/>
              <w:spacing w:before="0" w:after="0"/>
              <w:ind w:left="0"/>
              <w:rPr>
                <w:sz w:val="12"/>
                <w:szCs w:val="12"/>
              </w:rPr>
            </w:pPr>
            <w:r>
              <w:rPr>
                <w:noProof/>
                <w:sz w:val="12"/>
                <w:szCs w:val="12"/>
              </w:rPr>
              <w:t>PL33</w:t>
            </w:r>
          </w:p>
        </w:tc>
        <w:tc>
          <w:tcPr>
            <w:tcW w:w="0" w:type="auto"/>
            <w:shd w:val="clear" w:color="auto" w:fill="auto"/>
          </w:tcPr>
          <w:p w14:paraId="601B97D4" w14:textId="77777777" w:rsidR="008C5CFA" w:rsidRPr="009C3005" w:rsidRDefault="00E82A60" w:rsidP="00300A01">
            <w:pPr>
              <w:pStyle w:val="Text1"/>
              <w:spacing w:before="0" w:after="0"/>
              <w:ind w:left="0"/>
              <w:jc w:val="right"/>
              <w:rPr>
                <w:sz w:val="12"/>
                <w:szCs w:val="12"/>
              </w:rPr>
            </w:pPr>
            <w:r w:rsidRPr="009C3005">
              <w:rPr>
                <w:noProof/>
                <w:sz w:val="12"/>
                <w:szCs w:val="12"/>
              </w:rPr>
              <w:t>2 734 784,72</w:t>
            </w:r>
          </w:p>
        </w:tc>
        <w:tc>
          <w:tcPr>
            <w:tcW w:w="0" w:type="auto"/>
            <w:shd w:val="clear" w:color="auto" w:fill="auto"/>
          </w:tcPr>
          <w:p w14:paraId="1D9C91C2" w14:textId="77777777" w:rsidR="008C5CFA" w:rsidRPr="009C3005" w:rsidRDefault="00E82A60" w:rsidP="00300A01">
            <w:pPr>
              <w:pStyle w:val="Text1"/>
              <w:spacing w:before="0" w:after="0"/>
              <w:ind w:left="0"/>
              <w:jc w:val="right"/>
              <w:rPr>
                <w:sz w:val="12"/>
                <w:szCs w:val="12"/>
              </w:rPr>
            </w:pPr>
            <w:r w:rsidRPr="009C3005">
              <w:rPr>
                <w:noProof/>
                <w:sz w:val="12"/>
                <w:szCs w:val="12"/>
              </w:rPr>
              <w:t>1 545 374,32</w:t>
            </w:r>
          </w:p>
        </w:tc>
        <w:tc>
          <w:tcPr>
            <w:tcW w:w="0" w:type="auto"/>
            <w:shd w:val="clear" w:color="auto" w:fill="auto"/>
          </w:tcPr>
          <w:p w14:paraId="1A908EFA" w14:textId="77777777" w:rsidR="008C5CFA" w:rsidRPr="009C3005" w:rsidRDefault="00E82A60" w:rsidP="00300A01">
            <w:pPr>
              <w:pStyle w:val="Text1"/>
              <w:spacing w:before="0" w:after="0"/>
              <w:ind w:left="0"/>
              <w:jc w:val="right"/>
              <w:rPr>
                <w:sz w:val="12"/>
                <w:szCs w:val="12"/>
              </w:rPr>
            </w:pPr>
            <w:r w:rsidRPr="009C3005">
              <w:rPr>
                <w:noProof/>
                <w:sz w:val="12"/>
                <w:szCs w:val="12"/>
              </w:rPr>
              <w:t>672 809,12</w:t>
            </w:r>
          </w:p>
        </w:tc>
        <w:tc>
          <w:tcPr>
            <w:tcW w:w="0" w:type="auto"/>
            <w:shd w:val="clear" w:color="auto" w:fill="auto"/>
          </w:tcPr>
          <w:p w14:paraId="36C9DBF2" w14:textId="77777777" w:rsidR="008C5CFA" w:rsidRPr="009C3005" w:rsidRDefault="00E82A60" w:rsidP="00300A01">
            <w:pPr>
              <w:pStyle w:val="Text1"/>
              <w:spacing w:before="0" w:after="0"/>
              <w:ind w:left="0"/>
              <w:jc w:val="right"/>
              <w:rPr>
                <w:sz w:val="12"/>
                <w:szCs w:val="12"/>
              </w:rPr>
            </w:pPr>
            <w:r w:rsidRPr="009C3005">
              <w:rPr>
                <w:noProof/>
                <w:sz w:val="12"/>
                <w:szCs w:val="12"/>
              </w:rPr>
              <w:t>2</w:t>
            </w:r>
          </w:p>
        </w:tc>
      </w:tr>
      <w:tr w:rsidR="006B2EC1" w14:paraId="6732BF5D" w14:textId="77777777" w:rsidTr="0047688D">
        <w:tc>
          <w:tcPr>
            <w:tcW w:w="0" w:type="auto"/>
            <w:shd w:val="clear" w:color="auto" w:fill="auto"/>
          </w:tcPr>
          <w:p w14:paraId="35674634" w14:textId="77777777" w:rsidR="008C5CFA" w:rsidRPr="009C3005" w:rsidRDefault="00E82A60" w:rsidP="00300A01">
            <w:pPr>
              <w:pStyle w:val="Text1"/>
              <w:spacing w:before="0" w:after="0"/>
              <w:ind w:left="0"/>
              <w:rPr>
                <w:sz w:val="12"/>
                <w:szCs w:val="12"/>
              </w:rPr>
            </w:pPr>
            <w:r>
              <w:rPr>
                <w:noProof/>
                <w:sz w:val="14"/>
                <w:szCs w:val="14"/>
                <w:lang w:val="fr-BE"/>
              </w:rPr>
              <w:t>1</w:t>
            </w:r>
          </w:p>
        </w:tc>
        <w:tc>
          <w:tcPr>
            <w:tcW w:w="0" w:type="auto"/>
            <w:shd w:val="clear" w:color="auto" w:fill="auto"/>
          </w:tcPr>
          <w:p w14:paraId="55FCF80E" w14:textId="77777777" w:rsidR="008C5CFA" w:rsidRPr="009C3005" w:rsidRDefault="00E82A60" w:rsidP="00300A01">
            <w:pPr>
              <w:pStyle w:val="Text1"/>
              <w:spacing w:before="0" w:after="0"/>
              <w:ind w:left="0"/>
              <w:rPr>
                <w:sz w:val="12"/>
                <w:szCs w:val="12"/>
              </w:rPr>
            </w:pPr>
            <w:r>
              <w:rPr>
                <w:noProof/>
                <w:sz w:val="12"/>
                <w:szCs w:val="12"/>
              </w:rPr>
              <w:t>EFRR</w:t>
            </w:r>
          </w:p>
        </w:tc>
        <w:tc>
          <w:tcPr>
            <w:tcW w:w="0" w:type="auto"/>
            <w:shd w:val="clear" w:color="auto" w:fill="auto"/>
          </w:tcPr>
          <w:p w14:paraId="64C50FA5" w14:textId="77777777" w:rsidR="008C5CFA" w:rsidRPr="009C3005" w:rsidRDefault="00E82A60" w:rsidP="00300A01">
            <w:pPr>
              <w:pStyle w:val="Text1"/>
              <w:spacing w:before="0" w:after="0"/>
              <w:ind w:left="0"/>
              <w:rPr>
                <w:sz w:val="12"/>
                <w:szCs w:val="12"/>
              </w:rPr>
            </w:pPr>
            <w:r>
              <w:rPr>
                <w:noProof/>
                <w:sz w:val="12"/>
                <w:szCs w:val="12"/>
              </w:rPr>
              <w:t>Słabiej rozwinięte</w:t>
            </w:r>
          </w:p>
        </w:tc>
        <w:tc>
          <w:tcPr>
            <w:tcW w:w="0" w:type="auto"/>
            <w:shd w:val="clear" w:color="auto" w:fill="auto"/>
          </w:tcPr>
          <w:p w14:paraId="76F60F9E" w14:textId="77777777" w:rsidR="008C5CFA" w:rsidRPr="009C3005" w:rsidRDefault="00E82A60" w:rsidP="00300A01">
            <w:pPr>
              <w:pStyle w:val="Text1"/>
              <w:spacing w:before="0" w:after="0"/>
              <w:ind w:left="0"/>
              <w:rPr>
                <w:sz w:val="12"/>
                <w:szCs w:val="12"/>
              </w:rPr>
            </w:pPr>
            <w:r>
              <w:rPr>
                <w:noProof/>
                <w:sz w:val="12"/>
                <w:szCs w:val="12"/>
              </w:rPr>
              <w:t>058</w:t>
            </w:r>
          </w:p>
        </w:tc>
        <w:tc>
          <w:tcPr>
            <w:tcW w:w="0" w:type="auto"/>
            <w:shd w:val="clear" w:color="auto" w:fill="auto"/>
          </w:tcPr>
          <w:p w14:paraId="58C22911"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2BAE5701"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5A4C956E"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470D9585"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6F2DF31E" w14:textId="77777777" w:rsidR="008C5CFA" w:rsidRPr="009C3005" w:rsidRDefault="00E82A60" w:rsidP="00300A01">
            <w:pPr>
              <w:pStyle w:val="Text1"/>
              <w:spacing w:before="0" w:after="0"/>
              <w:ind w:left="0"/>
              <w:rPr>
                <w:sz w:val="12"/>
                <w:szCs w:val="12"/>
              </w:rPr>
            </w:pPr>
            <w:r>
              <w:rPr>
                <w:sz w:val="12"/>
                <w:szCs w:val="12"/>
              </w:rPr>
              <w:t xml:space="preserve"> </w:t>
            </w:r>
          </w:p>
        </w:tc>
        <w:tc>
          <w:tcPr>
            <w:tcW w:w="0" w:type="auto"/>
            <w:shd w:val="clear" w:color="auto" w:fill="auto"/>
          </w:tcPr>
          <w:p w14:paraId="50D4C401" w14:textId="77777777" w:rsidR="008C5CFA" w:rsidRPr="009C3005" w:rsidRDefault="00E82A60" w:rsidP="00300A01">
            <w:pPr>
              <w:pStyle w:val="Text1"/>
              <w:spacing w:before="0" w:after="0"/>
              <w:ind w:left="0"/>
              <w:rPr>
                <w:sz w:val="12"/>
                <w:szCs w:val="12"/>
              </w:rPr>
            </w:pPr>
            <w:r>
              <w:rPr>
                <w:noProof/>
                <w:sz w:val="12"/>
                <w:szCs w:val="12"/>
              </w:rPr>
              <w:t>19</w:t>
            </w:r>
          </w:p>
        </w:tc>
        <w:tc>
          <w:tcPr>
            <w:tcW w:w="0" w:type="auto"/>
            <w:shd w:val="clear" w:color="auto" w:fill="auto"/>
          </w:tcPr>
          <w:p w14:paraId="0D7028D1" w14:textId="77777777" w:rsidR="008C5CFA" w:rsidRPr="009C3005" w:rsidRDefault="00E82A60" w:rsidP="00300A01">
            <w:pPr>
              <w:pStyle w:val="Text1"/>
              <w:spacing w:before="0" w:after="0"/>
              <w:ind w:left="0"/>
              <w:rPr>
                <w:sz w:val="12"/>
                <w:szCs w:val="12"/>
              </w:rPr>
            </w:pPr>
            <w:r>
              <w:rPr>
                <w:noProof/>
                <w:sz w:val="12"/>
                <w:szCs w:val="12"/>
              </w:rPr>
              <w:t>PL33</w:t>
            </w:r>
          </w:p>
        </w:tc>
        <w:tc>
          <w:tcPr>
            <w:tcW w:w="0" w:type="auto"/>
            <w:shd w:val="clear" w:color="auto" w:fill="auto"/>
          </w:tcPr>
          <w:p w14:paraId="22DA9439" w14:textId="77777777" w:rsidR="008C5CFA" w:rsidRPr="009C3005" w:rsidRDefault="00E82A60" w:rsidP="00300A01">
            <w:pPr>
              <w:pStyle w:val="Text1"/>
              <w:spacing w:before="0" w:after="0"/>
              <w:ind w:left="0"/>
              <w:jc w:val="right"/>
              <w:rPr>
                <w:sz w:val="12"/>
                <w:szCs w:val="12"/>
              </w:rPr>
            </w:pPr>
            <w:r w:rsidRPr="009C3005">
              <w:rPr>
                <w:noProof/>
                <w:sz w:val="12"/>
                <w:szCs w:val="12"/>
              </w:rPr>
              <w:t>9 001 724,52</w:t>
            </w:r>
          </w:p>
        </w:tc>
        <w:tc>
          <w:tcPr>
            <w:tcW w:w="0" w:type="auto"/>
            <w:shd w:val="clear" w:color="auto" w:fill="auto"/>
          </w:tcPr>
          <w:p w14:paraId="36750E52" w14:textId="77777777" w:rsidR="008C5CFA" w:rsidRPr="009C3005" w:rsidRDefault="00E82A60" w:rsidP="00300A01">
            <w:pPr>
              <w:pStyle w:val="Text1"/>
              <w:spacing w:before="0" w:after="0"/>
              <w:ind w:left="0"/>
              <w:jc w:val="right"/>
              <w:rPr>
                <w:sz w:val="12"/>
                <w:szCs w:val="12"/>
              </w:rPr>
            </w:pPr>
            <w:r w:rsidRPr="009C3005">
              <w:rPr>
                <w:noProof/>
                <w:sz w:val="12"/>
                <w:szCs w:val="12"/>
              </w:rPr>
              <w:t>8 022 336,89</w:t>
            </w:r>
          </w:p>
        </w:tc>
        <w:tc>
          <w:tcPr>
            <w:tcW w:w="0" w:type="auto"/>
            <w:shd w:val="clear" w:color="auto" w:fill="auto"/>
          </w:tcPr>
          <w:p w14:paraId="43B341CC" w14:textId="77777777" w:rsidR="008C5CFA" w:rsidRPr="009C3005" w:rsidRDefault="00E82A60" w:rsidP="00300A01">
            <w:pPr>
              <w:pStyle w:val="Text1"/>
              <w:spacing w:before="0" w:after="0"/>
              <w:ind w:left="0"/>
              <w:jc w:val="right"/>
              <w:rPr>
                <w:sz w:val="12"/>
                <w:szCs w:val="12"/>
              </w:rPr>
            </w:pPr>
            <w:r w:rsidRPr="009C3005">
              <w:rPr>
                <w:noProof/>
                <w:sz w:val="12"/>
                <w:szCs w:val="12"/>
              </w:rPr>
              <w:t>3 800 546,70</w:t>
            </w:r>
          </w:p>
        </w:tc>
        <w:tc>
          <w:tcPr>
            <w:tcW w:w="0" w:type="auto"/>
            <w:shd w:val="clear" w:color="auto" w:fill="auto"/>
          </w:tcPr>
          <w:p w14:paraId="4EEFF910" w14:textId="77777777" w:rsidR="008C5CFA" w:rsidRPr="009C3005" w:rsidRDefault="00E82A60" w:rsidP="00300A01">
            <w:pPr>
              <w:pStyle w:val="Text1"/>
              <w:spacing w:before="0" w:after="0"/>
              <w:ind w:left="0"/>
              <w:jc w:val="right"/>
              <w:rPr>
                <w:sz w:val="12"/>
                <w:szCs w:val="12"/>
              </w:rPr>
            </w:pPr>
            <w:r w:rsidRPr="009C3005">
              <w:rPr>
                <w:noProof/>
                <w:sz w:val="12"/>
                <w:szCs w:val="12"/>
              </w:rPr>
              <w:t>1</w:t>
            </w:r>
          </w:p>
        </w:tc>
      </w:tr>
      <w:tr w:rsidR="006B2EC1" w14:paraId="7420FEC5" w14:textId="77777777" w:rsidTr="0047688D">
        <w:tc>
          <w:tcPr>
            <w:tcW w:w="0" w:type="auto"/>
            <w:shd w:val="clear" w:color="auto" w:fill="auto"/>
          </w:tcPr>
          <w:p w14:paraId="20E449D9" w14:textId="77777777" w:rsidR="008C5CFA" w:rsidRPr="009C3005" w:rsidRDefault="00E82A60" w:rsidP="00300A01">
            <w:pPr>
              <w:pStyle w:val="Text1"/>
              <w:spacing w:before="0" w:after="0"/>
              <w:ind w:left="0"/>
              <w:rPr>
                <w:sz w:val="12"/>
                <w:szCs w:val="12"/>
              </w:rPr>
            </w:pPr>
            <w:r>
              <w:rPr>
                <w:noProof/>
                <w:sz w:val="14"/>
                <w:szCs w:val="14"/>
                <w:lang w:val="fr-BE"/>
              </w:rPr>
              <w:t>1</w:t>
            </w:r>
          </w:p>
        </w:tc>
        <w:tc>
          <w:tcPr>
            <w:tcW w:w="0" w:type="auto"/>
            <w:shd w:val="clear" w:color="auto" w:fill="auto"/>
          </w:tcPr>
          <w:p w14:paraId="70F1D55B" w14:textId="77777777" w:rsidR="008C5CFA" w:rsidRPr="009C3005" w:rsidRDefault="00E82A60" w:rsidP="00300A01">
            <w:pPr>
              <w:pStyle w:val="Text1"/>
              <w:spacing w:before="0" w:after="0"/>
              <w:ind w:left="0"/>
              <w:rPr>
                <w:sz w:val="12"/>
                <w:szCs w:val="12"/>
              </w:rPr>
            </w:pPr>
            <w:r>
              <w:rPr>
                <w:noProof/>
                <w:sz w:val="12"/>
                <w:szCs w:val="12"/>
              </w:rPr>
              <w:t>EFRR</w:t>
            </w:r>
          </w:p>
        </w:tc>
        <w:tc>
          <w:tcPr>
            <w:tcW w:w="0" w:type="auto"/>
            <w:shd w:val="clear" w:color="auto" w:fill="auto"/>
          </w:tcPr>
          <w:p w14:paraId="089307DC" w14:textId="77777777" w:rsidR="008C5CFA" w:rsidRPr="009C3005" w:rsidRDefault="00E82A60" w:rsidP="00300A01">
            <w:pPr>
              <w:pStyle w:val="Text1"/>
              <w:spacing w:before="0" w:after="0"/>
              <w:ind w:left="0"/>
              <w:rPr>
                <w:sz w:val="12"/>
                <w:szCs w:val="12"/>
              </w:rPr>
            </w:pPr>
            <w:r>
              <w:rPr>
                <w:noProof/>
                <w:sz w:val="12"/>
                <w:szCs w:val="12"/>
              </w:rPr>
              <w:t>Słabiej rozwinięte</w:t>
            </w:r>
          </w:p>
        </w:tc>
        <w:tc>
          <w:tcPr>
            <w:tcW w:w="0" w:type="auto"/>
            <w:shd w:val="clear" w:color="auto" w:fill="auto"/>
          </w:tcPr>
          <w:p w14:paraId="0BA149E2" w14:textId="77777777" w:rsidR="008C5CFA" w:rsidRPr="009C3005" w:rsidRDefault="00E82A60" w:rsidP="00300A01">
            <w:pPr>
              <w:pStyle w:val="Text1"/>
              <w:spacing w:before="0" w:after="0"/>
              <w:ind w:left="0"/>
              <w:rPr>
                <w:sz w:val="12"/>
                <w:szCs w:val="12"/>
              </w:rPr>
            </w:pPr>
            <w:r>
              <w:rPr>
                <w:noProof/>
                <w:sz w:val="12"/>
                <w:szCs w:val="12"/>
              </w:rPr>
              <w:t>058</w:t>
            </w:r>
          </w:p>
        </w:tc>
        <w:tc>
          <w:tcPr>
            <w:tcW w:w="0" w:type="auto"/>
            <w:shd w:val="clear" w:color="auto" w:fill="auto"/>
          </w:tcPr>
          <w:p w14:paraId="459C171A"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102F1C89"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7A66704F"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46EF7DE9"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6CBE2D2E" w14:textId="77777777" w:rsidR="008C5CFA" w:rsidRPr="009C3005" w:rsidRDefault="00E82A60" w:rsidP="00300A01">
            <w:pPr>
              <w:pStyle w:val="Text1"/>
              <w:spacing w:before="0" w:after="0"/>
              <w:ind w:left="0"/>
              <w:rPr>
                <w:sz w:val="12"/>
                <w:szCs w:val="12"/>
              </w:rPr>
            </w:pPr>
            <w:r>
              <w:rPr>
                <w:sz w:val="12"/>
                <w:szCs w:val="12"/>
              </w:rPr>
              <w:t xml:space="preserve"> </w:t>
            </w:r>
          </w:p>
        </w:tc>
        <w:tc>
          <w:tcPr>
            <w:tcW w:w="0" w:type="auto"/>
            <w:shd w:val="clear" w:color="auto" w:fill="auto"/>
          </w:tcPr>
          <w:p w14:paraId="56D8403C" w14:textId="77777777" w:rsidR="008C5CFA" w:rsidRPr="009C3005" w:rsidRDefault="00E82A60" w:rsidP="00300A01">
            <w:pPr>
              <w:pStyle w:val="Text1"/>
              <w:spacing w:before="0" w:after="0"/>
              <w:ind w:left="0"/>
              <w:rPr>
                <w:sz w:val="12"/>
                <w:szCs w:val="12"/>
              </w:rPr>
            </w:pPr>
            <w:r>
              <w:rPr>
                <w:noProof/>
                <w:sz w:val="12"/>
                <w:szCs w:val="12"/>
              </w:rPr>
              <w:t>24</w:t>
            </w:r>
          </w:p>
        </w:tc>
        <w:tc>
          <w:tcPr>
            <w:tcW w:w="0" w:type="auto"/>
            <w:shd w:val="clear" w:color="auto" w:fill="auto"/>
          </w:tcPr>
          <w:p w14:paraId="412527D2" w14:textId="77777777" w:rsidR="008C5CFA" w:rsidRPr="009C3005" w:rsidRDefault="00E82A60" w:rsidP="00300A01">
            <w:pPr>
              <w:pStyle w:val="Text1"/>
              <w:spacing w:before="0" w:after="0"/>
              <w:ind w:left="0"/>
              <w:rPr>
                <w:sz w:val="12"/>
                <w:szCs w:val="12"/>
              </w:rPr>
            </w:pPr>
            <w:r>
              <w:rPr>
                <w:noProof/>
                <w:sz w:val="12"/>
                <w:szCs w:val="12"/>
              </w:rPr>
              <w:t>PL33</w:t>
            </w:r>
          </w:p>
        </w:tc>
        <w:tc>
          <w:tcPr>
            <w:tcW w:w="0" w:type="auto"/>
            <w:shd w:val="clear" w:color="auto" w:fill="auto"/>
          </w:tcPr>
          <w:p w14:paraId="49757DF4" w14:textId="77777777" w:rsidR="008C5CFA" w:rsidRPr="009C3005" w:rsidRDefault="00E82A60" w:rsidP="00300A01">
            <w:pPr>
              <w:pStyle w:val="Text1"/>
              <w:spacing w:before="0" w:after="0"/>
              <w:ind w:left="0"/>
              <w:jc w:val="right"/>
              <w:rPr>
                <w:sz w:val="12"/>
                <w:szCs w:val="12"/>
              </w:rPr>
            </w:pPr>
            <w:r w:rsidRPr="009C3005">
              <w:rPr>
                <w:noProof/>
                <w:sz w:val="12"/>
                <w:szCs w:val="12"/>
              </w:rPr>
              <w:t>54 100 463,97</w:t>
            </w:r>
          </w:p>
        </w:tc>
        <w:tc>
          <w:tcPr>
            <w:tcW w:w="0" w:type="auto"/>
            <w:shd w:val="clear" w:color="auto" w:fill="auto"/>
          </w:tcPr>
          <w:p w14:paraId="3B6DCB3D" w14:textId="77777777" w:rsidR="008C5CFA" w:rsidRPr="009C3005" w:rsidRDefault="00E82A60" w:rsidP="00300A01">
            <w:pPr>
              <w:pStyle w:val="Text1"/>
              <w:spacing w:before="0" w:after="0"/>
              <w:ind w:left="0"/>
              <w:jc w:val="right"/>
              <w:rPr>
                <w:sz w:val="12"/>
                <w:szCs w:val="12"/>
              </w:rPr>
            </w:pPr>
            <w:r w:rsidRPr="009C3005">
              <w:rPr>
                <w:noProof/>
                <w:sz w:val="12"/>
                <w:szCs w:val="12"/>
              </w:rPr>
              <w:t>48 544 938,19</w:t>
            </w:r>
          </w:p>
        </w:tc>
        <w:tc>
          <w:tcPr>
            <w:tcW w:w="0" w:type="auto"/>
            <w:shd w:val="clear" w:color="auto" w:fill="auto"/>
          </w:tcPr>
          <w:p w14:paraId="7E1AB594" w14:textId="77777777" w:rsidR="008C5CFA" w:rsidRPr="009C3005" w:rsidRDefault="00E82A60" w:rsidP="00300A01">
            <w:pPr>
              <w:pStyle w:val="Text1"/>
              <w:spacing w:before="0" w:after="0"/>
              <w:ind w:left="0"/>
              <w:jc w:val="right"/>
              <w:rPr>
                <w:sz w:val="12"/>
                <w:szCs w:val="12"/>
              </w:rPr>
            </w:pPr>
            <w:r w:rsidRPr="009C3005">
              <w:rPr>
                <w:noProof/>
                <w:sz w:val="12"/>
                <w:szCs w:val="12"/>
              </w:rPr>
              <w:t>4 823 086,12</w:t>
            </w:r>
          </w:p>
        </w:tc>
        <w:tc>
          <w:tcPr>
            <w:tcW w:w="0" w:type="auto"/>
            <w:shd w:val="clear" w:color="auto" w:fill="auto"/>
          </w:tcPr>
          <w:p w14:paraId="61B4E779" w14:textId="77777777" w:rsidR="008C5CFA" w:rsidRPr="009C3005" w:rsidRDefault="00E82A60" w:rsidP="00300A01">
            <w:pPr>
              <w:pStyle w:val="Text1"/>
              <w:spacing w:before="0" w:after="0"/>
              <w:ind w:left="0"/>
              <w:jc w:val="right"/>
              <w:rPr>
                <w:sz w:val="12"/>
                <w:szCs w:val="12"/>
              </w:rPr>
            </w:pPr>
            <w:r w:rsidRPr="009C3005">
              <w:rPr>
                <w:noProof/>
                <w:sz w:val="12"/>
                <w:szCs w:val="12"/>
              </w:rPr>
              <w:t>2</w:t>
            </w:r>
          </w:p>
        </w:tc>
      </w:tr>
      <w:tr w:rsidR="006B2EC1" w14:paraId="0D7E6A0D" w14:textId="77777777" w:rsidTr="0047688D">
        <w:tc>
          <w:tcPr>
            <w:tcW w:w="0" w:type="auto"/>
            <w:shd w:val="clear" w:color="auto" w:fill="auto"/>
          </w:tcPr>
          <w:p w14:paraId="30DAC866" w14:textId="77777777" w:rsidR="008C5CFA" w:rsidRPr="009C3005" w:rsidRDefault="00E82A60" w:rsidP="00300A01">
            <w:pPr>
              <w:pStyle w:val="Text1"/>
              <w:spacing w:before="0" w:after="0"/>
              <w:ind w:left="0"/>
              <w:rPr>
                <w:sz w:val="12"/>
                <w:szCs w:val="12"/>
              </w:rPr>
            </w:pPr>
            <w:r>
              <w:rPr>
                <w:noProof/>
                <w:sz w:val="14"/>
                <w:szCs w:val="14"/>
                <w:lang w:val="fr-BE"/>
              </w:rPr>
              <w:t>1</w:t>
            </w:r>
          </w:p>
        </w:tc>
        <w:tc>
          <w:tcPr>
            <w:tcW w:w="0" w:type="auto"/>
            <w:shd w:val="clear" w:color="auto" w:fill="auto"/>
          </w:tcPr>
          <w:p w14:paraId="5446BC35" w14:textId="77777777" w:rsidR="008C5CFA" w:rsidRPr="009C3005" w:rsidRDefault="00E82A60" w:rsidP="00300A01">
            <w:pPr>
              <w:pStyle w:val="Text1"/>
              <w:spacing w:before="0" w:after="0"/>
              <w:ind w:left="0"/>
              <w:rPr>
                <w:sz w:val="12"/>
                <w:szCs w:val="12"/>
              </w:rPr>
            </w:pPr>
            <w:r>
              <w:rPr>
                <w:noProof/>
                <w:sz w:val="12"/>
                <w:szCs w:val="12"/>
              </w:rPr>
              <w:t>EFRR</w:t>
            </w:r>
          </w:p>
        </w:tc>
        <w:tc>
          <w:tcPr>
            <w:tcW w:w="0" w:type="auto"/>
            <w:shd w:val="clear" w:color="auto" w:fill="auto"/>
          </w:tcPr>
          <w:p w14:paraId="38AF1E36" w14:textId="77777777" w:rsidR="008C5CFA" w:rsidRPr="009C3005" w:rsidRDefault="00E82A60" w:rsidP="00300A01">
            <w:pPr>
              <w:pStyle w:val="Text1"/>
              <w:spacing w:before="0" w:after="0"/>
              <w:ind w:left="0"/>
              <w:rPr>
                <w:sz w:val="12"/>
                <w:szCs w:val="12"/>
              </w:rPr>
            </w:pPr>
            <w:r>
              <w:rPr>
                <w:noProof/>
                <w:sz w:val="12"/>
                <w:szCs w:val="12"/>
              </w:rPr>
              <w:t>Słabiej rozwinięte</w:t>
            </w:r>
          </w:p>
        </w:tc>
        <w:tc>
          <w:tcPr>
            <w:tcW w:w="0" w:type="auto"/>
            <w:shd w:val="clear" w:color="auto" w:fill="auto"/>
          </w:tcPr>
          <w:p w14:paraId="3126D91B" w14:textId="77777777" w:rsidR="008C5CFA" w:rsidRPr="009C3005" w:rsidRDefault="00E82A60" w:rsidP="00300A01">
            <w:pPr>
              <w:pStyle w:val="Text1"/>
              <w:spacing w:before="0" w:after="0"/>
              <w:ind w:left="0"/>
              <w:rPr>
                <w:sz w:val="12"/>
                <w:szCs w:val="12"/>
              </w:rPr>
            </w:pPr>
            <w:r>
              <w:rPr>
                <w:noProof/>
                <w:sz w:val="12"/>
                <w:szCs w:val="12"/>
              </w:rPr>
              <w:t>061</w:t>
            </w:r>
          </w:p>
        </w:tc>
        <w:tc>
          <w:tcPr>
            <w:tcW w:w="0" w:type="auto"/>
            <w:shd w:val="clear" w:color="auto" w:fill="auto"/>
          </w:tcPr>
          <w:p w14:paraId="3A63B255"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1DBD3256" w14:textId="77777777" w:rsidR="008C5CFA" w:rsidRPr="009C3005" w:rsidRDefault="00E82A60" w:rsidP="00300A01">
            <w:pPr>
              <w:pStyle w:val="Text1"/>
              <w:spacing w:before="0" w:after="0"/>
              <w:ind w:left="0"/>
              <w:rPr>
                <w:sz w:val="12"/>
                <w:szCs w:val="12"/>
              </w:rPr>
            </w:pPr>
            <w:r>
              <w:rPr>
                <w:noProof/>
                <w:sz w:val="12"/>
                <w:szCs w:val="12"/>
              </w:rPr>
              <w:t>02</w:t>
            </w:r>
          </w:p>
        </w:tc>
        <w:tc>
          <w:tcPr>
            <w:tcW w:w="0" w:type="auto"/>
            <w:shd w:val="clear" w:color="auto" w:fill="auto"/>
          </w:tcPr>
          <w:p w14:paraId="7E40BD58"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14ACCA57"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43DB1856" w14:textId="77777777" w:rsidR="008C5CFA" w:rsidRPr="009C3005" w:rsidRDefault="00E82A60" w:rsidP="00300A01">
            <w:pPr>
              <w:pStyle w:val="Text1"/>
              <w:spacing w:before="0" w:after="0"/>
              <w:ind w:left="0"/>
              <w:rPr>
                <w:sz w:val="12"/>
                <w:szCs w:val="12"/>
              </w:rPr>
            </w:pPr>
            <w:r>
              <w:rPr>
                <w:sz w:val="12"/>
                <w:szCs w:val="12"/>
              </w:rPr>
              <w:t xml:space="preserve"> </w:t>
            </w:r>
          </w:p>
        </w:tc>
        <w:tc>
          <w:tcPr>
            <w:tcW w:w="0" w:type="auto"/>
            <w:shd w:val="clear" w:color="auto" w:fill="auto"/>
          </w:tcPr>
          <w:p w14:paraId="474185F1" w14:textId="77777777" w:rsidR="008C5CFA" w:rsidRPr="009C3005" w:rsidRDefault="00E82A60" w:rsidP="00300A01">
            <w:pPr>
              <w:pStyle w:val="Text1"/>
              <w:spacing w:before="0" w:after="0"/>
              <w:ind w:left="0"/>
              <w:rPr>
                <w:sz w:val="12"/>
                <w:szCs w:val="12"/>
              </w:rPr>
            </w:pPr>
            <w:r>
              <w:rPr>
                <w:noProof/>
                <w:sz w:val="12"/>
                <w:szCs w:val="12"/>
              </w:rPr>
              <w:t>08</w:t>
            </w:r>
          </w:p>
        </w:tc>
        <w:tc>
          <w:tcPr>
            <w:tcW w:w="0" w:type="auto"/>
            <w:shd w:val="clear" w:color="auto" w:fill="auto"/>
          </w:tcPr>
          <w:p w14:paraId="37BC3B34" w14:textId="77777777" w:rsidR="008C5CFA" w:rsidRPr="009C3005" w:rsidRDefault="00E82A60" w:rsidP="00300A01">
            <w:pPr>
              <w:pStyle w:val="Text1"/>
              <w:spacing w:before="0" w:after="0"/>
              <w:ind w:left="0"/>
              <w:rPr>
                <w:sz w:val="12"/>
                <w:szCs w:val="12"/>
              </w:rPr>
            </w:pPr>
            <w:r>
              <w:rPr>
                <w:noProof/>
                <w:sz w:val="12"/>
                <w:szCs w:val="12"/>
              </w:rPr>
              <w:t>PL33</w:t>
            </w:r>
          </w:p>
        </w:tc>
        <w:tc>
          <w:tcPr>
            <w:tcW w:w="0" w:type="auto"/>
            <w:shd w:val="clear" w:color="auto" w:fill="auto"/>
          </w:tcPr>
          <w:p w14:paraId="4B380CC3" w14:textId="77777777" w:rsidR="008C5CFA" w:rsidRPr="009C3005" w:rsidRDefault="00E82A60" w:rsidP="00300A01">
            <w:pPr>
              <w:pStyle w:val="Text1"/>
              <w:spacing w:before="0" w:after="0"/>
              <w:ind w:left="0"/>
              <w:jc w:val="right"/>
              <w:rPr>
                <w:sz w:val="12"/>
                <w:szCs w:val="12"/>
              </w:rPr>
            </w:pPr>
            <w:r w:rsidRPr="009C3005">
              <w:rPr>
                <w:noProof/>
                <w:sz w:val="12"/>
                <w:szCs w:val="12"/>
              </w:rPr>
              <w:t>4 565 390,41</w:t>
            </w:r>
          </w:p>
        </w:tc>
        <w:tc>
          <w:tcPr>
            <w:tcW w:w="0" w:type="auto"/>
            <w:shd w:val="clear" w:color="auto" w:fill="auto"/>
          </w:tcPr>
          <w:p w14:paraId="404E6AA2" w14:textId="77777777" w:rsidR="008C5CFA" w:rsidRPr="009C3005" w:rsidRDefault="00E82A60" w:rsidP="00300A01">
            <w:pPr>
              <w:pStyle w:val="Text1"/>
              <w:spacing w:before="0" w:after="0"/>
              <w:ind w:left="0"/>
              <w:jc w:val="right"/>
              <w:rPr>
                <w:sz w:val="12"/>
                <w:szCs w:val="12"/>
              </w:rPr>
            </w:pPr>
            <w:r w:rsidRPr="009C3005">
              <w:rPr>
                <w:noProof/>
                <w:sz w:val="12"/>
                <w:szCs w:val="12"/>
              </w:rPr>
              <w:t>2 282 695,20</w:t>
            </w:r>
          </w:p>
        </w:tc>
        <w:tc>
          <w:tcPr>
            <w:tcW w:w="0" w:type="auto"/>
            <w:shd w:val="clear" w:color="auto" w:fill="auto"/>
          </w:tcPr>
          <w:p w14:paraId="1B5DA1DE" w14:textId="77777777" w:rsidR="008C5CFA" w:rsidRPr="009C3005" w:rsidRDefault="00E82A60" w:rsidP="00300A01">
            <w:pPr>
              <w:pStyle w:val="Text1"/>
              <w:spacing w:before="0" w:after="0"/>
              <w:ind w:left="0"/>
              <w:jc w:val="right"/>
              <w:rPr>
                <w:sz w:val="12"/>
                <w:szCs w:val="12"/>
              </w:rPr>
            </w:pPr>
            <w:r w:rsidRPr="009C3005">
              <w:rPr>
                <w:noProof/>
                <w:sz w:val="12"/>
                <w:szCs w:val="12"/>
              </w:rPr>
              <w:t>0,00</w:t>
            </w:r>
          </w:p>
        </w:tc>
        <w:tc>
          <w:tcPr>
            <w:tcW w:w="0" w:type="auto"/>
            <w:shd w:val="clear" w:color="auto" w:fill="auto"/>
          </w:tcPr>
          <w:p w14:paraId="72179364" w14:textId="77777777" w:rsidR="008C5CFA" w:rsidRPr="009C3005" w:rsidRDefault="00E82A60" w:rsidP="00300A01">
            <w:pPr>
              <w:pStyle w:val="Text1"/>
              <w:spacing w:before="0" w:after="0"/>
              <w:ind w:left="0"/>
              <w:jc w:val="right"/>
              <w:rPr>
                <w:sz w:val="12"/>
                <w:szCs w:val="12"/>
              </w:rPr>
            </w:pPr>
            <w:r w:rsidRPr="009C3005">
              <w:rPr>
                <w:noProof/>
                <w:sz w:val="12"/>
                <w:szCs w:val="12"/>
              </w:rPr>
              <w:t>2</w:t>
            </w:r>
          </w:p>
        </w:tc>
      </w:tr>
      <w:tr w:rsidR="006B2EC1" w14:paraId="38C38BF2" w14:textId="77777777" w:rsidTr="0047688D">
        <w:tc>
          <w:tcPr>
            <w:tcW w:w="0" w:type="auto"/>
            <w:shd w:val="clear" w:color="auto" w:fill="auto"/>
          </w:tcPr>
          <w:p w14:paraId="45B73EFA" w14:textId="77777777" w:rsidR="008C5CFA" w:rsidRPr="009C3005" w:rsidRDefault="00E82A60" w:rsidP="00300A01">
            <w:pPr>
              <w:pStyle w:val="Text1"/>
              <w:spacing w:before="0" w:after="0"/>
              <w:ind w:left="0"/>
              <w:rPr>
                <w:sz w:val="12"/>
                <w:szCs w:val="12"/>
              </w:rPr>
            </w:pPr>
            <w:r>
              <w:rPr>
                <w:noProof/>
                <w:sz w:val="14"/>
                <w:szCs w:val="14"/>
                <w:lang w:val="fr-BE"/>
              </w:rPr>
              <w:t>1</w:t>
            </w:r>
          </w:p>
        </w:tc>
        <w:tc>
          <w:tcPr>
            <w:tcW w:w="0" w:type="auto"/>
            <w:shd w:val="clear" w:color="auto" w:fill="auto"/>
          </w:tcPr>
          <w:p w14:paraId="21F7D6E3" w14:textId="77777777" w:rsidR="008C5CFA" w:rsidRPr="009C3005" w:rsidRDefault="00E82A60" w:rsidP="00300A01">
            <w:pPr>
              <w:pStyle w:val="Text1"/>
              <w:spacing w:before="0" w:after="0"/>
              <w:ind w:left="0"/>
              <w:rPr>
                <w:sz w:val="12"/>
                <w:szCs w:val="12"/>
              </w:rPr>
            </w:pPr>
            <w:r>
              <w:rPr>
                <w:noProof/>
                <w:sz w:val="12"/>
                <w:szCs w:val="12"/>
              </w:rPr>
              <w:t>EFRR</w:t>
            </w:r>
          </w:p>
        </w:tc>
        <w:tc>
          <w:tcPr>
            <w:tcW w:w="0" w:type="auto"/>
            <w:shd w:val="clear" w:color="auto" w:fill="auto"/>
          </w:tcPr>
          <w:p w14:paraId="3BFB82AE" w14:textId="77777777" w:rsidR="008C5CFA" w:rsidRPr="009C3005" w:rsidRDefault="00E82A60" w:rsidP="00300A01">
            <w:pPr>
              <w:pStyle w:val="Text1"/>
              <w:spacing w:before="0" w:after="0"/>
              <w:ind w:left="0"/>
              <w:rPr>
                <w:sz w:val="12"/>
                <w:szCs w:val="12"/>
              </w:rPr>
            </w:pPr>
            <w:r>
              <w:rPr>
                <w:noProof/>
                <w:sz w:val="12"/>
                <w:szCs w:val="12"/>
              </w:rPr>
              <w:t>Słabiej rozwinięte</w:t>
            </w:r>
          </w:p>
        </w:tc>
        <w:tc>
          <w:tcPr>
            <w:tcW w:w="0" w:type="auto"/>
            <w:shd w:val="clear" w:color="auto" w:fill="auto"/>
          </w:tcPr>
          <w:p w14:paraId="3AD11A3D" w14:textId="77777777" w:rsidR="008C5CFA" w:rsidRPr="009C3005" w:rsidRDefault="00E82A60" w:rsidP="00300A01">
            <w:pPr>
              <w:pStyle w:val="Text1"/>
              <w:spacing w:before="0" w:after="0"/>
              <w:ind w:left="0"/>
              <w:rPr>
                <w:sz w:val="12"/>
                <w:szCs w:val="12"/>
              </w:rPr>
            </w:pPr>
            <w:r>
              <w:rPr>
                <w:noProof/>
                <w:sz w:val="12"/>
                <w:szCs w:val="12"/>
              </w:rPr>
              <w:t>064</w:t>
            </w:r>
          </w:p>
        </w:tc>
        <w:tc>
          <w:tcPr>
            <w:tcW w:w="0" w:type="auto"/>
            <w:shd w:val="clear" w:color="auto" w:fill="auto"/>
          </w:tcPr>
          <w:p w14:paraId="02E86583"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288B13C7"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7A82942E"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7E7BA636"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68A46F68" w14:textId="77777777" w:rsidR="008C5CFA" w:rsidRPr="009C3005" w:rsidRDefault="00E82A60" w:rsidP="00300A01">
            <w:pPr>
              <w:pStyle w:val="Text1"/>
              <w:spacing w:before="0" w:after="0"/>
              <w:ind w:left="0"/>
              <w:rPr>
                <w:sz w:val="12"/>
                <w:szCs w:val="12"/>
              </w:rPr>
            </w:pPr>
            <w:r>
              <w:rPr>
                <w:sz w:val="12"/>
                <w:szCs w:val="12"/>
              </w:rPr>
              <w:t xml:space="preserve"> </w:t>
            </w:r>
          </w:p>
        </w:tc>
        <w:tc>
          <w:tcPr>
            <w:tcW w:w="0" w:type="auto"/>
            <w:shd w:val="clear" w:color="auto" w:fill="auto"/>
          </w:tcPr>
          <w:p w14:paraId="0752EA7C"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12FA5AA3" w14:textId="77777777" w:rsidR="008C5CFA" w:rsidRPr="009C3005" w:rsidRDefault="00E82A60" w:rsidP="00300A01">
            <w:pPr>
              <w:pStyle w:val="Text1"/>
              <w:spacing w:before="0" w:after="0"/>
              <w:ind w:left="0"/>
              <w:rPr>
                <w:sz w:val="12"/>
                <w:szCs w:val="12"/>
              </w:rPr>
            </w:pPr>
            <w:r>
              <w:rPr>
                <w:noProof/>
                <w:sz w:val="12"/>
                <w:szCs w:val="12"/>
              </w:rPr>
              <w:t>PL33</w:t>
            </w:r>
          </w:p>
        </w:tc>
        <w:tc>
          <w:tcPr>
            <w:tcW w:w="0" w:type="auto"/>
            <w:shd w:val="clear" w:color="auto" w:fill="auto"/>
          </w:tcPr>
          <w:p w14:paraId="2973CC8C" w14:textId="77777777" w:rsidR="008C5CFA" w:rsidRPr="009C3005" w:rsidRDefault="00E82A60" w:rsidP="00300A01">
            <w:pPr>
              <w:pStyle w:val="Text1"/>
              <w:spacing w:before="0" w:after="0"/>
              <w:ind w:left="0"/>
              <w:jc w:val="right"/>
              <w:rPr>
                <w:sz w:val="12"/>
                <w:szCs w:val="12"/>
              </w:rPr>
            </w:pPr>
            <w:r w:rsidRPr="009C3005">
              <w:rPr>
                <w:noProof/>
                <w:sz w:val="12"/>
                <w:szCs w:val="12"/>
              </w:rPr>
              <w:t>1 789 439,54</w:t>
            </w:r>
          </w:p>
        </w:tc>
        <w:tc>
          <w:tcPr>
            <w:tcW w:w="0" w:type="auto"/>
            <w:shd w:val="clear" w:color="auto" w:fill="auto"/>
          </w:tcPr>
          <w:p w14:paraId="5A7AEC93" w14:textId="77777777" w:rsidR="008C5CFA" w:rsidRPr="009C3005" w:rsidRDefault="00E82A60" w:rsidP="00300A01">
            <w:pPr>
              <w:pStyle w:val="Text1"/>
              <w:spacing w:before="0" w:after="0"/>
              <w:ind w:left="0"/>
              <w:jc w:val="right"/>
              <w:rPr>
                <w:sz w:val="12"/>
                <w:szCs w:val="12"/>
              </w:rPr>
            </w:pPr>
            <w:r w:rsidRPr="009C3005">
              <w:rPr>
                <w:noProof/>
                <w:sz w:val="12"/>
                <w:szCs w:val="12"/>
              </w:rPr>
              <w:t>1 264 934,04</w:t>
            </w:r>
          </w:p>
        </w:tc>
        <w:tc>
          <w:tcPr>
            <w:tcW w:w="0" w:type="auto"/>
            <w:shd w:val="clear" w:color="auto" w:fill="auto"/>
          </w:tcPr>
          <w:p w14:paraId="38D2BBD0" w14:textId="77777777" w:rsidR="008C5CFA" w:rsidRPr="009C3005" w:rsidRDefault="00E82A60" w:rsidP="00300A01">
            <w:pPr>
              <w:pStyle w:val="Text1"/>
              <w:spacing w:before="0" w:after="0"/>
              <w:ind w:left="0"/>
              <w:jc w:val="right"/>
              <w:rPr>
                <w:sz w:val="12"/>
                <w:szCs w:val="12"/>
              </w:rPr>
            </w:pPr>
            <w:r w:rsidRPr="009C3005">
              <w:rPr>
                <w:noProof/>
                <w:sz w:val="12"/>
                <w:szCs w:val="12"/>
              </w:rPr>
              <w:t>835 896,10</w:t>
            </w:r>
          </w:p>
        </w:tc>
        <w:tc>
          <w:tcPr>
            <w:tcW w:w="0" w:type="auto"/>
            <w:shd w:val="clear" w:color="auto" w:fill="auto"/>
          </w:tcPr>
          <w:p w14:paraId="077BF06F" w14:textId="77777777" w:rsidR="008C5CFA" w:rsidRPr="009C3005" w:rsidRDefault="00E82A60" w:rsidP="00300A01">
            <w:pPr>
              <w:pStyle w:val="Text1"/>
              <w:spacing w:before="0" w:after="0"/>
              <w:ind w:left="0"/>
              <w:jc w:val="right"/>
              <w:rPr>
                <w:sz w:val="12"/>
                <w:szCs w:val="12"/>
              </w:rPr>
            </w:pPr>
            <w:r w:rsidRPr="009C3005">
              <w:rPr>
                <w:noProof/>
                <w:sz w:val="12"/>
                <w:szCs w:val="12"/>
              </w:rPr>
              <w:t>3</w:t>
            </w:r>
          </w:p>
        </w:tc>
      </w:tr>
      <w:tr w:rsidR="006B2EC1" w14:paraId="3BE18E26" w14:textId="77777777" w:rsidTr="0047688D">
        <w:tc>
          <w:tcPr>
            <w:tcW w:w="0" w:type="auto"/>
            <w:shd w:val="clear" w:color="auto" w:fill="auto"/>
          </w:tcPr>
          <w:p w14:paraId="40DC908A" w14:textId="77777777" w:rsidR="008C5CFA" w:rsidRPr="009C3005" w:rsidRDefault="00E82A60" w:rsidP="00300A01">
            <w:pPr>
              <w:pStyle w:val="Text1"/>
              <w:spacing w:before="0" w:after="0"/>
              <w:ind w:left="0"/>
              <w:rPr>
                <w:sz w:val="12"/>
                <w:szCs w:val="12"/>
              </w:rPr>
            </w:pPr>
            <w:r>
              <w:rPr>
                <w:noProof/>
                <w:sz w:val="14"/>
                <w:szCs w:val="14"/>
                <w:lang w:val="fr-BE"/>
              </w:rPr>
              <w:t>1</w:t>
            </w:r>
          </w:p>
        </w:tc>
        <w:tc>
          <w:tcPr>
            <w:tcW w:w="0" w:type="auto"/>
            <w:shd w:val="clear" w:color="auto" w:fill="auto"/>
          </w:tcPr>
          <w:p w14:paraId="68A1DEDD" w14:textId="77777777" w:rsidR="008C5CFA" w:rsidRPr="009C3005" w:rsidRDefault="00E82A60" w:rsidP="00300A01">
            <w:pPr>
              <w:pStyle w:val="Text1"/>
              <w:spacing w:before="0" w:after="0"/>
              <w:ind w:left="0"/>
              <w:rPr>
                <w:sz w:val="12"/>
                <w:szCs w:val="12"/>
              </w:rPr>
            </w:pPr>
            <w:r>
              <w:rPr>
                <w:noProof/>
                <w:sz w:val="12"/>
                <w:szCs w:val="12"/>
              </w:rPr>
              <w:t>EFRR</w:t>
            </w:r>
          </w:p>
        </w:tc>
        <w:tc>
          <w:tcPr>
            <w:tcW w:w="0" w:type="auto"/>
            <w:shd w:val="clear" w:color="auto" w:fill="auto"/>
          </w:tcPr>
          <w:p w14:paraId="24EFB13C" w14:textId="77777777" w:rsidR="008C5CFA" w:rsidRPr="009C3005" w:rsidRDefault="00E82A60" w:rsidP="00300A01">
            <w:pPr>
              <w:pStyle w:val="Text1"/>
              <w:spacing w:before="0" w:after="0"/>
              <w:ind w:left="0"/>
              <w:rPr>
                <w:sz w:val="12"/>
                <w:szCs w:val="12"/>
              </w:rPr>
            </w:pPr>
            <w:r>
              <w:rPr>
                <w:noProof/>
                <w:sz w:val="12"/>
                <w:szCs w:val="12"/>
              </w:rPr>
              <w:t>Słabiej rozwinięte</w:t>
            </w:r>
          </w:p>
        </w:tc>
        <w:tc>
          <w:tcPr>
            <w:tcW w:w="0" w:type="auto"/>
            <w:shd w:val="clear" w:color="auto" w:fill="auto"/>
          </w:tcPr>
          <w:p w14:paraId="1A6F0252" w14:textId="77777777" w:rsidR="008C5CFA" w:rsidRPr="009C3005" w:rsidRDefault="00E82A60" w:rsidP="00300A01">
            <w:pPr>
              <w:pStyle w:val="Text1"/>
              <w:spacing w:before="0" w:after="0"/>
              <w:ind w:left="0"/>
              <w:rPr>
                <w:sz w:val="12"/>
                <w:szCs w:val="12"/>
              </w:rPr>
            </w:pPr>
            <w:r>
              <w:rPr>
                <w:noProof/>
                <w:sz w:val="12"/>
                <w:szCs w:val="12"/>
              </w:rPr>
              <w:t>064</w:t>
            </w:r>
          </w:p>
        </w:tc>
        <w:tc>
          <w:tcPr>
            <w:tcW w:w="0" w:type="auto"/>
            <w:shd w:val="clear" w:color="auto" w:fill="auto"/>
          </w:tcPr>
          <w:p w14:paraId="2FB8CE1F"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5FC835EE"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1EC9CDEB"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3EED7DC6"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37FEE0C2" w14:textId="77777777" w:rsidR="008C5CFA" w:rsidRPr="009C3005" w:rsidRDefault="00E82A60" w:rsidP="00300A01">
            <w:pPr>
              <w:pStyle w:val="Text1"/>
              <w:spacing w:before="0" w:after="0"/>
              <w:ind w:left="0"/>
              <w:rPr>
                <w:sz w:val="12"/>
                <w:szCs w:val="12"/>
              </w:rPr>
            </w:pPr>
            <w:r>
              <w:rPr>
                <w:sz w:val="12"/>
                <w:szCs w:val="12"/>
              </w:rPr>
              <w:t xml:space="preserve"> </w:t>
            </w:r>
          </w:p>
        </w:tc>
        <w:tc>
          <w:tcPr>
            <w:tcW w:w="0" w:type="auto"/>
            <w:shd w:val="clear" w:color="auto" w:fill="auto"/>
          </w:tcPr>
          <w:p w14:paraId="4801456C" w14:textId="77777777" w:rsidR="008C5CFA" w:rsidRPr="009C3005" w:rsidRDefault="00E82A60" w:rsidP="00300A01">
            <w:pPr>
              <w:pStyle w:val="Text1"/>
              <w:spacing w:before="0" w:after="0"/>
              <w:ind w:left="0"/>
              <w:rPr>
                <w:sz w:val="12"/>
                <w:szCs w:val="12"/>
              </w:rPr>
            </w:pPr>
            <w:r>
              <w:rPr>
                <w:noProof/>
                <w:sz w:val="12"/>
                <w:szCs w:val="12"/>
              </w:rPr>
              <w:t>08</w:t>
            </w:r>
          </w:p>
        </w:tc>
        <w:tc>
          <w:tcPr>
            <w:tcW w:w="0" w:type="auto"/>
            <w:shd w:val="clear" w:color="auto" w:fill="auto"/>
          </w:tcPr>
          <w:p w14:paraId="73D11CFE" w14:textId="77777777" w:rsidR="008C5CFA" w:rsidRPr="009C3005" w:rsidRDefault="00E82A60" w:rsidP="00300A01">
            <w:pPr>
              <w:pStyle w:val="Text1"/>
              <w:spacing w:before="0" w:after="0"/>
              <w:ind w:left="0"/>
              <w:rPr>
                <w:sz w:val="12"/>
                <w:szCs w:val="12"/>
              </w:rPr>
            </w:pPr>
            <w:r>
              <w:rPr>
                <w:noProof/>
                <w:sz w:val="12"/>
                <w:szCs w:val="12"/>
              </w:rPr>
              <w:t>PL33</w:t>
            </w:r>
          </w:p>
        </w:tc>
        <w:tc>
          <w:tcPr>
            <w:tcW w:w="0" w:type="auto"/>
            <w:shd w:val="clear" w:color="auto" w:fill="auto"/>
          </w:tcPr>
          <w:p w14:paraId="38523788" w14:textId="77777777" w:rsidR="008C5CFA" w:rsidRPr="009C3005" w:rsidRDefault="00E82A60" w:rsidP="00300A01">
            <w:pPr>
              <w:pStyle w:val="Text1"/>
              <w:spacing w:before="0" w:after="0"/>
              <w:ind w:left="0"/>
              <w:jc w:val="right"/>
              <w:rPr>
                <w:sz w:val="12"/>
                <w:szCs w:val="12"/>
              </w:rPr>
            </w:pPr>
            <w:r w:rsidRPr="009C3005">
              <w:rPr>
                <w:noProof/>
                <w:sz w:val="12"/>
                <w:szCs w:val="12"/>
              </w:rPr>
              <w:t>603 957,01</w:t>
            </w:r>
          </w:p>
        </w:tc>
        <w:tc>
          <w:tcPr>
            <w:tcW w:w="0" w:type="auto"/>
            <w:shd w:val="clear" w:color="auto" w:fill="auto"/>
          </w:tcPr>
          <w:p w14:paraId="45292E9A" w14:textId="77777777" w:rsidR="008C5CFA" w:rsidRPr="009C3005" w:rsidRDefault="00E82A60" w:rsidP="00300A01">
            <w:pPr>
              <w:pStyle w:val="Text1"/>
              <w:spacing w:before="0" w:after="0"/>
              <w:ind w:left="0"/>
              <w:jc w:val="right"/>
              <w:rPr>
                <w:sz w:val="12"/>
                <w:szCs w:val="12"/>
              </w:rPr>
            </w:pPr>
            <w:r w:rsidRPr="009C3005">
              <w:rPr>
                <w:noProof/>
                <w:sz w:val="12"/>
                <w:szCs w:val="12"/>
              </w:rPr>
              <w:t>429 396,23</w:t>
            </w:r>
          </w:p>
        </w:tc>
        <w:tc>
          <w:tcPr>
            <w:tcW w:w="0" w:type="auto"/>
            <w:shd w:val="clear" w:color="auto" w:fill="auto"/>
          </w:tcPr>
          <w:p w14:paraId="57EDADC0" w14:textId="77777777" w:rsidR="008C5CFA" w:rsidRPr="009C3005" w:rsidRDefault="00E82A60" w:rsidP="00300A01">
            <w:pPr>
              <w:pStyle w:val="Text1"/>
              <w:spacing w:before="0" w:after="0"/>
              <w:ind w:left="0"/>
              <w:jc w:val="right"/>
              <w:rPr>
                <w:sz w:val="12"/>
                <w:szCs w:val="12"/>
              </w:rPr>
            </w:pPr>
            <w:r w:rsidRPr="009C3005">
              <w:rPr>
                <w:noProof/>
                <w:sz w:val="12"/>
                <w:szCs w:val="12"/>
              </w:rPr>
              <w:t>192 122,16</w:t>
            </w:r>
          </w:p>
        </w:tc>
        <w:tc>
          <w:tcPr>
            <w:tcW w:w="0" w:type="auto"/>
            <w:shd w:val="clear" w:color="auto" w:fill="auto"/>
          </w:tcPr>
          <w:p w14:paraId="542F767D" w14:textId="77777777" w:rsidR="008C5CFA" w:rsidRPr="009C3005" w:rsidRDefault="00E82A60" w:rsidP="00300A01">
            <w:pPr>
              <w:pStyle w:val="Text1"/>
              <w:spacing w:before="0" w:after="0"/>
              <w:ind w:left="0"/>
              <w:jc w:val="right"/>
              <w:rPr>
                <w:sz w:val="12"/>
                <w:szCs w:val="12"/>
              </w:rPr>
            </w:pPr>
            <w:r w:rsidRPr="009C3005">
              <w:rPr>
                <w:noProof/>
                <w:sz w:val="12"/>
                <w:szCs w:val="12"/>
              </w:rPr>
              <w:t>2</w:t>
            </w:r>
          </w:p>
        </w:tc>
      </w:tr>
      <w:tr w:rsidR="006B2EC1" w14:paraId="4538B2C1" w14:textId="77777777" w:rsidTr="0047688D">
        <w:tc>
          <w:tcPr>
            <w:tcW w:w="0" w:type="auto"/>
            <w:shd w:val="clear" w:color="auto" w:fill="auto"/>
          </w:tcPr>
          <w:p w14:paraId="5717217E" w14:textId="77777777" w:rsidR="008C5CFA" w:rsidRPr="009C3005" w:rsidRDefault="00E82A60" w:rsidP="00300A01">
            <w:pPr>
              <w:pStyle w:val="Text1"/>
              <w:spacing w:before="0" w:after="0"/>
              <w:ind w:left="0"/>
              <w:rPr>
                <w:sz w:val="12"/>
                <w:szCs w:val="12"/>
              </w:rPr>
            </w:pPr>
            <w:r>
              <w:rPr>
                <w:noProof/>
                <w:sz w:val="14"/>
                <w:szCs w:val="14"/>
                <w:lang w:val="fr-BE"/>
              </w:rPr>
              <w:t>1</w:t>
            </w:r>
          </w:p>
        </w:tc>
        <w:tc>
          <w:tcPr>
            <w:tcW w:w="0" w:type="auto"/>
            <w:shd w:val="clear" w:color="auto" w:fill="auto"/>
          </w:tcPr>
          <w:p w14:paraId="2D6CC8E0" w14:textId="77777777" w:rsidR="008C5CFA" w:rsidRPr="009C3005" w:rsidRDefault="00E82A60" w:rsidP="00300A01">
            <w:pPr>
              <w:pStyle w:val="Text1"/>
              <w:spacing w:before="0" w:after="0"/>
              <w:ind w:left="0"/>
              <w:rPr>
                <w:sz w:val="12"/>
                <w:szCs w:val="12"/>
              </w:rPr>
            </w:pPr>
            <w:r>
              <w:rPr>
                <w:noProof/>
                <w:sz w:val="12"/>
                <w:szCs w:val="12"/>
              </w:rPr>
              <w:t>EFRR</w:t>
            </w:r>
          </w:p>
        </w:tc>
        <w:tc>
          <w:tcPr>
            <w:tcW w:w="0" w:type="auto"/>
            <w:shd w:val="clear" w:color="auto" w:fill="auto"/>
          </w:tcPr>
          <w:p w14:paraId="4162F4A5" w14:textId="77777777" w:rsidR="008C5CFA" w:rsidRPr="009C3005" w:rsidRDefault="00E82A60" w:rsidP="00300A01">
            <w:pPr>
              <w:pStyle w:val="Text1"/>
              <w:spacing w:before="0" w:after="0"/>
              <w:ind w:left="0"/>
              <w:rPr>
                <w:sz w:val="12"/>
                <w:szCs w:val="12"/>
              </w:rPr>
            </w:pPr>
            <w:r>
              <w:rPr>
                <w:noProof/>
                <w:sz w:val="12"/>
                <w:szCs w:val="12"/>
              </w:rPr>
              <w:t>Słabiej rozwinięte</w:t>
            </w:r>
          </w:p>
        </w:tc>
        <w:tc>
          <w:tcPr>
            <w:tcW w:w="0" w:type="auto"/>
            <w:shd w:val="clear" w:color="auto" w:fill="auto"/>
          </w:tcPr>
          <w:p w14:paraId="0C502B6C" w14:textId="77777777" w:rsidR="008C5CFA" w:rsidRPr="009C3005" w:rsidRDefault="00E82A60" w:rsidP="00300A01">
            <w:pPr>
              <w:pStyle w:val="Text1"/>
              <w:spacing w:before="0" w:after="0"/>
              <w:ind w:left="0"/>
              <w:rPr>
                <w:sz w:val="12"/>
                <w:szCs w:val="12"/>
              </w:rPr>
            </w:pPr>
            <w:r>
              <w:rPr>
                <w:noProof/>
                <w:sz w:val="12"/>
                <w:szCs w:val="12"/>
              </w:rPr>
              <w:t>064</w:t>
            </w:r>
          </w:p>
        </w:tc>
        <w:tc>
          <w:tcPr>
            <w:tcW w:w="0" w:type="auto"/>
            <w:shd w:val="clear" w:color="auto" w:fill="auto"/>
          </w:tcPr>
          <w:p w14:paraId="7A9E7AAA"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2CD4C0F2"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78FAE10C"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4B988118"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349D59C0" w14:textId="77777777" w:rsidR="008C5CFA" w:rsidRPr="009C3005" w:rsidRDefault="00E82A60" w:rsidP="00300A01">
            <w:pPr>
              <w:pStyle w:val="Text1"/>
              <w:spacing w:before="0" w:after="0"/>
              <w:ind w:left="0"/>
              <w:rPr>
                <w:sz w:val="12"/>
                <w:szCs w:val="12"/>
              </w:rPr>
            </w:pPr>
            <w:r>
              <w:rPr>
                <w:sz w:val="12"/>
                <w:szCs w:val="12"/>
              </w:rPr>
              <w:t xml:space="preserve"> </w:t>
            </w:r>
          </w:p>
        </w:tc>
        <w:tc>
          <w:tcPr>
            <w:tcW w:w="0" w:type="auto"/>
            <w:shd w:val="clear" w:color="auto" w:fill="auto"/>
          </w:tcPr>
          <w:p w14:paraId="1388E109" w14:textId="77777777" w:rsidR="008C5CFA" w:rsidRPr="009C3005" w:rsidRDefault="00E82A60" w:rsidP="00300A01">
            <w:pPr>
              <w:pStyle w:val="Text1"/>
              <w:spacing w:before="0" w:after="0"/>
              <w:ind w:left="0"/>
              <w:rPr>
                <w:sz w:val="12"/>
                <w:szCs w:val="12"/>
              </w:rPr>
            </w:pPr>
            <w:r>
              <w:rPr>
                <w:noProof/>
                <w:sz w:val="12"/>
                <w:szCs w:val="12"/>
              </w:rPr>
              <w:t>14</w:t>
            </w:r>
          </w:p>
        </w:tc>
        <w:tc>
          <w:tcPr>
            <w:tcW w:w="0" w:type="auto"/>
            <w:shd w:val="clear" w:color="auto" w:fill="auto"/>
          </w:tcPr>
          <w:p w14:paraId="052DD849" w14:textId="77777777" w:rsidR="008C5CFA" w:rsidRPr="009C3005" w:rsidRDefault="00E82A60" w:rsidP="00300A01">
            <w:pPr>
              <w:pStyle w:val="Text1"/>
              <w:spacing w:before="0" w:after="0"/>
              <w:ind w:left="0"/>
              <w:rPr>
                <w:sz w:val="12"/>
                <w:szCs w:val="12"/>
              </w:rPr>
            </w:pPr>
            <w:r>
              <w:rPr>
                <w:noProof/>
                <w:sz w:val="12"/>
                <w:szCs w:val="12"/>
              </w:rPr>
              <w:t>PL33</w:t>
            </w:r>
          </w:p>
        </w:tc>
        <w:tc>
          <w:tcPr>
            <w:tcW w:w="0" w:type="auto"/>
            <w:shd w:val="clear" w:color="auto" w:fill="auto"/>
          </w:tcPr>
          <w:p w14:paraId="4ACF1CF8" w14:textId="77777777" w:rsidR="008C5CFA" w:rsidRPr="009C3005" w:rsidRDefault="00E82A60" w:rsidP="00300A01">
            <w:pPr>
              <w:pStyle w:val="Text1"/>
              <w:spacing w:before="0" w:after="0"/>
              <w:ind w:left="0"/>
              <w:jc w:val="right"/>
              <w:rPr>
                <w:sz w:val="12"/>
                <w:szCs w:val="12"/>
              </w:rPr>
            </w:pPr>
            <w:r w:rsidRPr="009C3005">
              <w:rPr>
                <w:noProof/>
                <w:sz w:val="12"/>
                <w:szCs w:val="12"/>
              </w:rPr>
              <w:t>469 048,79</w:t>
            </w:r>
          </w:p>
        </w:tc>
        <w:tc>
          <w:tcPr>
            <w:tcW w:w="0" w:type="auto"/>
            <w:shd w:val="clear" w:color="auto" w:fill="auto"/>
          </w:tcPr>
          <w:p w14:paraId="069735A2" w14:textId="77777777" w:rsidR="008C5CFA" w:rsidRPr="009C3005" w:rsidRDefault="00E82A60" w:rsidP="00300A01">
            <w:pPr>
              <w:pStyle w:val="Text1"/>
              <w:spacing w:before="0" w:after="0"/>
              <w:ind w:left="0"/>
              <w:jc w:val="right"/>
              <w:rPr>
                <w:sz w:val="12"/>
                <w:szCs w:val="12"/>
              </w:rPr>
            </w:pPr>
            <w:r w:rsidRPr="009C3005">
              <w:rPr>
                <w:noProof/>
                <w:sz w:val="12"/>
                <w:szCs w:val="12"/>
              </w:rPr>
              <w:t>361 237,58</w:t>
            </w:r>
          </w:p>
        </w:tc>
        <w:tc>
          <w:tcPr>
            <w:tcW w:w="0" w:type="auto"/>
            <w:shd w:val="clear" w:color="auto" w:fill="auto"/>
          </w:tcPr>
          <w:p w14:paraId="71F12BAA" w14:textId="77777777" w:rsidR="008C5CFA" w:rsidRPr="009C3005" w:rsidRDefault="00E82A60" w:rsidP="00300A01">
            <w:pPr>
              <w:pStyle w:val="Text1"/>
              <w:spacing w:before="0" w:after="0"/>
              <w:ind w:left="0"/>
              <w:jc w:val="right"/>
              <w:rPr>
                <w:sz w:val="12"/>
                <w:szCs w:val="12"/>
              </w:rPr>
            </w:pPr>
            <w:r w:rsidRPr="009C3005">
              <w:rPr>
                <w:noProof/>
                <w:sz w:val="12"/>
                <w:szCs w:val="12"/>
              </w:rPr>
              <w:t>300 339,32</w:t>
            </w:r>
          </w:p>
        </w:tc>
        <w:tc>
          <w:tcPr>
            <w:tcW w:w="0" w:type="auto"/>
            <w:shd w:val="clear" w:color="auto" w:fill="auto"/>
          </w:tcPr>
          <w:p w14:paraId="4C251237" w14:textId="77777777" w:rsidR="008C5CFA" w:rsidRPr="009C3005" w:rsidRDefault="00E82A60" w:rsidP="00300A01">
            <w:pPr>
              <w:pStyle w:val="Text1"/>
              <w:spacing w:before="0" w:after="0"/>
              <w:ind w:left="0"/>
              <w:jc w:val="right"/>
              <w:rPr>
                <w:sz w:val="12"/>
                <w:szCs w:val="12"/>
              </w:rPr>
            </w:pPr>
            <w:r w:rsidRPr="009C3005">
              <w:rPr>
                <w:noProof/>
                <w:sz w:val="12"/>
                <w:szCs w:val="12"/>
              </w:rPr>
              <w:t>1</w:t>
            </w:r>
          </w:p>
        </w:tc>
      </w:tr>
      <w:tr w:rsidR="006B2EC1" w14:paraId="003366D4" w14:textId="77777777" w:rsidTr="0047688D">
        <w:tc>
          <w:tcPr>
            <w:tcW w:w="0" w:type="auto"/>
            <w:shd w:val="clear" w:color="auto" w:fill="auto"/>
          </w:tcPr>
          <w:p w14:paraId="2B2E69BC" w14:textId="77777777" w:rsidR="008C5CFA" w:rsidRPr="009C3005" w:rsidRDefault="00E82A60" w:rsidP="00300A01">
            <w:pPr>
              <w:pStyle w:val="Text1"/>
              <w:spacing w:before="0" w:after="0"/>
              <w:ind w:left="0"/>
              <w:rPr>
                <w:sz w:val="12"/>
                <w:szCs w:val="12"/>
              </w:rPr>
            </w:pPr>
            <w:r>
              <w:rPr>
                <w:noProof/>
                <w:sz w:val="14"/>
                <w:szCs w:val="14"/>
                <w:lang w:val="fr-BE"/>
              </w:rPr>
              <w:t>1</w:t>
            </w:r>
          </w:p>
        </w:tc>
        <w:tc>
          <w:tcPr>
            <w:tcW w:w="0" w:type="auto"/>
            <w:shd w:val="clear" w:color="auto" w:fill="auto"/>
          </w:tcPr>
          <w:p w14:paraId="2E9B200C" w14:textId="77777777" w:rsidR="008C5CFA" w:rsidRPr="009C3005" w:rsidRDefault="00E82A60" w:rsidP="00300A01">
            <w:pPr>
              <w:pStyle w:val="Text1"/>
              <w:spacing w:before="0" w:after="0"/>
              <w:ind w:left="0"/>
              <w:rPr>
                <w:sz w:val="12"/>
                <w:szCs w:val="12"/>
              </w:rPr>
            </w:pPr>
            <w:r>
              <w:rPr>
                <w:noProof/>
                <w:sz w:val="12"/>
                <w:szCs w:val="12"/>
              </w:rPr>
              <w:t>EFRR</w:t>
            </w:r>
          </w:p>
        </w:tc>
        <w:tc>
          <w:tcPr>
            <w:tcW w:w="0" w:type="auto"/>
            <w:shd w:val="clear" w:color="auto" w:fill="auto"/>
          </w:tcPr>
          <w:p w14:paraId="10294288" w14:textId="77777777" w:rsidR="008C5CFA" w:rsidRPr="009C3005" w:rsidRDefault="00E82A60" w:rsidP="00300A01">
            <w:pPr>
              <w:pStyle w:val="Text1"/>
              <w:spacing w:before="0" w:after="0"/>
              <w:ind w:left="0"/>
              <w:rPr>
                <w:sz w:val="12"/>
                <w:szCs w:val="12"/>
              </w:rPr>
            </w:pPr>
            <w:r>
              <w:rPr>
                <w:noProof/>
                <w:sz w:val="12"/>
                <w:szCs w:val="12"/>
              </w:rPr>
              <w:t>Słabiej rozwinięte</w:t>
            </w:r>
          </w:p>
        </w:tc>
        <w:tc>
          <w:tcPr>
            <w:tcW w:w="0" w:type="auto"/>
            <w:shd w:val="clear" w:color="auto" w:fill="auto"/>
          </w:tcPr>
          <w:p w14:paraId="19EA0A8A" w14:textId="77777777" w:rsidR="008C5CFA" w:rsidRPr="009C3005" w:rsidRDefault="00E82A60" w:rsidP="00300A01">
            <w:pPr>
              <w:pStyle w:val="Text1"/>
              <w:spacing w:before="0" w:after="0"/>
              <w:ind w:left="0"/>
              <w:rPr>
                <w:sz w:val="12"/>
                <w:szCs w:val="12"/>
              </w:rPr>
            </w:pPr>
            <w:r>
              <w:rPr>
                <w:noProof/>
                <w:sz w:val="12"/>
                <w:szCs w:val="12"/>
              </w:rPr>
              <w:t>064</w:t>
            </w:r>
          </w:p>
        </w:tc>
        <w:tc>
          <w:tcPr>
            <w:tcW w:w="0" w:type="auto"/>
            <w:shd w:val="clear" w:color="auto" w:fill="auto"/>
          </w:tcPr>
          <w:p w14:paraId="42A30D46"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044118AA"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505BEA41"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713697CD"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566A8BA8" w14:textId="77777777" w:rsidR="008C5CFA" w:rsidRPr="009C3005" w:rsidRDefault="00E82A60" w:rsidP="00300A01">
            <w:pPr>
              <w:pStyle w:val="Text1"/>
              <w:spacing w:before="0" w:after="0"/>
              <w:ind w:left="0"/>
              <w:rPr>
                <w:sz w:val="12"/>
                <w:szCs w:val="12"/>
              </w:rPr>
            </w:pPr>
            <w:r>
              <w:rPr>
                <w:sz w:val="12"/>
                <w:szCs w:val="12"/>
              </w:rPr>
              <w:t xml:space="preserve"> </w:t>
            </w:r>
          </w:p>
        </w:tc>
        <w:tc>
          <w:tcPr>
            <w:tcW w:w="0" w:type="auto"/>
            <w:shd w:val="clear" w:color="auto" w:fill="auto"/>
          </w:tcPr>
          <w:p w14:paraId="507C935B" w14:textId="77777777" w:rsidR="008C5CFA" w:rsidRPr="009C3005" w:rsidRDefault="00E82A60" w:rsidP="00300A01">
            <w:pPr>
              <w:pStyle w:val="Text1"/>
              <w:spacing w:before="0" w:after="0"/>
              <w:ind w:left="0"/>
              <w:rPr>
                <w:sz w:val="12"/>
                <w:szCs w:val="12"/>
              </w:rPr>
            </w:pPr>
            <w:r>
              <w:rPr>
                <w:noProof/>
                <w:sz w:val="12"/>
                <w:szCs w:val="12"/>
              </w:rPr>
              <w:t>20</w:t>
            </w:r>
          </w:p>
        </w:tc>
        <w:tc>
          <w:tcPr>
            <w:tcW w:w="0" w:type="auto"/>
            <w:shd w:val="clear" w:color="auto" w:fill="auto"/>
          </w:tcPr>
          <w:p w14:paraId="562DF667" w14:textId="77777777" w:rsidR="008C5CFA" w:rsidRPr="009C3005" w:rsidRDefault="00E82A60" w:rsidP="00300A01">
            <w:pPr>
              <w:pStyle w:val="Text1"/>
              <w:spacing w:before="0" w:after="0"/>
              <w:ind w:left="0"/>
              <w:rPr>
                <w:sz w:val="12"/>
                <w:szCs w:val="12"/>
              </w:rPr>
            </w:pPr>
            <w:r>
              <w:rPr>
                <w:noProof/>
                <w:sz w:val="12"/>
                <w:szCs w:val="12"/>
              </w:rPr>
              <w:t>PL33</w:t>
            </w:r>
          </w:p>
        </w:tc>
        <w:tc>
          <w:tcPr>
            <w:tcW w:w="0" w:type="auto"/>
            <w:shd w:val="clear" w:color="auto" w:fill="auto"/>
          </w:tcPr>
          <w:p w14:paraId="3C52C049" w14:textId="77777777" w:rsidR="008C5CFA" w:rsidRPr="009C3005" w:rsidRDefault="00E82A60" w:rsidP="00300A01">
            <w:pPr>
              <w:pStyle w:val="Text1"/>
              <w:spacing w:before="0" w:after="0"/>
              <w:ind w:left="0"/>
              <w:jc w:val="right"/>
              <w:rPr>
                <w:sz w:val="12"/>
                <w:szCs w:val="12"/>
              </w:rPr>
            </w:pPr>
            <w:r w:rsidRPr="009C3005">
              <w:rPr>
                <w:noProof/>
                <w:sz w:val="12"/>
                <w:szCs w:val="12"/>
              </w:rPr>
              <w:t>959 898,51</w:t>
            </w:r>
          </w:p>
        </w:tc>
        <w:tc>
          <w:tcPr>
            <w:tcW w:w="0" w:type="auto"/>
            <w:shd w:val="clear" w:color="auto" w:fill="auto"/>
          </w:tcPr>
          <w:p w14:paraId="4DA77574" w14:textId="77777777" w:rsidR="008C5CFA" w:rsidRPr="009C3005" w:rsidRDefault="00E82A60" w:rsidP="00300A01">
            <w:pPr>
              <w:pStyle w:val="Text1"/>
              <w:spacing w:before="0" w:after="0"/>
              <w:ind w:left="0"/>
              <w:jc w:val="right"/>
              <w:rPr>
                <w:sz w:val="12"/>
                <w:szCs w:val="12"/>
              </w:rPr>
            </w:pPr>
            <w:r w:rsidRPr="009C3005">
              <w:rPr>
                <w:noProof/>
                <w:sz w:val="12"/>
                <w:szCs w:val="12"/>
              </w:rPr>
              <w:t>760 307,28</w:t>
            </w:r>
          </w:p>
        </w:tc>
        <w:tc>
          <w:tcPr>
            <w:tcW w:w="0" w:type="auto"/>
            <w:shd w:val="clear" w:color="auto" w:fill="auto"/>
          </w:tcPr>
          <w:p w14:paraId="2C51C12D" w14:textId="77777777" w:rsidR="008C5CFA" w:rsidRPr="009C3005" w:rsidRDefault="00E82A60" w:rsidP="00300A01">
            <w:pPr>
              <w:pStyle w:val="Text1"/>
              <w:spacing w:before="0" w:after="0"/>
              <w:ind w:left="0"/>
              <w:jc w:val="right"/>
              <w:rPr>
                <w:sz w:val="12"/>
                <w:szCs w:val="12"/>
              </w:rPr>
            </w:pPr>
            <w:r w:rsidRPr="009C3005">
              <w:rPr>
                <w:noProof/>
                <w:sz w:val="12"/>
                <w:szCs w:val="12"/>
              </w:rPr>
              <w:t>429 223,34</w:t>
            </w:r>
          </w:p>
        </w:tc>
        <w:tc>
          <w:tcPr>
            <w:tcW w:w="0" w:type="auto"/>
            <w:shd w:val="clear" w:color="auto" w:fill="auto"/>
          </w:tcPr>
          <w:p w14:paraId="576CB39D" w14:textId="77777777" w:rsidR="008C5CFA" w:rsidRPr="009C3005" w:rsidRDefault="00E82A60" w:rsidP="00300A01">
            <w:pPr>
              <w:pStyle w:val="Text1"/>
              <w:spacing w:before="0" w:after="0"/>
              <w:ind w:left="0"/>
              <w:jc w:val="right"/>
              <w:rPr>
                <w:sz w:val="12"/>
                <w:szCs w:val="12"/>
              </w:rPr>
            </w:pPr>
            <w:r w:rsidRPr="009C3005">
              <w:rPr>
                <w:noProof/>
                <w:sz w:val="12"/>
                <w:szCs w:val="12"/>
              </w:rPr>
              <w:t>1</w:t>
            </w:r>
          </w:p>
        </w:tc>
      </w:tr>
      <w:tr w:rsidR="006B2EC1" w14:paraId="662F179C" w14:textId="77777777" w:rsidTr="0047688D">
        <w:tc>
          <w:tcPr>
            <w:tcW w:w="0" w:type="auto"/>
            <w:shd w:val="clear" w:color="auto" w:fill="auto"/>
          </w:tcPr>
          <w:p w14:paraId="4EFC8FDB" w14:textId="77777777" w:rsidR="008C5CFA" w:rsidRPr="009C3005" w:rsidRDefault="00E82A60" w:rsidP="00300A01">
            <w:pPr>
              <w:pStyle w:val="Text1"/>
              <w:spacing w:before="0" w:after="0"/>
              <w:ind w:left="0"/>
              <w:rPr>
                <w:sz w:val="12"/>
                <w:szCs w:val="12"/>
              </w:rPr>
            </w:pPr>
            <w:r>
              <w:rPr>
                <w:noProof/>
                <w:sz w:val="14"/>
                <w:szCs w:val="14"/>
                <w:lang w:val="fr-BE"/>
              </w:rPr>
              <w:t>1</w:t>
            </w:r>
          </w:p>
        </w:tc>
        <w:tc>
          <w:tcPr>
            <w:tcW w:w="0" w:type="auto"/>
            <w:shd w:val="clear" w:color="auto" w:fill="auto"/>
          </w:tcPr>
          <w:p w14:paraId="4A27B148" w14:textId="77777777" w:rsidR="008C5CFA" w:rsidRPr="009C3005" w:rsidRDefault="00E82A60" w:rsidP="00300A01">
            <w:pPr>
              <w:pStyle w:val="Text1"/>
              <w:spacing w:before="0" w:after="0"/>
              <w:ind w:left="0"/>
              <w:rPr>
                <w:sz w:val="12"/>
                <w:szCs w:val="12"/>
              </w:rPr>
            </w:pPr>
            <w:r>
              <w:rPr>
                <w:noProof/>
                <w:sz w:val="12"/>
                <w:szCs w:val="12"/>
              </w:rPr>
              <w:t>EFRR</w:t>
            </w:r>
          </w:p>
        </w:tc>
        <w:tc>
          <w:tcPr>
            <w:tcW w:w="0" w:type="auto"/>
            <w:shd w:val="clear" w:color="auto" w:fill="auto"/>
          </w:tcPr>
          <w:p w14:paraId="6FC8EE85" w14:textId="77777777" w:rsidR="008C5CFA" w:rsidRPr="009C3005" w:rsidRDefault="00E82A60" w:rsidP="00300A01">
            <w:pPr>
              <w:pStyle w:val="Text1"/>
              <w:spacing w:before="0" w:after="0"/>
              <w:ind w:left="0"/>
              <w:rPr>
                <w:sz w:val="12"/>
                <w:szCs w:val="12"/>
              </w:rPr>
            </w:pPr>
            <w:r>
              <w:rPr>
                <w:noProof/>
                <w:sz w:val="12"/>
                <w:szCs w:val="12"/>
              </w:rPr>
              <w:t>Słabiej rozwinięte</w:t>
            </w:r>
          </w:p>
        </w:tc>
        <w:tc>
          <w:tcPr>
            <w:tcW w:w="0" w:type="auto"/>
            <w:shd w:val="clear" w:color="auto" w:fill="auto"/>
          </w:tcPr>
          <w:p w14:paraId="0A735C94" w14:textId="77777777" w:rsidR="008C5CFA" w:rsidRPr="009C3005" w:rsidRDefault="00E82A60" w:rsidP="00300A01">
            <w:pPr>
              <w:pStyle w:val="Text1"/>
              <w:spacing w:before="0" w:after="0"/>
              <w:ind w:left="0"/>
              <w:rPr>
                <w:sz w:val="12"/>
                <w:szCs w:val="12"/>
              </w:rPr>
            </w:pPr>
            <w:r>
              <w:rPr>
                <w:noProof/>
                <w:sz w:val="12"/>
                <w:szCs w:val="12"/>
              </w:rPr>
              <w:t>064</w:t>
            </w:r>
          </w:p>
        </w:tc>
        <w:tc>
          <w:tcPr>
            <w:tcW w:w="0" w:type="auto"/>
            <w:shd w:val="clear" w:color="auto" w:fill="auto"/>
          </w:tcPr>
          <w:p w14:paraId="06B361C7"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2ABAB1C3"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57424E98"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25CE055F"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6BB0D36B" w14:textId="77777777" w:rsidR="008C5CFA" w:rsidRPr="009C3005" w:rsidRDefault="00E82A60" w:rsidP="00300A01">
            <w:pPr>
              <w:pStyle w:val="Text1"/>
              <w:spacing w:before="0" w:after="0"/>
              <w:ind w:left="0"/>
              <w:rPr>
                <w:sz w:val="12"/>
                <w:szCs w:val="12"/>
              </w:rPr>
            </w:pPr>
            <w:r>
              <w:rPr>
                <w:sz w:val="12"/>
                <w:szCs w:val="12"/>
              </w:rPr>
              <w:t xml:space="preserve"> </w:t>
            </w:r>
          </w:p>
        </w:tc>
        <w:tc>
          <w:tcPr>
            <w:tcW w:w="0" w:type="auto"/>
            <w:shd w:val="clear" w:color="auto" w:fill="auto"/>
          </w:tcPr>
          <w:p w14:paraId="79AB9BC4" w14:textId="77777777" w:rsidR="008C5CFA" w:rsidRPr="009C3005" w:rsidRDefault="00E82A60" w:rsidP="00300A01">
            <w:pPr>
              <w:pStyle w:val="Text1"/>
              <w:spacing w:before="0" w:after="0"/>
              <w:ind w:left="0"/>
              <w:rPr>
                <w:sz w:val="12"/>
                <w:szCs w:val="12"/>
              </w:rPr>
            </w:pPr>
            <w:r>
              <w:rPr>
                <w:noProof/>
                <w:sz w:val="12"/>
                <w:szCs w:val="12"/>
              </w:rPr>
              <w:t>24</w:t>
            </w:r>
          </w:p>
        </w:tc>
        <w:tc>
          <w:tcPr>
            <w:tcW w:w="0" w:type="auto"/>
            <w:shd w:val="clear" w:color="auto" w:fill="auto"/>
          </w:tcPr>
          <w:p w14:paraId="47839D9F" w14:textId="77777777" w:rsidR="008C5CFA" w:rsidRPr="009C3005" w:rsidRDefault="00E82A60" w:rsidP="00300A01">
            <w:pPr>
              <w:pStyle w:val="Text1"/>
              <w:spacing w:before="0" w:after="0"/>
              <w:ind w:left="0"/>
              <w:rPr>
                <w:sz w:val="12"/>
                <w:szCs w:val="12"/>
              </w:rPr>
            </w:pPr>
            <w:r>
              <w:rPr>
                <w:noProof/>
                <w:sz w:val="12"/>
                <w:szCs w:val="12"/>
              </w:rPr>
              <w:t>PL33</w:t>
            </w:r>
          </w:p>
        </w:tc>
        <w:tc>
          <w:tcPr>
            <w:tcW w:w="0" w:type="auto"/>
            <w:shd w:val="clear" w:color="auto" w:fill="auto"/>
          </w:tcPr>
          <w:p w14:paraId="1F42BA80" w14:textId="77777777" w:rsidR="008C5CFA" w:rsidRPr="009C3005" w:rsidRDefault="00E82A60" w:rsidP="00300A01">
            <w:pPr>
              <w:pStyle w:val="Text1"/>
              <w:spacing w:before="0" w:after="0"/>
              <w:ind w:left="0"/>
              <w:jc w:val="right"/>
              <w:rPr>
                <w:sz w:val="12"/>
                <w:szCs w:val="12"/>
              </w:rPr>
            </w:pPr>
            <w:r w:rsidRPr="009C3005">
              <w:rPr>
                <w:noProof/>
                <w:sz w:val="12"/>
                <w:szCs w:val="12"/>
              </w:rPr>
              <w:t>6 412 486,21</w:t>
            </w:r>
          </w:p>
        </w:tc>
        <w:tc>
          <w:tcPr>
            <w:tcW w:w="0" w:type="auto"/>
            <w:shd w:val="clear" w:color="auto" w:fill="auto"/>
          </w:tcPr>
          <w:p w14:paraId="5DF97CE4" w14:textId="77777777" w:rsidR="008C5CFA" w:rsidRPr="009C3005" w:rsidRDefault="00E82A60" w:rsidP="00300A01">
            <w:pPr>
              <w:pStyle w:val="Text1"/>
              <w:spacing w:before="0" w:after="0"/>
              <w:ind w:left="0"/>
              <w:jc w:val="right"/>
              <w:rPr>
                <w:sz w:val="12"/>
                <w:szCs w:val="12"/>
              </w:rPr>
            </w:pPr>
            <w:r w:rsidRPr="009C3005">
              <w:rPr>
                <w:noProof/>
                <w:sz w:val="12"/>
                <w:szCs w:val="12"/>
              </w:rPr>
              <w:t>4 961 622,69</w:t>
            </w:r>
          </w:p>
        </w:tc>
        <w:tc>
          <w:tcPr>
            <w:tcW w:w="0" w:type="auto"/>
            <w:shd w:val="clear" w:color="auto" w:fill="auto"/>
          </w:tcPr>
          <w:p w14:paraId="4739201A" w14:textId="77777777" w:rsidR="008C5CFA" w:rsidRPr="009C3005" w:rsidRDefault="00E82A60" w:rsidP="00300A01">
            <w:pPr>
              <w:pStyle w:val="Text1"/>
              <w:spacing w:before="0" w:after="0"/>
              <w:ind w:left="0"/>
              <w:jc w:val="right"/>
              <w:rPr>
                <w:sz w:val="12"/>
                <w:szCs w:val="12"/>
              </w:rPr>
            </w:pPr>
            <w:r w:rsidRPr="009C3005">
              <w:rPr>
                <w:noProof/>
                <w:sz w:val="12"/>
                <w:szCs w:val="12"/>
              </w:rPr>
              <w:t>1 955 003,21</w:t>
            </w:r>
          </w:p>
        </w:tc>
        <w:tc>
          <w:tcPr>
            <w:tcW w:w="0" w:type="auto"/>
            <w:shd w:val="clear" w:color="auto" w:fill="auto"/>
          </w:tcPr>
          <w:p w14:paraId="75916726" w14:textId="77777777" w:rsidR="008C5CFA" w:rsidRPr="009C3005" w:rsidRDefault="00E82A60" w:rsidP="00300A01">
            <w:pPr>
              <w:pStyle w:val="Text1"/>
              <w:spacing w:before="0" w:after="0"/>
              <w:ind w:left="0"/>
              <w:jc w:val="right"/>
              <w:rPr>
                <w:sz w:val="12"/>
                <w:szCs w:val="12"/>
              </w:rPr>
            </w:pPr>
            <w:r w:rsidRPr="009C3005">
              <w:rPr>
                <w:noProof/>
                <w:sz w:val="12"/>
                <w:szCs w:val="12"/>
              </w:rPr>
              <w:t>5</w:t>
            </w:r>
          </w:p>
        </w:tc>
      </w:tr>
      <w:tr w:rsidR="006B2EC1" w14:paraId="5A01D088" w14:textId="77777777" w:rsidTr="0047688D">
        <w:tc>
          <w:tcPr>
            <w:tcW w:w="0" w:type="auto"/>
            <w:shd w:val="clear" w:color="auto" w:fill="auto"/>
          </w:tcPr>
          <w:p w14:paraId="37A9B0C9" w14:textId="77777777" w:rsidR="008C5CFA" w:rsidRPr="009C3005" w:rsidRDefault="00E82A60" w:rsidP="00300A01">
            <w:pPr>
              <w:pStyle w:val="Text1"/>
              <w:spacing w:before="0" w:after="0"/>
              <w:ind w:left="0"/>
              <w:rPr>
                <w:sz w:val="12"/>
                <w:szCs w:val="12"/>
              </w:rPr>
            </w:pPr>
            <w:r>
              <w:rPr>
                <w:noProof/>
                <w:sz w:val="14"/>
                <w:szCs w:val="14"/>
                <w:lang w:val="fr-BE"/>
              </w:rPr>
              <w:t>1</w:t>
            </w:r>
          </w:p>
        </w:tc>
        <w:tc>
          <w:tcPr>
            <w:tcW w:w="0" w:type="auto"/>
            <w:shd w:val="clear" w:color="auto" w:fill="auto"/>
          </w:tcPr>
          <w:p w14:paraId="03EFE531" w14:textId="77777777" w:rsidR="008C5CFA" w:rsidRPr="009C3005" w:rsidRDefault="00E82A60" w:rsidP="00300A01">
            <w:pPr>
              <w:pStyle w:val="Text1"/>
              <w:spacing w:before="0" w:after="0"/>
              <w:ind w:left="0"/>
              <w:rPr>
                <w:sz w:val="12"/>
                <w:szCs w:val="12"/>
              </w:rPr>
            </w:pPr>
            <w:r>
              <w:rPr>
                <w:noProof/>
                <w:sz w:val="12"/>
                <w:szCs w:val="12"/>
              </w:rPr>
              <w:t>EFRR</w:t>
            </w:r>
          </w:p>
        </w:tc>
        <w:tc>
          <w:tcPr>
            <w:tcW w:w="0" w:type="auto"/>
            <w:shd w:val="clear" w:color="auto" w:fill="auto"/>
          </w:tcPr>
          <w:p w14:paraId="253837EF" w14:textId="77777777" w:rsidR="008C5CFA" w:rsidRPr="009C3005" w:rsidRDefault="00E82A60" w:rsidP="00300A01">
            <w:pPr>
              <w:pStyle w:val="Text1"/>
              <w:spacing w:before="0" w:after="0"/>
              <w:ind w:left="0"/>
              <w:rPr>
                <w:sz w:val="12"/>
                <w:szCs w:val="12"/>
              </w:rPr>
            </w:pPr>
            <w:r>
              <w:rPr>
                <w:noProof/>
                <w:sz w:val="12"/>
                <w:szCs w:val="12"/>
              </w:rPr>
              <w:t>Słabiej rozwinięte</w:t>
            </w:r>
          </w:p>
        </w:tc>
        <w:tc>
          <w:tcPr>
            <w:tcW w:w="0" w:type="auto"/>
            <w:shd w:val="clear" w:color="auto" w:fill="auto"/>
          </w:tcPr>
          <w:p w14:paraId="78C688F6" w14:textId="77777777" w:rsidR="008C5CFA" w:rsidRPr="009C3005" w:rsidRDefault="00E82A60" w:rsidP="00300A01">
            <w:pPr>
              <w:pStyle w:val="Text1"/>
              <w:spacing w:before="0" w:after="0"/>
              <w:ind w:left="0"/>
              <w:rPr>
                <w:sz w:val="12"/>
                <w:szCs w:val="12"/>
              </w:rPr>
            </w:pPr>
            <w:r>
              <w:rPr>
                <w:noProof/>
                <w:sz w:val="12"/>
                <w:szCs w:val="12"/>
              </w:rPr>
              <w:t>064</w:t>
            </w:r>
          </w:p>
        </w:tc>
        <w:tc>
          <w:tcPr>
            <w:tcW w:w="0" w:type="auto"/>
            <w:shd w:val="clear" w:color="auto" w:fill="auto"/>
          </w:tcPr>
          <w:p w14:paraId="73814DF5"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4298B54D" w14:textId="77777777" w:rsidR="008C5CFA" w:rsidRPr="009C3005" w:rsidRDefault="00E82A60" w:rsidP="00300A01">
            <w:pPr>
              <w:pStyle w:val="Text1"/>
              <w:spacing w:before="0" w:after="0"/>
              <w:ind w:left="0"/>
              <w:rPr>
                <w:sz w:val="12"/>
                <w:szCs w:val="12"/>
              </w:rPr>
            </w:pPr>
            <w:r>
              <w:rPr>
                <w:noProof/>
                <w:sz w:val="12"/>
                <w:szCs w:val="12"/>
              </w:rPr>
              <w:t>02</w:t>
            </w:r>
          </w:p>
        </w:tc>
        <w:tc>
          <w:tcPr>
            <w:tcW w:w="0" w:type="auto"/>
            <w:shd w:val="clear" w:color="auto" w:fill="auto"/>
          </w:tcPr>
          <w:p w14:paraId="77702A34"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251007ED"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730CCC76" w14:textId="77777777" w:rsidR="008C5CFA" w:rsidRPr="009C3005" w:rsidRDefault="00E82A60" w:rsidP="00300A01">
            <w:pPr>
              <w:pStyle w:val="Text1"/>
              <w:spacing w:before="0" w:after="0"/>
              <w:ind w:left="0"/>
              <w:rPr>
                <w:sz w:val="12"/>
                <w:szCs w:val="12"/>
              </w:rPr>
            </w:pPr>
            <w:r>
              <w:rPr>
                <w:sz w:val="12"/>
                <w:szCs w:val="12"/>
              </w:rPr>
              <w:t xml:space="preserve"> </w:t>
            </w:r>
          </w:p>
        </w:tc>
        <w:tc>
          <w:tcPr>
            <w:tcW w:w="0" w:type="auto"/>
            <w:shd w:val="clear" w:color="auto" w:fill="auto"/>
          </w:tcPr>
          <w:p w14:paraId="4D0CC201" w14:textId="77777777" w:rsidR="008C5CFA" w:rsidRPr="009C3005" w:rsidRDefault="00E82A60" w:rsidP="00300A01">
            <w:pPr>
              <w:pStyle w:val="Text1"/>
              <w:spacing w:before="0" w:after="0"/>
              <w:ind w:left="0"/>
              <w:rPr>
                <w:sz w:val="12"/>
                <w:szCs w:val="12"/>
              </w:rPr>
            </w:pPr>
            <w:r>
              <w:rPr>
                <w:noProof/>
                <w:sz w:val="12"/>
                <w:szCs w:val="12"/>
              </w:rPr>
              <w:t>03</w:t>
            </w:r>
          </w:p>
        </w:tc>
        <w:tc>
          <w:tcPr>
            <w:tcW w:w="0" w:type="auto"/>
            <w:shd w:val="clear" w:color="auto" w:fill="auto"/>
          </w:tcPr>
          <w:p w14:paraId="7D7B7301" w14:textId="77777777" w:rsidR="008C5CFA" w:rsidRPr="009C3005" w:rsidRDefault="00E82A60" w:rsidP="00300A01">
            <w:pPr>
              <w:pStyle w:val="Text1"/>
              <w:spacing w:before="0" w:after="0"/>
              <w:ind w:left="0"/>
              <w:rPr>
                <w:sz w:val="12"/>
                <w:szCs w:val="12"/>
              </w:rPr>
            </w:pPr>
            <w:r>
              <w:rPr>
                <w:noProof/>
                <w:sz w:val="12"/>
                <w:szCs w:val="12"/>
              </w:rPr>
              <w:t>PL33</w:t>
            </w:r>
          </w:p>
        </w:tc>
        <w:tc>
          <w:tcPr>
            <w:tcW w:w="0" w:type="auto"/>
            <w:shd w:val="clear" w:color="auto" w:fill="auto"/>
          </w:tcPr>
          <w:p w14:paraId="03F7FAFB" w14:textId="77777777" w:rsidR="008C5CFA" w:rsidRPr="009C3005" w:rsidRDefault="00E82A60" w:rsidP="00300A01">
            <w:pPr>
              <w:pStyle w:val="Text1"/>
              <w:spacing w:before="0" w:after="0"/>
              <w:ind w:left="0"/>
              <w:jc w:val="right"/>
              <w:rPr>
                <w:sz w:val="12"/>
                <w:szCs w:val="12"/>
              </w:rPr>
            </w:pPr>
            <w:r w:rsidRPr="009C3005">
              <w:rPr>
                <w:noProof/>
                <w:sz w:val="12"/>
                <w:szCs w:val="12"/>
              </w:rPr>
              <w:t>679 209,95</w:t>
            </w:r>
          </w:p>
        </w:tc>
        <w:tc>
          <w:tcPr>
            <w:tcW w:w="0" w:type="auto"/>
            <w:shd w:val="clear" w:color="auto" w:fill="auto"/>
          </w:tcPr>
          <w:p w14:paraId="5B642E59" w14:textId="77777777" w:rsidR="008C5CFA" w:rsidRPr="009C3005" w:rsidRDefault="00E82A60" w:rsidP="00300A01">
            <w:pPr>
              <w:pStyle w:val="Text1"/>
              <w:spacing w:before="0" w:after="0"/>
              <w:ind w:left="0"/>
              <w:jc w:val="right"/>
              <w:rPr>
                <w:sz w:val="12"/>
                <w:szCs w:val="12"/>
              </w:rPr>
            </w:pPr>
            <w:r w:rsidRPr="009C3005">
              <w:rPr>
                <w:noProof/>
                <w:sz w:val="12"/>
                <w:szCs w:val="12"/>
              </w:rPr>
              <w:t>461 212,08</w:t>
            </w:r>
          </w:p>
        </w:tc>
        <w:tc>
          <w:tcPr>
            <w:tcW w:w="0" w:type="auto"/>
            <w:shd w:val="clear" w:color="auto" w:fill="auto"/>
          </w:tcPr>
          <w:p w14:paraId="2D52EAE5" w14:textId="77777777" w:rsidR="008C5CFA" w:rsidRPr="009C3005" w:rsidRDefault="00E82A60" w:rsidP="00300A01">
            <w:pPr>
              <w:pStyle w:val="Text1"/>
              <w:spacing w:before="0" w:after="0"/>
              <w:ind w:left="0"/>
              <w:jc w:val="right"/>
              <w:rPr>
                <w:sz w:val="12"/>
                <w:szCs w:val="12"/>
              </w:rPr>
            </w:pPr>
            <w:r w:rsidRPr="009C3005">
              <w:rPr>
                <w:noProof/>
                <w:sz w:val="12"/>
                <w:szCs w:val="12"/>
              </w:rPr>
              <w:t>34 116,74</w:t>
            </w:r>
          </w:p>
        </w:tc>
        <w:tc>
          <w:tcPr>
            <w:tcW w:w="0" w:type="auto"/>
            <w:shd w:val="clear" w:color="auto" w:fill="auto"/>
          </w:tcPr>
          <w:p w14:paraId="610A0F82" w14:textId="77777777" w:rsidR="008C5CFA" w:rsidRPr="009C3005" w:rsidRDefault="00E82A60" w:rsidP="00300A01">
            <w:pPr>
              <w:pStyle w:val="Text1"/>
              <w:spacing w:before="0" w:after="0"/>
              <w:ind w:left="0"/>
              <w:jc w:val="right"/>
              <w:rPr>
                <w:sz w:val="12"/>
                <w:szCs w:val="12"/>
              </w:rPr>
            </w:pPr>
            <w:r w:rsidRPr="009C3005">
              <w:rPr>
                <w:noProof/>
                <w:sz w:val="12"/>
                <w:szCs w:val="12"/>
              </w:rPr>
              <w:t>1</w:t>
            </w:r>
          </w:p>
        </w:tc>
      </w:tr>
      <w:tr w:rsidR="006B2EC1" w14:paraId="68C6AC53" w14:textId="77777777" w:rsidTr="0047688D">
        <w:tc>
          <w:tcPr>
            <w:tcW w:w="0" w:type="auto"/>
            <w:shd w:val="clear" w:color="auto" w:fill="auto"/>
          </w:tcPr>
          <w:p w14:paraId="12A9D73D" w14:textId="77777777" w:rsidR="008C5CFA" w:rsidRPr="009C3005" w:rsidRDefault="00E82A60" w:rsidP="00300A01">
            <w:pPr>
              <w:pStyle w:val="Text1"/>
              <w:spacing w:before="0" w:after="0"/>
              <w:ind w:left="0"/>
              <w:rPr>
                <w:sz w:val="12"/>
                <w:szCs w:val="12"/>
              </w:rPr>
            </w:pPr>
            <w:r>
              <w:rPr>
                <w:noProof/>
                <w:sz w:val="14"/>
                <w:szCs w:val="14"/>
                <w:lang w:val="fr-BE"/>
              </w:rPr>
              <w:t>1</w:t>
            </w:r>
          </w:p>
        </w:tc>
        <w:tc>
          <w:tcPr>
            <w:tcW w:w="0" w:type="auto"/>
            <w:shd w:val="clear" w:color="auto" w:fill="auto"/>
          </w:tcPr>
          <w:p w14:paraId="18B2ECDF" w14:textId="77777777" w:rsidR="008C5CFA" w:rsidRPr="009C3005" w:rsidRDefault="00E82A60" w:rsidP="00300A01">
            <w:pPr>
              <w:pStyle w:val="Text1"/>
              <w:spacing w:before="0" w:after="0"/>
              <w:ind w:left="0"/>
              <w:rPr>
                <w:sz w:val="12"/>
                <w:szCs w:val="12"/>
              </w:rPr>
            </w:pPr>
            <w:r>
              <w:rPr>
                <w:noProof/>
                <w:sz w:val="12"/>
                <w:szCs w:val="12"/>
              </w:rPr>
              <w:t>EFRR</w:t>
            </w:r>
          </w:p>
        </w:tc>
        <w:tc>
          <w:tcPr>
            <w:tcW w:w="0" w:type="auto"/>
            <w:shd w:val="clear" w:color="auto" w:fill="auto"/>
          </w:tcPr>
          <w:p w14:paraId="2335D2D9" w14:textId="77777777" w:rsidR="008C5CFA" w:rsidRPr="009C3005" w:rsidRDefault="00E82A60" w:rsidP="00300A01">
            <w:pPr>
              <w:pStyle w:val="Text1"/>
              <w:spacing w:before="0" w:after="0"/>
              <w:ind w:left="0"/>
              <w:rPr>
                <w:sz w:val="12"/>
                <w:szCs w:val="12"/>
              </w:rPr>
            </w:pPr>
            <w:r>
              <w:rPr>
                <w:noProof/>
                <w:sz w:val="12"/>
                <w:szCs w:val="12"/>
              </w:rPr>
              <w:t>Słabiej rozwinięte</w:t>
            </w:r>
          </w:p>
        </w:tc>
        <w:tc>
          <w:tcPr>
            <w:tcW w:w="0" w:type="auto"/>
            <w:shd w:val="clear" w:color="auto" w:fill="auto"/>
          </w:tcPr>
          <w:p w14:paraId="62E68C45" w14:textId="77777777" w:rsidR="008C5CFA" w:rsidRPr="009C3005" w:rsidRDefault="00E82A60" w:rsidP="00300A01">
            <w:pPr>
              <w:pStyle w:val="Text1"/>
              <w:spacing w:before="0" w:after="0"/>
              <w:ind w:left="0"/>
              <w:rPr>
                <w:sz w:val="12"/>
                <w:szCs w:val="12"/>
              </w:rPr>
            </w:pPr>
            <w:r>
              <w:rPr>
                <w:noProof/>
                <w:sz w:val="12"/>
                <w:szCs w:val="12"/>
              </w:rPr>
              <w:t>064</w:t>
            </w:r>
          </w:p>
        </w:tc>
        <w:tc>
          <w:tcPr>
            <w:tcW w:w="0" w:type="auto"/>
            <w:shd w:val="clear" w:color="auto" w:fill="auto"/>
          </w:tcPr>
          <w:p w14:paraId="41A0312C"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398B335C" w14:textId="77777777" w:rsidR="008C5CFA" w:rsidRPr="009C3005" w:rsidRDefault="00E82A60" w:rsidP="00300A01">
            <w:pPr>
              <w:pStyle w:val="Text1"/>
              <w:spacing w:before="0" w:after="0"/>
              <w:ind w:left="0"/>
              <w:rPr>
                <w:sz w:val="12"/>
                <w:szCs w:val="12"/>
              </w:rPr>
            </w:pPr>
            <w:r>
              <w:rPr>
                <w:noProof/>
                <w:sz w:val="12"/>
                <w:szCs w:val="12"/>
              </w:rPr>
              <w:t>02</w:t>
            </w:r>
          </w:p>
        </w:tc>
        <w:tc>
          <w:tcPr>
            <w:tcW w:w="0" w:type="auto"/>
            <w:shd w:val="clear" w:color="auto" w:fill="auto"/>
          </w:tcPr>
          <w:p w14:paraId="2C3E2A1D"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67E25E45"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72475EB2" w14:textId="77777777" w:rsidR="008C5CFA" w:rsidRPr="009C3005" w:rsidRDefault="00E82A60" w:rsidP="00300A01">
            <w:pPr>
              <w:pStyle w:val="Text1"/>
              <w:spacing w:before="0" w:after="0"/>
              <w:ind w:left="0"/>
              <w:rPr>
                <w:sz w:val="12"/>
                <w:szCs w:val="12"/>
              </w:rPr>
            </w:pPr>
            <w:r>
              <w:rPr>
                <w:sz w:val="12"/>
                <w:szCs w:val="12"/>
              </w:rPr>
              <w:t xml:space="preserve"> </w:t>
            </w:r>
          </w:p>
        </w:tc>
        <w:tc>
          <w:tcPr>
            <w:tcW w:w="0" w:type="auto"/>
            <w:shd w:val="clear" w:color="auto" w:fill="auto"/>
          </w:tcPr>
          <w:p w14:paraId="3708C681"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66B415CF" w14:textId="77777777" w:rsidR="008C5CFA" w:rsidRPr="009C3005" w:rsidRDefault="00E82A60" w:rsidP="00300A01">
            <w:pPr>
              <w:pStyle w:val="Text1"/>
              <w:spacing w:before="0" w:after="0"/>
              <w:ind w:left="0"/>
              <w:rPr>
                <w:sz w:val="12"/>
                <w:szCs w:val="12"/>
              </w:rPr>
            </w:pPr>
            <w:r>
              <w:rPr>
                <w:noProof/>
                <w:sz w:val="12"/>
                <w:szCs w:val="12"/>
              </w:rPr>
              <w:t>PL33</w:t>
            </w:r>
          </w:p>
        </w:tc>
        <w:tc>
          <w:tcPr>
            <w:tcW w:w="0" w:type="auto"/>
            <w:shd w:val="clear" w:color="auto" w:fill="auto"/>
          </w:tcPr>
          <w:p w14:paraId="25B582F6" w14:textId="77777777" w:rsidR="008C5CFA" w:rsidRPr="009C3005" w:rsidRDefault="00E82A60" w:rsidP="00300A01">
            <w:pPr>
              <w:pStyle w:val="Text1"/>
              <w:spacing w:before="0" w:after="0"/>
              <w:ind w:left="0"/>
              <w:jc w:val="right"/>
              <w:rPr>
                <w:sz w:val="12"/>
                <w:szCs w:val="12"/>
              </w:rPr>
            </w:pPr>
            <w:r w:rsidRPr="009C3005">
              <w:rPr>
                <w:noProof/>
                <w:sz w:val="12"/>
                <w:szCs w:val="12"/>
              </w:rPr>
              <w:t>1 192 905,30</w:t>
            </w:r>
          </w:p>
        </w:tc>
        <w:tc>
          <w:tcPr>
            <w:tcW w:w="0" w:type="auto"/>
            <w:shd w:val="clear" w:color="auto" w:fill="auto"/>
          </w:tcPr>
          <w:p w14:paraId="3F6DEC43" w14:textId="77777777" w:rsidR="008C5CFA" w:rsidRPr="009C3005" w:rsidRDefault="00E82A60" w:rsidP="00300A01">
            <w:pPr>
              <w:pStyle w:val="Text1"/>
              <w:spacing w:before="0" w:after="0"/>
              <w:ind w:left="0"/>
              <w:jc w:val="right"/>
              <w:rPr>
                <w:sz w:val="12"/>
                <w:szCs w:val="12"/>
              </w:rPr>
            </w:pPr>
            <w:r w:rsidRPr="009C3005">
              <w:rPr>
                <w:noProof/>
                <w:sz w:val="12"/>
                <w:szCs w:val="12"/>
              </w:rPr>
              <w:t>731 858,95</w:t>
            </w:r>
          </w:p>
        </w:tc>
        <w:tc>
          <w:tcPr>
            <w:tcW w:w="0" w:type="auto"/>
            <w:shd w:val="clear" w:color="auto" w:fill="auto"/>
          </w:tcPr>
          <w:p w14:paraId="770D9875" w14:textId="77777777" w:rsidR="008C5CFA" w:rsidRPr="009C3005" w:rsidRDefault="00E82A60" w:rsidP="00300A01">
            <w:pPr>
              <w:pStyle w:val="Text1"/>
              <w:spacing w:before="0" w:after="0"/>
              <w:ind w:left="0"/>
              <w:jc w:val="right"/>
              <w:rPr>
                <w:sz w:val="12"/>
                <w:szCs w:val="12"/>
              </w:rPr>
            </w:pPr>
            <w:r w:rsidRPr="009C3005">
              <w:rPr>
                <w:noProof/>
                <w:sz w:val="12"/>
                <w:szCs w:val="12"/>
              </w:rPr>
              <w:t>0,00</w:t>
            </w:r>
          </w:p>
        </w:tc>
        <w:tc>
          <w:tcPr>
            <w:tcW w:w="0" w:type="auto"/>
            <w:shd w:val="clear" w:color="auto" w:fill="auto"/>
          </w:tcPr>
          <w:p w14:paraId="5F9EC3B4" w14:textId="77777777" w:rsidR="008C5CFA" w:rsidRPr="009C3005" w:rsidRDefault="00E82A60" w:rsidP="00300A01">
            <w:pPr>
              <w:pStyle w:val="Text1"/>
              <w:spacing w:before="0" w:after="0"/>
              <w:ind w:left="0"/>
              <w:jc w:val="right"/>
              <w:rPr>
                <w:sz w:val="12"/>
                <w:szCs w:val="12"/>
              </w:rPr>
            </w:pPr>
            <w:r w:rsidRPr="009C3005">
              <w:rPr>
                <w:noProof/>
                <w:sz w:val="12"/>
                <w:szCs w:val="12"/>
              </w:rPr>
              <w:t>2</w:t>
            </w:r>
          </w:p>
        </w:tc>
      </w:tr>
      <w:tr w:rsidR="006B2EC1" w14:paraId="6055A625" w14:textId="77777777" w:rsidTr="0047688D">
        <w:tc>
          <w:tcPr>
            <w:tcW w:w="0" w:type="auto"/>
            <w:shd w:val="clear" w:color="auto" w:fill="auto"/>
          </w:tcPr>
          <w:p w14:paraId="28CDE77C" w14:textId="77777777" w:rsidR="008C5CFA" w:rsidRPr="009C3005" w:rsidRDefault="00E82A60" w:rsidP="00300A01">
            <w:pPr>
              <w:pStyle w:val="Text1"/>
              <w:spacing w:before="0" w:after="0"/>
              <w:ind w:left="0"/>
              <w:rPr>
                <w:sz w:val="12"/>
                <w:szCs w:val="12"/>
              </w:rPr>
            </w:pPr>
            <w:r>
              <w:rPr>
                <w:noProof/>
                <w:sz w:val="14"/>
                <w:szCs w:val="14"/>
                <w:lang w:val="fr-BE"/>
              </w:rPr>
              <w:lastRenderedPageBreak/>
              <w:t>1</w:t>
            </w:r>
          </w:p>
        </w:tc>
        <w:tc>
          <w:tcPr>
            <w:tcW w:w="0" w:type="auto"/>
            <w:shd w:val="clear" w:color="auto" w:fill="auto"/>
          </w:tcPr>
          <w:p w14:paraId="7E365922" w14:textId="77777777" w:rsidR="008C5CFA" w:rsidRPr="009C3005" w:rsidRDefault="00E82A60" w:rsidP="00300A01">
            <w:pPr>
              <w:pStyle w:val="Text1"/>
              <w:spacing w:before="0" w:after="0"/>
              <w:ind w:left="0"/>
              <w:rPr>
                <w:sz w:val="12"/>
                <w:szCs w:val="12"/>
              </w:rPr>
            </w:pPr>
            <w:r>
              <w:rPr>
                <w:noProof/>
                <w:sz w:val="12"/>
                <w:szCs w:val="12"/>
              </w:rPr>
              <w:t>EFRR</w:t>
            </w:r>
          </w:p>
        </w:tc>
        <w:tc>
          <w:tcPr>
            <w:tcW w:w="0" w:type="auto"/>
            <w:shd w:val="clear" w:color="auto" w:fill="auto"/>
          </w:tcPr>
          <w:p w14:paraId="06066C6F" w14:textId="77777777" w:rsidR="008C5CFA" w:rsidRPr="009C3005" w:rsidRDefault="00E82A60" w:rsidP="00300A01">
            <w:pPr>
              <w:pStyle w:val="Text1"/>
              <w:spacing w:before="0" w:after="0"/>
              <w:ind w:left="0"/>
              <w:rPr>
                <w:sz w:val="12"/>
                <w:szCs w:val="12"/>
              </w:rPr>
            </w:pPr>
            <w:r>
              <w:rPr>
                <w:noProof/>
                <w:sz w:val="12"/>
                <w:szCs w:val="12"/>
              </w:rPr>
              <w:t>Słabiej rozwinięte</w:t>
            </w:r>
          </w:p>
        </w:tc>
        <w:tc>
          <w:tcPr>
            <w:tcW w:w="0" w:type="auto"/>
            <w:shd w:val="clear" w:color="auto" w:fill="auto"/>
          </w:tcPr>
          <w:p w14:paraId="3F7A9433" w14:textId="77777777" w:rsidR="008C5CFA" w:rsidRPr="009C3005" w:rsidRDefault="00E82A60" w:rsidP="00300A01">
            <w:pPr>
              <w:pStyle w:val="Text1"/>
              <w:spacing w:before="0" w:after="0"/>
              <w:ind w:left="0"/>
              <w:rPr>
                <w:sz w:val="12"/>
                <w:szCs w:val="12"/>
              </w:rPr>
            </w:pPr>
            <w:r>
              <w:rPr>
                <w:noProof/>
                <w:sz w:val="12"/>
                <w:szCs w:val="12"/>
              </w:rPr>
              <w:t>064</w:t>
            </w:r>
          </w:p>
        </w:tc>
        <w:tc>
          <w:tcPr>
            <w:tcW w:w="0" w:type="auto"/>
            <w:shd w:val="clear" w:color="auto" w:fill="auto"/>
          </w:tcPr>
          <w:p w14:paraId="5C943301"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3C759C55" w14:textId="77777777" w:rsidR="008C5CFA" w:rsidRPr="009C3005" w:rsidRDefault="00E82A60" w:rsidP="00300A01">
            <w:pPr>
              <w:pStyle w:val="Text1"/>
              <w:spacing w:before="0" w:after="0"/>
              <w:ind w:left="0"/>
              <w:rPr>
                <w:sz w:val="12"/>
                <w:szCs w:val="12"/>
              </w:rPr>
            </w:pPr>
            <w:r>
              <w:rPr>
                <w:noProof/>
                <w:sz w:val="12"/>
                <w:szCs w:val="12"/>
              </w:rPr>
              <w:t>02</w:t>
            </w:r>
          </w:p>
        </w:tc>
        <w:tc>
          <w:tcPr>
            <w:tcW w:w="0" w:type="auto"/>
            <w:shd w:val="clear" w:color="auto" w:fill="auto"/>
          </w:tcPr>
          <w:p w14:paraId="06FB4319"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7049BDDE"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5805D8CB" w14:textId="77777777" w:rsidR="008C5CFA" w:rsidRPr="009C3005" w:rsidRDefault="00E82A60" w:rsidP="00300A01">
            <w:pPr>
              <w:pStyle w:val="Text1"/>
              <w:spacing w:before="0" w:after="0"/>
              <w:ind w:left="0"/>
              <w:rPr>
                <w:sz w:val="12"/>
                <w:szCs w:val="12"/>
              </w:rPr>
            </w:pPr>
            <w:r>
              <w:rPr>
                <w:sz w:val="12"/>
                <w:szCs w:val="12"/>
              </w:rPr>
              <w:t xml:space="preserve"> </w:t>
            </w:r>
          </w:p>
        </w:tc>
        <w:tc>
          <w:tcPr>
            <w:tcW w:w="0" w:type="auto"/>
            <w:shd w:val="clear" w:color="auto" w:fill="auto"/>
          </w:tcPr>
          <w:p w14:paraId="735ADA5B" w14:textId="77777777" w:rsidR="008C5CFA" w:rsidRPr="009C3005" w:rsidRDefault="00E82A60" w:rsidP="00300A01">
            <w:pPr>
              <w:pStyle w:val="Text1"/>
              <w:spacing w:before="0" w:after="0"/>
              <w:ind w:left="0"/>
              <w:rPr>
                <w:sz w:val="12"/>
                <w:szCs w:val="12"/>
              </w:rPr>
            </w:pPr>
            <w:r>
              <w:rPr>
                <w:noProof/>
                <w:sz w:val="12"/>
                <w:szCs w:val="12"/>
              </w:rPr>
              <w:t>10</w:t>
            </w:r>
          </w:p>
        </w:tc>
        <w:tc>
          <w:tcPr>
            <w:tcW w:w="0" w:type="auto"/>
            <w:shd w:val="clear" w:color="auto" w:fill="auto"/>
          </w:tcPr>
          <w:p w14:paraId="7F77C380" w14:textId="77777777" w:rsidR="008C5CFA" w:rsidRPr="009C3005" w:rsidRDefault="00E82A60" w:rsidP="00300A01">
            <w:pPr>
              <w:pStyle w:val="Text1"/>
              <w:spacing w:before="0" w:after="0"/>
              <w:ind w:left="0"/>
              <w:rPr>
                <w:sz w:val="12"/>
                <w:szCs w:val="12"/>
              </w:rPr>
            </w:pPr>
            <w:r>
              <w:rPr>
                <w:noProof/>
                <w:sz w:val="12"/>
                <w:szCs w:val="12"/>
              </w:rPr>
              <w:t>PL33</w:t>
            </w:r>
          </w:p>
        </w:tc>
        <w:tc>
          <w:tcPr>
            <w:tcW w:w="0" w:type="auto"/>
            <w:shd w:val="clear" w:color="auto" w:fill="auto"/>
          </w:tcPr>
          <w:p w14:paraId="3093FBD0" w14:textId="77777777" w:rsidR="008C5CFA" w:rsidRPr="009C3005" w:rsidRDefault="00E82A60" w:rsidP="00300A01">
            <w:pPr>
              <w:pStyle w:val="Text1"/>
              <w:spacing w:before="0" w:after="0"/>
              <w:ind w:left="0"/>
              <w:jc w:val="right"/>
              <w:rPr>
                <w:sz w:val="12"/>
                <w:szCs w:val="12"/>
              </w:rPr>
            </w:pPr>
            <w:r w:rsidRPr="009C3005">
              <w:rPr>
                <w:noProof/>
                <w:sz w:val="12"/>
                <w:szCs w:val="12"/>
              </w:rPr>
              <w:t>937 482,09</w:t>
            </w:r>
          </w:p>
        </w:tc>
        <w:tc>
          <w:tcPr>
            <w:tcW w:w="0" w:type="auto"/>
            <w:shd w:val="clear" w:color="auto" w:fill="auto"/>
          </w:tcPr>
          <w:p w14:paraId="38302D36" w14:textId="77777777" w:rsidR="008C5CFA" w:rsidRPr="009C3005" w:rsidRDefault="00E82A60" w:rsidP="00300A01">
            <w:pPr>
              <w:pStyle w:val="Text1"/>
              <w:spacing w:before="0" w:after="0"/>
              <w:ind w:left="0"/>
              <w:jc w:val="right"/>
              <w:rPr>
                <w:sz w:val="12"/>
                <w:szCs w:val="12"/>
              </w:rPr>
            </w:pPr>
            <w:r w:rsidRPr="009C3005">
              <w:rPr>
                <w:noProof/>
                <w:sz w:val="12"/>
                <w:szCs w:val="12"/>
              </w:rPr>
              <w:t>688 988,65</w:t>
            </w:r>
          </w:p>
        </w:tc>
        <w:tc>
          <w:tcPr>
            <w:tcW w:w="0" w:type="auto"/>
            <w:shd w:val="clear" w:color="auto" w:fill="auto"/>
          </w:tcPr>
          <w:p w14:paraId="2B433182" w14:textId="77777777" w:rsidR="008C5CFA" w:rsidRPr="009C3005" w:rsidRDefault="00E82A60" w:rsidP="00300A01">
            <w:pPr>
              <w:pStyle w:val="Text1"/>
              <w:spacing w:before="0" w:after="0"/>
              <w:ind w:left="0"/>
              <w:jc w:val="right"/>
              <w:rPr>
                <w:sz w:val="12"/>
                <w:szCs w:val="12"/>
              </w:rPr>
            </w:pPr>
            <w:r w:rsidRPr="009C3005">
              <w:rPr>
                <w:noProof/>
                <w:sz w:val="12"/>
                <w:szCs w:val="12"/>
              </w:rPr>
              <w:t>15 857,53</w:t>
            </w:r>
          </w:p>
        </w:tc>
        <w:tc>
          <w:tcPr>
            <w:tcW w:w="0" w:type="auto"/>
            <w:shd w:val="clear" w:color="auto" w:fill="auto"/>
          </w:tcPr>
          <w:p w14:paraId="4BCF073E" w14:textId="77777777" w:rsidR="008C5CFA" w:rsidRPr="009C3005" w:rsidRDefault="00E82A60" w:rsidP="00300A01">
            <w:pPr>
              <w:pStyle w:val="Text1"/>
              <w:spacing w:before="0" w:after="0"/>
              <w:ind w:left="0"/>
              <w:jc w:val="right"/>
              <w:rPr>
                <w:sz w:val="12"/>
                <w:szCs w:val="12"/>
              </w:rPr>
            </w:pPr>
            <w:r w:rsidRPr="009C3005">
              <w:rPr>
                <w:noProof/>
                <w:sz w:val="12"/>
                <w:szCs w:val="12"/>
              </w:rPr>
              <w:t>1</w:t>
            </w:r>
          </w:p>
        </w:tc>
      </w:tr>
      <w:tr w:rsidR="006B2EC1" w14:paraId="0989CB03" w14:textId="77777777" w:rsidTr="0047688D">
        <w:tc>
          <w:tcPr>
            <w:tcW w:w="0" w:type="auto"/>
            <w:shd w:val="clear" w:color="auto" w:fill="auto"/>
          </w:tcPr>
          <w:p w14:paraId="50D3C45D" w14:textId="77777777" w:rsidR="008C5CFA" w:rsidRPr="009C3005" w:rsidRDefault="00E82A60" w:rsidP="00300A01">
            <w:pPr>
              <w:pStyle w:val="Text1"/>
              <w:spacing w:before="0" w:after="0"/>
              <w:ind w:left="0"/>
              <w:rPr>
                <w:sz w:val="12"/>
                <w:szCs w:val="12"/>
              </w:rPr>
            </w:pPr>
            <w:r>
              <w:rPr>
                <w:noProof/>
                <w:sz w:val="14"/>
                <w:szCs w:val="14"/>
                <w:lang w:val="fr-BE"/>
              </w:rPr>
              <w:t>1</w:t>
            </w:r>
          </w:p>
        </w:tc>
        <w:tc>
          <w:tcPr>
            <w:tcW w:w="0" w:type="auto"/>
            <w:shd w:val="clear" w:color="auto" w:fill="auto"/>
          </w:tcPr>
          <w:p w14:paraId="67210557" w14:textId="77777777" w:rsidR="008C5CFA" w:rsidRPr="009C3005" w:rsidRDefault="00E82A60" w:rsidP="00300A01">
            <w:pPr>
              <w:pStyle w:val="Text1"/>
              <w:spacing w:before="0" w:after="0"/>
              <w:ind w:left="0"/>
              <w:rPr>
                <w:sz w:val="12"/>
                <w:szCs w:val="12"/>
              </w:rPr>
            </w:pPr>
            <w:r>
              <w:rPr>
                <w:noProof/>
                <w:sz w:val="12"/>
                <w:szCs w:val="12"/>
              </w:rPr>
              <w:t>EFRR</w:t>
            </w:r>
          </w:p>
        </w:tc>
        <w:tc>
          <w:tcPr>
            <w:tcW w:w="0" w:type="auto"/>
            <w:shd w:val="clear" w:color="auto" w:fill="auto"/>
          </w:tcPr>
          <w:p w14:paraId="78D6C779" w14:textId="77777777" w:rsidR="008C5CFA" w:rsidRPr="009C3005" w:rsidRDefault="00E82A60" w:rsidP="00300A01">
            <w:pPr>
              <w:pStyle w:val="Text1"/>
              <w:spacing w:before="0" w:after="0"/>
              <w:ind w:left="0"/>
              <w:rPr>
                <w:sz w:val="12"/>
                <w:szCs w:val="12"/>
              </w:rPr>
            </w:pPr>
            <w:r>
              <w:rPr>
                <w:noProof/>
                <w:sz w:val="12"/>
                <w:szCs w:val="12"/>
              </w:rPr>
              <w:t>Słabiej rozwinięte</w:t>
            </w:r>
          </w:p>
        </w:tc>
        <w:tc>
          <w:tcPr>
            <w:tcW w:w="0" w:type="auto"/>
            <w:shd w:val="clear" w:color="auto" w:fill="auto"/>
          </w:tcPr>
          <w:p w14:paraId="62AF6A3C" w14:textId="77777777" w:rsidR="008C5CFA" w:rsidRPr="009C3005" w:rsidRDefault="00E82A60" w:rsidP="00300A01">
            <w:pPr>
              <w:pStyle w:val="Text1"/>
              <w:spacing w:before="0" w:after="0"/>
              <w:ind w:left="0"/>
              <w:rPr>
                <w:sz w:val="12"/>
                <w:szCs w:val="12"/>
              </w:rPr>
            </w:pPr>
            <w:r>
              <w:rPr>
                <w:noProof/>
                <w:sz w:val="12"/>
                <w:szCs w:val="12"/>
              </w:rPr>
              <w:t>064</w:t>
            </w:r>
          </w:p>
        </w:tc>
        <w:tc>
          <w:tcPr>
            <w:tcW w:w="0" w:type="auto"/>
            <w:shd w:val="clear" w:color="auto" w:fill="auto"/>
          </w:tcPr>
          <w:p w14:paraId="7E8B749B"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47056554" w14:textId="77777777" w:rsidR="008C5CFA" w:rsidRPr="009C3005" w:rsidRDefault="00E82A60" w:rsidP="00300A01">
            <w:pPr>
              <w:pStyle w:val="Text1"/>
              <w:spacing w:before="0" w:after="0"/>
              <w:ind w:left="0"/>
              <w:rPr>
                <w:sz w:val="12"/>
                <w:szCs w:val="12"/>
              </w:rPr>
            </w:pPr>
            <w:r>
              <w:rPr>
                <w:noProof/>
                <w:sz w:val="12"/>
                <w:szCs w:val="12"/>
              </w:rPr>
              <w:t>02</w:t>
            </w:r>
          </w:p>
        </w:tc>
        <w:tc>
          <w:tcPr>
            <w:tcW w:w="0" w:type="auto"/>
            <w:shd w:val="clear" w:color="auto" w:fill="auto"/>
          </w:tcPr>
          <w:p w14:paraId="350D2DA5"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559CDC85"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7DC4C263" w14:textId="77777777" w:rsidR="008C5CFA" w:rsidRPr="009C3005" w:rsidRDefault="00E82A60" w:rsidP="00300A01">
            <w:pPr>
              <w:pStyle w:val="Text1"/>
              <w:spacing w:before="0" w:after="0"/>
              <w:ind w:left="0"/>
              <w:rPr>
                <w:sz w:val="12"/>
                <w:szCs w:val="12"/>
              </w:rPr>
            </w:pPr>
            <w:r>
              <w:rPr>
                <w:sz w:val="12"/>
                <w:szCs w:val="12"/>
              </w:rPr>
              <w:t xml:space="preserve"> </w:t>
            </w:r>
          </w:p>
        </w:tc>
        <w:tc>
          <w:tcPr>
            <w:tcW w:w="0" w:type="auto"/>
            <w:shd w:val="clear" w:color="auto" w:fill="auto"/>
          </w:tcPr>
          <w:p w14:paraId="00625BA3" w14:textId="77777777" w:rsidR="008C5CFA" w:rsidRPr="009C3005" w:rsidRDefault="00E82A60" w:rsidP="00300A01">
            <w:pPr>
              <w:pStyle w:val="Text1"/>
              <w:spacing w:before="0" w:after="0"/>
              <w:ind w:left="0"/>
              <w:rPr>
                <w:sz w:val="12"/>
                <w:szCs w:val="12"/>
              </w:rPr>
            </w:pPr>
            <w:r>
              <w:rPr>
                <w:noProof/>
                <w:sz w:val="12"/>
                <w:szCs w:val="12"/>
              </w:rPr>
              <w:t>14</w:t>
            </w:r>
          </w:p>
        </w:tc>
        <w:tc>
          <w:tcPr>
            <w:tcW w:w="0" w:type="auto"/>
            <w:shd w:val="clear" w:color="auto" w:fill="auto"/>
          </w:tcPr>
          <w:p w14:paraId="58621F81" w14:textId="77777777" w:rsidR="008C5CFA" w:rsidRPr="009C3005" w:rsidRDefault="00E82A60" w:rsidP="00300A01">
            <w:pPr>
              <w:pStyle w:val="Text1"/>
              <w:spacing w:before="0" w:after="0"/>
              <w:ind w:left="0"/>
              <w:rPr>
                <w:sz w:val="12"/>
                <w:szCs w:val="12"/>
              </w:rPr>
            </w:pPr>
            <w:r>
              <w:rPr>
                <w:noProof/>
                <w:sz w:val="12"/>
                <w:szCs w:val="12"/>
              </w:rPr>
              <w:t>PL33</w:t>
            </w:r>
          </w:p>
        </w:tc>
        <w:tc>
          <w:tcPr>
            <w:tcW w:w="0" w:type="auto"/>
            <w:shd w:val="clear" w:color="auto" w:fill="auto"/>
          </w:tcPr>
          <w:p w14:paraId="475F86E9" w14:textId="77777777" w:rsidR="008C5CFA" w:rsidRPr="009C3005" w:rsidRDefault="00E82A60" w:rsidP="00300A01">
            <w:pPr>
              <w:pStyle w:val="Text1"/>
              <w:spacing w:before="0" w:after="0"/>
              <w:ind w:left="0"/>
              <w:jc w:val="right"/>
              <w:rPr>
                <w:sz w:val="12"/>
                <w:szCs w:val="12"/>
              </w:rPr>
            </w:pPr>
            <w:r w:rsidRPr="009C3005">
              <w:rPr>
                <w:noProof/>
                <w:sz w:val="12"/>
                <w:szCs w:val="12"/>
              </w:rPr>
              <w:t>723 735,76</w:t>
            </w:r>
          </w:p>
        </w:tc>
        <w:tc>
          <w:tcPr>
            <w:tcW w:w="0" w:type="auto"/>
            <w:shd w:val="clear" w:color="auto" w:fill="auto"/>
          </w:tcPr>
          <w:p w14:paraId="36C761DA" w14:textId="77777777" w:rsidR="008C5CFA" w:rsidRPr="009C3005" w:rsidRDefault="00E82A60" w:rsidP="00300A01">
            <w:pPr>
              <w:pStyle w:val="Text1"/>
              <w:spacing w:before="0" w:after="0"/>
              <w:ind w:left="0"/>
              <w:jc w:val="right"/>
              <w:rPr>
                <w:sz w:val="12"/>
                <w:szCs w:val="12"/>
              </w:rPr>
            </w:pPr>
            <w:r w:rsidRPr="009C3005">
              <w:rPr>
                <w:noProof/>
                <w:sz w:val="12"/>
                <w:szCs w:val="12"/>
              </w:rPr>
              <w:t>555 996,50</w:t>
            </w:r>
          </w:p>
        </w:tc>
        <w:tc>
          <w:tcPr>
            <w:tcW w:w="0" w:type="auto"/>
            <w:shd w:val="clear" w:color="auto" w:fill="auto"/>
          </w:tcPr>
          <w:p w14:paraId="1A01AD6F" w14:textId="77777777" w:rsidR="008C5CFA" w:rsidRPr="009C3005" w:rsidRDefault="00E82A60" w:rsidP="00300A01">
            <w:pPr>
              <w:pStyle w:val="Text1"/>
              <w:spacing w:before="0" w:after="0"/>
              <w:ind w:left="0"/>
              <w:jc w:val="right"/>
              <w:rPr>
                <w:sz w:val="12"/>
                <w:szCs w:val="12"/>
              </w:rPr>
            </w:pPr>
            <w:r w:rsidRPr="009C3005">
              <w:rPr>
                <w:noProof/>
                <w:sz w:val="12"/>
                <w:szCs w:val="12"/>
              </w:rPr>
              <w:t>72 234,64</w:t>
            </w:r>
          </w:p>
        </w:tc>
        <w:tc>
          <w:tcPr>
            <w:tcW w:w="0" w:type="auto"/>
            <w:shd w:val="clear" w:color="auto" w:fill="auto"/>
          </w:tcPr>
          <w:p w14:paraId="4D672881" w14:textId="77777777" w:rsidR="008C5CFA" w:rsidRPr="009C3005" w:rsidRDefault="00E82A60" w:rsidP="00300A01">
            <w:pPr>
              <w:pStyle w:val="Text1"/>
              <w:spacing w:before="0" w:after="0"/>
              <w:ind w:left="0"/>
              <w:jc w:val="right"/>
              <w:rPr>
                <w:sz w:val="12"/>
                <w:szCs w:val="12"/>
              </w:rPr>
            </w:pPr>
            <w:r w:rsidRPr="009C3005">
              <w:rPr>
                <w:noProof/>
                <w:sz w:val="12"/>
                <w:szCs w:val="12"/>
              </w:rPr>
              <w:t>1</w:t>
            </w:r>
          </w:p>
        </w:tc>
      </w:tr>
      <w:tr w:rsidR="006B2EC1" w14:paraId="1DDBE107" w14:textId="77777777" w:rsidTr="0047688D">
        <w:tc>
          <w:tcPr>
            <w:tcW w:w="0" w:type="auto"/>
            <w:shd w:val="clear" w:color="auto" w:fill="auto"/>
          </w:tcPr>
          <w:p w14:paraId="063DE605" w14:textId="77777777" w:rsidR="008C5CFA" w:rsidRPr="009C3005" w:rsidRDefault="00E82A60" w:rsidP="00300A01">
            <w:pPr>
              <w:pStyle w:val="Text1"/>
              <w:spacing w:before="0" w:after="0"/>
              <w:ind w:left="0"/>
              <w:rPr>
                <w:sz w:val="12"/>
                <w:szCs w:val="12"/>
              </w:rPr>
            </w:pPr>
            <w:r>
              <w:rPr>
                <w:noProof/>
                <w:sz w:val="14"/>
                <w:szCs w:val="14"/>
                <w:lang w:val="fr-BE"/>
              </w:rPr>
              <w:t>1</w:t>
            </w:r>
          </w:p>
        </w:tc>
        <w:tc>
          <w:tcPr>
            <w:tcW w:w="0" w:type="auto"/>
            <w:shd w:val="clear" w:color="auto" w:fill="auto"/>
          </w:tcPr>
          <w:p w14:paraId="0FADFC93" w14:textId="77777777" w:rsidR="008C5CFA" w:rsidRPr="009C3005" w:rsidRDefault="00E82A60" w:rsidP="00300A01">
            <w:pPr>
              <w:pStyle w:val="Text1"/>
              <w:spacing w:before="0" w:after="0"/>
              <w:ind w:left="0"/>
              <w:rPr>
                <w:sz w:val="12"/>
                <w:szCs w:val="12"/>
              </w:rPr>
            </w:pPr>
            <w:r>
              <w:rPr>
                <w:noProof/>
                <w:sz w:val="12"/>
                <w:szCs w:val="12"/>
              </w:rPr>
              <w:t>EFRR</w:t>
            </w:r>
          </w:p>
        </w:tc>
        <w:tc>
          <w:tcPr>
            <w:tcW w:w="0" w:type="auto"/>
            <w:shd w:val="clear" w:color="auto" w:fill="auto"/>
          </w:tcPr>
          <w:p w14:paraId="20BF5411" w14:textId="77777777" w:rsidR="008C5CFA" w:rsidRPr="009C3005" w:rsidRDefault="00E82A60" w:rsidP="00300A01">
            <w:pPr>
              <w:pStyle w:val="Text1"/>
              <w:spacing w:before="0" w:after="0"/>
              <w:ind w:left="0"/>
              <w:rPr>
                <w:sz w:val="12"/>
                <w:szCs w:val="12"/>
              </w:rPr>
            </w:pPr>
            <w:r>
              <w:rPr>
                <w:noProof/>
                <w:sz w:val="12"/>
                <w:szCs w:val="12"/>
              </w:rPr>
              <w:t>Słabiej rozwinięte</w:t>
            </w:r>
          </w:p>
        </w:tc>
        <w:tc>
          <w:tcPr>
            <w:tcW w:w="0" w:type="auto"/>
            <w:shd w:val="clear" w:color="auto" w:fill="auto"/>
          </w:tcPr>
          <w:p w14:paraId="6708E0A6" w14:textId="77777777" w:rsidR="008C5CFA" w:rsidRPr="009C3005" w:rsidRDefault="00E82A60" w:rsidP="00300A01">
            <w:pPr>
              <w:pStyle w:val="Text1"/>
              <w:spacing w:before="0" w:after="0"/>
              <w:ind w:left="0"/>
              <w:rPr>
                <w:sz w:val="12"/>
                <w:szCs w:val="12"/>
              </w:rPr>
            </w:pPr>
            <w:r>
              <w:rPr>
                <w:noProof/>
                <w:sz w:val="12"/>
                <w:szCs w:val="12"/>
              </w:rPr>
              <w:t>064</w:t>
            </w:r>
          </w:p>
        </w:tc>
        <w:tc>
          <w:tcPr>
            <w:tcW w:w="0" w:type="auto"/>
            <w:shd w:val="clear" w:color="auto" w:fill="auto"/>
          </w:tcPr>
          <w:p w14:paraId="5A9F1D4A"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253389AF" w14:textId="77777777" w:rsidR="008C5CFA" w:rsidRPr="009C3005" w:rsidRDefault="00E82A60" w:rsidP="00300A01">
            <w:pPr>
              <w:pStyle w:val="Text1"/>
              <w:spacing w:before="0" w:after="0"/>
              <w:ind w:left="0"/>
              <w:rPr>
                <w:sz w:val="12"/>
                <w:szCs w:val="12"/>
              </w:rPr>
            </w:pPr>
            <w:r>
              <w:rPr>
                <w:noProof/>
                <w:sz w:val="12"/>
                <w:szCs w:val="12"/>
              </w:rPr>
              <w:t>02</w:t>
            </w:r>
          </w:p>
        </w:tc>
        <w:tc>
          <w:tcPr>
            <w:tcW w:w="0" w:type="auto"/>
            <w:shd w:val="clear" w:color="auto" w:fill="auto"/>
          </w:tcPr>
          <w:p w14:paraId="4535C455"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3AB9CED7"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0540DF68" w14:textId="77777777" w:rsidR="008C5CFA" w:rsidRPr="009C3005" w:rsidRDefault="00E82A60" w:rsidP="00300A01">
            <w:pPr>
              <w:pStyle w:val="Text1"/>
              <w:spacing w:before="0" w:after="0"/>
              <w:ind w:left="0"/>
              <w:rPr>
                <w:sz w:val="12"/>
                <w:szCs w:val="12"/>
              </w:rPr>
            </w:pPr>
            <w:r>
              <w:rPr>
                <w:sz w:val="12"/>
                <w:szCs w:val="12"/>
              </w:rPr>
              <w:t xml:space="preserve"> </w:t>
            </w:r>
          </w:p>
        </w:tc>
        <w:tc>
          <w:tcPr>
            <w:tcW w:w="0" w:type="auto"/>
            <w:shd w:val="clear" w:color="auto" w:fill="auto"/>
          </w:tcPr>
          <w:p w14:paraId="24C74F55" w14:textId="77777777" w:rsidR="008C5CFA" w:rsidRPr="009C3005" w:rsidRDefault="00E82A60" w:rsidP="00300A01">
            <w:pPr>
              <w:pStyle w:val="Text1"/>
              <w:spacing w:before="0" w:after="0"/>
              <w:ind w:left="0"/>
              <w:rPr>
                <w:sz w:val="12"/>
                <w:szCs w:val="12"/>
              </w:rPr>
            </w:pPr>
            <w:r>
              <w:rPr>
                <w:noProof/>
                <w:sz w:val="12"/>
                <w:szCs w:val="12"/>
              </w:rPr>
              <w:t>20</w:t>
            </w:r>
          </w:p>
        </w:tc>
        <w:tc>
          <w:tcPr>
            <w:tcW w:w="0" w:type="auto"/>
            <w:shd w:val="clear" w:color="auto" w:fill="auto"/>
          </w:tcPr>
          <w:p w14:paraId="0D3B2C59" w14:textId="77777777" w:rsidR="008C5CFA" w:rsidRPr="009C3005" w:rsidRDefault="00E82A60" w:rsidP="00300A01">
            <w:pPr>
              <w:pStyle w:val="Text1"/>
              <w:spacing w:before="0" w:after="0"/>
              <w:ind w:left="0"/>
              <w:rPr>
                <w:sz w:val="12"/>
                <w:szCs w:val="12"/>
              </w:rPr>
            </w:pPr>
            <w:r>
              <w:rPr>
                <w:noProof/>
                <w:sz w:val="12"/>
                <w:szCs w:val="12"/>
              </w:rPr>
              <w:t>PL33</w:t>
            </w:r>
          </w:p>
        </w:tc>
        <w:tc>
          <w:tcPr>
            <w:tcW w:w="0" w:type="auto"/>
            <w:shd w:val="clear" w:color="auto" w:fill="auto"/>
          </w:tcPr>
          <w:p w14:paraId="32211C36" w14:textId="77777777" w:rsidR="008C5CFA" w:rsidRPr="009C3005" w:rsidRDefault="00E82A60" w:rsidP="00300A01">
            <w:pPr>
              <w:pStyle w:val="Text1"/>
              <w:spacing w:before="0" w:after="0"/>
              <w:ind w:left="0"/>
              <w:jc w:val="right"/>
              <w:rPr>
                <w:sz w:val="12"/>
                <w:szCs w:val="12"/>
              </w:rPr>
            </w:pPr>
            <w:r w:rsidRPr="009C3005">
              <w:rPr>
                <w:noProof/>
                <w:sz w:val="12"/>
                <w:szCs w:val="12"/>
              </w:rPr>
              <w:t>1 406 325,30</w:t>
            </w:r>
          </w:p>
        </w:tc>
        <w:tc>
          <w:tcPr>
            <w:tcW w:w="0" w:type="auto"/>
            <w:shd w:val="clear" w:color="auto" w:fill="auto"/>
          </w:tcPr>
          <w:p w14:paraId="3B442134" w14:textId="77777777" w:rsidR="008C5CFA" w:rsidRPr="009C3005" w:rsidRDefault="00E82A60" w:rsidP="00300A01">
            <w:pPr>
              <w:pStyle w:val="Text1"/>
              <w:spacing w:before="0" w:after="0"/>
              <w:ind w:left="0"/>
              <w:jc w:val="right"/>
              <w:rPr>
                <w:sz w:val="12"/>
                <w:szCs w:val="12"/>
              </w:rPr>
            </w:pPr>
            <w:r w:rsidRPr="009C3005">
              <w:rPr>
                <w:noProof/>
                <w:sz w:val="12"/>
                <w:szCs w:val="12"/>
              </w:rPr>
              <w:t>853 997,90</w:t>
            </w:r>
          </w:p>
        </w:tc>
        <w:tc>
          <w:tcPr>
            <w:tcW w:w="0" w:type="auto"/>
            <w:shd w:val="clear" w:color="auto" w:fill="auto"/>
          </w:tcPr>
          <w:p w14:paraId="3FBA9CB6" w14:textId="77777777" w:rsidR="008C5CFA" w:rsidRPr="009C3005" w:rsidRDefault="00E82A60" w:rsidP="00300A01">
            <w:pPr>
              <w:pStyle w:val="Text1"/>
              <w:spacing w:before="0" w:after="0"/>
              <w:ind w:left="0"/>
              <w:jc w:val="right"/>
              <w:rPr>
                <w:sz w:val="12"/>
                <w:szCs w:val="12"/>
              </w:rPr>
            </w:pPr>
            <w:r w:rsidRPr="009C3005">
              <w:rPr>
                <w:noProof/>
                <w:sz w:val="12"/>
                <w:szCs w:val="12"/>
              </w:rPr>
              <w:t>0,00</w:t>
            </w:r>
          </w:p>
        </w:tc>
        <w:tc>
          <w:tcPr>
            <w:tcW w:w="0" w:type="auto"/>
            <w:shd w:val="clear" w:color="auto" w:fill="auto"/>
          </w:tcPr>
          <w:p w14:paraId="751ABD44" w14:textId="77777777" w:rsidR="008C5CFA" w:rsidRPr="009C3005" w:rsidRDefault="00E82A60" w:rsidP="00300A01">
            <w:pPr>
              <w:pStyle w:val="Text1"/>
              <w:spacing w:before="0" w:after="0"/>
              <w:ind w:left="0"/>
              <w:jc w:val="right"/>
              <w:rPr>
                <w:sz w:val="12"/>
                <w:szCs w:val="12"/>
              </w:rPr>
            </w:pPr>
            <w:r w:rsidRPr="009C3005">
              <w:rPr>
                <w:noProof/>
                <w:sz w:val="12"/>
                <w:szCs w:val="12"/>
              </w:rPr>
              <w:t>2</w:t>
            </w:r>
          </w:p>
        </w:tc>
      </w:tr>
      <w:tr w:rsidR="006B2EC1" w14:paraId="77CF88AD" w14:textId="77777777" w:rsidTr="0047688D">
        <w:tc>
          <w:tcPr>
            <w:tcW w:w="0" w:type="auto"/>
            <w:shd w:val="clear" w:color="auto" w:fill="auto"/>
          </w:tcPr>
          <w:p w14:paraId="17547ED2" w14:textId="77777777" w:rsidR="008C5CFA" w:rsidRPr="009C3005" w:rsidRDefault="00E82A60" w:rsidP="00300A01">
            <w:pPr>
              <w:pStyle w:val="Text1"/>
              <w:spacing w:before="0" w:after="0"/>
              <w:ind w:left="0"/>
              <w:rPr>
                <w:sz w:val="12"/>
                <w:szCs w:val="12"/>
              </w:rPr>
            </w:pPr>
            <w:r>
              <w:rPr>
                <w:noProof/>
                <w:sz w:val="14"/>
                <w:szCs w:val="14"/>
                <w:lang w:val="fr-BE"/>
              </w:rPr>
              <w:t>1</w:t>
            </w:r>
          </w:p>
        </w:tc>
        <w:tc>
          <w:tcPr>
            <w:tcW w:w="0" w:type="auto"/>
            <w:shd w:val="clear" w:color="auto" w:fill="auto"/>
          </w:tcPr>
          <w:p w14:paraId="1F91F763" w14:textId="77777777" w:rsidR="008C5CFA" w:rsidRPr="009C3005" w:rsidRDefault="00E82A60" w:rsidP="00300A01">
            <w:pPr>
              <w:pStyle w:val="Text1"/>
              <w:spacing w:before="0" w:after="0"/>
              <w:ind w:left="0"/>
              <w:rPr>
                <w:sz w:val="12"/>
                <w:szCs w:val="12"/>
              </w:rPr>
            </w:pPr>
            <w:r>
              <w:rPr>
                <w:noProof/>
                <w:sz w:val="12"/>
                <w:szCs w:val="12"/>
              </w:rPr>
              <w:t>EFRR</w:t>
            </w:r>
          </w:p>
        </w:tc>
        <w:tc>
          <w:tcPr>
            <w:tcW w:w="0" w:type="auto"/>
            <w:shd w:val="clear" w:color="auto" w:fill="auto"/>
          </w:tcPr>
          <w:p w14:paraId="3DCC542D" w14:textId="77777777" w:rsidR="008C5CFA" w:rsidRPr="009C3005" w:rsidRDefault="00E82A60" w:rsidP="00300A01">
            <w:pPr>
              <w:pStyle w:val="Text1"/>
              <w:spacing w:before="0" w:after="0"/>
              <w:ind w:left="0"/>
              <w:rPr>
                <w:sz w:val="12"/>
                <w:szCs w:val="12"/>
              </w:rPr>
            </w:pPr>
            <w:r>
              <w:rPr>
                <w:noProof/>
                <w:sz w:val="12"/>
                <w:szCs w:val="12"/>
              </w:rPr>
              <w:t>Słabiej rozwinięte</w:t>
            </w:r>
          </w:p>
        </w:tc>
        <w:tc>
          <w:tcPr>
            <w:tcW w:w="0" w:type="auto"/>
            <w:shd w:val="clear" w:color="auto" w:fill="auto"/>
          </w:tcPr>
          <w:p w14:paraId="62C61990" w14:textId="77777777" w:rsidR="008C5CFA" w:rsidRPr="009C3005" w:rsidRDefault="00E82A60" w:rsidP="00300A01">
            <w:pPr>
              <w:pStyle w:val="Text1"/>
              <w:spacing w:before="0" w:after="0"/>
              <w:ind w:left="0"/>
              <w:rPr>
                <w:sz w:val="12"/>
                <w:szCs w:val="12"/>
              </w:rPr>
            </w:pPr>
            <w:r>
              <w:rPr>
                <w:noProof/>
                <w:sz w:val="12"/>
                <w:szCs w:val="12"/>
              </w:rPr>
              <w:t>064</w:t>
            </w:r>
          </w:p>
        </w:tc>
        <w:tc>
          <w:tcPr>
            <w:tcW w:w="0" w:type="auto"/>
            <w:shd w:val="clear" w:color="auto" w:fill="auto"/>
          </w:tcPr>
          <w:p w14:paraId="64CF93A2"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0A5FA464" w14:textId="77777777" w:rsidR="008C5CFA" w:rsidRPr="009C3005" w:rsidRDefault="00E82A60" w:rsidP="00300A01">
            <w:pPr>
              <w:pStyle w:val="Text1"/>
              <w:spacing w:before="0" w:after="0"/>
              <w:ind w:left="0"/>
              <w:rPr>
                <w:sz w:val="12"/>
                <w:szCs w:val="12"/>
              </w:rPr>
            </w:pPr>
            <w:r>
              <w:rPr>
                <w:noProof/>
                <w:sz w:val="12"/>
                <w:szCs w:val="12"/>
              </w:rPr>
              <w:t>02</w:t>
            </w:r>
          </w:p>
        </w:tc>
        <w:tc>
          <w:tcPr>
            <w:tcW w:w="0" w:type="auto"/>
            <w:shd w:val="clear" w:color="auto" w:fill="auto"/>
          </w:tcPr>
          <w:p w14:paraId="12325172"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2F6B2FF9"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3E1C27B8" w14:textId="77777777" w:rsidR="008C5CFA" w:rsidRPr="009C3005" w:rsidRDefault="00E82A60" w:rsidP="00300A01">
            <w:pPr>
              <w:pStyle w:val="Text1"/>
              <w:spacing w:before="0" w:after="0"/>
              <w:ind w:left="0"/>
              <w:rPr>
                <w:sz w:val="12"/>
                <w:szCs w:val="12"/>
              </w:rPr>
            </w:pPr>
            <w:r>
              <w:rPr>
                <w:sz w:val="12"/>
                <w:szCs w:val="12"/>
              </w:rPr>
              <w:t xml:space="preserve"> </w:t>
            </w:r>
          </w:p>
        </w:tc>
        <w:tc>
          <w:tcPr>
            <w:tcW w:w="0" w:type="auto"/>
            <w:shd w:val="clear" w:color="auto" w:fill="auto"/>
          </w:tcPr>
          <w:p w14:paraId="592C8387" w14:textId="77777777" w:rsidR="008C5CFA" w:rsidRPr="009C3005" w:rsidRDefault="00E82A60" w:rsidP="00300A01">
            <w:pPr>
              <w:pStyle w:val="Text1"/>
              <w:spacing w:before="0" w:after="0"/>
              <w:ind w:left="0"/>
              <w:rPr>
                <w:sz w:val="12"/>
                <w:szCs w:val="12"/>
              </w:rPr>
            </w:pPr>
            <w:r>
              <w:rPr>
                <w:noProof/>
                <w:sz w:val="12"/>
                <w:szCs w:val="12"/>
              </w:rPr>
              <w:t>24</w:t>
            </w:r>
          </w:p>
        </w:tc>
        <w:tc>
          <w:tcPr>
            <w:tcW w:w="0" w:type="auto"/>
            <w:shd w:val="clear" w:color="auto" w:fill="auto"/>
          </w:tcPr>
          <w:p w14:paraId="1BBEA90A" w14:textId="77777777" w:rsidR="008C5CFA" w:rsidRPr="009C3005" w:rsidRDefault="00E82A60" w:rsidP="00300A01">
            <w:pPr>
              <w:pStyle w:val="Text1"/>
              <w:spacing w:before="0" w:after="0"/>
              <w:ind w:left="0"/>
              <w:rPr>
                <w:sz w:val="12"/>
                <w:szCs w:val="12"/>
              </w:rPr>
            </w:pPr>
            <w:r>
              <w:rPr>
                <w:noProof/>
                <w:sz w:val="12"/>
                <w:szCs w:val="12"/>
              </w:rPr>
              <w:t>PL33</w:t>
            </w:r>
          </w:p>
        </w:tc>
        <w:tc>
          <w:tcPr>
            <w:tcW w:w="0" w:type="auto"/>
            <w:shd w:val="clear" w:color="auto" w:fill="auto"/>
          </w:tcPr>
          <w:p w14:paraId="7C6793AF" w14:textId="77777777" w:rsidR="008C5CFA" w:rsidRPr="009C3005" w:rsidRDefault="00E82A60" w:rsidP="00300A01">
            <w:pPr>
              <w:pStyle w:val="Text1"/>
              <w:spacing w:before="0" w:after="0"/>
              <w:ind w:left="0"/>
              <w:jc w:val="right"/>
              <w:rPr>
                <w:sz w:val="12"/>
                <w:szCs w:val="12"/>
              </w:rPr>
            </w:pPr>
            <w:r w:rsidRPr="009C3005">
              <w:rPr>
                <w:noProof/>
                <w:sz w:val="12"/>
                <w:szCs w:val="12"/>
              </w:rPr>
              <w:t>779 252,94</w:t>
            </w:r>
          </w:p>
        </w:tc>
        <w:tc>
          <w:tcPr>
            <w:tcW w:w="0" w:type="auto"/>
            <w:shd w:val="clear" w:color="auto" w:fill="auto"/>
          </w:tcPr>
          <w:p w14:paraId="2C99A37A" w14:textId="77777777" w:rsidR="008C5CFA" w:rsidRPr="009C3005" w:rsidRDefault="00E82A60" w:rsidP="00300A01">
            <w:pPr>
              <w:pStyle w:val="Text1"/>
              <w:spacing w:before="0" w:after="0"/>
              <w:ind w:left="0"/>
              <w:jc w:val="right"/>
              <w:rPr>
                <w:sz w:val="12"/>
                <w:szCs w:val="12"/>
              </w:rPr>
            </w:pPr>
            <w:r w:rsidRPr="009C3005">
              <w:rPr>
                <w:noProof/>
                <w:sz w:val="12"/>
                <w:szCs w:val="12"/>
              </w:rPr>
              <w:t>556 746,68</w:t>
            </w:r>
          </w:p>
        </w:tc>
        <w:tc>
          <w:tcPr>
            <w:tcW w:w="0" w:type="auto"/>
            <w:shd w:val="clear" w:color="auto" w:fill="auto"/>
          </w:tcPr>
          <w:p w14:paraId="1D213F63" w14:textId="77777777" w:rsidR="008C5CFA" w:rsidRPr="009C3005" w:rsidRDefault="00E82A60" w:rsidP="00300A01">
            <w:pPr>
              <w:pStyle w:val="Text1"/>
              <w:spacing w:before="0" w:after="0"/>
              <w:ind w:left="0"/>
              <w:jc w:val="right"/>
              <w:rPr>
                <w:sz w:val="12"/>
                <w:szCs w:val="12"/>
              </w:rPr>
            </w:pPr>
            <w:r w:rsidRPr="009C3005">
              <w:rPr>
                <w:noProof/>
                <w:sz w:val="12"/>
                <w:szCs w:val="12"/>
              </w:rPr>
              <w:t>0,00</w:t>
            </w:r>
          </w:p>
        </w:tc>
        <w:tc>
          <w:tcPr>
            <w:tcW w:w="0" w:type="auto"/>
            <w:shd w:val="clear" w:color="auto" w:fill="auto"/>
          </w:tcPr>
          <w:p w14:paraId="1F89780F" w14:textId="77777777" w:rsidR="008C5CFA" w:rsidRPr="009C3005" w:rsidRDefault="00E82A60" w:rsidP="00300A01">
            <w:pPr>
              <w:pStyle w:val="Text1"/>
              <w:spacing w:before="0" w:after="0"/>
              <w:ind w:left="0"/>
              <w:jc w:val="right"/>
              <w:rPr>
                <w:sz w:val="12"/>
                <w:szCs w:val="12"/>
              </w:rPr>
            </w:pPr>
            <w:r w:rsidRPr="009C3005">
              <w:rPr>
                <w:noProof/>
                <w:sz w:val="12"/>
                <w:szCs w:val="12"/>
              </w:rPr>
              <w:t>1</w:t>
            </w:r>
          </w:p>
        </w:tc>
      </w:tr>
      <w:tr w:rsidR="006B2EC1" w14:paraId="62158208" w14:textId="77777777" w:rsidTr="0047688D">
        <w:tc>
          <w:tcPr>
            <w:tcW w:w="0" w:type="auto"/>
            <w:shd w:val="clear" w:color="auto" w:fill="auto"/>
          </w:tcPr>
          <w:p w14:paraId="6FBB3BA6" w14:textId="77777777" w:rsidR="008C5CFA" w:rsidRPr="009C3005" w:rsidRDefault="00E82A60" w:rsidP="00300A01">
            <w:pPr>
              <w:pStyle w:val="Text1"/>
              <w:spacing w:before="0" w:after="0"/>
              <w:ind w:left="0"/>
              <w:rPr>
                <w:sz w:val="12"/>
                <w:szCs w:val="12"/>
              </w:rPr>
            </w:pPr>
            <w:r>
              <w:rPr>
                <w:noProof/>
                <w:sz w:val="14"/>
                <w:szCs w:val="14"/>
                <w:lang w:val="fr-BE"/>
              </w:rPr>
              <w:t>1</w:t>
            </w:r>
          </w:p>
        </w:tc>
        <w:tc>
          <w:tcPr>
            <w:tcW w:w="0" w:type="auto"/>
            <w:shd w:val="clear" w:color="auto" w:fill="auto"/>
          </w:tcPr>
          <w:p w14:paraId="7CEC313C" w14:textId="77777777" w:rsidR="008C5CFA" w:rsidRPr="009C3005" w:rsidRDefault="00E82A60" w:rsidP="00300A01">
            <w:pPr>
              <w:pStyle w:val="Text1"/>
              <w:spacing w:before="0" w:after="0"/>
              <w:ind w:left="0"/>
              <w:rPr>
                <w:sz w:val="12"/>
                <w:szCs w:val="12"/>
              </w:rPr>
            </w:pPr>
            <w:r>
              <w:rPr>
                <w:noProof/>
                <w:sz w:val="12"/>
                <w:szCs w:val="12"/>
              </w:rPr>
              <w:t>EFRR</w:t>
            </w:r>
          </w:p>
        </w:tc>
        <w:tc>
          <w:tcPr>
            <w:tcW w:w="0" w:type="auto"/>
            <w:shd w:val="clear" w:color="auto" w:fill="auto"/>
          </w:tcPr>
          <w:p w14:paraId="0C29B439" w14:textId="77777777" w:rsidR="008C5CFA" w:rsidRPr="009C3005" w:rsidRDefault="00E82A60" w:rsidP="00300A01">
            <w:pPr>
              <w:pStyle w:val="Text1"/>
              <w:spacing w:before="0" w:after="0"/>
              <w:ind w:left="0"/>
              <w:rPr>
                <w:sz w:val="12"/>
                <w:szCs w:val="12"/>
              </w:rPr>
            </w:pPr>
            <w:r>
              <w:rPr>
                <w:noProof/>
                <w:sz w:val="12"/>
                <w:szCs w:val="12"/>
              </w:rPr>
              <w:t>Słabiej rozwinięte</w:t>
            </w:r>
          </w:p>
        </w:tc>
        <w:tc>
          <w:tcPr>
            <w:tcW w:w="0" w:type="auto"/>
            <w:shd w:val="clear" w:color="auto" w:fill="auto"/>
          </w:tcPr>
          <w:p w14:paraId="36F3B810" w14:textId="77777777" w:rsidR="008C5CFA" w:rsidRPr="009C3005" w:rsidRDefault="00E82A60" w:rsidP="00300A01">
            <w:pPr>
              <w:pStyle w:val="Text1"/>
              <w:spacing w:before="0" w:after="0"/>
              <w:ind w:left="0"/>
              <w:rPr>
                <w:sz w:val="12"/>
                <w:szCs w:val="12"/>
              </w:rPr>
            </w:pPr>
            <w:r>
              <w:rPr>
                <w:noProof/>
                <w:sz w:val="12"/>
                <w:szCs w:val="12"/>
              </w:rPr>
              <w:t>064</w:t>
            </w:r>
          </w:p>
        </w:tc>
        <w:tc>
          <w:tcPr>
            <w:tcW w:w="0" w:type="auto"/>
            <w:shd w:val="clear" w:color="auto" w:fill="auto"/>
          </w:tcPr>
          <w:p w14:paraId="3EE910FC"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0E3D5EDA" w14:textId="77777777" w:rsidR="008C5CFA" w:rsidRPr="009C3005" w:rsidRDefault="00E82A60" w:rsidP="00300A01">
            <w:pPr>
              <w:pStyle w:val="Text1"/>
              <w:spacing w:before="0" w:after="0"/>
              <w:ind w:left="0"/>
              <w:rPr>
                <w:sz w:val="12"/>
                <w:szCs w:val="12"/>
              </w:rPr>
            </w:pPr>
            <w:r>
              <w:rPr>
                <w:noProof/>
                <w:sz w:val="12"/>
                <w:szCs w:val="12"/>
              </w:rPr>
              <w:t>03</w:t>
            </w:r>
          </w:p>
        </w:tc>
        <w:tc>
          <w:tcPr>
            <w:tcW w:w="0" w:type="auto"/>
            <w:shd w:val="clear" w:color="auto" w:fill="auto"/>
          </w:tcPr>
          <w:p w14:paraId="636C99B9"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585247D1"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6799EF32" w14:textId="77777777" w:rsidR="008C5CFA" w:rsidRPr="009C3005" w:rsidRDefault="00E82A60" w:rsidP="00300A01">
            <w:pPr>
              <w:pStyle w:val="Text1"/>
              <w:spacing w:before="0" w:after="0"/>
              <w:ind w:left="0"/>
              <w:rPr>
                <w:sz w:val="12"/>
                <w:szCs w:val="12"/>
              </w:rPr>
            </w:pPr>
            <w:r>
              <w:rPr>
                <w:sz w:val="12"/>
                <w:szCs w:val="12"/>
              </w:rPr>
              <w:t xml:space="preserve"> </w:t>
            </w:r>
          </w:p>
        </w:tc>
        <w:tc>
          <w:tcPr>
            <w:tcW w:w="0" w:type="auto"/>
            <w:shd w:val="clear" w:color="auto" w:fill="auto"/>
          </w:tcPr>
          <w:p w14:paraId="177A3BF1"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475A39CF" w14:textId="77777777" w:rsidR="008C5CFA" w:rsidRPr="009C3005" w:rsidRDefault="00E82A60" w:rsidP="00300A01">
            <w:pPr>
              <w:pStyle w:val="Text1"/>
              <w:spacing w:before="0" w:after="0"/>
              <w:ind w:left="0"/>
              <w:rPr>
                <w:sz w:val="12"/>
                <w:szCs w:val="12"/>
              </w:rPr>
            </w:pPr>
            <w:r>
              <w:rPr>
                <w:noProof/>
                <w:sz w:val="12"/>
                <w:szCs w:val="12"/>
              </w:rPr>
              <w:t>PL33</w:t>
            </w:r>
          </w:p>
        </w:tc>
        <w:tc>
          <w:tcPr>
            <w:tcW w:w="0" w:type="auto"/>
            <w:shd w:val="clear" w:color="auto" w:fill="auto"/>
          </w:tcPr>
          <w:p w14:paraId="6B6888F2" w14:textId="77777777" w:rsidR="008C5CFA" w:rsidRPr="009C3005" w:rsidRDefault="00E82A60" w:rsidP="00300A01">
            <w:pPr>
              <w:pStyle w:val="Text1"/>
              <w:spacing w:before="0" w:after="0"/>
              <w:ind w:left="0"/>
              <w:jc w:val="right"/>
              <w:rPr>
                <w:sz w:val="12"/>
                <w:szCs w:val="12"/>
              </w:rPr>
            </w:pPr>
            <w:r w:rsidRPr="009C3005">
              <w:rPr>
                <w:noProof/>
                <w:sz w:val="12"/>
                <w:szCs w:val="12"/>
              </w:rPr>
              <w:t>5 358 685,63</w:t>
            </w:r>
          </w:p>
        </w:tc>
        <w:tc>
          <w:tcPr>
            <w:tcW w:w="0" w:type="auto"/>
            <w:shd w:val="clear" w:color="auto" w:fill="auto"/>
          </w:tcPr>
          <w:p w14:paraId="245AA872" w14:textId="77777777" w:rsidR="008C5CFA" w:rsidRPr="009C3005" w:rsidRDefault="00E82A60" w:rsidP="00300A01">
            <w:pPr>
              <w:pStyle w:val="Text1"/>
              <w:spacing w:before="0" w:after="0"/>
              <w:ind w:left="0"/>
              <w:jc w:val="right"/>
              <w:rPr>
                <w:sz w:val="12"/>
                <w:szCs w:val="12"/>
              </w:rPr>
            </w:pPr>
            <w:r w:rsidRPr="009C3005">
              <w:rPr>
                <w:noProof/>
                <w:sz w:val="12"/>
                <w:szCs w:val="12"/>
              </w:rPr>
              <w:t>3 103 269,88</w:t>
            </w:r>
          </w:p>
        </w:tc>
        <w:tc>
          <w:tcPr>
            <w:tcW w:w="0" w:type="auto"/>
            <w:shd w:val="clear" w:color="auto" w:fill="auto"/>
          </w:tcPr>
          <w:p w14:paraId="44FCF30F" w14:textId="77777777" w:rsidR="008C5CFA" w:rsidRPr="009C3005" w:rsidRDefault="00E82A60" w:rsidP="00300A01">
            <w:pPr>
              <w:pStyle w:val="Text1"/>
              <w:spacing w:before="0" w:after="0"/>
              <w:ind w:left="0"/>
              <w:jc w:val="right"/>
              <w:rPr>
                <w:sz w:val="12"/>
                <w:szCs w:val="12"/>
              </w:rPr>
            </w:pPr>
            <w:r w:rsidRPr="009C3005">
              <w:rPr>
                <w:noProof/>
                <w:sz w:val="12"/>
                <w:szCs w:val="12"/>
              </w:rPr>
              <w:t>93 727,72</w:t>
            </w:r>
          </w:p>
        </w:tc>
        <w:tc>
          <w:tcPr>
            <w:tcW w:w="0" w:type="auto"/>
            <w:shd w:val="clear" w:color="auto" w:fill="auto"/>
          </w:tcPr>
          <w:p w14:paraId="37055187" w14:textId="77777777" w:rsidR="008C5CFA" w:rsidRPr="009C3005" w:rsidRDefault="00E82A60" w:rsidP="00300A01">
            <w:pPr>
              <w:pStyle w:val="Text1"/>
              <w:spacing w:before="0" w:after="0"/>
              <w:ind w:left="0"/>
              <w:jc w:val="right"/>
              <w:rPr>
                <w:sz w:val="12"/>
                <w:szCs w:val="12"/>
              </w:rPr>
            </w:pPr>
            <w:r w:rsidRPr="009C3005">
              <w:rPr>
                <w:noProof/>
                <w:sz w:val="12"/>
                <w:szCs w:val="12"/>
              </w:rPr>
              <w:t>5</w:t>
            </w:r>
          </w:p>
        </w:tc>
      </w:tr>
      <w:tr w:rsidR="006B2EC1" w14:paraId="7F2B387A" w14:textId="77777777" w:rsidTr="0047688D">
        <w:tc>
          <w:tcPr>
            <w:tcW w:w="0" w:type="auto"/>
            <w:shd w:val="clear" w:color="auto" w:fill="auto"/>
          </w:tcPr>
          <w:p w14:paraId="6E2A4C83" w14:textId="77777777" w:rsidR="008C5CFA" w:rsidRPr="009C3005" w:rsidRDefault="00E82A60" w:rsidP="00300A01">
            <w:pPr>
              <w:pStyle w:val="Text1"/>
              <w:spacing w:before="0" w:after="0"/>
              <w:ind w:left="0"/>
              <w:rPr>
                <w:sz w:val="12"/>
                <w:szCs w:val="12"/>
              </w:rPr>
            </w:pPr>
            <w:r>
              <w:rPr>
                <w:noProof/>
                <w:sz w:val="14"/>
                <w:szCs w:val="14"/>
                <w:lang w:val="fr-BE"/>
              </w:rPr>
              <w:t>1</w:t>
            </w:r>
          </w:p>
        </w:tc>
        <w:tc>
          <w:tcPr>
            <w:tcW w:w="0" w:type="auto"/>
            <w:shd w:val="clear" w:color="auto" w:fill="auto"/>
          </w:tcPr>
          <w:p w14:paraId="67C63519" w14:textId="77777777" w:rsidR="008C5CFA" w:rsidRPr="009C3005" w:rsidRDefault="00E82A60" w:rsidP="00300A01">
            <w:pPr>
              <w:pStyle w:val="Text1"/>
              <w:spacing w:before="0" w:after="0"/>
              <w:ind w:left="0"/>
              <w:rPr>
                <w:sz w:val="12"/>
                <w:szCs w:val="12"/>
              </w:rPr>
            </w:pPr>
            <w:r>
              <w:rPr>
                <w:noProof/>
                <w:sz w:val="12"/>
                <w:szCs w:val="12"/>
              </w:rPr>
              <w:t>EFRR</w:t>
            </w:r>
          </w:p>
        </w:tc>
        <w:tc>
          <w:tcPr>
            <w:tcW w:w="0" w:type="auto"/>
            <w:shd w:val="clear" w:color="auto" w:fill="auto"/>
          </w:tcPr>
          <w:p w14:paraId="39EFF57F" w14:textId="77777777" w:rsidR="008C5CFA" w:rsidRPr="009C3005" w:rsidRDefault="00E82A60" w:rsidP="00300A01">
            <w:pPr>
              <w:pStyle w:val="Text1"/>
              <w:spacing w:before="0" w:after="0"/>
              <w:ind w:left="0"/>
              <w:rPr>
                <w:sz w:val="12"/>
                <w:szCs w:val="12"/>
              </w:rPr>
            </w:pPr>
            <w:r>
              <w:rPr>
                <w:noProof/>
                <w:sz w:val="12"/>
                <w:szCs w:val="12"/>
              </w:rPr>
              <w:t>Słabiej rozwinięte</w:t>
            </w:r>
          </w:p>
        </w:tc>
        <w:tc>
          <w:tcPr>
            <w:tcW w:w="0" w:type="auto"/>
            <w:shd w:val="clear" w:color="auto" w:fill="auto"/>
          </w:tcPr>
          <w:p w14:paraId="45A9D4D0" w14:textId="77777777" w:rsidR="008C5CFA" w:rsidRPr="009C3005" w:rsidRDefault="00E82A60" w:rsidP="00300A01">
            <w:pPr>
              <w:pStyle w:val="Text1"/>
              <w:spacing w:before="0" w:after="0"/>
              <w:ind w:left="0"/>
              <w:rPr>
                <w:sz w:val="12"/>
                <w:szCs w:val="12"/>
              </w:rPr>
            </w:pPr>
            <w:r>
              <w:rPr>
                <w:noProof/>
                <w:sz w:val="12"/>
                <w:szCs w:val="12"/>
              </w:rPr>
              <w:t>064</w:t>
            </w:r>
          </w:p>
        </w:tc>
        <w:tc>
          <w:tcPr>
            <w:tcW w:w="0" w:type="auto"/>
            <w:shd w:val="clear" w:color="auto" w:fill="auto"/>
          </w:tcPr>
          <w:p w14:paraId="1F561AF0"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455427D4" w14:textId="77777777" w:rsidR="008C5CFA" w:rsidRPr="009C3005" w:rsidRDefault="00E82A60" w:rsidP="00300A01">
            <w:pPr>
              <w:pStyle w:val="Text1"/>
              <w:spacing w:before="0" w:after="0"/>
              <w:ind w:left="0"/>
              <w:rPr>
                <w:sz w:val="12"/>
                <w:szCs w:val="12"/>
              </w:rPr>
            </w:pPr>
            <w:r>
              <w:rPr>
                <w:noProof/>
                <w:sz w:val="12"/>
                <w:szCs w:val="12"/>
              </w:rPr>
              <w:t>03</w:t>
            </w:r>
          </w:p>
        </w:tc>
        <w:tc>
          <w:tcPr>
            <w:tcW w:w="0" w:type="auto"/>
            <w:shd w:val="clear" w:color="auto" w:fill="auto"/>
          </w:tcPr>
          <w:p w14:paraId="4888C429"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41DA320F"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6ABF4921" w14:textId="77777777" w:rsidR="008C5CFA" w:rsidRPr="009C3005" w:rsidRDefault="00E82A60" w:rsidP="00300A01">
            <w:pPr>
              <w:pStyle w:val="Text1"/>
              <w:spacing w:before="0" w:after="0"/>
              <w:ind w:left="0"/>
              <w:rPr>
                <w:sz w:val="12"/>
                <w:szCs w:val="12"/>
              </w:rPr>
            </w:pPr>
            <w:r>
              <w:rPr>
                <w:sz w:val="12"/>
                <w:szCs w:val="12"/>
              </w:rPr>
              <w:t xml:space="preserve"> </w:t>
            </w:r>
          </w:p>
        </w:tc>
        <w:tc>
          <w:tcPr>
            <w:tcW w:w="0" w:type="auto"/>
            <w:shd w:val="clear" w:color="auto" w:fill="auto"/>
          </w:tcPr>
          <w:p w14:paraId="47657578" w14:textId="77777777" w:rsidR="008C5CFA" w:rsidRPr="009C3005" w:rsidRDefault="00E82A60" w:rsidP="00300A01">
            <w:pPr>
              <w:pStyle w:val="Text1"/>
              <w:spacing w:before="0" w:after="0"/>
              <w:ind w:left="0"/>
              <w:rPr>
                <w:sz w:val="12"/>
                <w:szCs w:val="12"/>
              </w:rPr>
            </w:pPr>
            <w:r>
              <w:rPr>
                <w:noProof/>
                <w:sz w:val="12"/>
                <w:szCs w:val="12"/>
              </w:rPr>
              <w:t>08</w:t>
            </w:r>
          </w:p>
        </w:tc>
        <w:tc>
          <w:tcPr>
            <w:tcW w:w="0" w:type="auto"/>
            <w:shd w:val="clear" w:color="auto" w:fill="auto"/>
          </w:tcPr>
          <w:p w14:paraId="1A584773" w14:textId="77777777" w:rsidR="008C5CFA" w:rsidRPr="009C3005" w:rsidRDefault="00E82A60" w:rsidP="00300A01">
            <w:pPr>
              <w:pStyle w:val="Text1"/>
              <w:spacing w:before="0" w:after="0"/>
              <w:ind w:left="0"/>
              <w:rPr>
                <w:sz w:val="12"/>
                <w:szCs w:val="12"/>
              </w:rPr>
            </w:pPr>
            <w:r>
              <w:rPr>
                <w:noProof/>
                <w:sz w:val="12"/>
                <w:szCs w:val="12"/>
              </w:rPr>
              <w:t>PL33</w:t>
            </w:r>
          </w:p>
        </w:tc>
        <w:tc>
          <w:tcPr>
            <w:tcW w:w="0" w:type="auto"/>
            <w:shd w:val="clear" w:color="auto" w:fill="auto"/>
          </w:tcPr>
          <w:p w14:paraId="47B9CBDC" w14:textId="77777777" w:rsidR="008C5CFA" w:rsidRPr="009C3005" w:rsidRDefault="00E82A60" w:rsidP="00300A01">
            <w:pPr>
              <w:pStyle w:val="Text1"/>
              <w:spacing w:before="0" w:after="0"/>
              <w:ind w:left="0"/>
              <w:jc w:val="right"/>
              <w:rPr>
                <w:sz w:val="12"/>
                <w:szCs w:val="12"/>
              </w:rPr>
            </w:pPr>
            <w:r w:rsidRPr="009C3005">
              <w:rPr>
                <w:noProof/>
                <w:sz w:val="12"/>
                <w:szCs w:val="12"/>
              </w:rPr>
              <w:t>3 914 661,11</w:t>
            </w:r>
          </w:p>
        </w:tc>
        <w:tc>
          <w:tcPr>
            <w:tcW w:w="0" w:type="auto"/>
            <w:shd w:val="clear" w:color="auto" w:fill="auto"/>
          </w:tcPr>
          <w:p w14:paraId="3DCEA2E5" w14:textId="77777777" w:rsidR="008C5CFA" w:rsidRPr="009C3005" w:rsidRDefault="00E82A60" w:rsidP="00300A01">
            <w:pPr>
              <w:pStyle w:val="Text1"/>
              <w:spacing w:before="0" w:after="0"/>
              <w:ind w:left="0"/>
              <w:jc w:val="right"/>
              <w:rPr>
                <w:sz w:val="12"/>
                <w:szCs w:val="12"/>
              </w:rPr>
            </w:pPr>
            <w:r w:rsidRPr="009C3005">
              <w:rPr>
                <w:noProof/>
                <w:sz w:val="12"/>
                <w:szCs w:val="12"/>
              </w:rPr>
              <w:t>2 265 204,80</w:t>
            </w:r>
          </w:p>
        </w:tc>
        <w:tc>
          <w:tcPr>
            <w:tcW w:w="0" w:type="auto"/>
            <w:shd w:val="clear" w:color="auto" w:fill="auto"/>
          </w:tcPr>
          <w:p w14:paraId="3B4BFB37" w14:textId="77777777" w:rsidR="008C5CFA" w:rsidRPr="009C3005" w:rsidRDefault="00E82A60" w:rsidP="00300A01">
            <w:pPr>
              <w:pStyle w:val="Text1"/>
              <w:spacing w:before="0" w:after="0"/>
              <w:ind w:left="0"/>
              <w:jc w:val="right"/>
              <w:rPr>
                <w:sz w:val="12"/>
                <w:szCs w:val="12"/>
              </w:rPr>
            </w:pPr>
            <w:r w:rsidRPr="009C3005">
              <w:rPr>
                <w:noProof/>
                <w:sz w:val="12"/>
                <w:szCs w:val="12"/>
              </w:rPr>
              <w:t>986 384,36</w:t>
            </w:r>
          </w:p>
        </w:tc>
        <w:tc>
          <w:tcPr>
            <w:tcW w:w="0" w:type="auto"/>
            <w:shd w:val="clear" w:color="auto" w:fill="auto"/>
          </w:tcPr>
          <w:p w14:paraId="6CF14684" w14:textId="77777777" w:rsidR="008C5CFA" w:rsidRPr="009C3005" w:rsidRDefault="00E82A60" w:rsidP="00300A01">
            <w:pPr>
              <w:pStyle w:val="Text1"/>
              <w:spacing w:before="0" w:after="0"/>
              <w:ind w:left="0"/>
              <w:jc w:val="right"/>
              <w:rPr>
                <w:sz w:val="12"/>
                <w:szCs w:val="12"/>
              </w:rPr>
            </w:pPr>
            <w:r w:rsidRPr="009C3005">
              <w:rPr>
                <w:noProof/>
                <w:sz w:val="12"/>
                <w:szCs w:val="12"/>
              </w:rPr>
              <w:t>3</w:t>
            </w:r>
          </w:p>
        </w:tc>
      </w:tr>
      <w:tr w:rsidR="006B2EC1" w14:paraId="047E285D" w14:textId="77777777" w:rsidTr="0047688D">
        <w:tc>
          <w:tcPr>
            <w:tcW w:w="0" w:type="auto"/>
            <w:shd w:val="clear" w:color="auto" w:fill="auto"/>
          </w:tcPr>
          <w:p w14:paraId="38228A58" w14:textId="77777777" w:rsidR="008C5CFA" w:rsidRPr="009C3005" w:rsidRDefault="00E82A60" w:rsidP="00300A01">
            <w:pPr>
              <w:pStyle w:val="Text1"/>
              <w:spacing w:before="0" w:after="0"/>
              <w:ind w:left="0"/>
              <w:rPr>
                <w:sz w:val="12"/>
                <w:szCs w:val="12"/>
              </w:rPr>
            </w:pPr>
            <w:r>
              <w:rPr>
                <w:noProof/>
                <w:sz w:val="14"/>
                <w:szCs w:val="14"/>
                <w:lang w:val="fr-BE"/>
              </w:rPr>
              <w:t>1</w:t>
            </w:r>
          </w:p>
        </w:tc>
        <w:tc>
          <w:tcPr>
            <w:tcW w:w="0" w:type="auto"/>
            <w:shd w:val="clear" w:color="auto" w:fill="auto"/>
          </w:tcPr>
          <w:p w14:paraId="20222CB6" w14:textId="77777777" w:rsidR="008C5CFA" w:rsidRPr="009C3005" w:rsidRDefault="00E82A60" w:rsidP="00300A01">
            <w:pPr>
              <w:pStyle w:val="Text1"/>
              <w:spacing w:before="0" w:after="0"/>
              <w:ind w:left="0"/>
              <w:rPr>
                <w:sz w:val="12"/>
                <w:szCs w:val="12"/>
              </w:rPr>
            </w:pPr>
            <w:r>
              <w:rPr>
                <w:noProof/>
                <w:sz w:val="12"/>
                <w:szCs w:val="12"/>
              </w:rPr>
              <w:t>EFRR</w:t>
            </w:r>
          </w:p>
        </w:tc>
        <w:tc>
          <w:tcPr>
            <w:tcW w:w="0" w:type="auto"/>
            <w:shd w:val="clear" w:color="auto" w:fill="auto"/>
          </w:tcPr>
          <w:p w14:paraId="5A19F451" w14:textId="77777777" w:rsidR="008C5CFA" w:rsidRPr="009C3005" w:rsidRDefault="00E82A60" w:rsidP="00300A01">
            <w:pPr>
              <w:pStyle w:val="Text1"/>
              <w:spacing w:before="0" w:after="0"/>
              <w:ind w:left="0"/>
              <w:rPr>
                <w:sz w:val="12"/>
                <w:szCs w:val="12"/>
              </w:rPr>
            </w:pPr>
            <w:r>
              <w:rPr>
                <w:noProof/>
                <w:sz w:val="12"/>
                <w:szCs w:val="12"/>
              </w:rPr>
              <w:t>Słabiej rozwinięte</w:t>
            </w:r>
          </w:p>
        </w:tc>
        <w:tc>
          <w:tcPr>
            <w:tcW w:w="0" w:type="auto"/>
            <w:shd w:val="clear" w:color="auto" w:fill="auto"/>
          </w:tcPr>
          <w:p w14:paraId="30BEBC17" w14:textId="77777777" w:rsidR="008C5CFA" w:rsidRPr="009C3005" w:rsidRDefault="00E82A60" w:rsidP="00300A01">
            <w:pPr>
              <w:pStyle w:val="Text1"/>
              <w:spacing w:before="0" w:after="0"/>
              <w:ind w:left="0"/>
              <w:rPr>
                <w:sz w:val="12"/>
                <w:szCs w:val="12"/>
              </w:rPr>
            </w:pPr>
            <w:r>
              <w:rPr>
                <w:noProof/>
                <w:sz w:val="12"/>
                <w:szCs w:val="12"/>
              </w:rPr>
              <w:t>064</w:t>
            </w:r>
          </w:p>
        </w:tc>
        <w:tc>
          <w:tcPr>
            <w:tcW w:w="0" w:type="auto"/>
            <w:shd w:val="clear" w:color="auto" w:fill="auto"/>
          </w:tcPr>
          <w:p w14:paraId="20429114"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34C4741F" w14:textId="77777777" w:rsidR="008C5CFA" w:rsidRPr="009C3005" w:rsidRDefault="00E82A60" w:rsidP="00300A01">
            <w:pPr>
              <w:pStyle w:val="Text1"/>
              <w:spacing w:before="0" w:after="0"/>
              <w:ind w:left="0"/>
              <w:rPr>
                <w:sz w:val="12"/>
                <w:szCs w:val="12"/>
              </w:rPr>
            </w:pPr>
            <w:r>
              <w:rPr>
                <w:noProof/>
                <w:sz w:val="12"/>
                <w:szCs w:val="12"/>
              </w:rPr>
              <w:t>03</w:t>
            </w:r>
          </w:p>
        </w:tc>
        <w:tc>
          <w:tcPr>
            <w:tcW w:w="0" w:type="auto"/>
            <w:shd w:val="clear" w:color="auto" w:fill="auto"/>
          </w:tcPr>
          <w:p w14:paraId="6FA7AA84"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0E458151"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1B7EC18B" w14:textId="77777777" w:rsidR="008C5CFA" w:rsidRPr="009C3005" w:rsidRDefault="00E82A60" w:rsidP="00300A01">
            <w:pPr>
              <w:pStyle w:val="Text1"/>
              <w:spacing w:before="0" w:after="0"/>
              <w:ind w:left="0"/>
              <w:rPr>
                <w:sz w:val="12"/>
                <w:szCs w:val="12"/>
              </w:rPr>
            </w:pPr>
            <w:r>
              <w:rPr>
                <w:sz w:val="12"/>
                <w:szCs w:val="12"/>
              </w:rPr>
              <w:t xml:space="preserve"> </w:t>
            </w:r>
          </w:p>
        </w:tc>
        <w:tc>
          <w:tcPr>
            <w:tcW w:w="0" w:type="auto"/>
            <w:shd w:val="clear" w:color="auto" w:fill="auto"/>
          </w:tcPr>
          <w:p w14:paraId="68D39F0D" w14:textId="77777777" w:rsidR="008C5CFA" w:rsidRPr="009C3005" w:rsidRDefault="00E82A60" w:rsidP="00300A01">
            <w:pPr>
              <w:pStyle w:val="Text1"/>
              <w:spacing w:before="0" w:after="0"/>
              <w:ind w:left="0"/>
              <w:rPr>
                <w:sz w:val="12"/>
                <w:szCs w:val="12"/>
              </w:rPr>
            </w:pPr>
            <w:r>
              <w:rPr>
                <w:noProof/>
                <w:sz w:val="12"/>
                <w:szCs w:val="12"/>
              </w:rPr>
              <w:t>24</w:t>
            </w:r>
          </w:p>
        </w:tc>
        <w:tc>
          <w:tcPr>
            <w:tcW w:w="0" w:type="auto"/>
            <w:shd w:val="clear" w:color="auto" w:fill="auto"/>
          </w:tcPr>
          <w:p w14:paraId="1989A059" w14:textId="77777777" w:rsidR="008C5CFA" w:rsidRPr="009C3005" w:rsidRDefault="00E82A60" w:rsidP="00300A01">
            <w:pPr>
              <w:pStyle w:val="Text1"/>
              <w:spacing w:before="0" w:after="0"/>
              <w:ind w:left="0"/>
              <w:rPr>
                <w:sz w:val="12"/>
                <w:szCs w:val="12"/>
              </w:rPr>
            </w:pPr>
            <w:r>
              <w:rPr>
                <w:noProof/>
                <w:sz w:val="12"/>
                <w:szCs w:val="12"/>
              </w:rPr>
              <w:t>PL33</w:t>
            </w:r>
          </w:p>
        </w:tc>
        <w:tc>
          <w:tcPr>
            <w:tcW w:w="0" w:type="auto"/>
            <w:shd w:val="clear" w:color="auto" w:fill="auto"/>
          </w:tcPr>
          <w:p w14:paraId="4FD93C04" w14:textId="77777777" w:rsidR="008C5CFA" w:rsidRPr="009C3005" w:rsidRDefault="00E82A60" w:rsidP="00300A01">
            <w:pPr>
              <w:pStyle w:val="Text1"/>
              <w:spacing w:before="0" w:after="0"/>
              <w:ind w:left="0"/>
              <w:jc w:val="right"/>
              <w:rPr>
                <w:sz w:val="12"/>
                <w:szCs w:val="12"/>
              </w:rPr>
            </w:pPr>
            <w:r w:rsidRPr="009C3005">
              <w:rPr>
                <w:noProof/>
                <w:sz w:val="12"/>
                <w:szCs w:val="12"/>
              </w:rPr>
              <w:t>2 400 823,74</w:t>
            </w:r>
          </w:p>
        </w:tc>
        <w:tc>
          <w:tcPr>
            <w:tcW w:w="0" w:type="auto"/>
            <w:shd w:val="clear" w:color="auto" w:fill="auto"/>
          </w:tcPr>
          <w:p w14:paraId="5BE03C72" w14:textId="77777777" w:rsidR="008C5CFA" w:rsidRPr="009C3005" w:rsidRDefault="00E82A60" w:rsidP="00300A01">
            <w:pPr>
              <w:pStyle w:val="Text1"/>
              <w:spacing w:before="0" w:after="0"/>
              <w:ind w:left="0"/>
              <w:jc w:val="right"/>
              <w:rPr>
                <w:sz w:val="12"/>
                <w:szCs w:val="12"/>
              </w:rPr>
            </w:pPr>
            <w:r w:rsidRPr="009C3005">
              <w:rPr>
                <w:noProof/>
                <w:sz w:val="12"/>
                <w:szCs w:val="12"/>
              </w:rPr>
              <w:t>1 647 970,57</w:t>
            </w:r>
          </w:p>
        </w:tc>
        <w:tc>
          <w:tcPr>
            <w:tcW w:w="0" w:type="auto"/>
            <w:shd w:val="clear" w:color="auto" w:fill="auto"/>
          </w:tcPr>
          <w:p w14:paraId="447BB6D5" w14:textId="77777777" w:rsidR="008C5CFA" w:rsidRPr="009C3005" w:rsidRDefault="00E82A60" w:rsidP="00300A01">
            <w:pPr>
              <w:pStyle w:val="Text1"/>
              <w:spacing w:before="0" w:after="0"/>
              <w:ind w:left="0"/>
              <w:jc w:val="right"/>
              <w:rPr>
                <w:sz w:val="12"/>
                <w:szCs w:val="12"/>
              </w:rPr>
            </w:pPr>
            <w:r w:rsidRPr="009C3005">
              <w:rPr>
                <w:noProof/>
                <w:sz w:val="12"/>
                <w:szCs w:val="12"/>
              </w:rPr>
              <w:t>570 255,67</w:t>
            </w:r>
          </w:p>
        </w:tc>
        <w:tc>
          <w:tcPr>
            <w:tcW w:w="0" w:type="auto"/>
            <w:shd w:val="clear" w:color="auto" w:fill="auto"/>
          </w:tcPr>
          <w:p w14:paraId="5921E5EA" w14:textId="77777777" w:rsidR="008C5CFA" w:rsidRPr="009C3005" w:rsidRDefault="00E82A60" w:rsidP="00300A01">
            <w:pPr>
              <w:pStyle w:val="Text1"/>
              <w:spacing w:before="0" w:after="0"/>
              <w:ind w:left="0"/>
              <w:jc w:val="right"/>
              <w:rPr>
                <w:sz w:val="12"/>
                <w:szCs w:val="12"/>
              </w:rPr>
            </w:pPr>
            <w:r w:rsidRPr="009C3005">
              <w:rPr>
                <w:noProof/>
                <w:sz w:val="12"/>
                <w:szCs w:val="12"/>
              </w:rPr>
              <w:t>3</w:t>
            </w:r>
          </w:p>
        </w:tc>
      </w:tr>
      <w:tr w:rsidR="006B2EC1" w14:paraId="3229EA0A" w14:textId="77777777" w:rsidTr="0047688D">
        <w:tc>
          <w:tcPr>
            <w:tcW w:w="0" w:type="auto"/>
            <w:shd w:val="clear" w:color="auto" w:fill="auto"/>
          </w:tcPr>
          <w:p w14:paraId="76DF2FE7" w14:textId="77777777" w:rsidR="008C5CFA" w:rsidRPr="009C3005" w:rsidRDefault="00E82A60" w:rsidP="00300A01">
            <w:pPr>
              <w:pStyle w:val="Text1"/>
              <w:spacing w:before="0" w:after="0"/>
              <w:ind w:left="0"/>
              <w:rPr>
                <w:sz w:val="12"/>
                <w:szCs w:val="12"/>
              </w:rPr>
            </w:pPr>
            <w:r>
              <w:rPr>
                <w:noProof/>
                <w:sz w:val="14"/>
                <w:szCs w:val="14"/>
                <w:lang w:val="fr-BE"/>
              </w:rPr>
              <w:t>2</w:t>
            </w:r>
          </w:p>
        </w:tc>
        <w:tc>
          <w:tcPr>
            <w:tcW w:w="0" w:type="auto"/>
            <w:shd w:val="clear" w:color="auto" w:fill="auto"/>
          </w:tcPr>
          <w:p w14:paraId="6B3DB2FE" w14:textId="77777777" w:rsidR="008C5CFA" w:rsidRPr="009C3005" w:rsidRDefault="00E82A60" w:rsidP="00300A01">
            <w:pPr>
              <w:pStyle w:val="Text1"/>
              <w:spacing w:before="0" w:after="0"/>
              <w:ind w:left="0"/>
              <w:rPr>
                <w:sz w:val="12"/>
                <w:szCs w:val="12"/>
              </w:rPr>
            </w:pPr>
            <w:r>
              <w:rPr>
                <w:noProof/>
                <w:sz w:val="12"/>
                <w:szCs w:val="12"/>
              </w:rPr>
              <w:t>EFRR</w:t>
            </w:r>
          </w:p>
        </w:tc>
        <w:tc>
          <w:tcPr>
            <w:tcW w:w="0" w:type="auto"/>
            <w:shd w:val="clear" w:color="auto" w:fill="auto"/>
          </w:tcPr>
          <w:p w14:paraId="3908A0B3" w14:textId="77777777" w:rsidR="008C5CFA" w:rsidRPr="009C3005" w:rsidRDefault="00E82A60" w:rsidP="00300A01">
            <w:pPr>
              <w:pStyle w:val="Text1"/>
              <w:spacing w:before="0" w:after="0"/>
              <w:ind w:left="0"/>
              <w:rPr>
                <w:sz w:val="12"/>
                <w:szCs w:val="12"/>
              </w:rPr>
            </w:pPr>
            <w:r>
              <w:rPr>
                <w:noProof/>
                <w:sz w:val="12"/>
                <w:szCs w:val="12"/>
              </w:rPr>
              <w:t>Słabiej rozwinięte</w:t>
            </w:r>
          </w:p>
        </w:tc>
        <w:tc>
          <w:tcPr>
            <w:tcW w:w="0" w:type="auto"/>
            <w:shd w:val="clear" w:color="auto" w:fill="auto"/>
          </w:tcPr>
          <w:p w14:paraId="1B09D88F" w14:textId="77777777" w:rsidR="008C5CFA" w:rsidRPr="009C3005" w:rsidRDefault="00E82A60" w:rsidP="00300A01">
            <w:pPr>
              <w:pStyle w:val="Text1"/>
              <w:spacing w:before="0" w:after="0"/>
              <w:ind w:left="0"/>
              <w:rPr>
                <w:sz w:val="12"/>
                <w:szCs w:val="12"/>
              </w:rPr>
            </w:pPr>
            <w:r>
              <w:rPr>
                <w:noProof/>
                <w:sz w:val="12"/>
                <w:szCs w:val="12"/>
              </w:rPr>
              <w:t>001</w:t>
            </w:r>
          </w:p>
        </w:tc>
        <w:tc>
          <w:tcPr>
            <w:tcW w:w="0" w:type="auto"/>
            <w:shd w:val="clear" w:color="auto" w:fill="auto"/>
          </w:tcPr>
          <w:p w14:paraId="63C59E25"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2F50D420"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4AE68B91"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09851F82" w14:textId="77777777" w:rsidR="008C5CFA" w:rsidRPr="009C3005" w:rsidRDefault="00E82A60" w:rsidP="00300A01">
            <w:pPr>
              <w:pStyle w:val="Text1"/>
              <w:spacing w:before="0" w:after="0"/>
              <w:ind w:left="0"/>
              <w:rPr>
                <w:sz w:val="12"/>
                <w:szCs w:val="12"/>
              </w:rPr>
            </w:pPr>
            <w:r>
              <w:rPr>
                <w:noProof/>
                <w:sz w:val="12"/>
                <w:szCs w:val="12"/>
              </w:rPr>
              <w:t>03</w:t>
            </w:r>
          </w:p>
        </w:tc>
        <w:tc>
          <w:tcPr>
            <w:tcW w:w="0" w:type="auto"/>
            <w:shd w:val="clear" w:color="auto" w:fill="auto"/>
          </w:tcPr>
          <w:p w14:paraId="53166BEF" w14:textId="77777777" w:rsidR="008C5CFA" w:rsidRPr="009C3005" w:rsidRDefault="00E82A60" w:rsidP="00300A01">
            <w:pPr>
              <w:pStyle w:val="Text1"/>
              <w:spacing w:before="0" w:after="0"/>
              <w:ind w:left="0"/>
              <w:rPr>
                <w:sz w:val="12"/>
                <w:szCs w:val="12"/>
              </w:rPr>
            </w:pPr>
            <w:r>
              <w:rPr>
                <w:sz w:val="12"/>
                <w:szCs w:val="12"/>
              </w:rPr>
              <w:t xml:space="preserve"> </w:t>
            </w:r>
          </w:p>
        </w:tc>
        <w:tc>
          <w:tcPr>
            <w:tcW w:w="0" w:type="auto"/>
            <w:shd w:val="clear" w:color="auto" w:fill="auto"/>
          </w:tcPr>
          <w:p w14:paraId="1E378206" w14:textId="77777777" w:rsidR="008C5CFA" w:rsidRPr="009C3005" w:rsidRDefault="00E82A60" w:rsidP="00300A01">
            <w:pPr>
              <w:pStyle w:val="Text1"/>
              <w:spacing w:before="0" w:after="0"/>
              <w:ind w:left="0"/>
              <w:rPr>
                <w:sz w:val="12"/>
                <w:szCs w:val="12"/>
              </w:rPr>
            </w:pPr>
            <w:r>
              <w:rPr>
                <w:noProof/>
                <w:sz w:val="12"/>
                <w:szCs w:val="12"/>
              </w:rPr>
              <w:t>03</w:t>
            </w:r>
          </w:p>
        </w:tc>
        <w:tc>
          <w:tcPr>
            <w:tcW w:w="0" w:type="auto"/>
            <w:shd w:val="clear" w:color="auto" w:fill="auto"/>
          </w:tcPr>
          <w:p w14:paraId="5283DD9F" w14:textId="77777777" w:rsidR="008C5CFA" w:rsidRPr="009C3005" w:rsidRDefault="00E82A60" w:rsidP="00300A01">
            <w:pPr>
              <w:pStyle w:val="Text1"/>
              <w:spacing w:before="0" w:after="0"/>
              <w:ind w:left="0"/>
              <w:rPr>
                <w:sz w:val="12"/>
                <w:szCs w:val="12"/>
              </w:rPr>
            </w:pPr>
            <w:r>
              <w:rPr>
                <w:noProof/>
                <w:sz w:val="12"/>
                <w:szCs w:val="12"/>
              </w:rPr>
              <w:t>PL33</w:t>
            </w:r>
          </w:p>
        </w:tc>
        <w:tc>
          <w:tcPr>
            <w:tcW w:w="0" w:type="auto"/>
            <w:shd w:val="clear" w:color="auto" w:fill="auto"/>
          </w:tcPr>
          <w:p w14:paraId="27D9F481" w14:textId="77777777" w:rsidR="008C5CFA" w:rsidRPr="009C3005" w:rsidRDefault="00E82A60" w:rsidP="00300A01">
            <w:pPr>
              <w:pStyle w:val="Text1"/>
              <w:spacing w:before="0" w:after="0"/>
              <w:ind w:left="0"/>
              <w:jc w:val="right"/>
              <w:rPr>
                <w:sz w:val="12"/>
                <w:szCs w:val="12"/>
              </w:rPr>
            </w:pPr>
            <w:r w:rsidRPr="009C3005">
              <w:rPr>
                <w:noProof/>
                <w:sz w:val="12"/>
                <w:szCs w:val="12"/>
              </w:rPr>
              <w:t>392 581,11</w:t>
            </w:r>
          </w:p>
        </w:tc>
        <w:tc>
          <w:tcPr>
            <w:tcW w:w="0" w:type="auto"/>
            <w:shd w:val="clear" w:color="auto" w:fill="auto"/>
          </w:tcPr>
          <w:p w14:paraId="6F85C73C" w14:textId="77777777" w:rsidR="008C5CFA" w:rsidRPr="009C3005" w:rsidRDefault="00E82A60" w:rsidP="00300A01">
            <w:pPr>
              <w:pStyle w:val="Text1"/>
              <w:spacing w:before="0" w:after="0"/>
              <w:ind w:left="0"/>
              <w:jc w:val="right"/>
              <w:rPr>
                <w:sz w:val="12"/>
                <w:szCs w:val="12"/>
              </w:rPr>
            </w:pPr>
            <w:r w:rsidRPr="009C3005">
              <w:rPr>
                <w:noProof/>
                <w:sz w:val="12"/>
                <w:szCs w:val="12"/>
              </w:rPr>
              <w:t>314 064,89</w:t>
            </w:r>
          </w:p>
        </w:tc>
        <w:tc>
          <w:tcPr>
            <w:tcW w:w="0" w:type="auto"/>
            <w:shd w:val="clear" w:color="auto" w:fill="auto"/>
          </w:tcPr>
          <w:p w14:paraId="7A3948D9" w14:textId="77777777" w:rsidR="008C5CFA" w:rsidRPr="009C3005" w:rsidRDefault="00E82A60" w:rsidP="00300A01">
            <w:pPr>
              <w:pStyle w:val="Text1"/>
              <w:spacing w:before="0" w:after="0"/>
              <w:ind w:left="0"/>
              <w:jc w:val="right"/>
              <w:rPr>
                <w:sz w:val="12"/>
                <w:szCs w:val="12"/>
              </w:rPr>
            </w:pPr>
            <w:r w:rsidRPr="009C3005">
              <w:rPr>
                <w:noProof/>
                <w:sz w:val="12"/>
                <w:szCs w:val="12"/>
              </w:rPr>
              <w:t>392 581,11</w:t>
            </w:r>
          </w:p>
        </w:tc>
        <w:tc>
          <w:tcPr>
            <w:tcW w:w="0" w:type="auto"/>
            <w:shd w:val="clear" w:color="auto" w:fill="auto"/>
          </w:tcPr>
          <w:p w14:paraId="02AC9702" w14:textId="77777777" w:rsidR="008C5CFA" w:rsidRPr="009C3005" w:rsidRDefault="00E82A60" w:rsidP="00300A01">
            <w:pPr>
              <w:pStyle w:val="Text1"/>
              <w:spacing w:before="0" w:after="0"/>
              <w:ind w:left="0"/>
              <w:jc w:val="right"/>
              <w:rPr>
                <w:sz w:val="12"/>
                <w:szCs w:val="12"/>
              </w:rPr>
            </w:pPr>
            <w:r w:rsidRPr="009C3005">
              <w:rPr>
                <w:noProof/>
                <w:sz w:val="12"/>
                <w:szCs w:val="12"/>
              </w:rPr>
              <w:t>2</w:t>
            </w:r>
          </w:p>
        </w:tc>
      </w:tr>
      <w:tr w:rsidR="006B2EC1" w14:paraId="1F27C09C" w14:textId="77777777" w:rsidTr="0047688D">
        <w:tc>
          <w:tcPr>
            <w:tcW w:w="0" w:type="auto"/>
            <w:shd w:val="clear" w:color="auto" w:fill="auto"/>
          </w:tcPr>
          <w:p w14:paraId="0D0451F6" w14:textId="77777777" w:rsidR="008C5CFA" w:rsidRPr="009C3005" w:rsidRDefault="00E82A60" w:rsidP="00300A01">
            <w:pPr>
              <w:pStyle w:val="Text1"/>
              <w:spacing w:before="0" w:after="0"/>
              <w:ind w:left="0"/>
              <w:rPr>
                <w:sz w:val="12"/>
                <w:szCs w:val="12"/>
              </w:rPr>
            </w:pPr>
            <w:r>
              <w:rPr>
                <w:noProof/>
                <w:sz w:val="14"/>
                <w:szCs w:val="14"/>
                <w:lang w:val="fr-BE"/>
              </w:rPr>
              <w:t>2</w:t>
            </w:r>
          </w:p>
        </w:tc>
        <w:tc>
          <w:tcPr>
            <w:tcW w:w="0" w:type="auto"/>
            <w:shd w:val="clear" w:color="auto" w:fill="auto"/>
          </w:tcPr>
          <w:p w14:paraId="79C90A0E" w14:textId="77777777" w:rsidR="008C5CFA" w:rsidRPr="009C3005" w:rsidRDefault="00E82A60" w:rsidP="00300A01">
            <w:pPr>
              <w:pStyle w:val="Text1"/>
              <w:spacing w:before="0" w:after="0"/>
              <w:ind w:left="0"/>
              <w:rPr>
                <w:sz w:val="12"/>
                <w:szCs w:val="12"/>
              </w:rPr>
            </w:pPr>
            <w:r>
              <w:rPr>
                <w:noProof/>
                <w:sz w:val="12"/>
                <w:szCs w:val="12"/>
              </w:rPr>
              <w:t>EFRR</w:t>
            </w:r>
          </w:p>
        </w:tc>
        <w:tc>
          <w:tcPr>
            <w:tcW w:w="0" w:type="auto"/>
            <w:shd w:val="clear" w:color="auto" w:fill="auto"/>
          </w:tcPr>
          <w:p w14:paraId="3093A410" w14:textId="77777777" w:rsidR="008C5CFA" w:rsidRPr="009C3005" w:rsidRDefault="00E82A60" w:rsidP="00300A01">
            <w:pPr>
              <w:pStyle w:val="Text1"/>
              <w:spacing w:before="0" w:after="0"/>
              <w:ind w:left="0"/>
              <w:rPr>
                <w:sz w:val="12"/>
                <w:szCs w:val="12"/>
              </w:rPr>
            </w:pPr>
            <w:r>
              <w:rPr>
                <w:noProof/>
                <w:sz w:val="12"/>
                <w:szCs w:val="12"/>
              </w:rPr>
              <w:t>Słabiej rozwinięte</w:t>
            </w:r>
          </w:p>
        </w:tc>
        <w:tc>
          <w:tcPr>
            <w:tcW w:w="0" w:type="auto"/>
            <w:shd w:val="clear" w:color="auto" w:fill="auto"/>
          </w:tcPr>
          <w:p w14:paraId="2B09BFB9" w14:textId="77777777" w:rsidR="008C5CFA" w:rsidRPr="009C3005" w:rsidRDefault="00E82A60" w:rsidP="00300A01">
            <w:pPr>
              <w:pStyle w:val="Text1"/>
              <w:spacing w:before="0" w:after="0"/>
              <w:ind w:left="0"/>
              <w:rPr>
                <w:sz w:val="12"/>
                <w:szCs w:val="12"/>
              </w:rPr>
            </w:pPr>
            <w:r>
              <w:rPr>
                <w:noProof/>
                <w:sz w:val="12"/>
                <w:szCs w:val="12"/>
              </w:rPr>
              <w:t>001</w:t>
            </w:r>
          </w:p>
        </w:tc>
        <w:tc>
          <w:tcPr>
            <w:tcW w:w="0" w:type="auto"/>
            <w:shd w:val="clear" w:color="auto" w:fill="auto"/>
          </w:tcPr>
          <w:p w14:paraId="300CE1BE"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793CFF13"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34127FED"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44C28309" w14:textId="77777777" w:rsidR="008C5CFA" w:rsidRPr="009C3005" w:rsidRDefault="00E82A60" w:rsidP="00300A01">
            <w:pPr>
              <w:pStyle w:val="Text1"/>
              <w:spacing w:before="0" w:after="0"/>
              <w:ind w:left="0"/>
              <w:rPr>
                <w:sz w:val="12"/>
                <w:szCs w:val="12"/>
              </w:rPr>
            </w:pPr>
            <w:r>
              <w:rPr>
                <w:noProof/>
                <w:sz w:val="12"/>
                <w:szCs w:val="12"/>
              </w:rPr>
              <w:t>03</w:t>
            </w:r>
          </w:p>
        </w:tc>
        <w:tc>
          <w:tcPr>
            <w:tcW w:w="0" w:type="auto"/>
            <w:shd w:val="clear" w:color="auto" w:fill="auto"/>
          </w:tcPr>
          <w:p w14:paraId="7529C53C" w14:textId="77777777" w:rsidR="008C5CFA" w:rsidRPr="009C3005" w:rsidRDefault="00E82A60" w:rsidP="00300A01">
            <w:pPr>
              <w:pStyle w:val="Text1"/>
              <w:spacing w:before="0" w:after="0"/>
              <w:ind w:left="0"/>
              <w:rPr>
                <w:sz w:val="12"/>
                <w:szCs w:val="12"/>
              </w:rPr>
            </w:pPr>
            <w:r>
              <w:rPr>
                <w:sz w:val="12"/>
                <w:szCs w:val="12"/>
              </w:rPr>
              <w:t xml:space="preserve"> </w:t>
            </w:r>
          </w:p>
        </w:tc>
        <w:tc>
          <w:tcPr>
            <w:tcW w:w="0" w:type="auto"/>
            <w:shd w:val="clear" w:color="auto" w:fill="auto"/>
          </w:tcPr>
          <w:p w14:paraId="5E808E40"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04DE060B" w14:textId="77777777" w:rsidR="008C5CFA" w:rsidRPr="009C3005" w:rsidRDefault="00E82A60" w:rsidP="00300A01">
            <w:pPr>
              <w:pStyle w:val="Text1"/>
              <w:spacing w:before="0" w:after="0"/>
              <w:ind w:left="0"/>
              <w:rPr>
                <w:sz w:val="12"/>
                <w:szCs w:val="12"/>
              </w:rPr>
            </w:pPr>
            <w:r>
              <w:rPr>
                <w:noProof/>
                <w:sz w:val="12"/>
                <w:szCs w:val="12"/>
              </w:rPr>
              <w:t>PL33</w:t>
            </w:r>
          </w:p>
        </w:tc>
        <w:tc>
          <w:tcPr>
            <w:tcW w:w="0" w:type="auto"/>
            <w:shd w:val="clear" w:color="auto" w:fill="auto"/>
          </w:tcPr>
          <w:p w14:paraId="549A90D6" w14:textId="77777777" w:rsidR="008C5CFA" w:rsidRPr="009C3005" w:rsidRDefault="00E82A60" w:rsidP="00300A01">
            <w:pPr>
              <w:pStyle w:val="Text1"/>
              <w:spacing w:before="0" w:after="0"/>
              <w:ind w:left="0"/>
              <w:jc w:val="right"/>
              <w:rPr>
                <w:sz w:val="12"/>
                <w:szCs w:val="12"/>
              </w:rPr>
            </w:pPr>
            <w:r w:rsidRPr="009C3005">
              <w:rPr>
                <w:noProof/>
                <w:sz w:val="12"/>
                <w:szCs w:val="12"/>
              </w:rPr>
              <w:t>4 323 822,32</w:t>
            </w:r>
          </w:p>
        </w:tc>
        <w:tc>
          <w:tcPr>
            <w:tcW w:w="0" w:type="auto"/>
            <w:shd w:val="clear" w:color="auto" w:fill="auto"/>
          </w:tcPr>
          <w:p w14:paraId="48B34E77" w14:textId="77777777" w:rsidR="008C5CFA" w:rsidRPr="009C3005" w:rsidRDefault="00E82A60" w:rsidP="00300A01">
            <w:pPr>
              <w:pStyle w:val="Text1"/>
              <w:spacing w:before="0" w:after="0"/>
              <w:ind w:left="0"/>
              <w:jc w:val="right"/>
              <w:rPr>
                <w:sz w:val="12"/>
                <w:szCs w:val="12"/>
              </w:rPr>
            </w:pPr>
            <w:r w:rsidRPr="009C3005">
              <w:rPr>
                <w:noProof/>
                <w:sz w:val="12"/>
                <w:szCs w:val="12"/>
              </w:rPr>
              <w:t>2 891 757,54</w:t>
            </w:r>
          </w:p>
        </w:tc>
        <w:tc>
          <w:tcPr>
            <w:tcW w:w="0" w:type="auto"/>
            <w:shd w:val="clear" w:color="auto" w:fill="auto"/>
          </w:tcPr>
          <w:p w14:paraId="21D5F436" w14:textId="77777777" w:rsidR="008C5CFA" w:rsidRPr="009C3005" w:rsidRDefault="00E82A60" w:rsidP="00300A01">
            <w:pPr>
              <w:pStyle w:val="Text1"/>
              <w:spacing w:before="0" w:after="0"/>
              <w:ind w:left="0"/>
              <w:jc w:val="right"/>
              <w:rPr>
                <w:sz w:val="12"/>
                <w:szCs w:val="12"/>
              </w:rPr>
            </w:pPr>
            <w:r w:rsidRPr="009C3005">
              <w:rPr>
                <w:noProof/>
                <w:sz w:val="12"/>
                <w:szCs w:val="12"/>
              </w:rPr>
              <w:t>3 481 098,21</w:t>
            </w:r>
          </w:p>
        </w:tc>
        <w:tc>
          <w:tcPr>
            <w:tcW w:w="0" w:type="auto"/>
            <w:shd w:val="clear" w:color="auto" w:fill="auto"/>
          </w:tcPr>
          <w:p w14:paraId="28069250" w14:textId="77777777" w:rsidR="008C5CFA" w:rsidRPr="009C3005" w:rsidRDefault="00E82A60" w:rsidP="00300A01">
            <w:pPr>
              <w:pStyle w:val="Text1"/>
              <w:spacing w:before="0" w:after="0"/>
              <w:ind w:left="0"/>
              <w:jc w:val="right"/>
              <w:rPr>
                <w:sz w:val="12"/>
                <w:szCs w:val="12"/>
              </w:rPr>
            </w:pPr>
            <w:r w:rsidRPr="009C3005">
              <w:rPr>
                <w:noProof/>
                <w:sz w:val="12"/>
                <w:szCs w:val="12"/>
              </w:rPr>
              <w:t>21</w:t>
            </w:r>
          </w:p>
        </w:tc>
      </w:tr>
      <w:tr w:rsidR="006B2EC1" w14:paraId="67FC940F" w14:textId="77777777" w:rsidTr="0047688D">
        <w:tc>
          <w:tcPr>
            <w:tcW w:w="0" w:type="auto"/>
            <w:shd w:val="clear" w:color="auto" w:fill="auto"/>
          </w:tcPr>
          <w:p w14:paraId="5314E754" w14:textId="77777777" w:rsidR="008C5CFA" w:rsidRPr="009C3005" w:rsidRDefault="00E82A60" w:rsidP="00300A01">
            <w:pPr>
              <w:pStyle w:val="Text1"/>
              <w:spacing w:before="0" w:after="0"/>
              <w:ind w:left="0"/>
              <w:rPr>
                <w:sz w:val="12"/>
                <w:szCs w:val="12"/>
              </w:rPr>
            </w:pPr>
            <w:r>
              <w:rPr>
                <w:noProof/>
                <w:sz w:val="14"/>
                <w:szCs w:val="14"/>
                <w:lang w:val="fr-BE"/>
              </w:rPr>
              <w:t>2</w:t>
            </w:r>
          </w:p>
        </w:tc>
        <w:tc>
          <w:tcPr>
            <w:tcW w:w="0" w:type="auto"/>
            <w:shd w:val="clear" w:color="auto" w:fill="auto"/>
          </w:tcPr>
          <w:p w14:paraId="63FB665E" w14:textId="77777777" w:rsidR="008C5CFA" w:rsidRPr="009C3005" w:rsidRDefault="00E82A60" w:rsidP="00300A01">
            <w:pPr>
              <w:pStyle w:val="Text1"/>
              <w:spacing w:before="0" w:after="0"/>
              <w:ind w:left="0"/>
              <w:rPr>
                <w:sz w:val="12"/>
                <w:szCs w:val="12"/>
              </w:rPr>
            </w:pPr>
            <w:r>
              <w:rPr>
                <w:noProof/>
                <w:sz w:val="12"/>
                <w:szCs w:val="12"/>
              </w:rPr>
              <w:t>EFRR</w:t>
            </w:r>
          </w:p>
        </w:tc>
        <w:tc>
          <w:tcPr>
            <w:tcW w:w="0" w:type="auto"/>
            <w:shd w:val="clear" w:color="auto" w:fill="auto"/>
          </w:tcPr>
          <w:p w14:paraId="3E9310B8" w14:textId="77777777" w:rsidR="008C5CFA" w:rsidRPr="009C3005" w:rsidRDefault="00E82A60" w:rsidP="00300A01">
            <w:pPr>
              <w:pStyle w:val="Text1"/>
              <w:spacing w:before="0" w:after="0"/>
              <w:ind w:left="0"/>
              <w:rPr>
                <w:sz w:val="12"/>
                <w:szCs w:val="12"/>
              </w:rPr>
            </w:pPr>
            <w:r>
              <w:rPr>
                <w:noProof/>
                <w:sz w:val="12"/>
                <w:szCs w:val="12"/>
              </w:rPr>
              <w:t>Słabiej rozwinięte</w:t>
            </w:r>
          </w:p>
        </w:tc>
        <w:tc>
          <w:tcPr>
            <w:tcW w:w="0" w:type="auto"/>
            <w:shd w:val="clear" w:color="auto" w:fill="auto"/>
          </w:tcPr>
          <w:p w14:paraId="2AF54441" w14:textId="77777777" w:rsidR="008C5CFA" w:rsidRPr="009C3005" w:rsidRDefault="00E82A60" w:rsidP="00300A01">
            <w:pPr>
              <w:pStyle w:val="Text1"/>
              <w:spacing w:before="0" w:after="0"/>
              <w:ind w:left="0"/>
              <w:rPr>
                <w:sz w:val="12"/>
                <w:szCs w:val="12"/>
              </w:rPr>
            </w:pPr>
            <w:r>
              <w:rPr>
                <w:noProof/>
                <w:sz w:val="12"/>
                <w:szCs w:val="12"/>
              </w:rPr>
              <w:t>001</w:t>
            </w:r>
          </w:p>
        </w:tc>
        <w:tc>
          <w:tcPr>
            <w:tcW w:w="0" w:type="auto"/>
            <w:shd w:val="clear" w:color="auto" w:fill="auto"/>
          </w:tcPr>
          <w:p w14:paraId="1E482A30"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51872C3B"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49B8C77F"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50CA3AD6" w14:textId="77777777" w:rsidR="008C5CFA" w:rsidRPr="009C3005" w:rsidRDefault="00E82A60" w:rsidP="00300A01">
            <w:pPr>
              <w:pStyle w:val="Text1"/>
              <w:spacing w:before="0" w:after="0"/>
              <w:ind w:left="0"/>
              <w:rPr>
                <w:sz w:val="12"/>
                <w:szCs w:val="12"/>
              </w:rPr>
            </w:pPr>
            <w:r>
              <w:rPr>
                <w:noProof/>
                <w:sz w:val="12"/>
                <w:szCs w:val="12"/>
              </w:rPr>
              <w:t>03</w:t>
            </w:r>
          </w:p>
        </w:tc>
        <w:tc>
          <w:tcPr>
            <w:tcW w:w="0" w:type="auto"/>
            <w:shd w:val="clear" w:color="auto" w:fill="auto"/>
          </w:tcPr>
          <w:p w14:paraId="79400C90" w14:textId="77777777" w:rsidR="008C5CFA" w:rsidRPr="009C3005" w:rsidRDefault="00E82A60" w:rsidP="00300A01">
            <w:pPr>
              <w:pStyle w:val="Text1"/>
              <w:spacing w:before="0" w:after="0"/>
              <w:ind w:left="0"/>
              <w:rPr>
                <w:sz w:val="12"/>
                <w:szCs w:val="12"/>
              </w:rPr>
            </w:pPr>
            <w:r>
              <w:rPr>
                <w:sz w:val="12"/>
                <w:szCs w:val="12"/>
              </w:rPr>
              <w:t xml:space="preserve"> </w:t>
            </w:r>
          </w:p>
        </w:tc>
        <w:tc>
          <w:tcPr>
            <w:tcW w:w="0" w:type="auto"/>
            <w:shd w:val="clear" w:color="auto" w:fill="auto"/>
          </w:tcPr>
          <w:p w14:paraId="292EF4F0" w14:textId="77777777" w:rsidR="008C5CFA" w:rsidRPr="009C3005" w:rsidRDefault="00E82A60" w:rsidP="00300A01">
            <w:pPr>
              <w:pStyle w:val="Text1"/>
              <w:spacing w:before="0" w:after="0"/>
              <w:ind w:left="0"/>
              <w:rPr>
                <w:sz w:val="12"/>
                <w:szCs w:val="12"/>
              </w:rPr>
            </w:pPr>
            <w:r>
              <w:rPr>
                <w:noProof/>
                <w:sz w:val="12"/>
                <w:szCs w:val="12"/>
              </w:rPr>
              <w:t>08</w:t>
            </w:r>
          </w:p>
        </w:tc>
        <w:tc>
          <w:tcPr>
            <w:tcW w:w="0" w:type="auto"/>
            <w:shd w:val="clear" w:color="auto" w:fill="auto"/>
          </w:tcPr>
          <w:p w14:paraId="09776226" w14:textId="77777777" w:rsidR="008C5CFA" w:rsidRPr="009C3005" w:rsidRDefault="00E82A60" w:rsidP="00300A01">
            <w:pPr>
              <w:pStyle w:val="Text1"/>
              <w:spacing w:before="0" w:after="0"/>
              <w:ind w:left="0"/>
              <w:rPr>
                <w:sz w:val="12"/>
                <w:szCs w:val="12"/>
              </w:rPr>
            </w:pPr>
            <w:r>
              <w:rPr>
                <w:noProof/>
                <w:sz w:val="12"/>
                <w:szCs w:val="12"/>
              </w:rPr>
              <w:t>PL33</w:t>
            </w:r>
          </w:p>
        </w:tc>
        <w:tc>
          <w:tcPr>
            <w:tcW w:w="0" w:type="auto"/>
            <w:shd w:val="clear" w:color="auto" w:fill="auto"/>
          </w:tcPr>
          <w:p w14:paraId="43FCFFCE" w14:textId="77777777" w:rsidR="008C5CFA" w:rsidRPr="009C3005" w:rsidRDefault="00E82A60" w:rsidP="00300A01">
            <w:pPr>
              <w:pStyle w:val="Text1"/>
              <w:spacing w:before="0" w:after="0"/>
              <w:ind w:left="0"/>
              <w:jc w:val="right"/>
              <w:rPr>
                <w:sz w:val="12"/>
                <w:szCs w:val="12"/>
              </w:rPr>
            </w:pPr>
            <w:r w:rsidRPr="009C3005">
              <w:rPr>
                <w:noProof/>
                <w:sz w:val="12"/>
                <w:szCs w:val="12"/>
              </w:rPr>
              <w:t>1 401 635,26</w:t>
            </w:r>
          </w:p>
        </w:tc>
        <w:tc>
          <w:tcPr>
            <w:tcW w:w="0" w:type="auto"/>
            <w:shd w:val="clear" w:color="auto" w:fill="auto"/>
          </w:tcPr>
          <w:p w14:paraId="5BEE5DEC" w14:textId="77777777" w:rsidR="008C5CFA" w:rsidRPr="009C3005" w:rsidRDefault="00E82A60" w:rsidP="00300A01">
            <w:pPr>
              <w:pStyle w:val="Text1"/>
              <w:spacing w:before="0" w:after="0"/>
              <w:ind w:left="0"/>
              <w:jc w:val="right"/>
              <w:rPr>
                <w:sz w:val="12"/>
                <w:szCs w:val="12"/>
              </w:rPr>
            </w:pPr>
            <w:r w:rsidRPr="009C3005">
              <w:rPr>
                <w:noProof/>
                <w:sz w:val="12"/>
                <w:szCs w:val="12"/>
              </w:rPr>
              <w:t>971 749,97</w:t>
            </w:r>
          </w:p>
        </w:tc>
        <w:tc>
          <w:tcPr>
            <w:tcW w:w="0" w:type="auto"/>
            <w:shd w:val="clear" w:color="auto" w:fill="auto"/>
          </w:tcPr>
          <w:p w14:paraId="629609A3" w14:textId="77777777" w:rsidR="008C5CFA" w:rsidRPr="009C3005" w:rsidRDefault="00E82A60" w:rsidP="00300A01">
            <w:pPr>
              <w:pStyle w:val="Text1"/>
              <w:spacing w:before="0" w:after="0"/>
              <w:ind w:left="0"/>
              <w:jc w:val="right"/>
              <w:rPr>
                <w:sz w:val="12"/>
                <w:szCs w:val="12"/>
              </w:rPr>
            </w:pPr>
            <w:r w:rsidRPr="009C3005">
              <w:rPr>
                <w:noProof/>
                <w:sz w:val="12"/>
                <w:szCs w:val="12"/>
              </w:rPr>
              <w:t>1 096 201,53</w:t>
            </w:r>
          </w:p>
        </w:tc>
        <w:tc>
          <w:tcPr>
            <w:tcW w:w="0" w:type="auto"/>
            <w:shd w:val="clear" w:color="auto" w:fill="auto"/>
          </w:tcPr>
          <w:p w14:paraId="30FCA96D" w14:textId="77777777" w:rsidR="008C5CFA" w:rsidRPr="009C3005" w:rsidRDefault="00E82A60" w:rsidP="00300A01">
            <w:pPr>
              <w:pStyle w:val="Text1"/>
              <w:spacing w:before="0" w:after="0"/>
              <w:ind w:left="0"/>
              <w:jc w:val="right"/>
              <w:rPr>
                <w:sz w:val="12"/>
                <w:szCs w:val="12"/>
              </w:rPr>
            </w:pPr>
            <w:r w:rsidRPr="009C3005">
              <w:rPr>
                <w:noProof/>
                <w:sz w:val="12"/>
                <w:szCs w:val="12"/>
              </w:rPr>
              <w:t>7</w:t>
            </w:r>
          </w:p>
        </w:tc>
      </w:tr>
      <w:tr w:rsidR="006B2EC1" w14:paraId="4FEF17E2" w14:textId="77777777" w:rsidTr="0047688D">
        <w:tc>
          <w:tcPr>
            <w:tcW w:w="0" w:type="auto"/>
            <w:shd w:val="clear" w:color="auto" w:fill="auto"/>
          </w:tcPr>
          <w:p w14:paraId="5FC8FF01" w14:textId="77777777" w:rsidR="008C5CFA" w:rsidRPr="009C3005" w:rsidRDefault="00E82A60" w:rsidP="00300A01">
            <w:pPr>
              <w:pStyle w:val="Text1"/>
              <w:spacing w:before="0" w:after="0"/>
              <w:ind w:left="0"/>
              <w:rPr>
                <w:sz w:val="12"/>
                <w:szCs w:val="12"/>
              </w:rPr>
            </w:pPr>
            <w:r>
              <w:rPr>
                <w:noProof/>
                <w:sz w:val="14"/>
                <w:szCs w:val="14"/>
                <w:lang w:val="fr-BE"/>
              </w:rPr>
              <w:t>2</w:t>
            </w:r>
          </w:p>
        </w:tc>
        <w:tc>
          <w:tcPr>
            <w:tcW w:w="0" w:type="auto"/>
            <w:shd w:val="clear" w:color="auto" w:fill="auto"/>
          </w:tcPr>
          <w:p w14:paraId="3CEBB75C" w14:textId="77777777" w:rsidR="008C5CFA" w:rsidRPr="009C3005" w:rsidRDefault="00E82A60" w:rsidP="00300A01">
            <w:pPr>
              <w:pStyle w:val="Text1"/>
              <w:spacing w:before="0" w:after="0"/>
              <w:ind w:left="0"/>
              <w:rPr>
                <w:sz w:val="12"/>
                <w:szCs w:val="12"/>
              </w:rPr>
            </w:pPr>
            <w:r>
              <w:rPr>
                <w:noProof/>
                <w:sz w:val="12"/>
                <w:szCs w:val="12"/>
              </w:rPr>
              <w:t>EFRR</w:t>
            </w:r>
          </w:p>
        </w:tc>
        <w:tc>
          <w:tcPr>
            <w:tcW w:w="0" w:type="auto"/>
            <w:shd w:val="clear" w:color="auto" w:fill="auto"/>
          </w:tcPr>
          <w:p w14:paraId="39E610C6" w14:textId="77777777" w:rsidR="008C5CFA" w:rsidRPr="009C3005" w:rsidRDefault="00E82A60" w:rsidP="00300A01">
            <w:pPr>
              <w:pStyle w:val="Text1"/>
              <w:spacing w:before="0" w:after="0"/>
              <w:ind w:left="0"/>
              <w:rPr>
                <w:sz w:val="12"/>
                <w:szCs w:val="12"/>
              </w:rPr>
            </w:pPr>
            <w:r>
              <w:rPr>
                <w:noProof/>
                <w:sz w:val="12"/>
                <w:szCs w:val="12"/>
              </w:rPr>
              <w:t>Słabiej rozwinięte</w:t>
            </w:r>
          </w:p>
        </w:tc>
        <w:tc>
          <w:tcPr>
            <w:tcW w:w="0" w:type="auto"/>
            <w:shd w:val="clear" w:color="auto" w:fill="auto"/>
          </w:tcPr>
          <w:p w14:paraId="4A1E594A" w14:textId="77777777" w:rsidR="008C5CFA" w:rsidRPr="009C3005" w:rsidRDefault="00E82A60" w:rsidP="00300A01">
            <w:pPr>
              <w:pStyle w:val="Text1"/>
              <w:spacing w:before="0" w:after="0"/>
              <w:ind w:left="0"/>
              <w:rPr>
                <w:sz w:val="12"/>
                <w:szCs w:val="12"/>
              </w:rPr>
            </w:pPr>
            <w:r>
              <w:rPr>
                <w:noProof/>
                <w:sz w:val="12"/>
                <w:szCs w:val="12"/>
              </w:rPr>
              <w:t>001</w:t>
            </w:r>
          </w:p>
        </w:tc>
        <w:tc>
          <w:tcPr>
            <w:tcW w:w="0" w:type="auto"/>
            <w:shd w:val="clear" w:color="auto" w:fill="auto"/>
          </w:tcPr>
          <w:p w14:paraId="0954522A"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02E0C66A"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042889FB"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224221E1" w14:textId="77777777" w:rsidR="008C5CFA" w:rsidRPr="009C3005" w:rsidRDefault="00E82A60" w:rsidP="00300A01">
            <w:pPr>
              <w:pStyle w:val="Text1"/>
              <w:spacing w:before="0" w:after="0"/>
              <w:ind w:left="0"/>
              <w:rPr>
                <w:sz w:val="12"/>
                <w:szCs w:val="12"/>
              </w:rPr>
            </w:pPr>
            <w:r>
              <w:rPr>
                <w:noProof/>
                <w:sz w:val="12"/>
                <w:szCs w:val="12"/>
              </w:rPr>
              <w:t>03</w:t>
            </w:r>
          </w:p>
        </w:tc>
        <w:tc>
          <w:tcPr>
            <w:tcW w:w="0" w:type="auto"/>
            <w:shd w:val="clear" w:color="auto" w:fill="auto"/>
          </w:tcPr>
          <w:p w14:paraId="5E1A67FA" w14:textId="77777777" w:rsidR="008C5CFA" w:rsidRPr="009C3005" w:rsidRDefault="00E82A60" w:rsidP="00300A01">
            <w:pPr>
              <w:pStyle w:val="Text1"/>
              <w:spacing w:before="0" w:after="0"/>
              <w:ind w:left="0"/>
              <w:rPr>
                <w:sz w:val="12"/>
                <w:szCs w:val="12"/>
              </w:rPr>
            </w:pPr>
            <w:r>
              <w:rPr>
                <w:sz w:val="12"/>
                <w:szCs w:val="12"/>
              </w:rPr>
              <w:t xml:space="preserve"> </w:t>
            </w:r>
          </w:p>
        </w:tc>
        <w:tc>
          <w:tcPr>
            <w:tcW w:w="0" w:type="auto"/>
            <w:shd w:val="clear" w:color="auto" w:fill="auto"/>
          </w:tcPr>
          <w:p w14:paraId="3613DC11" w14:textId="77777777" w:rsidR="008C5CFA" w:rsidRPr="009C3005" w:rsidRDefault="00E82A60" w:rsidP="00300A01">
            <w:pPr>
              <w:pStyle w:val="Text1"/>
              <w:spacing w:before="0" w:after="0"/>
              <w:ind w:left="0"/>
              <w:rPr>
                <w:sz w:val="12"/>
                <w:szCs w:val="12"/>
              </w:rPr>
            </w:pPr>
            <w:r>
              <w:rPr>
                <w:noProof/>
                <w:sz w:val="12"/>
                <w:szCs w:val="12"/>
              </w:rPr>
              <w:t>13</w:t>
            </w:r>
          </w:p>
        </w:tc>
        <w:tc>
          <w:tcPr>
            <w:tcW w:w="0" w:type="auto"/>
            <w:shd w:val="clear" w:color="auto" w:fill="auto"/>
          </w:tcPr>
          <w:p w14:paraId="32EE4C19" w14:textId="77777777" w:rsidR="008C5CFA" w:rsidRPr="009C3005" w:rsidRDefault="00E82A60" w:rsidP="00300A01">
            <w:pPr>
              <w:pStyle w:val="Text1"/>
              <w:spacing w:before="0" w:after="0"/>
              <w:ind w:left="0"/>
              <w:rPr>
                <w:sz w:val="12"/>
                <w:szCs w:val="12"/>
              </w:rPr>
            </w:pPr>
            <w:r>
              <w:rPr>
                <w:noProof/>
                <w:sz w:val="12"/>
                <w:szCs w:val="12"/>
              </w:rPr>
              <w:t>PL33</w:t>
            </w:r>
          </w:p>
        </w:tc>
        <w:tc>
          <w:tcPr>
            <w:tcW w:w="0" w:type="auto"/>
            <w:shd w:val="clear" w:color="auto" w:fill="auto"/>
          </w:tcPr>
          <w:p w14:paraId="7AEA1F57" w14:textId="77777777" w:rsidR="008C5CFA" w:rsidRPr="009C3005" w:rsidRDefault="00E82A60" w:rsidP="00300A01">
            <w:pPr>
              <w:pStyle w:val="Text1"/>
              <w:spacing w:before="0" w:after="0"/>
              <w:ind w:left="0"/>
              <w:jc w:val="right"/>
              <w:rPr>
                <w:sz w:val="12"/>
                <w:szCs w:val="12"/>
              </w:rPr>
            </w:pPr>
            <w:r w:rsidRPr="009C3005">
              <w:rPr>
                <w:noProof/>
                <w:sz w:val="12"/>
                <w:szCs w:val="12"/>
              </w:rPr>
              <w:t>167 334,93</w:t>
            </w:r>
          </w:p>
        </w:tc>
        <w:tc>
          <w:tcPr>
            <w:tcW w:w="0" w:type="auto"/>
            <w:shd w:val="clear" w:color="auto" w:fill="auto"/>
          </w:tcPr>
          <w:p w14:paraId="02C138A8" w14:textId="77777777" w:rsidR="008C5CFA" w:rsidRPr="009C3005" w:rsidRDefault="00E82A60" w:rsidP="00300A01">
            <w:pPr>
              <w:pStyle w:val="Text1"/>
              <w:spacing w:before="0" w:after="0"/>
              <w:ind w:left="0"/>
              <w:jc w:val="right"/>
              <w:rPr>
                <w:sz w:val="12"/>
                <w:szCs w:val="12"/>
              </w:rPr>
            </w:pPr>
            <w:r w:rsidRPr="009C3005">
              <w:rPr>
                <w:noProof/>
                <w:sz w:val="12"/>
                <w:szCs w:val="12"/>
              </w:rPr>
              <w:t>133 867,95</w:t>
            </w:r>
          </w:p>
        </w:tc>
        <w:tc>
          <w:tcPr>
            <w:tcW w:w="0" w:type="auto"/>
            <w:shd w:val="clear" w:color="auto" w:fill="auto"/>
          </w:tcPr>
          <w:p w14:paraId="49A735CF" w14:textId="77777777" w:rsidR="008C5CFA" w:rsidRPr="009C3005" w:rsidRDefault="00E82A60" w:rsidP="00300A01">
            <w:pPr>
              <w:pStyle w:val="Text1"/>
              <w:spacing w:before="0" w:after="0"/>
              <w:ind w:left="0"/>
              <w:jc w:val="right"/>
              <w:rPr>
                <w:sz w:val="12"/>
                <w:szCs w:val="12"/>
              </w:rPr>
            </w:pPr>
            <w:r w:rsidRPr="009C3005">
              <w:rPr>
                <w:noProof/>
                <w:sz w:val="12"/>
                <w:szCs w:val="12"/>
              </w:rPr>
              <w:t>140 671,83</w:t>
            </w:r>
          </w:p>
        </w:tc>
        <w:tc>
          <w:tcPr>
            <w:tcW w:w="0" w:type="auto"/>
            <w:shd w:val="clear" w:color="auto" w:fill="auto"/>
          </w:tcPr>
          <w:p w14:paraId="2EC8298F" w14:textId="77777777" w:rsidR="008C5CFA" w:rsidRPr="009C3005" w:rsidRDefault="00E82A60" w:rsidP="00300A01">
            <w:pPr>
              <w:pStyle w:val="Text1"/>
              <w:spacing w:before="0" w:after="0"/>
              <w:ind w:left="0"/>
              <w:jc w:val="right"/>
              <w:rPr>
                <w:sz w:val="12"/>
                <w:szCs w:val="12"/>
              </w:rPr>
            </w:pPr>
            <w:r w:rsidRPr="009C3005">
              <w:rPr>
                <w:noProof/>
                <w:sz w:val="12"/>
                <w:szCs w:val="12"/>
              </w:rPr>
              <w:t>1</w:t>
            </w:r>
          </w:p>
        </w:tc>
      </w:tr>
      <w:tr w:rsidR="006B2EC1" w14:paraId="424CA8DE" w14:textId="77777777" w:rsidTr="0047688D">
        <w:tc>
          <w:tcPr>
            <w:tcW w:w="0" w:type="auto"/>
            <w:shd w:val="clear" w:color="auto" w:fill="auto"/>
          </w:tcPr>
          <w:p w14:paraId="22741724" w14:textId="77777777" w:rsidR="008C5CFA" w:rsidRPr="009C3005" w:rsidRDefault="00E82A60" w:rsidP="00300A01">
            <w:pPr>
              <w:pStyle w:val="Text1"/>
              <w:spacing w:before="0" w:after="0"/>
              <w:ind w:left="0"/>
              <w:rPr>
                <w:sz w:val="12"/>
                <w:szCs w:val="12"/>
              </w:rPr>
            </w:pPr>
            <w:r>
              <w:rPr>
                <w:noProof/>
                <w:sz w:val="14"/>
                <w:szCs w:val="14"/>
                <w:lang w:val="fr-BE"/>
              </w:rPr>
              <w:t>2</w:t>
            </w:r>
          </w:p>
        </w:tc>
        <w:tc>
          <w:tcPr>
            <w:tcW w:w="0" w:type="auto"/>
            <w:shd w:val="clear" w:color="auto" w:fill="auto"/>
          </w:tcPr>
          <w:p w14:paraId="5AA871FB" w14:textId="77777777" w:rsidR="008C5CFA" w:rsidRPr="009C3005" w:rsidRDefault="00E82A60" w:rsidP="00300A01">
            <w:pPr>
              <w:pStyle w:val="Text1"/>
              <w:spacing w:before="0" w:after="0"/>
              <w:ind w:left="0"/>
              <w:rPr>
                <w:sz w:val="12"/>
                <w:szCs w:val="12"/>
              </w:rPr>
            </w:pPr>
            <w:r>
              <w:rPr>
                <w:noProof/>
                <w:sz w:val="12"/>
                <w:szCs w:val="12"/>
              </w:rPr>
              <w:t>EFRR</w:t>
            </w:r>
          </w:p>
        </w:tc>
        <w:tc>
          <w:tcPr>
            <w:tcW w:w="0" w:type="auto"/>
            <w:shd w:val="clear" w:color="auto" w:fill="auto"/>
          </w:tcPr>
          <w:p w14:paraId="0B2982FA" w14:textId="77777777" w:rsidR="008C5CFA" w:rsidRPr="009C3005" w:rsidRDefault="00E82A60" w:rsidP="00300A01">
            <w:pPr>
              <w:pStyle w:val="Text1"/>
              <w:spacing w:before="0" w:after="0"/>
              <w:ind w:left="0"/>
              <w:rPr>
                <w:sz w:val="12"/>
                <w:szCs w:val="12"/>
              </w:rPr>
            </w:pPr>
            <w:r>
              <w:rPr>
                <w:noProof/>
                <w:sz w:val="12"/>
                <w:szCs w:val="12"/>
              </w:rPr>
              <w:t>Słabiej rozwinięte</w:t>
            </w:r>
          </w:p>
        </w:tc>
        <w:tc>
          <w:tcPr>
            <w:tcW w:w="0" w:type="auto"/>
            <w:shd w:val="clear" w:color="auto" w:fill="auto"/>
          </w:tcPr>
          <w:p w14:paraId="52926DA9" w14:textId="77777777" w:rsidR="008C5CFA" w:rsidRPr="009C3005" w:rsidRDefault="00E82A60" w:rsidP="00300A01">
            <w:pPr>
              <w:pStyle w:val="Text1"/>
              <w:spacing w:before="0" w:after="0"/>
              <w:ind w:left="0"/>
              <w:rPr>
                <w:sz w:val="12"/>
                <w:szCs w:val="12"/>
              </w:rPr>
            </w:pPr>
            <w:r>
              <w:rPr>
                <w:noProof/>
                <w:sz w:val="12"/>
                <w:szCs w:val="12"/>
              </w:rPr>
              <w:t>001</w:t>
            </w:r>
          </w:p>
        </w:tc>
        <w:tc>
          <w:tcPr>
            <w:tcW w:w="0" w:type="auto"/>
            <w:shd w:val="clear" w:color="auto" w:fill="auto"/>
          </w:tcPr>
          <w:p w14:paraId="5685D91D"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67E71CE0"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284BBA6F"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7C3BEDDE" w14:textId="77777777" w:rsidR="008C5CFA" w:rsidRPr="009C3005" w:rsidRDefault="00E82A60" w:rsidP="00300A01">
            <w:pPr>
              <w:pStyle w:val="Text1"/>
              <w:spacing w:before="0" w:after="0"/>
              <w:ind w:left="0"/>
              <w:rPr>
                <w:sz w:val="12"/>
                <w:szCs w:val="12"/>
              </w:rPr>
            </w:pPr>
            <w:r>
              <w:rPr>
                <w:noProof/>
                <w:sz w:val="12"/>
                <w:szCs w:val="12"/>
              </w:rPr>
              <w:t>03</w:t>
            </w:r>
          </w:p>
        </w:tc>
        <w:tc>
          <w:tcPr>
            <w:tcW w:w="0" w:type="auto"/>
            <w:shd w:val="clear" w:color="auto" w:fill="auto"/>
          </w:tcPr>
          <w:p w14:paraId="22214AAC" w14:textId="77777777" w:rsidR="008C5CFA" w:rsidRPr="009C3005" w:rsidRDefault="00E82A60" w:rsidP="00300A01">
            <w:pPr>
              <w:pStyle w:val="Text1"/>
              <w:spacing w:before="0" w:after="0"/>
              <w:ind w:left="0"/>
              <w:rPr>
                <w:sz w:val="12"/>
                <w:szCs w:val="12"/>
              </w:rPr>
            </w:pPr>
            <w:r>
              <w:rPr>
                <w:sz w:val="12"/>
                <w:szCs w:val="12"/>
              </w:rPr>
              <w:t xml:space="preserve"> </w:t>
            </w:r>
          </w:p>
        </w:tc>
        <w:tc>
          <w:tcPr>
            <w:tcW w:w="0" w:type="auto"/>
            <w:shd w:val="clear" w:color="auto" w:fill="auto"/>
          </w:tcPr>
          <w:p w14:paraId="723A670C" w14:textId="77777777" w:rsidR="008C5CFA" w:rsidRPr="009C3005" w:rsidRDefault="00E82A60" w:rsidP="00300A01">
            <w:pPr>
              <w:pStyle w:val="Text1"/>
              <w:spacing w:before="0" w:after="0"/>
              <w:ind w:left="0"/>
              <w:rPr>
                <w:sz w:val="12"/>
                <w:szCs w:val="12"/>
              </w:rPr>
            </w:pPr>
            <w:r>
              <w:rPr>
                <w:noProof/>
                <w:sz w:val="12"/>
                <w:szCs w:val="12"/>
              </w:rPr>
              <w:t>14</w:t>
            </w:r>
          </w:p>
        </w:tc>
        <w:tc>
          <w:tcPr>
            <w:tcW w:w="0" w:type="auto"/>
            <w:shd w:val="clear" w:color="auto" w:fill="auto"/>
          </w:tcPr>
          <w:p w14:paraId="45902AE6" w14:textId="77777777" w:rsidR="008C5CFA" w:rsidRPr="009C3005" w:rsidRDefault="00E82A60" w:rsidP="00300A01">
            <w:pPr>
              <w:pStyle w:val="Text1"/>
              <w:spacing w:before="0" w:after="0"/>
              <w:ind w:left="0"/>
              <w:rPr>
                <w:sz w:val="12"/>
                <w:szCs w:val="12"/>
              </w:rPr>
            </w:pPr>
            <w:r>
              <w:rPr>
                <w:noProof/>
                <w:sz w:val="12"/>
                <w:szCs w:val="12"/>
              </w:rPr>
              <w:t>PL33</w:t>
            </w:r>
          </w:p>
        </w:tc>
        <w:tc>
          <w:tcPr>
            <w:tcW w:w="0" w:type="auto"/>
            <w:shd w:val="clear" w:color="auto" w:fill="auto"/>
          </w:tcPr>
          <w:p w14:paraId="46CA96FD" w14:textId="77777777" w:rsidR="008C5CFA" w:rsidRPr="009C3005" w:rsidRDefault="00E82A60" w:rsidP="00300A01">
            <w:pPr>
              <w:pStyle w:val="Text1"/>
              <w:spacing w:before="0" w:after="0"/>
              <w:ind w:left="0"/>
              <w:jc w:val="right"/>
              <w:rPr>
                <w:sz w:val="12"/>
                <w:szCs w:val="12"/>
              </w:rPr>
            </w:pPr>
            <w:r w:rsidRPr="009C3005">
              <w:rPr>
                <w:noProof/>
                <w:sz w:val="12"/>
                <w:szCs w:val="12"/>
              </w:rPr>
              <w:t>175 018,21</w:t>
            </w:r>
          </w:p>
        </w:tc>
        <w:tc>
          <w:tcPr>
            <w:tcW w:w="0" w:type="auto"/>
            <w:shd w:val="clear" w:color="auto" w:fill="auto"/>
          </w:tcPr>
          <w:p w14:paraId="650F5527" w14:textId="77777777" w:rsidR="008C5CFA" w:rsidRPr="009C3005" w:rsidRDefault="00E82A60" w:rsidP="00300A01">
            <w:pPr>
              <w:pStyle w:val="Text1"/>
              <w:spacing w:before="0" w:after="0"/>
              <w:ind w:left="0"/>
              <w:jc w:val="right"/>
              <w:rPr>
                <w:sz w:val="12"/>
                <w:szCs w:val="12"/>
              </w:rPr>
            </w:pPr>
            <w:r w:rsidRPr="009C3005">
              <w:rPr>
                <w:noProof/>
                <w:sz w:val="12"/>
                <w:szCs w:val="12"/>
              </w:rPr>
              <w:t>140 014,57</w:t>
            </w:r>
          </w:p>
        </w:tc>
        <w:tc>
          <w:tcPr>
            <w:tcW w:w="0" w:type="auto"/>
            <w:shd w:val="clear" w:color="auto" w:fill="auto"/>
          </w:tcPr>
          <w:p w14:paraId="1842B2EE" w14:textId="77777777" w:rsidR="008C5CFA" w:rsidRPr="009C3005" w:rsidRDefault="00E82A60" w:rsidP="00300A01">
            <w:pPr>
              <w:pStyle w:val="Text1"/>
              <w:spacing w:before="0" w:after="0"/>
              <w:ind w:left="0"/>
              <w:jc w:val="right"/>
              <w:rPr>
                <w:sz w:val="12"/>
                <w:szCs w:val="12"/>
              </w:rPr>
            </w:pPr>
            <w:r w:rsidRPr="009C3005">
              <w:rPr>
                <w:noProof/>
                <w:sz w:val="12"/>
                <w:szCs w:val="12"/>
              </w:rPr>
              <w:t>130 582,78</w:t>
            </w:r>
          </w:p>
        </w:tc>
        <w:tc>
          <w:tcPr>
            <w:tcW w:w="0" w:type="auto"/>
            <w:shd w:val="clear" w:color="auto" w:fill="auto"/>
          </w:tcPr>
          <w:p w14:paraId="51D70E4E" w14:textId="77777777" w:rsidR="008C5CFA" w:rsidRPr="009C3005" w:rsidRDefault="00E82A60" w:rsidP="00300A01">
            <w:pPr>
              <w:pStyle w:val="Text1"/>
              <w:spacing w:before="0" w:after="0"/>
              <w:ind w:left="0"/>
              <w:jc w:val="right"/>
              <w:rPr>
                <w:sz w:val="12"/>
                <w:szCs w:val="12"/>
              </w:rPr>
            </w:pPr>
            <w:r w:rsidRPr="009C3005">
              <w:rPr>
                <w:noProof/>
                <w:sz w:val="12"/>
                <w:szCs w:val="12"/>
              </w:rPr>
              <w:t>1</w:t>
            </w:r>
          </w:p>
        </w:tc>
      </w:tr>
      <w:tr w:rsidR="006B2EC1" w14:paraId="48C30FEA" w14:textId="77777777" w:rsidTr="0047688D">
        <w:tc>
          <w:tcPr>
            <w:tcW w:w="0" w:type="auto"/>
            <w:shd w:val="clear" w:color="auto" w:fill="auto"/>
          </w:tcPr>
          <w:p w14:paraId="11F72105" w14:textId="77777777" w:rsidR="008C5CFA" w:rsidRPr="009C3005" w:rsidRDefault="00E82A60" w:rsidP="00300A01">
            <w:pPr>
              <w:pStyle w:val="Text1"/>
              <w:spacing w:before="0" w:after="0"/>
              <w:ind w:left="0"/>
              <w:rPr>
                <w:sz w:val="12"/>
                <w:szCs w:val="12"/>
              </w:rPr>
            </w:pPr>
            <w:r>
              <w:rPr>
                <w:noProof/>
                <w:sz w:val="14"/>
                <w:szCs w:val="14"/>
                <w:lang w:val="fr-BE"/>
              </w:rPr>
              <w:t>2</w:t>
            </w:r>
          </w:p>
        </w:tc>
        <w:tc>
          <w:tcPr>
            <w:tcW w:w="0" w:type="auto"/>
            <w:shd w:val="clear" w:color="auto" w:fill="auto"/>
          </w:tcPr>
          <w:p w14:paraId="50BA8486" w14:textId="77777777" w:rsidR="008C5CFA" w:rsidRPr="009C3005" w:rsidRDefault="00E82A60" w:rsidP="00300A01">
            <w:pPr>
              <w:pStyle w:val="Text1"/>
              <w:spacing w:before="0" w:after="0"/>
              <w:ind w:left="0"/>
              <w:rPr>
                <w:sz w:val="12"/>
                <w:szCs w:val="12"/>
              </w:rPr>
            </w:pPr>
            <w:r>
              <w:rPr>
                <w:noProof/>
                <w:sz w:val="12"/>
                <w:szCs w:val="12"/>
              </w:rPr>
              <w:t>EFRR</w:t>
            </w:r>
          </w:p>
        </w:tc>
        <w:tc>
          <w:tcPr>
            <w:tcW w:w="0" w:type="auto"/>
            <w:shd w:val="clear" w:color="auto" w:fill="auto"/>
          </w:tcPr>
          <w:p w14:paraId="1E7ADC01" w14:textId="77777777" w:rsidR="008C5CFA" w:rsidRPr="009C3005" w:rsidRDefault="00E82A60" w:rsidP="00300A01">
            <w:pPr>
              <w:pStyle w:val="Text1"/>
              <w:spacing w:before="0" w:after="0"/>
              <w:ind w:left="0"/>
              <w:rPr>
                <w:sz w:val="12"/>
                <w:szCs w:val="12"/>
              </w:rPr>
            </w:pPr>
            <w:r>
              <w:rPr>
                <w:noProof/>
                <w:sz w:val="12"/>
                <w:szCs w:val="12"/>
              </w:rPr>
              <w:t>Słabiej rozwinięte</w:t>
            </w:r>
          </w:p>
        </w:tc>
        <w:tc>
          <w:tcPr>
            <w:tcW w:w="0" w:type="auto"/>
            <w:shd w:val="clear" w:color="auto" w:fill="auto"/>
          </w:tcPr>
          <w:p w14:paraId="6A56C53D" w14:textId="77777777" w:rsidR="008C5CFA" w:rsidRPr="009C3005" w:rsidRDefault="00E82A60" w:rsidP="00300A01">
            <w:pPr>
              <w:pStyle w:val="Text1"/>
              <w:spacing w:before="0" w:after="0"/>
              <w:ind w:left="0"/>
              <w:rPr>
                <w:sz w:val="12"/>
                <w:szCs w:val="12"/>
              </w:rPr>
            </w:pPr>
            <w:r>
              <w:rPr>
                <w:noProof/>
                <w:sz w:val="12"/>
                <w:szCs w:val="12"/>
              </w:rPr>
              <w:t>001</w:t>
            </w:r>
          </w:p>
        </w:tc>
        <w:tc>
          <w:tcPr>
            <w:tcW w:w="0" w:type="auto"/>
            <w:shd w:val="clear" w:color="auto" w:fill="auto"/>
          </w:tcPr>
          <w:p w14:paraId="1DD99BD0"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403B4E8F"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3E418F2D"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741E9945" w14:textId="77777777" w:rsidR="008C5CFA" w:rsidRPr="009C3005" w:rsidRDefault="00E82A60" w:rsidP="00300A01">
            <w:pPr>
              <w:pStyle w:val="Text1"/>
              <w:spacing w:before="0" w:after="0"/>
              <w:ind w:left="0"/>
              <w:rPr>
                <w:sz w:val="12"/>
                <w:szCs w:val="12"/>
              </w:rPr>
            </w:pPr>
            <w:r>
              <w:rPr>
                <w:noProof/>
                <w:sz w:val="12"/>
                <w:szCs w:val="12"/>
              </w:rPr>
              <w:t>03</w:t>
            </w:r>
          </w:p>
        </w:tc>
        <w:tc>
          <w:tcPr>
            <w:tcW w:w="0" w:type="auto"/>
            <w:shd w:val="clear" w:color="auto" w:fill="auto"/>
          </w:tcPr>
          <w:p w14:paraId="54EAE9CC" w14:textId="77777777" w:rsidR="008C5CFA" w:rsidRPr="009C3005" w:rsidRDefault="00E82A60" w:rsidP="00300A01">
            <w:pPr>
              <w:pStyle w:val="Text1"/>
              <w:spacing w:before="0" w:after="0"/>
              <w:ind w:left="0"/>
              <w:rPr>
                <w:sz w:val="12"/>
                <w:szCs w:val="12"/>
              </w:rPr>
            </w:pPr>
            <w:r>
              <w:rPr>
                <w:sz w:val="12"/>
                <w:szCs w:val="12"/>
              </w:rPr>
              <w:t xml:space="preserve"> </w:t>
            </w:r>
          </w:p>
        </w:tc>
        <w:tc>
          <w:tcPr>
            <w:tcW w:w="0" w:type="auto"/>
            <w:shd w:val="clear" w:color="auto" w:fill="auto"/>
          </w:tcPr>
          <w:p w14:paraId="53180928" w14:textId="77777777" w:rsidR="008C5CFA" w:rsidRPr="009C3005" w:rsidRDefault="00E82A60" w:rsidP="00300A01">
            <w:pPr>
              <w:pStyle w:val="Text1"/>
              <w:spacing w:before="0" w:after="0"/>
              <w:ind w:left="0"/>
              <w:rPr>
                <w:sz w:val="12"/>
                <w:szCs w:val="12"/>
              </w:rPr>
            </w:pPr>
            <w:r>
              <w:rPr>
                <w:noProof/>
                <w:sz w:val="12"/>
                <w:szCs w:val="12"/>
              </w:rPr>
              <w:t>15</w:t>
            </w:r>
          </w:p>
        </w:tc>
        <w:tc>
          <w:tcPr>
            <w:tcW w:w="0" w:type="auto"/>
            <w:shd w:val="clear" w:color="auto" w:fill="auto"/>
          </w:tcPr>
          <w:p w14:paraId="5C241966" w14:textId="77777777" w:rsidR="008C5CFA" w:rsidRPr="009C3005" w:rsidRDefault="00E82A60" w:rsidP="00300A01">
            <w:pPr>
              <w:pStyle w:val="Text1"/>
              <w:spacing w:before="0" w:after="0"/>
              <w:ind w:left="0"/>
              <w:rPr>
                <w:sz w:val="12"/>
                <w:szCs w:val="12"/>
              </w:rPr>
            </w:pPr>
            <w:r>
              <w:rPr>
                <w:noProof/>
                <w:sz w:val="12"/>
                <w:szCs w:val="12"/>
              </w:rPr>
              <w:t>PL33</w:t>
            </w:r>
          </w:p>
        </w:tc>
        <w:tc>
          <w:tcPr>
            <w:tcW w:w="0" w:type="auto"/>
            <w:shd w:val="clear" w:color="auto" w:fill="auto"/>
          </w:tcPr>
          <w:p w14:paraId="6FEF3E09" w14:textId="77777777" w:rsidR="008C5CFA" w:rsidRPr="009C3005" w:rsidRDefault="00E82A60" w:rsidP="00300A01">
            <w:pPr>
              <w:pStyle w:val="Text1"/>
              <w:spacing w:before="0" w:after="0"/>
              <w:ind w:left="0"/>
              <w:jc w:val="right"/>
              <w:rPr>
                <w:sz w:val="12"/>
                <w:szCs w:val="12"/>
              </w:rPr>
            </w:pPr>
            <w:r w:rsidRPr="009C3005">
              <w:rPr>
                <w:noProof/>
                <w:sz w:val="12"/>
                <w:szCs w:val="12"/>
              </w:rPr>
              <w:t>154 688,74</w:t>
            </w:r>
          </w:p>
        </w:tc>
        <w:tc>
          <w:tcPr>
            <w:tcW w:w="0" w:type="auto"/>
            <w:shd w:val="clear" w:color="auto" w:fill="auto"/>
          </w:tcPr>
          <w:p w14:paraId="482BD342" w14:textId="77777777" w:rsidR="008C5CFA" w:rsidRPr="009C3005" w:rsidRDefault="00E82A60" w:rsidP="00300A01">
            <w:pPr>
              <w:pStyle w:val="Text1"/>
              <w:spacing w:before="0" w:after="0"/>
              <w:ind w:left="0"/>
              <w:jc w:val="right"/>
              <w:rPr>
                <w:sz w:val="12"/>
                <w:szCs w:val="12"/>
              </w:rPr>
            </w:pPr>
            <w:r w:rsidRPr="009C3005">
              <w:rPr>
                <w:noProof/>
                <w:sz w:val="12"/>
                <w:szCs w:val="12"/>
              </w:rPr>
              <w:t>123 750,99</w:t>
            </w:r>
          </w:p>
        </w:tc>
        <w:tc>
          <w:tcPr>
            <w:tcW w:w="0" w:type="auto"/>
            <w:shd w:val="clear" w:color="auto" w:fill="auto"/>
          </w:tcPr>
          <w:p w14:paraId="54546BB5" w14:textId="77777777" w:rsidR="008C5CFA" w:rsidRPr="009C3005" w:rsidRDefault="00E82A60" w:rsidP="00300A01">
            <w:pPr>
              <w:pStyle w:val="Text1"/>
              <w:spacing w:before="0" w:after="0"/>
              <w:ind w:left="0"/>
              <w:jc w:val="right"/>
              <w:rPr>
                <w:sz w:val="12"/>
                <w:szCs w:val="12"/>
              </w:rPr>
            </w:pPr>
            <w:r w:rsidRPr="009C3005">
              <w:rPr>
                <w:noProof/>
                <w:sz w:val="12"/>
                <w:szCs w:val="12"/>
              </w:rPr>
              <w:t>154 688,74</w:t>
            </w:r>
          </w:p>
        </w:tc>
        <w:tc>
          <w:tcPr>
            <w:tcW w:w="0" w:type="auto"/>
            <w:shd w:val="clear" w:color="auto" w:fill="auto"/>
          </w:tcPr>
          <w:p w14:paraId="45B4EBB3" w14:textId="77777777" w:rsidR="008C5CFA" w:rsidRPr="009C3005" w:rsidRDefault="00E82A60" w:rsidP="00300A01">
            <w:pPr>
              <w:pStyle w:val="Text1"/>
              <w:spacing w:before="0" w:after="0"/>
              <w:ind w:left="0"/>
              <w:jc w:val="right"/>
              <w:rPr>
                <w:sz w:val="12"/>
                <w:szCs w:val="12"/>
              </w:rPr>
            </w:pPr>
            <w:r w:rsidRPr="009C3005">
              <w:rPr>
                <w:noProof/>
                <w:sz w:val="12"/>
                <w:szCs w:val="12"/>
              </w:rPr>
              <w:t>1</w:t>
            </w:r>
          </w:p>
        </w:tc>
      </w:tr>
      <w:tr w:rsidR="006B2EC1" w14:paraId="62D92112" w14:textId="77777777" w:rsidTr="0047688D">
        <w:tc>
          <w:tcPr>
            <w:tcW w:w="0" w:type="auto"/>
            <w:shd w:val="clear" w:color="auto" w:fill="auto"/>
          </w:tcPr>
          <w:p w14:paraId="7E464E55" w14:textId="77777777" w:rsidR="008C5CFA" w:rsidRPr="009C3005" w:rsidRDefault="00E82A60" w:rsidP="00300A01">
            <w:pPr>
              <w:pStyle w:val="Text1"/>
              <w:spacing w:before="0" w:after="0"/>
              <w:ind w:left="0"/>
              <w:rPr>
                <w:sz w:val="12"/>
                <w:szCs w:val="12"/>
              </w:rPr>
            </w:pPr>
            <w:r>
              <w:rPr>
                <w:noProof/>
                <w:sz w:val="14"/>
                <w:szCs w:val="14"/>
                <w:lang w:val="fr-BE"/>
              </w:rPr>
              <w:t>2</w:t>
            </w:r>
          </w:p>
        </w:tc>
        <w:tc>
          <w:tcPr>
            <w:tcW w:w="0" w:type="auto"/>
            <w:shd w:val="clear" w:color="auto" w:fill="auto"/>
          </w:tcPr>
          <w:p w14:paraId="6A381A46" w14:textId="77777777" w:rsidR="008C5CFA" w:rsidRPr="009C3005" w:rsidRDefault="00E82A60" w:rsidP="00300A01">
            <w:pPr>
              <w:pStyle w:val="Text1"/>
              <w:spacing w:before="0" w:after="0"/>
              <w:ind w:left="0"/>
              <w:rPr>
                <w:sz w:val="12"/>
                <w:szCs w:val="12"/>
              </w:rPr>
            </w:pPr>
            <w:r>
              <w:rPr>
                <w:noProof/>
                <w:sz w:val="12"/>
                <w:szCs w:val="12"/>
              </w:rPr>
              <w:t>EFRR</w:t>
            </w:r>
          </w:p>
        </w:tc>
        <w:tc>
          <w:tcPr>
            <w:tcW w:w="0" w:type="auto"/>
            <w:shd w:val="clear" w:color="auto" w:fill="auto"/>
          </w:tcPr>
          <w:p w14:paraId="0554D1F7" w14:textId="77777777" w:rsidR="008C5CFA" w:rsidRPr="009C3005" w:rsidRDefault="00E82A60" w:rsidP="00300A01">
            <w:pPr>
              <w:pStyle w:val="Text1"/>
              <w:spacing w:before="0" w:after="0"/>
              <w:ind w:left="0"/>
              <w:rPr>
                <w:sz w:val="12"/>
                <w:szCs w:val="12"/>
              </w:rPr>
            </w:pPr>
            <w:r>
              <w:rPr>
                <w:noProof/>
                <w:sz w:val="12"/>
                <w:szCs w:val="12"/>
              </w:rPr>
              <w:t>Słabiej rozwinięte</w:t>
            </w:r>
          </w:p>
        </w:tc>
        <w:tc>
          <w:tcPr>
            <w:tcW w:w="0" w:type="auto"/>
            <w:shd w:val="clear" w:color="auto" w:fill="auto"/>
          </w:tcPr>
          <w:p w14:paraId="22079EBD" w14:textId="77777777" w:rsidR="008C5CFA" w:rsidRPr="009C3005" w:rsidRDefault="00E82A60" w:rsidP="00300A01">
            <w:pPr>
              <w:pStyle w:val="Text1"/>
              <w:spacing w:before="0" w:after="0"/>
              <w:ind w:left="0"/>
              <w:rPr>
                <w:sz w:val="12"/>
                <w:szCs w:val="12"/>
              </w:rPr>
            </w:pPr>
            <w:r>
              <w:rPr>
                <w:noProof/>
                <w:sz w:val="12"/>
                <w:szCs w:val="12"/>
              </w:rPr>
              <w:t>001</w:t>
            </w:r>
          </w:p>
        </w:tc>
        <w:tc>
          <w:tcPr>
            <w:tcW w:w="0" w:type="auto"/>
            <w:shd w:val="clear" w:color="auto" w:fill="auto"/>
          </w:tcPr>
          <w:p w14:paraId="1961805F"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4C866978"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5B88F9D5"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30E54708" w14:textId="77777777" w:rsidR="008C5CFA" w:rsidRPr="009C3005" w:rsidRDefault="00E82A60" w:rsidP="00300A01">
            <w:pPr>
              <w:pStyle w:val="Text1"/>
              <w:spacing w:before="0" w:after="0"/>
              <w:ind w:left="0"/>
              <w:rPr>
                <w:sz w:val="12"/>
                <w:szCs w:val="12"/>
              </w:rPr>
            </w:pPr>
            <w:r>
              <w:rPr>
                <w:noProof/>
                <w:sz w:val="12"/>
                <w:szCs w:val="12"/>
              </w:rPr>
              <w:t>03</w:t>
            </w:r>
          </w:p>
        </w:tc>
        <w:tc>
          <w:tcPr>
            <w:tcW w:w="0" w:type="auto"/>
            <w:shd w:val="clear" w:color="auto" w:fill="auto"/>
          </w:tcPr>
          <w:p w14:paraId="66E2D1E6" w14:textId="77777777" w:rsidR="008C5CFA" w:rsidRPr="009C3005" w:rsidRDefault="00E82A60" w:rsidP="00300A01">
            <w:pPr>
              <w:pStyle w:val="Text1"/>
              <w:spacing w:before="0" w:after="0"/>
              <w:ind w:left="0"/>
              <w:rPr>
                <w:sz w:val="12"/>
                <w:szCs w:val="12"/>
              </w:rPr>
            </w:pPr>
            <w:r>
              <w:rPr>
                <w:sz w:val="12"/>
                <w:szCs w:val="12"/>
              </w:rPr>
              <w:t xml:space="preserve"> </w:t>
            </w:r>
          </w:p>
        </w:tc>
        <w:tc>
          <w:tcPr>
            <w:tcW w:w="0" w:type="auto"/>
            <w:shd w:val="clear" w:color="auto" w:fill="auto"/>
          </w:tcPr>
          <w:p w14:paraId="269B5626" w14:textId="77777777" w:rsidR="008C5CFA" w:rsidRPr="009C3005" w:rsidRDefault="00E82A60" w:rsidP="00300A01">
            <w:pPr>
              <w:pStyle w:val="Text1"/>
              <w:spacing w:before="0" w:after="0"/>
              <w:ind w:left="0"/>
              <w:rPr>
                <w:sz w:val="12"/>
                <w:szCs w:val="12"/>
              </w:rPr>
            </w:pPr>
            <w:r>
              <w:rPr>
                <w:noProof/>
                <w:sz w:val="12"/>
                <w:szCs w:val="12"/>
              </w:rPr>
              <w:t>20</w:t>
            </w:r>
          </w:p>
        </w:tc>
        <w:tc>
          <w:tcPr>
            <w:tcW w:w="0" w:type="auto"/>
            <w:shd w:val="clear" w:color="auto" w:fill="auto"/>
          </w:tcPr>
          <w:p w14:paraId="3044B15E" w14:textId="77777777" w:rsidR="008C5CFA" w:rsidRPr="009C3005" w:rsidRDefault="00E82A60" w:rsidP="00300A01">
            <w:pPr>
              <w:pStyle w:val="Text1"/>
              <w:spacing w:before="0" w:after="0"/>
              <w:ind w:left="0"/>
              <w:rPr>
                <w:sz w:val="12"/>
                <w:szCs w:val="12"/>
              </w:rPr>
            </w:pPr>
            <w:r>
              <w:rPr>
                <w:noProof/>
                <w:sz w:val="12"/>
                <w:szCs w:val="12"/>
              </w:rPr>
              <w:t>PL33</w:t>
            </w:r>
          </w:p>
        </w:tc>
        <w:tc>
          <w:tcPr>
            <w:tcW w:w="0" w:type="auto"/>
            <w:shd w:val="clear" w:color="auto" w:fill="auto"/>
          </w:tcPr>
          <w:p w14:paraId="56553A84" w14:textId="77777777" w:rsidR="008C5CFA" w:rsidRPr="009C3005" w:rsidRDefault="00E82A60" w:rsidP="00300A01">
            <w:pPr>
              <w:pStyle w:val="Text1"/>
              <w:spacing w:before="0" w:after="0"/>
              <w:ind w:left="0"/>
              <w:jc w:val="right"/>
              <w:rPr>
                <w:sz w:val="12"/>
                <w:szCs w:val="12"/>
              </w:rPr>
            </w:pPr>
            <w:r w:rsidRPr="009C3005">
              <w:rPr>
                <w:noProof/>
                <w:sz w:val="12"/>
                <w:szCs w:val="12"/>
              </w:rPr>
              <w:t>1 481 304,93</w:t>
            </w:r>
          </w:p>
        </w:tc>
        <w:tc>
          <w:tcPr>
            <w:tcW w:w="0" w:type="auto"/>
            <w:shd w:val="clear" w:color="auto" w:fill="auto"/>
          </w:tcPr>
          <w:p w14:paraId="1EB2ABDA" w14:textId="77777777" w:rsidR="008C5CFA" w:rsidRPr="009C3005" w:rsidRDefault="00E82A60" w:rsidP="00300A01">
            <w:pPr>
              <w:pStyle w:val="Text1"/>
              <w:spacing w:before="0" w:after="0"/>
              <w:ind w:left="0"/>
              <w:jc w:val="right"/>
              <w:rPr>
                <w:sz w:val="12"/>
                <w:szCs w:val="12"/>
              </w:rPr>
            </w:pPr>
            <w:r w:rsidRPr="009C3005">
              <w:rPr>
                <w:noProof/>
                <w:sz w:val="12"/>
                <w:szCs w:val="12"/>
              </w:rPr>
              <w:t>1 111 011,75</w:t>
            </w:r>
          </w:p>
        </w:tc>
        <w:tc>
          <w:tcPr>
            <w:tcW w:w="0" w:type="auto"/>
            <w:shd w:val="clear" w:color="auto" w:fill="auto"/>
          </w:tcPr>
          <w:p w14:paraId="47779220" w14:textId="77777777" w:rsidR="008C5CFA" w:rsidRPr="009C3005" w:rsidRDefault="00E82A60" w:rsidP="00300A01">
            <w:pPr>
              <w:pStyle w:val="Text1"/>
              <w:spacing w:before="0" w:after="0"/>
              <w:ind w:left="0"/>
              <w:jc w:val="right"/>
              <w:rPr>
                <w:sz w:val="12"/>
                <w:szCs w:val="12"/>
              </w:rPr>
            </w:pPr>
            <w:r w:rsidRPr="009C3005">
              <w:rPr>
                <w:noProof/>
                <w:sz w:val="12"/>
                <w:szCs w:val="12"/>
              </w:rPr>
              <w:t>1 412 204,72</w:t>
            </w:r>
          </w:p>
        </w:tc>
        <w:tc>
          <w:tcPr>
            <w:tcW w:w="0" w:type="auto"/>
            <w:shd w:val="clear" w:color="auto" w:fill="auto"/>
          </w:tcPr>
          <w:p w14:paraId="512DBDD9" w14:textId="77777777" w:rsidR="008C5CFA" w:rsidRPr="009C3005" w:rsidRDefault="00E82A60" w:rsidP="00300A01">
            <w:pPr>
              <w:pStyle w:val="Text1"/>
              <w:spacing w:before="0" w:after="0"/>
              <w:ind w:left="0"/>
              <w:jc w:val="right"/>
              <w:rPr>
                <w:sz w:val="12"/>
                <w:szCs w:val="12"/>
              </w:rPr>
            </w:pPr>
            <w:r w:rsidRPr="009C3005">
              <w:rPr>
                <w:noProof/>
                <w:sz w:val="12"/>
                <w:szCs w:val="12"/>
              </w:rPr>
              <w:t>9</w:t>
            </w:r>
          </w:p>
        </w:tc>
      </w:tr>
      <w:tr w:rsidR="006B2EC1" w14:paraId="043E06B7" w14:textId="77777777" w:rsidTr="0047688D">
        <w:tc>
          <w:tcPr>
            <w:tcW w:w="0" w:type="auto"/>
            <w:shd w:val="clear" w:color="auto" w:fill="auto"/>
          </w:tcPr>
          <w:p w14:paraId="3ED69751" w14:textId="77777777" w:rsidR="008C5CFA" w:rsidRPr="009C3005" w:rsidRDefault="00E82A60" w:rsidP="00300A01">
            <w:pPr>
              <w:pStyle w:val="Text1"/>
              <w:spacing w:before="0" w:after="0"/>
              <w:ind w:left="0"/>
              <w:rPr>
                <w:sz w:val="12"/>
                <w:szCs w:val="12"/>
              </w:rPr>
            </w:pPr>
            <w:r>
              <w:rPr>
                <w:noProof/>
                <w:sz w:val="14"/>
                <w:szCs w:val="14"/>
                <w:lang w:val="fr-BE"/>
              </w:rPr>
              <w:t>2</w:t>
            </w:r>
          </w:p>
        </w:tc>
        <w:tc>
          <w:tcPr>
            <w:tcW w:w="0" w:type="auto"/>
            <w:shd w:val="clear" w:color="auto" w:fill="auto"/>
          </w:tcPr>
          <w:p w14:paraId="4977C7DB" w14:textId="77777777" w:rsidR="008C5CFA" w:rsidRPr="009C3005" w:rsidRDefault="00E82A60" w:rsidP="00300A01">
            <w:pPr>
              <w:pStyle w:val="Text1"/>
              <w:spacing w:before="0" w:after="0"/>
              <w:ind w:left="0"/>
              <w:rPr>
                <w:sz w:val="12"/>
                <w:szCs w:val="12"/>
              </w:rPr>
            </w:pPr>
            <w:r>
              <w:rPr>
                <w:noProof/>
                <w:sz w:val="12"/>
                <w:szCs w:val="12"/>
              </w:rPr>
              <w:t>EFRR</w:t>
            </w:r>
          </w:p>
        </w:tc>
        <w:tc>
          <w:tcPr>
            <w:tcW w:w="0" w:type="auto"/>
            <w:shd w:val="clear" w:color="auto" w:fill="auto"/>
          </w:tcPr>
          <w:p w14:paraId="133AF6B3" w14:textId="77777777" w:rsidR="008C5CFA" w:rsidRPr="009C3005" w:rsidRDefault="00E82A60" w:rsidP="00300A01">
            <w:pPr>
              <w:pStyle w:val="Text1"/>
              <w:spacing w:before="0" w:after="0"/>
              <w:ind w:left="0"/>
              <w:rPr>
                <w:sz w:val="12"/>
                <w:szCs w:val="12"/>
              </w:rPr>
            </w:pPr>
            <w:r>
              <w:rPr>
                <w:noProof/>
                <w:sz w:val="12"/>
                <w:szCs w:val="12"/>
              </w:rPr>
              <w:t>Słabiej rozwinięte</w:t>
            </w:r>
          </w:p>
        </w:tc>
        <w:tc>
          <w:tcPr>
            <w:tcW w:w="0" w:type="auto"/>
            <w:shd w:val="clear" w:color="auto" w:fill="auto"/>
          </w:tcPr>
          <w:p w14:paraId="5816F835" w14:textId="77777777" w:rsidR="008C5CFA" w:rsidRPr="009C3005" w:rsidRDefault="00E82A60" w:rsidP="00300A01">
            <w:pPr>
              <w:pStyle w:val="Text1"/>
              <w:spacing w:before="0" w:after="0"/>
              <w:ind w:left="0"/>
              <w:rPr>
                <w:sz w:val="12"/>
                <w:szCs w:val="12"/>
              </w:rPr>
            </w:pPr>
            <w:r>
              <w:rPr>
                <w:noProof/>
                <w:sz w:val="12"/>
                <w:szCs w:val="12"/>
              </w:rPr>
              <w:t>001</w:t>
            </w:r>
          </w:p>
        </w:tc>
        <w:tc>
          <w:tcPr>
            <w:tcW w:w="0" w:type="auto"/>
            <w:shd w:val="clear" w:color="auto" w:fill="auto"/>
          </w:tcPr>
          <w:p w14:paraId="043CF887"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3216FC68"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36DDDF73"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78D2050F" w14:textId="77777777" w:rsidR="008C5CFA" w:rsidRPr="009C3005" w:rsidRDefault="00E82A60" w:rsidP="00300A01">
            <w:pPr>
              <w:pStyle w:val="Text1"/>
              <w:spacing w:before="0" w:after="0"/>
              <w:ind w:left="0"/>
              <w:rPr>
                <w:sz w:val="12"/>
                <w:szCs w:val="12"/>
              </w:rPr>
            </w:pPr>
            <w:r>
              <w:rPr>
                <w:noProof/>
                <w:sz w:val="12"/>
                <w:szCs w:val="12"/>
              </w:rPr>
              <w:t>03</w:t>
            </w:r>
          </w:p>
        </w:tc>
        <w:tc>
          <w:tcPr>
            <w:tcW w:w="0" w:type="auto"/>
            <w:shd w:val="clear" w:color="auto" w:fill="auto"/>
          </w:tcPr>
          <w:p w14:paraId="2C18F8D3" w14:textId="77777777" w:rsidR="008C5CFA" w:rsidRPr="009C3005" w:rsidRDefault="00E82A60" w:rsidP="00300A01">
            <w:pPr>
              <w:pStyle w:val="Text1"/>
              <w:spacing w:before="0" w:after="0"/>
              <w:ind w:left="0"/>
              <w:rPr>
                <w:sz w:val="12"/>
                <w:szCs w:val="12"/>
              </w:rPr>
            </w:pPr>
            <w:r>
              <w:rPr>
                <w:sz w:val="12"/>
                <w:szCs w:val="12"/>
              </w:rPr>
              <w:t xml:space="preserve"> </w:t>
            </w:r>
          </w:p>
        </w:tc>
        <w:tc>
          <w:tcPr>
            <w:tcW w:w="0" w:type="auto"/>
            <w:shd w:val="clear" w:color="auto" w:fill="auto"/>
          </w:tcPr>
          <w:p w14:paraId="550E918A" w14:textId="77777777" w:rsidR="008C5CFA" w:rsidRPr="009C3005" w:rsidRDefault="00E82A60" w:rsidP="00300A01">
            <w:pPr>
              <w:pStyle w:val="Text1"/>
              <w:spacing w:before="0" w:after="0"/>
              <w:ind w:left="0"/>
              <w:rPr>
                <w:sz w:val="12"/>
                <w:szCs w:val="12"/>
              </w:rPr>
            </w:pPr>
            <w:r>
              <w:rPr>
                <w:noProof/>
                <w:sz w:val="12"/>
                <w:szCs w:val="12"/>
              </w:rPr>
              <w:t>24</w:t>
            </w:r>
          </w:p>
        </w:tc>
        <w:tc>
          <w:tcPr>
            <w:tcW w:w="0" w:type="auto"/>
            <w:shd w:val="clear" w:color="auto" w:fill="auto"/>
          </w:tcPr>
          <w:p w14:paraId="2AF241A3" w14:textId="77777777" w:rsidR="008C5CFA" w:rsidRPr="009C3005" w:rsidRDefault="00E82A60" w:rsidP="00300A01">
            <w:pPr>
              <w:pStyle w:val="Text1"/>
              <w:spacing w:before="0" w:after="0"/>
              <w:ind w:left="0"/>
              <w:rPr>
                <w:sz w:val="12"/>
                <w:szCs w:val="12"/>
              </w:rPr>
            </w:pPr>
            <w:r>
              <w:rPr>
                <w:noProof/>
                <w:sz w:val="12"/>
                <w:szCs w:val="12"/>
              </w:rPr>
              <w:t>PL33</w:t>
            </w:r>
          </w:p>
        </w:tc>
        <w:tc>
          <w:tcPr>
            <w:tcW w:w="0" w:type="auto"/>
            <w:shd w:val="clear" w:color="auto" w:fill="auto"/>
          </w:tcPr>
          <w:p w14:paraId="2ACCD046" w14:textId="77777777" w:rsidR="008C5CFA" w:rsidRPr="009C3005" w:rsidRDefault="00E82A60" w:rsidP="00300A01">
            <w:pPr>
              <w:pStyle w:val="Text1"/>
              <w:spacing w:before="0" w:after="0"/>
              <w:ind w:left="0"/>
              <w:jc w:val="right"/>
              <w:rPr>
                <w:sz w:val="12"/>
                <w:szCs w:val="12"/>
              </w:rPr>
            </w:pPr>
            <w:r w:rsidRPr="009C3005">
              <w:rPr>
                <w:noProof/>
                <w:sz w:val="12"/>
                <w:szCs w:val="12"/>
              </w:rPr>
              <w:t>1 190 797,75</w:t>
            </w:r>
          </w:p>
        </w:tc>
        <w:tc>
          <w:tcPr>
            <w:tcW w:w="0" w:type="auto"/>
            <w:shd w:val="clear" w:color="auto" w:fill="auto"/>
          </w:tcPr>
          <w:p w14:paraId="0E5EE0E7" w14:textId="77777777" w:rsidR="008C5CFA" w:rsidRPr="009C3005" w:rsidRDefault="00E82A60" w:rsidP="00300A01">
            <w:pPr>
              <w:pStyle w:val="Text1"/>
              <w:spacing w:before="0" w:after="0"/>
              <w:ind w:left="0"/>
              <w:jc w:val="right"/>
              <w:rPr>
                <w:sz w:val="12"/>
                <w:szCs w:val="12"/>
              </w:rPr>
            </w:pPr>
            <w:r w:rsidRPr="009C3005">
              <w:rPr>
                <w:noProof/>
                <w:sz w:val="12"/>
                <w:szCs w:val="12"/>
              </w:rPr>
              <w:t>915 197,23</w:t>
            </w:r>
          </w:p>
        </w:tc>
        <w:tc>
          <w:tcPr>
            <w:tcW w:w="0" w:type="auto"/>
            <w:shd w:val="clear" w:color="auto" w:fill="auto"/>
          </w:tcPr>
          <w:p w14:paraId="68E6BEBB" w14:textId="77777777" w:rsidR="008C5CFA" w:rsidRPr="009C3005" w:rsidRDefault="00E82A60" w:rsidP="00300A01">
            <w:pPr>
              <w:pStyle w:val="Text1"/>
              <w:spacing w:before="0" w:after="0"/>
              <w:ind w:left="0"/>
              <w:jc w:val="right"/>
              <w:rPr>
                <w:sz w:val="12"/>
                <w:szCs w:val="12"/>
              </w:rPr>
            </w:pPr>
            <w:r w:rsidRPr="009C3005">
              <w:rPr>
                <w:noProof/>
                <w:sz w:val="12"/>
                <w:szCs w:val="12"/>
              </w:rPr>
              <w:t>1 149 207,37</w:t>
            </w:r>
          </w:p>
        </w:tc>
        <w:tc>
          <w:tcPr>
            <w:tcW w:w="0" w:type="auto"/>
            <w:shd w:val="clear" w:color="auto" w:fill="auto"/>
          </w:tcPr>
          <w:p w14:paraId="772FEA57" w14:textId="77777777" w:rsidR="008C5CFA" w:rsidRPr="009C3005" w:rsidRDefault="00E82A60" w:rsidP="00300A01">
            <w:pPr>
              <w:pStyle w:val="Text1"/>
              <w:spacing w:before="0" w:after="0"/>
              <w:ind w:left="0"/>
              <w:jc w:val="right"/>
              <w:rPr>
                <w:sz w:val="12"/>
                <w:szCs w:val="12"/>
              </w:rPr>
            </w:pPr>
            <w:r w:rsidRPr="009C3005">
              <w:rPr>
                <w:noProof/>
                <w:sz w:val="12"/>
                <w:szCs w:val="12"/>
              </w:rPr>
              <w:t>10</w:t>
            </w:r>
          </w:p>
        </w:tc>
      </w:tr>
      <w:tr w:rsidR="006B2EC1" w14:paraId="63BFAD5D" w14:textId="77777777" w:rsidTr="0047688D">
        <w:tc>
          <w:tcPr>
            <w:tcW w:w="0" w:type="auto"/>
            <w:shd w:val="clear" w:color="auto" w:fill="auto"/>
          </w:tcPr>
          <w:p w14:paraId="5A945EBD" w14:textId="77777777" w:rsidR="008C5CFA" w:rsidRPr="009C3005" w:rsidRDefault="00E82A60" w:rsidP="00300A01">
            <w:pPr>
              <w:pStyle w:val="Text1"/>
              <w:spacing w:before="0" w:after="0"/>
              <w:ind w:left="0"/>
              <w:rPr>
                <w:sz w:val="12"/>
                <w:szCs w:val="12"/>
              </w:rPr>
            </w:pPr>
            <w:r>
              <w:rPr>
                <w:noProof/>
                <w:sz w:val="14"/>
                <w:szCs w:val="14"/>
                <w:lang w:val="fr-BE"/>
              </w:rPr>
              <w:t>2</w:t>
            </w:r>
          </w:p>
        </w:tc>
        <w:tc>
          <w:tcPr>
            <w:tcW w:w="0" w:type="auto"/>
            <w:shd w:val="clear" w:color="auto" w:fill="auto"/>
          </w:tcPr>
          <w:p w14:paraId="090364B6" w14:textId="77777777" w:rsidR="008C5CFA" w:rsidRPr="009C3005" w:rsidRDefault="00E82A60" w:rsidP="00300A01">
            <w:pPr>
              <w:pStyle w:val="Text1"/>
              <w:spacing w:before="0" w:after="0"/>
              <w:ind w:left="0"/>
              <w:rPr>
                <w:sz w:val="12"/>
                <w:szCs w:val="12"/>
              </w:rPr>
            </w:pPr>
            <w:r>
              <w:rPr>
                <w:noProof/>
                <w:sz w:val="12"/>
                <w:szCs w:val="12"/>
              </w:rPr>
              <w:t>EFRR</w:t>
            </w:r>
          </w:p>
        </w:tc>
        <w:tc>
          <w:tcPr>
            <w:tcW w:w="0" w:type="auto"/>
            <w:shd w:val="clear" w:color="auto" w:fill="auto"/>
          </w:tcPr>
          <w:p w14:paraId="623B4ABE" w14:textId="77777777" w:rsidR="008C5CFA" w:rsidRPr="009C3005" w:rsidRDefault="00E82A60" w:rsidP="00300A01">
            <w:pPr>
              <w:pStyle w:val="Text1"/>
              <w:spacing w:before="0" w:after="0"/>
              <w:ind w:left="0"/>
              <w:rPr>
                <w:sz w:val="12"/>
                <w:szCs w:val="12"/>
              </w:rPr>
            </w:pPr>
            <w:r>
              <w:rPr>
                <w:noProof/>
                <w:sz w:val="12"/>
                <w:szCs w:val="12"/>
              </w:rPr>
              <w:t>Słabiej rozwinięte</w:t>
            </w:r>
          </w:p>
        </w:tc>
        <w:tc>
          <w:tcPr>
            <w:tcW w:w="0" w:type="auto"/>
            <w:shd w:val="clear" w:color="auto" w:fill="auto"/>
          </w:tcPr>
          <w:p w14:paraId="17AF56CF" w14:textId="77777777" w:rsidR="008C5CFA" w:rsidRPr="009C3005" w:rsidRDefault="00E82A60" w:rsidP="00300A01">
            <w:pPr>
              <w:pStyle w:val="Text1"/>
              <w:spacing w:before="0" w:after="0"/>
              <w:ind w:left="0"/>
              <w:rPr>
                <w:sz w:val="12"/>
                <w:szCs w:val="12"/>
              </w:rPr>
            </w:pPr>
            <w:r>
              <w:rPr>
                <w:noProof/>
                <w:sz w:val="12"/>
                <w:szCs w:val="12"/>
              </w:rPr>
              <w:t>001</w:t>
            </w:r>
          </w:p>
        </w:tc>
        <w:tc>
          <w:tcPr>
            <w:tcW w:w="0" w:type="auto"/>
            <w:shd w:val="clear" w:color="auto" w:fill="auto"/>
          </w:tcPr>
          <w:p w14:paraId="3CA1F95F"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2CE897DE" w14:textId="77777777" w:rsidR="008C5CFA" w:rsidRPr="009C3005" w:rsidRDefault="00E82A60" w:rsidP="00300A01">
            <w:pPr>
              <w:pStyle w:val="Text1"/>
              <w:spacing w:before="0" w:after="0"/>
              <w:ind w:left="0"/>
              <w:rPr>
                <w:sz w:val="12"/>
                <w:szCs w:val="12"/>
              </w:rPr>
            </w:pPr>
            <w:r>
              <w:rPr>
                <w:noProof/>
                <w:sz w:val="12"/>
                <w:szCs w:val="12"/>
              </w:rPr>
              <w:t>02</w:t>
            </w:r>
          </w:p>
        </w:tc>
        <w:tc>
          <w:tcPr>
            <w:tcW w:w="0" w:type="auto"/>
            <w:shd w:val="clear" w:color="auto" w:fill="auto"/>
          </w:tcPr>
          <w:p w14:paraId="7216D7C4"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71607C47" w14:textId="77777777" w:rsidR="008C5CFA" w:rsidRPr="009C3005" w:rsidRDefault="00E82A60" w:rsidP="00300A01">
            <w:pPr>
              <w:pStyle w:val="Text1"/>
              <w:spacing w:before="0" w:after="0"/>
              <w:ind w:left="0"/>
              <w:rPr>
                <w:sz w:val="12"/>
                <w:szCs w:val="12"/>
              </w:rPr>
            </w:pPr>
            <w:r>
              <w:rPr>
                <w:noProof/>
                <w:sz w:val="12"/>
                <w:szCs w:val="12"/>
              </w:rPr>
              <w:t>03</w:t>
            </w:r>
          </w:p>
        </w:tc>
        <w:tc>
          <w:tcPr>
            <w:tcW w:w="0" w:type="auto"/>
            <w:shd w:val="clear" w:color="auto" w:fill="auto"/>
          </w:tcPr>
          <w:p w14:paraId="1D8C9639" w14:textId="77777777" w:rsidR="008C5CFA" w:rsidRPr="009C3005" w:rsidRDefault="00E82A60" w:rsidP="00300A01">
            <w:pPr>
              <w:pStyle w:val="Text1"/>
              <w:spacing w:before="0" w:after="0"/>
              <w:ind w:left="0"/>
              <w:rPr>
                <w:sz w:val="12"/>
                <w:szCs w:val="12"/>
              </w:rPr>
            </w:pPr>
            <w:r>
              <w:rPr>
                <w:sz w:val="12"/>
                <w:szCs w:val="12"/>
              </w:rPr>
              <w:t xml:space="preserve"> </w:t>
            </w:r>
          </w:p>
        </w:tc>
        <w:tc>
          <w:tcPr>
            <w:tcW w:w="0" w:type="auto"/>
            <w:shd w:val="clear" w:color="auto" w:fill="auto"/>
          </w:tcPr>
          <w:p w14:paraId="356BC7DF" w14:textId="77777777" w:rsidR="008C5CFA" w:rsidRPr="009C3005" w:rsidRDefault="00E82A60" w:rsidP="00300A01">
            <w:pPr>
              <w:pStyle w:val="Text1"/>
              <w:spacing w:before="0" w:after="0"/>
              <w:ind w:left="0"/>
              <w:rPr>
                <w:sz w:val="12"/>
                <w:szCs w:val="12"/>
              </w:rPr>
            </w:pPr>
            <w:r>
              <w:rPr>
                <w:noProof/>
                <w:sz w:val="12"/>
                <w:szCs w:val="12"/>
              </w:rPr>
              <w:t>03</w:t>
            </w:r>
          </w:p>
        </w:tc>
        <w:tc>
          <w:tcPr>
            <w:tcW w:w="0" w:type="auto"/>
            <w:shd w:val="clear" w:color="auto" w:fill="auto"/>
          </w:tcPr>
          <w:p w14:paraId="02DF9493" w14:textId="77777777" w:rsidR="008C5CFA" w:rsidRPr="009C3005" w:rsidRDefault="00E82A60" w:rsidP="00300A01">
            <w:pPr>
              <w:pStyle w:val="Text1"/>
              <w:spacing w:before="0" w:after="0"/>
              <w:ind w:left="0"/>
              <w:rPr>
                <w:sz w:val="12"/>
                <w:szCs w:val="12"/>
              </w:rPr>
            </w:pPr>
            <w:r>
              <w:rPr>
                <w:noProof/>
                <w:sz w:val="12"/>
                <w:szCs w:val="12"/>
              </w:rPr>
              <w:t>PL33</w:t>
            </w:r>
          </w:p>
        </w:tc>
        <w:tc>
          <w:tcPr>
            <w:tcW w:w="0" w:type="auto"/>
            <w:shd w:val="clear" w:color="auto" w:fill="auto"/>
          </w:tcPr>
          <w:p w14:paraId="565387B8" w14:textId="77777777" w:rsidR="008C5CFA" w:rsidRPr="009C3005" w:rsidRDefault="00E82A60" w:rsidP="00300A01">
            <w:pPr>
              <w:pStyle w:val="Text1"/>
              <w:spacing w:before="0" w:after="0"/>
              <w:ind w:left="0"/>
              <w:jc w:val="right"/>
              <w:rPr>
                <w:sz w:val="12"/>
                <w:szCs w:val="12"/>
              </w:rPr>
            </w:pPr>
            <w:r w:rsidRPr="009C3005">
              <w:rPr>
                <w:noProof/>
                <w:sz w:val="12"/>
                <w:szCs w:val="12"/>
              </w:rPr>
              <w:t>549 836,61</w:t>
            </w:r>
          </w:p>
        </w:tc>
        <w:tc>
          <w:tcPr>
            <w:tcW w:w="0" w:type="auto"/>
            <w:shd w:val="clear" w:color="auto" w:fill="auto"/>
          </w:tcPr>
          <w:p w14:paraId="5D8A8027" w14:textId="77777777" w:rsidR="008C5CFA" w:rsidRPr="009C3005" w:rsidRDefault="00E82A60" w:rsidP="00300A01">
            <w:pPr>
              <w:pStyle w:val="Text1"/>
              <w:spacing w:before="0" w:after="0"/>
              <w:ind w:left="0"/>
              <w:jc w:val="right"/>
              <w:rPr>
                <w:sz w:val="12"/>
                <w:szCs w:val="12"/>
              </w:rPr>
            </w:pPr>
            <w:r w:rsidRPr="009C3005">
              <w:rPr>
                <w:noProof/>
                <w:sz w:val="12"/>
                <w:szCs w:val="12"/>
              </w:rPr>
              <w:t>334 048,59</w:t>
            </w:r>
          </w:p>
        </w:tc>
        <w:tc>
          <w:tcPr>
            <w:tcW w:w="0" w:type="auto"/>
            <w:shd w:val="clear" w:color="auto" w:fill="auto"/>
          </w:tcPr>
          <w:p w14:paraId="25632EA3" w14:textId="77777777" w:rsidR="008C5CFA" w:rsidRPr="009C3005" w:rsidRDefault="00E82A60" w:rsidP="00300A01">
            <w:pPr>
              <w:pStyle w:val="Text1"/>
              <w:spacing w:before="0" w:after="0"/>
              <w:ind w:left="0"/>
              <w:jc w:val="right"/>
              <w:rPr>
                <w:sz w:val="12"/>
                <w:szCs w:val="12"/>
              </w:rPr>
            </w:pPr>
            <w:r w:rsidRPr="009C3005">
              <w:rPr>
                <w:noProof/>
                <w:sz w:val="12"/>
                <w:szCs w:val="12"/>
              </w:rPr>
              <w:t>197 335,96</w:t>
            </w:r>
          </w:p>
        </w:tc>
        <w:tc>
          <w:tcPr>
            <w:tcW w:w="0" w:type="auto"/>
            <w:shd w:val="clear" w:color="auto" w:fill="auto"/>
          </w:tcPr>
          <w:p w14:paraId="6900EE37" w14:textId="77777777" w:rsidR="008C5CFA" w:rsidRPr="009C3005" w:rsidRDefault="00E82A60" w:rsidP="00300A01">
            <w:pPr>
              <w:pStyle w:val="Text1"/>
              <w:spacing w:before="0" w:after="0"/>
              <w:ind w:left="0"/>
              <w:jc w:val="right"/>
              <w:rPr>
                <w:sz w:val="12"/>
                <w:szCs w:val="12"/>
              </w:rPr>
            </w:pPr>
            <w:r w:rsidRPr="009C3005">
              <w:rPr>
                <w:noProof/>
                <w:sz w:val="12"/>
                <w:szCs w:val="12"/>
              </w:rPr>
              <w:t>2</w:t>
            </w:r>
          </w:p>
        </w:tc>
      </w:tr>
      <w:tr w:rsidR="006B2EC1" w14:paraId="45E9FA28" w14:textId="77777777" w:rsidTr="0047688D">
        <w:tc>
          <w:tcPr>
            <w:tcW w:w="0" w:type="auto"/>
            <w:shd w:val="clear" w:color="auto" w:fill="auto"/>
          </w:tcPr>
          <w:p w14:paraId="4B6AAC84" w14:textId="77777777" w:rsidR="008C5CFA" w:rsidRPr="009C3005" w:rsidRDefault="00E82A60" w:rsidP="00300A01">
            <w:pPr>
              <w:pStyle w:val="Text1"/>
              <w:spacing w:before="0" w:after="0"/>
              <w:ind w:left="0"/>
              <w:rPr>
                <w:sz w:val="12"/>
                <w:szCs w:val="12"/>
              </w:rPr>
            </w:pPr>
            <w:r>
              <w:rPr>
                <w:noProof/>
                <w:sz w:val="14"/>
                <w:szCs w:val="14"/>
                <w:lang w:val="fr-BE"/>
              </w:rPr>
              <w:t>2</w:t>
            </w:r>
          </w:p>
        </w:tc>
        <w:tc>
          <w:tcPr>
            <w:tcW w:w="0" w:type="auto"/>
            <w:shd w:val="clear" w:color="auto" w:fill="auto"/>
          </w:tcPr>
          <w:p w14:paraId="566914BA" w14:textId="77777777" w:rsidR="008C5CFA" w:rsidRPr="009C3005" w:rsidRDefault="00E82A60" w:rsidP="00300A01">
            <w:pPr>
              <w:pStyle w:val="Text1"/>
              <w:spacing w:before="0" w:after="0"/>
              <w:ind w:left="0"/>
              <w:rPr>
                <w:sz w:val="12"/>
                <w:szCs w:val="12"/>
              </w:rPr>
            </w:pPr>
            <w:r>
              <w:rPr>
                <w:noProof/>
                <w:sz w:val="12"/>
                <w:szCs w:val="12"/>
              </w:rPr>
              <w:t>EFRR</w:t>
            </w:r>
          </w:p>
        </w:tc>
        <w:tc>
          <w:tcPr>
            <w:tcW w:w="0" w:type="auto"/>
            <w:shd w:val="clear" w:color="auto" w:fill="auto"/>
          </w:tcPr>
          <w:p w14:paraId="184CF612" w14:textId="77777777" w:rsidR="008C5CFA" w:rsidRPr="009C3005" w:rsidRDefault="00E82A60" w:rsidP="00300A01">
            <w:pPr>
              <w:pStyle w:val="Text1"/>
              <w:spacing w:before="0" w:after="0"/>
              <w:ind w:left="0"/>
              <w:rPr>
                <w:sz w:val="12"/>
                <w:szCs w:val="12"/>
              </w:rPr>
            </w:pPr>
            <w:r>
              <w:rPr>
                <w:noProof/>
                <w:sz w:val="12"/>
                <w:szCs w:val="12"/>
              </w:rPr>
              <w:t>Słabiej rozwinięte</w:t>
            </w:r>
          </w:p>
        </w:tc>
        <w:tc>
          <w:tcPr>
            <w:tcW w:w="0" w:type="auto"/>
            <w:shd w:val="clear" w:color="auto" w:fill="auto"/>
          </w:tcPr>
          <w:p w14:paraId="5B88C37D" w14:textId="77777777" w:rsidR="008C5CFA" w:rsidRPr="009C3005" w:rsidRDefault="00E82A60" w:rsidP="00300A01">
            <w:pPr>
              <w:pStyle w:val="Text1"/>
              <w:spacing w:before="0" w:after="0"/>
              <w:ind w:left="0"/>
              <w:rPr>
                <w:sz w:val="12"/>
                <w:szCs w:val="12"/>
              </w:rPr>
            </w:pPr>
            <w:r>
              <w:rPr>
                <w:noProof/>
                <w:sz w:val="12"/>
                <w:szCs w:val="12"/>
              </w:rPr>
              <w:t>001</w:t>
            </w:r>
          </w:p>
        </w:tc>
        <w:tc>
          <w:tcPr>
            <w:tcW w:w="0" w:type="auto"/>
            <w:shd w:val="clear" w:color="auto" w:fill="auto"/>
          </w:tcPr>
          <w:p w14:paraId="28C08008"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7BFC82C7" w14:textId="77777777" w:rsidR="008C5CFA" w:rsidRPr="009C3005" w:rsidRDefault="00E82A60" w:rsidP="00300A01">
            <w:pPr>
              <w:pStyle w:val="Text1"/>
              <w:spacing w:before="0" w:after="0"/>
              <w:ind w:left="0"/>
              <w:rPr>
                <w:sz w:val="12"/>
                <w:szCs w:val="12"/>
              </w:rPr>
            </w:pPr>
            <w:r>
              <w:rPr>
                <w:noProof/>
                <w:sz w:val="12"/>
                <w:szCs w:val="12"/>
              </w:rPr>
              <w:t>02</w:t>
            </w:r>
          </w:p>
        </w:tc>
        <w:tc>
          <w:tcPr>
            <w:tcW w:w="0" w:type="auto"/>
            <w:shd w:val="clear" w:color="auto" w:fill="auto"/>
          </w:tcPr>
          <w:p w14:paraId="2131FE43"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15F40E75" w14:textId="77777777" w:rsidR="008C5CFA" w:rsidRPr="009C3005" w:rsidRDefault="00E82A60" w:rsidP="00300A01">
            <w:pPr>
              <w:pStyle w:val="Text1"/>
              <w:spacing w:before="0" w:after="0"/>
              <w:ind w:left="0"/>
              <w:rPr>
                <w:sz w:val="12"/>
                <w:szCs w:val="12"/>
              </w:rPr>
            </w:pPr>
            <w:r>
              <w:rPr>
                <w:noProof/>
                <w:sz w:val="12"/>
                <w:szCs w:val="12"/>
              </w:rPr>
              <w:t>03</w:t>
            </w:r>
          </w:p>
        </w:tc>
        <w:tc>
          <w:tcPr>
            <w:tcW w:w="0" w:type="auto"/>
            <w:shd w:val="clear" w:color="auto" w:fill="auto"/>
          </w:tcPr>
          <w:p w14:paraId="4EDB683C" w14:textId="77777777" w:rsidR="008C5CFA" w:rsidRPr="009C3005" w:rsidRDefault="00E82A60" w:rsidP="00300A01">
            <w:pPr>
              <w:pStyle w:val="Text1"/>
              <w:spacing w:before="0" w:after="0"/>
              <w:ind w:left="0"/>
              <w:rPr>
                <w:sz w:val="12"/>
                <w:szCs w:val="12"/>
              </w:rPr>
            </w:pPr>
            <w:r>
              <w:rPr>
                <w:sz w:val="12"/>
                <w:szCs w:val="12"/>
              </w:rPr>
              <w:t xml:space="preserve"> </w:t>
            </w:r>
          </w:p>
        </w:tc>
        <w:tc>
          <w:tcPr>
            <w:tcW w:w="0" w:type="auto"/>
            <w:shd w:val="clear" w:color="auto" w:fill="auto"/>
          </w:tcPr>
          <w:p w14:paraId="523A9572"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2C84137A" w14:textId="77777777" w:rsidR="008C5CFA" w:rsidRPr="009C3005" w:rsidRDefault="00E82A60" w:rsidP="00300A01">
            <w:pPr>
              <w:pStyle w:val="Text1"/>
              <w:spacing w:before="0" w:after="0"/>
              <w:ind w:left="0"/>
              <w:rPr>
                <w:sz w:val="12"/>
                <w:szCs w:val="12"/>
              </w:rPr>
            </w:pPr>
            <w:r>
              <w:rPr>
                <w:noProof/>
                <w:sz w:val="12"/>
                <w:szCs w:val="12"/>
              </w:rPr>
              <w:t>PL33</w:t>
            </w:r>
          </w:p>
        </w:tc>
        <w:tc>
          <w:tcPr>
            <w:tcW w:w="0" w:type="auto"/>
            <w:shd w:val="clear" w:color="auto" w:fill="auto"/>
          </w:tcPr>
          <w:p w14:paraId="61EBF9B9" w14:textId="77777777" w:rsidR="008C5CFA" w:rsidRPr="009C3005" w:rsidRDefault="00E82A60" w:rsidP="00300A01">
            <w:pPr>
              <w:pStyle w:val="Text1"/>
              <w:spacing w:before="0" w:after="0"/>
              <w:ind w:left="0"/>
              <w:jc w:val="right"/>
              <w:rPr>
                <w:sz w:val="12"/>
                <w:szCs w:val="12"/>
              </w:rPr>
            </w:pPr>
            <w:r w:rsidRPr="009C3005">
              <w:rPr>
                <w:noProof/>
                <w:sz w:val="12"/>
                <w:szCs w:val="12"/>
              </w:rPr>
              <w:t>13 264 419,58</w:t>
            </w:r>
          </w:p>
        </w:tc>
        <w:tc>
          <w:tcPr>
            <w:tcW w:w="0" w:type="auto"/>
            <w:shd w:val="clear" w:color="auto" w:fill="auto"/>
          </w:tcPr>
          <w:p w14:paraId="34D81635" w14:textId="77777777" w:rsidR="008C5CFA" w:rsidRPr="009C3005" w:rsidRDefault="00E82A60" w:rsidP="00300A01">
            <w:pPr>
              <w:pStyle w:val="Text1"/>
              <w:spacing w:before="0" w:after="0"/>
              <w:ind w:left="0"/>
              <w:jc w:val="right"/>
              <w:rPr>
                <w:sz w:val="12"/>
                <w:szCs w:val="12"/>
              </w:rPr>
            </w:pPr>
            <w:r w:rsidRPr="009C3005">
              <w:rPr>
                <w:noProof/>
                <w:sz w:val="12"/>
                <w:szCs w:val="12"/>
              </w:rPr>
              <w:t>7 331 380,29</w:t>
            </w:r>
          </w:p>
        </w:tc>
        <w:tc>
          <w:tcPr>
            <w:tcW w:w="0" w:type="auto"/>
            <w:shd w:val="clear" w:color="auto" w:fill="auto"/>
          </w:tcPr>
          <w:p w14:paraId="60D8CD96" w14:textId="77777777" w:rsidR="008C5CFA" w:rsidRPr="009C3005" w:rsidRDefault="00E82A60" w:rsidP="00300A01">
            <w:pPr>
              <w:pStyle w:val="Text1"/>
              <w:spacing w:before="0" w:after="0"/>
              <w:ind w:left="0"/>
              <w:jc w:val="right"/>
              <w:rPr>
                <w:sz w:val="12"/>
                <w:szCs w:val="12"/>
              </w:rPr>
            </w:pPr>
            <w:r w:rsidRPr="009C3005">
              <w:rPr>
                <w:noProof/>
                <w:sz w:val="12"/>
                <w:szCs w:val="12"/>
              </w:rPr>
              <w:t>6 045 584,12</w:t>
            </w:r>
          </w:p>
        </w:tc>
        <w:tc>
          <w:tcPr>
            <w:tcW w:w="0" w:type="auto"/>
            <w:shd w:val="clear" w:color="auto" w:fill="auto"/>
          </w:tcPr>
          <w:p w14:paraId="7853E7A1" w14:textId="77777777" w:rsidR="008C5CFA" w:rsidRPr="009C3005" w:rsidRDefault="00E82A60" w:rsidP="00300A01">
            <w:pPr>
              <w:pStyle w:val="Text1"/>
              <w:spacing w:before="0" w:after="0"/>
              <w:ind w:left="0"/>
              <w:jc w:val="right"/>
              <w:rPr>
                <w:sz w:val="12"/>
                <w:szCs w:val="12"/>
              </w:rPr>
            </w:pPr>
            <w:r w:rsidRPr="009C3005">
              <w:rPr>
                <w:noProof/>
                <w:sz w:val="12"/>
                <w:szCs w:val="12"/>
              </w:rPr>
              <w:t>35</w:t>
            </w:r>
          </w:p>
        </w:tc>
      </w:tr>
      <w:tr w:rsidR="006B2EC1" w14:paraId="7BE2E0D9" w14:textId="77777777" w:rsidTr="0047688D">
        <w:tc>
          <w:tcPr>
            <w:tcW w:w="0" w:type="auto"/>
            <w:shd w:val="clear" w:color="auto" w:fill="auto"/>
          </w:tcPr>
          <w:p w14:paraId="3C2EB54F" w14:textId="77777777" w:rsidR="008C5CFA" w:rsidRPr="009C3005" w:rsidRDefault="00E82A60" w:rsidP="00300A01">
            <w:pPr>
              <w:pStyle w:val="Text1"/>
              <w:spacing w:before="0" w:after="0"/>
              <w:ind w:left="0"/>
              <w:rPr>
                <w:sz w:val="12"/>
                <w:szCs w:val="12"/>
              </w:rPr>
            </w:pPr>
            <w:r>
              <w:rPr>
                <w:noProof/>
                <w:sz w:val="14"/>
                <w:szCs w:val="14"/>
                <w:lang w:val="fr-BE"/>
              </w:rPr>
              <w:t>2</w:t>
            </w:r>
          </w:p>
        </w:tc>
        <w:tc>
          <w:tcPr>
            <w:tcW w:w="0" w:type="auto"/>
            <w:shd w:val="clear" w:color="auto" w:fill="auto"/>
          </w:tcPr>
          <w:p w14:paraId="66EE7D4D" w14:textId="77777777" w:rsidR="008C5CFA" w:rsidRPr="009C3005" w:rsidRDefault="00E82A60" w:rsidP="00300A01">
            <w:pPr>
              <w:pStyle w:val="Text1"/>
              <w:spacing w:before="0" w:after="0"/>
              <w:ind w:left="0"/>
              <w:rPr>
                <w:sz w:val="12"/>
                <w:szCs w:val="12"/>
              </w:rPr>
            </w:pPr>
            <w:r>
              <w:rPr>
                <w:noProof/>
                <w:sz w:val="12"/>
                <w:szCs w:val="12"/>
              </w:rPr>
              <w:t>EFRR</w:t>
            </w:r>
          </w:p>
        </w:tc>
        <w:tc>
          <w:tcPr>
            <w:tcW w:w="0" w:type="auto"/>
            <w:shd w:val="clear" w:color="auto" w:fill="auto"/>
          </w:tcPr>
          <w:p w14:paraId="6649D880" w14:textId="77777777" w:rsidR="008C5CFA" w:rsidRPr="009C3005" w:rsidRDefault="00E82A60" w:rsidP="00300A01">
            <w:pPr>
              <w:pStyle w:val="Text1"/>
              <w:spacing w:before="0" w:after="0"/>
              <w:ind w:left="0"/>
              <w:rPr>
                <w:sz w:val="12"/>
                <w:szCs w:val="12"/>
              </w:rPr>
            </w:pPr>
            <w:r>
              <w:rPr>
                <w:noProof/>
                <w:sz w:val="12"/>
                <w:szCs w:val="12"/>
              </w:rPr>
              <w:t>Słabiej rozwinięte</w:t>
            </w:r>
          </w:p>
        </w:tc>
        <w:tc>
          <w:tcPr>
            <w:tcW w:w="0" w:type="auto"/>
            <w:shd w:val="clear" w:color="auto" w:fill="auto"/>
          </w:tcPr>
          <w:p w14:paraId="3A03850F" w14:textId="77777777" w:rsidR="008C5CFA" w:rsidRPr="009C3005" w:rsidRDefault="00E82A60" w:rsidP="00300A01">
            <w:pPr>
              <w:pStyle w:val="Text1"/>
              <w:spacing w:before="0" w:after="0"/>
              <w:ind w:left="0"/>
              <w:rPr>
                <w:sz w:val="12"/>
                <w:szCs w:val="12"/>
              </w:rPr>
            </w:pPr>
            <w:r>
              <w:rPr>
                <w:noProof/>
                <w:sz w:val="12"/>
                <w:szCs w:val="12"/>
              </w:rPr>
              <w:t>001</w:t>
            </w:r>
          </w:p>
        </w:tc>
        <w:tc>
          <w:tcPr>
            <w:tcW w:w="0" w:type="auto"/>
            <w:shd w:val="clear" w:color="auto" w:fill="auto"/>
          </w:tcPr>
          <w:p w14:paraId="34147321"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0F919B4C" w14:textId="77777777" w:rsidR="008C5CFA" w:rsidRPr="009C3005" w:rsidRDefault="00E82A60" w:rsidP="00300A01">
            <w:pPr>
              <w:pStyle w:val="Text1"/>
              <w:spacing w:before="0" w:after="0"/>
              <w:ind w:left="0"/>
              <w:rPr>
                <w:sz w:val="12"/>
                <w:szCs w:val="12"/>
              </w:rPr>
            </w:pPr>
            <w:r>
              <w:rPr>
                <w:noProof/>
                <w:sz w:val="12"/>
                <w:szCs w:val="12"/>
              </w:rPr>
              <w:t>02</w:t>
            </w:r>
          </w:p>
        </w:tc>
        <w:tc>
          <w:tcPr>
            <w:tcW w:w="0" w:type="auto"/>
            <w:shd w:val="clear" w:color="auto" w:fill="auto"/>
          </w:tcPr>
          <w:p w14:paraId="5FFF7212"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65C816F8" w14:textId="77777777" w:rsidR="008C5CFA" w:rsidRPr="009C3005" w:rsidRDefault="00E82A60" w:rsidP="00300A01">
            <w:pPr>
              <w:pStyle w:val="Text1"/>
              <w:spacing w:before="0" w:after="0"/>
              <w:ind w:left="0"/>
              <w:rPr>
                <w:sz w:val="12"/>
                <w:szCs w:val="12"/>
              </w:rPr>
            </w:pPr>
            <w:r>
              <w:rPr>
                <w:noProof/>
                <w:sz w:val="12"/>
                <w:szCs w:val="12"/>
              </w:rPr>
              <w:t>03</w:t>
            </w:r>
          </w:p>
        </w:tc>
        <w:tc>
          <w:tcPr>
            <w:tcW w:w="0" w:type="auto"/>
            <w:shd w:val="clear" w:color="auto" w:fill="auto"/>
          </w:tcPr>
          <w:p w14:paraId="482620A7" w14:textId="77777777" w:rsidR="008C5CFA" w:rsidRPr="009C3005" w:rsidRDefault="00E82A60" w:rsidP="00300A01">
            <w:pPr>
              <w:pStyle w:val="Text1"/>
              <w:spacing w:before="0" w:after="0"/>
              <w:ind w:left="0"/>
              <w:rPr>
                <w:sz w:val="12"/>
                <w:szCs w:val="12"/>
              </w:rPr>
            </w:pPr>
            <w:r>
              <w:rPr>
                <w:sz w:val="12"/>
                <w:szCs w:val="12"/>
              </w:rPr>
              <w:t xml:space="preserve"> </w:t>
            </w:r>
          </w:p>
        </w:tc>
        <w:tc>
          <w:tcPr>
            <w:tcW w:w="0" w:type="auto"/>
            <w:shd w:val="clear" w:color="auto" w:fill="auto"/>
          </w:tcPr>
          <w:p w14:paraId="79BF8A78" w14:textId="77777777" w:rsidR="008C5CFA" w:rsidRPr="009C3005" w:rsidRDefault="00E82A60" w:rsidP="00300A01">
            <w:pPr>
              <w:pStyle w:val="Text1"/>
              <w:spacing w:before="0" w:after="0"/>
              <w:ind w:left="0"/>
              <w:rPr>
                <w:sz w:val="12"/>
                <w:szCs w:val="12"/>
              </w:rPr>
            </w:pPr>
            <w:r>
              <w:rPr>
                <w:noProof/>
                <w:sz w:val="12"/>
                <w:szCs w:val="12"/>
              </w:rPr>
              <w:t>08</w:t>
            </w:r>
          </w:p>
        </w:tc>
        <w:tc>
          <w:tcPr>
            <w:tcW w:w="0" w:type="auto"/>
            <w:shd w:val="clear" w:color="auto" w:fill="auto"/>
          </w:tcPr>
          <w:p w14:paraId="44301BB3" w14:textId="77777777" w:rsidR="008C5CFA" w:rsidRPr="009C3005" w:rsidRDefault="00E82A60" w:rsidP="00300A01">
            <w:pPr>
              <w:pStyle w:val="Text1"/>
              <w:spacing w:before="0" w:after="0"/>
              <w:ind w:left="0"/>
              <w:rPr>
                <w:sz w:val="12"/>
                <w:szCs w:val="12"/>
              </w:rPr>
            </w:pPr>
            <w:r>
              <w:rPr>
                <w:noProof/>
                <w:sz w:val="12"/>
                <w:szCs w:val="12"/>
              </w:rPr>
              <w:t>PL33</w:t>
            </w:r>
          </w:p>
        </w:tc>
        <w:tc>
          <w:tcPr>
            <w:tcW w:w="0" w:type="auto"/>
            <w:shd w:val="clear" w:color="auto" w:fill="auto"/>
          </w:tcPr>
          <w:p w14:paraId="04A3707B" w14:textId="77777777" w:rsidR="008C5CFA" w:rsidRPr="009C3005" w:rsidRDefault="00E82A60" w:rsidP="00300A01">
            <w:pPr>
              <w:pStyle w:val="Text1"/>
              <w:spacing w:before="0" w:after="0"/>
              <w:ind w:left="0"/>
              <w:jc w:val="right"/>
              <w:rPr>
                <w:sz w:val="12"/>
                <w:szCs w:val="12"/>
              </w:rPr>
            </w:pPr>
            <w:r w:rsidRPr="009C3005">
              <w:rPr>
                <w:noProof/>
                <w:sz w:val="12"/>
                <w:szCs w:val="12"/>
              </w:rPr>
              <w:t>1 876 896,98</w:t>
            </w:r>
          </w:p>
        </w:tc>
        <w:tc>
          <w:tcPr>
            <w:tcW w:w="0" w:type="auto"/>
            <w:shd w:val="clear" w:color="auto" w:fill="auto"/>
          </w:tcPr>
          <w:p w14:paraId="0D1ED8FB" w14:textId="77777777" w:rsidR="008C5CFA" w:rsidRPr="009C3005" w:rsidRDefault="00E82A60" w:rsidP="00300A01">
            <w:pPr>
              <w:pStyle w:val="Text1"/>
              <w:spacing w:before="0" w:after="0"/>
              <w:ind w:left="0"/>
              <w:jc w:val="right"/>
              <w:rPr>
                <w:sz w:val="12"/>
                <w:szCs w:val="12"/>
              </w:rPr>
            </w:pPr>
            <w:r w:rsidRPr="009C3005">
              <w:rPr>
                <w:noProof/>
                <w:sz w:val="12"/>
                <w:szCs w:val="12"/>
              </w:rPr>
              <w:t>1 318 134,02</w:t>
            </w:r>
          </w:p>
        </w:tc>
        <w:tc>
          <w:tcPr>
            <w:tcW w:w="0" w:type="auto"/>
            <w:shd w:val="clear" w:color="auto" w:fill="auto"/>
          </w:tcPr>
          <w:p w14:paraId="7376D4CB" w14:textId="77777777" w:rsidR="008C5CFA" w:rsidRPr="009C3005" w:rsidRDefault="00E82A60" w:rsidP="00300A01">
            <w:pPr>
              <w:pStyle w:val="Text1"/>
              <w:spacing w:before="0" w:after="0"/>
              <w:ind w:left="0"/>
              <w:jc w:val="right"/>
              <w:rPr>
                <w:sz w:val="12"/>
                <w:szCs w:val="12"/>
              </w:rPr>
            </w:pPr>
            <w:r w:rsidRPr="009C3005">
              <w:rPr>
                <w:noProof/>
                <w:sz w:val="12"/>
                <w:szCs w:val="12"/>
              </w:rPr>
              <w:t>1 025 275,82</w:t>
            </w:r>
          </w:p>
        </w:tc>
        <w:tc>
          <w:tcPr>
            <w:tcW w:w="0" w:type="auto"/>
            <w:shd w:val="clear" w:color="auto" w:fill="auto"/>
          </w:tcPr>
          <w:p w14:paraId="30CE781E" w14:textId="77777777" w:rsidR="008C5CFA" w:rsidRPr="009C3005" w:rsidRDefault="00E82A60" w:rsidP="00300A01">
            <w:pPr>
              <w:pStyle w:val="Text1"/>
              <w:spacing w:before="0" w:after="0"/>
              <w:ind w:left="0"/>
              <w:jc w:val="right"/>
              <w:rPr>
                <w:sz w:val="12"/>
                <w:szCs w:val="12"/>
              </w:rPr>
            </w:pPr>
            <w:r w:rsidRPr="009C3005">
              <w:rPr>
                <w:noProof/>
                <w:sz w:val="12"/>
                <w:szCs w:val="12"/>
              </w:rPr>
              <w:t>8</w:t>
            </w:r>
          </w:p>
        </w:tc>
      </w:tr>
      <w:tr w:rsidR="006B2EC1" w14:paraId="2964D79B" w14:textId="77777777" w:rsidTr="0047688D">
        <w:tc>
          <w:tcPr>
            <w:tcW w:w="0" w:type="auto"/>
            <w:shd w:val="clear" w:color="auto" w:fill="auto"/>
          </w:tcPr>
          <w:p w14:paraId="49D8EFC0" w14:textId="77777777" w:rsidR="008C5CFA" w:rsidRPr="009C3005" w:rsidRDefault="00E82A60" w:rsidP="00300A01">
            <w:pPr>
              <w:pStyle w:val="Text1"/>
              <w:spacing w:before="0" w:after="0"/>
              <w:ind w:left="0"/>
              <w:rPr>
                <w:sz w:val="12"/>
                <w:szCs w:val="12"/>
              </w:rPr>
            </w:pPr>
            <w:r>
              <w:rPr>
                <w:noProof/>
                <w:sz w:val="14"/>
                <w:szCs w:val="14"/>
                <w:lang w:val="fr-BE"/>
              </w:rPr>
              <w:t>2</w:t>
            </w:r>
          </w:p>
        </w:tc>
        <w:tc>
          <w:tcPr>
            <w:tcW w:w="0" w:type="auto"/>
            <w:shd w:val="clear" w:color="auto" w:fill="auto"/>
          </w:tcPr>
          <w:p w14:paraId="2272699A" w14:textId="77777777" w:rsidR="008C5CFA" w:rsidRPr="009C3005" w:rsidRDefault="00E82A60" w:rsidP="00300A01">
            <w:pPr>
              <w:pStyle w:val="Text1"/>
              <w:spacing w:before="0" w:after="0"/>
              <w:ind w:left="0"/>
              <w:rPr>
                <w:sz w:val="12"/>
                <w:szCs w:val="12"/>
              </w:rPr>
            </w:pPr>
            <w:r>
              <w:rPr>
                <w:noProof/>
                <w:sz w:val="12"/>
                <w:szCs w:val="12"/>
              </w:rPr>
              <w:t>EFRR</w:t>
            </w:r>
          </w:p>
        </w:tc>
        <w:tc>
          <w:tcPr>
            <w:tcW w:w="0" w:type="auto"/>
            <w:shd w:val="clear" w:color="auto" w:fill="auto"/>
          </w:tcPr>
          <w:p w14:paraId="1A49EC0D" w14:textId="77777777" w:rsidR="008C5CFA" w:rsidRPr="009C3005" w:rsidRDefault="00E82A60" w:rsidP="00300A01">
            <w:pPr>
              <w:pStyle w:val="Text1"/>
              <w:spacing w:before="0" w:after="0"/>
              <w:ind w:left="0"/>
              <w:rPr>
                <w:sz w:val="12"/>
                <w:szCs w:val="12"/>
              </w:rPr>
            </w:pPr>
            <w:r>
              <w:rPr>
                <w:noProof/>
                <w:sz w:val="12"/>
                <w:szCs w:val="12"/>
              </w:rPr>
              <w:t>Słabiej rozwinięte</w:t>
            </w:r>
          </w:p>
        </w:tc>
        <w:tc>
          <w:tcPr>
            <w:tcW w:w="0" w:type="auto"/>
            <w:shd w:val="clear" w:color="auto" w:fill="auto"/>
          </w:tcPr>
          <w:p w14:paraId="20F15D8E" w14:textId="77777777" w:rsidR="008C5CFA" w:rsidRPr="009C3005" w:rsidRDefault="00E82A60" w:rsidP="00300A01">
            <w:pPr>
              <w:pStyle w:val="Text1"/>
              <w:spacing w:before="0" w:after="0"/>
              <w:ind w:left="0"/>
              <w:rPr>
                <w:sz w:val="12"/>
                <w:szCs w:val="12"/>
              </w:rPr>
            </w:pPr>
            <w:r>
              <w:rPr>
                <w:noProof/>
                <w:sz w:val="12"/>
                <w:szCs w:val="12"/>
              </w:rPr>
              <w:t>001</w:t>
            </w:r>
          </w:p>
        </w:tc>
        <w:tc>
          <w:tcPr>
            <w:tcW w:w="0" w:type="auto"/>
            <w:shd w:val="clear" w:color="auto" w:fill="auto"/>
          </w:tcPr>
          <w:p w14:paraId="669ED837"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76D9A8B1" w14:textId="77777777" w:rsidR="008C5CFA" w:rsidRPr="009C3005" w:rsidRDefault="00E82A60" w:rsidP="00300A01">
            <w:pPr>
              <w:pStyle w:val="Text1"/>
              <w:spacing w:before="0" w:after="0"/>
              <w:ind w:left="0"/>
              <w:rPr>
                <w:sz w:val="12"/>
                <w:szCs w:val="12"/>
              </w:rPr>
            </w:pPr>
            <w:r>
              <w:rPr>
                <w:noProof/>
                <w:sz w:val="12"/>
                <w:szCs w:val="12"/>
              </w:rPr>
              <w:t>02</w:t>
            </w:r>
          </w:p>
        </w:tc>
        <w:tc>
          <w:tcPr>
            <w:tcW w:w="0" w:type="auto"/>
            <w:shd w:val="clear" w:color="auto" w:fill="auto"/>
          </w:tcPr>
          <w:p w14:paraId="17299207"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30D3D69C" w14:textId="77777777" w:rsidR="008C5CFA" w:rsidRPr="009C3005" w:rsidRDefault="00E82A60" w:rsidP="00300A01">
            <w:pPr>
              <w:pStyle w:val="Text1"/>
              <w:spacing w:before="0" w:after="0"/>
              <w:ind w:left="0"/>
              <w:rPr>
                <w:sz w:val="12"/>
                <w:szCs w:val="12"/>
              </w:rPr>
            </w:pPr>
            <w:r>
              <w:rPr>
                <w:noProof/>
                <w:sz w:val="12"/>
                <w:szCs w:val="12"/>
              </w:rPr>
              <w:t>03</w:t>
            </w:r>
          </w:p>
        </w:tc>
        <w:tc>
          <w:tcPr>
            <w:tcW w:w="0" w:type="auto"/>
            <w:shd w:val="clear" w:color="auto" w:fill="auto"/>
          </w:tcPr>
          <w:p w14:paraId="49DCDDC3" w14:textId="77777777" w:rsidR="008C5CFA" w:rsidRPr="009C3005" w:rsidRDefault="00E82A60" w:rsidP="00300A01">
            <w:pPr>
              <w:pStyle w:val="Text1"/>
              <w:spacing w:before="0" w:after="0"/>
              <w:ind w:left="0"/>
              <w:rPr>
                <w:sz w:val="12"/>
                <w:szCs w:val="12"/>
              </w:rPr>
            </w:pPr>
            <w:r>
              <w:rPr>
                <w:sz w:val="12"/>
                <w:szCs w:val="12"/>
              </w:rPr>
              <w:t xml:space="preserve"> </w:t>
            </w:r>
          </w:p>
        </w:tc>
        <w:tc>
          <w:tcPr>
            <w:tcW w:w="0" w:type="auto"/>
            <w:shd w:val="clear" w:color="auto" w:fill="auto"/>
          </w:tcPr>
          <w:p w14:paraId="3934596F" w14:textId="77777777" w:rsidR="008C5CFA" w:rsidRPr="009C3005" w:rsidRDefault="00E82A60" w:rsidP="00300A01">
            <w:pPr>
              <w:pStyle w:val="Text1"/>
              <w:spacing w:before="0" w:after="0"/>
              <w:ind w:left="0"/>
              <w:rPr>
                <w:sz w:val="12"/>
                <w:szCs w:val="12"/>
              </w:rPr>
            </w:pPr>
            <w:r>
              <w:rPr>
                <w:noProof/>
                <w:sz w:val="12"/>
                <w:szCs w:val="12"/>
              </w:rPr>
              <w:t>09</w:t>
            </w:r>
          </w:p>
        </w:tc>
        <w:tc>
          <w:tcPr>
            <w:tcW w:w="0" w:type="auto"/>
            <w:shd w:val="clear" w:color="auto" w:fill="auto"/>
          </w:tcPr>
          <w:p w14:paraId="2857B7C4" w14:textId="77777777" w:rsidR="008C5CFA" w:rsidRPr="009C3005" w:rsidRDefault="00E82A60" w:rsidP="00300A01">
            <w:pPr>
              <w:pStyle w:val="Text1"/>
              <w:spacing w:before="0" w:after="0"/>
              <w:ind w:left="0"/>
              <w:rPr>
                <w:sz w:val="12"/>
                <w:szCs w:val="12"/>
              </w:rPr>
            </w:pPr>
            <w:r>
              <w:rPr>
                <w:noProof/>
                <w:sz w:val="12"/>
                <w:szCs w:val="12"/>
              </w:rPr>
              <w:t>PL33</w:t>
            </w:r>
          </w:p>
        </w:tc>
        <w:tc>
          <w:tcPr>
            <w:tcW w:w="0" w:type="auto"/>
            <w:shd w:val="clear" w:color="auto" w:fill="auto"/>
          </w:tcPr>
          <w:p w14:paraId="483195C5" w14:textId="77777777" w:rsidR="008C5CFA" w:rsidRPr="009C3005" w:rsidRDefault="00E82A60" w:rsidP="00300A01">
            <w:pPr>
              <w:pStyle w:val="Text1"/>
              <w:spacing w:before="0" w:after="0"/>
              <w:ind w:left="0"/>
              <w:jc w:val="right"/>
              <w:rPr>
                <w:sz w:val="12"/>
                <w:szCs w:val="12"/>
              </w:rPr>
            </w:pPr>
            <w:r w:rsidRPr="009C3005">
              <w:rPr>
                <w:noProof/>
                <w:sz w:val="12"/>
                <w:szCs w:val="12"/>
              </w:rPr>
              <w:t>223 564,59</w:t>
            </w:r>
          </w:p>
        </w:tc>
        <w:tc>
          <w:tcPr>
            <w:tcW w:w="0" w:type="auto"/>
            <w:shd w:val="clear" w:color="auto" w:fill="auto"/>
          </w:tcPr>
          <w:p w14:paraId="314B8FEB" w14:textId="77777777" w:rsidR="008C5CFA" w:rsidRPr="009C3005" w:rsidRDefault="00E82A60" w:rsidP="00300A01">
            <w:pPr>
              <w:pStyle w:val="Text1"/>
              <w:spacing w:before="0" w:after="0"/>
              <w:ind w:left="0"/>
              <w:jc w:val="right"/>
              <w:rPr>
                <w:sz w:val="12"/>
                <w:szCs w:val="12"/>
              </w:rPr>
            </w:pPr>
            <w:r w:rsidRPr="009C3005">
              <w:rPr>
                <w:noProof/>
                <w:sz w:val="12"/>
                <w:szCs w:val="12"/>
              </w:rPr>
              <w:t>169 909,09</w:t>
            </w:r>
          </w:p>
        </w:tc>
        <w:tc>
          <w:tcPr>
            <w:tcW w:w="0" w:type="auto"/>
            <w:shd w:val="clear" w:color="auto" w:fill="auto"/>
          </w:tcPr>
          <w:p w14:paraId="3ADCECAF" w14:textId="77777777" w:rsidR="008C5CFA" w:rsidRPr="009C3005" w:rsidRDefault="00E82A60" w:rsidP="00300A01">
            <w:pPr>
              <w:pStyle w:val="Text1"/>
              <w:spacing w:before="0" w:after="0"/>
              <w:ind w:left="0"/>
              <w:jc w:val="right"/>
              <w:rPr>
                <w:sz w:val="12"/>
                <w:szCs w:val="12"/>
              </w:rPr>
            </w:pPr>
            <w:r w:rsidRPr="009C3005">
              <w:rPr>
                <w:noProof/>
                <w:sz w:val="12"/>
                <w:szCs w:val="12"/>
              </w:rPr>
              <w:t>222 942,66</w:t>
            </w:r>
          </w:p>
        </w:tc>
        <w:tc>
          <w:tcPr>
            <w:tcW w:w="0" w:type="auto"/>
            <w:shd w:val="clear" w:color="auto" w:fill="auto"/>
          </w:tcPr>
          <w:p w14:paraId="4870C5E6" w14:textId="77777777" w:rsidR="008C5CFA" w:rsidRPr="009C3005" w:rsidRDefault="00E82A60" w:rsidP="00300A01">
            <w:pPr>
              <w:pStyle w:val="Text1"/>
              <w:spacing w:before="0" w:after="0"/>
              <w:ind w:left="0"/>
              <w:jc w:val="right"/>
              <w:rPr>
                <w:sz w:val="12"/>
                <w:szCs w:val="12"/>
              </w:rPr>
            </w:pPr>
            <w:r w:rsidRPr="009C3005">
              <w:rPr>
                <w:noProof/>
                <w:sz w:val="12"/>
                <w:szCs w:val="12"/>
              </w:rPr>
              <w:t>1</w:t>
            </w:r>
          </w:p>
        </w:tc>
      </w:tr>
      <w:tr w:rsidR="006B2EC1" w14:paraId="5B7A5E76" w14:textId="77777777" w:rsidTr="0047688D">
        <w:tc>
          <w:tcPr>
            <w:tcW w:w="0" w:type="auto"/>
            <w:shd w:val="clear" w:color="auto" w:fill="auto"/>
          </w:tcPr>
          <w:p w14:paraId="1CB020FD" w14:textId="77777777" w:rsidR="008C5CFA" w:rsidRPr="009C3005" w:rsidRDefault="00E82A60" w:rsidP="00300A01">
            <w:pPr>
              <w:pStyle w:val="Text1"/>
              <w:spacing w:before="0" w:after="0"/>
              <w:ind w:left="0"/>
              <w:rPr>
                <w:sz w:val="12"/>
                <w:szCs w:val="12"/>
              </w:rPr>
            </w:pPr>
            <w:r>
              <w:rPr>
                <w:noProof/>
                <w:sz w:val="14"/>
                <w:szCs w:val="14"/>
                <w:lang w:val="fr-BE"/>
              </w:rPr>
              <w:t>2</w:t>
            </w:r>
          </w:p>
        </w:tc>
        <w:tc>
          <w:tcPr>
            <w:tcW w:w="0" w:type="auto"/>
            <w:shd w:val="clear" w:color="auto" w:fill="auto"/>
          </w:tcPr>
          <w:p w14:paraId="2BEE4EEC" w14:textId="77777777" w:rsidR="008C5CFA" w:rsidRPr="009C3005" w:rsidRDefault="00E82A60" w:rsidP="00300A01">
            <w:pPr>
              <w:pStyle w:val="Text1"/>
              <w:spacing w:before="0" w:after="0"/>
              <w:ind w:left="0"/>
              <w:rPr>
                <w:sz w:val="12"/>
                <w:szCs w:val="12"/>
              </w:rPr>
            </w:pPr>
            <w:r>
              <w:rPr>
                <w:noProof/>
                <w:sz w:val="12"/>
                <w:szCs w:val="12"/>
              </w:rPr>
              <w:t>EFRR</w:t>
            </w:r>
          </w:p>
        </w:tc>
        <w:tc>
          <w:tcPr>
            <w:tcW w:w="0" w:type="auto"/>
            <w:shd w:val="clear" w:color="auto" w:fill="auto"/>
          </w:tcPr>
          <w:p w14:paraId="7056725F" w14:textId="77777777" w:rsidR="008C5CFA" w:rsidRPr="009C3005" w:rsidRDefault="00E82A60" w:rsidP="00300A01">
            <w:pPr>
              <w:pStyle w:val="Text1"/>
              <w:spacing w:before="0" w:after="0"/>
              <w:ind w:left="0"/>
              <w:rPr>
                <w:sz w:val="12"/>
                <w:szCs w:val="12"/>
              </w:rPr>
            </w:pPr>
            <w:r>
              <w:rPr>
                <w:noProof/>
                <w:sz w:val="12"/>
                <w:szCs w:val="12"/>
              </w:rPr>
              <w:t>Słabiej rozwinięte</w:t>
            </w:r>
          </w:p>
        </w:tc>
        <w:tc>
          <w:tcPr>
            <w:tcW w:w="0" w:type="auto"/>
            <w:shd w:val="clear" w:color="auto" w:fill="auto"/>
          </w:tcPr>
          <w:p w14:paraId="3F6EA105" w14:textId="77777777" w:rsidR="008C5CFA" w:rsidRPr="009C3005" w:rsidRDefault="00E82A60" w:rsidP="00300A01">
            <w:pPr>
              <w:pStyle w:val="Text1"/>
              <w:spacing w:before="0" w:after="0"/>
              <w:ind w:left="0"/>
              <w:rPr>
                <w:sz w:val="12"/>
                <w:szCs w:val="12"/>
              </w:rPr>
            </w:pPr>
            <w:r>
              <w:rPr>
                <w:noProof/>
                <w:sz w:val="12"/>
                <w:szCs w:val="12"/>
              </w:rPr>
              <w:t>001</w:t>
            </w:r>
          </w:p>
        </w:tc>
        <w:tc>
          <w:tcPr>
            <w:tcW w:w="0" w:type="auto"/>
            <w:shd w:val="clear" w:color="auto" w:fill="auto"/>
          </w:tcPr>
          <w:p w14:paraId="1224160F"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0D6EFDBE" w14:textId="77777777" w:rsidR="008C5CFA" w:rsidRPr="009C3005" w:rsidRDefault="00E82A60" w:rsidP="00300A01">
            <w:pPr>
              <w:pStyle w:val="Text1"/>
              <w:spacing w:before="0" w:after="0"/>
              <w:ind w:left="0"/>
              <w:rPr>
                <w:sz w:val="12"/>
                <w:szCs w:val="12"/>
              </w:rPr>
            </w:pPr>
            <w:r>
              <w:rPr>
                <w:noProof/>
                <w:sz w:val="12"/>
                <w:szCs w:val="12"/>
              </w:rPr>
              <w:t>02</w:t>
            </w:r>
          </w:p>
        </w:tc>
        <w:tc>
          <w:tcPr>
            <w:tcW w:w="0" w:type="auto"/>
            <w:shd w:val="clear" w:color="auto" w:fill="auto"/>
          </w:tcPr>
          <w:p w14:paraId="76090FA7"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54AA6B42" w14:textId="77777777" w:rsidR="008C5CFA" w:rsidRPr="009C3005" w:rsidRDefault="00E82A60" w:rsidP="00300A01">
            <w:pPr>
              <w:pStyle w:val="Text1"/>
              <w:spacing w:before="0" w:after="0"/>
              <w:ind w:left="0"/>
              <w:rPr>
                <w:sz w:val="12"/>
                <w:szCs w:val="12"/>
              </w:rPr>
            </w:pPr>
            <w:r>
              <w:rPr>
                <w:noProof/>
                <w:sz w:val="12"/>
                <w:szCs w:val="12"/>
              </w:rPr>
              <w:t>03</w:t>
            </w:r>
          </w:p>
        </w:tc>
        <w:tc>
          <w:tcPr>
            <w:tcW w:w="0" w:type="auto"/>
            <w:shd w:val="clear" w:color="auto" w:fill="auto"/>
          </w:tcPr>
          <w:p w14:paraId="28E1AAE7" w14:textId="77777777" w:rsidR="008C5CFA" w:rsidRPr="009C3005" w:rsidRDefault="00E82A60" w:rsidP="00300A01">
            <w:pPr>
              <w:pStyle w:val="Text1"/>
              <w:spacing w:before="0" w:after="0"/>
              <w:ind w:left="0"/>
              <w:rPr>
                <w:sz w:val="12"/>
                <w:szCs w:val="12"/>
              </w:rPr>
            </w:pPr>
            <w:r>
              <w:rPr>
                <w:sz w:val="12"/>
                <w:szCs w:val="12"/>
              </w:rPr>
              <w:t xml:space="preserve"> </w:t>
            </w:r>
          </w:p>
        </w:tc>
        <w:tc>
          <w:tcPr>
            <w:tcW w:w="0" w:type="auto"/>
            <w:shd w:val="clear" w:color="auto" w:fill="auto"/>
          </w:tcPr>
          <w:p w14:paraId="74663748" w14:textId="77777777" w:rsidR="008C5CFA" w:rsidRPr="009C3005" w:rsidRDefault="00E82A60" w:rsidP="00300A01">
            <w:pPr>
              <w:pStyle w:val="Text1"/>
              <w:spacing w:before="0" w:after="0"/>
              <w:ind w:left="0"/>
              <w:rPr>
                <w:sz w:val="12"/>
                <w:szCs w:val="12"/>
              </w:rPr>
            </w:pPr>
            <w:r>
              <w:rPr>
                <w:noProof/>
                <w:sz w:val="12"/>
                <w:szCs w:val="12"/>
              </w:rPr>
              <w:t>14</w:t>
            </w:r>
          </w:p>
        </w:tc>
        <w:tc>
          <w:tcPr>
            <w:tcW w:w="0" w:type="auto"/>
            <w:shd w:val="clear" w:color="auto" w:fill="auto"/>
          </w:tcPr>
          <w:p w14:paraId="1063BD6B" w14:textId="77777777" w:rsidR="008C5CFA" w:rsidRPr="009C3005" w:rsidRDefault="00E82A60" w:rsidP="00300A01">
            <w:pPr>
              <w:pStyle w:val="Text1"/>
              <w:spacing w:before="0" w:after="0"/>
              <w:ind w:left="0"/>
              <w:rPr>
                <w:sz w:val="12"/>
                <w:szCs w:val="12"/>
              </w:rPr>
            </w:pPr>
            <w:r>
              <w:rPr>
                <w:noProof/>
                <w:sz w:val="12"/>
                <w:szCs w:val="12"/>
              </w:rPr>
              <w:t>PL33</w:t>
            </w:r>
          </w:p>
        </w:tc>
        <w:tc>
          <w:tcPr>
            <w:tcW w:w="0" w:type="auto"/>
            <w:shd w:val="clear" w:color="auto" w:fill="auto"/>
          </w:tcPr>
          <w:p w14:paraId="5D6679E0" w14:textId="77777777" w:rsidR="008C5CFA" w:rsidRPr="009C3005" w:rsidRDefault="00E82A60" w:rsidP="00300A01">
            <w:pPr>
              <w:pStyle w:val="Text1"/>
              <w:spacing w:before="0" w:after="0"/>
              <w:ind w:left="0"/>
              <w:jc w:val="right"/>
              <w:rPr>
                <w:sz w:val="12"/>
                <w:szCs w:val="12"/>
              </w:rPr>
            </w:pPr>
            <w:r w:rsidRPr="009C3005">
              <w:rPr>
                <w:noProof/>
                <w:sz w:val="12"/>
                <w:szCs w:val="12"/>
              </w:rPr>
              <w:t>444 264,34</w:t>
            </w:r>
          </w:p>
        </w:tc>
        <w:tc>
          <w:tcPr>
            <w:tcW w:w="0" w:type="auto"/>
            <w:shd w:val="clear" w:color="auto" w:fill="auto"/>
          </w:tcPr>
          <w:p w14:paraId="3F5E7592" w14:textId="77777777" w:rsidR="008C5CFA" w:rsidRPr="009C3005" w:rsidRDefault="00E82A60" w:rsidP="00300A01">
            <w:pPr>
              <w:pStyle w:val="Text1"/>
              <w:spacing w:before="0" w:after="0"/>
              <w:ind w:left="0"/>
              <w:jc w:val="right"/>
              <w:rPr>
                <w:sz w:val="12"/>
                <w:szCs w:val="12"/>
              </w:rPr>
            </w:pPr>
            <w:r w:rsidRPr="009C3005">
              <w:rPr>
                <w:noProof/>
                <w:sz w:val="12"/>
                <w:szCs w:val="12"/>
              </w:rPr>
              <w:t>344 155,61</w:t>
            </w:r>
          </w:p>
        </w:tc>
        <w:tc>
          <w:tcPr>
            <w:tcW w:w="0" w:type="auto"/>
            <w:shd w:val="clear" w:color="auto" w:fill="auto"/>
          </w:tcPr>
          <w:p w14:paraId="25D12ACC" w14:textId="77777777" w:rsidR="008C5CFA" w:rsidRPr="009C3005" w:rsidRDefault="00E82A60" w:rsidP="00300A01">
            <w:pPr>
              <w:pStyle w:val="Text1"/>
              <w:spacing w:before="0" w:after="0"/>
              <w:ind w:left="0"/>
              <w:jc w:val="right"/>
              <w:rPr>
                <w:sz w:val="12"/>
                <w:szCs w:val="12"/>
              </w:rPr>
            </w:pPr>
            <w:r w:rsidRPr="009C3005">
              <w:rPr>
                <w:noProof/>
                <w:sz w:val="12"/>
                <w:szCs w:val="12"/>
              </w:rPr>
              <w:t>233 537,72</w:t>
            </w:r>
          </w:p>
        </w:tc>
        <w:tc>
          <w:tcPr>
            <w:tcW w:w="0" w:type="auto"/>
            <w:shd w:val="clear" w:color="auto" w:fill="auto"/>
          </w:tcPr>
          <w:p w14:paraId="646395E5" w14:textId="77777777" w:rsidR="008C5CFA" w:rsidRPr="009C3005" w:rsidRDefault="00E82A60" w:rsidP="00300A01">
            <w:pPr>
              <w:pStyle w:val="Text1"/>
              <w:spacing w:before="0" w:after="0"/>
              <w:ind w:left="0"/>
              <w:jc w:val="right"/>
              <w:rPr>
                <w:sz w:val="12"/>
                <w:szCs w:val="12"/>
              </w:rPr>
            </w:pPr>
            <w:r w:rsidRPr="009C3005">
              <w:rPr>
                <w:noProof/>
                <w:sz w:val="12"/>
                <w:szCs w:val="12"/>
              </w:rPr>
              <w:t>2</w:t>
            </w:r>
          </w:p>
        </w:tc>
      </w:tr>
      <w:tr w:rsidR="006B2EC1" w14:paraId="0E4064D1" w14:textId="77777777" w:rsidTr="0047688D">
        <w:tc>
          <w:tcPr>
            <w:tcW w:w="0" w:type="auto"/>
            <w:shd w:val="clear" w:color="auto" w:fill="auto"/>
          </w:tcPr>
          <w:p w14:paraId="0086C0C5" w14:textId="77777777" w:rsidR="008C5CFA" w:rsidRPr="009C3005" w:rsidRDefault="00E82A60" w:rsidP="00300A01">
            <w:pPr>
              <w:pStyle w:val="Text1"/>
              <w:spacing w:before="0" w:after="0"/>
              <w:ind w:left="0"/>
              <w:rPr>
                <w:sz w:val="12"/>
                <w:szCs w:val="12"/>
              </w:rPr>
            </w:pPr>
            <w:r>
              <w:rPr>
                <w:noProof/>
                <w:sz w:val="14"/>
                <w:szCs w:val="14"/>
                <w:lang w:val="fr-BE"/>
              </w:rPr>
              <w:t>2</w:t>
            </w:r>
          </w:p>
        </w:tc>
        <w:tc>
          <w:tcPr>
            <w:tcW w:w="0" w:type="auto"/>
            <w:shd w:val="clear" w:color="auto" w:fill="auto"/>
          </w:tcPr>
          <w:p w14:paraId="4C9DE842" w14:textId="77777777" w:rsidR="008C5CFA" w:rsidRPr="009C3005" w:rsidRDefault="00E82A60" w:rsidP="00300A01">
            <w:pPr>
              <w:pStyle w:val="Text1"/>
              <w:spacing w:before="0" w:after="0"/>
              <w:ind w:left="0"/>
              <w:rPr>
                <w:sz w:val="12"/>
                <w:szCs w:val="12"/>
              </w:rPr>
            </w:pPr>
            <w:r>
              <w:rPr>
                <w:noProof/>
                <w:sz w:val="12"/>
                <w:szCs w:val="12"/>
              </w:rPr>
              <w:t>EFRR</w:t>
            </w:r>
          </w:p>
        </w:tc>
        <w:tc>
          <w:tcPr>
            <w:tcW w:w="0" w:type="auto"/>
            <w:shd w:val="clear" w:color="auto" w:fill="auto"/>
          </w:tcPr>
          <w:p w14:paraId="60E409A3" w14:textId="77777777" w:rsidR="008C5CFA" w:rsidRPr="009C3005" w:rsidRDefault="00E82A60" w:rsidP="00300A01">
            <w:pPr>
              <w:pStyle w:val="Text1"/>
              <w:spacing w:before="0" w:after="0"/>
              <w:ind w:left="0"/>
              <w:rPr>
                <w:sz w:val="12"/>
                <w:szCs w:val="12"/>
              </w:rPr>
            </w:pPr>
            <w:r>
              <w:rPr>
                <w:noProof/>
                <w:sz w:val="12"/>
                <w:szCs w:val="12"/>
              </w:rPr>
              <w:t>Słabiej rozwinięte</w:t>
            </w:r>
          </w:p>
        </w:tc>
        <w:tc>
          <w:tcPr>
            <w:tcW w:w="0" w:type="auto"/>
            <w:shd w:val="clear" w:color="auto" w:fill="auto"/>
          </w:tcPr>
          <w:p w14:paraId="27529978" w14:textId="77777777" w:rsidR="008C5CFA" w:rsidRPr="009C3005" w:rsidRDefault="00E82A60" w:rsidP="00300A01">
            <w:pPr>
              <w:pStyle w:val="Text1"/>
              <w:spacing w:before="0" w:after="0"/>
              <w:ind w:left="0"/>
              <w:rPr>
                <w:sz w:val="12"/>
                <w:szCs w:val="12"/>
              </w:rPr>
            </w:pPr>
            <w:r>
              <w:rPr>
                <w:noProof/>
                <w:sz w:val="12"/>
                <w:szCs w:val="12"/>
              </w:rPr>
              <w:t>001</w:t>
            </w:r>
          </w:p>
        </w:tc>
        <w:tc>
          <w:tcPr>
            <w:tcW w:w="0" w:type="auto"/>
            <w:shd w:val="clear" w:color="auto" w:fill="auto"/>
          </w:tcPr>
          <w:p w14:paraId="26D64F9C"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06B8E44C" w14:textId="77777777" w:rsidR="008C5CFA" w:rsidRPr="009C3005" w:rsidRDefault="00E82A60" w:rsidP="00300A01">
            <w:pPr>
              <w:pStyle w:val="Text1"/>
              <w:spacing w:before="0" w:after="0"/>
              <w:ind w:left="0"/>
              <w:rPr>
                <w:sz w:val="12"/>
                <w:szCs w:val="12"/>
              </w:rPr>
            </w:pPr>
            <w:r>
              <w:rPr>
                <w:noProof/>
                <w:sz w:val="12"/>
                <w:szCs w:val="12"/>
              </w:rPr>
              <w:t>02</w:t>
            </w:r>
          </w:p>
        </w:tc>
        <w:tc>
          <w:tcPr>
            <w:tcW w:w="0" w:type="auto"/>
            <w:shd w:val="clear" w:color="auto" w:fill="auto"/>
          </w:tcPr>
          <w:p w14:paraId="7E1AFC2A"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6C48DF2D" w14:textId="77777777" w:rsidR="008C5CFA" w:rsidRPr="009C3005" w:rsidRDefault="00E82A60" w:rsidP="00300A01">
            <w:pPr>
              <w:pStyle w:val="Text1"/>
              <w:spacing w:before="0" w:after="0"/>
              <w:ind w:left="0"/>
              <w:rPr>
                <w:sz w:val="12"/>
                <w:szCs w:val="12"/>
              </w:rPr>
            </w:pPr>
            <w:r>
              <w:rPr>
                <w:noProof/>
                <w:sz w:val="12"/>
                <w:szCs w:val="12"/>
              </w:rPr>
              <w:t>03</w:t>
            </w:r>
          </w:p>
        </w:tc>
        <w:tc>
          <w:tcPr>
            <w:tcW w:w="0" w:type="auto"/>
            <w:shd w:val="clear" w:color="auto" w:fill="auto"/>
          </w:tcPr>
          <w:p w14:paraId="42A6AE5E" w14:textId="77777777" w:rsidR="008C5CFA" w:rsidRPr="009C3005" w:rsidRDefault="00E82A60" w:rsidP="00300A01">
            <w:pPr>
              <w:pStyle w:val="Text1"/>
              <w:spacing w:before="0" w:after="0"/>
              <w:ind w:left="0"/>
              <w:rPr>
                <w:sz w:val="12"/>
                <w:szCs w:val="12"/>
              </w:rPr>
            </w:pPr>
            <w:r>
              <w:rPr>
                <w:sz w:val="12"/>
                <w:szCs w:val="12"/>
              </w:rPr>
              <w:t xml:space="preserve"> </w:t>
            </w:r>
          </w:p>
        </w:tc>
        <w:tc>
          <w:tcPr>
            <w:tcW w:w="0" w:type="auto"/>
            <w:shd w:val="clear" w:color="auto" w:fill="auto"/>
          </w:tcPr>
          <w:p w14:paraId="0F7C3115" w14:textId="77777777" w:rsidR="008C5CFA" w:rsidRPr="009C3005" w:rsidRDefault="00E82A60" w:rsidP="00300A01">
            <w:pPr>
              <w:pStyle w:val="Text1"/>
              <w:spacing w:before="0" w:after="0"/>
              <w:ind w:left="0"/>
              <w:rPr>
                <w:sz w:val="12"/>
                <w:szCs w:val="12"/>
              </w:rPr>
            </w:pPr>
            <w:r>
              <w:rPr>
                <w:noProof/>
                <w:sz w:val="12"/>
                <w:szCs w:val="12"/>
              </w:rPr>
              <w:t>15</w:t>
            </w:r>
          </w:p>
        </w:tc>
        <w:tc>
          <w:tcPr>
            <w:tcW w:w="0" w:type="auto"/>
            <w:shd w:val="clear" w:color="auto" w:fill="auto"/>
          </w:tcPr>
          <w:p w14:paraId="2A739972" w14:textId="77777777" w:rsidR="008C5CFA" w:rsidRPr="009C3005" w:rsidRDefault="00E82A60" w:rsidP="00300A01">
            <w:pPr>
              <w:pStyle w:val="Text1"/>
              <w:spacing w:before="0" w:after="0"/>
              <w:ind w:left="0"/>
              <w:rPr>
                <w:sz w:val="12"/>
                <w:szCs w:val="12"/>
              </w:rPr>
            </w:pPr>
            <w:r>
              <w:rPr>
                <w:noProof/>
                <w:sz w:val="12"/>
                <w:szCs w:val="12"/>
              </w:rPr>
              <w:t>PL33</w:t>
            </w:r>
          </w:p>
        </w:tc>
        <w:tc>
          <w:tcPr>
            <w:tcW w:w="0" w:type="auto"/>
            <w:shd w:val="clear" w:color="auto" w:fill="auto"/>
          </w:tcPr>
          <w:p w14:paraId="2FD26156" w14:textId="77777777" w:rsidR="008C5CFA" w:rsidRPr="009C3005" w:rsidRDefault="00E82A60" w:rsidP="00300A01">
            <w:pPr>
              <w:pStyle w:val="Text1"/>
              <w:spacing w:before="0" w:after="0"/>
              <w:ind w:left="0"/>
              <w:jc w:val="right"/>
              <w:rPr>
                <w:sz w:val="12"/>
                <w:szCs w:val="12"/>
              </w:rPr>
            </w:pPr>
            <w:r w:rsidRPr="009C3005">
              <w:rPr>
                <w:noProof/>
                <w:sz w:val="12"/>
                <w:szCs w:val="12"/>
              </w:rPr>
              <w:t>386 058,41</w:t>
            </w:r>
          </w:p>
        </w:tc>
        <w:tc>
          <w:tcPr>
            <w:tcW w:w="0" w:type="auto"/>
            <w:shd w:val="clear" w:color="auto" w:fill="auto"/>
          </w:tcPr>
          <w:p w14:paraId="34ECFF8D" w14:textId="77777777" w:rsidR="008C5CFA" w:rsidRPr="009C3005" w:rsidRDefault="00E82A60" w:rsidP="00300A01">
            <w:pPr>
              <w:pStyle w:val="Text1"/>
              <w:spacing w:before="0" w:after="0"/>
              <w:ind w:left="0"/>
              <w:jc w:val="right"/>
              <w:rPr>
                <w:sz w:val="12"/>
                <w:szCs w:val="12"/>
              </w:rPr>
            </w:pPr>
            <w:r w:rsidRPr="009C3005">
              <w:rPr>
                <w:noProof/>
                <w:sz w:val="12"/>
                <w:szCs w:val="12"/>
              </w:rPr>
              <w:t>212 319,93</w:t>
            </w:r>
          </w:p>
        </w:tc>
        <w:tc>
          <w:tcPr>
            <w:tcW w:w="0" w:type="auto"/>
            <w:shd w:val="clear" w:color="auto" w:fill="auto"/>
          </w:tcPr>
          <w:p w14:paraId="03149FDD" w14:textId="77777777" w:rsidR="008C5CFA" w:rsidRPr="009C3005" w:rsidRDefault="00E82A60" w:rsidP="00300A01">
            <w:pPr>
              <w:pStyle w:val="Text1"/>
              <w:spacing w:before="0" w:after="0"/>
              <w:ind w:left="0"/>
              <w:jc w:val="right"/>
              <w:rPr>
                <w:sz w:val="12"/>
                <w:szCs w:val="12"/>
              </w:rPr>
            </w:pPr>
            <w:r w:rsidRPr="009C3005">
              <w:rPr>
                <w:noProof/>
                <w:sz w:val="12"/>
                <w:szCs w:val="12"/>
              </w:rPr>
              <w:t>584,06</w:t>
            </w:r>
          </w:p>
        </w:tc>
        <w:tc>
          <w:tcPr>
            <w:tcW w:w="0" w:type="auto"/>
            <w:shd w:val="clear" w:color="auto" w:fill="auto"/>
          </w:tcPr>
          <w:p w14:paraId="49459A61" w14:textId="77777777" w:rsidR="008C5CFA" w:rsidRPr="009C3005" w:rsidRDefault="00E82A60" w:rsidP="00300A01">
            <w:pPr>
              <w:pStyle w:val="Text1"/>
              <w:spacing w:before="0" w:after="0"/>
              <w:ind w:left="0"/>
              <w:jc w:val="right"/>
              <w:rPr>
                <w:sz w:val="12"/>
                <w:szCs w:val="12"/>
              </w:rPr>
            </w:pPr>
            <w:r w:rsidRPr="009C3005">
              <w:rPr>
                <w:noProof/>
                <w:sz w:val="12"/>
                <w:szCs w:val="12"/>
              </w:rPr>
              <w:t>2</w:t>
            </w:r>
          </w:p>
        </w:tc>
      </w:tr>
      <w:tr w:rsidR="006B2EC1" w14:paraId="5B43E91C" w14:textId="77777777" w:rsidTr="0047688D">
        <w:tc>
          <w:tcPr>
            <w:tcW w:w="0" w:type="auto"/>
            <w:shd w:val="clear" w:color="auto" w:fill="auto"/>
          </w:tcPr>
          <w:p w14:paraId="57686DC8" w14:textId="77777777" w:rsidR="008C5CFA" w:rsidRPr="009C3005" w:rsidRDefault="00E82A60" w:rsidP="00300A01">
            <w:pPr>
              <w:pStyle w:val="Text1"/>
              <w:spacing w:before="0" w:after="0"/>
              <w:ind w:left="0"/>
              <w:rPr>
                <w:sz w:val="12"/>
                <w:szCs w:val="12"/>
              </w:rPr>
            </w:pPr>
            <w:r>
              <w:rPr>
                <w:noProof/>
                <w:sz w:val="14"/>
                <w:szCs w:val="14"/>
                <w:lang w:val="fr-BE"/>
              </w:rPr>
              <w:t>2</w:t>
            </w:r>
          </w:p>
        </w:tc>
        <w:tc>
          <w:tcPr>
            <w:tcW w:w="0" w:type="auto"/>
            <w:shd w:val="clear" w:color="auto" w:fill="auto"/>
          </w:tcPr>
          <w:p w14:paraId="5C4872E9" w14:textId="77777777" w:rsidR="008C5CFA" w:rsidRPr="009C3005" w:rsidRDefault="00E82A60" w:rsidP="00300A01">
            <w:pPr>
              <w:pStyle w:val="Text1"/>
              <w:spacing w:before="0" w:after="0"/>
              <w:ind w:left="0"/>
              <w:rPr>
                <w:sz w:val="12"/>
                <w:szCs w:val="12"/>
              </w:rPr>
            </w:pPr>
            <w:r>
              <w:rPr>
                <w:noProof/>
                <w:sz w:val="12"/>
                <w:szCs w:val="12"/>
              </w:rPr>
              <w:t>EFRR</w:t>
            </w:r>
          </w:p>
        </w:tc>
        <w:tc>
          <w:tcPr>
            <w:tcW w:w="0" w:type="auto"/>
            <w:shd w:val="clear" w:color="auto" w:fill="auto"/>
          </w:tcPr>
          <w:p w14:paraId="626D4C01" w14:textId="77777777" w:rsidR="008C5CFA" w:rsidRPr="009C3005" w:rsidRDefault="00E82A60" w:rsidP="00300A01">
            <w:pPr>
              <w:pStyle w:val="Text1"/>
              <w:spacing w:before="0" w:after="0"/>
              <w:ind w:left="0"/>
              <w:rPr>
                <w:sz w:val="12"/>
                <w:szCs w:val="12"/>
              </w:rPr>
            </w:pPr>
            <w:r>
              <w:rPr>
                <w:noProof/>
                <w:sz w:val="12"/>
                <w:szCs w:val="12"/>
              </w:rPr>
              <w:t>Słabiej rozwinięte</w:t>
            </w:r>
          </w:p>
        </w:tc>
        <w:tc>
          <w:tcPr>
            <w:tcW w:w="0" w:type="auto"/>
            <w:shd w:val="clear" w:color="auto" w:fill="auto"/>
          </w:tcPr>
          <w:p w14:paraId="1609A9C4" w14:textId="77777777" w:rsidR="008C5CFA" w:rsidRPr="009C3005" w:rsidRDefault="00E82A60" w:rsidP="00300A01">
            <w:pPr>
              <w:pStyle w:val="Text1"/>
              <w:spacing w:before="0" w:after="0"/>
              <w:ind w:left="0"/>
              <w:rPr>
                <w:sz w:val="12"/>
                <w:szCs w:val="12"/>
              </w:rPr>
            </w:pPr>
            <w:r>
              <w:rPr>
                <w:noProof/>
                <w:sz w:val="12"/>
                <w:szCs w:val="12"/>
              </w:rPr>
              <w:t>001</w:t>
            </w:r>
          </w:p>
        </w:tc>
        <w:tc>
          <w:tcPr>
            <w:tcW w:w="0" w:type="auto"/>
            <w:shd w:val="clear" w:color="auto" w:fill="auto"/>
          </w:tcPr>
          <w:p w14:paraId="0BC29128"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424773EA" w14:textId="77777777" w:rsidR="008C5CFA" w:rsidRPr="009C3005" w:rsidRDefault="00E82A60" w:rsidP="00300A01">
            <w:pPr>
              <w:pStyle w:val="Text1"/>
              <w:spacing w:before="0" w:after="0"/>
              <w:ind w:left="0"/>
              <w:rPr>
                <w:sz w:val="12"/>
                <w:szCs w:val="12"/>
              </w:rPr>
            </w:pPr>
            <w:r>
              <w:rPr>
                <w:noProof/>
                <w:sz w:val="12"/>
                <w:szCs w:val="12"/>
              </w:rPr>
              <w:t>02</w:t>
            </w:r>
          </w:p>
        </w:tc>
        <w:tc>
          <w:tcPr>
            <w:tcW w:w="0" w:type="auto"/>
            <w:shd w:val="clear" w:color="auto" w:fill="auto"/>
          </w:tcPr>
          <w:p w14:paraId="4A369D51"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2C3E06F1" w14:textId="77777777" w:rsidR="008C5CFA" w:rsidRPr="009C3005" w:rsidRDefault="00E82A60" w:rsidP="00300A01">
            <w:pPr>
              <w:pStyle w:val="Text1"/>
              <w:spacing w:before="0" w:after="0"/>
              <w:ind w:left="0"/>
              <w:rPr>
                <w:sz w:val="12"/>
                <w:szCs w:val="12"/>
              </w:rPr>
            </w:pPr>
            <w:r>
              <w:rPr>
                <w:noProof/>
                <w:sz w:val="12"/>
                <w:szCs w:val="12"/>
              </w:rPr>
              <w:t>03</w:t>
            </w:r>
          </w:p>
        </w:tc>
        <w:tc>
          <w:tcPr>
            <w:tcW w:w="0" w:type="auto"/>
            <w:shd w:val="clear" w:color="auto" w:fill="auto"/>
          </w:tcPr>
          <w:p w14:paraId="629D0F36" w14:textId="77777777" w:rsidR="008C5CFA" w:rsidRPr="009C3005" w:rsidRDefault="00E82A60" w:rsidP="00300A01">
            <w:pPr>
              <w:pStyle w:val="Text1"/>
              <w:spacing w:before="0" w:after="0"/>
              <w:ind w:left="0"/>
              <w:rPr>
                <w:sz w:val="12"/>
                <w:szCs w:val="12"/>
              </w:rPr>
            </w:pPr>
            <w:r>
              <w:rPr>
                <w:sz w:val="12"/>
                <w:szCs w:val="12"/>
              </w:rPr>
              <w:t xml:space="preserve"> </w:t>
            </w:r>
          </w:p>
        </w:tc>
        <w:tc>
          <w:tcPr>
            <w:tcW w:w="0" w:type="auto"/>
            <w:shd w:val="clear" w:color="auto" w:fill="auto"/>
          </w:tcPr>
          <w:p w14:paraId="3E5D6548" w14:textId="77777777" w:rsidR="008C5CFA" w:rsidRPr="009C3005" w:rsidRDefault="00E82A60" w:rsidP="00300A01">
            <w:pPr>
              <w:pStyle w:val="Text1"/>
              <w:spacing w:before="0" w:after="0"/>
              <w:ind w:left="0"/>
              <w:rPr>
                <w:sz w:val="12"/>
                <w:szCs w:val="12"/>
              </w:rPr>
            </w:pPr>
            <w:r>
              <w:rPr>
                <w:noProof/>
                <w:sz w:val="12"/>
                <w:szCs w:val="12"/>
              </w:rPr>
              <w:t>20</w:t>
            </w:r>
          </w:p>
        </w:tc>
        <w:tc>
          <w:tcPr>
            <w:tcW w:w="0" w:type="auto"/>
            <w:shd w:val="clear" w:color="auto" w:fill="auto"/>
          </w:tcPr>
          <w:p w14:paraId="20034CC1" w14:textId="77777777" w:rsidR="008C5CFA" w:rsidRPr="009C3005" w:rsidRDefault="00E82A60" w:rsidP="00300A01">
            <w:pPr>
              <w:pStyle w:val="Text1"/>
              <w:spacing w:before="0" w:after="0"/>
              <w:ind w:left="0"/>
              <w:rPr>
                <w:sz w:val="12"/>
                <w:szCs w:val="12"/>
              </w:rPr>
            </w:pPr>
            <w:r>
              <w:rPr>
                <w:noProof/>
                <w:sz w:val="12"/>
                <w:szCs w:val="12"/>
              </w:rPr>
              <w:t>PL33</w:t>
            </w:r>
          </w:p>
        </w:tc>
        <w:tc>
          <w:tcPr>
            <w:tcW w:w="0" w:type="auto"/>
            <w:shd w:val="clear" w:color="auto" w:fill="auto"/>
          </w:tcPr>
          <w:p w14:paraId="39A45A89" w14:textId="77777777" w:rsidR="008C5CFA" w:rsidRPr="009C3005" w:rsidRDefault="00E82A60" w:rsidP="00300A01">
            <w:pPr>
              <w:pStyle w:val="Text1"/>
              <w:spacing w:before="0" w:after="0"/>
              <w:ind w:left="0"/>
              <w:jc w:val="right"/>
              <w:rPr>
                <w:sz w:val="12"/>
                <w:szCs w:val="12"/>
              </w:rPr>
            </w:pPr>
            <w:r w:rsidRPr="009C3005">
              <w:rPr>
                <w:noProof/>
                <w:sz w:val="12"/>
                <w:szCs w:val="12"/>
              </w:rPr>
              <w:t>404 262,15</w:t>
            </w:r>
          </w:p>
        </w:tc>
        <w:tc>
          <w:tcPr>
            <w:tcW w:w="0" w:type="auto"/>
            <w:shd w:val="clear" w:color="auto" w:fill="auto"/>
          </w:tcPr>
          <w:p w14:paraId="71320C1D" w14:textId="77777777" w:rsidR="008C5CFA" w:rsidRPr="009C3005" w:rsidRDefault="00E82A60" w:rsidP="00300A01">
            <w:pPr>
              <w:pStyle w:val="Text1"/>
              <w:spacing w:before="0" w:after="0"/>
              <w:ind w:left="0"/>
              <w:jc w:val="right"/>
              <w:rPr>
                <w:sz w:val="12"/>
                <w:szCs w:val="12"/>
              </w:rPr>
            </w:pPr>
            <w:r w:rsidRPr="009C3005">
              <w:rPr>
                <w:noProof/>
                <w:sz w:val="12"/>
                <w:szCs w:val="12"/>
              </w:rPr>
              <w:t>323 409,72</w:t>
            </w:r>
          </w:p>
        </w:tc>
        <w:tc>
          <w:tcPr>
            <w:tcW w:w="0" w:type="auto"/>
            <w:shd w:val="clear" w:color="auto" w:fill="auto"/>
          </w:tcPr>
          <w:p w14:paraId="2807A647" w14:textId="77777777" w:rsidR="008C5CFA" w:rsidRPr="009C3005" w:rsidRDefault="00E82A60" w:rsidP="00300A01">
            <w:pPr>
              <w:pStyle w:val="Text1"/>
              <w:spacing w:before="0" w:after="0"/>
              <w:ind w:left="0"/>
              <w:jc w:val="right"/>
              <w:rPr>
                <w:sz w:val="12"/>
                <w:szCs w:val="12"/>
              </w:rPr>
            </w:pPr>
            <w:r w:rsidRPr="009C3005">
              <w:rPr>
                <w:noProof/>
                <w:sz w:val="12"/>
                <w:szCs w:val="12"/>
              </w:rPr>
              <w:t>341 164,16</w:t>
            </w:r>
          </w:p>
        </w:tc>
        <w:tc>
          <w:tcPr>
            <w:tcW w:w="0" w:type="auto"/>
            <w:shd w:val="clear" w:color="auto" w:fill="auto"/>
          </w:tcPr>
          <w:p w14:paraId="4882C171" w14:textId="77777777" w:rsidR="008C5CFA" w:rsidRPr="009C3005" w:rsidRDefault="00E82A60" w:rsidP="00300A01">
            <w:pPr>
              <w:pStyle w:val="Text1"/>
              <w:spacing w:before="0" w:after="0"/>
              <w:ind w:left="0"/>
              <w:jc w:val="right"/>
              <w:rPr>
                <w:sz w:val="12"/>
                <w:szCs w:val="12"/>
              </w:rPr>
            </w:pPr>
            <w:r w:rsidRPr="009C3005">
              <w:rPr>
                <w:noProof/>
                <w:sz w:val="12"/>
                <w:szCs w:val="12"/>
              </w:rPr>
              <w:t>3</w:t>
            </w:r>
          </w:p>
        </w:tc>
      </w:tr>
      <w:tr w:rsidR="006B2EC1" w14:paraId="6B3E6014" w14:textId="77777777" w:rsidTr="0047688D">
        <w:tc>
          <w:tcPr>
            <w:tcW w:w="0" w:type="auto"/>
            <w:shd w:val="clear" w:color="auto" w:fill="auto"/>
          </w:tcPr>
          <w:p w14:paraId="5752C7F0" w14:textId="77777777" w:rsidR="008C5CFA" w:rsidRPr="009C3005" w:rsidRDefault="00E82A60" w:rsidP="00300A01">
            <w:pPr>
              <w:pStyle w:val="Text1"/>
              <w:spacing w:before="0" w:after="0"/>
              <w:ind w:left="0"/>
              <w:rPr>
                <w:sz w:val="12"/>
                <w:szCs w:val="12"/>
              </w:rPr>
            </w:pPr>
            <w:r>
              <w:rPr>
                <w:noProof/>
                <w:sz w:val="14"/>
                <w:szCs w:val="14"/>
                <w:lang w:val="fr-BE"/>
              </w:rPr>
              <w:t>2</w:t>
            </w:r>
          </w:p>
        </w:tc>
        <w:tc>
          <w:tcPr>
            <w:tcW w:w="0" w:type="auto"/>
            <w:shd w:val="clear" w:color="auto" w:fill="auto"/>
          </w:tcPr>
          <w:p w14:paraId="1DCD2A31" w14:textId="77777777" w:rsidR="008C5CFA" w:rsidRPr="009C3005" w:rsidRDefault="00E82A60" w:rsidP="00300A01">
            <w:pPr>
              <w:pStyle w:val="Text1"/>
              <w:spacing w:before="0" w:after="0"/>
              <w:ind w:left="0"/>
              <w:rPr>
                <w:sz w:val="12"/>
                <w:szCs w:val="12"/>
              </w:rPr>
            </w:pPr>
            <w:r>
              <w:rPr>
                <w:noProof/>
                <w:sz w:val="12"/>
                <w:szCs w:val="12"/>
              </w:rPr>
              <w:t>EFRR</w:t>
            </w:r>
          </w:p>
        </w:tc>
        <w:tc>
          <w:tcPr>
            <w:tcW w:w="0" w:type="auto"/>
            <w:shd w:val="clear" w:color="auto" w:fill="auto"/>
          </w:tcPr>
          <w:p w14:paraId="62D851C5" w14:textId="77777777" w:rsidR="008C5CFA" w:rsidRPr="009C3005" w:rsidRDefault="00E82A60" w:rsidP="00300A01">
            <w:pPr>
              <w:pStyle w:val="Text1"/>
              <w:spacing w:before="0" w:after="0"/>
              <w:ind w:left="0"/>
              <w:rPr>
                <w:sz w:val="12"/>
                <w:szCs w:val="12"/>
              </w:rPr>
            </w:pPr>
            <w:r>
              <w:rPr>
                <w:noProof/>
                <w:sz w:val="12"/>
                <w:szCs w:val="12"/>
              </w:rPr>
              <w:t>Słabiej rozwinięte</w:t>
            </w:r>
          </w:p>
        </w:tc>
        <w:tc>
          <w:tcPr>
            <w:tcW w:w="0" w:type="auto"/>
            <w:shd w:val="clear" w:color="auto" w:fill="auto"/>
          </w:tcPr>
          <w:p w14:paraId="1FC5E6B5" w14:textId="77777777" w:rsidR="008C5CFA" w:rsidRPr="009C3005" w:rsidRDefault="00E82A60" w:rsidP="00300A01">
            <w:pPr>
              <w:pStyle w:val="Text1"/>
              <w:spacing w:before="0" w:after="0"/>
              <w:ind w:left="0"/>
              <w:rPr>
                <w:sz w:val="12"/>
                <w:szCs w:val="12"/>
              </w:rPr>
            </w:pPr>
            <w:r>
              <w:rPr>
                <w:noProof/>
                <w:sz w:val="12"/>
                <w:szCs w:val="12"/>
              </w:rPr>
              <w:t>001</w:t>
            </w:r>
          </w:p>
        </w:tc>
        <w:tc>
          <w:tcPr>
            <w:tcW w:w="0" w:type="auto"/>
            <w:shd w:val="clear" w:color="auto" w:fill="auto"/>
          </w:tcPr>
          <w:p w14:paraId="06307610"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0C2E0228" w14:textId="77777777" w:rsidR="008C5CFA" w:rsidRPr="009C3005" w:rsidRDefault="00E82A60" w:rsidP="00300A01">
            <w:pPr>
              <w:pStyle w:val="Text1"/>
              <w:spacing w:before="0" w:after="0"/>
              <w:ind w:left="0"/>
              <w:rPr>
                <w:sz w:val="12"/>
                <w:szCs w:val="12"/>
              </w:rPr>
            </w:pPr>
            <w:r>
              <w:rPr>
                <w:noProof/>
                <w:sz w:val="12"/>
                <w:szCs w:val="12"/>
              </w:rPr>
              <w:t>02</w:t>
            </w:r>
          </w:p>
        </w:tc>
        <w:tc>
          <w:tcPr>
            <w:tcW w:w="0" w:type="auto"/>
            <w:shd w:val="clear" w:color="auto" w:fill="auto"/>
          </w:tcPr>
          <w:p w14:paraId="5C1570CD"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3D95521F" w14:textId="77777777" w:rsidR="008C5CFA" w:rsidRPr="009C3005" w:rsidRDefault="00E82A60" w:rsidP="00300A01">
            <w:pPr>
              <w:pStyle w:val="Text1"/>
              <w:spacing w:before="0" w:after="0"/>
              <w:ind w:left="0"/>
              <w:rPr>
                <w:sz w:val="12"/>
                <w:szCs w:val="12"/>
              </w:rPr>
            </w:pPr>
            <w:r>
              <w:rPr>
                <w:noProof/>
                <w:sz w:val="12"/>
                <w:szCs w:val="12"/>
              </w:rPr>
              <w:t>03</w:t>
            </w:r>
          </w:p>
        </w:tc>
        <w:tc>
          <w:tcPr>
            <w:tcW w:w="0" w:type="auto"/>
            <w:shd w:val="clear" w:color="auto" w:fill="auto"/>
          </w:tcPr>
          <w:p w14:paraId="247C4D73" w14:textId="77777777" w:rsidR="008C5CFA" w:rsidRPr="009C3005" w:rsidRDefault="00E82A60" w:rsidP="00300A01">
            <w:pPr>
              <w:pStyle w:val="Text1"/>
              <w:spacing w:before="0" w:after="0"/>
              <w:ind w:left="0"/>
              <w:rPr>
                <w:sz w:val="12"/>
                <w:szCs w:val="12"/>
              </w:rPr>
            </w:pPr>
            <w:r>
              <w:rPr>
                <w:sz w:val="12"/>
                <w:szCs w:val="12"/>
              </w:rPr>
              <w:t xml:space="preserve"> </w:t>
            </w:r>
          </w:p>
        </w:tc>
        <w:tc>
          <w:tcPr>
            <w:tcW w:w="0" w:type="auto"/>
            <w:shd w:val="clear" w:color="auto" w:fill="auto"/>
          </w:tcPr>
          <w:p w14:paraId="4FB3F49E" w14:textId="77777777" w:rsidR="008C5CFA" w:rsidRPr="009C3005" w:rsidRDefault="00E82A60" w:rsidP="00300A01">
            <w:pPr>
              <w:pStyle w:val="Text1"/>
              <w:spacing w:before="0" w:after="0"/>
              <w:ind w:left="0"/>
              <w:rPr>
                <w:sz w:val="12"/>
                <w:szCs w:val="12"/>
              </w:rPr>
            </w:pPr>
            <w:r>
              <w:rPr>
                <w:noProof/>
                <w:sz w:val="12"/>
                <w:szCs w:val="12"/>
              </w:rPr>
              <w:t>22</w:t>
            </w:r>
          </w:p>
        </w:tc>
        <w:tc>
          <w:tcPr>
            <w:tcW w:w="0" w:type="auto"/>
            <w:shd w:val="clear" w:color="auto" w:fill="auto"/>
          </w:tcPr>
          <w:p w14:paraId="45BC21F2" w14:textId="77777777" w:rsidR="008C5CFA" w:rsidRPr="009C3005" w:rsidRDefault="00E82A60" w:rsidP="00300A01">
            <w:pPr>
              <w:pStyle w:val="Text1"/>
              <w:spacing w:before="0" w:after="0"/>
              <w:ind w:left="0"/>
              <w:rPr>
                <w:sz w:val="12"/>
                <w:szCs w:val="12"/>
              </w:rPr>
            </w:pPr>
            <w:r>
              <w:rPr>
                <w:noProof/>
                <w:sz w:val="12"/>
                <w:szCs w:val="12"/>
              </w:rPr>
              <w:t>PL33</w:t>
            </w:r>
          </w:p>
        </w:tc>
        <w:tc>
          <w:tcPr>
            <w:tcW w:w="0" w:type="auto"/>
            <w:shd w:val="clear" w:color="auto" w:fill="auto"/>
          </w:tcPr>
          <w:p w14:paraId="5D6F24DE" w14:textId="77777777" w:rsidR="008C5CFA" w:rsidRPr="009C3005" w:rsidRDefault="00E82A60" w:rsidP="00300A01">
            <w:pPr>
              <w:pStyle w:val="Text1"/>
              <w:spacing w:before="0" w:after="0"/>
              <w:ind w:left="0"/>
              <w:jc w:val="right"/>
              <w:rPr>
                <w:sz w:val="12"/>
                <w:szCs w:val="12"/>
              </w:rPr>
            </w:pPr>
            <w:r w:rsidRPr="009C3005">
              <w:rPr>
                <w:noProof/>
                <w:sz w:val="12"/>
                <w:szCs w:val="12"/>
              </w:rPr>
              <w:t>147 751,96</w:t>
            </w:r>
          </w:p>
        </w:tc>
        <w:tc>
          <w:tcPr>
            <w:tcW w:w="0" w:type="auto"/>
            <w:shd w:val="clear" w:color="auto" w:fill="auto"/>
          </w:tcPr>
          <w:p w14:paraId="0BE63E54" w14:textId="77777777" w:rsidR="008C5CFA" w:rsidRPr="009C3005" w:rsidRDefault="00E82A60" w:rsidP="00300A01">
            <w:pPr>
              <w:pStyle w:val="Text1"/>
              <w:spacing w:before="0" w:after="0"/>
              <w:ind w:left="0"/>
              <w:jc w:val="right"/>
              <w:rPr>
                <w:sz w:val="12"/>
                <w:szCs w:val="12"/>
              </w:rPr>
            </w:pPr>
            <w:r w:rsidRPr="009C3005">
              <w:rPr>
                <w:noProof/>
                <w:sz w:val="12"/>
                <w:szCs w:val="12"/>
              </w:rPr>
              <w:t>118 201,56</w:t>
            </w:r>
          </w:p>
        </w:tc>
        <w:tc>
          <w:tcPr>
            <w:tcW w:w="0" w:type="auto"/>
            <w:shd w:val="clear" w:color="auto" w:fill="auto"/>
          </w:tcPr>
          <w:p w14:paraId="1AF1E2A7" w14:textId="77777777" w:rsidR="008C5CFA" w:rsidRPr="009C3005" w:rsidRDefault="00E82A60" w:rsidP="00300A01">
            <w:pPr>
              <w:pStyle w:val="Text1"/>
              <w:spacing w:before="0" w:after="0"/>
              <w:ind w:left="0"/>
              <w:jc w:val="right"/>
              <w:rPr>
                <w:sz w:val="12"/>
                <w:szCs w:val="12"/>
              </w:rPr>
            </w:pPr>
            <w:r w:rsidRPr="009C3005">
              <w:rPr>
                <w:noProof/>
                <w:sz w:val="12"/>
                <w:szCs w:val="12"/>
              </w:rPr>
              <w:t>147 751,96</w:t>
            </w:r>
          </w:p>
        </w:tc>
        <w:tc>
          <w:tcPr>
            <w:tcW w:w="0" w:type="auto"/>
            <w:shd w:val="clear" w:color="auto" w:fill="auto"/>
          </w:tcPr>
          <w:p w14:paraId="4C90D4BE" w14:textId="77777777" w:rsidR="008C5CFA" w:rsidRPr="009C3005" w:rsidRDefault="00E82A60" w:rsidP="00300A01">
            <w:pPr>
              <w:pStyle w:val="Text1"/>
              <w:spacing w:before="0" w:after="0"/>
              <w:ind w:left="0"/>
              <w:jc w:val="right"/>
              <w:rPr>
                <w:sz w:val="12"/>
                <w:szCs w:val="12"/>
              </w:rPr>
            </w:pPr>
            <w:r w:rsidRPr="009C3005">
              <w:rPr>
                <w:noProof/>
                <w:sz w:val="12"/>
                <w:szCs w:val="12"/>
              </w:rPr>
              <w:t>1</w:t>
            </w:r>
          </w:p>
        </w:tc>
      </w:tr>
      <w:tr w:rsidR="006B2EC1" w14:paraId="450F6774" w14:textId="77777777" w:rsidTr="0047688D">
        <w:tc>
          <w:tcPr>
            <w:tcW w:w="0" w:type="auto"/>
            <w:shd w:val="clear" w:color="auto" w:fill="auto"/>
          </w:tcPr>
          <w:p w14:paraId="52F8BE0D" w14:textId="77777777" w:rsidR="008C5CFA" w:rsidRPr="009C3005" w:rsidRDefault="00E82A60" w:rsidP="00300A01">
            <w:pPr>
              <w:pStyle w:val="Text1"/>
              <w:spacing w:before="0" w:after="0"/>
              <w:ind w:left="0"/>
              <w:rPr>
                <w:sz w:val="12"/>
                <w:szCs w:val="12"/>
              </w:rPr>
            </w:pPr>
            <w:r>
              <w:rPr>
                <w:noProof/>
                <w:sz w:val="14"/>
                <w:szCs w:val="14"/>
                <w:lang w:val="fr-BE"/>
              </w:rPr>
              <w:t>2</w:t>
            </w:r>
          </w:p>
        </w:tc>
        <w:tc>
          <w:tcPr>
            <w:tcW w:w="0" w:type="auto"/>
            <w:shd w:val="clear" w:color="auto" w:fill="auto"/>
          </w:tcPr>
          <w:p w14:paraId="2B9FCA05" w14:textId="77777777" w:rsidR="008C5CFA" w:rsidRPr="009C3005" w:rsidRDefault="00E82A60" w:rsidP="00300A01">
            <w:pPr>
              <w:pStyle w:val="Text1"/>
              <w:spacing w:before="0" w:after="0"/>
              <w:ind w:left="0"/>
              <w:rPr>
                <w:sz w:val="12"/>
                <w:szCs w:val="12"/>
              </w:rPr>
            </w:pPr>
            <w:r>
              <w:rPr>
                <w:noProof/>
                <w:sz w:val="12"/>
                <w:szCs w:val="12"/>
              </w:rPr>
              <w:t>EFRR</w:t>
            </w:r>
          </w:p>
        </w:tc>
        <w:tc>
          <w:tcPr>
            <w:tcW w:w="0" w:type="auto"/>
            <w:shd w:val="clear" w:color="auto" w:fill="auto"/>
          </w:tcPr>
          <w:p w14:paraId="2C15FEBB" w14:textId="77777777" w:rsidR="008C5CFA" w:rsidRPr="009C3005" w:rsidRDefault="00E82A60" w:rsidP="00300A01">
            <w:pPr>
              <w:pStyle w:val="Text1"/>
              <w:spacing w:before="0" w:after="0"/>
              <w:ind w:left="0"/>
              <w:rPr>
                <w:sz w:val="12"/>
                <w:szCs w:val="12"/>
              </w:rPr>
            </w:pPr>
            <w:r>
              <w:rPr>
                <w:noProof/>
                <w:sz w:val="12"/>
                <w:szCs w:val="12"/>
              </w:rPr>
              <w:t>Słabiej rozwinięte</w:t>
            </w:r>
          </w:p>
        </w:tc>
        <w:tc>
          <w:tcPr>
            <w:tcW w:w="0" w:type="auto"/>
            <w:shd w:val="clear" w:color="auto" w:fill="auto"/>
          </w:tcPr>
          <w:p w14:paraId="62DA0866" w14:textId="77777777" w:rsidR="008C5CFA" w:rsidRPr="009C3005" w:rsidRDefault="00E82A60" w:rsidP="00300A01">
            <w:pPr>
              <w:pStyle w:val="Text1"/>
              <w:spacing w:before="0" w:after="0"/>
              <w:ind w:left="0"/>
              <w:rPr>
                <w:sz w:val="12"/>
                <w:szCs w:val="12"/>
              </w:rPr>
            </w:pPr>
            <w:r>
              <w:rPr>
                <w:noProof/>
                <w:sz w:val="12"/>
                <w:szCs w:val="12"/>
              </w:rPr>
              <w:t>001</w:t>
            </w:r>
          </w:p>
        </w:tc>
        <w:tc>
          <w:tcPr>
            <w:tcW w:w="0" w:type="auto"/>
            <w:shd w:val="clear" w:color="auto" w:fill="auto"/>
          </w:tcPr>
          <w:p w14:paraId="6181214C"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31E73E32" w14:textId="77777777" w:rsidR="008C5CFA" w:rsidRPr="009C3005" w:rsidRDefault="00E82A60" w:rsidP="00300A01">
            <w:pPr>
              <w:pStyle w:val="Text1"/>
              <w:spacing w:before="0" w:after="0"/>
              <w:ind w:left="0"/>
              <w:rPr>
                <w:sz w:val="12"/>
                <w:szCs w:val="12"/>
              </w:rPr>
            </w:pPr>
            <w:r>
              <w:rPr>
                <w:noProof/>
                <w:sz w:val="12"/>
                <w:szCs w:val="12"/>
              </w:rPr>
              <w:t>02</w:t>
            </w:r>
          </w:p>
        </w:tc>
        <w:tc>
          <w:tcPr>
            <w:tcW w:w="0" w:type="auto"/>
            <w:shd w:val="clear" w:color="auto" w:fill="auto"/>
          </w:tcPr>
          <w:p w14:paraId="0F49D8FC"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1F1606B4" w14:textId="77777777" w:rsidR="008C5CFA" w:rsidRPr="009C3005" w:rsidRDefault="00E82A60" w:rsidP="00300A01">
            <w:pPr>
              <w:pStyle w:val="Text1"/>
              <w:spacing w:before="0" w:after="0"/>
              <w:ind w:left="0"/>
              <w:rPr>
                <w:sz w:val="12"/>
                <w:szCs w:val="12"/>
              </w:rPr>
            </w:pPr>
            <w:r>
              <w:rPr>
                <w:noProof/>
                <w:sz w:val="12"/>
                <w:szCs w:val="12"/>
              </w:rPr>
              <w:t>03</w:t>
            </w:r>
          </w:p>
        </w:tc>
        <w:tc>
          <w:tcPr>
            <w:tcW w:w="0" w:type="auto"/>
            <w:shd w:val="clear" w:color="auto" w:fill="auto"/>
          </w:tcPr>
          <w:p w14:paraId="2B0BE1FC" w14:textId="77777777" w:rsidR="008C5CFA" w:rsidRPr="009C3005" w:rsidRDefault="00E82A60" w:rsidP="00300A01">
            <w:pPr>
              <w:pStyle w:val="Text1"/>
              <w:spacing w:before="0" w:after="0"/>
              <w:ind w:left="0"/>
              <w:rPr>
                <w:sz w:val="12"/>
                <w:szCs w:val="12"/>
              </w:rPr>
            </w:pPr>
            <w:r>
              <w:rPr>
                <w:sz w:val="12"/>
                <w:szCs w:val="12"/>
              </w:rPr>
              <w:t xml:space="preserve"> </w:t>
            </w:r>
          </w:p>
        </w:tc>
        <w:tc>
          <w:tcPr>
            <w:tcW w:w="0" w:type="auto"/>
            <w:shd w:val="clear" w:color="auto" w:fill="auto"/>
          </w:tcPr>
          <w:p w14:paraId="01E95C0A" w14:textId="77777777" w:rsidR="008C5CFA" w:rsidRPr="009C3005" w:rsidRDefault="00E82A60" w:rsidP="00300A01">
            <w:pPr>
              <w:pStyle w:val="Text1"/>
              <w:spacing w:before="0" w:after="0"/>
              <w:ind w:left="0"/>
              <w:rPr>
                <w:sz w:val="12"/>
                <w:szCs w:val="12"/>
              </w:rPr>
            </w:pPr>
            <w:r>
              <w:rPr>
                <w:noProof/>
                <w:sz w:val="12"/>
                <w:szCs w:val="12"/>
              </w:rPr>
              <w:t>24</w:t>
            </w:r>
          </w:p>
        </w:tc>
        <w:tc>
          <w:tcPr>
            <w:tcW w:w="0" w:type="auto"/>
            <w:shd w:val="clear" w:color="auto" w:fill="auto"/>
          </w:tcPr>
          <w:p w14:paraId="707C96CA" w14:textId="77777777" w:rsidR="008C5CFA" w:rsidRPr="009C3005" w:rsidRDefault="00E82A60" w:rsidP="00300A01">
            <w:pPr>
              <w:pStyle w:val="Text1"/>
              <w:spacing w:before="0" w:after="0"/>
              <w:ind w:left="0"/>
              <w:rPr>
                <w:sz w:val="12"/>
                <w:szCs w:val="12"/>
              </w:rPr>
            </w:pPr>
            <w:r>
              <w:rPr>
                <w:noProof/>
                <w:sz w:val="12"/>
                <w:szCs w:val="12"/>
              </w:rPr>
              <w:t>PL33</w:t>
            </w:r>
          </w:p>
        </w:tc>
        <w:tc>
          <w:tcPr>
            <w:tcW w:w="0" w:type="auto"/>
            <w:shd w:val="clear" w:color="auto" w:fill="auto"/>
          </w:tcPr>
          <w:p w14:paraId="76B1B533" w14:textId="77777777" w:rsidR="008C5CFA" w:rsidRPr="009C3005" w:rsidRDefault="00E82A60" w:rsidP="00300A01">
            <w:pPr>
              <w:pStyle w:val="Text1"/>
              <w:spacing w:before="0" w:after="0"/>
              <w:ind w:left="0"/>
              <w:jc w:val="right"/>
              <w:rPr>
                <w:sz w:val="12"/>
                <w:szCs w:val="12"/>
              </w:rPr>
            </w:pPr>
            <w:r w:rsidRPr="009C3005">
              <w:rPr>
                <w:noProof/>
                <w:sz w:val="12"/>
                <w:szCs w:val="12"/>
              </w:rPr>
              <w:t>1 378 137,50</w:t>
            </w:r>
          </w:p>
        </w:tc>
        <w:tc>
          <w:tcPr>
            <w:tcW w:w="0" w:type="auto"/>
            <w:shd w:val="clear" w:color="auto" w:fill="auto"/>
          </w:tcPr>
          <w:p w14:paraId="1A815300" w14:textId="77777777" w:rsidR="008C5CFA" w:rsidRPr="009C3005" w:rsidRDefault="00E82A60" w:rsidP="00300A01">
            <w:pPr>
              <w:pStyle w:val="Text1"/>
              <w:spacing w:before="0" w:after="0"/>
              <w:ind w:left="0"/>
              <w:jc w:val="right"/>
              <w:rPr>
                <w:sz w:val="12"/>
                <w:szCs w:val="12"/>
              </w:rPr>
            </w:pPr>
            <w:r w:rsidRPr="009C3005">
              <w:rPr>
                <w:noProof/>
                <w:sz w:val="12"/>
                <w:szCs w:val="12"/>
              </w:rPr>
              <w:t>1 056 292,97</w:t>
            </w:r>
          </w:p>
        </w:tc>
        <w:tc>
          <w:tcPr>
            <w:tcW w:w="0" w:type="auto"/>
            <w:shd w:val="clear" w:color="auto" w:fill="auto"/>
          </w:tcPr>
          <w:p w14:paraId="6E59E902" w14:textId="77777777" w:rsidR="008C5CFA" w:rsidRPr="009C3005" w:rsidRDefault="00E82A60" w:rsidP="00300A01">
            <w:pPr>
              <w:pStyle w:val="Text1"/>
              <w:spacing w:before="0" w:after="0"/>
              <w:ind w:left="0"/>
              <w:jc w:val="right"/>
              <w:rPr>
                <w:sz w:val="12"/>
                <w:szCs w:val="12"/>
              </w:rPr>
            </w:pPr>
            <w:r w:rsidRPr="009C3005">
              <w:rPr>
                <w:noProof/>
                <w:sz w:val="12"/>
                <w:szCs w:val="12"/>
              </w:rPr>
              <w:t>1 351 518,68</w:t>
            </w:r>
          </w:p>
        </w:tc>
        <w:tc>
          <w:tcPr>
            <w:tcW w:w="0" w:type="auto"/>
            <w:shd w:val="clear" w:color="auto" w:fill="auto"/>
          </w:tcPr>
          <w:p w14:paraId="0A4CF2E8" w14:textId="77777777" w:rsidR="008C5CFA" w:rsidRPr="009C3005" w:rsidRDefault="00E82A60" w:rsidP="00300A01">
            <w:pPr>
              <w:pStyle w:val="Text1"/>
              <w:spacing w:before="0" w:after="0"/>
              <w:ind w:left="0"/>
              <w:jc w:val="right"/>
              <w:rPr>
                <w:sz w:val="12"/>
                <w:szCs w:val="12"/>
              </w:rPr>
            </w:pPr>
            <w:r w:rsidRPr="009C3005">
              <w:rPr>
                <w:noProof/>
                <w:sz w:val="12"/>
                <w:szCs w:val="12"/>
              </w:rPr>
              <w:t>7</w:t>
            </w:r>
          </w:p>
        </w:tc>
      </w:tr>
      <w:tr w:rsidR="006B2EC1" w14:paraId="221D72C6" w14:textId="77777777" w:rsidTr="0047688D">
        <w:tc>
          <w:tcPr>
            <w:tcW w:w="0" w:type="auto"/>
            <w:shd w:val="clear" w:color="auto" w:fill="auto"/>
          </w:tcPr>
          <w:p w14:paraId="7B009751" w14:textId="77777777" w:rsidR="008C5CFA" w:rsidRPr="009C3005" w:rsidRDefault="00E82A60" w:rsidP="00300A01">
            <w:pPr>
              <w:pStyle w:val="Text1"/>
              <w:spacing w:before="0" w:after="0"/>
              <w:ind w:left="0"/>
              <w:rPr>
                <w:sz w:val="12"/>
                <w:szCs w:val="12"/>
              </w:rPr>
            </w:pPr>
            <w:r>
              <w:rPr>
                <w:noProof/>
                <w:sz w:val="14"/>
                <w:szCs w:val="14"/>
                <w:lang w:val="fr-BE"/>
              </w:rPr>
              <w:t>2</w:t>
            </w:r>
          </w:p>
        </w:tc>
        <w:tc>
          <w:tcPr>
            <w:tcW w:w="0" w:type="auto"/>
            <w:shd w:val="clear" w:color="auto" w:fill="auto"/>
          </w:tcPr>
          <w:p w14:paraId="60B9F7E2" w14:textId="77777777" w:rsidR="008C5CFA" w:rsidRPr="009C3005" w:rsidRDefault="00E82A60" w:rsidP="00300A01">
            <w:pPr>
              <w:pStyle w:val="Text1"/>
              <w:spacing w:before="0" w:after="0"/>
              <w:ind w:left="0"/>
              <w:rPr>
                <w:sz w:val="12"/>
                <w:szCs w:val="12"/>
              </w:rPr>
            </w:pPr>
            <w:r>
              <w:rPr>
                <w:noProof/>
                <w:sz w:val="12"/>
                <w:szCs w:val="12"/>
              </w:rPr>
              <w:t>EFRR</w:t>
            </w:r>
          </w:p>
        </w:tc>
        <w:tc>
          <w:tcPr>
            <w:tcW w:w="0" w:type="auto"/>
            <w:shd w:val="clear" w:color="auto" w:fill="auto"/>
          </w:tcPr>
          <w:p w14:paraId="596783E0" w14:textId="77777777" w:rsidR="008C5CFA" w:rsidRPr="009C3005" w:rsidRDefault="00E82A60" w:rsidP="00300A01">
            <w:pPr>
              <w:pStyle w:val="Text1"/>
              <w:spacing w:before="0" w:after="0"/>
              <w:ind w:left="0"/>
              <w:rPr>
                <w:sz w:val="12"/>
                <w:szCs w:val="12"/>
              </w:rPr>
            </w:pPr>
            <w:r>
              <w:rPr>
                <w:noProof/>
                <w:sz w:val="12"/>
                <w:szCs w:val="12"/>
              </w:rPr>
              <w:t>Słabiej rozwinięte</w:t>
            </w:r>
          </w:p>
        </w:tc>
        <w:tc>
          <w:tcPr>
            <w:tcW w:w="0" w:type="auto"/>
            <w:shd w:val="clear" w:color="auto" w:fill="auto"/>
          </w:tcPr>
          <w:p w14:paraId="733AFBFE" w14:textId="77777777" w:rsidR="008C5CFA" w:rsidRPr="009C3005" w:rsidRDefault="00E82A60" w:rsidP="00300A01">
            <w:pPr>
              <w:pStyle w:val="Text1"/>
              <w:spacing w:before="0" w:after="0"/>
              <w:ind w:left="0"/>
              <w:rPr>
                <w:sz w:val="12"/>
                <w:szCs w:val="12"/>
              </w:rPr>
            </w:pPr>
            <w:r>
              <w:rPr>
                <w:noProof/>
                <w:sz w:val="12"/>
                <w:szCs w:val="12"/>
              </w:rPr>
              <w:t>001</w:t>
            </w:r>
          </w:p>
        </w:tc>
        <w:tc>
          <w:tcPr>
            <w:tcW w:w="0" w:type="auto"/>
            <w:shd w:val="clear" w:color="auto" w:fill="auto"/>
          </w:tcPr>
          <w:p w14:paraId="38E23463"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59009035" w14:textId="77777777" w:rsidR="008C5CFA" w:rsidRPr="009C3005" w:rsidRDefault="00E82A60" w:rsidP="00300A01">
            <w:pPr>
              <w:pStyle w:val="Text1"/>
              <w:spacing w:before="0" w:after="0"/>
              <w:ind w:left="0"/>
              <w:rPr>
                <w:sz w:val="12"/>
                <w:szCs w:val="12"/>
              </w:rPr>
            </w:pPr>
            <w:r>
              <w:rPr>
                <w:noProof/>
                <w:sz w:val="12"/>
                <w:szCs w:val="12"/>
              </w:rPr>
              <w:t>03</w:t>
            </w:r>
          </w:p>
        </w:tc>
        <w:tc>
          <w:tcPr>
            <w:tcW w:w="0" w:type="auto"/>
            <w:shd w:val="clear" w:color="auto" w:fill="auto"/>
          </w:tcPr>
          <w:p w14:paraId="05A91DB8"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43E5D4DD" w14:textId="77777777" w:rsidR="008C5CFA" w:rsidRPr="009C3005" w:rsidRDefault="00E82A60" w:rsidP="00300A01">
            <w:pPr>
              <w:pStyle w:val="Text1"/>
              <w:spacing w:before="0" w:after="0"/>
              <w:ind w:left="0"/>
              <w:rPr>
                <w:sz w:val="12"/>
                <w:szCs w:val="12"/>
              </w:rPr>
            </w:pPr>
            <w:r>
              <w:rPr>
                <w:noProof/>
                <w:sz w:val="12"/>
                <w:szCs w:val="12"/>
              </w:rPr>
              <w:t>03</w:t>
            </w:r>
          </w:p>
        </w:tc>
        <w:tc>
          <w:tcPr>
            <w:tcW w:w="0" w:type="auto"/>
            <w:shd w:val="clear" w:color="auto" w:fill="auto"/>
          </w:tcPr>
          <w:p w14:paraId="632404E4" w14:textId="77777777" w:rsidR="008C5CFA" w:rsidRPr="009C3005" w:rsidRDefault="00E82A60" w:rsidP="00300A01">
            <w:pPr>
              <w:pStyle w:val="Text1"/>
              <w:spacing w:before="0" w:after="0"/>
              <w:ind w:left="0"/>
              <w:rPr>
                <w:sz w:val="12"/>
                <w:szCs w:val="12"/>
              </w:rPr>
            </w:pPr>
            <w:r>
              <w:rPr>
                <w:sz w:val="12"/>
                <w:szCs w:val="12"/>
              </w:rPr>
              <w:t xml:space="preserve"> </w:t>
            </w:r>
          </w:p>
        </w:tc>
        <w:tc>
          <w:tcPr>
            <w:tcW w:w="0" w:type="auto"/>
            <w:shd w:val="clear" w:color="auto" w:fill="auto"/>
          </w:tcPr>
          <w:p w14:paraId="77DC7A2A" w14:textId="77777777" w:rsidR="008C5CFA" w:rsidRPr="009C3005" w:rsidRDefault="00E82A60" w:rsidP="00300A01">
            <w:pPr>
              <w:pStyle w:val="Text1"/>
              <w:spacing w:before="0" w:after="0"/>
              <w:ind w:left="0"/>
              <w:rPr>
                <w:sz w:val="12"/>
                <w:szCs w:val="12"/>
              </w:rPr>
            </w:pPr>
            <w:r>
              <w:rPr>
                <w:noProof/>
                <w:sz w:val="12"/>
                <w:szCs w:val="12"/>
              </w:rPr>
              <w:t>03</w:t>
            </w:r>
          </w:p>
        </w:tc>
        <w:tc>
          <w:tcPr>
            <w:tcW w:w="0" w:type="auto"/>
            <w:shd w:val="clear" w:color="auto" w:fill="auto"/>
          </w:tcPr>
          <w:p w14:paraId="60478734" w14:textId="77777777" w:rsidR="008C5CFA" w:rsidRPr="009C3005" w:rsidRDefault="00E82A60" w:rsidP="00300A01">
            <w:pPr>
              <w:pStyle w:val="Text1"/>
              <w:spacing w:before="0" w:after="0"/>
              <w:ind w:left="0"/>
              <w:rPr>
                <w:sz w:val="12"/>
                <w:szCs w:val="12"/>
              </w:rPr>
            </w:pPr>
            <w:r>
              <w:rPr>
                <w:noProof/>
                <w:sz w:val="12"/>
                <w:szCs w:val="12"/>
              </w:rPr>
              <w:t>PL33</w:t>
            </w:r>
          </w:p>
        </w:tc>
        <w:tc>
          <w:tcPr>
            <w:tcW w:w="0" w:type="auto"/>
            <w:shd w:val="clear" w:color="auto" w:fill="auto"/>
          </w:tcPr>
          <w:p w14:paraId="331AD01A" w14:textId="77777777" w:rsidR="008C5CFA" w:rsidRPr="009C3005" w:rsidRDefault="00E82A60" w:rsidP="00300A01">
            <w:pPr>
              <w:pStyle w:val="Text1"/>
              <w:spacing w:before="0" w:after="0"/>
              <w:ind w:left="0"/>
              <w:jc w:val="right"/>
              <w:rPr>
                <w:sz w:val="12"/>
                <w:szCs w:val="12"/>
              </w:rPr>
            </w:pPr>
            <w:r w:rsidRPr="009C3005">
              <w:rPr>
                <w:noProof/>
                <w:sz w:val="12"/>
                <w:szCs w:val="12"/>
              </w:rPr>
              <w:t>998 068,24</w:t>
            </w:r>
          </w:p>
        </w:tc>
        <w:tc>
          <w:tcPr>
            <w:tcW w:w="0" w:type="auto"/>
            <w:shd w:val="clear" w:color="auto" w:fill="auto"/>
          </w:tcPr>
          <w:p w14:paraId="26AE32BD" w14:textId="77777777" w:rsidR="008C5CFA" w:rsidRPr="009C3005" w:rsidRDefault="00E82A60" w:rsidP="00300A01">
            <w:pPr>
              <w:pStyle w:val="Text1"/>
              <w:spacing w:before="0" w:after="0"/>
              <w:ind w:left="0"/>
              <w:jc w:val="right"/>
              <w:rPr>
                <w:sz w:val="12"/>
                <w:szCs w:val="12"/>
              </w:rPr>
            </w:pPr>
            <w:r w:rsidRPr="009C3005">
              <w:rPr>
                <w:noProof/>
                <w:sz w:val="12"/>
                <w:szCs w:val="12"/>
              </w:rPr>
              <w:t>740 315,91</w:t>
            </w:r>
          </w:p>
        </w:tc>
        <w:tc>
          <w:tcPr>
            <w:tcW w:w="0" w:type="auto"/>
            <w:shd w:val="clear" w:color="auto" w:fill="auto"/>
          </w:tcPr>
          <w:p w14:paraId="03DD4678" w14:textId="77777777" w:rsidR="008C5CFA" w:rsidRPr="009C3005" w:rsidRDefault="00E82A60" w:rsidP="00300A01">
            <w:pPr>
              <w:pStyle w:val="Text1"/>
              <w:spacing w:before="0" w:after="0"/>
              <w:ind w:left="0"/>
              <w:jc w:val="right"/>
              <w:rPr>
                <w:sz w:val="12"/>
                <w:szCs w:val="12"/>
              </w:rPr>
            </w:pPr>
            <w:r w:rsidRPr="009C3005">
              <w:rPr>
                <w:noProof/>
                <w:sz w:val="12"/>
                <w:szCs w:val="12"/>
              </w:rPr>
              <w:t>782 985,73</w:t>
            </w:r>
          </w:p>
        </w:tc>
        <w:tc>
          <w:tcPr>
            <w:tcW w:w="0" w:type="auto"/>
            <w:shd w:val="clear" w:color="auto" w:fill="auto"/>
          </w:tcPr>
          <w:p w14:paraId="5AE519D9" w14:textId="77777777" w:rsidR="008C5CFA" w:rsidRPr="009C3005" w:rsidRDefault="00E82A60" w:rsidP="00300A01">
            <w:pPr>
              <w:pStyle w:val="Text1"/>
              <w:spacing w:before="0" w:after="0"/>
              <w:ind w:left="0"/>
              <w:jc w:val="right"/>
              <w:rPr>
                <w:sz w:val="12"/>
                <w:szCs w:val="12"/>
              </w:rPr>
            </w:pPr>
            <w:r w:rsidRPr="009C3005">
              <w:rPr>
                <w:noProof/>
                <w:sz w:val="12"/>
                <w:szCs w:val="12"/>
              </w:rPr>
              <w:t>5</w:t>
            </w:r>
          </w:p>
        </w:tc>
      </w:tr>
      <w:tr w:rsidR="006B2EC1" w14:paraId="784FE50A" w14:textId="77777777" w:rsidTr="0047688D">
        <w:tc>
          <w:tcPr>
            <w:tcW w:w="0" w:type="auto"/>
            <w:shd w:val="clear" w:color="auto" w:fill="auto"/>
          </w:tcPr>
          <w:p w14:paraId="5EC8E0B5" w14:textId="77777777" w:rsidR="008C5CFA" w:rsidRPr="009C3005" w:rsidRDefault="00E82A60" w:rsidP="00300A01">
            <w:pPr>
              <w:pStyle w:val="Text1"/>
              <w:spacing w:before="0" w:after="0"/>
              <w:ind w:left="0"/>
              <w:rPr>
                <w:sz w:val="12"/>
                <w:szCs w:val="12"/>
              </w:rPr>
            </w:pPr>
            <w:r>
              <w:rPr>
                <w:noProof/>
                <w:sz w:val="14"/>
                <w:szCs w:val="14"/>
                <w:lang w:val="fr-BE"/>
              </w:rPr>
              <w:t>2</w:t>
            </w:r>
          </w:p>
        </w:tc>
        <w:tc>
          <w:tcPr>
            <w:tcW w:w="0" w:type="auto"/>
            <w:shd w:val="clear" w:color="auto" w:fill="auto"/>
          </w:tcPr>
          <w:p w14:paraId="5B61643B" w14:textId="77777777" w:rsidR="008C5CFA" w:rsidRPr="009C3005" w:rsidRDefault="00E82A60" w:rsidP="00300A01">
            <w:pPr>
              <w:pStyle w:val="Text1"/>
              <w:spacing w:before="0" w:after="0"/>
              <w:ind w:left="0"/>
              <w:rPr>
                <w:sz w:val="12"/>
                <w:szCs w:val="12"/>
              </w:rPr>
            </w:pPr>
            <w:r>
              <w:rPr>
                <w:noProof/>
                <w:sz w:val="12"/>
                <w:szCs w:val="12"/>
              </w:rPr>
              <w:t>EFRR</w:t>
            </w:r>
          </w:p>
        </w:tc>
        <w:tc>
          <w:tcPr>
            <w:tcW w:w="0" w:type="auto"/>
            <w:shd w:val="clear" w:color="auto" w:fill="auto"/>
          </w:tcPr>
          <w:p w14:paraId="424F1B87" w14:textId="77777777" w:rsidR="008C5CFA" w:rsidRPr="009C3005" w:rsidRDefault="00E82A60" w:rsidP="00300A01">
            <w:pPr>
              <w:pStyle w:val="Text1"/>
              <w:spacing w:before="0" w:after="0"/>
              <w:ind w:left="0"/>
              <w:rPr>
                <w:sz w:val="12"/>
                <w:szCs w:val="12"/>
              </w:rPr>
            </w:pPr>
            <w:r>
              <w:rPr>
                <w:noProof/>
                <w:sz w:val="12"/>
                <w:szCs w:val="12"/>
              </w:rPr>
              <w:t>Słabiej rozwinięte</w:t>
            </w:r>
          </w:p>
        </w:tc>
        <w:tc>
          <w:tcPr>
            <w:tcW w:w="0" w:type="auto"/>
            <w:shd w:val="clear" w:color="auto" w:fill="auto"/>
          </w:tcPr>
          <w:p w14:paraId="6FDFD9B0" w14:textId="77777777" w:rsidR="008C5CFA" w:rsidRPr="009C3005" w:rsidRDefault="00E82A60" w:rsidP="00300A01">
            <w:pPr>
              <w:pStyle w:val="Text1"/>
              <w:spacing w:before="0" w:after="0"/>
              <w:ind w:left="0"/>
              <w:rPr>
                <w:sz w:val="12"/>
                <w:szCs w:val="12"/>
              </w:rPr>
            </w:pPr>
            <w:r>
              <w:rPr>
                <w:noProof/>
                <w:sz w:val="12"/>
                <w:szCs w:val="12"/>
              </w:rPr>
              <w:t>001</w:t>
            </w:r>
          </w:p>
        </w:tc>
        <w:tc>
          <w:tcPr>
            <w:tcW w:w="0" w:type="auto"/>
            <w:shd w:val="clear" w:color="auto" w:fill="auto"/>
          </w:tcPr>
          <w:p w14:paraId="79AF385C"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52121257" w14:textId="77777777" w:rsidR="008C5CFA" w:rsidRPr="009C3005" w:rsidRDefault="00E82A60" w:rsidP="00300A01">
            <w:pPr>
              <w:pStyle w:val="Text1"/>
              <w:spacing w:before="0" w:after="0"/>
              <w:ind w:left="0"/>
              <w:rPr>
                <w:sz w:val="12"/>
                <w:szCs w:val="12"/>
              </w:rPr>
            </w:pPr>
            <w:r>
              <w:rPr>
                <w:noProof/>
                <w:sz w:val="12"/>
                <w:szCs w:val="12"/>
              </w:rPr>
              <w:t>03</w:t>
            </w:r>
          </w:p>
        </w:tc>
        <w:tc>
          <w:tcPr>
            <w:tcW w:w="0" w:type="auto"/>
            <w:shd w:val="clear" w:color="auto" w:fill="auto"/>
          </w:tcPr>
          <w:p w14:paraId="1A566342"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7F2A91AC" w14:textId="77777777" w:rsidR="008C5CFA" w:rsidRPr="009C3005" w:rsidRDefault="00E82A60" w:rsidP="00300A01">
            <w:pPr>
              <w:pStyle w:val="Text1"/>
              <w:spacing w:before="0" w:after="0"/>
              <w:ind w:left="0"/>
              <w:rPr>
                <w:sz w:val="12"/>
                <w:szCs w:val="12"/>
              </w:rPr>
            </w:pPr>
            <w:r>
              <w:rPr>
                <w:noProof/>
                <w:sz w:val="12"/>
                <w:szCs w:val="12"/>
              </w:rPr>
              <w:t>03</w:t>
            </w:r>
          </w:p>
        </w:tc>
        <w:tc>
          <w:tcPr>
            <w:tcW w:w="0" w:type="auto"/>
            <w:shd w:val="clear" w:color="auto" w:fill="auto"/>
          </w:tcPr>
          <w:p w14:paraId="1F236441" w14:textId="77777777" w:rsidR="008C5CFA" w:rsidRPr="009C3005" w:rsidRDefault="00E82A60" w:rsidP="00300A01">
            <w:pPr>
              <w:pStyle w:val="Text1"/>
              <w:spacing w:before="0" w:after="0"/>
              <w:ind w:left="0"/>
              <w:rPr>
                <w:sz w:val="12"/>
                <w:szCs w:val="12"/>
              </w:rPr>
            </w:pPr>
            <w:r>
              <w:rPr>
                <w:sz w:val="12"/>
                <w:szCs w:val="12"/>
              </w:rPr>
              <w:t xml:space="preserve"> </w:t>
            </w:r>
          </w:p>
        </w:tc>
        <w:tc>
          <w:tcPr>
            <w:tcW w:w="0" w:type="auto"/>
            <w:shd w:val="clear" w:color="auto" w:fill="auto"/>
          </w:tcPr>
          <w:p w14:paraId="2BC9D354" w14:textId="77777777" w:rsidR="008C5CFA" w:rsidRPr="009C3005" w:rsidRDefault="00E82A60" w:rsidP="00300A01">
            <w:pPr>
              <w:pStyle w:val="Text1"/>
              <w:spacing w:before="0" w:after="0"/>
              <w:ind w:left="0"/>
              <w:rPr>
                <w:sz w:val="12"/>
                <w:szCs w:val="12"/>
              </w:rPr>
            </w:pPr>
            <w:r>
              <w:rPr>
                <w:noProof/>
                <w:sz w:val="12"/>
                <w:szCs w:val="12"/>
              </w:rPr>
              <w:t>04</w:t>
            </w:r>
          </w:p>
        </w:tc>
        <w:tc>
          <w:tcPr>
            <w:tcW w:w="0" w:type="auto"/>
            <w:shd w:val="clear" w:color="auto" w:fill="auto"/>
          </w:tcPr>
          <w:p w14:paraId="78BCFC74" w14:textId="77777777" w:rsidR="008C5CFA" w:rsidRPr="009C3005" w:rsidRDefault="00E82A60" w:rsidP="00300A01">
            <w:pPr>
              <w:pStyle w:val="Text1"/>
              <w:spacing w:before="0" w:after="0"/>
              <w:ind w:left="0"/>
              <w:rPr>
                <w:sz w:val="12"/>
                <w:szCs w:val="12"/>
              </w:rPr>
            </w:pPr>
            <w:r>
              <w:rPr>
                <w:noProof/>
                <w:sz w:val="12"/>
                <w:szCs w:val="12"/>
              </w:rPr>
              <w:t>PL33</w:t>
            </w:r>
          </w:p>
        </w:tc>
        <w:tc>
          <w:tcPr>
            <w:tcW w:w="0" w:type="auto"/>
            <w:shd w:val="clear" w:color="auto" w:fill="auto"/>
          </w:tcPr>
          <w:p w14:paraId="052DDE2A" w14:textId="77777777" w:rsidR="008C5CFA" w:rsidRPr="009C3005" w:rsidRDefault="00E82A60" w:rsidP="00300A01">
            <w:pPr>
              <w:pStyle w:val="Text1"/>
              <w:spacing w:before="0" w:after="0"/>
              <w:ind w:left="0"/>
              <w:jc w:val="right"/>
              <w:rPr>
                <w:sz w:val="12"/>
                <w:szCs w:val="12"/>
              </w:rPr>
            </w:pPr>
            <w:r w:rsidRPr="009C3005">
              <w:rPr>
                <w:noProof/>
                <w:sz w:val="12"/>
                <w:szCs w:val="12"/>
              </w:rPr>
              <w:t>776 760,27</w:t>
            </w:r>
          </w:p>
        </w:tc>
        <w:tc>
          <w:tcPr>
            <w:tcW w:w="0" w:type="auto"/>
            <w:shd w:val="clear" w:color="auto" w:fill="auto"/>
          </w:tcPr>
          <w:p w14:paraId="4BB093A6" w14:textId="77777777" w:rsidR="008C5CFA" w:rsidRPr="009C3005" w:rsidRDefault="00E82A60" w:rsidP="00300A01">
            <w:pPr>
              <w:pStyle w:val="Text1"/>
              <w:spacing w:before="0" w:after="0"/>
              <w:ind w:left="0"/>
              <w:jc w:val="right"/>
              <w:rPr>
                <w:sz w:val="12"/>
                <w:szCs w:val="12"/>
              </w:rPr>
            </w:pPr>
            <w:r w:rsidRPr="009C3005">
              <w:rPr>
                <w:noProof/>
                <w:sz w:val="12"/>
                <w:szCs w:val="12"/>
              </w:rPr>
              <w:t>559 272,96</w:t>
            </w:r>
          </w:p>
        </w:tc>
        <w:tc>
          <w:tcPr>
            <w:tcW w:w="0" w:type="auto"/>
            <w:shd w:val="clear" w:color="auto" w:fill="auto"/>
          </w:tcPr>
          <w:p w14:paraId="501D2F74" w14:textId="77777777" w:rsidR="008C5CFA" w:rsidRPr="009C3005" w:rsidRDefault="00E82A60" w:rsidP="00300A01">
            <w:pPr>
              <w:pStyle w:val="Text1"/>
              <w:spacing w:before="0" w:after="0"/>
              <w:ind w:left="0"/>
              <w:jc w:val="right"/>
              <w:rPr>
                <w:sz w:val="12"/>
                <w:szCs w:val="12"/>
              </w:rPr>
            </w:pPr>
            <w:r w:rsidRPr="009C3005">
              <w:rPr>
                <w:noProof/>
                <w:sz w:val="12"/>
                <w:szCs w:val="12"/>
              </w:rPr>
              <w:t>494 116,84</w:t>
            </w:r>
          </w:p>
        </w:tc>
        <w:tc>
          <w:tcPr>
            <w:tcW w:w="0" w:type="auto"/>
            <w:shd w:val="clear" w:color="auto" w:fill="auto"/>
          </w:tcPr>
          <w:p w14:paraId="0AB2616A" w14:textId="77777777" w:rsidR="008C5CFA" w:rsidRPr="009C3005" w:rsidRDefault="00E82A60" w:rsidP="00300A01">
            <w:pPr>
              <w:pStyle w:val="Text1"/>
              <w:spacing w:before="0" w:after="0"/>
              <w:ind w:left="0"/>
              <w:jc w:val="right"/>
              <w:rPr>
                <w:sz w:val="12"/>
                <w:szCs w:val="12"/>
              </w:rPr>
            </w:pPr>
            <w:r w:rsidRPr="009C3005">
              <w:rPr>
                <w:noProof/>
                <w:sz w:val="12"/>
                <w:szCs w:val="12"/>
              </w:rPr>
              <w:t>3</w:t>
            </w:r>
          </w:p>
        </w:tc>
      </w:tr>
      <w:tr w:rsidR="006B2EC1" w14:paraId="75259D5A" w14:textId="77777777" w:rsidTr="0047688D">
        <w:tc>
          <w:tcPr>
            <w:tcW w:w="0" w:type="auto"/>
            <w:shd w:val="clear" w:color="auto" w:fill="auto"/>
          </w:tcPr>
          <w:p w14:paraId="2C12A00D" w14:textId="77777777" w:rsidR="008C5CFA" w:rsidRPr="009C3005" w:rsidRDefault="00E82A60" w:rsidP="00300A01">
            <w:pPr>
              <w:pStyle w:val="Text1"/>
              <w:spacing w:before="0" w:after="0"/>
              <w:ind w:left="0"/>
              <w:rPr>
                <w:sz w:val="12"/>
                <w:szCs w:val="12"/>
              </w:rPr>
            </w:pPr>
            <w:r>
              <w:rPr>
                <w:noProof/>
                <w:sz w:val="14"/>
                <w:szCs w:val="14"/>
                <w:lang w:val="fr-BE"/>
              </w:rPr>
              <w:t>2</w:t>
            </w:r>
          </w:p>
        </w:tc>
        <w:tc>
          <w:tcPr>
            <w:tcW w:w="0" w:type="auto"/>
            <w:shd w:val="clear" w:color="auto" w:fill="auto"/>
          </w:tcPr>
          <w:p w14:paraId="6192F075" w14:textId="77777777" w:rsidR="008C5CFA" w:rsidRPr="009C3005" w:rsidRDefault="00E82A60" w:rsidP="00300A01">
            <w:pPr>
              <w:pStyle w:val="Text1"/>
              <w:spacing w:before="0" w:after="0"/>
              <w:ind w:left="0"/>
              <w:rPr>
                <w:sz w:val="12"/>
                <w:szCs w:val="12"/>
              </w:rPr>
            </w:pPr>
            <w:r>
              <w:rPr>
                <w:noProof/>
                <w:sz w:val="12"/>
                <w:szCs w:val="12"/>
              </w:rPr>
              <w:t>EFRR</w:t>
            </w:r>
          </w:p>
        </w:tc>
        <w:tc>
          <w:tcPr>
            <w:tcW w:w="0" w:type="auto"/>
            <w:shd w:val="clear" w:color="auto" w:fill="auto"/>
          </w:tcPr>
          <w:p w14:paraId="5D1F9B42" w14:textId="77777777" w:rsidR="008C5CFA" w:rsidRPr="009C3005" w:rsidRDefault="00E82A60" w:rsidP="00300A01">
            <w:pPr>
              <w:pStyle w:val="Text1"/>
              <w:spacing w:before="0" w:after="0"/>
              <w:ind w:left="0"/>
              <w:rPr>
                <w:sz w:val="12"/>
                <w:szCs w:val="12"/>
              </w:rPr>
            </w:pPr>
            <w:r>
              <w:rPr>
                <w:noProof/>
                <w:sz w:val="12"/>
                <w:szCs w:val="12"/>
              </w:rPr>
              <w:t>Słabiej rozwinięte</w:t>
            </w:r>
          </w:p>
        </w:tc>
        <w:tc>
          <w:tcPr>
            <w:tcW w:w="0" w:type="auto"/>
            <w:shd w:val="clear" w:color="auto" w:fill="auto"/>
          </w:tcPr>
          <w:p w14:paraId="20941C41" w14:textId="77777777" w:rsidR="008C5CFA" w:rsidRPr="009C3005" w:rsidRDefault="00E82A60" w:rsidP="00300A01">
            <w:pPr>
              <w:pStyle w:val="Text1"/>
              <w:spacing w:before="0" w:after="0"/>
              <w:ind w:left="0"/>
              <w:rPr>
                <w:sz w:val="12"/>
                <w:szCs w:val="12"/>
              </w:rPr>
            </w:pPr>
            <w:r>
              <w:rPr>
                <w:noProof/>
                <w:sz w:val="12"/>
                <w:szCs w:val="12"/>
              </w:rPr>
              <w:t>001</w:t>
            </w:r>
          </w:p>
        </w:tc>
        <w:tc>
          <w:tcPr>
            <w:tcW w:w="0" w:type="auto"/>
            <w:shd w:val="clear" w:color="auto" w:fill="auto"/>
          </w:tcPr>
          <w:p w14:paraId="6D0CA4F4"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19211F73" w14:textId="77777777" w:rsidR="008C5CFA" w:rsidRPr="009C3005" w:rsidRDefault="00E82A60" w:rsidP="00300A01">
            <w:pPr>
              <w:pStyle w:val="Text1"/>
              <w:spacing w:before="0" w:after="0"/>
              <w:ind w:left="0"/>
              <w:rPr>
                <w:sz w:val="12"/>
                <w:szCs w:val="12"/>
              </w:rPr>
            </w:pPr>
            <w:r>
              <w:rPr>
                <w:noProof/>
                <w:sz w:val="12"/>
                <w:szCs w:val="12"/>
              </w:rPr>
              <w:t>03</w:t>
            </w:r>
          </w:p>
        </w:tc>
        <w:tc>
          <w:tcPr>
            <w:tcW w:w="0" w:type="auto"/>
            <w:shd w:val="clear" w:color="auto" w:fill="auto"/>
          </w:tcPr>
          <w:p w14:paraId="26C04D87"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3A6B0A36" w14:textId="77777777" w:rsidR="008C5CFA" w:rsidRPr="009C3005" w:rsidRDefault="00E82A60" w:rsidP="00300A01">
            <w:pPr>
              <w:pStyle w:val="Text1"/>
              <w:spacing w:before="0" w:after="0"/>
              <w:ind w:left="0"/>
              <w:rPr>
                <w:sz w:val="12"/>
                <w:szCs w:val="12"/>
              </w:rPr>
            </w:pPr>
            <w:r>
              <w:rPr>
                <w:noProof/>
                <w:sz w:val="12"/>
                <w:szCs w:val="12"/>
              </w:rPr>
              <w:t>03</w:t>
            </w:r>
          </w:p>
        </w:tc>
        <w:tc>
          <w:tcPr>
            <w:tcW w:w="0" w:type="auto"/>
            <w:shd w:val="clear" w:color="auto" w:fill="auto"/>
          </w:tcPr>
          <w:p w14:paraId="37738F1C" w14:textId="77777777" w:rsidR="008C5CFA" w:rsidRPr="009C3005" w:rsidRDefault="00E82A60" w:rsidP="00300A01">
            <w:pPr>
              <w:pStyle w:val="Text1"/>
              <w:spacing w:before="0" w:after="0"/>
              <w:ind w:left="0"/>
              <w:rPr>
                <w:sz w:val="12"/>
                <w:szCs w:val="12"/>
              </w:rPr>
            </w:pPr>
            <w:r>
              <w:rPr>
                <w:sz w:val="12"/>
                <w:szCs w:val="12"/>
              </w:rPr>
              <w:t xml:space="preserve"> </w:t>
            </w:r>
          </w:p>
        </w:tc>
        <w:tc>
          <w:tcPr>
            <w:tcW w:w="0" w:type="auto"/>
            <w:shd w:val="clear" w:color="auto" w:fill="auto"/>
          </w:tcPr>
          <w:p w14:paraId="674608AD" w14:textId="77777777" w:rsidR="008C5CFA" w:rsidRPr="009C3005" w:rsidRDefault="00E82A60" w:rsidP="00300A01">
            <w:pPr>
              <w:pStyle w:val="Text1"/>
              <w:spacing w:before="0" w:after="0"/>
              <w:ind w:left="0"/>
              <w:rPr>
                <w:sz w:val="12"/>
                <w:szCs w:val="12"/>
              </w:rPr>
            </w:pPr>
            <w:r>
              <w:rPr>
                <w:noProof/>
                <w:sz w:val="12"/>
                <w:szCs w:val="12"/>
              </w:rPr>
              <w:t>05</w:t>
            </w:r>
          </w:p>
        </w:tc>
        <w:tc>
          <w:tcPr>
            <w:tcW w:w="0" w:type="auto"/>
            <w:shd w:val="clear" w:color="auto" w:fill="auto"/>
          </w:tcPr>
          <w:p w14:paraId="04C7B715" w14:textId="77777777" w:rsidR="008C5CFA" w:rsidRPr="009C3005" w:rsidRDefault="00E82A60" w:rsidP="00300A01">
            <w:pPr>
              <w:pStyle w:val="Text1"/>
              <w:spacing w:before="0" w:after="0"/>
              <w:ind w:left="0"/>
              <w:rPr>
                <w:sz w:val="12"/>
                <w:szCs w:val="12"/>
              </w:rPr>
            </w:pPr>
            <w:r>
              <w:rPr>
                <w:noProof/>
                <w:sz w:val="12"/>
                <w:szCs w:val="12"/>
              </w:rPr>
              <w:t>PL33</w:t>
            </w:r>
          </w:p>
        </w:tc>
        <w:tc>
          <w:tcPr>
            <w:tcW w:w="0" w:type="auto"/>
            <w:shd w:val="clear" w:color="auto" w:fill="auto"/>
          </w:tcPr>
          <w:p w14:paraId="7CC7591F" w14:textId="77777777" w:rsidR="008C5CFA" w:rsidRPr="009C3005" w:rsidRDefault="00E82A60" w:rsidP="00300A01">
            <w:pPr>
              <w:pStyle w:val="Text1"/>
              <w:spacing w:before="0" w:after="0"/>
              <w:ind w:left="0"/>
              <w:jc w:val="right"/>
              <w:rPr>
                <w:sz w:val="12"/>
                <w:szCs w:val="12"/>
              </w:rPr>
            </w:pPr>
            <w:r w:rsidRPr="009C3005">
              <w:rPr>
                <w:noProof/>
                <w:sz w:val="12"/>
                <w:szCs w:val="12"/>
              </w:rPr>
              <w:t>527 991,17</w:t>
            </w:r>
          </w:p>
        </w:tc>
        <w:tc>
          <w:tcPr>
            <w:tcW w:w="0" w:type="auto"/>
            <w:shd w:val="clear" w:color="auto" w:fill="auto"/>
          </w:tcPr>
          <w:p w14:paraId="06B2F8D2" w14:textId="77777777" w:rsidR="008C5CFA" w:rsidRPr="009C3005" w:rsidRDefault="00E82A60" w:rsidP="00300A01">
            <w:pPr>
              <w:pStyle w:val="Text1"/>
              <w:spacing w:before="0" w:after="0"/>
              <w:ind w:left="0"/>
              <w:jc w:val="right"/>
              <w:rPr>
                <w:sz w:val="12"/>
                <w:szCs w:val="12"/>
              </w:rPr>
            </w:pPr>
            <w:r w:rsidRPr="009C3005">
              <w:rPr>
                <w:noProof/>
                <w:sz w:val="12"/>
                <w:szCs w:val="12"/>
              </w:rPr>
              <w:t>314 185,87</w:t>
            </w:r>
          </w:p>
        </w:tc>
        <w:tc>
          <w:tcPr>
            <w:tcW w:w="0" w:type="auto"/>
            <w:shd w:val="clear" w:color="auto" w:fill="auto"/>
          </w:tcPr>
          <w:p w14:paraId="1B003BD3" w14:textId="77777777" w:rsidR="008C5CFA" w:rsidRPr="009C3005" w:rsidRDefault="00E82A60" w:rsidP="00300A01">
            <w:pPr>
              <w:pStyle w:val="Text1"/>
              <w:spacing w:before="0" w:after="0"/>
              <w:ind w:left="0"/>
              <w:jc w:val="right"/>
              <w:rPr>
                <w:sz w:val="12"/>
                <w:szCs w:val="12"/>
              </w:rPr>
            </w:pPr>
            <w:r w:rsidRPr="009C3005">
              <w:rPr>
                <w:noProof/>
                <w:sz w:val="12"/>
                <w:szCs w:val="12"/>
              </w:rPr>
              <w:t>60 516,36</w:t>
            </w:r>
          </w:p>
        </w:tc>
        <w:tc>
          <w:tcPr>
            <w:tcW w:w="0" w:type="auto"/>
            <w:shd w:val="clear" w:color="auto" w:fill="auto"/>
          </w:tcPr>
          <w:p w14:paraId="7303D595" w14:textId="77777777" w:rsidR="008C5CFA" w:rsidRPr="009C3005" w:rsidRDefault="00E82A60" w:rsidP="00300A01">
            <w:pPr>
              <w:pStyle w:val="Text1"/>
              <w:spacing w:before="0" w:after="0"/>
              <w:ind w:left="0"/>
              <w:jc w:val="right"/>
              <w:rPr>
                <w:sz w:val="12"/>
                <w:szCs w:val="12"/>
              </w:rPr>
            </w:pPr>
            <w:r w:rsidRPr="009C3005">
              <w:rPr>
                <w:noProof/>
                <w:sz w:val="12"/>
                <w:szCs w:val="12"/>
              </w:rPr>
              <w:t>2</w:t>
            </w:r>
          </w:p>
        </w:tc>
      </w:tr>
      <w:tr w:rsidR="006B2EC1" w14:paraId="18AE7976" w14:textId="77777777" w:rsidTr="0047688D">
        <w:tc>
          <w:tcPr>
            <w:tcW w:w="0" w:type="auto"/>
            <w:shd w:val="clear" w:color="auto" w:fill="auto"/>
          </w:tcPr>
          <w:p w14:paraId="3F127903" w14:textId="77777777" w:rsidR="008C5CFA" w:rsidRPr="009C3005" w:rsidRDefault="00E82A60" w:rsidP="00300A01">
            <w:pPr>
              <w:pStyle w:val="Text1"/>
              <w:spacing w:before="0" w:after="0"/>
              <w:ind w:left="0"/>
              <w:rPr>
                <w:sz w:val="12"/>
                <w:szCs w:val="12"/>
              </w:rPr>
            </w:pPr>
            <w:r>
              <w:rPr>
                <w:noProof/>
                <w:sz w:val="14"/>
                <w:szCs w:val="14"/>
                <w:lang w:val="fr-BE"/>
              </w:rPr>
              <w:t>2</w:t>
            </w:r>
          </w:p>
        </w:tc>
        <w:tc>
          <w:tcPr>
            <w:tcW w:w="0" w:type="auto"/>
            <w:shd w:val="clear" w:color="auto" w:fill="auto"/>
          </w:tcPr>
          <w:p w14:paraId="42B9308C" w14:textId="77777777" w:rsidR="008C5CFA" w:rsidRPr="009C3005" w:rsidRDefault="00E82A60" w:rsidP="00300A01">
            <w:pPr>
              <w:pStyle w:val="Text1"/>
              <w:spacing w:before="0" w:after="0"/>
              <w:ind w:left="0"/>
              <w:rPr>
                <w:sz w:val="12"/>
                <w:szCs w:val="12"/>
              </w:rPr>
            </w:pPr>
            <w:r>
              <w:rPr>
                <w:noProof/>
                <w:sz w:val="12"/>
                <w:szCs w:val="12"/>
              </w:rPr>
              <w:t>EFRR</w:t>
            </w:r>
          </w:p>
        </w:tc>
        <w:tc>
          <w:tcPr>
            <w:tcW w:w="0" w:type="auto"/>
            <w:shd w:val="clear" w:color="auto" w:fill="auto"/>
          </w:tcPr>
          <w:p w14:paraId="55883723" w14:textId="77777777" w:rsidR="008C5CFA" w:rsidRPr="009C3005" w:rsidRDefault="00E82A60" w:rsidP="00300A01">
            <w:pPr>
              <w:pStyle w:val="Text1"/>
              <w:spacing w:before="0" w:after="0"/>
              <w:ind w:left="0"/>
              <w:rPr>
                <w:sz w:val="12"/>
                <w:szCs w:val="12"/>
              </w:rPr>
            </w:pPr>
            <w:r>
              <w:rPr>
                <w:noProof/>
                <w:sz w:val="12"/>
                <w:szCs w:val="12"/>
              </w:rPr>
              <w:t>Słabiej rozwinięte</w:t>
            </w:r>
          </w:p>
        </w:tc>
        <w:tc>
          <w:tcPr>
            <w:tcW w:w="0" w:type="auto"/>
            <w:shd w:val="clear" w:color="auto" w:fill="auto"/>
          </w:tcPr>
          <w:p w14:paraId="65B8101B" w14:textId="77777777" w:rsidR="008C5CFA" w:rsidRPr="009C3005" w:rsidRDefault="00E82A60" w:rsidP="00300A01">
            <w:pPr>
              <w:pStyle w:val="Text1"/>
              <w:spacing w:before="0" w:after="0"/>
              <w:ind w:left="0"/>
              <w:rPr>
                <w:sz w:val="12"/>
                <w:szCs w:val="12"/>
              </w:rPr>
            </w:pPr>
            <w:r>
              <w:rPr>
                <w:noProof/>
                <w:sz w:val="12"/>
                <w:szCs w:val="12"/>
              </w:rPr>
              <w:t>001</w:t>
            </w:r>
          </w:p>
        </w:tc>
        <w:tc>
          <w:tcPr>
            <w:tcW w:w="0" w:type="auto"/>
            <w:shd w:val="clear" w:color="auto" w:fill="auto"/>
          </w:tcPr>
          <w:p w14:paraId="614EC634"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2616B666" w14:textId="77777777" w:rsidR="008C5CFA" w:rsidRPr="009C3005" w:rsidRDefault="00E82A60" w:rsidP="00300A01">
            <w:pPr>
              <w:pStyle w:val="Text1"/>
              <w:spacing w:before="0" w:after="0"/>
              <w:ind w:left="0"/>
              <w:rPr>
                <w:sz w:val="12"/>
                <w:szCs w:val="12"/>
              </w:rPr>
            </w:pPr>
            <w:r>
              <w:rPr>
                <w:noProof/>
                <w:sz w:val="12"/>
                <w:szCs w:val="12"/>
              </w:rPr>
              <w:t>03</w:t>
            </w:r>
          </w:p>
        </w:tc>
        <w:tc>
          <w:tcPr>
            <w:tcW w:w="0" w:type="auto"/>
            <w:shd w:val="clear" w:color="auto" w:fill="auto"/>
          </w:tcPr>
          <w:p w14:paraId="5060240C"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1353B4A8" w14:textId="77777777" w:rsidR="008C5CFA" w:rsidRPr="009C3005" w:rsidRDefault="00E82A60" w:rsidP="00300A01">
            <w:pPr>
              <w:pStyle w:val="Text1"/>
              <w:spacing w:before="0" w:after="0"/>
              <w:ind w:left="0"/>
              <w:rPr>
                <w:sz w:val="12"/>
                <w:szCs w:val="12"/>
              </w:rPr>
            </w:pPr>
            <w:r>
              <w:rPr>
                <w:noProof/>
                <w:sz w:val="12"/>
                <w:szCs w:val="12"/>
              </w:rPr>
              <w:t>03</w:t>
            </w:r>
          </w:p>
        </w:tc>
        <w:tc>
          <w:tcPr>
            <w:tcW w:w="0" w:type="auto"/>
            <w:shd w:val="clear" w:color="auto" w:fill="auto"/>
          </w:tcPr>
          <w:p w14:paraId="0D4651C6" w14:textId="77777777" w:rsidR="008C5CFA" w:rsidRPr="009C3005" w:rsidRDefault="00E82A60" w:rsidP="00300A01">
            <w:pPr>
              <w:pStyle w:val="Text1"/>
              <w:spacing w:before="0" w:after="0"/>
              <w:ind w:left="0"/>
              <w:rPr>
                <w:sz w:val="12"/>
                <w:szCs w:val="12"/>
              </w:rPr>
            </w:pPr>
            <w:r>
              <w:rPr>
                <w:sz w:val="12"/>
                <w:szCs w:val="12"/>
              </w:rPr>
              <w:t xml:space="preserve"> </w:t>
            </w:r>
          </w:p>
        </w:tc>
        <w:tc>
          <w:tcPr>
            <w:tcW w:w="0" w:type="auto"/>
            <w:shd w:val="clear" w:color="auto" w:fill="auto"/>
          </w:tcPr>
          <w:p w14:paraId="5DBBCA02"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08418798" w14:textId="77777777" w:rsidR="008C5CFA" w:rsidRPr="009C3005" w:rsidRDefault="00E82A60" w:rsidP="00300A01">
            <w:pPr>
              <w:pStyle w:val="Text1"/>
              <w:spacing w:before="0" w:after="0"/>
              <w:ind w:left="0"/>
              <w:rPr>
                <w:sz w:val="12"/>
                <w:szCs w:val="12"/>
              </w:rPr>
            </w:pPr>
            <w:r>
              <w:rPr>
                <w:noProof/>
                <w:sz w:val="12"/>
                <w:szCs w:val="12"/>
              </w:rPr>
              <w:t>PL33</w:t>
            </w:r>
          </w:p>
        </w:tc>
        <w:tc>
          <w:tcPr>
            <w:tcW w:w="0" w:type="auto"/>
            <w:shd w:val="clear" w:color="auto" w:fill="auto"/>
          </w:tcPr>
          <w:p w14:paraId="54FB9607" w14:textId="77777777" w:rsidR="008C5CFA" w:rsidRPr="009C3005" w:rsidRDefault="00E82A60" w:rsidP="00300A01">
            <w:pPr>
              <w:pStyle w:val="Text1"/>
              <w:spacing w:before="0" w:after="0"/>
              <w:ind w:left="0"/>
              <w:jc w:val="right"/>
              <w:rPr>
                <w:sz w:val="12"/>
                <w:szCs w:val="12"/>
              </w:rPr>
            </w:pPr>
            <w:r w:rsidRPr="009C3005">
              <w:rPr>
                <w:noProof/>
                <w:sz w:val="12"/>
                <w:szCs w:val="12"/>
              </w:rPr>
              <w:t>22 190 429,73</w:t>
            </w:r>
          </w:p>
        </w:tc>
        <w:tc>
          <w:tcPr>
            <w:tcW w:w="0" w:type="auto"/>
            <w:shd w:val="clear" w:color="auto" w:fill="auto"/>
          </w:tcPr>
          <w:p w14:paraId="52B77324" w14:textId="77777777" w:rsidR="008C5CFA" w:rsidRPr="009C3005" w:rsidRDefault="00E82A60" w:rsidP="00300A01">
            <w:pPr>
              <w:pStyle w:val="Text1"/>
              <w:spacing w:before="0" w:after="0"/>
              <w:ind w:left="0"/>
              <w:jc w:val="right"/>
              <w:rPr>
                <w:sz w:val="12"/>
                <w:szCs w:val="12"/>
              </w:rPr>
            </w:pPr>
            <w:r w:rsidRPr="009C3005">
              <w:rPr>
                <w:noProof/>
                <w:sz w:val="12"/>
                <w:szCs w:val="12"/>
              </w:rPr>
              <w:t>12 486 275,38</w:t>
            </w:r>
          </w:p>
        </w:tc>
        <w:tc>
          <w:tcPr>
            <w:tcW w:w="0" w:type="auto"/>
            <w:shd w:val="clear" w:color="auto" w:fill="auto"/>
          </w:tcPr>
          <w:p w14:paraId="62C91BCB" w14:textId="77777777" w:rsidR="008C5CFA" w:rsidRPr="009C3005" w:rsidRDefault="00E82A60" w:rsidP="00300A01">
            <w:pPr>
              <w:pStyle w:val="Text1"/>
              <w:spacing w:before="0" w:after="0"/>
              <w:ind w:left="0"/>
              <w:jc w:val="right"/>
              <w:rPr>
                <w:sz w:val="12"/>
                <w:szCs w:val="12"/>
              </w:rPr>
            </w:pPr>
            <w:r w:rsidRPr="009C3005">
              <w:rPr>
                <w:noProof/>
                <w:sz w:val="12"/>
                <w:szCs w:val="12"/>
              </w:rPr>
              <w:t>15 752 649,82</w:t>
            </w:r>
          </w:p>
        </w:tc>
        <w:tc>
          <w:tcPr>
            <w:tcW w:w="0" w:type="auto"/>
            <w:shd w:val="clear" w:color="auto" w:fill="auto"/>
          </w:tcPr>
          <w:p w14:paraId="583C3447" w14:textId="77777777" w:rsidR="008C5CFA" w:rsidRPr="009C3005" w:rsidRDefault="00E82A60" w:rsidP="00300A01">
            <w:pPr>
              <w:pStyle w:val="Text1"/>
              <w:spacing w:before="0" w:after="0"/>
              <w:ind w:left="0"/>
              <w:jc w:val="right"/>
              <w:rPr>
                <w:sz w:val="12"/>
                <w:szCs w:val="12"/>
              </w:rPr>
            </w:pPr>
            <w:r w:rsidRPr="009C3005">
              <w:rPr>
                <w:noProof/>
                <w:sz w:val="12"/>
                <w:szCs w:val="12"/>
              </w:rPr>
              <w:t>48</w:t>
            </w:r>
          </w:p>
        </w:tc>
      </w:tr>
      <w:tr w:rsidR="006B2EC1" w14:paraId="47702984" w14:textId="77777777" w:rsidTr="0047688D">
        <w:tc>
          <w:tcPr>
            <w:tcW w:w="0" w:type="auto"/>
            <w:shd w:val="clear" w:color="auto" w:fill="auto"/>
          </w:tcPr>
          <w:p w14:paraId="78766C65" w14:textId="77777777" w:rsidR="008C5CFA" w:rsidRPr="009C3005" w:rsidRDefault="00E82A60" w:rsidP="00300A01">
            <w:pPr>
              <w:pStyle w:val="Text1"/>
              <w:spacing w:before="0" w:after="0"/>
              <w:ind w:left="0"/>
              <w:rPr>
                <w:sz w:val="12"/>
                <w:szCs w:val="12"/>
              </w:rPr>
            </w:pPr>
            <w:r>
              <w:rPr>
                <w:noProof/>
                <w:sz w:val="14"/>
                <w:szCs w:val="14"/>
                <w:lang w:val="fr-BE"/>
              </w:rPr>
              <w:t>2</w:t>
            </w:r>
          </w:p>
        </w:tc>
        <w:tc>
          <w:tcPr>
            <w:tcW w:w="0" w:type="auto"/>
            <w:shd w:val="clear" w:color="auto" w:fill="auto"/>
          </w:tcPr>
          <w:p w14:paraId="7229584C" w14:textId="77777777" w:rsidR="008C5CFA" w:rsidRPr="009C3005" w:rsidRDefault="00E82A60" w:rsidP="00300A01">
            <w:pPr>
              <w:pStyle w:val="Text1"/>
              <w:spacing w:before="0" w:after="0"/>
              <w:ind w:left="0"/>
              <w:rPr>
                <w:sz w:val="12"/>
                <w:szCs w:val="12"/>
              </w:rPr>
            </w:pPr>
            <w:r>
              <w:rPr>
                <w:noProof/>
                <w:sz w:val="12"/>
                <w:szCs w:val="12"/>
              </w:rPr>
              <w:t>EFRR</w:t>
            </w:r>
          </w:p>
        </w:tc>
        <w:tc>
          <w:tcPr>
            <w:tcW w:w="0" w:type="auto"/>
            <w:shd w:val="clear" w:color="auto" w:fill="auto"/>
          </w:tcPr>
          <w:p w14:paraId="372D5452" w14:textId="77777777" w:rsidR="008C5CFA" w:rsidRPr="009C3005" w:rsidRDefault="00E82A60" w:rsidP="00300A01">
            <w:pPr>
              <w:pStyle w:val="Text1"/>
              <w:spacing w:before="0" w:after="0"/>
              <w:ind w:left="0"/>
              <w:rPr>
                <w:sz w:val="12"/>
                <w:szCs w:val="12"/>
              </w:rPr>
            </w:pPr>
            <w:r>
              <w:rPr>
                <w:noProof/>
                <w:sz w:val="12"/>
                <w:szCs w:val="12"/>
              </w:rPr>
              <w:t>Słabiej rozwinięte</w:t>
            </w:r>
          </w:p>
        </w:tc>
        <w:tc>
          <w:tcPr>
            <w:tcW w:w="0" w:type="auto"/>
            <w:shd w:val="clear" w:color="auto" w:fill="auto"/>
          </w:tcPr>
          <w:p w14:paraId="6108993D" w14:textId="77777777" w:rsidR="008C5CFA" w:rsidRPr="009C3005" w:rsidRDefault="00E82A60" w:rsidP="00300A01">
            <w:pPr>
              <w:pStyle w:val="Text1"/>
              <w:spacing w:before="0" w:after="0"/>
              <w:ind w:left="0"/>
              <w:rPr>
                <w:sz w:val="12"/>
                <w:szCs w:val="12"/>
              </w:rPr>
            </w:pPr>
            <w:r>
              <w:rPr>
                <w:noProof/>
                <w:sz w:val="12"/>
                <w:szCs w:val="12"/>
              </w:rPr>
              <w:t>001</w:t>
            </w:r>
          </w:p>
        </w:tc>
        <w:tc>
          <w:tcPr>
            <w:tcW w:w="0" w:type="auto"/>
            <w:shd w:val="clear" w:color="auto" w:fill="auto"/>
          </w:tcPr>
          <w:p w14:paraId="21EBB5FE"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6AB19C46" w14:textId="77777777" w:rsidR="008C5CFA" w:rsidRPr="009C3005" w:rsidRDefault="00E82A60" w:rsidP="00300A01">
            <w:pPr>
              <w:pStyle w:val="Text1"/>
              <w:spacing w:before="0" w:after="0"/>
              <w:ind w:left="0"/>
              <w:rPr>
                <w:sz w:val="12"/>
                <w:szCs w:val="12"/>
              </w:rPr>
            </w:pPr>
            <w:r>
              <w:rPr>
                <w:noProof/>
                <w:sz w:val="12"/>
                <w:szCs w:val="12"/>
              </w:rPr>
              <w:t>03</w:t>
            </w:r>
          </w:p>
        </w:tc>
        <w:tc>
          <w:tcPr>
            <w:tcW w:w="0" w:type="auto"/>
            <w:shd w:val="clear" w:color="auto" w:fill="auto"/>
          </w:tcPr>
          <w:p w14:paraId="3AC522D0"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37D5694B" w14:textId="77777777" w:rsidR="008C5CFA" w:rsidRPr="009C3005" w:rsidRDefault="00E82A60" w:rsidP="00300A01">
            <w:pPr>
              <w:pStyle w:val="Text1"/>
              <w:spacing w:before="0" w:after="0"/>
              <w:ind w:left="0"/>
              <w:rPr>
                <w:sz w:val="12"/>
                <w:szCs w:val="12"/>
              </w:rPr>
            </w:pPr>
            <w:r>
              <w:rPr>
                <w:noProof/>
                <w:sz w:val="12"/>
                <w:szCs w:val="12"/>
              </w:rPr>
              <w:t>03</w:t>
            </w:r>
          </w:p>
        </w:tc>
        <w:tc>
          <w:tcPr>
            <w:tcW w:w="0" w:type="auto"/>
            <w:shd w:val="clear" w:color="auto" w:fill="auto"/>
          </w:tcPr>
          <w:p w14:paraId="11353306" w14:textId="77777777" w:rsidR="008C5CFA" w:rsidRPr="009C3005" w:rsidRDefault="00E82A60" w:rsidP="00300A01">
            <w:pPr>
              <w:pStyle w:val="Text1"/>
              <w:spacing w:before="0" w:after="0"/>
              <w:ind w:left="0"/>
              <w:rPr>
                <w:sz w:val="12"/>
                <w:szCs w:val="12"/>
              </w:rPr>
            </w:pPr>
            <w:r>
              <w:rPr>
                <w:sz w:val="12"/>
                <w:szCs w:val="12"/>
              </w:rPr>
              <w:t xml:space="preserve"> </w:t>
            </w:r>
          </w:p>
        </w:tc>
        <w:tc>
          <w:tcPr>
            <w:tcW w:w="0" w:type="auto"/>
            <w:shd w:val="clear" w:color="auto" w:fill="auto"/>
          </w:tcPr>
          <w:p w14:paraId="40F31950" w14:textId="77777777" w:rsidR="008C5CFA" w:rsidRPr="009C3005" w:rsidRDefault="00E82A60" w:rsidP="00300A01">
            <w:pPr>
              <w:pStyle w:val="Text1"/>
              <w:spacing w:before="0" w:after="0"/>
              <w:ind w:left="0"/>
              <w:rPr>
                <w:sz w:val="12"/>
                <w:szCs w:val="12"/>
              </w:rPr>
            </w:pPr>
            <w:r>
              <w:rPr>
                <w:noProof/>
                <w:sz w:val="12"/>
                <w:szCs w:val="12"/>
              </w:rPr>
              <w:t>08</w:t>
            </w:r>
          </w:p>
        </w:tc>
        <w:tc>
          <w:tcPr>
            <w:tcW w:w="0" w:type="auto"/>
            <w:shd w:val="clear" w:color="auto" w:fill="auto"/>
          </w:tcPr>
          <w:p w14:paraId="491EEB60" w14:textId="77777777" w:rsidR="008C5CFA" w:rsidRPr="009C3005" w:rsidRDefault="00E82A60" w:rsidP="00300A01">
            <w:pPr>
              <w:pStyle w:val="Text1"/>
              <w:spacing w:before="0" w:after="0"/>
              <w:ind w:left="0"/>
              <w:rPr>
                <w:sz w:val="12"/>
                <w:szCs w:val="12"/>
              </w:rPr>
            </w:pPr>
            <w:r>
              <w:rPr>
                <w:noProof/>
                <w:sz w:val="12"/>
                <w:szCs w:val="12"/>
              </w:rPr>
              <w:t>PL33</w:t>
            </w:r>
          </w:p>
        </w:tc>
        <w:tc>
          <w:tcPr>
            <w:tcW w:w="0" w:type="auto"/>
            <w:shd w:val="clear" w:color="auto" w:fill="auto"/>
          </w:tcPr>
          <w:p w14:paraId="4238AF7F" w14:textId="77777777" w:rsidR="008C5CFA" w:rsidRPr="009C3005" w:rsidRDefault="00E82A60" w:rsidP="00300A01">
            <w:pPr>
              <w:pStyle w:val="Text1"/>
              <w:spacing w:before="0" w:after="0"/>
              <w:ind w:left="0"/>
              <w:jc w:val="right"/>
              <w:rPr>
                <w:sz w:val="12"/>
                <w:szCs w:val="12"/>
              </w:rPr>
            </w:pPr>
            <w:r w:rsidRPr="009C3005">
              <w:rPr>
                <w:noProof/>
                <w:sz w:val="12"/>
                <w:szCs w:val="12"/>
              </w:rPr>
              <w:t>5 433 563,84</w:t>
            </w:r>
          </w:p>
        </w:tc>
        <w:tc>
          <w:tcPr>
            <w:tcW w:w="0" w:type="auto"/>
            <w:shd w:val="clear" w:color="auto" w:fill="auto"/>
          </w:tcPr>
          <w:p w14:paraId="13B16B03" w14:textId="77777777" w:rsidR="008C5CFA" w:rsidRPr="009C3005" w:rsidRDefault="00E82A60" w:rsidP="00300A01">
            <w:pPr>
              <w:pStyle w:val="Text1"/>
              <w:spacing w:before="0" w:after="0"/>
              <w:ind w:left="0"/>
              <w:jc w:val="right"/>
              <w:rPr>
                <w:sz w:val="12"/>
                <w:szCs w:val="12"/>
              </w:rPr>
            </w:pPr>
            <w:r w:rsidRPr="009C3005">
              <w:rPr>
                <w:noProof/>
                <w:sz w:val="12"/>
                <w:szCs w:val="12"/>
              </w:rPr>
              <w:t>3 811 896,87</w:t>
            </w:r>
          </w:p>
        </w:tc>
        <w:tc>
          <w:tcPr>
            <w:tcW w:w="0" w:type="auto"/>
            <w:shd w:val="clear" w:color="auto" w:fill="auto"/>
          </w:tcPr>
          <w:p w14:paraId="18631DB2" w14:textId="77777777" w:rsidR="008C5CFA" w:rsidRPr="009C3005" w:rsidRDefault="00E82A60" w:rsidP="00300A01">
            <w:pPr>
              <w:pStyle w:val="Text1"/>
              <w:spacing w:before="0" w:after="0"/>
              <w:ind w:left="0"/>
              <w:jc w:val="right"/>
              <w:rPr>
                <w:sz w:val="12"/>
                <w:szCs w:val="12"/>
              </w:rPr>
            </w:pPr>
            <w:r w:rsidRPr="009C3005">
              <w:rPr>
                <w:noProof/>
                <w:sz w:val="12"/>
                <w:szCs w:val="12"/>
              </w:rPr>
              <w:t>3 868 644,84</w:t>
            </w:r>
          </w:p>
        </w:tc>
        <w:tc>
          <w:tcPr>
            <w:tcW w:w="0" w:type="auto"/>
            <w:shd w:val="clear" w:color="auto" w:fill="auto"/>
          </w:tcPr>
          <w:p w14:paraId="2D76F3B5" w14:textId="77777777" w:rsidR="008C5CFA" w:rsidRPr="009C3005" w:rsidRDefault="00E82A60" w:rsidP="00300A01">
            <w:pPr>
              <w:pStyle w:val="Text1"/>
              <w:spacing w:before="0" w:after="0"/>
              <w:ind w:left="0"/>
              <w:jc w:val="right"/>
              <w:rPr>
                <w:sz w:val="12"/>
                <w:szCs w:val="12"/>
              </w:rPr>
            </w:pPr>
            <w:r w:rsidRPr="009C3005">
              <w:rPr>
                <w:noProof/>
                <w:sz w:val="12"/>
                <w:szCs w:val="12"/>
              </w:rPr>
              <w:t>29</w:t>
            </w:r>
          </w:p>
        </w:tc>
      </w:tr>
      <w:tr w:rsidR="006B2EC1" w14:paraId="25A4AF4B" w14:textId="77777777" w:rsidTr="0047688D">
        <w:tc>
          <w:tcPr>
            <w:tcW w:w="0" w:type="auto"/>
            <w:shd w:val="clear" w:color="auto" w:fill="auto"/>
          </w:tcPr>
          <w:p w14:paraId="34F580B9" w14:textId="77777777" w:rsidR="008C5CFA" w:rsidRPr="009C3005" w:rsidRDefault="00E82A60" w:rsidP="00300A01">
            <w:pPr>
              <w:pStyle w:val="Text1"/>
              <w:spacing w:before="0" w:after="0"/>
              <w:ind w:left="0"/>
              <w:rPr>
                <w:sz w:val="12"/>
                <w:szCs w:val="12"/>
              </w:rPr>
            </w:pPr>
            <w:r>
              <w:rPr>
                <w:noProof/>
                <w:sz w:val="14"/>
                <w:szCs w:val="14"/>
                <w:lang w:val="fr-BE"/>
              </w:rPr>
              <w:t>2</w:t>
            </w:r>
          </w:p>
        </w:tc>
        <w:tc>
          <w:tcPr>
            <w:tcW w:w="0" w:type="auto"/>
            <w:shd w:val="clear" w:color="auto" w:fill="auto"/>
          </w:tcPr>
          <w:p w14:paraId="495815E5" w14:textId="77777777" w:rsidR="008C5CFA" w:rsidRPr="009C3005" w:rsidRDefault="00E82A60" w:rsidP="00300A01">
            <w:pPr>
              <w:pStyle w:val="Text1"/>
              <w:spacing w:before="0" w:after="0"/>
              <w:ind w:left="0"/>
              <w:rPr>
                <w:sz w:val="12"/>
                <w:szCs w:val="12"/>
              </w:rPr>
            </w:pPr>
            <w:r>
              <w:rPr>
                <w:noProof/>
                <w:sz w:val="12"/>
                <w:szCs w:val="12"/>
              </w:rPr>
              <w:t>EFRR</w:t>
            </w:r>
          </w:p>
        </w:tc>
        <w:tc>
          <w:tcPr>
            <w:tcW w:w="0" w:type="auto"/>
            <w:shd w:val="clear" w:color="auto" w:fill="auto"/>
          </w:tcPr>
          <w:p w14:paraId="534CC01E" w14:textId="77777777" w:rsidR="008C5CFA" w:rsidRPr="009C3005" w:rsidRDefault="00E82A60" w:rsidP="00300A01">
            <w:pPr>
              <w:pStyle w:val="Text1"/>
              <w:spacing w:before="0" w:after="0"/>
              <w:ind w:left="0"/>
              <w:rPr>
                <w:sz w:val="12"/>
                <w:szCs w:val="12"/>
              </w:rPr>
            </w:pPr>
            <w:r>
              <w:rPr>
                <w:noProof/>
                <w:sz w:val="12"/>
                <w:szCs w:val="12"/>
              </w:rPr>
              <w:t>Słabiej rozwinięte</w:t>
            </w:r>
          </w:p>
        </w:tc>
        <w:tc>
          <w:tcPr>
            <w:tcW w:w="0" w:type="auto"/>
            <w:shd w:val="clear" w:color="auto" w:fill="auto"/>
          </w:tcPr>
          <w:p w14:paraId="42731524" w14:textId="77777777" w:rsidR="008C5CFA" w:rsidRPr="009C3005" w:rsidRDefault="00E82A60" w:rsidP="00300A01">
            <w:pPr>
              <w:pStyle w:val="Text1"/>
              <w:spacing w:before="0" w:after="0"/>
              <w:ind w:left="0"/>
              <w:rPr>
                <w:sz w:val="12"/>
                <w:szCs w:val="12"/>
              </w:rPr>
            </w:pPr>
            <w:r>
              <w:rPr>
                <w:noProof/>
                <w:sz w:val="12"/>
                <w:szCs w:val="12"/>
              </w:rPr>
              <w:t>001</w:t>
            </w:r>
          </w:p>
        </w:tc>
        <w:tc>
          <w:tcPr>
            <w:tcW w:w="0" w:type="auto"/>
            <w:shd w:val="clear" w:color="auto" w:fill="auto"/>
          </w:tcPr>
          <w:p w14:paraId="53FEE28A"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7445A783" w14:textId="77777777" w:rsidR="008C5CFA" w:rsidRPr="009C3005" w:rsidRDefault="00E82A60" w:rsidP="00300A01">
            <w:pPr>
              <w:pStyle w:val="Text1"/>
              <w:spacing w:before="0" w:after="0"/>
              <w:ind w:left="0"/>
              <w:rPr>
                <w:sz w:val="12"/>
                <w:szCs w:val="12"/>
              </w:rPr>
            </w:pPr>
            <w:r>
              <w:rPr>
                <w:noProof/>
                <w:sz w:val="12"/>
                <w:szCs w:val="12"/>
              </w:rPr>
              <w:t>03</w:t>
            </w:r>
          </w:p>
        </w:tc>
        <w:tc>
          <w:tcPr>
            <w:tcW w:w="0" w:type="auto"/>
            <w:shd w:val="clear" w:color="auto" w:fill="auto"/>
          </w:tcPr>
          <w:p w14:paraId="2F38558F"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1F372A4A" w14:textId="77777777" w:rsidR="008C5CFA" w:rsidRPr="009C3005" w:rsidRDefault="00E82A60" w:rsidP="00300A01">
            <w:pPr>
              <w:pStyle w:val="Text1"/>
              <w:spacing w:before="0" w:after="0"/>
              <w:ind w:left="0"/>
              <w:rPr>
                <w:sz w:val="12"/>
                <w:szCs w:val="12"/>
              </w:rPr>
            </w:pPr>
            <w:r>
              <w:rPr>
                <w:noProof/>
                <w:sz w:val="12"/>
                <w:szCs w:val="12"/>
              </w:rPr>
              <w:t>03</w:t>
            </w:r>
          </w:p>
        </w:tc>
        <w:tc>
          <w:tcPr>
            <w:tcW w:w="0" w:type="auto"/>
            <w:shd w:val="clear" w:color="auto" w:fill="auto"/>
          </w:tcPr>
          <w:p w14:paraId="225E1C78" w14:textId="77777777" w:rsidR="008C5CFA" w:rsidRPr="009C3005" w:rsidRDefault="00E82A60" w:rsidP="00300A01">
            <w:pPr>
              <w:pStyle w:val="Text1"/>
              <w:spacing w:before="0" w:after="0"/>
              <w:ind w:left="0"/>
              <w:rPr>
                <w:sz w:val="12"/>
                <w:szCs w:val="12"/>
              </w:rPr>
            </w:pPr>
            <w:r>
              <w:rPr>
                <w:sz w:val="12"/>
                <w:szCs w:val="12"/>
              </w:rPr>
              <w:t xml:space="preserve"> </w:t>
            </w:r>
          </w:p>
        </w:tc>
        <w:tc>
          <w:tcPr>
            <w:tcW w:w="0" w:type="auto"/>
            <w:shd w:val="clear" w:color="auto" w:fill="auto"/>
          </w:tcPr>
          <w:p w14:paraId="0F76FB4B" w14:textId="77777777" w:rsidR="008C5CFA" w:rsidRPr="009C3005" w:rsidRDefault="00E82A60" w:rsidP="00300A01">
            <w:pPr>
              <w:pStyle w:val="Text1"/>
              <w:spacing w:before="0" w:after="0"/>
              <w:ind w:left="0"/>
              <w:rPr>
                <w:sz w:val="12"/>
                <w:szCs w:val="12"/>
              </w:rPr>
            </w:pPr>
            <w:r>
              <w:rPr>
                <w:noProof/>
                <w:sz w:val="12"/>
                <w:szCs w:val="12"/>
              </w:rPr>
              <w:t>09</w:t>
            </w:r>
          </w:p>
        </w:tc>
        <w:tc>
          <w:tcPr>
            <w:tcW w:w="0" w:type="auto"/>
            <w:shd w:val="clear" w:color="auto" w:fill="auto"/>
          </w:tcPr>
          <w:p w14:paraId="62931B99" w14:textId="77777777" w:rsidR="008C5CFA" w:rsidRPr="009C3005" w:rsidRDefault="00E82A60" w:rsidP="00300A01">
            <w:pPr>
              <w:pStyle w:val="Text1"/>
              <w:spacing w:before="0" w:after="0"/>
              <w:ind w:left="0"/>
              <w:rPr>
                <w:sz w:val="12"/>
                <w:szCs w:val="12"/>
              </w:rPr>
            </w:pPr>
            <w:r>
              <w:rPr>
                <w:noProof/>
                <w:sz w:val="12"/>
                <w:szCs w:val="12"/>
              </w:rPr>
              <w:t>PL33</w:t>
            </w:r>
          </w:p>
        </w:tc>
        <w:tc>
          <w:tcPr>
            <w:tcW w:w="0" w:type="auto"/>
            <w:shd w:val="clear" w:color="auto" w:fill="auto"/>
          </w:tcPr>
          <w:p w14:paraId="4096B4FE" w14:textId="77777777" w:rsidR="008C5CFA" w:rsidRPr="009C3005" w:rsidRDefault="00E82A60" w:rsidP="00300A01">
            <w:pPr>
              <w:pStyle w:val="Text1"/>
              <w:spacing w:before="0" w:after="0"/>
              <w:ind w:left="0"/>
              <w:jc w:val="right"/>
              <w:rPr>
                <w:sz w:val="12"/>
                <w:szCs w:val="12"/>
              </w:rPr>
            </w:pPr>
            <w:r w:rsidRPr="009C3005">
              <w:rPr>
                <w:noProof/>
                <w:sz w:val="12"/>
                <w:szCs w:val="12"/>
              </w:rPr>
              <w:t>418 164,31</w:t>
            </w:r>
          </w:p>
        </w:tc>
        <w:tc>
          <w:tcPr>
            <w:tcW w:w="0" w:type="auto"/>
            <w:shd w:val="clear" w:color="auto" w:fill="auto"/>
          </w:tcPr>
          <w:p w14:paraId="70AA4A23" w14:textId="77777777" w:rsidR="008C5CFA" w:rsidRPr="009C3005" w:rsidRDefault="00E82A60" w:rsidP="00300A01">
            <w:pPr>
              <w:pStyle w:val="Text1"/>
              <w:spacing w:before="0" w:after="0"/>
              <w:ind w:left="0"/>
              <w:jc w:val="right"/>
              <w:rPr>
                <w:sz w:val="12"/>
                <w:szCs w:val="12"/>
              </w:rPr>
            </w:pPr>
            <w:r w:rsidRPr="009C3005">
              <w:rPr>
                <w:noProof/>
                <w:sz w:val="12"/>
                <w:szCs w:val="12"/>
              </w:rPr>
              <w:t>199 863,74</w:t>
            </w:r>
          </w:p>
        </w:tc>
        <w:tc>
          <w:tcPr>
            <w:tcW w:w="0" w:type="auto"/>
            <w:shd w:val="clear" w:color="auto" w:fill="auto"/>
          </w:tcPr>
          <w:p w14:paraId="4FEB2710" w14:textId="77777777" w:rsidR="008C5CFA" w:rsidRPr="009C3005" w:rsidRDefault="00E82A60" w:rsidP="00300A01">
            <w:pPr>
              <w:pStyle w:val="Text1"/>
              <w:spacing w:before="0" w:after="0"/>
              <w:ind w:left="0"/>
              <w:jc w:val="right"/>
              <w:rPr>
                <w:sz w:val="12"/>
                <w:szCs w:val="12"/>
              </w:rPr>
            </w:pPr>
            <w:r w:rsidRPr="009C3005">
              <w:rPr>
                <w:noProof/>
                <w:sz w:val="12"/>
                <w:szCs w:val="12"/>
              </w:rPr>
              <w:t>313 623,23</w:t>
            </w:r>
          </w:p>
        </w:tc>
        <w:tc>
          <w:tcPr>
            <w:tcW w:w="0" w:type="auto"/>
            <w:shd w:val="clear" w:color="auto" w:fill="auto"/>
          </w:tcPr>
          <w:p w14:paraId="0B465E84" w14:textId="77777777" w:rsidR="008C5CFA" w:rsidRPr="009C3005" w:rsidRDefault="00E82A60" w:rsidP="00300A01">
            <w:pPr>
              <w:pStyle w:val="Text1"/>
              <w:spacing w:before="0" w:after="0"/>
              <w:ind w:left="0"/>
              <w:jc w:val="right"/>
              <w:rPr>
                <w:sz w:val="12"/>
                <w:szCs w:val="12"/>
              </w:rPr>
            </w:pPr>
            <w:r w:rsidRPr="009C3005">
              <w:rPr>
                <w:noProof/>
                <w:sz w:val="12"/>
                <w:szCs w:val="12"/>
              </w:rPr>
              <w:t>1</w:t>
            </w:r>
          </w:p>
        </w:tc>
      </w:tr>
      <w:tr w:rsidR="006B2EC1" w14:paraId="2347C95C" w14:textId="77777777" w:rsidTr="0047688D">
        <w:tc>
          <w:tcPr>
            <w:tcW w:w="0" w:type="auto"/>
            <w:shd w:val="clear" w:color="auto" w:fill="auto"/>
          </w:tcPr>
          <w:p w14:paraId="39E592B5" w14:textId="77777777" w:rsidR="008C5CFA" w:rsidRPr="009C3005" w:rsidRDefault="00E82A60" w:rsidP="00300A01">
            <w:pPr>
              <w:pStyle w:val="Text1"/>
              <w:spacing w:before="0" w:after="0"/>
              <w:ind w:left="0"/>
              <w:rPr>
                <w:sz w:val="12"/>
                <w:szCs w:val="12"/>
              </w:rPr>
            </w:pPr>
            <w:r>
              <w:rPr>
                <w:noProof/>
                <w:sz w:val="14"/>
                <w:szCs w:val="14"/>
                <w:lang w:val="fr-BE"/>
              </w:rPr>
              <w:t>2</w:t>
            </w:r>
          </w:p>
        </w:tc>
        <w:tc>
          <w:tcPr>
            <w:tcW w:w="0" w:type="auto"/>
            <w:shd w:val="clear" w:color="auto" w:fill="auto"/>
          </w:tcPr>
          <w:p w14:paraId="373A0804" w14:textId="77777777" w:rsidR="008C5CFA" w:rsidRPr="009C3005" w:rsidRDefault="00E82A60" w:rsidP="00300A01">
            <w:pPr>
              <w:pStyle w:val="Text1"/>
              <w:spacing w:before="0" w:after="0"/>
              <w:ind w:left="0"/>
              <w:rPr>
                <w:sz w:val="12"/>
                <w:szCs w:val="12"/>
              </w:rPr>
            </w:pPr>
            <w:r>
              <w:rPr>
                <w:noProof/>
                <w:sz w:val="12"/>
                <w:szCs w:val="12"/>
              </w:rPr>
              <w:t>EFRR</w:t>
            </w:r>
          </w:p>
        </w:tc>
        <w:tc>
          <w:tcPr>
            <w:tcW w:w="0" w:type="auto"/>
            <w:shd w:val="clear" w:color="auto" w:fill="auto"/>
          </w:tcPr>
          <w:p w14:paraId="48524843" w14:textId="77777777" w:rsidR="008C5CFA" w:rsidRPr="009C3005" w:rsidRDefault="00E82A60" w:rsidP="00300A01">
            <w:pPr>
              <w:pStyle w:val="Text1"/>
              <w:spacing w:before="0" w:after="0"/>
              <w:ind w:left="0"/>
              <w:rPr>
                <w:sz w:val="12"/>
                <w:szCs w:val="12"/>
              </w:rPr>
            </w:pPr>
            <w:r>
              <w:rPr>
                <w:noProof/>
                <w:sz w:val="12"/>
                <w:szCs w:val="12"/>
              </w:rPr>
              <w:t>Słabiej rozwinięte</w:t>
            </w:r>
          </w:p>
        </w:tc>
        <w:tc>
          <w:tcPr>
            <w:tcW w:w="0" w:type="auto"/>
            <w:shd w:val="clear" w:color="auto" w:fill="auto"/>
          </w:tcPr>
          <w:p w14:paraId="17AAFEC5" w14:textId="77777777" w:rsidR="008C5CFA" w:rsidRPr="009C3005" w:rsidRDefault="00E82A60" w:rsidP="00300A01">
            <w:pPr>
              <w:pStyle w:val="Text1"/>
              <w:spacing w:before="0" w:after="0"/>
              <w:ind w:left="0"/>
              <w:rPr>
                <w:sz w:val="12"/>
                <w:szCs w:val="12"/>
              </w:rPr>
            </w:pPr>
            <w:r>
              <w:rPr>
                <w:noProof/>
                <w:sz w:val="12"/>
                <w:szCs w:val="12"/>
              </w:rPr>
              <w:t>001</w:t>
            </w:r>
          </w:p>
        </w:tc>
        <w:tc>
          <w:tcPr>
            <w:tcW w:w="0" w:type="auto"/>
            <w:shd w:val="clear" w:color="auto" w:fill="auto"/>
          </w:tcPr>
          <w:p w14:paraId="15FC8989"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14350891" w14:textId="77777777" w:rsidR="008C5CFA" w:rsidRPr="009C3005" w:rsidRDefault="00E82A60" w:rsidP="00300A01">
            <w:pPr>
              <w:pStyle w:val="Text1"/>
              <w:spacing w:before="0" w:after="0"/>
              <w:ind w:left="0"/>
              <w:rPr>
                <w:sz w:val="12"/>
                <w:szCs w:val="12"/>
              </w:rPr>
            </w:pPr>
            <w:r>
              <w:rPr>
                <w:noProof/>
                <w:sz w:val="12"/>
                <w:szCs w:val="12"/>
              </w:rPr>
              <w:t>03</w:t>
            </w:r>
          </w:p>
        </w:tc>
        <w:tc>
          <w:tcPr>
            <w:tcW w:w="0" w:type="auto"/>
            <w:shd w:val="clear" w:color="auto" w:fill="auto"/>
          </w:tcPr>
          <w:p w14:paraId="51965434"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0F292B35" w14:textId="77777777" w:rsidR="008C5CFA" w:rsidRPr="009C3005" w:rsidRDefault="00E82A60" w:rsidP="00300A01">
            <w:pPr>
              <w:pStyle w:val="Text1"/>
              <w:spacing w:before="0" w:after="0"/>
              <w:ind w:left="0"/>
              <w:rPr>
                <w:sz w:val="12"/>
                <w:szCs w:val="12"/>
              </w:rPr>
            </w:pPr>
            <w:r>
              <w:rPr>
                <w:noProof/>
                <w:sz w:val="12"/>
                <w:szCs w:val="12"/>
              </w:rPr>
              <w:t>03</w:t>
            </w:r>
          </w:p>
        </w:tc>
        <w:tc>
          <w:tcPr>
            <w:tcW w:w="0" w:type="auto"/>
            <w:shd w:val="clear" w:color="auto" w:fill="auto"/>
          </w:tcPr>
          <w:p w14:paraId="396B3B57" w14:textId="77777777" w:rsidR="008C5CFA" w:rsidRPr="009C3005" w:rsidRDefault="00E82A60" w:rsidP="00300A01">
            <w:pPr>
              <w:pStyle w:val="Text1"/>
              <w:spacing w:before="0" w:after="0"/>
              <w:ind w:left="0"/>
              <w:rPr>
                <w:sz w:val="12"/>
                <w:szCs w:val="12"/>
              </w:rPr>
            </w:pPr>
            <w:r>
              <w:rPr>
                <w:sz w:val="12"/>
                <w:szCs w:val="12"/>
              </w:rPr>
              <w:t xml:space="preserve"> </w:t>
            </w:r>
          </w:p>
        </w:tc>
        <w:tc>
          <w:tcPr>
            <w:tcW w:w="0" w:type="auto"/>
            <w:shd w:val="clear" w:color="auto" w:fill="auto"/>
          </w:tcPr>
          <w:p w14:paraId="61D03D17" w14:textId="77777777" w:rsidR="008C5CFA" w:rsidRPr="009C3005" w:rsidRDefault="00E82A60" w:rsidP="00300A01">
            <w:pPr>
              <w:pStyle w:val="Text1"/>
              <w:spacing w:before="0" w:after="0"/>
              <w:ind w:left="0"/>
              <w:rPr>
                <w:sz w:val="12"/>
                <w:szCs w:val="12"/>
              </w:rPr>
            </w:pPr>
            <w:r>
              <w:rPr>
                <w:noProof/>
                <w:sz w:val="12"/>
                <w:szCs w:val="12"/>
              </w:rPr>
              <w:t>10</w:t>
            </w:r>
          </w:p>
        </w:tc>
        <w:tc>
          <w:tcPr>
            <w:tcW w:w="0" w:type="auto"/>
            <w:shd w:val="clear" w:color="auto" w:fill="auto"/>
          </w:tcPr>
          <w:p w14:paraId="0CC475F2" w14:textId="77777777" w:rsidR="008C5CFA" w:rsidRPr="009C3005" w:rsidRDefault="00E82A60" w:rsidP="00300A01">
            <w:pPr>
              <w:pStyle w:val="Text1"/>
              <w:spacing w:before="0" w:after="0"/>
              <w:ind w:left="0"/>
              <w:rPr>
                <w:sz w:val="12"/>
                <w:szCs w:val="12"/>
              </w:rPr>
            </w:pPr>
            <w:r>
              <w:rPr>
                <w:noProof/>
                <w:sz w:val="12"/>
                <w:szCs w:val="12"/>
              </w:rPr>
              <w:t>PL33</w:t>
            </w:r>
          </w:p>
        </w:tc>
        <w:tc>
          <w:tcPr>
            <w:tcW w:w="0" w:type="auto"/>
            <w:shd w:val="clear" w:color="auto" w:fill="auto"/>
          </w:tcPr>
          <w:p w14:paraId="67ED8F8A" w14:textId="77777777" w:rsidR="008C5CFA" w:rsidRPr="009C3005" w:rsidRDefault="00E82A60" w:rsidP="00300A01">
            <w:pPr>
              <w:pStyle w:val="Text1"/>
              <w:spacing w:before="0" w:after="0"/>
              <w:ind w:left="0"/>
              <w:jc w:val="right"/>
              <w:rPr>
                <w:sz w:val="12"/>
                <w:szCs w:val="12"/>
              </w:rPr>
            </w:pPr>
            <w:r w:rsidRPr="009C3005">
              <w:rPr>
                <w:noProof/>
                <w:sz w:val="12"/>
                <w:szCs w:val="12"/>
              </w:rPr>
              <w:t>234 923,77</w:t>
            </w:r>
          </w:p>
        </w:tc>
        <w:tc>
          <w:tcPr>
            <w:tcW w:w="0" w:type="auto"/>
            <w:shd w:val="clear" w:color="auto" w:fill="auto"/>
          </w:tcPr>
          <w:p w14:paraId="1FA89E0A" w14:textId="77777777" w:rsidR="008C5CFA" w:rsidRPr="009C3005" w:rsidRDefault="00E82A60" w:rsidP="00300A01">
            <w:pPr>
              <w:pStyle w:val="Text1"/>
              <w:spacing w:before="0" w:after="0"/>
              <w:ind w:left="0"/>
              <w:jc w:val="right"/>
              <w:rPr>
                <w:sz w:val="12"/>
                <w:szCs w:val="12"/>
              </w:rPr>
            </w:pPr>
            <w:r w:rsidRPr="009C3005">
              <w:rPr>
                <w:noProof/>
                <w:sz w:val="12"/>
                <w:szCs w:val="12"/>
              </w:rPr>
              <w:t>187 939,01</w:t>
            </w:r>
          </w:p>
        </w:tc>
        <w:tc>
          <w:tcPr>
            <w:tcW w:w="0" w:type="auto"/>
            <w:shd w:val="clear" w:color="auto" w:fill="auto"/>
          </w:tcPr>
          <w:p w14:paraId="22C3B79B" w14:textId="77777777" w:rsidR="008C5CFA" w:rsidRPr="009C3005" w:rsidRDefault="00E82A60" w:rsidP="00300A01">
            <w:pPr>
              <w:pStyle w:val="Text1"/>
              <w:spacing w:before="0" w:after="0"/>
              <w:ind w:left="0"/>
              <w:jc w:val="right"/>
              <w:rPr>
                <w:sz w:val="12"/>
                <w:szCs w:val="12"/>
              </w:rPr>
            </w:pPr>
            <w:r w:rsidRPr="009C3005">
              <w:rPr>
                <w:noProof/>
                <w:sz w:val="12"/>
                <w:szCs w:val="12"/>
              </w:rPr>
              <w:t>234 923,77</w:t>
            </w:r>
          </w:p>
        </w:tc>
        <w:tc>
          <w:tcPr>
            <w:tcW w:w="0" w:type="auto"/>
            <w:shd w:val="clear" w:color="auto" w:fill="auto"/>
          </w:tcPr>
          <w:p w14:paraId="49678435" w14:textId="77777777" w:rsidR="008C5CFA" w:rsidRPr="009C3005" w:rsidRDefault="00E82A60" w:rsidP="00300A01">
            <w:pPr>
              <w:pStyle w:val="Text1"/>
              <w:spacing w:before="0" w:after="0"/>
              <w:ind w:left="0"/>
              <w:jc w:val="right"/>
              <w:rPr>
                <w:sz w:val="12"/>
                <w:szCs w:val="12"/>
              </w:rPr>
            </w:pPr>
            <w:r w:rsidRPr="009C3005">
              <w:rPr>
                <w:noProof/>
                <w:sz w:val="12"/>
                <w:szCs w:val="12"/>
              </w:rPr>
              <w:t>1</w:t>
            </w:r>
          </w:p>
        </w:tc>
      </w:tr>
      <w:tr w:rsidR="006B2EC1" w14:paraId="6D6D7BAA" w14:textId="77777777" w:rsidTr="0047688D">
        <w:tc>
          <w:tcPr>
            <w:tcW w:w="0" w:type="auto"/>
            <w:shd w:val="clear" w:color="auto" w:fill="auto"/>
          </w:tcPr>
          <w:p w14:paraId="14049BAD" w14:textId="77777777" w:rsidR="008C5CFA" w:rsidRPr="009C3005" w:rsidRDefault="00E82A60" w:rsidP="00300A01">
            <w:pPr>
              <w:pStyle w:val="Text1"/>
              <w:spacing w:before="0" w:after="0"/>
              <w:ind w:left="0"/>
              <w:rPr>
                <w:sz w:val="12"/>
                <w:szCs w:val="12"/>
              </w:rPr>
            </w:pPr>
            <w:r>
              <w:rPr>
                <w:noProof/>
                <w:sz w:val="14"/>
                <w:szCs w:val="14"/>
                <w:lang w:val="fr-BE"/>
              </w:rPr>
              <w:lastRenderedPageBreak/>
              <w:t>2</w:t>
            </w:r>
          </w:p>
        </w:tc>
        <w:tc>
          <w:tcPr>
            <w:tcW w:w="0" w:type="auto"/>
            <w:shd w:val="clear" w:color="auto" w:fill="auto"/>
          </w:tcPr>
          <w:p w14:paraId="0FD4F9BE" w14:textId="77777777" w:rsidR="008C5CFA" w:rsidRPr="009C3005" w:rsidRDefault="00E82A60" w:rsidP="00300A01">
            <w:pPr>
              <w:pStyle w:val="Text1"/>
              <w:spacing w:before="0" w:after="0"/>
              <w:ind w:left="0"/>
              <w:rPr>
                <w:sz w:val="12"/>
                <w:szCs w:val="12"/>
              </w:rPr>
            </w:pPr>
            <w:r>
              <w:rPr>
                <w:noProof/>
                <w:sz w:val="12"/>
                <w:szCs w:val="12"/>
              </w:rPr>
              <w:t>EFRR</w:t>
            </w:r>
          </w:p>
        </w:tc>
        <w:tc>
          <w:tcPr>
            <w:tcW w:w="0" w:type="auto"/>
            <w:shd w:val="clear" w:color="auto" w:fill="auto"/>
          </w:tcPr>
          <w:p w14:paraId="787DA2D8" w14:textId="77777777" w:rsidR="008C5CFA" w:rsidRPr="009C3005" w:rsidRDefault="00E82A60" w:rsidP="00300A01">
            <w:pPr>
              <w:pStyle w:val="Text1"/>
              <w:spacing w:before="0" w:after="0"/>
              <w:ind w:left="0"/>
              <w:rPr>
                <w:sz w:val="12"/>
                <w:szCs w:val="12"/>
              </w:rPr>
            </w:pPr>
            <w:r>
              <w:rPr>
                <w:noProof/>
                <w:sz w:val="12"/>
                <w:szCs w:val="12"/>
              </w:rPr>
              <w:t>Słabiej rozwinięte</w:t>
            </w:r>
          </w:p>
        </w:tc>
        <w:tc>
          <w:tcPr>
            <w:tcW w:w="0" w:type="auto"/>
            <w:shd w:val="clear" w:color="auto" w:fill="auto"/>
          </w:tcPr>
          <w:p w14:paraId="06DD3AD9" w14:textId="77777777" w:rsidR="008C5CFA" w:rsidRPr="009C3005" w:rsidRDefault="00E82A60" w:rsidP="00300A01">
            <w:pPr>
              <w:pStyle w:val="Text1"/>
              <w:spacing w:before="0" w:after="0"/>
              <w:ind w:left="0"/>
              <w:rPr>
                <w:sz w:val="12"/>
                <w:szCs w:val="12"/>
              </w:rPr>
            </w:pPr>
            <w:r>
              <w:rPr>
                <w:noProof/>
                <w:sz w:val="12"/>
                <w:szCs w:val="12"/>
              </w:rPr>
              <w:t>001</w:t>
            </w:r>
          </w:p>
        </w:tc>
        <w:tc>
          <w:tcPr>
            <w:tcW w:w="0" w:type="auto"/>
            <w:shd w:val="clear" w:color="auto" w:fill="auto"/>
          </w:tcPr>
          <w:p w14:paraId="70274C67"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2EAB06C0" w14:textId="77777777" w:rsidR="008C5CFA" w:rsidRPr="009C3005" w:rsidRDefault="00E82A60" w:rsidP="00300A01">
            <w:pPr>
              <w:pStyle w:val="Text1"/>
              <w:spacing w:before="0" w:after="0"/>
              <w:ind w:left="0"/>
              <w:rPr>
                <w:sz w:val="12"/>
                <w:szCs w:val="12"/>
              </w:rPr>
            </w:pPr>
            <w:r>
              <w:rPr>
                <w:noProof/>
                <w:sz w:val="12"/>
                <w:szCs w:val="12"/>
              </w:rPr>
              <w:t>03</w:t>
            </w:r>
          </w:p>
        </w:tc>
        <w:tc>
          <w:tcPr>
            <w:tcW w:w="0" w:type="auto"/>
            <w:shd w:val="clear" w:color="auto" w:fill="auto"/>
          </w:tcPr>
          <w:p w14:paraId="722ECCFD"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087AEC91" w14:textId="77777777" w:rsidR="008C5CFA" w:rsidRPr="009C3005" w:rsidRDefault="00E82A60" w:rsidP="00300A01">
            <w:pPr>
              <w:pStyle w:val="Text1"/>
              <w:spacing w:before="0" w:after="0"/>
              <w:ind w:left="0"/>
              <w:rPr>
                <w:sz w:val="12"/>
                <w:szCs w:val="12"/>
              </w:rPr>
            </w:pPr>
            <w:r>
              <w:rPr>
                <w:noProof/>
                <w:sz w:val="12"/>
                <w:szCs w:val="12"/>
              </w:rPr>
              <w:t>03</w:t>
            </w:r>
          </w:p>
        </w:tc>
        <w:tc>
          <w:tcPr>
            <w:tcW w:w="0" w:type="auto"/>
            <w:shd w:val="clear" w:color="auto" w:fill="auto"/>
          </w:tcPr>
          <w:p w14:paraId="6ED22474" w14:textId="77777777" w:rsidR="008C5CFA" w:rsidRPr="009C3005" w:rsidRDefault="00E82A60" w:rsidP="00300A01">
            <w:pPr>
              <w:pStyle w:val="Text1"/>
              <w:spacing w:before="0" w:after="0"/>
              <w:ind w:left="0"/>
              <w:rPr>
                <w:sz w:val="12"/>
                <w:szCs w:val="12"/>
              </w:rPr>
            </w:pPr>
            <w:r>
              <w:rPr>
                <w:sz w:val="12"/>
                <w:szCs w:val="12"/>
              </w:rPr>
              <w:t xml:space="preserve"> </w:t>
            </w:r>
          </w:p>
        </w:tc>
        <w:tc>
          <w:tcPr>
            <w:tcW w:w="0" w:type="auto"/>
            <w:shd w:val="clear" w:color="auto" w:fill="auto"/>
          </w:tcPr>
          <w:p w14:paraId="0ECD75AC" w14:textId="77777777" w:rsidR="008C5CFA" w:rsidRPr="009C3005" w:rsidRDefault="00E82A60" w:rsidP="00300A01">
            <w:pPr>
              <w:pStyle w:val="Text1"/>
              <w:spacing w:before="0" w:after="0"/>
              <w:ind w:left="0"/>
              <w:rPr>
                <w:sz w:val="12"/>
                <w:szCs w:val="12"/>
              </w:rPr>
            </w:pPr>
            <w:r>
              <w:rPr>
                <w:noProof/>
                <w:sz w:val="12"/>
                <w:szCs w:val="12"/>
              </w:rPr>
              <w:t>11</w:t>
            </w:r>
          </w:p>
        </w:tc>
        <w:tc>
          <w:tcPr>
            <w:tcW w:w="0" w:type="auto"/>
            <w:shd w:val="clear" w:color="auto" w:fill="auto"/>
          </w:tcPr>
          <w:p w14:paraId="7B2800F3" w14:textId="77777777" w:rsidR="008C5CFA" w:rsidRPr="009C3005" w:rsidRDefault="00E82A60" w:rsidP="00300A01">
            <w:pPr>
              <w:pStyle w:val="Text1"/>
              <w:spacing w:before="0" w:after="0"/>
              <w:ind w:left="0"/>
              <w:rPr>
                <w:sz w:val="12"/>
                <w:szCs w:val="12"/>
              </w:rPr>
            </w:pPr>
            <w:r>
              <w:rPr>
                <w:noProof/>
                <w:sz w:val="12"/>
                <w:szCs w:val="12"/>
              </w:rPr>
              <w:t>PL33</w:t>
            </w:r>
          </w:p>
        </w:tc>
        <w:tc>
          <w:tcPr>
            <w:tcW w:w="0" w:type="auto"/>
            <w:shd w:val="clear" w:color="auto" w:fill="auto"/>
          </w:tcPr>
          <w:p w14:paraId="48B976B1" w14:textId="77777777" w:rsidR="008C5CFA" w:rsidRPr="009C3005" w:rsidRDefault="00E82A60" w:rsidP="00300A01">
            <w:pPr>
              <w:pStyle w:val="Text1"/>
              <w:spacing w:before="0" w:after="0"/>
              <w:ind w:left="0"/>
              <w:jc w:val="right"/>
              <w:rPr>
                <w:sz w:val="12"/>
                <w:szCs w:val="12"/>
              </w:rPr>
            </w:pPr>
            <w:r w:rsidRPr="009C3005">
              <w:rPr>
                <w:noProof/>
                <w:sz w:val="12"/>
                <w:szCs w:val="12"/>
              </w:rPr>
              <w:t>414 699,18</w:t>
            </w:r>
          </w:p>
        </w:tc>
        <w:tc>
          <w:tcPr>
            <w:tcW w:w="0" w:type="auto"/>
            <w:shd w:val="clear" w:color="auto" w:fill="auto"/>
          </w:tcPr>
          <w:p w14:paraId="0E0B4D6E" w14:textId="77777777" w:rsidR="008C5CFA" w:rsidRPr="009C3005" w:rsidRDefault="00E82A60" w:rsidP="00300A01">
            <w:pPr>
              <w:pStyle w:val="Text1"/>
              <w:spacing w:before="0" w:after="0"/>
              <w:ind w:left="0"/>
              <w:jc w:val="right"/>
              <w:rPr>
                <w:sz w:val="12"/>
                <w:szCs w:val="12"/>
              </w:rPr>
            </w:pPr>
            <w:r w:rsidRPr="009C3005">
              <w:rPr>
                <w:noProof/>
                <w:sz w:val="12"/>
                <w:szCs w:val="12"/>
              </w:rPr>
              <w:t>331 759,34</w:t>
            </w:r>
          </w:p>
        </w:tc>
        <w:tc>
          <w:tcPr>
            <w:tcW w:w="0" w:type="auto"/>
            <w:shd w:val="clear" w:color="auto" w:fill="auto"/>
          </w:tcPr>
          <w:p w14:paraId="62A6225E" w14:textId="77777777" w:rsidR="008C5CFA" w:rsidRPr="009C3005" w:rsidRDefault="00E82A60" w:rsidP="00300A01">
            <w:pPr>
              <w:pStyle w:val="Text1"/>
              <w:spacing w:before="0" w:after="0"/>
              <w:ind w:left="0"/>
              <w:jc w:val="right"/>
              <w:rPr>
                <w:sz w:val="12"/>
                <w:szCs w:val="12"/>
              </w:rPr>
            </w:pPr>
            <w:r w:rsidRPr="009C3005">
              <w:rPr>
                <w:noProof/>
                <w:sz w:val="12"/>
                <w:szCs w:val="12"/>
              </w:rPr>
              <w:t>170 378,46</w:t>
            </w:r>
          </w:p>
        </w:tc>
        <w:tc>
          <w:tcPr>
            <w:tcW w:w="0" w:type="auto"/>
            <w:shd w:val="clear" w:color="auto" w:fill="auto"/>
          </w:tcPr>
          <w:p w14:paraId="1A814CD6" w14:textId="77777777" w:rsidR="008C5CFA" w:rsidRPr="009C3005" w:rsidRDefault="00E82A60" w:rsidP="00300A01">
            <w:pPr>
              <w:pStyle w:val="Text1"/>
              <w:spacing w:before="0" w:after="0"/>
              <w:ind w:left="0"/>
              <w:jc w:val="right"/>
              <w:rPr>
                <w:sz w:val="12"/>
                <w:szCs w:val="12"/>
              </w:rPr>
            </w:pPr>
            <w:r w:rsidRPr="009C3005">
              <w:rPr>
                <w:noProof/>
                <w:sz w:val="12"/>
                <w:szCs w:val="12"/>
              </w:rPr>
              <w:t>2</w:t>
            </w:r>
          </w:p>
        </w:tc>
      </w:tr>
      <w:tr w:rsidR="006B2EC1" w14:paraId="39210136" w14:textId="77777777" w:rsidTr="0047688D">
        <w:tc>
          <w:tcPr>
            <w:tcW w:w="0" w:type="auto"/>
            <w:shd w:val="clear" w:color="auto" w:fill="auto"/>
          </w:tcPr>
          <w:p w14:paraId="1C2E255E" w14:textId="77777777" w:rsidR="008C5CFA" w:rsidRPr="009C3005" w:rsidRDefault="00E82A60" w:rsidP="00300A01">
            <w:pPr>
              <w:pStyle w:val="Text1"/>
              <w:spacing w:before="0" w:after="0"/>
              <w:ind w:left="0"/>
              <w:rPr>
                <w:sz w:val="12"/>
                <w:szCs w:val="12"/>
              </w:rPr>
            </w:pPr>
            <w:r>
              <w:rPr>
                <w:noProof/>
                <w:sz w:val="14"/>
                <w:szCs w:val="14"/>
                <w:lang w:val="fr-BE"/>
              </w:rPr>
              <w:t>2</w:t>
            </w:r>
          </w:p>
        </w:tc>
        <w:tc>
          <w:tcPr>
            <w:tcW w:w="0" w:type="auto"/>
            <w:shd w:val="clear" w:color="auto" w:fill="auto"/>
          </w:tcPr>
          <w:p w14:paraId="315C3D53" w14:textId="77777777" w:rsidR="008C5CFA" w:rsidRPr="009C3005" w:rsidRDefault="00E82A60" w:rsidP="00300A01">
            <w:pPr>
              <w:pStyle w:val="Text1"/>
              <w:spacing w:before="0" w:after="0"/>
              <w:ind w:left="0"/>
              <w:rPr>
                <w:sz w:val="12"/>
                <w:szCs w:val="12"/>
              </w:rPr>
            </w:pPr>
            <w:r>
              <w:rPr>
                <w:noProof/>
                <w:sz w:val="12"/>
                <w:szCs w:val="12"/>
              </w:rPr>
              <w:t>EFRR</w:t>
            </w:r>
          </w:p>
        </w:tc>
        <w:tc>
          <w:tcPr>
            <w:tcW w:w="0" w:type="auto"/>
            <w:shd w:val="clear" w:color="auto" w:fill="auto"/>
          </w:tcPr>
          <w:p w14:paraId="3AA95924" w14:textId="77777777" w:rsidR="008C5CFA" w:rsidRPr="009C3005" w:rsidRDefault="00E82A60" w:rsidP="00300A01">
            <w:pPr>
              <w:pStyle w:val="Text1"/>
              <w:spacing w:before="0" w:after="0"/>
              <w:ind w:left="0"/>
              <w:rPr>
                <w:sz w:val="12"/>
                <w:szCs w:val="12"/>
              </w:rPr>
            </w:pPr>
            <w:r>
              <w:rPr>
                <w:noProof/>
                <w:sz w:val="12"/>
                <w:szCs w:val="12"/>
              </w:rPr>
              <w:t>Słabiej rozwinięte</w:t>
            </w:r>
          </w:p>
        </w:tc>
        <w:tc>
          <w:tcPr>
            <w:tcW w:w="0" w:type="auto"/>
            <w:shd w:val="clear" w:color="auto" w:fill="auto"/>
          </w:tcPr>
          <w:p w14:paraId="0DCD9891" w14:textId="77777777" w:rsidR="008C5CFA" w:rsidRPr="009C3005" w:rsidRDefault="00E82A60" w:rsidP="00300A01">
            <w:pPr>
              <w:pStyle w:val="Text1"/>
              <w:spacing w:before="0" w:after="0"/>
              <w:ind w:left="0"/>
              <w:rPr>
                <w:sz w:val="12"/>
                <w:szCs w:val="12"/>
              </w:rPr>
            </w:pPr>
            <w:r>
              <w:rPr>
                <w:noProof/>
                <w:sz w:val="12"/>
                <w:szCs w:val="12"/>
              </w:rPr>
              <w:t>001</w:t>
            </w:r>
          </w:p>
        </w:tc>
        <w:tc>
          <w:tcPr>
            <w:tcW w:w="0" w:type="auto"/>
            <w:shd w:val="clear" w:color="auto" w:fill="auto"/>
          </w:tcPr>
          <w:p w14:paraId="2362A807"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1AD4D49C" w14:textId="77777777" w:rsidR="008C5CFA" w:rsidRPr="009C3005" w:rsidRDefault="00E82A60" w:rsidP="00300A01">
            <w:pPr>
              <w:pStyle w:val="Text1"/>
              <w:spacing w:before="0" w:after="0"/>
              <w:ind w:left="0"/>
              <w:rPr>
                <w:sz w:val="12"/>
                <w:szCs w:val="12"/>
              </w:rPr>
            </w:pPr>
            <w:r>
              <w:rPr>
                <w:noProof/>
                <w:sz w:val="12"/>
                <w:szCs w:val="12"/>
              </w:rPr>
              <w:t>03</w:t>
            </w:r>
          </w:p>
        </w:tc>
        <w:tc>
          <w:tcPr>
            <w:tcW w:w="0" w:type="auto"/>
            <w:shd w:val="clear" w:color="auto" w:fill="auto"/>
          </w:tcPr>
          <w:p w14:paraId="71ED23C2"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3181C76F" w14:textId="77777777" w:rsidR="008C5CFA" w:rsidRPr="009C3005" w:rsidRDefault="00E82A60" w:rsidP="00300A01">
            <w:pPr>
              <w:pStyle w:val="Text1"/>
              <w:spacing w:before="0" w:after="0"/>
              <w:ind w:left="0"/>
              <w:rPr>
                <w:sz w:val="12"/>
                <w:szCs w:val="12"/>
              </w:rPr>
            </w:pPr>
            <w:r>
              <w:rPr>
                <w:noProof/>
                <w:sz w:val="12"/>
                <w:szCs w:val="12"/>
              </w:rPr>
              <w:t>03</w:t>
            </w:r>
          </w:p>
        </w:tc>
        <w:tc>
          <w:tcPr>
            <w:tcW w:w="0" w:type="auto"/>
            <w:shd w:val="clear" w:color="auto" w:fill="auto"/>
          </w:tcPr>
          <w:p w14:paraId="5ACCADD6" w14:textId="77777777" w:rsidR="008C5CFA" w:rsidRPr="009C3005" w:rsidRDefault="00E82A60" w:rsidP="00300A01">
            <w:pPr>
              <w:pStyle w:val="Text1"/>
              <w:spacing w:before="0" w:after="0"/>
              <w:ind w:left="0"/>
              <w:rPr>
                <w:sz w:val="12"/>
                <w:szCs w:val="12"/>
              </w:rPr>
            </w:pPr>
            <w:r>
              <w:rPr>
                <w:sz w:val="12"/>
                <w:szCs w:val="12"/>
              </w:rPr>
              <w:t xml:space="preserve"> </w:t>
            </w:r>
          </w:p>
        </w:tc>
        <w:tc>
          <w:tcPr>
            <w:tcW w:w="0" w:type="auto"/>
            <w:shd w:val="clear" w:color="auto" w:fill="auto"/>
          </w:tcPr>
          <w:p w14:paraId="7935D3A3" w14:textId="77777777" w:rsidR="008C5CFA" w:rsidRPr="009C3005" w:rsidRDefault="00E82A60" w:rsidP="00300A01">
            <w:pPr>
              <w:pStyle w:val="Text1"/>
              <w:spacing w:before="0" w:after="0"/>
              <w:ind w:left="0"/>
              <w:rPr>
                <w:sz w:val="12"/>
                <w:szCs w:val="12"/>
              </w:rPr>
            </w:pPr>
            <w:r>
              <w:rPr>
                <w:noProof/>
                <w:sz w:val="12"/>
                <w:szCs w:val="12"/>
              </w:rPr>
              <w:t>12</w:t>
            </w:r>
          </w:p>
        </w:tc>
        <w:tc>
          <w:tcPr>
            <w:tcW w:w="0" w:type="auto"/>
            <w:shd w:val="clear" w:color="auto" w:fill="auto"/>
          </w:tcPr>
          <w:p w14:paraId="21051FCF" w14:textId="77777777" w:rsidR="008C5CFA" w:rsidRPr="009C3005" w:rsidRDefault="00E82A60" w:rsidP="00300A01">
            <w:pPr>
              <w:pStyle w:val="Text1"/>
              <w:spacing w:before="0" w:after="0"/>
              <w:ind w:left="0"/>
              <w:rPr>
                <w:sz w:val="12"/>
                <w:szCs w:val="12"/>
              </w:rPr>
            </w:pPr>
            <w:r>
              <w:rPr>
                <w:noProof/>
                <w:sz w:val="12"/>
                <w:szCs w:val="12"/>
              </w:rPr>
              <w:t>PL33</w:t>
            </w:r>
          </w:p>
        </w:tc>
        <w:tc>
          <w:tcPr>
            <w:tcW w:w="0" w:type="auto"/>
            <w:shd w:val="clear" w:color="auto" w:fill="auto"/>
          </w:tcPr>
          <w:p w14:paraId="5CA20AF5" w14:textId="77777777" w:rsidR="008C5CFA" w:rsidRPr="009C3005" w:rsidRDefault="00E82A60" w:rsidP="00300A01">
            <w:pPr>
              <w:pStyle w:val="Text1"/>
              <w:spacing w:before="0" w:after="0"/>
              <w:ind w:left="0"/>
              <w:jc w:val="right"/>
              <w:rPr>
                <w:sz w:val="12"/>
                <w:szCs w:val="12"/>
              </w:rPr>
            </w:pPr>
            <w:r w:rsidRPr="009C3005">
              <w:rPr>
                <w:noProof/>
                <w:sz w:val="12"/>
                <w:szCs w:val="12"/>
              </w:rPr>
              <w:t>64 961,12</w:t>
            </w:r>
          </w:p>
        </w:tc>
        <w:tc>
          <w:tcPr>
            <w:tcW w:w="0" w:type="auto"/>
            <w:shd w:val="clear" w:color="auto" w:fill="auto"/>
          </w:tcPr>
          <w:p w14:paraId="4F8B5323" w14:textId="77777777" w:rsidR="008C5CFA" w:rsidRPr="009C3005" w:rsidRDefault="00E82A60" w:rsidP="00300A01">
            <w:pPr>
              <w:pStyle w:val="Text1"/>
              <w:spacing w:before="0" w:after="0"/>
              <w:ind w:left="0"/>
              <w:jc w:val="right"/>
              <w:rPr>
                <w:sz w:val="12"/>
                <w:szCs w:val="12"/>
              </w:rPr>
            </w:pPr>
            <w:r w:rsidRPr="009C3005">
              <w:rPr>
                <w:noProof/>
                <w:sz w:val="12"/>
                <w:szCs w:val="12"/>
              </w:rPr>
              <w:t>51 968,90</w:t>
            </w:r>
          </w:p>
        </w:tc>
        <w:tc>
          <w:tcPr>
            <w:tcW w:w="0" w:type="auto"/>
            <w:shd w:val="clear" w:color="auto" w:fill="auto"/>
          </w:tcPr>
          <w:p w14:paraId="2F014267" w14:textId="77777777" w:rsidR="008C5CFA" w:rsidRPr="009C3005" w:rsidRDefault="00E82A60" w:rsidP="00300A01">
            <w:pPr>
              <w:pStyle w:val="Text1"/>
              <w:spacing w:before="0" w:after="0"/>
              <w:ind w:left="0"/>
              <w:jc w:val="right"/>
              <w:rPr>
                <w:sz w:val="12"/>
                <w:szCs w:val="12"/>
              </w:rPr>
            </w:pPr>
            <w:r w:rsidRPr="009C3005">
              <w:rPr>
                <w:noProof/>
                <w:sz w:val="12"/>
                <w:szCs w:val="12"/>
              </w:rPr>
              <w:t>64 961,12</w:t>
            </w:r>
          </w:p>
        </w:tc>
        <w:tc>
          <w:tcPr>
            <w:tcW w:w="0" w:type="auto"/>
            <w:shd w:val="clear" w:color="auto" w:fill="auto"/>
          </w:tcPr>
          <w:p w14:paraId="5E5D3758" w14:textId="77777777" w:rsidR="008C5CFA" w:rsidRPr="009C3005" w:rsidRDefault="00E82A60" w:rsidP="00300A01">
            <w:pPr>
              <w:pStyle w:val="Text1"/>
              <w:spacing w:before="0" w:after="0"/>
              <w:ind w:left="0"/>
              <w:jc w:val="right"/>
              <w:rPr>
                <w:sz w:val="12"/>
                <w:szCs w:val="12"/>
              </w:rPr>
            </w:pPr>
            <w:r w:rsidRPr="009C3005">
              <w:rPr>
                <w:noProof/>
                <w:sz w:val="12"/>
                <w:szCs w:val="12"/>
              </w:rPr>
              <w:t>1</w:t>
            </w:r>
          </w:p>
        </w:tc>
      </w:tr>
      <w:tr w:rsidR="006B2EC1" w14:paraId="0C6F266F" w14:textId="77777777" w:rsidTr="0047688D">
        <w:tc>
          <w:tcPr>
            <w:tcW w:w="0" w:type="auto"/>
            <w:shd w:val="clear" w:color="auto" w:fill="auto"/>
          </w:tcPr>
          <w:p w14:paraId="42385114" w14:textId="77777777" w:rsidR="008C5CFA" w:rsidRPr="009C3005" w:rsidRDefault="00E82A60" w:rsidP="00300A01">
            <w:pPr>
              <w:pStyle w:val="Text1"/>
              <w:spacing w:before="0" w:after="0"/>
              <w:ind w:left="0"/>
              <w:rPr>
                <w:sz w:val="12"/>
                <w:szCs w:val="12"/>
              </w:rPr>
            </w:pPr>
            <w:r>
              <w:rPr>
                <w:noProof/>
                <w:sz w:val="14"/>
                <w:szCs w:val="14"/>
                <w:lang w:val="fr-BE"/>
              </w:rPr>
              <w:t>2</w:t>
            </w:r>
          </w:p>
        </w:tc>
        <w:tc>
          <w:tcPr>
            <w:tcW w:w="0" w:type="auto"/>
            <w:shd w:val="clear" w:color="auto" w:fill="auto"/>
          </w:tcPr>
          <w:p w14:paraId="058B4BA7" w14:textId="77777777" w:rsidR="008C5CFA" w:rsidRPr="009C3005" w:rsidRDefault="00E82A60" w:rsidP="00300A01">
            <w:pPr>
              <w:pStyle w:val="Text1"/>
              <w:spacing w:before="0" w:after="0"/>
              <w:ind w:left="0"/>
              <w:rPr>
                <w:sz w:val="12"/>
                <w:szCs w:val="12"/>
              </w:rPr>
            </w:pPr>
            <w:r>
              <w:rPr>
                <w:noProof/>
                <w:sz w:val="12"/>
                <w:szCs w:val="12"/>
              </w:rPr>
              <w:t>EFRR</w:t>
            </w:r>
          </w:p>
        </w:tc>
        <w:tc>
          <w:tcPr>
            <w:tcW w:w="0" w:type="auto"/>
            <w:shd w:val="clear" w:color="auto" w:fill="auto"/>
          </w:tcPr>
          <w:p w14:paraId="4BE201E9" w14:textId="77777777" w:rsidR="008C5CFA" w:rsidRPr="009C3005" w:rsidRDefault="00E82A60" w:rsidP="00300A01">
            <w:pPr>
              <w:pStyle w:val="Text1"/>
              <w:spacing w:before="0" w:after="0"/>
              <w:ind w:left="0"/>
              <w:rPr>
                <w:sz w:val="12"/>
                <w:szCs w:val="12"/>
              </w:rPr>
            </w:pPr>
            <w:r>
              <w:rPr>
                <w:noProof/>
                <w:sz w:val="12"/>
                <w:szCs w:val="12"/>
              </w:rPr>
              <w:t>Słabiej rozwinięte</w:t>
            </w:r>
          </w:p>
        </w:tc>
        <w:tc>
          <w:tcPr>
            <w:tcW w:w="0" w:type="auto"/>
            <w:shd w:val="clear" w:color="auto" w:fill="auto"/>
          </w:tcPr>
          <w:p w14:paraId="387022FC" w14:textId="77777777" w:rsidR="008C5CFA" w:rsidRPr="009C3005" w:rsidRDefault="00E82A60" w:rsidP="00300A01">
            <w:pPr>
              <w:pStyle w:val="Text1"/>
              <w:spacing w:before="0" w:after="0"/>
              <w:ind w:left="0"/>
              <w:rPr>
                <w:sz w:val="12"/>
                <w:szCs w:val="12"/>
              </w:rPr>
            </w:pPr>
            <w:r>
              <w:rPr>
                <w:noProof/>
                <w:sz w:val="12"/>
                <w:szCs w:val="12"/>
              </w:rPr>
              <w:t>001</w:t>
            </w:r>
          </w:p>
        </w:tc>
        <w:tc>
          <w:tcPr>
            <w:tcW w:w="0" w:type="auto"/>
            <w:shd w:val="clear" w:color="auto" w:fill="auto"/>
          </w:tcPr>
          <w:p w14:paraId="40FAE122"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739BA90B" w14:textId="77777777" w:rsidR="008C5CFA" w:rsidRPr="009C3005" w:rsidRDefault="00E82A60" w:rsidP="00300A01">
            <w:pPr>
              <w:pStyle w:val="Text1"/>
              <w:spacing w:before="0" w:after="0"/>
              <w:ind w:left="0"/>
              <w:rPr>
                <w:sz w:val="12"/>
                <w:szCs w:val="12"/>
              </w:rPr>
            </w:pPr>
            <w:r>
              <w:rPr>
                <w:noProof/>
                <w:sz w:val="12"/>
                <w:szCs w:val="12"/>
              </w:rPr>
              <w:t>03</w:t>
            </w:r>
          </w:p>
        </w:tc>
        <w:tc>
          <w:tcPr>
            <w:tcW w:w="0" w:type="auto"/>
            <w:shd w:val="clear" w:color="auto" w:fill="auto"/>
          </w:tcPr>
          <w:p w14:paraId="35B10714"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63695C4F" w14:textId="77777777" w:rsidR="008C5CFA" w:rsidRPr="009C3005" w:rsidRDefault="00E82A60" w:rsidP="00300A01">
            <w:pPr>
              <w:pStyle w:val="Text1"/>
              <w:spacing w:before="0" w:after="0"/>
              <w:ind w:left="0"/>
              <w:rPr>
                <w:sz w:val="12"/>
                <w:szCs w:val="12"/>
              </w:rPr>
            </w:pPr>
            <w:r>
              <w:rPr>
                <w:noProof/>
                <w:sz w:val="12"/>
                <w:szCs w:val="12"/>
              </w:rPr>
              <w:t>03</w:t>
            </w:r>
          </w:p>
        </w:tc>
        <w:tc>
          <w:tcPr>
            <w:tcW w:w="0" w:type="auto"/>
            <w:shd w:val="clear" w:color="auto" w:fill="auto"/>
          </w:tcPr>
          <w:p w14:paraId="5C073EEE" w14:textId="77777777" w:rsidR="008C5CFA" w:rsidRPr="009C3005" w:rsidRDefault="00E82A60" w:rsidP="00300A01">
            <w:pPr>
              <w:pStyle w:val="Text1"/>
              <w:spacing w:before="0" w:after="0"/>
              <w:ind w:left="0"/>
              <w:rPr>
                <w:sz w:val="12"/>
                <w:szCs w:val="12"/>
              </w:rPr>
            </w:pPr>
            <w:r>
              <w:rPr>
                <w:sz w:val="12"/>
                <w:szCs w:val="12"/>
              </w:rPr>
              <w:t xml:space="preserve"> </w:t>
            </w:r>
          </w:p>
        </w:tc>
        <w:tc>
          <w:tcPr>
            <w:tcW w:w="0" w:type="auto"/>
            <w:shd w:val="clear" w:color="auto" w:fill="auto"/>
          </w:tcPr>
          <w:p w14:paraId="1D061072" w14:textId="77777777" w:rsidR="008C5CFA" w:rsidRPr="009C3005" w:rsidRDefault="00E82A60" w:rsidP="00300A01">
            <w:pPr>
              <w:pStyle w:val="Text1"/>
              <w:spacing w:before="0" w:after="0"/>
              <w:ind w:left="0"/>
              <w:rPr>
                <w:sz w:val="12"/>
                <w:szCs w:val="12"/>
              </w:rPr>
            </w:pPr>
            <w:r>
              <w:rPr>
                <w:noProof/>
                <w:sz w:val="12"/>
                <w:szCs w:val="12"/>
              </w:rPr>
              <w:t>13</w:t>
            </w:r>
          </w:p>
        </w:tc>
        <w:tc>
          <w:tcPr>
            <w:tcW w:w="0" w:type="auto"/>
            <w:shd w:val="clear" w:color="auto" w:fill="auto"/>
          </w:tcPr>
          <w:p w14:paraId="0CB1B30B" w14:textId="77777777" w:rsidR="008C5CFA" w:rsidRPr="009C3005" w:rsidRDefault="00E82A60" w:rsidP="00300A01">
            <w:pPr>
              <w:pStyle w:val="Text1"/>
              <w:spacing w:before="0" w:after="0"/>
              <w:ind w:left="0"/>
              <w:rPr>
                <w:sz w:val="12"/>
                <w:szCs w:val="12"/>
              </w:rPr>
            </w:pPr>
            <w:r>
              <w:rPr>
                <w:noProof/>
                <w:sz w:val="12"/>
                <w:szCs w:val="12"/>
              </w:rPr>
              <w:t>PL33</w:t>
            </w:r>
          </w:p>
        </w:tc>
        <w:tc>
          <w:tcPr>
            <w:tcW w:w="0" w:type="auto"/>
            <w:shd w:val="clear" w:color="auto" w:fill="auto"/>
          </w:tcPr>
          <w:p w14:paraId="182E675E" w14:textId="77777777" w:rsidR="008C5CFA" w:rsidRPr="009C3005" w:rsidRDefault="00E82A60" w:rsidP="00300A01">
            <w:pPr>
              <w:pStyle w:val="Text1"/>
              <w:spacing w:before="0" w:after="0"/>
              <w:ind w:left="0"/>
              <w:jc w:val="right"/>
              <w:rPr>
                <w:sz w:val="12"/>
                <w:szCs w:val="12"/>
              </w:rPr>
            </w:pPr>
            <w:r w:rsidRPr="009C3005">
              <w:rPr>
                <w:noProof/>
                <w:sz w:val="12"/>
                <w:szCs w:val="12"/>
              </w:rPr>
              <w:t>249 066,74</w:t>
            </w:r>
          </w:p>
        </w:tc>
        <w:tc>
          <w:tcPr>
            <w:tcW w:w="0" w:type="auto"/>
            <w:shd w:val="clear" w:color="auto" w:fill="auto"/>
          </w:tcPr>
          <w:p w14:paraId="474047BB" w14:textId="77777777" w:rsidR="008C5CFA" w:rsidRPr="009C3005" w:rsidRDefault="00E82A60" w:rsidP="00300A01">
            <w:pPr>
              <w:pStyle w:val="Text1"/>
              <w:spacing w:before="0" w:after="0"/>
              <w:ind w:left="0"/>
              <w:jc w:val="right"/>
              <w:rPr>
                <w:sz w:val="12"/>
                <w:szCs w:val="12"/>
              </w:rPr>
            </w:pPr>
            <w:r w:rsidRPr="009C3005">
              <w:rPr>
                <w:noProof/>
                <w:sz w:val="12"/>
                <w:szCs w:val="12"/>
              </w:rPr>
              <w:t>193 524,86</w:t>
            </w:r>
          </w:p>
        </w:tc>
        <w:tc>
          <w:tcPr>
            <w:tcW w:w="0" w:type="auto"/>
            <w:shd w:val="clear" w:color="auto" w:fill="auto"/>
          </w:tcPr>
          <w:p w14:paraId="080CAED3" w14:textId="77777777" w:rsidR="008C5CFA" w:rsidRPr="009C3005" w:rsidRDefault="00E82A60" w:rsidP="00300A01">
            <w:pPr>
              <w:pStyle w:val="Text1"/>
              <w:spacing w:before="0" w:after="0"/>
              <w:ind w:left="0"/>
              <w:jc w:val="right"/>
              <w:rPr>
                <w:sz w:val="12"/>
                <w:szCs w:val="12"/>
              </w:rPr>
            </w:pPr>
            <w:r w:rsidRPr="009C3005">
              <w:rPr>
                <w:noProof/>
                <w:sz w:val="12"/>
                <w:szCs w:val="12"/>
              </w:rPr>
              <w:t>249 066,74</w:t>
            </w:r>
          </w:p>
        </w:tc>
        <w:tc>
          <w:tcPr>
            <w:tcW w:w="0" w:type="auto"/>
            <w:shd w:val="clear" w:color="auto" w:fill="auto"/>
          </w:tcPr>
          <w:p w14:paraId="699B789E" w14:textId="77777777" w:rsidR="008C5CFA" w:rsidRPr="009C3005" w:rsidRDefault="00E82A60" w:rsidP="00300A01">
            <w:pPr>
              <w:pStyle w:val="Text1"/>
              <w:spacing w:before="0" w:after="0"/>
              <w:ind w:left="0"/>
              <w:jc w:val="right"/>
              <w:rPr>
                <w:sz w:val="12"/>
                <w:szCs w:val="12"/>
              </w:rPr>
            </w:pPr>
            <w:r w:rsidRPr="009C3005">
              <w:rPr>
                <w:noProof/>
                <w:sz w:val="12"/>
                <w:szCs w:val="12"/>
              </w:rPr>
              <w:t>1</w:t>
            </w:r>
          </w:p>
        </w:tc>
      </w:tr>
      <w:tr w:rsidR="006B2EC1" w14:paraId="1562D540" w14:textId="77777777" w:rsidTr="0047688D">
        <w:tc>
          <w:tcPr>
            <w:tcW w:w="0" w:type="auto"/>
            <w:shd w:val="clear" w:color="auto" w:fill="auto"/>
          </w:tcPr>
          <w:p w14:paraId="1F222C6B" w14:textId="77777777" w:rsidR="008C5CFA" w:rsidRPr="009C3005" w:rsidRDefault="00E82A60" w:rsidP="00300A01">
            <w:pPr>
              <w:pStyle w:val="Text1"/>
              <w:spacing w:before="0" w:after="0"/>
              <w:ind w:left="0"/>
              <w:rPr>
                <w:sz w:val="12"/>
                <w:szCs w:val="12"/>
              </w:rPr>
            </w:pPr>
            <w:r>
              <w:rPr>
                <w:noProof/>
                <w:sz w:val="14"/>
                <w:szCs w:val="14"/>
                <w:lang w:val="fr-BE"/>
              </w:rPr>
              <w:t>2</w:t>
            </w:r>
          </w:p>
        </w:tc>
        <w:tc>
          <w:tcPr>
            <w:tcW w:w="0" w:type="auto"/>
            <w:shd w:val="clear" w:color="auto" w:fill="auto"/>
          </w:tcPr>
          <w:p w14:paraId="7D0ED245" w14:textId="77777777" w:rsidR="008C5CFA" w:rsidRPr="009C3005" w:rsidRDefault="00E82A60" w:rsidP="00300A01">
            <w:pPr>
              <w:pStyle w:val="Text1"/>
              <w:spacing w:before="0" w:after="0"/>
              <w:ind w:left="0"/>
              <w:rPr>
                <w:sz w:val="12"/>
                <w:szCs w:val="12"/>
              </w:rPr>
            </w:pPr>
            <w:r>
              <w:rPr>
                <w:noProof/>
                <w:sz w:val="12"/>
                <w:szCs w:val="12"/>
              </w:rPr>
              <w:t>EFRR</w:t>
            </w:r>
          </w:p>
        </w:tc>
        <w:tc>
          <w:tcPr>
            <w:tcW w:w="0" w:type="auto"/>
            <w:shd w:val="clear" w:color="auto" w:fill="auto"/>
          </w:tcPr>
          <w:p w14:paraId="3CA59342" w14:textId="77777777" w:rsidR="008C5CFA" w:rsidRPr="009C3005" w:rsidRDefault="00E82A60" w:rsidP="00300A01">
            <w:pPr>
              <w:pStyle w:val="Text1"/>
              <w:spacing w:before="0" w:after="0"/>
              <w:ind w:left="0"/>
              <w:rPr>
                <w:sz w:val="12"/>
                <w:szCs w:val="12"/>
              </w:rPr>
            </w:pPr>
            <w:r>
              <w:rPr>
                <w:noProof/>
                <w:sz w:val="12"/>
                <w:szCs w:val="12"/>
              </w:rPr>
              <w:t>Słabiej rozwinięte</w:t>
            </w:r>
          </w:p>
        </w:tc>
        <w:tc>
          <w:tcPr>
            <w:tcW w:w="0" w:type="auto"/>
            <w:shd w:val="clear" w:color="auto" w:fill="auto"/>
          </w:tcPr>
          <w:p w14:paraId="370F1DEC" w14:textId="77777777" w:rsidR="008C5CFA" w:rsidRPr="009C3005" w:rsidRDefault="00E82A60" w:rsidP="00300A01">
            <w:pPr>
              <w:pStyle w:val="Text1"/>
              <w:spacing w:before="0" w:after="0"/>
              <w:ind w:left="0"/>
              <w:rPr>
                <w:sz w:val="12"/>
                <w:szCs w:val="12"/>
              </w:rPr>
            </w:pPr>
            <w:r>
              <w:rPr>
                <w:noProof/>
                <w:sz w:val="12"/>
                <w:szCs w:val="12"/>
              </w:rPr>
              <w:t>001</w:t>
            </w:r>
          </w:p>
        </w:tc>
        <w:tc>
          <w:tcPr>
            <w:tcW w:w="0" w:type="auto"/>
            <w:shd w:val="clear" w:color="auto" w:fill="auto"/>
          </w:tcPr>
          <w:p w14:paraId="59FBC37F"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2A87B408" w14:textId="77777777" w:rsidR="008C5CFA" w:rsidRPr="009C3005" w:rsidRDefault="00E82A60" w:rsidP="00300A01">
            <w:pPr>
              <w:pStyle w:val="Text1"/>
              <w:spacing w:before="0" w:after="0"/>
              <w:ind w:left="0"/>
              <w:rPr>
                <w:sz w:val="12"/>
                <w:szCs w:val="12"/>
              </w:rPr>
            </w:pPr>
            <w:r>
              <w:rPr>
                <w:noProof/>
                <w:sz w:val="12"/>
                <w:szCs w:val="12"/>
              </w:rPr>
              <w:t>03</w:t>
            </w:r>
          </w:p>
        </w:tc>
        <w:tc>
          <w:tcPr>
            <w:tcW w:w="0" w:type="auto"/>
            <w:shd w:val="clear" w:color="auto" w:fill="auto"/>
          </w:tcPr>
          <w:p w14:paraId="33126907"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64540E61" w14:textId="77777777" w:rsidR="008C5CFA" w:rsidRPr="009C3005" w:rsidRDefault="00E82A60" w:rsidP="00300A01">
            <w:pPr>
              <w:pStyle w:val="Text1"/>
              <w:spacing w:before="0" w:after="0"/>
              <w:ind w:left="0"/>
              <w:rPr>
                <w:sz w:val="12"/>
                <w:szCs w:val="12"/>
              </w:rPr>
            </w:pPr>
            <w:r>
              <w:rPr>
                <w:noProof/>
                <w:sz w:val="12"/>
                <w:szCs w:val="12"/>
              </w:rPr>
              <w:t>03</w:t>
            </w:r>
          </w:p>
        </w:tc>
        <w:tc>
          <w:tcPr>
            <w:tcW w:w="0" w:type="auto"/>
            <w:shd w:val="clear" w:color="auto" w:fill="auto"/>
          </w:tcPr>
          <w:p w14:paraId="07B87B1B" w14:textId="77777777" w:rsidR="008C5CFA" w:rsidRPr="009C3005" w:rsidRDefault="00E82A60" w:rsidP="00300A01">
            <w:pPr>
              <w:pStyle w:val="Text1"/>
              <w:spacing w:before="0" w:after="0"/>
              <w:ind w:left="0"/>
              <w:rPr>
                <w:sz w:val="12"/>
                <w:szCs w:val="12"/>
              </w:rPr>
            </w:pPr>
            <w:r>
              <w:rPr>
                <w:sz w:val="12"/>
                <w:szCs w:val="12"/>
              </w:rPr>
              <w:t xml:space="preserve"> </w:t>
            </w:r>
          </w:p>
        </w:tc>
        <w:tc>
          <w:tcPr>
            <w:tcW w:w="0" w:type="auto"/>
            <w:shd w:val="clear" w:color="auto" w:fill="auto"/>
          </w:tcPr>
          <w:p w14:paraId="4B576272" w14:textId="77777777" w:rsidR="008C5CFA" w:rsidRPr="009C3005" w:rsidRDefault="00E82A60" w:rsidP="00300A01">
            <w:pPr>
              <w:pStyle w:val="Text1"/>
              <w:spacing w:before="0" w:after="0"/>
              <w:ind w:left="0"/>
              <w:rPr>
                <w:sz w:val="12"/>
                <w:szCs w:val="12"/>
              </w:rPr>
            </w:pPr>
            <w:r>
              <w:rPr>
                <w:noProof/>
                <w:sz w:val="12"/>
                <w:szCs w:val="12"/>
              </w:rPr>
              <w:t>14</w:t>
            </w:r>
          </w:p>
        </w:tc>
        <w:tc>
          <w:tcPr>
            <w:tcW w:w="0" w:type="auto"/>
            <w:shd w:val="clear" w:color="auto" w:fill="auto"/>
          </w:tcPr>
          <w:p w14:paraId="72688C9F" w14:textId="77777777" w:rsidR="008C5CFA" w:rsidRPr="009C3005" w:rsidRDefault="00E82A60" w:rsidP="00300A01">
            <w:pPr>
              <w:pStyle w:val="Text1"/>
              <w:spacing w:before="0" w:after="0"/>
              <w:ind w:left="0"/>
              <w:rPr>
                <w:sz w:val="12"/>
                <w:szCs w:val="12"/>
              </w:rPr>
            </w:pPr>
            <w:r>
              <w:rPr>
                <w:noProof/>
                <w:sz w:val="12"/>
                <w:szCs w:val="12"/>
              </w:rPr>
              <w:t>PL33</w:t>
            </w:r>
          </w:p>
        </w:tc>
        <w:tc>
          <w:tcPr>
            <w:tcW w:w="0" w:type="auto"/>
            <w:shd w:val="clear" w:color="auto" w:fill="auto"/>
          </w:tcPr>
          <w:p w14:paraId="2FE7AE77" w14:textId="77777777" w:rsidR="008C5CFA" w:rsidRPr="009C3005" w:rsidRDefault="00E82A60" w:rsidP="00300A01">
            <w:pPr>
              <w:pStyle w:val="Text1"/>
              <w:spacing w:before="0" w:after="0"/>
              <w:ind w:left="0"/>
              <w:jc w:val="right"/>
              <w:rPr>
                <w:sz w:val="12"/>
                <w:szCs w:val="12"/>
              </w:rPr>
            </w:pPr>
            <w:r w:rsidRPr="009C3005">
              <w:rPr>
                <w:noProof/>
                <w:sz w:val="12"/>
                <w:szCs w:val="12"/>
              </w:rPr>
              <w:t>173 862,76</w:t>
            </w:r>
          </w:p>
        </w:tc>
        <w:tc>
          <w:tcPr>
            <w:tcW w:w="0" w:type="auto"/>
            <w:shd w:val="clear" w:color="auto" w:fill="auto"/>
          </w:tcPr>
          <w:p w14:paraId="661CEB10" w14:textId="77777777" w:rsidR="008C5CFA" w:rsidRPr="009C3005" w:rsidRDefault="00E82A60" w:rsidP="00300A01">
            <w:pPr>
              <w:pStyle w:val="Text1"/>
              <w:spacing w:before="0" w:after="0"/>
              <w:ind w:left="0"/>
              <w:jc w:val="right"/>
              <w:rPr>
                <w:sz w:val="12"/>
                <w:szCs w:val="12"/>
              </w:rPr>
            </w:pPr>
            <w:r w:rsidRPr="009C3005">
              <w:rPr>
                <w:noProof/>
                <w:sz w:val="12"/>
                <w:szCs w:val="12"/>
              </w:rPr>
              <w:t>139 090,20</w:t>
            </w:r>
          </w:p>
        </w:tc>
        <w:tc>
          <w:tcPr>
            <w:tcW w:w="0" w:type="auto"/>
            <w:shd w:val="clear" w:color="auto" w:fill="auto"/>
          </w:tcPr>
          <w:p w14:paraId="7E72AADD" w14:textId="77777777" w:rsidR="008C5CFA" w:rsidRPr="009C3005" w:rsidRDefault="00E82A60" w:rsidP="00300A01">
            <w:pPr>
              <w:pStyle w:val="Text1"/>
              <w:spacing w:before="0" w:after="0"/>
              <w:ind w:left="0"/>
              <w:jc w:val="right"/>
              <w:rPr>
                <w:sz w:val="12"/>
                <w:szCs w:val="12"/>
              </w:rPr>
            </w:pPr>
            <w:r w:rsidRPr="009C3005">
              <w:rPr>
                <w:noProof/>
                <w:sz w:val="12"/>
                <w:szCs w:val="12"/>
              </w:rPr>
              <w:t>173 862,76</w:t>
            </w:r>
          </w:p>
        </w:tc>
        <w:tc>
          <w:tcPr>
            <w:tcW w:w="0" w:type="auto"/>
            <w:shd w:val="clear" w:color="auto" w:fill="auto"/>
          </w:tcPr>
          <w:p w14:paraId="1011C943" w14:textId="77777777" w:rsidR="008C5CFA" w:rsidRPr="009C3005" w:rsidRDefault="00E82A60" w:rsidP="00300A01">
            <w:pPr>
              <w:pStyle w:val="Text1"/>
              <w:spacing w:before="0" w:after="0"/>
              <w:ind w:left="0"/>
              <w:jc w:val="right"/>
              <w:rPr>
                <w:sz w:val="12"/>
                <w:szCs w:val="12"/>
              </w:rPr>
            </w:pPr>
            <w:r w:rsidRPr="009C3005">
              <w:rPr>
                <w:noProof/>
                <w:sz w:val="12"/>
                <w:szCs w:val="12"/>
              </w:rPr>
              <w:t>2</w:t>
            </w:r>
          </w:p>
        </w:tc>
      </w:tr>
      <w:tr w:rsidR="006B2EC1" w14:paraId="016DFD44" w14:textId="77777777" w:rsidTr="0047688D">
        <w:tc>
          <w:tcPr>
            <w:tcW w:w="0" w:type="auto"/>
            <w:shd w:val="clear" w:color="auto" w:fill="auto"/>
          </w:tcPr>
          <w:p w14:paraId="0B9BBDC9" w14:textId="77777777" w:rsidR="008C5CFA" w:rsidRPr="009C3005" w:rsidRDefault="00E82A60" w:rsidP="00300A01">
            <w:pPr>
              <w:pStyle w:val="Text1"/>
              <w:spacing w:before="0" w:after="0"/>
              <w:ind w:left="0"/>
              <w:rPr>
                <w:sz w:val="12"/>
                <w:szCs w:val="12"/>
              </w:rPr>
            </w:pPr>
            <w:r>
              <w:rPr>
                <w:noProof/>
                <w:sz w:val="14"/>
                <w:szCs w:val="14"/>
                <w:lang w:val="fr-BE"/>
              </w:rPr>
              <w:t>2</w:t>
            </w:r>
          </w:p>
        </w:tc>
        <w:tc>
          <w:tcPr>
            <w:tcW w:w="0" w:type="auto"/>
            <w:shd w:val="clear" w:color="auto" w:fill="auto"/>
          </w:tcPr>
          <w:p w14:paraId="70CC9112" w14:textId="77777777" w:rsidR="008C5CFA" w:rsidRPr="009C3005" w:rsidRDefault="00E82A60" w:rsidP="00300A01">
            <w:pPr>
              <w:pStyle w:val="Text1"/>
              <w:spacing w:before="0" w:after="0"/>
              <w:ind w:left="0"/>
              <w:rPr>
                <w:sz w:val="12"/>
                <w:szCs w:val="12"/>
              </w:rPr>
            </w:pPr>
            <w:r>
              <w:rPr>
                <w:noProof/>
                <w:sz w:val="12"/>
                <w:szCs w:val="12"/>
              </w:rPr>
              <w:t>EFRR</w:t>
            </w:r>
          </w:p>
        </w:tc>
        <w:tc>
          <w:tcPr>
            <w:tcW w:w="0" w:type="auto"/>
            <w:shd w:val="clear" w:color="auto" w:fill="auto"/>
          </w:tcPr>
          <w:p w14:paraId="72E6638F" w14:textId="77777777" w:rsidR="008C5CFA" w:rsidRPr="009C3005" w:rsidRDefault="00E82A60" w:rsidP="00300A01">
            <w:pPr>
              <w:pStyle w:val="Text1"/>
              <w:spacing w:before="0" w:after="0"/>
              <w:ind w:left="0"/>
              <w:rPr>
                <w:sz w:val="12"/>
                <w:szCs w:val="12"/>
              </w:rPr>
            </w:pPr>
            <w:r>
              <w:rPr>
                <w:noProof/>
                <w:sz w:val="12"/>
                <w:szCs w:val="12"/>
              </w:rPr>
              <w:t>Słabiej rozwinięte</w:t>
            </w:r>
          </w:p>
        </w:tc>
        <w:tc>
          <w:tcPr>
            <w:tcW w:w="0" w:type="auto"/>
            <w:shd w:val="clear" w:color="auto" w:fill="auto"/>
          </w:tcPr>
          <w:p w14:paraId="0B866741" w14:textId="77777777" w:rsidR="008C5CFA" w:rsidRPr="009C3005" w:rsidRDefault="00E82A60" w:rsidP="00300A01">
            <w:pPr>
              <w:pStyle w:val="Text1"/>
              <w:spacing w:before="0" w:after="0"/>
              <w:ind w:left="0"/>
              <w:rPr>
                <w:sz w:val="12"/>
                <w:szCs w:val="12"/>
              </w:rPr>
            </w:pPr>
            <w:r>
              <w:rPr>
                <w:noProof/>
                <w:sz w:val="12"/>
                <w:szCs w:val="12"/>
              </w:rPr>
              <w:t>001</w:t>
            </w:r>
          </w:p>
        </w:tc>
        <w:tc>
          <w:tcPr>
            <w:tcW w:w="0" w:type="auto"/>
            <w:shd w:val="clear" w:color="auto" w:fill="auto"/>
          </w:tcPr>
          <w:p w14:paraId="3E33D74B"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65D7384D" w14:textId="77777777" w:rsidR="008C5CFA" w:rsidRPr="009C3005" w:rsidRDefault="00E82A60" w:rsidP="00300A01">
            <w:pPr>
              <w:pStyle w:val="Text1"/>
              <w:spacing w:before="0" w:after="0"/>
              <w:ind w:left="0"/>
              <w:rPr>
                <w:sz w:val="12"/>
                <w:szCs w:val="12"/>
              </w:rPr>
            </w:pPr>
            <w:r>
              <w:rPr>
                <w:noProof/>
                <w:sz w:val="12"/>
                <w:szCs w:val="12"/>
              </w:rPr>
              <w:t>03</w:t>
            </w:r>
          </w:p>
        </w:tc>
        <w:tc>
          <w:tcPr>
            <w:tcW w:w="0" w:type="auto"/>
            <w:shd w:val="clear" w:color="auto" w:fill="auto"/>
          </w:tcPr>
          <w:p w14:paraId="0C97DCEF"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39037313" w14:textId="77777777" w:rsidR="008C5CFA" w:rsidRPr="009C3005" w:rsidRDefault="00E82A60" w:rsidP="00300A01">
            <w:pPr>
              <w:pStyle w:val="Text1"/>
              <w:spacing w:before="0" w:after="0"/>
              <w:ind w:left="0"/>
              <w:rPr>
                <w:sz w:val="12"/>
                <w:szCs w:val="12"/>
              </w:rPr>
            </w:pPr>
            <w:r>
              <w:rPr>
                <w:noProof/>
                <w:sz w:val="12"/>
                <w:szCs w:val="12"/>
              </w:rPr>
              <w:t>03</w:t>
            </w:r>
          </w:p>
        </w:tc>
        <w:tc>
          <w:tcPr>
            <w:tcW w:w="0" w:type="auto"/>
            <w:shd w:val="clear" w:color="auto" w:fill="auto"/>
          </w:tcPr>
          <w:p w14:paraId="546266DC" w14:textId="77777777" w:rsidR="008C5CFA" w:rsidRPr="009C3005" w:rsidRDefault="00E82A60" w:rsidP="00300A01">
            <w:pPr>
              <w:pStyle w:val="Text1"/>
              <w:spacing w:before="0" w:after="0"/>
              <w:ind w:left="0"/>
              <w:rPr>
                <w:sz w:val="12"/>
                <w:szCs w:val="12"/>
              </w:rPr>
            </w:pPr>
            <w:r>
              <w:rPr>
                <w:sz w:val="12"/>
                <w:szCs w:val="12"/>
              </w:rPr>
              <w:t xml:space="preserve"> </w:t>
            </w:r>
          </w:p>
        </w:tc>
        <w:tc>
          <w:tcPr>
            <w:tcW w:w="0" w:type="auto"/>
            <w:shd w:val="clear" w:color="auto" w:fill="auto"/>
          </w:tcPr>
          <w:p w14:paraId="5E10E049" w14:textId="77777777" w:rsidR="008C5CFA" w:rsidRPr="009C3005" w:rsidRDefault="00E82A60" w:rsidP="00300A01">
            <w:pPr>
              <w:pStyle w:val="Text1"/>
              <w:spacing w:before="0" w:after="0"/>
              <w:ind w:left="0"/>
              <w:rPr>
                <w:sz w:val="12"/>
                <w:szCs w:val="12"/>
              </w:rPr>
            </w:pPr>
            <w:r>
              <w:rPr>
                <w:noProof/>
                <w:sz w:val="12"/>
                <w:szCs w:val="12"/>
              </w:rPr>
              <w:t>15</w:t>
            </w:r>
          </w:p>
        </w:tc>
        <w:tc>
          <w:tcPr>
            <w:tcW w:w="0" w:type="auto"/>
            <w:shd w:val="clear" w:color="auto" w:fill="auto"/>
          </w:tcPr>
          <w:p w14:paraId="48792C9B" w14:textId="77777777" w:rsidR="008C5CFA" w:rsidRPr="009C3005" w:rsidRDefault="00E82A60" w:rsidP="00300A01">
            <w:pPr>
              <w:pStyle w:val="Text1"/>
              <w:spacing w:before="0" w:after="0"/>
              <w:ind w:left="0"/>
              <w:rPr>
                <w:sz w:val="12"/>
                <w:szCs w:val="12"/>
              </w:rPr>
            </w:pPr>
            <w:r>
              <w:rPr>
                <w:noProof/>
                <w:sz w:val="12"/>
                <w:szCs w:val="12"/>
              </w:rPr>
              <w:t>PL33</w:t>
            </w:r>
          </w:p>
        </w:tc>
        <w:tc>
          <w:tcPr>
            <w:tcW w:w="0" w:type="auto"/>
            <w:shd w:val="clear" w:color="auto" w:fill="auto"/>
          </w:tcPr>
          <w:p w14:paraId="6BB11936" w14:textId="77777777" w:rsidR="008C5CFA" w:rsidRPr="009C3005" w:rsidRDefault="00E82A60" w:rsidP="00300A01">
            <w:pPr>
              <w:pStyle w:val="Text1"/>
              <w:spacing w:before="0" w:after="0"/>
              <w:ind w:left="0"/>
              <w:jc w:val="right"/>
              <w:rPr>
                <w:sz w:val="12"/>
                <w:szCs w:val="12"/>
              </w:rPr>
            </w:pPr>
            <w:r w:rsidRPr="009C3005">
              <w:rPr>
                <w:noProof/>
                <w:sz w:val="12"/>
                <w:szCs w:val="12"/>
              </w:rPr>
              <w:t>433 035,03</w:t>
            </w:r>
          </w:p>
        </w:tc>
        <w:tc>
          <w:tcPr>
            <w:tcW w:w="0" w:type="auto"/>
            <w:shd w:val="clear" w:color="auto" w:fill="auto"/>
          </w:tcPr>
          <w:p w14:paraId="042123D5" w14:textId="77777777" w:rsidR="008C5CFA" w:rsidRPr="009C3005" w:rsidRDefault="00E82A60" w:rsidP="00300A01">
            <w:pPr>
              <w:pStyle w:val="Text1"/>
              <w:spacing w:before="0" w:after="0"/>
              <w:ind w:left="0"/>
              <w:jc w:val="right"/>
              <w:rPr>
                <w:sz w:val="12"/>
                <w:szCs w:val="12"/>
              </w:rPr>
            </w:pPr>
            <w:r w:rsidRPr="009C3005">
              <w:rPr>
                <w:noProof/>
                <w:sz w:val="12"/>
                <w:szCs w:val="12"/>
              </w:rPr>
              <w:t>312 717,18</w:t>
            </w:r>
          </w:p>
        </w:tc>
        <w:tc>
          <w:tcPr>
            <w:tcW w:w="0" w:type="auto"/>
            <w:shd w:val="clear" w:color="auto" w:fill="auto"/>
          </w:tcPr>
          <w:p w14:paraId="0668558F" w14:textId="77777777" w:rsidR="008C5CFA" w:rsidRPr="009C3005" w:rsidRDefault="00E82A60" w:rsidP="00300A01">
            <w:pPr>
              <w:pStyle w:val="Text1"/>
              <w:spacing w:before="0" w:after="0"/>
              <w:ind w:left="0"/>
              <w:jc w:val="right"/>
              <w:rPr>
                <w:sz w:val="12"/>
                <w:szCs w:val="12"/>
              </w:rPr>
            </w:pPr>
            <w:r w:rsidRPr="009C3005">
              <w:rPr>
                <w:noProof/>
                <w:sz w:val="12"/>
                <w:szCs w:val="12"/>
              </w:rPr>
              <w:t>286 579,92</w:t>
            </w:r>
          </w:p>
        </w:tc>
        <w:tc>
          <w:tcPr>
            <w:tcW w:w="0" w:type="auto"/>
            <w:shd w:val="clear" w:color="auto" w:fill="auto"/>
          </w:tcPr>
          <w:p w14:paraId="6BA704BF" w14:textId="77777777" w:rsidR="008C5CFA" w:rsidRPr="009C3005" w:rsidRDefault="00E82A60" w:rsidP="00300A01">
            <w:pPr>
              <w:pStyle w:val="Text1"/>
              <w:spacing w:before="0" w:after="0"/>
              <w:ind w:left="0"/>
              <w:jc w:val="right"/>
              <w:rPr>
                <w:sz w:val="12"/>
                <w:szCs w:val="12"/>
              </w:rPr>
            </w:pPr>
            <w:r w:rsidRPr="009C3005">
              <w:rPr>
                <w:noProof/>
                <w:sz w:val="12"/>
                <w:szCs w:val="12"/>
              </w:rPr>
              <w:t>3</w:t>
            </w:r>
          </w:p>
        </w:tc>
      </w:tr>
      <w:tr w:rsidR="006B2EC1" w14:paraId="2D60A976" w14:textId="77777777" w:rsidTr="0047688D">
        <w:tc>
          <w:tcPr>
            <w:tcW w:w="0" w:type="auto"/>
            <w:shd w:val="clear" w:color="auto" w:fill="auto"/>
          </w:tcPr>
          <w:p w14:paraId="7399C023" w14:textId="77777777" w:rsidR="008C5CFA" w:rsidRPr="009C3005" w:rsidRDefault="00E82A60" w:rsidP="00300A01">
            <w:pPr>
              <w:pStyle w:val="Text1"/>
              <w:spacing w:before="0" w:after="0"/>
              <w:ind w:left="0"/>
              <w:rPr>
                <w:sz w:val="12"/>
                <w:szCs w:val="12"/>
              </w:rPr>
            </w:pPr>
            <w:r>
              <w:rPr>
                <w:noProof/>
                <w:sz w:val="14"/>
                <w:szCs w:val="14"/>
                <w:lang w:val="fr-BE"/>
              </w:rPr>
              <w:t>2</w:t>
            </w:r>
          </w:p>
        </w:tc>
        <w:tc>
          <w:tcPr>
            <w:tcW w:w="0" w:type="auto"/>
            <w:shd w:val="clear" w:color="auto" w:fill="auto"/>
          </w:tcPr>
          <w:p w14:paraId="6C6D05E2" w14:textId="77777777" w:rsidR="008C5CFA" w:rsidRPr="009C3005" w:rsidRDefault="00E82A60" w:rsidP="00300A01">
            <w:pPr>
              <w:pStyle w:val="Text1"/>
              <w:spacing w:before="0" w:after="0"/>
              <w:ind w:left="0"/>
              <w:rPr>
                <w:sz w:val="12"/>
                <w:szCs w:val="12"/>
              </w:rPr>
            </w:pPr>
            <w:r>
              <w:rPr>
                <w:noProof/>
                <w:sz w:val="12"/>
                <w:szCs w:val="12"/>
              </w:rPr>
              <w:t>EFRR</w:t>
            </w:r>
          </w:p>
        </w:tc>
        <w:tc>
          <w:tcPr>
            <w:tcW w:w="0" w:type="auto"/>
            <w:shd w:val="clear" w:color="auto" w:fill="auto"/>
          </w:tcPr>
          <w:p w14:paraId="2D87AE8E" w14:textId="77777777" w:rsidR="008C5CFA" w:rsidRPr="009C3005" w:rsidRDefault="00E82A60" w:rsidP="00300A01">
            <w:pPr>
              <w:pStyle w:val="Text1"/>
              <w:spacing w:before="0" w:after="0"/>
              <w:ind w:left="0"/>
              <w:rPr>
                <w:sz w:val="12"/>
                <w:szCs w:val="12"/>
              </w:rPr>
            </w:pPr>
            <w:r>
              <w:rPr>
                <w:noProof/>
                <w:sz w:val="12"/>
                <w:szCs w:val="12"/>
              </w:rPr>
              <w:t>Słabiej rozwinięte</w:t>
            </w:r>
          </w:p>
        </w:tc>
        <w:tc>
          <w:tcPr>
            <w:tcW w:w="0" w:type="auto"/>
            <w:shd w:val="clear" w:color="auto" w:fill="auto"/>
          </w:tcPr>
          <w:p w14:paraId="49405660" w14:textId="77777777" w:rsidR="008C5CFA" w:rsidRPr="009C3005" w:rsidRDefault="00E82A60" w:rsidP="00300A01">
            <w:pPr>
              <w:pStyle w:val="Text1"/>
              <w:spacing w:before="0" w:after="0"/>
              <w:ind w:left="0"/>
              <w:rPr>
                <w:sz w:val="12"/>
                <w:szCs w:val="12"/>
              </w:rPr>
            </w:pPr>
            <w:r>
              <w:rPr>
                <w:noProof/>
                <w:sz w:val="12"/>
                <w:szCs w:val="12"/>
              </w:rPr>
              <w:t>001</w:t>
            </w:r>
          </w:p>
        </w:tc>
        <w:tc>
          <w:tcPr>
            <w:tcW w:w="0" w:type="auto"/>
            <w:shd w:val="clear" w:color="auto" w:fill="auto"/>
          </w:tcPr>
          <w:p w14:paraId="443E8415"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2D5DDFFD" w14:textId="77777777" w:rsidR="008C5CFA" w:rsidRPr="009C3005" w:rsidRDefault="00E82A60" w:rsidP="00300A01">
            <w:pPr>
              <w:pStyle w:val="Text1"/>
              <w:spacing w:before="0" w:after="0"/>
              <w:ind w:left="0"/>
              <w:rPr>
                <w:sz w:val="12"/>
                <w:szCs w:val="12"/>
              </w:rPr>
            </w:pPr>
            <w:r>
              <w:rPr>
                <w:noProof/>
                <w:sz w:val="12"/>
                <w:szCs w:val="12"/>
              </w:rPr>
              <w:t>03</w:t>
            </w:r>
          </w:p>
        </w:tc>
        <w:tc>
          <w:tcPr>
            <w:tcW w:w="0" w:type="auto"/>
            <w:shd w:val="clear" w:color="auto" w:fill="auto"/>
          </w:tcPr>
          <w:p w14:paraId="0566B5E5"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505CC285" w14:textId="77777777" w:rsidR="008C5CFA" w:rsidRPr="009C3005" w:rsidRDefault="00E82A60" w:rsidP="00300A01">
            <w:pPr>
              <w:pStyle w:val="Text1"/>
              <w:spacing w:before="0" w:after="0"/>
              <w:ind w:left="0"/>
              <w:rPr>
                <w:sz w:val="12"/>
                <w:szCs w:val="12"/>
              </w:rPr>
            </w:pPr>
            <w:r>
              <w:rPr>
                <w:noProof/>
                <w:sz w:val="12"/>
                <w:szCs w:val="12"/>
              </w:rPr>
              <w:t>03</w:t>
            </w:r>
          </w:p>
        </w:tc>
        <w:tc>
          <w:tcPr>
            <w:tcW w:w="0" w:type="auto"/>
            <w:shd w:val="clear" w:color="auto" w:fill="auto"/>
          </w:tcPr>
          <w:p w14:paraId="119F483A" w14:textId="77777777" w:rsidR="008C5CFA" w:rsidRPr="009C3005" w:rsidRDefault="00E82A60" w:rsidP="00300A01">
            <w:pPr>
              <w:pStyle w:val="Text1"/>
              <w:spacing w:before="0" w:after="0"/>
              <w:ind w:left="0"/>
              <w:rPr>
                <w:sz w:val="12"/>
                <w:szCs w:val="12"/>
              </w:rPr>
            </w:pPr>
            <w:r>
              <w:rPr>
                <w:sz w:val="12"/>
                <w:szCs w:val="12"/>
              </w:rPr>
              <w:t xml:space="preserve"> </w:t>
            </w:r>
          </w:p>
        </w:tc>
        <w:tc>
          <w:tcPr>
            <w:tcW w:w="0" w:type="auto"/>
            <w:shd w:val="clear" w:color="auto" w:fill="auto"/>
          </w:tcPr>
          <w:p w14:paraId="26A29FBB" w14:textId="77777777" w:rsidR="008C5CFA" w:rsidRPr="009C3005" w:rsidRDefault="00E82A60" w:rsidP="00300A01">
            <w:pPr>
              <w:pStyle w:val="Text1"/>
              <w:spacing w:before="0" w:after="0"/>
              <w:ind w:left="0"/>
              <w:rPr>
                <w:sz w:val="12"/>
                <w:szCs w:val="12"/>
              </w:rPr>
            </w:pPr>
            <w:r>
              <w:rPr>
                <w:noProof/>
                <w:sz w:val="12"/>
                <w:szCs w:val="12"/>
              </w:rPr>
              <w:t>20</w:t>
            </w:r>
          </w:p>
        </w:tc>
        <w:tc>
          <w:tcPr>
            <w:tcW w:w="0" w:type="auto"/>
            <w:shd w:val="clear" w:color="auto" w:fill="auto"/>
          </w:tcPr>
          <w:p w14:paraId="47D6876C" w14:textId="77777777" w:rsidR="008C5CFA" w:rsidRPr="009C3005" w:rsidRDefault="00E82A60" w:rsidP="00300A01">
            <w:pPr>
              <w:pStyle w:val="Text1"/>
              <w:spacing w:before="0" w:after="0"/>
              <w:ind w:left="0"/>
              <w:rPr>
                <w:sz w:val="12"/>
                <w:szCs w:val="12"/>
              </w:rPr>
            </w:pPr>
            <w:r>
              <w:rPr>
                <w:noProof/>
                <w:sz w:val="12"/>
                <w:szCs w:val="12"/>
              </w:rPr>
              <w:t>PL33</w:t>
            </w:r>
          </w:p>
        </w:tc>
        <w:tc>
          <w:tcPr>
            <w:tcW w:w="0" w:type="auto"/>
            <w:shd w:val="clear" w:color="auto" w:fill="auto"/>
          </w:tcPr>
          <w:p w14:paraId="0C1626CF" w14:textId="77777777" w:rsidR="008C5CFA" w:rsidRPr="009C3005" w:rsidRDefault="00E82A60" w:rsidP="00300A01">
            <w:pPr>
              <w:pStyle w:val="Text1"/>
              <w:spacing w:before="0" w:after="0"/>
              <w:ind w:left="0"/>
              <w:jc w:val="right"/>
              <w:rPr>
                <w:sz w:val="12"/>
                <w:szCs w:val="12"/>
              </w:rPr>
            </w:pPr>
            <w:r w:rsidRPr="009C3005">
              <w:rPr>
                <w:noProof/>
                <w:sz w:val="12"/>
                <w:szCs w:val="12"/>
              </w:rPr>
              <w:t>692 988,95</w:t>
            </w:r>
          </w:p>
        </w:tc>
        <w:tc>
          <w:tcPr>
            <w:tcW w:w="0" w:type="auto"/>
            <w:shd w:val="clear" w:color="auto" w:fill="auto"/>
          </w:tcPr>
          <w:p w14:paraId="48DB8E3E" w14:textId="77777777" w:rsidR="008C5CFA" w:rsidRPr="009C3005" w:rsidRDefault="00E82A60" w:rsidP="00300A01">
            <w:pPr>
              <w:pStyle w:val="Text1"/>
              <w:spacing w:before="0" w:after="0"/>
              <w:ind w:left="0"/>
              <w:jc w:val="right"/>
              <w:rPr>
                <w:sz w:val="12"/>
                <w:szCs w:val="12"/>
              </w:rPr>
            </w:pPr>
            <w:r w:rsidRPr="009C3005">
              <w:rPr>
                <w:noProof/>
                <w:sz w:val="12"/>
                <w:szCs w:val="12"/>
              </w:rPr>
              <w:t>550 304,77</w:t>
            </w:r>
          </w:p>
        </w:tc>
        <w:tc>
          <w:tcPr>
            <w:tcW w:w="0" w:type="auto"/>
            <w:shd w:val="clear" w:color="auto" w:fill="auto"/>
          </w:tcPr>
          <w:p w14:paraId="29ECBF76" w14:textId="77777777" w:rsidR="008C5CFA" w:rsidRPr="009C3005" w:rsidRDefault="00E82A60" w:rsidP="00300A01">
            <w:pPr>
              <w:pStyle w:val="Text1"/>
              <w:spacing w:before="0" w:after="0"/>
              <w:ind w:left="0"/>
              <w:jc w:val="right"/>
              <w:rPr>
                <w:sz w:val="12"/>
                <w:szCs w:val="12"/>
              </w:rPr>
            </w:pPr>
            <w:r w:rsidRPr="009C3005">
              <w:rPr>
                <w:noProof/>
                <w:sz w:val="12"/>
                <w:szCs w:val="12"/>
              </w:rPr>
              <w:t>688 109,86</w:t>
            </w:r>
          </w:p>
        </w:tc>
        <w:tc>
          <w:tcPr>
            <w:tcW w:w="0" w:type="auto"/>
            <w:shd w:val="clear" w:color="auto" w:fill="auto"/>
          </w:tcPr>
          <w:p w14:paraId="7A79CAA9" w14:textId="77777777" w:rsidR="008C5CFA" w:rsidRPr="009C3005" w:rsidRDefault="00E82A60" w:rsidP="00300A01">
            <w:pPr>
              <w:pStyle w:val="Text1"/>
              <w:spacing w:before="0" w:after="0"/>
              <w:ind w:left="0"/>
              <w:jc w:val="right"/>
              <w:rPr>
                <w:sz w:val="12"/>
                <w:szCs w:val="12"/>
              </w:rPr>
            </w:pPr>
            <w:r w:rsidRPr="009C3005">
              <w:rPr>
                <w:noProof/>
                <w:sz w:val="12"/>
                <w:szCs w:val="12"/>
              </w:rPr>
              <w:t>4</w:t>
            </w:r>
          </w:p>
        </w:tc>
      </w:tr>
      <w:tr w:rsidR="006B2EC1" w14:paraId="444A9338" w14:textId="77777777" w:rsidTr="0047688D">
        <w:tc>
          <w:tcPr>
            <w:tcW w:w="0" w:type="auto"/>
            <w:shd w:val="clear" w:color="auto" w:fill="auto"/>
          </w:tcPr>
          <w:p w14:paraId="7051D547" w14:textId="77777777" w:rsidR="008C5CFA" w:rsidRPr="009C3005" w:rsidRDefault="00E82A60" w:rsidP="00300A01">
            <w:pPr>
              <w:pStyle w:val="Text1"/>
              <w:spacing w:before="0" w:after="0"/>
              <w:ind w:left="0"/>
              <w:rPr>
                <w:sz w:val="12"/>
                <w:szCs w:val="12"/>
              </w:rPr>
            </w:pPr>
            <w:r>
              <w:rPr>
                <w:noProof/>
                <w:sz w:val="14"/>
                <w:szCs w:val="14"/>
                <w:lang w:val="fr-BE"/>
              </w:rPr>
              <w:t>2</w:t>
            </w:r>
          </w:p>
        </w:tc>
        <w:tc>
          <w:tcPr>
            <w:tcW w:w="0" w:type="auto"/>
            <w:shd w:val="clear" w:color="auto" w:fill="auto"/>
          </w:tcPr>
          <w:p w14:paraId="0E6FF497" w14:textId="77777777" w:rsidR="008C5CFA" w:rsidRPr="009C3005" w:rsidRDefault="00E82A60" w:rsidP="00300A01">
            <w:pPr>
              <w:pStyle w:val="Text1"/>
              <w:spacing w:before="0" w:after="0"/>
              <w:ind w:left="0"/>
              <w:rPr>
                <w:sz w:val="12"/>
                <w:szCs w:val="12"/>
              </w:rPr>
            </w:pPr>
            <w:r>
              <w:rPr>
                <w:noProof/>
                <w:sz w:val="12"/>
                <w:szCs w:val="12"/>
              </w:rPr>
              <w:t>EFRR</w:t>
            </w:r>
          </w:p>
        </w:tc>
        <w:tc>
          <w:tcPr>
            <w:tcW w:w="0" w:type="auto"/>
            <w:shd w:val="clear" w:color="auto" w:fill="auto"/>
          </w:tcPr>
          <w:p w14:paraId="7806F8A1" w14:textId="77777777" w:rsidR="008C5CFA" w:rsidRPr="009C3005" w:rsidRDefault="00E82A60" w:rsidP="00300A01">
            <w:pPr>
              <w:pStyle w:val="Text1"/>
              <w:spacing w:before="0" w:after="0"/>
              <w:ind w:left="0"/>
              <w:rPr>
                <w:sz w:val="12"/>
                <w:szCs w:val="12"/>
              </w:rPr>
            </w:pPr>
            <w:r>
              <w:rPr>
                <w:noProof/>
                <w:sz w:val="12"/>
                <w:szCs w:val="12"/>
              </w:rPr>
              <w:t>Słabiej rozwinięte</w:t>
            </w:r>
          </w:p>
        </w:tc>
        <w:tc>
          <w:tcPr>
            <w:tcW w:w="0" w:type="auto"/>
            <w:shd w:val="clear" w:color="auto" w:fill="auto"/>
          </w:tcPr>
          <w:p w14:paraId="3E7D2609" w14:textId="77777777" w:rsidR="008C5CFA" w:rsidRPr="009C3005" w:rsidRDefault="00E82A60" w:rsidP="00300A01">
            <w:pPr>
              <w:pStyle w:val="Text1"/>
              <w:spacing w:before="0" w:after="0"/>
              <w:ind w:left="0"/>
              <w:rPr>
                <w:sz w:val="12"/>
                <w:szCs w:val="12"/>
              </w:rPr>
            </w:pPr>
            <w:r>
              <w:rPr>
                <w:noProof/>
                <w:sz w:val="12"/>
                <w:szCs w:val="12"/>
              </w:rPr>
              <w:t>001</w:t>
            </w:r>
          </w:p>
        </w:tc>
        <w:tc>
          <w:tcPr>
            <w:tcW w:w="0" w:type="auto"/>
            <w:shd w:val="clear" w:color="auto" w:fill="auto"/>
          </w:tcPr>
          <w:p w14:paraId="6228F053"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57987DD0" w14:textId="77777777" w:rsidR="008C5CFA" w:rsidRPr="009C3005" w:rsidRDefault="00E82A60" w:rsidP="00300A01">
            <w:pPr>
              <w:pStyle w:val="Text1"/>
              <w:spacing w:before="0" w:after="0"/>
              <w:ind w:left="0"/>
              <w:rPr>
                <w:sz w:val="12"/>
                <w:szCs w:val="12"/>
              </w:rPr>
            </w:pPr>
            <w:r>
              <w:rPr>
                <w:noProof/>
                <w:sz w:val="12"/>
                <w:szCs w:val="12"/>
              </w:rPr>
              <w:t>03</w:t>
            </w:r>
          </w:p>
        </w:tc>
        <w:tc>
          <w:tcPr>
            <w:tcW w:w="0" w:type="auto"/>
            <w:shd w:val="clear" w:color="auto" w:fill="auto"/>
          </w:tcPr>
          <w:p w14:paraId="101F705A"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2125F3BB" w14:textId="77777777" w:rsidR="008C5CFA" w:rsidRPr="009C3005" w:rsidRDefault="00E82A60" w:rsidP="00300A01">
            <w:pPr>
              <w:pStyle w:val="Text1"/>
              <w:spacing w:before="0" w:after="0"/>
              <w:ind w:left="0"/>
              <w:rPr>
                <w:sz w:val="12"/>
                <w:szCs w:val="12"/>
              </w:rPr>
            </w:pPr>
            <w:r>
              <w:rPr>
                <w:noProof/>
                <w:sz w:val="12"/>
                <w:szCs w:val="12"/>
              </w:rPr>
              <w:t>03</w:t>
            </w:r>
          </w:p>
        </w:tc>
        <w:tc>
          <w:tcPr>
            <w:tcW w:w="0" w:type="auto"/>
            <w:shd w:val="clear" w:color="auto" w:fill="auto"/>
          </w:tcPr>
          <w:p w14:paraId="480407E7" w14:textId="77777777" w:rsidR="008C5CFA" w:rsidRPr="009C3005" w:rsidRDefault="00E82A60" w:rsidP="00300A01">
            <w:pPr>
              <w:pStyle w:val="Text1"/>
              <w:spacing w:before="0" w:after="0"/>
              <w:ind w:left="0"/>
              <w:rPr>
                <w:sz w:val="12"/>
                <w:szCs w:val="12"/>
              </w:rPr>
            </w:pPr>
            <w:r>
              <w:rPr>
                <w:sz w:val="12"/>
                <w:szCs w:val="12"/>
              </w:rPr>
              <w:t xml:space="preserve"> </w:t>
            </w:r>
          </w:p>
        </w:tc>
        <w:tc>
          <w:tcPr>
            <w:tcW w:w="0" w:type="auto"/>
            <w:shd w:val="clear" w:color="auto" w:fill="auto"/>
          </w:tcPr>
          <w:p w14:paraId="5DB000E2" w14:textId="77777777" w:rsidR="008C5CFA" w:rsidRPr="009C3005" w:rsidRDefault="00E82A60" w:rsidP="00300A01">
            <w:pPr>
              <w:pStyle w:val="Text1"/>
              <w:spacing w:before="0" w:after="0"/>
              <w:ind w:left="0"/>
              <w:rPr>
                <w:sz w:val="12"/>
                <w:szCs w:val="12"/>
              </w:rPr>
            </w:pPr>
            <w:r>
              <w:rPr>
                <w:noProof/>
                <w:sz w:val="12"/>
                <w:szCs w:val="12"/>
              </w:rPr>
              <w:t>21</w:t>
            </w:r>
          </w:p>
        </w:tc>
        <w:tc>
          <w:tcPr>
            <w:tcW w:w="0" w:type="auto"/>
            <w:shd w:val="clear" w:color="auto" w:fill="auto"/>
          </w:tcPr>
          <w:p w14:paraId="441EC162" w14:textId="77777777" w:rsidR="008C5CFA" w:rsidRPr="009C3005" w:rsidRDefault="00E82A60" w:rsidP="00300A01">
            <w:pPr>
              <w:pStyle w:val="Text1"/>
              <w:spacing w:before="0" w:after="0"/>
              <w:ind w:left="0"/>
              <w:rPr>
                <w:sz w:val="12"/>
                <w:szCs w:val="12"/>
              </w:rPr>
            </w:pPr>
            <w:r>
              <w:rPr>
                <w:noProof/>
                <w:sz w:val="12"/>
                <w:szCs w:val="12"/>
              </w:rPr>
              <w:t>PL33</w:t>
            </w:r>
          </w:p>
        </w:tc>
        <w:tc>
          <w:tcPr>
            <w:tcW w:w="0" w:type="auto"/>
            <w:shd w:val="clear" w:color="auto" w:fill="auto"/>
          </w:tcPr>
          <w:p w14:paraId="6AED99ED" w14:textId="77777777" w:rsidR="008C5CFA" w:rsidRPr="009C3005" w:rsidRDefault="00E82A60" w:rsidP="00300A01">
            <w:pPr>
              <w:pStyle w:val="Text1"/>
              <w:spacing w:before="0" w:after="0"/>
              <w:ind w:left="0"/>
              <w:jc w:val="right"/>
              <w:rPr>
                <w:sz w:val="12"/>
                <w:szCs w:val="12"/>
              </w:rPr>
            </w:pPr>
            <w:r w:rsidRPr="009C3005">
              <w:rPr>
                <w:noProof/>
                <w:sz w:val="12"/>
                <w:szCs w:val="12"/>
              </w:rPr>
              <w:t>144 574,01</w:t>
            </w:r>
          </w:p>
        </w:tc>
        <w:tc>
          <w:tcPr>
            <w:tcW w:w="0" w:type="auto"/>
            <w:shd w:val="clear" w:color="auto" w:fill="auto"/>
          </w:tcPr>
          <w:p w14:paraId="38370452" w14:textId="77777777" w:rsidR="008C5CFA" w:rsidRPr="009C3005" w:rsidRDefault="00E82A60" w:rsidP="00300A01">
            <w:pPr>
              <w:pStyle w:val="Text1"/>
              <w:spacing w:before="0" w:after="0"/>
              <w:ind w:left="0"/>
              <w:jc w:val="right"/>
              <w:rPr>
                <w:sz w:val="12"/>
                <w:szCs w:val="12"/>
              </w:rPr>
            </w:pPr>
            <w:r w:rsidRPr="009C3005">
              <w:rPr>
                <w:noProof/>
                <w:sz w:val="12"/>
                <w:szCs w:val="12"/>
              </w:rPr>
              <w:t>115 659,21</w:t>
            </w:r>
          </w:p>
        </w:tc>
        <w:tc>
          <w:tcPr>
            <w:tcW w:w="0" w:type="auto"/>
            <w:shd w:val="clear" w:color="auto" w:fill="auto"/>
          </w:tcPr>
          <w:p w14:paraId="31AD94EF" w14:textId="77777777" w:rsidR="008C5CFA" w:rsidRPr="009C3005" w:rsidRDefault="00E82A60" w:rsidP="00300A01">
            <w:pPr>
              <w:pStyle w:val="Text1"/>
              <w:spacing w:before="0" w:after="0"/>
              <w:ind w:left="0"/>
              <w:jc w:val="right"/>
              <w:rPr>
                <w:sz w:val="12"/>
                <w:szCs w:val="12"/>
              </w:rPr>
            </w:pPr>
            <w:r w:rsidRPr="009C3005">
              <w:rPr>
                <w:noProof/>
                <w:sz w:val="12"/>
                <w:szCs w:val="12"/>
              </w:rPr>
              <w:t>144 574,01</w:t>
            </w:r>
          </w:p>
        </w:tc>
        <w:tc>
          <w:tcPr>
            <w:tcW w:w="0" w:type="auto"/>
            <w:shd w:val="clear" w:color="auto" w:fill="auto"/>
          </w:tcPr>
          <w:p w14:paraId="6B3751D0" w14:textId="77777777" w:rsidR="008C5CFA" w:rsidRPr="009C3005" w:rsidRDefault="00E82A60" w:rsidP="00300A01">
            <w:pPr>
              <w:pStyle w:val="Text1"/>
              <w:spacing w:before="0" w:after="0"/>
              <w:ind w:left="0"/>
              <w:jc w:val="right"/>
              <w:rPr>
                <w:sz w:val="12"/>
                <w:szCs w:val="12"/>
              </w:rPr>
            </w:pPr>
            <w:r w:rsidRPr="009C3005">
              <w:rPr>
                <w:noProof/>
                <w:sz w:val="12"/>
                <w:szCs w:val="12"/>
              </w:rPr>
              <w:t>1</w:t>
            </w:r>
          </w:p>
        </w:tc>
      </w:tr>
      <w:tr w:rsidR="006B2EC1" w14:paraId="0D772960" w14:textId="77777777" w:rsidTr="0047688D">
        <w:tc>
          <w:tcPr>
            <w:tcW w:w="0" w:type="auto"/>
            <w:shd w:val="clear" w:color="auto" w:fill="auto"/>
          </w:tcPr>
          <w:p w14:paraId="7BFEB284" w14:textId="77777777" w:rsidR="008C5CFA" w:rsidRPr="009C3005" w:rsidRDefault="00E82A60" w:rsidP="00300A01">
            <w:pPr>
              <w:pStyle w:val="Text1"/>
              <w:spacing w:before="0" w:after="0"/>
              <w:ind w:left="0"/>
              <w:rPr>
                <w:sz w:val="12"/>
                <w:szCs w:val="12"/>
              </w:rPr>
            </w:pPr>
            <w:r>
              <w:rPr>
                <w:noProof/>
                <w:sz w:val="14"/>
                <w:szCs w:val="14"/>
                <w:lang w:val="fr-BE"/>
              </w:rPr>
              <w:t>2</w:t>
            </w:r>
          </w:p>
        </w:tc>
        <w:tc>
          <w:tcPr>
            <w:tcW w:w="0" w:type="auto"/>
            <w:shd w:val="clear" w:color="auto" w:fill="auto"/>
          </w:tcPr>
          <w:p w14:paraId="751376B9" w14:textId="77777777" w:rsidR="008C5CFA" w:rsidRPr="009C3005" w:rsidRDefault="00E82A60" w:rsidP="00300A01">
            <w:pPr>
              <w:pStyle w:val="Text1"/>
              <w:spacing w:before="0" w:after="0"/>
              <w:ind w:left="0"/>
              <w:rPr>
                <w:sz w:val="12"/>
                <w:szCs w:val="12"/>
              </w:rPr>
            </w:pPr>
            <w:r>
              <w:rPr>
                <w:noProof/>
                <w:sz w:val="12"/>
                <w:szCs w:val="12"/>
              </w:rPr>
              <w:t>EFRR</w:t>
            </w:r>
          </w:p>
        </w:tc>
        <w:tc>
          <w:tcPr>
            <w:tcW w:w="0" w:type="auto"/>
            <w:shd w:val="clear" w:color="auto" w:fill="auto"/>
          </w:tcPr>
          <w:p w14:paraId="06BE9251" w14:textId="77777777" w:rsidR="008C5CFA" w:rsidRPr="009C3005" w:rsidRDefault="00E82A60" w:rsidP="00300A01">
            <w:pPr>
              <w:pStyle w:val="Text1"/>
              <w:spacing w:before="0" w:after="0"/>
              <w:ind w:left="0"/>
              <w:rPr>
                <w:sz w:val="12"/>
                <w:szCs w:val="12"/>
              </w:rPr>
            </w:pPr>
            <w:r>
              <w:rPr>
                <w:noProof/>
                <w:sz w:val="12"/>
                <w:szCs w:val="12"/>
              </w:rPr>
              <w:t>Słabiej rozwinięte</w:t>
            </w:r>
          </w:p>
        </w:tc>
        <w:tc>
          <w:tcPr>
            <w:tcW w:w="0" w:type="auto"/>
            <w:shd w:val="clear" w:color="auto" w:fill="auto"/>
          </w:tcPr>
          <w:p w14:paraId="57FFF1AF" w14:textId="77777777" w:rsidR="008C5CFA" w:rsidRPr="009C3005" w:rsidRDefault="00E82A60" w:rsidP="00300A01">
            <w:pPr>
              <w:pStyle w:val="Text1"/>
              <w:spacing w:before="0" w:after="0"/>
              <w:ind w:left="0"/>
              <w:rPr>
                <w:sz w:val="12"/>
                <w:szCs w:val="12"/>
              </w:rPr>
            </w:pPr>
            <w:r>
              <w:rPr>
                <w:noProof/>
                <w:sz w:val="12"/>
                <w:szCs w:val="12"/>
              </w:rPr>
              <w:t>001</w:t>
            </w:r>
          </w:p>
        </w:tc>
        <w:tc>
          <w:tcPr>
            <w:tcW w:w="0" w:type="auto"/>
            <w:shd w:val="clear" w:color="auto" w:fill="auto"/>
          </w:tcPr>
          <w:p w14:paraId="10E7B2A0"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23BC54C1" w14:textId="77777777" w:rsidR="008C5CFA" w:rsidRPr="009C3005" w:rsidRDefault="00E82A60" w:rsidP="00300A01">
            <w:pPr>
              <w:pStyle w:val="Text1"/>
              <w:spacing w:before="0" w:after="0"/>
              <w:ind w:left="0"/>
              <w:rPr>
                <w:sz w:val="12"/>
                <w:szCs w:val="12"/>
              </w:rPr>
            </w:pPr>
            <w:r>
              <w:rPr>
                <w:noProof/>
                <w:sz w:val="12"/>
                <w:szCs w:val="12"/>
              </w:rPr>
              <w:t>03</w:t>
            </w:r>
          </w:p>
        </w:tc>
        <w:tc>
          <w:tcPr>
            <w:tcW w:w="0" w:type="auto"/>
            <w:shd w:val="clear" w:color="auto" w:fill="auto"/>
          </w:tcPr>
          <w:p w14:paraId="0B0C4589"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70D44EF1" w14:textId="77777777" w:rsidR="008C5CFA" w:rsidRPr="009C3005" w:rsidRDefault="00E82A60" w:rsidP="00300A01">
            <w:pPr>
              <w:pStyle w:val="Text1"/>
              <w:spacing w:before="0" w:after="0"/>
              <w:ind w:left="0"/>
              <w:rPr>
                <w:sz w:val="12"/>
                <w:szCs w:val="12"/>
              </w:rPr>
            </w:pPr>
            <w:r>
              <w:rPr>
                <w:noProof/>
                <w:sz w:val="12"/>
                <w:szCs w:val="12"/>
              </w:rPr>
              <w:t>03</w:t>
            </w:r>
          </w:p>
        </w:tc>
        <w:tc>
          <w:tcPr>
            <w:tcW w:w="0" w:type="auto"/>
            <w:shd w:val="clear" w:color="auto" w:fill="auto"/>
          </w:tcPr>
          <w:p w14:paraId="1BE559E8" w14:textId="77777777" w:rsidR="008C5CFA" w:rsidRPr="009C3005" w:rsidRDefault="00E82A60" w:rsidP="00300A01">
            <w:pPr>
              <w:pStyle w:val="Text1"/>
              <w:spacing w:before="0" w:after="0"/>
              <w:ind w:left="0"/>
              <w:rPr>
                <w:sz w:val="12"/>
                <w:szCs w:val="12"/>
              </w:rPr>
            </w:pPr>
            <w:r>
              <w:rPr>
                <w:sz w:val="12"/>
                <w:szCs w:val="12"/>
              </w:rPr>
              <w:t xml:space="preserve"> </w:t>
            </w:r>
          </w:p>
        </w:tc>
        <w:tc>
          <w:tcPr>
            <w:tcW w:w="0" w:type="auto"/>
            <w:shd w:val="clear" w:color="auto" w:fill="auto"/>
          </w:tcPr>
          <w:p w14:paraId="48B6D18D" w14:textId="77777777" w:rsidR="008C5CFA" w:rsidRPr="009C3005" w:rsidRDefault="00E82A60" w:rsidP="00300A01">
            <w:pPr>
              <w:pStyle w:val="Text1"/>
              <w:spacing w:before="0" w:after="0"/>
              <w:ind w:left="0"/>
              <w:rPr>
                <w:sz w:val="12"/>
                <w:szCs w:val="12"/>
              </w:rPr>
            </w:pPr>
            <w:r>
              <w:rPr>
                <w:noProof/>
                <w:sz w:val="12"/>
                <w:szCs w:val="12"/>
              </w:rPr>
              <w:t>24</w:t>
            </w:r>
          </w:p>
        </w:tc>
        <w:tc>
          <w:tcPr>
            <w:tcW w:w="0" w:type="auto"/>
            <w:shd w:val="clear" w:color="auto" w:fill="auto"/>
          </w:tcPr>
          <w:p w14:paraId="2891F7E0" w14:textId="77777777" w:rsidR="008C5CFA" w:rsidRPr="009C3005" w:rsidRDefault="00E82A60" w:rsidP="00300A01">
            <w:pPr>
              <w:pStyle w:val="Text1"/>
              <w:spacing w:before="0" w:after="0"/>
              <w:ind w:left="0"/>
              <w:rPr>
                <w:sz w:val="12"/>
                <w:szCs w:val="12"/>
              </w:rPr>
            </w:pPr>
            <w:r>
              <w:rPr>
                <w:noProof/>
                <w:sz w:val="12"/>
                <w:szCs w:val="12"/>
              </w:rPr>
              <w:t>PL33</w:t>
            </w:r>
          </w:p>
        </w:tc>
        <w:tc>
          <w:tcPr>
            <w:tcW w:w="0" w:type="auto"/>
            <w:shd w:val="clear" w:color="auto" w:fill="auto"/>
          </w:tcPr>
          <w:p w14:paraId="02DF0433" w14:textId="77777777" w:rsidR="008C5CFA" w:rsidRPr="009C3005" w:rsidRDefault="00E82A60" w:rsidP="00300A01">
            <w:pPr>
              <w:pStyle w:val="Text1"/>
              <w:spacing w:before="0" w:after="0"/>
              <w:ind w:left="0"/>
              <w:jc w:val="right"/>
              <w:rPr>
                <w:sz w:val="12"/>
                <w:szCs w:val="12"/>
              </w:rPr>
            </w:pPr>
            <w:r w:rsidRPr="009C3005">
              <w:rPr>
                <w:noProof/>
                <w:sz w:val="12"/>
                <w:szCs w:val="12"/>
              </w:rPr>
              <w:t>8 441 275,10</w:t>
            </w:r>
          </w:p>
        </w:tc>
        <w:tc>
          <w:tcPr>
            <w:tcW w:w="0" w:type="auto"/>
            <w:shd w:val="clear" w:color="auto" w:fill="auto"/>
          </w:tcPr>
          <w:p w14:paraId="40B0D85E" w14:textId="77777777" w:rsidR="008C5CFA" w:rsidRPr="009C3005" w:rsidRDefault="00E82A60" w:rsidP="00300A01">
            <w:pPr>
              <w:pStyle w:val="Text1"/>
              <w:spacing w:before="0" w:after="0"/>
              <w:ind w:left="0"/>
              <w:jc w:val="right"/>
              <w:rPr>
                <w:sz w:val="12"/>
                <w:szCs w:val="12"/>
              </w:rPr>
            </w:pPr>
            <w:r w:rsidRPr="009C3005">
              <w:rPr>
                <w:noProof/>
                <w:sz w:val="12"/>
                <w:szCs w:val="12"/>
              </w:rPr>
              <w:t>5 843 209,97</w:t>
            </w:r>
          </w:p>
        </w:tc>
        <w:tc>
          <w:tcPr>
            <w:tcW w:w="0" w:type="auto"/>
            <w:shd w:val="clear" w:color="auto" w:fill="auto"/>
          </w:tcPr>
          <w:p w14:paraId="5B695EB3" w14:textId="77777777" w:rsidR="008C5CFA" w:rsidRPr="009C3005" w:rsidRDefault="00E82A60" w:rsidP="00300A01">
            <w:pPr>
              <w:pStyle w:val="Text1"/>
              <w:spacing w:before="0" w:after="0"/>
              <w:ind w:left="0"/>
              <w:jc w:val="right"/>
              <w:rPr>
                <w:sz w:val="12"/>
                <w:szCs w:val="12"/>
              </w:rPr>
            </w:pPr>
            <w:r w:rsidRPr="009C3005">
              <w:rPr>
                <w:noProof/>
                <w:sz w:val="12"/>
                <w:szCs w:val="12"/>
              </w:rPr>
              <w:t>6 306 308,85</w:t>
            </w:r>
          </w:p>
        </w:tc>
        <w:tc>
          <w:tcPr>
            <w:tcW w:w="0" w:type="auto"/>
            <w:shd w:val="clear" w:color="auto" w:fill="auto"/>
          </w:tcPr>
          <w:p w14:paraId="7462CD9E" w14:textId="77777777" w:rsidR="008C5CFA" w:rsidRPr="009C3005" w:rsidRDefault="00E82A60" w:rsidP="00300A01">
            <w:pPr>
              <w:pStyle w:val="Text1"/>
              <w:spacing w:before="0" w:after="0"/>
              <w:ind w:left="0"/>
              <w:jc w:val="right"/>
              <w:rPr>
                <w:sz w:val="12"/>
                <w:szCs w:val="12"/>
              </w:rPr>
            </w:pPr>
            <w:r w:rsidRPr="009C3005">
              <w:rPr>
                <w:noProof/>
                <w:sz w:val="12"/>
                <w:szCs w:val="12"/>
              </w:rPr>
              <w:t>36</w:t>
            </w:r>
          </w:p>
        </w:tc>
      </w:tr>
      <w:tr w:rsidR="006B2EC1" w14:paraId="4A24402E" w14:textId="77777777" w:rsidTr="0047688D">
        <w:tc>
          <w:tcPr>
            <w:tcW w:w="0" w:type="auto"/>
            <w:shd w:val="clear" w:color="auto" w:fill="auto"/>
          </w:tcPr>
          <w:p w14:paraId="2F7B0ED5" w14:textId="77777777" w:rsidR="008C5CFA" w:rsidRPr="009C3005" w:rsidRDefault="00E82A60" w:rsidP="00300A01">
            <w:pPr>
              <w:pStyle w:val="Text1"/>
              <w:spacing w:before="0" w:after="0"/>
              <w:ind w:left="0"/>
              <w:rPr>
                <w:sz w:val="12"/>
                <w:szCs w:val="12"/>
              </w:rPr>
            </w:pPr>
            <w:r>
              <w:rPr>
                <w:noProof/>
                <w:sz w:val="14"/>
                <w:szCs w:val="14"/>
                <w:lang w:val="fr-BE"/>
              </w:rPr>
              <w:t>2</w:t>
            </w:r>
          </w:p>
        </w:tc>
        <w:tc>
          <w:tcPr>
            <w:tcW w:w="0" w:type="auto"/>
            <w:shd w:val="clear" w:color="auto" w:fill="auto"/>
          </w:tcPr>
          <w:p w14:paraId="1EF4DBBF" w14:textId="77777777" w:rsidR="008C5CFA" w:rsidRPr="009C3005" w:rsidRDefault="00E82A60" w:rsidP="00300A01">
            <w:pPr>
              <w:pStyle w:val="Text1"/>
              <w:spacing w:before="0" w:after="0"/>
              <w:ind w:left="0"/>
              <w:rPr>
                <w:sz w:val="12"/>
                <w:szCs w:val="12"/>
              </w:rPr>
            </w:pPr>
            <w:r>
              <w:rPr>
                <w:noProof/>
                <w:sz w:val="12"/>
                <w:szCs w:val="12"/>
              </w:rPr>
              <w:t>EFRR</w:t>
            </w:r>
          </w:p>
        </w:tc>
        <w:tc>
          <w:tcPr>
            <w:tcW w:w="0" w:type="auto"/>
            <w:shd w:val="clear" w:color="auto" w:fill="auto"/>
          </w:tcPr>
          <w:p w14:paraId="329EE41D" w14:textId="77777777" w:rsidR="008C5CFA" w:rsidRPr="009C3005" w:rsidRDefault="00E82A60" w:rsidP="00300A01">
            <w:pPr>
              <w:pStyle w:val="Text1"/>
              <w:spacing w:before="0" w:after="0"/>
              <w:ind w:left="0"/>
              <w:rPr>
                <w:sz w:val="12"/>
                <w:szCs w:val="12"/>
              </w:rPr>
            </w:pPr>
            <w:r>
              <w:rPr>
                <w:noProof/>
                <w:sz w:val="12"/>
                <w:szCs w:val="12"/>
              </w:rPr>
              <w:t>Słabiej rozwinięte</w:t>
            </w:r>
          </w:p>
        </w:tc>
        <w:tc>
          <w:tcPr>
            <w:tcW w:w="0" w:type="auto"/>
            <w:shd w:val="clear" w:color="auto" w:fill="auto"/>
          </w:tcPr>
          <w:p w14:paraId="14A1E915" w14:textId="77777777" w:rsidR="008C5CFA" w:rsidRPr="009C3005" w:rsidRDefault="00E82A60" w:rsidP="00300A01">
            <w:pPr>
              <w:pStyle w:val="Text1"/>
              <w:spacing w:before="0" w:after="0"/>
              <w:ind w:left="0"/>
              <w:rPr>
                <w:sz w:val="12"/>
                <w:szCs w:val="12"/>
              </w:rPr>
            </w:pPr>
            <w:r>
              <w:rPr>
                <w:noProof/>
                <w:sz w:val="12"/>
                <w:szCs w:val="12"/>
              </w:rPr>
              <w:t>001</w:t>
            </w:r>
          </w:p>
        </w:tc>
        <w:tc>
          <w:tcPr>
            <w:tcW w:w="0" w:type="auto"/>
            <w:shd w:val="clear" w:color="auto" w:fill="auto"/>
          </w:tcPr>
          <w:p w14:paraId="2277751E" w14:textId="77777777" w:rsidR="008C5CFA" w:rsidRPr="009C3005" w:rsidRDefault="00E82A60" w:rsidP="00300A01">
            <w:pPr>
              <w:pStyle w:val="Text1"/>
              <w:spacing w:before="0" w:after="0"/>
              <w:ind w:left="0"/>
              <w:rPr>
                <w:sz w:val="12"/>
                <w:szCs w:val="12"/>
              </w:rPr>
            </w:pPr>
            <w:r>
              <w:rPr>
                <w:noProof/>
                <w:sz w:val="12"/>
                <w:szCs w:val="12"/>
              </w:rPr>
              <w:t>04</w:t>
            </w:r>
          </w:p>
        </w:tc>
        <w:tc>
          <w:tcPr>
            <w:tcW w:w="0" w:type="auto"/>
            <w:shd w:val="clear" w:color="auto" w:fill="auto"/>
          </w:tcPr>
          <w:p w14:paraId="5BD4B300"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09E3DC32"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058331CD" w14:textId="77777777" w:rsidR="008C5CFA" w:rsidRPr="009C3005" w:rsidRDefault="00E82A60" w:rsidP="00300A01">
            <w:pPr>
              <w:pStyle w:val="Text1"/>
              <w:spacing w:before="0" w:after="0"/>
              <w:ind w:left="0"/>
              <w:rPr>
                <w:sz w:val="12"/>
                <w:szCs w:val="12"/>
              </w:rPr>
            </w:pPr>
            <w:r>
              <w:rPr>
                <w:noProof/>
                <w:sz w:val="12"/>
                <w:szCs w:val="12"/>
              </w:rPr>
              <w:t>03</w:t>
            </w:r>
          </w:p>
        </w:tc>
        <w:tc>
          <w:tcPr>
            <w:tcW w:w="0" w:type="auto"/>
            <w:shd w:val="clear" w:color="auto" w:fill="auto"/>
          </w:tcPr>
          <w:p w14:paraId="151A2B77" w14:textId="77777777" w:rsidR="008C5CFA" w:rsidRPr="009C3005" w:rsidRDefault="00E82A60" w:rsidP="00300A01">
            <w:pPr>
              <w:pStyle w:val="Text1"/>
              <w:spacing w:before="0" w:after="0"/>
              <w:ind w:left="0"/>
              <w:rPr>
                <w:sz w:val="12"/>
                <w:szCs w:val="12"/>
              </w:rPr>
            </w:pPr>
            <w:r>
              <w:rPr>
                <w:sz w:val="12"/>
                <w:szCs w:val="12"/>
              </w:rPr>
              <w:t xml:space="preserve"> </w:t>
            </w:r>
          </w:p>
        </w:tc>
        <w:tc>
          <w:tcPr>
            <w:tcW w:w="0" w:type="auto"/>
            <w:shd w:val="clear" w:color="auto" w:fill="auto"/>
          </w:tcPr>
          <w:p w14:paraId="28022B3B" w14:textId="77777777" w:rsidR="008C5CFA" w:rsidRPr="009C3005" w:rsidRDefault="00E82A60" w:rsidP="00300A01">
            <w:pPr>
              <w:pStyle w:val="Text1"/>
              <w:spacing w:before="0" w:after="0"/>
              <w:ind w:left="0"/>
              <w:rPr>
                <w:sz w:val="12"/>
                <w:szCs w:val="12"/>
              </w:rPr>
            </w:pPr>
            <w:r>
              <w:rPr>
                <w:noProof/>
                <w:sz w:val="12"/>
                <w:szCs w:val="12"/>
              </w:rPr>
              <w:t>16</w:t>
            </w:r>
          </w:p>
        </w:tc>
        <w:tc>
          <w:tcPr>
            <w:tcW w:w="0" w:type="auto"/>
            <w:shd w:val="clear" w:color="auto" w:fill="auto"/>
          </w:tcPr>
          <w:p w14:paraId="76413658" w14:textId="77777777" w:rsidR="008C5CFA" w:rsidRPr="009C3005" w:rsidRDefault="00E82A60" w:rsidP="00300A01">
            <w:pPr>
              <w:pStyle w:val="Text1"/>
              <w:spacing w:before="0" w:after="0"/>
              <w:ind w:left="0"/>
              <w:rPr>
                <w:sz w:val="12"/>
                <w:szCs w:val="12"/>
              </w:rPr>
            </w:pPr>
            <w:r>
              <w:rPr>
                <w:noProof/>
                <w:sz w:val="12"/>
                <w:szCs w:val="12"/>
              </w:rPr>
              <w:t>PL33</w:t>
            </w:r>
          </w:p>
        </w:tc>
        <w:tc>
          <w:tcPr>
            <w:tcW w:w="0" w:type="auto"/>
            <w:shd w:val="clear" w:color="auto" w:fill="auto"/>
          </w:tcPr>
          <w:p w14:paraId="3ECECBD9" w14:textId="77777777" w:rsidR="008C5CFA" w:rsidRPr="009C3005" w:rsidRDefault="00E82A60" w:rsidP="00300A01">
            <w:pPr>
              <w:pStyle w:val="Text1"/>
              <w:spacing w:before="0" w:after="0"/>
              <w:ind w:left="0"/>
              <w:jc w:val="right"/>
              <w:rPr>
                <w:sz w:val="12"/>
                <w:szCs w:val="12"/>
              </w:rPr>
            </w:pPr>
            <w:r w:rsidRPr="009C3005">
              <w:rPr>
                <w:noProof/>
                <w:sz w:val="12"/>
                <w:szCs w:val="12"/>
              </w:rPr>
              <w:t>57 708 332,47</w:t>
            </w:r>
          </w:p>
        </w:tc>
        <w:tc>
          <w:tcPr>
            <w:tcW w:w="0" w:type="auto"/>
            <w:shd w:val="clear" w:color="auto" w:fill="auto"/>
          </w:tcPr>
          <w:p w14:paraId="1E6F23AB" w14:textId="77777777" w:rsidR="008C5CFA" w:rsidRPr="009C3005" w:rsidRDefault="00E82A60" w:rsidP="00300A01">
            <w:pPr>
              <w:pStyle w:val="Text1"/>
              <w:spacing w:before="0" w:after="0"/>
              <w:ind w:left="0"/>
              <w:jc w:val="right"/>
              <w:rPr>
                <w:sz w:val="12"/>
                <w:szCs w:val="12"/>
              </w:rPr>
            </w:pPr>
            <w:r w:rsidRPr="009C3005">
              <w:rPr>
                <w:noProof/>
                <w:sz w:val="12"/>
                <w:szCs w:val="12"/>
              </w:rPr>
              <w:t>49 052 082,60</w:t>
            </w:r>
          </w:p>
        </w:tc>
        <w:tc>
          <w:tcPr>
            <w:tcW w:w="0" w:type="auto"/>
            <w:shd w:val="clear" w:color="auto" w:fill="auto"/>
          </w:tcPr>
          <w:p w14:paraId="28B816D0" w14:textId="77777777" w:rsidR="008C5CFA" w:rsidRPr="009C3005" w:rsidRDefault="00E82A60" w:rsidP="00300A01">
            <w:pPr>
              <w:pStyle w:val="Text1"/>
              <w:spacing w:before="0" w:after="0"/>
              <w:ind w:left="0"/>
              <w:jc w:val="right"/>
              <w:rPr>
                <w:sz w:val="12"/>
                <w:szCs w:val="12"/>
              </w:rPr>
            </w:pPr>
            <w:r w:rsidRPr="009C3005">
              <w:rPr>
                <w:noProof/>
                <w:sz w:val="12"/>
                <w:szCs w:val="12"/>
              </w:rPr>
              <w:t>28 854 166,24</w:t>
            </w:r>
          </w:p>
        </w:tc>
        <w:tc>
          <w:tcPr>
            <w:tcW w:w="0" w:type="auto"/>
            <w:shd w:val="clear" w:color="auto" w:fill="auto"/>
          </w:tcPr>
          <w:p w14:paraId="394FEC2D" w14:textId="77777777" w:rsidR="008C5CFA" w:rsidRPr="009C3005" w:rsidRDefault="00E82A60" w:rsidP="00300A01">
            <w:pPr>
              <w:pStyle w:val="Text1"/>
              <w:spacing w:before="0" w:after="0"/>
              <w:ind w:left="0"/>
              <w:jc w:val="right"/>
              <w:rPr>
                <w:sz w:val="12"/>
                <w:szCs w:val="12"/>
              </w:rPr>
            </w:pPr>
            <w:r w:rsidRPr="009C3005">
              <w:rPr>
                <w:noProof/>
                <w:sz w:val="12"/>
                <w:szCs w:val="12"/>
              </w:rPr>
              <w:t>1</w:t>
            </w:r>
          </w:p>
        </w:tc>
      </w:tr>
      <w:tr w:rsidR="006B2EC1" w14:paraId="51A9E448" w14:textId="77777777" w:rsidTr="0047688D">
        <w:tc>
          <w:tcPr>
            <w:tcW w:w="0" w:type="auto"/>
            <w:shd w:val="clear" w:color="auto" w:fill="auto"/>
          </w:tcPr>
          <w:p w14:paraId="6BBF09A3" w14:textId="77777777" w:rsidR="008C5CFA" w:rsidRPr="009C3005" w:rsidRDefault="00E82A60" w:rsidP="00300A01">
            <w:pPr>
              <w:pStyle w:val="Text1"/>
              <w:spacing w:before="0" w:after="0"/>
              <w:ind w:left="0"/>
              <w:rPr>
                <w:sz w:val="12"/>
                <w:szCs w:val="12"/>
              </w:rPr>
            </w:pPr>
            <w:r>
              <w:rPr>
                <w:noProof/>
                <w:sz w:val="14"/>
                <w:szCs w:val="14"/>
                <w:lang w:val="fr-BE"/>
              </w:rPr>
              <w:t>2</w:t>
            </w:r>
          </w:p>
        </w:tc>
        <w:tc>
          <w:tcPr>
            <w:tcW w:w="0" w:type="auto"/>
            <w:shd w:val="clear" w:color="auto" w:fill="auto"/>
          </w:tcPr>
          <w:p w14:paraId="1AE1A5C2" w14:textId="77777777" w:rsidR="008C5CFA" w:rsidRPr="009C3005" w:rsidRDefault="00E82A60" w:rsidP="00300A01">
            <w:pPr>
              <w:pStyle w:val="Text1"/>
              <w:spacing w:before="0" w:after="0"/>
              <w:ind w:left="0"/>
              <w:rPr>
                <w:sz w:val="12"/>
                <w:szCs w:val="12"/>
              </w:rPr>
            </w:pPr>
            <w:r>
              <w:rPr>
                <w:noProof/>
                <w:sz w:val="12"/>
                <w:szCs w:val="12"/>
              </w:rPr>
              <w:t>EFRR</w:t>
            </w:r>
          </w:p>
        </w:tc>
        <w:tc>
          <w:tcPr>
            <w:tcW w:w="0" w:type="auto"/>
            <w:shd w:val="clear" w:color="auto" w:fill="auto"/>
          </w:tcPr>
          <w:p w14:paraId="5DA0BA8C" w14:textId="77777777" w:rsidR="008C5CFA" w:rsidRPr="009C3005" w:rsidRDefault="00E82A60" w:rsidP="00300A01">
            <w:pPr>
              <w:pStyle w:val="Text1"/>
              <w:spacing w:before="0" w:after="0"/>
              <w:ind w:left="0"/>
              <w:rPr>
                <w:sz w:val="12"/>
                <w:szCs w:val="12"/>
              </w:rPr>
            </w:pPr>
            <w:r>
              <w:rPr>
                <w:noProof/>
                <w:sz w:val="12"/>
                <w:szCs w:val="12"/>
              </w:rPr>
              <w:t>Słabiej rozwinięte</w:t>
            </w:r>
          </w:p>
        </w:tc>
        <w:tc>
          <w:tcPr>
            <w:tcW w:w="0" w:type="auto"/>
            <w:shd w:val="clear" w:color="auto" w:fill="auto"/>
          </w:tcPr>
          <w:p w14:paraId="7A217A1A" w14:textId="77777777" w:rsidR="008C5CFA" w:rsidRPr="009C3005" w:rsidRDefault="00E82A60" w:rsidP="00300A01">
            <w:pPr>
              <w:pStyle w:val="Text1"/>
              <w:spacing w:before="0" w:after="0"/>
              <w:ind w:left="0"/>
              <w:rPr>
                <w:sz w:val="12"/>
                <w:szCs w:val="12"/>
              </w:rPr>
            </w:pPr>
            <w:r>
              <w:rPr>
                <w:noProof/>
                <w:sz w:val="12"/>
                <w:szCs w:val="12"/>
              </w:rPr>
              <w:t>066</w:t>
            </w:r>
          </w:p>
        </w:tc>
        <w:tc>
          <w:tcPr>
            <w:tcW w:w="0" w:type="auto"/>
            <w:shd w:val="clear" w:color="auto" w:fill="auto"/>
          </w:tcPr>
          <w:p w14:paraId="71563133"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12AA782D"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30D1198F"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60CE5A2A" w14:textId="77777777" w:rsidR="008C5CFA" w:rsidRPr="009C3005" w:rsidRDefault="00E82A60" w:rsidP="00300A01">
            <w:pPr>
              <w:pStyle w:val="Text1"/>
              <w:spacing w:before="0" w:after="0"/>
              <w:ind w:left="0"/>
              <w:rPr>
                <w:sz w:val="12"/>
                <w:szCs w:val="12"/>
              </w:rPr>
            </w:pPr>
            <w:r>
              <w:rPr>
                <w:noProof/>
                <w:sz w:val="12"/>
                <w:szCs w:val="12"/>
              </w:rPr>
              <w:t>03</w:t>
            </w:r>
          </w:p>
        </w:tc>
        <w:tc>
          <w:tcPr>
            <w:tcW w:w="0" w:type="auto"/>
            <w:shd w:val="clear" w:color="auto" w:fill="auto"/>
          </w:tcPr>
          <w:p w14:paraId="6765E794" w14:textId="77777777" w:rsidR="008C5CFA" w:rsidRPr="009C3005" w:rsidRDefault="00E82A60" w:rsidP="00300A01">
            <w:pPr>
              <w:pStyle w:val="Text1"/>
              <w:spacing w:before="0" w:after="0"/>
              <w:ind w:left="0"/>
              <w:rPr>
                <w:sz w:val="12"/>
                <w:szCs w:val="12"/>
              </w:rPr>
            </w:pPr>
            <w:r>
              <w:rPr>
                <w:sz w:val="12"/>
                <w:szCs w:val="12"/>
              </w:rPr>
              <w:t xml:space="preserve"> </w:t>
            </w:r>
          </w:p>
        </w:tc>
        <w:tc>
          <w:tcPr>
            <w:tcW w:w="0" w:type="auto"/>
            <w:shd w:val="clear" w:color="auto" w:fill="auto"/>
          </w:tcPr>
          <w:p w14:paraId="4B720F4D" w14:textId="77777777" w:rsidR="008C5CFA" w:rsidRPr="009C3005" w:rsidRDefault="00E82A60" w:rsidP="00300A01">
            <w:pPr>
              <w:pStyle w:val="Text1"/>
              <w:spacing w:before="0" w:after="0"/>
              <w:ind w:left="0"/>
              <w:rPr>
                <w:sz w:val="12"/>
                <w:szCs w:val="12"/>
              </w:rPr>
            </w:pPr>
            <w:r>
              <w:rPr>
                <w:noProof/>
                <w:sz w:val="12"/>
                <w:szCs w:val="12"/>
              </w:rPr>
              <w:t>18</w:t>
            </w:r>
          </w:p>
        </w:tc>
        <w:tc>
          <w:tcPr>
            <w:tcW w:w="0" w:type="auto"/>
            <w:shd w:val="clear" w:color="auto" w:fill="auto"/>
          </w:tcPr>
          <w:p w14:paraId="71C1E472" w14:textId="77777777" w:rsidR="008C5CFA" w:rsidRPr="009C3005" w:rsidRDefault="00E82A60" w:rsidP="00300A01">
            <w:pPr>
              <w:pStyle w:val="Text1"/>
              <w:spacing w:before="0" w:after="0"/>
              <w:ind w:left="0"/>
              <w:rPr>
                <w:sz w:val="12"/>
                <w:szCs w:val="12"/>
              </w:rPr>
            </w:pPr>
            <w:r>
              <w:rPr>
                <w:noProof/>
                <w:sz w:val="12"/>
                <w:szCs w:val="12"/>
              </w:rPr>
              <w:t>PL33</w:t>
            </w:r>
          </w:p>
        </w:tc>
        <w:tc>
          <w:tcPr>
            <w:tcW w:w="0" w:type="auto"/>
            <w:shd w:val="clear" w:color="auto" w:fill="auto"/>
          </w:tcPr>
          <w:p w14:paraId="3665E3B3" w14:textId="77777777" w:rsidR="008C5CFA" w:rsidRPr="009C3005" w:rsidRDefault="00E82A60" w:rsidP="00300A01">
            <w:pPr>
              <w:pStyle w:val="Text1"/>
              <w:spacing w:before="0" w:after="0"/>
              <w:ind w:left="0"/>
              <w:jc w:val="right"/>
              <w:rPr>
                <w:sz w:val="12"/>
                <w:szCs w:val="12"/>
              </w:rPr>
            </w:pPr>
            <w:r w:rsidRPr="009C3005">
              <w:rPr>
                <w:noProof/>
                <w:sz w:val="12"/>
                <w:szCs w:val="12"/>
              </w:rPr>
              <w:t>14 793 547,93</w:t>
            </w:r>
          </w:p>
        </w:tc>
        <w:tc>
          <w:tcPr>
            <w:tcW w:w="0" w:type="auto"/>
            <w:shd w:val="clear" w:color="auto" w:fill="auto"/>
          </w:tcPr>
          <w:p w14:paraId="7DDD0E49" w14:textId="77777777" w:rsidR="008C5CFA" w:rsidRPr="009C3005" w:rsidRDefault="00E82A60" w:rsidP="00300A01">
            <w:pPr>
              <w:pStyle w:val="Text1"/>
              <w:spacing w:before="0" w:after="0"/>
              <w:ind w:left="0"/>
              <w:jc w:val="right"/>
              <w:rPr>
                <w:sz w:val="12"/>
                <w:szCs w:val="12"/>
              </w:rPr>
            </w:pPr>
            <w:r w:rsidRPr="009C3005">
              <w:rPr>
                <w:noProof/>
                <w:sz w:val="12"/>
                <w:szCs w:val="12"/>
              </w:rPr>
              <w:t>14 793 547,93</w:t>
            </w:r>
          </w:p>
        </w:tc>
        <w:tc>
          <w:tcPr>
            <w:tcW w:w="0" w:type="auto"/>
            <w:shd w:val="clear" w:color="auto" w:fill="auto"/>
          </w:tcPr>
          <w:p w14:paraId="2479F291" w14:textId="77777777" w:rsidR="008C5CFA" w:rsidRPr="009C3005" w:rsidRDefault="00E82A60" w:rsidP="00300A01">
            <w:pPr>
              <w:pStyle w:val="Text1"/>
              <w:spacing w:before="0" w:after="0"/>
              <w:ind w:left="0"/>
              <w:jc w:val="right"/>
              <w:rPr>
                <w:sz w:val="12"/>
                <w:szCs w:val="12"/>
              </w:rPr>
            </w:pPr>
            <w:r w:rsidRPr="009C3005">
              <w:rPr>
                <w:noProof/>
                <w:sz w:val="12"/>
                <w:szCs w:val="12"/>
              </w:rPr>
              <w:t>1 247 487,29</w:t>
            </w:r>
          </w:p>
        </w:tc>
        <w:tc>
          <w:tcPr>
            <w:tcW w:w="0" w:type="auto"/>
            <w:shd w:val="clear" w:color="auto" w:fill="auto"/>
          </w:tcPr>
          <w:p w14:paraId="755B7BD1" w14:textId="77777777" w:rsidR="008C5CFA" w:rsidRPr="009C3005" w:rsidRDefault="00E82A60" w:rsidP="00300A01">
            <w:pPr>
              <w:pStyle w:val="Text1"/>
              <w:spacing w:before="0" w:after="0"/>
              <w:ind w:left="0"/>
              <w:jc w:val="right"/>
              <w:rPr>
                <w:sz w:val="12"/>
                <w:szCs w:val="12"/>
              </w:rPr>
            </w:pPr>
            <w:r w:rsidRPr="009C3005">
              <w:rPr>
                <w:noProof/>
                <w:sz w:val="12"/>
                <w:szCs w:val="12"/>
              </w:rPr>
              <w:t>3</w:t>
            </w:r>
          </w:p>
        </w:tc>
      </w:tr>
      <w:tr w:rsidR="006B2EC1" w14:paraId="6595A655" w14:textId="77777777" w:rsidTr="0047688D">
        <w:tc>
          <w:tcPr>
            <w:tcW w:w="0" w:type="auto"/>
            <w:shd w:val="clear" w:color="auto" w:fill="auto"/>
          </w:tcPr>
          <w:p w14:paraId="7DA77299" w14:textId="77777777" w:rsidR="008C5CFA" w:rsidRPr="009C3005" w:rsidRDefault="00E82A60" w:rsidP="00300A01">
            <w:pPr>
              <w:pStyle w:val="Text1"/>
              <w:spacing w:before="0" w:after="0"/>
              <w:ind w:left="0"/>
              <w:rPr>
                <w:sz w:val="12"/>
                <w:szCs w:val="12"/>
              </w:rPr>
            </w:pPr>
            <w:r>
              <w:rPr>
                <w:noProof/>
                <w:sz w:val="14"/>
                <w:szCs w:val="14"/>
                <w:lang w:val="fr-BE"/>
              </w:rPr>
              <w:t>2</w:t>
            </w:r>
          </w:p>
        </w:tc>
        <w:tc>
          <w:tcPr>
            <w:tcW w:w="0" w:type="auto"/>
            <w:shd w:val="clear" w:color="auto" w:fill="auto"/>
          </w:tcPr>
          <w:p w14:paraId="1BE44C9F" w14:textId="77777777" w:rsidR="008C5CFA" w:rsidRPr="009C3005" w:rsidRDefault="00E82A60" w:rsidP="00300A01">
            <w:pPr>
              <w:pStyle w:val="Text1"/>
              <w:spacing w:before="0" w:after="0"/>
              <w:ind w:left="0"/>
              <w:rPr>
                <w:sz w:val="12"/>
                <w:szCs w:val="12"/>
              </w:rPr>
            </w:pPr>
            <w:r>
              <w:rPr>
                <w:noProof/>
                <w:sz w:val="12"/>
                <w:szCs w:val="12"/>
              </w:rPr>
              <w:t>EFRR</w:t>
            </w:r>
          </w:p>
        </w:tc>
        <w:tc>
          <w:tcPr>
            <w:tcW w:w="0" w:type="auto"/>
            <w:shd w:val="clear" w:color="auto" w:fill="auto"/>
          </w:tcPr>
          <w:p w14:paraId="205C3F1D" w14:textId="77777777" w:rsidR="008C5CFA" w:rsidRPr="009C3005" w:rsidRDefault="00E82A60" w:rsidP="00300A01">
            <w:pPr>
              <w:pStyle w:val="Text1"/>
              <w:spacing w:before="0" w:after="0"/>
              <w:ind w:left="0"/>
              <w:rPr>
                <w:sz w:val="12"/>
                <w:szCs w:val="12"/>
              </w:rPr>
            </w:pPr>
            <w:r>
              <w:rPr>
                <w:noProof/>
                <w:sz w:val="12"/>
                <w:szCs w:val="12"/>
              </w:rPr>
              <w:t>Słabiej rozwinięte</w:t>
            </w:r>
          </w:p>
        </w:tc>
        <w:tc>
          <w:tcPr>
            <w:tcW w:w="0" w:type="auto"/>
            <w:shd w:val="clear" w:color="auto" w:fill="auto"/>
          </w:tcPr>
          <w:p w14:paraId="0DEDFCBA" w14:textId="77777777" w:rsidR="008C5CFA" w:rsidRPr="009C3005" w:rsidRDefault="00E82A60" w:rsidP="00300A01">
            <w:pPr>
              <w:pStyle w:val="Text1"/>
              <w:spacing w:before="0" w:after="0"/>
              <w:ind w:left="0"/>
              <w:rPr>
                <w:sz w:val="12"/>
                <w:szCs w:val="12"/>
              </w:rPr>
            </w:pPr>
            <w:r>
              <w:rPr>
                <w:noProof/>
                <w:sz w:val="12"/>
                <w:szCs w:val="12"/>
              </w:rPr>
              <w:t>066</w:t>
            </w:r>
          </w:p>
        </w:tc>
        <w:tc>
          <w:tcPr>
            <w:tcW w:w="0" w:type="auto"/>
            <w:shd w:val="clear" w:color="auto" w:fill="auto"/>
          </w:tcPr>
          <w:p w14:paraId="7E052017"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25AD1F39" w14:textId="77777777" w:rsidR="008C5CFA" w:rsidRPr="009C3005" w:rsidRDefault="00E82A60" w:rsidP="00300A01">
            <w:pPr>
              <w:pStyle w:val="Text1"/>
              <w:spacing w:before="0" w:after="0"/>
              <w:ind w:left="0"/>
              <w:rPr>
                <w:sz w:val="12"/>
                <w:szCs w:val="12"/>
              </w:rPr>
            </w:pPr>
            <w:r>
              <w:rPr>
                <w:noProof/>
                <w:sz w:val="12"/>
                <w:szCs w:val="12"/>
              </w:rPr>
              <w:t>02</w:t>
            </w:r>
          </w:p>
        </w:tc>
        <w:tc>
          <w:tcPr>
            <w:tcW w:w="0" w:type="auto"/>
            <w:shd w:val="clear" w:color="auto" w:fill="auto"/>
          </w:tcPr>
          <w:p w14:paraId="7D9393C3"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219899AD" w14:textId="77777777" w:rsidR="008C5CFA" w:rsidRPr="009C3005" w:rsidRDefault="00E82A60" w:rsidP="00300A01">
            <w:pPr>
              <w:pStyle w:val="Text1"/>
              <w:spacing w:before="0" w:after="0"/>
              <w:ind w:left="0"/>
              <w:rPr>
                <w:sz w:val="12"/>
                <w:szCs w:val="12"/>
              </w:rPr>
            </w:pPr>
            <w:r>
              <w:rPr>
                <w:noProof/>
                <w:sz w:val="12"/>
                <w:szCs w:val="12"/>
              </w:rPr>
              <w:t>03</w:t>
            </w:r>
          </w:p>
        </w:tc>
        <w:tc>
          <w:tcPr>
            <w:tcW w:w="0" w:type="auto"/>
            <w:shd w:val="clear" w:color="auto" w:fill="auto"/>
          </w:tcPr>
          <w:p w14:paraId="764C42CF" w14:textId="77777777" w:rsidR="008C5CFA" w:rsidRPr="009C3005" w:rsidRDefault="00E82A60" w:rsidP="00300A01">
            <w:pPr>
              <w:pStyle w:val="Text1"/>
              <w:spacing w:before="0" w:after="0"/>
              <w:ind w:left="0"/>
              <w:rPr>
                <w:sz w:val="12"/>
                <w:szCs w:val="12"/>
              </w:rPr>
            </w:pPr>
            <w:r>
              <w:rPr>
                <w:sz w:val="12"/>
                <w:szCs w:val="12"/>
              </w:rPr>
              <w:t xml:space="preserve"> </w:t>
            </w:r>
          </w:p>
        </w:tc>
        <w:tc>
          <w:tcPr>
            <w:tcW w:w="0" w:type="auto"/>
            <w:shd w:val="clear" w:color="auto" w:fill="auto"/>
          </w:tcPr>
          <w:p w14:paraId="66ABEB8B" w14:textId="77777777" w:rsidR="008C5CFA" w:rsidRPr="009C3005" w:rsidRDefault="00E82A60" w:rsidP="00300A01">
            <w:pPr>
              <w:pStyle w:val="Text1"/>
              <w:spacing w:before="0" w:after="0"/>
              <w:ind w:left="0"/>
              <w:rPr>
                <w:sz w:val="12"/>
                <w:szCs w:val="12"/>
              </w:rPr>
            </w:pPr>
            <w:r>
              <w:rPr>
                <w:noProof/>
                <w:sz w:val="12"/>
                <w:szCs w:val="12"/>
              </w:rPr>
              <w:t>18</w:t>
            </w:r>
          </w:p>
        </w:tc>
        <w:tc>
          <w:tcPr>
            <w:tcW w:w="0" w:type="auto"/>
            <w:shd w:val="clear" w:color="auto" w:fill="auto"/>
          </w:tcPr>
          <w:p w14:paraId="6C782682" w14:textId="77777777" w:rsidR="008C5CFA" w:rsidRPr="009C3005" w:rsidRDefault="00E82A60" w:rsidP="00300A01">
            <w:pPr>
              <w:pStyle w:val="Text1"/>
              <w:spacing w:before="0" w:after="0"/>
              <w:ind w:left="0"/>
              <w:rPr>
                <w:sz w:val="12"/>
                <w:szCs w:val="12"/>
              </w:rPr>
            </w:pPr>
            <w:r>
              <w:rPr>
                <w:noProof/>
                <w:sz w:val="12"/>
                <w:szCs w:val="12"/>
              </w:rPr>
              <w:t>PL33</w:t>
            </w:r>
          </w:p>
        </w:tc>
        <w:tc>
          <w:tcPr>
            <w:tcW w:w="0" w:type="auto"/>
            <w:shd w:val="clear" w:color="auto" w:fill="auto"/>
          </w:tcPr>
          <w:p w14:paraId="586A4276" w14:textId="77777777" w:rsidR="008C5CFA" w:rsidRPr="009C3005" w:rsidRDefault="00E82A60" w:rsidP="00300A01">
            <w:pPr>
              <w:pStyle w:val="Text1"/>
              <w:spacing w:before="0" w:after="0"/>
              <w:ind w:left="0"/>
              <w:jc w:val="right"/>
              <w:rPr>
                <w:sz w:val="12"/>
                <w:szCs w:val="12"/>
              </w:rPr>
            </w:pPr>
            <w:r w:rsidRPr="009C3005">
              <w:rPr>
                <w:noProof/>
                <w:sz w:val="12"/>
                <w:szCs w:val="12"/>
              </w:rPr>
              <w:t>175 995,92</w:t>
            </w:r>
          </w:p>
        </w:tc>
        <w:tc>
          <w:tcPr>
            <w:tcW w:w="0" w:type="auto"/>
            <w:shd w:val="clear" w:color="auto" w:fill="auto"/>
          </w:tcPr>
          <w:p w14:paraId="7F847ECE" w14:textId="77777777" w:rsidR="008C5CFA" w:rsidRPr="009C3005" w:rsidRDefault="00E82A60" w:rsidP="00300A01">
            <w:pPr>
              <w:pStyle w:val="Text1"/>
              <w:spacing w:before="0" w:after="0"/>
              <w:ind w:left="0"/>
              <w:jc w:val="right"/>
              <w:rPr>
                <w:sz w:val="12"/>
                <w:szCs w:val="12"/>
              </w:rPr>
            </w:pPr>
            <w:r w:rsidRPr="009C3005">
              <w:rPr>
                <w:noProof/>
                <w:sz w:val="12"/>
                <w:szCs w:val="12"/>
              </w:rPr>
              <w:t>175 995,92</w:t>
            </w:r>
          </w:p>
        </w:tc>
        <w:tc>
          <w:tcPr>
            <w:tcW w:w="0" w:type="auto"/>
            <w:shd w:val="clear" w:color="auto" w:fill="auto"/>
          </w:tcPr>
          <w:p w14:paraId="1901B227" w14:textId="77777777" w:rsidR="008C5CFA" w:rsidRPr="009C3005" w:rsidRDefault="00E82A60" w:rsidP="00300A01">
            <w:pPr>
              <w:pStyle w:val="Text1"/>
              <w:spacing w:before="0" w:after="0"/>
              <w:ind w:left="0"/>
              <w:jc w:val="right"/>
              <w:rPr>
                <w:sz w:val="12"/>
                <w:szCs w:val="12"/>
              </w:rPr>
            </w:pPr>
            <w:r w:rsidRPr="009C3005">
              <w:rPr>
                <w:noProof/>
                <w:sz w:val="12"/>
                <w:szCs w:val="12"/>
              </w:rPr>
              <w:t>45 472,13</w:t>
            </w:r>
          </w:p>
        </w:tc>
        <w:tc>
          <w:tcPr>
            <w:tcW w:w="0" w:type="auto"/>
            <w:shd w:val="clear" w:color="auto" w:fill="auto"/>
          </w:tcPr>
          <w:p w14:paraId="711C4BD2" w14:textId="77777777" w:rsidR="008C5CFA" w:rsidRPr="009C3005" w:rsidRDefault="00E82A60" w:rsidP="00300A01">
            <w:pPr>
              <w:pStyle w:val="Text1"/>
              <w:spacing w:before="0" w:after="0"/>
              <w:ind w:left="0"/>
              <w:jc w:val="right"/>
              <w:rPr>
                <w:sz w:val="12"/>
                <w:szCs w:val="12"/>
              </w:rPr>
            </w:pPr>
            <w:r w:rsidRPr="009C3005">
              <w:rPr>
                <w:noProof/>
                <w:sz w:val="12"/>
                <w:szCs w:val="12"/>
              </w:rPr>
              <w:t>1</w:t>
            </w:r>
          </w:p>
        </w:tc>
      </w:tr>
      <w:tr w:rsidR="006B2EC1" w14:paraId="2092B814" w14:textId="77777777" w:rsidTr="0047688D">
        <w:tc>
          <w:tcPr>
            <w:tcW w:w="0" w:type="auto"/>
            <w:shd w:val="clear" w:color="auto" w:fill="auto"/>
          </w:tcPr>
          <w:p w14:paraId="391AEC36" w14:textId="77777777" w:rsidR="008C5CFA" w:rsidRPr="009C3005" w:rsidRDefault="00E82A60" w:rsidP="00300A01">
            <w:pPr>
              <w:pStyle w:val="Text1"/>
              <w:spacing w:before="0" w:after="0"/>
              <w:ind w:left="0"/>
              <w:rPr>
                <w:sz w:val="12"/>
                <w:szCs w:val="12"/>
              </w:rPr>
            </w:pPr>
            <w:r>
              <w:rPr>
                <w:noProof/>
                <w:sz w:val="14"/>
                <w:szCs w:val="14"/>
                <w:lang w:val="fr-BE"/>
              </w:rPr>
              <w:t>2</w:t>
            </w:r>
          </w:p>
        </w:tc>
        <w:tc>
          <w:tcPr>
            <w:tcW w:w="0" w:type="auto"/>
            <w:shd w:val="clear" w:color="auto" w:fill="auto"/>
          </w:tcPr>
          <w:p w14:paraId="58E4AB95" w14:textId="77777777" w:rsidR="008C5CFA" w:rsidRPr="009C3005" w:rsidRDefault="00E82A60" w:rsidP="00300A01">
            <w:pPr>
              <w:pStyle w:val="Text1"/>
              <w:spacing w:before="0" w:after="0"/>
              <w:ind w:left="0"/>
              <w:rPr>
                <w:sz w:val="12"/>
                <w:szCs w:val="12"/>
              </w:rPr>
            </w:pPr>
            <w:r>
              <w:rPr>
                <w:noProof/>
                <w:sz w:val="12"/>
                <w:szCs w:val="12"/>
              </w:rPr>
              <w:t>EFRR</w:t>
            </w:r>
          </w:p>
        </w:tc>
        <w:tc>
          <w:tcPr>
            <w:tcW w:w="0" w:type="auto"/>
            <w:shd w:val="clear" w:color="auto" w:fill="auto"/>
          </w:tcPr>
          <w:p w14:paraId="57975668" w14:textId="77777777" w:rsidR="008C5CFA" w:rsidRPr="009C3005" w:rsidRDefault="00E82A60" w:rsidP="00300A01">
            <w:pPr>
              <w:pStyle w:val="Text1"/>
              <w:spacing w:before="0" w:after="0"/>
              <w:ind w:left="0"/>
              <w:rPr>
                <w:sz w:val="12"/>
                <w:szCs w:val="12"/>
              </w:rPr>
            </w:pPr>
            <w:r>
              <w:rPr>
                <w:noProof/>
                <w:sz w:val="12"/>
                <w:szCs w:val="12"/>
              </w:rPr>
              <w:t>Słabiej rozwinięte</w:t>
            </w:r>
          </w:p>
        </w:tc>
        <w:tc>
          <w:tcPr>
            <w:tcW w:w="0" w:type="auto"/>
            <w:shd w:val="clear" w:color="auto" w:fill="auto"/>
          </w:tcPr>
          <w:p w14:paraId="63DAC778" w14:textId="77777777" w:rsidR="008C5CFA" w:rsidRPr="009C3005" w:rsidRDefault="00E82A60" w:rsidP="00300A01">
            <w:pPr>
              <w:pStyle w:val="Text1"/>
              <w:spacing w:before="0" w:after="0"/>
              <w:ind w:left="0"/>
              <w:rPr>
                <w:sz w:val="12"/>
                <w:szCs w:val="12"/>
              </w:rPr>
            </w:pPr>
            <w:r>
              <w:rPr>
                <w:noProof/>
                <w:sz w:val="12"/>
                <w:szCs w:val="12"/>
              </w:rPr>
              <w:t>066</w:t>
            </w:r>
          </w:p>
        </w:tc>
        <w:tc>
          <w:tcPr>
            <w:tcW w:w="0" w:type="auto"/>
            <w:shd w:val="clear" w:color="auto" w:fill="auto"/>
          </w:tcPr>
          <w:p w14:paraId="5B2331D1"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703AF5FD" w14:textId="77777777" w:rsidR="008C5CFA" w:rsidRPr="009C3005" w:rsidRDefault="00E82A60" w:rsidP="00300A01">
            <w:pPr>
              <w:pStyle w:val="Text1"/>
              <w:spacing w:before="0" w:after="0"/>
              <w:ind w:left="0"/>
              <w:rPr>
                <w:sz w:val="12"/>
                <w:szCs w:val="12"/>
              </w:rPr>
            </w:pPr>
            <w:r>
              <w:rPr>
                <w:noProof/>
                <w:sz w:val="12"/>
                <w:szCs w:val="12"/>
              </w:rPr>
              <w:t>02</w:t>
            </w:r>
          </w:p>
        </w:tc>
        <w:tc>
          <w:tcPr>
            <w:tcW w:w="0" w:type="auto"/>
            <w:shd w:val="clear" w:color="auto" w:fill="auto"/>
          </w:tcPr>
          <w:p w14:paraId="20FBEDAA"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7BD944E2" w14:textId="77777777" w:rsidR="008C5CFA" w:rsidRPr="009C3005" w:rsidRDefault="00E82A60" w:rsidP="00300A01">
            <w:pPr>
              <w:pStyle w:val="Text1"/>
              <w:spacing w:before="0" w:after="0"/>
              <w:ind w:left="0"/>
              <w:rPr>
                <w:sz w:val="12"/>
                <w:szCs w:val="12"/>
              </w:rPr>
            </w:pPr>
            <w:r>
              <w:rPr>
                <w:noProof/>
                <w:sz w:val="12"/>
                <w:szCs w:val="12"/>
              </w:rPr>
              <w:t>03</w:t>
            </w:r>
          </w:p>
        </w:tc>
        <w:tc>
          <w:tcPr>
            <w:tcW w:w="0" w:type="auto"/>
            <w:shd w:val="clear" w:color="auto" w:fill="auto"/>
          </w:tcPr>
          <w:p w14:paraId="59347FCC" w14:textId="77777777" w:rsidR="008C5CFA" w:rsidRPr="009C3005" w:rsidRDefault="00E82A60" w:rsidP="00300A01">
            <w:pPr>
              <w:pStyle w:val="Text1"/>
              <w:spacing w:before="0" w:after="0"/>
              <w:ind w:left="0"/>
              <w:rPr>
                <w:sz w:val="12"/>
                <w:szCs w:val="12"/>
              </w:rPr>
            </w:pPr>
            <w:r>
              <w:rPr>
                <w:sz w:val="12"/>
                <w:szCs w:val="12"/>
              </w:rPr>
              <w:t xml:space="preserve"> </w:t>
            </w:r>
          </w:p>
        </w:tc>
        <w:tc>
          <w:tcPr>
            <w:tcW w:w="0" w:type="auto"/>
            <w:shd w:val="clear" w:color="auto" w:fill="auto"/>
          </w:tcPr>
          <w:p w14:paraId="4E178BF3" w14:textId="77777777" w:rsidR="008C5CFA" w:rsidRPr="009C3005" w:rsidRDefault="00E82A60" w:rsidP="00300A01">
            <w:pPr>
              <w:pStyle w:val="Text1"/>
              <w:spacing w:before="0" w:after="0"/>
              <w:ind w:left="0"/>
              <w:rPr>
                <w:sz w:val="12"/>
                <w:szCs w:val="12"/>
              </w:rPr>
            </w:pPr>
            <w:r>
              <w:rPr>
                <w:noProof/>
                <w:sz w:val="12"/>
                <w:szCs w:val="12"/>
              </w:rPr>
              <w:t>24</w:t>
            </w:r>
          </w:p>
        </w:tc>
        <w:tc>
          <w:tcPr>
            <w:tcW w:w="0" w:type="auto"/>
            <w:shd w:val="clear" w:color="auto" w:fill="auto"/>
          </w:tcPr>
          <w:p w14:paraId="7860D71E" w14:textId="77777777" w:rsidR="008C5CFA" w:rsidRPr="009C3005" w:rsidRDefault="00E82A60" w:rsidP="00300A01">
            <w:pPr>
              <w:pStyle w:val="Text1"/>
              <w:spacing w:before="0" w:after="0"/>
              <w:ind w:left="0"/>
              <w:rPr>
                <w:sz w:val="12"/>
                <w:szCs w:val="12"/>
              </w:rPr>
            </w:pPr>
            <w:r>
              <w:rPr>
                <w:noProof/>
                <w:sz w:val="12"/>
                <w:szCs w:val="12"/>
              </w:rPr>
              <w:t>PL33</w:t>
            </w:r>
          </w:p>
        </w:tc>
        <w:tc>
          <w:tcPr>
            <w:tcW w:w="0" w:type="auto"/>
            <w:shd w:val="clear" w:color="auto" w:fill="auto"/>
          </w:tcPr>
          <w:p w14:paraId="3629A50B" w14:textId="77777777" w:rsidR="008C5CFA" w:rsidRPr="009C3005" w:rsidRDefault="00E82A60" w:rsidP="00300A01">
            <w:pPr>
              <w:pStyle w:val="Text1"/>
              <w:spacing w:before="0" w:after="0"/>
              <w:ind w:left="0"/>
              <w:jc w:val="right"/>
              <w:rPr>
                <w:sz w:val="12"/>
                <w:szCs w:val="12"/>
              </w:rPr>
            </w:pPr>
            <w:r w:rsidRPr="009C3005">
              <w:rPr>
                <w:noProof/>
                <w:sz w:val="12"/>
                <w:szCs w:val="12"/>
              </w:rPr>
              <w:t>16 309,00</w:t>
            </w:r>
          </w:p>
        </w:tc>
        <w:tc>
          <w:tcPr>
            <w:tcW w:w="0" w:type="auto"/>
            <w:shd w:val="clear" w:color="auto" w:fill="auto"/>
          </w:tcPr>
          <w:p w14:paraId="76AD564F" w14:textId="77777777" w:rsidR="008C5CFA" w:rsidRPr="009C3005" w:rsidRDefault="00E82A60" w:rsidP="00300A01">
            <w:pPr>
              <w:pStyle w:val="Text1"/>
              <w:spacing w:before="0" w:after="0"/>
              <w:ind w:left="0"/>
              <w:jc w:val="right"/>
              <w:rPr>
                <w:sz w:val="12"/>
                <w:szCs w:val="12"/>
              </w:rPr>
            </w:pPr>
            <w:r w:rsidRPr="009C3005">
              <w:rPr>
                <w:noProof/>
                <w:sz w:val="12"/>
                <w:szCs w:val="12"/>
              </w:rPr>
              <w:t>13 862,65</w:t>
            </w:r>
          </w:p>
        </w:tc>
        <w:tc>
          <w:tcPr>
            <w:tcW w:w="0" w:type="auto"/>
            <w:shd w:val="clear" w:color="auto" w:fill="auto"/>
          </w:tcPr>
          <w:p w14:paraId="72D50131" w14:textId="77777777" w:rsidR="008C5CFA" w:rsidRPr="009C3005" w:rsidRDefault="00E82A60" w:rsidP="00300A01">
            <w:pPr>
              <w:pStyle w:val="Text1"/>
              <w:spacing w:before="0" w:after="0"/>
              <w:ind w:left="0"/>
              <w:jc w:val="right"/>
              <w:rPr>
                <w:sz w:val="12"/>
                <w:szCs w:val="12"/>
              </w:rPr>
            </w:pPr>
            <w:r w:rsidRPr="009C3005">
              <w:rPr>
                <w:noProof/>
                <w:sz w:val="12"/>
                <w:szCs w:val="12"/>
              </w:rPr>
              <w:t>16 105,60</w:t>
            </w:r>
          </w:p>
        </w:tc>
        <w:tc>
          <w:tcPr>
            <w:tcW w:w="0" w:type="auto"/>
            <w:shd w:val="clear" w:color="auto" w:fill="auto"/>
          </w:tcPr>
          <w:p w14:paraId="709BB59A" w14:textId="77777777" w:rsidR="008C5CFA" w:rsidRPr="009C3005" w:rsidRDefault="00E82A60" w:rsidP="00300A01">
            <w:pPr>
              <w:pStyle w:val="Text1"/>
              <w:spacing w:before="0" w:after="0"/>
              <w:ind w:left="0"/>
              <w:jc w:val="right"/>
              <w:rPr>
                <w:sz w:val="12"/>
                <w:szCs w:val="12"/>
              </w:rPr>
            </w:pPr>
            <w:r w:rsidRPr="009C3005">
              <w:rPr>
                <w:noProof/>
                <w:sz w:val="12"/>
                <w:szCs w:val="12"/>
              </w:rPr>
              <w:t>1</w:t>
            </w:r>
          </w:p>
        </w:tc>
      </w:tr>
      <w:tr w:rsidR="006B2EC1" w14:paraId="21F580D5" w14:textId="77777777" w:rsidTr="0047688D">
        <w:tc>
          <w:tcPr>
            <w:tcW w:w="0" w:type="auto"/>
            <w:shd w:val="clear" w:color="auto" w:fill="auto"/>
          </w:tcPr>
          <w:p w14:paraId="37AC96BB" w14:textId="77777777" w:rsidR="008C5CFA" w:rsidRPr="009C3005" w:rsidRDefault="00E82A60" w:rsidP="00300A01">
            <w:pPr>
              <w:pStyle w:val="Text1"/>
              <w:spacing w:before="0" w:after="0"/>
              <w:ind w:left="0"/>
              <w:rPr>
                <w:sz w:val="12"/>
                <w:szCs w:val="12"/>
              </w:rPr>
            </w:pPr>
            <w:r>
              <w:rPr>
                <w:noProof/>
                <w:sz w:val="14"/>
                <w:szCs w:val="14"/>
                <w:lang w:val="fr-BE"/>
              </w:rPr>
              <w:t>2</w:t>
            </w:r>
          </w:p>
        </w:tc>
        <w:tc>
          <w:tcPr>
            <w:tcW w:w="0" w:type="auto"/>
            <w:shd w:val="clear" w:color="auto" w:fill="auto"/>
          </w:tcPr>
          <w:p w14:paraId="731F5800" w14:textId="77777777" w:rsidR="008C5CFA" w:rsidRPr="009C3005" w:rsidRDefault="00E82A60" w:rsidP="00300A01">
            <w:pPr>
              <w:pStyle w:val="Text1"/>
              <w:spacing w:before="0" w:after="0"/>
              <w:ind w:left="0"/>
              <w:rPr>
                <w:sz w:val="12"/>
                <w:szCs w:val="12"/>
              </w:rPr>
            </w:pPr>
            <w:r>
              <w:rPr>
                <w:noProof/>
                <w:sz w:val="12"/>
                <w:szCs w:val="12"/>
              </w:rPr>
              <w:t>EFRR</w:t>
            </w:r>
          </w:p>
        </w:tc>
        <w:tc>
          <w:tcPr>
            <w:tcW w:w="0" w:type="auto"/>
            <w:shd w:val="clear" w:color="auto" w:fill="auto"/>
          </w:tcPr>
          <w:p w14:paraId="147FF090" w14:textId="77777777" w:rsidR="008C5CFA" w:rsidRPr="009C3005" w:rsidRDefault="00E82A60" w:rsidP="00300A01">
            <w:pPr>
              <w:pStyle w:val="Text1"/>
              <w:spacing w:before="0" w:after="0"/>
              <w:ind w:left="0"/>
              <w:rPr>
                <w:sz w:val="12"/>
                <w:szCs w:val="12"/>
              </w:rPr>
            </w:pPr>
            <w:r>
              <w:rPr>
                <w:noProof/>
                <w:sz w:val="12"/>
                <w:szCs w:val="12"/>
              </w:rPr>
              <w:t>Słabiej rozwinięte</w:t>
            </w:r>
          </w:p>
        </w:tc>
        <w:tc>
          <w:tcPr>
            <w:tcW w:w="0" w:type="auto"/>
            <w:shd w:val="clear" w:color="auto" w:fill="auto"/>
          </w:tcPr>
          <w:p w14:paraId="0B3C81D5" w14:textId="77777777" w:rsidR="008C5CFA" w:rsidRPr="009C3005" w:rsidRDefault="00E82A60" w:rsidP="00300A01">
            <w:pPr>
              <w:pStyle w:val="Text1"/>
              <w:spacing w:before="0" w:after="0"/>
              <w:ind w:left="0"/>
              <w:rPr>
                <w:sz w:val="12"/>
                <w:szCs w:val="12"/>
              </w:rPr>
            </w:pPr>
            <w:r>
              <w:rPr>
                <w:noProof/>
                <w:sz w:val="12"/>
                <w:szCs w:val="12"/>
              </w:rPr>
              <w:t>066</w:t>
            </w:r>
          </w:p>
        </w:tc>
        <w:tc>
          <w:tcPr>
            <w:tcW w:w="0" w:type="auto"/>
            <w:shd w:val="clear" w:color="auto" w:fill="auto"/>
          </w:tcPr>
          <w:p w14:paraId="2B4D80BA"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575029D3" w14:textId="77777777" w:rsidR="008C5CFA" w:rsidRPr="009C3005" w:rsidRDefault="00E82A60" w:rsidP="00300A01">
            <w:pPr>
              <w:pStyle w:val="Text1"/>
              <w:spacing w:before="0" w:after="0"/>
              <w:ind w:left="0"/>
              <w:rPr>
                <w:sz w:val="12"/>
                <w:szCs w:val="12"/>
              </w:rPr>
            </w:pPr>
            <w:r>
              <w:rPr>
                <w:noProof/>
                <w:sz w:val="12"/>
                <w:szCs w:val="12"/>
              </w:rPr>
              <w:t>03</w:t>
            </w:r>
          </w:p>
        </w:tc>
        <w:tc>
          <w:tcPr>
            <w:tcW w:w="0" w:type="auto"/>
            <w:shd w:val="clear" w:color="auto" w:fill="auto"/>
          </w:tcPr>
          <w:p w14:paraId="39615DB8"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67551C0E" w14:textId="77777777" w:rsidR="008C5CFA" w:rsidRPr="009C3005" w:rsidRDefault="00E82A60" w:rsidP="00300A01">
            <w:pPr>
              <w:pStyle w:val="Text1"/>
              <w:spacing w:before="0" w:after="0"/>
              <w:ind w:left="0"/>
              <w:rPr>
                <w:sz w:val="12"/>
                <w:szCs w:val="12"/>
              </w:rPr>
            </w:pPr>
            <w:r>
              <w:rPr>
                <w:noProof/>
                <w:sz w:val="12"/>
                <w:szCs w:val="12"/>
              </w:rPr>
              <w:t>03</w:t>
            </w:r>
          </w:p>
        </w:tc>
        <w:tc>
          <w:tcPr>
            <w:tcW w:w="0" w:type="auto"/>
            <w:shd w:val="clear" w:color="auto" w:fill="auto"/>
          </w:tcPr>
          <w:p w14:paraId="4722387A" w14:textId="77777777" w:rsidR="008C5CFA" w:rsidRPr="009C3005" w:rsidRDefault="00E82A60" w:rsidP="00300A01">
            <w:pPr>
              <w:pStyle w:val="Text1"/>
              <w:spacing w:before="0" w:after="0"/>
              <w:ind w:left="0"/>
              <w:rPr>
                <w:sz w:val="12"/>
                <w:szCs w:val="12"/>
              </w:rPr>
            </w:pPr>
            <w:r>
              <w:rPr>
                <w:sz w:val="12"/>
                <w:szCs w:val="12"/>
              </w:rPr>
              <w:t xml:space="preserve"> </w:t>
            </w:r>
          </w:p>
        </w:tc>
        <w:tc>
          <w:tcPr>
            <w:tcW w:w="0" w:type="auto"/>
            <w:shd w:val="clear" w:color="auto" w:fill="auto"/>
          </w:tcPr>
          <w:p w14:paraId="06DD6FAC" w14:textId="77777777" w:rsidR="008C5CFA" w:rsidRPr="009C3005" w:rsidRDefault="00E82A60" w:rsidP="00300A01">
            <w:pPr>
              <w:pStyle w:val="Text1"/>
              <w:spacing w:before="0" w:after="0"/>
              <w:ind w:left="0"/>
              <w:rPr>
                <w:sz w:val="12"/>
                <w:szCs w:val="12"/>
              </w:rPr>
            </w:pPr>
            <w:r>
              <w:rPr>
                <w:noProof/>
                <w:sz w:val="12"/>
                <w:szCs w:val="12"/>
              </w:rPr>
              <w:t>24</w:t>
            </w:r>
          </w:p>
        </w:tc>
        <w:tc>
          <w:tcPr>
            <w:tcW w:w="0" w:type="auto"/>
            <w:shd w:val="clear" w:color="auto" w:fill="auto"/>
          </w:tcPr>
          <w:p w14:paraId="7811DAAB" w14:textId="77777777" w:rsidR="008C5CFA" w:rsidRPr="009C3005" w:rsidRDefault="00E82A60" w:rsidP="00300A01">
            <w:pPr>
              <w:pStyle w:val="Text1"/>
              <w:spacing w:before="0" w:after="0"/>
              <w:ind w:left="0"/>
              <w:rPr>
                <w:sz w:val="12"/>
                <w:szCs w:val="12"/>
              </w:rPr>
            </w:pPr>
            <w:r>
              <w:rPr>
                <w:noProof/>
                <w:sz w:val="12"/>
                <w:szCs w:val="12"/>
              </w:rPr>
              <w:t>PL33</w:t>
            </w:r>
          </w:p>
        </w:tc>
        <w:tc>
          <w:tcPr>
            <w:tcW w:w="0" w:type="auto"/>
            <w:shd w:val="clear" w:color="auto" w:fill="auto"/>
          </w:tcPr>
          <w:p w14:paraId="5FFED35F" w14:textId="77777777" w:rsidR="008C5CFA" w:rsidRPr="009C3005" w:rsidRDefault="00E82A60" w:rsidP="00300A01">
            <w:pPr>
              <w:pStyle w:val="Text1"/>
              <w:spacing w:before="0" w:after="0"/>
              <w:ind w:left="0"/>
              <w:jc w:val="right"/>
              <w:rPr>
                <w:sz w:val="12"/>
                <w:szCs w:val="12"/>
              </w:rPr>
            </w:pPr>
            <w:r w:rsidRPr="009C3005">
              <w:rPr>
                <w:noProof/>
                <w:sz w:val="12"/>
                <w:szCs w:val="12"/>
              </w:rPr>
              <w:t>79 190,58</w:t>
            </w:r>
          </w:p>
        </w:tc>
        <w:tc>
          <w:tcPr>
            <w:tcW w:w="0" w:type="auto"/>
            <w:shd w:val="clear" w:color="auto" w:fill="auto"/>
          </w:tcPr>
          <w:p w14:paraId="4DFFCA17" w14:textId="77777777" w:rsidR="008C5CFA" w:rsidRPr="009C3005" w:rsidRDefault="00E82A60" w:rsidP="00300A01">
            <w:pPr>
              <w:pStyle w:val="Text1"/>
              <w:spacing w:before="0" w:after="0"/>
              <w:ind w:left="0"/>
              <w:jc w:val="right"/>
              <w:rPr>
                <w:sz w:val="12"/>
                <w:szCs w:val="12"/>
              </w:rPr>
            </w:pPr>
            <w:r w:rsidRPr="009C3005">
              <w:rPr>
                <w:noProof/>
                <w:sz w:val="12"/>
                <w:szCs w:val="12"/>
              </w:rPr>
              <w:t>67 312,00</w:t>
            </w:r>
          </w:p>
        </w:tc>
        <w:tc>
          <w:tcPr>
            <w:tcW w:w="0" w:type="auto"/>
            <w:shd w:val="clear" w:color="auto" w:fill="auto"/>
          </w:tcPr>
          <w:p w14:paraId="68F8A161" w14:textId="77777777" w:rsidR="008C5CFA" w:rsidRPr="009C3005" w:rsidRDefault="00E82A60" w:rsidP="00300A01">
            <w:pPr>
              <w:pStyle w:val="Text1"/>
              <w:spacing w:before="0" w:after="0"/>
              <w:ind w:left="0"/>
              <w:jc w:val="right"/>
              <w:rPr>
                <w:sz w:val="12"/>
                <w:szCs w:val="12"/>
              </w:rPr>
            </w:pPr>
            <w:r w:rsidRPr="009C3005">
              <w:rPr>
                <w:noProof/>
                <w:sz w:val="12"/>
                <w:szCs w:val="12"/>
              </w:rPr>
              <w:t>79 190,58</w:t>
            </w:r>
          </w:p>
        </w:tc>
        <w:tc>
          <w:tcPr>
            <w:tcW w:w="0" w:type="auto"/>
            <w:shd w:val="clear" w:color="auto" w:fill="auto"/>
          </w:tcPr>
          <w:p w14:paraId="2553FBF4" w14:textId="77777777" w:rsidR="008C5CFA" w:rsidRPr="009C3005" w:rsidRDefault="00E82A60" w:rsidP="00300A01">
            <w:pPr>
              <w:pStyle w:val="Text1"/>
              <w:spacing w:before="0" w:after="0"/>
              <w:ind w:left="0"/>
              <w:jc w:val="right"/>
              <w:rPr>
                <w:sz w:val="12"/>
                <w:szCs w:val="12"/>
              </w:rPr>
            </w:pPr>
            <w:r w:rsidRPr="009C3005">
              <w:rPr>
                <w:noProof/>
                <w:sz w:val="12"/>
                <w:szCs w:val="12"/>
              </w:rPr>
              <w:t>1</w:t>
            </w:r>
          </w:p>
        </w:tc>
      </w:tr>
      <w:tr w:rsidR="006B2EC1" w14:paraId="4C4D9214" w14:textId="77777777" w:rsidTr="0047688D">
        <w:tc>
          <w:tcPr>
            <w:tcW w:w="0" w:type="auto"/>
            <w:shd w:val="clear" w:color="auto" w:fill="auto"/>
          </w:tcPr>
          <w:p w14:paraId="625C1FE7" w14:textId="77777777" w:rsidR="008C5CFA" w:rsidRPr="009C3005" w:rsidRDefault="00E82A60" w:rsidP="00300A01">
            <w:pPr>
              <w:pStyle w:val="Text1"/>
              <w:spacing w:before="0" w:after="0"/>
              <w:ind w:left="0"/>
              <w:rPr>
                <w:sz w:val="12"/>
                <w:szCs w:val="12"/>
              </w:rPr>
            </w:pPr>
            <w:r>
              <w:rPr>
                <w:noProof/>
                <w:sz w:val="14"/>
                <w:szCs w:val="14"/>
                <w:lang w:val="fr-BE"/>
              </w:rPr>
              <w:t>2</w:t>
            </w:r>
          </w:p>
        </w:tc>
        <w:tc>
          <w:tcPr>
            <w:tcW w:w="0" w:type="auto"/>
            <w:shd w:val="clear" w:color="auto" w:fill="auto"/>
          </w:tcPr>
          <w:p w14:paraId="0340C76D" w14:textId="77777777" w:rsidR="008C5CFA" w:rsidRPr="009C3005" w:rsidRDefault="00E82A60" w:rsidP="00300A01">
            <w:pPr>
              <w:pStyle w:val="Text1"/>
              <w:spacing w:before="0" w:after="0"/>
              <w:ind w:left="0"/>
              <w:rPr>
                <w:sz w:val="12"/>
                <w:szCs w:val="12"/>
              </w:rPr>
            </w:pPr>
            <w:r>
              <w:rPr>
                <w:noProof/>
                <w:sz w:val="12"/>
                <w:szCs w:val="12"/>
              </w:rPr>
              <w:t>EFRR</w:t>
            </w:r>
          </w:p>
        </w:tc>
        <w:tc>
          <w:tcPr>
            <w:tcW w:w="0" w:type="auto"/>
            <w:shd w:val="clear" w:color="auto" w:fill="auto"/>
          </w:tcPr>
          <w:p w14:paraId="672F404A" w14:textId="77777777" w:rsidR="008C5CFA" w:rsidRPr="009C3005" w:rsidRDefault="00E82A60" w:rsidP="00300A01">
            <w:pPr>
              <w:pStyle w:val="Text1"/>
              <w:spacing w:before="0" w:after="0"/>
              <w:ind w:left="0"/>
              <w:rPr>
                <w:sz w:val="12"/>
                <w:szCs w:val="12"/>
              </w:rPr>
            </w:pPr>
            <w:r>
              <w:rPr>
                <w:noProof/>
                <w:sz w:val="12"/>
                <w:szCs w:val="12"/>
              </w:rPr>
              <w:t>Słabiej rozwinięte</w:t>
            </w:r>
          </w:p>
        </w:tc>
        <w:tc>
          <w:tcPr>
            <w:tcW w:w="0" w:type="auto"/>
            <w:shd w:val="clear" w:color="auto" w:fill="auto"/>
          </w:tcPr>
          <w:p w14:paraId="1AC250B9" w14:textId="77777777" w:rsidR="008C5CFA" w:rsidRPr="009C3005" w:rsidRDefault="00E82A60" w:rsidP="00300A01">
            <w:pPr>
              <w:pStyle w:val="Text1"/>
              <w:spacing w:before="0" w:after="0"/>
              <w:ind w:left="0"/>
              <w:rPr>
                <w:sz w:val="12"/>
                <w:szCs w:val="12"/>
              </w:rPr>
            </w:pPr>
            <w:r>
              <w:rPr>
                <w:noProof/>
                <w:sz w:val="12"/>
                <w:szCs w:val="12"/>
              </w:rPr>
              <w:t>067</w:t>
            </w:r>
          </w:p>
        </w:tc>
        <w:tc>
          <w:tcPr>
            <w:tcW w:w="0" w:type="auto"/>
            <w:shd w:val="clear" w:color="auto" w:fill="auto"/>
          </w:tcPr>
          <w:p w14:paraId="2B9F7AA9"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20317ABD" w14:textId="77777777" w:rsidR="008C5CFA" w:rsidRPr="009C3005" w:rsidRDefault="00E82A60" w:rsidP="00300A01">
            <w:pPr>
              <w:pStyle w:val="Text1"/>
              <w:spacing w:before="0" w:after="0"/>
              <w:ind w:left="0"/>
              <w:rPr>
                <w:sz w:val="12"/>
                <w:szCs w:val="12"/>
              </w:rPr>
            </w:pPr>
            <w:r>
              <w:rPr>
                <w:noProof/>
                <w:sz w:val="12"/>
                <w:szCs w:val="12"/>
              </w:rPr>
              <w:t>02</w:t>
            </w:r>
          </w:p>
        </w:tc>
        <w:tc>
          <w:tcPr>
            <w:tcW w:w="0" w:type="auto"/>
            <w:shd w:val="clear" w:color="auto" w:fill="auto"/>
          </w:tcPr>
          <w:p w14:paraId="253E7A3B"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68E3ED8B" w14:textId="77777777" w:rsidR="008C5CFA" w:rsidRPr="009C3005" w:rsidRDefault="00E82A60" w:rsidP="00300A01">
            <w:pPr>
              <w:pStyle w:val="Text1"/>
              <w:spacing w:before="0" w:after="0"/>
              <w:ind w:left="0"/>
              <w:rPr>
                <w:sz w:val="12"/>
                <w:szCs w:val="12"/>
              </w:rPr>
            </w:pPr>
            <w:r>
              <w:rPr>
                <w:noProof/>
                <w:sz w:val="12"/>
                <w:szCs w:val="12"/>
              </w:rPr>
              <w:t>03</w:t>
            </w:r>
          </w:p>
        </w:tc>
        <w:tc>
          <w:tcPr>
            <w:tcW w:w="0" w:type="auto"/>
            <w:shd w:val="clear" w:color="auto" w:fill="auto"/>
          </w:tcPr>
          <w:p w14:paraId="0B1CCB9C" w14:textId="77777777" w:rsidR="008C5CFA" w:rsidRPr="009C3005" w:rsidRDefault="00E82A60" w:rsidP="00300A01">
            <w:pPr>
              <w:pStyle w:val="Text1"/>
              <w:spacing w:before="0" w:after="0"/>
              <w:ind w:left="0"/>
              <w:rPr>
                <w:sz w:val="12"/>
                <w:szCs w:val="12"/>
              </w:rPr>
            </w:pPr>
            <w:r>
              <w:rPr>
                <w:sz w:val="12"/>
                <w:szCs w:val="12"/>
              </w:rPr>
              <w:t xml:space="preserve"> </w:t>
            </w:r>
          </w:p>
        </w:tc>
        <w:tc>
          <w:tcPr>
            <w:tcW w:w="0" w:type="auto"/>
            <w:shd w:val="clear" w:color="auto" w:fill="auto"/>
          </w:tcPr>
          <w:p w14:paraId="6ABBD88A" w14:textId="77777777" w:rsidR="008C5CFA" w:rsidRPr="009C3005" w:rsidRDefault="00E82A60" w:rsidP="00300A01">
            <w:pPr>
              <w:pStyle w:val="Text1"/>
              <w:spacing w:before="0" w:after="0"/>
              <w:ind w:left="0"/>
              <w:rPr>
                <w:sz w:val="12"/>
                <w:szCs w:val="12"/>
              </w:rPr>
            </w:pPr>
            <w:r>
              <w:rPr>
                <w:noProof/>
                <w:sz w:val="12"/>
                <w:szCs w:val="12"/>
              </w:rPr>
              <w:t>24</w:t>
            </w:r>
          </w:p>
        </w:tc>
        <w:tc>
          <w:tcPr>
            <w:tcW w:w="0" w:type="auto"/>
            <w:shd w:val="clear" w:color="auto" w:fill="auto"/>
          </w:tcPr>
          <w:p w14:paraId="436F212A" w14:textId="77777777" w:rsidR="008C5CFA" w:rsidRPr="009C3005" w:rsidRDefault="00E82A60" w:rsidP="00300A01">
            <w:pPr>
              <w:pStyle w:val="Text1"/>
              <w:spacing w:before="0" w:after="0"/>
              <w:ind w:left="0"/>
              <w:rPr>
                <w:sz w:val="12"/>
                <w:szCs w:val="12"/>
              </w:rPr>
            </w:pPr>
            <w:r>
              <w:rPr>
                <w:noProof/>
                <w:sz w:val="12"/>
                <w:szCs w:val="12"/>
              </w:rPr>
              <w:t>PL33</w:t>
            </w:r>
          </w:p>
        </w:tc>
        <w:tc>
          <w:tcPr>
            <w:tcW w:w="0" w:type="auto"/>
            <w:shd w:val="clear" w:color="auto" w:fill="auto"/>
          </w:tcPr>
          <w:p w14:paraId="19582BD7" w14:textId="77777777" w:rsidR="008C5CFA" w:rsidRPr="009C3005" w:rsidRDefault="00E82A60" w:rsidP="00300A01">
            <w:pPr>
              <w:pStyle w:val="Text1"/>
              <w:spacing w:before="0" w:after="0"/>
              <w:ind w:left="0"/>
              <w:jc w:val="right"/>
              <w:rPr>
                <w:sz w:val="12"/>
                <w:szCs w:val="12"/>
              </w:rPr>
            </w:pPr>
            <w:r w:rsidRPr="009C3005">
              <w:rPr>
                <w:noProof/>
                <w:sz w:val="12"/>
                <w:szCs w:val="12"/>
              </w:rPr>
              <w:t>124 375,67</w:t>
            </w:r>
          </w:p>
        </w:tc>
        <w:tc>
          <w:tcPr>
            <w:tcW w:w="0" w:type="auto"/>
            <w:shd w:val="clear" w:color="auto" w:fill="auto"/>
          </w:tcPr>
          <w:p w14:paraId="669699F1" w14:textId="77777777" w:rsidR="008C5CFA" w:rsidRPr="009C3005" w:rsidRDefault="00E82A60" w:rsidP="00300A01">
            <w:pPr>
              <w:pStyle w:val="Text1"/>
              <w:spacing w:before="0" w:after="0"/>
              <w:ind w:left="0"/>
              <w:jc w:val="right"/>
              <w:rPr>
                <w:sz w:val="12"/>
                <w:szCs w:val="12"/>
              </w:rPr>
            </w:pPr>
            <w:r w:rsidRPr="009C3005">
              <w:rPr>
                <w:noProof/>
                <w:sz w:val="12"/>
                <w:szCs w:val="12"/>
              </w:rPr>
              <w:t>105 719,32</w:t>
            </w:r>
          </w:p>
        </w:tc>
        <w:tc>
          <w:tcPr>
            <w:tcW w:w="0" w:type="auto"/>
            <w:shd w:val="clear" w:color="auto" w:fill="auto"/>
          </w:tcPr>
          <w:p w14:paraId="3A9C8D4A" w14:textId="77777777" w:rsidR="008C5CFA" w:rsidRPr="009C3005" w:rsidRDefault="00E82A60" w:rsidP="00300A01">
            <w:pPr>
              <w:pStyle w:val="Text1"/>
              <w:spacing w:before="0" w:after="0"/>
              <w:ind w:left="0"/>
              <w:jc w:val="right"/>
              <w:rPr>
                <w:sz w:val="12"/>
                <w:szCs w:val="12"/>
              </w:rPr>
            </w:pPr>
            <w:r w:rsidRPr="009C3005">
              <w:rPr>
                <w:noProof/>
                <w:sz w:val="12"/>
                <w:szCs w:val="12"/>
              </w:rPr>
              <w:t>124 375,67</w:t>
            </w:r>
          </w:p>
        </w:tc>
        <w:tc>
          <w:tcPr>
            <w:tcW w:w="0" w:type="auto"/>
            <w:shd w:val="clear" w:color="auto" w:fill="auto"/>
          </w:tcPr>
          <w:p w14:paraId="22E52873" w14:textId="77777777" w:rsidR="008C5CFA" w:rsidRPr="009C3005" w:rsidRDefault="00E82A60" w:rsidP="00300A01">
            <w:pPr>
              <w:pStyle w:val="Text1"/>
              <w:spacing w:before="0" w:after="0"/>
              <w:ind w:left="0"/>
              <w:jc w:val="right"/>
              <w:rPr>
                <w:sz w:val="12"/>
                <w:szCs w:val="12"/>
              </w:rPr>
            </w:pPr>
            <w:r w:rsidRPr="009C3005">
              <w:rPr>
                <w:noProof/>
                <w:sz w:val="12"/>
                <w:szCs w:val="12"/>
              </w:rPr>
              <w:t>1</w:t>
            </w:r>
          </w:p>
        </w:tc>
      </w:tr>
      <w:tr w:rsidR="006B2EC1" w14:paraId="51F228FF" w14:textId="77777777" w:rsidTr="0047688D">
        <w:tc>
          <w:tcPr>
            <w:tcW w:w="0" w:type="auto"/>
            <w:shd w:val="clear" w:color="auto" w:fill="auto"/>
          </w:tcPr>
          <w:p w14:paraId="56E9DBFC" w14:textId="77777777" w:rsidR="008C5CFA" w:rsidRPr="009C3005" w:rsidRDefault="00E82A60" w:rsidP="00300A01">
            <w:pPr>
              <w:pStyle w:val="Text1"/>
              <w:spacing w:before="0" w:after="0"/>
              <w:ind w:left="0"/>
              <w:rPr>
                <w:sz w:val="12"/>
                <w:szCs w:val="12"/>
              </w:rPr>
            </w:pPr>
            <w:r>
              <w:rPr>
                <w:noProof/>
                <w:sz w:val="14"/>
                <w:szCs w:val="14"/>
                <w:lang w:val="fr-BE"/>
              </w:rPr>
              <w:t>2</w:t>
            </w:r>
          </w:p>
        </w:tc>
        <w:tc>
          <w:tcPr>
            <w:tcW w:w="0" w:type="auto"/>
            <w:shd w:val="clear" w:color="auto" w:fill="auto"/>
          </w:tcPr>
          <w:p w14:paraId="64A940C4" w14:textId="77777777" w:rsidR="008C5CFA" w:rsidRPr="009C3005" w:rsidRDefault="00E82A60" w:rsidP="00300A01">
            <w:pPr>
              <w:pStyle w:val="Text1"/>
              <w:spacing w:before="0" w:after="0"/>
              <w:ind w:left="0"/>
              <w:rPr>
                <w:sz w:val="12"/>
                <w:szCs w:val="12"/>
              </w:rPr>
            </w:pPr>
            <w:r>
              <w:rPr>
                <w:noProof/>
                <w:sz w:val="12"/>
                <w:szCs w:val="12"/>
              </w:rPr>
              <w:t>EFRR</w:t>
            </w:r>
          </w:p>
        </w:tc>
        <w:tc>
          <w:tcPr>
            <w:tcW w:w="0" w:type="auto"/>
            <w:shd w:val="clear" w:color="auto" w:fill="auto"/>
          </w:tcPr>
          <w:p w14:paraId="4C268076" w14:textId="77777777" w:rsidR="008C5CFA" w:rsidRPr="009C3005" w:rsidRDefault="00E82A60" w:rsidP="00300A01">
            <w:pPr>
              <w:pStyle w:val="Text1"/>
              <w:spacing w:before="0" w:after="0"/>
              <w:ind w:left="0"/>
              <w:rPr>
                <w:sz w:val="12"/>
                <w:szCs w:val="12"/>
              </w:rPr>
            </w:pPr>
            <w:r>
              <w:rPr>
                <w:noProof/>
                <w:sz w:val="12"/>
                <w:szCs w:val="12"/>
              </w:rPr>
              <w:t>Słabiej rozwinięte</w:t>
            </w:r>
          </w:p>
        </w:tc>
        <w:tc>
          <w:tcPr>
            <w:tcW w:w="0" w:type="auto"/>
            <w:shd w:val="clear" w:color="auto" w:fill="auto"/>
          </w:tcPr>
          <w:p w14:paraId="7C1AFFDD" w14:textId="77777777" w:rsidR="008C5CFA" w:rsidRPr="009C3005" w:rsidRDefault="00E82A60" w:rsidP="00300A01">
            <w:pPr>
              <w:pStyle w:val="Text1"/>
              <w:spacing w:before="0" w:after="0"/>
              <w:ind w:left="0"/>
              <w:rPr>
                <w:sz w:val="12"/>
                <w:szCs w:val="12"/>
              </w:rPr>
            </w:pPr>
            <w:r>
              <w:rPr>
                <w:noProof/>
                <w:sz w:val="12"/>
                <w:szCs w:val="12"/>
              </w:rPr>
              <w:t>072</w:t>
            </w:r>
          </w:p>
        </w:tc>
        <w:tc>
          <w:tcPr>
            <w:tcW w:w="0" w:type="auto"/>
            <w:shd w:val="clear" w:color="auto" w:fill="auto"/>
          </w:tcPr>
          <w:p w14:paraId="32D6A8B0"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701234E3"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0583D736"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2DE3F814" w14:textId="77777777" w:rsidR="008C5CFA" w:rsidRPr="009C3005" w:rsidRDefault="00E82A60" w:rsidP="00300A01">
            <w:pPr>
              <w:pStyle w:val="Text1"/>
              <w:spacing w:before="0" w:after="0"/>
              <w:ind w:left="0"/>
              <w:rPr>
                <w:sz w:val="12"/>
                <w:szCs w:val="12"/>
              </w:rPr>
            </w:pPr>
            <w:r>
              <w:rPr>
                <w:noProof/>
                <w:sz w:val="12"/>
                <w:szCs w:val="12"/>
              </w:rPr>
              <w:t>03</w:t>
            </w:r>
          </w:p>
        </w:tc>
        <w:tc>
          <w:tcPr>
            <w:tcW w:w="0" w:type="auto"/>
            <w:shd w:val="clear" w:color="auto" w:fill="auto"/>
          </w:tcPr>
          <w:p w14:paraId="1DB0D95B" w14:textId="77777777" w:rsidR="008C5CFA" w:rsidRPr="009C3005" w:rsidRDefault="00E82A60" w:rsidP="00300A01">
            <w:pPr>
              <w:pStyle w:val="Text1"/>
              <w:spacing w:before="0" w:after="0"/>
              <w:ind w:left="0"/>
              <w:rPr>
                <w:sz w:val="12"/>
                <w:szCs w:val="12"/>
              </w:rPr>
            </w:pPr>
            <w:r>
              <w:rPr>
                <w:sz w:val="12"/>
                <w:szCs w:val="12"/>
              </w:rPr>
              <w:t xml:space="preserve"> </w:t>
            </w:r>
          </w:p>
        </w:tc>
        <w:tc>
          <w:tcPr>
            <w:tcW w:w="0" w:type="auto"/>
            <w:shd w:val="clear" w:color="auto" w:fill="auto"/>
          </w:tcPr>
          <w:p w14:paraId="248F337B" w14:textId="77777777" w:rsidR="008C5CFA" w:rsidRPr="009C3005" w:rsidRDefault="00E82A60" w:rsidP="00300A01">
            <w:pPr>
              <w:pStyle w:val="Text1"/>
              <w:spacing w:before="0" w:after="0"/>
              <w:ind w:left="0"/>
              <w:rPr>
                <w:sz w:val="12"/>
                <w:szCs w:val="12"/>
              </w:rPr>
            </w:pPr>
            <w:r>
              <w:rPr>
                <w:noProof/>
                <w:sz w:val="12"/>
                <w:szCs w:val="12"/>
              </w:rPr>
              <w:t>18</w:t>
            </w:r>
          </w:p>
        </w:tc>
        <w:tc>
          <w:tcPr>
            <w:tcW w:w="0" w:type="auto"/>
            <w:shd w:val="clear" w:color="auto" w:fill="auto"/>
          </w:tcPr>
          <w:p w14:paraId="24B6AABC" w14:textId="77777777" w:rsidR="008C5CFA" w:rsidRPr="009C3005" w:rsidRDefault="00E82A60" w:rsidP="00300A01">
            <w:pPr>
              <w:pStyle w:val="Text1"/>
              <w:spacing w:before="0" w:after="0"/>
              <w:ind w:left="0"/>
              <w:rPr>
                <w:sz w:val="12"/>
                <w:szCs w:val="12"/>
              </w:rPr>
            </w:pPr>
            <w:r>
              <w:rPr>
                <w:noProof/>
                <w:sz w:val="12"/>
                <w:szCs w:val="12"/>
              </w:rPr>
              <w:t>PL33</w:t>
            </w:r>
          </w:p>
        </w:tc>
        <w:tc>
          <w:tcPr>
            <w:tcW w:w="0" w:type="auto"/>
            <w:shd w:val="clear" w:color="auto" w:fill="auto"/>
          </w:tcPr>
          <w:p w14:paraId="0EC0B8DB" w14:textId="77777777" w:rsidR="008C5CFA" w:rsidRPr="009C3005" w:rsidRDefault="00E82A60" w:rsidP="00300A01">
            <w:pPr>
              <w:pStyle w:val="Text1"/>
              <w:spacing w:before="0" w:after="0"/>
              <w:ind w:left="0"/>
              <w:jc w:val="right"/>
              <w:rPr>
                <w:sz w:val="12"/>
                <w:szCs w:val="12"/>
              </w:rPr>
            </w:pPr>
            <w:r w:rsidRPr="009C3005">
              <w:rPr>
                <w:noProof/>
                <w:sz w:val="12"/>
                <w:szCs w:val="12"/>
              </w:rPr>
              <w:t>3 793 042,27</w:t>
            </w:r>
          </w:p>
        </w:tc>
        <w:tc>
          <w:tcPr>
            <w:tcW w:w="0" w:type="auto"/>
            <w:shd w:val="clear" w:color="auto" w:fill="auto"/>
          </w:tcPr>
          <w:p w14:paraId="128052C6" w14:textId="77777777" w:rsidR="008C5CFA" w:rsidRPr="009C3005" w:rsidRDefault="00E82A60" w:rsidP="00300A01">
            <w:pPr>
              <w:pStyle w:val="Text1"/>
              <w:spacing w:before="0" w:after="0"/>
              <w:ind w:left="0"/>
              <w:jc w:val="right"/>
              <w:rPr>
                <w:sz w:val="12"/>
                <w:szCs w:val="12"/>
              </w:rPr>
            </w:pPr>
            <w:r w:rsidRPr="009C3005">
              <w:rPr>
                <w:noProof/>
                <w:sz w:val="12"/>
                <w:szCs w:val="12"/>
              </w:rPr>
              <w:t>3 793 042,27</w:t>
            </w:r>
          </w:p>
        </w:tc>
        <w:tc>
          <w:tcPr>
            <w:tcW w:w="0" w:type="auto"/>
            <w:shd w:val="clear" w:color="auto" w:fill="auto"/>
          </w:tcPr>
          <w:p w14:paraId="5FF425A8" w14:textId="77777777" w:rsidR="008C5CFA" w:rsidRPr="009C3005" w:rsidRDefault="00E82A60" w:rsidP="00300A01">
            <w:pPr>
              <w:pStyle w:val="Text1"/>
              <w:spacing w:before="0" w:after="0"/>
              <w:ind w:left="0"/>
              <w:jc w:val="right"/>
              <w:rPr>
                <w:sz w:val="12"/>
                <w:szCs w:val="12"/>
              </w:rPr>
            </w:pPr>
            <w:r w:rsidRPr="009C3005">
              <w:rPr>
                <w:noProof/>
                <w:sz w:val="12"/>
                <w:szCs w:val="12"/>
              </w:rPr>
              <w:t>2 479 828,55</w:t>
            </w:r>
          </w:p>
        </w:tc>
        <w:tc>
          <w:tcPr>
            <w:tcW w:w="0" w:type="auto"/>
            <w:shd w:val="clear" w:color="auto" w:fill="auto"/>
          </w:tcPr>
          <w:p w14:paraId="345592EC" w14:textId="77777777" w:rsidR="008C5CFA" w:rsidRPr="009C3005" w:rsidRDefault="00E82A60" w:rsidP="00300A01">
            <w:pPr>
              <w:pStyle w:val="Text1"/>
              <w:spacing w:before="0" w:after="0"/>
              <w:ind w:left="0"/>
              <w:jc w:val="right"/>
              <w:rPr>
                <w:sz w:val="12"/>
                <w:szCs w:val="12"/>
              </w:rPr>
            </w:pPr>
            <w:r w:rsidRPr="009C3005">
              <w:rPr>
                <w:noProof/>
                <w:sz w:val="12"/>
                <w:szCs w:val="12"/>
              </w:rPr>
              <w:t>2</w:t>
            </w:r>
          </w:p>
        </w:tc>
      </w:tr>
      <w:tr w:rsidR="006B2EC1" w14:paraId="63ACB560" w14:textId="77777777" w:rsidTr="0047688D">
        <w:tc>
          <w:tcPr>
            <w:tcW w:w="0" w:type="auto"/>
            <w:shd w:val="clear" w:color="auto" w:fill="auto"/>
          </w:tcPr>
          <w:p w14:paraId="521BA07E" w14:textId="77777777" w:rsidR="008C5CFA" w:rsidRPr="009C3005" w:rsidRDefault="00E82A60" w:rsidP="00300A01">
            <w:pPr>
              <w:pStyle w:val="Text1"/>
              <w:spacing w:before="0" w:after="0"/>
              <w:ind w:left="0"/>
              <w:rPr>
                <w:sz w:val="12"/>
                <w:szCs w:val="12"/>
              </w:rPr>
            </w:pPr>
            <w:r>
              <w:rPr>
                <w:noProof/>
                <w:sz w:val="14"/>
                <w:szCs w:val="14"/>
                <w:lang w:val="fr-BE"/>
              </w:rPr>
              <w:t>2</w:t>
            </w:r>
          </w:p>
        </w:tc>
        <w:tc>
          <w:tcPr>
            <w:tcW w:w="0" w:type="auto"/>
            <w:shd w:val="clear" w:color="auto" w:fill="auto"/>
          </w:tcPr>
          <w:p w14:paraId="08E8E428" w14:textId="77777777" w:rsidR="008C5CFA" w:rsidRPr="009C3005" w:rsidRDefault="00E82A60" w:rsidP="00300A01">
            <w:pPr>
              <w:pStyle w:val="Text1"/>
              <w:spacing w:before="0" w:after="0"/>
              <w:ind w:left="0"/>
              <w:rPr>
                <w:sz w:val="12"/>
                <w:szCs w:val="12"/>
              </w:rPr>
            </w:pPr>
            <w:r>
              <w:rPr>
                <w:noProof/>
                <w:sz w:val="12"/>
                <w:szCs w:val="12"/>
              </w:rPr>
              <w:t>EFRR</w:t>
            </w:r>
          </w:p>
        </w:tc>
        <w:tc>
          <w:tcPr>
            <w:tcW w:w="0" w:type="auto"/>
            <w:shd w:val="clear" w:color="auto" w:fill="auto"/>
          </w:tcPr>
          <w:p w14:paraId="698598F6" w14:textId="77777777" w:rsidR="008C5CFA" w:rsidRPr="009C3005" w:rsidRDefault="00E82A60" w:rsidP="00300A01">
            <w:pPr>
              <w:pStyle w:val="Text1"/>
              <w:spacing w:before="0" w:after="0"/>
              <w:ind w:left="0"/>
              <w:rPr>
                <w:sz w:val="12"/>
                <w:szCs w:val="12"/>
              </w:rPr>
            </w:pPr>
            <w:r>
              <w:rPr>
                <w:noProof/>
                <w:sz w:val="12"/>
                <w:szCs w:val="12"/>
              </w:rPr>
              <w:t>Słabiej rozwinięte</w:t>
            </w:r>
          </w:p>
        </w:tc>
        <w:tc>
          <w:tcPr>
            <w:tcW w:w="0" w:type="auto"/>
            <w:shd w:val="clear" w:color="auto" w:fill="auto"/>
          </w:tcPr>
          <w:p w14:paraId="454A0BAE" w14:textId="77777777" w:rsidR="008C5CFA" w:rsidRPr="009C3005" w:rsidRDefault="00E82A60" w:rsidP="00300A01">
            <w:pPr>
              <w:pStyle w:val="Text1"/>
              <w:spacing w:before="0" w:after="0"/>
              <w:ind w:left="0"/>
              <w:rPr>
                <w:sz w:val="12"/>
                <w:szCs w:val="12"/>
              </w:rPr>
            </w:pPr>
            <w:r>
              <w:rPr>
                <w:noProof/>
                <w:sz w:val="12"/>
                <w:szCs w:val="12"/>
              </w:rPr>
              <w:t>072</w:t>
            </w:r>
          </w:p>
        </w:tc>
        <w:tc>
          <w:tcPr>
            <w:tcW w:w="0" w:type="auto"/>
            <w:shd w:val="clear" w:color="auto" w:fill="auto"/>
          </w:tcPr>
          <w:p w14:paraId="44AEE4C8"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048BACF1" w14:textId="77777777" w:rsidR="008C5CFA" w:rsidRPr="009C3005" w:rsidRDefault="00E82A60" w:rsidP="00300A01">
            <w:pPr>
              <w:pStyle w:val="Text1"/>
              <w:spacing w:before="0" w:after="0"/>
              <w:ind w:left="0"/>
              <w:rPr>
                <w:sz w:val="12"/>
                <w:szCs w:val="12"/>
              </w:rPr>
            </w:pPr>
            <w:r>
              <w:rPr>
                <w:noProof/>
                <w:sz w:val="12"/>
                <w:szCs w:val="12"/>
              </w:rPr>
              <w:t>02</w:t>
            </w:r>
          </w:p>
        </w:tc>
        <w:tc>
          <w:tcPr>
            <w:tcW w:w="0" w:type="auto"/>
            <w:shd w:val="clear" w:color="auto" w:fill="auto"/>
          </w:tcPr>
          <w:p w14:paraId="7D765CAF"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40CE9C30" w14:textId="77777777" w:rsidR="008C5CFA" w:rsidRPr="009C3005" w:rsidRDefault="00E82A60" w:rsidP="00300A01">
            <w:pPr>
              <w:pStyle w:val="Text1"/>
              <w:spacing w:before="0" w:after="0"/>
              <w:ind w:left="0"/>
              <w:rPr>
                <w:sz w:val="12"/>
                <w:szCs w:val="12"/>
              </w:rPr>
            </w:pPr>
            <w:r>
              <w:rPr>
                <w:noProof/>
                <w:sz w:val="12"/>
                <w:szCs w:val="12"/>
              </w:rPr>
              <w:t>03</w:t>
            </w:r>
          </w:p>
        </w:tc>
        <w:tc>
          <w:tcPr>
            <w:tcW w:w="0" w:type="auto"/>
            <w:shd w:val="clear" w:color="auto" w:fill="auto"/>
          </w:tcPr>
          <w:p w14:paraId="514AA598" w14:textId="77777777" w:rsidR="008C5CFA" w:rsidRPr="009C3005" w:rsidRDefault="00E82A60" w:rsidP="00300A01">
            <w:pPr>
              <w:pStyle w:val="Text1"/>
              <w:spacing w:before="0" w:after="0"/>
              <w:ind w:left="0"/>
              <w:rPr>
                <w:sz w:val="12"/>
                <w:szCs w:val="12"/>
              </w:rPr>
            </w:pPr>
            <w:r>
              <w:rPr>
                <w:sz w:val="12"/>
                <w:szCs w:val="12"/>
              </w:rPr>
              <w:t xml:space="preserve"> </w:t>
            </w:r>
          </w:p>
        </w:tc>
        <w:tc>
          <w:tcPr>
            <w:tcW w:w="0" w:type="auto"/>
            <w:shd w:val="clear" w:color="auto" w:fill="auto"/>
          </w:tcPr>
          <w:p w14:paraId="37BF8EFD" w14:textId="77777777" w:rsidR="008C5CFA" w:rsidRPr="009C3005" w:rsidRDefault="00E82A60" w:rsidP="00300A01">
            <w:pPr>
              <w:pStyle w:val="Text1"/>
              <w:spacing w:before="0" w:after="0"/>
              <w:ind w:left="0"/>
              <w:rPr>
                <w:sz w:val="12"/>
                <w:szCs w:val="12"/>
              </w:rPr>
            </w:pPr>
            <w:r>
              <w:rPr>
                <w:noProof/>
                <w:sz w:val="12"/>
                <w:szCs w:val="12"/>
              </w:rPr>
              <w:t>18</w:t>
            </w:r>
          </w:p>
        </w:tc>
        <w:tc>
          <w:tcPr>
            <w:tcW w:w="0" w:type="auto"/>
            <w:shd w:val="clear" w:color="auto" w:fill="auto"/>
          </w:tcPr>
          <w:p w14:paraId="4ADD406C" w14:textId="77777777" w:rsidR="008C5CFA" w:rsidRPr="009C3005" w:rsidRDefault="00E82A60" w:rsidP="00300A01">
            <w:pPr>
              <w:pStyle w:val="Text1"/>
              <w:spacing w:before="0" w:after="0"/>
              <w:ind w:left="0"/>
              <w:rPr>
                <w:sz w:val="12"/>
                <w:szCs w:val="12"/>
              </w:rPr>
            </w:pPr>
            <w:r>
              <w:rPr>
                <w:noProof/>
                <w:sz w:val="12"/>
                <w:szCs w:val="12"/>
              </w:rPr>
              <w:t>PL33</w:t>
            </w:r>
          </w:p>
        </w:tc>
        <w:tc>
          <w:tcPr>
            <w:tcW w:w="0" w:type="auto"/>
            <w:shd w:val="clear" w:color="auto" w:fill="auto"/>
          </w:tcPr>
          <w:p w14:paraId="24FD5823" w14:textId="77777777" w:rsidR="008C5CFA" w:rsidRPr="009C3005" w:rsidRDefault="00E82A60" w:rsidP="00300A01">
            <w:pPr>
              <w:pStyle w:val="Text1"/>
              <w:spacing w:before="0" w:after="0"/>
              <w:ind w:left="0"/>
              <w:jc w:val="right"/>
              <w:rPr>
                <w:sz w:val="12"/>
                <w:szCs w:val="12"/>
              </w:rPr>
            </w:pPr>
            <w:r w:rsidRPr="009C3005">
              <w:rPr>
                <w:noProof/>
                <w:sz w:val="12"/>
                <w:szCs w:val="12"/>
              </w:rPr>
              <w:t>930 434,80</w:t>
            </w:r>
          </w:p>
        </w:tc>
        <w:tc>
          <w:tcPr>
            <w:tcW w:w="0" w:type="auto"/>
            <w:shd w:val="clear" w:color="auto" w:fill="auto"/>
          </w:tcPr>
          <w:p w14:paraId="262AF595" w14:textId="77777777" w:rsidR="008C5CFA" w:rsidRPr="009C3005" w:rsidRDefault="00E82A60" w:rsidP="00300A01">
            <w:pPr>
              <w:pStyle w:val="Text1"/>
              <w:spacing w:before="0" w:after="0"/>
              <w:ind w:left="0"/>
              <w:jc w:val="right"/>
              <w:rPr>
                <w:sz w:val="12"/>
                <w:szCs w:val="12"/>
              </w:rPr>
            </w:pPr>
            <w:r w:rsidRPr="009C3005">
              <w:rPr>
                <w:noProof/>
                <w:sz w:val="12"/>
                <w:szCs w:val="12"/>
              </w:rPr>
              <w:t>930 434,80</w:t>
            </w:r>
          </w:p>
        </w:tc>
        <w:tc>
          <w:tcPr>
            <w:tcW w:w="0" w:type="auto"/>
            <w:shd w:val="clear" w:color="auto" w:fill="auto"/>
          </w:tcPr>
          <w:p w14:paraId="591C17D0" w14:textId="77777777" w:rsidR="008C5CFA" w:rsidRPr="009C3005" w:rsidRDefault="00E82A60" w:rsidP="00300A01">
            <w:pPr>
              <w:pStyle w:val="Text1"/>
              <w:spacing w:before="0" w:after="0"/>
              <w:ind w:left="0"/>
              <w:jc w:val="right"/>
              <w:rPr>
                <w:sz w:val="12"/>
                <w:szCs w:val="12"/>
              </w:rPr>
            </w:pPr>
            <w:r w:rsidRPr="009C3005">
              <w:rPr>
                <w:noProof/>
                <w:sz w:val="12"/>
                <w:szCs w:val="12"/>
              </w:rPr>
              <w:t>930 434,80</w:t>
            </w:r>
          </w:p>
        </w:tc>
        <w:tc>
          <w:tcPr>
            <w:tcW w:w="0" w:type="auto"/>
            <w:shd w:val="clear" w:color="auto" w:fill="auto"/>
          </w:tcPr>
          <w:p w14:paraId="25CA79BB" w14:textId="77777777" w:rsidR="008C5CFA" w:rsidRPr="009C3005" w:rsidRDefault="00E82A60" w:rsidP="00300A01">
            <w:pPr>
              <w:pStyle w:val="Text1"/>
              <w:spacing w:before="0" w:after="0"/>
              <w:ind w:left="0"/>
              <w:jc w:val="right"/>
              <w:rPr>
                <w:sz w:val="12"/>
                <w:szCs w:val="12"/>
              </w:rPr>
            </w:pPr>
            <w:r w:rsidRPr="009C3005">
              <w:rPr>
                <w:noProof/>
                <w:sz w:val="12"/>
                <w:szCs w:val="12"/>
              </w:rPr>
              <w:t>1</w:t>
            </w:r>
          </w:p>
        </w:tc>
      </w:tr>
      <w:tr w:rsidR="006B2EC1" w14:paraId="78A24B75" w14:textId="77777777" w:rsidTr="0047688D">
        <w:tc>
          <w:tcPr>
            <w:tcW w:w="0" w:type="auto"/>
            <w:shd w:val="clear" w:color="auto" w:fill="auto"/>
          </w:tcPr>
          <w:p w14:paraId="73B717C9" w14:textId="77777777" w:rsidR="008C5CFA" w:rsidRPr="009C3005" w:rsidRDefault="00E82A60" w:rsidP="00300A01">
            <w:pPr>
              <w:pStyle w:val="Text1"/>
              <w:spacing w:before="0" w:after="0"/>
              <w:ind w:left="0"/>
              <w:rPr>
                <w:sz w:val="12"/>
                <w:szCs w:val="12"/>
              </w:rPr>
            </w:pPr>
            <w:r>
              <w:rPr>
                <w:noProof/>
                <w:sz w:val="14"/>
                <w:szCs w:val="14"/>
                <w:lang w:val="fr-BE"/>
              </w:rPr>
              <w:t>2</w:t>
            </w:r>
          </w:p>
        </w:tc>
        <w:tc>
          <w:tcPr>
            <w:tcW w:w="0" w:type="auto"/>
            <w:shd w:val="clear" w:color="auto" w:fill="auto"/>
          </w:tcPr>
          <w:p w14:paraId="52187A25" w14:textId="77777777" w:rsidR="008C5CFA" w:rsidRPr="009C3005" w:rsidRDefault="00E82A60" w:rsidP="00300A01">
            <w:pPr>
              <w:pStyle w:val="Text1"/>
              <w:spacing w:before="0" w:after="0"/>
              <w:ind w:left="0"/>
              <w:rPr>
                <w:sz w:val="12"/>
                <w:szCs w:val="12"/>
              </w:rPr>
            </w:pPr>
            <w:r>
              <w:rPr>
                <w:noProof/>
                <w:sz w:val="12"/>
                <w:szCs w:val="12"/>
              </w:rPr>
              <w:t>EFRR</w:t>
            </w:r>
          </w:p>
        </w:tc>
        <w:tc>
          <w:tcPr>
            <w:tcW w:w="0" w:type="auto"/>
            <w:shd w:val="clear" w:color="auto" w:fill="auto"/>
          </w:tcPr>
          <w:p w14:paraId="1012CEA9" w14:textId="77777777" w:rsidR="008C5CFA" w:rsidRPr="009C3005" w:rsidRDefault="00E82A60" w:rsidP="00300A01">
            <w:pPr>
              <w:pStyle w:val="Text1"/>
              <w:spacing w:before="0" w:after="0"/>
              <w:ind w:left="0"/>
              <w:rPr>
                <w:sz w:val="12"/>
                <w:szCs w:val="12"/>
              </w:rPr>
            </w:pPr>
            <w:r>
              <w:rPr>
                <w:noProof/>
                <w:sz w:val="12"/>
                <w:szCs w:val="12"/>
              </w:rPr>
              <w:t>Słabiej rozwinięte</w:t>
            </w:r>
          </w:p>
        </w:tc>
        <w:tc>
          <w:tcPr>
            <w:tcW w:w="0" w:type="auto"/>
            <w:shd w:val="clear" w:color="auto" w:fill="auto"/>
          </w:tcPr>
          <w:p w14:paraId="3C8EEE7B" w14:textId="77777777" w:rsidR="008C5CFA" w:rsidRPr="009C3005" w:rsidRDefault="00E82A60" w:rsidP="00300A01">
            <w:pPr>
              <w:pStyle w:val="Text1"/>
              <w:spacing w:before="0" w:after="0"/>
              <w:ind w:left="0"/>
              <w:rPr>
                <w:sz w:val="12"/>
                <w:szCs w:val="12"/>
              </w:rPr>
            </w:pPr>
            <w:r>
              <w:rPr>
                <w:noProof/>
                <w:sz w:val="12"/>
                <w:szCs w:val="12"/>
              </w:rPr>
              <w:t>072</w:t>
            </w:r>
          </w:p>
        </w:tc>
        <w:tc>
          <w:tcPr>
            <w:tcW w:w="0" w:type="auto"/>
            <w:shd w:val="clear" w:color="auto" w:fill="auto"/>
          </w:tcPr>
          <w:p w14:paraId="525FAA4B"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3B14CF45" w14:textId="77777777" w:rsidR="008C5CFA" w:rsidRPr="009C3005" w:rsidRDefault="00E82A60" w:rsidP="00300A01">
            <w:pPr>
              <w:pStyle w:val="Text1"/>
              <w:spacing w:before="0" w:after="0"/>
              <w:ind w:left="0"/>
              <w:rPr>
                <w:sz w:val="12"/>
                <w:szCs w:val="12"/>
              </w:rPr>
            </w:pPr>
            <w:r>
              <w:rPr>
                <w:noProof/>
                <w:sz w:val="12"/>
                <w:szCs w:val="12"/>
              </w:rPr>
              <w:t>03</w:t>
            </w:r>
          </w:p>
        </w:tc>
        <w:tc>
          <w:tcPr>
            <w:tcW w:w="0" w:type="auto"/>
            <w:shd w:val="clear" w:color="auto" w:fill="auto"/>
          </w:tcPr>
          <w:p w14:paraId="2860639C"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14DA0D79" w14:textId="77777777" w:rsidR="008C5CFA" w:rsidRPr="009C3005" w:rsidRDefault="00E82A60" w:rsidP="00300A01">
            <w:pPr>
              <w:pStyle w:val="Text1"/>
              <w:spacing w:before="0" w:after="0"/>
              <w:ind w:left="0"/>
              <w:rPr>
                <w:sz w:val="12"/>
                <w:szCs w:val="12"/>
              </w:rPr>
            </w:pPr>
            <w:r>
              <w:rPr>
                <w:noProof/>
                <w:sz w:val="12"/>
                <w:szCs w:val="12"/>
              </w:rPr>
              <w:t>03</w:t>
            </w:r>
          </w:p>
        </w:tc>
        <w:tc>
          <w:tcPr>
            <w:tcW w:w="0" w:type="auto"/>
            <w:shd w:val="clear" w:color="auto" w:fill="auto"/>
          </w:tcPr>
          <w:p w14:paraId="0C439E79" w14:textId="77777777" w:rsidR="008C5CFA" w:rsidRPr="009C3005" w:rsidRDefault="00E82A60" w:rsidP="00300A01">
            <w:pPr>
              <w:pStyle w:val="Text1"/>
              <w:spacing w:before="0" w:after="0"/>
              <w:ind w:left="0"/>
              <w:rPr>
                <w:sz w:val="12"/>
                <w:szCs w:val="12"/>
              </w:rPr>
            </w:pPr>
            <w:r>
              <w:rPr>
                <w:sz w:val="12"/>
                <w:szCs w:val="12"/>
              </w:rPr>
              <w:t xml:space="preserve"> </w:t>
            </w:r>
          </w:p>
        </w:tc>
        <w:tc>
          <w:tcPr>
            <w:tcW w:w="0" w:type="auto"/>
            <w:shd w:val="clear" w:color="auto" w:fill="auto"/>
          </w:tcPr>
          <w:p w14:paraId="19232E53" w14:textId="77777777" w:rsidR="008C5CFA" w:rsidRPr="009C3005" w:rsidRDefault="00E82A60" w:rsidP="00300A01">
            <w:pPr>
              <w:pStyle w:val="Text1"/>
              <w:spacing w:before="0" w:after="0"/>
              <w:ind w:left="0"/>
              <w:rPr>
                <w:sz w:val="12"/>
                <w:szCs w:val="12"/>
              </w:rPr>
            </w:pPr>
            <w:r>
              <w:rPr>
                <w:noProof/>
                <w:sz w:val="12"/>
                <w:szCs w:val="12"/>
              </w:rPr>
              <w:t>18</w:t>
            </w:r>
          </w:p>
        </w:tc>
        <w:tc>
          <w:tcPr>
            <w:tcW w:w="0" w:type="auto"/>
            <w:shd w:val="clear" w:color="auto" w:fill="auto"/>
          </w:tcPr>
          <w:p w14:paraId="75B4D9A0" w14:textId="77777777" w:rsidR="008C5CFA" w:rsidRPr="009C3005" w:rsidRDefault="00E82A60" w:rsidP="00300A01">
            <w:pPr>
              <w:pStyle w:val="Text1"/>
              <w:spacing w:before="0" w:after="0"/>
              <w:ind w:left="0"/>
              <w:rPr>
                <w:sz w:val="12"/>
                <w:szCs w:val="12"/>
              </w:rPr>
            </w:pPr>
            <w:r>
              <w:rPr>
                <w:noProof/>
                <w:sz w:val="12"/>
                <w:szCs w:val="12"/>
              </w:rPr>
              <w:t>PL33</w:t>
            </w:r>
          </w:p>
        </w:tc>
        <w:tc>
          <w:tcPr>
            <w:tcW w:w="0" w:type="auto"/>
            <w:shd w:val="clear" w:color="auto" w:fill="auto"/>
          </w:tcPr>
          <w:p w14:paraId="360DC729" w14:textId="77777777" w:rsidR="008C5CFA" w:rsidRPr="009C3005" w:rsidRDefault="00E82A60" w:rsidP="00300A01">
            <w:pPr>
              <w:pStyle w:val="Text1"/>
              <w:spacing w:before="0" w:after="0"/>
              <w:ind w:left="0"/>
              <w:jc w:val="right"/>
              <w:rPr>
                <w:sz w:val="12"/>
                <w:szCs w:val="12"/>
              </w:rPr>
            </w:pPr>
            <w:r w:rsidRPr="009C3005">
              <w:rPr>
                <w:noProof/>
                <w:sz w:val="12"/>
                <w:szCs w:val="12"/>
              </w:rPr>
              <w:t>2 709 242,06</w:t>
            </w:r>
          </w:p>
        </w:tc>
        <w:tc>
          <w:tcPr>
            <w:tcW w:w="0" w:type="auto"/>
            <w:shd w:val="clear" w:color="auto" w:fill="auto"/>
          </w:tcPr>
          <w:p w14:paraId="499E496F" w14:textId="77777777" w:rsidR="008C5CFA" w:rsidRPr="009C3005" w:rsidRDefault="00E82A60" w:rsidP="00300A01">
            <w:pPr>
              <w:pStyle w:val="Text1"/>
              <w:spacing w:before="0" w:after="0"/>
              <w:ind w:left="0"/>
              <w:jc w:val="right"/>
              <w:rPr>
                <w:sz w:val="12"/>
                <w:szCs w:val="12"/>
              </w:rPr>
            </w:pPr>
            <w:r w:rsidRPr="009C3005">
              <w:rPr>
                <w:noProof/>
                <w:sz w:val="12"/>
                <w:szCs w:val="12"/>
              </w:rPr>
              <w:t>2 709 242,06</w:t>
            </w:r>
          </w:p>
        </w:tc>
        <w:tc>
          <w:tcPr>
            <w:tcW w:w="0" w:type="auto"/>
            <w:shd w:val="clear" w:color="auto" w:fill="auto"/>
          </w:tcPr>
          <w:p w14:paraId="5874037C" w14:textId="77777777" w:rsidR="008C5CFA" w:rsidRPr="009C3005" w:rsidRDefault="00E82A60" w:rsidP="00300A01">
            <w:pPr>
              <w:pStyle w:val="Text1"/>
              <w:spacing w:before="0" w:after="0"/>
              <w:ind w:left="0"/>
              <w:jc w:val="right"/>
              <w:rPr>
                <w:sz w:val="12"/>
                <w:szCs w:val="12"/>
              </w:rPr>
            </w:pPr>
            <w:r w:rsidRPr="009C3005">
              <w:rPr>
                <w:noProof/>
                <w:sz w:val="12"/>
                <w:szCs w:val="12"/>
              </w:rPr>
              <w:t>2 056 931,19</w:t>
            </w:r>
          </w:p>
        </w:tc>
        <w:tc>
          <w:tcPr>
            <w:tcW w:w="0" w:type="auto"/>
            <w:shd w:val="clear" w:color="auto" w:fill="auto"/>
          </w:tcPr>
          <w:p w14:paraId="75B695EB" w14:textId="77777777" w:rsidR="008C5CFA" w:rsidRPr="009C3005" w:rsidRDefault="00E82A60" w:rsidP="00300A01">
            <w:pPr>
              <w:pStyle w:val="Text1"/>
              <w:spacing w:before="0" w:after="0"/>
              <w:ind w:left="0"/>
              <w:jc w:val="right"/>
              <w:rPr>
                <w:sz w:val="12"/>
                <w:szCs w:val="12"/>
              </w:rPr>
            </w:pPr>
            <w:r w:rsidRPr="009C3005">
              <w:rPr>
                <w:noProof/>
                <w:sz w:val="12"/>
                <w:szCs w:val="12"/>
              </w:rPr>
              <w:t>2</w:t>
            </w:r>
          </w:p>
        </w:tc>
      </w:tr>
      <w:tr w:rsidR="006B2EC1" w14:paraId="3A040ADD" w14:textId="77777777" w:rsidTr="0047688D">
        <w:tc>
          <w:tcPr>
            <w:tcW w:w="0" w:type="auto"/>
            <w:shd w:val="clear" w:color="auto" w:fill="auto"/>
          </w:tcPr>
          <w:p w14:paraId="0535C7B6" w14:textId="77777777" w:rsidR="008C5CFA" w:rsidRPr="009C3005" w:rsidRDefault="00E82A60" w:rsidP="00300A01">
            <w:pPr>
              <w:pStyle w:val="Text1"/>
              <w:spacing w:before="0" w:after="0"/>
              <w:ind w:left="0"/>
              <w:rPr>
                <w:sz w:val="12"/>
                <w:szCs w:val="12"/>
              </w:rPr>
            </w:pPr>
            <w:r>
              <w:rPr>
                <w:noProof/>
                <w:sz w:val="14"/>
                <w:szCs w:val="14"/>
                <w:lang w:val="fr-BE"/>
              </w:rPr>
              <w:t>3</w:t>
            </w:r>
          </w:p>
        </w:tc>
        <w:tc>
          <w:tcPr>
            <w:tcW w:w="0" w:type="auto"/>
            <w:shd w:val="clear" w:color="auto" w:fill="auto"/>
          </w:tcPr>
          <w:p w14:paraId="7B3B3C7F" w14:textId="77777777" w:rsidR="008C5CFA" w:rsidRPr="009C3005" w:rsidRDefault="00E82A60" w:rsidP="00300A01">
            <w:pPr>
              <w:pStyle w:val="Text1"/>
              <w:spacing w:before="0" w:after="0"/>
              <w:ind w:left="0"/>
              <w:rPr>
                <w:sz w:val="12"/>
                <w:szCs w:val="12"/>
              </w:rPr>
            </w:pPr>
            <w:r>
              <w:rPr>
                <w:noProof/>
                <w:sz w:val="12"/>
                <w:szCs w:val="12"/>
              </w:rPr>
              <w:t>EFRR</w:t>
            </w:r>
          </w:p>
        </w:tc>
        <w:tc>
          <w:tcPr>
            <w:tcW w:w="0" w:type="auto"/>
            <w:shd w:val="clear" w:color="auto" w:fill="auto"/>
          </w:tcPr>
          <w:p w14:paraId="2A8CDADC" w14:textId="77777777" w:rsidR="008C5CFA" w:rsidRPr="009C3005" w:rsidRDefault="00E82A60" w:rsidP="00300A01">
            <w:pPr>
              <w:pStyle w:val="Text1"/>
              <w:spacing w:before="0" w:after="0"/>
              <w:ind w:left="0"/>
              <w:rPr>
                <w:sz w:val="12"/>
                <w:szCs w:val="12"/>
              </w:rPr>
            </w:pPr>
            <w:r>
              <w:rPr>
                <w:noProof/>
                <w:sz w:val="12"/>
                <w:szCs w:val="12"/>
              </w:rPr>
              <w:t>Słabiej rozwinięte</w:t>
            </w:r>
          </w:p>
        </w:tc>
        <w:tc>
          <w:tcPr>
            <w:tcW w:w="0" w:type="auto"/>
            <w:shd w:val="clear" w:color="auto" w:fill="auto"/>
          </w:tcPr>
          <w:p w14:paraId="78B4F42C" w14:textId="77777777" w:rsidR="008C5CFA" w:rsidRPr="009C3005" w:rsidRDefault="00E82A60" w:rsidP="00300A01">
            <w:pPr>
              <w:pStyle w:val="Text1"/>
              <w:spacing w:before="0" w:after="0"/>
              <w:ind w:left="0"/>
              <w:rPr>
                <w:sz w:val="12"/>
                <w:szCs w:val="12"/>
              </w:rPr>
            </w:pPr>
            <w:r>
              <w:rPr>
                <w:noProof/>
                <w:sz w:val="12"/>
                <w:szCs w:val="12"/>
              </w:rPr>
              <w:t>010</w:t>
            </w:r>
          </w:p>
        </w:tc>
        <w:tc>
          <w:tcPr>
            <w:tcW w:w="0" w:type="auto"/>
            <w:shd w:val="clear" w:color="auto" w:fill="auto"/>
          </w:tcPr>
          <w:p w14:paraId="51083C69"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44026EDF"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2C643BFA"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1C5DACEE" w14:textId="77777777" w:rsidR="008C5CFA" w:rsidRPr="009C3005" w:rsidRDefault="00E82A60" w:rsidP="00300A01">
            <w:pPr>
              <w:pStyle w:val="Text1"/>
              <w:spacing w:before="0" w:after="0"/>
              <w:ind w:left="0"/>
              <w:rPr>
                <w:sz w:val="12"/>
                <w:szCs w:val="12"/>
              </w:rPr>
            </w:pPr>
            <w:r>
              <w:rPr>
                <w:noProof/>
                <w:sz w:val="12"/>
                <w:szCs w:val="12"/>
              </w:rPr>
              <w:t>04</w:t>
            </w:r>
          </w:p>
        </w:tc>
        <w:tc>
          <w:tcPr>
            <w:tcW w:w="0" w:type="auto"/>
            <w:shd w:val="clear" w:color="auto" w:fill="auto"/>
          </w:tcPr>
          <w:p w14:paraId="50BFE866" w14:textId="77777777" w:rsidR="008C5CFA" w:rsidRPr="009C3005" w:rsidRDefault="00E82A60" w:rsidP="00300A01">
            <w:pPr>
              <w:pStyle w:val="Text1"/>
              <w:spacing w:before="0" w:after="0"/>
              <w:ind w:left="0"/>
              <w:rPr>
                <w:sz w:val="12"/>
                <w:szCs w:val="12"/>
              </w:rPr>
            </w:pPr>
            <w:r>
              <w:rPr>
                <w:sz w:val="12"/>
                <w:szCs w:val="12"/>
              </w:rPr>
              <w:t xml:space="preserve"> </w:t>
            </w:r>
          </w:p>
        </w:tc>
        <w:tc>
          <w:tcPr>
            <w:tcW w:w="0" w:type="auto"/>
            <w:shd w:val="clear" w:color="auto" w:fill="auto"/>
          </w:tcPr>
          <w:p w14:paraId="6D4364E6" w14:textId="77777777" w:rsidR="008C5CFA" w:rsidRPr="009C3005" w:rsidRDefault="00E82A60" w:rsidP="00300A01">
            <w:pPr>
              <w:pStyle w:val="Text1"/>
              <w:spacing w:before="0" w:after="0"/>
              <w:ind w:left="0"/>
              <w:rPr>
                <w:sz w:val="12"/>
                <w:szCs w:val="12"/>
              </w:rPr>
            </w:pPr>
            <w:r>
              <w:rPr>
                <w:noProof/>
                <w:sz w:val="12"/>
                <w:szCs w:val="12"/>
              </w:rPr>
              <w:t>10</w:t>
            </w:r>
          </w:p>
        </w:tc>
        <w:tc>
          <w:tcPr>
            <w:tcW w:w="0" w:type="auto"/>
            <w:shd w:val="clear" w:color="auto" w:fill="auto"/>
          </w:tcPr>
          <w:p w14:paraId="4D82AF35" w14:textId="77777777" w:rsidR="008C5CFA" w:rsidRPr="009C3005" w:rsidRDefault="00E82A60" w:rsidP="00300A01">
            <w:pPr>
              <w:pStyle w:val="Text1"/>
              <w:spacing w:before="0" w:after="0"/>
              <w:ind w:left="0"/>
              <w:rPr>
                <w:sz w:val="12"/>
                <w:szCs w:val="12"/>
              </w:rPr>
            </w:pPr>
            <w:r>
              <w:rPr>
                <w:noProof/>
                <w:sz w:val="12"/>
                <w:szCs w:val="12"/>
              </w:rPr>
              <w:t>PL33</w:t>
            </w:r>
          </w:p>
        </w:tc>
        <w:tc>
          <w:tcPr>
            <w:tcW w:w="0" w:type="auto"/>
            <w:shd w:val="clear" w:color="auto" w:fill="auto"/>
          </w:tcPr>
          <w:p w14:paraId="29887493" w14:textId="77777777" w:rsidR="008C5CFA" w:rsidRPr="009C3005" w:rsidRDefault="00E82A60" w:rsidP="00300A01">
            <w:pPr>
              <w:pStyle w:val="Text1"/>
              <w:spacing w:before="0" w:after="0"/>
              <w:ind w:left="0"/>
              <w:jc w:val="right"/>
              <w:rPr>
                <w:sz w:val="12"/>
                <w:szCs w:val="12"/>
              </w:rPr>
            </w:pPr>
            <w:r w:rsidRPr="009C3005">
              <w:rPr>
                <w:noProof/>
                <w:sz w:val="12"/>
                <w:szCs w:val="12"/>
              </w:rPr>
              <w:t>594 993,42</w:t>
            </w:r>
          </w:p>
        </w:tc>
        <w:tc>
          <w:tcPr>
            <w:tcW w:w="0" w:type="auto"/>
            <w:shd w:val="clear" w:color="auto" w:fill="auto"/>
          </w:tcPr>
          <w:p w14:paraId="72ECE997" w14:textId="77777777" w:rsidR="008C5CFA" w:rsidRPr="009C3005" w:rsidRDefault="00E82A60" w:rsidP="00300A01">
            <w:pPr>
              <w:pStyle w:val="Text1"/>
              <w:spacing w:before="0" w:after="0"/>
              <w:ind w:left="0"/>
              <w:jc w:val="right"/>
              <w:rPr>
                <w:sz w:val="12"/>
                <w:szCs w:val="12"/>
              </w:rPr>
            </w:pPr>
            <w:r w:rsidRPr="009C3005">
              <w:rPr>
                <w:noProof/>
                <w:sz w:val="12"/>
                <w:szCs w:val="12"/>
              </w:rPr>
              <w:t>356 996,05</w:t>
            </w:r>
          </w:p>
        </w:tc>
        <w:tc>
          <w:tcPr>
            <w:tcW w:w="0" w:type="auto"/>
            <w:shd w:val="clear" w:color="auto" w:fill="auto"/>
          </w:tcPr>
          <w:p w14:paraId="05CA3CEC" w14:textId="77777777" w:rsidR="008C5CFA" w:rsidRPr="009C3005" w:rsidRDefault="00E82A60" w:rsidP="00300A01">
            <w:pPr>
              <w:pStyle w:val="Text1"/>
              <w:spacing w:before="0" w:after="0"/>
              <w:ind w:left="0"/>
              <w:jc w:val="right"/>
              <w:rPr>
                <w:sz w:val="12"/>
                <w:szCs w:val="12"/>
              </w:rPr>
            </w:pPr>
            <w:r w:rsidRPr="009C3005">
              <w:rPr>
                <w:noProof/>
                <w:sz w:val="12"/>
                <w:szCs w:val="12"/>
              </w:rPr>
              <w:t>0,00</w:t>
            </w:r>
          </w:p>
        </w:tc>
        <w:tc>
          <w:tcPr>
            <w:tcW w:w="0" w:type="auto"/>
            <w:shd w:val="clear" w:color="auto" w:fill="auto"/>
          </w:tcPr>
          <w:p w14:paraId="3A8FCEF9" w14:textId="77777777" w:rsidR="008C5CFA" w:rsidRPr="009C3005" w:rsidRDefault="00E82A60" w:rsidP="00300A01">
            <w:pPr>
              <w:pStyle w:val="Text1"/>
              <w:spacing w:before="0" w:after="0"/>
              <w:ind w:left="0"/>
              <w:jc w:val="right"/>
              <w:rPr>
                <w:sz w:val="12"/>
                <w:szCs w:val="12"/>
              </w:rPr>
            </w:pPr>
            <w:r w:rsidRPr="009C3005">
              <w:rPr>
                <w:noProof/>
                <w:sz w:val="12"/>
                <w:szCs w:val="12"/>
              </w:rPr>
              <w:t>1</w:t>
            </w:r>
          </w:p>
        </w:tc>
      </w:tr>
      <w:tr w:rsidR="006B2EC1" w14:paraId="5DA9144A" w14:textId="77777777" w:rsidTr="0047688D">
        <w:tc>
          <w:tcPr>
            <w:tcW w:w="0" w:type="auto"/>
            <w:shd w:val="clear" w:color="auto" w:fill="auto"/>
          </w:tcPr>
          <w:p w14:paraId="4821830C" w14:textId="77777777" w:rsidR="008C5CFA" w:rsidRPr="009C3005" w:rsidRDefault="00E82A60" w:rsidP="00300A01">
            <w:pPr>
              <w:pStyle w:val="Text1"/>
              <w:spacing w:before="0" w:after="0"/>
              <w:ind w:left="0"/>
              <w:rPr>
                <w:sz w:val="12"/>
                <w:szCs w:val="12"/>
              </w:rPr>
            </w:pPr>
            <w:r>
              <w:rPr>
                <w:noProof/>
                <w:sz w:val="14"/>
                <w:szCs w:val="14"/>
                <w:lang w:val="fr-BE"/>
              </w:rPr>
              <w:t>3</w:t>
            </w:r>
          </w:p>
        </w:tc>
        <w:tc>
          <w:tcPr>
            <w:tcW w:w="0" w:type="auto"/>
            <w:shd w:val="clear" w:color="auto" w:fill="auto"/>
          </w:tcPr>
          <w:p w14:paraId="48AD3721" w14:textId="77777777" w:rsidR="008C5CFA" w:rsidRPr="009C3005" w:rsidRDefault="00E82A60" w:rsidP="00300A01">
            <w:pPr>
              <w:pStyle w:val="Text1"/>
              <w:spacing w:before="0" w:after="0"/>
              <w:ind w:left="0"/>
              <w:rPr>
                <w:sz w:val="12"/>
                <w:szCs w:val="12"/>
              </w:rPr>
            </w:pPr>
            <w:r>
              <w:rPr>
                <w:noProof/>
                <w:sz w:val="12"/>
                <w:szCs w:val="12"/>
              </w:rPr>
              <w:t>EFRR</w:t>
            </w:r>
          </w:p>
        </w:tc>
        <w:tc>
          <w:tcPr>
            <w:tcW w:w="0" w:type="auto"/>
            <w:shd w:val="clear" w:color="auto" w:fill="auto"/>
          </w:tcPr>
          <w:p w14:paraId="3828C9AD" w14:textId="77777777" w:rsidR="008C5CFA" w:rsidRPr="009C3005" w:rsidRDefault="00E82A60" w:rsidP="00300A01">
            <w:pPr>
              <w:pStyle w:val="Text1"/>
              <w:spacing w:before="0" w:after="0"/>
              <w:ind w:left="0"/>
              <w:rPr>
                <w:sz w:val="12"/>
                <w:szCs w:val="12"/>
              </w:rPr>
            </w:pPr>
            <w:r>
              <w:rPr>
                <w:noProof/>
                <w:sz w:val="12"/>
                <w:szCs w:val="12"/>
              </w:rPr>
              <w:t>Słabiej rozwinięte</w:t>
            </w:r>
          </w:p>
        </w:tc>
        <w:tc>
          <w:tcPr>
            <w:tcW w:w="0" w:type="auto"/>
            <w:shd w:val="clear" w:color="auto" w:fill="auto"/>
          </w:tcPr>
          <w:p w14:paraId="0FCDBFC7" w14:textId="77777777" w:rsidR="008C5CFA" w:rsidRPr="009C3005" w:rsidRDefault="00E82A60" w:rsidP="00300A01">
            <w:pPr>
              <w:pStyle w:val="Text1"/>
              <w:spacing w:before="0" w:after="0"/>
              <w:ind w:left="0"/>
              <w:rPr>
                <w:sz w:val="12"/>
                <w:szCs w:val="12"/>
              </w:rPr>
            </w:pPr>
            <w:r>
              <w:rPr>
                <w:noProof/>
                <w:sz w:val="12"/>
                <w:szCs w:val="12"/>
              </w:rPr>
              <w:t>010</w:t>
            </w:r>
          </w:p>
        </w:tc>
        <w:tc>
          <w:tcPr>
            <w:tcW w:w="0" w:type="auto"/>
            <w:shd w:val="clear" w:color="auto" w:fill="auto"/>
          </w:tcPr>
          <w:p w14:paraId="6342E52C"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185EA573"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01FDE5CD"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0465A5B8" w14:textId="77777777" w:rsidR="008C5CFA" w:rsidRPr="009C3005" w:rsidRDefault="00E82A60" w:rsidP="00300A01">
            <w:pPr>
              <w:pStyle w:val="Text1"/>
              <w:spacing w:before="0" w:after="0"/>
              <w:ind w:left="0"/>
              <w:rPr>
                <w:sz w:val="12"/>
                <w:szCs w:val="12"/>
              </w:rPr>
            </w:pPr>
            <w:r>
              <w:rPr>
                <w:noProof/>
                <w:sz w:val="12"/>
                <w:szCs w:val="12"/>
              </w:rPr>
              <w:t>04</w:t>
            </w:r>
          </w:p>
        </w:tc>
        <w:tc>
          <w:tcPr>
            <w:tcW w:w="0" w:type="auto"/>
            <w:shd w:val="clear" w:color="auto" w:fill="auto"/>
          </w:tcPr>
          <w:p w14:paraId="4A9338D2" w14:textId="77777777" w:rsidR="008C5CFA" w:rsidRPr="009C3005" w:rsidRDefault="00E82A60" w:rsidP="00300A01">
            <w:pPr>
              <w:pStyle w:val="Text1"/>
              <w:spacing w:before="0" w:after="0"/>
              <w:ind w:left="0"/>
              <w:rPr>
                <w:sz w:val="12"/>
                <w:szCs w:val="12"/>
              </w:rPr>
            </w:pPr>
            <w:r>
              <w:rPr>
                <w:sz w:val="12"/>
                <w:szCs w:val="12"/>
              </w:rPr>
              <w:t xml:space="preserve"> </w:t>
            </w:r>
          </w:p>
        </w:tc>
        <w:tc>
          <w:tcPr>
            <w:tcW w:w="0" w:type="auto"/>
            <w:shd w:val="clear" w:color="auto" w:fill="auto"/>
          </w:tcPr>
          <w:p w14:paraId="0CF7AADF" w14:textId="77777777" w:rsidR="008C5CFA" w:rsidRPr="009C3005" w:rsidRDefault="00E82A60" w:rsidP="00300A01">
            <w:pPr>
              <w:pStyle w:val="Text1"/>
              <w:spacing w:before="0" w:after="0"/>
              <w:ind w:left="0"/>
              <w:rPr>
                <w:sz w:val="12"/>
                <w:szCs w:val="12"/>
              </w:rPr>
            </w:pPr>
            <w:r>
              <w:rPr>
                <w:noProof/>
                <w:sz w:val="12"/>
                <w:szCs w:val="12"/>
              </w:rPr>
              <w:t>18</w:t>
            </w:r>
          </w:p>
        </w:tc>
        <w:tc>
          <w:tcPr>
            <w:tcW w:w="0" w:type="auto"/>
            <w:shd w:val="clear" w:color="auto" w:fill="auto"/>
          </w:tcPr>
          <w:p w14:paraId="1462E85C" w14:textId="77777777" w:rsidR="008C5CFA" w:rsidRPr="009C3005" w:rsidRDefault="00E82A60" w:rsidP="00300A01">
            <w:pPr>
              <w:pStyle w:val="Text1"/>
              <w:spacing w:before="0" w:after="0"/>
              <w:ind w:left="0"/>
              <w:rPr>
                <w:sz w:val="12"/>
                <w:szCs w:val="12"/>
              </w:rPr>
            </w:pPr>
            <w:r>
              <w:rPr>
                <w:noProof/>
                <w:sz w:val="12"/>
                <w:szCs w:val="12"/>
              </w:rPr>
              <w:t>PL33</w:t>
            </w:r>
          </w:p>
        </w:tc>
        <w:tc>
          <w:tcPr>
            <w:tcW w:w="0" w:type="auto"/>
            <w:shd w:val="clear" w:color="auto" w:fill="auto"/>
          </w:tcPr>
          <w:p w14:paraId="3178BF81" w14:textId="77777777" w:rsidR="008C5CFA" w:rsidRPr="009C3005" w:rsidRDefault="00E82A60" w:rsidP="00300A01">
            <w:pPr>
              <w:pStyle w:val="Text1"/>
              <w:spacing w:before="0" w:after="0"/>
              <w:ind w:left="0"/>
              <w:jc w:val="right"/>
              <w:rPr>
                <w:sz w:val="12"/>
                <w:szCs w:val="12"/>
              </w:rPr>
            </w:pPr>
            <w:r w:rsidRPr="009C3005">
              <w:rPr>
                <w:noProof/>
                <w:sz w:val="12"/>
                <w:szCs w:val="12"/>
              </w:rPr>
              <w:t>935 277,96</w:t>
            </w:r>
          </w:p>
        </w:tc>
        <w:tc>
          <w:tcPr>
            <w:tcW w:w="0" w:type="auto"/>
            <w:shd w:val="clear" w:color="auto" w:fill="auto"/>
          </w:tcPr>
          <w:p w14:paraId="0057868B" w14:textId="77777777" w:rsidR="008C5CFA" w:rsidRPr="009C3005" w:rsidRDefault="00E82A60" w:rsidP="00300A01">
            <w:pPr>
              <w:pStyle w:val="Text1"/>
              <w:spacing w:before="0" w:after="0"/>
              <w:ind w:left="0"/>
              <w:jc w:val="right"/>
              <w:rPr>
                <w:sz w:val="12"/>
                <w:szCs w:val="12"/>
              </w:rPr>
            </w:pPr>
            <w:r w:rsidRPr="009C3005">
              <w:rPr>
                <w:noProof/>
                <w:sz w:val="12"/>
                <w:szCs w:val="12"/>
              </w:rPr>
              <w:t>935 277,96</w:t>
            </w:r>
          </w:p>
        </w:tc>
        <w:tc>
          <w:tcPr>
            <w:tcW w:w="0" w:type="auto"/>
            <w:shd w:val="clear" w:color="auto" w:fill="auto"/>
          </w:tcPr>
          <w:p w14:paraId="38D12B55" w14:textId="77777777" w:rsidR="008C5CFA" w:rsidRPr="009C3005" w:rsidRDefault="00E82A60" w:rsidP="00300A01">
            <w:pPr>
              <w:pStyle w:val="Text1"/>
              <w:spacing w:before="0" w:after="0"/>
              <w:ind w:left="0"/>
              <w:jc w:val="right"/>
              <w:rPr>
                <w:sz w:val="12"/>
                <w:szCs w:val="12"/>
              </w:rPr>
            </w:pPr>
            <w:r w:rsidRPr="009C3005">
              <w:rPr>
                <w:noProof/>
                <w:sz w:val="12"/>
                <w:szCs w:val="12"/>
              </w:rPr>
              <w:t>0,00</w:t>
            </w:r>
          </w:p>
        </w:tc>
        <w:tc>
          <w:tcPr>
            <w:tcW w:w="0" w:type="auto"/>
            <w:shd w:val="clear" w:color="auto" w:fill="auto"/>
          </w:tcPr>
          <w:p w14:paraId="4B78357F" w14:textId="77777777" w:rsidR="008C5CFA" w:rsidRPr="009C3005" w:rsidRDefault="00E82A60" w:rsidP="00300A01">
            <w:pPr>
              <w:pStyle w:val="Text1"/>
              <w:spacing w:before="0" w:after="0"/>
              <w:ind w:left="0"/>
              <w:jc w:val="right"/>
              <w:rPr>
                <w:sz w:val="12"/>
                <w:szCs w:val="12"/>
              </w:rPr>
            </w:pPr>
            <w:r w:rsidRPr="009C3005">
              <w:rPr>
                <w:noProof/>
                <w:sz w:val="12"/>
                <w:szCs w:val="12"/>
              </w:rPr>
              <w:t>1</w:t>
            </w:r>
          </w:p>
        </w:tc>
      </w:tr>
      <w:tr w:rsidR="006B2EC1" w14:paraId="1FB26100" w14:textId="77777777" w:rsidTr="0047688D">
        <w:tc>
          <w:tcPr>
            <w:tcW w:w="0" w:type="auto"/>
            <w:shd w:val="clear" w:color="auto" w:fill="auto"/>
          </w:tcPr>
          <w:p w14:paraId="3A7C3BD7" w14:textId="77777777" w:rsidR="008C5CFA" w:rsidRPr="009C3005" w:rsidRDefault="00E82A60" w:rsidP="00300A01">
            <w:pPr>
              <w:pStyle w:val="Text1"/>
              <w:spacing w:before="0" w:after="0"/>
              <w:ind w:left="0"/>
              <w:rPr>
                <w:sz w:val="12"/>
                <w:szCs w:val="12"/>
              </w:rPr>
            </w:pPr>
            <w:r>
              <w:rPr>
                <w:noProof/>
                <w:sz w:val="14"/>
                <w:szCs w:val="14"/>
                <w:lang w:val="fr-BE"/>
              </w:rPr>
              <w:t>3</w:t>
            </w:r>
          </w:p>
        </w:tc>
        <w:tc>
          <w:tcPr>
            <w:tcW w:w="0" w:type="auto"/>
            <w:shd w:val="clear" w:color="auto" w:fill="auto"/>
          </w:tcPr>
          <w:p w14:paraId="4B108298" w14:textId="77777777" w:rsidR="008C5CFA" w:rsidRPr="009C3005" w:rsidRDefault="00E82A60" w:rsidP="00300A01">
            <w:pPr>
              <w:pStyle w:val="Text1"/>
              <w:spacing w:before="0" w:after="0"/>
              <w:ind w:left="0"/>
              <w:rPr>
                <w:sz w:val="12"/>
                <w:szCs w:val="12"/>
              </w:rPr>
            </w:pPr>
            <w:r>
              <w:rPr>
                <w:noProof/>
                <w:sz w:val="12"/>
                <w:szCs w:val="12"/>
              </w:rPr>
              <w:t>EFRR</w:t>
            </w:r>
          </w:p>
        </w:tc>
        <w:tc>
          <w:tcPr>
            <w:tcW w:w="0" w:type="auto"/>
            <w:shd w:val="clear" w:color="auto" w:fill="auto"/>
          </w:tcPr>
          <w:p w14:paraId="536ED2BD" w14:textId="77777777" w:rsidR="008C5CFA" w:rsidRPr="009C3005" w:rsidRDefault="00E82A60" w:rsidP="00300A01">
            <w:pPr>
              <w:pStyle w:val="Text1"/>
              <w:spacing w:before="0" w:after="0"/>
              <w:ind w:left="0"/>
              <w:rPr>
                <w:sz w:val="12"/>
                <w:szCs w:val="12"/>
              </w:rPr>
            </w:pPr>
            <w:r>
              <w:rPr>
                <w:noProof/>
                <w:sz w:val="12"/>
                <w:szCs w:val="12"/>
              </w:rPr>
              <w:t>Słabiej rozwinięte</w:t>
            </w:r>
          </w:p>
        </w:tc>
        <w:tc>
          <w:tcPr>
            <w:tcW w:w="0" w:type="auto"/>
            <w:shd w:val="clear" w:color="auto" w:fill="auto"/>
          </w:tcPr>
          <w:p w14:paraId="5D978E7A" w14:textId="77777777" w:rsidR="008C5CFA" w:rsidRPr="009C3005" w:rsidRDefault="00E82A60" w:rsidP="00300A01">
            <w:pPr>
              <w:pStyle w:val="Text1"/>
              <w:spacing w:before="0" w:after="0"/>
              <w:ind w:left="0"/>
              <w:rPr>
                <w:sz w:val="12"/>
                <w:szCs w:val="12"/>
              </w:rPr>
            </w:pPr>
            <w:r>
              <w:rPr>
                <w:noProof/>
                <w:sz w:val="12"/>
                <w:szCs w:val="12"/>
              </w:rPr>
              <w:t>010</w:t>
            </w:r>
          </w:p>
        </w:tc>
        <w:tc>
          <w:tcPr>
            <w:tcW w:w="0" w:type="auto"/>
            <w:shd w:val="clear" w:color="auto" w:fill="auto"/>
          </w:tcPr>
          <w:p w14:paraId="1A41B4CA"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65C17462" w14:textId="77777777" w:rsidR="008C5CFA" w:rsidRPr="009C3005" w:rsidRDefault="00E82A60" w:rsidP="00300A01">
            <w:pPr>
              <w:pStyle w:val="Text1"/>
              <w:spacing w:before="0" w:after="0"/>
              <w:ind w:left="0"/>
              <w:rPr>
                <w:sz w:val="12"/>
                <w:szCs w:val="12"/>
              </w:rPr>
            </w:pPr>
            <w:r>
              <w:rPr>
                <w:noProof/>
                <w:sz w:val="12"/>
                <w:szCs w:val="12"/>
              </w:rPr>
              <w:t>02</w:t>
            </w:r>
          </w:p>
        </w:tc>
        <w:tc>
          <w:tcPr>
            <w:tcW w:w="0" w:type="auto"/>
            <w:shd w:val="clear" w:color="auto" w:fill="auto"/>
          </w:tcPr>
          <w:p w14:paraId="499ACCFC"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52B6C347" w14:textId="77777777" w:rsidR="008C5CFA" w:rsidRPr="009C3005" w:rsidRDefault="00E82A60" w:rsidP="00300A01">
            <w:pPr>
              <w:pStyle w:val="Text1"/>
              <w:spacing w:before="0" w:after="0"/>
              <w:ind w:left="0"/>
              <w:rPr>
                <w:sz w:val="12"/>
                <w:szCs w:val="12"/>
              </w:rPr>
            </w:pPr>
            <w:r>
              <w:rPr>
                <w:noProof/>
                <w:sz w:val="12"/>
                <w:szCs w:val="12"/>
              </w:rPr>
              <w:t>04</w:t>
            </w:r>
          </w:p>
        </w:tc>
        <w:tc>
          <w:tcPr>
            <w:tcW w:w="0" w:type="auto"/>
            <w:shd w:val="clear" w:color="auto" w:fill="auto"/>
          </w:tcPr>
          <w:p w14:paraId="486E4B91" w14:textId="77777777" w:rsidR="008C5CFA" w:rsidRPr="009C3005" w:rsidRDefault="00E82A60" w:rsidP="00300A01">
            <w:pPr>
              <w:pStyle w:val="Text1"/>
              <w:spacing w:before="0" w:after="0"/>
              <w:ind w:left="0"/>
              <w:rPr>
                <w:sz w:val="12"/>
                <w:szCs w:val="12"/>
              </w:rPr>
            </w:pPr>
            <w:r>
              <w:rPr>
                <w:sz w:val="12"/>
                <w:szCs w:val="12"/>
              </w:rPr>
              <w:t xml:space="preserve"> </w:t>
            </w:r>
          </w:p>
        </w:tc>
        <w:tc>
          <w:tcPr>
            <w:tcW w:w="0" w:type="auto"/>
            <w:shd w:val="clear" w:color="auto" w:fill="auto"/>
          </w:tcPr>
          <w:p w14:paraId="4A55CC2C" w14:textId="77777777" w:rsidR="008C5CFA" w:rsidRPr="009C3005" w:rsidRDefault="00E82A60" w:rsidP="00300A01">
            <w:pPr>
              <w:pStyle w:val="Text1"/>
              <w:spacing w:before="0" w:after="0"/>
              <w:ind w:left="0"/>
              <w:rPr>
                <w:sz w:val="12"/>
                <w:szCs w:val="12"/>
              </w:rPr>
            </w:pPr>
            <w:r>
              <w:rPr>
                <w:noProof/>
                <w:sz w:val="12"/>
                <w:szCs w:val="12"/>
              </w:rPr>
              <w:t>09</w:t>
            </w:r>
          </w:p>
        </w:tc>
        <w:tc>
          <w:tcPr>
            <w:tcW w:w="0" w:type="auto"/>
            <w:shd w:val="clear" w:color="auto" w:fill="auto"/>
          </w:tcPr>
          <w:p w14:paraId="58868D4C" w14:textId="77777777" w:rsidR="008C5CFA" w:rsidRPr="009C3005" w:rsidRDefault="00E82A60" w:rsidP="00300A01">
            <w:pPr>
              <w:pStyle w:val="Text1"/>
              <w:spacing w:before="0" w:after="0"/>
              <w:ind w:left="0"/>
              <w:rPr>
                <w:sz w:val="12"/>
                <w:szCs w:val="12"/>
              </w:rPr>
            </w:pPr>
            <w:r>
              <w:rPr>
                <w:noProof/>
                <w:sz w:val="12"/>
                <w:szCs w:val="12"/>
              </w:rPr>
              <w:t>PL33</w:t>
            </w:r>
          </w:p>
        </w:tc>
        <w:tc>
          <w:tcPr>
            <w:tcW w:w="0" w:type="auto"/>
            <w:shd w:val="clear" w:color="auto" w:fill="auto"/>
          </w:tcPr>
          <w:p w14:paraId="3CE78A3B" w14:textId="77777777" w:rsidR="008C5CFA" w:rsidRPr="009C3005" w:rsidRDefault="00E82A60" w:rsidP="00300A01">
            <w:pPr>
              <w:pStyle w:val="Text1"/>
              <w:spacing w:before="0" w:after="0"/>
              <w:ind w:left="0"/>
              <w:jc w:val="right"/>
              <w:rPr>
                <w:sz w:val="12"/>
                <w:szCs w:val="12"/>
              </w:rPr>
            </w:pPr>
            <w:r w:rsidRPr="009C3005">
              <w:rPr>
                <w:noProof/>
                <w:sz w:val="12"/>
                <w:szCs w:val="12"/>
              </w:rPr>
              <w:t>611 840,75</w:t>
            </w:r>
          </w:p>
        </w:tc>
        <w:tc>
          <w:tcPr>
            <w:tcW w:w="0" w:type="auto"/>
            <w:shd w:val="clear" w:color="auto" w:fill="auto"/>
          </w:tcPr>
          <w:p w14:paraId="19AEC94F" w14:textId="77777777" w:rsidR="008C5CFA" w:rsidRPr="009C3005" w:rsidRDefault="00E82A60" w:rsidP="00300A01">
            <w:pPr>
              <w:pStyle w:val="Text1"/>
              <w:spacing w:before="0" w:after="0"/>
              <w:ind w:left="0"/>
              <w:jc w:val="right"/>
              <w:rPr>
                <w:sz w:val="12"/>
                <w:szCs w:val="12"/>
              </w:rPr>
            </w:pPr>
            <w:r w:rsidRPr="009C3005">
              <w:rPr>
                <w:noProof/>
                <w:sz w:val="12"/>
                <w:szCs w:val="12"/>
              </w:rPr>
              <w:t>428 288,53</w:t>
            </w:r>
          </w:p>
        </w:tc>
        <w:tc>
          <w:tcPr>
            <w:tcW w:w="0" w:type="auto"/>
            <w:shd w:val="clear" w:color="auto" w:fill="auto"/>
          </w:tcPr>
          <w:p w14:paraId="616DA74D" w14:textId="77777777" w:rsidR="008C5CFA" w:rsidRPr="009C3005" w:rsidRDefault="00E82A60" w:rsidP="00300A01">
            <w:pPr>
              <w:pStyle w:val="Text1"/>
              <w:spacing w:before="0" w:after="0"/>
              <w:ind w:left="0"/>
              <w:jc w:val="right"/>
              <w:rPr>
                <w:sz w:val="12"/>
                <w:szCs w:val="12"/>
              </w:rPr>
            </w:pPr>
            <w:r w:rsidRPr="009C3005">
              <w:rPr>
                <w:noProof/>
                <w:sz w:val="12"/>
                <w:szCs w:val="12"/>
              </w:rPr>
              <w:t>611 840,75</w:t>
            </w:r>
          </w:p>
        </w:tc>
        <w:tc>
          <w:tcPr>
            <w:tcW w:w="0" w:type="auto"/>
            <w:shd w:val="clear" w:color="auto" w:fill="auto"/>
          </w:tcPr>
          <w:p w14:paraId="46B81960" w14:textId="77777777" w:rsidR="008C5CFA" w:rsidRPr="009C3005" w:rsidRDefault="00E82A60" w:rsidP="00300A01">
            <w:pPr>
              <w:pStyle w:val="Text1"/>
              <w:spacing w:before="0" w:after="0"/>
              <w:ind w:left="0"/>
              <w:jc w:val="right"/>
              <w:rPr>
                <w:sz w:val="12"/>
                <w:szCs w:val="12"/>
              </w:rPr>
            </w:pPr>
            <w:r w:rsidRPr="009C3005">
              <w:rPr>
                <w:noProof/>
                <w:sz w:val="12"/>
                <w:szCs w:val="12"/>
              </w:rPr>
              <w:t>1</w:t>
            </w:r>
          </w:p>
        </w:tc>
      </w:tr>
      <w:tr w:rsidR="006B2EC1" w14:paraId="7AC3714B" w14:textId="77777777" w:rsidTr="0047688D">
        <w:tc>
          <w:tcPr>
            <w:tcW w:w="0" w:type="auto"/>
            <w:shd w:val="clear" w:color="auto" w:fill="auto"/>
          </w:tcPr>
          <w:p w14:paraId="194010C6" w14:textId="77777777" w:rsidR="008C5CFA" w:rsidRPr="009C3005" w:rsidRDefault="00E82A60" w:rsidP="00300A01">
            <w:pPr>
              <w:pStyle w:val="Text1"/>
              <w:spacing w:before="0" w:after="0"/>
              <w:ind w:left="0"/>
              <w:rPr>
                <w:sz w:val="12"/>
                <w:szCs w:val="12"/>
              </w:rPr>
            </w:pPr>
            <w:r>
              <w:rPr>
                <w:noProof/>
                <w:sz w:val="14"/>
                <w:szCs w:val="14"/>
                <w:lang w:val="fr-BE"/>
              </w:rPr>
              <w:t>3</w:t>
            </w:r>
          </w:p>
        </w:tc>
        <w:tc>
          <w:tcPr>
            <w:tcW w:w="0" w:type="auto"/>
            <w:shd w:val="clear" w:color="auto" w:fill="auto"/>
          </w:tcPr>
          <w:p w14:paraId="49D03241" w14:textId="77777777" w:rsidR="008C5CFA" w:rsidRPr="009C3005" w:rsidRDefault="00E82A60" w:rsidP="00300A01">
            <w:pPr>
              <w:pStyle w:val="Text1"/>
              <w:spacing w:before="0" w:after="0"/>
              <w:ind w:left="0"/>
              <w:rPr>
                <w:sz w:val="12"/>
                <w:szCs w:val="12"/>
              </w:rPr>
            </w:pPr>
            <w:r>
              <w:rPr>
                <w:noProof/>
                <w:sz w:val="12"/>
                <w:szCs w:val="12"/>
              </w:rPr>
              <w:t>EFRR</w:t>
            </w:r>
          </w:p>
        </w:tc>
        <w:tc>
          <w:tcPr>
            <w:tcW w:w="0" w:type="auto"/>
            <w:shd w:val="clear" w:color="auto" w:fill="auto"/>
          </w:tcPr>
          <w:p w14:paraId="5324B58A" w14:textId="77777777" w:rsidR="008C5CFA" w:rsidRPr="009C3005" w:rsidRDefault="00E82A60" w:rsidP="00300A01">
            <w:pPr>
              <w:pStyle w:val="Text1"/>
              <w:spacing w:before="0" w:after="0"/>
              <w:ind w:left="0"/>
              <w:rPr>
                <w:sz w:val="12"/>
                <w:szCs w:val="12"/>
              </w:rPr>
            </w:pPr>
            <w:r>
              <w:rPr>
                <w:noProof/>
                <w:sz w:val="12"/>
                <w:szCs w:val="12"/>
              </w:rPr>
              <w:t>Słabiej rozwinięte</w:t>
            </w:r>
          </w:p>
        </w:tc>
        <w:tc>
          <w:tcPr>
            <w:tcW w:w="0" w:type="auto"/>
            <w:shd w:val="clear" w:color="auto" w:fill="auto"/>
          </w:tcPr>
          <w:p w14:paraId="42554560" w14:textId="77777777" w:rsidR="008C5CFA" w:rsidRPr="009C3005" w:rsidRDefault="00E82A60" w:rsidP="00300A01">
            <w:pPr>
              <w:pStyle w:val="Text1"/>
              <w:spacing w:before="0" w:after="0"/>
              <w:ind w:left="0"/>
              <w:rPr>
                <w:sz w:val="12"/>
                <w:szCs w:val="12"/>
              </w:rPr>
            </w:pPr>
            <w:r>
              <w:rPr>
                <w:noProof/>
                <w:sz w:val="12"/>
                <w:szCs w:val="12"/>
              </w:rPr>
              <w:t>010</w:t>
            </w:r>
          </w:p>
        </w:tc>
        <w:tc>
          <w:tcPr>
            <w:tcW w:w="0" w:type="auto"/>
            <w:shd w:val="clear" w:color="auto" w:fill="auto"/>
          </w:tcPr>
          <w:p w14:paraId="5C535056"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033DD2A1" w14:textId="77777777" w:rsidR="008C5CFA" w:rsidRPr="009C3005" w:rsidRDefault="00E82A60" w:rsidP="00300A01">
            <w:pPr>
              <w:pStyle w:val="Text1"/>
              <w:spacing w:before="0" w:after="0"/>
              <w:ind w:left="0"/>
              <w:rPr>
                <w:sz w:val="12"/>
                <w:szCs w:val="12"/>
              </w:rPr>
            </w:pPr>
            <w:r>
              <w:rPr>
                <w:noProof/>
                <w:sz w:val="12"/>
                <w:szCs w:val="12"/>
              </w:rPr>
              <w:t>02</w:t>
            </w:r>
          </w:p>
        </w:tc>
        <w:tc>
          <w:tcPr>
            <w:tcW w:w="0" w:type="auto"/>
            <w:shd w:val="clear" w:color="auto" w:fill="auto"/>
          </w:tcPr>
          <w:p w14:paraId="75C626BA"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4DC8AF46" w14:textId="77777777" w:rsidR="008C5CFA" w:rsidRPr="009C3005" w:rsidRDefault="00E82A60" w:rsidP="00300A01">
            <w:pPr>
              <w:pStyle w:val="Text1"/>
              <w:spacing w:before="0" w:after="0"/>
              <w:ind w:left="0"/>
              <w:rPr>
                <w:sz w:val="12"/>
                <w:szCs w:val="12"/>
              </w:rPr>
            </w:pPr>
            <w:r>
              <w:rPr>
                <w:noProof/>
                <w:sz w:val="12"/>
                <w:szCs w:val="12"/>
              </w:rPr>
              <w:t>04</w:t>
            </w:r>
          </w:p>
        </w:tc>
        <w:tc>
          <w:tcPr>
            <w:tcW w:w="0" w:type="auto"/>
            <w:shd w:val="clear" w:color="auto" w:fill="auto"/>
          </w:tcPr>
          <w:p w14:paraId="26F8EB05" w14:textId="77777777" w:rsidR="008C5CFA" w:rsidRPr="009C3005" w:rsidRDefault="00E82A60" w:rsidP="00300A01">
            <w:pPr>
              <w:pStyle w:val="Text1"/>
              <w:spacing w:before="0" w:after="0"/>
              <w:ind w:left="0"/>
              <w:rPr>
                <w:sz w:val="12"/>
                <w:szCs w:val="12"/>
              </w:rPr>
            </w:pPr>
            <w:r>
              <w:rPr>
                <w:sz w:val="12"/>
                <w:szCs w:val="12"/>
              </w:rPr>
              <w:t xml:space="preserve"> </w:t>
            </w:r>
          </w:p>
        </w:tc>
        <w:tc>
          <w:tcPr>
            <w:tcW w:w="0" w:type="auto"/>
            <w:shd w:val="clear" w:color="auto" w:fill="auto"/>
          </w:tcPr>
          <w:p w14:paraId="365CE972" w14:textId="77777777" w:rsidR="008C5CFA" w:rsidRPr="009C3005" w:rsidRDefault="00E82A60" w:rsidP="00300A01">
            <w:pPr>
              <w:pStyle w:val="Text1"/>
              <w:spacing w:before="0" w:after="0"/>
              <w:ind w:left="0"/>
              <w:rPr>
                <w:sz w:val="12"/>
                <w:szCs w:val="12"/>
              </w:rPr>
            </w:pPr>
            <w:r>
              <w:rPr>
                <w:noProof/>
                <w:sz w:val="12"/>
                <w:szCs w:val="12"/>
              </w:rPr>
              <w:t>10</w:t>
            </w:r>
          </w:p>
        </w:tc>
        <w:tc>
          <w:tcPr>
            <w:tcW w:w="0" w:type="auto"/>
            <w:shd w:val="clear" w:color="auto" w:fill="auto"/>
          </w:tcPr>
          <w:p w14:paraId="257490F5" w14:textId="77777777" w:rsidR="008C5CFA" w:rsidRPr="009C3005" w:rsidRDefault="00E82A60" w:rsidP="00300A01">
            <w:pPr>
              <w:pStyle w:val="Text1"/>
              <w:spacing w:before="0" w:after="0"/>
              <w:ind w:left="0"/>
              <w:rPr>
                <w:sz w:val="12"/>
                <w:szCs w:val="12"/>
              </w:rPr>
            </w:pPr>
            <w:r>
              <w:rPr>
                <w:noProof/>
                <w:sz w:val="12"/>
                <w:szCs w:val="12"/>
              </w:rPr>
              <w:t>PL33</w:t>
            </w:r>
          </w:p>
        </w:tc>
        <w:tc>
          <w:tcPr>
            <w:tcW w:w="0" w:type="auto"/>
            <w:shd w:val="clear" w:color="auto" w:fill="auto"/>
          </w:tcPr>
          <w:p w14:paraId="03E9D8FB" w14:textId="77777777" w:rsidR="008C5CFA" w:rsidRPr="009C3005" w:rsidRDefault="00E82A60" w:rsidP="00300A01">
            <w:pPr>
              <w:pStyle w:val="Text1"/>
              <w:spacing w:before="0" w:after="0"/>
              <w:ind w:left="0"/>
              <w:jc w:val="right"/>
              <w:rPr>
                <w:sz w:val="12"/>
                <w:szCs w:val="12"/>
              </w:rPr>
            </w:pPr>
            <w:r w:rsidRPr="009C3005">
              <w:rPr>
                <w:noProof/>
                <w:sz w:val="12"/>
                <w:szCs w:val="12"/>
              </w:rPr>
              <w:t>2 170 796,53</w:t>
            </w:r>
          </w:p>
        </w:tc>
        <w:tc>
          <w:tcPr>
            <w:tcW w:w="0" w:type="auto"/>
            <w:shd w:val="clear" w:color="auto" w:fill="auto"/>
          </w:tcPr>
          <w:p w14:paraId="3D35BDB8" w14:textId="77777777" w:rsidR="008C5CFA" w:rsidRPr="009C3005" w:rsidRDefault="00E82A60" w:rsidP="00300A01">
            <w:pPr>
              <w:pStyle w:val="Text1"/>
              <w:spacing w:before="0" w:after="0"/>
              <w:ind w:left="0"/>
              <w:jc w:val="right"/>
              <w:rPr>
                <w:sz w:val="12"/>
                <w:szCs w:val="12"/>
              </w:rPr>
            </w:pPr>
            <w:r w:rsidRPr="009C3005">
              <w:rPr>
                <w:noProof/>
                <w:sz w:val="12"/>
                <w:szCs w:val="12"/>
              </w:rPr>
              <w:t>1 396 342,52</w:t>
            </w:r>
          </w:p>
        </w:tc>
        <w:tc>
          <w:tcPr>
            <w:tcW w:w="0" w:type="auto"/>
            <w:shd w:val="clear" w:color="auto" w:fill="auto"/>
          </w:tcPr>
          <w:p w14:paraId="51BC1FF2" w14:textId="77777777" w:rsidR="008C5CFA" w:rsidRPr="009C3005" w:rsidRDefault="00E82A60" w:rsidP="00300A01">
            <w:pPr>
              <w:pStyle w:val="Text1"/>
              <w:spacing w:before="0" w:after="0"/>
              <w:ind w:left="0"/>
              <w:jc w:val="right"/>
              <w:rPr>
                <w:sz w:val="12"/>
                <w:szCs w:val="12"/>
              </w:rPr>
            </w:pPr>
            <w:r w:rsidRPr="009C3005">
              <w:rPr>
                <w:noProof/>
                <w:sz w:val="12"/>
                <w:szCs w:val="12"/>
              </w:rPr>
              <w:t>851 226,80</w:t>
            </w:r>
          </w:p>
        </w:tc>
        <w:tc>
          <w:tcPr>
            <w:tcW w:w="0" w:type="auto"/>
            <w:shd w:val="clear" w:color="auto" w:fill="auto"/>
          </w:tcPr>
          <w:p w14:paraId="39227A87" w14:textId="77777777" w:rsidR="008C5CFA" w:rsidRPr="009C3005" w:rsidRDefault="00E82A60" w:rsidP="00300A01">
            <w:pPr>
              <w:pStyle w:val="Text1"/>
              <w:spacing w:before="0" w:after="0"/>
              <w:ind w:left="0"/>
              <w:jc w:val="right"/>
              <w:rPr>
                <w:sz w:val="12"/>
                <w:szCs w:val="12"/>
              </w:rPr>
            </w:pPr>
            <w:r w:rsidRPr="009C3005">
              <w:rPr>
                <w:noProof/>
                <w:sz w:val="12"/>
                <w:szCs w:val="12"/>
              </w:rPr>
              <w:t>4</w:t>
            </w:r>
          </w:p>
        </w:tc>
      </w:tr>
      <w:tr w:rsidR="006B2EC1" w14:paraId="0450468E" w14:textId="77777777" w:rsidTr="0047688D">
        <w:tc>
          <w:tcPr>
            <w:tcW w:w="0" w:type="auto"/>
            <w:shd w:val="clear" w:color="auto" w:fill="auto"/>
          </w:tcPr>
          <w:p w14:paraId="36DE4BCC" w14:textId="77777777" w:rsidR="008C5CFA" w:rsidRPr="009C3005" w:rsidRDefault="00E82A60" w:rsidP="00300A01">
            <w:pPr>
              <w:pStyle w:val="Text1"/>
              <w:spacing w:before="0" w:after="0"/>
              <w:ind w:left="0"/>
              <w:rPr>
                <w:sz w:val="12"/>
                <w:szCs w:val="12"/>
              </w:rPr>
            </w:pPr>
            <w:r>
              <w:rPr>
                <w:noProof/>
                <w:sz w:val="14"/>
                <w:szCs w:val="14"/>
                <w:lang w:val="fr-BE"/>
              </w:rPr>
              <w:t>3</w:t>
            </w:r>
          </w:p>
        </w:tc>
        <w:tc>
          <w:tcPr>
            <w:tcW w:w="0" w:type="auto"/>
            <w:shd w:val="clear" w:color="auto" w:fill="auto"/>
          </w:tcPr>
          <w:p w14:paraId="090EAD33" w14:textId="77777777" w:rsidR="008C5CFA" w:rsidRPr="009C3005" w:rsidRDefault="00E82A60" w:rsidP="00300A01">
            <w:pPr>
              <w:pStyle w:val="Text1"/>
              <w:spacing w:before="0" w:after="0"/>
              <w:ind w:left="0"/>
              <w:rPr>
                <w:sz w:val="12"/>
                <w:szCs w:val="12"/>
              </w:rPr>
            </w:pPr>
            <w:r>
              <w:rPr>
                <w:noProof/>
                <w:sz w:val="12"/>
                <w:szCs w:val="12"/>
              </w:rPr>
              <w:t>EFRR</w:t>
            </w:r>
          </w:p>
        </w:tc>
        <w:tc>
          <w:tcPr>
            <w:tcW w:w="0" w:type="auto"/>
            <w:shd w:val="clear" w:color="auto" w:fill="auto"/>
          </w:tcPr>
          <w:p w14:paraId="13173A13" w14:textId="77777777" w:rsidR="008C5CFA" w:rsidRPr="009C3005" w:rsidRDefault="00E82A60" w:rsidP="00300A01">
            <w:pPr>
              <w:pStyle w:val="Text1"/>
              <w:spacing w:before="0" w:after="0"/>
              <w:ind w:left="0"/>
              <w:rPr>
                <w:sz w:val="12"/>
                <w:szCs w:val="12"/>
              </w:rPr>
            </w:pPr>
            <w:r>
              <w:rPr>
                <w:noProof/>
                <w:sz w:val="12"/>
                <w:szCs w:val="12"/>
              </w:rPr>
              <w:t>Słabiej rozwinięte</w:t>
            </w:r>
          </w:p>
        </w:tc>
        <w:tc>
          <w:tcPr>
            <w:tcW w:w="0" w:type="auto"/>
            <w:shd w:val="clear" w:color="auto" w:fill="auto"/>
          </w:tcPr>
          <w:p w14:paraId="7D1B9562" w14:textId="77777777" w:rsidR="008C5CFA" w:rsidRPr="009C3005" w:rsidRDefault="00E82A60" w:rsidP="00300A01">
            <w:pPr>
              <w:pStyle w:val="Text1"/>
              <w:spacing w:before="0" w:after="0"/>
              <w:ind w:left="0"/>
              <w:rPr>
                <w:sz w:val="12"/>
                <w:szCs w:val="12"/>
              </w:rPr>
            </w:pPr>
            <w:r>
              <w:rPr>
                <w:noProof/>
                <w:sz w:val="12"/>
                <w:szCs w:val="12"/>
              </w:rPr>
              <w:t>010</w:t>
            </w:r>
          </w:p>
        </w:tc>
        <w:tc>
          <w:tcPr>
            <w:tcW w:w="0" w:type="auto"/>
            <w:shd w:val="clear" w:color="auto" w:fill="auto"/>
          </w:tcPr>
          <w:p w14:paraId="263ED06E"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52CEE14E" w14:textId="77777777" w:rsidR="008C5CFA" w:rsidRPr="009C3005" w:rsidRDefault="00E82A60" w:rsidP="00300A01">
            <w:pPr>
              <w:pStyle w:val="Text1"/>
              <w:spacing w:before="0" w:after="0"/>
              <w:ind w:left="0"/>
              <w:rPr>
                <w:sz w:val="12"/>
                <w:szCs w:val="12"/>
              </w:rPr>
            </w:pPr>
            <w:r>
              <w:rPr>
                <w:noProof/>
                <w:sz w:val="12"/>
                <w:szCs w:val="12"/>
              </w:rPr>
              <w:t>02</w:t>
            </w:r>
          </w:p>
        </w:tc>
        <w:tc>
          <w:tcPr>
            <w:tcW w:w="0" w:type="auto"/>
            <w:shd w:val="clear" w:color="auto" w:fill="auto"/>
          </w:tcPr>
          <w:p w14:paraId="65A642E7"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36618264" w14:textId="77777777" w:rsidR="008C5CFA" w:rsidRPr="009C3005" w:rsidRDefault="00E82A60" w:rsidP="00300A01">
            <w:pPr>
              <w:pStyle w:val="Text1"/>
              <w:spacing w:before="0" w:after="0"/>
              <w:ind w:left="0"/>
              <w:rPr>
                <w:sz w:val="12"/>
                <w:szCs w:val="12"/>
              </w:rPr>
            </w:pPr>
            <w:r>
              <w:rPr>
                <w:noProof/>
                <w:sz w:val="12"/>
                <w:szCs w:val="12"/>
              </w:rPr>
              <w:t>04</w:t>
            </w:r>
          </w:p>
        </w:tc>
        <w:tc>
          <w:tcPr>
            <w:tcW w:w="0" w:type="auto"/>
            <w:shd w:val="clear" w:color="auto" w:fill="auto"/>
          </w:tcPr>
          <w:p w14:paraId="55D41470" w14:textId="77777777" w:rsidR="008C5CFA" w:rsidRPr="009C3005" w:rsidRDefault="00E82A60" w:rsidP="00300A01">
            <w:pPr>
              <w:pStyle w:val="Text1"/>
              <w:spacing w:before="0" w:after="0"/>
              <w:ind w:left="0"/>
              <w:rPr>
                <w:sz w:val="12"/>
                <w:szCs w:val="12"/>
              </w:rPr>
            </w:pPr>
            <w:r>
              <w:rPr>
                <w:sz w:val="12"/>
                <w:szCs w:val="12"/>
              </w:rPr>
              <w:t xml:space="preserve"> </w:t>
            </w:r>
          </w:p>
        </w:tc>
        <w:tc>
          <w:tcPr>
            <w:tcW w:w="0" w:type="auto"/>
            <w:shd w:val="clear" w:color="auto" w:fill="auto"/>
          </w:tcPr>
          <w:p w14:paraId="4420EBEC" w14:textId="77777777" w:rsidR="008C5CFA" w:rsidRPr="009C3005" w:rsidRDefault="00E82A60" w:rsidP="00300A01">
            <w:pPr>
              <w:pStyle w:val="Text1"/>
              <w:spacing w:before="0" w:after="0"/>
              <w:ind w:left="0"/>
              <w:rPr>
                <w:sz w:val="12"/>
                <w:szCs w:val="12"/>
              </w:rPr>
            </w:pPr>
            <w:r>
              <w:rPr>
                <w:noProof/>
                <w:sz w:val="12"/>
                <w:szCs w:val="12"/>
              </w:rPr>
              <w:t>18</w:t>
            </w:r>
          </w:p>
        </w:tc>
        <w:tc>
          <w:tcPr>
            <w:tcW w:w="0" w:type="auto"/>
            <w:shd w:val="clear" w:color="auto" w:fill="auto"/>
          </w:tcPr>
          <w:p w14:paraId="3E079167" w14:textId="77777777" w:rsidR="008C5CFA" w:rsidRPr="009C3005" w:rsidRDefault="00E82A60" w:rsidP="00300A01">
            <w:pPr>
              <w:pStyle w:val="Text1"/>
              <w:spacing w:before="0" w:after="0"/>
              <w:ind w:left="0"/>
              <w:rPr>
                <w:sz w:val="12"/>
                <w:szCs w:val="12"/>
              </w:rPr>
            </w:pPr>
            <w:r>
              <w:rPr>
                <w:noProof/>
                <w:sz w:val="12"/>
                <w:szCs w:val="12"/>
              </w:rPr>
              <w:t>PL33</w:t>
            </w:r>
          </w:p>
        </w:tc>
        <w:tc>
          <w:tcPr>
            <w:tcW w:w="0" w:type="auto"/>
            <w:shd w:val="clear" w:color="auto" w:fill="auto"/>
          </w:tcPr>
          <w:p w14:paraId="4361FFFF" w14:textId="77777777" w:rsidR="008C5CFA" w:rsidRPr="009C3005" w:rsidRDefault="00E82A60" w:rsidP="00300A01">
            <w:pPr>
              <w:pStyle w:val="Text1"/>
              <w:spacing w:before="0" w:after="0"/>
              <w:ind w:left="0"/>
              <w:jc w:val="right"/>
              <w:rPr>
                <w:sz w:val="12"/>
                <w:szCs w:val="12"/>
              </w:rPr>
            </w:pPr>
            <w:r w:rsidRPr="009C3005">
              <w:rPr>
                <w:noProof/>
                <w:sz w:val="12"/>
                <w:szCs w:val="12"/>
              </w:rPr>
              <w:t>7 481 887,99</w:t>
            </w:r>
          </w:p>
        </w:tc>
        <w:tc>
          <w:tcPr>
            <w:tcW w:w="0" w:type="auto"/>
            <w:shd w:val="clear" w:color="auto" w:fill="auto"/>
          </w:tcPr>
          <w:p w14:paraId="21A6C2D7" w14:textId="77777777" w:rsidR="008C5CFA" w:rsidRPr="009C3005" w:rsidRDefault="00E82A60" w:rsidP="00300A01">
            <w:pPr>
              <w:pStyle w:val="Text1"/>
              <w:spacing w:before="0" w:after="0"/>
              <w:ind w:left="0"/>
              <w:jc w:val="right"/>
              <w:rPr>
                <w:sz w:val="12"/>
                <w:szCs w:val="12"/>
              </w:rPr>
            </w:pPr>
            <w:r w:rsidRPr="009C3005">
              <w:rPr>
                <w:noProof/>
                <w:sz w:val="12"/>
                <w:szCs w:val="12"/>
              </w:rPr>
              <w:t>7 481 887,99</w:t>
            </w:r>
          </w:p>
        </w:tc>
        <w:tc>
          <w:tcPr>
            <w:tcW w:w="0" w:type="auto"/>
            <w:shd w:val="clear" w:color="auto" w:fill="auto"/>
          </w:tcPr>
          <w:p w14:paraId="158D667C" w14:textId="77777777" w:rsidR="008C5CFA" w:rsidRPr="009C3005" w:rsidRDefault="00E82A60" w:rsidP="00300A01">
            <w:pPr>
              <w:pStyle w:val="Text1"/>
              <w:spacing w:before="0" w:after="0"/>
              <w:ind w:left="0"/>
              <w:jc w:val="right"/>
              <w:rPr>
                <w:sz w:val="12"/>
                <w:szCs w:val="12"/>
              </w:rPr>
            </w:pPr>
            <w:r w:rsidRPr="009C3005">
              <w:rPr>
                <w:noProof/>
                <w:sz w:val="12"/>
                <w:szCs w:val="12"/>
              </w:rPr>
              <w:t>1 867 930,51</w:t>
            </w:r>
          </w:p>
        </w:tc>
        <w:tc>
          <w:tcPr>
            <w:tcW w:w="0" w:type="auto"/>
            <w:shd w:val="clear" w:color="auto" w:fill="auto"/>
          </w:tcPr>
          <w:p w14:paraId="6CA1553F" w14:textId="77777777" w:rsidR="008C5CFA" w:rsidRPr="009C3005" w:rsidRDefault="00E82A60" w:rsidP="00300A01">
            <w:pPr>
              <w:pStyle w:val="Text1"/>
              <w:spacing w:before="0" w:after="0"/>
              <w:ind w:left="0"/>
              <w:jc w:val="right"/>
              <w:rPr>
                <w:sz w:val="12"/>
                <w:szCs w:val="12"/>
              </w:rPr>
            </w:pPr>
            <w:r w:rsidRPr="009C3005">
              <w:rPr>
                <w:noProof/>
                <w:sz w:val="12"/>
                <w:szCs w:val="12"/>
              </w:rPr>
              <w:t>8</w:t>
            </w:r>
          </w:p>
        </w:tc>
      </w:tr>
      <w:tr w:rsidR="006B2EC1" w14:paraId="55E84D89" w14:textId="77777777" w:rsidTr="0047688D">
        <w:tc>
          <w:tcPr>
            <w:tcW w:w="0" w:type="auto"/>
            <w:shd w:val="clear" w:color="auto" w:fill="auto"/>
          </w:tcPr>
          <w:p w14:paraId="16AF6205" w14:textId="77777777" w:rsidR="008C5CFA" w:rsidRPr="009C3005" w:rsidRDefault="00E82A60" w:rsidP="00300A01">
            <w:pPr>
              <w:pStyle w:val="Text1"/>
              <w:spacing w:before="0" w:after="0"/>
              <w:ind w:left="0"/>
              <w:rPr>
                <w:sz w:val="12"/>
                <w:szCs w:val="12"/>
              </w:rPr>
            </w:pPr>
            <w:r>
              <w:rPr>
                <w:noProof/>
                <w:sz w:val="14"/>
                <w:szCs w:val="14"/>
                <w:lang w:val="fr-BE"/>
              </w:rPr>
              <w:t>3</w:t>
            </w:r>
          </w:p>
        </w:tc>
        <w:tc>
          <w:tcPr>
            <w:tcW w:w="0" w:type="auto"/>
            <w:shd w:val="clear" w:color="auto" w:fill="auto"/>
          </w:tcPr>
          <w:p w14:paraId="615028A4" w14:textId="77777777" w:rsidR="008C5CFA" w:rsidRPr="009C3005" w:rsidRDefault="00E82A60" w:rsidP="00300A01">
            <w:pPr>
              <w:pStyle w:val="Text1"/>
              <w:spacing w:before="0" w:after="0"/>
              <w:ind w:left="0"/>
              <w:rPr>
                <w:sz w:val="12"/>
                <w:szCs w:val="12"/>
              </w:rPr>
            </w:pPr>
            <w:r>
              <w:rPr>
                <w:noProof/>
                <w:sz w:val="12"/>
                <w:szCs w:val="12"/>
              </w:rPr>
              <w:t>EFRR</w:t>
            </w:r>
          </w:p>
        </w:tc>
        <w:tc>
          <w:tcPr>
            <w:tcW w:w="0" w:type="auto"/>
            <w:shd w:val="clear" w:color="auto" w:fill="auto"/>
          </w:tcPr>
          <w:p w14:paraId="5B33F8B6" w14:textId="77777777" w:rsidR="008C5CFA" w:rsidRPr="009C3005" w:rsidRDefault="00E82A60" w:rsidP="00300A01">
            <w:pPr>
              <w:pStyle w:val="Text1"/>
              <w:spacing w:before="0" w:after="0"/>
              <w:ind w:left="0"/>
              <w:rPr>
                <w:sz w:val="12"/>
                <w:szCs w:val="12"/>
              </w:rPr>
            </w:pPr>
            <w:r>
              <w:rPr>
                <w:noProof/>
                <w:sz w:val="12"/>
                <w:szCs w:val="12"/>
              </w:rPr>
              <w:t>Słabiej rozwinięte</w:t>
            </w:r>
          </w:p>
        </w:tc>
        <w:tc>
          <w:tcPr>
            <w:tcW w:w="0" w:type="auto"/>
            <w:shd w:val="clear" w:color="auto" w:fill="auto"/>
          </w:tcPr>
          <w:p w14:paraId="73D955DA" w14:textId="77777777" w:rsidR="008C5CFA" w:rsidRPr="009C3005" w:rsidRDefault="00E82A60" w:rsidP="00300A01">
            <w:pPr>
              <w:pStyle w:val="Text1"/>
              <w:spacing w:before="0" w:after="0"/>
              <w:ind w:left="0"/>
              <w:rPr>
                <w:sz w:val="12"/>
                <w:szCs w:val="12"/>
              </w:rPr>
            </w:pPr>
            <w:r>
              <w:rPr>
                <w:noProof/>
                <w:sz w:val="12"/>
                <w:szCs w:val="12"/>
              </w:rPr>
              <w:t>010</w:t>
            </w:r>
          </w:p>
        </w:tc>
        <w:tc>
          <w:tcPr>
            <w:tcW w:w="0" w:type="auto"/>
            <w:shd w:val="clear" w:color="auto" w:fill="auto"/>
          </w:tcPr>
          <w:p w14:paraId="73BF7012"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123B67B1" w14:textId="77777777" w:rsidR="008C5CFA" w:rsidRPr="009C3005" w:rsidRDefault="00E82A60" w:rsidP="00300A01">
            <w:pPr>
              <w:pStyle w:val="Text1"/>
              <w:spacing w:before="0" w:after="0"/>
              <w:ind w:left="0"/>
              <w:rPr>
                <w:sz w:val="12"/>
                <w:szCs w:val="12"/>
              </w:rPr>
            </w:pPr>
            <w:r>
              <w:rPr>
                <w:noProof/>
                <w:sz w:val="12"/>
                <w:szCs w:val="12"/>
              </w:rPr>
              <w:t>02</w:t>
            </w:r>
          </w:p>
        </w:tc>
        <w:tc>
          <w:tcPr>
            <w:tcW w:w="0" w:type="auto"/>
            <w:shd w:val="clear" w:color="auto" w:fill="auto"/>
          </w:tcPr>
          <w:p w14:paraId="0C059C3D"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4E4786B5" w14:textId="77777777" w:rsidR="008C5CFA" w:rsidRPr="009C3005" w:rsidRDefault="00E82A60" w:rsidP="00300A01">
            <w:pPr>
              <w:pStyle w:val="Text1"/>
              <w:spacing w:before="0" w:after="0"/>
              <w:ind w:left="0"/>
              <w:rPr>
                <w:sz w:val="12"/>
                <w:szCs w:val="12"/>
              </w:rPr>
            </w:pPr>
            <w:r>
              <w:rPr>
                <w:noProof/>
                <w:sz w:val="12"/>
                <w:szCs w:val="12"/>
              </w:rPr>
              <w:t>04</w:t>
            </w:r>
          </w:p>
        </w:tc>
        <w:tc>
          <w:tcPr>
            <w:tcW w:w="0" w:type="auto"/>
            <w:shd w:val="clear" w:color="auto" w:fill="auto"/>
          </w:tcPr>
          <w:p w14:paraId="2907B096" w14:textId="77777777" w:rsidR="008C5CFA" w:rsidRPr="009C3005" w:rsidRDefault="00E82A60" w:rsidP="00300A01">
            <w:pPr>
              <w:pStyle w:val="Text1"/>
              <w:spacing w:before="0" w:after="0"/>
              <w:ind w:left="0"/>
              <w:rPr>
                <w:sz w:val="12"/>
                <w:szCs w:val="12"/>
              </w:rPr>
            </w:pPr>
            <w:r>
              <w:rPr>
                <w:sz w:val="12"/>
                <w:szCs w:val="12"/>
              </w:rPr>
              <w:t xml:space="preserve"> </w:t>
            </w:r>
          </w:p>
        </w:tc>
        <w:tc>
          <w:tcPr>
            <w:tcW w:w="0" w:type="auto"/>
            <w:shd w:val="clear" w:color="auto" w:fill="auto"/>
          </w:tcPr>
          <w:p w14:paraId="270E3460" w14:textId="77777777" w:rsidR="008C5CFA" w:rsidRPr="009C3005" w:rsidRDefault="00E82A60" w:rsidP="00300A01">
            <w:pPr>
              <w:pStyle w:val="Text1"/>
              <w:spacing w:before="0" w:after="0"/>
              <w:ind w:left="0"/>
              <w:rPr>
                <w:sz w:val="12"/>
                <w:szCs w:val="12"/>
              </w:rPr>
            </w:pPr>
            <w:r>
              <w:rPr>
                <w:noProof/>
                <w:sz w:val="12"/>
                <w:szCs w:val="12"/>
              </w:rPr>
              <w:t>20</w:t>
            </w:r>
          </w:p>
        </w:tc>
        <w:tc>
          <w:tcPr>
            <w:tcW w:w="0" w:type="auto"/>
            <w:shd w:val="clear" w:color="auto" w:fill="auto"/>
          </w:tcPr>
          <w:p w14:paraId="66FBFE18" w14:textId="77777777" w:rsidR="008C5CFA" w:rsidRPr="009C3005" w:rsidRDefault="00E82A60" w:rsidP="00300A01">
            <w:pPr>
              <w:pStyle w:val="Text1"/>
              <w:spacing w:before="0" w:after="0"/>
              <w:ind w:left="0"/>
              <w:rPr>
                <w:sz w:val="12"/>
                <w:szCs w:val="12"/>
              </w:rPr>
            </w:pPr>
            <w:r>
              <w:rPr>
                <w:noProof/>
                <w:sz w:val="12"/>
                <w:szCs w:val="12"/>
              </w:rPr>
              <w:t>PL33</w:t>
            </w:r>
          </w:p>
        </w:tc>
        <w:tc>
          <w:tcPr>
            <w:tcW w:w="0" w:type="auto"/>
            <w:shd w:val="clear" w:color="auto" w:fill="auto"/>
          </w:tcPr>
          <w:p w14:paraId="6C4FD9E6" w14:textId="77777777" w:rsidR="008C5CFA" w:rsidRPr="009C3005" w:rsidRDefault="00E82A60" w:rsidP="00300A01">
            <w:pPr>
              <w:pStyle w:val="Text1"/>
              <w:spacing w:before="0" w:after="0"/>
              <w:ind w:left="0"/>
              <w:jc w:val="right"/>
              <w:rPr>
                <w:sz w:val="12"/>
                <w:szCs w:val="12"/>
              </w:rPr>
            </w:pPr>
            <w:r w:rsidRPr="009C3005">
              <w:rPr>
                <w:noProof/>
                <w:sz w:val="12"/>
                <w:szCs w:val="12"/>
              </w:rPr>
              <w:t>968 861,27</w:t>
            </w:r>
          </w:p>
        </w:tc>
        <w:tc>
          <w:tcPr>
            <w:tcW w:w="0" w:type="auto"/>
            <w:shd w:val="clear" w:color="auto" w:fill="auto"/>
          </w:tcPr>
          <w:p w14:paraId="4E673E12" w14:textId="77777777" w:rsidR="008C5CFA" w:rsidRPr="009C3005" w:rsidRDefault="00E82A60" w:rsidP="00300A01">
            <w:pPr>
              <w:pStyle w:val="Text1"/>
              <w:spacing w:before="0" w:after="0"/>
              <w:ind w:left="0"/>
              <w:jc w:val="right"/>
              <w:rPr>
                <w:sz w:val="12"/>
                <w:szCs w:val="12"/>
              </w:rPr>
            </w:pPr>
            <w:r w:rsidRPr="009C3005">
              <w:rPr>
                <w:noProof/>
                <w:sz w:val="12"/>
                <w:szCs w:val="12"/>
              </w:rPr>
              <w:t>968 861,27</w:t>
            </w:r>
          </w:p>
        </w:tc>
        <w:tc>
          <w:tcPr>
            <w:tcW w:w="0" w:type="auto"/>
            <w:shd w:val="clear" w:color="auto" w:fill="auto"/>
          </w:tcPr>
          <w:p w14:paraId="69C51992" w14:textId="77777777" w:rsidR="008C5CFA" w:rsidRPr="009C3005" w:rsidRDefault="00E82A60" w:rsidP="00300A01">
            <w:pPr>
              <w:pStyle w:val="Text1"/>
              <w:spacing w:before="0" w:after="0"/>
              <w:ind w:left="0"/>
              <w:jc w:val="right"/>
              <w:rPr>
                <w:sz w:val="12"/>
                <w:szCs w:val="12"/>
              </w:rPr>
            </w:pPr>
            <w:r w:rsidRPr="009C3005">
              <w:rPr>
                <w:noProof/>
                <w:sz w:val="12"/>
                <w:szCs w:val="12"/>
              </w:rPr>
              <w:t>0,00</w:t>
            </w:r>
          </w:p>
        </w:tc>
        <w:tc>
          <w:tcPr>
            <w:tcW w:w="0" w:type="auto"/>
            <w:shd w:val="clear" w:color="auto" w:fill="auto"/>
          </w:tcPr>
          <w:p w14:paraId="4972D87F" w14:textId="77777777" w:rsidR="008C5CFA" w:rsidRPr="009C3005" w:rsidRDefault="00E82A60" w:rsidP="00300A01">
            <w:pPr>
              <w:pStyle w:val="Text1"/>
              <w:spacing w:before="0" w:after="0"/>
              <w:ind w:left="0"/>
              <w:jc w:val="right"/>
              <w:rPr>
                <w:sz w:val="12"/>
                <w:szCs w:val="12"/>
              </w:rPr>
            </w:pPr>
            <w:r w:rsidRPr="009C3005">
              <w:rPr>
                <w:noProof/>
                <w:sz w:val="12"/>
                <w:szCs w:val="12"/>
              </w:rPr>
              <w:t>1</w:t>
            </w:r>
          </w:p>
        </w:tc>
      </w:tr>
      <w:tr w:rsidR="006B2EC1" w14:paraId="24316179" w14:textId="77777777" w:rsidTr="0047688D">
        <w:tc>
          <w:tcPr>
            <w:tcW w:w="0" w:type="auto"/>
            <w:shd w:val="clear" w:color="auto" w:fill="auto"/>
          </w:tcPr>
          <w:p w14:paraId="4BF372F6" w14:textId="77777777" w:rsidR="008C5CFA" w:rsidRPr="009C3005" w:rsidRDefault="00E82A60" w:rsidP="00300A01">
            <w:pPr>
              <w:pStyle w:val="Text1"/>
              <w:spacing w:before="0" w:after="0"/>
              <w:ind w:left="0"/>
              <w:rPr>
                <w:sz w:val="12"/>
                <w:szCs w:val="12"/>
              </w:rPr>
            </w:pPr>
            <w:r>
              <w:rPr>
                <w:noProof/>
                <w:sz w:val="14"/>
                <w:szCs w:val="14"/>
                <w:lang w:val="fr-BE"/>
              </w:rPr>
              <w:t>3</w:t>
            </w:r>
          </w:p>
        </w:tc>
        <w:tc>
          <w:tcPr>
            <w:tcW w:w="0" w:type="auto"/>
            <w:shd w:val="clear" w:color="auto" w:fill="auto"/>
          </w:tcPr>
          <w:p w14:paraId="558E1A50" w14:textId="77777777" w:rsidR="008C5CFA" w:rsidRPr="009C3005" w:rsidRDefault="00E82A60" w:rsidP="00300A01">
            <w:pPr>
              <w:pStyle w:val="Text1"/>
              <w:spacing w:before="0" w:after="0"/>
              <w:ind w:left="0"/>
              <w:rPr>
                <w:sz w:val="12"/>
                <w:szCs w:val="12"/>
              </w:rPr>
            </w:pPr>
            <w:r>
              <w:rPr>
                <w:noProof/>
                <w:sz w:val="12"/>
                <w:szCs w:val="12"/>
              </w:rPr>
              <w:t>EFRR</w:t>
            </w:r>
          </w:p>
        </w:tc>
        <w:tc>
          <w:tcPr>
            <w:tcW w:w="0" w:type="auto"/>
            <w:shd w:val="clear" w:color="auto" w:fill="auto"/>
          </w:tcPr>
          <w:p w14:paraId="47944BD3" w14:textId="77777777" w:rsidR="008C5CFA" w:rsidRPr="009C3005" w:rsidRDefault="00E82A60" w:rsidP="00300A01">
            <w:pPr>
              <w:pStyle w:val="Text1"/>
              <w:spacing w:before="0" w:after="0"/>
              <w:ind w:left="0"/>
              <w:rPr>
                <w:sz w:val="12"/>
                <w:szCs w:val="12"/>
              </w:rPr>
            </w:pPr>
            <w:r>
              <w:rPr>
                <w:noProof/>
                <w:sz w:val="12"/>
                <w:szCs w:val="12"/>
              </w:rPr>
              <w:t>Słabiej rozwinięte</w:t>
            </w:r>
          </w:p>
        </w:tc>
        <w:tc>
          <w:tcPr>
            <w:tcW w:w="0" w:type="auto"/>
            <w:shd w:val="clear" w:color="auto" w:fill="auto"/>
          </w:tcPr>
          <w:p w14:paraId="1F2DB28C" w14:textId="77777777" w:rsidR="008C5CFA" w:rsidRPr="009C3005" w:rsidRDefault="00E82A60" w:rsidP="00300A01">
            <w:pPr>
              <w:pStyle w:val="Text1"/>
              <w:spacing w:before="0" w:after="0"/>
              <w:ind w:left="0"/>
              <w:rPr>
                <w:sz w:val="12"/>
                <w:szCs w:val="12"/>
              </w:rPr>
            </w:pPr>
            <w:r>
              <w:rPr>
                <w:noProof/>
                <w:sz w:val="12"/>
                <w:szCs w:val="12"/>
              </w:rPr>
              <w:t>010</w:t>
            </w:r>
          </w:p>
        </w:tc>
        <w:tc>
          <w:tcPr>
            <w:tcW w:w="0" w:type="auto"/>
            <w:shd w:val="clear" w:color="auto" w:fill="auto"/>
          </w:tcPr>
          <w:p w14:paraId="372776FB"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000C5806" w14:textId="77777777" w:rsidR="008C5CFA" w:rsidRPr="009C3005" w:rsidRDefault="00E82A60" w:rsidP="00300A01">
            <w:pPr>
              <w:pStyle w:val="Text1"/>
              <w:spacing w:before="0" w:after="0"/>
              <w:ind w:left="0"/>
              <w:rPr>
                <w:sz w:val="12"/>
                <w:szCs w:val="12"/>
              </w:rPr>
            </w:pPr>
            <w:r>
              <w:rPr>
                <w:noProof/>
                <w:sz w:val="12"/>
                <w:szCs w:val="12"/>
              </w:rPr>
              <w:t>03</w:t>
            </w:r>
          </w:p>
        </w:tc>
        <w:tc>
          <w:tcPr>
            <w:tcW w:w="0" w:type="auto"/>
            <w:shd w:val="clear" w:color="auto" w:fill="auto"/>
          </w:tcPr>
          <w:p w14:paraId="749993AD"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42C34836" w14:textId="77777777" w:rsidR="008C5CFA" w:rsidRPr="009C3005" w:rsidRDefault="00E82A60" w:rsidP="00300A01">
            <w:pPr>
              <w:pStyle w:val="Text1"/>
              <w:spacing w:before="0" w:after="0"/>
              <w:ind w:left="0"/>
              <w:rPr>
                <w:sz w:val="12"/>
                <w:szCs w:val="12"/>
              </w:rPr>
            </w:pPr>
            <w:r>
              <w:rPr>
                <w:noProof/>
                <w:sz w:val="12"/>
                <w:szCs w:val="12"/>
              </w:rPr>
              <w:t>04</w:t>
            </w:r>
          </w:p>
        </w:tc>
        <w:tc>
          <w:tcPr>
            <w:tcW w:w="0" w:type="auto"/>
            <w:shd w:val="clear" w:color="auto" w:fill="auto"/>
          </w:tcPr>
          <w:p w14:paraId="58B62A8A" w14:textId="77777777" w:rsidR="008C5CFA" w:rsidRPr="009C3005" w:rsidRDefault="00E82A60" w:rsidP="00300A01">
            <w:pPr>
              <w:pStyle w:val="Text1"/>
              <w:spacing w:before="0" w:after="0"/>
              <w:ind w:left="0"/>
              <w:rPr>
                <w:sz w:val="12"/>
                <w:szCs w:val="12"/>
              </w:rPr>
            </w:pPr>
            <w:r>
              <w:rPr>
                <w:sz w:val="12"/>
                <w:szCs w:val="12"/>
              </w:rPr>
              <w:t xml:space="preserve"> </w:t>
            </w:r>
          </w:p>
        </w:tc>
        <w:tc>
          <w:tcPr>
            <w:tcW w:w="0" w:type="auto"/>
            <w:shd w:val="clear" w:color="auto" w:fill="auto"/>
          </w:tcPr>
          <w:p w14:paraId="5F8AD1B0"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6B9B39CE" w14:textId="77777777" w:rsidR="008C5CFA" w:rsidRPr="009C3005" w:rsidRDefault="00E82A60" w:rsidP="00300A01">
            <w:pPr>
              <w:pStyle w:val="Text1"/>
              <w:spacing w:before="0" w:after="0"/>
              <w:ind w:left="0"/>
              <w:rPr>
                <w:sz w:val="12"/>
                <w:szCs w:val="12"/>
              </w:rPr>
            </w:pPr>
            <w:r>
              <w:rPr>
                <w:noProof/>
                <w:sz w:val="12"/>
                <w:szCs w:val="12"/>
              </w:rPr>
              <w:t>PL33</w:t>
            </w:r>
          </w:p>
        </w:tc>
        <w:tc>
          <w:tcPr>
            <w:tcW w:w="0" w:type="auto"/>
            <w:shd w:val="clear" w:color="auto" w:fill="auto"/>
          </w:tcPr>
          <w:p w14:paraId="3D05911E" w14:textId="77777777" w:rsidR="008C5CFA" w:rsidRPr="009C3005" w:rsidRDefault="00E82A60" w:rsidP="00300A01">
            <w:pPr>
              <w:pStyle w:val="Text1"/>
              <w:spacing w:before="0" w:after="0"/>
              <w:ind w:left="0"/>
              <w:jc w:val="right"/>
              <w:rPr>
                <w:sz w:val="12"/>
                <w:szCs w:val="12"/>
              </w:rPr>
            </w:pPr>
            <w:r w:rsidRPr="009C3005">
              <w:rPr>
                <w:noProof/>
                <w:sz w:val="12"/>
                <w:szCs w:val="12"/>
              </w:rPr>
              <w:t>1 122 739,10</w:t>
            </w:r>
          </w:p>
        </w:tc>
        <w:tc>
          <w:tcPr>
            <w:tcW w:w="0" w:type="auto"/>
            <w:shd w:val="clear" w:color="auto" w:fill="auto"/>
          </w:tcPr>
          <w:p w14:paraId="199CFA5A" w14:textId="77777777" w:rsidR="008C5CFA" w:rsidRPr="009C3005" w:rsidRDefault="00E82A60" w:rsidP="00300A01">
            <w:pPr>
              <w:pStyle w:val="Text1"/>
              <w:spacing w:before="0" w:after="0"/>
              <w:ind w:left="0"/>
              <w:jc w:val="right"/>
              <w:rPr>
                <w:sz w:val="12"/>
                <w:szCs w:val="12"/>
              </w:rPr>
            </w:pPr>
            <w:r w:rsidRPr="009C3005">
              <w:rPr>
                <w:noProof/>
                <w:sz w:val="12"/>
                <w:szCs w:val="12"/>
              </w:rPr>
              <w:t>785 917,37</w:t>
            </w:r>
          </w:p>
        </w:tc>
        <w:tc>
          <w:tcPr>
            <w:tcW w:w="0" w:type="auto"/>
            <w:shd w:val="clear" w:color="auto" w:fill="auto"/>
          </w:tcPr>
          <w:p w14:paraId="363D08FE" w14:textId="77777777" w:rsidR="008C5CFA" w:rsidRPr="009C3005" w:rsidRDefault="00E82A60" w:rsidP="00300A01">
            <w:pPr>
              <w:pStyle w:val="Text1"/>
              <w:spacing w:before="0" w:after="0"/>
              <w:ind w:left="0"/>
              <w:jc w:val="right"/>
              <w:rPr>
                <w:sz w:val="12"/>
                <w:szCs w:val="12"/>
              </w:rPr>
            </w:pPr>
            <w:r w:rsidRPr="009C3005">
              <w:rPr>
                <w:noProof/>
                <w:sz w:val="12"/>
                <w:szCs w:val="12"/>
              </w:rPr>
              <w:t>532 473,00</w:t>
            </w:r>
          </w:p>
        </w:tc>
        <w:tc>
          <w:tcPr>
            <w:tcW w:w="0" w:type="auto"/>
            <w:shd w:val="clear" w:color="auto" w:fill="auto"/>
          </w:tcPr>
          <w:p w14:paraId="5E8EB7E3" w14:textId="77777777" w:rsidR="008C5CFA" w:rsidRPr="009C3005" w:rsidRDefault="00E82A60" w:rsidP="00300A01">
            <w:pPr>
              <w:pStyle w:val="Text1"/>
              <w:spacing w:before="0" w:after="0"/>
              <w:ind w:left="0"/>
              <w:jc w:val="right"/>
              <w:rPr>
                <w:sz w:val="12"/>
                <w:szCs w:val="12"/>
              </w:rPr>
            </w:pPr>
            <w:r w:rsidRPr="009C3005">
              <w:rPr>
                <w:noProof/>
                <w:sz w:val="12"/>
                <w:szCs w:val="12"/>
              </w:rPr>
              <w:t>2</w:t>
            </w:r>
          </w:p>
        </w:tc>
      </w:tr>
      <w:tr w:rsidR="006B2EC1" w14:paraId="4730DAAC" w14:textId="77777777" w:rsidTr="0047688D">
        <w:tc>
          <w:tcPr>
            <w:tcW w:w="0" w:type="auto"/>
            <w:shd w:val="clear" w:color="auto" w:fill="auto"/>
          </w:tcPr>
          <w:p w14:paraId="157528EA" w14:textId="77777777" w:rsidR="008C5CFA" w:rsidRPr="009C3005" w:rsidRDefault="00E82A60" w:rsidP="00300A01">
            <w:pPr>
              <w:pStyle w:val="Text1"/>
              <w:spacing w:before="0" w:after="0"/>
              <w:ind w:left="0"/>
              <w:rPr>
                <w:sz w:val="12"/>
                <w:szCs w:val="12"/>
              </w:rPr>
            </w:pPr>
            <w:r>
              <w:rPr>
                <w:noProof/>
                <w:sz w:val="14"/>
                <w:szCs w:val="14"/>
                <w:lang w:val="fr-BE"/>
              </w:rPr>
              <w:t>3</w:t>
            </w:r>
          </w:p>
        </w:tc>
        <w:tc>
          <w:tcPr>
            <w:tcW w:w="0" w:type="auto"/>
            <w:shd w:val="clear" w:color="auto" w:fill="auto"/>
          </w:tcPr>
          <w:p w14:paraId="4AAF5733" w14:textId="77777777" w:rsidR="008C5CFA" w:rsidRPr="009C3005" w:rsidRDefault="00E82A60" w:rsidP="00300A01">
            <w:pPr>
              <w:pStyle w:val="Text1"/>
              <w:spacing w:before="0" w:after="0"/>
              <w:ind w:left="0"/>
              <w:rPr>
                <w:sz w:val="12"/>
                <w:szCs w:val="12"/>
              </w:rPr>
            </w:pPr>
            <w:r>
              <w:rPr>
                <w:noProof/>
                <w:sz w:val="12"/>
                <w:szCs w:val="12"/>
              </w:rPr>
              <w:t>EFRR</w:t>
            </w:r>
          </w:p>
        </w:tc>
        <w:tc>
          <w:tcPr>
            <w:tcW w:w="0" w:type="auto"/>
            <w:shd w:val="clear" w:color="auto" w:fill="auto"/>
          </w:tcPr>
          <w:p w14:paraId="43B1103A" w14:textId="77777777" w:rsidR="008C5CFA" w:rsidRPr="009C3005" w:rsidRDefault="00E82A60" w:rsidP="00300A01">
            <w:pPr>
              <w:pStyle w:val="Text1"/>
              <w:spacing w:before="0" w:after="0"/>
              <w:ind w:left="0"/>
              <w:rPr>
                <w:sz w:val="12"/>
                <w:szCs w:val="12"/>
              </w:rPr>
            </w:pPr>
            <w:r>
              <w:rPr>
                <w:noProof/>
                <w:sz w:val="12"/>
                <w:szCs w:val="12"/>
              </w:rPr>
              <w:t>Słabiej rozwinięte</w:t>
            </w:r>
          </w:p>
        </w:tc>
        <w:tc>
          <w:tcPr>
            <w:tcW w:w="0" w:type="auto"/>
            <w:shd w:val="clear" w:color="auto" w:fill="auto"/>
          </w:tcPr>
          <w:p w14:paraId="7AC84C98" w14:textId="77777777" w:rsidR="008C5CFA" w:rsidRPr="009C3005" w:rsidRDefault="00E82A60" w:rsidP="00300A01">
            <w:pPr>
              <w:pStyle w:val="Text1"/>
              <w:spacing w:before="0" w:after="0"/>
              <w:ind w:left="0"/>
              <w:rPr>
                <w:sz w:val="12"/>
                <w:szCs w:val="12"/>
              </w:rPr>
            </w:pPr>
            <w:r>
              <w:rPr>
                <w:noProof/>
                <w:sz w:val="12"/>
                <w:szCs w:val="12"/>
              </w:rPr>
              <w:t>010</w:t>
            </w:r>
          </w:p>
        </w:tc>
        <w:tc>
          <w:tcPr>
            <w:tcW w:w="0" w:type="auto"/>
            <w:shd w:val="clear" w:color="auto" w:fill="auto"/>
          </w:tcPr>
          <w:p w14:paraId="712F6704"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428FF1C6" w14:textId="77777777" w:rsidR="008C5CFA" w:rsidRPr="009C3005" w:rsidRDefault="00E82A60" w:rsidP="00300A01">
            <w:pPr>
              <w:pStyle w:val="Text1"/>
              <w:spacing w:before="0" w:after="0"/>
              <w:ind w:left="0"/>
              <w:rPr>
                <w:sz w:val="12"/>
                <w:szCs w:val="12"/>
              </w:rPr>
            </w:pPr>
            <w:r>
              <w:rPr>
                <w:noProof/>
                <w:sz w:val="12"/>
                <w:szCs w:val="12"/>
              </w:rPr>
              <w:t>03</w:t>
            </w:r>
          </w:p>
        </w:tc>
        <w:tc>
          <w:tcPr>
            <w:tcW w:w="0" w:type="auto"/>
            <w:shd w:val="clear" w:color="auto" w:fill="auto"/>
          </w:tcPr>
          <w:p w14:paraId="273B135F"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2062E035" w14:textId="77777777" w:rsidR="008C5CFA" w:rsidRPr="009C3005" w:rsidRDefault="00E82A60" w:rsidP="00300A01">
            <w:pPr>
              <w:pStyle w:val="Text1"/>
              <w:spacing w:before="0" w:after="0"/>
              <w:ind w:left="0"/>
              <w:rPr>
                <w:sz w:val="12"/>
                <w:szCs w:val="12"/>
              </w:rPr>
            </w:pPr>
            <w:r>
              <w:rPr>
                <w:noProof/>
                <w:sz w:val="12"/>
                <w:szCs w:val="12"/>
              </w:rPr>
              <w:t>04</w:t>
            </w:r>
          </w:p>
        </w:tc>
        <w:tc>
          <w:tcPr>
            <w:tcW w:w="0" w:type="auto"/>
            <w:shd w:val="clear" w:color="auto" w:fill="auto"/>
          </w:tcPr>
          <w:p w14:paraId="0C4009AE" w14:textId="77777777" w:rsidR="008C5CFA" w:rsidRPr="009C3005" w:rsidRDefault="00E82A60" w:rsidP="00300A01">
            <w:pPr>
              <w:pStyle w:val="Text1"/>
              <w:spacing w:before="0" w:after="0"/>
              <w:ind w:left="0"/>
              <w:rPr>
                <w:sz w:val="12"/>
                <w:szCs w:val="12"/>
              </w:rPr>
            </w:pPr>
            <w:r>
              <w:rPr>
                <w:sz w:val="12"/>
                <w:szCs w:val="12"/>
              </w:rPr>
              <w:t xml:space="preserve"> </w:t>
            </w:r>
          </w:p>
        </w:tc>
        <w:tc>
          <w:tcPr>
            <w:tcW w:w="0" w:type="auto"/>
            <w:shd w:val="clear" w:color="auto" w:fill="auto"/>
          </w:tcPr>
          <w:p w14:paraId="0FC00313" w14:textId="77777777" w:rsidR="008C5CFA" w:rsidRPr="009C3005" w:rsidRDefault="00E82A60" w:rsidP="00300A01">
            <w:pPr>
              <w:pStyle w:val="Text1"/>
              <w:spacing w:before="0" w:after="0"/>
              <w:ind w:left="0"/>
              <w:rPr>
                <w:sz w:val="12"/>
                <w:szCs w:val="12"/>
              </w:rPr>
            </w:pPr>
            <w:r>
              <w:rPr>
                <w:noProof/>
                <w:sz w:val="12"/>
                <w:szCs w:val="12"/>
              </w:rPr>
              <w:t>10</w:t>
            </w:r>
          </w:p>
        </w:tc>
        <w:tc>
          <w:tcPr>
            <w:tcW w:w="0" w:type="auto"/>
            <w:shd w:val="clear" w:color="auto" w:fill="auto"/>
          </w:tcPr>
          <w:p w14:paraId="54429F7B" w14:textId="77777777" w:rsidR="008C5CFA" w:rsidRPr="009C3005" w:rsidRDefault="00E82A60" w:rsidP="00300A01">
            <w:pPr>
              <w:pStyle w:val="Text1"/>
              <w:spacing w:before="0" w:after="0"/>
              <w:ind w:left="0"/>
              <w:rPr>
                <w:sz w:val="12"/>
                <w:szCs w:val="12"/>
              </w:rPr>
            </w:pPr>
            <w:r>
              <w:rPr>
                <w:noProof/>
                <w:sz w:val="12"/>
                <w:szCs w:val="12"/>
              </w:rPr>
              <w:t>PL33</w:t>
            </w:r>
          </w:p>
        </w:tc>
        <w:tc>
          <w:tcPr>
            <w:tcW w:w="0" w:type="auto"/>
            <w:shd w:val="clear" w:color="auto" w:fill="auto"/>
          </w:tcPr>
          <w:p w14:paraId="1AED18A3" w14:textId="77777777" w:rsidR="008C5CFA" w:rsidRPr="009C3005" w:rsidRDefault="00E82A60" w:rsidP="00300A01">
            <w:pPr>
              <w:pStyle w:val="Text1"/>
              <w:spacing w:before="0" w:after="0"/>
              <w:ind w:left="0"/>
              <w:jc w:val="right"/>
              <w:rPr>
                <w:sz w:val="12"/>
                <w:szCs w:val="12"/>
              </w:rPr>
            </w:pPr>
            <w:r w:rsidRPr="009C3005">
              <w:rPr>
                <w:noProof/>
                <w:sz w:val="12"/>
                <w:szCs w:val="12"/>
              </w:rPr>
              <w:t>5 894 723,95</w:t>
            </w:r>
          </w:p>
        </w:tc>
        <w:tc>
          <w:tcPr>
            <w:tcW w:w="0" w:type="auto"/>
            <w:shd w:val="clear" w:color="auto" w:fill="auto"/>
          </w:tcPr>
          <w:p w14:paraId="14D6EEB9" w14:textId="77777777" w:rsidR="008C5CFA" w:rsidRPr="009C3005" w:rsidRDefault="00E82A60" w:rsidP="00300A01">
            <w:pPr>
              <w:pStyle w:val="Text1"/>
              <w:spacing w:before="0" w:after="0"/>
              <w:ind w:left="0"/>
              <w:jc w:val="right"/>
              <w:rPr>
                <w:sz w:val="12"/>
                <w:szCs w:val="12"/>
              </w:rPr>
            </w:pPr>
            <w:r w:rsidRPr="009C3005">
              <w:rPr>
                <w:noProof/>
                <w:sz w:val="12"/>
                <w:szCs w:val="12"/>
              </w:rPr>
              <w:t>4 394 810,88</w:t>
            </w:r>
          </w:p>
        </w:tc>
        <w:tc>
          <w:tcPr>
            <w:tcW w:w="0" w:type="auto"/>
            <w:shd w:val="clear" w:color="auto" w:fill="auto"/>
          </w:tcPr>
          <w:p w14:paraId="1490E9F4" w14:textId="77777777" w:rsidR="008C5CFA" w:rsidRPr="009C3005" w:rsidRDefault="00E82A60" w:rsidP="00300A01">
            <w:pPr>
              <w:pStyle w:val="Text1"/>
              <w:spacing w:before="0" w:after="0"/>
              <w:ind w:left="0"/>
              <w:jc w:val="right"/>
              <w:rPr>
                <w:sz w:val="12"/>
                <w:szCs w:val="12"/>
              </w:rPr>
            </w:pPr>
            <w:r w:rsidRPr="009C3005">
              <w:rPr>
                <w:noProof/>
                <w:sz w:val="12"/>
                <w:szCs w:val="12"/>
              </w:rPr>
              <w:t>2 645 573,22</w:t>
            </w:r>
          </w:p>
        </w:tc>
        <w:tc>
          <w:tcPr>
            <w:tcW w:w="0" w:type="auto"/>
            <w:shd w:val="clear" w:color="auto" w:fill="auto"/>
          </w:tcPr>
          <w:p w14:paraId="166BF8B4" w14:textId="77777777" w:rsidR="008C5CFA" w:rsidRPr="009C3005" w:rsidRDefault="00E82A60" w:rsidP="00300A01">
            <w:pPr>
              <w:pStyle w:val="Text1"/>
              <w:spacing w:before="0" w:after="0"/>
              <w:ind w:left="0"/>
              <w:jc w:val="right"/>
              <w:rPr>
                <w:sz w:val="12"/>
                <w:szCs w:val="12"/>
              </w:rPr>
            </w:pPr>
            <w:r w:rsidRPr="009C3005">
              <w:rPr>
                <w:noProof/>
                <w:sz w:val="12"/>
                <w:szCs w:val="12"/>
              </w:rPr>
              <w:t>9</w:t>
            </w:r>
          </w:p>
        </w:tc>
      </w:tr>
      <w:tr w:rsidR="006B2EC1" w14:paraId="12B660C1" w14:textId="77777777" w:rsidTr="0047688D">
        <w:tc>
          <w:tcPr>
            <w:tcW w:w="0" w:type="auto"/>
            <w:shd w:val="clear" w:color="auto" w:fill="auto"/>
          </w:tcPr>
          <w:p w14:paraId="3841C4B0" w14:textId="77777777" w:rsidR="008C5CFA" w:rsidRPr="009C3005" w:rsidRDefault="00E82A60" w:rsidP="00300A01">
            <w:pPr>
              <w:pStyle w:val="Text1"/>
              <w:spacing w:before="0" w:after="0"/>
              <w:ind w:left="0"/>
              <w:rPr>
                <w:sz w:val="12"/>
                <w:szCs w:val="12"/>
              </w:rPr>
            </w:pPr>
            <w:r>
              <w:rPr>
                <w:noProof/>
                <w:sz w:val="14"/>
                <w:szCs w:val="14"/>
                <w:lang w:val="fr-BE"/>
              </w:rPr>
              <w:t>3</w:t>
            </w:r>
          </w:p>
        </w:tc>
        <w:tc>
          <w:tcPr>
            <w:tcW w:w="0" w:type="auto"/>
            <w:shd w:val="clear" w:color="auto" w:fill="auto"/>
          </w:tcPr>
          <w:p w14:paraId="4E23635C" w14:textId="77777777" w:rsidR="008C5CFA" w:rsidRPr="009C3005" w:rsidRDefault="00E82A60" w:rsidP="00300A01">
            <w:pPr>
              <w:pStyle w:val="Text1"/>
              <w:spacing w:before="0" w:after="0"/>
              <w:ind w:left="0"/>
              <w:rPr>
                <w:sz w:val="12"/>
                <w:szCs w:val="12"/>
              </w:rPr>
            </w:pPr>
            <w:r>
              <w:rPr>
                <w:noProof/>
                <w:sz w:val="12"/>
                <w:szCs w:val="12"/>
              </w:rPr>
              <w:t>EFRR</w:t>
            </w:r>
          </w:p>
        </w:tc>
        <w:tc>
          <w:tcPr>
            <w:tcW w:w="0" w:type="auto"/>
            <w:shd w:val="clear" w:color="auto" w:fill="auto"/>
          </w:tcPr>
          <w:p w14:paraId="3EA7AEF1" w14:textId="77777777" w:rsidR="008C5CFA" w:rsidRPr="009C3005" w:rsidRDefault="00E82A60" w:rsidP="00300A01">
            <w:pPr>
              <w:pStyle w:val="Text1"/>
              <w:spacing w:before="0" w:after="0"/>
              <w:ind w:left="0"/>
              <w:rPr>
                <w:sz w:val="12"/>
                <w:szCs w:val="12"/>
              </w:rPr>
            </w:pPr>
            <w:r>
              <w:rPr>
                <w:noProof/>
                <w:sz w:val="12"/>
                <w:szCs w:val="12"/>
              </w:rPr>
              <w:t>Słabiej rozwinięte</w:t>
            </w:r>
          </w:p>
        </w:tc>
        <w:tc>
          <w:tcPr>
            <w:tcW w:w="0" w:type="auto"/>
            <w:shd w:val="clear" w:color="auto" w:fill="auto"/>
          </w:tcPr>
          <w:p w14:paraId="41EF2A51" w14:textId="77777777" w:rsidR="008C5CFA" w:rsidRPr="009C3005" w:rsidRDefault="00E82A60" w:rsidP="00300A01">
            <w:pPr>
              <w:pStyle w:val="Text1"/>
              <w:spacing w:before="0" w:after="0"/>
              <w:ind w:left="0"/>
              <w:rPr>
                <w:sz w:val="12"/>
                <w:szCs w:val="12"/>
              </w:rPr>
            </w:pPr>
            <w:r>
              <w:rPr>
                <w:noProof/>
                <w:sz w:val="12"/>
                <w:szCs w:val="12"/>
              </w:rPr>
              <w:t>010</w:t>
            </w:r>
          </w:p>
        </w:tc>
        <w:tc>
          <w:tcPr>
            <w:tcW w:w="0" w:type="auto"/>
            <w:shd w:val="clear" w:color="auto" w:fill="auto"/>
          </w:tcPr>
          <w:p w14:paraId="0F374C4E"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57770EDF" w14:textId="77777777" w:rsidR="008C5CFA" w:rsidRPr="009C3005" w:rsidRDefault="00E82A60" w:rsidP="00300A01">
            <w:pPr>
              <w:pStyle w:val="Text1"/>
              <w:spacing w:before="0" w:after="0"/>
              <w:ind w:left="0"/>
              <w:rPr>
                <w:sz w:val="12"/>
                <w:szCs w:val="12"/>
              </w:rPr>
            </w:pPr>
            <w:r>
              <w:rPr>
                <w:noProof/>
                <w:sz w:val="12"/>
                <w:szCs w:val="12"/>
              </w:rPr>
              <w:t>03</w:t>
            </w:r>
          </w:p>
        </w:tc>
        <w:tc>
          <w:tcPr>
            <w:tcW w:w="0" w:type="auto"/>
            <w:shd w:val="clear" w:color="auto" w:fill="auto"/>
          </w:tcPr>
          <w:p w14:paraId="0D82663E"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5E991B35" w14:textId="77777777" w:rsidR="008C5CFA" w:rsidRPr="009C3005" w:rsidRDefault="00E82A60" w:rsidP="00300A01">
            <w:pPr>
              <w:pStyle w:val="Text1"/>
              <w:spacing w:before="0" w:after="0"/>
              <w:ind w:left="0"/>
              <w:rPr>
                <w:sz w:val="12"/>
                <w:szCs w:val="12"/>
              </w:rPr>
            </w:pPr>
            <w:r>
              <w:rPr>
                <w:noProof/>
                <w:sz w:val="12"/>
                <w:szCs w:val="12"/>
              </w:rPr>
              <w:t>04</w:t>
            </w:r>
          </w:p>
        </w:tc>
        <w:tc>
          <w:tcPr>
            <w:tcW w:w="0" w:type="auto"/>
            <w:shd w:val="clear" w:color="auto" w:fill="auto"/>
          </w:tcPr>
          <w:p w14:paraId="32B5B36B" w14:textId="77777777" w:rsidR="008C5CFA" w:rsidRPr="009C3005" w:rsidRDefault="00E82A60" w:rsidP="00300A01">
            <w:pPr>
              <w:pStyle w:val="Text1"/>
              <w:spacing w:before="0" w:after="0"/>
              <w:ind w:left="0"/>
              <w:rPr>
                <w:sz w:val="12"/>
                <w:szCs w:val="12"/>
              </w:rPr>
            </w:pPr>
            <w:r>
              <w:rPr>
                <w:sz w:val="12"/>
                <w:szCs w:val="12"/>
              </w:rPr>
              <w:t xml:space="preserve"> </w:t>
            </w:r>
          </w:p>
        </w:tc>
        <w:tc>
          <w:tcPr>
            <w:tcW w:w="0" w:type="auto"/>
            <w:shd w:val="clear" w:color="auto" w:fill="auto"/>
          </w:tcPr>
          <w:p w14:paraId="7FB0F0AD" w14:textId="77777777" w:rsidR="008C5CFA" w:rsidRPr="009C3005" w:rsidRDefault="00E82A60" w:rsidP="00300A01">
            <w:pPr>
              <w:pStyle w:val="Text1"/>
              <w:spacing w:before="0" w:after="0"/>
              <w:ind w:left="0"/>
              <w:rPr>
                <w:sz w:val="12"/>
                <w:szCs w:val="12"/>
              </w:rPr>
            </w:pPr>
            <w:r>
              <w:rPr>
                <w:noProof/>
                <w:sz w:val="12"/>
                <w:szCs w:val="12"/>
              </w:rPr>
              <w:t>18</w:t>
            </w:r>
          </w:p>
        </w:tc>
        <w:tc>
          <w:tcPr>
            <w:tcW w:w="0" w:type="auto"/>
            <w:shd w:val="clear" w:color="auto" w:fill="auto"/>
          </w:tcPr>
          <w:p w14:paraId="420E10C3" w14:textId="77777777" w:rsidR="008C5CFA" w:rsidRPr="009C3005" w:rsidRDefault="00E82A60" w:rsidP="00300A01">
            <w:pPr>
              <w:pStyle w:val="Text1"/>
              <w:spacing w:before="0" w:after="0"/>
              <w:ind w:left="0"/>
              <w:rPr>
                <w:sz w:val="12"/>
                <w:szCs w:val="12"/>
              </w:rPr>
            </w:pPr>
            <w:r>
              <w:rPr>
                <w:noProof/>
                <w:sz w:val="12"/>
                <w:szCs w:val="12"/>
              </w:rPr>
              <w:t>PL33</w:t>
            </w:r>
          </w:p>
        </w:tc>
        <w:tc>
          <w:tcPr>
            <w:tcW w:w="0" w:type="auto"/>
            <w:shd w:val="clear" w:color="auto" w:fill="auto"/>
          </w:tcPr>
          <w:p w14:paraId="30A5E2AE" w14:textId="77777777" w:rsidR="008C5CFA" w:rsidRPr="009C3005" w:rsidRDefault="00E82A60" w:rsidP="00300A01">
            <w:pPr>
              <w:pStyle w:val="Text1"/>
              <w:spacing w:before="0" w:after="0"/>
              <w:ind w:left="0"/>
              <w:jc w:val="right"/>
              <w:rPr>
                <w:sz w:val="12"/>
                <w:szCs w:val="12"/>
              </w:rPr>
            </w:pPr>
            <w:r w:rsidRPr="009C3005">
              <w:rPr>
                <w:noProof/>
                <w:sz w:val="12"/>
                <w:szCs w:val="12"/>
              </w:rPr>
              <w:t>19 155 529,82</w:t>
            </w:r>
          </w:p>
        </w:tc>
        <w:tc>
          <w:tcPr>
            <w:tcW w:w="0" w:type="auto"/>
            <w:shd w:val="clear" w:color="auto" w:fill="auto"/>
          </w:tcPr>
          <w:p w14:paraId="66F5FEE1" w14:textId="77777777" w:rsidR="008C5CFA" w:rsidRPr="009C3005" w:rsidRDefault="00E82A60" w:rsidP="00300A01">
            <w:pPr>
              <w:pStyle w:val="Text1"/>
              <w:spacing w:before="0" w:after="0"/>
              <w:ind w:left="0"/>
              <w:jc w:val="right"/>
              <w:rPr>
                <w:sz w:val="12"/>
                <w:szCs w:val="12"/>
              </w:rPr>
            </w:pPr>
            <w:r w:rsidRPr="009C3005">
              <w:rPr>
                <w:noProof/>
                <w:sz w:val="12"/>
                <w:szCs w:val="12"/>
              </w:rPr>
              <w:t>19 155 529,82</w:t>
            </w:r>
          </w:p>
        </w:tc>
        <w:tc>
          <w:tcPr>
            <w:tcW w:w="0" w:type="auto"/>
            <w:shd w:val="clear" w:color="auto" w:fill="auto"/>
          </w:tcPr>
          <w:p w14:paraId="063FFD7F" w14:textId="77777777" w:rsidR="008C5CFA" w:rsidRPr="009C3005" w:rsidRDefault="00E82A60" w:rsidP="00300A01">
            <w:pPr>
              <w:pStyle w:val="Text1"/>
              <w:spacing w:before="0" w:after="0"/>
              <w:ind w:left="0"/>
              <w:jc w:val="right"/>
              <w:rPr>
                <w:sz w:val="12"/>
                <w:szCs w:val="12"/>
              </w:rPr>
            </w:pPr>
            <w:r w:rsidRPr="009C3005">
              <w:rPr>
                <w:noProof/>
                <w:sz w:val="12"/>
                <w:szCs w:val="12"/>
              </w:rPr>
              <w:t>7 032 805,56</w:t>
            </w:r>
          </w:p>
        </w:tc>
        <w:tc>
          <w:tcPr>
            <w:tcW w:w="0" w:type="auto"/>
            <w:shd w:val="clear" w:color="auto" w:fill="auto"/>
          </w:tcPr>
          <w:p w14:paraId="5FEC98FF" w14:textId="77777777" w:rsidR="008C5CFA" w:rsidRPr="009C3005" w:rsidRDefault="00E82A60" w:rsidP="00300A01">
            <w:pPr>
              <w:pStyle w:val="Text1"/>
              <w:spacing w:before="0" w:after="0"/>
              <w:ind w:left="0"/>
              <w:jc w:val="right"/>
              <w:rPr>
                <w:sz w:val="12"/>
                <w:szCs w:val="12"/>
              </w:rPr>
            </w:pPr>
            <w:r w:rsidRPr="009C3005">
              <w:rPr>
                <w:noProof/>
                <w:sz w:val="12"/>
                <w:szCs w:val="12"/>
              </w:rPr>
              <w:t>20</w:t>
            </w:r>
          </w:p>
        </w:tc>
      </w:tr>
      <w:tr w:rsidR="006B2EC1" w14:paraId="365A2193" w14:textId="77777777" w:rsidTr="0047688D">
        <w:tc>
          <w:tcPr>
            <w:tcW w:w="0" w:type="auto"/>
            <w:shd w:val="clear" w:color="auto" w:fill="auto"/>
          </w:tcPr>
          <w:p w14:paraId="79AA9816" w14:textId="77777777" w:rsidR="008C5CFA" w:rsidRPr="009C3005" w:rsidRDefault="00E82A60" w:rsidP="00300A01">
            <w:pPr>
              <w:pStyle w:val="Text1"/>
              <w:spacing w:before="0" w:after="0"/>
              <w:ind w:left="0"/>
              <w:rPr>
                <w:sz w:val="12"/>
                <w:szCs w:val="12"/>
              </w:rPr>
            </w:pPr>
            <w:r>
              <w:rPr>
                <w:noProof/>
                <w:sz w:val="14"/>
                <w:szCs w:val="14"/>
                <w:lang w:val="fr-BE"/>
              </w:rPr>
              <w:t>3</w:t>
            </w:r>
          </w:p>
        </w:tc>
        <w:tc>
          <w:tcPr>
            <w:tcW w:w="0" w:type="auto"/>
            <w:shd w:val="clear" w:color="auto" w:fill="auto"/>
          </w:tcPr>
          <w:p w14:paraId="20998B3D" w14:textId="77777777" w:rsidR="008C5CFA" w:rsidRPr="009C3005" w:rsidRDefault="00E82A60" w:rsidP="00300A01">
            <w:pPr>
              <w:pStyle w:val="Text1"/>
              <w:spacing w:before="0" w:after="0"/>
              <w:ind w:left="0"/>
              <w:rPr>
                <w:sz w:val="12"/>
                <w:szCs w:val="12"/>
              </w:rPr>
            </w:pPr>
            <w:r>
              <w:rPr>
                <w:noProof/>
                <w:sz w:val="12"/>
                <w:szCs w:val="12"/>
              </w:rPr>
              <w:t>EFRR</w:t>
            </w:r>
          </w:p>
        </w:tc>
        <w:tc>
          <w:tcPr>
            <w:tcW w:w="0" w:type="auto"/>
            <w:shd w:val="clear" w:color="auto" w:fill="auto"/>
          </w:tcPr>
          <w:p w14:paraId="3D7F77C1" w14:textId="77777777" w:rsidR="008C5CFA" w:rsidRPr="009C3005" w:rsidRDefault="00E82A60" w:rsidP="00300A01">
            <w:pPr>
              <w:pStyle w:val="Text1"/>
              <w:spacing w:before="0" w:after="0"/>
              <w:ind w:left="0"/>
              <w:rPr>
                <w:sz w:val="12"/>
                <w:szCs w:val="12"/>
              </w:rPr>
            </w:pPr>
            <w:r>
              <w:rPr>
                <w:noProof/>
                <w:sz w:val="12"/>
                <w:szCs w:val="12"/>
              </w:rPr>
              <w:t>Słabiej rozwinięte</w:t>
            </w:r>
          </w:p>
        </w:tc>
        <w:tc>
          <w:tcPr>
            <w:tcW w:w="0" w:type="auto"/>
            <w:shd w:val="clear" w:color="auto" w:fill="auto"/>
          </w:tcPr>
          <w:p w14:paraId="5E2203B9" w14:textId="77777777" w:rsidR="008C5CFA" w:rsidRPr="009C3005" w:rsidRDefault="00E82A60" w:rsidP="00300A01">
            <w:pPr>
              <w:pStyle w:val="Text1"/>
              <w:spacing w:before="0" w:after="0"/>
              <w:ind w:left="0"/>
              <w:rPr>
                <w:sz w:val="12"/>
                <w:szCs w:val="12"/>
              </w:rPr>
            </w:pPr>
            <w:r>
              <w:rPr>
                <w:noProof/>
                <w:sz w:val="12"/>
                <w:szCs w:val="12"/>
              </w:rPr>
              <w:t>012</w:t>
            </w:r>
          </w:p>
        </w:tc>
        <w:tc>
          <w:tcPr>
            <w:tcW w:w="0" w:type="auto"/>
            <w:shd w:val="clear" w:color="auto" w:fill="auto"/>
          </w:tcPr>
          <w:p w14:paraId="59F5BD87"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4374BE68" w14:textId="77777777" w:rsidR="008C5CFA" w:rsidRPr="009C3005" w:rsidRDefault="00E82A60" w:rsidP="00300A01">
            <w:pPr>
              <w:pStyle w:val="Text1"/>
              <w:spacing w:before="0" w:after="0"/>
              <w:ind w:left="0"/>
              <w:rPr>
                <w:sz w:val="12"/>
                <w:szCs w:val="12"/>
              </w:rPr>
            </w:pPr>
            <w:r>
              <w:rPr>
                <w:noProof/>
                <w:sz w:val="12"/>
                <w:szCs w:val="12"/>
              </w:rPr>
              <w:t>03</w:t>
            </w:r>
          </w:p>
        </w:tc>
        <w:tc>
          <w:tcPr>
            <w:tcW w:w="0" w:type="auto"/>
            <w:shd w:val="clear" w:color="auto" w:fill="auto"/>
          </w:tcPr>
          <w:p w14:paraId="70B977DE"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1638628F" w14:textId="77777777" w:rsidR="008C5CFA" w:rsidRPr="009C3005" w:rsidRDefault="00E82A60" w:rsidP="00300A01">
            <w:pPr>
              <w:pStyle w:val="Text1"/>
              <w:spacing w:before="0" w:after="0"/>
              <w:ind w:left="0"/>
              <w:rPr>
                <w:sz w:val="12"/>
                <w:szCs w:val="12"/>
              </w:rPr>
            </w:pPr>
            <w:r>
              <w:rPr>
                <w:noProof/>
                <w:sz w:val="12"/>
                <w:szCs w:val="12"/>
              </w:rPr>
              <w:t>04</w:t>
            </w:r>
          </w:p>
        </w:tc>
        <w:tc>
          <w:tcPr>
            <w:tcW w:w="0" w:type="auto"/>
            <w:shd w:val="clear" w:color="auto" w:fill="auto"/>
          </w:tcPr>
          <w:p w14:paraId="0C29B270" w14:textId="77777777" w:rsidR="008C5CFA" w:rsidRPr="009C3005" w:rsidRDefault="00E82A60" w:rsidP="00300A01">
            <w:pPr>
              <w:pStyle w:val="Text1"/>
              <w:spacing w:before="0" w:after="0"/>
              <w:ind w:left="0"/>
              <w:rPr>
                <w:sz w:val="12"/>
                <w:szCs w:val="12"/>
              </w:rPr>
            </w:pPr>
            <w:r>
              <w:rPr>
                <w:sz w:val="12"/>
                <w:szCs w:val="12"/>
              </w:rPr>
              <w:t xml:space="preserve"> </w:t>
            </w:r>
          </w:p>
        </w:tc>
        <w:tc>
          <w:tcPr>
            <w:tcW w:w="0" w:type="auto"/>
            <w:shd w:val="clear" w:color="auto" w:fill="auto"/>
          </w:tcPr>
          <w:p w14:paraId="36AF25CA" w14:textId="77777777" w:rsidR="008C5CFA" w:rsidRPr="009C3005" w:rsidRDefault="00E82A60" w:rsidP="00300A01">
            <w:pPr>
              <w:pStyle w:val="Text1"/>
              <w:spacing w:before="0" w:after="0"/>
              <w:ind w:left="0"/>
              <w:rPr>
                <w:sz w:val="12"/>
                <w:szCs w:val="12"/>
              </w:rPr>
            </w:pPr>
            <w:r>
              <w:rPr>
                <w:noProof/>
                <w:sz w:val="12"/>
                <w:szCs w:val="12"/>
              </w:rPr>
              <w:t>10</w:t>
            </w:r>
          </w:p>
        </w:tc>
        <w:tc>
          <w:tcPr>
            <w:tcW w:w="0" w:type="auto"/>
            <w:shd w:val="clear" w:color="auto" w:fill="auto"/>
          </w:tcPr>
          <w:p w14:paraId="78498B93" w14:textId="77777777" w:rsidR="008C5CFA" w:rsidRPr="009C3005" w:rsidRDefault="00E82A60" w:rsidP="00300A01">
            <w:pPr>
              <w:pStyle w:val="Text1"/>
              <w:spacing w:before="0" w:after="0"/>
              <w:ind w:left="0"/>
              <w:rPr>
                <w:sz w:val="12"/>
                <w:szCs w:val="12"/>
              </w:rPr>
            </w:pPr>
            <w:r>
              <w:rPr>
                <w:noProof/>
                <w:sz w:val="12"/>
                <w:szCs w:val="12"/>
              </w:rPr>
              <w:t>PL33</w:t>
            </w:r>
          </w:p>
        </w:tc>
        <w:tc>
          <w:tcPr>
            <w:tcW w:w="0" w:type="auto"/>
            <w:shd w:val="clear" w:color="auto" w:fill="auto"/>
          </w:tcPr>
          <w:p w14:paraId="387C7466" w14:textId="77777777" w:rsidR="008C5CFA" w:rsidRPr="009C3005" w:rsidRDefault="00E82A60" w:rsidP="00300A01">
            <w:pPr>
              <w:pStyle w:val="Text1"/>
              <w:spacing w:before="0" w:after="0"/>
              <w:ind w:left="0"/>
              <w:jc w:val="right"/>
              <w:rPr>
                <w:sz w:val="12"/>
                <w:szCs w:val="12"/>
              </w:rPr>
            </w:pPr>
            <w:r w:rsidRPr="009C3005">
              <w:rPr>
                <w:noProof/>
                <w:sz w:val="12"/>
                <w:szCs w:val="12"/>
              </w:rPr>
              <w:t>1 174 454,39</w:t>
            </w:r>
          </w:p>
        </w:tc>
        <w:tc>
          <w:tcPr>
            <w:tcW w:w="0" w:type="auto"/>
            <w:shd w:val="clear" w:color="auto" w:fill="auto"/>
          </w:tcPr>
          <w:p w14:paraId="198A3969" w14:textId="77777777" w:rsidR="008C5CFA" w:rsidRPr="009C3005" w:rsidRDefault="00E82A60" w:rsidP="00300A01">
            <w:pPr>
              <w:pStyle w:val="Text1"/>
              <w:spacing w:before="0" w:after="0"/>
              <w:ind w:left="0"/>
              <w:jc w:val="right"/>
              <w:rPr>
                <w:sz w:val="12"/>
                <w:szCs w:val="12"/>
              </w:rPr>
            </w:pPr>
            <w:r w:rsidRPr="009C3005">
              <w:rPr>
                <w:noProof/>
                <w:sz w:val="12"/>
                <w:szCs w:val="12"/>
              </w:rPr>
              <w:t>1 174 454,39</w:t>
            </w:r>
          </w:p>
        </w:tc>
        <w:tc>
          <w:tcPr>
            <w:tcW w:w="0" w:type="auto"/>
            <w:shd w:val="clear" w:color="auto" w:fill="auto"/>
          </w:tcPr>
          <w:p w14:paraId="66C92824" w14:textId="77777777" w:rsidR="008C5CFA" w:rsidRPr="009C3005" w:rsidRDefault="00E82A60" w:rsidP="00300A01">
            <w:pPr>
              <w:pStyle w:val="Text1"/>
              <w:spacing w:before="0" w:after="0"/>
              <w:ind w:left="0"/>
              <w:jc w:val="right"/>
              <w:rPr>
                <w:sz w:val="12"/>
                <w:szCs w:val="12"/>
              </w:rPr>
            </w:pPr>
            <w:r w:rsidRPr="009C3005">
              <w:rPr>
                <w:noProof/>
                <w:sz w:val="12"/>
                <w:szCs w:val="12"/>
              </w:rPr>
              <w:t>0,00</w:t>
            </w:r>
          </w:p>
        </w:tc>
        <w:tc>
          <w:tcPr>
            <w:tcW w:w="0" w:type="auto"/>
            <w:shd w:val="clear" w:color="auto" w:fill="auto"/>
          </w:tcPr>
          <w:p w14:paraId="4E15D35B" w14:textId="77777777" w:rsidR="008C5CFA" w:rsidRPr="009C3005" w:rsidRDefault="00E82A60" w:rsidP="00300A01">
            <w:pPr>
              <w:pStyle w:val="Text1"/>
              <w:spacing w:before="0" w:after="0"/>
              <w:ind w:left="0"/>
              <w:jc w:val="right"/>
              <w:rPr>
                <w:sz w:val="12"/>
                <w:szCs w:val="12"/>
              </w:rPr>
            </w:pPr>
            <w:r w:rsidRPr="009C3005">
              <w:rPr>
                <w:noProof/>
                <w:sz w:val="12"/>
                <w:szCs w:val="12"/>
              </w:rPr>
              <w:t>1</w:t>
            </w:r>
          </w:p>
        </w:tc>
      </w:tr>
      <w:tr w:rsidR="006B2EC1" w14:paraId="6FA026F4" w14:textId="77777777" w:rsidTr="0047688D">
        <w:tc>
          <w:tcPr>
            <w:tcW w:w="0" w:type="auto"/>
            <w:shd w:val="clear" w:color="auto" w:fill="auto"/>
          </w:tcPr>
          <w:p w14:paraId="3AC6E43C" w14:textId="77777777" w:rsidR="008C5CFA" w:rsidRPr="009C3005" w:rsidRDefault="00E82A60" w:rsidP="00300A01">
            <w:pPr>
              <w:pStyle w:val="Text1"/>
              <w:spacing w:before="0" w:after="0"/>
              <w:ind w:left="0"/>
              <w:rPr>
                <w:sz w:val="12"/>
                <w:szCs w:val="12"/>
              </w:rPr>
            </w:pPr>
            <w:r>
              <w:rPr>
                <w:noProof/>
                <w:sz w:val="14"/>
                <w:szCs w:val="14"/>
                <w:lang w:val="fr-BE"/>
              </w:rPr>
              <w:t>3</w:t>
            </w:r>
          </w:p>
        </w:tc>
        <w:tc>
          <w:tcPr>
            <w:tcW w:w="0" w:type="auto"/>
            <w:shd w:val="clear" w:color="auto" w:fill="auto"/>
          </w:tcPr>
          <w:p w14:paraId="7B2EB7D9" w14:textId="77777777" w:rsidR="008C5CFA" w:rsidRPr="009C3005" w:rsidRDefault="00E82A60" w:rsidP="00300A01">
            <w:pPr>
              <w:pStyle w:val="Text1"/>
              <w:spacing w:before="0" w:after="0"/>
              <w:ind w:left="0"/>
              <w:rPr>
                <w:sz w:val="12"/>
                <w:szCs w:val="12"/>
              </w:rPr>
            </w:pPr>
            <w:r>
              <w:rPr>
                <w:noProof/>
                <w:sz w:val="12"/>
                <w:szCs w:val="12"/>
              </w:rPr>
              <w:t>EFRR</w:t>
            </w:r>
          </w:p>
        </w:tc>
        <w:tc>
          <w:tcPr>
            <w:tcW w:w="0" w:type="auto"/>
            <w:shd w:val="clear" w:color="auto" w:fill="auto"/>
          </w:tcPr>
          <w:p w14:paraId="4A4FE8CE" w14:textId="77777777" w:rsidR="008C5CFA" w:rsidRPr="009C3005" w:rsidRDefault="00E82A60" w:rsidP="00300A01">
            <w:pPr>
              <w:pStyle w:val="Text1"/>
              <w:spacing w:before="0" w:after="0"/>
              <w:ind w:left="0"/>
              <w:rPr>
                <w:sz w:val="12"/>
                <w:szCs w:val="12"/>
              </w:rPr>
            </w:pPr>
            <w:r>
              <w:rPr>
                <w:noProof/>
                <w:sz w:val="12"/>
                <w:szCs w:val="12"/>
              </w:rPr>
              <w:t>Słabiej rozwinięte</w:t>
            </w:r>
          </w:p>
        </w:tc>
        <w:tc>
          <w:tcPr>
            <w:tcW w:w="0" w:type="auto"/>
            <w:shd w:val="clear" w:color="auto" w:fill="auto"/>
          </w:tcPr>
          <w:p w14:paraId="76A3131B" w14:textId="77777777" w:rsidR="008C5CFA" w:rsidRPr="009C3005" w:rsidRDefault="00E82A60" w:rsidP="00300A01">
            <w:pPr>
              <w:pStyle w:val="Text1"/>
              <w:spacing w:before="0" w:after="0"/>
              <w:ind w:left="0"/>
              <w:rPr>
                <w:sz w:val="12"/>
                <w:szCs w:val="12"/>
              </w:rPr>
            </w:pPr>
            <w:r>
              <w:rPr>
                <w:noProof/>
                <w:sz w:val="12"/>
                <w:szCs w:val="12"/>
              </w:rPr>
              <w:t>013</w:t>
            </w:r>
          </w:p>
        </w:tc>
        <w:tc>
          <w:tcPr>
            <w:tcW w:w="0" w:type="auto"/>
            <w:shd w:val="clear" w:color="auto" w:fill="auto"/>
          </w:tcPr>
          <w:p w14:paraId="6920DEB4"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2D0C8ECF"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55CF78DC"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135C6BB6" w14:textId="77777777" w:rsidR="008C5CFA" w:rsidRPr="009C3005" w:rsidRDefault="00E82A60" w:rsidP="00300A01">
            <w:pPr>
              <w:pStyle w:val="Text1"/>
              <w:spacing w:before="0" w:after="0"/>
              <w:ind w:left="0"/>
              <w:rPr>
                <w:sz w:val="12"/>
                <w:szCs w:val="12"/>
              </w:rPr>
            </w:pPr>
            <w:r>
              <w:rPr>
                <w:noProof/>
                <w:sz w:val="12"/>
                <w:szCs w:val="12"/>
              </w:rPr>
              <w:t>04</w:t>
            </w:r>
          </w:p>
        </w:tc>
        <w:tc>
          <w:tcPr>
            <w:tcW w:w="0" w:type="auto"/>
            <w:shd w:val="clear" w:color="auto" w:fill="auto"/>
          </w:tcPr>
          <w:p w14:paraId="5B9CEC26" w14:textId="77777777" w:rsidR="008C5CFA" w:rsidRPr="009C3005" w:rsidRDefault="00E82A60" w:rsidP="00300A01">
            <w:pPr>
              <w:pStyle w:val="Text1"/>
              <w:spacing w:before="0" w:after="0"/>
              <w:ind w:left="0"/>
              <w:rPr>
                <w:sz w:val="12"/>
                <w:szCs w:val="12"/>
              </w:rPr>
            </w:pPr>
            <w:r>
              <w:rPr>
                <w:sz w:val="12"/>
                <w:szCs w:val="12"/>
              </w:rPr>
              <w:t xml:space="preserve"> </w:t>
            </w:r>
          </w:p>
        </w:tc>
        <w:tc>
          <w:tcPr>
            <w:tcW w:w="0" w:type="auto"/>
            <w:shd w:val="clear" w:color="auto" w:fill="auto"/>
          </w:tcPr>
          <w:p w14:paraId="2E1C4F23" w14:textId="77777777" w:rsidR="008C5CFA" w:rsidRPr="009C3005" w:rsidRDefault="00E82A60" w:rsidP="00300A01">
            <w:pPr>
              <w:pStyle w:val="Text1"/>
              <w:spacing w:before="0" w:after="0"/>
              <w:ind w:left="0"/>
              <w:rPr>
                <w:sz w:val="12"/>
                <w:szCs w:val="12"/>
              </w:rPr>
            </w:pPr>
            <w:r>
              <w:rPr>
                <w:noProof/>
                <w:sz w:val="12"/>
                <w:szCs w:val="12"/>
              </w:rPr>
              <w:t>18</w:t>
            </w:r>
          </w:p>
        </w:tc>
        <w:tc>
          <w:tcPr>
            <w:tcW w:w="0" w:type="auto"/>
            <w:shd w:val="clear" w:color="auto" w:fill="auto"/>
          </w:tcPr>
          <w:p w14:paraId="0F14C9AF" w14:textId="77777777" w:rsidR="008C5CFA" w:rsidRPr="009C3005" w:rsidRDefault="00E82A60" w:rsidP="00300A01">
            <w:pPr>
              <w:pStyle w:val="Text1"/>
              <w:spacing w:before="0" w:after="0"/>
              <w:ind w:left="0"/>
              <w:rPr>
                <w:sz w:val="12"/>
                <w:szCs w:val="12"/>
              </w:rPr>
            </w:pPr>
            <w:r>
              <w:rPr>
                <w:noProof/>
                <w:sz w:val="12"/>
                <w:szCs w:val="12"/>
              </w:rPr>
              <w:t>PL33</w:t>
            </w:r>
          </w:p>
        </w:tc>
        <w:tc>
          <w:tcPr>
            <w:tcW w:w="0" w:type="auto"/>
            <w:shd w:val="clear" w:color="auto" w:fill="auto"/>
          </w:tcPr>
          <w:p w14:paraId="2B89FB7E" w14:textId="77777777" w:rsidR="008C5CFA" w:rsidRPr="009C3005" w:rsidRDefault="00E82A60" w:rsidP="00300A01">
            <w:pPr>
              <w:pStyle w:val="Text1"/>
              <w:spacing w:before="0" w:after="0"/>
              <w:ind w:left="0"/>
              <w:jc w:val="right"/>
              <w:rPr>
                <w:sz w:val="12"/>
                <w:szCs w:val="12"/>
              </w:rPr>
            </w:pPr>
            <w:r w:rsidRPr="009C3005">
              <w:rPr>
                <w:noProof/>
                <w:sz w:val="12"/>
                <w:szCs w:val="12"/>
              </w:rPr>
              <w:t>7 990 569,17</w:t>
            </w:r>
          </w:p>
        </w:tc>
        <w:tc>
          <w:tcPr>
            <w:tcW w:w="0" w:type="auto"/>
            <w:shd w:val="clear" w:color="auto" w:fill="auto"/>
          </w:tcPr>
          <w:p w14:paraId="6781DE19" w14:textId="77777777" w:rsidR="008C5CFA" w:rsidRPr="009C3005" w:rsidRDefault="00E82A60" w:rsidP="00300A01">
            <w:pPr>
              <w:pStyle w:val="Text1"/>
              <w:spacing w:before="0" w:after="0"/>
              <w:ind w:left="0"/>
              <w:jc w:val="right"/>
              <w:rPr>
                <w:sz w:val="12"/>
                <w:szCs w:val="12"/>
              </w:rPr>
            </w:pPr>
            <w:r w:rsidRPr="009C3005">
              <w:rPr>
                <w:noProof/>
                <w:sz w:val="12"/>
                <w:szCs w:val="12"/>
              </w:rPr>
              <w:t>7 990 569,17</w:t>
            </w:r>
          </w:p>
        </w:tc>
        <w:tc>
          <w:tcPr>
            <w:tcW w:w="0" w:type="auto"/>
            <w:shd w:val="clear" w:color="auto" w:fill="auto"/>
          </w:tcPr>
          <w:p w14:paraId="7C32504D" w14:textId="77777777" w:rsidR="008C5CFA" w:rsidRPr="009C3005" w:rsidRDefault="00E82A60" w:rsidP="00300A01">
            <w:pPr>
              <w:pStyle w:val="Text1"/>
              <w:spacing w:before="0" w:after="0"/>
              <w:ind w:left="0"/>
              <w:jc w:val="right"/>
              <w:rPr>
                <w:sz w:val="12"/>
                <w:szCs w:val="12"/>
              </w:rPr>
            </w:pPr>
            <w:r w:rsidRPr="009C3005">
              <w:rPr>
                <w:noProof/>
                <w:sz w:val="12"/>
                <w:szCs w:val="12"/>
              </w:rPr>
              <w:t>0,00</w:t>
            </w:r>
          </w:p>
        </w:tc>
        <w:tc>
          <w:tcPr>
            <w:tcW w:w="0" w:type="auto"/>
            <w:shd w:val="clear" w:color="auto" w:fill="auto"/>
          </w:tcPr>
          <w:p w14:paraId="313F9767" w14:textId="77777777" w:rsidR="008C5CFA" w:rsidRPr="009C3005" w:rsidRDefault="00E82A60" w:rsidP="00300A01">
            <w:pPr>
              <w:pStyle w:val="Text1"/>
              <w:spacing w:before="0" w:after="0"/>
              <w:ind w:left="0"/>
              <w:jc w:val="right"/>
              <w:rPr>
                <w:sz w:val="12"/>
                <w:szCs w:val="12"/>
              </w:rPr>
            </w:pPr>
            <w:r w:rsidRPr="009C3005">
              <w:rPr>
                <w:noProof/>
                <w:sz w:val="12"/>
                <w:szCs w:val="12"/>
              </w:rPr>
              <w:t>3</w:t>
            </w:r>
          </w:p>
        </w:tc>
      </w:tr>
      <w:tr w:rsidR="006B2EC1" w14:paraId="3ACA0097" w14:textId="77777777" w:rsidTr="0047688D">
        <w:tc>
          <w:tcPr>
            <w:tcW w:w="0" w:type="auto"/>
            <w:shd w:val="clear" w:color="auto" w:fill="auto"/>
          </w:tcPr>
          <w:p w14:paraId="6E0344FD" w14:textId="77777777" w:rsidR="008C5CFA" w:rsidRPr="009C3005" w:rsidRDefault="00E82A60" w:rsidP="00300A01">
            <w:pPr>
              <w:pStyle w:val="Text1"/>
              <w:spacing w:before="0" w:after="0"/>
              <w:ind w:left="0"/>
              <w:rPr>
                <w:sz w:val="12"/>
                <w:szCs w:val="12"/>
              </w:rPr>
            </w:pPr>
            <w:r>
              <w:rPr>
                <w:noProof/>
                <w:sz w:val="14"/>
                <w:szCs w:val="14"/>
                <w:lang w:val="fr-BE"/>
              </w:rPr>
              <w:t>3</w:t>
            </w:r>
          </w:p>
        </w:tc>
        <w:tc>
          <w:tcPr>
            <w:tcW w:w="0" w:type="auto"/>
            <w:shd w:val="clear" w:color="auto" w:fill="auto"/>
          </w:tcPr>
          <w:p w14:paraId="0E7AA2E9" w14:textId="77777777" w:rsidR="008C5CFA" w:rsidRPr="009C3005" w:rsidRDefault="00E82A60" w:rsidP="00300A01">
            <w:pPr>
              <w:pStyle w:val="Text1"/>
              <w:spacing w:before="0" w:after="0"/>
              <w:ind w:left="0"/>
              <w:rPr>
                <w:sz w:val="12"/>
                <w:szCs w:val="12"/>
              </w:rPr>
            </w:pPr>
            <w:r>
              <w:rPr>
                <w:noProof/>
                <w:sz w:val="12"/>
                <w:szCs w:val="12"/>
              </w:rPr>
              <w:t>EFRR</w:t>
            </w:r>
          </w:p>
        </w:tc>
        <w:tc>
          <w:tcPr>
            <w:tcW w:w="0" w:type="auto"/>
            <w:shd w:val="clear" w:color="auto" w:fill="auto"/>
          </w:tcPr>
          <w:p w14:paraId="11C88802" w14:textId="77777777" w:rsidR="008C5CFA" w:rsidRPr="009C3005" w:rsidRDefault="00E82A60" w:rsidP="00300A01">
            <w:pPr>
              <w:pStyle w:val="Text1"/>
              <w:spacing w:before="0" w:after="0"/>
              <w:ind w:left="0"/>
              <w:rPr>
                <w:sz w:val="12"/>
                <w:szCs w:val="12"/>
              </w:rPr>
            </w:pPr>
            <w:r>
              <w:rPr>
                <w:noProof/>
                <w:sz w:val="12"/>
                <w:szCs w:val="12"/>
              </w:rPr>
              <w:t>Słabiej rozwinięte</w:t>
            </w:r>
          </w:p>
        </w:tc>
        <w:tc>
          <w:tcPr>
            <w:tcW w:w="0" w:type="auto"/>
            <w:shd w:val="clear" w:color="auto" w:fill="auto"/>
          </w:tcPr>
          <w:p w14:paraId="55167384" w14:textId="77777777" w:rsidR="008C5CFA" w:rsidRPr="009C3005" w:rsidRDefault="00E82A60" w:rsidP="00300A01">
            <w:pPr>
              <w:pStyle w:val="Text1"/>
              <w:spacing w:before="0" w:after="0"/>
              <w:ind w:left="0"/>
              <w:rPr>
                <w:sz w:val="12"/>
                <w:szCs w:val="12"/>
              </w:rPr>
            </w:pPr>
            <w:r>
              <w:rPr>
                <w:noProof/>
                <w:sz w:val="12"/>
                <w:szCs w:val="12"/>
              </w:rPr>
              <w:t>013</w:t>
            </w:r>
          </w:p>
        </w:tc>
        <w:tc>
          <w:tcPr>
            <w:tcW w:w="0" w:type="auto"/>
            <w:shd w:val="clear" w:color="auto" w:fill="auto"/>
          </w:tcPr>
          <w:p w14:paraId="595A7108"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7DAF3730"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45E5333C"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04EB55F3" w14:textId="77777777" w:rsidR="008C5CFA" w:rsidRPr="009C3005" w:rsidRDefault="00E82A60" w:rsidP="00300A01">
            <w:pPr>
              <w:pStyle w:val="Text1"/>
              <w:spacing w:before="0" w:after="0"/>
              <w:ind w:left="0"/>
              <w:rPr>
                <w:sz w:val="12"/>
                <w:szCs w:val="12"/>
              </w:rPr>
            </w:pPr>
            <w:r>
              <w:rPr>
                <w:noProof/>
                <w:sz w:val="12"/>
                <w:szCs w:val="12"/>
              </w:rPr>
              <w:t>04</w:t>
            </w:r>
          </w:p>
        </w:tc>
        <w:tc>
          <w:tcPr>
            <w:tcW w:w="0" w:type="auto"/>
            <w:shd w:val="clear" w:color="auto" w:fill="auto"/>
          </w:tcPr>
          <w:p w14:paraId="534CF3E3" w14:textId="77777777" w:rsidR="008C5CFA" w:rsidRPr="009C3005" w:rsidRDefault="00E82A60" w:rsidP="00300A01">
            <w:pPr>
              <w:pStyle w:val="Text1"/>
              <w:spacing w:before="0" w:after="0"/>
              <w:ind w:left="0"/>
              <w:rPr>
                <w:sz w:val="12"/>
                <w:szCs w:val="12"/>
              </w:rPr>
            </w:pPr>
            <w:r>
              <w:rPr>
                <w:sz w:val="12"/>
                <w:szCs w:val="12"/>
              </w:rPr>
              <w:t xml:space="preserve"> </w:t>
            </w:r>
          </w:p>
        </w:tc>
        <w:tc>
          <w:tcPr>
            <w:tcW w:w="0" w:type="auto"/>
            <w:shd w:val="clear" w:color="auto" w:fill="auto"/>
          </w:tcPr>
          <w:p w14:paraId="4A353689" w14:textId="77777777" w:rsidR="008C5CFA" w:rsidRPr="009C3005" w:rsidRDefault="00E82A60" w:rsidP="00300A01">
            <w:pPr>
              <w:pStyle w:val="Text1"/>
              <w:spacing w:before="0" w:after="0"/>
              <w:ind w:left="0"/>
              <w:rPr>
                <w:sz w:val="12"/>
                <w:szCs w:val="12"/>
              </w:rPr>
            </w:pPr>
            <w:r>
              <w:rPr>
                <w:noProof/>
                <w:sz w:val="12"/>
                <w:szCs w:val="12"/>
              </w:rPr>
              <w:t>19</w:t>
            </w:r>
          </w:p>
        </w:tc>
        <w:tc>
          <w:tcPr>
            <w:tcW w:w="0" w:type="auto"/>
            <w:shd w:val="clear" w:color="auto" w:fill="auto"/>
          </w:tcPr>
          <w:p w14:paraId="767A1543" w14:textId="77777777" w:rsidR="008C5CFA" w:rsidRPr="009C3005" w:rsidRDefault="00E82A60" w:rsidP="00300A01">
            <w:pPr>
              <w:pStyle w:val="Text1"/>
              <w:spacing w:before="0" w:after="0"/>
              <w:ind w:left="0"/>
              <w:rPr>
                <w:sz w:val="12"/>
                <w:szCs w:val="12"/>
              </w:rPr>
            </w:pPr>
            <w:r>
              <w:rPr>
                <w:noProof/>
                <w:sz w:val="12"/>
                <w:szCs w:val="12"/>
              </w:rPr>
              <w:t>PL33</w:t>
            </w:r>
          </w:p>
        </w:tc>
        <w:tc>
          <w:tcPr>
            <w:tcW w:w="0" w:type="auto"/>
            <w:shd w:val="clear" w:color="auto" w:fill="auto"/>
          </w:tcPr>
          <w:p w14:paraId="448E8FF8" w14:textId="77777777" w:rsidR="008C5CFA" w:rsidRPr="009C3005" w:rsidRDefault="00E82A60" w:rsidP="00300A01">
            <w:pPr>
              <w:pStyle w:val="Text1"/>
              <w:spacing w:before="0" w:after="0"/>
              <w:ind w:left="0"/>
              <w:jc w:val="right"/>
              <w:rPr>
                <w:sz w:val="12"/>
                <w:szCs w:val="12"/>
              </w:rPr>
            </w:pPr>
            <w:r w:rsidRPr="009C3005">
              <w:rPr>
                <w:noProof/>
                <w:sz w:val="12"/>
                <w:szCs w:val="12"/>
              </w:rPr>
              <w:t>402 725,24</w:t>
            </w:r>
          </w:p>
        </w:tc>
        <w:tc>
          <w:tcPr>
            <w:tcW w:w="0" w:type="auto"/>
            <w:shd w:val="clear" w:color="auto" w:fill="auto"/>
          </w:tcPr>
          <w:p w14:paraId="2C35F4D6" w14:textId="77777777" w:rsidR="008C5CFA" w:rsidRPr="009C3005" w:rsidRDefault="00E82A60" w:rsidP="00300A01">
            <w:pPr>
              <w:pStyle w:val="Text1"/>
              <w:spacing w:before="0" w:after="0"/>
              <w:ind w:left="0"/>
              <w:jc w:val="right"/>
              <w:rPr>
                <w:sz w:val="12"/>
                <w:szCs w:val="12"/>
              </w:rPr>
            </w:pPr>
            <w:r w:rsidRPr="009C3005">
              <w:rPr>
                <w:noProof/>
                <w:sz w:val="12"/>
                <w:szCs w:val="12"/>
              </w:rPr>
              <w:t>342 316,45</w:t>
            </w:r>
          </w:p>
        </w:tc>
        <w:tc>
          <w:tcPr>
            <w:tcW w:w="0" w:type="auto"/>
            <w:shd w:val="clear" w:color="auto" w:fill="auto"/>
          </w:tcPr>
          <w:p w14:paraId="2CFE841E" w14:textId="77777777" w:rsidR="008C5CFA" w:rsidRPr="009C3005" w:rsidRDefault="00E82A60" w:rsidP="00300A01">
            <w:pPr>
              <w:pStyle w:val="Text1"/>
              <w:spacing w:before="0" w:after="0"/>
              <w:ind w:left="0"/>
              <w:jc w:val="right"/>
              <w:rPr>
                <w:sz w:val="12"/>
                <w:szCs w:val="12"/>
              </w:rPr>
            </w:pPr>
            <w:r w:rsidRPr="009C3005">
              <w:rPr>
                <w:noProof/>
                <w:sz w:val="12"/>
                <w:szCs w:val="12"/>
              </w:rPr>
              <w:t>402 725,24</w:t>
            </w:r>
          </w:p>
        </w:tc>
        <w:tc>
          <w:tcPr>
            <w:tcW w:w="0" w:type="auto"/>
            <w:shd w:val="clear" w:color="auto" w:fill="auto"/>
          </w:tcPr>
          <w:p w14:paraId="3B1F4C97" w14:textId="77777777" w:rsidR="008C5CFA" w:rsidRPr="009C3005" w:rsidRDefault="00E82A60" w:rsidP="00300A01">
            <w:pPr>
              <w:pStyle w:val="Text1"/>
              <w:spacing w:before="0" w:after="0"/>
              <w:ind w:left="0"/>
              <w:jc w:val="right"/>
              <w:rPr>
                <w:sz w:val="12"/>
                <w:szCs w:val="12"/>
              </w:rPr>
            </w:pPr>
            <w:r w:rsidRPr="009C3005">
              <w:rPr>
                <w:noProof/>
                <w:sz w:val="12"/>
                <w:szCs w:val="12"/>
              </w:rPr>
              <w:t>1</w:t>
            </w:r>
          </w:p>
        </w:tc>
      </w:tr>
      <w:tr w:rsidR="006B2EC1" w14:paraId="5B9E5B9C" w14:textId="77777777" w:rsidTr="0047688D">
        <w:tc>
          <w:tcPr>
            <w:tcW w:w="0" w:type="auto"/>
            <w:shd w:val="clear" w:color="auto" w:fill="auto"/>
          </w:tcPr>
          <w:p w14:paraId="7285827C" w14:textId="77777777" w:rsidR="008C5CFA" w:rsidRPr="009C3005" w:rsidRDefault="00E82A60" w:rsidP="00300A01">
            <w:pPr>
              <w:pStyle w:val="Text1"/>
              <w:spacing w:before="0" w:after="0"/>
              <w:ind w:left="0"/>
              <w:rPr>
                <w:sz w:val="12"/>
                <w:szCs w:val="12"/>
              </w:rPr>
            </w:pPr>
            <w:r>
              <w:rPr>
                <w:noProof/>
                <w:sz w:val="14"/>
                <w:szCs w:val="14"/>
                <w:lang w:val="fr-BE"/>
              </w:rPr>
              <w:t>3</w:t>
            </w:r>
          </w:p>
        </w:tc>
        <w:tc>
          <w:tcPr>
            <w:tcW w:w="0" w:type="auto"/>
            <w:shd w:val="clear" w:color="auto" w:fill="auto"/>
          </w:tcPr>
          <w:p w14:paraId="06EBC2E4" w14:textId="77777777" w:rsidR="008C5CFA" w:rsidRPr="009C3005" w:rsidRDefault="00E82A60" w:rsidP="00300A01">
            <w:pPr>
              <w:pStyle w:val="Text1"/>
              <w:spacing w:before="0" w:after="0"/>
              <w:ind w:left="0"/>
              <w:rPr>
                <w:sz w:val="12"/>
                <w:szCs w:val="12"/>
              </w:rPr>
            </w:pPr>
            <w:r>
              <w:rPr>
                <w:noProof/>
                <w:sz w:val="12"/>
                <w:szCs w:val="12"/>
              </w:rPr>
              <w:t>EFRR</w:t>
            </w:r>
          </w:p>
        </w:tc>
        <w:tc>
          <w:tcPr>
            <w:tcW w:w="0" w:type="auto"/>
            <w:shd w:val="clear" w:color="auto" w:fill="auto"/>
          </w:tcPr>
          <w:p w14:paraId="1DA0516A" w14:textId="77777777" w:rsidR="008C5CFA" w:rsidRPr="009C3005" w:rsidRDefault="00E82A60" w:rsidP="00300A01">
            <w:pPr>
              <w:pStyle w:val="Text1"/>
              <w:spacing w:before="0" w:after="0"/>
              <w:ind w:left="0"/>
              <w:rPr>
                <w:sz w:val="12"/>
                <w:szCs w:val="12"/>
              </w:rPr>
            </w:pPr>
            <w:r>
              <w:rPr>
                <w:noProof/>
                <w:sz w:val="12"/>
                <w:szCs w:val="12"/>
              </w:rPr>
              <w:t>Słabiej rozwinięte</w:t>
            </w:r>
          </w:p>
        </w:tc>
        <w:tc>
          <w:tcPr>
            <w:tcW w:w="0" w:type="auto"/>
            <w:shd w:val="clear" w:color="auto" w:fill="auto"/>
          </w:tcPr>
          <w:p w14:paraId="2A6005E8" w14:textId="77777777" w:rsidR="008C5CFA" w:rsidRPr="009C3005" w:rsidRDefault="00E82A60" w:rsidP="00300A01">
            <w:pPr>
              <w:pStyle w:val="Text1"/>
              <w:spacing w:before="0" w:after="0"/>
              <w:ind w:left="0"/>
              <w:rPr>
                <w:sz w:val="12"/>
                <w:szCs w:val="12"/>
              </w:rPr>
            </w:pPr>
            <w:r>
              <w:rPr>
                <w:noProof/>
                <w:sz w:val="12"/>
                <w:szCs w:val="12"/>
              </w:rPr>
              <w:t>013</w:t>
            </w:r>
          </w:p>
        </w:tc>
        <w:tc>
          <w:tcPr>
            <w:tcW w:w="0" w:type="auto"/>
            <w:shd w:val="clear" w:color="auto" w:fill="auto"/>
          </w:tcPr>
          <w:p w14:paraId="40CF6A2D"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70291277" w14:textId="77777777" w:rsidR="008C5CFA" w:rsidRPr="009C3005" w:rsidRDefault="00E82A60" w:rsidP="00300A01">
            <w:pPr>
              <w:pStyle w:val="Text1"/>
              <w:spacing w:before="0" w:after="0"/>
              <w:ind w:left="0"/>
              <w:rPr>
                <w:sz w:val="12"/>
                <w:szCs w:val="12"/>
              </w:rPr>
            </w:pPr>
            <w:r>
              <w:rPr>
                <w:noProof/>
                <w:sz w:val="12"/>
                <w:szCs w:val="12"/>
              </w:rPr>
              <w:t>02</w:t>
            </w:r>
          </w:p>
        </w:tc>
        <w:tc>
          <w:tcPr>
            <w:tcW w:w="0" w:type="auto"/>
            <w:shd w:val="clear" w:color="auto" w:fill="auto"/>
          </w:tcPr>
          <w:p w14:paraId="72B6626D"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59EAF1E6" w14:textId="77777777" w:rsidR="008C5CFA" w:rsidRPr="009C3005" w:rsidRDefault="00E82A60" w:rsidP="00300A01">
            <w:pPr>
              <w:pStyle w:val="Text1"/>
              <w:spacing w:before="0" w:after="0"/>
              <w:ind w:left="0"/>
              <w:rPr>
                <w:sz w:val="12"/>
                <w:szCs w:val="12"/>
              </w:rPr>
            </w:pPr>
            <w:r>
              <w:rPr>
                <w:noProof/>
                <w:sz w:val="12"/>
                <w:szCs w:val="12"/>
              </w:rPr>
              <w:t>04</w:t>
            </w:r>
          </w:p>
        </w:tc>
        <w:tc>
          <w:tcPr>
            <w:tcW w:w="0" w:type="auto"/>
            <w:shd w:val="clear" w:color="auto" w:fill="auto"/>
          </w:tcPr>
          <w:p w14:paraId="254ED99A" w14:textId="77777777" w:rsidR="008C5CFA" w:rsidRPr="009C3005" w:rsidRDefault="00E82A60" w:rsidP="00300A01">
            <w:pPr>
              <w:pStyle w:val="Text1"/>
              <w:spacing w:before="0" w:after="0"/>
              <w:ind w:left="0"/>
              <w:rPr>
                <w:sz w:val="12"/>
                <w:szCs w:val="12"/>
              </w:rPr>
            </w:pPr>
            <w:r>
              <w:rPr>
                <w:sz w:val="12"/>
                <w:szCs w:val="12"/>
              </w:rPr>
              <w:t xml:space="preserve"> </w:t>
            </w:r>
          </w:p>
        </w:tc>
        <w:tc>
          <w:tcPr>
            <w:tcW w:w="0" w:type="auto"/>
            <w:shd w:val="clear" w:color="auto" w:fill="auto"/>
          </w:tcPr>
          <w:p w14:paraId="5CFEA2A3" w14:textId="77777777" w:rsidR="008C5CFA" w:rsidRPr="009C3005" w:rsidRDefault="00E82A60" w:rsidP="00300A01">
            <w:pPr>
              <w:pStyle w:val="Text1"/>
              <w:spacing w:before="0" w:after="0"/>
              <w:ind w:left="0"/>
              <w:rPr>
                <w:sz w:val="12"/>
                <w:szCs w:val="12"/>
              </w:rPr>
            </w:pPr>
            <w:r>
              <w:rPr>
                <w:noProof/>
                <w:sz w:val="12"/>
                <w:szCs w:val="12"/>
              </w:rPr>
              <w:t>18</w:t>
            </w:r>
          </w:p>
        </w:tc>
        <w:tc>
          <w:tcPr>
            <w:tcW w:w="0" w:type="auto"/>
            <w:shd w:val="clear" w:color="auto" w:fill="auto"/>
          </w:tcPr>
          <w:p w14:paraId="2FB2422C" w14:textId="77777777" w:rsidR="008C5CFA" w:rsidRPr="009C3005" w:rsidRDefault="00E82A60" w:rsidP="00300A01">
            <w:pPr>
              <w:pStyle w:val="Text1"/>
              <w:spacing w:before="0" w:after="0"/>
              <w:ind w:left="0"/>
              <w:rPr>
                <w:sz w:val="12"/>
                <w:szCs w:val="12"/>
              </w:rPr>
            </w:pPr>
            <w:r>
              <w:rPr>
                <w:noProof/>
                <w:sz w:val="12"/>
                <w:szCs w:val="12"/>
              </w:rPr>
              <w:t>PL33</w:t>
            </w:r>
          </w:p>
        </w:tc>
        <w:tc>
          <w:tcPr>
            <w:tcW w:w="0" w:type="auto"/>
            <w:shd w:val="clear" w:color="auto" w:fill="auto"/>
          </w:tcPr>
          <w:p w14:paraId="64A16E98" w14:textId="77777777" w:rsidR="008C5CFA" w:rsidRPr="009C3005" w:rsidRDefault="00E82A60" w:rsidP="00300A01">
            <w:pPr>
              <w:pStyle w:val="Text1"/>
              <w:spacing w:before="0" w:after="0"/>
              <w:ind w:left="0"/>
              <w:jc w:val="right"/>
              <w:rPr>
                <w:sz w:val="12"/>
                <w:szCs w:val="12"/>
              </w:rPr>
            </w:pPr>
            <w:r w:rsidRPr="009C3005">
              <w:rPr>
                <w:noProof/>
                <w:sz w:val="12"/>
                <w:szCs w:val="12"/>
              </w:rPr>
              <w:t>24 320 873,50</w:t>
            </w:r>
          </w:p>
        </w:tc>
        <w:tc>
          <w:tcPr>
            <w:tcW w:w="0" w:type="auto"/>
            <w:shd w:val="clear" w:color="auto" w:fill="auto"/>
          </w:tcPr>
          <w:p w14:paraId="201CAA8B" w14:textId="77777777" w:rsidR="008C5CFA" w:rsidRPr="009C3005" w:rsidRDefault="00E82A60" w:rsidP="00300A01">
            <w:pPr>
              <w:pStyle w:val="Text1"/>
              <w:spacing w:before="0" w:after="0"/>
              <w:ind w:left="0"/>
              <w:jc w:val="right"/>
              <w:rPr>
                <w:sz w:val="12"/>
                <w:szCs w:val="12"/>
              </w:rPr>
            </w:pPr>
            <w:r w:rsidRPr="009C3005">
              <w:rPr>
                <w:noProof/>
                <w:sz w:val="12"/>
                <w:szCs w:val="12"/>
              </w:rPr>
              <w:t>24 320 873,50</w:t>
            </w:r>
          </w:p>
        </w:tc>
        <w:tc>
          <w:tcPr>
            <w:tcW w:w="0" w:type="auto"/>
            <w:shd w:val="clear" w:color="auto" w:fill="auto"/>
          </w:tcPr>
          <w:p w14:paraId="06C74A80" w14:textId="77777777" w:rsidR="008C5CFA" w:rsidRPr="009C3005" w:rsidRDefault="00E82A60" w:rsidP="00300A01">
            <w:pPr>
              <w:pStyle w:val="Text1"/>
              <w:spacing w:before="0" w:after="0"/>
              <w:ind w:left="0"/>
              <w:jc w:val="right"/>
              <w:rPr>
                <w:sz w:val="12"/>
                <w:szCs w:val="12"/>
              </w:rPr>
            </w:pPr>
            <w:r w:rsidRPr="009C3005">
              <w:rPr>
                <w:noProof/>
                <w:sz w:val="12"/>
                <w:szCs w:val="12"/>
              </w:rPr>
              <w:t>7 129 764,83</w:t>
            </w:r>
          </w:p>
        </w:tc>
        <w:tc>
          <w:tcPr>
            <w:tcW w:w="0" w:type="auto"/>
            <w:shd w:val="clear" w:color="auto" w:fill="auto"/>
          </w:tcPr>
          <w:p w14:paraId="2681C63A" w14:textId="77777777" w:rsidR="008C5CFA" w:rsidRPr="009C3005" w:rsidRDefault="00E82A60" w:rsidP="00300A01">
            <w:pPr>
              <w:pStyle w:val="Text1"/>
              <w:spacing w:before="0" w:after="0"/>
              <w:ind w:left="0"/>
              <w:jc w:val="right"/>
              <w:rPr>
                <w:sz w:val="12"/>
                <w:szCs w:val="12"/>
              </w:rPr>
            </w:pPr>
            <w:r w:rsidRPr="009C3005">
              <w:rPr>
                <w:noProof/>
                <w:sz w:val="12"/>
                <w:szCs w:val="12"/>
              </w:rPr>
              <w:t>35</w:t>
            </w:r>
          </w:p>
        </w:tc>
      </w:tr>
      <w:tr w:rsidR="006B2EC1" w14:paraId="5401AB6F" w14:textId="77777777" w:rsidTr="0047688D">
        <w:tc>
          <w:tcPr>
            <w:tcW w:w="0" w:type="auto"/>
            <w:shd w:val="clear" w:color="auto" w:fill="auto"/>
          </w:tcPr>
          <w:p w14:paraId="652D66E1" w14:textId="77777777" w:rsidR="008C5CFA" w:rsidRPr="009C3005" w:rsidRDefault="00E82A60" w:rsidP="00300A01">
            <w:pPr>
              <w:pStyle w:val="Text1"/>
              <w:spacing w:before="0" w:after="0"/>
              <w:ind w:left="0"/>
              <w:rPr>
                <w:sz w:val="12"/>
                <w:szCs w:val="12"/>
              </w:rPr>
            </w:pPr>
            <w:r>
              <w:rPr>
                <w:noProof/>
                <w:sz w:val="14"/>
                <w:szCs w:val="14"/>
                <w:lang w:val="fr-BE"/>
              </w:rPr>
              <w:t>3</w:t>
            </w:r>
          </w:p>
        </w:tc>
        <w:tc>
          <w:tcPr>
            <w:tcW w:w="0" w:type="auto"/>
            <w:shd w:val="clear" w:color="auto" w:fill="auto"/>
          </w:tcPr>
          <w:p w14:paraId="19D0C592" w14:textId="77777777" w:rsidR="008C5CFA" w:rsidRPr="009C3005" w:rsidRDefault="00E82A60" w:rsidP="00300A01">
            <w:pPr>
              <w:pStyle w:val="Text1"/>
              <w:spacing w:before="0" w:after="0"/>
              <w:ind w:left="0"/>
              <w:rPr>
                <w:sz w:val="12"/>
                <w:szCs w:val="12"/>
              </w:rPr>
            </w:pPr>
            <w:r>
              <w:rPr>
                <w:noProof/>
                <w:sz w:val="12"/>
                <w:szCs w:val="12"/>
              </w:rPr>
              <w:t>EFRR</w:t>
            </w:r>
          </w:p>
        </w:tc>
        <w:tc>
          <w:tcPr>
            <w:tcW w:w="0" w:type="auto"/>
            <w:shd w:val="clear" w:color="auto" w:fill="auto"/>
          </w:tcPr>
          <w:p w14:paraId="793820DE" w14:textId="77777777" w:rsidR="008C5CFA" w:rsidRPr="009C3005" w:rsidRDefault="00E82A60" w:rsidP="00300A01">
            <w:pPr>
              <w:pStyle w:val="Text1"/>
              <w:spacing w:before="0" w:after="0"/>
              <w:ind w:left="0"/>
              <w:rPr>
                <w:sz w:val="12"/>
                <w:szCs w:val="12"/>
              </w:rPr>
            </w:pPr>
            <w:r>
              <w:rPr>
                <w:noProof/>
                <w:sz w:val="12"/>
                <w:szCs w:val="12"/>
              </w:rPr>
              <w:t>Słabiej rozwinięte</w:t>
            </w:r>
          </w:p>
        </w:tc>
        <w:tc>
          <w:tcPr>
            <w:tcW w:w="0" w:type="auto"/>
            <w:shd w:val="clear" w:color="auto" w:fill="auto"/>
          </w:tcPr>
          <w:p w14:paraId="7951D2A4" w14:textId="77777777" w:rsidR="008C5CFA" w:rsidRPr="009C3005" w:rsidRDefault="00E82A60" w:rsidP="00300A01">
            <w:pPr>
              <w:pStyle w:val="Text1"/>
              <w:spacing w:before="0" w:after="0"/>
              <w:ind w:left="0"/>
              <w:rPr>
                <w:sz w:val="12"/>
                <w:szCs w:val="12"/>
              </w:rPr>
            </w:pPr>
            <w:r>
              <w:rPr>
                <w:noProof/>
                <w:sz w:val="12"/>
                <w:szCs w:val="12"/>
              </w:rPr>
              <w:t>013</w:t>
            </w:r>
          </w:p>
        </w:tc>
        <w:tc>
          <w:tcPr>
            <w:tcW w:w="0" w:type="auto"/>
            <w:shd w:val="clear" w:color="auto" w:fill="auto"/>
          </w:tcPr>
          <w:p w14:paraId="530AD04B"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60E5AAAE" w14:textId="77777777" w:rsidR="008C5CFA" w:rsidRPr="009C3005" w:rsidRDefault="00E82A60" w:rsidP="00300A01">
            <w:pPr>
              <w:pStyle w:val="Text1"/>
              <w:spacing w:before="0" w:after="0"/>
              <w:ind w:left="0"/>
              <w:rPr>
                <w:sz w:val="12"/>
                <w:szCs w:val="12"/>
              </w:rPr>
            </w:pPr>
            <w:r>
              <w:rPr>
                <w:noProof/>
                <w:sz w:val="12"/>
                <w:szCs w:val="12"/>
              </w:rPr>
              <w:t>02</w:t>
            </w:r>
          </w:p>
        </w:tc>
        <w:tc>
          <w:tcPr>
            <w:tcW w:w="0" w:type="auto"/>
            <w:shd w:val="clear" w:color="auto" w:fill="auto"/>
          </w:tcPr>
          <w:p w14:paraId="65D1C274"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3B1DD5E6" w14:textId="77777777" w:rsidR="008C5CFA" w:rsidRPr="009C3005" w:rsidRDefault="00E82A60" w:rsidP="00300A01">
            <w:pPr>
              <w:pStyle w:val="Text1"/>
              <w:spacing w:before="0" w:after="0"/>
              <w:ind w:left="0"/>
              <w:rPr>
                <w:sz w:val="12"/>
                <w:szCs w:val="12"/>
              </w:rPr>
            </w:pPr>
            <w:r>
              <w:rPr>
                <w:noProof/>
                <w:sz w:val="12"/>
                <w:szCs w:val="12"/>
              </w:rPr>
              <w:t>04</w:t>
            </w:r>
          </w:p>
        </w:tc>
        <w:tc>
          <w:tcPr>
            <w:tcW w:w="0" w:type="auto"/>
            <w:shd w:val="clear" w:color="auto" w:fill="auto"/>
          </w:tcPr>
          <w:p w14:paraId="02A3B8C4" w14:textId="77777777" w:rsidR="008C5CFA" w:rsidRPr="009C3005" w:rsidRDefault="00E82A60" w:rsidP="00300A01">
            <w:pPr>
              <w:pStyle w:val="Text1"/>
              <w:spacing w:before="0" w:after="0"/>
              <w:ind w:left="0"/>
              <w:rPr>
                <w:sz w:val="12"/>
                <w:szCs w:val="12"/>
              </w:rPr>
            </w:pPr>
            <w:r>
              <w:rPr>
                <w:sz w:val="12"/>
                <w:szCs w:val="12"/>
              </w:rPr>
              <w:t xml:space="preserve"> </w:t>
            </w:r>
          </w:p>
        </w:tc>
        <w:tc>
          <w:tcPr>
            <w:tcW w:w="0" w:type="auto"/>
            <w:shd w:val="clear" w:color="auto" w:fill="auto"/>
          </w:tcPr>
          <w:p w14:paraId="5DF3F35E" w14:textId="77777777" w:rsidR="008C5CFA" w:rsidRPr="009C3005" w:rsidRDefault="00E82A60" w:rsidP="00300A01">
            <w:pPr>
              <w:pStyle w:val="Text1"/>
              <w:spacing w:before="0" w:after="0"/>
              <w:ind w:left="0"/>
              <w:rPr>
                <w:sz w:val="12"/>
                <w:szCs w:val="12"/>
              </w:rPr>
            </w:pPr>
            <w:r>
              <w:rPr>
                <w:noProof/>
                <w:sz w:val="12"/>
                <w:szCs w:val="12"/>
              </w:rPr>
              <w:t>20</w:t>
            </w:r>
          </w:p>
        </w:tc>
        <w:tc>
          <w:tcPr>
            <w:tcW w:w="0" w:type="auto"/>
            <w:shd w:val="clear" w:color="auto" w:fill="auto"/>
          </w:tcPr>
          <w:p w14:paraId="72CC57E1" w14:textId="77777777" w:rsidR="008C5CFA" w:rsidRPr="009C3005" w:rsidRDefault="00E82A60" w:rsidP="00300A01">
            <w:pPr>
              <w:pStyle w:val="Text1"/>
              <w:spacing w:before="0" w:after="0"/>
              <w:ind w:left="0"/>
              <w:rPr>
                <w:sz w:val="12"/>
                <w:szCs w:val="12"/>
              </w:rPr>
            </w:pPr>
            <w:r>
              <w:rPr>
                <w:noProof/>
                <w:sz w:val="12"/>
                <w:szCs w:val="12"/>
              </w:rPr>
              <w:t>PL33</w:t>
            </w:r>
          </w:p>
        </w:tc>
        <w:tc>
          <w:tcPr>
            <w:tcW w:w="0" w:type="auto"/>
            <w:shd w:val="clear" w:color="auto" w:fill="auto"/>
          </w:tcPr>
          <w:p w14:paraId="245457D0" w14:textId="77777777" w:rsidR="008C5CFA" w:rsidRPr="009C3005" w:rsidRDefault="00E82A60" w:rsidP="00300A01">
            <w:pPr>
              <w:pStyle w:val="Text1"/>
              <w:spacing w:before="0" w:after="0"/>
              <w:ind w:left="0"/>
              <w:jc w:val="right"/>
              <w:rPr>
                <w:sz w:val="12"/>
                <w:szCs w:val="12"/>
              </w:rPr>
            </w:pPr>
            <w:r w:rsidRPr="009C3005">
              <w:rPr>
                <w:noProof/>
                <w:sz w:val="12"/>
                <w:szCs w:val="12"/>
              </w:rPr>
              <w:t>1 171 952,61</w:t>
            </w:r>
          </w:p>
        </w:tc>
        <w:tc>
          <w:tcPr>
            <w:tcW w:w="0" w:type="auto"/>
            <w:shd w:val="clear" w:color="auto" w:fill="auto"/>
          </w:tcPr>
          <w:p w14:paraId="52B990D1" w14:textId="77777777" w:rsidR="008C5CFA" w:rsidRPr="009C3005" w:rsidRDefault="00E82A60" w:rsidP="00300A01">
            <w:pPr>
              <w:pStyle w:val="Text1"/>
              <w:spacing w:before="0" w:after="0"/>
              <w:ind w:left="0"/>
              <w:jc w:val="right"/>
              <w:rPr>
                <w:sz w:val="12"/>
                <w:szCs w:val="12"/>
              </w:rPr>
            </w:pPr>
            <w:r w:rsidRPr="009C3005">
              <w:rPr>
                <w:noProof/>
                <w:sz w:val="12"/>
                <w:szCs w:val="12"/>
              </w:rPr>
              <w:t>1 171 952,61</w:t>
            </w:r>
          </w:p>
        </w:tc>
        <w:tc>
          <w:tcPr>
            <w:tcW w:w="0" w:type="auto"/>
            <w:shd w:val="clear" w:color="auto" w:fill="auto"/>
          </w:tcPr>
          <w:p w14:paraId="33F57BFE" w14:textId="77777777" w:rsidR="008C5CFA" w:rsidRPr="009C3005" w:rsidRDefault="00E82A60" w:rsidP="00300A01">
            <w:pPr>
              <w:pStyle w:val="Text1"/>
              <w:spacing w:before="0" w:after="0"/>
              <w:ind w:left="0"/>
              <w:jc w:val="right"/>
              <w:rPr>
                <w:sz w:val="12"/>
                <w:szCs w:val="12"/>
              </w:rPr>
            </w:pPr>
            <w:r w:rsidRPr="009C3005">
              <w:rPr>
                <w:noProof/>
                <w:sz w:val="12"/>
                <w:szCs w:val="12"/>
              </w:rPr>
              <w:t>0,00</w:t>
            </w:r>
          </w:p>
        </w:tc>
        <w:tc>
          <w:tcPr>
            <w:tcW w:w="0" w:type="auto"/>
            <w:shd w:val="clear" w:color="auto" w:fill="auto"/>
          </w:tcPr>
          <w:p w14:paraId="6BA27F7C" w14:textId="77777777" w:rsidR="008C5CFA" w:rsidRPr="009C3005" w:rsidRDefault="00E82A60" w:rsidP="00300A01">
            <w:pPr>
              <w:pStyle w:val="Text1"/>
              <w:spacing w:before="0" w:after="0"/>
              <w:ind w:left="0"/>
              <w:jc w:val="right"/>
              <w:rPr>
                <w:sz w:val="12"/>
                <w:szCs w:val="12"/>
              </w:rPr>
            </w:pPr>
            <w:r w:rsidRPr="009C3005">
              <w:rPr>
                <w:noProof/>
                <w:sz w:val="12"/>
                <w:szCs w:val="12"/>
              </w:rPr>
              <w:t>1</w:t>
            </w:r>
          </w:p>
        </w:tc>
      </w:tr>
      <w:tr w:rsidR="006B2EC1" w14:paraId="7CA37A4F" w14:textId="77777777" w:rsidTr="0047688D">
        <w:tc>
          <w:tcPr>
            <w:tcW w:w="0" w:type="auto"/>
            <w:shd w:val="clear" w:color="auto" w:fill="auto"/>
          </w:tcPr>
          <w:p w14:paraId="5F1AB709" w14:textId="77777777" w:rsidR="008C5CFA" w:rsidRPr="009C3005" w:rsidRDefault="00E82A60" w:rsidP="00300A01">
            <w:pPr>
              <w:pStyle w:val="Text1"/>
              <w:spacing w:before="0" w:after="0"/>
              <w:ind w:left="0"/>
              <w:rPr>
                <w:sz w:val="12"/>
                <w:szCs w:val="12"/>
              </w:rPr>
            </w:pPr>
            <w:r>
              <w:rPr>
                <w:noProof/>
                <w:sz w:val="14"/>
                <w:szCs w:val="14"/>
                <w:lang w:val="fr-BE"/>
              </w:rPr>
              <w:lastRenderedPageBreak/>
              <w:t>3</w:t>
            </w:r>
          </w:p>
        </w:tc>
        <w:tc>
          <w:tcPr>
            <w:tcW w:w="0" w:type="auto"/>
            <w:shd w:val="clear" w:color="auto" w:fill="auto"/>
          </w:tcPr>
          <w:p w14:paraId="1EECBBD3" w14:textId="77777777" w:rsidR="008C5CFA" w:rsidRPr="009C3005" w:rsidRDefault="00E82A60" w:rsidP="00300A01">
            <w:pPr>
              <w:pStyle w:val="Text1"/>
              <w:spacing w:before="0" w:after="0"/>
              <w:ind w:left="0"/>
              <w:rPr>
                <w:sz w:val="12"/>
                <w:szCs w:val="12"/>
              </w:rPr>
            </w:pPr>
            <w:r>
              <w:rPr>
                <w:noProof/>
                <w:sz w:val="12"/>
                <w:szCs w:val="12"/>
              </w:rPr>
              <w:t>EFRR</w:t>
            </w:r>
          </w:p>
        </w:tc>
        <w:tc>
          <w:tcPr>
            <w:tcW w:w="0" w:type="auto"/>
            <w:shd w:val="clear" w:color="auto" w:fill="auto"/>
          </w:tcPr>
          <w:p w14:paraId="7AEE422C" w14:textId="77777777" w:rsidR="008C5CFA" w:rsidRPr="009C3005" w:rsidRDefault="00E82A60" w:rsidP="00300A01">
            <w:pPr>
              <w:pStyle w:val="Text1"/>
              <w:spacing w:before="0" w:after="0"/>
              <w:ind w:left="0"/>
              <w:rPr>
                <w:sz w:val="12"/>
                <w:szCs w:val="12"/>
              </w:rPr>
            </w:pPr>
            <w:r>
              <w:rPr>
                <w:noProof/>
                <w:sz w:val="12"/>
                <w:szCs w:val="12"/>
              </w:rPr>
              <w:t>Słabiej rozwinięte</w:t>
            </w:r>
          </w:p>
        </w:tc>
        <w:tc>
          <w:tcPr>
            <w:tcW w:w="0" w:type="auto"/>
            <w:shd w:val="clear" w:color="auto" w:fill="auto"/>
          </w:tcPr>
          <w:p w14:paraId="216D9EDA" w14:textId="77777777" w:rsidR="008C5CFA" w:rsidRPr="009C3005" w:rsidRDefault="00E82A60" w:rsidP="00300A01">
            <w:pPr>
              <w:pStyle w:val="Text1"/>
              <w:spacing w:before="0" w:after="0"/>
              <w:ind w:left="0"/>
              <w:rPr>
                <w:sz w:val="12"/>
                <w:szCs w:val="12"/>
              </w:rPr>
            </w:pPr>
            <w:r>
              <w:rPr>
                <w:noProof/>
                <w:sz w:val="12"/>
                <w:szCs w:val="12"/>
              </w:rPr>
              <w:t>013</w:t>
            </w:r>
          </w:p>
        </w:tc>
        <w:tc>
          <w:tcPr>
            <w:tcW w:w="0" w:type="auto"/>
            <w:shd w:val="clear" w:color="auto" w:fill="auto"/>
          </w:tcPr>
          <w:p w14:paraId="0573D742"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4815AC15" w14:textId="77777777" w:rsidR="008C5CFA" w:rsidRPr="009C3005" w:rsidRDefault="00E82A60" w:rsidP="00300A01">
            <w:pPr>
              <w:pStyle w:val="Text1"/>
              <w:spacing w:before="0" w:after="0"/>
              <w:ind w:left="0"/>
              <w:rPr>
                <w:sz w:val="12"/>
                <w:szCs w:val="12"/>
              </w:rPr>
            </w:pPr>
            <w:r>
              <w:rPr>
                <w:noProof/>
                <w:sz w:val="12"/>
                <w:szCs w:val="12"/>
              </w:rPr>
              <w:t>03</w:t>
            </w:r>
          </w:p>
        </w:tc>
        <w:tc>
          <w:tcPr>
            <w:tcW w:w="0" w:type="auto"/>
            <w:shd w:val="clear" w:color="auto" w:fill="auto"/>
          </w:tcPr>
          <w:p w14:paraId="027788CF"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3EC8253F" w14:textId="77777777" w:rsidR="008C5CFA" w:rsidRPr="009C3005" w:rsidRDefault="00E82A60" w:rsidP="00300A01">
            <w:pPr>
              <w:pStyle w:val="Text1"/>
              <w:spacing w:before="0" w:after="0"/>
              <w:ind w:left="0"/>
              <w:rPr>
                <w:sz w:val="12"/>
                <w:szCs w:val="12"/>
              </w:rPr>
            </w:pPr>
            <w:r>
              <w:rPr>
                <w:noProof/>
                <w:sz w:val="12"/>
                <w:szCs w:val="12"/>
              </w:rPr>
              <w:t>04</w:t>
            </w:r>
          </w:p>
        </w:tc>
        <w:tc>
          <w:tcPr>
            <w:tcW w:w="0" w:type="auto"/>
            <w:shd w:val="clear" w:color="auto" w:fill="auto"/>
          </w:tcPr>
          <w:p w14:paraId="1F49B6A3" w14:textId="77777777" w:rsidR="008C5CFA" w:rsidRPr="009C3005" w:rsidRDefault="00E82A60" w:rsidP="00300A01">
            <w:pPr>
              <w:pStyle w:val="Text1"/>
              <w:spacing w:before="0" w:after="0"/>
              <w:ind w:left="0"/>
              <w:rPr>
                <w:sz w:val="12"/>
                <w:szCs w:val="12"/>
              </w:rPr>
            </w:pPr>
            <w:r>
              <w:rPr>
                <w:sz w:val="12"/>
                <w:szCs w:val="12"/>
              </w:rPr>
              <w:t xml:space="preserve"> </w:t>
            </w:r>
          </w:p>
        </w:tc>
        <w:tc>
          <w:tcPr>
            <w:tcW w:w="0" w:type="auto"/>
            <w:shd w:val="clear" w:color="auto" w:fill="auto"/>
          </w:tcPr>
          <w:p w14:paraId="69F04009" w14:textId="77777777" w:rsidR="008C5CFA" w:rsidRPr="009C3005" w:rsidRDefault="00E82A60" w:rsidP="00300A01">
            <w:pPr>
              <w:pStyle w:val="Text1"/>
              <w:spacing w:before="0" w:after="0"/>
              <w:ind w:left="0"/>
              <w:rPr>
                <w:sz w:val="12"/>
                <w:szCs w:val="12"/>
              </w:rPr>
            </w:pPr>
            <w:r>
              <w:rPr>
                <w:noProof/>
                <w:sz w:val="12"/>
                <w:szCs w:val="12"/>
              </w:rPr>
              <w:t>08</w:t>
            </w:r>
          </w:p>
        </w:tc>
        <w:tc>
          <w:tcPr>
            <w:tcW w:w="0" w:type="auto"/>
            <w:shd w:val="clear" w:color="auto" w:fill="auto"/>
          </w:tcPr>
          <w:p w14:paraId="40D59BA5" w14:textId="77777777" w:rsidR="008C5CFA" w:rsidRPr="009C3005" w:rsidRDefault="00E82A60" w:rsidP="00300A01">
            <w:pPr>
              <w:pStyle w:val="Text1"/>
              <w:spacing w:before="0" w:after="0"/>
              <w:ind w:left="0"/>
              <w:rPr>
                <w:sz w:val="12"/>
                <w:szCs w:val="12"/>
              </w:rPr>
            </w:pPr>
            <w:r>
              <w:rPr>
                <w:noProof/>
                <w:sz w:val="12"/>
                <w:szCs w:val="12"/>
              </w:rPr>
              <w:t>PL33</w:t>
            </w:r>
          </w:p>
        </w:tc>
        <w:tc>
          <w:tcPr>
            <w:tcW w:w="0" w:type="auto"/>
            <w:shd w:val="clear" w:color="auto" w:fill="auto"/>
          </w:tcPr>
          <w:p w14:paraId="5DC0E4E0" w14:textId="77777777" w:rsidR="008C5CFA" w:rsidRPr="009C3005" w:rsidRDefault="00E82A60" w:rsidP="00300A01">
            <w:pPr>
              <w:pStyle w:val="Text1"/>
              <w:spacing w:before="0" w:after="0"/>
              <w:ind w:left="0"/>
              <w:jc w:val="right"/>
              <w:rPr>
                <w:sz w:val="12"/>
                <w:szCs w:val="12"/>
              </w:rPr>
            </w:pPr>
            <w:r w:rsidRPr="009C3005">
              <w:rPr>
                <w:noProof/>
                <w:sz w:val="12"/>
                <w:szCs w:val="12"/>
              </w:rPr>
              <w:t>431 378,65</w:t>
            </w:r>
          </w:p>
        </w:tc>
        <w:tc>
          <w:tcPr>
            <w:tcW w:w="0" w:type="auto"/>
            <w:shd w:val="clear" w:color="auto" w:fill="auto"/>
          </w:tcPr>
          <w:p w14:paraId="4C1960B5" w14:textId="77777777" w:rsidR="008C5CFA" w:rsidRPr="009C3005" w:rsidRDefault="00E82A60" w:rsidP="00300A01">
            <w:pPr>
              <w:pStyle w:val="Text1"/>
              <w:spacing w:before="0" w:after="0"/>
              <w:ind w:left="0"/>
              <w:jc w:val="right"/>
              <w:rPr>
                <w:sz w:val="12"/>
                <w:szCs w:val="12"/>
              </w:rPr>
            </w:pPr>
            <w:r w:rsidRPr="009C3005">
              <w:rPr>
                <w:noProof/>
                <w:sz w:val="12"/>
                <w:szCs w:val="12"/>
              </w:rPr>
              <w:t>431 378,65</w:t>
            </w:r>
          </w:p>
        </w:tc>
        <w:tc>
          <w:tcPr>
            <w:tcW w:w="0" w:type="auto"/>
            <w:shd w:val="clear" w:color="auto" w:fill="auto"/>
          </w:tcPr>
          <w:p w14:paraId="049FD8D9" w14:textId="77777777" w:rsidR="008C5CFA" w:rsidRPr="009C3005" w:rsidRDefault="00E82A60" w:rsidP="00300A01">
            <w:pPr>
              <w:pStyle w:val="Text1"/>
              <w:spacing w:before="0" w:after="0"/>
              <w:ind w:left="0"/>
              <w:jc w:val="right"/>
              <w:rPr>
                <w:sz w:val="12"/>
                <w:szCs w:val="12"/>
              </w:rPr>
            </w:pPr>
            <w:r w:rsidRPr="009C3005">
              <w:rPr>
                <w:noProof/>
                <w:sz w:val="12"/>
                <w:szCs w:val="12"/>
              </w:rPr>
              <w:t>431 335,30</w:t>
            </w:r>
          </w:p>
        </w:tc>
        <w:tc>
          <w:tcPr>
            <w:tcW w:w="0" w:type="auto"/>
            <w:shd w:val="clear" w:color="auto" w:fill="auto"/>
          </w:tcPr>
          <w:p w14:paraId="034EAF30" w14:textId="77777777" w:rsidR="008C5CFA" w:rsidRPr="009C3005" w:rsidRDefault="00E82A60" w:rsidP="00300A01">
            <w:pPr>
              <w:pStyle w:val="Text1"/>
              <w:spacing w:before="0" w:after="0"/>
              <w:ind w:left="0"/>
              <w:jc w:val="right"/>
              <w:rPr>
                <w:sz w:val="12"/>
                <w:szCs w:val="12"/>
              </w:rPr>
            </w:pPr>
            <w:r w:rsidRPr="009C3005">
              <w:rPr>
                <w:noProof/>
                <w:sz w:val="12"/>
                <w:szCs w:val="12"/>
              </w:rPr>
              <w:t>1</w:t>
            </w:r>
          </w:p>
        </w:tc>
      </w:tr>
      <w:tr w:rsidR="006B2EC1" w14:paraId="317CB0E6" w14:textId="77777777" w:rsidTr="0047688D">
        <w:tc>
          <w:tcPr>
            <w:tcW w:w="0" w:type="auto"/>
            <w:shd w:val="clear" w:color="auto" w:fill="auto"/>
          </w:tcPr>
          <w:p w14:paraId="2698198C" w14:textId="77777777" w:rsidR="008C5CFA" w:rsidRPr="009C3005" w:rsidRDefault="00E82A60" w:rsidP="00300A01">
            <w:pPr>
              <w:pStyle w:val="Text1"/>
              <w:spacing w:before="0" w:after="0"/>
              <w:ind w:left="0"/>
              <w:rPr>
                <w:sz w:val="12"/>
                <w:szCs w:val="12"/>
              </w:rPr>
            </w:pPr>
            <w:r>
              <w:rPr>
                <w:noProof/>
                <w:sz w:val="14"/>
                <w:szCs w:val="14"/>
                <w:lang w:val="fr-BE"/>
              </w:rPr>
              <w:t>3</w:t>
            </w:r>
          </w:p>
        </w:tc>
        <w:tc>
          <w:tcPr>
            <w:tcW w:w="0" w:type="auto"/>
            <w:shd w:val="clear" w:color="auto" w:fill="auto"/>
          </w:tcPr>
          <w:p w14:paraId="3418C92E" w14:textId="77777777" w:rsidR="008C5CFA" w:rsidRPr="009C3005" w:rsidRDefault="00E82A60" w:rsidP="00300A01">
            <w:pPr>
              <w:pStyle w:val="Text1"/>
              <w:spacing w:before="0" w:after="0"/>
              <w:ind w:left="0"/>
              <w:rPr>
                <w:sz w:val="12"/>
                <w:szCs w:val="12"/>
              </w:rPr>
            </w:pPr>
            <w:r>
              <w:rPr>
                <w:noProof/>
                <w:sz w:val="12"/>
                <w:szCs w:val="12"/>
              </w:rPr>
              <w:t>EFRR</w:t>
            </w:r>
          </w:p>
        </w:tc>
        <w:tc>
          <w:tcPr>
            <w:tcW w:w="0" w:type="auto"/>
            <w:shd w:val="clear" w:color="auto" w:fill="auto"/>
          </w:tcPr>
          <w:p w14:paraId="35EAC1D4" w14:textId="77777777" w:rsidR="008C5CFA" w:rsidRPr="009C3005" w:rsidRDefault="00E82A60" w:rsidP="00300A01">
            <w:pPr>
              <w:pStyle w:val="Text1"/>
              <w:spacing w:before="0" w:after="0"/>
              <w:ind w:left="0"/>
              <w:rPr>
                <w:sz w:val="12"/>
                <w:szCs w:val="12"/>
              </w:rPr>
            </w:pPr>
            <w:r>
              <w:rPr>
                <w:noProof/>
                <w:sz w:val="12"/>
                <w:szCs w:val="12"/>
              </w:rPr>
              <w:t>Słabiej rozwinięte</w:t>
            </w:r>
          </w:p>
        </w:tc>
        <w:tc>
          <w:tcPr>
            <w:tcW w:w="0" w:type="auto"/>
            <w:shd w:val="clear" w:color="auto" w:fill="auto"/>
          </w:tcPr>
          <w:p w14:paraId="0A1AACDF" w14:textId="77777777" w:rsidR="008C5CFA" w:rsidRPr="009C3005" w:rsidRDefault="00E82A60" w:rsidP="00300A01">
            <w:pPr>
              <w:pStyle w:val="Text1"/>
              <w:spacing w:before="0" w:after="0"/>
              <w:ind w:left="0"/>
              <w:rPr>
                <w:sz w:val="12"/>
                <w:szCs w:val="12"/>
              </w:rPr>
            </w:pPr>
            <w:r>
              <w:rPr>
                <w:noProof/>
                <w:sz w:val="12"/>
                <w:szCs w:val="12"/>
              </w:rPr>
              <w:t>013</w:t>
            </w:r>
          </w:p>
        </w:tc>
        <w:tc>
          <w:tcPr>
            <w:tcW w:w="0" w:type="auto"/>
            <w:shd w:val="clear" w:color="auto" w:fill="auto"/>
          </w:tcPr>
          <w:p w14:paraId="3C66AC19"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49E500B1" w14:textId="77777777" w:rsidR="008C5CFA" w:rsidRPr="009C3005" w:rsidRDefault="00E82A60" w:rsidP="00300A01">
            <w:pPr>
              <w:pStyle w:val="Text1"/>
              <w:spacing w:before="0" w:after="0"/>
              <w:ind w:left="0"/>
              <w:rPr>
                <w:sz w:val="12"/>
                <w:szCs w:val="12"/>
              </w:rPr>
            </w:pPr>
            <w:r>
              <w:rPr>
                <w:noProof/>
                <w:sz w:val="12"/>
                <w:szCs w:val="12"/>
              </w:rPr>
              <w:t>03</w:t>
            </w:r>
          </w:p>
        </w:tc>
        <w:tc>
          <w:tcPr>
            <w:tcW w:w="0" w:type="auto"/>
            <w:shd w:val="clear" w:color="auto" w:fill="auto"/>
          </w:tcPr>
          <w:p w14:paraId="71585652"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64F487B1" w14:textId="77777777" w:rsidR="008C5CFA" w:rsidRPr="009C3005" w:rsidRDefault="00E82A60" w:rsidP="00300A01">
            <w:pPr>
              <w:pStyle w:val="Text1"/>
              <w:spacing w:before="0" w:after="0"/>
              <w:ind w:left="0"/>
              <w:rPr>
                <w:sz w:val="12"/>
                <w:szCs w:val="12"/>
              </w:rPr>
            </w:pPr>
            <w:r>
              <w:rPr>
                <w:noProof/>
                <w:sz w:val="12"/>
                <w:szCs w:val="12"/>
              </w:rPr>
              <w:t>04</w:t>
            </w:r>
          </w:p>
        </w:tc>
        <w:tc>
          <w:tcPr>
            <w:tcW w:w="0" w:type="auto"/>
            <w:shd w:val="clear" w:color="auto" w:fill="auto"/>
          </w:tcPr>
          <w:p w14:paraId="14066D8A" w14:textId="77777777" w:rsidR="008C5CFA" w:rsidRPr="009C3005" w:rsidRDefault="00E82A60" w:rsidP="00300A01">
            <w:pPr>
              <w:pStyle w:val="Text1"/>
              <w:spacing w:before="0" w:after="0"/>
              <w:ind w:left="0"/>
              <w:rPr>
                <w:sz w:val="12"/>
                <w:szCs w:val="12"/>
              </w:rPr>
            </w:pPr>
            <w:r>
              <w:rPr>
                <w:sz w:val="12"/>
                <w:szCs w:val="12"/>
              </w:rPr>
              <w:t xml:space="preserve"> </w:t>
            </w:r>
          </w:p>
        </w:tc>
        <w:tc>
          <w:tcPr>
            <w:tcW w:w="0" w:type="auto"/>
            <w:shd w:val="clear" w:color="auto" w:fill="auto"/>
          </w:tcPr>
          <w:p w14:paraId="55A5119C" w14:textId="77777777" w:rsidR="008C5CFA" w:rsidRPr="009C3005" w:rsidRDefault="00E82A60" w:rsidP="00300A01">
            <w:pPr>
              <w:pStyle w:val="Text1"/>
              <w:spacing w:before="0" w:after="0"/>
              <w:ind w:left="0"/>
              <w:rPr>
                <w:sz w:val="12"/>
                <w:szCs w:val="12"/>
              </w:rPr>
            </w:pPr>
            <w:r>
              <w:rPr>
                <w:noProof/>
                <w:sz w:val="12"/>
                <w:szCs w:val="12"/>
              </w:rPr>
              <w:t>18</w:t>
            </w:r>
          </w:p>
        </w:tc>
        <w:tc>
          <w:tcPr>
            <w:tcW w:w="0" w:type="auto"/>
            <w:shd w:val="clear" w:color="auto" w:fill="auto"/>
          </w:tcPr>
          <w:p w14:paraId="38A17CA4" w14:textId="77777777" w:rsidR="008C5CFA" w:rsidRPr="009C3005" w:rsidRDefault="00E82A60" w:rsidP="00300A01">
            <w:pPr>
              <w:pStyle w:val="Text1"/>
              <w:spacing w:before="0" w:after="0"/>
              <w:ind w:left="0"/>
              <w:rPr>
                <w:sz w:val="12"/>
                <w:szCs w:val="12"/>
              </w:rPr>
            </w:pPr>
            <w:r>
              <w:rPr>
                <w:noProof/>
                <w:sz w:val="12"/>
                <w:szCs w:val="12"/>
              </w:rPr>
              <w:t>PL33</w:t>
            </w:r>
          </w:p>
        </w:tc>
        <w:tc>
          <w:tcPr>
            <w:tcW w:w="0" w:type="auto"/>
            <w:shd w:val="clear" w:color="auto" w:fill="auto"/>
          </w:tcPr>
          <w:p w14:paraId="263779CB" w14:textId="77777777" w:rsidR="008C5CFA" w:rsidRPr="009C3005" w:rsidRDefault="00E82A60" w:rsidP="00300A01">
            <w:pPr>
              <w:pStyle w:val="Text1"/>
              <w:spacing w:before="0" w:after="0"/>
              <w:ind w:left="0"/>
              <w:jc w:val="right"/>
              <w:rPr>
                <w:sz w:val="12"/>
                <w:szCs w:val="12"/>
              </w:rPr>
            </w:pPr>
            <w:r w:rsidRPr="009C3005">
              <w:rPr>
                <w:noProof/>
                <w:sz w:val="12"/>
                <w:szCs w:val="12"/>
              </w:rPr>
              <w:t>43 647 312,63</w:t>
            </w:r>
          </w:p>
        </w:tc>
        <w:tc>
          <w:tcPr>
            <w:tcW w:w="0" w:type="auto"/>
            <w:shd w:val="clear" w:color="auto" w:fill="auto"/>
          </w:tcPr>
          <w:p w14:paraId="39482EE6" w14:textId="77777777" w:rsidR="008C5CFA" w:rsidRPr="009C3005" w:rsidRDefault="00E82A60" w:rsidP="00300A01">
            <w:pPr>
              <w:pStyle w:val="Text1"/>
              <w:spacing w:before="0" w:after="0"/>
              <w:ind w:left="0"/>
              <w:jc w:val="right"/>
              <w:rPr>
                <w:sz w:val="12"/>
                <w:szCs w:val="12"/>
              </w:rPr>
            </w:pPr>
            <w:r w:rsidRPr="009C3005">
              <w:rPr>
                <w:noProof/>
                <w:sz w:val="12"/>
                <w:szCs w:val="12"/>
              </w:rPr>
              <w:t>43 647 312,63</w:t>
            </w:r>
          </w:p>
        </w:tc>
        <w:tc>
          <w:tcPr>
            <w:tcW w:w="0" w:type="auto"/>
            <w:shd w:val="clear" w:color="auto" w:fill="auto"/>
          </w:tcPr>
          <w:p w14:paraId="213BF257" w14:textId="77777777" w:rsidR="008C5CFA" w:rsidRPr="009C3005" w:rsidRDefault="00E82A60" w:rsidP="00300A01">
            <w:pPr>
              <w:pStyle w:val="Text1"/>
              <w:spacing w:before="0" w:after="0"/>
              <w:ind w:left="0"/>
              <w:jc w:val="right"/>
              <w:rPr>
                <w:sz w:val="12"/>
                <w:szCs w:val="12"/>
              </w:rPr>
            </w:pPr>
            <w:r w:rsidRPr="009C3005">
              <w:rPr>
                <w:noProof/>
                <w:sz w:val="12"/>
                <w:szCs w:val="12"/>
              </w:rPr>
              <w:t>18 847 128,45</w:t>
            </w:r>
          </w:p>
        </w:tc>
        <w:tc>
          <w:tcPr>
            <w:tcW w:w="0" w:type="auto"/>
            <w:shd w:val="clear" w:color="auto" w:fill="auto"/>
          </w:tcPr>
          <w:p w14:paraId="13CCC3B5" w14:textId="77777777" w:rsidR="008C5CFA" w:rsidRPr="009C3005" w:rsidRDefault="00E82A60" w:rsidP="00300A01">
            <w:pPr>
              <w:pStyle w:val="Text1"/>
              <w:spacing w:before="0" w:after="0"/>
              <w:ind w:left="0"/>
              <w:jc w:val="right"/>
              <w:rPr>
                <w:sz w:val="12"/>
                <w:szCs w:val="12"/>
              </w:rPr>
            </w:pPr>
            <w:r w:rsidRPr="009C3005">
              <w:rPr>
                <w:noProof/>
                <w:sz w:val="12"/>
                <w:szCs w:val="12"/>
              </w:rPr>
              <w:t>67</w:t>
            </w:r>
          </w:p>
        </w:tc>
      </w:tr>
      <w:tr w:rsidR="006B2EC1" w14:paraId="2EF99A7C" w14:textId="77777777" w:rsidTr="0047688D">
        <w:tc>
          <w:tcPr>
            <w:tcW w:w="0" w:type="auto"/>
            <w:shd w:val="clear" w:color="auto" w:fill="auto"/>
          </w:tcPr>
          <w:p w14:paraId="179B3F99" w14:textId="77777777" w:rsidR="008C5CFA" w:rsidRPr="009C3005" w:rsidRDefault="00E82A60" w:rsidP="00300A01">
            <w:pPr>
              <w:pStyle w:val="Text1"/>
              <w:spacing w:before="0" w:after="0"/>
              <w:ind w:left="0"/>
              <w:rPr>
                <w:sz w:val="12"/>
                <w:szCs w:val="12"/>
              </w:rPr>
            </w:pPr>
            <w:r>
              <w:rPr>
                <w:noProof/>
                <w:sz w:val="14"/>
                <w:szCs w:val="14"/>
                <w:lang w:val="fr-BE"/>
              </w:rPr>
              <w:t>3</w:t>
            </w:r>
          </w:p>
        </w:tc>
        <w:tc>
          <w:tcPr>
            <w:tcW w:w="0" w:type="auto"/>
            <w:shd w:val="clear" w:color="auto" w:fill="auto"/>
          </w:tcPr>
          <w:p w14:paraId="39E39478" w14:textId="77777777" w:rsidR="008C5CFA" w:rsidRPr="009C3005" w:rsidRDefault="00E82A60" w:rsidP="00300A01">
            <w:pPr>
              <w:pStyle w:val="Text1"/>
              <w:spacing w:before="0" w:after="0"/>
              <w:ind w:left="0"/>
              <w:rPr>
                <w:sz w:val="12"/>
                <w:szCs w:val="12"/>
              </w:rPr>
            </w:pPr>
            <w:r>
              <w:rPr>
                <w:noProof/>
                <w:sz w:val="12"/>
                <w:szCs w:val="12"/>
              </w:rPr>
              <w:t>EFRR</w:t>
            </w:r>
          </w:p>
        </w:tc>
        <w:tc>
          <w:tcPr>
            <w:tcW w:w="0" w:type="auto"/>
            <w:shd w:val="clear" w:color="auto" w:fill="auto"/>
          </w:tcPr>
          <w:p w14:paraId="6AC388CC" w14:textId="77777777" w:rsidR="008C5CFA" w:rsidRPr="009C3005" w:rsidRDefault="00E82A60" w:rsidP="00300A01">
            <w:pPr>
              <w:pStyle w:val="Text1"/>
              <w:spacing w:before="0" w:after="0"/>
              <w:ind w:left="0"/>
              <w:rPr>
                <w:sz w:val="12"/>
                <w:szCs w:val="12"/>
              </w:rPr>
            </w:pPr>
            <w:r>
              <w:rPr>
                <w:noProof/>
                <w:sz w:val="12"/>
                <w:szCs w:val="12"/>
              </w:rPr>
              <w:t>Słabiej rozwinięte</w:t>
            </w:r>
          </w:p>
        </w:tc>
        <w:tc>
          <w:tcPr>
            <w:tcW w:w="0" w:type="auto"/>
            <w:shd w:val="clear" w:color="auto" w:fill="auto"/>
          </w:tcPr>
          <w:p w14:paraId="6A63E5B4" w14:textId="77777777" w:rsidR="008C5CFA" w:rsidRPr="009C3005" w:rsidRDefault="00E82A60" w:rsidP="00300A01">
            <w:pPr>
              <w:pStyle w:val="Text1"/>
              <w:spacing w:before="0" w:after="0"/>
              <w:ind w:left="0"/>
              <w:rPr>
                <w:sz w:val="12"/>
                <w:szCs w:val="12"/>
              </w:rPr>
            </w:pPr>
            <w:r>
              <w:rPr>
                <w:noProof/>
                <w:sz w:val="12"/>
                <w:szCs w:val="12"/>
              </w:rPr>
              <w:t>013</w:t>
            </w:r>
          </w:p>
        </w:tc>
        <w:tc>
          <w:tcPr>
            <w:tcW w:w="0" w:type="auto"/>
            <w:shd w:val="clear" w:color="auto" w:fill="auto"/>
          </w:tcPr>
          <w:p w14:paraId="1570244D"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0A2D65C2" w14:textId="77777777" w:rsidR="008C5CFA" w:rsidRPr="009C3005" w:rsidRDefault="00E82A60" w:rsidP="00300A01">
            <w:pPr>
              <w:pStyle w:val="Text1"/>
              <w:spacing w:before="0" w:after="0"/>
              <w:ind w:left="0"/>
              <w:rPr>
                <w:sz w:val="12"/>
                <w:szCs w:val="12"/>
              </w:rPr>
            </w:pPr>
            <w:r>
              <w:rPr>
                <w:noProof/>
                <w:sz w:val="12"/>
                <w:szCs w:val="12"/>
              </w:rPr>
              <w:t>03</w:t>
            </w:r>
          </w:p>
        </w:tc>
        <w:tc>
          <w:tcPr>
            <w:tcW w:w="0" w:type="auto"/>
            <w:shd w:val="clear" w:color="auto" w:fill="auto"/>
          </w:tcPr>
          <w:p w14:paraId="0AA57768"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08E27F8A" w14:textId="77777777" w:rsidR="008C5CFA" w:rsidRPr="009C3005" w:rsidRDefault="00E82A60" w:rsidP="00300A01">
            <w:pPr>
              <w:pStyle w:val="Text1"/>
              <w:spacing w:before="0" w:after="0"/>
              <w:ind w:left="0"/>
              <w:rPr>
                <w:sz w:val="12"/>
                <w:szCs w:val="12"/>
              </w:rPr>
            </w:pPr>
            <w:r>
              <w:rPr>
                <w:noProof/>
                <w:sz w:val="12"/>
                <w:szCs w:val="12"/>
              </w:rPr>
              <w:t>04</w:t>
            </w:r>
          </w:p>
        </w:tc>
        <w:tc>
          <w:tcPr>
            <w:tcW w:w="0" w:type="auto"/>
            <w:shd w:val="clear" w:color="auto" w:fill="auto"/>
          </w:tcPr>
          <w:p w14:paraId="744391CB" w14:textId="77777777" w:rsidR="008C5CFA" w:rsidRPr="009C3005" w:rsidRDefault="00E82A60" w:rsidP="00300A01">
            <w:pPr>
              <w:pStyle w:val="Text1"/>
              <w:spacing w:before="0" w:after="0"/>
              <w:ind w:left="0"/>
              <w:rPr>
                <w:sz w:val="12"/>
                <w:szCs w:val="12"/>
              </w:rPr>
            </w:pPr>
            <w:r>
              <w:rPr>
                <w:sz w:val="12"/>
                <w:szCs w:val="12"/>
              </w:rPr>
              <w:t xml:space="preserve"> </w:t>
            </w:r>
          </w:p>
        </w:tc>
        <w:tc>
          <w:tcPr>
            <w:tcW w:w="0" w:type="auto"/>
            <w:shd w:val="clear" w:color="auto" w:fill="auto"/>
          </w:tcPr>
          <w:p w14:paraId="5F3D0F95" w14:textId="77777777" w:rsidR="008C5CFA" w:rsidRPr="009C3005" w:rsidRDefault="00E82A60" w:rsidP="00300A01">
            <w:pPr>
              <w:pStyle w:val="Text1"/>
              <w:spacing w:before="0" w:after="0"/>
              <w:ind w:left="0"/>
              <w:rPr>
                <w:sz w:val="12"/>
                <w:szCs w:val="12"/>
              </w:rPr>
            </w:pPr>
            <w:r>
              <w:rPr>
                <w:noProof/>
                <w:sz w:val="12"/>
                <w:szCs w:val="12"/>
              </w:rPr>
              <w:t>21</w:t>
            </w:r>
          </w:p>
        </w:tc>
        <w:tc>
          <w:tcPr>
            <w:tcW w:w="0" w:type="auto"/>
            <w:shd w:val="clear" w:color="auto" w:fill="auto"/>
          </w:tcPr>
          <w:p w14:paraId="448BA444" w14:textId="77777777" w:rsidR="008C5CFA" w:rsidRPr="009C3005" w:rsidRDefault="00E82A60" w:rsidP="00300A01">
            <w:pPr>
              <w:pStyle w:val="Text1"/>
              <w:spacing w:before="0" w:after="0"/>
              <w:ind w:left="0"/>
              <w:rPr>
                <w:sz w:val="12"/>
                <w:szCs w:val="12"/>
              </w:rPr>
            </w:pPr>
            <w:r>
              <w:rPr>
                <w:noProof/>
                <w:sz w:val="12"/>
                <w:szCs w:val="12"/>
              </w:rPr>
              <w:t>PL33</w:t>
            </w:r>
          </w:p>
        </w:tc>
        <w:tc>
          <w:tcPr>
            <w:tcW w:w="0" w:type="auto"/>
            <w:shd w:val="clear" w:color="auto" w:fill="auto"/>
          </w:tcPr>
          <w:p w14:paraId="3C299613" w14:textId="77777777" w:rsidR="008C5CFA" w:rsidRPr="009C3005" w:rsidRDefault="00E82A60" w:rsidP="00300A01">
            <w:pPr>
              <w:pStyle w:val="Text1"/>
              <w:spacing w:before="0" w:after="0"/>
              <w:ind w:left="0"/>
              <w:jc w:val="right"/>
              <w:rPr>
                <w:sz w:val="12"/>
                <w:szCs w:val="12"/>
              </w:rPr>
            </w:pPr>
            <w:r w:rsidRPr="009C3005">
              <w:rPr>
                <w:noProof/>
                <w:sz w:val="12"/>
                <w:szCs w:val="12"/>
              </w:rPr>
              <w:t>816 840,60</w:t>
            </w:r>
          </w:p>
        </w:tc>
        <w:tc>
          <w:tcPr>
            <w:tcW w:w="0" w:type="auto"/>
            <w:shd w:val="clear" w:color="auto" w:fill="auto"/>
          </w:tcPr>
          <w:p w14:paraId="226F3AC9" w14:textId="77777777" w:rsidR="008C5CFA" w:rsidRPr="009C3005" w:rsidRDefault="00E82A60" w:rsidP="00300A01">
            <w:pPr>
              <w:pStyle w:val="Text1"/>
              <w:spacing w:before="0" w:after="0"/>
              <w:ind w:left="0"/>
              <w:jc w:val="right"/>
              <w:rPr>
                <w:sz w:val="12"/>
                <w:szCs w:val="12"/>
              </w:rPr>
            </w:pPr>
            <w:r w:rsidRPr="009C3005">
              <w:rPr>
                <w:noProof/>
                <w:sz w:val="12"/>
                <w:szCs w:val="12"/>
              </w:rPr>
              <w:t>694 314,51</w:t>
            </w:r>
          </w:p>
        </w:tc>
        <w:tc>
          <w:tcPr>
            <w:tcW w:w="0" w:type="auto"/>
            <w:shd w:val="clear" w:color="auto" w:fill="auto"/>
          </w:tcPr>
          <w:p w14:paraId="202EE95E" w14:textId="77777777" w:rsidR="008C5CFA" w:rsidRPr="009C3005" w:rsidRDefault="00E82A60" w:rsidP="00300A01">
            <w:pPr>
              <w:pStyle w:val="Text1"/>
              <w:spacing w:before="0" w:after="0"/>
              <w:ind w:left="0"/>
              <w:jc w:val="right"/>
              <w:rPr>
                <w:sz w:val="12"/>
                <w:szCs w:val="12"/>
              </w:rPr>
            </w:pPr>
            <w:r w:rsidRPr="009C3005">
              <w:rPr>
                <w:noProof/>
                <w:sz w:val="12"/>
                <w:szCs w:val="12"/>
              </w:rPr>
              <w:t>806 639,31</w:t>
            </w:r>
          </w:p>
        </w:tc>
        <w:tc>
          <w:tcPr>
            <w:tcW w:w="0" w:type="auto"/>
            <w:shd w:val="clear" w:color="auto" w:fill="auto"/>
          </w:tcPr>
          <w:p w14:paraId="42BB8567" w14:textId="77777777" w:rsidR="008C5CFA" w:rsidRPr="009C3005" w:rsidRDefault="00E82A60" w:rsidP="00300A01">
            <w:pPr>
              <w:pStyle w:val="Text1"/>
              <w:spacing w:before="0" w:after="0"/>
              <w:ind w:left="0"/>
              <w:jc w:val="right"/>
              <w:rPr>
                <w:sz w:val="12"/>
                <w:szCs w:val="12"/>
              </w:rPr>
            </w:pPr>
            <w:r w:rsidRPr="009C3005">
              <w:rPr>
                <w:noProof/>
                <w:sz w:val="12"/>
                <w:szCs w:val="12"/>
              </w:rPr>
              <w:t>1</w:t>
            </w:r>
          </w:p>
        </w:tc>
      </w:tr>
      <w:tr w:rsidR="006B2EC1" w14:paraId="51DA66B5" w14:textId="77777777" w:rsidTr="0047688D">
        <w:tc>
          <w:tcPr>
            <w:tcW w:w="0" w:type="auto"/>
            <w:shd w:val="clear" w:color="auto" w:fill="auto"/>
          </w:tcPr>
          <w:p w14:paraId="38A84743" w14:textId="77777777" w:rsidR="008C5CFA" w:rsidRPr="009C3005" w:rsidRDefault="00E82A60" w:rsidP="00300A01">
            <w:pPr>
              <w:pStyle w:val="Text1"/>
              <w:spacing w:before="0" w:after="0"/>
              <w:ind w:left="0"/>
              <w:rPr>
                <w:sz w:val="12"/>
                <w:szCs w:val="12"/>
              </w:rPr>
            </w:pPr>
            <w:r>
              <w:rPr>
                <w:noProof/>
                <w:sz w:val="14"/>
                <w:szCs w:val="14"/>
                <w:lang w:val="fr-BE"/>
              </w:rPr>
              <w:t>3</w:t>
            </w:r>
          </w:p>
        </w:tc>
        <w:tc>
          <w:tcPr>
            <w:tcW w:w="0" w:type="auto"/>
            <w:shd w:val="clear" w:color="auto" w:fill="auto"/>
          </w:tcPr>
          <w:p w14:paraId="2AC2A25E" w14:textId="77777777" w:rsidR="008C5CFA" w:rsidRPr="009C3005" w:rsidRDefault="00E82A60" w:rsidP="00300A01">
            <w:pPr>
              <w:pStyle w:val="Text1"/>
              <w:spacing w:before="0" w:after="0"/>
              <w:ind w:left="0"/>
              <w:rPr>
                <w:sz w:val="12"/>
                <w:szCs w:val="12"/>
              </w:rPr>
            </w:pPr>
            <w:r>
              <w:rPr>
                <w:noProof/>
                <w:sz w:val="12"/>
                <w:szCs w:val="12"/>
              </w:rPr>
              <w:t>EFRR</w:t>
            </w:r>
          </w:p>
        </w:tc>
        <w:tc>
          <w:tcPr>
            <w:tcW w:w="0" w:type="auto"/>
            <w:shd w:val="clear" w:color="auto" w:fill="auto"/>
          </w:tcPr>
          <w:p w14:paraId="07DBBF80" w14:textId="77777777" w:rsidR="008C5CFA" w:rsidRPr="009C3005" w:rsidRDefault="00E82A60" w:rsidP="00300A01">
            <w:pPr>
              <w:pStyle w:val="Text1"/>
              <w:spacing w:before="0" w:after="0"/>
              <w:ind w:left="0"/>
              <w:rPr>
                <w:sz w:val="12"/>
                <w:szCs w:val="12"/>
              </w:rPr>
            </w:pPr>
            <w:r>
              <w:rPr>
                <w:noProof/>
                <w:sz w:val="12"/>
                <w:szCs w:val="12"/>
              </w:rPr>
              <w:t>Słabiej rozwinięte</w:t>
            </w:r>
          </w:p>
        </w:tc>
        <w:tc>
          <w:tcPr>
            <w:tcW w:w="0" w:type="auto"/>
            <w:shd w:val="clear" w:color="auto" w:fill="auto"/>
          </w:tcPr>
          <w:p w14:paraId="144E52B1" w14:textId="77777777" w:rsidR="008C5CFA" w:rsidRPr="009C3005" w:rsidRDefault="00E82A60" w:rsidP="00300A01">
            <w:pPr>
              <w:pStyle w:val="Text1"/>
              <w:spacing w:before="0" w:after="0"/>
              <w:ind w:left="0"/>
              <w:rPr>
                <w:sz w:val="12"/>
                <w:szCs w:val="12"/>
              </w:rPr>
            </w:pPr>
            <w:r>
              <w:rPr>
                <w:noProof/>
                <w:sz w:val="12"/>
                <w:szCs w:val="12"/>
              </w:rPr>
              <w:t>013</w:t>
            </w:r>
          </w:p>
        </w:tc>
        <w:tc>
          <w:tcPr>
            <w:tcW w:w="0" w:type="auto"/>
            <w:shd w:val="clear" w:color="auto" w:fill="auto"/>
          </w:tcPr>
          <w:p w14:paraId="1BC704D4"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3D10F928" w14:textId="77777777" w:rsidR="008C5CFA" w:rsidRPr="009C3005" w:rsidRDefault="00E82A60" w:rsidP="00300A01">
            <w:pPr>
              <w:pStyle w:val="Text1"/>
              <w:spacing w:before="0" w:after="0"/>
              <w:ind w:left="0"/>
              <w:rPr>
                <w:sz w:val="12"/>
                <w:szCs w:val="12"/>
              </w:rPr>
            </w:pPr>
            <w:r>
              <w:rPr>
                <w:noProof/>
                <w:sz w:val="12"/>
                <w:szCs w:val="12"/>
              </w:rPr>
              <w:t>03</w:t>
            </w:r>
          </w:p>
        </w:tc>
        <w:tc>
          <w:tcPr>
            <w:tcW w:w="0" w:type="auto"/>
            <w:shd w:val="clear" w:color="auto" w:fill="auto"/>
          </w:tcPr>
          <w:p w14:paraId="4F333997"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7B352953" w14:textId="77777777" w:rsidR="008C5CFA" w:rsidRPr="009C3005" w:rsidRDefault="00E82A60" w:rsidP="00300A01">
            <w:pPr>
              <w:pStyle w:val="Text1"/>
              <w:spacing w:before="0" w:after="0"/>
              <w:ind w:left="0"/>
              <w:rPr>
                <w:sz w:val="12"/>
                <w:szCs w:val="12"/>
              </w:rPr>
            </w:pPr>
            <w:r>
              <w:rPr>
                <w:noProof/>
                <w:sz w:val="12"/>
                <w:szCs w:val="12"/>
              </w:rPr>
              <w:t>04</w:t>
            </w:r>
          </w:p>
        </w:tc>
        <w:tc>
          <w:tcPr>
            <w:tcW w:w="0" w:type="auto"/>
            <w:shd w:val="clear" w:color="auto" w:fill="auto"/>
          </w:tcPr>
          <w:p w14:paraId="417F3C54" w14:textId="77777777" w:rsidR="008C5CFA" w:rsidRPr="009C3005" w:rsidRDefault="00E82A60" w:rsidP="00300A01">
            <w:pPr>
              <w:pStyle w:val="Text1"/>
              <w:spacing w:before="0" w:after="0"/>
              <w:ind w:left="0"/>
              <w:rPr>
                <w:sz w:val="12"/>
                <w:szCs w:val="12"/>
              </w:rPr>
            </w:pPr>
            <w:r>
              <w:rPr>
                <w:sz w:val="12"/>
                <w:szCs w:val="12"/>
              </w:rPr>
              <w:t xml:space="preserve"> </w:t>
            </w:r>
          </w:p>
        </w:tc>
        <w:tc>
          <w:tcPr>
            <w:tcW w:w="0" w:type="auto"/>
            <w:shd w:val="clear" w:color="auto" w:fill="auto"/>
          </w:tcPr>
          <w:p w14:paraId="493A4100" w14:textId="77777777" w:rsidR="008C5CFA" w:rsidRPr="009C3005" w:rsidRDefault="00E82A60" w:rsidP="00300A01">
            <w:pPr>
              <w:pStyle w:val="Text1"/>
              <w:spacing w:before="0" w:after="0"/>
              <w:ind w:left="0"/>
              <w:rPr>
                <w:sz w:val="12"/>
                <w:szCs w:val="12"/>
              </w:rPr>
            </w:pPr>
            <w:r>
              <w:rPr>
                <w:noProof/>
                <w:sz w:val="12"/>
                <w:szCs w:val="12"/>
              </w:rPr>
              <w:t>24</w:t>
            </w:r>
          </w:p>
        </w:tc>
        <w:tc>
          <w:tcPr>
            <w:tcW w:w="0" w:type="auto"/>
            <w:shd w:val="clear" w:color="auto" w:fill="auto"/>
          </w:tcPr>
          <w:p w14:paraId="5ADC78B6" w14:textId="77777777" w:rsidR="008C5CFA" w:rsidRPr="009C3005" w:rsidRDefault="00E82A60" w:rsidP="00300A01">
            <w:pPr>
              <w:pStyle w:val="Text1"/>
              <w:spacing w:before="0" w:after="0"/>
              <w:ind w:left="0"/>
              <w:rPr>
                <w:sz w:val="12"/>
                <w:szCs w:val="12"/>
              </w:rPr>
            </w:pPr>
            <w:r>
              <w:rPr>
                <w:noProof/>
                <w:sz w:val="12"/>
                <w:szCs w:val="12"/>
              </w:rPr>
              <w:t>PL33</w:t>
            </w:r>
          </w:p>
        </w:tc>
        <w:tc>
          <w:tcPr>
            <w:tcW w:w="0" w:type="auto"/>
            <w:shd w:val="clear" w:color="auto" w:fill="auto"/>
          </w:tcPr>
          <w:p w14:paraId="570FC48B" w14:textId="77777777" w:rsidR="008C5CFA" w:rsidRPr="009C3005" w:rsidRDefault="00E82A60" w:rsidP="00300A01">
            <w:pPr>
              <w:pStyle w:val="Text1"/>
              <w:spacing w:before="0" w:after="0"/>
              <w:ind w:left="0"/>
              <w:jc w:val="right"/>
              <w:rPr>
                <w:sz w:val="12"/>
                <w:szCs w:val="12"/>
              </w:rPr>
            </w:pPr>
            <w:r w:rsidRPr="009C3005">
              <w:rPr>
                <w:noProof/>
                <w:sz w:val="12"/>
                <w:szCs w:val="12"/>
              </w:rPr>
              <w:t>291 655,03</w:t>
            </w:r>
          </w:p>
        </w:tc>
        <w:tc>
          <w:tcPr>
            <w:tcW w:w="0" w:type="auto"/>
            <w:shd w:val="clear" w:color="auto" w:fill="auto"/>
          </w:tcPr>
          <w:p w14:paraId="12F3EDF4" w14:textId="77777777" w:rsidR="008C5CFA" w:rsidRPr="009C3005" w:rsidRDefault="00E82A60" w:rsidP="00300A01">
            <w:pPr>
              <w:pStyle w:val="Text1"/>
              <w:spacing w:before="0" w:after="0"/>
              <w:ind w:left="0"/>
              <w:jc w:val="right"/>
              <w:rPr>
                <w:sz w:val="12"/>
                <w:szCs w:val="12"/>
              </w:rPr>
            </w:pPr>
            <w:r w:rsidRPr="009C3005">
              <w:rPr>
                <w:noProof/>
                <w:sz w:val="12"/>
                <w:szCs w:val="12"/>
              </w:rPr>
              <w:t>251 882,06</w:t>
            </w:r>
          </w:p>
        </w:tc>
        <w:tc>
          <w:tcPr>
            <w:tcW w:w="0" w:type="auto"/>
            <w:shd w:val="clear" w:color="auto" w:fill="auto"/>
          </w:tcPr>
          <w:p w14:paraId="32FC5ADF" w14:textId="77777777" w:rsidR="008C5CFA" w:rsidRPr="009C3005" w:rsidRDefault="00E82A60" w:rsidP="00300A01">
            <w:pPr>
              <w:pStyle w:val="Text1"/>
              <w:spacing w:before="0" w:after="0"/>
              <w:ind w:left="0"/>
              <w:jc w:val="right"/>
              <w:rPr>
                <w:sz w:val="12"/>
                <w:szCs w:val="12"/>
              </w:rPr>
            </w:pPr>
            <w:r w:rsidRPr="009C3005">
              <w:rPr>
                <w:noProof/>
                <w:sz w:val="12"/>
                <w:szCs w:val="12"/>
              </w:rPr>
              <w:t>0,00</w:t>
            </w:r>
          </w:p>
        </w:tc>
        <w:tc>
          <w:tcPr>
            <w:tcW w:w="0" w:type="auto"/>
            <w:shd w:val="clear" w:color="auto" w:fill="auto"/>
          </w:tcPr>
          <w:p w14:paraId="1636DD74" w14:textId="77777777" w:rsidR="008C5CFA" w:rsidRPr="009C3005" w:rsidRDefault="00E82A60" w:rsidP="00300A01">
            <w:pPr>
              <w:pStyle w:val="Text1"/>
              <w:spacing w:before="0" w:after="0"/>
              <w:ind w:left="0"/>
              <w:jc w:val="right"/>
              <w:rPr>
                <w:sz w:val="12"/>
                <w:szCs w:val="12"/>
              </w:rPr>
            </w:pPr>
            <w:r w:rsidRPr="009C3005">
              <w:rPr>
                <w:noProof/>
                <w:sz w:val="12"/>
                <w:szCs w:val="12"/>
              </w:rPr>
              <w:t>3</w:t>
            </w:r>
          </w:p>
        </w:tc>
      </w:tr>
      <w:tr w:rsidR="006B2EC1" w14:paraId="0C281673" w14:textId="77777777" w:rsidTr="0047688D">
        <w:tc>
          <w:tcPr>
            <w:tcW w:w="0" w:type="auto"/>
            <w:shd w:val="clear" w:color="auto" w:fill="auto"/>
          </w:tcPr>
          <w:p w14:paraId="42A3171A" w14:textId="77777777" w:rsidR="008C5CFA" w:rsidRPr="009C3005" w:rsidRDefault="00E82A60" w:rsidP="00300A01">
            <w:pPr>
              <w:pStyle w:val="Text1"/>
              <w:spacing w:before="0" w:after="0"/>
              <w:ind w:left="0"/>
              <w:rPr>
                <w:sz w:val="12"/>
                <w:szCs w:val="12"/>
              </w:rPr>
            </w:pPr>
            <w:r>
              <w:rPr>
                <w:noProof/>
                <w:sz w:val="14"/>
                <w:szCs w:val="14"/>
                <w:lang w:val="fr-BE"/>
              </w:rPr>
              <w:t>3</w:t>
            </w:r>
          </w:p>
        </w:tc>
        <w:tc>
          <w:tcPr>
            <w:tcW w:w="0" w:type="auto"/>
            <w:shd w:val="clear" w:color="auto" w:fill="auto"/>
          </w:tcPr>
          <w:p w14:paraId="05BA2920" w14:textId="77777777" w:rsidR="008C5CFA" w:rsidRPr="009C3005" w:rsidRDefault="00E82A60" w:rsidP="00300A01">
            <w:pPr>
              <w:pStyle w:val="Text1"/>
              <w:spacing w:before="0" w:after="0"/>
              <w:ind w:left="0"/>
              <w:rPr>
                <w:sz w:val="12"/>
                <w:szCs w:val="12"/>
              </w:rPr>
            </w:pPr>
            <w:r>
              <w:rPr>
                <w:noProof/>
                <w:sz w:val="12"/>
                <w:szCs w:val="12"/>
              </w:rPr>
              <w:t>EFRR</w:t>
            </w:r>
          </w:p>
        </w:tc>
        <w:tc>
          <w:tcPr>
            <w:tcW w:w="0" w:type="auto"/>
            <w:shd w:val="clear" w:color="auto" w:fill="auto"/>
          </w:tcPr>
          <w:p w14:paraId="51C85A96" w14:textId="77777777" w:rsidR="008C5CFA" w:rsidRPr="009C3005" w:rsidRDefault="00E82A60" w:rsidP="00300A01">
            <w:pPr>
              <w:pStyle w:val="Text1"/>
              <w:spacing w:before="0" w:after="0"/>
              <w:ind w:left="0"/>
              <w:rPr>
                <w:sz w:val="12"/>
                <w:szCs w:val="12"/>
              </w:rPr>
            </w:pPr>
            <w:r>
              <w:rPr>
                <w:noProof/>
                <w:sz w:val="12"/>
                <w:szCs w:val="12"/>
              </w:rPr>
              <w:t>Słabiej rozwinięte</w:t>
            </w:r>
          </w:p>
        </w:tc>
        <w:tc>
          <w:tcPr>
            <w:tcW w:w="0" w:type="auto"/>
            <w:shd w:val="clear" w:color="auto" w:fill="auto"/>
          </w:tcPr>
          <w:p w14:paraId="0E47FB8B" w14:textId="77777777" w:rsidR="008C5CFA" w:rsidRPr="009C3005" w:rsidRDefault="00E82A60" w:rsidP="00300A01">
            <w:pPr>
              <w:pStyle w:val="Text1"/>
              <w:spacing w:before="0" w:after="0"/>
              <w:ind w:left="0"/>
              <w:rPr>
                <w:sz w:val="12"/>
                <w:szCs w:val="12"/>
              </w:rPr>
            </w:pPr>
            <w:r>
              <w:rPr>
                <w:noProof/>
                <w:sz w:val="12"/>
                <w:szCs w:val="12"/>
              </w:rPr>
              <w:t>014</w:t>
            </w:r>
          </w:p>
        </w:tc>
        <w:tc>
          <w:tcPr>
            <w:tcW w:w="0" w:type="auto"/>
            <w:shd w:val="clear" w:color="auto" w:fill="auto"/>
          </w:tcPr>
          <w:p w14:paraId="7A89CF2C"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13DDB65C" w14:textId="77777777" w:rsidR="008C5CFA" w:rsidRPr="009C3005" w:rsidRDefault="00E82A60" w:rsidP="00300A01">
            <w:pPr>
              <w:pStyle w:val="Text1"/>
              <w:spacing w:before="0" w:after="0"/>
              <w:ind w:left="0"/>
              <w:rPr>
                <w:sz w:val="12"/>
                <w:szCs w:val="12"/>
              </w:rPr>
            </w:pPr>
            <w:r>
              <w:rPr>
                <w:noProof/>
                <w:sz w:val="12"/>
                <w:szCs w:val="12"/>
              </w:rPr>
              <w:t>02</w:t>
            </w:r>
          </w:p>
        </w:tc>
        <w:tc>
          <w:tcPr>
            <w:tcW w:w="0" w:type="auto"/>
            <w:shd w:val="clear" w:color="auto" w:fill="auto"/>
          </w:tcPr>
          <w:p w14:paraId="3BA9A623"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765767D3" w14:textId="77777777" w:rsidR="008C5CFA" w:rsidRPr="009C3005" w:rsidRDefault="00E82A60" w:rsidP="00300A01">
            <w:pPr>
              <w:pStyle w:val="Text1"/>
              <w:spacing w:before="0" w:after="0"/>
              <w:ind w:left="0"/>
              <w:rPr>
                <w:sz w:val="12"/>
                <w:szCs w:val="12"/>
              </w:rPr>
            </w:pPr>
            <w:r>
              <w:rPr>
                <w:noProof/>
                <w:sz w:val="12"/>
                <w:szCs w:val="12"/>
              </w:rPr>
              <w:t>04</w:t>
            </w:r>
          </w:p>
        </w:tc>
        <w:tc>
          <w:tcPr>
            <w:tcW w:w="0" w:type="auto"/>
            <w:shd w:val="clear" w:color="auto" w:fill="auto"/>
          </w:tcPr>
          <w:p w14:paraId="12370510" w14:textId="77777777" w:rsidR="008C5CFA" w:rsidRPr="009C3005" w:rsidRDefault="00E82A60" w:rsidP="00300A01">
            <w:pPr>
              <w:pStyle w:val="Text1"/>
              <w:spacing w:before="0" w:after="0"/>
              <w:ind w:left="0"/>
              <w:rPr>
                <w:sz w:val="12"/>
                <w:szCs w:val="12"/>
              </w:rPr>
            </w:pPr>
            <w:r>
              <w:rPr>
                <w:sz w:val="12"/>
                <w:szCs w:val="12"/>
              </w:rPr>
              <w:t xml:space="preserve"> </w:t>
            </w:r>
          </w:p>
        </w:tc>
        <w:tc>
          <w:tcPr>
            <w:tcW w:w="0" w:type="auto"/>
            <w:shd w:val="clear" w:color="auto" w:fill="auto"/>
          </w:tcPr>
          <w:p w14:paraId="63C9F095" w14:textId="77777777" w:rsidR="008C5CFA" w:rsidRPr="009C3005" w:rsidRDefault="00E82A60" w:rsidP="00300A01">
            <w:pPr>
              <w:pStyle w:val="Text1"/>
              <w:spacing w:before="0" w:after="0"/>
              <w:ind w:left="0"/>
              <w:rPr>
                <w:sz w:val="12"/>
                <w:szCs w:val="12"/>
              </w:rPr>
            </w:pPr>
            <w:r>
              <w:rPr>
                <w:noProof/>
                <w:sz w:val="12"/>
                <w:szCs w:val="12"/>
              </w:rPr>
              <w:t>17</w:t>
            </w:r>
          </w:p>
        </w:tc>
        <w:tc>
          <w:tcPr>
            <w:tcW w:w="0" w:type="auto"/>
            <w:shd w:val="clear" w:color="auto" w:fill="auto"/>
          </w:tcPr>
          <w:p w14:paraId="551F5FB1" w14:textId="77777777" w:rsidR="008C5CFA" w:rsidRPr="009C3005" w:rsidRDefault="00E82A60" w:rsidP="00300A01">
            <w:pPr>
              <w:pStyle w:val="Text1"/>
              <w:spacing w:before="0" w:after="0"/>
              <w:ind w:left="0"/>
              <w:rPr>
                <w:sz w:val="12"/>
                <w:szCs w:val="12"/>
              </w:rPr>
            </w:pPr>
            <w:r>
              <w:rPr>
                <w:noProof/>
                <w:sz w:val="12"/>
                <w:szCs w:val="12"/>
              </w:rPr>
              <w:t>PL33</w:t>
            </w:r>
          </w:p>
        </w:tc>
        <w:tc>
          <w:tcPr>
            <w:tcW w:w="0" w:type="auto"/>
            <w:shd w:val="clear" w:color="auto" w:fill="auto"/>
          </w:tcPr>
          <w:p w14:paraId="2FA6E1CB" w14:textId="77777777" w:rsidR="008C5CFA" w:rsidRPr="009C3005" w:rsidRDefault="00E82A60" w:rsidP="00300A01">
            <w:pPr>
              <w:pStyle w:val="Text1"/>
              <w:spacing w:before="0" w:after="0"/>
              <w:ind w:left="0"/>
              <w:jc w:val="right"/>
              <w:rPr>
                <w:sz w:val="12"/>
                <w:szCs w:val="12"/>
              </w:rPr>
            </w:pPr>
            <w:r w:rsidRPr="009C3005">
              <w:rPr>
                <w:noProof/>
                <w:sz w:val="12"/>
                <w:szCs w:val="12"/>
              </w:rPr>
              <w:t>110 313,76</w:t>
            </w:r>
          </w:p>
        </w:tc>
        <w:tc>
          <w:tcPr>
            <w:tcW w:w="0" w:type="auto"/>
            <w:shd w:val="clear" w:color="auto" w:fill="auto"/>
          </w:tcPr>
          <w:p w14:paraId="3030F014" w14:textId="77777777" w:rsidR="008C5CFA" w:rsidRPr="009C3005" w:rsidRDefault="00E82A60" w:rsidP="00300A01">
            <w:pPr>
              <w:pStyle w:val="Text1"/>
              <w:spacing w:before="0" w:after="0"/>
              <w:ind w:left="0"/>
              <w:jc w:val="right"/>
              <w:rPr>
                <w:sz w:val="12"/>
                <w:szCs w:val="12"/>
              </w:rPr>
            </w:pPr>
            <w:r w:rsidRPr="009C3005">
              <w:rPr>
                <w:noProof/>
                <w:sz w:val="12"/>
                <w:szCs w:val="12"/>
              </w:rPr>
              <w:t>90 457,29</w:t>
            </w:r>
          </w:p>
        </w:tc>
        <w:tc>
          <w:tcPr>
            <w:tcW w:w="0" w:type="auto"/>
            <w:shd w:val="clear" w:color="auto" w:fill="auto"/>
          </w:tcPr>
          <w:p w14:paraId="6077061B" w14:textId="77777777" w:rsidR="008C5CFA" w:rsidRPr="009C3005" w:rsidRDefault="00E82A60" w:rsidP="00300A01">
            <w:pPr>
              <w:pStyle w:val="Text1"/>
              <w:spacing w:before="0" w:after="0"/>
              <w:ind w:left="0"/>
              <w:jc w:val="right"/>
              <w:rPr>
                <w:sz w:val="12"/>
                <w:szCs w:val="12"/>
              </w:rPr>
            </w:pPr>
            <w:r w:rsidRPr="009C3005">
              <w:rPr>
                <w:noProof/>
                <w:sz w:val="12"/>
                <w:szCs w:val="12"/>
              </w:rPr>
              <w:t>71 239,71</w:t>
            </w:r>
          </w:p>
        </w:tc>
        <w:tc>
          <w:tcPr>
            <w:tcW w:w="0" w:type="auto"/>
            <w:shd w:val="clear" w:color="auto" w:fill="auto"/>
          </w:tcPr>
          <w:p w14:paraId="513227A7" w14:textId="77777777" w:rsidR="008C5CFA" w:rsidRPr="009C3005" w:rsidRDefault="00E82A60" w:rsidP="00300A01">
            <w:pPr>
              <w:pStyle w:val="Text1"/>
              <w:spacing w:before="0" w:after="0"/>
              <w:ind w:left="0"/>
              <w:jc w:val="right"/>
              <w:rPr>
                <w:sz w:val="12"/>
                <w:szCs w:val="12"/>
              </w:rPr>
            </w:pPr>
            <w:r w:rsidRPr="009C3005">
              <w:rPr>
                <w:noProof/>
                <w:sz w:val="12"/>
                <w:szCs w:val="12"/>
              </w:rPr>
              <w:t>1</w:t>
            </w:r>
          </w:p>
        </w:tc>
      </w:tr>
      <w:tr w:rsidR="006B2EC1" w14:paraId="0EC5C59C" w14:textId="77777777" w:rsidTr="0047688D">
        <w:tc>
          <w:tcPr>
            <w:tcW w:w="0" w:type="auto"/>
            <w:shd w:val="clear" w:color="auto" w:fill="auto"/>
          </w:tcPr>
          <w:p w14:paraId="78F1F904" w14:textId="77777777" w:rsidR="008C5CFA" w:rsidRPr="009C3005" w:rsidRDefault="00E82A60" w:rsidP="00300A01">
            <w:pPr>
              <w:pStyle w:val="Text1"/>
              <w:spacing w:before="0" w:after="0"/>
              <w:ind w:left="0"/>
              <w:rPr>
                <w:sz w:val="12"/>
                <w:szCs w:val="12"/>
              </w:rPr>
            </w:pPr>
            <w:r>
              <w:rPr>
                <w:noProof/>
                <w:sz w:val="14"/>
                <w:szCs w:val="14"/>
                <w:lang w:val="fr-BE"/>
              </w:rPr>
              <w:t>3</w:t>
            </w:r>
          </w:p>
        </w:tc>
        <w:tc>
          <w:tcPr>
            <w:tcW w:w="0" w:type="auto"/>
            <w:shd w:val="clear" w:color="auto" w:fill="auto"/>
          </w:tcPr>
          <w:p w14:paraId="75EAF3FA" w14:textId="77777777" w:rsidR="008C5CFA" w:rsidRPr="009C3005" w:rsidRDefault="00E82A60" w:rsidP="00300A01">
            <w:pPr>
              <w:pStyle w:val="Text1"/>
              <w:spacing w:before="0" w:after="0"/>
              <w:ind w:left="0"/>
              <w:rPr>
                <w:sz w:val="12"/>
                <w:szCs w:val="12"/>
              </w:rPr>
            </w:pPr>
            <w:r>
              <w:rPr>
                <w:noProof/>
                <w:sz w:val="12"/>
                <w:szCs w:val="12"/>
              </w:rPr>
              <w:t>EFRR</w:t>
            </w:r>
          </w:p>
        </w:tc>
        <w:tc>
          <w:tcPr>
            <w:tcW w:w="0" w:type="auto"/>
            <w:shd w:val="clear" w:color="auto" w:fill="auto"/>
          </w:tcPr>
          <w:p w14:paraId="519EC2D1" w14:textId="77777777" w:rsidR="008C5CFA" w:rsidRPr="009C3005" w:rsidRDefault="00E82A60" w:rsidP="00300A01">
            <w:pPr>
              <w:pStyle w:val="Text1"/>
              <w:spacing w:before="0" w:after="0"/>
              <w:ind w:left="0"/>
              <w:rPr>
                <w:sz w:val="12"/>
                <w:szCs w:val="12"/>
              </w:rPr>
            </w:pPr>
            <w:r>
              <w:rPr>
                <w:noProof/>
                <w:sz w:val="12"/>
                <w:szCs w:val="12"/>
              </w:rPr>
              <w:t>Słabiej rozwinięte</w:t>
            </w:r>
          </w:p>
        </w:tc>
        <w:tc>
          <w:tcPr>
            <w:tcW w:w="0" w:type="auto"/>
            <w:shd w:val="clear" w:color="auto" w:fill="auto"/>
          </w:tcPr>
          <w:p w14:paraId="52A4B5A6" w14:textId="77777777" w:rsidR="008C5CFA" w:rsidRPr="009C3005" w:rsidRDefault="00E82A60" w:rsidP="00300A01">
            <w:pPr>
              <w:pStyle w:val="Text1"/>
              <w:spacing w:before="0" w:after="0"/>
              <w:ind w:left="0"/>
              <w:rPr>
                <w:sz w:val="12"/>
                <w:szCs w:val="12"/>
              </w:rPr>
            </w:pPr>
            <w:r>
              <w:rPr>
                <w:noProof/>
                <w:sz w:val="12"/>
                <w:szCs w:val="12"/>
              </w:rPr>
              <w:t>016</w:t>
            </w:r>
          </w:p>
        </w:tc>
        <w:tc>
          <w:tcPr>
            <w:tcW w:w="0" w:type="auto"/>
            <w:shd w:val="clear" w:color="auto" w:fill="auto"/>
          </w:tcPr>
          <w:p w14:paraId="13D98676"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1B081896" w14:textId="77777777" w:rsidR="008C5CFA" w:rsidRPr="009C3005" w:rsidRDefault="00E82A60" w:rsidP="00300A01">
            <w:pPr>
              <w:pStyle w:val="Text1"/>
              <w:spacing w:before="0" w:after="0"/>
              <w:ind w:left="0"/>
              <w:rPr>
                <w:sz w:val="12"/>
                <w:szCs w:val="12"/>
              </w:rPr>
            </w:pPr>
            <w:r>
              <w:rPr>
                <w:noProof/>
                <w:sz w:val="12"/>
                <w:szCs w:val="12"/>
              </w:rPr>
              <w:t>02</w:t>
            </w:r>
          </w:p>
        </w:tc>
        <w:tc>
          <w:tcPr>
            <w:tcW w:w="0" w:type="auto"/>
            <w:shd w:val="clear" w:color="auto" w:fill="auto"/>
          </w:tcPr>
          <w:p w14:paraId="20A4036B"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4F23D9F1" w14:textId="77777777" w:rsidR="008C5CFA" w:rsidRPr="009C3005" w:rsidRDefault="00E82A60" w:rsidP="00300A01">
            <w:pPr>
              <w:pStyle w:val="Text1"/>
              <w:spacing w:before="0" w:after="0"/>
              <w:ind w:left="0"/>
              <w:rPr>
                <w:sz w:val="12"/>
                <w:szCs w:val="12"/>
              </w:rPr>
            </w:pPr>
            <w:r>
              <w:rPr>
                <w:noProof/>
                <w:sz w:val="12"/>
                <w:szCs w:val="12"/>
              </w:rPr>
              <w:t>04</w:t>
            </w:r>
          </w:p>
        </w:tc>
        <w:tc>
          <w:tcPr>
            <w:tcW w:w="0" w:type="auto"/>
            <w:shd w:val="clear" w:color="auto" w:fill="auto"/>
          </w:tcPr>
          <w:p w14:paraId="2D6CC3A0" w14:textId="77777777" w:rsidR="008C5CFA" w:rsidRPr="009C3005" w:rsidRDefault="00E82A60" w:rsidP="00300A01">
            <w:pPr>
              <w:pStyle w:val="Text1"/>
              <w:spacing w:before="0" w:after="0"/>
              <w:ind w:left="0"/>
              <w:rPr>
                <w:sz w:val="12"/>
                <w:szCs w:val="12"/>
              </w:rPr>
            </w:pPr>
            <w:r>
              <w:rPr>
                <w:sz w:val="12"/>
                <w:szCs w:val="12"/>
              </w:rPr>
              <w:t xml:space="preserve"> </w:t>
            </w:r>
          </w:p>
        </w:tc>
        <w:tc>
          <w:tcPr>
            <w:tcW w:w="0" w:type="auto"/>
            <w:shd w:val="clear" w:color="auto" w:fill="auto"/>
          </w:tcPr>
          <w:p w14:paraId="40999922" w14:textId="77777777" w:rsidR="008C5CFA" w:rsidRPr="009C3005" w:rsidRDefault="00E82A60" w:rsidP="00300A01">
            <w:pPr>
              <w:pStyle w:val="Text1"/>
              <w:spacing w:before="0" w:after="0"/>
              <w:ind w:left="0"/>
              <w:rPr>
                <w:sz w:val="12"/>
                <w:szCs w:val="12"/>
              </w:rPr>
            </w:pPr>
            <w:r>
              <w:rPr>
                <w:noProof/>
                <w:sz w:val="12"/>
                <w:szCs w:val="12"/>
              </w:rPr>
              <w:t>18</w:t>
            </w:r>
          </w:p>
        </w:tc>
        <w:tc>
          <w:tcPr>
            <w:tcW w:w="0" w:type="auto"/>
            <w:shd w:val="clear" w:color="auto" w:fill="auto"/>
          </w:tcPr>
          <w:p w14:paraId="5F94762E" w14:textId="77777777" w:rsidR="008C5CFA" w:rsidRPr="009C3005" w:rsidRDefault="00E82A60" w:rsidP="00300A01">
            <w:pPr>
              <w:pStyle w:val="Text1"/>
              <w:spacing w:before="0" w:after="0"/>
              <w:ind w:left="0"/>
              <w:rPr>
                <w:sz w:val="12"/>
                <w:szCs w:val="12"/>
              </w:rPr>
            </w:pPr>
            <w:r>
              <w:rPr>
                <w:noProof/>
                <w:sz w:val="12"/>
                <w:szCs w:val="12"/>
              </w:rPr>
              <w:t>PL33</w:t>
            </w:r>
          </w:p>
        </w:tc>
        <w:tc>
          <w:tcPr>
            <w:tcW w:w="0" w:type="auto"/>
            <w:shd w:val="clear" w:color="auto" w:fill="auto"/>
          </w:tcPr>
          <w:p w14:paraId="5D86B1D4" w14:textId="77777777" w:rsidR="008C5CFA" w:rsidRPr="009C3005" w:rsidRDefault="00E82A60" w:rsidP="00300A01">
            <w:pPr>
              <w:pStyle w:val="Text1"/>
              <w:spacing w:before="0" w:after="0"/>
              <w:ind w:left="0"/>
              <w:jc w:val="right"/>
              <w:rPr>
                <w:sz w:val="12"/>
                <w:szCs w:val="12"/>
              </w:rPr>
            </w:pPr>
            <w:r w:rsidRPr="009C3005">
              <w:rPr>
                <w:noProof/>
                <w:sz w:val="12"/>
                <w:szCs w:val="12"/>
              </w:rPr>
              <w:t>2 371 650,80</w:t>
            </w:r>
          </w:p>
        </w:tc>
        <w:tc>
          <w:tcPr>
            <w:tcW w:w="0" w:type="auto"/>
            <w:shd w:val="clear" w:color="auto" w:fill="auto"/>
          </w:tcPr>
          <w:p w14:paraId="1360FA2B" w14:textId="77777777" w:rsidR="008C5CFA" w:rsidRPr="009C3005" w:rsidRDefault="00E82A60" w:rsidP="00300A01">
            <w:pPr>
              <w:pStyle w:val="Text1"/>
              <w:spacing w:before="0" w:after="0"/>
              <w:ind w:left="0"/>
              <w:jc w:val="right"/>
              <w:rPr>
                <w:sz w:val="12"/>
                <w:szCs w:val="12"/>
              </w:rPr>
            </w:pPr>
            <w:r w:rsidRPr="009C3005">
              <w:rPr>
                <w:noProof/>
                <w:sz w:val="12"/>
                <w:szCs w:val="12"/>
              </w:rPr>
              <w:t>2 371 650,80</w:t>
            </w:r>
          </w:p>
        </w:tc>
        <w:tc>
          <w:tcPr>
            <w:tcW w:w="0" w:type="auto"/>
            <w:shd w:val="clear" w:color="auto" w:fill="auto"/>
          </w:tcPr>
          <w:p w14:paraId="0A6A0988" w14:textId="77777777" w:rsidR="008C5CFA" w:rsidRPr="009C3005" w:rsidRDefault="00E82A60" w:rsidP="00300A01">
            <w:pPr>
              <w:pStyle w:val="Text1"/>
              <w:spacing w:before="0" w:after="0"/>
              <w:ind w:left="0"/>
              <w:jc w:val="right"/>
              <w:rPr>
                <w:sz w:val="12"/>
                <w:szCs w:val="12"/>
              </w:rPr>
            </w:pPr>
            <w:r w:rsidRPr="009C3005">
              <w:rPr>
                <w:noProof/>
                <w:sz w:val="12"/>
                <w:szCs w:val="12"/>
              </w:rPr>
              <w:t>0,00</w:t>
            </w:r>
          </w:p>
        </w:tc>
        <w:tc>
          <w:tcPr>
            <w:tcW w:w="0" w:type="auto"/>
            <w:shd w:val="clear" w:color="auto" w:fill="auto"/>
          </w:tcPr>
          <w:p w14:paraId="20FC6BF1" w14:textId="77777777" w:rsidR="008C5CFA" w:rsidRPr="009C3005" w:rsidRDefault="00E82A60" w:rsidP="00300A01">
            <w:pPr>
              <w:pStyle w:val="Text1"/>
              <w:spacing w:before="0" w:after="0"/>
              <w:ind w:left="0"/>
              <w:jc w:val="right"/>
              <w:rPr>
                <w:sz w:val="12"/>
                <w:szCs w:val="12"/>
              </w:rPr>
            </w:pPr>
            <w:r w:rsidRPr="009C3005">
              <w:rPr>
                <w:noProof/>
                <w:sz w:val="12"/>
                <w:szCs w:val="12"/>
              </w:rPr>
              <w:t>1</w:t>
            </w:r>
          </w:p>
        </w:tc>
      </w:tr>
      <w:tr w:rsidR="006B2EC1" w14:paraId="4B3EDE0C" w14:textId="77777777" w:rsidTr="0047688D">
        <w:tc>
          <w:tcPr>
            <w:tcW w:w="0" w:type="auto"/>
            <w:shd w:val="clear" w:color="auto" w:fill="auto"/>
          </w:tcPr>
          <w:p w14:paraId="543AA8F8" w14:textId="77777777" w:rsidR="008C5CFA" w:rsidRPr="009C3005" w:rsidRDefault="00E82A60" w:rsidP="00300A01">
            <w:pPr>
              <w:pStyle w:val="Text1"/>
              <w:spacing w:before="0" w:after="0"/>
              <w:ind w:left="0"/>
              <w:rPr>
                <w:sz w:val="12"/>
                <w:szCs w:val="12"/>
              </w:rPr>
            </w:pPr>
            <w:r>
              <w:rPr>
                <w:noProof/>
                <w:sz w:val="14"/>
                <w:szCs w:val="14"/>
                <w:lang w:val="fr-BE"/>
              </w:rPr>
              <w:t>3</w:t>
            </w:r>
          </w:p>
        </w:tc>
        <w:tc>
          <w:tcPr>
            <w:tcW w:w="0" w:type="auto"/>
            <w:shd w:val="clear" w:color="auto" w:fill="auto"/>
          </w:tcPr>
          <w:p w14:paraId="69710DE1" w14:textId="77777777" w:rsidR="008C5CFA" w:rsidRPr="009C3005" w:rsidRDefault="00E82A60" w:rsidP="00300A01">
            <w:pPr>
              <w:pStyle w:val="Text1"/>
              <w:spacing w:before="0" w:after="0"/>
              <w:ind w:left="0"/>
              <w:rPr>
                <w:sz w:val="12"/>
                <w:szCs w:val="12"/>
              </w:rPr>
            </w:pPr>
            <w:r>
              <w:rPr>
                <w:noProof/>
                <w:sz w:val="12"/>
                <w:szCs w:val="12"/>
              </w:rPr>
              <w:t>EFRR</w:t>
            </w:r>
          </w:p>
        </w:tc>
        <w:tc>
          <w:tcPr>
            <w:tcW w:w="0" w:type="auto"/>
            <w:shd w:val="clear" w:color="auto" w:fill="auto"/>
          </w:tcPr>
          <w:p w14:paraId="312E5E23" w14:textId="77777777" w:rsidR="008C5CFA" w:rsidRPr="009C3005" w:rsidRDefault="00E82A60" w:rsidP="00300A01">
            <w:pPr>
              <w:pStyle w:val="Text1"/>
              <w:spacing w:before="0" w:after="0"/>
              <w:ind w:left="0"/>
              <w:rPr>
                <w:sz w:val="12"/>
                <w:szCs w:val="12"/>
              </w:rPr>
            </w:pPr>
            <w:r>
              <w:rPr>
                <w:noProof/>
                <w:sz w:val="12"/>
                <w:szCs w:val="12"/>
              </w:rPr>
              <w:t>Słabiej rozwinięte</w:t>
            </w:r>
          </w:p>
        </w:tc>
        <w:tc>
          <w:tcPr>
            <w:tcW w:w="0" w:type="auto"/>
            <w:shd w:val="clear" w:color="auto" w:fill="auto"/>
          </w:tcPr>
          <w:p w14:paraId="5ADE1FAF" w14:textId="77777777" w:rsidR="008C5CFA" w:rsidRPr="009C3005" w:rsidRDefault="00E82A60" w:rsidP="00300A01">
            <w:pPr>
              <w:pStyle w:val="Text1"/>
              <w:spacing w:before="0" w:after="0"/>
              <w:ind w:left="0"/>
              <w:rPr>
                <w:sz w:val="12"/>
                <w:szCs w:val="12"/>
              </w:rPr>
            </w:pPr>
            <w:r>
              <w:rPr>
                <w:noProof/>
                <w:sz w:val="12"/>
                <w:szCs w:val="12"/>
              </w:rPr>
              <w:t>043</w:t>
            </w:r>
          </w:p>
        </w:tc>
        <w:tc>
          <w:tcPr>
            <w:tcW w:w="0" w:type="auto"/>
            <w:shd w:val="clear" w:color="auto" w:fill="auto"/>
          </w:tcPr>
          <w:p w14:paraId="1672548B"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3B22156A"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259C50D6"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78D5E699" w14:textId="77777777" w:rsidR="008C5CFA" w:rsidRPr="009C3005" w:rsidRDefault="00E82A60" w:rsidP="00300A01">
            <w:pPr>
              <w:pStyle w:val="Text1"/>
              <w:spacing w:before="0" w:after="0"/>
              <w:ind w:left="0"/>
              <w:rPr>
                <w:sz w:val="12"/>
                <w:szCs w:val="12"/>
              </w:rPr>
            </w:pPr>
            <w:r>
              <w:rPr>
                <w:noProof/>
                <w:sz w:val="12"/>
                <w:szCs w:val="12"/>
              </w:rPr>
              <w:t>04</w:t>
            </w:r>
          </w:p>
        </w:tc>
        <w:tc>
          <w:tcPr>
            <w:tcW w:w="0" w:type="auto"/>
            <w:shd w:val="clear" w:color="auto" w:fill="auto"/>
          </w:tcPr>
          <w:p w14:paraId="40FC7903" w14:textId="77777777" w:rsidR="008C5CFA" w:rsidRPr="009C3005" w:rsidRDefault="00E82A60" w:rsidP="00300A01">
            <w:pPr>
              <w:pStyle w:val="Text1"/>
              <w:spacing w:before="0" w:after="0"/>
              <w:ind w:left="0"/>
              <w:rPr>
                <w:sz w:val="12"/>
                <w:szCs w:val="12"/>
              </w:rPr>
            </w:pPr>
            <w:r>
              <w:rPr>
                <w:sz w:val="12"/>
                <w:szCs w:val="12"/>
              </w:rPr>
              <w:t xml:space="preserve"> </w:t>
            </w:r>
          </w:p>
        </w:tc>
        <w:tc>
          <w:tcPr>
            <w:tcW w:w="0" w:type="auto"/>
            <w:shd w:val="clear" w:color="auto" w:fill="auto"/>
          </w:tcPr>
          <w:p w14:paraId="30BB44A1" w14:textId="77777777" w:rsidR="008C5CFA" w:rsidRPr="009C3005" w:rsidRDefault="00E82A60" w:rsidP="00300A01">
            <w:pPr>
              <w:pStyle w:val="Text1"/>
              <w:spacing w:before="0" w:after="0"/>
              <w:ind w:left="0"/>
              <w:rPr>
                <w:sz w:val="12"/>
                <w:szCs w:val="12"/>
              </w:rPr>
            </w:pPr>
            <w:r>
              <w:rPr>
                <w:noProof/>
                <w:sz w:val="12"/>
                <w:szCs w:val="12"/>
              </w:rPr>
              <w:t>18</w:t>
            </w:r>
          </w:p>
        </w:tc>
        <w:tc>
          <w:tcPr>
            <w:tcW w:w="0" w:type="auto"/>
            <w:shd w:val="clear" w:color="auto" w:fill="auto"/>
          </w:tcPr>
          <w:p w14:paraId="1B44947B" w14:textId="77777777" w:rsidR="008C5CFA" w:rsidRPr="009C3005" w:rsidRDefault="00E82A60" w:rsidP="00300A01">
            <w:pPr>
              <w:pStyle w:val="Text1"/>
              <w:spacing w:before="0" w:after="0"/>
              <w:ind w:left="0"/>
              <w:rPr>
                <w:sz w:val="12"/>
                <w:szCs w:val="12"/>
              </w:rPr>
            </w:pPr>
            <w:r>
              <w:rPr>
                <w:noProof/>
                <w:sz w:val="12"/>
                <w:szCs w:val="12"/>
              </w:rPr>
              <w:t>PL33</w:t>
            </w:r>
          </w:p>
        </w:tc>
        <w:tc>
          <w:tcPr>
            <w:tcW w:w="0" w:type="auto"/>
            <w:shd w:val="clear" w:color="auto" w:fill="auto"/>
          </w:tcPr>
          <w:p w14:paraId="3100EACE" w14:textId="77777777" w:rsidR="008C5CFA" w:rsidRPr="009C3005" w:rsidRDefault="00E82A60" w:rsidP="00300A01">
            <w:pPr>
              <w:pStyle w:val="Text1"/>
              <w:spacing w:before="0" w:after="0"/>
              <w:ind w:left="0"/>
              <w:jc w:val="right"/>
              <w:rPr>
                <w:sz w:val="12"/>
                <w:szCs w:val="12"/>
              </w:rPr>
            </w:pPr>
            <w:r w:rsidRPr="009C3005">
              <w:rPr>
                <w:noProof/>
                <w:sz w:val="12"/>
                <w:szCs w:val="12"/>
              </w:rPr>
              <w:t>4 698 459,84</w:t>
            </w:r>
          </w:p>
        </w:tc>
        <w:tc>
          <w:tcPr>
            <w:tcW w:w="0" w:type="auto"/>
            <w:shd w:val="clear" w:color="auto" w:fill="auto"/>
          </w:tcPr>
          <w:p w14:paraId="0B3CBC8D" w14:textId="77777777" w:rsidR="008C5CFA" w:rsidRPr="009C3005" w:rsidRDefault="00E82A60" w:rsidP="00300A01">
            <w:pPr>
              <w:pStyle w:val="Text1"/>
              <w:spacing w:before="0" w:after="0"/>
              <w:ind w:left="0"/>
              <w:jc w:val="right"/>
              <w:rPr>
                <w:sz w:val="12"/>
                <w:szCs w:val="12"/>
              </w:rPr>
            </w:pPr>
            <w:r w:rsidRPr="009C3005">
              <w:rPr>
                <w:noProof/>
                <w:sz w:val="12"/>
                <w:szCs w:val="12"/>
              </w:rPr>
              <w:t>4 698 459,84</w:t>
            </w:r>
          </w:p>
        </w:tc>
        <w:tc>
          <w:tcPr>
            <w:tcW w:w="0" w:type="auto"/>
            <w:shd w:val="clear" w:color="auto" w:fill="auto"/>
          </w:tcPr>
          <w:p w14:paraId="341A2D4A" w14:textId="77777777" w:rsidR="008C5CFA" w:rsidRPr="009C3005" w:rsidRDefault="00E82A60" w:rsidP="00300A01">
            <w:pPr>
              <w:pStyle w:val="Text1"/>
              <w:spacing w:before="0" w:after="0"/>
              <w:ind w:left="0"/>
              <w:jc w:val="right"/>
              <w:rPr>
                <w:sz w:val="12"/>
                <w:szCs w:val="12"/>
              </w:rPr>
            </w:pPr>
            <w:r w:rsidRPr="009C3005">
              <w:rPr>
                <w:noProof/>
                <w:sz w:val="12"/>
                <w:szCs w:val="12"/>
              </w:rPr>
              <w:t>0,00</w:t>
            </w:r>
          </w:p>
        </w:tc>
        <w:tc>
          <w:tcPr>
            <w:tcW w:w="0" w:type="auto"/>
            <w:shd w:val="clear" w:color="auto" w:fill="auto"/>
          </w:tcPr>
          <w:p w14:paraId="6B482EF8" w14:textId="77777777" w:rsidR="008C5CFA" w:rsidRPr="009C3005" w:rsidRDefault="00E82A60" w:rsidP="00300A01">
            <w:pPr>
              <w:pStyle w:val="Text1"/>
              <w:spacing w:before="0" w:after="0"/>
              <w:ind w:left="0"/>
              <w:jc w:val="right"/>
              <w:rPr>
                <w:sz w:val="12"/>
                <w:szCs w:val="12"/>
              </w:rPr>
            </w:pPr>
            <w:r w:rsidRPr="009C3005">
              <w:rPr>
                <w:noProof/>
                <w:sz w:val="12"/>
                <w:szCs w:val="12"/>
              </w:rPr>
              <w:t>1</w:t>
            </w:r>
          </w:p>
        </w:tc>
      </w:tr>
      <w:tr w:rsidR="006B2EC1" w14:paraId="7D7ABC03" w14:textId="77777777" w:rsidTr="0047688D">
        <w:tc>
          <w:tcPr>
            <w:tcW w:w="0" w:type="auto"/>
            <w:shd w:val="clear" w:color="auto" w:fill="auto"/>
          </w:tcPr>
          <w:p w14:paraId="45D9593C" w14:textId="77777777" w:rsidR="008C5CFA" w:rsidRPr="009C3005" w:rsidRDefault="00E82A60" w:rsidP="00300A01">
            <w:pPr>
              <w:pStyle w:val="Text1"/>
              <w:spacing w:before="0" w:after="0"/>
              <w:ind w:left="0"/>
              <w:rPr>
                <w:sz w:val="12"/>
                <w:szCs w:val="12"/>
              </w:rPr>
            </w:pPr>
            <w:r>
              <w:rPr>
                <w:noProof/>
                <w:sz w:val="14"/>
                <w:szCs w:val="14"/>
                <w:lang w:val="fr-BE"/>
              </w:rPr>
              <w:t>3</w:t>
            </w:r>
          </w:p>
        </w:tc>
        <w:tc>
          <w:tcPr>
            <w:tcW w:w="0" w:type="auto"/>
            <w:shd w:val="clear" w:color="auto" w:fill="auto"/>
          </w:tcPr>
          <w:p w14:paraId="3E413BB2" w14:textId="77777777" w:rsidR="008C5CFA" w:rsidRPr="009C3005" w:rsidRDefault="00E82A60" w:rsidP="00300A01">
            <w:pPr>
              <w:pStyle w:val="Text1"/>
              <w:spacing w:before="0" w:after="0"/>
              <w:ind w:left="0"/>
              <w:rPr>
                <w:sz w:val="12"/>
                <w:szCs w:val="12"/>
              </w:rPr>
            </w:pPr>
            <w:r>
              <w:rPr>
                <w:noProof/>
                <w:sz w:val="12"/>
                <w:szCs w:val="12"/>
              </w:rPr>
              <w:t>EFRR</w:t>
            </w:r>
          </w:p>
        </w:tc>
        <w:tc>
          <w:tcPr>
            <w:tcW w:w="0" w:type="auto"/>
            <w:shd w:val="clear" w:color="auto" w:fill="auto"/>
          </w:tcPr>
          <w:p w14:paraId="679C00E4" w14:textId="77777777" w:rsidR="008C5CFA" w:rsidRPr="009C3005" w:rsidRDefault="00E82A60" w:rsidP="00300A01">
            <w:pPr>
              <w:pStyle w:val="Text1"/>
              <w:spacing w:before="0" w:after="0"/>
              <w:ind w:left="0"/>
              <w:rPr>
                <w:sz w:val="12"/>
                <w:szCs w:val="12"/>
              </w:rPr>
            </w:pPr>
            <w:r>
              <w:rPr>
                <w:noProof/>
                <w:sz w:val="12"/>
                <w:szCs w:val="12"/>
              </w:rPr>
              <w:t>Słabiej rozwinięte</w:t>
            </w:r>
          </w:p>
        </w:tc>
        <w:tc>
          <w:tcPr>
            <w:tcW w:w="0" w:type="auto"/>
            <w:shd w:val="clear" w:color="auto" w:fill="auto"/>
          </w:tcPr>
          <w:p w14:paraId="66DB13E0" w14:textId="77777777" w:rsidR="008C5CFA" w:rsidRPr="009C3005" w:rsidRDefault="00E82A60" w:rsidP="00300A01">
            <w:pPr>
              <w:pStyle w:val="Text1"/>
              <w:spacing w:before="0" w:after="0"/>
              <w:ind w:left="0"/>
              <w:rPr>
                <w:sz w:val="12"/>
                <w:szCs w:val="12"/>
              </w:rPr>
            </w:pPr>
            <w:r>
              <w:rPr>
                <w:noProof/>
                <w:sz w:val="12"/>
                <w:szCs w:val="12"/>
              </w:rPr>
              <w:t>044</w:t>
            </w:r>
          </w:p>
        </w:tc>
        <w:tc>
          <w:tcPr>
            <w:tcW w:w="0" w:type="auto"/>
            <w:shd w:val="clear" w:color="auto" w:fill="auto"/>
          </w:tcPr>
          <w:p w14:paraId="7D966B89"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0EA86DF2" w14:textId="77777777" w:rsidR="008C5CFA" w:rsidRPr="009C3005" w:rsidRDefault="00E82A60" w:rsidP="00300A01">
            <w:pPr>
              <w:pStyle w:val="Text1"/>
              <w:spacing w:before="0" w:after="0"/>
              <w:ind w:left="0"/>
              <w:rPr>
                <w:sz w:val="12"/>
                <w:szCs w:val="12"/>
              </w:rPr>
            </w:pPr>
            <w:r>
              <w:rPr>
                <w:noProof/>
                <w:sz w:val="12"/>
                <w:szCs w:val="12"/>
              </w:rPr>
              <w:t>02</w:t>
            </w:r>
          </w:p>
        </w:tc>
        <w:tc>
          <w:tcPr>
            <w:tcW w:w="0" w:type="auto"/>
            <w:shd w:val="clear" w:color="auto" w:fill="auto"/>
          </w:tcPr>
          <w:p w14:paraId="6E8E8419"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6C6EB335" w14:textId="77777777" w:rsidR="008C5CFA" w:rsidRPr="009C3005" w:rsidRDefault="00E82A60" w:rsidP="00300A01">
            <w:pPr>
              <w:pStyle w:val="Text1"/>
              <w:spacing w:before="0" w:after="0"/>
              <w:ind w:left="0"/>
              <w:rPr>
                <w:sz w:val="12"/>
                <w:szCs w:val="12"/>
              </w:rPr>
            </w:pPr>
            <w:r>
              <w:rPr>
                <w:noProof/>
                <w:sz w:val="12"/>
                <w:szCs w:val="12"/>
              </w:rPr>
              <w:t>04</w:t>
            </w:r>
          </w:p>
        </w:tc>
        <w:tc>
          <w:tcPr>
            <w:tcW w:w="0" w:type="auto"/>
            <w:shd w:val="clear" w:color="auto" w:fill="auto"/>
          </w:tcPr>
          <w:p w14:paraId="6DDDE978" w14:textId="77777777" w:rsidR="008C5CFA" w:rsidRPr="009C3005" w:rsidRDefault="00E82A60" w:rsidP="00300A01">
            <w:pPr>
              <w:pStyle w:val="Text1"/>
              <w:spacing w:before="0" w:after="0"/>
              <w:ind w:left="0"/>
              <w:rPr>
                <w:sz w:val="12"/>
                <w:szCs w:val="12"/>
              </w:rPr>
            </w:pPr>
            <w:r>
              <w:rPr>
                <w:sz w:val="12"/>
                <w:szCs w:val="12"/>
              </w:rPr>
              <w:t xml:space="preserve"> </w:t>
            </w:r>
          </w:p>
        </w:tc>
        <w:tc>
          <w:tcPr>
            <w:tcW w:w="0" w:type="auto"/>
            <w:shd w:val="clear" w:color="auto" w:fill="auto"/>
          </w:tcPr>
          <w:p w14:paraId="75528C1D" w14:textId="77777777" w:rsidR="008C5CFA" w:rsidRPr="009C3005" w:rsidRDefault="00E82A60" w:rsidP="00300A01">
            <w:pPr>
              <w:pStyle w:val="Text1"/>
              <w:spacing w:before="0" w:after="0"/>
              <w:ind w:left="0"/>
              <w:rPr>
                <w:sz w:val="12"/>
                <w:szCs w:val="12"/>
              </w:rPr>
            </w:pPr>
            <w:r>
              <w:rPr>
                <w:noProof/>
                <w:sz w:val="12"/>
                <w:szCs w:val="12"/>
              </w:rPr>
              <w:t>18</w:t>
            </w:r>
          </w:p>
        </w:tc>
        <w:tc>
          <w:tcPr>
            <w:tcW w:w="0" w:type="auto"/>
            <w:shd w:val="clear" w:color="auto" w:fill="auto"/>
          </w:tcPr>
          <w:p w14:paraId="7AD6278C" w14:textId="77777777" w:rsidR="008C5CFA" w:rsidRPr="009C3005" w:rsidRDefault="00E82A60" w:rsidP="00300A01">
            <w:pPr>
              <w:pStyle w:val="Text1"/>
              <w:spacing w:before="0" w:after="0"/>
              <w:ind w:left="0"/>
              <w:rPr>
                <w:sz w:val="12"/>
                <w:szCs w:val="12"/>
              </w:rPr>
            </w:pPr>
            <w:r>
              <w:rPr>
                <w:noProof/>
                <w:sz w:val="12"/>
                <w:szCs w:val="12"/>
              </w:rPr>
              <w:t>PL33</w:t>
            </w:r>
          </w:p>
        </w:tc>
        <w:tc>
          <w:tcPr>
            <w:tcW w:w="0" w:type="auto"/>
            <w:shd w:val="clear" w:color="auto" w:fill="auto"/>
          </w:tcPr>
          <w:p w14:paraId="04B81F2C" w14:textId="77777777" w:rsidR="008C5CFA" w:rsidRPr="009C3005" w:rsidRDefault="00E82A60" w:rsidP="00300A01">
            <w:pPr>
              <w:pStyle w:val="Text1"/>
              <w:spacing w:before="0" w:after="0"/>
              <w:ind w:left="0"/>
              <w:jc w:val="right"/>
              <w:rPr>
                <w:sz w:val="12"/>
                <w:szCs w:val="12"/>
              </w:rPr>
            </w:pPr>
            <w:r w:rsidRPr="009C3005">
              <w:rPr>
                <w:noProof/>
                <w:sz w:val="12"/>
                <w:szCs w:val="12"/>
              </w:rPr>
              <w:t>1 210 540,54</w:t>
            </w:r>
          </w:p>
        </w:tc>
        <w:tc>
          <w:tcPr>
            <w:tcW w:w="0" w:type="auto"/>
            <w:shd w:val="clear" w:color="auto" w:fill="auto"/>
          </w:tcPr>
          <w:p w14:paraId="26909176" w14:textId="77777777" w:rsidR="008C5CFA" w:rsidRPr="009C3005" w:rsidRDefault="00E82A60" w:rsidP="00300A01">
            <w:pPr>
              <w:pStyle w:val="Text1"/>
              <w:spacing w:before="0" w:after="0"/>
              <w:ind w:left="0"/>
              <w:jc w:val="right"/>
              <w:rPr>
                <w:sz w:val="12"/>
                <w:szCs w:val="12"/>
              </w:rPr>
            </w:pPr>
            <w:r w:rsidRPr="009C3005">
              <w:rPr>
                <w:noProof/>
                <w:sz w:val="12"/>
                <w:szCs w:val="12"/>
              </w:rPr>
              <w:t>1 210 540,54</w:t>
            </w:r>
          </w:p>
        </w:tc>
        <w:tc>
          <w:tcPr>
            <w:tcW w:w="0" w:type="auto"/>
            <w:shd w:val="clear" w:color="auto" w:fill="auto"/>
          </w:tcPr>
          <w:p w14:paraId="1329115E" w14:textId="77777777" w:rsidR="008C5CFA" w:rsidRPr="009C3005" w:rsidRDefault="00E82A60" w:rsidP="00300A01">
            <w:pPr>
              <w:pStyle w:val="Text1"/>
              <w:spacing w:before="0" w:after="0"/>
              <w:ind w:left="0"/>
              <w:jc w:val="right"/>
              <w:rPr>
                <w:sz w:val="12"/>
                <w:szCs w:val="12"/>
              </w:rPr>
            </w:pPr>
            <w:r w:rsidRPr="009C3005">
              <w:rPr>
                <w:noProof/>
                <w:sz w:val="12"/>
                <w:szCs w:val="12"/>
              </w:rPr>
              <w:t>0,00</w:t>
            </w:r>
          </w:p>
        </w:tc>
        <w:tc>
          <w:tcPr>
            <w:tcW w:w="0" w:type="auto"/>
            <w:shd w:val="clear" w:color="auto" w:fill="auto"/>
          </w:tcPr>
          <w:p w14:paraId="298C1127" w14:textId="77777777" w:rsidR="008C5CFA" w:rsidRPr="009C3005" w:rsidRDefault="00E82A60" w:rsidP="00300A01">
            <w:pPr>
              <w:pStyle w:val="Text1"/>
              <w:spacing w:before="0" w:after="0"/>
              <w:ind w:left="0"/>
              <w:jc w:val="right"/>
              <w:rPr>
                <w:sz w:val="12"/>
                <w:szCs w:val="12"/>
              </w:rPr>
            </w:pPr>
            <w:r w:rsidRPr="009C3005">
              <w:rPr>
                <w:noProof/>
                <w:sz w:val="12"/>
                <w:szCs w:val="12"/>
              </w:rPr>
              <w:t>1</w:t>
            </w:r>
          </w:p>
        </w:tc>
      </w:tr>
      <w:tr w:rsidR="006B2EC1" w14:paraId="13B0BDAF" w14:textId="77777777" w:rsidTr="0047688D">
        <w:tc>
          <w:tcPr>
            <w:tcW w:w="0" w:type="auto"/>
            <w:shd w:val="clear" w:color="auto" w:fill="auto"/>
          </w:tcPr>
          <w:p w14:paraId="688BBDCB" w14:textId="77777777" w:rsidR="008C5CFA" w:rsidRPr="009C3005" w:rsidRDefault="00E82A60" w:rsidP="00300A01">
            <w:pPr>
              <w:pStyle w:val="Text1"/>
              <w:spacing w:before="0" w:after="0"/>
              <w:ind w:left="0"/>
              <w:rPr>
                <w:sz w:val="12"/>
                <w:szCs w:val="12"/>
              </w:rPr>
            </w:pPr>
            <w:r>
              <w:rPr>
                <w:noProof/>
                <w:sz w:val="14"/>
                <w:szCs w:val="14"/>
                <w:lang w:val="fr-BE"/>
              </w:rPr>
              <w:t>3</w:t>
            </w:r>
          </w:p>
        </w:tc>
        <w:tc>
          <w:tcPr>
            <w:tcW w:w="0" w:type="auto"/>
            <w:shd w:val="clear" w:color="auto" w:fill="auto"/>
          </w:tcPr>
          <w:p w14:paraId="53FCF494" w14:textId="77777777" w:rsidR="008C5CFA" w:rsidRPr="009C3005" w:rsidRDefault="00E82A60" w:rsidP="00300A01">
            <w:pPr>
              <w:pStyle w:val="Text1"/>
              <w:spacing w:before="0" w:after="0"/>
              <w:ind w:left="0"/>
              <w:rPr>
                <w:sz w:val="12"/>
                <w:szCs w:val="12"/>
              </w:rPr>
            </w:pPr>
            <w:r>
              <w:rPr>
                <w:noProof/>
                <w:sz w:val="12"/>
                <w:szCs w:val="12"/>
              </w:rPr>
              <w:t>EFRR</w:t>
            </w:r>
          </w:p>
        </w:tc>
        <w:tc>
          <w:tcPr>
            <w:tcW w:w="0" w:type="auto"/>
            <w:shd w:val="clear" w:color="auto" w:fill="auto"/>
          </w:tcPr>
          <w:p w14:paraId="2A3FB7D2" w14:textId="77777777" w:rsidR="008C5CFA" w:rsidRPr="009C3005" w:rsidRDefault="00E82A60" w:rsidP="00300A01">
            <w:pPr>
              <w:pStyle w:val="Text1"/>
              <w:spacing w:before="0" w:after="0"/>
              <w:ind w:left="0"/>
              <w:rPr>
                <w:sz w:val="12"/>
                <w:szCs w:val="12"/>
              </w:rPr>
            </w:pPr>
            <w:r>
              <w:rPr>
                <w:noProof/>
                <w:sz w:val="12"/>
                <w:szCs w:val="12"/>
              </w:rPr>
              <w:t>Słabiej rozwinięte</w:t>
            </w:r>
          </w:p>
        </w:tc>
        <w:tc>
          <w:tcPr>
            <w:tcW w:w="0" w:type="auto"/>
            <w:shd w:val="clear" w:color="auto" w:fill="auto"/>
          </w:tcPr>
          <w:p w14:paraId="697BB5E6" w14:textId="77777777" w:rsidR="008C5CFA" w:rsidRPr="009C3005" w:rsidRDefault="00E82A60" w:rsidP="00300A01">
            <w:pPr>
              <w:pStyle w:val="Text1"/>
              <w:spacing w:before="0" w:after="0"/>
              <w:ind w:left="0"/>
              <w:rPr>
                <w:sz w:val="12"/>
                <w:szCs w:val="12"/>
              </w:rPr>
            </w:pPr>
            <w:r>
              <w:rPr>
                <w:noProof/>
                <w:sz w:val="12"/>
                <w:szCs w:val="12"/>
              </w:rPr>
              <w:t>068</w:t>
            </w:r>
          </w:p>
        </w:tc>
        <w:tc>
          <w:tcPr>
            <w:tcW w:w="0" w:type="auto"/>
            <w:shd w:val="clear" w:color="auto" w:fill="auto"/>
          </w:tcPr>
          <w:p w14:paraId="49FE24C0"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35D4BEAE"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3DA3E663"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53CA4140" w14:textId="77777777" w:rsidR="008C5CFA" w:rsidRPr="009C3005" w:rsidRDefault="00E82A60" w:rsidP="00300A01">
            <w:pPr>
              <w:pStyle w:val="Text1"/>
              <w:spacing w:before="0" w:after="0"/>
              <w:ind w:left="0"/>
              <w:rPr>
                <w:sz w:val="12"/>
                <w:szCs w:val="12"/>
              </w:rPr>
            </w:pPr>
            <w:r>
              <w:rPr>
                <w:noProof/>
                <w:sz w:val="12"/>
                <w:szCs w:val="12"/>
              </w:rPr>
              <w:t>04</w:t>
            </w:r>
          </w:p>
        </w:tc>
        <w:tc>
          <w:tcPr>
            <w:tcW w:w="0" w:type="auto"/>
            <w:shd w:val="clear" w:color="auto" w:fill="auto"/>
          </w:tcPr>
          <w:p w14:paraId="11361390" w14:textId="77777777" w:rsidR="008C5CFA" w:rsidRPr="009C3005" w:rsidRDefault="00E82A60" w:rsidP="00300A01">
            <w:pPr>
              <w:pStyle w:val="Text1"/>
              <w:spacing w:before="0" w:after="0"/>
              <w:ind w:left="0"/>
              <w:rPr>
                <w:sz w:val="12"/>
                <w:szCs w:val="12"/>
              </w:rPr>
            </w:pPr>
            <w:r>
              <w:rPr>
                <w:sz w:val="12"/>
                <w:szCs w:val="12"/>
              </w:rPr>
              <w:t xml:space="preserve"> </w:t>
            </w:r>
          </w:p>
        </w:tc>
        <w:tc>
          <w:tcPr>
            <w:tcW w:w="0" w:type="auto"/>
            <w:shd w:val="clear" w:color="auto" w:fill="auto"/>
          </w:tcPr>
          <w:p w14:paraId="62993096" w14:textId="77777777" w:rsidR="008C5CFA" w:rsidRPr="009C3005" w:rsidRDefault="00E82A60" w:rsidP="00300A01">
            <w:pPr>
              <w:pStyle w:val="Text1"/>
              <w:spacing w:before="0" w:after="0"/>
              <w:ind w:left="0"/>
              <w:rPr>
                <w:sz w:val="12"/>
                <w:szCs w:val="12"/>
              </w:rPr>
            </w:pPr>
            <w:r>
              <w:rPr>
                <w:noProof/>
                <w:sz w:val="12"/>
                <w:szCs w:val="12"/>
              </w:rPr>
              <w:t>05</w:t>
            </w:r>
          </w:p>
        </w:tc>
        <w:tc>
          <w:tcPr>
            <w:tcW w:w="0" w:type="auto"/>
            <w:shd w:val="clear" w:color="auto" w:fill="auto"/>
          </w:tcPr>
          <w:p w14:paraId="29E9C9F4" w14:textId="77777777" w:rsidR="008C5CFA" w:rsidRPr="009C3005" w:rsidRDefault="00E82A60" w:rsidP="00300A01">
            <w:pPr>
              <w:pStyle w:val="Text1"/>
              <w:spacing w:before="0" w:after="0"/>
              <w:ind w:left="0"/>
              <w:rPr>
                <w:sz w:val="12"/>
                <w:szCs w:val="12"/>
              </w:rPr>
            </w:pPr>
            <w:r>
              <w:rPr>
                <w:noProof/>
                <w:sz w:val="12"/>
                <w:szCs w:val="12"/>
              </w:rPr>
              <w:t>PL33</w:t>
            </w:r>
          </w:p>
        </w:tc>
        <w:tc>
          <w:tcPr>
            <w:tcW w:w="0" w:type="auto"/>
            <w:shd w:val="clear" w:color="auto" w:fill="auto"/>
          </w:tcPr>
          <w:p w14:paraId="08F558DB" w14:textId="77777777" w:rsidR="008C5CFA" w:rsidRPr="009C3005" w:rsidRDefault="00E82A60" w:rsidP="00300A01">
            <w:pPr>
              <w:pStyle w:val="Text1"/>
              <w:spacing w:before="0" w:after="0"/>
              <w:ind w:left="0"/>
              <w:jc w:val="right"/>
              <w:rPr>
                <w:sz w:val="12"/>
                <w:szCs w:val="12"/>
              </w:rPr>
            </w:pPr>
            <w:r w:rsidRPr="009C3005">
              <w:rPr>
                <w:noProof/>
                <w:sz w:val="12"/>
                <w:szCs w:val="12"/>
              </w:rPr>
              <w:t>226 574,68</w:t>
            </w:r>
          </w:p>
        </w:tc>
        <w:tc>
          <w:tcPr>
            <w:tcW w:w="0" w:type="auto"/>
            <w:shd w:val="clear" w:color="auto" w:fill="auto"/>
          </w:tcPr>
          <w:p w14:paraId="475E7A69" w14:textId="77777777" w:rsidR="008C5CFA" w:rsidRPr="009C3005" w:rsidRDefault="00E82A60" w:rsidP="00300A01">
            <w:pPr>
              <w:pStyle w:val="Text1"/>
              <w:spacing w:before="0" w:after="0"/>
              <w:ind w:left="0"/>
              <w:jc w:val="right"/>
              <w:rPr>
                <w:sz w:val="12"/>
                <w:szCs w:val="12"/>
              </w:rPr>
            </w:pPr>
            <w:r w:rsidRPr="009C3005">
              <w:rPr>
                <w:noProof/>
                <w:sz w:val="12"/>
                <w:szCs w:val="12"/>
              </w:rPr>
              <w:t>147 273,54</w:t>
            </w:r>
          </w:p>
        </w:tc>
        <w:tc>
          <w:tcPr>
            <w:tcW w:w="0" w:type="auto"/>
            <w:shd w:val="clear" w:color="auto" w:fill="auto"/>
          </w:tcPr>
          <w:p w14:paraId="0E8AF879" w14:textId="77777777" w:rsidR="008C5CFA" w:rsidRPr="009C3005" w:rsidRDefault="00E82A60" w:rsidP="00300A01">
            <w:pPr>
              <w:pStyle w:val="Text1"/>
              <w:spacing w:before="0" w:after="0"/>
              <w:ind w:left="0"/>
              <w:jc w:val="right"/>
              <w:rPr>
                <w:sz w:val="12"/>
                <w:szCs w:val="12"/>
              </w:rPr>
            </w:pPr>
            <w:r w:rsidRPr="009C3005">
              <w:rPr>
                <w:noProof/>
                <w:sz w:val="12"/>
                <w:szCs w:val="12"/>
              </w:rPr>
              <w:t>0,00</w:t>
            </w:r>
          </w:p>
        </w:tc>
        <w:tc>
          <w:tcPr>
            <w:tcW w:w="0" w:type="auto"/>
            <w:shd w:val="clear" w:color="auto" w:fill="auto"/>
          </w:tcPr>
          <w:p w14:paraId="046AE3C5" w14:textId="77777777" w:rsidR="008C5CFA" w:rsidRPr="009C3005" w:rsidRDefault="00E82A60" w:rsidP="00300A01">
            <w:pPr>
              <w:pStyle w:val="Text1"/>
              <w:spacing w:before="0" w:after="0"/>
              <w:ind w:left="0"/>
              <w:jc w:val="right"/>
              <w:rPr>
                <w:sz w:val="12"/>
                <w:szCs w:val="12"/>
              </w:rPr>
            </w:pPr>
            <w:r w:rsidRPr="009C3005">
              <w:rPr>
                <w:noProof/>
                <w:sz w:val="12"/>
                <w:szCs w:val="12"/>
              </w:rPr>
              <w:t>1</w:t>
            </w:r>
          </w:p>
        </w:tc>
      </w:tr>
      <w:tr w:rsidR="006B2EC1" w14:paraId="20628119" w14:textId="77777777" w:rsidTr="0047688D">
        <w:tc>
          <w:tcPr>
            <w:tcW w:w="0" w:type="auto"/>
            <w:shd w:val="clear" w:color="auto" w:fill="auto"/>
          </w:tcPr>
          <w:p w14:paraId="7E699021" w14:textId="77777777" w:rsidR="008C5CFA" w:rsidRPr="009C3005" w:rsidRDefault="00E82A60" w:rsidP="00300A01">
            <w:pPr>
              <w:pStyle w:val="Text1"/>
              <w:spacing w:before="0" w:after="0"/>
              <w:ind w:left="0"/>
              <w:rPr>
                <w:sz w:val="12"/>
                <w:szCs w:val="12"/>
              </w:rPr>
            </w:pPr>
            <w:r>
              <w:rPr>
                <w:noProof/>
                <w:sz w:val="14"/>
                <w:szCs w:val="14"/>
                <w:lang w:val="fr-BE"/>
              </w:rPr>
              <w:t>3</w:t>
            </w:r>
          </w:p>
        </w:tc>
        <w:tc>
          <w:tcPr>
            <w:tcW w:w="0" w:type="auto"/>
            <w:shd w:val="clear" w:color="auto" w:fill="auto"/>
          </w:tcPr>
          <w:p w14:paraId="32CB2C9D" w14:textId="77777777" w:rsidR="008C5CFA" w:rsidRPr="009C3005" w:rsidRDefault="00E82A60" w:rsidP="00300A01">
            <w:pPr>
              <w:pStyle w:val="Text1"/>
              <w:spacing w:before="0" w:after="0"/>
              <w:ind w:left="0"/>
              <w:rPr>
                <w:sz w:val="12"/>
                <w:szCs w:val="12"/>
              </w:rPr>
            </w:pPr>
            <w:r>
              <w:rPr>
                <w:noProof/>
                <w:sz w:val="12"/>
                <w:szCs w:val="12"/>
              </w:rPr>
              <w:t>EFRR</w:t>
            </w:r>
          </w:p>
        </w:tc>
        <w:tc>
          <w:tcPr>
            <w:tcW w:w="0" w:type="auto"/>
            <w:shd w:val="clear" w:color="auto" w:fill="auto"/>
          </w:tcPr>
          <w:p w14:paraId="377B48CB" w14:textId="77777777" w:rsidR="008C5CFA" w:rsidRPr="009C3005" w:rsidRDefault="00E82A60" w:rsidP="00300A01">
            <w:pPr>
              <w:pStyle w:val="Text1"/>
              <w:spacing w:before="0" w:after="0"/>
              <w:ind w:left="0"/>
              <w:rPr>
                <w:sz w:val="12"/>
                <w:szCs w:val="12"/>
              </w:rPr>
            </w:pPr>
            <w:r>
              <w:rPr>
                <w:noProof/>
                <w:sz w:val="12"/>
                <w:szCs w:val="12"/>
              </w:rPr>
              <w:t>Słabiej rozwinięte</w:t>
            </w:r>
          </w:p>
        </w:tc>
        <w:tc>
          <w:tcPr>
            <w:tcW w:w="0" w:type="auto"/>
            <w:shd w:val="clear" w:color="auto" w:fill="auto"/>
          </w:tcPr>
          <w:p w14:paraId="0FA471B6" w14:textId="77777777" w:rsidR="008C5CFA" w:rsidRPr="009C3005" w:rsidRDefault="00E82A60" w:rsidP="00300A01">
            <w:pPr>
              <w:pStyle w:val="Text1"/>
              <w:spacing w:before="0" w:after="0"/>
              <w:ind w:left="0"/>
              <w:rPr>
                <w:sz w:val="12"/>
                <w:szCs w:val="12"/>
              </w:rPr>
            </w:pPr>
            <w:r>
              <w:rPr>
                <w:noProof/>
                <w:sz w:val="12"/>
                <w:szCs w:val="12"/>
              </w:rPr>
              <w:t>068</w:t>
            </w:r>
          </w:p>
        </w:tc>
        <w:tc>
          <w:tcPr>
            <w:tcW w:w="0" w:type="auto"/>
            <w:shd w:val="clear" w:color="auto" w:fill="auto"/>
          </w:tcPr>
          <w:p w14:paraId="32AAFE0D"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64E115A2"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2A07CAAF"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07F76575" w14:textId="77777777" w:rsidR="008C5CFA" w:rsidRPr="009C3005" w:rsidRDefault="00E82A60" w:rsidP="00300A01">
            <w:pPr>
              <w:pStyle w:val="Text1"/>
              <w:spacing w:before="0" w:after="0"/>
              <w:ind w:left="0"/>
              <w:rPr>
                <w:sz w:val="12"/>
                <w:szCs w:val="12"/>
              </w:rPr>
            </w:pPr>
            <w:r>
              <w:rPr>
                <w:noProof/>
                <w:sz w:val="12"/>
                <w:szCs w:val="12"/>
              </w:rPr>
              <w:t>04</w:t>
            </w:r>
          </w:p>
        </w:tc>
        <w:tc>
          <w:tcPr>
            <w:tcW w:w="0" w:type="auto"/>
            <w:shd w:val="clear" w:color="auto" w:fill="auto"/>
          </w:tcPr>
          <w:p w14:paraId="38FBF0BA" w14:textId="77777777" w:rsidR="008C5CFA" w:rsidRPr="009C3005" w:rsidRDefault="00E82A60" w:rsidP="00300A01">
            <w:pPr>
              <w:pStyle w:val="Text1"/>
              <w:spacing w:before="0" w:after="0"/>
              <w:ind w:left="0"/>
              <w:rPr>
                <w:sz w:val="12"/>
                <w:szCs w:val="12"/>
              </w:rPr>
            </w:pPr>
            <w:r>
              <w:rPr>
                <w:sz w:val="12"/>
                <w:szCs w:val="12"/>
              </w:rPr>
              <w:t xml:space="preserve"> </w:t>
            </w:r>
          </w:p>
        </w:tc>
        <w:tc>
          <w:tcPr>
            <w:tcW w:w="0" w:type="auto"/>
            <w:shd w:val="clear" w:color="auto" w:fill="auto"/>
          </w:tcPr>
          <w:p w14:paraId="344EE464"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519C9B7B" w14:textId="77777777" w:rsidR="008C5CFA" w:rsidRPr="009C3005" w:rsidRDefault="00E82A60" w:rsidP="00300A01">
            <w:pPr>
              <w:pStyle w:val="Text1"/>
              <w:spacing w:before="0" w:after="0"/>
              <w:ind w:left="0"/>
              <w:rPr>
                <w:sz w:val="12"/>
                <w:szCs w:val="12"/>
              </w:rPr>
            </w:pPr>
            <w:r>
              <w:rPr>
                <w:noProof/>
                <w:sz w:val="12"/>
                <w:szCs w:val="12"/>
              </w:rPr>
              <w:t>PL33</w:t>
            </w:r>
          </w:p>
        </w:tc>
        <w:tc>
          <w:tcPr>
            <w:tcW w:w="0" w:type="auto"/>
            <w:shd w:val="clear" w:color="auto" w:fill="auto"/>
          </w:tcPr>
          <w:p w14:paraId="00059EA5" w14:textId="77777777" w:rsidR="008C5CFA" w:rsidRPr="009C3005" w:rsidRDefault="00E82A60" w:rsidP="00300A01">
            <w:pPr>
              <w:pStyle w:val="Text1"/>
              <w:spacing w:before="0" w:after="0"/>
              <w:ind w:left="0"/>
              <w:jc w:val="right"/>
              <w:rPr>
                <w:sz w:val="12"/>
                <w:szCs w:val="12"/>
              </w:rPr>
            </w:pPr>
            <w:r w:rsidRPr="009C3005">
              <w:rPr>
                <w:noProof/>
                <w:sz w:val="12"/>
                <w:szCs w:val="12"/>
              </w:rPr>
              <w:t>2 375 839,85</w:t>
            </w:r>
          </w:p>
        </w:tc>
        <w:tc>
          <w:tcPr>
            <w:tcW w:w="0" w:type="auto"/>
            <w:shd w:val="clear" w:color="auto" w:fill="auto"/>
          </w:tcPr>
          <w:p w14:paraId="72A3D510" w14:textId="77777777" w:rsidR="008C5CFA" w:rsidRPr="009C3005" w:rsidRDefault="00E82A60" w:rsidP="00300A01">
            <w:pPr>
              <w:pStyle w:val="Text1"/>
              <w:spacing w:before="0" w:after="0"/>
              <w:ind w:left="0"/>
              <w:jc w:val="right"/>
              <w:rPr>
                <w:sz w:val="12"/>
                <w:szCs w:val="12"/>
              </w:rPr>
            </w:pPr>
            <w:r w:rsidRPr="009C3005">
              <w:rPr>
                <w:noProof/>
                <w:sz w:val="12"/>
                <w:szCs w:val="12"/>
              </w:rPr>
              <w:t>1 409 770,14</w:t>
            </w:r>
          </w:p>
        </w:tc>
        <w:tc>
          <w:tcPr>
            <w:tcW w:w="0" w:type="auto"/>
            <w:shd w:val="clear" w:color="auto" w:fill="auto"/>
          </w:tcPr>
          <w:p w14:paraId="1231BEB4" w14:textId="77777777" w:rsidR="008C5CFA" w:rsidRPr="009C3005" w:rsidRDefault="00E82A60" w:rsidP="00300A01">
            <w:pPr>
              <w:pStyle w:val="Text1"/>
              <w:spacing w:before="0" w:after="0"/>
              <w:ind w:left="0"/>
              <w:jc w:val="right"/>
              <w:rPr>
                <w:sz w:val="12"/>
                <w:szCs w:val="12"/>
              </w:rPr>
            </w:pPr>
            <w:r w:rsidRPr="009C3005">
              <w:rPr>
                <w:noProof/>
                <w:sz w:val="12"/>
                <w:szCs w:val="12"/>
              </w:rPr>
              <w:t>678 958,86</w:t>
            </w:r>
          </w:p>
        </w:tc>
        <w:tc>
          <w:tcPr>
            <w:tcW w:w="0" w:type="auto"/>
            <w:shd w:val="clear" w:color="auto" w:fill="auto"/>
          </w:tcPr>
          <w:p w14:paraId="196DB26B" w14:textId="77777777" w:rsidR="008C5CFA" w:rsidRPr="009C3005" w:rsidRDefault="00E82A60" w:rsidP="00300A01">
            <w:pPr>
              <w:pStyle w:val="Text1"/>
              <w:spacing w:before="0" w:after="0"/>
              <w:ind w:left="0"/>
              <w:jc w:val="right"/>
              <w:rPr>
                <w:sz w:val="12"/>
                <w:szCs w:val="12"/>
              </w:rPr>
            </w:pPr>
            <w:r w:rsidRPr="009C3005">
              <w:rPr>
                <w:noProof/>
                <w:sz w:val="12"/>
                <w:szCs w:val="12"/>
              </w:rPr>
              <w:t>11</w:t>
            </w:r>
          </w:p>
        </w:tc>
      </w:tr>
      <w:tr w:rsidR="006B2EC1" w14:paraId="151A4628" w14:textId="77777777" w:rsidTr="0047688D">
        <w:tc>
          <w:tcPr>
            <w:tcW w:w="0" w:type="auto"/>
            <w:shd w:val="clear" w:color="auto" w:fill="auto"/>
          </w:tcPr>
          <w:p w14:paraId="7DFF67D5" w14:textId="77777777" w:rsidR="008C5CFA" w:rsidRPr="009C3005" w:rsidRDefault="00E82A60" w:rsidP="00300A01">
            <w:pPr>
              <w:pStyle w:val="Text1"/>
              <w:spacing w:before="0" w:after="0"/>
              <w:ind w:left="0"/>
              <w:rPr>
                <w:sz w:val="12"/>
                <w:szCs w:val="12"/>
              </w:rPr>
            </w:pPr>
            <w:r>
              <w:rPr>
                <w:noProof/>
                <w:sz w:val="14"/>
                <w:szCs w:val="14"/>
                <w:lang w:val="fr-BE"/>
              </w:rPr>
              <w:t>3</w:t>
            </w:r>
          </w:p>
        </w:tc>
        <w:tc>
          <w:tcPr>
            <w:tcW w:w="0" w:type="auto"/>
            <w:shd w:val="clear" w:color="auto" w:fill="auto"/>
          </w:tcPr>
          <w:p w14:paraId="4A3F48B8" w14:textId="77777777" w:rsidR="008C5CFA" w:rsidRPr="009C3005" w:rsidRDefault="00E82A60" w:rsidP="00300A01">
            <w:pPr>
              <w:pStyle w:val="Text1"/>
              <w:spacing w:before="0" w:after="0"/>
              <w:ind w:left="0"/>
              <w:rPr>
                <w:sz w:val="12"/>
                <w:szCs w:val="12"/>
              </w:rPr>
            </w:pPr>
            <w:r>
              <w:rPr>
                <w:noProof/>
                <w:sz w:val="12"/>
                <w:szCs w:val="12"/>
              </w:rPr>
              <w:t>EFRR</w:t>
            </w:r>
          </w:p>
        </w:tc>
        <w:tc>
          <w:tcPr>
            <w:tcW w:w="0" w:type="auto"/>
            <w:shd w:val="clear" w:color="auto" w:fill="auto"/>
          </w:tcPr>
          <w:p w14:paraId="78D59BDF" w14:textId="77777777" w:rsidR="008C5CFA" w:rsidRPr="009C3005" w:rsidRDefault="00E82A60" w:rsidP="00300A01">
            <w:pPr>
              <w:pStyle w:val="Text1"/>
              <w:spacing w:before="0" w:after="0"/>
              <w:ind w:left="0"/>
              <w:rPr>
                <w:sz w:val="12"/>
                <w:szCs w:val="12"/>
              </w:rPr>
            </w:pPr>
            <w:r>
              <w:rPr>
                <w:noProof/>
                <w:sz w:val="12"/>
                <w:szCs w:val="12"/>
              </w:rPr>
              <w:t>Słabiej rozwinięte</w:t>
            </w:r>
          </w:p>
        </w:tc>
        <w:tc>
          <w:tcPr>
            <w:tcW w:w="0" w:type="auto"/>
            <w:shd w:val="clear" w:color="auto" w:fill="auto"/>
          </w:tcPr>
          <w:p w14:paraId="35C9C2D5" w14:textId="77777777" w:rsidR="008C5CFA" w:rsidRPr="009C3005" w:rsidRDefault="00E82A60" w:rsidP="00300A01">
            <w:pPr>
              <w:pStyle w:val="Text1"/>
              <w:spacing w:before="0" w:after="0"/>
              <w:ind w:left="0"/>
              <w:rPr>
                <w:sz w:val="12"/>
                <w:szCs w:val="12"/>
              </w:rPr>
            </w:pPr>
            <w:r>
              <w:rPr>
                <w:noProof/>
                <w:sz w:val="12"/>
                <w:szCs w:val="12"/>
              </w:rPr>
              <w:t>068</w:t>
            </w:r>
          </w:p>
        </w:tc>
        <w:tc>
          <w:tcPr>
            <w:tcW w:w="0" w:type="auto"/>
            <w:shd w:val="clear" w:color="auto" w:fill="auto"/>
          </w:tcPr>
          <w:p w14:paraId="184432EF"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0B62AE3B"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63C2B1C6"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3F2AD671" w14:textId="77777777" w:rsidR="008C5CFA" w:rsidRPr="009C3005" w:rsidRDefault="00E82A60" w:rsidP="00300A01">
            <w:pPr>
              <w:pStyle w:val="Text1"/>
              <w:spacing w:before="0" w:after="0"/>
              <w:ind w:left="0"/>
              <w:rPr>
                <w:sz w:val="12"/>
                <w:szCs w:val="12"/>
              </w:rPr>
            </w:pPr>
            <w:r>
              <w:rPr>
                <w:noProof/>
                <w:sz w:val="12"/>
                <w:szCs w:val="12"/>
              </w:rPr>
              <w:t>04</w:t>
            </w:r>
          </w:p>
        </w:tc>
        <w:tc>
          <w:tcPr>
            <w:tcW w:w="0" w:type="auto"/>
            <w:shd w:val="clear" w:color="auto" w:fill="auto"/>
          </w:tcPr>
          <w:p w14:paraId="69717AE6" w14:textId="77777777" w:rsidR="008C5CFA" w:rsidRPr="009C3005" w:rsidRDefault="00E82A60" w:rsidP="00300A01">
            <w:pPr>
              <w:pStyle w:val="Text1"/>
              <w:spacing w:before="0" w:after="0"/>
              <w:ind w:left="0"/>
              <w:rPr>
                <w:sz w:val="12"/>
                <w:szCs w:val="12"/>
              </w:rPr>
            </w:pPr>
            <w:r>
              <w:rPr>
                <w:sz w:val="12"/>
                <w:szCs w:val="12"/>
              </w:rPr>
              <w:t xml:space="preserve"> </w:t>
            </w:r>
          </w:p>
        </w:tc>
        <w:tc>
          <w:tcPr>
            <w:tcW w:w="0" w:type="auto"/>
            <w:shd w:val="clear" w:color="auto" w:fill="auto"/>
          </w:tcPr>
          <w:p w14:paraId="4184BF31" w14:textId="77777777" w:rsidR="008C5CFA" w:rsidRPr="009C3005" w:rsidRDefault="00E82A60" w:rsidP="00300A01">
            <w:pPr>
              <w:pStyle w:val="Text1"/>
              <w:spacing w:before="0" w:after="0"/>
              <w:ind w:left="0"/>
              <w:rPr>
                <w:sz w:val="12"/>
                <w:szCs w:val="12"/>
              </w:rPr>
            </w:pPr>
            <w:r>
              <w:rPr>
                <w:noProof/>
                <w:sz w:val="12"/>
                <w:szCs w:val="12"/>
              </w:rPr>
              <w:t>08</w:t>
            </w:r>
          </w:p>
        </w:tc>
        <w:tc>
          <w:tcPr>
            <w:tcW w:w="0" w:type="auto"/>
            <w:shd w:val="clear" w:color="auto" w:fill="auto"/>
          </w:tcPr>
          <w:p w14:paraId="1CA79B63" w14:textId="77777777" w:rsidR="008C5CFA" w:rsidRPr="009C3005" w:rsidRDefault="00E82A60" w:rsidP="00300A01">
            <w:pPr>
              <w:pStyle w:val="Text1"/>
              <w:spacing w:before="0" w:after="0"/>
              <w:ind w:left="0"/>
              <w:rPr>
                <w:sz w:val="12"/>
                <w:szCs w:val="12"/>
              </w:rPr>
            </w:pPr>
            <w:r>
              <w:rPr>
                <w:noProof/>
                <w:sz w:val="12"/>
                <w:szCs w:val="12"/>
              </w:rPr>
              <w:t>PL33</w:t>
            </w:r>
          </w:p>
        </w:tc>
        <w:tc>
          <w:tcPr>
            <w:tcW w:w="0" w:type="auto"/>
            <w:shd w:val="clear" w:color="auto" w:fill="auto"/>
          </w:tcPr>
          <w:p w14:paraId="6500DD9C" w14:textId="77777777" w:rsidR="008C5CFA" w:rsidRPr="009C3005" w:rsidRDefault="00E82A60" w:rsidP="00300A01">
            <w:pPr>
              <w:pStyle w:val="Text1"/>
              <w:spacing w:before="0" w:after="0"/>
              <w:ind w:left="0"/>
              <w:jc w:val="right"/>
              <w:rPr>
                <w:sz w:val="12"/>
                <w:szCs w:val="12"/>
              </w:rPr>
            </w:pPr>
            <w:r w:rsidRPr="009C3005">
              <w:rPr>
                <w:noProof/>
                <w:sz w:val="12"/>
                <w:szCs w:val="12"/>
              </w:rPr>
              <w:t>1 814 829,33</w:t>
            </w:r>
          </w:p>
        </w:tc>
        <w:tc>
          <w:tcPr>
            <w:tcW w:w="0" w:type="auto"/>
            <w:shd w:val="clear" w:color="auto" w:fill="auto"/>
          </w:tcPr>
          <w:p w14:paraId="6D428FCC" w14:textId="77777777" w:rsidR="008C5CFA" w:rsidRPr="009C3005" w:rsidRDefault="00E82A60" w:rsidP="00300A01">
            <w:pPr>
              <w:pStyle w:val="Text1"/>
              <w:spacing w:before="0" w:after="0"/>
              <w:ind w:left="0"/>
              <w:jc w:val="right"/>
              <w:rPr>
                <w:sz w:val="12"/>
                <w:szCs w:val="12"/>
              </w:rPr>
            </w:pPr>
            <w:r w:rsidRPr="009C3005">
              <w:rPr>
                <w:noProof/>
                <w:sz w:val="12"/>
                <w:szCs w:val="12"/>
              </w:rPr>
              <w:t>1 006 862,56</w:t>
            </w:r>
          </w:p>
        </w:tc>
        <w:tc>
          <w:tcPr>
            <w:tcW w:w="0" w:type="auto"/>
            <w:shd w:val="clear" w:color="auto" w:fill="auto"/>
          </w:tcPr>
          <w:p w14:paraId="2D93750E" w14:textId="77777777" w:rsidR="008C5CFA" w:rsidRPr="009C3005" w:rsidRDefault="00E82A60" w:rsidP="00300A01">
            <w:pPr>
              <w:pStyle w:val="Text1"/>
              <w:spacing w:before="0" w:after="0"/>
              <w:ind w:left="0"/>
              <w:jc w:val="right"/>
              <w:rPr>
                <w:sz w:val="12"/>
                <w:szCs w:val="12"/>
              </w:rPr>
            </w:pPr>
            <w:r w:rsidRPr="009C3005">
              <w:rPr>
                <w:noProof/>
                <w:sz w:val="12"/>
                <w:szCs w:val="12"/>
              </w:rPr>
              <w:t>877 928,01</w:t>
            </w:r>
          </w:p>
        </w:tc>
        <w:tc>
          <w:tcPr>
            <w:tcW w:w="0" w:type="auto"/>
            <w:shd w:val="clear" w:color="auto" w:fill="auto"/>
          </w:tcPr>
          <w:p w14:paraId="0CFE5BF4" w14:textId="77777777" w:rsidR="008C5CFA" w:rsidRPr="009C3005" w:rsidRDefault="00E82A60" w:rsidP="00300A01">
            <w:pPr>
              <w:pStyle w:val="Text1"/>
              <w:spacing w:before="0" w:after="0"/>
              <w:ind w:left="0"/>
              <w:jc w:val="right"/>
              <w:rPr>
                <w:sz w:val="12"/>
                <w:szCs w:val="12"/>
              </w:rPr>
            </w:pPr>
            <w:r w:rsidRPr="009C3005">
              <w:rPr>
                <w:noProof/>
                <w:sz w:val="12"/>
                <w:szCs w:val="12"/>
              </w:rPr>
              <w:t>4</w:t>
            </w:r>
          </w:p>
        </w:tc>
      </w:tr>
      <w:tr w:rsidR="006B2EC1" w14:paraId="72BC0207" w14:textId="77777777" w:rsidTr="0047688D">
        <w:tc>
          <w:tcPr>
            <w:tcW w:w="0" w:type="auto"/>
            <w:shd w:val="clear" w:color="auto" w:fill="auto"/>
          </w:tcPr>
          <w:p w14:paraId="2C022DF2" w14:textId="77777777" w:rsidR="008C5CFA" w:rsidRPr="009C3005" w:rsidRDefault="00E82A60" w:rsidP="00300A01">
            <w:pPr>
              <w:pStyle w:val="Text1"/>
              <w:spacing w:before="0" w:after="0"/>
              <w:ind w:left="0"/>
              <w:rPr>
                <w:sz w:val="12"/>
                <w:szCs w:val="12"/>
              </w:rPr>
            </w:pPr>
            <w:r>
              <w:rPr>
                <w:noProof/>
                <w:sz w:val="14"/>
                <w:szCs w:val="14"/>
                <w:lang w:val="fr-BE"/>
              </w:rPr>
              <w:t>3</w:t>
            </w:r>
          </w:p>
        </w:tc>
        <w:tc>
          <w:tcPr>
            <w:tcW w:w="0" w:type="auto"/>
            <w:shd w:val="clear" w:color="auto" w:fill="auto"/>
          </w:tcPr>
          <w:p w14:paraId="6AA96657" w14:textId="77777777" w:rsidR="008C5CFA" w:rsidRPr="009C3005" w:rsidRDefault="00E82A60" w:rsidP="00300A01">
            <w:pPr>
              <w:pStyle w:val="Text1"/>
              <w:spacing w:before="0" w:after="0"/>
              <w:ind w:left="0"/>
              <w:rPr>
                <w:sz w:val="12"/>
                <w:szCs w:val="12"/>
              </w:rPr>
            </w:pPr>
            <w:r>
              <w:rPr>
                <w:noProof/>
                <w:sz w:val="12"/>
                <w:szCs w:val="12"/>
              </w:rPr>
              <w:t>EFRR</w:t>
            </w:r>
          </w:p>
        </w:tc>
        <w:tc>
          <w:tcPr>
            <w:tcW w:w="0" w:type="auto"/>
            <w:shd w:val="clear" w:color="auto" w:fill="auto"/>
          </w:tcPr>
          <w:p w14:paraId="7FC8181B" w14:textId="77777777" w:rsidR="008C5CFA" w:rsidRPr="009C3005" w:rsidRDefault="00E82A60" w:rsidP="00300A01">
            <w:pPr>
              <w:pStyle w:val="Text1"/>
              <w:spacing w:before="0" w:after="0"/>
              <w:ind w:left="0"/>
              <w:rPr>
                <w:sz w:val="12"/>
                <w:szCs w:val="12"/>
              </w:rPr>
            </w:pPr>
            <w:r>
              <w:rPr>
                <w:noProof/>
                <w:sz w:val="12"/>
                <w:szCs w:val="12"/>
              </w:rPr>
              <w:t>Słabiej rozwinięte</w:t>
            </w:r>
          </w:p>
        </w:tc>
        <w:tc>
          <w:tcPr>
            <w:tcW w:w="0" w:type="auto"/>
            <w:shd w:val="clear" w:color="auto" w:fill="auto"/>
          </w:tcPr>
          <w:p w14:paraId="3A51B15B" w14:textId="77777777" w:rsidR="008C5CFA" w:rsidRPr="009C3005" w:rsidRDefault="00E82A60" w:rsidP="00300A01">
            <w:pPr>
              <w:pStyle w:val="Text1"/>
              <w:spacing w:before="0" w:after="0"/>
              <w:ind w:left="0"/>
              <w:rPr>
                <w:sz w:val="12"/>
                <w:szCs w:val="12"/>
              </w:rPr>
            </w:pPr>
            <w:r>
              <w:rPr>
                <w:noProof/>
                <w:sz w:val="12"/>
                <w:szCs w:val="12"/>
              </w:rPr>
              <w:t>068</w:t>
            </w:r>
          </w:p>
        </w:tc>
        <w:tc>
          <w:tcPr>
            <w:tcW w:w="0" w:type="auto"/>
            <w:shd w:val="clear" w:color="auto" w:fill="auto"/>
          </w:tcPr>
          <w:p w14:paraId="6B0DB91D"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08836B33"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34B4391A"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00FF6F6B" w14:textId="77777777" w:rsidR="008C5CFA" w:rsidRPr="009C3005" w:rsidRDefault="00E82A60" w:rsidP="00300A01">
            <w:pPr>
              <w:pStyle w:val="Text1"/>
              <w:spacing w:before="0" w:after="0"/>
              <w:ind w:left="0"/>
              <w:rPr>
                <w:sz w:val="12"/>
                <w:szCs w:val="12"/>
              </w:rPr>
            </w:pPr>
            <w:r>
              <w:rPr>
                <w:noProof/>
                <w:sz w:val="12"/>
                <w:szCs w:val="12"/>
              </w:rPr>
              <w:t>04</w:t>
            </w:r>
          </w:p>
        </w:tc>
        <w:tc>
          <w:tcPr>
            <w:tcW w:w="0" w:type="auto"/>
            <w:shd w:val="clear" w:color="auto" w:fill="auto"/>
          </w:tcPr>
          <w:p w14:paraId="62620E99" w14:textId="77777777" w:rsidR="008C5CFA" w:rsidRPr="009C3005" w:rsidRDefault="00E82A60" w:rsidP="00300A01">
            <w:pPr>
              <w:pStyle w:val="Text1"/>
              <w:spacing w:before="0" w:after="0"/>
              <w:ind w:left="0"/>
              <w:rPr>
                <w:sz w:val="12"/>
                <w:szCs w:val="12"/>
              </w:rPr>
            </w:pPr>
            <w:r>
              <w:rPr>
                <w:sz w:val="12"/>
                <w:szCs w:val="12"/>
              </w:rPr>
              <w:t xml:space="preserve"> </w:t>
            </w:r>
          </w:p>
        </w:tc>
        <w:tc>
          <w:tcPr>
            <w:tcW w:w="0" w:type="auto"/>
            <w:shd w:val="clear" w:color="auto" w:fill="auto"/>
          </w:tcPr>
          <w:p w14:paraId="66D6DC4C" w14:textId="77777777" w:rsidR="008C5CFA" w:rsidRPr="009C3005" w:rsidRDefault="00E82A60" w:rsidP="00300A01">
            <w:pPr>
              <w:pStyle w:val="Text1"/>
              <w:spacing w:before="0" w:after="0"/>
              <w:ind w:left="0"/>
              <w:rPr>
                <w:sz w:val="12"/>
                <w:szCs w:val="12"/>
              </w:rPr>
            </w:pPr>
            <w:r>
              <w:rPr>
                <w:noProof/>
                <w:sz w:val="12"/>
                <w:szCs w:val="12"/>
              </w:rPr>
              <w:t>14</w:t>
            </w:r>
          </w:p>
        </w:tc>
        <w:tc>
          <w:tcPr>
            <w:tcW w:w="0" w:type="auto"/>
            <w:shd w:val="clear" w:color="auto" w:fill="auto"/>
          </w:tcPr>
          <w:p w14:paraId="5BCE374F" w14:textId="77777777" w:rsidR="008C5CFA" w:rsidRPr="009C3005" w:rsidRDefault="00E82A60" w:rsidP="00300A01">
            <w:pPr>
              <w:pStyle w:val="Text1"/>
              <w:spacing w:before="0" w:after="0"/>
              <w:ind w:left="0"/>
              <w:rPr>
                <w:sz w:val="12"/>
                <w:szCs w:val="12"/>
              </w:rPr>
            </w:pPr>
            <w:r>
              <w:rPr>
                <w:noProof/>
                <w:sz w:val="12"/>
                <w:szCs w:val="12"/>
              </w:rPr>
              <w:t>PL33</w:t>
            </w:r>
          </w:p>
        </w:tc>
        <w:tc>
          <w:tcPr>
            <w:tcW w:w="0" w:type="auto"/>
            <w:shd w:val="clear" w:color="auto" w:fill="auto"/>
          </w:tcPr>
          <w:p w14:paraId="112CBA87" w14:textId="77777777" w:rsidR="008C5CFA" w:rsidRPr="009C3005" w:rsidRDefault="00E82A60" w:rsidP="00300A01">
            <w:pPr>
              <w:pStyle w:val="Text1"/>
              <w:spacing w:before="0" w:after="0"/>
              <w:ind w:left="0"/>
              <w:jc w:val="right"/>
              <w:rPr>
                <w:sz w:val="12"/>
                <w:szCs w:val="12"/>
              </w:rPr>
            </w:pPr>
            <w:r w:rsidRPr="009C3005">
              <w:rPr>
                <w:noProof/>
                <w:sz w:val="12"/>
                <w:szCs w:val="12"/>
              </w:rPr>
              <w:t>1 824 307,83</w:t>
            </w:r>
          </w:p>
        </w:tc>
        <w:tc>
          <w:tcPr>
            <w:tcW w:w="0" w:type="auto"/>
            <w:shd w:val="clear" w:color="auto" w:fill="auto"/>
          </w:tcPr>
          <w:p w14:paraId="7BFC84F0" w14:textId="77777777" w:rsidR="008C5CFA" w:rsidRPr="009C3005" w:rsidRDefault="00E82A60" w:rsidP="00300A01">
            <w:pPr>
              <w:pStyle w:val="Text1"/>
              <w:spacing w:before="0" w:after="0"/>
              <w:ind w:left="0"/>
              <w:jc w:val="right"/>
              <w:rPr>
                <w:sz w:val="12"/>
                <w:szCs w:val="12"/>
              </w:rPr>
            </w:pPr>
            <w:r w:rsidRPr="009C3005">
              <w:rPr>
                <w:noProof/>
                <w:sz w:val="12"/>
                <w:szCs w:val="12"/>
              </w:rPr>
              <w:t>1 166 531,12</w:t>
            </w:r>
          </w:p>
        </w:tc>
        <w:tc>
          <w:tcPr>
            <w:tcW w:w="0" w:type="auto"/>
            <w:shd w:val="clear" w:color="auto" w:fill="auto"/>
          </w:tcPr>
          <w:p w14:paraId="2184D85C" w14:textId="77777777" w:rsidR="008C5CFA" w:rsidRPr="009C3005" w:rsidRDefault="00E82A60" w:rsidP="00300A01">
            <w:pPr>
              <w:pStyle w:val="Text1"/>
              <w:spacing w:before="0" w:after="0"/>
              <w:ind w:left="0"/>
              <w:jc w:val="right"/>
              <w:rPr>
                <w:sz w:val="12"/>
                <w:szCs w:val="12"/>
              </w:rPr>
            </w:pPr>
            <w:r w:rsidRPr="009C3005">
              <w:rPr>
                <w:noProof/>
                <w:sz w:val="12"/>
                <w:szCs w:val="12"/>
              </w:rPr>
              <w:t>0,00</w:t>
            </w:r>
          </w:p>
        </w:tc>
        <w:tc>
          <w:tcPr>
            <w:tcW w:w="0" w:type="auto"/>
            <w:shd w:val="clear" w:color="auto" w:fill="auto"/>
          </w:tcPr>
          <w:p w14:paraId="006D0DEE" w14:textId="77777777" w:rsidR="008C5CFA" w:rsidRPr="009C3005" w:rsidRDefault="00E82A60" w:rsidP="00300A01">
            <w:pPr>
              <w:pStyle w:val="Text1"/>
              <w:spacing w:before="0" w:after="0"/>
              <w:ind w:left="0"/>
              <w:jc w:val="right"/>
              <w:rPr>
                <w:sz w:val="12"/>
                <w:szCs w:val="12"/>
              </w:rPr>
            </w:pPr>
            <w:r w:rsidRPr="009C3005">
              <w:rPr>
                <w:noProof/>
                <w:sz w:val="12"/>
                <w:szCs w:val="12"/>
              </w:rPr>
              <w:t>7</w:t>
            </w:r>
          </w:p>
        </w:tc>
      </w:tr>
      <w:tr w:rsidR="006B2EC1" w14:paraId="5BD6F6BB" w14:textId="77777777" w:rsidTr="0047688D">
        <w:tc>
          <w:tcPr>
            <w:tcW w:w="0" w:type="auto"/>
            <w:shd w:val="clear" w:color="auto" w:fill="auto"/>
          </w:tcPr>
          <w:p w14:paraId="31A6CAF2" w14:textId="77777777" w:rsidR="008C5CFA" w:rsidRPr="009C3005" w:rsidRDefault="00E82A60" w:rsidP="00300A01">
            <w:pPr>
              <w:pStyle w:val="Text1"/>
              <w:spacing w:before="0" w:after="0"/>
              <w:ind w:left="0"/>
              <w:rPr>
                <w:sz w:val="12"/>
                <w:szCs w:val="12"/>
              </w:rPr>
            </w:pPr>
            <w:r>
              <w:rPr>
                <w:noProof/>
                <w:sz w:val="14"/>
                <w:szCs w:val="14"/>
                <w:lang w:val="fr-BE"/>
              </w:rPr>
              <w:t>3</w:t>
            </w:r>
          </w:p>
        </w:tc>
        <w:tc>
          <w:tcPr>
            <w:tcW w:w="0" w:type="auto"/>
            <w:shd w:val="clear" w:color="auto" w:fill="auto"/>
          </w:tcPr>
          <w:p w14:paraId="66C4636E" w14:textId="77777777" w:rsidR="008C5CFA" w:rsidRPr="009C3005" w:rsidRDefault="00E82A60" w:rsidP="00300A01">
            <w:pPr>
              <w:pStyle w:val="Text1"/>
              <w:spacing w:before="0" w:after="0"/>
              <w:ind w:left="0"/>
              <w:rPr>
                <w:sz w:val="12"/>
                <w:szCs w:val="12"/>
              </w:rPr>
            </w:pPr>
            <w:r>
              <w:rPr>
                <w:noProof/>
                <w:sz w:val="12"/>
                <w:szCs w:val="12"/>
              </w:rPr>
              <w:t>EFRR</w:t>
            </w:r>
          </w:p>
        </w:tc>
        <w:tc>
          <w:tcPr>
            <w:tcW w:w="0" w:type="auto"/>
            <w:shd w:val="clear" w:color="auto" w:fill="auto"/>
          </w:tcPr>
          <w:p w14:paraId="172751AC" w14:textId="77777777" w:rsidR="008C5CFA" w:rsidRPr="009C3005" w:rsidRDefault="00E82A60" w:rsidP="00300A01">
            <w:pPr>
              <w:pStyle w:val="Text1"/>
              <w:spacing w:before="0" w:after="0"/>
              <w:ind w:left="0"/>
              <w:rPr>
                <w:sz w:val="12"/>
                <w:szCs w:val="12"/>
              </w:rPr>
            </w:pPr>
            <w:r>
              <w:rPr>
                <w:noProof/>
                <w:sz w:val="12"/>
                <w:szCs w:val="12"/>
              </w:rPr>
              <w:t>Słabiej rozwinięte</w:t>
            </w:r>
          </w:p>
        </w:tc>
        <w:tc>
          <w:tcPr>
            <w:tcW w:w="0" w:type="auto"/>
            <w:shd w:val="clear" w:color="auto" w:fill="auto"/>
          </w:tcPr>
          <w:p w14:paraId="5A74FDBD" w14:textId="77777777" w:rsidR="008C5CFA" w:rsidRPr="009C3005" w:rsidRDefault="00E82A60" w:rsidP="00300A01">
            <w:pPr>
              <w:pStyle w:val="Text1"/>
              <w:spacing w:before="0" w:after="0"/>
              <w:ind w:left="0"/>
              <w:rPr>
                <w:sz w:val="12"/>
                <w:szCs w:val="12"/>
              </w:rPr>
            </w:pPr>
            <w:r>
              <w:rPr>
                <w:noProof/>
                <w:sz w:val="12"/>
                <w:szCs w:val="12"/>
              </w:rPr>
              <w:t>068</w:t>
            </w:r>
          </w:p>
        </w:tc>
        <w:tc>
          <w:tcPr>
            <w:tcW w:w="0" w:type="auto"/>
            <w:shd w:val="clear" w:color="auto" w:fill="auto"/>
          </w:tcPr>
          <w:p w14:paraId="553715B9"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3D4940C9"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3E472C0C"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4B7197B5" w14:textId="77777777" w:rsidR="008C5CFA" w:rsidRPr="009C3005" w:rsidRDefault="00E82A60" w:rsidP="00300A01">
            <w:pPr>
              <w:pStyle w:val="Text1"/>
              <w:spacing w:before="0" w:after="0"/>
              <w:ind w:left="0"/>
              <w:rPr>
                <w:sz w:val="12"/>
                <w:szCs w:val="12"/>
              </w:rPr>
            </w:pPr>
            <w:r>
              <w:rPr>
                <w:noProof/>
                <w:sz w:val="12"/>
                <w:szCs w:val="12"/>
              </w:rPr>
              <w:t>04</w:t>
            </w:r>
          </w:p>
        </w:tc>
        <w:tc>
          <w:tcPr>
            <w:tcW w:w="0" w:type="auto"/>
            <w:shd w:val="clear" w:color="auto" w:fill="auto"/>
          </w:tcPr>
          <w:p w14:paraId="5FD5E24E" w14:textId="77777777" w:rsidR="008C5CFA" w:rsidRPr="009C3005" w:rsidRDefault="00E82A60" w:rsidP="00300A01">
            <w:pPr>
              <w:pStyle w:val="Text1"/>
              <w:spacing w:before="0" w:after="0"/>
              <w:ind w:left="0"/>
              <w:rPr>
                <w:sz w:val="12"/>
                <w:szCs w:val="12"/>
              </w:rPr>
            </w:pPr>
            <w:r>
              <w:rPr>
                <w:sz w:val="12"/>
                <w:szCs w:val="12"/>
              </w:rPr>
              <w:t xml:space="preserve"> </w:t>
            </w:r>
          </w:p>
        </w:tc>
        <w:tc>
          <w:tcPr>
            <w:tcW w:w="0" w:type="auto"/>
            <w:shd w:val="clear" w:color="auto" w:fill="auto"/>
          </w:tcPr>
          <w:p w14:paraId="2B57A53A" w14:textId="77777777" w:rsidR="008C5CFA" w:rsidRPr="009C3005" w:rsidRDefault="00E82A60" w:rsidP="00300A01">
            <w:pPr>
              <w:pStyle w:val="Text1"/>
              <w:spacing w:before="0" w:after="0"/>
              <w:ind w:left="0"/>
              <w:rPr>
                <w:sz w:val="12"/>
                <w:szCs w:val="12"/>
              </w:rPr>
            </w:pPr>
            <w:r>
              <w:rPr>
                <w:noProof/>
                <w:sz w:val="12"/>
                <w:szCs w:val="12"/>
              </w:rPr>
              <w:t>15</w:t>
            </w:r>
          </w:p>
        </w:tc>
        <w:tc>
          <w:tcPr>
            <w:tcW w:w="0" w:type="auto"/>
            <w:shd w:val="clear" w:color="auto" w:fill="auto"/>
          </w:tcPr>
          <w:p w14:paraId="5C6A6235" w14:textId="77777777" w:rsidR="008C5CFA" w:rsidRPr="009C3005" w:rsidRDefault="00E82A60" w:rsidP="00300A01">
            <w:pPr>
              <w:pStyle w:val="Text1"/>
              <w:spacing w:before="0" w:after="0"/>
              <w:ind w:left="0"/>
              <w:rPr>
                <w:sz w:val="12"/>
                <w:szCs w:val="12"/>
              </w:rPr>
            </w:pPr>
            <w:r>
              <w:rPr>
                <w:noProof/>
                <w:sz w:val="12"/>
                <w:szCs w:val="12"/>
              </w:rPr>
              <w:t>PL33</w:t>
            </w:r>
          </w:p>
        </w:tc>
        <w:tc>
          <w:tcPr>
            <w:tcW w:w="0" w:type="auto"/>
            <w:shd w:val="clear" w:color="auto" w:fill="auto"/>
          </w:tcPr>
          <w:p w14:paraId="784677AC" w14:textId="77777777" w:rsidR="008C5CFA" w:rsidRPr="009C3005" w:rsidRDefault="00E82A60" w:rsidP="00300A01">
            <w:pPr>
              <w:pStyle w:val="Text1"/>
              <w:spacing w:before="0" w:after="0"/>
              <w:ind w:left="0"/>
              <w:jc w:val="right"/>
              <w:rPr>
                <w:sz w:val="12"/>
                <w:szCs w:val="12"/>
              </w:rPr>
            </w:pPr>
            <w:r w:rsidRPr="009C3005">
              <w:rPr>
                <w:noProof/>
                <w:sz w:val="12"/>
                <w:szCs w:val="12"/>
              </w:rPr>
              <w:t>486 466,22</w:t>
            </w:r>
          </w:p>
        </w:tc>
        <w:tc>
          <w:tcPr>
            <w:tcW w:w="0" w:type="auto"/>
            <w:shd w:val="clear" w:color="auto" w:fill="auto"/>
          </w:tcPr>
          <w:p w14:paraId="4269FB51" w14:textId="77777777" w:rsidR="008C5CFA" w:rsidRPr="009C3005" w:rsidRDefault="00E82A60" w:rsidP="00300A01">
            <w:pPr>
              <w:pStyle w:val="Text1"/>
              <w:spacing w:before="0" w:after="0"/>
              <w:ind w:left="0"/>
              <w:jc w:val="right"/>
              <w:rPr>
                <w:sz w:val="12"/>
                <w:szCs w:val="12"/>
              </w:rPr>
            </w:pPr>
            <w:r w:rsidRPr="009C3005">
              <w:rPr>
                <w:noProof/>
                <w:sz w:val="12"/>
                <w:szCs w:val="12"/>
              </w:rPr>
              <w:t>316 203,04</w:t>
            </w:r>
          </w:p>
        </w:tc>
        <w:tc>
          <w:tcPr>
            <w:tcW w:w="0" w:type="auto"/>
            <w:shd w:val="clear" w:color="auto" w:fill="auto"/>
          </w:tcPr>
          <w:p w14:paraId="76DB39C0" w14:textId="77777777" w:rsidR="008C5CFA" w:rsidRPr="009C3005" w:rsidRDefault="00E82A60" w:rsidP="00300A01">
            <w:pPr>
              <w:pStyle w:val="Text1"/>
              <w:spacing w:before="0" w:after="0"/>
              <w:ind w:left="0"/>
              <w:jc w:val="right"/>
              <w:rPr>
                <w:sz w:val="12"/>
                <w:szCs w:val="12"/>
              </w:rPr>
            </w:pPr>
            <w:r w:rsidRPr="009C3005">
              <w:rPr>
                <w:noProof/>
                <w:sz w:val="12"/>
                <w:szCs w:val="12"/>
              </w:rPr>
              <w:t>486 466,22</w:t>
            </w:r>
          </w:p>
        </w:tc>
        <w:tc>
          <w:tcPr>
            <w:tcW w:w="0" w:type="auto"/>
            <w:shd w:val="clear" w:color="auto" w:fill="auto"/>
          </w:tcPr>
          <w:p w14:paraId="53436718" w14:textId="77777777" w:rsidR="008C5CFA" w:rsidRPr="009C3005" w:rsidRDefault="00E82A60" w:rsidP="00300A01">
            <w:pPr>
              <w:pStyle w:val="Text1"/>
              <w:spacing w:before="0" w:after="0"/>
              <w:ind w:left="0"/>
              <w:jc w:val="right"/>
              <w:rPr>
                <w:sz w:val="12"/>
                <w:szCs w:val="12"/>
              </w:rPr>
            </w:pPr>
            <w:r w:rsidRPr="009C3005">
              <w:rPr>
                <w:noProof/>
                <w:sz w:val="12"/>
                <w:szCs w:val="12"/>
              </w:rPr>
              <w:t>1</w:t>
            </w:r>
          </w:p>
        </w:tc>
      </w:tr>
      <w:tr w:rsidR="006B2EC1" w14:paraId="3F01F624" w14:textId="77777777" w:rsidTr="0047688D">
        <w:tc>
          <w:tcPr>
            <w:tcW w:w="0" w:type="auto"/>
            <w:shd w:val="clear" w:color="auto" w:fill="auto"/>
          </w:tcPr>
          <w:p w14:paraId="60C45D2A" w14:textId="77777777" w:rsidR="008C5CFA" w:rsidRPr="009C3005" w:rsidRDefault="00E82A60" w:rsidP="00300A01">
            <w:pPr>
              <w:pStyle w:val="Text1"/>
              <w:spacing w:before="0" w:after="0"/>
              <w:ind w:left="0"/>
              <w:rPr>
                <w:sz w:val="12"/>
                <w:szCs w:val="12"/>
              </w:rPr>
            </w:pPr>
            <w:r>
              <w:rPr>
                <w:noProof/>
                <w:sz w:val="14"/>
                <w:szCs w:val="14"/>
                <w:lang w:val="fr-BE"/>
              </w:rPr>
              <w:t>3</w:t>
            </w:r>
          </w:p>
        </w:tc>
        <w:tc>
          <w:tcPr>
            <w:tcW w:w="0" w:type="auto"/>
            <w:shd w:val="clear" w:color="auto" w:fill="auto"/>
          </w:tcPr>
          <w:p w14:paraId="68371069" w14:textId="77777777" w:rsidR="008C5CFA" w:rsidRPr="009C3005" w:rsidRDefault="00E82A60" w:rsidP="00300A01">
            <w:pPr>
              <w:pStyle w:val="Text1"/>
              <w:spacing w:before="0" w:after="0"/>
              <w:ind w:left="0"/>
              <w:rPr>
                <w:sz w:val="12"/>
                <w:szCs w:val="12"/>
              </w:rPr>
            </w:pPr>
            <w:r>
              <w:rPr>
                <w:noProof/>
                <w:sz w:val="12"/>
                <w:szCs w:val="12"/>
              </w:rPr>
              <w:t>EFRR</w:t>
            </w:r>
          </w:p>
        </w:tc>
        <w:tc>
          <w:tcPr>
            <w:tcW w:w="0" w:type="auto"/>
            <w:shd w:val="clear" w:color="auto" w:fill="auto"/>
          </w:tcPr>
          <w:p w14:paraId="237D8B86" w14:textId="77777777" w:rsidR="008C5CFA" w:rsidRPr="009C3005" w:rsidRDefault="00E82A60" w:rsidP="00300A01">
            <w:pPr>
              <w:pStyle w:val="Text1"/>
              <w:spacing w:before="0" w:after="0"/>
              <w:ind w:left="0"/>
              <w:rPr>
                <w:sz w:val="12"/>
                <w:szCs w:val="12"/>
              </w:rPr>
            </w:pPr>
            <w:r>
              <w:rPr>
                <w:noProof/>
                <w:sz w:val="12"/>
                <w:szCs w:val="12"/>
              </w:rPr>
              <w:t>Słabiej rozwinięte</w:t>
            </w:r>
          </w:p>
        </w:tc>
        <w:tc>
          <w:tcPr>
            <w:tcW w:w="0" w:type="auto"/>
            <w:shd w:val="clear" w:color="auto" w:fill="auto"/>
          </w:tcPr>
          <w:p w14:paraId="225E656E" w14:textId="77777777" w:rsidR="008C5CFA" w:rsidRPr="009C3005" w:rsidRDefault="00E82A60" w:rsidP="00300A01">
            <w:pPr>
              <w:pStyle w:val="Text1"/>
              <w:spacing w:before="0" w:after="0"/>
              <w:ind w:left="0"/>
              <w:rPr>
                <w:sz w:val="12"/>
                <w:szCs w:val="12"/>
              </w:rPr>
            </w:pPr>
            <w:r>
              <w:rPr>
                <w:noProof/>
                <w:sz w:val="12"/>
                <w:szCs w:val="12"/>
              </w:rPr>
              <w:t>068</w:t>
            </w:r>
          </w:p>
        </w:tc>
        <w:tc>
          <w:tcPr>
            <w:tcW w:w="0" w:type="auto"/>
            <w:shd w:val="clear" w:color="auto" w:fill="auto"/>
          </w:tcPr>
          <w:p w14:paraId="1A65E6F5"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525A0F1B"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6402714C"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4CC15F6E" w14:textId="77777777" w:rsidR="008C5CFA" w:rsidRPr="009C3005" w:rsidRDefault="00E82A60" w:rsidP="00300A01">
            <w:pPr>
              <w:pStyle w:val="Text1"/>
              <w:spacing w:before="0" w:after="0"/>
              <w:ind w:left="0"/>
              <w:rPr>
                <w:sz w:val="12"/>
                <w:szCs w:val="12"/>
              </w:rPr>
            </w:pPr>
            <w:r>
              <w:rPr>
                <w:noProof/>
                <w:sz w:val="12"/>
                <w:szCs w:val="12"/>
              </w:rPr>
              <w:t>04</w:t>
            </w:r>
          </w:p>
        </w:tc>
        <w:tc>
          <w:tcPr>
            <w:tcW w:w="0" w:type="auto"/>
            <w:shd w:val="clear" w:color="auto" w:fill="auto"/>
          </w:tcPr>
          <w:p w14:paraId="3176CB3D" w14:textId="77777777" w:rsidR="008C5CFA" w:rsidRPr="009C3005" w:rsidRDefault="00E82A60" w:rsidP="00300A01">
            <w:pPr>
              <w:pStyle w:val="Text1"/>
              <w:spacing w:before="0" w:after="0"/>
              <w:ind w:left="0"/>
              <w:rPr>
                <w:sz w:val="12"/>
                <w:szCs w:val="12"/>
              </w:rPr>
            </w:pPr>
            <w:r>
              <w:rPr>
                <w:sz w:val="12"/>
                <w:szCs w:val="12"/>
              </w:rPr>
              <w:t xml:space="preserve"> </w:t>
            </w:r>
          </w:p>
        </w:tc>
        <w:tc>
          <w:tcPr>
            <w:tcW w:w="0" w:type="auto"/>
            <w:shd w:val="clear" w:color="auto" w:fill="auto"/>
          </w:tcPr>
          <w:p w14:paraId="355FB98E" w14:textId="77777777" w:rsidR="008C5CFA" w:rsidRPr="009C3005" w:rsidRDefault="00E82A60" w:rsidP="00300A01">
            <w:pPr>
              <w:pStyle w:val="Text1"/>
              <w:spacing w:before="0" w:after="0"/>
              <w:ind w:left="0"/>
              <w:rPr>
                <w:sz w:val="12"/>
                <w:szCs w:val="12"/>
              </w:rPr>
            </w:pPr>
            <w:r>
              <w:rPr>
                <w:noProof/>
                <w:sz w:val="12"/>
                <w:szCs w:val="12"/>
              </w:rPr>
              <w:t>20</w:t>
            </w:r>
          </w:p>
        </w:tc>
        <w:tc>
          <w:tcPr>
            <w:tcW w:w="0" w:type="auto"/>
            <w:shd w:val="clear" w:color="auto" w:fill="auto"/>
          </w:tcPr>
          <w:p w14:paraId="345E409F" w14:textId="77777777" w:rsidR="008C5CFA" w:rsidRPr="009C3005" w:rsidRDefault="00E82A60" w:rsidP="00300A01">
            <w:pPr>
              <w:pStyle w:val="Text1"/>
              <w:spacing w:before="0" w:after="0"/>
              <w:ind w:left="0"/>
              <w:rPr>
                <w:sz w:val="12"/>
                <w:szCs w:val="12"/>
              </w:rPr>
            </w:pPr>
            <w:r>
              <w:rPr>
                <w:noProof/>
                <w:sz w:val="12"/>
                <w:szCs w:val="12"/>
              </w:rPr>
              <w:t>PL33</w:t>
            </w:r>
          </w:p>
        </w:tc>
        <w:tc>
          <w:tcPr>
            <w:tcW w:w="0" w:type="auto"/>
            <w:shd w:val="clear" w:color="auto" w:fill="auto"/>
          </w:tcPr>
          <w:p w14:paraId="1EE1EAE8" w14:textId="77777777" w:rsidR="008C5CFA" w:rsidRPr="009C3005" w:rsidRDefault="00E82A60" w:rsidP="00300A01">
            <w:pPr>
              <w:pStyle w:val="Text1"/>
              <w:spacing w:before="0" w:after="0"/>
              <w:ind w:left="0"/>
              <w:jc w:val="right"/>
              <w:rPr>
                <w:sz w:val="12"/>
                <w:szCs w:val="12"/>
              </w:rPr>
            </w:pPr>
            <w:r w:rsidRPr="009C3005">
              <w:rPr>
                <w:noProof/>
                <w:sz w:val="12"/>
                <w:szCs w:val="12"/>
              </w:rPr>
              <w:t>420 863,27</w:t>
            </w:r>
          </w:p>
        </w:tc>
        <w:tc>
          <w:tcPr>
            <w:tcW w:w="0" w:type="auto"/>
            <w:shd w:val="clear" w:color="auto" w:fill="auto"/>
          </w:tcPr>
          <w:p w14:paraId="5BFD8346" w14:textId="77777777" w:rsidR="008C5CFA" w:rsidRPr="009C3005" w:rsidRDefault="00E82A60" w:rsidP="00300A01">
            <w:pPr>
              <w:pStyle w:val="Text1"/>
              <w:spacing w:before="0" w:after="0"/>
              <w:ind w:left="0"/>
              <w:jc w:val="right"/>
              <w:rPr>
                <w:sz w:val="12"/>
                <w:szCs w:val="12"/>
              </w:rPr>
            </w:pPr>
            <w:r w:rsidRPr="009C3005">
              <w:rPr>
                <w:noProof/>
                <w:sz w:val="12"/>
                <w:szCs w:val="12"/>
              </w:rPr>
              <w:t>247 789,03</w:t>
            </w:r>
          </w:p>
        </w:tc>
        <w:tc>
          <w:tcPr>
            <w:tcW w:w="0" w:type="auto"/>
            <w:shd w:val="clear" w:color="auto" w:fill="auto"/>
          </w:tcPr>
          <w:p w14:paraId="27A1E8BA" w14:textId="77777777" w:rsidR="008C5CFA" w:rsidRPr="009C3005" w:rsidRDefault="00E82A60" w:rsidP="00300A01">
            <w:pPr>
              <w:pStyle w:val="Text1"/>
              <w:spacing w:before="0" w:after="0"/>
              <w:ind w:left="0"/>
              <w:jc w:val="right"/>
              <w:rPr>
                <w:sz w:val="12"/>
                <w:szCs w:val="12"/>
              </w:rPr>
            </w:pPr>
            <w:r w:rsidRPr="009C3005">
              <w:rPr>
                <w:noProof/>
                <w:sz w:val="12"/>
                <w:szCs w:val="12"/>
              </w:rPr>
              <w:t>366 010,55</w:t>
            </w:r>
          </w:p>
        </w:tc>
        <w:tc>
          <w:tcPr>
            <w:tcW w:w="0" w:type="auto"/>
            <w:shd w:val="clear" w:color="auto" w:fill="auto"/>
          </w:tcPr>
          <w:p w14:paraId="0969E850" w14:textId="77777777" w:rsidR="008C5CFA" w:rsidRPr="009C3005" w:rsidRDefault="00E82A60" w:rsidP="00300A01">
            <w:pPr>
              <w:pStyle w:val="Text1"/>
              <w:spacing w:before="0" w:after="0"/>
              <w:ind w:left="0"/>
              <w:jc w:val="right"/>
              <w:rPr>
                <w:sz w:val="12"/>
                <w:szCs w:val="12"/>
              </w:rPr>
            </w:pPr>
            <w:r w:rsidRPr="009C3005">
              <w:rPr>
                <w:noProof/>
                <w:sz w:val="12"/>
                <w:szCs w:val="12"/>
              </w:rPr>
              <w:t>2</w:t>
            </w:r>
          </w:p>
        </w:tc>
      </w:tr>
      <w:tr w:rsidR="006B2EC1" w14:paraId="6268EDC6" w14:textId="77777777" w:rsidTr="0047688D">
        <w:tc>
          <w:tcPr>
            <w:tcW w:w="0" w:type="auto"/>
            <w:shd w:val="clear" w:color="auto" w:fill="auto"/>
          </w:tcPr>
          <w:p w14:paraId="494C9BF1" w14:textId="77777777" w:rsidR="008C5CFA" w:rsidRPr="009C3005" w:rsidRDefault="00E82A60" w:rsidP="00300A01">
            <w:pPr>
              <w:pStyle w:val="Text1"/>
              <w:spacing w:before="0" w:after="0"/>
              <w:ind w:left="0"/>
              <w:rPr>
                <w:sz w:val="12"/>
                <w:szCs w:val="12"/>
              </w:rPr>
            </w:pPr>
            <w:r>
              <w:rPr>
                <w:noProof/>
                <w:sz w:val="14"/>
                <w:szCs w:val="14"/>
                <w:lang w:val="fr-BE"/>
              </w:rPr>
              <w:t>3</w:t>
            </w:r>
          </w:p>
        </w:tc>
        <w:tc>
          <w:tcPr>
            <w:tcW w:w="0" w:type="auto"/>
            <w:shd w:val="clear" w:color="auto" w:fill="auto"/>
          </w:tcPr>
          <w:p w14:paraId="1B0756BA" w14:textId="77777777" w:rsidR="008C5CFA" w:rsidRPr="009C3005" w:rsidRDefault="00E82A60" w:rsidP="00300A01">
            <w:pPr>
              <w:pStyle w:val="Text1"/>
              <w:spacing w:before="0" w:after="0"/>
              <w:ind w:left="0"/>
              <w:rPr>
                <w:sz w:val="12"/>
                <w:szCs w:val="12"/>
              </w:rPr>
            </w:pPr>
            <w:r>
              <w:rPr>
                <w:noProof/>
                <w:sz w:val="12"/>
                <w:szCs w:val="12"/>
              </w:rPr>
              <w:t>EFRR</w:t>
            </w:r>
          </w:p>
        </w:tc>
        <w:tc>
          <w:tcPr>
            <w:tcW w:w="0" w:type="auto"/>
            <w:shd w:val="clear" w:color="auto" w:fill="auto"/>
          </w:tcPr>
          <w:p w14:paraId="0396DFD0" w14:textId="77777777" w:rsidR="008C5CFA" w:rsidRPr="009C3005" w:rsidRDefault="00E82A60" w:rsidP="00300A01">
            <w:pPr>
              <w:pStyle w:val="Text1"/>
              <w:spacing w:before="0" w:after="0"/>
              <w:ind w:left="0"/>
              <w:rPr>
                <w:sz w:val="12"/>
                <w:szCs w:val="12"/>
              </w:rPr>
            </w:pPr>
            <w:r>
              <w:rPr>
                <w:noProof/>
                <w:sz w:val="12"/>
                <w:szCs w:val="12"/>
              </w:rPr>
              <w:t>Słabiej rozwinięte</w:t>
            </w:r>
          </w:p>
        </w:tc>
        <w:tc>
          <w:tcPr>
            <w:tcW w:w="0" w:type="auto"/>
            <w:shd w:val="clear" w:color="auto" w:fill="auto"/>
          </w:tcPr>
          <w:p w14:paraId="4E14D18E" w14:textId="77777777" w:rsidR="008C5CFA" w:rsidRPr="009C3005" w:rsidRDefault="00E82A60" w:rsidP="00300A01">
            <w:pPr>
              <w:pStyle w:val="Text1"/>
              <w:spacing w:before="0" w:after="0"/>
              <w:ind w:left="0"/>
              <w:rPr>
                <w:sz w:val="12"/>
                <w:szCs w:val="12"/>
              </w:rPr>
            </w:pPr>
            <w:r>
              <w:rPr>
                <w:noProof/>
                <w:sz w:val="12"/>
                <w:szCs w:val="12"/>
              </w:rPr>
              <w:t>068</w:t>
            </w:r>
          </w:p>
        </w:tc>
        <w:tc>
          <w:tcPr>
            <w:tcW w:w="0" w:type="auto"/>
            <w:shd w:val="clear" w:color="auto" w:fill="auto"/>
          </w:tcPr>
          <w:p w14:paraId="0FB807C2"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220E68C8"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1DD68930"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4A59C9AF" w14:textId="77777777" w:rsidR="008C5CFA" w:rsidRPr="009C3005" w:rsidRDefault="00E82A60" w:rsidP="00300A01">
            <w:pPr>
              <w:pStyle w:val="Text1"/>
              <w:spacing w:before="0" w:after="0"/>
              <w:ind w:left="0"/>
              <w:rPr>
                <w:sz w:val="12"/>
                <w:szCs w:val="12"/>
              </w:rPr>
            </w:pPr>
            <w:r>
              <w:rPr>
                <w:noProof/>
                <w:sz w:val="12"/>
                <w:szCs w:val="12"/>
              </w:rPr>
              <w:t>04</w:t>
            </w:r>
          </w:p>
        </w:tc>
        <w:tc>
          <w:tcPr>
            <w:tcW w:w="0" w:type="auto"/>
            <w:shd w:val="clear" w:color="auto" w:fill="auto"/>
          </w:tcPr>
          <w:p w14:paraId="719B10D8" w14:textId="77777777" w:rsidR="008C5CFA" w:rsidRPr="009C3005" w:rsidRDefault="00E82A60" w:rsidP="00300A01">
            <w:pPr>
              <w:pStyle w:val="Text1"/>
              <w:spacing w:before="0" w:after="0"/>
              <w:ind w:left="0"/>
              <w:rPr>
                <w:sz w:val="12"/>
                <w:szCs w:val="12"/>
              </w:rPr>
            </w:pPr>
            <w:r>
              <w:rPr>
                <w:sz w:val="12"/>
                <w:szCs w:val="12"/>
              </w:rPr>
              <w:t xml:space="preserve"> </w:t>
            </w:r>
          </w:p>
        </w:tc>
        <w:tc>
          <w:tcPr>
            <w:tcW w:w="0" w:type="auto"/>
            <w:shd w:val="clear" w:color="auto" w:fill="auto"/>
          </w:tcPr>
          <w:p w14:paraId="64E2193D" w14:textId="77777777" w:rsidR="008C5CFA" w:rsidRPr="009C3005" w:rsidRDefault="00E82A60" w:rsidP="00300A01">
            <w:pPr>
              <w:pStyle w:val="Text1"/>
              <w:spacing w:before="0" w:after="0"/>
              <w:ind w:left="0"/>
              <w:rPr>
                <w:sz w:val="12"/>
                <w:szCs w:val="12"/>
              </w:rPr>
            </w:pPr>
            <w:r>
              <w:rPr>
                <w:noProof/>
                <w:sz w:val="12"/>
                <w:szCs w:val="12"/>
              </w:rPr>
              <w:t>23</w:t>
            </w:r>
          </w:p>
        </w:tc>
        <w:tc>
          <w:tcPr>
            <w:tcW w:w="0" w:type="auto"/>
            <w:shd w:val="clear" w:color="auto" w:fill="auto"/>
          </w:tcPr>
          <w:p w14:paraId="50EF3338" w14:textId="77777777" w:rsidR="008C5CFA" w:rsidRPr="009C3005" w:rsidRDefault="00E82A60" w:rsidP="00300A01">
            <w:pPr>
              <w:pStyle w:val="Text1"/>
              <w:spacing w:before="0" w:after="0"/>
              <w:ind w:left="0"/>
              <w:rPr>
                <w:sz w:val="12"/>
                <w:szCs w:val="12"/>
              </w:rPr>
            </w:pPr>
            <w:r>
              <w:rPr>
                <w:noProof/>
                <w:sz w:val="12"/>
                <w:szCs w:val="12"/>
              </w:rPr>
              <w:t>PL33</w:t>
            </w:r>
          </w:p>
        </w:tc>
        <w:tc>
          <w:tcPr>
            <w:tcW w:w="0" w:type="auto"/>
            <w:shd w:val="clear" w:color="auto" w:fill="auto"/>
          </w:tcPr>
          <w:p w14:paraId="038CC111" w14:textId="77777777" w:rsidR="008C5CFA" w:rsidRPr="009C3005" w:rsidRDefault="00E82A60" w:rsidP="00300A01">
            <w:pPr>
              <w:pStyle w:val="Text1"/>
              <w:spacing w:before="0" w:after="0"/>
              <w:ind w:left="0"/>
              <w:jc w:val="right"/>
              <w:rPr>
                <w:sz w:val="12"/>
                <w:szCs w:val="12"/>
              </w:rPr>
            </w:pPr>
            <w:r w:rsidRPr="009C3005">
              <w:rPr>
                <w:noProof/>
                <w:sz w:val="12"/>
                <w:szCs w:val="12"/>
              </w:rPr>
              <w:t>199 696,85</w:t>
            </w:r>
          </w:p>
        </w:tc>
        <w:tc>
          <w:tcPr>
            <w:tcW w:w="0" w:type="auto"/>
            <w:shd w:val="clear" w:color="auto" w:fill="auto"/>
          </w:tcPr>
          <w:p w14:paraId="49D754DC" w14:textId="77777777" w:rsidR="008C5CFA" w:rsidRPr="009C3005" w:rsidRDefault="00E82A60" w:rsidP="00300A01">
            <w:pPr>
              <w:pStyle w:val="Text1"/>
              <w:spacing w:before="0" w:after="0"/>
              <w:ind w:left="0"/>
              <w:jc w:val="right"/>
              <w:rPr>
                <w:sz w:val="12"/>
                <w:szCs w:val="12"/>
              </w:rPr>
            </w:pPr>
            <w:r w:rsidRPr="009C3005">
              <w:rPr>
                <w:noProof/>
                <w:sz w:val="12"/>
                <w:szCs w:val="12"/>
              </w:rPr>
              <w:t>136 996,19</w:t>
            </w:r>
          </w:p>
        </w:tc>
        <w:tc>
          <w:tcPr>
            <w:tcW w:w="0" w:type="auto"/>
            <w:shd w:val="clear" w:color="auto" w:fill="auto"/>
          </w:tcPr>
          <w:p w14:paraId="64DF51CA" w14:textId="77777777" w:rsidR="008C5CFA" w:rsidRPr="009C3005" w:rsidRDefault="00E82A60" w:rsidP="00300A01">
            <w:pPr>
              <w:pStyle w:val="Text1"/>
              <w:spacing w:before="0" w:after="0"/>
              <w:ind w:left="0"/>
              <w:jc w:val="right"/>
              <w:rPr>
                <w:sz w:val="12"/>
                <w:szCs w:val="12"/>
              </w:rPr>
            </w:pPr>
            <w:r w:rsidRPr="009C3005">
              <w:rPr>
                <w:noProof/>
                <w:sz w:val="12"/>
                <w:szCs w:val="12"/>
              </w:rPr>
              <w:t>11 041,42</w:t>
            </w:r>
          </w:p>
        </w:tc>
        <w:tc>
          <w:tcPr>
            <w:tcW w:w="0" w:type="auto"/>
            <w:shd w:val="clear" w:color="auto" w:fill="auto"/>
          </w:tcPr>
          <w:p w14:paraId="6651925D" w14:textId="77777777" w:rsidR="008C5CFA" w:rsidRPr="009C3005" w:rsidRDefault="00E82A60" w:rsidP="00300A01">
            <w:pPr>
              <w:pStyle w:val="Text1"/>
              <w:spacing w:before="0" w:after="0"/>
              <w:ind w:left="0"/>
              <w:jc w:val="right"/>
              <w:rPr>
                <w:sz w:val="12"/>
                <w:szCs w:val="12"/>
              </w:rPr>
            </w:pPr>
            <w:r w:rsidRPr="009C3005">
              <w:rPr>
                <w:noProof/>
                <w:sz w:val="12"/>
                <w:szCs w:val="12"/>
              </w:rPr>
              <w:t>1</w:t>
            </w:r>
          </w:p>
        </w:tc>
      </w:tr>
      <w:tr w:rsidR="006B2EC1" w14:paraId="178F862B" w14:textId="77777777" w:rsidTr="0047688D">
        <w:tc>
          <w:tcPr>
            <w:tcW w:w="0" w:type="auto"/>
            <w:shd w:val="clear" w:color="auto" w:fill="auto"/>
          </w:tcPr>
          <w:p w14:paraId="6E76A5A9" w14:textId="77777777" w:rsidR="008C5CFA" w:rsidRPr="009C3005" w:rsidRDefault="00E82A60" w:rsidP="00300A01">
            <w:pPr>
              <w:pStyle w:val="Text1"/>
              <w:spacing w:before="0" w:after="0"/>
              <w:ind w:left="0"/>
              <w:rPr>
                <w:sz w:val="12"/>
                <w:szCs w:val="12"/>
              </w:rPr>
            </w:pPr>
            <w:r>
              <w:rPr>
                <w:noProof/>
                <w:sz w:val="14"/>
                <w:szCs w:val="14"/>
                <w:lang w:val="fr-BE"/>
              </w:rPr>
              <w:t>3</w:t>
            </w:r>
          </w:p>
        </w:tc>
        <w:tc>
          <w:tcPr>
            <w:tcW w:w="0" w:type="auto"/>
            <w:shd w:val="clear" w:color="auto" w:fill="auto"/>
          </w:tcPr>
          <w:p w14:paraId="58BE3157" w14:textId="77777777" w:rsidR="008C5CFA" w:rsidRPr="009C3005" w:rsidRDefault="00E82A60" w:rsidP="00300A01">
            <w:pPr>
              <w:pStyle w:val="Text1"/>
              <w:spacing w:before="0" w:after="0"/>
              <w:ind w:left="0"/>
              <w:rPr>
                <w:sz w:val="12"/>
                <w:szCs w:val="12"/>
              </w:rPr>
            </w:pPr>
            <w:r>
              <w:rPr>
                <w:noProof/>
                <w:sz w:val="12"/>
                <w:szCs w:val="12"/>
              </w:rPr>
              <w:t>EFRR</w:t>
            </w:r>
          </w:p>
        </w:tc>
        <w:tc>
          <w:tcPr>
            <w:tcW w:w="0" w:type="auto"/>
            <w:shd w:val="clear" w:color="auto" w:fill="auto"/>
          </w:tcPr>
          <w:p w14:paraId="1377B4A5" w14:textId="77777777" w:rsidR="008C5CFA" w:rsidRPr="009C3005" w:rsidRDefault="00E82A60" w:rsidP="00300A01">
            <w:pPr>
              <w:pStyle w:val="Text1"/>
              <w:spacing w:before="0" w:after="0"/>
              <w:ind w:left="0"/>
              <w:rPr>
                <w:sz w:val="12"/>
                <w:szCs w:val="12"/>
              </w:rPr>
            </w:pPr>
            <w:r>
              <w:rPr>
                <w:noProof/>
                <w:sz w:val="12"/>
                <w:szCs w:val="12"/>
              </w:rPr>
              <w:t>Słabiej rozwinięte</w:t>
            </w:r>
          </w:p>
        </w:tc>
        <w:tc>
          <w:tcPr>
            <w:tcW w:w="0" w:type="auto"/>
            <w:shd w:val="clear" w:color="auto" w:fill="auto"/>
          </w:tcPr>
          <w:p w14:paraId="7259CFD7" w14:textId="77777777" w:rsidR="008C5CFA" w:rsidRPr="009C3005" w:rsidRDefault="00E82A60" w:rsidP="00300A01">
            <w:pPr>
              <w:pStyle w:val="Text1"/>
              <w:spacing w:before="0" w:after="0"/>
              <w:ind w:left="0"/>
              <w:rPr>
                <w:sz w:val="12"/>
                <w:szCs w:val="12"/>
              </w:rPr>
            </w:pPr>
            <w:r>
              <w:rPr>
                <w:noProof/>
                <w:sz w:val="12"/>
                <w:szCs w:val="12"/>
              </w:rPr>
              <w:t>068</w:t>
            </w:r>
          </w:p>
        </w:tc>
        <w:tc>
          <w:tcPr>
            <w:tcW w:w="0" w:type="auto"/>
            <w:shd w:val="clear" w:color="auto" w:fill="auto"/>
          </w:tcPr>
          <w:p w14:paraId="7A876A41"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38044942"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177B3661"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6CE1F310" w14:textId="77777777" w:rsidR="008C5CFA" w:rsidRPr="009C3005" w:rsidRDefault="00E82A60" w:rsidP="00300A01">
            <w:pPr>
              <w:pStyle w:val="Text1"/>
              <w:spacing w:before="0" w:after="0"/>
              <w:ind w:left="0"/>
              <w:rPr>
                <w:sz w:val="12"/>
                <w:szCs w:val="12"/>
              </w:rPr>
            </w:pPr>
            <w:r>
              <w:rPr>
                <w:noProof/>
                <w:sz w:val="12"/>
                <w:szCs w:val="12"/>
              </w:rPr>
              <w:t>04</w:t>
            </w:r>
          </w:p>
        </w:tc>
        <w:tc>
          <w:tcPr>
            <w:tcW w:w="0" w:type="auto"/>
            <w:shd w:val="clear" w:color="auto" w:fill="auto"/>
          </w:tcPr>
          <w:p w14:paraId="3336A61F" w14:textId="77777777" w:rsidR="008C5CFA" w:rsidRPr="009C3005" w:rsidRDefault="00E82A60" w:rsidP="00300A01">
            <w:pPr>
              <w:pStyle w:val="Text1"/>
              <w:spacing w:before="0" w:after="0"/>
              <w:ind w:left="0"/>
              <w:rPr>
                <w:sz w:val="12"/>
                <w:szCs w:val="12"/>
              </w:rPr>
            </w:pPr>
            <w:r>
              <w:rPr>
                <w:sz w:val="12"/>
                <w:szCs w:val="12"/>
              </w:rPr>
              <w:t xml:space="preserve"> </w:t>
            </w:r>
          </w:p>
        </w:tc>
        <w:tc>
          <w:tcPr>
            <w:tcW w:w="0" w:type="auto"/>
            <w:shd w:val="clear" w:color="auto" w:fill="auto"/>
          </w:tcPr>
          <w:p w14:paraId="528FD019" w14:textId="77777777" w:rsidR="008C5CFA" w:rsidRPr="009C3005" w:rsidRDefault="00E82A60" w:rsidP="00300A01">
            <w:pPr>
              <w:pStyle w:val="Text1"/>
              <w:spacing w:before="0" w:after="0"/>
              <w:ind w:left="0"/>
              <w:rPr>
                <w:sz w:val="12"/>
                <w:szCs w:val="12"/>
              </w:rPr>
            </w:pPr>
            <w:r>
              <w:rPr>
                <w:noProof/>
                <w:sz w:val="12"/>
                <w:szCs w:val="12"/>
              </w:rPr>
              <w:t>24</w:t>
            </w:r>
          </w:p>
        </w:tc>
        <w:tc>
          <w:tcPr>
            <w:tcW w:w="0" w:type="auto"/>
            <w:shd w:val="clear" w:color="auto" w:fill="auto"/>
          </w:tcPr>
          <w:p w14:paraId="722F2AF1" w14:textId="77777777" w:rsidR="008C5CFA" w:rsidRPr="009C3005" w:rsidRDefault="00E82A60" w:rsidP="00300A01">
            <w:pPr>
              <w:pStyle w:val="Text1"/>
              <w:spacing w:before="0" w:after="0"/>
              <w:ind w:left="0"/>
              <w:rPr>
                <w:sz w:val="12"/>
                <w:szCs w:val="12"/>
              </w:rPr>
            </w:pPr>
            <w:r>
              <w:rPr>
                <w:noProof/>
                <w:sz w:val="12"/>
                <w:szCs w:val="12"/>
              </w:rPr>
              <w:t>PL33</w:t>
            </w:r>
          </w:p>
        </w:tc>
        <w:tc>
          <w:tcPr>
            <w:tcW w:w="0" w:type="auto"/>
            <w:shd w:val="clear" w:color="auto" w:fill="auto"/>
          </w:tcPr>
          <w:p w14:paraId="168F53EB" w14:textId="77777777" w:rsidR="008C5CFA" w:rsidRPr="009C3005" w:rsidRDefault="00E82A60" w:rsidP="00300A01">
            <w:pPr>
              <w:pStyle w:val="Text1"/>
              <w:spacing w:before="0" w:after="0"/>
              <w:ind w:left="0"/>
              <w:jc w:val="right"/>
              <w:rPr>
                <w:sz w:val="12"/>
                <w:szCs w:val="12"/>
              </w:rPr>
            </w:pPr>
            <w:r w:rsidRPr="009C3005">
              <w:rPr>
                <w:noProof/>
                <w:sz w:val="12"/>
                <w:szCs w:val="12"/>
              </w:rPr>
              <w:t>332 762,59</w:t>
            </w:r>
          </w:p>
        </w:tc>
        <w:tc>
          <w:tcPr>
            <w:tcW w:w="0" w:type="auto"/>
            <w:shd w:val="clear" w:color="auto" w:fill="auto"/>
          </w:tcPr>
          <w:p w14:paraId="1393154C" w14:textId="77777777" w:rsidR="008C5CFA" w:rsidRPr="009C3005" w:rsidRDefault="00E82A60" w:rsidP="00300A01">
            <w:pPr>
              <w:pStyle w:val="Text1"/>
              <w:spacing w:before="0" w:after="0"/>
              <w:ind w:left="0"/>
              <w:jc w:val="right"/>
              <w:rPr>
                <w:sz w:val="12"/>
                <w:szCs w:val="12"/>
              </w:rPr>
            </w:pPr>
            <w:r w:rsidRPr="009C3005">
              <w:rPr>
                <w:noProof/>
                <w:sz w:val="12"/>
                <w:szCs w:val="12"/>
              </w:rPr>
              <w:t>191 885,49</w:t>
            </w:r>
          </w:p>
        </w:tc>
        <w:tc>
          <w:tcPr>
            <w:tcW w:w="0" w:type="auto"/>
            <w:shd w:val="clear" w:color="auto" w:fill="auto"/>
          </w:tcPr>
          <w:p w14:paraId="0CA4BD8F" w14:textId="77777777" w:rsidR="008C5CFA" w:rsidRPr="009C3005" w:rsidRDefault="00E82A60" w:rsidP="00300A01">
            <w:pPr>
              <w:pStyle w:val="Text1"/>
              <w:spacing w:before="0" w:after="0"/>
              <w:ind w:left="0"/>
              <w:jc w:val="right"/>
              <w:rPr>
                <w:sz w:val="12"/>
                <w:szCs w:val="12"/>
              </w:rPr>
            </w:pPr>
            <w:r w:rsidRPr="009C3005">
              <w:rPr>
                <w:noProof/>
                <w:sz w:val="12"/>
                <w:szCs w:val="12"/>
              </w:rPr>
              <w:t>88 661,57</w:t>
            </w:r>
          </w:p>
        </w:tc>
        <w:tc>
          <w:tcPr>
            <w:tcW w:w="0" w:type="auto"/>
            <w:shd w:val="clear" w:color="auto" w:fill="auto"/>
          </w:tcPr>
          <w:p w14:paraId="2708CC3A" w14:textId="77777777" w:rsidR="008C5CFA" w:rsidRPr="009C3005" w:rsidRDefault="00E82A60" w:rsidP="00300A01">
            <w:pPr>
              <w:pStyle w:val="Text1"/>
              <w:spacing w:before="0" w:after="0"/>
              <w:ind w:left="0"/>
              <w:jc w:val="right"/>
              <w:rPr>
                <w:sz w:val="12"/>
                <w:szCs w:val="12"/>
              </w:rPr>
            </w:pPr>
            <w:r w:rsidRPr="009C3005">
              <w:rPr>
                <w:noProof/>
                <w:sz w:val="12"/>
                <w:szCs w:val="12"/>
              </w:rPr>
              <w:t>2</w:t>
            </w:r>
          </w:p>
        </w:tc>
      </w:tr>
      <w:tr w:rsidR="006B2EC1" w14:paraId="14D5BE4B" w14:textId="77777777" w:rsidTr="0047688D">
        <w:tc>
          <w:tcPr>
            <w:tcW w:w="0" w:type="auto"/>
            <w:shd w:val="clear" w:color="auto" w:fill="auto"/>
          </w:tcPr>
          <w:p w14:paraId="781AE2D4" w14:textId="77777777" w:rsidR="008C5CFA" w:rsidRPr="009C3005" w:rsidRDefault="00E82A60" w:rsidP="00300A01">
            <w:pPr>
              <w:pStyle w:val="Text1"/>
              <w:spacing w:before="0" w:after="0"/>
              <w:ind w:left="0"/>
              <w:rPr>
                <w:sz w:val="12"/>
                <w:szCs w:val="12"/>
              </w:rPr>
            </w:pPr>
            <w:r>
              <w:rPr>
                <w:noProof/>
                <w:sz w:val="14"/>
                <w:szCs w:val="14"/>
                <w:lang w:val="fr-BE"/>
              </w:rPr>
              <w:t>3</w:t>
            </w:r>
          </w:p>
        </w:tc>
        <w:tc>
          <w:tcPr>
            <w:tcW w:w="0" w:type="auto"/>
            <w:shd w:val="clear" w:color="auto" w:fill="auto"/>
          </w:tcPr>
          <w:p w14:paraId="3A7CDC99" w14:textId="77777777" w:rsidR="008C5CFA" w:rsidRPr="009C3005" w:rsidRDefault="00E82A60" w:rsidP="00300A01">
            <w:pPr>
              <w:pStyle w:val="Text1"/>
              <w:spacing w:before="0" w:after="0"/>
              <w:ind w:left="0"/>
              <w:rPr>
                <w:sz w:val="12"/>
                <w:szCs w:val="12"/>
              </w:rPr>
            </w:pPr>
            <w:r>
              <w:rPr>
                <w:noProof/>
                <w:sz w:val="12"/>
                <w:szCs w:val="12"/>
              </w:rPr>
              <w:t>EFRR</w:t>
            </w:r>
          </w:p>
        </w:tc>
        <w:tc>
          <w:tcPr>
            <w:tcW w:w="0" w:type="auto"/>
            <w:shd w:val="clear" w:color="auto" w:fill="auto"/>
          </w:tcPr>
          <w:p w14:paraId="63279D8A" w14:textId="77777777" w:rsidR="008C5CFA" w:rsidRPr="009C3005" w:rsidRDefault="00E82A60" w:rsidP="00300A01">
            <w:pPr>
              <w:pStyle w:val="Text1"/>
              <w:spacing w:before="0" w:after="0"/>
              <w:ind w:left="0"/>
              <w:rPr>
                <w:sz w:val="12"/>
                <w:szCs w:val="12"/>
              </w:rPr>
            </w:pPr>
            <w:r>
              <w:rPr>
                <w:noProof/>
                <w:sz w:val="12"/>
                <w:szCs w:val="12"/>
              </w:rPr>
              <w:t>Słabiej rozwinięte</w:t>
            </w:r>
          </w:p>
        </w:tc>
        <w:tc>
          <w:tcPr>
            <w:tcW w:w="0" w:type="auto"/>
            <w:shd w:val="clear" w:color="auto" w:fill="auto"/>
          </w:tcPr>
          <w:p w14:paraId="01D3ADAC" w14:textId="77777777" w:rsidR="008C5CFA" w:rsidRPr="009C3005" w:rsidRDefault="00E82A60" w:rsidP="00300A01">
            <w:pPr>
              <w:pStyle w:val="Text1"/>
              <w:spacing w:before="0" w:after="0"/>
              <w:ind w:left="0"/>
              <w:rPr>
                <w:sz w:val="12"/>
                <w:szCs w:val="12"/>
              </w:rPr>
            </w:pPr>
            <w:r>
              <w:rPr>
                <w:noProof/>
                <w:sz w:val="12"/>
                <w:szCs w:val="12"/>
              </w:rPr>
              <w:t>068</w:t>
            </w:r>
          </w:p>
        </w:tc>
        <w:tc>
          <w:tcPr>
            <w:tcW w:w="0" w:type="auto"/>
            <w:shd w:val="clear" w:color="auto" w:fill="auto"/>
          </w:tcPr>
          <w:p w14:paraId="30BA6099"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7918A180" w14:textId="77777777" w:rsidR="008C5CFA" w:rsidRPr="009C3005" w:rsidRDefault="00E82A60" w:rsidP="00300A01">
            <w:pPr>
              <w:pStyle w:val="Text1"/>
              <w:spacing w:before="0" w:after="0"/>
              <w:ind w:left="0"/>
              <w:rPr>
                <w:sz w:val="12"/>
                <w:szCs w:val="12"/>
              </w:rPr>
            </w:pPr>
            <w:r>
              <w:rPr>
                <w:noProof/>
                <w:sz w:val="12"/>
                <w:szCs w:val="12"/>
              </w:rPr>
              <w:t>02</w:t>
            </w:r>
          </w:p>
        </w:tc>
        <w:tc>
          <w:tcPr>
            <w:tcW w:w="0" w:type="auto"/>
            <w:shd w:val="clear" w:color="auto" w:fill="auto"/>
          </w:tcPr>
          <w:p w14:paraId="40F8AD20"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1F1687C2" w14:textId="77777777" w:rsidR="008C5CFA" w:rsidRPr="009C3005" w:rsidRDefault="00E82A60" w:rsidP="00300A01">
            <w:pPr>
              <w:pStyle w:val="Text1"/>
              <w:spacing w:before="0" w:after="0"/>
              <w:ind w:left="0"/>
              <w:rPr>
                <w:sz w:val="12"/>
                <w:szCs w:val="12"/>
              </w:rPr>
            </w:pPr>
            <w:r>
              <w:rPr>
                <w:noProof/>
                <w:sz w:val="12"/>
                <w:szCs w:val="12"/>
              </w:rPr>
              <w:t>04</w:t>
            </w:r>
          </w:p>
        </w:tc>
        <w:tc>
          <w:tcPr>
            <w:tcW w:w="0" w:type="auto"/>
            <w:shd w:val="clear" w:color="auto" w:fill="auto"/>
          </w:tcPr>
          <w:p w14:paraId="3E62DCDE" w14:textId="77777777" w:rsidR="008C5CFA" w:rsidRPr="009C3005" w:rsidRDefault="00E82A60" w:rsidP="00300A01">
            <w:pPr>
              <w:pStyle w:val="Text1"/>
              <w:spacing w:before="0" w:after="0"/>
              <w:ind w:left="0"/>
              <w:rPr>
                <w:sz w:val="12"/>
                <w:szCs w:val="12"/>
              </w:rPr>
            </w:pPr>
            <w:r>
              <w:rPr>
                <w:sz w:val="12"/>
                <w:szCs w:val="12"/>
              </w:rPr>
              <w:t xml:space="preserve"> </w:t>
            </w:r>
          </w:p>
        </w:tc>
        <w:tc>
          <w:tcPr>
            <w:tcW w:w="0" w:type="auto"/>
            <w:shd w:val="clear" w:color="auto" w:fill="auto"/>
          </w:tcPr>
          <w:p w14:paraId="71BFFDBF" w14:textId="77777777" w:rsidR="008C5CFA" w:rsidRPr="009C3005" w:rsidRDefault="00E82A60" w:rsidP="00300A01">
            <w:pPr>
              <w:pStyle w:val="Text1"/>
              <w:spacing w:before="0" w:after="0"/>
              <w:ind w:left="0"/>
              <w:rPr>
                <w:sz w:val="12"/>
                <w:szCs w:val="12"/>
              </w:rPr>
            </w:pPr>
            <w:r>
              <w:rPr>
                <w:noProof/>
                <w:sz w:val="12"/>
                <w:szCs w:val="12"/>
              </w:rPr>
              <w:t>03</w:t>
            </w:r>
          </w:p>
        </w:tc>
        <w:tc>
          <w:tcPr>
            <w:tcW w:w="0" w:type="auto"/>
            <w:shd w:val="clear" w:color="auto" w:fill="auto"/>
          </w:tcPr>
          <w:p w14:paraId="6D768511" w14:textId="77777777" w:rsidR="008C5CFA" w:rsidRPr="009C3005" w:rsidRDefault="00E82A60" w:rsidP="00300A01">
            <w:pPr>
              <w:pStyle w:val="Text1"/>
              <w:spacing w:before="0" w:after="0"/>
              <w:ind w:left="0"/>
              <w:rPr>
                <w:sz w:val="12"/>
                <w:szCs w:val="12"/>
              </w:rPr>
            </w:pPr>
            <w:r>
              <w:rPr>
                <w:noProof/>
                <w:sz w:val="12"/>
                <w:szCs w:val="12"/>
              </w:rPr>
              <w:t>PL33</w:t>
            </w:r>
          </w:p>
        </w:tc>
        <w:tc>
          <w:tcPr>
            <w:tcW w:w="0" w:type="auto"/>
            <w:shd w:val="clear" w:color="auto" w:fill="auto"/>
          </w:tcPr>
          <w:p w14:paraId="76DBC09A" w14:textId="77777777" w:rsidR="008C5CFA" w:rsidRPr="009C3005" w:rsidRDefault="00E82A60" w:rsidP="00300A01">
            <w:pPr>
              <w:pStyle w:val="Text1"/>
              <w:spacing w:before="0" w:after="0"/>
              <w:ind w:left="0"/>
              <w:jc w:val="right"/>
              <w:rPr>
                <w:sz w:val="12"/>
                <w:szCs w:val="12"/>
              </w:rPr>
            </w:pPr>
            <w:r w:rsidRPr="009C3005">
              <w:rPr>
                <w:noProof/>
                <w:sz w:val="12"/>
                <w:szCs w:val="12"/>
              </w:rPr>
              <w:t>221 361,73</w:t>
            </w:r>
          </w:p>
        </w:tc>
        <w:tc>
          <w:tcPr>
            <w:tcW w:w="0" w:type="auto"/>
            <w:shd w:val="clear" w:color="auto" w:fill="auto"/>
          </w:tcPr>
          <w:p w14:paraId="6778D5A5" w14:textId="77777777" w:rsidR="008C5CFA" w:rsidRPr="009C3005" w:rsidRDefault="00E82A60" w:rsidP="00300A01">
            <w:pPr>
              <w:pStyle w:val="Text1"/>
              <w:spacing w:before="0" w:after="0"/>
              <w:ind w:left="0"/>
              <w:jc w:val="right"/>
              <w:rPr>
                <w:sz w:val="12"/>
                <w:szCs w:val="12"/>
              </w:rPr>
            </w:pPr>
            <w:r w:rsidRPr="009C3005">
              <w:rPr>
                <w:noProof/>
                <w:sz w:val="12"/>
                <w:szCs w:val="12"/>
              </w:rPr>
              <w:t>121 748,95</w:t>
            </w:r>
          </w:p>
        </w:tc>
        <w:tc>
          <w:tcPr>
            <w:tcW w:w="0" w:type="auto"/>
            <w:shd w:val="clear" w:color="auto" w:fill="auto"/>
          </w:tcPr>
          <w:p w14:paraId="21A904F8" w14:textId="77777777" w:rsidR="008C5CFA" w:rsidRPr="009C3005" w:rsidRDefault="00E82A60" w:rsidP="00300A01">
            <w:pPr>
              <w:pStyle w:val="Text1"/>
              <w:spacing w:before="0" w:after="0"/>
              <w:ind w:left="0"/>
              <w:jc w:val="right"/>
              <w:rPr>
                <w:sz w:val="12"/>
                <w:szCs w:val="12"/>
              </w:rPr>
            </w:pPr>
            <w:r w:rsidRPr="009C3005">
              <w:rPr>
                <w:noProof/>
                <w:sz w:val="12"/>
                <w:szCs w:val="12"/>
              </w:rPr>
              <w:t>0,00</w:t>
            </w:r>
          </w:p>
        </w:tc>
        <w:tc>
          <w:tcPr>
            <w:tcW w:w="0" w:type="auto"/>
            <w:shd w:val="clear" w:color="auto" w:fill="auto"/>
          </w:tcPr>
          <w:p w14:paraId="6C305264" w14:textId="77777777" w:rsidR="008C5CFA" w:rsidRPr="009C3005" w:rsidRDefault="00E82A60" w:rsidP="00300A01">
            <w:pPr>
              <w:pStyle w:val="Text1"/>
              <w:spacing w:before="0" w:after="0"/>
              <w:ind w:left="0"/>
              <w:jc w:val="right"/>
              <w:rPr>
                <w:sz w:val="12"/>
                <w:szCs w:val="12"/>
              </w:rPr>
            </w:pPr>
            <w:r w:rsidRPr="009C3005">
              <w:rPr>
                <w:noProof/>
                <w:sz w:val="12"/>
                <w:szCs w:val="12"/>
              </w:rPr>
              <w:t>1</w:t>
            </w:r>
          </w:p>
        </w:tc>
      </w:tr>
      <w:tr w:rsidR="006B2EC1" w14:paraId="7F372C48" w14:textId="77777777" w:rsidTr="0047688D">
        <w:tc>
          <w:tcPr>
            <w:tcW w:w="0" w:type="auto"/>
            <w:shd w:val="clear" w:color="auto" w:fill="auto"/>
          </w:tcPr>
          <w:p w14:paraId="66F1EF60" w14:textId="77777777" w:rsidR="008C5CFA" w:rsidRPr="009C3005" w:rsidRDefault="00E82A60" w:rsidP="00300A01">
            <w:pPr>
              <w:pStyle w:val="Text1"/>
              <w:spacing w:before="0" w:after="0"/>
              <w:ind w:left="0"/>
              <w:rPr>
                <w:sz w:val="12"/>
                <w:szCs w:val="12"/>
              </w:rPr>
            </w:pPr>
            <w:r>
              <w:rPr>
                <w:noProof/>
                <w:sz w:val="14"/>
                <w:szCs w:val="14"/>
                <w:lang w:val="fr-BE"/>
              </w:rPr>
              <w:t>3</w:t>
            </w:r>
          </w:p>
        </w:tc>
        <w:tc>
          <w:tcPr>
            <w:tcW w:w="0" w:type="auto"/>
            <w:shd w:val="clear" w:color="auto" w:fill="auto"/>
          </w:tcPr>
          <w:p w14:paraId="6A79358D" w14:textId="77777777" w:rsidR="008C5CFA" w:rsidRPr="009C3005" w:rsidRDefault="00E82A60" w:rsidP="00300A01">
            <w:pPr>
              <w:pStyle w:val="Text1"/>
              <w:spacing w:before="0" w:after="0"/>
              <w:ind w:left="0"/>
              <w:rPr>
                <w:sz w:val="12"/>
                <w:szCs w:val="12"/>
              </w:rPr>
            </w:pPr>
            <w:r>
              <w:rPr>
                <w:noProof/>
                <w:sz w:val="12"/>
                <w:szCs w:val="12"/>
              </w:rPr>
              <w:t>EFRR</w:t>
            </w:r>
          </w:p>
        </w:tc>
        <w:tc>
          <w:tcPr>
            <w:tcW w:w="0" w:type="auto"/>
            <w:shd w:val="clear" w:color="auto" w:fill="auto"/>
          </w:tcPr>
          <w:p w14:paraId="47084FD8" w14:textId="77777777" w:rsidR="008C5CFA" w:rsidRPr="009C3005" w:rsidRDefault="00E82A60" w:rsidP="00300A01">
            <w:pPr>
              <w:pStyle w:val="Text1"/>
              <w:spacing w:before="0" w:after="0"/>
              <w:ind w:left="0"/>
              <w:rPr>
                <w:sz w:val="12"/>
                <w:szCs w:val="12"/>
              </w:rPr>
            </w:pPr>
            <w:r>
              <w:rPr>
                <w:noProof/>
                <w:sz w:val="12"/>
                <w:szCs w:val="12"/>
              </w:rPr>
              <w:t>Słabiej rozwinięte</w:t>
            </w:r>
          </w:p>
        </w:tc>
        <w:tc>
          <w:tcPr>
            <w:tcW w:w="0" w:type="auto"/>
            <w:shd w:val="clear" w:color="auto" w:fill="auto"/>
          </w:tcPr>
          <w:p w14:paraId="24EBE158" w14:textId="77777777" w:rsidR="008C5CFA" w:rsidRPr="009C3005" w:rsidRDefault="00E82A60" w:rsidP="00300A01">
            <w:pPr>
              <w:pStyle w:val="Text1"/>
              <w:spacing w:before="0" w:after="0"/>
              <w:ind w:left="0"/>
              <w:rPr>
                <w:sz w:val="12"/>
                <w:szCs w:val="12"/>
              </w:rPr>
            </w:pPr>
            <w:r>
              <w:rPr>
                <w:noProof/>
                <w:sz w:val="12"/>
                <w:szCs w:val="12"/>
              </w:rPr>
              <w:t>068</w:t>
            </w:r>
          </w:p>
        </w:tc>
        <w:tc>
          <w:tcPr>
            <w:tcW w:w="0" w:type="auto"/>
            <w:shd w:val="clear" w:color="auto" w:fill="auto"/>
          </w:tcPr>
          <w:p w14:paraId="0830B893"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50259D71" w14:textId="77777777" w:rsidR="008C5CFA" w:rsidRPr="009C3005" w:rsidRDefault="00E82A60" w:rsidP="00300A01">
            <w:pPr>
              <w:pStyle w:val="Text1"/>
              <w:spacing w:before="0" w:after="0"/>
              <w:ind w:left="0"/>
              <w:rPr>
                <w:sz w:val="12"/>
                <w:szCs w:val="12"/>
              </w:rPr>
            </w:pPr>
            <w:r>
              <w:rPr>
                <w:noProof/>
                <w:sz w:val="12"/>
                <w:szCs w:val="12"/>
              </w:rPr>
              <w:t>02</w:t>
            </w:r>
          </w:p>
        </w:tc>
        <w:tc>
          <w:tcPr>
            <w:tcW w:w="0" w:type="auto"/>
            <w:shd w:val="clear" w:color="auto" w:fill="auto"/>
          </w:tcPr>
          <w:p w14:paraId="4E15E12D"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386C4F1E" w14:textId="77777777" w:rsidR="008C5CFA" w:rsidRPr="009C3005" w:rsidRDefault="00E82A60" w:rsidP="00300A01">
            <w:pPr>
              <w:pStyle w:val="Text1"/>
              <w:spacing w:before="0" w:after="0"/>
              <w:ind w:left="0"/>
              <w:rPr>
                <w:sz w:val="12"/>
                <w:szCs w:val="12"/>
              </w:rPr>
            </w:pPr>
            <w:r>
              <w:rPr>
                <w:noProof/>
                <w:sz w:val="12"/>
                <w:szCs w:val="12"/>
              </w:rPr>
              <w:t>04</w:t>
            </w:r>
          </w:p>
        </w:tc>
        <w:tc>
          <w:tcPr>
            <w:tcW w:w="0" w:type="auto"/>
            <w:shd w:val="clear" w:color="auto" w:fill="auto"/>
          </w:tcPr>
          <w:p w14:paraId="2E240E96" w14:textId="77777777" w:rsidR="008C5CFA" w:rsidRPr="009C3005" w:rsidRDefault="00E82A60" w:rsidP="00300A01">
            <w:pPr>
              <w:pStyle w:val="Text1"/>
              <w:spacing w:before="0" w:after="0"/>
              <w:ind w:left="0"/>
              <w:rPr>
                <w:sz w:val="12"/>
                <w:szCs w:val="12"/>
              </w:rPr>
            </w:pPr>
            <w:r>
              <w:rPr>
                <w:sz w:val="12"/>
                <w:szCs w:val="12"/>
              </w:rPr>
              <w:t xml:space="preserve"> </w:t>
            </w:r>
          </w:p>
        </w:tc>
        <w:tc>
          <w:tcPr>
            <w:tcW w:w="0" w:type="auto"/>
            <w:shd w:val="clear" w:color="auto" w:fill="auto"/>
          </w:tcPr>
          <w:p w14:paraId="38505E6B" w14:textId="77777777" w:rsidR="008C5CFA" w:rsidRPr="009C3005" w:rsidRDefault="00E82A60" w:rsidP="00300A01">
            <w:pPr>
              <w:pStyle w:val="Text1"/>
              <w:spacing w:before="0" w:after="0"/>
              <w:ind w:left="0"/>
              <w:rPr>
                <w:sz w:val="12"/>
                <w:szCs w:val="12"/>
              </w:rPr>
            </w:pPr>
            <w:r>
              <w:rPr>
                <w:noProof/>
                <w:sz w:val="12"/>
                <w:szCs w:val="12"/>
              </w:rPr>
              <w:t>05</w:t>
            </w:r>
          </w:p>
        </w:tc>
        <w:tc>
          <w:tcPr>
            <w:tcW w:w="0" w:type="auto"/>
            <w:shd w:val="clear" w:color="auto" w:fill="auto"/>
          </w:tcPr>
          <w:p w14:paraId="7E43051C" w14:textId="77777777" w:rsidR="008C5CFA" w:rsidRPr="009C3005" w:rsidRDefault="00E82A60" w:rsidP="00300A01">
            <w:pPr>
              <w:pStyle w:val="Text1"/>
              <w:spacing w:before="0" w:after="0"/>
              <w:ind w:left="0"/>
              <w:rPr>
                <w:sz w:val="12"/>
                <w:szCs w:val="12"/>
              </w:rPr>
            </w:pPr>
            <w:r>
              <w:rPr>
                <w:noProof/>
                <w:sz w:val="12"/>
                <w:szCs w:val="12"/>
              </w:rPr>
              <w:t>PL33</w:t>
            </w:r>
          </w:p>
        </w:tc>
        <w:tc>
          <w:tcPr>
            <w:tcW w:w="0" w:type="auto"/>
            <w:shd w:val="clear" w:color="auto" w:fill="auto"/>
          </w:tcPr>
          <w:p w14:paraId="6C2805FF" w14:textId="77777777" w:rsidR="008C5CFA" w:rsidRPr="009C3005" w:rsidRDefault="00E82A60" w:rsidP="00300A01">
            <w:pPr>
              <w:pStyle w:val="Text1"/>
              <w:spacing w:before="0" w:after="0"/>
              <w:ind w:left="0"/>
              <w:jc w:val="right"/>
              <w:rPr>
                <w:sz w:val="12"/>
                <w:szCs w:val="12"/>
              </w:rPr>
            </w:pPr>
            <w:r w:rsidRPr="009C3005">
              <w:rPr>
                <w:noProof/>
                <w:sz w:val="12"/>
                <w:szCs w:val="12"/>
              </w:rPr>
              <w:t>35 031,74</w:t>
            </w:r>
          </w:p>
        </w:tc>
        <w:tc>
          <w:tcPr>
            <w:tcW w:w="0" w:type="auto"/>
            <w:shd w:val="clear" w:color="auto" w:fill="auto"/>
          </w:tcPr>
          <w:p w14:paraId="567AE72B" w14:textId="77777777" w:rsidR="008C5CFA" w:rsidRPr="009C3005" w:rsidRDefault="00E82A60" w:rsidP="00300A01">
            <w:pPr>
              <w:pStyle w:val="Text1"/>
              <w:spacing w:before="0" w:after="0"/>
              <w:ind w:left="0"/>
              <w:jc w:val="right"/>
              <w:rPr>
                <w:sz w:val="12"/>
                <w:szCs w:val="12"/>
              </w:rPr>
            </w:pPr>
            <w:r w:rsidRPr="009C3005">
              <w:rPr>
                <w:noProof/>
                <w:sz w:val="12"/>
                <w:szCs w:val="12"/>
              </w:rPr>
              <w:t>22 770,63</w:t>
            </w:r>
          </w:p>
        </w:tc>
        <w:tc>
          <w:tcPr>
            <w:tcW w:w="0" w:type="auto"/>
            <w:shd w:val="clear" w:color="auto" w:fill="auto"/>
          </w:tcPr>
          <w:p w14:paraId="44034D3D" w14:textId="77777777" w:rsidR="008C5CFA" w:rsidRPr="009C3005" w:rsidRDefault="00E82A60" w:rsidP="00300A01">
            <w:pPr>
              <w:pStyle w:val="Text1"/>
              <w:spacing w:before="0" w:after="0"/>
              <w:ind w:left="0"/>
              <w:jc w:val="right"/>
              <w:rPr>
                <w:sz w:val="12"/>
                <w:szCs w:val="12"/>
              </w:rPr>
            </w:pPr>
            <w:r w:rsidRPr="009C3005">
              <w:rPr>
                <w:noProof/>
                <w:sz w:val="12"/>
                <w:szCs w:val="12"/>
              </w:rPr>
              <w:t>0,00</w:t>
            </w:r>
          </w:p>
        </w:tc>
        <w:tc>
          <w:tcPr>
            <w:tcW w:w="0" w:type="auto"/>
            <w:shd w:val="clear" w:color="auto" w:fill="auto"/>
          </w:tcPr>
          <w:p w14:paraId="4DB6F739" w14:textId="77777777" w:rsidR="008C5CFA" w:rsidRPr="009C3005" w:rsidRDefault="00E82A60" w:rsidP="00300A01">
            <w:pPr>
              <w:pStyle w:val="Text1"/>
              <w:spacing w:before="0" w:after="0"/>
              <w:ind w:left="0"/>
              <w:jc w:val="right"/>
              <w:rPr>
                <w:sz w:val="12"/>
                <w:szCs w:val="12"/>
              </w:rPr>
            </w:pPr>
            <w:r w:rsidRPr="009C3005">
              <w:rPr>
                <w:noProof/>
                <w:sz w:val="12"/>
                <w:szCs w:val="12"/>
              </w:rPr>
              <w:t>1</w:t>
            </w:r>
          </w:p>
        </w:tc>
      </w:tr>
      <w:tr w:rsidR="006B2EC1" w14:paraId="1593391E" w14:textId="77777777" w:rsidTr="0047688D">
        <w:tc>
          <w:tcPr>
            <w:tcW w:w="0" w:type="auto"/>
            <w:shd w:val="clear" w:color="auto" w:fill="auto"/>
          </w:tcPr>
          <w:p w14:paraId="02AAB98D" w14:textId="77777777" w:rsidR="008C5CFA" w:rsidRPr="009C3005" w:rsidRDefault="00E82A60" w:rsidP="00300A01">
            <w:pPr>
              <w:pStyle w:val="Text1"/>
              <w:spacing w:before="0" w:after="0"/>
              <w:ind w:left="0"/>
              <w:rPr>
                <w:sz w:val="12"/>
                <w:szCs w:val="12"/>
              </w:rPr>
            </w:pPr>
            <w:r>
              <w:rPr>
                <w:noProof/>
                <w:sz w:val="14"/>
                <w:szCs w:val="14"/>
                <w:lang w:val="fr-BE"/>
              </w:rPr>
              <w:t>3</w:t>
            </w:r>
          </w:p>
        </w:tc>
        <w:tc>
          <w:tcPr>
            <w:tcW w:w="0" w:type="auto"/>
            <w:shd w:val="clear" w:color="auto" w:fill="auto"/>
          </w:tcPr>
          <w:p w14:paraId="6A9CFF35" w14:textId="77777777" w:rsidR="008C5CFA" w:rsidRPr="009C3005" w:rsidRDefault="00E82A60" w:rsidP="00300A01">
            <w:pPr>
              <w:pStyle w:val="Text1"/>
              <w:spacing w:before="0" w:after="0"/>
              <w:ind w:left="0"/>
              <w:rPr>
                <w:sz w:val="12"/>
                <w:szCs w:val="12"/>
              </w:rPr>
            </w:pPr>
            <w:r>
              <w:rPr>
                <w:noProof/>
                <w:sz w:val="12"/>
                <w:szCs w:val="12"/>
              </w:rPr>
              <w:t>EFRR</w:t>
            </w:r>
          </w:p>
        </w:tc>
        <w:tc>
          <w:tcPr>
            <w:tcW w:w="0" w:type="auto"/>
            <w:shd w:val="clear" w:color="auto" w:fill="auto"/>
          </w:tcPr>
          <w:p w14:paraId="23F77BCF" w14:textId="77777777" w:rsidR="008C5CFA" w:rsidRPr="009C3005" w:rsidRDefault="00E82A60" w:rsidP="00300A01">
            <w:pPr>
              <w:pStyle w:val="Text1"/>
              <w:spacing w:before="0" w:after="0"/>
              <w:ind w:left="0"/>
              <w:rPr>
                <w:sz w:val="12"/>
                <w:szCs w:val="12"/>
              </w:rPr>
            </w:pPr>
            <w:r>
              <w:rPr>
                <w:noProof/>
                <w:sz w:val="12"/>
                <w:szCs w:val="12"/>
              </w:rPr>
              <w:t>Słabiej rozwinięte</w:t>
            </w:r>
          </w:p>
        </w:tc>
        <w:tc>
          <w:tcPr>
            <w:tcW w:w="0" w:type="auto"/>
            <w:shd w:val="clear" w:color="auto" w:fill="auto"/>
          </w:tcPr>
          <w:p w14:paraId="68557FBA" w14:textId="77777777" w:rsidR="008C5CFA" w:rsidRPr="009C3005" w:rsidRDefault="00E82A60" w:rsidP="00300A01">
            <w:pPr>
              <w:pStyle w:val="Text1"/>
              <w:spacing w:before="0" w:after="0"/>
              <w:ind w:left="0"/>
              <w:rPr>
                <w:sz w:val="12"/>
                <w:szCs w:val="12"/>
              </w:rPr>
            </w:pPr>
            <w:r>
              <w:rPr>
                <w:noProof/>
                <w:sz w:val="12"/>
                <w:szCs w:val="12"/>
              </w:rPr>
              <w:t>068</w:t>
            </w:r>
          </w:p>
        </w:tc>
        <w:tc>
          <w:tcPr>
            <w:tcW w:w="0" w:type="auto"/>
            <w:shd w:val="clear" w:color="auto" w:fill="auto"/>
          </w:tcPr>
          <w:p w14:paraId="3311E002"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4FCB739C" w14:textId="77777777" w:rsidR="008C5CFA" w:rsidRPr="009C3005" w:rsidRDefault="00E82A60" w:rsidP="00300A01">
            <w:pPr>
              <w:pStyle w:val="Text1"/>
              <w:spacing w:before="0" w:after="0"/>
              <w:ind w:left="0"/>
              <w:rPr>
                <w:sz w:val="12"/>
                <w:szCs w:val="12"/>
              </w:rPr>
            </w:pPr>
            <w:r>
              <w:rPr>
                <w:noProof/>
                <w:sz w:val="12"/>
                <w:szCs w:val="12"/>
              </w:rPr>
              <w:t>02</w:t>
            </w:r>
          </w:p>
        </w:tc>
        <w:tc>
          <w:tcPr>
            <w:tcW w:w="0" w:type="auto"/>
            <w:shd w:val="clear" w:color="auto" w:fill="auto"/>
          </w:tcPr>
          <w:p w14:paraId="4B1EFB11"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7E929B61" w14:textId="77777777" w:rsidR="008C5CFA" w:rsidRPr="009C3005" w:rsidRDefault="00E82A60" w:rsidP="00300A01">
            <w:pPr>
              <w:pStyle w:val="Text1"/>
              <w:spacing w:before="0" w:after="0"/>
              <w:ind w:left="0"/>
              <w:rPr>
                <w:sz w:val="12"/>
                <w:szCs w:val="12"/>
              </w:rPr>
            </w:pPr>
            <w:r>
              <w:rPr>
                <w:noProof/>
                <w:sz w:val="12"/>
                <w:szCs w:val="12"/>
              </w:rPr>
              <w:t>04</w:t>
            </w:r>
          </w:p>
        </w:tc>
        <w:tc>
          <w:tcPr>
            <w:tcW w:w="0" w:type="auto"/>
            <w:shd w:val="clear" w:color="auto" w:fill="auto"/>
          </w:tcPr>
          <w:p w14:paraId="595FE122" w14:textId="77777777" w:rsidR="008C5CFA" w:rsidRPr="009C3005" w:rsidRDefault="00E82A60" w:rsidP="00300A01">
            <w:pPr>
              <w:pStyle w:val="Text1"/>
              <w:spacing w:before="0" w:after="0"/>
              <w:ind w:left="0"/>
              <w:rPr>
                <w:sz w:val="12"/>
                <w:szCs w:val="12"/>
              </w:rPr>
            </w:pPr>
            <w:r>
              <w:rPr>
                <w:sz w:val="12"/>
                <w:szCs w:val="12"/>
              </w:rPr>
              <w:t xml:space="preserve"> </w:t>
            </w:r>
          </w:p>
        </w:tc>
        <w:tc>
          <w:tcPr>
            <w:tcW w:w="0" w:type="auto"/>
            <w:shd w:val="clear" w:color="auto" w:fill="auto"/>
          </w:tcPr>
          <w:p w14:paraId="4E4CA9CC"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6E1AC5C8" w14:textId="77777777" w:rsidR="008C5CFA" w:rsidRPr="009C3005" w:rsidRDefault="00E82A60" w:rsidP="00300A01">
            <w:pPr>
              <w:pStyle w:val="Text1"/>
              <w:spacing w:before="0" w:after="0"/>
              <w:ind w:left="0"/>
              <w:rPr>
                <w:sz w:val="12"/>
                <w:szCs w:val="12"/>
              </w:rPr>
            </w:pPr>
            <w:r>
              <w:rPr>
                <w:noProof/>
                <w:sz w:val="12"/>
                <w:szCs w:val="12"/>
              </w:rPr>
              <w:t>PL33</w:t>
            </w:r>
          </w:p>
        </w:tc>
        <w:tc>
          <w:tcPr>
            <w:tcW w:w="0" w:type="auto"/>
            <w:shd w:val="clear" w:color="auto" w:fill="auto"/>
          </w:tcPr>
          <w:p w14:paraId="14227F39" w14:textId="77777777" w:rsidR="008C5CFA" w:rsidRPr="009C3005" w:rsidRDefault="00E82A60" w:rsidP="00300A01">
            <w:pPr>
              <w:pStyle w:val="Text1"/>
              <w:spacing w:before="0" w:after="0"/>
              <w:ind w:left="0"/>
              <w:jc w:val="right"/>
              <w:rPr>
                <w:sz w:val="12"/>
                <w:szCs w:val="12"/>
              </w:rPr>
            </w:pPr>
            <w:r w:rsidRPr="009C3005">
              <w:rPr>
                <w:noProof/>
                <w:sz w:val="12"/>
                <w:szCs w:val="12"/>
              </w:rPr>
              <w:t>1 945 302,80</w:t>
            </w:r>
          </w:p>
        </w:tc>
        <w:tc>
          <w:tcPr>
            <w:tcW w:w="0" w:type="auto"/>
            <w:shd w:val="clear" w:color="auto" w:fill="auto"/>
          </w:tcPr>
          <w:p w14:paraId="0A776109" w14:textId="77777777" w:rsidR="008C5CFA" w:rsidRPr="009C3005" w:rsidRDefault="00E82A60" w:rsidP="00300A01">
            <w:pPr>
              <w:pStyle w:val="Text1"/>
              <w:spacing w:before="0" w:after="0"/>
              <w:ind w:left="0"/>
              <w:jc w:val="right"/>
              <w:rPr>
                <w:sz w:val="12"/>
                <w:szCs w:val="12"/>
              </w:rPr>
            </w:pPr>
            <w:r w:rsidRPr="009C3005">
              <w:rPr>
                <w:noProof/>
                <w:sz w:val="12"/>
                <w:szCs w:val="12"/>
              </w:rPr>
              <w:t>1 209 497,81</w:t>
            </w:r>
          </w:p>
        </w:tc>
        <w:tc>
          <w:tcPr>
            <w:tcW w:w="0" w:type="auto"/>
            <w:shd w:val="clear" w:color="auto" w:fill="auto"/>
          </w:tcPr>
          <w:p w14:paraId="20D25A02" w14:textId="77777777" w:rsidR="008C5CFA" w:rsidRPr="009C3005" w:rsidRDefault="00E82A60" w:rsidP="00300A01">
            <w:pPr>
              <w:pStyle w:val="Text1"/>
              <w:spacing w:before="0" w:after="0"/>
              <w:ind w:left="0"/>
              <w:jc w:val="right"/>
              <w:rPr>
                <w:sz w:val="12"/>
                <w:szCs w:val="12"/>
              </w:rPr>
            </w:pPr>
            <w:r w:rsidRPr="009C3005">
              <w:rPr>
                <w:noProof/>
                <w:sz w:val="12"/>
                <w:szCs w:val="12"/>
              </w:rPr>
              <w:t>0,00</w:t>
            </w:r>
          </w:p>
        </w:tc>
        <w:tc>
          <w:tcPr>
            <w:tcW w:w="0" w:type="auto"/>
            <w:shd w:val="clear" w:color="auto" w:fill="auto"/>
          </w:tcPr>
          <w:p w14:paraId="40D3B9FF" w14:textId="77777777" w:rsidR="008C5CFA" w:rsidRPr="009C3005" w:rsidRDefault="00E82A60" w:rsidP="00300A01">
            <w:pPr>
              <w:pStyle w:val="Text1"/>
              <w:spacing w:before="0" w:after="0"/>
              <w:ind w:left="0"/>
              <w:jc w:val="right"/>
              <w:rPr>
                <w:sz w:val="12"/>
                <w:szCs w:val="12"/>
              </w:rPr>
            </w:pPr>
            <w:r w:rsidRPr="009C3005">
              <w:rPr>
                <w:noProof/>
                <w:sz w:val="12"/>
                <w:szCs w:val="12"/>
              </w:rPr>
              <w:t>7</w:t>
            </w:r>
          </w:p>
        </w:tc>
      </w:tr>
      <w:tr w:rsidR="006B2EC1" w14:paraId="341C577A" w14:textId="77777777" w:rsidTr="0047688D">
        <w:tc>
          <w:tcPr>
            <w:tcW w:w="0" w:type="auto"/>
            <w:shd w:val="clear" w:color="auto" w:fill="auto"/>
          </w:tcPr>
          <w:p w14:paraId="4C02E055" w14:textId="77777777" w:rsidR="008C5CFA" w:rsidRPr="009C3005" w:rsidRDefault="00E82A60" w:rsidP="00300A01">
            <w:pPr>
              <w:pStyle w:val="Text1"/>
              <w:spacing w:before="0" w:after="0"/>
              <w:ind w:left="0"/>
              <w:rPr>
                <w:sz w:val="12"/>
                <w:szCs w:val="12"/>
              </w:rPr>
            </w:pPr>
            <w:r>
              <w:rPr>
                <w:noProof/>
                <w:sz w:val="14"/>
                <w:szCs w:val="14"/>
                <w:lang w:val="fr-BE"/>
              </w:rPr>
              <w:t>3</w:t>
            </w:r>
          </w:p>
        </w:tc>
        <w:tc>
          <w:tcPr>
            <w:tcW w:w="0" w:type="auto"/>
            <w:shd w:val="clear" w:color="auto" w:fill="auto"/>
          </w:tcPr>
          <w:p w14:paraId="2564EBB5" w14:textId="77777777" w:rsidR="008C5CFA" w:rsidRPr="009C3005" w:rsidRDefault="00E82A60" w:rsidP="00300A01">
            <w:pPr>
              <w:pStyle w:val="Text1"/>
              <w:spacing w:before="0" w:after="0"/>
              <w:ind w:left="0"/>
              <w:rPr>
                <w:sz w:val="12"/>
                <w:szCs w:val="12"/>
              </w:rPr>
            </w:pPr>
            <w:r>
              <w:rPr>
                <w:noProof/>
                <w:sz w:val="12"/>
                <w:szCs w:val="12"/>
              </w:rPr>
              <w:t>EFRR</w:t>
            </w:r>
          </w:p>
        </w:tc>
        <w:tc>
          <w:tcPr>
            <w:tcW w:w="0" w:type="auto"/>
            <w:shd w:val="clear" w:color="auto" w:fill="auto"/>
          </w:tcPr>
          <w:p w14:paraId="2BB33587" w14:textId="77777777" w:rsidR="008C5CFA" w:rsidRPr="009C3005" w:rsidRDefault="00E82A60" w:rsidP="00300A01">
            <w:pPr>
              <w:pStyle w:val="Text1"/>
              <w:spacing w:before="0" w:after="0"/>
              <w:ind w:left="0"/>
              <w:rPr>
                <w:sz w:val="12"/>
                <w:szCs w:val="12"/>
              </w:rPr>
            </w:pPr>
            <w:r>
              <w:rPr>
                <w:noProof/>
                <w:sz w:val="12"/>
                <w:szCs w:val="12"/>
              </w:rPr>
              <w:t>Słabiej rozwinięte</w:t>
            </w:r>
          </w:p>
        </w:tc>
        <w:tc>
          <w:tcPr>
            <w:tcW w:w="0" w:type="auto"/>
            <w:shd w:val="clear" w:color="auto" w:fill="auto"/>
          </w:tcPr>
          <w:p w14:paraId="15194D6B" w14:textId="77777777" w:rsidR="008C5CFA" w:rsidRPr="009C3005" w:rsidRDefault="00E82A60" w:rsidP="00300A01">
            <w:pPr>
              <w:pStyle w:val="Text1"/>
              <w:spacing w:before="0" w:after="0"/>
              <w:ind w:left="0"/>
              <w:rPr>
                <w:sz w:val="12"/>
                <w:szCs w:val="12"/>
              </w:rPr>
            </w:pPr>
            <w:r>
              <w:rPr>
                <w:noProof/>
                <w:sz w:val="12"/>
                <w:szCs w:val="12"/>
              </w:rPr>
              <w:t>068</w:t>
            </w:r>
          </w:p>
        </w:tc>
        <w:tc>
          <w:tcPr>
            <w:tcW w:w="0" w:type="auto"/>
            <w:shd w:val="clear" w:color="auto" w:fill="auto"/>
          </w:tcPr>
          <w:p w14:paraId="06BBBF64"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6BAA17AC" w14:textId="77777777" w:rsidR="008C5CFA" w:rsidRPr="009C3005" w:rsidRDefault="00E82A60" w:rsidP="00300A01">
            <w:pPr>
              <w:pStyle w:val="Text1"/>
              <w:spacing w:before="0" w:after="0"/>
              <w:ind w:left="0"/>
              <w:rPr>
                <w:sz w:val="12"/>
                <w:szCs w:val="12"/>
              </w:rPr>
            </w:pPr>
            <w:r>
              <w:rPr>
                <w:noProof/>
                <w:sz w:val="12"/>
                <w:szCs w:val="12"/>
              </w:rPr>
              <w:t>02</w:t>
            </w:r>
          </w:p>
        </w:tc>
        <w:tc>
          <w:tcPr>
            <w:tcW w:w="0" w:type="auto"/>
            <w:shd w:val="clear" w:color="auto" w:fill="auto"/>
          </w:tcPr>
          <w:p w14:paraId="775B1219"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7BD24995" w14:textId="77777777" w:rsidR="008C5CFA" w:rsidRPr="009C3005" w:rsidRDefault="00E82A60" w:rsidP="00300A01">
            <w:pPr>
              <w:pStyle w:val="Text1"/>
              <w:spacing w:before="0" w:after="0"/>
              <w:ind w:left="0"/>
              <w:rPr>
                <w:sz w:val="12"/>
                <w:szCs w:val="12"/>
              </w:rPr>
            </w:pPr>
            <w:r>
              <w:rPr>
                <w:noProof/>
                <w:sz w:val="12"/>
                <w:szCs w:val="12"/>
              </w:rPr>
              <w:t>04</w:t>
            </w:r>
          </w:p>
        </w:tc>
        <w:tc>
          <w:tcPr>
            <w:tcW w:w="0" w:type="auto"/>
            <w:shd w:val="clear" w:color="auto" w:fill="auto"/>
          </w:tcPr>
          <w:p w14:paraId="4D5DC6C0" w14:textId="77777777" w:rsidR="008C5CFA" w:rsidRPr="009C3005" w:rsidRDefault="00E82A60" w:rsidP="00300A01">
            <w:pPr>
              <w:pStyle w:val="Text1"/>
              <w:spacing w:before="0" w:after="0"/>
              <w:ind w:left="0"/>
              <w:rPr>
                <w:sz w:val="12"/>
                <w:szCs w:val="12"/>
              </w:rPr>
            </w:pPr>
            <w:r>
              <w:rPr>
                <w:sz w:val="12"/>
                <w:szCs w:val="12"/>
              </w:rPr>
              <w:t xml:space="preserve"> </w:t>
            </w:r>
          </w:p>
        </w:tc>
        <w:tc>
          <w:tcPr>
            <w:tcW w:w="0" w:type="auto"/>
            <w:shd w:val="clear" w:color="auto" w:fill="auto"/>
          </w:tcPr>
          <w:p w14:paraId="219E83B3" w14:textId="77777777" w:rsidR="008C5CFA" w:rsidRPr="009C3005" w:rsidRDefault="00E82A60" w:rsidP="00300A01">
            <w:pPr>
              <w:pStyle w:val="Text1"/>
              <w:spacing w:before="0" w:after="0"/>
              <w:ind w:left="0"/>
              <w:rPr>
                <w:sz w:val="12"/>
                <w:szCs w:val="12"/>
              </w:rPr>
            </w:pPr>
            <w:r>
              <w:rPr>
                <w:noProof/>
                <w:sz w:val="12"/>
                <w:szCs w:val="12"/>
              </w:rPr>
              <w:t>08</w:t>
            </w:r>
          </w:p>
        </w:tc>
        <w:tc>
          <w:tcPr>
            <w:tcW w:w="0" w:type="auto"/>
            <w:shd w:val="clear" w:color="auto" w:fill="auto"/>
          </w:tcPr>
          <w:p w14:paraId="592F3C99" w14:textId="77777777" w:rsidR="008C5CFA" w:rsidRPr="009C3005" w:rsidRDefault="00E82A60" w:rsidP="00300A01">
            <w:pPr>
              <w:pStyle w:val="Text1"/>
              <w:spacing w:before="0" w:after="0"/>
              <w:ind w:left="0"/>
              <w:rPr>
                <w:sz w:val="12"/>
                <w:szCs w:val="12"/>
              </w:rPr>
            </w:pPr>
            <w:r>
              <w:rPr>
                <w:noProof/>
                <w:sz w:val="12"/>
                <w:szCs w:val="12"/>
              </w:rPr>
              <w:t>PL33</w:t>
            </w:r>
          </w:p>
        </w:tc>
        <w:tc>
          <w:tcPr>
            <w:tcW w:w="0" w:type="auto"/>
            <w:shd w:val="clear" w:color="auto" w:fill="auto"/>
          </w:tcPr>
          <w:p w14:paraId="043499DE" w14:textId="77777777" w:rsidR="008C5CFA" w:rsidRPr="009C3005" w:rsidRDefault="00E82A60" w:rsidP="00300A01">
            <w:pPr>
              <w:pStyle w:val="Text1"/>
              <w:spacing w:before="0" w:after="0"/>
              <w:ind w:left="0"/>
              <w:jc w:val="right"/>
              <w:rPr>
                <w:sz w:val="12"/>
                <w:szCs w:val="12"/>
              </w:rPr>
            </w:pPr>
            <w:r w:rsidRPr="009C3005">
              <w:rPr>
                <w:noProof/>
                <w:sz w:val="12"/>
                <w:szCs w:val="12"/>
              </w:rPr>
              <w:t>640 572,62</w:t>
            </w:r>
          </w:p>
        </w:tc>
        <w:tc>
          <w:tcPr>
            <w:tcW w:w="0" w:type="auto"/>
            <w:shd w:val="clear" w:color="auto" w:fill="auto"/>
          </w:tcPr>
          <w:p w14:paraId="70FF9CC8" w14:textId="77777777" w:rsidR="008C5CFA" w:rsidRPr="009C3005" w:rsidRDefault="00E82A60" w:rsidP="00300A01">
            <w:pPr>
              <w:pStyle w:val="Text1"/>
              <w:spacing w:before="0" w:after="0"/>
              <w:ind w:left="0"/>
              <w:jc w:val="right"/>
              <w:rPr>
                <w:sz w:val="12"/>
                <w:szCs w:val="12"/>
              </w:rPr>
            </w:pPr>
            <w:r w:rsidRPr="009C3005">
              <w:rPr>
                <w:noProof/>
                <w:sz w:val="12"/>
                <w:szCs w:val="12"/>
              </w:rPr>
              <w:t>427 699,15</w:t>
            </w:r>
          </w:p>
        </w:tc>
        <w:tc>
          <w:tcPr>
            <w:tcW w:w="0" w:type="auto"/>
            <w:shd w:val="clear" w:color="auto" w:fill="auto"/>
          </w:tcPr>
          <w:p w14:paraId="192E9B45" w14:textId="77777777" w:rsidR="008C5CFA" w:rsidRPr="009C3005" w:rsidRDefault="00E82A60" w:rsidP="00300A01">
            <w:pPr>
              <w:pStyle w:val="Text1"/>
              <w:spacing w:before="0" w:after="0"/>
              <w:ind w:left="0"/>
              <w:jc w:val="right"/>
              <w:rPr>
                <w:sz w:val="12"/>
                <w:szCs w:val="12"/>
              </w:rPr>
            </w:pPr>
            <w:r w:rsidRPr="009C3005">
              <w:rPr>
                <w:noProof/>
                <w:sz w:val="12"/>
                <w:szCs w:val="12"/>
              </w:rPr>
              <w:t>177 780,28</w:t>
            </w:r>
          </w:p>
        </w:tc>
        <w:tc>
          <w:tcPr>
            <w:tcW w:w="0" w:type="auto"/>
            <w:shd w:val="clear" w:color="auto" w:fill="auto"/>
          </w:tcPr>
          <w:p w14:paraId="2C076E39" w14:textId="77777777" w:rsidR="008C5CFA" w:rsidRPr="009C3005" w:rsidRDefault="00E82A60" w:rsidP="00300A01">
            <w:pPr>
              <w:pStyle w:val="Text1"/>
              <w:spacing w:before="0" w:after="0"/>
              <w:ind w:left="0"/>
              <w:jc w:val="right"/>
              <w:rPr>
                <w:sz w:val="12"/>
                <w:szCs w:val="12"/>
              </w:rPr>
            </w:pPr>
            <w:r w:rsidRPr="009C3005">
              <w:rPr>
                <w:noProof/>
                <w:sz w:val="12"/>
                <w:szCs w:val="12"/>
              </w:rPr>
              <w:t>3</w:t>
            </w:r>
          </w:p>
        </w:tc>
      </w:tr>
      <w:tr w:rsidR="006B2EC1" w14:paraId="643EFD36" w14:textId="77777777" w:rsidTr="0047688D">
        <w:tc>
          <w:tcPr>
            <w:tcW w:w="0" w:type="auto"/>
            <w:shd w:val="clear" w:color="auto" w:fill="auto"/>
          </w:tcPr>
          <w:p w14:paraId="3E54A3D6" w14:textId="77777777" w:rsidR="008C5CFA" w:rsidRPr="009C3005" w:rsidRDefault="00E82A60" w:rsidP="00300A01">
            <w:pPr>
              <w:pStyle w:val="Text1"/>
              <w:spacing w:before="0" w:after="0"/>
              <w:ind w:left="0"/>
              <w:rPr>
                <w:sz w:val="12"/>
                <w:szCs w:val="12"/>
              </w:rPr>
            </w:pPr>
            <w:r>
              <w:rPr>
                <w:noProof/>
                <w:sz w:val="14"/>
                <w:szCs w:val="14"/>
                <w:lang w:val="fr-BE"/>
              </w:rPr>
              <w:t>3</w:t>
            </w:r>
          </w:p>
        </w:tc>
        <w:tc>
          <w:tcPr>
            <w:tcW w:w="0" w:type="auto"/>
            <w:shd w:val="clear" w:color="auto" w:fill="auto"/>
          </w:tcPr>
          <w:p w14:paraId="501E0B47" w14:textId="77777777" w:rsidR="008C5CFA" w:rsidRPr="009C3005" w:rsidRDefault="00E82A60" w:rsidP="00300A01">
            <w:pPr>
              <w:pStyle w:val="Text1"/>
              <w:spacing w:before="0" w:after="0"/>
              <w:ind w:left="0"/>
              <w:rPr>
                <w:sz w:val="12"/>
                <w:szCs w:val="12"/>
              </w:rPr>
            </w:pPr>
            <w:r>
              <w:rPr>
                <w:noProof/>
                <w:sz w:val="12"/>
                <w:szCs w:val="12"/>
              </w:rPr>
              <w:t>EFRR</w:t>
            </w:r>
          </w:p>
        </w:tc>
        <w:tc>
          <w:tcPr>
            <w:tcW w:w="0" w:type="auto"/>
            <w:shd w:val="clear" w:color="auto" w:fill="auto"/>
          </w:tcPr>
          <w:p w14:paraId="2BA38806" w14:textId="77777777" w:rsidR="008C5CFA" w:rsidRPr="009C3005" w:rsidRDefault="00E82A60" w:rsidP="00300A01">
            <w:pPr>
              <w:pStyle w:val="Text1"/>
              <w:spacing w:before="0" w:after="0"/>
              <w:ind w:left="0"/>
              <w:rPr>
                <w:sz w:val="12"/>
                <w:szCs w:val="12"/>
              </w:rPr>
            </w:pPr>
            <w:r>
              <w:rPr>
                <w:noProof/>
                <w:sz w:val="12"/>
                <w:szCs w:val="12"/>
              </w:rPr>
              <w:t>Słabiej rozwinięte</w:t>
            </w:r>
          </w:p>
        </w:tc>
        <w:tc>
          <w:tcPr>
            <w:tcW w:w="0" w:type="auto"/>
            <w:shd w:val="clear" w:color="auto" w:fill="auto"/>
          </w:tcPr>
          <w:p w14:paraId="3BA610DE" w14:textId="77777777" w:rsidR="008C5CFA" w:rsidRPr="009C3005" w:rsidRDefault="00E82A60" w:rsidP="00300A01">
            <w:pPr>
              <w:pStyle w:val="Text1"/>
              <w:spacing w:before="0" w:after="0"/>
              <w:ind w:left="0"/>
              <w:rPr>
                <w:sz w:val="12"/>
                <w:szCs w:val="12"/>
              </w:rPr>
            </w:pPr>
            <w:r>
              <w:rPr>
                <w:noProof/>
                <w:sz w:val="12"/>
                <w:szCs w:val="12"/>
              </w:rPr>
              <w:t>068</w:t>
            </w:r>
          </w:p>
        </w:tc>
        <w:tc>
          <w:tcPr>
            <w:tcW w:w="0" w:type="auto"/>
            <w:shd w:val="clear" w:color="auto" w:fill="auto"/>
          </w:tcPr>
          <w:p w14:paraId="6CE1E173"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3092D996" w14:textId="77777777" w:rsidR="008C5CFA" w:rsidRPr="009C3005" w:rsidRDefault="00E82A60" w:rsidP="00300A01">
            <w:pPr>
              <w:pStyle w:val="Text1"/>
              <w:spacing w:before="0" w:after="0"/>
              <w:ind w:left="0"/>
              <w:rPr>
                <w:sz w:val="12"/>
                <w:szCs w:val="12"/>
              </w:rPr>
            </w:pPr>
            <w:r>
              <w:rPr>
                <w:noProof/>
                <w:sz w:val="12"/>
                <w:szCs w:val="12"/>
              </w:rPr>
              <w:t>02</w:t>
            </w:r>
          </w:p>
        </w:tc>
        <w:tc>
          <w:tcPr>
            <w:tcW w:w="0" w:type="auto"/>
            <w:shd w:val="clear" w:color="auto" w:fill="auto"/>
          </w:tcPr>
          <w:p w14:paraId="0CB21D0C"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281108C3" w14:textId="77777777" w:rsidR="008C5CFA" w:rsidRPr="009C3005" w:rsidRDefault="00E82A60" w:rsidP="00300A01">
            <w:pPr>
              <w:pStyle w:val="Text1"/>
              <w:spacing w:before="0" w:after="0"/>
              <w:ind w:left="0"/>
              <w:rPr>
                <w:sz w:val="12"/>
                <w:szCs w:val="12"/>
              </w:rPr>
            </w:pPr>
            <w:r>
              <w:rPr>
                <w:noProof/>
                <w:sz w:val="12"/>
                <w:szCs w:val="12"/>
              </w:rPr>
              <w:t>04</w:t>
            </w:r>
          </w:p>
        </w:tc>
        <w:tc>
          <w:tcPr>
            <w:tcW w:w="0" w:type="auto"/>
            <w:shd w:val="clear" w:color="auto" w:fill="auto"/>
          </w:tcPr>
          <w:p w14:paraId="3089EB8B" w14:textId="77777777" w:rsidR="008C5CFA" w:rsidRPr="009C3005" w:rsidRDefault="00E82A60" w:rsidP="00300A01">
            <w:pPr>
              <w:pStyle w:val="Text1"/>
              <w:spacing w:before="0" w:after="0"/>
              <w:ind w:left="0"/>
              <w:rPr>
                <w:sz w:val="12"/>
                <w:szCs w:val="12"/>
              </w:rPr>
            </w:pPr>
            <w:r>
              <w:rPr>
                <w:sz w:val="12"/>
                <w:szCs w:val="12"/>
              </w:rPr>
              <w:t xml:space="preserve"> </w:t>
            </w:r>
          </w:p>
        </w:tc>
        <w:tc>
          <w:tcPr>
            <w:tcW w:w="0" w:type="auto"/>
            <w:shd w:val="clear" w:color="auto" w:fill="auto"/>
          </w:tcPr>
          <w:p w14:paraId="361E1102" w14:textId="77777777" w:rsidR="008C5CFA" w:rsidRPr="009C3005" w:rsidRDefault="00E82A60" w:rsidP="00300A01">
            <w:pPr>
              <w:pStyle w:val="Text1"/>
              <w:spacing w:before="0" w:after="0"/>
              <w:ind w:left="0"/>
              <w:rPr>
                <w:sz w:val="12"/>
                <w:szCs w:val="12"/>
              </w:rPr>
            </w:pPr>
            <w:r>
              <w:rPr>
                <w:noProof/>
                <w:sz w:val="12"/>
                <w:szCs w:val="12"/>
              </w:rPr>
              <w:t>11</w:t>
            </w:r>
          </w:p>
        </w:tc>
        <w:tc>
          <w:tcPr>
            <w:tcW w:w="0" w:type="auto"/>
            <w:shd w:val="clear" w:color="auto" w:fill="auto"/>
          </w:tcPr>
          <w:p w14:paraId="3A7F4794" w14:textId="77777777" w:rsidR="008C5CFA" w:rsidRPr="009C3005" w:rsidRDefault="00E82A60" w:rsidP="00300A01">
            <w:pPr>
              <w:pStyle w:val="Text1"/>
              <w:spacing w:before="0" w:after="0"/>
              <w:ind w:left="0"/>
              <w:rPr>
                <w:sz w:val="12"/>
                <w:szCs w:val="12"/>
              </w:rPr>
            </w:pPr>
            <w:r>
              <w:rPr>
                <w:noProof/>
                <w:sz w:val="12"/>
                <w:szCs w:val="12"/>
              </w:rPr>
              <w:t>PL33</w:t>
            </w:r>
          </w:p>
        </w:tc>
        <w:tc>
          <w:tcPr>
            <w:tcW w:w="0" w:type="auto"/>
            <w:shd w:val="clear" w:color="auto" w:fill="auto"/>
          </w:tcPr>
          <w:p w14:paraId="3FE9C80A" w14:textId="77777777" w:rsidR="008C5CFA" w:rsidRPr="009C3005" w:rsidRDefault="00E82A60" w:rsidP="00300A01">
            <w:pPr>
              <w:pStyle w:val="Text1"/>
              <w:spacing w:before="0" w:after="0"/>
              <w:ind w:left="0"/>
              <w:jc w:val="right"/>
              <w:rPr>
                <w:sz w:val="12"/>
                <w:szCs w:val="12"/>
              </w:rPr>
            </w:pPr>
            <w:r w:rsidRPr="009C3005">
              <w:rPr>
                <w:noProof/>
                <w:sz w:val="12"/>
                <w:szCs w:val="12"/>
              </w:rPr>
              <w:t>100 258,05</w:t>
            </w:r>
          </w:p>
        </w:tc>
        <w:tc>
          <w:tcPr>
            <w:tcW w:w="0" w:type="auto"/>
            <w:shd w:val="clear" w:color="auto" w:fill="auto"/>
          </w:tcPr>
          <w:p w14:paraId="06AC0838" w14:textId="77777777" w:rsidR="008C5CFA" w:rsidRPr="009C3005" w:rsidRDefault="00E82A60" w:rsidP="00300A01">
            <w:pPr>
              <w:pStyle w:val="Text1"/>
              <w:spacing w:before="0" w:after="0"/>
              <w:ind w:left="0"/>
              <w:jc w:val="right"/>
              <w:rPr>
                <w:sz w:val="12"/>
                <w:szCs w:val="12"/>
              </w:rPr>
            </w:pPr>
            <w:r w:rsidRPr="009C3005">
              <w:rPr>
                <w:noProof/>
                <w:sz w:val="12"/>
                <w:szCs w:val="12"/>
              </w:rPr>
              <w:t>66 559,29</w:t>
            </w:r>
          </w:p>
        </w:tc>
        <w:tc>
          <w:tcPr>
            <w:tcW w:w="0" w:type="auto"/>
            <w:shd w:val="clear" w:color="auto" w:fill="auto"/>
          </w:tcPr>
          <w:p w14:paraId="10C404FE" w14:textId="77777777" w:rsidR="008C5CFA" w:rsidRPr="009C3005" w:rsidRDefault="00E82A60" w:rsidP="00300A01">
            <w:pPr>
              <w:pStyle w:val="Text1"/>
              <w:spacing w:before="0" w:after="0"/>
              <w:ind w:left="0"/>
              <w:jc w:val="right"/>
              <w:rPr>
                <w:sz w:val="12"/>
                <w:szCs w:val="12"/>
              </w:rPr>
            </w:pPr>
            <w:r w:rsidRPr="009C3005">
              <w:rPr>
                <w:noProof/>
                <w:sz w:val="12"/>
                <w:szCs w:val="12"/>
              </w:rPr>
              <w:t>0,00</w:t>
            </w:r>
          </w:p>
        </w:tc>
        <w:tc>
          <w:tcPr>
            <w:tcW w:w="0" w:type="auto"/>
            <w:shd w:val="clear" w:color="auto" w:fill="auto"/>
          </w:tcPr>
          <w:p w14:paraId="4B004409" w14:textId="77777777" w:rsidR="008C5CFA" w:rsidRPr="009C3005" w:rsidRDefault="00E82A60" w:rsidP="00300A01">
            <w:pPr>
              <w:pStyle w:val="Text1"/>
              <w:spacing w:before="0" w:after="0"/>
              <w:ind w:left="0"/>
              <w:jc w:val="right"/>
              <w:rPr>
                <w:sz w:val="12"/>
                <w:szCs w:val="12"/>
              </w:rPr>
            </w:pPr>
            <w:r w:rsidRPr="009C3005">
              <w:rPr>
                <w:noProof/>
                <w:sz w:val="12"/>
                <w:szCs w:val="12"/>
              </w:rPr>
              <w:t>1</w:t>
            </w:r>
          </w:p>
        </w:tc>
      </w:tr>
      <w:tr w:rsidR="006B2EC1" w14:paraId="161C8917" w14:textId="77777777" w:rsidTr="0047688D">
        <w:tc>
          <w:tcPr>
            <w:tcW w:w="0" w:type="auto"/>
            <w:shd w:val="clear" w:color="auto" w:fill="auto"/>
          </w:tcPr>
          <w:p w14:paraId="5F84E8B1" w14:textId="77777777" w:rsidR="008C5CFA" w:rsidRPr="009C3005" w:rsidRDefault="00E82A60" w:rsidP="00300A01">
            <w:pPr>
              <w:pStyle w:val="Text1"/>
              <w:spacing w:before="0" w:after="0"/>
              <w:ind w:left="0"/>
              <w:rPr>
                <w:sz w:val="12"/>
                <w:szCs w:val="12"/>
              </w:rPr>
            </w:pPr>
            <w:r>
              <w:rPr>
                <w:noProof/>
                <w:sz w:val="14"/>
                <w:szCs w:val="14"/>
                <w:lang w:val="fr-BE"/>
              </w:rPr>
              <w:t>3</w:t>
            </w:r>
          </w:p>
        </w:tc>
        <w:tc>
          <w:tcPr>
            <w:tcW w:w="0" w:type="auto"/>
            <w:shd w:val="clear" w:color="auto" w:fill="auto"/>
          </w:tcPr>
          <w:p w14:paraId="08DFB39C" w14:textId="77777777" w:rsidR="008C5CFA" w:rsidRPr="009C3005" w:rsidRDefault="00E82A60" w:rsidP="00300A01">
            <w:pPr>
              <w:pStyle w:val="Text1"/>
              <w:spacing w:before="0" w:after="0"/>
              <w:ind w:left="0"/>
              <w:rPr>
                <w:sz w:val="12"/>
                <w:szCs w:val="12"/>
              </w:rPr>
            </w:pPr>
            <w:r>
              <w:rPr>
                <w:noProof/>
                <w:sz w:val="12"/>
                <w:szCs w:val="12"/>
              </w:rPr>
              <w:t>EFRR</w:t>
            </w:r>
          </w:p>
        </w:tc>
        <w:tc>
          <w:tcPr>
            <w:tcW w:w="0" w:type="auto"/>
            <w:shd w:val="clear" w:color="auto" w:fill="auto"/>
          </w:tcPr>
          <w:p w14:paraId="08FA0AF7" w14:textId="77777777" w:rsidR="008C5CFA" w:rsidRPr="009C3005" w:rsidRDefault="00E82A60" w:rsidP="00300A01">
            <w:pPr>
              <w:pStyle w:val="Text1"/>
              <w:spacing w:before="0" w:after="0"/>
              <w:ind w:left="0"/>
              <w:rPr>
                <w:sz w:val="12"/>
                <w:szCs w:val="12"/>
              </w:rPr>
            </w:pPr>
            <w:r>
              <w:rPr>
                <w:noProof/>
                <w:sz w:val="12"/>
                <w:szCs w:val="12"/>
              </w:rPr>
              <w:t>Słabiej rozwinięte</w:t>
            </w:r>
          </w:p>
        </w:tc>
        <w:tc>
          <w:tcPr>
            <w:tcW w:w="0" w:type="auto"/>
            <w:shd w:val="clear" w:color="auto" w:fill="auto"/>
          </w:tcPr>
          <w:p w14:paraId="7B836E68" w14:textId="77777777" w:rsidR="008C5CFA" w:rsidRPr="009C3005" w:rsidRDefault="00E82A60" w:rsidP="00300A01">
            <w:pPr>
              <w:pStyle w:val="Text1"/>
              <w:spacing w:before="0" w:after="0"/>
              <w:ind w:left="0"/>
              <w:rPr>
                <w:sz w:val="12"/>
                <w:szCs w:val="12"/>
              </w:rPr>
            </w:pPr>
            <w:r>
              <w:rPr>
                <w:noProof/>
                <w:sz w:val="12"/>
                <w:szCs w:val="12"/>
              </w:rPr>
              <w:t>068</w:t>
            </w:r>
          </w:p>
        </w:tc>
        <w:tc>
          <w:tcPr>
            <w:tcW w:w="0" w:type="auto"/>
            <w:shd w:val="clear" w:color="auto" w:fill="auto"/>
          </w:tcPr>
          <w:p w14:paraId="7C2F9353"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4833C79F" w14:textId="77777777" w:rsidR="008C5CFA" w:rsidRPr="009C3005" w:rsidRDefault="00E82A60" w:rsidP="00300A01">
            <w:pPr>
              <w:pStyle w:val="Text1"/>
              <w:spacing w:before="0" w:after="0"/>
              <w:ind w:left="0"/>
              <w:rPr>
                <w:sz w:val="12"/>
                <w:szCs w:val="12"/>
              </w:rPr>
            </w:pPr>
            <w:r>
              <w:rPr>
                <w:noProof/>
                <w:sz w:val="12"/>
                <w:szCs w:val="12"/>
              </w:rPr>
              <w:t>02</w:t>
            </w:r>
          </w:p>
        </w:tc>
        <w:tc>
          <w:tcPr>
            <w:tcW w:w="0" w:type="auto"/>
            <w:shd w:val="clear" w:color="auto" w:fill="auto"/>
          </w:tcPr>
          <w:p w14:paraId="057DEAF8"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4AABD527" w14:textId="77777777" w:rsidR="008C5CFA" w:rsidRPr="009C3005" w:rsidRDefault="00E82A60" w:rsidP="00300A01">
            <w:pPr>
              <w:pStyle w:val="Text1"/>
              <w:spacing w:before="0" w:after="0"/>
              <w:ind w:left="0"/>
              <w:rPr>
                <w:sz w:val="12"/>
                <w:szCs w:val="12"/>
              </w:rPr>
            </w:pPr>
            <w:r>
              <w:rPr>
                <w:noProof/>
                <w:sz w:val="12"/>
                <w:szCs w:val="12"/>
              </w:rPr>
              <w:t>04</w:t>
            </w:r>
          </w:p>
        </w:tc>
        <w:tc>
          <w:tcPr>
            <w:tcW w:w="0" w:type="auto"/>
            <w:shd w:val="clear" w:color="auto" w:fill="auto"/>
          </w:tcPr>
          <w:p w14:paraId="3D1D27B0" w14:textId="77777777" w:rsidR="008C5CFA" w:rsidRPr="009C3005" w:rsidRDefault="00E82A60" w:rsidP="00300A01">
            <w:pPr>
              <w:pStyle w:val="Text1"/>
              <w:spacing w:before="0" w:after="0"/>
              <w:ind w:left="0"/>
              <w:rPr>
                <w:sz w:val="12"/>
                <w:szCs w:val="12"/>
              </w:rPr>
            </w:pPr>
            <w:r>
              <w:rPr>
                <w:sz w:val="12"/>
                <w:szCs w:val="12"/>
              </w:rPr>
              <w:t xml:space="preserve"> </w:t>
            </w:r>
          </w:p>
        </w:tc>
        <w:tc>
          <w:tcPr>
            <w:tcW w:w="0" w:type="auto"/>
            <w:shd w:val="clear" w:color="auto" w:fill="auto"/>
          </w:tcPr>
          <w:p w14:paraId="228861B5" w14:textId="77777777" w:rsidR="008C5CFA" w:rsidRPr="009C3005" w:rsidRDefault="00E82A60" w:rsidP="00300A01">
            <w:pPr>
              <w:pStyle w:val="Text1"/>
              <w:spacing w:before="0" w:after="0"/>
              <w:ind w:left="0"/>
              <w:rPr>
                <w:sz w:val="12"/>
                <w:szCs w:val="12"/>
              </w:rPr>
            </w:pPr>
            <w:r>
              <w:rPr>
                <w:noProof/>
                <w:sz w:val="12"/>
                <w:szCs w:val="12"/>
              </w:rPr>
              <w:t>14</w:t>
            </w:r>
          </w:p>
        </w:tc>
        <w:tc>
          <w:tcPr>
            <w:tcW w:w="0" w:type="auto"/>
            <w:shd w:val="clear" w:color="auto" w:fill="auto"/>
          </w:tcPr>
          <w:p w14:paraId="65191D44" w14:textId="77777777" w:rsidR="008C5CFA" w:rsidRPr="009C3005" w:rsidRDefault="00E82A60" w:rsidP="00300A01">
            <w:pPr>
              <w:pStyle w:val="Text1"/>
              <w:spacing w:before="0" w:after="0"/>
              <w:ind w:left="0"/>
              <w:rPr>
                <w:sz w:val="12"/>
                <w:szCs w:val="12"/>
              </w:rPr>
            </w:pPr>
            <w:r>
              <w:rPr>
                <w:noProof/>
                <w:sz w:val="12"/>
                <w:szCs w:val="12"/>
              </w:rPr>
              <w:t>PL33</w:t>
            </w:r>
          </w:p>
        </w:tc>
        <w:tc>
          <w:tcPr>
            <w:tcW w:w="0" w:type="auto"/>
            <w:shd w:val="clear" w:color="auto" w:fill="auto"/>
          </w:tcPr>
          <w:p w14:paraId="0F84A29B" w14:textId="77777777" w:rsidR="008C5CFA" w:rsidRPr="009C3005" w:rsidRDefault="00E82A60" w:rsidP="00300A01">
            <w:pPr>
              <w:pStyle w:val="Text1"/>
              <w:spacing w:before="0" w:after="0"/>
              <w:ind w:left="0"/>
              <w:jc w:val="right"/>
              <w:rPr>
                <w:sz w:val="12"/>
                <w:szCs w:val="12"/>
              </w:rPr>
            </w:pPr>
            <w:r w:rsidRPr="009C3005">
              <w:rPr>
                <w:noProof/>
                <w:sz w:val="12"/>
                <w:szCs w:val="12"/>
              </w:rPr>
              <w:t>806 405,58</w:t>
            </w:r>
          </w:p>
        </w:tc>
        <w:tc>
          <w:tcPr>
            <w:tcW w:w="0" w:type="auto"/>
            <w:shd w:val="clear" w:color="auto" w:fill="auto"/>
          </w:tcPr>
          <w:p w14:paraId="6E5ED32C" w14:textId="77777777" w:rsidR="008C5CFA" w:rsidRPr="009C3005" w:rsidRDefault="00E82A60" w:rsidP="00300A01">
            <w:pPr>
              <w:pStyle w:val="Text1"/>
              <w:spacing w:before="0" w:after="0"/>
              <w:ind w:left="0"/>
              <w:jc w:val="right"/>
              <w:rPr>
                <w:sz w:val="12"/>
                <w:szCs w:val="12"/>
              </w:rPr>
            </w:pPr>
            <w:r w:rsidRPr="009C3005">
              <w:rPr>
                <w:noProof/>
                <w:sz w:val="12"/>
                <w:szCs w:val="12"/>
              </w:rPr>
              <w:t>509 730,04</w:t>
            </w:r>
          </w:p>
        </w:tc>
        <w:tc>
          <w:tcPr>
            <w:tcW w:w="0" w:type="auto"/>
            <w:shd w:val="clear" w:color="auto" w:fill="auto"/>
          </w:tcPr>
          <w:p w14:paraId="46D82809" w14:textId="77777777" w:rsidR="008C5CFA" w:rsidRPr="009C3005" w:rsidRDefault="00E82A60" w:rsidP="00300A01">
            <w:pPr>
              <w:pStyle w:val="Text1"/>
              <w:spacing w:before="0" w:after="0"/>
              <w:ind w:left="0"/>
              <w:jc w:val="right"/>
              <w:rPr>
                <w:sz w:val="12"/>
                <w:szCs w:val="12"/>
              </w:rPr>
            </w:pPr>
            <w:r w:rsidRPr="009C3005">
              <w:rPr>
                <w:noProof/>
                <w:sz w:val="12"/>
                <w:szCs w:val="12"/>
              </w:rPr>
              <w:t>161 596,62</w:t>
            </w:r>
          </w:p>
        </w:tc>
        <w:tc>
          <w:tcPr>
            <w:tcW w:w="0" w:type="auto"/>
            <w:shd w:val="clear" w:color="auto" w:fill="auto"/>
          </w:tcPr>
          <w:p w14:paraId="6D84AE38" w14:textId="77777777" w:rsidR="008C5CFA" w:rsidRPr="009C3005" w:rsidRDefault="00E82A60" w:rsidP="00300A01">
            <w:pPr>
              <w:pStyle w:val="Text1"/>
              <w:spacing w:before="0" w:after="0"/>
              <w:ind w:left="0"/>
              <w:jc w:val="right"/>
              <w:rPr>
                <w:sz w:val="12"/>
                <w:szCs w:val="12"/>
              </w:rPr>
            </w:pPr>
            <w:r w:rsidRPr="009C3005">
              <w:rPr>
                <w:noProof/>
                <w:sz w:val="12"/>
                <w:szCs w:val="12"/>
              </w:rPr>
              <w:t>6</w:t>
            </w:r>
          </w:p>
        </w:tc>
      </w:tr>
      <w:tr w:rsidR="006B2EC1" w14:paraId="48C26606" w14:textId="77777777" w:rsidTr="0047688D">
        <w:tc>
          <w:tcPr>
            <w:tcW w:w="0" w:type="auto"/>
            <w:shd w:val="clear" w:color="auto" w:fill="auto"/>
          </w:tcPr>
          <w:p w14:paraId="5FC3FCD0" w14:textId="77777777" w:rsidR="008C5CFA" w:rsidRPr="009C3005" w:rsidRDefault="00E82A60" w:rsidP="00300A01">
            <w:pPr>
              <w:pStyle w:val="Text1"/>
              <w:spacing w:before="0" w:after="0"/>
              <w:ind w:left="0"/>
              <w:rPr>
                <w:sz w:val="12"/>
                <w:szCs w:val="12"/>
              </w:rPr>
            </w:pPr>
            <w:r>
              <w:rPr>
                <w:noProof/>
                <w:sz w:val="14"/>
                <w:szCs w:val="14"/>
                <w:lang w:val="fr-BE"/>
              </w:rPr>
              <w:t>3</w:t>
            </w:r>
          </w:p>
        </w:tc>
        <w:tc>
          <w:tcPr>
            <w:tcW w:w="0" w:type="auto"/>
            <w:shd w:val="clear" w:color="auto" w:fill="auto"/>
          </w:tcPr>
          <w:p w14:paraId="7CC6A002" w14:textId="77777777" w:rsidR="008C5CFA" w:rsidRPr="009C3005" w:rsidRDefault="00E82A60" w:rsidP="00300A01">
            <w:pPr>
              <w:pStyle w:val="Text1"/>
              <w:spacing w:before="0" w:after="0"/>
              <w:ind w:left="0"/>
              <w:rPr>
                <w:sz w:val="12"/>
                <w:szCs w:val="12"/>
              </w:rPr>
            </w:pPr>
            <w:r>
              <w:rPr>
                <w:noProof/>
                <w:sz w:val="12"/>
                <w:szCs w:val="12"/>
              </w:rPr>
              <w:t>EFRR</w:t>
            </w:r>
          </w:p>
        </w:tc>
        <w:tc>
          <w:tcPr>
            <w:tcW w:w="0" w:type="auto"/>
            <w:shd w:val="clear" w:color="auto" w:fill="auto"/>
          </w:tcPr>
          <w:p w14:paraId="6AF574DE" w14:textId="77777777" w:rsidR="008C5CFA" w:rsidRPr="009C3005" w:rsidRDefault="00E82A60" w:rsidP="00300A01">
            <w:pPr>
              <w:pStyle w:val="Text1"/>
              <w:spacing w:before="0" w:after="0"/>
              <w:ind w:left="0"/>
              <w:rPr>
                <w:sz w:val="12"/>
                <w:szCs w:val="12"/>
              </w:rPr>
            </w:pPr>
            <w:r>
              <w:rPr>
                <w:noProof/>
                <w:sz w:val="12"/>
                <w:szCs w:val="12"/>
              </w:rPr>
              <w:t>Słabiej rozwinięte</w:t>
            </w:r>
          </w:p>
        </w:tc>
        <w:tc>
          <w:tcPr>
            <w:tcW w:w="0" w:type="auto"/>
            <w:shd w:val="clear" w:color="auto" w:fill="auto"/>
          </w:tcPr>
          <w:p w14:paraId="65916A7F" w14:textId="77777777" w:rsidR="008C5CFA" w:rsidRPr="009C3005" w:rsidRDefault="00E82A60" w:rsidP="00300A01">
            <w:pPr>
              <w:pStyle w:val="Text1"/>
              <w:spacing w:before="0" w:after="0"/>
              <w:ind w:left="0"/>
              <w:rPr>
                <w:sz w:val="12"/>
                <w:szCs w:val="12"/>
              </w:rPr>
            </w:pPr>
            <w:r>
              <w:rPr>
                <w:noProof/>
                <w:sz w:val="12"/>
                <w:szCs w:val="12"/>
              </w:rPr>
              <w:t>068</w:t>
            </w:r>
          </w:p>
        </w:tc>
        <w:tc>
          <w:tcPr>
            <w:tcW w:w="0" w:type="auto"/>
            <w:shd w:val="clear" w:color="auto" w:fill="auto"/>
          </w:tcPr>
          <w:p w14:paraId="16AF821A"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661ECB80" w14:textId="77777777" w:rsidR="008C5CFA" w:rsidRPr="009C3005" w:rsidRDefault="00E82A60" w:rsidP="00300A01">
            <w:pPr>
              <w:pStyle w:val="Text1"/>
              <w:spacing w:before="0" w:after="0"/>
              <w:ind w:left="0"/>
              <w:rPr>
                <w:sz w:val="12"/>
                <w:szCs w:val="12"/>
              </w:rPr>
            </w:pPr>
            <w:r>
              <w:rPr>
                <w:noProof/>
                <w:sz w:val="12"/>
                <w:szCs w:val="12"/>
              </w:rPr>
              <w:t>02</w:t>
            </w:r>
          </w:p>
        </w:tc>
        <w:tc>
          <w:tcPr>
            <w:tcW w:w="0" w:type="auto"/>
            <w:shd w:val="clear" w:color="auto" w:fill="auto"/>
          </w:tcPr>
          <w:p w14:paraId="4671E636"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1A9970FF" w14:textId="77777777" w:rsidR="008C5CFA" w:rsidRPr="009C3005" w:rsidRDefault="00E82A60" w:rsidP="00300A01">
            <w:pPr>
              <w:pStyle w:val="Text1"/>
              <w:spacing w:before="0" w:after="0"/>
              <w:ind w:left="0"/>
              <w:rPr>
                <w:sz w:val="12"/>
                <w:szCs w:val="12"/>
              </w:rPr>
            </w:pPr>
            <w:r>
              <w:rPr>
                <w:noProof/>
                <w:sz w:val="12"/>
                <w:szCs w:val="12"/>
              </w:rPr>
              <w:t>04</w:t>
            </w:r>
          </w:p>
        </w:tc>
        <w:tc>
          <w:tcPr>
            <w:tcW w:w="0" w:type="auto"/>
            <w:shd w:val="clear" w:color="auto" w:fill="auto"/>
          </w:tcPr>
          <w:p w14:paraId="0B90B624" w14:textId="77777777" w:rsidR="008C5CFA" w:rsidRPr="009C3005" w:rsidRDefault="00E82A60" w:rsidP="00300A01">
            <w:pPr>
              <w:pStyle w:val="Text1"/>
              <w:spacing w:before="0" w:after="0"/>
              <w:ind w:left="0"/>
              <w:rPr>
                <w:sz w:val="12"/>
                <w:szCs w:val="12"/>
              </w:rPr>
            </w:pPr>
            <w:r>
              <w:rPr>
                <w:sz w:val="12"/>
                <w:szCs w:val="12"/>
              </w:rPr>
              <w:t xml:space="preserve"> </w:t>
            </w:r>
          </w:p>
        </w:tc>
        <w:tc>
          <w:tcPr>
            <w:tcW w:w="0" w:type="auto"/>
            <w:shd w:val="clear" w:color="auto" w:fill="auto"/>
          </w:tcPr>
          <w:p w14:paraId="49A82BD7" w14:textId="77777777" w:rsidR="008C5CFA" w:rsidRPr="009C3005" w:rsidRDefault="00E82A60" w:rsidP="00300A01">
            <w:pPr>
              <w:pStyle w:val="Text1"/>
              <w:spacing w:before="0" w:after="0"/>
              <w:ind w:left="0"/>
              <w:rPr>
                <w:sz w:val="12"/>
                <w:szCs w:val="12"/>
              </w:rPr>
            </w:pPr>
            <w:r>
              <w:rPr>
                <w:noProof/>
                <w:sz w:val="12"/>
                <w:szCs w:val="12"/>
              </w:rPr>
              <w:t>15</w:t>
            </w:r>
          </w:p>
        </w:tc>
        <w:tc>
          <w:tcPr>
            <w:tcW w:w="0" w:type="auto"/>
            <w:shd w:val="clear" w:color="auto" w:fill="auto"/>
          </w:tcPr>
          <w:p w14:paraId="53A6A9C0" w14:textId="77777777" w:rsidR="008C5CFA" w:rsidRPr="009C3005" w:rsidRDefault="00E82A60" w:rsidP="00300A01">
            <w:pPr>
              <w:pStyle w:val="Text1"/>
              <w:spacing w:before="0" w:after="0"/>
              <w:ind w:left="0"/>
              <w:rPr>
                <w:sz w:val="12"/>
                <w:szCs w:val="12"/>
              </w:rPr>
            </w:pPr>
            <w:r>
              <w:rPr>
                <w:noProof/>
                <w:sz w:val="12"/>
                <w:szCs w:val="12"/>
              </w:rPr>
              <w:t>PL33</w:t>
            </w:r>
          </w:p>
        </w:tc>
        <w:tc>
          <w:tcPr>
            <w:tcW w:w="0" w:type="auto"/>
            <w:shd w:val="clear" w:color="auto" w:fill="auto"/>
          </w:tcPr>
          <w:p w14:paraId="3BCB1200" w14:textId="77777777" w:rsidR="008C5CFA" w:rsidRPr="009C3005" w:rsidRDefault="00E82A60" w:rsidP="00300A01">
            <w:pPr>
              <w:pStyle w:val="Text1"/>
              <w:spacing w:before="0" w:after="0"/>
              <w:ind w:left="0"/>
              <w:jc w:val="right"/>
              <w:rPr>
                <w:sz w:val="12"/>
                <w:szCs w:val="12"/>
              </w:rPr>
            </w:pPr>
            <w:r w:rsidRPr="009C3005">
              <w:rPr>
                <w:noProof/>
                <w:sz w:val="12"/>
                <w:szCs w:val="12"/>
              </w:rPr>
              <w:t>1 075 696,51</w:t>
            </w:r>
          </w:p>
        </w:tc>
        <w:tc>
          <w:tcPr>
            <w:tcW w:w="0" w:type="auto"/>
            <w:shd w:val="clear" w:color="auto" w:fill="auto"/>
          </w:tcPr>
          <w:p w14:paraId="787E6F60" w14:textId="77777777" w:rsidR="008C5CFA" w:rsidRPr="009C3005" w:rsidRDefault="00E82A60" w:rsidP="00300A01">
            <w:pPr>
              <w:pStyle w:val="Text1"/>
              <w:spacing w:before="0" w:after="0"/>
              <w:ind w:left="0"/>
              <w:jc w:val="right"/>
              <w:rPr>
                <w:sz w:val="12"/>
                <w:szCs w:val="12"/>
              </w:rPr>
            </w:pPr>
            <w:r w:rsidRPr="009C3005">
              <w:rPr>
                <w:noProof/>
                <w:sz w:val="12"/>
                <w:szCs w:val="12"/>
              </w:rPr>
              <w:t>610 308,05</w:t>
            </w:r>
          </w:p>
        </w:tc>
        <w:tc>
          <w:tcPr>
            <w:tcW w:w="0" w:type="auto"/>
            <w:shd w:val="clear" w:color="auto" w:fill="auto"/>
          </w:tcPr>
          <w:p w14:paraId="2583ACDD" w14:textId="77777777" w:rsidR="008C5CFA" w:rsidRPr="009C3005" w:rsidRDefault="00E82A60" w:rsidP="00300A01">
            <w:pPr>
              <w:pStyle w:val="Text1"/>
              <w:spacing w:before="0" w:after="0"/>
              <w:ind w:left="0"/>
              <w:jc w:val="right"/>
              <w:rPr>
                <w:sz w:val="12"/>
                <w:szCs w:val="12"/>
              </w:rPr>
            </w:pPr>
            <w:r w:rsidRPr="009C3005">
              <w:rPr>
                <w:noProof/>
                <w:sz w:val="12"/>
                <w:szCs w:val="12"/>
              </w:rPr>
              <w:t>147 440,85</w:t>
            </w:r>
          </w:p>
        </w:tc>
        <w:tc>
          <w:tcPr>
            <w:tcW w:w="0" w:type="auto"/>
            <w:shd w:val="clear" w:color="auto" w:fill="auto"/>
          </w:tcPr>
          <w:p w14:paraId="478B5ED8" w14:textId="77777777" w:rsidR="008C5CFA" w:rsidRPr="009C3005" w:rsidRDefault="00E82A60" w:rsidP="00300A01">
            <w:pPr>
              <w:pStyle w:val="Text1"/>
              <w:spacing w:before="0" w:after="0"/>
              <w:ind w:left="0"/>
              <w:jc w:val="right"/>
              <w:rPr>
                <w:sz w:val="12"/>
                <w:szCs w:val="12"/>
              </w:rPr>
            </w:pPr>
            <w:r w:rsidRPr="009C3005">
              <w:rPr>
                <w:noProof/>
                <w:sz w:val="12"/>
                <w:szCs w:val="12"/>
              </w:rPr>
              <w:t>3</w:t>
            </w:r>
          </w:p>
        </w:tc>
      </w:tr>
      <w:tr w:rsidR="006B2EC1" w14:paraId="1EE76AB5" w14:textId="77777777" w:rsidTr="0047688D">
        <w:tc>
          <w:tcPr>
            <w:tcW w:w="0" w:type="auto"/>
            <w:shd w:val="clear" w:color="auto" w:fill="auto"/>
          </w:tcPr>
          <w:p w14:paraId="64D0E10C" w14:textId="77777777" w:rsidR="008C5CFA" w:rsidRPr="009C3005" w:rsidRDefault="00E82A60" w:rsidP="00300A01">
            <w:pPr>
              <w:pStyle w:val="Text1"/>
              <w:spacing w:before="0" w:after="0"/>
              <w:ind w:left="0"/>
              <w:rPr>
                <w:sz w:val="12"/>
                <w:szCs w:val="12"/>
              </w:rPr>
            </w:pPr>
            <w:r>
              <w:rPr>
                <w:noProof/>
                <w:sz w:val="14"/>
                <w:szCs w:val="14"/>
                <w:lang w:val="fr-BE"/>
              </w:rPr>
              <w:t>3</w:t>
            </w:r>
          </w:p>
        </w:tc>
        <w:tc>
          <w:tcPr>
            <w:tcW w:w="0" w:type="auto"/>
            <w:shd w:val="clear" w:color="auto" w:fill="auto"/>
          </w:tcPr>
          <w:p w14:paraId="3C5686A4" w14:textId="77777777" w:rsidR="008C5CFA" w:rsidRPr="009C3005" w:rsidRDefault="00E82A60" w:rsidP="00300A01">
            <w:pPr>
              <w:pStyle w:val="Text1"/>
              <w:spacing w:before="0" w:after="0"/>
              <w:ind w:left="0"/>
              <w:rPr>
                <w:sz w:val="12"/>
                <w:szCs w:val="12"/>
              </w:rPr>
            </w:pPr>
            <w:r>
              <w:rPr>
                <w:noProof/>
                <w:sz w:val="12"/>
                <w:szCs w:val="12"/>
              </w:rPr>
              <w:t>EFRR</w:t>
            </w:r>
          </w:p>
        </w:tc>
        <w:tc>
          <w:tcPr>
            <w:tcW w:w="0" w:type="auto"/>
            <w:shd w:val="clear" w:color="auto" w:fill="auto"/>
          </w:tcPr>
          <w:p w14:paraId="5E781007" w14:textId="77777777" w:rsidR="008C5CFA" w:rsidRPr="009C3005" w:rsidRDefault="00E82A60" w:rsidP="00300A01">
            <w:pPr>
              <w:pStyle w:val="Text1"/>
              <w:spacing w:before="0" w:after="0"/>
              <w:ind w:left="0"/>
              <w:rPr>
                <w:sz w:val="12"/>
                <w:szCs w:val="12"/>
              </w:rPr>
            </w:pPr>
            <w:r>
              <w:rPr>
                <w:noProof/>
                <w:sz w:val="12"/>
                <w:szCs w:val="12"/>
              </w:rPr>
              <w:t>Słabiej rozwinięte</w:t>
            </w:r>
          </w:p>
        </w:tc>
        <w:tc>
          <w:tcPr>
            <w:tcW w:w="0" w:type="auto"/>
            <w:shd w:val="clear" w:color="auto" w:fill="auto"/>
          </w:tcPr>
          <w:p w14:paraId="3F0BBD33" w14:textId="77777777" w:rsidR="008C5CFA" w:rsidRPr="009C3005" w:rsidRDefault="00E82A60" w:rsidP="00300A01">
            <w:pPr>
              <w:pStyle w:val="Text1"/>
              <w:spacing w:before="0" w:after="0"/>
              <w:ind w:left="0"/>
              <w:rPr>
                <w:sz w:val="12"/>
                <w:szCs w:val="12"/>
              </w:rPr>
            </w:pPr>
            <w:r>
              <w:rPr>
                <w:noProof/>
                <w:sz w:val="12"/>
                <w:szCs w:val="12"/>
              </w:rPr>
              <w:t>068</w:t>
            </w:r>
          </w:p>
        </w:tc>
        <w:tc>
          <w:tcPr>
            <w:tcW w:w="0" w:type="auto"/>
            <w:shd w:val="clear" w:color="auto" w:fill="auto"/>
          </w:tcPr>
          <w:p w14:paraId="40663381"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2BD2BDDF" w14:textId="77777777" w:rsidR="008C5CFA" w:rsidRPr="009C3005" w:rsidRDefault="00E82A60" w:rsidP="00300A01">
            <w:pPr>
              <w:pStyle w:val="Text1"/>
              <w:spacing w:before="0" w:after="0"/>
              <w:ind w:left="0"/>
              <w:rPr>
                <w:sz w:val="12"/>
                <w:szCs w:val="12"/>
              </w:rPr>
            </w:pPr>
            <w:r>
              <w:rPr>
                <w:noProof/>
                <w:sz w:val="12"/>
                <w:szCs w:val="12"/>
              </w:rPr>
              <w:t>02</w:t>
            </w:r>
          </w:p>
        </w:tc>
        <w:tc>
          <w:tcPr>
            <w:tcW w:w="0" w:type="auto"/>
            <w:shd w:val="clear" w:color="auto" w:fill="auto"/>
          </w:tcPr>
          <w:p w14:paraId="4ECADDF7"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57B23148" w14:textId="77777777" w:rsidR="008C5CFA" w:rsidRPr="009C3005" w:rsidRDefault="00E82A60" w:rsidP="00300A01">
            <w:pPr>
              <w:pStyle w:val="Text1"/>
              <w:spacing w:before="0" w:after="0"/>
              <w:ind w:left="0"/>
              <w:rPr>
                <w:sz w:val="12"/>
                <w:szCs w:val="12"/>
              </w:rPr>
            </w:pPr>
            <w:r>
              <w:rPr>
                <w:noProof/>
                <w:sz w:val="12"/>
                <w:szCs w:val="12"/>
              </w:rPr>
              <w:t>04</w:t>
            </w:r>
          </w:p>
        </w:tc>
        <w:tc>
          <w:tcPr>
            <w:tcW w:w="0" w:type="auto"/>
            <w:shd w:val="clear" w:color="auto" w:fill="auto"/>
          </w:tcPr>
          <w:p w14:paraId="6A198E37" w14:textId="77777777" w:rsidR="008C5CFA" w:rsidRPr="009C3005" w:rsidRDefault="00E82A60" w:rsidP="00300A01">
            <w:pPr>
              <w:pStyle w:val="Text1"/>
              <w:spacing w:before="0" w:after="0"/>
              <w:ind w:left="0"/>
              <w:rPr>
                <w:sz w:val="12"/>
                <w:szCs w:val="12"/>
              </w:rPr>
            </w:pPr>
            <w:r>
              <w:rPr>
                <w:sz w:val="12"/>
                <w:szCs w:val="12"/>
              </w:rPr>
              <w:t xml:space="preserve"> </w:t>
            </w:r>
          </w:p>
        </w:tc>
        <w:tc>
          <w:tcPr>
            <w:tcW w:w="0" w:type="auto"/>
            <w:shd w:val="clear" w:color="auto" w:fill="auto"/>
          </w:tcPr>
          <w:p w14:paraId="7171C5DE" w14:textId="77777777" w:rsidR="008C5CFA" w:rsidRPr="009C3005" w:rsidRDefault="00E82A60" w:rsidP="00300A01">
            <w:pPr>
              <w:pStyle w:val="Text1"/>
              <w:spacing w:before="0" w:after="0"/>
              <w:ind w:left="0"/>
              <w:rPr>
                <w:sz w:val="12"/>
                <w:szCs w:val="12"/>
              </w:rPr>
            </w:pPr>
            <w:r>
              <w:rPr>
                <w:noProof/>
                <w:sz w:val="12"/>
                <w:szCs w:val="12"/>
              </w:rPr>
              <w:t>20</w:t>
            </w:r>
          </w:p>
        </w:tc>
        <w:tc>
          <w:tcPr>
            <w:tcW w:w="0" w:type="auto"/>
            <w:shd w:val="clear" w:color="auto" w:fill="auto"/>
          </w:tcPr>
          <w:p w14:paraId="34C0D973" w14:textId="77777777" w:rsidR="008C5CFA" w:rsidRPr="009C3005" w:rsidRDefault="00E82A60" w:rsidP="00300A01">
            <w:pPr>
              <w:pStyle w:val="Text1"/>
              <w:spacing w:before="0" w:after="0"/>
              <w:ind w:left="0"/>
              <w:rPr>
                <w:sz w:val="12"/>
                <w:szCs w:val="12"/>
              </w:rPr>
            </w:pPr>
            <w:r>
              <w:rPr>
                <w:noProof/>
                <w:sz w:val="12"/>
                <w:szCs w:val="12"/>
              </w:rPr>
              <w:t>PL33</w:t>
            </w:r>
          </w:p>
        </w:tc>
        <w:tc>
          <w:tcPr>
            <w:tcW w:w="0" w:type="auto"/>
            <w:shd w:val="clear" w:color="auto" w:fill="auto"/>
          </w:tcPr>
          <w:p w14:paraId="6562D7BC" w14:textId="77777777" w:rsidR="008C5CFA" w:rsidRPr="009C3005" w:rsidRDefault="00E82A60" w:rsidP="00300A01">
            <w:pPr>
              <w:pStyle w:val="Text1"/>
              <w:spacing w:before="0" w:after="0"/>
              <w:ind w:left="0"/>
              <w:jc w:val="right"/>
              <w:rPr>
                <w:sz w:val="12"/>
                <w:szCs w:val="12"/>
              </w:rPr>
            </w:pPr>
            <w:r w:rsidRPr="009C3005">
              <w:rPr>
                <w:noProof/>
                <w:sz w:val="12"/>
                <w:szCs w:val="12"/>
              </w:rPr>
              <w:t>1 140 049,95</w:t>
            </w:r>
          </w:p>
        </w:tc>
        <w:tc>
          <w:tcPr>
            <w:tcW w:w="0" w:type="auto"/>
            <w:shd w:val="clear" w:color="auto" w:fill="auto"/>
          </w:tcPr>
          <w:p w14:paraId="1BFB21AA" w14:textId="77777777" w:rsidR="008C5CFA" w:rsidRPr="009C3005" w:rsidRDefault="00E82A60" w:rsidP="00300A01">
            <w:pPr>
              <w:pStyle w:val="Text1"/>
              <w:spacing w:before="0" w:after="0"/>
              <w:ind w:left="0"/>
              <w:jc w:val="right"/>
              <w:rPr>
                <w:sz w:val="12"/>
                <w:szCs w:val="12"/>
              </w:rPr>
            </w:pPr>
            <w:r w:rsidRPr="009C3005">
              <w:rPr>
                <w:noProof/>
                <w:sz w:val="12"/>
                <w:szCs w:val="12"/>
              </w:rPr>
              <w:t>666 461,54</w:t>
            </w:r>
          </w:p>
        </w:tc>
        <w:tc>
          <w:tcPr>
            <w:tcW w:w="0" w:type="auto"/>
            <w:shd w:val="clear" w:color="auto" w:fill="auto"/>
          </w:tcPr>
          <w:p w14:paraId="0C472C7C" w14:textId="77777777" w:rsidR="008C5CFA" w:rsidRPr="009C3005" w:rsidRDefault="00E82A60" w:rsidP="00300A01">
            <w:pPr>
              <w:pStyle w:val="Text1"/>
              <w:spacing w:before="0" w:after="0"/>
              <w:ind w:left="0"/>
              <w:jc w:val="right"/>
              <w:rPr>
                <w:sz w:val="12"/>
                <w:szCs w:val="12"/>
              </w:rPr>
            </w:pPr>
            <w:r w:rsidRPr="009C3005">
              <w:rPr>
                <w:noProof/>
                <w:sz w:val="12"/>
                <w:szCs w:val="12"/>
              </w:rPr>
              <w:t>0,00</w:t>
            </w:r>
          </w:p>
        </w:tc>
        <w:tc>
          <w:tcPr>
            <w:tcW w:w="0" w:type="auto"/>
            <w:shd w:val="clear" w:color="auto" w:fill="auto"/>
          </w:tcPr>
          <w:p w14:paraId="21824D97" w14:textId="77777777" w:rsidR="008C5CFA" w:rsidRPr="009C3005" w:rsidRDefault="00E82A60" w:rsidP="00300A01">
            <w:pPr>
              <w:pStyle w:val="Text1"/>
              <w:spacing w:before="0" w:after="0"/>
              <w:ind w:left="0"/>
              <w:jc w:val="right"/>
              <w:rPr>
                <w:sz w:val="12"/>
                <w:szCs w:val="12"/>
              </w:rPr>
            </w:pPr>
            <w:r w:rsidRPr="009C3005">
              <w:rPr>
                <w:noProof/>
                <w:sz w:val="12"/>
                <w:szCs w:val="12"/>
              </w:rPr>
              <w:t>3</w:t>
            </w:r>
          </w:p>
        </w:tc>
      </w:tr>
      <w:tr w:rsidR="006B2EC1" w14:paraId="78EF1E0E" w14:textId="77777777" w:rsidTr="0047688D">
        <w:tc>
          <w:tcPr>
            <w:tcW w:w="0" w:type="auto"/>
            <w:shd w:val="clear" w:color="auto" w:fill="auto"/>
          </w:tcPr>
          <w:p w14:paraId="2EF554DB" w14:textId="77777777" w:rsidR="008C5CFA" w:rsidRPr="009C3005" w:rsidRDefault="00E82A60" w:rsidP="00300A01">
            <w:pPr>
              <w:pStyle w:val="Text1"/>
              <w:spacing w:before="0" w:after="0"/>
              <w:ind w:left="0"/>
              <w:rPr>
                <w:sz w:val="12"/>
                <w:szCs w:val="12"/>
              </w:rPr>
            </w:pPr>
            <w:r>
              <w:rPr>
                <w:noProof/>
                <w:sz w:val="14"/>
                <w:szCs w:val="14"/>
                <w:lang w:val="fr-BE"/>
              </w:rPr>
              <w:t>3</w:t>
            </w:r>
          </w:p>
        </w:tc>
        <w:tc>
          <w:tcPr>
            <w:tcW w:w="0" w:type="auto"/>
            <w:shd w:val="clear" w:color="auto" w:fill="auto"/>
          </w:tcPr>
          <w:p w14:paraId="14C52AC1" w14:textId="77777777" w:rsidR="008C5CFA" w:rsidRPr="009C3005" w:rsidRDefault="00E82A60" w:rsidP="00300A01">
            <w:pPr>
              <w:pStyle w:val="Text1"/>
              <w:spacing w:before="0" w:after="0"/>
              <w:ind w:left="0"/>
              <w:rPr>
                <w:sz w:val="12"/>
                <w:szCs w:val="12"/>
              </w:rPr>
            </w:pPr>
            <w:r>
              <w:rPr>
                <w:noProof/>
                <w:sz w:val="12"/>
                <w:szCs w:val="12"/>
              </w:rPr>
              <w:t>EFRR</w:t>
            </w:r>
          </w:p>
        </w:tc>
        <w:tc>
          <w:tcPr>
            <w:tcW w:w="0" w:type="auto"/>
            <w:shd w:val="clear" w:color="auto" w:fill="auto"/>
          </w:tcPr>
          <w:p w14:paraId="6B05F5BE" w14:textId="77777777" w:rsidR="008C5CFA" w:rsidRPr="009C3005" w:rsidRDefault="00E82A60" w:rsidP="00300A01">
            <w:pPr>
              <w:pStyle w:val="Text1"/>
              <w:spacing w:before="0" w:after="0"/>
              <w:ind w:left="0"/>
              <w:rPr>
                <w:sz w:val="12"/>
                <w:szCs w:val="12"/>
              </w:rPr>
            </w:pPr>
            <w:r>
              <w:rPr>
                <w:noProof/>
                <w:sz w:val="12"/>
                <w:szCs w:val="12"/>
              </w:rPr>
              <w:t>Słabiej rozwinięte</w:t>
            </w:r>
          </w:p>
        </w:tc>
        <w:tc>
          <w:tcPr>
            <w:tcW w:w="0" w:type="auto"/>
            <w:shd w:val="clear" w:color="auto" w:fill="auto"/>
          </w:tcPr>
          <w:p w14:paraId="5EB16CBD" w14:textId="77777777" w:rsidR="008C5CFA" w:rsidRPr="009C3005" w:rsidRDefault="00E82A60" w:rsidP="00300A01">
            <w:pPr>
              <w:pStyle w:val="Text1"/>
              <w:spacing w:before="0" w:after="0"/>
              <w:ind w:left="0"/>
              <w:rPr>
                <w:sz w:val="12"/>
                <w:szCs w:val="12"/>
              </w:rPr>
            </w:pPr>
            <w:r>
              <w:rPr>
                <w:noProof/>
                <w:sz w:val="12"/>
                <w:szCs w:val="12"/>
              </w:rPr>
              <w:t>068</w:t>
            </w:r>
          </w:p>
        </w:tc>
        <w:tc>
          <w:tcPr>
            <w:tcW w:w="0" w:type="auto"/>
            <w:shd w:val="clear" w:color="auto" w:fill="auto"/>
          </w:tcPr>
          <w:p w14:paraId="57A56C18"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0030C1F8" w14:textId="77777777" w:rsidR="008C5CFA" w:rsidRPr="009C3005" w:rsidRDefault="00E82A60" w:rsidP="00300A01">
            <w:pPr>
              <w:pStyle w:val="Text1"/>
              <w:spacing w:before="0" w:after="0"/>
              <w:ind w:left="0"/>
              <w:rPr>
                <w:sz w:val="12"/>
                <w:szCs w:val="12"/>
              </w:rPr>
            </w:pPr>
            <w:r>
              <w:rPr>
                <w:noProof/>
                <w:sz w:val="12"/>
                <w:szCs w:val="12"/>
              </w:rPr>
              <w:t>02</w:t>
            </w:r>
          </w:p>
        </w:tc>
        <w:tc>
          <w:tcPr>
            <w:tcW w:w="0" w:type="auto"/>
            <w:shd w:val="clear" w:color="auto" w:fill="auto"/>
          </w:tcPr>
          <w:p w14:paraId="698DF420"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05DB4FD7" w14:textId="77777777" w:rsidR="008C5CFA" w:rsidRPr="009C3005" w:rsidRDefault="00E82A60" w:rsidP="00300A01">
            <w:pPr>
              <w:pStyle w:val="Text1"/>
              <w:spacing w:before="0" w:after="0"/>
              <w:ind w:left="0"/>
              <w:rPr>
                <w:sz w:val="12"/>
                <w:szCs w:val="12"/>
              </w:rPr>
            </w:pPr>
            <w:r>
              <w:rPr>
                <w:noProof/>
                <w:sz w:val="12"/>
                <w:szCs w:val="12"/>
              </w:rPr>
              <w:t>04</w:t>
            </w:r>
          </w:p>
        </w:tc>
        <w:tc>
          <w:tcPr>
            <w:tcW w:w="0" w:type="auto"/>
            <w:shd w:val="clear" w:color="auto" w:fill="auto"/>
          </w:tcPr>
          <w:p w14:paraId="49928F4C" w14:textId="77777777" w:rsidR="008C5CFA" w:rsidRPr="009C3005" w:rsidRDefault="00E82A60" w:rsidP="00300A01">
            <w:pPr>
              <w:pStyle w:val="Text1"/>
              <w:spacing w:before="0" w:after="0"/>
              <w:ind w:left="0"/>
              <w:rPr>
                <w:sz w:val="12"/>
                <w:szCs w:val="12"/>
              </w:rPr>
            </w:pPr>
            <w:r>
              <w:rPr>
                <w:sz w:val="12"/>
                <w:szCs w:val="12"/>
              </w:rPr>
              <w:t xml:space="preserve"> </w:t>
            </w:r>
          </w:p>
        </w:tc>
        <w:tc>
          <w:tcPr>
            <w:tcW w:w="0" w:type="auto"/>
            <w:shd w:val="clear" w:color="auto" w:fill="auto"/>
          </w:tcPr>
          <w:p w14:paraId="16902630" w14:textId="77777777" w:rsidR="008C5CFA" w:rsidRPr="009C3005" w:rsidRDefault="00E82A60" w:rsidP="00300A01">
            <w:pPr>
              <w:pStyle w:val="Text1"/>
              <w:spacing w:before="0" w:after="0"/>
              <w:ind w:left="0"/>
              <w:rPr>
                <w:sz w:val="12"/>
                <w:szCs w:val="12"/>
              </w:rPr>
            </w:pPr>
            <w:r>
              <w:rPr>
                <w:noProof/>
                <w:sz w:val="12"/>
                <w:szCs w:val="12"/>
              </w:rPr>
              <w:t>24</w:t>
            </w:r>
          </w:p>
        </w:tc>
        <w:tc>
          <w:tcPr>
            <w:tcW w:w="0" w:type="auto"/>
            <w:shd w:val="clear" w:color="auto" w:fill="auto"/>
          </w:tcPr>
          <w:p w14:paraId="3315AF2B" w14:textId="77777777" w:rsidR="008C5CFA" w:rsidRPr="009C3005" w:rsidRDefault="00E82A60" w:rsidP="00300A01">
            <w:pPr>
              <w:pStyle w:val="Text1"/>
              <w:spacing w:before="0" w:after="0"/>
              <w:ind w:left="0"/>
              <w:rPr>
                <w:sz w:val="12"/>
                <w:szCs w:val="12"/>
              </w:rPr>
            </w:pPr>
            <w:r>
              <w:rPr>
                <w:noProof/>
                <w:sz w:val="12"/>
                <w:szCs w:val="12"/>
              </w:rPr>
              <w:t>PL33</w:t>
            </w:r>
          </w:p>
        </w:tc>
        <w:tc>
          <w:tcPr>
            <w:tcW w:w="0" w:type="auto"/>
            <w:shd w:val="clear" w:color="auto" w:fill="auto"/>
          </w:tcPr>
          <w:p w14:paraId="61EDD325" w14:textId="77777777" w:rsidR="008C5CFA" w:rsidRPr="009C3005" w:rsidRDefault="00E82A60" w:rsidP="00300A01">
            <w:pPr>
              <w:pStyle w:val="Text1"/>
              <w:spacing w:before="0" w:after="0"/>
              <w:ind w:left="0"/>
              <w:jc w:val="right"/>
              <w:rPr>
                <w:sz w:val="12"/>
                <w:szCs w:val="12"/>
              </w:rPr>
            </w:pPr>
            <w:r w:rsidRPr="009C3005">
              <w:rPr>
                <w:noProof/>
                <w:sz w:val="12"/>
                <w:szCs w:val="12"/>
              </w:rPr>
              <w:t>1 367 070,32</w:t>
            </w:r>
          </w:p>
        </w:tc>
        <w:tc>
          <w:tcPr>
            <w:tcW w:w="0" w:type="auto"/>
            <w:shd w:val="clear" w:color="auto" w:fill="auto"/>
          </w:tcPr>
          <w:p w14:paraId="7BCA1A10" w14:textId="77777777" w:rsidR="008C5CFA" w:rsidRPr="009C3005" w:rsidRDefault="00E82A60" w:rsidP="00300A01">
            <w:pPr>
              <w:pStyle w:val="Text1"/>
              <w:spacing w:before="0" w:after="0"/>
              <w:ind w:left="0"/>
              <w:jc w:val="right"/>
              <w:rPr>
                <w:sz w:val="12"/>
                <w:szCs w:val="12"/>
              </w:rPr>
            </w:pPr>
            <w:r w:rsidRPr="009C3005">
              <w:rPr>
                <w:noProof/>
                <w:sz w:val="12"/>
                <w:szCs w:val="12"/>
              </w:rPr>
              <w:t>875 128,96</w:t>
            </w:r>
          </w:p>
        </w:tc>
        <w:tc>
          <w:tcPr>
            <w:tcW w:w="0" w:type="auto"/>
            <w:shd w:val="clear" w:color="auto" w:fill="auto"/>
          </w:tcPr>
          <w:p w14:paraId="1356E009" w14:textId="77777777" w:rsidR="008C5CFA" w:rsidRPr="009C3005" w:rsidRDefault="00E82A60" w:rsidP="00300A01">
            <w:pPr>
              <w:pStyle w:val="Text1"/>
              <w:spacing w:before="0" w:after="0"/>
              <w:ind w:left="0"/>
              <w:jc w:val="right"/>
              <w:rPr>
                <w:sz w:val="12"/>
                <w:szCs w:val="12"/>
              </w:rPr>
            </w:pPr>
            <w:r w:rsidRPr="009C3005">
              <w:rPr>
                <w:noProof/>
                <w:sz w:val="12"/>
                <w:szCs w:val="12"/>
              </w:rPr>
              <w:t>131 971,72</w:t>
            </w:r>
          </w:p>
        </w:tc>
        <w:tc>
          <w:tcPr>
            <w:tcW w:w="0" w:type="auto"/>
            <w:shd w:val="clear" w:color="auto" w:fill="auto"/>
          </w:tcPr>
          <w:p w14:paraId="06DD7571" w14:textId="77777777" w:rsidR="008C5CFA" w:rsidRPr="009C3005" w:rsidRDefault="00E82A60" w:rsidP="00300A01">
            <w:pPr>
              <w:pStyle w:val="Text1"/>
              <w:spacing w:before="0" w:after="0"/>
              <w:ind w:left="0"/>
              <w:jc w:val="right"/>
              <w:rPr>
                <w:sz w:val="12"/>
                <w:szCs w:val="12"/>
              </w:rPr>
            </w:pPr>
            <w:r w:rsidRPr="009C3005">
              <w:rPr>
                <w:noProof/>
                <w:sz w:val="12"/>
                <w:szCs w:val="12"/>
              </w:rPr>
              <w:t>10</w:t>
            </w:r>
          </w:p>
        </w:tc>
      </w:tr>
      <w:tr w:rsidR="006B2EC1" w14:paraId="6DD9E48B" w14:textId="77777777" w:rsidTr="0047688D">
        <w:tc>
          <w:tcPr>
            <w:tcW w:w="0" w:type="auto"/>
            <w:shd w:val="clear" w:color="auto" w:fill="auto"/>
          </w:tcPr>
          <w:p w14:paraId="0860ED29" w14:textId="77777777" w:rsidR="008C5CFA" w:rsidRPr="009C3005" w:rsidRDefault="00E82A60" w:rsidP="00300A01">
            <w:pPr>
              <w:pStyle w:val="Text1"/>
              <w:spacing w:before="0" w:after="0"/>
              <w:ind w:left="0"/>
              <w:rPr>
                <w:sz w:val="12"/>
                <w:szCs w:val="12"/>
              </w:rPr>
            </w:pPr>
            <w:r>
              <w:rPr>
                <w:noProof/>
                <w:sz w:val="14"/>
                <w:szCs w:val="14"/>
                <w:lang w:val="fr-BE"/>
              </w:rPr>
              <w:t>3</w:t>
            </w:r>
          </w:p>
        </w:tc>
        <w:tc>
          <w:tcPr>
            <w:tcW w:w="0" w:type="auto"/>
            <w:shd w:val="clear" w:color="auto" w:fill="auto"/>
          </w:tcPr>
          <w:p w14:paraId="0976EAEE" w14:textId="77777777" w:rsidR="008C5CFA" w:rsidRPr="009C3005" w:rsidRDefault="00E82A60" w:rsidP="00300A01">
            <w:pPr>
              <w:pStyle w:val="Text1"/>
              <w:spacing w:before="0" w:after="0"/>
              <w:ind w:left="0"/>
              <w:rPr>
                <w:sz w:val="12"/>
                <w:szCs w:val="12"/>
              </w:rPr>
            </w:pPr>
            <w:r>
              <w:rPr>
                <w:noProof/>
                <w:sz w:val="12"/>
                <w:szCs w:val="12"/>
              </w:rPr>
              <w:t>EFRR</w:t>
            </w:r>
          </w:p>
        </w:tc>
        <w:tc>
          <w:tcPr>
            <w:tcW w:w="0" w:type="auto"/>
            <w:shd w:val="clear" w:color="auto" w:fill="auto"/>
          </w:tcPr>
          <w:p w14:paraId="321F664F" w14:textId="77777777" w:rsidR="008C5CFA" w:rsidRPr="009C3005" w:rsidRDefault="00E82A60" w:rsidP="00300A01">
            <w:pPr>
              <w:pStyle w:val="Text1"/>
              <w:spacing w:before="0" w:after="0"/>
              <w:ind w:left="0"/>
              <w:rPr>
                <w:sz w:val="12"/>
                <w:szCs w:val="12"/>
              </w:rPr>
            </w:pPr>
            <w:r>
              <w:rPr>
                <w:noProof/>
                <w:sz w:val="12"/>
                <w:szCs w:val="12"/>
              </w:rPr>
              <w:t>Słabiej rozwinięte</w:t>
            </w:r>
          </w:p>
        </w:tc>
        <w:tc>
          <w:tcPr>
            <w:tcW w:w="0" w:type="auto"/>
            <w:shd w:val="clear" w:color="auto" w:fill="auto"/>
          </w:tcPr>
          <w:p w14:paraId="79A4A0DD" w14:textId="77777777" w:rsidR="008C5CFA" w:rsidRPr="009C3005" w:rsidRDefault="00E82A60" w:rsidP="00300A01">
            <w:pPr>
              <w:pStyle w:val="Text1"/>
              <w:spacing w:before="0" w:after="0"/>
              <w:ind w:left="0"/>
              <w:rPr>
                <w:sz w:val="12"/>
                <w:szCs w:val="12"/>
              </w:rPr>
            </w:pPr>
            <w:r>
              <w:rPr>
                <w:noProof/>
                <w:sz w:val="12"/>
                <w:szCs w:val="12"/>
              </w:rPr>
              <w:t>068</w:t>
            </w:r>
          </w:p>
        </w:tc>
        <w:tc>
          <w:tcPr>
            <w:tcW w:w="0" w:type="auto"/>
            <w:shd w:val="clear" w:color="auto" w:fill="auto"/>
          </w:tcPr>
          <w:p w14:paraId="3BBC3905"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3EE43CAC" w14:textId="77777777" w:rsidR="008C5CFA" w:rsidRPr="009C3005" w:rsidRDefault="00E82A60" w:rsidP="00300A01">
            <w:pPr>
              <w:pStyle w:val="Text1"/>
              <w:spacing w:before="0" w:after="0"/>
              <w:ind w:left="0"/>
              <w:rPr>
                <w:sz w:val="12"/>
                <w:szCs w:val="12"/>
              </w:rPr>
            </w:pPr>
            <w:r>
              <w:rPr>
                <w:noProof/>
                <w:sz w:val="12"/>
                <w:szCs w:val="12"/>
              </w:rPr>
              <w:t>03</w:t>
            </w:r>
          </w:p>
        </w:tc>
        <w:tc>
          <w:tcPr>
            <w:tcW w:w="0" w:type="auto"/>
            <w:shd w:val="clear" w:color="auto" w:fill="auto"/>
          </w:tcPr>
          <w:p w14:paraId="54F873BE"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5A7D1105" w14:textId="77777777" w:rsidR="008C5CFA" w:rsidRPr="009C3005" w:rsidRDefault="00E82A60" w:rsidP="00300A01">
            <w:pPr>
              <w:pStyle w:val="Text1"/>
              <w:spacing w:before="0" w:after="0"/>
              <w:ind w:left="0"/>
              <w:rPr>
                <w:sz w:val="12"/>
                <w:szCs w:val="12"/>
              </w:rPr>
            </w:pPr>
            <w:r>
              <w:rPr>
                <w:noProof/>
                <w:sz w:val="12"/>
                <w:szCs w:val="12"/>
              </w:rPr>
              <w:t>04</w:t>
            </w:r>
          </w:p>
        </w:tc>
        <w:tc>
          <w:tcPr>
            <w:tcW w:w="0" w:type="auto"/>
            <w:shd w:val="clear" w:color="auto" w:fill="auto"/>
          </w:tcPr>
          <w:p w14:paraId="0B02D439" w14:textId="77777777" w:rsidR="008C5CFA" w:rsidRPr="009C3005" w:rsidRDefault="00E82A60" w:rsidP="00300A01">
            <w:pPr>
              <w:pStyle w:val="Text1"/>
              <w:spacing w:before="0" w:after="0"/>
              <w:ind w:left="0"/>
              <w:rPr>
                <w:sz w:val="12"/>
                <w:szCs w:val="12"/>
              </w:rPr>
            </w:pPr>
            <w:r>
              <w:rPr>
                <w:sz w:val="12"/>
                <w:szCs w:val="12"/>
              </w:rPr>
              <w:t xml:space="preserve"> </w:t>
            </w:r>
          </w:p>
        </w:tc>
        <w:tc>
          <w:tcPr>
            <w:tcW w:w="0" w:type="auto"/>
            <w:shd w:val="clear" w:color="auto" w:fill="auto"/>
          </w:tcPr>
          <w:p w14:paraId="0694354D"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7ECD6CFD" w14:textId="77777777" w:rsidR="008C5CFA" w:rsidRPr="009C3005" w:rsidRDefault="00E82A60" w:rsidP="00300A01">
            <w:pPr>
              <w:pStyle w:val="Text1"/>
              <w:spacing w:before="0" w:after="0"/>
              <w:ind w:left="0"/>
              <w:rPr>
                <w:sz w:val="12"/>
                <w:szCs w:val="12"/>
              </w:rPr>
            </w:pPr>
            <w:r>
              <w:rPr>
                <w:noProof/>
                <w:sz w:val="12"/>
                <w:szCs w:val="12"/>
              </w:rPr>
              <w:t>PL33</w:t>
            </w:r>
          </w:p>
        </w:tc>
        <w:tc>
          <w:tcPr>
            <w:tcW w:w="0" w:type="auto"/>
            <w:shd w:val="clear" w:color="auto" w:fill="auto"/>
          </w:tcPr>
          <w:p w14:paraId="29DB1195" w14:textId="77777777" w:rsidR="008C5CFA" w:rsidRPr="009C3005" w:rsidRDefault="00E82A60" w:rsidP="00300A01">
            <w:pPr>
              <w:pStyle w:val="Text1"/>
              <w:spacing w:before="0" w:after="0"/>
              <w:ind w:left="0"/>
              <w:jc w:val="right"/>
              <w:rPr>
                <w:sz w:val="12"/>
                <w:szCs w:val="12"/>
              </w:rPr>
            </w:pPr>
            <w:r w:rsidRPr="009C3005">
              <w:rPr>
                <w:noProof/>
                <w:sz w:val="12"/>
                <w:szCs w:val="12"/>
              </w:rPr>
              <w:t>323 112,42</w:t>
            </w:r>
          </w:p>
        </w:tc>
        <w:tc>
          <w:tcPr>
            <w:tcW w:w="0" w:type="auto"/>
            <w:shd w:val="clear" w:color="auto" w:fill="auto"/>
          </w:tcPr>
          <w:p w14:paraId="543E5BB7" w14:textId="77777777" w:rsidR="008C5CFA" w:rsidRPr="009C3005" w:rsidRDefault="00E82A60" w:rsidP="00300A01">
            <w:pPr>
              <w:pStyle w:val="Text1"/>
              <w:spacing w:before="0" w:after="0"/>
              <w:ind w:left="0"/>
              <w:jc w:val="right"/>
              <w:rPr>
                <w:sz w:val="12"/>
                <w:szCs w:val="12"/>
              </w:rPr>
            </w:pPr>
            <w:r w:rsidRPr="009C3005">
              <w:rPr>
                <w:noProof/>
                <w:sz w:val="12"/>
                <w:szCs w:val="12"/>
              </w:rPr>
              <w:t>210 023,07</w:t>
            </w:r>
          </w:p>
        </w:tc>
        <w:tc>
          <w:tcPr>
            <w:tcW w:w="0" w:type="auto"/>
            <w:shd w:val="clear" w:color="auto" w:fill="auto"/>
          </w:tcPr>
          <w:p w14:paraId="77516C78" w14:textId="77777777" w:rsidR="008C5CFA" w:rsidRPr="009C3005" w:rsidRDefault="00E82A60" w:rsidP="00300A01">
            <w:pPr>
              <w:pStyle w:val="Text1"/>
              <w:spacing w:before="0" w:after="0"/>
              <w:ind w:left="0"/>
              <w:jc w:val="right"/>
              <w:rPr>
                <w:sz w:val="12"/>
                <w:szCs w:val="12"/>
              </w:rPr>
            </w:pPr>
            <w:r w:rsidRPr="009C3005">
              <w:rPr>
                <w:noProof/>
                <w:sz w:val="12"/>
                <w:szCs w:val="12"/>
              </w:rPr>
              <w:t>0,00</w:t>
            </w:r>
          </w:p>
        </w:tc>
        <w:tc>
          <w:tcPr>
            <w:tcW w:w="0" w:type="auto"/>
            <w:shd w:val="clear" w:color="auto" w:fill="auto"/>
          </w:tcPr>
          <w:p w14:paraId="09BB3481" w14:textId="77777777" w:rsidR="008C5CFA" w:rsidRPr="009C3005" w:rsidRDefault="00E82A60" w:rsidP="00300A01">
            <w:pPr>
              <w:pStyle w:val="Text1"/>
              <w:spacing w:before="0" w:after="0"/>
              <w:ind w:left="0"/>
              <w:jc w:val="right"/>
              <w:rPr>
                <w:sz w:val="12"/>
                <w:szCs w:val="12"/>
              </w:rPr>
            </w:pPr>
            <w:r w:rsidRPr="009C3005">
              <w:rPr>
                <w:noProof/>
                <w:sz w:val="12"/>
                <w:szCs w:val="12"/>
              </w:rPr>
              <w:t>1</w:t>
            </w:r>
          </w:p>
        </w:tc>
      </w:tr>
      <w:tr w:rsidR="006B2EC1" w14:paraId="660424F9" w14:textId="77777777" w:rsidTr="0047688D">
        <w:tc>
          <w:tcPr>
            <w:tcW w:w="0" w:type="auto"/>
            <w:shd w:val="clear" w:color="auto" w:fill="auto"/>
          </w:tcPr>
          <w:p w14:paraId="5B21A4BA" w14:textId="77777777" w:rsidR="008C5CFA" w:rsidRPr="009C3005" w:rsidRDefault="00E82A60" w:rsidP="00300A01">
            <w:pPr>
              <w:pStyle w:val="Text1"/>
              <w:spacing w:before="0" w:after="0"/>
              <w:ind w:left="0"/>
              <w:rPr>
                <w:sz w:val="12"/>
                <w:szCs w:val="12"/>
              </w:rPr>
            </w:pPr>
            <w:r>
              <w:rPr>
                <w:noProof/>
                <w:sz w:val="14"/>
                <w:szCs w:val="14"/>
                <w:lang w:val="fr-BE"/>
              </w:rPr>
              <w:t>3</w:t>
            </w:r>
          </w:p>
        </w:tc>
        <w:tc>
          <w:tcPr>
            <w:tcW w:w="0" w:type="auto"/>
            <w:shd w:val="clear" w:color="auto" w:fill="auto"/>
          </w:tcPr>
          <w:p w14:paraId="34B953B4" w14:textId="77777777" w:rsidR="008C5CFA" w:rsidRPr="009C3005" w:rsidRDefault="00E82A60" w:rsidP="00300A01">
            <w:pPr>
              <w:pStyle w:val="Text1"/>
              <w:spacing w:before="0" w:after="0"/>
              <w:ind w:left="0"/>
              <w:rPr>
                <w:sz w:val="12"/>
                <w:szCs w:val="12"/>
              </w:rPr>
            </w:pPr>
            <w:r>
              <w:rPr>
                <w:noProof/>
                <w:sz w:val="12"/>
                <w:szCs w:val="12"/>
              </w:rPr>
              <w:t>EFRR</w:t>
            </w:r>
          </w:p>
        </w:tc>
        <w:tc>
          <w:tcPr>
            <w:tcW w:w="0" w:type="auto"/>
            <w:shd w:val="clear" w:color="auto" w:fill="auto"/>
          </w:tcPr>
          <w:p w14:paraId="44CCFBF4" w14:textId="77777777" w:rsidR="008C5CFA" w:rsidRPr="009C3005" w:rsidRDefault="00E82A60" w:rsidP="00300A01">
            <w:pPr>
              <w:pStyle w:val="Text1"/>
              <w:spacing w:before="0" w:after="0"/>
              <w:ind w:left="0"/>
              <w:rPr>
                <w:sz w:val="12"/>
                <w:szCs w:val="12"/>
              </w:rPr>
            </w:pPr>
            <w:r>
              <w:rPr>
                <w:noProof/>
                <w:sz w:val="12"/>
                <w:szCs w:val="12"/>
              </w:rPr>
              <w:t>Słabiej rozwinięte</w:t>
            </w:r>
          </w:p>
        </w:tc>
        <w:tc>
          <w:tcPr>
            <w:tcW w:w="0" w:type="auto"/>
            <w:shd w:val="clear" w:color="auto" w:fill="auto"/>
          </w:tcPr>
          <w:p w14:paraId="06EA9822" w14:textId="77777777" w:rsidR="008C5CFA" w:rsidRPr="009C3005" w:rsidRDefault="00E82A60" w:rsidP="00300A01">
            <w:pPr>
              <w:pStyle w:val="Text1"/>
              <w:spacing w:before="0" w:after="0"/>
              <w:ind w:left="0"/>
              <w:rPr>
                <w:sz w:val="12"/>
                <w:szCs w:val="12"/>
              </w:rPr>
            </w:pPr>
            <w:r>
              <w:rPr>
                <w:noProof/>
                <w:sz w:val="12"/>
                <w:szCs w:val="12"/>
              </w:rPr>
              <w:t>068</w:t>
            </w:r>
          </w:p>
        </w:tc>
        <w:tc>
          <w:tcPr>
            <w:tcW w:w="0" w:type="auto"/>
            <w:shd w:val="clear" w:color="auto" w:fill="auto"/>
          </w:tcPr>
          <w:p w14:paraId="70DB17AE"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20286B6B" w14:textId="77777777" w:rsidR="008C5CFA" w:rsidRPr="009C3005" w:rsidRDefault="00E82A60" w:rsidP="00300A01">
            <w:pPr>
              <w:pStyle w:val="Text1"/>
              <w:spacing w:before="0" w:after="0"/>
              <w:ind w:left="0"/>
              <w:rPr>
                <w:sz w:val="12"/>
                <w:szCs w:val="12"/>
              </w:rPr>
            </w:pPr>
            <w:r>
              <w:rPr>
                <w:noProof/>
                <w:sz w:val="12"/>
                <w:szCs w:val="12"/>
              </w:rPr>
              <w:t>03</w:t>
            </w:r>
          </w:p>
        </w:tc>
        <w:tc>
          <w:tcPr>
            <w:tcW w:w="0" w:type="auto"/>
            <w:shd w:val="clear" w:color="auto" w:fill="auto"/>
          </w:tcPr>
          <w:p w14:paraId="49ADAF6D"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272FD459" w14:textId="77777777" w:rsidR="008C5CFA" w:rsidRPr="009C3005" w:rsidRDefault="00E82A60" w:rsidP="00300A01">
            <w:pPr>
              <w:pStyle w:val="Text1"/>
              <w:spacing w:before="0" w:after="0"/>
              <w:ind w:left="0"/>
              <w:rPr>
                <w:sz w:val="12"/>
                <w:szCs w:val="12"/>
              </w:rPr>
            </w:pPr>
            <w:r>
              <w:rPr>
                <w:noProof/>
                <w:sz w:val="12"/>
                <w:szCs w:val="12"/>
              </w:rPr>
              <w:t>04</w:t>
            </w:r>
          </w:p>
        </w:tc>
        <w:tc>
          <w:tcPr>
            <w:tcW w:w="0" w:type="auto"/>
            <w:shd w:val="clear" w:color="auto" w:fill="auto"/>
          </w:tcPr>
          <w:p w14:paraId="70F21573" w14:textId="77777777" w:rsidR="008C5CFA" w:rsidRPr="009C3005" w:rsidRDefault="00E82A60" w:rsidP="00300A01">
            <w:pPr>
              <w:pStyle w:val="Text1"/>
              <w:spacing w:before="0" w:after="0"/>
              <w:ind w:left="0"/>
              <w:rPr>
                <w:sz w:val="12"/>
                <w:szCs w:val="12"/>
              </w:rPr>
            </w:pPr>
            <w:r>
              <w:rPr>
                <w:sz w:val="12"/>
                <w:szCs w:val="12"/>
              </w:rPr>
              <w:t xml:space="preserve"> </w:t>
            </w:r>
          </w:p>
        </w:tc>
        <w:tc>
          <w:tcPr>
            <w:tcW w:w="0" w:type="auto"/>
            <w:shd w:val="clear" w:color="auto" w:fill="auto"/>
          </w:tcPr>
          <w:p w14:paraId="122DC2AF" w14:textId="77777777" w:rsidR="008C5CFA" w:rsidRPr="009C3005" w:rsidRDefault="00E82A60" w:rsidP="00300A01">
            <w:pPr>
              <w:pStyle w:val="Text1"/>
              <w:spacing w:before="0" w:after="0"/>
              <w:ind w:left="0"/>
              <w:rPr>
                <w:sz w:val="12"/>
                <w:szCs w:val="12"/>
              </w:rPr>
            </w:pPr>
            <w:r>
              <w:rPr>
                <w:noProof/>
                <w:sz w:val="12"/>
                <w:szCs w:val="12"/>
              </w:rPr>
              <w:t>03</w:t>
            </w:r>
          </w:p>
        </w:tc>
        <w:tc>
          <w:tcPr>
            <w:tcW w:w="0" w:type="auto"/>
            <w:shd w:val="clear" w:color="auto" w:fill="auto"/>
          </w:tcPr>
          <w:p w14:paraId="00926841" w14:textId="77777777" w:rsidR="008C5CFA" w:rsidRPr="009C3005" w:rsidRDefault="00E82A60" w:rsidP="00300A01">
            <w:pPr>
              <w:pStyle w:val="Text1"/>
              <w:spacing w:before="0" w:after="0"/>
              <w:ind w:left="0"/>
              <w:rPr>
                <w:sz w:val="12"/>
                <w:szCs w:val="12"/>
              </w:rPr>
            </w:pPr>
            <w:r>
              <w:rPr>
                <w:noProof/>
                <w:sz w:val="12"/>
                <w:szCs w:val="12"/>
              </w:rPr>
              <w:t>PL33</w:t>
            </w:r>
          </w:p>
        </w:tc>
        <w:tc>
          <w:tcPr>
            <w:tcW w:w="0" w:type="auto"/>
            <w:shd w:val="clear" w:color="auto" w:fill="auto"/>
          </w:tcPr>
          <w:p w14:paraId="0BB62D54" w14:textId="77777777" w:rsidR="008C5CFA" w:rsidRPr="009C3005" w:rsidRDefault="00E82A60" w:rsidP="00300A01">
            <w:pPr>
              <w:pStyle w:val="Text1"/>
              <w:spacing w:before="0" w:after="0"/>
              <w:ind w:left="0"/>
              <w:jc w:val="right"/>
              <w:rPr>
                <w:sz w:val="12"/>
                <w:szCs w:val="12"/>
              </w:rPr>
            </w:pPr>
            <w:r w:rsidRPr="009C3005">
              <w:rPr>
                <w:noProof/>
                <w:sz w:val="12"/>
                <w:szCs w:val="12"/>
              </w:rPr>
              <w:t>951 974,29</w:t>
            </w:r>
          </w:p>
        </w:tc>
        <w:tc>
          <w:tcPr>
            <w:tcW w:w="0" w:type="auto"/>
            <w:shd w:val="clear" w:color="auto" w:fill="auto"/>
          </w:tcPr>
          <w:p w14:paraId="66F5AD55" w14:textId="77777777" w:rsidR="008C5CFA" w:rsidRPr="009C3005" w:rsidRDefault="00E82A60" w:rsidP="00300A01">
            <w:pPr>
              <w:pStyle w:val="Text1"/>
              <w:spacing w:before="0" w:after="0"/>
              <w:ind w:left="0"/>
              <w:jc w:val="right"/>
              <w:rPr>
                <w:sz w:val="12"/>
                <w:szCs w:val="12"/>
              </w:rPr>
            </w:pPr>
            <w:r w:rsidRPr="009C3005">
              <w:rPr>
                <w:noProof/>
                <w:sz w:val="12"/>
                <w:szCs w:val="12"/>
              </w:rPr>
              <w:t>542 834,99</w:t>
            </w:r>
          </w:p>
        </w:tc>
        <w:tc>
          <w:tcPr>
            <w:tcW w:w="0" w:type="auto"/>
            <w:shd w:val="clear" w:color="auto" w:fill="auto"/>
          </w:tcPr>
          <w:p w14:paraId="7A077599" w14:textId="77777777" w:rsidR="008C5CFA" w:rsidRPr="009C3005" w:rsidRDefault="00E82A60" w:rsidP="00300A01">
            <w:pPr>
              <w:pStyle w:val="Text1"/>
              <w:spacing w:before="0" w:after="0"/>
              <w:ind w:left="0"/>
              <w:jc w:val="right"/>
              <w:rPr>
                <w:sz w:val="12"/>
                <w:szCs w:val="12"/>
              </w:rPr>
            </w:pPr>
            <w:r w:rsidRPr="009C3005">
              <w:rPr>
                <w:noProof/>
                <w:sz w:val="12"/>
                <w:szCs w:val="12"/>
              </w:rPr>
              <w:t>627 253,06</w:t>
            </w:r>
          </w:p>
        </w:tc>
        <w:tc>
          <w:tcPr>
            <w:tcW w:w="0" w:type="auto"/>
            <w:shd w:val="clear" w:color="auto" w:fill="auto"/>
          </w:tcPr>
          <w:p w14:paraId="0B375D54" w14:textId="77777777" w:rsidR="008C5CFA" w:rsidRPr="009C3005" w:rsidRDefault="00E82A60" w:rsidP="00300A01">
            <w:pPr>
              <w:pStyle w:val="Text1"/>
              <w:spacing w:before="0" w:after="0"/>
              <w:ind w:left="0"/>
              <w:jc w:val="right"/>
              <w:rPr>
                <w:sz w:val="12"/>
                <w:szCs w:val="12"/>
              </w:rPr>
            </w:pPr>
            <w:r w:rsidRPr="009C3005">
              <w:rPr>
                <w:noProof/>
                <w:sz w:val="12"/>
                <w:szCs w:val="12"/>
              </w:rPr>
              <w:t>4</w:t>
            </w:r>
          </w:p>
        </w:tc>
      </w:tr>
      <w:tr w:rsidR="006B2EC1" w14:paraId="645B92BF" w14:textId="77777777" w:rsidTr="0047688D">
        <w:tc>
          <w:tcPr>
            <w:tcW w:w="0" w:type="auto"/>
            <w:shd w:val="clear" w:color="auto" w:fill="auto"/>
          </w:tcPr>
          <w:p w14:paraId="480B4CE8" w14:textId="77777777" w:rsidR="008C5CFA" w:rsidRPr="009C3005" w:rsidRDefault="00E82A60" w:rsidP="00300A01">
            <w:pPr>
              <w:pStyle w:val="Text1"/>
              <w:spacing w:before="0" w:after="0"/>
              <w:ind w:left="0"/>
              <w:rPr>
                <w:sz w:val="12"/>
                <w:szCs w:val="12"/>
              </w:rPr>
            </w:pPr>
            <w:r>
              <w:rPr>
                <w:noProof/>
                <w:sz w:val="14"/>
                <w:szCs w:val="14"/>
                <w:lang w:val="fr-BE"/>
              </w:rPr>
              <w:t>3</w:t>
            </w:r>
          </w:p>
        </w:tc>
        <w:tc>
          <w:tcPr>
            <w:tcW w:w="0" w:type="auto"/>
            <w:shd w:val="clear" w:color="auto" w:fill="auto"/>
          </w:tcPr>
          <w:p w14:paraId="7492420F" w14:textId="77777777" w:rsidR="008C5CFA" w:rsidRPr="009C3005" w:rsidRDefault="00E82A60" w:rsidP="00300A01">
            <w:pPr>
              <w:pStyle w:val="Text1"/>
              <w:spacing w:before="0" w:after="0"/>
              <w:ind w:left="0"/>
              <w:rPr>
                <w:sz w:val="12"/>
                <w:szCs w:val="12"/>
              </w:rPr>
            </w:pPr>
            <w:r>
              <w:rPr>
                <w:noProof/>
                <w:sz w:val="12"/>
                <w:szCs w:val="12"/>
              </w:rPr>
              <w:t>EFRR</w:t>
            </w:r>
          </w:p>
        </w:tc>
        <w:tc>
          <w:tcPr>
            <w:tcW w:w="0" w:type="auto"/>
            <w:shd w:val="clear" w:color="auto" w:fill="auto"/>
          </w:tcPr>
          <w:p w14:paraId="29FD3B3A" w14:textId="77777777" w:rsidR="008C5CFA" w:rsidRPr="009C3005" w:rsidRDefault="00E82A60" w:rsidP="00300A01">
            <w:pPr>
              <w:pStyle w:val="Text1"/>
              <w:spacing w:before="0" w:after="0"/>
              <w:ind w:left="0"/>
              <w:rPr>
                <w:sz w:val="12"/>
                <w:szCs w:val="12"/>
              </w:rPr>
            </w:pPr>
            <w:r>
              <w:rPr>
                <w:noProof/>
                <w:sz w:val="12"/>
                <w:szCs w:val="12"/>
              </w:rPr>
              <w:t>Słabiej rozwinięte</w:t>
            </w:r>
          </w:p>
        </w:tc>
        <w:tc>
          <w:tcPr>
            <w:tcW w:w="0" w:type="auto"/>
            <w:shd w:val="clear" w:color="auto" w:fill="auto"/>
          </w:tcPr>
          <w:p w14:paraId="72D5EA9F" w14:textId="77777777" w:rsidR="008C5CFA" w:rsidRPr="009C3005" w:rsidRDefault="00E82A60" w:rsidP="00300A01">
            <w:pPr>
              <w:pStyle w:val="Text1"/>
              <w:spacing w:before="0" w:after="0"/>
              <w:ind w:left="0"/>
              <w:rPr>
                <w:sz w:val="12"/>
                <w:szCs w:val="12"/>
              </w:rPr>
            </w:pPr>
            <w:r>
              <w:rPr>
                <w:noProof/>
                <w:sz w:val="12"/>
                <w:szCs w:val="12"/>
              </w:rPr>
              <w:t>068</w:t>
            </w:r>
          </w:p>
        </w:tc>
        <w:tc>
          <w:tcPr>
            <w:tcW w:w="0" w:type="auto"/>
            <w:shd w:val="clear" w:color="auto" w:fill="auto"/>
          </w:tcPr>
          <w:p w14:paraId="1396CBB4"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1B116846" w14:textId="77777777" w:rsidR="008C5CFA" w:rsidRPr="009C3005" w:rsidRDefault="00E82A60" w:rsidP="00300A01">
            <w:pPr>
              <w:pStyle w:val="Text1"/>
              <w:spacing w:before="0" w:after="0"/>
              <w:ind w:left="0"/>
              <w:rPr>
                <w:sz w:val="12"/>
                <w:szCs w:val="12"/>
              </w:rPr>
            </w:pPr>
            <w:r>
              <w:rPr>
                <w:noProof/>
                <w:sz w:val="12"/>
                <w:szCs w:val="12"/>
              </w:rPr>
              <w:t>03</w:t>
            </w:r>
          </w:p>
        </w:tc>
        <w:tc>
          <w:tcPr>
            <w:tcW w:w="0" w:type="auto"/>
            <w:shd w:val="clear" w:color="auto" w:fill="auto"/>
          </w:tcPr>
          <w:p w14:paraId="05D9FB88"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1693496E" w14:textId="77777777" w:rsidR="008C5CFA" w:rsidRPr="009C3005" w:rsidRDefault="00E82A60" w:rsidP="00300A01">
            <w:pPr>
              <w:pStyle w:val="Text1"/>
              <w:spacing w:before="0" w:after="0"/>
              <w:ind w:left="0"/>
              <w:rPr>
                <w:sz w:val="12"/>
                <w:szCs w:val="12"/>
              </w:rPr>
            </w:pPr>
            <w:r>
              <w:rPr>
                <w:noProof/>
                <w:sz w:val="12"/>
                <w:szCs w:val="12"/>
              </w:rPr>
              <w:t>04</w:t>
            </w:r>
          </w:p>
        </w:tc>
        <w:tc>
          <w:tcPr>
            <w:tcW w:w="0" w:type="auto"/>
            <w:shd w:val="clear" w:color="auto" w:fill="auto"/>
          </w:tcPr>
          <w:p w14:paraId="2B74BD34" w14:textId="77777777" w:rsidR="008C5CFA" w:rsidRPr="009C3005" w:rsidRDefault="00E82A60" w:rsidP="00300A01">
            <w:pPr>
              <w:pStyle w:val="Text1"/>
              <w:spacing w:before="0" w:after="0"/>
              <w:ind w:left="0"/>
              <w:rPr>
                <w:sz w:val="12"/>
                <w:szCs w:val="12"/>
              </w:rPr>
            </w:pPr>
            <w:r>
              <w:rPr>
                <w:sz w:val="12"/>
                <w:szCs w:val="12"/>
              </w:rPr>
              <w:t xml:space="preserve"> </w:t>
            </w:r>
          </w:p>
        </w:tc>
        <w:tc>
          <w:tcPr>
            <w:tcW w:w="0" w:type="auto"/>
            <w:shd w:val="clear" w:color="auto" w:fill="auto"/>
          </w:tcPr>
          <w:p w14:paraId="388B4F3B"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536B4E05" w14:textId="77777777" w:rsidR="008C5CFA" w:rsidRPr="009C3005" w:rsidRDefault="00E82A60" w:rsidP="00300A01">
            <w:pPr>
              <w:pStyle w:val="Text1"/>
              <w:spacing w:before="0" w:after="0"/>
              <w:ind w:left="0"/>
              <w:rPr>
                <w:sz w:val="12"/>
                <w:szCs w:val="12"/>
              </w:rPr>
            </w:pPr>
            <w:r>
              <w:rPr>
                <w:noProof/>
                <w:sz w:val="12"/>
                <w:szCs w:val="12"/>
              </w:rPr>
              <w:t>PL33</w:t>
            </w:r>
          </w:p>
        </w:tc>
        <w:tc>
          <w:tcPr>
            <w:tcW w:w="0" w:type="auto"/>
            <w:shd w:val="clear" w:color="auto" w:fill="auto"/>
          </w:tcPr>
          <w:p w14:paraId="569CE983" w14:textId="77777777" w:rsidR="008C5CFA" w:rsidRPr="009C3005" w:rsidRDefault="00E82A60" w:rsidP="00300A01">
            <w:pPr>
              <w:pStyle w:val="Text1"/>
              <w:spacing w:before="0" w:after="0"/>
              <w:ind w:left="0"/>
              <w:jc w:val="right"/>
              <w:rPr>
                <w:sz w:val="12"/>
                <w:szCs w:val="12"/>
              </w:rPr>
            </w:pPr>
            <w:r w:rsidRPr="009C3005">
              <w:rPr>
                <w:noProof/>
                <w:sz w:val="12"/>
                <w:szCs w:val="12"/>
              </w:rPr>
              <w:t>2 783 708,56</w:t>
            </w:r>
          </w:p>
        </w:tc>
        <w:tc>
          <w:tcPr>
            <w:tcW w:w="0" w:type="auto"/>
            <w:shd w:val="clear" w:color="auto" w:fill="auto"/>
          </w:tcPr>
          <w:p w14:paraId="5CB71C4E" w14:textId="77777777" w:rsidR="008C5CFA" w:rsidRPr="009C3005" w:rsidRDefault="00E82A60" w:rsidP="00300A01">
            <w:pPr>
              <w:pStyle w:val="Text1"/>
              <w:spacing w:before="0" w:after="0"/>
              <w:ind w:left="0"/>
              <w:jc w:val="right"/>
              <w:rPr>
                <w:sz w:val="12"/>
                <w:szCs w:val="12"/>
              </w:rPr>
            </w:pPr>
            <w:r w:rsidRPr="009C3005">
              <w:rPr>
                <w:noProof/>
                <w:sz w:val="12"/>
                <w:szCs w:val="12"/>
              </w:rPr>
              <w:t>1 674 812,46</w:t>
            </w:r>
          </w:p>
        </w:tc>
        <w:tc>
          <w:tcPr>
            <w:tcW w:w="0" w:type="auto"/>
            <w:shd w:val="clear" w:color="auto" w:fill="auto"/>
          </w:tcPr>
          <w:p w14:paraId="77C5D4BE" w14:textId="77777777" w:rsidR="008C5CFA" w:rsidRPr="009C3005" w:rsidRDefault="00E82A60" w:rsidP="00300A01">
            <w:pPr>
              <w:pStyle w:val="Text1"/>
              <w:spacing w:before="0" w:after="0"/>
              <w:ind w:left="0"/>
              <w:jc w:val="right"/>
              <w:rPr>
                <w:sz w:val="12"/>
                <w:szCs w:val="12"/>
              </w:rPr>
            </w:pPr>
            <w:r w:rsidRPr="009C3005">
              <w:rPr>
                <w:noProof/>
                <w:sz w:val="12"/>
                <w:szCs w:val="12"/>
              </w:rPr>
              <w:t>954 137,35</w:t>
            </w:r>
          </w:p>
        </w:tc>
        <w:tc>
          <w:tcPr>
            <w:tcW w:w="0" w:type="auto"/>
            <w:shd w:val="clear" w:color="auto" w:fill="auto"/>
          </w:tcPr>
          <w:p w14:paraId="7B7F7940" w14:textId="77777777" w:rsidR="008C5CFA" w:rsidRPr="009C3005" w:rsidRDefault="00E82A60" w:rsidP="00300A01">
            <w:pPr>
              <w:pStyle w:val="Text1"/>
              <w:spacing w:before="0" w:after="0"/>
              <w:ind w:left="0"/>
              <w:jc w:val="right"/>
              <w:rPr>
                <w:sz w:val="12"/>
                <w:szCs w:val="12"/>
              </w:rPr>
            </w:pPr>
            <w:r w:rsidRPr="009C3005">
              <w:rPr>
                <w:noProof/>
                <w:sz w:val="12"/>
                <w:szCs w:val="12"/>
              </w:rPr>
              <w:t>9</w:t>
            </w:r>
          </w:p>
        </w:tc>
      </w:tr>
      <w:tr w:rsidR="006B2EC1" w14:paraId="484E2486" w14:textId="77777777" w:rsidTr="0047688D">
        <w:tc>
          <w:tcPr>
            <w:tcW w:w="0" w:type="auto"/>
            <w:shd w:val="clear" w:color="auto" w:fill="auto"/>
          </w:tcPr>
          <w:p w14:paraId="28198507" w14:textId="77777777" w:rsidR="008C5CFA" w:rsidRPr="009C3005" w:rsidRDefault="00E82A60" w:rsidP="00300A01">
            <w:pPr>
              <w:pStyle w:val="Text1"/>
              <w:spacing w:before="0" w:after="0"/>
              <w:ind w:left="0"/>
              <w:rPr>
                <w:sz w:val="12"/>
                <w:szCs w:val="12"/>
              </w:rPr>
            </w:pPr>
            <w:r>
              <w:rPr>
                <w:noProof/>
                <w:sz w:val="14"/>
                <w:szCs w:val="14"/>
                <w:lang w:val="fr-BE"/>
              </w:rPr>
              <w:t>3</w:t>
            </w:r>
          </w:p>
        </w:tc>
        <w:tc>
          <w:tcPr>
            <w:tcW w:w="0" w:type="auto"/>
            <w:shd w:val="clear" w:color="auto" w:fill="auto"/>
          </w:tcPr>
          <w:p w14:paraId="761116A3" w14:textId="77777777" w:rsidR="008C5CFA" w:rsidRPr="009C3005" w:rsidRDefault="00E82A60" w:rsidP="00300A01">
            <w:pPr>
              <w:pStyle w:val="Text1"/>
              <w:spacing w:before="0" w:after="0"/>
              <w:ind w:left="0"/>
              <w:rPr>
                <w:sz w:val="12"/>
                <w:szCs w:val="12"/>
              </w:rPr>
            </w:pPr>
            <w:r>
              <w:rPr>
                <w:noProof/>
                <w:sz w:val="12"/>
                <w:szCs w:val="12"/>
              </w:rPr>
              <w:t>EFRR</w:t>
            </w:r>
          </w:p>
        </w:tc>
        <w:tc>
          <w:tcPr>
            <w:tcW w:w="0" w:type="auto"/>
            <w:shd w:val="clear" w:color="auto" w:fill="auto"/>
          </w:tcPr>
          <w:p w14:paraId="089E54CB" w14:textId="77777777" w:rsidR="008C5CFA" w:rsidRPr="009C3005" w:rsidRDefault="00E82A60" w:rsidP="00300A01">
            <w:pPr>
              <w:pStyle w:val="Text1"/>
              <w:spacing w:before="0" w:after="0"/>
              <w:ind w:left="0"/>
              <w:rPr>
                <w:sz w:val="12"/>
                <w:szCs w:val="12"/>
              </w:rPr>
            </w:pPr>
            <w:r>
              <w:rPr>
                <w:noProof/>
                <w:sz w:val="12"/>
                <w:szCs w:val="12"/>
              </w:rPr>
              <w:t>Słabiej rozwinięte</w:t>
            </w:r>
          </w:p>
        </w:tc>
        <w:tc>
          <w:tcPr>
            <w:tcW w:w="0" w:type="auto"/>
            <w:shd w:val="clear" w:color="auto" w:fill="auto"/>
          </w:tcPr>
          <w:p w14:paraId="3D27A0AD" w14:textId="77777777" w:rsidR="008C5CFA" w:rsidRPr="009C3005" w:rsidRDefault="00E82A60" w:rsidP="00300A01">
            <w:pPr>
              <w:pStyle w:val="Text1"/>
              <w:spacing w:before="0" w:after="0"/>
              <w:ind w:left="0"/>
              <w:rPr>
                <w:sz w:val="12"/>
                <w:szCs w:val="12"/>
              </w:rPr>
            </w:pPr>
            <w:r>
              <w:rPr>
                <w:noProof/>
                <w:sz w:val="12"/>
                <w:szCs w:val="12"/>
              </w:rPr>
              <w:t>068</w:t>
            </w:r>
          </w:p>
        </w:tc>
        <w:tc>
          <w:tcPr>
            <w:tcW w:w="0" w:type="auto"/>
            <w:shd w:val="clear" w:color="auto" w:fill="auto"/>
          </w:tcPr>
          <w:p w14:paraId="344BD7C7"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5CA1B958" w14:textId="77777777" w:rsidR="008C5CFA" w:rsidRPr="009C3005" w:rsidRDefault="00E82A60" w:rsidP="00300A01">
            <w:pPr>
              <w:pStyle w:val="Text1"/>
              <w:spacing w:before="0" w:after="0"/>
              <w:ind w:left="0"/>
              <w:rPr>
                <w:sz w:val="12"/>
                <w:szCs w:val="12"/>
              </w:rPr>
            </w:pPr>
            <w:r>
              <w:rPr>
                <w:noProof/>
                <w:sz w:val="12"/>
                <w:szCs w:val="12"/>
              </w:rPr>
              <w:t>03</w:t>
            </w:r>
          </w:p>
        </w:tc>
        <w:tc>
          <w:tcPr>
            <w:tcW w:w="0" w:type="auto"/>
            <w:shd w:val="clear" w:color="auto" w:fill="auto"/>
          </w:tcPr>
          <w:p w14:paraId="43504CD2"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7A9FE4AF" w14:textId="77777777" w:rsidR="008C5CFA" w:rsidRPr="009C3005" w:rsidRDefault="00E82A60" w:rsidP="00300A01">
            <w:pPr>
              <w:pStyle w:val="Text1"/>
              <w:spacing w:before="0" w:after="0"/>
              <w:ind w:left="0"/>
              <w:rPr>
                <w:sz w:val="12"/>
                <w:szCs w:val="12"/>
              </w:rPr>
            </w:pPr>
            <w:r>
              <w:rPr>
                <w:noProof/>
                <w:sz w:val="12"/>
                <w:szCs w:val="12"/>
              </w:rPr>
              <w:t>04</w:t>
            </w:r>
          </w:p>
        </w:tc>
        <w:tc>
          <w:tcPr>
            <w:tcW w:w="0" w:type="auto"/>
            <w:shd w:val="clear" w:color="auto" w:fill="auto"/>
          </w:tcPr>
          <w:p w14:paraId="631509F4" w14:textId="77777777" w:rsidR="008C5CFA" w:rsidRPr="009C3005" w:rsidRDefault="00E82A60" w:rsidP="00300A01">
            <w:pPr>
              <w:pStyle w:val="Text1"/>
              <w:spacing w:before="0" w:after="0"/>
              <w:ind w:left="0"/>
              <w:rPr>
                <w:sz w:val="12"/>
                <w:szCs w:val="12"/>
              </w:rPr>
            </w:pPr>
            <w:r>
              <w:rPr>
                <w:sz w:val="12"/>
                <w:szCs w:val="12"/>
              </w:rPr>
              <w:t xml:space="preserve"> </w:t>
            </w:r>
          </w:p>
        </w:tc>
        <w:tc>
          <w:tcPr>
            <w:tcW w:w="0" w:type="auto"/>
            <w:shd w:val="clear" w:color="auto" w:fill="auto"/>
          </w:tcPr>
          <w:p w14:paraId="392BC390" w14:textId="77777777" w:rsidR="008C5CFA" w:rsidRPr="009C3005" w:rsidRDefault="00E82A60" w:rsidP="00300A01">
            <w:pPr>
              <w:pStyle w:val="Text1"/>
              <w:spacing w:before="0" w:after="0"/>
              <w:ind w:left="0"/>
              <w:rPr>
                <w:sz w:val="12"/>
                <w:szCs w:val="12"/>
              </w:rPr>
            </w:pPr>
            <w:r>
              <w:rPr>
                <w:noProof/>
                <w:sz w:val="12"/>
                <w:szCs w:val="12"/>
              </w:rPr>
              <w:t>08</w:t>
            </w:r>
          </w:p>
        </w:tc>
        <w:tc>
          <w:tcPr>
            <w:tcW w:w="0" w:type="auto"/>
            <w:shd w:val="clear" w:color="auto" w:fill="auto"/>
          </w:tcPr>
          <w:p w14:paraId="5EFA30B2" w14:textId="77777777" w:rsidR="008C5CFA" w:rsidRPr="009C3005" w:rsidRDefault="00E82A60" w:rsidP="00300A01">
            <w:pPr>
              <w:pStyle w:val="Text1"/>
              <w:spacing w:before="0" w:after="0"/>
              <w:ind w:left="0"/>
              <w:rPr>
                <w:sz w:val="12"/>
                <w:szCs w:val="12"/>
              </w:rPr>
            </w:pPr>
            <w:r>
              <w:rPr>
                <w:noProof/>
                <w:sz w:val="12"/>
                <w:szCs w:val="12"/>
              </w:rPr>
              <w:t>PL33</w:t>
            </w:r>
          </w:p>
        </w:tc>
        <w:tc>
          <w:tcPr>
            <w:tcW w:w="0" w:type="auto"/>
            <w:shd w:val="clear" w:color="auto" w:fill="auto"/>
          </w:tcPr>
          <w:p w14:paraId="3F2AFE25" w14:textId="77777777" w:rsidR="008C5CFA" w:rsidRPr="009C3005" w:rsidRDefault="00E82A60" w:rsidP="00300A01">
            <w:pPr>
              <w:pStyle w:val="Text1"/>
              <w:spacing w:before="0" w:after="0"/>
              <w:ind w:left="0"/>
              <w:jc w:val="right"/>
              <w:rPr>
                <w:sz w:val="12"/>
                <w:szCs w:val="12"/>
              </w:rPr>
            </w:pPr>
            <w:r w:rsidRPr="009C3005">
              <w:rPr>
                <w:noProof/>
                <w:sz w:val="12"/>
                <w:szCs w:val="12"/>
              </w:rPr>
              <w:t>719 053,55</w:t>
            </w:r>
          </w:p>
        </w:tc>
        <w:tc>
          <w:tcPr>
            <w:tcW w:w="0" w:type="auto"/>
            <w:shd w:val="clear" w:color="auto" w:fill="auto"/>
          </w:tcPr>
          <w:p w14:paraId="6F64B757" w14:textId="77777777" w:rsidR="008C5CFA" w:rsidRPr="009C3005" w:rsidRDefault="00E82A60" w:rsidP="00300A01">
            <w:pPr>
              <w:pStyle w:val="Text1"/>
              <w:spacing w:before="0" w:after="0"/>
              <w:ind w:left="0"/>
              <w:jc w:val="right"/>
              <w:rPr>
                <w:sz w:val="12"/>
                <w:szCs w:val="12"/>
              </w:rPr>
            </w:pPr>
            <w:r w:rsidRPr="009C3005">
              <w:rPr>
                <w:noProof/>
                <w:sz w:val="12"/>
                <w:szCs w:val="12"/>
              </w:rPr>
              <w:t>494 278,94</w:t>
            </w:r>
          </w:p>
        </w:tc>
        <w:tc>
          <w:tcPr>
            <w:tcW w:w="0" w:type="auto"/>
            <w:shd w:val="clear" w:color="auto" w:fill="auto"/>
          </w:tcPr>
          <w:p w14:paraId="05DA8603" w14:textId="77777777" w:rsidR="008C5CFA" w:rsidRPr="009C3005" w:rsidRDefault="00E82A60" w:rsidP="00300A01">
            <w:pPr>
              <w:pStyle w:val="Text1"/>
              <w:spacing w:before="0" w:after="0"/>
              <w:ind w:left="0"/>
              <w:jc w:val="right"/>
              <w:rPr>
                <w:sz w:val="12"/>
                <w:szCs w:val="12"/>
              </w:rPr>
            </w:pPr>
            <w:r w:rsidRPr="009C3005">
              <w:rPr>
                <w:noProof/>
                <w:sz w:val="12"/>
                <w:szCs w:val="12"/>
              </w:rPr>
              <w:t>82 535,77</w:t>
            </w:r>
          </w:p>
        </w:tc>
        <w:tc>
          <w:tcPr>
            <w:tcW w:w="0" w:type="auto"/>
            <w:shd w:val="clear" w:color="auto" w:fill="auto"/>
          </w:tcPr>
          <w:p w14:paraId="2B53C8E1" w14:textId="77777777" w:rsidR="008C5CFA" w:rsidRPr="009C3005" w:rsidRDefault="00E82A60" w:rsidP="00300A01">
            <w:pPr>
              <w:pStyle w:val="Text1"/>
              <w:spacing w:before="0" w:after="0"/>
              <w:ind w:left="0"/>
              <w:jc w:val="right"/>
              <w:rPr>
                <w:sz w:val="12"/>
                <w:szCs w:val="12"/>
              </w:rPr>
            </w:pPr>
            <w:r w:rsidRPr="009C3005">
              <w:rPr>
                <w:noProof/>
                <w:sz w:val="12"/>
                <w:szCs w:val="12"/>
              </w:rPr>
              <w:t>4</w:t>
            </w:r>
          </w:p>
        </w:tc>
      </w:tr>
      <w:tr w:rsidR="006B2EC1" w14:paraId="150F420B" w14:textId="77777777" w:rsidTr="0047688D">
        <w:tc>
          <w:tcPr>
            <w:tcW w:w="0" w:type="auto"/>
            <w:shd w:val="clear" w:color="auto" w:fill="auto"/>
          </w:tcPr>
          <w:p w14:paraId="78DBF8C6" w14:textId="77777777" w:rsidR="008C5CFA" w:rsidRPr="009C3005" w:rsidRDefault="00E82A60" w:rsidP="00300A01">
            <w:pPr>
              <w:pStyle w:val="Text1"/>
              <w:spacing w:before="0" w:after="0"/>
              <w:ind w:left="0"/>
              <w:rPr>
                <w:sz w:val="12"/>
                <w:szCs w:val="12"/>
              </w:rPr>
            </w:pPr>
            <w:r>
              <w:rPr>
                <w:noProof/>
                <w:sz w:val="14"/>
                <w:szCs w:val="14"/>
                <w:lang w:val="fr-BE"/>
              </w:rPr>
              <w:t>3</w:t>
            </w:r>
          </w:p>
        </w:tc>
        <w:tc>
          <w:tcPr>
            <w:tcW w:w="0" w:type="auto"/>
            <w:shd w:val="clear" w:color="auto" w:fill="auto"/>
          </w:tcPr>
          <w:p w14:paraId="29E3CACD" w14:textId="77777777" w:rsidR="008C5CFA" w:rsidRPr="009C3005" w:rsidRDefault="00E82A60" w:rsidP="00300A01">
            <w:pPr>
              <w:pStyle w:val="Text1"/>
              <w:spacing w:before="0" w:after="0"/>
              <w:ind w:left="0"/>
              <w:rPr>
                <w:sz w:val="12"/>
                <w:szCs w:val="12"/>
              </w:rPr>
            </w:pPr>
            <w:r>
              <w:rPr>
                <w:noProof/>
                <w:sz w:val="12"/>
                <w:szCs w:val="12"/>
              </w:rPr>
              <w:t>EFRR</w:t>
            </w:r>
          </w:p>
        </w:tc>
        <w:tc>
          <w:tcPr>
            <w:tcW w:w="0" w:type="auto"/>
            <w:shd w:val="clear" w:color="auto" w:fill="auto"/>
          </w:tcPr>
          <w:p w14:paraId="22E7F284" w14:textId="77777777" w:rsidR="008C5CFA" w:rsidRPr="009C3005" w:rsidRDefault="00E82A60" w:rsidP="00300A01">
            <w:pPr>
              <w:pStyle w:val="Text1"/>
              <w:spacing w:before="0" w:after="0"/>
              <w:ind w:left="0"/>
              <w:rPr>
                <w:sz w:val="12"/>
                <w:szCs w:val="12"/>
              </w:rPr>
            </w:pPr>
            <w:r>
              <w:rPr>
                <w:noProof/>
                <w:sz w:val="12"/>
                <w:szCs w:val="12"/>
              </w:rPr>
              <w:t>Słabiej rozwinięte</w:t>
            </w:r>
          </w:p>
        </w:tc>
        <w:tc>
          <w:tcPr>
            <w:tcW w:w="0" w:type="auto"/>
            <w:shd w:val="clear" w:color="auto" w:fill="auto"/>
          </w:tcPr>
          <w:p w14:paraId="374F75D7" w14:textId="77777777" w:rsidR="008C5CFA" w:rsidRPr="009C3005" w:rsidRDefault="00E82A60" w:rsidP="00300A01">
            <w:pPr>
              <w:pStyle w:val="Text1"/>
              <w:spacing w:before="0" w:after="0"/>
              <w:ind w:left="0"/>
              <w:rPr>
                <w:sz w:val="12"/>
                <w:szCs w:val="12"/>
              </w:rPr>
            </w:pPr>
            <w:r>
              <w:rPr>
                <w:noProof/>
                <w:sz w:val="12"/>
                <w:szCs w:val="12"/>
              </w:rPr>
              <w:t>068</w:t>
            </w:r>
          </w:p>
        </w:tc>
        <w:tc>
          <w:tcPr>
            <w:tcW w:w="0" w:type="auto"/>
            <w:shd w:val="clear" w:color="auto" w:fill="auto"/>
          </w:tcPr>
          <w:p w14:paraId="7E68824F"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0A5BFC4D" w14:textId="77777777" w:rsidR="008C5CFA" w:rsidRPr="009C3005" w:rsidRDefault="00E82A60" w:rsidP="00300A01">
            <w:pPr>
              <w:pStyle w:val="Text1"/>
              <w:spacing w:before="0" w:after="0"/>
              <w:ind w:left="0"/>
              <w:rPr>
                <w:sz w:val="12"/>
                <w:szCs w:val="12"/>
              </w:rPr>
            </w:pPr>
            <w:r>
              <w:rPr>
                <w:noProof/>
                <w:sz w:val="12"/>
                <w:szCs w:val="12"/>
              </w:rPr>
              <w:t>03</w:t>
            </w:r>
          </w:p>
        </w:tc>
        <w:tc>
          <w:tcPr>
            <w:tcW w:w="0" w:type="auto"/>
            <w:shd w:val="clear" w:color="auto" w:fill="auto"/>
          </w:tcPr>
          <w:p w14:paraId="05EAC329"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1A4D9D51" w14:textId="77777777" w:rsidR="008C5CFA" w:rsidRPr="009C3005" w:rsidRDefault="00E82A60" w:rsidP="00300A01">
            <w:pPr>
              <w:pStyle w:val="Text1"/>
              <w:spacing w:before="0" w:after="0"/>
              <w:ind w:left="0"/>
              <w:rPr>
                <w:sz w:val="12"/>
                <w:szCs w:val="12"/>
              </w:rPr>
            </w:pPr>
            <w:r>
              <w:rPr>
                <w:noProof/>
                <w:sz w:val="12"/>
                <w:szCs w:val="12"/>
              </w:rPr>
              <w:t>04</w:t>
            </w:r>
          </w:p>
        </w:tc>
        <w:tc>
          <w:tcPr>
            <w:tcW w:w="0" w:type="auto"/>
            <w:shd w:val="clear" w:color="auto" w:fill="auto"/>
          </w:tcPr>
          <w:p w14:paraId="2E98E05A" w14:textId="77777777" w:rsidR="008C5CFA" w:rsidRPr="009C3005" w:rsidRDefault="00E82A60" w:rsidP="00300A01">
            <w:pPr>
              <w:pStyle w:val="Text1"/>
              <w:spacing w:before="0" w:after="0"/>
              <w:ind w:left="0"/>
              <w:rPr>
                <w:sz w:val="12"/>
                <w:szCs w:val="12"/>
              </w:rPr>
            </w:pPr>
            <w:r>
              <w:rPr>
                <w:sz w:val="12"/>
                <w:szCs w:val="12"/>
              </w:rPr>
              <w:t xml:space="preserve"> </w:t>
            </w:r>
          </w:p>
        </w:tc>
        <w:tc>
          <w:tcPr>
            <w:tcW w:w="0" w:type="auto"/>
            <w:shd w:val="clear" w:color="auto" w:fill="auto"/>
          </w:tcPr>
          <w:p w14:paraId="39E3B1D1" w14:textId="77777777" w:rsidR="008C5CFA" w:rsidRPr="009C3005" w:rsidRDefault="00E82A60" w:rsidP="00300A01">
            <w:pPr>
              <w:pStyle w:val="Text1"/>
              <w:spacing w:before="0" w:after="0"/>
              <w:ind w:left="0"/>
              <w:rPr>
                <w:sz w:val="12"/>
                <w:szCs w:val="12"/>
              </w:rPr>
            </w:pPr>
            <w:r>
              <w:rPr>
                <w:noProof/>
                <w:sz w:val="12"/>
                <w:szCs w:val="12"/>
              </w:rPr>
              <w:t>09</w:t>
            </w:r>
          </w:p>
        </w:tc>
        <w:tc>
          <w:tcPr>
            <w:tcW w:w="0" w:type="auto"/>
            <w:shd w:val="clear" w:color="auto" w:fill="auto"/>
          </w:tcPr>
          <w:p w14:paraId="6F295F96" w14:textId="77777777" w:rsidR="008C5CFA" w:rsidRPr="009C3005" w:rsidRDefault="00E82A60" w:rsidP="00300A01">
            <w:pPr>
              <w:pStyle w:val="Text1"/>
              <w:spacing w:before="0" w:after="0"/>
              <w:ind w:left="0"/>
              <w:rPr>
                <w:sz w:val="12"/>
                <w:szCs w:val="12"/>
              </w:rPr>
            </w:pPr>
            <w:r>
              <w:rPr>
                <w:noProof/>
                <w:sz w:val="12"/>
                <w:szCs w:val="12"/>
              </w:rPr>
              <w:t>PL33</w:t>
            </w:r>
          </w:p>
        </w:tc>
        <w:tc>
          <w:tcPr>
            <w:tcW w:w="0" w:type="auto"/>
            <w:shd w:val="clear" w:color="auto" w:fill="auto"/>
          </w:tcPr>
          <w:p w14:paraId="2144F455" w14:textId="77777777" w:rsidR="008C5CFA" w:rsidRPr="009C3005" w:rsidRDefault="00E82A60" w:rsidP="00300A01">
            <w:pPr>
              <w:pStyle w:val="Text1"/>
              <w:spacing w:before="0" w:after="0"/>
              <w:ind w:left="0"/>
              <w:jc w:val="right"/>
              <w:rPr>
                <w:sz w:val="12"/>
                <w:szCs w:val="12"/>
              </w:rPr>
            </w:pPr>
            <w:r w:rsidRPr="009C3005">
              <w:rPr>
                <w:noProof/>
                <w:sz w:val="12"/>
                <w:szCs w:val="12"/>
              </w:rPr>
              <w:t>160 953,05</w:t>
            </w:r>
          </w:p>
        </w:tc>
        <w:tc>
          <w:tcPr>
            <w:tcW w:w="0" w:type="auto"/>
            <w:shd w:val="clear" w:color="auto" w:fill="auto"/>
          </w:tcPr>
          <w:p w14:paraId="6D5E17A6" w14:textId="77777777" w:rsidR="008C5CFA" w:rsidRPr="009C3005" w:rsidRDefault="00E82A60" w:rsidP="00300A01">
            <w:pPr>
              <w:pStyle w:val="Text1"/>
              <w:spacing w:before="0" w:after="0"/>
              <w:ind w:left="0"/>
              <w:jc w:val="right"/>
              <w:rPr>
                <w:sz w:val="12"/>
                <w:szCs w:val="12"/>
              </w:rPr>
            </w:pPr>
            <w:r w:rsidRPr="009C3005">
              <w:rPr>
                <w:noProof/>
                <w:sz w:val="12"/>
                <w:szCs w:val="12"/>
              </w:rPr>
              <w:t>104 619,48</w:t>
            </w:r>
          </w:p>
        </w:tc>
        <w:tc>
          <w:tcPr>
            <w:tcW w:w="0" w:type="auto"/>
            <w:shd w:val="clear" w:color="auto" w:fill="auto"/>
          </w:tcPr>
          <w:p w14:paraId="4DBE330A" w14:textId="77777777" w:rsidR="008C5CFA" w:rsidRPr="009C3005" w:rsidRDefault="00E82A60" w:rsidP="00300A01">
            <w:pPr>
              <w:pStyle w:val="Text1"/>
              <w:spacing w:before="0" w:after="0"/>
              <w:ind w:left="0"/>
              <w:jc w:val="right"/>
              <w:rPr>
                <w:sz w:val="12"/>
                <w:szCs w:val="12"/>
              </w:rPr>
            </w:pPr>
            <w:r w:rsidRPr="009C3005">
              <w:rPr>
                <w:noProof/>
                <w:sz w:val="12"/>
                <w:szCs w:val="12"/>
              </w:rPr>
              <w:t>0,00</w:t>
            </w:r>
          </w:p>
        </w:tc>
        <w:tc>
          <w:tcPr>
            <w:tcW w:w="0" w:type="auto"/>
            <w:shd w:val="clear" w:color="auto" w:fill="auto"/>
          </w:tcPr>
          <w:p w14:paraId="14B8EAAA" w14:textId="77777777" w:rsidR="008C5CFA" w:rsidRPr="009C3005" w:rsidRDefault="00E82A60" w:rsidP="00300A01">
            <w:pPr>
              <w:pStyle w:val="Text1"/>
              <w:spacing w:before="0" w:after="0"/>
              <w:ind w:left="0"/>
              <w:jc w:val="right"/>
              <w:rPr>
                <w:sz w:val="12"/>
                <w:szCs w:val="12"/>
              </w:rPr>
            </w:pPr>
            <w:r w:rsidRPr="009C3005">
              <w:rPr>
                <w:noProof/>
                <w:sz w:val="12"/>
                <w:szCs w:val="12"/>
              </w:rPr>
              <w:t>1</w:t>
            </w:r>
          </w:p>
        </w:tc>
      </w:tr>
      <w:tr w:rsidR="006B2EC1" w14:paraId="3EE105DC" w14:textId="77777777" w:rsidTr="0047688D">
        <w:tc>
          <w:tcPr>
            <w:tcW w:w="0" w:type="auto"/>
            <w:shd w:val="clear" w:color="auto" w:fill="auto"/>
          </w:tcPr>
          <w:p w14:paraId="05656203" w14:textId="77777777" w:rsidR="008C5CFA" w:rsidRPr="009C3005" w:rsidRDefault="00E82A60" w:rsidP="00300A01">
            <w:pPr>
              <w:pStyle w:val="Text1"/>
              <w:spacing w:before="0" w:after="0"/>
              <w:ind w:left="0"/>
              <w:rPr>
                <w:sz w:val="12"/>
                <w:szCs w:val="12"/>
              </w:rPr>
            </w:pPr>
            <w:r>
              <w:rPr>
                <w:noProof/>
                <w:sz w:val="14"/>
                <w:szCs w:val="14"/>
                <w:lang w:val="fr-BE"/>
              </w:rPr>
              <w:t>3</w:t>
            </w:r>
          </w:p>
        </w:tc>
        <w:tc>
          <w:tcPr>
            <w:tcW w:w="0" w:type="auto"/>
            <w:shd w:val="clear" w:color="auto" w:fill="auto"/>
          </w:tcPr>
          <w:p w14:paraId="1D6DC18B" w14:textId="77777777" w:rsidR="008C5CFA" w:rsidRPr="009C3005" w:rsidRDefault="00E82A60" w:rsidP="00300A01">
            <w:pPr>
              <w:pStyle w:val="Text1"/>
              <w:spacing w:before="0" w:after="0"/>
              <w:ind w:left="0"/>
              <w:rPr>
                <w:sz w:val="12"/>
                <w:szCs w:val="12"/>
              </w:rPr>
            </w:pPr>
            <w:r>
              <w:rPr>
                <w:noProof/>
                <w:sz w:val="12"/>
                <w:szCs w:val="12"/>
              </w:rPr>
              <w:t>EFRR</w:t>
            </w:r>
          </w:p>
        </w:tc>
        <w:tc>
          <w:tcPr>
            <w:tcW w:w="0" w:type="auto"/>
            <w:shd w:val="clear" w:color="auto" w:fill="auto"/>
          </w:tcPr>
          <w:p w14:paraId="16A6AAAB" w14:textId="77777777" w:rsidR="008C5CFA" w:rsidRPr="009C3005" w:rsidRDefault="00E82A60" w:rsidP="00300A01">
            <w:pPr>
              <w:pStyle w:val="Text1"/>
              <w:spacing w:before="0" w:after="0"/>
              <w:ind w:left="0"/>
              <w:rPr>
                <w:sz w:val="12"/>
                <w:szCs w:val="12"/>
              </w:rPr>
            </w:pPr>
            <w:r>
              <w:rPr>
                <w:noProof/>
                <w:sz w:val="12"/>
                <w:szCs w:val="12"/>
              </w:rPr>
              <w:t>Słabiej rozwinięte</w:t>
            </w:r>
          </w:p>
        </w:tc>
        <w:tc>
          <w:tcPr>
            <w:tcW w:w="0" w:type="auto"/>
            <w:shd w:val="clear" w:color="auto" w:fill="auto"/>
          </w:tcPr>
          <w:p w14:paraId="12EE2C4E" w14:textId="77777777" w:rsidR="008C5CFA" w:rsidRPr="009C3005" w:rsidRDefault="00E82A60" w:rsidP="00300A01">
            <w:pPr>
              <w:pStyle w:val="Text1"/>
              <w:spacing w:before="0" w:after="0"/>
              <w:ind w:left="0"/>
              <w:rPr>
                <w:sz w:val="12"/>
                <w:szCs w:val="12"/>
              </w:rPr>
            </w:pPr>
            <w:r>
              <w:rPr>
                <w:noProof/>
                <w:sz w:val="12"/>
                <w:szCs w:val="12"/>
              </w:rPr>
              <w:t>068</w:t>
            </w:r>
          </w:p>
        </w:tc>
        <w:tc>
          <w:tcPr>
            <w:tcW w:w="0" w:type="auto"/>
            <w:shd w:val="clear" w:color="auto" w:fill="auto"/>
          </w:tcPr>
          <w:p w14:paraId="56265911"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1833CBE0" w14:textId="77777777" w:rsidR="008C5CFA" w:rsidRPr="009C3005" w:rsidRDefault="00E82A60" w:rsidP="00300A01">
            <w:pPr>
              <w:pStyle w:val="Text1"/>
              <w:spacing w:before="0" w:after="0"/>
              <w:ind w:left="0"/>
              <w:rPr>
                <w:sz w:val="12"/>
                <w:szCs w:val="12"/>
              </w:rPr>
            </w:pPr>
            <w:r>
              <w:rPr>
                <w:noProof/>
                <w:sz w:val="12"/>
                <w:szCs w:val="12"/>
              </w:rPr>
              <w:t>03</w:t>
            </w:r>
          </w:p>
        </w:tc>
        <w:tc>
          <w:tcPr>
            <w:tcW w:w="0" w:type="auto"/>
            <w:shd w:val="clear" w:color="auto" w:fill="auto"/>
          </w:tcPr>
          <w:p w14:paraId="16211D08"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0F63686B" w14:textId="77777777" w:rsidR="008C5CFA" w:rsidRPr="009C3005" w:rsidRDefault="00E82A60" w:rsidP="00300A01">
            <w:pPr>
              <w:pStyle w:val="Text1"/>
              <w:spacing w:before="0" w:after="0"/>
              <w:ind w:left="0"/>
              <w:rPr>
                <w:sz w:val="12"/>
                <w:szCs w:val="12"/>
              </w:rPr>
            </w:pPr>
            <w:r>
              <w:rPr>
                <w:noProof/>
                <w:sz w:val="12"/>
                <w:szCs w:val="12"/>
              </w:rPr>
              <w:t>04</w:t>
            </w:r>
          </w:p>
        </w:tc>
        <w:tc>
          <w:tcPr>
            <w:tcW w:w="0" w:type="auto"/>
            <w:shd w:val="clear" w:color="auto" w:fill="auto"/>
          </w:tcPr>
          <w:p w14:paraId="73A9804C" w14:textId="77777777" w:rsidR="008C5CFA" w:rsidRPr="009C3005" w:rsidRDefault="00E82A60" w:rsidP="00300A01">
            <w:pPr>
              <w:pStyle w:val="Text1"/>
              <w:spacing w:before="0" w:after="0"/>
              <w:ind w:left="0"/>
              <w:rPr>
                <w:sz w:val="12"/>
                <w:szCs w:val="12"/>
              </w:rPr>
            </w:pPr>
            <w:r>
              <w:rPr>
                <w:sz w:val="12"/>
                <w:szCs w:val="12"/>
              </w:rPr>
              <w:t xml:space="preserve"> </w:t>
            </w:r>
          </w:p>
        </w:tc>
        <w:tc>
          <w:tcPr>
            <w:tcW w:w="0" w:type="auto"/>
            <w:shd w:val="clear" w:color="auto" w:fill="auto"/>
          </w:tcPr>
          <w:p w14:paraId="48ABE2FD" w14:textId="77777777" w:rsidR="008C5CFA" w:rsidRPr="009C3005" w:rsidRDefault="00E82A60" w:rsidP="00300A01">
            <w:pPr>
              <w:pStyle w:val="Text1"/>
              <w:spacing w:before="0" w:after="0"/>
              <w:ind w:left="0"/>
              <w:rPr>
                <w:sz w:val="12"/>
                <w:szCs w:val="12"/>
              </w:rPr>
            </w:pPr>
            <w:r>
              <w:rPr>
                <w:noProof/>
                <w:sz w:val="12"/>
                <w:szCs w:val="12"/>
              </w:rPr>
              <w:t>11</w:t>
            </w:r>
          </w:p>
        </w:tc>
        <w:tc>
          <w:tcPr>
            <w:tcW w:w="0" w:type="auto"/>
            <w:shd w:val="clear" w:color="auto" w:fill="auto"/>
          </w:tcPr>
          <w:p w14:paraId="052FD5A9" w14:textId="77777777" w:rsidR="008C5CFA" w:rsidRPr="009C3005" w:rsidRDefault="00E82A60" w:rsidP="00300A01">
            <w:pPr>
              <w:pStyle w:val="Text1"/>
              <w:spacing w:before="0" w:after="0"/>
              <w:ind w:left="0"/>
              <w:rPr>
                <w:sz w:val="12"/>
                <w:szCs w:val="12"/>
              </w:rPr>
            </w:pPr>
            <w:r>
              <w:rPr>
                <w:noProof/>
                <w:sz w:val="12"/>
                <w:szCs w:val="12"/>
              </w:rPr>
              <w:t>PL33</w:t>
            </w:r>
          </w:p>
        </w:tc>
        <w:tc>
          <w:tcPr>
            <w:tcW w:w="0" w:type="auto"/>
            <w:shd w:val="clear" w:color="auto" w:fill="auto"/>
          </w:tcPr>
          <w:p w14:paraId="17246E64" w14:textId="77777777" w:rsidR="008C5CFA" w:rsidRPr="009C3005" w:rsidRDefault="00E82A60" w:rsidP="00300A01">
            <w:pPr>
              <w:pStyle w:val="Text1"/>
              <w:spacing w:before="0" w:after="0"/>
              <w:ind w:left="0"/>
              <w:jc w:val="right"/>
              <w:rPr>
                <w:sz w:val="12"/>
                <w:szCs w:val="12"/>
              </w:rPr>
            </w:pPr>
            <w:r w:rsidRPr="009C3005">
              <w:rPr>
                <w:noProof/>
                <w:sz w:val="12"/>
                <w:szCs w:val="12"/>
              </w:rPr>
              <w:t>125 741,50</w:t>
            </w:r>
          </w:p>
        </w:tc>
        <w:tc>
          <w:tcPr>
            <w:tcW w:w="0" w:type="auto"/>
            <w:shd w:val="clear" w:color="auto" w:fill="auto"/>
          </w:tcPr>
          <w:p w14:paraId="6BABBC6E" w14:textId="77777777" w:rsidR="008C5CFA" w:rsidRPr="009C3005" w:rsidRDefault="00E82A60" w:rsidP="00300A01">
            <w:pPr>
              <w:pStyle w:val="Text1"/>
              <w:spacing w:before="0" w:after="0"/>
              <w:ind w:left="0"/>
              <w:jc w:val="right"/>
              <w:rPr>
                <w:sz w:val="12"/>
                <w:szCs w:val="12"/>
              </w:rPr>
            </w:pPr>
            <w:r w:rsidRPr="009C3005">
              <w:rPr>
                <w:noProof/>
                <w:sz w:val="12"/>
                <w:szCs w:val="12"/>
              </w:rPr>
              <w:t>81 731,97</w:t>
            </w:r>
          </w:p>
        </w:tc>
        <w:tc>
          <w:tcPr>
            <w:tcW w:w="0" w:type="auto"/>
            <w:shd w:val="clear" w:color="auto" w:fill="auto"/>
          </w:tcPr>
          <w:p w14:paraId="3668BA74" w14:textId="77777777" w:rsidR="008C5CFA" w:rsidRPr="009C3005" w:rsidRDefault="00E82A60" w:rsidP="00300A01">
            <w:pPr>
              <w:pStyle w:val="Text1"/>
              <w:spacing w:before="0" w:after="0"/>
              <w:ind w:left="0"/>
              <w:jc w:val="right"/>
              <w:rPr>
                <w:sz w:val="12"/>
                <w:szCs w:val="12"/>
              </w:rPr>
            </w:pPr>
            <w:r w:rsidRPr="009C3005">
              <w:rPr>
                <w:noProof/>
                <w:sz w:val="12"/>
                <w:szCs w:val="12"/>
              </w:rPr>
              <w:t>97 387,58</w:t>
            </w:r>
          </w:p>
        </w:tc>
        <w:tc>
          <w:tcPr>
            <w:tcW w:w="0" w:type="auto"/>
            <w:shd w:val="clear" w:color="auto" w:fill="auto"/>
          </w:tcPr>
          <w:p w14:paraId="6AC5BC98" w14:textId="77777777" w:rsidR="008C5CFA" w:rsidRPr="009C3005" w:rsidRDefault="00E82A60" w:rsidP="00300A01">
            <w:pPr>
              <w:pStyle w:val="Text1"/>
              <w:spacing w:before="0" w:after="0"/>
              <w:ind w:left="0"/>
              <w:jc w:val="right"/>
              <w:rPr>
                <w:sz w:val="12"/>
                <w:szCs w:val="12"/>
              </w:rPr>
            </w:pPr>
            <w:r w:rsidRPr="009C3005">
              <w:rPr>
                <w:noProof/>
                <w:sz w:val="12"/>
                <w:szCs w:val="12"/>
              </w:rPr>
              <w:t>1</w:t>
            </w:r>
          </w:p>
        </w:tc>
      </w:tr>
      <w:tr w:rsidR="006B2EC1" w14:paraId="2C589674" w14:textId="77777777" w:rsidTr="0047688D">
        <w:tc>
          <w:tcPr>
            <w:tcW w:w="0" w:type="auto"/>
            <w:shd w:val="clear" w:color="auto" w:fill="auto"/>
          </w:tcPr>
          <w:p w14:paraId="59AA9F76" w14:textId="77777777" w:rsidR="008C5CFA" w:rsidRPr="009C3005" w:rsidRDefault="00E82A60" w:rsidP="00300A01">
            <w:pPr>
              <w:pStyle w:val="Text1"/>
              <w:spacing w:before="0" w:after="0"/>
              <w:ind w:left="0"/>
              <w:rPr>
                <w:sz w:val="12"/>
                <w:szCs w:val="12"/>
              </w:rPr>
            </w:pPr>
            <w:r>
              <w:rPr>
                <w:noProof/>
                <w:sz w:val="14"/>
                <w:szCs w:val="14"/>
                <w:lang w:val="fr-BE"/>
              </w:rPr>
              <w:lastRenderedPageBreak/>
              <w:t>3</w:t>
            </w:r>
          </w:p>
        </w:tc>
        <w:tc>
          <w:tcPr>
            <w:tcW w:w="0" w:type="auto"/>
            <w:shd w:val="clear" w:color="auto" w:fill="auto"/>
          </w:tcPr>
          <w:p w14:paraId="01B46A35" w14:textId="77777777" w:rsidR="008C5CFA" w:rsidRPr="009C3005" w:rsidRDefault="00E82A60" w:rsidP="00300A01">
            <w:pPr>
              <w:pStyle w:val="Text1"/>
              <w:spacing w:before="0" w:after="0"/>
              <w:ind w:left="0"/>
              <w:rPr>
                <w:sz w:val="12"/>
                <w:szCs w:val="12"/>
              </w:rPr>
            </w:pPr>
            <w:r>
              <w:rPr>
                <w:noProof/>
                <w:sz w:val="12"/>
                <w:szCs w:val="12"/>
              </w:rPr>
              <w:t>EFRR</w:t>
            </w:r>
          </w:p>
        </w:tc>
        <w:tc>
          <w:tcPr>
            <w:tcW w:w="0" w:type="auto"/>
            <w:shd w:val="clear" w:color="auto" w:fill="auto"/>
          </w:tcPr>
          <w:p w14:paraId="015B1BCB" w14:textId="77777777" w:rsidR="008C5CFA" w:rsidRPr="009C3005" w:rsidRDefault="00E82A60" w:rsidP="00300A01">
            <w:pPr>
              <w:pStyle w:val="Text1"/>
              <w:spacing w:before="0" w:after="0"/>
              <w:ind w:left="0"/>
              <w:rPr>
                <w:sz w:val="12"/>
                <w:szCs w:val="12"/>
              </w:rPr>
            </w:pPr>
            <w:r>
              <w:rPr>
                <w:noProof/>
                <w:sz w:val="12"/>
                <w:szCs w:val="12"/>
              </w:rPr>
              <w:t>Słabiej rozwinięte</w:t>
            </w:r>
          </w:p>
        </w:tc>
        <w:tc>
          <w:tcPr>
            <w:tcW w:w="0" w:type="auto"/>
            <w:shd w:val="clear" w:color="auto" w:fill="auto"/>
          </w:tcPr>
          <w:p w14:paraId="1F45F87E" w14:textId="77777777" w:rsidR="008C5CFA" w:rsidRPr="009C3005" w:rsidRDefault="00E82A60" w:rsidP="00300A01">
            <w:pPr>
              <w:pStyle w:val="Text1"/>
              <w:spacing w:before="0" w:after="0"/>
              <w:ind w:left="0"/>
              <w:rPr>
                <w:sz w:val="12"/>
                <w:szCs w:val="12"/>
              </w:rPr>
            </w:pPr>
            <w:r>
              <w:rPr>
                <w:noProof/>
                <w:sz w:val="12"/>
                <w:szCs w:val="12"/>
              </w:rPr>
              <w:t>068</w:t>
            </w:r>
          </w:p>
        </w:tc>
        <w:tc>
          <w:tcPr>
            <w:tcW w:w="0" w:type="auto"/>
            <w:shd w:val="clear" w:color="auto" w:fill="auto"/>
          </w:tcPr>
          <w:p w14:paraId="5A5AB7A8"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65449670" w14:textId="77777777" w:rsidR="008C5CFA" w:rsidRPr="009C3005" w:rsidRDefault="00E82A60" w:rsidP="00300A01">
            <w:pPr>
              <w:pStyle w:val="Text1"/>
              <w:spacing w:before="0" w:after="0"/>
              <w:ind w:left="0"/>
              <w:rPr>
                <w:sz w:val="12"/>
                <w:szCs w:val="12"/>
              </w:rPr>
            </w:pPr>
            <w:r>
              <w:rPr>
                <w:noProof/>
                <w:sz w:val="12"/>
                <w:szCs w:val="12"/>
              </w:rPr>
              <w:t>03</w:t>
            </w:r>
          </w:p>
        </w:tc>
        <w:tc>
          <w:tcPr>
            <w:tcW w:w="0" w:type="auto"/>
            <w:shd w:val="clear" w:color="auto" w:fill="auto"/>
          </w:tcPr>
          <w:p w14:paraId="134C2626"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6B604303" w14:textId="77777777" w:rsidR="008C5CFA" w:rsidRPr="009C3005" w:rsidRDefault="00E82A60" w:rsidP="00300A01">
            <w:pPr>
              <w:pStyle w:val="Text1"/>
              <w:spacing w:before="0" w:after="0"/>
              <w:ind w:left="0"/>
              <w:rPr>
                <w:sz w:val="12"/>
                <w:szCs w:val="12"/>
              </w:rPr>
            </w:pPr>
            <w:r>
              <w:rPr>
                <w:noProof/>
                <w:sz w:val="12"/>
                <w:szCs w:val="12"/>
              </w:rPr>
              <w:t>04</w:t>
            </w:r>
          </w:p>
        </w:tc>
        <w:tc>
          <w:tcPr>
            <w:tcW w:w="0" w:type="auto"/>
            <w:shd w:val="clear" w:color="auto" w:fill="auto"/>
          </w:tcPr>
          <w:p w14:paraId="66F7C7AB" w14:textId="77777777" w:rsidR="008C5CFA" w:rsidRPr="009C3005" w:rsidRDefault="00E82A60" w:rsidP="00300A01">
            <w:pPr>
              <w:pStyle w:val="Text1"/>
              <w:spacing w:before="0" w:after="0"/>
              <w:ind w:left="0"/>
              <w:rPr>
                <w:sz w:val="12"/>
                <w:szCs w:val="12"/>
              </w:rPr>
            </w:pPr>
            <w:r>
              <w:rPr>
                <w:sz w:val="12"/>
                <w:szCs w:val="12"/>
              </w:rPr>
              <w:t xml:space="preserve"> </w:t>
            </w:r>
          </w:p>
        </w:tc>
        <w:tc>
          <w:tcPr>
            <w:tcW w:w="0" w:type="auto"/>
            <w:shd w:val="clear" w:color="auto" w:fill="auto"/>
          </w:tcPr>
          <w:p w14:paraId="4AB3D572" w14:textId="77777777" w:rsidR="008C5CFA" w:rsidRPr="009C3005" w:rsidRDefault="00E82A60" w:rsidP="00300A01">
            <w:pPr>
              <w:pStyle w:val="Text1"/>
              <w:spacing w:before="0" w:after="0"/>
              <w:ind w:left="0"/>
              <w:rPr>
                <w:sz w:val="12"/>
                <w:szCs w:val="12"/>
              </w:rPr>
            </w:pPr>
            <w:r>
              <w:rPr>
                <w:noProof/>
                <w:sz w:val="12"/>
                <w:szCs w:val="12"/>
              </w:rPr>
              <w:t>14</w:t>
            </w:r>
          </w:p>
        </w:tc>
        <w:tc>
          <w:tcPr>
            <w:tcW w:w="0" w:type="auto"/>
            <w:shd w:val="clear" w:color="auto" w:fill="auto"/>
          </w:tcPr>
          <w:p w14:paraId="70104696" w14:textId="77777777" w:rsidR="008C5CFA" w:rsidRPr="009C3005" w:rsidRDefault="00E82A60" w:rsidP="00300A01">
            <w:pPr>
              <w:pStyle w:val="Text1"/>
              <w:spacing w:before="0" w:after="0"/>
              <w:ind w:left="0"/>
              <w:rPr>
                <w:sz w:val="12"/>
                <w:szCs w:val="12"/>
              </w:rPr>
            </w:pPr>
            <w:r>
              <w:rPr>
                <w:noProof/>
                <w:sz w:val="12"/>
                <w:szCs w:val="12"/>
              </w:rPr>
              <w:t>PL33</w:t>
            </w:r>
          </w:p>
        </w:tc>
        <w:tc>
          <w:tcPr>
            <w:tcW w:w="0" w:type="auto"/>
            <w:shd w:val="clear" w:color="auto" w:fill="auto"/>
          </w:tcPr>
          <w:p w14:paraId="3B70CFF8" w14:textId="77777777" w:rsidR="008C5CFA" w:rsidRPr="009C3005" w:rsidRDefault="00E82A60" w:rsidP="00300A01">
            <w:pPr>
              <w:pStyle w:val="Text1"/>
              <w:spacing w:before="0" w:after="0"/>
              <w:ind w:left="0"/>
              <w:jc w:val="right"/>
              <w:rPr>
                <w:sz w:val="12"/>
                <w:szCs w:val="12"/>
              </w:rPr>
            </w:pPr>
            <w:r w:rsidRPr="009C3005">
              <w:rPr>
                <w:noProof/>
                <w:sz w:val="12"/>
                <w:szCs w:val="12"/>
              </w:rPr>
              <w:t>522 726,96</w:t>
            </w:r>
          </w:p>
        </w:tc>
        <w:tc>
          <w:tcPr>
            <w:tcW w:w="0" w:type="auto"/>
            <w:shd w:val="clear" w:color="auto" w:fill="auto"/>
          </w:tcPr>
          <w:p w14:paraId="71E73116" w14:textId="77777777" w:rsidR="008C5CFA" w:rsidRPr="009C3005" w:rsidRDefault="00E82A60" w:rsidP="00300A01">
            <w:pPr>
              <w:pStyle w:val="Text1"/>
              <w:spacing w:before="0" w:after="0"/>
              <w:ind w:left="0"/>
              <w:jc w:val="right"/>
              <w:rPr>
                <w:sz w:val="12"/>
                <w:szCs w:val="12"/>
              </w:rPr>
            </w:pPr>
            <w:r w:rsidRPr="009C3005">
              <w:rPr>
                <w:noProof/>
                <w:sz w:val="12"/>
                <w:szCs w:val="12"/>
              </w:rPr>
              <w:t>330 345,78</w:t>
            </w:r>
          </w:p>
        </w:tc>
        <w:tc>
          <w:tcPr>
            <w:tcW w:w="0" w:type="auto"/>
            <w:shd w:val="clear" w:color="auto" w:fill="auto"/>
          </w:tcPr>
          <w:p w14:paraId="4D530A95" w14:textId="77777777" w:rsidR="008C5CFA" w:rsidRPr="009C3005" w:rsidRDefault="00E82A60" w:rsidP="00300A01">
            <w:pPr>
              <w:pStyle w:val="Text1"/>
              <w:spacing w:before="0" w:after="0"/>
              <w:ind w:left="0"/>
              <w:jc w:val="right"/>
              <w:rPr>
                <w:sz w:val="12"/>
                <w:szCs w:val="12"/>
              </w:rPr>
            </w:pPr>
            <w:r w:rsidRPr="009C3005">
              <w:rPr>
                <w:noProof/>
                <w:sz w:val="12"/>
                <w:szCs w:val="12"/>
              </w:rPr>
              <w:t>250 491,95</w:t>
            </w:r>
          </w:p>
        </w:tc>
        <w:tc>
          <w:tcPr>
            <w:tcW w:w="0" w:type="auto"/>
            <w:shd w:val="clear" w:color="auto" w:fill="auto"/>
          </w:tcPr>
          <w:p w14:paraId="05C9DE0F" w14:textId="77777777" w:rsidR="008C5CFA" w:rsidRPr="009C3005" w:rsidRDefault="00E82A60" w:rsidP="00300A01">
            <w:pPr>
              <w:pStyle w:val="Text1"/>
              <w:spacing w:before="0" w:after="0"/>
              <w:ind w:left="0"/>
              <w:jc w:val="right"/>
              <w:rPr>
                <w:sz w:val="12"/>
                <w:szCs w:val="12"/>
              </w:rPr>
            </w:pPr>
            <w:r w:rsidRPr="009C3005">
              <w:rPr>
                <w:noProof/>
                <w:sz w:val="12"/>
                <w:szCs w:val="12"/>
              </w:rPr>
              <w:t>7</w:t>
            </w:r>
          </w:p>
        </w:tc>
      </w:tr>
      <w:tr w:rsidR="006B2EC1" w14:paraId="64FEC753" w14:textId="77777777" w:rsidTr="0047688D">
        <w:tc>
          <w:tcPr>
            <w:tcW w:w="0" w:type="auto"/>
            <w:shd w:val="clear" w:color="auto" w:fill="auto"/>
          </w:tcPr>
          <w:p w14:paraId="5D90B209" w14:textId="77777777" w:rsidR="008C5CFA" w:rsidRPr="009C3005" w:rsidRDefault="00E82A60" w:rsidP="00300A01">
            <w:pPr>
              <w:pStyle w:val="Text1"/>
              <w:spacing w:before="0" w:after="0"/>
              <w:ind w:left="0"/>
              <w:rPr>
                <w:sz w:val="12"/>
                <w:szCs w:val="12"/>
              </w:rPr>
            </w:pPr>
            <w:r>
              <w:rPr>
                <w:noProof/>
                <w:sz w:val="14"/>
                <w:szCs w:val="14"/>
                <w:lang w:val="fr-BE"/>
              </w:rPr>
              <w:t>3</w:t>
            </w:r>
          </w:p>
        </w:tc>
        <w:tc>
          <w:tcPr>
            <w:tcW w:w="0" w:type="auto"/>
            <w:shd w:val="clear" w:color="auto" w:fill="auto"/>
          </w:tcPr>
          <w:p w14:paraId="130AF191" w14:textId="77777777" w:rsidR="008C5CFA" w:rsidRPr="009C3005" w:rsidRDefault="00E82A60" w:rsidP="00300A01">
            <w:pPr>
              <w:pStyle w:val="Text1"/>
              <w:spacing w:before="0" w:after="0"/>
              <w:ind w:left="0"/>
              <w:rPr>
                <w:sz w:val="12"/>
                <w:szCs w:val="12"/>
              </w:rPr>
            </w:pPr>
            <w:r>
              <w:rPr>
                <w:noProof/>
                <w:sz w:val="12"/>
                <w:szCs w:val="12"/>
              </w:rPr>
              <w:t>EFRR</w:t>
            </w:r>
          </w:p>
        </w:tc>
        <w:tc>
          <w:tcPr>
            <w:tcW w:w="0" w:type="auto"/>
            <w:shd w:val="clear" w:color="auto" w:fill="auto"/>
          </w:tcPr>
          <w:p w14:paraId="25E2098A" w14:textId="77777777" w:rsidR="008C5CFA" w:rsidRPr="009C3005" w:rsidRDefault="00E82A60" w:rsidP="00300A01">
            <w:pPr>
              <w:pStyle w:val="Text1"/>
              <w:spacing w:before="0" w:after="0"/>
              <w:ind w:left="0"/>
              <w:rPr>
                <w:sz w:val="12"/>
                <w:szCs w:val="12"/>
              </w:rPr>
            </w:pPr>
            <w:r>
              <w:rPr>
                <w:noProof/>
                <w:sz w:val="12"/>
                <w:szCs w:val="12"/>
              </w:rPr>
              <w:t>Słabiej rozwinięte</w:t>
            </w:r>
          </w:p>
        </w:tc>
        <w:tc>
          <w:tcPr>
            <w:tcW w:w="0" w:type="auto"/>
            <w:shd w:val="clear" w:color="auto" w:fill="auto"/>
          </w:tcPr>
          <w:p w14:paraId="6B94C002" w14:textId="77777777" w:rsidR="008C5CFA" w:rsidRPr="009C3005" w:rsidRDefault="00E82A60" w:rsidP="00300A01">
            <w:pPr>
              <w:pStyle w:val="Text1"/>
              <w:spacing w:before="0" w:after="0"/>
              <w:ind w:left="0"/>
              <w:rPr>
                <w:sz w:val="12"/>
                <w:szCs w:val="12"/>
              </w:rPr>
            </w:pPr>
            <w:r>
              <w:rPr>
                <w:noProof/>
                <w:sz w:val="12"/>
                <w:szCs w:val="12"/>
              </w:rPr>
              <w:t>068</w:t>
            </w:r>
          </w:p>
        </w:tc>
        <w:tc>
          <w:tcPr>
            <w:tcW w:w="0" w:type="auto"/>
            <w:shd w:val="clear" w:color="auto" w:fill="auto"/>
          </w:tcPr>
          <w:p w14:paraId="4496F481"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6E2EC25E" w14:textId="77777777" w:rsidR="008C5CFA" w:rsidRPr="009C3005" w:rsidRDefault="00E82A60" w:rsidP="00300A01">
            <w:pPr>
              <w:pStyle w:val="Text1"/>
              <w:spacing w:before="0" w:after="0"/>
              <w:ind w:left="0"/>
              <w:rPr>
                <w:sz w:val="12"/>
                <w:szCs w:val="12"/>
              </w:rPr>
            </w:pPr>
            <w:r>
              <w:rPr>
                <w:noProof/>
                <w:sz w:val="12"/>
                <w:szCs w:val="12"/>
              </w:rPr>
              <w:t>03</w:t>
            </w:r>
          </w:p>
        </w:tc>
        <w:tc>
          <w:tcPr>
            <w:tcW w:w="0" w:type="auto"/>
            <w:shd w:val="clear" w:color="auto" w:fill="auto"/>
          </w:tcPr>
          <w:p w14:paraId="12E37142"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3A7CB40A" w14:textId="77777777" w:rsidR="008C5CFA" w:rsidRPr="009C3005" w:rsidRDefault="00E82A60" w:rsidP="00300A01">
            <w:pPr>
              <w:pStyle w:val="Text1"/>
              <w:spacing w:before="0" w:after="0"/>
              <w:ind w:left="0"/>
              <w:rPr>
                <w:sz w:val="12"/>
                <w:szCs w:val="12"/>
              </w:rPr>
            </w:pPr>
            <w:r>
              <w:rPr>
                <w:noProof/>
                <w:sz w:val="12"/>
                <w:szCs w:val="12"/>
              </w:rPr>
              <w:t>04</w:t>
            </w:r>
          </w:p>
        </w:tc>
        <w:tc>
          <w:tcPr>
            <w:tcW w:w="0" w:type="auto"/>
            <w:shd w:val="clear" w:color="auto" w:fill="auto"/>
          </w:tcPr>
          <w:p w14:paraId="5D13ACE9" w14:textId="77777777" w:rsidR="008C5CFA" w:rsidRPr="009C3005" w:rsidRDefault="00E82A60" w:rsidP="00300A01">
            <w:pPr>
              <w:pStyle w:val="Text1"/>
              <w:spacing w:before="0" w:after="0"/>
              <w:ind w:left="0"/>
              <w:rPr>
                <w:sz w:val="12"/>
                <w:szCs w:val="12"/>
              </w:rPr>
            </w:pPr>
            <w:r>
              <w:rPr>
                <w:sz w:val="12"/>
                <w:szCs w:val="12"/>
              </w:rPr>
              <w:t xml:space="preserve"> </w:t>
            </w:r>
          </w:p>
        </w:tc>
        <w:tc>
          <w:tcPr>
            <w:tcW w:w="0" w:type="auto"/>
            <w:shd w:val="clear" w:color="auto" w:fill="auto"/>
          </w:tcPr>
          <w:p w14:paraId="56DD5935" w14:textId="77777777" w:rsidR="008C5CFA" w:rsidRPr="009C3005" w:rsidRDefault="00E82A60" w:rsidP="00300A01">
            <w:pPr>
              <w:pStyle w:val="Text1"/>
              <w:spacing w:before="0" w:after="0"/>
              <w:ind w:left="0"/>
              <w:rPr>
                <w:sz w:val="12"/>
                <w:szCs w:val="12"/>
              </w:rPr>
            </w:pPr>
            <w:r>
              <w:rPr>
                <w:noProof/>
                <w:sz w:val="12"/>
                <w:szCs w:val="12"/>
              </w:rPr>
              <w:t>15</w:t>
            </w:r>
          </w:p>
        </w:tc>
        <w:tc>
          <w:tcPr>
            <w:tcW w:w="0" w:type="auto"/>
            <w:shd w:val="clear" w:color="auto" w:fill="auto"/>
          </w:tcPr>
          <w:p w14:paraId="04B43C0C" w14:textId="77777777" w:rsidR="008C5CFA" w:rsidRPr="009C3005" w:rsidRDefault="00E82A60" w:rsidP="00300A01">
            <w:pPr>
              <w:pStyle w:val="Text1"/>
              <w:spacing w:before="0" w:after="0"/>
              <w:ind w:left="0"/>
              <w:rPr>
                <w:sz w:val="12"/>
                <w:szCs w:val="12"/>
              </w:rPr>
            </w:pPr>
            <w:r>
              <w:rPr>
                <w:noProof/>
                <w:sz w:val="12"/>
                <w:szCs w:val="12"/>
              </w:rPr>
              <w:t>PL33</w:t>
            </w:r>
          </w:p>
        </w:tc>
        <w:tc>
          <w:tcPr>
            <w:tcW w:w="0" w:type="auto"/>
            <w:shd w:val="clear" w:color="auto" w:fill="auto"/>
          </w:tcPr>
          <w:p w14:paraId="11703A28" w14:textId="77777777" w:rsidR="008C5CFA" w:rsidRPr="009C3005" w:rsidRDefault="00E82A60" w:rsidP="00300A01">
            <w:pPr>
              <w:pStyle w:val="Text1"/>
              <w:spacing w:before="0" w:after="0"/>
              <w:ind w:left="0"/>
              <w:jc w:val="right"/>
              <w:rPr>
                <w:sz w:val="12"/>
                <w:szCs w:val="12"/>
              </w:rPr>
            </w:pPr>
            <w:r w:rsidRPr="009C3005">
              <w:rPr>
                <w:noProof/>
                <w:sz w:val="12"/>
                <w:szCs w:val="12"/>
              </w:rPr>
              <w:t>585 619,08</w:t>
            </w:r>
          </w:p>
        </w:tc>
        <w:tc>
          <w:tcPr>
            <w:tcW w:w="0" w:type="auto"/>
            <w:shd w:val="clear" w:color="auto" w:fill="auto"/>
          </w:tcPr>
          <w:p w14:paraId="1973C0F0" w14:textId="77777777" w:rsidR="008C5CFA" w:rsidRPr="009C3005" w:rsidRDefault="00E82A60" w:rsidP="00300A01">
            <w:pPr>
              <w:pStyle w:val="Text1"/>
              <w:spacing w:before="0" w:after="0"/>
              <w:ind w:left="0"/>
              <w:jc w:val="right"/>
              <w:rPr>
                <w:sz w:val="12"/>
                <w:szCs w:val="12"/>
              </w:rPr>
            </w:pPr>
            <w:r w:rsidRPr="009C3005">
              <w:rPr>
                <w:noProof/>
                <w:sz w:val="12"/>
                <w:szCs w:val="12"/>
              </w:rPr>
              <w:t>380 652,40</w:t>
            </w:r>
          </w:p>
        </w:tc>
        <w:tc>
          <w:tcPr>
            <w:tcW w:w="0" w:type="auto"/>
            <w:shd w:val="clear" w:color="auto" w:fill="auto"/>
          </w:tcPr>
          <w:p w14:paraId="08BD77B4" w14:textId="77777777" w:rsidR="008C5CFA" w:rsidRPr="009C3005" w:rsidRDefault="00E82A60" w:rsidP="00300A01">
            <w:pPr>
              <w:pStyle w:val="Text1"/>
              <w:spacing w:before="0" w:after="0"/>
              <w:ind w:left="0"/>
              <w:jc w:val="right"/>
              <w:rPr>
                <w:sz w:val="12"/>
                <w:szCs w:val="12"/>
              </w:rPr>
            </w:pPr>
            <w:r w:rsidRPr="009C3005">
              <w:rPr>
                <w:noProof/>
                <w:sz w:val="12"/>
                <w:szCs w:val="12"/>
              </w:rPr>
              <w:t>500 641,19</w:t>
            </w:r>
          </w:p>
        </w:tc>
        <w:tc>
          <w:tcPr>
            <w:tcW w:w="0" w:type="auto"/>
            <w:shd w:val="clear" w:color="auto" w:fill="auto"/>
          </w:tcPr>
          <w:p w14:paraId="67A5F6ED" w14:textId="77777777" w:rsidR="008C5CFA" w:rsidRPr="009C3005" w:rsidRDefault="00E82A60" w:rsidP="00300A01">
            <w:pPr>
              <w:pStyle w:val="Text1"/>
              <w:spacing w:before="0" w:after="0"/>
              <w:ind w:left="0"/>
              <w:jc w:val="right"/>
              <w:rPr>
                <w:sz w:val="12"/>
                <w:szCs w:val="12"/>
              </w:rPr>
            </w:pPr>
            <w:r w:rsidRPr="009C3005">
              <w:rPr>
                <w:noProof/>
                <w:sz w:val="12"/>
                <w:szCs w:val="12"/>
              </w:rPr>
              <w:t>3</w:t>
            </w:r>
          </w:p>
        </w:tc>
      </w:tr>
      <w:tr w:rsidR="006B2EC1" w14:paraId="023D39B1" w14:textId="77777777" w:rsidTr="0047688D">
        <w:tc>
          <w:tcPr>
            <w:tcW w:w="0" w:type="auto"/>
            <w:shd w:val="clear" w:color="auto" w:fill="auto"/>
          </w:tcPr>
          <w:p w14:paraId="1D31A434" w14:textId="77777777" w:rsidR="008C5CFA" w:rsidRPr="009C3005" w:rsidRDefault="00E82A60" w:rsidP="00300A01">
            <w:pPr>
              <w:pStyle w:val="Text1"/>
              <w:spacing w:before="0" w:after="0"/>
              <w:ind w:left="0"/>
              <w:rPr>
                <w:sz w:val="12"/>
                <w:szCs w:val="12"/>
              </w:rPr>
            </w:pPr>
            <w:r>
              <w:rPr>
                <w:noProof/>
                <w:sz w:val="14"/>
                <w:szCs w:val="14"/>
                <w:lang w:val="fr-BE"/>
              </w:rPr>
              <w:t>3</w:t>
            </w:r>
          </w:p>
        </w:tc>
        <w:tc>
          <w:tcPr>
            <w:tcW w:w="0" w:type="auto"/>
            <w:shd w:val="clear" w:color="auto" w:fill="auto"/>
          </w:tcPr>
          <w:p w14:paraId="14752BB2" w14:textId="77777777" w:rsidR="008C5CFA" w:rsidRPr="009C3005" w:rsidRDefault="00E82A60" w:rsidP="00300A01">
            <w:pPr>
              <w:pStyle w:val="Text1"/>
              <w:spacing w:before="0" w:after="0"/>
              <w:ind w:left="0"/>
              <w:rPr>
                <w:sz w:val="12"/>
                <w:szCs w:val="12"/>
              </w:rPr>
            </w:pPr>
            <w:r>
              <w:rPr>
                <w:noProof/>
                <w:sz w:val="12"/>
                <w:szCs w:val="12"/>
              </w:rPr>
              <w:t>EFRR</w:t>
            </w:r>
          </w:p>
        </w:tc>
        <w:tc>
          <w:tcPr>
            <w:tcW w:w="0" w:type="auto"/>
            <w:shd w:val="clear" w:color="auto" w:fill="auto"/>
          </w:tcPr>
          <w:p w14:paraId="6E1A061B" w14:textId="77777777" w:rsidR="008C5CFA" w:rsidRPr="009C3005" w:rsidRDefault="00E82A60" w:rsidP="00300A01">
            <w:pPr>
              <w:pStyle w:val="Text1"/>
              <w:spacing w:before="0" w:after="0"/>
              <w:ind w:left="0"/>
              <w:rPr>
                <w:sz w:val="12"/>
                <w:szCs w:val="12"/>
              </w:rPr>
            </w:pPr>
            <w:r>
              <w:rPr>
                <w:noProof/>
                <w:sz w:val="12"/>
                <w:szCs w:val="12"/>
              </w:rPr>
              <w:t>Słabiej rozwinięte</w:t>
            </w:r>
          </w:p>
        </w:tc>
        <w:tc>
          <w:tcPr>
            <w:tcW w:w="0" w:type="auto"/>
            <w:shd w:val="clear" w:color="auto" w:fill="auto"/>
          </w:tcPr>
          <w:p w14:paraId="77692DB8" w14:textId="77777777" w:rsidR="008C5CFA" w:rsidRPr="009C3005" w:rsidRDefault="00E82A60" w:rsidP="00300A01">
            <w:pPr>
              <w:pStyle w:val="Text1"/>
              <w:spacing w:before="0" w:after="0"/>
              <w:ind w:left="0"/>
              <w:rPr>
                <w:sz w:val="12"/>
                <w:szCs w:val="12"/>
              </w:rPr>
            </w:pPr>
            <w:r>
              <w:rPr>
                <w:noProof/>
                <w:sz w:val="12"/>
                <w:szCs w:val="12"/>
              </w:rPr>
              <w:t>068</w:t>
            </w:r>
          </w:p>
        </w:tc>
        <w:tc>
          <w:tcPr>
            <w:tcW w:w="0" w:type="auto"/>
            <w:shd w:val="clear" w:color="auto" w:fill="auto"/>
          </w:tcPr>
          <w:p w14:paraId="190BEC0C"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796B5A1A" w14:textId="77777777" w:rsidR="008C5CFA" w:rsidRPr="009C3005" w:rsidRDefault="00E82A60" w:rsidP="00300A01">
            <w:pPr>
              <w:pStyle w:val="Text1"/>
              <w:spacing w:before="0" w:after="0"/>
              <w:ind w:left="0"/>
              <w:rPr>
                <w:sz w:val="12"/>
                <w:szCs w:val="12"/>
              </w:rPr>
            </w:pPr>
            <w:r>
              <w:rPr>
                <w:noProof/>
                <w:sz w:val="12"/>
                <w:szCs w:val="12"/>
              </w:rPr>
              <w:t>03</w:t>
            </w:r>
          </w:p>
        </w:tc>
        <w:tc>
          <w:tcPr>
            <w:tcW w:w="0" w:type="auto"/>
            <w:shd w:val="clear" w:color="auto" w:fill="auto"/>
          </w:tcPr>
          <w:p w14:paraId="266C9E2B"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2FFCA1E0" w14:textId="77777777" w:rsidR="008C5CFA" w:rsidRPr="009C3005" w:rsidRDefault="00E82A60" w:rsidP="00300A01">
            <w:pPr>
              <w:pStyle w:val="Text1"/>
              <w:spacing w:before="0" w:after="0"/>
              <w:ind w:left="0"/>
              <w:rPr>
                <w:sz w:val="12"/>
                <w:szCs w:val="12"/>
              </w:rPr>
            </w:pPr>
            <w:r>
              <w:rPr>
                <w:noProof/>
                <w:sz w:val="12"/>
                <w:szCs w:val="12"/>
              </w:rPr>
              <w:t>04</w:t>
            </w:r>
          </w:p>
        </w:tc>
        <w:tc>
          <w:tcPr>
            <w:tcW w:w="0" w:type="auto"/>
            <w:shd w:val="clear" w:color="auto" w:fill="auto"/>
          </w:tcPr>
          <w:p w14:paraId="09DAE871" w14:textId="77777777" w:rsidR="008C5CFA" w:rsidRPr="009C3005" w:rsidRDefault="00E82A60" w:rsidP="00300A01">
            <w:pPr>
              <w:pStyle w:val="Text1"/>
              <w:spacing w:before="0" w:after="0"/>
              <w:ind w:left="0"/>
              <w:rPr>
                <w:sz w:val="12"/>
                <w:szCs w:val="12"/>
              </w:rPr>
            </w:pPr>
            <w:r>
              <w:rPr>
                <w:sz w:val="12"/>
                <w:szCs w:val="12"/>
              </w:rPr>
              <w:t xml:space="preserve"> </w:t>
            </w:r>
          </w:p>
        </w:tc>
        <w:tc>
          <w:tcPr>
            <w:tcW w:w="0" w:type="auto"/>
            <w:shd w:val="clear" w:color="auto" w:fill="auto"/>
          </w:tcPr>
          <w:p w14:paraId="2E13F744" w14:textId="77777777" w:rsidR="008C5CFA" w:rsidRPr="009C3005" w:rsidRDefault="00E82A60" w:rsidP="00300A01">
            <w:pPr>
              <w:pStyle w:val="Text1"/>
              <w:spacing w:before="0" w:after="0"/>
              <w:ind w:left="0"/>
              <w:rPr>
                <w:sz w:val="12"/>
                <w:szCs w:val="12"/>
              </w:rPr>
            </w:pPr>
            <w:r>
              <w:rPr>
                <w:noProof/>
                <w:sz w:val="12"/>
                <w:szCs w:val="12"/>
              </w:rPr>
              <w:t>17</w:t>
            </w:r>
          </w:p>
        </w:tc>
        <w:tc>
          <w:tcPr>
            <w:tcW w:w="0" w:type="auto"/>
            <w:shd w:val="clear" w:color="auto" w:fill="auto"/>
          </w:tcPr>
          <w:p w14:paraId="4F01B8BB" w14:textId="77777777" w:rsidR="008C5CFA" w:rsidRPr="009C3005" w:rsidRDefault="00E82A60" w:rsidP="00300A01">
            <w:pPr>
              <w:pStyle w:val="Text1"/>
              <w:spacing w:before="0" w:after="0"/>
              <w:ind w:left="0"/>
              <w:rPr>
                <w:sz w:val="12"/>
                <w:szCs w:val="12"/>
              </w:rPr>
            </w:pPr>
            <w:r>
              <w:rPr>
                <w:noProof/>
                <w:sz w:val="12"/>
                <w:szCs w:val="12"/>
              </w:rPr>
              <w:t>PL33</w:t>
            </w:r>
          </w:p>
        </w:tc>
        <w:tc>
          <w:tcPr>
            <w:tcW w:w="0" w:type="auto"/>
            <w:shd w:val="clear" w:color="auto" w:fill="auto"/>
          </w:tcPr>
          <w:p w14:paraId="1018AD49" w14:textId="77777777" w:rsidR="008C5CFA" w:rsidRPr="009C3005" w:rsidRDefault="00E82A60" w:rsidP="00300A01">
            <w:pPr>
              <w:pStyle w:val="Text1"/>
              <w:spacing w:before="0" w:after="0"/>
              <w:ind w:left="0"/>
              <w:jc w:val="right"/>
              <w:rPr>
                <w:sz w:val="12"/>
                <w:szCs w:val="12"/>
              </w:rPr>
            </w:pPr>
            <w:r w:rsidRPr="009C3005">
              <w:rPr>
                <w:noProof/>
                <w:sz w:val="12"/>
                <w:szCs w:val="12"/>
              </w:rPr>
              <w:t>58 296,88</w:t>
            </w:r>
          </w:p>
        </w:tc>
        <w:tc>
          <w:tcPr>
            <w:tcW w:w="0" w:type="auto"/>
            <w:shd w:val="clear" w:color="auto" w:fill="auto"/>
          </w:tcPr>
          <w:p w14:paraId="1DBC8AB6" w14:textId="77777777" w:rsidR="008C5CFA" w:rsidRPr="009C3005" w:rsidRDefault="00E82A60" w:rsidP="00300A01">
            <w:pPr>
              <w:pStyle w:val="Text1"/>
              <w:spacing w:before="0" w:after="0"/>
              <w:ind w:left="0"/>
              <w:jc w:val="right"/>
              <w:rPr>
                <w:sz w:val="12"/>
                <w:szCs w:val="12"/>
              </w:rPr>
            </w:pPr>
            <w:r w:rsidRPr="009C3005">
              <w:rPr>
                <w:noProof/>
                <w:sz w:val="12"/>
                <w:szCs w:val="12"/>
              </w:rPr>
              <w:t>37 892,97</w:t>
            </w:r>
          </w:p>
        </w:tc>
        <w:tc>
          <w:tcPr>
            <w:tcW w:w="0" w:type="auto"/>
            <w:shd w:val="clear" w:color="auto" w:fill="auto"/>
          </w:tcPr>
          <w:p w14:paraId="65221CA4" w14:textId="77777777" w:rsidR="008C5CFA" w:rsidRPr="009C3005" w:rsidRDefault="00E82A60" w:rsidP="00300A01">
            <w:pPr>
              <w:pStyle w:val="Text1"/>
              <w:spacing w:before="0" w:after="0"/>
              <w:ind w:left="0"/>
              <w:jc w:val="right"/>
              <w:rPr>
                <w:sz w:val="12"/>
                <w:szCs w:val="12"/>
              </w:rPr>
            </w:pPr>
            <w:r w:rsidRPr="009C3005">
              <w:rPr>
                <w:noProof/>
                <w:sz w:val="12"/>
                <w:szCs w:val="12"/>
              </w:rPr>
              <w:t>0,00</w:t>
            </w:r>
          </w:p>
        </w:tc>
        <w:tc>
          <w:tcPr>
            <w:tcW w:w="0" w:type="auto"/>
            <w:shd w:val="clear" w:color="auto" w:fill="auto"/>
          </w:tcPr>
          <w:p w14:paraId="68B1A614" w14:textId="77777777" w:rsidR="008C5CFA" w:rsidRPr="009C3005" w:rsidRDefault="00E82A60" w:rsidP="00300A01">
            <w:pPr>
              <w:pStyle w:val="Text1"/>
              <w:spacing w:before="0" w:after="0"/>
              <w:ind w:left="0"/>
              <w:jc w:val="right"/>
              <w:rPr>
                <w:sz w:val="12"/>
                <w:szCs w:val="12"/>
              </w:rPr>
            </w:pPr>
            <w:r w:rsidRPr="009C3005">
              <w:rPr>
                <w:noProof/>
                <w:sz w:val="12"/>
                <w:szCs w:val="12"/>
              </w:rPr>
              <w:t>1</w:t>
            </w:r>
          </w:p>
        </w:tc>
      </w:tr>
      <w:tr w:rsidR="006B2EC1" w14:paraId="0C75E792" w14:textId="77777777" w:rsidTr="0047688D">
        <w:tc>
          <w:tcPr>
            <w:tcW w:w="0" w:type="auto"/>
            <w:shd w:val="clear" w:color="auto" w:fill="auto"/>
          </w:tcPr>
          <w:p w14:paraId="01DAE869" w14:textId="77777777" w:rsidR="008C5CFA" w:rsidRPr="009C3005" w:rsidRDefault="00E82A60" w:rsidP="00300A01">
            <w:pPr>
              <w:pStyle w:val="Text1"/>
              <w:spacing w:before="0" w:after="0"/>
              <w:ind w:left="0"/>
              <w:rPr>
                <w:sz w:val="12"/>
                <w:szCs w:val="12"/>
              </w:rPr>
            </w:pPr>
            <w:r>
              <w:rPr>
                <w:noProof/>
                <w:sz w:val="14"/>
                <w:szCs w:val="14"/>
                <w:lang w:val="fr-BE"/>
              </w:rPr>
              <w:t>3</w:t>
            </w:r>
          </w:p>
        </w:tc>
        <w:tc>
          <w:tcPr>
            <w:tcW w:w="0" w:type="auto"/>
            <w:shd w:val="clear" w:color="auto" w:fill="auto"/>
          </w:tcPr>
          <w:p w14:paraId="4612C4F6" w14:textId="77777777" w:rsidR="008C5CFA" w:rsidRPr="009C3005" w:rsidRDefault="00E82A60" w:rsidP="00300A01">
            <w:pPr>
              <w:pStyle w:val="Text1"/>
              <w:spacing w:before="0" w:after="0"/>
              <w:ind w:left="0"/>
              <w:rPr>
                <w:sz w:val="12"/>
                <w:szCs w:val="12"/>
              </w:rPr>
            </w:pPr>
            <w:r>
              <w:rPr>
                <w:noProof/>
                <w:sz w:val="12"/>
                <w:szCs w:val="12"/>
              </w:rPr>
              <w:t>EFRR</w:t>
            </w:r>
          </w:p>
        </w:tc>
        <w:tc>
          <w:tcPr>
            <w:tcW w:w="0" w:type="auto"/>
            <w:shd w:val="clear" w:color="auto" w:fill="auto"/>
          </w:tcPr>
          <w:p w14:paraId="591AE069" w14:textId="77777777" w:rsidR="008C5CFA" w:rsidRPr="009C3005" w:rsidRDefault="00E82A60" w:rsidP="00300A01">
            <w:pPr>
              <w:pStyle w:val="Text1"/>
              <w:spacing w:before="0" w:after="0"/>
              <w:ind w:left="0"/>
              <w:rPr>
                <w:sz w:val="12"/>
                <w:szCs w:val="12"/>
              </w:rPr>
            </w:pPr>
            <w:r>
              <w:rPr>
                <w:noProof/>
                <w:sz w:val="12"/>
                <w:szCs w:val="12"/>
              </w:rPr>
              <w:t>Słabiej rozwinięte</w:t>
            </w:r>
          </w:p>
        </w:tc>
        <w:tc>
          <w:tcPr>
            <w:tcW w:w="0" w:type="auto"/>
            <w:shd w:val="clear" w:color="auto" w:fill="auto"/>
          </w:tcPr>
          <w:p w14:paraId="7720068A" w14:textId="77777777" w:rsidR="008C5CFA" w:rsidRPr="009C3005" w:rsidRDefault="00E82A60" w:rsidP="00300A01">
            <w:pPr>
              <w:pStyle w:val="Text1"/>
              <w:spacing w:before="0" w:after="0"/>
              <w:ind w:left="0"/>
              <w:rPr>
                <w:sz w:val="12"/>
                <w:szCs w:val="12"/>
              </w:rPr>
            </w:pPr>
            <w:r>
              <w:rPr>
                <w:noProof/>
                <w:sz w:val="12"/>
                <w:szCs w:val="12"/>
              </w:rPr>
              <w:t>068</w:t>
            </w:r>
          </w:p>
        </w:tc>
        <w:tc>
          <w:tcPr>
            <w:tcW w:w="0" w:type="auto"/>
            <w:shd w:val="clear" w:color="auto" w:fill="auto"/>
          </w:tcPr>
          <w:p w14:paraId="22A7D9A4"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1C5525A6" w14:textId="77777777" w:rsidR="008C5CFA" w:rsidRPr="009C3005" w:rsidRDefault="00E82A60" w:rsidP="00300A01">
            <w:pPr>
              <w:pStyle w:val="Text1"/>
              <w:spacing w:before="0" w:after="0"/>
              <w:ind w:left="0"/>
              <w:rPr>
                <w:sz w:val="12"/>
                <w:szCs w:val="12"/>
              </w:rPr>
            </w:pPr>
            <w:r>
              <w:rPr>
                <w:noProof/>
                <w:sz w:val="12"/>
                <w:szCs w:val="12"/>
              </w:rPr>
              <w:t>03</w:t>
            </w:r>
          </w:p>
        </w:tc>
        <w:tc>
          <w:tcPr>
            <w:tcW w:w="0" w:type="auto"/>
            <w:shd w:val="clear" w:color="auto" w:fill="auto"/>
          </w:tcPr>
          <w:p w14:paraId="09920635"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4204DBDF" w14:textId="77777777" w:rsidR="008C5CFA" w:rsidRPr="009C3005" w:rsidRDefault="00E82A60" w:rsidP="00300A01">
            <w:pPr>
              <w:pStyle w:val="Text1"/>
              <w:spacing w:before="0" w:after="0"/>
              <w:ind w:left="0"/>
              <w:rPr>
                <w:sz w:val="12"/>
                <w:szCs w:val="12"/>
              </w:rPr>
            </w:pPr>
            <w:r>
              <w:rPr>
                <w:noProof/>
                <w:sz w:val="12"/>
                <w:szCs w:val="12"/>
              </w:rPr>
              <w:t>04</w:t>
            </w:r>
          </w:p>
        </w:tc>
        <w:tc>
          <w:tcPr>
            <w:tcW w:w="0" w:type="auto"/>
            <w:shd w:val="clear" w:color="auto" w:fill="auto"/>
          </w:tcPr>
          <w:p w14:paraId="4F73D1D4" w14:textId="77777777" w:rsidR="008C5CFA" w:rsidRPr="009C3005" w:rsidRDefault="00E82A60" w:rsidP="00300A01">
            <w:pPr>
              <w:pStyle w:val="Text1"/>
              <w:spacing w:before="0" w:after="0"/>
              <w:ind w:left="0"/>
              <w:rPr>
                <w:sz w:val="12"/>
                <w:szCs w:val="12"/>
              </w:rPr>
            </w:pPr>
            <w:r>
              <w:rPr>
                <w:sz w:val="12"/>
                <w:szCs w:val="12"/>
              </w:rPr>
              <w:t xml:space="preserve"> </w:t>
            </w:r>
          </w:p>
        </w:tc>
        <w:tc>
          <w:tcPr>
            <w:tcW w:w="0" w:type="auto"/>
            <w:shd w:val="clear" w:color="auto" w:fill="auto"/>
          </w:tcPr>
          <w:p w14:paraId="2945875C" w14:textId="77777777" w:rsidR="008C5CFA" w:rsidRPr="009C3005" w:rsidRDefault="00E82A60" w:rsidP="00300A01">
            <w:pPr>
              <w:pStyle w:val="Text1"/>
              <w:spacing w:before="0" w:after="0"/>
              <w:ind w:left="0"/>
              <w:rPr>
                <w:sz w:val="12"/>
                <w:szCs w:val="12"/>
              </w:rPr>
            </w:pPr>
            <w:r>
              <w:rPr>
                <w:noProof/>
                <w:sz w:val="12"/>
                <w:szCs w:val="12"/>
              </w:rPr>
              <w:t>23</w:t>
            </w:r>
          </w:p>
        </w:tc>
        <w:tc>
          <w:tcPr>
            <w:tcW w:w="0" w:type="auto"/>
            <w:shd w:val="clear" w:color="auto" w:fill="auto"/>
          </w:tcPr>
          <w:p w14:paraId="6B66A9FD" w14:textId="77777777" w:rsidR="008C5CFA" w:rsidRPr="009C3005" w:rsidRDefault="00E82A60" w:rsidP="00300A01">
            <w:pPr>
              <w:pStyle w:val="Text1"/>
              <w:spacing w:before="0" w:after="0"/>
              <w:ind w:left="0"/>
              <w:rPr>
                <w:sz w:val="12"/>
                <w:szCs w:val="12"/>
              </w:rPr>
            </w:pPr>
            <w:r>
              <w:rPr>
                <w:noProof/>
                <w:sz w:val="12"/>
                <w:szCs w:val="12"/>
              </w:rPr>
              <w:t>PL33</w:t>
            </w:r>
          </w:p>
        </w:tc>
        <w:tc>
          <w:tcPr>
            <w:tcW w:w="0" w:type="auto"/>
            <w:shd w:val="clear" w:color="auto" w:fill="auto"/>
          </w:tcPr>
          <w:p w14:paraId="5C943962" w14:textId="77777777" w:rsidR="008C5CFA" w:rsidRPr="009C3005" w:rsidRDefault="00E82A60" w:rsidP="00300A01">
            <w:pPr>
              <w:pStyle w:val="Text1"/>
              <w:spacing w:before="0" w:after="0"/>
              <w:ind w:left="0"/>
              <w:jc w:val="right"/>
              <w:rPr>
                <w:sz w:val="12"/>
                <w:szCs w:val="12"/>
              </w:rPr>
            </w:pPr>
            <w:r w:rsidRPr="009C3005">
              <w:rPr>
                <w:noProof/>
                <w:sz w:val="12"/>
                <w:szCs w:val="12"/>
              </w:rPr>
              <w:t>244 973,28</w:t>
            </w:r>
          </w:p>
        </w:tc>
        <w:tc>
          <w:tcPr>
            <w:tcW w:w="0" w:type="auto"/>
            <w:shd w:val="clear" w:color="auto" w:fill="auto"/>
          </w:tcPr>
          <w:p w14:paraId="3D6A42C9" w14:textId="77777777" w:rsidR="008C5CFA" w:rsidRPr="009C3005" w:rsidRDefault="00E82A60" w:rsidP="00300A01">
            <w:pPr>
              <w:pStyle w:val="Text1"/>
              <w:spacing w:before="0" w:after="0"/>
              <w:ind w:left="0"/>
              <w:jc w:val="right"/>
              <w:rPr>
                <w:sz w:val="12"/>
                <w:szCs w:val="12"/>
              </w:rPr>
            </w:pPr>
            <w:r w:rsidRPr="009C3005">
              <w:rPr>
                <w:noProof/>
                <w:sz w:val="12"/>
                <w:szCs w:val="12"/>
              </w:rPr>
              <w:t>159 232,63</w:t>
            </w:r>
          </w:p>
        </w:tc>
        <w:tc>
          <w:tcPr>
            <w:tcW w:w="0" w:type="auto"/>
            <w:shd w:val="clear" w:color="auto" w:fill="auto"/>
          </w:tcPr>
          <w:p w14:paraId="3090FF39" w14:textId="77777777" w:rsidR="008C5CFA" w:rsidRPr="009C3005" w:rsidRDefault="00E82A60" w:rsidP="00300A01">
            <w:pPr>
              <w:pStyle w:val="Text1"/>
              <w:spacing w:before="0" w:after="0"/>
              <w:ind w:left="0"/>
              <w:jc w:val="right"/>
              <w:rPr>
                <w:sz w:val="12"/>
                <w:szCs w:val="12"/>
              </w:rPr>
            </w:pPr>
            <w:r w:rsidRPr="009C3005">
              <w:rPr>
                <w:noProof/>
                <w:sz w:val="12"/>
                <w:szCs w:val="12"/>
              </w:rPr>
              <w:t>0,00</w:t>
            </w:r>
          </w:p>
        </w:tc>
        <w:tc>
          <w:tcPr>
            <w:tcW w:w="0" w:type="auto"/>
            <w:shd w:val="clear" w:color="auto" w:fill="auto"/>
          </w:tcPr>
          <w:p w14:paraId="459BFE41" w14:textId="77777777" w:rsidR="008C5CFA" w:rsidRPr="009C3005" w:rsidRDefault="00E82A60" w:rsidP="00300A01">
            <w:pPr>
              <w:pStyle w:val="Text1"/>
              <w:spacing w:before="0" w:after="0"/>
              <w:ind w:left="0"/>
              <w:jc w:val="right"/>
              <w:rPr>
                <w:sz w:val="12"/>
                <w:szCs w:val="12"/>
              </w:rPr>
            </w:pPr>
            <w:r w:rsidRPr="009C3005">
              <w:rPr>
                <w:noProof/>
                <w:sz w:val="12"/>
                <w:szCs w:val="12"/>
              </w:rPr>
              <w:t>2</w:t>
            </w:r>
          </w:p>
        </w:tc>
      </w:tr>
      <w:tr w:rsidR="006B2EC1" w14:paraId="1687D3A7" w14:textId="77777777" w:rsidTr="0047688D">
        <w:tc>
          <w:tcPr>
            <w:tcW w:w="0" w:type="auto"/>
            <w:shd w:val="clear" w:color="auto" w:fill="auto"/>
          </w:tcPr>
          <w:p w14:paraId="22418B5B" w14:textId="77777777" w:rsidR="008C5CFA" w:rsidRPr="009C3005" w:rsidRDefault="00E82A60" w:rsidP="00300A01">
            <w:pPr>
              <w:pStyle w:val="Text1"/>
              <w:spacing w:before="0" w:after="0"/>
              <w:ind w:left="0"/>
              <w:rPr>
                <w:sz w:val="12"/>
                <w:szCs w:val="12"/>
              </w:rPr>
            </w:pPr>
            <w:r>
              <w:rPr>
                <w:noProof/>
                <w:sz w:val="14"/>
                <w:szCs w:val="14"/>
                <w:lang w:val="fr-BE"/>
              </w:rPr>
              <w:t>3</w:t>
            </w:r>
          </w:p>
        </w:tc>
        <w:tc>
          <w:tcPr>
            <w:tcW w:w="0" w:type="auto"/>
            <w:shd w:val="clear" w:color="auto" w:fill="auto"/>
          </w:tcPr>
          <w:p w14:paraId="478BE831" w14:textId="77777777" w:rsidR="008C5CFA" w:rsidRPr="009C3005" w:rsidRDefault="00E82A60" w:rsidP="00300A01">
            <w:pPr>
              <w:pStyle w:val="Text1"/>
              <w:spacing w:before="0" w:after="0"/>
              <w:ind w:left="0"/>
              <w:rPr>
                <w:sz w:val="12"/>
                <w:szCs w:val="12"/>
              </w:rPr>
            </w:pPr>
            <w:r>
              <w:rPr>
                <w:noProof/>
                <w:sz w:val="12"/>
                <w:szCs w:val="12"/>
              </w:rPr>
              <w:t>EFRR</w:t>
            </w:r>
          </w:p>
        </w:tc>
        <w:tc>
          <w:tcPr>
            <w:tcW w:w="0" w:type="auto"/>
            <w:shd w:val="clear" w:color="auto" w:fill="auto"/>
          </w:tcPr>
          <w:p w14:paraId="5D577A3D" w14:textId="77777777" w:rsidR="008C5CFA" w:rsidRPr="009C3005" w:rsidRDefault="00E82A60" w:rsidP="00300A01">
            <w:pPr>
              <w:pStyle w:val="Text1"/>
              <w:spacing w:before="0" w:after="0"/>
              <w:ind w:left="0"/>
              <w:rPr>
                <w:sz w:val="12"/>
                <w:szCs w:val="12"/>
              </w:rPr>
            </w:pPr>
            <w:r>
              <w:rPr>
                <w:noProof/>
                <w:sz w:val="12"/>
                <w:szCs w:val="12"/>
              </w:rPr>
              <w:t>Słabiej rozwinięte</w:t>
            </w:r>
          </w:p>
        </w:tc>
        <w:tc>
          <w:tcPr>
            <w:tcW w:w="0" w:type="auto"/>
            <w:shd w:val="clear" w:color="auto" w:fill="auto"/>
          </w:tcPr>
          <w:p w14:paraId="7FF95936" w14:textId="77777777" w:rsidR="008C5CFA" w:rsidRPr="009C3005" w:rsidRDefault="00E82A60" w:rsidP="00300A01">
            <w:pPr>
              <w:pStyle w:val="Text1"/>
              <w:spacing w:before="0" w:after="0"/>
              <w:ind w:left="0"/>
              <w:rPr>
                <w:sz w:val="12"/>
                <w:szCs w:val="12"/>
              </w:rPr>
            </w:pPr>
            <w:r>
              <w:rPr>
                <w:noProof/>
                <w:sz w:val="12"/>
                <w:szCs w:val="12"/>
              </w:rPr>
              <w:t>068</w:t>
            </w:r>
          </w:p>
        </w:tc>
        <w:tc>
          <w:tcPr>
            <w:tcW w:w="0" w:type="auto"/>
            <w:shd w:val="clear" w:color="auto" w:fill="auto"/>
          </w:tcPr>
          <w:p w14:paraId="1BE071C4"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0C793D81" w14:textId="77777777" w:rsidR="008C5CFA" w:rsidRPr="009C3005" w:rsidRDefault="00E82A60" w:rsidP="00300A01">
            <w:pPr>
              <w:pStyle w:val="Text1"/>
              <w:spacing w:before="0" w:after="0"/>
              <w:ind w:left="0"/>
              <w:rPr>
                <w:sz w:val="12"/>
                <w:szCs w:val="12"/>
              </w:rPr>
            </w:pPr>
            <w:r>
              <w:rPr>
                <w:noProof/>
                <w:sz w:val="12"/>
                <w:szCs w:val="12"/>
              </w:rPr>
              <w:t>03</w:t>
            </w:r>
          </w:p>
        </w:tc>
        <w:tc>
          <w:tcPr>
            <w:tcW w:w="0" w:type="auto"/>
            <w:shd w:val="clear" w:color="auto" w:fill="auto"/>
          </w:tcPr>
          <w:p w14:paraId="2239346A"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079C82FB" w14:textId="77777777" w:rsidR="008C5CFA" w:rsidRPr="009C3005" w:rsidRDefault="00E82A60" w:rsidP="00300A01">
            <w:pPr>
              <w:pStyle w:val="Text1"/>
              <w:spacing w:before="0" w:after="0"/>
              <w:ind w:left="0"/>
              <w:rPr>
                <w:sz w:val="12"/>
                <w:szCs w:val="12"/>
              </w:rPr>
            </w:pPr>
            <w:r>
              <w:rPr>
                <w:noProof/>
                <w:sz w:val="12"/>
                <w:szCs w:val="12"/>
              </w:rPr>
              <w:t>04</w:t>
            </w:r>
          </w:p>
        </w:tc>
        <w:tc>
          <w:tcPr>
            <w:tcW w:w="0" w:type="auto"/>
            <w:shd w:val="clear" w:color="auto" w:fill="auto"/>
          </w:tcPr>
          <w:p w14:paraId="1A597AB4" w14:textId="77777777" w:rsidR="008C5CFA" w:rsidRPr="009C3005" w:rsidRDefault="00E82A60" w:rsidP="00300A01">
            <w:pPr>
              <w:pStyle w:val="Text1"/>
              <w:spacing w:before="0" w:after="0"/>
              <w:ind w:left="0"/>
              <w:rPr>
                <w:sz w:val="12"/>
                <w:szCs w:val="12"/>
              </w:rPr>
            </w:pPr>
            <w:r>
              <w:rPr>
                <w:sz w:val="12"/>
                <w:szCs w:val="12"/>
              </w:rPr>
              <w:t xml:space="preserve"> </w:t>
            </w:r>
          </w:p>
        </w:tc>
        <w:tc>
          <w:tcPr>
            <w:tcW w:w="0" w:type="auto"/>
            <w:shd w:val="clear" w:color="auto" w:fill="auto"/>
          </w:tcPr>
          <w:p w14:paraId="75C5029C" w14:textId="77777777" w:rsidR="008C5CFA" w:rsidRPr="009C3005" w:rsidRDefault="00E82A60" w:rsidP="00300A01">
            <w:pPr>
              <w:pStyle w:val="Text1"/>
              <w:spacing w:before="0" w:after="0"/>
              <w:ind w:left="0"/>
              <w:rPr>
                <w:sz w:val="12"/>
                <w:szCs w:val="12"/>
              </w:rPr>
            </w:pPr>
            <w:r>
              <w:rPr>
                <w:noProof/>
                <w:sz w:val="12"/>
                <w:szCs w:val="12"/>
              </w:rPr>
              <w:t>24</w:t>
            </w:r>
          </w:p>
        </w:tc>
        <w:tc>
          <w:tcPr>
            <w:tcW w:w="0" w:type="auto"/>
            <w:shd w:val="clear" w:color="auto" w:fill="auto"/>
          </w:tcPr>
          <w:p w14:paraId="220215DB" w14:textId="77777777" w:rsidR="008C5CFA" w:rsidRPr="009C3005" w:rsidRDefault="00E82A60" w:rsidP="00300A01">
            <w:pPr>
              <w:pStyle w:val="Text1"/>
              <w:spacing w:before="0" w:after="0"/>
              <w:ind w:left="0"/>
              <w:rPr>
                <w:sz w:val="12"/>
                <w:szCs w:val="12"/>
              </w:rPr>
            </w:pPr>
            <w:r>
              <w:rPr>
                <w:noProof/>
                <w:sz w:val="12"/>
                <w:szCs w:val="12"/>
              </w:rPr>
              <w:t>PL33</w:t>
            </w:r>
          </w:p>
        </w:tc>
        <w:tc>
          <w:tcPr>
            <w:tcW w:w="0" w:type="auto"/>
            <w:shd w:val="clear" w:color="auto" w:fill="auto"/>
          </w:tcPr>
          <w:p w14:paraId="450D3DB6" w14:textId="77777777" w:rsidR="008C5CFA" w:rsidRPr="009C3005" w:rsidRDefault="00E82A60" w:rsidP="00300A01">
            <w:pPr>
              <w:pStyle w:val="Text1"/>
              <w:spacing w:before="0" w:after="0"/>
              <w:ind w:left="0"/>
              <w:jc w:val="right"/>
              <w:rPr>
                <w:sz w:val="12"/>
                <w:szCs w:val="12"/>
              </w:rPr>
            </w:pPr>
            <w:r w:rsidRPr="009C3005">
              <w:rPr>
                <w:noProof/>
                <w:sz w:val="12"/>
                <w:szCs w:val="12"/>
              </w:rPr>
              <w:t>277 200,93</w:t>
            </w:r>
          </w:p>
        </w:tc>
        <w:tc>
          <w:tcPr>
            <w:tcW w:w="0" w:type="auto"/>
            <w:shd w:val="clear" w:color="auto" w:fill="auto"/>
          </w:tcPr>
          <w:p w14:paraId="28055014" w14:textId="77777777" w:rsidR="008C5CFA" w:rsidRPr="009C3005" w:rsidRDefault="00E82A60" w:rsidP="00300A01">
            <w:pPr>
              <w:pStyle w:val="Text1"/>
              <w:spacing w:before="0" w:after="0"/>
              <w:ind w:left="0"/>
              <w:jc w:val="right"/>
              <w:rPr>
                <w:sz w:val="12"/>
                <w:szCs w:val="12"/>
              </w:rPr>
            </w:pPr>
            <w:r w:rsidRPr="009C3005">
              <w:rPr>
                <w:noProof/>
                <w:sz w:val="12"/>
                <w:szCs w:val="12"/>
              </w:rPr>
              <w:t>169 252,82</w:t>
            </w:r>
          </w:p>
        </w:tc>
        <w:tc>
          <w:tcPr>
            <w:tcW w:w="0" w:type="auto"/>
            <w:shd w:val="clear" w:color="auto" w:fill="auto"/>
          </w:tcPr>
          <w:p w14:paraId="6EDDC463" w14:textId="77777777" w:rsidR="008C5CFA" w:rsidRPr="009C3005" w:rsidRDefault="00E82A60" w:rsidP="00300A01">
            <w:pPr>
              <w:pStyle w:val="Text1"/>
              <w:spacing w:before="0" w:after="0"/>
              <w:ind w:left="0"/>
              <w:jc w:val="right"/>
              <w:rPr>
                <w:sz w:val="12"/>
                <w:szCs w:val="12"/>
              </w:rPr>
            </w:pPr>
            <w:r w:rsidRPr="009C3005">
              <w:rPr>
                <w:noProof/>
                <w:sz w:val="12"/>
                <w:szCs w:val="12"/>
              </w:rPr>
              <w:t>36 881,65</w:t>
            </w:r>
          </w:p>
        </w:tc>
        <w:tc>
          <w:tcPr>
            <w:tcW w:w="0" w:type="auto"/>
            <w:shd w:val="clear" w:color="auto" w:fill="auto"/>
          </w:tcPr>
          <w:p w14:paraId="4CC401DA" w14:textId="77777777" w:rsidR="008C5CFA" w:rsidRPr="009C3005" w:rsidRDefault="00E82A60" w:rsidP="00300A01">
            <w:pPr>
              <w:pStyle w:val="Text1"/>
              <w:spacing w:before="0" w:after="0"/>
              <w:ind w:left="0"/>
              <w:jc w:val="right"/>
              <w:rPr>
                <w:sz w:val="12"/>
                <w:szCs w:val="12"/>
              </w:rPr>
            </w:pPr>
            <w:r w:rsidRPr="009C3005">
              <w:rPr>
                <w:noProof/>
                <w:sz w:val="12"/>
                <w:szCs w:val="12"/>
              </w:rPr>
              <w:t>4</w:t>
            </w:r>
          </w:p>
        </w:tc>
      </w:tr>
      <w:tr w:rsidR="006B2EC1" w14:paraId="46C54468" w14:textId="77777777" w:rsidTr="0047688D">
        <w:tc>
          <w:tcPr>
            <w:tcW w:w="0" w:type="auto"/>
            <w:shd w:val="clear" w:color="auto" w:fill="auto"/>
          </w:tcPr>
          <w:p w14:paraId="73CF5DC5" w14:textId="77777777" w:rsidR="008C5CFA" w:rsidRPr="009C3005" w:rsidRDefault="00E82A60" w:rsidP="00300A01">
            <w:pPr>
              <w:pStyle w:val="Text1"/>
              <w:spacing w:before="0" w:after="0"/>
              <w:ind w:left="0"/>
              <w:rPr>
                <w:sz w:val="12"/>
                <w:szCs w:val="12"/>
              </w:rPr>
            </w:pPr>
            <w:r>
              <w:rPr>
                <w:noProof/>
                <w:sz w:val="14"/>
                <w:szCs w:val="14"/>
                <w:lang w:val="fr-BE"/>
              </w:rPr>
              <w:t>3</w:t>
            </w:r>
          </w:p>
        </w:tc>
        <w:tc>
          <w:tcPr>
            <w:tcW w:w="0" w:type="auto"/>
            <w:shd w:val="clear" w:color="auto" w:fill="auto"/>
          </w:tcPr>
          <w:p w14:paraId="754D3FEE" w14:textId="77777777" w:rsidR="008C5CFA" w:rsidRPr="009C3005" w:rsidRDefault="00E82A60" w:rsidP="00300A01">
            <w:pPr>
              <w:pStyle w:val="Text1"/>
              <w:spacing w:before="0" w:after="0"/>
              <w:ind w:left="0"/>
              <w:rPr>
                <w:sz w:val="12"/>
                <w:szCs w:val="12"/>
              </w:rPr>
            </w:pPr>
            <w:r>
              <w:rPr>
                <w:noProof/>
                <w:sz w:val="12"/>
                <w:szCs w:val="12"/>
              </w:rPr>
              <w:t>EFRR</w:t>
            </w:r>
          </w:p>
        </w:tc>
        <w:tc>
          <w:tcPr>
            <w:tcW w:w="0" w:type="auto"/>
            <w:shd w:val="clear" w:color="auto" w:fill="auto"/>
          </w:tcPr>
          <w:p w14:paraId="2F9A86EC" w14:textId="77777777" w:rsidR="008C5CFA" w:rsidRPr="009C3005" w:rsidRDefault="00E82A60" w:rsidP="00300A01">
            <w:pPr>
              <w:pStyle w:val="Text1"/>
              <w:spacing w:before="0" w:after="0"/>
              <w:ind w:left="0"/>
              <w:rPr>
                <w:sz w:val="12"/>
                <w:szCs w:val="12"/>
              </w:rPr>
            </w:pPr>
            <w:r>
              <w:rPr>
                <w:noProof/>
                <w:sz w:val="12"/>
                <w:szCs w:val="12"/>
              </w:rPr>
              <w:t>Słabiej rozwinięte</w:t>
            </w:r>
          </w:p>
        </w:tc>
        <w:tc>
          <w:tcPr>
            <w:tcW w:w="0" w:type="auto"/>
            <w:shd w:val="clear" w:color="auto" w:fill="auto"/>
          </w:tcPr>
          <w:p w14:paraId="5636D025" w14:textId="77777777" w:rsidR="008C5CFA" w:rsidRPr="009C3005" w:rsidRDefault="00E82A60" w:rsidP="00300A01">
            <w:pPr>
              <w:pStyle w:val="Text1"/>
              <w:spacing w:before="0" w:after="0"/>
              <w:ind w:left="0"/>
              <w:rPr>
                <w:sz w:val="12"/>
                <w:szCs w:val="12"/>
              </w:rPr>
            </w:pPr>
            <w:r>
              <w:rPr>
                <w:noProof/>
                <w:sz w:val="12"/>
                <w:szCs w:val="12"/>
              </w:rPr>
              <w:t>069</w:t>
            </w:r>
          </w:p>
        </w:tc>
        <w:tc>
          <w:tcPr>
            <w:tcW w:w="0" w:type="auto"/>
            <w:shd w:val="clear" w:color="auto" w:fill="auto"/>
          </w:tcPr>
          <w:p w14:paraId="0FDBEF11"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036F0791" w14:textId="77777777" w:rsidR="008C5CFA" w:rsidRPr="009C3005" w:rsidRDefault="00E82A60" w:rsidP="00300A01">
            <w:pPr>
              <w:pStyle w:val="Text1"/>
              <w:spacing w:before="0" w:after="0"/>
              <w:ind w:left="0"/>
              <w:rPr>
                <w:sz w:val="12"/>
                <w:szCs w:val="12"/>
              </w:rPr>
            </w:pPr>
            <w:r>
              <w:rPr>
                <w:noProof/>
                <w:sz w:val="12"/>
                <w:szCs w:val="12"/>
              </w:rPr>
              <w:t>03</w:t>
            </w:r>
          </w:p>
        </w:tc>
        <w:tc>
          <w:tcPr>
            <w:tcW w:w="0" w:type="auto"/>
            <w:shd w:val="clear" w:color="auto" w:fill="auto"/>
          </w:tcPr>
          <w:p w14:paraId="5581F57B"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75B3452C" w14:textId="77777777" w:rsidR="008C5CFA" w:rsidRPr="009C3005" w:rsidRDefault="00E82A60" w:rsidP="00300A01">
            <w:pPr>
              <w:pStyle w:val="Text1"/>
              <w:spacing w:before="0" w:after="0"/>
              <w:ind w:left="0"/>
              <w:rPr>
                <w:sz w:val="12"/>
                <w:szCs w:val="12"/>
              </w:rPr>
            </w:pPr>
            <w:r>
              <w:rPr>
                <w:noProof/>
                <w:sz w:val="12"/>
                <w:szCs w:val="12"/>
              </w:rPr>
              <w:t>04</w:t>
            </w:r>
          </w:p>
        </w:tc>
        <w:tc>
          <w:tcPr>
            <w:tcW w:w="0" w:type="auto"/>
            <w:shd w:val="clear" w:color="auto" w:fill="auto"/>
          </w:tcPr>
          <w:p w14:paraId="7971B2D9" w14:textId="77777777" w:rsidR="008C5CFA" w:rsidRPr="009C3005" w:rsidRDefault="00E82A60" w:rsidP="00300A01">
            <w:pPr>
              <w:pStyle w:val="Text1"/>
              <w:spacing w:before="0" w:after="0"/>
              <w:ind w:left="0"/>
              <w:rPr>
                <w:sz w:val="12"/>
                <w:szCs w:val="12"/>
              </w:rPr>
            </w:pPr>
            <w:r>
              <w:rPr>
                <w:sz w:val="12"/>
                <w:szCs w:val="12"/>
              </w:rPr>
              <w:t xml:space="preserve"> </w:t>
            </w:r>
          </w:p>
        </w:tc>
        <w:tc>
          <w:tcPr>
            <w:tcW w:w="0" w:type="auto"/>
            <w:shd w:val="clear" w:color="auto" w:fill="auto"/>
          </w:tcPr>
          <w:p w14:paraId="19E7376E" w14:textId="77777777" w:rsidR="008C5CFA" w:rsidRPr="009C3005" w:rsidRDefault="00E82A60" w:rsidP="00300A01">
            <w:pPr>
              <w:pStyle w:val="Text1"/>
              <w:spacing w:before="0" w:after="0"/>
              <w:ind w:left="0"/>
              <w:rPr>
                <w:sz w:val="12"/>
                <w:szCs w:val="12"/>
              </w:rPr>
            </w:pPr>
            <w:r>
              <w:rPr>
                <w:noProof/>
                <w:sz w:val="12"/>
                <w:szCs w:val="12"/>
              </w:rPr>
              <w:t>24</w:t>
            </w:r>
          </w:p>
        </w:tc>
        <w:tc>
          <w:tcPr>
            <w:tcW w:w="0" w:type="auto"/>
            <w:shd w:val="clear" w:color="auto" w:fill="auto"/>
          </w:tcPr>
          <w:p w14:paraId="56462F88" w14:textId="77777777" w:rsidR="008C5CFA" w:rsidRPr="009C3005" w:rsidRDefault="00E82A60" w:rsidP="00300A01">
            <w:pPr>
              <w:pStyle w:val="Text1"/>
              <w:spacing w:before="0" w:after="0"/>
              <w:ind w:left="0"/>
              <w:rPr>
                <w:sz w:val="12"/>
                <w:szCs w:val="12"/>
              </w:rPr>
            </w:pPr>
            <w:r>
              <w:rPr>
                <w:noProof/>
                <w:sz w:val="12"/>
                <w:szCs w:val="12"/>
              </w:rPr>
              <w:t>PL33</w:t>
            </w:r>
          </w:p>
        </w:tc>
        <w:tc>
          <w:tcPr>
            <w:tcW w:w="0" w:type="auto"/>
            <w:shd w:val="clear" w:color="auto" w:fill="auto"/>
          </w:tcPr>
          <w:p w14:paraId="5D9A5390" w14:textId="77777777" w:rsidR="008C5CFA" w:rsidRPr="009C3005" w:rsidRDefault="00E82A60" w:rsidP="00300A01">
            <w:pPr>
              <w:pStyle w:val="Text1"/>
              <w:spacing w:before="0" w:after="0"/>
              <w:ind w:left="0"/>
              <w:jc w:val="right"/>
              <w:rPr>
                <w:sz w:val="12"/>
                <w:szCs w:val="12"/>
              </w:rPr>
            </w:pPr>
            <w:r w:rsidRPr="009C3005">
              <w:rPr>
                <w:noProof/>
                <w:sz w:val="12"/>
                <w:szCs w:val="12"/>
              </w:rPr>
              <w:t>150 144,92</w:t>
            </w:r>
          </w:p>
        </w:tc>
        <w:tc>
          <w:tcPr>
            <w:tcW w:w="0" w:type="auto"/>
            <w:shd w:val="clear" w:color="auto" w:fill="auto"/>
          </w:tcPr>
          <w:p w14:paraId="0484AF61" w14:textId="77777777" w:rsidR="008C5CFA" w:rsidRPr="009C3005" w:rsidRDefault="00E82A60" w:rsidP="00300A01">
            <w:pPr>
              <w:pStyle w:val="Text1"/>
              <w:spacing w:before="0" w:after="0"/>
              <w:ind w:left="0"/>
              <w:jc w:val="right"/>
              <w:rPr>
                <w:sz w:val="12"/>
                <w:szCs w:val="12"/>
              </w:rPr>
            </w:pPr>
            <w:r w:rsidRPr="009C3005">
              <w:rPr>
                <w:noProof/>
                <w:sz w:val="12"/>
                <w:szCs w:val="12"/>
              </w:rPr>
              <w:t>99 357,09</w:t>
            </w:r>
          </w:p>
        </w:tc>
        <w:tc>
          <w:tcPr>
            <w:tcW w:w="0" w:type="auto"/>
            <w:shd w:val="clear" w:color="auto" w:fill="auto"/>
          </w:tcPr>
          <w:p w14:paraId="7148DD93" w14:textId="77777777" w:rsidR="008C5CFA" w:rsidRPr="009C3005" w:rsidRDefault="00E82A60" w:rsidP="00300A01">
            <w:pPr>
              <w:pStyle w:val="Text1"/>
              <w:spacing w:before="0" w:after="0"/>
              <w:ind w:left="0"/>
              <w:jc w:val="right"/>
              <w:rPr>
                <w:sz w:val="12"/>
                <w:szCs w:val="12"/>
              </w:rPr>
            </w:pPr>
            <w:r w:rsidRPr="009C3005">
              <w:rPr>
                <w:noProof/>
                <w:sz w:val="12"/>
                <w:szCs w:val="12"/>
              </w:rPr>
              <w:t>150 144,92</w:t>
            </w:r>
          </w:p>
        </w:tc>
        <w:tc>
          <w:tcPr>
            <w:tcW w:w="0" w:type="auto"/>
            <w:shd w:val="clear" w:color="auto" w:fill="auto"/>
          </w:tcPr>
          <w:p w14:paraId="1369393B" w14:textId="77777777" w:rsidR="008C5CFA" w:rsidRPr="009C3005" w:rsidRDefault="00E82A60" w:rsidP="00300A01">
            <w:pPr>
              <w:pStyle w:val="Text1"/>
              <w:spacing w:before="0" w:after="0"/>
              <w:ind w:left="0"/>
              <w:jc w:val="right"/>
              <w:rPr>
                <w:sz w:val="12"/>
                <w:szCs w:val="12"/>
              </w:rPr>
            </w:pPr>
            <w:r w:rsidRPr="009C3005">
              <w:rPr>
                <w:noProof/>
                <w:sz w:val="12"/>
                <w:szCs w:val="12"/>
              </w:rPr>
              <w:t>1</w:t>
            </w:r>
          </w:p>
        </w:tc>
      </w:tr>
      <w:tr w:rsidR="006B2EC1" w14:paraId="13D0AA29" w14:textId="77777777" w:rsidTr="0047688D">
        <w:tc>
          <w:tcPr>
            <w:tcW w:w="0" w:type="auto"/>
            <w:shd w:val="clear" w:color="auto" w:fill="auto"/>
          </w:tcPr>
          <w:p w14:paraId="18DE178F" w14:textId="77777777" w:rsidR="008C5CFA" w:rsidRPr="009C3005" w:rsidRDefault="00E82A60" w:rsidP="00300A01">
            <w:pPr>
              <w:pStyle w:val="Text1"/>
              <w:spacing w:before="0" w:after="0"/>
              <w:ind w:left="0"/>
              <w:rPr>
                <w:sz w:val="12"/>
                <w:szCs w:val="12"/>
              </w:rPr>
            </w:pPr>
            <w:r>
              <w:rPr>
                <w:noProof/>
                <w:sz w:val="14"/>
                <w:szCs w:val="14"/>
                <w:lang w:val="fr-BE"/>
              </w:rPr>
              <w:t>3</w:t>
            </w:r>
          </w:p>
        </w:tc>
        <w:tc>
          <w:tcPr>
            <w:tcW w:w="0" w:type="auto"/>
            <w:shd w:val="clear" w:color="auto" w:fill="auto"/>
          </w:tcPr>
          <w:p w14:paraId="1B3A9142" w14:textId="77777777" w:rsidR="008C5CFA" w:rsidRPr="009C3005" w:rsidRDefault="00E82A60" w:rsidP="00300A01">
            <w:pPr>
              <w:pStyle w:val="Text1"/>
              <w:spacing w:before="0" w:after="0"/>
              <w:ind w:left="0"/>
              <w:rPr>
                <w:sz w:val="12"/>
                <w:szCs w:val="12"/>
              </w:rPr>
            </w:pPr>
            <w:r>
              <w:rPr>
                <w:noProof/>
                <w:sz w:val="12"/>
                <w:szCs w:val="12"/>
              </w:rPr>
              <w:t>EFRR</w:t>
            </w:r>
          </w:p>
        </w:tc>
        <w:tc>
          <w:tcPr>
            <w:tcW w:w="0" w:type="auto"/>
            <w:shd w:val="clear" w:color="auto" w:fill="auto"/>
          </w:tcPr>
          <w:p w14:paraId="30E34F51" w14:textId="77777777" w:rsidR="008C5CFA" w:rsidRPr="009C3005" w:rsidRDefault="00E82A60" w:rsidP="00300A01">
            <w:pPr>
              <w:pStyle w:val="Text1"/>
              <w:spacing w:before="0" w:after="0"/>
              <w:ind w:left="0"/>
              <w:rPr>
                <w:sz w:val="12"/>
                <w:szCs w:val="12"/>
              </w:rPr>
            </w:pPr>
            <w:r>
              <w:rPr>
                <w:noProof/>
                <w:sz w:val="12"/>
                <w:szCs w:val="12"/>
              </w:rPr>
              <w:t>Słabiej rozwinięte</w:t>
            </w:r>
          </w:p>
        </w:tc>
        <w:tc>
          <w:tcPr>
            <w:tcW w:w="0" w:type="auto"/>
            <w:shd w:val="clear" w:color="auto" w:fill="auto"/>
          </w:tcPr>
          <w:p w14:paraId="1B66B510" w14:textId="77777777" w:rsidR="008C5CFA" w:rsidRPr="009C3005" w:rsidRDefault="00E82A60" w:rsidP="00300A01">
            <w:pPr>
              <w:pStyle w:val="Text1"/>
              <w:spacing w:before="0" w:after="0"/>
              <w:ind w:left="0"/>
              <w:rPr>
                <w:sz w:val="12"/>
                <w:szCs w:val="12"/>
              </w:rPr>
            </w:pPr>
            <w:r>
              <w:rPr>
                <w:noProof/>
                <w:sz w:val="12"/>
                <w:szCs w:val="12"/>
              </w:rPr>
              <w:t>090</w:t>
            </w:r>
          </w:p>
        </w:tc>
        <w:tc>
          <w:tcPr>
            <w:tcW w:w="0" w:type="auto"/>
            <w:shd w:val="clear" w:color="auto" w:fill="auto"/>
          </w:tcPr>
          <w:p w14:paraId="4E3CEA19"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11ED9F45"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6403D9E7"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02CB69D5" w14:textId="77777777" w:rsidR="008C5CFA" w:rsidRPr="009C3005" w:rsidRDefault="00E82A60" w:rsidP="00300A01">
            <w:pPr>
              <w:pStyle w:val="Text1"/>
              <w:spacing w:before="0" w:after="0"/>
              <w:ind w:left="0"/>
              <w:rPr>
                <w:sz w:val="12"/>
                <w:szCs w:val="12"/>
              </w:rPr>
            </w:pPr>
            <w:r>
              <w:rPr>
                <w:noProof/>
                <w:sz w:val="12"/>
                <w:szCs w:val="12"/>
              </w:rPr>
              <w:t>04</w:t>
            </w:r>
          </w:p>
        </w:tc>
        <w:tc>
          <w:tcPr>
            <w:tcW w:w="0" w:type="auto"/>
            <w:shd w:val="clear" w:color="auto" w:fill="auto"/>
          </w:tcPr>
          <w:p w14:paraId="50A7CDF8" w14:textId="77777777" w:rsidR="008C5CFA" w:rsidRPr="009C3005" w:rsidRDefault="00E82A60" w:rsidP="00300A01">
            <w:pPr>
              <w:pStyle w:val="Text1"/>
              <w:spacing w:before="0" w:after="0"/>
              <w:ind w:left="0"/>
              <w:rPr>
                <w:sz w:val="12"/>
                <w:szCs w:val="12"/>
              </w:rPr>
            </w:pPr>
            <w:r>
              <w:rPr>
                <w:sz w:val="12"/>
                <w:szCs w:val="12"/>
              </w:rPr>
              <w:t xml:space="preserve"> </w:t>
            </w:r>
          </w:p>
        </w:tc>
        <w:tc>
          <w:tcPr>
            <w:tcW w:w="0" w:type="auto"/>
            <w:shd w:val="clear" w:color="auto" w:fill="auto"/>
          </w:tcPr>
          <w:p w14:paraId="509588C6" w14:textId="77777777" w:rsidR="008C5CFA" w:rsidRPr="009C3005" w:rsidRDefault="00E82A60" w:rsidP="00300A01">
            <w:pPr>
              <w:pStyle w:val="Text1"/>
              <w:spacing w:before="0" w:after="0"/>
              <w:ind w:left="0"/>
              <w:rPr>
                <w:sz w:val="12"/>
                <w:szCs w:val="12"/>
              </w:rPr>
            </w:pPr>
            <w:r>
              <w:rPr>
                <w:noProof/>
                <w:sz w:val="12"/>
                <w:szCs w:val="12"/>
              </w:rPr>
              <w:t>18</w:t>
            </w:r>
          </w:p>
        </w:tc>
        <w:tc>
          <w:tcPr>
            <w:tcW w:w="0" w:type="auto"/>
            <w:shd w:val="clear" w:color="auto" w:fill="auto"/>
          </w:tcPr>
          <w:p w14:paraId="13ACF112" w14:textId="77777777" w:rsidR="008C5CFA" w:rsidRPr="009C3005" w:rsidRDefault="00E82A60" w:rsidP="00300A01">
            <w:pPr>
              <w:pStyle w:val="Text1"/>
              <w:spacing w:before="0" w:after="0"/>
              <w:ind w:left="0"/>
              <w:rPr>
                <w:sz w:val="12"/>
                <w:szCs w:val="12"/>
              </w:rPr>
            </w:pPr>
            <w:r>
              <w:rPr>
                <w:noProof/>
                <w:sz w:val="12"/>
                <w:szCs w:val="12"/>
              </w:rPr>
              <w:t>PL33</w:t>
            </w:r>
          </w:p>
        </w:tc>
        <w:tc>
          <w:tcPr>
            <w:tcW w:w="0" w:type="auto"/>
            <w:shd w:val="clear" w:color="auto" w:fill="auto"/>
          </w:tcPr>
          <w:p w14:paraId="6CA8EA8C" w14:textId="77777777" w:rsidR="008C5CFA" w:rsidRPr="009C3005" w:rsidRDefault="00E82A60" w:rsidP="00300A01">
            <w:pPr>
              <w:pStyle w:val="Text1"/>
              <w:spacing w:before="0" w:after="0"/>
              <w:ind w:left="0"/>
              <w:jc w:val="right"/>
              <w:rPr>
                <w:sz w:val="12"/>
                <w:szCs w:val="12"/>
              </w:rPr>
            </w:pPr>
            <w:r w:rsidRPr="009C3005">
              <w:rPr>
                <w:noProof/>
                <w:sz w:val="12"/>
                <w:szCs w:val="12"/>
              </w:rPr>
              <w:t>5 045 896,18</w:t>
            </w:r>
          </w:p>
        </w:tc>
        <w:tc>
          <w:tcPr>
            <w:tcW w:w="0" w:type="auto"/>
            <w:shd w:val="clear" w:color="auto" w:fill="auto"/>
          </w:tcPr>
          <w:p w14:paraId="273AE0BE" w14:textId="77777777" w:rsidR="008C5CFA" w:rsidRPr="009C3005" w:rsidRDefault="00E82A60" w:rsidP="00300A01">
            <w:pPr>
              <w:pStyle w:val="Text1"/>
              <w:spacing w:before="0" w:after="0"/>
              <w:ind w:left="0"/>
              <w:jc w:val="right"/>
              <w:rPr>
                <w:sz w:val="12"/>
                <w:szCs w:val="12"/>
              </w:rPr>
            </w:pPr>
            <w:r w:rsidRPr="009C3005">
              <w:rPr>
                <w:noProof/>
                <w:sz w:val="12"/>
                <w:szCs w:val="12"/>
              </w:rPr>
              <w:t>5 045 896,18</w:t>
            </w:r>
          </w:p>
        </w:tc>
        <w:tc>
          <w:tcPr>
            <w:tcW w:w="0" w:type="auto"/>
            <w:shd w:val="clear" w:color="auto" w:fill="auto"/>
          </w:tcPr>
          <w:p w14:paraId="18CC9172" w14:textId="77777777" w:rsidR="008C5CFA" w:rsidRPr="009C3005" w:rsidRDefault="00E82A60" w:rsidP="00300A01">
            <w:pPr>
              <w:pStyle w:val="Text1"/>
              <w:spacing w:before="0" w:after="0"/>
              <w:ind w:left="0"/>
              <w:jc w:val="right"/>
              <w:rPr>
                <w:sz w:val="12"/>
                <w:szCs w:val="12"/>
              </w:rPr>
            </w:pPr>
            <w:r w:rsidRPr="009C3005">
              <w:rPr>
                <w:noProof/>
                <w:sz w:val="12"/>
                <w:szCs w:val="12"/>
              </w:rPr>
              <w:t>0,00</w:t>
            </w:r>
          </w:p>
        </w:tc>
        <w:tc>
          <w:tcPr>
            <w:tcW w:w="0" w:type="auto"/>
            <w:shd w:val="clear" w:color="auto" w:fill="auto"/>
          </w:tcPr>
          <w:p w14:paraId="7AF493A2" w14:textId="77777777" w:rsidR="008C5CFA" w:rsidRPr="009C3005" w:rsidRDefault="00E82A60" w:rsidP="00300A01">
            <w:pPr>
              <w:pStyle w:val="Text1"/>
              <w:spacing w:before="0" w:after="0"/>
              <w:ind w:left="0"/>
              <w:jc w:val="right"/>
              <w:rPr>
                <w:sz w:val="12"/>
                <w:szCs w:val="12"/>
              </w:rPr>
            </w:pPr>
            <w:r w:rsidRPr="009C3005">
              <w:rPr>
                <w:noProof/>
                <w:sz w:val="12"/>
                <w:szCs w:val="12"/>
              </w:rPr>
              <w:t>1</w:t>
            </w:r>
          </w:p>
        </w:tc>
      </w:tr>
      <w:tr w:rsidR="006B2EC1" w14:paraId="134398BB" w14:textId="77777777" w:rsidTr="0047688D">
        <w:tc>
          <w:tcPr>
            <w:tcW w:w="0" w:type="auto"/>
            <w:shd w:val="clear" w:color="auto" w:fill="auto"/>
          </w:tcPr>
          <w:p w14:paraId="471CA78F" w14:textId="77777777" w:rsidR="008C5CFA" w:rsidRPr="009C3005" w:rsidRDefault="00E82A60" w:rsidP="00300A01">
            <w:pPr>
              <w:pStyle w:val="Text1"/>
              <w:spacing w:before="0" w:after="0"/>
              <w:ind w:left="0"/>
              <w:rPr>
                <w:sz w:val="12"/>
                <w:szCs w:val="12"/>
              </w:rPr>
            </w:pPr>
            <w:r>
              <w:rPr>
                <w:noProof/>
                <w:sz w:val="14"/>
                <w:szCs w:val="14"/>
                <w:lang w:val="fr-BE"/>
              </w:rPr>
              <w:t>3</w:t>
            </w:r>
          </w:p>
        </w:tc>
        <w:tc>
          <w:tcPr>
            <w:tcW w:w="0" w:type="auto"/>
            <w:shd w:val="clear" w:color="auto" w:fill="auto"/>
          </w:tcPr>
          <w:p w14:paraId="3154E96C" w14:textId="77777777" w:rsidR="008C5CFA" w:rsidRPr="009C3005" w:rsidRDefault="00E82A60" w:rsidP="00300A01">
            <w:pPr>
              <w:pStyle w:val="Text1"/>
              <w:spacing w:before="0" w:after="0"/>
              <w:ind w:left="0"/>
              <w:rPr>
                <w:sz w:val="12"/>
                <w:szCs w:val="12"/>
              </w:rPr>
            </w:pPr>
            <w:r>
              <w:rPr>
                <w:noProof/>
                <w:sz w:val="12"/>
                <w:szCs w:val="12"/>
              </w:rPr>
              <w:t>EFRR</w:t>
            </w:r>
          </w:p>
        </w:tc>
        <w:tc>
          <w:tcPr>
            <w:tcW w:w="0" w:type="auto"/>
            <w:shd w:val="clear" w:color="auto" w:fill="auto"/>
          </w:tcPr>
          <w:p w14:paraId="218BB139" w14:textId="77777777" w:rsidR="008C5CFA" w:rsidRPr="009C3005" w:rsidRDefault="00E82A60" w:rsidP="00300A01">
            <w:pPr>
              <w:pStyle w:val="Text1"/>
              <w:spacing w:before="0" w:after="0"/>
              <w:ind w:left="0"/>
              <w:rPr>
                <w:sz w:val="12"/>
                <w:szCs w:val="12"/>
              </w:rPr>
            </w:pPr>
            <w:r>
              <w:rPr>
                <w:noProof/>
                <w:sz w:val="12"/>
                <w:szCs w:val="12"/>
              </w:rPr>
              <w:t>Słabiej rozwinięte</w:t>
            </w:r>
          </w:p>
        </w:tc>
        <w:tc>
          <w:tcPr>
            <w:tcW w:w="0" w:type="auto"/>
            <w:shd w:val="clear" w:color="auto" w:fill="auto"/>
          </w:tcPr>
          <w:p w14:paraId="071A9B25" w14:textId="77777777" w:rsidR="008C5CFA" w:rsidRPr="009C3005" w:rsidRDefault="00E82A60" w:rsidP="00300A01">
            <w:pPr>
              <w:pStyle w:val="Text1"/>
              <w:spacing w:before="0" w:after="0"/>
              <w:ind w:left="0"/>
              <w:rPr>
                <w:sz w:val="12"/>
                <w:szCs w:val="12"/>
              </w:rPr>
            </w:pPr>
            <w:r>
              <w:rPr>
                <w:noProof/>
                <w:sz w:val="12"/>
                <w:szCs w:val="12"/>
              </w:rPr>
              <w:t>090</w:t>
            </w:r>
          </w:p>
        </w:tc>
        <w:tc>
          <w:tcPr>
            <w:tcW w:w="0" w:type="auto"/>
            <w:shd w:val="clear" w:color="auto" w:fill="auto"/>
          </w:tcPr>
          <w:p w14:paraId="22BEA034"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0614A27E" w14:textId="77777777" w:rsidR="008C5CFA" w:rsidRPr="009C3005" w:rsidRDefault="00E82A60" w:rsidP="00300A01">
            <w:pPr>
              <w:pStyle w:val="Text1"/>
              <w:spacing w:before="0" w:after="0"/>
              <w:ind w:left="0"/>
              <w:rPr>
                <w:sz w:val="12"/>
                <w:szCs w:val="12"/>
              </w:rPr>
            </w:pPr>
            <w:r>
              <w:rPr>
                <w:noProof/>
                <w:sz w:val="12"/>
                <w:szCs w:val="12"/>
              </w:rPr>
              <w:t>02</w:t>
            </w:r>
          </w:p>
        </w:tc>
        <w:tc>
          <w:tcPr>
            <w:tcW w:w="0" w:type="auto"/>
            <w:shd w:val="clear" w:color="auto" w:fill="auto"/>
          </w:tcPr>
          <w:p w14:paraId="60AA66B5"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04330AAB" w14:textId="77777777" w:rsidR="008C5CFA" w:rsidRPr="009C3005" w:rsidRDefault="00E82A60" w:rsidP="00300A01">
            <w:pPr>
              <w:pStyle w:val="Text1"/>
              <w:spacing w:before="0" w:after="0"/>
              <w:ind w:left="0"/>
              <w:rPr>
                <w:sz w:val="12"/>
                <w:szCs w:val="12"/>
              </w:rPr>
            </w:pPr>
            <w:r>
              <w:rPr>
                <w:noProof/>
                <w:sz w:val="12"/>
                <w:szCs w:val="12"/>
              </w:rPr>
              <w:t>04</w:t>
            </w:r>
          </w:p>
        </w:tc>
        <w:tc>
          <w:tcPr>
            <w:tcW w:w="0" w:type="auto"/>
            <w:shd w:val="clear" w:color="auto" w:fill="auto"/>
          </w:tcPr>
          <w:p w14:paraId="352CFE97" w14:textId="77777777" w:rsidR="008C5CFA" w:rsidRPr="009C3005" w:rsidRDefault="00E82A60" w:rsidP="00300A01">
            <w:pPr>
              <w:pStyle w:val="Text1"/>
              <w:spacing w:before="0" w:after="0"/>
              <w:ind w:left="0"/>
              <w:rPr>
                <w:sz w:val="12"/>
                <w:szCs w:val="12"/>
              </w:rPr>
            </w:pPr>
            <w:r>
              <w:rPr>
                <w:sz w:val="12"/>
                <w:szCs w:val="12"/>
              </w:rPr>
              <w:t xml:space="preserve"> </w:t>
            </w:r>
          </w:p>
        </w:tc>
        <w:tc>
          <w:tcPr>
            <w:tcW w:w="0" w:type="auto"/>
            <w:shd w:val="clear" w:color="auto" w:fill="auto"/>
          </w:tcPr>
          <w:p w14:paraId="1A2FB0BD" w14:textId="77777777" w:rsidR="008C5CFA" w:rsidRPr="009C3005" w:rsidRDefault="00E82A60" w:rsidP="00300A01">
            <w:pPr>
              <w:pStyle w:val="Text1"/>
              <w:spacing w:before="0" w:after="0"/>
              <w:ind w:left="0"/>
              <w:rPr>
                <w:sz w:val="12"/>
                <w:szCs w:val="12"/>
              </w:rPr>
            </w:pPr>
            <w:r>
              <w:rPr>
                <w:noProof/>
                <w:sz w:val="12"/>
                <w:szCs w:val="12"/>
              </w:rPr>
              <w:t>18</w:t>
            </w:r>
          </w:p>
        </w:tc>
        <w:tc>
          <w:tcPr>
            <w:tcW w:w="0" w:type="auto"/>
            <w:shd w:val="clear" w:color="auto" w:fill="auto"/>
          </w:tcPr>
          <w:p w14:paraId="329BF9E2" w14:textId="77777777" w:rsidR="008C5CFA" w:rsidRPr="009C3005" w:rsidRDefault="00E82A60" w:rsidP="00300A01">
            <w:pPr>
              <w:pStyle w:val="Text1"/>
              <w:spacing w:before="0" w:after="0"/>
              <w:ind w:left="0"/>
              <w:rPr>
                <w:sz w:val="12"/>
                <w:szCs w:val="12"/>
              </w:rPr>
            </w:pPr>
            <w:r>
              <w:rPr>
                <w:noProof/>
                <w:sz w:val="12"/>
                <w:szCs w:val="12"/>
              </w:rPr>
              <w:t>PL33</w:t>
            </w:r>
          </w:p>
        </w:tc>
        <w:tc>
          <w:tcPr>
            <w:tcW w:w="0" w:type="auto"/>
            <w:shd w:val="clear" w:color="auto" w:fill="auto"/>
          </w:tcPr>
          <w:p w14:paraId="24CE27EC" w14:textId="77777777" w:rsidR="008C5CFA" w:rsidRPr="009C3005" w:rsidRDefault="00E82A60" w:rsidP="00300A01">
            <w:pPr>
              <w:pStyle w:val="Text1"/>
              <w:spacing w:before="0" w:after="0"/>
              <w:ind w:left="0"/>
              <w:jc w:val="right"/>
              <w:rPr>
                <w:sz w:val="12"/>
                <w:szCs w:val="12"/>
              </w:rPr>
            </w:pPr>
            <w:r w:rsidRPr="009C3005">
              <w:rPr>
                <w:noProof/>
                <w:sz w:val="12"/>
                <w:szCs w:val="12"/>
              </w:rPr>
              <w:t>332 734,64</w:t>
            </w:r>
          </w:p>
        </w:tc>
        <w:tc>
          <w:tcPr>
            <w:tcW w:w="0" w:type="auto"/>
            <w:shd w:val="clear" w:color="auto" w:fill="auto"/>
          </w:tcPr>
          <w:p w14:paraId="13DE53E4" w14:textId="77777777" w:rsidR="008C5CFA" w:rsidRPr="009C3005" w:rsidRDefault="00E82A60" w:rsidP="00300A01">
            <w:pPr>
              <w:pStyle w:val="Text1"/>
              <w:spacing w:before="0" w:after="0"/>
              <w:ind w:left="0"/>
              <w:jc w:val="right"/>
              <w:rPr>
                <w:sz w:val="12"/>
                <w:szCs w:val="12"/>
              </w:rPr>
            </w:pPr>
            <w:r w:rsidRPr="009C3005">
              <w:rPr>
                <w:noProof/>
                <w:sz w:val="12"/>
                <w:szCs w:val="12"/>
              </w:rPr>
              <w:t>332 734,64</w:t>
            </w:r>
          </w:p>
        </w:tc>
        <w:tc>
          <w:tcPr>
            <w:tcW w:w="0" w:type="auto"/>
            <w:shd w:val="clear" w:color="auto" w:fill="auto"/>
          </w:tcPr>
          <w:p w14:paraId="53450C6C" w14:textId="77777777" w:rsidR="008C5CFA" w:rsidRPr="009C3005" w:rsidRDefault="00E82A60" w:rsidP="00300A01">
            <w:pPr>
              <w:pStyle w:val="Text1"/>
              <w:spacing w:before="0" w:after="0"/>
              <w:ind w:left="0"/>
              <w:jc w:val="right"/>
              <w:rPr>
                <w:sz w:val="12"/>
                <w:szCs w:val="12"/>
              </w:rPr>
            </w:pPr>
            <w:r w:rsidRPr="009C3005">
              <w:rPr>
                <w:noProof/>
                <w:sz w:val="12"/>
                <w:szCs w:val="12"/>
              </w:rPr>
              <w:t>0,00</w:t>
            </w:r>
          </w:p>
        </w:tc>
        <w:tc>
          <w:tcPr>
            <w:tcW w:w="0" w:type="auto"/>
            <w:shd w:val="clear" w:color="auto" w:fill="auto"/>
          </w:tcPr>
          <w:p w14:paraId="1AFA66B9" w14:textId="77777777" w:rsidR="008C5CFA" w:rsidRPr="009C3005" w:rsidRDefault="00E82A60" w:rsidP="00300A01">
            <w:pPr>
              <w:pStyle w:val="Text1"/>
              <w:spacing w:before="0" w:after="0"/>
              <w:ind w:left="0"/>
              <w:jc w:val="right"/>
              <w:rPr>
                <w:sz w:val="12"/>
                <w:szCs w:val="12"/>
              </w:rPr>
            </w:pPr>
            <w:r w:rsidRPr="009C3005">
              <w:rPr>
                <w:noProof/>
                <w:sz w:val="12"/>
                <w:szCs w:val="12"/>
              </w:rPr>
              <w:t>1</w:t>
            </w:r>
          </w:p>
        </w:tc>
      </w:tr>
      <w:tr w:rsidR="006B2EC1" w14:paraId="58F89A3B" w14:textId="77777777" w:rsidTr="0047688D">
        <w:tc>
          <w:tcPr>
            <w:tcW w:w="0" w:type="auto"/>
            <w:shd w:val="clear" w:color="auto" w:fill="auto"/>
          </w:tcPr>
          <w:p w14:paraId="23470963" w14:textId="77777777" w:rsidR="008C5CFA" w:rsidRPr="009C3005" w:rsidRDefault="00E82A60" w:rsidP="00300A01">
            <w:pPr>
              <w:pStyle w:val="Text1"/>
              <w:spacing w:before="0" w:after="0"/>
              <w:ind w:left="0"/>
              <w:rPr>
                <w:sz w:val="12"/>
                <w:szCs w:val="12"/>
              </w:rPr>
            </w:pPr>
            <w:r>
              <w:rPr>
                <w:noProof/>
                <w:sz w:val="14"/>
                <w:szCs w:val="14"/>
                <w:lang w:val="fr-BE"/>
              </w:rPr>
              <w:t>4</w:t>
            </w:r>
          </w:p>
        </w:tc>
        <w:tc>
          <w:tcPr>
            <w:tcW w:w="0" w:type="auto"/>
            <w:shd w:val="clear" w:color="auto" w:fill="auto"/>
          </w:tcPr>
          <w:p w14:paraId="773FF16E" w14:textId="77777777" w:rsidR="008C5CFA" w:rsidRPr="009C3005" w:rsidRDefault="00E82A60" w:rsidP="00300A01">
            <w:pPr>
              <w:pStyle w:val="Text1"/>
              <w:spacing w:before="0" w:after="0"/>
              <w:ind w:left="0"/>
              <w:rPr>
                <w:sz w:val="12"/>
                <w:szCs w:val="12"/>
              </w:rPr>
            </w:pPr>
            <w:r>
              <w:rPr>
                <w:noProof/>
                <w:sz w:val="12"/>
                <w:szCs w:val="12"/>
              </w:rPr>
              <w:t>EFRR</w:t>
            </w:r>
          </w:p>
        </w:tc>
        <w:tc>
          <w:tcPr>
            <w:tcW w:w="0" w:type="auto"/>
            <w:shd w:val="clear" w:color="auto" w:fill="auto"/>
          </w:tcPr>
          <w:p w14:paraId="6B1DFA53" w14:textId="77777777" w:rsidR="008C5CFA" w:rsidRPr="009C3005" w:rsidRDefault="00E82A60" w:rsidP="00300A01">
            <w:pPr>
              <w:pStyle w:val="Text1"/>
              <w:spacing w:before="0" w:after="0"/>
              <w:ind w:left="0"/>
              <w:rPr>
                <w:sz w:val="12"/>
                <w:szCs w:val="12"/>
              </w:rPr>
            </w:pPr>
            <w:r>
              <w:rPr>
                <w:noProof/>
                <w:sz w:val="12"/>
                <w:szCs w:val="12"/>
              </w:rPr>
              <w:t>Słabiej rozwinięte</w:t>
            </w:r>
          </w:p>
        </w:tc>
        <w:tc>
          <w:tcPr>
            <w:tcW w:w="0" w:type="auto"/>
            <w:shd w:val="clear" w:color="auto" w:fill="auto"/>
          </w:tcPr>
          <w:p w14:paraId="78193B9C" w14:textId="77777777" w:rsidR="008C5CFA" w:rsidRPr="009C3005" w:rsidRDefault="00E82A60" w:rsidP="00300A01">
            <w:pPr>
              <w:pStyle w:val="Text1"/>
              <w:spacing w:before="0" w:after="0"/>
              <w:ind w:left="0"/>
              <w:rPr>
                <w:sz w:val="12"/>
                <w:szCs w:val="12"/>
              </w:rPr>
            </w:pPr>
            <w:r>
              <w:rPr>
                <w:noProof/>
                <w:sz w:val="12"/>
                <w:szCs w:val="12"/>
              </w:rPr>
              <w:t>017</w:t>
            </w:r>
          </w:p>
        </w:tc>
        <w:tc>
          <w:tcPr>
            <w:tcW w:w="0" w:type="auto"/>
            <w:shd w:val="clear" w:color="auto" w:fill="auto"/>
          </w:tcPr>
          <w:p w14:paraId="7B10BA71"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4BCD7B1C" w14:textId="77777777" w:rsidR="008C5CFA" w:rsidRPr="009C3005" w:rsidRDefault="00E82A60" w:rsidP="00300A01">
            <w:pPr>
              <w:pStyle w:val="Text1"/>
              <w:spacing w:before="0" w:after="0"/>
              <w:ind w:left="0"/>
              <w:rPr>
                <w:sz w:val="12"/>
                <w:szCs w:val="12"/>
              </w:rPr>
            </w:pPr>
            <w:r>
              <w:rPr>
                <w:noProof/>
                <w:sz w:val="12"/>
                <w:szCs w:val="12"/>
              </w:rPr>
              <w:t>02</w:t>
            </w:r>
          </w:p>
        </w:tc>
        <w:tc>
          <w:tcPr>
            <w:tcW w:w="0" w:type="auto"/>
            <w:shd w:val="clear" w:color="auto" w:fill="auto"/>
          </w:tcPr>
          <w:p w14:paraId="24F8B6F7"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748FFABE" w14:textId="77777777" w:rsidR="008C5CFA" w:rsidRPr="009C3005" w:rsidRDefault="00E82A60" w:rsidP="00300A01">
            <w:pPr>
              <w:pStyle w:val="Text1"/>
              <w:spacing w:before="0" w:after="0"/>
              <w:ind w:left="0"/>
              <w:rPr>
                <w:sz w:val="12"/>
                <w:szCs w:val="12"/>
              </w:rPr>
            </w:pPr>
            <w:r>
              <w:rPr>
                <w:noProof/>
                <w:sz w:val="12"/>
                <w:szCs w:val="12"/>
              </w:rPr>
              <w:t>06</w:t>
            </w:r>
          </w:p>
        </w:tc>
        <w:tc>
          <w:tcPr>
            <w:tcW w:w="0" w:type="auto"/>
            <w:shd w:val="clear" w:color="auto" w:fill="auto"/>
          </w:tcPr>
          <w:p w14:paraId="52934322" w14:textId="77777777" w:rsidR="008C5CFA" w:rsidRPr="009C3005" w:rsidRDefault="00E82A60" w:rsidP="00300A01">
            <w:pPr>
              <w:pStyle w:val="Text1"/>
              <w:spacing w:before="0" w:after="0"/>
              <w:ind w:left="0"/>
              <w:rPr>
                <w:sz w:val="12"/>
                <w:szCs w:val="12"/>
              </w:rPr>
            </w:pPr>
            <w:r>
              <w:rPr>
                <w:sz w:val="12"/>
                <w:szCs w:val="12"/>
              </w:rPr>
              <w:t xml:space="preserve"> </w:t>
            </w:r>
          </w:p>
        </w:tc>
        <w:tc>
          <w:tcPr>
            <w:tcW w:w="0" w:type="auto"/>
            <w:shd w:val="clear" w:color="auto" w:fill="auto"/>
          </w:tcPr>
          <w:p w14:paraId="76834FC8" w14:textId="77777777" w:rsidR="008C5CFA" w:rsidRPr="009C3005" w:rsidRDefault="00E82A60" w:rsidP="00300A01">
            <w:pPr>
              <w:pStyle w:val="Text1"/>
              <w:spacing w:before="0" w:after="0"/>
              <w:ind w:left="0"/>
              <w:rPr>
                <w:sz w:val="12"/>
                <w:szCs w:val="12"/>
              </w:rPr>
            </w:pPr>
            <w:r>
              <w:rPr>
                <w:noProof/>
                <w:sz w:val="12"/>
                <w:szCs w:val="12"/>
              </w:rPr>
              <w:t>18</w:t>
            </w:r>
          </w:p>
        </w:tc>
        <w:tc>
          <w:tcPr>
            <w:tcW w:w="0" w:type="auto"/>
            <w:shd w:val="clear" w:color="auto" w:fill="auto"/>
          </w:tcPr>
          <w:p w14:paraId="2698A318" w14:textId="77777777" w:rsidR="008C5CFA" w:rsidRPr="009C3005" w:rsidRDefault="00E82A60" w:rsidP="00300A01">
            <w:pPr>
              <w:pStyle w:val="Text1"/>
              <w:spacing w:before="0" w:after="0"/>
              <w:ind w:left="0"/>
              <w:rPr>
                <w:sz w:val="12"/>
                <w:szCs w:val="12"/>
              </w:rPr>
            </w:pPr>
            <w:r>
              <w:rPr>
                <w:noProof/>
                <w:sz w:val="12"/>
                <w:szCs w:val="12"/>
              </w:rPr>
              <w:t>PL33</w:t>
            </w:r>
          </w:p>
        </w:tc>
        <w:tc>
          <w:tcPr>
            <w:tcW w:w="0" w:type="auto"/>
            <w:shd w:val="clear" w:color="auto" w:fill="auto"/>
          </w:tcPr>
          <w:p w14:paraId="48B597E0" w14:textId="77777777" w:rsidR="008C5CFA" w:rsidRPr="009C3005" w:rsidRDefault="00E82A60" w:rsidP="00300A01">
            <w:pPr>
              <w:pStyle w:val="Text1"/>
              <w:spacing w:before="0" w:after="0"/>
              <w:ind w:left="0"/>
              <w:jc w:val="right"/>
              <w:rPr>
                <w:sz w:val="12"/>
                <w:szCs w:val="12"/>
              </w:rPr>
            </w:pPr>
            <w:r w:rsidRPr="009C3005">
              <w:rPr>
                <w:noProof/>
                <w:sz w:val="12"/>
                <w:szCs w:val="12"/>
              </w:rPr>
              <w:t>469 842,84</w:t>
            </w:r>
          </w:p>
        </w:tc>
        <w:tc>
          <w:tcPr>
            <w:tcW w:w="0" w:type="auto"/>
            <w:shd w:val="clear" w:color="auto" w:fill="auto"/>
          </w:tcPr>
          <w:p w14:paraId="79904324" w14:textId="77777777" w:rsidR="008C5CFA" w:rsidRPr="009C3005" w:rsidRDefault="00E82A60" w:rsidP="00300A01">
            <w:pPr>
              <w:pStyle w:val="Text1"/>
              <w:spacing w:before="0" w:after="0"/>
              <w:ind w:left="0"/>
              <w:jc w:val="right"/>
              <w:rPr>
                <w:sz w:val="12"/>
                <w:szCs w:val="12"/>
              </w:rPr>
            </w:pPr>
            <w:r w:rsidRPr="009C3005">
              <w:rPr>
                <w:noProof/>
                <w:sz w:val="12"/>
                <w:szCs w:val="12"/>
              </w:rPr>
              <w:t>469 842,84</w:t>
            </w:r>
          </w:p>
        </w:tc>
        <w:tc>
          <w:tcPr>
            <w:tcW w:w="0" w:type="auto"/>
            <w:shd w:val="clear" w:color="auto" w:fill="auto"/>
          </w:tcPr>
          <w:p w14:paraId="2E6CA2F5" w14:textId="77777777" w:rsidR="008C5CFA" w:rsidRPr="009C3005" w:rsidRDefault="00E82A60" w:rsidP="00300A01">
            <w:pPr>
              <w:pStyle w:val="Text1"/>
              <w:spacing w:before="0" w:after="0"/>
              <w:ind w:left="0"/>
              <w:jc w:val="right"/>
              <w:rPr>
                <w:sz w:val="12"/>
                <w:szCs w:val="12"/>
              </w:rPr>
            </w:pPr>
            <w:r w:rsidRPr="009C3005">
              <w:rPr>
                <w:noProof/>
                <w:sz w:val="12"/>
                <w:szCs w:val="12"/>
              </w:rPr>
              <w:t>469 710,34</w:t>
            </w:r>
          </w:p>
        </w:tc>
        <w:tc>
          <w:tcPr>
            <w:tcW w:w="0" w:type="auto"/>
            <w:shd w:val="clear" w:color="auto" w:fill="auto"/>
          </w:tcPr>
          <w:p w14:paraId="18B4539E" w14:textId="77777777" w:rsidR="008C5CFA" w:rsidRPr="009C3005" w:rsidRDefault="00E82A60" w:rsidP="00300A01">
            <w:pPr>
              <w:pStyle w:val="Text1"/>
              <w:spacing w:before="0" w:after="0"/>
              <w:ind w:left="0"/>
              <w:jc w:val="right"/>
              <w:rPr>
                <w:sz w:val="12"/>
                <w:szCs w:val="12"/>
              </w:rPr>
            </w:pPr>
            <w:r w:rsidRPr="009C3005">
              <w:rPr>
                <w:noProof/>
                <w:sz w:val="12"/>
                <w:szCs w:val="12"/>
              </w:rPr>
              <w:t>1</w:t>
            </w:r>
          </w:p>
        </w:tc>
      </w:tr>
      <w:tr w:rsidR="006B2EC1" w14:paraId="6DCC2FEA" w14:textId="77777777" w:rsidTr="0047688D">
        <w:tc>
          <w:tcPr>
            <w:tcW w:w="0" w:type="auto"/>
            <w:shd w:val="clear" w:color="auto" w:fill="auto"/>
          </w:tcPr>
          <w:p w14:paraId="5441AE5C" w14:textId="77777777" w:rsidR="008C5CFA" w:rsidRPr="009C3005" w:rsidRDefault="00E82A60" w:rsidP="00300A01">
            <w:pPr>
              <w:pStyle w:val="Text1"/>
              <w:spacing w:before="0" w:after="0"/>
              <w:ind w:left="0"/>
              <w:rPr>
                <w:sz w:val="12"/>
                <w:szCs w:val="12"/>
              </w:rPr>
            </w:pPr>
            <w:r>
              <w:rPr>
                <w:noProof/>
                <w:sz w:val="14"/>
                <w:szCs w:val="14"/>
                <w:lang w:val="fr-BE"/>
              </w:rPr>
              <w:t>4</w:t>
            </w:r>
          </w:p>
        </w:tc>
        <w:tc>
          <w:tcPr>
            <w:tcW w:w="0" w:type="auto"/>
            <w:shd w:val="clear" w:color="auto" w:fill="auto"/>
          </w:tcPr>
          <w:p w14:paraId="76CAF2F5" w14:textId="77777777" w:rsidR="008C5CFA" w:rsidRPr="009C3005" w:rsidRDefault="00E82A60" w:rsidP="00300A01">
            <w:pPr>
              <w:pStyle w:val="Text1"/>
              <w:spacing w:before="0" w:after="0"/>
              <w:ind w:left="0"/>
              <w:rPr>
                <w:sz w:val="12"/>
                <w:szCs w:val="12"/>
              </w:rPr>
            </w:pPr>
            <w:r>
              <w:rPr>
                <w:noProof/>
                <w:sz w:val="12"/>
                <w:szCs w:val="12"/>
              </w:rPr>
              <w:t>EFRR</w:t>
            </w:r>
          </w:p>
        </w:tc>
        <w:tc>
          <w:tcPr>
            <w:tcW w:w="0" w:type="auto"/>
            <w:shd w:val="clear" w:color="auto" w:fill="auto"/>
          </w:tcPr>
          <w:p w14:paraId="62D7A4A7" w14:textId="77777777" w:rsidR="008C5CFA" w:rsidRPr="009C3005" w:rsidRDefault="00E82A60" w:rsidP="00300A01">
            <w:pPr>
              <w:pStyle w:val="Text1"/>
              <w:spacing w:before="0" w:after="0"/>
              <w:ind w:left="0"/>
              <w:rPr>
                <w:sz w:val="12"/>
                <w:szCs w:val="12"/>
              </w:rPr>
            </w:pPr>
            <w:r>
              <w:rPr>
                <w:noProof/>
                <w:sz w:val="12"/>
                <w:szCs w:val="12"/>
              </w:rPr>
              <w:t>Słabiej rozwinięte</w:t>
            </w:r>
          </w:p>
        </w:tc>
        <w:tc>
          <w:tcPr>
            <w:tcW w:w="0" w:type="auto"/>
            <w:shd w:val="clear" w:color="auto" w:fill="auto"/>
          </w:tcPr>
          <w:p w14:paraId="05D47A0E" w14:textId="77777777" w:rsidR="008C5CFA" w:rsidRPr="009C3005" w:rsidRDefault="00E82A60" w:rsidP="00300A01">
            <w:pPr>
              <w:pStyle w:val="Text1"/>
              <w:spacing w:before="0" w:after="0"/>
              <w:ind w:left="0"/>
              <w:rPr>
                <w:sz w:val="12"/>
                <w:szCs w:val="12"/>
              </w:rPr>
            </w:pPr>
            <w:r>
              <w:rPr>
                <w:noProof/>
                <w:sz w:val="12"/>
                <w:szCs w:val="12"/>
              </w:rPr>
              <w:t>017</w:t>
            </w:r>
          </w:p>
        </w:tc>
        <w:tc>
          <w:tcPr>
            <w:tcW w:w="0" w:type="auto"/>
            <w:shd w:val="clear" w:color="auto" w:fill="auto"/>
          </w:tcPr>
          <w:p w14:paraId="435B2754"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1B009CDB" w14:textId="77777777" w:rsidR="008C5CFA" w:rsidRPr="009C3005" w:rsidRDefault="00E82A60" w:rsidP="00300A01">
            <w:pPr>
              <w:pStyle w:val="Text1"/>
              <w:spacing w:before="0" w:after="0"/>
              <w:ind w:left="0"/>
              <w:rPr>
                <w:sz w:val="12"/>
                <w:szCs w:val="12"/>
              </w:rPr>
            </w:pPr>
            <w:r>
              <w:rPr>
                <w:noProof/>
                <w:sz w:val="12"/>
                <w:szCs w:val="12"/>
              </w:rPr>
              <w:t>03</w:t>
            </w:r>
          </w:p>
        </w:tc>
        <w:tc>
          <w:tcPr>
            <w:tcW w:w="0" w:type="auto"/>
            <w:shd w:val="clear" w:color="auto" w:fill="auto"/>
          </w:tcPr>
          <w:p w14:paraId="018E4126"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4965FC23" w14:textId="77777777" w:rsidR="008C5CFA" w:rsidRPr="009C3005" w:rsidRDefault="00E82A60" w:rsidP="00300A01">
            <w:pPr>
              <w:pStyle w:val="Text1"/>
              <w:spacing w:before="0" w:after="0"/>
              <w:ind w:left="0"/>
              <w:rPr>
                <w:sz w:val="12"/>
                <w:szCs w:val="12"/>
              </w:rPr>
            </w:pPr>
            <w:r>
              <w:rPr>
                <w:noProof/>
                <w:sz w:val="12"/>
                <w:szCs w:val="12"/>
              </w:rPr>
              <w:t>06</w:t>
            </w:r>
          </w:p>
        </w:tc>
        <w:tc>
          <w:tcPr>
            <w:tcW w:w="0" w:type="auto"/>
            <w:shd w:val="clear" w:color="auto" w:fill="auto"/>
          </w:tcPr>
          <w:p w14:paraId="6886A06F" w14:textId="77777777" w:rsidR="008C5CFA" w:rsidRPr="009C3005" w:rsidRDefault="00E82A60" w:rsidP="00300A01">
            <w:pPr>
              <w:pStyle w:val="Text1"/>
              <w:spacing w:before="0" w:after="0"/>
              <w:ind w:left="0"/>
              <w:rPr>
                <w:sz w:val="12"/>
                <w:szCs w:val="12"/>
              </w:rPr>
            </w:pPr>
            <w:r>
              <w:rPr>
                <w:sz w:val="12"/>
                <w:szCs w:val="12"/>
              </w:rPr>
              <w:t xml:space="preserve"> </w:t>
            </w:r>
          </w:p>
        </w:tc>
        <w:tc>
          <w:tcPr>
            <w:tcW w:w="0" w:type="auto"/>
            <w:shd w:val="clear" w:color="auto" w:fill="auto"/>
          </w:tcPr>
          <w:p w14:paraId="0FC59FD7" w14:textId="77777777" w:rsidR="008C5CFA" w:rsidRPr="009C3005" w:rsidRDefault="00E82A60" w:rsidP="00300A01">
            <w:pPr>
              <w:pStyle w:val="Text1"/>
              <w:spacing w:before="0" w:after="0"/>
              <w:ind w:left="0"/>
              <w:rPr>
                <w:sz w:val="12"/>
                <w:szCs w:val="12"/>
              </w:rPr>
            </w:pPr>
            <w:r>
              <w:rPr>
                <w:noProof/>
                <w:sz w:val="12"/>
                <w:szCs w:val="12"/>
              </w:rPr>
              <w:t>11</w:t>
            </w:r>
          </w:p>
        </w:tc>
        <w:tc>
          <w:tcPr>
            <w:tcW w:w="0" w:type="auto"/>
            <w:shd w:val="clear" w:color="auto" w:fill="auto"/>
          </w:tcPr>
          <w:p w14:paraId="2B91A298" w14:textId="77777777" w:rsidR="008C5CFA" w:rsidRPr="009C3005" w:rsidRDefault="00E82A60" w:rsidP="00300A01">
            <w:pPr>
              <w:pStyle w:val="Text1"/>
              <w:spacing w:before="0" w:after="0"/>
              <w:ind w:left="0"/>
              <w:rPr>
                <w:sz w:val="12"/>
                <w:szCs w:val="12"/>
              </w:rPr>
            </w:pPr>
            <w:r>
              <w:rPr>
                <w:noProof/>
                <w:sz w:val="12"/>
                <w:szCs w:val="12"/>
              </w:rPr>
              <w:t>PL33</w:t>
            </w:r>
          </w:p>
        </w:tc>
        <w:tc>
          <w:tcPr>
            <w:tcW w:w="0" w:type="auto"/>
            <w:shd w:val="clear" w:color="auto" w:fill="auto"/>
          </w:tcPr>
          <w:p w14:paraId="0D17707F" w14:textId="77777777" w:rsidR="008C5CFA" w:rsidRPr="009C3005" w:rsidRDefault="00E82A60" w:rsidP="00300A01">
            <w:pPr>
              <w:pStyle w:val="Text1"/>
              <w:spacing w:before="0" w:after="0"/>
              <w:ind w:left="0"/>
              <w:jc w:val="right"/>
              <w:rPr>
                <w:sz w:val="12"/>
                <w:szCs w:val="12"/>
              </w:rPr>
            </w:pPr>
            <w:r w:rsidRPr="009C3005">
              <w:rPr>
                <w:noProof/>
                <w:sz w:val="12"/>
                <w:szCs w:val="12"/>
              </w:rPr>
              <w:t>218 082,98</w:t>
            </w:r>
          </w:p>
        </w:tc>
        <w:tc>
          <w:tcPr>
            <w:tcW w:w="0" w:type="auto"/>
            <w:shd w:val="clear" w:color="auto" w:fill="auto"/>
          </w:tcPr>
          <w:p w14:paraId="5743725B" w14:textId="77777777" w:rsidR="008C5CFA" w:rsidRPr="009C3005" w:rsidRDefault="00E82A60" w:rsidP="00300A01">
            <w:pPr>
              <w:pStyle w:val="Text1"/>
              <w:spacing w:before="0" w:after="0"/>
              <w:ind w:left="0"/>
              <w:jc w:val="right"/>
              <w:rPr>
                <w:sz w:val="12"/>
                <w:szCs w:val="12"/>
              </w:rPr>
            </w:pPr>
            <w:r w:rsidRPr="009C3005">
              <w:rPr>
                <w:noProof/>
                <w:sz w:val="12"/>
                <w:szCs w:val="12"/>
              </w:rPr>
              <w:t>218 082,98</w:t>
            </w:r>
          </w:p>
        </w:tc>
        <w:tc>
          <w:tcPr>
            <w:tcW w:w="0" w:type="auto"/>
            <w:shd w:val="clear" w:color="auto" w:fill="auto"/>
          </w:tcPr>
          <w:p w14:paraId="5186EC11" w14:textId="77777777" w:rsidR="008C5CFA" w:rsidRPr="009C3005" w:rsidRDefault="00E82A60" w:rsidP="00300A01">
            <w:pPr>
              <w:pStyle w:val="Text1"/>
              <w:spacing w:before="0" w:after="0"/>
              <w:ind w:left="0"/>
              <w:jc w:val="right"/>
              <w:rPr>
                <w:sz w:val="12"/>
                <w:szCs w:val="12"/>
              </w:rPr>
            </w:pPr>
            <w:r w:rsidRPr="009C3005">
              <w:rPr>
                <w:noProof/>
                <w:sz w:val="12"/>
                <w:szCs w:val="12"/>
              </w:rPr>
              <w:t>0,00</w:t>
            </w:r>
          </w:p>
        </w:tc>
        <w:tc>
          <w:tcPr>
            <w:tcW w:w="0" w:type="auto"/>
            <w:shd w:val="clear" w:color="auto" w:fill="auto"/>
          </w:tcPr>
          <w:p w14:paraId="401B2E4E" w14:textId="77777777" w:rsidR="008C5CFA" w:rsidRPr="009C3005" w:rsidRDefault="00E82A60" w:rsidP="00300A01">
            <w:pPr>
              <w:pStyle w:val="Text1"/>
              <w:spacing w:before="0" w:after="0"/>
              <w:ind w:left="0"/>
              <w:jc w:val="right"/>
              <w:rPr>
                <w:sz w:val="12"/>
                <w:szCs w:val="12"/>
              </w:rPr>
            </w:pPr>
            <w:r w:rsidRPr="009C3005">
              <w:rPr>
                <w:noProof/>
                <w:sz w:val="12"/>
                <w:szCs w:val="12"/>
              </w:rPr>
              <w:t>1</w:t>
            </w:r>
          </w:p>
        </w:tc>
      </w:tr>
      <w:tr w:rsidR="006B2EC1" w14:paraId="4C2523CB" w14:textId="77777777" w:rsidTr="0047688D">
        <w:tc>
          <w:tcPr>
            <w:tcW w:w="0" w:type="auto"/>
            <w:shd w:val="clear" w:color="auto" w:fill="auto"/>
          </w:tcPr>
          <w:p w14:paraId="4D570C15" w14:textId="77777777" w:rsidR="008C5CFA" w:rsidRPr="009C3005" w:rsidRDefault="00E82A60" w:rsidP="00300A01">
            <w:pPr>
              <w:pStyle w:val="Text1"/>
              <w:spacing w:before="0" w:after="0"/>
              <w:ind w:left="0"/>
              <w:rPr>
                <w:sz w:val="12"/>
                <w:szCs w:val="12"/>
              </w:rPr>
            </w:pPr>
            <w:r>
              <w:rPr>
                <w:noProof/>
                <w:sz w:val="14"/>
                <w:szCs w:val="14"/>
                <w:lang w:val="fr-BE"/>
              </w:rPr>
              <w:t>4</w:t>
            </w:r>
          </w:p>
        </w:tc>
        <w:tc>
          <w:tcPr>
            <w:tcW w:w="0" w:type="auto"/>
            <w:shd w:val="clear" w:color="auto" w:fill="auto"/>
          </w:tcPr>
          <w:p w14:paraId="1F776702" w14:textId="77777777" w:rsidR="008C5CFA" w:rsidRPr="009C3005" w:rsidRDefault="00E82A60" w:rsidP="00300A01">
            <w:pPr>
              <w:pStyle w:val="Text1"/>
              <w:spacing w:before="0" w:after="0"/>
              <w:ind w:left="0"/>
              <w:rPr>
                <w:sz w:val="12"/>
                <w:szCs w:val="12"/>
              </w:rPr>
            </w:pPr>
            <w:r>
              <w:rPr>
                <w:noProof/>
                <w:sz w:val="12"/>
                <w:szCs w:val="12"/>
              </w:rPr>
              <w:t>EFRR</w:t>
            </w:r>
          </w:p>
        </w:tc>
        <w:tc>
          <w:tcPr>
            <w:tcW w:w="0" w:type="auto"/>
            <w:shd w:val="clear" w:color="auto" w:fill="auto"/>
          </w:tcPr>
          <w:p w14:paraId="42B78859" w14:textId="77777777" w:rsidR="008C5CFA" w:rsidRPr="009C3005" w:rsidRDefault="00E82A60" w:rsidP="00300A01">
            <w:pPr>
              <w:pStyle w:val="Text1"/>
              <w:spacing w:before="0" w:after="0"/>
              <w:ind w:left="0"/>
              <w:rPr>
                <w:sz w:val="12"/>
                <w:szCs w:val="12"/>
              </w:rPr>
            </w:pPr>
            <w:r>
              <w:rPr>
                <w:noProof/>
                <w:sz w:val="12"/>
                <w:szCs w:val="12"/>
              </w:rPr>
              <w:t>Słabiej rozwinięte</w:t>
            </w:r>
          </w:p>
        </w:tc>
        <w:tc>
          <w:tcPr>
            <w:tcW w:w="0" w:type="auto"/>
            <w:shd w:val="clear" w:color="auto" w:fill="auto"/>
          </w:tcPr>
          <w:p w14:paraId="15F6A942" w14:textId="77777777" w:rsidR="008C5CFA" w:rsidRPr="009C3005" w:rsidRDefault="00E82A60" w:rsidP="00300A01">
            <w:pPr>
              <w:pStyle w:val="Text1"/>
              <w:spacing w:before="0" w:after="0"/>
              <w:ind w:left="0"/>
              <w:rPr>
                <w:sz w:val="12"/>
                <w:szCs w:val="12"/>
              </w:rPr>
            </w:pPr>
            <w:r>
              <w:rPr>
                <w:noProof/>
                <w:sz w:val="12"/>
                <w:szCs w:val="12"/>
              </w:rPr>
              <w:t>017</w:t>
            </w:r>
          </w:p>
        </w:tc>
        <w:tc>
          <w:tcPr>
            <w:tcW w:w="0" w:type="auto"/>
            <w:shd w:val="clear" w:color="auto" w:fill="auto"/>
          </w:tcPr>
          <w:p w14:paraId="32C8042C"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3E54D27E" w14:textId="77777777" w:rsidR="008C5CFA" w:rsidRPr="009C3005" w:rsidRDefault="00E82A60" w:rsidP="00300A01">
            <w:pPr>
              <w:pStyle w:val="Text1"/>
              <w:spacing w:before="0" w:after="0"/>
              <w:ind w:left="0"/>
              <w:rPr>
                <w:sz w:val="12"/>
                <w:szCs w:val="12"/>
              </w:rPr>
            </w:pPr>
            <w:r>
              <w:rPr>
                <w:noProof/>
                <w:sz w:val="12"/>
                <w:szCs w:val="12"/>
              </w:rPr>
              <w:t>03</w:t>
            </w:r>
          </w:p>
        </w:tc>
        <w:tc>
          <w:tcPr>
            <w:tcW w:w="0" w:type="auto"/>
            <w:shd w:val="clear" w:color="auto" w:fill="auto"/>
          </w:tcPr>
          <w:p w14:paraId="571C02B0"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68A00EC0" w14:textId="77777777" w:rsidR="008C5CFA" w:rsidRPr="009C3005" w:rsidRDefault="00E82A60" w:rsidP="00300A01">
            <w:pPr>
              <w:pStyle w:val="Text1"/>
              <w:spacing w:before="0" w:after="0"/>
              <w:ind w:left="0"/>
              <w:rPr>
                <w:sz w:val="12"/>
                <w:szCs w:val="12"/>
              </w:rPr>
            </w:pPr>
            <w:r>
              <w:rPr>
                <w:noProof/>
                <w:sz w:val="12"/>
                <w:szCs w:val="12"/>
              </w:rPr>
              <w:t>06</w:t>
            </w:r>
          </w:p>
        </w:tc>
        <w:tc>
          <w:tcPr>
            <w:tcW w:w="0" w:type="auto"/>
            <w:shd w:val="clear" w:color="auto" w:fill="auto"/>
          </w:tcPr>
          <w:p w14:paraId="5F62BC68" w14:textId="77777777" w:rsidR="008C5CFA" w:rsidRPr="009C3005" w:rsidRDefault="00E82A60" w:rsidP="00300A01">
            <w:pPr>
              <w:pStyle w:val="Text1"/>
              <w:spacing w:before="0" w:after="0"/>
              <w:ind w:left="0"/>
              <w:rPr>
                <w:sz w:val="12"/>
                <w:szCs w:val="12"/>
              </w:rPr>
            </w:pPr>
            <w:r>
              <w:rPr>
                <w:sz w:val="12"/>
                <w:szCs w:val="12"/>
              </w:rPr>
              <w:t xml:space="preserve"> </w:t>
            </w:r>
          </w:p>
        </w:tc>
        <w:tc>
          <w:tcPr>
            <w:tcW w:w="0" w:type="auto"/>
            <w:shd w:val="clear" w:color="auto" w:fill="auto"/>
          </w:tcPr>
          <w:p w14:paraId="69E2C7C2" w14:textId="77777777" w:rsidR="008C5CFA" w:rsidRPr="009C3005" w:rsidRDefault="00E82A60" w:rsidP="00300A01">
            <w:pPr>
              <w:pStyle w:val="Text1"/>
              <w:spacing w:before="0" w:after="0"/>
              <w:ind w:left="0"/>
              <w:rPr>
                <w:sz w:val="12"/>
                <w:szCs w:val="12"/>
              </w:rPr>
            </w:pPr>
            <w:r>
              <w:rPr>
                <w:noProof/>
                <w:sz w:val="12"/>
                <w:szCs w:val="12"/>
              </w:rPr>
              <w:t>18</w:t>
            </w:r>
          </w:p>
        </w:tc>
        <w:tc>
          <w:tcPr>
            <w:tcW w:w="0" w:type="auto"/>
            <w:shd w:val="clear" w:color="auto" w:fill="auto"/>
          </w:tcPr>
          <w:p w14:paraId="3C163F7C" w14:textId="77777777" w:rsidR="008C5CFA" w:rsidRPr="009C3005" w:rsidRDefault="00E82A60" w:rsidP="00300A01">
            <w:pPr>
              <w:pStyle w:val="Text1"/>
              <w:spacing w:before="0" w:after="0"/>
              <w:ind w:left="0"/>
              <w:rPr>
                <w:sz w:val="12"/>
                <w:szCs w:val="12"/>
              </w:rPr>
            </w:pPr>
            <w:r>
              <w:rPr>
                <w:noProof/>
                <w:sz w:val="12"/>
                <w:szCs w:val="12"/>
              </w:rPr>
              <w:t>PL33</w:t>
            </w:r>
          </w:p>
        </w:tc>
        <w:tc>
          <w:tcPr>
            <w:tcW w:w="0" w:type="auto"/>
            <w:shd w:val="clear" w:color="auto" w:fill="auto"/>
          </w:tcPr>
          <w:p w14:paraId="3C8E4200" w14:textId="77777777" w:rsidR="008C5CFA" w:rsidRPr="009C3005" w:rsidRDefault="00E82A60" w:rsidP="00300A01">
            <w:pPr>
              <w:pStyle w:val="Text1"/>
              <w:spacing w:before="0" w:after="0"/>
              <w:ind w:left="0"/>
              <w:jc w:val="right"/>
              <w:rPr>
                <w:sz w:val="12"/>
                <w:szCs w:val="12"/>
              </w:rPr>
            </w:pPr>
            <w:r w:rsidRPr="009C3005">
              <w:rPr>
                <w:noProof/>
                <w:sz w:val="12"/>
                <w:szCs w:val="12"/>
              </w:rPr>
              <w:t>569 208,14</w:t>
            </w:r>
          </w:p>
        </w:tc>
        <w:tc>
          <w:tcPr>
            <w:tcW w:w="0" w:type="auto"/>
            <w:shd w:val="clear" w:color="auto" w:fill="auto"/>
          </w:tcPr>
          <w:p w14:paraId="3886DE8E" w14:textId="77777777" w:rsidR="008C5CFA" w:rsidRPr="009C3005" w:rsidRDefault="00E82A60" w:rsidP="00300A01">
            <w:pPr>
              <w:pStyle w:val="Text1"/>
              <w:spacing w:before="0" w:after="0"/>
              <w:ind w:left="0"/>
              <w:jc w:val="right"/>
              <w:rPr>
                <w:sz w:val="12"/>
                <w:szCs w:val="12"/>
              </w:rPr>
            </w:pPr>
            <w:r w:rsidRPr="009C3005">
              <w:rPr>
                <w:noProof/>
                <w:sz w:val="12"/>
                <w:szCs w:val="12"/>
              </w:rPr>
              <w:t>569 208,14</w:t>
            </w:r>
          </w:p>
        </w:tc>
        <w:tc>
          <w:tcPr>
            <w:tcW w:w="0" w:type="auto"/>
            <w:shd w:val="clear" w:color="auto" w:fill="auto"/>
          </w:tcPr>
          <w:p w14:paraId="2914BE49" w14:textId="77777777" w:rsidR="008C5CFA" w:rsidRPr="009C3005" w:rsidRDefault="00E82A60" w:rsidP="00300A01">
            <w:pPr>
              <w:pStyle w:val="Text1"/>
              <w:spacing w:before="0" w:after="0"/>
              <w:ind w:left="0"/>
              <w:jc w:val="right"/>
              <w:rPr>
                <w:sz w:val="12"/>
                <w:szCs w:val="12"/>
              </w:rPr>
            </w:pPr>
            <w:r w:rsidRPr="009C3005">
              <w:rPr>
                <w:noProof/>
                <w:sz w:val="12"/>
                <w:szCs w:val="12"/>
              </w:rPr>
              <w:t>224 724,31</w:t>
            </w:r>
          </w:p>
        </w:tc>
        <w:tc>
          <w:tcPr>
            <w:tcW w:w="0" w:type="auto"/>
            <w:shd w:val="clear" w:color="auto" w:fill="auto"/>
          </w:tcPr>
          <w:p w14:paraId="1BD4C20D" w14:textId="77777777" w:rsidR="008C5CFA" w:rsidRPr="009C3005" w:rsidRDefault="00E82A60" w:rsidP="00300A01">
            <w:pPr>
              <w:pStyle w:val="Text1"/>
              <w:spacing w:before="0" w:after="0"/>
              <w:ind w:left="0"/>
              <w:jc w:val="right"/>
              <w:rPr>
                <w:sz w:val="12"/>
                <w:szCs w:val="12"/>
              </w:rPr>
            </w:pPr>
            <w:r w:rsidRPr="009C3005">
              <w:rPr>
                <w:noProof/>
                <w:sz w:val="12"/>
                <w:szCs w:val="12"/>
              </w:rPr>
              <w:t>3</w:t>
            </w:r>
          </w:p>
        </w:tc>
      </w:tr>
      <w:tr w:rsidR="006B2EC1" w14:paraId="100BF06F" w14:textId="77777777" w:rsidTr="0047688D">
        <w:tc>
          <w:tcPr>
            <w:tcW w:w="0" w:type="auto"/>
            <w:shd w:val="clear" w:color="auto" w:fill="auto"/>
          </w:tcPr>
          <w:p w14:paraId="47DB0FFE" w14:textId="77777777" w:rsidR="008C5CFA" w:rsidRPr="009C3005" w:rsidRDefault="00E82A60" w:rsidP="00300A01">
            <w:pPr>
              <w:pStyle w:val="Text1"/>
              <w:spacing w:before="0" w:after="0"/>
              <w:ind w:left="0"/>
              <w:rPr>
                <w:sz w:val="12"/>
                <w:szCs w:val="12"/>
              </w:rPr>
            </w:pPr>
            <w:r>
              <w:rPr>
                <w:noProof/>
                <w:sz w:val="14"/>
                <w:szCs w:val="14"/>
                <w:lang w:val="fr-BE"/>
              </w:rPr>
              <w:t>4</w:t>
            </w:r>
          </w:p>
        </w:tc>
        <w:tc>
          <w:tcPr>
            <w:tcW w:w="0" w:type="auto"/>
            <w:shd w:val="clear" w:color="auto" w:fill="auto"/>
          </w:tcPr>
          <w:p w14:paraId="3A0156AB" w14:textId="77777777" w:rsidR="008C5CFA" w:rsidRPr="009C3005" w:rsidRDefault="00E82A60" w:rsidP="00300A01">
            <w:pPr>
              <w:pStyle w:val="Text1"/>
              <w:spacing w:before="0" w:after="0"/>
              <w:ind w:left="0"/>
              <w:rPr>
                <w:sz w:val="12"/>
                <w:szCs w:val="12"/>
              </w:rPr>
            </w:pPr>
            <w:r>
              <w:rPr>
                <w:noProof/>
                <w:sz w:val="12"/>
                <w:szCs w:val="12"/>
              </w:rPr>
              <w:t>EFRR</w:t>
            </w:r>
          </w:p>
        </w:tc>
        <w:tc>
          <w:tcPr>
            <w:tcW w:w="0" w:type="auto"/>
            <w:shd w:val="clear" w:color="auto" w:fill="auto"/>
          </w:tcPr>
          <w:p w14:paraId="6066BE54" w14:textId="77777777" w:rsidR="008C5CFA" w:rsidRPr="009C3005" w:rsidRDefault="00E82A60" w:rsidP="00300A01">
            <w:pPr>
              <w:pStyle w:val="Text1"/>
              <w:spacing w:before="0" w:after="0"/>
              <w:ind w:left="0"/>
              <w:rPr>
                <w:sz w:val="12"/>
                <w:szCs w:val="12"/>
              </w:rPr>
            </w:pPr>
            <w:r>
              <w:rPr>
                <w:noProof/>
                <w:sz w:val="12"/>
                <w:szCs w:val="12"/>
              </w:rPr>
              <w:t>Słabiej rozwinięte</w:t>
            </w:r>
          </w:p>
        </w:tc>
        <w:tc>
          <w:tcPr>
            <w:tcW w:w="0" w:type="auto"/>
            <w:shd w:val="clear" w:color="auto" w:fill="auto"/>
          </w:tcPr>
          <w:p w14:paraId="60A07F0B" w14:textId="77777777" w:rsidR="008C5CFA" w:rsidRPr="009C3005" w:rsidRDefault="00E82A60" w:rsidP="00300A01">
            <w:pPr>
              <w:pStyle w:val="Text1"/>
              <w:spacing w:before="0" w:after="0"/>
              <w:ind w:left="0"/>
              <w:rPr>
                <w:sz w:val="12"/>
                <w:szCs w:val="12"/>
              </w:rPr>
            </w:pPr>
            <w:r>
              <w:rPr>
                <w:noProof/>
                <w:sz w:val="12"/>
                <w:szCs w:val="12"/>
              </w:rPr>
              <w:t>018</w:t>
            </w:r>
          </w:p>
        </w:tc>
        <w:tc>
          <w:tcPr>
            <w:tcW w:w="0" w:type="auto"/>
            <w:shd w:val="clear" w:color="auto" w:fill="auto"/>
          </w:tcPr>
          <w:p w14:paraId="0836C3BB"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37FFA4A4" w14:textId="77777777" w:rsidR="008C5CFA" w:rsidRPr="009C3005" w:rsidRDefault="00E82A60" w:rsidP="00300A01">
            <w:pPr>
              <w:pStyle w:val="Text1"/>
              <w:spacing w:before="0" w:after="0"/>
              <w:ind w:left="0"/>
              <w:rPr>
                <w:sz w:val="12"/>
                <w:szCs w:val="12"/>
              </w:rPr>
            </w:pPr>
            <w:r>
              <w:rPr>
                <w:noProof/>
                <w:sz w:val="12"/>
                <w:szCs w:val="12"/>
              </w:rPr>
              <w:t>02</w:t>
            </w:r>
          </w:p>
        </w:tc>
        <w:tc>
          <w:tcPr>
            <w:tcW w:w="0" w:type="auto"/>
            <w:shd w:val="clear" w:color="auto" w:fill="auto"/>
          </w:tcPr>
          <w:p w14:paraId="655BFAE5"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14B522CC" w14:textId="77777777" w:rsidR="008C5CFA" w:rsidRPr="009C3005" w:rsidRDefault="00E82A60" w:rsidP="00300A01">
            <w:pPr>
              <w:pStyle w:val="Text1"/>
              <w:spacing w:before="0" w:after="0"/>
              <w:ind w:left="0"/>
              <w:rPr>
                <w:sz w:val="12"/>
                <w:szCs w:val="12"/>
              </w:rPr>
            </w:pPr>
            <w:r>
              <w:rPr>
                <w:noProof/>
                <w:sz w:val="12"/>
                <w:szCs w:val="12"/>
              </w:rPr>
              <w:t>06</w:t>
            </w:r>
          </w:p>
        </w:tc>
        <w:tc>
          <w:tcPr>
            <w:tcW w:w="0" w:type="auto"/>
            <w:shd w:val="clear" w:color="auto" w:fill="auto"/>
          </w:tcPr>
          <w:p w14:paraId="0404AC67" w14:textId="77777777" w:rsidR="008C5CFA" w:rsidRPr="009C3005" w:rsidRDefault="00E82A60" w:rsidP="00300A01">
            <w:pPr>
              <w:pStyle w:val="Text1"/>
              <w:spacing w:before="0" w:after="0"/>
              <w:ind w:left="0"/>
              <w:rPr>
                <w:sz w:val="12"/>
                <w:szCs w:val="12"/>
              </w:rPr>
            </w:pPr>
            <w:r>
              <w:rPr>
                <w:sz w:val="12"/>
                <w:szCs w:val="12"/>
              </w:rPr>
              <w:t xml:space="preserve"> </w:t>
            </w:r>
          </w:p>
        </w:tc>
        <w:tc>
          <w:tcPr>
            <w:tcW w:w="0" w:type="auto"/>
            <w:shd w:val="clear" w:color="auto" w:fill="auto"/>
          </w:tcPr>
          <w:p w14:paraId="4256990D" w14:textId="77777777" w:rsidR="008C5CFA" w:rsidRPr="009C3005" w:rsidRDefault="00E82A60" w:rsidP="00300A01">
            <w:pPr>
              <w:pStyle w:val="Text1"/>
              <w:spacing w:before="0" w:after="0"/>
              <w:ind w:left="0"/>
              <w:rPr>
                <w:sz w:val="12"/>
                <w:szCs w:val="12"/>
              </w:rPr>
            </w:pPr>
            <w:r>
              <w:rPr>
                <w:noProof/>
                <w:sz w:val="12"/>
                <w:szCs w:val="12"/>
              </w:rPr>
              <w:t>11</w:t>
            </w:r>
          </w:p>
        </w:tc>
        <w:tc>
          <w:tcPr>
            <w:tcW w:w="0" w:type="auto"/>
            <w:shd w:val="clear" w:color="auto" w:fill="auto"/>
          </w:tcPr>
          <w:p w14:paraId="0F3A52F4" w14:textId="77777777" w:rsidR="008C5CFA" w:rsidRPr="009C3005" w:rsidRDefault="00E82A60" w:rsidP="00300A01">
            <w:pPr>
              <w:pStyle w:val="Text1"/>
              <w:spacing w:before="0" w:after="0"/>
              <w:ind w:left="0"/>
              <w:rPr>
                <w:sz w:val="12"/>
                <w:szCs w:val="12"/>
              </w:rPr>
            </w:pPr>
            <w:r>
              <w:rPr>
                <w:noProof/>
                <w:sz w:val="12"/>
                <w:szCs w:val="12"/>
              </w:rPr>
              <w:t>PL33</w:t>
            </w:r>
          </w:p>
        </w:tc>
        <w:tc>
          <w:tcPr>
            <w:tcW w:w="0" w:type="auto"/>
            <w:shd w:val="clear" w:color="auto" w:fill="auto"/>
          </w:tcPr>
          <w:p w14:paraId="4B8D1C34" w14:textId="77777777" w:rsidR="008C5CFA" w:rsidRPr="009C3005" w:rsidRDefault="00E82A60" w:rsidP="00300A01">
            <w:pPr>
              <w:pStyle w:val="Text1"/>
              <w:spacing w:before="0" w:after="0"/>
              <w:ind w:left="0"/>
              <w:jc w:val="right"/>
              <w:rPr>
                <w:sz w:val="12"/>
                <w:szCs w:val="12"/>
              </w:rPr>
            </w:pPr>
            <w:r w:rsidRPr="009C3005">
              <w:rPr>
                <w:noProof/>
                <w:sz w:val="12"/>
                <w:szCs w:val="12"/>
              </w:rPr>
              <w:t>3 263 356,36</w:t>
            </w:r>
          </w:p>
        </w:tc>
        <w:tc>
          <w:tcPr>
            <w:tcW w:w="0" w:type="auto"/>
            <w:shd w:val="clear" w:color="auto" w:fill="auto"/>
          </w:tcPr>
          <w:p w14:paraId="7F7FCE41" w14:textId="77777777" w:rsidR="008C5CFA" w:rsidRPr="009C3005" w:rsidRDefault="00E82A60" w:rsidP="00300A01">
            <w:pPr>
              <w:pStyle w:val="Text1"/>
              <w:spacing w:before="0" w:after="0"/>
              <w:ind w:left="0"/>
              <w:jc w:val="right"/>
              <w:rPr>
                <w:sz w:val="12"/>
                <w:szCs w:val="12"/>
              </w:rPr>
            </w:pPr>
            <w:r w:rsidRPr="009C3005">
              <w:rPr>
                <w:noProof/>
                <w:sz w:val="12"/>
                <w:szCs w:val="12"/>
              </w:rPr>
              <w:t>2 773 852,90</w:t>
            </w:r>
          </w:p>
        </w:tc>
        <w:tc>
          <w:tcPr>
            <w:tcW w:w="0" w:type="auto"/>
            <w:shd w:val="clear" w:color="auto" w:fill="auto"/>
          </w:tcPr>
          <w:p w14:paraId="65188BDF" w14:textId="77777777" w:rsidR="008C5CFA" w:rsidRPr="009C3005" w:rsidRDefault="00E82A60" w:rsidP="00300A01">
            <w:pPr>
              <w:pStyle w:val="Text1"/>
              <w:spacing w:before="0" w:after="0"/>
              <w:ind w:left="0"/>
              <w:jc w:val="right"/>
              <w:rPr>
                <w:sz w:val="12"/>
                <w:szCs w:val="12"/>
              </w:rPr>
            </w:pPr>
            <w:r w:rsidRPr="009C3005">
              <w:rPr>
                <w:noProof/>
                <w:sz w:val="12"/>
                <w:szCs w:val="12"/>
              </w:rPr>
              <w:t>1 215 361,91</w:t>
            </w:r>
          </w:p>
        </w:tc>
        <w:tc>
          <w:tcPr>
            <w:tcW w:w="0" w:type="auto"/>
            <w:shd w:val="clear" w:color="auto" w:fill="auto"/>
          </w:tcPr>
          <w:p w14:paraId="79BAD861" w14:textId="77777777" w:rsidR="008C5CFA" w:rsidRPr="009C3005" w:rsidRDefault="00E82A60" w:rsidP="00300A01">
            <w:pPr>
              <w:pStyle w:val="Text1"/>
              <w:spacing w:before="0" w:after="0"/>
              <w:ind w:left="0"/>
              <w:jc w:val="right"/>
              <w:rPr>
                <w:sz w:val="12"/>
                <w:szCs w:val="12"/>
              </w:rPr>
            </w:pPr>
            <w:r w:rsidRPr="009C3005">
              <w:rPr>
                <w:noProof/>
                <w:sz w:val="12"/>
                <w:szCs w:val="12"/>
              </w:rPr>
              <w:t>2</w:t>
            </w:r>
          </w:p>
        </w:tc>
      </w:tr>
      <w:tr w:rsidR="006B2EC1" w14:paraId="3283B2EC" w14:textId="77777777" w:rsidTr="0047688D">
        <w:tc>
          <w:tcPr>
            <w:tcW w:w="0" w:type="auto"/>
            <w:shd w:val="clear" w:color="auto" w:fill="auto"/>
          </w:tcPr>
          <w:p w14:paraId="35139B15" w14:textId="77777777" w:rsidR="008C5CFA" w:rsidRPr="009C3005" w:rsidRDefault="00E82A60" w:rsidP="00300A01">
            <w:pPr>
              <w:pStyle w:val="Text1"/>
              <w:spacing w:before="0" w:after="0"/>
              <w:ind w:left="0"/>
              <w:rPr>
                <w:sz w:val="12"/>
                <w:szCs w:val="12"/>
              </w:rPr>
            </w:pPr>
            <w:r>
              <w:rPr>
                <w:noProof/>
                <w:sz w:val="14"/>
                <w:szCs w:val="14"/>
                <w:lang w:val="fr-BE"/>
              </w:rPr>
              <w:t>4</w:t>
            </w:r>
          </w:p>
        </w:tc>
        <w:tc>
          <w:tcPr>
            <w:tcW w:w="0" w:type="auto"/>
            <w:shd w:val="clear" w:color="auto" w:fill="auto"/>
          </w:tcPr>
          <w:p w14:paraId="4C31366A" w14:textId="77777777" w:rsidR="008C5CFA" w:rsidRPr="009C3005" w:rsidRDefault="00E82A60" w:rsidP="00300A01">
            <w:pPr>
              <w:pStyle w:val="Text1"/>
              <w:spacing w:before="0" w:after="0"/>
              <w:ind w:left="0"/>
              <w:rPr>
                <w:sz w:val="12"/>
                <w:szCs w:val="12"/>
              </w:rPr>
            </w:pPr>
            <w:r>
              <w:rPr>
                <w:noProof/>
                <w:sz w:val="12"/>
                <w:szCs w:val="12"/>
              </w:rPr>
              <w:t>EFRR</w:t>
            </w:r>
          </w:p>
        </w:tc>
        <w:tc>
          <w:tcPr>
            <w:tcW w:w="0" w:type="auto"/>
            <w:shd w:val="clear" w:color="auto" w:fill="auto"/>
          </w:tcPr>
          <w:p w14:paraId="17016CC8" w14:textId="77777777" w:rsidR="008C5CFA" w:rsidRPr="009C3005" w:rsidRDefault="00E82A60" w:rsidP="00300A01">
            <w:pPr>
              <w:pStyle w:val="Text1"/>
              <w:spacing w:before="0" w:after="0"/>
              <w:ind w:left="0"/>
              <w:rPr>
                <w:sz w:val="12"/>
                <w:szCs w:val="12"/>
              </w:rPr>
            </w:pPr>
            <w:r>
              <w:rPr>
                <w:noProof/>
                <w:sz w:val="12"/>
                <w:szCs w:val="12"/>
              </w:rPr>
              <w:t>Słabiej rozwinięte</w:t>
            </w:r>
          </w:p>
        </w:tc>
        <w:tc>
          <w:tcPr>
            <w:tcW w:w="0" w:type="auto"/>
            <w:shd w:val="clear" w:color="auto" w:fill="auto"/>
          </w:tcPr>
          <w:p w14:paraId="2CB6FA31" w14:textId="77777777" w:rsidR="008C5CFA" w:rsidRPr="009C3005" w:rsidRDefault="00E82A60" w:rsidP="00300A01">
            <w:pPr>
              <w:pStyle w:val="Text1"/>
              <w:spacing w:before="0" w:after="0"/>
              <w:ind w:left="0"/>
              <w:rPr>
                <w:sz w:val="12"/>
                <w:szCs w:val="12"/>
              </w:rPr>
            </w:pPr>
            <w:r>
              <w:rPr>
                <w:noProof/>
                <w:sz w:val="12"/>
                <w:szCs w:val="12"/>
              </w:rPr>
              <w:t>019</w:t>
            </w:r>
          </w:p>
        </w:tc>
        <w:tc>
          <w:tcPr>
            <w:tcW w:w="0" w:type="auto"/>
            <w:shd w:val="clear" w:color="auto" w:fill="auto"/>
          </w:tcPr>
          <w:p w14:paraId="02A8F2DC"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26799939" w14:textId="77777777" w:rsidR="008C5CFA" w:rsidRPr="009C3005" w:rsidRDefault="00E82A60" w:rsidP="00300A01">
            <w:pPr>
              <w:pStyle w:val="Text1"/>
              <w:spacing w:before="0" w:after="0"/>
              <w:ind w:left="0"/>
              <w:rPr>
                <w:sz w:val="12"/>
                <w:szCs w:val="12"/>
              </w:rPr>
            </w:pPr>
            <w:r>
              <w:rPr>
                <w:noProof/>
                <w:sz w:val="12"/>
                <w:szCs w:val="12"/>
              </w:rPr>
              <w:t>02</w:t>
            </w:r>
          </w:p>
        </w:tc>
        <w:tc>
          <w:tcPr>
            <w:tcW w:w="0" w:type="auto"/>
            <w:shd w:val="clear" w:color="auto" w:fill="auto"/>
          </w:tcPr>
          <w:p w14:paraId="21F7D523"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3BB85763" w14:textId="77777777" w:rsidR="008C5CFA" w:rsidRPr="009C3005" w:rsidRDefault="00E82A60" w:rsidP="00300A01">
            <w:pPr>
              <w:pStyle w:val="Text1"/>
              <w:spacing w:before="0" w:after="0"/>
              <w:ind w:left="0"/>
              <w:rPr>
                <w:sz w:val="12"/>
                <w:szCs w:val="12"/>
              </w:rPr>
            </w:pPr>
            <w:r>
              <w:rPr>
                <w:noProof/>
                <w:sz w:val="12"/>
                <w:szCs w:val="12"/>
              </w:rPr>
              <w:t>06</w:t>
            </w:r>
          </w:p>
        </w:tc>
        <w:tc>
          <w:tcPr>
            <w:tcW w:w="0" w:type="auto"/>
            <w:shd w:val="clear" w:color="auto" w:fill="auto"/>
          </w:tcPr>
          <w:p w14:paraId="29FD493B" w14:textId="77777777" w:rsidR="008C5CFA" w:rsidRPr="009C3005" w:rsidRDefault="00E82A60" w:rsidP="00300A01">
            <w:pPr>
              <w:pStyle w:val="Text1"/>
              <w:spacing w:before="0" w:after="0"/>
              <w:ind w:left="0"/>
              <w:rPr>
                <w:sz w:val="12"/>
                <w:szCs w:val="12"/>
              </w:rPr>
            </w:pPr>
            <w:r>
              <w:rPr>
                <w:sz w:val="12"/>
                <w:szCs w:val="12"/>
              </w:rPr>
              <w:t xml:space="preserve"> </w:t>
            </w:r>
          </w:p>
        </w:tc>
        <w:tc>
          <w:tcPr>
            <w:tcW w:w="0" w:type="auto"/>
            <w:shd w:val="clear" w:color="auto" w:fill="auto"/>
          </w:tcPr>
          <w:p w14:paraId="74EF3539" w14:textId="77777777" w:rsidR="008C5CFA" w:rsidRPr="009C3005" w:rsidRDefault="00E82A60" w:rsidP="00300A01">
            <w:pPr>
              <w:pStyle w:val="Text1"/>
              <w:spacing w:before="0" w:after="0"/>
              <w:ind w:left="0"/>
              <w:rPr>
                <w:sz w:val="12"/>
                <w:szCs w:val="12"/>
              </w:rPr>
            </w:pPr>
            <w:r>
              <w:rPr>
                <w:noProof/>
                <w:sz w:val="12"/>
                <w:szCs w:val="12"/>
              </w:rPr>
              <w:t>18</w:t>
            </w:r>
          </w:p>
        </w:tc>
        <w:tc>
          <w:tcPr>
            <w:tcW w:w="0" w:type="auto"/>
            <w:shd w:val="clear" w:color="auto" w:fill="auto"/>
          </w:tcPr>
          <w:p w14:paraId="17D9AEEA" w14:textId="77777777" w:rsidR="008C5CFA" w:rsidRPr="009C3005" w:rsidRDefault="00E82A60" w:rsidP="00300A01">
            <w:pPr>
              <w:pStyle w:val="Text1"/>
              <w:spacing w:before="0" w:after="0"/>
              <w:ind w:left="0"/>
              <w:rPr>
                <w:sz w:val="12"/>
                <w:szCs w:val="12"/>
              </w:rPr>
            </w:pPr>
            <w:r>
              <w:rPr>
                <w:noProof/>
                <w:sz w:val="12"/>
                <w:szCs w:val="12"/>
              </w:rPr>
              <w:t>PL33</w:t>
            </w:r>
          </w:p>
        </w:tc>
        <w:tc>
          <w:tcPr>
            <w:tcW w:w="0" w:type="auto"/>
            <w:shd w:val="clear" w:color="auto" w:fill="auto"/>
          </w:tcPr>
          <w:p w14:paraId="15180D5E" w14:textId="77777777" w:rsidR="008C5CFA" w:rsidRPr="009C3005" w:rsidRDefault="00E82A60" w:rsidP="00300A01">
            <w:pPr>
              <w:pStyle w:val="Text1"/>
              <w:spacing w:before="0" w:after="0"/>
              <w:ind w:left="0"/>
              <w:jc w:val="right"/>
              <w:rPr>
                <w:sz w:val="12"/>
                <w:szCs w:val="12"/>
              </w:rPr>
            </w:pPr>
            <w:r w:rsidRPr="009C3005">
              <w:rPr>
                <w:noProof/>
                <w:sz w:val="12"/>
                <w:szCs w:val="12"/>
              </w:rPr>
              <w:t>2 688 292,63</w:t>
            </w:r>
          </w:p>
        </w:tc>
        <w:tc>
          <w:tcPr>
            <w:tcW w:w="0" w:type="auto"/>
            <w:shd w:val="clear" w:color="auto" w:fill="auto"/>
          </w:tcPr>
          <w:p w14:paraId="56C59821" w14:textId="77777777" w:rsidR="008C5CFA" w:rsidRPr="009C3005" w:rsidRDefault="00E82A60" w:rsidP="00300A01">
            <w:pPr>
              <w:pStyle w:val="Text1"/>
              <w:spacing w:before="0" w:after="0"/>
              <w:ind w:left="0"/>
              <w:jc w:val="right"/>
              <w:rPr>
                <w:sz w:val="12"/>
                <w:szCs w:val="12"/>
              </w:rPr>
            </w:pPr>
            <w:r w:rsidRPr="009C3005">
              <w:rPr>
                <w:noProof/>
                <w:sz w:val="12"/>
                <w:szCs w:val="12"/>
              </w:rPr>
              <w:t>2 688 292,63</w:t>
            </w:r>
          </w:p>
        </w:tc>
        <w:tc>
          <w:tcPr>
            <w:tcW w:w="0" w:type="auto"/>
            <w:shd w:val="clear" w:color="auto" w:fill="auto"/>
          </w:tcPr>
          <w:p w14:paraId="756A00AD" w14:textId="77777777" w:rsidR="008C5CFA" w:rsidRPr="009C3005" w:rsidRDefault="00E82A60" w:rsidP="00300A01">
            <w:pPr>
              <w:pStyle w:val="Text1"/>
              <w:spacing w:before="0" w:after="0"/>
              <w:ind w:left="0"/>
              <w:jc w:val="right"/>
              <w:rPr>
                <w:sz w:val="12"/>
                <w:szCs w:val="12"/>
              </w:rPr>
            </w:pPr>
            <w:r w:rsidRPr="009C3005">
              <w:rPr>
                <w:noProof/>
                <w:sz w:val="12"/>
                <w:szCs w:val="12"/>
              </w:rPr>
              <w:t>0,00</w:t>
            </w:r>
          </w:p>
        </w:tc>
        <w:tc>
          <w:tcPr>
            <w:tcW w:w="0" w:type="auto"/>
            <w:shd w:val="clear" w:color="auto" w:fill="auto"/>
          </w:tcPr>
          <w:p w14:paraId="7EA8F31E" w14:textId="77777777" w:rsidR="008C5CFA" w:rsidRPr="009C3005" w:rsidRDefault="00E82A60" w:rsidP="00300A01">
            <w:pPr>
              <w:pStyle w:val="Text1"/>
              <w:spacing w:before="0" w:after="0"/>
              <w:ind w:left="0"/>
              <w:jc w:val="right"/>
              <w:rPr>
                <w:sz w:val="12"/>
                <w:szCs w:val="12"/>
              </w:rPr>
            </w:pPr>
            <w:r w:rsidRPr="009C3005">
              <w:rPr>
                <w:noProof/>
                <w:sz w:val="12"/>
                <w:szCs w:val="12"/>
              </w:rPr>
              <w:t>2</w:t>
            </w:r>
          </w:p>
        </w:tc>
      </w:tr>
      <w:tr w:rsidR="006B2EC1" w14:paraId="53A5E329" w14:textId="77777777" w:rsidTr="0047688D">
        <w:tc>
          <w:tcPr>
            <w:tcW w:w="0" w:type="auto"/>
            <w:shd w:val="clear" w:color="auto" w:fill="auto"/>
          </w:tcPr>
          <w:p w14:paraId="0173C64E" w14:textId="77777777" w:rsidR="008C5CFA" w:rsidRPr="009C3005" w:rsidRDefault="00E82A60" w:rsidP="00300A01">
            <w:pPr>
              <w:pStyle w:val="Text1"/>
              <w:spacing w:before="0" w:after="0"/>
              <w:ind w:left="0"/>
              <w:rPr>
                <w:sz w:val="12"/>
                <w:szCs w:val="12"/>
              </w:rPr>
            </w:pPr>
            <w:r>
              <w:rPr>
                <w:noProof/>
                <w:sz w:val="14"/>
                <w:szCs w:val="14"/>
                <w:lang w:val="fr-BE"/>
              </w:rPr>
              <w:t>4</w:t>
            </w:r>
          </w:p>
        </w:tc>
        <w:tc>
          <w:tcPr>
            <w:tcW w:w="0" w:type="auto"/>
            <w:shd w:val="clear" w:color="auto" w:fill="auto"/>
          </w:tcPr>
          <w:p w14:paraId="518B4526" w14:textId="77777777" w:rsidR="008C5CFA" w:rsidRPr="009C3005" w:rsidRDefault="00E82A60" w:rsidP="00300A01">
            <w:pPr>
              <w:pStyle w:val="Text1"/>
              <w:spacing w:before="0" w:after="0"/>
              <w:ind w:left="0"/>
              <w:rPr>
                <w:sz w:val="12"/>
                <w:szCs w:val="12"/>
              </w:rPr>
            </w:pPr>
            <w:r>
              <w:rPr>
                <w:noProof/>
                <w:sz w:val="12"/>
                <w:szCs w:val="12"/>
              </w:rPr>
              <w:t>EFRR</w:t>
            </w:r>
          </w:p>
        </w:tc>
        <w:tc>
          <w:tcPr>
            <w:tcW w:w="0" w:type="auto"/>
            <w:shd w:val="clear" w:color="auto" w:fill="auto"/>
          </w:tcPr>
          <w:p w14:paraId="66E8A017" w14:textId="77777777" w:rsidR="008C5CFA" w:rsidRPr="009C3005" w:rsidRDefault="00E82A60" w:rsidP="00300A01">
            <w:pPr>
              <w:pStyle w:val="Text1"/>
              <w:spacing w:before="0" w:after="0"/>
              <w:ind w:left="0"/>
              <w:rPr>
                <w:sz w:val="12"/>
                <w:szCs w:val="12"/>
              </w:rPr>
            </w:pPr>
            <w:r>
              <w:rPr>
                <w:noProof/>
                <w:sz w:val="12"/>
                <w:szCs w:val="12"/>
              </w:rPr>
              <w:t>Słabiej rozwinięte</w:t>
            </w:r>
          </w:p>
        </w:tc>
        <w:tc>
          <w:tcPr>
            <w:tcW w:w="0" w:type="auto"/>
            <w:shd w:val="clear" w:color="auto" w:fill="auto"/>
          </w:tcPr>
          <w:p w14:paraId="05527D22" w14:textId="77777777" w:rsidR="008C5CFA" w:rsidRPr="009C3005" w:rsidRDefault="00E82A60" w:rsidP="00300A01">
            <w:pPr>
              <w:pStyle w:val="Text1"/>
              <w:spacing w:before="0" w:after="0"/>
              <w:ind w:left="0"/>
              <w:rPr>
                <w:sz w:val="12"/>
                <w:szCs w:val="12"/>
              </w:rPr>
            </w:pPr>
            <w:r>
              <w:rPr>
                <w:noProof/>
                <w:sz w:val="12"/>
                <w:szCs w:val="12"/>
              </w:rPr>
              <w:t>019</w:t>
            </w:r>
          </w:p>
        </w:tc>
        <w:tc>
          <w:tcPr>
            <w:tcW w:w="0" w:type="auto"/>
            <w:shd w:val="clear" w:color="auto" w:fill="auto"/>
          </w:tcPr>
          <w:p w14:paraId="48972E9C"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6AE3E56B" w14:textId="77777777" w:rsidR="008C5CFA" w:rsidRPr="009C3005" w:rsidRDefault="00E82A60" w:rsidP="00300A01">
            <w:pPr>
              <w:pStyle w:val="Text1"/>
              <w:spacing w:before="0" w:after="0"/>
              <w:ind w:left="0"/>
              <w:rPr>
                <w:sz w:val="12"/>
                <w:szCs w:val="12"/>
              </w:rPr>
            </w:pPr>
            <w:r>
              <w:rPr>
                <w:noProof/>
                <w:sz w:val="12"/>
                <w:szCs w:val="12"/>
              </w:rPr>
              <w:t>03</w:t>
            </w:r>
          </w:p>
        </w:tc>
        <w:tc>
          <w:tcPr>
            <w:tcW w:w="0" w:type="auto"/>
            <w:shd w:val="clear" w:color="auto" w:fill="auto"/>
          </w:tcPr>
          <w:p w14:paraId="43E53667"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4B64E310" w14:textId="77777777" w:rsidR="008C5CFA" w:rsidRPr="009C3005" w:rsidRDefault="00E82A60" w:rsidP="00300A01">
            <w:pPr>
              <w:pStyle w:val="Text1"/>
              <w:spacing w:before="0" w:after="0"/>
              <w:ind w:left="0"/>
              <w:rPr>
                <w:sz w:val="12"/>
                <w:szCs w:val="12"/>
              </w:rPr>
            </w:pPr>
            <w:r>
              <w:rPr>
                <w:noProof/>
                <w:sz w:val="12"/>
                <w:szCs w:val="12"/>
              </w:rPr>
              <w:t>06</w:t>
            </w:r>
          </w:p>
        </w:tc>
        <w:tc>
          <w:tcPr>
            <w:tcW w:w="0" w:type="auto"/>
            <w:shd w:val="clear" w:color="auto" w:fill="auto"/>
          </w:tcPr>
          <w:p w14:paraId="7867A7E3" w14:textId="77777777" w:rsidR="008C5CFA" w:rsidRPr="009C3005" w:rsidRDefault="00E82A60" w:rsidP="00300A01">
            <w:pPr>
              <w:pStyle w:val="Text1"/>
              <w:spacing w:before="0" w:after="0"/>
              <w:ind w:left="0"/>
              <w:rPr>
                <w:sz w:val="12"/>
                <w:szCs w:val="12"/>
              </w:rPr>
            </w:pPr>
            <w:r>
              <w:rPr>
                <w:sz w:val="12"/>
                <w:szCs w:val="12"/>
              </w:rPr>
              <w:t xml:space="preserve"> </w:t>
            </w:r>
          </w:p>
        </w:tc>
        <w:tc>
          <w:tcPr>
            <w:tcW w:w="0" w:type="auto"/>
            <w:shd w:val="clear" w:color="auto" w:fill="auto"/>
          </w:tcPr>
          <w:p w14:paraId="3BA0AFD1" w14:textId="77777777" w:rsidR="008C5CFA" w:rsidRPr="009C3005" w:rsidRDefault="00E82A60" w:rsidP="00300A01">
            <w:pPr>
              <w:pStyle w:val="Text1"/>
              <w:spacing w:before="0" w:after="0"/>
              <w:ind w:left="0"/>
              <w:rPr>
                <w:sz w:val="12"/>
                <w:szCs w:val="12"/>
              </w:rPr>
            </w:pPr>
            <w:r>
              <w:rPr>
                <w:noProof/>
                <w:sz w:val="12"/>
                <w:szCs w:val="12"/>
              </w:rPr>
              <w:t>18</w:t>
            </w:r>
          </w:p>
        </w:tc>
        <w:tc>
          <w:tcPr>
            <w:tcW w:w="0" w:type="auto"/>
            <w:shd w:val="clear" w:color="auto" w:fill="auto"/>
          </w:tcPr>
          <w:p w14:paraId="1E85C49D" w14:textId="77777777" w:rsidR="008C5CFA" w:rsidRPr="009C3005" w:rsidRDefault="00E82A60" w:rsidP="00300A01">
            <w:pPr>
              <w:pStyle w:val="Text1"/>
              <w:spacing w:before="0" w:after="0"/>
              <w:ind w:left="0"/>
              <w:rPr>
                <w:sz w:val="12"/>
                <w:szCs w:val="12"/>
              </w:rPr>
            </w:pPr>
            <w:r>
              <w:rPr>
                <w:noProof/>
                <w:sz w:val="12"/>
                <w:szCs w:val="12"/>
              </w:rPr>
              <w:t>PL33</w:t>
            </w:r>
          </w:p>
        </w:tc>
        <w:tc>
          <w:tcPr>
            <w:tcW w:w="0" w:type="auto"/>
            <w:shd w:val="clear" w:color="auto" w:fill="auto"/>
          </w:tcPr>
          <w:p w14:paraId="0CD46CCA" w14:textId="77777777" w:rsidR="008C5CFA" w:rsidRPr="009C3005" w:rsidRDefault="00E82A60" w:rsidP="00300A01">
            <w:pPr>
              <w:pStyle w:val="Text1"/>
              <w:spacing w:before="0" w:after="0"/>
              <w:ind w:left="0"/>
              <w:jc w:val="right"/>
              <w:rPr>
                <w:sz w:val="12"/>
                <w:szCs w:val="12"/>
              </w:rPr>
            </w:pPr>
            <w:r w:rsidRPr="009C3005">
              <w:rPr>
                <w:noProof/>
                <w:sz w:val="12"/>
                <w:szCs w:val="12"/>
              </w:rPr>
              <w:t>833 313,96</w:t>
            </w:r>
          </w:p>
        </w:tc>
        <w:tc>
          <w:tcPr>
            <w:tcW w:w="0" w:type="auto"/>
            <w:shd w:val="clear" w:color="auto" w:fill="auto"/>
          </w:tcPr>
          <w:p w14:paraId="4C5E4C3C" w14:textId="77777777" w:rsidR="008C5CFA" w:rsidRPr="009C3005" w:rsidRDefault="00E82A60" w:rsidP="00300A01">
            <w:pPr>
              <w:pStyle w:val="Text1"/>
              <w:spacing w:before="0" w:after="0"/>
              <w:ind w:left="0"/>
              <w:jc w:val="right"/>
              <w:rPr>
                <w:sz w:val="12"/>
                <w:szCs w:val="12"/>
              </w:rPr>
            </w:pPr>
            <w:r w:rsidRPr="009C3005">
              <w:rPr>
                <w:noProof/>
                <w:sz w:val="12"/>
                <w:szCs w:val="12"/>
              </w:rPr>
              <w:t>833 313,96</w:t>
            </w:r>
          </w:p>
        </w:tc>
        <w:tc>
          <w:tcPr>
            <w:tcW w:w="0" w:type="auto"/>
            <w:shd w:val="clear" w:color="auto" w:fill="auto"/>
          </w:tcPr>
          <w:p w14:paraId="589F853E" w14:textId="77777777" w:rsidR="008C5CFA" w:rsidRPr="009C3005" w:rsidRDefault="00E82A60" w:rsidP="00300A01">
            <w:pPr>
              <w:pStyle w:val="Text1"/>
              <w:spacing w:before="0" w:after="0"/>
              <w:ind w:left="0"/>
              <w:jc w:val="right"/>
              <w:rPr>
                <w:sz w:val="12"/>
                <w:szCs w:val="12"/>
              </w:rPr>
            </w:pPr>
            <w:r w:rsidRPr="009C3005">
              <w:rPr>
                <w:noProof/>
                <w:sz w:val="12"/>
                <w:szCs w:val="12"/>
              </w:rPr>
              <w:t>833 313,96</w:t>
            </w:r>
          </w:p>
        </w:tc>
        <w:tc>
          <w:tcPr>
            <w:tcW w:w="0" w:type="auto"/>
            <w:shd w:val="clear" w:color="auto" w:fill="auto"/>
          </w:tcPr>
          <w:p w14:paraId="7AC7877E" w14:textId="77777777" w:rsidR="008C5CFA" w:rsidRPr="009C3005" w:rsidRDefault="00E82A60" w:rsidP="00300A01">
            <w:pPr>
              <w:pStyle w:val="Text1"/>
              <w:spacing w:before="0" w:after="0"/>
              <w:ind w:left="0"/>
              <w:jc w:val="right"/>
              <w:rPr>
                <w:sz w:val="12"/>
                <w:szCs w:val="12"/>
              </w:rPr>
            </w:pPr>
            <w:r w:rsidRPr="009C3005">
              <w:rPr>
                <w:noProof/>
                <w:sz w:val="12"/>
                <w:szCs w:val="12"/>
              </w:rPr>
              <w:t>1</w:t>
            </w:r>
          </w:p>
        </w:tc>
      </w:tr>
      <w:tr w:rsidR="006B2EC1" w14:paraId="2D9F8D3B" w14:textId="77777777" w:rsidTr="0047688D">
        <w:tc>
          <w:tcPr>
            <w:tcW w:w="0" w:type="auto"/>
            <w:shd w:val="clear" w:color="auto" w:fill="auto"/>
          </w:tcPr>
          <w:p w14:paraId="1E087570" w14:textId="77777777" w:rsidR="008C5CFA" w:rsidRPr="009C3005" w:rsidRDefault="00E82A60" w:rsidP="00300A01">
            <w:pPr>
              <w:pStyle w:val="Text1"/>
              <w:spacing w:before="0" w:after="0"/>
              <w:ind w:left="0"/>
              <w:rPr>
                <w:sz w:val="12"/>
                <w:szCs w:val="12"/>
              </w:rPr>
            </w:pPr>
            <w:r>
              <w:rPr>
                <w:noProof/>
                <w:sz w:val="14"/>
                <w:szCs w:val="14"/>
                <w:lang w:val="fr-BE"/>
              </w:rPr>
              <w:t>4</w:t>
            </w:r>
          </w:p>
        </w:tc>
        <w:tc>
          <w:tcPr>
            <w:tcW w:w="0" w:type="auto"/>
            <w:shd w:val="clear" w:color="auto" w:fill="auto"/>
          </w:tcPr>
          <w:p w14:paraId="458DFF7C" w14:textId="77777777" w:rsidR="008C5CFA" w:rsidRPr="009C3005" w:rsidRDefault="00E82A60" w:rsidP="00300A01">
            <w:pPr>
              <w:pStyle w:val="Text1"/>
              <w:spacing w:before="0" w:after="0"/>
              <w:ind w:left="0"/>
              <w:rPr>
                <w:sz w:val="12"/>
                <w:szCs w:val="12"/>
              </w:rPr>
            </w:pPr>
            <w:r>
              <w:rPr>
                <w:noProof/>
                <w:sz w:val="12"/>
                <w:szCs w:val="12"/>
              </w:rPr>
              <w:t>EFRR</w:t>
            </w:r>
          </w:p>
        </w:tc>
        <w:tc>
          <w:tcPr>
            <w:tcW w:w="0" w:type="auto"/>
            <w:shd w:val="clear" w:color="auto" w:fill="auto"/>
          </w:tcPr>
          <w:p w14:paraId="738F21EB" w14:textId="77777777" w:rsidR="008C5CFA" w:rsidRPr="009C3005" w:rsidRDefault="00E82A60" w:rsidP="00300A01">
            <w:pPr>
              <w:pStyle w:val="Text1"/>
              <w:spacing w:before="0" w:after="0"/>
              <w:ind w:left="0"/>
              <w:rPr>
                <w:sz w:val="12"/>
                <w:szCs w:val="12"/>
              </w:rPr>
            </w:pPr>
            <w:r>
              <w:rPr>
                <w:noProof/>
                <w:sz w:val="12"/>
                <w:szCs w:val="12"/>
              </w:rPr>
              <w:t>Słabiej rozwinięte</w:t>
            </w:r>
          </w:p>
        </w:tc>
        <w:tc>
          <w:tcPr>
            <w:tcW w:w="0" w:type="auto"/>
            <w:shd w:val="clear" w:color="auto" w:fill="auto"/>
          </w:tcPr>
          <w:p w14:paraId="55152776" w14:textId="77777777" w:rsidR="008C5CFA" w:rsidRPr="009C3005" w:rsidRDefault="00E82A60" w:rsidP="00300A01">
            <w:pPr>
              <w:pStyle w:val="Text1"/>
              <w:spacing w:before="0" w:after="0"/>
              <w:ind w:left="0"/>
              <w:rPr>
                <w:sz w:val="12"/>
                <w:szCs w:val="12"/>
              </w:rPr>
            </w:pPr>
            <w:r>
              <w:rPr>
                <w:noProof/>
                <w:sz w:val="12"/>
                <w:szCs w:val="12"/>
              </w:rPr>
              <w:t>022</w:t>
            </w:r>
          </w:p>
        </w:tc>
        <w:tc>
          <w:tcPr>
            <w:tcW w:w="0" w:type="auto"/>
            <w:shd w:val="clear" w:color="auto" w:fill="auto"/>
          </w:tcPr>
          <w:p w14:paraId="2797B3B5"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01D5F86E" w14:textId="77777777" w:rsidR="008C5CFA" w:rsidRPr="009C3005" w:rsidRDefault="00E82A60" w:rsidP="00300A01">
            <w:pPr>
              <w:pStyle w:val="Text1"/>
              <w:spacing w:before="0" w:after="0"/>
              <w:ind w:left="0"/>
              <w:rPr>
                <w:sz w:val="12"/>
                <w:szCs w:val="12"/>
              </w:rPr>
            </w:pPr>
            <w:r>
              <w:rPr>
                <w:noProof/>
                <w:sz w:val="12"/>
                <w:szCs w:val="12"/>
              </w:rPr>
              <w:t>02</w:t>
            </w:r>
          </w:p>
        </w:tc>
        <w:tc>
          <w:tcPr>
            <w:tcW w:w="0" w:type="auto"/>
            <w:shd w:val="clear" w:color="auto" w:fill="auto"/>
          </w:tcPr>
          <w:p w14:paraId="08A846FE"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3AB82623" w14:textId="77777777" w:rsidR="008C5CFA" w:rsidRPr="009C3005" w:rsidRDefault="00E82A60" w:rsidP="00300A01">
            <w:pPr>
              <w:pStyle w:val="Text1"/>
              <w:spacing w:before="0" w:after="0"/>
              <w:ind w:left="0"/>
              <w:rPr>
                <w:sz w:val="12"/>
                <w:szCs w:val="12"/>
              </w:rPr>
            </w:pPr>
            <w:r>
              <w:rPr>
                <w:noProof/>
                <w:sz w:val="12"/>
                <w:szCs w:val="12"/>
              </w:rPr>
              <w:t>06</w:t>
            </w:r>
          </w:p>
        </w:tc>
        <w:tc>
          <w:tcPr>
            <w:tcW w:w="0" w:type="auto"/>
            <w:shd w:val="clear" w:color="auto" w:fill="auto"/>
          </w:tcPr>
          <w:p w14:paraId="459BEF76" w14:textId="77777777" w:rsidR="008C5CFA" w:rsidRPr="009C3005" w:rsidRDefault="00E82A60" w:rsidP="00300A01">
            <w:pPr>
              <w:pStyle w:val="Text1"/>
              <w:spacing w:before="0" w:after="0"/>
              <w:ind w:left="0"/>
              <w:rPr>
                <w:sz w:val="12"/>
                <w:szCs w:val="12"/>
              </w:rPr>
            </w:pPr>
            <w:r>
              <w:rPr>
                <w:sz w:val="12"/>
                <w:szCs w:val="12"/>
              </w:rPr>
              <w:t xml:space="preserve"> </w:t>
            </w:r>
          </w:p>
        </w:tc>
        <w:tc>
          <w:tcPr>
            <w:tcW w:w="0" w:type="auto"/>
            <w:shd w:val="clear" w:color="auto" w:fill="auto"/>
          </w:tcPr>
          <w:p w14:paraId="0A3E5BDC" w14:textId="77777777" w:rsidR="008C5CFA" w:rsidRPr="009C3005" w:rsidRDefault="00E82A60" w:rsidP="00300A01">
            <w:pPr>
              <w:pStyle w:val="Text1"/>
              <w:spacing w:before="0" w:after="0"/>
              <w:ind w:left="0"/>
              <w:rPr>
                <w:sz w:val="12"/>
                <w:szCs w:val="12"/>
              </w:rPr>
            </w:pPr>
            <w:r>
              <w:rPr>
                <w:noProof/>
                <w:sz w:val="12"/>
                <w:szCs w:val="12"/>
              </w:rPr>
              <w:t>18</w:t>
            </w:r>
          </w:p>
        </w:tc>
        <w:tc>
          <w:tcPr>
            <w:tcW w:w="0" w:type="auto"/>
            <w:shd w:val="clear" w:color="auto" w:fill="auto"/>
          </w:tcPr>
          <w:p w14:paraId="1556C02C" w14:textId="77777777" w:rsidR="008C5CFA" w:rsidRPr="009C3005" w:rsidRDefault="00E82A60" w:rsidP="00300A01">
            <w:pPr>
              <w:pStyle w:val="Text1"/>
              <w:spacing w:before="0" w:after="0"/>
              <w:ind w:left="0"/>
              <w:rPr>
                <w:sz w:val="12"/>
                <w:szCs w:val="12"/>
              </w:rPr>
            </w:pPr>
            <w:r>
              <w:rPr>
                <w:noProof/>
                <w:sz w:val="12"/>
                <w:szCs w:val="12"/>
              </w:rPr>
              <w:t>PL33</w:t>
            </w:r>
          </w:p>
        </w:tc>
        <w:tc>
          <w:tcPr>
            <w:tcW w:w="0" w:type="auto"/>
            <w:shd w:val="clear" w:color="auto" w:fill="auto"/>
          </w:tcPr>
          <w:p w14:paraId="3C1702C5" w14:textId="77777777" w:rsidR="008C5CFA" w:rsidRPr="009C3005" w:rsidRDefault="00E82A60" w:rsidP="00300A01">
            <w:pPr>
              <w:pStyle w:val="Text1"/>
              <w:spacing w:before="0" w:after="0"/>
              <w:ind w:left="0"/>
              <w:jc w:val="right"/>
              <w:rPr>
                <w:sz w:val="12"/>
                <w:szCs w:val="12"/>
              </w:rPr>
            </w:pPr>
            <w:r w:rsidRPr="009C3005">
              <w:rPr>
                <w:noProof/>
                <w:sz w:val="12"/>
                <w:szCs w:val="12"/>
              </w:rPr>
              <w:t>24 466 130,18</w:t>
            </w:r>
          </w:p>
        </w:tc>
        <w:tc>
          <w:tcPr>
            <w:tcW w:w="0" w:type="auto"/>
            <w:shd w:val="clear" w:color="auto" w:fill="auto"/>
          </w:tcPr>
          <w:p w14:paraId="59D20E8A" w14:textId="77777777" w:rsidR="008C5CFA" w:rsidRPr="009C3005" w:rsidRDefault="00E82A60" w:rsidP="00300A01">
            <w:pPr>
              <w:pStyle w:val="Text1"/>
              <w:spacing w:before="0" w:after="0"/>
              <w:ind w:left="0"/>
              <w:jc w:val="right"/>
              <w:rPr>
                <w:sz w:val="12"/>
                <w:szCs w:val="12"/>
              </w:rPr>
            </w:pPr>
            <w:r w:rsidRPr="009C3005">
              <w:rPr>
                <w:noProof/>
                <w:sz w:val="12"/>
                <w:szCs w:val="12"/>
              </w:rPr>
              <w:t>24 466 130,18</w:t>
            </w:r>
          </w:p>
        </w:tc>
        <w:tc>
          <w:tcPr>
            <w:tcW w:w="0" w:type="auto"/>
            <w:shd w:val="clear" w:color="auto" w:fill="auto"/>
          </w:tcPr>
          <w:p w14:paraId="6A84AF34" w14:textId="77777777" w:rsidR="008C5CFA" w:rsidRPr="009C3005" w:rsidRDefault="00E82A60" w:rsidP="00300A01">
            <w:pPr>
              <w:pStyle w:val="Text1"/>
              <w:spacing w:before="0" w:after="0"/>
              <w:ind w:left="0"/>
              <w:jc w:val="right"/>
              <w:rPr>
                <w:sz w:val="12"/>
                <w:szCs w:val="12"/>
              </w:rPr>
            </w:pPr>
            <w:r w:rsidRPr="009C3005">
              <w:rPr>
                <w:noProof/>
                <w:sz w:val="12"/>
                <w:szCs w:val="12"/>
              </w:rPr>
              <w:t>11 258 935,45</w:t>
            </w:r>
          </w:p>
        </w:tc>
        <w:tc>
          <w:tcPr>
            <w:tcW w:w="0" w:type="auto"/>
            <w:shd w:val="clear" w:color="auto" w:fill="auto"/>
          </w:tcPr>
          <w:p w14:paraId="7F424D61" w14:textId="77777777" w:rsidR="008C5CFA" w:rsidRPr="009C3005" w:rsidRDefault="00E82A60" w:rsidP="00300A01">
            <w:pPr>
              <w:pStyle w:val="Text1"/>
              <w:spacing w:before="0" w:after="0"/>
              <w:ind w:left="0"/>
              <w:jc w:val="right"/>
              <w:rPr>
                <w:sz w:val="12"/>
                <w:szCs w:val="12"/>
              </w:rPr>
            </w:pPr>
            <w:r w:rsidRPr="009C3005">
              <w:rPr>
                <w:noProof/>
                <w:sz w:val="12"/>
                <w:szCs w:val="12"/>
              </w:rPr>
              <w:t>12</w:t>
            </w:r>
          </w:p>
        </w:tc>
      </w:tr>
      <w:tr w:rsidR="006B2EC1" w14:paraId="44A3CB18" w14:textId="77777777" w:rsidTr="0047688D">
        <w:tc>
          <w:tcPr>
            <w:tcW w:w="0" w:type="auto"/>
            <w:shd w:val="clear" w:color="auto" w:fill="auto"/>
          </w:tcPr>
          <w:p w14:paraId="5CF9E82C" w14:textId="77777777" w:rsidR="008C5CFA" w:rsidRPr="009C3005" w:rsidRDefault="00E82A60" w:rsidP="00300A01">
            <w:pPr>
              <w:pStyle w:val="Text1"/>
              <w:spacing w:before="0" w:after="0"/>
              <w:ind w:left="0"/>
              <w:rPr>
                <w:sz w:val="12"/>
                <w:szCs w:val="12"/>
              </w:rPr>
            </w:pPr>
            <w:r>
              <w:rPr>
                <w:noProof/>
                <w:sz w:val="14"/>
                <w:szCs w:val="14"/>
                <w:lang w:val="fr-BE"/>
              </w:rPr>
              <w:t>4</w:t>
            </w:r>
          </w:p>
        </w:tc>
        <w:tc>
          <w:tcPr>
            <w:tcW w:w="0" w:type="auto"/>
            <w:shd w:val="clear" w:color="auto" w:fill="auto"/>
          </w:tcPr>
          <w:p w14:paraId="7A4CD4B8" w14:textId="77777777" w:rsidR="008C5CFA" w:rsidRPr="009C3005" w:rsidRDefault="00E82A60" w:rsidP="00300A01">
            <w:pPr>
              <w:pStyle w:val="Text1"/>
              <w:spacing w:before="0" w:after="0"/>
              <w:ind w:left="0"/>
              <w:rPr>
                <w:sz w:val="12"/>
                <w:szCs w:val="12"/>
              </w:rPr>
            </w:pPr>
            <w:r>
              <w:rPr>
                <w:noProof/>
                <w:sz w:val="12"/>
                <w:szCs w:val="12"/>
              </w:rPr>
              <w:t>EFRR</w:t>
            </w:r>
          </w:p>
        </w:tc>
        <w:tc>
          <w:tcPr>
            <w:tcW w:w="0" w:type="auto"/>
            <w:shd w:val="clear" w:color="auto" w:fill="auto"/>
          </w:tcPr>
          <w:p w14:paraId="708996E5" w14:textId="77777777" w:rsidR="008C5CFA" w:rsidRPr="009C3005" w:rsidRDefault="00E82A60" w:rsidP="00300A01">
            <w:pPr>
              <w:pStyle w:val="Text1"/>
              <w:spacing w:before="0" w:after="0"/>
              <w:ind w:left="0"/>
              <w:rPr>
                <w:sz w:val="12"/>
                <w:szCs w:val="12"/>
              </w:rPr>
            </w:pPr>
            <w:r>
              <w:rPr>
                <w:noProof/>
                <w:sz w:val="12"/>
                <w:szCs w:val="12"/>
              </w:rPr>
              <w:t>Słabiej rozwinięte</w:t>
            </w:r>
          </w:p>
        </w:tc>
        <w:tc>
          <w:tcPr>
            <w:tcW w:w="0" w:type="auto"/>
            <w:shd w:val="clear" w:color="auto" w:fill="auto"/>
          </w:tcPr>
          <w:p w14:paraId="696EB95D" w14:textId="77777777" w:rsidR="008C5CFA" w:rsidRPr="009C3005" w:rsidRDefault="00E82A60" w:rsidP="00300A01">
            <w:pPr>
              <w:pStyle w:val="Text1"/>
              <w:spacing w:before="0" w:after="0"/>
              <w:ind w:left="0"/>
              <w:rPr>
                <w:sz w:val="12"/>
                <w:szCs w:val="12"/>
              </w:rPr>
            </w:pPr>
            <w:r>
              <w:rPr>
                <w:noProof/>
                <w:sz w:val="12"/>
                <w:szCs w:val="12"/>
              </w:rPr>
              <w:t>022</w:t>
            </w:r>
          </w:p>
        </w:tc>
        <w:tc>
          <w:tcPr>
            <w:tcW w:w="0" w:type="auto"/>
            <w:shd w:val="clear" w:color="auto" w:fill="auto"/>
          </w:tcPr>
          <w:p w14:paraId="57CA0D75"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7D733830" w14:textId="77777777" w:rsidR="008C5CFA" w:rsidRPr="009C3005" w:rsidRDefault="00E82A60" w:rsidP="00300A01">
            <w:pPr>
              <w:pStyle w:val="Text1"/>
              <w:spacing w:before="0" w:after="0"/>
              <w:ind w:left="0"/>
              <w:rPr>
                <w:sz w:val="12"/>
                <w:szCs w:val="12"/>
              </w:rPr>
            </w:pPr>
            <w:r>
              <w:rPr>
                <w:noProof/>
                <w:sz w:val="12"/>
                <w:szCs w:val="12"/>
              </w:rPr>
              <w:t>03</w:t>
            </w:r>
          </w:p>
        </w:tc>
        <w:tc>
          <w:tcPr>
            <w:tcW w:w="0" w:type="auto"/>
            <w:shd w:val="clear" w:color="auto" w:fill="auto"/>
          </w:tcPr>
          <w:p w14:paraId="483F7EDA"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46F23CF3" w14:textId="77777777" w:rsidR="008C5CFA" w:rsidRPr="009C3005" w:rsidRDefault="00E82A60" w:rsidP="00300A01">
            <w:pPr>
              <w:pStyle w:val="Text1"/>
              <w:spacing w:before="0" w:after="0"/>
              <w:ind w:left="0"/>
              <w:rPr>
                <w:sz w:val="12"/>
                <w:szCs w:val="12"/>
              </w:rPr>
            </w:pPr>
            <w:r>
              <w:rPr>
                <w:noProof/>
                <w:sz w:val="12"/>
                <w:szCs w:val="12"/>
              </w:rPr>
              <w:t>06</w:t>
            </w:r>
          </w:p>
        </w:tc>
        <w:tc>
          <w:tcPr>
            <w:tcW w:w="0" w:type="auto"/>
            <w:shd w:val="clear" w:color="auto" w:fill="auto"/>
          </w:tcPr>
          <w:p w14:paraId="56190241" w14:textId="77777777" w:rsidR="008C5CFA" w:rsidRPr="009C3005" w:rsidRDefault="00E82A60" w:rsidP="00300A01">
            <w:pPr>
              <w:pStyle w:val="Text1"/>
              <w:spacing w:before="0" w:after="0"/>
              <w:ind w:left="0"/>
              <w:rPr>
                <w:sz w:val="12"/>
                <w:szCs w:val="12"/>
              </w:rPr>
            </w:pPr>
            <w:r>
              <w:rPr>
                <w:sz w:val="12"/>
                <w:szCs w:val="12"/>
              </w:rPr>
              <w:t xml:space="preserve"> </w:t>
            </w:r>
          </w:p>
        </w:tc>
        <w:tc>
          <w:tcPr>
            <w:tcW w:w="0" w:type="auto"/>
            <w:shd w:val="clear" w:color="auto" w:fill="auto"/>
          </w:tcPr>
          <w:p w14:paraId="18785880" w14:textId="77777777" w:rsidR="008C5CFA" w:rsidRPr="009C3005" w:rsidRDefault="00E82A60" w:rsidP="00300A01">
            <w:pPr>
              <w:pStyle w:val="Text1"/>
              <w:spacing w:before="0" w:after="0"/>
              <w:ind w:left="0"/>
              <w:rPr>
                <w:sz w:val="12"/>
                <w:szCs w:val="12"/>
              </w:rPr>
            </w:pPr>
            <w:r>
              <w:rPr>
                <w:noProof/>
                <w:sz w:val="12"/>
                <w:szCs w:val="12"/>
              </w:rPr>
              <w:t>18</w:t>
            </w:r>
          </w:p>
        </w:tc>
        <w:tc>
          <w:tcPr>
            <w:tcW w:w="0" w:type="auto"/>
            <w:shd w:val="clear" w:color="auto" w:fill="auto"/>
          </w:tcPr>
          <w:p w14:paraId="5BE7D4A8" w14:textId="77777777" w:rsidR="008C5CFA" w:rsidRPr="009C3005" w:rsidRDefault="00E82A60" w:rsidP="00300A01">
            <w:pPr>
              <w:pStyle w:val="Text1"/>
              <w:spacing w:before="0" w:after="0"/>
              <w:ind w:left="0"/>
              <w:rPr>
                <w:sz w:val="12"/>
                <w:szCs w:val="12"/>
              </w:rPr>
            </w:pPr>
            <w:r>
              <w:rPr>
                <w:noProof/>
                <w:sz w:val="12"/>
                <w:szCs w:val="12"/>
              </w:rPr>
              <w:t>PL33</w:t>
            </w:r>
          </w:p>
        </w:tc>
        <w:tc>
          <w:tcPr>
            <w:tcW w:w="0" w:type="auto"/>
            <w:shd w:val="clear" w:color="auto" w:fill="auto"/>
          </w:tcPr>
          <w:p w14:paraId="67D606AC" w14:textId="77777777" w:rsidR="008C5CFA" w:rsidRPr="009C3005" w:rsidRDefault="00E82A60" w:rsidP="00300A01">
            <w:pPr>
              <w:pStyle w:val="Text1"/>
              <w:spacing w:before="0" w:after="0"/>
              <w:ind w:left="0"/>
              <w:jc w:val="right"/>
              <w:rPr>
                <w:sz w:val="12"/>
                <w:szCs w:val="12"/>
              </w:rPr>
            </w:pPr>
            <w:r w:rsidRPr="009C3005">
              <w:rPr>
                <w:noProof/>
                <w:sz w:val="12"/>
                <w:szCs w:val="12"/>
              </w:rPr>
              <w:t>65 170 035,56</w:t>
            </w:r>
          </w:p>
        </w:tc>
        <w:tc>
          <w:tcPr>
            <w:tcW w:w="0" w:type="auto"/>
            <w:shd w:val="clear" w:color="auto" w:fill="auto"/>
          </w:tcPr>
          <w:p w14:paraId="18CAE5EE" w14:textId="77777777" w:rsidR="008C5CFA" w:rsidRPr="009C3005" w:rsidRDefault="00E82A60" w:rsidP="00300A01">
            <w:pPr>
              <w:pStyle w:val="Text1"/>
              <w:spacing w:before="0" w:after="0"/>
              <w:ind w:left="0"/>
              <w:jc w:val="right"/>
              <w:rPr>
                <w:sz w:val="12"/>
                <w:szCs w:val="12"/>
              </w:rPr>
            </w:pPr>
            <w:r w:rsidRPr="009C3005">
              <w:rPr>
                <w:noProof/>
                <w:sz w:val="12"/>
                <w:szCs w:val="12"/>
              </w:rPr>
              <w:t>65 170 035,56</w:t>
            </w:r>
          </w:p>
        </w:tc>
        <w:tc>
          <w:tcPr>
            <w:tcW w:w="0" w:type="auto"/>
            <w:shd w:val="clear" w:color="auto" w:fill="auto"/>
          </w:tcPr>
          <w:p w14:paraId="3AE38F16" w14:textId="77777777" w:rsidR="008C5CFA" w:rsidRPr="009C3005" w:rsidRDefault="00E82A60" w:rsidP="00300A01">
            <w:pPr>
              <w:pStyle w:val="Text1"/>
              <w:spacing w:before="0" w:after="0"/>
              <w:ind w:left="0"/>
              <w:jc w:val="right"/>
              <w:rPr>
                <w:sz w:val="12"/>
                <w:szCs w:val="12"/>
              </w:rPr>
            </w:pPr>
            <w:r w:rsidRPr="009C3005">
              <w:rPr>
                <w:noProof/>
                <w:sz w:val="12"/>
                <w:szCs w:val="12"/>
              </w:rPr>
              <w:t>16 163 671,40</w:t>
            </w:r>
          </w:p>
        </w:tc>
        <w:tc>
          <w:tcPr>
            <w:tcW w:w="0" w:type="auto"/>
            <w:shd w:val="clear" w:color="auto" w:fill="auto"/>
          </w:tcPr>
          <w:p w14:paraId="46F51E9A" w14:textId="77777777" w:rsidR="008C5CFA" w:rsidRPr="009C3005" w:rsidRDefault="00E82A60" w:rsidP="00300A01">
            <w:pPr>
              <w:pStyle w:val="Text1"/>
              <w:spacing w:before="0" w:after="0"/>
              <w:ind w:left="0"/>
              <w:jc w:val="right"/>
              <w:rPr>
                <w:sz w:val="12"/>
                <w:szCs w:val="12"/>
              </w:rPr>
            </w:pPr>
            <w:r w:rsidRPr="009C3005">
              <w:rPr>
                <w:noProof/>
                <w:sz w:val="12"/>
                <w:szCs w:val="12"/>
              </w:rPr>
              <w:t>36</w:t>
            </w:r>
          </w:p>
        </w:tc>
      </w:tr>
      <w:tr w:rsidR="006B2EC1" w14:paraId="0D81974A" w14:textId="77777777" w:rsidTr="0047688D">
        <w:tc>
          <w:tcPr>
            <w:tcW w:w="0" w:type="auto"/>
            <w:shd w:val="clear" w:color="auto" w:fill="auto"/>
          </w:tcPr>
          <w:p w14:paraId="5AB326B1" w14:textId="77777777" w:rsidR="008C5CFA" w:rsidRPr="009C3005" w:rsidRDefault="00E82A60" w:rsidP="00300A01">
            <w:pPr>
              <w:pStyle w:val="Text1"/>
              <w:spacing w:before="0" w:after="0"/>
              <w:ind w:left="0"/>
              <w:rPr>
                <w:sz w:val="12"/>
                <w:szCs w:val="12"/>
              </w:rPr>
            </w:pPr>
            <w:r>
              <w:rPr>
                <w:noProof/>
                <w:sz w:val="14"/>
                <w:szCs w:val="14"/>
                <w:lang w:val="fr-BE"/>
              </w:rPr>
              <w:t>4</w:t>
            </w:r>
          </w:p>
        </w:tc>
        <w:tc>
          <w:tcPr>
            <w:tcW w:w="0" w:type="auto"/>
            <w:shd w:val="clear" w:color="auto" w:fill="auto"/>
          </w:tcPr>
          <w:p w14:paraId="25E03F60" w14:textId="77777777" w:rsidR="008C5CFA" w:rsidRPr="009C3005" w:rsidRDefault="00E82A60" w:rsidP="00300A01">
            <w:pPr>
              <w:pStyle w:val="Text1"/>
              <w:spacing w:before="0" w:after="0"/>
              <w:ind w:left="0"/>
              <w:rPr>
                <w:sz w:val="12"/>
                <w:szCs w:val="12"/>
              </w:rPr>
            </w:pPr>
            <w:r>
              <w:rPr>
                <w:noProof/>
                <w:sz w:val="12"/>
                <w:szCs w:val="12"/>
              </w:rPr>
              <w:t>EFRR</w:t>
            </w:r>
          </w:p>
        </w:tc>
        <w:tc>
          <w:tcPr>
            <w:tcW w:w="0" w:type="auto"/>
            <w:shd w:val="clear" w:color="auto" w:fill="auto"/>
          </w:tcPr>
          <w:p w14:paraId="26EC0F02" w14:textId="77777777" w:rsidR="008C5CFA" w:rsidRPr="009C3005" w:rsidRDefault="00E82A60" w:rsidP="00300A01">
            <w:pPr>
              <w:pStyle w:val="Text1"/>
              <w:spacing w:before="0" w:after="0"/>
              <w:ind w:left="0"/>
              <w:rPr>
                <w:sz w:val="12"/>
                <w:szCs w:val="12"/>
              </w:rPr>
            </w:pPr>
            <w:r>
              <w:rPr>
                <w:noProof/>
                <w:sz w:val="12"/>
                <w:szCs w:val="12"/>
              </w:rPr>
              <w:t>Słabiej rozwinięte</w:t>
            </w:r>
          </w:p>
        </w:tc>
        <w:tc>
          <w:tcPr>
            <w:tcW w:w="0" w:type="auto"/>
            <w:shd w:val="clear" w:color="auto" w:fill="auto"/>
          </w:tcPr>
          <w:p w14:paraId="49087DFE" w14:textId="77777777" w:rsidR="008C5CFA" w:rsidRPr="009C3005" w:rsidRDefault="00E82A60" w:rsidP="00300A01">
            <w:pPr>
              <w:pStyle w:val="Text1"/>
              <w:spacing w:before="0" w:after="0"/>
              <w:ind w:left="0"/>
              <w:rPr>
                <w:sz w:val="12"/>
                <w:szCs w:val="12"/>
              </w:rPr>
            </w:pPr>
            <w:r>
              <w:rPr>
                <w:noProof/>
                <w:sz w:val="12"/>
                <w:szCs w:val="12"/>
              </w:rPr>
              <w:t>085</w:t>
            </w:r>
          </w:p>
        </w:tc>
        <w:tc>
          <w:tcPr>
            <w:tcW w:w="0" w:type="auto"/>
            <w:shd w:val="clear" w:color="auto" w:fill="auto"/>
          </w:tcPr>
          <w:p w14:paraId="65D650F0"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69EBF4F5"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1C2138D1"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418D6D49" w14:textId="77777777" w:rsidR="008C5CFA" w:rsidRPr="009C3005" w:rsidRDefault="00E82A60" w:rsidP="00300A01">
            <w:pPr>
              <w:pStyle w:val="Text1"/>
              <w:spacing w:before="0" w:after="0"/>
              <w:ind w:left="0"/>
              <w:rPr>
                <w:sz w:val="12"/>
                <w:szCs w:val="12"/>
              </w:rPr>
            </w:pPr>
            <w:r>
              <w:rPr>
                <w:noProof/>
                <w:sz w:val="12"/>
                <w:szCs w:val="12"/>
              </w:rPr>
              <w:t>06</w:t>
            </w:r>
          </w:p>
        </w:tc>
        <w:tc>
          <w:tcPr>
            <w:tcW w:w="0" w:type="auto"/>
            <w:shd w:val="clear" w:color="auto" w:fill="auto"/>
          </w:tcPr>
          <w:p w14:paraId="69A66EAC" w14:textId="77777777" w:rsidR="008C5CFA" w:rsidRPr="009C3005" w:rsidRDefault="00E82A60" w:rsidP="00300A01">
            <w:pPr>
              <w:pStyle w:val="Text1"/>
              <w:spacing w:before="0" w:after="0"/>
              <w:ind w:left="0"/>
              <w:rPr>
                <w:sz w:val="12"/>
                <w:szCs w:val="12"/>
              </w:rPr>
            </w:pPr>
            <w:r>
              <w:rPr>
                <w:sz w:val="12"/>
                <w:szCs w:val="12"/>
              </w:rPr>
              <w:t xml:space="preserve"> </w:t>
            </w:r>
          </w:p>
        </w:tc>
        <w:tc>
          <w:tcPr>
            <w:tcW w:w="0" w:type="auto"/>
            <w:shd w:val="clear" w:color="auto" w:fill="auto"/>
          </w:tcPr>
          <w:p w14:paraId="30F09E91" w14:textId="77777777" w:rsidR="008C5CFA" w:rsidRPr="009C3005" w:rsidRDefault="00E82A60" w:rsidP="00300A01">
            <w:pPr>
              <w:pStyle w:val="Text1"/>
              <w:spacing w:before="0" w:after="0"/>
              <w:ind w:left="0"/>
              <w:rPr>
                <w:sz w:val="12"/>
                <w:szCs w:val="12"/>
              </w:rPr>
            </w:pPr>
            <w:r>
              <w:rPr>
                <w:noProof/>
                <w:sz w:val="12"/>
                <w:szCs w:val="12"/>
              </w:rPr>
              <w:t>18</w:t>
            </w:r>
          </w:p>
        </w:tc>
        <w:tc>
          <w:tcPr>
            <w:tcW w:w="0" w:type="auto"/>
            <w:shd w:val="clear" w:color="auto" w:fill="auto"/>
          </w:tcPr>
          <w:p w14:paraId="19FFF19A" w14:textId="77777777" w:rsidR="008C5CFA" w:rsidRPr="009C3005" w:rsidRDefault="00E82A60" w:rsidP="00300A01">
            <w:pPr>
              <w:pStyle w:val="Text1"/>
              <w:spacing w:before="0" w:after="0"/>
              <w:ind w:left="0"/>
              <w:rPr>
                <w:sz w:val="12"/>
                <w:szCs w:val="12"/>
              </w:rPr>
            </w:pPr>
            <w:r>
              <w:rPr>
                <w:noProof/>
                <w:sz w:val="12"/>
                <w:szCs w:val="12"/>
              </w:rPr>
              <w:t>PL33</w:t>
            </w:r>
          </w:p>
        </w:tc>
        <w:tc>
          <w:tcPr>
            <w:tcW w:w="0" w:type="auto"/>
            <w:shd w:val="clear" w:color="auto" w:fill="auto"/>
          </w:tcPr>
          <w:p w14:paraId="0AE45B05" w14:textId="77777777" w:rsidR="008C5CFA" w:rsidRPr="009C3005" w:rsidRDefault="00E82A60" w:rsidP="00300A01">
            <w:pPr>
              <w:pStyle w:val="Text1"/>
              <w:spacing w:before="0" w:after="0"/>
              <w:ind w:left="0"/>
              <w:jc w:val="right"/>
              <w:rPr>
                <w:sz w:val="12"/>
                <w:szCs w:val="12"/>
              </w:rPr>
            </w:pPr>
            <w:r w:rsidRPr="009C3005">
              <w:rPr>
                <w:noProof/>
                <w:sz w:val="12"/>
                <w:szCs w:val="12"/>
              </w:rPr>
              <w:t>643 869,66</w:t>
            </w:r>
          </w:p>
        </w:tc>
        <w:tc>
          <w:tcPr>
            <w:tcW w:w="0" w:type="auto"/>
            <w:shd w:val="clear" w:color="auto" w:fill="auto"/>
          </w:tcPr>
          <w:p w14:paraId="75847986" w14:textId="77777777" w:rsidR="008C5CFA" w:rsidRPr="009C3005" w:rsidRDefault="00E82A60" w:rsidP="00300A01">
            <w:pPr>
              <w:pStyle w:val="Text1"/>
              <w:spacing w:before="0" w:after="0"/>
              <w:ind w:left="0"/>
              <w:jc w:val="right"/>
              <w:rPr>
                <w:sz w:val="12"/>
                <w:szCs w:val="12"/>
              </w:rPr>
            </w:pPr>
            <w:r w:rsidRPr="009C3005">
              <w:rPr>
                <w:noProof/>
                <w:sz w:val="12"/>
                <w:szCs w:val="12"/>
              </w:rPr>
              <w:t>643 869,66</w:t>
            </w:r>
          </w:p>
        </w:tc>
        <w:tc>
          <w:tcPr>
            <w:tcW w:w="0" w:type="auto"/>
            <w:shd w:val="clear" w:color="auto" w:fill="auto"/>
          </w:tcPr>
          <w:p w14:paraId="7636F80C" w14:textId="77777777" w:rsidR="008C5CFA" w:rsidRPr="009C3005" w:rsidRDefault="00E82A60" w:rsidP="00300A01">
            <w:pPr>
              <w:pStyle w:val="Text1"/>
              <w:spacing w:before="0" w:after="0"/>
              <w:ind w:left="0"/>
              <w:jc w:val="right"/>
              <w:rPr>
                <w:sz w:val="12"/>
                <w:szCs w:val="12"/>
              </w:rPr>
            </w:pPr>
            <w:r w:rsidRPr="009C3005">
              <w:rPr>
                <w:noProof/>
                <w:sz w:val="12"/>
                <w:szCs w:val="12"/>
              </w:rPr>
              <w:t>38 745,34</w:t>
            </w:r>
          </w:p>
        </w:tc>
        <w:tc>
          <w:tcPr>
            <w:tcW w:w="0" w:type="auto"/>
            <w:shd w:val="clear" w:color="auto" w:fill="auto"/>
          </w:tcPr>
          <w:p w14:paraId="35D6D3A1" w14:textId="77777777" w:rsidR="008C5CFA" w:rsidRPr="009C3005" w:rsidRDefault="00E82A60" w:rsidP="00300A01">
            <w:pPr>
              <w:pStyle w:val="Text1"/>
              <w:spacing w:before="0" w:after="0"/>
              <w:ind w:left="0"/>
              <w:jc w:val="right"/>
              <w:rPr>
                <w:sz w:val="12"/>
                <w:szCs w:val="12"/>
              </w:rPr>
            </w:pPr>
            <w:r w:rsidRPr="009C3005">
              <w:rPr>
                <w:noProof/>
                <w:sz w:val="12"/>
                <w:szCs w:val="12"/>
              </w:rPr>
              <w:t>1</w:t>
            </w:r>
          </w:p>
        </w:tc>
      </w:tr>
      <w:tr w:rsidR="006B2EC1" w14:paraId="6CFCA511" w14:textId="77777777" w:rsidTr="0047688D">
        <w:tc>
          <w:tcPr>
            <w:tcW w:w="0" w:type="auto"/>
            <w:shd w:val="clear" w:color="auto" w:fill="auto"/>
          </w:tcPr>
          <w:p w14:paraId="3F95B684" w14:textId="77777777" w:rsidR="008C5CFA" w:rsidRPr="009C3005" w:rsidRDefault="00E82A60" w:rsidP="00300A01">
            <w:pPr>
              <w:pStyle w:val="Text1"/>
              <w:spacing w:before="0" w:after="0"/>
              <w:ind w:left="0"/>
              <w:rPr>
                <w:sz w:val="12"/>
                <w:szCs w:val="12"/>
              </w:rPr>
            </w:pPr>
            <w:r>
              <w:rPr>
                <w:noProof/>
                <w:sz w:val="14"/>
                <w:szCs w:val="14"/>
                <w:lang w:val="fr-BE"/>
              </w:rPr>
              <w:t>4</w:t>
            </w:r>
          </w:p>
        </w:tc>
        <w:tc>
          <w:tcPr>
            <w:tcW w:w="0" w:type="auto"/>
            <w:shd w:val="clear" w:color="auto" w:fill="auto"/>
          </w:tcPr>
          <w:p w14:paraId="6D87CE7A" w14:textId="77777777" w:rsidR="008C5CFA" w:rsidRPr="009C3005" w:rsidRDefault="00E82A60" w:rsidP="00300A01">
            <w:pPr>
              <w:pStyle w:val="Text1"/>
              <w:spacing w:before="0" w:after="0"/>
              <w:ind w:left="0"/>
              <w:rPr>
                <w:sz w:val="12"/>
                <w:szCs w:val="12"/>
              </w:rPr>
            </w:pPr>
            <w:r>
              <w:rPr>
                <w:noProof/>
                <w:sz w:val="12"/>
                <w:szCs w:val="12"/>
              </w:rPr>
              <w:t>EFRR</w:t>
            </w:r>
          </w:p>
        </w:tc>
        <w:tc>
          <w:tcPr>
            <w:tcW w:w="0" w:type="auto"/>
            <w:shd w:val="clear" w:color="auto" w:fill="auto"/>
          </w:tcPr>
          <w:p w14:paraId="0E090713" w14:textId="77777777" w:rsidR="008C5CFA" w:rsidRPr="009C3005" w:rsidRDefault="00E82A60" w:rsidP="00300A01">
            <w:pPr>
              <w:pStyle w:val="Text1"/>
              <w:spacing w:before="0" w:after="0"/>
              <w:ind w:left="0"/>
              <w:rPr>
                <w:sz w:val="12"/>
                <w:szCs w:val="12"/>
              </w:rPr>
            </w:pPr>
            <w:r>
              <w:rPr>
                <w:noProof/>
                <w:sz w:val="12"/>
                <w:szCs w:val="12"/>
              </w:rPr>
              <w:t>Słabiej rozwinięte</w:t>
            </w:r>
          </w:p>
        </w:tc>
        <w:tc>
          <w:tcPr>
            <w:tcW w:w="0" w:type="auto"/>
            <w:shd w:val="clear" w:color="auto" w:fill="auto"/>
          </w:tcPr>
          <w:p w14:paraId="0B6114FC" w14:textId="77777777" w:rsidR="008C5CFA" w:rsidRPr="009C3005" w:rsidRDefault="00E82A60" w:rsidP="00300A01">
            <w:pPr>
              <w:pStyle w:val="Text1"/>
              <w:spacing w:before="0" w:after="0"/>
              <w:ind w:left="0"/>
              <w:rPr>
                <w:sz w:val="12"/>
                <w:szCs w:val="12"/>
              </w:rPr>
            </w:pPr>
            <w:r>
              <w:rPr>
                <w:noProof/>
                <w:sz w:val="12"/>
                <w:szCs w:val="12"/>
              </w:rPr>
              <w:t>085</w:t>
            </w:r>
          </w:p>
        </w:tc>
        <w:tc>
          <w:tcPr>
            <w:tcW w:w="0" w:type="auto"/>
            <w:shd w:val="clear" w:color="auto" w:fill="auto"/>
          </w:tcPr>
          <w:p w14:paraId="266EBA0D"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00E44889" w14:textId="77777777" w:rsidR="008C5CFA" w:rsidRPr="009C3005" w:rsidRDefault="00E82A60" w:rsidP="00300A01">
            <w:pPr>
              <w:pStyle w:val="Text1"/>
              <w:spacing w:before="0" w:after="0"/>
              <w:ind w:left="0"/>
              <w:rPr>
                <w:sz w:val="12"/>
                <w:szCs w:val="12"/>
              </w:rPr>
            </w:pPr>
            <w:r>
              <w:rPr>
                <w:noProof/>
                <w:sz w:val="12"/>
                <w:szCs w:val="12"/>
              </w:rPr>
              <w:t>03</w:t>
            </w:r>
          </w:p>
        </w:tc>
        <w:tc>
          <w:tcPr>
            <w:tcW w:w="0" w:type="auto"/>
            <w:shd w:val="clear" w:color="auto" w:fill="auto"/>
          </w:tcPr>
          <w:p w14:paraId="50BF7201"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5B858015" w14:textId="77777777" w:rsidR="008C5CFA" w:rsidRPr="009C3005" w:rsidRDefault="00E82A60" w:rsidP="00300A01">
            <w:pPr>
              <w:pStyle w:val="Text1"/>
              <w:spacing w:before="0" w:after="0"/>
              <w:ind w:left="0"/>
              <w:rPr>
                <w:sz w:val="12"/>
                <w:szCs w:val="12"/>
              </w:rPr>
            </w:pPr>
            <w:r>
              <w:rPr>
                <w:noProof/>
                <w:sz w:val="12"/>
                <w:szCs w:val="12"/>
              </w:rPr>
              <w:t>06</w:t>
            </w:r>
          </w:p>
        </w:tc>
        <w:tc>
          <w:tcPr>
            <w:tcW w:w="0" w:type="auto"/>
            <w:shd w:val="clear" w:color="auto" w:fill="auto"/>
          </w:tcPr>
          <w:p w14:paraId="2B8F8444" w14:textId="77777777" w:rsidR="008C5CFA" w:rsidRPr="009C3005" w:rsidRDefault="00E82A60" w:rsidP="00300A01">
            <w:pPr>
              <w:pStyle w:val="Text1"/>
              <w:spacing w:before="0" w:after="0"/>
              <w:ind w:left="0"/>
              <w:rPr>
                <w:sz w:val="12"/>
                <w:szCs w:val="12"/>
              </w:rPr>
            </w:pPr>
            <w:r>
              <w:rPr>
                <w:sz w:val="12"/>
                <w:szCs w:val="12"/>
              </w:rPr>
              <w:t xml:space="preserve"> </w:t>
            </w:r>
          </w:p>
        </w:tc>
        <w:tc>
          <w:tcPr>
            <w:tcW w:w="0" w:type="auto"/>
            <w:shd w:val="clear" w:color="auto" w:fill="auto"/>
          </w:tcPr>
          <w:p w14:paraId="3BD1E7FD" w14:textId="77777777" w:rsidR="008C5CFA" w:rsidRPr="009C3005" w:rsidRDefault="00E82A60" w:rsidP="00300A01">
            <w:pPr>
              <w:pStyle w:val="Text1"/>
              <w:spacing w:before="0" w:after="0"/>
              <w:ind w:left="0"/>
              <w:rPr>
                <w:sz w:val="12"/>
                <w:szCs w:val="12"/>
              </w:rPr>
            </w:pPr>
            <w:r>
              <w:rPr>
                <w:noProof/>
                <w:sz w:val="12"/>
                <w:szCs w:val="12"/>
              </w:rPr>
              <w:t>18</w:t>
            </w:r>
          </w:p>
        </w:tc>
        <w:tc>
          <w:tcPr>
            <w:tcW w:w="0" w:type="auto"/>
            <w:shd w:val="clear" w:color="auto" w:fill="auto"/>
          </w:tcPr>
          <w:p w14:paraId="7EBDB317" w14:textId="77777777" w:rsidR="008C5CFA" w:rsidRPr="009C3005" w:rsidRDefault="00E82A60" w:rsidP="00300A01">
            <w:pPr>
              <w:pStyle w:val="Text1"/>
              <w:spacing w:before="0" w:after="0"/>
              <w:ind w:left="0"/>
              <w:rPr>
                <w:sz w:val="12"/>
                <w:szCs w:val="12"/>
              </w:rPr>
            </w:pPr>
            <w:r>
              <w:rPr>
                <w:noProof/>
                <w:sz w:val="12"/>
                <w:szCs w:val="12"/>
              </w:rPr>
              <w:t>PL33</w:t>
            </w:r>
          </w:p>
        </w:tc>
        <w:tc>
          <w:tcPr>
            <w:tcW w:w="0" w:type="auto"/>
            <w:shd w:val="clear" w:color="auto" w:fill="auto"/>
          </w:tcPr>
          <w:p w14:paraId="4E8C85EC" w14:textId="77777777" w:rsidR="008C5CFA" w:rsidRPr="009C3005" w:rsidRDefault="00E82A60" w:rsidP="00300A01">
            <w:pPr>
              <w:pStyle w:val="Text1"/>
              <w:spacing w:before="0" w:after="0"/>
              <w:ind w:left="0"/>
              <w:jc w:val="right"/>
              <w:rPr>
                <w:sz w:val="12"/>
                <w:szCs w:val="12"/>
              </w:rPr>
            </w:pPr>
            <w:r w:rsidRPr="009C3005">
              <w:rPr>
                <w:noProof/>
                <w:sz w:val="12"/>
                <w:szCs w:val="12"/>
              </w:rPr>
              <w:t>546 794,00</w:t>
            </w:r>
          </w:p>
        </w:tc>
        <w:tc>
          <w:tcPr>
            <w:tcW w:w="0" w:type="auto"/>
            <w:shd w:val="clear" w:color="auto" w:fill="auto"/>
          </w:tcPr>
          <w:p w14:paraId="7FFA7F47" w14:textId="77777777" w:rsidR="008C5CFA" w:rsidRPr="009C3005" w:rsidRDefault="00E82A60" w:rsidP="00300A01">
            <w:pPr>
              <w:pStyle w:val="Text1"/>
              <w:spacing w:before="0" w:after="0"/>
              <w:ind w:left="0"/>
              <w:jc w:val="right"/>
              <w:rPr>
                <w:sz w:val="12"/>
                <w:szCs w:val="12"/>
              </w:rPr>
            </w:pPr>
            <w:r w:rsidRPr="009C3005">
              <w:rPr>
                <w:noProof/>
                <w:sz w:val="12"/>
                <w:szCs w:val="12"/>
              </w:rPr>
              <w:t>546 794,00</w:t>
            </w:r>
          </w:p>
        </w:tc>
        <w:tc>
          <w:tcPr>
            <w:tcW w:w="0" w:type="auto"/>
            <w:shd w:val="clear" w:color="auto" w:fill="auto"/>
          </w:tcPr>
          <w:p w14:paraId="47F1D11C" w14:textId="77777777" w:rsidR="008C5CFA" w:rsidRPr="009C3005" w:rsidRDefault="00E82A60" w:rsidP="00300A01">
            <w:pPr>
              <w:pStyle w:val="Text1"/>
              <w:spacing w:before="0" w:after="0"/>
              <w:ind w:left="0"/>
              <w:jc w:val="right"/>
              <w:rPr>
                <w:sz w:val="12"/>
                <w:szCs w:val="12"/>
              </w:rPr>
            </w:pPr>
            <w:r w:rsidRPr="009C3005">
              <w:rPr>
                <w:noProof/>
                <w:sz w:val="12"/>
                <w:szCs w:val="12"/>
              </w:rPr>
              <w:t>268 447,89</w:t>
            </w:r>
          </w:p>
        </w:tc>
        <w:tc>
          <w:tcPr>
            <w:tcW w:w="0" w:type="auto"/>
            <w:shd w:val="clear" w:color="auto" w:fill="auto"/>
          </w:tcPr>
          <w:p w14:paraId="22F00500" w14:textId="77777777" w:rsidR="008C5CFA" w:rsidRPr="009C3005" w:rsidRDefault="00E82A60" w:rsidP="00300A01">
            <w:pPr>
              <w:pStyle w:val="Text1"/>
              <w:spacing w:before="0" w:after="0"/>
              <w:ind w:left="0"/>
              <w:jc w:val="right"/>
              <w:rPr>
                <w:sz w:val="12"/>
                <w:szCs w:val="12"/>
              </w:rPr>
            </w:pPr>
            <w:r w:rsidRPr="009C3005">
              <w:rPr>
                <w:noProof/>
                <w:sz w:val="12"/>
                <w:szCs w:val="12"/>
              </w:rPr>
              <w:t>1</w:t>
            </w:r>
          </w:p>
        </w:tc>
      </w:tr>
      <w:tr w:rsidR="006B2EC1" w14:paraId="56BF864B" w14:textId="77777777" w:rsidTr="0047688D">
        <w:tc>
          <w:tcPr>
            <w:tcW w:w="0" w:type="auto"/>
            <w:shd w:val="clear" w:color="auto" w:fill="auto"/>
          </w:tcPr>
          <w:p w14:paraId="335575BD" w14:textId="77777777" w:rsidR="008C5CFA" w:rsidRPr="009C3005" w:rsidRDefault="00E82A60" w:rsidP="00300A01">
            <w:pPr>
              <w:pStyle w:val="Text1"/>
              <w:spacing w:before="0" w:after="0"/>
              <w:ind w:left="0"/>
              <w:rPr>
                <w:sz w:val="12"/>
                <w:szCs w:val="12"/>
              </w:rPr>
            </w:pPr>
            <w:r>
              <w:rPr>
                <w:noProof/>
                <w:sz w:val="14"/>
                <w:szCs w:val="14"/>
                <w:lang w:val="fr-BE"/>
              </w:rPr>
              <w:t>4</w:t>
            </w:r>
          </w:p>
        </w:tc>
        <w:tc>
          <w:tcPr>
            <w:tcW w:w="0" w:type="auto"/>
            <w:shd w:val="clear" w:color="auto" w:fill="auto"/>
          </w:tcPr>
          <w:p w14:paraId="7092912C" w14:textId="77777777" w:rsidR="008C5CFA" w:rsidRPr="009C3005" w:rsidRDefault="00E82A60" w:rsidP="00300A01">
            <w:pPr>
              <w:pStyle w:val="Text1"/>
              <w:spacing w:before="0" w:after="0"/>
              <w:ind w:left="0"/>
              <w:rPr>
                <w:sz w:val="12"/>
                <w:szCs w:val="12"/>
              </w:rPr>
            </w:pPr>
            <w:r>
              <w:rPr>
                <w:noProof/>
                <w:sz w:val="12"/>
                <w:szCs w:val="12"/>
              </w:rPr>
              <w:t>EFRR</w:t>
            </w:r>
          </w:p>
        </w:tc>
        <w:tc>
          <w:tcPr>
            <w:tcW w:w="0" w:type="auto"/>
            <w:shd w:val="clear" w:color="auto" w:fill="auto"/>
          </w:tcPr>
          <w:p w14:paraId="41D84A0F" w14:textId="77777777" w:rsidR="008C5CFA" w:rsidRPr="009C3005" w:rsidRDefault="00E82A60" w:rsidP="00300A01">
            <w:pPr>
              <w:pStyle w:val="Text1"/>
              <w:spacing w:before="0" w:after="0"/>
              <w:ind w:left="0"/>
              <w:rPr>
                <w:sz w:val="12"/>
                <w:szCs w:val="12"/>
              </w:rPr>
            </w:pPr>
            <w:r>
              <w:rPr>
                <w:noProof/>
                <w:sz w:val="12"/>
                <w:szCs w:val="12"/>
              </w:rPr>
              <w:t>Słabiej rozwinięte</w:t>
            </w:r>
          </w:p>
        </w:tc>
        <w:tc>
          <w:tcPr>
            <w:tcW w:w="0" w:type="auto"/>
            <w:shd w:val="clear" w:color="auto" w:fill="auto"/>
          </w:tcPr>
          <w:p w14:paraId="219DEBB5" w14:textId="77777777" w:rsidR="008C5CFA" w:rsidRPr="009C3005" w:rsidRDefault="00E82A60" w:rsidP="00300A01">
            <w:pPr>
              <w:pStyle w:val="Text1"/>
              <w:spacing w:before="0" w:after="0"/>
              <w:ind w:left="0"/>
              <w:rPr>
                <w:sz w:val="12"/>
                <w:szCs w:val="12"/>
              </w:rPr>
            </w:pPr>
            <w:r>
              <w:rPr>
                <w:noProof/>
                <w:sz w:val="12"/>
                <w:szCs w:val="12"/>
              </w:rPr>
              <w:t>085</w:t>
            </w:r>
          </w:p>
        </w:tc>
        <w:tc>
          <w:tcPr>
            <w:tcW w:w="0" w:type="auto"/>
            <w:shd w:val="clear" w:color="auto" w:fill="auto"/>
          </w:tcPr>
          <w:p w14:paraId="42683274"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326472B8" w14:textId="77777777" w:rsidR="008C5CFA" w:rsidRPr="009C3005" w:rsidRDefault="00E82A60" w:rsidP="00300A01">
            <w:pPr>
              <w:pStyle w:val="Text1"/>
              <w:spacing w:before="0" w:after="0"/>
              <w:ind w:left="0"/>
              <w:rPr>
                <w:sz w:val="12"/>
                <w:szCs w:val="12"/>
              </w:rPr>
            </w:pPr>
            <w:r>
              <w:rPr>
                <w:noProof/>
                <w:sz w:val="12"/>
                <w:szCs w:val="12"/>
              </w:rPr>
              <w:t>03</w:t>
            </w:r>
          </w:p>
        </w:tc>
        <w:tc>
          <w:tcPr>
            <w:tcW w:w="0" w:type="auto"/>
            <w:shd w:val="clear" w:color="auto" w:fill="auto"/>
          </w:tcPr>
          <w:p w14:paraId="5291C9DF"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3DFA3F5C" w14:textId="77777777" w:rsidR="008C5CFA" w:rsidRPr="009C3005" w:rsidRDefault="00E82A60" w:rsidP="00300A01">
            <w:pPr>
              <w:pStyle w:val="Text1"/>
              <w:spacing w:before="0" w:after="0"/>
              <w:ind w:left="0"/>
              <w:rPr>
                <w:sz w:val="12"/>
                <w:szCs w:val="12"/>
              </w:rPr>
            </w:pPr>
            <w:r>
              <w:rPr>
                <w:noProof/>
                <w:sz w:val="12"/>
                <w:szCs w:val="12"/>
              </w:rPr>
              <w:t>06</w:t>
            </w:r>
          </w:p>
        </w:tc>
        <w:tc>
          <w:tcPr>
            <w:tcW w:w="0" w:type="auto"/>
            <w:shd w:val="clear" w:color="auto" w:fill="auto"/>
          </w:tcPr>
          <w:p w14:paraId="445D93F9" w14:textId="77777777" w:rsidR="008C5CFA" w:rsidRPr="009C3005" w:rsidRDefault="00E82A60" w:rsidP="00300A01">
            <w:pPr>
              <w:pStyle w:val="Text1"/>
              <w:spacing w:before="0" w:after="0"/>
              <w:ind w:left="0"/>
              <w:rPr>
                <w:sz w:val="12"/>
                <w:szCs w:val="12"/>
              </w:rPr>
            </w:pPr>
            <w:r>
              <w:rPr>
                <w:sz w:val="12"/>
                <w:szCs w:val="12"/>
              </w:rPr>
              <w:t xml:space="preserve"> </w:t>
            </w:r>
          </w:p>
        </w:tc>
        <w:tc>
          <w:tcPr>
            <w:tcW w:w="0" w:type="auto"/>
            <w:shd w:val="clear" w:color="auto" w:fill="auto"/>
          </w:tcPr>
          <w:p w14:paraId="55029258" w14:textId="77777777" w:rsidR="008C5CFA" w:rsidRPr="009C3005" w:rsidRDefault="00E82A60" w:rsidP="00300A01">
            <w:pPr>
              <w:pStyle w:val="Text1"/>
              <w:spacing w:before="0" w:after="0"/>
              <w:ind w:left="0"/>
              <w:rPr>
                <w:sz w:val="12"/>
                <w:szCs w:val="12"/>
              </w:rPr>
            </w:pPr>
            <w:r>
              <w:rPr>
                <w:noProof/>
                <w:sz w:val="12"/>
                <w:szCs w:val="12"/>
              </w:rPr>
              <w:t>22</w:t>
            </w:r>
          </w:p>
        </w:tc>
        <w:tc>
          <w:tcPr>
            <w:tcW w:w="0" w:type="auto"/>
            <w:shd w:val="clear" w:color="auto" w:fill="auto"/>
          </w:tcPr>
          <w:p w14:paraId="5EB52078" w14:textId="77777777" w:rsidR="008C5CFA" w:rsidRPr="009C3005" w:rsidRDefault="00E82A60" w:rsidP="00300A01">
            <w:pPr>
              <w:pStyle w:val="Text1"/>
              <w:spacing w:before="0" w:after="0"/>
              <w:ind w:left="0"/>
              <w:rPr>
                <w:sz w:val="12"/>
                <w:szCs w:val="12"/>
              </w:rPr>
            </w:pPr>
            <w:r>
              <w:rPr>
                <w:noProof/>
                <w:sz w:val="12"/>
                <w:szCs w:val="12"/>
              </w:rPr>
              <w:t>PL33</w:t>
            </w:r>
          </w:p>
        </w:tc>
        <w:tc>
          <w:tcPr>
            <w:tcW w:w="0" w:type="auto"/>
            <w:shd w:val="clear" w:color="auto" w:fill="auto"/>
          </w:tcPr>
          <w:p w14:paraId="65AB8803" w14:textId="77777777" w:rsidR="008C5CFA" w:rsidRPr="009C3005" w:rsidRDefault="00E82A60" w:rsidP="00300A01">
            <w:pPr>
              <w:pStyle w:val="Text1"/>
              <w:spacing w:before="0" w:after="0"/>
              <w:ind w:left="0"/>
              <w:jc w:val="right"/>
              <w:rPr>
                <w:sz w:val="12"/>
                <w:szCs w:val="12"/>
              </w:rPr>
            </w:pPr>
            <w:r w:rsidRPr="009C3005">
              <w:rPr>
                <w:noProof/>
                <w:sz w:val="12"/>
                <w:szCs w:val="12"/>
              </w:rPr>
              <w:t>2 777 719,28</w:t>
            </w:r>
          </w:p>
        </w:tc>
        <w:tc>
          <w:tcPr>
            <w:tcW w:w="0" w:type="auto"/>
            <w:shd w:val="clear" w:color="auto" w:fill="auto"/>
          </w:tcPr>
          <w:p w14:paraId="008DD4ED" w14:textId="77777777" w:rsidR="008C5CFA" w:rsidRPr="009C3005" w:rsidRDefault="00E82A60" w:rsidP="00300A01">
            <w:pPr>
              <w:pStyle w:val="Text1"/>
              <w:spacing w:before="0" w:after="0"/>
              <w:ind w:left="0"/>
              <w:jc w:val="right"/>
              <w:rPr>
                <w:sz w:val="12"/>
                <w:szCs w:val="12"/>
              </w:rPr>
            </w:pPr>
            <w:r w:rsidRPr="009C3005">
              <w:rPr>
                <w:noProof/>
                <w:sz w:val="12"/>
                <w:szCs w:val="12"/>
              </w:rPr>
              <w:t>2 777 719,28</w:t>
            </w:r>
          </w:p>
        </w:tc>
        <w:tc>
          <w:tcPr>
            <w:tcW w:w="0" w:type="auto"/>
            <w:shd w:val="clear" w:color="auto" w:fill="auto"/>
          </w:tcPr>
          <w:p w14:paraId="5C2E48E9" w14:textId="77777777" w:rsidR="008C5CFA" w:rsidRPr="009C3005" w:rsidRDefault="00E82A60" w:rsidP="00300A01">
            <w:pPr>
              <w:pStyle w:val="Text1"/>
              <w:spacing w:before="0" w:after="0"/>
              <w:ind w:left="0"/>
              <w:jc w:val="right"/>
              <w:rPr>
                <w:sz w:val="12"/>
                <w:szCs w:val="12"/>
              </w:rPr>
            </w:pPr>
            <w:r w:rsidRPr="009C3005">
              <w:rPr>
                <w:noProof/>
                <w:sz w:val="12"/>
                <w:szCs w:val="12"/>
              </w:rPr>
              <w:t>0,00</w:t>
            </w:r>
          </w:p>
        </w:tc>
        <w:tc>
          <w:tcPr>
            <w:tcW w:w="0" w:type="auto"/>
            <w:shd w:val="clear" w:color="auto" w:fill="auto"/>
          </w:tcPr>
          <w:p w14:paraId="76AFF10D" w14:textId="77777777" w:rsidR="008C5CFA" w:rsidRPr="009C3005" w:rsidRDefault="00E82A60" w:rsidP="00300A01">
            <w:pPr>
              <w:pStyle w:val="Text1"/>
              <w:spacing w:before="0" w:after="0"/>
              <w:ind w:left="0"/>
              <w:jc w:val="right"/>
              <w:rPr>
                <w:sz w:val="12"/>
                <w:szCs w:val="12"/>
              </w:rPr>
            </w:pPr>
            <w:r w:rsidRPr="009C3005">
              <w:rPr>
                <w:noProof/>
                <w:sz w:val="12"/>
                <w:szCs w:val="12"/>
              </w:rPr>
              <w:t>1</w:t>
            </w:r>
          </w:p>
        </w:tc>
      </w:tr>
      <w:tr w:rsidR="006B2EC1" w14:paraId="32A1F0A8" w14:textId="77777777" w:rsidTr="0047688D">
        <w:tc>
          <w:tcPr>
            <w:tcW w:w="0" w:type="auto"/>
            <w:shd w:val="clear" w:color="auto" w:fill="auto"/>
          </w:tcPr>
          <w:p w14:paraId="0C8FCDC8" w14:textId="77777777" w:rsidR="008C5CFA" w:rsidRPr="009C3005" w:rsidRDefault="00E82A60" w:rsidP="00300A01">
            <w:pPr>
              <w:pStyle w:val="Text1"/>
              <w:spacing w:before="0" w:after="0"/>
              <w:ind w:left="0"/>
              <w:rPr>
                <w:sz w:val="12"/>
                <w:szCs w:val="12"/>
              </w:rPr>
            </w:pPr>
            <w:r>
              <w:rPr>
                <w:noProof/>
                <w:sz w:val="14"/>
                <w:szCs w:val="14"/>
                <w:lang w:val="fr-BE"/>
              </w:rPr>
              <w:t>4</w:t>
            </w:r>
          </w:p>
        </w:tc>
        <w:tc>
          <w:tcPr>
            <w:tcW w:w="0" w:type="auto"/>
            <w:shd w:val="clear" w:color="auto" w:fill="auto"/>
          </w:tcPr>
          <w:p w14:paraId="03D61FAB" w14:textId="77777777" w:rsidR="008C5CFA" w:rsidRPr="009C3005" w:rsidRDefault="00E82A60" w:rsidP="00300A01">
            <w:pPr>
              <w:pStyle w:val="Text1"/>
              <w:spacing w:before="0" w:after="0"/>
              <w:ind w:left="0"/>
              <w:rPr>
                <w:sz w:val="12"/>
                <w:szCs w:val="12"/>
              </w:rPr>
            </w:pPr>
            <w:r>
              <w:rPr>
                <w:noProof/>
                <w:sz w:val="12"/>
                <w:szCs w:val="12"/>
              </w:rPr>
              <w:t>EFRR</w:t>
            </w:r>
          </w:p>
        </w:tc>
        <w:tc>
          <w:tcPr>
            <w:tcW w:w="0" w:type="auto"/>
            <w:shd w:val="clear" w:color="auto" w:fill="auto"/>
          </w:tcPr>
          <w:p w14:paraId="48898477" w14:textId="77777777" w:rsidR="008C5CFA" w:rsidRPr="009C3005" w:rsidRDefault="00E82A60" w:rsidP="00300A01">
            <w:pPr>
              <w:pStyle w:val="Text1"/>
              <w:spacing w:before="0" w:after="0"/>
              <w:ind w:left="0"/>
              <w:rPr>
                <w:sz w:val="12"/>
                <w:szCs w:val="12"/>
              </w:rPr>
            </w:pPr>
            <w:r>
              <w:rPr>
                <w:noProof/>
                <w:sz w:val="12"/>
                <w:szCs w:val="12"/>
              </w:rPr>
              <w:t>Słabiej rozwinięte</w:t>
            </w:r>
          </w:p>
        </w:tc>
        <w:tc>
          <w:tcPr>
            <w:tcW w:w="0" w:type="auto"/>
            <w:shd w:val="clear" w:color="auto" w:fill="auto"/>
          </w:tcPr>
          <w:p w14:paraId="5EAB9C8D" w14:textId="77777777" w:rsidR="008C5CFA" w:rsidRPr="009C3005" w:rsidRDefault="00E82A60" w:rsidP="00300A01">
            <w:pPr>
              <w:pStyle w:val="Text1"/>
              <w:spacing w:before="0" w:after="0"/>
              <w:ind w:left="0"/>
              <w:rPr>
                <w:sz w:val="12"/>
                <w:szCs w:val="12"/>
              </w:rPr>
            </w:pPr>
            <w:r>
              <w:rPr>
                <w:noProof/>
                <w:sz w:val="12"/>
                <w:szCs w:val="12"/>
              </w:rPr>
              <w:t>087</w:t>
            </w:r>
          </w:p>
        </w:tc>
        <w:tc>
          <w:tcPr>
            <w:tcW w:w="0" w:type="auto"/>
            <w:shd w:val="clear" w:color="auto" w:fill="auto"/>
          </w:tcPr>
          <w:p w14:paraId="78A1A676"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6C7BE384" w14:textId="77777777" w:rsidR="008C5CFA" w:rsidRPr="009C3005" w:rsidRDefault="00E82A60" w:rsidP="00300A01">
            <w:pPr>
              <w:pStyle w:val="Text1"/>
              <w:spacing w:before="0" w:after="0"/>
              <w:ind w:left="0"/>
              <w:rPr>
                <w:sz w:val="12"/>
                <w:szCs w:val="12"/>
              </w:rPr>
            </w:pPr>
            <w:r>
              <w:rPr>
                <w:noProof/>
                <w:sz w:val="12"/>
                <w:szCs w:val="12"/>
              </w:rPr>
              <w:t>02</w:t>
            </w:r>
          </w:p>
        </w:tc>
        <w:tc>
          <w:tcPr>
            <w:tcW w:w="0" w:type="auto"/>
            <w:shd w:val="clear" w:color="auto" w:fill="auto"/>
          </w:tcPr>
          <w:p w14:paraId="67D43975"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53AD3D1B" w14:textId="77777777" w:rsidR="008C5CFA" w:rsidRPr="009C3005" w:rsidRDefault="00E82A60" w:rsidP="00300A01">
            <w:pPr>
              <w:pStyle w:val="Text1"/>
              <w:spacing w:before="0" w:after="0"/>
              <w:ind w:left="0"/>
              <w:rPr>
                <w:sz w:val="12"/>
                <w:szCs w:val="12"/>
              </w:rPr>
            </w:pPr>
            <w:r>
              <w:rPr>
                <w:noProof/>
                <w:sz w:val="12"/>
                <w:szCs w:val="12"/>
              </w:rPr>
              <w:t>05</w:t>
            </w:r>
          </w:p>
        </w:tc>
        <w:tc>
          <w:tcPr>
            <w:tcW w:w="0" w:type="auto"/>
            <w:shd w:val="clear" w:color="auto" w:fill="auto"/>
          </w:tcPr>
          <w:p w14:paraId="380E1B76" w14:textId="77777777" w:rsidR="008C5CFA" w:rsidRPr="009C3005" w:rsidRDefault="00E82A60" w:rsidP="00300A01">
            <w:pPr>
              <w:pStyle w:val="Text1"/>
              <w:spacing w:before="0" w:after="0"/>
              <w:ind w:left="0"/>
              <w:rPr>
                <w:sz w:val="12"/>
                <w:szCs w:val="12"/>
              </w:rPr>
            </w:pPr>
            <w:r>
              <w:rPr>
                <w:sz w:val="12"/>
                <w:szCs w:val="12"/>
              </w:rPr>
              <w:t xml:space="preserve"> </w:t>
            </w:r>
          </w:p>
        </w:tc>
        <w:tc>
          <w:tcPr>
            <w:tcW w:w="0" w:type="auto"/>
            <w:shd w:val="clear" w:color="auto" w:fill="auto"/>
          </w:tcPr>
          <w:p w14:paraId="104051DD" w14:textId="77777777" w:rsidR="008C5CFA" w:rsidRPr="009C3005" w:rsidRDefault="00E82A60" w:rsidP="00300A01">
            <w:pPr>
              <w:pStyle w:val="Text1"/>
              <w:spacing w:before="0" w:after="0"/>
              <w:ind w:left="0"/>
              <w:rPr>
                <w:sz w:val="12"/>
                <w:szCs w:val="12"/>
              </w:rPr>
            </w:pPr>
            <w:r>
              <w:rPr>
                <w:noProof/>
                <w:sz w:val="12"/>
                <w:szCs w:val="12"/>
              </w:rPr>
              <w:t>18</w:t>
            </w:r>
          </w:p>
        </w:tc>
        <w:tc>
          <w:tcPr>
            <w:tcW w:w="0" w:type="auto"/>
            <w:shd w:val="clear" w:color="auto" w:fill="auto"/>
          </w:tcPr>
          <w:p w14:paraId="0E915684" w14:textId="77777777" w:rsidR="008C5CFA" w:rsidRPr="009C3005" w:rsidRDefault="00E82A60" w:rsidP="00300A01">
            <w:pPr>
              <w:pStyle w:val="Text1"/>
              <w:spacing w:before="0" w:after="0"/>
              <w:ind w:left="0"/>
              <w:rPr>
                <w:sz w:val="12"/>
                <w:szCs w:val="12"/>
              </w:rPr>
            </w:pPr>
            <w:r>
              <w:rPr>
                <w:noProof/>
                <w:sz w:val="12"/>
                <w:szCs w:val="12"/>
              </w:rPr>
              <w:t>PL33</w:t>
            </w:r>
          </w:p>
        </w:tc>
        <w:tc>
          <w:tcPr>
            <w:tcW w:w="0" w:type="auto"/>
            <w:shd w:val="clear" w:color="auto" w:fill="auto"/>
          </w:tcPr>
          <w:p w14:paraId="78B0C783" w14:textId="77777777" w:rsidR="008C5CFA" w:rsidRPr="009C3005" w:rsidRDefault="00E82A60" w:rsidP="00300A01">
            <w:pPr>
              <w:pStyle w:val="Text1"/>
              <w:spacing w:before="0" w:after="0"/>
              <w:ind w:left="0"/>
              <w:jc w:val="right"/>
              <w:rPr>
                <w:sz w:val="12"/>
                <w:szCs w:val="12"/>
              </w:rPr>
            </w:pPr>
            <w:r w:rsidRPr="009C3005">
              <w:rPr>
                <w:noProof/>
                <w:sz w:val="12"/>
                <w:szCs w:val="12"/>
              </w:rPr>
              <w:t>1 256 952,97</w:t>
            </w:r>
          </w:p>
        </w:tc>
        <w:tc>
          <w:tcPr>
            <w:tcW w:w="0" w:type="auto"/>
            <w:shd w:val="clear" w:color="auto" w:fill="auto"/>
          </w:tcPr>
          <w:p w14:paraId="30E2EA52" w14:textId="77777777" w:rsidR="008C5CFA" w:rsidRPr="009C3005" w:rsidRDefault="00E82A60" w:rsidP="00300A01">
            <w:pPr>
              <w:pStyle w:val="Text1"/>
              <w:spacing w:before="0" w:after="0"/>
              <w:ind w:left="0"/>
              <w:jc w:val="right"/>
              <w:rPr>
                <w:sz w:val="12"/>
                <w:szCs w:val="12"/>
              </w:rPr>
            </w:pPr>
            <w:r w:rsidRPr="009C3005">
              <w:rPr>
                <w:noProof/>
                <w:sz w:val="12"/>
                <w:szCs w:val="12"/>
              </w:rPr>
              <w:t>1 256 952,97</w:t>
            </w:r>
          </w:p>
        </w:tc>
        <w:tc>
          <w:tcPr>
            <w:tcW w:w="0" w:type="auto"/>
            <w:shd w:val="clear" w:color="auto" w:fill="auto"/>
          </w:tcPr>
          <w:p w14:paraId="0C441DD7" w14:textId="77777777" w:rsidR="008C5CFA" w:rsidRPr="009C3005" w:rsidRDefault="00E82A60" w:rsidP="00300A01">
            <w:pPr>
              <w:pStyle w:val="Text1"/>
              <w:spacing w:before="0" w:after="0"/>
              <w:ind w:left="0"/>
              <w:jc w:val="right"/>
              <w:rPr>
                <w:sz w:val="12"/>
                <w:szCs w:val="12"/>
              </w:rPr>
            </w:pPr>
            <w:r w:rsidRPr="009C3005">
              <w:rPr>
                <w:noProof/>
                <w:sz w:val="12"/>
                <w:szCs w:val="12"/>
              </w:rPr>
              <w:t>816 413,25</w:t>
            </w:r>
          </w:p>
        </w:tc>
        <w:tc>
          <w:tcPr>
            <w:tcW w:w="0" w:type="auto"/>
            <w:shd w:val="clear" w:color="auto" w:fill="auto"/>
          </w:tcPr>
          <w:p w14:paraId="2C39709D" w14:textId="77777777" w:rsidR="008C5CFA" w:rsidRPr="009C3005" w:rsidRDefault="00E82A60" w:rsidP="00300A01">
            <w:pPr>
              <w:pStyle w:val="Text1"/>
              <w:spacing w:before="0" w:after="0"/>
              <w:ind w:left="0"/>
              <w:jc w:val="right"/>
              <w:rPr>
                <w:sz w:val="12"/>
                <w:szCs w:val="12"/>
              </w:rPr>
            </w:pPr>
            <w:r w:rsidRPr="009C3005">
              <w:rPr>
                <w:noProof/>
                <w:sz w:val="12"/>
                <w:szCs w:val="12"/>
              </w:rPr>
              <w:t>6</w:t>
            </w:r>
          </w:p>
        </w:tc>
      </w:tr>
      <w:tr w:rsidR="006B2EC1" w14:paraId="313747EC" w14:textId="77777777" w:rsidTr="0047688D">
        <w:tc>
          <w:tcPr>
            <w:tcW w:w="0" w:type="auto"/>
            <w:shd w:val="clear" w:color="auto" w:fill="auto"/>
          </w:tcPr>
          <w:p w14:paraId="099A2AA9" w14:textId="77777777" w:rsidR="008C5CFA" w:rsidRPr="009C3005" w:rsidRDefault="00E82A60" w:rsidP="00300A01">
            <w:pPr>
              <w:pStyle w:val="Text1"/>
              <w:spacing w:before="0" w:after="0"/>
              <w:ind w:left="0"/>
              <w:rPr>
                <w:sz w:val="12"/>
                <w:szCs w:val="12"/>
              </w:rPr>
            </w:pPr>
            <w:r>
              <w:rPr>
                <w:noProof/>
                <w:sz w:val="14"/>
                <w:szCs w:val="14"/>
                <w:lang w:val="fr-BE"/>
              </w:rPr>
              <w:t>4</w:t>
            </w:r>
          </w:p>
        </w:tc>
        <w:tc>
          <w:tcPr>
            <w:tcW w:w="0" w:type="auto"/>
            <w:shd w:val="clear" w:color="auto" w:fill="auto"/>
          </w:tcPr>
          <w:p w14:paraId="7A634FC3" w14:textId="77777777" w:rsidR="008C5CFA" w:rsidRPr="009C3005" w:rsidRDefault="00E82A60" w:rsidP="00300A01">
            <w:pPr>
              <w:pStyle w:val="Text1"/>
              <w:spacing w:before="0" w:after="0"/>
              <w:ind w:left="0"/>
              <w:rPr>
                <w:sz w:val="12"/>
                <w:szCs w:val="12"/>
              </w:rPr>
            </w:pPr>
            <w:r>
              <w:rPr>
                <w:noProof/>
                <w:sz w:val="12"/>
                <w:szCs w:val="12"/>
              </w:rPr>
              <w:t>EFRR</w:t>
            </w:r>
          </w:p>
        </w:tc>
        <w:tc>
          <w:tcPr>
            <w:tcW w:w="0" w:type="auto"/>
            <w:shd w:val="clear" w:color="auto" w:fill="auto"/>
          </w:tcPr>
          <w:p w14:paraId="4EF7D8C9" w14:textId="77777777" w:rsidR="008C5CFA" w:rsidRPr="009C3005" w:rsidRDefault="00E82A60" w:rsidP="00300A01">
            <w:pPr>
              <w:pStyle w:val="Text1"/>
              <w:spacing w:before="0" w:after="0"/>
              <w:ind w:left="0"/>
              <w:rPr>
                <w:sz w:val="12"/>
                <w:szCs w:val="12"/>
              </w:rPr>
            </w:pPr>
            <w:r>
              <w:rPr>
                <w:noProof/>
                <w:sz w:val="12"/>
                <w:szCs w:val="12"/>
              </w:rPr>
              <w:t>Słabiej rozwinięte</w:t>
            </w:r>
          </w:p>
        </w:tc>
        <w:tc>
          <w:tcPr>
            <w:tcW w:w="0" w:type="auto"/>
            <w:shd w:val="clear" w:color="auto" w:fill="auto"/>
          </w:tcPr>
          <w:p w14:paraId="1544750F" w14:textId="77777777" w:rsidR="008C5CFA" w:rsidRPr="009C3005" w:rsidRDefault="00E82A60" w:rsidP="00300A01">
            <w:pPr>
              <w:pStyle w:val="Text1"/>
              <w:spacing w:before="0" w:after="0"/>
              <w:ind w:left="0"/>
              <w:rPr>
                <w:sz w:val="12"/>
                <w:szCs w:val="12"/>
              </w:rPr>
            </w:pPr>
            <w:r>
              <w:rPr>
                <w:noProof/>
                <w:sz w:val="12"/>
                <w:szCs w:val="12"/>
              </w:rPr>
              <w:t>087</w:t>
            </w:r>
          </w:p>
        </w:tc>
        <w:tc>
          <w:tcPr>
            <w:tcW w:w="0" w:type="auto"/>
            <w:shd w:val="clear" w:color="auto" w:fill="auto"/>
          </w:tcPr>
          <w:p w14:paraId="7E4B7259"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2F6EBF7D" w14:textId="77777777" w:rsidR="008C5CFA" w:rsidRPr="009C3005" w:rsidRDefault="00E82A60" w:rsidP="00300A01">
            <w:pPr>
              <w:pStyle w:val="Text1"/>
              <w:spacing w:before="0" w:after="0"/>
              <w:ind w:left="0"/>
              <w:rPr>
                <w:sz w:val="12"/>
                <w:szCs w:val="12"/>
              </w:rPr>
            </w:pPr>
            <w:r>
              <w:rPr>
                <w:noProof/>
                <w:sz w:val="12"/>
                <w:szCs w:val="12"/>
              </w:rPr>
              <w:t>02</w:t>
            </w:r>
          </w:p>
        </w:tc>
        <w:tc>
          <w:tcPr>
            <w:tcW w:w="0" w:type="auto"/>
            <w:shd w:val="clear" w:color="auto" w:fill="auto"/>
          </w:tcPr>
          <w:p w14:paraId="46B4DB54"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234EF2D8" w14:textId="77777777" w:rsidR="008C5CFA" w:rsidRPr="009C3005" w:rsidRDefault="00E82A60" w:rsidP="00300A01">
            <w:pPr>
              <w:pStyle w:val="Text1"/>
              <w:spacing w:before="0" w:after="0"/>
              <w:ind w:left="0"/>
              <w:rPr>
                <w:sz w:val="12"/>
                <w:szCs w:val="12"/>
              </w:rPr>
            </w:pPr>
            <w:r>
              <w:rPr>
                <w:noProof/>
                <w:sz w:val="12"/>
                <w:szCs w:val="12"/>
              </w:rPr>
              <w:t>05</w:t>
            </w:r>
          </w:p>
        </w:tc>
        <w:tc>
          <w:tcPr>
            <w:tcW w:w="0" w:type="auto"/>
            <w:shd w:val="clear" w:color="auto" w:fill="auto"/>
          </w:tcPr>
          <w:p w14:paraId="26C70D54" w14:textId="77777777" w:rsidR="008C5CFA" w:rsidRPr="009C3005" w:rsidRDefault="00E82A60" w:rsidP="00300A01">
            <w:pPr>
              <w:pStyle w:val="Text1"/>
              <w:spacing w:before="0" w:after="0"/>
              <w:ind w:left="0"/>
              <w:rPr>
                <w:sz w:val="12"/>
                <w:szCs w:val="12"/>
              </w:rPr>
            </w:pPr>
            <w:r>
              <w:rPr>
                <w:sz w:val="12"/>
                <w:szCs w:val="12"/>
              </w:rPr>
              <w:t xml:space="preserve"> </w:t>
            </w:r>
          </w:p>
        </w:tc>
        <w:tc>
          <w:tcPr>
            <w:tcW w:w="0" w:type="auto"/>
            <w:shd w:val="clear" w:color="auto" w:fill="auto"/>
          </w:tcPr>
          <w:p w14:paraId="3D572695" w14:textId="77777777" w:rsidR="008C5CFA" w:rsidRPr="009C3005" w:rsidRDefault="00E82A60" w:rsidP="00300A01">
            <w:pPr>
              <w:pStyle w:val="Text1"/>
              <w:spacing w:before="0" w:after="0"/>
              <w:ind w:left="0"/>
              <w:rPr>
                <w:sz w:val="12"/>
                <w:szCs w:val="12"/>
              </w:rPr>
            </w:pPr>
            <w:r>
              <w:rPr>
                <w:noProof/>
                <w:sz w:val="12"/>
                <w:szCs w:val="12"/>
              </w:rPr>
              <w:t>24</w:t>
            </w:r>
          </w:p>
        </w:tc>
        <w:tc>
          <w:tcPr>
            <w:tcW w:w="0" w:type="auto"/>
            <w:shd w:val="clear" w:color="auto" w:fill="auto"/>
          </w:tcPr>
          <w:p w14:paraId="536FFE84" w14:textId="77777777" w:rsidR="008C5CFA" w:rsidRPr="009C3005" w:rsidRDefault="00E82A60" w:rsidP="00300A01">
            <w:pPr>
              <w:pStyle w:val="Text1"/>
              <w:spacing w:before="0" w:after="0"/>
              <w:ind w:left="0"/>
              <w:rPr>
                <w:sz w:val="12"/>
                <w:szCs w:val="12"/>
              </w:rPr>
            </w:pPr>
            <w:r>
              <w:rPr>
                <w:noProof/>
                <w:sz w:val="12"/>
                <w:szCs w:val="12"/>
              </w:rPr>
              <w:t>PL33</w:t>
            </w:r>
          </w:p>
        </w:tc>
        <w:tc>
          <w:tcPr>
            <w:tcW w:w="0" w:type="auto"/>
            <w:shd w:val="clear" w:color="auto" w:fill="auto"/>
          </w:tcPr>
          <w:p w14:paraId="0A83E65F" w14:textId="77777777" w:rsidR="008C5CFA" w:rsidRPr="009C3005" w:rsidRDefault="00E82A60" w:rsidP="00300A01">
            <w:pPr>
              <w:pStyle w:val="Text1"/>
              <w:spacing w:before="0" w:after="0"/>
              <w:ind w:left="0"/>
              <w:jc w:val="right"/>
              <w:rPr>
                <w:sz w:val="12"/>
                <w:szCs w:val="12"/>
              </w:rPr>
            </w:pPr>
            <w:r w:rsidRPr="009C3005">
              <w:rPr>
                <w:noProof/>
                <w:sz w:val="12"/>
                <w:szCs w:val="12"/>
              </w:rPr>
              <w:t>178 430,47</w:t>
            </w:r>
          </w:p>
        </w:tc>
        <w:tc>
          <w:tcPr>
            <w:tcW w:w="0" w:type="auto"/>
            <w:shd w:val="clear" w:color="auto" w:fill="auto"/>
          </w:tcPr>
          <w:p w14:paraId="01298AE1" w14:textId="77777777" w:rsidR="008C5CFA" w:rsidRPr="009C3005" w:rsidRDefault="00E82A60" w:rsidP="00300A01">
            <w:pPr>
              <w:pStyle w:val="Text1"/>
              <w:spacing w:before="0" w:after="0"/>
              <w:ind w:left="0"/>
              <w:jc w:val="right"/>
              <w:rPr>
                <w:sz w:val="12"/>
                <w:szCs w:val="12"/>
              </w:rPr>
            </w:pPr>
            <w:r w:rsidRPr="009C3005">
              <w:rPr>
                <w:noProof/>
                <w:sz w:val="12"/>
                <w:szCs w:val="12"/>
              </w:rPr>
              <w:t>178 430,47</w:t>
            </w:r>
          </w:p>
        </w:tc>
        <w:tc>
          <w:tcPr>
            <w:tcW w:w="0" w:type="auto"/>
            <w:shd w:val="clear" w:color="auto" w:fill="auto"/>
          </w:tcPr>
          <w:p w14:paraId="31C18E57" w14:textId="77777777" w:rsidR="008C5CFA" w:rsidRPr="009C3005" w:rsidRDefault="00E82A60" w:rsidP="00300A01">
            <w:pPr>
              <w:pStyle w:val="Text1"/>
              <w:spacing w:before="0" w:after="0"/>
              <w:ind w:left="0"/>
              <w:jc w:val="right"/>
              <w:rPr>
                <w:sz w:val="12"/>
                <w:szCs w:val="12"/>
              </w:rPr>
            </w:pPr>
            <w:r w:rsidRPr="009C3005">
              <w:rPr>
                <w:noProof/>
                <w:sz w:val="12"/>
                <w:szCs w:val="12"/>
              </w:rPr>
              <w:t>178 430,47</w:t>
            </w:r>
          </w:p>
        </w:tc>
        <w:tc>
          <w:tcPr>
            <w:tcW w:w="0" w:type="auto"/>
            <w:shd w:val="clear" w:color="auto" w:fill="auto"/>
          </w:tcPr>
          <w:p w14:paraId="697E66B6" w14:textId="77777777" w:rsidR="008C5CFA" w:rsidRPr="009C3005" w:rsidRDefault="00E82A60" w:rsidP="00300A01">
            <w:pPr>
              <w:pStyle w:val="Text1"/>
              <w:spacing w:before="0" w:after="0"/>
              <w:ind w:left="0"/>
              <w:jc w:val="right"/>
              <w:rPr>
                <w:sz w:val="12"/>
                <w:szCs w:val="12"/>
              </w:rPr>
            </w:pPr>
            <w:r w:rsidRPr="009C3005">
              <w:rPr>
                <w:noProof/>
                <w:sz w:val="12"/>
                <w:szCs w:val="12"/>
              </w:rPr>
              <w:t>1</w:t>
            </w:r>
          </w:p>
        </w:tc>
      </w:tr>
      <w:tr w:rsidR="006B2EC1" w14:paraId="76E046B5" w14:textId="77777777" w:rsidTr="0047688D">
        <w:tc>
          <w:tcPr>
            <w:tcW w:w="0" w:type="auto"/>
            <w:shd w:val="clear" w:color="auto" w:fill="auto"/>
          </w:tcPr>
          <w:p w14:paraId="30CEE4D4" w14:textId="77777777" w:rsidR="008C5CFA" w:rsidRPr="009C3005" w:rsidRDefault="00E82A60" w:rsidP="00300A01">
            <w:pPr>
              <w:pStyle w:val="Text1"/>
              <w:spacing w:before="0" w:after="0"/>
              <w:ind w:left="0"/>
              <w:rPr>
                <w:sz w:val="12"/>
                <w:szCs w:val="12"/>
              </w:rPr>
            </w:pPr>
            <w:r>
              <w:rPr>
                <w:noProof/>
                <w:sz w:val="14"/>
                <w:szCs w:val="14"/>
                <w:lang w:val="fr-BE"/>
              </w:rPr>
              <w:t>4</w:t>
            </w:r>
          </w:p>
        </w:tc>
        <w:tc>
          <w:tcPr>
            <w:tcW w:w="0" w:type="auto"/>
            <w:shd w:val="clear" w:color="auto" w:fill="auto"/>
          </w:tcPr>
          <w:p w14:paraId="0C2D666C" w14:textId="77777777" w:rsidR="008C5CFA" w:rsidRPr="009C3005" w:rsidRDefault="00E82A60" w:rsidP="00300A01">
            <w:pPr>
              <w:pStyle w:val="Text1"/>
              <w:spacing w:before="0" w:after="0"/>
              <w:ind w:left="0"/>
              <w:rPr>
                <w:sz w:val="12"/>
                <w:szCs w:val="12"/>
              </w:rPr>
            </w:pPr>
            <w:r>
              <w:rPr>
                <w:noProof/>
                <w:sz w:val="12"/>
                <w:szCs w:val="12"/>
              </w:rPr>
              <w:t>EFRR</w:t>
            </w:r>
          </w:p>
        </w:tc>
        <w:tc>
          <w:tcPr>
            <w:tcW w:w="0" w:type="auto"/>
            <w:shd w:val="clear" w:color="auto" w:fill="auto"/>
          </w:tcPr>
          <w:p w14:paraId="44BEE2B3" w14:textId="77777777" w:rsidR="008C5CFA" w:rsidRPr="009C3005" w:rsidRDefault="00E82A60" w:rsidP="00300A01">
            <w:pPr>
              <w:pStyle w:val="Text1"/>
              <w:spacing w:before="0" w:after="0"/>
              <w:ind w:left="0"/>
              <w:rPr>
                <w:sz w:val="12"/>
                <w:szCs w:val="12"/>
              </w:rPr>
            </w:pPr>
            <w:r>
              <w:rPr>
                <w:noProof/>
                <w:sz w:val="12"/>
                <w:szCs w:val="12"/>
              </w:rPr>
              <w:t>Słabiej rozwinięte</w:t>
            </w:r>
          </w:p>
        </w:tc>
        <w:tc>
          <w:tcPr>
            <w:tcW w:w="0" w:type="auto"/>
            <w:shd w:val="clear" w:color="auto" w:fill="auto"/>
          </w:tcPr>
          <w:p w14:paraId="6A0BBFF9" w14:textId="77777777" w:rsidR="008C5CFA" w:rsidRPr="009C3005" w:rsidRDefault="00E82A60" w:rsidP="00300A01">
            <w:pPr>
              <w:pStyle w:val="Text1"/>
              <w:spacing w:before="0" w:after="0"/>
              <w:ind w:left="0"/>
              <w:rPr>
                <w:sz w:val="12"/>
                <w:szCs w:val="12"/>
              </w:rPr>
            </w:pPr>
            <w:r>
              <w:rPr>
                <w:noProof/>
                <w:sz w:val="12"/>
                <w:szCs w:val="12"/>
              </w:rPr>
              <w:t>087</w:t>
            </w:r>
          </w:p>
        </w:tc>
        <w:tc>
          <w:tcPr>
            <w:tcW w:w="0" w:type="auto"/>
            <w:shd w:val="clear" w:color="auto" w:fill="auto"/>
          </w:tcPr>
          <w:p w14:paraId="5FD09037"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5F39893C" w14:textId="77777777" w:rsidR="008C5CFA" w:rsidRPr="009C3005" w:rsidRDefault="00E82A60" w:rsidP="00300A01">
            <w:pPr>
              <w:pStyle w:val="Text1"/>
              <w:spacing w:before="0" w:after="0"/>
              <w:ind w:left="0"/>
              <w:rPr>
                <w:sz w:val="12"/>
                <w:szCs w:val="12"/>
              </w:rPr>
            </w:pPr>
            <w:r>
              <w:rPr>
                <w:noProof/>
                <w:sz w:val="12"/>
                <w:szCs w:val="12"/>
              </w:rPr>
              <w:t>03</w:t>
            </w:r>
          </w:p>
        </w:tc>
        <w:tc>
          <w:tcPr>
            <w:tcW w:w="0" w:type="auto"/>
            <w:shd w:val="clear" w:color="auto" w:fill="auto"/>
          </w:tcPr>
          <w:p w14:paraId="3D52BB48"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29E795FE" w14:textId="77777777" w:rsidR="008C5CFA" w:rsidRPr="009C3005" w:rsidRDefault="00E82A60" w:rsidP="00300A01">
            <w:pPr>
              <w:pStyle w:val="Text1"/>
              <w:spacing w:before="0" w:after="0"/>
              <w:ind w:left="0"/>
              <w:rPr>
                <w:sz w:val="12"/>
                <w:szCs w:val="12"/>
              </w:rPr>
            </w:pPr>
            <w:r>
              <w:rPr>
                <w:noProof/>
                <w:sz w:val="12"/>
                <w:szCs w:val="12"/>
              </w:rPr>
              <w:t>05</w:t>
            </w:r>
          </w:p>
        </w:tc>
        <w:tc>
          <w:tcPr>
            <w:tcW w:w="0" w:type="auto"/>
            <w:shd w:val="clear" w:color="auto" w:fill="auto"/>
          </w:tcPr>
          <w:p w14:paraId="34720D23" w14:textId="77777777" w:rsidR="008C5CFA" w:rsidRPr="009C3005" w:rsidRDefault="00E82A60" w:rsidP="00300A01">
            <w:pPr>
              <w:pStyle w:val="Text1"/>
              <w:spacing w:before="0" w:after="0"/>
              <w:ind w:left="0"/>
              <w:rPr>
                <w:sz w:val="12"/>
                <w:szCs w:val="12"/>
              </w:rPr>
            </w:pPr>
            <w:r>
              <w:rPr>
                <w:sz w:val="12"/>
                <w:szCs w:val="12"/>
              </w:rPr>
              <w:t xml:space="preserve"> </w:t>
            </w:r>
          </w:p>
        </w:tc>
        <w:tc>
          <w:tcPr>
            <w:tcW w:w="0" w:type="auto"/>
            <w:shd w:val="clear" w:color="auto" w:fill="auto"/>
          </w:tcPr>
          <w:p w14:paraId="166EC5B8" w14:textId="77777777" w:rsidR="008C5CFA" w:rsidRPr="009C3005" w:rsidRDefault="00E82A60" w:rsidP="00300A01">
            <w:pPr>
              <w:pStyle w:val="Text1"/>
              <w:spacing w:before="0" w:after="0"/>
              <w:ind w:left="0"/>
              <w:rPr>
                <w:sz w:val="12"/>
                <w:szCs w:val="12"/>
              </w:rPr>
            </w:pPr>
            <w:r>
              <w:rPr>
                <w:noProof/>
                <w:sz w:val="12"/>
                <w:szCs w:val="12"/>
              </w:rPr>
              <w:t>18</w:t>
            </w:r>
          </w:p>
        </w:tc>
        <w:tc>
          <w:tcPr>
            <w:tcW w:w="0" w:type="auto"/>
            <w:shd w:val="clear" w:color="auto" w:fill="auto"/>
          </w:tcPr>
          <w:p w14:paraId="32A3DAB1" w14:textId="77777777" w:rsidR="008C5CFA" w:rsidRPr="009C3005" w:rsidRDefault="00E82A60" w:rsidP="00300A01">
            <w:pPr>
              <w:pStyle w:val="Text1"/>
              <w:spacing w:before="0" w:after="0"/>
              <w:ind w:left="0"/>
              <w:rPr>
                <w:sz w:val="12"/>
                <w:szCs w:val="12"/>
              </w:rPr>
            </w:pPr>
            <w:r>
              <w:rPr>
                <w:noProof/>
                <w:sz w:val="12"/>
                <w:szCs w:val="12"/>
              </w:rPr>
              <w:t>PL33</w:t>
            </w:r>
          </w:p>
        </w:tc>
        <w:tc>
          <w:tcPr>
            <w:tcW w:w="0" w:type="auto"/>
            <w:shd w:val="clear" w:color="auto" w:fill="auto"/>
          </w:tcPr>
          <w:p w14:paraId="530990A4" w14:textId="77777777" w:rsidR="008C5CFA" w:rsidRPr="009C3005" w:rsidRDefault="00E82A60" w:rsidP="00300A01">
            <w:pPr>
              <w:pStyle w:val="Text1"/>
              <w:spacing w:before="0" w:after="0"/>
              <w:ind w:left="0"/>
              <w:jc w:val="right"/>
              <w:rPr>
                <w:sz w:val="12"/>
                <w:szCs w:val="12"/>
              </w:rPr>
            </w:pPr>
            <w:r w:rsidRPr="009C3005">
              <w:rPr>
                <w:noProof/>
                <w:sz w:val="12"/>
                <w:szCs w:val="12"/>
              </w:rPr>
              <w:t>3 605 305,96</w:t>
            </w:r>
          </w:p>
        </w:tc>
        <w:tc>
          <w:tcPr>
            <w:tcW w:w="0" w:type="auto"/>
            <w:shd w:val="clear" w:color="auto" w:fill="auto"/>
          </w:tcPr>
          <w:p w14:paraId="30FEC356" w14:textId="77777777" w:rsidR="008C5CFA" w:rsidRPr="009C3005" w:rsidRDefault="00E82A60" w:rsidP="00300A01">
            <w:pPr>
              <w:pStyle w:val="Text1"/>
              <w:spacing w:before="0" w:after="0"/>
              <w:ind w:left="0"/>
              <w:jc w:val="right"/>
              <w:rPr>
                <w:sz w:val="12"/>
                <w:szCs w:val="12"/>
              </w:rPr>
            </w:pPr>
            <w:r w:rsidRPr="009C3005">
              <w:rPr>
                <w:noProof/>
                <w:sz w:val="12"/>
                <w:szCs w:val="12"/>
              </w:rPr>
              <w:t>3 605 305,96</w:t>
            </w:r>
          </w:p>
        </w:tc>
        <w:tc>
          <w:tcPr>
            <w:tcW w:w="0" w:type="auto"/>
            <w:shd w:val="clear" w:color="auto" w:fill="auto"/>
          </w:tcPr>
          <w:p w14:paraId="38989954" w14:textId="77777777" w:rsidR="008C5CFA" w:rsidRPr="009C3005" w:rsidRDefault="00E82A60" w:rsidP="00300A01">
            <w:pPr>
              <w:pStyle w:val="Text1"/>
              <w:spacing w:before="0" w:after="0"/>
              <w:ind w:left="0"/>
              <w:jc w:val="right"/>
              <w:rPr>
                <w:sz w:val="12"/>
                <w:szCs w:val="12"/>
              </w:rPr>
            </w:pPr>
            <w:r w:rsidRPr="009C3005">
              <w:rPr>
                <w:noProof/>
                <w:sz w:val="12"/>
                <w:szCs w:val="12"/>
              </w:rPr>
              <w:t>3 005 617,66</w:t>
            </w:r>
          </w:p>
        </w:tc>
        <w:tc>
          <w:tcPr>
            <w:tcW w:w="0" w:type="auto"/>
            <w:shd w:val="clear" w:color="auto" w:fill="auto"/>
          </w:tcPr>
          <w:p w14:paraId="513EF23F" w14:textId="77777777" w:rsidR="008C5CFA" w:rsidRPr="009C3005" w:rsidRDefault="00E82A60" w:rsidP="00300A01">
            <w:pPr>
              <w:pStyle w:val="Text1"/>
              <w:spacing w:before="0" w:after="0"/>
              <w:ind w:left="0"/>
              <w:jc w:val="right"/>
              <w:rPr>
                <w:sz w:val="12"/>
                <w:szCs w:val="12"/>
              </w:rPr>
            </w:pPr>
            <w:r w:rsidRPr="009C3005">
              <w:rPr>
                <w:noProof/>
                <w:sz w:val="12"/>
                <w:szCs w:val="12"/>
              </w:rPr>
              <w:t>21</w:t>
            </w:r>
          </w:p>
        </w:tc>
      </w:tr>
      <w:tr w:rsidR="006B2EC1" w14:paraId="01B98F9F" w14:textId="77777777" w:rsidTr="0047688D">
        <w:tc>
          <w:tcPr>
            <w:tcW w:w="0" w:type="auto"/>
            <w:shd w:val="clear" w:color="auto" w:fill="auto"/>
          </w:tcPr>
          <w:p w14:paraId="15057635" w14:textId="77777777" w:rsidR="008C5CFA" w:rsidRPr="009C3005" w:rsidRDefault="00E82A60" w:rsidP="00300A01">
            <w:pPr>
              <w:pStyle w:val="Text1"/>
              <w:spacing w:before="0" w:after="0"/>
              <w:ind w:left="0"/>
              <w:rPr>
                <w:sz w:val="12"/>
                <w:szCs w:val="12"/>
              </w:rPr>
            </w:pPr>
            <w:r>
              <w:rPr>
                <w:noProof/>
                <w:sz w:val="14"/>
                <w:szCs w:val="14"/>
                <w:lang w:val="fr-BE"/>
              </w:rPr>
              <w:t>4</w:t>
            </w:r>
          </w:p>
        </w:tc>
        <w:tc>
          <w:tcPr>
            <w:tcW w:w="0" w:type="auto"/>
            <w:shd w:val="clear" w:color="auto" w:fill="auto"/>
          </w:tcPr>
          <w:p w14:paraId="0D948AD3" w14:textId="77777777" w:rsidR="008C5CFA" w:rsidRPr="009C3005" w:rsidRDefault="00E82A60" w:rsidP="00300A01">
            <w:pPr>
              <w:pStyle w:val="Text1"/>
              <w:spacing w:before="0" w:after="0"/>
              <w:ind w:left="0"/>
              <w:rPr>
                <w:sz w:val="12"/>
                <w:szCs w:val="12"/>
              </w:rPr>
            </w:pPr>
            <w:r>
              <w:rPr>
                <w:noProof/>
                <w:sz w:val="12"/>
                <w:szCs w:val="12"/>
              </w:rPr>
              <w:t>EFRR</w:t>
            </w:r>
          </w:p>
        </w:tc>
        <w:tc>
          <w:tcPr>
            <w:tcW w:w="0" w:type="auto"/>
            <w:shd w:val="clear" w:color="auto" w:fill="auto"/>
          </w:tcPr>
          <w:p w14:paraId="169E83A4" w14:textId="77777777" w:rsidR="008C5CFA" w:rsidRPr="009C3005" w:rsidRDefault="00E82A60" w:rsidP="00300A01">
            <w:pPr>
              <w:pStyle w:val="Text1"/>
              <w:spacing w:before="0" w:after="0"/>
              <w:ind w:left="0"/>
              <w:rPr>
                <w:sz w:val="12"/>
                <w:szCs w:val="12"/>
              </w:rPr>
            </w:pPr>
            <w:r>
              <w:rPr>
                <w:noProof/>
                <w:sz w:val="12"/>
                <w:szCs w:val="12"/>
              </w:rPr>
              <w:t>Słabiej rozwinięte</w:t>
            </w:r>
          </w:p>
        </w:tc>
        <w:tc>
          <w:tcPr>
            <w:tcW w:w="0" w:type="auto"/>
            <w:shd w:val="clear" w:color="auto" w:fill="auto"/>
          </w:tcPr>
          <w:p w14:paraId="5A2CECE3" w14:textId="77777777" w:rsidR="008C5CFA" w:rsidRPr="009C3005" w:rsidRDefault="00E82A60" w:rsidP="00300A01">
            <w:pPr>
              <w:pStyle w:val="Text1"/>
              <w:spacing w:before="0" w:after="0"/>
              <w:ind w:left="0"/>
              <w:rPr>
                <w:sz w:val="12"/>
                <w:szCs w:val="12"/>
              </w:rPr>
            </w:pPr>
            <w:r>
              <w:rPr>
                <w:noProof/>
                <w:sz w:val="12"/>
                <w:szCs w:val="12"/>
              </w:rPr>
              <w:t>087</w:t>
            </w:r>
          </w:p>
        </w:tc>
        <w:tc>
          <w:tcPr>
            <w:tcW w:w="0" w:type="auto"/>
            <w:shd w:val="clear" w:color="auto" w:fill="auto"/>
          </w:tcPr>
          <w:p w14:paraId="0888B728"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7FE72237" w14:textId="77777777" w:rsidR="008C5CFA" w:rsidRPr="009C3005" w:rsidRDefault="00E82A60" w:rsidP="00300A01">
            <w:pPr>
              <w:pStyle w:val="Text1"/>
              <w:spacing w:before="0" w:after="0"/>
              <w:ind w:left="0"/>
              <w:rPr>
                <w:sz w:val="12"/>
                <w:szCs w:val="12"/>
              </w:rPr>
            </w:pPr>
            <w:r>
              <w:rPr>
                <w:noProof/>
                <w:sz w:val="12"/>
                <w:szCs w:val="12"/>
              </w:rPr>
              <w:t>03</w:t>
            </w:r>
          </w:p>
        </w:tc>
        <w:tc>
          <w:tcPr>
            <w:tcW w:w="0" w:type="auto"/>
            <w:shd w:val="clear" w:color="auto" w:fill="auto"/>
          </w:tcPr>
          <w:p w14:paraId="61188A05"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0573CD58" w14:textId="77777777" w:rsidR="008C5CFA" w:rsidRPr="009C3005" w:rsidRDefault="00E82A60" w:rsidP="00300A01">
            <w:pPr>
              <w:pStyle w:val="Text1"/>
              <w:spacing w:before="0" w:after="0"/>
              <w:ind w:left="0"/>
              <w:rPr>
                <w:sz w:val="12"/>
                <w:szCs w:val="12"/>
              </w:rPr>
            </w:pPr>
            <w:r>
              <w:rPr>
                <w:noProof/>
                <w:sz w:val="12"/>
                <w:szCs w:val="12"/>
              </w:rPr>
              <w:t>05</w:t>
            </w:r>
          </w:p>
        </w:tc>
        <w:tc>
          <w:tcPr>
            <w:tcW w:w="0" w:type="auto"/>
            <w:shd w:val="clear" w:color="auto" w:fill="auto"/>
          </w:tcPr>
          <w:p w14:paraId="46994F2F" w14:textId="77777777" w:rsidR="008C5CFA" w:rsidRPr="009C3005" w:rsidRDefault="00E82A60" w:rsidP="00300A01">
            <w:pPr>
              <w:pStyle w:val="Text1"/>
              <w:spacing w:before="0" w:after="0"/>
              <w:ind w:left="0"/>
              <w:rPr>
                <w:sz w:val="12"/>
                <w:szCs w:val="12"/>
              </w:rPr>
            </w:pPr>
            <w:r>
              <w:rPr>
                <w:sz w:val="12"/>
                <w:szCs w:val="12"/>
              </w:rPr>
              <w:t xml:space="preserve"> </w:t>
            </w:r>
          </w:p>
        </w:tc>
        <w:tc>
          <w:tcPr>
            <w:tcW w:w="0" w:type="auto"/>
            <w:shd w:val="clear" w:color="auto" w:fill="auto"/>
          </w:tcPr>
          <w:p w14:paraId="027F89FB" w14:textId="77777777" w:rsidR="008C5CFA" w:rsidRPr="009C3005" w:rsidRDefault="00E82A60" w:rsidP="00300A01">
            <w:pPr>
              <w:pStyle w:val="Text1"/>
              <w:spacing w:before="0" w:after="0"/>
              <w:ind w:left="0"/>
              <w:rPr>
                <w:sz w:val="12"/>
                <w:szCs w:val="12"/>
              </w:rPr>
            </w:pPr>
            <w:r>
              <w:rPr>
                <w:noProof/>
                <w:sz w:val="12"/>
                <w:szCs w:val="12"/>
              </w:rPr>
              <w:t>24</w:t>
            </w:r>
          </w:p>
        </w:tc>
        <w:tc>
          <w:tcPr>
            <w:tcW w:w="0" w:type="auto"/>
            <w:shd w:val="clear" w:color="auto" w:fill="auto"/>
          </w:tcPr>
          <w:p w14:paraId="71DD15BB" w14:textId="77777777" w:rsidR="008C5CFA" w:rsidRPr="009C3005" w:rsidRDefault="00E82A60" w:rsidP="00300A01">
            <w:pPr>
              <w:pStyle w:val="Text1"/>
              <w:spacing w:before="0" w:after="0"/>
              <w:ind w:left="0"/>
              <w:rPr>
                <w:sz w:val="12"/>
                <w:szCs w:val="12"/>
              </w:rPr>
            </w:pPr>
            <w:r>
              <w:rPr>
                <w:noProof/>
                <w:sz w:val="12"/>
                <w:szCs w:val="12"/>
              </w:rPr>
              <w:t>PL33</w:t>
            </w:r>
          </w:p>
        </w:tc>
        <w:tc>
          <w:tcPr>
            <w:tcW w:w="0" w:type="auto"/>
            <w:shd w:val="clear" w:color="auto" w:fill="auto"/>
          </w:tcPr>
          <w:p w14:paraId="4997A5F0" w14:textId="77777777" w:rsidR="008C5CFA" w:rsidRPr="009C3005" w:rsidRDefault="00E82A60" w:rsidP="00300A01">
            <w:pPr>
              <w:pStyle w:val="Text1"/>
              <w:spacing w:before="0" w:after="0"/>
              <w:ind w:left="0"/>
              <w:jc w:val="right"/>
              <w:rPr>
                <w:sz w:val="12"/>
                <w:szCs w:val="12"/>
              </w:rPr>
            </w:pPr>
            <w:r w:rsidRPr="009C3005">
              <w:rPr>
                <w:noProof/>
                <w:sz w:val="12"/>
                <w:szCs w:val="12"/>
              </w:rPr>
              <w:t>229 579,66</w:t>
            </w:r>
          </w:p>
        </w:tc>
        <w:tc>
          <w:tcPr>
            <w:tcW w:w="0" w:type="auto"/>
            <w:shd w:val="clear" w:color="auto" w:fill="auto"/>
          </w:tcPr>
          <w:p w14:paraId="59C5D475" w14:textId="77777777" w:rsidR="008C5CFA" w:rsidRPr="009C3005" w:rsidRDefault="00E82A60" w:rsidP="00300A01">
            <w:pPr>
              <w:pStyle w:val="Text1"/>
              <w:spacing w:before="0" w:after="0"/>
              <w:ind w:left="0"/>
              <w:jc w:val="right"/>
              <w:rPr>
                <w:sz w:val="12"/>
                <w:szCs w:val="12"/>
              </w:rPr>
            </w:pPr>
            <w:r w:rsidRPr="009C3005">
              <w:rPr>
                <w:noProof/>
                <w:sz w:val="12"/>
                <w:szCs w:val="12"/>
              </w:rPr>
              <w:t>217 932,14</w:t>
            </w:r>
          </w:p>
        </w:tc>
        <w:tc>
          <w:tcPr>
            <w:tcW w:w="0" w:type="auto"/>
            <w:shd w:val="clear" w:color="auto" w:fill="auto"/>
          </w:tcPr>
          <w:p w14:paraId="15747867" w14:textId="77777777" w:rsidR="008C5CFA" w:rsidRPr="009C3005" w:rsidRDefault="00E82A60" w:rsidP="00300A01">
            <w:pPr>
              <w:pStyle w:val="Text1"/>
              <w:spacing w:before="0" w:after="0"/>
              <w:ind w:left="0"/>
              <w:jc w:val="right"/>
              <w:rPr>
                <w:sz w:val="12"/>
                <w:szCs w:val="12"/>
              </w:rPr>
            </w:pPr>
            <w:r w:rsidRPr="009C3005">
              <w:rPr>
                <w:noProof/>
                <w:sz w:val="12"/>
                <w:szCs w:val="12"/>
              </w:rPr>
              <w:t>229 579,66</w:t>
            </w:r>
          </w:p>
        </w:tc>
        <w:tc>
          <w:tcPr>
            <w:tcW w:w="0" w:type="auto"/>
            <w:shd w:val="clear" w:color="auto" w:fill="auto"/>
          </w:tcPr>
          <w:p w14:paraId="303BD079" w14:textId="77777777" w:rsidR="008C5CFA" w:rsidRPr="009C3005" w:rsidRDefault="00E82A60" w:rsidP="00300A01">
            <w:pPr>
              <w:pStyle w:val="Text1"/>
              <w:spacing w:before="0" w:after="0"/>
              <w:ind w:left="0"/>
              <w:jc w:val="right"/>
              <w:rPr>
                <w:sz w:val="12"/>
                <w:szCs w:val="12"/>
              </w:rPr>
            </w:pPr>
            <w:r w:rsidRPr="009C3005">
              <w:rPr>
                <w:noProof/>
                <w:sz w:val="12"/>
                <w:szCs w:val="12"/>
              </w:rPr>
              <w:t>2</w:t>
            </w:r>
          </w:p>
        </w:tc>
      </w:tr>
      <w:tr w:rsidR="006B2EC1" w14:paraId="489E02F0" w14:textId="77777777" w:rsidTr="0047688D">
        <w:tc>
          <w:tcPr>
            <w:tcW w:w="0" w:type="auto"/>
            <w:shd w:val="clear" w:color="auto" w:fill="auto"/>
          </w:tcPr>
          <w:p w14:paraId="46C77C2F" w14:textId="77777777" w:rsidR="008C5CFA" w:rsidRPr="009C3005" w:rsidRDefault="00E82A60" w:rsidP="00300A01">
            <w:pPr>
              <w:pStyle w:val="Text1"/>
              <w:spacing w:before="0" w:after="0"/>
              <w:ind w:left="0"/>
              <w:rPr>
                <w:sz w:val="12"/>
                <w:szCs w:val="12"/>
              </w:rPr>
            </w:pPr>
            <w:r>
              <w:rPr>
                <w:noProof/>
                <w:sz w:val="14"/>
                <w:szCs w:val="14"/>
                <w:lang w:val="fr-BE"/>
              </w:rPr>
              <w:t>4</w:t>
            </w:r>
          </w:p>
        </w:tc>
        <w:tc>
          <w:tcPr>
            <w:tcW w:w="0" w:type="auto"/>
            <w:shd w:val="clear" w:color="auto" w:fill="auto"/>
          </w:tcPr>
          <w:p w14:paraId="6DF40478" w14:textId="77777777" w:rsidR="008C5CFA" w:rsidRPr="009C3005" w:rsidRDefault="00E82A60" w:rsidP="00300A01">
            <w:pPr>
              <w:pStyle w:val="Text1"/>
              <w:spacing w:before="0" w:after="0"/>
              <w:ind w:left="0"/>
              <w:rPr>
                <w:sz w:val="12"/>
                <w:szCs w:val="12"/>
              </w:rPr>
            </w:pPr>
            <w:r>
              <w:rPr>
                <w:noProof/>
                <w:sz w:val="12"/>
                <w:szCs w:val="12"/>
              </w:rPr>
              <w:t>EFRR</w:t>
            </w:r>
          </w:p>
        </w:tc>
        <w:tc>
          <w:tcPr>
            <w:tcW w:w="0" w:type="auto"/>
            <w:shd w:val="clear" w:color="auto" w:fill="auto"/>
          </w:tcPr>
          <w:p w14:paraId="455C67EE" w14:textId="77777777" w:rsidR="008C5CFA" w:rsidRPr="009C3005" w:rsidRDefault="00E82A60" w:rsidP="00300A01">
            <w:pPr>
              <w:pStyle w:val="Text1"/>
              <w:spacing w:before="0" w:after="0"/>
              <w:ind w:left="0"/>
              <w:rPr>
                <w:sz w:val="12"/>
                <w:szCs w:val="12"/>
              </w:rPr>
            </w:pPr>
            <w:r>
              <w:rPr>
                <w:noProof/>
                <w:sz w:val="12"/>
                <w:szCs w:val="12"/>
              </w:rPr>
              <w:t>Słabiej rozwinięte</w:t>
            </w:r>
          </w:p>
        </w:tc>
        <w:tc>
          <w:tcPr>
            <w:tcW w:w="0" w:type="auto"/>
            <w:shd w:val="clear" w:color="auto" w:fill="auto"/>
          </w:tcPr>
          <w:p w14:paraId="050BE484" w14:textId="77777777" w:rsidR="008C5CFA" w:rsidRPr="009C3005" w:rsidRDefault="00E82A60" w:rsidP="00300A01">
            <w:pPr>
              <w:pStyle w:val="Text1"/>
              <w:spacing w:before="0" w:after="0"/>
              <w:ind w:left="0"/>
              <w:rPr>
                <w:sz w:val="12"/>
                <w:szCs w:val="12"/>
              </w:rPr>
            </w:pPr>
            <w:r>
              <w:rPr>
                <w:noProof/>
                <w:sz w:val="12"/>
                <w:szCs w:val="12"/>
              </w:rPr>
              <w:t>090</w:t>
            </w:r>
          </w:p>
        </w:tc>
        <w:tc>
          <w:tcPr>
            <w:tcW w:w="0" w:type="auto"/>
            <w:shd w:val="clear" w:color="auto" w:fill="auto"/>
          </w:tcPr>
          <w:p w14:paraId="344A4145"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1FB6B914" w14:textId="77777777" w:rsidR="008C5CFA" w:rsidRPr="009C3005" w:rsidRDefault="00E82A60" w:rsidP="00300A01">
            <w:pPr>
              <w:pStyle w:val="Text1"/>
              <w:spacing w:before="0" w:after="0"/>
              <w:ind w:left="0"/>
              <w:rPr>
                <w:sz w:val="12"/>
                <w:szCs w:val="12"/>
              </w:rPr>
            </w:pPr>
            <w:r>
              <w:rPr>
                <w:noProof/>
                <w:sz w:val="12"/>
                <w:szCs w:val="12"/>
              </w:rPr>
              <w:t>03</w:t>
            </w:r>
          </w:p>
        </w:tc>
        <w:tc>
          <w:tcPr>
            <w:tcW w:w="0" w:type="auto"/>
            <w:shd w:val="clear" w:color="auto" w:fill="auto"/>
          </w:tcPr>
          <w:p w14:paraId="3FE6F2E8"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1A01826E" w14:textId="77777777" w:rsidR="008C5CFA" w:rsidRPr="009C3005" w:rsidRDefault="00E82A60" w:rsidP="00300A01">
            <w:pPr>
              <w:pStyle w:val="Text1"/>
              <w:spacing w:before="0" w:after="0"/>
              <w:ind w:left="0"/>
              <w:rPr>
                <w:sz w:val="12"/>
                <w:szCs w:val="12"/>
              </w:rPr>
            </w:pPr>
            <w:r>
              <w:rPr>
                <w:noProof/>
                <w:sz w:val="12"/>
                <w:szCs w:val="12"/>
              </w:rPr>
              <w:t>06</w:t>
            </w:r>
          </w:p>
        </w:tc>
        <w:tc>
          <w:tcPr>
            <w:tcW w:w="0" w:type="auto"/>
            <w:shd w:val="clear" w:color="auto" w:fill="auto"/>
          </w:tcPr>
          <w:p w14:paraId="46F568C3" w14:textId="77777777" w:rsidR="008C5CFA" w:rsidRPr="009C3005" w:rsidRDefault="00E82A60" w:rsidP="00300A01">
            <w:pPr>
              <w:pStyle w:val="Text1"/>
              <w:spacing w:before="0" w:after="0"/>
              <w:ind w:left="0"/>
              <w:rPr>
                <w:sz w:val="12"/>
                <w:szCs w:val="12"/>
              </w:rPr>
            </w:pPr>
            <w:r>
              <w:rPr>
                <w:sz w:val="12"/>
                <w:szCs w:val="12"/>
              </w:rPr>
              <w:t xml:space="preserve"> </w:t>
            </w:r>
          </w:p>
        </w:tc>
        <w:tc>
          <w:tcPr>
            <w:tcW w:w="0" w:type="auto"/>
            <w:shd w:val="clear" w:color="auto" w:fill="auto"/>
          </w:tcPr>
          <w:p w14:paraId="4FC0E086" w14:textId="77777777" w:rsidR="008C5CFA" w:rsidRPr="009C3005" w:rsidRDefault="00E82A60" w:rsidP="00300A01">
            <w:pPr>
              <w:pStyle w:val="Text1"/>
              <w:spacing w:before="0" w:after="0"/>
              <w:ind w:left="0"/>
              <w:rPr>
                <w:sz w:val="12"/>
                <w:szCs w:val="12"/>
              </w:rPr>
            </w:pPr>
            <w:r>
              <w:rPr>
                <w:noProof/>
                <w:sz w:val="12"/>
                <w:szCs w:val="12"/>
              </w:rPr>
              <w:t>18</w:t>
            </w:r>
          </w:p>
        </w:tc>
        <w:tc>
          <w:tcPr>
            <w:tcW w:w="0" w:type="auto"/>
            <w:shd w:val="clear" w:color="auto" w:fill="auto"/>
          </w:tcPr>
          <w:p w14:paraId="35724CCC" w14:textId="77777777" w:rsidR="008C5CFA" w:rsidRPr="009C3005" w:rsidRDefault="00E82A60" w:rsidP="00300A01">
            <w:pPr>
              <w:pStyle w:val="Text1"/>
              <w:spacing w:before="0" w:after="0"/>
              <w:ind w:left="0"/>
              <w:rPr>
                <w:sz w:val="12"/>
                <w:szCs w:val="12"/>
              </w:rPr>
            </w:pPr>
            <w:r>
              <w:rPr>
                <w:noProof/>
                <w:sz w:val="12"/>
                <w:szCs w:val="12"/>
              </w:rPr>
              <w:t>PL33</w:t>
            </w:r>
          </w:p>
        </w:tc>
        <w:tc>
          <w:tcPr>
            <w:tcW w:w="0" w:type="auto"/>
            <w:shd w:val="clear" w:color="auto" w:fill="auto"/>
          </w:tcPr>
          <w:p w14:paraId="7CF8F8F6" w14:textId="77777777" w:rsidR="008C5CFA" w:rsidRPr="009C3005" w:rsidRDefault="00E82A60" w:rsidP="00300A01">
            <w:pPr>
              <w:pStyle w:val="Text1"/>
              <w:spacing w:before="0" w:after="0"/>
              <w:ind w:left="0"/>
              <w:jc w:val="right"/>
              <w:rPr>
                <w:sz w:val="12"/>
                <w:szCs w:val="12"/>
              </w:rPr>
            </w:pPr>
            <w:r w:rsidRPr="009C3005">
              <w:rPr>
                <w:noProof/>
                <w:sz w:val="12"/>
                <w:szCs w:val="12"/>
              </w:rPr>
              <w:t>4 895 624,32</w:t>
            </w:r>
          </w:p>
        </w:tc>
        <w:tc>
          <w:tcPr>
            <w:tcW w:w="0" w:type="auto"/>
            <w:shd w:val="clear" w:color="auto" w:fill="auto"/>
          </w:tcPr>
          <w:p w14:paraId="7673E0D0" w14:textId="77777777" w:rsidR="008C5CFA" w:rsidRPr="009C3005" w:rsidRDefault="00E82A60" w:rsidP="00300A01">
            <w:pPr>
              <w:pStyle w:val="Text1"/>
              <w:spacing w:before="0" w:after="0"/>
              <w:ind w:left="0"/>
              <w:jc w:val="right"/>
              <w:rPr>
                <w:sz w:val="12"/>
                <w:szCs w:val="12"/>
              </w:rPr>
            </w:pPr>
            <w:r w:rsidRPr="009C3005">
              <w:rPr>
                <w:noProof/>
                <w:sz w:val="12"/>
                <w:szCs w:val="12"/>
              </w:rPr>
              <w:t>4 895 624,32</w:t>
            </w:r>
          </w:p>
        </w:tc>
        <w:tc>
          <w:tcPr>
            <w:tcW w:w="0" w:type="auto"/>
            <w:shd w:val="clear" w:color="auto" w:fill="auto"/>
          </w:tcPr>
          <w:p w14:paraId="568477AF" w14:textId="77777777" w:rsidR="008C5CFA" w:rsidRPr="009C3005" w:rsidRDefault="00E82A60" w:rsidP="00300A01">
            <w:pPr>
              <w:pStyle w:val="Text1"/>
              <w:spacing w:before="0" w:after="0"/>
              <w:ind w:left="0"/>
              <w:jc w:val="right"/>
              <w:rPr>
                <w:sz w:val="12"/>
                <w:szCs w:val="12"/>
              </w:rPr>
            </w:pPr>
            <w:r w:rsidRPr="009C3005">
              <w:rPr>
                <w:noProof/>
                <w:sz w:val="12"/>
                <w:szCs w:val="12"/>
              </w:rPr>
              <w:t>428 214,34</w:t>
            </w:r>
          </w:p>
        </w:tc>
        <w:tc>
          <w:tcPr>
            <w:tcW w:w="0" w:type="auto"/>
            <w:shd w:val="clear" w:color="auto" w:fill="auto"/>
          </w:tcPr>
          <w:p w14:paraId="32F0529C" w14:textId="77777777" w:rsidR="008C5CFA" w:rsidRPr="009C3005" w:rsidRDefault="00E82A60" w:rsidP="00300A01">
            <w:pPr>
              <w:pStyle w:val="Text1"/>
              <w:spacing w:before="0" w:after="0"/>
              <w:ind w:left="0"/>
              <w:jc w:val="right"/>
              <w:rPr>
                <w:sz w:val="12"/>
                <w:szCs w:val="12"/>
              </w:rPr>
            </w:pPr>
            <w:r w:rsidRPr="009C3005">
              <w:rPr>
                <w:noProof/>
                <w:sz w:val="12"/>
                <w:szCs w:val="12"/>
              </w:rPr>
              <w:t>3</w:t>
            </w:r>
          </w:p>
        </w:tc>
      </w:tr>
      <w:tr w:rsidR="006B2EC1" w14:paraId="0A9C05A0" w14:textId="77777777" w:rsidTr="0047688D">
        <w:tc>
          <w:tcPr>
            <w:tcW w:w="0" w:type="auto"/>
            <w:shd w:val="clear" w:color="auto" w:fill="auto"/>
          </w:tcPr>
          <w:p w14:paraId="70E389FA" w14:textId="77777777" w:rsidR="008C5CFA" w:rsidRPr="009C3005" w:rsidRDefault="00E82A60" w:rsidP="00300A01">
            <w:pPr>
              <w:pStyle w:val="Text1"/>
              <w:spacing w:before="0" w:after="0"/>
              <w:ind w:left="0"/>
              <w:rPr>
                <w:sz w:val="12"/>
                <w:szCs w:val="12"/>
              </w:rPr>
            </w:pPr>
            <w:r>
              <w:rPr>
                <w:noProof/>
                <w:sz w:val="14"/>
                <w:szCs w:val="14"/>
                <w:lang w:val="fr-BE"/>
              </w:rPr>
              <w:t>4</w:t>
            </w:r>
          </w:p>
        </w:tc>
        <w:tc>
          <w:tcPr>
            <w:tcW w:w="0" w:type="auto"/>
            <w:shd w:val="clear" w:color="auto" w:fill="auto"/>
          </w:tcPr>
          <w:p w14:paraId="64311F06" w14:textId="77777777" w:rsidR="008C5CFA" w:rsidRPr="009C3005" w:rsidRDefault="00E82A60" w:rsidP="00300A01">
            <w:pPr>
              <w:pStyle w:val="Text1"/>
              <w:spacing w:before="0" w:after="0"/>
              <w:ind w:left="0"/>
              <w:rPr>
                <w:sz w:val="12"/>
                <w:szCs w:val="12"/>
              </w:rPr>
            </w:pPr>
            <w:r>
              <w:rPr>
                <w:noProof/>
                <w:sz w:val="12"/>
                <w:szCs w:val="12"/>
              </w:rPr>
              <w:t>EFRR</w:t>
            </w:r>
          </w:p>
        </w:tc>
        <w:tc>
          <w:tcPr>
            <w:tcW w:w="0" w:type="auto"/>
            <w:shd w:val="clear" w:color="auto" w:fill="auto"/>
          </w:tcPr>
          <w:p w14:paraId="4B8015E6" w14:textId="77777777" w:rsidR="008C5CFA" w:rsidRPr="009C3005" w:rsidRDefault="00E82A60" w:rsidP="00300A01">
            <w:pPr>
              <w:pStyle w:val="Text1"/>
              <w:spacing w:before="0" w:after="0"/>
              <w:ind w:left="0"/>
              <w:rPr>
                <w:sz w:val="12"/>
                <w:szCs w:val="12"/>
              </w:rPr>
            </w:pPr>
            <w:r>
              <w:rPr>
                <w:noProof/>
                <w:sz w:val="12"/>
                <w:szCs w:val="12"/>
              </w:rPr>
              <w:t>Słabiej rozwinięte</w:t>
            </w:r>
          </w:p>
        </w:tc>
        <w:tc>
          <w:tcPr>
            <w:tcW w:w="0" w:type="auto"/>
            <w:shd w:val="clear" w:color="auto" w:fill="auto"/>
          </w:tcPr>
          <w:p w14:paraId="0BD507E7" w14:textId="77777777" w:rsidR="008C5CFA" w:rsidRPr="009C3005" w:rsidRDefault="00E82A60" w:rsidP="00300A01">
            <w:pPr>
              <w:pStyle w:val="Text1"/>
              <w:spacing w:before="0" w:after="0"/>
              <w:ind w:left="0"/>
              <w:rPr>
                <w:sz w:val="12"/>
                <w:szCs w:val="12"/>
              </w:rPr>
            </w:pPr>
            <w:r>
              <w:rPr>
                <w:noProof/>
                <w:sz w:val="12"/>
                <w:szCs w:val="12"/>
              </w:rPr>
              <w:t>095</w:t>
            </w:r>
          </w:p>
        </w:tc>
        <w:tc>
          <w:tcPr>
            <w:tcW w:w="0" w:type="auto"/>
            <w:shd w:val="clear" w:color="auto" w:fill="auto"/>
          </w:tcPr>
          <w:p w14:paraId="069CD940"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4A4725CB"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2681C9C5"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5C26490E" w14:textId="77777777" w:rsidR="008C5CFA" w:rsidRPr="009C3005" w:rsidRDefault="00E82A60" w:rsidP="00300A01">
            <w:pPr>
              <w:pStyle w:val="Text1"/>
              <w:spacing w:before="0" w:after="0"/>
              <w:ind w:left="0"/>
              <w:rPr>
                <w:sz w:val="12"/>
                <w:szCs w:val="12"/>
              </w:rPr>
            </w:pPr>
            <w:r>
              <w:rPr>
                <w:noProof/>
                <w:sz w:val="12"/>
                <w:szCs w:val="12"/>
              </w:rPr>
              <w:t>06</w:t>
            </w:r>
          </w:p>
        </w:tc>
        <w:tc>
          <w:tcPr>
            <w:tcW w:w="0" w:type="auto"/>
            <w:shd w:val="clear" w:color="auto" w:fill="auto"/>
          </w:tcPr>
          <w:p w14:paraId="43CD8AA8" w14:textId="77777777" w:rsidR="008C5CFA" w:rsidRPr="009C3005" w:rsidRDefault="00E82A60" w:rsidP="00300A01">
            <w:pPr>
              <w:pStyle w:val="Text1"/>
              <w:spacing w:before="0" w:after="0"/>
              <w:ind w:left="0"/>
              <w:rPr>
                <w:sz w:val="12"/>
                <w:szCs w:val="12"/>
              </w:rPr>
            </w:pPr>
            <w:r>
              <w:rPr>
                <w:sz w:val="12"/>
                <w:szCs w:val="12"/>
              </w:rPr>
              <w:t xml:space="preserve"> </w:t>
            </w:r>
          </w:p>
        </w:tc>
        <w:tc>
          <w:tcPr>
            <w:tcW w:w="0" w:type="auto"/>
            <w:shd w:val="clear" w:color="auto" w:fill="auto"/>
          </w:tcPr>
          <w:p w14:paraId="3F4D3070" w14:textId="77777777" w:rsidR="008C5CFA" w:rsidRPr="009C3005" w:rsidRDefault="00E82A60" w:rsidP="00300A01">
            <w:pPr>
              <w:pStyle w:val="Text1"/>
              <w:spacing w:before="0" w:after="0"/>
              <w:ind w:left="0"/>
              <w:rPr>
                <w:sz w:val="12"/>
                <w:szCs w:val="12"/>
              </w:rPr>
            </w:pPr>
            <w:r>
              <w:rPr>
                <w:noProof/>
                <w:sz w:val="12"/>
                <w:szCs w:val="12"/>
              </w:rPr>
              <w:t>18</w:t>
            </w:r>
          </w:p>
        </w:tc>
        <w:tc>
          <w:tcPr>
            <w:tcW w:w="0" w:type="auto"/>
            <w:shd w:val="clear" w:color="auto" w:fill="auto"/>
          </w:tcPr>
          <w:p w14:paraId="0F4817A0" w14:textId="77777777" w:rsidR="008C5CFA" w:rsidRPr="009C3005" w:rsidRDefault="00E82A60" w:rsidP="00300A01">
            <w:pPr>
              <w:pStyle w:val="Text1"/>
              <w:spacing w:before="0" w:after="0"/>
              <w:ind w:left="0"/>
              <w:rPr>
                <w:sz w:val="12"/>
                <w:szCs w:val="12"/>
              </w:rPr>
            </w:pPr>
            <w:r>
              <w:rPr>
                <w:noProof/>
                <w:sz w:val="12"/>
                <w:szCs w:val="12"/>
              </w:rPr>
              <w:t>PL33</w:t>
            </w:r>
          </w:p>
        </w:tc>
        <w:tc>
          <w:tcPr>
            <w:tcW w:w="0" w:type="auto"/>
            <w:shd w:val="clear" w:color="auto" w:fill="auto"/>
          </w:tcPr>
          <w:p w14:paraId="5BBF0DEB" w14:textId="77777777" w:rsidR="008C5CFA" w:rsidRPr="009C3005" w:rsidRDefault="00E82A60" w:rsidP="00300A01">
            <w:pPr>
              <w:pStyle w:val="Text1"/>
              <w:spacing w:before="0" w:after="0"/>
              <w:ind w:left="0"/>
              <w:jc w:val="right"/>
              <w:rPr>
                <w:sz w:val="12"/>
                <w:szCs w:val="12"/>
              </w:rPr>
            </w:pPr>
            <w:r w:rsidRPr="009C3005">
              <w:rPr>
                <w:noProof/>
                <w:sz w:val="12"/>
                <w:szCs w:val="12"/>
              </w:rPr>
              <w:t>9 552 980,07</w:t>
            </w:r>
          </w:p>
        </w:tc>
        <w:tc>
          <w:tcPr>
            <w:tcW w:w="0" w:type="auto"/>
            <w:shd w:val="clear" w:color="auto" w:fill="auto"/>
          </w:tcPr>
          <w:p w14:paraId="4B85E46F" w14:textId="77777777" w:rsidR="008C5CFA" w:rsidRPr="009C3005" w:rsidRDefault="00E82A60" w:rsidP="00300A01">
            <w:pPr>
              <w:pStyle w:val="Text1"/>
              <w:spacing w:before="0" w:after="0"/>
              <w:ind w:left="0"/>
              <w:jc w:val="right"/>
              <w:rPr>
                <w:sz w:val="12"/>
                <w:szCs w:val="12"/>
              </w:rPr>
            </w:pPr>
            <w:r w:rsidRPr="009C3005">
              <w:rPr>
                <w:noProof/>
                <w:sz w:val="12"/>
                <w:szCs w:val="12"/>
              </w:rPr>
              <w:t>9 552 980,07</w:t>
            </w:r>
          </w:p>
        </w:tc>
        <w:tc>
          <w:tcPr>
            <w:tcW w:w="0" w:type="auto"/>
            <w:shd w:val="clear" w:color="auto" w:fill="auto"/>
          </w:tcPr>
          <w:p w14:paraId="6A995E06" w14:textId="77777777" w:rsidR="008C5CFA" w:rsidRPr="009C3005" w:rsidRDefault="00E82A60" w:rsidP="00300A01">
            <w:pPr>
              <w:pStyle w:val="Text1"/>
              <w:spacing w:before="0" w:after="0"/>
              <w:ind w:left="0"/>
              <w:jc w:val="right"/>
              <w:rPr>
                <w:sz w:val="12"/>
                <w:szCs w:val="12"/>
              </w:rPr>
            </w:pPr>
            <w:r w:rsidRPr="009C3005">
              <w:rPr>
                <w:noProof/>
                <w:sz w:val="12"/>
                <w:szCs w:val="12"/>
              </w:rPr>
              <w:t>4 073 413,30</w:t>
            </w:r>
          </w:p>
        </w:tc>
        <w:tc>
          <w:tcPr>
            <w:tcW w:w="0" w:type="auto"/>
            <w:shd w:val="clear" w:color="auto" w:fill="auto"/>
          </w:tcPr>
          <w:p w14:paraId="18B8F502" w14:textId="77777777" w:rsidR="008C5CFA" w:rsidRPr="009C3005" w:rsidRDefault="00E82A60" w:rsidP="00300A01">
            <w:pPr>
              <w:pStyle w:val="Text1"/>
              <w:spacing w:before="0" w:after="0"/>
              <w:ind w:left="0"/>
              <w:jc w:val="right"/>
              <w:rPr>
                <w:sz w:val="12"/>
                <w:szCs w:val="12"/>
              </w:rPr>
            </w:pPr>
            <w:r w:rsidRPr="009C3005">
              <w:rPr>
                <w:noProof/>
                <w:sz w:val="12"/>
                <w:szCs w:val="12"/>
              </w:rPr>
              <w:t>2</w:t>
            </w:r>
          </w:p>
        </w:tc>
      </w:tr>
      <w:tr w:rsidR="006B2EC1" w14:paraId="73BC2A58" w14:textId="77777777" w:rsidTr="0047688D">
        <w:tc>
          <w:tcPr>
            <w:tcW w:w="0" w:type="auto"/>
            <w:shd w:val="clear" w:color="auto" w:fill="auto"/>
          </w:tcPr>
          <w:p w14:paraId="1E9091EF" w14:textId="77777777" w:rsidR="008C5CFA" w:rsidRPr="009C3005" w:rsidRDefault="00E82A60" w:rsidP="00300A01">
            <w:pPr>
              <w:pStyle w:val="Text1"/>
              <w:spacing w:before="0" w:after="0"/>
              <w:ind w:left="0"/>
              <w:rPr>
                <w:sz w:val="12"/>
                <w:szCs w:val="12"/>
              </w:rPr>
            </w:pPr>
            <w:r>
              <w:rPr>
                <w:noProof/>
                <w:sz w:val="14"/>
                <w:szCs w:val="14"/>
                <w:lang w:val="fr-BE"/>
              </w:rPr>
              <w:t>4</w:t>
            </w:r>
          </w:p>
        </w:tc>
        <w:tc>
          <w:tcPr>
            <w:tcW w:w="0" w:type="auto"/>
            <w:shd w:val="clear" w:color="auto" w:fill="auto"/>
          </w:tcPr>
          <w:p w14:paraId="2B3B4A41" w14:textId="77777777" w:rsidR="008C5CFA" w:rsidRPr="009C3005" w:rsidRDefault="00E82A60" w:rsidP="00300A01">
            <w:pPr>
              <w:pStyle w:val="Text1"/>
              <w:spacing w:before="0" w:after="0"/>
              <w:ind w:left="0"/>
              <w:rPr>
                <w:sz w:val="12"/>
                <w:szCs w:val="12"/>
              </w:rPr>
            </w:pPr>
            <w:r>
              <w:rPr>
                <w:noProof/>
                <w:sz w:val="12"/>
                <w:szCs w:val="12"/>
              </w:rPr>
              <w:t>EFRR</w:t>
            </w:r>
          </w:p>
        </w:tc>
        <w:tc>
          <w:tcPr>
            <w:tcW w:w="0" w:type="auto"/>
            <w:shd w:val="clear" w:color="auto" w:fill="auto"/>
          </w:tcPr>
          <w:p w14:paraId="1C9C5D95" w14:textId="77777777" w:rsidR="008C5CFA" w:rsidRPr="009C3005" w:rsidRDefault="00E82A60" w:rsidP="00300A01">
            <w:pPr>
              <w:pStyle w:val="Text1"/>
              <w:spacing w:before="0" w:after="0"/>
              <w:ind w:left="0"/>
              <w:rPr>
                <w:sz w:val="12"/>
                <w:szCs w:val="12"/>
              </w:rPr>
            </w:pPr>
            <w:r>
              <w:rPr>
                <w:noProof/>
                <w:sz w:val="12"/>
                <w:szCs w:val="12"/>
              </w:rPr>
              <w:t>Słabiej rozwinięte</w:t>
            </w:r>
          </w:p>
        </w:tc>
        <w:tc>
          <w:tcPr>
            <w:tcW w:w="0" w:type="auto"/>
            <w:shd w:val="clear" w:color="auto" w:fill="auto"/>
          </w:tcPr>
          <w:p w14:paraId="35BED8EC" w14:textId="77777777" w:rsidR="008C5CFA" w:rsidRPr="009C3005" w:rsidRDefault="00E82A60" w:rsidP="00300A01">
            <w:pPr>
              <w:pStyle w:val="Text1"/>
              <w:spacing w:before="0" w:after="0"/>
              <w:ind w:left="0"/>
              <w:rPr>
                <w:sz w:val="12"/>
                <w:szCs w:val="12"/>
              </w:rPr>
            </w:pPr>
            <w:r>
              <w:rPr>
                <w:noProof/>
                <w:sz w:val="12"/>
                <w:szCs w:val="12"/>
              </w:rPr>
              <w:t>095</w:t>
            </w:r>
          </w:p>
        </w:tc>
        <w:tc>
          <w:tcPr>
            <w:tcW w:w="0" w:type="auto"/>
            <w:shd w:val="clear" w:color="auto" w:fill="auto"/>
          </w:tcPr>
          <w:p w14:paraId="7594AD9F"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63D5AF6F"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17B82D23"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0FA85C34" w14:textId="77777777" w:rsidR="008C5CFA" w:rsidRPr="009C3005" w:rsidRDefault="00E82A60" w:rsidP="00300A01">
            <w:pPr>
              <w:pStyle w:val="Text1"/>
              <w:spacing w:before="0" w:after="0"/>
              <w:ind w:left="0"/>
              <w:rPr>
                <w:sz w:val="12"/>
                <w:szCs w:val="12"/>
              </w:rPr>
            </w:pPr>
            <w:r>
              <w:rPr>
                <w:noProof/>
                <w:sz w:val="12"/>
                <w:szCs w:val="12"/>
              </w:rPr>
              <w:t>06</w:t>
            </w:r>
          </w:p>
        </w:tc>
        <w:tc>
          <w:tcPr>
            <w:tcW w:w="0" w:type="auto"/>
            <w:shd w:val="clear" w:color="auto" w:fill="auto"/>
          </w:tcPr>
          <w:p w14:paraId="48E5EB1E" w14:textId="77777777" w:rsidR="008C5CFA" w:rsidRPr="009C3005" w:rsidRDefault="00E82A60" w:rsidP="00300A01">
            <w:pPr>
              <w:pStyle w:val="Text1"/>
              <w:spacing w:before="0" w:after="0"/>
              <w:ind w:left="0"/>
              <w:rPr>
                <w:sz w:val="12"/>
                <w:szCs w:val="12"/>
              </w:rPr>
            </w:pPr>
            <w:r>
              <w:rPr>
                <w:sz w:val="12"/>
                <w:szCs w:val="12"/>
              </w:rPr>
              <w:t xml:space="preserve"> </w:t>
            </w:r>
          </w:p>
        </w:tc>
        <w:tc>
          <w:tcPr>
            <w:tcW w:w="0" w:type="auto"/>
            <w:shd w:val="clear" w:color="auto" w:fill="auto"/>
          </w:tcPr>
          <w:p w14:paraId="3779A887" w14:textId="77777777" w:rsidR="008C5CFA" w:rsidRPr="009C3005" w:rsidRDefault="00E82A60" w:rsidP="00300A01">
            <w:pPr>
              <w:pStyle w:val="Text1"/>
              <w:spacing w:before="0" w:after="0"/>
              <w:ind w:left="0"/>
              <w:rPr>
                <w:sz w:val="12"/>
                <w:szCs w:val="12"/>
              </w:rPr>
            </w:pPr>
            <w:r>
              <w:rPr>
                <w:noProof/>
                <w:sz w:val="12"/>
                <w:szCs w:val="12"/>
              </w:rPr>
              <w:t>23</w:t>
            </w:r>
          </w:p>
        </w:tc>
        <w:tc>
          <w:tcPr>
            <w:tcW w:w="0" w:type="auto"/>
            <w:shd w:val="clear" w:color="auto" w:fill="auto"/>
          </w:tcPr>
          <w:p w14:paraId="51431996" w14:textId="77777777" w:rsidR="008C5CFA" w:rsidRPr="009C3005" w:rsidRDefault="00E82A60" w:rsidP="00300A01">
            <w:pPr>
              <w:pStyle w:val="Text1"/>
              <w:spacing w:before="0" w:after="0"/>
              <w:ind w:left="0"/>
              <w:rPr>
                <w:sz w:val="12"/>
                <w:szCs w:val="12"/>
              </w:rPr>
            </w:pPr>
            <w:r>
              <w:rPr>
                <w:noProof/>
                <w:sz w:val="12"/>
                <w:szCs w:val="12"/>
              </w:rPr>
              <w:t>PL33</w:t>
            </w:r>
          </w:p>
        </w:tc>
        <w:tc>
          <w:tcPr>
            <w:tcW w:w="0" w:type="auto"/>
            <w:shd w:val="clear" w:color="auto" w:fill="auto"/>
          </w:tcPr>
          <w:p w14:paraId="16396177" w14:textId="77777777" w:rsidR="008C5CFA" w:rsidRPr="009C3005" w:rsidRDefault="00E82A60" w:rsidP="00300A01">
            <w:pPr>
              <w:pStyle w:val="Text1"/>
              <w:spacing w:before="0" w:after="0"/>
              <w:ind w:left="0"/>
              <w:jc w:val="right"/>
              <w:rPr>
                <w:sz w:val="12"/>
                <w:szCs w:val="12"/>
              </w:rPr>
            </w:pPr>
            <w:r w:rsidRPr="009C3005">
              <w:rPr>
                <w:noProof/>
                <w:sz w:val="12"/>
                <w:szCs w:val="12"/>
              </w:rPr>
              <w:t>4 046 545,63</w:t>
            </w:r>
          </w:p>
        </w:tc>
        <w:tc>
          <w:tcPr>
            <w:tcW w:w="0" w:type="auto"/>
            <w:shd w:val="clear" w:color="auto" w:fill="auto"/>
          </w:tcPr>
          <w:p w14:paraId="325CE122" w14:textId="77777777" w:rsidR="008C5CFA" w:rsidRPr="009C3005" w:rsidRDefault="00E82A60" w:rsidP="00300A01">
            <w:pPr>
              <w:pStyle w:val="Text1"/>
              <w:spacing w:before="0" w:after="0"/>
              <w:ind w:left="0"/>
              <w:jc w:val="right"/>
              <w:rPr>
                <w:sz w:val="12"/>
                <w:szCs w:val="12"/>
              </w:rPr>
            </w:pPr>
            <w:r w:rsidRPr="009C3005">
              <w:rPr>
                <w:noProof/>
                <w:sz w:val="12"/>
                <w:szCs w:val="12"/>
              </w:rPr>
              <w:t>4 046 545,63</w:t>
            </w:r>
          </w:p>
        </w:tc>
        <w:tc>
          <w:tcPr>
            <w:tcW w:w="0" w:type="auto"/>
            <w:shd w:val="clear" w:color="auto" w:fill="auto"/>
          </w:tcPr>
          <w:p w14:paraId="30359318" w14:textId="77777777" w:rsidR="008C5CFA" w:rsidRPr="009C3005" w:rsidRDefault="00E82A60" w:rsidP="00300A01">
            <w:pPr>
              <w:pStyle w:val="Text1"/>
              <w:spacing w:before="0" w:after="0"/>
              <w:ind w:left="0"/>
              <w:jc w:val="right"/>
              <w:rPr>
                <w:sz w:val="12"/>
                <w:szCs w:val="12"/>
              </w:rPr>
            </w:pPr>
            <w:r w:rsidRPr="009C3005">
              <w:rPr>
                <w:noProof/>
                <w:sz w:val="12"/>
                <w:szCs w:val="12"/>
              </w:rPr>
              <w:t>139 686,10</w:t>
            </w:r>
          </w:p>
        </w:tc>
        <w:tc>
          <w:tcPr>
            <w:tcW w:w="0" w:type="auto"/>
            <w:shd w:val="clear" w:color="auto" w:fill="auto"/>
          </w:tcPr>
          <w:p w14:paraId="1258CCF9" w14:textId="77777777" w:rsidR="008C5CFA" w:rsidRPr="009C3005" w:rsidRDefault="00E82A60" w:rsidP="00300A01">
            <w:pPr>
              <w:pStyle w:val="Text1"/>
              <w:spacing w:before="0" w:after="0"/>
              <w:ind w:left="0"/>
              <w:jc w:val="right"/>
              <w:rPr>
                <w:sz w:val="12"/>
                <w:szCs w:val="12"/>
              </w:rPr>
            </w:pPr>
            <w:r w:rsidRPr="009C3005">
              <w:rPr>
                <w:noProof/>
                <w:sz w:val="12"/>
                <w:szCs w:val="12"/>
              </w:rPr>
              <w:t>2</w:t>
            </w:r>
          </w:p>
        </w:tc>
      </w:tr>
      <w:tr w:rsidR="006B2EC1" w14:paraId="5DEAB1C8" w14:textId="77777777" w:rsidTr="0047688D">
        <w:tc>
          <w:tcPr>
            <w:tcW w:w="0" w:type="auto"/>
            <w:shd w:val="clear" w:color="auto" w:fill="auto"/>
          </w:tcPr>
          <w:p w14:paraId="14B17386" w14:textId="77777777" w:rsidR="008C5CFA" w:rsidRPr="009C3005" w:rsidRDefault="00E82A60" w:rsidP="00300A01">
            <w:pPr>
              <w:pStyle w:val="Text1"/>
              <w:spacing w:before="0" w:after="0"/>
              <w:ind w:left="0"/>
              <w:rPr>
                <w:sz w:val="12"/>
                <w:szCs w:val="12"/>
              </w:rPr>
            </w:pPr>
            <w:r>
              <w:rPr>
                <w:noProof/>
                <w:sz w:val="14"/>
                <w:szCs w:val="14"/>
                <w:lang w:val="fr-BE"/>
              </w:rPr>
              <w:t>4</w:t>
            </w:r>
          </w:p>
        </w:tc>
        <w:tc>
          <w:tcPr>
            <w:tcW w:w="0" w:type="auto"/>
            <w:shd w:val="clear" w:color="auto" w:fill="auto"/>
          </w:tcPr>
          <w:p w14:paraId="76A99166" w14:textId="77777777" w:rsidR="008C5CFA" w:rsidRPr="009C3005" w:rsidRDefault="00E82A60" w:rsidP="00300A01">
            <w:pPr>
              <w:pStyle w:val="Text1"/>
              <w:spacing w:before="0" w:after="0"/>
              <w:ind w:left="0"/>
              <w:rPr>
                <w:sz w:val="12"/>
                <w:szCs w:val="12"/>
              </w:rPr>
            </w:pPr>
            <w:r>
              <w:rPr>
                <w:noProof/>
                <w:sz w:val="12"/>
                <w:szCs w:val="12"/>
              </w:rPr>
              <w:t>EFRR</w:t>
            </w:r>
          </w:p>
        </w:tc>
        <w:tc>
          <w:tcPr>
            <w:tcW w:w="0" w:type="auto"/>
            <w:shd w:val="clear" w:color="auto" w:fill="auto"/>
          </w:tcPr>
          <w:p w14:paraId="623BFF52" w14:textId="77777777" w:rsidR="008C5CFA" w:rsidRPr="009C3005" w:rsidRDefault="00E82A60" w:rsidP="00300A01">
            <w:pPr>
              <w:pStyle w:val="Text1"/>
              <w:spacing w:before="0" w:after="0"/>
              <w:ind w:left="0"/>
              <w:rPr>
                <w:sz w:val="12"/>
                <w:szCs w:val="12"/>
              </w:rPr>
            </w:pPr>
            <w:r>
              <w:rPr>
                <w:noProof/>
                <w:sz w:val="12"/>
                <w:szCs w:val="12"/>
              </w:rPr>
              <w:t>Słabiej rozwinięte</w:t>
            </w:r>
          </w:p>
        </w:tc>
        <w:tc>
          <w:tcPr>
            <w:tcW w:w="0" w:type="auto"/>
            <w:shd w:val="clear" w:color="auto" w:fill="auto"/>
          </w:tcPr>
          <w:p w14:paraId="32BEE400" w14:textId="77777777" w:rsidR="008C5CFA" w:rsidRPr="009C3005" w:rsidRDefault="00E82A60" w:rsidP="00300A01">
            <w:pPr>
              <w:pStyle w:val="Text1"/>
              <w:spacing w:before="0" w:after="0"/>
              <w:ind w:left="0"/>
              <w:rPr>
                <w:sz w:val="12"/>
                <w:szCs w:val="12"/>
              </w:rPr>
            </w:pPr>
            <w:r>
              <w:rPr>
                <w:noProof/>
                <w:sz w:val="12"/>
                <w:szCs w:val="12"/>
              </w:rPr>
              <w:t>095</w:t>
            </w:r>
          </w:p>
        </w:tc>
        <w:tc>
          <w:tcPr>
            <w:tcW w:w="0" w:type="auto"/>
            <w:shd w:val="clear" w:color="auto" w:fill="auto"/>
          </w:tcPr>
          <w:p w14:paraId="603DAD76"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3934836D"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2EA2B43B"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32E907C9" w14:textId="77777777" w:rsidR="008C5CFA" w:rsidRPr="009C3005" w:rsidRDefault="00E82A60" w:rsidP="00300A01">
            <w:pPr>
              <w:pStyle w:val="Text1"/>
              <w:spacing w:before="0" w:after="0"/>
              <w:ind w:left="0"/>
              <w:rPr>
                <w:sz w:val="12"/>
                <w:szCs w:val="12"/>
              </w:rPr>
            </w:pPr>
            <w:r>
              <w:rPr>
                <w:noProof/>
                <w:sz w:val="12"/>
                <w:szCs w:val="12"/>
              </w:rPr>
              <w:t>06</w:t>
            </w:r>
          </w:p>
        </w:tc>
        <w:tc>
          <w:tcPr>
            <w:tcW w:w="0" w:type="auto"/>
            <w:shd w:val="clear" w:color="auto" w:fill="auto"/>
          </w:tcPr>
          <w:p w14:paraId="30DC8762" w14:textId="77777777" w:rsidR="008C5CFA" w:rsidRPr="009C3005" w:rsidRDefault="00E82A60" w:rsidP="00300A01">
            <w:pPr>
              <w:pStyle w:val="Text1"/>
              <w:spacing w:before="0" w:after="0"/>
              <w:ind w:left="0"/>
              <w:rPr>
                <w:sz w:val="12"/>
                <w:szCs w:val="12"/>
              </w:rPr>
            </w:pPr>
            <w:r>
              <w:rPr>
                <w:sz w:val="12"/>
                <w:szCs w:val="12"/>
              </w:rPr>
              <w:t xml:space="preserve"> </w:t>
            </w:r>
          </w:p>
        </w:tc>
        <w:tc>
          <w:tcPr>
            <w:tcW w:w="0" w:type="auto"/>
            <w:shd w:val="clear" w:color="auto" w:fill="auto"/>
          </w:tcPr>
          <w:p w14:paraId="17427A85" w14:textId="77777777" w:rsidR="008C5CFA" w:rsidRPr="009C3005" w:rsidRDefault="00E82A60" w:rsidP="00300A01">
            <w:pPr>
              <w:pStyle w:val="Text1"/>
              <w:spacing w:before="0" w:after="0"/>
              <w:ind w:left="0"/>
              <w:rPr>
                <w:sz w:val="12"/>
                <w:szCs w:val="12"/>
              </w:rPr>
            </w:pPr>
            <w:r>
              <w:rPr>
                <w:noProof/>
                <w:sz w:val="12"/>
                <w:szCs w:val="12"/>
              </w:rPr>
              <w:t>24</w:t>
            </w:r>
          </w:p>
        </w:tc>
        <w:tc>
          <w:tcPr>
            <w:tcW w:w="0" w:type="auto"/>
            <w:shd w:val="clear" w:color="auto" w:fill="auto"/>
          </w:tcPr>
          <w:p w14:paraId="6C62F178" w14:textId="77777777" w:rsidR="008C5CFA" w:rsidRPr="009C3005" w:rsidRDefault="00E82A60" w:rsidP="00300A01">
            <w:pPr>
              <w:pStyle w:val="Text1"/>
              <w:spacing w:before="0" w:after="0"/>
              <w:ind w:left="0"/>
              <w:rPr>
                <w:sz w:val="12"/>
                <w:szCs w:val="12"/>
              </w:rPr>
            </w:pPr>
            <w:r>
              <w:rPr>
                <w:noProof/>
                <w:sz w:val="12"/>
                <w:szCs w:val="12"/>
              </w:rPr>
              <w:t>PL33</w:t>
            </w:r>
          </w:p>
        </w:tc>
        <w:tc>
          <w:tcPr>
            <w:tcW w:w="0" w:type="auto"/>
            <w:shd w:val="clear" w:color="auto" w:fill="auto"/>
          </w:tcPr>
          <w:p w14:paraId="2AD6686E" w14:textId="77777777" w:rsidR="008C5CFA" w:rsidRPr="009C3005" w:rsidRDefault="00E82A60" w:rsidP="00300A01">
            <w:pPr>
              <w:pStyle w:val="Text1"/>
              <w:spacing w:before="0" w:after="0"/>
              <w:ind w:left="0"/>
              <w:jc w:val="right"/>
              <w:rPr>
                <w:sz w:val="12"/>
                <w:szCs w:val="12"/>
              </w:rPr>
            </w:pPr>
            <w:r w:rsidRPr="009C3005">
              <w:rPr>
                <w:noProof/>
                <w:sz w:val="12"/>
                <w:szCs w:val="12"/>
              </w:rPr>
              <w:t>1 028 026,41</w:t>
            </w:r>
          </w:p>
        </w:tc>
        <w:tc>
          <w:tcPr>
            <w:tcW w:w="0" w:type="auto"/>
            <w:shd w:val="clear" w:color="auto" w:fill="auto"/>
          </w:tcPr>
          <w:p w14:paraId="7E7103B9" w14:textId="77777777" w:rsidR="008C5CFA" w:rsidRPr="009C3005" w:rsidRDefault="00E82A60" w:rsidP="00300A01">
            <w:pPr>
              <w:pStyle w:val="Text1"/>
              <w:spacing w:before="0" w:after="0"/>
              <w:ind w:left="0"/>
              <w:jc w:val="right"/>
              <w:rPr>
                <w:sz w:val="12"/>
                <w:szCs w:val="12"/>
              </w:rPr>
            </w:pPr>
            <w:r w:rsidRPr="009C3005">
              <w:rPr>
                <w:noProof/>
                <w:sz w:val="12"/>
                <w:szCs w:val="12"/>
              </w:rPr>
              <w:t>794 182,35</w:t>
            </w:r>
          </w:p>
        </w:tc>
        <w:tc>
          <w:tcPr>
            <w:tcW w:w="0" w:type="auto"/>
            <w:shd w:val="clear" w:color="auto" w:fill="auto"/>
          </w:tcPr>
          <w:p w14:paraId="50A8C026" w14:textId="77777777" w:rsidR="008C5CFA" w:rsidRPr="009C3005" w:rsidRDefault="00E82A60" w:rsidP="00300A01">
            <w:pPr>
              <w:pStyle w:val="Text1"/>
              <w:spacing w:before="0" w:after="0"/>
              <w:ind w:left="0"/>
              <w:jc w:val="right"/>
              <w:rPr>
                <w:sz w:val="12"/>
                <w:szCs w:val="12"/>
              </w:rPr>
            </w:pPr>
            <w:r w:rsidRPr="009C3005">
              <w:rPr>
                <w:noProof/>
                <w:sz w:val="12"/>
                <w:szCs w:val="12"/>
              </w:rPr>
              <w:t>995 372,00</w:t>
            </w:r>
          </w:p>
        </w:tc>
        <w:tc>
          <w:tcPr>
            <w:tcW w:w="0" w:type="auto"/>
            <w:shd w:val="clear" w:color="auto" w:fill="auto"/>
          </w:tcPr>
          <w:p w14:paraId="74E05A07" w14:textId="77777777" w:rsidR="008C5CFA" w:rsidRPr="009C3005" w:rsidRDefault="00E82A60" w:rsidP="00300A01">
            <w:pPr>
              <w:pStyle w:val="Text1"/>
              <w:spacing w:before="0" w:after="0"/>
              <w:ind w:left="0"/>
              <w:jc w:val="right"/>
              <w:rPr>
                <w:sz w:val="12"/>
                <w:szCs w:val="12"/>
              </w:rPr>
            </w:pPr>
            <w:r w:rsidRPr="009C3005">
              <w:rPr>
                <w:noProof/>
                <w:sz w:val="12"/>
                <w:szCs w:val="12"/>
              </w:rPr>
              <w:t>2</w:t>
            </w:r>
          </w:p>
        </w:tc>
      </w:tr>
      <w:tr w:rsidR="006B2EC1" w14:paraId="6CCE5A68" w14:textId="77777777" w:rsidTr="0047688D">
        <w:tc>
          <w:tcPr>
            <w:tcW w:w="0" w:type="auto"/>
            <w:shd w:val="clear" w:color="auto" w:fill="auto"/>
          </w:tcPr>
          <w:p w14:paraId="0FB32D96" w14:textId="77777777" w:rsidR="008C5CFA" w:rsidRPr="009C3005" w:rsidRDefault="00E82A60" w:rsidP="00300A01">
            <w:pPr>
              <w:pStyle w:val="Text1"/>
              <w:spacing w:before="0" w:after="0"/>
              <w:ind w:left="0"/>
              <w:rPr>
                <w:sz w:val="12"/>
                <w:szCs w:val="12"/>
              </w:rPr>
            </w:pPr>
            <w:r>
              <w:rPr>
                <w:noProof/>
                <w:sz w:val="14"/>
                <w:szCs w:val="14"/>
                <w:lang w:val="fr-BE"/>
              </w:rPr>
              <w:t>4</w:t>
            </w:r>
          </w:p>
        </w:tc>
        <w:tc>
          <w:tcPr>
            <w:tcW w:w="0" w:type="auto"/>
            <w:shd w:val="clear" w:color="auto" w:fill="auto"/>
          </w:tcPr>
          <w:p w14:paraId="67E8847E" w14:textId="77777777" w:rsidR="008C5CFA" w:rsidRPr="009C3005" w:rsidRDefault="00E82A60" w:rsidP="00300A01">
            <w:pPr>
              <w:pStyle w:val="Text1"/>
              <w:spacing w:before="0" w:after="0"/>
              <w:ind w:left="0"/>
              <w:rPr>
                <w:sz w:val="12"/>
                <w:szCs w:val="12"/>
              </w:rPr>
            </w:pPr>
            <w:r>
              <w:rPr>
                <w:noProof/>
                <w:sz w:val="12"/>
                <w:szCs w:val="12"/>
              </w:rPr>
              <w:t>EFRR</w:t>
            </w:r>
          </w:p>
        </w:tc>
        <w:tc>
          <w:tcPr>
            <w:tcW w:w="0" w:type="auto"/>
            <w:shd w:val="clear" w:color="auto" w:fill="auto"/>
          </w:tcPr>
          <w:p w14:paraId="5E2FCE08" w14:textId="77777777" w:rsidR="008C5CFA" w:rsidRPr="009C3005" w:rsidRDefault="00E82A60" w:rsidP="00300A01">
            <w:pPr>
              <w:pStyle w:val="Text1"/>
              <w:spacing w:before="0" w:after="0"/>
              <w:ind w:left="0"/>
              <w:rPr>
                <w:sz w:val="12"/>
                <w:szCs w:val="12"/>
              </w:rPr>
            </w:pPr>
            <w:r>
              <w:rPr>
                <w:noProof/>
                <w:sz w:val="12"/>
                <w:szCs w:val="12"/>
              </w:rPr>
              <w:t>Słabiej rozwinięte</w:t>
            </w:r>
          </w:p>
        </w:tc>
        <w:tc>
          <w:tcPr>
            <w:tcW w:w="0" w:type="auto"/>
            <w:shd w:val="clear" w:color="auto" w:fill="auto"/>
          </w:tcPr>
          <w:p w14:paraId="6AFFF733" w14:textId="77777777" w:rsidR="008C5CFA" w:rsidRPr="009C3005" w:rsidRDefault="00E82A60" w:rsidP="00300A01">
            <w:pPr>
              <w:pStyle w:val="Text1"/>
              <w:spacing w:before="0" w:after="0"/>
              <w:ind w:left="0"/>
              <w:rPr>
                <w:sz w:val="12"/>
                <w:szCs w:val="12"/>
              </w:rPr>
            </w:pPr>
            <w:r>
              <w:rPr>
                <w:noProof/>
                <w:sz w:val="12"/>
                <w:szCs w:val="12"/>
              </w:rPr>
              <w:t>095</w:t>
            </w:r>
          </w:p>
        </w:tc>
        <w:tc>
          <w:tcPr>
            <w:tcW w:w="0" w:type="auto"/>
            <w:shd w:val="clear" w:color="auto" w:fill="auto"/>
          </w:tcPr>
          <w:p w14:paraId="78BB47C0"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43BC8411" w14:textId="77777777" w:rsidR="008C5CFA" w:rsidRPr="009C3005" w:rsidRDefault="00E82A60" w:rsidP="00300A01">
            <w:pPr>
              <w:pStyle w:val="Text1"/>
              <w:spacing w:before="0" w:after="0"/>
              <w:ind w:left="0"/>
              <w:rPr>
                <w:sz w:val="12"/>
                <w:szCs w:val="12"/>
              </w:rPr>
            </w:pPr>
            <w:r>
              <w:rPr>
                <w:noProof/>
                <w:sz w:val="12"/>
                <w:szCs w:val="12"/>
              </w:rPr>
              <w:t>02</w:t>
            </w:r>
          </w:p>
        </w:tc>
        <w:tc>
          <w:tcPr>
            <w:tcW w:w="0" w:type="auto"/>
            <w:shd w:val="clear" w:color="auto" w:fill="auto"/>
          </w:tcPr>
          <w:p w14:paraId="322348A2"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0EA63B22" w14:textId="77777777" w:rsidR="008C5CFA" w:rsidRPr="009C3005" w:rsidRDefault="00E82A60" w:rsidP="00300A01">
            <w:pPr>
              <w:pStyle w:val="Text1"/>
              <w:spacing w:before="0" w:after="0"/>
              <w:ind w:left="0"/>
              <w:rPr>
                <w:sz w:val="12"/>
                <w:szCs w:val="12"/>
              </w:rPr>
            </w:pPr>
            <w:r>
              <w:rPr>
                <w:noProof/>
                <w:sz w:val="12"/>
                <w:szCs w:val="12"/>
              </w:rPr>
              <w:t>06</w:t>
            </w:r>
          </w:p>
        </w:tc>
        <w:tc>
          <w:tcPr>
            <w:tcW w:w="0" w:type="auto"/>
            <w:shd w:val="clear" w:color="auto" w:fill="auto"/>
          </w:tcPr>
          <w:p w14:paraId="1A373762" w14:textId="77777777" w:rsidR="008C5CFA" w:rsidRPr="009C3005" w:rsidRDefault="00E82A60" w:rsidP="00300A01">
            <w:pPr>
              <w:pStyle w:val="Text1"/>
              <w:spacing w:before="0" w:after="0"/>
              <w:ind w:left="0"/>
              <w:rPr>
                <w:sz w:val="12"/>
                <w:szCs w:val="12"/>
              </w:rPr>
            </w:pPr>
            <w:r>
              <w:rPr>
                <w:sz w:val="12"/>
                <w:szCs w:val="12"/>
              </w:rPr>
              <w:t xml:space="preserve"> </w:t>
            </w:r>
          </w:p>
        </w:tc>
        <w:tc>
          <w:tcPr>
            <w:tcW w:w="0" w:type="auto"/>
            <w:shd w:val="clear" w:color="auto" w:fill="auto"/>
          </w:tcPr>
          <w:p w14:paraId="53546EA3" w14:textId="77777777" w:rsidR="008C5CFA" w:rsidRPr="009C3005" w:rsidRDefault="00E82A60" w:rsidP="00300A01">
            <w:pPr>
              <w:pStyle w:val="Text1"/>
              <w:spacing w:before="0" w:after="0"/>
              <w:ind w:left="0"/>
              <w:rPr>
                <w:sz w:val="12"/>
                <w:szCs w:val="12"/>
              </w:rPr>
            </w:pPr>
            <w:r>
              <w:rPr>
                <w:noProof/>
                <w:sz w:val="12"/>
                <w:szCs w:val="12"/>
              </w:rPr>
              <w:t>18</w:t>
            </w:r>
          </w:p>
        </w:tc>
        <w:tc>
          <w:tcPr>
            <w:tcW w:w="0" w:type="auto"/>
            <w:shd w:val="clear" w:color="auto" w:fill="auto"/>
          </w:tcPr>
          <w:p w14:paraId="69253A5B" w14:textId="77777777" w:rsidR="008C5CFA" w:rsidRPr="009C3005" w:rsidRDefault="00E82A60" w:rsidP="00300A01">
            <w:pPr>
              <w:pStyle w:val="Text1"/>
              <w:spacing w:before="0" w:after="0"/>
              <w:ind w:left="0"/>
              <w:rPr>
                <w:sz w:val="12"/>
                <w:szCs w:val="12"/>
              </w:rPr>
            </w:pPr>
            <w:r>
              <w:rPr>
                <w:noProof/>
                <w:sz w:val="12"/>
                <w:szCs w:val="12"/>
              </w:rPr>
              <w:t>PL33</w:t>
            </w:r>
          </w:p>
        </w:tc>
        <w:tc>
          <w:tcPr>
            <w:tcW w:w="0" w:type="auto"/>
            <w:shd w:val="clear" w:color="auto" w:fill="auto"/>
          </w:tcPr>
          <w:p w14:paraId="543C986A" w14:textId="77777777" w:rsidR="008C5CFA" w:rsidRPr="009C3005" w:rsidRDefault="00E82A60" w:rsidP="00300A01">
            <w:pPr>
              <w:pStyle w:val="Text1"/>
              <w:spacing w:before="0" w:after="0"/>
              <w:ind w:left="0"/>
              <w:jc w:val="right"/>
              <w:rPr>
                <w:sz w:val="12"/>
                <w:szCs w:val="12"/>
              </w:rPr>
            </w:pPr>
            <w:r w:rsidRPr="009C3005">
              <w:rPr>
                <w:noProof/>
                <w:sz w:val="12"/>
                <w:szCs w:val="12"/>
              </w:rPr>
              <w:t>4 788 836,17</w:t>
            </w:r>
          </w:p>
        </w:tc>
        <w:tc>
          <w:tcPr>
            <w:tcW w:w="0" w:type="auto"/>
            <w:shd w:val="clear" w:color="auto" w:fill="auto"/>
          </w:tcPr>
          <w:p w14:paraId="33AFEECE" w14:textId="77777777" w:rsidR="008C5CFA" w:rsidRPr="009C3005" w:rsidRDefault="00E82A60" w:rsidP="00300A01">
            <w:pPr>
              <w:pStyle w:val="Text1"/>
              <w:spacing w:before="0" w:after="0"/>
              <w:ind w:left="0"/>
              <w:jc w:val="right"/>
              <w:rPr>
                <w:sz w:val="12"/>
                <w:szCs w:val="12"/>
              </w:rPr>
            </w:pPr>
            <w:r w:rsidRPr="009C3005">
              <w:rPr>
                <w:noProof/>
                <w:sz w:val="12"/>
                <w:szCs w:val="12"/>
              </w:rPr>
              <w:t>4 788 836,17</w:t>
            </w:r>
          </w:p>
        </w:tc>
        <w:tc>
          <w:tcPr>
            <w:tcW w:w="0" w:type="auto"/>
            <w:shd w:val="clear" w:color="auto" w:fill="auto"/>
          </w:tcPr>
          <w:p w14:paraId="7F691592" w14:textId="77777777" w:rsidR="008C5CFA" w:rsidRPr="009C3005" w:rsidRDefault="00E82A60" w:rsidP="00300A01">
            <w:pPr>
              <w:pStyle w:val="Text1"/>
              <w:spacing w:before="0" w:after="0"/>
              <w:ind w:left="0"/>
              <w:jc w:val="right"/>
              <w:rPr>
                <w:sz w:val="12"/>
                <w:szCs w:val="12"/>
              </w:rPr>
            </w:pPr>
            <w:r w:rsidRPr="009C3005">
              <w:rPr>
                <w:noProof/>
                <w:sz w:val="12"/>
                <w:szCs w:val="12"/>
              </w:rPr>
              <w:t>248 492,77</w:t>
            </w:r>
          </w:p>
        </w:tc>
        <w:tc>
          <w:tcPr>
            <w:tcW w:w="0" w:type="auto"/>
            <w:shd w:val="clear" w:color="auto" w:fill="auto"/>
          </w:tcPr>
          <w:p w14:paraId="7D6D7FD7" w14:textId="77777777" w:rsidR="008C5CFA" w:rsidRPr="009C3005" w:rsidRDefault="00E82A60" w:rsidP="00300A01">
            <w:pPr>
              <w:pStyle w:val="Text1"/>
              <w:spacing w:before="0" w:after="0"/>
              <w:ind w:left="0"/>
              <w:jc w:val="right"/>
              <w:rPr>
                <w:sz w:val="12"/>
                <w:szCs w:val="12"/>
              </w:rPr>
            </w:pPr>
            <w:r w:rsidRPr="009C3005">
              <w:rPr>
                <w:noProof/>
                <w:sz w:val="12"/>
                <w:szCs w:val="12"/>
              </w:rPr>
              <w:t>3</w:t>
            </w:r>
          </w:p>
        </w:tc>
      </w:tr>
      <w:tr w:rsidR="006B2EC1" w14:paraId="777E49A3" w14:textId="77777777" w:rsidTr="0047688D">
        <w:tc>
          <w:tcPr>
            <w:tcW w:w="0" w:type="auto"/>
            <w:shd w:val="clear" w:color="auto" w:fill="auto"/>
          </w:tcPr>
          <w:p w14:paraId="436F38FF" w14:textId="77777777" w:rsidR="008C5CFA" w:rsidRPr="009C3005" w:rsidRDefault="00E82A60" w:rsidP="00300A01">
            <w:pPr>
              <w:pStyle w:val="Text1"/>
              <w:spacing w:before="0" w:after="0"/>
              <w:ind w:left="0"/>
              <w:rPr>
                <w:sz w:val="12"/>
                <w:szCs w:val="12"/>
              </w:rPr>
            </w:pPr>
            <w:r>
              <w:rPr>
                <w:noProof/>
                <w:sz w:val="14"/>
                <w:szCs w:val="14"/>
                <w:lang w:val="fr-BE"/>
              </w:rPr>
              <w:t>4</w:t>
            </w:r>
          </w:p>
        </w:tc>
        <w:tc>
          <w:tcPr>
            <w:tcW w:w="0" w:type="auto"/>
            <w:shd w:val="clear" w:color="auto" w:fill="auto"/>
          </w:tcPr>
          <w:p w14:paraId="1CEA7A29" w14:textId="77777777" w:rsidR="008C5CFA" w:rsidRPr="009C3005" w:rsidRDefault="00E82A60" w:rsidP="00300A01">
            <w:pPr>
              <w:pStyle w:val="Text1"/>
              <w:spacing w:before="0" w:after="0"/>
              <w:ind w:left="0"/>
              <w:rPr>
                <w:sz w:val="12"/>
                <w:szCs w:val="12"/>
              </w:rPr>
            </w:pPr>
            <w:r>
              <w:rPr>
                <w:noProof/>
                <w:sz w:val="12"/>
                <w:szCs w:val="12"/>
              </w:rPr>
              <w:t>EFRR</w:t>
            </w:r>
          </w:p>
        </w:tc>
        <w:tc>
          <w:tcPr>
            <w:tcW w:w="0" w:type="auto"/>
            <w:shd w:val="clear" w:color="auto" w:fill="auto"/>
          </w:tcPr>
          <w:p w14:paraId="6A5D4378" w14:textId="77777777" w:rsidR="008C5CFA" w:rsidRPr="009C3005" w:rsidRDefault="00E82A60" w:rsidP="00300A01">
            <w:pPr>
              <w:pStyle w:val="Text1"/>
              <w:spacing w:before="0" w:after="0"/>
              <w:ind w:left="0"/>
              <w:rPr>
                <w:sz w:val="12"/>
                <w:szCs w:val="12"/>
              </w:rPr>
            </w:pPr>
            <w:r>
              <w:rPr>
                <w:noProof/>
                <w:sz w:val="12"/>
                <w:szCs w:val="12"/>
              </w:rPr>
              <w:t>Słabiej rozwinięte</w:t>
            </w:r>
          </w:p>
        </w:tc>
        <w:tc>
          <w:tcPr>
            <w:tcW w:w="0" w:type="auto"/>
            <w:shd w:val="clear" w:color="auto" w:fill="auto"/>
          </w:tcPr>
          <w:p w14:paraId="16F244DD" w14:textId="77777777" w:rsidR="008C5CFA" w:rsidRPr="009C3005" w:rsidRDefault="00E82A60" w:rsidP="00300A01">
            <w:pPr>
              <w:pStyle w:val="Text1"/>
              <w:spacing w:before="0" w:after="0"/>
              <w:ind w:left="0"/>
              <w:rPr>
                <w:sz w:val="12"/>
                <w:szCs w:val="12"/>
              </w:rPr>
            </w:pPr>
            <w:r>
              <w:rPr>
                <w:noProof/>
                <w:sz w:val="12"/>
                <w:szCs w:val="12"/>
              </w:rPr>
              <w:t>095</w:t>
            </w:r>
          </w:p>
        </w:tc>
        <w:tc>
          <w:tcPr>
            <w:tcW w:w="0" w:type="auto"/>
            <w:shd w:val="clear" w:color="auto" w:fill="auto"/>
          </w:tcPr>
          <w:p w14:paraId="674885D5"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64433B61" w14:textId="77777777" w:rsidR="008C5CFA" w:rsidRPr="009C3005" w:rsidRDefault="00E82A60" w:rsidP="00300A01">
            <w:pPr>
              <w:pStyle w:val="Text1"/>
              <w:spacing w:before="0" w:after="0"/>
              <w:ind w:left="0"/>
              <w:rPr>
                <w:sz w:val="12"/>
                <w:szCs w:val="12"/>
              </w:rPr>
            </w:pPr>
            <w:r>
              <w:rPr>
                <w:noProof/>
                <w:sz w:val="12"/>
                <w:szCs w:val="12"/>
              </w:rPr>
              <w:t>02</w:t>
            </w:r>
          </w:p>
        </w:tc>
        <w:tc>
          <w:tcPr>
            <w:tcW w:w="0" w:type="auto"/>
            <w:shd w:val="clear" w:color="auto" w:fill="auto"/>
          </w:tcPr>
          <w:p w14:paraId="0249F3E0"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6A1D809C" w14:textId="77777777" w:rsidR="008C5CFA" w:rsidRPr="009C3005" w:rsidRDefault="00E82A60" w:rsidP="00300A01">
            <w:pPr>
              <w:pStyle w:val="Text1"/>
              <w:spacing w:before="0" w:after="0"/>
              <w:ind w:left="0"/>
              <w:rPr>
                <w:sz w:val="12"/>
                <w:szCs w:val="12"/>
              </w:rPr>
            </w:pPr>
            <w:r>
              <w:rPr>
                <w:noProof/>
                <w:sz w:val="12"/>
                <w:szCs w:val="12"/>
              </w:rPr>
              <w:t>06</w:t>
            </w:r>
          </w:p>
        </w:tc>
        <w:tc>
          <w:tcPr>
            <w:tcW w:w="0" w:type="auto"/>
            <w:shd w:val="clear" w:color="auto" w:fill="auto"/>
          </w:tcPr>
          <w:p w14:paraId="08DBCF46" w14:textId="77777777" w:rsidR="008C5CFA" w:rsidRPr="009C3005" w:rsidRDefault="00E82A60" w:rsidP="00300A01">
            <w:pPr>
              <w:pStyle w:val="Text1"/>
              <w:spacing w:before="0" w:after="0"/>
              <w:ind w:left="0"/>
              <w:rPr>
                <w:sz w:val="12"/>
                <w:szCs w:val="12"/>
              </w:rPr>
            </w:pPr>
            <w:r>
              <w:rPr>
                <w:sz w:val="12"/>
                <w:szCs w:val="12"/>
              </w:rPr>
              <w:t xml:space="preserve"> </w:t>
            </w:r>
          </w:p>
        </w:tc>
        <w:tc>
          <w:tcPr>
            <w:tcW w:w="0" w:type="auto"/>
            <w:shd w:val="clear" w:color="auto" w:fill="auto"/>
          </w:tcPr>
          <w:p w14:paraId="73AB5870" w14:textId="77777777" w:rsidR="008C5CFA" w:rsidRPr="009C3005" w:rsidRDefault="00E82A60" w:rsidP="00300A01">
            <w:pPr>
              <w:pStyle w:val="Text1"/>
              <w:spacing w:before="0" w:after="0"/>
              <w:ind w:left="0"/>
              <w:rPr>
                <w:sz w:val="12"/>
                <w:szCs w:val="12"/>
              </w:rPr>
            </w:pPr>
            <w:r>
              <w:rPr>
                <w:noProof/>
                <w:sz w:val="12"/>
                <w:szCs w:val="12"/>
              </w:rPr>
              <w:t>23</w:t>
            </w:r>
          </w:p>
        </w:tc>
        <w:tc>
          <w:tcPr>
            <w:tcW w:w="0" w:type="auto"/>
            <w:shd w:val="clear" w:color="auto" w:fill="auto"/>
          </w:tcPr>
          <w:p w14:paraId="0F6CC0BE" w14:textId="77777777" w:rsidR="008C5CFA" w:rsidRPr="009C3005" w:rsidRDefault="00E82A60" w:rsidP="00300A01">
            <w:pPr>
              <w:pStyle w:val="Text1"/>
              <w:spacing w:before="0" w:after="0"/>
              <w:ind w:left="0"/>
              <w:rPr>
                <w:sz w:val="12"/>
                <w:szCs w:val="12"/>
              </w:rPr>
            </w:pPr>
            <w:r>
              <w:rPr>
                <w:noProof/>
                <w:sz w:val="12"/>
                <w:szCs w:val="12"/>
              </w:rPr>
              <w:t>PL33</w:t>
            </w:r>
          </w:p>
        </w:tc>
        <w:tc>
          <w:tcPr>
            <w:tcW w:w="0" w:type="auto"/>
            <w:shd w:val="clear" w:color="auto" w:fill="auto"/>
          </w:tcPr>
          <w:p w14:paraId="5A2AFCD5" w14:textId="77777777" w:rsidR="008C5CFA" w:rsidRPr="009C3005" w:rsidRDefault="00E82A60" w:rsidP="00300A01">
            <w:pPr>
              <w:pStyle w:val="Text1"/>
              <w:spacing w:before="0" w:after="0"/>
              <w:ind w:left="0"/>
              <w:jc w:val="right"/>
              <w:rPr>
                <w:sz w:val="12"/>
                <w:szCs w:val="12"/>
              </w:rPr>
            </w:pPr>
            <w:r w:rsidRPr="009C3005">
              <w:rPr>
                <w:noProof/>
                <w:sz w:val="12"/>
                <w:szCs w:val="12"/>
              </w:rPr>
              <w:t>147 597,57</w:t>
            </w:r>
          </w:p>
        </w:tc>
        <w:tc>
          <w:tcPr>
            <w:tcW w:w="0" w:type="auto"/>
            <w:shd w:val="clear" w:color="auto" w:fill="auto"/>
          </w:tcPr>
          <w:p w14:paraId="3E325FFB" w14:textId="77777777" w:rsidR="008C5CFA" w:rsidRPr="009C3005" w:rsidRDefault="00E82A60" w:rsidP="00300A01">
            <w:pPr>
              <w:pStyle w:val="Text1"/>
              <w:spacing w:before="0" w:after="0"/>
              <w:ind w:left="0"/>
              <w:jc w:val="right"/>
              <w:rPr>
                <w:sz w:val="12"/>
                <w:szCs w:val="12"/>
              </w:rPr>
            </w:pPr>
            <w:r w:rsidRPr="009C3005">
              <w:rPr>
                <w:noProof/>
                <w:sz w:val="12"/>
                <w:szCs w:val="12"/>
              </w:rPr>
              <w:t>147 597,57</w:t>
            </w:r>
          </w:p>
        </w:tc>
        <w:tc>
          <w:tcPr>
            <w:tcW w:w="0" w:type="auto"/>
            <w:shd w:val="clear" w:color="auto" w:fill="auto"/>
          </w:tcPr>
          <w:p w14:paraId="2D98E98A" w14:textId="77777777" w:rsidR="008C5CFA" w:rsidRPr="009C3005" w:rsidRDefault="00E82A60" w:rsidP="00300A01">
            <w:pPr>
              <w:pStyle w:val="Text1"/>
              <w:spacing w:before="0" w:after="0"/>
              <w:ind w:left="0"/>
              <w:jc w:val="right"/>
              <w:rPr>
                <w:sz w:val="12"/>
                <w:szCs w:val="12"/>
              </w:rPr>
            </w:pPr>
            <w:r w:rsidRPr="009C3005">
              <w:rPr>
                <w:noProof/>
                <w:sz w:val="12"/>
                <w:szCs w:val="12"/>
              </w:rPr>
              <w:t>147 597,57</w:t>
            </w:r>
          </w:p>
        </w:tc>
        <w:tc>
          <w:tcPr>
            <w:tcW w:w="0" w:type="auto"/>
            <w:shd w:val="clear" w:color="auto" w:fill="auto"/>
          </w:tcPr>
          <w:p w14:paraId="5E44264D" w14:textId="77777777" w:rsidR="008C5CFA" w:rsidRPr="009C3005" w:rsidRDefault="00E82A60" w:rsidP="00300A01">
            <w:pPr>
              <w:pStyle w:val="Text1"/>
              <w:spacing w:before="0" w:after="0"/>
              <w:ind w:left="0"/>
              <w:jc w:val="right"/>
              <w:rPr>
                <w:sz w:val="12"/>
                <w:szCs w:val="12"/>
              </w:rPr>
            </w:pPr>
            <w:r w:rsidRPr="009C3005">
              <w:rPr>
                <w:noProof/>
                <w:sz w:val="12"/>
                <w:szCs w:val="12"/>
              </w:rPr>
              <w:t>1</w:t>
            </w:r>
          </w:p>
        </w:tc>
      </w:tr>
      <w:tr w:rsidR="006B2EC1" w14:paraId="38203B52" w14:textId="77777777" w:rsidTr="0047688D">
        <w:tc>
          <w:tcPr>
            <w:tcW w:w="0" w:type="auto"/>
            <w:shd w:val="clear" w:color="auto" w:fill="auto"/>
          </w:tcPr>
          <w:p w14:paraId="42DBE11C" w14:textId="77777777" w:rsidR="008C5CFA" w:rsidRPr="009C3005" w:rsidRDefault="00E82A60" w:rsidP="00300A01">
            <w:pPr>
              <w:pStyle w:val="Text1"/>
              <w:spacing w:before="0" w:after="0"/>
              <w:ind w:left="0"/>
              <w:rPr>
                <w:sz w:val="12"/>
                <w:szCs w:val="12"/>
              </w:rPr>
            </w:pPr>
            <w:r>
              <w:rPr>
                <w:noProof/>
                <w:sz w:val="14"/>
                <w:szCs w:val="14"/>
                <w:lang w:val="fr-BE"/>
              </w:rPr>
              <w:t>4</w:t>
            </w:r>
          </w:p>
        </w:tc>
        <w:tc>
          <w:tcPr>
            <w:tcW w:w="0" w:type="auto"/>
            <w:shd w:val="clear" w:color="auto" w:fill="auto"/>
          </w:tcPr>
          <w:p w14:paraId="0857C26C" w14:textId="77777777" w:rsidR="008C5CFA" w:rsidRPr="009C3005" w:rsidRDefault="00E82A60" w:rsidP="00300A01">
            <w:pPr>
              <w:pStyle w:val="Text1"/>
              <w:spacing w:before="0" w:after="0"/>
              <w:ind w:left="0"/>
              <w:rPr>
                <w:sz w:val="12"/>
                <w:szCs w:val="12"/>
              </w:rPr>
            </w:pPr>
            <w:r>
              <w:rPr>
                <w:noProof/>
                <w:sz w:val="12"/>
                <w:szCs w:val="12"/>
              </w:rPr>
              <w:t>EFRR</w:t>
            </w:r>
          </w:p>
        </w:tc>
        <w:tc>
          <w:tcPr>
            <w:tcW w:w="0" w:type="auto"/>
            <w:shd w:val="clear" w:color="auto" w:fill="auto"/>
          </w:tcPr>
          <w:p w14:paraId="29CA5525" w14:textId="77777777" w:rsidR="008C5CFA" w:rsidRPr="009C3005" w:rsidRDefault="00E82A60" w:rsidP="00300A01">
            <w:pPr>
              <w:pStyle w:val="Text1"/>
              <w:spacing w:before="0" w:after="0"/>
              <w:ind w:left="0"/>
              <w:rPr>
                <w:sz w:val="12"/>
                <w:szCs w:val="12"/>
              </w:rPr>
            </w:pPr>
            <w:r>
              <w:rPr>
                <w:noProof/>
                <w:sz w:val="12"/>
                <w:szCs w:val="12"/>
              </w:rPr>
              <w:t>Słabiej rozwinięte</w:t>
            </w:r>
          </w:p>
        </w:tc>
        <w:tc>
          <w:tcPr>
            <w:tcW w:w="0" w:type="auto"/>
            <w:shd w:val="clear" w:color="auto" w:fill="auto"/>
          </w:tcPr>
          <w:p w14:paraId="523130DA" w14:textId="77777777" w:rsidR="008C5CFA" w:rsidRPr="009C3005" w:rsidRDefault="00E82A60" w:rsidP="00300A01">
            <w:pPr>
              <w:pStyle w:val="Text1"/>
              <w:spacing w:before="0" w:after="0"/>
              <w:ind w:left="0"/>
              <w:rPr>
                <w:sz w:val="12"/>
                <w:szCs w:val="12"/>
              </w:rPr>
            </w:pPr>
            <w:r>
              <w:rPr>
                <w:noProof/>
                <w:sz w:val="12"/>
                <w:szCs w:val="12"/>
              </w:rPr>
              <w:t>095</w:t>
            </w:r>
          </w:p>
        </w:tc>
        <w:tc>
          <w:tcPr>
            <w:tcW w:w="0" w:type="auto"/>
            <w:shd w:val="clear" w:color="auto" w:fill="auto"/>
          </w:tcPr>
          <w:p w14:paraId="442BEED1"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647596AC" w14:textId="77777777" w:rsidR="008C5CFA" w:rsidRPr="009C3005" w:rsidRDefault="00E82A60" w:rsidP="00300A01">
            <w:pPr>
              <w:pStyle w:val="Text1"/>
              <w:spacing w:before="0" w:after="0"/>
              <w:ind w:left="0"/>
              <w:rPr>
                <w:sz w:val="12"/>
                <w:szCs w:val="12"/>
              </w:rPr>
            </w:pPr>
            <w:r>
              <w:rPr>
                <w:noProof/>
                <w:sz w:val="12"/>
                <w:szCs w:val="12"/>
              </w:rPr>
              <w:t>02</w:t>
            </w:r>
          </w:p>
        </w:tc>
        <w:tc>
          <w:tcPr>
            <w:tcW w:w="0" w:type="auto"/>
            <w:shd w:val="clear" w:color="auto" w:fill="auto"/>
          </w:tcPr>
          <w:p w14:paraId="0E224105"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53250BF2" w14:textId="77777777" w:rsidR="008C5CFA" w:rsidRPr="009C3005" w:rsidRDefault="00E82A60" w:rsidP="00300A01">
            <w:pPr>
              <w:pStyle w:val="Text1"/>
              <w:spacing w:before="0" w:after="0"/>
              <w:ind w:left="0"/>
              <w:rPr>
                <w:sz w:val="12"/>
                <w:szCs w:val="12"/>
              </w:rPr>
            </w:pPr>
            <w:r>
              <w:rPr>
                <w:noProof/>
                <w:sz w:val="12"/>
                <w:szCs w:val="12"/>
              </w:rPr>
              <w:t>06</w:t>
            </w:r>
          </w:p>
        </w:tc>
        <w:tc>
          <w:tcPr>
            <w:tcW w:w="0" w:type="auto"/>
            <w:shd w:val="clear" w:color="auto" w:fill="auto"/>
          </w:tcPr>
          <w:p w14:paraId="4F48266B" w14:textId="77777777" w:rsidR="008C5CFA" w:rsidRPr="009C3005" w:rsidRDefault="00E82A60" w:rsidP="00300A01">
            <w:pPr>
              <w:pStyle w:val="Text1"/>
              <w:spacing w:before="0" w:after="0"/>
              <w:ind w:left="0"/>
              <w:rPr>
                <w:sz w:val="12"/>
                <w:szCs w:val="12"/>
              </w:rPr>
            </w:pPr>
            <w:r>
              <w:rPr>
                <w:sz w:val="12"/>
                <w:szCs w:val="12"/>
              </w:rPr>
              <w:t xml:space="preserve"> </w:t>
            </w:r>
          </w:p>
        </w:tc>
        <w:tc>
          <w:tcPr>
            <w:tcW w:w="0" w:type="auto"/>
            <w:shd w:val="clear" w:color="auto" w:fill="auto"/>
          </w:tcPr>
          <w:p w14:paraId="1DF6B91B" w14:textId="77777777" w:rsidR="008C5CFA" w:rsidRPr="009C3005" w:rsidRDefault="00E82A60" w:rsidP="00300A01">
            <w:pPr>
              <w:pStyle w:val="Text1"/>
              <w:spacing w:before="0" w:after="0"/>
              <w:ind w:left="0"/>
              <w:rPr>
                <w:sz w:val="12"/>
                <w:szCs w:val="12"/>
              </w:rPr>
            </w:pPr>
            <w:r>
              <w:rPr>
                <w:noProof/>
                <w:sz w:val="12"/>
                <w:szCs w:val="12"/>
              </w:rPr>
              <w:t>24</w:t>
            </w:r>
          </w:p>
        </w:tc>
        <w:tc>
          <w:tcPr>
            <w:tcW w:w="0" w:type="auto"/>
            <w:shd w:val="clear" w:color="auto" w:fill="auto"/>
          </w:tcPr>
          <w:p w14:paraId="1D27F94F" w14:textId="77777777" w:rsidR="008C5CFA" w:rsidRPr="009C3005" w:rsidRDefault="00E82A60" w:rsidP="00300A01">
            <w:pPr>
              <w:pStyle w:val="Text1"/>
              <w:spacing w:before="0" w:after="0"/>
              <w:ind w:left="0"/>
              <w:rPr>
                <w:sz w:val="12"/>
                <w:szCs w:val="12"/>
              </w:rPr>
            </w:pPr>
            <w:r>
              <w:rPr>
                <w:noProof/>
                <w:sz w:val="12"/>
                <w:szCs w:val="12"/>
              </w:rPr>
              <w:t>PL33</w:t>
            </w:r>
          </w:p>
        </w:tc>
        <w:tc>
          <w:tcPr>
            <w:tcW w:w="0" w:type="auto"/>
            <w:shd w:val="clear" w:color="auto" w:fill="auto"/>
          </w:tcPr>
          <w:p w14:paraId="2193FD87" w14:textId="77777777" w:rsidR="008C5CFA" w:rsidRPr="009C3005" w:rsidRDefault="00E82A60" w:rsidP="00300A01">
            <w:pPr>
              <w:pStyle w:val="Text1"/>
              <w:spacing w:before="0" w:after="0"/>
              <w:ind w:left="0"/>
              <w:jc w:val="right"/>
              <w:rPr>
                <w:sz w:val="12"/>
                <w:szCs w:val="12"/>
              </w:rPr>
            </w:pPr>
            <w:r w:rsidRPr="009C3005">
              <w:rPr>
                <w:noProof/>
                <w:sz w:val="12"/>
                <w:szCs w:val="12"/>
              </w:rPr>
              <w:t>145 652,74</w:t>
            </w:r>
          </w:p>
        </w:tc>
        <w:tc>
          <w:tcPr>
            <w:tcW w:w="0" w:type="auto"/>
            <w:shd w:val="clear" w:color="auto" w:fill="auto"/>
          </w:tcPr>
          <w:p w14:paraId="4571F5DD" w14:textId="77777777" w:rsidR="008C5CFA" w:rsidRPr="009C3005" w:rsidRDefault="00E82A60" w:rsidP="00300A01">
            <w:pPr>
              <w:pStyle w:val="Text1"/>
              <w:spacing w:before="0" w:after="0"/>
              <w:ind w:left="0"/>
              <w:jc w:val="right"/>
              <w:rPr>
                <w:sz w:val="12"/>
                <w:szCs w:val="12"/>
              </w:rPr>
            </w:pPr>
            <w:r w:rsidRPr="009C3005">
              <w:rPr>
                <w:noProof/>
                <w:sz w:val="12"/>
                <w:szCs w:val="12"/>
              </w:rPr>
              <w:t>116 522,19</w:t>
            </w:r>
          </w:p>
        </w:tc>
        <w:tc>
          <w:tcPr>
            <w:tcW w:w="0" w:type="auto"/>
            <w:shd w:val="clear" w:color="auto" w:fill="auto"/>
          </w:tcPr>
          <w:p w14:paraId="3FF2069D" w14:textId="77777777" w:rsidR="008C5CFA" w:rsidRPr="009C3005" w:rsidRDefault="00E82A60" w:rsidP="00300A01">
            <w:pPr>
              <w:pStyle w:val="Text1"/>
              <w:spacing w:before="0" w:after="0"/>
              <w:ind w:left="0"/>
              <w:jc w:val="right"/>
              <w:rPr>
                <w:sz w:val="12"/>
                <w:szCs w:val="12"/>
              </w:rPr>
            </w:pPr>
            <w:r w:rsidRPr="009C3005">
              <w:rPr>
                <w:noProof/>
                <w:sz w:val="12"/>
                <w:szCs w:val="12"/>
              </w:rPr>
              <w:t>145 652,74</w:t>
            </w:r>
          </w:p>
        </w:tc>
        <w:tc>
          <w:tcPr>
            <w:tcW w:w="0" w:type="auto"/>
            <w:shd w:val="clear" w:color="auto" w:fill="auto"/>
          </w:tcPr>
          <w:p w14:paraId="42F47B05" w14:textId="77777777" w:rsidR="008C5CFA" w:rsidRPr="009C3005" w:rsidRDefault="00E82A60" w:rsidP="00300A01">
            <w:pPr>
              <w:pStyle w:val="Text1"/>
              <w:spacing w:before="0" w:after="0"/>
              <w:ind w:left="0"/>
              <w:jc w:val="right"/>
              <w:rPr>
                <w:sz w:val="12"/>
                <w:szCs w:val="12"/>
              </w:rPr>
            </w:pPr>
            <w:r w:rsidRPr="009C3005">
              <w:rPr>
                <w:noProof/>
                <w:sz w:val="12"/>
                <w:szCs w:val="12"/>
              </w:rPr>
              <w:t>1</w:t>
            </w:r>
          </w:p>
        </w:tc>
      </w:tr>
      <w:tr w:rsidR="006B2EC1" w14:paraId="59026EC9" w14:textId="77777777" w:rsidTr="0047688D">
        <w:tc>
          <w:tcPr>
            <w:tcW w:w="0" w:type="auto"/>
            <w:shd w:val="clear" w:color="auto" w:fill="auto"/>
          </w:tcPr>
          <w:p w14:paraId="47907DB9" w14:textId="77777777" w:rsidR="008C5CFA" w:rsidRPr="009C3005" w:rsidRDefault="00E82A60" w:rsidP="00300A01">
            <w:pPr>
              <w:pStyle w:val="Text1"/>
              <w:spacing w:before="0" w:after="0"/>
              <w:ind w:left="0"/>
              <w:rPr>
                <w:sz w:val="12"/>
                <w:szCs w:val="12"/>
              </w:rPr>
            </w:pPr>
            <w:r>
              <w:rPr>
                <w:noProof/>
                <w:sz w:val="14"/>
                <w:szCs w:val="14"/>
                <w:lang w:val="fr-BE"/>
              </w:rPr>
              <w:t>4</w:t>
            </w:r>
          </w:p>
        </w:tc>
        <w:tc>
          <w:tcPr>
            <w:tcW w:w="0" w:type="auto"/>
            <w:shd w:val="clear" w:color="auto" w:fill="auto"/>
          </w:tcPr>
          <w:p w14:paraId="0D34003F" w14:textId="77777777" w:rsidR="008C5CFA" w:rsidRPr="009C3005" w:rsidRDefault="00E82A60" w:rsidP="00300A01">
            <w:pPr>
              <w:pStyle w:val="Text1"/>
              <w:spacing w:before="0" w:after="0"/>
              <w:ind w:left="0"/>
              <w:rPr>
                <w:sz w:val="12"/>
                <w:szCs w:val="12"/>
              </w:rPr>
            </w:pPr>
            <w:r>
              <w:rPr>
                <w:noProof/>
                <w:sz w:val="12"/>
                <w:szCs w:val="12"/>
              </w:rPr>
              <w:t>EFRR</w:t>
            </w:r>
          </w:p>
        </w:tc>
        <w:tc>
          <w:tcPr>
            <w:tcW w:w="0" w:type="auto"/>
            <w:shd w:val="clear" w:color="auto" w:fill="auto"/>
          </w:tcPr>
          <w:p w14:paraId="1EFA22CB" w14:textId="77777777" w:rsidR="008C5CFA" w:rsidRPr="009C3005" w:rsidRDefault="00E82A60" w:rsidP="00300A01">
            <w:pPr>
              <w:pStyle w:val="Text1"/>
              <w:spacing w:before="0" w:after="0"/>
              <w:ind w:left="0"/>
              <w:rPr>
                <w:sz w:val="12"/>
                <w:szCs w:val="12"/>
              </w:rPr>
            </w:pPr>
            <w:r>
              <w:rPr>
                <w:noProof/>
                <w:sz w:val="12"/>
                <w:szCs w:val="12"/>
              </w:rPr>
              <w:t>Słabiej rozwinięte</w:t>
            </w:r>
          </w:p>
        </w:tc>
        <w:tc>
          <w:tcPr>
            <w:tcW w:w="0" w:type="auto"/>
            <w:shd w:val="clear" w:color="auto" w:fill="auto"/>
          </w:tcPr>
          <w:p w14:paraId="7D15782B" w14:textId="77777777" w:rsidR="008C5CFA" w:rsidRPr="009C3005" w:rsidRDefault="00E82A60" w:rsidP="00300A01">
            <w:pPr>
              <w:pStyle w:val="Text1"/>
              <w:spacing w:before="0" w:after="0"/>
              <w:ind w:left="0"/>
              <w:rPr>
                <w:sz w:val="12"/>
                <w:szCs w:val="12"/>
              </w:rPr>
            </w:pPr>
            <w:r>
              <w:rPr>
                <w:noProof/>
                <w:sz w:val="12"/>
                <w:szCs w:val="12"/>
              </w:rPr>
              <w:t>095</w:t>
            </w:r>
          </w:p>
        </w:tc>
        <w:tc>
          <w:tcPr>
            <w:tcW w:w="0" w:type="auto"/>
            <w:shd w:val="clear" w:color="auto" w:fill="auto"/>
          </w:tcPr>
          <w:p w14:paraId="3BB01331"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6CDD0528" w14:textId="77777777" w:rsidR="008C5CFA" w:rsidRPr="009C3005" w:rsidRDefault="00E82A60" w:rsidP="00300A01">
            <w:pPr>
              <w:pStyle w:val="Text1"/>
              <w:spacing w:before="0" w:after="0"/>
              <w:ind w:left="0"/>
              <w:rPr>
                <w:sz w:val="12"/>
                <w:szCs w:val="12"/>
              </w:rPr>
            </w:pPr>
            <w:r>
              <w:rPr>
                <w:noProof/>
                <w:sz w:val="12"/>
                <w:szCs w:val="12"/>
              </w:rPr>
              <w:t>03</w:t>
            </w:r>
          </w:p>
        </w:tc>
        <w:tc>
          <w:tcPr>
            <w:tcW w:w="0" w:type="auto"/>
            <w:shd w:val="clear" w:color="auto" w:fill="auto"/>
          </w:tcPr>
          <w:p w14:paraId="761BBEDF"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21766E38" w14:textId="77777777" w:rsidR="008C5CFA" w:rsidRPr="009C3005" w:rsidRDefault="00E82A60" w:rsidP="00300A01">
            <w:pPr>
              <w:pStyle w:val="Text1"/>
              <w:spacing w:before="0" w:after="0"/>
              <w:ind w:left="0"/>
              <w:rPr>
                <w:sz w:val="12"/>
                <w:szCs w:val="12"/>
              </w:rPr>
            </w:pPr>
            <w:r>
              <w:rPr>
                <w:noProof/>
                <w:sz w:val="12"/>
                <w:szCs w:val="12"/>
              </w:rPr>
              <w:t>06</w:t>
            </w:r>
          </w:p>
        </w:tc>
        <w:tc>
          <w:tcPr>
            <w:tcW w:w="0" w:type="auto"/>
            <w:shd w:val="clear" w:color="auto" w:fill="auto"/>
          </w:tcPr>
          <w:p w14:paraId="576F21E6" w14:textId="77777777" w:rsidR="008C5CFA" w:rsidRPr="009C3005" w:rsidRDefault="00E82A60" w:rsidP="00300A01">
            <w:pPr>
              <w:pStyle w:val="Text1"/>
              <w:spacing w:before="0" w:after="0"/>
              <w:ind w:left="0"/>
              <w:rPr>
                <w:sz w:val="12"/>
                <w:szCs w:val="12"/>
              </w:rPr>
            </w:pPr>
            <w:r>
              <w:rPr>
                <w:sz w:val="12"/>
                <w:szCs w:val="12"/>
              </w:rPr>
              <w:t xml:space="preserve"> </w:t>
            </w:r>
          </w:p>
        </w:tc>
        <w:tc>
          <w:tcPr>
            <w:tcW w:w="0" w:type="auto"/>
            <w:shd w:val="clear" w:color="auto" w:fill="auto"/>
          </w:tcPr>
          <w:p w14:paraId="5D74604D" w14:textId="77777777" w:rsidR="008C5CFA" w:rsidRPr="009C3005" w:rsidRDefault="00E82A60" w:rsidP="00300A01">
            <w:pPr>
              <w:pStyle w:val="Text1"/>
              <w:spacing w:before="0" w:after="0"/>
              <w:ind w:left="0"/>
              <w:rPr>
                <w:sz w:val="12"/>
                <w:szCs w:val="12"/>
              </w:rPr>
            </w:pPr>
            <w:r>
              <w:rPr>
                <w:noProof/>
                <w:sz w:val="12"/>
                <w:szCs w:val="12"/>
              </w:rPr>
              <w:t>18</w:t>
            </w:r>
          </w:p>
        </w:tc>
        <w:tc>
          <w:tcPr>
            <w:tcW w:w="0" w:type="auto"/>
            <w:shd w:val="clear" w:color="auto" w:fill="auto"/>
          </w:tcPr>
          <w:p w14:paraId="549F4B74" w14:textId="77777777" w:rsidR="008C5CFA" w:rsidRPr="009C3005" w:rsidRDefault="00E82A60" w:rsidP="00300A01">
            <w:pPr>
              <w:pStyle w:val="Text1"/>
              <w:spacing w:before="0" w:after="0"/>
              <w:ind w:left="0"/>
              <w:rPr>
                <w:sz w:val="12"/>
                <w:szCs w:val="12"/>
              </w:rPr>
            </w:pPr>
            <w:r>
              <w:rPr>
                <w:noProof/>
                <w:sz w:val="12"/>
                <w:szCs w:val="12"/>
              </w:rPr>
              <w:t>PL33</w:t>
            </w:r>
          </w:p>
        </w:tc>
        <w:tc>
          <w:tcPr>
            <w:tcW w:w="0" w:type="auto"/>
            <w:shd w:val="clear" w:color="auto" w:fill="auto"/>
          </w:tcPr>
          <w:p w14:paraId="7E1E870A" w14:textId="77777777" w:rsidR="008C5CFA" w:rsidRPr="009C3005" w:rsidRDefault="00E82A60" w:rsidP="00300A01">
            <w:pPr>
              <w:pStyle w:val="Text1"/>
              <w:spacing w:before="0" w:after="0"/>
              <w:ind w:left="0"/>
              <w:jc w:val="right"/>
              <w:rPr>
                <w:sz w:val="12"/>
                <w:szCs w:val="12"/>
              </w:rPr>
            </w:pPr>
            <w:r w:rsidRPr="009C3005">
              <w:rPr>
                <w:noProof/>
                <w:sz w:val="12"/>
                <w:szCs w:val="12"/>
              </w:rPr>
              <w:t>22 300 751,34</w:t>
            </w:r>
          </w:p>
        </w:tc>
        <w:tc>
          <w:tcPr>
            <w:tcW w:w="0" w:type="auto"/>
            <w:shd w:val="clear" w:color="auto" w:fill="auto"/>
          </w:tcPr>
          <w:p w14:paraId="742F8C08" w14:textId="77777777" w:rsidR="008C5CFA" w:rsidRPr="009C3005" w:rsidRDefault="00E82A60" w:rsidP="00300A01">
            <w:pPr>
              <w:pStyle w:val="Text1"/>
              <w:spacing w:before="0" w:after="0"/>
              <w:ind w:left="0"/>
              <w:jc w:val="right"/>
              <w:rPr>
                <w:sz w:val="12"/>
                <w:szCs w:val="12"/>
              </w:rPr>
            </w:pPr>
            <w:r w:rsidRPr="009C3005">
              <w:rPr>
                <w:noProof/>
                <w:sz w:val="12"/>
                <w:szCs w:val="12"/>
              </w:rPr>
              <w:t>22 046 543,25</w:t>
            </w:r>
          </w:p>
        </w:tc>
        <w:tc>
          <w:tcPr>
            <w:tcW w:w="0" w:type="auto"/>
            <w:shd w:val="clear" w:color="auto" w:fill="auto"/>
          </w:tcPr>
          <w:p w14:paraId="5F1C036B" w14:textId="77777777" w:rsidR="008C5CFA" w:rsidRPr="009C3005" w:rsidRDefault="00E82A60" w:rsidP="00300A01">
            <w:pPr>
              <w:pStyle w:val="Text1"/>
              <w:spacing w:before="0" w:after="0"/>
              <w:ind w:left="0"/>
              <w:jc w:val="right"/>
              <w:rPr>
                <w:sz w:val="12"/>
                <w:szCs w:val="12"/>
              </w:rPr>
            </w:pPr>
            <w:r w:rsidRPr="009C3005">
              <w:rPr>
                <w:noProof/>
                <w:sz w:val="12"/>
                <w:szCs w:val="12"/>
              </w:rPr>
              <w:t>4 700 003,96</w:t>
            </w:r>
          </w:p>
        </w:tc>
        <w:tc>
          <w:tcPr>
            <w:tcW w:w="0" w:type="auto"/>
            <w:shd w:val="clear" w:color="auto" w:fill="auto"/>
          </w:tcPr>
          <w:p w14:paraId="50BC0B18" w14:textId="77777777" w:rsidR="008C5CFA" w:rsidRPr="009C3005" w:rsidRDefault="00E82A60" w:rsidP="00300A01">
            <w:pPr>
              <w:pStyle w:val="Text1"/>
              <w:spacing w:before="0" w:after="0"/>
              <w:ind w:left="0"/>
              <w:jc w:val="right"/>
              <w:rPr>
                <w:sz w:val="12"/>
                <w:szCs w:val="12"/>
              </w:rPr>
            </w:pPr>
            <w:r w:rsidRPr="009C3005">
              <w:rPr>
                <w:noProof/>
                <w:sz w:val="12"/>
                <w:szCs w:val="12"/>
              </w:rPr>
              <w:t>15</w:t>
            </w:r>
          </w:p>
        </w:tc>
      </w:tr>
      <w:tr w:rsidR="006B2EC1" w14:paraId="5FB0C61B" w14:textId="77777777" w:rsidTr="0047688D">
        <w:tc>
          <w:tcPr>
            <w:tcW w:w="0" w:type="auto"/>
            <w:shd w:val="clear" w:color="auto" w:fill="auto"/>
          </w:tcPr>
          <w:p w14:paraId="4D60F168" w14:textId="77777777" w:rsidR="008C5CFA" w:rsidRPr="009C3005" w:rsidRDefault="00E82A60" w:rsidP="00300A01">
            <w:pPr>
              <w:pStyle w:val="Text1"/>
              <w:spacing w:before="0" w:after="0"/>
              <w:ind w:left="0"/>
              <w:rPr>
                <w:sz w:val="12"/>
                <w:szCs w:val="12"/>
              </w:rPr>
            </w:pPr>
            <w:r>
              <w:rPr>
                <w:noProof/>
                <w:sz w:val="14"/>
                <w:szCs w:val="14"/>
                <w:lang w:val="fr-BE"/>
              </w:rPr>
              <w:lastRenderedPageBreak/>
              <w:t>4</w:t>
            </w:r>
          </w:p>
        </w:tc>
        <w:tc>
          <w:tcPr>
            <w:tcW w:w="0" w:type="auto"/>
            <w:shd w:val="clear" w:color="auto" w:fill="auto"/>
          </w:tcPr>
          <w:p w14:paraId="1B19FB33" w14:textId="77777777" w:rsidR="008C5CFA" w:rsidRPr="009C3005" w:rsidRDefault="00E82A60" w:rsidP="00300A01">
            <w:pPr>
              <w:pStyle w:val="Text1"/>
              <w:spacing w:before="0" w:after="0"/>
              <w:ind w:left="0"/>
              <w:rPr>
                <w:sz w:val="12"/>
                <w:szCs w:val="12"/>
              </w:rPr>
            </w:pPr>
            <w:r>
              <w:rPr>
                <w:noProof/>
                <w:sz w:val="12"/>
                <w:szCs w:val="12"/>
              </w:rPr>
              <w:t>EFRR</w:t>
            </w:r>
          </w:p>
        </w:tc>
        <w:tc>
          <w:tcPr>
            <w:tcW w:w="0" w:type="auto"/>
            <w:shd w:val="clear" w:color="auto" w:fill="auto"/>
          </w:tcPr>
          <w:p w14:paraId="4EC693E4" w14:textId="77777777" w:rsidR="008C5CFA" w:rsidRPr="009C3005" w:rsidRDefault="00E82A60" w:rsidP="00300A01">
            <w:pPr>
              <w:pStyle w:val="Text1"/>
              <w:spacing w:before="0" w:after="0"/>
              <w:ind w:left="0"/>
              <w:rPr>
                <w:sz w:val="12"/>
                <w:szCs w:val="12"/>
              </w:rPr>
            </w:pPr>
            <w:r>
              <w:rPr>
                <w:noProof/>
                <w:sz w:val="12"/>
                <w:szCs w:val="12"/>
              </w:rPr>
              <w:t>Słabiej rozwinięte</w:t>
            </w:r>
          </w:p>
        </w:tc>
        <w:tc>
          <w:tcPr>
            <w:tcW w:w="0" w:type="auto"/>
            <w:shd w:val="clear" w:color="auto" w:fill="auto"/>
          </w:tcPr>
          <w:p w14:paraId="33246CCB" w14:textId="77777777" w:rsidR="008C5CFA" w:rsidRPr="009C3005" w:rsidRDefault="00E82A60" w:rsidP="00300A01">
            <w:pPr>
              <w:pStyle w:val="Text1"/>
              <w:spacing w:before="0" w:after="0"/>
              <w:ind w:left="0"/>
              <w:rPr>
                <w:sz w:val="12"/>
                <w:szCs w:val="12"/>
              </w:rPr>
            </w:pPr>
            <w:r>
              <w:rPr>
                <w:noProof/>
                <w:sz w:val="12"/>
                <w:szCs w:val="12"/>
              </w:rPr>
              <w:t>095</w:t>
            </w:r>
          </w:p>
        </w:tc>
        <w:tc>
          <w:tcPr>
            <w:tcW w:w="0" w:type="auto"/>
            <w:shd w:val="clear" w:color="auto" w:fill="auto"/>
          </w:tcPr>
          <w:p w14:paraId="176E6EDB"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029F8980" w14:textId="77777777" w:rsidR="008C5CFA" w:rsidRPr="009C3005" w:rsidRDefault="00E82A60" w:rsidP="00300A01">
            <w:pPr>
              <w:pStyle w:val="Text1"/>
              <w:spacing w:before="0" w:after="0"/>
              <w:ind w:left="0"/>
              <w:rPr>
                <w:sz w:val="12"/>
                <w:szCs w:val="12"/>
              </w:rPr>
            </w:pPr>
            <w:r>
              <w:rPr>
                <w:noProof/>
                <w:sz w:val="12"/>
                <w:szCs w:val="12"/>
              </w:rPr>
              <w:t>03</w:t>
            </w:r>
          </w:p>
        </w:tc>
        <w:tc>
          <w:tcPr>
            <w:tcW w:w="0" w:type="auto"/>
            <w:shd w:val="clear" w:color="auto" w:fill="auto"/>
          </w:tcPr>
          <w:p w14:paraId="3D6AA0FB"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3EAEA0D7" w14:textId="77777777" w:rsidR="008C5CFA" w:rsidRPr="009C3005" w:rsidRDefault="00E82A60" w:rsidP="00300A01">
            <w:pPr>
              <w:pStyle w:val="Text1"/>
              <w:spacing w:before="0" w:after="0"/>
              <w:ind w:left="0"/>
              <w:rPr>
                <w:sz w:val="12"/>
                <w:szCs w:val="12"/>
              </w:rPr>
            </w:pPr>
            <w:r>
              <w:rPr>
                <w:noProof/>
                <w:sz w:val="12"/>
                <w:szCs w:val="12"/>
              </w:rPr>
              <w:t>06</w:t>
            </w:r>
          </w:p>
        </w:tc>
        <w:tc>
          <w:tcPr>
            <w:tcW w:w="0" w:type="auto"/>
            <w:shd w:val="clear" w:color="auto" w:fill="auto"/>
          </w:tcPr>
          <w:p w14:paraId="4C5D38EA" w14:textId="77777777" w:rsidR="008C5CFA" w:rsidRPr="009C3005" w:rsidRDefault="00E82A60" w:rsidP="00300A01">
            <w:pPr>
              <w:pStyle w:val="Text1"/>
              <w:spacing w:before="0" w:after="0"/>
              <w:ind w:left="0"/>
              <w:rPr>
                <w:sz w:val="12"/>
                <w:szCs w:val="12"/>
              </w:rPr>
            </w:pPr>
            <w:r>
              <w:rPr>
                <w:sz w:val="12"/>
                <w:szCs w:val="12"/>
              </w:rPr>
              <w:t xml:space="preserve"> </w:t>
            </w:r>
          </w:p>
        </w:tc>
        <w:tc>
          <w:tcPr>
            <w:tcW w:w="0" w:type="auto"/>
            <w:shd w:val="clear" w:color="auto" w:fill="auto"/>
          </w:tcPr>
          <w:p w14:paraId="2F5D368F" w14:textId="77777777" w:rsidR="008C5CFA" w:rsidRPr="009C3005" w:rsidRDefault="00E82A60" w:rsidP="00300A01">
            <w:pPr>
              <w:pStyle w:val="Text1"/>
              <w:spacing w:before="0" w:after="0"/>
              <w:ind w:left="0"/>
              <w:rPr>
                <w:sz w:val="12"/>
                <w:szCs w:val="12"/>
              </w:rPr>
            </w:pPr>
            <w:r>
              <w:rPr>
                <w:noProof/>
                <w:sz w:val="12"/>
                <w:szCs w:val="12"/>
              </w:rPr>
              <w:t>23</w:t>
            </w:r>
          </w:p>
        </w:tc>
        <w:tc>
          <w:tcPr>
            <w:tcW w:w="0" w:type="auto"/>
            <w:shd w:val="clear" w:color="auto" w:fill="auto"/>
          </w:tcPr>
          <w:p w14:paraId="2602E5B7" w14:textId="77777777" w:rsidR="008C5CFA" w:rsidRPr="009C3005" w:rsidRDefault="00E82A60" w:rsidP="00300A01">
            <w:pPr>
              <w:pStyle w:val="Text1"/>
              <w:spacing w:before="0" w:after="0"/>
              <w:ind w:left="0"/>
              <w:rPr>
                <w:sz w:val="12"/>
                <w:szCs w:val="12"/>
              </w:rPr>
            </w:pPr>
            <w:r>
              <w:rPr>
                <w:noProof/>
                <w:sz w:val="12"/>
                <w:szCs w:val="12"/>
              </w:rPr>
              <w:t>PL33</w:t>
            </w:r>
          </w:p>
        </w:tc>
        <w:tc>
          <w:tcPr>
            <w:tcW w:w="0" w:type="auto"/>
            <w:shd w:val="clear" w:color="auto" w:fill="auto"/>
          </w:tcPr>
          <w:p w14:paraId="5833682F" w14:textId="77777777" w:rsidR="008C5CFA" w:rsidRPr="009C3005" w:rsidRDefault="00E82A60" w:rsidP="00300A01">
            <w:pPr>
              <w:pStyle w:val="Text1"/>
              <w:spacing w:before="0" w:after="0"/>
              <w:ind w:left="0"/>
              <w:jc w:val="right"/>
              <w:rPr>
                <w:sz w:val="12"/>
                <w:szCs w:val="12"/>
              </w:rPr>
            </w:pPr>
            <w:r w:rsidRPr="009C3005">
              <w:rPr>
                <w:noProof/>
                <w:sz w:val="12"/>
                <w:szCs w:val="12"/>
              </w:rPr>
              <w:t>689 035,64</w:t>
            </w:r>
          </w:p>
        </w:tc>
        <w:tc>
          <w:tcPr>
            <w:tcW w:w="0" w:type="auto"/>
            <w:shd w:val="clear" w:color="auto" w:fill="auto"/>
          </w:tcPr>
          <w:p w14:paraId="4730B096" w14:textId="77777777" w:rsidR="008C5CFA" w:rsidRPr="009C3005" w:rsidRDefault="00E82A60" w:rsidP="00300A01">
            <w:pPr>
              <w:pStyle w:val="Text1"/>
              <w:spacing w:before="0" w:after="0"/>
              <w:ind w:left="0"/>
              <w:jc w:val="right"/>
              <w:rPr>
                <w:sz w:val="12"/>
                <w:szCs w:val="12"/>
              </w:rPr>
            </w:pPr>
            <w:r w:rsidRPr="009C3005">
              <w:rPr>
                <w:noProof/>
                <w:sz w:val="12"/>
                <w:szCs w:val="12"/>
              </w:rPr>
              <w:t>551 228,51</w:t>
            </w:r>
          </w:p>
        </w:tc>
        <w:tc>
          <w:tcPr>
            <w:tcW w:w="0" w:type="auto"/>
            <w:shd w:val="clear" w:color="auto" w:fill="auto"/>
          </w:tcPr>
          <w:p w14:paraId="31F33858" w14:textId="77777777" w:rsidR="008C5CFA" w:rsidRPr="009C3005" w:rsidRDefault="00E82A60" w:rsidP="00300A01">
            <w:pPr>
              <w:pStyle w:val="Text1"/>
              <w:spacing w:before="0" w:after="0"/>
              <w:ind w:left="0"/>
              <w:jc w:val="right"/>
              <w:rPr>
                <w:sz w:val="12"/>
                <w:szCs w:val="12"/>
              </w:rPr>
            </w:pPr>
            <w:r w:rsidRPr="009C3005">
              <w:rPr>
                <w:noProof/>
                <w:sz w:val="12"/>
                <w:szCs w:val="12"/>
              </w:rPr>
              <w:t>256 022,83</w:t>
            </w:r>
          </w:p>
        </w:tc>
        <w:tc>
          <w:tcPr>
            <w:tcW w:w="0" w:type="auto"/>
            <w:shd w:val="clear" w:color="auto" w:fill="auto"/>
          </w:tcPr>
          <w:p w14:paraId="5AC5573E" w14:textId="77777777" w:rsidR="008C5CFA" w:rsidRPr="009C3005" w:rsidRDefault="00E82A60" w:rsidP="00300A01">
            <w:pPr>
              <w:pStyle w:val="Text1"/>
              <w:spacing w:before="0" w:after="0"/>
              <w:ind w:left="0"/>
              <w:jc w:val="right"/>
              <w:rPr>
                <w:sz w:val="12"/>
                <w:szCs w:val="12"/>
              </w:rPr>
            </w:pPr>
            <w:r w:rsidRPr="009C3005">
              <w:rPr>
                <w:noProof/>
                <w:sz w:val="12"/>
                <w:szCs w:val="12"/>
              </w:rPr>
              <w:t>2</w:t>
            </w:r>
          </w:p>
        </w:tc>
      </w:tr>
      <w:tr w:rsidR="006B2EC1" w14:paraId="67BD6CBC" w14:textId="77777777" w:rsidTr="0047688D">
        <w:tc>
          <w:tcPr>
            <w:tcW w:w="0" w:type="auto"/>
            <w:shd w:val="clear" w:color="auto" w:fill="auto"/>
          </w:tcPr>
          <w:p w14:paraId="1BACD8D2" w14:textId="77777777" w:rsidR="008C5CFA" w:rsidRPr="009C3005" w:rsidRDefault="00E82A60" w:rsidP="00300A01">
            <w:pPr>
              <w:pStyle w:val="Text1"/>
              <w:spacing w:before="0" w:after="0"/>
              <w:ind w:left="0"/>
              <w:rPr>
                <w:sz w:val="12"/>
                <w:szCs w:val="12"/>
              </w:rPr>
            </w:pPr>
            <w:r>
              <w:rPr>
                <w:noProof/>
                <w:sz w:val="14"/>
                <w:szCs w:val="14"/>
                <w:lang w:val="fr-BE"/>
              </w:rPr>
              <w:t>4</w:t>
            </w:r>
          </w:p>
        </w:tc>
        <w:tc>
          <w:tcPr>
            <w:tcW w:w="0" w:type="auto"/>
            <w:shd w:val="clear" w:color="auto" w:fill="auto"/>
          </w:tcPr>
          <w:p w14:paraId="5106B00D" w14:textId="77777777" w:rsidR="008C5CFA" w:rsidRPr="009C3005" w:rsidRDefault="00E82A60" w:rsidP="00300A01">
            <w:pPr>
              <w:pStyle w:val="Text1"/>
              <w:spacing w:before="0" w:after="0"/>
              <w:ind w:left="0"/>
              <w:rPr>
                <w:sz w:val="12"/>
                <w:szCs w:val="12"/>
              </w:rPr>
            </w:pPr>
            <w:r>
              <w:rPr>
                <w:noProof/>
                <w:sz w:val="12"/>
                <w:szCs w:val="12"/>
              </w:rPr>
              <w:t>EFRR</w:t>
            </w:r>
          </w:p>
        </w:tc>
        <w:tc>
          <w:tcPr>
            <w:tcW w:w="0" w:type="auto"/>
            <w:shd w:val="clear" w:color="auto" w:fill="auto"/>
          </w:tcPr>
          <w:p w14:paraId="089CD2AB" w14:textId="77777777" w:rsidR="008C5CFA" w:rsidRPr="009C3005" w:rsidRDefault="00E82A60" w:rsidP="00300A01">
            <w:pPr>
              <w:pStyle w:val="Text1"/>
              <w:spacing w:before="0" w:after="0"/>
              <w:ind w:left="0"/>
              <w:rPr>
                <w:sz w:val="12"/>
                <w:szCs w:val="12"/>
              </w:rPr>
            </w:pPr>
            <w:r>
              <w:rPr>
                <w:noProof/>
                <w:sz w:val="12"/>
                <w:szCs w:val="12"/>
              </w:rPr>
              <w:t>Słabiej rozwinięte</w:t>
            </w:r>
          </w:p>
        </w:tc>
        <w:tc>
          <w:tcPr>
            <w:tcW w:w="0" w:type="auto"/>
            <w:shd w:val="clear" w:color="auto" w:fill="auto"/>
          </w:tcPr>
          <w:p w14:paraId="034AABD6" w14:textId="77777777" w:rsidR="008C5CFA" w:rsidRPr="009C3005" w:rsidRDefault="00E82A60" w:rsidP="00300A01">
            <w:pPr>
              <w:pStyle w:val="Text1"/>
              <w:spacing w:before="0" w:after="0"/>
              <w:ind w:left="0"/>
              <w:rPr>
                <w:sz w:val="12"/>
                <w:szCs w:val="12"/>
              </w:rPr>
            </w:pPr>
            <w:r>
              <w:rPr>
                <w:noProof/>
                <w:sz w:val="12"/>
                <w:szCs w:val="12"/>
              </w:rPr>
              <w:t>095</w:t>
            </w:r>
          </w:p>
        </w:tc>
        <w:tc>
          <w:tcPr>
            <w:tcW w:w="0" w:type="auto"/>
            <w:shd w:val="clear" w:color="auto" w:fill="auto"/>
          </w:tcPr>
          <w:p w14:paraId="62AEEFAE"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6C2DD63B" w14:textId="77777777" w:rsidR="008C5CFA" w:rsidRPr="009C3005" w:rsidRDefault="00E82A60" w:rsidP="00300A01">
            <w:pPr>
              <w:pStyle w:val="Text1"/>
              <w:spacing w:before="0" w:after="0"/>
              <w:ind w:left="0"/>
              <w:rPr>
                <w:sz w:val="12"/>
                <w:szCs w:val="12"/>
              </w:rPr>
            </w:pPr>
            <w:r>
              <w:rPr>
                <w:noProof/>
                <w:sz w:val="12"/>
                <w:szCs w:val="12"/>
              </w:rPr>
              <w:t>03</w:t>
            </w:r>
          </w:p>
        </w:tc>
        <w:tc>
          <w:tcPr>
            <w:tcW w:w="0" w:type="auto"/>
            <w:shd w:val="clear" w:color="auto" w:fill="auto"/>
          </w:tcPr>
          <w:p w14:paraId="3580751E"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1C19D817" w14:textId="77777777" w:rsidR="008C5CFA" w:rsidRPr="009C3005" w:rsidRDefault="00E82A60" w:rsidP="00300A01">
            <w:pPr>
              <w:pStyle w:val="Text1"/>
              <w:spacing w:before="0" w:after="0"/>
              <w:ind w:left="0"/>
              <w:rPr>
                <w:sz w:val="12"/>
                <w:szCs w:val="12"/>
              </w:rPr>
            </w:pPr>
            <w:r>
              <w:rPr>
                <w:noProof/>
                <w:sz w:val="12"/>
                <w:szCs w:val="12"/>
              </w:rPr>
              <w:t>06</w:t>
            </w:r>
          </w:p>
        </w:tc>
        <w:tc>
          <w:tcPr>
            <w:tcW w:w="0" w:type="auto"/>
            <w:shd w:val="clear" w:color="auto" w:fill="auto"/>
          </w:tcPr>
          <w:p w14:paraId="2683BC2E" w14:textId="77777777" w:rsidR="008C5CFA" w:rsidRPr="009C3005" w:rsidRDefault="00E82A60" w:rsidP="00300A01">
            <w:pPr>
              <w:pStyle w:val="Text1"/>
              <w:spacing w:before="0" w:after="0"/>
              <w:ind w:left="0"/>
              <w:rPr>
                <w:sz w:val="12"/>
                <w:szCs w:val="12"/>
              </w:rPr>
            </w:pPr>
            <w:r>
              <w:rPr>
                <w:sz w:val="12"/>
                <w:szCs w:val="12"/>
              </w:rPr>
              <w:t xml:space="preserve"> </w:t>
            </w:r>
          </w:p>
        </w:tc>
        <w:tc>
          <w:tcPr>
            <w:tcW w:w="0" w:type="auto"/>
            <w:shd w:val="clear" w:color="auto" w:fill="auto"/>
          </w:tcPr>
          <w:p w14:paraId="26D6F1AD" w14:textId="77777777" w:rsidR="008C5CFA" w:rsidRPr="009C3005" w:rsidRDefault="00E82A60" w:rsidP="00300A01">
            <w:pPr>
              <w:pStyle w:val="Text1"/>
              <w:spacing w:before="0" w:after="0"/>
              <w:ind w:left="0"/>
              <w:rPr>
                <w:sz w:val="12"/>
                <w:szCs w:val="12"/>
              </w:rPr>
            </w:pPr>
            <w:r>
              <w:rPr>
                <w:noProof/>
                <w:sz w:val="12"/>
                <w:szCs w:val="12"/>
              </w:rPr>
              <w:t>24</w:t>
            </w:r>
          </w:p>
        </w:tc>
        <w:tc>
          <w:tcPr>
            <w:tcW w:w="0" w:type="auto"/>
            <w:shd w:val="clear" w:color="auto" w:fill="auto"/>
          </w:tcPr>
          <w:p w14:paraId="1F023FD5" w14:textId="77777777" w:rsidR="008C5CFA" w:rsidRPr="009C3005" w:rsidRDefault="00E82A60" w:rsidP="00300A01">
            <w:pPr>
              <w:pStyle w:val="Text1"/>
              <w:spacing w:before="0" w:after="0"/>
              <w:ind w:left="0"/>
              <w:rPr>
                <w:sz w:val="12"/>
                <w:szCs w:val="12"/>
              </w:rPr>
            </w:pPr>
            <w:r>
              <w:rPr>
                <w:noProof/>
                <w:sz w:val="12"/>
                <w:szCs w:val="12"/>
              </w:rPr>
              <w:t>PL33</w:t>
            </w:r>
          </w:p>
        </w:tc>
        <w:tc>
          <w:tcPr>
            <w:tcW w:w="0" w:type="auto"/>
            <w:shd w:val="clear" w:color="auto" w:fill="auto"/>
          </w:tcPr>
          <w:p w14:paraId="34579AE2" w14:textId="77777777" w:rsidR="008C5CFA" w:rsidRPr="009C3005" w:rsidRDefault="00E82A60" w:rsidP="00300A01">
            <w:pPr>
              <w:pStyle w:val="Text1"/>
              <w:spacing w:before="0" w:after="0"/>
              <w:ind w:left="0"/>
              <w:jc w:val="right"/>
              <w:rPr>
                <w:sz w:val="12"/>
                <w:szCs w:val="12"/>
              </w:rPr>
            </w:pPr>
            <w:r w:rsidRPr="009C3005">
              <w:rPr>
                <w:noProof/>
                <w:sz w:val="12"/>
                <w:szCs w:val="12"/>
              </w:rPr>
              <w:t>8 370 740,78</w:t>
            </w:r>
          </w:p>
        </w:tc>
        <w:tc>
          <w:tcPr>
            <w:tcW w:w="0" w:type="auto"/>
            <w:shd w:val="clear" w:color="auto" w:fill="auto"/>
          </w:tcPr>
          <w:p w14:paraId="1FDD950A" w14:textId="77777777" w:rsidR="008C5CFA" w:rsidRPr="009C3005" w:rsidRDefault="00E82A60" w:rsidP="00300A01">
            <w:pPr>
              <w:pStyle w:val="Text1"/>
              <w:spacing w:before="0" w:after="0"/>
              <w:ind w:left="0"/>
              <w:jc w:val="right"/>
              <w:rPr>
                <w:sz w:val="12"/>
                <w:szCs w:val="12"/>
              </w:rPr>
            </w:pPr>
            <w:r w:rsidRPr="009C3005">
              <w:rPr>
                <w:noProof/>
                <w:sz w:val="12"/>
                <w:szCs w:val="12"/>
              </w:rPr>
              <w:t>7 496 130,45</w:t>
            </w:r>
          </w:p>
        </w:tc>
        <w:tc>
          <w:tcPr>
            <w:tcW w:w="0" w:type="auto"/>
            <w:shd w:val="clear" w:color="auto" w:fill="auto"/>
          </w:tcPr>
          <w:p w14:paraId="12AB584F" w14:textId="77777777" w:rsidR="008C5CFA" w:rsidRPr="009C3005" w:rsidRDefault="00E82A60" w:rsidP="00300A01">
            <w:pPr>
              <w:pStyle w:val="Text1"/>
              <w:spacing w:before="0" w:after="0"/>
              <w:ind w:left="0"/>
              <w:jc w:val="right"/>
              <w:rPr>
                <w:sz w:val="12"/>
                <w:szCs w:val="12"/>
              </w:rPr>
            </w:pPr>
            <w:r w:rsidRPr="009C3005">
              <w:rPr>
                <w:noProof/>
                <w:sz w:val="12"/>
                <w:szCs w:val="12"/>
              </w:rPr>
              <w:t>1 176 700,40</w:t>
            </w:r>
          </w:p>
        </w:tc>
        <w:tc>
          <w:tcPr>
            <w:tcW w:w="0" w:type="auto"/>
            <w:shd w:val="clear" w:color="auto" w:fill="auto"/>
          </w:tcPr>
          <w:p w14:paraId="5267809A" w14:textId="77777777" w:rsidR="008C5CFA" w:rsidRPr="009C3005" w:rsidRDefault="00E82A60" w:rsidP="00300A01">
            <w:pPr>
              <w:pStyle w:val="Text1"/>
              <w:spacing w:before="0" w:after="0"/>
              <w:ind w:left="0"/>
              <w:jc w:val="right"/>
              <w:rPr>
                <w:sz w:val="12"/>
                <w:szCs w:val="12"/>
              </w:rPr>
            </w:pPr>
            <w:r w:rsidRPr="009C3005">
              <w:rPr>
                <w:noProof/>
                <w:sz w:val="12"/>
                <w:szCs w:val="12"/>
              </w:rPr>
              <w:t>11</w:t>
            </w:r>
          </w:p>
        </w:tc>
      </w:tr>
      <w:tr w:rsidR="006B2EC1" w14:paraId="4BA0C0FA" w14:textId="77777777" w:rsidTr="0047688D">
        <w:tc>
          <w:tcPr>
            <w:tcW w:w="0" w:type="auto"/>
            <w:shd w:val="clear" w:color="auto" w:fill="auto"/>
          </w:tcPr>
          <w:p w14:paraId="69014B80" w14:textId="77777777" w:rsidR="008C5CFA" w:rsidRPr="009C3005" w:rsidRDefault="00E82A60" w:rsidP="00300A01">
            <w:pPr>
              <w:pStyle w:val="Text1"/>
              <w:spacing w:before="0" w:after="0"/>
              <w:ind w:left="0"/>
              <w:rPr>
                <w:sz w:val="12"/>
                <w:szCs w:val="12"/>
              </w:rPr>
            </w:pPr>
            <w:r>
              <w:rPr>
                <w:noProof/>
                <w:sz w:val="14"/>
                <w:szCs w:val="14"/>
                <w:lang w:val="fr-BE"/>
              </w:rPr>
              <w:t>5</w:t>
            </w:r>
          </w:p>
        </w:tc>
        <w:tc>
          <w:tcPr>
            <w:tcW w:w="0" w:type="auto"/>
            <w:shd w:val="clear" w:color="auto" w:fill="auto"/>
          </w:tcPr>
          <w:p w14:paraId="71BA5A38" w14:textId="77777777" w:rsidR="008C5CFA" w:rsidRPr="009C3005" w:rsidRDefault="00E82A60" w:rsidP="00300A01">
            <w:pPr>
              <w:pStyle w:val="Text1"/>
              <w:spacing w:before="0" w:after="0"/>
              <w:ind w:left="0"/>
              <w:rPr>
                <w:sz w:val="12"/>
                <w:szCs w:val="12"/>
              </w:rPr>
            </w:pPr>
            <w:r>
              <w:rPr>
                <w:noProof/>
                <w:sz w:val="12"/>
                <w:szCs w:val="12"/>
              </w:rPr>
              <w:t>EFRR</w:t>
            </w:r>
          </w:p>
        </w:tc>
        <w:tc>
          <w:tcPr>
            <w:tcW w:w="0" w:type="auto"/>
            <w:shd w:val="clear" w:color="auto" w:fill="auto"/>
          </w:tcPr>
          <w:p w14:paraId="152405B1" w14:textId="77777777" w:rsidR="008C5CFA" w:rsidRPr="009C3005" w:rsidRDefault="00E82A60" w:rsidP="00300A01">
            <w:pPr>
              <w:pStyle w:val="Text1"/>
              <w:spacing w:before="0" w:after="0"/>
              <w:ind w:left="0"/>
              <w:rPr>
                <w:sz w:val="12"/>
                <w:szCs w:val="12"/>
              </w:rPr>
            </w:pPr>
            <w:r>
              <w:rPr>
                <w:noProof/>
                <w:sz w:val="12"/>
                <w:szCs w:val="12"/>
              </w:rPr>
              <w:t>Słabiej rozwinięte</w:t>
            </w:r>
          </w:p>
        </w:tc>
        <w:tc>
          <w:tcPr>
            <w:tcW w:w="0" w:type="auto"/>
            <w:shd w:val="clear" w:color="auto" w:fill="auto"/>
          </w:tcPr>
          <w:p w14:paraId="21FB07C8" w14:textId="77777777" w:rsidR="008C5CFA" w:rsidRPr="009C3005" w:rsidRDefault="00E82A60" w:rsidP="00300A01">
            <w:pPr>
              <w:pStyle w:val="Text1"/>
              <w:spacing w:before="0" w:after="0"/>
              <w:ind w:left="0"/>
              <w:rPr>
                <w:sz w:val="12"/>
                <w:szCs w:val="12"/>
              </w:rPr>
            </w:pPr>
            <w:r>
              <w:rPr>
                <w:noProof/>
                <w:sz w:val="12"/>
                <w:szCs w:val="12"/>
              </w:rPr>
              <w:t>026</w:t>
            </w:r>
          </w:p>
        </w:tc>
        <w:tc>
          <w:tcPr>
            <w:tcW w:w="0" w:type="auto"/>
            <w:shd w:val="clear" w:color="auto" w:fill="auto"/>
          </w:tcPr>
          <w:p w14:paraId="36664B24"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0D5D627F" w14:textId="77777777" w:rsidR="008C5CFA" w:rsidRPr="009C3005" w:rsidRDefault="00E82A60" w:rsidP="00300A01">
            <w:pPr>
              <w:pStyle w:val="Text1"/>
              <w:spacing w:before="0" w:after="0"/>
              <w:ind w:left="0"/>
              <w:rPr>
                <w:sz w:val="12"/>
                <w:szCs w:val="12"/>
              </w:rPr>
            </w:pPr>
            <w:r>
              <w:rPr>
                <w:noProof/>
                <w:sz w:val="12"/>
                <w:szCs w:val="12"/>
              </w:rPr>
              <w:t>03</w:t>
            </w:r>
          </w:p>
        </w:tc>
        <w:tc>
          <w:tcPr>
            <w:tcW w:w="0" w:type="auto"/>
            <w:shd w:val="clear" w:color="auto" w:fill="auto"/>
          </w:tcPr>
          <w:p w14:paraId="52986160"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3ADC8567"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38F69EFA" w14:textId="77777777" w:rsidR="008C5CFA" w:rsidRPr="009C3005" w:rsidRDefault="00E82A60" w:rsidP="00300A01">
            <w:pPr>
              <w:pStyle w:val="Text1"/>
              <w:spacing w:before="0" w:after="0"/>
              <w:ind w:left="0"/>
              <w:rPr>
                <w:sz w:val="12"/>
                <w:szCs w:val="12"/>
              </w:rPr>
            </w:pPr>
            <w:r>
              <w:rPr>
                <w:sz w:val="12"/>
                <w:szCs w:val="12"/>
              </w:rPr>
              <w:t xml:space="preserve"> </w:t>
            </w:r>
          </w:p>
        </w:tc>
        <w:tc>
          <w:tcPr>
            <w:tcW w:w="0" w:type="auto"/>
            <w:shd w:val="clear" w:color="auto" w:fill="auto"/>
          </w:tcPr>
          <w:p w14:paraId="683DBF80" w14:textId="77777777" w:rsidR="008C5CFA" w:rsidRPr="009C3005" w:rsidRDefault="00E82A60" w:rsidP="00300A01">
            <w:pPr>
              <w:pStyle w:val="Text1"/>
              <w:spacing w:before="0" w:after="0"/>
              <w:ind w:left="0"/>
              <w:rPr>
                <w:sz w:val="12"/>
                <w:szCs w:val="12"/>
              </w:rPr>
            </w:pPr>
            <w:r>
              <w:rPr>
                <w:noProof/>
                <w:sz w:val="12"/>
                <w:szCs w:val="12"/>
              </w:rPr>
              <w:t>12</w:t>
            </w:r>
          </w:p>
        </w:tc>
        <w:tc>
          <w:tcPr>
            <w:tcW w:w="0" w:type="auto"/>
            <w:shd w:val="clear" w:color="auto" w:fill="auto"/>
          </w:tcPr>
          <w:p w14:paraId="23E873CF" w14:textId="77777777" w:rsidR="008C5CFA" w:rsidRPr="009C3005" w:rsidRDefault="00E82A60" w:rsidP="00300A01">
            <w:pPr>
              <w:pStyle w:val="Text1"/>
              <w:spacing w:before="0" w:after="0"/>
              <w:ind w:left="0"/>
              <w:rPr>
                <w:sz w:val="12"/>
                <w:szCs w:val="12"/>
              </w:rPr>
            </w:pPr>
            <w:r>
              <w:rPr>
                <w:noProof/>
                <w:sz w:val="12"/>
                <w:szCs w:val="12"/>
              </w:rPr>
              <w:t>PL33</w:t>
            </w:r>
          </w:p>
        </w:tc>
        <w:tc>
          <w:tcPr>
            <w:tcW w:w="0" w:type="auto"/>
            <w:shd w:val="clear" w:color="auto" w:fill="auto"/>
          </w:tcPr>
          <w:p w14:paraId="27AF8BAA" w14:textId="77777777" w:rsidR="008C5CFA" w:rsidRPr="009C3005" w:rsidRDefault="00E82A60" w:rsidP="00300A01">
            <w:pPr>
              <w:pStyle w:val="Text1"/>
              <w:spacing w:before="0" w:after="0"/>
              <w:ind w:left="0"/>
              <w:jc w:val="right"/>
              <w:rPr>
                <w:sz w:val="12"/>
                <w:szCs w:val="12"/>
              </w:rPr>
            </w:pPr>
            <w:r w:rsidRPr="009C3005">
              <w:rPr>
                <w:noProof/>
                <w:sz w:val="12"/>
                <w:szCs w:val="12"/>
              </w:rPr>
              <w:t>10 052 783,96</w:t>
            </w:r>
          </w:p>
        </w:tc>
        <w:tc>
          <w:tcPr>
            <w:tcW w:w="0" w:type="auto"/>
            <w:shd w:val="clear" w:color="auto" w:fill="auto"/>
          </w:tcPr>
          <w:p w14:paraId="148DCCD5" w14:textId="77777777" w:rsidR="008C5CFA" w:rsidRPr="009C3005" w:rsidRDefault="00E82A60" w:rsidP="00300A01">
            <w:pPr>
              <w:pStyle w:val="Text1"/>
              <w:spacing w:before="0" w:after="0"/>
              <w:ind w:left="0"/>
              <w:jc w:val="right"/>
              <w:rPr>
                <w:sz w:val="12"/>
                <w:szCs w:val="12"/>
              </w:rPr>
            </w:pPr>
            <w:r w:rsidRPr="009C3005">
              <w:rPr>
                <w:noProof/>
                <w:sz w:val="12"/>
                <w:szCs w:val="12"/>
              </w:rPr>
              <w:t>10 052 783,96</w:t>
            </w:r>
          </w:p>
        </w:tc>
        <w:tc>
          <w:tcPr>
            <w:tcW w:w="0" w:type="auto"/>
            <w:shd w:val="clear" w:color="auto" w:fill="auto"/>
          </w:tcPr>
          <w:p w14:paraId="1EF7B337" w14:textId="77777777" w:rsidR="008C5CFA" w:rsidRPr="009C3005" w:rsidRDefault="00E82A60" w:rsidP="00300A01">
            <w:pPr>
              <w:pStyle w:val="Text1"/>
              <w:spacing w:before="0" w:after="0"/>
              <w:ind w:left="0"/>
              <w:jc w:val="right"/>
              <w:rPr>
                <w:sz w:val="12"/>
                <w:szCs w:val="12"/>
              </w:rPr>
            </w:pPr>
            <w:r w:rsidRPr="009C3005">
              <w:rPr>
                <w:noProof/>
                <w:sz w:val="12"/>
                <w:szCs w:val="12"/>
              </w:rPr>
              <w:t>0,00</w:t>
            </w:r>
          </w:p>
        </w:tc>
        <w:tc>
          <w:tcPr>
            <w:tcW w:w="0" w:type="auto"/>
            <w:shd w:val="clear" w:color="auto" w:fill="auto"/>
          </w:tcPr>
          <w:p w14:paraId="1FA3026D" w14:textId="77777777" w:rsidR="008C5CFA" w:rsidRPr="009C3005" w:rsidRDefault="00E82A60" w:rsidP="00300A01">
            <w:pPr>
              <w:pStyle w:val="Text1"/>
              <w:spacing w:before="0" w:after="0"/>
              <w:ind w:left="0"/>
              <w:jc w:val="right"/>
              <w:rPr>
                <w:sz w:val="12"/>
                <w:szCs w:val="12"/>
              </w:rPr>
            </w:pPr>
            <w:r w:rsidRPr="009C3005">
              <w:rPr>
                <w:noProof/>
                <w:sz w:val="12"/>
                <w:szCs w:val="12"/>
              </w:rPr>
              <w:t>1</w:t>
            </w:r>
          </w:p>
        </w:tc>
      </w:tr>
      <w:tr w:rsidR="006B2EC1" w14:paraId="54CD1E1E" w14:textId="77777777" w:rsidTr="0047688D">
        <w:tc>
          <w:tcPr>
            <w:tcW w:w="0" w:type="auto"/>
            <w:shd w:val="clear" w:color="auto" w:fill="auto"/>
          </w:tcPr>
          <w:p w14:paraId="71180531" w14:textId="77777777" w:rsidR="008C5CFA" w:rsidRPr="009C3005" w:rsidRDefault="00E82A60" w:rsidP="00300A01">
            <w:pPr>
              <w:pStyle w:val="Text1"/>
              <w:spacing w:before="0" w:after="0"/>
              <w:ind w:left="0"/>
              <w:rPr>
                <w:sz w:val="12"/>
                <w:szCs w:val="12"/>
              </w:rPr>
            </w:pPr>
            <w:r>
              <w:rPr>
                <w:noProof/>
                <w:sz w:val="14"/>
                <w:szCs w:val="14"/>
                <w:lang w:val="fr-BE"/>
              </w:rPr>
              <w:t>5</w:t>
            </w:r>
          </w:p>
        </w:tc>
        <w:tc>
          <w:tcPr>
            <w:tcW w:w="0" w:type="auto"/>
            <w:shd w:val="clear" w:color="auto" w:fill="auto"/>
          </w:tcPr>
          <w:p w14:paraId="418C28DA" w14:textId="77777777" w:rsidR="008C5CFA" w:rsidRPr="009C3005" w:rsidRDefault="00E82A60" w:rsidP="00300A01">
            <w:pPr>
              <w:pStyle w:val="Text1"/>
              <w:spacing w:before="0" w:after="0"/>
              <w:ind w:left="0"/>
              <w:rPr>
                <w:sz w:val="12"/>
                <w:szCs w:val="12"/>
              </w:rPr>
            </w:pPr>
            <w:r>
              <w:rPr>
                <w:noProof/>
                <w:sz w:val="12"/>
                <w:szCs w:val="12"/>
              </w:rPr>
              <w:t>EFRR</w:t>
            </w:r>
          </w:p>
        </w:tc>
        <w:tc>
          <w:tcPr>
            <w:tcW w:w="0" w:type="auto"/>
            <w:shd w:val="clear" w:color="auto" w:fill="auto"/>
          </w:tcPr>
          <w:p w14:paraId="39081D5F" w14:textId="77777777" w:rsidR="008C5CFA" w:rsidRPr="009C3005" w:rsidRDefault="00E82A60" w:rsidP="00300A01">
            <w:pPr>
              <w:pStyle w:val="Text1"/>
              <w:spacing w:before="0" w:after="0"/>
              <w:ind w:left="0"/>
              <w:rPr>
                <w:sz w:val="12"/>
                <w:szCs w:val="12"/>
              </w:rPr>
            </w:pPr>
            <w:r>
              <w:rPr>
                <w:noProof/>
                <w:sz w:val="12"/>
                <w:szCs w:val="12"/>
              </w:rPr>
              <w:t>Słabiej rozwinięte</w:t>
            </w:r>
          </w:p>
        </w:tc>
        <w:tc>
          <w:tcPr>
            <w:tcW w:w="0" w:type="auto"/>
            <w:shd w:val="clear" w:color="auto" w:fill="auto"/>
          </w:tcPr>
          <w:p w14:paraId="075B87C1" w14:textId="77777777" w:rsidR="008C5CFA" w:rsidRPr="009C3005" w:rsidRDefault="00E82A60" w:rsidP="00300A01">
            <w:pPr>
              <w:pStyle w:val="Text1"/>
              <w:spacing w:before="0" w:after="0"/>
              <w:ind w:left="0"/>
              <w:rPr>
                <w:sz w:val="12"/>
                <w:szCs w:val="12"/>
              </w:rPr>
            </w:pPr>
            <w:r>
              <w:rPr>
                <w:noProof/>
                <w:sz w:val="12"/>
                <w:szCs w:val="12"/>
              </w:rPr>
              <w:t>026</w:t>
            </w:r>
          </w:p>
        </w:tc>
        <w:tc>
          <w:tcPr>
            <w:tcW w:w="0" w:type="auto"/>
            <w:shd w:val="clear" w:color="auto" w:fill="auto"/>
          </w:tcPr>
          <w:p w14:paraId="5D739A1A"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36EBD0FB" w14:textId="77777777" w:rsidR="008C5CFA" w:rsidRPr="009C3005" w:rsidRDefault="00E82A60" w:rsidP="00300A01">
            <w:pPr>
              <w:pStyle w:val="Text1"/>
              <w:spacing w:before="0" w:after="0"/>
              <w:ind w:left="0"/>
              <w:rPr>
                <w:sz w:val="12"/>
                <w:szCs w:val="12"/>
              </w:rPr>
            </w:pPr>
            <w:r>
              <w:rPr>
                <w:noProof/>
                <w:sz w:val="12"/>
                <w:szCs w:val="12"/>
              </w:rPr>
              <w:t>03</w:t>
            </w:r>
          </w:p>
        </w:tc>
        <w:tc>
          <w:tcPr>
            <w:tcW w:w="0" w:type="auto"/>
            <w:shd w:val="clear" w:color="auto" w:fill="auto"/>
          </w:tcPr>
          <w:p w14:paraId="0FBCF87D"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5F959BF0"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098C3FCD" w14:textId="77777777" w:rsidR="008C5CFA" w:rsidRPr="009C3005" w:rsidRDefault="00E82A60" w:rsidP="00300A01">
            <w:pPr>
              <w:pStyle w:val="Text1"/>
              <w:spacing w:before="0" w:after="0"/>
              <w:ind w:left="0"/>
              <w:rPr>
                <w:sz w:val="12"/>
                <w:szCs w:val="12"/>
              </w:rPr>
            </w:pPr>
            <w:r>
              <w:rPr>
                <w:sz w:val="12"/>
                <w:szCs w:val="12"/>
              </w:rPr>
              <w:t xml:space="preserve"> </w:t>
            </w:r>
          </w:p>
        </w:tc>
        <w:tc>
          <w:tcPr>
            <w:tcW w:w="0" w:type="auto"/>
            <w:shd w:val="clear" w:color="auto" w:fill="auto"/>
          </w:tcPr>
          <w:p w14:paraId="64784761" w14:textId="77777777" w:rsidR="008C5CFA" w:rsidRPr="009C3005" w:rsidRDefault="00E82A60" w:rsidP="00300A01">
            <w:pPr>
              <w:pStyle w:val="Text1"/>
              <w:spacing w:before="0" w:after="0"/>
              <w:ind w:left="0"/>
              <w:rPr>
                <w:sz w:val="12"/>
                <w:szCs w:val="12"/>
              </w:rPr>
            </w:pPr>
            <w:r>
              <w:rPr>
                <w:noProof/>
                <w:sz w:val="12"/>
                <w:szCs w:val="12"/>
              </w:rPr>
              <w:t>18</w:t>
            </w:r>
          </w:p>
        </w:tc>
        <w:tc>
          <w:tcPr>
            <w:tcW w:w="0" w:type="auto"/>
            <w:shd w:val="clear" w:color="auto" w:fill="auto"/>
          </w:tcPr>
          <w:p w14:paraId="75573F02" w14:textId="77777777" w:rsidR="008C5CFA" w:rsidRPr="009C3005" w:rsidRDefault="00E82A60" w:rsidP="00300A01">
            <w:pPr>
              <w:pStyle w:val="Text1"/>
              <w:spacing w:before="0" w:after="0"/>
              <w:ind w:left="0"/>
              <w:rPr>
                <w:sz w:val="12"/>
                <w:szCs w:val="12"/>
              </w:rPr>
            </w:pPr>
            <w:r>
              <w:rPr>
                <w:noProof/>
                <w:sz w:val="12"/>
                <w:szCs w:val="12"/>
              </w:rPr>
              <w:t>PL33</w:t>
            </w:r>
          </w:p>
        </w:tc>
        <w:tc>
          <w:tcPr>
            <w:tcW w:w="0" w:type="auto"/>
            <w:shd w:val="clear" w:color="auto" w:fill="auto"/>
          </w:tcPr>
          <w:p w14:paraId="2F1929B6" w14:textId="77777777" w:rsidR="008C5CFA" w:rsidRPr="009C3005" w:rsidRDefault="00E82A60" w:rsidP="00300A01">
            <w:pPr>
              <w:pStyle w:val="Text1"/>
              <w:spacing w:before="0" w:after="0"/>
              <w:ind w:left="0"/>
              <w:jc w:val="right"/>
              <w:rPr>
                <w:sz w:val="12"/>
                <w:szCs w:val="12"/>
              </w:rPr>
            </w:pPr>
            <w:r w:rsidRPr="009C3005">
              <w:rPr>
                <w:noProof/>
                <w:sz w:val="12"/>
                <w:szCs w:val="12"/>
              </w:rPr>
              <w:t>8 514 248,51</w:t>
            </w:r>
          </w:p>
        </w:tc>
        <w:tc>
          <w:tcPr>
            <w:tcW w:w="0" w:type="auto"/>
            <w:shd w:val="clear" w:color="auto" w:fill="auto"/>
          </w:tcPr>
          <w:p w14:paraId="7361F9DD" w14:textId="77777777" w:rsidR="008C5CFA" w:rsidRPr="009C3005" w:rsidRDefault="00E82A60" w:rsidP="00300A01">
            <w:pPr>
              <w:pStyle w:val="Text1"/>
              <w:spacing w:before="0" w:after="0"/>
              <w:ind w:left="0"/>
              <w:jc w:val="right"/>
              <w:rPr>
                <w:sz w:val="12"/>
                <w:szCs w:val="12"/>
              </w:rPr>
            </w:pPr>
            <w:r w:rsidRPr="009C3005">
              <w:rPr>
                <w:noProof/>
                <w:sz w:val="12"/>
                <w:szCs w:val="12"/>
              </w:rPr>
              <w:t>8 514 248,51</w:t>
            </w:r>
          </w:p>
        </w:tc>
        <w:tc>
          <w:tcPr>
            <w:tcW w:w="0" w:type="auto"/>
            <w:shd w:val="clear" w:color="auto" w:fill="auto"/>
          </w:tcPr>
          <w:p w14:paraId="10BB8FD2" w14:textId="77777777" w:rsidR="008C5CFA" w:rsidRPr="009C3005" w:rsidRDefault="00E82A60" w:rsidP="00300A01">
            <w:pPr>
              <w:pStyle w:val="Text1"/>
              <w:spacing w:before="0" w:after="0"/>
              <w:ind w:left="0"/>
              <w:jc w:val="right"/>
              <w:rPr>
                <w:sz w:val="12"/>
                <w:szCs w:val="12"/>
              </w:rPr>
            </w:pPr>
            <w:r w:rsidRPr="009C3005">
              <w:rPr>
                <w:noProof/>
                <w:sz w:val="12"/>
                <w:szCs w:val="12"/>
              </w:rPr>
              <w:t>8 506 914,84</w:t>
            </w:r>
          </w:p>
        </w:tc>
        <w:tc>
          <w:tcPr>
            <w:tcW w:w="0" w:type="auto"/>
            <w:shd w:val="clear" w:color="auto" w:fill="auto"/>
          </w:tcPr>
          <w:p w14:paraId="06891A93" w14:textId="77777777" w:rsidR="008C5CFA" w:rsidRPr="009C3005" w:rsidRDefault="00E82A60" w:rsidP="00300A01">
            <w:pPr>
              <w:pStyle w:val="Text1"/>
              <w:spacing w:before="0" w:after="0"/>
              <w:ind w:left="0"/>
              <w:jc w:val="right"/>
              <w:rPr>
                <w:sz w:val="12"/>
                <w:szCs w:val="12"/>
              </w:rPr>
            </w:pPr>
            <w:r w:rsidRPr="009C3005">
              <w:rPr>
                <w:noProof/>
                <w:sz w:val="12"/>
                <w:szCs w:val="12"/>
              </w:rPr>
              <w:t>1</w:t>
            </w:r>
          </w:p>
        </w:tc>
      </w:tr>
      <w:tr w:rsidR="006B2EC1" w14:paraId="7E2E6E42" w14:textId="77777777" w:rsidTr="0047688D">
        <w:tc>
          <w:tcPr>
            <w:tcW w:w="0" w:type="auto"/>
            <w:shd w:val="clear" w:color="auto" w:fill="auto"/>
          </w:tcPr>
          <w:p w14:paraId="5C093EE3" w14:textId="77777777" w:rsidR="008C5CFA" w:rsidRPr="009C3005" w:rsidRDefault="00E82A60" w:rsidP="00300A01">
            <w:pPr>
              <w:pStyle w:val="Text1"/>
              <w:spacing w:before="0" w:after="0"/>
              <w:ind w:left="0"/>
              <w:rPr>
                <w:sz w:val="12"/>
                <w:szCs w:val="12"/>
              </w:rPr>
            </w:pPr>
            <w:r>
              <w:rPr>
                <w:noProof/>
                <w:sz w:val="14"/>
                <w:szCs w:val="14"/>
                <w:lang w:val="fr-BE"/>
              </w:rPr>
              <w:t>5</w:t>
            </w:r>
          </w:p>
        </w:tc>
        <w:tc>
          <w:tcPr>
            <w:tcW w:w="0" w:type="auto"/>
            <w:shd w:val="clear" w:color="auto" w:fill="auto"/>
          </w:tcPr>
          <w:p w14:paraId="69BE6A12" w14:textId="77777777" w:rsidR="008C5CFA" w:rsidRPr="009C3005" w:rsidRDefault="00E82A60" w:rsidP="00300A01">
            <w:pPr>
              <w:pStyle w:val="Text1"/>
              <w:spacing w:before="0" w:after="0"/>
              <w:ind w:left="0"/>
              <w:rPr>
                <w:sz w:val="12"/>
                <w:szCs w:val="12"/>
              </w:rPr>
            </w:pPr>
            <w:r>
              <w:rPr>
                <w:noProof/>
                <w:sz w:val="12"/>
                <w:szCs w:val="12"/>
              </w:rPr>
              <w:t>EFRR</w:t>
            </w:r>
          </w:p>
        </w:tc>
        <w:tc>
          <w:tcPr>
            <w:tcW w:w="0" w:type="auto"/>
            <w:shd w:val="clear" w:color="auto" w:fill="auto"/>
          </w:tcPr>
          <w:p w14:paraId="48F82C0D" w14:textId="77777777" w:rsidR="008C5CFA" w:rsidRPr="009C3005" w:rsidRDefault="00E82A60" w:rsidP="00300A01">
            <w:pPr>
              <w:pStyle w:val="Text1"/>
              <w:spacing w:before="0" w:after="0"/>
              <w:ind w:left="0"/>
              <w:rPr>
                <w:sz w:val="12"/>
                <w:szCs w:val="12"/>
              </w:rPr>
            </w:pPr>
            <w:r>
              <w:rPr>
                <w:noProof/>
                <w:sz w:val="12"/>
                <w:szCs w:val="12"/>
              </w:rPr>
              <w:t>Słabiej rozwinięte</w:t>
            </w:r>
          </w:p>
        </w:tc>
        <w:tc>
          <w:tcPr>
            <w:tcW w:w="0" w:type="auto"/>
            <w:shd w:val="clear" w:color="auto" w:fill="auto"/>
          </w:tcPr>
          <w:p w14:paraId="73BEBDB2" w14:textId="77777777" w:rsidR="008C5CFA" w:rsidRPr="009C3005" w:rsidRDefault="00E82A60" w:rsidP="00300A01">
            <w:pPr>
              <w:pStyle w:val="Text1"/>
              <w:spacing w:before="0" w:after="0"/>
              <w:ind w:left="0"/>
              <w:rPr>
                <w:sz w:val="12"/>
                <w:szCs w:val="12"/>
              </w:rPr>
            </w:pPr>
            <w:r>
              <w:rPr>
                <w:noProof/>
                <w:sz w:val="12"/>
                <w:szCs w:val="12"/>
              </w:rPr>
              <w:t>034</w:t>
            </w:r>
          </w:p>
        </w:tc>
        <w:tc>
          <w:tcPr>
            <w:tcW w:w="0" w:type="auto"/>
            <w:shd w:val="clear" w:color="auto" w:fill="auto"/>
          </w:tcPr>
          <w:p w14:paraId="778040BC"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0E405BDE" w14:textId="77777777" w:rsidR="008C5CFA" w:rsidRPr="009C3005" w:rsidRDefault="00E82A60" w:rsidP="00300A01">
            <w:pPr>
              <w:pStyle w:val="Text1"/>
              <w:spacing w:before="0" w:after="0"/>
              <w:ind w:left="0"/>
              <w:rPr>
                <w:sz w:val="12"/>
                <w:szCs w:val="12"/>
              </w:rPr>
            </w:pPr>
            <w:r>
              <w:rPr>
                <w:noProof/>
                <w:sz w:val="12"/>
                <w:szCs w:val="12"/>
              </w:rPr>
              <w:t>02</w:t>
            </w:r>
          </w:p>
        </w:tc>
        <w:tc>
          <w:tcPr>
            <w:tcW w:w="0" w:type="auto"/>
            <w:shd w:val="clear" w:color="auto" w:fill="auto"/>
          </w:tcPr>
          <w:p w14:paraId="561118F5"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68F74984"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71CC36F9" w14:textId="77777777" w:rsidR="008C5CFA" w:rsidRPr="009C3005" w:rsidRDefault="00E82A60" w:rsidP="00300A01">
            <w:pPr>
              <w:pStyle w:val="Text1"/>
              <w:spacing w:before="0" w:after="0"/>
              <w:ind w:left="0"/>
              <w:rPr>
                <w:sz w:val="12"/>
                <w:szCs w:val="12"/>
              </w:rPr>
            </w:pPr>
            <w:r>
              <w:rPr>
                <w:sz w:val="12"/>
                <w:szCs w:val="12"/>
              </w:rPr>
              <w:t xml:space="preserve"> </w:t>
            </w:r>
          </w:p>
        </w:tc>
        <w:tc>
          <w:tcPr>
            <w:tcW w:w="0" w:type="auto"/>
            <w:shd w:val="clear" w:color="auto" w:fill="auto"/>
          </w:tcPr>
          <w:p w14:paraId="4265EF7C" w14:textId="77777777" w:rsidR="008C5CFA" w:rsidRPr="009C3005" w:rsidRDefault="00E82A60" w:rsidP="00300A01">
            <w:pPr>
              <w:pStyle w:val="Text1"/>
              <w:spacing w:before="0" w:after="0"/>
              <w:ind w:left="0"/>
              <w:rPr>
                <w:sz w:val="12"/>
                <w:szCs w:val="12"/>
              </w:rPr>
            </w:pPr>
            <w:r>
              <w:rPr>
                <w:noProof/>
                <w:sz w:val="12"/>
                <w:szCs w:val="12"/>
              </w:rPr>
              <w:t>12</w:t>
            </w:r>
          </w:p>
        </w:tc>
        <w:tc>
          <w:tcPr>
            <w:tcW w:w="0" w:type="auto"/>
            <w:shd w:val="clear" w:color="auto" w:fill="auto"/>
          </w:tcPr>
          <w:p w14:paraId="5BA139CB" w14:textId="77777777" w:rsidR="008C5CFA" w:rsidRPr="009C3005" w:rsidRDefault="00E82A60" w:rsidP="00300A01">
            <w:pPr>
              <w:pStyle w:val="Text1"/>
              <w:spacing w:before="0" w:after="0"/>
              <w:ind w:left="0"/>
              <w:rPr>
                <w:sz w:val="12"/>
                <w:szCs w:val="12"/>
              </w:rPr>
            </w:pPr>
            <w:r>
              <w:rPr>
                <w:noProof/>
                <w:sz w:val="12"/>
                <w:szCs w:val="12"/>
              </w:rPr>
              <w:t>PL33</w:t>
            </w:r>
          </w:p>
        </w:tc>
        <w:tc>
          <w:tcPr>
            <w:tcW w:w="0" w:type="auto"/>
            <w:shd w:val="clear" w:color="auto" w:fill="auto"/>
          </w:tcPr>
          <w:p w14:paraId="5333011A" w14:textId="77777777" w:rsidR="008C5CFA" w:rsidRPr="009C3005" w:rsidRDefault="00E82A60" w:rsidP="00300A01">
            <w:pPr>
              <w:pStyle w:val="Text1"/>
              <w:spacing w:before="0" w:after="0"/>
              <w:ind w:left="0"/>
              <w:jc w:val="right"/>
              <w:rPr>
                <w:sz w:val="12"/>
                <w:szCs w:val="12"/>
              </w:rPr>
            </w:pPr>
            <w:r w:rsidRPr="009C3005">
              <w:rPr>
                <w:noProof/>
                <w:sz w:val="12"/>
                <w:szCs w:val="12"/>
              </w:rPr>
              <w:t>30 583 162,48</w:t>
            </w:r>
          </w:p>
        </w:tc>
        <w:tc>
          <w:tcPr>
            <w:tcW w:w="0" w:type="auto"/>
            <w:shd w:val="clear" w:color="auto" w:fill="auto"/>
          </w:tcPr>
          <w:p w14:paraId="66BE32E9" w14:textId="77777777" w:rsidR="008C5CFA" w:rsidRPr="009C3005" w:rsidRDefault="00E82A60" w:rsidP="00300A01">
            <w:pPr>
              <w:pStyle w:val="Text1"/>
              <w:spacing w:before="0" w:after="0"/>
              <w:ind w:left="0"/>
              <w:jc w:val="right"/>
              <w:rPr>
                <w:sz w:val="12"/>
                <w:szCs w:val="12"/>
              </w:rPr>
            </w:pPr>
            <w:r w:rsidRPr="009C3005">
              <w:rPr>
                <w:noProof/>
                <w:sz w:val="12"/>
                <w:szCs w:val="12"/>
              </w:rPr>
              <w:t>30 583 162,48</w:t>
            </w:r>
          </w:p>
        </w:tc>
        <w:tc>
          <w:tcPr>
            <w:tcW w:w="0" w:type="auto"/>
            <w:shd w:val="clear" w:color="auto" w:fill="auto"/>
          </w:tcPr>
          <w:p w14:paraId="29B40723" w14:textId="77777777" w:rsidR="008C5CFA" w:rsidRPr="009C3005" w:rsidRDefault="00E82A60" w:rsidP="00300A01">
            <w:pPr>
              <w:pStyle w:val="Text1"/>
              <w:spacing w:before="0" w:after="0"/>
              <w:ind w:left="0"/>
              <w:jc w:val="right"/>
              <w:rPr>
                <w:sz w:val="12"/>
                <w:szCs w:val="12"/>
              </w:rPr>
            </w:pPr>
            <w:r w:rsidRPr="009C3005">
              <w:rPr>
                <w:noProof/>
                <w:sz w:val="12"/>
                <w:szCs w:val="12"/>
              </w:rPr>
              <w:t>5 851 575,33</w:t>
            </w:r>
          </w:p>
        </w:tc>
        <w:tc>
          <w:tcPr>
            <w:tcW w:w="0" w:type="auto"/>
            <w:shd w:val="clear" w:color="auto" w:fill="auto"/>
          </w:tcPr>
          <w:p w14:paraId="7A82922B" w14:textId="77777777" w:rsidR="008C5CFA" w:rsidRPr="009C3005" w:rsidRDefault="00E82A60" w:rsidP="00300A01">
            <w:pPr>
              <w:pStyle w:val="Text1"/>
              <w:spacing w:before="0" w:after="0"/>
              <w:ind w:left="0"/>
              <w:jc w:val="right"/>
              <w:rPr>
                <w:sz w:val="12"/>
                <w:szCs w:val="12"/>
              </w:rPr>
            </w:pPr>
            <w:r w:rsidRPr="009C3005">
              <w:rPr>
                <w:noProof/>
                <w:sz w:val="12"/>
                <w:szCs w:val="12"/>
              </w:rPr>
              <w:t>3</w:t>
            </w:r>
          </w:p>
        </w:tc>
      </w:tr>
      <w:tr w:rsidR="006B2EC1" w14:paraId="0B3EF829" w14:textId="77777777" w:rsidTr="0047688D">
        <w:tc>
          <w:tcPr>
            <w:tcW w:w="0" w:type="auto"/>
            <w:shd w:val="clear" w:color="auto" w:fill="auto"/>
          </w:tcPr>
          <w:p w14:paraId="5648D6E2" w14:textId="77777777" w:rsidR="008C5CFA" w:rsidRPr="009C3005" w:rsidRDefault="00E82A60" w:rsidP="00300A01">
            <w:pPr>
              <w:pStyle w:val="Text1"/>
              <w:spacing w:before="0" w:after="0"/>
              <w:ind w:left="0"/>
              <w:rPr>
                <w:sz w:val="12"/>
                <w:szCs w:val="12"/>
              </w:rPr>
            </w:pPr>
            <w:r>
              <w:rPr>
                <w:noProof/>
                <w:sz w:val="14"/>
                <w:szCs w:val="14"/>
                <w:lang w:val="fr-BE"/>
              </w:rPr>
              <w:t>5</w:t>
            </w:r>
          </w:p>
        </w:tc>
        <w:tc>
          <w:tcPr>
            <w:tcW w:w="0" w:type="auto"/>
            <w:shd w:val="clear" w:color="auto" w:fill="auto"/>
          </w:tcPr>
          <w:p w14:paraId="43686E26" w14:textId="77777777" w:rsidR="008C5CFA" w:rsidRPr="009C3005" w:rsidRDefault="00E82A60" w:rsidP="00300A01">
            <w:pPr>
              <w:pStyle w:val="Text1"/>
              <w:spacing w:before="0" w:after="0"/>
              <w:ind w:left="0"/>
              <w:rPr>
                <w:sz w:val="12"/>
                <w:szCs w:val="12"/>
              </w:rPr>
            </w:pPr>
            <w:r>
              <w:rPr>
                <w:noProof/>
                <w:sz w:val="12"/>
                <w:szCs w:val="12"/>
              </w:rPr>
              <w:t>EFRR</w:t>
            </w:r>
          </w:p>
        </w:tc>
        <w:tc>
          <w:tcPr>
            <w:tcW w:w="0" w:type="auto"/>
            <w:shd w:val="clear" w:color="auto" w:fill="auto"/>
          </w:tcPr>
          <w:p w14:paraId="18567DAD" w14:textId="77777777" w:rsidR="008C5CFA" w:rsidRPr="009C3005" w:rsidRDefault="00E82A60" w:rsidP="00300A01">
            <w:pPr>
              <w:pStyle w:val="Text1"/>
              <w:spacing w:before="0" w:after="0"/>
              <w:ind w:left="0"/>
              <w:rPr>
                <w:sz w:val="12"/>
                <w:szCs w:val="12"/>
              </w:rPr>
            </w:pPr>
            <w:r>
              <w:rPr>
                <w:noProof/>
                <w:sz w:val="12"/>
                <w:szCs w:val="12"/>
              </w:rPr>
              <w:t>Słabiej rozwinięte</w:t>
            </w:r>
          </w:p>
        </w:tc>
        <w:tc>
          <w:tcPr>
            <w:tcW w:w="0" w:type="auto"/>
            <w:shd w:val="clear" w:color="auto" w:fill="auto"/>
          </w:tcPr>
          <w:p w14:paraId="49200F78" w14:textId="77777777" w:rsidR="008C5CFA" w:rsidRPr="009C3005" w:rsidRDefault="00E82A60" w:rsidP="00300A01">
            <w:pPr>
              <w:pStyle w:val="Text1"/>
              <w:spacing w:before="0" w:after="0"/>
              <w:ind w:left="0"/>
              <w:rPr>
                <w:sz w:val="12"/>
                <w:szCs w:val="12"/>
              </w:rPr>
            </w:pPr>
            <w:r>
              <w:rPr>
                <w:noProof/>
                <w:sz w:val="12"/>
                <w:szCs w:val="12"/>
              </w:rPr>
              <w:t>034</w:t>
            </w:r>
          </w:p>
        </w:tc>
        <w:tc>
          <w:tcPr>
            <w:tcW w:w="0" w:type="auto"/>
            <w:shd w:val="clear" w:color="auto" w:fill="auto"/>
          </w:tcPr>
          <w:p w14:paraId="6DFE3C38"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4D591113" w14:textId="77777777" w:rsidR="008C5CFA" w:rsidRPr="009C3005" w:rsidRDefault="00E82A60" w:rsidP="00300A01">
            <w:pPr>
              <w:pStyle w:val="Text1"/>
              <w:spacing w:before="0" w:after="0"/>
              <w:ind w:left="0"/>
              <w:rPr>
                <w:sz w:val="12"/>
                <w:szCs w:val="12"/>
              </w:rPr>
            </w:pPr>
            <w:r>
              <w:rPr>
                <w:noProof/>
                <w:sz w:val="12"/>
                <w:szCs w:val="12"/>
              </w:rPr>
              <w:t>03</w:t>
            </w:r>
          </w:p>
        </w:tc>
        <w:tc>
          <w:tcPr>
            <w:tcW w:w="0" w:type="auto"/>
            <w:shd w:val="clear" w:color="auto" w:fill="auto"/>
          </w:tcPr>
          <w:p w14:paraId="6CF0F2EC"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72A42C96"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1F4F6337" w14:textId="77777777" w:rsidR="008C5CFA" w:rsidRPr="009C3005" w:rsidRDefault="00E82A60" w:rsidP="00300A01">
            <w:pPr>
              <w:pStyle w:val="Text1"/>
              <w:spacing w:before="0" w:after="0"/>
              <w:ind w:left="0"/>
              <w:rPr>
                <w:sz w:val="12"/>
                <w:szCs w:val="12"/>
              </w:rPr>
            </w:pPr>
            <w:r>
              <w:rPr>
                <w:sz w:val="12"/>
                <w:szCs w:val="12"/>
              </w:rPr>
              <w:t xml:space="preserve"> </w:t>
            </w:r>
          </w:p>
        </w:tc>
        <w:tc>
          <w:tcPr>
            <w:tcW w:w="0" w:type="auto"/>
            <w:shd w:val="clear" w:color="auto" w:fill="auto"/>
          </w:tcPr>
          <w:p w14:paraId="439DFE09" w14:textId="77777777" w:rsidR="008C5CFA" w:rsidRPr="009C3005" w:rsidRDefault="00E82A60" w:rsidP="00300A01">
            <w:pPr>
              <w:pStyle w:val="Text1"/>
              <w:spacing w:before="0" w:after="0"/>
              <w:ind w:left="0"/>
              <w:rPr>
                <w:sz w:val="12"/>
                <w:szCs w:val="12"/>
              </w:rPr>
            </w:pPr>
            <w:r>
              <w:rPr>
                <w:noProof/>
                <w:sz w:val="12"/>
                <w:szCs w:val="12"/>
              </w:rPr>
              <w:t>12</w:t>
            </w:r>
          </w:p>
        </w:tc>
        <w:tc>
          <w:tcPr>
            <w:tcW w:w="0" w:type="auto"/>
            <w:shd w:val="clear" w:color="auto" w:fill="auto"/>
          </w:tcPr>
          <w:p w14:paraId="1F277CEF" w14:textId="77777777" w:rsidR="008C5CFA" w:rsidRPr="009C3005" w:rsidRDefault="00E82A60" w:rsidP="00300A01">
            <w:pPr>
              <w:pStyle w:val="Text1"/>
              <w:spacing w:before="0" w:after="0"/>
              <w:ind w:left="0"/>
              <w:rPr>
                <w:sz w:val="12"/>
                <w:szCs w:val="12"/>
              </w:rPr>
            </w:pPr>
            <w:r>
              <w:rPr>
                <w:noProof/>
                <w:sz w:val="12"/>
                <w:szCs w:val="12"/>
              </w:rPr>
              <w:t>PL33</w:t>
            </w:r>
          </w:p>
        </w:tc>
        <w:tc>
          <w:tcPr>
            <w:tcW w:w="0" w:type="auto"/>
            <w:shd w:val="clear" w:color="auto" w:fill="auto"/>
          </w:tcPr>
          <w:p w14:paraId="48F0923F" w14:textId="77777777" w:rsidR="008C5CFA" w:rsidRPr="009C3005" w:rsidRDefault="00E82A60" w:rsidP="00300A01">
            <w:pPr>
              <w:pStyle w:val="Text1"/>
              <w:spacing w:before="0" w:after="0"/>
              <w:ind w:left="0"/>
              <w:jc w:val="right"/>
              <w:rPr>
                <w:sz w:val="12"/>
                <w:szCs w:val="12"/>
              </w:rPr>
            </w:pPr>
            <w:r w:rsidRPr="009C3005">
              <w:rPr>
                <w:noProof/>
                <w:sz w:val="12"/>
                <w:szCs w:val="12"/>
              </w:rPr>
              <w:t>85 026 634,93</w:t>
            </w:r>
          </w:p>
        </w:tc>
        <w:tc>
          <w:tcPr>
            <w:tcW w:w="0" w:type="auto"/>
            <w:shd w:val="clear" w:color="auto" w:fill="auto"/>
          </w:tcPr>
          <w:p w14:paraId="50276848" w14:textId="77777777" w:rsidR="008C5CFA" w:rsidRPr="009C3005" w:rsidRDefault="00E82A60" w:rsidP="00300A01">
            <w:pPr>
              <w:pStyle w:val="Text1"/>
              <w:spacing w:before="0" w:after="0"/>
              <w:ind w:left="0"/>
              <w:jc w:val="right"/>
              <w:rPr>
                <w:sz w:val="12"/>
                <w:szCs w:val="12"/>
              </w:rPr>
            </w:pPr>
            <w:r w:rsidRPr="009C3005">
              <w:rPr>
                <w:noProof/>
                <w:sz w:val="12"/>
                <w:szCs w:val="12"/>
              </w:rPr>
              <w:t>85 026 634,93</w:t>
            </w:r>
          </w:p>
        </w:tc>
        <w:tc>
          <w:tcPr>
            <w:tcW w:w="0" w:type="auto"/>
            <w:shd w:val="clear" w:color="auto" w:fill="auto"/>
          </w:tcPr>
          <w:p w14:paraId="12D8737E" w14:textId="77777777" w:rsidR="008C5CFA" w:rsidRPr="009C3005" w:rsidRDefault="00E82A60" w:rsidP="00300A01">
            <w:pPr>
              <w:pStyle w:val="Text1"/>
              <w:spacing w:before="0" w:after="0"/>
              <w:ind w:left="0"/>
              <w:jc w:val="right"/>
              <w:rPr>
                <w:sz w:val="12"/>
                <w:szCs w:val="12"/>
              </w:rPr>
            </w:pPr>
            <w:r w:rsidRPr="009C3005">
              <w:rPr>
                <w:noProof/>
                <w:sz w:val="12"/>
                <w:szCs w:val="12"/>
              </w:rPr>
              <w:t>64 316 206,78</w:t>
            </w:r>
          </w:p>
        </w:tc>
        <w:tc>
          <w:tcPr>
            <w:tcW w:w="0" w:type="auto"/>
            <w:shd w:val="clear" w:color="auto" w:fill="auto"/>
          </w:tcPr>
          <w:p w14:paraId="14D35A61" w14:textId="77777777" w:rsidR="008C5CFA" w:rsidRPr="009C3005" w:rsidRDefault="00E82A60" w:rsidP="00300A01">
            <w:pPr>
              <w:pStyle w:val="Text1"/>
              <w:spacing w:before="0" w:after="0"/>
              <w:ind w:left="0"/>
              <w:jc w:val="right"/>
              <w:rPr>
                <w:sz w:val="12"/>
                <w:szCs w:val="12"/>
              </w:rPr>
            </w:pPr>
            <w:r w:rsidRPr="009C3005">
              <w:rPr>
                <w:noProof/>
                <w:sz w:val="12"/>
                <w:szCs w:val="12"/>
              </w:rPr>
              <w:t>9</w:t>
            </w:r>
          </w:p>
        </w:tc>
      </w:tr>
      <w:tr w:rsidR="006B2EC1" w14:paraId="4A59F1B1" w14:textId="77777777" w:rsidTr="0047688D">
        <w:tc>
          <w:tcPr>
            <w:tcW w:w="0" w:type="auto"/>
            <w:shd w:val="clear" w:color="auto" w:fill="auto"/>
          </w:tcPr>
          <w:p w14:paraId="09C2E3DC" w14:textId="77777777" w:rsidR="008C5CFA" w:rsidRPr="009C3005" w:rsidRDefault="00E82A60" w:rsidP="00300A01">
            <w:pPr>
              <w:pStyle w:val="Text1"/>
              <w:spacing w:before="0" w:after="0"/>
              <w:ind w:left="0"/>
              <w:rPr>
                <w:sz w:val="12"/>
                <w:szCs w:val="12"/>
              </w:rPr>
            </w:pPr>
            <w:r>
              <w:rPr>
                <w:noProof/>
                <w:sz w:val="14"/>
                <w:szCs w:val="14"/>
                <w:lang w:val="fr-BE"/>
              </w:rPr>
              <w:t>6</w:t>
            </w:r>
          </w:p>
        </w:tc>
        <w:tc>
          <w:tcPr>
            <w:tcW w:w="0" w:type="auto"/>
            <w:shd w:val="clear" w:color="auto" w:fill="auto"/>
          </w:tcPr>
          <w:p w14:paraId="14AC33C9" w14:textId="77777777" w:rsidR="008C5CFA" w:rsidRPr="009C3005" w:rsidRDefault="00E82A60" w:rsidP="00300A01">
            <w:pPr>
              <w:pStyle w:val="Text1"/>
              <w:spacing w:before="0" w:after="0"/>
              <w:ind w:left="0"/>
              <w:rPr>
                <w:sz w:val="12"/>
                <w:szCs w:val="12"/>
              </w:rPr>
            </w:pPr>
            <w:r>
              <w:rPr>
                <w:noProof/>
                <w:sz w:val="12"/>
                <w:szCs w:val="12"/>
              </w:rPr>
              <w:t>EFRR</w:t>
            </w:r>
          </w:p>
        </w:tc>
        <w:tc>
          <w:tcPr>
            <w:tcW w:w="0" w:type="auto"/>
            <w:shd w:val="clear" w:color="auto" w:fill="auto"/>
          </w:tcPr>
          <w:p w14:paraId="2D4B56B9" w14:textId="77777777" w:rsidR="008C5CFA" w:rsidRPr="009C3005" w:rsidRDefault="00E82A60" w:rsidP="00300A01">
            <w:pPr>
              <w:pStyle w:val="Text1"/>
              <w:spacing w:before="0" w:after="0"/>
              <w:ind w:left="0"/>
              <w:rPr>
                <w:sz w:val="12"/>
                <w:szCs w:val="12"/>
              </w:rPr>
            </w:pPr>
            <w:r>
              <w:rPr>
                <w:noProof/>
                <w:sz w:val="12"/>
                <w:szCs w:val="12"/>
              </w:rPr>
              <w:t>Słabiej rozwinięte</w:t>
            </w:r>
          </w:p>
        </w:tc>
        <w:tc>
          <w:tcPr>
            <w:tcW w:w="0" w:type="auto"/>
            <w:shd w:val="clear" w:color="auto" w:fill="auto"/>
          </w:tcPr>
          <w:p w14:paraId="3E4AD398" w14:textId="77777777" w:rsidR="008C5CFA" w:rsidRPr="009C3005" w:rsidRDefault="00E82A60" w:rsidP="00300A01">
            <w:pPr>
              <w:pStyle w:val="Text1"/>
              <w:spacing w:before="0" w:after="0"/>
              <w:ind w:left="0"/>
              <w:rPr>
                <w:sz w:val="12"/>
                <w:szCs w:val="12"/>
              </w:rPr>
            </w:pPr>
            <w:r>
              <w:rPr>
                <w:noProof/>
                <w:sz w:val="12"/>
                <w:szCs w:val="12"/>
              </w:rPr>
              <w:t>013</w:t>
            </w:r>
          </w:p>
        </w:tc>
        <w:tc>
          <w:tcPr>
            <w:tcW w:w="0" w:type="auto"/>
            <w:shd w:val="clear" w:color="auto" w:fill="auto"/>
          </w:tcPr>
          <w:p w14:paraId="57A446A2"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54369B94"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4DFB57BA"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3E61680A" w14:textId="77777777" w:rsidR="008C5CFA" w:rsidRPr="009C3005" w:rsidRDefault="00E82A60" w:rsidP="00300A01">
            <w:pPr>
              <w:pStyle w:val="Text1"/>
              <w:spacing w:before="0" w:after="0"/>
              <w:ind w:left="0"/>
              <w:rPr>
                <w:sz w:val="12"/>
                <w:szCs w:val="12"/>
              </w:rPr>
            </w:pPr>
            <w:r>
              <w:rPr>
                <w:noProof/>
                <w:sz w:val="12"/>
                <w:szCs w:val="12"/>
              </w:rPr>
              <w:t>04</w:t>
            </w:r>
          </w:p>
        </w:tc>
        <w:tc>
          <w:tcPr>
            <w:tcW w:w="0" w:type="auto"/>
            <w:shd w:val="clear" w:color="auto" w:fill="auto"/>
          </w:tcPr>
          <w:p w14:paraId="39E12FEF" w14:textId="77777777" w:rsidR="008C5CFA" w:rsidRPr="009C3005" w:rsidRDefault="00E82A60" w:rsidP="00300A01">
            <w:pPr>
              <w:pStyle w:val="Text1"/>
              <w:spacing w:before="0" w:after="0"/>
              <w:ind w:left="0"/>
              <w:rPr>
                <w:sz w:val="12"/>
                <w:szCs w:val="12"/>
              </w:rPr>
            </w:pPr>
            <w:r>
              <w:rPr>
                <w:sz w:val="12"/>
                <w:szCs w:val="12"/>
              </w:rPr>
              <w:t xml:space="preserve"> </w:t>
            </w:r>
          </w:p>
        </w:tc>
        <w:tc>
          <w:tcPr>
            <w:tcW w:w="0" w:type="auto"/>
            <w:shd w:val="clear" w:color="auto" w:fill="auto"/>
          </w:tcPr>
          <w:p w14:paraId="0EF8B7AC" w14:textId="77777777" w:rsidR="008C5CFA" w:rsidRPr="009C3005" w:rsidRDefault="00E82A60" w:rsidP="00300A01">
            <w:pPr>
              <w:pStyle w:val="Text1"/>
              <w:spacing w:before="0" w:after="0"/>
              <w:ind w:left="0"/>
              <w:rPr>
                <w:sz w:val="12"/>
                <w:szCs w:val="12"/>
              </w:rPr>
            </w:pPr>
            <w:r>
              <w:rPr>
                <w:noProof/>
                <w:sz w:val="12"/>
                <w:szCs w:val="12"/>
              </w:rPr>
              <w:t>18</w:t>
            </w:r>
          </w:p>
        </w:tc>
        <w:tc>
          <w:tcPr>
            <w:tcW w:w="0" w:type="auto"/>
            <w:shd w:val="clear" w:color="auto" w:fill="auto"/>
          </w:tcPr>
          <w:p w14:paraId="76AAFEC6" w14:textId="77777777" w:rsidR="008C5CFA" w:rsidRPr="009C3005" w:rsidRDefault="00E82A60" w:rsidP="00300A01">
            <w:pPr>
              <w:pStyle w:val="Text1"/>
              <w:spacing w:before="0" w:after="0"/>
              <w:ind w:left="0"/>
              <w:rPr>
                <w:sz w:val="12"/>
                <w:szCs w:val="12"/>
              </w:rPr>
            </w:pPr>
            <w:r>
              <w:rPr>
                <w:noProof/>
                <w:sz w:val="12"/>
                <w:szCs w:val="12"/>
              </w:rPr>
              <w:t>PL33</w:t>
            </w:r>
          </w:p>
        </w:tc>
        <w:tc>
          <w:tcPr>
            <w:tcW w:w="0" w:type="auto"/>
            <w:shd w:val="clear" w:color="auto" w:fill="auto"/>
          </w:tcPr>
          <w:p w14:paraId="18FCE21A" w14:textId="77777777" w:rsidR="008C5CFA" w:rsidRPr="009C3005" w:rsidRDefault="00E82A60" w:rsidP="00300A01">
            <w:pPr>
              <w:pStyle w:val="Text1"/>
              <w:spacing w:before="0" w:after="0"/>
              <w:ind w:left="0"/>
              <w:jc w:val="right"/>
              <w:rPr>
                <w:sz w:val="12"/>
                <w:szCs w:val="12"/>
              </w:rPr>
            </w:pPr>
            <w:r w:rsidRPr="009C3005">
              <w:rPr>
                <w:noProof/>
                <w:sz w:val="12"/>
                <w:szCs w:val="12"/>
              </w:rPr>
              <w:t>3 774 767,04</w:t>
            </w:r>
          </w:p>
        </w:tc>
        <w:tc>
          <w:tcPr>
            <w:tcW w:w="0" w:type="auto"/>
            <w:shd w:val="clear" w:color="auto" w:fill="auto"/>
          </w:tcPr>
          <w:p w14:paraId="387AAFC6" w14:textId="77777777" w:rsidR="008C5CFA" w:rsidRPr="009C3005" w:rsidRDefault="00E82A60" w:rsidP="00300A01">
            <w:pPr>
              <w:pStyle w:val="Text1"/>
              <w:spacing w:before="0" w:after="0"/>
              <w:ind w:left="0"/>
              <w:jc w:val="right"/>
              <w:rPr>
                <w:sz w:val="12"/>
                <w:szCs w:val="12"/>
              </w:rPr>
            </w:pPr>
            <w:r w:rsidRPr="009C3005">
              <w:rPr>
                <w:noProof/>
                <w:sz w:val="12"/>
                <w:szCs w:val="12"/>
              </w:rPr>
              <w:t>3 774 767,04</w:t>
            </w:r>
          </w:p>
        </w:tc>
        <w:tc>
          <w:tcPr>
            <w:tcW w:w="0" w:type="auto"/>
            <w:shd w:val="clear" w:color="auto" w:fill="auto"/>
          </w:tcPr>
          <w:p w14:paraId="55B61ED6" w14:textId="77777777" w:rsidR="008C5CFA" w:rsidRPr="009C3005" w:rsidRDefault="00E82A60" w:rsidP="00300A01">
            <w:pPr>
              <w:pStyle w:val="Text1"/>
              <w:spacing w:before="0" w:after="0"/>
              <w:ind w:left="0"/>
              <w:jc w:val="right"/>
              <w:rPr>
                <w:sz w:val="12"/>
                <w:szCs w:val="12"/>
              </w:rPr>
            </w:pPr>
            <w:r w:rsidRPr="009C3005">
              <w:rPr>
                <w:noProof/>
                <w:sz w:val="12"/>
                <w:szCs w:val="12"/>
              </w:rPr>
              <w:t>3 726 702,59</w:t>
            </w:r>
          </w:p>
        </w:tc>
        <w:tc>
          <w:tcPr>
            <w:tcW w:w="0" w:type="auto"/>
            <w:shd w:val="clear" w:color="auto" w:fill="auto"/>
          </w:tcPr>
          <w:p w14:paraId="46C9E4C3" w14:textId="77777777" w:rsidR="008C5CFA" w:rsidRPr="009C3005" w:rsidRDefault="00E82A60" w:rsidP="00300A01">
            <w:pPr>
              <w:pStyle w:val="Text1"/>
              <w:spacing w:before="0" w:after="0"/>
              <w:ind w:left="0"/>
              <w:jc w:val="right"/>
              <w:rPr>
                <w:sz w:val="12"/>
                <w:szCs w:val="12"/>
              </w:rPr>
            </w:pPr>
            <w:r w:rsidRPr="009C3005">
              <w:rPr>
                <w:noProof/>
                <w:sz w:val="12"/>
                <w:szCs w:val="12"/>
              </w:rPr>
              <w:t>2</w:t>
            </w:r>
          </w:p>
        </w:tc>
      </w:tr>
      <w:tr w:rsidR="006B2EC1" w14:paraId="700B4416" w14:textId="77777777" w:rsidTr="0047688D">
        <w:tc>
          <w:tcPr>
            <w:tcW w:w="0" w:type="auto"/>
            <w:shd w:val="clear" w:color="auto" w:fill="auto"/>
          </w:tcPr>
          <w:p w14:paraId="7799FFDE" w14:textId="77777777" w:rsidR="008C5CFA" w:rsidRPr="009C3005" w:rsidRDefault="00E82A60" w:rsidP="00300A01">
            <w:pPr>
              <w:pStyle w:val="Text1"/>
              <w:spacing w:before="0" w:after="0"/>
              <w:ind w:left="0"/>
              <w:rPr>
                <w:sz w:val="12"/>
                <w:szCs w:val="12"/>
              </w:rPr>
            </w:pPr>
            <w:r>
              <w:rPr>
                <w:noProof/>
                <w:sz w:val="14"/>
                <w:szCs w:val="14"/>
                <w:lang w:val="fr-BE"/>
              </w:rPr>
              <w:t>6</w:t>
            </w:r>
          </w:p>
        </w:tc>
        <w:tc>
          <w:tcPr>
            <w:tcW w:w="0" w:type="auto"/>
            <w:shd w:val="clear" w:color="auto" w:fill="auto"/>
          </w:tcPr>
          <w:p w14:paraId="69F9EF6B" w14:textId="77777777" w:rsidR="008C5CFA" w:rsidRPr="009C3005" w:rsidRDefault="00E82A60" w:rsidP="00300A01">
            <w:pPr>
              <w:pStyle w:val="Text1"/>
              <w:spacing w:before="0" w:after="0"/>
              <w:ind w:left="0"/>
              <w:rPr>
                <w:sz w:val="12"/>
                <w:szCs w:val="12"/>
              </w:rPr>
            </w:pPr>
            <w:r>
              <w:rPr>
                <w:noProof/>
                <w:sz w:val="12"/>
                <w:szCs w:val="12"/>
              </w:rPr>
              <w:t>EFRR</w:t>
            </w:r>
          </w:p>
        </w:tc>
        <w:tc>
          <w:tcPr>
            <w:tcW w:w="0" w:type="auto"/>
            <w:shd w:val="clear" w:color="auto" w:fill="auto"/>
          </w:tcPr>
          <w:p w14:paraId="3462BACE" w14:textId="77777777" w:rsidR="008C5CFA" w:rsidRPr="009C3005" w:rsidRDefault="00E82A60" w:rsidP="00300A01">
            <w:pPr>
              <w:pStyle w:val="Text1"/>
              <w:spacing w:before="0" w:after="0"/>
              <w:ind w:left="0"/>
              <w:rPr>
                <w:sz w:val="12"/>
                <w:szCs w:val="12"/>
              </w:rPr>
            </w:pPr>
            <w:r>
              <w:rPr>
                <w:noProof/>
                <w:sz w:val="12"/>
                <w:szCs w:val="12"/>
              </w:rPr>
              <w:t>Słabiej rozwinięte</w:t>
            </w:r>
          </w:p>
        </w:tc>
        <w:tc>
          <w:tcPr>
            <w:tcW w:w="0" w:type="auto"/>
            <w:shd w:val="clear" w:color="auto" w:fill="auto"/>
          </w:tcPr>
          <w:p w14:paraId="4AA54FFF" w14:textId="77777777" w:rsidR="008C5CFA" w:rsidRPr="009C3005" w:rsidRDefault="00E82A60" w:rsidP="00300A01">
            <w:pPr>
              <w:pStyle w:val="Text1"/>
              <w:spacing w:before="0" w:after="0"/>
              <w:ind w:left="0"/>
              <w:rPr>
                <w:sz w:val="12"/>
                <w:szCs w:val="12"/>
              </w:rPr>
            </w:pPr>
            <w:r>
              <w:rPr>
                <w:noProof/>
                <w:sz w:val="12"/>
                <w:szCs w:val="12"/>
              </w:rPr>
              <w:t>013</w:t>
            </w:r>
          </w:p>
        </w:tc>
        <w:tc>
          <w:tcPr>
            <w:tcW w:w="0" w:type="auto"/>
            <w:shd w:val="clear" w:color="auto" w:fill="auto"/>
          </w:tcPr>
          <w:p w14:paraId="42FAB756"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275845F2" w14:textId="77777777" w:rsidR="008C5CFA" w:rsidRPr="009C3005" w:rsidRDefault="00E82A60" w:rsidP="00300A01">
            <w:pPr>
              <w:pStyle w:val="Text1"/>
              <w:spacing w:before="0" w:after="0"/>
              <w:ind w:left="0"/>
              <w:rPr>
                <w:sz w:val="12"/>
                <w:szCs w:val="12"/>
              </w:rPr>
            </w:pPr>
            <w:r>
              <w:rPr>
                <w:noProof/>
                <w:sz w:val="12"/>
                <w:szCs w:val="12"/>
              </w:rPr>
              <w:t>02</w:t>
            </w:r>
          </w:p>
        </w:tc>
        <w:tc>
          <w:tcPr>
            <w:tcW w:w="0" w:type="auto"/>
            <w:shd w:val="clear" w:color="auto" w:fill="auto"/>
          </w:tcPr>
          <w:p w14:paraId="00801761"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4D0D9C22" w14:textId="77777777" w:rsidR="008C5CFA" w:rsidRPr="009C3005" w:rsidRDefault="00E82A60" w:rsidP="00300A01">
            <w:pPr>
              <w:pStyle w:val="Text1"/>
              <w:spacing w:before="0" w:after="0"/>
              <w:ind w:left="0"/>
              <w:rPr>
                <w:sz w:val="12"/>
                <w:szCs w:val="12"/>
              </w:rPr>
            </w:pPr>
            <w:r>
              <w:rPr>
                <w:noProof/>
                <w:sz w:val="12"/>
                <w:szCs w:val="12"/>
              </w:rPr>
              <w:t>04</w:t>
            </w:r>
          </w:p>
        </w:tc>
        <w:tc>
          <w:tcPr>
            <w:tcW w:w="0" w:type="auto"/>
            <w:shd w:val="clear" w:color="auto" w:fill="auto"/>
          </w:tcPr>
          <w:p w14:paraId="1E2BB187" w14:textId="77777777" w:rsidR="008C5CFA" w:rsidRPr="009C3005" w:rsidRDefault="00E82A60" w:rsidP="00300A01">
            <w:pPr>
              <w:pStyle w:val="Text1"/>
              <w:spacing w:before="0" w:after="0"/>
              <w:ind w:left="0"/>
              <w:rPr>
                <w:sz w:val="12"/>
                <w:szCs w:val="12"/>
              </w:rPr>
            </w:pPr>
            <w:r>
              <w:rPr>
                <w:sz w:val="12"/>
                <w:szCs w:val="12"/>
              </w:rPr>
              <w:t xml:space="preserve"> </w:t>
            </w:r>
          </w:p>
        </w:tc>
        <w:tc>
          <w:tcPr>
            <w:tcW w:w="0" w:type="auto"/>
            <w:shd w:val="clear" w:color="auto" w:fill="auto"/>
          </w:tcPr>
          <w:p w14:paraId="0D463993" w14:textId="77777777" w:rsidR="008C5CFA" w:rsidRPr="009C3005" w:rsidRDefault="00E82A60" w:rsidP="00300A01">
            <w:pPr>
              <w:pStyle w:val="Text1"/>
              <w:spacing w:before="0" w:after="0"/>
              <w:ind w:left="0"/>
              <w:rPr>
                <w:sz w:val="12"/>
                <w:szCs w:val="12"/>
              </w:rPr>
            </w:pPr>
            <w:r>
              <w:rPr>
                <w:noProof/>
                <w:sz w:val="12"/>
                <w:szCs w:val="12"/>
              </w:rPr>
              <w:t>18</w:t>
            </w:r>
          </w:p>
        </w:tc>
        <w:tc>
          <w:tcPr>
            <w:tcW w:w="0" w:type="auto"/>
            <w:shd w:val="clear" w:color="auto" w:fill="auto"/>
          </w:tcPr>
          <w:p w14:paraId="5A1B7259" w14:textId="77777777" w:rsidR="008C5CFA" w:rsidRPr="009C3005" w:rsidRDefault="00E82A60" w:rsidP="00300A01">
            <w:pPr>
              <w:pStyle w:val="Text1"/>
              <w:spacing w:before="0" w:after="0"/>
              <w:ind w:left="0"/>
              <w:rPr>
                <w:sz w:val="12"/>
                <w:szCs w:val="12"/>
              </w:rPr>
            </w:pPr>
            <w:r>
              <w:rPr>
                <w:noProof/>
                <w:sz w:val="12"/>
                <w:szCs w:val="12"/>
              </w:rPr>
              <w:t>PL33</w:t>
            </w:r>
          </w:p>
        </w:tc>
        <w:tc>
          <w:tcPr>
            <w:tcW w:w="0" w:type="auto"/>
            <w:shd w:val="clear" w:color="auto" w:fill="auto"/>
          </w:tcPr>
          <w:p w14:paraId="69FEB824" w14:textId="77777777" w:rsidR="008C5CFA" w:rsidRPr="009C3005" w:rsidRDefault="00E82A60" w:rsidP="00300A01">
            <w:pPr>
              <w:pStyle w:val="Text1"/>
              <w:spacing w:before="0" w:after="0"/>
              <w:ind w:left="0"/>
              <w:jc w:val="right"/>
              <w:rPr>
                <w:sz w:val="12"/>
                <w:szCs w:val="12"/>
              </w:rPr>
            </w:pPr>
            <w:r w:rsidRPr="009C3005">
              <w:rPr>
                <w:noProof/>
                <w:sz w:val="12"/>
                <w:szCs w:val="12"/>
              </w:rPr>
              <w:t>3 771 662,02</w:t>
            </w:r>
          </w:p>
        </w:tc>
        <w:tc>
          <w:tcPr>
            <w:tcW w:w="0" w:type="auto"/>
            <w:shd w:val="clear" w:color="auto" w:fill="auto"/>
          </w:tcPr>
          <w:p w14:paraId="6BEB27EC" w14:textId="77777777" w:rsidR="008C5CFA" w:rsidRPr="009C3005" w:rsidRDefault="00E82A60" w:rsidP="00300A01">
            <w:pPr>
              <w:pStyle w:val="Text1"/>
              <w:spacing w:before="0" w:after="0"/>
              <w:ind w:left="0"/>
              <w:jc w:val="right"/>
              <w:rPr>
                <w:sz w:val="12"/>
                <w:szCs w:val="12"/>
              </w:rPr>
            </w:pPr>
            <w:r w:rsidRPr="009C3005">
              <w:rPr>
                <w:noProof/>
                <w:sz w:val="12"/>
                <w:szCs w:val="12"/>
              </w:rPr>
              <w:t>3 771 662,02</w:t>
            </w:r>
          </w:p>
        </w:tc>
        <w:tc>
          <w:tcPr>
            <w:tcW w:w="0" w:type="auto"/>
            <w:shd w:val="clear" w:color="auto" w:fill="auto"/>
          </w:tcPr>
          <w:p w14:paraId="376789B0" w14:textId="77777777" w:rsidR="008C5CFA" w:rsidRPr="009C3005" w:rsidRDefault="00E82A60" w:rsidP="00300A01">
            <w:pPr>
              <w:pStyle w:val="Text1"/>
              <w:spacing w:before="0" w:after="0"/>
              <w:ind w:left="0"/>
              <w:jc w:val="right"/>
              <w:rPr>
                <w:sz w:val="12"/>
                <w:szCs w:val="12"/>
              </w:rPr>
            </w:pPr>
            <w:r w:rsidRPr="009C3005">
              <w:rPr>
                <w:noProof/>
                <w:sz w:val="12"/>
                <w:szCs w:val="12"/>
              </w:rPr>
              <w:t>3 174 750,69</w:t>
            </w:r>
          </w:p>
        </w:tc>
        <w:tc>
          <w:tcPr>
            <w:tcW w:w="0" w:type="auto"/>
            <w:shd w:val="clear" w:color="auto" w:fill="auto"/>
          </w:tcPr>
          <w:p w14:paraId="1A19EFA5" w14:textId="77777777" w:rsidR="008C5CFA" w:rsidRPr="009C3005" w:rsidRDefault="00E82A60" w:rsidP="00300A01">
            <w:pPr>
              <w:pStyle w:val="Text1"/>
              <w:spacing w:before="0" w:after="0"/>
              <w:ind w:left="0"/>
              <w:jc w:val="right"/>
              <w:rPr>
                <w:sz w:val="12"/>
                <w:szCs w:val="12"/>
              </w:rPr>
            </w:pPr>
            <w:r w:rsidRPr="009C3005">
              <w:rPr>
                <w:noProof/>
                <w:sz w:val="12"/>
                <w:szCs w:val="12"/>
              </w:rPr>
              <w:t>2</w:t>
            </w:r>
          </w:p>
        </w:tc>
      </w:tr>
      <w:tr w:rsidR="006B2EC1" w14:paraId="10167EAE" w14:textId="77777777" w:rsidTr="0047688D">
        <w:tc>
          <w:tcPr>
            <w:tcW w:w="0" w:type="auto"/>
            <w:shd w:val="clear" w:color="auto" w:fill="auto"/>
          </w:tcPr>
          <w:p w14:paraId="7B3FF434" w14:textId="77777777" w:rsidR="008C5CFA" w:rsidRPr="009C3005" w:rsidRDefault="00E82A60" w:rsidP="00300A01">
            <w:pPr>
              <w:pStyle w:val="Text1"/>
              <w:spacing w:before="0" w:after="0"/>
              <w:ind w:left="0"/>
              <w:rPr>
                <w:sz w:val="12"/>
                <w:szCs w:val="12"/>
              </w:rPr>
            </w:pPr>
            <w:r>
              <w:rPr>
                <w:noProof/>
                <w:sz w:val="14"/>
                <w:szCs w:val="14"/>
                <w:lang w:val="fr-BE"/>
              </w:rPr>
              <w:t>6</w:t>
            </w:r>
          </w:p>
        </w:tc>
        <w:tc>
          <w:tcPr>
            <w:tcW w:w="0" w:type="auto"/>
            <w:shd w:val="clear" w:color="auto" w:fill="auto"/>
          </w:tcPr>
          <w:p w14:paraId="5F88649A" w14:textId="77777777" w:rsidR="008C5CFA" w:rsidRPr="009C3005" w:rsidRDefault="00E82A60" w:rsidP="00300A01">
            <w:pPr>
              <w:pStyle w:val="Text1"/>
              <w:spacing w:before="0" w:after="0"/>
              <w:ind w:left="0"/>
              <w:rPr>
                <w:sz w:val="12"/>
                <w:szCs w:val="12"/>
              </w:rPr>
            </w:pPr>
            <w:r>
              <w:rPr>
                <w:noProof/>
                <w:sz w:val="12"/>
                <w:szCs w:val="12"/>
              </w:rPr>
              <w:t>EFRR</w:t>
            </w:r>
          </w:p>
        </w:tc>
        <w:tc>
          <w:tcPr>
            <w:tcW w:w="0" w:type="auto"/>
            <w:shd w:val="clear" w:color="auto" w:fill="auto"/>
          </w:tcPr>
          <w:p w14:paraId="0E884F93" w14:textId="77777777" w:rsidR="008C5CFA" w:rsidRPr="009C3005" w:rsidRDefault="00E82A60" w:rsidP="00300A01">
            <w:pPr>
              <w:pStyle w:val="Text1"/>
              <w:spacing w:before="0" w:after="0"/>
              <w:ind w:left="0"/>
              <w:rPr>
                <w:sz w:val="12"/>
                <w:szCs w:val="12"/>
              </w:rPr>
            </w:pPr>
            <w:r>
              <w:rPr>
                <w:noProof/>
                <w:sz w:val="12"/>
                <w:szCs w:val="12"/>
              </w:rPr>
              <w:t>Słabiej rozwinięte</w:t>
            </w:r>
          </w:p>
        </w:tc>
        <w:tc>
          <w:tcPr>
            <w:tcW w:w="0" w:type="auto"/>
            <w:shd w:val="clear" w:color="auto" w:fill="auto"/>
          </w:tcPr>
          <w:p w14:paraId="1E6175E6" w14:textId="77777777" w:rsidR="008C5CFA" w:rsidRPr="009C3005" w:rsidRDefault="00E82A60" w:rsidP="00300A01">
            <w:pPr>
              <w:pStyle w:val="Text1"/>
              <w:spacing w:before="0" w:after="0"/>
              <w:ind w:left="0"/>
              <w:rPr>
                <w:sz w:val="12"/>
                <w:szCs w:val="12"/>
              </w:rPr>
            </w:pPr>
            <w:r>
              <w:rPr>
                <w:noProof/>
                <w:sz w:val="12"/>
                <w:szCs w:val="12"/>
              </w:rPr>
              <w:t>013</w:t>
            </w:r>
          </w:p>
        </w:tc>
        <w:tc>
          <w:tcPr>
            <w:tcW w:w="0" w:type="auto"/>
            <w:shd w:val="clear" w:color="auto" w:fill="auto"/>
          </w:tcPr>
          <w:p w14:paraId="1BF4B493"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15C031D6" w14:textId="77777777" w:rsidR="008C5CFA" w:rsidRPr="009C3005" w:rsidRDefault="00E82A60" w:rsidP="00300A01">
            <w:pPr>
              <w:pStyle w:val="Text1"/>
              <w:spacing w:before="0" w:after="0"/>
              <w:ind w:left="0"/>
              <w:rPr>
                <w:sz w:val="12"/>
                <w:szCs w:val="12"/>
              </w:rPr>
            </w:pPr>
            <w:r>
              <w:rPr>
                <w:noProof/>
                <w:sz w:val="12"/>
                <w:szCs w:val="12"/>
              </w:rPr>
              <w:t>03</w:t>
            </w:r>
          </w:p>
        </w:tc>
        <w:tc>
          <w:tcPr>
            <w:tcW w:w="0" w:type="auto"/>
            <w:shd w:val="clear" w:color="auto" w:fill="auto"/>
          </w:tcPr>
          <w:p w14:paraId="0944AEB2"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2AEE8EE0" w14:textId="77777777" w:rsidR="008C5CFA" w:rsidRPr="009C3005" w:rsidRDefault="00E82A60" w:rsidP="00300A01">
            <w:pPr>
              <w:pStyle w:val="Text1"/>
              <w:spacing w:before="0" w:after="0"/>
              <w:ind w:left="0"/>
              <w:rPr>
                <w:sz w:val="12"/>
                <w:szCs w:val="12"/>
              </w:rPr>
            </w:pPr>
            <w:r>
              <w:rPr>
                <w:noProof/>
                <w:sz w:val="12"/>
                <w:szCs w:val="12"/>
              </w:rPr>
              <w:t>04</w:t>
            </w:r>
          </w:p>
        </w:tc>
        <w:tc>
          <w:tcPr>
            <w:tcW w:w="0" w:type="auto"/>
            <w:shd w:val="clear" w:color="auto" w:fill="auto"/>
          </w:tcPr>
          <w:p w14:paraId="1CEBE14C" w14:textId="77777777" w:rsidR="008C5CFA" w:rsidRPr="009C3005" w:rsidRDefault="00E82A60" w:rsidP="00300A01">
            <w:pPr>
              <w:pStyle w:val="Text1"/>
              <w:spacing w:before="0" w:after="0"/>
              <w:ind w:left="0"/>
              <w:rPr>
                <w:sz w:val="12"/>
                <w:szCs w:val="12"/>
              </w:rPr>
            </w:pPr>
            <w:r>
              <w:rPr>
                <w:sz w:val="12"/>
                <w:szCs w:val="12"/>
              </w:rPr>
              <w:t xml:space="preserve"> </w:t>
            </w:r>
          </w:p>
        </w:tc>
        <w:tc>
          <w:tcPr>
            <w:tcW w:w="0" w:type="auto"/>
            <w:shd w:val="clear" w:color="auto" w:fill="auto"/>
          </w:tcPr>
          <w:p w14:paraId="202EE3BF" w14:textId="77777777" w:rsidR="008C5CFA" w:rsidRPr="009C3005" w:rsidRDefault="00E82A60" w:rsidP="00300A01">
            <w:pPr>
              <w:pStyle w:val="Text1"/>
              <w:spacing w:before="0" w:after="0"/>
              <w:ind w:left="0"/>
              <w:rPr>
                <w:sz w:val="12"/>
                <w:szCs w:val="12"/>
              </w:rPr>
            </w:pPr>
            <w:r>
              <w:rPr>
                <w:noProof/>
                <w:sz w:val="12"/>
                <w:szCs w:val="12"/>
              </w:rPr>
              <w:t>18</w:t>
            </w:r>
          </w:p>
        </w:tc>
        <w:tc>
          <w:tcPr>
            <w:tcW w:w="0" w:type="auto"/>
            <w:shd w:val="clear" w:color="auto" w:fill="auto"/>
          </w:tcPr>
          <w:p w14:paraId="41E3E6A3" w14:textId="77777777" w:rsidR="008C5CFA" w:rsidRPr="009C3005" w:rsidRDefault="00E82A60" w:rsidP="00300A01">
            <w:pPr>
              <w:pStyle w:val="Text1"/>
              <w:spacing w:before="0" w:after="0"/>
              <w:ind w:left="0"/>
              <w:rPr>
                <w:sz w:val="12"/>
                <w:szCs w:val="12"/>
              </w:rPr>
            </w:pPr>
            <w:r>
              <w:rPr>
                <w:noProof/>
                <w:sz w:val="12"/>
                <w:szCs w:val="12"/>
              </w:rPr>
              <w:t>PL33</w:t>
            </w:r>
          </w:p>
        </w:tc>
        <w:tc>
          <w:tcPr>
            <w:tcW w:w="0" w:type="auto"/>
            <w:shd w:val="clear" w:color="auto" w:fill="auto"/>
          </w:tcPr>
          <w:p w14:paraId="5F13C34B" w14:textId="77777777" w:rsidR="008C5CFA" w:rsidRPr="009C3005" w:rsidRDefault="00E82A60" w:rsidP="00300A01">
            <w:pPr>
              <w:pStyle w:val="Text1"/>
              <w:spacing w:before="0" w:after="0"/>
              <w:ind w:left="0"/>
              <w:jc w:val="right"/>
              <w:rPr>
                <w:sz w:val="12"/>
                <w:szCs w:val="12"/>
              </w:rPr>
            </w:pPr>
            <w:r w:rsidRPr="009C3005">
              <w:rPr>
                <w:noProof/>
                <w:sz w:val="12"/>
                <w:szCs w:val="12"/>
              </w:rPr>
              <w:t>14 481 448,31</w:t>
            </w:r>
          </w:p>
        </w:tc>
        <w:tc>
          <w:tcPr>
            <w:tcW w:w="0" w:type="auto"/>
            <w:shd w:val="clear" w:color="auto" w:fill="auto"/>
          </w:tcPr>
          <w:p w14:paraId="14380A69" w14:textId="77777777" w:rsidR="008C5CFA" w:rsidRPr="009C3005" w:rsidRDefault="00E82A60" w:rsidP="00300A01">
            <w:pPr>
              <w:pStyle w:val="Text1"/>
              <w:spacing w:before="0" w:after="0"/>
              <w:ind w:left="0"/>
              <w:jc w:val="right"/>
              <w:rPr>
                <w:sz w:val="12"/>
                <w:szCs w:val="12"/>
              </w:rPr>
            </w:pPr>
            <w:r w:rsidRPr="009C3005">
              <w:rPr>
                <w:noProof/>
                <w:sz w:val="12"/>
                <w:szCs w:val="12"/>
              </w:rPr>
              <w:t>14 481 448,31</w:t>
            </w:r>
          </w:p>
        </w:tc>
        <w:tc>
          <w:tcPr>
            <w:tcW w:w="0" w:type="auto"/>
            <w:shd w:val="clear" w:color="auto" w:fill="auto"/>
          </w:tcPr>
          <w:p w14:paraId="44F422C7" w14:textId="77777777" w:rsidR="008C5CFA" w:rsidRPr="009C3005" w:rsidRDefault="00E82A60" w:rsidP="00300A01">
            <w:pPr>
              <w:pStyle w:val="Text1"/>
              <w:spacing w:before="0" w:after="0"/>
              <w:ind w:left="0"/>
              <w:jc w:val="right"/>
              <w:rPr>
                <w:sz w:val="12"/>
                <w:szCs w:val="12"/>
              </w:rPr>
            </w:pPr>
            <w:r w:rsidRPr="009C3005">
              <w:rPr>
                <w:noProof/>
                <w:sz w:val="12"/>
                <w:szCs w:val="12"/>
              </w:rPr>
              <w:t>12 302 092,05</w:t>
            </w:r>
          </w:p>
        </w:tc>
        <w:tc>
          <w:tcPr>
            <w:tcW w:w="0" w:type="auto"/>
            <w:shd w:val="clear" w:color="auto" w:fill="auto"/>
          </w:tcPr>
          <w:p w14:paraId="64E714D1" w14:textId="77777777" w:rsidR="008C5CFA" w:rsidRPr="009C3005" w:rsidRDefault="00E82A60" w:rsidP="00300A01">
            <w:pPr>
              <w:pStyle w:val="Text1"/>
              <w:spacing w:before="0" w:after="0"/>
              <w:ind w:left="0"/>
              <w:jc w:val="right"/>
              <w:rPr>
                <w:sz w:val="12"/>
                <w:szCs w:val="12"/>
              </w:rPr>
            </w:pPr>
            <w:r w:rsidRPr="009C3005">
              <w:rPr>
                <w:noProof/>
                <w:sz w:val="12"/>
                <w:szCs w:val="12"/>
              </w:rPr>
              <w:t>20</w:t>
            </w:r>
          </w:p>
        </w:tc>
      </w:tr>
      <w:tr w:rsidR="006B2EC1" w14:paraId="055C0976" w14:textId="77777777" w:rsidTr="0047688D">
        <w:tc>
          <w:tcPr>
            <w:tcW w:w="0" w:type="auto"/>
            <w:shd w:val="clear" w:color="auto" w:fill="auto"/>
          </w:tcPr>
          <w:p w14:paraId="4A068A24" w14:textId="77777777" w:rsidR="008C5CFA" w:rsidRPr="009C3005" w:rsidRDefault="00E82A60" w:rsidP="00300A01">
            <w:pPr>
              <w:pStyle w:val="Text1"/>
              <w:spacing w:before="0" w:after="0"/>
              <w:ind w:left="0"/>
              <w:rPr>
                <w:sz w:val="12"/>
                <w:szCs w:val="12"/>
              </w:rPr>
            </w:pPr>
            <w:r>
              <w:rPr>
                <w:noProof/>
                <w:sz w:val="14"/>
                <w:szCs w:val="14"/>
                <w:lang w:val="fr-BE"/>
              </w:rPr>
              <w:t>6</w:t>
            </w:r>
          </w:p>
        </w:tc>
        <w:tc>
          <w:tcPr>
            <w:tcW w:w="0" w:type="auto"/>
            <w:shd w:val="clear" w:color="auto" w:fill="auto"/>
          </w:tcPr>
          <w:p w14:paraId="77EE5201" w14:textId="77777777" w:rsidR="008C5CFA" w:rsidRPr="009C3005" w:rsidRDefault="00E82A60" w:rsidP="00300A01">
            <w:pPr>
              <w:pStyle w:val="Text1"/>
              <w:spacing w:before="0" w:after="0"/>
              <w:ind w:left="0"/>
              <w:rPr>
                <w:sz w:val="12"/>
                <w:szCs w:val="12"/>
              </w:rPr>
            </w:pPr>
            <w:r>
              <w:rPr>
                <w:noProof/>
                <w:sz w:val="12"/>
                <w:szCs w:val="12"/>
              </w:rPr>
              <w:t>EFRR</w:t>
            </w:r>
          </w:p>
        </w:tc>
        <w:tc>
          <w:tcPr>
            <w:tcW w:w="0" w:type="auto"/>
            <w:shd w:val="clear" w:color="auto" w:fill="auto"/>
          </w:tcPr>
          <w:p w14:paraId="0CCCE2C8" w14:textId="77777777" w:rsidR="008C5CFA" w:rsidRPr="009C3005" w:rsidRDefault="00E82A60" w:rsidP="00300A01">
            <w:pPr>
              <w:pStyle w:val="Text1"/>
              <w:spacing w:before="0" w:after="0"/>
              <w:ind w:left="0"/>
              <w:rPr>
                <w:sz w:val="12"/>
                <w:szCs w:val="12"/>
              </w:rPr>
            </w:pPr>
            <w:r>
              <w:rPr>
                <w:noProof/>
                <w:sz w:val="12"/>
                <w:szCs w:val="12"/>
              </w:rPr>
              <w:t>Słabiej rozwinięte</w:t>
            </w:r>
          </w:p>
        </w:tc>
        <w:tc>
          <w:tcPr>
            <w:tcW w:w="0" w:type="auto"/>
            <w:shd w:val="clear" w:color="auto" w:fill="auto"/>
          </w:tcPr>
          <w:p w14:paraId="2B24D438" w14:textId="77777777" w:rsidR="008C5CFA" w:rsidRPr="009C3005" w:rsidRDefault="00E82A60" w:rsidP="00300A01">
            <w:pPr>
              <w:pStyle w:val="Text1"/>
              <w:spacing w:before="0" w:after="0"/>
              <w:ind w:left="0"/>
              <w:rPr>
                <w:sz w:val="12"/>
                <w:szCs w:val="12"/>
              </w:rPr>
            </w:pPr>
            <w:r>
              <w:rPr>
                <w:noProof/>
                <w:sz w:val="12"/>
                <w:szCs w:val="12"/>
              </w:rPr>
              <w:t>031</w:t>
            </w:r>
          </w:p>
        </w:tc>
        <w:tc>
          <w:tcPr>
            <w:tcW w:w="0" w:type="auto"/>
            <w:shd w:val="clear" w:color="auto" w:fill="auto"/>
          </w:tcPr>
          <w:p w14:paraId="3EEE3FB6"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550EFB03"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3AC09063"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086FE7D5"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481D7CE4" w14:textId="77777777" w:rsidR="008C5CFA" w:rsidRPr="009C3005" w:rsidRDefault="00E82A60" w:rsidP="00300A01">
            <w:pPr>
              <w:pStyle w:val="Text1"/>
              <w:spacing w:before="0" w:after="0"/>
              <w:ind w:left="0"/>
              <w:rPr>
                <w:sz w:val="12"/>
                <w:szCs w:val="12"/>
              </w:rPr>
            </w:pPr>
            <w:r>
              <w:rPr>
                <w:sz w:val="12"/>
                <w:szCs w:val="12"/>
              </w:rPr>
              <w:t xml:space="preserve"> </w:t>
            </w:r>
          </w:p>
        </w:tc>
        <w:tc>
          <w:tcPr>
            <w:tcW w:w="0" w:type="auto"/>
            <w:shd w:val="clear" w:color="auto" w:fill="auto"/>
          </w:tcPr>
          <w:p w14:paraId="2E4D1E9B" w14:textId="77777777" w:rsidR="008C5CFA" w:rsidRPr="009C3005" w:rsidRDefault="00E82A60" w:rsidP="00300A01">
            <w:pPr>
              <w:pStyle w:val="Text1"/>
              <w:spacing w:before="0" w:after="0"/>
              <w:ind w:left="0"/>
              <w:rPr>
                <w:sz w:val="12"/>
                <w:szCs w:val="12"/>
              </w:rPr>
            </w:pPr>
            <w:r>
              <w:rPr>
                <w:noProof/>
                <w:sz w:val="12"/>
                <w:szCs w:val="12"/>
              </w:rPr>
              <w:t>18</w:t>
            </w:r>
          </w:p>
        </w:tc>
        <w:tc>
          <w:tcPr>
            <w:tcW w:w="0" w:type="auto"/>
            <w:shd w:val="clear" w:color="auto" w:fill="auto"/>
          </w:tcPr>
          <w:p w14:paraId="5F9BE9BD" w14:textId="77777777" w:rsidR="008C5CFA" w:rsidRPr="009C3005" w:rsidRDefault="00E82A60" w:rsidP="00300A01">
            <w:pPr>
              <w:pStyle w:val="Text1"/>
              <w:spacing w:before="0" w:after="0"/>
              <w:ind w:left="0"/>
              <w:rPr>
                <w:sz w:val="12"/>
                <w:szCs w:val="12"/>
              </w:rPr>
            </w:pPr>
            <w:r>
              <w:rPr>
                <w:noProof/>
                <w:sz w:val="12"/>
                <w:szCs w:val="12"/>
              </w:rPr>
              <w:t>PL33</w:t>
            </w:r>
          </w:p>
        </w:tc>
        <w:tc>
          <w:tcPr>
            <w:tcW w:w="0" w:type="auto"/>
            <w:shd w:val="clear" w:color="auto" w:fill="auto"/>
          </w:tcPr>
          <w:p w14:paraId="7B62D1CC" w14:textId="77777777" w:rsidR="008C5CFA" w:rsidRPr="009C3005" w:rsidRDefault="00E82A60" w:rsidP="00300A01">
            <w:pPr>
              <w:pStyle w:val="Text1"/>
              <w:spacing w:before="0" w:after="0"/>
              <w:ind w:left="0"/>
              <w:jc w:val="right"/>
              <w:rPr>
                <w:sz w:val="12"/>
                <w:szCs w:val="12"/>
              </w:rPr>
            </w:pPr>
            <w:r w:rsidRPr="009C3005">
              <w:rPr>
                <w:noProof/>
                <w:sz w:val="12"/>
                <w:szCs w:val="12"/>
              </w:rPr>
              <w:t>31 445 735,61</w:t>
            </w:r>
          </w:p>
        </w:tc>
        <w:tc>
          <w:tcPr>
            <w:tcW w:w="0" w:type="auto"/>
            <w:shd w:val="clear" w:color="auto" w:fill="auto"/>
          </w:tcPr>
          <w:p w14:paraId="19176CA8" w14:textId="77777777" w:rsidR="008C5CFA" w:rsidRPr="009C3005" w:rsidRDefault="00E82A60" w:rsidP="00300A01">
            <w:pPr>
              <w:pStyle w:val="Text1"/>
              <w:spacing w:before="0" w:after="0"/>
              <w:ind w:left="0"/>
              <w:jc w:val="right"/>
              <w:rPr>
                <w:sz w:val="12"/>
                <w:szCs w:val="12"/>
              </w:rPr>
            </w:pPr>
            <w:r w:rsidRPr="009C3005">
              <w:rPr>
                <w:noProof/>
                <w:sz w:val="12"/>
                <w:szCs w:val="12"/>
              </w:rPr>
              <w:t>31 445 735,61</w:t>
            </w:r>
          </w:p>
        </w:tc>
        <w:tc>
          <w:tcPr>
            <w:tcW w:w="0" w:type="auto"/>
            <w:shd w:val="clear" w:color="auto" w:fill="auto"/>
          </w:tcPr>
          <w:p w14:paraId="32B03216" w14:textId="77777777" w:rsidR="008C5CFA" w:rsidRPr="009C3005" w:rsidRDefault="00E82A60" w:rsidP="00300A01">
            <w:pPr>
              <w:pStyle w:val="Text1"/>
              <w:spacing w:before="0" w:after="0"/>
              <w:ind w:left="0"/>
              <w:jc w:val="right"/>
              <w:rPr>
                <w:sz w:val="12"/>
                <w:szCs w:val="12"/>
              </w:rPr>
            </w:pPr>
            <w:r w:rsidRPr="009C3005">
              <w:rPr>
                <w:noProof/>
                <w:sz w:val="12"/>
                <w:szCs w:val="12"/>
              </w:rPr>
              <w:t>6 508 820,61</w:t>
            </w:r>
          </w:p>
        </w:tc>
        <w:tc>
          <w:tcPr>
            <w:tcW w:w="0" w:type="auto"/>
            <w:shd w:val="clear" w:color="auto" w:fill="auto"/>
          </w:tcPr>
          <w:p w14:paraId="2C7E53A7" w14:textId="77777777" w:rsidR="008C5CFA" w:rsidRPr="009C3005" w:rsidRDefault="00E82A60" w:rsidP="00300A01">
            <w:pPr>
              <w:pStyle w:val="Text1"/>
              <w:spacing w:before="0" w:after="0"/>
              <w:ind w:left="0"/>
              <w:jc w:val="right"/>
              <w:rPr>
                <w:sz w:val="12"/>
                <w:szCs w:val="12"/>
              </w:rPr>
            </w:pPr>
            <w:r w:rsidRPr="009C3005">
              <w:rPr>
                <w:noProof/>
                <w:sz w:val="12"/>
                <w:szCs w:val="12"/>
              </w:rPr>
              <w:t>1</w:t>
            </w:r>
          </w:p>
        </w:tc>
      </w:tr>
      <w:tr w:rsidR="006B2EC1" w14:paraId="07B385A6" w14:textId="77777777" w:rsidTr="0047688D">
        <w:tc>
          <w:tcPr>
            <w:tcW w:w="0" w:type="auto"/>
            <w:shd w:val="clear" w:color="auto" w:fill="auto"/>
          </w:tcPr>
          <w:p w14:paraId="36E39489" w14:textId="77777777" w:rsidR="008C5CFA" w:rsidRPr="009C3005" w:rsidRDefault="00E82A60" w:rsidP="00300A01">
            <w:pPr>
              <w:pStyle w:val="Text1"/>
              <w:spacing w:before="0" w:after="0"/>
              <w:ind w:left="0"/>
              <w:rPr>
                <w:sz w:val="12"/>
                <w:szCs w:val="12"/>
              </w:rPr>
            </w:pPr>
            <w:r>
              <w:rPr>
                <w:noProof/>
                <w:sz w:val="14"/>
                <w:szCs w:val="14"/>
                <w:lang w:val="fr-BE"/>
              </w:rPr>
              <w:t>6</w:t>
            </w:r>
          </w:p>
        </w:tc>
        <w:tc>
          <w:tcPr>
            <w:tcW w:w="0" w:type="auto"/>
            <w:shd w:val="clear" w:color="auto" w:fill="auto"/>
          </w:tcPr>
          <w:p w14:paraId="53C62D1A" w14:textId="77777777" w:rsidR="008C5CFA" w:rsidRPr="009C3005" w:rsidRDefault="00E82A60" w:rsidP="00300A01">
            <w:pPr>
              <w:pStyle w:val="Text1"/>
              <w:spacing w:before="0" w:after="0"/>
              <w:ind w:left="0"/>
              <w:rPr>
                <w:sz w:val="12"/>
                <w:szCs w:val="12"/>
              </w:rPr>
            </w:pPr>
            <w:r>
              <w:rPr>
                <w:noProof/>
                <w:sz w:val="12"/>
                <w:szCs w:val="12"/>
              </w:rPr>
              <w:t>EFRR</w:t>
            </w:r>
          </w:p>
        </w:tc>
        <w:tc>
          <w:tcPr>
            <w:tcW w:w="0" w:type="auto"/>
            <w:shd w:val="clear" w:color="auto" w:fill="auto"/>
          </w:tcPr>
          <w:p w14:paraId="74BD1669" w14:textId="77777777" w:rsidR="008C5CFA" w:rsidRPr="009C3005" w:rsidRDefault="00E82A60" w:rsidP="00300A01">
            <w:pPr>
              <w:pStyle w:val="Text1"/>
              <w:spacing w:before="0" w:after="0"/>
              <w:ind w:left="0"/>
              <w:rPr>
                <w:sz w:val="12"/>
                <w:szCs w:val="12"/>
              </w:rPr>
            </w:pPr>
            <w:r>
              <w:rPr>
                <w:noProof/>
                <w:sz w:val="12"/>
                <w:szCs w:val="12"/>
              </w:rPr>
              <w:t>Słabiej rozwinięte</w:t>
            </w:r>
          </w:p>
        </w:tc>
        <w:tc>
          <w:tcPr>
            <w:tcW w:w="0" w:type="auto"/>
            <w:shd w:val="clear" w:color="auto" w:fill="auto"/>
          </w:tcPr>
          <w:p w14:paraId="15119D6D" w14:textId="77777777" w:rsidR="008C5CFA" w:rsidRPr="009C3005" w:rsidRDefault="00E82A60" w:rsidP="00300A01">
            <w:pPr>
              <w:pStyle w:val="Text1"/>
              <w:spacing w:before="0" w:after="0"/>
              <w:ind w:left="0"/>
              <w:rPr>
                <w:sz w:val="12"/>
                <w:szCs w:val="12"/>
              </w:rPr>
            </w:pPr>
            <w:r>
              <w:rPr>
                <w:noProof/>
                <w:sz w:val="12"/>
                <w:szCs w:val="12"/>
              </w:rPr>
              <w:t>034</w:t>
            </w:r>
          </w:p>
        </w:tc>
        <w:tc>
          <w:tcPr>
            <w:tcW w:w="0" w:type="auto"/>
            <w:shd w:val="clear" w:color="auto" w:fill="auto"/>
          </w:tcPr>
          <w:p w14:paraId="5FD12BFF"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7691C7D3"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51ABE2F6"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4A2ED434"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018FAAC2" w14:textId="77777777" w:rsidR="008C5CFA" w:rsidRPr="009C3005" w:rsidRDefault="00E82A60" w:rsidP="00300A01">
            <w:pPr>
              <w:pStyle w:val="Text1"/>
              <w:spacing w:before="0" w:after="0"/>
              <w:ind w:left="0"/>
              <w:rPr>
                <w:sz w:val="12"/>
                <w:szCs w:val="12"/>
              </w:rPr>
            </w:pPr>
            <w:r>
              <w:rPr>
                <w:sz w:val="12"/>
                <w:szCs w:val="12"/>
              </w:rPr>
              <w:t xml:space="preserve"> </w:t>
            </w:r>
          </w:p>
        </w:tc>
        <w:tc>
          <w:tcPr>
            <w:tcW w:w="0" w:type="auto"/>
            <w:shd w:val="clear" w:color="auto" w:fill="auto"/>
          </w:tcPr>
          <w:p w14:paraId="7F967C1C" w14:textId="77777777" w:rsidR="008C5CFA" w:rsidRPr="009C3005" w:rsidRDefault="00E82A60" w:rsidP="00300A01">
            <w:pPr>
              <w:pStyle w:val="Text1"/>
              <w:spacing w:before="0" w:after="0"/>
              <w:ind w:left="0"/>
              <w:rPr>
                <w:sz w:val="12"/>
                <w:szCs w:val="12"/>
              </w:rPr>
            </w:pPr>
            <w:r>
              <w:rPr>
                <w:noProof/>
                <w:sz w:val="12"/>
                <w:szCs w:val="12"/>
              </w:rPr>
              <w:t>18</w:t>
            </w:r>
          </w:p>
        </w:tc>
        <w:tc>
          <w:tcPr>
            <w:tcW w:w="0" w:type="auto"/>
            <w:shd w:val="clear" w:color="auto" w:fill="auto"/>
          </w:tcPr>
          <w:p w14:paraId="4B2441BF" w14:textId="77777777" w:rsidR="008C5CFA" w:rsidRPr="009C3005" w:rsidRDefault="00E82A60" w:rsidP="00300A01">
            <w:pPr>
              <w:pStyle w:val="Text1"/>
              <w:spacing w:before="0" w:after="0"/>
              <w:ind w:left="0"/>
              <w:rPr>
                <w:sz w:val="12"/>
                <w:szCs w:val="12"/>
              </w:rPr>
            </w:pPr>
            <w:r>
              <w:rPr>
                <w:noProof/>
                <w:sz w:val="12"/>
                <w:szCs w:val="12"/>
              </w:rPr>
              <w:t>PL33</w:t>
            </w:r>
          </w:p>
        </w:tc>
        <w:tc>
          <w:tcPr>
            <w:tcW w:w="0" w:type="auto"/>
            <w:shd w:val="clear" w:color="auto" w:fill="auto"/>
          </w:tcPr>
          <w:p w14:paraId="48FB2044" w14:textId="77777777" w:rsidR="008C5CFA" w:rsidRPr="009C3005" w:rsidRDefault="00E82A60" w:rsidP="00300A01">
            <w:pPr>
              <w:pStyle w:val="Text1"/>
              <w:spacing w:before="0" w:after="0"/>
              <w:ind w:left="0"/>
              <w:jc w:val="right"/>
              <w:rPr>
                <w:sz w:val="12"/>
                <w:szCs w:val="12"/>
              </w:rPr>
            </w:pPr>
            <w:r w:rsidRPr="009C3005">
              <w:rPr>
                <w:noProof/>
                <w:sz w:val="12"/>
                <w:szCs w:val="12"/>
              </w:rPr>
              <w:t>5 344 955,56</w:t>
            </w:r>
          </w:p>
        </w:tc>
        <w:tc>
          <w:tcPr>
            <w:tcW w:w="0" w:type="auto"/>
            <w:shd w:val="clear" w:color="auto" w:fill="auto"/>
          </w:tcPr>
          <w:p w14:paraId="6511AF69" w14:textId="77777777" w:rsidR="008C5CFA" w:rsidRPr="009C3005" w:rsidRDefault="00E82A60" w:rsidP="00300A01">
            <w:pPr>
              <w:pStyle w:val="Text1"/>
              <w:spacing w:before="0" w:after="0"/>
              <w:ind w:left="0"/>
              <w:jc w:val="right"/>
              <w:rPr>
                <w:sz w:val="12"/>
                <w:szCs w:val="12"/>
              </w:rPr>
            </w:pPr>
            <w:r w:rsidRPr="009C3005">
              <w:rPr>
                <w:noProof/>
                <w:sz w:val="12"/>
                <w:szCs w:val="12"/>
              </w:rPr>
              <w:t>5 344 955,56</w:t>
            </w:r>
          </w:p>
        </w:tc>
        <w:tc>
          <w:tcPr>
            <w:tcW w:w="0" w:type="auto"/>
            <w:shd w:val="clear" w:color="auto" w:fill="auto"/>
          </w:tcPr>
          <w:p w14:paraId="72833FC2" w14:textId="77777777" w:rsidR="008C5CFA" w:rsidRPr="009C3005" w:rsidRDefault="00E82A60" w:rsidP="00300A01">
            <w:pPr>
              <w:pStyle w:val="Text1"/>
              <w:spacing w:before="0" w:after="0"/>
              <w:ind w:left="0"/>
              <w:jc w:val="right"/>
              <w:rPr>
                <w:sz w:val="12"/>
                <w:szCs w:val="12"/>
              </w:rPr>
            </w:pPr>
            <w:r w:rsidRPr="009C3005">
              <w:rPr>
                <w:noProof/>
                <w:sz w:val="12"/>
                <w:szCs w:val="12"/>
              </w:rPr>
              <w:t>5 005 492,08</w:t>
            </w:r>
          </w:p>
        </w:tc>
        <w:tc>
          <w:tcPr>
            <w:tcW w:w="0" w:type="auto"/>
            <w:shd w:val="clear" w:color="auto" w:fill="auto"/>
          </w:tcPr>
          <w:p w14:paraId="3031F5E8" w14:textId="77777777" w:rsidR="008C5CFA" w:rsidRPr="009C3005" w:rsidRDefault="00E82A60" w:rsidP="00300A01">
            <w:pPr>
              <w:pStyle w:val="Text1"/>
              <w:spacing w:before="0" w:after="0"/>
              <w:ind w:left="0"/>
              <w:jc w:val="right"/>
              <w:rPr>
                <w:sz w:val="12"/>
                <w:szCs w:val="12"/>
              </w:rPr>
            </w:pPr>
            <w:r w:rsidRPr="009C3005">
              <w:rPr>
                <w:noProof/>
                <w:sz w:val="12"/>
                <w:szCs w:val="12"/>
              </w:rPr>
              <w:t>1</w:t>
            </w:r>
          </w:p>
        </w:tc>
      </w:tr>
      <w:tr w:rsidR="006B2EC1" w14:paraId="52C94CC8" w14:textId="77777777" w:rsidTr="0047688D">
        <w:tc>
          <w:tcPr>
            <w:tcW w:w="0" w:type="auto"/>
            <w:shd w:val="clear" w:color="auto" w:fill="auto"/>
          </w:tcPr>
          <w:p w14:paraId="0D1AE5E8" w14:textId="77777777" w:rsidR="008C5CFA" w:rsidRPr="009C3005" w:rsidRDefault="00E82A60" w:rsidP="00300A01">
            <w:pPr>
              <w:pStyle w:val="Text1"/>
              <w:spacing w:before="0" w:after="0"/>
              <w:ind w:left="0"/>
              <w:rPr>
                <w:sz w:val="12"/>
                <w:szCs w:val="12"/>
              </w:rPr>
            </w:pPr>
            <w:r>
              <w:rPr>
                <w:noProof/>
                <w:sz w:val="14"/>
                <w:szCs w:val="14"/>
                <w:lang w:val="fr-BE"/>
              </w:rPr>
              <w:t>6</w:t>
            </w:r>
          </w:p>
        </w:tc>
        <w:tc>
          <w:tcPr>
            <w:tcW w:w="0" w:type="auto"/>
            <w:shd w:val="clear" w:color="auto" w:fill="auto"/>
          </w:tcPr>
          <w:p w14:paraId="5BF2BC63" w14:textId="77777777" w:rsidR="008C5CFA" w:rsidRPr="009C3005" w:rsidRDefault="00E82A60" w:rsidP="00300A01">
            <w:pPr>
              <w:pStyle w:val="Text1"/>
              <w:spacing w:before="0" w:after="0"/>
              <w:ind w:left="0"/>
              <w:rPr>
                <w:sz w:val="12"/>
                <w:szCs w:val="12"/>
              </w:rPr>
            </w:pPr>
            <w:r>
              <w:rPr>
                <w:noProof/>
                <w:sz w:val="12"/>
                <w:szCs w:val="12"/>
              </w:rPr>
              <w:t>EFRR</w:t>
            </w:r>
          </w:p>
        </w:tc>
        <w:tc>
          <w:tcPr>
            <w:tcW w:w="0" w:type="auto"/>
            <w:shd w:val="clear" w:color="auto" w:fill="auto"/>
          </w:tcPr>
          <w:p w14:paraId="0A320A45" w14:textId="77777777" w:rsidR="008C5CFA" w:rsidRPr="009C3005" w:rsidRDefault="00E82A60" w:rsidP="00300A01">
            <w:pPr>
              <w:pStyle w:val="Text1"/>
              <w:spacing w:before="0" w:after="0"/>
              <w:ind w:left="0"/>
              <w:rPr>
                <w:sz w:val="12"/>
                <w:szCs w:val="12"/>
              </w:rPr>
            </w:pPr>
            <w:r>
              <w:rPr>
                <w:noProof/>
                <w:sz w:val="12"/>
                <w:szCs w:val="12"/>
              </w:rPr>
              <w:t>Słabiej rozwinięte</w:t>
            </w:r>
          </w:p>
        </w:tc>
        <w:tc>
          <w:tcPr>
            <w:tcW w:w="0" w:type="auto"/>
            <w:shd w:val="clear" w:color="auto" w:fill="auto"/>
          </w:tcPr>
          <w:p w14:paraId="3CC0A68C" w14:textId="77777777" w:rsidR="008C5CFA" w:rsidRPr="009C3005" w:rsidRDefault="00E82A60" w:rsidP="00300A01">
            <w:pPr>
              <w:pStyle w:val="Text1"/>
              <w:spacing w:before="0" w:after="0"/>
              <w:ind w:left="0"/>
              <w:rPr>
                <w:sz w:val="12"/>
                <w:szCs w:val="12"/>
              </w:rPr>
            </w:pPr>
            <w:r>
              <w:rPr>
                <w:noProof/>
                <w:sz w:val="12"/>
                <w:szCs w:val="12"/>
              </w:rPr>
              <w:t>050</w:t>
            </w:r>
          </w:p>
        </w:tc>
        <w:tc>
          <w:tcPr>
            <w:tcW w:w="0" w:type="auto"/>
            <w:shd w:val="clear" w:color="auto" w:fill="auto"/>
          </w:tcPr>
          <w:p w14:paraId="45C22C84"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45328DC2"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3F752218"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0BA9CBAA" w14:textId="77777777" w:rsidR="008C5CFA" w:rsidRPr="009C3005" w:rsidRDefault="00E82A60" w:rsidP="00300A01">
            <w:pPr>
              <w:pStyle w:val="Text1"/>
              <w:spacing w:before="0" w:after="0"/>
              <w:ind w:left="0"/>
              <w:rPr>
                <w:sz w:val="12"/>
                <w:szCs w:val="12"/>
              </w:rPr>
            </w:pPr>
            <w:r>
              <w:rPr>
                <w:noProof/>
                <w:sz w:val="12"/>
                <w:szCs w:val="12"/>
              </w:rPr>
              <w:t>10</w:t>
            </w:r>
          </w:p>
        </w:tc>
        <w:tc>
          <w:tcPr>
            <w:tcW w:w="0" w:type="auto"/>
            <w:shd w:val="clear" w:color="auto" w:fill="auto"/>
          </w:tcPr>
          <w:p w14:paraId="0BF6DD2D" w14:textId="77777777" w:rsidR="008C5CFA" w:rsidRPr="009C3005" w:rsidRDefault="00E82A60" w:rsidP="00300A01">
            <w:pPr>
              <w:pStyle w:val="Text1"/>
              <w:spacing w:before="0" w:after="0"/>
              <w:ind w:left="0"/>
              <w:rPr>
                <w:sz w:val="12"/>
                <w:szCs w:val="12"/>
              </w:rPr>
            </w:pPr>
            <w:r>
              <w:rPr>
                <w:sz w:val="12"/>
                <w:szCs w:val="12"/>
              </w:rPr>
              <w:t xml:space="preserve"> </w:t>
            </w:r>
          </w:p>
        </w:tc>
        <w:tc>
          <w:tcPr>
            <w:tcW w:w="0" w:type="auto"/>
            <w:shd w:val="clear" w:color="auto" w:fill="auto"/>
          </w:tcPr>
          <w:p w14:paraId="188FC577" w14:textId="77777777" w:rsidR="008C5CFA" w:rsidRPr="009C3005" w:rsidRDefault="00E82A60" w:rsidP="00300A01">
            <w:pPr>
              <w:pStyle w:val="Text1"/>
              <w:spacing w:before="0" w:after="0"/>
              <w:ind w:left="0"/>
              <w:rPr>
                <w:sz w:val="12"/>
                <w:szCs w:val="12"/>
              </w:rPr>
            </w:pPr>
            <w:r>
              <w:rPr>
                <w:noProof/>
                <w:sz w:val="12"/>
                <w:szCs w:val="12"/>
              </w:rPr>
              <w:t>18</w:t>
            </w:r>
          </w:p>
        </w:tc>
        <w:tc>
          <w:tcPr>
            <w:tcW w:w="0" w:type="auto"/>
            <w:shd w:val="clear" w:color="auto" w:fill="auto"/>
          </w:tcPr>
          <w:p w14:paraId="5E972FF5" w14:textId="77777777" w:rsidR="008C5CFA" w:rsidRPr="009C3005" w:rsidRDefault="00E82A60" w:rsidP="00300A01">
            <w:pPr>
              <w:pStyle w:val="Text1"/>
              <w:spacing w:before="0" w:after="0"/>
              <w:ind w:left="0"/>
              <w:rPr>
                <w:sz w:val="12"/>
                <w:szCs w:val="12"/>
              </w:rPr>
            </w:pPr>
            <w:r>
              <w:rPr>
                <w:noProof/>
                <w:sz w:val="12"/>
                <w:szCs w:val="12"/>
              </w:rPr>
              <w:t>PL33</w:t>
            </w:r>
          </w:p>
        </w:tc>
        <w:tc>
          <w:tcPr>
            <w:tcW w:w="0" w:type="auto"/>
            <w:shd w:val="clear" w:color="auto" w:fill="auto"/>
          </w:tcPr>
          <w:p w14:paraId="6917C004" w14:textId="77777777" w:rsidR="008C5CFA" w:rsidRPr="009C3005" w:rsidRDefault="00E82A60" w:rsidP="00300A01">
            <w:pPr>
              <w:pStyle w:val="Text1"/>
              <w:spacing w:before="0" w:after="0"/>
              <w:ind w:left="0"/>
              <w:jc w:val="right"/>
              <w:rPr>
                <w:sz w:val="12"/>
                <w:szCs w:val="12"/>
              </w:rPr>
            </w:pPr>
            <w:r w:rsidRPr="009C3005">
              <w:rPr>
                <w:noProof/>
                <w:sz w:val="12"/>
                <w:szCs w:val="12"/>
              </w:rPr>
              <w:t>8 457 255,62</w:t>
            </w:r>
          </w:p>
        </w:tc>
        <w:tc>
          <w:tcPr>
            <w:tcW w:w="0" w:type="auto"/>
            <w:shd w:val="clear" w:color="auto" w:fill="auto"/>
          </w:tcPr>
          <w:p w14:paraId="4F2E3683" w14:textId="77777777" w:rsidR="008C5CFA" w:rsidRPr="009C3005" w:rsidRDefault="00E82A60" w:rsidP="00300A01">
            <w:pPr>
              <w:pStyle w:val="Text1"/>
              <w:spacing w:before="0" w:after="0"/>
              <w:ind w:left="0"/>
              <w:jc w:val="right"/>
              <w:rPr>
                <w:sz w:val="12"/>
                <w:szCs w:val="12"/>
              </w:rPr>
            </w:pPr>
            <w:r w:rsidRPr="009C3005">
              <w:rPr>
                <w:noProof/>
                <w:sz w:val="12"/>
                <w:szCs w:val="12"/>
              </w:rPr>
              <w:t>8 457 255,62</w:t>
            </w:r>
          </w:p>
        </w:tc>
        <w:tc>
          <w:tcPr>
            <w:tcW w:w="0" w:type="auto"/>
            <w:shd w:val="clear" w:color="auto" w:fill="auto"/>
          </w:tcPr>
          <w:p w14:paraId="3AEE305C" w14:textId="77777777" w:rsidR="008C5CFA" w:rsidRPr="009C3005" w:rsidRDefault="00E82A60" w:rsidP="00300A01">
            <w:pPr>
              <w:pStyle w:val="Text1"/>
              <w:spacing w:before="0" w:after="0"/>
              <w:ind w:left="0"/>
              <w:jc w:val="right"/>
              <w:rPr>
                <w:sz w:val="12"/>
                <w:szCs w:val="12"/>
              </w:rPr>
            </w:pPr>
            <w:r w:rsidRPr="009C3005">
              <w:rPr>
                <w:noProof/>
                <w:sz w:val="12"/>
                <w:szCs w:val="12"/>
              </w:rPr>
              <w:t>6 393 587,26</w:t>
            </w:r>
          </w:p>
        </w:tc>
        <w:tc>
          <w:tcPr>
            <w:tcW w:w="0" w:type="auto"/>
            <w:shd w:val="clear" w:color="auto" w:fill="auto"/>
          </w:tcPr>
          <w:p w14:paraId="5EC1FB0F" w14:textId="77777777" w:rsidR="008C5CFA" w:rsidRPr="009C3005" w:rsidRDefault="00E82A60" w:rsidP="00300A01">
            <w:pPr>
              <w:pStyle w:val="Text1"/>
              <w:spacing w:before="0" w:after="0"/>
              <w:ind w:left="0"/>
              <w:jc w:val="right"/>
              <w:rPr>
                <w:sz w:val="12"/>
                <w:szCs w:val="12"/>
              </w:rPr>
            </w:pPr>
            <w:r w:rsidRPr="009C3005">
              <w:rPr>
                <w:noProof/>
                <w:sz w:val="12"/>
                <w:szCs w:val="12"/>
              </w:rPr>
              <w:t>1</w:t>
            </w:r>
          </w:p>
        </w:tc>
      </w:tr>
      <w:tr w:rsidR="006B2EC1" w14:paraId="12A0199F" w14:textId="77777777" w:rsidTr="0047688D">
        <w:tc>
          <w:tcPr>
            <w:tcW w:w="0" w:type="auto"/>
            <w:shd w:val="clear" w:color="auto" w:fill="auto"/>
          </w:tcPr>
          <w:p w14:paraId="0F9388CC" w14:textId="77777777" w:rsidR="008C5CFA" w:rsidRPr="009C3005" w:rsidRDefault="00E82A60" w:rsidP="00300A01">
            <w:pPr>
              <w:pStyle w:val="Text1"/>
              <w:spacing w:before="0" w:after="0"/>
              <w:ind w:left="0"/>
              <w:rPr>
                <w:sz w:val="12"/>
                <w:szCs w:val="12"/>
              </w:rPr>
            </w:pPr>
            <w:r>
              <w:rPr>
                <w:noProof/>
                <w:sz w:val="14"/>
                <w:szCs w:val="14"/>
                <w:lang w:val="fr-BE"/>
              </w:rPr>
              <w:t>6</w:t>
            </w:r>
          </w:p>
        </w:tc>
        <w:tc>
          <w:tcPr>
            <w:tcW w:w="0" w:type="auto"/>
            <w:shd w:val="clear" w:color="auto" w:fill="auto"/>
          </w:tcPr>
          <w:p w14:paraId="29F3C26B" w14:textId="77777777" w:rsidR="008C5CFA" w:rsidRPr="009C3005" w:rsidRDefault="00E82A60" w:rsidP="00300A01">
            <w:pPr>
              <w:pStyle w:val="Text1"/>
              <w:spacing w:before="0" w:after="0"/>
              <w:ind w:left="0"/>
              <w:rPr>
                <w:sz w:val="12"/>
                <w:szCs w:val="12"/>
              </w:rPr>
            </w:pPr>
            <w:r>
              <w:rPr>
                <w:noProof/>
                <w:sz w:val="12"/>
                <w:szCs w:val="12"/>
              </w:rPr>
              <w:t>EFRR</w:t>
            </w:r>
          </w:p>
        </w:tc>
        <w:tc>
          <w:tcPr>
            <w:tcW w:w="0" w:type="auto"/>
            <w:shd w:val="clear" w:color="auto" w:fill="auto"/>
          </w:tcPr>
          <w:p w14:paraId="07764137" w14:textId="77777777" w:rsidR="008C5CFA" w:rsidRPr="009C3005" w:rsidRDefault="00E82A60" w:rsidP="00300A01">
            <w:pPr>
              <w:pStyle w:val="Text1"/>
              <w:spacing w:before="0" w:after="0"/>
              <w:ind w:left="0"/>
              <w:rPr>
                <w:sz w:val="12"/>
                <w:szCs w:val="12"/>
              </w:rPr>
            </w:pPr>
            <w:r>
              <w:rPr>
                <w:noProof/>
                <w:sz w:val="12"/>
                <w:szCs w:val="12"/>
              </w:rPr>
              <w:t>Słabiej rozwinięte</w:t>
            </w:r>
          </w:p>
        </w:tc>
        <w:tc>
          <w:tcPr>
            <w:tcW w:w="0" w:type="auto"/>
            <w:shd w:val="clear" w:color="auto" w:fill="auto"/>
          </w:tcPr>
          <w:p w14:paraId="5EB09340" w14:textId="77777777" w:rsidR="008C5CFA" w:rsidRPr="009C3005" w:rsidRDefault="00E82A60" w:rsidP="00300A01">
            <w:pPr>
              <w:pStyle w:val="Text1"/>
              <w:spacing w:before="0" w:after="0"/>
              <w:ind w:left="0"/>
              <w:rPr>
                <w:sz w:val="12"/>
                <w:szCs w:val="12"/>
              </w:rPr>
            </w:pPr>
            <w:r>
              <w:rPr>
                <w:noProof/>
                <w:sz w:val="12"/>
                <w:szCs w:val="12"/>
              </w:rPr>
              <w:t>085</w:t>
            </w:r>
          </w:p>
        </w:tc>
        <w:tc>
          <w:tcPr>
            <w:tcW w:w="0" w:type="auto"/>
            <w:shd w:val="clear" w:color="auto" w:fill="auto"/>
          </w:tcPr>
          <w:p w14:paraId="370DE7E6"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2B8640BE" w14:textId="77777777" w:rsidR="008C5CFA" w:rsidRPr="009C3005" w:rsidRDefault="00E82A60" w:rsidP="00300A01">
            <w:pPr>
              <w:pStyle w:val="Text1"/>
              <w:spacing w:before="0" w:after="0"/>
              <w:ind w:left="0"/>
              <w:rPr>
                <w:sz w:val="12"/>
                <w:szCs w:val="12"/>
              </w:rPr>
            </w:pPr>
            <w:r>
              <w:rPr>
                <w:noProof/>
                <w:sz w:val="12"/>
                <w:szCs w:val="12"/>
              </w:rPr>
              <w:t>03</w:t>
            </w:r>
          </w:p>
        </w:tc>
        <w:tc>
          <w:tcPr>
            <w:tcW w:w="0" w:type="auto"/>
            <w:shd w:val="clear" w:color="auto" w:fill="auto"/>
          </w:tcPr>
          <w:p w14:paraId="586E78DC"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211F86D6" w14:textId="77777777" w:rsidR="008C5CFA" w:rsidRPr="009C3005" w:rsidRDefault="00E82A60" w:rsidP="00300A01">
            <w:pPr>
              <w:pStyle w:val="Text1"/>
              <w:spacing w:before="0" w:after="0"/>
              <w:ind w:left="0"/>
              <w:rPr>
                <w:sz w:val="12"/>
                <w:szCs w:val="12"/>
              </w:rPr>
            </w:pPr>
            <w:r>
              <w:rPr>
                <w:noProof/>
                <w:sz w:val="12"/>
                <w:szCs w:val="12"/>
              </w:rPr>
              <w:t>06</w:t>
            </w:r>
          </w:p>
        </w:tc>
        <w:tc>
          <w:tcPr>
            <w:tcW w:w="0" w:type="auto"/>
            <w:shd w:val="clear" w:color="auto" w:fill="auto"/>
          </w:tcPr>
          <w:p w14:paraId="51847D55" w14:textId="77777777" w:rsidR="008C5CFA" w:rsidRPr="009C3005" w:rsidRDefault="00E82A60" w:rsidP="00300A01">
            <w:pPr>
              <w:pStyle w:val="Text1"/>
              <w:spacing w:before="0" w:after="0"/>
              <w:ind w:left="0"/>
              <w:rPr>
                <w:sz w:val="12"/>
                <w:szCs w:val="12"/>
              </w:rPr>
            </w:pPr>
            <w:r>
              <w:rPr>
                <w:sz w:val="12"/>
                <w:szCs w:val="12"/>
              </w:rPr>
              <w:t xml:space="preserve"> </w:t>
            </w:r>
          </w:p>
        </w:tc>
        <w:tc>
          <w:tcPr>
            <w:tcW w:w="0" w:type="auto"/>
            <w:shd w:val="clear" w:color="auto" w:fill="auto"/>
          </w:tcPr>
          <w:p w14:paraId="62C90B8E" w14:textId="77777777" w:rsidR="008C5CFA" w:rsidRPr="009C3005" w:rsidRDefault="00E82A60" w:rsidP="00300A01">
            <w:pPr>
              <w:pStyle w:val="Text1"/>
              <w:spacing w:before="0" w:after="0"/>
              <w:ind w:left="0"/>
              <w:rPr>
                <w:sz w:val="12"/>
                <w:szCs w:val="12"/>
              </w:rPr>
            </w:pPr>
            <w:r>
              <w:rPr>
                <w:noProof/>
                <w:sz w:val="12"/>
                <w:szCs w:val="12"/>
              </w:rPr>
              <w:t>18</w:t>
            </w:r>
          </w:p>
        </w:tc>
        <w:tc>
          <w:tcPr>
            <w:tcW w:w="0" w:type="auto"/>
            <w:shd w:val="clear" w:color="auto" w:fill="auto"/>
          </w:tcPr>
          <w:p w14:paraId="55CD3315" w14:textId="77777777" w:rsidR="008C5CFA" w:rsidRPr="009C3005" w:rsidRDefault="00E82A60" w:rsidP="00300A01">
            <w:pPr>
              <w:pStyle w:val="Text1"/>
              <w:spacing w:before="0" w:after="0"/>
              <w:ind w:left="0"/>
              <w:rPr>
                <w:sz w:val="12"/>
                <w:szCs w:val="12"/>
              </w:rPr>
            </w:pPr>
            <w:r>
              <w:rPr>
                <w:noProof/>
                <w:sz w:val="12"/>
                <w:szCs w:val="12"/>
              </w:rPr>
              <w:t>PL33</w:t>
            </w:r>
          </w:p>
        </w:tc>
        <w:tc>
          <w:tcPr>
            <w:tcW w:w="0" w:type="auto"/>
            <w:shd w:val="clear" w:color="auto" w:fill="auto"/>
          </w:tcPr>
          <w:p w14:paraId="3C2D8711" w14:textId="77777777" w:rsidR="008C5CFA" w:rsidRPr="009C3005" w:rsidRDefault="00E82A60" w:rsidP="00300A01">
            <w:pPr>
              <w:pStyle w:val="Text1"/>
              <w:spacing w:before="0" w:after="0"/>
              <w:ind w:left="0"/>
              <w:jc w:val="right"/>
              <w:rPr>
                <w:sz w:val="12"/>
                <w:szCs w:val="12"/>
              </w:rPr>
            </w:pPr>
            <w:r w:rsidRPr="009C3005">
              <w:rPr>
                <w:noProof/>
                <w:sz w:val="12"/>
                <w:szCs w:val="12"/>
              </w:rPr>
              <w:t>4 511 751,36</w:t>
            </w:r>
          </w:p>
        </w:tc>
        <w:tc>
          <w:tcPr>
            <w:tcW w:w="0" w:type="auto"/>
            <w:shd w:val="clear" w:color="auto" w:fill="auto"/>
          </w:tcPr>
          <w:p w14:paraId="39A37A3B" w14:textId="77777777" w:rsidR="008C5CFA" w:rsidRPr="009C3005" w:rsidRDefault="00E82A60" w:rsidP="00300A01">
            <w:pPr>
              <w:pStyle w:val="Text1"/>
              <w:spacing w:before="0" w:after="0"/>
              <w:ind w:left="0"/>
              <w:jc w:val="right"/>
              <w:rPr>
                <w:sz w:val="12"/>
                <w:szCs w:val="12"/>
              </w:rPr>
            </w:pPr>
            <w:r w:rsidRPr="009C3005">
              <w:rPr>
                <w:noProof/>
                <w:sz w:val="12"/>
                <w:szCs w:val="12"/>
              </w:rPr>
              <w:t>4 511 751,36</w:t>
            </w:r>
          </w:p>
        </w:tc>
        <w:tc>
          <w:tcPr>
            <w:tcW w:w="0" w:type="auto"/>
            <w:shd w:val="clear" w:color="auto" w:fill="auto"/>
          </w:tcPr>
          <w:p w14:paraId="4F950838" w14:textId="77777777" w:rsidR="008C5CFA" w:rsidRPr="009C3005" w:rsidRDefault="00E82A60" w:rsidP="00300A01">
            <w:pPr>
              <w:pStyle w:val="Text1"/>
              <w:spacing w:before="0" w:after="0"/>
              <w:ind w:left="0"/>
              <w:jc w:val="right"/>
              <w:rPr>
                <w:sz w:val="12"/>
                <w:szCs w:val="12"/>
              </w:rPr>
            </w:pPr>
            <w:r w:rsidRPr="009C3005">
              <w:rPr>
                <w:noProof/>
                <w:sz w:val="12"/>
                <w:szCs w:val="12"/>
              </w:rPr>
              <w:t>1 587 558,93</w:t>
            </w:r>
          </w:p>
        </w:tc>
        <w:tc>
          <w:tcPr>
            <w:tcW w:w="0" w:type="auto"/>
            <w:shd w:val="clear" w:color="auto" w:fill="auto"/>
          </w:tcPr>
          <w:p w14:paraId="23691D91" w14:textId="77777777" w:rsidR="008C5CFA" w:rsidRPr="009C3005" w:rsidRDefault="00E82A60" w:rsidP="00300A01">
            <w:pPr>
              <w:pStyle w:val="Text1"/>
              <w:spacing w:before="0" w:after="0"/>
              <w:ind w:left="0"/>
              <w:jc w:val="right"/>
              <w:rPr>
                <w:sz w:val="12"/>
                <w:szCs w:val="12"/>
              </w:rPr>
            </w:pPr>
            <w:r w:rsidRPr="009C3005">
              <w:rPr>
                <w:noProof/>
                <w:sz w:val="12"/>
                <w:szCs w:val="12"/>
              </w:rPr>
              <w:t>10</w:t>
            </w:r>
          </w:p>
        </w:tc>
      </w:tr>
      <w:tr w:rsidR="006B2EC1" w14:paraId="29E49F93" w14:textId="77777777" w:rsidTr="0047688D">
        <w:tc>
          <w:tcPr>
            <w:tcW w:w="0" w:type="auto"/>
            <w:shd w:val="clear" w:color="auto" w:fill="auto"/>
          </w:tcPr>
          <w:p w14:paraId="2303A95A" w14:textId="77777777" w:rsidR="008C5CFA" w:rsidRPr="009C3005" w:rsidRDefault="00E82A60" w:rsidP="00300A01">
            <w:pPr>
              <w:pStyle w:val="Text1"/>
              <w:spacing w:before="0" w:after="0"/>
              <w:ind w:left="0"/>
              <w:rPr>
                <w:sz w:val="12"/>
                <w:szCs w:val="12"/>
              </w:rPr>
            </w:pPr>
            <w:r>
              <w:rPr>
                <w:noProof/>
                <w:sz w:val="14"/>
                <w:szCs w:val="14"/>
                <w:lang w:val="fr-BE"/>
              </w:rPr>
              <w:t>6</w:t>
            </w:r>
          </w:p>
        </w:tc>
        <w:tc>
          <w:tcPr>
            <w:tcW w:w="0" w:type="auto"/>
            <w:shd w:val="clear" w:color="auto" w:fill="auto"/>
          </w:tcPr>
          <w:p w14:paraId="5E84AB33" w14:textId="77777777" w:rsidR="008C5CFA" w:rsidRPr="009C3005" w:rsidRDefault="00E82A60" w:rsidP="00300A01">
            <w:pPr>
              <w:pStyle w:val="Text1"/>
              <w:spacing w:before="0" w:after="0"/>
              <w:ind w:left="0"/>
              <w:rPr>
                <w:sz w:val="12"/>
                <w:szCs w:val="12"/>
              </w:rPr>
            </w:pPr>
            <w:r>
              <w:rPr>
                <w:noProof/>
                <w:sz w:val="12"/>
                <w:szCs w:val="12"/>
              </w:rPr>
              <w:t>EFRR</w:t>
            </w:r>
          </w:p>
        </w:tc>
        <w:tc>
          <w:tcPr>
            <w:tcW w:w="0" w:type="auto"/>
            <w:shd w:val="clear" w:color="auto" w:fill="auto"/>
          </w:tcPr>
          <w:p w14:paraId="22A8A4A3" w14:textId="77777777" w:rsidR="008C5CFA" w:rsidRPr="009C3005" w:rsidRDefault="00E82A60" w:rsidP="00300A01">
            <w:pPr>
              <w:pStyle w:val="Text1"/>
              <w:spacing w:before="0" w:after="0"/>
              <w:ind w:left="0"/>
              <w:rPr>
                <w:sz w:val="12"/>
                <w:szCs w:val="12"/>
              </w:rPr>
            </w:pPr>
            <w:r>
              <w:rPr>
                <w:noProof/>
                <w:sz w:val="12"/>
                <w:szCs w:val="12"/>
              </w:rPr>
              <w:t>Słabiej rozwinięte</w:t>
            </w:r>
          </w:p>
        </w:tc>
        <w:tc>
          <w:tcPr>
            <w:tcW w:w="0" w:type="auto"/>
            <w:shd w:val="clear" w:color="auto" w:fill="auto"/>
          </w:tcPr>
          <w:p w14:paraId="3AC0C447" w14:textId="77777777" w:rsidR="008C5CFA" w:rsidRPr="009C3005" w:rsidRDefault="00E82A60" w:rsidP="00300A01">
            <w:pPr>
              <w:pStyle w:val="Text1"/>
              <w:spacing w:before="0" w:after="0"/>
              <w:ind w:left="0"/>
              <w:rPr>
                <w:sz w:val="12"/>
                <w:szCs w:val="12"/>
              </w:rPr>
            </w:pPr>
            <w:r>
              <w:rPr>
                <w:noProof/>
                <w:sz w:val="12"/>
                <w:szCs w:val="12"/>
              </w:rPr>
              <w:t>089</w:t>
            </w:r>
          </w:p>
        </w:tc>
        <w:tc>
          <w:tcPr>
            <w:tcW w:w="0" w:type="auto"/>
            <w:shd w:val="clear" w:color="auto" w:fill="auto"/>
          </w:tcPr>
          <w:p w14:paraId="1036A113"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1ACE221B"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70FF353B"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09AA06F5" w14:textId="77777777" w:rsidR="008C5CFA" w:rsidRPr="009C3005" w:rsidRDefault="00E82A60" w:rsidP="00300A01">
            <w:pPr>
              <w:pStyle w:val="Text1"/>
              <w:spacing w:before="0" w:after="0"/>
              <w:ind w:left="0"/>
              <w:rPr>
                <w:sz w:val="12"/>
                <w:szCs w:val="12"/>
              </w:rPr>
            </w:pPr>
            <w:r>
              <w:rPr>
                <w:noProof/>
                <w:sz w:val="12"/>
                <w:szCs w:val="12"/>
              </w:rPr>
              <w:t>09</w:t>
            </w:r>
          </w:p>
        </w:tc>
        <w:tc>
          <w:tcPr>
            <w:tcW w:w="0" w:type="auto"/>
            <w:shd w:val="clear" w:color="auto" w:fill="auto"/>
          </w:tcPr>
          <w:p w14:paraId="5AD9957B" w14:textId="77777777" w:rsidR="008C5CFA" w:rsidRPr="009C3005" w:rsidRDefault="00E82A60" w:rsidP="00300A01">
            <w:pPr>
              <w:pStyle w:val="Text1"/>
              <w:spacing w:before="0" w:after="0"/>
              <w:ind w:left="0"/>
              <w:rPr>
                <w:sz w:val="12"/>
                <w:szCs w:val="12"/>
              </w:rPr>
            </w:pPr>
            <w:r>
              <w:rPr>
                <w:sz w:val="12"/>
                <w:szCs w:val="12"/>
              </w:rPr>
              <w:t xml:space="preserve"> </w:t>
            </w:r>
          </w:p>
        </w:tc>
        <w:tc>
          <w:tcPr>
            <w:tcW w:w="0" w:type="auto"/>
            <w:shd w:val="clear" w:color="auto" w:fill="auto"/>
          </w:tcPr>
          <w:p w14:paraId="68487D87" w14:textId="77777777" w:rsidR="008C5CFA" w:rsidRPr="009C3005" w:rsidRDefault="00E82A60" w:rsidP="00300A01">
            <w:pPr>
              <w:pStyle w:val="Text1"/>
              <w:spacing w:before="0" w:after="0"/>
              <w:ind w:left="0"/>
              <w:rPr>
                <w:sz w:val="12"/>
                <w:szCs w:val="12"/>
              </w:rPr>
            </w:pPr>
            <w:r>
              <w:rPr>
                <w:noProof/>
                <w:sz w:val="12"/>
                <w:szCs w:val="12"/>
              </w:rPr>
              <w:t>18</w:t>
            </w:r>
          </w:p>
        </w:tc>
        <w:tc>
          <w:tcPr>
            <w:tcW w:w="0" w:type="auto"/>
            <w:shd w:val="clear" w:color="auto" w:fill="auto"/>
          </w:tcPr>
          <w:p w14:paraId="400488D2" w14:textId="77777777" w:rsidR="008C5CFA" w:rsidRPr="009C3005" w:rsidRDefault="00E82A60" w:rsidP="00300A01">
            <w:pPr>
              <w:pStyle w:val="Text1"/>
              <w:spacing w:before="0" w:after="0"/>
              <w:ind w:left="0"/>
              <w:rPr>
                <w:sz w:val="12"/>
                <w:szCs w:val="12"/>
              </w:rPr>
            </w:pPr>
            <w:r>
              <w:rPr>
                <w:noProof/>
                <w:sz w:val="12"/>
                <w:szCs w:val="12"/>
              </w:rPr>
              <w:t>PL33</w:t>
            </w:r>
          </w:p>
        </w:tc>
        <w:tc>
          <w:tcPr>
            <w:tcW w:w="0" w:type="auto"/>
            <w:shd w:val="clear" w:color="auto" w:fill="auto"/>
          </w:tcPr>
          <w:p w14:paraId="0901C5E5" w14:textId="77777777" w:rsidR="008C5CFA" w:rsidRPr="009C3005" w:rsidRDefault="00E82A60" w:rsidP="00300A01">
            <w:pPr>
              <w:pStyle w:val="Text1"/>
              <w:spacing w:before="0" w:after="0"/>
              <w:ind w:left="0"/>
              <w:jc w:val="right"/>
              <w:rPr>
                <w:sz w:val="12"/>
                <w:szCs w:val="12"/>
              </w:rPr>
            </w:pPr>
            <w:r w:rsidRPr="009C3005">
              <w:rPr>
                <w:noProof/>
                <w:sz w:val="12"/>
                <w:szCs w:val="12"/>
              </w:rPr>
              <w:t>15 106 173,07</w:t>
            </w:r>
          </w:p>
        </w:tc>
        <w:tc>
          <w:tcPr>
            <w:tcW w:w="0" w:type="auto"/>
            <w:shd w:val="clear" w:color="auto" w:fill="auto"/>
          </w:tcPr>
          <w:p w14:paraId="2411A15C" w14:textId="77777777" w:rsidR="008C5CFA" w:rsidRPr="009C3005" w:rsidRDefault="00E82A60" w:rsidP="00300A01">
            <w:pPr>
              <w:pStyle w:val="Text1"/>
              <w:spacing w:before="0" w:after="0"/>
              <w:ind w:left="0"/>
              <w:jc w:val="right"/>
              <w:rPr>
                <w:sz w:val="12"/>
                <w:szCs w:val="12"/>
              </w:rPr>
            </w:pPr>
            <w:r w:rsidRPr="009C3005">
              <w:rPr>
                <w:noProof/>
                <w:sz w:val="12"/>
                <w:szCs w:val="12"/>
              </w:rPr>
              <w:t>15 007 693,03</w:t>
            </w:r>
          </w:p>
        </w:tc>
        <w:tc>
          <w:tcPr>
            <w:tcW w:w="0" w:type="auto"/>
            <w:shd w:val="clear" w:color="auto" w:fill="auto"/>
          </w:tcPr>
          <w:p w14:paraId="5367FE9E" w14:textId="77777777" w:rsidR="008C5CFA" w:rsidRPr="009C3005" w:rsidRDefault="00E82A60" w:rsidP="00300A01">
            <w:pPr>
              <w:pStyle w:val="Text1"/>
              <w:spacing w:before="0" w:after="0"/>
              <w:ind w:left="0"/>
              <w:jc w:val="right"/>
              <w:rPr>
                <w:sz w:val="12"/>
                <w:szCs w:val="12"/>
              </w:rPr>
            </w:pPr>
            <w:r w:rsidRPr="009C3005">
              <w:rPr>
                <w:noProof/>
                <w:sz w:val="12"/>
                <w:szCs w:val="12"/>
              </w:rPr>
              <w:t>0,00</w:t>
            </w:r>
          </w:p>
        </w:tc>
        <w:tc>
          <w:tcPr>
            <w:tcW w:w="0" w:type="auto"/>
            <w:shd w:val="clear" w:color="auto" w:fill="auto"/>
          </w:tcPr>
          <w:p w14:paraId="579FD614" w14:textId="77777777" w:rsidR="008C5CFA" w:rsidRPr="009C3005" w:rsidRDefault="00E82A60" w:rsidP="00300A01">
            <w:pPr>
              <w:pStyle w:val="Text1"/>
              <w:spacing w:before="0" w:after="0"/>
              <w:ind w:left="0"/>
              <w:jc w:val="right"/>
              <w:rPr>
                <w:sz w:val="12"/>
                <w:szCs w:val="12"/>
              </w:rPr>
            </w:pPr>
            <w:r w:rsidRPr="009C3005">
              <w:rPr>
                <w:noProof/>
                <w:sz w:val="12"/>
                <w:szCs w:val="12"/>
              </w:rPr>
              <w:t>2</w:t>
            </w:r>
          </w:p>
        </w:tc>
      </w:tr>
      <w:tr w:rsidR="006B2EC1" w14:paraId="09E46ED3" w14:textId="77777777" w:rsidTr="0047688D">
        <w:tc>
          <w:tcPr>
            <w:tcW w:w="0" w:type="auto"/>
            <w:shd w:val="clear" w:color="auto" w:fill="auto"/>
          </w:tcPr>
          <w:p w14:paraId="42CA89DE" w14:textId="77777777" w:rsidR="008C5CFA" w:rsidRPr="009C3005" w:rsidRDefault="00E82A60" w:rsidP="00300A01">
            <w:pPr>
              <w:pStyle w:val="Text1"/>
              <w:spacing w:before="0" w:after="0"/>
              <w:ind w:left="0"/>
              <w:rPr>
                <w:sz w:val="12"/>
                <w:szCs w:val="12"/>
              </w:rPr>
            </w:pPr>
            <w:r>
              <w:rPr>
                <w:noProof/>
                <w:sz w:val="14"/>
                <w:szCs w:val="14"/>
                <w:lang w:val="fr-BE"/>
              </w:rPr>
              <w:t>6</w:t>
            </w:r>
          </w:p>
        </w:tc>
        <w:tc>
          <w:tcPr>
            <w:tcW w:w="0" w:type="auto"/>
            <w:shd w:val="clear" w:color="auto" w:fill="auto"/>
          </w:tcPr>
          <w:p w14:paraId="6F17DDB7" w14:textId="77777777" w:rsidR="008C5CFA" w:rsidRPr="009C3005" w:rsidRDefault="00E82A60" w:rsidP="00300A01">
            <w:pPr>
              <w:pStyle w:val="Text1"/>
              <w:spacing w:before="0" w:after="0"/>
              <w:ind w:left="0"/>
              <w:rPr>
                <w:sz w:val="12"/>
                <w:szCs w:val="12"/>
              </w:rPr>
            </w:pPr>
            <w:r>
              <w:rPr>
                <w:noProof/>
                <w:sz w:val="12"/>
                <w:szCs w:val="12"/>
              </w:rPr>
              <w:t>EFRR</w:t>
            </w:r>
          </w:p>
        </w:tc>
        <w:tc>
          <w:tcPr>
            <w:tcW w:w="0" w:type="auto"/>
            <w:shd w:val="clear" w:color="auto" w:fill="auto"/>
          </w:tcPr>
          <w:p w14:paraId="01A1AE0B" w14:textId="77777777" w:rsidR="008C5CFA" w:rsidRPr="009C3005" w:rsidRDefault="00E82A60" w:rsidP="00300A01">
            <w:pPr>
              <w:pStyle w:val="Text1"/>
              <w:spacing w:before="0" w:after="0"/>
              <w:ind w:left="0"/>
              <w:rPr>
                <w:sz w:val="12"/>
                <w:szCs w:val="12"/>
              </w:rPr>
            </w:pPr>
            <w:r>
              <w:rPr>
                <w:noProof/>
                <w:sz w:val="12"/>
                <w:szCs w:val="12"/>
              </w:rPr>
              <w:t>Słabiej rozwinięte</w:t>
            </w:r>
          </w:p>
        </w:tc>
        <w:tc>
          <w:tcPr>
            <w:tcW w:w="0" w:type="auto"/>
            <w:shd w:val="clear" w:color="auto" w:fill="auto"/>
          </w:tcPr>
          <w:p w14:paraId="329E9983" w14:textId="77777777" w:rsidR="008C5CFA" w:rsidRPr="009C3005" w:rsidRDefault="00E82A60" w:rsidP="00300A01">
            <w:pPr>
              <w:pStyle w:val="Text1"/>
              <w:spacing w:before="0" w:after="0"/>
              <w:ind w:left="0"/>
              <w:rPr>
                <w:sz w:val="12"/>
                <w:szCs w:val="12"/>
              </w:rPr>
            </w:pPr>
            <w:r>
              <w:rPr>
                <w:noProof/>
                <w:sz w:val="12"/>
                <w:szCs w:val="12"/>
              </w:rPr>
              <w:t>089</w:t>
            </w:r>
          </w:p>
        </w:tc>
        <w:tc>
          <w:tcPr>
            <w:tcW w:w="0" w:type="auto"/>
            <w:shd w:val="clear" w:color="auto" w:fill="auto"/>
          </w:tcPr>
          <w:p w14:paraId="0974154E"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456200BA" w14:textId="77777777" w:rsidR="008C5CFA" w:rsidRPr="009C3005" w:rsidRDefault="00E82A60" w:rsidP="00300A01">
            <w:pPr>
              <w:pStyle w:val="Text1"/>
              <w:spacing w:before="0" w:after="0"/>
              <w:ind w:left="0"/>
              <w:rPr>
                <w:sz w:val="12"/>
                <w:szCs w:val="12"/>
              </w:rPr>
            </w:pPr>
            <w:r>
              <w:rPr>
                <w:noProof/>
                <w:sz w:val="12"/>
                <w:szCs w:val="12"/>
              </w:rPr>
              <w:t>02</w:t>
            </w:r>
          </w:p>
        </w:tc>
        <w:tc>
          <w:tcPr>
            <w:tcW w:w="0" w:type="auto"/>
            <w:shd w:val="clear" w:color="auto" w:fill="auto"/>
          </w:tcPr>
          <w:p w14:paraId="5BC2C848"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5A8A591B" w14:textId="77777777" w:rsidR="008C5CFA" w:rsidRPr="009C3005" w:rsidRDefault="00E82A60" w:rsidP="00300A01">
            <w:pPr>
              <w:pStyle w:val="Text1"/>
              <w:spacing w:before="0" w:after="0"/>
              <w:ind w:left="0"/>
              <w:rPr>
                <w:sz w:val="12"/>
                <w:szCs w:val="12"/>
              </w:rPr>
            </w:pPr>
            <w:r>
              <w:rPr>
                <w:noProof/>
                <w:sz w:val="12"/>
                <w:szCs w:val="12"/>
              </w:rPr>
              <w:t>09</w:t>
            </w:r>
          </w:p>
        </w:tc>
        <w:tc>
          <w:tcPr>
            <w:tcW w:w="0" w:type="auto"/>
            <w:shd w:val="clear" w:color="auto" w:fill="auto"/>
          </w:tcPr>
          <w:p w14:paraId="088950AE" w14:textId="77777777" w:rsidR="008C5CFA" w:rsidRPr="009C3005" w:rsidRDefault="00E82A60" w:rsidP="00300A01">
            <w:pPr>
              <w:pStyle w:val="Text1"/>
              <w:spacing w:before="0" w:after="0"/>
              <w:ind w:left="0"/>
              <w:rPr>
                <w:sz w:val="12"/>
                <w:szCs w:val="12"/>
              </w:rPr>
            </w:pPr>
            <w:r>
              <w:rPr>
                <w:sz w:val="12"/>
                <w:szCs w:val="12"/>
              </w:rPr>
              <w:t xml:space="preserve"> </w:t>
            </w:r>
          </w:p>
        </w:tc>
        <w:tc>
          <w:tcPr>
            <w:tcW w:w="0" w:type="auto"/>
            <w:shd w:val="clear" w:color="auto" w:fill="auto"/>
          </w:tcPr>
          <w:p w14:paraId="16E8DDF5" w14:textId="77777777" w:rsidR="008C5CFA" w:rsidRPr="009C3005" w:rsidRDefault="00E82A60" w:rsidP="00300A01">
            <w:pPr>
              <w:pStyle w:val="Text1"/>
              <w:spacing w:before="0" w:after="0"/>
              <w:ind w:left="0"/>
              <w:rPr>
                <w:sz w:val="12"/>
                <w:szCs w:val="12"/>
              </w:rPr>
            </w:pPr>
            <w:r>
              <w:rPr>
                <w:noProof/>
                <w:sz w:val="12"/>
                <w:szCs w:val="12"/>
              </w:rPr>
              <w:t>18</w:t>
            </w:r>
          </w:p>
        </w:tc>
        <w:tc>
          <w:tcPr>
            <w:tcW w:w="0" w:type="auto"/>
            <w:shd w:val="clear" w:color="auto" w:fill="auto"/>
          </w:tcPr>
          <w:p w14:paraId="7E97C310" w14:textId="77777777" w:rsidR="008C5CFA" w:rsidRPr="009C3005" w:rsidRDefault="00E82A60" w:rsidP="00300A01">
            <w:pPr>
              <w:pStyle w:val="Text1"/>
              <w:spacing w:before="0" w:after="0"/>
              <w:ind w:left="0"/>
              <w:rPr>
                <w:sz w:val="12"/>
                <w:szCs w:val="12"/>
              </w:rPr>
            </w:pPr>
            <w:r>
              <w:rPr>
                <w:noProof/>
                <w:sz w:val="12"/>
                <w:szCs w:val="12"/>
              </w:rPr>
              <w:t>PL33</w:t>
            </w:r>
          </w:p>
        </w:tc>
        <w:tc>
          <w:tcPr>
            <w:tcW w:w="0" w:type="auto"/>
            <w:shd w:val="clear" w:color="auto" w:fill="auto"/>
          </w:tcPr>
          <w:p w14:paraId="1F232C75" w14:textId="77777777" w:rsidR="008C5CFA" w:rsidRPr="009C3005" w:rsidRDefault="00E82A60" w:rsidP="00300A01">
            <w:pPr>
              <w:pStyle w:val="Text1"/>
              <w:spacing w:before="0" w:after="0"/>
              <w:ind w:left="0"/>
              <w:jc w:val="right"/>
              <w:rPr>
                <w:sz w:val="12"/>
                <w:szCs w:val="12"/>
              </w:rPr>
            </w:pPr>
            <w:r w:rsidRPr="009C3005">
              <w:rPr>
                <w:noProof/>
                <w:sz w:val="12"/>
                <w:szCs w:val="12"/>
              </w:rPr>
              <w:t>29 012 591,90</w:t>
            </w:r>
          </w:p>
        </w:tc>
        <w:tc>
          <w:tcPr>
            <w:tcW w:w="0" w:type="auto"/>
            <w:shd w:val="clear" w:color="auto" w:fill="auto"/>
          </w:tcPr>
          <w:p w14:paraId="236D50DC" w14:textId="77777777" w:rsidR="008C5CFA" w:rsidRPr="009C3005" w:rsidRDefault="00E82A60" w:rsidP="00300A01">
            <w:pPr>
              <w:pStyle w:val="Text1"/>
              <w:spacing w:before="0" w:after="0"/>
              <w:ind w:left="0"/>
              <w:jc w:val="right"/>
              <w:rPr>
                <w:sz w:val="12"/>
                <w:szCs w:val="12"/>
              </w:rPr>
            </w:pPr>
            <w:r w:rsidRPr="009C3005">
              <w:rPr>
                <w:noProof/>
                <w:sz w:val="12"/>
                <w:szCs w:val="12"/>
              </w:rPr>
              <w:t>28 201 296,88</w:t>
            </w:r>
          </w:p>
        </w:tc>
        <w:tc>
          <w:tcPr>
            <w:tcW w:w="0" w:type="auto"/>
            <w:shd w:val="clear" w:color="auto" w:fill="auto"/>
          </w:tcPr>
          <w:p w14:paraId="33C3BEEC" w14:textId="77777777" w:rsidR="008C5CFA" w:rsidRPr="009C3005" w:rsidRDefault="00E82A60" w:rsidP="00300A01">
            <w:pPr>
              <w:pStyle w:val="Text1"/>
              <w:spacing w:before="0" w:after="0"/>
              <w:ind w:left="0"/>
              <w:jc w:val="right"/>
              <w:rPr>
                <w:sz w:val="12"/>
                <w:szCs w:val="12"/>
              </w:rPr>
            </w:pPr>
            <w:r w:rsidRPr="009C3005">
              <w:rPr>
                <w:noProof/>
                <w:sz w:val="12"/>
                <w:szCs w:val="12"/>
              </w:rPr>
              <w:t>6 209 649,36</w:t>
            </w:r>
          </w:p>
        </w:tc>
        <w:tc>
          <w:tcPr>
            <w:tcW w:w="0" w:type="auto"/>
            <w:shd w:val="clear" w:color="auto" w:fill="auto"/>
          </w:tcPr>
          <w:p w14:paraId="778023A5" w14:textId="77777777" w:rsidR="008C5CFA" w:rsidRPr="009C3005" w:rsidRDefault="00E82A60" w:rsidP="00300A01">
            <w:pPr>
              <w:pStyle w:val="Text1"/>
              <w:spacing w:before="0" w:after="0"/>
              <w:ind w:left="0"/>
              <w:jc w:val="right"/>
              <w:rPr>
                <w:sz w:val="12"/>
                <w:szCs w:val="12"/>
              </w:rPr>
            </w:pPr>
            <w:r w:rsidRPr="009C3005">
              <w:rPr>
                <w:noProof/>
                <w:sz w:val="12"/>
                <w:szCs w:val="12"/>
              </w:rPr>
              <w:t>6</w:t>
            </w:r>
          </w:p>
        </w:tc>
      </w:tr>
      <w:tr w:rsidR="006B2EC1" w14:paraId="5A784EDC" w14:textId="77777777" w:rsidTr="0047688D">
        <w:tc>
          <w:tcPr>
            <w:tcW w:w="0" w:type="auto"/>
            <w:shd w:val="clear" w:color="auto" w:fill="auto"/>
          </w:tcPr>
          <w:p w14:paraId="1B7C4E20" w14:textId="77777777" w:rsidR="008C5CFA" w:rsidRPr="009C3005" w:rsidRDefault="00E82A60" w:rsidP="00300A01">
            <w:pPr>
              <w:pStyle w:val="Text1"/>
              <w:spacing w:before="0" w:after="0"/>
              <w:ind w:left="0"/>
              <w:rPr>
                <w:sz w:val="12"/>
                <w:szCs w:val="12"/>
              </w:rPr>
            </w:pPr>
            <w:r>
              <w:rPr>
                <w:noProof/>
                <w:sz w:val="14"/>
                <w:szCs w:val="14"/>
                <w:lang w:val="fr-BE"/>
              </w:rPr>
              <w:t>6</w:t>
            </w:r>
          </w:p>
        </w:tc>
        <w:tc>
          <w:tcPr>
            <w:tcW w:w="0" w:type="auto"/>
            <w:shd w:val="clear" w:color="auto" w:fill="auto"/>
          </w:tcPr>
          <w:p w14:paraId="0ACDE151" w14:textId="77777777" w:rsidR="008C5CFA" w:rsidRPr="009C3005" w:rsidRDefault="00E82A60" w:rsidP="00300A01">
            <w:pPr>
              <w:pStyle w:val="Text1"/>
              <w:spacing w:before="0" w:after="0"/>
              <w:ind w:left="0"/>
              <w:rPr>
                <w:sz w:val="12"/>
                <w:szCs w:val="12"/>
              </w:rPr>
            </w:pPr>
            <w:r>
              <w:rPr>
                <w:noProof/>
                <w:sz w:val="12"/>
                <w:szCs w:val="12"/>
              </w:rPr>
              <w:t>EFRR</w:t>
            </w:r>
          </w:p>
        </w:tc>
        <w:tc>
          <w:tcPr>
            <w:tcW w:w="0" w:type="auto"/>
            <w:shd w:val="clear" w:color="auto" w:fill="auto"/>
          </w:tcPr>
          <w:p w14:paraId="1749A30A" w14:textId="77777777" w:rsidR="008C5CFA" w:rsidRPr="009C3005" w:rsidRDefault="00E82A60" w:rsidP="00300A01">
            <w:pPr>
              <w:pStyle w:val="Text1"/>
              <w:spacing w:before="0" w:after="0"/>
              <w:ind w:left="0"/>
              <w:rPr>
                <w:sz w:val="12"/>
                <w:szCs w:val="12"/>
              </w:rPr>
            </w:pPr>
            <w:r>
              <w:rPr>
                <w:noProof/>
                <w:sz w:val="12"/>
                <w:szCs w:val="12"/>
              </w:rPr>
              <w:t>Słabiej rozwinięte</w:t>
            </w:r>
          </w:p>
        </w:tc>
        <w:tc>
          <w:tcPr>
            <w:tcW w:w="0" w:type="auto"/>
            <w:shd w:val="clear" w:color="auto" w:fill="auto"/>
          </w:tcPr>
          <w:p w14:paraId="7F007C76" w14:textId="77777777" w:rsidR="008C5CFA" w:rsidRPr="009C3005" w:rsidRDefault="00E82A60" w:rsidP="00300A01">
            <w:pPr>
              <w:pStyle w:val="Text1"/>
              <w:spacing w:before="0" w:after="0"/>
              <w:ind w:left="0"/>
              <w:rPr>
                <w:sz w:val="12"/>
                <w:szCs w:val="12"/>
              </w:rPr>
            </w:pPr>
            <w:r>
              <w:rPr>
                <w:noProof/>
                <w:sz w:val="12"/>
                <w:szCs w:val="12"/>
              </w:rPr>
              <w:t>089</w:t>
            </w:r>
          </w:p>
        </w:tc>
        <w:tc>
          <w:tcPr>
            <w:tcW w:w="0" w:type="auto"/>
            <w:shd w:val="clear" w:color="auto" w:fill="auto"/>
          </w:tcPr>
          <w:p w14:paraId="50B3C628"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1BC5E026" w14:textId="77777777" w:rsidR="008C5CFA" w:rsidRPr="009C3005" w:rsidRDefault="00E82A60" w:rsidP="00300A01">
            <w:pPr>
              <w:pStyle w:val="Text1"/>
              <w:spacing w:before="0" w:after="0"/>
              <w:ind w:left="0"/>
              <w:rPr>
                <w:sz w:val="12"/>
                <w:szCs w:val="12"/>
              </w:rPr>
            </w:pPr>
            <w:r>
              <w:rPr>
                <w:noProof/>
                <w:sz w:val="12"/>
                <w:szCs w:val="12"/>
              </w:rPr>
              <w:t>03</w:t>
            </w:r>
          </w:p>
        </w:tc>
        <w:tc>
          <w:tcPr>
            <w:tcW w:w="0" w:type="auto"/>
            <w:shd w:val="clear" w:color="auto" w:fill="auto"/>
          </w:tcPr>
          <w:p w14:paraId="1134CFB3"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3210BADA" w14:textId="77777777" w:rsidR="008C5CFA" w:rsidRPr="009C3005" w:rsidRDefault="00E82A60" w:rsidP="00300A01">
            <w:pPr>
              <w:pStyle w:val="Text1"/>
              <w:spacing w:before="0" w:after="0"/>
              <w:ind w:left="0"/>
              <w:rPr>
                <w:sz w:val="12"/>
                <w:szCs w:val="12"/>
              </w:rPr>
            </w:pPr>
            <w:r>
              <w:rPr>
                <w:noProof/>
                <w:sz w:val="12"/>
                <w:szCs w:val="12"/>
              </w:rPr>
              <w:t>09</w:t>
            </w:r>
          </w:p>
        </w:tc>
        <w:tc>
          <w:tcPr>
            <w:tcW w:w="0" w:type="auto"/>
            <w:shd w:val="clear" w:color="auto" w:fill="auto"/>
          </w:tcPr>
          <w:p w14:paraId="46DD1935" w14:textId="77777777" w:rsidR="008C5CFA" w:rsidRPr="009C3005" w:rsidRDefault="00E82A60" w:rsidP="00300A01">
            <w:pPr>
              <w:pStyle w:val="Text1"/>
              <w:spacing w:before="0" w:after="0"/>
              <w:ind w:left="0"/>
              <w:rPr>
                <w:sz w:val="12"/>
                <w:szCs w:val="12"/>
              </w:rPr>
            </w:pPr>
            <w:r>
              <w:rPr>
                <w:sz w:val="12"/>
                <w:szCs w:val="12"/>
              </w:rPr>
              <w:t xml:space="preserve"> </w:t>
            </w:r>
          </w:p>
        </w:tc>
        <w:tc>
          <w:tcPr>
            <w:tcW w:w="0" w:type="auto"/>
            <w:shd w:val="clear" w:color="auto" w:fill="auto"/>
          </w:tcPr>
          <w:p w14:paraId="2B1CE231" w14:textId="77777777" w:rsidR="008C5CFA" w:rsidRPr="009C3005" w:rsidRDefault="00E82A60" w:rsidP="00300A01">
            <w:pPr>
              <w:pStyle w:val="Text1"/>
              <w:spacing w:before="0" w:after="0"/>
              <w:ind w:left="0"/>
              <w:rPr>
                <w:sz w:val="12"/>
                <w:szCs w:val="12"/>
              </w:rPr>
            </w:pPr>
            <w:r>
              <w:rPr>
                <w:noProof/>
                <w:sz w:val="12"/>
                <w:szCs w:val="12"/>
              </w:rPr>
              <w:t>18</w:t>
            </w:r>
          </w:p>
        </w:tc>
        <w:tc>
          <w:tcPr>
            <w:tcW w:w="0" w:type="auto"/>
            <w:shd w:val="clear" w:color="auto" w:fill="auto"/>
          </w:tcPr>
          <w:p w14:paraId="0E1E46C6" w14:textId="77777777" w:rsidR="008C5CFA" w:rsidRPr="009C3005" w:rsidRDefault="00E82A60" w:rsidP="00300A01">
            <w:pPr>
              <w:pStyle w:val="Text1"/>
              <w:spacing w:before="0" w:after="0"/>
              <w:ind w:left="0"/>
              <w:rPr>
                <w:sz w:val="12"/>
                <w:szCs w:val="12"/>
              </w:rPr>
            </w:pPr>
            <w:r>
              <w:rPr>
                <w:noProof/>
                <w:sz w:val="12"/>
                <w:szCs w:val="12"/>
              </w:rPr>
              <w:t>PL33</w:t>
            </w:r>
          </w:p>
        </w:tc>
        <w:tc>
          <w:tcPr>
            <w:tcW w:w="0" w:type="auto"/>
            <w:shd w:val="clear" w:color="auto" w:fill="auto"/>
          </w:tcPr>
          <w:p w14:paraId="3A8DCCA8" w14:textId="77777777" w:rsidR="008C5CFA" w:rsidRPr="009C3005" w:rsidRDefault="00E82A60" w:rsidP="00300A01">
            <w:pPr>
              <w:pStyle w:val="Text1"/>
              <w:spacing w:before="0" w:after="0"/>
              <w:ind w:left="0"/>
              <w:jc w:val="right"/>
              <w:rPr>
                <w:sz w:val="12"/>
                <w:szCs w:val="12"/>
              </w:rPr>
            </w:pPr>
            <w:r w:rsidRPr="009C3005">
              <w:rPr>
                <w:noProof/>
                <w:sz w:val="12"/>
                <w:szCs w:val="12"/>
              </w:rPr>
              <w:t>5 235 207,11</w:t>
            </w:r>
          </w:p>
        </w:tc>
        <w:tc>
          <w:tcPr>
            <w:tcW w:w="0" w:type="auto"/>
            <w:shd w:val="clear" w:color="auto" w:fill="auto"/>
          </w:tcPr>
          <w:p w14:paraId="6CF121BE" w14:textId="77777777" w:rsidR="008C5CFA" w:rsidRPr="009C3005" w:rsidRDefault="00E82A60" w:rsidP="00300A01">
            <w:pPr>
              <w:pStyle w:val="Text1"/>
              <w:spacing w:before="0" w:after="0"/>
              <w:ind w:left="0"/>
              <w:jc w:val="right"/>
              <w:rPr>
                <w:sz w:val="12"/>
                <w:szCs w:val="12"/>
              </w:rPr>
            </w:pPr>
            <w:r w:rsidRPr="009C3005">
              <w:rPr>
                <w:noProof/>
                <w:sz w:val="12"/>
                <w:szCs w:val="12"/>
              </w:rPr>
              <w:t>5 099 988,53</w:t>
            </w:r>
          </w:p>
        </w:tc>
        <w:tc>
          <w:tcPr>
            <w:tcW w:w="0" w:type="auto"/>
            <w:shd w:val="clear" w:color="auto" w:fill="auto"/>
          </w:tcPr>
          <w:p w14:paraId="79A8789F" w14:textId="77777777" w:rsidR="008C5CFA" w:rsidRPr="009C3005" w:rsidRDefault="00E82A60" w:rsidP="00300A01">
            <w:pPr>
              <w:pStyle w:val="Text1"/>
              <w:spacing w:before="0" w:after="0"/>
              <w:ind w:left="0"/>
              <w:jc w:val="right"/>
              <w:rPr>
                <w:sz w:val="12"/>
                <w:szCs w:val="12"/>
              </w:rPr>
            </w:pPr>
            <w:r w:rsidRPr="009C3005">
              <w:rPr>
                <w:noProof/>
                <w:sz w:val="12"/>
                <w:szCs w:val="12"/>
              </w:rPr>
              <w:t>188 451,17</w:t>
            </w:r>
          </w:p>
        </w:tc>
        <w:tc>
          <w:tcPr>
            <w:tcW w:w="0" w:type="auto"/>
            <w:shd w:val="clear" w:color="auto" w:fill="auto"/>
          </w:tcPr>
          <w:p w14:paraId="4F285CAE" w14:textId="77777777" w:rsidR="008C5CFA" w:rsidRPr="009C3005" w:rsidRDefault="00E82A60" w:rsidP="00300A01">
            <w:pPr>
              <w:pStyle w:val="Text1"/>
              <w:spacing w:before="0" w:after="0"/>
              <w:ind w:left="0"/>
              <w:jc w:val="right"/>
              <w:rPr>
                <w:sz w:val="12"/>
                <w:szCs w:val="12"/>
              </w:rPr>
            </w:pPr>
            <w:r w:rsidRPr="009C3005">
              <w:rPr>
                <w:noProof/>
                <w:sz w:val="12"/>
                <w:szCs w:val="12"/>
              </w:rPr>
              <w:t>4</w:t>
            </w:r>
          </w:p>
        </w:tc>
      </w:tr>
      <w:tr w:rsidR="006B2EC1" w14:paraId="73430438" w14:textId="77777777" w:rsidTr="0047688D">
        <w:tc>
          <w:tcPr>
            <w:tcW w:w="0" w:type="auto"/>
            <w:shd w:val="clear" w:color="auto" w:fill="auto"/>
          </w:tcPr>
          <w:p w14:paraId="54762AFB" w14:textId="77777777" w:rsidR="008C5CFA" w:rsidRPr="009C3005" w:rsidRDefault="00E82A60" w:rsidP="00300A01">
            <w:pPr>
              <w:pStyle w:val="Text1"/>
              <w:spacing w:before="0" w:after="0"/>
              <w:ind w:left="0"/>
              <w:rPr>
                <w:sz w:val="12"/>
                <w:szCs w:val="12"/>
              </w:rPr>
            </w:pPr>
            <w:r>
              <w:rPr>
                <w:noProof/>
                <w:sz w:val="14"/>
                <w:szCs w:val="14"/>
                <w:lang w:val="fr-BE"/>
              </w:rPr>
              <w:t>6</w:t>
            </w:r>
          </w:p>
        </w:tc>
        <w:tc>
          <w:tcPr>
            <w:tcW w:w="0" w:type="auto"/>
            <w:shd w:val="clear" w:color="auto" w:fill="auto"/>
          </w:tcPr>
          <w:p w14:paraId="545BCFF3" w14:textId="77777777" w:rsidR="008C5CFA" w:rsidRPr="009C3005" w:rsidRDefault="00E82A60" w:rsidP="00300A01">
            <w:pPr>
              <w:pStyle w:val="Text1"/>
              <w:spacing w:before="0" w:after="0"/>
              <w:ind w:left="0"/>
              <w:rPr>
                <w:sz w:val="12"/>
                <w:szCs w:val="12"/>
              </w:rPr>
            </w:pPr>
            <w:r>
              <w:rPr>
                <w:noProof/>
                <w:sz w:val="12"/>
                <w:szCs w:val="12"/>
              </w:rPr>
              <w:t>EFRR</w:t>
            </w:r>
          </w:p>
        </w:tc>
        <w:tc>
          <w:tcPr>
            <w:tcW w:w="0" w:type="auto"/>
            <w:shd w:val="clear" w:color="auto" w:fill="auto"/>
          </w:tcPr>
          <w:p w14:paraId="61458547" w14:textId="77777777" w:rsidR="008C5CFA" w:rsidRPr="009C3005" w:rsidRDefault="00E82A60" w:rsidP="00300A01">
            <w:pPr>
              <w:pStyle w:val="Text1"/>
              <w:spacing w:before="0" w:after="0"/>
              <w:ind w:left="0"/>
              <w:rPr>
                <w:sz w:val="12"/>
                <w:szCs w:val="12"/>
              </w:rPr>
            </w:pPr>
            <w:r>
              <w:rPr>
                <w:noProof/>
                <w:sz w:val="12"/>
                <w:szCs w:val="12"/>
              </w:rPr>
              <w:t>Słabiej rozwinięte</w:t>
            </w:r>
          </w:p>
        </w:tc>
        <w:tc>
          <w:tcPr>
            <w:tcW w:w="0" w:type="auto"/>
            <w:shd w:val="clear" w:color="auto" w:fill="auto"/>
          </w:tcPr>
          <w:p w14:paraId="4316D321" w14:textId="77777777" w:rsidR="008C5CFA" w:rsidRPr="009C3005" w:rsidRDefault="00E82A60" w:rsidP="00300A01">
            <w:pPr>
              <w:pStyle w:val="Text1"/>
              <w:spacing w:before="0" w:after="0"/>
              <w:ind w:left="0"/>
              <w:rPr>
                <w:sz w:val="12"/>
                <w:szCs w:val="12"/>
              </w:rPr>
            </w:pPr>
            <w:r>
              <w:rPr>
                <w:noProof/>
                <w:sz w:val="12"/>
                <w:szCs w:val="12"/>
              </w:rPr>
              <w:t>090</w:t>
            </w:r>
          </w:p>
        </w:tc>
        <w:tc>
          <w:tcPr>
            <w:tcW w:w="0" w:type="auto"/>
            <w:shd w:val="clear" w:color="auto" w:fill="auto"/>
          </w:tcPr>
          <w:p w14:paraId="5DAE66C3"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06A93583"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2476A0EF"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7608A918" w14:textId="77777777" w:rsidR="008C5CFA" w:rsidRPr="009C3005" w:rsidRDefault="00E82A60" w:rsidP="00300A01">
            <w:pPr>
              <w:pStyle w:val="Text1"/>
              <w:spacing w:before="0" w:after="0"/>
              <w:ind w:left="0"/>
              <w:rPr>
                <w:sz w:val="12"/>
                <w:szCs w:val="12"/>
              </w:rPr>
            </w:pPr>
            <w:r>
              <w:rPr>
                <w:noProof/>
                <w:sz w:val="12"/>
                <w:szCs w:val="12"/>
              </w:rPr>
              <w:t>04</w:t>
            </w:r>
          </w:p>
        </w:tc>
        <w:tc>
          <w:tcPr>
            <w:tcW w:w="0" w:type="auto"/>
            <w:shd w:val="clear" w:color="auto" w:fill="auto"/>
          </w:tcPr>
          <w:p w14:paraId="454BE75E" w14:textId="77777777" w:rsidR="008C5CFA" w:rsidRPr="009C3005" w:rsidRDefault="00E82A60" w:rsidP="00300A01">
            <w:pPr>
              <w:pStyle w:val="Text1"/>
              <w:spacing w:before="0" w:after="0"/>
              <w:ind w:left="0"/>
              <w:rPr>
                <w:sz w:val="12"/>
                <w:szCs w:val="12"/>
              </w:rPr>
            </w:pPr>
            <w:r>
              <w:rPr>
                <w:sz w:val="12"/>
                <w:szCs w:val="12"/>
              </w:rPr>
              <w:t xml:space="preserve"> </w:t>
            </w:r>
          </w:p>
        </w:tc>
        <w:tc>
          <w:tcPr>
            <w:tcW w:w="0" w:type="auto"/>
            <w:shd w:val="clear" w:color="auto" w:fill="auto"/>
          </w:tcPr>
          <w:p w14:paraId="0BF7DF7D" w14:textId="77777777" w:rsidR="008C5CFA" w:rsidRPr="009C3005" w:rsidRDefault="00E82A60" w:rsidP="00300A01">
            <w:pPr>
              <w:pStyle w:val="Text1"/>
              <w:spacing w:before="0" w:after="0"/>
              <w:ind w:left="0"/>
              <w:rPr>
                <w:sz w:val="12"/>
                <w:szCs w:val="12"/>
              </w:rPr>
            </w:pPr>
            <w:r>
              <w:rPr>
                <w:noProof/>
                <w:sz w:val="12"/>
                <w:szCs w:val="12"/>
              </w:rPr>
              <w:t>18</w:t>
            </w:r>
          </w:p>
        </w:tc>
        <w:tc>
          <w:tcPr>
            <w:tcW w:w="0" w:type="auto"/>
            <w:shd w:val="clear" w:color="auto" w:fill="auto"/>
          </w:tcPr>
          <w:p w14:paraId="3F4565D3" w14:textId="77777777" w:rsidR="008C5CFA" w:rsidRPr="009C3005" w:rsidRDefault="00E82A60" w:rsidP="00300A01">
            <w:pPr>
              <w:pStyle w:val="Text1"/>
              <w:spacing w:before="0" w:after="0"/>
              <w:ind w:left="0"/>
              <w:rPr>
                <w:sz w:val="12"/>
                <w:szCs w:val="12"/>
              </w:rPr>
            </w:pPr>
            <w:r>
              <w:rPr>
                <w:noProof/>
                <w:sz w:val="12"/>
                <w:szCs w:val="12"/>
              </w:rPr>
              <w:t>PL33</w:t>
            </w:r>
          </w:p>
        </w:tc>
        <w:tc>
          <w:tcPr>
            <w:tcW w:w="0" w:type="auto"/>
            <w:shd w:val="clear" w:color="auto" w:fill="auto"/>
          </w:tcPr>
          <w:p w14:paraId="646017F5" w14:textId="77777777" w:rsidR="008C5CFA" w:rsidRPr="009C3005" w:rsidRDefault="00E82A60" w:rsidP="00300A01">
            <w:pPr>
              <w:pStyle w:val="Text1"/>
              <w:spacing w:before="0" w:after="0"/>
              <w:ind w:left="0"/>
              <w:jc w:val="right"/>
              <w:rPr>
                <w:sz w:val="12"/>
                <w:szCs w:val="12"/>
              </w:rPr>
            </w:pPr>
            <w:r w:rsidRPr="009C3005">
              <w:rPr>
                <w:noProof/>
                <w:sz w:val="12"/>
                <w:szCs w:val="12"/>
              </w:rPr>
              <w:t>3 067 217,23</w:t>
            </w:r>
          </w:p>
        </w:tc>
        <w:tc>
          <w:tcPr>
            <w:tcW w:w="0" w:type="auto"/>
            <w:shd w:val="clear" w:color="auto" w:fill="auto"/>
          </w:tcPr>
          <w:p w14:paraId="5583F6B5" w14:textId="77777777" w:rsidR="008C5CFA" w:rsidRPr="009C3005" w:rsidRDefault="00E82A60" w:rsidP="00300A01">
            <w:pPr>
              <w:pStyle w:val="Text1"/>
              <w:spacing w:before="0" w:after="0"/>
              <w:ind w:left="0"/>
              <w:jc w:val="right"/>
              <w:rPr>
                <w:sz w:val="12"/>
                <w:szCs w:val="12"/>
              </w:rPr>
            </w:pPr>
            <w:r w:rsidRPr="009C3005">
              <w:rPr>
                <w:noProof/>
                <w:sz w:val="12"/>
                <w:szCs w:val="12"/>
              </w:rPr>
              <w:t>3 067 217,23</w:t>
            </w:r>
          </w:p>
        </w:tc>
        <w:tc>
          <w:tcPr>
            <w:tcW w:w="0" w:type="auto"/>
            <w:shd w:val="clear" w:color="auto" w:fill="auto"/>
          </w:tcPr>
          <w:p w14:paraId="429C5C63" w14:textId="77777777" w:rsidR="008C5CFA" w:rsidRPr="009C3005" w:rsidRDefault="00E82A60" w:rsidP="00300A01">
            <w:pPr>
              <w:pStyle w:val="Text1"/>
              <w:spacing w:before="0" w:after="0"/>
              <w:ind w:left="0"/>
              <w:jc w:val="right"/>
              <w:rPr>
                <w:sz w:val="12"/>
                <w:szCs w:val="12"/>
              </w:rPr>
            </w:pPr>
            <w:r w:rsidRPr="009C3005">
              <w:rPr>
                <w:noProof/>
                <w:sz w:val="12"/>
                <w:szCs w:val="12"/>
              </w:rPr>
              <w:t>377 614,26</w:t>
            </w:r>
          </w:p>
        </w:tc>
        <w:tc>
          <w:tcPr>
            <w:tcW w:w="0" w:type="auto"/>
            <w:shd w:val="clear" w:color="auto" w:fill="auto"/>
          </w:tcPr>
          <w:p w14:paraId="03912B9E" w14:textId="77777777" w:rsidR="008C5CFA" w:rsidRPr="009C3005" w:rsidRDefault="00E82A60" w:rsidP="00300A01">
            <w:pPr>
              <w:pStyle w:val="Text1"/>
              <w:spacing w:before="0" w:after="0"/>
              <w:ind w:left="0"/>
              <w:jc w:val="right"/>
              <w:rPr>
                <w:sz w:val="12"/>
                <w:szCs w:val="12"/>
              </w:rPr>
            </w:pPr>
            <w:r w:rsidRPr="009C3005">
              <w:rPr>
                <w:noProof/>
                <w:sz w:val="12"/>
                <w:szCs w:val="12"/>
              </w:rPr>
              <w:t>1</w:t>
            </w:r>
          </w:p>
        </w:tc>
      </w:tr>
      <w:tr w:rsidR="006B2EC1" w14:paraId="6D9C3D77" w14:textId="77777777" w:rsidTr="0047688D">
        <w:tc>
          <w:tcPr>
            <w:tcW w:w="0" w:type="auto"/>
            <w:shd w:val="clear" w:color="auto" w:fill="auto"/>
          </w:tcPr>
          <w:p w14:paraId="6D05BE8B" w14:textId="77777777" w:rsidR="008C5CFA" w:rsidRPr="009C3005" w:rsidRDefault="00E82A60" w:rsidP="00300A01">
            <w:pPr>
              <w:pStyle w:val="Text1"/>
              <w:spacing w:before="0" w:after="0"/>
              <w:ind w:left="0"/>
              <w:rPr>
                <w:sz w:val="12"/>
                <w:szCs w:val="12"/>
              </w:rPr>
            </w:pPr>
            <w:r>
              <w:rPr>
                <w:noProof/>
                <w:sz w:val="14"/>
                <w:szCs w:val="14"/>
                <w:lang w:val="fr-BE"/>
              </w:rPr>
              <w:t>6</w:t>
            </w:r>
          </w:p>
        </w:tc>
        <w:tc>
          <w:tcPr>
            <w:tcW w:w="0" w:type="auto"/>
            <w:shd w:val="clear" w:color="auto" w:fill="auto"/>
          </w:tcPr>
          <w:p w14:paraId="106BD169" w14:textId="77777777" w:rsidR="008C5CFA" w:rsidRPr="009C3005" w:rsidRDefault="00E82A60" w:rsidP="00300A01">
            <w:pPr>
              <w:pStyle w:val="Text1"/>
              <w:spacing w:before="0" w:after="0"/>
              <w:ind w:left="0"/>
              <w:rPr>
                <w:sz w:val="12"/>
                <w:szCs w:val="12"/>
              </w:rPr>
            </w:pPr>
            <w:r>
              <w:rPr>
                <w:noProof/>
                <w:sz w:val="12"/>
                <w:szCs w:val="12"/>
              </w:rPr>
              <w:t>EFRR</w:t>
            </w:r>
          </w:p>
        </w:tc>
        <w:tc>
          <w:tcPr>
            <w:tcW w:w="0" w:type="auto"/>
            <w:shd w:val="clear" w:color="auto" w:fill="auto"/>
          </w:tcPr>
          <w:p w14:paraId="134D66D0" w14:textId="77777777" w:rsidR="008C5CFA" w:rsidRPr="009C3005" w:rsidRDefault="00E82A60" w:rsidP="00300A01">
            <w:pPr>
              <w:pStyle w:val="Text1"/>
              <w:spacing w:before="0" w:after="0"/>
              <w:ind w:left="0"/>
              <w:rPr>
                <w:sz w:val="12"/>
                <w:szCs w:val="12"/>
              </w:rPr>
            </w:pPr>
            <w:r>
              <w:rPr>
                <w:noProof/>
                <w:sz w:val="12"/>
                <w:szCs w:val="12"/>
              </w:rPr>
              <w:t>Słabiej rozwinięte</w:t>
            </w:r>
          </w:p>
        </w:tc>
        <w:tc>
          <w:tcPr>
            <w:tcW w:w="0" w:type="auto"/>
            <w:shd w:val="clear" w:color="auto" w:fill="auto"/>
          </w:tcPr>
          <w:p w14:paraId="1B6DFFD9" w14:textId="77777777" w:rsidR="008C5CFA" w:rsidRPr="009C3005" w:rsidRDefault="00E82A60" w:rsidP="00300A01">
            <w:pPr>
              <w:pStyle w:val="Text1"/>
              <w:spacing w:before="0" w:after="0"/>
              <w:ind w:left="0"/>
              <w:rPr>
                <w:sz w:val="12"/>
                <w:szCs w:val="12"/>
              </w:rPr>
            </w:pPr>
            <w:r>
              <w:rPr>
                <w:noProof/>
                <w:sz w:val="12"/>
                <w:szCs w:val="12"/>
              </w:rPr>
              <w:t>090</w:t>
            </w:r>
          </w:p>
        </w:tc>
        <w:tc>
          <w:tcPr>
            <w:tcW w:w="0" w:type="auto"/>
            <w:shd w:val="clear" w:color="auto" w:fill="auto"/>
          </w:tcPr>
          <w:p w14:paraId="65FCE9D8"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32A3DE48" w14:textId="77777777" w:rsidR="008C5CFA" w:rsidRPr="009C3005" w:rsidRDefault="00E82A60" w:rsidP="00300A01">
            <w:pPr>
              <w:pStyle w:val="Text1"/>
              <w:spacing w:before="0" w:after="0"/>
              <w:ind w:left="0"/>
              <w:rPr>
                <w:sz w:val="12"/>
                <w:szCs w:val="12"/>
              </w:rPr>
            </w:pPr>
            <w:r>
              <w:rPr>
                <w:noProof/>
                <w:sz w:val="12"/>
                <w:szCs w:val="12"/>
              </w:rPr>
              <w:t>03</w:t>
            </w:r>
          </w:p>
        </w:tc>
        <w:tc>
          <w:tcPr>
            <w:tcW w:w="0" w:type="auto"/>
            <w:shd w:val="clear" w:color="auto" w:fill="auto"/>
          </w:tcPr>
          <w:p w14:paraId="53934FB0"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5565037B" w14:textId="77777777" w:rsidR="008C5CFA" w:rsidRPr="009C3005" w:rsidRDefault="00E82A60" w:rsidP="00300A01">
            <w:pPr>
              <w:pStyle w:val="Text1"/>
              <w:spacing w:before="0" w:after="0"/>
              <w:ind w:left="0"/>
              <w:rPr>
                <w:sz w:val="12"/>
                <w:szCs w:val="12"/>
              </w:rPr>
            </w:pPr>
            <w:r>
              <w:rPr>
                <w:noProof/>
                <w:sz w:val="12"/>
                <w:szCs w:val="12"/>
              </w:rPr>
              <w:t>04</w:t>
            </w:r>
          </w:p>
        </w:tc>
        <w:tc>
          <w:tcPr>
            <w:tcW w:w="0" w:type="auto"/>
            <w:shd w:val="clear" w:color="auto" w:fill="auto"/>
          </w:tcPr>
          <w:p w14:paraId="1F4358C8" w14:textId="77777777" w:rsidR="008C5CFA" w:rsidRPr="009C3005" w:rsidRDefault="00E82A60" w:rsidP="00300A01">
            <w:pPr>
              <w:pStyle w:val="Text1"/>
              <w:spacing w:before="0" w:after="0"/>
              <w:ind w:left="0"/>
              <w:rPr>
                <w:sz w:val="12"/>
                <w:szCs w:val="12"/>
              </w:rPr>
            </w:pPr>
            <w:r>
              <w:rPr>
                <w:sz w:val="12"/>
                <w:szCs w:val="12"/>
              </w:rPr>
              <w:t xml:space="preserve"> </w:t>
            </w:r>
          </w:p>
        </w:tc>
        <w:tc>
          <w:tcPr>
            <w:tcW w:w="0" w:type="auto"/>
            <w:shd w:val="clear" w:color="auto" w:fill="auto"/>
          </w:tcPr>
          <w:p w14:paraId="75B1B4FD" w14:textId="77777777" w:rsidR="008C5CFA" w:rsidRPr="009C3005" w:rsidRDefault="00E82A60" w:rsidP="00300A01">
            <w:pPr>
              <w:pStyle w:val="Text1"/>
              <w:spacing w:before="0" w:after="0"/>
              <w:ind w:left="0"/>
              <w:rPr>
                <w:sz w:val="12"/>
                <w:szCs w:val="12"/>
              </w:rPr>
            </w:pPr>
            <w:r>
              <w:rPr>
                <w:noProof/>
                <w:sz w:val="12"/>
                <w:szCs w:val="12"/>
              </w:rPr>
              <w:t>18</w:t>
            </w:r>
          </w:p>
        </w:tc>
        <w:tc>
          <w:tcPr>
            <w:tcW w:w="0" w:type="auto"/>
            <w:shd w:val="clear" w:color="auto" w:fill="auto"/>
          </w:tcPr>
          <w:p w14:paraId="3D7940ED" w14:textId="77777777" w:rsidR="008C5CFA" w:rsidRPr="009C3005" w:rsidRDefault="00E82A60" w:rsidP="00300A01">
            <w:pPr>
              <w:pStyle w:val="Text1"/>
              <w:spacing w:before="0" w:after="0"/>
              <w:ind w:left="0"/>
              <w:rPr>
                <w:sz w:val="12"/>
                <w:szCs w:val="12"/>
              </w:rPr>
            </w:pPr>
            <w:r>
              <w:rPr>
                <w:noProof/>
                <w:sz w:val="12"/>
                <w:szCs w:val="12"/>
              </w:rPr>
              <w:t>PL33</w:t>
            </w:r>
          </w:p>
        </w:tc>
        <w:tc>
          <w:tcPr>
            <w:tcW w:w="0" w:type="auto"/>
            <w:shd w:val="clear" w:color="auto" w:fill="auto"/>
          </w:tcPr>
          <w:p w14:paraId="6FBC970A" w14:textId="77777777" w:rsidR="008C5CFA" w:rsidRPr="009C3005" w:rsidRDefault="00E82A60" w:rsidP="00300A01">
            <w:pPr>
              <w:pStyle w:val="Text1"/>
              <w:spacing w:before="0" w:after="0"/>
              <w:ind w:left="0"/>
              <w:jc w:val="right"/>
              <w:rPr>
                <w:sz w:val="12"/>
                <w:szCs w:val="12"/>
              </w:rPr>
            </w:pPr>
            <w:r w:rsidRPr="009C3005">
              <w:rPr>
                <w:noProof/>
                <w:sz w:val="12"/>
                <w:szCs w:val="12"/>
              </w:rPr>
              <w:t>2 585 729,31</w:t>
            </w:r>
          </w:p>
        </w:tc>
        <w:tc>
          <w:tcPr>
            <w:tcW w:w="0" w:type="auto"/>
            <w:shd w:val="clear" w:color="auto" w:fill="auto"/>
          </w:tcPr>
          <w:p w14:paraId="30FB5DC2" w14:textId="77777777" w:rsidR="008C5CFA" w:rsidRPr="009C3005" w:rsidRDefault="00E82A60" w:rsidP="00300A01">
            <w:pPr>
              <w:pStyle w:val="Text1"/>
              <w:spacing w:before="0" w:after="0"/>
              <w:ind w:left="0"/>
              <w:jc w:val="right"/>
              <w:rPr>
                <w:sz w:val="12"/>
                <w:szCs w:val="12"/>
              </w:rPr>
            </w:pPr>
            <w:r w:rsidRPr="009C3005">
              <w:rPr>
                <w:noProof/>
                <w:sz w:val="12"/>
                <w:szCs w:val="12"/>
              </w:rPr>
              <w:t>2 585 729,31</w:t>
            </w:r>
          </w:p>
        </w:tc>
        <w:tc>
          <w:tcPr>
            <w:tcW w:w="0" w:type="auto"/>
            <w:shd w:val="clear" w:color="auto" w:fill="auto"/>
          </w:tcPr>
          <w:p w14:paraId="3648B085" w14:textId="77777777" w:rsidR="008C5CFA" w:rsidRPr="009C3005" w:rsidRDefault="00E82A60" w:rsidP="00300A01">
            <w:pPr>
              <w:pStyle w:val="Text1"/>
              <w:spacing w:before="0" w:after="0"/>
              <w:ind w:left="0"/>
              <w:jc w:val="right"/>
              <w:rPr>
                <w:sz w:val="12"/>
                <w:szCs w:val="12"/>
              </w:rPr>
            </w:pPr>
            <w:r w:rsidRPr="009C3005">
              <w:rPr>
                <w:noProof/>
                <w:sz w:val="12"/>
                <w:szCs w:val="12"/>
              </w:rPr>
              <w:t>192 108,25</w:t>
            </w:r>
          </w:p>
        </w:tc>
        <w:tc>
          <w:tcPr>
            <w:tcW w:w="0" w:type="auto"/>
            <w:shd w:val="clear" w:color="auto" w:fill="auto"/>
          </w:tcPr>
          <w:p w14:paraId="1DA8BE60" w14:textId="77777777" w:rsidR="008C5CFA" w:rsidRPr="009C3005" w:rsidRDefault="00E82A60" w:rsidP="00300A01">
            <w:pPr>
              <w:pStyle w:val="Text1"/>
              <w:spacing w:before="0" w:after="0"/>
              <w:ind w:left="0"/>
              <w:jc w:val="right"/>
              <w:rPr>
                <w:sz w:val="12"/>
                <w:szCs w:val="12"/>
              </w:rPr>
            </w:pPr>
            <w:r w:rsidRPr="009C3005">
              <w:rPr>
                <w:noProof/>
                <w:sz w:val="12"/>
                <w:szCs w:val="12"/>
              </w:rPr>
              <w:t>5</w:t>
            </w:r>
          </w:p>
        </w:tc>
      </w:tr>
      <w:tr w:rsidR="006B2EC1" w14:paraId="504D5184" w14:textId="77777777" w:rsidTr="0047688D">
        <w:tc>
          <w:tcPr>
            <w:tcW w:w="0" w:type="auto"/>
            <w:shd w:val="clear" w:color="auto" w:fill="auto"/>
          </w:tcPr>
          <w:p w14:paraId="1DEF0135" w14:textId="77777777" w:rsidR="008C5CFA" w:rsidRPr="009C3005" w:rsidRDefault="00E82A60" w:rsidP="00300A01">
            <w:pPr>
              <w:pStyle w:val="Text1"/>
              <w:spacing w:before="0" w:after="0"/>
              <w:ind w:left="0"/>
              <w:rPr>
                <w:sz w:val="12"/>
                <w:szCs w:val="12"/>
              </w:rPr>
            </w:pPr>
            <w:r>
              <w:rPr>
                <w:noProof/>
                <w:sz w:val="14"/>
                <w:szCs w:val="14"/>
                <w:lang w:val="fr-BE"/>
              </w:rPr>
              <w:t>6</w:t>
            </w:r>
          </w:p>
        </w:tc>
        <w:tc>
          <w:tcPr>
            <w:tcW w:w="0" w:type="auto"/>
            <w:shd w:val="clear" w:color="auto" w:fill="auto"/>
          </w:tcPr>
          <w:p w14:paraId="750E1535" w14:textId="77777777" w:rsidR="008C5CFA" w:rsidRPr="009C3005" w:rsidRDefault="00E82A60" w:rsidP="00300A01">
            <w:pPr>
              <w:pStyle w:val="Text1"/>
              <w:spacing w:before="0" w:after="0"/>
              <w:ind w:left="0"/>
              <w:rPr>
                <w:sz w:val="12"/>
                <w:szCs w:val="12"/>
              </w:rPr>
            </w:pPr>
            <w:r>
              <w:rPr>
                <w:noProof/>
                <w:sz w:val="12"/>
                <w:szCs w:val="12"/>
              </w:rPr>
              <w:t>EFRR</w:t>
            </w:r>
          </w:p>
        </w:tc>
        <w:tc>
          <w:tcPr>
            <w:tcW w:w="0" w:type="auto"/>
            <w:shd w:val="clear" w:color="auto" w:fill="auto"/>
          </w:tcPr>
          <w:p w14:paraId="385092FB" w14:textId="77777777" w:rsidR="008C5CFA" w:rsidRPr="009C3005" w:rsidRDefault="00E82A60" w:rsidP="00300A01">
            <w:pPr>
              <w:pStyle w:val="Text1"/>
              <w:spacing w:before="0" w:after="0"/>
              <w:ind w:left="0"/>
              <w:rPr>
                <w:sz w:val="12"/>
                <w:szCs w:val="12"/>
              </w:rPr>
            </w:pPr>
            <w:r>
              <w:rPr>
                <w:noProof/>
                <w:sz w:val="12"/>
                <w:szCs w:val="12"/>
              </w:rPr>
              <w:t>Słabiej rozwinięte</w:t>
            </w:r>
          </w:p>
        </w:tc>
        <w:tc>
          <w:tcPr>
            <w:tcW w:w="0" w:type="auto"/>
            <w:shd w:val="clear" w:color="auto" w:fill="auto"/>
          </w:tcPr>
          <w:p w14:paraId="0623836D" w14:textId="77777777" w:rsidR="008C5CFA" w:rsidRPr="009C3005" w:rsidRDefault="00E82A60" w:rsidP="00300A01">
            <w:pPr>
              <w:pStyle w:val="Text1"/>
              <w:spacing w:before="0" w:after="0"/>
              <w:ind w:left="0"/>
              <w:rPr>
                <w:sz w:val="12"/>
                <w:szCs w:val="12"/>
              </w:rPr>
            </w:pPr>
            <w:r>
              <w:rPr>
                <w:noProof/>
                <w:sz w:val="12"/>
                <w:szCs w:val="12"/>
              </w:rPr>
              <w:t>092</w:t>
            </w:r>
          </w:p>
        </w:tc>
        <w:tc>
          <w:tcPr>
            <w:tcW w:w="0" w:type="auto"/>
            <w:shd w:val="clear" w:color="auto" w:fill="auto"/>
          </w:tcPr>
          <w:p w14:paraId="1B7590B7"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083D8517"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3B277735"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7414FA67" w14:textId="77777777" w:rsidR="008C5CFA" w:rsidRPr="009C3005" w:rsidRDefault="00E82A60" w:rsidP="00300A01">
            <w:pPr>
              <w:pStyle w:val="Text1"/>
              <w:spacing w:before="0" w:after="0"/>
              <w:ind w:left="0"/>
              <w:rPr>
                <w:sz w:val="12"/>
                <w:szCs w:val="12"/>
              </w:rPr>
            </w:pPr>
            <w:r>
              <w:rPr>
                <w:noProof/>
                <w:sz w:val="12"/>
                <w:szCs w:val="12"/>
              </w:rPr>
              <w:t>06</w:t>
            </w:r>
          </w:p>
        </w:tc>
        <w:tc>
          <w:tcPr>
            <w:tcW w:w="0" w:type="auto"/>
            <w:shd w:val="clear" w:color="auto" w:fill="auto"/>
          </w:tcPr>
          <w:p w14:paraId="63D72C90" w14:textId="77777777" w:rsidR="008C5CFA" w:rsidRPr="009C3005" w:rsidRDefault="00E82A60" w:rsidP="00300A01">
            <w:pPr>
              <w:pStyle w:val="Text1"/>
              <w:spacing w:before="0" w:after="0"/>
              <w:ind w:left="0"/>
              <w:rPr>
                <w:sz w:val="12"/>
                <w:szCs w:val="12"/>
              </w:rPr>
            </w:pPr>
            <w:r>
              <w:rPr>
                <w:sz w:val="12"/>
                <w:szCs w:val="12"/>
              </w:rPr>
              <w:t xml:space="preserve"> </w:t>
            </w:r>
          </w:p>
        </w:tc>
        <w:tc>
          <w:tcPr>
            <w:tcW w:w="0" w:type="auto"/>
            <w:shd w:val="clear" w:color="auto" w:fill="auto"/>
          </w:tcPr>
          <w:p w14:paraId="50D586EC" w14:textId="77777777" w:rsidR="008C5CFA" w:rsidRPr="009C3005" w:rsidRDefault="00E82A60" w:rsidP="00300A01">
            <w:pPr>
              <w:pStyle w:val="Text1"/>
              <w:spacing w:before="0" w:after="0"/>
              <w:ind w:left="0"/>
              <w:rPr>
                <w:sz w:val="12"/>
                <w:szCs w:val="12"/>
              </w:rPr>
            </w:pPr>
            <w:r>
              <w:rPr>
                <w:noProof/>
                <w:sz w:val="12"/>
                <w:szCs w:val="12"/>
              </w:rPr>
              <w:t>18</w:t>
            </w:r>
          </w:p>
        </w:tc>
        <w:tc>
          <w:tcPr>
            <w:tcW w:w="0" w:type="auto"/>
            <w:shd w:val="clear" w:color="auto" w:fill="auto"/>
          </w:tcPr>
          <w:p w14:paraId="2AA5FA2E" w14:textId="77777777" w:rsidR="008C5CFA" w:rsidRPr="009C3005" w:rsidRDefault="00E82A60" w:rsidP="00300A01">
            <w:pPr>
              <w:pStyle w:val="Text1"/>
              <w:spacing w:before="0" w:after="0"/>
              <w:ind w:left="0"/>
              <w:rPr>
                <w:sz w:val="12"/>
                <w:szCs w:val="12"/>
              </w:rPr>
            </w:pPr>
            <w:r>
              <w:rPr>
                <w:noProof/>
                <w:sz w:val="12"/>
                <w:szCs w:val="12"/>
              </w:rPr>
              <w:t>PL33</w:t>
            </w:r>
          </w:p>
        </w:tc>
        <w:tc>
          <w:tcPr>
            <w:tcW w:w="0" w:type="auto"/>
            <w:shd w:val="clear" w:color="auto" w:fill="auto"/>
          </w:tcPr>
          <w:p w14:paraId="3C7B8683" w14:textId="77777777" w:rsidR="008C5CFA" w:rsidRPr="009C3005" w:rsidRDefault="00E82A60" w:rsidP="00300A01">
            <w:pPr>
              <w:pStyle w:val="Text1"/>
              <w:spacing w:before="0" w:after="0"/>
              <w:ind w:left="0"/>
              <w:jc w:val="right"/>
              <w:rPr>
                <w:sz w:val="12"/>
                <w:szCs w:val="12"/>
              </w:rPr>
            </w:pPr>
            <w:r w:rsidRPr="009C3005">
              <w:rPr>
                <w:noProof/>
                <w:sz w:val="12"/>
                <w:szCs w:val="12"/>
              </w:rPr>
              <w:t>3 267 107,12</w:t>
            </w:r>
          </w:p>
        </w:tc>
        <w:tc>
          <w:tcPr>
            <w:tcW w:w="0" w:type="auto"/>
            <w:shd w:val="clear" w:color="auto" w:fill="auto"/>
          </w:tcPr>
          <w:p w14:paraId="69E41439" w14:textId="77777777" w:rsidR="008C5CFA" w:rsidRPr="009C3005" w:rsidRDefault="00E82A60" w:rsidP="00300A01">
            <w:pPr>
              <w:pStyle w:val="Text1"/>
              <w:spacing w:before="0" w:after="0"/>
              <w:ind w:left="0"/>
              <w:jc w:val="right"/>
              <w:rPr>
                <w:sz w:val="12"/>
                <w:szCs w:val="12"/>
              </w:rPr>
            </w:pPr>
            <w:r w:rsidRPr="009C3005">
              <w:rPr>
                <w:noProof/>
                <w:sz w:val="12"/>
                <w:szCs w:val="12"/>
              </w:rPr>
              <w:t>3 267 107,12</w:t>
            </w:r>
          </w:p>
        </w:tc>
        <w:tc>
          <w:tcPr>
            <w:tcW w:w="0" w:type="auto"/>
            <w:shd w:val="clear" w:color="auto" w:fill="auto"/>
          </w:tcPr>
          <w:p w14:paraId="6DE8B73B" w14:textId="77777777" w:rsidR="008C5CFA" w:rsidRPr="009C3005" w:rsidRDefault="00E82A60" w:rsidP="00300A01">
            <w:pPr>
              <w:pStyle w:val="Text1"/>
              <w:spacing w:before="0" w:after="0"/>
              <w:ind w:left="0"/>
              <w:jc w:val="right"/>
              <w:rPr>
                <w:sz w:val="12"/>
                <w:szCs w:val="12"/>
              </w:rPr>
            </w:pPr>
            <w:r w:rsidRPr="009C3005">
              <w:rPr>
                <w:noProof/>
                <w:sz w:val="12"/>
                <w:szCs w:val="12"/>
              </w:rPr>
              <w:t>3 264 138,06</w:t>
            </w:r>
          </w:p>
        </w:tc>
        <w:tc>
          <w:tcPr>
            <w:tcW w:w="0" w:type="auto"/>
            <w:shd w:val="clear" w:color="auto" w:fill="auto"/>
          </w:tcPr>
          <w:p w14:paraId="13CA3B30" w14:textId="77777777" w:rsidR="008C5CFA" w:rsidRPr="009C3005" w:rsidRDefault="00E82A60" w:rsidP="00300A01">
            <w:pPr>
              <w:pStyle w:val="Text1"/>
              <w:spacing w:before="0" w:after="0"/>
              <w:ind w:left="0"/>
              <w:jc w:val="right"/>
              <w:rPr>
                <w:sz w:val="12"/>
                <w:szCs w:val="12"/>
              </w:rPr>
            </w:pPr>
            <w:r w:rsidRPr="009C3005">
              <w:rPr>
                <w:noProof/>
                <w:sz w:val="12"/>
                <w:szCs w:val="12"/>
              </w:rPr>
              <w:t>1</w:t>
            </w:r>
          </w:p>
        </w:tc>
      </w:tr>
      <w:tr w:rsidR="006B2EC1" w14:paraId="63CA0126" w14:textId="77777777" w:rsidTr="0047688D">
        <w:tc>
          <w:tcPr>
            <w:tcW w:w="0" w:type="auto"/>
            <w:shd w:val="clear" w:color="auto" w:fill="auto"/>
          </w:tcPr>
          <w:p w14:paraId="413D0DD1" w14:textId="77777777" w:rsidR="008C5CFA" w:rsidRPr="009C3005" w:rsidRDefault="00E82A60" w:rsidP="00300A01">
            <w:pPr>
              <w:pStyle w:val="Text1"/>
              <w:spacing w:before="0" w:after="0"/>
              <w:ind w:left="0"/>
              <w:rPr>
                <w:sz w:val="12"/>
                <w:szCs w:val="12"/>
              </w:rPr>
            </w:pPr>
            <w:r>
              <w:rPr>
                <w:noProof/>
                <w:sz w:val="14"/>
                <w:szCs w:val="14"/>
                <w:lang w:val="fr-BE"/>
              </w:rPr>
              <w:t>6</w:t>
            </w:r>
          </w:p>
        </w:tc>
        <w:tc>
          <w:tcPr>
            <w:tcW w:w="0" w:type="auto"/>
            <w:shd w:val="clear" w:color="auto" w:fill="auto"/>
          </w:tcPr>
          <w:p w14:paraId="5E47F519" w14:textId="77777777" w:rsidR="008C5CFA" w:rsidRPr="009C3005" w:rsidRDefault="00E82A60" w:rsidP="00300A01">
            <w:pPr>
              <w:pStyle w:val="Text1"/>
              <w:spacing w:before="0" w:after="0"/>
              <w:ind w:left="0"/>
              <w:rPr>
                <w:sz w:val="12"/>
                <w:szCs w:val="12"/>
              </w:rPr>
            </w:pPr>
            <w:r>
              <w:rPr>
                <w:noProof/>
                <w:sz w:val="12"/>
                <w:szCs w:val="12"/>
              </w:rPr>
              <w:t>EFRR</w:t>
            </w:r>
          </w:p>
        </w:tc>
        <w:tc>
          <w:tcPr>
            <w:tcW w:w="0" w:type="auto"/>
            <w:shd w:val="clear" w:color="auto" w:fill="auto"/>
          </w:tcPr>
          <w:p w14:paraId="0992A8B0" w14:textId="77777777" w:rsidR="008C5CFA" w:rsidRPr="009C3005" w:rsidRDefault="00E82A60" w:rsidP="00300A01">
            <w:pPr>
              <w:pStyle w:val="Text1"/>
              <w:spacing w:before="0" w:after="0"/>
              <w:ind w:left="0"/>
              <w:rPr>
                <w:sz w:val="12"/>
                <w:szCs w:val="12"/>
              </w:rPr>
            </w:pPr>
            <w:r>
              <w:rPr>
                <w:noProof/>
                <w:sz w:val="12"/>
                <w:szCs w:val="12"/>
              </w:rPr>
              <w:t>Słabiej rozwinięte</w:t>
            </w:r>
          </w:p>
        </w:tc>
        <w:tc>
          <w:tcPr>
            <w:tcW w:w="0" w:type="auto"/>
            <w:shd w:val="clear" w:color="auto" w:fill="auto"/>
          </w:tcPr>
          <w:p w14:paraId="5A5E0AEE" w14:textId="77777777" w:rsidR="008C5CFA" w:rsidRPr="009C3005" w:rsidRDefault="00E82A60" w:rsidP="00300A01">
            <w:pPr>
              <w:pStyle w:val="Text1"/>
              <w:spacing w:before="0" w:after="0"/>
              <w:ind w:left="0"/>
              <w:rPr>
                <w:sz w:val="12"/>
                <w:szCs w:val="12"/>
              </w:rPr>
            </w:pPr>
            <w:r>
              <w:rPr>
                <w:noProof/>
                <w:sz w:val="12"/>
                <w:szCs w:val="12"/>
              </w:rPr>
              <w:t>092</w:t>
            </w:r>
          </w:p>
        </w:tc>
        <w:tc>
          <w:tcPr>
            <w:tcW w:w="0" w:type="auto"/>
            <w:shd w:val="clear" w:color="auto" w:fill="auto"/>
          </w:tcPr>
          <w:p w14:paraId="64D61FA1"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05885529" w14:textId="77777777" w:rsidR="008C5CFA" w:rsidRPr="009C3005" w:rsidRDefault="00E82A60" w:rsidP="00300A01">
            <w:pPr>
              <w:pStyle w:val="Text1"/>
              <w:spacing w:before="0" w:after="0"/>
              <w:ind w:left="0"/>
              <w:rPr>
                <w:sz w:val="12"/>
                <w:szCs w:val="12"/>
              </w:rPr>
            </w:pPr>
            <w:r>
              <w:rPr>
                <w:noProof/>
                <w:sz w:val="12"/>
                <w:szCs w:val="12"/>
              </w:rPr>
              <w:t>02</w:t>
            </w:r>
          </w:p>
        </w:tc>
        <w:tc>
          <w:tcPr>
            <w:tcW w:w="0" w:type="auto"/>
            <w:shd w:val="clear" w:color="auto" w:fill="auto"/>
          </w:tcPr>
          <w:p w14:paraId="5A37A810"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2437410F" w14:textId="77777777" w:rsidR="008C5CFA" w:rsidRPr="009C3005" w:rsidRDefault="00E82A60" w:rsidP="00300A01">
            <w:pPr>
              <w:pStyle w:val="Text1"/>
              <w:spacing w:before="0" w:after="0"/>
              <w:ind w:left="0"/>
              <w:rPr>
                <w:sz w:val="12"/>
                <w:szCs w:val="12"/>
              </w:rPr>
            </w:pPr>
            <w:r>
              <w:rPr>
                <w:noProof/>
                <w:sz w:val="12"/>
                <w:szCs w:val="12"/>
              </w:rPr>
              <w:t>06</w:t>
            </w:r>
          </w:p>
        </w:tc>
        <w:tc>
          <w:tcPr>
            <w:tcW w:w="0" w:type="auto"/>
            <w:shd w:val="clear" w:color="auto" w:fill="auto"/>
          </w:tcPr>
          <w:p w14:paraId="76C7AEB8" w14:textId="77777777" w:rsidR="008C5CFA" w:rsidRPr="009C3005" w:rsidRDefault="00E82A60" w:rsidP="00300A01">
            <w:pPr>
              <w:pStyle w:val="Text1"/>
              <w:spacing w:before="0" w:after="0"/>
              <w:ind w:left="0"/>
              <w:rPr>
                <w:sz w:val="12"/>
                <w:szCs w:val="12"/>
              </w:rPr>
            </w:pPr>
            <w:r>
              <w:rPr>
                <w:sz w:val="12"/>
                <w:szCs w:val="12"/>
              </w:rPr>
              <w:t xml:space="preserve"> </w:t>
            </w:r>
          </w:p>
        </w:tc>
        <w:tc>
          <w:tcPr>
            <w:tcW w:w="0" w:type="auto"/>
            <w:shd w:val="clear" w:color="auto" w:fill="auto"/>
          </w:tcPr>
          <w:p w14:paraId="6586B39D" w14:textId="77777777" w:rsidR="008C5CFA" w:rsidRPr="009C3005" w:rsidRDefault="00E82A60" w:rsidP="00300A01">
            <w:pPr>
              <w:pStyle w:val="Text1"/>
              <w:spacing w:before="0" w:after="0"/>
              <w:ind w:left="0"/>
              <w:rPr>
                <w:sz w:val="12"/>
                <w:szCs w:val="12"/>
              </w:rPr>
            </w:pPr>
            <w:r>
              <w:rPr>
                <w:noProof/>
                <w:sz w:val="12"/>
                <w:szCs w:val="12"/>
              </w:rPr>
              <w:t>18</w:t>
            </w:r>
          </w:p>
        </w:tc>
        <w:tc>
          <w:tcPr>
            <w:tcW w:w="0" w:type="auto"/>
            <w:shd w:val="clear" w:color="auto" w:fill="auto"/>
          </w:tcPr>
          <w:p w14:paraId="7BA58817" w14:textId="77777777" w:rsidR="008C5CFA" w:rsidRPr="009C3005" w:rsidRDefault="00E82A60" w:rsidP="00300A01">
            <w:pPr>
              <w:pStyle w:val="Text1"/>
              <w:spacing w:before="0" w:after="0"/>
              <w:ind w:left="0"/>
              <w:rPr>
                <w:sz w:val="12"/>
                <w:szCs w:val="12"/>
              </w:rPr>
            </w:pPr>
            <w:r>
              <w:rPr>
                <w:noProof/>
                <w:sz w:val="12"/>
                <w:szCs w:val="12"/>
              </w:rPr>
              <w:t>PL33</w:t>
            </w:r>
          </w:p>
        </w:tc>
        <w:tc>
          <w:tcPr>
            <w:tcW w:w="0" w:type="auto"/>
            <w:shd w:val="clear" w:color="auto" w:fill="auto"/>
          </w:tcPr>
          <w:p w14:paraId="1862D671" w14:textId="77777777" w:rsidR="008C5CFA" w:rsidRPr="009C3005" w:rsidRDefault="00E82A60" w:rsidP="00300A01">
            <w:pPr>
              <w:pStyle w:val="Text1"/>
              <w:spacing w:before="0" w:after="0"/>
              <w:ind w:left="0"/>
              <w:jc w:val="right"/>
              <w:rPr>
                <w:sz w:val="12"/>
                <w:szCs w:val="12"/>
              </w:rPr>
            </w:pPr>
            <w:r w:rsidRPr="009C3005">
              <w:rPr>
                <w:noProof/>
                <w:sz w:val="12"/>
                <w:szCs w:val="12"/>
              </w:rPr>
              <w:t>1 523 920,66</w:t>
            </w:r>
          </w:p>
        </w:tc>
        <w:tc>
          <w:tcPr>
            <w:tcW w:w="0" w:type="auto"/>
            <w:shd w:val="clear" w:color="auto" w:fill="auto"/>
          </w:tcPr>
          <w:p w14:paraId="22C958BC" w14:textId="77777777" w:rsidR="008C5CFA" w:rsidRPr="009C3005" w:rsidRDefault="00E82A60" w:rsidP="00300A01">
            <w:pPr>
              <w:pStyle w:val="Text1"/>
              <w:spacing w:before="0" w:after="0"/>
              <w:ind w:left="0"/>
              <w:jc w:val="right"/>
              <w:rPr>
                <w:sz w:val="12"/>
                <w:szCs w:val="12"/>
              </w:rPr>
            </w:pPr>
            <w:r w:rsidRPr="009C3005">
              <w:rPr>
                <w:noProof/>
                <w:sz w:val="12"/>
                <w:szCs w:val="12"/>
              </w:rPr>
              <w:t>1 523 920,66</w:t>
            </w:r>
          </w:p>
        </w:tc>
        <w:tc>
          <w:tcPr>
            <w:tcW w:w="0" w:type="auto"/>
            <w:shd w:val="clear" w:color="auto" w:fill="auto"/>
          </w:tcPr>
          <w:p w14:paraId="215DFA2B" w14:textId="77777777" w:rsidR="008C5CFA" w:rsidRPr="009C3005" w:rsidRDefault="00E82A60" w:rsidP="00300A01">
            <w:pPr>
              <w:pStyle w:val="Text1"/>
              <w:spacing w:before="0" w:after="0"/>
              <w:ind w:left="0"/>
              <w:jc w:val="right"/>
              <w:rPr>
                <w:sz w:val="12"/>
                <w:szCs w:val="12"/>
              </w:rPr>
            </w:pPr>
            <w:r w:rsidRPr="009C3005">
              <w:rPr>
                <w:noProof/>
                <w:sz w:val="12"/>
                <w:szCs w:val="12"/>
              </w:rPr>
              <w:t>1 523 920,66</w:t>
            </w:r>
          </w:p>
        </w:tc>
        <w:tc>
          <w:tcPr>
            <w:tcW w:w="0" w:type="auto"/>
            <w:shd w:val="clear" w:color="auto" w:fill="auto"/>
          </w:tcPr>
          <w:p w14:paraId="2D52FD3E" w14:textId="77777777" w:rsidR="008C5CFA" w:rsidRPr="009C3005" w:rsidRDefault="00E82A60" w:rsidP="00300A01">
            <w:pPr>
              <w:pStyle w:val="Text1"/>
              <w:spacing w:before="0" w:after="0"/>
              <w:ind w:left="0"/>
              <w:jc w:val="right"/>
              <w:rPr>
                <w:sz w:val="12"/>
                <w:szCs w:val="12"/>
              </w:rPr>
            </w:pPr>
            <w:r w:rsidRPr="009C3005">
              <w:rPr>
                <w:noProof/>
                <w:sz w:val="12"/>
                <w:szCs w:val="12"/>
              </w:rPr>
              <w:t>1</w:t>
            </w:r>
          </w:p>
        </w:tc>
      </w:tr>
      <w:tr w:rsidR="006B2EC1" w14:paraId="1D476680" w14:textId="77777777" w:rsidTr="0047688D">
        <w:tc>
          <w:tcPr>
            <w:tcW w:w="0" w:type="auto"/>
            <w:shd w:val="clear" w:color="auto" w:fill="auto"/>
          </w:tcPr>
          <w:p w14:paraId="579AEF89" w14:textId="77777777" w:rsidR="008C5CFA" w:rsidRPr="009C3005" w:rsidRDefault="00E82A60" w:rsidP="00300A01">
            <w:pPr>
              <w:pStyle w:val="Text1"/>
              <w:spacing w:before="0" w:after="0"/>
              <w:ind w:left="0"/>
              <w:rPr>
                <w:sz w:val="12"/>
                <w:szCs w:val="12"/>
              </w:rPr>
            </w:pPr>
            <w:r>
              <w:rPr>
                <w:noProof/>
                <w:sz w:val="14"/>
                <w:szCs w:val="14"/>
                <w:lang w:val="fr-BE"/>
              </w:rPr>
              <w:t>7</w:t>
            </w:r>
          </w:p>
        </w:tc>
        <w:tc>
          <w:tcPr>
            <w:tcW w:w="0" w:type="auto"/>
            <w:shd w:val="clear" w:color="auto" w:fill="auto"/>
          </w:tcPr>
          <w:p w14:paraId="6DE447B6" w14:textId="77777777" w:rsidR="008C5CFA" w:rsidRPr="009C3005" w:rsidRDefault="00E82A60" w:rsidP="00300A01">
            <w:pPr>
              <w:pStyle w:val="Text1"/>
              <w:spacing w:before="0" w:after="0"/>
              <w:ind w:left="0"/>
              <w:rPr>
                <w:sz w:val="12"/>
                <w:szCs w:val="12"/>
              </w:rPr>
            </w:pPr>
            <w:r>
              <w:rPr>
                <w:noProof/>
                <w:sz w:val="12"/>
                <w:szCs w:val="12"/>
              </w:rPr>
              <w:t>EFRR</w:t>
            </w:r>
          </w:p>
        </w:tc>
        <w:tc>
          <w:tcPr>
            <w:tcW w:w="0" w:type="auto"/>
            <w:shd w:val="clear" w:color="auto" w:fill="auto"/>
          </w:tcPr>
          <w:p w14:paraId="69A0155D" w14:textId="77777777" w:rsidR="008C5CFA" w:rsidRPr="009C3005" w:rsidRDefault="00E82A60" w:rsidP="00300A01">
            <w:pPr>
              <w:pStyle w:val="Text1"/>
              <w:spacing w:before="0" w:after="0"/>
              <w:ind w:left="0"/>
              <w:rPr>
                <w:sz w:val="12"/>
                <w:szCs w:val="12"/>
              </w:rPr>
            </w:pPr>
            <w:r>
              <w:rPr>
                <w:noProof/>
                <w:sz w:val="12"/>
                <w:szCs w:val="12"/>
              </w:rPr>
              <w:t>Słabiej rozwinięte</w:t>
            </w:r>
          </w:p>
        </w:tc>
        <w:tc>
          <w:tcPr>
            <w:tcW w:w="0" w:type="auto"/>
            <w:shd w:val="clear" w:color="auto" w:fill="auto"/>
          </w:tcPr>
          <w:p w14:paraId="3D60818D" w14:textId="77777777" w:rsidR="008C5CFA" w:rsidRPr="009C3005" w:rsidRDefault="00E82A60" w:rsidP="00300A01">
            <w:pPr>
              <w:pStyle w:val="Text1"/>
              <w:spacing w:before="0" w:after="0"/>
              <w:ind w:left="0"/>
              <w:rPr>
                <w:sz w:val="12"/>
                <w:szCs w:val="12"/>
              </w:rPr>
            </w:pPr>
            <w:r>
              <w:rPr>
                <w:noProof/>
                <w:sz w:val="12"/>
                <w:szCs w:val="12"/>
              </w:rPr>
              <w:t>050</w:t>
            </w:r>
          </w:p>
        </w:tc>
        <w:tc>
          <w:tcPr>
            <w:tcW w:w="0" w:type="auto"/>
            <w:shd w:val="clear" w:color="auto" w:fill="auto"/>
          </w:tcPr>
          <w:p w14:paraId="3A56E639"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32CAF70B"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2F742EC6"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17332A3D" w14:textId="77777777" w:rsidR="008C5CFA" w:rsidRPr="009C3005" w:rsidRDefault="00E82A60" w:rsidP="00300A01">
            <w:pPr>
              <w:pStyle w:val="Text1"/>
              <w:spacing w:before="0" w:after="0"/>
              <w:ind w:left="0"/>
              <w:rPr>
                <w:sz w:val="12"/>
                <w:szCs w:val="12"/>
              </w:rPr>
            </w:pPr>
            <w:r>
              <w:rPr>
                <w:noProof/>
                <w:sz w:val="12"/>
                <w:szCs w:val="12"/>
              </w:rPr>
              <w:t>10</w:t>
            </w:r>
          </w:p>
        </w:tc>
        <w:tc>
          <w:tcPr>
            <w:tcW w:w="0" w:type="auto"/>
            <w:shd w:val="clear" w:color="auto" w:fill="auto"/>
          </w:tcPr>
          <w:p w14:paraId="20E82481" w14:textId="77777777" w:rsidR="008C5CFA" w:rsidRPr="009C3005" w:rsidRDefault="00E82A60" w:rsidP="00300A01">
            <w:pPr>
              <w:pStyle w:val="Text1"/>
              <w:spacing w:before="0" w:after="0"/>
              <w:ind w:left="0"/>
              <w:rPr>
                <w:sz w:val="12"/>
                <w:szCs w:val="12"/>
              </w:rPr>
            </w:pPr>
            <w:r>
              <w:rPr>
                <w:sz w:val="12"/>
                <w:szCs w:val="12"/>
              </w:rPr>
              <w:t xml:space="preserve"> </w:t>
            </w:r>
          </w:p>
        </w:tc>
        <w:tc>
          <w:tcPr>
            <w:tcW w:w="0" w:type="auto"/>
            <w:shd w:val="clear" w:color="auto" w:fill="auto"/>
          </w:tcPr>
          <w:p w14:paraId="04CD2123" w14:textId="77777777" w:rsidR="008C5CFA" w:rsidRPr="009C3005" w:rsidRDefault="00E82A60" w:rsidP="00300A01">
            <w:pPr>
              <w:pStyle w:val="Text1"/>
              <w:spacing w:before="0" w:after="0"/>
              <w:ind w:left="0"/>
              <w:rPr>
                <w:sz w:val="12"/>
                <w:szCs w:val="12"/>
              </w:rPr>
            </w:pPr>
            <w:r>
              <w:rPr>
                <w:noProof/>
                <w:sz w:val="12"/>
                <w:szCs w:val="12"/>
              </w:rPr>
              <w:t>18</w:t>
            </w:r>
          </w:p>
        </w:tc>
        <w:tc>
          <w:tcPr>
            <w:tcW w:w="0" w:type="auto"/>
            <w:shd w:val="clear" w:color="auto" w:fill="auto"/>
          </w:tcPr>
          <w:p w14:paraId="4C7CFF00" w14:textId="77777777" w:rsidR="008C5CFA" w:rsidRPr="009C3005" w:rsidRDefault="00E82A60" w:rsidP="00300A01">
            <w:pPr>
              <w:pStyle w:val="Text1"/>
              <w:spacing w:before="0" w:after="0"/>
              <w:ind w:left="0"/>
              <w:rPr>
                <w:sz w:val="12"/>
                <w:szCs w:val="12"/>
              </w:rPr>
            </w:pPr>
            <w:r>
              <w:rPr>
                <w:noProof/>
                <w:sz w:val="12"/>
                <w:szCs w:val="12"/>
              </w:rPr>
              <w:t>PL33</w:t>
            </w:r>
          </w:p>
        </w:tc>
        <w:tc>
          <w:tcPr>
            <w:tcW w:w="0" w:type="auto"/>
            <w:shd w:val="clear" w:color="auto" w:fill="auto"/>
          </w:tcPr>
          <w:p w14:paraId="724F812F" w14:textId="77777777" w:rsidR="008C5CFA" w:rsidRPr="009C3005" w:rsidRDefault="00E82A60" w:rsidP="00300A01">
            <w:pPr>
              <w:pStyle w:val="Text1"/>
              <w:spacing w:before="0" w:after="0"/>
              <w:ind w:left="0"/>
              <w:jc w:val="right"/>
              <w:rPr>
                <w:sz w:val="12"/>
                <w:szCs w:val="12"/>
              </w:rPr>
            </w:pPr>
            <w:r w:rsidRPr="009C3005">
              <w:rPr>
                <w:noProof/>
                <w:sz w:val="12"/>
                <w:szCs w:val="12"/>
              </w:rPr>
              <w:t>4 864 237,56</w:t>
            </w:r>
          </w:p>
        </w:tc>
        <w:tc>
          <w:tcPr>
            <w:tcW w:w="0" w:type="auto"/>
            <w:shd w:val="clear" w:color="auto" w:fill="auto"/>
          </w:tcPr>
          <w:p w14:paraId="6F1BCE46" w14:textId="77777777" w:rsidR="008C5CFA" w:rsidRPr="009C3005" w:rsidRDefault="00E82A60" w:rsidP="00300A01">
            <w:pPr>
              <w:pStyle w:val="Text1"/>
              <w:spacing w:before="0" w:after="0"/>
              <w:ind w:left="0"/>
              <w:jc w:val="right"/>
              <w:rPr>
                <w:sz w:val="12"/>
                <w:szCs w:val="12"/>
              </w:rPr>
            </w:pPr>
            <w:r w:rsidRPr="009C3005">
              <w:rPr>
                <w:noProof/>
                <w:sz w:val="12"/>
                <w:szCs w:val="12"/>
              </w:rPr>
              <w:t>4 864 237,56</w:t>
            </w:r>
          </w:p>
        </w:tc>
        <w:tc>
          <w:tcPr>
            <w:tcW w:w="0" w:type="auto"/>
            <w:shd w:val="clear" w:color="auto" w:fill="auto"/>
          </w:tcPr>
          <w:p w14:paraId="18C54A58" w14:textId="77777777" w:rsidR="008C5CFA" w:rsidRPr="009C3005" w:rsidRDefault="00E82A60" w:rsidP="00300A01">
            <w:pPr>
              <w:pStyle w:val="Text1"/>
              <w:spacing w:before="0" w:after="0"/>
              <w:ind w:left="0"/>
              <w:jc w:val="right"/>
              <w:rPr>
                <w:sz w:val="12"/>
                <w:szCs w:val="12"/>
              </w:rPr>
            </w:pPr>
            <w:r w:rsidRPr="009C3005">
              <w:rPr>
                <w:noProof/>
                <w:sz w:val="12"/>
                <w:szCs w:val="12"/>
              </w:rPr>
              <w:t>2 948 581,93</w:t>
            </w:r>
          </w:p>
        </w:tc>
        <w:tc>
          <w:tcPr>
            <w:tcW w:w="0" w:type="auto"/>
            <w:shd w:val="clear" w:color="auto" w:fill="auto"/>
          </w:tcPr>
          <w:p w14:paraId="63C1CFA2" w14:textId="77777777" w:rsidR="008C5CFA" w:rsidRPr="009C3005" w:rsidRDefault="00E82A60" w:rsidP="00300A01">
            <w:pPr>
              <w:pStyle w:val="Text1"/>
              <w:spacing w:before="0" w:after="0"/>
              <w:ind w:left="0"/>
              <w:jc w:val="right"/>
              <w:rPr>
                <w:sz w:val="12"/>
                <w:szCs w:val="12"/>
              </w:rPr>
            </w:pPr>
            <w:r w:rsidRPr="009C3005">
              <w:rPr>
                <w:noProof/>
                <w:sz w:val="12"/>
                <w:szCs w:val="12"/>
              </w:rPr>
              <w:t>2</w:t>
            </w:r>
          </w:p>
        </w:tc>
      </w:tr>
      <w:tr w:rsidR="006B2EC1" w14:paraId="79F1614F" w14:textId="77777777" w:rsidTr="0047688D">
        <w:tc>
          <w:tcPr>
            <w:tcW w:w="0" w:type="auto"/>
            <w:shd w:val="clear" w:color="auto" w:fill="auto"/>
          </w:tcPr>
          <w:p w14:paraId="5733FE83" w14:textId="77777777" w:rsidR="008C5CFA" w:rsidRPr="009C3005" w:rsidRDefault="00E82A60" w:rsidP="00300A01">
            <w:pPr>
              <w:pStyle w:val="Text1"/>
              <w:spacing w:before="0" w:after="0"/>
              <w:ind w:left="0"/>
              <w:rPr>
                <w:sz w:val="12"/>
                <w:szCs w:val="12"/>
              </w:rPr>
            </w:pPr>
            <w:r>
              <w:rPr>
                <w:noProof/>
                <w:sz w:val="14"/>
                <w:szCs w:val="14"/>
                <w:lang w:val="fr-BE"/>
              </w:rPr>
              <w:t>7</w:t>
            </w:r>
          </w:p>
        </w:tc>
        <w:tc>
          <w:tcPr>
            <w:tcW w:w="0" w:type="auto"/>
            <w:shd w:val="clear" w:color="auto" w:fill="auto"/>
          </w:tcPr>
          <w:p w14:paraId="00B7C268" w14:textId="77777777" w:rsidR="008C5CFA" w:rsidRPr="009C3005" w:rsidRDefault="00E82A60" w:rsidP="00300A01">
            <w:pPr>
              <w:pStyle w:val="Text1"/>
              <w:spacing w:before="0" w:after="0"/>
              <w:ind w:left="0"/>
              <w:rPr>
                <w:sz w:val="12"/>
                <w:szCs w:val="12"/>
              </w:rPr>
            </w:pPr>
            <w:r>
              <w:rPr>
                <w:noProof/>
                <w:sz w:val="12"/>
                <w:szCs w:val="12"/>
              </w:rPr>
              <w:t>EFRR</w:t>
            </w:r>
          </w:p>
        </w:tc>
        <w:tc>
          <w:tcPr>
            <w:tcW w:w="0" w:type="auto"/>
            <w:shd w:val="clear" w:color="auto" w:fill="auto"/>
          </w:tcPr>
          <w:p w14:paraId="24A9C8F4" w14:textId="77777777" w:rsidR="008C5CFA" w:rsidRPr="009C3005" w:rsidRDefault="00E82A60" w:rsidP="00300A01">
            <w:pPr>
              <w:pStyle w:val="Text1"/>
              <w:spacing w:before="0" w:after="0"/>
              <w:ind w:left="0"/>
              <w:rPr>
                <w:sz w:val="12"/>
                <w:szCs w:val="12"/>
              </w:rPr>
            </w:pPr>
            <w:r>
              <w:rPr>
                <w:noProof/>
                <w:sz w:val="12"/>
                <w:szCs w:val="12"/>
              </w:rPr>
              <w:t>Słabiej rozwinięte</w:t>
            </w:r>
          </w:p>
        </w:tc>
        <w:tc>
          <w:tcPr>
            <w:tcW w:w="0" w:type="auto"/>
            <w:shd w:val="clear" w:color="auto" w:fill="auto"/>
          </w:tcPr>
          <w:p w14:paraId="208F02D3" w14:textId="77777777" w:rsidR="008C5CFA" w:rsidRPr="009C3005" w:rsidRDefault="00E82A60" w:rsidP="00300A01">
            <w:pPr>
              <w:pStyle w:val="Text1"/>
              <w:spacing w:before="0" w:after="0"/>
              <w:ind w:left="0"/>
              <w:rPr>
                <w:sz w:val="12"/>
                <w:szCs w:val="12"/>
              </w:rPr>
            </w:pPr>
            <w:r>
              <w:rPr>
                <w:noProof/>
                <w:sz w:val="12"/>
                <w:szCs w:val="12"/>
              </w:rPr>
              <w:t>050</w:t>
            </w:r>
          </w:p>
        </w:tc>
        <w:tc>
          <w:tcPr>
            <w:tcW w:w="0" w:type="auto"/>
            <w:shd w:val="clear" w:color="auto" w:fill="auto"/>
          </w:tcPr>
          <w:p w14:paraId="296C10E3"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31D0A773" w14:textId="77777777" w:rsidR="008C5CFA" w:rsidRPr="009C3005" w:rsidRDefault="00E82A60" w:rsidP="00300A01">
            <w:pPr>
              <w:pStyle w:val="Text1"/>
              <w:spacing w:before="0" w:after="0"/>
              <w:ind w:left="0"/>
              <w:rPr>
                <w:sz w:val="12"/>
                <w:szCs w:val="12"/>
              </w:rPr>
            </w:pPr>
            <w:r>
              <w:rPr>
                <w:noProof/>
                <w:sz w:val="12"/>
                <w:szCs w:val="12"/>
              </w:rPr>
              <w:t>02</w:t>
            </w:r>
          </w:p>
        </w:tc>
        <w:tc>
          <w:tcPr>
            <w:tcW w:w="0" w:type="auto"/>
            <w:shd w:val="clear" w:color="auto" w:fill="auto"/>
          </w:tcPr>
          <w:p w14:paraId="2CB4B3D8"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2B64251F" w14:textId="77777777" w:rsidR="008C5CFA" w:rsidRPr="009C3005" w:rsidRDefault="00E82A60" w:rsidP="00300A01">
            <w:pPr>
              <w:pStyle w:val="Text1"/>
              <w:spacing w:before="0" w:after="0"/>
              <w:ind w:left="0"/>
              <w:rPr>
                <w:sz w:val="12"/>
                <w:szCs w:val="12"/>
              </w:rPr>
            </w:pPr>
            <w:r>
              <w:rPr>
                <w:noProof/>
                <w:sz w:val="12"/>
                <w:szCs w:val="12"/>
              </w:rPr>
              <w:t>10</w:t>
            </w:r>
          </w:p>
        </w:tc>
        <w:tc>
          <w:tcPr>
            <w:tcW w:w="0" w:type="auto"/>
            <w:shd w:val="clear" w:color="auto" w:fill="auto"/>
          </w:tcPr>
          <w:p w14:paraId="3BF0E892" w14:textId="77777777" w:rsidR="008C5CFA" w:rsidRPr="009C3005" w:rsidRDefault="00E82A60" w:rsidP="00300A01">
            <w:pPr>
              <w:pStyle w:val="Text1"/>
              <w:spacing w:before="0" w:after="0"/>
              <w:ind w:left="0"/>
              <w:rPr>
                <w:sz w:val="12"/>
                <w:szCs w:val="12"/>
              </w:rPr>
            </w:pPr>
            <w:r>
              <w:rPr>
                <w:sz w:val="12"/>
                <w:szCs w:val="12"/>
              </w:rPr>
              <w:t xml:space="preserve"> </w:t>
            </w:r>
          </w:p>
        </w:tc>
        <w:tc>
          <w:tcPr>
            <w:tcW w:w="0" w:type="auto"/>
            <w:shd w:val="clear" w:color="auto" w:fill="auto"/>
          </w:tcPr>
          <w:p w14:paraId="2417041E" w14:textId="77777777" w:rsidR="008C5CFA" w:rsidRPr="009C3005" w:rsidRDefault="00E82A60" w:rsidP="00300A01">
            <w:pPr>
              <w:pStyle w:val="Text1"/>
              <w:spacing w:before="0" w:after="0"/>
              <w:ind w:left="0"/>
              <w:rPr>
                <w:sz w:val="12"/>
                <w:szCs w:val="12"/>
              </w:rPr>
            </w:pPr>
            <w:r>
              <w:rPr>
                <w:noProof/>
                <w:sz w:val="12"/>
                <w:szCs w:val="12"/>
              </w:rPr>
              <w:t>18</w:t>
            </w:r>
          </w:p>
        </w:tc>
        <w:tc>
          <w:tcPr>
            <w:tcW w:w="0" w:type="auto"/>
            <w:shd w:val="clear" w:color="auto" w:fill="auto"/>
          </w:tcPr>
          <w:p w14:paraId="2205B13E" w14:textId="77777777" w:rsidR="008C5CFA" w:rsidRPr="009C3005" w:rsidRDefault="00E82A60" w:rsidP="00300A01">
            <w:pPr>
              <w:pStyle w:val="Text1"/>
              <w:spacing w:before="0" w:after="0"/>
              <w:ind w:left="0"/>
              <w:rPr>
                <w:sz w:val="12"/>
                <w:szCs w:val="12"/>
              </w:rPr>
            </w:pPr>
            <w:r>
              <w:rPr>
                <w:noProof/>
                <w:sz w:val="12"/>
                <w:szCs w:val="12"/>
              </w:rPr>
              <w:t>PL33</w:t>
            </w:r>
          </w:p>
        </w:tc>
        <w:tc>
          <w:tcPr>
            <w:tcW w:w="0" w:type="auto"/>
            <w:shd w:val="clear" w:color="auto" w:fill="auto"/>
          </w:tcPr>
          <w:p w14:paraId="4F6D4FCB" w14:textId="77777777" w:rsidR="008C5CFA" w:rsidRPr="009C3005" w:rsidRDefault="00E82A60" w:rsidP="00300A01">
            <w:pPr>
              <w:pStyle w:val="Text1"/>
              <w:spacing w:before="0" w:after="0"/>
              <w:ind w:left="0"/>
              <w:jc w:val="right"/>
              <w:rPr>
                <w:sz w:val="12"/>
                <w:szCs w:val="12"/>
              </w:rPr>
            </w:pPr>
            <w:r w:rsidRPr="009C3005">
              <w:rPr>
                <w:noProof/>
                <w:sz w:val="12"/>
                <w:szCs w:val="12"/>
              </w:rPr>
              <w:t>2 572 770,85</w:t>
            </w:r>
          </w:p>
        </w:tc>
        <w:tc>
          <w:tcPr>
            <w:tcW w:w="0" w:type="auto"/>
            <w:shd w:val="clear" w:color="auto" w:fill="auto"/>
          </w:tcPr>
          <w:p w14:paraId="2F9B0865" w14:textId="77777777" w:rsidR="008C5CFA" w:rsidRPr="009C3005" w:rsidRDefault="00E82A60" w:rsidP="00300A01">
            <w:pPr>
              <w:pStyle w:val="Text1"/>
              <w:spacing w:before="0" w:after="0"/>
              <w:ind w:left="0"/>
              <w:jc w:val="right"/>
              <w:rPr>
                <w:sz w:val="12"/>
                <w:szCs w:val="12"/>
              </w:rPr>
            </w:pPr>
            <w:r w:rsidRPr="009C3005">
              <w:rPr>
                <w:noProof/>
                <w:sz w:val="12"/>
                <w:szCs w:val="12"/>
              </w:rPr>
              <w:t>2 572 770,85</w:t>
            </w:r>
          </w:p>
        </w:tc>
        <w:tc>
          <w:tcPr>
            <w:tcW w:w="0" w:type="auto"/>
            <w:shd w:val="clear" w:color="auto" w:fill="auto"/>
          </w:tcPr>
          <w:p w14:paraId="699DE8E0" w14:textId="77777777" w:rsidR="008C5CFA" w:rsidRPr="009C3005" w:rsidRDefault="00E82A60" w:rsidP="00300A01">
            <w:pPr>
              <w:pStyle w:val="Text1"/>
              <w:spacing w:before="0" w:after="0"/>
              <w:ind w:left="0"/>
              <w:jc w:val="right"/>
              <w:rPr>
                <w:sz w:val="12"/>
                <w:szCs w:val="12"/>
              </w:rPr>
            </w:pPr>
            <w:r w:rsidRPr="009C3005">
              <w:rPr>
                <w:noProof/>
                <w:sz w:val="12"/>
                <w:szCs w:val="12"/>
              </w:rPr>
              <w:t>2 058 989,05</w:t>
            </w:r>
          </w:p>
        </w:tc>
        <w:tc>
          <w:tcPr>
            <w:tcW w:w="0" w:type="auto"/>
            <w:shd w:val="clear" w:color="auto" w:fill="auto"/>
          </w:tcPr>
          <w:p w14:paraId="69FBBF93" w14:textId="77777777" w:rsidR="008C5CFA" w:rsidRPr="009C3005" w:rsidRDefault="00E82A60" w:rsidP="00300A01">
            <w:pPr>
              <w:pStyle w:val="Text1"/>
              <w:spacing w:before="0" w:after="0"/>
              <w:ind w:left="0"/>
              <w:jc w:val="right"/>
              <w:rPr>
                <w:sz w:val="12"/>
                <w:szCs w:val="12"/>
              </w:rPr>
            </w:pPr>
            <w:r w:rsidRPr="009C3005">
              <w:rPr>
                <w:noProof/>
                <w:sz w:val="12"/>
                <w:szCs w:val="12"/>
              </w:rPr>
              <w:t>3</w:t>
            </w:r>
          </w:p>
        </w:tc>
      </w:tr>
      <w:tr w:rsidR="006B2EC1" w14:paraId="0A1A016D" w14:textId="77777777" w:rsidTr="0047688D">
        <w:tc>
          <w:tcPr>
            <w:tcW w:w="0" w:type="auto"/>
            <w:shd w:val="clear" w:color="auto" w:fill="auto"/>
          </w:tcPr>
          <w:p w14:paraId="3C2F1E04" w14:textId="77777777" w:rsidR="008C5CFA" w:rsidRPr="009C3005" w:rsidRDefault="00E82A60" w:rsidP="00300A01">
            <w:pPr>
              <w:pStyle w:val="Text1"/>
              <w:spacing w:before="0" w:after="0"/>
              <w:ind w:left="0"/>
              <w:rPr>
                <w:sz w:val="12"/>
                <w:szCs w:val="12"/>
              </w:rPr>
            </w:pPr>
            <w:r>
              <w:rPr>
                <w:noProof/>
                <w:sz w:val="14"/>
                <w:szCs w:val="14"/>
                <w:lang w:val="fr-BE"/>
              </w:rPr>
              <w:t>7</w:t>
            </w:r>
          </w:p>
        </w:tc>
        <w:tc>
          <w:tcPr>
            <w:tcW w:w="0" w:type="auto"/>
            <w:shd w:val="clear" w:color="auto" w:fill="auto"/>
          </w:tcPr>
          <w:p w14:paraId="769F6547" w14:textId="77777777" w:rsidR="008C5CFA" w:rsidRPr="009C3005" w:rsidRDefault="00E82A60" w:rsidP="00300A01">
            <w:pPr>
              <w:pStyle w:val="Text1"/>
              <w:spacing w:before="0" w:after="0"/>
              <w:ind w:left="0"/>
              <w:rPr>
                <w:sz w:val="12"/>
                <w:szCs w:val="12"/>
              </w:rPr>
            </w:pPr>
            <w:r>
              <w:rPr>
                <w:noProof/>
                <w:sz w:val="12"/>
                <w:szCs w:val="12"/>
              </w:rPr>
              <w:t>EFRR</w:t>
            </w:r>
          </w:p>
        </w:tc>
        <w:tc>
          <w:tcPr>
            <w:tcW w:w="0" w:type="auto"/>
            <w:shd w:val="clear" w:color="auto" w:fill="auto"/>
          </w:tcPr>
          <w:p w14:paraId="5BFD4F39" w14:textId="77777777" w:rsidR="008C5CFA" w:rsidRPr="009C3005" w:rsidRDefault="00E82A60" w:rsidP="00300A01">
            <w:pPr>
              <w:pStyle w:val="Text1"/>
              <w:spacing w:before="0" w:after="0"/>
              <w:ind w:left="0"/>
              <w:rPr>
                <w:sz w:val="12"/>
                <w:szCs w:val="12"/>
              </w:rPr>
            </w:pPr>
            <w:r>
              <w:rPr>
                <w:noProof/>
                <w:sz w:val="12"/>
                <w:szCs w:val="12"/>
              </w:rPr>
              <w:t>Słabiej rozwinięte</w:t>
            </w:r>
          </w:p>
        </w:tc>
        <w:tc>
          <w:tcPr>
            <w:tcW w:w="0" w:type="auto"/>
            <w:shd w:val="clear" w:color="auto" w:fill="auto"/>
          </w:tcPr>
          <w:p w14:paraId="1FD5366B" w14:textId="77777777" w:rsidR="008C5CFA" w:rsidRPr="009C3005" w:rsidRDefault="00E82A60" w:rsidP="00300A01">
            <w:pPr>
              <w:pStyle w:val="Text1"/>
              <w:spacing w:before="0" w:after="0"/>
              <w:ind w:left="0"/>
              <w:rPr>
                <w:sz w:val="12"/>
                <w:szCs w:val="12"/>
              </w:rPr>
            </w:pPr>
            <w:r>
              <w:rPr>
                <w:noProof/>
                <w:sz w:val="12"/>
                <w:szCs w:val="12"/>
              </w:rPr>
              <w:t>050</w:t>
            </w:r>
          </w:p>
        </w:tc>
        <w:tc>
          <w:tcPr>
            <w:tcW w:w="0" w:type="auto"/>
            <w:shd w:val="clear" w:color="auto" w:fill="auto"/>
          </w:tcPr>
          <w:p w14:paraId="51957240"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6D4CD0BF" w14:textId="77777777" w:rsidR="008C5CFA" w:rsidRPr="009C3005" w:rsidRDefault="00E82A60" w:rsidP="00300A01">
            <w:pPr>
              <w:pStyle w:val="Text1"/>
              <w:spacing w:before="0" w:after="0"/>
              <w:ind w:left="0"/>
              <w:rPr>
                <w:sz w:val="12"/>
                <w:szCs w:val="12"/>
              </w:rPr>
            </w:pPr>
            <w:r>
              <w:rPr>
                <w:noProof/>
                <w:sz w:val="12"/>
                <w:szCs w:val="12"/>
              </w:rPr>
              <w:t>02</w:t>
            </w:r>
          </w:p>
        </w:tc>
        <w:tc>
          <w:tcPr>
            <w:tcW w:w="0" w:type="auto"/>
            <w:shd w:val="clear" w:color="auto" w:fill="auto"/>
          </w:tcPr>
          <w:p w14:paraId="36F124E0"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5C207805" w14:textId="77777777" w:rsidR="008C5CFA" w:rsidRPr="009C3005" w:rsidRDefault="00E82A60" w:rsidP="00300A01">
            <w:pPr>
              <w:pStyle w:val="Text1"/>
              <w:spacing w:before="0" w:after="0"/>
              <w:ind w:left="0"/>
              <w:rPr>
                <w:sz w:val="12"/>
                <w:szCs w:val="12"/>
              </w:rPr>
            </w:pPr>
            <w:r>
              <w:rPr>
                <w:noProof/>
                <w:sz w:val="12"/>
                <w:szCs w:val="12"/>
              </w:rPr>
              <w:t>10</w:t>
            </w:r>
          </w:p>
        </w:tc>
        <w:tc>
          <w:tcPr>
            <w:tcW w:w="0" w:type="auto"/>
            <w:shd w:val="clear" w:color="auto" w:fill="auto"/>
          </w:tcPr>
          <w:p w14:paraId="64A93F11" w14:textId="77777777" w:rsidR="008C5CFA" w:rsidRPr="009C3005" w:rsidRDefault="00E82A60" w:rsidP="00300A01">
            <w:pPr>
              <w:pStyle w:val="Text1"/>
              <w:spacing w:before="0" w:after="0"/>
              <w:ind w:left="0"/>
              <w:rPr>
                <w:sz w:val="12"/>
                <w:szCs w:val="12"/>
              </w:rPr>
            </w:pPr>
            <w:r>
              <w:rPr>
                <w:sz w:val="12"/>
                <w:szCs w:val="12"/>
              </w:rPr>
              <w:t xml:space="preserve"> </w:t>
            </w:r>
          </w:p>
        </w:tc>
        <w:tc>
          <w:tcPr>
            <w:tcW w:w="0" w:type="auto"/>
            <w:shd w:val="clear" w:color="auto" w:fill="auto"/>
          </w:tcPr>
          <w:p w14:paraId="4BE5548E" w14:textId="77777777" w:rsidR="008C5CFA" w:rsidRPr="009C3005" w:rsidRDefault="00E82A60" w:rsidP="00300A01">
            <w:pPr>
              <w:pStyle w:val="Text1"/>
              <w:spacing w:before="0" w:after="0"/>
              <w:ind w:left="0"/>
              <w:rPr>
                <w:sz w:val="12"/>
                <w:szCs w:val="12"/>
              </w:rPr>
            </w:pPr>
            <w:r>
              <w:rPr>
                <w:noProof/>
                <w:sz w:val="12"/>
                <w:szCs w:val="12"/>
              </w:rPr>
              <w:t>19</w:t>
            </w:r>
          </w:p>
        </w:tc>
        <w:tc>
          <w:tcPr>
            <w:tcW w:w="0" w:type="auto"/>
            <w:shd w:val="clear" w:color="auto" w:fill="auto"/>
          </w:tcPr>
          <w:p w14:paraId="37E99C36" w14:textId="77777777" w:rsidR="008C5CFA" w:rsidRPr="009C3005" w:rsidRDefault="00E82A60" w:rsidP="00300A01">
            <w:pPr>
              <w:pStyle w:val="Text1"/>
              <w:spacing w:before="0" w:after="0"/>
              <w:ind w:left="0"/>
              <w:rPr>
                <w:sz w:val="12"/>
                <w:szCs w:val="12"/>
              </w:rPr>
            </w:pPr>
            <w:r>
              <w:rPr>
                <w:noProof/>
                <w:sz w:val="12"/>
                <w:szCs w:val="12"/>
              </w:rPr>
              <w:t>PL33</w:t>
            </w:r>
          </w:p>
        </w:tc>
        <w:tc>
          <w:tcPr>
            <w:tcW w:w="0" w:type="auto"/>
            <w:shd w:val="clear" w:color="auto" w:fill="auto"/>
          </w:tcPr>
          <w:p w14:paraId="181A882E" w14:textId="77777777" w:rsidR="008C5CFA" w:rsidRPr="009C3005" w:rsidRDefault="00E82A60" w:rsidP="00300A01">
            <w:pPr>
              <w:pStyle w:val="Text1"/>
              <w:spacing w:before="0" w:after="0"/>
              <w:ind w:left="0"/>
              <w:jc w:val="right"/>
              <w:rPr>
                <w:sz w:val="12"/>
                <w:szCs w:val="12"/>
              </w:rPr>
            </w:pPr>
            <w:r w:rsidRPr="009C3005">
              <w:rPr>
                <w:noProof/>
                <w:sz w:val="12"/>
                <w:szCs w:val="12"/>
              </w:rPr>
              <w:t>1 323 173,23</w:t>
            </w:r>
          </w:p>
        </w:tc>
        <w:tc>
          <w:tcPr>
            <w:tcW w:w="0" w:type="auto"/>
            <w:shd w:val="clear" w:color="auto" w:fill="auto"/>
          </w:tcPr>
          <w:p w14:paraId="4CE707E7" w14:textId="77777777" w:rsidR="008C5CFA" w:rsidRPr="009C3005" w:rsidRDefault="00E82A60" w:rsidP="00300A01">
            <w:pPr>
              <w:pStyle w:val="Text1"/>
              <w:spacing w:before="0" w:after="0"/>
              <w:ind w:left="0"/>
              <w:jc w:val="right"/>
              <w:rPr>
                <w:sz w:val="12"/>
                <w:szCs w:val="12"/>
              </w:rPr>
            </w:pPr>
            <w:r w:rsidRPr="009C3005">
              <w:rPr>
                <w:noProof/>
                <w:sz w:val="12"/>
                <w:szCs w:val="12"/>
              </w:rPr>
              <w:t>1 323 173,23</w:t>
            </w:r>
          </w:p>
        </w:tc>
        <w:tc>
          <w:tcPr>
            <w:tcW w:w="0" w:type="auto"/>
            <w:shd w:val="clear" w:color="auto" w:fill="auto"/>
          </w:tcPr>
          <w:p w14:paraId="562715CA" w14:textId="77777777" w:rsidR="008C5CFA" w:rsidRPr="009C3005" w:rsidRDefault="00E82A60" w:rsidP="00300A01">
            <w:pPr>
              <w:pStyle w:val="Text1"/>
              <w:spacing w:before="0" w:after="0"/>
              <w:ind w:left="0"/>
              <w:jc w:val="right"/>
              <w:rPr>
                <w:sz w:val="12"/>
                <w:szCs w:val="12"/>
              </w:rPr>
            </w:pPr>
            <w:r w:rsidRPr="009C3005">
              <w:rPr>
                <w:noProof/>
                <w:sz w:val="12"/>
                <w:szCs w:val="12"/>
              </w:rPr>
              <w:t>887 787,14</w:t>
            </w:r>
          </w:p>
        </w:tc>
        <w:tc>
          <w:tcPr>
            <w:tcW w:w="0" w:type="auto"/>
            <w:shd w:val="clear" w:color="auto" w:fill="auto"/>
          </w:tcPr>
          <w:p w14:paraId="347BBD4D" w14:textId="77777777" w:rsidR="008C5CFA" w:rsidRPr="009C3005" w:rsidRDefault="00E82A60" w:rsidP="00300A01">
            <w:pPr>
              <w:pStyle w:val="Text1"/>
              <w:spacing w:before="0" w:after="0"/>
              <w:ind w:left="0"/>
              <w:jc w:val="right"/>
              <w:rPr>
                <w:sz w:val="12"/>
                <w:szCs w:val="12"/>
              </w:rPr>
            </w:pPr>
            <w:r w:rsidRPr="009C3005">
              <w:rPr>
                <w:noProof/>
                <w:sz w:val="12"/>
                <w:szCs w:val="12"/>
              </w:rPr>
              <w:t>3</w:t>
            </w:r>
          </w:p>
        </w:tc>
      </w:tr>
      <w:tr w:rsidR="006B2EC1" w14:paraId="139EDEAF" w14:textId="77777777" w:rsidTr="0047688D">
        <w:tc>
          <w:tcPr>
            <w:tcW w:w="0" w:type="auto"/>
            <w:shd w:val="clear" w:color="auto" w:fill="auto"/>
          </w:tcPr>
          <w:p w14:paraId="22B56CE5" w14:textId="77777777" w:rsidR="008C5CFA" w:rsidRPr="009C3005" w:rsidRDefault="00E82A60" w:rsidP="00300A01">
            <w:pPr>
              <w:pStyle w:val="Text1"/>
              <w:spacing w:before="0" w:after="0"/>
              <w:ind w:left="0"/>
              <w:rPr>
                <w:sz w:val="12"/>
                <w:szCs w:val="12"/>
              </w:rPr>
            </w:pPr>
            <w:r>
              <w:rPr>
                <w:noProof/>
                <w:sz w:val="14"/>
                <w:szCs w:val="14"/>
                <w:lang w:val="fr-BE"/>
              </w:rPr>
              <w:t>7</w:t>
            </w:r>
          </w:p>
        </w:tc>
        <w:tc>
          <w:tcPr>
            <w:tcW w:w="0" w:type="auto"/>
            <w:shd w:val="clear" w:color="auto" w:fill="auto"/>
          </w:tcPr>
          <w:p w14:paraId="251F4CCF" w14:textId="77777777" w:rsidR="008C5CFA" w:rsidRPr="009C3005" w:rsidRDefault="00E82A60" w:rsidP="00300A01">
            <w:pPr>
              <w:pStyle w:val="Text1"/>
              <w:spacing w:before="0" w:after="0"/>
              <w:ind w:left="0"/>
              <w:rPr>
                <w:sz w:val="12"/>
                <w:szCs w:val="12"/>
              </w:rPr>
            </w:pPr>
            <w:r>
              <w:rPr>
                <w:noProof/>
                <w:sz w:val="12"/>
                <w:szCs w:val="12"/>
              </w:rPr>
              <w:t>EFRR</w:t>
            </w:r>
          </w:p>
        </w:tc>
        <w:tc>
          <w:tcPr>
            <w:tcW w:w="0" w:type="auto"/>
            <w:shd w:val="clear" w:color="auto" w:fill="auto"/>
          </w:tcPr>
          <w:p w14:paraId="3CD25CD8" w14:textId="77777777" w:rsidR="008C5CFA" w:rsidRPr="009C3005" w:rsidRDefault="00E82A60" w:rsidP="00300A01">
            <w:pPr>
              <w:pStyle w:val="Text1"/>
              <w:spacing w:before="0" w:after="0"/>
              <w:ind w:left="0"/>
              <w:rPr>
                <w:sz w:val="12"/>
                <w:szCs w:val="12"/>
              </w:rPr>
            </w:pPr>
            <w:r>
              <w:rPr>
                <w:noProof/>
                <w:sz w:val="12"/>
                <w:szCs w:val="12"/>
              </w:rPr>
              <w:t>Słabiej rozwinięte</w:t>
            </w:r>
          </w:p>
        </w:tc>
        <w:tc>
          <w:tcPr>
            <w:tcW w:w="0" w:type="auto"/>
            <w:shd w:val="clear" w:color="auto" w:fill="auto"/>
          </w:tcPr>
          <w:p w14:paraId="6D40946C" w14:textId="77777777" w:rsidR="008C5CFA" w:rsidRPr="009C3005" w:rsidRDefault="00E82A60" w:rsidP="00300A01">
            <w:pPr>
              <w:pStyle w:val="Text1"/>
              <w:spacing w:before="0" w:after="0"/>
              <w:ind w:left="0"/>
              <w:rPr>
                <w:sz w:val="12"/>
                <w:szCs w:val="12"/>
              </w:rPr>
            </w:pPr>
            <w:r>
              <w:rPr>
                <w:noProof/>
                <w:sz w:val="12"/>
                <w:szCs w:val="12"/>
              </w:rPr>
              <w:t>050</w:t>
            </w:r>
          </w:p>
        </w:tc>
        <w:tc>
          <w:tcPr>
            <w:tcW w:w="0" w:type="auto"/>
            <w:shd w:val="clear" w:color="auto" w:fill="auto"/>
          </w:tcPr>
          <w:p w14:paraId="618AD7C9"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2685313B" w14:textId="77777777" w:rsidR="008C5CFA" w:rsidRPr="009C3005" w:rsidRDefault="00E82A60" w:rsidP="00300A01">
            <w:pPr>
              <w:pStyle w:val="Text1"/>
              <w:spacing w:before="0" w:after="0"/>
              <w:ind w:left="0"/>
              <w:rPr>
                <w:sz w:val="12"/>
                <w:szCs w:val="12"/>
              </w:rPr>
            </w:pPr>
            <w:r>
              <w:rPr>
                <w:noProof/>
                <w:sz w:val="12"/>
                <w:szCs w:val="12"/>
              </w:rPr>
              <w:t>03</w:t>
            </w:r>
          </w:p>
        </w:tc>
        <w:tc>
          <w:tcPr>
            <w:tcW w:w="0" w:type="auto"/>
            <w:shd w:val="clear" w:color="auto" w:fill="auto"/>
          </w:tcPr>
          <w:p w14:paraId="5EBE7DE5"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4CF0B5BF" w14:textId="77777777" w:rsidR="008C5CFA" w:rsidRPr="009C3005" w:rsidRDefault="00E82A60" w:rsidP="00300A01">
            <w:pPr>
              <w:pStyle w:val="Text1"/>
              <w:spacing w:before="0" w:after="0"/>
              <w:ind w:left="0"/>
              <w:rPr>
                <w:sz w:val="12"/>
                <w:szCs w:val="12"/>
              </w:rPr>
            </w:pPr>
            <w:r>
              <w:rPr>
                <w:noProof/>
                <w:sz w:val="12"/>
                <w:szCs w:val="12"/>
              </w:rPr>
              <w:t>10</w:t>
            </w:r>
          </w:p>
        </w:tc>
        <w:tc>
          <w:tcPr>
            <w:tcW w:w="0" w:type="auto"/>
            <w:shd w:val="clear" w:color="auto" w:fill="auto"/>
          </w:tcPr>
          <w:p w14:paraId="49794E62" w14:textId="77777777" w:rsidR="008C5CFA" w:rsidRPr="009C3005" w:rsidRDefault="00E82A60" w:rsidP="00300A01">
            <w:pPr>
              <w:pStyle w:val="Text1"/>
              <w:spacing w:before="0" w:after="0"/>
              <w:ind w:left="0"/>
              <w:rPr>
                <w:sz w:val="12"/>
                <w:szCs w:val="12"/>
              </w:rPr>
            </w:pPr>
            <w:r>
              <w:rPr>
                <w:sz w:val="12"/>
                <w:szCs w:val="12"/>
              </w:rPr>
              <w:t xml:space="preserve"> </w:t>
            </w:r>
          </w:p>
        </w:tc>
        <w:tc>
          <w:tcPr>
            <w:tcW w:w="0" w:type="auto"/>
            <w:shd w:val="clear" w:color="auto" w:fill="auto"/>
          </w:tcPr>
          <w:p w14:paraId="4DC0D1F4" w14:textId="77777777" w:rsidR="008C5CFA" w:rsidRPr="009C3005" w:rsidRDefault="00E82A60" w:rsidP="00300A01">
            <w:pPr>
              <w:pStyle w:val="Text1"/>
              <w:spacing w:before="0" w:after="0"/>
              <w:ind w:left="0"/>
              <w:rPr>
                <w:sz w:val="12"/>
                <w:szCs w:val="12"/>
              </w:rPr>
            </w:pPr>
            <w:r>
              <w:rPr>
                <w:noProof/>
                <w:sz w:val="12"/>
                <w:szCs w:val="12"/>
              </w:rPr>
              <w:t>18</w:t>
            </w:r>
          </w:p>
        </w:tc>
        <w:tc>
          <w:tcPr>
            <w:tcW w:w="0" w:type="auto"/>
            <w:shd w:val="clear" w:color="auto" w:fill="auto"/>
          </w:tcPr>
          <w:p w14:paraId="79435B00" w14:textId="77777777" w:rsidR="008C5CFA" w:rsidRPr="009C3005" w:rsidRDefault="00E82A60" w:rsidP="00300A01">
            <w:pPr>
              <w:pStyle w:val="Text1"/>
              <w:spacing w:before="0" w:after="0"/>
              <w:ind w:left="0"/>
              <w:rPr>
                <w:sz w:val="12"/>
                <w:szCs w:val="12"/>
              </w:rPr>
            </w:pPr>
            <w:r>
              <w:rPr>
                <w:noProof/>
                <w:sz w:val="12"/>
                <w:szCs w:val="12"/>
              </w:rPr>
              <w:t>PL33</w:t>
            </w:r>
          </w:p>
        </w:tc>
        <w:tc>
          <w:tcPr>
            <w:tcW w:w="0" w:type="auto"/>
            <w:shd w:val="clear" w:color="auto" w:fill="auto"/>
          </w:tcPr>
          <w:p w14:paraId="2806F547" w14:textId="77777777" w:rsidR="008C5CFA" w:rsidRPr="009C3005" w:rsidRDefault="00E82A60" w:rsidP="00300A01">
            <w:pPr>
              <w:pStyle w:val="Text1"/>
              <w:spacing w:before="0" w:after="0"/>
              <w:ind w:left="0"/>
              <w:jc w:val="right"/>
              <w:rPr>
                <w:sz w:val="12"/>
                <w:szCs w:val="12"/>
              </w:rPr>
            </w:pPr>
            <w:r w:rsidRPr="009C3005">
              <w:rPr>
                <w:noProof/>
                <w:sz w:val="12"/>
                <w:szCs w:val="12"/>
              </w:rPr>
              <w:t>4 547 364,52</w:t>
            </w:r>
          </w:p>
        </w:tc>
        <w:tc>
          <w:tcPr>
            <w:tcW w:w="0" w:type="auto"/>
            <w:shd w:val="clear" w:color="auto" w:fill="auto"/>
          </w:tcPr>
          <w:p w14:paraId="2DFC7C63" w14:textId="77777777" w:rsidR="008C5CFA" w:rsidRPr="009C3005" w:rsidRDefault="00E82A60" w:rsidP="00300A01">
            <w:pPr>
              <w:pStyle w:val="Text1"/>
              <w:spacing w:before="0" w:after="0"/>
              <w:ind w:left="0"/>
              <w:jc w:val="right"/>
              <w:rPr>
                <w:sz w:val="12"/>
                <w:szCs w:val="12"/>
              </w:rPr>
            </w:pPr>
            <w:r w:rsidRPr="009C3005">
              <w:rPr>
                <w:noProof/>
                <w:sz w:val="12"/>
                <w:szCs w:val="12"/>
              </w:rPr>
              <w:t>4 547 364,52</w:t>
            </w:r>
          </w:p>
        </w:tc>
        <w:tc>
          <w:tcPr>
            <w:tcW w:w="0" w:type="auto"/>
            <w:shd w:val="clear" w:color="auto" w:fill="auto"/>
          </w:tcPr>
          <w:p w14:paraId="4A3CA267" w14:textId="77777777" w:rsidR="008C5CFA" w:rsidRPr="009C3005" w:rsidRDefault="00E82A60" w:rsidP="00300A01">
            <w:pPr>
              <w:pStyle w:val="Text1"/>
              <w:spacing w:before="0" w:after="0"/>
              <w:ind w:left="0"/>
              <w:jc w:val="right"/>
              <w:rPr>
                <w:sz w:val="12"/>
                <w:szCs w:val="12"/>
              </w:rPr>
            </w:pPr>
            <w:r w:rsidRPr="009C3005">
              <w:rPr>
                <w:noProof/>
                <w:sz w:val="12"/>
                <w:szCs w:val="12"/>
              </w:rPr>
              <w:t>4 547 327,68</w:t>
            </w:r>
          </w:p>
        </w:tc>
        <w:tc>
          <w:tcPr>
            <w:tcW w:w="0" w:type="auto"/>
            <w:shd w:val="clear" w:color="auto" w:fill="auto"/>
          </w:tcPr>
          <w:p w14:paraId="132F2B5A" w14:textId="77777777" w:rsidR="008C5CFA" w:rsidRPr="009C3005" w:rsidRDefault="00E82A60" w:rsidP="00300A01">
            <w:pPr>
              <w:pStyle w:val="Text1"/>
              <w:spacing w:before="0" w:after="0"/>
              <w:ind w:left="0"/>
              <w:jc w:val="right"/>
              <w:rPr>
                <w:sz w:val="12"/>
                <w:szCs w:val="12"/>
              </w:rPr>
            </w:pPr>
            <w:r w:rsidRPr="009C3005">
              <w:rPr>
                <w:noProof/>
                <w:sz w:val="12"/>
                <w:szCs w:val="12"/>
              </w:rPr>
              <w:t>2</w:t>
            </w:r>
          </w:p>
        </w:tc>
      </w:tr>
      <w:tr w:rsidR="006B2EC1" w14:paraId="56B9F9C4" w14:textId="77777777" w:rsidTr="0047688D">
        <w:tc>
          <w:tcPr>
            <w:tcW w:w="0" w:type="auto"/>
            <w:shd w:val="clear" w:color="auto" w:fill="auto"/>
          </w:tcPr>
          <w:p w14:paraId="50D1A1E3" w14:textId="77777777" w:rsidR="008C5CFA" w:rsidRPr="009C3005" w:rsidRDefault="00E82A60" w:rsidP="00300A01">
            <w:pPr>
              <w:pStyle w:val="Text1"/>
              <w:spacing w:before="0" w:after="0"/>
              <w:ind w:left="0"/>
              <w:rPr>
                <w:sz w:val="12"/>
                <w:szCs w:val="12"/>
              </w:rPr>
            </w:pPr>
            <w:r>
              <w:rPr>
                <w:noProof/>
                <w:sz w:val="14"/>
                <w:szCs w:val="14"/>
                <w:lang w:val="fr-BE"/>
              </w:rPr>
              <w:t>7</w:t>
            </w:r>
          </w:p>
        </w:tc>
        <w:tc>
          <w:tcPr>
            <w:tcW w:w="0" w:type="auto"/>
            <w:shd w:val="clear" w:color="auto" w:fill="auto"/>
          </w:tcPr>
          <w:p w14:paraId="153C51CA" w14:textId="77777777" w:rsidR="008C5CFA" w:rsidRPr="009C3005" w:rsidRDefault="00E82A60" w:rsidP="00300A01">
            <w:pPr>
              <w:pStyle w:val="Text1"/>
              <w:spacing w:before="0" w:after="0"/>
              <w:ind w:left="0"/>
              <w:rPr>
                <w:sz w:val="12"/>
                <w:szCs w:val="12"/>
              </w:rPr>
            </w:pPr>
            <w:r>
              <w:rPr>
                <w:noProof/>
                <w:sz w:val="12"/>
                <w:szCs w:val="12"/>
              </w:rPr>
              <w:t>EFRR</w:t>
            </w:r>
          </w:p>
        </w:tc>
        <w:tc>
          <w:tcPr>
            <w:tcW w:w="0" w:type="auto"/>
            <w:shd w:val="clear" w:color="auto" w:fill="auto"/>
          </w:tcPr>
          <w:p w14:paraId="461A816F" w14:textId="77777777" w:rsidR="008C5CFA" w:rsidRPr="009C3005" w:rsidRDefault="00E82A60" w:rsidP="00300A01">
            <w:pPr>
              <w:pStyle w:val="Text1"/>
              <w:spacing w:before="0" w:after="0"/>
              <w:ind w:left="0"/>
              <w:rPr>
                <w:sz w:val="12"/>
                <w:szCs w:val="12"/>
              </w:rPr>
            </w:pPr>
            <w:r>
              <w:rPr>
                <w:noProof/>
                <w:sz w:val="12"/>
                <w:szCs w:val="12"/>
              </w:rPr>
              <w:t>Słabiej rozwinięte</w:t>
            </w:r>
          </w:p>
        </w:tc>
        <w:tc>
          <w:tcPr>
            <w:tcW w:w="0" w:type="auto"/>
            <w:shd w:val="clear" w:color="auto" w:fill="auto"/>
          </w:tcPr>
          <w:p w14:paraId="01E44B02" w14:textId="77777777" w:rsidR="008C5CFA" w:rsidRPr="009C3005" w:rsidRDefault="00E82A60" w:rsidP="00300A01">
            <w:pPr>
              <w:pStyle w:val="Text1"/>
              <w:spacing w:before="0" w:after="0"/>
              <w:ind w:left="0"/>
              <w:rPr>
                <w:sz w:val="12"/>
                <w:szCs w:val="12"/>
              </w:rPr>
            </w:pPr>
            <w:r>
              <w:rPr>
                <w:noProof/>
                <w:sz w:val="12"/>
                <w:szCs w:val="12"/>
              </w:rPr>
              <w:t>051</w:t>
            </w:r>
          </w:p>
        </w:tc>
        <w:tc>
          <w:tcPr>
            <w:tcW w:w="0" w:type="auto"/>
            <w:shd w:val="clear" w:color="auto" w:fill="auto"/>
          </w:tcPr>
          <w:p w14:paraId="2E1E2A60"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564C6384"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4B92AA1A"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5494778B" w14:textId="77777777" w:rsidR="008C5CFA" w:rsidRPr="009C3005" w:rsidRDefault="00E82A60" w:rsidP="00300A01">
            <w:pPr>
              <w:pStyle w:val="Text1"/>
              <w:spacing w:before="0" w:after="0"/>
              <w:ind w:left="0"/>
              <w:rPr>
                <w:sz w:val="12"/>
                <w:szCs w:val="12"/>
              </w:rPr>
            </w:pPr>
            <w:r>
              <w:rPr>
                <w:noProof/>
                <w:sz w:val="12"/>
                <w:szCs w:val="12"/>
              </w:rPr>
              <w:t>10</w:t>
            </w:r>
          </w:p>
        </w:tc>
        <w:tc>
          <w:tcPr>
            <w:tcW w:w="0" w:type="auto"/>
            <w:shd w:val="clear" w:color="auto" w:fill="auto"/>
          </w:tcPr>
          <w:p w14:paraId="5EBAF001" w14:textId="77777777" w:rsidR="008C5CFA" w:rsidRPr="009C3005" w:rsidRDefault="00E82A60" w:rsidP="00300A01">
            <w:pPr>
              <w:pStyle w:val="Text1"/>
              <w:spacing w:before="0" w:after="0"/>
              <w:ind w:left="0"/>
              <w:rPr>
                <w:sz w:val="12"/>
                <w:szCs w:val="12"/>
              </w:rPr>
            </w:pPr>
            <w:r>
              <w:rPr>
                <w:sz w:val="12"/>
                <w:szCs w:val="12"/>
              </w:rPr>
              <w:t xml:space="preserve"> </w:t>
            </w:r>
          </w:p>
        </w:tc>
        <w:tc>
          <w:tcPr>
            <w:tcW w:w="0" w:type="auto"/>
            <w:shd w:val="clear" w:color="auto" w:fill="auto"/>
          </w:tcPr>
          <w:p w14:paraId="44962E67" w14:textId="77777777" w:rsidR="008C5CFA" w:rsidRPr="009C3005" w:rsidRDefault="00E82A60" w:rsidP="00300A01">
            <w:pPr>
              <w:pStyle w:val="Text1"/>
              <w:spacing w:before="0" w:after="0"/>
              <w:ind w:left="0"/>
              <w:rPr>
                <w:sz w:val="12"/>
                <w:szCs w:val="12"/>
              </w:rPr>
            </w:pPr>
            <w:r>
              <w:rPr>
                <w:noProof/>
                <w:sz w:val="12"/>
                <w:szCs w:val="12"/>
              </w:rPr>
              <w:t>18</w:t>
            </w:r>
          </w:p>
        </w:tc>
        <w:tc>
          <w:tcPr>
            <w:tcW w:w="0" w:type="auto"/>
            <w:shd w:val="clear" w:color="auto" w:fill="auto"/>
          </w:tcPr>
          <w:p w14:paraId="507F0FAA" w14:textId="77777777" w:rsidR="008C5CFA" w:rsidRPr="009C3005" w:rsidRDefault="00E82A60" w:rsidP="00300A01">
            <w:pPr>
              <w:pStyle w:val="Text1"/>
              <w:spacing w:before="0" w:after="0"/>
              <w:ind w:left="0"/>
              <w:rPr>
                <w:sz w:val="12"/>
                <w:szCs w:val="12"/>
              </w:rPr>
            </w:pPr>
            <w:r>
              <w:rPr>
                <w:noProof/>
                <w:sz w:val="12"/>
                <w:szCs w:val="12"/>
              </w:rPr>
              <w:t>PL33</w:t>
            </w:r>
          </w:p>
        </w:tc>
        <w:tc>
          <w:tcPr>
            <w:tcW w:w="0" w:type="auto"/>
            <w:shd w:val="clear" w:color="auto" w:fill="auto"/>
          </w:tcPr>
          <w:p w14:paraId="3588DC54" w14:textId="77777777" w:rsidR="008C5CFA" w:rsidRPr="009C3005" w:rsidRDefault="00E82A60" w:rsidP="00300A01">
            <w:pPr>
              <w:pStyle w:val="Text1"/>
              <w:spacing w:before="0" w:after="0"/>
              <w:ind w:left="0"/>
              <w:jc w:val="right"/>
              <w:rPr>
                <w:sz w:val="12"/>
                <w:szCs w:val="12"/>
              </w:rPr>
            </w:pPr>
            <w:r w:rsidRPr="009C3005">
              <w:rPr>
                <w:noProof/>
                <w:sz w:val="12"/>
                <w:szCs w:val="12"/>
              </w:rPr>
              <w:t>2 323 019,67</w:t>
            </w:r>
          </w:p>
        </w:tc>
        <w:tc>
          <w:tcPr>
            <w:tcW w:w="0" w:type="auto"/>
            <w:shd w:val="clear" w:color="auto" w:fill="auto"/>
          </w:tcPr>
          <w:p w14:paraId="5E7947BF" w14:textId="77777777" w:rsidR="008C5CFA" w:rsidRPr="009C3005" w:rsidRDefault="00E82A60" w:rsidP="00300A01">
            <w:pPr>
              <w:pStyle w:val="Text1"/>
              <w:spacing w:before="0" w:after="0"/>
              <w:ind w:left="0"/>
              <w:jc w:val="right"/>
              <w:rPr>
                <w:sz w:val="12"/>
                <w:szCs w:val="12"/>
              </w:rPr>
            </w:pPr>
            <w:r w:rsidRPr="009C3005">
              <w:rPr>
                <w:noProof/>
                <w:sz w:val="12"/>
                <w:szCs w:val="12"/>
              </w:rPr>
              <w:t>2 323 019,67</w:t>
            </w:r>
          </w:p>
        </w:tc>
        <w:tc>
          <w:tcPr>
            <w:tcW w:w="0" w:type="auto"/>
            <w:shd w:val="clear" w:color="auto" w:fill="auto"/>
          </w:tcPr>
          <w:p w14:paraId="6DC2644B" w14:textId="77777777" w:rsidR="008C5CFA" w:rsidRPr="009C3005" w:rsidRDefault="00E82A60" w:rsidP="00300A01">
            <w:pPr>
              <w:pStyle w:val="Text1"/>
              <w:spacing w:before="0" w:after="0"/>
              <w:ind w:left="0"/>
              <w:jc w:val="right"/>
              <w:rPr>
                <w:sz w:val="12"/>
                <w:szCs w:val="12"/>
              </w:rPr>
            </w:pPr>
            <w:r w:rsidRPr="009C3005">
              <w:rPr>
                <w:noProof/>
                <w:sz w:val="12"/>
                <w:szCs w:val="12"/>
              </w:rPr>
              <w:t>1 552 077,83</w:t>
            </w:r>
          </w:p>
        </w:tc>
        <w:tc>
          <w:tcPr>
            <w:tcW w:w="0" w:type="auto"/>
            <w:shd w:val="clear" w:color="auto" w:fill="auto"/>
          </w:tcPr>
          <w:p w14:paraId="558E7F64" w14:textId="77777777" w:rsidR="008C5CFA" w:rsidRPr="009C3005" w:rsidRDefault="00E82A60" w:rsidP="00300A01">
            <w:pPr>
              <w:pStyle w:val="Text1"/>
              <w:spacing w:before="0" w:after="0"/>
              <w:ind w:left="0"/>
              <w:jc w:val="right"/>
              <w:rPr>
                <w:sz w:val="12"/>
                <w:szCs w:val="12"/>
              </w:rPr>
            </w:pPr>
            <w:r w:rsidRPr="009C3005">
              <w:rPr>
                <w:noProof/>
                <w:sz w:val="12"/>
                <w:szCs w:val="12"/>
              </w:rPr>
              <w:t>4</w:t>
            </w:r>
          </w:p>
        </w:tc>
      </w:tr>
      <w:tr w:rsidR="006B2EC1" w14:paraId="31AC5E6A" w14:textId="77777777" w:rsidTr="0047688D">
        <w:tc>
          <w:tcPr>
            <w:tcW w:w="0" w:type="auto"/>
            <w:shd w:val="clear" w:color="auto" w:fill="auto"/>
          </w:tcPr>
          <w:p w14:paraId="37AFB742" w14:textId="77777777" w:rsidR="008C5CFA" w:rsidRPr="009C3005" w:rsidRDefault="00E82A60" w:rsidP="00300A01">
            <w:pPr>
              <w:pStyle w:val="Text1"/>
              <w:spacing w:before="0" w:after="0"/>
              <w:ind w:left="0"/>
              <w:rPr>
                <w:sz w:val="12"/>
                <w:szCs w:val="12"/>
              </w:rPr>
            </w:pPr>
            <w:r>
              <w:rPr>
                <w:noProof/>
                <w:sz w:val="14"/>
                <w:szCs w:val="14"/>
                <w:lang w:val="fr-BE"/>
              </w:rPr>
              <w:t>7</w:t>
            </w:r>
          </w:p>
        </w:tc>
        <w:tc>
          <w:tcPr>
            <w:tcW w:w="0" w:type="auto"/>
            <w:shd w:val="clear" w:color="auto" w:fill="auto"/>
          </w:tcPr>
          <w:p w14:paraId="6B163DC2" w14:textId="77777777" w:rsidR="008C5CFA" w:rsidRPr="009C3005" w:rsidRDefault="00E82A60" w:rsidP="00300A01">
            <w:pPr>
              <w:pStyle w:val="Text1"/>
              <w:spacing w:before="0" w:after="0"/>
              <w:ind w:left="0"/>
              <w:rPr>
                <w:sz w:val="12"/>
                <w:szCs w:val="12"/>
              </w:rPr>
            </w:pPr>
            <w:r>
              <w:rPr>
                <w:noProof/>
                <w:sz w:val="12"/>
                <w:szCs w:val="12"/>
              </w:rPr>
              <w:t>EFRR</w:t>
            </w:r>
          </w:p>
        </w:tc>
        <w:tc>
          <w:tcPr>
            <w:tcW w:w="0" w:type="auto"/>
            <w:shd w:val="clear" w:color="auto" w:fill="auto"/>
          </w:tcPr>
          <w:p w14:paraId="4F4C3310" w14:textId="77777777" w:rsidR="008C5CFA" w:rsidRPr="009C3005" w:rsidRDefault="00E82A60" w:rsidP="00300A01">
            <w:pPr>
              <w:pStyle w:val="Text1"/>
              <w:spacing w:before="0" w:after="0"/>
              <w:ind w:left="0"/>
              <w:rPr>
                <w:sz w:val="12"/>
                <w:szCs w:val="12"/>
              </w:rPr>
            </w:pPr>
            <w:r>
              <w:rPr>
                <w:noProof/>
                <w:sz w:val="12"/>
                <w:szCs w:val="12"/>
              </w:rPr>
              <w:t>Słabiej rozwinięte</w:t>
            </w:r>
          </w:p>
        </w:tc>
        <w:tc>
          <w:tcPr>
            <w:tcW w:w="0" w:type="auto"/>
            <w:shd w:val="clear" w:color="auto" w:fill="auto"/>
          </w:tcPr>
          <w:p w14:paraId="394FC2C2" w14:textId="77777777" w:rsidR="008C5CFA" w:rsidRPr="009C3005" w:rsidRDefault="00E82A60" w:rsidP="00300A01">
            <w:pPr>
              <w:pStyle w:val="Text1"/>
              <w:spacing w:before="0" w:after="0"/>
              <w:ind w:left="0"/>
              <w:rPr>
                <w:sz w:val="12"/>
                <w:szCs w:val="12"/>
              </w:rPr>
            </w:pPr>
            <w:r>
              <w:rPr>
                <w:noProof/>
                <w:sz w:val="12"/>
                <w:szCs w:val="12"/>
              </w:rPr>
              <w:t>051</w:t>
            </w:r>
          </w:p>
        </w:tc>
        <w:tc>
          <w:tcPr>
            <w:tcW w:w="0" w:type="auto"/>
            <w:shd w:val="clear" w:color="auto" w:fill="auto"/>
          </w:tcPr>
          <w:p w14:paraId="43EF4D11"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4E6C4EAE"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2C134A52"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7B16EED9" w14:textId="77777777" w:rsidR="008C5CFA" w:rsidRPr="009C3005" w:rsidRDefault="00E82A60" w:rsidP="00300A01">
            <w:pPr>
              <w:pStyle w:val="Text1"/>
              <w:spacing w:before="0" w:after="0"/>
              <w:ind w:left="0"/>
              <w:rPr>
                <w:sz w:val="12"/>
                <w:szCs w:val="12"/>
              </w:rPr>
            </w:pPr>
            <w:r>
              <w:rPr>
                <w:noProof/>
                <w:sz w:val="12"/>
                <w:szCs w:val="12"/>
              </w:rPr>
              <w:t>10</w:t>
            </w:r>
          </w:p>
        </w:tc>
        <w:tc>
          <w:tcPr>
            <w:tcW w:w="0" w:type="auto"/>
            <w:shd w:val="clear" w:color="auto" w:fill="auto"/>
          </w:tcPr>
          <w:p w14:paraId="39D5EA7A" w14:textId="77777777" w:rsidR="008C5CFA" w:rsidRPr="009C3005" w:rsidRDefault="00E82A60" w:rsidP="00300A01">
            <w:pPr>
              <w:pStyle w:val="Text1"/>
              <w:spacing w:before="0" w:after="0"/>
              <w:ind w:left="0"/>
              <w:rPr>
                <w:sz w:val="12"/>
                <w:szCs w:val="12"/>
              </w:rPr>
            </w:pPr>
            <w:r>
              <w:rPr>
                <w:sz w:val="12"/>
                <w:szCs w:val="12"/>
              </w:rPr>
              <w:t xml:space="preserve"> </w:t>
            </w:r>
          </w:p>
        </w:tc>
        <w:tc>
          <w:tcPr>
            <w:tcW w:w="0" w:type="auto"/>
            <w:shd w:val="clear" w:color="auto" w:fill="auto"/>
          </w:tcPr>
          <w:p w14:paraId="5E9116AC" w14:textId="77777777" w:rsidR="008C5CFA" w:rsidRPr="009C3005" w:rsidRDefault="00E82A60" w:rsidP="00300A01">
            <w:pPr>
              <w:pStyle w:val="Text1"/>
              <w:spacing w:before="0" w:after="0"/>
              <w:ind w:left="0"/>
              <w:rPr>
                <w:sz w:val="12"/>
                <w:szCs w:val="12"/>
              </w:rPr>
            </w:pPr>
            <w:r>
              <w:rPr>
                <w:noProof/>
                <w:sz w:val="12"/>
                <w:szCs w:val="12"/>
              </w:rPr>
              <w:t>19</w:t>
            </w:r>
          </w:p>
        </w:tc>
        <w:tc>
          <w:tcPr>
            <w:tcW w:w="0" w:type="auto"/>
            <w:shd w:val="clear" w:color="auto" w:fill="auto"/>
          </w:tcPr>
          <w:p w14:paraId="7F1FA1D7" w14:textId="77777777" w:rsidR="008C5CFA" w:rsidRPr="009C3005" w:rsidRDefault="00E82A60" w:rsidP="00300A01">
            <w:pPr>
              <w:pStyle w:val="Text1"/>
              <w:spacing w:before="0" w:after="0"/>
              <w:ind w:left="0"/>
              <w:rPr>
                <w:sz w:val="12"/>
                <w:szCs w:val="12"/>
              </w:rPr>
            </w:pPr>
            <w:r>
              <w:rPr>
                <w:noProof/>
                <w:sz w:val="12"/>
                <w:szCs w:val="12"/>
              </w:rPr>
              <w:t>PL33</w:t>
            </w:r>
          </w:p>
        </w:tc>
        <w:tc>
          <w:tcPr>
            <w:tcW w:w="0" w:type="auto"/>
            <w:shd w:val="clear" w:color="auto" w:fill="auto"/>
          </w:tcPr>
          <w:p w14:paraId="7B90C1BE" w14:textId="77777777" w:rsidR="008C5CFA" w:rsidRPr="009C3005" w:rsidRDefault="00E82A60" w:rsidP="00300A01">
            <w:pPr>
              <w:pStyle w:val="Text1"/>
              <w:spacing w:before="0" w:after="0"/>
              <w:ind w:left="0"/>
              <w:jc w:val="right"/>
              <w:rPr>
                <w:sz w:val="12"/>
                <w:szCs w:val="12"/>
              </w:rPr>
            </w:pPr>
            <w:r w:rsidRPr="009C3005">
              <w:rPr>
                <w:noProof/>
                <w:sz w:val="12"/>
                <w:szCs w:val="12"/>
              </w:rPr>
              <w:t>1 205 099,03</w:t>
            </w:r>
          </w:p>
        </w:tc>
        <w:tc>
          <w:tcPr>
            <w:tcW w:w="0" w:type="auto"/>
            <w:shd w:val="clear" w:color="auto" w:fill="auto"/>
          </w:tcPr>
          <w:p w14:paraId="7B6593F9" w14:textId="77777777" w:rsidR="008C5CFA" w:rsidRPr="009C3005" w:rsidRDefault="00E82A60" w:rsidP="00300A01">
            <w:pPr>
              <w:pStyle w:val="Text1"/>
              <w:spacing w:before="0" w:after="0"/>
              <w:ind w:left="0"/>
              <w:jc w:val="right"/>
              <w:rPr>
                <w:sz w:val="12"/>
                <w:szCs w:val="12"/>
              </w:rPr>
            </w:pPr>
            <w:r w:rsidRPr="009C3005">
              <w:rPr>
                <w:noProof/>
                <w:sz w:val="12"/>
                <w:szCs w:val="12"/>
              </w:rPr>
              <w:t>789 554,48</w:t>
            </w:r>
          </w:p>
        </w:tc>
        <w:tc>
          <w:tcPr>
            <w:tcW w:w="0" w:type="auto"/>
            <w:shd w:val="clear" w:color="auto" w:fill="auto"/>
          </w:tcPr>
          <w:p w14:paraId="02EAC4B3" w14:textId="77777777" w:rsidR="008C5CFA" w:rsidRPr="009C3005" w:rsidRDefault="00E82A60" w:rsidP="00300A01">
            <w:pPr>
              <w:pStyle w:val="Text1"/>
              <w:spacing w:before="0" w:after="0"/>
              <w:ind w:left="0"/>
              <w:jc w:val="right"/>
              <w:rPr>
                <w:sz w:val="12"/>
                <w:szCs w:val="12"/>
              </w:rPr>
            </w:pPr>
            <w:r w:rsidRPr="009C3005">
              <w:rPr>
                <w:noProof/>
                <w:sz w:val="12"/>
                <w:szCs w:val="12"/>
              </w:rPr>
              <w:t>745 763,95</w:t>
            </w:r>
          </w:p>
        </w:tc>
        <w:tc>
          <w:tcPr>
            <w:tcW w:w="0" w:type="auto"/>
            <w:shd w:val="clear" w:color="auto" w:fill="auto"/>
          </w:tcPr>
          <w:p w14:paraId="0388C9A5" w14:textId="77777777" w:rsidR="008C5CFA" w:rsidRPr="009C3005" w:rsidRDefault="00E82A60" w:rsidP="00300A01">
            <w:pPr>
              <w:pStyle w:val="Text1"/>
              <w:spacing w:before="0" w:after="0"/>
              <w:ind w:left="0"/>
              <w:jc w:val="right"/>
              <w:rPr>
                <w:sz w:val="12"/>
                <w:szCs w:val="12"/>
              </w:rPr>
            </w:pPr>
            <w:r w:rsidRPr="009C3005">
              <w:rPr>
                <w:noProof/>
                <w:sz w:val="12"/>
                <w:szCs w:val="12"/>
              </w:rPr>
              <w:t>5</w:t>
            </w:r>
          </w:p>
        </w:tc>
      </w:tr>
      <w:tr w:rsidR="006B2EC1" w14:paraId="72F74097" w14:textId="77777777" w:rsidTr="0047688D">
        <w:tc>
          <w:tcPr>
            <w:tcW w:w="0" w:type="auto"/>
            <w:shd w:val="clear" w:color="auto" w:fill="auto"/>
          </w:tcPr>
          <w:p w14:paraId="3CAEDE11" w14:textId="77777777" w:rsidR="008C5CFA" w:rsidRPr="009C3005" w:rsidRDefault="00E82A60" w:rsidP="00300A01">
            <w:pPr>
              <w:pStyle w:val="Text1"/>
              <w:spacing w:before="0" w:after="0"/>
              <w:ind w:left="0"/>
              <w:rPr>
                <w:sz w:val="12"/>
                <w:szCs w:val="12"/>
              </w:rPr>
            </w:pPr>
            <w:r>
              <w:rPr>
                <w:noProof/>
                <w:sz w:val="14"/>
                <w:szCs w:val="14"/>
                <w:lang w:val="fr-BE"/>
              </w:rPr>
              <w:t>7</w:t>
            </w:r>
          </w:p>
        </w:tc>
        <w:tc>
          <w:tcPr>
            <w:tcW w:w="0" w:type="auto"/>
            <w:shd w:val="clear" w:color="auto" w:fill="auto"/>
          </w:tcPr>
          <w:p w14:paraId="1B8A0D67" w14:textId="77777777" w:rsidR="008C5CFA" w:rsidRPr="009C3005" w:rsidRDefault="00E82A60" w:rsidP="00300A01">
            <w:pPr>
              <w:pStyle w:val="Text1"/>
              <w:spacing w:before="0" w:after="0"/>
              <w:ind w:left="0"/>
              <w:rPr>
                <w:sz w:val="12"/>
                <w:szCs w:val="12"/>
              </w:rPr>
            </w:pPr>
            <w:r>
              <w:rPr>
                <w:noProof/>
                <w:sz w:val="12"/>
                <w:szCs w:val="12"/>
              </w:rPr>
              <w:t>EFRR</w:t>
            </w:r>
          </w:p>
        </w:tc>
        <w:tc>
          <w:tcPr>
            <w:tcW w:w="0" w:type="auto"/>
            <w:shd w:val="clear" w:color="auto" w:fill="auto"/>
          </w:tcPr>
          <w:p w14:paraId="1A30F4B3" w14:textId="77777777" w:rsidR="008C5CFA" w:rsidRPr="009C3005" w:rsidRDefault="00E82A60" w:rsidP="00300A01">
            <w:pPr>
              <w:pStyle w:val="Text1"/>
              <w:spacing w:before="0" w:after="0"/>
              <w:ind w:left="0"/>
              <w:rPr>
                <w:sz w:val="12"/>
                <w:szCs w:val="12"/>
              </w:rPr>
            </w:pPr>
            <w:r>
              <w:rPr>
                <w:noProof/>
                <w:sz w:val="12"/>
                <w:szCs w:val="12"/>
              </w:rPr>
              <w:t>Słabiej rozwinięte</w:t>
            </w:r>
          </w:p>
        </w:tc>
        <w:tc>
          <w:tcPr>
            <w:tcW w:w="0" w:type="auto"/>
            <w:shd w:val="clear" w:color="auto" w:fill="auto"/>
          </w:tcPr>
          <w:p w14:paraId="6328270E" w14:textId="77777777" w:rsidR="008C5CFA" w:rsidRPr="009C3005" w:rsidRDefault="00E82A60" w:rsidP="00300A01">
            <w:pPr>
              <w:pStyle w:val="Text1"/>
              <w:spacing w:before="0" w:after="0"/>
              <w:ind w:left="0"/>
              <w:rPr>
                <w:sz w:val="12"/>
                <w:szCs w:val="12"/>
              </w:rPr>
            </w:pPr>
            <w:r>
              <w:rPr>
                <w:noProof/>
                <w:sz w:val="12"/>
                <w:szCs w:val="12"/>
              </w:rPr>
              <w:t>051</w:t>
            </w:r>
          </w:p>
        </w:tc>
        <w:tc>
          <w:tcPr>
            <w:tcW w:w="0" w:type="auto"/>
            <w:shd w:val="clear" w:color="auto" w:fill="auto"/>
          </w:tcPr>
          <w:p w14:paraId="166F2E7D"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42572230" w14:textId="77777777" w:rsidR="008C5CFA" w:rsidRPr="009C3005" w:rsidRDefault="00E82A60" w:rsidP="00300A01">
            <w:pPr>
              <w:pStyle w:val="Text1"/>
              <w:spacing w:before="0" w:after="0"/>
              <w:ind w:left="0"/>
              <w:rPr>
                <w:sz w:val="12"/>
                <w:szCs w:val="12"/>
              </w:rPr>
            </w:pPr>
            <w:r>
              <w:rPr>
                <w:noProof/>
                <w:sz w:val="12"/>
                <w:szCs w:val="12"/>
              </w:rPr>
              <w:t>02</w:t>
            </w:r>
          </w:p>
        </w:tc>
        <w:tc>
          <w:tcPr>
            <w:tcW w:w="0" w:type="auto"/>
            <w:shd w:val="clear" w:color="auto" w:fill="auto"/>
          </w:tcPr>
          <w:p w14:paraId="23C76ECB"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34F2360B" w14:textId="77777777" w:rsidR="008C5CFA" w:rsidRPr="009C3005" w:rsidRDefault="00E82A60" w:rsidP="00300A01">
            <w:pPr>
              <w:pStyle w:val="Text1"/>
              <w:spacing w:before="0" w:after="0"/>
              <w:ind w:left="0"/>
              <w:rPr>
                <w:sz w:val="12"/>
                <w:szCs w:val="12"/>
              </w:rPr>
            </w:pPr>
            <w:r>
              <w:rPr>
                <w:noProof/>
                <w:sz w:val="12"/>
                <w:szCs w:val="12"/>
              </w:rPr>
              <w:t>10</w:t>
            </w:r>
          </w:p>
        </w:tc>
        <w:tc>
          <w:tcPr>
            <w:tcW w:w="0" w:type="auto"/>
            <w:shd w:val="clear" w:color="auto" w:fill="auto"/>
          </w:tcPr>
          <w:p w14:paraId="4B1004BC" w14:textId="77777777" w:rsidR="008C5CFA" w:rsidRPr="009C3005" w:rsidRDefault="00E82A60" w:rsidP="00300A01">
            <w:pPr>
              <w:pStyle w:val="Text1"/>
              <w:spacing w:before="0" w:after="0"/>
              <w:ind w:left="0"/>
              <w:rPr>
                <w:sz w:val="12"/>
                <w:szCs w:val="12"/>
              </w:rPr>
            </w:pPr>
            <w:r>
              <w:rPr>
                <w:sz w:val="12"/>
                <w:szCs w:val="12"/>
              </w:rPr>
              <w:t xml:space="preserve"> </w:t>
            </w:r>
          </w:p>
        </w:tc>
        <w:tc>
          <w:tcPr>
            <w:tcW w:w="0" w:type="auto"/>
            <w:shd w:val="clear" w:color="auto" w:fill="auto"/>
          </w:tcPr>
          <w:p w14:paraId="409277BD" w14:textId="77777777" w:rsidR="008C5CFA" w:rsidRPr="009C3005" w:rsidRDefault="00E82A60" w:rsidP="00300A01">
            <w:pPr>
              <w:pStyle w:val="Text1"/>
              <w:spacing w:before="0" w:after="0"/>
              <w:ind w:left="0"/>
              <w:rPr>
                <w:sz w:val="12"/>
                <w:szCs w:val="12"/>
              </w:rPr>
            </w:pPr>
            <w:r>
              <w:rPr>
                <w:noProof/>
                <w:sz w:val="12"/>
                <w:szCs w:val="12"/>
              </w:rPr>
              <w:t>18</w:t>
            </w:r>
          </w:p>
        </w:tc>
        <w:tc>
          <w:tcPr>
            <w:tcW w:w="0" w:type="auto"/>
            <w:shd w:val="clear" w:color="auto" w:fill="auto"/>
          </w:tcPr>
          <w:p w14:paraId="4E086686" w14:textId="77777777" w:rsidR="008C5CFA" w:rsidRPr="009C3005" w:rsidRDefault="00E82A60" w:rsidP="00300A01">
            <w:pPr>
              <w:pStyle w:val="Text1"/>
              <w:spacing w:before="0" w:after="0"/>
              <w:ind w:left="0"/>
              <w:rPr>
                <w:sz w:val="12"/>
                <w:szCs w:val="12"/>
              </w:rPr>
            </w:pPr>
            <w:r>
              <w:rPr>
                <w:noProof/>
                <w:sz w:val="12"/>
                <w:szCs w:val="12"/>
              </w:rPr>
              <w:t>PL33</w:t>
            </w:r>
          </w:p>
        </w:tc>
        <w:tc>
          <w:tcPr>
            <w:tcW w:w="0" w:type="auto"/>
            <w:shd w:val="clear" w:color="auto" w:fill="auto"/>
          </w:tcPr>
          <w:p w14:paraId="33520CDB" w14:textId="77777777" w:rsidR="008C5CFA" w:rsidRPr="009C3005" w:rsidRDefault="00E82A60" w:rsidP="00300A01">
            <w:pPr>
              <w:pStyle w:val="Text1"/>
              <w:spacing w:before="0" w:after="0"/>
              <w:ind w:left="0"/>
              <w:jc w:val="right"/>
              <w:rPr>
                <w:sz w:val="12"/>
                <w:szCs w:val="12"/>
              </w:rPr>
            </w:pPr>
            <w:r w:rsidRPr="009C3005">
              <w:rPr>
                <w:noProof/>
                <w:sz w:val="12"/>
                <w:szCs w:val="12"/>
              </w:rPr>
              <w:t>10 688 467,30</w:t>
            </w:r>
          </w:p>
        </w:tc>
        <w:tc>
          <w:tcPr>
            <w:tcW w:w="0" w:type="auto"/>
            <w:shd w:val="clear" w:color="auto" w:fill="auto"/>
          </w:tcPr>
          <w:p w14:paraId="6DC3EFCB" w14:textId="77777777" w:rsidR="008C5CFA" w:rsidRPr="009C3005" w:rsidRDefault="00E82A60" w:rsidP="00300A01">
            <w:pPr>
              <w:pStyle w:val="Text1"/>
              <w:spacing w:before="0" w:after="0"/>
              <w:ind w:left="0"/>
              <w:jc w:val="right"/>
              <w:rPr>
                <w:sz w:val="12"/>
                <w:szCs w:val="12"/>
              </w:rPr>
            </w:pPr>
            <w:r w:rsidRPr="009C3005">
              <w:rPr>
                <w:noProof/>
                <w:sz w:val="12"/>
                <w:szCs w:val="12"/>
              </w:rPr>
              <w:t>10 688 467,30</w:t>
            </w:r>
          </w:p>
        </w:tc>
        <w:tc>
          <w:tcPr>
            <w:tcW w:w="0" w:type="auto"/>
            <w:shd w:val="clear" w:color="auto" w:fill="auto"/>
          </w:tcPr>
          <w:p w14:paraId="10D32E78" w14:textId="77777777" w:rsidR="008C5CFA" w:rsidRPr="009C3005" w:rsidRDefault="00E82A60" w:rsidP="00300A01">
            <w:pPr>
              <w:pStyle w:val="Text1"/>
              <w:spacing w:before="0" w:after="0"/>
              <w:ind w:left="0"/>
              <w:jc w:val="right"/>
              <w:rPr>
                <w:sz w:val="12"/>
                <w:szCs w:val="12"/>
              </w:rPr>
            </w:pPr>
            <w:r w:rsidRPr="009C3005">
              <w:rPr>
                <w:noProof/>
                <w:sz w:val="12"/>
                <w:szCs w:val="12"/>
              </w:rPr>
              <w:t>4 487 972,72</w:t>
            </w:r>
          </w:p>
        </w:tc>
        <w:tc>
          <w:tcPr>
            <w:tcW w:w="0" w:type="auto"/>
            <w:shd w:val="clear" w:color="auto" w:fill="auto"/>
          </w:tcPr>
          <w:p w14:paraId="10AA5E7B" w14:textId="77777777" w:rsidR="008C5CFA" w:rsidRPr="009C3005" w:rsidRDefault="00E82A60" w:rsidP="00300A01">
            <w:pPr>
              <w:pStyle w:val="Text1"/>
              <w:spacing w:before="0" w:after="0"/>
              <w:ind w:left="0"/>
              <w:jc w:val="right"/>
              <w:rPr>
                <w:sz w:val="12"/>
                <w:szCs w:val="12"/>
              </w:rPr>
            </w:pPr>
            <w:r w:rsidRPr="009C3005">
              <w:rPr>
                <w:noProof/>
                <w:sz w:val="12"/>
                <w:szCs w:val="12"/>
              </w:rPr>
              <w:t>20</w:t>
            </w:r>
          </w:p>
        </w:tc>
      </w:tr>
      <w:tr w:rsidR="006B2EC1" w14:paraId="6E0B3636" w14:textId="77777777" w:rsidTr="0047688D">
        <w:tc>
          <w:tcPr>
            <w:tcW w:w="0" w:type="auto"/>
            <w:shd w:val="clear" w:color="auto" w:fill="auto"/>
          </w:tcPr>
          <w:p w14:paraId="1275CBA2" w14:textId="77777777" w:rsidR="008C5CFA" w:rsidRPr="009C3005" w:rsidRDefault="00E82A60" w:rsidP="00300A01">
            <w:pPr>
              <w:pStyle w:val="Text1"/>
              <w:spacing w:before="0" w:after="0"/>
              <w:ind w:left="0"/>
              <w:rPr>
                <w:sz w:val="12"/>
                <w:szCs w:val="12"/>
              </w:rPr>
            </w:pPr>
            <w:r>
              <w:rPr>
                <w:noProof/>
                <w:sz w:val="14"/>
                <w:szCs w:val="14"/>
                <w:lang w:val="fr-BE"/>
              </w:rPr>
              <w:t>7</w:t>
            </w:r>
          </w:p>
        </w:tc>
        <w:tc>
          <w:tcPr>
            <w:tcW w:w="0" w:type="auto"/>
            <w:shd w:val="clear" w:color="auto" w:fill="auto"/>
          </w:tcPr>
          <w:p w14:paraId="4C11B32F" w14:textId="77777777" w:rsidR="008C5CFA" w:rsidRPr="009C3005" w:rsidRDefault="00E82A60" w:rsidP="00300A01">
            <w:pPr>
              <w:pStyle w:val="Text1"/>
              <w:spacing w:before="0" w:after="0"/>
              <w:ind w:left="0"/>
              <w:rPr>
                <w:sz w:val="12"/>
                <w:szCs w:val="12"/>
              </w:rPr>
            </w:pPr>
            <w:r>
              <w:rPr>
                <w:noProof/>
                <w:sz w:val="12"/>
                <w:szCs w:val="12"/>
              </w:rPr>
              <w:t>EFRR</w:t>
            </w:r>
          </w:p>
        </w:tc>
        <w:tc>
          <w:tcPr>
            <w:tcW w:w="0" w:type="auto"/>
            <w:shd w:val="clear" w:color="auto" w:fill="auto"/>
          </w:tcPr>
          <w:p w14:paraId="5E13E7CA" w14:textId="77777777" w:rsidR="008C5CFA" w:rsidRPr="009C3005" w:rsidRDefault="00E82A60" w:rsidP="00300A01">
            <w:pPr>
              <w:pStyle w:val="Text1"/>
              <w:spacing w:before="0" w:after="0"/>
              <w:ind w:left="0"/>
              <w:rPr>
                <w:sz w:val="12"/>
                <w:szCs w:val="12"/>
              </w:rPr>
            </w:pPr>
            <w:r>
              <w:rPr>
                <w:noProof/>
                <w:sz w:val="12"/>
                <w:szCs w:val="12"/>
              </w:rPr>
              <w:t>Słabiej rozwinięte</w:t>
            </w:r>
          </w:p>
        </w:tc>
        <w:tc>
          <w:tcPr>
            <w:tcW w:w="0" w:type="auto"/>
            <w:shd w:val="clear" w:color="auto" w:fill="auto"/>
          </w:tcPr>
          <w:p w14:paraId="3CB028CB" w14:textId="77777777" w:rsidR="008C5CFA" w:rsidRPr="009C3005" w:rsidRDefault="00E82A60" w:rsidP="00300A01">
            <w:pPr>
              <w:pStyle w:val="Text1"/>
              <w:spacing w:before="0" w:after="0"/>
              <w:ind w:left="0"/>
              <w:rPr>
                <w:sz w:val="12"/>
                <w:szCs w:val="12"/>
              </w:rPr>
            </w:pPr>
            <w:r>
              <w:rPr>
                <w:noProof/>
                <w:sz w:val="12"/>
                <w:szCs w:val="12"/>
              </w:rPr>
              <w:t>051</w:t>
            </w:r>
          </w:p>
        </w:tc>
        <w:tc>
          <w:tcPr>
            <w:tcW w:w="0" w:type="auto"/>
            <w:shd w:val="clear" w:color="auto" w:fill="auto"/>
          </w:tcPr>
          <w:p w14:paraId="4D19C99D"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71586C04" w14:textId="77777777" w:rsidR="008C5CFA" w:rsidRPr="009C3005" w:rsidRDefault="00E82A60" w:rsidP="00300A01">
            <w:pPr>
              <w:pStyle w:val="Text1"/>
              <w:spacing w:before="0" w:after="0"/>
              <w:ind w:left="0"/>
              <w:rPr>
                <w:sz w:val="12"/>
                <w:szCs w:val="12"/>
              </w:rPr>
            </w:pPr>
            <w:r>
              <w:rPr>
                <w:noProof/>
                <w:sz w:val="12"/>
                <w:szCs w:val="12"/>
              </w:rPr>
              <w:t>02</w:t>
            </w:r>
          </w:p>
        </w:tc>
        <w:tc>
          <w:tcPr>
            <w:tcW w:w="0" w:type="auto"/>
            <w:shd w:val="clear" w:color="auto" w:fill="auto"/>
          </w:tcPr>
          <w:p w14:paraId="6834C971"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4C20D4C8" w14:textId="77777777" w:rsidR="008C5CFA" w:rsidRPr="009C3005" w:rsidRDefault="00E82A60" w:rsidP="00300A01">
            <w:pPr>
              <w:pStyle w:val="Text1"/>
              <w:spacing w:before="0" w:after="0"/>
              <w:ind w:left="0"/>
              <w:rPr>
                <w:sz w:val="12"/>
                <w:szCs w:val="12"/>
              </w:rPr>
            </w:pPr>
            <w:r>
              <w:rPr>
                <w:noProof/>
                <w:sz w:val="12"/>
                <w:szCs w:val="12"/>
              </w:rPr>
              <w:t>10</w:t>
            </w:r>
          </w:p>
        </w:tc>
        <w:tc>
          <w:tcPr>
            <w:tcW w:w="0" w:type="auto"/>
            <w:shd w:val="clear" w:color="auto" w:fill="auto"/>
          </w:tcPr>
          <w:p w14:paraId="228FE99B" w14:textId="77777777" w:rsidR="008C5CFA" w:rsidRPr="009C3005" w:rsidRDefault="00E82A60" w:rsidP="00300A01">
            <w:pPr>
              <w:pStyle w:val="Text1"/>
              <w:spacing w:before="0" w:after="0"/>
              <w:ind w:left="0"/>
              <w:rPr>
                <w:sz w:val="12"/>
                <w:szCs w:val="12"/>
              </w:rPr>
            </w:pPr>
            <w:r>
              <w:rPr>
                <w:sz w:val="12"/>
                <w:szCs w:val="12"/>
              </w:rPr>
              <w:t xml:space="preserve"> </w:t>
            </w:r>
          </w:p>
        </w:tc>
        <w:tc>
          <w:tcPr>
            <w:tcW w:w="0" w:type="auto"/>
            <w:shd w:val="clear" w:color="auto" w:fill="auto"/>
          </w:tcPr>
          <w:p w14:paraId="060196D6" w14:textId="77777777" w:rsidR="008C5CFA" w:rsidRPr="009C3005" w:rsidRDefault="00E82A60" w:rsidP="00300A01">
            <w:pPr>
              <w:pStyle w:val="Text1"/>
              <w:spacing w:before="0" w:after="0"/>
              <w:ind w:left="0"/>
              <w:rPr>
                <w:sz w:val="12"/>
                <w:szCs w:val="12"/>
              </w:rPr>
            </w:pPr>
            <w:r>
              <w:rPr>
                <w:noProof/>
                <w:sz w:val="12"/>
                <w:szCs w:val="12"/>
              </w:rPr>
              <w:t>19</w:t>
            </w:r>
          </w:p>
        </w:tc>
        <w:tc>
          <w:tcPr>
            <w:tcW w:w="0" w:type="auto"/>
            <w:shd w:val="clear" w:color="auto" w:fill="auto"/>
          </w:tcPr>
          <w:p w14:paraId="060433B6" w14:textId="77777777" w:rsidR="008C5CFA" w:rsidRPr="009C3005" w:rsidRDefault="00E82A60" w:rsidP="00300A01">
            <w:pPr>
              <w:pStyle w:val="Text1"/>
              <w:spacing w:before="0" w:after="0"/>
              <w:ind w:left="0"/>
              <w:rPr>
                <w:sz w:val="12"/>
                <w:szCs w:val="12"/>
              </w:rPr>
            </w:pPr>
            <w:r>
              <w:rPr>
                <w:noProof/>
                <w:sz w:val="12"/>
                <w:szCs w:val="12"/>
              </w:rPr>
              <w:t>PL33</w:t>
            </w:r>
          </w:p>
        </w:tc>
        <w:tc>
          <w:tcPr>
            <w:tcW w:w="0" w:type="auto"/>
            <w:shd w:val="clear" w:color="auto" w:fill="auto"/>
          </w:tcPr>
          <w:p w14:paraId="6A4087C9" w14:textId="77777777" w:rsidR="008C5CFA" w:rsidRPr="009C3005" w:rsidRDefault="00E82A60" w:rsidP="00300A01">
            <w:pPr>
              <w:pStyle w:val="Text1"/>
              <w:spacing w:before="0" w:after="0"/>
              <w:ind w:left="0"/>
              <w:jc w:val="right"/>
              <w:rPr>
                <w:sz w:val="12"/>
                <w:szCs w:val="12"/>
              </w:rPr>
            </w:pPr>
            <w:r w:rsidRPr="009C3005">
              <w:rPr>
                <w:noProof/>
                <w:sz w:val="12"/>
                <w:szCs w:val="12"/>
              </w:rPr>
              <w:t>491 967,41</w:t>
            </w:r>
          </w:p>
        </w:tc>
        <w:tc>
          <w:tcPr>
            <w:tcW w:w="0" w:type="auto"/>
            <w:shd w:val="clear" w:color="auto" w:fill="auto"/>
          </w:tcPr>
          <w:p w14:paraId="48A60C7A" w14:textId="77777777" w:rsidR="008C5CFA" w:rsidRPr="009C3005" w:rsidRDefault="00E82A60" w:rsidP="00300A01">
            <w:pPr>
              <w:pStyle w:val="Text1"/>
              <w:spacing w:before="0" w:after="0"/>
              <w:ind w:left="0"/>
              <w:jc w:val="right"/>
              <w:rPr>
                <w:sz w:val="12"/>
                <w:szCs w:val="12"/>
              </w:rPr>
            </w:pPr>
            <w:r w:rsidRPr="009C3005">
              <w:rPr>
                <w:noProof/>
                <w:sz w:val="12"/>
                <w:szCs w:val="12"/>
              </w:rPr>
              <w:t>491 967,41</w:t>
            </w:r>
          </w:p>
        </w:tc>
        <w:tc>
          <w:tcPr>
            <w:tcW w:w="0" w:type="auto"/>
            <w:shd w:val="clear" w:color="auto" w:fill="auto"/>
          </w:tcPr>
          <w:p w14:paraId="253971B9" w14:textId="77777777" w:rsidR="008C5CFA" w:rsidRPr="009C3005" w:rsidRDefault="00E82A60" w:rsidP="00300A01">
            <w:pPr>
              <w:pStyle w:val="Text1"/>
              <w:spacing w:before="0" w:after="0"/>
              <w:ind w:left="0"/>
              <w:jc w:val="right"/>
              <w:rPr>
                <w:sz w:val="12"/>
                <w:szCs w:val="12"/>
              </w:rPr>
            </w:pPr>
            <w:r w:rsidRPr="009C3005">
              <w:rPr>
                <w:noProof/>
                <w:sz w:val="12"/>
                <w:szCs w:val="12"/>
              </w:rPr>
              <w:t>172 944,87</w:t>
            </w:r>
          </w:p>
        </w:tc>
        <w:tc>
          <w:tcPr>
            <w:tcW w:w="0" w:type="auto"/>
            <w:shd w:val="clear" w:color="auto" w:fill="auto"/>
          </w:tcPr>
          <w:p w14:paraId="27CC9209" w14:textId="77777777" w:rsidR="008C5CFA" w:rsidRPr="009C3005" w:rsidRDefault="00E82A60" w:rsidP="00300A01">
            <w:pPr>
              <w:pStyle w:val="Text1"/>
              <w:spacing w:before="0" w:after="0"/>
              <w:ind w:left="0"/>
              <w:jc w:val="right"/>
              <w:rPr>
                <w:sz w:val="12"/>
                <w:szCs w:val="12"/>
              </w:rPr>
            </w:pPr>
            <w:r w:rsidRPr="009C3005">
              <w:rPr>
                <w:noProof/>
                <w:sz w:val="12"/>
                <w:szCs w:val="12"/>
              </w:rPr>
              <w:t>2</w:t>
            </w:r>
          </w:p>
        </w:tc>
      </w:tr>
      <w:tr w:rsidR="006B2EC1" w14:paraId="1F774041" w14:textId="77777777" w:rsidTr="0047688D">
        <w:tc>
          <w:tcPr>
            <w:tcW w:w="0" w:type="auto"/>
            <w:shd w:val="clear" w:color="auto" w:fill="auto"/>
          </w:tcPr>
          <w:p w14:paraId="3F2BB8BE" w14:textId="77777777" w:rsidR="008C5CFA" w:rsidRPr="009C3005" w:rsidRDefault="00E82A60" w:rsidP="00300A01">
            <w:pPr>
              <w:pStyle w:val="Text1"/>
              <w:spacing w:before="0" w:after="0"/>
              <w:ind w:left="0"/>
              <w:rPr>
                <w:sz w:val="12"/>
                <w:szCs w:val="12"/>
              </w:rPr>
            </w:pPr>
            <w:r>
              <w:rPr>
                <w:noProof/>
                <w:sz w:val="14"/>
                <w:szCs w:val="14"/>
                <w:lang w:val="fr-BE"/>
              </w:rPr>
              <w:t>7</w:t>
            </w:r>
          </w:p>
        </w:tc>
        <w:tc>
          <w:tcPr>
            <w:tcW w:w="0" w:type="auto"/>
            <w:shd w:val="clear" w:color="auto" w:fill="auto"/>
          </w:tcPr>
          <w:p w14:paraId="0B5B2612" w14:textId="77777777" w:rsidR="008C5CFA" w:rsidRPr="009C3005" w:rsidRDefault="00E82A60" w:rsidP="00300A01">
            <w:pPr>
              <w:pStyle w:val="Text1"/>
              <w:spacing w:before="0" w:after="0"/>
              <w:ind w:left="0"/>
              <w:rPr>
                <w:sz w:val="12"/>
                <w:szCs w:val="12"/>
              </w:rPr>
            </w:pPr>
            <w:r>
              <w:rPr>
                <w:noProof/>
                <w:sz w:val="12"/>
                <w:szCs w:val="12"/>
              </w:rPr>
              <w:t>EFRR</w:t>
            </w:r>
          </w:p>
        </w:tc>
        <w:tc>
          <w:tcPr>
            <w:tcW w:w="0" w:type="auto"/>
            <w:shd w:val="clear" w:color="auto" w:fill="auto"/>
          </w:tcPr>
          <w:p w14:paraId="42D03A3C" w14:textId="77777777" w:rsidR="008C5CFA" w:rsidRPr="009C3005" w:rsidRDefault="00E82A60" w:rsidP="00300A01">
            <w:pPr>
              <w:pStyle w:val="Text1"/>
              <w:spacing w:before="0" w:after="0"/>
              <w:ind w:left="0"/>
              <w:rPr>
                <w:sz w:val="12"/>
                <w:szCs w:val="12"/>
              </w:rPr>
            </w:pPr>
            <w:r>
              <w:rPr>
                <w:noProof/>
                <w:sz w:val="12"/>
                <w:szCs w:val="12"/>
              </w:rPr>
              <w:t>Słabiej rozwinięte</w:t>
            </w:r>
          </w:p>
        </w:tc>
        <w:tc>
          <w:tcPr>
            <w:tcW w:w="0" w:type="auto"/>
            <w:shd w:val="clear" w:color="auto" w:fill="auto"/>
          </w:tcPr>
          <w:p w14:paraId="4956E464" w14:textId="77777777" w:rsidR="008C5CFA" w:rsidRPr="009C3005" w:rsidRDefault="00E82A60" w:rsidP="00300A01">
            <w:pPr>
              <w:pStyle w:val="Text1"/>
              <w:spacing w:before="0" w:after="0"/>
              <w:ind w:left="0"/>
              <w:rPr>
                <w:sz w:val="12"/>
                <w:szCs w:val="12"/>
              </w:rPr>
            </w:pPr>
            <w:r>
              <w:rPr>
                <w:noProof/>
                <w:sz w:val="12"/>
                <w:szCs w:val="12"/>
              </w:rPr>
              <w:t>051</w:t>
            </w:r>
          </w:p>
        </w:tc>
        <w:tc>
          <w:tcPr>
            <w:tcW w:w="0" w:type="auto"/>
            <w:shd w:val="clear" w:color="auto" w:fill="auto"/>
          </w:tcPr>
          <w:p w14:paraId="2584ACF1"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6DEB6081" w14:textId="77777777" w:rsidR="008C5CFA" w:rsidRPr="009C3005" w:rsidRDefault="00E82A60" w:rsidP="00300A01">
            <w:pPr>
              <w:pStyle w:val="Text1"/>
              <w:spacing w:before="0" w:after="0"/>
              <w:ind w:left="0"/>
              <w:rPr>
                <w:sz w:val="12"/>
                <w:szCs w:val="12"/>
              </w:rPr>
            </w:pPr>
            <w:r>
              <w:rPr>
                <w:noProof/>
                <w:sz w:val="12"/>
                <w:szCs w:val="12"/>
              </w:rPr>
              <w:t>03</w:t>
            </w:r>
          </w:p>
        </w:tc>
        <w:tc>
          <w:tcPr>
            <w:tcW w:w="0" w:type="auto"/>
            <w:shd w:val="clear" w:color="auto" w:fill="auto"/>
          </w:tcPr>
          <w:p w14:paraId="79E23596"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762EBE17" w14:textId="77777777" w:rsidR="008C5CFA" w:rsidRPr="009C3005" w:rsidRDefault="00E82A60" w:rsidP="00300A01">
            <w:pPr>
              <w:pStyle w:val="Text1"/>
              <w:spacing w:before="0" w:after="0"/>
              <w:ind w:left="0"/>
              <w:rPr>
                <w:sz w:val="12"/>
                <w:szCs w:val="12"/>
              </w:rPr>
            </w:pPr>
            <w:r>
              <w:rPr>
                <w:noProof/>
                <w:sz w:val="12"/>
                <w:szCs w:val="12"/>
              </w:rPr>
              <w:t>10</w:t>
            </w:r>
          </w:p>
        </w:tc>
        <w:tc>
          <w:tcPr>
            <w:tcW w:w="0" w:type="auto"/>
            <w:shd w:val="clear" w:color="auto" w:fill="auto"/>
          </w:tcPr>
          <w:p w14:paraId="7A3F6945" w14:textId="77777777" w:rsidR="008C5CFA" w:rsidRPr="009C3005" w:rsidRDefault="00E82A60" w:rsidP="00300A01">
            <w:pPr>
              <w:pStyle w:val="Text1"/>
              <w:spacing w:before="0" w:after="0"/>
              <w:ind w:left="0"/>
              <w:rPr>
                <w:sz w:val="12"/>
                <w:szCs w:val="12"/>
              </w:rPr>
            </w:pPr>
            <w:r>
              <w:rPr>
                <w:sz w:val="12"/>
                <w:szCs w:val="12"/>
              </w:rPr>
              <w:t xml:space="preserve"> </w:t>
            </w:r>
          </w:p>
        </w:tc>
        <w:tc>
          <w:tcPr>
            <w:tcW w:w="0" w:type="auto"/>
            <w:shd w:val="clear" w:color="auto" w:fill="auto"/>
          </w:tcPr>
          <w:p w14:paraId="6DB67213" w14:textId="77777777" w:rsidR="008C5CFA" w:rsidRPr="009C3005" w:rsidRDefault="00E82A60" w:rsidP="00300A01">
            <w:pPr>
              <w:pStyle w:val="Text1"/>
              <w:spacing w:before="0" w:after="0"/>
              <w:ind w:left="0"/>
              <w:rPr>
                <w:sz w:val="12"/>
                <w:szCs w:val="12"/>
              </w:rPr>
            </w:pPr>
            <w:r>
              <w:rPr>
                <w:noProof/>
                <w:sz w:val="12"/>
                <w:szCs w:val="12"/>
              </w:rPr>
              <w:t>18</w:t>
            </w:r>
          </w:p>
        </w:tc>
        <w:tc>
          <w:tcPr>
            <w:tcW w:w="0" w:type="auto"/>
            <w:shd w:val="clear" w:color="auto" w:fill="auto"/>
          </w:tcPr>
          <w:p w14:paraId="0B434668" w14:textId="77777777" w:rsidR="008C5CFA" w:rsidRPr="009C3005" w:rsidRDefault="00E82A60" w:rsidP="00300A01">
            <w:pPr>
              <w:pStyle w:val="Text1"/>
              <w:spacing w:before="0" w:after="0"/>
              <w:ind w:left="0"/>
              <w:rPr>
                <w:sz w:val="12"/>
                <w:szCs w:val="12"/>
              </w:rPr>
            </w:pPr>
            <w:r>
              <w:rPr>
                <w:noProof/>
                <w:sz w:val="12"/>
                <w:szCs w:val="12"/>
              </w:rPr>
              <w:t>PL33</w:t>
            </w:r>
          </w:p>
        </w:tc>
        <w:tc>
          <w:tcPr>
            <w:tcW w:w="0" w:type="auto"/>
            <w:shd w:val="clear" w:color="auto" w:fill="auto"/>
          </w:tcPr>
          <w:p w14:paraId="2EF0AEDE" w14:textId="77777777" w:rsidR="008C5CFA" w:rsidRPr="009C3005" w:rsidRDefault="00E82A60" w:rsidP="00300A01">
            <w:pPr>
              <w:pStyle w:val="Text1"/>
              <w:spacing w:before="0" w:after="0"/>
              <w:ind w:left="0"/>
              <w:jc w:val="right"/>
              <w:rPr>
                <w:sz w:val="12"/>
                <w:szCs w:val="12"/>
              </w:rPr>
            </w:pPr>
            <w:r w:rsidRPr="009C3005">
              <w:rPr>
                <w:noProof/>
                <w:sz w:val="12"/>
                <w:szCs w:val="12"/>
              </w:rPr>
              <w:t>32 137 801,08</w:t>
            </w:r>
          </w:p>
        </w:tc>
        <w:tc>
          <w:tcPr>
            <w:tcW w:w="0" w:type="auto"/>
            <w:shd w:val="clear" w:color="auto" w:fill="auto"/>
          </w:tcPr>
          <w:p w14:paraId="62713F22" w14:textId="77777777" w:rsidR="008C5CFA" w:rsidRPr="009C3005" w:rsidRDefault="00E82A60" w:rsidP="00300A01">
            <w:pPr>
              <w:pStyle w:val="Text1"/>
              <w:spacing w:before="0" w:after="0"/>
              <w:ind w:left="0"/>
              <w:jc w:val="right"/>
              <w:rPr>
                <w:sz w:val="12"/>
                <w:szCs w:val="12"/>
              </w:rPr>
            </w:pPr>
            <w:r w:rsidRPr="009C3005">
              <w:rPr>
                <w:noProof/>
                <w:sz w:val="12"/>
                <w:szCs w:val="12"/>
              </w:rPr>
              <w:t>32 137 801,08</w:t>
            </w:r>
          </w:p>
        </w:tc>
        <w:tc>
          <w:tcPr>
            <w:tcW w:w="0" w:type="auto"/>
            <w:shd w:val="clear" w:color="auto" w:fill="auto"/>
          </w:tcPr>
          <w:p w14:paraId="2D8FD5F1" w14:textId="77777777" w:rsidR="008C5CFA" w:rsidRPr="009C3005" w:rsidRDefault="00E82A60" w:rsidP="00300A01">
            <w:pPr>
              <w:pStyle w:val="Text1"/>
              <w:spacing w:before="0" w:after="0"/>
              <w:ind w:left="0"/>
              <w:jc w:val="right"/>
              <w:rPr>
                <w:sz w:val="12"/>
                <w:szCs w:val="12"/>
              </w:rPr>
            </w:pPr>
            <w:r w:rsidRPr="009C3005">
              <w:rPr>
                <w:noProof/>
                <w:sz w:val="12"/>
                <w:szCs w:val="12"/>
              </w:rPr>
              <w:t>17 816 379,84</w:t>
            </w:r>
          </w:p>
        </w:tc>
        <w:tc>
          <w:tcPr>
            <w:tcW w:w="0" w:type="auto"/>
            <w:shd w:val="clear" w:color="auto" w:fill="auto"/>
          </w:tcPr>
          <w:p w14:paraId="020F492F" w14:textId="77777777" w:rsidR="008C5CFA" w:rsidRPr="009C3005" w:rsidRDefault="00E82A60" w:rsidP="00300A01">
            <w:pPr>
              <w:pStyle w:val="Text1"/>
              <w:spacing w:before="0" w:after="0"/>
              <w:ind w:left="0"/>
              <w:jc w:val="right"/>
              <w:rPr>
                <w:sz w:val="12"/>
                <w:szCs w:val="12"/>
              </w:rPr>
            </w:pPr>
            <w:r w:rsidRPr="009C3005">
              <w:rPr>
                <w:noProof/>
                <w:sz w:val="12"/>
                <w:szCs w:val="12"/>
              </w:rPr>
              <w:t>71</w:t>
            </w:r>
          </w:p>
        </w:tc>
      </w:tr>
      <w:tr w:rsidR="006B2EC1" w14:paraId="66CE60ED" w14:textId="77777777" w:rsidTr="0047688D">
        <w:tc>
          <w:tcPr>
            <w:tcW w:w="0" w:type="auto"/>
            <w:shd w:val="clear" w:color="auto" w:fill="auto"/>
          </w:tcPr>
          <w:p w14:paraId="3CE8CF96" w14:textId="77777777" w:rsidR="008C5CFA" w:rsidRPr="009C3005" w:rsidRDefault="00E82A60" w:rsidP="00300A01">
            <w:pPr>
              <w:pStyle w:val="Text1"/>
              <w:spacing w:before="0" w:after="0"/>
              <w:ind w:left="0"/>
              <w:rPr>
                <w:sz w:val="12"/>
                <w:szCs w:val="12"/>
              </w:rPr>
            </w:pPr>
            <w:r>
              <w:rPr>
                <w:noProof/>
                <w:sz w:val="14"/>
                <w:szCs w:val="14"/>
                <w:lang w:val="fr-BE"/>
              </w:rPr>
              <w:t>7</w:t>
            </w:r>
          </w:p>
        </w:tc>
        <w:tc>
          <w:tcPr>
            <w:tcW w:w="0" w:type="auto"/>
            <w:shd w:val="clear" w:color="auto" w:fill="auto"/>
          </w:tcPr>
          <w:p w14:paraId="4A709365" w14:textId="77777777" w:rsidR="008C5CFA" w:rsidRPr="009C3005" w:rsidRDefault="00E82A60" w:rsidP="00300A01">
            <w:pPr>
              <w:pStyle w:val="Text1"/>
              <w:spacing w:before="0" w:after="0"/>
              <w:ind w:left="0"/>
              <w:rPr>
                <w:sz w:val="12"/>
                <w:szCs w:val="12"/>
              </w:rPr>
            </w:pPr>
            <w:r>
              <w:rPr>
                <w:noProof/>
                <w:sz w:val="12"/>
                <w:szCs w:val="12"/>
              </w:rPr>
              <w:t>EFRR</w:t>
            </w:r>
          </w:p>
        </w:tc>
        <w:tc>
          <w:tcPr>
            <w:tcW w:w="0" w:type="auto"/>
            <w:shd w:val="clear" w:color="auto" w:fill="auto"/>
          </w:tcPr>
          <w:p w14:paraId="5BD364BA" w14:textId="77777777" w:rsidR="008C5CFA" w:rsidRPr="009C3005" w:rsidRDefault="00E82A60" w:rsidP="00300A01">
            <w:pPr>
              <w:pStyle w:val="Text1"/>
              <w:spacing w:before="0" w:after="0"/>
              <w:ind w:left="0"/>
              <w:rPr>
                <w:sz w:val="12"/>
                <w:szCs w:val="12"/>
              </w:rPr>
            </w:pPr>
            <w:r>
              <w:rPr>
                <w:noProof/>
                <w:sz w:val="12"/>
                <w:szCs w:val="12"/>
              </w:rPr>
              <w:t>Słabiej rozwinięte</w:t>
            </w:r>
          </w:p>
        </w:tc>
        <w:tc>
          <w:tcPr>
            <w:tcW w:w="0" w:type="auto"/>
            <w:shd w:val="clear" w:color="auto" w:fill="auto"/>
          </w:tcPr>
          <w:p w14:paraId="57CC2802" w14:textId="77777777" w:rsidR="008C5CFA" w:rsidRPr="009C3005" w:rsidRDefault="00E82A60" w:rsidP="00300A01">
            <w:pPr>
              <w:pStyle w:val="Text1"/>
              <w:spacing w:before="0" w:after="0"/>
              <w:ind w:left="0"/>
              <w:rPr>
                <w:sz w:val="12"/>
                <w:szCs w:val="12"/>
              </w:rPr>
            </w:pPr>
            <w:r>
              <w:rPr>
                <w:noProof/>
                <w:sz w:val="12"/>
                <w:szCs w:val="12"/>
              </w:rPr>
              <w:t>051</w:t>
            </w:r>
          </w:p>
        </w:tc>
        <w:tc>
          <w:tcPr>
            <w:tcW w:w="0" w:type="auto"/>
            <w:shd w:val="clear" w:color="auto" w:fill="auto"/>
          </w:tcPr>
          <w:p w14:paraId="4E27B8E8"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64ED7080" w14:textId="77777777" w:rsidR="008C5CFA" w:rsidRPr="009C3005" w:rsidRDefault="00E82A60" w:rsidP="00300A01">
            <w:pPr>
              <w:pStyle w:val="Text1"/>
              <w:spacing w:before="0" w:after="0"/>
              <w:ind w:left="0"/>
              <w:rPr>
                <w:sz w:val="12"/>
                <w:szCs w:val="12"/>
              </w:rPr>
            </w:pPr>
            <w:r>
              <w:rPr>
                <w:noProof/>
                <w:sz w:val="12"/>
                <w:szCs w:val="12"/>
              </w:rPr>
              <w:t>03</w:t>
            </w:r>
          </w:p>
        </w:tc>
        <w:tc>
          <w:tcPr>
            <w:tcW w:w="0" w:type="auto"/>
            <w:shd w:val="clear" w:color="auto" w:fill="auto"/>
          </w:tcPr>
          <w:p w14:paraId="0401BEA3"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51FB286A" w14:textId="77777777" w:rsidR="008C5CFA" w:rsidRPr="009C3005" w:rsidRDefault="00E82A60" w:rsidP="00300A01">
            <w:pPr>
              <w:pStyle w:val="Text1"/>
              <w:spacing w:before="0" w:after="0"/>
              <w:ind w:left="0"/>
              <w:rPr>
                <w:sz w:val="12"/>
                <w:szCs w:val="12"/>
              </w:rPr>
            </w:pPr>
            <w:r>
              <w:rPr>
                <w:noProof/>
                <w:sz w:val="12"/>
                <w:szCs w:val="12"/>
              </w:rPr>
              <w:t>10</w:t>
            </w:r>
          </w:p>
        </w:tc>
        <w:tc>
          <w:tcPr>
            <w:tcW w:w="0" w:type="auto"/>
            <w:shd w:val="clear" w:color="auto" w:fill="auto"/>
          </w:tcPr>
          <w:p w14:paraId="2B4A4300" w14:textId="77777777" w:rsidR="008C5CFA" w:rsidRPr="009C3005" w:rsidRDefault="00E82A60" w:rsidP="00300A01">
            <w:pPr>
              <w:pStyle w:val="Text1"/>
              <w:spacing w:before="0" w:after="0"/>
              <w:ind w:left="0"/>
              <w:rPr>
                <w:sz w:val="12"/>
                <w:szCs w:val="12"/>
              </w:rPr>
            </w:pPr>
            <w:r>
              <w:rPr>
                <w:sz w:val="12"/>
                <w:szCs w:val="12"/>
              </w:rPr>
              <w:t xml:space="preserve"> </w:t>
            </w:r>
          </w:p>
        </w:tc>
        <w:tc>
          <w:tcPr>
            <w:tcW w:w="0" w:type="auto"/>
            <w:shd w:val="clear" w:color="auto" w:fill="auto"/>
          </w:tcPr>
          <w:p w14:paraId="5AF91E55" w14:textId="77777777" w:rsidR="008C5CFA" w:rsidRPr="009C3005" w:rsidRDefault="00E82A60" w:rsidP="00300A01">
            <w:pPr>
              <w:pStyle w:val="Text1"/>
              <w:spacing w:before="0" w:after="0"/>
              <w:ind w:left="0"/>
              <w:rPr>
                <w:sz w:val="12"/>
                <w:szCs w:val="12"/>
              </w:rPr>
            </w:pPr>
            <w:r>
              <w:rPr>
                <w:noProof/>
                <w:sz w:val="12"/>
                <w:szCs w:val="12"/>
              </w:rPr>
              <w:t>19</w:t>
            </w:r>
          </w:p>
        </w:tc>
        <w:tc>
          <w:tcPr>
            <w:tcW w:w="0" w:type="auto"/>
            <w:shd w:val="clear" w:color="auto" w:fill="auto"/>
          </w:tcPr>
          <w:p w14:paraId="220D79B9" w14:textId="77777777" w:rsidR="008C5CFA" w:rsidRPr="009C3005" w:rsidRDefault="00E82A60" w:rsidP="00300A01">
            <w:pPr>
              <w:pStyle w:val="Text1"/>
              <w:spacing w:before="0" w:after="0"/>
              <w:ind w:left="0"/>
              <w:rPr>
                <w:sz w:val="12"/>
                <w:szCs w:val="12"/>
              </w:rPr>
            </w:pPr>
            <w:r>
              <w:rPr>
                <w:noProof/>
                <w:sz w:val="12"/>
                <w:szCs w:val="12"/>
              </w:rPr>
              <w:t>PL33</w:t>
            </w:r>
          </w:p>
        </w:tc>
        <w:tc>
          <w:tcPr>
            <w:tcW w:w="0" w:type="auto"/>
            <w:shd w:val="clear" w:color="auto" w:fill="auto"/>
          </w:tcPr>
          <w:p w14:paraId="7A0375AF" w14:textId="77777777" w:rsidR="008C5CFA" w:rsidRPr="009C3005" w:rsidRDefault="00E82A60" w:rsidP="00300A01">
            <w:pPr>
              <w:pStyle w:val="Text1"/>
              <w:spacing w:before="0" w:after="0"/>
              <w:ind w:left="0"/>
              <w:jc w:val="right"/>
              <w:rPr>
                <w:sz w:val="12"/>
                <w:szCs w:val="12"/>
              </w:rPr>
            </w:pPr>
            <w:r w:rsidRPr="009C3005">
              <w:rPr>
                <w:noProof/>
                <w:sz w:val="12"/>
                <w:szCs w:val="12"/>
              </w:rPr>
              <w:t>1 453 399,81</w:t>
            </w:r>
          </w:p>
        </w:tc>
        <w:tc>
          <w:tcPr>
            <w:tcW w:w="0" w:type="auto"/>
            <w:shd w:val="clear" w:color="auto" w:fill="auto"/>
          </w:tcPr>
          <w:p w14:paraId="71C6C5B7" w14:textId="77777777" w:rsidR="008C5CFA" w:rsidRPr="009C3005" w:rsidRDefault="00E82A60" w:rsidP="00300A01">
            <w:pPr>
              <w:pStyle w:val="Text1"/>
              <w:spacing w:before="0" w:after="0"/>
              <w:ind w:left="0"/>
              <w:jc w:val="right"/>
              <w:rPr>
                <w:sz w:val="12"/>
                <w:szCs w:val="12"/>
              </w:rPr>
            </w:pPr>
            <w:r w:rsidRPr="009C3005">
              <w:rPr>
                <w:noProof/>
                <w:sz w:val="12"/>
                <w:szCs w:val="12"/>
              </w:rPr>
              <w:t>1 007 936,86</w:t>
            </w:r>
          </w:p>
        </w:tc>
        <w:tc>
          <w:tcPr>
            <w:tcW w:w="0" w:type="auto"/>
            <w:shd w:val="clear" w:color="auto" w:fill="auto"/>
          </w:tcPr>
          <w:p w14:paraId="719BE328" w14:textId="77777777" w:rsidR="008C5CFA" w:rsidRPr="009C3005" w:rsidRDefault="00E82A60" w:rsidP="00300A01">
            <w:pPr>
              <w:pStyle w:val="Text1"/>
              <w:spacing w:before="0" w:after="0"/>
              <w:ind w:left="0"/>
              <w:jc w:val="right"/>
              <w:rPr>
                <w:sz w:val="12"/>
                <w:szCs w:val="12"/>
              </w:rPr>
            </w:pPr>
            <w:r w:rsidRPr="009C3005">
              <w:rPr>
                <w:noProof/>
                <w:sz w:val="12"/>
                <w:szCs w:val="12"/>
              </w:rPr>
              <w:t>159 042,75</w:t>
            </w:r>
          </w:p>
        </w:tc>
        <w:tc>
          <w:tcPr>
            <w:tcW w:w="0" w:type="auto"/>
            <w:shd w:val="clear" w:color="auto" w:fill="auto"/>
          </w:tcPr>
          <w:p w14:paraId="0466621B" w14:textId="77777777" w:rsidR="008C5CFA" w:rsidRPr="009C3005" w:rsidRDefault="00E82A60" w:rsidP="00300A01">
            <w:pPr>
              <w:pStyle w:val="Text1"/>
              <w:spacing w:before="0" w:after="0"/>
              <w:ind w:left="0"/>
              <w:jc w:val="right"/>
              <w:rPr>
                <w:sz w:val="12"/>
                <w:szCs w:val="12"/>
              </w:rPr>
            </w:pPr>
            <w:r w:rsidRPr="009C3005">
              <w:rPr>
                <w:noProof/>
                <w:sz w:val="12"/>
                <w:szCs w:val="12"/>
              </w:rPr>
              <w:t>7</w:t>
            </w:r>
          </w:p>
        </w:tc>
      </w:tr>
      <w:tr w:rsidR="006B2EC1" w14:paraId="2C7DD5ED" w14:textId="77777777" w:rsidTr="0047688D">
        <w:tc>
          <w:tcPr>
            <w:tcW w:w="0" w:type="auto"/>
            <w:shd w:val="clear" w:color="auto" w:fill="auto"/>
          </w:tcPr>
          <w:p w14:paraId="16694A01" w14:textId="77777777" w:rsidR="008C5CFA" w:rsidRPr="009C3005" w:rsidRDefault="00E82A60" w:rsidP="00300A01">
            <w:pPr>
              <w:pStyle w:val="Text1"/>
              <w:spacing w:before="0" w:after="0"/>
              <w:ind w:left="0"/>
              <w:rPr>
                <w:sz w:val="12"/>
                <w:szCs w:val="12"/>
              </w:rPr>
            </w:pPr>
            <w:r>
              <w:rPr>
                <w:noProof/>
                <w:sz w:val="14"/>
                <w:szCs w:val="14"/>
                <w:lang w:val="fr-BE"/>
              </w:rPr>
              <w:t>7</w:t>
            </w:r>
          </w:p>
        </w:tc>
        <w:tc>
          <w:tcPr>
            <w:tcW w:w="0" w:type="auto"/>
            <w:shd w:val="clear" w:color="auto" w:fill="auto"/>
          </w:tcPr>
          <w:p w14:paraId="6048BD09" w14:textId="77777777" w:rsidR="008C5CFA" w:rsidRPr="009C3005" w:rsidRDefault="00E82A60" w:rsidP="00300A01">
            <w:pPr>
              <w:pStyle w:val="Text1"/>
              <w:spacing w:before="0" w:after="0"/>
              <w:ind w:left="0"/>
              <w:rPr>
                <w:sz w:val="12"/>
                <w:szCs w:val="12"/>
              </w:rPr>
            </w:pPr>
            <w:r>
              <w:rPr>
                <w:noProof/>
                <w:sz w:val="12"/>
                <w:szCs w:val="12"/>
              </w:rPr>
              <w:t>EFRR</w:t>
            </w:r>
          </w:p>
        </w:tc>
        <w:tc>
          <w:tcPr>
            <w:tcW w:w="0" w:type="auto"/>
            <w:shd w:val="clear" w:color="auto" w:fill="auto"/>
          </w:tcPr>
          <w:p w14:paraId="6188F6B5" w14:textId="77777777" w:rsidR="008C5CFA" w:rsidRPr="009C3005" w:rsidRDefault="00E82A60" w:rsidP="00300A01">
            <w:pPr>
              <w:pStyle w:val="Text1"/>
              <w:spacing w:before="0" w:after="0"/>
              <w:ind w:left="0"/>
              <w:rPr>
                <w:sz w:val="12"/>
                <w:szCs w:val="12"/>
              </w:rPr>
            </w:pPr>
            <w:r>
              <w:rPr>
                <w:noProof/>
                <w:sz w:val="12"/>
                <w:szCs w:val="12"/>
              </w:rPr>
              <w:t>Słabiej rozwinięte</w:t>
            </w:r>
          </w:p>
        </w:tc>
        <w:tc>
          <w:tcPr>
            <w:tcW w:w="0" w:type="auto"/>
            <w:shd w:val="clear" w:color="auto" w:fill="auto"/>
          </w:tcPr>
          <w:p w14:paraId="5E6D61EE" w14:textId="77777777" w:rsidR="008C5CFA" w:rsidRPr="009C3005" w:rsidRDefault="00E82A60" w:rsidP="00300A01">
            <w:pPr>
              <w:pStyle w:val="Text1"/>
              <w:spacing w:before="0" w:after="0"/>
              <w:ind w:left="0"/>
              <w:rPr>
                <w:sz w:val="12"/>
                <w:szCs w:val="12"/>
              </w:rPr>
            </w:pPr>
            <w:r>
              <w:rPr>
                <w:noProof/>
                <w:sz w:val="12"/>
                <w:szCs w:val="12"/>
              </w:rPr>
              <w:t>051</w:t>
            </w:r>
          </w:p>
        </w:tc>
        <w:tc>
          <w:tcPr>
            <w:tcW w:w="0" w:type="auto"/>
            <w:shd w:val="clear" w:color="auto" w:fill="auto"/>
          </w:tcPr>
          <w:p w14:paraId="2552E20C"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77B6A020" w14:textId="77777777" w:rsidR="008C5CFA" w:rsidRPr="009C3005" w:rsidRDefault="00E82A60" w:rsidP="00300A01">
            <w:pPr>
              <w:pStyle w:val="Text1"/>
              <w:spacing w:before="0" w:after="0"/>
              <w:ind w:left="0"/>
              <w:rPr>
                <w:sz w:val="12"/>
                <w:szCs w:val="12"/>
              </w:rPr>
            </w:pPr>
            <w:r>
              <w:rPr>
                <w:noProof/>
                <w:sz w:val="12"/>
                <w:szCs w:val="12"/>
              </w:rPr>
              <w:t>03</w:t>
            </w:r>
          </w:p>
        </w:tc>
        <w:tc>
          <w:tcPr>
            <w:tcW w:w="0" w:type="auto"/>
            <w:shd w:val="clear" w:color="auto" w:fill="auto"/>
          </w:tcPr>
          <w:p w14:paraId="3429ED8D"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478B12DD" w14:textId="77777777" w:rsidR="008C5CFA" w:rsidRPr="009C3005" w:rsidRDefault="00E82A60" w:rsidP="00300A01">
            <w:pPr>
              <w:pStyle w:val="Text1"/>
              <w:spacing w:before="0" w:after="0"/>
              <w:ind w:left="0"/>
              <w:rPr>
                <w:sz w:val="12"/>
                <w:szCs w:val="12"/>
              </w:rPr>
            </w:pPr>
            <w:r>
              <w:rPr>
                <w:noProof/>
                <w:sz w:val="12"/>
                <w:szCs w:val="12"/>
              </w:rPr>
              <w:t>10</w:t>
            </w:r>
          </w:p>
        </w:tc>
        <w:tc>
          <w:tcPr>
            <w:tcW w:w="0" w:type="auto"/>
            <w:shd w:val="clear" w:color="auto" w:fill="auto"/>
          </w:tcPr>
          <w:p w14:paraId="3D5F7D8E" w14:textId="77777777" w:rsidR="008C5CFA" w:rsidRPr="009C3005" w:rsidRDefault="00E82A60" w:rsidP="00300A01">
            <w:pPr>
              <w:pStyle w:val="Text1"/>
              <w:spacing w:before="0" w:after="0"/>
              <w:ind w:left="0"/>
              <w:rPr>
                <w:sz w:val="12"/>
                <w:szCs w:val="12"/>
              </w:rPr>
            </w:pPr>
            <w:r>
              <w:rPr>
                <w:sz w:val="12"/>
                <w:szCs w:val="12"/>
              </w:rPr>
              <w:t xml:space="preserve"> </w:t>
            </w:r>
          </w:p>
        </w:tc>
        <w:tc>
          <w:tcPr>
            <w:tcW w:w="0" w:type="auto"/>
            <w:shd w:val="clear" w:color="auto" w:fill="auto"/>
          </w:tcPr>
          <w:p w14:paraId="13607F30" w14:textId="77777777" w:rsidR="008C5CFA" w:rsidRPr="009C3005" w:rsidRDefault="00E82A60" w:rsidP="00300A01">
            <w:pPr>
              <w:pStyle w:val="Text1"/>
              <w:spacing w:before="0" w:after="0"/>
              <w:ind w:left="0"/>
              <w:rPr>
                <w:sz w:val="12"/>
                <w:szCs w:val="12"/>
              </w:rPr>
            </w:pPr>
            <w:r>
              <w:rPr>
                <w:noProof/>
                <w:sz w:val="12"/>
                <w:szCs w:val="12"/>
              </w:rPr>
              <w:t>24</w:t>
            </w:r>
          </w:p>
        </w:tc>
        <w:tc>
          <w:tcPr>
            <w:tcW w:w="0" w:type="auto"/>
            <w:shd w:val="clear" w:color="auto" w:fill="auto"/>
          </w:tcPr>
          <w:p w14:paraId="77FC1CAA" w14:textId="77777777" w:rsidR="008C5CFA" w:rsidRPr="009C3005" w:rsidRDefault="00E82A60" w:rsidP="00300A01">
            <w:pPr>
              <w:pStyle w:val="Text1"/>
              <w:spacing w:before="0" w:after="0"/>
              <w:ind w:left="0"/>
              <w:rPr>
                <w:sz w:val="12"/>
                <w:szCs w:val="12"/>
              </w:rPr>
            </w:pPr>
            <w:r>
              <w:rPr>
                <w:noProof/>
                <w:sz w:val="12"/>
                <w:szCs w:val="12"/>
              </w:rPr>
              <w:t>PL33</w:t>
            </w:r>
          </w:p>
        </w:tc>
        <w:tc>
          <w:tcPr>
            <w:tcW w:w="0" w:type="auto"/>
            <w:shd w:val="clear" w:color="auto" w:fill="auto"/>
          </w:tcPr>
          <w:p w14:paraId="1DE4A9DC" w14:textId="77777777" w:rsidR="008C5CFA" w:rsidRPr="009C3005" w:rsidRDefault="00E82A60" w:rsidP="00300A01">
            <w:pPr>
              <w:pStyle w:val="Text1"/>
              <w:spacing w:before="0" w:after="0"/>
              <w:ind w:left="0"/>
              <w:jc w:val="right"/>
              <w:rPr>
                <w:sz w:val="12"/>
                <w:szCs w:val="12"/>
              </w:rPr>
            </w:pPr>
            <w:r w:rsidRPr="009C3005">
              <w:rPr>
                <w:noProof/>
                <w:sz w:val="12"/>
                <w:szCs w:val="12"/>
              </w:rPr>
              <w:t>332 468,72</w:t>
            </w:r>
          </w:p>
        </w:tc>
        <w:tc>
          <w:tcPr>
            <w:tcW w:w="0" w:type="auto"/>
            <w:shd w:val="clear" w:color="auto" w:fill="auto"/>
          </w:tcPr>
          <w:p w14:paraId="68551963" w14:textId="77777777" w:rsidR="008C5CFA" w:rsidRPr="009C3005" w:rsidRDefault="00E82A60" w:rsidP="00300A01">
            <w:pPr>
              <w:pStyle w:val="Text1"/>
              <w:spacing w:before="0" w:after="0"/>
              <w:ind w:left="0"/>
              <w:jc w:val="right"/>
              <w:rPr>
                <w:sz w:val="12"/>
                <w:szCs w:val="12"/>
              </w:rPr>
            </w:pPr>
            <w:r w:rsidRPr="009C3005">
              <w:rPr>
                <w:noProof/>
                <w:sz w:val="12"/>
                <w:szCs w:val="12"/>
              </w:rPr>
              <w:t>166 329,02</w:t>
            </w:r>
          </w:p>
        </w:tc>
        <w:tc>
          <w:tcPr>
            <w:tcW w:w="0" w:type="auto"/>
            <w:shd w:val="clear" w:color="auto" w:fill="auto"/>
          </w:tcPr>
          <w:p w14:paraId="23BBDB36" w14:textId="77777777" w:rsidR="008C5CFA" w:rsidRPr="009C3005" w:rsidRDefault="00E82A60" w:rsidP="00300A01">
            <w:pPr>
              <w:pStyle w:val="Text1"/>
              <w:spacing w:before="0" w:after="0"/>
              <w:ind w:left="0"/>
              <w:jc w:val="right"/>
              <w:rPr>
                <w:sz w:val="12"/>
                <w:szCs w:val="12"/>
              </w:rPr>
            </w:pPr>
            <w:r w:rsidRPr="009C3005">
              <w:rPr>
                <w:noProof/>
                <w:sz w:val="12"/>
                <w:szCs w:val="12"/>
              </w:rPr>
              <w:t>46 355,51</w:t>
            </w:r>
          </w:p>
        </w:tc>
        <w:tc>
          <w:tcPr>
            <w:tcW w:w="0" w:type="auto"/>
            <w:shd w:val="clear" w:color="auto" w:fill="auto"/>
          </w:tcPr>
          <w:p w14:paraId="78D55DD6" w14:textId="77777777" w:rsidR="008C5CFA" w:rsidRPr="009C3005" w:rsidRDefault="00E82A60" w:rsidP="00300A01">
            <w:pPr>
              <w:pStyle w:val="Text1"/>
              <w:spacing w:before="0" w:after="0"/>
              <w:ind w:left="0"/>
              <w:jc w:val="right"/>
              <w:rPr>
                <w:sz w:val="12"/>
                <w:szCs w:val="12"/>
              </w:rPr>
            </w:pPr>
            <w:r w:rsidRPr="009C3005">
              <w:rPr>
                <w:noProof/>
                <w:sz w:val="12"/>
                <w:szCs w:val="12"/>
              </w:rPr>
              <w:t>2</w:t>
            </w:r>
          </w:p>
        </w:tc>
      </w:tr>
      <w:tr w:rsidR="006B2EC1" w14:paraId="01EE4348" w14:textId="77777777" w:rsidTr="0047688D">
        <w:tc>
          <w:tcPr>
            <w:tcW w:w="0" w:type="auto"/>
            <w:shd w:val="clear" w:color="auto" w:fill="auto"/>
          </w:tcPr>
          <w:p w14:paraId="7284B03F" w14:textId="77777777" w:rsidR="008C5CFA" w:rsidRPr="009C3005" w:rsidRDefault="00E82A60" w:rsidP="00300A01">
            <w:pPr>
              <w:pStyle w:val="Text1"/>
              <w:spacing w:before="0" w:after="0"/>
              <w:ind w:left="0"/>
              <w:rPr>
                <w:sz w:val="12"/>
                <w:szCs w:val="12"/>
              </w:rPr>
            </w:pPr>
            <w:r>
              <w:rPr>
                <w:noProof/>
                <w:sz w:val="14"/>
                <w:szCs w:val="14"/>
                <w:lang w:val="fr-BE"/>
              </w:rPr>
              <w:lastRenderedPageBreak/>
              <w:t>7</w:t>
            </w:r>
          </w:p>
        </w:tc>
        <w:tc>
          <w:tcPr>
            <w:tcW w:w="0" w:type="auto"/>
            <w:shd w:val="clear" w:color="auto" w:fill="auto"/>
          </w:tcPr>
          <w:p w14:paraId="676A6835" w14:textId="77777777" w:rsidR="008C5CFA" w:rsidRPr="009C3005" w:rsidRDefault="00E82A60" w:rsidP="00300A01">
            <w:pPr>
              <w:pStyle w:val="Text1"/>
              <w:spacing w:before="0" w:after="0"/>
              <w:ind w:left="0"/>
              <w:rPr>
                <w:sz w:val="12"/>
                <w:szCs w:val="12"/>
              </w:rPr>
            </w:pPr>
            <w:r>
              <w:rPr>
                <w:noProof/>
                <w:sz w:val="12"/>
                <w:szCs w:val="12"/>
              </w:rPr>
              <w:t>EFRR</w:t>
            </w:r>
          </w:p>
        </w:tc>
        <w:tc>
          <w:tcPr>
            <w:tcW w:w="0" w:type="auto"/>
            <w:shd w:val="clear" w:color="auto" w:fill="auto"/>
          </w:tcPr>
          <w:p w14:paraId="782C94E3" w14:textId="77777777" w:rsidR="008C5CFA" w:rsidRPr="009C3005" w:rsidRDefault="00E82A60" w:rsidP="00300A01">
            <w:pPr>
              <w:pStyle w:val="Text1"/>
              <w:spacing w:before="0" w:after="0"/>
              <w:ind w:left="0"/>
              <w:rPr>
                <w:sz w:val="12"/>
                <w:szCs w:val="12"/>
              </w:rPr>
            </w:pPr>
            <w:r>
              <w:rPr>
                <w:noProof/>
                <w:sz w:val="12"/>
                <w:szCs w:val="12"/>
              </w:rPr>
              <w:t>Słabiej rozwinięte</w:t>
            </w:r>
          </w:p>
        </w:tc>
        <w:tc>
          <w:tcPr>
            <w:tcW w:w="0" w:type="auto"/>
            <w:shd w:val="clear" w:color="auto" w:fill="auto"/>
          </w:tcPr>
          <w:p w14:paraId="6158CE49" w14:textId="77777777" w:rsidR="008C5CFA" w:rsidRPr="009C3005" w:rsidRDefault="00E82A60" w:rsidP="00300A01">
            <w:pPr>
              <w:pStyle w:val="Text1"/>
              <w:spacing w:before="0" w:after="0"/>
              <w:ind w:left="0"/>
              <w:rPr>
                <w:sz w:val="12"/>
                <w:szCs w:val="12"/>
              </w:rPr>
            </w:pPr>
            <w:r>
              <w:rPr>
                <w:noProof/>
                <w:sz w:val="12"/>
                <w:szCs w:val="12"/>
              </w:rPr>
              <w:t>052</w:t>
            </w:r>
          </w:p>
        </w:tc>
        <w:tc>
          <w:tcPr>
            <w:tcW w:w="0" w:type="auto"/>
            <w:shd w:val="clear" w:color="auto" w:fill="auto"/>
          </w:tcPr>
          <w:p w14:paraId="26EEB03F"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2DEC1FAE" w14:textId="77777777" w:rsidR="008C5CFA" w:rsidRPr="009C3005" w:rsidRDefault="00E82A60" w:rsidP="00300A01">
            <w:pPr>
              <w:pStyle w:val="Text1"/>
              <w:spacing w:before="0" w:after="0"/>
              <w:ind w:left="0"/>
              <w:rPr>
                <w:sz w:val="12"/>
                <w:szCs w:val="12"/>
              </w:rPr>
            </w:pPr>
            <w:r>
              <w:rPr>
                <w:noProof/>
                <w:sz w:val="12"/>
                <w:szCs w:val="12"/>
              </w:rPr>
              <w:t>02</w:t>
            </w:r>
          </w:p>
        </w:tc>
        <w:tc>
          <w:tcPr>
            <w:tcW w:w="0" w:type="auto"/>
            <w:shd w:val="clear" w:color="auto" w:fill="auto"/>
          </w:tcPr>
          <w:p w14:paraId="568811EE"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3D24A862" w14:textId="77777777" w:rsidR="008C5CFA" w:rsidRPr="009C3005" w:rsidRDefault="00E82A60" w:rsidP="00300A01">
            <w:pPr>
              <w:pStyle w:val="Text1"/>
              <w:spacing w:before="0" w:after="0"/>
              <w:ind w:left="0"/>
              <w:rPr>
                <w:sz w:val="12"/>
                <w:szCs w:val="12"/>
              </w:rPr>
            </w:pPr>
            <w:r>
              <w:rPr>
                <w:noProof/>
                <w:sz w:val="12"/>
                <w:szCs w:val="12"/>
              </w:rPr>
              <w:t>10</w:t>
            </w:r>
          </w:p>
        </w:tc>
        <w:tc>
          <w:tcPr>
            <w:tcW w:w="0" w:type="auto"/>
            <w:shd w:val="clear" w:color="auto" w:fill="auto"/>
          </w:tcPr>
          <w:p w14:paraId="425C9809" w14:textId="77777777" w:rsidR="008C5CFA" w:rsidRPr="009C3005" w:rsidRDefault="00E82A60" w:rsidP="00300A01">
            <w:pPr>
              <w:pStyle w:val="Text1"/>
              <w:spacing w:before="0" w:after="0"/>
              <w:ind w:left="0"/>
              <w:rPr>
                <w:sz w:val="12"/>
                <w:szCs w:val="12"/>
              </w:rPr>
            </w:pPr>
            <w:r>
              <w:rPr>
                <w:sz w:val="12"/>
                <w:szCs w:val="12"/>
              </w:rPr>
              <w:t xml:space="preserve"> </w:t>
            </w:r>
          </w:p>
        </w:tc>
        <w:tc>
          <w:tcPr>
            <w:tcW w:w="0" w:type="auto"/>
            <w:shd w:val="clear" w:color="auto" w:fill="auto"/>
          </w:tcPr>
          <w:p w14:paraId="75416257" w14:textId="77777777" w:rsidR="008C5CFA" w:rsidRPr="009C3005" w:rsidRDefault="00E82A60" w:rsidP="00300A01">
            <w:pPr>
              <w:pStyle w:val="Text1"/>
              <w:spacing w:before="0" w:after="0"/>
              <w:ind w:left="0"/>
              <w:rPr>
                <w:sz w:val="12"/>
                <w:szCs w:val="12"/>
              </w:rPr>
            </w:pPr>
            <w:r>
              <w:rPr>
                <w:noProof/>
                <w:sz w:val="12"/>
                <w:szCs w:val="12"/>
              </w:rPr>
              <w:t>18</w:t>
            </w:r>
          </w:p>
        </w:tc>
        <w:tc>
          <w:tcPr>
            <w:tcW w:w="0" w:type="auto"/>
            <w:shd w:val="clear" w:color="auto" w:fill="auto"/>
          </w:tcPr>
          <w:p w14:paraId="686691F9" w14:textId="77777777" w:rsidR="008C5CFA" w:rsidRPr="009C3005" w:rsidRDefault="00E82A60" w:rsidP="00300A01">
            <w:pPr>
              <w:pStyle w:val="Text1"/>
              <w:spacing w:before="0" w:after="0"/>
              <w:ind w:left="0"/>
              <w:rPr>
                <w:sz w:val="12"/>
                <w:szCs w:val="12"/>
              </w:rPr>
            </w:pPr>
            <w:r>
              <w:rPr>
                <w:noProof/>
                <w:sz w:val="12"/>
                <w:szCs w:val="12"/>
              </w:rPr>
              <w:t>PL33</w:t>
            </w:r>
          </w:p>
        </w:tc>
        <w:tc>
          <w:tcPr>
            <w:tcW w:w="0" w:type="auto"/>
            <w:shd w:val="clear" w:color="auto" w:fill="auto"/>
          </w:tcPr>
          <w:p w14:paraId="41FAECBA" w14:textId="77777777" w:rsidR="008C5CFA" w:rsidRPr="009C3005" w:rsidRDefault="00E82A60" w:rsidP="00300A01">
            <w:pPr>
              <w:pStyle w:val="Text1"/>
              <w:spacing w:before="0" w:after="0"/>
              <w:ind w:left="0"/>
              <w:jc w:val="right"/>
              <w:rPr>
                <w:sz w:val="12"/>
                <w:szCs w:val="12"/>
              </w:rPr>
            </w:pPr>
            <w:r w:rsidRPr="009C3005">
              <w:rPr>
                <w:noProof/>
                <w:sz w:val="12"/>
                <w:szCs w:val="12"/>
              </w:rPr>
              <w:t>4 081 119,87</w:t>
            </w:r>
          </w:p>
        </w:tc>
        <w:tc>
          <w:tcPr>
            <w:tcW w:w="0" w:type="auto"/>
            <w:shd w:val="clear" w:color="auto" w:fill="auto"/>
          </w:tcPr>
          <w:p w14:paraId="52586B4B" w14:textId="77777777" w:rsidR="008C5CFA" w:rsidRPr="009C3005" w:rsidRDefault="00E82A60" w:rsidP="00300A01">
            <w:pPr>
              <w:pStyle w:val="Text1"/>
              <w:spacing w:before="0" w:after="0"/>
              <w:ind w:left="0"/>
              <w:jc w:val="right"/>
              <w:rPr>
                <w:sz w:val="12"/>
                <w:szCs w:val="12"/>
              </w:rPr>
            </w:pPr>
            <w:r w:rsidRPr="009C3005">
              <w:rPr>
                <w:noProof/>
                <w:sz w:val="12"/>
                <w:szCs w:val="12"/>
              </w:rPr>
              <w:t>4 081 119,87</w:t>
            </w:r>
          </w:p>
        </w:tc>
        <w:tc>
          <w:tcPr>
            <w:tcW w:w="0" w:type="auto"/>
            <w:shd w:val="clear" w:color="auto" w:fill="auto"/>
          </w:tcPr>
          <w:p w14:paraId="25190047" w14:textId="77777777" w:rsidR="008C5CFA" w:rsidRPr="009C3005" w:rsidRDefault="00E82A60" w:rsidP="00300A01">
            <w:pPr>
              <w:pStyle w:val="Text1"/>
              <w:spacing w:before="0" w:after="0"/>
              <w:ind w:left="0"/>
              <w:jc w:val="right"/>
              <w:rPr>
                <w:sz w:val="12"/>
                <w:szCs w:val="12"/>
              </w:rPr>
            </w:pPr>
            <w:r w:rsidRPr="009C3005">
              <w:rPr>
                <w:noProof/>
                <w:sz w:val="12"/>
                <w:szCs w:val="12"/>
              </w:rPr>
              <w:t>4 079 731,40</w:t>
            </w:r>
          </w:p>
        </w:tc>
        <w:tc>
          <w:tcPr>
            <w:tcW w:w="0" w:type="auto"/>
            <w:shd w:val="clear" w:color="auto" w:fill="auto"/>
          </w:tcPr>
          <w:p w14:paraId="4B2C6A13" w14:textId="77777777" w:rsidR="008C5CFA" w:rsidRPr="009C3005" w:rsidRDefault="00E82A60" w:rsidP="00300A01">
            <w:pPr>
              <w:pStyle w:val="Text1"/>
              <w:spacing w:before="0" w:after="0"/>
              <w:ind w:left="0"/>
              <w:jc w:val="right"/>
              <w:rPr>
                <w:sz w:val="12"/>
                <w:szCs w:val="12"/>
              </w:rPr>
            </w:pPr>
            <w:r w:rsidRPr="009C3005">
              <w:rPr>
                <w:noProof/>
                <w:sz w:val="12"/>
                <w:szCs w:val="12"/>
              </w:rPr>
              <w:t>2</w:t>
            </w:r>
          </w:p>
        </w:tc>
      </w:tr>
      <w:tr w:rsidR="006B2EC1" w14:paraId="01B81394" w14:textId="77777777" w:rsidTr="0047688D">
        <w:tc>
          <w:tcPr>
            <w:tcW w:w="0" w:type="auto"/>
            <w:shd w:val="clear" w:color="auto" w:fill="auto"/>
          </w:tcPr>
          <w:p w14:paraId="2C97D59C" w14:textId="77777777" w:rsidR="008C5CFA" w:rsidRPr="009C3005" w:rsidRDefault="00E82A60" w:rsidP="00300A01">
            <w:pPr>
              <w:pStyle w:val="Text1"/>
              <w:spacing w:before="0" w:after="0"/>
              <w:ind w:left="0"/>
              <w:rPr>
                <w:sz w:val="12"/>
                <w:szCs w:val="12"/>
              </w:rPr>
            </w:pPr>
            <w:r>
              <w:rPr>
                <w:noProof/>
                <w:sz w:val="14"/>
                <w:szCs w:val="14"/>
                <w:lang w:val="fr-BE"/>
              </w:rPr>
              <w:t>7</w:t>
            </w:r>
          </w:p>
        </w:tc>
        <w:tc>
          <w:tcPr>
            <w:tcW w:w="0" w:type="auto"/>
            <w:shd w:val="clear" w:color="auto" w:fill="auto"/>
          </w:tcPr>
          <w:p w14:paraId="57EA7AD8" w14:textId="77777777" w:rsidR="008C5CFA" w:rsidRPr="009C3005" w:rsidRDefault="00E82A60" w:rsidP="00300A01">
            <w:pPr>
              <w:pStyle w:val="Text1"/>
              <w:spacing w:before="0" w:after="0"/>
              <w:ind w:left="0"/>
              <w:rPr>
                <w:sz w:val="12"/>
                <w:szCs w:val="12"/>
              </w:rPr>
            </w:pPr>
            <w:r>
              <w:rPr>
                <w:noProof/>
                <w:sz w:val="12"/>
                <w:szCs w:val="12"/>
              </w:rPr>
              <w:t>EFRR</w:t>
            </w:r>
          </w:p>
        </w:tc>
        <w:tc>
          <w:tcPr>
            <w:tcW w:w="0" w:type="auto"/>
            <w:shd w:val="clear" w:color="auto" w:fill="auto"/>
          </w:tcPr>
          <w:p w14:paraId="597791A6" w14:textId="77777777" w:rsidR="008C5CFA" w:rsidRPr="009C3005" w:rsidRDefault="00E82A60" w:rsidP="00300A01">
            <w:pPr>
              <w:pStyle w:val="Text1"/>
              <w:spacing w:before="0" w:after="0"/>
              <w:ind w:left="0"/>
              <w:rPr>
                <w:sz w:val="12"/>
                <w:szCs w:val="12"/>
              </w:rPr>
            </w:pPr>
            <w:r>
              <w:rPr>
                <w:noProof/>
                <w:sz w:val="12"/>
                <w:szCs w:val="12"/>
              </w:rPr>
              <w:t>Słabiej rozwinięte</w:t>
            </w:r>
          </w:p>
        </w:tc>
        <w:tc>
          <w:tcPr>
            <w:tcW w:w="0" w:type="auto"/>
            <w:shd w:val="clear" w:color="auto" w:fill="auto"/>
          </w:tcPr>
          <w:p w14:paraId="5B1B7DB2" w14:textId="77777777" w:rsidR="008C5CFA" w:rsidRPr="009C3005" w:rsidRDefault="00E82A60" w:rsidP="00300A01">
            <w:pPr>
              <w:pStyle w:val="Text1"/>
              <w:spacing w:before="0" w:after="0"/>
              <w:ind w:left="0"/>
              <w:rPr>
                <w:sz w:val="12"/>
                <w:szCs w:val="12"/>
              </w:rPr>
            </w:pPr>
            <w:r>
              <w:rPr>
                <w:noProof/>
                <w:sz w:val="12"/>
                <w:szCs w:val="12"/>
              </w:rPr>
              <w:t>052</w:t>
            </w:r>
          </w:p>
        </w:tc>
        <w:tc>
          <w:tcPr>
            <w:tcW w:w="0" w:type="auto"/>
            <w:shd w:val="clear" w:color="auto" w:fill="auto"/>
          </w:tcPr>
          <w:p w14:paraId="48B20130"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6FE45B03" w14:textId="77777777" w:rsidR="008C5CFA" w:rsidRPr="009C3005" w:rsidRDefault="00E82A60" w:rsidP="00300A01">
            <w:pPr>
              <w:pStyle w:val="Text1"/>
              <w:spacing w:before="0" w:after="0"/>
              <w:ind w:left="0"/>
              <w:rPr>
                <w:sz w:val="12"/>
                <w:szCs w:val="12"/>
              </w:rPr>
            </w:pPr>
            <w:r>
              <w:rPr>
                <w:noProof/>
                <w:sz w:val="12"/>
                <w:szCs w:val="12"/>
              </w:rPr>
              <w:t>02</w:t>
            </w:r>
          </w:p>
        </w:tc>
        <w:tc>
          <w:tcPr>
            <w:tcW w:w="0" w:type="auto"/>
            <w:shd w:val="clear" w:color="auto" w:fill="auto"/>
          </w:tcPr>
          <w:p w14:paraId="2684745B"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4270A10C" w14:textId="77777777" w:rsidR="008C5CFA" w:rsidRPr="009C3005" w:rsidRDefault="00E82A60" w:rsidP="00300A01">
            <w:pPr>
              <w:pStyle w:val="Text1"/>
              <w:spacing w:before="0" w:after="0"/>
              <w:ind w:left="0"/>
              <w:rPr>
                <w:sz w:val="12"/>
                <w:szCs w:val="12"/>
              </w:rPr>
            </w:pPr>
            <w:r>
              <w:rPr>
                <w:noProof/>
                <w:sz w:val="12"/>
                <w:szCs w:val="12"/>
              </w:rPr>
              <w:t>10</w:t>
            </w:r>
          </w:p>
        </w:tc>
        <w:tc>
          <w:tcPr>
            <w:tcW w:w="0" w:type="auto"/>
            <w:shd w:val="clear" w:color="auto" w:fill="auto"/>
          </w:tcPr>
          <w:p w14:paraId="75DF28F7" w14:textId="77777777" w:rsidR="008C5CFA" w:rsidRPr="009C3005" w:rsidRDefault="00E82A60" w:rsidP="00300A01">
            <w:pPr>
              <w:pStyle w:val="Text1"/>
              <w:spacing w:before="0" w:after="0"/>
              <w:ind w:left="0"/>
              <w:rPr>
                <w:sz w:val="12"/>
                <w:szCs w:val="12"/>
              </w:rPr>
            </w:pPr>
            <w:r>
              <w:rPr>
                <w:sz w:val="12"/>
                <w:szCs w:val="12"/>
              </w:rPr>
              <w:t xml:space="preserve"> </w:t>
            </w:r>
          </w:p>
        </w:tc>
        <w:tc>
          <w:tcPr>
            <w:tcW w:w="0" w:type="auto"/>
            <w:shd w:val="clear" w:color="auto" w:fill="auto"/>
          </w:tcPr>
          <w:p w14:paraId="0D33833F" w14:textId="77777777" w:rsidR="008C5CFA" w:rsidRPr="009C3005" w:rsidRDefault="00E82A60" w:rsidP="00300A01">
            <w:pPr>
              <w:pStyle w:val="Text1"/>
              <w:spacing w:before="0" w:after="0"/>
              <w:ind w:left="0"/>
              <w:rPr>
                <w:sz w:val="12"/>
                <w:szCs w:val="12"/>
              </w:rPr>
            </w:pPr>
            <w:r>
              <w:rPr>
                <w:noProof/>
                <w:sz w:val="12"/>
                <w:szCs w:val="12"/>
              </w:rPr>
              <w:t>19</w:t>
            </w:r>
          </w:p>
        </w:tc>
        <w:tc>
          <w:tcPr>
            <w:tcW w:w="0" w:type="auto"/>
            <w:shd w:val="clear" w:color="auto" w:fill="auto"/>
          </w:tcPr>
          <w:p w14:paraId="0C3EB094" w14:textId="77777777" w:rsidR="008C5CFA" w:rsidRPr="009C3005" w:rsidRDefault="00E82A60" w:rsidP="00300A01">
            <w:pPr>
              <w:pStyle w:val="Text1"/>
              <w:spacing w:before="0" w:after="0"/>
              <w:ind w:left="0"/>
              <w:rPr>
                <w:sz w:val="12"/>
                <w:szCs w:val="12"/>
              </w:rPr>
            </w:pPr>
            <w:r>
              <w:rPr>
                <w:noProof/>
                <w:sz w:val="12"/>
                <w:szCs w:val="12"/>
              </w:rPr>
              <w:t>PL33</w:t>
            </w:r>
          </w:p>
        </w:tc>
        <w:tc>
          <w:tcPr>
            <w:tcW w:w="0" w:type="auto"/>
            <w:shd w:val="clear" w:color="auto" w:fill="auto"/>
          </w:tcPr>
          <w:p w14:paraId="5C08C314" w14:textId="77777777" w:rsidR="008C5CFA" w:rsidRPr="009C3005" w:rsidRDefault="00E82A60" w:rsidP="00300A01">
            <w:pPr>
              <w:pStyle w:val="Text1"/>
              <w:spacing w:before="0" w:after="0"/>
              <w:ind w:left="0"/>
              <w:jc w:val="right"/>
              <w:rPr>
                <w:sz w:val="12"/>
                <w:szCs w:val="12"/>
              </w:rPr>
            </w:pPr>
            <w:r w:rsidRPr="009C3005">
              <w:rPr>
                <w:noProof/>
                <w:sz w:val="12"/>
                <w:szCs w:val="12"/>
              </w:rPr>
              <w:t>1 156 029,34</w:t>
            </w:r>
          </w:p>
        </w:tc>
        <w:tc>
          <w:tcPr>
            <w:tcW w:w="0" w:type="auto"/>
            <w:shd w:val="clear" w:color="auto" w:fill="auto"/>
          </w:tcPr>
          <w:p w14:paraId="5730C1A3" w14:textId="77777777" w:rsidR="008C5CFA" w:rsidRPr="009C3005" w:rsidRDefault="00E82A60" w:rsidP="00300A01">
            <w:pPr>
              <w:pStyle w:val="Text1"/>
              <w:spacing w:before="0" w:after="0"/>
              <w:ind w:left="0"/>
              <w:jc w:val="right"/>
              <w:rPr>
                <w:sz w:val="12"/>
                <w:szCs w:val="12"/>
              </w:rPr>
            </w:pPr>
            <w:r w:rsidRPr="009C3005">
              <w:rPr>
                <w:noProof/>
                <w:sz w:val="12"/>
                <w:szCs w:val="12"/>
              </w:rPr>
              <w:t>1 156 029,34</w:t>
            </w:r>
          </w:p>
        </w:tc>
        <w:tc>
          <w:tcPr>
            <w:tcW w:w="0" w:type="auto"/>
            <w:shd w:val="clear" w:color="auto" w:fill="auto"/>
          </w:tcPr>
          <w:p w14:paraId="04816F39" w14:textId="77777777" w:rsidR="008C5CFA" w:rsidRPr="009C3005" w:rsidRDefault="00E82A60" w:rsidP="00300A01">
            <w:pPr>
              <w:pStyle w:val="Text1"/>
              <w:spacing w:before="0" w:after="0"/>
              <w:ind w:left="0"/>
              <w:jc w:val="right"/>
              <w:rPr>
                <w:sz w:val="12"/>
                <w:szCs w:val="12"/>
              </w:rPr>
            </w:pPr>
            <w:r w:rsidRPr="009C3005">
              <w:rPr>
                <w:noProof/>
                <w:sz w:val="12"/>
                <w:szCs w:val="12"/>
              </w:rPr>
              <w:t>760 300,72</w:t>
            </w:r>
          </w:p>
        </w:tc>
        <w:tc>
          <w:tcPr>
            <w:tcW w:w="0" w:type="auto"/>
            <w:shd w:val="clear" w:color="auto" w:fill="auto"/>
          </w:tcPr>
          <w:p w14:paraId="74948B7C" w14:textId="77777777" w:rsidR="008C5CFA" w:rsidRPr="009C3005" w:rsidRDefault="00E82A60" w:rsidP="00300A01">
            <w:pPr>
              <w:pStyle w:val="Text1"/>
              <w:spacing w:before="0" w:after="0"/>
              <w:ind w:left="0"/>
              <w:jc w:val="right"/>
              <w:rPr>
                <w:sz w:val="12"/>
                <w:szCs w:val="12"/>
              </w:rPr>
            </w:pPr>
            <w:r w:rsidRPr="009C3005">
              <w:rPr>
                <w:noProof/>
                <w:sz w:val="12"/>
                <w:szCs w:val="12"/>
              </w:rPr>
              <w:t>1</w:t>
            </w:r>
          </w:p>
        </w:tc>
      </w:tr>
      <w:tr w:rsidR="006B2EC1" w14:paraId="4E39B43E" w14:textId="77777777" w:rsidTr="0047688D">
        <w:tc>
          <w:tcPr>
            <w:tcW w:w="0" w:type="auto"/>
            <w:shd w:val="clear" w:color="auto" w:fill="auto"/>
          </w:tcPr>
          <w:p w14:paraId="0DD3CE3D" w14:textId="77777777" w:rsidR="008C5CFA" w:rsidRPr="009C3005" w:rsidRDefault="00E82A60" w:rsidP="00300A01">
            <w:pPr>
              <w:pStyle w:val="Text1"/>
              <w:spacing w:before="0" w:after="0"/>
              <w:ind w:left="0"/>
              <w:rPr>
                <w:sz w:val="12"/>
                <w:szCs w:val="12"/>
              </w:rPr>
            </w:pPr>
            <w:r>
              <w:rPr>
                <w:noProof/>
                <w:sz w:val="14"/>
                <w:szCs w:val="14"/>
                <w:lang w:val="fr-BE"/>
              </w:rPr>
              <w:t>7</w:t>
            </w:r>
          </w:p>
        </w:tc>
        <w:tc>
          <w:tcPr>
            <w:tcW w:w="0" w:type="auto"/>
            <w:shd w:val="clear" w:color="auto" w:fill="auto"/>
          </w:tcPr>
          <w:p w14:paraId="119BB9DB" w14:textId="77777777" w:rsidR="008C5CFA" w:rsidRPr="009C3005" w:rsidRDefault="00E82A60" w:rsidP="00300A01">
            <w:pPr>
              <w:pStyle w:val="Text1"/>
              <w:spacing w:before="0" w:after="0"/>
              <w:ind w:left="0"/>
              <w:rPr>
                <w:sz w:val="12"/>
                <w:szCs w:val="12"/>
              </w:rPr>
            </w:pPr>
            <w:r>
              <w:rPr>
                <w:noProof/>
                <w:sz w:val="12"/>
                <w:szCs w:val="12"/>
              </w:rPr>
              <w:t>EFRR</w:t>
            </w:r>
          </w:p>
        </w:tc>
        <w:tc>
          <w:tcPr>
            <w:tcW w:w="0" w:type="auto"/>
            <w:shd w:val="clear" w:color="auto" w:fill="auto"/>
          </w:tcPr>
          <w:p w14:paraId="1E35B9D0" w14:textId="77777777" w:rsidR="008C5CFA" w:rsidRPr="009C3005" w:rsidRDefault="00E82A60" w:rsidP="00300A01">
            <w:pPr>
              <w:pStyle w:val="Text1"/>
              <w:spacing w:before="0" w:after="0"/>
              <w:ind w:left="0"/>
              <w:rPr>
                <w:sz w:val="12"/>
                <w:szCs w:val="12"/>
              </w:rPr>
            </w:pPr>
            <w:r>
              <w:rPr>
                <w:noProof/>
                <w:sz w:val="12"/>
                <w:szCs w:val="12"/>
              </w:rPr>
              <w:t>Słabiej rozwinięte</w:t>
            </w:r>
          </w:p>
        </w:tc>
        <w:tc>
          <w:tcPr>
            <w:tcW w:w="0" w:type="auto"/>
            <w:shd w:val="clear" w:color="auto" w:fill="auto"/>
          </w:tcPr>
          <w:p w14:paraId="0E261D55" w14:textId="77777777" w:rsidR="008C5CFA" w:rsidRPr="009C3005" w:rsidRDefault="00E82A60" w:rsidP="00300A01">
            <w:pPr>
              <w:pStyle w:val="Text1"/>
              <w:spacing w:before="0" w:after="0"/>
              <w:ind w:left="0"/>
              <w:rPr>
                <w:sz w:val="12"/>
                <w:szCs w:val="12"/>
              </w:rPr>
            </w:pPr>
            <w:r>
              <w:rPr>
                <w:noProof/>
                <w:sz w:val="12"/>
                <w:szCs w:val="12"/>
              </w:rPr>
              <w:t>052</w:t>
            </w:r>
          </w:p>
        </w:tc>
        <w:tc>
          <w:tcPr>
            <w:tcW w:w="0" w:type="auto"/>
            <w:shd w:val="clear" w:color="auto" w:fill="auto"/>
          </w:tcPr>
          <w:p w14:paraId="67400544"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1E16F52C" w14:textId="77777777" w:rsidR="008C5CFA" w:rsidRPr="009C3005" w:rsidRDefault="00E82A60" w:rsidP="00300A01">
            <w:pPr>
              <w:pStyle w:val="Text1"/>
              <w:spacing w:before="0" w:after="0"/>
              <w:ind w:left="0"/>
              <w:rPr>
                <w:sz w:val="12"/>
                <w:szCs w:val="12"/>
              </w:rPr>
            </w:pPr>
            <w:r>
              <w:rPr>
                <w:noProof/>
                <w:sz w:val="12"/>
                <w:szCs w:val="12"/>
              </w:rPr>
              <w:t>03</w:t>
            </w:r>
          </w:p>
        </w:tc>
        <w:tc>
          <w:tcPr>
            <w:tcW w:w="0" w:type="auto"/>
            <w:shd w:val="clear" w:color="auto" w:fill="auto"/>
          </w:tcPr>
          <w:p w14:paraId="71C848F0"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2BA3029E" w14:textId="77777777" w:rsidR="008C5CFA" w:rsidRPr="009C3005" w:rsidRDefault="00E82A60" w:rsidP="00300A01">
            <w:pPr>
              <w:pStyle w:val="Text1"/>
              <w:spacing w:before="0" w:after="0"/>
              <w:ind w:left="0"/>
              <w:rPr>
                <w:sz w:val="12"/>
                <w:szCs w:val="12"/>
              </w:rPr>
            </w:pPr>
            <w:r>
              <w:rPr>
                <w:noProof/>
                <w:sz w:val="12"/>
                <w:szCs w:val="12"/>
              </w:rPr>
              <w:t>10</w:t>
            </w:r>
          </w:p>
        </w:tc>
        <w:tc>
          <w:tcPr>
            <w:tcW w:w="0" w:type="auto"/>
            <w:shd w:val="clear" w:color="auto" w:fill="auto"/>
          </w:tcPr>
          <w:p w14:paraId="27A842BD" w14:textId="77777777" w:rsidR="008C5CFA" w:rsidRPr="009C3005" w:rsidRDefault="00E82A60" w:rsidP="00300A01">
            <w:pPr>
              <w:pStyle w:val="Text1"/>
              <w:spacing w:before="0" w:after="0"/>
              <w:ind w:left="0"/>
              <w:rPr>
                <w:sz w:val="12"/>
                <w:szCs w:val="12"/>
              </w:rPr>
            </w:pPr>
            <w:r>
              <w:rPr>
                <w:sz w:val="12"/>
                <w:szCs w:val="12"/>
              </w:rPr>
              <w:t xml:space="preserve"> </w:t>
            </w:r>
          </w:p>
        </w:tc>
        <w:tc>
          <w:tcPr>
            <w:tcW w:w="0" w:type="auto"/>
            <w:shd w:val="clear" w:color="auto" w:fill="auto"/>
          </w:tcPr>
          <w:p w14:paraId="7D15103E" w14:textId="77777777" w:rsidR="008C5CFA" w:rsidRPr="009C3005" w:rsidRDefault="00E82A60" w:rsidP="00300A01">
            <w:pPr>
              <w:pStyle w:val="Text1"/>
              <w:spacing w:before="0" w:after="0"/>
              <w:ind w:left="0"/>
              <w:rPr>
                <w:sz w:val="12"/>
                <w:szCs w:val="12"/>
              </w:rPr>
            </w:pPr>
            <w:r>
              <w:rPr>
                <w:noProof/>
                <w:sz w:val="12"/>
                <w:szCs w:val="12"/>
              </w:rPr>
              <w:t>18</w:t>
            </w:r>
          </w:p>
        </w:tc>
        <w:tc>
          <w:tcPr>
            <w:tcW w:w="0" w:type="auto"/>
            <w:shd w:val="clear" w:color="auto" w:fill="auto"/>
          </w:tcPr>
          <w:p w14:paraId="2C1D1495" w14:textId="77777777" w:rsidR="008C5CFA" w:rsidRPr="009C3005" w:rsidRDefault="00E82A60" w:rsidP="00300A01">
            <w:pPr>
              <w:pStyle w:val="Text1"/>
              <w:spacing w:before="0" w:after="0"/>
              <w:ind w:left="0"/>
              <w:rPr>
                <w:sz w:val="12"/>
                <w:szCs w:val="12"/>
              </w:rPr>
            </w:pPr>
            <w:r>
              <w:rPr>
                <w:noProof/>
                <w:sz w:val="12"/>
                <w:szCs w:val="12"/>
              </w:rPr>
              <w:t>PL33</w:t>
            </w:r>
          </w:p>
        </w:tc>
        <w:tc>
          <w:tcPr>
            <w:tcW w:w="0" w:type="auto"/>
            <w:shd w:val="clear" w:color="auto" w:fill="auto"/>
          </w:tcPr>
          <w:p w14:paraId="72AB6DEB" w14:textId="77777777" w:rsidR="008C5CFA" w:rsidRPr="009C3005" w:rsidRDefault="00E82A60" w:rsidP="00300A01">
            <w:pPr>
              <w:pStyle w:val="Text1"/>
              <w:spacing w:before="0" w:after="0"/>
              <w:ind w:left="0"/>
              <w:jc w:val="right"/>
              <w:rPr>
                <w:sz w:val="12"/>
                <w:szCs w:val="12"/>
              </w:rPr>
            </w:pPr>
            <w:r w:rsidRPr="009C3005">
              <w:rPr>
                <w:noProof/>
                <w:sz w:val="12"/>
                <w:szCs w:val="12"/>
              </w:rPr>
              <w:t>6 674 590,71</w:t>
            </w:r>
          </w:p>
        </w:tc>
        <w:tc>
          <w:tcPr>
            <w:tcW w:w="0" w:type="auto"/>
            <w:shd w:val="clear" w:color="auto" w:fill="auto"/>
          </w:tcPr>
          <w:p w14:paraId="35A4CFC0" w14:textId="77777777" w:rsidR="008C5CFA" w:rsidRPr="009C3005" w:rsidRDefault="00E82A60" w:rsidP="00300A01">
            <w:pPr>
              <w:pStyle w:val="Text1"/>
              <w:spacing w:before="0" w:after="0"/>
              <w:ind w:left="0"/>
              <w:jc w:val="right"/>
              <w:rPr>
                <w:sz w:val="12"/>
                <w:szCs w:val="12"/>
              </w:rPr>
            </w:pPr>
            <w:r w:rsidRPr="009C3005">
              <w:rPr>
                <w:noProof/>
                <w:sz w:val="12"/>
                <w:szCs w:val="12"/>
              </w:rPr>
              <w:t>6 674 590,71</w:t>
            </w:r>
          </w:p>
        </w:tc>
        <w:tc>
          <w:tcPr>
            <w:tcW w:w="0" w:type="auto"/>
            <w:shd w:val="clear" w:color="auto" w:fill="auto"/>
          </w:tcPr>
          <w:p w14:paraId="0EC2CA80" w14:textId="77777777" w:rsidR="008C5CFA" w:rsidRPr="009C3005" w:rsidRDefault="00E82A60" w:rsidP="00300A01">
            <w:pPr>
              <w:pStyle w:val="Text1"/>
              <w:spacing w:before="0" w:after="0"/>
              <w:ind w:left="0"/>
              <w:jc w:val="right"/>
              <w:rPr>
                <w:sz w:val="12"/>
                <w:szCs w:val="12"/>
              </w:rPr>
            </w:pPr>
            <w:r w:rsidRPr="009C3005">
              <w:rPr>
                <w:noProof/>
                <w:sz w:val="12"/>
                <w:szCs w:val="12"/>
              </w:rPr>
              <w:t>6 621 726,35</w:t>
            </w:r>
          </w:p>
        </w:tc>
        <w:tc>
          <w:tcPr>
            <w:tcW w:w="0" w:type="auto"/>
            <w:shd w:val="clear" w:color="auto" w:fill="auto"/>
          </w:tcPr>
          <w:p w14:paraId="61DF4A7E" w14:textId="77777777" w:rsidR="008C5CFA" w:rsidRPr="009C3005" w:rsidRDefault="00E82A60" w:rsidP="00300A01">
            <w:pPr>
              <w:pStyle w:val="Text1"/>
              <w:spacing w:before="0" w:after="0"/>
              <w:ind w:left="0"/>
              <w:jc w:val="right"/>
              <w:rPr>
                <w:sz w:val="12"/>
                <w:szCs w:val="12"/>
              </w:rPr>
            </w:pPr>
            <w:r w:rsidRPr="009C3005">
              <w:rPr>
                <w:noProof/>
                <w:sz w:val="12"/>
                <w:szCs w:val="12"/>
              </w:rPr>
              <w:t>8</w:t>
            </w:r>
          </w:p>
        </w:tc>
      </w:tr>
      <w:tr w:rsidR="006B2EC1" w14:paraId="6F02ECE3" w14:textId="77777777" w:rsidTr="0047688D">
        <w:tc>
          <w:tcPr>
            <w:tcW w:w="0" w:type="auto"/>
            <w:shd w:val="clear" w:color="auto" w:fill="auto"/>
          </w:tcPr>
          <w:p w14:paraId="16C47AA7" w14:textId="77777777" w:rsidR="008C5CFA" w:rsidRPr="009C3005" w:rsidRDefault="00E82A60" w:rsidP="00300A01">
            <w:pPr>
              <w:pStyle w:val="Text1"/>
              <w:spacing w:before="0" w:after="0"/>
              <w:ind w:left="0"/>
              <w:rPr>
                <w:sz w:val="12"/>
                <w:szCs w:val="12"/>
              </w:rPr>
            </w:pPr>
            <w:r>
              <w:rPr>
                <w:noProof/>
                <w:sz w:val="14"/>
                <w:szCs w:val="14"/>
                <w:lang w:val="fr-BE"/>
              </w:rPr>
              <w:t>7</w:t>
            </w:r>
          </w:p>
        </w:tc>
        <w:tc>
          <w:tcPr>
            <w:tcW w:w="0" w:type="auto"/>
            <w:shd w:val="clear" w:color="auto" w:fill="auto"/>
          </w:tcPr>
          <w:p w14:paraId="0AA22121" w14:textId="77777777" w:rsidR="008C5CFA" w:rsidRPr="009C3005" w:rsidRDefault="00E82A60" w:rsidP="00300A01">
            <w:pPr>
              <w:pStyle w:val="Text1"/>
              <w:spacing w:before="0" w:after="0"/>
              <w:ind w:left="0"/>
              <w:rPr>
                <w:sz w:val="12"/>
                <w:szCs w:val="12"/>
              </w:rPr>
            </w:pPr>
            <w:r>
              <w:rPr>
                <w:noProof/>
                <w:sz w:val="12"/>
                <w:szCs w:val="12"/>
              </w:rPr>
              <w:t>EFRR</w:t>
            </w:r>
          </w:p>
        </w:tc>
        <w:tc>
          <w:tcPr>
            <w:tcW w:w="0" w:type="auto"/>
            <w:shd w:val="clear" w:color="auto" w:fill="auto"/>
          </w:tcPr>
          <w:p w14:paraId="08DD94E8" w14:textId="77777777" w:rsidR="008C5CFA" w:rsidRPr="009C3005" w:rsidRDefault="00E82A60" w:rsidP="00300A01">
            <w:pPr>
              <w:pStyle w:val="Text1"/>
              <w:spacing w:before="0" w:after="0"/>
              <w:ind w:left="0"/>
              <w:rPr>
                <w:sz w:val="12"/>
                <w:szCs w:val="12"/>
              </w:rPr>
            </w:pPr>
            <w:r>
              <w:rPr>
                <w:noProof/>
                <w:sz w:val="12"/>
                <w:szCs w:val="12"/>
              </w:rPr>
              <w:t>Słabiej rozwinięte</w:t>
            </w:r>
          </w:p>
        </w:tc>
        <w:tc>
          <w:tcPr>
            <w:tcW w:w="0" w:type="auto"/>
            <w:shd w:val="clear" w:color="auto" w:fill="auto"/>
          </w:tcPr>
          <w:p w14:paraId="37A63850" w14:textId="77777777" w:rsidR="008C5CFA" w:rsidRPr="009C3005" w:rsidRDefault="00E82A60" w:rsidP="00300A01">
            <w:pPr>
              <w:pStyle w:val="Text1"/>
              <w:spacing w:before="0" w:after="0"/>
              <w:ind w:left="0"/>
              <w:rPr>
                <w:sz w:val="12"/>
                <w:szCs w:val="12"/>
              </w:rPr>
            </w:pPr>
            <w:r>
              <w:rPr>
                <w:noProof/>
                <w:sz w:val="12"/>
                <w:szCs w:val="12"/>
              </w:rPr>
              <w:t>052</w:t>
            </w:r>
          </w:p>
        </w:tc>
        <w:tc>
          <w:tcPr>
            <w:tcW w:w="0" w:type="auto"/>
            <w:shd w:val="clear" w:color="auto" w:fill="auto"/>
          </w:tcPr>
          <w:p w14:paraId="7ECB1918"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508EAB39" w14:textId="77777777" w:rsidR="008C5CFA" w:rsidRPr="009C3005" w:rsidRDefault="00E82A60" w:rsidP="00300A01">
            <w:pPr>
              <w:pStyle w:val="Text1"/>
              <w:spacing w:before="0" w:after="0"/>
              <w:ind w:left="0"/>
              <w:rPr>
                <w:sz w:val="12"/>
                <w:szCs w:val="12"/>
              </w:rPr>
            </w:pPr>
            <w:r>
              <w:rPr>
                <w:noProof/>
                <w:sz w:val="12"/>
                <w:szCs w:val="12"/>
              </w:rPr>
              <w:t>03</w:t>
            </w:r>
          </w:p>
        </w:tc>
        <w:tc>
          <w:tcPr>
            <w:tcW w:w="0" w:type="auto"/>
            <w:shd w:val="clear" w:color="auto" w:fill="auto"/>
          </w:tcPr>
          <w:p w14:paraId="0C4B8D24"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497252FA" w14:textId="77777777" w:rsidR="008C5CFA" w:rsidRPr="009C3005" w:rsidRDefault="00E82A60" w:rsidP="00300A01">
            <w:pPr>
              <w:pStyle w:val="Text1"/>
              <w:spacing w:before="0" w:after="0"/>
              <w:ind w:left="0"/>
              <w:rPr>
                <w:sz w:val="12"/>
                <w:szCs w:val="12"/>
              </w:rPr>
            </w:pPr>
            <w:r>
              <w:rPr>
                <w:noProof/>
                <w:sz w:val="12"/>
                <w:szCs w:val="12"/>
              </w:rPr>
              <w:t>10</w:t>
            </w:r>
          </w:p>
        </w:tc>
        <w:tc>
          <w:tcPr>
            <w:tcW w:w="0" w:type="auto"/>
            <w:shd w:val="clear" w:color="auto" w:fill="auto"/>
          </w:tcPr>
          <w:p w14:paraId="41E623CD" w14:textId="77777777" w:rsidR="008C5CFA" w:rsidRPr="009C3005" w:rsidRDefault="00E82A60" w:rsidP="00300A01">
            <w:pPr>
              <w:pStyle w:val="Text1"/>
              <w:spacing w:before="0" w:after="0"/>
              <w:ind w:left="0"/>
              <w:rPr>
                <w:sz w:val="12"/>
                <w:szCs w:val="12"/>
              </w:rPr>
            </w:pPr>
            <w:r>
              <w:rPr>
                <w:sz w:val="12"/>
                <w:szCs w:val="12"/>
              </w:rPr>
              <w:t xml:space="preserve"> </w:t>
            </w:r>
          </w:p>
        </w:tc>
        <w:tc>
          <w:tcPr>
            <w:tcW w:w="0" w:type="auto"/>
            <w:shd w:val="clear" w:color="auto" w:fill="auto"/>
          </w:tcPr>
          <w:p w14:paraId="34F8474A" w14:textId="77777777" w:rsidR="008C5CFA" w:rsidRPr="009C3005" w:rsidRDefault="00E82A60" w:rsidP="00300A01">
            <w:pPr>
              <w:pStyle w:val="Text1"/>
              <w:spacing w:before="0" w:after="0"/>
              <w:ind w:left="0"/>
              <w:rPr>
                <w:sz w:val="12"/>
                <w:szCs w:val="12"/>
              </w:rPr>
            </w:pPr>
            <w:r>
              <w:rPr>
                <w:noProof/>
                <w:sz w:val="12"/>
                <w:szCs w:val="12"/>
              </w:rPr>
              <w:t>19</w:t>
            </w:r>
          </w:p>
        </w:tc>
        <w:tc>
          <w:tcPr>
            <w:tcW w:w="0" w:type="auto"/>
            <w:shd w:val="clear" w:color="auto" w:fill="auto"/>
          </w:tcPr>
          <w:p w14:paraId="33D3B73A" w14:textId="77777777" w:rsidR="008C5CFA" w:rsidRPr="009C3005" w:rsidRDefault="00E82A60" w:rsidP="00300A01">
            <w:pPr>
              <w:pStyle w:val="Text1"/>
              <w:spacing w:before="0" w:after="0"/>
              <w:ind w:left="0"/>
              <w:rPr>
                <w:sz w:val="12"/>
                <w:szCs w:val="12"/>
              </w:rPr>
            </w:pPr>
            <w:r>
              <w:rPr>
                <w:noProof/>
                <w:sz w:val="12"/>
                <w:szCs w:val="12"/>
              </w:rPr>
              <w:t>PL33</w:t>
            </w:r>
          </w:p>
        </w:tc>
        <w:tc>
          <w:tcPr>
            <w:tcW w:w="0" w:type="auto"/>
            <w:shd w:val="clear" w:color="auto" w:fill="auto"/>
          </w:tcPr>
          <w:p w14:paraId="5C2901A3" w14:textId="77777777" w:rsidR="008C5CFA" w:rsidRPr="009C3005" w:rsidRDefault="00E82A60" w:rsidP="00300A01">
            <w:pPr>
              <w:pStyle w:val="Text1"/>
              <w:spacing w:before="0" w:after="0"/>
              <w:ind w:left="0"/>
              <w:jc w:val="right"/>
              <w:rPr>
                <w:sz w:val="12"/>
                <w:szCs w:val="12"/>
              </w:rPr>
            </w:pPr>
            <w:r w:rsidRPr="009C3005">
              <w:rPr>
                <w:noProof/>
                <w:sz w:val="12"/>
                <w:szCs w:val="12"/>
              </w:rPr>
              <w:t>213 540,79</w:t>
            </w:r>
          </w:p>
        </w:tc>
        <w:tc>
          <w:tcPr>
            <w:tcW w:w="0" w:type="auto"/>
            <w:shd w:val="clear" w:color="auto" w:fill="auto"/>
          </w:tcPr>
          <w:p w14:paraId="2C30B4B1" w14:textId="77777777" w:rsidR="008C5CFA" w:rsidRPr="009C3005" w:rsidRDefault="00E82A60" w:rsidP="00300A01">
            <w:pPr>
              <w:pStyle w:val="Text1"/>
              <w:spacing w:before="0" w:after="0"/>
              <w:ind w:left="0"/>
              <w:jc w:val="right"/>
              <w:rPr>
                <w:sz w:val="12"/>
                <w:szCs w:val="12"/>
              </w:rPr>
            </w:pPr>
            <w:r w:rsidRPr="009C3005">
              <w:rPr>
                <w:noProof/>
                <w:sz w:val="12"/>
                <w:szCs w:val="12"/>
              </w:rPr>
              <w:t>213 540,79</w:t>
            </w:r>
          </w:p>
        </w:tc>
        <w:tc>
          <w:tcPr>
            <w:tcW w:w="0" w:type="auto"/>
            <w:shd w:val="clear" w:color="auto" w:fill="auto"/>
          </w:tcPr>
          <w:p w14:paraId="6390A20C" w14:textId="77777777" w:rsidR="008C5CFA" w:rsidRPr="009C3005" w:rsidRDefault="00E82A60" w:rsidP="00300A01">
            <w:pPr>
              <w:pStyle w:val="Text1"/>
              <w:spacing w:before="0" w:after="0"/>
              <w:ind w:left="0"/>
              <w:jc w:val="right"/>
              <w:rPr>
                <w:sz w:val="12"/>
                <w:szCs w:val="12"/>
              </w:rPr>
            </w:pPr>
            <w:r w:rsidRPr="009C3005">
              <w:rPr>
                <w:noProof/>
                <w:sz w:val="12"/>
                <w:szCs w:val="12"/>
              </w:rPr>
              <w:t>198 609,24</w:t>
            </w:r>
          </w:p>
        </w:tc>
        <w:tc>
          <w:tcPr>
            <w:tcW w:w="0" w:type="auto"/>
            <w:shd w:val="clear" w:color="auto" w:fill="auto"/>
          </w:tcPr>
          <w:p w14:paraId="3EA58598" w14:textId="77777777" w:rsidR="008C5CFA" w:rsidRPr="009C3005" w:rsidRDefault="00E82A60" w:rsidP="00300A01">
            <w:pPr>
              <w:pStyle w:val="Text1"/>
              <w:spacing w:before="0" w:after="0"/>
              <w:ind w:left="0"/>
              <w:jc w:val="right"/>
              <w:rPr>
                <w:sz w:val="12"/>
                <w:szCs w:val="12"/>
              </w:rPr>
            </w:pPr>
            <w:r w:rsidRPr="009C3005">
              <w:rPr>
                <w:noProof/>
                <w:sz w:val="12"/>
                <w:szCs w:val="12"/>
              </w:rPr>
              <w:t>1</w:t>
            </w:r>
          </w:p>
        </w:tc>
      </w:tr>
      <w:tr w:rsidR="006B2EC1" w14:paraId="6D0C1DBB" w14:textId="77777777" w:rsidTr="0047688D">
        <w:tc>
          <w:tcPr>
            <w:tcW w:w="0" w:type="auto"/>
            <w:shd w:val="clear" w:color="auto" w:fill="auto"/>
          </w:tcPr>
          <w:p w14:paraId="5E46A40B" w14:textId="77777777" w:rsidR="008C5CFA" w:rsidRPr="009C3005" w:rsidRDefault="00E82A60" w:rsidP="00300A01">
            <w:pPr>
              <w:pStyle w:val="Text1"/>
              <w:spacing w:before="0" w:after="0"/>
              <w:ind w:left="0"/>
              <w:rPr>
                <w:sz w:val="12"/>
                <w:szCs w:val="12"/>
              </w:rPr>
            </w:pPr>
            <w:r>
              <w:rPr>
                <w:noProof/>
                <w:sz w:val="14"/>
                <w:szCs w:val="14"/>
                <w:lang w:val="fr-BE"/>
              </w:rPr>
              <w:t>7</w:t>
            </w:r>
          </w:p>
        </w:tc>
        <w:tc>
          <w:tcPr>
            <w:tcW w:w="0" w:type="auto"/>
            <w:shd w:val="clear" w:color="auto" w:fill="auto"/>
          </w:tcPr>
          <w:p w14:paraId="57102345" w14:textId="77777777" w:rsidR="008C5CFA" w:rsidRPr="009C3005" w:rsidRDefault="00E82A60" w:rsidP="00300A01">
            <w:pPr>
              <w:pStyle w:val="Text1"/>
              <w:spacing w:before="0" w:after="0"/>
              <w:ind w:left="0"/>
              <w:rPr>
                <w:sz w:val="12"/>
                <w:szCs w:val="12"/>
              </w:rPr>
            </w:pPr>
            <w:r>
              <w:rPr>
                <w:noProof/>
                <w:sz w:val="12"/>
                <w:szCs w:val="12"/>
              </w:rPr>
              <w:t>EFRR</w:t>
            </w:r>
          </w:p>
        </w:tc>
        <w:tc>
          <w:tcPr>
            <w:tcW w:w="0" w:type="auto"/>
            <w:shd w:val="clear" w:color="auto" w:fill="auto"/>
          </w:tcPr>
          <w:p w14:paraId="2125EFC6" w14:textId="77777777" w:rsidR="008C5CFA" w:rsidRPr="009C3005" w:rsidRDefault="00E82A60" w:rsidP="00300A01">
            <w:pPr>
              <w:pStyle w:val="Text1"/>
              <w:spacing w:before="0" w:after="0"/>
              <w:ind w:left="0"/>
              <w:rPr>
                <w:sz w:val="12"/>
                <w:szCs w:val="12"/>
              </w:rPr>
            </w:pPr>
            <w:r>
              <w:rPr>
                <w:noProof/>
                <w:sz w:val="12"/>
                <w:szCs w:val="12"/>
              </w:rPr>
              <w:t>Słabiej rozwinięte</w:t>
            </w:r>
          </w:p>
        </w:tc>
        <w:tc>
          <w:tcPr>
            <w:tcW w:w="0" w:type="auto"/>
            <w:shd w:val="clear" w:color="auto" w:fill="auto"/>
          </w:tcPr>
          <w:p w14:paraId="476C5360" w14:textId="77777777" w:rsidR="008C5CFA" w:rsidRPr="009C3005" w:rsidRDefault="00E82A60" w:rsidP="00300A01">
            <w:pPr>
              <w:pStyle w:val="Text1"/>
              <w:spacing w:before="0" w:after="0"/>
              <w:ind w:left="0"/>
              <w:rPr>
                <w:sz w:val="12"/>
                <w:szCs w:val="12"/>
              </w:rPr>
            </w:pPr>
            <w:r>
              <w:rPr>
                <w:noProof/>
                <w:sz w:val="12"/>
                <w:szCs w:val="12"/>
              </w:rPr>
              <w:t>053</w:t>
            </w:r>
          </w:p>
        </w:tc>
        <w:tc>
          <w:tcPr>
            <w:tcW w:w="0" w:type="auto"/>
            <w:shd w:val="clear" w:color="auto" w:fill="auto"/>
          </w:tcPr>
          <w:p w14:paraId="21C7588D"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779CE86B"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598D50D9"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1D6377F7" w14:textId="77777777" w:rsidR="008C5CFA" w:rsidRPr="009C3005" w:rsidRDefault="00E82A60" w:rsidP="00300A01">
            <w:pPr>
              <w:pStyle w:val="Text1"/>
              <w:spacing w:before="0" w:after="0"/>
              <w:ind w:left="0"/>
              <w:rPr>
                <w:sz w:val="12"/>
                <w:szCs w:val="12"/>
              </w:rPr>
            </w:pPr>
            <w:r>
              <w:rPr>
                <w:noProof/>
                <w:sz w:val="12"/>
                <w:szCs w:val="12"/>
              </w:rPr>
              <w:t>09</w:t>
            </w:r>
          </w:p>
        </w:tc>
        <w:tc>
          <w:tcPr>
            <w:tcW w:w="0" w:type="auto"/>
            <w:shd w:val="clear" w:color="auto" w:fill="auto"/>
          </w:tcPr>
          <w:p w14:paraId="0BFDFE20" w14:textId="77777777" w:rsidR="008C5CFA" w:rsidRPr="009C3005" w:rsidRDefault="00E82A60" w:rsidP="00300A01">
            <w:pPr>
              <w:pStyle w:val="Text1"/>
              <w:spacing w:before="0" w:after="0"/>
              <w:ind w:left="0"/>
              <w:rPr>
                <w:sz w:val="12"/>
                <w:szCs w:val="12"/>
              </w:rPr>
            </w:pPr>
            <w:r>
              <w:rPr>
                <w:sz w:val="12"/>
                <w:szCs w:val="12"/>
              </w:rPr>
              <w:t xml:space="preserve"> </w:t>
            </w:r>
          </w:p>
        </w:tc>
        <w:tc>
          <w:tcPr>
            <w:tcW w:w="0" w:type="auto"/>
            <w:shd w:val="clear" w:color="auto" w:fill="auto"/>
          </w:tcPr>
          <w:p w14:paraId="2A0AB85D" w14:textId="77777777" w:rsidR="008C5CFA" w:rsidRPr="009C3005" w:rsidRDefault="00E82A60" w:rsidP="00300A01">
            <w:pPr>
              <w:pStyle w:val="Text1"/>
              <w:spacing w:before="0" w:after="0"/>
              <w:ind w:left="0"/>
              <w:rPr>
                <w:sz w:val="12"/>
                <w:szCs w:val="12"/>
              </w:rPr>
            </w:pPr>
            <w:r>
              <w:rPr>
                <w:noProof/>
                <w:sz w:val="12"/>
                <w:szCs w:val="12"/>
              </w:rPr>
              <w:t>20</w:t>
            </w:r>
          </w:p>
        </w:tc>
        <w:tc>
          <w:tcPr>
            <w:tcW w:w="0" w:type="auto"/>
            <w:shd w:val="clear" w:color="auto" w:fill="auto"/>
          </w:tcPr>
          <w:p w14:paraId="784F9E19" w14:textId="77777777" w:rsidR="008C5CFA" w:rsidRPr="009C3005" w:rsidRDefault="00E82A60" w:rsidP="00300A01">
            <w:pPr>
              <w:pStyle w:val="Text1"/>
              <w:spacing w:before="0" w:after="0"/>
              <w:ind w:left="0"/>
              <w:rPr>
                <w:sz w:val="12"/>
                <w:szCs w:val="12"/>
              </w:rPr>
            </w:pPr>
            <w:r>
              <w:rPr>
                <w:noProof/>
                <w:sz w:val="12"/>
                <w:szCs w:val="12"/>
              </w:rPr>
              <w:t>PL33</w:t>
            </w:r>
          </w:p>
        </w:tc>
        <w:tc>
          <w:tcPr>
            <w:tcW w:w="0" w:type="auto"/>
            <w:shd w:val="clear" w:color="auto" w:fill="auto"/>
          </w:tcPr>
          <w:p w14:paraId="21712EE1" w14:textId="77777777" w:rsidR="008C5CFA" w:rsidRPr="009C3005" w:rsidRDefault="00E82A60" w:rsidP="00300A01">
            <w:pPr>
              <w:pStyle w:val="Text1"/>
              <w:spacing w:before="0" w:after="0"/>
              <w:ind w:left="0"/>
              <w:jc w:val="right"/>
              <w:rPr>
                <w:sz w:val="12"/>
                <w:szCs w:val="12"/>
              </w:rPr>
            </w:pPr>
            <w:r w:rsidRPr="009C3005">
              <w:rPr>
                <w:noProof/>
                <w:sz w:val="12"/>
                <w:szCs w:val="12"/>
              </w:rPr>
              <w:t>10 604 906,62</w:t>
            </w:r>
          </w:p>
        </w:tc>
        <w:tc>
          <w:tcPr>
            <w:tcW w:w="0" w:type="auto"/>
            <w:shd w:val="clear" w:color="auto" w:fill="auto"/>
          </w:tcPr>
          <w:p w14:paraId="0E2022B7" w14:textId="77777777" w:rsidR="008C5CFA" w:rsidRPr="009C3005" w:rsidRDefault="00E82A60" w:rsidP="00300A01">
            <w:pPr>
              <w:pStyle w:val="Text1"/>
              <w:spacing w:before="0" w:after="0"/>
              <w:ind w:left="0"/>
              <w:jc w:val="right"/>
              <w:rPr>
                <w:sz w:val="12"/>
                <w:szCs w:val="12"/>
              </w:rPr>
            </w:pPr>
            <w:r w:rsidRPr="009C3005">
              <w:rPr>
                <w:noProof/>
                <w:sz w:val="12"/>
                <w:szCs w:val="12"/>
              </w:rPr>
              <w:t>10 604 906,62</w:t>
            </w:r>
          </w:p>
        </w:tc>
        <w:tc>
          <w:tcPr>
            <w:tcW w:w="0" w:type="auto"/>
            <w:shd w:val="clear" w:color="auto" w:fill="auto"/>
          </w:tcPr>
          <w:p w14:paraId="01E08A12" w14:textId="77777777" w:rsidR="008C5CFA" w:rsidRPr="009C3005" w:rsidRDefault="00E82A60" w:rsidP="00300A01">
            <w:pPr>
              <w:pStyle w:val="Text1"/>
              <w:spacing w:before="0" w:after="0"/>
              <w:ind w:left="0"/>
              <w:jc w:val="right"/>
              <w:rPr>
                <w:sz w:val="12"/>
                <w:szCs w:val="12"/>
              </w:rPr>
            </w:pPr>
            <w:r w:rsidRPr="009C3005">
              <w:rPr>
                <w:noProof/>
                <w:sz w:val="12"/>
                <w:szCs w:val="12"/>
              </w:rPr>
              <w:t>6 543 593,17</w:t>
            </w:r>
          </w:p>
        </w:tc>
        <w:tc>
          <w:tcPr>
            <w:tcW w:w="0" w:type="auto"/>
            <w:shd w:val="clear" w:color="auto" w:fill="auto"/>
          </w:tcPr>
          <w:p w14:paraId="1E1D81E0" w14:textId="77777777" w:rsidR="008C5CFA" w:rsidRPr="009C3005" w:rsidRDefault="00E82A60" w:rsidP="00300A01">
            <w:pPr>
              <w:pStyle w:val="Text1"/>
              <w:spacing w:before="0" w:after="0"/>
              <w:ind w:left="0"/>
              <w:jc w:val="right"/>
              <w:rPr>
                <w:sz w:val="12"/>
                <w:szCs w:val="12"/>
              </w:rPr>
            </w:pPr>
            <w:r w:rsidRPr="009C3005">
              <w:rPr>
                <w:noProof/>
                <w:sz w:val="12"/>
                <w:szCs w:val="12"/>
              </w:rPr>
              <w:t>5</w:t>
            </w:r>
          </w:p>
        </w:tc>
      </w:tr>
      <w:tr w:rsidR="006B2EC1" w14:paraId="36D29253" w14:textId="77777777" w:rsidTr="0047688D">
        <w:tc>
          <w:tcPr>
            <w:tcW w:w="0" w:type="auto"/>
            <w:shd w:val="clear" w:color="auto" w:fill="auto"/>
          </w:tcPr>
          <w:p w14:paraId="04DD77FD" w14:textId="77777777" w:rsidR="008C5CFA" w:rsidRPr="009C3005" w:rsidRDefault="00E82A60" w:rsidP="00300A01">
            <w:pPr>
              <w:pStyle w:val="Text1"/>
              <w:spacing w:before="0" w:after="0"/>
              <w:ind w:left="0"/>
              <w:rPr>
                <w:sz w:val="12"/>
                <w:szCs w:val="12"/>
              </w:rPr>
            </w:pPr>
            <w:r>
              <w:rPr>
                <w:noProof/>
                <w:sz w:val="14"/>
                <w:szCs w:val="14"/>
                <w:lang w:val="fr-BE"/>
              </w:rPr>
              <w:t>7</w:t>
            </w:r>
          </w:p>
        </w:tc>
        <w:tc>
          <w:tcPr>
            <w:tcW w:w="0" w:type="auto"/>
            <w:shd w:val="clear" w:color="auto" w:fill="auto"/>
          </w:tcPr>
          <w:p w14:paraId="3F50CB80" w14:textId="77777777" w:rsidR="008C5CFA" w:rsidRPr="009C3005" w:rsidRDefault="00E82A60" w:rsidP="00300A01">
            <w:pPr>
              <w:pStyle w:val="Text1"/>
              <w:spacing w:before="0" w:after="0"/>
              <w:ind w:left="0"/>
              <w:rPr>
                <w:sz w:val="12"/>
                <w:szCs w:val="12"/>
              </w:rPr>
            </w:pPr>
            <w:r>
              <w:rPr>
                <w:noProof/>
                <w:sz w:val="12"/>
                <w:szCs w:val="12"/>
              </w:rPr>
              <w:t>EFRR</w:t>
            </w:r>
          </w:p>
        </w:tc>
        <w:tc>
          <w:tcPr>
            <w:tcW w:w="0" w:type="auto"/>
            <w:shd w:val="clear" w:color="auto" w:fill="auto"/>
          </w:tcPr>
          <w:p w14:paraId="199BB5E2" w14:textId="77777777" w:rsidR="008C5CFA" w:rsidRPr="009C3005" w:rsidRDefault="00E82A60" w:rsidP="00300A01">
            <w:pPr>
              <w:pStyle w:val="Text1"/>
              <w:spacing w:before="0" w:after="0"/>
              <w:ind w:left="0"/>
              <w:rPr>
                <w:sz w:val="12"/>
                <w:szCs w:val="12"/>
              </w:rPr>
            </w:pPr>
            <w:r>
              <w:rPr>
                <w:noProof/>
                <w:sz w:val="12"/>
                <w:szCs w:val="12"/>
              </w:rPr>
              <w:t>Słabiej rozwinięte</w:t>
            </w:r>
          </w:p>
        </w:tc>
        <w:tc>
          <w:tcPr>
            <w:tcW w:w="0" w:type="auto"/>
            <w:shd w:val="clear" w:color="auto" w:fill="auto"/>
          </w:tcPr>
          <w:p w14:paraId="059D646A" w14:textId="77777777" w:rsidR="008C5CFA" w:rsidRPr="009C3005" w:rsidRDefault="00E82A60" w:rsidP="00300A01">
            <w:pPr>
              <w:pStyle w:val="Text1"/>
              <w:spacing w:before="0" w:after="0"/>
              <w:ind w:left="0"/>
              <w:rPr>
                <w:sz w:val="12"/>
                <w:szCs w:val="12"/>
              </w:rPr>
            </w:pPr>
            <w:r>
              <w:rPr>
                <w:noProof/>
                <w:sz w:val="12"/>
                <w:szCs w:val="12"/>
              </w:rPr>
              <w:t>053</w:t>
            </w:r>
          </w:p>
        </w:tc>
        <w:tc>
          <w:tcPr>
            <w:tcW w:w="0" w:type="auto"/>
            <w:shd w:val="clear" w:color="auto" w:fill="auto"/>
          </w:tcPr>
          <w:p w14:paraId="0221EAA9"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6A34190D" w14:textId="77777777" w:rsidR="008C5CFA" w:rsidRPr="009C3005" w:rsidRDefault="00E82A60" w:rsidP="00300A01">
            <w:pPr>
              <w:pStyle w:val="Text1"/>
              <w:spacing w:before="0" w:after="0"/>
              <w:ind w:left="0"/>
              <w:rPr>
                <w:sz w:val="12"/>
                <w:szCs w:val="12"/>
              </w:rPr>
            </w:pPr>
            <w:r>
              <w:rPr>
                <w:noProof/>
                <w:sz w:val="12"/>
                <w:szCs w:val="12"/>
              </w:rPr>
              <w:t>02</w:t>
            </w:r>
          </w:p>
        </w:tc>
        <w:tc>
          <w:tcPr>
            <w:tcW w:w="0" w:type="auto"/>
            <w:shd w:val="clear" w:color="auto" w:fill="auto"/>
          </w:tcPr>
          <w:p w14:paraId="6BB208C0"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2806965A" w14:textId="77777777" w:rsidR="008C5CFA" w:rsidRPr="009C3005" w:rsidRDefault="00E82A60" w:rsidP="00300A01">
            <w:pPr>
              <w:pStyle w:val="Text1"/>
              <w:spacing w:before="0" w:after="0"/>
              <w:ind w:left="0"/>
              <w:rPr>
                <w:sz w:val="12"/>
                <w:szCs w:val="12"/>
              </w:rPr>
            </w:pPr>
            <w:r>
              <w:rPr>
                <w:noProof/>
                <w:sz w:val="12"/>
                <w:szCs w:val="12"/>
              </w:rPr>
              <w:t>09</w:t>
            </w:r>
          </w:p>
        </w:tc>
        <w:tc>
          <w:tcPr>
            <w:tcW w:w="0" w:type="auto"/>
            <w:shd w:val="clear" w:color="auto" w:fill="auto"/>
          </w:tcPr>
          <w:p w14:paraId="1FC2C40D" w14:textId="77777777" w:rsidR="008C5CFA" w:rsidRPr="009C3005" w:rsidRDefault="00E82A60" w:rsidP="00300A01">
            <w:pPr>
              <w:pStyle w:val="Text1"/>
              <w:spacing w:before="0" w:after="0"/>
              <w:ind w:left="0"/>
              <w:rPr>
                <w:sz w:val="12"/>
                <w:szCs w:val="12"/>
              </w:rPr>
            </w:pPr>
            <w:r>
              <w:rPr>
                <w:sz w:val="12"/>
                <w:szCs w:val="12"/>
              </w:rPr>
              <w:t xml:space="preserve"> </w:t>
            </w:r>
          </w:p>
        </w:tc>
        <w:tc>
          <w:tcPr>
            <w:tcW w:w="0" w:type="auto"/>
            <w:shd w:val="clear" w:color="auto" w:fill="auto"/>
          </w:tcPr>
          <w:p w14:paraId="0DE7F9E5" w14:textId="77777777" w:rsidR="008C5CFA" w:rsidRPr="009C3005" w:rsidRDefault="00E82A60" w:rsidP="00300A01">
            <w:pPr>
              <w:pStyle w:val="Text1"/>
              <w:spacing w:before="0" w:after="0"/>
              <w:ind w:left="0"/>
              <w:rPr>
                <w:sz w:val="12"/>
                <w:szCs w:val="12"/>
              </w:rPr>
            </w:pPr>
            <w:r>
              <w:rPr>
                <w:noProof/>
                <w:sz w:val="12"/>
                <w:szCs w:val="12"/>
              </w:rPr>
              <w:t>20</w:t>
            </w:r>
          </w:p>
        </w:tc>
        <w:tc>
          <w:tcPr>
            <w:tcW w:w="0" w:type="auto"/>
            <w:shd w:val="clear" w:color="auto" w:fill="auto"/>
          </w:tcPr>
          <w:p w14:paraId="176A917F" w14:textId="77777777" w:rsidR="008C5CFA" w:rsidRPr="009C3005" w:rsidRDefault="00E82A60" w:rsidP="00300A01">
            <w:pPr>
              <w:pStyle w:val="Text1"/>
              <w:spacing w:before="0" w:after="0"/>
              <w:ind w:left="0"/>
              <w:rPr>
                <w:sz w:val="12"/>
                <w:szCs w:val="12"/>
              </w:rPr>
            </w:pPr>
            <w:r>
              <w:rPr>
                <w:noProof/>
                <w:sz w:val="12"/>
                <w:szCs w:val="12"/>
              </w:rPr>
              <w:t>PL33</w:t>
            </w:r>
          </w:p>
        </w:tc>
        <w:tc>
          <w:tcPr>
            <w:tcW w:w="0" w:type="auto"/>
            <w:shd w:val="clear" w:color="auto" w:fill="auto"/>
          </w:tcPr>
          <w:p w14:paraId="6E5C7DAA" w14:textId="77777777" w:rsidR="008C5CFA" w:rsidRPr="009C3005" w:rsidRDefault="00E82A60" w:rsidP="00300A01">
            <w:pPr>
              <w:pStyle w:val="Text1"/>
              <w:spacing w:before="0" w:after="0"/>
              <w:ind w:left="0"/>
              <w:jc w:val="right"/>
              <w:rPr>
                <w:sz w:val="12"/>
                <w:szCs w:val="12"/>
              </w:rPr>
            </w:pPr>
            <w:r w:rsidRPr="009C3005">
              <w:rPr>
                <w:noProof/>
                <w:sz w:val="12"/>
                <w:szCs w:val="12"/>
              </w:rPr>
              <w:t>26 472 284,47</w:t>
            </w:r>
          </w:p>
        </w:tc>
        <w:tc>
          <w:tcPr>
            <w:tcW w:w="0" w:type="auto"/>
            <w:shd w:val="clear" w:color="auto" w:fill="auto"/>
          </w:tcPr>
          <w:p w14:paraId="6D4DDC5D" w14:textId="77777777" w:rsidR="008C5CFA" w:rsidRPr="009C3005" w:rsidRDefault="00E82A60" w:rsidP="00300A01">
            <w:pPr>
              <w:pStyle w:val="Text1"/>
              <w:spacing w:before="0" w:after="0"/>
              <w:ind w:left="0"/>
              <w:jc w:val="right"/>
              <w:rPr>
                <w:sz w:val="12"/>
                <w:szCs w:val="12"/>
              </w:rPr>
            </w:pPr>
            <w:r w:rsidRPr="009C3005">
              <w:rPr>
                <w:noProof/>
                <w:sz w:val="12"/>
                <w:szCs w:val="12"/>
              </w:rPr>
              <w:t>25 904 177,88</w:t>
            </w:r>
          </w:p>
        </w:tc>
        <w:tc>
          <w:tcPr>
            <w:tcW w:w="0" w:type="auto"/>
            <w:shd w:val="clear" w:color="auto" w:fill="auto"/>
          </w:tcPr>
          <w:p w14:paraId="5F0BD47E" w14:textId="77777777" w:rsidR="008C5CFA" w:rsidRPr="009C3005" w:rsidRDefault="00E82A60" w:rsidP="00300A01">
            <w:pPr>
              <w:pStyle w:val="Text1"/>
              <w:spacing w:before="0" w:after="0"/>
              <w:ind w:left="0"/>
              <w:jc w:val="right"/>
              <w:rPr>
                <w:sz w:val="12"/>
                <w:szCs w:val="12"/>
              </w:rPr>
            </w:pPr>
            <w:r w:rsidRPr="009C3005">
              <w:rPr>
                <w:noProof/>
                <w:sz w:val="12"/>
                <w:szCs w:val="12"/>
              </w:rPr>
              <w:t>4 606 453,54</w:t>
            </w:r>
          </w:p>
        </w:tc>
        <w:tc>
          <w:tcPr>
            <w:tcW w:w="0" w:type="auto"/>
            <w:shd w:val="clear" w:color="auto" w:fill="auto"/>
          </w:tcPr>
          <w:p w14:paraId="63E3D796" w14:textId="77777777" w:rsidR="008C5CFA" w:rsidRPr="009C3005" w:rsidRDefault="00E82A60" w:rsidP="00300A01">
            <w:pPr>
              <w:pStyle w:val="Text1"/>
              <w:spacing w:before="0" w:after="0"/>
              <w:ind w:left="0"/>
              <w:jc w:val="right"/>
              <w:rPr>
                <w:sz w:val="12"/>
                <w:szCs w:val="12"/>
              </w:rPr>
            </w:pPr>
            <w:r w:rsidRPr="009C3005">
              <w:rPr>
                <w:noProof/>
                <w:sz w:val="12"/>
                <w:szCs w:val="12"/>
              </w:rPr>
              <w:t>18</w:t>
            </w:r>
          </w:p>
        </w:tc>
      </w:tr>
      <w:tr w:rsidR="006B2EC1" w14:paraId="39A64E8A" w14:textId="77777777" w:rsidTr="0047688D">
        <w:tc>
          <w:tcPr>
            <w:tcW w:w="0" w:type="auto"/>
            <w:shd w:val="clear" w:color="auto" w:fill="auto"/>
          </w:tcPr>
          <w:p w14:paraId="47444528" w14:textId="77777777" w:rsidR="008C5CFA" w:rsidRPr="009C3005" w:rsidRDefault="00E82A60" w:rsidP="00300A01">
            <w:pPr>
              <w:pStyle w:val="Text1"/>
              <w:spacing w:before="0" w:after="0"/>
              <w:ind w:left="0"/>
              <w:rPr>
                <w:sz w:val="12"/>
                <w:szCs w:val="12"/>
              </w:rPr>
            </w:pPr>
            <w:r>
              <w:rPr>
                <w:noProof/>
                <w:sz w:val="14"/>
                <w:szCs w:val="14"/>
                <w:lang w:val="fr-BE"/>
              </w:rPr>
              <w:t>7</w:t>
            </w:r>
          </w:p>
        </w:tc>
        <w:tc>
          <w:tcPr>
            <w:tcW w:w="0" w:type="auto"/>
            <w:shd w:val="clear" w:color="auto" w:fill="auto"/>
          </w:tcPr>
          <w:p w14:paraId="211DE28E" w14:textId="77777777" w:rsidR="008C5CFA" w:rsidRPr="009C3005" w:rsidRDefault="00E82A60" w:rsidP="00300A01">
            <w:pPr>
              <w:pStyle w:val="Text1"/>
              <w:spacing w:before="0" w:after="0"/>
              <w:ind w:left="0"/>
              <w:rPr>
                <w:sz w:val="12"/>
                <w:szCs w:val="12"/>
              </w:rPr>
            </w:pPr>
            <w:r>
              <w:rPr>
                <w:noProof/>
                <w:sz w:val="12"/>
                <w:szCs w:val="12"/>
              </w:rPr>
              <w:t>EFRR</w:t>
            </w:r>
          </w:p>
        </w:tc>
        <w:tc>
          <w:tcPr>
            <w:tcW w:w="0" w:type="auto"/>
            <w:shd w:val="clear" w:color="auto" w:fill="auto"/>
          </w:tcPr>
          <w:p w14:paraId="12891EF5" w14:textId="77777777" w:rsidR="008C5CFA" w:rsidRPr="009C3005" w:rsidRDefault="00E82A60" w:rsidP="00300A01">
            <w:pPr>
              <w:pStyle w:val="Text1"/>
              <w:spacing w:before="0" w:after="0"/>
              <w:ind w:left="0"/>
              <w:rPr>
                <w:sz w:val="12"/>
                <w:szCs w:val="12"/>
              </w:rPr>
            </w:pPr>
            <w:r>
              <w:rPr>
                <w:noProof/>
                <w:sz w:val="12"/>
                <w:szCs w:val="12"/>
              </w:rPr>
              <w:t>Słabiej rozwinięte</w:t>
            </w:r>
          </w:p>
        </w:tc>
        <w:tc>
          <w:tcPr>
            <w:tcW w:w="0" w:type="auto"/>
            <w:shd w:val="clear" w:color="auto" w:fill="auto"/>
          </w:tcPr>
          <w:p w14:paraId="3175476A" w14:textId="77777777" w:rsidR="008C5CFA" w:rsidRPr="009C3005" w:rsidRDefault="00E82A60" w:rsidP="00300A01">
            <w:pPr>
              <w:pStyle w:val="Text1"/>
              <w:spacing w:before="0" w:after="0"/>
              <w:ind w:left="0"/>
              <w:rPr>
                <w:sz w:val="12"/>
                <w:szCs w:val="12"/>
              </w:rPr>
            </w:pPr>
            <w:r>
              <w:rPr>
                <w:noProof/>
                <w:sz w:val="12"/>
                <w:szCs w:val="12"/>
              </w:rPr>
              <w:t>053</w:t>
            </w:r>
          </w:p>
        </w:tc>
        <w:tc>
          <w:tcPr>
            <w:tcW w:w="0" w:type="auto"/>
            <w:shd w:val="clear" w:color="auto" w:fill="auto"/>
          </w:tcPr>
          <w:p w14:paraId="7B418000"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1AD87FAE" w14:textId="77777777" w:rsidR="008C5CFA" w:rsidRPr="009C3005" w:rsidRDefault="00E82A60" w:rsidP="00300A01">
            <w:pPr>
              <w:pStyle w:val="Text1"/>
              <w:spacing w:before="0" w:after="0"/>
              <w:ind w:left="0"/>
              <w:rPr>
                <w:sz w:val="12"/>
                <w:szCs w:val="12"/>
              </w:rPr>
            </w:pPr>
            <w:r>
              <w:rPr>
                <w:noProof/>
                <w:sz w:val="12"/>
                <w:szCs w:val="12"/>
              </w:rPr>
              <w:t>03</w:t>
            </w:r>
          </w:p>
        </w:tc>
        <w:tc>
          <w:tcPr>
            <w:tcW w:w="0" w:type="auto"/>
            <w:shd w:val="clear" w:color="auto" w:fill="auto"/>
          </w:tcPr>
          <w:p w14:paraId="7EA6FD77"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6756B477" w14:textId="77777777" w:rsidR="008C5CFA" w:rsidRPr="009C3005" w:rsidRDefault="00E82A60" w:rsidP="00300A01">
            <w:pPr>
              <w:pStyle w:val="Text1"/>
              <w:spacing w:before="0" w:after="0"/>
              <w:ind w:left="0"/>
              <w:rPr>
                <w:sz w:val="12"/>
                <w:szCs w:val="12"/>
              </w:rPr>
            </w:pPr>
            <w:r>
              <w:rPr>
                <w:noProof/>
                <w:sz w:val="12"/>
                <w:szCs w:val="12"/>
              </w:rPr>
              <w:t>09</w:t>
            </w:r>
          </w:p>
        </w:tc>
        <w:tc>
          <w:tcPr>
            <w:tcW w:w="0" w:type="auto"/>
            <w:shd w:val="clear" w:color="auto" w:fill="auto"/>
          </w:tcPr>
          <w:p w14:paraId="04562B5A" w14:textId="77777777" w:rsidR="008C5CFA" w:rsidRPr="009C3005" w:rsidRDefault="00E82A60" w:rsidP="00300A01">
            <w:pPr>
              <w:pStyle w:val="Text1"/>
              <w:spacing w:before="0" w:after="0"/>
              <w:ind w:left="0"/>
              <w:rPr>
                <w:sz w:val="12"/>
                <w:szCs w:val="12"/>
              </w:rPr>
            </w:pPr>
            <w:r>
              <w:rPr>
                <w:sz w:val="12"/>
                <w:szCs w:val="12"/>
              </w:rPr>
              <w:t xml:space="preserve"> </w:t>
            </w:r>
          </w:p>
        </w:tc>
        <w:tc>
          <w:tcPr>
            <w:tcW w:w="0" w:type="auto"/>
            <w:shd w:val="clear" w:color="auto" w:fill="auto"/>
          </w:tcPr>
          <w:p w14:paraId="78C9C14E" w14:textId="77777777" w:rsidR="008C5CFA" w:rsidRPr="009C3005" w:rsidRDefault="00E82A60" w:rsidP="00300A01">
            <w:pPr>
              <w:pStyle w:val="Text1"/>
              <w:spacing w:before="0" w:after="0"/>
              <w:ind w:left="0"/>
              <w:rPr>
                <w:sz w:val="12"/>
                <w:szCs w:val="12"/>
              </w:rPr>
            </w:pPr>
            <w:r>
              <w:rPr>
                <w:noProof/>
                <w:sz w:val="12"/>
                <w:szCs w:val="12"/>
              </w:rPr>
              <w:t>20</w:t>
            </w:r>
          </w:p>
        </w:tc>
        <w:tc>
          <w:tcPr>
            <w:tcW w:w="0" w:type="auto"/>
            <w:shd w:val="clear" w:color="auto" w:fill="auto"/>
          </w:tcPr>
          <w:p w14:paraId="6F09D494" w14:textId="77777777" w:rsidR="008C5CFA" w:rsidRPr="009C3005" w:rsidRDefault="00E82A60" w:rsidP="00300A01">
            <w:pPr>
              <w:pStyle w:val="Text1"/>
              <w:spacing w:before="0" w:after="0"/>
              <w:ind w:left="0"/>
              <w:rPr>
                <w:sz w:val="12"/>
                <w:szCs w:val="12"/>
              </w:rPr>
            </w:pPr>
            <w:r>
              <w:rPr>
                <w:noProof/>
                <w:sz w:val="12"/>
                <w:szCs w:val="12"/>
              </w:rPr>
              <w:t>PL33</w:t>
            </w:r>
          </w:p>
        </w:tc>
        <w:tc>
          <w:tcPr>
            <w:tcW w:w="0" w:type="auto"/>
            <w:shd w:val="clear" w:color="auto" w:fill="auto"/>
          </w:tcPr>
          <w:p w14:paraId="672D2CB9" w14:textId="77777777" w:rsidR="008C5CFA" w:rsidRPr="009C3005" w:rsidRDefault="00E82A60" w:rsidP="00300A01">
            <w:pPr>
              <w:pStyle w:val="Text1"/>
              <w:spacing w:before="0" w:after="0"/>
              <w:ind w:left="0"/>
              <w:jc w:val="right"/>
              <w:rPr>
                <w:sz w:val="12"/>
                <w:szCs w:val="12"/>
              </w:rPr>
            </w:pPr>
            <w:r w:rsidRPr="009C3005">
              <w:rPr>
                <w:noProof/>
                <w:sz w:val="12"/>
                <w:szCs w:val="12"/>
              </w:rPr>
              <w:t>1 841 539,18</w:t>
            </w:r>
          </w:p>
        </w:tc>
        <w:tc>
          <w:tcPr>
            <w:tcW w:w="0" w:type="auto"/>
            <w:shd w:val="clear" w:color="auto" w:fill="auto"/>
          </w:tcPr>
          <w:p w14:paraId="4B1991E5" w14:textId="77777777" w:rsidR="008C5CFA" w:rsidRPr="009C3005" w:rsidRDefault="00E82A60" w:rsidP="00300A01">
            <w:pPr>
              <w:pStyle w:val="Text1"/>
              <w:spacing w:before="0" w:after="0"/>
              <w:ind w:left="0"/>
              <w:jc w:val="right"/>
              <w:rPr>
                <w:sz w:val="12"/>
                <w:szCs w:val="12"/>
              </w:rPr>
            </w:pPr>
            <w:r w:rsidRPr="009C3005">
              <w:rPr>
                <w:noProof/>
                <w:sz w:val="12"/>
                <w:szCs w:val="12"/>
              </w:rPr>
              <w:t>1 818 271,84</w:t>
            </w:r>
          </w:p>
        </w:tc>
        <w:tc>
          <w:tcPr>
            <w:tcW w:w="0" w:type="auto"/>
            <w:shd w:val="clear" w:color="auto" w:fill="auto"/>
          </w:tcPr>
          <w:p w14:paraId="2EFECC1E" w14:textId="77777777" w:rsidR="008C5CFA" w:rsidRPr="009C3005" w:rsidRDefault="00E82A60" w:rsidP="00300A01">
            <w:pPr>
              <w:pStyle w:val="Text1"/>
              <w:spacing w:before="0" w:after="0"/>
              <w:ind w:left="0"/>
              <w:jc w:val="right"/>
              <w:rPr>
                <w:sz w:val="12"/>
                <w:szCs w:val="12"/>
              </w:rPr>
            </w:pPr>
            <w:r w:rsidRPr="009C3005">
              <w:rPr>
                <w:noProof/>
                <w:sz w:val="12"/>
                <w:szCs w:val="12"/>
              </w:rPr>
              <w:t>1 693 474,66</w:t>
            </w:r>
          </w:p>
        </w:tc>
        <w:tc>
          <w:tcPr>
            <w:tcW w:w="0" w:type="auto"/>
            <w:shd w:val="clear" w:color="auto" w:fill="auto"/>
          </w:tcPr>
          <w:p w14:paraId="7FE97123" w14:textId="77777777" w:rsidR="008C5CFA" w:rsidRPr="009C3005" w:rsidRDefault="00E82A60" w:rsidP="00300A01">
            <w:pPr>
              <w:pStyle w:val="Text1"/>
              <w:spacing w:before="0" w:after="0"/>
              <w:ind w:left="0"/>
              <w:jc w:val="right"/>
              <w:rPr>
                <w:sz w:val="12"/>
                <w:szCs w:val="12"/>
              </w:rPr>
            </w:pPr>
            <w:r w:rsidRPr="009C3005">
              <w:rPr>
                <w:noProof/>
                <w:sz w:val="12"/>
                <w:szCs w:val="12"/>
              </w:rPr>
              <w:t>7</w:t>
            </w:r>
          </w:p>
        </w:tc>
      </w:tr>
      <w:tr w:rsidR="006B2EC1" w14:paraId="744FBC87" w14:textId="77777777" w:rsidTr="0047688D">
        <w:tc>
          <w:tcPr>
            <w:tcW w:w="0" w:type="auto"/>
            <w:shd w:val="clear" w:color="auto" w:fill="auto"/>
          </w:tcPr>
          <w:p w14:paraId="3C1FE3AB" w14:textId="77777777" w:rsidR="008C5CFA" w:rsidRPr="009C3005" w:rsidRDefault="00E82A60" w:rsidP="00300A01">
            <w:pPr>
              <w:pStyle w:val="Text1"/>
              <w:spacing w:before="0" w:after="0"/>
              <w:ind w:left="0"/>
              <w:rPr>
                <w:sz w:val="12"/>
                <w:szCs w:val="12"/>
              </w:rPr>
            </w:pPr>
            <w:r>
              <w:rPr>
                <w:noProof/>
                <w:sz w:val="14"/>
                <w:szCs w:val="14"/>
                <w:lang w:val="fr-BE"/>
              </w:rPr>
              <w:t>7</w:t>
            </w:r>
          </w:p>
        </w:tc>
        <w:tc>
          <w:tcPr>
            <w:tcW w:w="0" w:type="auto"/>
            <w:shd w:val="clear" w:color="auto" w:fill="auto"/>
          </w:tcPr>
          <w:p w14:paraId="2E6DE14D" w14:textId="77777777" w:rsidR="008C5CFA" w:rsidRPr="009C3005" w:rsidRDefault="00E82A60" w:rsidP="00300A01">
            <w:pPr>
              <w:pStyle w:val="Text1"/>
              <w:spacing w:before="0" w:after="0"/>
              <w:ind w:left="0"/>
              <w:rPr>
                <w:sz w:val="12"/>
                <w:szCs w:val="12"/>
              </w:rPr>
            </w:pPr>
            <w:r>
              <w:rPr>
                <w:noProof/>
                <w:sz w:val="12"/>
                <w:szCs w:val="12"/>
              </w:rPr>
              <w:t>EFRR</w:t>
            </w:r>
          </w:p>
        </w:tc>
        <w:tc>
          <w:tcPr>
            <w:tcW w:w="0" w:type="auto"/>
            <w:shd w:val="clear" w:color="auto" w:fill="auto"/>
          </w:tcPr>
          <w:p w14:paraId="48691A11" w14:textId="77777777" w:rsidR="008C5CFA" w:rsidRPr="009C3005" w:rsidRDefault="00E82A60" w:rsidP="00300A01">
            <w:pPr>
              <w:pStyle w:val="Text1"/>
              <w:spacing w:before="0" w:after="0"/>
              <w:ind w:left="0"/>
              <w:rPr>
                <w:sz w:val="12"/>
                <w:szCs w:val="12"/>
              </w:rPr>
            </w:pPr>
            <w:r>
              <w:rPr>
                <w:noProof/>
                <w:sz w:val="12"/>
                <w:szCs w:val="12"/>
              </w:rPr>
              <w:t>Słabiej rozwinięte</w:t>
            </w:r>
          </w:p>
        </w:tc>
        <w:tc>
          <w:tcPr>
            <w:tcW w:w="0" w:type="auto"/>
            <w:shd w:val="clear" w:color="auto" w:fill="auto"/>
          </w:tcPr>
          <w:p w14:paraId="0319E8E1" w14:textId="77777777" w:rsidR="008C5CFA" w:rsidRPr="009C3005" w:rsidRDefault="00E82A60" w:rsidP="00300A01">
            <w:pPr>
              <w:pStyle w:val="Text1"/>
              <w:spacing w:before="0" w:after="0"/>
              <w:ind w:left="0"/>
              <w:rPr>
                <w:sz w:val="12"/>
                <w:szCs w:val="12"/>
              </w:rPr>
            </w:pPr>
            <w:r>
              <w:rPr>
                <w:noProof/>
                <w:sz w:val="12"/>
                <w:szCs w:val="12"/>
              </w:rPr>
              <w:t>055</w:t>
            </w:r>
          </w:p>
        </w:tc>
        <w:tc>
          <w:tcPr>
            <w:tcW w:w="0" w:type="auto"/>
            <w:shd w:val="clear" w:color="auto" w:fill="auto"/>
          </w:tcPr>
          <w:p w14:paraId="1407A608"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04792D6C"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37D0284E"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47A70849" w14:textId="77777777" w:rsidR="008C5CFA" w:rsidRPr="009C3005" w:rsidRDefault="00E82A60" w:rsidP="00300A01">
            <w:pPr>
              <w:pStyle w:val="Text1"/>
              <w:spacing w:before="0" w:after="0"/>
              <w:ind w:left="0"/>
              <w:rPr>
                <w:sz w:val="12"/>
                <w:szCs w:val="12"/>
              </w:rPr>
            </w:pPr>
            <w:r>
              <w:rPr>
                <w:noProof/>
                <w:sz w:val="12"/>
                <w:szCs w:val="12"/>
              </w:rPr>
              <w:t>09</w:t>
            </w:r>
          </w:p>
        </w:tc>
        <w:tc>
          <w:tcPr>
            <w:tcW w:w="0" w:type="auto"/>
            <w:shd w:val="clear" w:color="auto" w:fill="auto"/>
          </w:tcPr>
          <w:p w14:paraId="6DF5AB17" w14:textId="77777777" w:rsidR="008C5CFA" w:rsidRPr="009C3005" w:rsidRDefault="00E82A60" w:rsidP="00300A01">
            <w:pPr>
              <w:pStyle w:val="Text1"/>
              <w:spacing w:before="0" w:after="0"/>
              <w:ind w:left="0"/>
              <w:rPr>
                <w:sz w:val="12"/>
                <w:szCs w:val="12"/>
              </w:rPr>
            </w:pPr>
            <w:r>
              <w:rPr>
                <w:sz w:val="12"/>
                <w:szCs w:val="12"/>
              </w:rPr>
              <w:t xml:space="preserve"> </w:t>
            </w:r>
          </w:p>
        </w:tc>
        <w:tc>
          <w:tcPr>
            <w:tcW w:w="0" w:type="auto"/>
            <w:shd w:val="clear" w:color="auto" w:fill="auto"/>
          </w:tcPr>
          <w:p w14:paraId="04B171A4" w14:textId="77777777" w:rsidR="008C5CFA" w:rsidRPr="009C3005" w:rsidRDefault="00E82A60" w:rsidP="00300A01">
            <w:pPr>
              <w:pStyle w:val="Text1"/>
              <w:spacing w:before="0" w:after="0"/>
              <w:ind w:left="0"/>
              <w:rPr>
                <w:sz w:val="12"/>
                <w:szCs w:val="12"/>
              </w:rPr>
            </w:pPr>
            <w:r>
              <w:rPr>
                <w:noProof/>
                <w:sz w:val="12"/>
                <w:szCs w:val="12"/>
              </w:rPr>
              <w:t>21</w:t>
            </w:r>
          </w:p>
        </w:tc>
        <w:tc>
          <w:tcPr>
            <w:tcW w:w="0" w:type="auto"/>
            <w:shd w:val="clear" w:color="auto" w:fill="auto"/>
          </w:tcPr>
          <w:p w14:paraId="266163CA" w14:textId="77777777" w:rsidR="008C5CFA" w:rsidRPr="009C3005" w:rsidRDefault="00E82A60" w:rsidP="00300A01">
            <w:pPr>
              <w:pStyle w:val="Text1"/>
              <w:spacing w:before="0" w:after="0"/>
              <w:ind w:left="0"/>
              <w:rPr>
                <w:sz w:val="12"/>
                <w:szCs w:val="12"/>
              </w:rPr>
            </w:pPr>
            <w:r>
              <w:rPr>
                <w:noProof/>
                <w:sz w:val="12"/>
                <w:szCs w:val="12"/>
              </w:rPr>
              <w:t>PL33</w:t>
            </w:r>
          </w:p>
        </w:tc>
        <w:tc>
          <w:tcPr>
            <w:tcW w:w="0" w:type="auto"/>
            <w:shd w:val="clear" w:color="auto" w:fill="auto"/>
          </w:tcPr>
          <w:p w14:paraId="013E139A" w14:textId="77777777" w:rsidR="008C5CFA" w:rsidRPr="009C3005" w:rsidRDefault="00E82A60" w:rsidP="00300A01">
            <w:pPr>
              <w:pStyle w:val="Text1"/>
              <w:spacing w:before="0" w:after="0"/>
              <w:ind w:left="0"/>
              <w:jc w:val="right"/>
              <w:rPr>
                <w:sz w:val="12"/>
                <w:szCs w:val="12"/>
              </w:rPr>
            </w:pPr>
            <w:r w:rsidRPr="009C3005">
              <w:rPr>
                <w:noProof/>
                <w:sz w:val="12"/>
                <w:szCs w:val="12"/>
              </w:rPr>
              <w:t>3 042 642,46</w:t>
            </w:r>
          </w:p>
        </w:tc>
        <w:tc>
          <w:tcPr>
            <w:tcW w:w="0" w:type="auto"/>
            <w:shd w:val="clear" w:color="auto" w:fill="auto"/>
          </w:tcPr>
          <w:p w14:paraId="4582BEE8" w14:textId="77777777" w:rsidR="008C5CFA" w:rsidRPr="009C3005" w:rsidRDefault="00E82A60" w:rsidP="00300A01">
            <w:pPr>
              <w:pStyle w:val="Text1"/>
              <w:spacing w:before="0" w:after="0"/>
              <w:ind w:left="0"/>
              <w:jc w:val="right"/>
              <w:rPr>
                <w:sz w:val="12"/>
                <w:szCs w:val="12"/>
              </w:rPr>
            </w:pPr>
            <w:r w:rsidRPr="009C3005">
              <w:rPr>
                <w:noProof/>
                <w:sz w:val="12"/>
                <w:szCs w:val="12"/>
              </w:rPr>
              <w:t>2 834 190,03</w:t>
            </w:r>
          </w:p>
        </w:tc>
        <w:tc>
          <w:tcPr>
            <w:tcW w:w="0" w:type="auto"/>
            <w:shd w:val="clear" w:color="auto" w:fill="auto"/>
          </w:tcPr>
          <w:p w14:paraId="43E29A75" w14:textId="77777777" w:rsidR="008C5CFA" w:rsidRPr="009C3005" w:rsidRDefault="00E82A60" w:rsidP="00300A01">
            <w:pPr>
              <w:pStyle w:val="Text1"/>
              <w:spacing w:before="0" w:after="0"/>
              <w:ind w:left="0"/>
              <w:jc w:val="right"/>
              <w:rPr>
                <w:sz w:val="12"/>
                <w:szCs w:val="12"/>
              </w:rPr>
            </w:pPr>
            <w:r w:rsidRPr="009C3005">
              <w:rPr>
                <w:noProof/>
                <w:sz w:val="12"/>
                <w:szCs w:val="12"/>
              </w:rPr>
              <w:t>2 938 157,77</w:t>
            </w:r>
          </w:p>
        </w:tc>
        <w:tc>
          <w:tcPr>
            <w:tcW w:w="0" w:type="auto"/>
            <w:shd w:val="clear" w:color="auto" w:fill="auto"/>
          </w:tcPr>
          <w:p w14:paraId="674C4714" w14:textId="77777777" w:rsidR="008C5CFA" w:rsidRPr="009C3005" w:rsidRDefault="00E82A60" w:rsidP="00300A01">
            <w:pPr>
              <w:pStyle w:val="Text1"/>
              <w:spacing w:before="0" w:after="0"/>
              <w:ind w:left="0"/>
              <w:jc w:val="right"/>
              <w:rPr>
                <w:sz w:val="12"/>
                <w:szCs w:val="12"/>
              </w:rPr>
            </w:pPr>
            <w:r w:rsidRPr="009C3005">
              <w:rPr>
                <w:noProof/>
                <w:sz w:val="12"/>
                <w:szCs w:val="12"/>
              </w:rPr>
              <w:t>5</w:t>
            </w:r>
          </w:p>
        </w:tc>
      </w:tr>
      <w:tr w:rsidR="006B2EC1" w14:paraId="5834B9D6" w14:textId="77777777" w:rsidTr="0047688D">
        <w:tc>
          <w:tcPr>
            <w:tcW w:w="0" w:type="auto"/>
            <w:shd w:val="clear" w:color="auto" w:fill="auto"/>
          </w:tcPr>
          <w:p w14:paraId="32008752" w14:textId="77777777" w:rsidR="008C5CFA" w:rsidRPr="009C3005" w:rsidRDefault="00E82A60" w:rsidP="00300A01">
            <w:pPr>
              <w:pStyle w:val="Text1"/>
              <w:spacing w:before="0" w:after="0"/>
              <w:ind w:left="0"/>
              <w:rPr>
                <w:sz w:val="12"/>
                <w:szCs w:val="12"/>
              </w:rPr>
            </w:pPr>
            <w:r>
              <w:rPr>
                <w:noProof/>
                <w:sz w:val="14"/>
                <w:szCs w:val="14"/>
                <w:lang w:val="fr-BE"/>
              </w:rPr>
              <w:t>7</w:t>
            </w:r>
          </w:p>
        </w:tc>
        <w:tc>
          <w:tcPr>
            <w:tcW w:w="0" w:type="auto"/>
            <w:shd w:val="clear" w:color="auto" w:fill="auto"/>
          </w:tcPr>
          <w:p w14:paraId="59542D6E" w14:textId="77777777" w:rsidR="008C5CFA" w:rsidRPr="009C3005" w:rsidRDefault="00E82A60" w:rsidP="00300A01">
            <w:pPr>
              <w:pStyle w:val="Text1"/>
              <w:spacing w:before="0" w:after="0"/>
              <w:ind w:left="0"/>
              <w:rPr>
                <w:sz w:val="12"/>
                <w:szCs w:val="12"/>
              </w:rPr>
            </w:pPr>
            <w:r>
              <w:rPr>
                <w:noProof/>
                <w:sz w:val="12"/>
                <w:szCs w:val="12"/>
              </w:rPr>
              <w:t>EFRR</w:t>
            </w:r>
          </w:p>
        </w:tc>
        <w:tc>
          <w:tcPr>
            <w:tcW w:w="0" w:type="auto"/>
            <w:shd w:val="clear" w:color="auto" w:fill="auto"/>
          </w:tcPr>
          <w:p w14:paraId="0D5FAA3C" w14:textId="77777777" w:rsidR="008C5CFA" w:rsidRPr="009C3005" w:rsidRDefault="00E82A60" w:rsidP="00300A01">
            <w:pPr>
              <w:pStyle w:val="Text1"/>
              <w:spacing w:before="0" w:after="0"/>
              <w:ind w:left="0"/>
              <w:rPr>
                <w:sz w:val="12"/>
                <w:szCs w:val="12"/>
              </w:rPr>
            </w:pPr>
            <w:r>
              <w:rPr>
                <w:noProof/>
                <w:sz w:val="12"/>
                <w:szCs w:val="12"/>
              </w:rPr>
              <w:t>Słabiej rozwinięte</w:t>
            </w:r>
          </w:p>
        </w:tc>
        <w:tc>
          <w:tcPr>
            <w:tcW w:w="0" w:type="auto"/>
            <w:shd w:val="clear" w:color="auto" w:fill="auto"/>
          </w:tcPr>
          <w:p w14:paraId="2A126809" w14:textId="77777777" w:rsidR="008C5CFA" w:rsidRPr="009C3005" w:rsidRDefault="00E82A60" w:rsidP="00300A01">
            <w:pPr>
              <w:pStyle w:val="Text1"/>
              <w:spacing w:before="0" w:after="0"/>
              <w:ind w:left="0"/>
              <w:rPr>
                <w:sz w:val="12"/>
                <w:szCs w:val="12"/>
              </w:rPr>
            </w:pPr>
            <w:r>
              <w:rPr>
                <w:noProof/>
                <w:sz w:val="12"/>
                <w:szCs w:val="12"/>
              </w:rPr>
              <w:t>055</w:t>
            </w:r>
          </w:p>
        </w:tc>
        <w:tc>
          <w:tcPr>
            <w:tcW w:w="0" w:type="auto"/>
            <w:shd w:val="clear" w:color="auto" w:fill="auto"/>
          </w:tcPr>
          <w:p w14:paraId="1F2DE981"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3F63B13C" w14:textId="77777777" w:rsidR="008C5CFA" w:rsidRPr="009C3005" w:rsidRDefault="00E82A60" w:rsidP="00300A01">
            <w:pPr>
              <w:pStyle w:val="Text1"/>
              <w:spacing w:before="0" w:after="0"/>
              <w:ind w:left="0"/>
              <w:rPr>
                <w:sz w:val="12"/>
                <w:szCs w:val="12"/>
              </w:rPr>
            </w:pPr>
            <w:r>
              <w:rPr>
                <w:noProof/>
                <w:sz w:val="12"/>
                <w:szCs w:val="12"/>
              </w:rPr>
              <w:t>02</w:t>
            </w:r>
          </w:p>
        </w:tc>
        <w:tc>
          <w:tcPr>
            <w:tcW w:w="0" w:type="auto"/>
            <w:shd w:val="clear" w:color="auto" w:fill="auto"/>
          </w:tcPr>
          <w:p w14:paraId="6E932D8D"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1F476380" w14:textId="77777777" w:rsidR="008C5CFA" w:rsidRPr="009C3005" w:rsidRDefault="00E82A60" w:rsidP="00300A01">
            <w:pPr>
              <w:pStyle w:val="Text1"/>
              <w:spacing w:before="0" w:after="0"/>
              <w:ind w:left="0"/>
              <w:rPr>
                <w:sz w:val="12"/>
                <w:szCs w:val="12"/>
              </w:rPr>
            </w:pPr>
            <w:r>
              <w:rPr>
                <w:noProof/>
                <w:sz w:val="12"/>
                <w:szCs w:val="12"/>
              </w:rPr>
              <w:t>09</w:t>
            </w:r>
          </w:p>
        </w:tc>
        <w:tc>
          <w:tcPr>
            <w:tcW w:w="0" w:type="auto"/>
            <w:shd w:val="clear" w:color="auto" w:fill="auto"/>
          </w:tcPr>
          <w:p w14:paraId="10C0E0EC" w14:textId="77777777" w:rsidR="008C5CFA" w:rsidRPr="009C3005" w:rsidRDefault="00E82A60" w:rsidP="00300A01">
            <w:pPr>
              <w:pStyle w:val="Text1"/>
              <w:spacing w:before="0" w:after="0"/>
              <w:ind w:left="0"/>
              <w:rPr>
                <w:sz w:val="12"/>
                <w:szCs w:val="12"/>
              </w:rPr>
            </w:pPr>
            <w:r>
              <w:rPr>
                <w:sz w:val="12"/>
                <w:szCs w:val="12"/>
              </w:rPr>
              <w:t xml:space="preserve"> </w:t>
            </w:r>
          </w:p>
        </w:tc>
        <w:tc>
          <w:tcPr>
            <w:tcW w:w="0" w:type="auto"/>
            <w:shd w:val="clear" w:color="auto" w:fill="auto"/>
          </w:tcPr>
          <w:p w14:paraId="528172C8" w14:textId="77777777" w:rsidR="008C5CFA" w:rsidRPr="009C3005" w:rsidRDefault="00E82A60" w:rsidP="00300A01">
            <w:pPr>
              <w:pStyle w:val="Text1"/>
              <w:spacing w:before="0" w:after="0"/>
              <w:ind w:left="0"/>
              <w:rPr>
                <w:sz w:val="12"/>
                <w:szCs w:val="12"/>
              </w:rPr>
            </w:pPr>
            <w:r>
              <w:rPr>
                <w:noProof/>
                <w:sz w:val="12"/>
                <w:szCs w:val="12"/>
              </w:rPr>
              <w:t>18</w:t>
            </w:r>
          </w:p>
        </w:tc>
        <w:tc>
          <w:tcPr>
            <w:tcW w:w="0" w:type="auto"/>
            <w:shd w:val="clear" w:color="auto" w:fill="auto"/>
          </w:tcPr>
          <w:p w14:paraId="4B1D5393" w14:textId="77777777" w:rsidR="008C5CFA" w:rsidRPr="009C3005" w:rsidRDefault="00E82A60" w:rsidP="00300A01">
            <w:pPr>
              <w:pStyle w:val="Text1"/>
              <w:spacing w:before="0" w:after="0"/>
              <w:ind w:left="0"/>
              <w:rPr>
                <w:sz w:val="12"/>
                <w:szCs w:val="12"/>
              </w:rPr>
            </w:pPr>
            <w:r>
              <w:rPr>
                <w:noProof/>
                <w:sz w:val="12"/>
                <w:szCs w:val="12"/>
              </w:rPr>
              <w:t>PL33</w:t>
            </w:r>
          </w:p>
        </w:tc>
        <w:tc>
          <w:tcPr>
            <w:tcW w:w="0" w:type="auto"/>
            <w:shd w:val="clear" w:color="auto" w:fill="auto"/>
          </w:tcPr>
          <w:p w14:paraId="3F1BFDFA" w14:textId="77777777" w:rsidR="008C5CFA" w:rsidRPr="009C3005" w:rsidRDefault="00E82A60" w:rsidP="00300A01">
            <w:pPr>
              <w:pStyle w:val="Text1"/>
              <w:spacing w:before="0" w:after="0"/>
              <w:ind w:left="0"/>
              <w:jc w:val="right"/>
              <w:rPr>
                <w:sz w:val="12"/>
                <w:szCs w:val="12"/>
              </w:rPr>
            </w:pPr>
            <w:r w:rsidRPr="009C3005">
              <w:rPr>
                <w:noProof/>
                <w:sz w:val="12"/>
                <w:szCs w:val="12"/>
              </w:rPr>
              <w:t>5 961 012,58</w:t>
            </w:r>
          </w:p>
        </w:tc>
        <w:tc>
          <w:tcPr>
            <w:tcW w:w="0" w:type="auto"/>
            <w:shd w:val="clear" w:color="auto" w:fill="auto"/>
          </w:tcPr>
          <w:p w14:paraId="2FEB35EA" w14:textId="77777777" w:rsidR="008C5CFA" w:rsidRPr="009C3005" w:rsidRDefault="00E82A60" w:rsidP="00300A01">
            <w:pPr>
              <w:pStyle w:val="Text1"/>
              <w:spacing w:before="0" w:after="0"/>
              <w:ind w:left="0"/>
              <w:jc w:val="right"/>
              <w:rPr>
                <w:sz w:val="12"/>
                <w:szCs w:val="12"/>
              </w:rPr>
            </w:pPr>
            <w:r w:rsidRPr="009C3005">
              <w:rPr>
                <w:noProof/>
                <w:sz w:val="12"/>
                <w:szCs w:val="12"/>
              </w:rPr>
              <w:t>5 961 012,58</w:t>
            </w:r>
          </w:p>
        </w:tc>
        <w:tc>
          <w:tcPr>
            <w:tcW w:w="0" w:type="auto"/>
            <w:shd w:val="clear" w:color="auto" w:fill="auto"/>
          </w:tcPr>
          <w:p w14:paraId="6D802088" w14:textId="77777777" w:rsidR="008C5CFA" w:rsidRPr="009C3005" w:rsidRDefault="00E82A60" w:rsidP="00300A01">
            <w:pPr>
              <w:pStyle w:val="Text1"/>
              <w:spacing w:before="0" w:after="0"/>
              <w:ind w:left="0"/>
              <w:jc w:val="right"/>
              <w:rPr>
                <w:sz w:val="12"/>
                <w:szCs w:val="12"/>
              </w:rPr>
            </w:pPr>
            <w:r w:rsidRPr="009C3005">
              <w:rPr>
                <w:noProof/>
                <w:sz w:val="12"/>
                <w:szCs w:val="12"/>
              </w:rPr>
              <w:t>5 146 831,70</w:t>
            </w:r>
          </w:p>
        </w:tc>
        <w:tc>
          <w:tcPr>
            <w:tcW w:w="0" w:type="auto"/>
            <w:shd w:val="clear" w:color="auto" w:fill="auto"/>
          </w:tcPr>
          <w:p w14:paraId="676CE908" w14:textId="77777777" w:rsidR="008C5CFA" w:rsidRPr="009C3005" w:rsidRDefault="00E82A60" w:rsidP="00300A01">
            <w:pPr>
              <w:pStyle w:val="Text1"/>
              <w:spacing w:before="0" w:after="0"/>
              <w:ind w:left="0"/>
              <w:jc w:val="right"/>
              <w:rPr>
                <w:sz w:val="12"/>
                <w:szCs w:val="12"/>
              </w:rPr>
            </w:pPr>
            <w:r w:rsidRPr="009C3005">
              <w:rPr>
                <w:noProof/>
                <w:sz w:val="12"/>
                <w:szCs w:val="12"/>
              </w:rPr>
              <w:t>9</w:t>
            </w:r>
          </w:p>
        </w:tc>
      </w:tr>
      <w:tr w:rsidR="006B2EC1" w14:paraId="3F1312DB" w14:textId="77777777" w:rsidTr="0047688D">
        <w:tc>
          <w:tcPr>
            <w:tcW w:w="0" w:type="auto"/>
            <w:shd w:val="clear" w:color="auto" w:fill="auto"/>
          </w:tcPr>
          <w:p w14:paraId="79CA3017" w14:textId="77777777" w:rsidR="008C5CFA" w:rsidRPr="009C3005" w:rsidRDefault="00E82A60" w:rsidP="00300A01">
            <w:pPr>
              <w:pStyle w:val="Text1"/>
              <w:spacing w:before="0" w:after="0"/>
              <w:ind w:left="0"/>
              <w:rPr>
                <w:sz w:val="12"/>
                <w:szCs w:val="12"/>
              </w:rPr>
            </w:pPr>
            <w:r>
              <w:rPr>
                <w:noProof/>
                <w:sz w:val="14"/>
                <w:szCs w:val="14"/>
                <w:lang w:val="fr-BE"/>
              </w:rPr>
              <w:t>7</w:t>
            </w:r>
          </w:p>
        </w:tc>
        <w:tc>
          <w:tcPr>
            <w:tcW w:w="0" w:type="auto"/>
            <w:shd w:val="clear" w:color="auto" w:fill="auto"/>
          </w:tcPr>
          <w:p w14:paraId="5CA3CB07" w14:textId="77777777" w:rsidR="008C5CFA" w:rsidRPr="009C3005" w:rsidRDefault="00E82A60" w:rsidP="00300A01">
            <w:pPr>
              <w:pStyle w:val="Text1"/>
              <w:spacing w:before="0" w:after="0"/>
              <w:ind w:left="0"/>
              <w:rPr>
                <w:sz w:val="12"/>
                <w:szCs w:val="12"/>
              </w:rPr>
            </w:pPr>
            <w:r>
              <w:rPr>
                <w:noProof/>
                <w:sz w:val="12"/>
                <w:szCs w:val="12"/>
              </w:rPr>
              <w:t>EFRR</w:t>
            </w:r>
          </w:p>
        </w:tc>
        <w:tc>
          <w:tcPr>
            <w:tcW w:w="0" w:type="auto"/>
            <w:shd w:val="clear" w:color="auto" w:fill="auto"/>
          </w:tcPr>
          <w:p w14:paraId="12B0C24F" w14:textId="77777777" w:rsidR="008C5CFA" w:rsidRPr="009C3005" w:rsidRDefault="00E82A60" w:rsidP="00300A01">
            <w:pPr>
              <w:pStyle w:val="Text1"/>
              <w:spacing w:before="0" w:after="0"/>
              <w:ind w:left="0"/>
              <w:rPr>
                <w:sz w:val="12"/>
                <w:szCs w:val="12"/>
              </w:rPr>
            </w:pPr>
            <w:r>
              <w:rPr>
                <w:noProof/>
                <w:sz w:val="12"/>
                <w:szCs w:val="12"/>
              </w:rPr>
              <w:t>Słabiej rozwinięte</w:t>
            </w:r>
          </w:p>
        </w:tc>
        <w:tc>
          <w:tcPr>
            <w:tcW w:w="0" w:type="auto"/>
            <w:shd w:val="clear" w:color="auto" w:fill="auto"/>
          </w:tcPr>
          <w:p w14:paraId="221B005B" w14:textId="77777777" w:rsidR="008C5CFA" w:rsidRPr="009C3005" w:rsidRDefault="00E82A60" w:rsidP="00300A01">
            <w:pPr>
              <w:pStyle w:val="Text1"/>
              <w:spacing w:before="0" w:after="0"/>
              <w:ind w:left="0"/>
              <w:rPr>
                <w:sz w:val="12"/>
                <w:szCs w:val="12"/>
              </w:rPr>
            </w:pPr>
            <w:r>
              <w:rPr>
                <w:noProof/>
                <w:sz w:val="12"/>
                <w:szCs w:val="12"/>
              </w:rPr>
              <w:t>055</w:t>
            </w:r>
          </w:p>
        </w:tc>
        <w:tc>
          <w:tcPr>
            <w:tcW w:w="0" w:type="auto"/>
            <w:shd w:val="clear" w:color="auto" w:fill="auto"/>
          </w:tcPr>
          <w:p w14:paraId="00E96A9F"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15ABF4C9" w14:textId="77777777" w:rsidR="008C5CFA" w:rsidRPr="009C3005" w:rsidRDefault="00E82A60" w:rsidP="00300A01">
            <w:pPr>
              <w:pStyle w:val="Text1"/>
              <w:spacing w:before="0" w:after="0"/>
              <w:ind w:left="0"/>
              <w:rPr>
                <w:sz w:val="12"/>
                <w:szCs w:val="12"/>
              </w:rPr>
            </w:pPr>
            <w:r>
              <w:rPr>
                <w:noProof/>
                <w:sz w:val="12"/>
                <w:szCs w:val="12"/>
              </w:rPr>
              <w:t>03</w:t>
            </w:r>
          </w:p>
        </w:tc>
        <w:tc>
          <w:tcPr>
            <w:tcW w:w="0" w:type="auto"/>
            <w:shd w:val="clear" w:color="auto" w:fill="auto"/>
          </w:tcPr>
          <w:p w14:paraId="00DA7E25"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5925F61E" w14:textId="77777777" w:rsidR="008C5CFA" w:rsidRPr="009C3005" w:rsidRDefault="00E82A60" w:rsidP="00300A01">
            <w:pPr>
              <w:pStyle w:val="Text1"/>
              <w:spacing w:before="0" w:after="0"/>
              <w:ind w:left="0"/>
              <w:rPr>
                <w:sz w:val="12"/>
                <w:szCs w:val="12"/>
              </w:rPr>
            </w:pPr>
            <w:r>
              <w:rPr>
                <w:noProof/>
                <w:sz w:val="12"/>
                <w:szCs w:val="12"/>
              </w:rPr>
              <w:t>09</w:t>
            </w:r>
          </w:p>
        </w:tc>
        <w:tc>
          <w:tcPr>
            <w:tcW w:w="0" w:type="auto"/>
            <w:shd w:val="clear" w:color="auto" w:fill="auto"/>
          </w:tcPr>
          <w:p w14:paraId="205FC697" w14:textId="77777777" w:rsidR="008C5CFA" w:rsidRPr="009C3005" w:rsidRDefault="00E82A60" w:rsidP="00300A01">
            <w:pPr>
              <w:pStyle w:val="Text1"/>
              <w:spacing w:before="0" w:after="0"/>
              <w:ind w:left="0"/>
              <w:rPr>
                <w:sz w:val="12"/>
                <w:szCs w:val="12"/>
              </w:rPr>
            </w:pPr>
            <w:r>
              <w:rPr>
                <w:sz w:val="12"/>
                <w:szCs w:val="12"/>
              </w:rPr>
              <w:t xml:space="preserve"> </w:t>
            </w:r>
          </w:p>
        </w:tc>
        <w:tc>
          <w:tcPr>
            <w:tcW w:w="0" w:type="auto"/>
            <w:shd w:val="clear" w:color="auto" w:fill="auto"/>
          </w:tcPr>
          <w:p w14:paraId="1552427C" w14:textId="77777777" w:rsidR="008C5CFA" w:rsidRPr="009C3005" w:rsidRDefault="00E82A60" w:rsidP="00300A01">
            <w:pPr>
              <w:pStyle w:val="Text1"/>
              <w:spacing w:before="0" w:after="0"/>
              <w:ind w:left="0"/>
              <w:rPr>
                <w:sz w:val="12"/>
                <w:szCs w:val="12"/>
              </w:rPr>
            </w:pPr>
            <w:r>
              <w:rPr>
                <w:noProof/>
                <w:sz w:val="12"/>
                <w:szCs w:val="12"/>
              </w:rPr>
              <w:t>18</w:t>
            </w:r>
          </w:p>
        </w:tc>
        <w:tc>
          <w:tcPr>
            <w:tcW w:w="0" w:type="auto"/>
            <w:shd w:val="clear" w:color="auto" w:fill="auto"/>
          </w:tcPr>
          <w:p w14:paraId="0FCD484C" w14:textId="77777777" w:rsidR="008C5CFA" w:rsidRPr="009C3005" w:rsidRDefault="00E82A60" w:rsidP="00300A01">
            <w:pPr>
              <w:pStyle w:val="Text1"/>
              <w:spacing w:before="0" w:after="0"/>
              <w:ind w:left="0"/>
              <w:rPr>
                <w:sz w:val="12"/>
                <w:szCs w:val="12"/>
              </w:rPr>
            </w:pPr>
            <w:r>
              <w:rPr>
                <w:noProof/>
                <w:sz w:val="12"/>
                <w:szCs w:val="12"/>
              </w:rPr>
              <w:t>PL33</w:t>
            </w:r>
          </w:p>
        </w:tc>
        <w:tc>
          <w:tcPr>
            <w:tcW w:w="0" w:type="auto"/>
            <w:shd w:val="clear" w:color="auto" w:fill="auto"/>
          </w:tcPr>
          <w:p w14:paraId="515B3665" w14:textId="77777777" w:rsidR="008C5CFA" w:rsidRPr="009C3005" w:rsidRDefault="00E82A60" w:rsidP="00300A01">
            <w:pPr>
              <w:pStyle w:val="Text1"/>
              <w:spacing w:before="0" w:after="0"/>
              <w:ind w:left="0"/>
              <w:jc w:val="right"/>
              <w:rPr>
                <w:sz w:val="12"/>
                <w:szCs w:val="12"/>
              </w:rPr>
            </w:pPr>
            <w:r w:rsidRPr="009C3005">
              <w:rPr>
                <w:noProof/>
                <w:sz w:val="12"/>
                <w:szCs w:val="12"/>
              </w:rPr>
              <w:t>3 005 308,46</w:t>
            </w:r>
          </w:p>
        </w:tc>
        <w:tc>
          <w:tcPr>
            <w:tcW w:w="0" w:type="auto"/>
            <w:shd w:val="clear" w:color="auto" w:fill="auto"/>
          </w:tcPr>
          <w:p w14:paraId="33428FAB" w14:textId="77777777" w:rsidR="008C5CFA" w:rsidRPr="009C3005" w:rsidRDefault="00E82A60" w:rsidP="00300A01">
            <w:pPr>
              <w:pStyle w:val="Text1"/>
              <w:spacing w:before="0" w:after="0"/>
              <w:ind w:left="0"/>
              <w:jc w:val="right"/>
              <w:rPr>
                <w:sz w:val="12"/>
                <w:szCs w:val="12"/>
              </w:rPr>
            </w:pPr>
            <w:r w:rsidRPr="009C3005">
              <w:rPr>
                <w:noProof/>
                <w:sz w:val="12"/>
                <w:szCs w:val="12"/>
              </w:rPr>
              <w:t>3 005 308,46</w:t>
            </w:r>
          </w:p>
        </w:tc>
        <w:tc>
          <w:tcPr>
            <w:tcW w:w="0" w:type="auto"/>
            <w:shd w:val="clear" w:color="auto" w:fill="auto"/>
          </w:tcPr>
          <w:p w14:paraId="1B8E57D5" w14:textId="77777777" w:rsidR="008C5CFA" w:rsidRPr="009C3005" w:rsidRDefault="00E82A60" w:rsidP="00300A01">
            <w:pPr>
              <w:pStyle w:val="Text1"/>
              <w:spacing w:before="0" w:after="0"/>
              <w:ind w:left="0"/>
              <w:jc w:val="right"/>
              <w:rPr>
                <w:sz w:val="12"/>
                <w:szCs w:val="12"/>
              </w:rPr>
            </w:pPr>
            <w:r w:rsidRPr="009C3005">
              <w:rPr>
                <w:noProof/>
                <w:sz w:val="12"/>
                <w:szCs w:val="12"/>
              </w:rPr>
              <w:t>2 305 813,45</w:t>
            </w:r>
          </w:p>
        </w:tc>
        <w:tc>
          <w:tcPr>
            <w:tcW w:w="0" w:type="auto"/>
            <w:shd w:val="clear" w:color="auto" w:fill="auto"/>
          </w:tcPr>
          <w:p w14:paraId="3ECC4F82" w14:textId="77777777" w:rsidR="008C5CFA" w:rsidRPr="009C3005" w:rsidRDefault="00E82A60" w:rsidP="00300A01">
            <w:pPr>
              <w:pStyle w:val="Text1"/>
              <w:spacing w:before="0" w:after="0"/>
              <w:ind w:left="0"/>
              <w:jc w:val="right"/>
              <w:rPr>
                <w:sz w:val="12"/>
                <w:szCs w:val="12"/>
              </w:rPr>
            </w:pPr>
            <w:r w:rsidRPr="009C3005">
              <w:rPr>
                <w:noProof/>
                <w:sz w:val="12"/>
                <w:szCs w:val="12"/>
              </w:rPr>
              <w:t>7</w:t>
            </w:r>
          </w:p>
        </w:tc>
      </w:tr>
      <w:tr w:rsidR="006B2EC1" w14:paraId="588637DF" w14:textId="77777777" w:rsidTr="0047688D">
        <w:tc>
          <w:tcPr>
            <w:tcW w:w="0" w:type="auto"/>
            <w:shd w:val="clear" w:color="auto" w:fill="auto"/>
          </w:tcPr>
          <w:p w14:paraId="59C73339" w14:textId="77777777" w:rsidR="008C5CFA" w:rsidRPr="009C3005" w:rsidRDefault="00E82A60" w:rsidP="00300A01">
            <w:pPr>
              <w:pStyle w:val="Text1"/>
              <w:spacing w:before="0" w:after="0"/>
              <w:ind w:left="0"/>
              <w:rPr>
                <w:sz w:val="12"/>
                <w:szCs w:val="12"/>
              </w:rPr>
            </w:pPr>
            <w:r>
              <w:rPr>
                <w:noProof/>
                <w:sz w:val="14"/>
                <w:szCs w:val="14"/>
                <w:lang w:val="fr-BE"/>
              </w:rPr>
              <w:t>7</w:t>
            </w:r>
          </w:p>
        </w:tc>
        <w:tc>
          <w:tcPr>
            <w:tcW w:w="0" w:type="auto"/>
            <w:shd w:val="clear" w:color="auto" w:fill="auto"/>
          </w:tcPr>
          <w:p w14:paraId="4A04FF7A" w14:textId="77777777" w:rsidR="008C5CFA" w:rsidRPr="009C3005" w:rsidRDefault="00E82A60" w:rsidP="00300A01">
            <w:pPr>
              <w:pStyle w:val="Text1"/>
              <w:spacing w:before="0" w:after="0"/>
              <w:ind w:left="0"/>
              <w:rPr>
                <w:sz w:val="12"/>
                <w:szCs w:val="12"/>
              </w:rPr>
            </w:pPr>
            <w:r>
              <w:rPr>
                <w:noProof/>
                <w:sz w:val="12"/>
                <w:szCs w:val="12"/>
              </w:rPr>
              <w:t>EFRR</w:t>
            </w:r>
          </w:p>
        </w:tc>
        <w:tc>
          <w:tcPr>
            <w:tcW w:w="0" w:type="auto"/>
            <w:shd w:val="clear" w:color="auto" w:fill="auto"/>
          </w:tcPr>
          <w:p w14:paraId="3CC9C922" w14:textId="77777777" w:rsidR="008C5CFA" w:rsidRPr="009C3005" w:rsidRDefault="00E82A60" w:rsidP="00300A01">
            <w:pPr>
              <w:pStyle w:val="Text1"/>
              <w:spacing w:before="0" w:after="0"/>
              <w:ind w:left="0"/>
              <w:rPr>
                <w:sz w:val="12"/>
                <w:szCs w:val="12"/>
              </w:rPr>
            </w:pPr>
            <w:r>
              <w:rPr>
                <w:noProof/>
                <w:sz w:val="12"/>
                <w:szCs w:val="12"/>
              </w:rPr>
              <w:t>Słabiej rozwinięte</w:t>
            </w:r>
          </w:p>
        </w:tc>
        <w:tc>
          <w:tcPr>
            <w:tcW w:w="0" w:type="auto"/>
            <w:shd w:val="clear" w:color="auto" w:fill="auto"/>
          </w:tcPr>
          <w:p w14:paraId="2435E0B7" w14:textId="77777777" w:rsidR="008C5CFA" w:rsidRPr="009C3005" w:rsidRDefault="00E82A60" w:rsidP="00300A01">
            <w:pPr>
              <w:pStyle w:val="Text1"/>
              <w:spacing w:before="0" w:after="0"/>
              <w:ind w:left="0"/>
              <w:rPr>
                <w:sz w:val="12"/>
                <w:szCs w:val="12"/>
              </w:rPr>
            </w:pPr>
            <w:r>
              <w:rPr>
                <w:noProof/>
                <w:sz w:val="12"/>
                <w:szCs w:val="12"/>
              </w:rPr>
              <w:t>055</w:t>
            </w:r>
          </w:p>
        </w:tc>
        <w:tc>
          <w:tcPr>
            <w:tcW w:w="0" w:type="auto"/>
            <w:shd w:val="clear" w:color="auto" w:fill="auto"/>
          </w:tcPr>
          <w:p w14:paraId="41FA8B45"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43BDB826" w14:textId="77777777" w:rsidR="008C5CFA" w:rsidRPr="009C3005" w:rsidRDefault="00E82A60" w:rsidP="00300A01">
            <w:pPr>
              <w:pStyle w:val="Text1"/>
              <w:spacing w:before="0" w:after="0"/>
              <w:ind w:left="0"/>
              <w:rPr>
                <w:sz w:val="12"/>
                <w:szCs w:val="12"/>
              </w:rPr>
            </w:pPr>
            <w:r>
              <w:rPr>
                <w:noProof/>
                <w:sz w:val="12"/>
                <w:szCs w:val="12"/>
              </w:rPr>
              <w:t>03</w:t>
            </w:r>
          </w:p>
        </w:tc>
        <w:tc>
          <w:tcPr>
            <w:tcW w:w="0" w:type="auto"/>
            <w:shd w:val="clear" w:color="auto" w:fill="auto"/>
          </w:tcPr>
          <w:p w14:paraId="604E5ABA"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38FB7201" w14:textId="77777777" w:rsidR="008C5CFA" w:rsidRPr="009C3005" w:rsidRDefault="00E82A60" w:rsidP="00300A01">
            <w:pPr>
              <w:pStyle w:val="Text1"/>
              <w:spacing w:before="0" w:after="0"/>
              <w:ind w:left="0"/>
              <w:rPr>
                <w:sz w:val="12"/>
                <w:szCs w:val="12"/>
              </w:rPr>
            </w:pPr>
            <w:r>
              <w:rPr>
                <w:noProof/>
                <w:sz w:val="12"/>
                <w:szCs w:val="12"/>
              </w:rPr>
              <w:t>09</w:t>
            </w:r>
          </w:p>
        </w:tc>
        <w:tc>
          <w:tcPr>
            <w:tcW w:w="0" w:type="auto"/>
            <w:shd w:val="clear" w:color="auto" w:fill="auto"/>
          </w:tcPr>
          <w:p w14:paraId="21516170" w14:textId="77777777" w:rsidR="008C5CFA" w:rsidRPr="009C3005" w:rsidRDefault="00E82A60" w:rsidP="00300A01">
            <w:pPr>
              <w:pStyle w:val="Text1"/>
              <w:spacing w:before="0" w:after="0"/>
              <w:ind w:left="0"/>
              <w:rPr>
                <w:sz w:val="12"/>
                <w:szCs w:val="12"/>
              </w:rPr>
            </w:pPr>
            <w:r>
              <w:rPr>
                <w:sz w:val="12"/>
                <w:szCs w:val="12"/>
              </w:rPr>
              <w:t xml:space="preserve"> </w:t>
            </w:r>
          </w:p>
        </w:tc>
        <w:tc>
          <w:tcPr>
            <w:tcW w:w="0" w:type="auto"/>
            <w:shd w:val="clear" w:color="auto" w:fill="auto"/>
          </w:tcPr>
          <w:p w14:paraId="4A13CDB1" w14:textId="77777777" w:rsidR="008C5CFA" w:rsidRPr="009C3005" w:rsidRDefault="00E82A60" w:rsidP="00300A01">
            <w:pPr>
              <w:pStyle w:val="Text1"/>
              <w:spacing w:before="0" w:after="0"/>
              <w:ind w:left="0"/>
              <w:rPr>
                <w:sz w:val="12"/>
                <w:szCs w:val="12"/>
              </w:rPr>
            </w:pPr>
            <w:r>
              <w:rPr>
                <w:noProof/>
                <w:sz w:val="12"/>
                <w:szCs w:val="12"/>
              </w:rPr>
              <w:t>20</w:t>
            </w:r>
          </w:p>
        </w:tc>
        <w:tc>
          <w:tcPr>
            <w:tcW w:w="0" w:type="auto"/>
            <w:shd w:val="clear" w:color="auto" w:fill="auto"/>
          </w:tcPr>
          <w:p w14:paraId="74C6EE7E" w14:textId="77777777" w:rsidR="008C5CFA" w:rsidRPr="009C3005" w:rsidRDefault="00E82A60" w:rsidP="00300A01">
            <w:pPr>
              <w:pStyle w:val="Text1"/>
              <w:spacing w:before="0" w:after="0"/>
              <w:ind w:left="0"/>
              <w:rPr>
                <w:sz w:val="12"/>
                <w:szCs w:val="12"/>
              </w:rPr>
            </w:pPr>
            <w:r>
              <w:rPr>
                <w:noProof/>
                <w:sz w:val="12"/>
                <w:szCs w:val="12"/>
              </w:rPr>
              <w:t>PL33</w:t>
            </w:r>
          </w:p>
        </w:tc>
        <w:tc>
          <w:tcPr>
            <w:tcW w:w="0" w:type="auto"/>
            <w:shd w:val="clear" w:color="auto" w:fill="auto"/>
          </w:tcPr>
          <w:p w14:paraId="0EB846E5" w14:textId="77777777" w:rsidR="008C5CFA" w:rsidRPr="009C3005" w:rsidRDefault="00E82A60" w:rsidP="00300A01">
            <w:pPr>
              <w:pStyle w:val="Text1"/>
              <w:spacing w:before="0" w:after="0"/>
              <w:ind w:left="0"/>
              <w:jc w:val="right"/>
              <w:rPr>
                <w:sz w:val="12"/>
                <w:szCs w:val="12"/>
              </w:rPr>
            </w:pPr>
            <w:r w:rsidRPr="009C3005">
              <w:rPr>
                <w:noProof/>
                <w:sz w:val="12"/>
                <w:szCs w:val="12"/>
              </w:rPr>
              <w:t>272 090,21</w:t>
            </w:r>
          </w:p>
        </w:tc>
        <w:tc>
          <w:tcPr>
            <w:tcW w:w="0" w:type="auto"/>
            <w:shd w:val="clear" w:color="auto" w:fill="auto"/>
          </w:tcPr>
          <w:p w14:paraId="4E84810E" w14:textId="77777777" w:rsidR="008C5CFA" w:rsidRPr="009C3005" w:rsidRDefault="00E82A60" w:rsidP="00300A01">
            <w:pPr>
              <w:pStyle w:val="Text1"/>
              <w:spacing w:before="0" w:after="0"/>
              <w:ind w:left="0"/>
              <w:jc w:val="right"/>
              <w:rPr>
                <w:sz w:val="12"/>
                <w:szCs w:val="12"/>
              </w:rPr>
            </w:pPr>
            <w:r w:rsidRPr="009C3005">
              <w:rPr>
                <w:noProof/>
                <w:sz w:val="12"/>
                <w:szCs w:val="12"/>
              </w:rPr>
              <w:t>272 090,21</w:t>
            </w:r>
          </w:p>
        </w:tc>
        <w:tc>
          <w:tcPr>
            <w:tcW w:w="0" w:type="auto"/>
            <w:shd w:val="clear" w:color="auto" w:fill="auto"/>
          </w:tcPr>
          <w:p w14:paraId="4C57C2F6" w14:textId="77777777" w:rsidR="008C5CFA" w:rsidRPr="009C3005" w:rsidRDefault="00E82A60" w:rsidP="00300A01">
            <w:pPr>
              <w:pStyle w:val="Text1"/>
              <w:spacing w:before="0" w:after="0"/>
              <w:ind w:left="0"/>
              <w:jc w:val="right"/>
              <w:rPr>
                <w:sz w:val="12"/>
                <w:szCs w:val="12"/>
              </w:rPr>
            </w:pPr>
            <w:r w:rsidRPr="009C3005">
              <w:rPr>
                <w:noProof/>
                <w:sz w:val="12"/>
                <w:szCs w:val="12"/>
              </w:rPr>
              <w:t>251 666,90</w:t>
            </w:r>
          </w:p>
        </w:tc>
        <w:tc>
          <w:tcPr>
            <w:tcW w:w="0" w:type="auto"/>
            <w:shd w:val="clear" w:color="auto" w:fill="auto"/>
          </w:tcPr>
          <w:p w14:paraId="5DDF3F24" w14:textId="77777777" w:rsidR="008C5CFA" w:rsidRPr="009C3005" w:rsidRDefault="00E82A60" w:rsidP="00300A01">
            <w:pPr>
              <w:pStyle w:val="Text1"/>
              <w:spacing w:before="0" w:after="0"/>
              <w:ind w:left="0"/>
              <w:jc w:val="right"/>
              <w:rPr>
                <w:sz w:val="12"/>
                <w:szCs w:val="12"/>
              </w:rPr>
            </w:pPr>
            <w:r w:rsidRPr="009C3005">
              <w:rPr>
                <w:noProof/>
                <w:sz w:val="12"/>
                <w:szCs w:val="12"/>
              </w:rPr>
              <w:t>1</w:t>
            </w:r>
          </w:p>
        </w:tc>
      </w:tr>
      <w:tr w:rsidR="006B2EC1" w14:paraId="6E7C68B8" w14:textId="77777777" w:rsidTr="0047688D">
        <w:tc>
          <w:tcPr>
            <w:tcW w:w="0" w:type="auto"/>
            <w:shd w:val="clear" w:color="auto" w:fill="auto"/>
          </w:tcPr>
          <w:p w14:paraId="301A4027" w14:textId="77777777" w:rsidR="008C5CFA" w:rsidRPr="009C3005" w:rsidRDefault="00E82A60" w:rsidP="00300A01">
            <w:pPr>
              <w:pStyle w:val="Text1"/>
              <w:spacing w:before="0" w:after="0"/>
              <w:ind w:left="0"/>
              <w:rPr>
                <w:sz w:val="12"/>
                <w:szCs w:val="12"/>
              </w:rPr>
            </w:pPr>
            <w:r>
              <w:rPr>
                <w:noProof/>
                <w:sz w:val="14"/>
                <w:szCs w:val="14"/>
                <w:lang w:val="fr-BE"/>
              </w:rPr>
              <w:t>7</w:t>
            </w:r>
          </w:p>
        </w:tc>
        <w:tc>
          <w:tcPr>
            <w:tcW w:w="0" w:type="auto"/>
            <w:shd w:val="clear" w:color="auto" w:fill="auto"/>
          </w:tcPr>
          <w:p w14:paraId="7A1BDF59" w14:textId="77777777" w:rsidR="008C5CFA" w:rsidRPr="009C3005" w:rsidRDefault="00E82A60" w:rsidP="00300A01">
            <w:pPr>
              <w:pStyle w:val="Text1"/>
              <w:spacing w:before="0" w:after="0"/>
              <w:ind w:left="0"/>
              <w:rPr>
                <w:sz w:val="12"/>
                <w:szCs w:val="12"/>
              </w:rPr>
            </w:pPr>
            <w:r>
              <w:rPr>
                <w:noProof/>
                <w:sz w:val="12"/>
                <w:szCs w:val="12"/>
              </w:rPr>
              <w:t>EFRR</w:t>
            </w:r>
          </w:p>
        </w:tc>
        <w:tc>
          <w:tcPr>
            <w:tcW w:w="0" w:type="auto"/>
            <w:shd w:val="clear" w:color="auto" w:fill="auto"/>
          </w:tcPr>
          <w:p w14:paraId="1A54489A" w14:textId="77777777" w:rsidR="008C5CFA" w:rsidRPr="009C3005" w:rsidRDefault="00E82A60" w:rsidP="00300A01">
            <w:pPr>
              <w:pStyle w:val="Text1"/>
              <w:spacing w:before="0" w:after="0"/>
              <w:ind w:left="0"/>
              <w:rPr>
                <w:sz w:val="12"/>
                <w:szCs w:val="12"/>
              </w:rPr>
            </w:pPr>
            <w:r>
              <w:rPr>
                <w:noProof/>
                <w:sz w:val="12"/>
                <w:szCs w:val="12"/>
              </w:rPr>
              <w:t>Słabiej rozwinięte</w:t>
            </w:r>
          </w:p>
        </w:tc>
        <w:tc>
          <w:tcPr>
            <w:tcW w:w="0" w:type="auto"/>
            <w:shd w:val="clear" w:color="auto" w:fill="auto"/>
          </w:tcPr>
          <w:p w14:paraId="2E720BBF" w14:textId="77777777" w:rsidR="008C5CFA" w:rsidRPr="009C3005" w:rsidRDefault="00E82A60" w:rsidP="00300A01">
            <w:pPr>
              <w:pStyle w:val="Text1"/>
              <w:spacing w:before="0" w:after="0"/>
              <w:ind w:left="0"/>
              <w:rPr>
                <w:sz w:val="12"/>
                <w:szCs w:val="12"/>
              </w:rPr>
            </w:pPr>
            <w:r>
              <w:rPr>
                <w:noProof/>
                <w:sz w:val="12"/>
                <w:szCs w:val="12"/>
              </w:rPr>
              <w:t>055</w:t>
            </w:r>
          </w:p>
        </w:tc>
        <w:tc>
          <w:tcPr>
            <w:tcW w:w="0" w:type="auto"/>
            <w:shd w:val="clear" w:color="auto" w:fill="auto"/>
          </w:tcPr>
          <w:p w14:paraId="68396305"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7C989F57" w14:textId="77777777" w:rsidR="008C5CFA" w:rsidRPr="009C3005" w:rsidRDefault="00E82A60" w:rsidP="00300A01">
            <w:pPr>
              <w:pStyle w:val="Text1"/>
              <w:spacing w:before="0" w:after="0"/>
              <w:ind w:left="0"/>
              <w:rPr>
                <w:sz w:val="12"/>
                <w:szCs w:val="12"/>
              </w:rPr>
            </w:pPr>
            <w:r>
              <w:rPr>
                <w:noProof/>
                <w:sz w:val="12"/>
                <w:szCs w:val="12"/>
              </w:rPr>
              <w:t>03</w:t>
            </w:r>
          </w:p>
        </w:tc>
        <w:tc>
          <w:tcPr>
            <w:tcW w:w="0" w:type="auto"/>
            <w:shd w:val="clear" w:color="auto" w:fill="auto"/>
          </w:tcPr>
          <w:p w14:paraId="0625B55C"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6FAB3B7F" w14:textId="77777777" w:rsidR="008C5CFA" w:rsidRPr="009C3005" w:rsidRDefault="00E82A60" w:rsidP="00300A01">
            <w:pPr>
              <w:pStyle w:val="Text1"/>
              <w:spacing w:before="0" w:after="0"/>
              <w:ind w:left="0"/>
              <w:rPr>
                <w:sz w:val="12"/>
                <w:szCs w:val="12"/>
              </w:rPr>
            </w:pPr>
            <w:r>
              <w:rPr>
                <w:noProof/>
                <w:sz w:val="12"/>
                <w:szCs w:val="12"/>
              </w:rPr>
              <w:t>09</w:t>
            </w:r>
          </w:p>
        </w:tc>
        <w:tc>
          <w:tcPr>
            <w:tcW w:w="0" w:type="auto"/>
            <w:shd w:val="clear" w:color="auto" w:fill="auto"/>
          </w:tcPr>
          <w:p w14:paraId="1716765E" w14:textId="77777777" w:rsidR="008C5CFA" w:rsidRPr="009C3005" w:rsidRDefault="00E82A60" w:rsidP="00300A01">
            <w:pPr>
              <w:pStyle w:val="Text1"/>
              <w:spacing w:before="0" w:after="0"/>
              <w:ind w:left="0"/>
              <w:rPr>
                <w:sz w:val="12"/>
                <w:szCs w:val="12"/>
              </w:rPr>
            </w:pPr>
            <w:r>
              <w:rPr>
                <w:sz w:val="12"/>
                <w:szCs w:val="12"/>
              </w:rPr>
              <w:t xml:space="preserve"> </w:t>
            </w:r>
          </w:p>
        </w:tc>
        <w:tc>
          <w:tcPr>
            <w:tcW w:w="0" w:type="auto"/>
            <w:shd w:val="clear" w:color="auto" w:fill="auto"/>
          </w:tcPr>
          <w:p w14:paraId="53C7B81C" w14:textId="77777777" w:rsidR="008C5CFA" w:rsidRPr="009C3005" w:rsidRDefault="00E82A60" w:rsidP="00300A01">
            <w:pPr>
              <w:pStyle w:val="Text1"/>
              <w:spacing w:before="0" w:after="0"/>
              <w:ind w:left="0"/>
              <w:rPr>
                <w:sz w:val="12"/>
                <w:szCs w:val="12"/>
              </w:rPr>
            </w:pPr>
            <w:r>
              <w:rPr>
                <w:noProof/>
                <w:sz w:val="12"/>
                <w:szCs w:val="12"/>
              </w:rPr>
              <w:t>21</w:t>
            </w:r>
          </w:p>
        </w:tc>
        <w:tc>
          <w:tcPr>
            <w:tcW w:w="0" w:type="auto"/>
            <w:shd w:val="clear" w:color="auto" w:fill="auto"/>
          </w:tcPr>
          <w:p w14:paraId="2FEEDA59" w14:textId="77777777" w:rsidR="008C5CFA" w:rsidRPr="009C3005" w:rsidRDefault="00E82A60" w:rsidP="00300A01">
            <w:pPr>
              <w:pStyle w:val="Text1"/>
              <w:spacing w:before="0" w:after="0"/>
              <w:ind w:left="0"/>
              <w:rPr>
                <w:sz w:val="12"/>
                <w:szCs w:val="12"/>
              </w:rPr>
            </w:pPr>
            <w:r>
              <w:rPr>
                <w:noProof/>
                <w:sz w:val="12"/>
                <w:szCs w:val="12"/>
              </w:rPr>
              <w:t>PL33</w:t>
            </w:r>
          </w:p>
        </w:tc>
        <w:tc>
          <w:tcPr>
            <w:tcW w:w="0" w:type="auto"/>
            <w:shd w:val="clear" w:color="auto" w:fill="auto"/>
          </w:tcPr>
          <w:p w14:paraId="793B4971" w14:textId="77777777" w:rsidR="008C5CFA" w:rsidRPr="009C3005" w:rsidRDefault="00E82A60" w:rsidP="00300A01">
            <w:pPr>
              <w:pStyle w:val="Text1"/>
              <w:spacing w:before="0" w:after="0"/>
              <w:ind w:left="0"/>
              <w:jc w:val="right"/>
              <w:rPr>
                <w:sz w:val="12"/>
                <w:szCs w:val="12"/>
              </w:rPr>
            </w:pPr>
            <w:r w:rsidRPr="009C3005">
              <w:rPr>
                <w:noProof/>
                <w:sz w:val="12"/>
                <w:szCs w:val="12"/>
              </w:rPr>
              <w:t>1 094 318,15</w:t>
            </w:r>
          </w:p>
        </w:tc>
        <w:tc>
          <w:tcPr>
            <w:tcW w:w="0" w:type="auto"/>
            <w:shd w:val="clear" w:color="auto" w:fill="auto"/>
          </w:tcPr>
          <w:p w14:paraId="727D6E55" w14:textId="77777777" w:rsidR="008C5CFA" w:rsidRPr="009C3005" w:rsidRDefault="00E82A60" w:rsidP="00300A01">
            <w:pPr>
              <w:pStyle w:val="Text1"/>
              <w:spacing w:before="0" w:after="0"/>
              <w:ind w:left="0"/>
              <w:jc w:val="right"/>
              <w:rPr>
                <w:sz w:val="12"/>
                <w:szCs w:val="12"/>
              </w:rPr>
            </w:pPr>
            <w:r w:rsidRPr="009C3005">
              <w:rPr>
                <w:noProof/>
                <w:sz w:val="12"/>
                <w:szCs w:val="12"/>
              </w:rPr>
              <w:t>930 170,43</w:t>
            </w:r>
          </w:p>
        </w:tc>
        <w:tc>
          <w:tcPr>
            <w:tcW w:w="0" w:type="auto"/>
            <w:shd w:val="clear" w:color="auto" w:fill="auto"/>
          </w:tcPr>
          <w:p w14:paraId="50FE9D80" w14:textId="77777777" w:rsidR="008C5CFA" w:rsidRPr="009C3005" w:rsidRDefault="00E82A60" w:rsidP="00300A01">
            <w:pPr>
              <w:pStyle w:val="Text1"/>
              <w:spacing w:before="0" w:after="0"/>
              <w:ind w:left="0"/>
              <w:jc w:val="right"/>
              <w:rPr>
                <w:sz w:val="12"/>
                <w:szCs w:val="12"/>
              </w:rPr>
            </w:pPr>
            <w:r w:rsidRPr="009C3005">
              <w:rPr>
                <w:noProof/>
                <w:sz w:val="12"/>
                <w:szCs w:val="12"/>
              </w:rPr>
              <w:t>1 083 070,10</w:t>
            </w:r>
          </w:p>
        </w:tc>
        <w:tc>
          <w:tcPr>
            <w:tcW w:w="0" w:type="auto"/>
            <w:shd w:val="clear" w:color="auto" w:fill="auto"/>
          </w:tcPr>
          <w:p w14:paraId="52ED239F" w14:textId="77777777" w:rsidR="008C5CFA" w:rsidRPr="009C3005" w:rsidRDefault="00E82A60" w:rsidP="00300A01">
            <w:pPr>
              <w:pStyle w:val="Text1"/>
              <w:spacing w:before="0" w:after="0"/>
              <w:ind w:left="0"/>
              <w:jc w:val="right"/>
              <w:rPr>
                <w:sz w:val="12"/>
                <w:szCs w:val="12"/>
              </w:rPr>
            </w:pPr>
            <w:r w:rsidRPr="009C3005">
              <w:rPr>
                <w:noProof/>
                <w:sz w:val="12"/>
                <w:szCs w:val="12"/>
              </w:rPr>
              <w:t>1</w:t>
            </w:r>
          </w:p>
        </w:tc>
      </w:tr>
      <w:tr w:rsidR="006B2EC1" w14:paraId="134B4EBD" w14:textId="77777777" w:rsidTr="0047688D">
        <w:tc>
          <w:tcPr>
            <w:tcW w:w="0" w:type="auto"/>
            <w:shd w:val="clear" w:color="auto" w:fill="auto"/>
          </w:tcPr>
          <w:p w14:paraId="35CA5281" w14:textId="77777777" w:rsidR="008C5CFA" w:rsidRPr="009C3005" w:rsidRDefault="00E82A60" w:rsidP="00300A01">
            <w:pPr>
              <w:pStyle w:val="Text1"/>
              <w:spacing w:before="0" w:after="0"/>
              <w:ind w:left="0"/>
              <w:rPr>
                <w:sz w:val="12"/>
                <w:szCs w:val="12"/>
              </w:rPr>
            </w:pPr>
            <w:r>
              <w:rPr>
                <w:noProof/>
                <w:sz w:val="14"/>
                <w:szCs w:val="14"/>
                <w:lang w:val="fr-BE"/>
              </w:rPr>
              <w:t>7</w:t>
            </w:r>
          </w:p>
        </w:tc>
        <w:tc>
          <w:tcPr>
            <w:tcW w:w="0" w:type="auto"/>
            <w:shd w:val="clear" w:color="auto" w:fill="auto"/>
          </w:tcPr>
          <w:p w14:paraId="2DCBFBDA" w14:textId="77777777" w:rsidR="008C5CFA" w:rsidRPr="009C3005" w:rsidRDefault="00E82A60" w:rsidP="00300A01">
            <w:pPr>
              <w:pStyle w:val="Text1"/>
              <w:spacing w:before="0" w:after="0"/>
              <w:ind w:left="0"/>
              <w:rPr>
                <w:sz w:val="12"/>
                <w:szCs w:val="12"/>
              </w:rPr>
            </w:pPr>
            <w:r>
              <w:rPr>
                <w:noProof/>
                <w:sz w:val="12"/>
                <w:szCs w:val="12"/>
              </w:rPr>
              <w:t>EFRR</w:t>
            </w:r>
          </w:p>
        </w:tc>
        <w:tc>
          <w:tcPr>
            <w:tcW w:w="0" w:type="auto"/>
            <w:shd w:val="clear" w:color="auto" w:fill="auto"/>
          </w:tcPr>
          <w:p w14:paraId="05899DA2" w14:textId="77777777" w:rsidR="008C5CFA" w:rsidRPr="009C3005" w:rsidRDefault="00E82A60" w:rsidP="00300A01">
            <w:pPr>
              <w:pStyle w:val="Text1"/>
              <w:spacing w:before="0" w:after="0"/>
              <w:ind w:left="0"/>
              <w:rPr>
                <w:sz w:val="12"/>
                <w:szCs w:val="12"/>
              </w:rPr>
            </w:pPr>
            <w:r>
              <w:rPr>
                <w:noProof/>
                <w:sz w:val="12"/>
                <w:szCs w:val="12"/>
              </w:rPr>
              <w:t>Słabiej rozwinięte</w:t>
            </w:r>
          </w:p>
        </w:tc>
        <w:tc>
          <w:tcPr>
            <w:tcW w:w="0" w:type="auto"/>
            <w:shd w:val="clear" w:color="auto" w:fill="auto"/>
          </w:tcPr>
          <w:p w14:paraId="0B71159D" w14:textId="77777777" w:rsidR="008C5CFA" w:rsidRPr="009C3005" w:rsidRDefault="00E82A60" w:rsidP="00300A01">
            <w:pPr>
              <w:pStyle w:val="Text1"/>
              <w:spacing w:before="0" w:after="0"/>
              <w:ind w:left="0"/>
              <w:rPr>
                <w:sz w:val="12"/>
                <w:szCs w:val="12"/>
              </w:rPr>
            </w:pPr>
            <w:r>
              <w:rPr>
                <w:noProof/>
                <w:sz w:val="12"/>
                <w:szCs w:val="12"/>
              </w:rPr>
              <w:t>055</w:t>
            </w:r>
          </w:p>
        </w:tc>
        <w:tc>
          <w:tcPr>
            <w:tcW w:w="0" w:type="auto"/>
            <w:shd w:val="clear" w:color="auto" w:fill="auto"/>
          </w:tcPr>
          <w:p w14:paraId="0C56DFA3"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7BCE1B25" w14:textId="77777777" w:rsidR="008C5CFA" w:rsidRPr="009C3005" w:rsidRDefault="00E82A60" w:rsidP="00300A01">
            <w:pPr>
              <w:pStyle w:val="Text1"/>
              <w:spacing w:before="0" w:after="0"/>
              <w:ind w:left="0"/>
              <w:rPr>
                <w:sz w:val="12"/>
                <w:szCs w:val="12"/>
              </w:rPr>
            </w:pPr>
            <w:r>
              <w:rPr>
                <w:noProof/>
                <w:sz w:val="12"/>
                <w:szCs w:val="12"/>
              </w:rPr>
              <w:t>03</w:t>
            </w:r>
          </w:p>
        </w:tc>
        <w:tc>
          <w:tcPr>
            <w:tcW w:w="0" w:type="auto"/>
            <w:shd w:val="clear" w:color="auto" w:fill="auto"/>
          </w:tcPr>
          <w:p w14:paraId="2CF45DB8"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35BC1850" w14:textId="77777777" w:rsidR="008C5CFA" w:rsidRPr="009C3005" w:rsidRDefault="00E82A60" w:rsidP="00300A01">
            <w:pPr>
              <w:pStyle w:val="Text1"/>
              <w:spacing w:before="0" w:after="0"/>
              <w:ind w:left="0"/>
              <w:rPr>
                <w:sz w:val="12"/>
                <w:szCs w:val="12"/>
              </w:rPr>
            </w:pPr>
            <w:r>
              <w:rPr>
                <w:noProof/>
                <w:sz w:val="12"/>
                <w:szCs w:val="12"/>
              </w:rPr>
              <w:t>09</w:t>
            </w:r>
          </w:p>
        </w:tc>
        <w:tc>
          <w:tcPr>
            <w:tcW w:w="0" w:type="auto"/>
            <w:shd w:val="clear" w:color="auto" w:fill="auto"/>
          </w:tcPr>
          <w:p w14:paraId="0BFD7EF2" w14:textId="77777777" w:rsidR="008C5CFA" w:rsidRPr="009C3005" w:rsidRDefault="00E82A60" w:rsidP="00300A01">
            <w:pPr>
              <w:pStyle w:val="Text1"/>
              <w:spacing w:before="0" w:after="0"/>
              <w:ind w:left="0"/>
              <w:rPr>
                <w:sz w:val="12"/>
                <w:szCs w:val="12"/>
              </w:rPr>
            </w:pPr>
            <w:r>
              <w:rPr>
                <w:sz w:val="12"/>
                <w:szCs w:val="12"/>
              </w:rPr>
              <w:t xml:space="preserve"> </w:t>
            </w:r>
          </w:p>
        </w:tc>
        <w:tc>
          <w:tcPr>
            <w:tcW w:w="0" w:type="auto"/>
            <w:shd w:val="clear" w:color="auto" w:fill="auto"/>
          </w:tcPr>
          <w:p w14:paraId="16FBC124" w14:textId="77777777" w:rsidR="008C5CFA" w:rsidRPr="009C3005" w:rsidRDefault="00E82A60" w:rsidP="00300A01">
            <w:pPr>
              <w:pStyle w:val="Text1"/>
              <w:spacing w:before="0" w:after="0"/>
              <w:ind w:left="0"/>
              <w:rPr>
                <w:sz w:val="12"/>
                <w:szCs w:val="12"/>
              </w:rPr>
            </w:pPr>
            <w:r>
              <w:rPr>
                <w:noProof/>
                <w:sz w:val="12"/>
                <w:szCs w:val="12"/>
              </w:rPr>
              <w:t>24</w:t>
            </w:r>
          </w:p>
        </w:tc>
        <w:tc>
          <w:tcPr>
            <w:tcW w:w="0" w:type="auto"/>
            <w:shd w:val="clear" w:color="auto" w:fill="auto"/>
          </w:tcPr>
          <w:p w14:paraId="532D3088" w14:textId="77777777" w:rsidR="008C5CFA" w:rsidRPr="009C3005" w:rsidRDefault="00E82A60" w:rsidP="00300A01">
            <w:pPr>
              <w:pStyle w:val="Text1"/>
              <w:spacing w:before="0" w:after="0"/>
              <w:ind w:left="0"/>
              <w:rPr>
                <w:sz w:val="12"/>
                <w:szCs w:val="12"/>
              </w:rPr>
            </w:pPr>
            <w:r>
              <w:rPr>
                <w:noProof/>
                <w:sz w:val="12"/>
                <w:szCs w:val="12"/>
              </w:rPr>
              <w:t>PL33</w:t>
            </w:r>
          </w:p>
        </w:tc>
        <w:tc>
          <w:tcPr>
            <w:tcW w:w="0" w:type="auto"/>
            <w:shd w:val="clear" w:color="auto" w:fill="auto"/>
          </w:tcPr>
          <w:p w14:paraId="07ABC2ED" w14:textId="77777777" w:rsidR="008C5CFA" w:rsidRPr="009C3005" w:rsidRDefault="00E82A60" w:rsidP="00300A01">
            <w:pPr>
              <w:pStyle w:val="Text1"/>
              <w:spacing w:before="0" w:after="0"/>
              <w:ind w:left="0"/>
              <w:jc w:val="right"/>
              <w:rPr>
                <w:sz w:val="12"/>
                <w:szCs w:val="12"/>
              </w:rPr>
            </w:pPr>
            <w:r w:rsidRPr="009C3005">
              <w:rPr>
                <w:noProof/>
                <w:sz w:val="12"/>
                <w:szCs w:val="12"/>
              </w:rPr>
              <w:t>197 359,46</w:t>
            </w:r>
          </w:p>
        </w:tc>
        <w:tc>
          <w:tcPr>
            <w:tcW w:w="0" w:type="auto"/>
            <w:shd w:val="clear" w:color="auto" w:fill="auto"/>
          </w:tcPr>
          <w:p w14:paraId="6361B8B1" w14:textId="77777777" w:rsidR="008C5CFA" w:rsidRPr="009C3005" w:rsidRDefault="00E82A60" w:rsidP="00300A01">
            <w:pPr>
              <w:pStyle w:val="Text1"/>
              <w:spacing w:before="0" w:after="0"/>
              <w:ind w:left="0"/>
              <w:jc w:val="right"/>
              <w:rPr>
                <w:sz w:val="12"/>
                <w:szCs w:val="12"/>
              </w:rPr>
            </w:pPr>
            <w:r w:rsidRPr="009C3005">
              <w:rPr>
                <w:noProof/>
                <w:sz w:val="12"/>
                <w:szCs w:val="12"/>
              </w:rPr>
              <w:t>167 755,54</w:t>
            </w:r>
          </w:p>
        </w:tc>
        <w:tc>
          <w:tcPr>
            <w:tcW w:w="0" w:type="auto"/>
            <w:shd w:val="clear" w:color="auto" w:fill="auto"/>
          </w:tcPr>
          <w:p w14:paraId="36F739CA" w14:textId="77777777" w:rsidR="008C5CFA" w:rsidRPr="009C3005" w:rsidRDefault="00E82A60" w:rsidP="00300A01">
            <w:pPr>
              <w:pStyle w:val="Text1"/>
              <w:spacing w:before="0" w:after="0"/>
              <w:ind w:left="0"/>
              <w:jc w:val="right"/>
              <w:rPr>
                <w:sz w:val="12"/>
                <w:szCs w:val="12"/>
              </w:rPr>
            </w:pPr>
            <w:r w:rsidRPr="009C3005">
              <w:rPr>
                <w:noProof/>
                <w:sz w:val="12"/>
                <w:szCs w:val="12"/>
              </w:rPr>
              <w:t>70 477,13</w:t>
            </w:r>
          </w:p>
        </w:tc>
        <w:tc>
          <w:tcPr>
            <w:tcW w:w="0" w:type="auto"/>
            <w:shd w:val="clear" w:color="auto" w:fill="auto"/>
          </w:tcPr>
          <w:p w14:paraId="4570CBE8" w14:textId="77777777" w:rsidR="008C5CFA" w:rsidRPr="009C3005" w:rsidRDefault="00E82A60" w:rsidP="00300A01">
            <w:pPr>
              <w:pStyle w:val="Text1"/>
              <w:spacing w:before="0" w:after="0"/>
              <w:ind w:left="0"/>
              <w:jc w:val="right"/>
              <w:rPr>
                <w:sz w:val="12"/>
                <w:szCs w:val="12"/>
              </w:rPr>
            </w:pPr>
            <w:r w:rsidRPr="009C3005">
              <w:rPr>
                <w:noProof/>
                <w:sz w:val="12"/>
                <w:szCs w:val="12"/>
              </w:rPr>
              <w:t>1</w:t>
            </w:r>
          </w:p>
        </w:tc>
      </w:tr>
      <w:tr w:rsidR="006B2EC1" w14:paraId="366A063E" w14:textId="77777777" w:rsidTr="0047688D">
        <w:tc>
          <w:tcPr>
            <w:tcW w:w="0" w:type="auto"/>
            <w:shd w:val="clear" w:color="auto" w:fill="auto"/>
          </w:tcPr>
          <w:p w14:paraId="4B1858C4" w14:textId="77777777" w:rsidR="008C5CFA" w:rsidRPr="009C3005" w:rsidRDefault="00E82A60" w:rsidP="00300A01">
            <w:pPr>
              <w:pStyle w:val="Text1"/>
              <w:spacing w:before="0" w:after="0"/>
              <w:ind w:left="0"/>
              <w:rPr>
                <w:sz w:val="12"/>
                <w:szCs w:val="12"/>
              </w:rPr>
            </w:pPr>
            <w:r>
              <w:rPr>
                <w:noProof/>
                <w:sz w:val="14"/>
                <w:szCs w:val="14"/>
                <w:lang w:val="fr-BE"/>
              </w:rPr>
              <w:t>7</w:t>
            </w:r>
          </w:p>
        </w:tc>
        <w:tc>
          <w:tcPr>
            <w:tcW w:w="0" w:type="auto"/>
            <w:shd w:val="clear" w:color="auto" w:fill="auto"/>
          </w:tcPr>
          <w:p w14:paraId="00122236" w14:textId="77777777" w:rsidR="008C5CFA" w:rsidRPr="009C3005" w:rsidRDefault="00E82A60" w:rsidP="00300A01">
            <w:pPr>
              <w:pStyle w:val="Text1"/>
              <w:spacing w:before="0" w:after="0"/>
              <w:ind w:left="0"/>
              <w:rPr>
                <w:sz w:val="12"/>
                <w:szCs w:val="12"/>
              </w:rPr>
            </w:pPr>
            <w:r>
              <w:rPr>
                <w:noProof/>
                <w:sz w:val="12"/>
                <w:szCs w:val="12"/>
              </w:rPr>
              <w:t>EFRR</w:t>
            </w:r>
          </w:p>
        </w:tc>
        <w:tc>
          <w:tcPr>
            <w:tcW w:w="0" w:type="auto"/>
            <w:shd w:val="clear" w:color="auto" w:fill="auto"/>
          </w:tcPr>
          <w:p w14:paraId="52B71E46" w14:textId="77777777" w:rsidR="008C5CFA" w:rsidRPr="009C3005" w:rsidRDefault="00E82A60" w:rsidP="00300A01">
            <w:pPr>
              <w:pStyle w:val="Text1"/>
              <w:spacing w:before="0" w:after="0"/>
              <w:ind w:left="0"/>
              <w:rPr>
                <w:sz w:val="12"/>
                <w:szCs w:val="12"/>
              </w:rPr>
            </w:pPr>
            <w:r>
              <w:rPr>
                <w:noProof/>
                <w:sz w:val="12"/>
                <w:szCs w:val="12"/>
              </w:rPr>
              <w:t>Słabiej rozwinięte</w:t>
            </w:r>
          </w:p>
        </w:tc>
        <w:tc>
          <w:tcPr>
            <w:tcW w:w="0" w:type="auto"/>
            <w:shd w:val="clear" w:color="auto" w:fill="auto"/>
          </w:tcPr>
          <w:p w14:paraId="56114729" w14:textId="77777777" w:rsidR="008C5CFA" w:rsidRPr="009C3005" w:rsidRDefault="00E82A60" w:rsidP="00300A01">
            <w:pPr>
              <w:pStyle w:val="Text1"/>
              <w:spacing w:before="0" w:after="0"/>
              <w:ind w:left="0"/>
              <w:rPr>
                <w:sz w:val="12"/>
                <w:szCs w:val="12"/>
              </w:rPr>
            </w:pPr>
            <w:r>
              <w:rPr>
                <w:noProof/>
                <w:sz w:val="12"/>
                <w:szCs w:val="12"/>
              </w:rPr>
              <w:t>078</w:t>
            </w:r>
          </w:p>
        </w:tc>
        <w:tc>
          <w:tcPr>
            <w:tcW w:w="0" w:type="auto"/>
            <w:shd w:val="clear" w:color="auto" w:fill="auto"/>
          </w:tcPr>
          <w:p w14:paraId="6FE3CE4D"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116E5B15"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51A8F8E3"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5A610883" w14:textId="77777777" w:rsidR="008C5CFA" w:rsidRPr="009C3005" w:rsidRDefault="00E82A60" w:rsidP="00300A01">
            <w:pPr>
              <w:pStyle w:val="Text1"/>
              <w:spacing w:before="0" w:after="0"/>
              <w:ind w:left="0"/>
              <w:rPr>
                <w:sz w:val="12"/>
                <w:szCs w:val="12"/>
              </w:rPr>
            </w:pPr>
            <w:r>
              <w:rPr>
                <w:noProof/>
                <w:sz w:val="12"/>
                <w:szCs w:val="12"/>
              </w:rPr>
              <w:t>02</w:t>
            </w:r>
          </w:p>
        </w:tc>
        <w:tc>
          <w:tcPr>
            <w:tcW w:w="0" w:type="auto"/>
            <w:shd w:val="clear" w:color="auto" w:fill="auto"/>
          </w:tcPr>
          <w:p w14:paraId="57906095" w14:textId="77777777" w:rsidR="008C5CFA" w:rsidRPr="009C3005" w:rsidRDefault="00E82A60" w:rsidP="00300A01">
            <w:pPr>
              <w:pStyle w:val="Text1"/>
              <w:spacing w:before="0" w:after="0"/>
              <w:ind w:left="0"/>
              <w:rPr>
                <w:sz w:val="12"/>
                <w:szCs w:val="12"/>
              </w:rPr>
            </w:pPr>
            <w:r>
              <w:rPr>
                <w:sz w:val="12"/>
                <w:szCs w:val="12"/>
              </w:rPr>
              <w:t xml:space="preserve"> </w:t>
            </w:r>
          </w:p>
        </w:tc>
        <w:tc>
          <w:tcPr>
            <w:tcW w:w="0" w:type="auto"/>
            <w:shd w:val="clear" w:color="auto" w:fill="auto"/>
          </w:tcPr>
          <w:p w14:paraId="58D6098C" w14:textId="77777777" w:rsidR="008C5CFA" w:rsidRPr="009C3005" w:rsidRDefault="00E82A60" w:rsidP="00300A01">
            <w:pPr>
              <w:pStyle w:val="Text1"/>
              <w:spacing w:before="0" w:after="0"/>
              <w:ind w:left="0"/>
              <w:rPr>
                <w:sz w:val="12"/>
                <w:szCs w:val="12"/>
              </w:rPr>
            </w:pPr>
            <w:r>
              <w:rPr>
                <w:noProof/>
                <w:sz w:val="12"/>
                <w:szCs w:val="12"/>
              </w:rPr>
              <w:t>18</w:t>
            </w:r>
          </w:p>
        </w:tc>
        <w:tc>
          <w:tcPr>
            <w:tcW w:w="0" w:type="auto"/>
            <w:shd w:val="clear" w:color="auto" w:fill="auto"/>
          </w:tcPr>
          <w:p w14:paraId="26391C66" w14:textId="77777777" w:rsidR="008C5CFA" w:rsidRPr="009C3005" w:rsidRDefault="00E82A60" w:rsidP="00300A01">
            <w:pPr>
              <w:pStyle w:val="Text1"/>
              <w:spacing w:before="0" w:after="0"/>
              <w:ind w:left="0"/>
              <w:rPr>
                <w:sz w:val="12"/>
                <w:szCs w:val="12"/>
              </w:rPr>
            </w:pPr>
            <w:r>
              <w:rPr>
                <w:noProof/>
                <w:sz w:val="12"/>
                <w:szCs w:val="12"/>
              </w:rPr>
              <w:t>PL33</w:t>
            </w:r>
          </w:p>
        </w:tc>
        <w:tc>
          <w:tcPr>
            <w:tcW w:w="0" w:type="auto"/>
            <w:shd w:val="clear" w:color="auto" w:fill="auto"/>
          </w:tcPr>
          <w:p w14:paraId="7803350A" w14:textId="77777777" w:rsidR="008C5CFA" w:rsidRPr="009C3005" w:rsidRDefault="00E82A60" w:rsidP="00300A01">
            <w:pPr>
              <w:pStyle w:val="Text1"/>
              <w:spacing w:before="0" w:after="0"/>
              <w:ind w:left="0"/>
              <w:jc w:val="right"/>
              <w:rPr>
                <w:sz w:val="12"/>
                <w:szCs w:val="12"/>
              </w:rPr>
            </w:pPr>
            <w:r w:rsidRPr="009C3005">
              <w:rPr>
                <w:noProof/>
                <w:sz w:val="12"/>
                <w:szCs w:val="12"/>
              </w:rPr>
              <w:t>10 532 463,88</w:t>
            </w:r>
          </w:p>
        </w:tc>
        <w:tc>
          <w:tcPr>
            <w:tcW w:w="0" w:type="auto"/>
            <w:shd w:val="clear" w:color="auto" w:fill="auto"/>
          </w:tcPr>
          <w:p w14:paraId="2E16C57B" w14:textId="77777777" w:rsidR="008C5CFA" w:rsidRPr="009C3005" w:rsidRDefault="00E82A60" w:rsidP="00300A01">
            <w:pPr>
              <w:pStyle w:val="Text1"/>
              <w:spacing w:before="0" w:after="0"/>
              <w:ind w:left="0"/>
              <w:jc w:val="right"/>
              <w:rPr>
                <w:sz w:val="12"/>
                <w:szCs w:val="12"/>
              </w:rPr>
            </w:pPr>
            <w:r w:rsidRPr="009C3005">
              <w:rPr>
                <w:noProof/>
                <w:sz w:val="12"/>
                <w:szCs w:val="12"/>
              </w:rPr>
              <w:t>10 532 463,88</w:t>
            </w:r>
          </w:p>
        </w:tc>
        <w:tc>
          <w:tcPr>
            <w:tcW w:w="0" w:type="auto"/>
            <w:shd w:val="clear" w:color="auto" w:fill="auto"/>
          </w:tcPr>
          <w:p w14:paraId="3AA2DB79" w14:textId="77777777" w:rsidR="008C5CFA" w:rsidRPr="009C3005" w:rsidRDefault="00E82A60" w:rsidP="00300A01">
            <w:pPr>
              <w:pStyle w:val="Text1"/>
              <w:spacing w:before="0" w:after="0"/>
              <w:ind w:left="0"/>
              <w:jc w:val="right"/>
              <w:rPr>
                <w:sz w:val="12"/>
                <w:szCs w:val="12"/>
              </w:rPr>
            </w:pPr>
            <w:r w:rsidRPr="009C3005">
              <w:rPr>
                <w:noProof/>
                <w:sz w:val="12"/>
                <w:szCs w:val="12"/>
              </w:rPr>
              <w:t>110 775,90</w:t>
            </w:r>
          </w:p>
        </w:tc>
        <w:tc>
          <w:tcPr>
            <w:tcW w:w="0" w:type="auto"/>
            <w:shd w:val="clear" w:color="auto" w:fill="auto"/>
          </w:tcPr>
          <w:p w14:paraId="14CA77FE" w14:textId="77777777" w:rsidR="008C5CFA" w:rsidRPr="009C3005" w:rsidRDefault="00E82A60" w:rsidP="00300A01">
            <w:pPr>
              <w:pStyle w:val="Text1"/>
              <w:spacing w:before="0" w:after="0"/>
              <w:ind w:left="0"/>
              <w:jc w:val="right"/>
              <w:rPr>
                <w:sz w:val="12"/>
                <w:szCs w:val="12"/>
              </w:rPr>
            </w:pPr>
            <w:r w:rsidRPr="009C3005">
              <w:rPr>
                <w:noProof/>
                <w:sz w:val="12"/>
                <w:szCs w:val="12"/>
              </w:rPr>
              <w:t>4</w:t>
            </w:r>
          </w:p>
        </w:tc>
      </w:tr>
      <w:tr w:rsidR="006B2EC1" w14:paraId="07FC6D3C" w14:textId="77777777" w:rsidTr="0047688D">
        <w:tc>
          <w:tcPr>
            <w:tcW w:w="0" w:type="auto"/>
            <w:shd w:val="clear" w:color="auto" w:fill="auto"/>
          </w:tcPr>
          <w:p w14:paraId="1C7E507E" w14:textId="77777777" w:rsidR="008C5CFA" w:rsidRPr="009C3005" w:rsidRDefault="00E82A60" w:rsidP="00300A01">
            <w:pPr>
              <w:pStyle w:val="Text1"/>
              <w:spacing w:before="0" w:after="0"/>
              <w:ind w:left="0"/>
              <w:rPr>
                <w:sz w:val="12"/>
                <w:szCs w:val="12"/>
              </w:rPr>
            </w:pPr>
            <w:r>
              <w:rPr>
                <w:noProof/>
                <w:sz w:val="14"/>
                <w:szCs w:val="14"/>
                <w:lang w:val="fr-BE"/>
              </w:rPr>
              <w:t>7</w:t>
            </w:r>
          </w:p>
        </w:tc>
        <w:tc>
          <w:tcPr>
            <w:tcW w:w="0" w:type="auto"/>
            <w:shd w:val="clear" w:color="auto" w:fill="auto"/>
          </w:tcPr>
          <w:p w14:paraId="34E2AEB1" w14:textId="77777777" w:rsidR="008C5CFA" w:rsidRPr="009C3005" w:rsidRDefault="00E82A60" w:rsidP="00300A01">
            <w:pPr>
              <w:pStyle w:val="Text1"/>
              <w:spacing w:before="0" w:after="0"/>
              <w:ind w:left="0"/>
              <w:rPr>
                <w:sz w:val="12"/>
                <w:szCs w:val="12"/>
              </w:rPr>
            </w:pPr>
            <w:r>
              <w:rPr>
                <w:noProof/>
                <w:sz w:val="12"/>
                <w:szCs w:val="12"/>
              </w:rPr>
              <w:t>EFRR</w:t>
            </w:r>
          </w:p>
        </w:tc>
        <w:tc>
          <w:tcPr>
            <w:tcW w:w="0" w:type="auto"/>
            <w:shd w:val="clear" w:color="auto" w:fill="auto"/>
          </w:tcPr>
          <w:p w14:paraId="775489A0" w14:textId="77777777" w:rsidR="008C5CFA" w:rsidRPr="009C3005" w:rsidRDefault="00E82A60" w:rsidP="00300A01">
            <w:pPr>
              <w:pStyle w:val="Text1"/>
              <w:spacing w:before="0" w:after="0"/>
              <w:ind w:left="0"/>
              <w:rPr>
                <w:sz w:val="12"/>
                <w:szCs w:val="12"/>
              </w:rPr>
            </w:pPr>
            <w:r>
              <w:rPr>
                <w:noProof/>
                <w:sz w:val="12"/>
                <w:szCs w:val="12"/>
              </w:rPr>
              <w:t>Słabiej rozwinięte</w:t>
            </w:r>
          </w:p>
        </w:tc>
        <w:tc>
          <w:tcPr>
            <w:tcW w:w="0" w:type="auto"/>
            <w:shd w:val="clear" w:color="auto" w:fill="auto"/>
          </w:tcPr>
          <w:p w14:paraId="0130AA5A" w14:textId="77777777" w:rsidR="008C5CFA" w:rsidRPr="009C3005" w:rsidRDefault="00E82A60" w:rsidP="00300A01">
            <w:pPr>
              <w:pStyle w:val="Text1"/>
              <w:spacing w:before="0" w:after="0"/>
              <w:ind w:left="0"/>
              <w:rPr>
                <w:sz w:val="12"/>
                <w:szCs w:val="12"/>
              </w:rPr>
            </w:pPr>
            <w:r>
              <w:rPr>
                <w:noProof/>
                <w:sz w:val="12"/>
                <w:szCs w:val="12"/>
              </w:rPr>
              <w:t>078</w:t>
            </w:r>
          </w:p>
        </w:tc>
        <w:tc>
          <w:tcPr>
            <w:tcW w:w="0" w:type="auto"/>
            <w:shd w:val="clear" w:color="auto" w:fill="auto"/>
          </w:tcPr>
          <w:p w14:paraId="4303EF79"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0906D851" w14:textId="77777777" w:rsidR="008C5CFA" w:rsidRPr="009C3005" w:rsidRDefault="00E82A60" w:rsidP="00300A01">
            <w:pPr>
              <w:pStyle w:val="Text1"/>
              <w:spacing w:before="0" w:after="0"/>
              <w:ind w:left="0"/>
              <w:rPr>
                <w:sz w:val="12"/>
                <w:szCs w:val="12"/>
              </w:rPr>
            </w:pPr>
            <w:r>
              <w:rPr>
                <w:noProof/>
                <w:sz w:val="12"/>
                <w:szCs w:val="12"/>
              </w:rPr>
              <w:t>02</w:t>
            </w:r>
          </w:p>
        </w:tc>
        <w:tc>
          <w:tcPr>
            <w:tcW w:w="0" w:type="auto"/>
            <w:shd w:val="clear" w:color="auto" w:fill="auto"/>
          </w:tcPr>
          <w:p w14:paraId="66A554D2"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6FB3DB5F" w14:textId="77777777" w:rsidR="008C5CFA" w:rsidRPr="009C3005" w:rsidRDefault="00E82A60" w:rsidP="00300A01">
            <w:pPr>
              <w:pStyle w:val="Text1"/>
              <w:spacing w:before="0" w:after="0"/>
              <w:ind w:left="0"/>
              <w:rPr>
                <w:sz w:val="12"/>
                <w:szCs w:val="12"/>
              </w:rPr>
            </w:pPr>
            <w:r>
              <w:rPr>
                <w:noProof/>
                <w:sz w:val="12"/>
                <w:szCs w:val="12"/>
              </w:rPr>
              <w:t>02</w:t>
            </w:r>
          </w:p>
        </w:tc>
        <w:tc>
          <w:tcPr>
            <w:tcW w:w="0" w:type="auto"/>
            <w:shd w:val="clear" w:color="auto" w:fill="auto"/>
          </w:tcPr>
          <w:p w14:paraId="61F3B89B" w14:textId="77777777" w:rsidR="008C5CFA" w:rsidRPr="009C3005" w:rsidRDefault="00E82A60" w:rsidP="00300A01">
            <w:pPr>
              <w:pStyle w:val="Text1"/>
              <w:spacing w:before="0" w:after="0"/>
              <w:ind w:left="0"/>
              <w:rPr>
                <w:sz w:val="12"/>
                <w:szCs w:val="12"/>
              </w:rPr>
            </w:pPr>
            <w:r>
              <w:rPr>
                <w:sz w:val="12"/>
                <w:szCs w:val="12"/>
              </w:rPr>
              <w:t xml:space="preserve"> </w:t>
            </w:r>
          </w:p>
        </w:tc>
        <w:tc>
          <w:tcPr>
            <w:tcW w:w="0" w:type="auto"/>
            <w:shd w:val="clear" w:color="auto" w:fill="auto"/>
          </w:tcPr>
          <w:p w14:paraId="5DFDFE21" w14:textId="77777777" w:rsidR="008C5CFA" w:rsidRPr="009C3005" w:rsidRDefault="00E82A60" w:rsidP="00300A01">
            <w:pPr>
              <w:pStyle w:val="Text1"/>
              <w:spacing w:before="0" w:after="0"/>
              <w:ind w:left="0"/>
              <w:rPr>
                <w:sz w:val="12"/>
                <w:szCs w:val="12"/>
              </w:rPr>
            </w:pPr>
            <w:r>
              <w:rPr>
                <w:noProof/>
                <w:sz w:val="12"/>
                <w:szCs w:val="12"/>
              </w:rPr>
              <w:t>18</w:t>
            </w:r>
          </w:p>
        </w:tc>
        <w:tc>
          <w:tcPr>
            <w:tcW w:w="0" w:type="auto"/>
            <w:shd w:val="clear" w:color="auto" w:fill="auto"/>
          </w:tcPr>
          <w:p w14:paraId="740B206F" w14:textId="77777777" w:rsidR="008C5CFA" w:rsidRPr="009C3005" w:rsidRDefault="00E82A60" w:rsidP="00300A01">
            <w:pPr>
              <w:pStyle w:val="Text1"/>
              <w:spacing w:before="0" w:after="0"/>
              <w:ind w:left="0"/>
              <w:rPr>
                <w:sz w:val="12"/>
                <w:szCs w:val="12"/>
              </w:rPr>
            </w:pPr>
            <w:r>
              <w:rPr>
                <w:noProof/>
                <w:sz w:val="12"/>
                <w:szCs w:val="12"/>
              </w:rPr>
              <w:t>PL33</w:t>
            </w:r>
          </w:p>
        </w:tc>
        <w:tc>
          <w:tcPr>
            <w:tcW w:w="0" w:type="auto"/>
            <w:shd w:val="clear" w:color="auto" w:fill="auto"/>
          </w:tcPr>
          <w:p w14:paraId="69E84A77" w14:textId="77777777" w:rsidR="008C5CFA" w:rsidRPr="009C3005" w:rsidRDefault="00E82A60" w:rsidP="00300A01">
            <w:pPr>
              <w:pStyle w:val="Text1"/>
              <w:spacing w:before="0" w:after="0"/>
              <w:ind w:left="0"/>
              <w:jc w:val="right"/>
              <w:rPr>
                <w:sz w:val="12"/>
                <w:szCs w:val="12"/>
              </w:rPr>
            </w:pPr>
            <w:r w:rsidRPr="009C3005">
              <w:rPr>
                <w:noProof/>
                <w:sz w:val="12"/>
                <w:szCs w:val="12"/>
              </w:rPr>
              <w:t>5 210 341,13</w:t>
            </w:r>
          </w:p>
        </w:tc>
        <w:tc>
          <w:tcPr>
            <w:tcW w:w="0" w:type="auto"/>
            <w:shd w:val="clear" w:color="auto" w:fill="auto"/>
          </w:tcPr>
          <w:p w14:paraId="0F7DB916" w14:textId="77777777" w:rsidR="008C5CFA" w:rsidRPr="009C3005" w:rsidRDefault="00E82A60" w:rsidP="00300A01">
            <w:pPr>
              <w:pStyle w:val="Text1"/>
              <w:spacing w:before="0" w:after="0"/>
              <w:ind w:left="0"/>
              <w:jc w:val="right"/>
              <w:rPr>
                <w:sz w:val="12"/>
                <w:szCs w:val="12"/>
              </w:rPr>
            </w:pPr>
            <w:r w:rsidRPr="009C3005">
              <w:rPr>
                <w:noProof/>
                <w:sz w:val="12"/>
                <w:szCs w:val="12"/>
              </w:rPr>
              <w:t>5 210 341,13</w:t>
            </w:r>
          </w:p>
        </w:tc>
        <w:tc>
          <w:tcPr>
            <w:tcW w:w="0" w:type="auto"/>
            <w:shd w:val="clear" w:color="auto" w:fill="auto"/>
          </w:tcPr>
          <w:p w14:paraId="65322C26" w14:textId="77777777" w:rsidR="008C5CFA" w:rsidRPr="009C3005" w:rsidRDefault="00E82A60" w:rsidP="00300A01">
            <w:pPr>
              <w:pStyle w:val="Text1"/>
              <w:spacing w:before="0" w:after="0"/>
              <w:ind w:left="0"/>
              <w:jc w:val="right"/>
              <w:rPr>
                <w:sz w:val="12"/>
                <w:szCs w:val="12"/>
              </w:rPr>
            </w:pPr>
            <w:r w:rsidRPr="009C3005">
              <w:rPr>
                <w:noProof/>
                <w:sz w:val="12"/>
                <w:szCs w:val="12"/>
              </w:rPr>
              <w:t>0,00</w:t>
            </w:r>
          </w:p>
        </w:tc>
        <w:tc>
          <w:tcPr>
            <w:tcW w:w="0" w:type="auto"/>
            <w:shd w:val="clear" w:color="auto" w:fill="auto"/>
          </w:tcPr>
          <w:p w14:paraId="50D49F9F" w14:textId="77777777" w:rsidR="008C5CFA" w:rsidRPr="009C3005" w:rsidRDefault="00E82A60" w:rsidP="00300A01">
            <w:pPr>
              <w:pStyle w:val="Text1"/>
              <w:spacing w:before="0" w:after="0"/>
              <w:ind w:left="0"/>
              <w:jc w:val="right"/>
              <w:rPr>
                <w:sz w:val="12"/>
                <w:szCs w:val="12"/>
              </w:rPr>
            </w:pPr>
            <w:r w:rsidRPr="009C3005">
              <w:rPr>
                <w:noProof/>
                <w:sz w:val="12"/>
                <w:szCs w:val="12"/>
              </w:rPr>
              <w:t>3</w:t>
            </w:r>
          </w:p>
        </w:tc>
      </w:tr>
      <w:tr w:rsidR="006B2EC1" w14:paraId="1A607A63" w14:textId="77777777" w:rsidTr="0047688D">
        <w:tc>
          <w:tcPr>
            <w:tcW w:w="0" w:type="auto"/>
            <w:shd w:val="clear" w:color="auto" w:fill="auto"/>
          </w:tcPr>
          <w:p w14:paraId="79F73B6F" w14:textId="77777777" w:rsidR="008C5CFA" w:rsidRPr="009C3005" w:rsidRDefault="00E82A60" w:rsidP="00300A01">
            <w:pPr>
              <w:pStyle w:val="Text1"/>
              <w:spacing w:before="0" w:after="0"/>
              <w:ind w:left="0"/>
              <w:rPr>
                <w:sz w:val="12"/>
                <w:szCs w:val="12"/>
              </w:rPr>
            </w:pPr>
            <w:r>
              <w:rPr>
                <w:noProof/>
                <w:sz w:val="14"/>
                <w:szCs w:val="14"/>
                <w:lang w:val="fr-BE"/>
              </w:rPr>
              <w:t>7</w:t>
            </w:r>
          </w:p>
        </w:tc>
        <w:tc>
          <w:tcPr>
            <w:tcW w:w="0" w:type="auto"/>
            <w:shd w:val="clear" w:color="auto" w:fill="auto"/>
          </w:tcPr>
          <w:p w14:paraId="1CB00AB6" w14:textId="77777777" w:rsidR="008C5CFA" w:rsidRPr="009C3005" w:rsidRDefault="00E82A60" w:rsidP="00300A01">
            <w:pPr>
              <w:pStyle w:val="Text1"/>
              <w:spacing w:before="0" w:after="0"/>
              <w:ind w:left="0"/>
              <w:rPr>
                <w:sz w:val="12"/>
                <w:szCs w:val="12"/>
              </w:rPr>
            </w:pPr>
            <w:r>
              <w:rPr>
                <w:noProof/>
                <w:sz w:val="12"/>
                <w:szCs w:val="12"/>
              </w:rPr>
              <w:t>EFRR</w:t>
            </w:r>
          </w:p>
        </w:tc>
        <w:tc>
          <w:tcPr>
            <w:tcW w:w="0" w:type="auto"/>
            <w:shd w:val="clear" w:color="auto" w:fill="auto"/>
          </w:tcPr>
          <w:p w14:paraId="2897A57C" w14:textId="77777777" w:rsidR="008C5CFA" w:rsidRPr="009C3005" w:rsidRDefault="00E82A60" w:rsidP="00300A01">
            <w:pPr>
              <w:pStyle w:val="Text1"/>
              <w:spacing w:before="0" w:after="0"/>
              <w:ind w:left="0"/>
              <w:rPr>
                <w:sz w:val="12"/>
                <w:szCs w:val="12"/>
              </w:rPr>
            </w:pPr>
            <w:r>
              <w:rPr>
                <w:noProof/>
                <w:sz w:val="12"/>
                <w:szCs w:val="12"/>
              </w:rPr>
              <w:t>Słabiej rozwinięte</w:t>
            </w:r>
          </w:p>
        </w:tc>
        <w:tc>
          <w:tcPr>
            <w:tcW w:w="0" w:type="auto"/>
            <w:shd w:val="clear" w:color="auto" w:fill="auto"/>
          </w:tcPr>
          <w:p w14:paraId="5CB456D1" w14:textId="77777777" w:rsidR="008C5CFA" w:rsidRPr="009C3005" w:rsidRDefault="00E82A60" w:rsidP="00300A01">
            <w:pPr>
              <w:pStyle w:val="Text1"/>
              <w:spacing w:before="0" w:after="0"/>
              <w:ind w:left="0"/>
              <w:rPr>
                <w:sz w:val="12"/>
                <w:szCs w:val="12"/>
              </w:rPr>
            </w:pPr>
            <w:r>
              <w:rPr>
                <w:noProof/>
                <w:sz w:val="12"/>
                <w:szCs w:val="12"/>
              </w:rPr>
              <w:t>078</w:t>
            </w:r>
          </w:p>
        </w:tc>
        <w:tc>
          <w:tcPr>
            <w:tcW w:w="0" w:type="auto"/>
            <w:shd w:val="clear" w:color="auto" w:fill="auto"/>
          </w:tcPr>
          <w:p w14:paraId="0D7388CA"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24536056" w14:textId="77777777" w:rsidR="008C5CFA" w:rsidRPr="009C3005" w:rsidRDefault="00E82A60" w:rsidP="00300A01">
            <w:pPr>
              <w:pStyle w:val="Text1"/>
              <w:spacing w:before="0" w:after="0"/>
              <w:ind w:left="0"/>
              <w:rPr>
                <w:sz w:val="12"/>
                <w:szCs w:val="12"/>
              </w:rPr>
            </w:pPr>
            <w:r>
              <w:rPr>
                <w:noProof/>
                <w:sz w:val="12"/>
                <w:szCs w:val="12"/>
              </w:rPr>
              <w:t>03</w:t>
            </w:r>
          </w:p>
        </w:tc>
        <w:tc>
          <w:tcPr>
            <w:tcW w:w="0" w:type="auto"/>
            <w:shd w:val="clear" w:color="auto" w:fill="auto"/>
          </w:tcPr>
          <w:p w14:paraId="2DA38A80"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7605205F" w14:textId="77777777" w:rsidR="008C5CFA" w:rsidRPr="009C3005" w:rsidRDefault="00E82A60" w:rsidP="00300A01">
            <w:pPr>
              <w:pStyle w:val="Text1"/>
              <w:spacing w:before="0" w:after="0"/>
              <w:ind w:left="0"/>
              <w:rPr>
                <w:sz w:val="12"/>
                <w:szCs w:val="12"/>
              </w:rPr>
            </w:pPr>
            <w:r>
              <w:rPr>
                <w:noProof/>
                <w:sz w:val="12"/>
                <w:szCs w:val="12"/>
              </w:rPr>
              <w:t>02</w:t>
            </w:r>
          </w:p>
        </w:tc>
        <w:tc>
          <w:tcPr>
            <w:tcW w:w="0" w:type="auto"/>
            <w:shd w:val="clear" w:color="auto" w:fill="auto"/>
          </w:tcPr>
          <w:p w14:paraId="3DB7CE7A" w14:textId="77777777" w:rsidR="008C5CFA" w:rsidRPr="009C3005" w:rsidRDefault="00E82A60" w:rsidP="00300A01">
            <w:pPr>
              <w:pStyle w:val="Text1"/>
              <w:spacing w:before="0" w:after="0"/>
              <w:ind w:left="0"/>
              <w:rPr>
                <w:sz w:val="12"/>
                <w:szCs w:val="12"/>
              </w:rPr>
            </w:pPr>
            <w:r>
              <w:rPr>
                <w:sz w:val="12"/>
                <w:szCs w:val="12"/>
              </w:rPr>
              <w:t xml:space="preserve"> </w:t>
            </w:r>
          </w:p>
        </w:tc>
        <w:tc>
          <w:tcPr>
            <w:tcW w:w="0" w:type="auto"/>
            <w:shd w:val="clear" w:color="auto" w:fill="auto"/>
          </w:tcPr>
          <w:p w14:paraId="4F7902CC" w14:textId="77777777" w:rsidR="008C5CFA" w:rsidRPr="009C3005" w:rsidRDefault="00E82A60" w:rsidP="00300A01">
            <w:pPr>
              <w:pStyle w:val="Text1"/>
              <w:spacing w:before="0" w:after="0"/>
              <w:ind w:left="0"/>
              <w:rPr>
                <w:sz w:val="12"/>
                <w:szCs w:val="12"/>
              </w:rPr>
            </w:pPr>
            <w:r>
              <w:rPr>
                <w:noProof/>
                <w:sz w:val="12"/>
                <w:szCs w:val="12"/>
              </w:rPr>
              <w:t>18</w:t>
            </w:r>
          </w:p>
        </w:tc>
        <w:tc>
          <w:tcPr>
            <w:tcW w:w="0" w:type="auto"/>
            <w:shd w:val="clear" w:color="auto" w:fill="auto"/>
          </w:tcPr>
          <w:p w14:paraId="706D3C33" w14:textId="77777777" w:rsidR="008C5CFA" w:rsidRPr="009C3005" w:rsidRDefault="00E82A60" w:rsidP="00300A01">
            <w:pPr>
              <w:pStyle w:val="Text1"/>
              <w:spacing w:before="0" w:after="0"/>
              <w:ind w:left="0"/>
              <w:rPr>
                <w:sz w:val="12"/>
                <w:szCs w:val="12"/>
              </w:rPr>
            </w:pPr>
            <w:r>
              <w:rPr>
                <w:noProof/>
                <w:sz w:val="12"/>
                <w:szCs w:val="12"/>
              </w:rPr>
              <w:t>PL33</w:t>
            </w:r>
          </w:p>
        </w:tc>
        <w:tc>
          <w:tcPr>
            <w:tcW w:w="0" w:type="auto"/>
            <w:shd w:val="clear" w:color="auto" w:fill="auto"/>
          </w:tcPr>
          <w:p w14:paraId="29AB668B" w14:textId="77777777" w:rsidR="008C5CFA" w:rsidRPr="009C3005" w:rsidRDefault="00E82A60" w:rsidP="00300A01">
            <w:pPr>
              <w:pStyle w:val="Text1"/>
              <w:spacing w:before="0" w:after="0"/>
              <w:ind w:left="0"/>
              <w:jc w:val="right"/>
              <w:rPr>
                <w:sz w:val="12"/>
                <w:szCs w:val="12"/>
              </w:rPr>
            </w:pPr>
            <w:r w:rsidRPr="009C3005">
              <w:rPr>
                <w:noProof/>
                <w:sz w:val="12"/>
                <w:szCs w:val="12"/>
              </w:rPr>
              <w:t>4 732 123,73</w:t>
            </w:r>
          </w:p>
        </w:tc>
        <w:tc>
          <w:tcPr>
            <w:tcW w:w="0" w:type="auto"/>
            <w:shd w:val="clear" w:color="auto" w:fill="auto"/>
          </w:tcPr>
          <w:p w14:paraId="2F899945" w14:textId="77777777" w:rsidR="008C5CFA" w:rsidRPr="009C3005" w:rsidRDefault="00E82A60" w:rsidP="00300A01">
            <w:pPr>
              <w:pStyle w:val="Text1"/>
              <w:spacing w:before="0" w:after="0"/>
              <w:ind w:left="0"/>
              <w:jc w:val="right"/>
              <w:rPr>
                <w:sz w:val="12"/>
                <w:szCs w:val="12"/>
              </w:rPr>
            </w:pPr>
            <w:r w:rsidRPr="009C3005">
              <w:rPr>
                <w:noProof/>
                <w:sz w:val="12"/>
                <w:szCs w:val="12"/>
              </w:rPr>
              <w:t>4 732 123,73</w:t>
            </w:r>
          </w:p>
        </w:tc>
        <w:tc>
          <w:tcPr>
            <w:tcW w:w="0" w:type="auto"/>
            <w:shd w:val="clear" w:color="auto" w:fill="auto"/>
          </w:tcPr>
          <w:p w14:paraId="4CC9BD70" w14:textId="77777777" w:rsidR="008C5CFA" w:rsidRPr="009C3005" w:rsidRDefault="00E82A60" w:rsidP="00300A01">
            <w:pPr>
              <w:pStyle w:val="Text1"/>
              <w:spacing w:before="0" w:after="0"/>
              <w:ind w:left="0"/>
              <w:jc w:val="right"/>
              <w:rPr>
                <w:sz w:val="12"/>
                <w:szCs w:val="12"/>
              </w:rPr>
            </w:pPr>
            <w:r w:rsidRPr="009C3005">
              <w:rPr>
                <w:noProof/>
                <w:sz w:val="12"/>
                <w:szCs w:val="12"/>
              </w:rPr>
              <w:t>201 847,23</w:t>
            </w:r>
          </w:p>
        </w:tc>
        <w:tc>
          <w:tcPr>
            <w:tcW w:w="0" w:type="auto"/>
            <w:shd w:val="clear" w:color="auto" w:fill="auto"/>
          </w:tcPr>
          <w:p w14:paraId="72755590" w14:textId="77777777" w:rsidR="008C5CFA" w:rsidRPr="009C3005" w:rsidRDefault="00E82A60" w:rsidP="00300A01">
            <w:pPr>
              <w:pStyle w:val="Text1"/>
              <w:spacing w:before="0" w:after="0"/>
              <w:ind w:left="0"/>
              <w:jc w:val="right"/>
              <w:rPr>
                <w:sz w:val="12"/>
                <w:szCs w:val="12"/>
              </w:rPr>
            </w:pPr>
            <w:r w:rsidRPr="009C3005">
              <w:rPr>
                <w:noProof/>
                <w:sz w:val="12"/>
                <w:szCs w:val="12"/>
              </w:rPr>
              <w:t>6</w:t>
            </w:r>
          </w:p>
        </w:tc>
      </w:tr>
      <w:tr w:rsidR="006B2EC1" w14:paraId="3BAD0276" w14:textId="77777777" w:rsidTr="0047688D">
        <w:tc>
          <w:tcPr>
            <w:tcW w:w="0" w:type="auto"/>
            <w:shd w:val="clear" w:color="auto" w:fill="auto"/>
          </w:tcPr>
          <w:p w14:paraId="0243F239" w14:textId="77777777" w:rsidR="008C5CFA" w:rsidRPr="009C3005" w:rsidRDefault="00E82A60" w:rsidP="00300A01">
            <w:pPr>
              <w:pStyle w:val="Text1"/>
              <w:spacing w:before="0" w:after="0"/>
              <w:ind w:left="0"/>
              <w:rPr>
                <w:sz w:val="12"/>
                <w:szCs w:val="12"/>
              </w:rPr>
            </w:pPr>
            <w:r>
              <w:rPr>
                <w:noProof/>
                <w:sz w:val="14"/>
                <w:szCs w:val="14"/>
                <w:lang w:val="fr-BE"/>
              </w:rPr>
              <w:t>7</w:t>
            </w:r>
          </w:p>
        </w:tc>
        <w:tc>
          <w:tcPr>
            <w:tcW w:w="0" w:type="auto"/>
            <w:shd w:val="clear" w:color="auto" w:fill="auto"/>
          </w:tcPr>
          <w:p w14:paraId="03B02869" w14:textId="77777777" w:rsidR="008C5CFA" w:rsidRPr="009C3005" w:rsidRDefault="00E82A60" w:rsidP="00300A01">
            <w:pPr>
              <w:pStyle w:val="Text1"/>
              <w:spacing w:before="0" w:after="0"/>
              <w:ind w:left="0"/>
              <w:rPr>
                <w:sz w:val="12"/>
                <w:szCs w:val="12"/>
              </w:rPr>
            </w:pPr>
            <w:r>
              <w:rPr>
                <w:noProof/>
                <w:sz w:val="12"/>
                <w:szCs w:val="12"/>
              </w:rPr>
              <w:t>EFRR</w:t>
            </w:r>
          </w:p>
        </w:tc>
        <w:tc>
          <w:tcPr>
            <w:tcW w:w="0" w:type="auto"/>
            <w:shd w:val="clear" w:color="auto" w:fill="auto"/>
          </w:tcPr>
          <w:p w14:paraId="180B045D" w14:textId="77777777" w:rsidR="008C5CFA" w:rsidRPr="009C3005" w:rsidRDefault="00E82A60" w:rsidP="00300A01">
            <w:pPr>
              <w:pStyle w:val="Text1"/>
              <w:spacing w:before="0" w:after="0"/>
              <w:ind w:left="0"/>
              <w:rPr>
                <w:sz w:val="12"/>
                <w:szCs w:val="12"/>
              </w:rPr>
            </w:pPr>
            <w:r>
              <w:rPr>
                <w:noProof/>
                <w:sz w:val="12"/>
                <w:szCs w:val="12"/>
              </w:rPr>
              <w:t>Słabiej rozwinięte</w:t>
            </w:r>
          </w:p>
        </w:tc>
        <w:tc>
          <w:tcPr>
            <w:tcW w:w="0" w:type="auto"/>
            <w:shd w:val="clear" w:color="auto" w:fill="auto"/>
          </w:tcPr>
          <w:p w14:paraId="79B32170" w14:textId="77777777" w:rsidR="008C5CFA" w:rsidRPr="009C3005" w:rsidRDefault="00E82A60" w:rsidP="00300A01">
            <w:pPr>
              <w:pStyle w:val="Text1"/>
              <w:spacing w:before="0" w:after="0"/>
              <w:ind w:left="0"/>
              <w:rPr>
                <w:sz w:val="12"/>
                <w:szCs w:val="12"/>
              </w:rPr>
            </w:pPr>
            <w:r>
              <w:rPr>
                <w:noProof/>
                <w:sz w:val="12"/>
                <w:szCs w:val="12"/>
              </w:rPr>
              <w:t>079</w:t>
            </w:r>
          </w:p>
        </w:tc>
        <w:tc>
          <w:tcPr>
            <w:tcW w:w="0" w:type="auto"/>
            <w:shd w:val="clear" w:color="auto" w:fill="auto"/>
          </w:tcPr>
          <w:p w14:paraId="6816C972"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4D3B1778"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6F003680"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7637B985" w14:textId="77777777" w:rsidR="008C5CFA" w:rsidRPr="009C3005" w:rsidRDefault="00E82A60" w:rsidP="00300A01">
            <w:pPr>
              <w:pStyle w:val="Text1"/>
              <w:spacing w:before="0" w:after="0"/>
              <w:ind w:left="0"/>
              <w:rPr>
                <w:sz w:val="12"/>
                <w:szCs w:val="12"/>
              </w:rPr>
            </w:pPr>
            <w:r>
              <w:rPr>
                <w:noProof/>
                <w:sz w:val="12"/>
                <w:szCs w:val="12"/>
              </w:rPr>
              <w:t>02</w:t>
            </w:r>
          </w:p>
        </w:tc>
        <w:tc>
          <w:tcPr>
            <w:tcW w:w="0" w:type="auto"/>
            <w:shd w:val="clear" w:color="auto" w:fill="auto"/>
          </w:tcPr>
          <w:p w14:paraId="52D5083E" w14:textId="77777777" w:rsidR="008C5CFA" w:rsidRPr="009C3005" w:rsidRDefault="00E82A60" w:rsidP="00300A01">
            <w:pPr>
              <w:pStyle w:val="Text1"/>
              <w:spacing w:before="0" w:after="0"/>
              <w:ind w:left="0"/>
              <w:rPr>
                <w:sz w:val="12"/>
                <w:szCs w:val="12"/>
              </w:rPr>
            </w:pPr>
            <w:r>
              <w:rPr>
                <w:sz w:val="12"/>
                <w:szCs w:val="12"/>
              </w:rPr>
              <w:t xml:space="preserve"> </w:t>
            </w:r>
          </w:p>
        </w:tc>
        <w:tc>
          <w:tcPr>
            <w:tcW w:w="0" w:type="auto"/>
            <w:shd w:val="clear" w:color="auto" w:fill="auto"/>
          </w:tcPr>
          <w:p w14:paraId="51AA2623" w14:textId="77777777" w:rsidR="008C5CFA" w:rsidRPr="009C3005" w:rsidRDefault="00E82A60" w:rsidP="00300A01">
            <w:pPr>
              <w:pStyle w:val="Text1"/>
              <w:spacing w:before="0" w:after="0"/>
              <w:ind w:left="0"/>
              <w:rPr>
                <w:sz w:val="12"/>
                <w:szCs w:val="12"/>
              </w:rPr>
            </w:pPr>
            <w:r>
              <w:rPr>
                <w:noProof/>
                <w:sz w:val="12"/>
                <w:szCs w:val="12"/>
              </w:rPr>
              <w:t>18</w:t>
            </w:r>
          </w:p>
        </w:tc>
        <w:tc>
          <w:tcPr>
            <w:tcW w:w="0" w:type="auto"/>
            <w:shd w:val="clear" w:color="auto" w:fill="auto"/>
          </w:tcPr>
          <w:p w14:paraId="0785F0F9" w14:textId="77777777" w:rsidR="008C5CFA" w:rsidRPr="009C3005" w:rsidRDefault="00E82A60" w:rsidP="00300A01">
            <w:pPr>
              <w:pStyle w:val="Text1"/>
              <w:spacing w:before="0" w:after="0"/>
              <w:ind w:left="0"/>
              <w:rPr>
                <w:sz w:val="12"/>
                <w:szCs w:val="12"/>
              </w:rPr>
            </w:pPr>
            <w:r>
              <w:rPr>
                <w:noProof/>
                <w:sz w:val="12"/>
                <w:szCs w:val="12"/>
              </w:rPr>
              <w:t>PL33</w:t>
            </w:r>
          </w:p>
        </w:tc>
        <w:tc>
          <w:tcPr>
            <w:tcW w:w="0" w:type="auto"/>
            <w:shd w:val="clear" w:color="auto" w:fill="auto"/>
          </w:tcPr>
          <w:p w14:paraId="387A3548" w14:textId="77777777" w:rsidR="008C5CFA" w:rsidRPr="009C3005" w:rsidRDefault="00E82A60" w:rsidP="00300A01">
            <w:pPr>
              <w:pStyle w:val="Text1"/>
              <w:spacing w:before="0" w:after="0"/>
              <w:ind w:left="0"/>
              <w:jc w:val="right"/>
              <w:rPr>
                <w:sz w:val="12"/>
                <w:szCs w:val="12"/>
              </w:rPr>
            </w:pPr>
            <w:r w:rsidRPr="009C3005">
              <w:rPr>
                <w:noProof/>
                <w:sz w:val="12"/>
                <w:szCs w:val="12"/>
              </w:rPr>
              <w:t>761 296,78</w:t>
            </w:r>
          </w:p>
        </w:tc>
        <w:tc>
          <w:tcPr>
            <w:tcW w:w="0" w:type="auto"/>
            <w:shd w:val="clear" w:color="auto" w:fill="auto"/>
          </w:tcPr>
          <w:p w14:paraId="435AE72B" w14:textId="77777777" w:rsidR="008C5CFA" w:rsidRPr="009C3005" w:rsidRDefault="00E82A60" w:rsidP="00300A01">
            <w:pPr>
              <w:pStyle w:val="Text1"/>
              <w:spacing w:before="0" w:after="0"/>
              <w:ind w:left="0"/>
              <w:jc w:val="right"/>
              <w:rPr>
                <w:sz w:val="12"/>
                <w:szCs w:val="12"/>
              </w:rPr>
            </w:pPr>
            <w:r w:rsidRPr="009C3005">
              <w:rPr>
                <w:noProof/>
                <w:sz w:val="12"/>
                <w:szCs w:val="12"/>
              </w:rPr>
              <w:t>761 296,78</w:t>
            </w:r>
          </w:p>
        </w:tc>
        <w:tc>
          <w:tcPr>
            <w:tcW w:w="0" w:type="auto"/>
            <w:shd w:val="clear" w:color="auto" w:fill="auto"/>
          </w:tcPr>
          <w:p w14:paraId="11633890" w14:textId="77777777" w:rsidR="008C5CFA" w:rsidRPr="009C3005" w:rsidRDefault="00E82A60" w:rsidP="00300A01">
            <w:pPr>
              <w:pStyle w:val="Text1"/>
              <w:spacing w:before="0" w:after="0"/>
              <w:ind w:left="0"/>
              <w:jc w:val="right"/>
              <w:rPr>
                <w:sz w:val="12"/>
                <w:szCs w:val="12"/>
              </w:rPr>
            </w:pPr>
            <w:r w:rsidRPr="009C3005">
              <w:rPr>
                <w:noProof/>
                <w:sz w:val="12"/>
                <w:szCs w:val="12"/>
              </w:rPr>
              <w:t>12 019,64</w:t>
            </w:r>
          </w:p>
        </w:tc>
        <w:tc>
          <w:tcPr>
            <w:tcW w:w="0" w:type="auto"/>
            <w:shd w:val="clear" w:color="auto" w:fill="auto"/>
          </w:tcPr>
          <w:p w14:paraId="267D9AEB" w14:textId="77777777" w:rsidR="008C5CFA" w:rsidRPr="009C3005" w:rsidRDefault="00E82A60" w:rsidP="00300A01">
            <w:pPr>
              <w:pStyle w:val="Text1"/>
              <w:spacing w:before="0" w:after="0"/>
              <w:ind w:left="0"/>
              <w:jc w:val="right"/>
              <w:rPr>
                <w:sz w:val="12"/>
                <w:szCs w:val="12"/>
              </w:rPr>
            </w:pPr>
            <w:r w:rsidRPr="009C3005">
              <w:rPr>
                <w:noProof/>
                <w:sz w:val="12"/>
                <w:szCs w:val="12"/>
              </w:rPr>
              <w:t>1</w:t>
            </w:r>
          </w:p>
        </w:tc>
      </w:tr>
      <w:tr w:rsidR="006B2EC1" w14:paraId="63B74D76" w14:textId="77777777" w:rsidTr="0047688D">
        <w:tc>
          <w:tcPr>
            <w:tcW w:w="0" w:type="auto"/>
            <w:shd w:val="clear" w:color="auto" w:fill="auto"/>
          </w:tcPr>
          <w:p w14:paraId="77444194" w14:textId="77777777" w:rsidR="008C5CFA" w:rsidRPr="009C3005" w:rsidRDefault="00E82A60" w:rsidP="00300A01">
            <w:pPr>
              <w:pStyle w:val="Text1"/>
              <w:spacing w:before="0" w:after="0"/>
              <w:ind w:left="0"/>
              <w:rPr>
                <w:sz w:val="12"/>
                <w:szCs w:val="12"/>
              </w:rPr>
            </w:pPr>
            <w:r>
              <w:rPr>
                <w:noProof/>
                <w:sz w:val="14"/>
                <w:szCs w:val="14"/>
                <w:lang w:val="fr-BE"/>
              </w:rPr>
              <w:t>7</w:t>
            </w:r>
          </w:p>
        </w:tc>
        <w:tc>
          <w:tcPr>
            <w:tcW w:w="0" w:type="auto"/>
            <w:shd w:val="clear" w:color="auto" w:fill="auto"/>
          </w:tcPr>
          <w:p w14:paraId="1094CD5E" w14:textId="77777777" w:rsidR="008C5CFA" w:rsidRPr="009C3005" w:rsidRDefault="00E82A60" w:rsidP="00300A01">
            <w:pPr>
              <w:pStyle w:val="Text1"/>
              <w:spacing w:before="0" w:after="0"/>
              <w:ind w:left="0"/>
              <w:rPr>
                <w:sz w:val="12"/>
                <w:szCs w:val="12"/>
              </w:rPr>
            </w:pPr>
            <w:r>
              <w:rPr>
                <w:noProof/>
                <w:sz w:val="12"/>
                <w:szCs w:val="12"/>
              </w:rPr>
              <w:t>EFRR</w:t>
            </w:r>
          </w:p>
        </w:tc>
        <w:tc>
          <w:tcPr>
            <w:tcW w:w="0" w:type="auto"/>
            <w:shd w:val="clear" w:color="auto" w:fill="auto"/>
          </w:tcPr>
          <w:p w14:paraId="379759B4" w14:textId="77777777" w:rsidR="008C5CFA" w:rsidRPr="009C3005" w:rsidRDefault="00E82A60" w:rsidP="00300A01">
            <w:pPr>
              <w:pStyle w:val="Text1"/>
              <w:spacing w:before="0" w:after="0"/>
              <w:ind w:left="0"/>
              <w:rPr>
                <w:sz w:val="12"/>
                <w:szCs w:val="12"/>
              </w:rPr>
            </w:pPr>
            <w:r>
              <w:rPr>
                <w:noProof/>
                <w:sz w:val="12"/>
                <w:szCs w:val="12"/>
              </w:rPr>
              <w:t>Słabiej rozwinięte</w:t>
            </w:r>
          </w:p>
        </w:tc>
        <w:tc>
          <w:tcPr>
            <w:tcW w:w="0" w:type="auto"/>
            <w:shd w:val="clear" w:color="auto" w:fill="auto"/>
          </w:tcPr>
          <w:p w14:paraId="44591DF7" w14:textId="77777777" w:rsidR="008C5CFA" w:rsidRPr="009C3005" w:rsidRDefault="00E82A60" w:rsidP="00300A01">
            <w:pPr>
              <w:pStyle w:val="Text1"/>
              <w:spacing w:before="0" w:after="0"/>
              <w:ind w:left="0"/>
              <w:rPr>
                <w:sz w:val="12"/>
                <w:szCs w:val="12"/>
              </w:rPr>
            </w:pPr>
            <w:r>
              <w:rPr>
                <w:noProof/>
                <w:sz w:val="12"/>
                <w:szCs w:val="12"/>
              </w:rPr>
              <w:t>079</w:t>
            </w:r>
          </w:p>
        </w:tc>
        <w:tc>
          <w:tcPr>
            <w:tcW w:w="0" w:type="auto"/>
            <w:shd w:val="clear" w:color="auto" w:fill="auto"/>
          </w:tcPr>
          <w:p w14:paraId="29DF62D3"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79DF072D" w14:textId="77777777" w:rsidR="008C5CFA" w:rsidRPr="009C3005" w:rsidRDefault="00E82A60" w:rsidP="00300A01">
            <w:pPr>
              <w:pStyle w:val="Text1"/>
              <w:spacing w:before="0" w:after="0"/>
              <w:ind w:left="0"/>
              <w:rPr>
                <w:sz w:val="12"/>
                <w:szCs w:val="12"/>
              </w:rPr>
            </w:pPr>
            <w:r>
              <w:rPr>
                <w:noProof/>
                <w:sz w:val="12"/>
                <w:szCs w:val="12"/>
              </w:rPr>
              <w:t>02</w:t>
            </w:r>
          </w:p>
        </w:tc>
        <w:tc>
          <w:tcPr>
            <w:tcW w:w="0" w:type="auto"/>
            <w:shd w:val="clear" w:color="auto" w:fill="auto"/>
          </w:tcPr>
          <w:p w14:paraId="7C2330F8"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6D1AA263" w14:textId="77777777" w:rsidR="008C5CFA" w:rsidRPr="009C3005" w:rsidRDefault="00E82A60" w:rsidP="00300A01">
            <w:pPr>
              <w:pStyle w:val="Text1"/>
              <w:spacing w:before="0" w:after="0"/>
              <w:ind w:left="0"/>
              <w:rPr>
                <w:sz w:val="12"/>
                <w:szCs w:val="12"/>
              </w:rPr>
            </w:pPr>
            <w:r>
              <w:rPr>
                <w:noProof/>
                <w:sz w:val="12"/>
                <w:szCs w:val="12"/>
              </w:rPr>
              <w:t>02</w:t>
            </w:r>
          </w:p>
        </w:tc>
        <w:tc>
          <w:tcPr>
            <w:tcW w:w="0" w:type="auto"/>
            <w:shd w:val="clear" w:color="auto" w:fill="auto"/>
          </w:tcPr>
          <w:p w14:paraId="31D49964" w14:textId="77777777" w:rsidR="008C5CFA" w:rsidRPr="009C3005" w:rsidRDefault="00E82A60" w:rsidP="00300A01">
            <w:pPr>
              <w:pStyle w:val="Text1"/>
              <w:spacing w:before="0" w:after="0"/>
              <w:ind w:left="0"/>
              <w:rPr>
                <w:sz w:val="12"/>
                <w:szCs w:val="12"/>
              </w:rPr>
            </w:pPr>
            <w:r>
              <w:rPr>
                <w:sz w:val="12"/>
                <w:szCs w:val="12"/>
              </w:rPr>
              <w:t xml:space="preserve"> </w:t>
            </w:r>
          </w:p>
        </w:tc>
        <w:tc>
          <w:tcPr>
            <w:tcW w:w="0" w:type="auto"/>
            <w:shd w:val="clear" w:color="auto" w:fill="auto"/>
          </w:tcPr>
          <w:p w14:paraId="440D5AAF" w14:textId="77777777" w:rsidR="008C5CFA" w:rsidRPr="009C3005" w:rsidRDefault="00E82A60" w:rsidP="00300A01">
            <w:pPr>
              <w:pStyle w:val="Text1"/>
              <w:spacing w:before="0" w:after="0"/>
              <w:ind w:left="0"/>
              <w:rPr>
                <w:sz w:val="12"/>
                <w:szCs w:val="12"/>
              </w:rPr>
            </w:pPr>
            <w:r>
              <w:rPr>
                <w:noProof/>
                <w:sz w:val="12"/>
                <w:szCs w:val="12"/>
              </w:rPr>
              <w:t>18</w:t>
            </w:r>
          </w:p>
        </w:tc>
        <w:tc>
          <w:tcPr>
            <w:tcW w:w="0" w:type="auto"/>
            <w:shd w:val="clear" w:color="auto" w:fill="auto"/>
          </w:tcPr>
          <w:p w14:paraId="4F5CBEBE" w14:textId="77777777" w:rsidR="008C5CFA" w:rsidRPr="009C3005" w:rsidRDefault="00E82A60" w:rsidP="00300A01">
            <w:pPr>
              <w:pStyle w:val="Text1"/>
              <w:spacing w:before="0" w:after="0"/>
              <w:ind w:left="0"/>
              <w:rPr>
                <w:sz w:val="12"/>
                <w:szCs w:val="12"/>
              </w:rPr>
            </w:pPr>
            <w:r>
              <w:rPr>
                <w:noProof/>
                <w:sz w:val="12"/>
                <w:szCs w:val="12"/>
              </w:rPr>
              <w:t>PL33</w:t>
            </w:r>
          </w:p>
        </w:tc>
        <w:tc>
          <w:tcPr>
            <w:tcW w:w="0" w:type="auto"/>
            <w:shd w:val="clear" w:color="auto" w:fill="auto"/>
          </w:tcPr>
          <w:p w14:paraId="340E70B1" w14:textId="77777777" w:rsidR="008C5CFA" w:rsidRPr="009C3005" w:rsidRDefault="00E82A60" w:rsidP="00300A01">
            <w:pPr>
              <w:pStyle w:val="Text1"/>
              <w:spacing w:before="0" w:after="0"/>
              <w:ind w:left="0"/>
              <w:jc w:val="right"/>
              <w:rPr>
                <w:sz w:val="12"/>
                <w:szCs w:val="12"/>
              </w:rPr>
            </w:pPr>
            <w:r w:rsidRPr="009C3005">
              <w:rPr>
                <w:noProof/>
                <w:sz w:val="12"/>
                <w:szCs w:val="12"/>
              </w:rPr>
              <w:t>1 630 379,87</w:t>
            </w:r>
          </w:p>
        </w:tc>
        <w:tc>
          <w:tcPr>
            <w:tcW w:w="0" w:type="auto"/>
            <w:shd w:val="clear" w:color="auto" w:fill="auto"/>
          </w:tcPr>
          <w:p w14:paraId="2905FED5" w14:textId="77777777" w:rsidR="008C5CFA" w:rsidRPr="009C3005" w:rsidRDefault="00E82A60" w:rsidP="00300A01">
            <w:pPr>
              <w:pStyle w:val="Text1"/>
              <w:spacing w:before="0" w:after="0"/>
              <w:ind w:left="0"/>
              <w:jc w:val="right"/>
              <w:rPr>
                <w:sz w:val="12"/>
                <w:szCs w:val="12"/>
              </w:rPr>
            </w:pPr>
            <w:r w:rsidRPr="009C3005">
              <w:rPr>
                <w:noProof/>
                <w:sz w:val="12"/>
                <w:szCs w:val="12"/>
              </w:rPr>
              <w:t>1 630 379,87</w:t>
            </w:r>
          </w:p>
        </w:tc>
        <w:tc>
          <w:tcPr>
            <w:tcW w:w="0" w:type="auto"/>
            <w:shd w:val="clear" w:color="auto" w:fill="auto"/>
          </w:tcPr>
          <w:p w14:paraId="660E049F" w14:textId="77777777" w:rsidR="008C5CFA" w:rsidRPr="009C3005" w:rsidRDefault="00E82A60" w:rsidP="00300A01">
            <w:pPr>
              <w:pStyle w:val="Text1"/>
              <w:spacing w:before="0" w:after="0"/>
              <w:ind w:left="0"/>
              <w:jc w:val="right"/>
              <w:rPr>
                <w:sz w:val="12"/>
                <w:szCs w:val="12"/>
              </w:rPr>
            </w:pPr>
            <w:r w:rsidRPr="009C3005">
              <w:rPr>
                <w:noProof/>
                <w:sz w:val="12"/>
                <w:szCs w:val="12"/>
              </w:rPr>
              <w:t>460 822,64</w:t>
            </w:r>
          </w:p>
        </w:tc>
        <w:tc>
          <w:tcPr>
            <w:tcW w:w="0" w:type="auto"/>
            <w:shd w:val="clear" w:color="auto" w:fill="auto"/>
          </w:tcPr>
          <w:p w14:paraId="42D44065" w14:textId="77777777" w:rsidR="008C5CFA" w:rsidRPr="009C3005" w:rsidRDefault="00E82A60" w:rsidP="00300A01">
            <w:pPr>
              <w:pStyle w:val="Text1"/>
              <w:spacing w:before="0" w:after="0"/>
              <w:ind w:left="0"/>
              <w:jc w:val="right"/>
              <w:rPr>
                <w:sz w:val="12"/>
                <w:szCs w:val="12"/>
              </w:rPr>
            </w:pPr>
            <w:r w:rsidRPr="009C3005">
              <w:rPr>
                <w:noProof/>
                <w:sz w:val="12"/>
                <w:szCs w:val="12"/>
              </w:rPr>
              <w:t>2</w:t>
            </w:r>
          </w:p>
        </w:tc>
      </w:tr>
      <w:tr w:rsidR="006B2EC1" w14:paraId="7F374BC5" w14:textId="77777777" w:rsidTr="0047688D">
        <w:tc>
          <w:tcPr>
            <w:tcW w:w="0" w:type="auto"/>
            <w:shd w:val="clear" w:color="auto" w:fill="auto"/>
          </w:tcPr>
          <w:p w14:paraId="0A23A1DB" w14:textId="77777777" w:rsidR="008C5CFA" w:rsidRPr="009C3005" w:rsidRDefault="00E82A60" w:rsidP="00300A01">
            <w:pPr>
              <w:pStyle w:val="Text1"/>
              <w:spacing w:before="0" w:after="0"/>
              <w:ind w:left="0"/>
              <w:rPr>
                <w:sz w:val="12"/>
                <w:szCs w:val="12"/>
              </w:rPr>
            </w:pPr>
            <w:r>
              <w:rPr>
                <w:noProof/>
                <w:sz w:val="14"/>
                <w:szCs w:val="14"/>
                <w:lang w:val="fr-BE"/>
              </w:rPr>
              <w:t>7</w:t>
            </w:r>
          </w:p>
        </w:tc>
        <w:tc>
          <w:tcPr>
            <w:tcW w:w="0" w:type="auto"/>
            <w:shd w:val="clear" w:color="auto" w:fill="auto"/>
          </w:tcPr>
          <w:p w14:paraId="1404F6F3" w14:textId="77777777" w:rsidR="008C5CFA" w:rsidRPr="009C3005" w:rsidRDefault="00E82A60" w:rsidP="00300A01">
            <w:pPr>
              <w:pStyle w:val="Text1"/>
              <w:spacing w:before="0" w:after="0"/>
              <w:ind w:left="0"/>
              <w:rPr>
                <w:sz w:val="12"/>
                <w:szCs w:val="12"/>
              </w:rPr>
            </w:pPr>
            <w:r>
              <w:rPr>
                <w:noProof/>
                <w:sz w:val="12"/>
                <w:szCs w:val="12"/>
              </w:rPr>
              <w:t>EFRR</w:t>
            </w:r>
          </w:p>
        </w:tc>
        <w:tc>
          <w:tcPr>
            <w:tcW w:w="0" w:type="auto"/>
            <w:shd w:val="clear" w:color="auto" w:fill="auto"/>
          </w:tcPr>
          <w:p w14:paraId="1D827816" w14:textId="77777777" w:rsidR="008C5CFA" w:rsidRPr="009C3005" w:rsidRDefault="00E82A60" w:rsidP="00300A01">
            <w:pPr>
              <w:pStyle w:val="Text1"/>
              <w:spacing w:before="0" w:after="0"/>
              <w:ind w:left="0"/>
              <w:rPr>
                <w:sz w:val="12"/>
                <w:szCs w:val="12"/>
              </w:rPr>
            </w:pPr>
            <w:r>
              <w:rPr>
                <w:noProof/>
                <w:sz w:val="12"/>
                <w:szCs w:val="12"/>
              </w:rPr>
              <w:t>Słabiej rozwinięte</w:t>
            </w:r>
          </w:p>
        </w:tc>
        <w:tc>
          <w:tcPr>
            <w:tcW w:w="0" w:type="auto"/>
            <w:shd w:val="clear" w:color="auto" w:fill="auto"/>
          </w:tcPr>
          <w:p w14:paraId="31459320" w14:textId="77777777" w:rsidR="008C5CFA" w:rsidRPr="009C3005" w:rsidRDefault="00E82A60" w:rsidP="00300A01">
            <w:pPr>
              <w:pStyle w:val="Text1"/>
              <w:spacing w:before="0" w:after="0"/>
              <w:ind w:left="0"/>
              <w:rPr>
                <w:sz w:val="12"/>
                <w:szCs w:val="12"/>
              </w:rPr>
            </w:pPr>
            <w:r>
              <w:rPr>
                <w:noProof/>
                <w:sz w:val="12"/>
                <w:szCs w:val="12"/>
              </w:rPr>
              <w:t>081</w:t>
            </w:r>
          </w:p>
        </w:tc>
        <w:tc>
          <w:tcPr>
            <w:tcW w:w="0" w:type="auto"/>
            <w:shd w:val="clear" w:color="auto" w:fill="auto"/>
          </w:tcPr>
          <w:p w14:paraId="5529EFC4"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44E0146F"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637CC52E"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44A57444" w14:textId="77777777" w:rsidR="008C5CFA" w:rsidRPr="009C3005" w:rsidRDefault="00E82A60" w:rsidP="00300A01">
            <w:pPr>
              <w:pStyle w:val="Text1"/>
              <w:spacing w:before="0" w:after="0"/>
              <w:ind w:left="0"/>
              <w:rPr>
                <w:sz w:val="12"/>
                <w:szCs w:val="12"/>
              </w:rPr>
            </w:pPr>
            <w:r>
              <w:rPr>
                <w:noProof/>
                <w:sz w:val="12"/>
                <w:szCs w:val="12"/>
              </w:rPr>
              <w:t>02</w:t>
            </w:r>
          </w:p>
        </w:tc>
        <w:tc>
          <w:tcPr>
            <w:tcW w:w="0" w:type="auto"/>
            <w:shd w:val="clear" w:color="auto" w:fill="auto"/>
          </w:tcPr>
          <w:p w14:paraId="1A6A2687" w14:textId="77777777" w:rsidR="008C5CFA" w:rsidRPr="009C3005" w:rsidRDefault="00E82A60" w:rsidP="00300A01">
            <w:pPr>
              <w:pStyle w:val="Text1"/>
              <w:spacing w:before="0" w:after="0"/>
              <w:ind w:left="0"/>
              <w:rPr>
                <w:sz w:val="12"/>
                <w:szCs w:val="12"/>
              </w:rPr>
            </w:pPr>
            <w:r>
              <w:rPr>
                <w:sz w:val="12"/>
                <w:szCs w:val="12"/>
              </w:rPr>
              <w:t xml:space="preserve"> </w:t>
            </w:r>
          </w:p>
        </w:tc>
        <w:tc>
          <w:tcPr>
            <w:tcW w:w="0" w:type="auto"/>
            <w:shd w:val="clear" w:color="auto" w:fill="auto"/>
          </w:tcPr>
          <w:p w14:paraId="7554CA01" w14:textId="77777777" w:rsidR="008C5CFA" w:rsidRPr="009C3005" w:rsidRDefault="00E82A60" w:rsidP="00300A01">
            <w:pPr>
              <w:pStyle w:val="Text1"/>
              <w:spacing w:before="0" w:after="0"/>
              <w:ind w:left="0"/>
              <w:rPr>
                <w:sz w:val="12"/>
                <w:szCs w:val="12"/>
              </w:rPr>
            </w:pPr>
            <w:r>
              <w:rPr>
                <w:noProof/>
                <w:sz w:val="12"/>
                <w:szCs w:val="12"/>
              </w:rPr>
              <w:t>20</w:t>
            </w:r>
          </w:p>
        </w:tc>
        <w:tc>
          <w:tcPr>
            <w:tcW w:w="0" w:type="auto"/>
            <w:shd w:val="clear" w:color="auto" w:fill="auto"/>
          </w:tcPr>
          <w:p w14:paraId="50D674B5" w14:textId="77777777" w:rsidR="008C5CFA" w:rsidRPr="009C3005" w:rsidRDefault="00E82A60" w:rsidP="00300A01">
            <w:pPr>
              <w:pStyle w:val="Text1"/>
              <w:spacing w:before="0" w:after="0"/>
              <w:ind w:left="0"/>
              <w:rPr>
                <w:sz w:val="12"/>
                <w:szCs w:val="12"/>
              </w:rPr>
            </w:pPr>
            <w:r>
              <w:rPr>
                <w:noProof/>
                <w:sz w:val="12"/>
                <w:szCs w:val="12"/>
              </w:rPr>
              <w:t>PL33</w:t>
            </w:r>
          </w:p>
        </w:tc>
        <w:tc>
          <w:tcPr>
            <w:tcW w:w="0" w:type="auto"/>
            <w:shd w:val="clear" w:color="auto" w:fill="auto"/>
          </w:tcPr>
          <w:p w14:paraId="4E4836C5" w14:textId="77777777" w:rsidR="008C5CFA" w:rsidRPr="009C3005" w:rsidRDefault="00E82A60" w:rsidP="00300A01">
            <w:pPr>
              <w:pStyle w:val="Text1"/>
              <w:spacing w:before="0" w:after="0"/>
              <w:ind w:left="0"/>
              <w:jc w:val="right"/>
              <w:rPr>
                <w:sz w:val="12"/>
                <w:szCs w:val="12"/>
              </w:rPr>
            </w:pPr>
            <w:r w:rsidRPr="009C3005">
              <w:rPr>
                <w:noProof/>
                <w:sz w:val="12"/>
                <w:szCs w:val="12"/>
              </w:rPr>
              <w:t>1 189 009,96</w:t>
            </w:r>
          </w:p>
        </w:tc>
        <w:tc>
          <w:tcPr>
            <w:tcW w:w="0" w:type="auto"/>
            <w:shd w:val="clear" w:color="auto" w:fill="auto"/>
          </w:tcPr>
          <w:p w14:paraId="4369F670" w14:textId="77777777" w:rsidR="008C5CFA" w:rsidRPr="009C3005" w:rsidRDefault="00E82A60" w:rsidP="00300A01">
            <w:pPr>
              <w:pStyle w:val="Text1"/>
              <w:spacing w:before="0" w:after="0"/>
              <w:ind w:left="0"/>
              <w:jc w:val="right"/>
              <w:rPr>
                <w:sz w:val="12"/>
                <w:szCs w:val="12"/>
              </w:rPr>
            </w:pPr>
            <w:r w:rsidRPr="009C3005">
              <w:rPr>
                <w:noProof/>
                <w:sz w:val="12"/>
                <w:szCs w:val="12"/>
              </w:rPr>
              <w:t>1 062 145,12</w:t>
            </w:r>
          </w:p>
        </w:tc>
        <w:tc>
          <w:tcPr>
            <w:tcW w:w="0" w:type="auto"/>
            <w:shd w:val="clear" w:color="auto" w:fill="auto"/>
          </w:tcPr>
          <w:p w14:paraId="531FFC7B" w14:textId="77777777" w:rsidR="008C5CFA" w:rsidRPr="009C3005" w:rsidRDefault="00E82A60" w:rsidP="00300A01">
            <w:pPr>
              <w:pStyle w:val="Text1"/>
              <w:spacing w:before="0" w:after="0"/>
              <w:ind w:left="0"/>
              <w:jc w:val="right"/>
              <w:rPr>
                <w:sz w:val="12"/>
                <w:szCs w:val="12"/>
              </w:rPr>
            </w:pPr>
            <w:r w:rsidRPr="009C3005">
              <w:rPr>
                <w:noProof/>
                <w:sz w:val="12"/>
                <w:szCs w:val="12"/>
              </w:rPr>
              <w:t>439 865,98</w:t>
            </w:r>
          </w:p>
        </w:tc>
        <w:tc>
          <w:tcPr>
            <w:tcW w:w="0" w:type="auto"/>
            <w:shd w:val="clear" w:color="auto" w:fill="auto"/>
          </w:tcPr>
          <w:p w14:paraId="0D25D3B4" w14:textId="77777777" w:rsidR="008C5CFA" w:rsidRPr="009C3005" w:rsidRDefault="00E82A60" w:rsidP="00300A01">
            <w:pPr>
              <w:pStyle w:val="Text1"/>
              <w:spacing w:before="0" w:after="0"/>
              <w:ind w:left="0"/>
              <w:jc w:val="right"/>
              <w:rPr>
                <w:sz w:val="12"/>
                <w:szCs w:val="12"/>
              </w:rPr>
            </w:pPr>
            <w:r w:rsidRPr="009C3005">
              <w:rPr>
                <w:noProof/>
                <w:sz w:val="12"/>
                <w:szCs w:val="12"/>
              </w:rPr>
              <w:t>2</w:t>
            </w:r>
          </w:p>
        </w:tc>
      </w:tr>
      <w:tr w:rsidR="006B2EC1" w14:paraId="30D055AB" w14:textId="77777777" w:rsidTr="0047688D">
        <w:tc>
          <w:tcPr>
            <w:tcW w:w="0" w:type="auto"/>
            <w:shd w:val="clear" w:color="auto" w:fill="auto"/>
          </w:tcPr>
          <w:p w14:paraId="0762CB4B" w14:textId="77777777" w:rsidR="008C5CFA" w:rsidRPr="009C3005" w:rsidRDefault="00E82A60" w:rsidP="00300A01">
            <w:pPr>
              <w:pStyle w:val="Text1"/>
              <w:spacing w:before="0" w:after="0"/>
              <w:ind w:left="0"/>
              <w:rPr>
                <w:sz w:val="12"/>
                <w:szCs w:val="12"/>
              </w:rPr>
            </w:pPr>
            <w:r>
              <w:rPr>
                <w:noProof/>
                <w:sz w:val="14"/>
                <w:szCs w:val="14"/>
                <w:lang w:val="fr-BE"/>
              </w:rPr>
              <w:t>7</w:t>
            </w:r>
          </w:p>
        </w:tc>
        <w:tc>
          <w:tcPr>
            <w:tcW w:w="0" w:type="auto"/>
            <w:shd w:val="clear" w:color="auto" w:fill="auto"/>
          </w:tcPr>
          <w:p w14:paraId="741DA022" w14:textId="77777777" w:rsidR="008C5CFA" w:rsidRPr="009C3005" w:rsidRDefault="00E82A60" w:rsidP="00300A01">
            <w:pPr>
              <w:pStyle w:val="Text1"/>
              <w:spacing w:before="0" w:after="0"/>
              <w:ind w:left="0"/>
              <w:rPr>
                <w:sz w:val="12"/>
                <w:szCs w:val="12"/>
              </w:rPr>
            </w:pPr>
            <w:r>
              <w:rPr>
                <w:noProof/>
                <w:sz w:val="12"/>
                <w:szCs w:val="12"/>
              </w:rPr>
              <w:t>EFRR</w:t>
            </w:r>
          </w:p>
        </w:tc>
        <w:tc>
          <w:tcPr>
            <w:tcW w:w="0" w:type="auto"/>
            <w:shd w:val="clear" w:color="auto" w:fill="auto"/>
          </w:tcPr>
          <w:p w14:paraId="2F9538C8" w14:textId="77777777" w:rsidR="008C5CFA" w:rsidRPr="009C3005" w:rsidRDefault="00E82A60" w:rsidP="00300A01">
            <w:pPr>
              <w:pStyle w:val="Text1"/>
              <w:spacing w:before="0" w:after="0"/>
              <w:ind w:left="0"/>
              <w:rPr>
                <w:sz w:val="12"/>
                <w:szCs w:val="12"/>
              </w:rPr>
            </w:pPr>
            <w:r>
              <w:rPr>
                <w:noProof/>
                <w:sz w:val="12"/>
                <w:szCs w:val="12"/>
              </w:rPr>
              <w:t>Słabiej rozwinięte</w:t>
            </w:r>
          </w:p>
        </w:tc>
        <w:tc>
          <w:tcPr>
            <w:tcW w:w="0" w:type="auto"/>
            <w:shd w:val="clear" w:color="auto" w:fill="auto"/>
          </w:tcPr>
          <w:p w14:paraId="0AB01106" w14:textId="77777777" w:rsidR="008C5CFA" w:rsidRPr="009C3005" w:rsidRDefault="00E82A60" w:rsidP="00300A01">
            <w:pPr>
              <w:pStyle w:val="Text1"/>
              <w:spacing w:before="0" w:after="0"/>
              <w:ind w:left="0"/>
              <w:rPr>
                <w:sz w:val="12"/>
                <w:szCs w:val="12"/>
              </w:rPr>
            </w:pPr>
            <w:r>
              <w:rPr>
                <w:noProof/>
                <w:sz w:val="12"/>
                <w:szCs w:val="12"/>
              </w:rPr>
              <w:t>081</w:t>
            </w:r>
          </w:p>
        </w:tc>
        <w:tc>
          <w:tcPr>
            <w:tcW w:w="0" w:type="auto"/>
            <w:shd w:val="clear" w:color="auto" w:fill="auto"/>
          </w:tcPr>
          <w:p w14:paraId="1F89C7C8"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03C20AC4" w14:textId="77777777" w:rsidR="008C5CFA" w:rsidRPr="009C3005" w:rsidRDefault="00E82A60" w:rsidP="00300A01">
            <w:pPr>
              <w:pStyle w:val="Text1"/>
              <w:spacing w:before="0" w:after="0"/>
              <w:ind w:left="0"/>
              <w:rPr>
                <w:sz w:val="12"/>
                <w:szCs w:val="12"/>
              </w:rPr>
            </w:pPr>
            <w:r>
              <w:rPr>
                <w:noProof/>
                <w:sz w:val="12"/>
                <w:szCs w:val="12"/>
              </w:rPr>
              <w:t>02</w:t>
            </w:r>
          </w:p>
        </w:tc>
        <w:tc>
          <w:tcPr>
            <w:tcW w:w="0" w:type="auto"/>
            <w:shd w:val="clear" w:color="auto" w:fill="auto"/>
          </w:tcPr>
          <w:p w14:paraId="4623C324"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65020FEC" w14:textId="77777777" w:rsidR="008C5CFA" w:rsidRPr="009C3005" w:rsidRDefault="00E82A60" w:rsidP="00300A01">
            <w:pPr>
              <w:pStyle w:val="Text1"/>
              <w:spacing w:before="0" w:after="0"/>
              <w:ind w:left="0"/>
              <w:rPr>
                <w:sz w:val="12"/>
                <w:szCs w:val="12"/>
              </w:rPr>
            </w:pPr>
            <w:r>
              <w:rPr>
                <w:noProof/>
                <w:sz w:val="12"/>
                <w:szCs w:val="12"/>
              </w:rPr>
              <w:t>02</w:t>
            </w:r>
          </w:p>
        </w:tc>
        <w:tc>
          <w:tcPr>
            <w:tcW w:w="0" w:type="auto"/>
            <w:shd w:val="clear" w:color="auto" w:fill="auto"/>
          </w:tcPr>
          <w:p w14:paraId="1B29B464" w14:textId="77777777" w:rsidR="008C5CFA" w:rsidRPr="009C3005" w:rsidRDefault="00E82A60" w:rsidP="00300A01">
            <w:pPr>
              <w:pStyle w:val="Text1"/>
              <w:spacing w:before="0" w:after="0"/>
              <w:ind w:left="0"/>
              <w:rPr>
                <w:sz w:val="12"/>
                <w:szCs w:val="12"/>
              </w:rPr>
            </w:pPr>
            <w:r>
              <w:rPr>
                <w:sz w:val="12"/>
                <w:szCs w:val="12"/>
              </w:rPr>
              <w:t xml:space="preserve"> </w:t>
            </w:r>
          </w:p>
        </w:tc>
        <w:tc>
          <w:tcPr>
            <w:tcW w:w="0" w:type="auto"/>
            <w:shd w:val="clear" w:color="auto" w:fill="auto"/>
          </w:tcPr>
          <w:p w14:paraId="29FA2A22" w14:textId="77777777" w:rsidR="008C5CFA" w:rsidRPr="009C3005" w:rsidRDefault="00E82A60" w:rsidP="00300A01">
            <w:pPr>
              <w:pStyle w:val="Text1"/>
              <w:spacing w:before="0" w:after="0"/>
              <w:ind w:left="0"/>
              <w:rPr>
                <w:sz w:val="12"/>
                <w:szCs w:val="12"/>
              </w:rPr>
            </w:pPr>
            <w:r>
              <w:rPr>
                <w:noProof/>
                <w:sz w:val="12"/>
                <w:szCs w:val="12"/>
              </w:rPr>
              <w:t>20</w:t>
            </w:r>
          </w:p>
        </w:tc>
        <w:tc>
          <w:tcPr>
            <w:tcW w:w="0" w:type="auto"/>
            <w:shd w:val="clear" w:color="auto" w:fill="auto"/>
          </w:tcPr>
          <w:p w14:paraId="7D2F30F7" w14:textId="77777777" w:rsidR="008C5CFA" w:rsidRPr="009C3005" w:rsidRDefault="00E82A60" w:rsidP="00300A01">
            <w:pPr>
              <w:pStyle w:val="Text1"/>
              <w:spacing w:before="0" w:after="0"/>
              <w:ind w:left="0"/>
              <w:rPr>
                <w:sz w:val="12"/>
                <w:szCs w:val="12"/>
              </w:rPr>
            </w:pPr>
            <w:r>
              <w:rPr>
                <w:noProof/>
                <w:sz w:val="12"/>
                <w:szCs w:val="12"/>
              </w:rPr>
              <w:t>PL33</w:t>
            </w:r>
          </w:p>
        </w:tc>
        <w:tc>
          <w:tcPr>
            <w:tcW w:w="0" w:type="auto"/>
            <w:shd w:val="clear" w:color="auto" w:fill="auto"/>
          </w:tcPr>
          <w:p w14:paraId="16767309" w14:textId="77777777" w:rsidR="008C5CFA" w:rsidRPr="009C3005" w:rsidRDefault="00E82A60" w:rsidP="00300A01">
            <w:pPr>
              <w:pStyle w:val="Text1"/>
              <w:spacing w:before="0" w:after="0"/>
              <w:ind w:left="0"/>
              <w:jc w:val="right"/>
              <w:rPr>
                <w:sz w:val="12"/>
                <w:szCs w:val="12"/>
              </w:rPr>
            </w:pPr>
            <w:r w:rsidRPr="009C3005">
              <w:rPr>
                <w:noProof/>
                <w:sz w:val="12"/>
                <w:szCs w:val="12"/>
              </w:rPr>
              <w:t>13 188 795,54</w:t>
            </w:r>
          </w:p>
        </w:tc>
        <w:tc>
          <w:tcPr>
            <w:tcW w:w="0" w:type="auto"/>
            <w:shd w:val="clear" w:color="auto" w:fill="auto"/>
          </w:tcPr>
          <w:p w14:paraId="5927EB1F" w14:textId="77777777" w:rsidR="008C5CFA" w:rsidRPr="009C3005" w:rsidRDefault="00E82A60" w:rsidP="00300A01">
            <w:pPr>
              <w:pStyle w:val="Text1"/>
              <w:spacing w:before="0" w:after="0"/>
              <w:ind w:left="0"/>
              <w:jc w:val="right"/>
              <w:rPr>
                <w:sz w:val="12"/>
                <w:szCs w:val="12"/>
              </w:rPr>
            </w:pPr>
            <w:r w:rsidRPr="009C3005">
              <w:rPr>
                <w:noProof/>
                <w:sz w:val="12"/>
                <w:szCs w:val="12"/>
              </w:rPr>
              <w:t>13 158 191,80</w:t>
            </w:r>
          </w:p>
        </w:tc>
        <w:tc>
          <w:tcPr>
            <w:tcW w:w="0" w:type="auto"/>
            <w:shd w:val="clear" w:color="auto" w:fill="auto"/>
          </w:tcPr>
          <w:p w14:paraId="6B73EFB5" w14:textId="77777777" w:rsidR="008C5CFA" w:rsidRPr="009C3005" w:rsidRDefault="00E82A60" w:rsidP="00300A01">
            <w:pPr>
              <w:pStyle w:val="Text1"/>
              <w:spacing w:before="0" w:after="0"/>
              <w:ind w:left="0"/>
              <w:jc w:val="right"/>
              <w:rPr>
                <w:sz w:val="12"/>
                <w:szCs w:val="12"/>
              </w:rPr>
            </w:pPr>
            <w:r w:rsidRPr="009C3005">
              <w:rPr>
                <w:noProof/>
                <w:sz w:val="12"/>
                <w:szCs w:val="12"/>
              </w:rPr>
              <w:t>529 428,75</w:t>
            </w:r>
          </w:p>
        </w:tc>
        <w:tc>
          <w:tcPr>
            <w:tcW w:w="0" w:type="auto"/>
            <w:shd w:val="clear" w:color="auto" w:fill="auto"/>
          </w:tcPr>
          <w:p w14:paraId="59BFDEB9" w14:textId="77777777" w:rsidR="008C5CFA" w:rsidRPr="009C3005" w:rsidRDefault="00E82A60" w:rsidP="00300A01">
            <w:pPr>
              <w:pStyle w:val="Text1"/>
              <w:spacing w:before="0" w:after="0"/>
              <w:ind w:left="0"/>
              <w:jc w:val="right"/>
              <w:rPr>
                <w:sz w:val="12"/>
                <w:szCs w:val="12"/>
              </w:rPr>
            </w:pPr>
            <w:r w:rsidRPr="009C3005">
              <w:rPr>
                <w:noProof/>
                <w:sz w:val="12"/>
                <w:szCs w:val="12"/>
              </w:rPr>
              <w:t>2</w:t>
            </w:r>
          </w:p>
        </w:tc>
      </w:tr>
      <w:tr w:rsidR="006B2EC1" w14:paraId="40702A84" w14:textId="77777777" w:rsidTr="0047688D">
        <w:tc>
          <w:tcPr>
            <w:tcW w:w="0" w:type="auto"/>
            <w:shd w:val="clear" w:color="auto" w:fill="auto"/>
          </w:tcPr>
          <w:p w14:paraId="437361A1" w14:textId="77777777" w:rsidR="008C5CFA" w:rsidRPr="009C3005" w:rsidRDefault="00E82A60" w:rsidP="00300A01">
            <w:pPr>
              <w:pStyle w:val="Text1"/>
              <w:spacing w:before="0" w:after="0"/>
              <w:ind w:left="0"/>
              <w:rPr>
                <w:sz w:val="12"/>
                <w:szCs w:val="12"/>
              </w:rPr>
            </w:pPr>
            <w:r>
              <w:rPr>
                <w:noProof/>
                <w:sz w:val="14"/>
                <w:szCs w:val="14"/>
                <w:lang w:val="fr-BE"/>
              </w:rPr>
              <w:t>7</w:t>
            </w:r>
          </w:p>
        </w:tc>
        <w:tc>
          <w:tcPr>
            <w:tcW w:w="0" w:type="auto"/>
            <w:shd w:val="clear" w:color="auto" w:fill="auto"/>
          </w:tcPr>
          <w:p w14:paraId="3C753588" w14:textId="77777777" w:rsidR="008C5CFA" w:rsidRPr="009C3005" w:rsidRDefault="00E82A60" w:rsidP="00300A01">
            <w:pPr>
              <w:pStyle w:val="Text1"/>
              <w:spacing w:before="0" w:after="0"/>
              <w:ind w:left="0"/>
              <w:rPr>
                <w:sz w:val="12"/>
                <w:szCs w:val="12"/>
              </w:rPr>
            </w:pPr>
            <w:r>
              <w:rPr>
                <w:noProof/>
                <w:sz w:val="12"/>
                <w:szCs w:val="12"/>
              </w:rPr>
              <w:t>EFRR</w:t>
            </w:r>
          </w:p>
        </w:tc>
        <w:tc>
          <w:tcPr>
            <w:tcW w:w="0" w:type="auto"/>
            <w:shd w:val="clear" w:color="auto" w:fill="auto"/>
          </w:tcPr>
          <w:p w14:paraId="7793664A" w14:textId="77777777" w:rsidR="008C5CFA" w:rsidRPr="009C3005" w:rsidRDefault="00E82A60" w:rsidP="00300A01">
            <w:pPr>
              <w:pStyle w:val="Text1"/>
              <w:spacing w:before="0" w:after="0"/>
              <w:ind w:left="0"/>
              <w:rPr>
                <w:sz w:val="12"/>
                <w:szCs w:val="12"/>
              </w:rPr>
            </w:pPr>
            <w:r>
              <w:rPr>
                <w:noProof/>
                <w:sz w:val="12"/>
                <w:szCs w:val="12"/>
              </w:rPr>
              <w:t>Słabiej rozwinięte</w:t>
            </w:r>
          </w:p>
        </w:tc>
        <w:tc>
          <w:tcPr>
            <w:tcW w:w="0" w:type="auto"/>
            <w:shd w:val="clear" w:color="auto" w:fill="auto"/>
          </w:tcPr>
          <w:p w14:paraId="6CC81473" w14:textId="77777777" w:rsidR="008C5CFA" w:rsidRPr="009C3005" w:rsidRDefault="00E82A60" w:rsidP="00300A01">
            <w:pPr>
              <w:pStyle w:val="Text1"/>
              <w:spacing w:before="0" w:after="0"/>
              <w:ind w:left="0"/>
              <w:rPr>
                <w:sz w:val="12"/>
                <w:szCs w:val="12"/>
              </w:rPr>
            </w:pPr>
            <w:r>
              <w:rPr>
                <w:noProof/>
                <w:sz w:val="12"/>
                <w:szCs w:val="12"/>
              </w:rPr>
              <w:t>081</w:t>
            </w:r>
          </w:p>
        </w:tc>
        <w:tc>
          <w:tcPr>
            <w:tcW w:w="0" w:type="auto"/>
            <w:shd w:val="clear" w:color="auto" w:fill="auto"/>
          </w:tcPr>
          <w:p w14:paraId="52C56B73"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7AB7F55D" w14:textId="77777777" w:rsidR="008C5CFA" w:rsidRPr="009C3005" w:rsidRDefault="00E82A60" w:rsidP="00300A01">
            <w:pPr>
              <w:pStyle w:val="Text1"/>
              <w:spacing w:before="0" w:after="0"/>
              <w:ind w:left="0"/>
              <w:rPr>
                <w:sz w:val="12"/>
                <w:szCs w:val="12"/>
              </w:rPr>
            </w:pPr>
            <w:r>
              <w:rPr>
                <w:noProof/>
                <w:sz w:val="12"/>
                <w:szCs w:val="12"/>
              </w:rPr>
              <w:t>03</w:t>
            </w:r>
          </w:p>
        </w:tc>
        <w:tc>
          <w:tcPr>
            <w:tcW w:w="0" w:type="auto"/>
            <w:shd w:val="clear" w:color="auto" w:fill="auto"/>
          </w:tcPr>
          <w:p w14:paraId="7E4CE1C6"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667E65D5" w14:textId="77777777" w:rsidR="008C5CFA" w:rsidRPr="009C3005" w:rsidRDefault="00E82A60" w:rsidP="00300A01">
            <w:pPr>
              <w:pStyle w:val="Text1"/>
              <w:spacing w:before="0" w:after="0"/>
              <w:ind w:left="0"/>
              <w:rPr>
                <w:sz w:val="12"/>
                <w:szCs w:val="12"/>
              </w:rPr>
            </w:pPr>
            <w:r>
              <w:rPr>
                <w:noProof/>
                <w:sz w:val="12"/>
                <w:szCs w:val="12"/>
              </w:rPr>
              <w:t>02</w:t>
            </w:r>
          </w:p>
        </w:tc>
        <w:tc>
          <w:tcPr>
            <w:tcW w:w="0" w:type="auto"/>
            <w:shd w:val="clear" w:color="auto" w:fill="auto"/>
          </w:tcPr>
          <w:p w14:paraId="1A1594CB" w14:textId="77777777" w:rsidR="008C5CFA" w:rsidRPr="009C3005" w:rsidRDefault="00E82A60" w:rsidP="00300A01">
            <w:pPr>
              <w:pStyle w:val="Text1"/>
              <w:spacing w:before="0" w:after="0"/>
              <w:ind w:left="0"/>
              <w:rPr>
                <w:sz w:val="12"/>
                <w:szCs w:val="12"/>
              </w:rPr>
            </w:pPr>
            <w:r>
              <w:rPr>
                <w:sz w:val="12"/>
                <w:szCs w:val="12"/>
              </w:rPr>
              <w:t xml:space="preserve"> </w:t>
            </w:r>
          </w:p>
        </w:tc>
        <w:tc>
          <w:tcPr>
            <w:tcW w:w="0" w:type="auto"/>
            <w:shd w:val="clear" w:color="auto" w:fill="auto"/>
          </w:tcPr>
          <w:p w14:paraId="48F9DF40" w14:textId="77777777" w:rsidR="008C5CFA" w:rsidRPr="009C3005" w:rsidRDefault="00E82A60" w:rsidP="00300A01">
            <w:pPr>
              <w:pStyle w:val="Text1"/>
              <w:spacing w:before="0" w:after="0"/>
              <w:ind w:left="0"/>
              <w:rPr>
                <w:sz w:val="12"/>
                <w:szCs w:val="12"/>
              </w:rPr>
            </w:pPr>
            <w:r>
              <w:rPr>
                <w:noProof/>
                <w:sz w:val="12"/>
                <w:szCs w:val="12"/>
              </w:rPr>
              <w:t>20</w:t>
            </w:r>
          </w:p>
        </w:tc>
        <w:tc>
          <w:tcPr>
            <w:tcW w:w="0" w:type="auto"/>
            <w:shd w:val="clear" w:color="auto" w:fill="auto"/>
          </w:tcPr>
          <w:p w14:paraId="34F67A3C" w14:textId="77777777" w:rsidR="008C5CFA" w:rsidRPr="009C3005" w:rsidRDefault="00E82A60" w:rsidP="00300A01">
            <w:pPr>
              <w:pStyle w:val="Text1"/>
              <w:spacing w:before="0" w:after="0"/>
              <w:ind w:left="0"/>
              <w:rPr>
                <w:sz w:val="12"/>
                <w:szCs w:val="12"/>
              </w:rPr>
            </w:pPr>
            <w:r>
              <w:rPr>
                <w:noProof/>
                <w:sz w:val="12"/>
                <w:szCs w:val="12"/>
              </w:rPr>
              <w:t>PL33</w:t>
            </w:r>
          </w:p>
        </w:tc>
        <w:tc>
          <w:tcPr>
            <w:tcW w:w="0" w:type="auto"/>
            <w:shd w:val="clear" w:color="auto" w:fill="auto"/>
          </w:tcPr>
          <w:p w14:paraId="6EBC1D6C" w14:textId="77777777" w:rsidR="008C5CFA" w:rsidRPr="009C3005" w:rsidRDefault="00E82A60" w:rsidP="00300A01">
            <w:pPr>
              <w:pStyle w:val="Text1"/>
              <w:spacing w:before="0" w:after="0"/>
              <w:ind w:left="0"/>
              <w:jc w:val="right"/>
              <w:rPr>
                <w:sz w:val="12"/>
                <w:szCs w:val="12"/>
              </w:rPr>
            </w:pPr>
            <w:r w:rsidRPr="009C3005">
              <w:rPr>
                <w:noProof/>
                <w:sz w:val="12"/>
                <w:szCs w:val="12"/>
              </w:rPr>
              <w:t>496 002,39</w:t>
            </w:r>
          </w:p>
        </w:tc>
        <w:tc>
          <w:tcPr>
            <w:tcW w:w="0" w:type="auto"/>
            <w:shd w:val="clear" w:color="auto" w:fill="auto"/>
          </w:tcPr>
          <w:p w14:paraId="41C198F8" w14:textId="77777777" w:rsidR="008C5CFA" w:rsidRPr="009C3005" w:rsidRDefault="00E82A60" w:rsidP="00300A01">
            <w:pPr>
              <w:pStyle w:val="Text1"/>
              <w:spacing w:before="0" w:after="0"/>
              <w:ind w:left="0"/>
              <w:jc w:val="right"/>
              <w:rPr>
                <w:sz w:val="12"/>
                <w:szCs w:val="12"/>
              </w:rPr>
            </w:pPr>
            <w:r w:rsidRPr="009C3005">
              <w:rPr>
                <w:noProof/>
                <w:sz w:val="12"/>
                <w:szCs w:val="12"/>
              </w:rPr>
              <w:t>396 843,45</w:t>
            </w:r>
          </w:p>
        </w:tc>
        <w:tc>
          <w:tcPr>
            <w:tcW w:w="0" w:type="auto"/>
            <w:shd w:val="clear" w:color="auto" w:fill="auto"/>
          </w:tcPr>
          <w:p w14:paraId="3B1628C0" w14:textId="77777777" w:rsidR="008C5CFA" w:rsidRPr="009C3005" w:rsidRDefault="00E82A60" w:rsidP="00300A01">
            <w:pPr>
              <w:pStyle w:val="Text1"/>
              <w:spacing w:before="0" w:after="0"/>
              <w:ind w:left="0"/>
              <w:jc w:val="right"/>
              <w:rPr>
                <w:sz w:val="12"/>
                <w:szCs w:val="12"/>
              </w:rPr>
            </w:pPr>
            <w:r w:rsidRPr="009C3005">
              <w:rPr>
                <w:noProof/>
                <w:sz w:val="12"/>
                <w:szCs w:val="12"/>
              </w:rPr>
              <w:t>93 181,98</w:t>
            </w:r>
          </w:p>
        </w:tc>
        <w:tc>
          <w:tcPr>
            <w:tcW w:w="0" w:type="auto"/>
            <w:shd w:val="clear" w:color="auto" w:fill="auto"/>
          </w:tcPr>
          <w:p w14:paraId="5C26329A" w14:textId="77777777" w:rsidR="008C5CFA" w:rsidRPr="009C3005" w:rsidRDefault="00E82A60" w:rsidP="00300A01">
            <w:pPr>
              <w:pStyle w:val="Text1"/>
              <w:spacing w:before="0" w:after="0"/>
              <w:ind w:left="0"/>
              <w:jc w:val="right"/>
              <w:rPr>
                <w:sz w:val="12"/>
                <w:szCs w:val="12"/>
              </w:rPr>
            </w:pPr>
            <w:r w:rsidRPr="009C3005">
              <w:rPr>
                <w:noProof/>
                <w:sz w:val="12"/>
                <w:szCs w:val="12"/>
              </w:rPr>
              <w:t>4</w:t>
            </w:r>
          </w:p>
        </w:tc>
      </w:tr>
      <w:tr w:rsidR="006B2EC1" w14:paraId="0B51DE2E" w14:textId="77777777" w:rsidTr="0047688D">
        <w:tc>
          <w:tcPr>
            <w:tcW w:w="0" w:type="auto"/>
            <w:shd w:val="clear" w:color="auto" w:fill="auto"/>
          </w:tcPr>
          <w:p w14:paraId="2A1BEB5D" w14:textId="77777777" w:rsidR="008C5CFA" w:rsidRPr="009C3005" w:rsidRDefault="00E82A60" w:rsidP="00300A01">
            <w:pPr>
              <w:pStyle w:val="Text1"/>
              <w:spacing w:before="0" w:after="0"/>
              <w:ind w:left="0"/>
              <w:rPr>
                <w:sz w:val="12"/>
                <w:szCs w:val="12"/>
              </w:rPr>
            </w:pPr>
            <w:r>
              <w:rPr>
                <w:noProof/>
                <w:sz w:val="14"/>
                <w:szCs w:val="14"/>
                <w:lang w:val="fr-BE"/>
              </w:rPr>
              <w:t>7</w:t>
            </w:r>
          </w:p>
        </w:tc>
        <w:tc>
          <w:tcPr>
            <w:tcW w:w="0" w:type="auto"/>
            <w:shd w:val="clear" w:color="auto" w:fill="auto"/>
          </w:tcPr>
          <w:p w14:paraId="0C21075C" w14:textId="77777777" w:rsidR="008C5CFA" w:rsidRPr="009C3005" w:rsidRDefault="00E82A60" w:rsidP="00300A01">
            <w:pPr>
              <w:pStyle w:val="Text1"/>
              <w:spacing w:before="0" w:after="0"/>
              <w:ind w:left="0"/>
              <w:rPr>
                <w:sz w:val="12"/>
                <w:szCs w:val="12"/>
              </w:rPr>
            </w:pPr>
            <w:r>
              <w:rPr>
                <w:noProof/>
                <w:sz w:val="12"/>
                <w:szCs w:val="12"/>
              </w:rPr>
              <w:t>EFRR</w:t>
            </w:r>
          </w:p>
        </w:tc>
        <w:tc>
          <w:tcPr>
            <w:tcW w:w="0" w:type="auto"/>
            <w:shd w:val="clear" w:color="auto" w:fill="auto"/>
          </w:tcPr>
          <w:p w14:paraId="6A240D37" w14:textId="77777777" w:rsidR="008C5CFA" w:rsidRPr="009C3005" w:rsidRDefault="00E82A60" w:rsidP="00300A01">
            <w:pPr>
              <w:pStyle w:val="Text1"/>
              <w:spacing w:before="0" w:after="0"/>
              <w:ind w:left="0"/>
              <w:rPr>
                <w:sz w:val="12"/>
                <w:szCs w:val="12"/>
              </w:rPr>
            </w:pPr>
            <w:r>
              <w:rPr>
                <w:noProof/>
                <w:sz w:val="12"/>
                <w:szCs w:val="12"/>
              </w:rPr>
              <w:t>Słabiej rozwinięte</w:t>
            </w:r>
          </w:p>
        </w:tc>
        <w:tc>
          <w:tcPr>
            <w:tcW w:w="0" w:type="auto"/>
            <w:shd w:val="clear" w:color="auto" w:fill="auto"/>
          </w:tcPr>
          <w:p w14:paraId="041BEB0C" w14:textId="77777777" w:rsidR="008C5CFA" w:rsidRPr="009C3005" w:rsidRDefault="00E82A60" w:rsidP="00300A01">
            <w:pPr>
              <w:pStyle w:val="Text1"/>
              <w:spacing w:before="0" w:after="0"/>
              <w:ind w:left="0"/>
              <w:rPr>
                <w:sz w:val="12"/>
                <w:szCs w:val="12"/>
              </w:rPr>
            </w:pPr>
            <w:r>
              <w:rPr>
                <w:noProof/>
                <w:sz w:val="12"/>
                <w:szCs w:val="12"/>
              </w:rPr>
              <w:t>092</w:t>
            </w:r>
          </w:p>
        </w:tc>
        <w:tc>
          <w:tcPr>
            <w:tcW w:w="0" w:type="auto"/>
            <w:shd w:val="clear" w:color="auto" w:fill="auto"/>
          </w:tcPr>
          <w:p w14:paraId="3E14ECB3"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43C9517D"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1D4806AC"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6F34BB4A" w14:textId="77777777" w:rsidR="008C5CFA" w:rsidRPr="009C3005" w:rsidRDefault="00E82A60" w:rsidP="00300A01">
            <w:pPr>
              <w:pStyle w:val="Text1"/>
              <w:spacing w:before="0" w:after="0"/>
              <w:ind w:left="0"/>
              <w:rPr>
                <w:sz w:val="12"/>
                <w:szCs w:val="12"/>
              </w:rPr>
            </w:pPr>
            <w:r>
              <w:rPr>
                <w:noProof/>
                <w:sz w:val="12"/>
                <w:szCs w:val="12"/>
              </w:rPr>
              <w:t>08</w:t>
            </w:r>
          </w:p>
        </w:tc>
        <w:tc>
          <w:tcPr>
            <w:tcW w:w="0" w:type="auto"/>
            <w:shd w:val="clear" w:color="auto" w:fill="auto"/>
          </w:tcPr>
          <w:p w14:paraId="5501F8AC" w14:textId="77777777" w:rsidR="008C5CFA" w:rsidRPr="009C3005" w:rsidRDefault="00E82A60" w:rsidP="00300A01">
            <w:pPr>
              <w:pStyle w:val="Text1"/>
              <w:spacing w:before="0" w:after="0"/>
              <w:ind w:left="0"/>
              <w:rPr>
                <w:sz w:val="12"/>
                <w:szCs w:val="12"/>
              </w:rPr>
            </w:pPr>
            <w:r>
              <w:rPr>
                <w:sz w:val="12"/>
                <w:szCs w:val="12"/>
              </w:rPr>
              <w:t xml:space="preserve"> </w:t>
            </w:r>
          </w:p>
        </w:tc>
        <w:tc>
          <w:tcPr>
            <w:tcW w:w="0" w:type="auto"/>
            <w:shd w:val="clear" w:color="auto" w:fill="auto"/>
          </w:tcPr>
          <w:p w14:paraId="47ADC2D0" w14:textId="77777777" w:rsidR="008C5CFA" w:rsidRPr="009C3005" w:rsidRDefault="00E82A60" w:rsidP="00300A01">
            <w:pPr>
              <w:pStyle w:val="Text1"/>
              <w:spacing w:before="0" w:after="0"/>
              <w:ind w:left="0"/>
              <w:rPr>
                <w:sz w:val="12"/>
                <w:szCs w:val="12"/>
              </w:rPr>
            </w:pPr>
            <w:r>
              <w:rPr>
                <w:noProof/>
                <w:sz w:val="12"/>
                <w:szCs w:val="12"/>
              </w:rPr>
              <w:t>15</w:t>
            </w:r>
          </w:p>
        </w:tc>
        <w:tc>
          <w:tcPr>
            <w:tcW w:w="0" w:type="auto"/>
            <w:shd w:val="clear" w:color="auto" w:fill="auto"/>
          </w:tcPr>
          <w:p w14:paraId="701787B7" w14:textId="77777777" w:rsidR="008C5CFA" w:rsidRPr="009C3005" w:rsidRDefault="00E82A60" w:rsidP="00300A01">
            <w:pPr>
              <w:pStyle w:val="Text1"/>
              <w:spacing w:before="0" w:after="0"/>
              <w:ind w:left="0"/>
              <w:rPr>
                <w:sz w:val="12"/>
                <w:szCs w:val="12"/>
              </w:rPr>
            </w:pPr>
            <w:r>
              <w:rPr>
                <w:noProof/>
                <w:sz w:val="12"/>
                <w:szCs w:val="12"/>
              </w:rPr>
              <w:t>PL33</w:t>
            </w:r>
          </w:p>
        </w:tc>
        <w:tc>
          <w:tcPr>
            <w:tcW w:w="0" w:type="auto"/>
            <w:shd w:val="clear" w:color="auto" w:fill="auto"/>
          </w:tcPr>
          <w:p w14:paraId="51BE75BC" w14:textId="77777777" w:rsidR="008C5CFA" w:rsidRPr="009C3005" w:rsidRDefault="00E82A60" w:rsidP="00300A01">
            <w:pPr>
              <w:pStyle w:val="Text1"/>
              <w:spacing w:before="0" w:after="0"/>
              <w:ind w:left="0"/>
              <w:jc w:val="right"/>
              <w:rPr>
                <w:sz w:val="12"/>
                <w:szCs w:val="12"/>
              </w:rPr>
            </w:pPr>
            <w:r w:rsidRPr="009C3005">
              <w:rPr>
                <w:noProof/>
                <w:sz w:val="12"/>
                <w:szCs w:val="12"/>
              </w:rPr>
              <w:t>2 034 110,93</w:t>
            </w:r>
          </w:p>
        </w:tc>
        <w:tc>
          <w:tcPr>
            <w:tcW w:w="0" w:type="auto"/>
            <w:shd w:val="clear" w:color="auto" w:fill="auto"/>
          </w:tcPr>
          <w:p w14:paraId="12B789B0" w14:textId="77777777" w:rsidR="008C5CFA" w:rsidRPr="009C3005" w:rsidRDefault="00E82A60" w:rsidP="00300A01">
            <w:pPr>
              <w:pStyle w:val="Text1"/>
              <w:spacing w:before="0" w:after="0"/>
              <w:ind w:left="0"/>
              <w:jc w:val="right"/>
              <w:rPr>
                <w:sz w:val="12"/>
                <w:szCs w:val="12"/>
              </w:rPr>
            </w:pPr>
            <w:r w:rsidRPr="009C3005">
              <w:rPr>
                <w:noProof/>
                <w:sz w:val="12"/>
                <w:szCs w:val="12"/>
              </w:rPr>
              <w:t>915 349,92</w:t>
            </w:r>
          </w:p>
        </w:tc>
        <w:tc>
          <w:tcPr>
            <w:tcW w:w="0" w:type="auto"/>
            <w:shd w:val="clear" w:color="auto" w:fill="auto"/>
          </w:tcPr>
          <w:p w14:paraId="2629D6FE" w14:textId="77777777" w:rsidR="008C5CFA" w:rsidRPr="009C3005" w:rsidRDefault="00E82A60" w:rsidP="00300A01">
            <w:pPr>
              <w:pStyle w:val="Text1"/>
              <w:spacing w:before="0" w:after="0"/>
              <w:ind w:left="0"/>
              <w:jc w:val="right"/>
              <w:rPr>
                <w:sz w:val="12"/>
                <w:szCs w:val="12"/>
              </w:rPr>
            </w:pPr>
            <w:r w:rsidRPr="009C3005">
              <w:rPr>
                <w:noProof/>
                <w:sz w:val="12"/>
                <w:szCs w:val="12"/>
              </w:rPr>
              <w:t>1 783 311,81</w:t>
            </w:r>
          </w:p>
        </w:tc>
        <w:tc>
          <w:tcPr>
            <w:tcW w:w="0" w:type="auto"/>
            <w:shd w:val="clear" w:color="auto" w:fill="auto"/>
          </w:tcPr>
          <w:p w14:paraId="2E298EA3" w14:textId="77777777" w:rsidR="008C5CFA" w:rsidRPr="009C3005" w:rsidRDefault="00E82A60" w:rsidP="00300A01">
            <w:pPr>
              <w:pStyle w:val="Text1"/>
              <w:spacing w:before="0" w:after="0"/>
              <w:ind w:left="0"/>
              <w:jc w:val="right"/>
              <w:rPr>
                <w:sz w:val="12"/>
                <w:szCs w:val="12"/>
              </w:rPr>
            </w:pPr>
            <w:r w:rsidRPr="009C3005">
              <w:rPr>
                <w:noProof/>
                <w:sz w:val="12"/>
                <w:szCs w:val="12"/>
              </w:rPr>
              <w:t>1</w:t>
            </w:r>
          </w:p>
        </w:tc>
      </w:tr>
      <w:tr w:rsidR="006B2EC1" w14:paraId="149077A3" w14:textId="77777777" w:rsidTr="0047688D">
        <w:tc>
          <w:tcPr>
            <w:tcW w:w="0" w:type="auto"/>
            <w:shd w:val="clear" w:color="auto" w:fill="auto"/>
          </w:tcPr>
          <w:p w14:paraId="5EC551D1" w14:textId="77777777" w:rsidR="008C5CFA" w:rsidRPr="009C3005" w:rsidRDefault="00E82A60" w:rsidP="00300A01">
            <w:pPr>
              <w:pStyle w:val="Text1"/>
              <w:spacing w:before="0" w:after="0"/>
              <w:ind w:left="0"/>
              <w:rPr>
                <w:sz w:val="12"/>
                <w:szCs w:val="12"/>
              </w:rPr>
            </w:pPr>
            <w:r>
              <w:rPr>
                <w:noProof/>
                <w:sz w:val="14"/>
                <w:szCs w:val="14"/>
                <w:lang w:val="fr-BE"/>
              </w:rPr>
              <w:t>7</w:t>
            </w:r>
          </w:p>
        </w:tc>
        <w:tc>
          <w:tcPr>
            <w:tcW w:w="0" w:type="auto"/>
            <w:shd w:val="clear" w:color="auto" w:fill="auto"/>
          </w:tcPr>
          <w:p w14:paraId="52E0A73A" w14:textId="77777777" w:rsidR="008C5CFA" w:rsidRPr="009C3005" w:rsidRDefault="00E82A60" w:rsidP="00300A01">
            <w:pPr>
              <w:pStyle w:val="Text1"/>
              <w:spacing w:before="0" w:after="0"/>
              <w:ind w:left="0"/>
              <w:rPr>
                <w:sz w:val="12"/>
                <w:szCs w:val="12"/>
              </w:rPr>
            </w:pPr>
            <w:r>
              <w:rPr>
                <w:noProof/>
                <w:sz w:val="12"/>
                <w:szCs w:val="12"/>
              </w:rPr>
              <w:t>EFRR</w:t>
            </w:r>
          </w:p>
        </w:tc>
        <w:tc>
          <w:tcPr>
            <w:tcW w:w="0" w:type="auto"/>
            <w:shd w:val="clear" w:color="auto" w:fill="auto"/>
          </w:tcPr>
          <w:p w14:paraId="0F7C2FEB" w14:textId="77777777" w:rsidR="008C5CFA" w:rsidRPr="009C3005" w:rsidRDefault="00E82A60" w:rsidP="00300A01">
            <w:pPr>
              <w:pStyle w:val="Text1"/>
              <w:spacing w:before="0" w:after="0"/>
              <w:ind w:left="0"/>
              <w:rPr>
                <w:sz w:val="12"/>
                <w:szCs w:val="12"/>
              </w:rPr>
            </w:pPr>
            <w:r>
              <w:rPr>
                <w:noProof/>
                <w:sz w:val="12"/>
                <w:szCs w:val="12"/>
              </w:rPr>
              <w:t>Słabiej rozwinięte</w:t>
            </w:r>
          </w:p>
        </w:tc>
        <w:tc>
          <w:tcPr>
            <w:tcW w:w="0" w:type="auto"/>
            <w:shd w:val="clear" w:color="auto" w:fill="auto"/>
          </w:tcPr>
          <w:p w14:paraId="2A4707AA" w14:textId="77777777" w:rsidR="008C5CFA" w:rsidRPr="009C3005" w:rsidRDefault="00E82A60" w:rsidP="00300A01">
            <w:pPr>
              <w:pStyle w:val="Text1"/>
              <w:spacing w:before="0" w:after="0"/>
              <w:ind w:left="0"/>
              <w:rPr>
                <w:sz w:val="12"/>
                <w:szCs w:val="12"/>
              </w:rPr>
            </w:pPr>
            <w:r>
              <w:rPr>
                <w:noProof/>
                <w:sz w:val="12"/>
                <w:szCs w:val="12"/>
              </w:rPr>
              <w:t>092</w:t>
            </w:r>
          </w:p>
        </w:tc>
        <w:tc>
          <w:tcPr>
            <w:tcW w:w="0" w:type="auto"/>
            <w:shd w:val="clear" w:color="auto" w:fill="auto"/>
          </w:tcPr>
          <w:p w14:paraId="01FDCE91"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00EA40EF"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35C9C367"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185A2832" w14:textId="77777777" w:rsidR="008C5CFA" w:rsidRPr="009C3005" w:rsidRDefault="00E82A60" w:rsidP="00300A01">
            <w:pPr>
              <w:pStyle w:val="Text1"/>
              <w:spacing w:before="0" w:after="0"/>
              <w:ind w:left="0"/>
              <w:rPr>
                <w:sz w:val="12"/>
                <w:szCs w:val="12"/>
              </w:rPr>
            </w:pPr>
            <w:r>
              <w:rPr>
                <w:noProof/>
                <w:sz w:val="12"/>
                <w:szCs w:val="12"/>
              </w:rPr>
              <w:t>08</w:t>
            </w:r>
          </w:p>
        </w:tc>
        <w:tc>
          <w:tcPr>
            <w:tcW w:w="0" w:type="auto"/>
            <w:shd w:val="clear" w:color="auto" w:fill="auto"/>
          </w:tcPr>
          <w:p w14:paraId="55C4CE78" w14:textId="77777777" w:rsidR="008C5CFA" w:rsidRPr="009C3005" w:rsidRDefault="00E82A60" w:rsidP="00300A01">
            <w:pPr>
              <w:pStyle w:val="Text1"/>
              <w:spacing w:before="0" w:after="0"/>
              <w:ind w:left="0"/>
              <w:rPr>
                <w:sz w:val="12"/>
                <w:szCs w:val="12"/>
              </w:rPr>
            </w:pPr>
            <w:r>
              <w:rPr>
                <w:sz w:val="12"/>
                <w:szCs w:val="12"/>
              </w:rPr>
              <w:t xml:space="preserve"> </w:t>
            </w:r>
          </w:p>
        </w:tc>
        <w:tc>
          <w:tcPr>
            <w:tcW w:w="0" w:type="auto"/>
            <w:shd w:val="clear" w:color="auto" w:fill="auto"/>
          </w:tcPr>
          <w:p w14:paraId="7A31B64B" w14:textId="77777777" w:rsidR="008C5CFA" w:rsidRPr="009C3005" w:rsidRDefault="00E82A60" w:rsidP="00300A01">
            <w:pPr>
              <w:pStyle w:val="Text1"/>
              <w:spacing w:before="0" w:after="0"/>
              <w:ind w:left="0"/>
              <w:rPr>
                <w:sz w:val="12"/>
                <w:szCs w:val="12"/>
              </w:rPr>
            </w:pPr>
            <w:r>
              <w:rPr>
                <w:noProof/>
                <w:sz w:val="12"/>
                <w:szCs w:val="12"/>
              </w:rPr>
              <w:t>18</w:t>
            </w:r>
          </w:p>
        </w:tc>
        <w:tc>
          <w:tcPr>
            <w:tcW w:w="0" w:type="auto"/>
            <w:shd w:val="clear" w:color="auto" w:fill="auto"/>
          </w:tcPr>
          <w:p w14:paraId="602B603E" w14:textId="77777777" w:rsidR="008C5CFA" w:rsidRPr="009C3005" w:rsidRDefault="00E82A60" w:rsidP="00300A01">
            <w:pPr>
              <w:pStyle w:val="Text1"/>
              <w:spacing w:before="0" w:after="0"/>
              <w:ind w:left="0"/>
              <w:rPr>
                <w:sz w:val="12"/>
                <w:szCs w:val="12"/>
              </w:rPr>
            </w:pPr>
            <w:r>
              <w:rPr>
                <w:noProof/>
                <w:sz w:val="12"/>
                <w:szCs w:val="12"/>
              </w:rPr>
              <w:t>PL33</w:t>
            </w:r>
          </w:p>
        </w:tc>
        <w:tc>
          <w:tcPr>
            <w:tcW w:w="0" w:type="auto"/>
            <w:shd w:val="clear" w:color="auto" w:fill="auto"/>
          </w:tcPr>
          <w:p w14:paraId="7B18143E" w14:textId="77777777" w:rsidR="008C5CFA" w:rsidRPr="009C3005" w:rsidRDefault="00E82A60" w:rsidP="00300A01">
            <w:pPr>
              <w:pStyle w:val="Text1"/>
              <w:spacing w:before="0" w:after="0"/>
              <w:ind w:left="0"/>
              <w:jc w:val="right"/>
              <w:rPr>
                <w:sz w:val="12"/>
                <w:szCs w:val="12"/>
              </w:rPr>
            </w:pPr>
            <w:r w:rsidRPr="009C3005">
              <w:rPr>
                <w:noProof/>
                <w:sz w:val="12"/>
                <w:szCs w:val="12"/>
              </w:rPr>
              <w:t>1 748 103,29</w:t>
            </w:r>
          </w:p>
        </w:tc>
        <w:tc>
          <w:tcPr>
            <w:tcW w:w="0" w:type="auto"/>
            <w:shd w:val="clear" w:color="auto" w:fill="auto"/>
          </w:tcPr>
          <w:p w14:paraId="65CD9A0A" w14:textId="77777777" w:rsidR="008C5CFA" w:rsidRPr="009C3005" w:rsidRDefault="00E82A60" w:rsidP="00300A01">
            <w:pPr>
              <w:pStyle w:val="Text1"/>
              <w:spacing w:before="0" w:after="0"/>
              <w:ind w:left="0"/>
              <w:jc w:val="right"/>
              <w:rPr>
                <w:sz w:val="12"/>
                <w:szCs w:val="12"/>
              </w:rPr>
            </w:pPr>
            <w:r w:rsidRPr="009C3005">
              <w:rPr>
                <w:noProof/>
                <w:sz w:val="12"/>
                <w:szCs w:val="12"/>
              </w:rPr>
              <w:t>1 748 103,29</w:t>
            </w:r>
          </w:p>
        </w:tc>
        <w:tc>
          <w:tcPr>
            <w:tcW w:w="0" w:type="auto"/>
            <w:shd w:val="clear" w:color="auto" w:fill="auto"/>
          </w:tcPr>
          <w:p w14:paraId="1B9B53DE" w14:textId="77777777" w:rsidR="008C5CFA" w:rsidRPr="009C3005" w:rsidRDefault="00E82A60" w:rsidP="00300A01">
            <w:pPr>
              <w:pStyle w:val="Text1"/>
              <w:spacing w:before="0" w:after="0"/>
              <w:ind w:left="0"/>
              <w:jc w:val="right"/>
              <w:rPr>
                <w:sz w:val="12"/>
                <w:szCs w:val="12"/>
              </w:rPr>
            </w:pPr>
            <w:r w:rsidRPr="009C3005">
              <w:rPr>
                <w:noProof/>
                <w:sz w:val="12"/>
                <w:szCs w:val="12"/>
              </w:rPr>
              <w:t>1 508 512,93</w:t>
            </w:r>
          </w:p>
        </w:tc>
        <w:tc>
          <w:tcPr>
            <w:tcW w:w="0" w:type="auto"/>
            <w:shd w:val="clear" w:color="auto" w:fill="auto"/>
          </w:tcPr>
          <w:p w14:paraId="30ED2425" w14:textId="77777777" w:rsidR="008C5CFA" w:rsidRPr="009C3005" w:rsidRDefault="00E82A60" w:rsidP="00300A01">
            <w:pPr>
              <w:pStyle w:val="Text1"/>
              <w:spacing w:before="0" w:after="0"/>
              <w:ind w:left="0"/>
              <w:jc w:val="right"/>
              <w:rPr>
                <w:sz w:val="12"/>
                <w:szCs w:val="12"/>
              </w:rPr>
            </w:pPr>
            <w:r w:rsidRPr="009C3005">
              <w:rPr>
                <w:noProof/>
                <w:sz w:val="12"/>
                <w:szCs w:val="12"/>
              </w:rPr>
              <w:t>1</w:t>
            </w:r>
          </w:p>
        </w:tc>
      </w:tr>
      <w:tr w:rsidR="006B2EC1" w14:paraId="6B818C6E" w14:textId="77777777" w:rsidTr="0047688D">
        <w:tc>
          <w:tcPr>
            <w:tcW w:w="0" w:type="auto"/>
            <w:shd w:val="clear" w:color="auto" w:fill="auto"/>
          </w:tcPr>
          <w:p w14:paraId="054A53AD" w14:textId="77777777" w:rsidR="008C5CFA" w:rsidRPr="009C3005" w:rsidRDefault="00E82A60" w:rsidP="00300A01">
            <w:pPr>
              <w:pStyle w:val="Text1"/>
              <w:spacing w:before="0" w:after="0"/>
              <w:ind w:left="0"/>
              <w:rPr>
                <w:sz w:val="12"/>
                <w:szCs w:val="12"/>
              </w:rPr>
            </w:pPr>
            <w:r>
              <w:rPr>
                <w:noProof/>
                <w:sz w:val="14"/>
                <w:szCs w:val="14"/>
                <w:lang w:val="fr-BE"/>
              </w:rPr>
              <w:t>7</w:t>
            </w:r>
          </w:p>
        </w:tc>
        <w:tc>
          <w:tcPr>
            <w:tcW w:w="0" w:type="auto"/>
            <w:shd w:val="clear" w:color="auto" w:fill="auto"/>
          </w:tcPr>
          <w:p w14:paraId="0F78D4D0" w14:textId="77777777" w:rsidR="008C5CFA" w:rsidRPr="009C3005" w:rsidRDefault="00E82A60" w:rsidP="00300A01">
            <w:pPr>
              <w:pStyle w:val="Text1"/>
              <w:spacing w:before="0" w:after="0"/>
              <w:ind w:left="0"/>
              <w:rPr>
                <w:sz w:val="12"/>
                <w:szCs w:val="12"/>
              </w:rPr>
            </w:pPr>
            <w:r>
              <w:rPr>
                <w:noProof/>
                <w:sz w:val="12"/>
                <w:szCs w:val="12"/>
              </w:rPr>
              <w:t>EFRR</w:t>
            </w:r>
          </w:p>
        </w:tc>
        <w:tc>
          <w:tcPr>
            <w:tcW w:w="0" w:type="auto"/>
            <w:shd w:val="clear" w:color="auto" w:fill="auto"/>
          </w:tcPr>
          <w:p w14:paraId="2988F58C" w14:textId="77777777" w:rsidR="008C5CFA" w:rsidRPr="009C3005" w:rsidRDefault="00E82A60" w:rsidP="00300A01">
            <w:pPr>
              <w:pStyle w:val="Text1"/>
              <w:spacing w:before="0" w:after="0"/>
              <w:ind w:left="0"/>
              <w:rPr>
                <w:sz w:val="12"/>
                <w:szCs w:val="12"/>
              </w:rPr>
            </w:pPr>
            <w:r>
              <w:rPr>
                <w:noProof/>
                <w:sz w:val="12"/>
                <w:szCs w:val="12"/>
              </w:rPr>
              <w:t>Słabiej rozwinięte</w:t>
            </w:r>
          </w:p>
        </w:tc>
        <w:tc>
          <w:tcPr>
            <w:tcW w:w="0" w:type="auto"/>
            <w:shd w:val="clear" w:color="auto" w:fill="auto"/>
          </w:tcPr>
          <w:p w14:paraId="0640C85D" w14:textId="77777777" w:rsidR="008C5CFA" w:rsidRPr="009C3005" w:rsidRDefault="00E82A60" w:rsidP="00300A01">
            <w:pPr>
              <w:pStyle w:val="Text1"/>
              <w:spacing w:before="0" w:after="0"/>
              <w:ind w:left="0"/>
              <w:rPr>
                <w:sz w:val="12"/>
                <w:szCs w:val="12"/>
              </w:rPr>
            </w:pPr>
            <w:r>
              <w:rPr>
                <w:noProof/>
                <w:sz w:val="12"/>
                <w:szCs w:val="12"/>
              </w:rPr>
              <w:t>092</w:t>
            </w:r>
          </w:p>
        </w:tc>
        <w:tc>
          <w:tcPr>
            <w:tcW w:w="0" w:type="auto"/>
            <w:shd w:val="clear" w:color="auto" w:fill="auto"/>
          </w:tcPr>
          <w:p w14:paraId="7E535CB7"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5F18DCE1" w14:textId="77777777" w:rsidR="008C5CFA" w:rsidRPr="009C3005" w:rsidRDefault="00E82A60" w:rsidP="00300A01">
            <w:pPr>
              <w:pStyle w:val="Text1"/>
              <w:spacing w:before="0" w:after="0"/>
              <w:ind w:left="0"/>
              <w:rPr>
                <w:sz w:val="12"/>
                <w:szCs w:val="12"/>
              </w:rPr>
            </w:pPr>
            <w:r>
              <w:rPr>
                <w:noProof/>
                <w:sz w:val="12"/>
                <w:szCs w:val="12"/>
              </w:rPr>
              <w:t>02</w:t>
            </w:r>
          </w:p>
        </w:tc>
        <w:tc>
          <w:tcPr>
            <w:tcW w:w="0" w:type="auto"/>
            <w:shd w:val="clear" w:color="auto" w:fill="auto"/>
          </w:tcPr>
          <w:p w14:paraId="57DE7C14"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0D4AEB07" w14:textId="77777777" w:rsidR="008C5CFA" w:rsidRPr="009C3005" w:rsidRDefault="00E82A60" w:rsidP="00300A01">
            <w:pPr>
              <w:pStyle w:val="Text1"/>
              <w:spacing w:before="0" w:after="0"/>
              <w:ind w:left="0"/>
              <w:rPr>
                <w:sz w:val="12"/>
                <w:szCs w:val="12"/>
              </w:rPr>
            </w:pPr>
            <w:r>
              <w:rPr>
                <w:noProof/>
                <w:sz w:val="12"/>
                <w:szCs w:val="12"/>
              </w:rPr>
              <w:t>08</w:t>
            </w:r>
          </w:p>
        </w:tc>
        <w:tc>
          <w:tcPr>
            <w:tcW w:w="0" w:type="auto"/>
            <w:shd w:val="clear" w:color="auto" w:fill="auto"/>
          </w:tcPr>
          <w:p w14:paraId="0E272444" w14:textId="77777777" w:rsidR="008C5CFA" w:rsidRPr="009C3005" w:rsidRDefault="00E82A60" w:rsidP="00300A01">
            <w:pPr>
              <w:pStyle w:val="Text1"/>
              <w:spacing w:before="0" w:after="0"/>
              <w:ind w:left="0"/>
              <w:rPr>
                <w:sz w:val="12"/>
                <w:szCs w:val="12"/>
              </w:rPr>
            </w:pPr>
            <w:r>
              <w:rPr>
                <w:sz w:val="12"/>
                <w:szCs w:val="12"/>
              </w:rPr>
              <w:t xml:space="preserve"> </w:t>
            </w:r>
          </w:p>
        </w:tc>
        <w:tc>
          <w:tcPr>
            <w:tcW w:w="0" w:type="auto"/>
            <w:shd w:val="clear" w:color="auto" w:fill="auto"/>
          </w:tcPr>
          <w:p w14:paraId="0EA70B70" w14:textId="77777777" w:rsidR="008C5CFA" w:rsidRPr="009C3005" w:rsidRDefault="00E82A60" w:rsidP="00300A01">
            <w:pPr>
              <w:pStyle w:val="Text1"/>
              <w:spacing w:before="0" w:after="0"/>
              <w:ind w:left="0"/>
              <w:rPr>
                <w:sz w:val="12"/>
                <w:szCs w:val="12"/>
              </w:rPr>
            </w:pPr>
            <w:r>
              <w:rPr>
                <w:noProof/>
                <w:sz w:val="12"/>
                <w:szCs w:val="12"/>
              </w:rPr>
              <w:t>15</w:t>
            </w:r>
          </w:p>
        </w:tc>
        <w:tc>
          <w:tcPr>
            <w:tcW w:w="0" w:type="auto"/>
            <w:shd w:val="clear" w:color="auto" w:fill="auto"/>
          </w:tcPr>
          <w:p w14:paraId="396E8D26" w14:textId="77777777" w:rsidR="008C5CFA" w:rsidRPr="009C3005" w:rsidRDefault="00E82A60" w:rsidP="00300A01">
            <w:pPr>
              <w:pStyle w:val="Text1"/>
              <w:spacing w:before="0" w:after="0"/>
              <w:ind w:left="0"/>
              <w:rPr>
                <w:sz w:val="12"/>
                <w:szCs w:val="12"/>
              </w:rPr>
            </w:pPr>
            <w:r>
              <w:rPr>
                <w:noProof/>
                <w:sz w:val="12"/>
                <w:szCs w:val="12"/>
              </w:rPr>
              <w:t>PL33</w:t>
            </w:r>
          </w:p>
        </w:tc>
        <w:tc>
          <w:tcPr>
            <w:tcW w:w="0" w:type="auto"/>
            <w:shd w:val="clear" w:color="auto" w:fill="auto"/>
          </w:tcPr>
          <w:p w14:paraId="6129ACE4" w14:textId="77777777" w:rsidR="008C5CFA" w:rsidRPr="009C3005" w:rsidRDefault="00E82A60" w:rsidP="00300A01">
            <w:pPr>
              <w:pStyle w:val="Text1"/>
              <w:spacing w:before="0" w:after="0"/>
              <w:ind w:left="0"/>
              <w:jc w:val="right"/>
              <w:rPr>
                <w:sz w:val="12"/>
                <w:szCs w:val="12"/>
              </w:rPr>
            </w:pPr>
            <w:r w:rsidRPr="009C3005">
              <w:rPr>
                <w:noProof/>
                <w:sz w:val="12"/>
                <w:szCs w:val="12"/>
              </w:rPr>
              <w:t>2 034 110,93</w:t>
            </w:r>
          </w:p>
        </w:tc>
        <w:tc>
          <w:tcPr>
            <w:tcW w:w="0" w:type="auto"/>
            <w:shd w:val="clear" w:color="auto" w:fill="auto"/>
          </w:tcPr>
          <w:p w14:paraId="16DA889D" w14:textId="77777777" w:rsidR="008C5CFA" w:rsidRPr="009C3005" w:rsidRDefault="00E82A60" w:rsidP="00300A01">
            <w:pPr>
              <w:pStyle w:val="Text1"/>
              <w:spacing w:before="0" w:after="0"/>
              <w:ind w:left="0"/>
              <w:jc w:val="right"/>
              <w:rPr>
                <w:sz w:val="12"/>
                <w:szCs w:val="12"/>
              </w:rPr>
            </w:pPr>
            <w:r w:rsidRPr="009C3005">
              <w:rPr>
                <w:noProof/>
                <w:sz w:val="12"/>
                <w:szCs w:val="12"/>
              </w:rPr>
              <w:t>2 034 110,93</w:t>
            </w:r>
          </w:p>
        </w:tc>
        <w:tc>
          <w:tcPr>
            <w:tcW w:w="0" w:type="auto"/>
            <w:shd w:val="clear" w:color="auto" w:fill="auto"/>
          </w:tcPr>
          <w:p w14:paraId="58B7A415" w14:textId="77777777" w:rsidR="008C5CFA" w:rsidRPr="009C3005" w:rsidRDefault="00E82A60" w:rsidP="00300A01">
            <w:pPr>
              <w:pStyle w:val="Text1"/>
              <w:spacing w:before="0" w:after="0"/>
              <w:ind w:left="0"/>
              <w:jc w:val="right"/>
              <w:rPr>
                <w:sz w:val="12"/>
                <w:szCs w:val="12"/>
              </w:rPr>
            </w:pPr>
            <w:r w:rsidRPr="009C3005">
              <w:rPr>
                <w:noProof/>
                <w:sz w:val="12"/>
                <w:szCs w:val="12"/>
              </w:rPr>
              <w:t>0,00</w:t>
            </w:r>
          </w:p>
        </w:tc>
        <w:tc>
          <w:tcPr>
            <w:tcW w:w="0" w:type="auto"/>
            <w:shd w:val="clear" w:color="auto" w:fill="auto"/>
          </w:tcPr>
          <w:p w14:paraId="181EAA8C" w14:textId="77777777" w:rsidR="008C5CFA" w:rsidRPr="009C3005" w:rsidRDefault="00E82A60" w:rsidP="00300A01">
            <w:pPr>
              <w:pStyle w:val="Text1"/>
              <w:spacing w:before="0" w:after="0"/>
              <w:ind w:left="0"/>
              <w:jc w:val="right"/>
              <w:rPr>
                <w:sz w:val="12"/>
                <w:szCs w:val="12"/>
              </w:rPr>
            </w:pPr>
            <w:r w:rsidRPr="009C3005">
              <w:rPr>
                <w:noProof/>
                <w:sz w:val="12"/>
                <w:szCs w:val="12"/>
              </w:rPr>
              <w:t>1</w:t>
            </w:r>
          </w:p>
        </w:tc>
      </w:tr>
      <w:tr w:rsidR="006B2EC1" w14:paraId="45E2DEF3" w14:textId="77777777" w:rsidTr="0047688D">
        <w:tc>
          <w:tcPr>
            <w:tcW w:w="0" w:type="auto"/>
            <w:shd w:val="clear" w:color="auto" w:fill="auto"/>
          </w:tcPr>
          <w:p w14:paraId="63F5546A" w14:textId="77777777" w:rsidR="008C5CFA" w:rsidRPr="009C3005" w:rsidRDefault="00E82A60" w:rsidP="00300A01">
            <w:pPr>
              <w:pStyle w:val="Text1"/>
              <w:spacing w:before="0" w:after="0"/>
              <w:ind w:left="0"/>
              <w:rPr>
                <w:sz w:val="12"/>
                <w:szCs w:val="12"/>
              </w:rPr>
            </w:pPr>
            <w:r>
              <w:rPr>
                <w:noProof/>
                <w:sz w:val="14"/>
                <w:szCs w:val="14"/>
                <w:lang w:val="fr-BE"/>
              </w:rPr>
              <w:t>7</w:t>
            </w:r>
          </w:p>
        </w:tc>
        <w:tc>
          <w:tcPr>
            <w:tcW w:w="0" w:type="auto"/>
            <w:shd w:val="clear" w:color="auto" w:fill="auto"/>
          </w:tcPr>
          <w:p w14:paraId="55B45B78" w14:textId="77777777" w:rsidR="008C5CFA" w:rsidRPr="009C3005" w:rsidRDefault="00E82A60" w:rsidP="00300A01">
            <w:pPr>
              <w:pStyle w:val="Text1"/>
              <w:spacing w:before="0" w:after="0"/>
              <w:ind w:left="0"/>
              <w:rPr>
                <w:sz w:val="12"/>
                <w:szCs w:val="12"/>
              </w:rPr>
            </w:pPr>
            <w:r>
              <w:rPr>
                <w:noProof/>
                <w:sz w:val="12"/>
                <w:szCs w:val="12"/>
              </w:rPr>
              <w:t>EFRR</w:t>
            </w:r>
          </w:p>
        </w:tc>
        <w:tc>
          <w:tcPr>
            <w:tcW w:w="0" w:type="auto"/>
            <w:shd w:val="clear" w:color="auto" w:fill="auto"/>
          </w:tcPr>
          <w:p w14:paraId="0325F931" w14:textId="77777777" w:rsidR="008C5CFA" w:rsidRPr="009C3005" w:rsidRDefault="00E82A60" w:rsidP="00300A01">
            <w:pPr>
              <w:pStyle w:val="Text1"/>
              <w:spacing w:before="0" w:after="0"/>
              <w:ind w:left="0"/>
              <w:rPr>
                <w:sz w:val="12"/>
                <w:szCs w:val="12"/>
              </w:rPr>
            </w:pPr>
            <w:r>
              <w:rPr>
                <w:noProof/>
                <w:sz w:val="12"/>
                <w:szCs w:val="12"/>
              </w:rPr>
              <w:t>Słabiej rozwinięte</w:t>
            </w:r>
          </w:p>
        </w:tc>
        <w:tc>
          <w:tcPr>
            <w:tcW w:w="0" w:type="auto"/>
            <w:shd w:val="clear" w:color="auto" w:fill="auto"/>
          </w:tcPr>
          <w:p w14:paraId="62D5842C" w14:textId="77777777" w:rsidR="008C5CFA" w:rsidRPr="009C3005" w:rsidRDefault="00E82A60" w:rsidP="00300A01">
            <w:pPr>
              <w:pStyle w:val="Text1"/>
              <w:spacing w:before="0" w:after="0"/>
              <w:ind w:left="0"/>
              <w:rPr>
                <w:sz w:val="12"/>
                <w:szCs w:val="12"/>
              </w:rPr>
            </w:pPr>
            <w:r>
              <w:rPr>
                <w:noProof/>
                <w:sz w:val="12"/>
                <w:szCs w:val="12"/>
              </w:rPr>
              <w:t>092</w:t>
            </w:r>
          </w:p>
        </w:tc>
        <w:tc>
          <w:tcPr>
            <w:tcW w:w="0" w:type="auto"/>
            <w:shd w:val="clear" w:color="auto" w:fill="auto"/>
          </w:tcPr>
          <w:p w14:paraId="343C6EBE"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0D7148F1" w14:textId="77777777" w:rsidR="008C5CFA" w:rsidRPr="009C3005" w:rsidRDefault="00E82A60" w:rsidP="00300A01">
            <w:pPr>
              <w:pStyle w:val="Text1"/>
              <w:spacing w:before="0" w:after="0"/>
              <w:ind w:left="0"/>
              <w:rPr>
                <w:sz w:val="12"/>
                <w:szCs w:val="12"/>
              </w:rPr>
            </w:pPr>
            <w:r>
              <w:rPr>
                <w:noProof/>
                <w:sz w:val="12"/>
                <w:szCs w:val="12"/>
              </w:rPr>
              <w:t>02</w:t>
            </w:r>
          </w:p>
        </w:tc>
        <w:tc>
          <w:tcPr>
            <w:tcW w:w="0" w:type="auto"/>
            <w:shd w:val="clear" w:color="auto" w:fill="auto"/>
          </w:tcPr>
          <w:p w14:paraId="4E07F7D4"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22BB5549" w14:textId="77777777" w:rsidR="008C5CFA" w:rsidRPr="009C3005" w:rsidRDefault="00E82A60" w:rsidP="00300A01">
            <w:pPr>
              <w:pStyle w:val="Text1"/>
              <w:spacing w:before="0" w:after="0"/>
              <w:ind w:left="0"/>
              <w:rPr>
                <w:sz w:val="12"/>
                <w:szCs w:val="12"/>
              </w:rPr>
            </w:pPr>
            <w:r>
              <w:rPr>
                <w:noProof/>
                <w:sz w:val="12"/>
                <w:szCs w:val="12"/>
              </w:rPr>
              <w:t>08</w:t>
            </w:r>
          </w:p>
        </w:tc>
        <w:tc>
          <w:tcPr>
            <w:tcW w:w="0" w:type="auto"/>
            <w:shd w:val="clear" w:color="auto" w:fill="auto"/>
          </w:tcPr>
          <w:p w14:paraId="07C3A020" w14:textId="77777777" w:rsidR="008C5CFA" w:rsidRPr="009C3005" w:rsidRDefault="00E82A60" w:rsidP="00300A01">
            <w:pPr>
              <w:pStyle w:val="Text1"/>
              <w:spacing w:before="0" w:after="0"/>
              <w:ind w:left="0"/>
              <w:rPr>
                <w:sz w:val="12"/>
                <w:szCs w:val="12"/>
              </w:rPr>
            </w:pPr>
            <w:r>
              <w:rPr>
                <w:sz w:val="12"/>
                <w:szCs w:val="12"/>
              </w:rPr>
              <w:t xml:space="preserve"> </w:t>
            </w:r>
          </w:p>
        </w:tc>
        <w:tc>
          <w:tcPr>
            <w:tcW w:w="0" w:type="auto"/>
            <w:shd w:val="clear" w:color="auto" w:fill="auto"/>
          </w:tcPr>
          <w:p w14:paraId="76E28D7D" w14:textId="77777777" w:rsidR="008C5CFA" w:rsidRPr="009C3005" w:rsidRDefault="00E82A60" w:rsidP="00300A01">
            <w:pPr>
              <w:pStyle w:val="Text1"/>
              <w:spacing w:before="0" w:after="0"/>
              <w:ind w:left="0"/>
              <w:rPr>
                <w:sz w:val="12"/>
                <w:szCs w:val="12"/>
              </w:rPr>
            </w:pPr>
            <w:r>
              <w:rPr>
                <w:noProof/>
                <w:sz w:val="12"/>
                <w:szCs w:val="12"/>
              </w:rPr>
              <w:t>18</w:t>
            </w:r>
          </w:p>
        </w:tc>
        <w:tc>
          <w:tcPr>
            <w:tcW w:w="0" w:type="auto"/>
            <w:shd w:val="clear" w:color="auto" w:fill="auto"/>
          </w:tcPr>
          <w:p w14:paraId="6C5AF882" w14:textId="77777777" w:rsidR="008C5CFA" w:rsidRPr="009C3005" w:rsidRDefault="00E82A60" w:rsidP="00300A01">
            <w:pPr>
              <w:pStyle w:val="Text1"/>
              <w:spacing w:before="0" w:after="0"/>
              <w:ind w:left="0"/>
              <w:rPr>
                <w:sz w:val="12"/>
                <w:szCs w:val="12"/>
              </w:rPr>
            </w:pPr>
            <w:r>
              <w:rPr>
                <w:noProof/>
                <w:sz w:val="12"/>
                <w:szCs w:val="12"/>
              </w:rPr>
              <w:t>PL33</w:t>
            </w:r>
          </w:p>
        </w:tc>
        <w:tc>
          <w:tcPr>
            <w:tcW w:w="0" w:type="auto"/>
            <w:shd w:val="clear" w:color="auto" w:fill="auto"/>
          </w:tcPr>
          <w:p w14:paraId="78FC760E" w14:textId="77777777" w:rsidR="008C5CFA" w:rsidRPr="009C3005" w:rsidRDefault="00E82A60" w:rsidP="00300A01">
            <w:pPr>
              <w:pStyle w:val="Text1"/>
              <w:spacing w:before="0" w:after="0"/>
              <w:ind w:left="0"/>
              <w:jc w:val="right"/>
              <w:rPr>
                <w:sz w:val="12"/>
                <w:szCs w:val="12"/>
              </w:rPr>
            </w:pPr>
            <w:r w:rsidRPr="009C3005">
              <w:rPr>
                <w:noProof/>
                <w:sz w:val="12"/>
                <w:szCs w:val="12"/>
              </w:rPr>
              <w:t>8 127 801,46</w:t>
            </w:r>
          </w:p>
        </w:tc>
        <w:tc>
          <w:tcPr>
            <w:tcW w:w="0" w:type="auto"/>
            <w:shd w:val="clear" w:color="auto" w:fill="auto"/>
          </w:tcPr>
          <w:p w14:paraId="0849E768" w14:textId="77777777" w:rsidR="008C5CFA" w:rsidRPr="009C3005" w:rsidRDefault="00E82A60" w:rsidP="00300A01">
            <w:pPr>
              <w:pStyle w:val="Text1"/>
              <w:spacing w:before="0" w:after="0"/>
              <w:ind w:left="0"/>
              <w:jc w:val="right"/>
              <w:rPr>
                <w:sz w:val="12"/>
                <w:szCs w:val="12"/>
              </w:rPr>
            </w:pPr>
            <w:r w:rsidRPr="009C3005">
              <w:rPr>
                <w:noProof/>
                <w:sz w:val="12"/>
                <w:szCs w:val="12"/>
              </w:rPr>
              <w:t>8 127 801,46</w:t>
            </w:r>
          </w:p>
        </w:tc>
        <w:tc>
          <w:tcPr>
            <w:tcW w:w="0" w:type="auto"/>
            <w:shd w:val="clear" w:color="auto" w:fill="auto"/>
          </w:tcPr>
          <w:p w14:paraId="163F3F0D" w14:textId="77777777" w:rsidR="008C5CFA" w:rsidRPr="009C3005" w:rsidRDefault="00E82A60" w:rsidP="00300A01">
            <w:pPr>
              <w:pStyle w:val="Text1"/>
              <w:spacing w:before="0" w:after="0"/>
              <w:ind w:left="0"/>
              <w:jc w:val="right"/>
              <w:rPr>
                <w:sz w:val="12"/>
                <w:szCs w:val="12"/>
              </w:rPr>
            </w:pPr>
            <w:r w:rsidRPr="009C3005">
              <w:rPr>
                <w:noProof/>
                <w:sz w:val="12"/>
                <w:szCs w:val="12"/>
              </w:rPr>
              <w:t>2 067 164,24</w:t>
            </w:r>
          </w:p>
        </w:tc>
        <w:tc>
          <w:tcPr>
            <w:tcW w:w="0" w:type="auto"/>
            <w:shd w:val="clear" w:color="auto" w:fill="auto"/>
          </w:tcPr>
          <w:p w14:paraId="13628707" w14:textId="77777777" w:rsidR="008C5CFA" w:rsidRPr="009C3005" w:rsidRDefault="00E82A60" w:rsidP="00300A01">
            <w:pPr>
              <w:pStyle w:val="Text1"/>
              <w:spacing w:before="0" w:after="0"/>
              <w:ind w:left="0"/>
              <w:jc w:val="right"/>
              <w:rPr>
                <w:sz w:val="12"/>
                <w:szCs w:val="12"/>
              </w:rPr>
            </w:pPr>
            <w:r w:rsidRPr="009C3005">
              <w:rPr>
                <w:noProof/>
                <w:sz w:val="12"/>
                <w:szCs w:val="12"/>
              </w:rPr>
              <w:t>4</w:t>
            </w:r>
          </w:p>
        </w:tc>
      </w:tr>
      <w:tr w:rsidR="006B2EC1" w14:paraId="2292472B" w14:textId="77777777" w:rsidTr="0047688D">
        <w:tc>
          <w:tcPr>
            <w:tcW w:w="0" w:type="auto"/>
            <w:shd w:val="clear" w:color="auto" w:fill="auto"/>
          </w:tcPr>
          <w:p w14:paraId="2B8FEE17" w14:textId="77777777" w:rsidR="008C5CFA" w:rsidRPr="009C3005" w:rsidRDefault="00E82A60" w:rsidP="00300A01">
            <w:pPr>
              <w:pStyle w:val="Text1"/>
              <w:spacing w:before="0" w:after="0"/>
              <w:ind w:left="0"/>
              <w:rPr>
                <w:sz w:val="12"/>
                <w:szCs w:val="12"/>
              </w:rPr>
            </w:pPr>
            <w:r>
              <w:rPr>
                <w:noProof/>
                <w:sz w:val="14"/>
                <w:szCs w:val="14"/>
                <w:lang w:val="fr-BE"/>
              </w:rPr>
              <w:t>7</w:t>
            </w:r>
          </w:p>
        </w:tc>
        <w:tc>
          <w:tcPr>
            <w:tcW w:w="0" w:type="auto"/>
            <w:shd w:val="clear" w:color="auto" w:fill="auto"/>
          </w:tcPr>
          <w:p w14:paraId="4BADABB7" w14:textId="77777777" w:rsidR="008C5CFA" w:rsidRPr="009C3005" w:rsidRDefault="00E82A60" w:rsidP="00300A01">
            <w:pPr>
              <w:pStyle w:val="Text1"/>
              <w:spacing w:before="0" w:after="0"/>
              <w:ind w:left="0"/>
              <w:rPr>
                <w:sz w:val="12"/>
                <w:szCs w:val="12"/>
              </w:rPr>
            </w:pPr>
            <w:r>
              <w:rPr>
                <w:noProof/>
                <w:sz w:val="12"/>
                <w:szCs w:val="12"/>
              </w:rPr>
              <w:t>EFRR</w:t>
            </w:r>
          </w:p>
        </w:tc>
        <w:tc>
          <w:tcPr>
            <w:tcW w:w="0" w:type="auto"/>
            <w:shd w:val="clear" w:color="auto" w:fill="auto"/>
          </w:tcPr>
          <w:p w14:paraId="60A170A2" w14:textId="77777777" w:rsidR="008C5CFA" w:rsidRPr="009C3005" w:rsidRDefault="00E82A60" w:rsidP="00300A01">
            <w:pPr>
              <w:pStyle w:val="Text1"/>
              <w:spacing w:before="0" w:after="0"/>
              <w:ind w:left="0"/>
              <w:rPr>
                <w:sz w:val="12"/>
                <w:szCs w:val="12"/>
              </w:rPr>
            </w:pPr>
            <w:r>
              <w:rPr>
                <w:noProof/>
                <w:sz w:val="12"/>
                <w:szCs w:val="12"/>
              </w:rPr>
              <w:t>Słabiej rozwinięte</w:t>
            </w:r>
          </w:p>
        </w:tc>
        <w:tc>
          <w:tcPr>
            <w:tcW w:w="0" w:type="auto"/>
            <w:shd w:val="clear" w:color="auto" w:fill="auto"/>
          </w:tcPr>
          <w:p w14:paraId="2C6AD8EF" w14:textId="77777777" w:rsidR="008C5CFA" w:rsidRPr="009C3005" w:rsidRDefault="00E82A60" w:rsidP="00300A01">
            <w:pPr>
              <w:pStyle w:val="Text1"/>
              <w:spacing w:before="0" w:after="0"/>
              <w:ind w:left="0"/>
              <w:rPr>
                <w:sz w:val="12"/>
                <w:szCs w:val="12"/>
              </w:rPr>
            </w:pPr>
            <w:r>
              <w:rPr>
                <w:noProof/>
                <w:sz w:val="12"/>
                <w:szCs w:val="12"/>
              </w:rPr>
              <w:t>092</w:t>
            </w:r>
          </w:p>
        </w:tc>
        <w:tc>
          <w:tcPr>
            <w:tcW w:w="0" w:type="auto"/>
            <w:shd w:val="clear" w:color="auto" w:fill="auto"/>
          </w:tcPr>
          <w:p w14:paraId="1A1119C0"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1D1594D2" w14:textId="77777777" w:rsidR="008C5CFA" w:rsidRPr="009C3005" w:rsidRDefault="00E82A60" w:rsidP="00300A01">
            <w:pPr>
              <w:pStyle w:val="Text1"/>
              <w:spacing w:before="0" w:after="0"/>
              <w:ind w:left="0"/>
              <w:rPr>
                <w:sz w:val="12"/>
                <w:szCs w:val="12"/>
              </w:rPr>
            </w:pPr>
            <w:r>
              <w:rPr>
                <w:noProof/>
                <w:sz w:val="12"/>
                <w:szCs w:val="12"/>
              </w:rPr>
              <w:t>03</w:t>
            </w:r>
          </w:p>
        </w:tc>
        <w:tc>
          <w:tcPr>
            <w:tcW w:w="0" w:type="auto"/>
            <w:shd w:val="clear" w:color="auto" w:fill="auto"/>
          </w:tcPr>
          <w:p w14:paraId="5FFB0D5C"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3D3C70CB" w14:textId="77777777" w:rsidR="008C5CFA" w:rsidRPr="009C3005" w:rsidRDefault="00E82A60" w:rsidP="00300A01">
            <w:pPr>
              <w:pStyle w:val="Text1"/>
              <w:spacing w:before="0" w:after="0"/>
              <w:ind w:left="0"/>
              <w:rPr>
                <w:sz w:val="12"/>
                <w:szCs w:val="12"/>
              </w:rPr>
            </w:pPr>
            <w:r>
              <w:rPr>
                <w:noProof/>
                <w:sz w:val="12"/>
                <w:szCs w:val="12"/>
              </w:rPr>
              <w:t>08</w:t>
            </w:r>
          </w:p>
        </w:tc>
        <w:tc>
          <w:tcPr>
            <w:tcW w:w="0" w:type="auto"/>
            <w:shd w:val="clear" w:color="auto" w:fill="auto"/>
          </w:tcPr>
          <w:p w14:paraId="52BFE493" w14:textId="77777777" w:rsidR="008C5CFA" w:rsidRPr="009C3005" w:rsidRDefault="00E82A60" w:rsidP="00300A01">
            <w:pPr>
              <w:pStyle w:val="Text1"/>
              <w:spacing w:before="0" w:after="0"/>
              <w:ind w:left="0"/>
              <w:rPr>
                <w:sz w:val="12"/>
                <w:szCs w:val="12"/>
              </w:rPr>
            </w:pPr>
            <w:r>
              <w:rPr>
                <w:sz w:val="12"/>
                <w:szCs w:val="12"/>
              </w:rPr>
              <w:t xml:space="preserve"> </w:t>
            </w:r>
          </w:p>
        </w:tc>
        <w:tc>
          <w:tcPr>
            <w:tcW w:w="0" w:type="auto"/>
            <w:shd w:val="clear" w:color="auto" w:fill="auto"/>
          </w:tcPr>
          <w:p w14:paraId="26B0CA86" w14:textId="77777777" w:rsidR="008C5CFA" w:rsidRPr="009C3005" w:rsidRDefault="00E82A60" w:rsidP="00300A01">
            <w:pPr>
              <w:pStyle w:val="Text1"/>
              <w:spacing w:before="0" w:after="0"/>
              <w:ind w:left="0"/>
              <w:rPr>
                <w:sz w:val="12"/>
                <w:szCs w:val="12"/>
              </w:rPr>
            </w:pPr>
            <w:r>
              <w:rPr>
                <w:noProof/>
                <w:sz w:val="12"/>
                <w:szCs w:val="12"/>
              </w:rPr>
              <w:t>15</w:t>
            </w:r>
          </w:p>
        </w:tc>
        <w:tc>
          <w:tcPr>
            <w:tcW w:w="0" w:type="auto"/>
            <w:shd w:val="clear" w:color="auto" w:fill="auto"/>
          </w:tcPr>
          <w:p w14:paraId="67563877" w14:textId="77777777" w:rsidR="008C5CFA" w:rsidRPr="009C3005" w:rsidRDefault="00E82A60" w:rsidP="00300A01">
            <w:pPr>
              <w:pStyle w:val="Text1"/>
              <w:spacing w:before="0" w:after="0"/>
              <w:ind w:left="0"/>
              <w:rPr>
                <w:sz w:val="12"/>
                <w:szCs w:val="12"/>
              </w:rPr>
            </w:pPr>
            <w:r>
              <w:rPr>
                <w:noProof/>
                <w:sz w:val="12"/>
                <w:szCs w:val="12"/>
              </w:rPr>
              <w:t>PL33</w:t>
            </w:r>
          </w:p>
        </w:tc>
        <w:tc>
          <w:tcPr>
            <w:tcW w:w="0" w:type="auto"/>
            <w:shd w:val="clear" w:color="auto" w:fill="auto"/>
          </w:tcPr>
          <w:p w14:paraId="71C11980" w14:textId="77777777" w:rsidR="008C5CFA" w:rsidRPr="009C3005" w:rsidRDefault="00E82A60" w:rsidP="00300A01">
            <w:pPr>
              <w:pStyle w:val="Text1"/>
              <w:spacing w:before="0" w:after="0"/>
              <w:ind w:left="0"/>
              <w:jc w:val="right"/>
              <w:rPr>
                <w:sz w:val="12"/>
                <w:szCs w:val="12"/>
              </w:rPr>
            </w:pPr>
            <w:r w:rsidRPr="009C3005">
              <w:rPr>
                <w:noProof/>
                <w:sz w:val="12"/>
                <w:szCs w:val="12"/>
              </w:rPr>
              <w:t>838 994,81</w:t>
            </w:r>
          </w:p>
        </w:tc>
        <w:tc>
          <w:tcPr>
            <w:tcW w:w="0" w:type="auto"/>
            <w:shd w:val="clear" w:color="auto" w:fill="auto"/>
          </w:tcPr>
          <w:p w14:paraId="17FC2F66" w14:textId="77777777" w:rsidR="008C5CFA" w:rsidRPr="009C3005" w:rsidRDefault="00E82A60" w:rsidP="00300A01">
            <w:pPr>
              <w:pStyle w:val="Text1"/>
              <w:spacing w:before="0" w:after="0"/>
              <w:ind w:left="0"/>
              <w:jc w:val="right"/>
              <w:rPr>
                <w:sz w:val="12"/>
                <w:szCs w:val="12"/>
              </w:rPr>
            </w:pPr>
            <w:r w:rsidRPr="009C3005">
              <w:rPr>
                <w:noProof/>
                <w:sz w:val="12"/>
                <w:szCs w:val="12"/>
              </w:rPr>
              <w:t>431 649,79</w:t>
            </w:r>
          </w:p>
        </w:tc>
        <w:tc>
          <w:tcPr>
            <w:tcW w:w="0" w:type="auto"/>
            <w:shd w:val="clear" w:color="auto" w:fill="auto"/>
          </w:tcPr>
          <w:p w14:paraId="40B3251C" w14:textId="77777777" w:rsidR="008C5CFA" w:rsidRPr="009C3005" w:rsidRDefault="00E82A60" w:rsidP="00300A01">
            <w:pPr>
              <w:pStyle w:val="Text1"/>
              <w:spacing w:before="0" w:after="0"/>
              <w:ind w:left="0"/>
              <w:jc w:val="right"/>
              <w:rPr>
                <w:sz w:val="12"/>
                <w:szCs w:val="12"/>
              </w:rPr>
            </w:pPr>
            <w:r w:rsidRPr="009C3005">
              <w:rPr>
                <w:noProof/>
                <w:sz w:val="12"/>
                <w:szCs w:val="12"/>
              </w:rPr>
              <w:t>11 628,73</w:t>
            </w:r>
          </w:p>
        </w:tc>
        <w:tc>
          <w:tcPr>
            <w:tcW w:w="0" w:type="auto"/>
            <w:shd w:val="clear" w:color="auto" w:fill="auto"/>
          </w:tcPr>
          <w:p w14:paraId="33A380D5" w14:textId="77777777" w:rsidR="008C5CFA" w:rsidRPr="009C3005" w:rsidRDefault="00E82A60" w:rsidP="00300A01">
            <w:pPr>
              <w:pStyle w:val="Text1"/>
              <w:spacing w:before="0" w:after="0"/>
              <w:ind w:left="0"/>
              <w:jc w:val="right"/>
              <w:rPr>
                <w:sz w:val="12"/>
                <w:szCs w:val="12"/>
              </w:rPr>
            </w:pPr>
            <w:r w:rsidRPr="009C3005">
              <w:rPr>
                <w:noProof/>
                <w:sz w:val="12"/>
                <w:szCs w:val="12"/>
              </w:rPr>
              <w:t>1</w:t>
            </w:r>
          </w:p>
        </w:tc>
      </w:tr>
      <w:tr w:rsidR="006B2EC1" w14:paraId="7B32E45C" w14:textId="77777777" w:rsidTr="0047688D">
        <w:tc>
          <w:tcPr>
            <w:tcW w:w="0" w:type="auto"/>
            <w:shd w:val="clear" w:color="auto" w:fill="auto"/>
          </w:tcPr>
          <w:p w14:paraId="60C103A7" w14:textId="77777777" w:rsidR="008C5CFA" w:rsidRPr="009C3005" w:rsidRDefault="00E82A60" w:rsidP="00300A01">
            <w:pPr>
              <w:pStyle w:val="Text1"/>
              <w:spacing w:before="0" w:after="0"/>
              <w:ind w:left="0"/>
              <w:rPr>
                <w:sz w:val="12"/>
                <w:szCs w:val="12"/>
              </w:rPr>
            </w:pPr>
            <w:r>
              <w:rPr>
                <w:noProof/>
                <w:sz w:val="14"/>
                <w:szCs w:val="14"/>
                <w:lang w:val="fr-BE"/>
              </w:rPr>
              <w:t>7</w:t>
            </w:r>
          </w:p>
        </w:tc>
        <w:tc>
          <w:tcPr>
            <w:tcW w:w="0" w:type="auto"/>
            <w:shd w:val="clear" w:color="auto" w:fill="auto"/>
          </w:tcPr>
          <w:p w14:paraId="67B5FEFF" w14:textId="77777777" w:rsidR="008C5CFA" w:rsidRPr="009C3005" w:rsidRDefault="00E82A60" w:rsidP="00300A01">
            <w:pPr>
              <w:pStyle w:val="Text1"/>
              <w:spacing w:before="0" w:after="0"/>
              <w:ind w:left="0"/>
              <w:rPr>
                <w:sz w:val="12"/>
                <w:szCs w:val="12"/>
              </w:rPr>
            </w:pPr>
            <w:r>
              <w:rPr>
                <w:noProof/>
                <w:sz w:val="12"/>
                <w:szCs w:val="12"/>
              </w:rPr>
              <w:t>EFRR</w:t>
            </w:r>
          </w:p>
        </w:tc>
        <w:tc>
          <w:tcPr>
            <w:tcW w:w="0" w:type="auto"/>
            <w:shd w:val="clear" w:color="auto" w:fill="auto"/>
          </w:tcPr>
          <w:p w14:paraId="4C047AF7" w14:textId="77777777" w:rsidR="008C5CFA" w:rsidRPr="009C3005" w:rsidRDefault="00E82A60" w:rsidP="00300A01">
            <w:pPr>
              <w:pStyle w:val="Text1"/>
              <w:spacing w:before="0" w:after="0"/>
              <w:ind w:left="0"/>
              <w:rPr>
                <w:sz w:val="12"/>
                <w:szCs w:val="12"/>
              </w:rPr>
            </w:pPr>
            <w:r>
              <w:rPr>
                <w:noProof/>
                <w:sz w:val="12"/>
                <w:szCs w:val="12"/>
              </w:rPr>
              <w:t>Słabiej rozwinięte</w:t>
            </w:r>
          </w:p>
        </w:tc>
        <w:tc>
          <w:tcPr>
            <w:tcW w:w="0" w:type="auto"/>
            <w:shd w:val="clear" w:color="auto" w:fill="auto"/>
          </w:tcPr>
          <w:p w14:paraId="62EE3902" w14:textId="77777777" w:rsidR="008C5CFA" w:rsidRPr="009C3005" w:rsidRDefault="00E82A60" w:rsidP="00300A01">
            <w:pPr>
              <w:pStyle w:val="Text1"/>
              <w:spacing w:before="0" w:after="0"/>
              <w:ind w:left="0"/>
              <w:rPr>
                <w:sz w:val="12"/>
                <w:szCs w:val="12"/>
              </w:rPr>
            </w:pPr>
            <w:r>
              <w:rPr>
                <w:noProof/>
                <w:sz w:val="12"/>
                <w:szCs w:val="12"/>
              </w:rPr>
              <w:t>092</w:t>
            </w:r>
          </w:p>
        </w:tc>
        <w:tc>
          <w:tcPr>
            <w:tcW w:w="0" w:type="auto"/>
            <w:shd w:val="clear" w:color="auto" w:fill="auto"/>
          </w:tcPr>
          <w:p w14:paraId="680DF56A"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7A8CCEBA" w14:textId="77777777" w:rsidR="008C5CFA" w:rsidRPr="009C3005" w:rsidRDefault="00E82A60" w:rsidP="00300A01">
            <w:pPr>
              <w:pStyle w:val="Text1"/>
              <w:spacing w:before="0" w:after="0"/>
              <w:ind w:left="0"/>
              <w:rPr>
                <w:sz w:val="12"/>
                <w:szCs w:val="12"/>
              </w:rPr>
            </w:pPr>
            <w:r>
              <w:rPr>
                <w:noProof/>
                <w:sz w:val="12"/>
                <w:szCs w:val="12"/>
              </w:rPr>
              <w:t>03</w:t>
            </w:r>
          </w:p>
        </w:tc>
        <w:tc>
          <w:tcPr>
            <w:tcW w:w="0" w:type="auto"/>
            <w:shd w:val="clear" w:color="auto" w:fill="auto"/>
          </w:tcPr>
          <w:p w14:paraId="06E3B301"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6856E389" w14:textId="77777777" w:rsidR="008C5CFA" w:rsidRPr="009C3005" w:rsidRDefault="00E82A60" w:rsidP="00300A01">
            <w:pPr>
              <w:pStyle w:val="Text1"/>
              <w:spacing w:before="0" w:after="0"/>
              <w:ind w:left="0"/>
              <w:rPr>
                <w:sz w:val="12"/>
                <w:szCs w:val="12"/>
              </w:rPr>
            </w:pPr>
            <w:r>
              <w:rPr>
                <w:noProof/>
                <w:sz w:val="12"/>
                <w:szCs w:val="12"/>
              </w:rPr>
              <w:t>08</w:t>
            </w:r>
          </w:p>
        </w:tc>
        <w:tc>
          <w:tcPr>
            <w:tcW w:w="0" w:type="auto"/>
            <w:shd w:val="clear" w:color="auto" w:fill="auto"/>
          </w:tcPr>
          <w:p w14:paraId="6863E51F" w14:textId="77777777" w:rsidR="008C5CFA" w:rsidRPr="009C3005" w:rsidRDefault="00E82A60" w:rsidP="00300A01">
            <w:pPr>
              <w:pStyle w:val="Text1"/>
              <w:spacing w:before="0" w:after="0"/>
              <w:ind w:left="0"/>
              <w:rPr>
                <w:sz w:val="12"/>
                <w:szCs w:val="12"/>
              </w:rPr>
            </w:pPr>
            <w:r>
              <w:rPr>
                <w:sz w:val="12"/>
                <w:szCs w:val="12"/>
              </w:rPr>
              <w:t xml:space="preserve"> </w:t>
            </w:r>
          </w:p>
        </w:tc>
        <w:tc>
          <w:tcPr>
            <w:tcW w:w="0" w:type="auto"/>
            <w:shd w:val="clear" w:color="auto" w:fill="auto"/>
          </w:tcPr>
          <w:p w14:paraId="5B59B4BF" w14:textId="77777777" w:rsidR="008C5CFA" w:rsidRPr="009C3005" w:rsidRDefault="00E82A60" w:rsidP="00300A01">
            <w:pPr>
              <w:pStyle w:val="Text1"/>
              <w:spacing w:before="0" w:after="0"/>
              <w:ind w:left="0"/>
              <w:rPr>
                <w:sz w:val="12"/>
                <w:szCs w:val="12"/>
              </w:rPr>
            </w:pPr>
            <w:r>
              <w:rPr>
                <w:noProof/>
                <w:sz w:val="12"/>
                <w:szCs w:val="12"/>
              </w:rPr>
              <w:t>18</w:t>
            </w:r>
          </w:p>
        </w:tc>
        <w:tc>
          <w:tcPr>
            <w:tcW w:w="0" w:type="auto"/>
            <w:shd w:val="clear" w:color="auto" w:fill="auto"/>
          </w:tcPr>
          <w:p w14:paraId="1B77DF1A" w14:textId="77777777" w:rsidR="008C5CFA" w:rsidRPr="009C3005" w:rsidRDefault="00E82A60" w:rsidP="00300A01">
            <w:pPr>
              <w:pStyle w:val="Text1"/>
              <w:spacing w:before="0" w:after="0"/>
              <w:ind w:left="0"/>
              <w:rPr>
                <w:sz w:val="12"/>
                <w:szCs w:val="12"/>
              </w:rPr>
            </w:pPr>
            <w:r>
              <w:rPr>
                <w:noProof/>
                <w:sz w:val="12"/>
                <w:szCs w:val="12"/>
              </w:rPr>
              <w:t>PL33</w:t>
            </w:r>
          </w:p>
        </w:tc>
        <w:tc>
          <w:tcPr>
            <w:tcW w:w="0" w:type="auto"/>
            <w:shd w:val="clear" w:color="auto" w:fill="auto"/>
          </w:tcPr>
          <w:p w14:paraId="60B6A882" w14:textId="77777777" w:rsidR="008C5CFA" w:rsidRPr="009C3005" w:rsidRDefault="00E82A60" w:rsidP="00300A01">
            <w:pPr>
              <w:pStyle w:val="Text1"/>
              <w:spacing w:before="0" w:after="0"/>
              <w:ind w:left="0"/>
              <w:jc w:val="right"/>
              <w:rPr>
                <w:sz w:val="12"/>
                <w:szCs w:val="12"/>
              </w:rPr>
            </w:pPr>
            <w:r w:rsidRPr="009C3005">
              <w:rPr>
                <w:noProof/>
                <w:sz w:val="12"/>
                <w:szCs w:val="12"/>
              </w:rPr>
              <w:t>1 955 426,74</w:t>
            </w:r>
          </w:p>
        </w:tc>
        <w:tc>
          <w:tcPr>
            <w:tcW w:w="0" w:type="auto"/>
            <w:shd w:val="clear" w:color="auto" w:fill="auto"/>
          </w:tcPr>
          <w:p w14:paraId="5A6B68AE" w14:textId="77777777" w:rsidR="008C5CFA" w:rsidRPr="009C3005" w:rsidRDefault="00E82A60" w:rsidP="00300A01">
            <w:pPr>
              <w:pStyle w:val="Text1"/>
              <w:spacing w:before="0" w:after="0"/>
              <w:ind w:left="0"/>
              <w:jc w:val="right"/>
              <w:rPr>
                <w:sz w:val="12"/>
                <w:szCs w:val="12"/>
              </w:rPr>
            </w:pPr>
            <w:r w:rsidRPr="009C3005">
              <w:rPr>
                <w:noProof/>
                <w:sz w:val="12"/>
                <w:szCs w:val="12"/>
              </w:rPr>
              <w:t>1 955 426,74</w:t>
            </w:r>
          </w:p>
        </w:tc>
        <w:tc>
          <w:tcPr>
            <w:tcW w:w="0" w:type="auto"/>
            <w:shd w:val="clear" w:color="auto" w:fill="auto"/>
          </w:tcPr>
          <w:p w14:paraId="659BB2CD" w14:textId="77777777" w:rsidR="008C5CFA" w:rsidRPr="009C3005" w:rsidRDefault="00E82A60" w:rsidP="00300A01">
            <w:pPr>
              <w:pStyle w:val="Text1"/>
              <w:spacing w:before="0" w:after="0"/>
              <w:ind w:left="0"/>
              <w:jc w:val="right"/>
              <w:rPr>
                <w:sz w:val="12"/>
                <w:szCs w:val="12"/>
              </w:rPr>
            </w:pPr>
            <w:r w:rsidRPr="009C3005">
              <w:rPr>
                <w:noProof/>
                <w:sz w:val="12"/>
                <w:szCs w:val="12"/>
              </w:rPr>
              <w:t>0,00</w:t>
            </w:r>
          </w:p>
        </w:tc>
        <w:tc>
          <w:tcPr>
            <w:tcW w:w="0" w:type="auto"/>
            <w:shd w:val="clear" w:color="auto" w:fill="auto"/>
          </w:tcPr>
          <w:p w14:paraId="21274947" w14:textId="77777777" w:rsidR="008C5CFA" w:rsidRPr="009C3005" w:rsidRDefault="00E82A60" w:rsidP="00300A01">
            <w:pPr>
              <w:pStyle w:val="Text1"/>
              <w:spacing w:before="0" w:after="0"/>
              <w:ind w:left="0"/>
              <w:jc w:val="right"/>
              <w:rPr>
                <w:sz w:val="12"/>
                <w:szCs w:val="12"/>
              </w:rPr>
            </w:pPr>
            <w:r w:rsidRPr="009C3005">
              <w:rPr>
                <w:noProof/>
                <w:sz w:val="12"/>
                <w:szCs w:val="12"/>
              </w:rPr>
              <w:t>1</w:t>
            </w:r>
          </w:p>
        </w:tc>
      </w:tr>
      <w:tr w:rsidR="006B2EC1" w14:paraId="7F552893" w14:textId="77777777" w:rsidTr="0047688D">
        <w:tc>
          <w:tcPr>
            <w:tcW w:w="0" w:type="auto"/>
            <w:shd w:val="clear" w:color="auto" w:fill="auto"/>
          </w:tcPr>
          <w:p w14:paraId="6A6F86C5" w14:textId="77777777" w:rsidR="008C5CFA" w:rsidRPr="009C3005" w:rsidRDefault="00E82A60" w:rsidP="00300A01">
            <w:pPr>
              <w:pStyle w:val="Text1"/>
              <w:spacing w:before="0" w:after="0"/>
              <w:ind w:left="0"/>
              <w:rPr>
                <w:sz w:val="12"/>
                <w:szCs w:val="12"/>
              </w:rPr>
            </w:pPr>
            <w:r>
              <w:rPr>
                <w:noProof/>
                <w:sz w:val="14"/>
                <w:szCs w:val="14"/>
                <w:lang w:val="fr-BE"/>
              </w:rPr>
              <w:t>8</w:t>
            </w:r>
          </w:p>
        </w:tc>
        <w:tc>
          <w:tcPr>
            <w:tcW w:w="0" w:type="auto"/>
            <w:shd w:val="clear" w:color="auto" w:fill="auto"/>
          </w:tcPr>
          <w:p w14:paraId="53921C64" w14:textId="77777777" w:rsidR="008C5CFA" w:rsidRPr="009C3005" w:rsidRDefault="00E82A60" w:rsidP="00300A01">
            <w:pPr>
              <w:pStyle w:val="Text1"/>
              <w:spacing w:before="0" w:after="0"/>
              <w:ind w:left="0"/>
              <w:rPr>
                <w:sz w:val="12"/>
                <w:szCs w:val="12"/>
              </w:rPr>
            </w:pPr>
            <w:r>
              <w:rPr>
                <w:noProof/>
                <w:sz w:val="12"/>
                <w:szCs w:val="12"/>
              </w:rPr>
              <w:t>EFS</w:t>
            </w:r>
          </w:p>
        </w:tc>
        <w:tc>
          <w:tcPr>
            <w:tcW w:w="0" w:type="auto"/>
            <w:shd w:val="clear" w:color="auto" w:fill="auto"/>
          </w:tcPr>
          <w:p w14:paraId="27580697" w14:textId="77777777" w:rsidR="008C5CFA" w:rsidRPr="009C3005" w:rsidRDefault="00E82A60" w:rsidP="00300A01">
            <w:pPr>
              <w:pStyle w:val="Text1"/>
              <w:spacing w:before="0" w:after="0"/>
              <w:ind w:left="0"/>
              <w:rPr>
                <w:sz w:val="12"/>
                <w:szCs w:val="12"/>
              </w:rPr>
            </w:pPr>
            <w:r>
              <w:rPr>
                <w:noProof/>
                <w:sz w:val="12"/>
                <w:szCs w:val="12"/>
              </w:rPr>
              <w:t>Słabiej rozwinięte</w:t>
            </w:r>
          </w:p>
        </w:tc>
        <w:tc>
          <w:tcPr>
            <w:tcW w:w="0" w:type="auto"/>
            <w:shd w:val="clear" w:color="auto" w:fill="auto"/>
          </w:tcPr>
          <w:p w14:paraId="770195A9" w14:textId="77777777" w:rsidR="008C5CFA" w:rsidRPr="009C3005" w:rsidRDefault="00E82A60" w:rsidP="00300A01">
            <w:pPr>
              <w:pStyle w:val="Text1"/>
              <w:spacing w:before="0" w:after="0"/>
              <w:ind w:left="0"/>
              <w:rPr>
                <w:sz w:val="12"/>
                <w:szCs w:val="12"/>
              </w:rPr>
            </w:pPr>
            <w:r>
              <w:rPr>
                <w:noProof/>
                <w:sz w:val="12"/>
                <w:szCs w:val="12"/>
              </w:rPr>
              <w:t>105</w:t>
            </w:r>
          </w:p>
        </w:tc>
        <w:tc>
          <w:tcPr>
            <w:tcW w:w="0" w:type="auto"/>
            <w:shd w:val="clear" w:color="auto" w:fill="auto"/>
          </w:tcPr>
          <w:p w14:paraId="12D76730"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6C9E5A67"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11FF0394"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7F38F671" w14:textId="77777777" w:rsidR="008C5CFA" w:rsidRPr="009C3005" w:rsidRDefault="008C5CFA" w:rsidP="00300A01">
            <w:pPr>
              <w:pStyle w:val="Text1"/>
              <w:spacing w:before="0" w:after="0"/>
              <w:ind w:left="0"/>
              <w:rPr>
                <w:sz w:val="12"/>
                <w:szCs w:val="12"/>
              </w:rPr>
            </w:pPr>
          </w:p>
        </w:tc>
        <w:tc>
          <w:tcPr>
            <w:tcW w:w="0" w:type="auto"/>
            <w:shd w:val="clear" w:color="auto" w:fill="auto"/>
          </w:tcPr>
          <w:p w14:paraId="4753374D" w14:textId="77777777" w:rsidR="008C5CFA" w:rsidRPr="009C3005" w:rsidRDefault="00E82A60" w:rsidP="00300A01">
            <w:pPr>
              <w:pStyle w:val="Text1"/>
              <w:spacing w:before="0" w:after="0"/>
              <w:ind w:left="0"/>
              <w:rPr>
                <w:sz w:val="12"/>
                <w:szCs w:val="12"/>
              </w:rPr>
            </w:pPr>
            <w:r>
              <w:rPr>
                <w:noProof/>
                <w:sz w:val="12"/>
                <w:szCs w:val="12"/>
              </w:rPr>
              <w:t>08</w:t>
            </w:r>
            <w:r>
              <w:rPr>
                <w:sz w:val="12"/>
                <w:szCs w:val="12"/>
              </w:rPr>
              <w:t xml:space="preserve"> </w:t>
            </w:r>
          </w:p>
        </w:tc>
        <w:tc>
          <w:tcPr>
            <w:tcW w:w="0" w:type="auto"/>
            <w:shd w:val="clear" w:color="auto" w:fill="auto"/>
          </w:tcPr>
          <w:p w14:paraId="5E7D4E53" w14:textId="77777777" w:rsidR="008C5CFA" w:rsidRPr="009C3005" w:rsidRDefault="00E82A60" w:rsidP="00300A01">
            <w:pPr>
              <w:pStyle w:val="Text1"/>
              <w:spacing w:before="0" w:after="0"/>
              <w:ind w:left="0"/>
              <w:rPr>
                <w:sz w:val="12"/>
                <w:szCs w:val="12"/>
              </w:rPr>
            </w:pPr>
            <w:r>
              <w:rPr>
                <w:noProof/>
                <w:sz w:val="12"/>
                <w:szCs w:val="12"/>
              </w:rPr>
              <w:t>18</w:t>
            </w:r>
          </w:p>
        </w:tc>
        <w:tc>
          <w:tcPr>
            <w:tcW w:w="0" w:type="auto"/>
            <w:shd w:val="clear" w:color="auto" w:fill="auto"/>
          </w:tcPr>
          <w:p w14:paraId="0832BFB1" w14:textId="77777777" w:rsidR="008C5CFA" w:rsidRPr="009C3005" w:rsidRDefault="00E82A60" w:rsidP="00300A01">
            <w:pPr>
              <w:pStyle w:val="Text1"/>
              <w:spacing w:before="0" w:after="0"/>
              <w:ind w:left="0"/>
              <w:rPr>
                <w:sz w:val="12"/>
                <w:szCs w:val="12"/>
              </w:rPr>
            </w:pPr>
            <w:r>
              <w:rPr>
                <w:noProof/>
                <w:sz w:val="12"/>
                <w:szCs w:val="12"/>
              </w:rPr>
              <w:t>PL33</w:t>
            </w:r>
          </w:p>
        </w:tc>
        <w:tc>
          <w:tcPr>
            <w:tcW w:w="0" w:type="auto"/>
            <w:shd w:val="clear" w:color="auto" w:fill="auto"/>
          </w:tcPr>
          <w:p w14:paraId="1DF08E3E" w14:textId="77777777" w:rsidR="008C5CFA" w:rsidRPr="009C3005" w:rsidRDefault="00E82A60" w:rsidP="00300A01">
            <w:pPr>
              <w:pStyle w:val="Text1"/>
              <w:spacing w:before="0" w:after="0"/>
              <w:ind w:left="0"/>
              <w:jc w:val="right"/>
              <w:rPr>
                <w:sz w:val="12"/>
                <w:szCs w:val="12"/>
              </w:rPr>
            </w:pPr>
            <w:r w:rsidRPr="009C3005">
              <w:rPr>
                <w:noProof/>
                <w:sz w:val="12"/>
                <w:szCs w:val="12"/>
              </w:rPr>
              <w:t>494 844,68</w:t>
            </w:r>
          </w:p>
        </w:tc>
        <w:tc>
          <w:tcPr>
            <w:tcW w:w="0" w:type="auto"/>
            <w:shd w:val="clear" w:color="auto" w:fill="auto"/>
          </w:tcPr>
          <w:p w14:paraId="308DA90E" w14:textId="77777777" w:rsidR="008C5CFA" w:rsidRPr="009C3005" w:rsidRDefault="00E82A60" w:rsidP="00300A01">
            <w:pPr>
              <w:pStyle w:val="Text1"/>
              <w:spacing w:before="0" w:after="0"/>
              <w:ind w:left="0"/>
              <w:jc w:val="right"/>
              <w:rPr>
                <w:sz w:val="12"/>
                <w:szCs w:val="12"/>
              </w:rPr>
            </w:pPr>
            <w:r w:rsidRPr="009C3005">
              <w:rPr>
                <w:noProof/>
                <w:sz w:val="12"/>
                <w:szCs w:val="12"/>
              </w:rPr>
              <w:t>450 884,57</w:t>
            </w:r>
          </w:p>
        </w:tc>
        <w:tc>
          <w:tcPr>
            <w:tcW w:w="0" w:type="auto"/>
            <w:shd w:val="clear" w:color="auto" w:fill="auto"/>
          </w:tcPr>
          <w:p w14:paraId="459B5155" w14:textId="77777777" w:rsidR="008C5CFA" w:rsidRPr="009C3005" w:rsidRDefault="00E82A60" w:rsidP="00300A01">
            <w:pPr>
              <w:pStyle w:val="Text1"/>
              <w:spacing w:before="0" w:after="0"/>
              <w:ind w:left="0"/>
              <w:jc w:val="right"/>
              <w:rPr>
                <w:sz w:val="12"/>
                <w:szCs w:val="12"/>
              </w:rPr>
            </w:pPr>
            <w:r w:rsidRPr="009C3005">
              <w:rPr>
                <w:noProof/>
                <w:sz w:val="12"/>
                <w:szCs w:val="12"/>
              </w:rPr>
              <w:t>254 560,32</w:t>
            </w:r>
          </w:p>
        </w:tc>
        <w:tc>
          <w:tcPr>
            <w:tcW w:w="0" w:type="auto"/>
            <w:shd w:val="clear" w:color="auto" w:fill="auto"/>
          </w:tcPr>
          <w:p w14:paraId="728BFC26" w14:textId="77777777" w:rsidR="008C5CFA" w:rsidRPr="009C3005" w:rsidRDefault="00E82A60" w:rsidP="00300A01">
            <w:pPr>
              <w:pStyle w:val="Text1"/>
              <w:spacing w:before="0" w:after="0"/>
              <w:ind w:left="0"/>
              <w:jc w:val="right"/>
              <w:rPr>
                <w:sz w:val="12"/>
                <w:szCs w:val="12"/>
              </w:rPr>
            </w:pPr>
            <w:r w:rsidRPr="009C3005">
              <w:rPr>
                <w:noProof/>
                <w:sz w:val="12"/>
                <w:szCs w:val="12"/>
              </w:rPr>
              <w:t>2</w:t>
            </w:r>
          </w:p>
        </w:tc>
      </w:tr>
      <w:tr w:rsidR="006B2EC1" w14:paraId="2E53BE40" w14:textId="77777777" w:rsidTr="0047688D">
        <w:tc>
          <w:tcPr>
            <w:tcW w:w="0" w:type="auto"/>
            <w:shd w:val="clear" w:color="auto" w:fill="auto"/>
          </w:tcPr>
          <w:p w14:paraId="01028977" w14:textId="77777777" w:rsidR="008C5CFA" w:rsidRPr="009C3005" w:rsidRDefault="00E82A60" w:rsidP="00300A01">
            <w:pPr>
              <w:pStyle w:val="Text1"/>
              <w:spacing w:before="0" w:after="0"/>
              <w:ind w:left="0"/>
              <w:rPr>
                <w:sz w:val="12"/>
                <w:szCs w:val="12"/>
              </w:rPr>
            </w:pPr>
            <w:r>
              <w:rPr>
                <w:noProof/>
                <w:sz w:val="14"/>
                <w:szCs w:val="14"/>
                <w:lang w:val="fr-BE"/>
              </w:rPr>
              <w:t>8</w:t>
            </w:r>
          </w:p>
        </w:tc>
        <w:tc>
          <w:tcPr>
            <w:tcW w:w="0" w:type="auto"/>
            <w:shd w:val="clear" w:color="auto" w:fill="auto"/>
          </w:tcPr>
          <w:p w14:paraId="596049A9" w14:textId="77777777" w:rsidR="008C5CFA" w:rsidRPr="009C3005" w:rsidRDefault="00E82A60" w:rsidP="00300A01">
            <w:pPr>
              <w:pStyle w:val="Text1"/>
              <w:spacing w:before="0" w:after="0"/>
              <w:ind w:left="0"/>
              <w:rPr>
                <w:sz w:val="12"/>
                <w:szCs w:val="12"/>
              </w:rPr>
            </w:pPr>
            <w:r>
              <w:rPr>
                <w:noProof/>
                <w:sz w:val="12"/>
                <w:szCs w:val="12"/>
              </w:rPr>
              <w:t>EFS</w:t>
            </w:r>
          </w:p>
        </w:tc>
        <w:tc>
          <w:tcPr>
            <w:tcW w:w="0" w:type="auto"/>
            <w:shd w:val="clear" w:color="auto" w:fill="auto"/>
          </w:tcPr>
          <w:p w14:paraId="5DF6B169" w14:textId="77777777" w:rsidR="008C5CFA" w:rsidRPr="009C3005" w:rsidRDefault="00E82A60" w:rsidP="00300A01">
            <w:pPr>
              <w:pStyle w:val="Text1"/>
              <w:spacing w:before="0" w:after="0"/>
              <w:ind w:left="0"/>
              <w:rPr>
                <w:sz w:val="12"/>
                <w:szCs w:val="12"/>
              </w:rPr>
            </w:pPr>
            <w:r>
              <w:rPr>
                <w:noProof/>
                <w:sz w:val="12"/>
                <w:szCs w:val="12"/>
              </w:rPr>
              <w:t>Słabiej rozwinięte</w:t>
            </w:r>
          </w:p>
        </w:tc>
        <w:tc>
          <w:tcPr>
            <w:tcW w:w="0" w:type="auto"/>
            <w:shd w:val="clear" w:color="auto" w:fill="auto"/>
          </w:tcPr>
          <w:p w14:paraId="5C00E65B" w14:textId="77777777" w:rsidR="008C5CFA" w:rsidRPr="009C3005" w:rsidRDefault="00E82A60" w:rsidP="00300A01">
            <w:pPr>
              <w:pStyle w:val="Text1"/>
              <w:spacing w:before="0" w:after="0"/>
              <w:ind w:left="0"/>
              <w:rPr>
                <w:sz w:val="12"/>
                <w:szCs w:val="12"/>
              </w:rPr>
            </w:pPr>
            <w:r>
              <w:rPr>
                <w:noProof/>
                <w:sz w:val="12"/>
                <w:szCs w:val="12"/>
              </w:rPr>
              <w:t>105</w:t>
            </w:r>
          </w:p>
        </w:tc>
        <w:tc>
          <w:tcPr>
            <w:tcW w:w="0" w:type="auto"/>
            <w:shd w:val="clear" w:color="auto" w:fill="auto"/>
          </w:tcPr>
          <w:p w14:paraId="29920967"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627F6DD0"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4DA4A3A5"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4026DE0A" w14:textId="77777777" w:rsidR="008C5CFA" w:rsidRPr="009C3005" w:rsidRDefault="008C5CFA" w:rsidP="00300A01">
            <w:pPr>
              <w:pStyle w:val="Text1"/>
              <w:spacing w:before="0" w:after="0"/>
              <w:ind w:left="0"/>
              <w:rPr>
                <w:sz w:val="12"/>
                <w:szCs w:val="12"/>
              </w:rPr>
            </w:pPr>
          </w:p>
        </w:tc>
        <w:tc>
          <w:tcPr>
            <w:tcW w:w="0" w:type="auto"/>
            <w:shd w:val="clear" w:color="auto" w:fill="auto"/>
          </w:tcPr>
          <w:p w14:paraId="2E20EB18" w14:textId="77777777" w:rsidR="008C5CFA" w:rsidRPr="009C3005" w:rsidRDefault="00E82A60" w:rsidP="00300A01">
            <w:pPr>
              <w:pStyle w:val="Text1"/>
              <w:spacing w:before="0" w:after="0"/>
              <w:ind w:left="0"/>
              <w:rPr>
                <w:sz w:val="12"/>
                <w:szCs w:val="12"/>
              </w:rPr>
            </w:pPr>
            <w:r>
              <w:rPr>
                <w:noProof/>
                <w:sz w:val="12"/>
                <w:szCs w:val="12"/>
              </w:rPr>
              <w:t>08</w:t>
            </w:r>
            <w:r>
              <w:rPr>
                <w:sz w:val="12"/>
                <w:szCs w:val="12"/>
              </w:rPr>
              <w:t xml:space="preserve"> </w:t>
            </w:r>
          </w:p>
        </w:tc>
        <w:tc>
          <w:tcPr>
            <w:tcW w:w="0" w:type="auto"/>
            <w:shd w:val="clear" w:color="auto" w:fill="auto"/>
          </w:tcPr>
          <w:p w14:paraId="3FE7B9CE" w14:textId="77777777" w:rsidR="008C5CFA" w:rsidRPr="009C3005" w:rsidRDefault="00E82A60" w:rsidP="00300A01">
            <w:pPr>
              <w:pStyle w:val="Text1"/>
              <w:spacing w:before="0" w:after="0"/>
              <w:ind w:left="0"/>
              <w:rPr>
                <w:sz w:val="12"/>
                <w:szCs w:val="12"/>
              </w:rPr>
            </w:pPr>
            <w:r>
              <w:rPr>
                <w:noProof/>
                <w:sz w:val="12"/>
                <w:szCs w:val="12"/>
              </w:rPr>
              <w:t>19</w:t>
            </w:r>
          </w:p>
        </w:tc>
        <w:tc>
          <w:tcPr>
            <w:tcW w:w="0" w:type="auto"/>
            <w:shd w:val="clear" w:color="auto" w:fill="auto"/>
          </w:tcPr>
          <w:p w14:paraId="37CFF59E" w14:textId="77777777" w:rsidR="008C5CFA" w:rsidRPr="009C3005" w:rsidRDefault="00E82A60" w:rsidP="00300A01">
            <w:pPr>
              <w:pStyle w:val="Text1"/>
              <w:spacing w:before="0" w:after="0"/>
              <w:ind w:left="0"/>
              <w:rPr>
                <w:sz w:val="12"/>
                <w:szCs w:val="12"/>
              </w:rPr>
            </w:pPr>
            <w:r>
              <w:rPr>
                <w:noProof/>
                <w:sz w:val="12"/>
                <w:szCs w:val="12"/>
              </w:rPr>
              <w:t>PL33</w:t>
            </w:r>
          </w:p>
        </w:tc>
        <w:tc>
          <w:tcPr>
            <w:tcW w:w="0" w:type="auto"/>
            <w:shd w:val="clear" w:color="auto" w:fill="auto"/>
          </w:tcPr>
          <w:p w14:paraId="400E89D0" w14:textId="77777777" w:rsidR="008C5CFA" w:rsidRPr="009C3005" w:rsidRDefault="00E82A60" w:rsidP="00300A01">
            <w:pPr>
              <w:pStyle w:val="Text1"/>
              <w:spacing w:before="0" w:after="0"/>
              <w:ind w:left="0"/>
              <w:jc w:val="right"/>
              <w:rPr>
                <w:sz w:val="12"/>
                <w:szCs w:val="12"/>
              </w:rPr>
            </w:pPr>
            <w:r w:rsidRPr="009C3005">
              <w:rPr>
                <w:noProof/>
                <w:sz w:val="12"/>
                <w:szCs w:val="12"/>
              </w:rPr>
              <w:t>20 064,25</w:t>
            </w:r>
          </w:p>
        </w:tc>
        <w:tc>
          <w:tcPr>
            <w:tcW w:w="0" w:type="auto"/>
            <w:shd w:val="clear" w:color="auto" w:fill="auto"/>
          </w:tcPr>
          <w:p w14:paraId="08C9BB1F" w14:textId="77777777" w:rsidR="008C5CFA" w:rsidRPr="009C3005" w:rsidRDefault="00E82A60" w:rsidP="00300A01">
            <w:pPr>
              <w:pStyle w:val="Text1"/>
              <w:spacing w:before="0" w:after="0"/>
              <w:ind w:left="0"/>
              <w:jc w:val="right"/>
              <w:rPr>
                <w:sz w:val="12"/>
                <w:szCs w:val="12"/>
              </w:rPr>
            </w:pPr>
            <w:r w:rsidRPr="009C3005">
              <w:rPr>
                <w:noProof/>
                <w:sz w:val="12"/>
                <w:szCs w:val="12"/>
              </w:rPr>
              <w:t>17 054,41</w:t>
            </w:r>
          </w:p>
        </w:tc>
        <w:tc>
          <w:tcPr>
            <w:tcW w:w="0" w:type="auto"/>
            <w:shd w:val="clear" w:color="auto" w:fill="auto"/>
          </w:tcPr>
          <w:p w14:paraId="3E1C3D79" w14:textId="77777777" w:rsidR="008C5CFA" w:rsidRPr="009C3005" w:rsidRDefault="00E82A60" w:rsidP="00300A01">
            <w:pPr>
              <w:pStyle w:val="Text1"/>
              <w:spacing w:before="0" w:after="0"/>
              <w:ind w:left="0"/>
              <w:jc w:val="right"/>
              <w:rPr>
                <w:sz w:val="12"/>
                <w:szCs w:val="12"/>
              </w:rPr>
            </w:pPr>
            <w:r w:rsidRPr="009C3005">
              <w:rPr>
                <w:noProof/>
                <w:sz w:val="12"/>
                <w:szCs w:val="12"/>
              </w:rPr>
              <w:t>20 064,25</w:t>
            </w:r>
          </w:p>
        </w:tc>
        <w:tc>
          <w:tcPr>
            <w:tcW w:w="0" w:type="auto"/>
            <w:shd w:val="clear" w:color="auto" w:fill="auto"/>
          </w:tcPr>
          <w:p w14:paraId="5C6F210C" w14:textId="77777777" w:rsidR="008C5CFA" w:rsidRPr="009C3005" w:rsidRDefault="00E82A60" w:rsidP="00300A01">
            <w:pPr>
              <w:pStyle w:val="Text1"/>
              <w:spacing w:before="0" w:after="0"/>
              <w:ind w:left="0"/>
              <w:jc w:val="right"/>
              <w:rPr>
                <w:sz w:val="12"/>
                <w:szCs w:val="12"/>
              </w:rPr>
            </w:pPr>
            <w:r w:rsidRPr="009C3005">
              <w:rPr>
                <w:noProof/>
                <w:sz w:val="12"/>
                <w:szCs w:val="12"/>
              </w:rPr>
              <w:t>1</w:t>
            </w:r>
          </w:p>
        </w:tc>
      </w:tr>
      <w:tr w:rsidR="006B2EC1" w14:paraId="0D749DE8" w14:textId="77777777" w:rsidTr="0047688D">
        <w:tc>
          <w:tcPr>
            <w:tcW w:w="0" w:type="auto"/>
            <w:shd w:val="clear" w:color="auto" w:fill="auto"/>
          </w:tcPr>
          <w:p w14:paraId="5DB65E83" w14:textId="77777777" w:rsidR="008C5CFA" w:rsidRPr="009C3005" w:rsidRDefault="00E82A60" w:rsidP="00300A01">
            <w:pPr>
              <w:pStyle w:val="Text1"/>
              <w:spacing w:before="0" w:after="0"/>
              <w:ind w:left="0"/>
              <w:rPr>
                <w:sz w:val="12"/>
                <w:szCs w:val="12"/>
              </w:rPr>
            </w:pPr>
            <w:r>
              <w:rPr>
                <w:noProof/>
                <w:sz w:val="14"/>
                <w:szCs w:val="14"/>
                <w:lang w:val="fr-BE"/>
              </w:rPr>
              <w:t>8</w:t>
            </w:r>
          </w:p>
        </w:tc>
        <w:tc>
          <w:tcPr>
            <w:tcW w:w="0" w:type="auto"/>
            <w:shd w:val="clear" w:color="auto" w:fill="auto"/>
          </w:tcPr>
          <w:p w14:paraId="3854A972" w14:textId="77777777" w:rsidR="008C5CFA" w:rsidRPr="009C3005" w:rsidRDefault="00E82A60" w:rsidP="00300A01">
            <w:pPr>
              <w:pStyle w:val="Text1"/>
              <w:spacing w:before="0" w:after="0"/>
              <w:ind w:left="0"/>
              <w:rPr>
                <w:sz w:val="12"/>
                <w:szCs w:val="12"/>
              </w:rPr>
            </w:pPr>
            <w:r>
              <w:rPr>
                <w:noProof/>
                <w:sz w:val="12"/>
                <w:szCs w:val="12"/>
              </w:rPr>
              <w:t>EFS</w:t>
            </w:r>
          </w:p>
        </w:tc>
        <w:tc>
          <w:tcPr>
            <w:tcW w:w="0" w:type="auto"/>
            <w:shd w:val="clear" w:color="auto" w:fill="auto"/>
          </w:tcPr>
          <w:p w14:paraId="22F55CCC" w14:textId="77777777" w:rsidR="008C5CFA" w:rsidRPr="009C3005" w:rsidRDefault="00E82A60" w:rsidP="00300A01">
            <w:pPr>
              <w:pStyle w:val="Text1"/>
              <w:spacing w:before="0" w:after="0"/>
              <w:ind w:left="0"/>
              <w:rPr>
                <w:sz w:val="12"/>
                <w:szCs w:val="12"/>
              </w:rPr>
            </w:pPr>
            <w:r>
              <w:rPr>
                <w:noProof/>
                <w:sz w:val="12"/>
                <w:szCs w:val="12"/>
              </w:rPr>
              <w:t>Słabiej rozwinięte</w:t>
            </w:r>
          </w:p>
        </w:tc>
        <w:tc>
          <w:tcPr>
            <w:tcW w:w="0" w:type="auto"/>
            <w:shd w:val="clear" w:color="auto" w:fill="auto"/>
          </w:tcPr>
          <w:p w14:paraId="39F5C48B" w14:textId="77777777" w:rsidR="008C5CFA" w:rsidRPr="009C3005" w:rsidRDefault="00E82A60" w:rsidP="00300A01">
            <w:pPr>
              <w:pStyle w:val="Text1"/>
              <w:spacing w:before="0" w:after="0"/>
              <w:ind w:left="0"/>
              <w:rPr>
                <w:sz w:val="12"/>
                <w:szCs w:val="12"/>
              </w:rPr>
            </w:pPr>
            <w:r>
              <w:rPr>
                <w:noProof/>
                <w:sz w:val="12"/>
                <w:szCs w:val="12"/>
              </w:rPr>
              <w:t>105</w:t>
            </w:r>
          </w:p>
        </w:tc>
        <w:tc>
          <w:tcPr>
            <w:tcW w:w="0" w:type="auto"/>
            <w:shd w:val="clear" w:color="auto" w:fill="auto"/>
          </w:tcPr>
          <w:p w14:paraId="2481D872"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24595FFD"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13C426D5"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67127C83" w14:textId="77777777" w:rsidR="008C5CFA" w:rsidRPr="009C3005" w:rsidRDefault="008C5CFA" w:rsidP="00300A01">
            <w:pPr>
              <w:pStyle w:val="Text1"/>
              <w:spacing w:before="0" w:after="0"/>
              <w:ind w:left="0"/>
              <w:rPr>
                <w:sz w:val="12"/>
                <w:szCs w:val="12"/>
              </w:rPr>
            </w:pPr>
          </w:p>
        </w:tc>
        <w:tc>
          <w:tcPr>
            <w:tcW w:w="0" w:type="auto"/>
            <w:shd w:val="clear" w:color="auto" w:fill="auto"/>
          </w:tcPr>
          <w:p w14:paraId="4B3FA433" w14:textId="77777777" w:rsidR="008C5CFA" w:rsidRPr="009C3005" w:rsidRDefault="00E82A60" w:rsidP="00300A01">
            <w:pPr>
              <w:pStyle w:val="Text1"/>
              <w:spacing w:before="0" w:after="0"/>
              <w:ind w:left="0"/>
              <w:rPr>
                <w:sz w:val="12"/>
                <w:szCs w:val="12"/>
              </w:rPr>
            </w:pPr>
            <w:r>
              <w:rPr>
                <w:noProof/>
                <w:sz w:val="12"/>
                <w:szCs w:val="12"/>
              </w:rPr>
              <w:t>08</w:t>
            </w:r>
            <w:r>
              <w:rPr>
                <w:sz w:val="12"/>
                <w:szCs w:val="12"/>
              </w:rPr>
              <w:t xml:space="preserve"> </w:t>
            </w:r>
          </w:p>
        </w:tc>
        <w:tc>
          <w:tcPr>
            <w:tcW w:w="0" w:type="auto"/>
            <w:shd w:val="clear" w:color="auto" w:fill="auto"/>
          </w:tcPr>
          <w:p w14:paraId="638B26F8" w14:textId="77777777" w:rsidR="008C5CFA" w:rsidRPr="009C3005" w:rsidRDefault="00E82A60" w:rsidP="00300A01">
            <w:pPr>
              <w:pStyle w:val="Text1"/>
              <w:spacing w:before="0" w:after="0"/>
              <w:ind w:left="0"/>
              <w:rPr>
                <w:sz w:val="12"/>
                <w:szCs w:val="12"/>
              </w:rPr>
            </w:pPr>
            <w:r>
              <w:rPr>
                <w:noProof/>
                <w:sz w:val="12"/>
                <w:szCs w:val="12"/>
              </w:rPr>
              <w:t>18</w:t>
            </w:r>
          </w:p>
        </w:tc>
        <w:tc>
          <w:tcPr>
            <w:tcW w:w="0" w:type="auto"/>
            <w:shd w:val="clear" w:color="auto" w:fill="auto"/>
          </w:tcPr>
          <w:p w14:paraId="6C62EE41" w14:textId="77777777" w:rsidR="008C5CFA" w:rsidRPr="009C3005" w:rsidRDefault="00E82A60" w:rsidP="00300A01">
            <w:pPr>
              <w:pStyle w:val="Text1"/>
              <w:spacing w:before="0" w:after="0"/>
              <w:ind w:left="0"/>
              <w:rPr>
                <w:sz w:val="12"/>
                <w:szCs w:val="12"/>
              </w:rPr>
            </w:pPr>
            <w:r>
              <w:rPr>
                <w:noProof/>
                <w:sz w:val="12"/>
                <w:szCs w:val="12"/>
              </w:rPr>
              <w:t>PL33</w:t>
            </w:r>
          </w:p>
        </w:tc>
        <w:tc>
          <w:tcPr>
            <w:tcW w:w="0" w:type="auto"/>
            <w:shd w:val="clear" w:color="auto" w:fill="auto"/>
          </w:tcPr>
          <w:p w14:paraId="2A5B1E9D" w14:textId="77777777" w:rsidR="008C5CFA" w:rsidRPr="009C3005" w:rsidRDefault="00E82A60" w:rsidP="00300A01">
            <w:pPr>
              <w:pStyle w:val="Text1"/>
              <w:spacing w:before="0" w:after="0"/>
              <w:ind w:left="0"/>
              <w:jc w:val="right"/>
              <w:rPr>
                <w:sz w:val="12"/>
                <w:szCs w:val="12"/>
              </w:rPr>
            </w:pPr>
            <w:r w:rsidRPr="009C3005">
              <w:rPr>
                <w:noProof/>
                <w:sz w:val="12"/>
                <w:szCs w:val="12"/>
              </w:rPr>
              <w:t>1 932 461,75</w:t>
            </w:r>
          </w:p>
        </w:tc>
        <w:tc>
          <w:tcPr>
            <w:tcW w:w="0" w:type="auto"/>
            <w:shd w:val="clear" w:color="auto" w:fill="auto"/>
          </w:tcPr>
          <w:p w14:paraId="04B22F33" w14:textId="77777777" w:rsidR="008C5CFA" w:rsidRPr="009C3005" w:rsidRDefault="00E82A60" w:rsidP="00300A01">
            <w:pPr>
              <w:pStyle w:val="Text1"/>
              <w:spacing w:before="0" w:after="0"/>
              <w:ind w:left="0"/>
              <w:jc w:val="right"/>
              <w:rPr>
                <w:sz w:val="12"/>
                <w:szCs w:val="12"/>
              </w:rPr>
            </w:pPr>
            <w:r w:rsidRPr="009C3005">
              <w:rPr>
                <w:noProof/>
                <w:sz w:val="12"/>
                <w:szCs w:val="12"/>
              </w:rPr>
              <w:t>1 876 737,83</w:t>
            </w:r>
          </w:p>
        </w:tc>
        <w:tc>
          <w:tcPr>
            <w:tcW w:w="0" w:type="auto"/>
            <w:shd w:val="clear" w:color="auto" w:fill="auto"/>
          </w:tcPr>
          <w:p w14:paraId="42C979EA" w14:textId="77777777" w:rsidR="008C5CFA" w:rsidRPr="009C3005" w:rsidRDefault="00E82A60" w:rsidP="00300A01">
            <w:pPr>
              <w:pStyle w:val="Text1"/>
              <w:spacing w:before="0" w:after="0"/>
              <w:ind w:left="0"/>
              <w:jc w:val="right"/>
              <w:rPr>
                <w:sz w:val="12"/>
                <w:szCs w:val="12"/>
              </w:rPr>
            </w:pPr>
            <w:r w:rsidRPr="009C3005">
              <w:rPr>
                <w:noProof/>
                <w:sz w:val="12"/>
                <w:szCs w:val="12"/>
              </w:rPr>
              <w:t>613 889,38</w:t>
            </w:r>
          </w:p>
        </w:tc>
        <w:tc>
          <w:tcPr>
            <w:tcW w:w="0" w:type="auto"/>
            <w:shd w:val="clear" w:color="auto" w:fill="auto"/>
          </w:tcPr>
          <w:p w14:paraId="4656DD4D" w14:textId="77777777" w:rsidR="008C5CFA" w:rsidRPr="009C3005" w:rsidRDefault="00E82A60" w:rsidP="00300A01">
            <w:pPr>
              <w:pStyle w:val="Text1"/>
              <w:spacing w:before="0" w:after="0"/>
              <w:ind w:left="0"/>
              <w:jc w:val="right"/>
              <w:rPr>
                <w:sz w:val="12"/>
                <w:szCs w:val="12"/>
              </w:rPr>
            </w:pPr>
            <w:r w:rsidRPr="009C3005">
              <w:rPr>
                <w:noProof/>
                <w:sz w:val="12"/>
                <w:szCs w:val="12"/>
              </w:rPr>
              <w:t>7</w:t>
            </w:r>
          </w:p>
        </w:tc>
      </w:tr>
      <w:tr w:rsidR="006B2EC1" w14:paraId="5E13F461" w14:textId="77777777" w:rsidTr="0047688D">
        <w:tc>
          <w:tcPr>
            <w:tcW w:w="0" w:type="auto"/>
            <w:shd w:val="clear" w:color="auto" w:fill="auto"/>
          </w:tcPr>
          <w:p w14:paraId="4DDA72F8" w14:textId="77777777" w:rsidR="008C5CFA" w:rsidRPr="009C3005" w:rsidRDefault="00E82A60" w:rsidP="00300A01">
            <w:pPr>
              <w:pStyle w:val="Text1"/>
              <w:spacing w:before="0" w:after="0"/>
              <w:ind w:left="0"/>
              <w:rPr>
                <w:sz w:val="12"/>
                <w:szCs w:val="12"/>
              </w:rPr>
            </w:pPr>
            <w:r>
              <w:rPr>
                <w:noProof/>
                <w:sz w:val="14"/>
                <w:szCs w:val="14"/>
                <w:lang w:val="fr-BE"/>
              </w:rPr>
              <w:t>8</w:t>
            </w:r>
          </w:p>
        </w:tc>
        <w:tc>
          <w:tcPr>
            <w:tcW w:w="0" w:type="auto"/>
            <w:shd w:val="clear" w:color="auto" w:fill="auto"/>
          </w:tcPr>
          <w:p w14:paraId="50797BF2" w14:textId="77777777" w:rsidR="008C5CFA" w:rsidRPr="009C3005" w:rsidRDefault="00E82A60" w:rsidP="00300A01">
            <w:pPr>
              <w:pStyle w:val="Text1"/>
              <w:spacing w:before="0" w:after="0"/>
              <w:ind w:left="0"/>
              <w:rPr>
                <w:sz w:val="12"/>
                <w:szCs w:val="12"/>
              </w:rPr>
            </w:pPr>
            <w:r>
              <w:rPr>
                <w:noProof/>
                <w:sz w:val="12"/>
                <w:szCs w:val="12"/>
              </w:rPr>
              <w:t>EFS</w:t>
            </w:r>
          </w:p>
        </w:tc>
        <w:tc>
          <w:tcPr>
            <w:tcW w:w="0" w:type="auto"/>
            <w:shd w:val="clear" w:color="auto" w:fill="auto"/>
          </w:tcPr>
          <w:p w14:paraId="5F94C34F" w14:textId="77777777" w:rsidR="008C5CFA" w:rsidRPr="009C3005" w:rsidRDefault="00E82A60" w:rsidP="00300A01">
            <w:pPr>
              <w:pStyle w:val="Text1"/>
              <w:spacing w:before="0" w:after="0"/>
              <w:ind w:left="0"/>
              <w:rPr>
                <w:sz w:val="12"/>
                <w:szCs w:val="12"/>
              </w:rPr>
            </w:pPr>
            <w:r>
              <w:rPr>
                <w:noProof/>
                <w:sz w:val="12"/>
                <w:szCs w:val="12"/>
              </w:rPr>
              <w:t>Słabiej rozwinięte</w:t>
            </w:r>
          </w:p>
        </w:tc>
        <w:tc>
          <w:tcPr>
            <w:tcW w:w="0" w:type="auto"/>
            <w:shd w:val="clear" w:color="auto" w:fill="auto"/>
          </w:tcPr>
          <w:p w14:paraId="6915AA14" w14:textId="77777777" w:rsidR="008C5CFA" w:rsidRPr="009C3005" w:rsidRDefault="00E82A60" w:rsidP="00300A01">
            <w:pPr>
              <w:pStyle w:val="Text1"/>
              <w:spacing w:before="0" w:after="0"/>
              <w:ind w:left="0"/>
              <w:rPr>
                <w:sz w:val="12"/>
                <w:szCs w:val="12"/>
              </w:rPr>
            </w:pPr>
            <w:r>
              <w:rPr>
                <w:noProof/>
                <w:sz w:val="12"/>
                <w:szCs w:val="12"/>
              </w:rPr>
              <w:t>105</w:t>
            </w:r>
          </w:p>
        </w:tc>
        <w:tc>
          <w:tcPr>
            <w:tcW w:w="0" w:type="auto"/>
            <w:shd w:val="clear" w:color="auto" w:fill="auto"/>
          </w:tcPr>
          <w:p w14:paraId="7F2AAF2F"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238F89D3"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54A71EEB"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2A5A1136" w14:textId="77777777" w:rsidR="008C5CFA" w:rsidRPr="009C3005" w:rsidRDefault="008C5CFA" w:rsidP="00300A01">
            <w:pPr>
              <w:pStyle w:val="Text1"/>
              <w:spacing w:before="0" w:after="0"/>
              <w:ind w:left="0"/>
              <w:rPr>
                <w:sz w:val="12"/>
                <w:szCs w:val="12"/>
              </w:rPr>
            </w:pPr>
          </w:p>
        </w:tc>
        <w:tc>
          <w:tcPr>
            <w:tcW w:w="0" w:type="auto"/>
            <w:shd w:val="clear" w:color="auto" w:fill="auto"/>
          </w:tcPr>
          <w:p w14:paraId="5C531769" w14:textId="77777777" w:rsidR="008C5CFA" w:rsidRPr="009C3005" w:rsidRDefault="00E82A60" w:rsidP="00300A01">
            <w:pPr>
              <w:pStyle w:val="Text1"/>
              <w:spacing w:before="0" w:after="0"/>
              <w:ind w:left="0"/>
              <w:rPr>
                <w:sz w:val="12"/>
                <w:szCs w:val="12"/>
              </w:rPr>
            </w:pPr>
            <w:r>
              <w:rPr>
                <w:noProof/>
                <w:sz w:val="12"/>
                <w:szCs w:val="12"/>
              </w:rPr>
              <w:t>08</w:t>
            </w:r>
            <w:r>
              <w:rPr>
                <w:sz w:val="12"/>
                <w:szCs w:val="12"/>
              </w:rPr>
              <w:t xml:space="preserve"> </w:t>
            </w:r>
          </w:p>
        </w:tc>
        <w:tc>
          <w:tcPr>
            <w:tcW w:w="0" w:type="auto"/>
            <w:shd w:val="clear" w:color="auto" w:fill="auto"/>
          </w:tcPr>
          <w:p w14:paraId="7AB60C54" w14:textId="77777777" w:rsidR="008C5CFA" w:rsidRPr="009C3005" w:rsidRDefault="00E82A60" w:rsidP="00300A01">
            <w:pPr>
              <w:pStyle w:val="Text1"/>
              <w:spacing w:before="0" w:after="0"/>
              <w:ind w:left="0"/>
              <w:rPr>
                <w:sz w:val="12"/>
                <w:szCs w:val="12"/>
              </w:rPr>
            </w:pPr>
            <w:r>
              <w:rPr>
                <w:noProof/>
                <w:sz w:val="12"/>
                <w:szCs w:val="12"/>
              </w:rPr>
              <w:t>19</w:t>
            </w:r>
          </w:p>
        </w:tc>
        <w:tc>
          <w:tcPr>
            <w:tcW w:w="0" w:type="auto"/>
            <w:shd w:val="clear" w:color="auto" w:fill="auto"/>
          </w:tcPr>
          <w:p w14:paraId="3503F604" w14:textId="77777777" w:rsidR="008C5CFA" w:rsidRPr="009C3005" w:rsidRDefault="00E82A60" w:rsidP="00300A01">
            <w:pPr>
              <w:pStyle w:val="Text1"/>
              <w:spacing w:before="0" w:after="0"/>
              <w:ind w:left="0"/>
              <w:rPr>
                <w:sz w:val="12"/>
                <w:szCs w:val="12"/>
              </w:rPr>
            </w:pPr>
            <w:r>
              <w:rPr>
                <w:noProof/>
                <w:sz w:val="12"/>
                <w:szCs w:val="12"/>
              </w:rPr>
              <w:t>PL33</w:t>
            </w:r>
          </w:p>
        </w:tc>
        <w:tc>
          <w:tcPr>
            <w:tcW w:w="0" w:type="auto"/>
            <w:shd w:val="clear" w:color="auto" w:fill="auto"/>
          </w:tcPr>
          <w:p w14:paraId="7401C8E6" w14:textId="77777777" w:rsidR="008C5CFA" w:rsidRPr="009C3005" w:rsidRDefault="00E82A60" w:rsidP="00300A01">
            <w:pPr>
              <w:pStyle w:val="Text1"/>
              <w:spacing w:before="0" w:after="0"/>
              <w:ind w:left="0"/>
              <w:jc w:val="right"/>
              <w:rPr>
                <w:sz w:val="12"/>
                <w:szCs w:val="12"/>
              </w:rPr>
            </w:pPr>
            <w:r w:rsidRPr="009C3005">
              <w:rPr>
                <w:noProof/>
                <w:sz w:val="12"/>
                <w:szCs w:val="12"/>
              </w:rPr>
              <w:t>3 026 529,63</w:t>
            </w:r>
          </w:p>
        </w:tc>
        <w:tc>
          <w:tcPr>
            <w:tcW w:w="0" w:type="auto"/>
            <w:shd w:val="clear" w:color="auto" w:fill="auto"/>
          </w:tcPr>
          <w:p w14:paraId="03850A68" w14:textId="77777777" w:rsidR="008C5CFA" w:rsidRPr="009C3005" w:rsidRDefault="00E82A60" w:rsidP="00300A01">
            <w:pPr>
              <w:pStyle w:val="Text1"/>
              <w:spacing w:before="0" w:after="0"/>
              <w:ind w:left="0"/>
              <w:jc w:val="right"/>
              <w:rPr>
                <w:sz w:val="12"/>
                <w:szCs w:val="12"/>
              </w:rPr>
            </w:pPr>
            <w:r w:rsidRPr="009C3005">
              <w:rPr>
                <w:noProof/>
                <w:sz w:val="12"/>
                <w:szCs w:val="12"/>
              </w:rPr>
              <w:t>2 631 097,88</w:t>
            </w:r>
          </w:p>
        </w:tc>
        <w:tc>
          <w:tcPr>
            <w:tcW w:w="0" w:type="auto"/>
            <w:shd w:val="clear" w:color="auto" w:fill="auto"/>
          </w:tcPr>
          <w:p w14:paraId="21ECEC29" w14:textId="77777777" w:rsidR="008C5CFA" w:rsidRPr="009C3005" w:rsidRDefault="00E82A60" w:rsidP="00300A01">
            <w:pPr>
              <w:pStyle w:val="Text1"/>
              <w:spacing w:before="0" w:after="0"/>
              <w:ind w:left="0"/>
              <w:jc w:val="right"/>
              <w:rPr>
                <w:sz w:val="12"/>
                <w:szCs w:val="12"/>
              </w:rPr>
            </w:pPr>
            <w:r w:rsidRPr="009C3005">
              <w:rPr>
                <w:noProof/>
                <w:sz w:val="12"/>
                <w:szCs w:val="12"/>
              </w:rPr>
              <w:t>862 509,94</w:t>
            </w:r>
          </w:p>
        </w:tc>
        <w:tc>
          <w:tcPr>
            <w:tcW w:w="0" w:type="auto"/>
            <w:shd w:val="clear" w:color="auto" w:fill="auto"/>
          </w:tcPr>
          <w:p w14:paraId="192C9319" w14:textId="77777777" w:rsidR="008C5CFA" w:rsidRPr="009C3005" w:rsidRDefault="00E82A60" w:rsidP="00300A01">
            <w:pPr>
              <w:pStyle w:val="Text1"/>
              <w:spacing w:before="0" w:after="0"/>
              <w:ind w:left="0"/>
              <w:jc w:val="right"/>
              <w:rPr>
                <w:sz w:val="12"/>
                <w:szCs w:val="12"/>
              </w:rPr>
            </w:pPr>
            <w:r w:rsidRPr="009C3005">
              <w:rPr>
                <w:noProof/>
                <w:sz w:val="12"/>
                <w:szCs w:val="12"/>
              </w:rPr>
              <w:t>16</w:t>
            </w:r>
          </w:p>
        </w:tc>
      </w:tr>
      <w:tr w:rsidR="006B2EC1" w14:paraId="53382616" w14:textId="77777777" w:rsidTr="0047688D">
        <w:tc>
          <w:tcPr>
            <w:tcW w:w="0" w:type="auto"/>
            <w:shd w:val="clear" w:color="auto" w:fill="auto"/>
          </w:tcPr>
          <w:p w14:paraId="3E932653" w14:textId="77777777" w:rsidR="008C5CFA" w:rsidRPr="009C3005" w:rsidRDefault="00E82A60" w:rsidP="00300A01">
            <w:pPr>
              <w:pStyle w:val="Text1"/>
              <w:spacing w:before="0" w:after="0"/>
              <w:ind w:left="0"/>
              <w:rPr>
                <w:sz w:val="12"/>
                <w:szCs w:val="12"/>
              </w:rPr>
            </w:pPr>
            <w:r>
              <w:rPr>
                <w:noProof/>
                <w:sz w:val="14"/>
                <w:szCs w:val="14"/>
                <w:lang w:val="fr-BE"/>
              </w:rPr>
              <w:lastRenderedPageBreak/>
              <w:t>8</w:t>
            </w:r>
          </w:p>
        </w:tc>
        <w:tc>
          <w:tcPr>
            <w:tcW w:w="0" w:type="auto"/>
            <w:shd w:val="clear" w:color="auto" w:fill="auto"/>
          </w:tcPr>
          <w:p w14:paraId="2E320603" w14:textId="77777777" w:rsidR="008C5CFA" w:rsidRPr="009C3005" w:rsidRDefault="00E82A60" w:rsidP="00300A01">
            <w:pPr>
              <w:pStyle w:val="Text1"/>
              <w:spacing w:before="0" w:after="0"/>
              <w:ind w:left="0"/>
              <w:rPr>
                <w:sz w:val="12"/>
                <w:szCs w:val="12"/>
              </w:rPr>
            </w:pPr>
            <w:r>
              <w:rPr>
                <w:noProof/>
                <w:sz w:val="12"/>
                <w:szCs w:val="12"/>
              </w:rPr>
              <w:t>EFS</w:t>
            </w:r>
          </w:p>
        </w:tc>
        <w:tc>
          <w:tcPr>
            <w:tcW w:w="0" w:type="auto"/>
            <w:shd w:val="clear" w:color="auto" w:fill="auto"/>
          </w:tcPr>
          <w:p w14:paraId="501D5BFC" w14:textId="77777777" w:rsidR="008C5CFA" w:rsidRPr="009C3005" w:rsidRDefault="00E82A60" w:rsidP="00300A01">
            <w:pPr>
              <w:pStyle w:val="Text1"/>
              <w:spacing w:before="0" w:after="0"/>
              <w:ind w:left="0"/>
              <w:rPr>
                <w:sz w:val="12"/>
                <w:szCs w:val="12"/>
              </w:rPr>
            </w:pPr>
            <w:r>
              <w:rPr>
                <w:noProof/>
                <w:sz w:val="12"/>
                <w:szCs w:val="12"/>
              </w:rPr>
              <w:t>Słabiej rozwinięte</w:t>
            </w:r>
          </w:p>
        </w:tc>
        <w:tc>
          <w:tcPr>
            <w:tcW w:w="0" w:type="auto"/>
            <w:shd w:val="clear" w:color="auto" w:fill="auto"/>
          </w:tcPr>
          <w:p w14:paraId="115EA38C" w14:textId="77777777" w:rsidR="008C5CFA" w:rsidRPr="009C3005" w:rsidRDefault="00E82A60" w:rsidP="00300A01">
            <w:pPr>
              <w:pStyle w:val="Text1"/>
              <w:spacing w:before="0" w:after="0"/>
              <w:ind w:left="0"/>
              <w:rPr>
                <w:sz w:val="12"/>
                <w:szCs w:val="12"/>
              </w:rPr>
            </w:pPr>
            <w:r>
              <w:rPr>
                <w:noProof/>
                <w:sz w:val="12"/>
                <w:szCs w:val="12"/>
              </w:rPr>
              <w:t>105</w:t>
            </w:r>
          </w:p>
        </w:tc>
        <w:tc>
          <w:tcPr>
            <w:tcW w:w="0" w:type="auto"/>
            <w:shd w:val="clear" w:color="auto" w:fill="auto"/>
          </w:tcPr>
          <w:p w14:paraId="76B4F2E5"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16D72E82"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581FF9AE"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5DBA7ADA" w14:textId="77777777" w:rsidR="008C5CFA" w:rsidRPr="009C3005" w:rsidRDefault="008C5CFA" w:rsidP="00300A01">
            <w:pPr>
              <w:pStyle w:val="Text1"/>
              <w:spacing w:before="0" w:after="0"/>
              <w:ind w:left="0"/>
              <w:rPr>
                <w:sz w:val="12"/>
                <w:szCs w:val="12"/>
              </w:rPr>
            </w:pPr>
          </w:p>
        </w:tc>
        <w:tc>
          <w:tcPr>
            <w:tcW w:w="0" w:type="auto"/>
            <w:shd w:val="clear" w:color="auto" w:fill="auto"/>
          </w:tcPr>
          <w:p w14:paraId="5607D396" w14:textId="77777777" w:rsidR="008C5CFA" w:rsidRPr="009C3005" w:rsidRDefault="00E82A60" w:rsidP="00300A01">
            <w:pPr>
              <w:pStyle w:val="Text1"/>
              <w:spacing w:before="0" w:after="0"/>
              <w:ind w:left="0"/>
              <w:rPr>
                <w:sz w:val="12"/>
                <w:szCs w:val="12"/>
              </w:rPr>
            </w:pPr>
            <w:r>
              <w:rPr>
                <w:noProof/>
                <w:sz w:val="12"/>
                <w:szCs w:val="12"/>
              </w:rPr>
              <w:t>08</w:t>
            </w:r>
            <w:r>
              <w:rPr>
                <w:sz w:val="12"/>
                <w:szCs w:val="12"/>
              </w:rPr>
              <w:t xml:space="preserve"> </w:t>
            </w:r>
          </w:p>
        </w:tc>
        <w:tc>
          <w:tcPr>
            <w:tcW w:w="0" w:type="auto"/>
            <w:shd w:val="clear" w:color="auto" w:fill="auto"/>
          </w:tcPr>
          <w:p w14:paraId="054D0BE5" w14:textId="77777777" w:rsidR="008C5CFA" w:rsidRPr="009C3005" w:rsidRDefault="00E82A60" w:rsidP="00300A01">
            <w:pPr>
              <w:pStyle w:val="Text1"/>
              <w:spacing w:before="0" w:after="0"/>
              <w:ind w:left="0"/>
              <w:rPr>
                <w:sz w:val="12"/>
                <w:szCs w:val="12"/>
              </w:rPr>
            </w:pPr>
            <w:r>
              <w:rPr>
                <w:noProof/>
                <w:sz w:val="12"/>
                <w:szCs w:val="12"/>
              </w:rPr>
              <w:t>20</w:t>
            </w:r>
          </w:p>
        </w:tc>
        <w:tc>
          <w:tcPr>
            <w:tcW w:w="0" w:type="auto"/>
            <w:shd w:val="clear" w:color="auto" w:fill="auto"/>
          </w:tcPr>
          <w:p w14:paraId="77CE00F7" w14:textId="77777777" w:rsidR="008C5CFA" w:rsidRPr="009C3005" w:rsidRDefault="00E82A60" w:rsidP="00300A01">
            <w:pPr>
              <w:pStyle w:val="Text1"/>
              <w:spacing w:before="0" w:after="0"/>
              <w:ind w:left="0"/>
              <w:rPr>
                <w:sz w:val="12"/>
                <w:szCs w:val="12"/>
              </w:rPr>
            </w:pPr>
            <w:r>
              <w:rPr>
                <w:noProof/>
                <w:sz w:val="12"/>
                <w:szCs w:val="12"/>
              </w:rPr>
              <w:t>PL33</w:t>
            </w:r>
          </w:p>
        </w:tc>
        <w:tc>
          <w:tcPr>
            <w:tcW w:w="0" w:type="auto"/>
            <w:shd w:val="clear" w:color="auto" w:fill="auto"/>
          </w:tcPr>
          <w:p w14:paraId="35080D73" w14:textId="77777777" w:rsidR="008C5CFA" w:rsidRPr="009C3005" w:rsidRDefault="00E82A60" w:rsidP="00300A01">
            <w:pPr>
              <w:pStyle w:val="Text1"/>
              <w:spacing w:before="0" w:after="0"/>
              <w:ind w:left="0"/>
              <w:jc w:val="right"/>
              <w:rPr>
                <w:sz w:val="12"/>
                <w:szCs w:val="12"/>
              </w:rPr>
            </w:pPr>
            <w:r w:rsidRPr="009C3005">
              <w:rPr>
                <w:noProof/>
                <w:sz w:val="12"/>
                <w:szCs w:val="12"/>
              </w:rPr>
              <w:t>249 512,86</w:t>
            </w:r>
          </w:p>
        </w:tc>
        <w:tc>
          <w:tcPr>
            <w:tcW w:w="0" w:type="auto"/>
            <w:shd w:val="clear" w:color="auto" w:fill="auto"/>
          </w:tcPr>
          <w:p w14:paraId="10F8C93A" w14:textId="77777777" w:rsidR="008C5CFA" w:rsidRPr="009C3005" w:rsidRDefault="00E82A60" w:rsidP="00300A01">
            <w:pPr>
              <w:pStyle w:val="Text1"/>
              <w:spacing w:before="0" w:after="0"/>
              <w:ind w:left="0"/>
              <w:jc w:val="right"/>
              <w:rPr>
                <w:sz w:val="12"/>
                <w:szCs w:val="12"/>
              </w:rPr>
            </w:pPr>
            <w:r w:rsidRPr="009C3005">
              <w:rPr>
                <w:noProof/>
                <w:sz w:val="12"/>
                <w:szCs w:val="12"/>
              </w:rPr>
              <w:t>198 337,06</w:t>
            </w:r>
          </w:p>
        </w:tc>
        <w:tc>
          <w:tcPr>
            <w:tcW w:w="0" w:type="auto"/>
            <w:shd w:val="clear" w:color="auto" w:fill="auto"/>
          </w:tcPr>
          <w:p w14:paraId="334C5E62" w14:textId="77777777" w:rsidR="008C5CFA" w:rsidRPr="009C3005" w:rsidRDefault="00E82A60" w:rsidP="00300A01">
            <w:pPr>
              <w:pStyle w:val="Text1"/>
              <w:spacing w:before="0" w:after="0"/>
              <w:ind w:left="0"/>
              <w:jc w:val="right"/>
              <w:rPr>
                <w:sz w:val="12"/>
                <w:szCs w:val="12"/>
              </w:rPr>
            </w:pPr>
            <w:r w:rsidRPr="009C3005">
              <w:rPr>
                <w:noProof/>
                <w:sz w:val="12"/>
                <w:szCs w:val="12"/>
              </w:rPr>
              <w:t>0,00</w:t>
            </w:r>
          </w:p>
        </w:tc>
        <w:tc>
          <w:tcPr>
            <w:tcW w:w="0" w:type="auto"/>
            <w:shd w:val="clear" w:color="auto" w:fill="auto"/>
          </w:tcPr>
          <w:p w14:paraId="13CDA4CE" w14:textId="77777777" w:rsidR="008C5CFA" w:rsidRPr="009C3005" w:rsidRDefault="00E82A60" w:rsidP="00300A01">
            <w:pPr>
              <w:pStyle w:val="Text1"/>
              <w:spacing w:before="0" w:after="0"/>
              <w:ind w:left="0"/>
              <w:jc w:val="right"/>
              <w:rPr>
                <w:sz w:val="12"/>
                <w:szCs w:val="12"/>
              </w:rPr>
            </w:pPr>
            <w:r w:rsidRPr="009C3005">
              <w:rPr>
                <w:noProof/>
                <w:sz w:val="12"/>
                <w:szCs w:val="12"/>
              </w:rPr>
              <w:t>2</w:t>
            </w:r>
          </w:p>
        </w:tc>
      </w:tr>
      <w:tr w:rsidR="006B2EC1" w14:paraId="5C77B8E4" w14:textId="77777777" w:rsidTr="0047688D">
        <w:tc>
          <w:tcPr>
            <w:tcW w:w="0" w:type="auto"/>
            <w:shd w:val="clear" w:color="auto" w:fill="auto"/>
          </w:tcPr>
          <w:p w14:paraId="2C19FD20" w14:textId="77777777" w:rsidR="008C5CFA" w:rsidRPr="009C3005" w:rsidRDefault="00E82A60" w:rsidP="00300A01">
            <w:pPr>
              <w:pStyle w:val="Text1"/>
              <w:spacing w:before="0" w:after="0"/>
              <w:ind w:left="0"/>
              <w:rPr>
                <w:sz w:val="12"/>
                <w:szCs w:val="12"/>
              </w:rPr>
            </w:pPr>
            <w:r>
              <w:rPr>
                <w:noProof/>
                <w:sz w:val="14"/>
                <w:szCs w:val="14"/>
                <w:lang w:val="fr-BE"/>
              </w:rPr>
              <w:t>8</w:t>
            </w:r>
          </w:p>
        </w:tc>
        <w:tc>
          <w:tcPr>
            <w:tcW w:w="0" w:type="auto"/>
            <w:shd w:val="clear" w:color="auto" w:fill="auto"/>
          </w:tcPr>
          <w:p w14:paraId="7C107403" w14:textId="77777777" w:rsidR="008C5CFA" w:rsidRPr="009C3005" w:rsidRDefault="00E82A60" w:rsidP="00300A01">
            <w:pPr>
              <w:pStyle w:val="Text1"/>
              <w:spacing w:before="0" w:after="0"/>
              <w:ind w:left="0"/>
              <w:rPr>
                <w:sz w:val="12"/>
                <w:szCs w:val="12"/>
              </w:rPr>
            </w:pPr>
            <w:r>
              <w:rPr>
                <w:noProof/>
                <w:sz w:val="12"/>
                <w:szCs w:val="12"/>
              </w:rPr>
              <w:t>EFS</w:t>
            </w:r>
          </w:p>
        </w:tc>
        <w:tc>
          <w:tcPr>
            <w:tcW w:w="0" w:type="auto"/>
            <w:shd w:val="clear" w:color="auto" w:fill="auto"/>
          </w:tcPr>
          <w:p w14:paraId="1E3F8A8F" w14:textId="77777777" w:rsidR="008C5CFA" w:rsidRPr="009C3005" w:rsidRDefault="00E82A60" w:rsidP="00300A01">
            <w:pPr>
              <w:pStyle w:val="Text1"/>
              <w:spacing w:before="0" w:after="0"/>
              <w:ind w:left="0"/>
              <w:rPr>
                <w:sz w:val="12"/>
                <w:szCs w:val="12"/>
              </w:rPr>
            </w:pPr>
            <w:r>
              <w:rPr>
                <w:noProof/>
                <w:sz w:val="12"/>
                <w:szCs w:val="12"/>
              </w:rPr>
              <w:t>Słabiej rozwinięte</w:t>
            </w:r>
          </w:p>
        </w:tc>
        <w:tc>
          <w:tcPr>
            <w:tcW w:w="0" w:type="auto"/>
            <w:shd w:val="clear" w:color="auto" w:fill="auto"/>
          </w:tcPr>
          <w:p w14:paraId="06B33FFB" w14:textId="77777777" w:rsidR="008C5CFA" w:rsidRPr="009C3005" w:rsidRDefault="00E82A60" w:rsidP="00300A01">
            <w:pPr>
              <w:pStyle w:val="Text1"/>
              <w:spacing w:before="0" w:after="0"/>
              <w:ind w:left="0"/>
              <w:rPr>
                <w:sz w:val="12"/>
                <w:szCs w:val="12"/>
              </w:rPr>
            </w:pPr>
            <w:r>
              <w:rPr>
                <w:noProof/>
                <w:sz w:val="12"/>
                <w:szCs w:val="12"/>
              </w:rPr>
              <w:t>105</w:t>
            </w:r>
          </w:p>
        </w:tc>
        <w:tc>
          <w:tcPr>
            <w:tcW w:w="0" w:type="auto"/>
            <w:shd w:val="clear" w:color="auto" w:fill="auto"/>
          </w:tcPr>
          <w:p w14:paraId="25AA4438"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1007EF7D"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1B7B4B68"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640882B6" w14:textId="77777777" w:rsidR="008C5CFA" w:rsidRPr="009C3005" w:rsidRDefault="008C5CFA" w:rsidP="00300A01">
            <w:pPr>
              <w:pStyle w:val="Text1"/>
              <w:spacing w:before="0" w:after="0"/>
              <w:ind w:left="0"/>
              <w:rPr>
                <w:sz w:val="12"/>
                <w:szCs w:val="12"/>
              </w:rPr>
            </w:pPr>
          </w:p>
        </w:tc>
        <w:tc>
          <w:tcPr>
            <w:tcW w:w="0" w:type="auto"/>
            <w:shd w:val="clear" w:color="auto" w:fill="auto"/>
          </w:tcPr>
          <w:p w14:paraId="358B6738" w14:textId="77777777" w:rsidR="008C5CFA" w:rsidRPr="009C3005" w:rsidRDefault="00E82A60" w:rsidP="00300A01">
            <w:pPr>
              <w:pStyle w:val="Text1"/>
              <w:spacing w:before="0" w:after="0"/>
              <w:ind w:left="0"/>
              <w:rPr>
                <w:sz w:val="12"/>
                <w:szCs w:val="12"/>
              </w:rPr>
            </w:pPr>
            <w:r>
              <w:rPr>
                <w:noProof/>
                <w:sz w:val="12"/>
                <w:szCs w:val="12"/>
              </w:rPr>
              <w:t>08</w:t>
            </w:r>
            <w:r>
              <w:rPr>
                <w:sz w:val="12"/>
                <w:szCs w:val="12"/>
              </w:rPr>
              <w:t xml:space="preserve"> </w:t>
            </w:r>
          </w:p>
        </w:tc>
        <w:tc>
          <w:tcPr>
            <w:tcW w:w="0" w:type="auto"/>
            <w:shd w:val="clear" w:color="auto" w:fill="auto"/>
          </w:tcPr>
          <w:p w14:paraId="4003A6C9" w14:textId="77777777" w:rsidR="008C5CFA" w:rsidRPr="009C3005" w:rsidRDefault="00E82A60" w:rsidP="00300A01">
            <w:pPr>
              <w:pStyle w:val="Text1"/>
              <w:spacing w:before="0" w:after="0"/>
              <w:ind w:left="0"/>
              <w:rPr>
                <w:sz w:val="12"/>
                <w:szCs w:val="12"/>
              </w:rPr>
            </w:pPr>
            <w:r>
              <w:rPr>
                <w:noProof/>
                <w:sz w:val="12"/>
                <w:szCs w:val="12"/>
              </w:rPr>
              <w:t>21</w:t>
            </w:r>
          </w:p>
        </w:tc>
        <w:tc>
          <w:tcPr>
            <w:tcW w:w="0" w:type="auto"/>
            <w:shd w:val="clear" w:color="auto" w:fill="auto"/>
          </w:tcPr>
          <w:p w14:paraId="672245E2" w14:textId="77777777" w:rsidR="008C5CFA" w:rsidRPr="009C3005" w:rsidRDefault="00E82A60" w:rsidP="00300A01">
            <w:pPr>
              <w:pStyle w:val="Text1"/>
              <w:spacing w:before="0" w:after="0"/>
              <w:ind w:left="0"/>
              <w:rPr>
                <w:sz w:val="12"/>
                <w:szCs w:val="12"/>
              </w:rPr>
            </w:pPr>
            <w:r>
              <w:rPr>
                <w:noProof/>
                <w:sz w:val="12"/>
                <w:szCs w:val="12"/>
              </w:rPr>
              <w:t>PL33</w:t>
            </w:r>
          </w:p>
        </w:tc>
        <w:tc>
          <w:tcPr>
            <w:tcW w:w="0" w:type="auto"/>
            <w:shd w:val="clear" w:color="auto" w:fill="auto"/>
          </w:tcPr>
          <w:p w14:paraId="28DFD947" w14:textId="77777777" w:rsidR="008C5CFA" w:rsidRPr="009C3005" w:rsidRDefault="00E82A60" w:rsidP="00300A01">
            <w:pPr>
              <w:pStyle w:val="Text1"/>
              <w:spacing w:before="0" w:after="0"/>
              <w:ind w:left="0"/>
              <w:jc w:val="right"/>
              <w:rPr>
                <w:sz w:val="12"/>
                <w:szCs w:val="12"/>
              </w:rPr>
            </w:pPr>
            <w:r w:rsidRPr="009C3005">
              <w:rPr>
                <w:noProof/>
                <w:sz w:val="12"/>
                <w:szCs w:val="12"/>
              </w:rPr>
              <w:t>1 941 680,47</w:t>
            </w:r>
          </w:p>
        </w:tc>
        <w:tc>
          <w:tcPr>
            <w:tcW w:w="0" w:type="auto"/>
            <w:shd w:val="clear" w:color="auto" w:fill="auto"/>
          </w:tcPr>
          <w:p w14:paraId="2E9F3B08" w14:textId="77777777" w:rsidR="008C5CFA" w:rsidRPr="009C3005" w:rsidRDefault="00E82A60" w:rsidP="00300A01">
            <w:pPr>
              <w:pStyle w:val="Text1"/>
              <w:spacing w:before="0" w:after="0"/>
              <w:ind w:left="0"/>
              <w:jc w:val="right"/>
              <w:rPr>
                <w:sz w:val="12"/>
                <w:szCs w:val="12"/>
              </w:rPr>
            </w:pPr>
            <w:r w:rsidRPr="009C3005">
              <w:rPr>
                <w:noProof/>
                <w:sz w:val="12"/>
                <w:szCs w:val="12"/>
              </w:rPr>
              <w:t>1 707 090,70</w:t>
            </w:r>
          </w:p>
        </w:tc>
        <w:tc>
          <w:tcPr>
            <w:tcW w:w="0" w:type="auto"/>
            <w:shd w:val="clear" w:color="auto" w:fill="auto"/>
          </w:tcPr>
          <w:p w14:paraId="2DA86B43" w14:textId="77777777" w:rsidR="008C5CFA" w:rsidRPr="009C3005" w:rsidRDefault="00E82A60" w:rsidP="00300A01">
            <w:pPr>
              <w:pStyle w:val="Text1"/>
              <w:spacing w:before="0" w:after="0"/>
              <w:ind w:left="0"/>
              <w:jc w:val="right"/>
              <w:rPr>
                <w:sz w:val="12"/>
                <w:szCs w:val="12"/>
              </w:rPr>
            </w:pPr>
            <w:r w:rsidRPr="009C3005">
              <w:rPr>
                <w:noProof/>
                <w:sz w:val="12"/>
                <w:szCs w:val="12"/>
              </w:rPr>
              <w:t>1 315 784,32</w:t>
            </w:r>
          </w:p>
        </w:tc>
        <w:tc>
          <w:tcPr>
            <w:tcW w:w="0" w:type="auto"/>
            <w:shd w:val="clear" w:color="auto" w:fill="auto"/>
          </w:tcPr>
          <w:p w14:paraId="3127BC83" w14:textId="77777777" w:rsidR="008C5CFA" w:rsidRPr="009C3005" w:rsidRDefault="00E82A60" w:rsidP="00300A01">
            <w:pPr>
              <w:pStyle w:val="Text1"/>
              <w:spacing w:before="0" w:after="0"/>
              <w:ind w:left="0"/>
              <w:jc w:val="right"/>
              <w:rPr>
                <w:sz w:val="12"/>
                <w:szCs w:val="12"/>
              </w:rPr>
            </w:pPr>
            <w:r w:rsidRPr="009C3005">
              <w:rPr>
                <w:noProof/>
                <w:sz w:val="12"/>
                <w:szCs w:val="12"/>
              </w:rPr>
              <w:t>7</w:t>
            </w:r>
          </w:p>
        </w:tc>
      </w:tr>
      <w:tr w:rsidR="006B2EC1" w14:paraId="0A2A911B" w14:textId="77777777" w:rsidTr="0047688D">
        <w:tc>
          <w:tcPr>
            <w:tcW w:w="0" w:type="auto"/>
            <w:shd w:val="clear" w:color="auto" w:fill="auto"/>
          </w:tcPr>
          <w:p w14:paraId="77FCF1B8" w14:textId="77777777" w:rsidR="008C5CFA" w:rsidRPr="009C3005" w:rsidRDefault="00E82A60" w:rsidP="00300A01">
            <w:pPr>
              <w:pStyle w:val="Text1"/>
              <w:spacing w:before="0" w:after="0"/>
              <w:ind w:left="0"/>
              <w:rPr>
                <w:sz w:val="12"/>
                <w:szCs w:val="12"/>
              </w:rPr>
            </w:pPr>
            <w:r>
              <w:rPr>
                <w:noProof/>
                <w:sz w:val="14"/>
                <w:szCs w:val="14"/>
                <w:lang w:val="fr-BE"/>
              </w:rPr>
              <w:t>8</w:t>
            </w:r>
          </w:p>
        </w:tc>
        <w:tc>
          <w:tcPr>
            <w:tcW w:w="0" w:type="auto"/>
            <w:shd w:val="clear" w:color="auto" w:fill="auto"/>
          </w:tcPr>
          <w:p w14:paraId="3DD21974" w14:textId="77777777" w:rsidR="008C5CFA" w:rsidRPr="009C3005" w:rsidRDefault="00E82A60" w:rsidP="00300A01">
            <w:pPr>
              <w:pStyle w:val="Text1"/>
              <w:spacing w:before="0" w:after="0"/>
              <w:ind w:left="0"/>
              <w:rPr>
                <w:sz w:val="12"/>
                <w:szCs w:val="12"/>
              </w:rPr>
            </w:pPr>
            <w:r>
              <w:rPr>
                <w:noProof/>
                <w:sz w:val="12"/>
                <w:szCs w:val="12"/>
              </w:rPr>
              <w:t>EFS</w:t>
            </w:r>
          </w:p>
        </w:tc>
        <w:tc>
          <w:tcPr>
            <w:tcW w:w="0" w:type="auto"/>
            <w:shd w:val="clear" w:color="auto" w:fill="auto"/>
          </w:tcPr>
          <w:p w14:paraId="4027497D" w14:textId="77777777" w:rsidR="008C5CFA" w:rsidRPr="009C3005" w:rsidRDefault="00E82A60" w:rsidP="00300A01">
            <w:pPr>
              <w:pStyle w:val="Text1"/>
              <w:spacing w:before="0" w:after="0"/>
              <w:ind w:left="0"/>
              <w:rPr>
                <w:sz w:val="12"/>
                <w:szCs w:val="12"/>
              </w:rPr>
            </w:pPr>
            <w:r>
              <w:rPr>
                <w:noProof/>
                <w:sz w:val="12"/>
                <w:szCs w:val="12"/>
              </w:rPr>
              <w:t>Słabiej rozwinięte</w:t>
            </w:r>
          </w:p>
        </w:tc>
        <w:tc>
          <w:tcPr>
            <w:tcW w:w="0" w:type="auto"/>
            <w:shd w:val="clear" w:color="auto" w:fill="auto"/>
          </w:tcPr>
          <w:p w14:paraId="3E3B0BCA" w14:textId="77777777" w:rsidR="008C5CFA" w:rsidRPr="009C3005" w:rsidRDefault="00E82A60" w:rsidP="00300A01">
            <w:pPr>
              <w:pStyle w:val="Text1"/>
              <w:spacing w:before="0" w:after="0"/>
              <w:ind w:left="0"/>
              <w:rPr>
                <w:sz w:val="12"/>
                <w:szCs w:val="12"/>
              </w:rPr>
            </w:pPr>
            <w:r>
              <w:rPr>
                <w:noProof/>
                <w:sz w:val="12"/>
                <w:szCs w:val="12"/>
              </w:rPr>
              <w:t>105</w:t>
            </w:r>
          </w:p>
        </w:tc>
        <w:tc>
          <w:tcPr>
            <w:tcW w:w="0" w:type="auto"/>
            <w:shd w:val="clear" w:color="auto" w:fill="auto"/>
          </w:tcPr>
          <w:p w14:paraId="7A4013E1"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0747943B"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600E47B7"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1EE21EBC" w14:textId="77777777" w:rsidR="008C5CFA" w:rsidRPr="009C3005" w:rsidRDefault="008C5CFA" w:rsidP="00300A01">
            <w:pPr>
              <w:pStyle w:val="Text1"/>
              <w:spacing w:before="0" w:after="0"/>
              <w:ind w:left="0"/>
              <w:rPr>
                <w:sz w:val="12"/>
                <w:szCs w:val="12"/>
              </w:rPr>
            </w:pPr>
          </w:p>
        </w:tc>
        <w:tc>
          <w:tcPr>
            <w:tcW w:w="0" w:type="auto"/>
            <w:shd w:val="clear" w:color="auto" w:fill="auto"/>
          </w:tcPr>
          <w:p w14:paraId="63C1D14F" w14:textId="77777777" w:rsidR="008C5CFA" w:rsidRPr="009C3005" w:rsidRDefault="00E82A60" w:rsidP="00300A01">
            <w:pPr>
              <w:pStyle w:val="Text1"/>
              <w:spacing w:before="0" w:after="0"/>
              <w:ind w:left="0"/>
              <w:rPr>
                <w:sz w:val="12"/>
                <w:szCs w:val="12"/>
              </w:rPr>
            </w:pPr>
            <w:r>
              <w:rPr>
                <w:noProof/>
                <w:sz w:val="12"/>
                <w:szCs w:val="12"/>
              </w:rPr>
              <w:t>08</w:t>
            </w:r>
            <w:r>
              <w:rPr>
                <w:sz w:val="12"/>
                <w:szCs w:val="12"/>
              </w:rPr>
              <w:t xml:space="preserve"> </w:t>
            </w:r>
          </w:p>
        </w:tc>
        <w:tc>
          <w:tcPr>
            <w:tcW w:w="0" w:type="auto"/>
            <w:shd w:val="clear" w:color="auto" w:fill="auto"/>
          </w:tcPr>
          <w:p w14:paraId="1D87BAB0" w14:textId="77777777" w:rsidR="008C5CFA" w:rsidRPr="009C3005" w:rsidRDefault="00E82A60" w:rsidP="00300A01">
            <w:pPr>
              <w:pStyle w:val="Text1"/>
              <w:spacing w:before="0" w:after="0"/>
              <w:ind w:left="0"/>
              <w:rPr>
                <w:sz w:val="12"/>
                <w:szCs w:val="12"/>
              </w:rPr>
            </w:pPr>
            <w:r>
              <w:rPr>
                <w:noProof/>
                <w:sz w:val="12"/>
                <w:szCs w:val="12"/>
              </w:rPr>
              <w:t>24</w:t>
            </w:r>
          </w:p>
        </w:tc>
        <w:tc>
          <w:tcPr>
            <w:tcW w:w="0" w:type="auto"/>
            <w:shd w:val="clear" w:color="auto" w:fill="auto"/>
          </w:tcPr>
          <w:p w14:paraId="7B11B67E" w14:textId="77777777" w:rsidR="008C5CFA" w:rsidRPr="009C3005" w:rsidRDefault="00E82A60" w:rsidP="00300A01">
            <w:pPr>
              <w:pStyle w:val="Text1"/>
              <w:spacing w:before="0" w:after="0"/>
              <w:ind w:left="0"/>
              <w:rPr>
                <w:sz w:val="12"/>
                <w:szCs w:val="12"/>
              </w:rPr>
            </w:pPr>
            <w:r>
              <w:rPr>
                <w:noProof/>
                <w:sz w:val="12"/>
                <w:szCs w:val="12"/>
              </w:rPr>
              <w:t>PL33</w:t>
            </w:r>
          </w:p>
        </w:tc>
        <w:tc>
          <w:tcPr>
            <w:tcW w:w="0" w:type="auto"/>
            <w:shd w:val="clear" w:color="auto" w:fill="auto"/>
          </w:tcPr>
          <w:p w14:paraId="719307B1" w14:textId="77777777" w:rsidR="008C5CFA" w:rsidRPr="009C3005" w:rsidRDefault="00E82A60" w:rsidP="00300A01">
            <w:pPr>
              <w:pStyle w:val="Text1"/>
              <w:spacing w:before="0" w:after="0"/>
              <w:ind w:left="0"/>
              <w:jc w:val="right"/>
              <w:rPr>
                <w:sz w:val="12"/>
                <w:szCs w:val="12"/>
              </w:rPr>
            </w:pPr>
            <w:r w:rsidRPr="009C3005">
              <w:rPr>
                <w:noProof/>
                <w:sz w:val="12"/>
                <w:szCs w:val="12"/>
              </w:rPr>
              <w:t>1 246 158,09</w:t>
            </w:r>
          </w:p>
        </w:tc>
        <w:tc>
          <w:tcPr>
            <w:tcW w:w="0" w:type="auto"/>
            <w:shd w:val="clear" w:color="auto" w:fill="auto"/>
          </w:tcPr>
          <w:p w14:paraId="309AFE53" w14:textId="77777777" w:rsidR="008C5CFA" w:rsidRPr="009C3005" w:rsidRDefault="00E82A60" w:rsidP="00300A01">
            <w:pPr>
              <w:pStyle w:val="Text1"/>
              <w:spacing w:before="0" w:after="0"/>
              <w:ind w:left="0"/>
              <w:jc w:val="right"/>
              <w:rPr>
                <w:sz w:val="12"/>
                <w:szCs w:val="12"/>
              </w:rPr>
            </w:pPr>
            <w:r w:rsidRPr="009C3005">
              <w:rPr>
                <w:noProof/>
                <w:sz w:val="12"/>
                <w:szCs w:val="12"/>
              </w:rPr>
              <w:t>1 063 999,10</w:t>
            </w:r>
          </w:p>
        </w:tc>
        <w:tc>
          <w:tcPr>
            <w:tcW w:w="0" w:type="auto"/>
            <w:shd w:val="clear" w:color="auto" w:fill="auto"/>
          </w:tcPr>
          <w:p w14:paraId="451B74B8" w14:textId="77777777" w:rsidR="008C5CFA" w:rsidRPr="009C3005" w:rsidRDefault="00E82A60" w:rsidP="00300A01">
            <w:pPr>
              <w:pStyle w:val="Text1"/>
              <w:spacing w:before="0" w:after="0"/>
              <w:ind w:left="0"/>
              <w:jc w:val="right"/>
              <w:rPr>
                <w:sz w:val="12"/>
                <w:szCs w:val="12"/>
              </w:rPr>
            </w:pPr>
            <w:r w:rsidRPr="009C3005">
              <w:rPr>
                <w:noProof/>
                <w:sz w:val="12"/>
                <w:szCs w:val="12"/>
              </w:rPr>
              <w:t>572 217,36</w:t>
            </w:r>
          </w:p>
        </w:tc>
        <w:tc>
          <w:tcPr>
            <w:tcW w:w="0" w:type="auto"/>
            <w:shd w:val="clear" w:color="auto" w:fill="auto"/>
          </w:tcPr>
          <w:p w14:paraId="49598405" w14:textId="77777777" w:rsidR="008C5CFA" w:rsidRPr="009C3005" w:rsidRDefault="00E82A60" w:rsidP="00300A01">
            <w:pPr>
              <w:pStyle w:val="Text1"/>
              <w:spacing w:before="0" w:after="0"/>
              <w:ind w:left="0"/>
              <w:jc w:val="right"/>
              <w:rPr>
                <w:sz w:val="12"/>
                <w:szCs w:val="12"/>
              </w:rPr>
            </w:pPr>
            <w:r w:rsidRPr="009C3005">
              <w:rPr>
                <w:noProof/>
                <w:sz w:val="12"/>
                <w:szCs w:val="12"/>
              </w:rPr>
              <w:t>4</w:t>
            </w:r>
          </w:p>
        </w:tc>
      </w:tr>
      <w:tr w:rsidR="006B2EC1" w14:paraId="5325ABED" w14:textId="77777777" w:rsidTr="0047688D">
        <w:tc>
          <w:tcPr>
            <w:tcW w:w="0" w:type="auto"/>
            <w:shd w:val="clear" w:color="auto" w:fill="auto"/>
          </w:tcPr>
          <w:p w14:paraId="1E0D71C2" w14:textId="77777777" w:rsidR="008C5CFA" w:rsidRPr="009C3005" w:rsidRDefault="00E82A60" w:rsidP="00300A01">
            <w:pPr>
              <w:pStyle w:val="Text1"/>
              <w:spacing w:before="0" w:after="0"/>
              <w:ind w:left="0"/>
              <w:rPr>
                <w:sz w:val="12"/>
                <w:szCs w:val="12"/>
              </w:rPr>
            </w:pPr>
            <w:r>
              <w:rPr>
                <w:noProof/>
                <w:sz w:val="14"/>
                <w:szCs w:val="14"/>
                <w:lang w:val="fr-BE"/>
              </w:rPr>
              <w:t>8</w:t>
            </w:r>
          </w:p>
        </w:tc>
        <w:tc>
          <w:tcPr>
            <w:tcW w:w="0" w:type="auto"/>
            <w:shd w:val="clear" w:color="auto" w:fill="auto"/>
          </w:tcPr>
          <w:p w14:paraId="04D1D4C1" w14:textId="77777777" w:rsidR="008C5CFA" w:rsidRPr="009C3005" w:rsidRDefault="00E82A60" w:rsidP="00300A01">
            <w:pPr>
              <w:pStyle w:val="Text1"/>
              <w:spacing w:before="0" w:after="0"/>
              <w:ind w:left="0"/>
              <w:rPr>
                <w:sz w:val="12"/>
                <w:szCs w:val="12"/>
              </w:rPr>
            </w:pPr>
            <w:r>
              <w:rPr>
                <w:noProof/>
                <w:sz w:val="12"/>
                <w:szCs w:val="12"/>
              </w:rPr>
              <w:t>EFS</w:t>
            </w:r>
          </w:p>
        </w:tc>
        <w:tc>
          <w:tcPr>
            <w:tcW w:w="0" w:type="auto"/>
            <w:shd w:val="clear" w:color="auto" w:fill="auto"/>
          </w:tcPr>
          <w:p w14:paraId="00DBA936" w14:textId="77777777" w:rsidR="008C5CFA" w:rsidRPr="009C3005" w:rsidRDefault="00E82A60" w:rsidP="00300A01">
            <w:pPr>
              <w:pStyle w:val="Text1"/>
              <w:spacing w:before="0" w:after="0"/>
              <w:ind w:left="0"/>
              <w:rPr>
                <w:sz w:val="12"/>
                <w:szCs w:val="12"/>
              </w:rPr>
            </w:pPr>
            <w:r>
              <w:rPr>
                <w:noProof/>
                <w:sz w:val="12"/>
                <w:szCs w:val="12"/>
              </w:rPr>
              <w:t>Słabiej rozwinięte</w:t>
            </w:r>
          </w:p>
        </w:tc>
        <w:tc>
          <w:tcPr>
            <w:tcW w:w="0" w:type="auto"/>
            <w:shd w:val="clear" w:color="auto" w:fill="auto"/>
          </w:tcPr>
          <w:p w14:paraId="05F73FD5" w14:textId="77777777" w:rsidR="008C5CFA" w:rsidRPr="009C3005" w:rsidRDefault="00E82A60" w:rsidP="00300A01">
            <w:pPr>
              <w:pStyle w:val="Text1"/>
              <w:spacing w:before="0" w:after="0"/>
              <w:ind w:left="0"/>
              <w:rPr>
                <w:sz w:val="12"/>
                <w:szCs w:val="12"/>
              </w:rPr>
            </w:pPr>
            <w:r>
              <w:rPr>
                <w:noProof/>
                <w:sz w:val="12"/>
                <w:szCs w:val="12"/>
              </w:rPr>
              <w:t>107</w:t>
            </w:r>
          </w:p>
        </w:tc>
        <w:tc>
          <w:tcPr>
            <w:tcW w:w="0" w:type="auto"/>
            <w:shd w:val="clear" w:color="auto" w:fill="auto"/>
          </w:tcPr>
          <w:p w14:paraId="79587F3B"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5315F041"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0BAEC4E9"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4AC4C336" w14:textId="77777777" w:rsidR="008C5CFA" w:rsidRPr="009C3005" w:rsidRDefault="008C5CFA" w:rsidP="00300A01">
            <w:pPr>
              <w:pStyle w:val="Text1"/>
              <w:spacing w:before="0" w:after="0"/>
              <w:ind w:left="0"/>
              <w:rPr>
                <w:sz w:val="12"/>
                <w:szCs w:val="12"/>
              </w:rPr>
            </w:pPr>
          </w:p>
        </w:tc>
        <w:tc>
          <w:tcPr>
            <w:tcW w:w="0" w:type="auto"/>
            <w:shd w:val="clear" w:color="auto" w:fill="auto"/>
          </w:tcPr>
          <w:p w14:paraId="7981BAAB" w14:textId="77777777" w:rsidR="008C5CFA" w:rsidRPr="009C3005" w:rsidRDefault="00E82A60" w:rsidP="00300A01">
            <w:pPr>
              <w:pStyle w:val="Text1"/>
              <w:spacing w:before="0" w:after="0"/>
              <w:ind w:left="0"/>
              <w:rPr>
                <w:sz w:val="12"/>
                <w:szCs w:val="12"/>
              </w:rPr>
            </w:pPr>
            <w:r>
              <w:rPr>
                <w:noProof/>
                <w:sz w:val="12"/>
                <w:szCs w:val="12"/>
              </w:rPr>
              <w:t>08</w:t>
            </w:r>
            <w:r>
              <w:rPr>
                <w:sz w:val="12"/>
                <w:szCs w:val="12"/>
              </w:rPr>
              <w:t xml:space="preserve"> </w:t>
            </w:r>
          </w:p>
        </w:tc>
        <w:tc>
          <w:tcPr>
            <w:tcW w:w="0" w:type="auto"/>
            <w:shd w:val="clear" w:color="auto" w:fill="auto"/>
          </w:tcPr>
          <w:p w14:paraId="00E319FA" w14:textId="77777777" w:rsidR="008C5CFA" w:rsidRPr="009C3005" w:rsidRDefault="00E82A60" w:rsidP="00300A01">
            <w:pPr>
              <w:pStyle w:val="Text1"/>
              <w:spacing w:before="0" w:after="0"/>
              <w:ind w:left="0"/>
              <w:rPr>
                <w:sz w:val="12"/>
                <w:szCs w:val="12"/>
              </w:rPr>
            </w:pPr>
            <w:r>
              <w:rPr>
                <w:noProof/>
                <w:sz w:val="12"/>
                <w:szCs w:val="12"/>
              </w:rPr>
              <w:t>20</w:t>
            </w:r>
          </w:p>
        </w:tc>
        <w:tc>
          <w:tcPr>
            <w:tcW w:w="0" w:type="auto"/>
            <w:shd w:val="clear" w:color="auto" w:fill="auto"/>
          </w:tcPr>
          <w:p w14:paraId="23683602" w14:textId="77777777" w:rsidR="008C5CFA" w:rsidRPr="009C3005" w:rsidRDefault="00E82A60" w:rsidP="00300A01">
            <w:pPr>
              <w:pStyle w:val="Text1"/>
              <w:spacing w:before="0" w:after="0"/>
              <w:ind w:left="0"/>
              <w:rPr>
                <w:sz w:val="12"/>
                <w:szCs w:val="12"/>
              </w:rPr>
            </w:pPr>
            <w:r>
              <w:rPr>
                <w:noProof/>
                <w:sz w:val="12"/>
                <w:szCs w:val="12"/>
              </w:rPr>
              <w:t>PL33</w:t>
            </w:r>
          </w:p>
        </w:tc>
        <w:tc>
          <w:tcPr>
            <w:tcW w:w="0" w:type="auto"/>
            <w:shd w:val="clear" w:color="auto" w:fill="auto"/>
          </w:tcPr>
          <w:p w14:paraId="6FECA851" w14:textId="77777777" w:rsidR="008C5CFA" w:rsidRPr="009C3005" w:rsidRDefault="00E82A60" w:rsidP="00300A01">
            <w:pPr>
              <w:pStyle w:val="Text1"/>
              <w:spacing w:before="0" w:after="0"/>
              <w:ind w:left="0"/>
              <w:jc w:val="right"/>
              <w:rPr>
                <w:sz w:val="12"/>
                <w:szCs w:val="12"/>
              </w:rPr>
            </w:pPr>
            <w:r w:rsidRPr="009C3005">
              <w:rPr>
                <w:noProof/>
                <w:sz w:val="12"/>
                <w:szCs w:val="12"/>
              </w:rPr>
              <w:t>1 834 359,79</w:t>
            </w:r>
          </w:p>
        </w:tc>
        <w:tc>
          <w:tcPr>
            <w:tcW w:w="0" w:type="auto"/>
            <w:shd w:val="clear" w:color="auto" w:fill="auto"/>
          </w:tcPr>
          <w:p w14:paraId="65021C9A" w14:textId="77777777" w:rsidR="008C5CFA" w:rsidRPr="009C3005" w:rsidRDefault="00E82A60" w:rsidP="00300A01">
            <w:pPr>
              <w:pStyle w:val="Text1"/>
              <w:spacing w:before="0" w:after="0"/>
              <w:ind w:left="0"/>
              <w:jc w:val="right"/>
              <w:rPr>
                <w:sz w:val="12"/>
                <w:szCs w:val="12"/>
              </w:rPr>
            </w:pPr>
            <w:r w:rsidRPr="009C3005">
              <w:rPr>
                <w:noProof/>
                <w:sz w:val="12"/>
                <w:szCs w:val="12"/>
              </w:rPr>
              <w:t>1 686 005,43</w:t>
            </w:r>
          </w:p>
        </w:tc>
        <w:tc>
          <w:tcPr>
            <w:tcW w:w="0" w:type="auto"/>
            <w:shd w:val="clear" w:color="auto" w:fill="auto"/>
          </w:tcPr>
          <w:p w14:paraId="1D103B34" w14:textId="77777777" w:rsidR="008C5CFA" w:rsidRPr="009C3005" w:rsidRDefault="00E82A60" w:rsidP="00300A01">
            <w:pPr>
              <w:pStyle w:val="Text1"/>
              <w:spacing w:before="0" w:after="0"/>
              <w:ind w:left="0"/>
              <w:jc w:val="right"/>
              <w:rPr>
                <w:sz w:val="12"/>
                <w:szCs w:val="12"/>
              </w:rPr>
            </w:pPr>
            <w:r w:rsidRPr="009C3005">
              <w:rPr>
                <w:noProof/>
                <w:sz w:val="12"/>
                <w:szCs w:val="12"/>
              </w:rPr>
              <w:t>1 146 054,39</w:t>
            </w:r>
          </w:p>
        </w:tc>
        <w:tc>
          <w:tcPr>
            <w:tcW w:w="0" w:type="auto"/>
            <w:shd w:val="clear" w:color="auto" w:fill="auto"/>
          </w:tcPr>
          <w:p w14:paraId="12BC0C04" w14:textId="77777777" w:rsidR="008C5CFA" w:rsidRPr="009C3005" w:rsidRDefault="00E82A60" w:rsidP="00300A01">
            <w:pPr>
              <w:pStyle w:val="Text1"/>
              <w:spacing w:before="0" w:after="0"/>
              <w:ind w:left="0"/>
              <w:jc w:val="right"/>
              <w:rPr>
                <w:sz w:val="12"/>
                <w:szCs w:val="12"/>
              </w:rPr>
            </w:pPr>
            <w:r w:rsidRPr="009C3005">
              <w:rPr>
                <w:noProof/>
                <w:sz w:val="12"/>
                <w:szCs w:val="12"/>
              </w:rPr>
              <w:t>4</w:t>
            </w:r>
          </w:p>
        </w:tc>
      </w:tr>
      <w:tr w:rsidR="006B2EC1" w14:paraId="7F082D36" w14:textId="77777777" w:rsidTr="0047688D">
        <w:tc>
          <w:tcPr>
            <w:tcW w:w="0" w:type="auto"/>
            <w:shd w:val="clear" w:color="auto" w:fill="auto"/>
          </w:tcPr>
          <w:p w14:paraId="67417EF5" w14:textId="77777777" w:rsidR="008C5CFA" w:rsidRPr="009C3005" w:rsidRDefault="00E82A60" w:rsidP="00300A01">
            <w:pPr>
              <w:pStyle w:val="Text1"/>
              <w:spacing w:before="0" w:after="0"/>
              <w:ind w:left="0"/>
              <w:rPr>
                <w:sz w:val="12"/>
                <w:szCs w:val="12"/>
              </w:rPr>
            </w:pPr>
            <w:r>
              <w:rPr>
                <w:noProof/>
                <w:sz w:val="14"/>
                <w:szCs w:val="14"/>
                <w:lang w:val="fr-BE"/>
              </w:rPr>
              <w:t>8</w:t>
            </w:r>
          </w:p>
        </w:tc>
        <w:tc>
          <w:tcPr>
            <w:tcW w:w="0" w:type="auto"/>
            <w:shd w:val="clear" w:color="auto" w:fill="auto"/>
          </w:tcPr>
          <w:p w14:paraId="56B0715E" w14:textId="77777777" w:rsidR="008C5CFA" w:rsidRPr="009C3005" w:rsidRDefault="00E82A60" w:rsidP="00300A01">
            <w:pPr>
              <w:pStyle w:val="Text1"/>
              <w:spacing w:before="0" w:after="0"/>
              <w:ind w:left="0"/>
              <w:rPr>
                <w:sz w:val="12"/>
                <w:szCs w:val="12"/>
              </w:rPr>
            </w:pPr>
            <w:r>
              <w:rPr>
                <w:noProof/>
                <w:sz w:val="12"/>
                <w:szCs w:val="12"/>
              </w:rPr>
              <w:t>EFS</w:t>
            </w:r>
          </w:p>
        </w:tc>
        <w:tc>
          <w:tcPr>
            <w:tcW w:w="0" w:type="auto"/>
            <w:shd w:val="clear" w:color="auto" w:fill="auto"/>
          </w:tcPr>
          <w:p w14:paraId="49FA005C" w14:textId="77777777" w:rsidR="008C5CFA" w:rsidRPr="009C3005" w:rsidRDefault="00E82A60" w:rsidP="00300A01">
            <w:pPr>
              <w:pStyle w:val="Text1"/>
              <w:spacing w:before="0" w:after="0"/>
              <w:ind w:left="0"/>
              <w:rPr>
                <w:sz w:val="12"/>
                <w:szCs w:val="12"/>
              </w:rPr>
            </w:pPr>
            <w:r>
              <w:rPr>
                <w:noProof/>
                <w:sz w:val="12"/>
                <w:szCs w:val="12"/>
              </w:rPr>
              <w:t>Słabiej rozwinięte</w:t>
            </w:r>
          </w:p>
        </w:tc>
        <w:tc>
          <w:tcPr>
            <w:tcW w:w="0" w:type="auto"/>
            <w:shd w:val="clear" w:color="auto" w:fill="auto"/>
          </w:tcPr>
          <w:p w14:paraId="16ECA1C4" w14:textId="77777777" w:rsidR="008C5CFA" w:rsidRPr="009C3005" w:rsidRDefault="00E82A60" w:rsidP="00300A01">
            <w:pPr>
              <w:pStyle w:val="Text1"/>
              <w:spacing w:before="0" w:after="0"/>
              <w:ind w:left="0"/>
              <w:rPr>
                <w:sz w:val="12"/>
                <w:szCs w:val="12"/>
              </w:rPr>
            </w:pPr>
            <w:r>
              <w:rPr>
                <w:noProof/>
                <w:sz w:val="12"/>
                <w:szCs w:val="12"/>
              </w:rPr>
              <w:t>107</w:t>
            </w:r>
          </w:p>
        </w:tc>
        <w:tc>
          <w:tcPr>
            <w:tcW w:w="0" w:type="auto"/>
            <w:shd w:val="clear" w:color="auto" w:fill="auto"/>
          </w:tcPr>
          <w:p w14:paraId="0F06959A"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0AA5EDAB"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1A9B7FDB"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5A84BA04" w14:textId="77777777" w:rsidR="008C5CFA" w:rsidRPr="009C3005" w:rsidRDefault="008C5CFA" w:rsidP="00300A01">
            <w:pPr>
              <w:pStyle w:val="Text1"/>
              <w:spacing w:before="0" w:after="0"/>
              <w:ind w:left="0"/>
              <w:rPr>
                <w:sz w:val="12"/>
                <w:szCs w:val="12"/>
              </w:rPr>
            </w:pPr>
          </w:p>
        </w:tc>
        <w:tc>
          <w:tcPr>
            <w:tcW w:w="0" w:type="auto"/>
            <w:shd w:val="clear" w:color="auto" w:fill="auto"/>
          </w:tcPr>
          <w:p w14:paraId="30E113E8" w14:textId="77777777" w:rsidR="008C5CFA" w:rsidRPr="009C3005" w:rsidRDefault="00E82A60" w:rsidP="00300A01">
            <w:pPr>
              <w:pStyle w:val="Text1"/>
              <w:spacing w:before="0" w:after="0"/>
              <w:ind w:left="0"/>
              <w:rPr>
                <w:sz w:val="12"/>
                <w:szCs w:val="12"/>
              </w:rPr>
            </w:pPr>
            <w:r>
              <w:rPr>
                <w:noProof/>
                <w:sz w:val="12"/>
                <w:szCs w:val="12"/>
              </w:rPr>
              <w:t>08</w:t>
            </w:r>
            <w:r>
              <w:rPr>
                <w:sz w:val="12"/>
                <w:szCs w:val="12"/>
              </w:rPr>
              <w:t xml:space="preserve"> </w:t>
            </w:r>
          </w:p>
        </w:tc>
        <w:tc>
          <w:tcPr>
            <w:tcW w:w="0" w:type="auto"/>
            <w:shd w:val="clear" w:color="auto" w:fill="auto"/>
          </w:tcPr>
          <w:p w14:paraId="45C566B3" w14:textId="77777777" w:rsidR="008C5CFA" w:rsidRPr="009C3005" w:rsidRDefault="00E82A60" w:rsidP="00300A01">
            <w:pPr>
              <w:pStyle w:val="Text1"/>
              <w:spacing w:before="0" w:after="0"/>
              <w:ind w:left="0"/>
              <w:rPr>
                <w:sz w:val="12"/>
                <w:szCs w:val="12"/>
              </w:rPr>
            </w:pPr>
            <w:r>
              <w:rPr>
                <w:noProof/>
                <w:sz w:val="12"/>
                <w:szCs w:val="12"/>
              </w:rPr>
              <w:t>11</w:t>
            </w:r>
          </w:p>
        </w:tc>
        <w:tc>
          <w:tcPr>
            <w:tcW w:w="0" w:type="auto"/>
            <w:shd w:val="clear" w:color="auto" w:fill="auto"/>
          </w:tcPr>
          <w:p w14:paraId="4101BC71" w14:textId="77777777" w:rsidR="008C5CFA" w:rsidRPr="009C3005" w:rsidRDefault="00E82A60" w:rsidP="00300A01">
            <w:pPr>
              <w:pStyle w:val="Text1"/>
              <w:spacing w:before="0" w:after="0"/>
              <w:ind w:left="0"/>
              <w:rPr>
                <w:sz w:val="12"/>
                <w:szCs w:val="12"/>
              </w:rPr>
            </w:pPr>
            <w:r>
              <w:rPr>
                <w:noProof/>
                <w:sz w:val="12"/>
                <w:szCs w:val="12"/>
              </w:rPr>
              <w:t>PL33</w:t>
            </w:r>
          </w:p>
        </w:tc>
        <w:tc>
          <w:tcPr>
            <w:tcW w:w="0" w:type="auto"/>
            <w:shd w:val="clear" w:color="auto" w:fill="auto"/>
          </w:tcPr>
          <w:p w14:paraId="7AA7059A" w14:textId="77777777" w:rsidR="008C5CFA" w:rsidRPr="009C3005" w:rsidRDefault="00E82A60" w:rsidP="00300A01">
            <w:pPr>
              <w:pStyle w:val="Text1"/>
              <w:spacing w:before="0" w:after="0"/>
              <w:ind w:left="0"/>
              <w:jc w:val="right"/>
              <w:rPr>
                <w:sz w:val="12"/>
                <w:szCs w:val="12"/>
              </w:rPr>
            </w:pPr>
            <w:r w:rsidRPr="009C3005">
              <w:rPr>
                <w:noProof/>
                <w:sz w:val="12"/>
                <w:szCs w:val="12"/>
              </w:rPr>
              <w:t>98 485,92</w:t>
            </w:r>
          </w:p>
        </w:tc>
        <w:tc>
          <w:tcPr>
            <w:tcW w:w="0" w:type="auto"/>
            <w:shd w:val="clear" w:color="auto" w:fill="auto"/>
          </w:tcPr>
          <w:p w14:paraId="748EDAE1" w14:textId="77777777" w:rsidR="008C5CFA" w:rsidRPr="009C3005" w:rsidRDefault="00E82A60" w:rsidP="00300A01">
            <w:pPr>
              <w:pStyle w:val="Text1"/>
              <w:spacing w:before="0" w:after="0"/>
              <w:ind w:left="0"/>
              <w:jc w:val="right"/>
              <w:rPr>
                <w:sz w:val="12"/>
                <w:szCs w:val="12"/>
              </w:rPr>
            </w:pPr>
            <w:r w:rsidRPr="009C3005">
              <w:rPr>
                <w:noProof/>
                <w:sz w:val="12"/>
                <w:szCs w:val="12"/>
              </w:rPr>
              <w:t>98 485,92</w:t>
            </w:r>
          </w:p>
        </w:tc>
        <w:tc>
          <w:tcPr>
            <w:tcW w:w="0" w:type="auto"/>
            <w:shd w:val="clear" w:color="auto" w:fill="auto"/>
          </w:tcPr>
          <w:p w14:paraId="276FE659" w14:textId="77777777" w:rsidR="008C5CFA" w:rsidRPr="009C3005" w:rsidRDefault="00E82A60" w:rsidP="00300A01">
            <w:pPr>
              <w:pStyle w:val="Text1"/>
              <w:spacing w:before="0" w:after="0"/>
              <w:ind w:left="0"/>
              <w:jc w:val="right"/>
              <w:rPr>
                <w:sz w:val="12"/>
                <w:szCs w:val="12"/>
              </w:rPr>
            </w:pPr>
            <w:r w:rsidRPr="009C3005">
              <w:rPr>
                <w:noProof/>
                <w:sz w:val="12"/>
                <w:szCs w:val="12"/>
              </w:rPr>
              <w:t>98 485,92</w:t>
            </w:r>
          </w:p>
        </w:tc>
        <w:tc>
          <w:tcPr>
            <w:tcW w:w="0" w:type="auto"/>
            <w:shd w:val="clear" w:color="auto" w:fill="auto"/>
          </w:tcPr>
          <w:p w14:paraId="0AE49A82" w14:textId="77777777" w:rsidR="008C5CFA" w:rsidRPr="009C3005" w:rsidRDefault="00E82A60" w:rsidP="00300A01">
            <w:pPr>
              <w:pStyle w:val="Text1"/>
              <w:spacing w:before="0" w:after="0"/>
              <w:ind w:left="0"/>
              <w:jc w:val="right"/>
              <w:rPr>
                <w:sz w:val="12"/>
                <w:szCs w:val="12"/>
              </w:rPr>
            </w:pPr>
            <w:r w:rsidRPr="009C3005">
              <w:rPr>
                <w:noProof/>
                <w:sz w:val="12"/>
                <w:szCs w:val="12"/>
              </w:rPr>
              <w:t>1</w:t>
            </w:r>
          </w:p>
        </w:tc>
      </w:tr>
      <w:tr w:rsidR="006B2EC1" w14:paraId="78617CB4" w14:textId="77777777" w:rsidTr="0047688D">
        <w:tc>
          <w:tcPr>
            <w:tcW w:w="0" w:type="auto"/>
            <w:shd w:val="clear" w:color="auto" w:fill="auto"/>
          </w:tcPr>
          <w:p w14:paraId="77BB7576" w14:textId="77777777" w:rsidR="008C5CFA" w:rsidRPr="009C3005" w:rsidRDefault="00E82A60" w:rsidP="00300A01">
            <w:pPr>
              <w:pStyle w:val="Text1"/>
              <w:spacing w:before="0" w:after="0"/>
              <w:ind w:left="0"/>
              <w:rPr>
                <w:sz w:val="12"/>
                <w:szCs w:val="12"/>
              </w:rPr>
            </w:pPr>
            <w:r>
              <w:rPr>
                <w:noProof/>
                <w:sz w:val="14"/>
                <w:szCs w:val="14"/>
                <w:lang w:val="fr-BE"/>
              </w:rPr>
              <w:t>8</w:t>
            </w:r>
          </w:p>
        </w:tc>
        <w:tc>
          <w:tcPr>
            <w:tcW w:w="0" w:type="auto"/>
            <w:shd w:val="clear" w:color="auto" w:fill="auto"/>
          </w:tcPr>
          <w:p w14:paraId="6D963204" w14:textId="77777777" w:rsidR="008C5CFA" w:rsidRPr="009C3005" w:rsidRDefault="00E82A60" w:rsidP="00300A01">
            <w:pPr>
              <w:pStyle w:val="Text1"/>
              <w:spacing w:before="0" w:after="0"/>
              <w:ind w:left="0"/>
              <w:rPr>
                <w:sz w:val="12"/>
                <w:szCs w:val="12"/>
              </w:rPr>
            </w:pPr>
            <w:r>
              <w:rPr>
                <w:noProof/>
                <w:sz w:val="12"/>
                <w:szCs w:val="12"/>
              </w:rPr>
              <w:t>EFS</w:t>
            </w:r>
          </w:p>
        </w:tc>
        <w:tc>
          <w:tcPr>
            <w:tcW w:w="0" w:type="auto"/>
            <w:shd w:val="clear" w:color="auto" w:fill="auto"/>
          </w:tcPr>
          <w:p w14:paraId="3609B0ED" w14:textId="77777777" w:rsidR="008C5CFA" w:rsidRPr="009C3005" w:rsidRDefault="00E82A60" w:rsidP="00300A01">
            <w:pPr>
              <w:pStyle w:val="Text1"/>
              <w:spacing w:before="0" w:after="0"/>
              <w:ind w:left="0"/>
              <w:rPr>
                <w:sz w:val="12"/>
                <w:szCs w:val="12"/>
              </w:rPr>
            </w:pPr>
            <w:r>
              <w:rPr>
                <w:noProof/>
                <w:sz w:val="12"/>
                <w:szCs w:val="12"/>
              </w:rPr>
              <w:t>Słabiej rozwinięte</w:t>
            </w:r>
          </w:p>
        </w:tc>
        <w:tc>
          <w:tcPr>
            <w:tcW w:w="0" w:type="auto"/>
            <w:shd w:val="clear" w:color="auto" w:fill="auto"/>
          </w:tcPr>
          <w:p w14:paraId="2CD5361C" w14:textId="77777777" w:rsidR="008C5CFA" w:rsidRPr="009C3005" w:rsidRDefault="00E82A60" w:rsidP="00300A01">
            <w:pPr>
              <w:pStyle w:val="Text1"/>
              <w:spacing w:before="0" w:after="0"/>
              <w:ind w:left="0"/>
              <w:rPr>
                <w:sz w:val="12"/>
                <w:szCs w:val="12"/>
              </w:rPr>
            </w:pPr>
            <w:r>
              <w:rPr>
                <w:noProof/>
                <w:sz w:val="12"/>
                <w:szCs w:val="12"/>
              </w:rPr>
              <w:t>107</w:t>
            </w:r>
          </w:p>
        </w:tc>
        <w:tc>
          <w:tcPr>
            <w:tcW w:w="0" w:type="auto"/>
            <w:shd w:val="clear" w:color="auto" w:fill="auto"/>
          </w:tcPr>
          <w:p w14:paraId="0A89AAFD"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5E716514"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3F3FA0CF"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0708F84C" w14:textId="77777777" w:rsidR="008C5CFA" w:rsidRPr="009C3005" w:rsidRDefault="008C5CFA" w:rsidP="00300A01">
            <w:pPr>
              <w:pStyle w:val="Text1"/>
              <w:spacing w:before="0" w:after="0"/>
              <w:ind w:left="0"/>
              <w:rPr>
                <w:sz w:val="12"/>
                <w:szCs w:val="12"/>
              </w:rPr>
            </w:pPr>
          </w:p>
        </w:tc>
        <w:tc>
          <w:tcPr>
            <w:tcW w:w="0" w:type="auto"/>
            <w:shd w:val="clear" w:color="auto" w:fill="auto"/>
          </w:tcPr>
          <w:p w14:paraId="7E2A3FF1" w14:textId="77777777" w:rsidR="008C5CFA" w:rsidRPr="009C3005" w:rsidRDefault="00E82A60" w:rsidP="00300A01">
            <w:pPr>
              <w:pStyle w:val="Text1"/>
              <w:spacing w:before="0" w:after="0"/>
              <w:ind w:left="0"/>
              <w:rPr>
                <w:sz w:val="12"/>
                <w:szCs w:val="12"/>
              </w:rPr>
            </w:pPr>
            <w:r>
              <w:rPr>
                <w:noProof/>
                <w:sz w:val="12"/>
                <w:szCs w:val="12"/>
              </w:rPr>
              <w:t>08</w:t>
            </w:r>
            <w:r>
              <w:rPr>
                <w:sz w:val="12"/>
                <w:szCs w:val="12"/>
              </w:rPr>
              <w:t xml:space="preserve"> </w:t>
            </w:r>
          </w:p>
        </w:tc>
        <w:tc>
          <w:tcPr>
            <w:tcW w:w="0" w:type="auto"/>
            <w:shd w:val="clear" w:color="auto" w:fill="auto"/>
          </w:tcPr>
          <w:p w14:paraId="35E3F391" w14:textId="77777777" w:rsidR="008C5CFA" w:rsidRPr="009C3005" w:rsidRDefault="00E82A60" w:rsidP="00300A01">
            <w:pPr>
              <w:pStyle w:val="Text1"/>
              <w:spacing w:before="0" w:after="0"/>
              <w:ind w:left="0"/>
              <w:rPr>
                <w:sz w:val="12"/>
                <w:szCs w:val="12"/>
              </w:rPr>
            </w:pPr>
            <w:r>
              <w:rPr>
                <w:noProof/>
                <w:sz w:val="12"/>
                <w:szCs w:val="12"/>
              </w:rPr>
              <w:t>16</w:t>
            </w:r>
          </w:p>
        </w:tc>
        <w:tc>
          <w:tcPr>
            <w:tcW w:w="0" w:type="auto"/>
            <w:shd w:val="clear" w:color="auto" w:fill="auto"/>
          </w:tcPr>
          <w:p w14:paraId="0503D4A0" w14:textId="77777777" w:rsidR="008C5CFA" w:rsidRPr="009C3005" w:rsidRDefault="00E82A60" w:rsidP="00300A01">
            <w:pPr>
              <w:pStyle w:val="Text1"/>
              <w:spacing w:before="0" w:after="0"/>
              <w:ind w:left="0"/>
              <w:rPr>
                <w:sz w:val="12"/>
                <w:szCs w:val="12"/>
              </w:rPr>
            </w:pPr>
            <w:r>
              <w:rPr>
                <w:noProof/>
                <w:sz w:val="12"/>
                <w:szCs w:val="12"/>
              </w:rPr>
              <w:t>PL33</w:t>
            </w:r>
          </w:p>
        </w:tc>
        <w:tc>
          <w:tcPr>
            <w:tcW w:w="0" w:type="auto"/>
            <w:shd w:val="clear" w:color="auto" w:fill="auto"/>
          </w:tcPr>
          <w:p w14:paraId="7F00B485" w14:textId="77777777" w:rsidR="008C5CFA" w:rsidRPr="009C3005" w:rsidRDefault="00E82A60" w:rsidP="00300A01">
            <w:pPr>
              <w:pStyle w:val="Text1"/>
              <w:spacing w:before="0" w:after="0"/>
              <w:ind w:left="0"/>
              <w:jc w:val="right"/>
              <w:rPr>
                <w:sz w:val="12"/>
                <w:szCs w:val="12"/>
              </w:rPr>
            </w:pPr>
            <w:r w:rsidRPr="009C3005">
              <w:rPr>
                <w:noProof/>
                <w:sz w:val="12"/>
                <w:szCs w:val="12"/>
              </w:rPr>
              <w:t>46 399,79</w:t>
            </w:r>
          </w:p>
        </w:tc>
        <w:tc>
          <w:tcPr>
            <w:tcW w:w="0" w:type="auto"/>
            <w:shd w:val="clear" w:color="auto" w:fill="auto"/>
          </w:tcPr>
          <w:p w14:paraId="591A4D92" w14:textId="77777777" w:rsidR="008C5CFA" w:rsidRPr="009C3005" w:rsidRDefault="00E82A60" w:rsidP="00300A01">
            <w:pPr>
              <w:pStyle w:val="Text1"/>
              <w:spacing w:before="0" w:after="0"/>
              <w:ind w:left="0"/>
              <w:jc w:val="right"/>
              <w:rPr>
                <w:sz w:val="12"/>
                <w:szCs w:val="12"/>
              </w:rPr>
            </w:pPr>
            <w:r w:rsidRPr="009C3005">
              <w:rPr>
                <w:noProof/>
                <w:sz w:val="12"/>
                <w:szCs w:val="12"/>
              </w:rPr>
              <w:t>41 706,02</w:t>
            </w:r>
          </w:p>
        </w:tc>
        <w:tc>
          <w:tcPr>
            <w:tcW w:w="0" w:type="auto"/>
            <w:shd w:val="clear" w:color="auto" w:fill="auto"/>
          </w:tcPr>
          <w:p w14:paraId="611ED299" w14:textId="77777777" w:rsidR="008C5CFA" w:rsidRPr="009C3005" w:rsidRDefault="00E82A60" w:rsidP="00300A01">
            <w:pPr>
              <w:pStyle w:val="Text1"/>
              <w:spacing w:before="0" w:after="0"/>
              <w:ind w:left="0"/>
              <w:jc w:val="right"/>
              <w:rPr>
                <w:sz w:val="12"/>
                <w:szCs w:val="12"/>
              </w:rPr>
            </w:pPr>
            <w:r w:rsidRPr="009C3005">
              <w:rPr>
                <w:noProof/>
                <w:sz w:val="12"/>
                <w:szCs w:val="12"/>
              </w:rPr>
              <w:t>46 399,79</w:t>
            </w:r>
          </w:p>
        </w:tc>
        <w:tc>
          <w:tcPr>
            <w:tcW w:w="0" w:type="auto"/>
            <w:shd w:val="clear" w:color="auto" w:fill="auto"/>
          </w:tcPr>
          <w:p w14:paraId="76821B62" w14:textId="77777777" w:rsidR="008C5CFA" w:rsidRPr="009C3005" w:rsidRDefault="00E82A60" w:rsidP="00300A01">
            <w:pPr>
              <w:pStyle w:val="Text1"/>
              <w:spacing w:before="0" w:after="0"/>
              <w:ind w:left="0"/>
              <w:jc w:val="right"/>
              <w:rPr>
                <w:sz w:val="12"/>
                <w:szCs w:val="12"/>
              </w:rPr>
            </w:pPr>
            <w:r w:rsidRPr="009C3005">
              <w:rPr>
                <w:noProof/>
                <w:sz w:val="12"/>
                <w:szCs w:val="12"/>
              </w:rPr>
              <w:t>1</w:t>
            </w:r>
          </w:p>
        </w:tc>
      </w:tr>
      <w:tr w:rsidR="006B2EC1" w14:paraId="00097659" w14:textId="77777777" w:rsidTr="0047688D">
        <w:tc>
          <w:tcPr>
            <w:tcW w:w="0" w:type="auto"/>
            <w:shd w:val="clear" w:color="auto" w:fill="auto"/>
          </w:tcPr>
          <w:p w14:paraId="4EF9FA34" w14:textId="77777777" w:rsidR="008C5CFA" w:rsidRPr="009C3005" w:rsidRDefault="00E82A60" w:rsidP="00300A01">
            <w:pPr>
              <w:pStyle w:val="Text1"/>
              <w:spacing w:before="0" w:after="0"/>
              <w:ind w:left="0"/>
              <w:rPr>
                <w:sz w:val="12"/>
                <w:szCs w:val="12"/>
              </w:rPr>
            </w:pPr>
            <w:r>
              <w:rPr>
                <w:noProof/>
                <w:sz w:val="14"/>
                <w:szCs w:val="14"/>
                <w:lang w:val="fr-BE"/>
              </w:rPr>
              <w:t>8</w:t>
            </w:r>
          </w:p>
        </w:tc>
        <w:tc>
          <w:tcPr>
            <w:tcW w:w="0" w:type="auto"/>
            <w:shd w:val="clear" w:color="auto" w:fill="auto"/>
          </w:tcPr>
          <w:p w14:paraId="67007D9F" w14:textId="77777777" w:rsidR="008C5CFA" w:rsidRPr="009C3005" w:rsidRDefault="00E82A60" w:rsidP="00300A01">
            <w:pPr>
              <w:pStyle w:val="Text1"/>
              <w:spacing w:before="0" w:after="0"/>
              <w:ind w:left="0"/>
              <w:rPr>
                <w:sz w:val="12"/>
                <w:szCs w:val="12"/>
              </w:rPr>
            </w:pPr>
            <w:r>
              <w:rPr>
                <w:noProof/>
                <w:sz w:val="12"/>
                <w:szCs w:val="12"/>
              </w:rPr>
              <w:t>EFS</w:t>
            </w:r>
          </w:p>
        </w:tc>
        <w:tc>
          <w:tcPr>
            <w:tcW w:w="0" w:type="auto"/>
            <w:shd w:val="clear" w:color="auto" w:fill="auto"/>
          </w:tcPr>
          <w:p w14:paraId="18E029B6" w14:textId="77777777" w:rsidR="008C5CFA" w:rsidRPr="009C3005" w:rsidRDefault="00E82A60" w:rsidP="00300A01">
            <w:pPr>
              <w:pStyle w:val="Text1"/>
              <w:spacing w:before="0" w:after="0"/>
              <w:ind w:left="0"/>
              <w:rPr>
                <w:sz w:val="12"/>
                <w:szCs w:val="12"/>
              </w:rPr>
            </w:pPr>
            <w:r>
              <w:rPr>
                <w:noProof/>
                <w:sz w:val="12"/>
                <w:szCs w:val="12"/>
              </w:rPr>
              <w:t>Słabiej rozwinięte</w:t>
            </w:r>
          </w:p>
        </w:tc>
        <w:tc>
          <w:tcPr>
            <w:tcW w:w="0" w:type="auto"/>
            <w:shd w:val="clear" w:color="auto" w:fill="auto"/>
          </w:tcPr>
          <w:p w14:paraId="6AACE2A3" w14:textId="77777777" w:rsidR="008C5CFA" w:rsidRPr="009C3005" w:rsidRDefault="00E82A60" w:rsidP="00300A01">
            <w:pPr>
              <w:pStyle w:val="Text1"/>
              <w:spacing w:before="0" w:after="0"/>
              <w:ind w:left="0"/>
              <w:rPr>
                <w:sz w:val="12"/>
                <w:szCs w:val="12"/>
              </w:rPr>
            </w:pPr>
            <w:r>
              <w:rPr>
                <w:noProof/>
                <w:sz w:val="12"/>
                <w:szCs w:val="12"/>
              </w:rPr>
              <w:t>107</w:t>
            </w:r>
          </w:p>
        </w:tc>
        <w:tc>
          <w:tcPr>
            <w:tcW w:w="0" w:type="auto"/>
            <w:shd w:val="clear" w:color="auto" w:fill="auto"/>
          </w:tcPr>
          <w:p w14:paraId="057F77E9"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0627E051"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42D53F85"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09F29EB9" w14:textId="77777777" w:rsidR="008C5CFA" w:rsidRPr="009C3005" w:rsidRDefault="008C5CFA" w:rsidP="00300A01">
            <w:pPr>
              <w:pStyle w:val="Text1"/>
              <w:spacing w:before="0" w:after="0"/>
              <w:ind w:left="0"/>
              <w:rPr>
                <w:sz w:val="12"/>
                <w:szCs w:val="12"/>
              </w:rPr>
            </w:pPr>
          </w:p>
        </w:tc>
        <w:tc>
          <w:tcPr>
            <w:tcW w:w="0" w:type="auto"/>
            <w:shd w:val="clear" w:color="auto" w:fill="auto"/>
          </w:tcPr>
          <w:p w14:paraId="3BBFC4AC" w14:textId="77777777" w:rsidR="008C5CFA" w:rsidRPr="009C3005" w:rsidRDefault="00E82A60" w:rsidP="00300A01">
            <w:pPr>
              <w:pStyle w:val="Text1"/>
              <w:spacing w:before="0" w:after="0"/>
              <w:ind w:left="0"/>
              <w:rPr>
                <w:sz w:val="12"/>
                <w:szCs w:val="12"/>
              </w:rPr>
            </w:pPr>
            <w:r>
              <w:rPr>
                <w:noProof/>
                <w:sz w:val="12"/>
                <w:szCs w:val="12"/>
              </w:rPr>
              <w:t>08</w:t>
            </w:r>
            <w:r>
              <w:rPr>
                <w:sz w:val="12"/>
                <w:szCs w:val="12"/>
              </w:rPr>
              <w:t xml:space="preserve"> </w:t>
            </w:r>
          </w:p>
        </w:tc>
        <w:tc>
          <w:tcPr>
            <w:tcW w:w="0" w:type="auto"/>
            <w:shd w:val="clear" w:color="auto" w:fill="auto"/>
          </w:tcPr>
          <w:p w14:paraId="46E8CD6E" w14:textId="77777777" w:rsidR="008C5CFA" w:rsidRPr="009C3005" w:rsidRDefault="00E82A60" w:rsidP="00300A01">
            <w:pPr>
              <w:pStyle w:val="Text1"/>
              <w:spacing w:before="0" w:after="0"/>
              <w:ind w:left="0"/>
              <w:rPr>
                <w:sz w:val="12"/>
                <w:szCs w:val="12"/>
              </w:rPr>
            </w:pPr>
            <w:r>
              <w:rPr>
                <w:noProof/>
                <w:sz w:val="12"/>
                <w:szCs w:val="12"/>
              </w:rPr>
              <w:t>18</w:t>
            </w:r>
          </w:p>
        </w:tc>
        <w:tc>
          <w:tcPr>
            <w:tcW w:w="0" w:type="auto"/>
            <w:shd w:val="clear" w:color="auto" w:fill="auto"/>
          </w:tcPr>
          <w:p w14:paraId="6C1DD1B8" w14:textId="77777777" w:rsidR="008C5CFA" w:rsidRPr="009C3005" w:rsidRDefault="00E82A60" w:rsidP="00300A01">
            <w:pPr>
              <w:pStyle w:val="Text1"/>
              <w:spacing w:before="0" w:after="0"/>
              <w:ind w:left="0"/>
              <w:rPr>
                <w:sz w:val="12"/>
                <w:szCs w:val="12"/>
              </w:rPr>
            </w:pPr>
            <w:r>
              <w:rPr>
                <w:noProof/>
                <w:sz w:val="12"/>
                <w:szCs w:val="12"/>
              </w:rPr>
              <w:t>PL33</w:t>
            </w:r>
          </w:p>
        </w:tc>
        <w:tc>
          <w:tcPr>
            <w:tcW w:w="0" w:type="auto"/>
            <w:shd w:val="clear" w:color="auto" w:fill="auto"/>
          </w:tcPr>
          <w:p w14:paraId="4F037B1A" w14:textId="77777777" w:rsidR="008C5CFA" w:rsidRPr="009C3005" w:rsidRDefault="00E82A60" w:rsidP="00300A01">
            <w:pPr>
              <w:pStyle w:val="Text1"/>
              <w:spacing w:before="0" w:after="0"/>
              <w:ind w:left="0"/>
              <w:jc w:val="right"/>
              <w:rPr>
                <w:sz w:val="12"/>
                <w:szCs w:val="12"/>
              </w:rPr>
            </w:pPr>
            <w:r w:rsidRPr="009C3005">
              <w:rPr>
                <w:noProof/>
                <w:sz w:val="12"/>
                <w:szCs w:val="12"/>
              </w:rPr>
              <w:t>131 450,13</w:t>
            </w:r>
          </w:p>
        </w:tc>
        <w:tc>
          <w:tcPr>
            <w:tcW w:w="0" w:type="auto"/>
            <w:shd w:val="clear" w:color="auto" w:fill="auto"/>
          </w:tcPr>
          <w:p w14:paraId="539666A4" w14:textId="77777777" w:rsidR="008C5CFA" w:rsidRPr="009C3005" w:rsidRDefault="00E82A60" w:rsidP="00300A01">
            <w:pPr>
              <w:pStyle w:val="Text1"/>
              <w:spacing w:before="0" w:after="0"/>
              <w:ind w:left="0"/>
              <w:jc w:val="right"/>
              <w:rPr>
                <w:sz w:val="12"/>
                <w:szCs w:val="12"/>
              </w:rPr>
            </w:pPr>
            <w:r w:rsidRPr="009C3005">
              <w:rPr>
                <w:noProof/>
                <w:sz w:val="12"/>
                <w:szCs w:val="12"/>
              </w:rPr>
              <w:t>131 450,13</w:t>
            </w:r>
          </w:p>
        </w:tc>
        <w:tc>
          <w:tcPr>
            <w:tcW w:w="0" w:type="auto"/>
            <w:shd w:val="clear" w:color="auto" w:fill="auto"/>
          </w:tcPr>
          <w:p w14:paraId="4BEC8562" w14:textId="77777777" w:rsidR="008C5CFA" w:rsidRPr="009C3005" w:rsidRDefault="00E82A60" w:rsidP="00300A01">
            <w:pPr>
              <w:pStyle w:val="Text1"/>
              <w:spacing w:before="0" w:after="0"/>
              <w:ind w:left="0"/>
              <w:jc w:val="right"/>
              <w:rPr>
                <w:sz w:val="12"/>
                <w:szCs w:val="12"/>
              </w:rPr>
            </w:pPr>
            <w:r w:rsidRPr="009C3005">
              <w:rPr>
                <w:noProof/>
                <w:sz w:val="12"/>
                <w:szCs w:val="12"/>
              </w:rPr>
              <w:t>130 971,49</w:t>
            </w:r>
          </w:p>
        </w:tc>
        <w:tc>
          <w:tcPr>
            <w:tcW w:w="0" w:type="auto"/>
            <w:shd w:val="clear" w:color="auto" w:fill="auto"/>
          </w:tcPr>
          <w:p w14:paraId="4BC5D858" w14:textId="77777777" w:rsidR="008C5CFA" w:rsidRPr="009C3005" w:rsidRDefault="00E82A60" w:rsidP="00300A01">
            <w:pPr>
              <w:pStyle w:val="Text1"/>
              <w:spacing w:before="0" w:after="0"/>
              <w:ind w:left="0"/>
              <w:jc w:val="right"/>
              <w:rPr>
                <w:sz w:val="12"/>
                <w:szCs w:val="12"/>
              </w:rPr>
            </w:pPr>
            <w:r w:rsidRPr="009C3005">
              <w:rPr>
                <w:noProof/>
                <w:sz w:val="12"/>
                <w:szCs w:val="12"/>
              </w:rPr>
              <w:t>1</w:t>
            </w:r>
          </w:p>
        </w:tc>
      </w:tr>
      <w:tr w:rsidR="006B2EC1" w14:paraId="10332F00" w14:textId="77777777" w:rsidTr="0047688D">
        <w:tc>
          <w:tcPr>
            <w:tcW w:w="0" w:type="auto"/>
            <w:shd w:val="clear" w:color="auto" w:fill="auto"/>
          </w:tcPr>
          <w:p w14:paraId="060DE7A9" w14:textId="77777777" w:rsidR="008C5CFA" w:rsidRPr="009C3005" w:rsidRDefault="00E82A60" w:rsidP="00300A01">
            <w:pPr>
              <w:pStyle w:val="Text1"/>
              <w:spacing w:before="0" w:after="0"/>
              <w:ind w:left="0"/>
              <w:rPr>
                <w:sz w:val="12"/>
                <w:szCs w:val="12"/>
              </w:rPr>
            </w:pPr>
            <w:r>
              <w:rPr>
                <w:noProof/>
                <w:sz w:val="14"/>
                <w:szCs w:val="14"/>
                <w:lang w:val="fr-BE"/>
              </w:rPr>
              <w:t>8</w:t>
            </w:r>
          </w:p>
        </w:tc>
        <w:tc>
          <w:tcPr>
            <w:tcW w:w="0" w:type="auto"/>
            <w:shd w:val="clear" w:color="auto" w:fill="auto"/>
          </w:tcPr>
          <w:p w14:paraId="5E7D0221" w14:textId="77777777" w:rsidR="008C5CFA" w:rsidRPr="009C3005" w:rsidRDefault="00E82A60" w:rsidP="00300A01">
            <w:pPr>
              <w:pStyle w:val="Text1"/>
              <w:spacing w:before="0" w:after="0"/>
              <w:ind w:left="0"/>
              <w:rPr>
                <w:sz w:val="12"/>
                <w:szCs w:val="12"/>
              </w:rPr>
            </w:pPr>
            <w:r>
              <w:rPr>
                <w:noProof/>
                <w:sz w:val="12"/>
                <w:szCs w:val="12"/>
              </w:rPr>
              <w:t>EFS</w:t>
            </w:r>
          </w:p>
        </w:tc>
        <w:tc>
          <w:tcPr>
            <w:tcW w:w="0" w:type="auto"/>
            <w:shd w:val="clear" w:color="auto" w:fill="auto"/>
          </w:tcPr>
          <w:p w14:paraId="7CC79B46" w14:textId="77777777" w:rsidR="008C5CFA" w:rsidRPr="009C3005" w:rsidRDefault="00E82A60" w:rsidP="00300A01">
            <w:pPr>
              <w:pStyle w:val="Text1"/>
              <w:spacing w:before="0" w:after="0"/>
              <w:ind w:left="0"/>
              <w:rPr>
                <w:sz w:val="12"/>
                <w:szCs w:val="12"/>
              </w:rPr>
            </w:pPr>
            <w:r>
              <w:rPr>
                <w:noProof/>
                <w:sz w:val="12"/>
                <w:szCs w:val="12"/>
              </w:rPr>
              <w:t>Słabiej rozwinięte</w:t>
            </w:r>
          </w:p>
        </w:tc>
        <w:tc>
          <w:tcPr>
            <w:tcW w:w="0" w:type="auto"/>
            <w:shd w:val="clear" w:color="auto" w:fill="auto"/>
          </w:tcPr>
          <w:p w14:paraId="109CBAA7" w14:textId="77777777" w:rsidR="008C5CFA" w:rsidRPr="009C3005" w:rsidRDefault="00E82A60" w:rsidP="00300A01">
            <w:pPr>
              <w:pStyle w:val="Text1"/>
              <w:spacing w:before="0" w:after="0"/>
              <w:ind w:left="0"/>
              <w:rPr>
                <w:sz w:val="12"/>
                <w:szCs w:val="12"/>
              </w:rPr>
            </w:pPr>
            <w:r>
              <w:rPr>
                <w:noProof/>
                <w:sz w:val="12"/>
                <w:szCs w:val="12"/>
              </w:rPr>
              <w:t>107</w:t>
            </w:r>
          </w:p>
        </w:tc>
        <w:tc>
          <w:tcPr>
            <w:tcW w:w="0" w:type="auto"/>
            <w:shd w:val="clear" w:color="auto" w:fill="auto"/>
          </w:tcPr>
          <w:p w14:paraId="67B153A2"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18E26C2F"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415D03FE"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286EF49A" w14:textId="77777777" w:rsidR="008C5CFA" w:rsidRPr="009C3005" w:rsidRDefault="008C5CFA" w:rsidP="00300A01">
            <w:pPr>
              <w:pStyle w:val="Text1"/>
              <w:spacing w:before="0" w:after="0"/>
              <w:ind w:left="0"/>
              <w:rPr>
                <w:sz w:val="12"/>
                <w:szCs w:val="12"/>
              </w:rPr>
            </w:pPr>
          </w:p>
        </w:tc>
        <w:tc>
          <w:tcPr>
            <w:tcW w:w="0" w:type="auto"/>
            <w:shd w:val="clear" w:color="auto" w:fill="auto"/>
          </w:tcPr>
          <w:p w14:paraId="43AA7CCE" w14:textId="77777777" w:rsidR="008C5CFA" w:rsidRPr="009C3005" w:rsidRDefault="00E82A60" w:rsidP="00300A01">
            <w:pPr>
              <w:pStyle w:val="Text1"/>
              <w:spacing w:before="0" w:after="0"/>
              <w:ind w:left="0"/>
              <w:rPr>
                <w:sz w:val="12"/>
                <w:szCs w:val="12"/>
              </w:rPr>
            </w:pPr>
            <w:r>
              <w:rPr>
                <w:noProof/>
                <w:sz w:val="12"/>
                <w:szCs w:val="12"/>
              </w:rPr>
              <w:t>08</w:t>
            </w:r>
            <w:r>
              <w:rPr>
                <w:sz w:val="12"/>
                <w:szCs w:val="12"/>
              </w:rPr>
              <w:t xml:space="preserve"> </w:t>
            </w:r>
          </w:p>
        </w:tc>
        <w:tc>
          <w:tcPr>
            <w:tcW w:w="0" w:type="auto"/>
            <w:shd w:val="clear" w:color="auto" w:fill="auto"/>
          </w:tcPr>
          <w:p w14:paraId="7E82C1E6" w14:textId="77777777" w:rsidR="008C5CFA" w:rsidRPr="009C3005" w:rsidRDefault="00E82A60" w:rsidP="00300A01">
            <w:pPr>
              <w:pStyle w:val="Text1"/>
              <w:spacing w:before="0" w:after="0"/>
              <w:ind w:left="0"/>
              <w:rPr>
                <w:sz w:val="12"/>
                <w:szCs w:val="12"/>
              </w:rPr>
            </w:pPr>
            <w:r>
              <w:rPr>
                <w:noProof/>
                <w:sz w:val="12"/>
                <w:szCs w:val="12"/>
              </w:rPr>
              <w:t>19</w:t>
            </w:r>
          </w:p>
        </w:tc>
        <w:tc>
          <w:tcPr>
            <w:tcW w:w="0" w:type="auto"/>
            <w:shd w:val="clear" w:color="auto" w:fill="auto"/>
          </w:tcPr>
          <w:p w14:paraId="7955974D" w14:textId="77777777" w:rsidR="008C5CFA" w:rsidRPr="009C3005" w:rsidRDefault="00E82A60" w:rsidP="00300A01">
            <w:pPr>
              <w:pStyle w:val="Text1"/>
              <w:spacing w:before="0" w:after="0"/>
              <w:ind w:left="0"/>
              <w:rPr>
                <w:sz w:val="12"/>
                <w:szCs w:val="12"/>
              </w:rPr>
            </w:pPr>
            <w:r>
              <w:rPr>
                <w:noProof/>
                <w:sz w:val="12"/>
                <w:szCs w:val="12"/>
              </w:rPr>
              <w:t>PL33</w:t>
            </w:r>
          </w:p>
        </w:tc>
        <w:tc>
          <w:tcPr>
            <w:tcW w:w="0" w:type="auto"/>
            <w:shd w:val="clear" w:color="auto" w:fill="auto"/>
          </w:tcPr>
          <w:p w14:paraId="639A63D3" w14:textId="77777777" w:rsidR="008C5CFA" w:rsidRPr="009C3005" w:rsidRDefault="00E82A60" w:rsidP="00300A01">
            <w:pPr>
              <w:pStyle w:val="Text1"/>
              <w:spacing w:before="0" w:after="0"/>
              <w:ind w:left="0"/>
              <w:jc w:val="right"/>
              <w:rPr>
                <w:sz w:val="12"/>
                <w:szCs w:val="12"/>
              </w:rPr>
            </w:pPr>
            <w:r w:rsidRPr="009C3005">
              <w:rPr>
                <w:noProof/>
                <w:sz w:val="12"/>
                <w:szCs w:val="12"/>
              </w:rPr>
              <w:t>773 930,25</w:t>
            </w:r>
          </w:p>
        </w:tc>
        <w:tc>
          <w:tcPr>
            <w:tcW w:w="0" w:type="auto"/>
            <w:shd w:val="clear" w:color="auto" w:fill="auto"/>
          </w:tcPr>
          <w:p w14:paraId="34F4836C" w14:textId="77777777" w:rsidR="008C5CFA" w:rsidRPr="009C3005" w:rsidRDefault="00E82A60" w:rsidP="00300A01">
            <w:pPr>
              <w:pStyle w:val="Text1"/>
              <w:spacing w:before="0" w:after="0"/>
              <w:ind w:left="0"/>
              <w:jc w:val="right"/>
              <w:rPr>
                <w:sz w:val="12"/>
                <w:szCs w:val="12"/>
              </w:rPr>
            </w:pPr>
            <w:r w:rsidRPr="009C3005">
              <w:rPr>
                <w:noProof/>
                <w:sz w:val="12"/>
                <w:szCs w:val="12"/>
              </w:rPr>
              <w:t>696 405,40</w:t>
            </w:r>
          </w:p>
        </w:tc>
        <w:tc>
          <w:tcPr>
            <w:tcW w:w="0" w:type="auto"/>
            <w:shd w:val="clear" w:color="auto" w:fill="auto"/>
          </w:tcPr>
          <w:p w14:paraId="2362A40C" w14:textId="77777777" w:rsidR="008C5CFA" w:rsidRPr="009C3005" w:rsidRDefault="00E82A60" w:rsidP="00300A01">
            <w:pPr>
              <w:pStyle w:val="Text1"/>
              <w:spacing w:before="0" w:after="0"/>
              <w:ind w:left="0"/>
              <w:jc w:val="right"/>
              <w:rPr>
                <w:sz w:val="12"/>
                <w:szCs w:val="12"/>
              </w:rPr>
            </w:pPr>
            <w:r w:rsidRPr="009C3005">
              <w:rPr>
                <w:noProof/>
                <w:sz w:val="12"/>
                <w:szCs w:val="12"/>
              </w:rPr>
              <w:t>96 104,30</w:t>
            </w:r>
          </w:p>
        </w:tc>
        <w:tc>
          <w:tcPr>
            <w:tcW w:w="0" w:type="auto"/>
            <w:shd w:val="clear" w:color="auto" w:fill="auto"/>
          </w:tcPr>
          <w:p w14:paraId="1A3C23B9" w14:textId="77777777" w:rsidR="008C5CFA" w:rsidRPr="009C3005" w:rsidRDefault="00E82A60" w:rsidP="00300A01">
            <w:pPr>
              <w:pStyle w:val="Text1"/>
              <w:spacing w:before="0" w:after="0"/>
              <w:ind w:left="0"/>
              <w:jc w:val="right"/>
              <w:rPr>
                <w:sz w:val="12"/>
                <w:szCs w:val="12"/>
              </w:rPr>
            </w:pPr>
            <w:r w:rsidRPr="009C3005">
              <w:rPr>
                <w:noProof/>
                <w:sz w:val="12"/>
                <w:szCs w:val="12"/>
              </w:rPr>
              <w:t>1</w:t>
            </w:r>
          </w:p>
        </w:tc>
      </w:tr>
      <w:tr w:rsidR="006B2EC1" w14:paraId="503E48F3" w14:textId="77777777" w:rsidTr="0047688D">
        <w:tc>
          <w:tcPr>
            <w:tcW w:w="0" w:type="auto"/>
            <w:shd w:val="clear" w:color="auto" w:fill="auto"/>
          </w:tcPr>
          <w:p w14:paraId="169ECEB9" w14:textId="77777777" w:rsidR="008C5CFA" w:rsidRPr="009C3005" w:rsidRDefault="00E82A60" w:rsidP="00300A01">
            <w:pPr>
              <w:pStyle w:val="Text1"/>
              <w:spacing w:before="0" w:after="0"/>
              <w:ind w:left="0"/>
              <w:rPr>
                <w:sz w:val="12"/>
                <w:szCs w:val="12"/>
              </w:rPr>
            </w:pPr>
            <w:r>
              <w:rPr>
                <w:noProof/>
                <w:sz w:val="14"/>
                <w:szCs w:val="14"/>
                <w:lang w:val="fr-BE"/>
              </w:rPr>
              <w:t>8</w:t>
            </w:r>
          </w:p>
        </w:tc>
        <w:tc>
          <w:tcPr>
            <w:tcW w:w="0" w:type="auto"/>
            <w:shd w:val="clear" w:color="auto" w:fill="auto"/>
          </w:tcPr>
          <w:p w14:paraId="656D39C4" w14:textId="77777777" w:rsidR="008C5CFA" w:rsidRPr="009C3005" w:rsidRDefault="00E82A60" w:rsidP="00300A01">
            <w:pPr>
              <w:pStyle w:val="Text1"/>
              <w:spacing w:before="0" w:after="0"/>
              <w:ind w:left="0"/>
              <w:rPr>
                <w:sz w:val="12"/>
                <w:szCs w:val="12"/>
              </w:rPr>
            </w:pPr>
            <w:r>
              <w:rPr>
                <w:noProof/>
                <w:sz w:val="12"/>
                <w:szCs w:val="12"/>
              </w:rPr>
              <w:t>EFS</w:t>
            </w:r>
          </w:p>
        </w:tc>
        <w:tc>
          <w:tcPr>
            <w:tcW w:w="0" w:type="auto"/>
            <w:shd w:val="clear" w:color="auto" w:fill="auto"/>
          </w:tcPr>
          <w:p w14:paraId="2A4DF4A3" w14:textId="77777777" w:rsidR="008C5CFA" w:rsidRPr="009C3005" w:rsidRDefault="00E82A60" w:rsidP="00300A01">
            <w:pPr>
              <w:pStyle w:val="Text1"/>
              <w:spacing w:before="0" w:after="0"/>
              <w:ind w:left="0"/>
              <w:rPr>
                <w:sz w:val="12"/>
                <w:szCs w:val="12"/>
              </w:rPr>
            </w:pPr>
            <w:r>
              <w:rPr>
                <w:noProof/>
                <w:sz w:val="12"/>
                <w:szCs w:val="12"/>
              </w:rPr>
              <w:t>Słabiej rozwinięte</w:t>
            </w:r>
          </w:p>
        </w:tc>
        <w:tc>
          <w:tcPr>
            <w:tcW w:w="0" w:type="auto"/>
            <w:shd w:val="clear" w:color="auto" w:fill="auto"/>
          </w:tcPr>
          <w:p w14:paraId="0BAEE24A" w14:textId="77777777" w:rsidR="008C5CFA" w:rsidRPr="009C3005" w:rsidRDefault="00E82A60" w:rsidP="00300A01">
            <w:pPr>
              <w:pStyle w:val="Text1"/>
              <w:spacing w:before="0" w:after="0"/>
              <w:ind w:left="0"/>
              <w:rPr>
                <w:sz w:val="12"/>
                <w:szCs w:val="12"/>
              </w:rPr>
            </w:pPr>
            <w:r>
              <w:rPr>
                <w:noProof/>
                <w:sz w:val="12"/>
                <w:szCs w:val="12"/>
              </w:rPr>
              <w:t>107</w:t>
            </w:r>
          </w:p>
        </w:tc>
        <w:tc>
          <w:tcPr>
            <w:tcW w:w="0" w:type="auto"/>
            <w:shd w:val="clear" w:color="auto" w:fill="auto"/>
          </w:tcPr>
          <w:p w14:paraId="4F2BF8E3"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64F80BA8"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1AE41B27"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3BF268F5" w14:textId="77777777" w:rsidR="008C5CFA" w:rsidRPr="009C3005" w:rsidRDefault="008C5CFA" w:rsidP="00300A01">
            <w:pPr>
              <w:pStyle w:val="Text1"/>
              <w:spacing w:before="0" w:after="0"/>
              <w:ind w:left="0"/>
              <w:rPr>
                <w:sz w:val="12"/>
                <w:szCs w:val="12"/>
              </w:rPr>
            </w:pPr>
          </w:p>
        </w:tc>
        <w:tc>
          <w:tcPr>
            <w:tcW w:w="0" w:type="auto"/>
            <w:shd w:val="clear" w:color="auto" w:fill="auto"/>
          </w:tcPr>
          <w:p w14:paraId="5DB144E9" w14:textId="77777777" w:rsidR="008C5CFA" w:rsidRPr="009C3005" w:rsidRDefault="00E82A60" w:rsidP="00300A01">
            <w:pPr>
              <w:pStyle w:val="Text1"/>
              <w:spacing w:before="0" w:after="0"/>
              <w:ind w:left="0"/>
              <w:rPr>
                <w:sz w:val="12"/>
                <w:szCs w:val="12"/>
              </w:rPr>
            </w:pPr>
            <w:r>
              <w:rPr>
                <w:noProof/>
                <w:sz w:val="12"/>
                <w:szCs w:val="12"/>
              </w:rPr>
              <w:t>08</w:t>
            </w:r>
            <w:r>
              <w:rPr>
                <w:sz w:val="12"/>
                <w:szCs w:val="12"/>
              </w:rPr>
              <w:t xml:space="preserve"> </w:t>
            </w:r>
          </w:p>
        </w:tc>
        <w:tc>
          <w:tcPr>
            <w:tcW w:w="0" w:type="auto"/>
            <w:shd w:val="clear" w:color="auto" w:fill="auto"/>
          </w:tcPr>
          <w:p w14:paraId="74AD8A8A" w14:textId="77777777" w:rsidR="008C5CFA" w:rsidRPr="009C3005" w:rsidRDefault="00E82A60" w:rsidP="00300A01">
            <w:pPr>
              <w:pStyle w:val="Text1"/>
              <w:spacing w:before="0" w:after="0"/>
              <w:ind w:left="0"/>
              <w:rPr>
                <w:sz w:val="12"/>
                <w:szCs w:val="12"/>
              </w:rPr>
            </w:pPr>
            <w:r>
              <w:rPr>
                <w:noProof/>
                <w:sz w:val="12"/>
                <w:szCs w:val="12"/>
              </w:rPr>
              <w:t>20</w:t>
            </w:r>
          </w:p>
        </w:tc>
        <w:tc>
          <w:tcPr>
            <w:tcW w:w="0" w:type="auto"/>
            <w:shd w:val="clear" w:color="auto" w:fill="auto"/>
          </w:tcPr>
          <w:p w14:paraId="40A8BF8D" w14:textId="77777777" w:rsidR="008C5CFA" w:rsidRPr="009C3005" w:rsidRDefault="00E82A60" w:rsidP="00300A01">
            <w:pPr>
              <w:pStyle w:val="Text1"/>
              <w:spacing w:before="0" w:after="0"/>
              <w:ind w:left="0"/>
              <w:rPr>
                <w:sz w:val="12"/>
                <w:szCs w:val="12"/>
              </w:rPr>
            </w:pPr>
            <w:r>
              <w:rPr>
                <w:noProof/>
                <w:sz w:val="12"/>
                <w:szCs w:val="12"/>
              </w:rPr>
              <w:t>PL33</w:t>
            </w:r>
          </w:p>
        </w:tc>
        <w:tc>
          <w:tcPr>
            <w:tcW w:w="0" w:type="auto"/>
            <w:shd w:val="clear" w:color="auto" w:fill="auto"/>
          </w:tcPr>
          <w:p w14:paraId="24C961F6" w14:textId="77777777" w:rsidR="008C5CFA" w:rsidRPr="009C3005" w:rsidRDefault="00E82A60" w:rsidP="00300A01">
            <w:pPr>
              <w:pStyle w:val="Text1"/>
              <w:spacing w:before="0" w:after="0"/>
              <w:ind w:left="0"/>
              <w:jc w:val="right"/>
              <w:rPr>
                <w:sz w:val="12"/>
                <w:szCs w:val="12"/>
              </w:rPr>
            </w:pPr>
            <w:r w:rsidRPr="009C3005">
              <w:rPr>
                <w:noProof/>
                <w:sz w:val="12"/>
                <w:szCs w:val="12"/>
              </w:rPr>
              <w:t>8 077 423,66</w:t>
            </w:r>
          </w:p>
        </w:tc>
        <w:tc>
          <w:tcPr>
            <w:tcW w:w="0" w:type="auto"/>
            <w:shd w:val="clear" w:color="auto" w:fill="auto"/>
          </w:tcPr>
          <w:p w14:paraId="5CBFD6C2" w14:textId="77777777" w:rsidR="008C5CFA" w:rsidRPr="009C3005" w:rsidRDefault="00E82A60" w:rsidP="00300A01">
            <w:pPr>
              <w:pStyle w:val="Text1"/>
              <w:spacing w:before="0" w:after="0"/>
              <w:ind w:left="0"/>
              <w:jc w:val="right"/>
              <w:rPr>
                <w:sz w:val="12"/>
                <w:szCs w:val="12"/>
              </w:rPr>
            </w:pPr>
            <w:r w:rsidRPr="009C3005">
              <w:rPr>
                <w:noProof/>
                <w:sz w:val="12"/>
                <w:szCs w:val="12"/>
              </w:rPr>
              <w:t>7 618 739,00</w:t>
            </w:r>
          </w:p>
        </w:tc>
        <w:tc>
          <w:tcPr>
            <w:tcW w:w="0" w:type="auto"/>
            <w:shd w:val="clear" w:color="auto" w:fill="auto"/>
          </w:tcPr>
          <w:p w14:paraId="469EB9C0" w14:textId="77777777" w:rsidR="008C5CFA" w:rsidRPr="009C3005" w:rsidRDefault="00E82A60" w:rsidP="00300A01">
            <w:pPr>
              <w:pStyle w:val="Text1"/>
              <w:spacing w:before="0" w:after="0"/>
              <w:ind w:left="0"/>
              <w:jc w:val="right"/>
              <w:rPr>
                <w:sz w:val="12"/>
                <w:szCs w:val="12"/>
              </w:rPr>
            </w:pPr>
            <w:r w:rsidRPr="009C3005">
              <w:rPr>
                <w:noProof/>
                <w:sz w:val="12"/>
                <w:szCs w:val="12"/>
              </w:rPr>
              <w:t>2 811 513,63</w:t>
            </w:r>
          </w:p>
        </w:tc>
        <w:tc>
          <w:tcPr>
            <w:tcW w:w="0" w:type="auto"/>
            <w:shd w:val="clear" w:color="auto" w:fill="auto"/>
          </w:tcPr>
          <w:p w14:paraId="5248DC75" w14:textId="77777777" w:rsidR="008C5CFA" w:rsidRPr="009C3005" w:rsidRDefault="00E82A60" w:rsidP="00300A01">
            <w:pPr>
              <w:pStyle w:val="Text1"/>
              <w:spacing w:before="0" w:after="0"/>
              <w:ind w:left="0"/>
              <w:jc w:val="right"/>
              <w:rPr>
                <w:sz w:val="12"/>
                <w:szCs w:val="12"/>
              </w:rPr>
            </w:pPr>
            <w:r w:rsidRPr="009C3005">
              <w:rPr>
                <w:noProof/>
                <w:sz w:val="12"/>
                <w:szCs w:val="12"/>
              </w:rPr>
              <w:t>16</w:t>
            </w:r>
          </w:p>
        </w:tc>
      </w:tr>
      <w:tr w:rsidR="006B2EC1" w14:paraId="48627820" w14:textId="77777777" w:rsidTr="0047688D">
        <w:tc>
          <w:tcPr>
            <w:tcW w:w="0" w:type="auto"/>
            <w:shd w:val="clear" w:color="auto" w:fill="auto"/>
          </w:tcPr>
          <w:p w14:paraId="008160F5" w14:textId="77777777" w:rsidR="008C5CFA" w:rsidRPr="009C3005" w:rsidRDefault="00E82A60" w:rsidP="00300A01">
            <w:pPr>
              <w:pStyle w:val="Text1"/>
              <w:spacing w:before="0" w:after="0"/>
              <w:ind w:left="0"/>
              <w:rPr>
                <w:sz w:val="12"/>
                <w:szCs w:val="12"/>
              </w:rPr>
            </w:pPr>
            <w:r>
              <w:rPr>
                <w:noProof/>
                <w:sz w:val="14"/>
                <w:szCs w:val="14"/>
                <w:lang w:val="fr-BE"/>
              </w:rPr>
              <w:t>8</w:t>
            </w:r>
          </w:p>
        </w:tc>
        <w:tc>
          <w:tcPr>
            <w:tcW w:w="0" w:type="auto"/>
            <w:shd w:val="clear" w:color="auto" w:fill="auto"/>
          </w:tcPr>
          <w:p w14:paraId="7E713FD6" w14:textId="77777777" w:rsidR="008C5CFA" w:rsidRPr="009C3005" w:rsidRDefault="00E82A60" w:rsidP="00300A01">
            <w:pPr>
              <w:pStyle w:val="Text1"/>
              <w:spacing w:before="0" w:after="0"/>
              <w:ind w:left="0"/>
              <w:rPr>
                <w:sz w:val="12"/>
                <w:szCs w:val="12"/>
              </w:rPr>
            </w:pPr>
            <w:r>
              <w:rPr>
                <w:noProof/>
                <w:sz w:val="12"/>
                <w:szCs w:val="12"/>
              </w:rPr>
              <w:t>EFS</w:t>
            </w:r>
          </w:p>
        </w:tc>
        <w:tc>
          <w:tcPr>
            <w:tcW w:w="0" w:type="auto"/>
            <w:shd w:val="clear" w:color="auto" w:fill="auto"/>
          </w:tcPr>
          <w:p w14:paraId="59AAF4B8" w14:textId="77777777" w:rsidR="008C5CFA" w:rsidRPr="009C3005" w:rsidRDefault="00E82A60" w:rsidP="00300A01">
            <w:pPr>
              <w:pStyle w:val="Text1"/>
              <w:spacing w:before="0" w:after="0"/>
              <w:ind w:left="0"/>
              <w:rPr>
                <w:sz w:val="12"/>
                <w:szCs w:val="12"/>
              </w:rPr>
            </w:pPr>
            <w:r>
              <w:rPr>
                <w:noProof/>
                <w:sz w:val="12"/>
                <w:szCs w:val="12"/>
              </w:rPr>
              <w:t>Słabiej rozwinięte</w:t>
            </w:r>
          </w:p>
        </w:tc>
        <w:tc>
          <w:tcPr>
            <w:tcW w:w="0" w:type="auto"/>
            <w:shd w:val="clear" w:color="auto" w:fill="auto"/>
          </w:tcPr>
          <w:p w14:paraId="0E7B2584" w14:textId="77777777" w:rsidR="008C5CFA" w:rsidRPr="009C3005" w:rsidRDefault="00E82A60" w:rsidP="00300A01">
            <w:pPr>
              <w:pStyle w:val="Text1"/>
              <w:spacing w:before="0" w:after="0"/>
              <w:ind w:left="0"/>
              <w:rPr>
                <w:sz w:val="12"/>
                <w:szCs w:val="12"/>
              </w:rPr>
            </w:pPr>
            <w:r>
              <w:rPr>
                <w:noProof/>
                <w:sz w:val="12"/>
                <w:szCs w:val="12"/>
              </w:rPr>
              <w:t>107</w:t>
            </w:r>
          </w:p>
        </w:tc>
        <w:tc>
          <w:tcPr>
            <w:tcW w:w="0" w:type="auto"/>
            <w:shd w:val="clear" w:color="auto" w:fill="auto"/>
          </w:tcPr>
          <w:p w14:paraId="255AF74C"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2DCDD6E2"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4CB95F63"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7E8D3725" w14:textId="77777777" w:rsidR="008C5CFA" w:rsidRPr="009C3005" w:rsidRDefault="008C5CFA" w:rsidP="00300A01">
            <w:pPr>
              <w:pStyle w:val="Text1"/>
              <w:spacing w:before="0" w:after="0"/>
              <w:ind w:left="0"/>
              <w:rPr>
                <w:sz w:val="12"/>
                <w:szCs w:val="12"/>
              </w:rPr>
            </w:pPr>
          </w:p>
        </w:tc>
        <w:tc>
          <w:tcPr>
            <w:tcW w:w="0" w:type="auto"/>
            <w:shd w:val="clear" w:color="auto" w:fill="auto"/>
          </w:tcPr>
          <w:p w14:paraId="0A899303" w14:textId="77777777" w:rsidR="008C5CFA" w:rsidRPr="009C3005" w:rsidRDefault="00E82A60" w:rsidP="00300A01">
            <w:pPr>
              <w:pStyle w:val="Text1"/>
              <w:spacing w:before="0" w:after="0"/>
              <w:ind w:left="0"/>
              <w:rPr>
                <w:sz w:val="12"/>
                <w:szCs w:val="12"/>
              </w:rPr>
            </w:pPr>
            <w:r>
              <w:rPr>
                <w:noProof/>
                <w:sz w:val="12"/>
                <w:szCs w:val="12"/>
              </w:rPr>
              <w:t>08</w:t>
            </w:r>
            <w:r>
              <w:rPr>
                <w:sz w:val="12"/>
                <w:szCs w:val="12"/>
              </w:rPr>
              <w:t xml:space="preserve"> </w:t>
            </w:r>
          </w:p>
        </w:tc>
        <w:tc>
          <w:tcPr>
            <w:tcW w:w="0" w:type="auto"/>
            <w:shd w:val="clear" w:color="auto" w:fill="auto"/>
          </w:tcPr>
          <w:p w14:paraId="5AD98446" w14:textId="77777777" w:rsidR="008C5CFA" w:rsidRPr="009C3005" w:rsidRDefault="00E82A60" w:rsidP="00300A01">
            <w:pPr>
              <w:pStyle w:val="Text1"/>
              <w:spacing w:before="0" w:after="0"/>
              <w:ind w:left="0"/>
              <w:rPr>
                <w:sz w:val="12"/>
                <w:szCs w:val="12"/>
              </w:rPr>
            </w:pPr>
            <w:r>
              <w:rPr>
                <w:noProof/>
                <w:sz w:val="12"/>
                <w:szCs w:val="12"/>
              </w:rPr>
              <w:t>21</w:t>
            </w:r>
          </w:p>
        </w:tc>
        <w:tc>
          <w:tcPr>
            <w:tcW w:w="0" w:type="auto"/>
            <w:shd w:val="clear" w:color="auto" w:fill="auto"/>
          </w:tcPr>
          <w:p w14:paraId="65B45562" w14:textId="77777777" w:rsidR="008C5CFA" w:rsidRPr="009C3005" w:rsidRDefault="00E82A60" w:rsidP="00300A01">
            <w:pPr>
              <w:pStyle w:val="Text1"/>
              <w:spacing w:before="0" w:after="0"/>
              <w:ind w:left="0"/>
              <w:rPr>
                <w:sz w:val="12"/>
                <w:szCs w:val="12"/>
              </w:rPr>
            </w:pPr>
            <w:r>
              <w:rPr>
                <w:noProof/>
                <w:sz w:val="12"/>
                <w:szCs w:val="12"/>
              </w:rPr>
              <w:t>PL33</w:t>
            </w:r>
          </w:p>
        </w:tc>
        <w:tc>
          <w:tcPr>
            <w:tcW w:w="0" w:type="auto"/>
            <w:shd w:val="clear" w:color="auto" w:fill="auto"/>
          </w:tcPr>
          <w:p w14:paraId="523C7647" w14:textId="77777777" w:rsidR="008C5CFA" w:rsidRPr="009C3005" w:rsidRDefault="00E82A60" w:rsidP="00300A01">
            <w:pPr>
              <w:pStyle w:val="Text1"/>
              <w:spacing w:before="0" w:after="0"/>
              <w:ind w:left="0"/>
              <w:jc w:val="right"/>
              <w:rPr>
                <w:sz w:val="12"/>
                <w:szCs w:val="12"/>
              </w:rPr>
            </w:pPr>
            <w:r w:rsidRPr="009C3005">
              <w:rPr>
                <w:noProof/>
                <w:sz w:val="12"/>
                <w:szCs w:val="12"/>
              </w:rPr>
              <w:t>333 157,14</w:t>
            </w:r>
          </w:p>
        </w:tc>
        <w:tc>
          <w:tcPr>
            <w:tcW w:w="0" w:type="auto"/>
            <w:shd w:val="clear" w:color="auto" w:fill="auto"/>
          </w:tcPr>
          <w:p w14:paraId="74926E49" w14:textId="77777777" w:rsidR="008C5CFA" w:rsidRPr="009C3005" w:rsidRDefault="00E82A60" w:rsidP="00300A01">
            <w:pPr>
              <w:pStyle w:val="Text1"/>
              <w:spacing w:before="0" w:after="0"/>
              <w:ind w:left="0"/>
              <w:jc w:val="right"/>
              <w:rPr>
                <w:sz w:val="12"/>
                <w:szCs w:val="12"/>
              </w:rPr>
            </w:pPr>
            <w:r w:rsidRPr="009C3005">
              <w:rPr>
                <w:noProof/>
                <w:sz w:val="12"/>
                <w:szCs w:val="12"/>
              </w:rPr>
              <w:t>326 137,62</w:t>
            </w:r>
          </w:p>
        </w:tc>
        <w:tc>
          <w:tcPr>
            <w:tcW w:w="0" w:type="auto"/>
            <w:shd w:val="clear" w:color="auto" w:fill="auto"/>
          </w:tcPr>
          <w:p w14:paraId="309DE753" w14:textId="77777777" w:rsidR="008C5CFA" w:rsidRPr="009C3005" w:rsidRDefault="00E82A60" w:rsidP="00300A01">
            <w:pPr>
              <w:pStyle w:val="Text1"/>
              <w:spacing w:before="0" w:after="0"/>
              <w:ind w:left="0"/>
              <w:jc w:val="right"/>
              <w:rPr>
                <w:sz w:val="12"/>
                <w:szCs w:val="12"/>
              </w:rPr>
            </w:pPr>
            <w:r w:rsidRPr="009C3005">
              <w:rPr>
                <w:noProof/>
                <w:sz w:val="12"/>
                <w:szCs w:val="12"/>
              </w:rPr>
              <w:t>0,00</w:t>
            </w:r>
          </w:p>
        </w:tc>
        <w:tc>
          <w:tcPr>
            <w:tcW w:w="0" w:type="auto"/>
            <w:shd w:val="clear" w:color="auto" w:fill="auto"/>
          </w:tcPr>
          <w:p w14:paraId="34C017EC" w14:textId="77777777" w:rsidR="008C5CFA" w:rsidRPr="009C3005" w:rsidRDefault="00E82A60" w:rsidP="00300A01">
            <w:pPr>
              <w:pStyle w:val="Text1"/>
              <w:spacing w:before="0" w:after="0"/>
              <w:ind w:left="0"/>
              <w:jc w:val="right"/>
              <w:rPr>
                <w:sz w:val="12"/>
                <w:szCs w:val="12"/>
              </w:rPr>
            </w:pPr>
            <w:r w:rsidRPr="009C3005">
              <w:rPr>
                <w:noProof/>
                <w:sz w:val="12"/>
                <w:szCs w:val="12"/>
              </w:rPr>
              <w:t>4</w:t>
            </w:r>
          </w:p>
        </w:tc>
      </w:tr>
      <w:tr w:rsidR="006B2EC1" w14:paraId="0B809457" w14:textId="77777777" w:rsidTr="0047688D">
        <w:tc>
          <w:tcPr>
            <w:tcW w:w="0" w:type="auto"/>
            <w:shd w:val="clear" w:color="auto" w:fill="auto"/>
          </w:tcPr>
          <w:p w14:paraId="04A730BB" w14:textId="77777777" w:rsidR="008C5CFA" w:rsidRPr="009C3005" w:rsidRDefault="00E82A60" w:rsidP="00300A01">
            <w:pPr>
              <w:pStyle w:val="Text1"/>
              <w:spacing w:before="0" w:after="0"/>
              <w:ind w:left="0"/>
              <w:rPr>
                <w:sz w:val="12"/>
                <w:szCs w:val="12"/>
              </w:rPr>
            </w:pPr>
            <w:r>
              <w:rPr>
                <w:noProof/>
                <w:sz w:val="14"/>
                <w:szCs w:val="14"/>
                <w:lang w:val="fr-BE"/>
              </w:rPr>
              <w:t>8</w:t>
            </w:r>
          </w:p>
        </w:tc>
        <w:tc>
          <w:tcPr>
            <w:tcW w:w="0" w:type="auto"/>
            <w:shd w:val="clear" w:color="auto" w:fill="auto"/>
          </w:tcPr>
          <w:p w14:paraId="1D0525E4" w14:textId="77777777" w:rsidR="008C5CFA" w:rsidRPr="009C3005" w:rsidRDefault="00E82A60" w:rsidP="00300A01">
            <w:pPr>
              <w:pStyle w:val="Text1"/>
              <w:spacing w:before="0" w:after="0"/>
              <w:ind w:left="0"/>
              <w:rPr>
                <w:sz w:val="12"/>
                <w:szCs w:val="12"/>
              </w:rPr>
            </w:pPr>
            <w:r>
              <w:rPr>
                <w:noProof/>
                <w:sz w:val="12"/>
                <w:szCs w:val="12"/>
              </w:rPr>
              <w:t>EFS</w:t>
            </w:r>
          </w:p>
        </w:tc>
        <w:tc>
          <w:tcPr>
            <w:tcW w:w="0" w:type="auto"/>
            <w:shd w:val="clear" w:color="auto" w:fill="auto"/>
          </w:tcPr>
          <w:p w14:paraId="698B58E4" w14:textId="77777777" w:rsidR="008C5CFA" w:rsidRPr="009C3005" w:rsidRDefault="00E82A60" w:rsidP="00300A01">
            <w:pPr>
              <w:pStyle w:val="Text1"/>
              <w:spacing w:before="0" w:after="0"/>
              <w:ind w:left="0"/>
              <w:rPr>
                <w:sz w:val="12"/>
                <w:szCs w:val="12"/>
              </w:rPr>
            </w:pPr>
            <w:r>
              <w:rPr>
                <w:noProof/>
                <w:sz w:val="12"/>
                <w:szCs w:val="12"/>
              </w:rPr>
              <w:t>Słabiej rozwinięte</w:t>
            </w:r>
          </w:p>
        </w:tc>
        <w:tc>
          <w:tcPr>
            <w:tcW w:w="0" w:type="auto"/>
            <w:shd w:val="clear" w:color="auto" w:fill="auto"/>
          </w:tcPr>
          <w:p w14:paraId="21DE2475" w14:textId="77777777" w:rsidR="008C5CFA" w:rsidRPr="009C3005" w:rsidRDefault="00E82A60" w:rsidP="00300A01">
            <w:pPr>
              <w:pStyle w:val="Text1"/>
              <w:spacing w:before="0" w:after="0"/>
              <w:ind w:left="0"/>
              <w:rPr>
                <w:sz w:val="12"/>
                <w:szCs w:val="12"/>
              </w:rPr>
            </w:pPr>
            <w:r>
              <w:rPr>
                <w:noProof/>
                <w:sz w:val="12"/>
                <w:szCs w:val="12"/>
              </w:rPr>
              <w:t>107</w:t>
            </w:r>
          </w:p>
        </w:tc>
        <w:tc>
          <w:tcPr>
            <w:tcW w:w="0" w:type="auto"/>
            <w:shd w:val="clear" w:color="auto" w:fill="auto"/>
          </w:tcPr>
          <w:p w14:paraId="6229591E"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674CD213"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09241E9D"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49B71C3D" w14:textId="77777777" w:rsidR="008C5CFA" w:rsidRPr="009C3005" w:rsidRDefault="008C5CFA" w:rsidP="00300A01">
            <w:pPr>
              <w:pStyle w:val="Text1"/>
              <w:spacing w:before="0" w:after="0"/>
              <w:ind w:left="0"/>
              <w:rPr>
                <w:sz w:val="12"/>
                <w:szCs w:val="12"/>
              </w:rPr>
            </w:pPr>
          </w:p>
        </w:tc>
        <w:tc>
          <w:tcPr>
            <w:tcW w:w="0" w:type="auto"/>
            <w:shd w:val="clear" w:color="auto" w:fill="auto"/>
          </w:tcPr>
          <w:p w14:paraId="10C33AA3" w14:textId="77777777" w:rsidR="008C5CFA" w:rsidRPr="009C3005" w:rsidRDefault="00E82A60" w:rsidP="00300A01">
            <w:pPr>
              <w:pStyle w:val="Text1"/>
              <w:spacing w:before="0" w:after="0"/>
              <w:ind w:left="0"/>
              <w:rPr>
                <w:sz w:val="12"/>
                <w:szCs w:val="12"/>
              </w:rPr>
            </w:pPr>
            <w:r>
              <w:rPr>
                <w:noProof/>
                <w:sz w:val="12"/>
                <w:szCs w:val="12"/>
              </w:rPr>
              <w:t>08</w:t>
            </w:r>
            <w:r>
              <w:rPr>
                <w:sz w:val="12"/>
                <w:szCs w:val="12"/>
              </w:rPr>
              <w:t xml:space="preserve"> </w:t>
            </w:r>
          </w:p>
        </w:tc>
        <w:tc>
          <w:tcPr>
            <w:tcW w:w="0" w:type="auto"/>
            <w:shd w:val="clear" w:color="auto" w:fill="auto"/>
          </w:tcPr>
          <w:p w14:paraId="2CAD36F7" w14:textId="77777777" w:rsidR="008C5CFA" w:rsidRPr="009C3005" w:rsidRDefault="00E82A60" w:rsidP="00300A01">
            <w:pPr>
              <w:pStyle w:val="Text1"/>
              <w:spacing w:before="0" w:after="0"/>
              <w:ind w:left="0"/>
              <w:rPr>
                <w:sz w:val="12"/>
                <w:szCs w:val="12"/>
              </w:rPr>
            </w:pPr>
            <w:r>
              <w:rPr>
                <w:noProof/>
                <w:sz w:val="12"/>
                <w:szCs w:val="12"/>
              </w:rPr>
              <w:t>24</w:t>
            </w:r>
          </w:p>
        </w:tc>
        <w:tc>
          <w:tcPr>
            <w:tcW w:w="0" w:type="auto"/>
            <w:shd w:val="clear" w:color="auto" w:fill="auto"/>
          </w:tcPr>
          <w:p w14:paraId="0C225A9B" w14:textId="77777777" w:rsidR="008C5CFA" w:rsidRPr="009C3005" w:rsidRDefault="00E82A60" w:rsidP="00300A01">
            <w:pPr>
              <w:pStyle w:val="Text1"/>
              <w:spacing w:before="0" w:after="0"/>
              <w:ind w:left="0"/>
              <w:rPr>
                <w:sz w:val="12"/>
                <w:szCs w:val="12"/>
              </w:rPr>
            </w:pPr>
            <w:r>
              <w:rPr>
                <w:noProof/>
                <w:sz w:val="12"/>
                <w:szCs w:val="12"/>
              </w:rPr>
              <w:t>PL33</w:t>
            </w:r>
          </w:p>
        </w:tc>
        <w:tc>
          <w:tcPr>
            <w:tcW w:w="0" w:type="auto"/>
            <w:shd w:val="clear" w:color="auto" w:fill="auto"/>
          </w:tcPr>
          <w:p w14:paraId="1CFA9A9E" w14:textId="77777777" w:rsidR="008C5CFA" w:rsidRPr="009C3005" w:rsidRDefault="00E82A60" w:rsidP="00300A01">
            <w:pPr>
              <w:pStyle w:val="Text1"/>
              <w:spacing w:before="0" w:after="0"/>
              <w:ind w:left="0"/>
              <w:jc w:val="right"/>
              <w:rPr>
                <w:sz w:val="12"/>
                <w:szCs w:val="12"/>
              </w:rPr>
            </w:pPr>
            <w:r w:rsidRPr="009C3005">
              <w:rPr>
                <w:noProof/>
                <w:sz w:val="12"/>
                <w:szCs w:val="12"/>
              </w:rPr>
              <w:t>38 694,47</w:t>
            </w:r>
          </w:p>
        </w:tc>
        <w:tc>
          <w:tcPr>
            <w:tcW w:w="0" w:type="auto"/>
            <w:shd w:val="clear" w:color="auto" w:fill="auto"/>
          </w:tcPr>
          <w:p w14:paraId="550A5C9D" w14:textId="77777777" w:rsidR="008C5CFA" w:rsidRPr="009C3005" w:rsidRDefault="00E82A60" w:rsidP="00300A01">
            <w:pPr>
              <w:pStyle w:val="Text1"/>
              <w:spacing w:before="0" w:after="0"/>
              <w:ind w:left="0"/>
              <w:jc w:val="right"/>
              <w:rPr>
                <w:sz w:val="12"/>
                <w:szCs w:val="12"/>
              </w:rPr>
            </w:pPr>
            <w:r w:rsidRPr="009C3005">
              <w:rPr>
                <w:noProof/>
                <w:sz w:val="12"/>
                <w:szCs w:val="12"/>
              </w:rPr>
              <w:t>34 825,02</w:t>
            </w:r>
          </w:p>
        </w:tc>
        <w:tc>
          <w:tcPr>
            <w:tcW w:w="0" w:type="auto"/>
            <w:shd w:val="clear" w:color="auto" w:fill="auto"/>
          </w:tcPr>
          <w:p w14:paraId="098FDC3D" w14:textId="77777777" w:rsidR="008C5CFA" w:rsidRPr="009C3005" w:rsidRDefault="00E82A60" w:rsidP="00300A01">
            <w:pPr>
              <w:pStyle w:val="Text1"/>
              <w:spacing w:before="0" w:after="0"/>
              <w:ind w:left="0"/>
              <w:jc w:val="right"/>
              <w:rPr>
                <w:sz w:val="12"/>
                <w:szCs w:val="12"/>
              </w:rPr>
            </w:pPr>
            <w:r w:rsidRPr="009C3005">
              <w:rPr>
                <w:noProof/>
                <w:sz w:val="12"/>
                <w:szCs w:val="12"/>
              </w:rPr>
              <w:t>38 694,47</w:t>
            </w:r>
          </w:p>
        </w:tc>
        <w:tc>
          <w:tcPr>
            <w:tcW w:w="0" w:type="auto"/>
            <w:shd w:val="clear" w:color="auto" w:fill="auto"/>
          </w:tcPr>
          <w:p w14:paraId="6F00C488" w14:textId="77777777" w:rsidR="008C5CFA" w:rsidRPr="009C3005" w:rsidRDefault="00E82A60" w:rsidP="00300A01">
            <w:pPr>
              <w:pStyle w:val="Text1"/>
              <w:spacing w:before="0" w:after="0"/>
              <w:ind w:left="0"/>
              <w:jc w:val="right"/>
              <w:rPr>
                <w:sz w:val="12"/>
                <w:szCs w:val="12"/>
              </w:rPr>
            </w:pPr>
            <w:r w:rsidRPr="009C3005">
              <w:rPr>
                <w:noProof/>
                <w:sz w:val="12"/>
                <w:szCs w:val="12"/>
              </w:rPr>
              <w:t>2</w:t>
            </w:r>
          </w:p>
        </w:tc>
      </w:tr>
      <w:tr w:rsidR="006B2EC1" w14:paraId="0E88444E" w14:textId="77777777" w:rsidTr="0047688D">
        <w:tc>
          <w:tcPr>
            <w:tcW w:w="0" w:type="auto"/>
            <w:shd w:val="clear" w:color="auto" w:fill="auto"/>
          </w:tcPr>
          <w:p w14:paraId="5EC775B1" w14:textId="77777777" w:rsidR="008C5CFA" w:rsidRPr="009C3005" w:rsidRDefault="00E82A60" w:rsidP="00300A01">
            <w:pPr>
              <w:pStyle w:val="Text1"/>
              <w:spacing w:before="0" w:after="0"/>
              <w:ind w:left="0"/>
              <w:rPr>
                <w:sz w:val="12"/>
                <w:szCs w:val="12"/>
              </w:rPr>
            </w:pPr>
            <w:r>
              <w:rPr>
                <w:noProof/>
                <w:sz w:val="14"/>
                <w:szCs w:val="14"/>
                <w:lang w:val="fr-BE"/>
              </w:rPr>
              <w:t>8</w:t>
            </w:r>
          </w:p>
        </w:tc>
        <w:tc>
          <w:tcPr>
            <w:tcW w:w="0" w:type="auto"/>
            <w:shd w:val="clear" w:color="auto" w:fill="auto"/>
          </w:tcPr>
          <w:p w14:paraId="24FAE7F6" w14:textId="77777777" w:rsidR="008C5CFA" w:rsidRPr="009C3005" w:rsidRDefault="00E82A60" w:rsidP="00300A01">
            <w:pPr>
              <w:pStyle w:val="Text1"/>
              <w:spacing w:before="0" w:after="0"/>
              <w:ind w:left="0"/>
              <w:rPr>
                <w:sz w:val="12"/>
                <w:szCs w:val="12"/>
              </w:rPr>
            </w:pPr>
            <w:r>
              <w:rPr>
                <w:noProof/>
                <w:sz w:val="12"/>
                <w:szCs w:val="12"/>
              </w:rPr>
              <w:t>EFS</w:t>
            </w:r>
          </w:p>
        </w:tc>
        <w:tc>
          <w:tcPr>
            <w:tcW w:w="0" w:type="auto"/>
            <w:shd w:val="clear" w:color="auto" w:fill="auto"/>
          </w:tcPr>
          <w:p w14:paraId="48A187FB" w14:textId="77777777" w:rsidR="008C5CFA" w:rsidRPr="009C3005" w:rsidRDefault="00E82A60" w:rsidP="00300A01">
            <w:pPr>
              <w:pStyle w:val="Text1"/>
              <w:spacing w:before="0" w:after="0"/>
              <w:ind w:left="0"/>
              <w:rPr>
                <w:sz w:val="12"/>
                <w:szCs w:val="12"/>
              </w:rPr>
            </w:pPr>
            <w:r>
              <w:rPr>
                <w:noProof/>
                <w:sz w:val="12"/>
                <w:szCs w:val="12"/>
              </w:rPr>
              <w:t>Słabiej rozwinięte</w:t>
            </w:r>
          </w:p>
        </w:tc>
        <w:tc>
          <w:tcPr>
            <w:tcW w:w="0" w:type="auto"/>
            <w:shd w:val="clear" w:color="auto" w:fill="auto"/>
          </w:tcPr>
          <w:p w14:paraId="77EA8A30" w14:textId="77777777" w:rsidR="008C5CFA" w:rsidRPr="009C3005" w:rsidRDefault="00E82A60" w:rsidP="00300A01">
            <w:pPr>
              <w:pStyle w:val="Text1"/>
              <w:spacing w:before="0" w:after="0"/>
              <w:ind w:left="0"/>
              <w:rPr>
                <w:sz w:val="12"/>
                <w:szCs w:val="12"/>
              </w:rPr>
            </w:pPr>
            <w:r>
              <w:rPr>
                <w:noProof/>
                <w:sz w:val="12"/>
                <w:szCs w:val="12"/>
              </w:rPr>
              <w:t>115</w:t>
            </w:r>
          </w:p>
        </w:tc>
        <w:tc>
          <w:tcPr>
            <w:tcW w:w="0" w:type="auto"/>
            <w:shd w:val="clear" w:color="auto" w:fill="auto"/>
          </w:tcPr>
          <w:p w14:paraId="7BC443C0"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336827BE"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3DC97BC4"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759DDC93" w14:textId="77777777" w:rsidR="008C5CFA" w:rsidRPr="009C3005" w:rsidRDefault="008C5CFA" w:rsidP="00300A01">
            <w:pPr>
              <w:pStyle w:val="Text1"/>
              <w:spacing w:before="0" w:after="0"/>
              <w:ind w:left="0"/>
              <w:rPr>
                <w:sz w:val="12"/>
                <w:szCs w:val="12"/>
              </w:rPr>
            </w:pPr>
          </w:p>
        </w:tc>
        <w:tc>
          <w:tcPr>
            <w:tcW w:w="0" w:type="auto"/>
            <w:shd w:val="clear" w:color="auto" w:fill="auto"/>
          </w:tcPr>
          <w:p w14:paraId="4423F374" w14:textId="77777777" w:rsidR="008C5CFA" w:rsidRPr="009C3005" w:rsidRDefault="00E82A60" w:rsidP="00300A01">
            <w:pPr>
              <w:pStyle w:val="Text1"/>
              <w:spacing w:before="0" w:after="0"/>
              <w:ind w:left="0"/>
              <w:rPr>
                <w:sz w:val="12"/>
                <w:szCs w:val="12"/>
              </w:rPr>
            </w:pPr>
            <w:r>
              <w:rPr>
                <w:noProof/>
                <w:sz w:val="12"/>
                <w:szCs w:val="12"/>
              </w:rPr>
              <w:t>08</w:t>
            </w:r>
            <w:r>
              <w:rPr>
                <w:sz w:val="12"/>
                <w:szCs w:val="12"/>
              </w:rPr>
              <w:t xml:space="preserve"> </w:t>
            </w:r>
          </w:p>
        </w:tc>
        <w:tc>
          <w:tcPr>
            <w:tcW w:w="0" w:type="auto"/>
            <w:shd w:val="clear" w:color="auto" w:fill="auto"/>
          </w:tcPr>
          <w:p w14:paraId="323F9351" w14:textId="77777777" w:rsidR="008C5CFA" w:rsidRPr="009C3005" w:rsidRDefault="00E82A60" w:rsidP="00300A01">
            <w:pPr>
              <w:pStyle w:val="Text1"/>
              <w:spacing w:before="0" w:after="0"/>
              <w:ind w:left="0"/>
              <w:rPr>
                <w:sz w:val="12"/>
                <w:szCs w:val="12"/>
              </w:rPr>
            </w:pPr>
            <w:r>
              <w:rPr>
                <w:noProof/>
                <w:sz w:val="12"/>
                <w:szCs w:val="12"/>
              </w:rPr>
              <w:t>18</w:t>
            </w:r>
          </w:p>
        </w:tc>
        <w:tc>
          <w:tcPr>
            <w:tcW w:w="0" w:type="auto"/>
            <w:shd w:val="clear" w:color="auto" w:fill="auto"/>
          </w:tcPr>
          <w:p w14:paraId="4C034CA9" w14:textId="77777777" w:rsidR="008C5CFA" w:rsidRPr="009C3005" w:rsidRDefault="00E82A60" w:rsidP="00300A01">
            <w:pPr>
              <w:pStyle w:val="Text1"/>
              <w:spacing w:before="0" w:after="0"/>
              <w:ind w:left="0"/>
              <w:rPr>
                <w:sz w:val="12"/>
                <w:szCs w:val="12"/>
              </w:rPr>
            </w:pPr>
            <w:r>
              <w:rPr>
                <w:noProof/>
                <w:sz w:val="12"/>
                <w:szCs w:val="12"/>
              </w:rPr>
              <w:t>PL33</w:t>
            </w:r>
          </w:p>
        </w:tc>
        <w:tc>
          <w:tcPr>
            <w:tcW w:w="0" w:type="auto"/>
            <w:shd w:val="clear" w:color="auto" w:fill="auto"/>
          </w:tcPr>
          <w:p w14:paraId="35A0DF1D" w14:textId="77777777" w:rsidR="008C5CFA" w:rsidRPr="009C3005" w:rsidRDefault="00E82A60" w:rsidP="00300A01">
            <w:pPr>
              <w:pStyle w:val="Text1"/>
              <w:spacing w:before="0" w:after="0"/>
              <w:ind w:left="0"/>
              <w:jc w:val="right"/>
              <w:rPr>
                <w:sz w:val="12"/>
                <w:szCs w:val="12"/>
              </w:rPr>
            </w:pPr>
            <w:r w:rsidRPr="009C3005">
              <w:rPr>
                <w:noProof/>
                <w:sz w:val="12"/>
                <w:szCs w:val="12"/>
              </w:rPr>
              <w:t>1 097 216,93</w:t>
            </w:r>
          </w:p>
        </w:tc>
        <w:tc>
          <w:tcPr>
            <w:tcW w:w="0" w:type="auto"/>
            <w:shd w:val="clear" w:color="auto" w:fill="auto"/>
          </w:tcPr>
          <w:p w14:paraId="779C2EB4" w14:textId="77777777" w:rsidR="008C5CFA" w:rsidRPr="009C3005" w:rsidRDefault="00E82A60" w:rsidP="00300A01">
            <w:pPr>
              <w:pStyle w:val="Text1"/>
              <w:spacing w:before="0" w:after="0"/>
              <w:ind w:left="0"/>
              <w:jc w:val="right"/>
              <w:rPr>
                <w:sz w:val="12"/>
                <w:szCs w:val="12"/>
              </w:rPr>
            </w:pPr>
            <w:r w:rsidRPr="009C3005">
              <w:rPr>
                <w:noProof/>
                <w:sz w:val="12"/>
                <w:szCs w:val="12"/>
              </w:rPr>
              <w:t>1 062 534,57</w:t>
            </w:r>
          </w:p>
        </w:tc>
        <w:tc>
          <w:tcPr>
            <w:tcW w:w="0" w:type="auto"/>
            <w:shd w:val="clear" w:color="auto" w:fill="auto"/>
          </w:tcPr>
          <w:p w14:paraId="3DB8A10F" w14:textId="77777777" w:rsidR="008C5CFA" w:rsidRPr="009C3005" w:rsidRDefault="00E82A60" w:rsidP="00300A01">
            <w:pPr>
              <w:pStyle w:val="Text1"/>
              <w:spacing w:before="0" w:after="0"/>
              <w:ind w:left="0"/>
              <w:jc w:val="right"/>
              <w:rPr>
                <w:sz w:val="12"/>
                <w:szCs w:val="12"/>
              </w:rPr>
            </w:pPr>
            <w:r w:rsidRPr="009C3005">
              <w:rPr>
                <w:noProof/>
                <w:sz w:val="12"/>
                <w:szCs w:val="12"/>
              </w:rPr>
              <w:t>1 035 101,23</w:t>
            </w:r>
          </w:p>
        </w:tc>
        <w:tc>
          <w:tcPr>
            <w:tcW w:w="0" w:type="auto"/>
            <w:shd w:val="clear" w:color="auto" w:fill="auto"/>
          </w:tcPr>
          <w:p w14:paraId="6F07850D" w14:textId="77777777" w:rsidR="008C5CFA" w:rsidRPr="009C3005" w:rsidRDefault="00E82A60" w:rsidP="00300A01">
            <w:pPr>
              <w:pStyle w:val="Text1"/>
              <w:spacing w:before="0" w:after="0"/>
              <w:ind w:left="0"/>
              <w:jc w:val="right"/>
              <w:rPr>
                <w:sz w:val="12"/>
                <w:szCs w:val="12"/>
              </w:rPr>
            </w:pPr>
            <w:r w:rsidRPr="009C3005">
              <w:rPr>
                <w:noProof/>
                <w:sz w:val="12"/>
                <w:szCs w:val="12"/>
              </w:rPr>
              <w:t>5</w:t>
            </w:r>
          </w:p>
        </w:tc>
      </w:tr>
      <w:tr w:rsidR="006B2EC1" w14:paraId="38CDAB15" w14:textId="77777777" w:rsidTr="0047688D">
        <w:tc>
          <w:tcPr>
            <w:tcW w:w="0" w:type="auto"/>
            <w:shd w:val="clear" w:color="auto" w:fill="auto"/>
          </w:tcPr>
          <w:p w14:paraId="1CB10C20" w14:textId="77777777" w:rsidR="008C5CFA" w:rsidRPr="009C3005" w:rsidRDefault="00E82A60" w:rsidP="00300A01">
            <w:pPr>
              <w:pStyle w:val="Text1"/>
              <w:spacing w:before="0" w:after="0"/>
              <w:ind w:left="0"/>
              <w:rPr>
                <w:sz w:val="12"/>
                <w:szCs w:val="12"/>
              </w:rPr>
            </w:pPr>
            <w:r>
              <w:rPr>
                <w:noProof/>
                <w:sz w:val="14"/>
                <w:szCs w:val="14"/>
                <w:lang w:val="fr-BE"/>
              </w:rPr>
              <w:t>8</w:t>
            </w:r>
          </w:p>
        </w:tc>
        <w:tc>
          <w:tcPr>
            <w:tcW w:w="0" w:type="auto"/>
            <w:shd w:val="clear" w:color="auto" w:fill="auto"/>
          </w:tcPr>
          <w:p w14:paraId="4F2AEC69" w14:textId="77777777" w:rsidR="008C5CFA" w:rsidRPr="009C3005" w:rsidRDefault="00E82A60" w:rsidP="00300A01">
            <w:pPr>
              <w:pStyle w:val="Text1"/>
              <w:spacing w:before="0" w:after="0"/>
              <w:ind w:left="0"/>
              <w:rPr>
                <w:sz w:val="12"/>
                <w:szCs w:val="12"/>
              </w:rPr>
            </w:pPr>
            <w:r>
              <w:rPr>
                <w:noProof/>
                <w:sz w:val="12"/>
                <w:szCs w:val="12"/>
              </w:rPr>
              <w:t>EFS</w:t>
            </w:r>
          </w:p>
        </w:tc>
        <w:tc>
          <w:tcPr>
            <w:tcW w:w="0" w:type="auto"/>
            <w:shd w:val="clear" w:color="auto" w:fill="auto"/>
          </w:tcPr>
          <w:p w14:paraId="3CBC483E" w14:textId="77777777" w:rsidR="008C5CFA" w:rsidRPr="009C3005" w:rsidRDefault="00E82A60" w:rsidP="00300A01">
            <w:pPr>
              <w:pStyle w:val="Text1"/>
              <w:spacing w:before="0" w:after="0"/>
              <w:ind w:left="0"/>
              <w:rPr>
                <w:sz w:val="12"/>
                <w:szCs w:val="12"/>
              </w:rPr>
            </w:pPr>
            <w:r>
              <w:rPr>
                <w:noProof/>
                <w:sz w:val="12"/>
                <w:szCs w:val="12"/>
              </w:rPr>
              <w:t>Słabiej rozwinięte</w:t>
            </w:r>
          </w:p>
        </w:tc>
        <w:tc>
          <w:tcPr>
            <w:tcW w:w="0" w:type="auto"/>
            <w:shd w:val="clear" w:color="auto" w:fill="auto"/>
          </w:tcPr>
          <w:p w14:paraId="1E2C5309" w14:textId="77777777" w:rsidR="008C5CFA" w:rsidRPr="009C3005" w:rsidRDefault="00E82A60" w:rsidP="00300A01">
            <w:pPr>
              <w:pStyle w:val="Text1"/>
              <w:spacing w:before="0" w:after="0"/>
              <w:ind w:left="0"/>
              <w:rPr>
                <w:sz w:val="12"/>
                <w:szCs w:val="12"/>
              </w:rPr>
            </w:pPr>
            <w:r>
              <w:rPr>
                <w:noProof/>
                <w:sz w:val="12"/>
                <w:szCs w:val="12"/>
              </w:rPr>
              <w:t>115</w:t>
            </w:r>
          </w:p>
        </w:tc>
        <w:tc>
          <w:tcPr>
            <w:tcW w:w="0" w:type="auto"/>
            <w:shd w:val="clear" w:color="auto" w:fill="auto"/>
          </w:tcPr>
          <w:p w14:paraId="257A31F3"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5BDAFB29"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7AE24376"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5542F177" w14:textId="77777777" w:rsidR="008C5CFA" w:rsidRPr="009C3005" w:rsidRDefault="008C5CFA" w:rsidP="00300A01">
            <w:pPr>
              <w:pStyle w:val="Text1"/>
              <w:spacing w:before="0" w:after="0"/>
              <w:ind w:left="0"/>
              <w:rPr>
                <w:sz w:val="12"/>
                <w:szCs w:val="12"/>
              </w:rPr>
            </w:pPr>
          </w:p>
        </w:tc>
        <w:tc>
          <w:tcPr>
            <w:tcW w:w="0" w:type="auto"/>
            <w:shd w:val="clear" w:color="auto" w:fill="auto"/>
          </w:tcPr>
          <w:p w14:paraId="043635C8" w14:textId="77777777" w:rsidR="008C5CFA" w:rsidRPr="009C3005" w:rsidRDefault="00E82A60" w:rsidP="00300A01">
            <w:pPr>
              <w:pStyle w:val="Text1"/>
              <w:spacing w:before="0" w:after="0"/>
              <w:ind w:left="0"/>
              <w:rPr>
                <w:sz w:val="12"/>
                <w:szCs w:val="12"/>
              </w:rPr>
            </w:pPr>
            <w:r>
              <w:rPr>
                <w:noProof/>
                <w:sz w:val="12"/>
                <w:szCs w:val="12"/>
              </w:rPr>
              <w:t>08</w:t>
            </w:r>
            <w:r>
              <w:rPr>
                <w:sz w:val="12"/>
                <w:szCs w:val="12"/>
              </w:rPr>
              <w:t xml:space="preserve"> </w:t>
            </w:r>
          </w:p>
        </w:tc>
        <w:tc>
          <w:tcPr>
            <w:tcW w:w="0" w:type="auto"/>
            <w:shd w:val="clear" w:color="auto" w:fill="auto"/>
          </w:tcPr>
          <w:p w14:paraId="2EB9DB13" w14:textId="77777777" w:rsidR="008C5CFA" w:rsidRPr="009C3005" w:rsidRDefault="00E82A60" w:rsidP="00300A01">
            <w:pPr>
              <w:pStyle w:val="Text1"/>
              <w:spacing w:before="0" w:after="0"/>
              <w:ind w:left="0"/>
              <w:rPr>
                <w:sz w:val="12"/>
                <w:szCs w:val="12"/>
              </w:rPr>
            </w:pPr>
            <w:r>
              <w:rPr>
                <w:noProof/>
                <w:sz w:val="12"/>
                <w:szCs w:val="12"/>
              </w:rPr>
              <w:t>19</w:t>
            </w:r>
          </w:p>
        </w:tc>
        <w:tc>
          <w:tcPr>
            <w:tcW w:w="0" w:type="auto"/>
            <w:shd w:val="clear" w:color="auto" w:fill="auto"/>
          </w:tcPr>
          <w:p w14:paraId="2B164231" w14:textId="77777777" w:rsidR="008C5CFA" w:rsidRPr="009C3005" w:rsidRDefault="00E82A60" w:rsidP="00300A01">
            <w:pPr>
              <w:pStyle w:val="Text1"/>
              <w:spacing w:before="0" w:after="0"/>
              <w:ind w:left="0"/>
              <w:rPr>
                <w:sz w:val="12"/>
                <w:szCs w:val="12"/>
              </w:rPr>
            </w:pPr>
            <w:r>
              <w:rPr>
                <w:noProof/>
                <w:sz w:val="12"/>
                <w:szCs w:val="12"/>
              </w:rPr>
              <w:t>PL33</w:t>
            </w:r>
          </w:p>
        </w:tc>
        <w:tc>
          <w:tcPr>
            <w:tcW w:w="0" w:type="auto"/>
            <w:shd w:val="clear" w:color="auto" w:fill="auto"/>
          </w:tcPr>
          <w:p w14:paraId="0FF626EC" w14:textId="77777777" w:rsidR="008C5CFA" w:rsidRPr="009C3005" w:rsidRDefault="00E82A60" w:rsidP="00300A01">
            <w:pPr>
              <w:pStyle w:val="Text1"/>
              <w:spacing w:before="0" w:after="0"/>
              <w:ind w:left="0"/>
              <w:jc w:val="right"/>
              <w:rPr>
                <w:sz w:val="12"/>
                <w:szCs w:val="12"/>
              </w:rPr>
            </w:pPr>
            <w:r w:rsidRPr="009C3005">
              <w:rPr>
                <w:noProof/>
                <w:sz w:val="12"/>
                <w:szCs w:val="12"/>
              </w:rPr>
              <w:t>1 272 529,31</w:t>
            </w:r>
          </w:p>
        </w:tc>
        <w:tc>
          <w:tcPr>
            <w:tcW w:w="0" w:type="auto"/>
            <w:shd w:val="clear" w:color="auto" w:fill="auto"/>
          </w:tcPr>
          <w:p w14:paraId="713FEC65" w14:textId="77777777" w:rsidR="008C5CFA" w:rsidRPr="009C3005" w:rsidRDefault="00E82A60" w:rsidP="00300A01">
            <w:pPr>
              <w:pStyle w:val="Text1"/>
              <w:spacing w:before="0" w:after="0"/>
              <w:ind w:left="0"/>
              <w:jc w:val="right"/>
              <w:rPr>
                <w:sz w:val="12"/>
                <w:szCs w:val="12"/>
              </w:rPr>
            </w:pPr>
            <w:r w:rsidRPr="009C3005">
              <w:rPr>
                <w:noProof/>
                <w:sz w:val="12"/>
                <w:szCs w:val="12"/>
              </w:rPr>
              <w:t>1 160 246,75</w:t>
            </w:r>
          </w:p>
        </w:tc>
        <w:tc>
          <w:tcPr>
            <w:tcW w:w="0" w:type="auto"/>
            <w:shd w:val="clear" w:color="auto" w:fill="auto"/>
          </w:tcPr>
          <w:p w14:paraId="3C5CD587" w14:textId="77777777" w:rsidR="008C5CFA" w:rsidRPr="009C3005" w:rsidRDefault="00E82A60" w:rsidP="00300A01">
            <w:pPr>
              <w:pStyle w:val="Text1"/>
              <w:spacing w:before="0" w:after="0"/>
              <w:ind w:left="0"/>
              <w:jc w:val="right"/>
              <w:rPr>
                <w:sz w:val="12"/>
                <w:szCs w:val="12"/>
              </w:rPr>
            </w:pPr>
            <w:r w:rsidRPr="009C3005">
              <w:rPr>
                <w:noProof/>
                <w:sz w:val="12"/>
                <w:szCs w:val="12"/>
              </w:rPr>
              <w:t>775 059,87</w:t>
            </w:r>
          </w:p>
        </w:tc>
        <w:tc>
          <w:tcPr>
            <w:tcW w:w="0" w:type="auto"/>
            <w:shd w:val="clear" w:color="auto" w:fill="auto"/>
          </w:tcPr>
          <w:p w14:paraId="5078792E" w14:textId="77777777" w:rsidR="008C5CFA" w:rsidRPr="009C3005" w:rsidRDefault="00E82A60" w:rsidP="00300A01">
            <w:pPr>
              <w:pStyle w:val="Text1"/>
              <w:spacing w:before="0" w:after="0"/>
              <w:ind w:left="0"/>
              <w:jc w:val="right"/>
              <w:rPr>
                <w:sz w:val="12"/>
                <w:szCs w:val="12"/>
              </w:rPr>
            </w:pPr>
            <w:r w:rsidRPr="009C3005">
              <w:rPr>
                <w:noProof/>
                <w:sz w:val="12"/>
                <w:szCs w:val="12"/>
              </w:rPr>
              <w:t>12</w:t>
            </w:r>
          </w:p>
        </w:tc>
      </w:tr>
      <w:tr w:rsidR="006B2EC1" w14:paraId="5C2ADD4C" w14:textId="77777777" w:rsidTr="0047688D">
        <w:tc>
          <w:tcPr>
            <w:tcW w:w="0" w:type="auto"/>
            <w:shd w:val="clear" w:color="auto" w:fill="auto"/>
          </w:tcPr>
          <w:p w14:paraId="45292882" w14:textId="77777777" w:rsidR="008C5CFA" w:rsidRPr="009C3005" w:rsidRDefault="00E82A60" w:rsidP="00300A01">
            <w:pPr>
              <w:pStyle w:val="Text1"/>
              <w:spacing w:before="0" w:after="0"/>
              <w:ind w:left="0"/>
              <w:rPr>
                <w:sz w:val="12"/>
                <w:szCs w:val="12"/>
              </w:rPr>
            </w:pPr>
            <w:r>
              <w:rPr>
                <w:noProof/>
                <w:sz w:val="14"/>
                <w:szCs w:val="14"/>
                <w:lang w:val="fr-BE"/>
              </w:rPr>
              <w:t>8</w:t>
            </w:r>
          </w:p>
        </w:tc>
        <w:tc>
          <w:tcPr>
            <w:tcW w:w="0" w:type="auto"/>
            <w:shd w:val="clear" w:color="auto" w:fill="auto"/>
          </w:tcPr>
          <w:p w14:paraId="5703E1EF" w14:textId="77777777" w:rsidR="008C5CFA" w:rsidRPr="009C3005" w:rsidRDefault="00E82A60" w:rsidP="00300A01">
            <w:pPr>
              <w:pStyle w:val="Text1"/>
              <w:spacing w:before="0" w:after="0"/>
              <w:ind w:left="0"/>
              <w:rPr>
                <w:sz w:val="12"/>
                <w:szCs w:val="12"/>
              </w:rPr>
            </w:pPr>
            <w:r>
              <w:rPr>
                <w:noProof/>
                <w:sz w:val="12"/>
                <w:szCs w:val="12"/>
              </w:rPr>
              <w:t>EFS</w:t>
            </w:r>
          </w:p>
        </w:tc>
        <w:tc>
          <w:tcPr>
            <w:tcW w:w="0" w:type="auto"/>
            <w:shd w:val="clear" w:color="auto" w:fill="auto"/>
          </w:tcPr>
          <w:p w14:paraId="4AFF7E71" w14:textId="77777777" w:rsidR="008C5CFA" w:rsidRPr="009C3005" w:rsidRDefault="00E82A60" w:rsidP="00300A01">
            <w:pPr>
              <w:pStyle w:val="Text1"/>
              <w:spacing w:before="0" w:after="0"/>
              <w:ind w:left="0"/>
              <w:rPr>
                <w:sz w:val="12"/>
                <w:szCs w:val="12"/>
              </w:rPr>
            </w:pPr>
            <w:r>
              <w:rPr>
                <w:noProof/>
                <w:sz w:val="12"/>
                <w:szCs w:val="12"/>
              </w:rPr>
              <w:t>Słabiej rozwinięte</w:t>
            </w:r>
          </w:p>
        </w:tc>
        <w:tc>
          <w:tcPr>
            <w:tcW w:w="0" w:type="auto"/>
            <w:shd w:val="clear" w:color="auto" w:fill="auto"/>
          </w:tcPr>
          <w:p w14:paraId="46A28F1D" w14:textId="77777777" w:rsidR="008C5CFA" w:rsidRPr="009C3005" w:rsidRDefault="00E82A60" w:rsidP="00300A01">
            <w:pPr>
              <w:pStyle w:val="Text1"/>
              <w:spacing w:before="0" w:after="0"/>
              <w:ind w:left="0"/>
              <w:rPr>
                <w:sz w:val="12"/>
                <w:szCs w:val="12"/>
              </w:rPr>
            </w:pPr>
            <w:r>
              <w:rPr>
                <w:noProof/>
                <w:sz w:val="12"/>
                <w:szCs w:val="12"/>
              </w:rPr>
              <w:t>115</w:t>
            </w:r>
          </w:p>
        </w:tc>
        <w:tc>
          <w:tcPr>
            <w:tcW w:w="0" w:type="auto"/>
            <w:shd w:val="clear" w:color="auto" w:fill="auto"/>
          </w:tcPr>
          <w:p w14:paraId="6559321C"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29E44F90"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36CD16AA"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74EB38F1" w14:textId="77777777" w:rsidR="008C5CFA" w:rsidRPr="009C3005" w:rsidRDefault="008C5CFA" w:rsidP="00300A01">
            <w:pPr>
              <w:pStyle w:val="Text1"/>
              <w:spacing w:before="0" w:after="0"/>
              <w:ind w:left="0"/>
              <w:rPr>
                <w:sz w:val="12"/>
                <w:szCs w:val="12"/>
              </w:rPr>
            </w:pPr>
          </w:p>
        </w:tc>
        <w:tc>
          <w:tcPr>
            <w:tcW w:w="0" w:type="auto"/>
            <w:shd w:val="clear" w:color="auto" w:fill="auto"/>
          </w:tcPr>
          <w:p w14:paraId="7EF476CC" w14:textId="77777777" w:rsidR="008C5CFA" w:rsidRPr="009C3005" w:rsidRDefault="00E82A60" w:rsidP="00300A01">
            <w:pPr>
              <w:pStyle w:val="Text1"/>
              <w:spacing w:before="0" w:after="0"/>
              <w:ind w:left="0"/>
              <w:rPr>
                <w:sz w:val="12"/>
                <w:szCs w:val="12"/>
              </w:rPr>
            </w:pPr>
            <w:r>
              <w:rPr>
                <w:noProof/>
                <w:sz w:val="12"/>
                <w:szCs w:val="12"/>
              </w:rPr>
              <w:t>08</w:t>
            </w:r>
            <w:r>
              <w:rPr>
                <w:sz w:val="12"/>
                <w:szCs w:val="12"/>
              </w:rPr>
              <w:t xml:space="preserve"> </w:t>
            </w:r>
          </w:p>
        </w:tc>
        <w:tc>
          <w:tcPr>
            <w:tcW w:w="0" w:type="auto"/>
            <w:shd w:val="clear" w:color="auto" w:fill="auto"/>
          </w:tcPr>
          <w:p w14:paraId="037E7D0E" w14:textId="77777777" w:rsidR="008C5CFA" w:rsidRPr="009C3005" w:rsidRDefault="00E82A60" w:rsidP="00300A01">
            <w:pPr>
              <w:pStyle w:val="Text1"/>
              <w:spacing w:before="0" w:after="0"/>
              <w:ind w:left="0"/>
              <w:rPr>
                <w:sz w:val="12"/>
                <w:szCs w:val="12"/>
              </w:rPr>
            </w:pPr>
            <w:r>
              <w:rPr>
                <w:noProof/>
                <w:sz w:val="12"/>
                <w:szCs w:val="12"/>
              </w:rPr>
              <w:t>18</w:t>
            </w:r>
          </w:p>
        </w:tc>
        <w:tc>
          <w:tcPr>
            <w:tcW w:w="0" w:type="auto"/>
            <w:shd w:val="clear" w:color="auto" w:fill="auto"/>
          </w:tcPr>
          <w:p w14:paraId="269028D3" w14:textId="77777777" w:rsidR="008C5CFA" w:rsidRPr="009C3005" w:rsidRDefault="00E82A60" w:rsidP="00300A01">
            <w:pPr>
              <w:pStyle w:val="Text1"/>
              <w:spacing w:before="0" w:after="0"/>
              <w:ind w:left="0"/>
              <w:rPr>
                <w:sz w:val="12"/>
                <w:szCs w:val="12"/>
              </w:rPr>
            </w:pPr>
            <w:r>
              <w:rPr>
                <w:noProof/>
                <w:sz w:val="12"/>
                <w:szCs w:val="12"/>
              </w:rPr>
              <w:t>PL33</w:t>
            </w:r>
          </w:p>
        </w:tc>
        <w:tc>
          <w:tcPr>
            <w:tcW w:w="0" w:type="auto"/>
            <w:shd w:val="clear" w:color="auto" w:fill="auto"/>
          </w:tcPr>
          <w:p w14:paraId="037AFCF9" w14:textId="77777777" w:rsidR="008C5CFA" w:rsidRPr="009C3005" w:rsidRDefault="00E82A60" w:rsidP="00300A01">
            <w:pPr>
              <w:pStyle w:val="Text1"/>
              <w:spacing w:before="0" w:after="0"/>
              <w:ind w:left="0"/>
              <w:jc w:val="right"/>
              <w:rPr>
                <w:sz w:val="12"/>
                <w:szCs w:val="12"/>
              </w:rPr>
            </w:pPr>
            <w:r w:rsidRPr="009C3005">
              <w:rPr>
                <w:noProof/>
                <w:sz w:val="12"/>
                <w:szCs w:val="12"/>
              </w:rPr>
              <w:t>3 368 893,62</w:t>
            </w:r>
          </w:p>
        </w:tc>
        <w:tc>
          <w:tcPr>
            <w:tcW w:w="0" w:type="auto"/>
            <w:shd w:val="clear" w:color="auto" w:fill="auto"/>
          </w:tcPr>
          <w:p w14:paraId="20479987" w14:textId="77777777" w:rsidR="008C5CFA" w:rsidRPr="009C3005" w:rsidRDefault="00E82A60" w:rsidP="00300A01">
            <w:pPr>
              <w:pStyle w:val="Text1"/>
              <w:spacing w:before="0" w:after="0"/>
              <w:ind w:left="0"/>
              <w:jc w:val="right"/>
              <w:rPr>
                <w:sz w:val="12"/>
                <w:szCs w:val="12"/>
              </w:rPr>
            </w:pPr>
            <w:r w:rsidRPr="009C3005">
              <w:rPr>
                <w:noProof/>
                <w:sz w:val="12"/>
                <w:szCs w:val="12"/>
              </w:rPr>
              <w:t>3 368 893,62</w:t>
            </w:r>
          </w:p>
        </w:tc>
        <w:tc>
          <w:tcPr>
            <w:tcW w:w="0" w:type="auto"/>
            <w:shd w:val="clear" w:color="auto" w:fill="auto"/>
          </w:tcPr>
          <w:p w14:paraId="75D984F0" w14:textId="77777777" w:rsidR="008C5CFA" w:rsidRPr="009C3005" w:rsidRDefault="00E82A60" w:rsidP="00300A01">
            <w:pPr>
              <w:pStyle w:val="Text1"/>
              <w:spacing w:before="0" w:after="0"/>
              <w:ind w:left="0"/>
              <w:jc w:val="right"/>
              <w:rPr>
                <w:sz w:val="12"/>
                <w:szCs w:val="12"/>
              </w:rPr>
            </w:pPr>
            <w:r w:rsidRPr="009C3005">
              <w:rPr>
                <w:noProof/>
                <w:sz w:val="12"/>
                <w:szCs w:val="12"/>
              </w:rPr>
              <w:t>2 827 701,30</w:t>
            </w:r>
          </w:p>
        </w:tc>
        <w:tc>
          <w:tcPr>
            <w:tcW w:w="0" w:type="auto"/>
            <w:shd w:val="clear" w:color="auto" w:fill="auto"/>
          </w:tcPr>
          <w:p w14:paraId="34CDF488" w14:textId="77777777" w:rsidR="008C5CFA" w:rsidRPr="009C3005" w:rsidRDefault="00E82A60" w:rsidP="00300A01">
            <w:pPr>
              <w:pStyle w:val="Text1"/>
              <w:spacing w:before="0" w:after="0"/>
              <w:ind w:left="0"/>
              <w:jc w:val="right"/>
              <w:rPr>
                <w:sz w:val="12"/>
                <w:szCs w:val="12"/>
              </w:rPr>
            </w:pPr>
            <w:r w:rsidRPr="009C3005">
              <w:rPr>
                <w:noProof/>
                <w:sz w:val="12"/>
                <w:szCs w:val="12"/>
              </w:rPr>
              <w:t>20</w:t>
            </w:r>
          </w:p>
        </w:tc>
      </w:tr>
      <w:tr w:rsidR="006B2EC1" w14:paraId="6533F049" w14:textId="77777777" w:rsidTr="0047688D">
        <w:tc>
          <w:tcPr>
            <w:tcW w:w="0" w:type="auto"/>
            <w:shd w:val="clear" w:color="auto" w:fill="auto"/>
          </w:tcPr>
          <w:p w14:paraId="737888EB" w14:textId="77777777" w:rsidR="008C5CFA" w:rsidRPr="009C3005" w:rsidRDefault="00E82A60" w:rsidP="00300A01">
            <w:pPr>
              <w:pStyle w:val="Text1"/>
              <w:spacing w:before="0" w:after="0"/>
              <w:ind w:left="0"/>
              <w:rPr>
                <w:sz w:val="12"/>
                <w:szCs w:val="12"/>
              </w:rPr>
            </w:pPr>
            <w:r>
              <w:rPr>
                <w:noProof/>
                <w:sz w:val="14"/>
                <w:szCs w:val="14"/>
                <w:lang w:val="fr-BE"/>
              </w:rPr>
              <w:t>8</w:t>
            </w:r>
          </w:p>
        </w:tc>
        <w:tc>
          <w:tcPr>
            <w:tcW w:w="0" w:type="auto"/>
            <w:shd w:val="clear" w:color="auto" w:fill="auto"/>
          </w:tcPr>
          <w:p w14:paraId="7229972E" w14:textId="77777777" w:rsidR="008C5CFA" w:rsidRPr="009C3005" w:rsidRDefault="00E82A60" w:rsidP="00300A01">
            <w:pPr>
              <w:pStyle w:val="Text1"/>
              <w:spacing w:before="0" w:after="0"/>
              <w:ind w:left="0"/>
              <w:rPr>
                <w:sz w:val="12"/>
                <w:szCs w:val="12"/>
              </w:rPr>
            </w:pPr>
            <w:r>
              <w:rPr>
                <w:noProof/>
                <w:sz w:val="12"/>
                <w:szCs w:val="12"/>
              </w:rPr>
              <w:t>EFS</w:t>
            </w:r>
          </w:p>
        </w:tc>
        <w:tc>
          <w:tcPr>
            <w:tcW w:w="0" w:type="auto"/>
            <w:shd w:val="clear" w:color="auto" w:fill="auto"/>
          </w:tcPr>
          <w:p w14:paraId="4099AAA2" w14:textId="77777777" w:rsidR="008C5CFA" w:rsidRPr="009C3005" w:rsidRDefault="00E82A60" w:rsidP="00300A01">
            <w:pPr>
              <w:pStyle w:val="Text1"/>
              <w:spacing w:before="0" w:after="0"/>
              <w:ind w:left="0"/>
              <w:rPr>
                <w:sz w:val="12"/>
                <w:szCs w:val="12"/>
              </w:rPr>
            </w:pPr>
            <w:r>
              <w:rPr>
                <w:noProof/>
                <w:sz w:val="12"/>
                <w:szCs w:val="12"/>
              </w:rPr>
              <w:t>Słabiej rozwinięte</w:t>
            </w:r>
          </w:p>
        </w:tc>
        <w:tc>
          <w:tcPr>
            <w:tcW w:w="0" w:type="auto"/>
            <w:shd w:val="clear" w:color="auto" w:fill="auto"/>
          </w:tcPr>
          <w:p w14:paraId="6233EA7B" w14:textId="77777777" w:rsidR="008C5CFA" w:rsidRPr="009C3005" w:rsidRDefault="00E82A60" w:rsidP="00300A01">
            <w:pPr>
              <w:pStyle w:val="Text1"/>
              <w:spacing w:before="0" w:after="0"/>
              <w:ind w:left="0"/>
              <w:rPr>
                <w:sz w:val="12"/>
                <w:szCs w:val="12"/>
              </w:rPr>
            </w:pPr>
            <w:r>
              <w:rPr>
                <w:noProof/>
                <w:sz w:val="12"/>
                <w:szCs w:val="12"/>
              </w:rPr>
              <w:t>115</w:t>
            </w:r>
          </w:p>
        </w:tc>
        <w:tc>
          <w:tcPr>
            <w:tcW w:w="0" w:type="auto"/>
            <w:shd w:val="clear" w:color="auto" w:fill="auto"/>
          </w:tcPr>
          <w:p w14:paraId="7CB76485"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22983B7A"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452E8638"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24DFF673" w14:textId="77777777" w:rsidR="008C5CFA" w:rsidRPr="009C3005" w:rsidRDefault="008C5CFA" w:rsidP="00300A01">
            <w:pPr>
              <w:pStyle w:val="Text1"/>
              <w:spacing w:before="0" w:after="0"/>
              <w:ind w:left="0"/>
              <w:rPr>
                <w:sz w:val="12"/>
                <w:szCs w:val="12"/>
              </w:rPr>
            </w:pPr>
          </w:p>
        </w:tc>
        <w:tc>
          <w:tcPr>
            <w:tcW w:w="0" w:type="auto"/>
            <w:shd w:val="clear" w:color="auto" w:fill="auto"/>
          </w:tcPr>
          <w:p w14:paraId="3EFE6707" w14:textId="77777777" w:rsidR="008C5CFA" w:rsidRPr="009C3005" w:rsidRDefault="00E82A60" w:rsidP="00300A01">
            <w:pPr>
              <w:pStyle w:val="Text1"/>
              <w:spacing w:before="0" w:after="0"/>
              <w:ind w:left="0"/>
              <w:rPr>
                <w:sz w:val="12"/>
                <w:szCs w:val="12"/>
              </w:rPr>
            </w:pPr>
            <w:r>
              <w:rPr>
                <w:noProof/>
                <w:sz w:val="12"/>
                <w:szCs w:val="12"/>
              </w:rPr>
              <w:t>08</w:t>
            </w:r>
            <w:r>
              <w:rPr>
                <w:sz w:val="12"/>
                <w:szCs w:val="12"/>
              </w:rPr>
              <w:t xml:space="preserve"> </w:t>
            </w:r>
          </w:p>
        </w:tc>
        <w:tc>
          <w:tcPr>
            <w:tcW w:w="0" w:type="auto"/>
            <w:shd w:val="clear" w:color="auto" w:fill="auto"/>
          </w:tcPr>
          <w:p w14:paraId="40C35BCC" w14:textId="77777777" w:rsidR="008C5CFA" w:rsidRPr="009C3005" w:rsidRDefault="00E82A60" w:rsidP="00300A01">
            <w:pPr>
              <w:pStyle w:val="Text1"/>
              <w:spacing w:before="0" w:after="0"/>
              <w:ind w:left="0"/>
              <w:rPr>
                <w:sz w:val="12"/>
                <w:szCs w:val="12"/>
              </w:rPr>
            </w:pPr>
            <w:r>
              <w:rPr>
                <w:noProof/>
                <w:sz w:val="12"/>
                <w:szCs w:val="12"/>
              </w:rPr>
              <w:t>19</w:t>
            </w:r>
          </w:p>
        </w:tc>
        <w:tc>
          <w:tcPr>
            <w:tcW w:w="0" w:type="auto"/>
            <w:shd w:val="clear" w:color="auto" w:fill="auto"/>
          </w:tcPr>
          <w:p w14:paraId="21A57C4D" w14:textId="77777777" w:rsidR="008C5CFA" w:rsidRPr="009C3005" w:rsidRDefault="00E82A60" w:rsidP="00300A01">
            <w:pPr>
              <w:pStyle w:val="Text1"/>
              <w:spacing w:before="0" w:after="0"/>
              <w:ind w:left="0"/>
              <w:rPr>
                <w:sz w:val="12"/>
                <w:szCs w:val="12"/>
              </w:rPr>
            </w:pPr>
            <w:r>
              <w:rPr>
                <w:noProof/>
                <w:sz w:val="12"/>
                <w:szCs w:val="12"/>
              </w:rPr>
              <w:t>PL33</w:t>
            </w:r>
          </w:p>
        </w:tc>
        <w:tc>
          <w:tcPr>
            <w:tcW w:w="0" w:type="auto"/>
            <w:shd w:val="clear" w:color="auto" w:fill="auto"/>
          </w:tcPr>
          <w:p w14:paraId="649E4B9F" w14:textId="77777777" w:rsidR="008C5CFA" w:rsidRPr="009C3005" w:rsidRDefault="00E82A60" w:rsidP="00300A01">
            <w:pPr>
              <w:pStyle w:val="Text1"/>
              <w:spacing w:before="0" w:after="0"/>
              <w:ind w:left="0"/>
              <w:jc w:val="right"/>
              <w:rPr>
                <w:sz w:val="12"/>
                <w:szCs w:val="12"/>
              </w:rPr>
            </w:pPr>
            <w:r w:rsidRPr="009C3005">
              <w:rPr>
                <w:noProof/>
                <w:sz w:val="12"/>
                <w:szCs w:val="12"/>
              </w:rPr>
              <w:t>21 937 699,94</w:t>
            </w:r>
          </w:p>
        </w:tc>
        <w:tc>
          <w:tcPr>
            <w:tcW w:w="0" w:type="auto"/>
            <w:shd w:val="clear" w:color="auto" w:fill="auto"/>
          </w:tcPr>
          <w:p w14:paraId="27C7EEB3" w14:textId="77777777" w:rsidR="008C5CFA" w:rsidRPr="009C3005" w:rsidRDefault="00E82A60" w:rsidP="00300A01">
            <w:pPr>
              <w:pStyle w:val="Text1"/>
              <w:spacing w:before="0" w:after="0"/>
              <w:ind w:left="0"/>
              <w:jc w:val="right"/>
              <w:rPr>
                <w:sz w:val="12"/>
                <w:szCs w:val="12"/>
              </w:rPr>
            </w:pPr>
            <w:r w:rsidRPr="009C3005">
              <w:rPr>
                <w:noProof/>
                <w:sz w:val="12"/>
                <w:szCs w:val="12"/>
              </w:rPr>
              <w:t>21 170 526,45</w:t>
            </w:r>
          </w:p>
        </w:tc>
        <w:tc>
          <w:tcPr>
            <w:tcW w:w="0" w:type="auto"/>
            <w:shd w:val="clear" w:color="auto" w:fill="auto"/>
          </w:tcPr>
          <w:p w14:paraId="3C1D1DFF" w14:textId="77777777" w:rsidR="008C5CFA" w:rsidRPr="009C3005" w:rsidRDefault="00E82A60" w:rsidP="00300A01">
            <w:pPr>
              <w:pStyle w:val="Text1"/>
              <w:spacing w:before="0" w:after="0"/>
              <w:ind w:left="0"/>
              <w:jc w:val="right"/>
              <w:rPr>
                <w:sz w:val="12"/>
                <w:szCs w:val="12"/>
              </w:rPr>
            </w:pPr>
            <w:r w:rsidRPr="009C3005">
              <w:rPr>
                <w:noProof/>
                <w:sz w:val="12"/>
                <w:szCs w:val="12"/>
              </w:rPr>
              <w:t>17 829 053,35</w:t>
            </w:r>
          </w:p>
        </w:tc>
        <w:tc>
          <w:tcPr>
            <w:tcW w:w="0" w:type="auto"/>
            <w:shd w:val="clear" w:color="auto" w:fill="auto"/>
          </w:tcPr>
          <w:p w14:paraId="441498BA" w14:textId="77777777" w:rsidR="008C5CFA" w:rsidRPr="009C3005" w:rsidRDefault="00E82A60" w:rsidP="00300A01">
            <w:pPr>
              <w:pStyle w:val="Text1"/>
              <w:spacing w:before="0" w:after="0"/>
              <w:ind w:left="0"/>
              <w:jc w:val="right"/>
              <w:rPr>
                <w:sz w:val="12"/>
                <w:szCs w:val="12"/>
              </w:rPr>
            </w:pPr>
            <w:r w:rsidRPr="009C3005">
              <w:rPr>
                <w:noProof/>
                <w:sz w:val="12"/>
                <w:szCs w:val="12"/>
              </w:rPr>
              <w:t>193</w:t>
            </w:r>
          </w:p>
        </w:tc>
      </w:tr>
      <w:tr w:rsidR="006B2EC1" w14:paraId="62F3DF22" w14:textId="77777777" w:rsidTr="0047688D">
        <w:tc>
          <w:tcPr>
            <w:tcW w:w="0" w:type="auto"/>
            <w:shd w:val="clear" w:color="auto" w:fill="auto"/>
          </w:tcPr>
          <w:p w14:paraId="1495FCC2" w14:textId="77777777" w:rsidR="008C5CFA" w:rsidRPr="009C3005" w:rsidRDefault="00E82A60" w:rsidP="00300A01">
            <w:pPr>
              <w:pStyle w:val="Text1"/>
              <w:spacing w:before="0" w:after="0"/>
              <w:ind w:left="0"/>
              <w:rPr>
                <w:sz w:val="12"/>
                <w:szCs w:val="12"/>
              </w:rPr>
            </w:pPr>
            <w:r>
              <w:rPr>
                <w:noProof/>
                <w:sz w:val="14"/>
                <w:szCs w:val="14"/>
                <w:lang w:val="fr-BE"/>
              </w:rPr>
              <w:t>8</w:t>
            </w:r>
          </w:p>
        </w:tc>
        <w:tc>
          <w:tcPr>
            <w:tcW w:w="0" w:type="auto"/>
            <w:shd w:val="clear" w:color="auto" w:fill="auto"/>
          </w:tcPr>
          <w:p w14:paraId="590E68F4" w14:textId="77777777" w:rsidR="008C5CFA" w:rsidRPr="009C3005" w:rsidRDefault="00E82A60" w:rsidP="00300A01">
            <w:pPr>
              <w:pStyle w:val="Text1"/>
              <w:spacing w:before="0" w:after="0"/>
              <w:ind w:left="0"/>
              <w:rPr>
                <w:sz w:val="12"/>
                <w:szCs w:val="12"/>
              </w:rPr>
            </w:pPr>
            <w:r>
              <w:rPr>
                <w:noProof/>
                <w:sz w:val="12"/>
                <w:szCs w:val="12"/>
              </w:rPr>
              <w:t>EFS</w:t>
            </w:r>
          </w:p>
        </w:tc>
        <w:tc>
          <w:tcPr>
            <w:tcW w:w="0" w:type="auto"/>
            <w:shd w:val="clear" w:color="auto" w:fill="auto"/>
          </w:tcPr>
          <w:p w14:paraId="18DD479D" w14:textId="77777777" w:rsidR="008C5CFA" w:rsidRPr="009C3005" w:rsidRDefault="00E82A60" w:rsidP="00300A01">
            <w:pPr>
              <w:pStyle w:val="Text1"/>
              <w:spacing w:before="0" w:after="0"/>
              <w:ind w:left="0"/>
              <w:rPr>
                <w:sz w:val="12"/>
                <w:szCs w:val="12"/>
              </w:rPr>
            </w:pPr>
            <w:r>
              <w:rPr>
                <w:noProof/>
                <w:sz w:val="12"/>
                <w:szCs w:val="12"/>
              </w:rPr>
              <w:t>Słabiej rozwinięte</w:t>
            </w:r>
          </w:p>
        </w:tc>
        <w:tc>
          <w:tcPr>
            <w:tcW w:w="0" w:type="auto"/>
            <w:shd w:val="clear" w:color="auto" w:fill="auto"/>
          </w:tcPr>
          <w:p w14:paraId="7C1105E2" w14:textId="77777777" w:rsidR="008C5CFA" w:rsidRPr="009C3005" w:rsidRDefault="00E82A60" w:rsidP="00300A01">
            <w:pPr>
              <w:pStyle w:val="Text1"/>
              <w:spacing w:before="0" w:after="0"/>
              <w:ind w:left="0"/>
              <w:rPr>
                <w:sz w:val="12"/>
                <w:szCs w:val="12"/>
              </w:rPr>
            </w:pPr>
            <w:r>
              <w:rPr>
                <w:noProof/>
                <w:sz w:val="12"/>
                <w:szCs w:val="12"/>
              </w:rPr>
              <w:t>115</w:t>
            </w:r>
          </w:p>
        </w:tc>
        <w:tc>
          <w:tcPr>
            <w:tcW w:w="0" w:type="auto"/>
            <w:shd w:val="clear" w:color="auto" w:fill="auto"/>
          </w:tcPr>
          <w:p w14:paraId="341BA39E"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2360A942"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4E4A200B"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0CBC2263" w14:textId="77777777" w:rsidR="008C5CFA" w:rsidRPr="009C3005" w:rsidRDefault="008C5CFA" w:rsidP="00300A01">
            <w:pPr>
              <w:pStyle w:val="Text1"/>
              <w:spacing w:before="0" w:after="0"/>
              <w:ind w:left="0"/>
              <w:rPr>
                <w:sz w:val="12"/>
                <w:szCs w:val="12"/>
              </w:rPr>
            </w:pPr>
          </w:p>
        </w:tc>
        <w:tc>
          <w:tcPr>
            <w:tcW w:w="0" w:type="auto"/>
            <w:shd w:val="clear" w:color="auto" w:fill="auto"/>
          </w:tcPr>
          <w:p w14:paraId="287FE205" w14:textId="77777777" w:rsidR="008C5CFA" w:rsidRPr="009C3005" w:rsidRDefault="00E82A60" w:rsidP="00300A01">
            <w:pPr>
              <w:pStyle w:val="Text1"/>
              <w:spacing w:before="0" w:after="0"/>
              <w:ind w:left="0"/>
              <w:rPr>
                <w:sz w:val="12"/>
                <w:szCs w:val="12"/>
              </w:rPr>
            </w:pPr>
            <w:r>
              <w:rPr>
                <w:noProof/>
                <w:sz w:val="12"/>
                <w:szCs w:val="12"/>
              </w:rPr>
              <w:t>08</w:t>
            </w:r>
            <w:r>
              <w:rPr>
                <w:sz w:val="12"/>
                <w:szCs w:val="12"/>
              </w:rPr>
              <w:t xml:space="preserve"> </w:t>
            </w:r>
          </w:p>
        </w:tc>
        <w:tc>
          <w:tcPr>
            <w:tcW w:w="0" w:type="auto"/>
            <w:shd w:val="clear" w:color="auto" w:fill="auto"/>
          </w:tcPr>
          <w:p w14:paraId="4D0E9A2E" w14:textId="77777777" w:rsidR="008C5CFA" w:rsidRPr="009C3005" w:rsidRDefault="00E82A60" w:rsidP="00300A01">
            <w:pPr>
              <w:pStyle w:val="Text1"/>
              <w:spacing w:before="0" w:after="0"/>
              <w:ind w:left="0"/>
              <w:rPr>
                <w:sz w:val="12"/>
                <w:szCs w:val="12"/>
              </w:rPr>
            </w:pPr>
            <w:r>
              <w:rPr>
                <w:noProof/>
                <w:sz w:val="12"/>
                <w:szCs w:val="12"/>
              </w:rPr>
              <w:t>24</w:t>
            </w:r>
          </w:p>
        </w:tc>
        <w:tc>
          <w:tcPr>
            <w:tcW w:w="0" w:type="auto"/>
            <w:shd w:val="clear" w:color="auto" w:fill="auto"/>
          </w:tcPr>
          <w:p w14:paraId="443DB1AD" w14:textId="77777777" w:rsidR="008C5CFA" w:rsidRPr="009C3005" w:rsidRDefault="00E82A60" w:rsidP="00300A01">
            <w:pPr>
              <w:pStyle w:val="Text1"/>
              <w:spacing w:before="0" w:after="0"/>
              <w:ind w:left="0"/>
              <w:rPr>
                <w:sz w:val="12"/>
                <w:szCs w:val="12"/>
              </w:rPr>
            </w:pPr>
            <w:r>
              <w:rPr>
                <w:noProof/>
                <w:sz w:val="12"/>
                <w:szCs w:val="12"/>
              </w:rPr>
              <w:t>PL33</w:t>
            </w:r>
          </w:p>
        </w:tc>
        <w:tc>
          <w:tcPr>
            <w:tcW w:w="0" w:type="auto"/>
            <w:shd w:val="clear" w:color="auto" w:fill="auto"/>
          </w:tcPr>
          <w:p w14:paraId="0DD600F5" w14:textId="77777777" w:rsidR="008C5CFA" w:rsidRPr="009C3005" w:rsidRDefault="00E82A60" w:rsidP="00300A01">
            <w:pPr>
              <w:pStyle w:val="Text1"/>
              <w:spacing w:before="0" w:after="0"/>
              <w:ind w:left="0"/>
              <w:jc w:val="right"/>
              <w:rPr>
                <w:sz w:val="12"/>
                <w:szCs w:val="12"/>
              </w:rPr>
            </w:pPr>
            <w:r w:rsidRPr="009C3005">
              <w:rPr>
                <w:noProof/>
                <w:sz w:val="12"/>
                <w:szCs w:val="12"/>
              </w:rPr>
              <w:t>431 317,48</w:t>
            </w:r>
          </w:p>
        </w:tc>
        <w:tc>
          <w:tcPr>
            <w:tcW w:w="0" w:type="auto"/>
            <w:shd w:val="clear" w:color="auto" w:fill="auto"/>
          </w:tcPr>
          <w:p w14:paraId="65EF78F0" w14:textId="77777777" w:rsidR="008C5CFA" w:rsidRPr="009C3005" w:rsidRDefault="00E82A60" w:rsidP="00300A01">
            <w:pPr>
              <w:pStyle w:val="Text1"/>
              <w:spacing w:before="0" w:after="0"/>
              <w:ind w:left="0"/>
              <w:jc w:val="right"/>
              <w:rPr>
                <w:sz w:val="12"/>
                <w:szCs w:val="12"/>
              </w:rPr>
            </w:pPr>
            <w:r w:rsidRPr="009C3005">
              <w:rPr>
                <w:noProof/>
                <w:sz w:val="12"/>
                <w:szCs w:val="12"/>
              </w:rPr>
              <w:t>415 645,27</w:t>
            </w:r>
          </w:p>
        </w:tc>
        <w:tc>
          <w:tcPr>
            <w:tcW w:w="0" w:type="auto"/>
            <w:shd w:val="clear" w:color="auto" w:fill="auto"/>
          </w:tcPr>
          <w:p w14:paraId="2EFF8966" w14:textId="77777777" w:rsidR="008C5CFA" w:rsidRPr="009C3005" w:rsidRDefault="00E82A60" w:rsidP="00300A01">
            <w:pPr>
              <w:pStyle w:val="Text1"/>
              <w:spacing w:before="0" w:after="0"/>
              <w:ind w:left="0"/>
              <w:jc w:val="right"/>
              <w:rPr>
                <w:sz w:val="12"/>
                <w:szCs w:val="12"/>
              </w:rPr>
            </w:pPr>
            <w:r w:rsidRPr="009C3005">
              <w:rPr>
                <w:noProof/>
                <w:sz w:val="12"/>
                <w:szCs w:val="12"/>
              </w:rPr>
              <w:t>365 103,78</w:t>
            </w:r>
          </w:p>
        </w:tc>
        <w:tc>
          <w:tcPr>
            <w:tcW w:w="0" w:type="auto"/>
            <w:shd w:val="clear" w:color="auto" w:fill="auto"/>
          </w:tcPr>
          <w:p w14:paraId="1C46CB59" w14:textId="77777777" w:rsidR="008C5CFA" w:rsidRPr="009C3005" w:rsidRDefault="00E82A60" w:rsidP="00300A01">
            <w:pPr>
              <w:pStyle w:val="Text1"/>
              <w:spacing w:before="0" w:after="0"/>
              <w:ind w:left="0"/>
              <w:jc w:val="right"/>
              <w:rPr>
                <w:sz w:val="12"/>
                <w:szCs w:val="12"/>
              </w:rPr>
            </w:pPr>
            <w:r w:rsidRPr="009C3005">
              <w:rPr>
                <w:noProof/>
                <w:sz w:val="12"/>
                <w:szCs w:val="12"/>
              </w:rPr>
              <w:t>4</w:t>
            </w:r>
          </w:p>
        </w:tc>
      </w:tr>
      <w:tr w:rsidR="006B2EC1" w14:paraId="7604AAF6" w14:textId="77777777" w:rsidTr="0047688D">
        <w:tc>
          <w:tcPr>
            <w:tcW w:w="0" w:type="auto"/>
            <w:shd w:val="clear" w:color="auto" w:fill="auto"/>
          </w:tcPr>
          <w:p w14:paraId="40C41855" w14:textId="77777777" w:rsidR="008C5CFA" w:rsidRPr="009C3005" w:rsidRDefault="00E82A60" w:rsidP="00300A01">
            <w:pPr>
              <w:pStyle w:val="Text1"/>
              <w:spacing w:before="0" w:after="0"/>
              <w:ind w:left="0"/>
              <w:rPr>
                <w:sz w:val="12"/>
                <w:szCs w:val="12"/>
              </w:rPr>
            </w:pPr>
            <w:r>
              <w:rPr>
                <w:noProof/>
                <w:sz w:val="14"/>
                <w:szCs w:val="14"/>
                <w:lang w:val="fr-BE"/>
              </w:rPr>
              <w:t>8</w:t>
            </w:r>
          </w:p>
        </w:tc>
        <w:tc>
          <w:tcPr>
            <w:tcW w:w="0" w:type="auto"/>
            <w:shd w:val="clear" w:color="auto" w:fill="auto"/>
          </w:tcPr>
          <w:p w14:paraId="3DE64DD2" w14:textId="77777777" w:rsidR="008C5CFA" w:rsidRPr="009C3005" w:rsidRDefault="00E82A60" w:rsidP="00300A01">
            <w:pPr>
              <w:pStyle w:val="Text1"/>
              <w:spacing w:before="0" w:after="0"/>
              <w:ind w:left="0"/>
              <w:rPr>
                <w:sz w:val="12"/>
                <w:szCs w:val="12"/>
              </w:rPr>
            </w:pPr>
            <w:r>
              <w:rPr>
                <w:noProof/>
                <w:sz w:val="12"/>
                <w:szCs w:val="12"/>
              </w:rPr>
              <w:t>EFS</w:t>
            </w:r>
          </w:p>
        </w:tc>
        <w:tc>
          <w:tcPr>
            <w:tcW w:w="0" w:type="auto"/>
            <w:shd w:val="clear" w:color="auto" w:fill="auto"/>
          </w:tcPr>
          <w:p w14:paraId="47443C11" w14:textId="77777777" w:rsidR="008C5CFA" w:rsidRPr="009C3005" w:rsidRDefault="00E82A60" w:rsidP="00300A01">
            <w:pPr>
              <w:pStyle w:val="Text1"/>
              <w:spacing w:before="0" w:after="0"/>
              <w:ind w:left="0"/>
              <w:rPr>
                <w:sz w:val="12"/>
                <w:szCs w:val="12"/>
              </w:rPr>
            </w:pPr>
            <w:r>
              <w:rPr>
                <w:noProof/>
                <w:sz w:val="12"/>
                <w:szCs w:val="12"/>
              </w:rPr>
              <w:t>Słabiej rozwinięte</w:t>
            </w:r>
          </w:p>
        </w:tc>
        <w:tc>
          <w:tcPr>
            <w:tcW w:w="0" w:type="auto"/>
            <w:shd w:val="clear" w:color="auto" w:fill="auto"/>
          </w:tcPr>
          <w:p w14:paraId="1FC13CA8" w14:textId="77777777" w:rsidR="008C5CFA" w:rsidRPr="009C3005" w:rsidRDefault="00E82A60" w:rsidP="00300A01">
            <w:pPr>
              <w:pStyle w:val="Text1"/>
              <w:spacing w:before="0" w:after="0"/>
              <w:ind w:left="0"/>
              <w:rPr>
                <w:sz w:val="12"/>
                <w:szCs w:val="12"/>
              </w:rPr>
            </w:pPr>
            <w:r>
              <w:rPr>
                <w:noProof/>
                <w:sz w:val="12"/>
                <w:szCs w:val="12"/>
              </w:rPr>
              <w:t>117</w:t>
            </w:r>
          </w:p>
        </w:tc>
        <w:tc>
          <w:tcPr>
            <w:tcW w:w="0" w:type="auto"/>
            <w:shd w:val="clear" w:color="auto" w:fill="auto"/>
          </w:tcPr>
          <w:p w14:paraId="5340C2C3"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767C827C"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21A6D279"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17E53683" w14:textId="77777777" w:rsidR="008C5CFA" w:rsidRPr="009C3005" w:rsidRDefault="008C5CFA" w:rsidP="00300A01">
            <w:pPr>
              <w:pStyle w:val="Text1"/>
              <w:spacing w:before="0" w:after="0"/>
              <w:ind w:left="0"/>
              <w:rPr>
                <w:sz w:val="12"/>
                <w:szCs w:val="12"/>
              </w:rPr>
            </w:pPr>
          </w:p>
        </w:tc>
        <w:tc>
          <w:tcPr>
            <w:tcW w:w="0" w:type="auto"/>
            <w:shd w:val="clear" w:color="auto" w:fill="auto"/>
          </w:tcPr>
          <w:p w14:paraId="4F690F2A" w14:textId="77777777" w:rsidR="008C5CFA" w:rsidRPr="009C3005" w:rsidRDefault="00E82A60" w:rsidP="00300A01">
            <w:pPr>
              <w:pStyle w:val="Text1"/>
              <w:spacing w:before="0" w:after="0"/>
              <w:ind w:left="0"/>
              <w:rPr>
                <w:sz w:val="12"/>
                <w:szCs w:val="12"/>
              </w:rPr>
            </w:pPr>
            <w:r>
              <w:rPr>
                <w:noProof/>
                <w:sz w:val="12"/>
                <w:szCs w:val="12"/>
              </w:rPr>
              <w:t>08</w:t>
            </w:r>
            <w:r>
              <w:rPr>
                <w:sz w:val="12"/>
                <w:szCs w:val="12"/>
              </w:rPr>
              <w:t xml:space="preserve"> </w:t>
            </w:r>
          </w:p>
        </w:tc>
        <w:tc>
          <w:tcPr>
            <w:tcW w:w="0" w:type="auto"/>
            <w:shd w:val="clear" w:color="auto" w:fill="auto"/>
          </w:tcPr>
          <w:p w14:paraId="0C77945B" w14:textId="77777777" w:rsidR="008C5CFA" w:rsidRPr="009C3005" w:rsidRDefault="00E82A60" w:rsidP="00300A01">
            <w:pPr>
              <w:pStyle w:val="Text1"/>
              <w:spacing w:before="0" w:after="0"/>
              <w:ind w:left="0"/>
              <w:rPr>
                <w:sz w:val="12"/>
                <w:szCs w:val="12"/>
              </w:rPr>
            </w:pPr>
            <w:r>
              <w:rPr>
                <w:noProof/>
                <w:sz w:val="12"/>
                <w:szCs w:val="12"/>
              </w:rPr>
              <w:t>18</w:t>
            </w:r>
          </w:p>
        </w:tc>
        <w:tc>
          <w:tcPr>
            <w:tcW w:w="0" w:type="auto"/>
            <w:shd w:val="clear" w:color="auto" w:fill="auto"/>
          </w:tcPr>
          <w:p w14:paraId="62830F38" w14:textId="77777777" w:rsidR="008C5CFA" w:rsidRPr="009C3005" w:rsidRDefault="00E82A60" w:rsidP="00300A01">
            <w:pPr>
              <w:pStyle w:val="Text1"/>
              <w:spacing w:before="0" w:after="0"/>
              <w:ind w:left="0"/>
              <w:rPr>
                <w:sz w:val="12"/>
                <w:szCs w:val="12"/>
              </w:rPr>
            </w:pPr>
            <w:r>
              <w:rPr>
                <w:noProof/>
                <w:sz w:val="12"/>
                <w:szCs w:val="12"/>
              </w:rPr>
              <w:t>PL33</w:t>
            </w:r>
          </w:p>
        </w:tc>
        <w:tc>
          <w:tcPr>
            <w:tcW w:w="0" w:type="auto"/>
            <w:shd w:val="clear" w:color="auto" w:fill="auto"/>
          </w:tcPr>
          <w:p w14:paraId="58EBBEF8" w14:textId="77777777" w:rsidR="008C5CFA" w:rsidRPr="009C3005" w:rsidRDefault="00E82A60" w:rsidP="00300A01">
            <w:pPr>
              <w:pStyle w:val="Text1"/>
              <w:spacing w:before="0" w:after="0"/>
              <w:ind w:left="0"/>
              <w:jc w:val="right"/>
              <w:rPr>
                <w:sz w:val="12"/>
                <w:szCs w:val="12"/>
              </w:rPr>
            </w:pPr>
            <w:r w:rsidRPr="009C3005">
              <w:rPr>
                <w:noProof/>
                <w:sz w:val="12"/>
                <w:szCs w:val="12"/>
              </w:rPr>
              <w:t>169 035,10</w:t>
            </w:r>
          </w:p>
        </w:tc>
        <w:tc>
          <w:tcPr>
            <w:tcW w:w="0" w:type="auto"/>
            <w:shd w:val="clear" w:color="auto" w:fill="auto"/>
          </w:tcPr>
          <w:p w14:paraId="670A11F3" w14:textId="77777777" w:rsidR="008C5CFA" w:rsidRPr="009C3005" w:rsidRDefault="00E82A60" w:rsidP="00300A01">
            <w:pPr>
              <w:pStyle w:val="Text1"/>
              <w:spacing w:before="0" w:after="0"/>
              <w:ind w:left="0"/>
              <w:jc w:val="right"/>
              <w:rPr>
                <w:sz w:val="12"/>
                <w:szCs w:val="12"/>
              </w:rPr>
            </w:pPr>
            <w:r w:rsidRPr="009C3005">
              <w:rPr>
                <w:noProof/>
                <w:sz w:val="12"/>
                <w:szCs w:val="12"/>
              </w:rPr>
              <w:t>152 131,59</w:t>
            </w:r>
          </w:p>
        </w:tc>
        <w:tc>
          <w:tcPr>
            <w:tcW w:w="0" w:type="auto"/>
            <w:shd w:val="clear" w:color="auto" w:fill="auto"/>
          </w:tcPr>
          <w:p w14:paraId="085F79A9" w14:textId="77777777" w:rsidR="008C5CFA" w:rsidRPr="009C3005" w:rsidRDefault="00E82A60" w:rsidP="00300A01">
            <w:pPr>
              <w:pStyle w:val="Text1"/>
              <w:spacing w:before="0" w:after="0"/>
              <w:ind w:left="0"/>
              <w:jc w:val="right"/>
              <w:rPr>
                <w:sz w:val="12"/>
                <w:szCs w:val="12"/>
              </w:rPr>
            </w:pPr>
            <w:r w:rsidRPr="009C3005">
              <w:rPr>
                <w:noProof/>
                <w:sz w:val="12"/>
                <w:szCs w:val="12"/>
              </w:rPr>
              <w:t>0,00</w:t>
            </w:r>
          </w:p>
        </w:tc>
        <w:tc>
          <w:tcPr>
            <w:tcW w:w="0" w:type="auto"/>
            <w:shd w:val="clear" w:color="auto" w:fill="auto"/>
          </w:tcPr>
          <w:p w14:paraId="51CB0ED4" w14:textId="77777777" w:rsidR="008C5CFA" w:rsidRPr="009C3005" w:rsidRDefault="00E82A60" w:rsidP="00300A01">
            <w:pPr>
              <w:pStyle w:val="Text1"/>
              <w:spacing w:before="0" w:after="0"/>
              <w:ind w:left="0"/>
              <w:jc w:val="right"/>
              <w:rPr>
                <w:sz w:val="12"/>
                <w:szCs w:val="12"/>
              </w:rPr>
            </w:pPr>
            <w:r w:rsidRPr="009C3005">
              <w:rPr>
                <w:noProof/>
                <w:sz w:val="12"/>
                <w:szCs w:val="12"/>
              </w:rPr>
              <w:t>1</w:t>
            </w:r>
          </w:p>
        </w:tc>
      </w:tr>
      <w:tr w:rsidR="006B2EC1" w14:paraId="08956616" w14:textId="77777777" w:rsidTr="0047688D">
        <w:tc>
          <w:tcPr>
            <w:tcW w:w="0" w:type="auto"/>
            <w:shd w:val="clear" w:color="auto" w:fill="auto"/>
          </w:tcPr>
          <w:p w14:paraId="2C1F984E" w14:textId="77777777" w:rsidR="008C5CFA" w:rsidRPr="009C3005" w:rsidRDefault="00E82A60" w:rsidP="00300A01">
            <w:pPr>
              <w:pStyle w:val="Text1"/>
              <w:spacing w:before="0" w:after="0"/>
              <w:ind w:left="0"/>
              <w:rPr>
                <w:sz w:val="12"/>
                <w:szCs w:val="12"/>
              </w:rPr>
            </w:pPr>
            <w:r>
              <w:rPr>
                <w:noProof/>
                <w:sz w:val="14"/>
                <w:szCs w:val="14"/>
                <w:lang w:val="fr-BE"/>
              </w:rPr>
              <w:t>8</w:t>
            </w:r>
          </w:p>
        </w:tc>
        <w:tc>
          <w:tcPr>
            <w:tcW w:w="0" w:type="auto"/>
            <w:shd w:val="clear" w:color="auto" w:fill="auto"/>
          </w:tcPr>
          <w:p w14:paraId="5322A268" w14:textId="77777777" w:rsidR="008C5CFA" w:rsidRPr="009C3005" w:rsidRDefault="00E82A60" w:rsidP="00300A01">
            <w:pPr>
              <w:pStyle w:val="Text1"/>
              <w:spacing w:before="0" w:after="0"/>
              <w:ind w:left="0"/>
              <w:rPr>
                <w:sz w:val="12"/>
                <w:szCs w:val="12"/>
              </w:rPr>
            </w:pPr>
            <w:r>
              <w:rPr>
                <w:noProof/>
                <w:sz w:val="12"/>
                <w:szCs w:val="12"/>
              </w:rPr>
              <w:t>EFS</w:t>
            </w:r>
          </w:p>
        </w:tc>
        <w:tc>
          <w:tcPr>
            <w:tcW w:w="0" w:type="auto"/>
            <w:shd w:val="clear" w:color="auto" w:fill="auto"/>
          </w:tcPr>
          <w:p w14:paraId="72BD40DA" w14:textId="77777777" w:rsidR="008C5CFA" w:rsidRPr="009C3005" w:rsidRDefault="00E82A60" w:rsidP="00300A01">
            <w:pPr>
              <w:pStyle w:val="Text1"/>
              <w:spacing w:before="0" w:after="0"/>
              <w:ind w:left="0"/>
              <w:rPr>
                <w:sz w:val="12"/>
                <w:szCs w:val="12"/>
              </w:rPr>
            </w:pPr>
            <w:r>
              <w:rPr>
                <w:noProof/>
                <w:sz w:val="12"/>
                <w:szCs w:val="12"/>
              </w:rPr>
              <w:t>Słabiej rozwinięte</w:t>
            </w:r>
          </w:p>
        </w:tc>
        <w:tc>
          <w:tcPr>
            <w:tcW w:w="0" w:type="auto"/>
            <w:shd w:val="clear" w:color="auto" w:fill="auto"/>
          </w:tcPr>
          <w:p w14:paraId="616DD990" w14:textId="77777777" w:rsidR="008C5CFA" w:rsidRPr="009C3005" w:rsidRDefault="00E82A60" w:rsidP="00300A01">
            <w:pPr>
              <w:pStyle w:val="Text1"/>
              <w:spacing w:before="0" w:after="0"/>
              <w:ind w:left="0"/>
              <w:rPr>
                <w:sz w:val="12"/>
                <w:szCs w:val="12"/>
              </w:rPr>
            </w:pPr>
            <w:r>
              <w:rPr>
                <w:noProof/>
                <w:sz w:val="12"/>
                <w:szCs w:val="12"/>
              </w:rPr>
              <w:t>117</w:t>
            </w:r>
          </w:p>
        </w:tc>
        <w:tc>
          <w:tcPr>
            <w:tcW w:w="0" w:type="auto"/>
            <w:shd w:val="clear" w:color="auto" w:fill="auto"/>
          </w:tcPr>
          <w:p w14:paraId="4E405895"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15931BDB"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47A05E39"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6E4B9D5A" w14:textId="77777777" w:rsidR="008C5CFA" w:rsidRPr="009C3005" w:rsidRDefault="008C5CFA" w:rsidP="00300A01">
            <w:pPr>
              <w:pStyle w:val="Text1"/>
              <w:spacing w:before="0" w:after="0"/>
              <w:ind w:left="0"/>
              <w:rPr>
                <w:sz w:val="12"/>
                <w:szCs w:val="12"/>
              </w:rPr>
            </w:pPr>
          </w:p>
        </w:tc>
        <w:tc>
          <w:tcPr>
            <w:tcW w:w="0" w:type="auto"/>
            <w:shd w:val="clear" w:color="auto" w:fill="auto"/>
          </w:tcPr>
          <w:p w14:paraId="65E06E12" w14:textId="77777777" w:rsidR="008C5CFA" w:rsidRPr="009C3005" w:rsidRDefault="00E82A60" w:rsidP="00300A01">
            <w:pPr>
              <w:pStyle w:val="Text1"/>
              <w:spacing w:before="0" w:after="0"/>
              <w:ind w:left="0"/>
              <w:rPr>
                <w:sz w:val="12"/>
                <w:szCs w:val="12"/>
              </w:rPr>
            </w:pPr>
            <w:r>
              <w:rPr>
                <w:noProof/>
                <w:sz w:val="12"/>
                <w:szCs w:val="12"/>
              </w:rPr>
              <w:t>08</w:t>
            </w:r>
            <w:r>
              <w:rPr>
                <w:sz w:val="12"/>
                <w:szCs w:val="12"/>
              </w:rPr>
              <w:t xml:space="preserve"> </w:t>
            </w:r>
          </w:p>
        </w:tc>
        <w:tc>
          <w:tcPr>
            <w:tcW w:w="0" w:type="auto"/>
            <w:shd w:val="clear" w:color="auto" w:fill="auto"/>
          </w:tcPr>
          <w:p w14:paraId="6DEB836D" w14:textId="77777777" w:rsidR="008C5CFA" w:rsidRPr="009C3005" w:rsidRDefault="00E82A60" w:rsidP="00300A01">
            <w:pPr>
              <w:pStyle w:val="Text1"/>
              <w:spacing w:before="0" w:after="0"/>
              <w:ind w:left="0"/>
              <w:rPr>
                <w:sz w:val="12"/>
                <w:szCs w:val="12"/>
              </w:rPr>
            </w:pPr>
            <w:r>
              <w:rPr>
                <w:noProof/>
                <w:sz w:val="12"/>
                <w:szCs w:val="12"/>
              </w:rPr>
              <w:t>19</w:t>
            </w:r>
          </w:p>
        </w:tc>
        <w:tc>
          <w:tcPr>
            <w:tcW w:w="0" w:type="auto"/>
            <w:shd w:val="clear" w:color="auto" w:fill="auto"/>
          </w:tcPr>
          <w:p w14:paraId="7F1DD319" w14:textId="77777777" w:rsidR="008C5CFA" w:rsidRPr="009C3005" w:rsidRDefault="00E82A60" w:rsidP="00300A01">
            <w:pPr>
              <w:pStyle w:val="Text1"/>
              <w:spacing w:before="0" w:after="0"/>
              <w:ind w:left="0"/>
              <w:rPr>
                <w:sz w:val="12"/>
                <w:szCs w:val="12"/>
              </w:rPr>
            </w:pPr>
            <w:r>
              <w:rPr>
                <w:noProof/>
                <w:sz w:val="12"/>
                <w:szCs w:val="12"/>
              </w:rPr>
              <w:t>PL33</w:t>
            </w:r>
          </w:p>
        </w:tc>
        <w:tc>
          <w:tcPr>
            <w:tcW w:w="0" w:type="auto"/>
            <w:shd w:val="clear" w:color="auto" w:fill="auto"/>
          </w:tcPr>
          <w:p w14:paraId="36385281" w14:textId="77777777" w:rsidR="008C5CFA" w:rsidRPr="009C3005" w:rsidRDefault="00E82A60" w:rsidP="00300A01">
            <w:pPr>
              <w:pStyle w:val="Text1"/>
              <w:spacing w:before="0" w:after="0"/>
              <w:ind w:left="0"/>
              <w:jc w:val="right"/>
              <w:rPr>
                <w:sz w:val="12"/>
                <w:szCs w:val="12"/>
              </w:rPr>
            </w:pPr>
            <w:r w:rsidRPr="009C3005">
              <w:rPr>
                <w:noProof/>
                <w:sz w:val="12"/>
                <w:szCs w:val="12"/>
              </w:rPr>
              <w:t>1 655 462,07</w:t>
            </w:r>
          </w:p>
        </w:tc>
        <w:tc>
          <w:tcPr>
            <w:tcW w:w="0" w:type="auto"/>
            <w:shd w:val="clear" w:color="auto" w:fill="auto"/>
          </w:tcPr>
          <w:p w14:paraId="29C1F269" w14:textId="77777777" w:rsidR="008C5CFA" w:rsidRPr="009C3005" w:rsidRDefault="00E82A60" w:rsidP="00300A01">
            <w:pPr>
              <w:pStyle w:val="Text1"/>
              <w:spacing w:before="0" w:after="0"/>
              <w:ind w:left="0"/>
              <w:jc w:val="right"/>
              <w:rPr>
                <w:sz w:val="12"/>
                <w:szCs w:val="12"/>
              </w:rPr>
            </w:pPr>
            <w:r w:rsidRPr="009C3005">
              <w:rPr>
                <w:noProof/>
                <w:sz w:val="12"/>
                <w:szCs w:val="12"/>
              </w:rPr>
              <w:t>1 489 355,19</w:t>
            </w:r>
          </w:p>
        </w:tc>
        <w:tc>
          <w:tcPr>
            <w:tcW w:w="0" w:type="auto"/>
            <w:shd w:val="clear" w:color="auto" w:fill="auto"/>
          </w:tcPr>
          <w:p w14:paraId="107D6DEE" w14:textId="77777777" w:rsidR="008C5CFA" w:rsidRPr="009C3005" w:rsidRDefault="00E82A60" w:rsidP="00300A01">
            <w:pPr>
              <w:pStyle w:val="Text1"/>
              <w:spacing w:before="0" w:after="0"/>
              <w:ind w:left="0"/>
              <w:jc w:val="right"/>
              <w:rPr>
                <w:sz w:val="12"/>
                <w:szCs w:val="12"/>
              </w:rPr>
            </w:pPr>
            <w:r w:rsidRPr="009C3005">
              <w:rPr>
                <w:noProof/>
                <w:sz w:val="12"/>
                <w:szCs w:val="12"/>
              </w:rPr>
              <w:t>1 521 606,05</w:t>
            </w:r>
          </w:p>
        </w:tc>
        <w:tc>
          <w:tcPr>
            <w:tcW w:w="0" w:type="auto"/>
            <w:shd w:val="clear" w:color="auto" w:fill="auto"/>
          </w:tcPr>
          <w:p w14:paraId="36EEF763" w14:textId="77777777" w:rsidR="008C5CFA" w:rsidRPr="009C3005" w:rsidRDefault="00E82A60" w:rsidP="00300A01">
            <w:pPr>
              <w:pStyle w:val="Text1"/>
              <w:spacing w:before="0" w:after="0"/>
              <w:ind w:left="0"/>
              <w:jc w:val="right"/>
              <w:rPr>
                <w:sz w:val="12"/>
                <w:szCs w:val="12"/>
              </w:rPr>
            </w:pPr>
            <w:r w:rsidRPr="009C3005">
              <w:rPr>
                <w:noProof/>
                <w:sz w:val="12"/>
                <w:szCs w:val="12"/>
              </w:rPr>
              <w:t>13</w:t>
            </w:r>
          </w:p>
        </w:tc>
      </w:tr>
      <w:tr w:rsidR="006B2EC1" w14:paraId="06CC4C41" w14:textId="77777777" w:rsidTr="0047688D">
        <w:tc>
          <w:tcPr>
            <w:tcW w:w="0" w:type="auto"/>
            <w:shd w:val="clear" w:color="auto" w:fill="auto"/>
          </w:tcPr>
          <w:p w14:paraId="667A1AA7" w14:textId="77777777" w:rsidR="008C5CFA" w:rsidRPr="009C3005" w:rsidRDefault="00E82A60" w:rsidP="00300A01">
            <w:pPr>
              <w:pStyle w:val="Text1"/>
              <w:spacing w:before="0" w:after="0"/>
              <w:ind w:left="0"/>
              <w:rPr>
                <w:sz w:val="12"/>
                <w:szCs w:val="12"/>
              </w:rPr>
            </w:pPr>
            <w:r>
              <w:rPr>
                <w:noProof/>
                <w:sz w:val="14"/>
                <w:szCs w:val="14"/>
                <w:lang w:val="fr-BE"/>
              </w:rPr>
              <w:t>8</w:t>
            </w:r>
          </w:p>
        </w:tc>
        <w:tc>
          <w:tcPr>
            <w:tcW w:w="0" w:type="auto"/>
            <w:shd w:val="clear" w:color="auto" w:fill="auto"/>
          </w:tcPr>
          <w:p w14:paraId="755D6F80" w14:textId="77777777" w:rsidR="008C5CFA" w:rsidRPr="009C3005" w:rsidRDefault="00E82A60" w:rsidP="00300A01">
            <w:pPr>
              <w:pStyle w:val="Text1"/>
              <w:spacing w:before="0" w:after="0"/>
              <w:ind w:left="0"/>
              <w:rPr>
                <w:sz w:val="12"/>
                <w:szCs w:val="12"/>
              </w:rPr>
            </w:pPr>
            <w:r>
              <w:rPr>
                <w:noProof/>
                <w:sz w:val="12"/>
                <w:szCs w:val="12"/>
              </w:rPr>
              <w:t>EFS</w:t>
            </w:r>
          </w:p>
        </w:tc>
        <w:tc>
          <w:tcPr>
            <w:tcW w:w="0" w:type="auto"/>
            <w:shd w:val="clear" w:color="auto" w:fill="auto"/>
          </w:tcPr>
          <w:p w14:paraId="1C8B84DA" w14:textId="77777777" w:rsidR="008C5CFA" w:rsidRPr="009C3005" w:rsidRDefault="00E82A60" w:rsidP="00300A01">
            <w:pPr>
              <w:pStyle w:val="Text1"/>
              <w:spacing w:before="0" w:after="0"/>
              <w:ind w:left="0"/>
              <w:rPr>
                <w:sz w:val="12"/>
                <w:szCs w:val="12"/>
              </w:rPr>
            </w:pPr>
            <w:r>
              <w:rPr>
                <w:noProof/>
                <w:sz w:val="12"/>
                <w:szCs w:val="12"/>
              </w:rPr>
              <w:t>Słabiej rozwinięte</w:t>
            </w:r>
          </w:p>
        </w:tc>
        <w:tc>
          <w:tcPr>
            <w:tcW w:w="0" w:type="auto"/>
            <w:shd w:val="clear" w:color="auto" w:fill="auto"/>
          </w:tcPr>
          <w:p w14:paraId="2F7462B5" w14:textId="77777777" w:rsidR="008C5CFA" w:rsidRPr="009C3005" w:rsidRDefault="00E82A60" w:rsidP="00300A01">
            <w:pPr>
              <w:pStyle w:val="Text1"/>
              <w:spacing w:before="0" w:after="0"/>
              <w:ind w:left="0"/>
              <w:rPr>
                <w:sz w:val="12"/>
                <w:szCs w:val="12"/>
              </w:rPr>
            </w:pPr>
            <w:r>
              <w:rPr>
                <w:noProof/>
                <w:sz w:val="12"/>
                <w:szCs w:val="12"/>
              </w:rPr>
              <w:t>117</w:t>
            </w:r>
          </w:p>
        </w:tc>
        <w:tc>
          <w:tcPr>
            <w:tcW w:w="0" w:type="auto"/>
            <w:shd w:val="clear" w:color="auto" w:fill="auto"/>
          </w:tcPr>
          <w:p w14:paraId="1EFB867C"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3262F686"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1998445B"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01830A17" w14:textId="77777777" w:rsidR="008C5CFA" w:rsidRPr="009C3005" w:rsidRDefault="008C5CFA" w:rsidP="00300A01">
            <w:pPr>
              <w:pStyle w:val="Text1"/>
              <w:spacing w:before="0" w:after="0"/>
              <w:ind w:left="0"/>
              <w:rPr>
                <w:sz w:val="12"/>
                <w:szCs w:val="12"/>
              </w:rPr>
            </w:pPr>
          </w:p>
        </w:tc>
        <w:tc>
          <w:tcPr>
            <w:tcW w:w="0" w:type="auto"/>
            <w:shd w:val="clear" w:color="auto" w:fill="auto"/>
          </w:tcPr>
          <w:p w14:paraId="1B26BC38" w14:textId="77777777" w:rsidR="008C5CFA" w:rsidRPr="009C3005" w:rsidRDefault="00E82A60" w:rsidP="00300A01">
            <w:pPr>
              <w:pStyle w:val="Text1"/>
              <w:spacing w:before="0" w:after="0"/>
              <w:ind w:left="0"/>
              <w:rPr>
                <w:sz w:val="12"/>
                <w:szCs w:val="12"/>
              </w:rPr>
            </w:pPr>
            <w:r>
              <w:rPr>
                <w:noProof/>
                <w:sz w:val="12"/>
                <w:szCs w:val="12"/>
              </w:rPr>
              <w:t>08</w:t>
            </w:r>
            <w:r>
              <w:rPr>
                <w:sz w:val="12"/>
                <w:szCs w:val="12"/>
              </w:rPr>
              <w:t xml:space="preserve"> </w:t>
            </w:r>
          </w:p>
        </w:tc>
        <w:tc>
          <w:tcPr>
            <w:tcW w:w="0" w:type="auto"/>
            <w:shd w:val="clear" w:color="auto" w:fill="auto"/>
          </w:tcPr>
          <w:p w14:paraId="380F7C19" w14:textId="77777777" w:rsidR="008C5CFA" w:rsidRPr="009C3005" w:rsidRDefault="00E82A60" w:rsidP="00300A01">
            <w:pPr>
              <w:pStyle w:val="Text1"/>
              <w:spacing w:before="0" w:after="0"/>
              <w:ind w:left="0"/>
              <w:rPr>
                <w:sz w:val="12"/>
                <w:szCs w:val="12"/>
              </w:rPr>
            </w:pPr>
            <w:r>
              <w:rPr>
                <w:noProof/>
                <w:sz w:val="12"/>
                <w:szCs w:val="12"/>
              </w:rPr>
              <w:t>19</w:t>
            </w:r>
          </w:p>
        </w:tc>
        <w:tc>
          <w:tcPr>
            <w:tcW w:w="0" w:type="auto"/>
            <w:shd w:val="clear" w:color="auto" w:fill="auto"/>
          </w:tcPr>
          <w:p w14:paraId="4518A290" w14:textId="77777777" w:rsidR="008C5CFA" w:rsidRPr="009C3005" w:rsidRDefault="00E82A60" w:rsidP="00300A01">
            <w:pPr>
              <w:pStyle w:val="Text1"/>
              <w:spacing w:before="0" w:after="0"/>
              <w:ind w:left="0"/>
              <w:rPr>
                <w:sz w:val="12"/>
                <w:szCs w:val="12"/>
              </w:rPr>
            </w:pPr>
            <w:r>
              <w:rPr>
                <w:noProof/>
                <w:sz w:val="12"/>
                <w:szCs w:val="12"/>
              </w:rPr>
              <w:t>PL33</w:t>
            </w:r>
          </w:p>
        </w:tc>
        <w:tc>
          <w:tcPr>
            <w:tcW w:w="0" w:type="auto"/>
            <w:shd w:val="clear" w:color="auto" w:fill="auto"/>
          </w:tcPr>
          <w:p w14:paraId="5D213771" w14:textId="77777777" w:rsidR="008C5CFA" w:rsidRPr="009C3005" w:rsidRDefault="00E82A60" w:rsidP="00300A01">
            <w:pPr>
              <w:pStyle w:val="Text1"/>
              <w:spacing w:before="0" w:after="0"/>
              <w:ind w:left="0"/>
              <w:jc w:val="right"/>
              <w:rPr>
                <w:sz w:val="12"/>
                <w:szCs w:val="12"/>
              </w:rPr>
            </w:pPr>
            <w:r w:rsidRPr="009C3005">
              <w:rPr>
                <w:noProof/>
                <w:sz w:val="12"/>
                <w:szCs w:val="12"/>
              </w:rPr>
              <w:t>4 083 765,64</w:t>
            </w:r>
          </w:p>
        </w:tc>
        <w:tc>
          <w:tcPr>
            <w:tcW w:w="0" w:type="auto"/>
            <w:shd w:val="clear" w:color="auto" w:fill="auto"/>
          </w:tcPr>
          <w:p w14:paraId="5E58CEAE" w14:textId="77777777" w:rsidR="008C5CFA" w:rsidRPr="009C3005" w:rsidRDefault="00E82A60" w:rsidP="00300A01">
            <w:pPr>
              <w:pStyle w:val="Text1"/>
              <w:spacing w:before="0" w:after="0"/>
              <w:ind w:left="0"/>
              <w:jc w:val="right"/>
              <w:rPr>
                <w:sz w:val="12"/>
                <w:szCs w:val="12"/>
              </w:rPr>
            </w:pPr>
            <w:r w:rsidRPr="009C3005">
              <w:rPr>
                <w:noProof/>
                <w:sz w:val="12"/>
                <w:szCs w:val="12"/>
              </w:rPr>
              <w:t>3 671 268,26</w:t>
            </w:r>
          </w:p>
        </w:tc>
        <w:tc>
          <w:tcPr>
            <w:tcW w:w="0" w:type="auto"/>
            <w:shd w:val="clear" w:color="auto" w:fill="auto"/>
          </w:tcPr>
          <w:p w14:paraId="0FFDC0E1" w14:textId="77777777" w:rsidR="008C5CFA" w:rsidRPr="009C3005" w:rsidRDefault="00E82A60" w:rsidP="00300A01">
            <w:pPr>
              <w:pStyle w:val="Text1"/>
              <w:spacing w:before="0" w:after="0"/>
              <w:ind w:left="0"/>
              <w:jc w:val="right"/>
              <w:rPr>
                <w:sz w:val="12"/>
                <w:szCs w:val="12"/>
              </w:rPr>
            </w:pPr>
            <w:r w:rsidRPr="009C3005">
              <w:rPr>
                <w:noProof/>
                <w:sz w:val="12"/>
                <w:szCs w:val="12"/>
              </w:rPr>
              <w:t>2 536 703,88</w:t>
            </w:r>
          </w:p>
        </w:tc>
        <w:tc>
          <w:tcPr>
            <w:tcW w:w="0" w:type="auto"/>
            <w:shd w:val="clear" w:color="auto" w:fill="auto"/>
          </w:tcPr>
          <w:p w14:paraId="14DD3F26" w14:textId="77777777" w:rsidR="008C5CFA" w:rsidRPr="009C3005" w:rsidRDefault="00E82A60" w:rsidP="00300A01">
            <w:pPr>
              <w:pStyle w:val="Text1"/>
              <w:spacing w:before="0" w:after="0"/>
              <w:ind w:left="0"/>
              <w:jc w:val="right"/>
              <w:rPr>
                <w:sz w:val="12"/>
                <w:szCs w:val="12"/>
              </w:rPr>
            </w:pPr>
            <w:r w:rsidRPr="009C3005">
              <w:rPr>
                <w:noProof/>
                <w:sz w:val="12"/>
                <w:szCs w:val="12"/>
              </w:rPr>
              <w:t>29</w:t>
            </w:r>
          </w:p>
        </w:tc>
      </w:tr>
      <w:tr w:rsidR="006B2EC1" w14:paraId="32B9FE58" w14:textId="77777777" w:rsidTr="0047688D">
        <w:tc>
          <w:tcPr>
            <w:tcW w:w="0" w:type="auto"/>
            <w:shd w:val="clear" w:color="auto" w:fill="auto"/>
          </w:tcPr>
          <w:p w14:paraId="66961CF9" w14:textId="77777777" w:rsidR="008C5CFA" w:rsidRPr="009C3005" w:rsidRDefault="00E82A60" w:rsidP="00300A01">
            <w:pPr>
              <w:pStyle w:val="Text1"/>
              <w:spacing w:before="0" w:after="0"/>
              <w:ind w:left="0"/>
              <w:rPr>
                <w:sz w:val="12"/>
                <w:szCs w:val="12"/>
              </w:rPr>
            </w:pPr>
            <w:r>
              <w:rPr>
                <w:noProof/>
                <w:sz w:val="14"/>
                <w:szCs w:val="14"/>
                <w:lang w:val="fr-BE"/>
              </w:rPr>
              <w:t>8</w:t>
            </w:r>
          </w:p>
        </w:tc>
        <w:tc>
          <w:tcPr>
            <w:tcW w:w="0" w:type="auto"/>
            <w:shd w:val="clear" w:color="auto" w:fill="auto"/>
          </w:tcPr>
          <w:p w14:paraId="27E2619D" w14:textId="77777777" w:rsidR="008C5CFA" w:rsidRPr="009C3005" w:rsidRDefault="00E82A60" w:rsidP="00300A01">
            <w:pPr>
              <w:pStyle w:val="Text1"/>
              <w:spacing w:before="0" w:after="0"/>
              <w:ind w:left="0"/>
              <w:rPr>
                <w:sz w:val="12"/>
                <w:szCs w:val="12"/>
              </w:rPr>
            </w:pPr>
            <w:r>
              <w:rPr>
                <w:noProof/>
                <w:sz w:val="12"/>
                <w:szCs w:val="12"/>
              </w:rPr>
              <w:t>EFS</w:t>
            </w:r>
          </w:p>
        </w:tc>
        <w:tc>
          <w:tcPr>
            <w:tcW w:w="0" w:type="auto"/>
            <w:shd w:val="clear" w:color="auto" w:fill="auto"/>
          </w:tcPr>
          <w:p w14:paraId="32C77FC1" w14:textId="77777777" w:rsidR="008C5CFA" w:rsidRPr="009C3005" w:rsidRDefault="00E82A60" w:rsidP="00300A01">
            <w:pPr>
              <w:pStyle w:val="Text1"/>
              <w:spacing w:before="0" w:after="0"/>
              <w:ind w:left="0"/>
              <w:rPr>
                <w:sz w:val="12"/>
                <w:szCs w:val="12"/>
              </w:rPr>
            </w:pPr>
            <w:r>
              <w:rPr>
                <w:noProof/>
                <w:sz w:val="12"/>
                <w:szCs w:val="12"/>
              </w:rPr>
              <w:t>Słabiej rozwinięte</w:t>
            </w:r>
          </w:p>
        </w:tc>
        <w:tc>
          <w:tcPr>
            <w:tcW w:w="0" w:type="auto"/>
            <w:shd w:val="clear" w:color="auto" w:fill="auto"/>
          </w:tcPr>
          <w:p w14:paraId="2A7CE00A" w14:textId="77777777" w:rsidR="008C5CFA" w:rsidRPr="009C3005" w:rsidRDefault="00E82A60" w:rsidP="00300A01">
            <w:pPr>
              <w:pStyle w:val="Text1"/>
              <w:spacing w:before="0" w:after="0"/>
              <w:ind w:left="0"/>
              <w:rPr>
                <w:sz w:val="12"/>
                <w:szCs w:val="12"/>
              </w:rPr>
            </w:pPr>
            <w:r>
              <w:rPr>
                <w:noProof/>
                <w:sz w:val="12"/>
                <w:szCs w:val="12"/>
              </w:rPr>
              <w:t>117</w:t>
            </w:r>
          </w:p>
        </w:tc>
        <w:tc>
          <w:tcPr>
            <w:tcW w:w="0" w:type="auto"/>
            <w:shd w:val="clear" w:color="auto" w:fill="auto"/>
          </w:tcPr>
          <w:p w14:paraId="13AB99B5"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39345F77"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293F203D"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75C48CFD" w14:textId="77777777" w:rsidR="008C5CFA" w:rsidRPr="009C3005" w:rsidRDefault="008C5CFA" w:rsidP="00300A01">
            <w:pPr>
              <w:pStyle w:val="Text1"/>
              <w:spacing w:before="0" w:after="0"/>
              <w:ind w:left="0"/>
              <w:rPr>
                <w:sz w:val="12"/>
                <w:szCs w:val="12"/>
              </w:rPr>
            </w:pPr>
          </w:p>
        </w:tc>
        <w:tc>
          <w:tcPr>
            <w:tcW w:w="0" w:type="auto"/>
            <w:shd w:val="clear" w:color="auto" w:fill="auto"/>
          </w:tcPr>
          <w:p w14:paraId="1061B508" w14:textId="77777777" w:rsidR="008C5CFA" w:rsidRPr="009C3005" w:rsidRDefault="00E82A60" w:rsidP="00300A01">
            <w:pPr>
              <w:pStyle w:val="Text1"/>
              <w:spacing w:before="0" w:after="0"/>
              <w:ind w:left="0"/>
              <w:rPr>
                <w:sz w:val="12"/>
                <w:szCs w:val="12"/>
              </w:rPr>
            </w:pPr>
            <w:r>
              <w:rPr>
                <w:noProof/>
                <w:sz w:val="12"/>
                <w:szCs w:val="12"/>
              </w:rPr>
              <w:t>08</w:t>
            </w:r>
            <w:r>
              <w:rPr>
                <w:sz w:val="12"/>
                <w:szCs w:val="12"/>
              </w:rPr>
              <w:t xml:space="preserve"> </w:t>
            </w:r>
          </w:p>
        </w:tc>
        <w:tc>
          <w:tcPr>
            <w:tcW w:w="0" w:type="auto"/>
            <w:shd w:val="clear" w:color="auto" w:fill="auto"/>
          </w:tcPr>
          <w:p w14:paraId="0F6AB5C6" w14:textId="77777777" w:rsidR="008C5CFA" w:rsidRPr="009C3005" w:rsidRDefault="00E82A60" w:rsidP="00300A01">
            <w:pPr>
              <w:pStyle w:val="Text1"/>
              <w:spacing w:before="0" w:after="0"/>
              <w:ind w:left="0"/>
              <w:rPr>
                <w:sz w:val="12"/>
                <w:szCs w:val="12"/>
              </w:rPr>
            </w:pPr>
            <w:r>
              <w:rPr>
                <w:noProof/>
                <w:sz w:val="12"/>
                <w:szCs w:val="12"/>
              </w:rPr>
              <w:t>24</w:t>
            </w:r>
          </w:p>
        </w:tc>
        <w:tc>
          <w:tcPr>
            <w:tcW w:w="0" w:type="auto"/>
            <w:shd w:val="clear" w:color="auto" w:fill="auto"/>
          </w:tcPr>
          <w:p w14:paraId="0BCC1372" w14:textId="77777777" w:rsidR="008C5CFA" w:rsidRPr="009C3005" w:rsidRDefault="00E82A60" w:rsidP="00300A01">
            <w:pPr>
              <w:pStyle w:val="Text1"/>
              <w:spacing w:before="0" w:after="0"/>
              <w:ind w:left="0"/>
              <w:rPr>
                <w:sz w:val="12"/>
                <w:szCs w:val="12"/>
              </w:rPr>
            </w:pPr>
            <w:r>
              <w:rPr>
                <w:noProof/>
                <w:sz w:val="12"/>
                <w:szCs w:val="12"/>
              </w:rPr>
              <w:t>PL33</w:t>
            </w:r>
          </w:p>
        </w:tc>
        <w:tc>
          <w:tcPr>
            <w:tcW w:w="0" w:type="auto"/>
            <w:shd w:val="clear" w:color="auto" w:fill="auto"/>
          </w:tcPr>
          <w:p w14:paraId="2F12BDD4" w14:textId="77777777" w:rsidR="008C5CFA" w:rsidRPr="009C3005" w:rsidRDefault="00E82A60" w:rsidP="00300A01">
            <w:pPr>
              <w:pStyle w:val="Text1"/>
              <w:spacing w:before="0" w:after="0"/>
              <w:ind w:left="0"/>
              <w:jc w:val="right"/>
              <w:rPr>
                <w:sz w:val="12"/>
                <w:szCs w:val="12"/>
              </w:rPr>
            </w:pPr>
            <w:r w:rsidRPr="009C3005">
              <w:rPr>
                <w:noProof/>
                <w:sz w:val="12"/>
                <w:szCs w:val="12"/>
              </w:rPr>
              <w:t>193 888,63</w:t>
            </w:r>
          </w:p>
        </w:tc>
        <w:tc>
          <w:tcPr>
            <w:tcW w:w="0" w:type="auto"/>
            <w:shd w:val="clear" w:color="auto" w:fill="auto"/>
          </w:tcPr>
          <w:p w14:paraId="7D093771" w14:textId="77777777" w:rsidR="008C5CFA" w:rsidRPr="009C3005" w:rsidRDefault="00E82A60" w:rsidP="00300A01">
            <w:pPr>
              <w:pStyle w:val="Text1"/>
              <w:spacing w:before="0" w:after="0"/>
              <w:ind w:left="0"/>
              <w:jc w:val="right"/>
              <w:rPr>
                <w:sz w:val="12"/>
                <w:szCs w:val="12"/>
              </w:rPr>
            </w:pPr>
            <w:r w:rsidRPr="009C3005">
              <w:rPr>
                <w:noProof/>
                <w:sz w:val="12"/>
                <w:szCs w:val="12"/>
              </w:rPr>
              <w:t>174 499,77</w:t>
            </w:r>
          </w:p>
        </w:tc>
        <w:tc>
          <w:tcPr>
            <w:tcW w:w="0" w:type="auto"/>
            <w:shd w:val="clear" w:color="auto" w:fill="auto"/>
          </w:tcPr>
          <w:p w14:paraId="65A0EA8D" w14:textId="77777777" w:rsidR="008C5CFA" w:rsidRPr="009C3005" w:rsidRDefault="00E82A60" w:rsidP="00300A01">
            <w:pPr>
              <w:pStyle w:val="Text1"/>
              <w:spacing w:before="0" w:after="0"/>
              <w:ind w:left="0"/>
              <w:jc w:val="right"/>
              <w:rPr>
                <w:sz w:val="12"/>
                <w:szCs w:val="12"/>
              </w:rPr>
            </w:pPr>
            <w:r w:rsidRPr="009C3005">
              <w:rPr>
                <w:noProof/>
                <w:sz w:val="12"/>
                <w:szCs w:val="12"/>
              </w:rPr>
              <w:t>116 215,34</w:t>
            </w:r>
          </w:p>
        </w:tc>
        <w:tc>
          <w:tcPr>
            <w:tcW w:w="0" w:type="auto"/>
            <w:shd w:val="clear" w:color="auto" w:fill="auto"/>
          </w:tcPr>
          <w:p w14:paraId="695310D7" w14:textId="77777777" w:rsidR="008C5CFA" w:rsidRPr="009C3005" w:rsidRDefault="00E82A60" w:rsidP="00300A01">
            <w:pPr>
              <w:pStyle w:val="Text1"/>
              <w:spacing w:before="0" w:after="0"/>
              <w:ind w:left="0"/>
              <w:jc w:val="right"/>
              <w:rPr>
                <w:sz w:val="12"/>
                <w:szCs w:val="12"/>
              </w:rPr>
            </w:pPr>
            <w:r w:rsidRPr="009C3005">
              <w:rPr>
                <w:noProof/>
                <w:sz w:val="12"/>
                <w:szCs w:val="12"/>
              </w:rPr>
              <w:t>1</w:t>
            </w:r>
          </w:p>
        </w:tc>
      </w:tr>
      <w:tr w:rsidR="006B2EC1" w14:paraId="0A1F7C81" w14:textId="77777777" w:rsidTr="0047688D">
        <w:tc>
          <w:tcPr>
            <w:tcW w:w="0" w:type="auto"/>
            <w:shd w:val="clear" w:color="auto" w:fill="auto"/>
          </w:tcPr>
          <w:p w14:paraId="245F4193" w14:textId="77777777" w:rsidR="008C5CFA" w:rsidRPr="009C3005" w:rsidRDefault="00E82A60" w:rsidP="00300A01">
            <w:pPr>
              <w:pStyle w:val="Text1"/>
              <w:spacing w:before="0" w:after="0"/>
              <w:ind w:left="0"/>
              <w:rPr>
                <w:sz w:val="12"/>
                <w:szCs w:val="12"/>
              </w:rPr>
            </w:pPr>
            <w:r>
              <w:rPr>
                <w:noProof/>
                <w:sz w:val="14"/>
                <w:szCs w:val="14"/>
                <w:lang w:val="fr-BE"/>
              </w:rPr>
              <w:t>8</w:t>
            </w:r>
          </w:p>
        </w:tc>
        <w:tc>
          <w:tcPr>
            <w:tcW w:w="0" w:type="auto"/>
            <w:shd w:val="clear" w:color="auto" w:fill="auto"/>
          </w:tcPr>
          <w:p w14:paraId="75636271" w14:textId="77777777" w:rsidR="008C5CFA" w:rsidRPr="009C3005" w:rsidRDefault="00E82A60" w:rsidP="00300A01">
            <w:pPr>
              <w:pStyle w:val="Text1"/>
              <w:spacing w:before="0" w:after="0"/>
              <w:ind w:left="0"/>
              <w:rPr>
                <w:sz w:val="12"/>
                <w:szCs w:val="12"/>
              </w:rPr>
            </w:pPr>
            <w:r>
              <w:rPr>
                <w:noProof/>
                <w:sz w:val="12"/>
                <w:szCs w:val="12"/>
              </w:rPr>
              <w:t>EFS</w:t>
            </w:r>
          </w:p>
        </w:tc>
        <w:tc>
          <w:tcPr>
            <w:tcW w:w="0" w:type="auto"/>
            <w:shd w:val="clear" w:color="auto" w:fill="auto"/>
          </w:tcPr>
          <w:p w14:paraId="00C4722E" w14:textId="77777777" w:rsidR="008C5CFA" w:rsidRPr="009C3005" w:rsidRDefault="00E82A60" w:rsidP="00300A01">
            <w:pPr>
              <w:pStyle w:val="Text1"/>
              <w:spacing w:before="0" w:after="0"/>
              <w:ind w:left="0"/>
              <w:rPr>
                <w:sz w:val="12"/>
                <w:szCs w:val="12"/>
              </w:rPr>
            </w:pPr>
            <w:r>
              <w:rPr>
                <w:noProof/>
                <w:sz w:val="12"/>
                <w:szCs w:val="12"/>
              </w:rPr>
              <w:t>Słabiej rozwinięte</w:t>
            </w:r>
          </w:p>
        </w:tc>
        <w:tc>
          <w:tcPr>
            <w:tcW w:w="0" w:type="auto"/>
            <w:shd w:val="clear" w:color="auto" w:fill="auto"/>
          </w:tcPr>
          <w:p w14:paraId="0B5CFC32" w14:textId="77777777" w:rsidR="008C5CFA" w:rsidRPr="009C3005" w:rsidRDefault="00E82A60" w:rsidP="00300A01">
            <w:pPr>
              <w:pStyle w:val="Text1"/>
              <w:spacing w:before="0" w:after="0"/>
              <w:ind w:left="0"/>
              <w:rPr>
                <w:sz w:val="12"/>
                <w:szCs w:val="12"/>
              </w:rPr>
            </w:pPr>
            <w:r>
              <w:rPr>
                <w:noProof/>
                <w:sz w:val="12"/>
                <w:szCs w:val="12"/>
              </w:rPr>
              <w:t>118</w:t>
            </w:r>
          </w:p>
        </w:tc>
        <w:tc>
          <w:tcPr>
            <w:tcW w:w="0" w:type="auto"/>
            <w:shd w:val="clear" w:color="auto" w:fill="auto"/>
          </w:tcPr>
          <w:p w14:paraId="0943C776"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0847A8D0"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4023F277"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3E199895" w14:textId="77777777" w:rsidR="008C5CFA" w:rsidRPr="009C3005" w:rsidRDefault="008C5CFA" w:rsidP="00300A01">
            <w:pPr>
              <w:pStyle w:val="Text1"/>
              <w:spacing w:before="0" w:after="0"/>
              <w:ind w:left="0"/>
              <w:rPr>
                <w:sz w:val="12"/>
                <w:szCs w:val="12"/>
              </w:rPr>
            </w:pPr>
          </w:p>
        </w:tc>
        <w:tc>
          <w:tcPr>
            <w:tcW w:w="0" w:type="auto"/>
            <w:shd w:val="clear" w:color="auto" w:fill="auto"/>
          </w:tcPr>
          <w:p w14:paraId="76FF6A16" w14:textId="77777777" w:rsidR="008C5CFA" w:rsidRPr="009C3005" w:rsidRDefault="00E82A60" w:rsidP="00300A01">
            <w:pPr>
              <w:pStyle w:val="Text1"/>
              <w:spacing w:before="0" w:after="0"/>
              <w:ind w:left="0"/>
              <w:rPr>
                <w:sz w:val="12"/>
                <w:szCs w:val="12"/>
              </w:rPr>
            </w:pPr>
            <w:r>
              <w:rPr>
                <w:noProof/>
                <w:sz w:val="12"/>
                <w:szCs w:val="12"/>
              </w:rPr>
              <w:t>08</w:t>
            </w:r>
            <w:r>
              <w:rPr>
                <w:sz w:val="12"/>
                <w:szCs w:val="12"/>
              </w:rPr>
              <w:t xml:space="preserve"> </w:t>
            </w:r>
          </w:p>
        </w:tc>
        <w:tc>
          <w:tcPr>
            <w:tcW w:w="0" w:type="auto"/>
            <w:shd w:val="clear" w:color="auto" w:fill="auto"/>
          </w:tcPr>
          <w:p w14:paraId="3F95C5A7" w14:textId="77777777" w:rsidR="008C5CFA" w:rsidRPr="009C3005" w:rsidRDefault="00E82A60" w:rsidP="00300A01">
            <w:pPr>
              <w:pStyle w:val="Text1"/>
              <w:spacing w:before="0" w:after="0"/>
              <w:ind w:left="0"/>
              <w:rPr>
                <w:sz w:val="12"/>
                <w:szCs w:val="12"/>
              </w:rPr>
            </w:pPr>
            <w:r>
              <w:rPr>
                <w:noProof/>
                <w:sz w:val="12"/>
                <w:szCs w:val="12"/>
              </w:rPr>
              <w:t>19</w:t>
            </w:r>
          </w:p>
        </w:tc>
        <w:tc>
          <w:tcPr>
            <w:tcW w:w="0" w:type="auto"/>
            <w:shd w:val="clear" w:color="auto" w:fill="auto"/>
          </w:tcPr>
          <w:p w14:paraId="6FCC74A7" w14:textId="77777777" w:rsidR="008C5CFA" w:rsidRPr="009C3005" w:rsidRDefault="00E82A60" w:rsidP="00300A01">
            <w:pPr>
              <w:pStyle w:val="Text1"/>
              <w:spacing w:before="0" w:after="0"/>
              <w:ind w:left="0"/>
              <w:rPr>
                <w:sz w:val="12"/>
                <w:szCs w:val="12"/>
              </w:rPr>
            </w:pPr>
            <w:r>
              <w:rPr>
                <w:noProof/>
                <w:sz w:val="12"/>
                <w:szCs w:val="12"/>
              </w:rPr>
              <w:t>PL33</w:t>
            </w:r>
          </w:p>
        </w:tc>
        <w:tc>
          <w:tcPr>
            <w:tcW w:w="0" w:type="auto"/>
            <w:shd w:val="clear" w:color="auto" w:fill="auto"/>
          </w:tcPr>
          <w:p w14:paraId="11A41478" w14:textId="77777777" w:rsidR="008C5CFA" w:rsidRPr="009C3005" w:rsidRDefault="00E82A60" w:rsidP="00300A01">
            <w:pPr>
              <w:pStyle w:val="Text1"/>
              <w:spacing w:before="0" w:after="0"/>
              <w:ind w:left="0"/>
              <w:jc w:val="right"/>
              <w:rPr>
                <w:sz w:val="12"/>
                <w:szCs w:val="12"/>
              </w:rPr>
            </w:pPr>
            <w:r w:rsidRPr="009C3005">
              <w:rPr>
                <w:noProof/>
                <w:sz w:val="12"/>
                <w:szCs w:val="12"/>
              </w:rPr>
              <w:t>828 370,46</w:t>
            </w:r>
          </w:p>
        </w:tc>
        <w:tc>
          <w:tcPr>
            <w:tcW w:w="0" w:type="auto"/>
            <w:shd w:val="clear" w:color="auto" w:fill="auto"/>
          </w:tcPr>
          <w:p w14:paraId="5EB2055A" w14:textId="77777777" w:rsidR="008C5CFA" w:rsidRPr="009C3005" w:rsidRDefault="00E82A60" w:rsidP="00300A01">
            <w:pPr>
              <w:pStyle w:val="Text1"/>
              <w:spacing w:before="0" w:after="0"/>
              <w:ind w:left="0"/>
              <w:jc w:val="right"/>
              <w:rPr>
                <w:sz w:val="12"/>
                <w:szCs w:val="12"/>
              </w:rPr>
            </w:pPr>
            <w:r w:rsidRPr="009C3005">
              <w:rPr>
                <w:noProof/>
                <w:sz w:val="12"/>
                <w:szCs w:val="12"/>
              </w:rPr>
              <w:t>762 070,28</w:t>
            </w:r>
          </w:p>
        </w:tc>
        <w:tc>
          <w:tcPr>
            <w:tcW w:w="0" w:type="auto"/>
            <w:shd w:val="clear" w:color="auto" w:fill="auto"/>
          </w:tcPr>
          <w:p w14:paraId="6E842BA7" w14:textId="77777777" w:rsidR="008C5CFA" w:rsidRPr="009C3005" w:rsidRDefault="00E82A60" w:rsidP="00300A01">
            <w:pPr>
              <w:pStyle w:val="Text1"/>
              <w:spacing w:before="0" w:after="0"/>
              <w:ind w:left="0"/>
              <w:jc w:val="right"/>
              <w:rPr>
                <w:sz w:val="12"/>
                <w:szCs w:val="12"/>
              </w:rPr>
            </w:pPr>
            <w:r w:rsidRPr="009C3005">
              <w:rPr>
                <w:noProof/>
                <w:sz w:val="12"/>
                <w:szCs w:val="12"/>
              </w:rPr>
              <w:t>377 486,99</w:t>
            </w:r>
          </w:p>
        </w:tc>
        <w:tc>
          <w:tcPr>
            <w:tcW w:w="0" w:type="auto"/>
            <w:shd w:val="clear" w:color="auto" w:fill="auto"/>
          </w:tcPr>
          <w:p w14:paraId="5F8B9D54" w14:textId="77777777" w:rsidR="008C5CFA" w:rsidRPr="009C3005" w:rsidRDefault="00E82A60" w:rsidP="00300A01">
            <w:pPr>
              <w:pStyle w:val="Text1"/>
              <w:spacing w:before="0" w:after="0"/>
              <w:ind w:left="0"/>
              <w:jc w:val="right"/>
              <w:rPr>
                <w:sz w:val="12"/>
                <w:szCs w:val="12"/>
              </w:rPr>
            </w:pPr>
            <w:r w:rsidRPr="009C3005">
              <w:rPr>
                <w:noProof/>
                <w:sz w:val="12"/>
                <w:szCs w:val="12"/>
              </w:rPr>
              <w:t>6</w:t>
            </w:r>
          </w:p>
        </w:tc>
      </w:tr>
      <w:tr w:rsidR="006B2EC1" w14:paraId="37759D6A" w14:textId="77777777" w:rsidTr="0047688D">
        <w:tc>
          <w:tcPr>
            <w:tcW w:w="0" w:type="auto"/>
            <w:shd w:val="clear" w:color="auto" w:fill="auto"/>
          </w:tcPr>
          <w:p w14:paraId="74F8244C" w14:textId="77777777" w:rsidR="008C5CFA" w:rsidRPr="009C3005" w:rsidRDefault="00E82A60" w:rsidP="00300A01">
            <w:pPr>
              <w:pStyle w:val="Text1"/>
              <w:spacing w:before="0" w:after="0"/>
              <w:ind w:left="0"/>
              <w:rPr>
                <w:sz w:val="12"/>
                <w:szCs w:val="12"/>
              </w:rPr>
            </w:pPr>
            <w:r>
              <w:rPr>
                <w:noProof/>
                <w:sz w:val="14"/>
                <w:szCs w:val="14"/>
                <w:lang w:val="fr-BE"/>
              </w:rPr>
              <w:t>8</w:t>
            </w:r>
          </w:p>
        </w:tc>
        <w:tc>
          <w:tcPr>
            <w:tcW w:w="0" w:type="auto"/>
            <w:shd w:val="clear" w:color="auto" w:fill="auto"/>
          </w:tcPr>
          <w:p w14:paraId="6E9563BA" w14:textId="77777777" w:rsidR="008C5CFA" w:rsidRPr="009C3005" w:rsidRDefault="00E82A60" w:rsidP="00300A01">
            <w:pPr>
              <w:pStyle w:val="Text1"/>
              <w:spacing w:before="0" w:after="0"/>
              <w:ind w:left="0"/>
              <w:rPr>
                <w:sz w:val="12"/>
                <w:szCs w:val="12"/>
              </w:rPr>
            </w:pPr>
            <w:r>
              <w:rPr>
                <w:noProof/>
                <w:sz w:val="12"/>
                <w:szCs w:val="12"/>
              </w:rPr>
              <w:t>EFS</w:t>
            </w:r>
          </w:p>
        </w:tc>
        <w:tc>
          <w:tcPr>
            <w:tcW w:w="0" w:type="auto"/>
            <w:shd w:val="clear" w:color="auto" w:fill="auto"/>
          </w:tcPr>
          <w:p w14:paraId="741FDAF7" w14:textId="77777777" w:rsidR="008C5CFA" w:rsidRPr="009C3005" w:rsidRDefault="00E82A60" w:rsidP="00300A01">
            <w:pPr>
              <w:pStyle w:val="Text1"/>
              <w:spacing w:before="0" w:after="0"/>
              <w:ind w:left="0"/>
              <w:rPr>
                <w:sz w:val="12"/>
                <w:szCs w:val="12"/>
              </w:rPr>
            </w:pPr>
            <w:r>
              <w:rPr>
                <w:noProof/>
                <w:sz w:val="12"/>
                <w:szCs w:val="12"/>
              </w:rPr>
              <w:t>Słabiej rozwinięte</w:t>
            </w:r>
          </w:p>
        </w:tc>
        <w:tc>
          <w:tcPr>
            <w:tcW w:w="0" w:type="auto"/>
            <w:shd w:val="clear" w:color="auto" w:fill="auto"/>
          </w:tcPr>
          <w:p w14:paraId="05203470" w14:textId="77777777" w:rsidR="008C5CFA" w:rsidRPr="009C3005" w:rsidRDefault="00E82A60" w:rsidP="00300A01">
            <w:pPr>
              <w:pStyle w:val="Text1"/>
              <w:spacing w:before="0" w:after="0"/>
              <w:ind w:left="0"/>
              <w:rPr>
                <w:sz w:val="12"/>
                <w:szCs w:val="12"/>
              </w:rPr>
            </w:pPr>
            <w:r>
              <w:rPr>
                <w:noProof/>
                <w:sz w:val="12"/>
                <w:szCs w:val="12"/>
              </w:rPr>
              <w:t>118</w:t>
            </w:r>
          </w:p>
        </w:tc>
        <w:tc>
          <w:tcPr>
            <w:tcW w:w="0" w:type="auto"/>
            <w:shd w:val="clear" w:color="auto" w:fill="auto"/>
          </w:tcPr>
          <w:p w14:paraId="3F886628"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6EC3F295"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6E3E271A"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616EFCB7" w14:textId="77777777" w:rsidR="008C5CFA" w:rsidRPr="009C3005" w:rsidRDefault="008C5CFA" w:rsidP="00300A01">
            <w:pPr>
              <w:pStyle w:val="Text1"/>
              <w:spacing w:before="0" w:after="0"/>
              <w:ind w:left="0"/>
              <w:rPr>
                <w:sz w:val="12"/>
                <w:szCs w:val="12"/>
              </w:rPr>
            </w:pPr>
          </w:p>
        </w:tc>
        <w:tc>
          <w:tcPr>
            <w:tcW w:w="0" w:type="auto"/>
            <w:shd w:val="clear" w:color="auto" w:fill="auto"/>
          </w:tcPr>
          <w:p w14:paraId="79E1E473" w14:textId="77777777" w:rsidR="008C5CFA" w:rsidRPr="009C3005" w:rsidRDefault="00E82A60" w:rsidP="00300A01">
            <w:pPr>
              <w:pStyle w:val="Text1"/>
              <w:spacing w:before="0" w:after="0"/>
              <w:ind w:left="0"/>
              <w:rPr>
                <w:sz w:val="12"/>
                <w:szCs w:val="12"/>
              </w:rPr>
            </w:pPr>
            <w:r>
              <w:rPr>
                <w:noProof/>
                <w:sz w:val="12"/>
                <w:szCs w:val="12"/>
              </w:rPr>
              <w:t>08</w:t>
            </w:r>
            <w:r>
              <w:rPr>
                <w:sz w:val="12"/>
                <w:szCs w:val="12"/>
              </w:rPr>
              <w:t xml:space="preserve"> </w:t>
            </w:r>
          </w:p>
        </w:tc>
        <w:tc>
          <w:tcPr>
            <w:tcW w:w="0" w:type="auto"/>
            <w:shd w:val="clear" w:color="auto" w:fill="auto"/>
          </w:tcPr>
          <w:p w14:paraId="6A060629" w14:textId="77777777" w:rsidR="008C5CFA" w:rsidRPr="009C3005" w:rsidRDefault="00E82A60" w:rsidP="00300A01">
            <w:pPr>
              <w:pStyle w:val="Text1"/>
              <w:spacing w:before="0" w:after="0"/>
              <w:ind w:left="0"/>
              <w:rPr>
                <w:sz w:val="12"/>
                <w:szCs w:val="12"/>
              </w:rPr>
            </w:pPr>
            <w:r>
              <w:rPr>
                <w:noProof/>
                <w:sz w:val="12"/>
                <w:szCs w:val="12"/>
              </w:rPr>
              <w:t>08</w:t>
            </w:r>
          </w:p>
        </w:tc>
        <w:tc>
          <w:tcPr>
            <w:tcW w:w="0" w:type="auto"/>
            <w:shd w:val="clear" w:color="auto" w:fill="auto"/>
          </w:tcPr>
          <w:p w14:paraId="042752CD" w14:textId="77777777" w:rsidR="008C5CFA" w:rsidRPr="009C3005" w:rsidRDefault="00E82A60" w:rsidP="00300A01">
            <w:pPr>
              <w:pStyle w:val="Text1"/>
              <w:spacing w:before="0" w:after="0"/>
              <w:ind w:left="0"/>
              <w:rPr>
                <w:sz w:val="12"/>
                <w:szCs w:val="12"/>
              </w:rPr>
            </w:pPr>
            <w:r>
              <w:rPr>
                <w:noProof/>
                <w:sz w:val="12"/>
                <w:szCs w:val="12"/>
              </w:rPr>
              <w:t>PL33</w:t>
            </w:r>
          </w:p>
        </w:tc>
        <w:tc>
          <w:tcPr>
            <w:tcW w:w="0" w:type="auto"/>
            <w:shd w:val="clear" w:color="auto" w:fill="auto"/>
          </w:tcPr>
          <w:p w14:paraId="73A03845" w14:textId="77777777" w:rsidR="008C5CFA" w:rsidRPr="009C3005" w:rsidRDefault="00E82A60" w:rsidP="00300A01">
            <w:pPr>
              <w:pStyle w:val="Text1"/>
              <w:spacing w:before="0" w:after="0"/>
              <w:ind w:left="0"/>
              <w:jc w:val="right"/>
              <w:rPr>
                <w:sz w:val="12"/>
                <w:szCs w:val="12"/>
              </w:rPr>
            </w:pPr>
            <w:r w:rsidRPr="009C3005">
              <w:rPr>
                <w:noProof/>
                <w:sz w:val="12"/>
                <w:szCs w:val="12"/>
              </w:rPr>
              <w:t>112 256,85</w:t>
            </w:r>
          </w:p>
        </w:tc>
        <w:tc>
          <w:tcPr>
            <w:tcW w:w="0" w:type="auto"/>
            <w:shd w:val="clear" w:color="auto" w:fill="auto"/>
          </w:tcPr>
          <w:p w14:paraId="649B98F0" w14:textId="77777777" w:rsidR="008C5CFA" w:rsidRPr="009C3005" w:rsidRDefault="00E82A60" w:rsidP="00300A01">
            <w:pPr>
              <w:pStyle w:val="Text1"/>
              <w:spacing w:before="0" w:after="0"/>
              <w:ind w:left="0"/>
              <w:jc w:val="right"/>
              <w:rPr>
                <w:sz w:val="12"/>
                <w:szCs w:val="12"/>
              </w:rPr>
            </w:pPr>
            <w:r w:rsidRPr="009C3005">
              <w:rPr>
                <w:noProof/>
                <w:sz w:val="12"/>
                <w:szCs w:val="12"/>
              </w:rPr>
              <w:t>97 663,46</w:t>
            </w:r>
          </w:p>
        </w:tc>
        <w:tc>
          <w:tcPr>
            <w:tcW w:w="0" w:type="auto"/>
            <w:shd w:val="clear" w:color="auto" w:fill="auto"/>
          </w:tcPr>
          <w:p w14:paraId="4047225A" w14:textId="77777777" w:rsidR="008C5CFA" w:rsidRPr="009C3005" w:rsidRDefault="00E82A60" w:rsidP="00300A01">
            <w:pPr>
              <w:pStyle w:val="Text1"/>
              <w:spacing w:before="0" w:after="0"/>
              <w:ind w:left="0"/>
              <w:jc w:val="right"/>
              <w:rPr>
                <w:sz w:val="12"/>
                <w:szCs w:val="12"/>
              </w:rPr>
            </w:pPr>
            <w:r w:rsidRPr="009C3005">
              <w:rPr>
                <w:noProof/>
                <w:sz w:val="12"/>
                <w:szCs w:val="12"/>
              </w:rPr>
              <w:t>0,00</w:t>
            </w:r>
          </w:p>
        </w:tc>
        <w:tc>
          <w:tcPr>
            <w:tcW w:w="0" w:type="auto"/>
            <w:shd w:val="clear" w:color="auto" w:fill="auto"/>
          </w:tcPr>
          <w:p w14:paraId="03FDB782" w14:textId="77777777" w:rsidR="008C5CFA" w:rsidRPr="009C3005" w:rsidRDefault="00E82A60" w:rsidP="00300A01">
            <w:pPr>
              <w:pStyle w:val="Text1"/>
              <w:spacing w:before="0" w:after="0"/>
              <w:ind w:left="0"/>
              <w:jc w:val="right"/>
              <w:rPr>
                <w:sz w:val="12"/>
                <w:szCs w:val="12"/>
              </w:rPr>
            </w:pPr>
            <w:r w:rsidRPr="009C3005">
              <w:rPr>
                <w:noProof/>
                <w:sz w:val="12"/>
                <w:szCs w:val="12"/>
              </w:rPr>
              <w:t>1</w:t>
            </w:r>
          </w:p>
        </w:tc>
      </w:tr>
      <w:tr w:rsidR="006B2EC1" w14:paraId="0D44EBC0" w14:textId="77777777" w:rsidTr="0047688D">
        <w:tc>
          <w:tcPr>
            <w:tcW w:w="0" w:type="auto"/>
            <w:shd w:val="clear" w:color="auto" w:fill="auto"/>
          </w:tcPr>
          <w:p w14:paraId="3624C546" w14:textId="77777777" w:rsidR="008C5CFA" w:rsidRPr="009C3005" w:rsidRDefault="00E82A60" w:rsidP="00300A01">
            <w:pPr>
              <w:pStyle w:val="Text1"/>
              <w:spacing w:before="0" w:after="0"/>
              <w:ind w:left="0"/>
              <w:rPr>
                <w:sz w:val="12"/>
                <w:szCs w:val="12"/>
              </w:rPr>
            </w:pPr>
            <w:r>
              <w:rPr>
                <w:noProof/>
                <w:sz w:val="14"/>
                <w:szCs w:val="14"/>
                <w:lang w:val="fr-BE"/>
              </w:rPr>
              <w:t>8</w:t>
            </w:r>
          </w:p>
        </w:tc>
        <w:tc>
          <w:tcPr>
            <w:tcW w:w="0" w:type="auto"/>
            <w:shd w:val="clear" w:color="auto" w:fill="auto"/>
          </w:tcPr>
          <w:p w14:paraId="3BB0D922" w14:textId="77777777" w:rsidR="008C5CFA" w:rsidRPr="009C3005" w:rsidRDefault="00E82A60" w:rsidP="00300A01">
            <w:pPr>
              <w:pStyle w:val="Text1"/>
              <w:spacing w:before="0" w:after="0"/>
              <w:ind w:left="0"/>
              <w:rPr>
                <w:sz w:val="12"/>
                <w:szCs w:val="12"/>
              </w:rPr>
            </w:pPr>
            <w:r>
              <w:rPr>
                <w:noProof/>
                <w:sz w:val="12"/>
                <w:szCs w:val="12"/>
              </w:rPr>
              <w:t>EFS</w:t>
            </w:r>
          </w:p>
        </w:tc>
        <w:tc>
          <w:tcPr>
            <w:tcW w:w="0" w:type="auto"/>
            <w:shd w:val="clear" w:color="auto" w:fill="auto"/>
          </w:tcPr>
          <w:p w14:paraId="0A86CADE" w14:textId="77777777" w:rsidR="008C5CFA" w:rsidRPr="009C3005" w:rsidRDefault="00E82A60" w:rsidP="00300A01">
            <w:pPr>
              <w:pStyle w:val="Text1"/>
              <w:spacing w:before="0" w:after="0"/>
              <w:ind w:left="0"/>
              <w:rPr>
                <w:sz w:val="12"/>
                <w:szCs w:val="12"/>
              </w:rPr>
            </w:pPr>
            <w:r>
              <w:rPr>
                <w:noProof/>
                <w:sz w:val="12"/>
                <w:szCs w:val="12"/>
              </w:rPr>
              <w:t>Słabiej rozwinięte</w:t>
            </w:r>
          </w:p>
        </w:tc>
        <w:tc>
          <w:tcPr>
            <w:tcW w:w="0" w:type="auto"/>
            <w:shd w:val="clear" w:color="auto" w:fill="auto"/>
          </w:tcPr>
          <w:p w14:paraId="70214E22" w14:textId="77777777" w:rsidR="008C5CFA" w:rsidRPr="009C3005" w:rsidRDefault="00E82A60" w:rsidP="00300A01">
            <w:pPr>
              <w:pStyle w:val="Text1"/>
              <w:spacing w:before="0" w:after="0"/>
              <w:ind w:left="0"/>
              <w:rPr>
                <w:sz w:val="12"/>
                <w:szCs w:val="12"/>
              </w:rPr>
            </w:pPr>
            <w:r>
              <w:rPr>
                <w:noProof/>
                <w:sz w:val="12"/>
                <w:szCs w:val="12"/>
              </w:rPr>
              <w:t>118</w:t>
            </w:r>
          </w:p>
        </w:tc>
        <w:tc>
          <w:tcPr>
            <w:tcW w:w="0" w:type="auto"/>
            <w:shd w:val="clear" w:color="auto" w:fill="auto"/>
          </w:tcPr>
          <w:p w14:paraId="48BF63FD"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716BC1A4"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4DF09D86"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22D7FBB8" w14:textId="77777777" w:rsidR="008C5CFA" w:rsidRPr="009C3005" w:rsidRDefault="008C5CFA" w:rsidP="00300A01">
            <w:pPr>
              <w:pStyle w:val="Text1"/>
              <w:spacing w:before="0" w:after="0"/>
              <w:ind w:left="0"/>
              <w:rPr>
                <w:sz w:val="12"/>
                <w:szCs w:val="12"/>
              </w:rPr>
            </w:pPr>
          </w:p>
        </w:tc>
        <w:tc>
          <w:tcPr>
            <w:tcW w:w="0" w:type="auto"/>
            <w:shd w:val="clear" w:color="auto" w:fill="auto"/>
          </w:tcPr>
          <w:p w14:paraId="52E073BF" w14:textId="77777777" w:rsidR="008C5CFA" w:rsidRPr="009C3005" w:rsidRDefault="00E82A60" w:rsidP="00300A01">
            <w:pPr>
              <w:pStyle w:val="Text1"/>
              <w:spacing w:before="0" w:after="0"/>
              <w:ind w:left="0"/>
              <w:rPr>
                <w:sz w:val="12"/>
                <w:szCs w:val="12"/>
              </w:rPr>
            </w:pPr>
            <w:r>
              <w:rPr>
                <w:noProof/>
                <w:sz w:val="12"/>
                <w:szCs w:val="12"/>
              </w:rPr>
              <w:t>08</w:t>
            </w:r>
            <w:r>
              <w:rPr>
                <w:sz w:val="12"/>
                <w:szCs w:val="12"/>
              </w:rPr>
              <w:t xml:space="preserve"> </w:t>
            </w:r>
          </w:p>
        </w:tc>
        <w:tc>
          <w:tcPr>
            <w:tcW w:w="0" w:type="auto"/>
            <w:shd w:val="clear" w:color="auto" w:fill="auto"/>
          </w:tcPr>
          <w:p w14:paraId="07C53F2E" w14:textId="77777777" w:rsidR="008C5CFA" w:rsidRPr="009C3005" w:rsidRDefault="00E82A60" w:rsidP="00300A01">
            <w:pPr>
              <w:pStyle w:val="Text1"/>
              <w:spacing w:before="0" w:after="0"/>
              <w:ind w:left="0"/>
              <w:rPr>
                <w:sz w:val="12"/>
                <w:szCs w:val="12"/>
              </w:rPr>
            </w:pPr>
            <w:r>
              <w:rPr>
                <w:noProof/>
                <w:sz w:val="12"/>
                <w:szCs w:val="12"/>
              </w:rPr>
              <w:t>15</w:t>
            </w:r>
          </w:p>
        </w:tc>
        <w:tc>
          <w:tcPr>
            <w:tcW w:w="0" w:type="auto"/>
            <w:shd w:val="clear" w:color="auto" w:fill="auto"/>
          </w:tcPr>
          <w:p w14:paraId="3515848E" w14:textId="77777777" w:rsidR="008C5CFA" w:rsidRPr="009C3005" w:rsidRDefault="00E82A60" w:rsidP="00300A01">
            <w:pPr>
              <w:pStyle w:val="Text1"/>
              <w:spacing w:before="0" w:after="0"/>
              <w:ind w:left="0"/>
              <w:rPr>
                <w:sz w:val="12"/>
                <w:szCs w:val="12"/>
              </w:rPr>
            </w:pPr>
            <w:r>
              <w:rPr>
                <w:noProof/>
                <w:sz w:val="12"/>
                <w:szCs w:val="12"/>
              </w:rPr>
              <w:t>PL33</w:t>
            </w:r>
          </w:p>
        </w:tc>
        <w:tc>
          <w:tcPr>
            <w:tcW w:w="0" w:type="auto"/>
            <w:shd w:val="clear" w:color="auto" w:fill="auto"/>
          </w:tcPr>
          <w:p w14:paraId="158B01F2" w14:textId="77777777" w:rsidR="008C5CFA" w:rsidRPr="009C3005" w:rsidRDefault="00E82A60" w:rsidP="00300A01">
            <w:pPr>
              <w:pStyle w:val="Text1"/>
              <w:spacing w:before="0" w:after="0"/>
              <w:ind w:left="0"/>
              <w:jc w:val="right"/>
              <w:rPr>
                <w:sz w:val="12"/>
                <w:szCs w:val="12"/>
              </w:rPr>
            </w:pPr>
            <w:r w:rsidRPr="009C3005">
              <w:rPr>
                <w:noProof/>
                <w:sz w:val="12"/>
                <w:szCs w:val="12"/>
              </w:rPr>
              <w:t>2 627 371,27</w:t>
            </w:r>
          </w:p>
        </w:tc>
        <w:tc>
          <w:tcPr>
            <w:tcW w:w="0" w:type="auto"/>
            <w:shd w:val="clear" w:color="auto" w:fill="auto"/>
          </w:tcPr>
          <w:p w14:paraId="10D669E6" w14:textId="77777777" w:rsidR="008C5CFA" w:rsidRPr="009C3005" w:rsidRDefault="00E82A60" w:rsidP="00300A01">
            <w:pPr>
              <w:pStyle w:val="Text1"/>
              <w:spacing w:before="0" w:after="0"/>
              <w:ind w:left="0"/>
              <w:jc w:val="right"/>
              <w:rPr>
                <w:sz w:val="12"/>
                <w:szCs w:val="12"/>
              </w:rPr>
            </w:pPr>
            <w:r w:rsidRPr="009C3005">
              <w:rPr>
                <w:noProof/>
                <w:sz w:val="12"/>
                <w:szCs w:val="12"/>
              </w:rPr>
              <w:t>2 591 404,44</w:t>
            </w:r>
          </w:p>
        </w:tc>
        <w:tc>
          <w:tcPr>
            <w:tcW w:w="0" w:type="auto"/>
            <w:shd w:val="clear" w:color="auto" w:fill="auto"/>
          </w:tcPr>
          <w:p w14:paraId="0CA94CE3" w14:textId="77777777" w:rsidR="008C5CFA" w:rsidRPr="009C3005" w:rsidRDefault="00E82A60" w:rsidP="00300A01">
            <w:pPr>
              <w:pStyle w:val="Text1"/>
              <w:spacing w:before="0" w:after="0"/>
              <w:ind w:left="0"/>
              <w:jc w:val="right"/>
              <w:rPr>
                <w:sz w:val="12"/>
                <w:szCs w:val="12"/>
              </w:rPr>
            </w:pPr>
            <w:r w:rsidRPr="009C3005">
              <w:rPr>
                <w:noProof/>
                <w:sz w:val="12"/>
                <w:szCs w:val="12"/>
              </w:rPr>
              <w:t>2 051 455,06</w:t>
            </w:r>
          </w:p>
        </w:tc>
        <w:tc>
          <w:tcPr>
            <w:tcW w:w="0" w:type="auto"/>
            <w:shd w:val="clear" w:color="auto" w:fill="auto"/>
          </w:tcPr>
          <w:p w14:paraId="55F75A02" w14:textId="77777777" w:rsidR="008C5CFA" w:rsidRPr="009C3005" w:rsidRDefault="00E82A60" w:rsidP="00300A01">
            <w:pPr>
              <w:pStyle w:val="Text1"/>
              <w:spacing w:before="0" w:after="0"/>
              <w:ind w:left="0"/>
              <w:jc w:val="right"/>
              <w:rPr>
                <w:sz w:val="12"/>
                <w:szCs w:val="12"/>
              </w:rPr>
            </w:pPr>
            <w:r w:rsidRPr="009C3005">
              <w:rPr>
                <w:noProof/>
                <w:sz w:val="12"/>
                <w:szCs w:val="12"/>
              </w:rPr>
              <w:t>5</w:t>
            </w:r>
          </w:p>
        </w:tc>
      </w:tr>
      <w:tr w:rsidR="006B2EC1" w14:paraId="3F0BDC24" w14:textId="77777777" w:rsidTr="0047688D">
        <w:tc>
          <w:tcPr>
            <w:tcW w:w="0" w:type="auto"/>
            <w:shd w:val="clear" w:color="auto" w:fill="auto"/>
          </w:tcPr>
          <w:p w14:paraId="2814E33E" w14:textId="77777777" w:rsidR="008C5CFA" w:rsidRPr="009C3005" w:rsidRDefault="00E82A60" w:rsidP="00300A01">
            <w:pPr>
              <w:pStyle w:val="Text1"/>
              <w:spacing w:before="0" w:after="0"/>
              <w:ind w:left="0"/>
              <w:rPr>
                <w:sz w:val="12"/>
                <w:szCs w:val="12"/>
              </w:rPr>
            </w:pPr>
            <w:r>
              <w:rPr>
                <w:noProof/>
                <w:sz w:val="14"/>
                <w:szCs w:val="14"/>
                <w:lang w:val="fr-BE"/>
              </w:rPr>
              <w:t>8</w:t>
            </w:r>
          </w:p>
        </w:tc>
        <w:tc>
          <w:tcPr>
            <w:tcW w:w="0" w:type="auto"/>
            <w:shd w:val="clear" w:color="auto" w:fill="auto"/>
          </w:tcPr>
          <w:p w14:paraId="445E87BB" w14:textId="77777777" w:rsidR="008C5CFA" w:rsidRPr="009C3005" w:rsidRDefault="00E82A60" w:rsidP="00300A01">
            <w:pPr>
              <w:pStyle w:val="Text1"/>
              <w:spacing w:before="0" w:after="0"/>
              <w:ind w:left="0"/>
              <w:rPr>
                <w:sz w:val="12"/>
                <w:szCs w:val="12"/>
              </w:rPr>
            </w:pPr>
            <w:r>
              <w:rPr>
                <w:noProof/>
                <w:sz w:val="12"/>
                <w:szCs w:val="12"/>
              </w:rPr>
              <w:t>EFS</w:t>
            </w:r>
          </w:p>
        </w:tc>
        <w:tc>
          <w:tcPr>
            <w:tcW w:w="0" w:type="auto"/>
            <w:shd w:val="clear" w:color="auto" w:fill="auto"/>
          </w:tcPr>
          <w:p w14:paraId="7989F256" w14:textId="77777777" w:rsidR="008C5CFA" w:rsidRPr="009C3005" w:rsidRDefault="00E82A60" w:rsidP="00300A01">
            <w:pPr>
              <w:pStyle w:val="Text1"/>
              <w:spacing w:before="0" w:after="0"/>
              <w:ind w:left="0"/>
              <w:rPr>
                <w:sz w:val="12"/>
                <w:szCs w:val="12"/>
              </w:rPr>
            </w:pPr>
            <w:r>
              <w:rPr>
                <w:noProof/>
                <w:sz w:val="12"/>
                <w:szCs w:val="12"/>
              </w:rPr>
              <w:t>Słabiej rozwinięte</w:t>
            </w:r>
          </w:p>
        </w:tc>
        <w:tc>
          <w:tcPr>
            <w:tcW w:w="0" w:type="auto"/>
            <w:shd w:val="clear" w:color="auto" w:fill="auto"/>
          </w:tcPr>
          <w:p w14:paraId="3C22D28A" w14:textId="77777777" w:rsidR="008C5CFA" w:rsidRPr="009C3005" w:rsidRDefault="00E82A60" w:rsidP="00300A01">
            <w:pPr>
              <w:pStyle w:val="Text1"/>
              <w:spacing w:before="0" w:after="0"/>
              <w:ind w:left="0"/>
              <w:rPr>
                <w:sz w:val="12"/>
                <w:szCs w:val="12"/>
              </w:rPr>
            </w:pPr>
            <w:r>
              <w:rPr>
                <w:noProof/>
                <w:sz w:val="12"/>
                <w:szCs w:val="12"/>
              </w:rPr>
              <w:t>118</w:t>
            </w:r>
          </w:p>
        </w:tc>
        <w:tc>
          <w:tcPr>
            <w:tcW w:w="0" w:type="auto"/>
            <w:shd w:val="clear" w:color="auto" w:fill="auto"/>
          </w:tcPr>
          <w:p w14:paraId="1EF3D75E"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0B9A05D2"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2EDE0682"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16AC6C11" w14:textId="77777777" w:rsidR="008C5CFA" w:rsidRPr="009C3005" w:rsidRDefault="008C5CFA" w:rsidP="00300A01">
            <w:pPr>
              <w:pStyle w:val="Text1"/>
              <w:spacing w:before="0" w:after="0"/>
              <w:ind w:left="0"/>
              <w:rPr>
                <w:sz w:val="12"/>
                <w:szCs w:val="12"/>
              </w:rPr>
            </w:pPr>
          </w:p>
        </w:tc>
        <w:tc>
          <w:tcPr>
            <w:tcW w:w="0" w:type="auto"/>
            <w:shd w:val="clear" w:color="auto" w:fill="auto"/>
          </w:tcPr>
          <w:p w14:paraId="6FBA7C8C" w14:textId="77777777" w:rsidR="008C5CFA" w:rsidRPr="009C3005" w:rsidRDefault="00E82A60" w:rsidP="00300A01">
            <w:pPr>
              <w:pStyle w:val="Text1"/>
              <w:spacing w:before="0" w:after="0"/>
              <w:ind w:left="0"/>
              <w:rPr>
                <w:sz w:val="12"/>
                <w:szCs w:val="12"/>
              </w:rPr>
            </w:pPr>
            <w:r>
              <w:rPr>
                <w:noProof/>
                <w:sz w:val="12"/>
                <w:szCs w:val="12"/>
              </w:rPr>
              <w:t>08</w:t>
            </w:r>
            <w:r>
              <w:rPr>
                <w:sz w:val="12"/>
                <w:szCs w:val="12"/>
              </w:rPr>
              <w:t xml:space="preserve"> </w:t>
            </w:r>
          </w:p>
        </w:tc>
        <w:tc>
          <w:tcPr>
            <w:tcW w:w="0" w:type="auto"/>
            <w:shd w:val="clear" w:color="auto" w:fill="auto"/>
          </w:tcPr>
          <w:p w14:paraId="604905C9" w14:textId="77777777" w:rsidR="008C5CFA" w:rsidRPr="009C3005" w:rsidRDefault="00E82A60" w:rsidP="00300A01">
            <w:pPr>
              <w:pStyle w:val="Text1"/>
              <w:spacing w:before="0" w:after="0"/>
              <w:ind w:left="0"/>
              <w:rPr>
                <w:sz w:val="12"/>
                <w:szCs w:val="12"/>
              </w:rPr>
            </w:pPr>
            <w:r>
              <w:rPr>
                <w:noProof/>
                <w:sz w:val="12"/>
                <w:szCs w:val="12"/>
              </w:rPr>
              <w:t>18</w:t>
            </w:r>
          </w:p>
        </w:tc>
        <w:tc>
          <w:tcPr>
            <w:tcW w:w="0" w:type="auto"/>
            <w:shd w:val="clear" w:color="auto" w:fill="auto"/>
          </w:tcPr>
          <w:p w14:paraId="6C6FE4D5" w14:textId="77777777" w:rsidR="008C5CFA" w:rsidRPr="009C3005" w:rsidRDefault="00E82A60" w:rsidP="00300A01">
            <w:pPr>
              <w:pStyle w:val="Text1"/>
              <w:spacing w:before="0" w:after="0"/>
              <w:ind w:left="0"/>
              <w:rPr>
                <w:sz w:val="12"/>
                <w:szCs w:val="12"/>
              </w:rPr>
            </w:pPr>
            <w:r>
              <w:rPr>
                <w:noProof/>
                <w:sz w:val="12"/>
                <w:szCs w:val="12"/>
              </w:rPr>
              <w:t>PL33</w:t>
            </w:r>
          </w:p>
        </w:tc>
        <w:tc>
          <w:tcPr>
            <w:tcW w:w="0" w:type="auto"/>
            <w:shd w:val="clear" w:color="auto" w:fill="auto"/>
          </w:tcPr>
          <w:p w14:paraId="1BAAA00A" w14:textId="77777777" w:rsidR="008C5CFA" w:rsidRPr="009C3005" w:rsidRDefault="00E82A60" w:rsidP="00300A01">
            <w:pPr>
              <w:pStyle w:val="Text1"/>
              <w:spacing w:before="0" w:after="0"/>
              <w:ind w:left="0"/>
              <w:jc w:val="right"/>
              <w:rPr>
                <w:sz w:val="12"/>
                <w:szCs w:val="12"/>
              </w:rPr>
            </w:pPr>
            <w:r w:rsidRPr="009C3005">
              <w:rPr>
                <w:noProof/>
                <w:sz w:val="12"/>
                <w:szCs w:val="12"/>
              </w:rPr>
              <w:t>5 683 001,87</w:t>
            </w:r>
          </w:p>
        </w:tc>
        <w:tc>
          <w:tcPr>
            <w:tcW w:w="0" w:type="auto"/>
            <w:shd w:val="clear" w:color="auto" w:fill="auto"/>
          </w:tcPr>
          <w:p w14:paraId="7BCA5F65" w14:textId="77777777" w:rsidR="008C5CFA" w:rsidRPr="009C3005" w:rsidRDefault="00E82A60" w:rsidP="00300A01">
            <w:pPr>
              <w:pStyle w:val="Text1"/>
              <w:spacing w:before="0" w:after="0"/>
              <w:ind w:left="0"/>
              <w:jc w:val="right"/>
              <w:rPr>
                <w:sz w:val="12"/>
                <w:szCs w:val="12"/>
              </w:rPr>
            </w:pPr>
            <w:r w:rsidRPr="009C3005">
              <w:rPr>
                <w:noProof/>
                <w:sz w:val="12"/>
                <w:szCs w:val="12"/>
              </w:rPr>
              <w:t>5 632 352,30</w:t>
            </w:r>
          </w:p>
        </w:tc>
        <w:tc>
          <w:tcPr>
            <w:tcW w:w="0" w:type="auto"/>
            <w:shd w:val="clear" w:color="auto" w:fill="auto"/>
          </w:tcPr>
          <w:p w14:paraId="1DBA95A3" w14:textId="77777777" w:rsidR="008C5CFA" w:rsidRPr="009C3005" w:rsidRDefault="00E82A60" w:rsidP="00300A01">
            <w:pPr>
              <w:pStyle w:val="Text1"/>
              <w:spacing w:before="0" w:after="0"/>
              <w:ind w:left="0"/>
              <w:jc w:val="right"/>
              <w:rPr>
                <w:sz w:val="12"/>
                <w:szCs w:val="12"/>
              </w:rPr>
            </w:pPr>
            <w:r w:rsidRPr="009C3005">
              <w:rPr>
                <w:noProof/>
                <w:sz w:val="12"/>
                <w:szCs w:val="12"/>
              </w:rPr>
              <w:t>4 246 686,68</w:t>
            </w:r>
          </w:p>
        </w:tc>
        <w:tc>
          <w:tcPr>
            <w:tcW w:w="0" w:type="auto"/>
            <w:shd w:val="clear" w:color="auto" w:fill="auto"/>
          </w:tcPr>
          <w:p w14:paraId="1A0B5014" w14:textId="77777777" w:rsidR="008C5CFA" w:rsidRPr="009C3005" w:rsidRDefault="00E82A60" w:rsidP="00300A01">
            <w:pPr>
              <w:pStyle w:val="Text1"/>
              <w:spacing w:before="0" w:after="0"/>
              <w:ind w:left="0"/>
              <w:jc w:val="right"/>
              <w:rPr>
                <w:sz w:val="12"/>
                <w:szCs w:val="12"/>
              </w:rPr>
            </w:pPr>
            <w:r w:rsidRPr="009C3005">
              <w:rPr>
                <w:noProof/>
                <w:sz w:val="12"/>
                <w:szCs w:val="12"/>
              </w:rPr>
              <w:t>7</w:t>
            </w:r>
          </w:p>
        </w:tc>
      </w:tr>
      <w:tr w:rsidR="006B2EC1" w14:paraId="5E8DA63C" w14:textId="77777777" w:rsidTr="0047688D">
        <w:tc>
          <w:tcPr>
            <w:tcW w:w="0" w:type="auto"/>
            <w:shd w:val="clear" w:color="auto" w:fill="auto"/>
          </w:tcPr>
          <w:p w14:paraId="450938DB" w14:textId="77777777" w:rsidR="008C5CFA" w:rsidRPr="009C3005" w:rsidRDefault="00E82A60" w:rsidP="00300A01">
            <w:pPr>
              <w:pStyle w:val="Text1"/>
              <w:spacing w:before="0" w:after="0"/>
              <w:ind w:left="0"/>
              <w:rPr>
                <w:sz w:val="12"/>
                <w:szCs w:val="12"/>
              </w:rPr>
            </w:pPr>
            <w:r>
              <w:rPr>
                <w:noProof/>
                <w:sz w:val="14"/>
                <w:szCs w:val="14"/>
                <w:lang w:val="fr-BE"/>
              </w:rPr>
              <w:t>8</w:t>
            </w:r>
          </w:p>
        </w:tc>
        <w:tc>
          <w:tcPr>
            <w:tcW w:w="0" w:type="auto"/>
            <w:shd w:val="clear" w:color="auto" w:fill="auto"/>
          </w:tcPr>
          <w:p w14:paraId="0DD6F2FE" w14:textId="77777777" w:rsidR="008C5CFA" w:rsidRPr="009C3005" w:rsidRDefault="00E82A60" w:rsidP="00300A01">
            <w:pPr>
              <w:pStyle w:val="Text1"/>
              <w:spacing w:before="0" w:after="0"/>
              <w:ind w:left="0"/>
              <w:rPr>
                <w:sz w:val="12"/>
                <w:szCs w:val="12"/>
              </w:rPr>
            </w:pPr>
            <w:r>
              <w:rPr>
                <w:noProof/>
                <w:sz w:val="12"/>
                <w:szCs w:val="12"/>
              </w:rPr>
              <w:t>EFS</w:t>
            </w:r>
          </w:p>
        </w:tc>
        <w:tc>
          <w:tcPr>
            <w:tcW w:w="0" w:type="auto"/>
            <w:shd w:val="clear" w:color="auto" w:fill="auto"/>
          </w:tcPr>
          <w:p w14:paraId="0A34AE0D" w14:textId="77777777" w:rsidR="008C5CFA" w:rsidRPr="009C3005" w:rsidRDefault="00E82A60" w:rsidP="00300A01">
            <w:pPr>
              <w:pStyle w:val="Text1"/>
              <w:spacing w:before="0" w:after="0"/>
              <w:ind w:left="0"/>
              <w:rPr>
                <w:sz w:val="12"/>
                <w:szCs w:val="12"/>
              </w:rPr>
            </w:pPr>
            <w:r>
              <w:rPr>
                <w:noProof/>
                <w:sz w:val="12"/>
                <w:szCs w:val="12"/>
              </w:rPr>
              <w:t>Słabiej rozwinięte</w:t>
            </w:r>
          </w:p>
        </w:tc>
        <w:tc>
          <w:tcPr>
            <w:tcW w:w="0" w:type="auto"/>
            <w:shd w:val="clear" w:color="auto" w:fill="auto"/>
          </w:tcPr>
          <w:p w14:paraId="2205EFE8" w14:textId="77777777" w:rsidR="008C5CFA" w:rsidRPr="009C3005" w:rsidRDefault="00E82A60" w:rsidP="00300A01">
            <w:pPr>
              <w:pStyle w:val="Text1"/>
              <w:spacing w:before="0" w:after="0"/>
              <w:ind w:left="0"/>
              <w:rPr>
                <w:sz w:val="12"/>
                <w:szCs w:val="12"/>
              </w:rPr>
            </w:pPr>
            <w:r>
              <w:rPr>
                <w:noProof/>
                <w:sz w:val="12"/>
                <w:szCs w:val="12"/>
              </w:rPr>
              <w:t>118</w:t>
            </w:r>
          </w:p>
        </w:tc>
        <w:tc>
          <w:tcPr>
            <w:tcW w:w="0" w:type="auto"/>
            <w:shd w:val="clear" w:color="auto" w:fill="auto"/>
          </w:tcPr>
          <w:p w14:paraId="58D1602F"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7363E129"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59C1C5EC"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79D2DB74" w14:textId="77777777" w:rsidR="008C5CFA" w:rsidRPr="009C3005" w:rsidRDefault="008C5CFA" w:rsidP="00300A01">
            <w:pPr>
              <w:pStyle w:val="Text1"/>
              <w:spacing w:before="0" w:after="0"/>
              <w:ind w:left="0"/>
              <w:rPr>
                <w:sz w:val="12"/>
                <w:szCs w:val="12"/>
              </w:rPr>
            </w:pPr>
          </w:p>
        </w:tc>
        <w:tc>
          <w:tcPr>
            <w:tcW w:w="0" w:type="auto"/>
            <w:shd w:val="clear" w:color="auto" w:fill="auto"/>
          </w:tcPr>
          <w:p w14:paraId="2939E07C" w14:textId="77777777" w:rsidR="008C5CFA" w:rsidRPr="009C3005" w:rsidRDefault="00E82A60" w:rsidP="00300A01">
            <w:pPr>
              <w:pStyle w:val="Text1"/>
              <w:spacing w:before="0" w:after="0"/>
              <w:ind w:left="0"/>
              <w:rPr>
                <w:sz w:val="12"/>
                <w:szCs w:val="12"/>
              </w:rPr>
            </w:pPr>
            <w:r>
              <w:rPr>
                <w:noProof/>
                <w:sz w:val="12"/>
                <w:szCs w:val="12"/>
              </w:rPr>
              <w:t>08</w:t>
            </w:r>
            <w:r>
              <w:rPr>
                <w:sz w:val="12"/>
                <w:szCs w:val="12"/>
              </w:rPr>
              <w:t xml:space="preserve"> </w:t>
            </w:r>
          </w:p>
        </w:tc>
        <w:tc>
          <w:tcPr>
            <w:tcW w:w="0" w:type="auto"/>
            <w:shd w:val="clear" w:color="auto" w:fill="auto"/>
          </w:tcPr>
          <w:p w14:paraId="2C65CBE4" w14:textId="77777777" w:rsidR="008C5CFA" w:rsidRPr="009C3005" w:rsidRDefault="00E82A60" w:rsidP="00300A01">
            <w:pPr>
              <w:pStyle w:val="Text1"/>
              <w:spacing w:before="0" w:after="0"/>
              <w:ind w:left="0"/>
              <w:rPr>
                <w:sz w:val="12"/>
                <w:szCs w:val="12"/>
              </w:rPr>
            </w:pPr>
            <w:r>
              <w:rPr>
                <w:noProof/>
                <w:sz w:val="12"/>
                <w:szCs w:val="12"/>
              </w:rPr>
              <w:t>19</w:t>
            </w:r>
          </w:p>
        </w:tc>
        <w:tc>
          <w:tcPr>
            <w:tcW w:w="0" w:type="auto"/>
            <w:shd w:val="clear" w:color="auto" w:fill="auto"/>
          </w:tcPr>
          <w:p w14:paraId="584BB14F" w14:textId="77777777" w:rsidR="008C5CFA" w:rsidRPr="009C3005" w:rsidRDefault="00E82A60" w:rsidP="00300A01">
            <w:pPr>
              <w:pStyle w:val="Text1"/>
              <w:spacing w:before="0" w:after="0"/>
              <w:ind w:left="0"/>
              <w:rPr>
                <w:sz w:val="12"/>
                <w:szCs w:val="12"/>
              </w:rPr>
            </w:pPr>
            <w:r>
              <w:rPr>
                <w:noProof/>
                <w:sz w:val="12"/>
                <w:szCs w:val="12"/>
              </w:rPr>
              <w:t>PL33</w:t>
            </w:r>
          </w:p>
        </w:tc>
        <w:tc>
          <w:tcPr>
            <w:tcW w:w="0" w:type="auto"/>
            <w:shd w:val="clear" w:color="auto" w:fill="auto"/>
          </w:tcPr>
          <w:p w14:paraId="6ADE087A" w14:textId="77777777" w:rsidR="008C5CFA" w:rsidRPr="009C3005" w:rsidRDefault="00E82A60" w:rsidP="00300A01">
            <w:pPr>
              <w:pStyle w:val="Text1"/>
              <w:spacing w:before="0" w:after="0"/>
              <w:ind w:left="0"/>
              <w:jc w:val="right"/>
              <w:rPr>
                <w:sz w:val="12"/>
                <w:szCs w:val="12"/>
              </w:rPr>
            </w:pPr>
            <w:r w:rsidRPr="009C3005">
              <w:rPr>
                <w:noProof/>
                <w:sz w:val="12"/>
                <w:szCs w:val="12"/>
              </w:rPr>
              <w:t>18 169 834,98</w:t>
            </w:r>
          </w:p>
        </w:tc>
        <w:tc>
          <w:tcPr>
            <w:tcW w:w="0" w:type="auto"/>
            <w:shd w:val="clear" w:color="auto" w:fill="auto"/>
          </w:tcPr>
          <w:p w14:paraId="62F815EC" w14:textId="77777777" w:rsidR="008C5CFA" w:rsidRPr="009C3005" w:rsidRDefault="00E82A60" w:rsidP="00300A01">
            <w:pPr>
              <w:pStyle w:val="Text1"/>
              <w:spacing w:before="0" w:after="0"/>
              <w:ind w:left="0"/>
              <w:jc w:val="right"/>
              <w:rPr>
                <w:sz w:val="12"/>
                <w:szCs w:val="12"/>
              </w:rPr>
            </w:pPr>
            <w:r w:rsidRPr="009C3005">
              <w:rPr>
                <w:noProof/>
                <w:sz w:val="12"/>
                <w:szCs w:val="12"/>
              </w:rPr>
              <w:t>17 207 281,69</w:t>
            </w:r>
          </w:p>
        </w:tc>
        <w:tc>
          <w:tcPr>
            <w:tcW w:w="0" w:type="auto"/>
            <w:shd w:val="clear" w:color="auto" w:fill="auto"/>
          </w:tcPr>
          <w:p w14:paraId="626DE443" w14:textId="77777777" w:rsidR="008C5CFA" w:rsidRPr="009C3005" w:rsidRDefault="00E82A60" w:rsidP="00300A01">
            <w:pPr>
              <w:pStyle w:val="Text1"/>
              <w:spacing w:before="0" w:after="0"/>
              <w:ind w:left="0"/>
              <w:jc w:val="right"/>
              <w:rPr>
                <w:sz w:val="12"/>
                <w:szCs w:val="12"/>
              </w:rPr>
            </w:pPr>
            <w:r w:rsidRPr="009C3005">
              <w:rPr>
                <w:noProof/>
                <w:sz w:val="12"/>
                <w:szCs w:val="12"/>
              </w:rPr>
              <w:t>8 596 844,35</w:t>
            </w:r>
          </w:p>
        </w:tc>
        <w:tc>
          <w:tcPr>
            <w:tcW w:w="0" w:type="auto"/>
            <w:shd w:val="clear" w:color="auto" w:fill="auto"/>
          </w:tcPr>
          <w:p w14:paraId="2CDABCE7" w14:textId="77777777" w:rsidR="008C5CFA" w:rsidRPr="009C3005" w:rsidRDefault="00E82A60" w:rsidP="00300A01">
            <w:pPr>
              <w:pStyle w:val="Text1"/>
              <w:spacing w:before="0" w:after="0"/>
              <w:ind w:left="0"/>
              <w:jc w:val="right"/>
              <w:rPr>
                <w:sz w:val="12"/>
                <w:szCs w:val="12"/>
              </w:rPr>
            </w:pPr>
            <w:r w:rsidRPr="009C3005">
              <w:rPr>
                <w:noProof/>
                <w:sz w:val="12"/>
                <w:szCs w:val="12"/>
              </w:rPr>
              <w:t>100</w:t>
            </w:r>
          </w:p>
        </w:tc>
      </w:tr>
      <w:tr w:rsidR="006B2EC1" w14:paraId="26EC7E3A" w14:textId="77777777" w:rsidTr="0047688D">
        <w:tc>
          <w:tcPr>
            <w:tcW w:w="0" w:type="auto"/>
            <w:shd w:val="clear" w:color="auto" w:fill="auto"/>
          </w:tcPr>
          <w:p w14:paraId="7B2F2E19" w14:textId="77777777" w:rsidR="008C5CFA" w:rsidRPr="009C3005" w:rsidRDefault="00E82A60" w:rsidP="00300A01">
            <w:pPr>
              <w:pStyle w:val="Text1"/>
              <w:spacing w:before="0" w:after="0"/>
              <w:ind w:left="0"/>
              <w:rPr>
                <w:sz w:val="12"/>
                <w:szCs w:val="12"/>
              </w:rPr>
            </w:pPr>
            <w:r>
              <w:rPr>
                <w:noProof/>
                <w:sz w:val="14"/>
                <w:szCs w:val="14"/>
                <w:lang w:val="fr-BE"/>
              </w:rPr>
              <w:t>8</w:t>
            </w:r>
          </w:p>
        </w:tc>
        <w:tc>
          <w:tcPr>
            <w:tcW w:w="0" w:type="auto"/>
            <w:shd w:val="clear" w:color="auto" w:fill="auto"/>
          </w:tcPr>
          <w:p w14:paraId="5C088145" w14:textId="77777777" w:rsidR="008C5CFA" w:rsidRPr="009C3005" w:rsidRDefault="00E82A60" w:rsidP="00300A01">
            <w:pPr>
              <w:pStyle w:val="Text1"/>
              <w:spacing w:before="0" w:after="0"/>
              <w:ind w:left="0"/>
              <w:rPr>
                <w:sz w:val="12"/>
                <w:szCs w:val="12"/>
              </w:rPr>
            </w:pPr>
            <w:r>
              <w:rPr>
                <w:noProof/>
                <w:sz w:val="12"/>
                <w:szCs w:val="12"/>
              </w:rPr>
              <w:t>EFS</w:t>
            </w:r>
          </w:p>
        </w:tc>
        <w:tc>
          <w:tcPr>
            <w:tcW w:w="0" w:type="auto"/>
            <w:shd w:val="clear" w:color="auto" w:fill="auto"/>
          </w:tcPr>
          <w:p w14:paraId="4D542E93" w14:textId="77777777" w:rsidR="008C5CFA" w:rsidRPr="009C3005" w:rsidRDefault="00E82A60" w:rsidP="00300A01">
            <w:pPr>
              <w:pStyle w:val="Text1"/>
              <w:spacing w:before="0" w:after="0"/>
              <w:ind w:left="0"/>
              <w:rPr>
                <w:sz w:val="12"/>
                <w:szCs w:val="12"/>
              </w:rPr>
            </w:pPr>
            <w:r>
              <w:rPr>
                <w:noProof/>
                <w:sz w:val="12"/>
                <w:szCs w:val="12"/>
              </w:rPr>
              <w:t>Słabiej rozwinięte</w:t>
            </w:r>
          </w:p>
        </w:tc>
        <w:tc>
          <w:tcPr>
            <w:tcW w:w="0" w:type="auto"/>
            <w:shd w:val="clear" w:color="auto" w:fill="auto"/>
          </w:tcPr>
          <w:p w14:paraId="318B9691" w14:textId="77777777" w:rsidR="008C5CFA" w:rsidRPr="009C3005" w:rsidRDefault="00E82A60" w:rsidP="00300A01">
            <w:pPr>
              <w:pStyle w:val="Text1"/>
              <w:spacing w:before="0" w:after="0"/>
              <w:ind w:left="0"/>
              <w:rPr>
                <w:sz w:val="12"/>
                <w:szCs w:val="12"/>
              </w:rPr>
            </w:pPr>
            <w:r>
              <w:rPr>
                <w:noProof/>
                <w:sz w:val="12"/>
                <w:szCs w:val="12"/>
              </w:rPr>
              <w:t>118</w:t>
            </w:r>
          </w:p>
        </w:tc>
        <w:tc>
          <w:tcPr>
            <w:tcW w:w="0" w:type="auto"/>
            <w:shd w:val="clear" w:color="auto" w:fill="auto"/>
          </w:tcPr>
          <w:p w14:paraId="531C185C"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77DF5989"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4E7ACDFC"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583D2811" w14:textId="77777777" w:rsidR="008C5CFA" w:rsidRPr="009C3005" w:rsidRDefault="008C5CFA" w:rsidP="00300A01">
            <w:pPr>
              <w:pStyle w:val="Text1"/>
              <w:spacing w:before="0" w:after="0"/>
              <w:ind w:left="0"/>
              <w:rPr>
                <w:sz w:val="12"/>
                <w:szCs w:val="12"/>
              </w:rPr>
            </w:pPr>
          </w:p>
        </w:tc>
        <w:tc>
          <w:tcPr>
            <w:tcW w:w="0" w:type="auto"/>
            <w:shd w:val="clear" w:color="auto" w:fill="auto"/>
          </w:tcPr>
          <w:p w14:paraId="3D37071E" w14:textId="77777777" w:rsidR="008C5CFA" w:rsidRPr="009C3005" w:rsidRDefault="00E82A60" w:rsidP="00300A01">
            <w:pPr>
              <w:pStyle w:val="Text1"/>
              <w:spacing w:before="0" w:after="0"/>
              <w:ind w:left="0"/>
              <w:rPr>
                <w:sz w:val="12"/>
                <w:szCs w:val="12"/>
              </w:rPr>
            </w:pPr>
            <w:r>
              <w:rPr>
                <w:noProof/>
                <w:sz w:val="12"/>
                <w:szCs w:val="12"/>
              </w:rPr>
              <w:t>08</w:t>
            </w:r>
            <w:r>
              <w:rPr>
                <w:sz w:val="12"/>
                <w:szCs w:val="12"/>
              </w:rPr>
              <w:t xml:space="preserve"> </w:t>
            </w:r>
          </w:p>
        </w:tc>
        <w:tc>
          <w:tcPr>
            <w:tcW w:w="0" w:type="auto"/>
            <w:shd w:val="clear" w:color="auto" w:fill="auto"/>
          </w:tcPr>
          <w:p w14:paraId="0318D5CE" w14:textId="77777777" w:rsidR="008C5CFA" w:rsidRPr="009C3005" w:rsidRDefault="00E82A60" w:rsidP="00300A01">
            <w:pPr>
              <w:pStyle w:val="Text1"/>
              <w:spacing w:before="0" w:after="0"/>
              <w:ind w:left="0"/>
              <w:rPr>
                <w:sz w:val="12"/>
                <w:szCs w:val="12"/>
              </w:rPr>
            </w:pPr>
            <w:r>
              <w:rPr>
                <w:noProof/>
                <w:sz w:val="12"/>
                <w:szCs w:val="12"/>
              </w:rPr>
              <w:t>24</w:t>
            </w:r>
          </w:p>
        </w:tc>
        <w:tc>
          <w:tcPr>
            <w:tcW w:w="0" w:type="auto"/>
            <w:shd w:val="clear" w:color="auto" w:fill="auto"/>
          </w:tcPr>
          <w:p w14:paraId="6ACEF362" w14:textId="77777777" w:rsidR="008C5CFA" w:rsidRPr="009C3005" w:rsidRDefault="00E82A60" w:rsidP="00300A01">
            <w:pPr>
              <w:pStyle w:val="Text1"/>
              <w:spacing w:before="0" w:after="0"/>
              <w:ind w:left="0"/>
              <w:rPr>
                <w:sz w:val="12"/>
                <w:szCs w:val="12"/>
              </w:rPr>
            </w:pPr>
            <w:r>
              <w:rPr>
                <w:noProof/>
                <w:sz w:val="12"/>
                <w:szCs w:val="12"/>
              </w:rPr>
              <w:t>PL33</w:t>
            </w:r>
          </w:p>
        </w:tc>
        <w:tc>
          <w:tcPr>
            <w:tcW w:w="0" w:type="auto"/>
            <w:shd w:val="clear" w:color="auto" w:fill="auto"/>
          </w:tcPr>
          <w:p w14:paraId="205BF59C" w14:textId="77777777" w:rsidR="008C5CFA" w:rsidRPr="009C3005" w:rsidRDefault="00E82A60" w:rsidP="00300A01">
            <w:pPr>
              <w:pStyle w:val="Text1"/>
              <w:spacing w:before="0" w:after="0"/>
              <w:ind w:left="0"/>
              <w:jc w:val="right"/>
              <w:rPr>
                <w:sz w:val="12"/>
                <w:szCs w:val="12"/>
              </w:rPr>
            </w:pPr>
            <w:r w:rsidRPr="009C3005">
              <w:rPr>
                <w:noProof/>
                <w:sz w:val="12"/>
                <w:szCs w:val="12"/>
              </w:rPr>
              <w:t>1 160 175,05</w:t>
            </w:r>
          </w:p>
        </w:tc>
        <w:tc>
          <w:tcPr>
            <w:tcW w:w="0" w:type="auto"/>
            <w:shd w:val="clear" w:color="auto" w:fill="auto"/>
          </w:tcPr>
          <w:p w14:paraId="02EA2796" w14:textId="77777777" w:rsidR="008C5CFA" w:rsidRPr="009C3005" w:rsidRDefault="00E82A60" w:rsidP="00300A01">
            <w:pPr>
              <w:pStyle w:val="Text1"/>
              <w:spacing w:before="0" w:after="0"/>
              <w:ind w:left="0"/>
              <w:jc w:val="right"/>
              <w:rPr>
                <w:sz w:val="12"/>
                <w:szCs w:val="12"/>
              </w:rPr>
            </w:pPr>
            <w:r w:rsidRPr="009C3005">
              <w:rPr>
                <w:noProof/>
                <w:sz w:val="12"/>
                <w:szCs w:val="12"/>
              </w:rPr>
              <w:t>1 090 009,29</w:t>
            </w:r>
          </w:p>
        </w:tc>
        <w:tc>
          <w:tcPr>
            <w:tcW w:w="0" w:type="auto"/>
            <w:shd w:val="clear" w:color="auto" w:fill="auto"/>
          </w:tcPr>
          <w:p w14:paraId="6BFD44A9" w14:textId="77777777" w:rsidR="008C5CFA" w:rsidRPr="009C3005" w:rsidRDefault="00E82A60" w:rsidP="00300A01">
            <w:pPr>
              <w:pStyle w:val="Text1"/>
              <w:spacing w:before="0" w:after="0"/>
              <w:ind w:left="0"/>
              <w:jc w:val="right"/>
              <w:rPr>
                <w:sz w:val="12"/>
                <w:szCs w:val="12"/>
              </w:rPr>
            </w:pPr>
            <w:r w:rsidRPr="009C3005">
              <w:rPr>
                <w:noProof/>
                <w:sz w:val="12"/>
                <w:szCs w:val="12"/>
              </w:rPr>
              <w:t>887 809,89</w:t>
            </w:r>
          </w:p>
        </w:tc>
        <w:tc>
          <w:tcPr>
            <w:tcW w:w="0" w:type="auto"/>
            <w:shd w:val="clear" w:color="auto" w:fill="auto"/>
          </w:tcPr>
          <w:p w14:paraId="6E3FF6D0" w14:textId="77777777" w:rsidR="008C5CFA" w:rsidRPr="009C3005" w:rsidRDefault="00E82A60" w:rsidP="00300A01">
            <w:pPr>
              <w:pStyle w:val="Text1"/>
              <w:spacing w:before="0" w:after="0"/>
              <w:ind w:left="0"/>
              <w:jc w:val="right"/>
              <w:rPr>
                <w:sz w:val="12"/>
                <w:szCs w:val="12"/>
              </w:rPr>
            </w:pPr>
            <w:r w:rsidRPr="009C3005">
              <w:rPr>
                <w:noProof/>
                <w:sz w:val="12"/>
                <w:szCs w:val="12"/>
              </w:rPr>
              <w:t>7</w:t>
            </w:r>
          </w:p>
        </w:tc>
      </w:tr>
      <w:tr w:rsidR="006B2EC1" w14:paraId="02681218" w14:textId="77777777" w:rsidTr="0047688D">
        <w:tc>
          <w:tcPr>
            <w:tcW w:w="0" w:type="auto"/>
            <w:shd w:val="clear" w:color="auto" w:fill="auto"/>
          </w:tcPr>
          <w:p w14:paraId="59B349DD" w14:textId="77777777" w:rsidR="008C5CFA" w:rsidRPr="009C3005" w:rsidRDefault="00E82A60" w:rsidP="00300A01">
            <w:pPr>
              <w:pStyle w:val="Text1"/>
              <w:spacing w:before="0" w:after="0"/>
              <w:ind w:left="0"/>
              <w:rPr>
                <w:sz w:val="12"/>
                <w:szCs w:val="12"/>
              </w:rPr>
            </w:pPr>
            <w:r>
              <w:rPr>
                <w:noProof/>
                <w:sz w:val="14"/>
                <w:szCs w:val="14"/>
                <w:lang w:val="fr-BE"/>
              </w:rPr>
              <w:t>9</w:t>
            </w:r>
          </w:p>
        </w:tc>
        <w:tc>
          <w:tcPr>
            <w:tcW w:w="0" w:type="auto"/>
            <w:shd w:val="clear" w:color="auto" w:fill="auto"/>
          </w:tcPr>
          <w:p w14:paraId="4E259879" w14:textId="77777777" w:rsidR="008C5CFA" w:rsidRPr="009C3005" w:rsidRDefault="00E82A60" w:rsidP="00300A01">
            <w:pPr>
              <w:pStyle w:val="Text1"/>
              <w:spacing w:before="0" w:after="0"/>
              <w:ind w:left="0"/>
              <w:rPr>
                <w:sz w:val="12"/>
                <w:szCs w:val="12"/>
              </w:rPr>
            </w:pPr>
            <w:r>
              <w:rPr>
                <w:noProof/>
                <w:sz w:val="12"/>
                <w:szCs w:val="12"/>
              </w:rPr>
              <w:t>EFS</w:t>
            </w:r>
          </w:p>
        </w:tc>
        <w:tc>
          <w:tcPr>
            <w:tcW w:w="0" w:type="auto"/>
            <w:shd w:val="clear" w:color="auto" w:fill="auto"/>
          </w:tcPr>
          <w:p w14:paraId="13573719" w14:textId="77777777" w:rsidR="008C5CFA" w:rsidRPr="009C3005" w:rsidRDefault="00E82A60" w:rsidP="00300A01">
            <w:pPr>
              <w:pStyle w:val="Text1"/>
              <w:spacing w:before="0" w:after="0"/>
              <w:ind w:left="0"/>
              <w:rPr>
                <w:sz w:val="12"/>
                <w:szCs w:val="12"/>
              </w:rPr>
            </w:pPr>
            <w:r>
              <w:rPr>
                <w:noProof/>
                <w:sz w:val="12"/>
                <w:szCs w:val="12"/>
              </w:rPr>
              <w:t>Słabiej rozwinięte</w:t>
            </w:r>
          </w:p>
        </w:tc>
        <w:tc>
          <w:tcPr>
            <w:tcW w:w="0" w:type="auto"/>
            <w:shd w:val="clear" w:color="auto" w:fill="auto"/>
          </w:tcPr>
          <w:p w14:paraId="13E96518" w14:textId="77777777" w:rsidR="008C5CFA" w:rsidRPr="009C3005" w:rsidRDefault="00E82A60" w:rsidP="00300A01">
            <w:pPr>
              <w:pStyle w:val="Text1"/>
              <w:spacing w:before="0" w:after="0"/>
              <w:ind w:left="0"/>
              <w:rPr>
                <w:sz w:val="12"/>
                <w:szCs w:val="12"/>
              </w:rPr>
            </w:pPr>
            <w:r>
              <w:rPr>
                <w:noProof/>
                <w:sz w:val="12"/>
                <w:szCs w:val="12"/>
              </w:rPr>
              <w:t>109</w:t>
            </w:r>
          </w:p>
        </w:tc>
        <w:tc>
          <w:tcPr>
            <w:tcW w:w="0" w:type="auto"/>
            <w:shd w:val="clear" w:color="auto" w:fill="auto"/>
          </w:tcPr>
          <w:p w14:paraId="7BD8073B"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299A6782"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2381B07C"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415C38BF" w14:textId="77777777" w:rsidR="008C5CFA" w:rsidRPr="009C3005" w:rsidRDefault="008C5CFA" w:rsidP="00300A01">
            <w:pPr>
              <w:pStyle w:val="Text1"/>
              <w:spacing w:before="0" w:after="0"/>
              <w:ind w:left="0"/>
              <w:rPr>
                <w:sz w:val="12"/>
                <w:szCs w:val="12"/>
              </w:rPr>
            </w:pPr>
          </w:p>
        </w:tc>
        <w:tc>
          <w:tcPr>
            <w:tcW w:w="0" w:type="auto"/>
            <w:shd w:val="clear" w:color="auto" w:fill="auto"/>
          </w:tcPr>
          <w:p w14:paraId="09F9DDF8" w14:textId="77777777" w:rsidR="008C5CFA" w:rsidRPr="009C3005" w:rsidRDefault="00E82A60" w:rsidP="00300A01">
            <w:pPr>
              <w:pStyle w:val="Text1"/>
              <w:spacing w:before="0" w:after="0"/>
              <w:ind w:left="0"/>
              <w:rPr>
                <w:sz w:val="12"/>
                <w:szCs w:val="12"/>
              </w:rPr>
            </w:pPr>
            <w:r>
              <w:rPr>
                <w:noProof/>
                <w:sz w:val="12"/>
                <w:szCs w:val="12"/>
              </w:rPr>
              <w:t>08</w:t>
            </w:r>
            <w:r>
              <w:rPr>
                <w:sz w:val="12"/>
                <w:szCs w:val="12"/>
              </w:rPr>
              <w:t xml:space="preserve"> </w:t>
            </w:r>
          </w:p>
        </w:tc>
        <w:tc>
          <w:tcPr>
            <w:tcW w:w="0" w:type="auto"/>
            <w:shd w:val="clear" w:color="auto" w:fill="auto"/>
          </w:tcPr>
          <w:p w14:paraId="51C519C2" w14:textId="77777777" w:rsidR="008C5CFA" w:rsidRPr="009C3005" w:rsidRDefault="00E82A60" w:rsidP="00300A01">
            <w:pPr>
              <w:pStyle w:val="Text1"/>
              <w:spacing w:before="0" w:after="0"/>
              <w:ind w:left="0"/>
              <w:rPr>
                <w:sz w:val="12"/>
                <w:szCs w:val="12"/>
              </w:rPr>
            </w:pPr>
            <w:r>
              <w:rPr>
                <w:noProof/>
                <w:sz w:val="12"/>
                <w:szCs w:val="12"/>
              </w:rPr>
              <w:t>18</w:t>
            </w:r>
          </w:p>
        </w:tc>
        <w:tc>
          <w:tcPr>
            <w:tcW w:w="0" w:type="auto"/>
            <w:shd w:val="clear" w:color="auto" w:fill="auto"/>
          </w:tcPr>
          <w:p w14:paraId="1179F6D4" w14:textId="77777777" w:rsidR="008C5CFA" w:rsidRPr="009C3005" w:rsidRDefault="00E82A60" w:rsidP="00300A01">
            <w:pPr>
              <w:pStyle w:val="Text1"/>
              <w:spacing w:before="0" w:after="0"/>
              <w:ind w:left="0"/>
              <w:rPr>
                <w:sz w:val="12"/>
                <w:szCs w:val="12"/>
              </w:rPr>
            </w:pPr>
            <w:r>
              <w:rPr>
                <w:noProof/>
                <w:sz w:val="12"/>
                <w:szCs w:val="12"/>
              </w:rPr>
              <w:t>PL33</w:t>
            </w:r>
          </w:p>
        </w:tc>
        <w:tc>
          <w:tcPr>
            <w:tcW w:w="0" w:type="auto"/>
            <w:shd w:val="clear" w:color="auto" w:fill="auto"/>
          </w:tcPr>
          <w:p w14:paraId="0EFEE435" w14:textId="77777777" w:rsidR="008C5CFA" w:rsidRPr="009C3005" w:rsidRDefault="00E82A60" w:rsidP="00300A01">
            <w:pPr>
              <w:pStyle w:val="Text1"/>
              <w:spacing w:before="0" w:after="0"/>
              <w:ind w:left="0"/>
              <w:jc w:val="right"/>
              <w:rPr>
                <w:sz w:val="12"/>
                <w:szCs w:val="12"/>
              </w:rPr>
            </w:pPr>
            <w:r w:rsidRPr="009C3005">
              <w:rPr>
                <w:noProof/>
                <w:sz w:val="12"/>
                <w:szCs w:val="12"/>
              </w:rPr>
              <w:t>7 042 756,94</w:t>
            </w:r>
          </w:p>
        </w:tc>
        <w:tc>
          <w:tcPr>
            <w:tcW w:w="0" w:type="auto"/>
            <w:shd w:val="clear" w:color="auto" w:fill="auto"/>
          </w:tcPr>
          <w:p w14:paraId="638579C7" w14:textId="77777777" w:rsidR="008C5CFA" w:rsidRPr="009C3005" w:rsidRDefault="00E82A60" w:rsidP="00300A01">
            <w:pPr>
              <w:pStyle w:val="Text1"/>
              <w:spacing w:before="0" w:after="0"/>
              <w:ind w:left="0"/>
              <w:jc w:val="right"/>
              <w:rPr>
                <w:sz w:val="12"/>
                <w:szCs w:val="12"/>
              </w:rPr>
            </w:pPr>
            <w:r w:rsidRPr="009C3005">
              <w:rPr>
                <w:noProof/>
                <w:sz w:val="12"/>
                <w:szCs w:val="12"/>
              </w:rPr>
              <w:t>6 942 466,81</w:t>
            </w:r>
          </w:p>
        </w:tc>
        <w:tc>
          <w:tcPr>
            <w:tcW w:w="0" w:type="auto"/>
            <w:shd w:val="clear" w:color="auto" w:fill="auto"/>
          </w:tcPr>
          <w:p w14:paraId="129DADCC" w14:textId="77777777" w:rsidR="008C5CFA" w:rsidRPr="009C3005" w:rsidRDefault="00E82A60" w:rsidP="00300A01">
            <w:pPr>
              <w:pStyle w:val="Text1"/>
              <w:spacing w:before="0" w:after="0"/>
              <w:ind w:left="0"/>
              <w:jc w:val="right"/>
              <w:rPr>
                <w:sz w:val="12"/>
                <w:szCs w:val="12"/>
              </w:rPr>
            </w:pPr>
            <w:r w:rsidRPr="009C3005">
              <w:rPr>
                <w:noProof/>
                <w:sz w:val="12"/>
                <w:szCs w:val="12"/>
              </w:rPr>
              <w:t>3 196 560,77</w:t>
            </w:r>
          </w:p>
        </w:tc>
        <w:tc>
          <w:tcPr>
            <w:tcW w:w="0" w:type="auto"/>
            <w:shd w:val="clear" w:color="auto" w:fill="auto"/>
          </w:tcPr>
          <w:p w14:paraId="4621312B" w14:textId="77777777" w:rsidR="008C5CFA" w:rsidRPr="009C3005" w:rsidRDefault="00E82A60" w:rsidP="00300A01">
            <w:pPr>
              <w:pStyle w:val="Text1"/>
              <w:spacing w:before="0" w:after="0"/>
              <w:ind w:left="0"/>
              <w:jc w:val="right"/>
              <w:rPr>
                <w:sz w:val="12"/>
                <w:szCs w:val="12"/>
              </w:rPr>
            </w:pPr>
            <w:r w:rsidRPr="009C3005">
              <w:rPr>
                <w:noProof/>
                <w:sz w:val="12"/>
                <w:szCs w:val="12"/>
              </w:rPr>
              <w:t>26</w:t>
            </w:r>
          </w:p>
        </w:tc>
      </w:tr>
      <w:tr w:rsidR="006B2EC1" w14:paraId="494946CC" w14:textId="77777777" w:rsidTr="0047688D">
        <w:tc>
          <w:tcPr>
            <w:tcW w:w="0" w:type="auto"/>
            <w:shd w:val="clear" w:color="auto" w:fill="auto"/>
          </w:tcPr>
          <w:p w14:paraId="6D8AE387" w14:textId="77777777" w:rsidR="008C5CFA" w:rsidRPr="009C3005" w:rsidRDefault="00E82A60" w:rsidP="00300A01">
            <w:pPr>
              <w:pStyle w:val="Text1"/>
              <w:spacing w:before="0" w:after="0"/>
              <w:ind w:left="0"/>
              <w:rPr>
                <w:sz w:val="12"/>
                <w:szCs w:val="12"/>
              </w:rPr>
            </w:pPr>
            <w:r>
              <w:rPr>
                <w:noProof/>
                <w:sz w:val="14"/>
                <w:szCs w:val="14"/>
                <w:lang w:val="fr-BE"/>
              </w:rPr>
              <w:t>9</w:t>
            </w:r>
          </w:p>
        </w:tc>
        <w:tc>
          <w:tcPr>
            <w:tcW w:w="0" w:type="auto"/>
            <w:shd w:val="clear" w:color="auto" w:fill="auto"/>
          </w:tcPr>
          <w:p w14:paraId="0447B6D2" w14:textId="77777777" w:rsidR="008C5CFA" w:rsidRPr="009C3005" w:rsidRDefault="00E82A60" w:rsidP="00300A01">
            <w:pPr>
              <w:pStyle w:val="Text1"/>
              <w:spacing w:before="0" w:after="0"/>
              <w:ind w:left="0"/>
              <w:rPr>
                <w:sz w:val="12"/>
                <w:szCs w:val="12"/>
              </w:rPr>
            </w:pPr>
            <w:r>
              <w:rPr>
                <w:noProof/>
                <w:sz w:val="12"/>
                <w:szCs w:val="12"/>
              </w:rPr>
              <w:t>EFS</w:t>
            </w:r>
          </w:p>
        </w:tc>
        <w:tc>
          <w:tcPr>
            <w:tcW w:w="0" w:type="auto"/>
            <w:shd w:val="clear" w:color="auto" w:fill="auto"/>
          </w:tcPr>
          <w:p w14:paraId="4E3D5BBF" w14:textId="77777777" w:rsidR="008C5CFA" w:rsidRPr="009C3005" w:rsidRDefault="00E82A60" w:rsidP="00300A01">
            <w:pPr>
              <w:pStyle w:val="Text1"/>
              <w:spacing w:before="0" w:after="0"/>
              <w:ind w:left="0"/>
              <w:rPr>
                <w:sz w:val="12"/>
                <w:szCs w:val="12"/>
              </w:rPr>
            </w:pPr>
            <w:r>
              <w:rPr>
                <w:noProof/>
                <w:sz w:val="12"/>
                <w:szCs w:val="12"/>
              </w:rPr>
              <w:t>Słabiej rozwinięte</w:t>
            </w:r>
          </w:p>
        </w:tc>
        <w:tc>
          <w:tcPr>
            <w:tcW w:w="0" w:type="auto"/>
            <w:shd w:val="clear" w:color="auto" w:fill="auto"/>
          </w:tcPr>
          <w:p w14:paraId="22F596D7" w14:textId="77777777" w:rsidR="008C5CFA" w:rsidRPr="009C3005" w:rsidRDefault="00E82A60" w:rsidP="00300A01">
            <w:pPr>
              <w:pStyle w:val="Text1"/>
              <w:spacing w:before="0" w:after="0"/>
              <w:ind w:left="0"/>
              <w:rPr>
                <w:sz w:val="12"/>
                <w:szCs w:val="12"/>
              </w:rPr>
            </w:pPr>
            <w:r>
              <w:rPr>
                <w:noProof/>
                <w:sz w:val="12"/>
                <w:szCs w:val="12"/>
              </w:rPr>
              <w:t>109</w:t>
            </w:r>
          </w:p>
        </w:tc>
        <w:tc>
          <w:tcPr>
            <w:tcW w:w="0" w:type="auto"/>
            <w:shd w:val="clear" w:color="auto" w:fill="auto"/>
          </w:tcPr>
          <w:p w14:paraId="42A87186"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5317FD17"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5A554C45"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155BE902" w14:textId="77777777" w:rsidR="008C5CFA" w:rsidRPr="009C3005" w:rsidRDefault="008C5CFA" w:rsidP="00300A01">
            <w:pPr>
              <w:pStyle w:val="Text1"/>
              <w:spacing w:before="0" w:after="0"/>
              <w:ind w:left="0"/>
              <w:rPr>
                <w:sz w:val="12"/>
                <w:szCs w:val="12"/>
              </w:rPr>
            </w:pPr>
          </w:p>
        </w:tc>
        <w:tc>
          <w:tcPr>
            <w:tcW w:w="0" w:type="auto"/>
            <w:shd w:val="clear" w:color="auto" w:fill="auto"/>
          </w:tcPr>
          <w:p w14:paraId="0206A176" w14:textId="77777777" w:rsidR="008C5CFA" w:rsidRPr="009C3005" w:rsidRDefault="00E82A60" w:rsidP="00300A01">
            <w:pPr>
              <w:pStyle w:val="Text1"/>
              <w:spacing w:before="0" w:after="0"/>
              <w:ind w:left="0"/>
              <w:rPr>
                <w:sz w:val="12"/>
                <w:szCs w:val="12"/>
              </w:rPr>
            </w:pPr>
            <w:r>
              <w:rPr>
                <w:noProof/>
                <w:sz w:val="12"/>
                <w:szCs w:val="12"/>
              </w:rPr>
              <w:t>08</w:t>
            </w:r>
            <w:r>
              <w:rPr>
                <w:sz w:val="12"/>
                <w:szCs w:val="12"/>
              </w:rPr>
              <w:t xml:space="preserve"> </w:t>
            </w:r>
          </w:p>
        </w:tc>
        <w:tc>
          <w:tcPr>
            <w:tcW w:w="0" w:type="auto"/>
            <w:shd w:val="clear" w:color="auto" w:fill="auto"/>
          </w:tcPr>
          <w:p w14:paraId="536CD407" w14:textId="77777777" w:rsidR="008C5CFA" w:rsidRPr="009C3005" w:rsidRDefault="00E82A60" w:rsidP="00300A01">
            <w:pPr>
              <w:pStyle w:val="Text1"/>
              <w:spacing w:before="0" w:after="0"/>
              <w:ind w:left="0"/>
              <w:rPr>
                <w:sz w:val="12"/>
                <w:szCs w:val="12"/>
              </w:rPr>
            </w:pPr>
            <w:r>
              <w:rPr>
                <w:noProof/>
                <w:sz w:val="12"/>
                <w:szCs w:val="12"/>
              </w:rPr>
              <w:t>19</w:t>
            </w:r>
          </w:p>
        </w:tc>
        <w:tc>
          <w:tcPr>
            <w:tcW w:w="0" w:type="auto"/>
            <w:shd w:val="clear" w:color="auto" w:fill="auto"/>
          </w:tcPr>
          <w:p w14:paraId="110EF82D" w14:textId="77777777" w:rsidR="008C5CFA" w:rsidRPr="009C3005" w:rsidRDefault="00E82A60" w:rsidP="00300A01">
            <w:pPr>
              <w:pStyle w:val="Text1"/>
              <w:spacing w:before="0" w:after="0"/>
              <w:ind w:left="0"/>
              <w:rPr>
                <w:sz w:val="12"/>
                <w:szCs w:val="12"/>
              </w:rPr>
            </w:pPr>
            <w:r>
              <w:rPr>
                <w:noProof/>
                <w:sz w:val="12"/>
                <w:szCs w:val="12"/>
              </w:rPr>
              <w:t>PL33</w:t>
            </w:r>
          </w:p>
        </w:tc>
        <w:tc>
          <w:tcPr>
            <w:tcW w:w="0" w:type="auto"/>
            <w:shd w:val="clear" w:color="auto" w:fill="auto"/>
          </w:tcPr>
          <w:p w14:paraId="0653827C" w14:textId="77777777" w:rsidR="008C5CFA" w:rsidRPr="009C3005" w:rsidRDefault="00E82A60" w:rsidP="00300A01">
            <w:pPr>
              <w:pStyle w:val="Text1"/>
              <w:spacing w:before="0" w:after="0"/>
              <w:ind w:left="0"/>
              <w:jc w:val="right"/>
              <w:rPr>
                <w:sz w:val="12"/>
                <w:szCs w:val="12"/>
              </w:rPr>
            </w:pPr>
            <w:r w:rsidRPr="009C3005">
              <w:rPr>
                <w:noProof/>
                <w:sz w:val="12"/>
                <w:szCs w:val="12"/>
              </w:rPr>
              <w:t>6 269 235,88</w:t>
            </w:r>
          </w:p>
        </w:tc>
        <w:tc>
          <w:tcPr>
            <w:tcW w:w="0" w:type="auto"/>
            <w:shd w:val="clear" w:color="auto" w:fill="auto"/>
          </w:tcPr>
          <w:p w14:paraId="4CC181FF" w14:textId="77777777" w:rsidR="008C5CFA" w:rsidRPr="009C3005" w:rsidRDefault="00E82A60" w:rsidP="00300A01">
            <w:pPr>
              <w:pStyle w:val="Text1"/>
              <w:spacing w:before="0" w:after="0"/>
              <w:ind w:left="0"/>
              <w:jc w:val="right"/>
              <w:rPr>
                <w:sz w:val="12"/>
                <w:szCs w:val="12"/>
              </w:rPr>
            </w:pPr>
            <w:r w:rsidRPr="009C3005">
              <w:rPr>
                <w:noProof/>
                <w:sz w:val="12"/>
                <w:szCs w:val="12"/>
              </w:rPr>
              <w:t>5 943 157,80</w:t>
            </w:r>
          </w:p>
        </w:tc>
        <w:tc>
          <w:tcPr>
            <w:tcW w:w="0" w:type="auto"/>
            <w:shd w:val="clear" w:color="auto" w:fill="auto"/>
          </w:tcPr>
          <w:p w14:paraId="36A50142" w14:textId="77777777" w:rsidR="008C5CFA" w:rsidRPr="009C3005" w:rsidRDefault="00E82A60" w:rsidP="00300A01">
            <w:pPr>
              <w:pStyle w:val="Text1"/>
              <w:spacing w:before="0" w:after="0"/>
              <w:ind w:left="0"/>
              <w:jc w:val="right"/>
              <w:rPr>
                <w:sz w:val="12"/>
                <w:szCs w:val="12"/>
              </w:rPr>
            </w:pPr>
            <w:r w:rsidRPr="009C3005">
              <w:rPr>
                <w:noProof/>
                <w:sz w:val="12"/>
                <w:szCs w:val="12"/>
              </w:rPr>
              <w:t>4 853 560,41</w:t>
            </w:r>
          </w:p>
        </w:tc>
        <w:tc>
          <w:tcPr>
            <w:tcW w:w="0" w:type="auto"/>
            <w:shd w:val="clear" w:color="auto" w:fill="auto"/>
          </w:tcPr>
          <w:p w14:paraId="732E10D9" w14:textId="77777777" w:rsidR="008C5CFA" w:rsidRPr="009C3005" w:rsidRDefault="00E82A60" w:rsidP="00300A01">
            <w:pPr>
              <w:pStyle w:val="Text1"/>
              <w:spacing w:before="0" w:after="0"/>
              <w:ind w:left="0"/>
              <w:jc w:val="right"/>
              <w:rPr>
                <w:sz w:val="12"/>
                <w:szCs w:val="12"/>
              </w:rPr>
            </w:pPr>
            <w:r w:rsidRPr="009C3005">
              <w:rPr>
                <w:noProof/>
                <w:sz w:val="12"/>
                <w:szCs w:val="12"/>
              </w:rPr>
              <w:t>30</w:t>
            </w:r>
          </w:p>
        </w:tc>
      </w:tr>
      <w:tr w:rsidR="006B2EC1" w14:paraId="07FC4655" w14:textId="77777777" w:rsidTr="0047688D">
        <w:tc>
          <w:tcPr>
            <w:tcW w:w="0" w:type="auto"/>
            <w:shd w:val="clear" w:color="auto" w:fill="auto"/>
          </w:tcPr>
          <w:p w14:paraId="1B2DE497" w14:textId="77777777" w:rsidR="008C5CFA" w:rsidRPr="009C3005" w:rsidRDefault="00E82A60" w:rsidP="00300A01">
            <w:pPr>
              <w:pStyle w:val="Text1"/>
              <w:spacing w:before="0" w:after="0"/>
              <w:ind w:left="0"/>
              <w:rPr>
                <w:sz w:val="12"/>
                <w:szCs w:val="12"/>
              </w:rPr>
            </w:pPr>
            <w:r>
              <w:rPr>
                <w:noProof/>
                <w:sz w:val="14"/>
                <w:szCs w:val="14"/>
                <w:lang w:val="fr-BE"/>
              </w:rPr>
              <w:t>9</w:t>
            </w:r>
          </w:p>
        </w:tc>
        <w:tc>
          <w:tcPr>
            <w:tcW w:w="0" w:type="auto"/>
            <w:shd w:val="clear" w:color="auto" w:fill="auto"/>
          </w:tcPr>
          <w:p w14:paraId="4AA73E96" w14:textId="77777777" w:rsidR="008C5CFA" w:rsidRPr="009C3005" w:rsidRDefault="00E82A60" w:rsidP="00300A01">
            <w:pPr>
              <w:pStyle w:val="Text1"/>
              <w:spacing w:before="0" w:after="0"/>
              <w:ind w:left="0"/>
              <w:rPr>
                <w:sz w:val="12"/>
                <w:szCs w:val="12"/>
              </w:rPr>
            </w:pPr>
            <w:r>
              <w:rPr>
                <w:noProof/>
                <w:sz w:val="12"/>
                <w:szCs w:val="12"/>
              </w:rPr>
              <w:t>EFS</w:t>
            </w:r>
          </w:p>
        </w:tc>
        <w:tc>
          <w:tcPr>
            <w:tcW w:w="0" w:type="auto"/>
            <w:shd w:val="clear" w:color="auto" w:fill="auto"/>
          </w:tcPr>
          <w:p w14:paraId="0D18D025" w14:textId="77777777" w:rsidR="008C5CFA" w:rsidRPr="009C3005" w:rsidRDefault="00E82A60" w:rsidP="00300A01">
            <w:pPr>
              <w:pStyle w:val="Text1"/>
              <w:spacing w:before="0" w:after="0"/>
              <w:ind w:left="0"/>
              <w:rPr>
                <w:sz w:val="12"/>
                <w:szCs w:val="12"/>
              </w:rPr>
            </w:pPr>
            <w:r>
              <w:rPr>
                <w:noProof/>
                <w:sz w:val="12"/>
                <w:szCs w:val="12"/>
              </w:rPr>
              <w:t>Słabiej rozwinięte</w:t>
            </w:r>
          </w:p>
        </w:tc>
        <w:tc>
          <w:tcPr>
            <w:tcW w:w="0" w:type="auto"/>
            <w:shd w:val="clear" w:color="auto" w:fill="auto"/>
          </w:tcPr>
          <w:p w14:paraId="0BF5D224" w14:textId="77777777" w:rsidR="008C5CFA" w:rsidRPr="009C3005" w:rsidRDefault="00E82A60" w:rsidP="00300A01">
            <w:pPr>
              <w:pStyle w:val="Text1"/>
              <w:spacing w:before="0" w:after="0"/>
              <w:ind w:left="0"/>
              <w:rPr>
                <w:sz w:val="12"/>
                <w:szCs w:val="12"/>
              </w:rPr>
            </w:pPr>
            <w:r>
              <w:rPr>
                <w:noProof/>
                <w:sz w:val="12"/>
                <w:szCs w:val="12"/>
              </w:rPr>
              <w:t>109</w:t>
            </w:r>
          </w:p>
        </w:tc>
        <w:tc>
          <w:tcPr>
            <w:tcW w:w="0" w:type="auto"/>
            <w:shd w:val="clear" w:color="auto" w:fill="auto"/>
          </w:tcPr>
          <w:p w14:paraId="708B797B"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31C04BAF"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392456E9"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4226F66C" w14:textId="77777777" w:rsidR="008C5CFA" w:rsidRPr="009C3005" w:rsidRDefault="008C5CFA" w:rsidP="00300A01">
            <w:pPr>
              <w:pStyle w:val="Text1"/>
              <w:spacing w:before="0" w:after="0"/>
              <w:ind w:left="0"/>
              <w:rPr>
                <w:sz w:val="12"/>
                <w:szCs w:val="12"/>
              </w:rPr>
            </w:pPr>
          </w:p>
        </w:tc>
        <w:tc>
          <w:tcPr>
            <w:tcW w:w="0" w:type="auto"/>
            <w:shd w:val="clear" w:color="auto" w:fill="auto"/>
          </w:tcPr>
          <w:p w14:paraId="6BC8558A" w14:textId="77777777" w:rsidR="008C5CFA" w:rsidRPr="009C3005" w:rsidRDefault="00E82A60" w:rsidP="00300A01">
            <w:pPr>
              <w:pStyle w:val="Text1"/>
              <w:spacing w:before="0" w:after="0"/>
              <w:ind w:left="0"/>
              <w:rPr>
                <w:sz w:val="12"/>
                <w:szCs w:val="12"/>
              </w:rPr>
            </w:pPr>
            <w:r>
              <w:rPr>
                <w:noProof/>
                <w:sz w:val="12"/>
                <w:szCs w:val="12"/>
              </w:rPr>
              <w:t>08</w:t>
            </w:r>
            <w:r>
              <w:rPr>
                <w:sz w:val="12"/>
                <w:szCs w:val="12"/>
              </w:rPr>
              <w:t xml:space="preserve"> </w:t>
            </w:r>
          </w:p>
        </w:tc>
        <w:tc>
          <w:tcPr>
            <w:tcW w:w="0" w:type="auto"/>
            <w:shd w:val="clear" w:color="auto" w:fill="auto"/>
          </w:tcPr>
          <w:p w14:paraId="7F8673D5" w14:textId="77777777" w:rsidR="008C5CFA" w:rsidRPr="009C3005" w:rsidRDefault="00E82A60" w:rsidP="00300A01">
            <w:pPr>
              <w:pStyle w:val="Text1"/>
              <w:spacing w:before="0" w:after="0"/>
              <w:ind w:left="0"/>
              <w:rPr>
                <w:sz w:val="12"/>
                <w:szCs w:val="12"/>
              </w:rPr>
            </w:pPr>
            <w:r>
              <w:rPr>
                <w:noProof/>
                <w:sz w:val="12"/>
                <w:szCs w:val="12"/>
              </w:rPr>
              <w:t>21</w:t>
            </w:r>
          </w:p>
        </w:tc>
        <w:tc>
          <w:tcPr>
            <w:tcW w:w="0" w:type="auto"/>
            <w:shd w:val="clear" w:color="auto" w:fill="auto"/>
          </w:tcPr>
          <w:p w14:paraId="6416B760" w14:textId="77777777" w:rsidR="008C5CFA" w:rsidRPr="009C3005" w:rsidRDefault="00E82A60" w:rsidP="00300A01">
            <w:pPr>
              <w:pStyle w:val="Text1"/>
              <w:spacing w:before="0" w:after="0"/>
              <w:ind w:left="0"/>
              <w:rPr>
                <w:sz w:val="12"/>
                <w:szCs w:val="12"/>
              </w:rPr>
            </w:pPr>
            <w:r>
              <w:rPr>
                <w:noProof/>
                <w:sz w:val="12"/>
                <w:szCs w:val="12"/>
              </w:rPr>
              <w:t>PL33</w:t>
            </w:r>
          </w:p>
        </w:tc>
        <w:tc>
          <w:tcPr>
            <w:tcW w:w="0" w:type="auto"/>
            <w:shd w:val="clear" w:color="auto" w:fill="auto"/>
          </w:tcPr>
          <w:p w14:paraId="5685C799" w14:textId="77777777" w:rsidR="008C5CFA" w:rsidRPr="009C3005" w:rsidRDefault="00E82A60" w:rsidP="00300A01">
            <w:pPr>
              <w:pStyle w:val="Text1"/>
              <w:spacing w:before="0" w:after="0"/>
              <w:ind w:left="0"/>
              <w:jc w:val="right"/>
              <w:rPr>
                <w:sz w:val="12"/>
                <w:szCs w:val="12"/>
              </w:rPr>
            </w:pPr>
            <w:r w:rsidRPr="009C3005">
              <w:rPr>
                <w:noProof/>
                <w:sz w:val="12"/>
                <w:szCs w:val="12"/>
              </w:rPr>
              <w:t>6 098 533,93</w:t>
            </w:r>
          </w:p>
        </w:tc>
        <w:tc>
          <w:tcPr>
            <w:tcW w:w="0" w:type="auto"/>
            <w:shd w:val="clear" w:color="auto" w:fill="auto"/>
          </w:tcPr>
          <w:p w14:paraId="65471DBC" w14:textId="77777777" w:rsidR="008C5CFA" w:rsidRPr="009C3005" w:rsidRDefault="00E82A60" w:rsidP="00300A01">
            <w:pPr>
              <w:pStyle w:val="Text1"/>
              <w:spacing w:before="0" w:after="0"/>
              <w:ind w:left="0"/>
              <w:jc w:val="right"/>
              <w:rPr>
                <w:sz w:val="12"/>
                <w:szCs w:val="12"/>
              </w:rPr>
            </w:pPr>
            <w:r w:rsidRPr="009C3005">
              <w:rPr>
                <w:noProof/>
                <w:sz w:val="12"/>
                <w:szCs w:val="12"/>
              </w:rPr>
              <w:t>6 001 900,93</w:t>
            </w:r>
          </w:p>
        </w:tc>
        <w:tc>
          <w:tcPr>
            <w:tcW w:w="0" w:type="auto"/>
            <w:shd w:val="clear" w:color="auto" w:fill="auto"/>
          </w:tcPr>
          <w:p w14:paraId="744C9760" w14:textId="77777777" w:rsidR="008C5CFA" w:rsidRPr="009C3005" w:rsidRDefault="00E82A60" w:rsidP="00300A01">
            <w:pPr>
              <w:pStyle w:val="Text1"/>
              <w:spacing w:before="0" w:after="0"/>
              <w:ind w:left="0"/>
              <w:jc w:val="right"/>
              <w:rPr>
                <w:sz w:val="12"/>
                <w:szCs w:val="12"/>
              </w:rPr>
            </w:pPr>
            <w:r w:rsidRPr="009C3005">
              <w:rPr>
                <w:noProof/>
                <w:sz w:val="12"/>
                <w:szCs w:val="12"/>
              </w:rPr>
              <w:t>1 755 414,64</w:t>
            </w:r>
          </w:p>
        </w:tc>
        <w:tc>
          <w:tcPr>
            <w:tcW w:w="0" w:type="auto"/>
            <w:shd w:val="clear" w:color="auto" w:fill="auto"/>
          </w:tcPr>
          <w:p w14:paraId="39583529" w14:textId="77777777" w:rsidR="008C5CFA" w:rsidRPr="009C3005" w:rsidRDefault="00E82A60" w:rsidP="00300A01">
            <w:pPr>
              <w:pStyle w:val="Text1"/>
              <w:spacing w:before="0" w:after="0"/>
              <w:ind w:left="0"/>
              <w:jc w:val="right"/>
              <w:rPr>
                <w:sz w:val="12"/>
                <w:szCs w:val="12"/>
              </w:rPr>
            </w:pPr>
            <w:r w:rsidRPr="009C3005">
              <w:rPr>
                <w:noProof/>
                <w:sz w:val="12"/>
                <w:szCs w:val="12"/>
              </w:rPr>
              <w:t>25</w:t>
            </w:r>
          </w:p>
        </w:tc>
      </w:tr>
      <w:tr w:rsidR="006B2EC1" w14:paraId="19371A9E" w14:textId="77777777" w:rsidTr="0047688D">
        <w:tc>
          <w:tcPr>
            <w:tcW w:w="0" w:type="auto"/>
            <w:shd w:val="clear" w:color="auto" w:fill="auto"/>
          </w:tcPr>
          <w:p w14:paraId="7422D596" w14:textId="77777777" w:rsidR="008C5CFA" w:rsidRPr="009C3005" w:rsidRDefault="00E82A60" w:rsidP="00300A01">
            <w:pPr>
              <w:pStyle w:val="Text1"/>
              <w:spacing w:before="0" w:after="0"/>
              <w:ind w:left="0"/>
              <w:rPr>
                <w:sz w:val="12"/>
                <w:szCs w:val="12"/>
              </w:rPr>
            </w:pPr>
            <w:r>
              <w:rPr>
                <w:noProof/>
                <w:sz w:val="14"/>
                <w:szCs w:val="14"/>
                <w:lang w:val="fr-BE"/>
              </w:rPr>
              <w:t>9</w:t>
            </w:r>
          </w:p>
        </w:tc>
        <w:tc>
          <w:tcPr>
            <w:tcW w:w="0" w:type="auto"/>
            <w:shd w:val="clear" w:color="auto" w:fill="auto"/>
          </w:tcPr>
          <w:p w14:paraId="7768C9DC" w14:textId="77777777" w:rsidR="008C5CFA" w:rsidRPr="009C3005" w:rsidRDefault="00E82A60" w:rsidP="00300A01">
            <w:pPr>
              <w:pStyle w:val="Text1"/>
              <w:spacing w:before="0" w:after="0"/>
              <w:ind w:left="0"/>
              <w:rPr>
                <w:sz w:val="12"/>
                <w:szCs w:val="12"/>
              </w:rPr>
            </w:pPr>
            <w:r>
              <w:rPr>
                <w:noProof/>
                <w:sz w:val="12"/>
                <w:szCs w:val="12"/>
              </w:rPr>
              <w:t>EFS</w:t>
            </w:r>
          </w:p>
        </w:tc>
        <w:tc>
          <w:tcPr>
            <w:tcW w:w="0" w:type="auto"/>
            <w:shd w:val="clear" w:color="auto" w:fill="auto"/>
          </w:tcPr>
          <w:p w14:paraId="0A14EC32" w14:textId="77777777" w:rsidR="008C5CFA" w:rsidRPr="009C3005" w:rsidRDefault="00E82A60" w:rsidP="00300A01">
            <w:pPr>
              <w:pStyle w:val="Text1"/>
              <w:spacing w:before="0" w:after="0"/>
              <w:ind w:left="0"/>
              <w:rPr>
                <w:sz w:val="12"/>
                <w:szCs w:val="12"/>
              </w:rPr>
            </w:pPr>
            <w:r>
              <w:rPr>
                <w:noProof/>
                <w:sz w:val="12"/>
                <w:szCs w:val="12"/>
              </w:rPr>
              <w:t>Słabiej rozwinięte</w:t>
            </w:r>
          </w:p>
        </w:tc>
        <w:tc>
          <w:tcPr>
            <w:tcW w:w="0" w:type="auto"/>
            <w:shd w:val="clear" w:color="auto" w:fill="auto"/>
          </w:tcPr>
          <w:p w14:paraId="5FB5E399" w14:textId="77777777" w:rsidR="008C5CFA" w:rsidRPr="009C3005" w:rsidRDefault="00E82A60" w:rsidP="00300A01">
            <w:pPr>
              <w:pStyle w:val="Text1"/>
              <w:spacing w:before="0" w:after="0"/>
              <w:ind w:left="0"/>
              <w:rPr>
                <w:sz w:val="12"/>
                <w:szCs w:val="12"/>
              </w:rPr>
            </w:pPr>
            <w:r>
              <w:rPr>
                <w:noProof/>
                <w:sz w:val="12"/>
                <w:szCs w:val="12"/>
              </w:rPr>
              <w:t>109</w:t>
            </w:r>
          </w:p>
        </w:tc>
        <w:tc>
          <w:tcPr>
            <w:tcW w:w="0" w:type="auto"/>
            <w:shd w:val="clear" w:color="auto" w:fill="auto"/>
          </w:tcPr>
          <w:p w14:paraId="5FE94F94"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149EC94B"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2A9D04A2"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64C79224" w14:textId="77777777" w:rsidR="008C5CFA" w:rsidRPr="009C3005" w:rsidRDefault="008C5CFA" w:rsidP="00300A01">
            <w:pPr>
              <w:pStyle w:val="Text1"/>
              <w:spacing w:before="0" w:after="0"/>
              <w:ind w:left="0"/>
              <w:rPr>
                <w:sz w:val="12"/>
                <w:szCs w:val="12"/>
              </w:rPr>
            </w:pPr>
          </w:p>
        </w:tc>
        <w:tc>
          <w:tcPr>
            <w:tcW w:w="0" w:type="auto"/>
            <w:shd w:val="clear" w:color="auto" w:fill="auto"/>
          </w:tcPr>
          <w:p w14:paraId="573E605E" w14:textId="77777777" w:rsidR="008C5CFA" w:rsidRPr="009C3005" w:rsidRDefault="00E82A60" w:rsidP="00300A01">
            <w:pPr>
              <w:pStyle w:val="Text1"/>
              <w:spacing w:before="0" w:after="0"/>
              <w:ind w:left="0"/>
              <w:rPr>
                <w:sz w:val="12"/>
                <w:szCs w:val="12"/>
              </w:rPr>
            </w:pPr>
            <w:r>
              <w:rPr>
                <w:noProof/>
                <w:sz w:val="12"/>
                <w:szCs w:val="12"/>
              </w:rPr>
              <w:t>08</w:t>
            </w:r>
            <w:r>
              <w:rPr>
                <w:sz w:val="12"/>
                <w:szCs w:val="12"/>
              </w:rPr>
              <w:t xml:space="preserve"> </w:t>
            </w:r>
          </w:p>
        </w:tc>
        <w:tc>
          <w:tcPr>
            <w:tcW w:w="0" w:type="auto"/>
            <w:shd w:val="clear" w:color="auto" w:fill="auto"/>
          </w:tcPr>
          <w:p w14:paraId="0F03E891" w14:textId="77777777" w:rsidR="008C5CFA" w:rsidRPr="009C3005" w:rsidRDefault="00E82A60" w:rsidP="00300A01">
            <w:pPr>
              <w:pStyle w:val="Text1"/>
              <w:spacing w:before="0" w:after="0"/>
              <w:ind w:left="0"/>
              <w:rPr>
                <w:sz w:val="12"/>
                <w:szCs w:val="12"/>
              </w:rPr>
            </w:pPr>
            <w:r>
              <w:rPr>
                <w:noProof/>
                <w:sz w:val="12"/>
                <w:szCs w:val="12"/>
              </w:rPr>
              <w:t>24</w:t>
            </w:r>
          </w:p>
        </w:tc>
        <w:tc>
          <w:tcPr>
            <w:tcW w:w="0" w:type="auto"/>
            <w:shd w:val="clear" w:color="auto" w:fill="auto"/>
          </w:tcPr>
          <w:p w14:paraId="23FDC42A" w14:textId="77777777" w:rsidR="008C5CFA" w:rsidRPr="009C3005" w:rsidRDefault="00E82A60" w:rsidP="00300A01">
            <w:pPr>
              <w:pStyle w:val="Text1"/>
              <w:spacing w:before="0" w:after="0"/>
              <w:ind w:left="0"/>
              <w:rPr>
                <w:sz w:val="12"/>
                <w:szCs w:val="12"/>
              </w:rPr>
            </w:pPr>
            <w:r>
              <w:rPr>
                <w:noProof/>
                <w:sz w:val="12"/>
                <w:szCs w:val="12"/>
              </w:rPr>
              <w:t>PL33</w:t>
            </w:r>
          </w:p>
        </w:tc>
        <w:tc>
          <w:tcPr>
            <w:tcW w:w="0" w:type="auto"/>
            <w:shd w:val="clear" w:color="auto" w:fill="auto"/>
          </w:tcPr>
          <w:p w14:paraId="595B4FA8" w14:textId="77777777" w:rsidR="008C5CFA" w:rsidRPr="009C3005" w:rsidRDefault="00E82A60" w:rsidP="00300A01">
            <w:pPr>
              <w:pStyle w:val="Text1"/>
              <w:spacing w:before="0" w:after="0"/>
              <w:ind w:left="0"/>
              <w:jc w:val="right"/>
              <w:rPr>
                <w:sz w:val="12"/>
                <w:szCs w:val="12"/>
              </w:rPr>
            </w:pPr>
            <w:r w:rsidRPr="009C3005">
              <w:rPr>
                <w:noProof/>
                <w:sz w:val="12"/>
                <w:szCs w:val="12"/>
              </w:rPr>
              <w:t>1 709 222,16</w:t>
            </w:r>
          </w:p>
        </w:tc>
        <w:tc>
          <w:tcPr>
            <w:tcW w:w="0" w:type="auto"/>
            <w:shd w:val="clear" w:color="auto" w:fill="auto"/>
          </w:tcPr>
          <w:p w14:paraId="1F0BB60D" w14:textId="77777777" w:rsidR="008C5CFA" w:rsidRPr="009C3005" w:rsidRDefault="00E82A60" w:rsidP="00300A01">
            <w:pPr>
              <w:pStyle w:val="Text1"/>
              <w:spacing w:before="0" w:after="0"/>
              <w:ind w:left="0"/>
              <w:jc w:val="right"/>
              <w:rPr>
                <w:sz w:val="12"/>
                <w:szCs w:val="12"/>
              </w:rPr>
            </w:pPr>
            <w:r w:rsidRPr="009C3005">
              <w:rPr>
                <w:noProof/>
                <w:sz w:val="12"/>
                <w:szCs w:val="12"/>
              </w:rPr>
              <w:t>1 623 529,60</w:t>
            </w:r>
          </w:p>
        </w:tc>
        <w:tc>
          <w:tcPr>
            <w:tcW w:w="0" w:type="auto"/>
            <w:shd w:val="clear" w:color="auto" w:fill="auto"/>
          </w:tcPr>
          <w:p w14:paraId="1F53D848" w14:textId="77777777" w:rsidR="008C5CFA" w:rsidRPr="009C3005" w:rsidRDefault="00E82A60" w:rsidP="00300A01">
            <w:pPr>
              <w:pStyle w:val="Text1"/>
              <w:spacing w:before="0" w:after="0"/>
              <w:ind w:left="0"/>
              <w:jc w:val="right"/>
              <w:rPr>
                <w:sz w:val="12"/>
                <w:szCs w:val="12"/>
              </w:rPr>
            </w:pPr>
            <w:r w:rsidRPr="009C3005">
              <w:rPr>
                <w:noProof/>
                <w:sz w:val="12"/>
                <w:szCs w:val="12"/>
              </w:rPr>
              <w:t>997 355,53</w:t>
            </w:r>
          </w:p>
        </w:tc>
        <w:tc>
          <w:tcPr>
            <w:tcW w:w="0" w:type="auto"/>
            <w:shd w:val="clear" w:color="auto" w:fill="auto"/>
          </w:tcPr>
          <w:p w14:paraId="6E9D078A" w14:textId="77777777" w:rsidR="008C5CFA" w:rsidRPr="009C3005" w:rsidRDefault="00E82A60" w:rsidP="00300A01">
            <w:pPr>
              <w:pStyle w:val="Text1"/>
              <w:spacing w:before="0" w:after="0"/>
              <w:ind w:left="0"/>
              <w:jc w:val="right"/>
              <w:rPr>
                <w:sz w:val="12"/>
                <w:szCs w:val="12"/>
              </w:rPr>
            </w:pPr>
            <w:r w:rsidRPr="009C3005">
              <w:rPr>
                <w:noProof/>
                <w:sz w:val="12"/>
                <w:szCs w:val="12"/>
              </w:rPr>
              <w:t>6</w:t>
            </w:r>
          </w:p>
        </w:tc>
      </w:tr>
      <w:tr w:rsidR="006B2EC1" w14:paraId="0653607B" w14:textId="77777777" w:rsidTr="0047688D">
        <w:tc>
          <w:tcPr>
            <w:tcW w:w="0" w:type="auto"/>
            <w:shd w:val="clear" w:color="auto" w:fill="auto"/>
          </w:tcPr>
          <w:p w14:paraId="7204DF03" w14:textId="77777777" w:rsidR="008C5CFA" w:rsidRPr="009C3005" w:rsidRDefault="00E82A60" w:rsidP="00300A01">
            <w:pPr>
              <w:pStyle w:val="Text1"/>
              <w:spacing w:before="0" w:after="0"/>
              <w:ind w:left="0"/>
              <w:rPr>
                <w:sz w:val="12"/>
                <w:szCs w:val="12"/>
              </w:rPr>
            </w:pPr>
            <w:r>
              <w:rPr>
                <w:noProof/>
                <w:sz w:val="14"/>
                <w:szCs w:val="14"/>
                <w:lang w:val="fr-BE"/>
              </w:rPr>
              <w:t>9</w:t>
            </w:r>
          </w:p>
        </w:tc>
        <w:tc>
          <w:tcPr>
            <w:tcW w:w="0" w:type="auto"/>
            <w:shd w:val="clear" w:color="auto" w:fill="auto"/>
          </w:tcPr>
          <w:p w14:paraId="3FEC5819" w14:textId="77777777" w:rsidR="008C5CFA" w:rsidRPr="009C3005" w:rsidRDefault="00E82A60" w:rsidP="00300A01">
            <w:pPr>
              <w:pStyle w:val="Text1"/>
              <w:spacing w:before="0" w:after="0"/>
              <w:ind w:left="0"/>
              <w:rPr>
                <w:sz w:val="12"/>
                <w:szCs w:val="12"/>
              </w:rPr>
            </w:pPr>
            <w:r>
              <w:rPr>
                <w:noProof/>
                <w:sz w:val="12"/>
                <w:szCs w:val="12"/>
              </w:rPr>
              <w:t>EFS</w:t>
            </w:r>
          </w:p>
        </w:tc>
        <w:tc>
          <w:tcPr>
            <w:tcW w:w="0" w:type="auto"/>
            <w:shd w:val="clear" w:color="auto" w:fill="auto"/>
          </w:tcPr>
          <w:p w14:paraId="68FC8109" w14:textId="77777777" w:rsidR="008C5CFA" w:rsidRPr="009C3005" w:rsidRDefault="00E82A60" w:rsidP="00300A01">
            <w:pPr>
              <w:pStyle w:val="Text1"/>
              <w:spacing w:before="0" w:after="0"/>
              <w:ind w:left="0"/>
              <w:rPr>
                <w:sz w:val="12"/>
                <w:szCs w:val="12"/>
              </w:rPr>
            </w:pPr>
            <w:r>
              <w:rPr>
                <w:noProof/>
                <w:sz w:val="12"/>
                <w:szCs w:val="12"/>
              </w:rPr>
              <w:t>Słabiej rozwinięte</w:t>
            </w:r>
          </w:p>
        </w:tc>
        <w:tc>
          <w:tcPr>
            <w:tcW w:w="0" w:type="auto"/>
            <w:shd w:val="clear" w:color="auto" w:fill="auto"/>
          </w:tcPr>
          <w:p w14:paraId="39EF1AD3" w14:textId="77777777" w:rsidR="008C5CFA" w:rsidRPr="009C3005" w:rsidRDefault="00E82A60" w:rsidP="00300A01">
            <w:pPr>
              <w:pStyle w:val="Text1"/>
              <w:spacing w:before="0" w:after="0"/>
              <w:ind w:left="0"/>
              <w:rPr>
                <w:sz w:val="12"/>
                <w:szCs w:val="12"/>
              </w:rPr>
            </w:pPr>
            <w:r>
              <w:rPr>
                <w:noProof/>
                <w:sz w:val="12"/>
                <w:szCs w:val="12"/>
              </w:rPr>
              <w:t>112</w:t>
            </w:r>
          </w:p>
        </w:tc>
        <w:tc>
          <w:tcPr>
            <w:tcW w:w="0" w:type="auto"/>
            <w:shd w:val="clear" w:color="auto" w:fill="auto"/>
          </w:tcPr>
          <w:p w14:paraId="24E4E15A"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7BA60538"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2B233925"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01540767" w14:textId="77777777" w:rsidR="008C5CFA" w:rsidRPr="009C3005" w:rsidRDefault="008C5CFA" w:rsidP="00300A01">
            <w:pPr>
              <w:pStyle w:val="Text1"/>
              <w:spacing w:before="0" w:after="0"/>
              <w:ind w:left="0"/>
              <w:rPr>
                <w:sz w:val="12"/>
                <w:szCs w:val="12"/>
              </w:rPr>
            </w:pPr>
          </w:p>
        </w:tc>
        <w:tc>
          <w:tcPr>
            <w:tcW w:w="0" w:type="auto"/>
            <w:shd w:val="clear" w:color="auto" w:fill="auto"/>
          </w:tcPr>
          <w:p w14:paraId="0FACAE6C" w14:textId="77777777" w:rsidR="008C5CFA" w:rsidRPr="009C3005" w:rsidRDefault="00E82A60" w:rsidP="00300A01">
            <w:pPr>
              <w:pStyle w:val="Text1"/>
              <w:spacing w:before="0" w:after="0"/>
              <w:ind w:left="0"/>
              <w:rPr>
                <w:sz w:val="12"/>
                <w:szCs w:val="12"/>
              </w:rPr>
            </w:pPr>
            <w:r>
              <w:rPr>
                <w:noProof/>
                <w:sz w:val="12"/>
                <w:szCs w:val="12"/>
              </w:rPr>
              <w:t>08</w:t>
            </w:r>
            <w:r>
              <w:rPr>
                <w:sz w:val="12"/>
                <w:szCs w:val="12"/>
              </w:rPr>
              <w:t xml:space="preserve"> </w:t>
            </w:r>
          </w:p>
        </w:tc>
        <w:tc>
          <w:tcPr>
            <w:tcW w:w="0" w:type="auto"/>
            <w:shd w:val="clear" w:color="auto" w:fill="auto"/>
          </w:tcPr>
          <w:p w14:paraId="6EAC1AF5" w14:textId="77777777" w:rsidR="008C5CFA" w:rsidRPr="009C3005" w:rsidRDefault="00E82A60" w:rsidP="00300A01">
            <w:pPr>
              <w:pStyle w:val="Text1"/>
              <w:spacing w:before="0" w:after="0"/>
              <w:ind w:left="0"/>
              <w:rPr>
                <w:sz w:val="12"/>
                <w:szCs w:val="12"/>
              </w:rPr>
            </w:pPr>
            <w:r>
              <w:rPr>
                <w:noProof/>
                <w:sz w:val="12"/>
                <w:szCs w:val="12"/>
              </w:rPr>
              <w:t>21</w:t>
            </w:r>
          </w:p>
        </w:tc>
        <w:tc>
          <w:tcPr>
            <w:tcW w:w="0" w:type="auto"/>
            <w:shd w:val="clear" w:color="auto" w:fill="auto"/>
          </w:tcPr>
          <w:p w14:paraId="5B931769" w14:textId="77777777" w:rsidR="008C5CFA" w:rsidRPr="009C3005" w:rsidRDefault="00E82A60" w:rsidP="00300A01">
            <w:pPr>
              <w:pStyle w:val="Text1"/>
              <w:spacing w:before="0" w:after="0"/>
              <w:ind w:left="0"/>
              <w:rPr>
                <w:sz w:val="12"/>
                <w:szCs w:val="12"/>
              </w:rPr>
            </w:pPr>
            <w:r>
              <w:rPr>
                <w:noProof/>
                <w:sz w:val="12"/>
                <w:szCs w:val="12"/>
              </w:rPr>
              <w:t>PL33</w:t>
            </w:r>
          </w:p>
        </w:tc>
        <w:tc>
          <w:tcPr>
            <w:tcW w:w="0" w:type="auto"/>
            <w:shd w:val="clear" w:color="auto" w:fill="auto"/>
          </w:tcPr>
          <w:p w14:paraId="34F5F6AE" w14:textId="77777777" w:rsidR="008C5CFA" w:rsidRPr="009C3005" w:rsidRDefault="00E82A60" w:rsidP="00300A01">
            <w:pPr>
              <w:pStyle w:val="Text1"/>
              <w:spacing w:before="0" w:after="0"/>
              <w:ind w:left="0"/>
              <w:jc w:val="right"/>
              <w:rPr>
                <w:sz w:val="12"/>
                <w:szCs w:val="12"/>
              </w:rPr>
            </w:pPr>
            <w:r w:rsidRPr="009C3005">
              <w:rPr>
                <w:noProof/>
                <w:sz w:val="12"/>
                <w:szCs w:val="12"/>
              </w:rPr>
              <w:t>415 976,78</w:t>
            </w:r>
          </w:p>
        </w:tc>
        <w:tc>
          <w:tcPr>
            <w:tcW w:w="0" w:type="auto"/>
            <w:shd w:val="clear" w:color="auto" w:fill="auto"/>
          </w:tcPr>
          <w:p w14:paraId="5B053B63" w14:textId="77777777" w:rsidR="008C5CFA" w:rsidRPr="009C3005" w:rsidRDefault="00E82A60" w:rsidP="00300A01">
            <w:pPr>
              <w:pStyle w:val="Text1"/>
              <w:spacing w:before="0" w:after="0"/>
              <w:ind w:left="0"/>
              <w:jc w:val="right"/>
              <w:rPr>
                <w:sz w:val="12"/>
                <w:szCs w:val="12"/>
              </w:rPr>
            </w:pPr>
            <w:r w:rsidRPr="009C3005">
              <w:rPr>
                <w:noProof/>
                <w:sz w:val="12"/>
                <w:szCs w:val="12"/>
              </w:rPr>
              <w:t>412 030,06</w:t>
            </w:r>
          </w:p>
        </w:tc>
        <w:tc>
          <w:tcPr>
            <w:tcW w:w="0" w:type="auto"/>
            <w:shd w:val="clear" w:color="auto" w:fill="auto"/>
          </w:tcPr>
          <w:p w14:paraId="72C43E6C" w14:textId="77777777" w:rsidR="008C5CFA" w:rsidRPr="009C3005" w:rsidRDefault="00E82A60" w:rsidP="00300A01">
            <w:pPr>
              <w:pStyle w:val="Text1"/>
              <w:spacing w:before="0" w:after="0"/>
              <w:ind w:left="0"/>
              <w:jc w:val="right"/>
              <w:rPr>
                <w:sz w:val="12"/>
                <w:szCs w:val="12"/>
              </w:rPr>
            </w:pPr>
            <w:r w:rsidRPr="009C3005">
              <w:rPr>
                <w:noProof/>
                <w:sz w:val="12"/>
                <w:szCs w:val="12"/>
              </w:rPr>
              <w:t>364 950,37</w:t>
            </w:r>
          </w:p>
        </w:tc>
        <w:tc>
          <w:tcPr>
            <w:tcW w:w="0" w:type="auto"/>
            <w:shd w:val="clear" w:color="auto" w:fill="auto"/>
          </w:tcPr>
          <w:p w14:paraId="6D9B9FEE" w14:textId="77777777" w:rsidR="008C5CFA" w:rsidRPr="009C3005" w:rsidRDefault="00E82A60" w:rsidP="00300A01">
            <w:pPr>
              <w:pStyle w:val="Text1"/>
              <w:spacing w:before="0" w:after="0"/>
              <w:ind w:left="0"/>
              <w:jc w:val="right"/>
              <w:rPr>
                <w:sz w:val="12"/>
                <w:szCs w:val="12"/>
              </w:rPr>
            </w:pPr>
            <w:r w:rsidRPr="009C3005">
              <w:rPr>
                <w:noProof/>
                <w:sz w:val="12"/>
                <w:szCs w:val="12"/>
              </w:rPr>
              <w:t>3</w:t>
            </w:r>
          </w:p>
        </w:tc>
      </w:tr>
      <w:tr w:rsidR="006B2EC1" w14:paraId="0BE4A45B" w14:textId="77777777" w:rsidTr="0047688D">
        <w:tc>
          <w:tcPr>
            <w:tcW w:w="0" w:type="auto"/>
            <w:shd w:val="clear" w:color="auto" w:fill="auto"/>
          </w:tcPr>
          <w:p w14:paraId="47A8FB44" w14:textId="77777777" w:rsidR="008C5CFA" w:rsidRPr="009C3005" w:rsidRDefault="00E82A60" w:rsidP="00300A01">
            <w:pPr>
              <w:pStyle w:val="Text1"/>
              <w:spacing w:before="0" w:after="0"/>
              <w:ind w:left="0"/>
              <w:rPr>
                <w:sz w:val="12"/>
                <w:szCs w:val="12"/>
              </w:rPr>
            </w:pPr>
            <w:r>
              <w:rPr>
                <w:noProof/>
                <w:sz w:val="14"/>
                <w:szCs w:val="14"/>
                <w:lang w:val="fr-BE"/>
              </w:rPr>
              <w:lastRenderedPageBreak/>
              <w:t>9</w:t>
            </w:r>
          </w:p>
        </w:tc>
        <w:tc>
          <w:tcPr>
            <w:tcW w:w="0" w:type="auto"/>
            <w:shd w:val="clear" w:color="auto" w:fill="auto"/>
          </w:tcPr>
          <w:p w14:paraId="38BC3C77" w14:textId="77777777" w:rsidR="008C5CFA" w:rsidRPr="009C3005" w:rsidRDefault="00E82A60" w:rsidP="00300A01">
            <w:pPr>
              <w:pStyle w:val="Text1"/>
              <w:spacing w:before="0" w:after="0"/>
              <w:ind w:left="0"/>
              <w:rPr>
                <w:sz w:val="12"/>
                <w:szCs w:val="12"/>
              </w:rPr>
            </w:pPr>
            <w:r>
              <w:rPr>
                <w:noProof/>
                <w:sz w:val="12"/>
                <w:szCs w:val="12"/>
              </w:rPr>
              <w:t>EFS</w:t>
            </w:r>
          </w:p>
        </w:tc>
        <w:tc>
          <w:tcPr>
            <w:tcW w:w="0" w:type="auto"/>
            <w:shd w:val="clear" w:color="auto" w:fill="auto"/>
          </w:tcPr>
          <w:p w14:paraId="28687620" w14:textId="77777777" w:rsidR="008C5CFA" w:rsidRPr="009C3005" w:rsidRDefault="00E82A60" w:rsidP="00300A01">
            <w:pPr>
              <w:pStyle w:val="Text1"/>
              <w:spacing w:before="0" w:after="0"/>
              <w:ind w:left="0"/>
              <w:rPr>
                <w:sz w:val="12"/>
                <w:szCs w:val="12"/>
              </w:rPr>
            </w:pPr>
            <w:r>
              <w:rPr>
                <w:noProof/>
                <w:sz w:val="12"/>
                <w:szCs w:val="12"/>
              </w:rPr>
              <w:t>Słabiej rozwinięte</w:t>
            </w:r>
          </w:p>
        </w:tc>
        <w:tc>
          <w:tcPr>
            <w:tcW w:w="0" w:type="auto"/>
            <w:shd w:val="clear" w:color="auto" w:fill="auto"/>
          </w:tcPr>
          <w:p w14:paraId="4A887BBF" w14:textId="77777777" w:rsidR="008C5CFA" w:rsidRPr="009C3005" w:rsidRDefault="00E82A60" w:rsidP="00300A01">
            <w:pPr>
              <w:pStyle w:val="Text1"/>
              <w:spacing w:before="0" w:after="0"/>
              <w:ind w:left="0"/>
              <w:rPr>
                <w:sz w:val="12"/>
                <w:szCs w:val="12"/>
              </w:rPr>
            </w:pPr>
            <w:r>
              <w:rPr>
                <w:noProof/>
                <w:sz w:val="12"/>
                <w:szCs w:val="12"/>
              </w:rPr>
              <w:t>112</w:t>
            </w:r>
          </w:p>
        </w:tc>
        <w:tc>
          <w:tcPr>
            <w:tcW w:w="0" w:type="auto"/>
            <w:shd w:val="clear" w:color="auto" w:fill="auto"/>
          </w:tcPr>
          <w:p w14:paraId="71002B38"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2E870592"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0CED8031"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0E5B9C97" w14:textId="77777777" w:rsidR="008C5CFA" w:rsidRPr="009C3005" w:rsidRDefault="008C5CFA" w:rsidP="00300A01">
            <w:pPr>
              <w:pStyle w:val="Text1"/>
              <w:spacing w:before="0" w:after="0"/>
              <w:ind w:left="0"/>
              <w:rPr>
                <w:sz w:val="12"/>
                <w:szCs w:val="12"/>
              </w:rPr>
            </w:pPr>
          </w:p>
        </w:tc>
        <w:tc>
          <w:tcPr>
            <w:tcW w:w="0" w:type="auto"/>
            <w:shd w:val="clear" w:color="auto" w:fill="auto"/>
          </w:tcPr>
          <w:p w14:paraId="6B92F697" w14:textId="77777777" w:rsidR="008C5CFA" w:rsidRPr="009C3005" w:rsidRDefault="00E82A60" w:rsidP="00300A01">
            <w:pPr>
              <w:pStyle w:val="Text1"/>
              <w:spacing w:before="0" w:after="0"/>
              <w:ind w:left="0"/>
              <w:rPr>
                <w:sz w:val="12"/>
                <w:szCs w:val="12"/>
              </w:rPr>
            </w:pPr>
            <w:r>
              <w:rPr>
                <w:noProof/>
                <w:sz w:val="12"/>
                <w:szCs w:val="12"/>
              </w:rPr>
              <w:t>08</w:t>
            </w:r>
            <w:r>
              <w:rPr>
                <w:sz w:val="12"/>
                <w:szCs w:val="12"/>
              </w:rPr>
              <w:t xml:space="preserve"> </w:t>
            </w:r>
          </w:p>
        </w:tc>
        <w:tc>
          <w:tcPr>
            <w:tcW w:w="0" w:type="auto"/>
            <w:shd w:val="clear" w:color="auto" w:fill="auto"/>
          </w:tcPr>
          <w:p w14:paraId="000ADF5E" w14:textId="77777777" w:rsidR="008C5CFA" w:rsidRPr="009C3005" w:rsidRDefault="00E82A60" w:rsidP="00300A01">
            <w:pPr>
              <w:pStyle w:val="Text1"/>
              <w:spacing w:before="0" w:after="0"/>
              <w:ind w:left="0"/>
              <w:rPr>
                <w:sz w:val="12"/>
                <w:szCs w:val="12"/>
              </w:rPr>
            </w:pPr>
            <w:r>
              <w:rPr>
                <w:noProof/>
                <w:sz w:val="12"/>
                <w:szCs w:val="12"/>
              </w:rPr>
              <w:t>18</w:t>
            </w:r>
          </w:p>
        </w:tc>
        <w:tc>
          <w:tcPr>
            <w:tcW w:w="0" w:type="auto"/>
            <w:shd w:val="clear" w:color="auto" w:fill="auto"/>
          </w:tcPr>
          <w:p w14:paraId="3C27CAD4" w14:textId="77777777" w:rsidR="008C5CFA" w:rsidRPr="009C3005" w:rsidRDefault="00E82A60" w:rsidP="00300A01">
            <w:pPr>
              <w:pStyle w:val="Text1"/>
              <w:spacing w:before="0" w:after="0"/>
              <w:ind w:left="0"/>
              <w:rPr>
                <w:sz w:val="12"/>
                <w:szCs w:val="12"/>
              </w:rPr>
            </w:pPr>
            <w:r>
              <w:rPr>
                <w:noProof/>
                <w:sz w:val="12"/>
                <w:szCs w:val="12"/>
              </w:rPr>
              <w:t>PL33</w:t>
            </w:r>
          </w:p>
        </w:tc>
        <w:tc>
          <w:tcPr>
            <w:tcW w:w="0" w:type="auto"/>
            <w:shd w:val="clear" w:color="auto" w:fill="auto"/>
          </w:tcPr>
          <w:p w14:paraId="5D9CEAE7" w14:textId="77777777" w:rsidR="008C5CFA" w:rsidRPr="009C3005" w:rsidRDefault="00E82A60" w:rsidP="00300A01">
            <w:pPr>
              <w:pStyle w:val="Text1"/>
              <w:spacing w:before="0" w:after="0"/>
              <w:ind w:left="0"/>
              <w:jc w:val="right"/>
              <w:rPr>
                <w:sz w:val="12"/>
                <w:szCs w:val="12"/>
              </w:rPr>
            </w:pPr>
            <w:r w:rsidRPr="009C3005">
              <w:rPr>
                <w:noProof/>
                <w:sz w:val="12"/>
                <w:szCs w:val="12"/>
              </w:rPr>
              <w:t>7 547 191,61</w:t>
            </w:r>
          </w:p>
        </w:tc>
        <w:tc>
          <w:tcPr>
            <w:tcW w:w="0" w:type="auto"/>
            <w:shd w:val="clear" w:color="auto" w:fill="auto"/>
          </w:tcPr>
          <w:p w14:paraId="67EC76C2" w14:textId="77777777" w:rsidR="008C5CFA" w:rsidRPr="009C3005" w:rsidRDefault="00E82A60" w:rsidP="00300A01">
            <w:pPr>
              <w:pStyle w:val="Text1"/>
              <w:spacing w:before="0" w:after="0"/>
              <w:ind w:left="0"/>
              <w:jc w:val="right"/>
              <w:rPr>
                <w:sz w:val="12"/>
                <w:szCs w:val="12"/>
              </w:rPr>
            </w:pPr>
            <w:r w:rsidRPr="009C3005">
              <w:rPr>
                <w:noProof/>
                <w:sz w:val="12"/>
                <w:szCs w:val="12"/>
              </w:rPr>
              <w:t>7 488 502,02</w:t>
            </w:r>
          </w:p>
        </w:tc>
        <w:tc>
          <w:tcPr>
            <w:tcW w:w="0" w:type="auto"/>
            <w:shd w:val="clear" w:color="auto" w:fill="auto"/>
          </w:tcPr>
          <w:p w14:paraId="7594DE52" w14:textId="77777777" w:rsidR="008C5CFA" w:rsidRPr="009C3005" w:rsidRDefault="00E82A60" w:rsidP="00300A01">
            <w:pPr>
              <w:pStyle w:val="Text1"/>
              <w:spacing w:before="0" w:after="0"/>
              <w:ind w:left="0"/>
              <w:jc w:val="right"/>
              <w:rPr>
                <w:sz w:val="12"/>
                <w:szCs w:val="12"/>
              </w:rPr>
            </w:pPr>
            <w:r w:rsidRPr="009C3005">
              <w:rPr>
                <w:noProof/>
                <w:sz w:val="12"/>
                <w:szCs w:val="12"/>
              </w:rPr>
              <w:t>2 483 376,54</w:t>
            </w:r>
          </w:p>
        </w:tc>
        <w:tc>
          <w:tcPr>
            <w:tcW w:w="0" w:type="auto"/>
            <w:shd w:val="clear" w:color="auto" w:fill="auto"/>
          </w:tcPr>
          <w:p w14:paraId="6B21D491" w14:textId="77777777" w:rsidR="008C5CFA" w:rsidRPr="009C3005" w:rsidRDefault="00E82A60" w:rsidP="00300A01">
            <w:pPr>
              <w:pStyle w:val="Text1"/>
              <w:spacing w:before="0" w:after="0"/>
              <w:ind w:left="0"/>
              <w:jc w:val="right"/>
              <w:rPr>
                <w:sz w:val="12"/>
                <w:szCs w:val="12"/>
              </w:rPr>
            </w:pPr>
            <w:r w:rsidRPr="009C3005">
              <w:rPr>
                <w:noProof/>
                <w:sz w:val="12"/>
                <w:szCs w:val="12"/>
              </w:rPr>
              <w:t>19</w:t>
            </w:r>
          </w:p>
        </w:tc>
      </w:tr>
      <w:tr w:rsidR="006B2EC1" w14:paraId="00C8E737" w14:textId="77777777" w:rsidTr="0047688D">
        <w:tc>
          <w:tcPr>
            <w:tcW w:w="0" w:type="auto"/>
            <w:shd w:val="clear" w:color="auto" w:fill="auto"/>
          </w:tcPr>
          <w:p w14:paraId="5D81FD44" w14:textId="77777777" w:rsidR="008C5CFA" w:rsidRPr="009C3005" w:rsidRDefault="00E82A60" w:rsidP="00300A01">
            <w:pPr>
              <w:pStyle w:val="Text1"/>
              <w:spacing w:before="0" w:after="0"/>
              <w:ind w:left="0"/>
              <w:rPr>
                <w:sz w:val="12"/>
                <w:szCs w:val="12"/>
              </w:rPr>
            </w:pPr>
            <w:r>
              <w:rPr>
                <w:noProof/>
                <w:sz w:val="14"/>
                <w:szCs w:val="14"/>
                <w:lang w:val="fr-BE"/>
              </w:rPr>
              <w:t>9</w:t>
            </w:r>
          </w:p>
        </w:tc>
        <w:tc>
          <w:tcPr>
            <w:tcW w:w="0" w:type="auto"/>
            <w:shd w:val="clear" w:color="auto" w:fill="auto"/>
          </w:tcPr>
          <w:p w14:paraId="5EDDFB1C" w14:textId="77777777" w:rsidR="008C5CFA" w:rsidRPr="009C3005" w:rsidRDefault="00E82A60" w:rsidP="00300A01">
            <w:pPr>
              <w:pStyle w:val="Text1"/>
              <w:spacing w:before="0" w:after="0"/>
              <w:ind w:left="0"/>
              <w:rPr>
                <w:sz w:val="12"/>
                <w:szCs w:val="12"/>
              </w:rPr>
            </w:pPr>
            <w:r>
              <w:rPr>
                <w:noProof/>
                <w:sz w:val="12"/>
                <w:szCs w:val="12"/>
              </w:rPr>
              <w:t>EFS</w:t>
            </w:r>
          </w:p>
        </w:tc>
        <w:tc>
          <w:tcPr>
            <w:tcW w:w="0" w:type="auto"/>
            <w:shd w:val="clear" w:color="auto" w:fill="auto"/>
          </w:tcPr>
          <w:p w14:paraId="04F7401C" w14:textId="77777777" w:rsidR="008C5CFA" w:rsidRPr="009C3005" w:rsidRDefault="00E82A60" w:rsidP="00300A01">
            <w:pPr>
              <w:pStyle w:val="Text1"/>
              <w:spacing w:before="0" w:after="0"/>
              <w:ind w:left="0"/>
              <w:rPr>
                <w:sz w:val="12"/>
                <w:szCs w:val="12"/>
              </w:rPr>
            </w:pPr>
            <w:r>
              <w:rPr>
                <w:noProof/>
                <w:sz w:val="12"/>
                <w:szCs w:val="12"/>
              </w:rPr>
              <w:t>Słabiej rozwinięte</w:t>
            </w:r>
          </w:p>
        </w:tc>
        <w:tc>
          <w:tcPr>
            <w:tcW w:w="0" w:type="auto"/>
            <w:shd w:val="clear" w:color="auto" w:fill="auto"/>
          </w:tcPr>
          <w:p w14:paraId="1C632AF8" w14:textId="77777777" w:rsidR="008C5CFA" w:rsidRPr="009C3005" w:rsidRDefault="00E82A60" w:rsidP="00300A01">
            <w:pPr>
              <w:pStyle w:val="Text1"/>
              <w:spacing w:before="0" w:after="0"/>
              <w:ind w:left="0"/>
              <w:rPr>
                <w:sz w:val="12"/>
                <w:szCs w:val="12"/>
              </w:rPr>
            </w:pPr>
            <w:r>
              <w:rPr>
                <w:noProof/>
                <w:sz w:val="12"/>
                <w:szCs w:val="12"/>
              </w:rPr>
              <w:t>112</w:t>
            </w:r>
          </w:p>
        </w:tc>
        <w:tc>
          <w:tcPr>
            <w:tcW w:w="0" w:type="auto"/>
            <w:shd w:val="clear" w:color="auto" w:fill="auto"/>
          </w:tcPr>
          <w:p w14:paraId="237439CC"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3CDA0873"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1382E63E"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1FC7906C" w14:textId="77777777" w:rsidR="008C5CFA" w:rsidRPr="009C3005" w:rsidRDefault="008C5CFA" w:rsidP="00300A01">
            <w:pPr>
              <w:pStyle w:val="Text1"/>
              <w:spacing w:before="0" w:after="0"/>
              <w:ind w:left="0"/>
              <w:rPr>
                <w:sz w:val="12"/>
                <w:szCs w:val="12"/>
              </w:rPr>
            </w:pPr>
          </w:p>
        </w:tc>
        <w:tc>
          <w:tcPr>
            <w:tcW w:w="0" w:type="auto"/>
            <w:shd w:val="clear" w:color="auto" w:fill="auto"/>
          </w:tcPr>
          <w:p w14:paraId="45FC460B" w14:textId="77777777" w:rsidR="008C5CFA" w:rsidRPr="009C3005" w:rsidRDefault="00E82A60" w:rsidP="00300A01">
            <w:pPr>
              <w:pStyle w:val="Text1"/>
              <w:spacing w:before="0" w:after="0"/>
              <w:ind w:left="0"/>
              <w:rPr>
                <w:sz w:val="12"/>
                <w:szCs w:val="12"/>
              </w:rPr>
            </w:pPr>
            <w:r>
              <w:rPr>
                <w:noProof/>
                <w:sz w:val="12"/>
                <w:szCs w:val="12"/>
              </w:rPr>
              <w:t>08</w:t>
            </w:r>
            <w:r>
              <w:rPr>
                <w:sz w:val="12"/>
                <w:szCs w:val="12"/>
              </w:rPr>
              <w:t xml:space="preserve"> </w:t>
            </w:r>
          </w:p>
        </w:tc>
        <w:tc>
          <w:tcPr>
            <w:tcW w:w="0" w:type="auto"/>
            <w:shd w:val="clear" w:color="auto" w:fill="auto"/>
          </w:tcPr>
          <w:p w14:paraId="7A17E06B" w14:textId="77777777" w:rsidR="008C5CFA" w:rsidRPr="009C3005" w:rsidRDefault="00E82A60" w:rsidP="00300A01">
            <w:pPr>
              <w:pStyle w:val="Text1"/>
              <w:spacing w:before="0" w:after="0"/>
              <w:ind w:left="0"/>
              <w:rPr>
                <w:sz w:val="12"/>
                <w:szCs w:val="12"/>
              </w:rPr>
            </w:pPr>
            <w:r>
              <w:rPr>
                <w:noProof/>
                <w:sz w:val="12"/>
                <w:szCs w:val="12"/>
              </w:rPr>
              <w:t>19</w:t>
            </w:r>
          </w:p>
        </w:tc>
        <w:tc>
          <w:tcPr>
            <w:tcW w:w="0" w:type="auto"/>
            <w:shd w:val="clear" w:color="auto" w:fill="auto"/>
          </w:tcPr>
          <w:p w14:paraId="01097391" w14:textId="77777777" w:rsidR="008C5CFA" w:rsidRPr="009C3005" w:rsidRDefault="00E82A60" w:rsidP="00300A01">
            <w:pPr>
              <w:pStyle w:val="Text1"/>
              <w:spacing w:before="0" w:after="0"/>
              <w:ind w:left="0"/>
              <w:rPr>
                <w:sz w:val="12"/>
                <w:szCs w:val="12"/>
              </w:rPr>
            </w:pPr>
            <w:r>
              <w:rPr>
                <w:noProof/>
                <w:sz w:val="12"/>
                <w:szCs w:val="12"/>
              </w:rPr>
              <w:t>PL33</w:t>
            </w:r>
          </w:p>
        </w:tc>
        <w:tc>
          <w:tcPr>
            <w:tcW w:w="0" w:type="auto"/>
            <w:shd w:val="clear" w:color="auto" w:fill="auto"/>
          </w:tcPr>
          <w:p w14:paraId="62A33D8B" w14:textId="77777777" w:rsidR="008C5CFA" w:rsidRPr="009C3005" w:rsidRDefault="00E82A60" w:rsidP="00300A01">
            <w:pPr>
              <w:pStyle w:val="Text1"/>
              <w:spacing w:before="0" w:after="0"/>
              <w:ind w:left="0"/>
              <w:jc w:val="right"/>
              <w:rPr>
                <w:sz w:val="12"/>
                <w:szCs w:val="12"/>
              </w:rPr>
            </w:pPr>
            <w:r w:rsidRPr="009C3005">
              <w:rPr>
                <w:noProof/>
                <w:sz w:val="12"/>
                <w:szCs w:val="12"/>
              </w:rPr>
              <w:t>1 683 985,84</w:t>
            </w:r>
          </w:p>
        </w:tc>
        <w:tc>
          <w:tcPr>
            <w:tcW w:w="0" w:type="auto"/>
            <w:shd w:val="clear" w:color="auto" w:fill="auto"/>
          </w:tcPr>
          <w:p w14:paraId="2B7CDC5C" w14:textId="77777777" w:rsidR="008C5CFA" w:rsidRPr="009C3005" w:rsidRDefault="00E82A60" w:rsidP="00300A01">
            <w:pPr>
              <w:pStyle w:val="Text1"/>
              <w:spacing w:before="0" w:after="0"/>
              <w:ind w:left="0"/>
              <w:jc w:val="right"/>
              <w:rPr>
                <w:sz w:val="12"/>
                <w:szCs w:val="12"/>
              </w:rPr>
            </w:pPr>
            <w:r w:rsidRPr="009C3005">
              <w:rPr>
                <w:noProof/>
                <w:sz w:val="12"/>
                <w:szCs w:val="12"/>
              </w:rPr>
              <w:t>1 621 961,27</w:t>
            </w:r>
          </w:p>
        </w:tc>
        <w:tc>
          <w:tcPr>
            <w:tcW w:w="0" w:type="auto"/>
            <w:shd w:val="clear" w:color="auto" w:fill="auto"/>
          </w:tcPr>
          <w:p w14:paraId="701E72B6" w14:textId="77777777" w:rsidR="008C5CFA" w:rsidRPr="009C3005" w:rsidRDefault="00E82A60" w:rsidP="00300A01">
            <w:pPr>
              <w:pStyle w:val="Text1"/>
              <w:spacing w:before="0" w:after="0"/>
              <w:ind w:left="0"/>
              <w:jc w:val="right"/>
              <w:rPr>
                <w:sz w:val="12"/>
                <w:szCs w:val="12"/>
              </w:rPr>
            </w:pPr>
            <w:r w:rsidRPr="009C3005">
              <w:rPr>
                <w:noProof/>
                <w:sz w:val="12"/>
                <w:szCs w:val="12"/>
              </w:rPr>
              <w:t>539 090,50</w:t>
            </w:r>
          </w:p>
        </w:tc>
        <w:tc>
          <w:tcPr>
            <w:tcW w:w="0" w:type="auto"/>
            <w:shd w:val="clear" w:color="auto" w:fill="auto"/>
          </w:tcPr>
          <w:p w14:paraId="5B23A049" w14:textId="77777777" w:rsidR="008C5CFA" w:rsidRPr="009C3005" w:rsidRDefault="00E82A60" w:rsidP="00300A01">
            <w:pPr>
              <w:pStyle w:val="Text1"/>
              <w:spacing w:before="0" w:after="0"/>
              <w:ind w:left="0"/>
              <w:jc w:val="right"/>
              <w:rPr>
                <w:sz w:val="12"/>
                <w:szCs w:val="12"/>
              </w:rPr>
            </w:pPr>
            <w:r w:rsidRPr="009C3005">
              <w:rPr>
                <w:noProof/>
                <w:sz w:val="12"/>
                <w:szCs w:val="12"/>
              </w:rPr>
              <w:t>8</w:t>
            </w:r>
          </w:p>
        </w:tc>
      </w:tr>
      <w:tr w:rsidR="006B2EC1" w14:paraId="435F49B7" w14:textId="77777777" w:rsidTr="0047688D">
        <w:tc>
          <w:tcPr>
            <w:tcW w:w="0" w:type="auto"/>
            <w:shd w:val="clear" w:color="auto" w:fill="auto"/>
          </w:tcPr>
          <w:p w14:paraId="365AE287" w14:textId="77777777" w:rsidR="008C5CFA" w:rsidRPr="009C3005" w:rsidRDefault="00E82A60" w:rsidP="00300A01">
            <w:pPr>
              <w:pStyle w:val="Text1"/>
              <w:spacing w:before="0" w:after="0"/>
              <w:ind w:left="0"/>
              <w:rPr>
                <w:sz w:val="12"/>
                <w:szCs w:val="12"/>
              </w:rPr>
            </w:pPr>
            <w:r>
              <w:rPr>
                <w:noProof/>
                <w:sz w:val="14"/>
                <w:szCs w:val="14"/>
                <w:lang w:val="fr-BE"/>
              </w:rPr>
              <w:t>9</w:t>
            </w:r>
          </w:p>
        </w:tc>
        <w:tc>
          <w:tcPr>
            <w:tcW w:w="0" w:type="auto"/>
            <w:shd w:val="clear" w:color="auto" w:fill="auto"/>
          </w:tcPr>
          <w:p w14:paraId="57B11BB3" w14:textId="77777777" w:rsidR="008C5CFA" w:rsidRPr="009C3005" w:rsidRDefault="00E82A60" w:rsidP="00300A01">
            <w:pPr>
              <w:pStyle w:val="Text1"/>
              <w:spacing w:before="0" w:after="0"/>
              <w:ind w:left="0"/>
              <w:rPr>
                <w:sz w:val="12"/>
                <w:szCs w:val="12"/>
              </w:rPr>
            </w:pPr>
            <w:r>
              <w:rPr>
                <w:noProof/>
                <w:sz w:val="12"/>
                <w:szCs w:val="12"/>
              </w:rPr>
              <w:t>EFS</w:t>
            </w:r>
          </w:p>
        </w:tc>
        <w:tc>
          <w:tcPr>
            <w:tcW w:w="0" w:type="auto"/>
            <w:shd w:val="clear" w:color="auto" w:fill="auto"/>
          </w:tcPr>
          <w:p w14:paraId="40809258" w14:textId="77777777" w:rsidR="008C5CFA" w:rsidRPr="009C3005" w:rsidRDefault="00E82A60" w:rsidP="00300A01">
            <w:pPr>
              <w:pStyle w:val="Text1"/>
              <w:spacing w:before="0" w:after="0"/>
              <w:ind w:left="0"/>
              <w:rPr>
                <w:sz w:val="12"/>
                <w:szCs w:val="12"/>
              </w:rPr>
            </w:pPr>
            <w:r>
              <w:rPr>
                <w:noProof/>
                <w:sz w:val="12"/>
                <w:szCs w:val="12"/>
              </w:rPr>
              <w:t>Słabiej rozwinięte</w:t>
            </w:r>
          </w:p>
        </w:tc>
        <w:tc>
          <w:tcPr>
            <w:tcW w:w="0" w:type="auto"/>
            <w:shd w:val="clear" w:color="auto" w:fill="auto"/>
          </w:tcPr>
          <w:p w14:paraId="1F7B1E86" w14:textId="77777777" w:rsidR="008C5CFA" w:rsidRPr="009C3005" w:rsidRDefault="00E82A60" w:rsidP="00300A01">
            <w:pPr>
              <w:pStyle w:val="Text1"/>
              <w:spacing w:before="0" w:after="0"/>
              <w:ind w:left="0"/>
              <w:rPr>
                <w:sz w:val="12"/>
                <w:szCs w:val="12"/>
              </w:rPr>
            </w:pPr>
            <w:r>
              <w:rPr>
                <w:noProof/>
                <w:sz w:val="12"/>
                <w:szCs w:val="12"/>
              </w:rPr>
              <w:t>112</w:t>
            </w:r>
          </w:p>
        </w:tc>
        <w:tc>
          <w:tcPr>
            <w:tcW w:w="0" w:type="auto"/>
            <w:shd w:val="clear" w:color="auto" w:fill="auto"/>
          </w:tcPr>
          <w:p w14:paraId="514ECB60"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56DD13C4"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7A4C23A3"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56001176" w14:textId="77777777" w:rsidR="008C5CFA" w:rsidRPr="009C3005" w:rsidRDefault="008C5CFA" w:rsidP="00300A01">
            <w:pPr>
              <w:pStyle w:val="Text1"/>
              <w:spacing w:before="0" w:after="0"/>
              <w:ind w:left="0"/>
              <w:rPr>
                <w:sz w:val="12"/>
                <w:szCs w:val="12"/>
              </w:rPr>
            </w:pPr>
          </w:p>
        </w:tc>
        <w:tc>
          <w:tcPr>
            <w:tcW w:w="0" w:type="auto"/>
            <w:shd w:val="clear" w:color="auto" w:fill="auto"/>
          </w:tcPr>
          <w:p w14:paraId="5BAAAF69" w14:textId="77777777" w:rsidR="008C5CFA" w:rsidRPr="009C3005" w:rsidRDefault="00E82A60" w:rsidP="00300A01">
            <w:pPr>
              <w:pStyle w:val="Text1"/>
              <w:spacing w:before="0" w:after="0"/>
              <w:ind w:left="0"/>
              <w:rPr>
                <w:sz w:val="12"/>
                <w:szCs w:val="12"/>
              </w:rPr>
            </w:pPr>
            <w:r>
              <w:rPr>
                <w:noProof/>
                <w:sz w:val="12"/>
                <w:szCs w:val="12"/>
              </w:rPr>
              <w:t>08</w:t>
            </w:r>
            <w:r>
              <w:rPr>
                <w:sz w:val="12"/>
                <w:szCs w:val="12"/>
              </w:rPr>
              <w:t xml:space="preserve"> </w:t>
            </w:r>
          </w:p>
        </w:tc>
        <w:tc>
          <w:tcPr>
            <w:tcW w:w="0" w:type="auto"/>
            <w:shd w:val="clear" w:color="auto" w:fill="auto"/>
          </w:tcPr>
          <w:p w14:paraId="3E183D4A" w14:textId="77777777" w:rsidR="008C5CFA" w:rsidRPr="009C3005" w:rsidRDefault="00E82A60" w:rsidP="00300A01">
            <w:pPr>
              <w:pStyle w:val="Text1"/>
              <w:spacing w:before="0" w:after="0"/>
              <w:ind w:left="0"/>
              <w:rPr>
                <w:sz w:val="12"/>
                <w:szCs w:val="12"/>
              </w:rPr>
            </w:pPr>
            <w:r>
              <w:rPr>
                <w:noProof/>
                <w:sz w:val="12"/>
                <w:szCs w:val="12"/>
              </w:rPr>
              <w:t>20</w:t>
            </w:r>
          </w:p>
        </w:tc>
        <w:tc>
          <w:tcPr>
            <w:tcW w:w="0" w:type="auto"/>
            <w:shd w:val="clear" w:color="auto" w:fill="auto"/>
          </w:tcPr>
          <w:p w14:paraId="42F41A2C" w14:textId="77777777" w:rsidR="008C5CFA" w:rsidRPr="009C3005" w:rsidRDefault="00E82A60" w:rsidP="00300A01">
            <w:pPr>
              <w:pStyle w:val="Text1"/>
              <w:spacing w:before="0" w:after="0"/>
              <w:ind w:left="0"/>
              <w:rPr>
                <w:sz w:val="12"/>
                <w:szCs w:val="12"/>
              </w:rPr>
            </w:pPr>
            <w:r>
              <w:rPr>
                <w:noProof/>
                <w:sz w:val="12"/>
                <w:szCs w:val="12"/>
              </w:rPr>
              <w:t>PL33</w:t>
            </w:r>
          </w:p>
        </w:tc>
        <w:tc>
          <w:tcPr>
            <w:tcW w:w="0" w:type="auto"/>
            <w:shd w:val="clear" w:color="auto" w:fill="auto"/>
          </w:tcPr>
          <w:p w14:paraId="299CDF1B" w14:textId="77777777" w:rsidR="008C5CFA" w:rsidRPr="009C3005" w:rsidRDefault="00E82A60" w:rsidP="00300A01">
            <w:pPr>
              <w:pStyle w:val="Text1"/>
              <w:spacing w:before="0" w:after="0"/>
              <w:ind w:left="0"/>
              <w:jc w:val="right"/>
              <w:rPr>
                <w:sz w:val="12"/>
                <w:szCs w:val="12"/>
              </w:rPr>
            </w:pPr>
            <w:r w:rsidRPr="009C3005">
              <w:rPr>
                <w:noProof/>
                <w:sz w:val="12"/>
                <w:szCs w:val="12"/>
              </w:rPr>
              <w:t>3 931 054,46</w:t>
            </w:r>
          </w:p>
        </w:tc>
        <w:tc>
          <w:tcPr>
            <w:tcW w:w="0" w:type="auto"/>
            <w:shd w:val="clear" w:color="auto" w:fill="auto"/>
          </w:tcPr>
          <w:p w14:paraId="0227CF7A" w14:textId="77777777" w:rsidR="008C5CFA" w:rsidRPr="009C3005" w:rsidRDefault="00E82A60" w:rsidP="00300A01">
            <w:pPr>
              <w:pStyle w:val="Text1"/>
              <w:spacing w:before="0" w:after="0"/>
              <w:ind w:left="0"/>
              <w:jc w:val="right"/>
              <w:rPr>
                <w:sz w:val="12"/>
                <w:szCs w:val="12"/>
              </w:rPr>
            </w:pPr>
            <w:r w:rsidRPr="009C3005">
              <w:rPr>
                <w:noProof/>
                <w:sz w:val="12"/>
                <w:szCs w:val="12"/>
              </w:rPr>
              <w:t>3 665 683,97</w:t>
            </w:r>
          </w:p>
        </w:tc>
        <w:tc>
          <w:tcPr>
            <w:tcW w:w="0" w:type="auto"/>
            <w:shd w:val="clear" w:color="auto" w:fill="auto"/>
          </w:tcPr>
          <w:p w14:paraId="4C4F256E" w14:textId="77777777" w:rsidR="008C5CFA" w:rsidRPr="009C3005" w:rsidRDefault="00E82A60" w:rsidP="00300A01">
            <w:pPr>
              <w:pStyle w:val="Text1"/>
              <w:spacing w:before="0" w:after="0"/>
              <w:ind w:left="0"/>
              <w:jc w:val="right"/>
              <w:rPr>
                <w:sz w:val="12"/>
                <w:szCs w:val="12"/>
              </w:rPr>
            </w:pPr>
            <w:r w:rsidRPr="009C3005">
              <w:rPr>
                <w:noProof/>
                <w:sz w:val="12"/>
                <w:szCs w:val="12"/>
              </w:rPr>
              <w:t>846 786,81</w:t>
            </w:r>
          </w:p>
        </w:tc>
        <w:tc>
          <w:tcPr>
            <w:tcW w:w="0" w:type="auto"/>
            <w:shd w:val="clear" w:color="auto" w:fill="auto"/>
          </w:tcPr>
          <w:p w14:paraId="135BC9F4" w14:textId="77777777" w:rsidR="008C5CFA" w:rsidRPr="009C3005" w:rsidRDefault="00E82A60" w:rsidP="00300A01">
            <w:pPr>
              <w:pStyle w:val="Text1"/>
              <w:spacing w:before="0" w:after="0"/>
              <w:ind w:left="0"/>
              <w:jc w:val="right"/>
              <w:rPr>
                <w:sz w:val="12"/>
                <w:szCs w:val="12"/>
              </w:rPr>
            </w:pPr>
            <w:r w:rsidRPr="009C3005">
              <w:rPr>
                <w:noProof/>
                <w:sz w:val="12"/>
                <w:szCs w:val="12"/>
              </w:rPr>
              <w:t>11</w:t>
            </w:r>
          </w:p>
        </w:tc>
      </w:tr>
      <w:tr w:rsidR="006B2EC1" w14:paraId="2133ABF2" w14:textId="77777777" w:rsidTr="0047688D">
        <w:tc>
          <w:tcPr>
            <w:tcW w:w="0" w:type="auto"/>
            <w:shd w:val="clear" w:color="auto" w:fill="auto"/>
          </w:tcPr>
          <w:p w14:paraId="399BD489" w14:textId="77777777" w:rsidR="008C5CFA" w:rsidRPr="009C3005" w:rsidRDefault="00E82A60" w:rsidP="00300A01">
            <w:pPr>
              <w:pStyle w:val="Text1"/>
              <w:spacing w:before="0" w:after="0"/>
              <w:ind w:left="0"/>
              <w:rPr>
                <w:sz w:val="12"/>
                <w:szCs w:val="12"/>
              </w:rPr>
            </w:pPr>
            <w:r>
              <w:rPr>
                <w:noProof/>
                <w:sz w:val="14"/>
                <w:szCs w:val="14"/>
                <w:lang w:val="fr-BE"/>
              </w:rPr>
              <w:t>9</w:t>
            </w:r>
          </w:p>
        </w:tc>
        <w:tc>
          <w:tcPr>
            <w:tcW w:w="0" w:type="auto"/>
            <w:shd w:val="clear" w:color="auto" w:fill="auto"/>
          </w:tcPr>
          <w:p w14:paraId="2A356A8E" w14:textId="77777777" w:rsidR="008C5CFA" w:rsidRPr="009C3005" w:rsidRDefault="00E82A60" w:rsidP="00300A01">
            <w:pPr>
              <w:pStyle w:val="Text1"/>
              <w:spacing w:before="0" w:after="0"/>
              <w:ind w:left="0"/>
              <w:rPr>
                <w:sz w:val="12"/>
                <w:szCs w:val="12"/>
              </w:rPr>
            </w:pPr>
            <w:r>
              <w:rPr>
                <w:noProof/>
                <w:sz w:val="12"/>
                <w:szCs w:val="12"/>
              </w:rPr>
              <w:t>EFS</w:t>
            </w:r>
          </w:p>
        </w:tc>
        <w:tc>
          <w:tcPr>
            <w:tcW w:w="0" w:type="auto"/>
            <w:shd w:val="clear" w:color="auto" w:fill="auto"/>
          </w:tcPr>
          <w:p w14:paraId="5E459ACF" w14:textId="77777777" w:rsidR="008C5CFA" w:rsidRPr="009C3005" w:rsidRDefault="00E82A60" w:rsidP="00300A01">
            <w:pPr>
              <w:pStyle w:val="Text1"/>
              <w:spacing w:before="0" w:after="0"/>
              <w:ind w:left="0"/>
              <w:rPr>
                <w:sz w:val="12"/>
                <w:szCs w:val="12"/>
              </w:rPr>
            </w:pPr>
            <w:r>
              <w:rPr>
                <w:noProof/>
                <w:sz w:val="12"/>
                <w:szCs w:val="12"/>
              </w:rPr>
              <w:t>Słabiej rozwinięte</w:t>
            </w:r>
          </w:p>
        </w:tc>
        <w:tc>
          <w:tcPr>
            <w:tcW w:w="0" w:type="auto"/>
            <w:shd w:val="clear" w:color="auto" w:fill="auto"/>
          </w:tcPr>
          <w:p w14:paraId="2F50CD25" w14:textId="77777777" w:rsidR="008C5CFA" w:rsidRPr="009C3005" w:rsidRDefault="00E82A60" w:rsidP="00300A01">
            <w:pPr>
              <w:pStyle w:val="Text1"/>
              <w:spacing w:before="0" w:after="0"/>
              <w:ind w:left="0"/>
              <w:rPr>
                <w:sz w:val="12"/>
                <w:szCs w:val="12"/>
              </w:rPr>
            </w:pPr>
            <w:r>
              <w:rPr>
                <w:noProof/>
                <w:sz w:val="12"/>
                <w:szCs w:val="12"/>
              </w:rPr>
              <w:t>112</w:t>
            </w:r>
          </w:p>
        </w:tc>
        <w:tc>
          <w:tcPr>
            <w:tcW w:w="0" w:type="auto"/>
            <w:shd w:val="clear" w:color="auto" w:fill="auto"/>
          </w:tcPr>
          <w:p w14:paraId="49DAC508"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68C58D69"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7DCED640"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02FE3EAE" w14:textId="77777777" w:rsidR="008C5CFA" w:rsidRPr="009C3005" w:rsidRDefault="008C5CFA" w:rsidP="00300A01">
            <w:pPr>
              <w:pStyle w:val="Text1"/>
              <w:spacing w:before="0" w:after="0"/>
              <w:ind w:left="0"/>
              <w:rPr>
                <w:sz w:val="12"/>
                <w:szCs w:val="12"/>
              </w:rPr>
            </w:pPr>
          </w:p>
        </w:tc>
        <w:tc>
          <w:tcPr>
            <w:tcW w:w="0" w:type="auto"/>
            <w:shd w:val="clear" w:color="auto" w:fill="auto"/>
          </w:tcPr>
          <w:p w14:paraId="6EB73C33" w14:textId="77777777" w:rsidR="008C5CFA" w:rsidRPr="009C3005" w:rsidRDefault="00E82A60" w:rsidP="00300A01">
            <w:pPr>
              <w:pStyle w:val="Text1"/>
              <w:spacing w:before="0" w:after="0"/>
              <w:ind w:left="0"/>
              <w:rPr>
                <w:sz w:val="12"/>
                <w:szCs w:val="12"/>
              </w:rPr>
            </w:pPr>
            <w:r>
              <w:rPr>
                <w:noProof/>
                <w:sz w:val="12"/>
                <w:szCs w:val="12"/>
              </w:rPr>
              <w:t>08</w:t>
            </w:r>
            <w:r>
              <w:rPr>
                <w:sz w:val="12"/>
                <w:szCs w:val="12"/>
              </w:rPr>
              <w:t xml:space="preserve"> </w:t>
            </w:r>
          </w:p>
        </w:tc>
        <w:tc>
          <w:tcPr>
            <w:tcW w:w="0" w:type="auto"/>
            <w:shd w:val="clear" w:color="auto" w:fill="auto"/>
          </w:tcPr>
          <w:p w14:paraId="068D6A11" w14:textId="77777777" w:rsidR="008C5CFA" w:rsidRPr="009C3005" w:rsidRDefault="00E82A60" w:rsidP="00300A01">
            <w:pPr>
              <w:pStyle w:val="Text1"/>
              <w:spacing w:before="0" w:after="0"/>
              <w:ind w:left="0"/>
              <w:rPr>
                <w:sz w:val="12"/>
                <w:szCs w:val="12"/>
              </w:rPr>
            </w:pPr>
            <w:r>
              <w:rPr>
                <w:noProof/>
                <w:sz w:val="12"/>
                <w:szCs w:val="12"/>
              </w:rPr>
              <w:t>21</w:t>
            </w:r>
          </w:p>
        </w:tc>
        <w:tc>
          <w:tcPr>
            <w:tcW w:w="0" w:type="auto"/>
            <w:shd w:val="clear" w:color="auto" w:fill="auto"/>
          </w:tcPr>
          <w:p w14:paraId="7A2ACA31" w14:textId="77777777" w:rsidR="008C5CFA" w:rsidRPr="009C3005" w:rsidRDefault="00E82A60" w:rsidP="00300A01">
            <w:pPr>
              <w:pStyle w:val="Text1"/>
              <w:spacing w:before="0" w:after="0"/>
              <w:ind w:left="0"/>
              <w:rPr>
                <w:sz w:val="12"/>
                <w:szCs w:val="12"/>
              </w:rPr>
            </w:pPr>
            <w:r>
              <w:rPr>
                <w:noProof/>
                <w:sz w:val="12"/>
                <w:szCs w:val="12"/>
              </w:rPr>
              <w:t>PL33</w:t>
            </w:r>
          </w:p>
        </w:tc>
        <w:tc>
          <w:tcPr>
            <w:tcW w:w="0" w:type="auto"/>
            <w:shd w:val="clear" w:color="auto" w:fill="auto"/>
          </w:tcPr>
          <w:p w14:paraId="569BA698" w14:textId="77777777" w:rsidR="008C5CFA" w:rsidRPr="009C3005" w:rsidRDefault="00E82A60" w:rsidP="00300A01">
            <w:pPr>
              <w:pStyle w:val="Text1"/>
              <w:spacing w:before="0" w:after="0"/>
              <w:ind w:left="0"/>
              <w:jc w:val="right"/>
              <w:rPr>
                <w:sz w:val="12"/>
                <w:szCs w:val="12"/>
              </w:rPr>
            </w:pPr>
            <w:r w:rsidRPr="009C3005">
              <w:rPr>
                <w:noProof/>
                <w:sz w:val="12"/>
                <w:szCs w:val="12"/>
              </w:rPr>
              <w:t>31 419 993,38</w:t>
            </w:r>
          </w:p>
        </w:tc>
        <w:tc>
          <w:tcPr>
            <w:tcW w:w="0" w:type="auto"/>
            <w:shd w:val="clear" w:color="auto" w:fill="auto"/>
          </w:tcPr>
          <w:p w14:paraId="2C530B88" w14:textId="77777777" w:rsidR="008C5CFA" w:rsidRPr="009C3005" w:rsidRDefault="00E82A60" w:rsidP="00300A01">
            <w:pPr>
              <w:pStyle w:val="Text1"/>
              <w:spacing w:before="0" w:after="0"/>
              <w:ind w:left="0"/>
              <w:jc w:val="right"/>
              <w:rPr>
                <w:sz w:val="12"/>
                <w:szCs w:val="12"/>
              </w:rPr>
            </w:pPr>
            <w:r w:rsidRPr="009C3005">
              <w:rPr>
                <w:noProof/>
                <w:sz w:val="12"/>
                <w:szCs w:val="12"/>
              </w:rPr>
              <w:t>30 627 355,78</w:t>
            </w:r>
          </w:p>
        </w:tc>
        <w:tc>
          <w:tcPr>
            <w:tcW w:w="0" w:type="auto"/>
            <w:shd w:val="clear" w:color="auto" w:fill="auto"/>
          </w:tcPr>
          <w:p w14:paraId="08EE32FB" w14:textId="77777777" w:rsidR="008C5CFA" w:rsidRPr="009C3005" w:rsidRDefault="00E82A60" w:rsidP="00300A01">
            <w:pPr>
              <w:pStyle w:val="Text1"/>
              <w:spacing w:before="0" w:after="0"/>
              <w:ind w:left="0"/>
              <w:jc w:val="right"/>
              <w:rPr>
                <w:sz w:val="12"/>
                <w:szCs w:val="12"/>
              </w:rPr>
            </w:pPr>
            <w:r w:rsidRPr="009C3005">
              <w:rPr>
                <w:noProof/>
                <w:sz w:val="12"/>
                <w:szCs w:val="12"/>
              </w:rPr>
              <w:t>8 465 802,90</w:t>
            </w:r>
          </w:p>
        </w:tc>
        <w:tc>
          <w:tcPr>
            <w:tcW w:w="0" w:type="auto"/>
            <w:shd w:val="clear" w:color="auto" w:fill="auto"/>
          </w:tcPr>
          <w:p w14:paraId="3526811B" w14:textId="77777777" w:rsidR="008C5CFA" w:rsidRPr="009C3005" w:rsidRDefault="00E82A60" w:rsidP="00300A01">
            <w:pPr>
              <w:pStyle w:val="Text1"/>
              <w:spacing w:before="0" w:after="0"/>
              <w:ind w:left="0"/>
              <w:jc w:val="right"/>
              <w:rPr>
                <w:sz w:val="12"/>
                <w:szCs w:val="12"/>
              </w:rPr>
            </w:pPr>
            <w:r w:rsidRPr="009C3005">
              <w:rPr>
                <w:noProof/>
                <w:sz w:val="12"/>
                <w:szCs w:val="12"/>
              </w:rPr>
              <w:t>88</w:t>
            </w:r>
          </w:p>
        </w:tc>
      </w:tr>
      <w:tr w:rsidR="006B2EC1" w14:paraId="06BAB8EE" w14:textId="77777777" w:rsidTr="0047688D">
        <w:tc>
          <w:tcPr>
            <w:tcW w:w="0" w:type="auto"/>
            <w:shd w:val="clear" w:color="auto" w:fill="auto"/>
          </w:tcPr>
          <w:p w14:paraId="56583329" w14:textId="77777777" w:rsidR="008C5CFA" w:rsidRPr="009C3005" w:rsidRDefault="00E82A60" w:rsidP="00300A01">
            <w:pPr>
              <w:pStyle w:val="Text1"/>
              <w:spacing w:before="0" w:after="0"/>
              <w:ind w:left="0"/>
              <w:rPr>
                <w:sz w:val="12"/>
                <w:szCs w:val="12"/>
              </w:rPr>
            </w:pPr>
            <w:r>
              <w:rPr>
                <w:noProof/>
                <w:sz w:val="14"/>
                <w:szCs w:val="14"/>
                <w:lang w:val="fr-BE"/>
              </w:rPr>
              <w:t>9</w:t>
            </w:r>
          </w:p>
        </w:tc>
        <w:tc>
          <w:tcPr>
            <w:tcW w:w="0" w:type="auto"/>
            <w:shd w:val="clear" w:color="auto" w:fill="auto"/>
          </w:tcPr>
          <w:p w14:paraId="10AF9A58" w14:textId="77777777" w:rsidR="008C5CFA" w:rsidRPr="009C3005" w:rsidRDefault="00E82A60" w:rsidP="00300A01">
            <w:pPr>
              <w:pStyle w:val="Text1"/>
              <w:spacing w:before="0" w:after="0"/>
              <w:ind w:left="0"/>
              <w:rPr>
                <w:sz w:val="12"/>
                <w:szCs w:val="12"/>
              </w:rPr>
            </w:pPr>
            <w:r>
              <w:rPr>
                <w:noProof/>
                <w:sz w:val="12"/>
                <w:szCs w:val="12"/>
              </w:rPr>
              <w:t>EFS</w:t>
            </w:r>
          </w:p>
        </w:tc>
        <w:tc>
          <w:tcPr>
            <w:tcW w:w="0" w:type="auto"/>
            <w:shd w:val="clear" w:color="auto" w:fill="auto"/>
          </w:tcPr>
          <w:p w14:paraId="3BC0CB68" w14:textId="77777777" w:rsidR="008C5CFA" w:rsidRPr="009C3005" w:rsidRDefault="00E82A60" w:rsidP="00300A01">
            <w:pPr>
              <w:pStyle w:val="Text1"/>
              <w:spacing w:before="0" w:after="0"/>
              <w:ind w:left="0"/>
              <w:rPr>
                <w:sz w:val="12"/>
                <w:szCs w:val="12"/>
              </w:rPr>
            </w:pPr>
            <w:r>
              <w:rPr>
                <w:noProof/>
                <w:sz w:val="12"/>
                <w:szCs w:val="12"/>
              </w:rPr>
              <w:t>Słabiej rozwinięte</w:t>
            </w:r>
          </w:p>
        </w:tc>
        <w:tc>
          <w:tcPr>
            <w:tcW w:w="0" w:type="auto"/>
            <w:shd w:val="clear" w:color="auto" w:fill="auto"/>
          </w:tcPr>
          <w:p w14:paraId="6E48196A" w14:textId="77777777" w:rsidR="008C5CFA" w:rsidRPr="009C3005" w:rsidRDefault="00E82A60" w:rsidP="00300A01">
            <w:pPr>
              <w:pStyle w:val="Text1"/>
              <w:spacing w:before="0" w:after="0"/>
              <w:ind w:left="0"/>
              <w:rPr>
                <w:sz w:val="12"/>
                <w:szCs w:val="12"/>
              </w:rPr>
            </w:pPr>
            <w:r>
              <w:rPr>
                <w:noProof/>
                <w:sz w:val="12"/>
                <w:szCs w:val="12"/>
              </w:rPr>
              <w:t>112</w:t>
            </w:r>
          </w:p>
        </w:tc>
        <w:tc>
          <w:tcPr>
            <w:tcW w:w="0" w:type="auto"/>
            <w:shd w:val="clear" w:color="auto" w:fill="auto"/>
          </w:tcPr>
          <w:p w14:paraId="5F03E008"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32B67BBB"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1DB59332"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59DCABF8" w14:textId="77777777" w:rsidR="008C5CFA" w:rsidRPr="009C3005" w:rsidRDefault="008C5CFA" w:rsidP="00300A01">
            <w:pPr>
              <w:pStyle w:val="Text1"/>
              <w:spacing w:before="0" w:after="0"/>
              <w:ind w:left="0"/>
              <w:rPr>
                <w:sz w:val="12"/>
                <w:szCs w:val="12"/>
              </w:rPr>
            </w:pPr>
          </w:p>
        </w:tc>
        <w:tc>
          <w:tcPr>
            <w:tcW w:w="0" w:type="auto"/>
            <w:shd w:val="clear" w:color="auto" w:fill="auto"/>
          </w:tcPr>
          <w:p w14:paraId="01BE3BE3" w14:textId="77777777" w:rsidR="008C5CFA" w:rsidRPr="009C3005" w:rsidRDefault="00E82A60" w:rsidP="00300A01">
            <w:pPr>
              <w:pStyle w:val="Text1"/>
              <w:spacing w:before="0" w:after="0"/>
              <w:ind w:left="0"/>
              <w:rPr>
                <w:sz w:val="12"/>
                <w:szCs w:val="12"/>
              </w:rPr>
            </w:pPr>
            <w:r>
              <w:rPr>
                <w:noProof/>
                <w:sz w:val="12"/>
                <w:szCs w:val="12"/>
              </w:rPr>
              <w:t>08</w:t>
            </w:r>
            <w:r>
              <w:rPr>
                <w:sz w:val="12"/>
                <w:szCs w:val="12"/>
              </w:rPr>
              <w:t xml:space="preserve"> </w:t>
            </w:r>
          </w:p>
        </w:tc>
        <w:tc>
          <w:tcPr>
            <w:tcW w:w="0" w:type="auto"/>
            <w:shd w:val="clear" w:color="auto" w:fill="auto"/>
          </w:tcPr>
          <w:p w14:paraId="7A0C316D" w14:textId="77777777" w:rsidR="008C5CFA" w:rsidRPr="009C3005" w:rsidRDefault="00E82A60" w:rsidP="00300A01">
            <w:pPr>
              <w:pStyle w:val="Text1"/>
              <w:spacing w:before="0" w:after="0"/>
              <w:ind w:left="0"/>
              <w:rPr>
                <w:sz w:val="12"/>
                <w:szCs w:val="12"/>
              </w:rPr>
            </w:pPr>
            <w:r>
              <w:rPr>
                <w:noProof/>
                <w:sz w:val="12"/>
                <w:szCs w:val="12"/>
              </w:rPr>
              <w:t>24</w:t>
            </w:r>
          </w:p>
        </w:tc>
        <w:tc>
          <w:tcPr>
            <w:tcW w:w="0" w:type="auto"/>
            <w:shd w:val="clear" w:color="auto" w:fill="auto"/>
          </w:tcPr>
          <w:p w14:paraId="40D12B1F" w14:textId="77777777" w:rsidR="008C5CFA" w:rsidRPr="009C3005" w:rsidRDefault="00E82A60" w:rsidP="00300A01">
            <w:pPr>
              <w:pStyle w:val="Text1"/>
              <w:spacing w:before="0" w:after="0"/>
              <w:ind w:left="0"/>
              <w:rPr>
                <w:sz w:val="12"/>
                <w:szCs w:val="12"/>
              </w:rPr>
            </w:pPr>
            <w:r>
              <w:rPr>
                <w:noProof/>
                <w:sz w:val="12"/>
                <w:szCs w:val="12"/>
              </w:rPr>
              <w:t>PL33</w:t>
            </w:r>
          </w:p>
        </w:tc>
        <w:tc>
          <w:tcPr>
            <w:tcW w:w="0" w:type="auto"/>
            <w:shd w:val="clear" w:color="auto" w:fill="auto"/>
          </w:tcPr>
          <w:p w14:paraId="33700CDE" w14:textId="77777777" w:rsidR="008C5CFA" w:rsidRPr="009C3005" w:rsidRDefault="00E82A60" w:rsidP="00300A01">
            <w:pPr>
              <w:pStyle w:val="Text1"/>
              <w:spacing w:before="0" w:after="0"/>
              <w:ind w:left="0"/>
              <w:jc w:val="right"/>
              <w:rPr>
                <w:sz w:val="12"/>
                <w:szCs w:val="12"/>
              </w:rPr>
            </w:pPr>
            <w:r w:rsidRPr="009C3005">
              <w:rPr>
                <w:noProof/>
                <w:sz w:val="12"/>
                <w:szCs w:val="12"/>
              </w:rPr>
              <w:t>2 472 562,66</w:t>
            </w:r>
          </w:p>
        </w:tc>
        <w:tc>
          <w:tcPr>
            <w:tcW w:w="0" w:type="auto"/>
            <w:shd w:val="clear" w:color="auto" w:fill="auto"/>
          </w:tcPr>
          <w:p w14:paraId="6CAA7ADC" w14:textId="77777777" w:rsidR="008C5CFA" w:rsidRPr="009C3005" w:rsidRDefault="00E82A60" w:rsidP="00300A01">
            <w:pPr>
              <w:pStyle w:val="Text1"/>
              <w:spacing w:before="0" w:after="0"/>
              <w:ind w:left="0"/>
              <w:jc w:val="right"/>
              <w:rPr>
                <w:sz w:val="12"/>
                <w:szCs w:val="12"/>
              </w:rPr>
            </w:pPr>
            <w:r w:rsidRPr="009C3005">
              <w:rPr>
                <w:noProof/>
                <w:sz w:val="12"/>
                <w:szCs w:val="12"/>
              </w:rPr>
              <w:t>2 107 192,93</w:t>
            </w:r>
          </w:p>
        </w:tc>
        <w:tc>
          <w:tcPr>
            <w:tcW w:w="0" w:type="auto"/>
            <w:shd w:val="clear" w:color="auto" w:fill="auto"/>
          </w:tcPr>
          <w:p w14:paraId="63383E6F" w14:textId="77777777" w:rsidR="008C5CFA" w:rsidRPr="009C3005" w:rsidRDefault="00E82A60" w:rsidP="00300A01">
            <w:pPr>
              <w:pStyle w:val="Text1"/>
              <w:spacing w:before="0" w:after="0"/>
              <w:ind w:left="0"/>
              <w:jc w:val="right"/>
              <w:rPr>
                <w:sz w:val="12"/>
                <w:szCs w:val="12"/>
              </w:rPr>
            </w:pPr>
            <w:r w:rsidRPr="009C3005">
              <w:rPr>
                <w:noProof/>
                <w:sz w:val="12"/>
                <w:szCs w:val="12"/>
              </w:rPr>
              <w:t>1 843 430,30</w:t>
            </w:r>
          </w:p>
        </w:tc>
        <w:tc>
          <w:tcPr>
            <w:tcW w:w="0" w:type="auto"/>
            <w:shd w:val="clear" w:color="auto" w:fill="auto"/>
          </w:tcPr>
          <w:p w14:paraId="7FC0138B" w14:textId="77777777" w:rsidR="008C5CFA" w:rsidRPr="009C3005" w:rsidRDefault="00E82A60" w:rsidP="00300A01">
            <w:pPr>
              <w:pStyle w:val="Text1"/>
              <w:spacing w:before="0" w:after="0"/>
              <w:ind w:left="0"/>
              <w:jc w:val="right"/>
              <w:rPr>
                <w:sz w:val="12"/>
                <w:szCs w:val="12"/>
              </w:rPr>
            </w:pPr>
            <w:r w:rsidRPr="009C3005">
              <w:rPr>
                <w:noProof/>
                <w:sz w:val="12"/>
                <w:szCs w:val="12"/>
              </w:rPr>
              <w:t>5</w:t>
            </w:r>
          </w:p>
        </w:tc>
      </w:tr>
      <w:tr w:rsidR="006B2EC1" w14:paraId="6ABE641E" w14:textId="77777777" w:rsidTr="0047688D">
        <w:tc>
          <w:tcPr>
            <w:tcW w:w="0" w:type="auto"/>
            <w:shd w:val="clear" w:color="auto" w:fill="auto"/>
          </w:tcPr>
          <w:p w14:paraId="445538A2" w14:textId="77777777" w:rsidR="008C5CFA" w:rsidRPr="009C3005" w:rsidRDefault="00E82A60" w:rsidP="00300A01">
            <w:pPr>
              <w:pStyle w:val="Text1"/>
              <w:spacing w:before="0" w:after="0"/>
              <w:ind w:left="0"/>
              <w:rPr>
                <w:sz w:val="12"/>
                <w:szCs w:val="12"/>
              </w:rPr>
            </w:pPr>
            <w:r>
              <w:rPr>
                <w:noProof/>
                <w:sz w:val="14"/>
                <w:szCs w:val="14"/>
                <w:lang w:val="fr-BE"/>
              </w:rPr>
              <w:t>9</w:t>
            </w:r>
          </w:p>
        </w:tc>
        <w:tc>
          <w:tcPr>
            <w:tcW w:w="0" w:type="auto"/>
            <w:shd w:val="clear" w:color="auto" w:fill="auto"/>
          </w:tcPr>
          <w:p w14:paraId="146A8535" w14:textId="77777777" w:rsidR="008C5CFA" w:rsidRPr="009C3005" w:rsidRDefault="00E82A60" w:rsidP="00300A01">
            <w:pPr>
              <w:pStyle w:val="Text1"/>
              <w:spacing w:before="0" w:after="0"/>
              <w:ind w:left="0"/>
              <w:rPr>
                <w:sz w:val="12"/>
                <w:szCs w:val="12"/>
              </w:rPr>
            </w:pPr>
            <w:r>
              <w:rPr>
                <w:noProof/>
                <w:sz w:val="12"/>
                <w:szCs w:val="12"/>
              </w:rPr>
              <w:t>EFS</w:t>
            </w:r>
          </w:p>
        </w:tc>
        <w:tc>
          <w:tcPr>
            <w:tcW w:w="0" w:type="auto"/>
            <w:shd w:val="clear" w:color="auto" w:fill="auto"/>
          </w:tcPr>
          <w:p w14:paraId="5584FA60" w14:textId="77777777" w:rsidR="008C5CFA" w:rsidRPr="009C3005" w:rsidRDefault="00E82A60" w:rsidP="00300A01">
            <w:pPr>
              <w:pStyle w:val="Text1"/>
              <w:spacing w:before="0" w:after="0"/>
              <w:ind w:left="0"/>
              <w:rPr>
                <w:sz w:val="12"/>
                <w:szCs w:val="12"/>
              </w:rPr>
            </w:pPr>
            <w:r>
              <w:rPr>
                <w:noProof/>
                <w:sz w:val="12"/>
                <w:szCs w:val="12"/>
              </w:rPr>
              <w:t>Słabiej rozwinięte</w:t>
            </w:r>
          </w:p>
        </w:tc>
        <w:tc>
          <w:tcPr>
            <w:tcW w:w="0" w:type="auto"/>
            <w:shd w:val="clear" w:color="auto" w:fill="auto"/>
          </w:tcPr>
          <w:p w14:paraId="69861096" w14:textId="77777777" w:rsidR="008C5CFA" w:rsidRPr="009C3005" w:rsidRDefault="00E82A60" w:rsidP="00300A01">
            <w:pPr>
              <w:pStyle w:val="Text1"/>
              <w:spacing w:before="0" w:after="0"/>
              <w:ind w:left="0"/>
              <w:rPr>
                <w:sz w:val="12"/>
                <w:szCs w:val="12"/>
              </w:rPr>
            </w:pPr>
            <w:r>
              <w:rPr>
                <w:noProof/>
                <w:sz w:val="12"/>
                <w:szCs w:val="12"/>
              </w:rPr>
              <w:t>113</w:t>
            </w:r>
          </w:p>
        </w:tc>
        <w:tc>
          <w:tcPr>
            <w:tcW w:w="0" w:type="auto"/>
            <w:shd w:val="clear" w:color="auto" w:fill="auto"/>
          </w:tcPr>
          <w:p w14:paraId="573730EB"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7B5C8CD2"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2893523F"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36C6FB67" w14:textId="77777777" w:rsidR="008C5CFA" w:rsidRPr="009C3005" w:rsidRDefault="008C5CFA" w:rsidP="00300A01">
            <w:pPr>
              <w:pStyle w:val="Text1"/>
              <w:spacing w:before="0" w:after="0"/>
              <w:ind w:left="0"/>
              <w:rPr>
                <w:sz w:val="12"/>
                <w:szCs w:val="12"/>
              </w:rPr>
            </w:pPr>
          </w:p>
        </w:tc>
        <w:tc>
          <w:tcPr>
            <w:tcW w:w="0" w:type="auto"/>
            <w:shd w:val="clear" w:color="auto" w:fill="auto"/>
          </w:tcPr>
          <w:p w14:paraId="0AA760F5" w14:textId="77777777" w:rsidR="008C5CFA" w:rsidRPr="009C3005" w:rsidRDefault="00E82A60" w:rsidP="00300A01">
            <w:pPr>
              <w:pStyle w:val="Text1"/>
              <w:spacing w:before="0" w:after="0"/>
              <w:ind w:left="0"/>
              <w:rPr>
                <w:sz w:val="12"/>
                <w:szCs w:val="12"/>
              </w:rPr>
            </w:pPr>
            <w:r>
              <w:rPr>
                <w:noProof/>
                <w:sz w:val="12"/>
                <w:szCs w:val="12"/>
              </w:rPr>
              <w:t>08</w:t>
            </w:r>
            <w:r>
              <w:rPr>
                <w:sz w:val="12"/>
                <w:szCs w:val="12"/>
              </w:rPr>
              <w:t xml:space="preserve"> </w:t>
            </w:r>
          </w:p>
        </w:tc>
        <w:tc>
          <w:tcPr>
            <w:tcW w:w="0" w:type="auto"/>
            <w:shd w:val="clear" w:color="auto" w:fill="auto"/>
          </w:tcPr>
          <w:p w14:paraId="523F55DE" w14:textId="77777777" w:rsidR="008C5CFA" w:rsidRPr="009C3005" w:rsidRDefault="00E82A60" w:rsidP="00300A01">
            <w:pPr>
              <w:pStyle w:val="Text1"/>
              <w:spacing w:before="0" w:after="0"/>
              <w:ind w:left="0"/>
              <w:rPr>
                <w:sz w:val="12"/>
                <w:szCs w:val="12"/>
              </w:rPr>
            </w:pPr>
            <w:r>
              <w:rPr>
                <w:noProof/>
                <w:sz w:val="12"/>
                <w:szCs w:val="12"/>
              </w:rPr>
              <w:t>18</w:t>
            </w:r>
          </w:p>
        </w:tc>
        <w:tc>
          <w:tcPr>
            <w:tcW w:w="0" w:type="auto"/>
            <w:shd w:val="clear" w:color="auto" w:fill="auto"/>
          </w:tcPr>
          <w:p w14:paraId="62CE0EB2" w14:textId="77777777" w:rsidR="008C5CFA" w:rsidRPr="009C3005" w:rsidRDefault="00E82A60" w:rsidP="00300A01">
            <w:pPr>
              <w:pStyle w:val="Text1"/>
              <w:spacing w:before="0" w:after="0"/>
              <w:ind w:left="0"/>
              <w:rPr>
                <w:sz w:val="12"/>
                <w:szCs w:val="12"/>
              </w:rPr>
            </w:pPr>
            <w:r>
              <w:rPr>
                <w:noProof/>
                <w:sz w:val="12"/>
                <w:szCs w:val="12"/>
              </w:rPr>
              <w:t>PL33</w:t>
            </w:r>
          </w:p>
        </w:tc>
        <w:tc>
          <w:tcPr>
            <w:tcW w:w="0" w:type="auto"/>
            <w:shd w:val="clear" w:color="auto" w:fill="auto"/>
          </w:tcPr>
          <w:p w14:paraId="1616B5D5" w14:textId="77777777" w:rsidR="008C5CFA" w:rsidRPr="009C3005" w:rsidRDefault="00E82A60" w:rsidP="00300A01">
            <w:pPr>
              <w:pStyle w:val="Text1"/>
              <w:spacing w:before="0" w:after="0"/>
              <w:ind w:left="0"/>
              <w:jc w:val="right"/>
              <w:rPr>
                <w:sz w:val="12"/>
                <w:szCs w:val="12"/>
              </w:rPr>
            </w:pPr>
            <w:r w:rsidRPr="009C3005">
              <w:rPr>
                <w:noProof/>
                <w:sz w:val="12"/>
                <w:szCs w:val="12"/>
              </w:rPr>
              <w:t>1 184 015,79</w:t>
            </w:r>
          </w:p>
        </w:tc>
        <w:tc>
          <w:tcPr>
            <w:tcW w:w="0" w:type="auto"/>
            <w:shd w:val="clear" w:color="auto" w:fill="auto"/>
          </w:tcPr>
          <w:p w14:paraId="004A66D4" w14:textId="77777777" w:rsidR="008C5CFA" w:rsidRPr="009C3005" w:rsidRDefault="00E82A60" w:rsidP="00300A01">
            <w:pPr>
              <w:pStyle w:val="Text1"/>
              <w:spacing w:before="0" w:after="0"/>
              <w:ind w:left="0"/>
              <w:jc w:val="right"/>
              <w:rPr>
                <w:sz w:val="12"/>
                <w:szCs w:val="12"/>
              </w:rPr>
            </w:pPr>
            <w:r w:rsidRPr="009C3005">
              <w:rPr>
                <w:noProof/>
                <w:sz w:val="12"/>
                <w:szCs w:val="12"/>
              </w:rPr>
              <w:t>1 184 015,79</w:t>
            </w:r>
          </w:p>
        </w:tc>
        <w:tc>
          <w:tcPr>
            <w:tcW w:w="0" w:type="auto"/>
            <w:shd w:val="clear" w:color="auto" w:fill="auto"/>
          </w:tcPr>
          <w:p w14:paraId="41577A34" w14:textId="77777777" w:rsidR="008C5CFA" w:rsidRPr="009C3005" w:rsidRDefault="00E82A60" w:rsidP="00300A01">
            <w:pPr>
              <w:pStyle w:val="Text1"/>
              <w:spacing w:before="0" w:after="0"/>
              <w:ind w:left="0"/>
              <w:jc w:val="right"/>
              <w:rPr>
                <w:sz w:val="12"/>
                <w:szCs w:val="12"/>
              </w:rPr>
            </w:pPr>
            <w:r w:rsidRPr="009C3005">
              <w:rPr>
                <w:noProof/>
                <w:sz w:val="12"/>
                <w:szCs w:val="12"/>
              </w:rPr>
              <w:t>595 532,85</w:t>
            </w:r>
          </w:p>
        </w:tc>
        <w:tc>
          <w:tcPr>
            <w:tcW w:w="0" w:type="auto"/>
            <w:shd w:val="clear" w:color="auto" w:fill="auto"/>
          </w:tcPr>
          <w:p w14:paraId="53F7F6A8" w14:textId="77777777" w:rsidR="008C5CFA" w:rsidRPr="009C3005" w:rsidRDefault="00E82A60" w:rsidP="00300A01">
            <w:pPr>
              <w:pStyle w:val="Text1"/>
              <w:spacing w:before="0" w:after="0"/>
              <w:ind w:left="0"/>
              <w:jc w:val="right"/>
              <w:rPr>
                <w:sz w:val="12"/>
                <w:szCs w:val="12"/>
              </w:rPr>
            </w:pPr>
            <w:r w:rsidRPr="009C3005">
              <w:rPr>
                <w:noProof/>
                <w:sz w:val="12"/>
                <w:szCs w:val="12"/>
              </w:rPr>
              <w:t>2</w:t>
            </w:r>
          </w:p>
        </w:tc>
      </w:tr>
      <w:tr w:rsidR="006B2EC1" w14:paraId="3040EC84" w14:textId="77777777" w:rsidTr="0047688D">
        <w:tc>
          <w:tcPr>
            <w:tcW w:w="0" w:type="auto"/>
            <w:shd w:val="clear" w:color="auto" w:fill="auto"/>
          </w:tcPr>
          <w:p w14:paraId="2513D1FB" w14:textId="77777777" w:rsidR="008C5CFA" w:rsidRPr="009C3005" w:rsidRDefault="00E82A60" w:rsidP="00300A01">
            <w:pPr>
              <w:pStyle w:val="Text1"/>
              <w:spacing w:before="0" w:after="0"/>
              <w:ind w:left="0"/>
              <w:rPr>
                <w:sz w:val="12"/>
                <w:szCs w:val="12"/>
              </w:rPr>
            </w:pPr>
            <w:r>
              <w:rPr>
                <w:noProof/>
                <w:sz w:val="14"/>
                <w:szCs w:val="14"/>
                <w:lang w:val="fr-BE"/>
              </w:rPr>
              <w:t>9</w:t>
            </w:r>
          </w:p>
        </w:tc>
        <w:tc>
          <w:tcPr>
            <w:tcW w:w="0" w:type="auto"/>
            <w:shd w:val="clear" w:color="auto" w:fill="auto"/>
          </w:tcPr>
          <w:p w14:paraId="046B4010" w14:textId="77777777" w:rsidR="008C5CFA" w:rsidRPr="009C3005" w:rsidRDefault="00E82A60" w:rsidP="00300A01">
            <w:pPr>
              <w:pStyle w:val="Text1"/>
              <w:spacing w:before="0" w:after="0"/>
              <w:ind w:left="0"/>
              <w:rPr>
                <w:sz w:val="12"/>
                <w:szCs w:val="12"/>
              </w:rPr>
            </w:pPr>
            <w:r>
              <w:rPr>
                <w:noProof/>
                <w:sz w:val="12"/>
                <w:szCs w:val="12"/>
              </w:rPr>
              <w:t>EFS</w:t>
            </w:r>
          </w:p>
        </w:tc>
        <w:tc>
          <w:tcPr>
            <w:tcW w:w="0" w:type="auto"/>
            <w:shd w:val="clear" w:color="auto" w:fill="auto"/>
          </w:tcPr>
          <w:p w14:paraId="218549EE" w14:textId="77777777" w:rsidR="008C5CFA" w:rsidRPr="009C3005" w:rsidRDefault="00E82A60" w:rsidP="00300A01">
            <w:pPr>
              <w:pStyle w:val="Text1"/>
              <w:spacing w:before="0" w:after="0"/>
              <w:ind w:left="0"/>
              <w:rPr>
                <w:sz w:val="12"/>
                <w:szCs w:val="12"/>
              </w:rPr>
            </w:pPr>
            <w:r>
              <w:rPr>
                <w:noProof/>
                <w:sz w:val="12"/>
                <w:szCs w:val="12"/>
              </w:rPr>
              <w:t>Słabiej rozwinięte</w:t>
            </w:r>
          </w:p>
        </w:tc>
        <w:tc>
          <w:tcPr>
            <w:tcW w:w="0" w:type="auto"/>
            <w:shd w:val="clear" w:color="auto" w:fill="auto"/>
          </w:tcPr>
          <w:p w14:paraId="1171F812" w14:textId="77777777" w:rsidR="008C5CFA" w:rsidRPr="009C3005" w:rsidRDefault="00E82A60" w:rsidP="00300A01">
            <w:pPr>
              <w:pStyle w:val="Text1"/>
              <w:spacing w:before="0" w:after="0"/>
              <w:ind w:left="0"/>
              <w:rPr>
                <w:sz w:val="12"/>
                <w:szCs w:val="12"/>
              </w:rPr>
            </w:pPr>
            <w:r>
              <w:rPr>
                <w:noProof/>
                <w:sz w:val="12"/>
                <w:szCs w:val="12"/>
              </w:rPr>
              <w:t>113</w:t>
            </w:r>
          </w:p>
        </w:tc>
        <w:tc>
          <w:tcPr>
            <w:tcW w:w="0" w:type="auto"/>
            <w:shd w:val="clear" w:color="auto" w:fill="auto"/>
          </w:tcPr>
          <w:p w14:paraId="5C467E63"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176B907B"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14928379"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53CA62B1" w14:textId="77777777" w:rsidR="008C5CFA" w:rsidRPr="009C3005" w:rsidRDefault="008C5CFA" w:rsidP="00300A01">
            <w:pPr>
              <w:pStyle w:val="Text1"/>
              <w:spacing w:before="0" w:after="0"/>
              <w:ind w:left="0"/>
              <w:rPr>
                <w:sz w:val="12"/>
                <w:szCs w:val="12"/>
              </w:rPr>
            </w:pPr>
          </w:p>
        </w:tc>
        <w:tc>
          <w:tcPr>
            <w:tcW w:w="0" w:type="auto"/>
            <w:shd w:val="clear" w:color="auto" w:fill="auto"/>
          </w:tcPr>
          <w:p w14:paraId="163900D0" w14:textId="77777777" w:rsidR="008C5CFA" w:rsidRPr="009C3005" w:rsidRDefault="00E82A60" w:rsidP="00300A01">
            <w:pPr>
              <w:pStyle w:val="Text1"/>
              <w:spacing w:before="0" w:after="0"/>
              <w:ind w:left="0"/>
              <w:rPr>
                <w:sz w:val="12"/>
                <w:szCs w:val="12"/>
              </w:rPr>
            </w:pPr>
            <w:r>
              <w:rPr>
                <w:noProof/>
                <w:sz w:val="12"/>
                <w:szCs w:val="12"/>
              </w:rPr>
              <w:t>08</w:t>
            </w:r>
            <w:r>
              <w:rPr>
                <w:sz w:val="12"/>
                <w:szCs w:val="12"/>
              </w:rPr>
              <w:t xml:space="preserve"> </w:t>
            </w:r>
          </w:p>
        </w:tc>
        <w:tc>
          <w:tcPr>
            <w:tcW w:w="0" w:type="auto"/>
            <w:shd w:val="clear" w:color="auto" w:fill="auto"/>
          </w:tcPr>
          <w:p w14:paraId="23E0DD3E" w14:textId="77777777" w:rsidR="008C5CFA" w:rsidRPr="009C3005" w:rsidRDefault="00E82A60" w:rsidP="00300A01">
            <w:pPr>
              <w:pStyle w:val="Text1"/>
              <w:spacing w:before="0" w:after="0"/>
              <w:ind w:left="0"/>
              <w:rPr>
                <w:sz w:val="12"/>
                <w:szCs w:val="12"/>
              </w:rPr>
            </w:pPr>
            <w:r>
              <w:rPr>
                <w:noProof/>
                <w:sz w:val="12"/>
                <w:szCs w:val="12"/>
              </w:rPr>
              <w:t>19</w:t>
            </w:r>
          </w:p>
        </w:tc>
        <w:tc>
          <w:tcPr>
            <w:tcW w:w="0" w:type="auto"/>
            <w:shd w:val="clear" w:color="auto" w:fill="auto"/>
          </w:tcPr>
          <w:p w14:paraId="0494576A" w14:textId="77777777" w:rsidR="008C5CFA" w:rsidRPr="009C3005" w:rsidRDefault="00E82A60" w:rsidP="00300A01">
            <w:pPr>
              <w:pStyle w:val="Text1"/>
              <w:spacing w:before="0" w:after="0"/>
              <w:ind w:left="0"/>
              <w:rPr>
                <w:sz w:val="12"/>
                <w:szCs w:val="12"/>
              </w:rPr>
            </w:pPr>
            <w:r>
              <w:rPr>
                <w:noProof/>
                <w:sz w:val="12"/>
                <w:szCs w:val="12"/>
              </w:rPr>
              <w:t>PL33</w:t>
            </w:r>
          </w:p>
        </w:tc>
        <w:tc>
          <w:tcPr>
            <w:tcW w:w="0" w:type="auto"/>
            <w:shd w:val="clear" w:color="auto" w:fill="auto"/>
          </w:tcPr>
          <w:p w14:paraId="49EA2059" w14:textId="77777777" w:rsidR="008C5CFA" w:rsidRPr="009C3005" w:rsidRDefault="00E82A60" w:rsidP="00300A01">
            <w:pPr>
              <w:pStyle w:val="Text1"/>
              <w:spacing w:before="0" w:after="0"/>
              <w:ind w:left="0"/>
              <w:jc w:val="right"/>
              <w:rPr>
                <w:sz w:val="12"/>
                <w:szCs w:val="12"/>
              </w:rPr>
            </w:pPr>
            <w:r w:rsidRPr="009C3005">
              <w:rPr>
                <w:noProof/>
                <w:sz w:val="12"/>
                <w:szCs w:val="12"/>
              </w:rPr>
              <w:t>1 172 964,12</w:t>
            </w:r>
          </w:p>
        </w:tc>
        <w:tc>
          <w:tcPr>
            <w:tcW w:w="0" w:type="auto"/>
            <w:shd w:val="clear" w:color="auto" w:fill="auto"/>
          </w:tcPr>
          <w:p w14:paraId="35E7E1EE" w14:textId="77777777" w:rsidR="008C5CFA" w:rsidRPr="009C3005" w:rsidRDefault="00E82A60" w:rsidP="00300A01">
            <w:pPr>
              <w:pStyle w:val="Text1"/>
              <w:spacing w:before="0" w:after="0"/>
              <w:ind w:left="0"/>
              <w:jc w:val="right"/>
              <w:rPr>
                <w:sz w:val="12"/>
                <w:szCs w:val="12"/>
              </w:rPr>
            </w:pPr>
            <w:r w:rsidRPr="009C3005">
              <w:rPr>
                <w:noProof/>
                <w:sz w:val="12"/>
                <w:szCs w:val="12"/>
              </w:rPr>
              <w:t>1 158 798,22</w:t>
            </w:r>
          </w:p>
        </w:tc>
        <w:tc>
          <w:tcPr>
            <w:tcW w:w="0" w:type="auto"/>
            <w:shd w:val="clear" w:color="auto" w:fill="auto"/>
          </w:tcPr>
          <w:p w14:paraId="1BD33B02" w14:textId="77777777" w:rsidR="008C5CFA" w:rsidRPr="009C3005" w:rsidRDefault="00E82A60" w:rsidP="00300A01">
            <w:pPr>
              <w:pStyle w:val="Text1"/>
              <w:spacing w:before="0" w:after="0"/>
              <w:ind w:left="0"/>
              <w:jc w:val="right"/>
              <w:rPr>
                <w:sz w:val="12"/>
                <w:szCs w:val="12"/>
              </w:rPr>
            </w:pPr>
            <w:r w:rsidRPr="009C3005">
              <w:rPr>
                <w:noProof/>
                <w:sz w:val="12"/>
                <w:szCs w:val="12"/>
              </w:rPr>
              <w:t>1 143 174,54</w:t>
            </w:r>
          </w:p>
        </w:tc>
        <w:tc>
          <w:tcPr>
            <w:tcW w:w="0" w:type="auto"/>
            <w:shd w:val="clear" w:color="auto" w:fill="auto"/>
          </w:tcPr>
          <w:p w14:paraId="118B8383" w14:textId="77777777" w:rsidR="008C5CFA" w:rsidRPr="009C3005" w:rsidRDefault="00E82A60" w:rsidP="00300A01">
            <w:pPr>
              <w:pStyle w:val="Text1"/>
              <w:spacing w:before="0" w:after="0"/>
              <w:ind w:left="0"/>
              <w:jc w:val="right"/>
              <w:rPr>
                <w:sz w:val="12"/>
                <w:szCs w:val="12"/>
              </w:rPr>
            </w:pPr>
            <w:r w:rsidRPr="009C3005">
              <w:rPr>
                <w:noProof/>
                <w:sz w:val="12"/>
                <w:szCs w:val="12"/>
              </w:rPr>
              <w:t>1</w:t>
            </w:r>
          </w:p>
        </w:tc>
      </w:tr>
      <w:tr w:rsidR="006B2EC1" w14:paraId="32B28F7E" w14:textId="77777777" w:rsidTr="0047688D">
        <w:tc>
          <w:tcPr>
            <w:tcW w:w="0" w:type="auto"/>
            <w:shd w:val="clear" w:color="auto" w:fill="auto"/>
          </w:tcPr>
          <w:p w14:paraId="45BE5912" w14:textId="77777777" w:rsidR="008C5CFA" w:rsidRPr="009C3005" w:rsidRDefault="00E82A60" w:rsidP="00300A01">
            <w:pPr>
              <w:pStyle w:val="Text1"/>
              <w:spacing w:before="0" w:after="0"/>
              <w:ind w:left="0"/>
              <w:rPr>
                <w:sz w:val="12"/>
                <w:szCs w:val="12"/>
              </w:rPr>
            </w:pPr>
            <w:r>
              <w:rPr>
                <w:noProof/>
                <w:sz w:val="14"/>
                <w:szCs w:val="14"/>
                <w:lang w:val="fr-BE"/>
              </w:rPr>
              <w:t>9</w:t>
            </w:r>
          </w:p>
        </w:tc>
        <w:tc>
          <w:tcPr>
            <w:tcW w:w="0" w:type="auto"/>
            <w:shd w:val="clear" w:color="auto" w:fill="auto"/>
          </w:tcPr>
          <w:p w14:paraId="326BEE91" w14:textId="77777777" w:rsidR="008C5CFA" w:rsidRPr="009C3005" w:rsidRDefault="00E82A60" w:rsidP="00300A01">
            <w:pPr>
              <w:pStyle w:val="Text1"/>
              <w:spacing w:before="0" w:after="0"/>
              <w:ind w:left="0"/>
              <w:rPr>
                <w:sz w:val="12"/>
                <w:szCs w:val="12"/>
              </w:rPr>
            </w:pPr>
            <w:r>
              <w:rPr>
                <w:noProof/>
                <w:sz w:val="12"/>
                <w:szCs w:val="12"/>
              </w:rPr>
              <w:t>EFS</w:t>
            </w:r>
          </w:p>
        </w:tc>
        <w:tc>
          <w:tcPr>
            <w:tcW w:w="0" w:type="auto"/>
            <w:shd w:val="clear" w:color="auto" w:fill="auto"/>
          </w:tcPr>
          <w:p w14:paraId="71AC0125" w14:textId="77777777" w:rsidR="008C5CFA" w:rsidRPr="009C3005" w:rsidRDefault="00E82A60" w:rsidP="00300A01">
            <w:pPr>
              <w:pStyle w:val="Text1"/>
              <w:spacing w:before="0" w:after="0"/>
              <w:ind w:left="0"/>
              <w:rPr>
                <w:sz w:val="12"/>
                <w:szCs w:val="12"/>
              </w:rPr>
            </w:pPr>
            <w:r>
              <w:rPr>
                <w:noProof/>
                <w:sz w:val="12"/>
                <w:szCs w:val="12"/>
              </w:rPr>
              <w:t>Słabiej rozwinięte</w:t>
            </w:r>
          </w:p>
        </w:tc>
        <w:tc>
          <w:tcPr>
            <w:tcW w:w="0" w:type="auto"/>
            <w:shd w:val="clear" w:color="auto" w:fill="auto"/>
          </w:tcPr>
          <w:p w14:paraId="6EB4EBCA" w14:textId="77777777" w:rsidR="008C5CFA" w:rsidRPr="009C3005" w:rsidRDefault="00E82A60" w:rsidP="00300A01">
            <w:pPr>
              <w:pStyle w:val="Text1"/>
              <w:spacing w:before="0" w:after="0"/>
              <w:ind w:left="0"/>
              <w:rPr>
                <w:sz w:val="12"/>
                <w:szCs w:val="12"/>
              </w:rPr>
            </w:pPr>
            <w:r>
              <w:rPr>
                <w:noProof/>
                <w:sz w:val="12"/>
                <w:szCs w:val="12"/>
              </w:rPr>
              <w:t>113</w:t>
            </w:r>
          </w:p>
        </w:tc>
        <w:tc>
          <w:tcPr>
            <w:tcW w:w="0" w:type="auto"/>
            <w:shd w:val="clear" w:color="auto" w:fill="auto"/>
          </w:tcPr>
          <w:p w14:paraId="2DC68E42"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354C46C7"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4A44211A"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32B6AFFF" w14:textId="77777777" w:rsidR="008C5CFA" w:rsidRPr="009C3005" w:rsidRDefault="008C5CFA" w:rsidP="00300A01">
            <w:pPr>
              <w:pStyle w:val="Text1"/>
              <w:spacing w:before="0" w:after="0"/>
              <w:ind w:left="0"/>
              <w:rPr>
                <w:sz w:val="12"/>
                <w:szCs w:val="12"/>
              </w:rPr>
            </w:pPr>
          </w:p>
        </w:tc>
        <w:tc>
          <w:tcPr>
            <w:tcW w:w="0" w:type="auto"/>
            <w:shd w:val="clear" w:color="auto" w:fill="auto"/>
          </w:tcPr>
          <w:p w14:paraId="258AA367" w14:textId="77777777" w:rsidR="008C5CFA" w:rsidRPr="009C3005" w:rsidRDefault="00E82A60" w:rsidP="00300A01">
            <w:pPr>
              <w:pStyle w:val="Text1"/>
              <w:spacing w:before="0" w:after="0"/>
              <w:ind w:left="0"/>
              <w:rPr>
                <w:sz w:val="12"/>
                <w:szCs w:val="12"/>
              </w:rPr>
            </w:pPr>
            <w:r>
              <w:rPr>
                <w:noProof/>
                <w:sz w:val="12"/>
                <w:szCs w:val="12"/>
              </w:rPr>
              <w:t>08</w:t>
            </w:r>
            <w:r>
              <w:rPr>
                <w:sz w:val="12"/>
                <w:szCs w:val="12"/>
              </w:rPr>
              <w:t xml:space="preserve"> </w:t>
            </w:r>
          </w:p>
        </w:tc>
        <w:tc>
          <w:tcPr>
            <w:tcW w:w="0" w:type="auto"/>
            <w:shd w:val="clear" w:color="auto" w:fill="auto"/>
          </w:tcPr>
          <w:p w14:paraId="52AB711F" w14:textId="77777777" w:rsidR="008C5CFA" w:rsidRPr="009C3005" w:rsidRDefault="00E82A60" w:rsidP="00300A01">
            <w:pPr>
              <w:pStyle w:val="Text1"/>
              <w:spacing w:before="0" w:after="0"/>
              <w:ind w:left="0"/>
              <w:rPr>
                <w:sz w:val="12"/>
                <w:szCs w:val="12"/>
              </w:rPr>
            </w:pPr>
            <w:r>
              <w:rPr>
                <w:noProof/>
                <w:sz w:val="12"/>
                <w:szCs w:val="12"/>
              </w:rPr>
              <w:t>21</w:t>
            </w:r>
          </w:p>
        </w:tc>
        <w:tc>
          <w:tcPr>
            <w:tcW w:w="0" w:type="auto"/>
            <w:shd w:val="clear" w:color="auto" w:fill="auto"/>
          </w:tcPr>
          <w:p w14:paraId="161F8FC6" w14:textId="77777777" w:rsidR="008C5CFA" w:rsidRPr="009C3005" w:rsidRDefault="00E82A60" w:rsidP="00300A01">
            <w:pPr>
              <w:pStyle w:val="Text1"/>
              <w:spacing w:before="0" w:after="0"/>
              <w:ind w:left="0"/>
              <w:rPr>
                <w:sz w:val="12"/>
                <w:szCs w:val="12"/>
              </w:rPr>
            </w:pPr>
            <w:r>
              <w:rPr>
                <w:noProof/>
                <w:sz w:val="12"/>
                <w:szCs w:val="12"/>
              </w:rPr>
              <w:t>PL33</w:t>
            </w:r>
          </w:p>
        </w:tc>
        <w:tc>
          <w:tcPr>
            <w:tcW w:w="0" w:type="auto"/>
            <w:shd w:val="clear" w:color="auto" w:fill="auto"/>
          </w:tcPr>
          <w:p w14:paraId="53DB6CC8" w14:textId="77777777" w:rsidR="008C5CFA" w:rsidRPr="009C3005" w:rsidRDefault="00E82A60" w:rsidP="00300A01">
            <w:pPr>
              <w:pStyle w:val="Text1"/>
              <w:spacing w:before="0" w:after="0"/>
              <w:ind w:left="0"/>
              <w:jc w:val="right"/>
              <w:rPr>
                <w:sz w:val="12"/>
                <w:szCs w:val="12"/>
              </w:rPr>
            </w:pPr>
            <w:r w:rsidRPr="009C3005">
              <w:rPr>
                <w:noProof/>
                <w:sz w:val="12"/>
                <w:szCs w:val="12"/>
              </w:rPr>
              <w:t>3 407 052,67</w:t>
            </w:r>
          </w:p>
        </w:tc>
        <w:tc>
          <w:tcPr>
            <w:tcW w:w="0" w:type="auto"/>
            <w:shd w:val="clear" w:color="auto" w:fill="auto"/>
          </w:tcPr>
          <w:p w14:paraId="23E903EF" w14:textId="77777777" w:rsidR="008C5CFA" w:rsidRPr="009C3005" w:rsidRDefault="00E82A60" w:rsidP="00300A01">
            <w:pPr>
              <w:pStyle w:val="Text1"/>
              <w:spacing w:before="0" w:after="0"/>
              <w:ind w:left="0"/>
              <w:jc w:val="right"/>
              <w:rPr>
                <w:sz w:val="12"/>
                <w:szCs w:val="12"/>
              </w:rPr>
            </w:pPr>
            <w:r w:rsidRPr="009C3005">
              <w:rPr>
                <w:noProof/>
                <w:sz w:val="12"/>
                <w:szCs w:val="12"/>
              </w:rPr>
              <w:t>3 382 714,57</w:t>
            </w:r>
          </w:p>
        </w:tc>
        <w:tc>
          <w:tcPr>
            <w:tcW w:w="0" w:type="auto"/>
            <w:shd w:val="clear" w:color="auto" w:fill="auto"/>
          </w:tcPr>
          <w:p w14:paraId="3D48A20B" w14:textId="77777777" w:rsidR="008C5CFA" w:rsidRPr="009C3005" w:rsidRDefault="00E82A60" w:rsidP="00300A01">
            <w:pPr>
              <w:pStyle w:val="Text1"/>
              <w:spacing w:before="0" w:after="0"/>
              <w:ind w:left="0"/>
              <w:jc w:val="right"/>
              <w:rPr>
                <w:sz w:val="12"/>
                <w:szCs w:val="12"/>
              </w:rPr>
            </w:pPr>
            <w:r w:rsidRPr="009C3005">
              <w:rPr>
                <w:noProof/>
                <w:sz w:val="12"/>
                <w:szCs w:val="12"/>
              </w:rPr>
              <w:t>0,00</w:t>
            </w:r>
          </w:p>
        </w:tc>
        <w:tc>
          <w:tcPr>
            <w:tcW w:w="0" w:type="auto"/>
            <w:shd w:val="clear" w:color="auto" w:fill="auto"/>
          </w:tcPr>
          <w:p w14:paraId="267D5F02" w14:textId="77777777" w:rsidR="008C5CFA" w:rsidRPr="009C3005" w:rsidRDefault="00E82A60" w:rsidP="00300A01">
            <w:pPr>
              <w:pStyle w:val="Text1"/>
              <w:spacing w:before="0" w:after="0"/>
              <w:ind w:left="0"/>
              <w:jc w:val="right"/>
              <w:rPr>
                <w:sz w:val="12"/>
                <w:szCs w:val="12"/>
              </w:rPr>
            </w:pPr>
            <w:r w:rsidRPr="009C3005">
              <w:rPr>
                <w:noProof/>
                <w:sz w:val="12"/>
                <w:szCs w:val="12"/>
              </w:rPr>
              <w:t>1</w:t>
            </w:r>
          </w:p>
        </w:tc>
      </w:tr>
      <w:tr w:rsidR="006B2EC1" w14:paraId="21BA9294" w14:textId="77777777" w:rsidTr="0047688D">
        <w:tc>
          <w:tcPr>
            <w:tcW w:w="0" w:type="auto"/>
            <w:shd w:val="clear" w:color="auto" w:fill="auto"/>
          </w:tcPr>
          <w:p w14:paraId="07379E5B" w14:textId="77777777" w:rsidR="008C5CFA" w:rsidRPr="009C3005" w:rsidRDefault="00E82A60" w:rsidP="00300A01">
            <w:pPr>
              <w:pStyle w:val="Text1"/>
              <w:spacing w:before="0" w:after="0"/>
              <w:ind w:left="0"/>
              <w:rPr>
                <w:sz w:val="12"/>
                <w:szCs w:val="12"/>
              </w:rPr>
            </w:pPr>
            <w:r>
              <w:rPr>
                <w:noProof/>
                <w:sz w:val="14"/>
                <w:szCs w:val="14"/>
                <w:lang w:val="fr-BE"/>
              </w:rPr>
              <w:t>9</w:t>
            </w:r>
          </w:p>
        </w:tc>
        <w:tc>
          <w:tcPr>
            <w:tcW w:w="0" w:type="auto"/>
            <w:shd w:val="clear" w:color="auto" w:fill="auto"/>
          </w:tcPr>
          <w:p w14:paraId="7BC2CAC4" w14:textId="77777777" w:rsidR="008C5CFA" w:rsidRPr="009C3005" w:rsidRDefault="00E82A60" w:rsidP="00300A01">
            <w:pPr>
              <w:pStyle w:val="Text1"/>
              <w:spacing w:before="0" w:after="0"/>
              <w:ind w:left="0"/>
              <w:rPr>
                <w:sz w:val="12"/>
                <w:szCs w:val="12"/>
              </w:rPr>
            </w:pPr>
            <w:r>
              <w:rPr>
                <w:noProof/>
                <w:sz w:val="12"/>
                <w:szCs w:val="12"/>
              </w:rPr>
              <w:t>EFS</w:t>
            </w:r>
          </w:p>
        </w:tc>
        <w:tc>
          <w:tcPr>
            <w:tcW w:w="0" w:type="auto"/>
            <w:shd w:val="clear" w:color="auto" w:fill="auto"/>
          </w:tcPr>
          <w:p w14:paraId="7AE9CCDE" w14:textId="77777777" w:rsidR="008C5CFA" w:rsidRPr="009C3005" w:rsidRDefault="00E82A60" w:rsidP="00300A01">
            <w:pPr>
              <w:pStyle w:val="Text1"/>
              <w:spacing w:before="0" w:after="0"/>
              <w:ind w:left="0"/>
              <w:rPr>
                <w:sz w:val="12"/>
                <w:szCs w:val="12"/>
              </w:rPr>
            </w:pPr>
            <w:r>
              <w:rPr>
                <w:noProof/>
                <w:sz w:val="12"/>
                <w:szCs w:val="12"/>
              </w:rPr>
              <w:t>Słabiej rozwinięte</w:t>
            </w:r>
          </w:p>
        </w:tc>
        <w:tc>
          <w:tcPr>
            <w:tcW w:w="0" w:type="auto"/>
            <w:shd w:val="clear" w:color="auto" w:fill="auto"/>
          </w:tcPr>
          <w:p w14:paraId="766550AA" w14:textId="77777777" w:rsidR="008C5CFA" w:rsidRPr="009C3005" w:rsidRDefault="00E82A60" w:rsidP="00300A01">
            <w:pPr>
              <w:pStyle w:val="Text1"/>
              <w:spacing w:before="0" w:after="0"/>
              <w:ind w:left="0"/>
              <w:rPr>
                <w:sz w:val="12"/>
                <w:szCs w:val="12"/>
              </w:rPr>
            </w:pPr>
            <w:r>
              <w:rPr>
                <w:noProof/>
                <w:sz w:val="12"/>
                <w:szCs w:val="12"/>
              </w:rPr>
              <w:t>113</w:t>
            </w:r>
          </w:p>
        </w:tc>
        <w:tc>
          <w:tcPr>
            <w:tcW w:w="0" w:type="auto"/>
            <w:shd w:val="clear" w:color="auto" w:fill="auto"/>
          </w:tcPr>
          <w:p w14:paraId="27D478E1"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1D2E119A"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0B660DD3"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652D1910" w14:textId="77777777" w:rsidR="008C5CFA" w:rsidRPr="009C3005" w:rsidRDefault="008C5CFA" w:rsidP="00300A01">
            <w:pPr>
              <w:pStyle w:val="Text1"/>
              <w:spacing w:before="0" w:after="0"/>
              <w:ind w:left="0"/>
              <w:rPr>
                <w:sz w:val="12"/>
                <w:szCs w:val="12"/>
              </w:rPr>
            </w:pPr>
          </w:p>
        </w:tc>
        <w:tc>
          <w:tcPr>
            <w:tcW w:w="0" w:type="auto"/>
            <w:shd w:val="clear" w:color="auto" w:fill="auto"/>
          </w:tcPr>
          <w:p w14:paraId="0E276A9C" w14:textId="77777777" w:rsidR="008C5CFA" w:rsidRPr="009C3005" w:rsidRDefault="00E82A60" w:rsidP="00300A01">
            <w:pPr>
              <w:pStyle w:val="Text1"/>
              <w:spacing w:before="0" w:after="0"/>
              <w:ind w:left="0"/>
              <w:rPr>
                <w:sz w:val="12"/>
                <w:szCs w:val="12"/>
              </w:rPr>
            </w:pPr>
            <w:r>
              <w:rPr>
                <w:noProof/>
                <w:sz w:val="12"/>
                <w:szCs w:val="12"/>
              </w:rPr>
              <w:t>08</w:t>
            </w:r>
            <w:r>
              <w:rPr>
                <w:sz w:val="12"/>
                <w:szCs w:val="12"/>
              </w:rPr>
              <w:t xml:space="preserve"> </w:t>
            </w:r>
          </w:p>
        </w:tc>
        <w:tc>
          <w:tcPr>
            <w:tcW w:w="0" w:type="auto"/>
            <w:shd w:val="clear" w:color="auto" w:fill="auto"/>
          </w:tcPr>
          <w:p w14:paraId="19319673" w14:textId="77777777" w:rsidR="008C5CFA" w:rsidRPr="009C3005" w:rsidRDefault="00E82A60" w:rsidP="00300A01">
            <w:pPr>
              <w:pStyle w:val="Text1"/>
              <w:spacing w:before="0" w:after="0"/>
              <w:ind w:left="0"/>
              <w:rPr>
                <w:sz w:val="12"/>
                <w:szCs w:val="12"/>
              </w:rPr>
            </w:pPr>
            <w:r>
              <w:rPr>
                <w:noProof/>
                <w:sz w:val="12"/>
                <w:szCs w:val="12"/>
              </w:rPr>
              <w:t>24</w:t>
            </w:r>
          </w:p>
        </w:tc>
        <w:tc>
          <w:tcPr>
            <w:tcW w:w="0" w:type="auto"/>
            <w:shd w:val="clear" w:color="auto" w:fill="auto"/>
          </w:tcPr>
          <w:p w14:paraId="1E6580F6" w14:textId="77777777" w:rsidR="008C5CFA" w:rsidRPr="009C3005" w:rsidRDefault="00E82A60" w:rsidP="00300A01">
            <w:pPr>
              <w:pStyle w:val="Text1"/>
              <w:spacing w:before="0" w:after="0"/>
              <w:ind w:left="0"/>
              <w:rPr>
                <w:sz w:val="12"/>
                <w:szCs w:val="12"/>
              </w:rPr>
            </w:pPr>
            <w:r>
              <w:rPr>
                <w:noProof/>
                <w:sz w:val="12"/>
                <w:szCs w:val="12"/>
              </w:rPr>
              <w:t>PL33</w:t>
            </w:r>
          </w:p>
        </w:tc>
        <w:tc>
          <w:tcPr>
            <w:tcW w:w="0" w:type="auto"/>
            <w:shd w:val="clear" w:color="auto" w:fill="auto"/>
          </w:tcPr>
          <w:p w14:paraId="37112646" w14:textId="77777777" w:rsidR="008C5CFA" w:rsidRPr="009C3005" w:rsidRDefault="00E82A60" w:rsidP="00300A01">
            <w:pPr>
              <w:pStyle w:val="Text1"/>
              <w:spacing w:before="0" w:after="0"/>
              <w:ind w:left="0"/>
              <w:jc w:val="right"/>
              <w:rPr>
                <w:sz w:val="12"/>
                <w:szCs w:val="12"/>
              </w:rPr>
            </w:pPr>
            <w:r w:rsidRPr="009C3005">
              <w:rPr>
                <w:noProof/>
                <w:sz w:val="12"/>
                <w:szCs w:val="12"/>
              </w:rPr>
              <w:t>4 526 516,63</w:t>
            </w:r>
          </w:p>
        </w:tc>
        <w:tc>
          <w:tcPr>
            <w:tcW w:w="0" w:type="auto"/>
            <w:shd w:val="clear" w:color="auto" w:fill="auto"/>
          </w:tcPr>
          <w:p w14:paraId="27F61B28" w14:textId="77777777" w:rsidR="008C5CFA" w:rsidRPr="009C3005" w:rsidRDefault="00E82A60" w:rsidP="00300A01">
            <w:pPr>
              <w:pStyle w:val="Text1"/>
              <w:spacing w:before="0" w:after="0"/>
              <w:ind w:left="0"/>
              <w:jc w:val="right"/>
              <w:rPr>
                <w:sz w:val="12"/>
                <w:szCs w:val="12"/>
              </w:rPr>
            </w:pPr>
            <w:r w:rsidRPr="009C3005">
              <w:rPr>
                <w:noProof/>
                <w:sz w:val="12"/>
                <w:szCs w:val="12"/>
              </w:rPr>
              <w:t>4 382 370,34</w:t>
            </w:r>
          </w:p>
        </w:tc>
        <w:tc>
          <w:tcPr>
            <w:tcW w:w="0" w:type="auto"/>
            <w:shd w:val="clear" w:color="auto" w:fill="auto"/>
          </w:tcPr>
          <w:p w14:paraId="277C8B33" w14:textId="77777777" w:rsidR="008C5CFA" w:rsidRPr="009C3005" w:rsidRDefault="00E82A60" w:rsidP="00300A01">
            <w:pPr>
              <w:pStyle w:val="Text1"/>
              <w:spacing w:before="0" w:after="0"/>
              <w:ind w:left="0"/>
              <w:jc w:val="right"/>
              <w:rPr>
                <w:sz w:val="12"/>
                <w:szCs w:val="12"/>
              </w:rPr>
            </w:pPr>
            <w:r w:rsidRPr="009C3005">
              <w:rPr>
                <w:noProof/>
                <w:sz w:val="12"/>
                <w:szCs w:val="12"/>
              </w:rPr>
              <w:t>1 061 722,64</w:t>
            </w:r>
          </w:p>
        </w:tc>
        <w:tc>
          <w:tcPr>
            <w:tcW w:w="0" w:type="auto"/>
            <w:shd w:val="clear" w:color="auto" w:fill="auto"/>
          </w:tcPr>
          <w:p w14:paraId="6FF4E9CF" w14:textId="77777777" w:rsidR="008C5CFA" w:rsidRPr="009C3005" w:rsidRDefault="00E82A60" w:rsidP="00300A01">
            <w:pPr>
              <w:pStyle w:val="Text1"/>
              <w:spacing w:before="0" w:after="0"/>
              <w:ind w:left="0"/>
              <w:jc w:val="right"/>
              <w:rPr>
                <w:sz w:val="12"/>
                <w:szCs w:val="12"/>
              </w:rPr>
            </w:pPr>
            <w:r w:rsidRPr="009C3005">
              <w:rPr>
                <w:noProof/>
                <w:sz w:val="12"/>
                <w:szCs w:val="12"/>
              </w:rPr>
              <w:t>2</w:t>
            </w:r>
          </w:p>
        </w:tc>
      </w:tr>
      <w:tr w:rsidR="006B2EC1" w14:paraId="42155C8C" w14:textId="77777777" w:rsidTr="0047688D">
        <w:tc>
          <w:tcPr>
            <w:tcW w:w="0" w:type="auto"/>
            <w:shd w:val="clear" w:color="auto" w:fill="auto"/>
          </w:tcPr>
          <w:p w14:paraId="0D95EC4B" w14:textId="77777777" w:rsidR="008C5CFA" w:rsidRPr="009C3005" w:rsidRDefault="00E82A60" w:rsidP="00300A01">
            <w:pPr>
              <w:pStyle w:val="Text1"/>
              <w:spacing w:before="0" w:after="0"/>
              <w:ind w:left="0"/>
              <w:rPr>
                <w:sz w:val="12"/>
                <w:szCs w:val="12"/>
              </w:rPr>
            </w:pPr>
            <w:r>
              <w:rPr>
                <w:noProof/>
                <w:sz w:val="14"/>
                <w:szCs w:val="14"/>
                <w:lang w:val="fr-BE"/>
              </w:rPr>
              <w:t>10</w:t>
            </w:r>
          </w:p>
        </w:tc>
        <w:tc>
          <w:tcPr>
            <w:tcW w:w="0" w:type="auto"/>
            <w:shd w:val="clear" w:color="auto" w:fill="auto"/>
          </w:tcPr>
          <w:p w14:paraId="4B96B962" w14:textId="77777777" w:rsidR="008C5CFA" w:rsidRPr="009C3005" w:rsidRDefault="00E82A60" w:rsidP="00300A01">
            <w:pPr>
              <w:pStyle w:val="Text1"/>
              <w:spacing w:before="0" w:after="0"/>
              <w:ind w:left="0"/>
              <w:rPr>
                <w:sz w:val="12"/>
                <w:szCs w:val="12"/>
              </w:rPr>
            </w:pPr>
            <w:r>
              <w:rPr>
                <w:noProof/>
                <w:sz w:val="12"/>
                <w:szCs w:val="12"/>
              </w:rPr>
              <w:t>EFS</w:t>
            </w:r>
          </w:p>
        </w:tc>
        <w:tc>
          <w:tcPr>
            <w:tcW w:w="0" w:type="auto"/>
            <w:shd w:val="clear" w:color="auto" w:fill="auto"/>
          </w:tcPr>
          <w:p w14:paraId="7052D105" w14:textId="77777777" w:rsidR="008C5CFA" w:rsidRPr="009C3005" w:rsidRDefault="00E82A60" w:rsidP="00300A01">
            <w:pPr>
              <w:pStyle w:val="Text1"/>
              <w:spacing w:before="0" w:after="0"/>
              <w:ind w:left="0"/>
              <w:rPr>
                <w:sz w:val="12"/>
                <w:szCs w:val="12"/>
              </w:rPr>
            </w:pPr>
            <w:r>
              <w:rPr>
                <w:noProof/>
                <w:sz w:val="12"/>
                <w:szCs w:val="12"/>
              </w:rPr>
              <w:t>Słabiej rozwinięte</w:t>
            </w:r>
          </w:p>
        </w:tc>
        <w:tc>
          <w:tcPr>
            <w:tcW w:w="0" w:type="auto"/>
            <w:shd w:val="clear" w:color="auto" w:fill="auto"/>
          </w:tcPr>
          <w:p w14:paraId="3429A6A7" w14:textId="77777777" w:rsidR="008C5CFA" w:rsidRPr="009C3005" w:rsidRDefault="00E82A60" w:rsidP="00300A01">
            <w:pPr>
              <w:pStyle w:val="Text1"/>
              <w:spacing w:before="0" w:after="0"/>
              <w:ind w:left="0"/>
              <w:rPr>
                <w:sz w:val="12"/>
                <w:szCs w:val="12"/>
              </w:rPr>
            </w:pPr>
            <w:r>
              <w:rPr>
                <w:noProof/>
                <w:sz w:val="12"/>
                <w:szCs w:val="12"/>
              </w:rPr>
              <w:t>102</w:t>
            </w:r>
          </w:p>
        </w:tc>
        <w:tc>
          <w:tcPr>
            <w:tcW w:w="0" w:type="auto"/>
            <w:shd w:val="clear" w:color="auto" w:fill="auto"/>
          </w:tcPr>
          <w:p w14:paraId="3CEB15A2"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21A9ADD6"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057EB73F"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6948B0D2" w14:textId="77777777" w:rsidR="008C5CFA" w:rsidRPr="009C3005" w:rsidRDefault="008C5CFA" w:rsidP="00300A01">
            <w:pPr>
              <w:pStyle w:val="Text1"/>
              <w:spacing w:before="0" w:after="0"/>
              <w:ind w:left="0"/>
              <w:rPr>
                <w:sz w:val="12"/>
                <w:szCs w:val="12"/>
              </w:rPr>
            </w:pPr>
          </w:p>
        </w:tc>
        <w:tc>
          <w:tcPr>
            <w:tcW w:w="0" w:type="auto"/>
            <w:shd w:val="clear" w:color="auto" w:fill="auto"/>
          </w:tcPr>
          <w:p w14:paraId="24B44653" w14:textId="77777777" w:rsidR="008C5CFA" w:rsidRPr="009C3005" w:rsidRDefault="00E82A60" w:rsidP="00300A01">
            <w:pPr>
              <w:pStyle w:val="Text1"/>
              <w:spacing w:before="0" w:after="0"/>
              <w:ind w:left="0"/>
              <w:rPr>
                <w:sz w:val="12"/>
                <w:szCs w:val="12"/>
              </w:rPr>
            </w:pPr>
            <w:r>
              <w:rPr>
                <w:noProof/>
                <w:sz w:val="12"/>
                <w:szCs w:val="12"/>
              </w:rPr>
              <w:t>08</w:t>
            </w:r>
            <w:r>
              <w:rPr>
                <w:sz w:val="12"/>
                <w:szCs w:val="12"/>
              </w:rPr>
              <w:t xml:space="preserve"> </w:t>
            </w:r>
          </w:p>
        </w:tc>
        <w:tc>
          <w:tcPr>
            <w:tcW w:w="0" w:type="auto"/>
            <w:shd w:val="clear" w:color="auto" w:fill="auto"/>
          </w:tcPr>
          <w:p w14:paraId="32FAB66B" w14:textId="77777777" w:rsidR="008C5CFA" w:rsidRPr="009C3005" w:rsidRDefault="00E82A60" w:rsidP="00300A01">
            <w:pPr>
              <w:pStyle w:val="Text1"/>
              <w:spacing w:before="0" w:after="0"/>
              <w:ind w:left="0"/>
              <w:rPr>
                <w:sz w:val="12"/>
                <w:szCs w:val="12"/>
              </w:rPr>
            </w:pPr>
            <w:r>
              <w:rPr>
                <w:noProof/>
                <w:sz w:val="12"/>
                <w:szCs w:val="12"/>
              </w:rPr>
              <w:t>18</w:t>
            </w:r>
          </w:p>
        </w:tc>
        <w:tc>
          <w:tcPr>
            <w:tcW w:w="0" w:type="auto"/>
            <w:shd w:val="clear" w:color="auto" w:fill="auto"/>
          </w:tcPr>
          <w:p w14:paraId="5734FFA9" w14:textId="77777777" w:rsidR="008C5CFA" w:rsidRPr="009C3005" w:rsidRDefault="00E82A60" w:rsidP="00300A01">
            <w:pPr>
              <w:pStyle w:val="Text1"/>
              <w:spacing w:before="0" w:after="0"/>
              <w:ind w:left="0"/>
              <w:rPr>
                <w:sz w:val="12"/>
                <w:szCs w:val="12"/>
              </w:rPr>
            </w:pPr>
            <w:r>
              <w:rPr>
                <w:noProof/>
                <w:sz w:val="12"/>
                <w:szCs w:val="12"/>
              </w:rPr>
              <w:t>PL33</w:t>
            </w:r>
          </w:p>
        </w:tc>
        <w:tc>
          <w:tcPr>
            <w:tcW w:w="0" w:type="auto"/>
            <w:shd w:val="clear" w:color="auto" w:fill="auto"/>
          </w:tcPr>
          <w:p w14:paraId="2740D99A" w14:textId="77777777" w:rsidR="008C5CFA" w:rsidRPr="009C3005" w:rsidRDefault="00E82A60" w:rsidP="00300A01">
            <w:pPr>
              <w:pStyle w:val="Text1"/>
              <w:spacing w:before="0" w:after="0"/>
              <w:ind w:left="0"/>
              <w:jc w:val="right"/>
              <w:rPr>
                <w:sz w:val="12"/>
                <w:szCs w:val="12"/>
              </w:rPr>
            </w:pPr>
            <w:r w:rsidRPr="009C3005">
              <w:rPr>
                <w:noProof/>
                <w:sz w:val="12"/>
                <w:szCs w:val="12"/>
              </w:rPr>
              <w:t>1 508 499,28</w:t>
            </w:r>
          </w:p>
        </w:tc>
        <w:tc>
          <w:tcPr>
            <w:tcW w:w="0" w:type="auto"/>
            <w:shd w:val="clear" w:color="auto" w:fill="auto"/>
          </w:tcPr>
          <w:p w14:paraId="7DE8AF4D" w14:textId="77777777" w:rsidR="008C5CFA" w:rsidRPr="009C3005" w:rsidRDefault="00E82A60" w:rsidP="00300A01">
            <w:pPr>
              <w:pStyle w:val="Text1"/>
              <w:spacing w:before="0" w:after="0"/>
              <w:ind w:left="0"/>
              <w:jc w:val="right"/>
              <w:rPr>
                <w:sz w:val="12"/>
                <w:szCs w:val="12"/>
              </w:rPr>
            </w:pPr>
            <w:r w:rsidRPr="009C3005">
              <w:rPr>
                <w:noProof/>
                <w:sz w:val="12"/>
                <w:szCs w:val="12"/>
              </w:rPr>
              <w:t>1 508 499,28</w:t>
            </w:r>
          </w:p>
        </w:tc>
        <w:tc>
          <w:tcPr>
            <w:tcW w:w="0" w:type="auto"/>
            <w:shd w:val="clear" w:color="auto" w:fill="auto"/>
          </w:tcPr>
          <w:p w14:paraId="629A0C50" w14:textId="77777777" w:rsidR="008C5CFA" w:rsidRPr="009C3005" w:rsidRDefault="00E82A60" w:rsidP="00300A01">
            <w:pPr>
              <w:pStyle w:val="Text1"/>
              <w:spacing w:before="0" w:after="0"/>
              <w:ind w:left="0"/>
              <w:jc w:val="right"/>
              <w:rPr>
                <w:sz w:val="12"/>
                <w:szCs w:val="12"/>
              </w:rPr>
            </w:pPr>
            <w:r w:rsidRPr="009C3005">
              <w:rPr>
                <w:noProof/>
                <w:sz w:val="12"/>
                <w:szCs w:val="12"/>
              </w:rPr>
              <w:t>1 449 666,55</w:t>
            </w:r>
          </w:p>
        </w:tc>
        <w:tc>
          <w:tcPr>
            <w:tcW w:w="0" w:type="auto"/>
            <w:shd w:val="clear" w:color="auto" w:fill="auto"/>
          </w:tcPr>
          <w:p w14:paraId="4AD75644" w14:textId="77777777" w:rsidR="008C5CFA" w:rsidRPr="009C3005" w:rsidRDefault="00E82A60" w:rsidP="00300A01">
            <w:pPr>
              <w:pStyle w:val="Text1"/>
              <w:spacing w:before="0" w:after="0"/>
              <w:ind w:left="0"/>
              <w:jc w:val="right"/>
              <w:rPr>
                <w:sz w:val="12"/>
                <w:szCs w:val="12"/>
              </w:rPr>
            </w:pPr>
            <w:r w:rsidRPr="009C3005">
              <w:rPr>
                <w:noProof/>
                <w:sz w:val="12"/>
                <w:szCs w:val="12"/>
              </w:rPr>
              <w:t>2</w:t>
            </w:r>
          </w:p>
        </w:tc>
      </w:tr>
      <w:tr w:rsidR="006B2EC1" w14:paraId="76C90268" w14:textId="77777777" w:rsidTr="0047688D">
        <w:tc>
          <w:tcPr>
            <w:tcW w:w="0" w:type="auto"/>
            <w:shd w:val="clear" w:color="auto" w:fill="auto"/>
          </w:tcPr>
          <w:p w14:paraId="488C4BA3" w14:textId="77777777" w:rsidR="008C5CFA" w:rsidRPr="009C3005" w:rsidRDefault="00E82A60" w:rsidP="00300A01">
            <w:pPr>
              <w:pStyle w:val="Text1"/>
              <w:spacing w:before="0" w:after="0"/>
              <w:ind w:left="0"/>
              <w:rPr>
                <w:sz w:val="12"/>
                <w:szCs w:val="12"/>
              </w:rPr>
            </w:pPr>
            <w:r>
              <w:rPr>
                <w:noProof/>
                <w:sz w:val="14"/>
                <w:szCs w:val="14"/>
                <w:lang w:val="fr-BE"/>
              </w:rPr>
              <w:t>10</w:t>
            </w:r>
          </w:p>
        </w:tc>
        <w:tc>
          <w:tcPr>
            <w:tcW w:w="0" w:type="auto"/>
            <w:shd w:val="clear" w:color="auto" w:fill="auto"/>
          </w:tcPr>
          <w:p w14:paraId="493E91D1" w14:textId="77777777" w:rsidR="008C5CFA" w:rsidRPr="009C3005" w:rsidRDefault="00E82A60" w:rsidP="00300A01">
            <w:pPr>
              <w:pStyle w:val="Text1"/>
              <w:spacing w:before="0" w:after="0"/>
              <w:ind w:left="0"/>
              <w:rPr>
                <w:sz w:val="12"/>
                <w:szCs w:val="12"/>
              </w:rPr>
            </w:pPr>
            <w:r>
              <w:rPr>
                <w:noProof/>
                <w:sz w:val="12"/>
                <w:szCs w:val="12"/>
              </w:rPr>
              <w:t>EFS</w:t>
            </w:r>
          </w:p>
        </w:tc>
        <w:tc>
          <w:tcPr>
            <w:tcW w:w="0" w:type="auto"/>
            <w:shd w:val="clear" w:color="auto" w:fill="auto"/>
          </w:tcPr>
          <w:p w14:paraId="006CE475" w14:textId="77777777" w:rsidR="008C5CFA" w:rsidRPr="009C3005" w:rsidRDefault="00E82A60" w:rsidP="00300A01">
            <w:pPr>
              <w:pStyle w:val="Text1"/>
              <w:spacing w:before="0" w:after="0"/>
              <w:ind w:left="0"/>
              <w:rPr>
                <w:sz w:val="12"/>
                <w:szCs w:val="12"/>
              </w:rPr>
            </w:pPr>
            <w:r>
              <w:rPr>
                <w:noProof/>
                <w:sz w:val="12"/>
                <w:szCs w:val="12"/>
              </w:rPr>
              <w:t>Słabiej rozwinięte</w:t>
            </w:r>
          </w:p>
        </w:tc>
        <w:tc>
          <w:tcPr>
            <w:tcW w:w="0" w:type="auto"/>
            <w:shd w:val="clear" w:color="auto" w:fill="auto"/>
          </w:tcPr>
          <w:p w14:paraId="6C8514B3" w14:textId="77777777" w:rsidR="008C5CFA" w:rsidRPr="009C3005" w:rsidRDefault="00E82A60" w:rsidP="00300A01">
            <w:pPr>
              <w:pStyle w:val="Text1"/>
              <w:spacing w:before="0" w:after="0"/>
              <w:ind w:left="0"/>
              <w:rPr>
                <w:sz w:val="12"/>
                <w:szCs w:val="12"/>
              </w:rPr>
            </w:pPr>
            <w:r>
              <w:rPr>
                <w:noProof/>
                <w:sz w:val="12"/>
                <w:szCs w:val="12"/>
              </w:rPr>
              <w:t>102</w:t>
            </w:r>
          </w:p>
        </w:tc>
        <w:tc>
          <w:tcPr>
            <w:tcW w:w="0" w:type="auto"/>
            <w:shd w:val="clear" w:color="auto" w:fill="auto"/>
          </w:tcPr>
          <w:p w14:paraId="4877F9B5"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3DB382AD"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2AA8EC3C"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2D7B74EB" w14:textId="77777777" w:rsidR="008C5CFA" w:rsidRPr="009C3005" w:rsidRDefault="008C5CFA" w:rsidP="00300A01">
            <w:pPr>
              <w:pStyle w:val="Text1"/>
              <w:spacing w:before="0" w:after="0"/>
              <w:ind w:left="0"/>
              <w:rPr>
                <w:sz w:val="12"/>
                <w:szCs w:val="12"/>
              </w:rPr>
            </w:pPr>
          </w:p>
        </w:tc>
        <w:tc>
          <w:tcPr>
            <w:tcW w:w="0" w:type="auto"/>
            <w:shd w:val="clear" w:color="auto" w:fill="auto"/>
          </w:tcPr>
          <w:p w14:paraId="74411AE8" w14:textId="77777777" w:rsidR="008C5CFA" w:rsidRPr="009C3005" w:rsidRDefault="00E82A60" w:rsidP="00300A01">
            <w:pPr>
              <w:pStyle w:val="Text1"/>
              <w:spacing w:before="0" w:after="0"/>
              <w:ind w:left="0"/>
              <w:rPr>
                <w:sz w:val="12"/>
                <w:szCs w:val="12"/>
              </w:rPr>
            </w:pPr>
            <w:r>
              <w:rPr>
                <w:noProof/>
                <w:sz w:val="12"/>
                <w:szCs w:val="12"/>
              </w:rPr>
              <w:t>08</w:t>
            </w:r>
            <w:r>
              <w:rPr>
                <w:sz w:val="12"/>
                <w:szCs w:val="12"/>
              </w:rPr>
              <w:t xml:space="preserve"> </w:t>
            </w:r>
          </w:p>
        </w:tc>
        <w:tc>
          <w:tcPr>
            <w:tcW w:w="0" w:type="auto"/>
            <w:shd w:val="clear" w:color="auto" w:fill="auto"/>
          </w:tcPr>
          <w:p w14:paraId="00B237B0" w14:textId="77777777" w:rsidR="008C5CFA" w:rsidRPr="009C3005" w:rsidRDefault="00E82A60" w:rsidP="00300A01">
            <w:pPr>
              <w:pStyle w:val="Text1"/>
              <w:spacing w:before="0" w:after="0"/>
              <w:ind w:left="0"/>
              <w:rPr>
                <w:sz w:val="12"/>
                <w:szCs w:val="12"/>
              </w:rPr>
            </w:pPr>
            <w:r>
              <w:rPr>
                <w:noProof/>
                <w:sz w:val="12"/>
                <w:szCs w:val="12"/>
              </w:rPr>
              <w:t>19</w:t>
            </w:r>
          </w:p>
        </w:tc>
        <w:tc>
          <w:tcPr>
            <w:tcW w:w="0" w:type="auto"/>
            <w:shd w:val="clear" w:color="auto" w:fill="auto"/>
          </w:tcPr>
          <w:p w14:paraId="500F02B9" w14:textId="77777777" w:rsidR="008C5CFA" w:rsidRPr="009C3005" w:rsidRDefault="00E82A60" w:rsidP="00300A01">
            <w:pPr>
              <w:pStyle w:val="Text1"/>
              <w:spacing w:before="0" w:after="0"/>
              <w:ind w:left="0"/>
              <w:rPr>
                <w:sz w:val="12"/>
                <w:szCs w:val="12"/>
              </w:rPr>
            </w:pPr>
            <w:r>
              <w:rPr>
                <w:noProof/>
                <w:sz w:val="12"/>
                <w:szCs w:val="12"/>
              </w:rPr>
              <w:t>PL33</w:t>
            </w:r>
          </w:p>
        </w:tc>
        <w:tc>
          <w:tcPr>
            <w:tcW w:w="0" w:type="auto"/>
            <w:shd w:val="clear" w:color="auto" w:fill="auto"/>
          </w:tcPr>
          <w:p w14:paraId="6AE85E5A" w14:textId="77777777" w:rsidR="008C5CFA" w:rsidRPr="009C3005" w:rsidRDefault="00E82A60" w:rsidP="00300A01">
            <w:pPr>
              <w:pStyle w:val="Text1"/>
              <w:spacing w:before="0" w:after="0"/>
              <w:ind w:left="0"/>
              <w:jc w:val="right"/>
              <w:rPr>
                <w:sz w:val="12"/>
                <w:szCs w:val="12"/>
              </w:rPr>
            </w:pPr>
            <w:r w:rsidRPr="009C3005">
              <w:rPr>
                <w:noProof/>
                <w:sz w:val="12"/>
                <w:szCs w:val="12"/>
              </w:rPr>
              <w:t>389 220,29</w:t>
            </w:r>
          </w:p>
        </w:tc>
        <w:tc>
          <w:tcPr>
            <w:tcW w:w="0" w:type="auto"/>
            <w:shd w:val="clear" w:color="auto" w:fill="auto"/>
          </w:tcPr>
          <w:p w14:paraId="6F78A49E" w14:textId="77777777" w:rsidR="008C5CFA" w:rsidRPr="009C3005" w:rsidRDefault="00E82A60" w:rsidP="00300A01">
            <w:pPr>
              <w:pStyle w:val="Text1"/>
              <w:spacing w:before="0" w:after="0"/>
              <w:ind w:left="0"/>
              <w:jc w:val="right"/>
              <w:rPr>
                <w:sz w:val="12"/>
                <w:szCs w:val="12"/>
              </w:rPr>
            </w:pPr>
            <w:r w:rsidRPr="009C3005">
              <w:rPr>
                <w:noProof/>
                <w:sz w:val="12"/>
                <w:szCs w:val="12"/>
              </w:rPr>
              <w:t>369 758,62</w:t>
            </w:r>
          </w:p>
        </w:tc>
        <w:tc>
          <w:tcPr>
            <w:tcW w:w="0" w:type="auto"/>
            <w:shd w:val="clear" w:color="auto" w:fill="auto"/>
          </w:tcPr>
          <w:p w14:paraId="02504068" w14:textId="77777777" w:rsidR="008C5CFA" w:rsidRPr="009C3005" w:rsidRDefault="00E82A60" w:rsidP="00300A01">
            <w:pPr>
              <w:pStyle w:val="Text1"/>
              <w:spacing w:before="0" w:after="0"/>
              <w:ind w:left="0"/>
              <w:jc w:val="right"/>
              <w:rPr>
                <w:sz w:val="12"/>
                <w:szCs w:val="12"/>
              </w:rPr>
            </w:pPr>
            <w:r w:rsidRPr="009C3005">
              <w:rPr>
                <w:noProof/>
                <w:sz w:val="12"/>
                <w:szCs w:val="12"/>
              </w:rPr>
              <w:t>340 284,92</w:t>
            </w:r>
          </w:p>
        </w:tc>
        <w:tc>
          <w:tcPr>
            <w:tcW w:w="0" w:type="auto"/>
            <w:shd w:val="clear" w:color="auto" w:fill="auto"/>
          </w:tcPr>
          <w:p w14:paraId="5BC384C3" w14:textId="77777777" w:rsidR="008C5CFA" w:rsidRPr="009C3005" w:rsidRDefault="00E82A60" w:rsidP="00300A01">
            <w:pPr>
              <w:pStyle w:val="Text1"/>
              <w:spacing w:before="0" w:after="0"/>
              <w:ind w:left="0"/>
              <w:jc w:val="right"/>
              <w:rPr>
                <w:sz w:val="12"/>
                <w:szCs w:val="12"/>
              </w:rPr>
            </w:pPr>
            <w:r w:rsidRPr="009C3005">
              <w:rPr>
                <w:noProof/>
                <w:sz w:val="12"/>
                <w:szCs w:val="12"/>
              </w:rPr>
              <w:t>2</w:t>
            </w:r>
          </w:p>
        </w:tc>
      </w:tr>
      <w:tr w:rsidR="006B2EC1" w14:paraId="5A054E75" w14:textId="77777777" w:rsidTr="0047688D">
        <w:tc>
          <w:tcPr>
            <w:tcW w:w="0" w:type="auto"/>
            <w:shd w:val="clear" w:color="auto" w:fill="auto"/>
          </w:tcPr>
          <w:p w14:paraId="186E5143" w14:textId="77777777" w:rsidR="008C5CFA" w:rsidRPr="009C3005" w:rsidRDefault="00E82A60" w:rsidP="00300A01">
            <w:pPr>
              <w:pStyle w:val="Text1"/>
              <w:spacing w:before="0" w:after="0"/>
              <w:ind w:left="0"/>
              <w:rPr>
                <w:sz w:val="12"/>
                <w:szCs w:val="12"/>
              </w:rPr>
            </w:pPr>
            <w:r>
              <w:rPr>
                <w:noProof/>
                <w:sz w:val="14"/>
                <w:szCs w:val="14"/>
                <w:lang w:val="fr-BE"/>
              </w:rPr>
              <w:t>10</w:t>
            </w:r>
          </w:p>
        </w:tc>
        <w:tc>
          <w:tcPr>
            <w:tcW w:w="0" w:type="auto"/>
            <w:shd w:val="clear" w:color="auto" w:fill="auto"/>
          </w:tcPr>
          <w:p w14:paraId="5B302605" w14:textId="77777777" w:rsidR="008C5CFA" w:rsidRPr="009C3005" w:rsidRDefault="00E82A60" w:rsidP="00300A01">
            <w:pPr>
              <w:pStyle w:val="Text1"/>
              <w:spacing w:before="0" w:after="0"/>
              <w:ind w:left="0"/>
              <w:rPr>
                <w:sz w:val="12"/>
                <w:szCs w:val="12"/>
              </w:rPr>
            </w:pPr>
            <w:r>
              <w:rPr>
                <w:noProof/>
                <w:sz w:val="12"/>
                <w:szCs w:val="12"/>
              </w:rPr>
              <w:t>EFS</w:t>
            </w:r>
          </w:p>
        </w:tc>
        <w:tc>
          <w:tcPr>
            <w:tcW w:w="0" w:type="auto"/>
            <w:shd w:val="clear" w:color="auto" w:fill="auto"/>
          </w:tcPr>
          <w:p w14:paraId="612F6DDF" w14:textId="77777777" w:rsidR="008C5CFA" w:rsidRPr="009C3005" w:rsidRDefault="00E82A60" w:rsidP="00300A01">
            <w:pPr>
              <w:pStyle w:val="Text1"/>
              <w:spacing w:before="0" w:after="0"/>
              <w:ind w:left="0"/>
              <w:rPr>
                <w:sz w:val="12"/>
                <w:szCs w:val="12"/>
              </w:rPr>
            </w:pPr>
            <w:r>
              <w:rPr>
                <w:noProof/>
                <w:sz w:val="12"/>
                <w:szCs w:val="12"/>
              </w:rPr>
              <w:t>Słabiej rozwinięte</w:t>
            </w:r>
          </w:p>
        </w:tc>
        <w:tc>
          <w:tcPr>
            <w:tcW w:w="0" w:type="auto"/>
            <w:shd w:val="clear" w:color="auto" w:fill="auto"/>
          </w:tcPr>
          <w:p w14:paraId="7396FEF7" w14:textId="77777777" w:rsidR="008C5CFA" w:rsidRPr="009C3005" w:rsidRDefault="00E82A60" w:rsidP="00300A01">
            <w:pPr>
              <w:pStyle w:val="Text1"/>
              <w:spacing w:before="0" w:after="0"/>
              <w:ind w:left="0"/>
              <w:rPr>
                <w:sz w:val="12"/>
                <w:szCs w:val="12"/>
              </w:rPr>
            </w:pPr>
            <w:r>
              <w:rPr>
                <w:noProof/>
                <w:sz w:val="12"/>
                <w:szCs w:val="12"/>
              </w:rPr>
              <w:t>102</w:t>
            </w:r>
          </w:p>
        </w:tc>
        <w:tc>
          <w:tcPr>
            <w:tcW w:w="0" w:type="auto"/>
            <w:shd w:val="clear" w:color="auto" w:fill="auto"/>
          </w:tcPr>
          <w:p w14:paraId="02C04CB6"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264B82B7"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39E25A7C"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3BB613C6" w14:textId="77777777" w:rsidR="008C5CFA" w:rsidRPr="009C3005" w:rsidRDefault="008C5CFA" w:rsidP="00300A01">
            <w:pPr>
              <w:pStyle w:val="Text1"/>
              <w:spacing w:before="0" w:after="0"/>
              <w:ind w:left="0"/>
              <w:rPr>
                <w:sz w:val="12"/>
                <w:szCs w:val="12"/>
              </w:rPr>
            </w:pPr>
          </w:p>
        </w:tc>
        <w:tc>
          <w:tcPr>
            <w:tcW w:w="0" w:type="auto"/>
            <w:shd w:val="clear" w:color="auto" w:fill="auto"/>
          </w:tcPr>
          <w:p w14:paraId="53216CC5" w14:textId="77777777" w:rsidR="008C5CFA" w:rsidRPr="009C3005" w:rsidRDefault="00E82A60" w:rsidP="00300A01">
            <w:pPr>
              <w:pStyle w:val="Text1"/>
              <w:spacing w:before="0" w:after="0"/>
              <w:ind w:left="0"/>
              <w:rPr>
                <w:sz w:val="12"/>
                <w:szCs w:val="12"/>
              </w:rPr>
            </w:pPr>
            <w:r>
              <w:rPr>
                <w:noProof/>
                <w:sz w:val="12"/>
                <w:szCs w:val="12"/>
              </w:rPr>
              <w:t>08</w:t>
            </w:r>
            <w:r>
              <w:rPr>
                <w:sz w:val="12"/>
                <w:szCs w:val="12"/>
              </w:rPr>
              <w:t xml:space="preserve"> </w:t>
            </w:r>
          </w:p>
        </w:tc>
        <w:tc>
          <w:tcPr>
            <w:tcW w:w="0" w:type="auto"/>
            <w:shd w:val="clear" w:color="auto" w:fill="auto"/>
          </w:tcPr>
          <w:p w14:paraId="4456933D" w14:textId="77777777" w:rsidR="008C5CFA" w:rsidRPr="009C3005" w:rsidRDefault="00E82A60" w:rsidP="00300A01">
            <w:pPr>
              <w:pStyle w:val="Text1"/>
              <w:spacing w:before="0" w:after="0"/>
              <w:ind w:left="0"/>
              <w:rPr>
                <w:sz w:val="12"/>
                <w:szCs w:val="12"/>
              </w:rPr>
            </w:pPr>
            <w:r>
              <w:rPr>
                <w:noProof/>
                <w:sz w:val="12"/>
                <w:szCs w:val="12"/>
              </w:rPr>
              <w:t>24</w:t>
            </w:r>
          </w:p>
        </w:tc>
        <w:tc>
          <w:tcPr>
            <w:tcW w:w="0" w:type="auto"/>
            <w:shd w:val="clear" w:color="auto" w:fill="auto"/>
          </w:tcPr>
          <w:p w14:paraId="485B648D" w14:textId="77777777" w:rsidR="008C5CFA" w:rsidRPr="009C3005" w:rsidRDefault="00E82A60" w:rsidP="00300A01">
            <w:pPr>
              <w:pStyle w:val="Text1"/>
              <w:spacing w:before="0" w:after="0"/>
              <w:ind w:left="0"/>
              <w:rPr>
                <w:sz w:val="12"/>
                <w:szCs w:val="12"/>
              </w:rPr>
            </w:pPr>
            <w:r>
              <w:rPr>
                <w:noProof/>
                <w:sz w:val="12"/>
                <w:szCs w:val="12"/>
              </w:rPr>
              <w:t>PL33</w:t>
            </w:r>
          </w:p>
        </w:tc>
        <w:tc>
          <w:tcPr>
            <w:tcW w:w="0" w:type="auto"/>
            <w:shd w:val="clear" w:color="auto" w:fill="auto"/>
          </w:tcPr>
          <w:p w14:paraId="752D4372" w14:textId="77777777" w:rsidR="008C5CFA" w:rsidRPr="009C3005" w:rsidRDefault="00E82A60" w:rsidP="00300A01">
            <w:pPr>
              <w:pStyle w:val="Text1"/>
              <w:spacing w:before="0" w:after="0"/>
              <w:ind w:left="0"/>
              <w:jc w:val="right"/>
              <w:rPr>
                <w:sz w:val="12"/>
                <w:szCs w:val="12"/>
              </w:rPr>
            </w:pPr>
            <w:r w:rsidRPr="009C3005">
              <w:rPr>
                <w:noProof/>
                <w:sz w:val="12"/>
                <w:szCs w:val="12"/>
              </w:rPr>
              <w:t>1 830 290,70</w:t>
            </w:r>
          </w:p>
        </w:tc>
        <w:tc>
          <w:tcPr>
            <w:tcW w:w="0" w:type="auto"/>
            <w:shd w:val="clear" w:color="auto" w:fill="auto"/>
          </w:tcPr>
          <w:p w14:paraId="64815E87" w14:textId="77777777" w:rsidR="008C5CFA" w:rsidRPr="009C3005" w:rsidRDefault="00E82A60" w:rsidP="00300A01">
            <w:pPr>
              <w:pStyle w:val="Text1"/>
              <w:spacing w:before="0" w:after="0"/>
              <w:ind w:left="0"/>
              <w:jc w:val="right"/>
              <w:rPr>
                <w:sz w:val="12"/>
                <w:szCs w:val="12"/>
              </w:rPr>
            </w:pPr>
            <w:r w:rsidRPr="009C3005">
              <w:rPr>
                <w:noProof/>
                <w:sz w:val="12"/>
                <w:szCs w:val="12"/>
              </w:rPr>
              <w:t>1 467 235,99</w:t>
            </w:r>
          </w:p>
        </w:tc>
        <w:tc>
          <w:tcPr>
            <w:tcW w:w="0" w:type="auto"/>
            <w:shd w:val="clear" w:color="auto" w:fill="auto"/>
          </w:tcPr>
          <w:p w14:paraId="52145375" w14:textId="77777777" w:rsidR="008C5CFA" w:rsidRPr="009C3005" w:rsidRDefault="00E82A60" w:rsidP="00300A01">
            <w:pPr>
              <w:pStyle w:val="Text1"/>
              <w:spacing w:before="0" w:after="0"/>
              <w:ind w:left="0"/>
              <w:jc w:val="right"/>
              <w:rPr>
                <w:sz w:val="12"/>
                <w:szCs w:val="12"/>
              </w:rPr>
            </w:pPr>
            <w:r w:rsidRPr="009C3005">
              <w:rPr>
                <w:noProof/>
                <w:sz w:val="12"/>
                <w:szCs w:val="12"/>
              </w:rPr>
              <w:t>1 691 880,10</w:t>
            </w:r>
          </w:p>
        </w:tc>
        <w:tc>
          <w:tcPr>
            <w:tcW w:w="0" w:type="auto"/>
            <w:shd w:val="clear" w:color="auto" w:fill="auto"/>
          </w:tcPr>
          <w:p w14:paraId="70D2975A" w14:textId="77777777" w:rsidR="008C5CFA" w:rsidRPr="009C3005" w:rsidRDefault="00E82A60" w:rsidP="00300A01">
            <w:pPr>
              <w:pStyle w:val="Text1"/>
              <w:spacing w:before="0" w:after="0"/>
              <w:ind w:left="0"/>
              <w:jc w:val="right"/>
              <w:rPr>
                <w:sz w:val="12"/>
                <w:szCs w:val="12"/>
              </w:rPr>
            </w:pPr>
            <w:r w:rsidRPr="009C3005">
              <w:rPr>
                <w:noProof/>
                <w:sz w:val="12"/>
                <w:szCs w:val="12"/>
              </w:rPr>
              <w:t>5</w:t>
            </w:r>
          </w:p>
        </w:tc>
      </w:tr>
      <w:tr w:rsidR="006B2EC1" w14:paraId="1CB05BB3" w14:textId="77777777" w:rsidTr="0047688D">
        <w:tc>
          <w:tcPr>
            <w:tcW w:w="0" w:type="auto"/>
            <w:shd w:val="clear" w:color="auto" w:fill="auto"/>
          </w:tcPr>
          <w:p w14:paraId="189FB499" w14:textId="77777777" w:rsidR="008C5CFA" w:rsidRPr="009C3005" w:rsidRDefault="00E82A60" w:rsidP="00300A01">
            <w:pPr>
              <w:pStyle w:val="Text1"/>
              <w:spacing w:before="0" w:after="0"/>
              <w:ind w:left="0"/>
              <w:rPr>
                <w:sz w:val="12"/>
                <w:szCs w:val="12"/>
              </w:rPr>
            </w:pPr>
            <w:r>
              <w:rPr>
                <w:noProof/>
                <w:sz w:val="14"/>
                <w:szCs w:val="14"/>
                <w:lang w:val="fr-BE"/>
              </w:rPr>
              <w:t>10</w:t>
            </w:r>
          </w:p>
        </w:tc>
        <w:tc>
          <w:tcPr>
            <w:tcW w:w="0" w:type="auto"/>
            <w:shd w:val="clear" w:color="auto" w:fill="auto"/>
          </w:tcPr>
          <w:p w14:paraId="41E0201B" w14:textId="77777777" w:rsidR="008C5CFA" w:rsidRPr="009C3005" w:rsidRDefault="00E82A60" w:rsidP="00300A01">
            <w:pPr>
              <w:pStyle w:val="Text1"/>
              <w:spacing w:before="0" w:after="0"/>
              <w:ind w:left="0"/>
              <w:rPr>
                <w:sz w:val="12"/>
                <w:szCs w:val="12"/>
              </w:rPr>
            </w:pPr>
            <w:r>
              <w:rPr>
                <w:noProof/>
                <w:sz w:val="12"/>
                <w:szCs w:val="12"/>
              </w:rPr>
              <w:t>EFS</w:t>
            </w:r>
          </w:p>
        </w:tc>
        <w:tc>
          <w:tcPr>
            <w:tcW w:w="0" w:type="auto"/>
            <w:shd w:val="clear" w:color="auto" w:fill="auto"/>
          </w:tcPr>
          <w:p w14:paraId="4E3C936F" w14:textId="77777777" w:rsidR="008C5CFA" w:rsidRPr="009C3005" w:rsidRDefault="00E82A60" w:rsidP="00300A01">
            <w:pPr>
              <w:pStyle w:val="Text1"/>
              <w:spacing w:before="0" w:after="0"/>
              <w:ind w:left="0"/>
              <w:rPr>
                <w:sz w:val="12"/>
                <w:szCs w:val="12"/>
              </w:rPr>
            </w:pPr>
            <w:r>
              <w:rPr>
                <w:noProof/>
                <w:sz w:val="12"/>
                <w:szCs w:val="12"/>
              </w:rPr>
              <w:t>Słabiej rozwinięte</w:t>
            </w:r>
          </w:p>
        </w:tc>
        <w:tc>
          <w:tcPr>
            <w:tcW w:w="0" w:type="auto"/>
            <w:shd w:val="clear" w:color="auto" w:fill="auto"/>
          </w:tcPr>
          <w:p w14:paraId="04F0EB2F" w14:textId="77777777" w:rsidR="008C5CFA" w:rsidRPr="009C3005" w:rsidRDefault="00E82A60" w:rsidP="00300A01">
            <w:pPr>
              <w:pStyle w:val="Text1"/>
              <w:spacing w:before="0" w:after="0"/>
              <w:ind w:left="0"/>
              <w:rPr>
                <w:sz w:val="12"/>
                <w:szCs w:val="12"/>
              </w:rPr>
            </w:pPr>
            <w:r>
              <w:rPr>
                <w:noProof/>
                <w:sz w:val="12"/>
                <w:szCs w:val="12"/>
              </w:rPr>
              <w:t>102</w:t>
            </w:r>
          </w:p>
        </w:tc>
        <w:tc>
          <w:tcPr>
            <w:tcW w:w="0" w:type="auto"/>
            <w:shd w:val="clear" w:color="auto" w:fill="auto"/>
          </w:tcPr>
          <w:p w14:paraId="297B2618"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74712D26"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34DE011E"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43DDAE8B" w14:textId="77777777" w:rsidR="008C5CFA" w:rsidRPr="009C3005" w:rsidRDefault="008C5CFA" w:rsidP="00300A01">
            <w:pPr>
              <w:pStyle w:val="Text1"/>
              <w:spacing w:before="0" w:after="0"/>
              <w:ind w:left="0"/>
              <w:rPr>
                <w:sz w:val="12"/>
                <w:szCs w:val="12"/>
              </w:rPr>
            </w:pPr>
          </w:p>
        </w:tc>
        <w:tc>
          <w:tcPr>
            <w:tcW w:w="0" w:type="auto"/>
            <w:shd w:val="clear" w:color="auto" w:fill="auto"/>
          </w:tcPr>
          <w:p w14:paraId="2A7DF1C0" w14:textId="77777777" w:rsidR="008C5CFA" w:rsidRPr="009C3005" w:rsidRDefault="00E82A60" w:rsidP="00300A01">
            <w:pPr>
              <w:pStyle w:val="Text1"/>
              <w:spacing w:before="0" w:after="0"/>
              <w:ind w:left="0"/>
              <w:rPr>
                <w:sz w:val="12"/>
                <w:szCs w:val="12"/>
              </w:rPr>
            </w:pPr>
            <w:r>
              <w:rPr>
                <w:noProof/>
                <w:sz w:val="12"/>
                <w:szCs w:val="12"/>
              </w:rPr>
              <w:t>08</w:t>
            </w:r>
            <w:r>
              <w:rPr>
                <w:sz w:val="12"/>
                <w:szCs w:val="12"/>
              </w:rPr>
              <w:t xml:space="preserve"> </w:t>
            </w:r>
          </w:p>
        </w:tc>
        <w:tc>
          <w:tcPr>
            <w:tcW w:w="0" w:type="auto"/>
            <w:shd w:val="clear" w:color="auto" w:fill="auto"/>
          </w:tcPr>
          <w:p w14:paraId="3CB011C4" w14:textId="77777777" w:rsidR="008C5CFA" w:rsidRPr="009C3005" w:rsidRDefault="00E82A60" w:rsidP="00300A01">
            <w:pPr>
              <w:pStyle w:val="Text1"/>
              <w:spacing w:before="0" w:after="0"/>
              <w:ind w:left="0"/>
              <w:rPr>
                <w:sz w:val="12"/>
                <w:szCs w:val="12"/>
              </w:rPr>
            </w:pPr>
            <w:r>
              <w:rPr>
                <w:noProof/>
                <w:sz w:val="12"/>
                <w:szCs w:val="12"/>
              </w:rPr>
              <w:t>18</w:t>
            </w:r>
          </w:p>
        </w:tc>
        <w:tc>
          <w:tcPr>
            <w:tcW w:w="0" w:type="auto"/>
            <w:shd w:val="clear" w:color="auto" w:fill="auto"/>
          </w:tcPr>
          <w:p w14:paraId="49A65CD3" w14:textId="77777777" w:rsidR="008C5CFA" w:rsidRPr="009C3005" w:rsidRDefault="00E82A60" w:rsidP="00300A01">
            <w:pPr>
              <w:pStyle w:val="Text1"/>
              <w:spacing w:before="0" w:after="0"/>
              <w:ind w:left="0"/>
              <w:rPr>
                <w:sz w:val="12"/>
                <w:szCs w:val="12"/>
              </w:rPr>
            </w:pPr>
            <w:r>
              <w:rPr>
                <w:noProof/>
                <w:sz w:val="12"/>
                <w:szCs w:val="12"/>
              </w:rPr>
              <w:t>PL33</w:t>
            </w:r>
          </w:p>
        </w:tc>
        <w:tc>
          <w:tcPr>
            <w:tcW w:w="0" w:type="auto"/>
            <w:shd w:val="clear" w:color="auto" w:fill="auto"/>
          </w:tcPr>
          <w:p w14:paraId="0E43F594" w14:textId="77777777" w:rsidR="008C5CFA" w:rsidRPr="009C3005" w:rsidRDefault="00E82A60" w:rsidP="00300A01">
            <w:pPr>
              <w:pStyle w:val="Text1"/>
              <w:spacing w:before="0" w:after="0"/>
              <w:ind w:left="0"/>
              <w:jc w:val="right"/>
              <w:rPr>
                <w:sz w:val="12"/>
                <w:szCs w:val="12"/>
              </w:rPr>
            </w:pPr>
            <w:r w:rsidRPr="009C3005">
              <w:rPr>
                <w:noProof/>
                <w:sz w:val="12"/>
                <w:szCs w:val="12"/>
              </w:rPr>
              <w:t>32 769 657,51</w:t>
            </w:r>
          </w:p>
        </w:tc>
        <w:tc>
          <w:tcPr>
            <w:tcW w:w="0" w:type="auto"/>
            <w:shd w:val="clear" w:color="auto" w:fill="auto"/>
          </w:tcPr>
          <w:p w14:paraId="6030E9F5" w14:textId="77777777" w:rsidR="008C5CFA" w:rsidRPr="009C3005" w:rsidRDefault="00E82A60" w:rsidP="00300A01">
            <w:pPr>
              <w:pStyle w:val="Text1"/>
              <w:spacing w:before="0" w:after="0"/>
              <w:ind w:left="0"/>
              <w:jc w:val="right"/>
              <w:rPr>
                <w:sz w:val="12"/>
                <w:szCs w:val="12"/>
              </w:rPr>
            </w:pPr>
            <w:r w:rsidRPr="009C3005">
              <w:rPr>
                <w:noProof/>
                <w:sz w:val="12"/>
                <w:szCs w:val="12"/>
              </w:rPr>
              <w:t>32 769 657,51</w:t>
            </w:r>
          </w:p>
        </w:tc>
        <w:tc>
          <w:tcPr>
            <w:tcW w:w="0" w:type="auto"/>
            <w:shd w:val="clear" w:color="auto" w:fill="auto"/>
          </w:tcPr>
          <w:p w14:paraId="4F8C48E0" w14:textId="77777777" w:rsidR="008C5CFA" w:rsidRPr="009C3005" w:rsidRDefault="00E82A60" w:rsidP="00300A01">
            <w:pPr>
              <w:pStyle w:val="Text1"/>
              <w:spacing w:before="0" w:after="0"/>
              <w:ind w:left="0"/>
              <w:jc w:val="right"/>
              <w:rPr>
                <w:sz w:val="12"/>
                <w:szCs w:val="12"/>
              </w:rPr>
            </w:pPr>
            <w:r w:rsidRPr="009C3005">
              <w:rPr>
                <w:noProof/>
                <w:sz w:val="12"/>
                <w:szCs w:val="12"/>
              </w:rPr>
              <w:t>30 208 277,65</w:t>
            </w:r>
          </w:p>
        </w:tc>
        <w:tc>
          <w:tcPr>
            <w:tcW w:w="0" w:type="auto"/>
            <w:shd w:val="clear" w:color="auto" w:fill="auto"/>
          </w:tcPr>
          <w:p w14:paraId="53D4904A" w14:textId="77777777" w:rsidR="008C5CFA" w:rsidRPr="009C3005" w:rsidRDefault="00E82A60" w:rsidP="00300A01">
            <w:pPr>
              <w:pStyle w:val="Text1"/>
              <w:spacing w:before="0" w:after="0"/>
              <w:ind w:left="0"/>
              <w:jc w:val="right"/>
              <w:rPr>
                <w:sz w:val="12"/>
                <w:szCs w:val="12"/>
              </w:rPr>
            </w:pPr>
            <w:r w:rsidRPr="009C3005">
              <w:rPr>
                <w:noProof/>
                <w:sz w:val="12"/>
                <w:szCs w:val="12"/>
              </w:rPr>
              <w:t>75</w:t>
            </w:r>
          </w:p>
        </w:tc>
      </w:tr>
      <w:tr w:rsidR="006B2EC1" w14:paraId="538F661C" w14:textId="77777777" w:rsidTr="0047688D">
        <w:tc>
          <w:tcPr>
            <w:tcW w:w="0" w:type="auto"/>
            <w:shd w:val="clear" w:color="auto" w:fill="auto"/>
          </w:tcPr>
          <w:p w14:paraId="34BA9C53" w14:textId="77777777" w:rsidR="008C5CFA" w:rsidRPr="009C3005" w:rsidRDefault="00E82A60" w:rsidP="00300A01">
            <w:pPr>
              <w:pStyle w:val="Text1"/>
              <w:spacing w:before="0" w:after="0"/>
              <w:ind w:left="0"/>
              <w:rPr>
                <w:sz w:val="12"/>
                <w:szCs w:val="12"/>
              </w:rPr>
            </w:pPr>
            <w:r>
              <w:rPr>
                <w:noProof/>
                <w:sz w:val="14"/>
                <w:szCs w:val="14"/>
                <w:lang w:val="fr-BE"/>
              </w:rPr>
              <w:t>10</w:t>
            </w:r>
          </w:p>
        </w:tc>
        <w:tc>
          <w:tcPr>
            <w:tcW w:w="0" w:type="auto"/>
            <w:shd w:val="clear" w:color="auto" w:fill="auto"/>
          </w:tcPr>
          <w:p w14:paraId="760BDBC3" w14:textId="77777777" w:rsidR="008C5CFA" w:rsidRPr="009C3005" w:rsidRDefault="00E82A60" w:rsidP="00300A01">
            <w:pPr>
              <w:pStyle w:val="Text1"/>
              <w:spacing w:before="0" w:after="0"/>
              <w:ind w:left="0"/>
              <w:rPr>
                <w:sz w:val="12"/>
                <w:szCs w:val="12"/>
              </w:rPr>
            </w:pPr>
            <w:r>
              <w:rPr>
                <w:noProof/>
                <w:sz w:val="12"/>
                <w:szCs w:val="12"/>
              </w:rPr>
              <w:t>EFS</w:t>
            </w:r>
          </w:p>
        </w:tc>
        <w:tc>
          <w:tcPr>
            <w:tcW w:w="0" w:type="auto"/>
            <w:shd w:val="clear" w:color="auto" w:fill="auto"/>
          </w:tcPr>
          <w:p w14:paraId="3FFAD036" w14:textId="77777777" w:rsidR="008C5CFA" w:rsidRPr="009C3005" w:rsidRDefault="00E82A60" w:rsidP="00300A01">
            <w:pPr>
              <w:pStyle w:val="Text1"/>
              <w:spacing w:before="0" w:after="0"/>
              <w:ind w:left="0"/>
              <w:rPr>
                <w:sz w:val="12"/>
                <w:szCs w:val="12"/>
              </w:rPr>
            </w:pPr>
            <w:r>
              <w:rPr>
                <w:noProof/>
                <w:sz w:val="12"/>
                <w:szCs w:val="12"/>
              </w:rPr>
              <w:t>Słabiej rozwinięte</w:t>
            </w:r>
          </w:p>
        </w:tc>
        <w:tc>
          <w:tcPr>
            <w:tcW w:w="0" w:type="auto"/>
            <w:shd w:val="clear" w:color="auto" w:fill="auto"/>
          </w:tcPr>
          <w:p w14:paraId="14127193" w14:textId="77777777" w:rsidR="008C5CFA" w:rsidRPr="009C3005" w:rsidRDefault="00E82A60" w:rsidP="00300A01">
            <w:pPr>
              <w:pStyle w:val="Text1"/>
              <w:spacing w:before="0" w:after="0"/>
              <w:ind w:left="0"/>
              <w:rPr>
                <w:sz w:val="12"/>
                <w:szCs w:val="12"/>
              </w:rPr>
            </w:pPr>
            <w:r>
              <w:rPr>
                <w:noProof/>
                <w:sz w:val="12"/>
                <w:szCs w:val="12"/>
              </w:rPr>
              <w:t>102</w:t>
            </w:r>
          </w:p>
        </w:tc>
        <w:tc>
          <w:tcPr>
            <w:tcW w:w="0" w:type="auto"/>
            <w:shd w:val="clear" w:color="auto" w:fill="auto"/>
          </w:tcPr>
          <w:p w14:paraId="229BD298"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4EEAE1EA"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23E9BFE7"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5973B7FD" w14:textId="77777777" w:rsidR="008C5CFA" w:rsidRPr="009C3005" w:rsidRDefault="008C5CFA" w:rsidP="00300A01">
            <w:pPr>
              <w:pStyle w:val="Text1"/>
              <w:spacing w:before="0" w:after="0"/>
              <w:ind w:left="0"/>
              <w:rPr>
                <w:sz w:val="12"/>
                <w:szCs w:val="12"/>
              </w:rPr>
            </w:pPr>
          </w:p>
        </w:tc>
        <w:tc>
          <w:tcPr>
            <w:tcW w:w="0" w:type="auto"/>
            <w:shd w:val="clear" w:color="auto" w:fill="auto"/>
          </w:tcPr>
          <w:p w14:paraId="47665228" w14:textId="77777777" w:rsidR="008C5CFA" w:rsidRPr="009C3005" w:rsidRDefault="00E82A60" w:rsidP="00300A01">
            <w:pPr>
              <w:pStyle w:val="Text1"/>
              <w:spacing w:before="0" w:after="0"/>
              <w:ind w:left="0"/>
              <w:rPr>
                <w:sz w:val="12"/>
                <w:szCs w:val="12"/>
              </w:rPr>
            </w:pPr>
            <w:r>
              <w:rPr>
                <w:noProof/>
                <w:sz w:val="12"/>
                <w:szCs w:val="12"/>
              </w:rPr>
              <w:t>08</w:t>
            </w:r>
            <w:r>
              <w:rPr>
                <w:sz w:val="12"/>
                <w:szCs w:val="12"/>
              </w:rPr>
              <w:t xml:space="preserve"> </w:t>
            </w:r>
          </w:p>
        </w:tc>
        <w:tc>
          <w:tcPr>
            <w:tcW w:w="0" w:type="auto"/>
            <w:shd w:val="clear" w:color="auto" w:fill="auto"/>
          </w:tcPr>
          <w:p w14:paraId="3B6A9BED" w14:textId="77777777" w:rsidR="008C5CFA" w:rsidRPr="009C3005" w:rsidRDefault="00E82A60" w:rsidP="00300A01">
            <w:pPr>
              <w:pStyle w:val="Text1"/>
              <w:spacing w:before="0" w:after="0"/>
              <w:ind w:left="0"/>
              <w:rPr>
                <w:sz w:val="12"/>
                <w:szCs w:val="12"/>
              </w:rPr>
            </w:pPr>
            <w:r>
              <w:rPr>
                <w:noProof/>
                <w:sz w:val="12"/>
                <w:szCs w:val="12"/>
              </w:rPr>
              <w:t>19</w:t>
            </w:r>
          </w:p>
        </w:tc>
        <w:tc>
          <w:tcPr>
            <w:tcW w:w="0" w:type="auto"/>
            <w:shd w:val="clear" w:color="auto" w:fill="auto"/>
          </w:tcPr>
          <w:p w14:paraId="03ECB34F" w14:textId="77777777" w:rsidR="008C5CFA" w:rsidRPr="009C3005" w:rsidRDefault="00E82A60" w:rsidP="00300A01">
            <w:pPr>
              <w:pStyle w:val="Text1"/>
              <w:spacing w:before="0" w:after="0"/>
              <w:ind w:left="0"/>
              <w:rPr>
                <w:sz w:val="12"/>
                <w:szCs w:val="12"/>
              </w:rPr>
            </w:pPr>
            <w:r>
              <w:rPr>
                <w:noProof/>
                <w:sz w:val="12"/>
                <w:szCs w:val="12"/>
              </w:rPr>
              <w:t>PL33</w:t>
            </w:r>
          </w:p>
        </w:tc>
        <w:tc>
          <w:tcPr>
            <w:tcW w:w="0" w:type="auto"/>
            <w:shd w:val="clear" w:color="auto" w:fill="auto"/>
          </w:tcPr>
          <w:p w14:paraId="2AA799DE" w14:textId="77777777" w:rsidR="008C5CFA" w:rsidRPr="009C3005" w:rsidRDefault="00E82A60" w:rsidP="00300A01">
            <w:pPr>
              <w:pStyle w:val="Text1"/>
              <w:spacing w:before="0" w:after="0"/>
              <w:ind w:left="0"/>
              <w:jc w:val="right"/>
              <w:rPr>
                <w:sz w:val="12"/>
                <w:szCs w:val="12"/>
              </w:rPr>
            </w:pPr>
            <w:r w:rsidRPr="009C3005">
              <w:rPr>
                <w:noProof/>
                <w:sz w:val="12"/>
                <w:szCs w:val="12"/>
              </w:rPr>
              <w:t>13 826 729,97</w:t>
            </w:r>
          </w:p>
        </w:tc>
        <w:tc>
          <w:tcPr>
            <w:tcW w:w="0" w:type="auto"/>
            <w:shd w:val="clear" w:color="auto" w:fill="auto"/>
          </w:tcPr>
          <w:p w14:paraId="7AC6AE04" w14:textId="77777777" w:rsidR="008C5CFA" w:rsidRPr="009C3005" w:rsidRDefault="00E82A60" w:rsidP="00300A01">
            <w:pPr>
              <w:pStyle w:val="Text1"/>
              <w:spacing w:before="0" w:after="0"/>
              <w:ind w:left="0"/>
              <w:jc w:val="right"/>
              <w:rPr>
                <w:sz w:val="12"/>
                <w:szCs w:val="12"/>
              </w:rPr>
            </w:pPr>
            <w:r w:rsidRPr="009C3005">
              <w:rPr>
                <w:noProof/>
                <w:sz w:val="12"/>
                <w:szCs w:val="12"/>
              </w:rPr>
              <w:t>13 091 559,15</w:t>
            </w:r>
          </w:p>
        </w:tc>
        <w:tc>
          <w:tcPr>
            <w:tcW w:w="0" w:type="auto"/>
            <w:shd w:val="clear" w:color="auto" w:fill="auto"/>
          </w:tcPr>
          <w:p w14:paraId="330EBD86" w14:textId="77777777" w:rsidR="008C5CFA" w:rsidRPr="009C3005" w:rsidRDefault="00E82A60" w:rsidP="00300A01">
            <w:pPr>
              <w:pStyle w:val="Text1"/>
              <w:spacing w:before="0" w:after="0"/>
              <w:ind w:left="0"/>
              <w:jc w:val="right"/>
              <w:rPr>
                <w:sz w:val="12"/>
                <w:szCs w:val="12"/>
              </w:rPr>
            </w:pPr>
            <w:r w:rsidRPr="009C3005">
              <w:rPr>
                <w:noProof/>
                <w:sz w:val="12"/>
                <w:szCs w:val="12"/>
              </w:rPr>
              <w:t>10 022 929,51</w:t>
            </w:r>
          </w:p>
        </w:tc>
        <w:tc>
          <w:tcPr>
            <w:tcW w:w="0" w:type="auto"/>
            <w:shd w:val="clear" w:color="auto" w:fill="auto"/>
          </w:tcPr>
          <w:p w14:paraId="57899113" w14:textId="77777777" w:rsidR="008C5CFA" w:rsidRPr="009C3005" w:rsidRDefault="00E82A60" w:rsidP="00300A01">
            <w:pPr>
              <w:pStyle w:val="Text1"/>
              <w:spacing w:before="0" w:after="0"/>
              <w:ind w:left="0"/>
              <w:jc w:val="right"/>
              <w:rPr>
                <w:sz w:val="12"/>
                <w:szCs w:val="12"/>
              </w:rPr>
            </w:pPr>
            <w:r w:rsidRPr="009C3005">
              <w:rPr>
                <w:noProof/>
                <w:sz w:val="12"/>
                <w:szCs w:val="12"/>
              </w:rPr>
              <w:t>42</w:t>
            </w:r>
          </w:p>
        </w:tc>
      </w:tr>
      <w:tr w:rsidR="006B2EC1" w14:paraId="4D069731" w14:textId="77777777" w:rsidTr="0047688D">
        <w:tc>
          <w:tcPr>
            <w:tcW w:w="0" w:type="auto"/>
            <w:shd w:val="clear" w:color="auto" w:fill="auto"/>
          </w:tcPr>
          <w:p w14:paraId="3F4D22B4" w14:textId="77777777" w:rsidR="008C5CFA" w:rsidRPr="009C3005" w:rsidRDefault="00E82A60" w:rsidP="00300A01">
            <w:pPr>
              <w:pStyle w:val="Text1"/>
              <w:spacing w:before="0" w:after="0"/>
              <w:ind w:left="0"/>
              <w:rPr>
                <w:sz w:val="12"/>
                <w:szCs w:val="12"/>
              </w:rPr>
            </w:pPr>
            <w:r>
              <w:rPr>
                <w:noProof/>
                <w:sz w:val="14"/>
                <w:szCs w:val="14"/>
                <w:lang w:val="fr-BE"/>
              </w:rPr>
              <w:t>10</w:t>
            </w:r>
          </w:p>
        </w:tc>
        <w:tc>
          <w:tcPr>
            <w:tcW w:w="0" w:type="auto"/>
            <w:shd w:val="clear" w:color="auto" w:fill="auto"/>
          </w:tcPr>
          <w:p w14:paraId="0D3927C3" w14:textId="77777777" w:rsidR="008C5CFA" w:rsidRPr="009C3005" w:rsidRDefault="00E82A60" w:rsidP="00300A01">
            <w:pPr>
              <w:pStyle w:val="Text1"/>
              <w:spacing w:before="0" w:after="0"/>
              <w:ind w:left="0"/>
              <w:rPr>
                <w:sz w:val="12"/>
                <w:szCs w:val="12"/>
              </w:rPr>
            </w:pPr>
            <w:r>
              <w:rPr>
                <w:noProof/>
                <w:sz w:val="12"/>
                <w:szCs w:val="12"/>
              </w:rPr>
              <w:t>EFS</w:t>
            </w:r>
          </w:p>
        </w:tc>
        <w:tc>
          <w:tcPr>
            <w:tcW w:w="0" w:type="auto"/>
            <w:shd w:val="clear" w:color="auto" w:fill="auto"/>
          </w:tcPr>
          <w:p w14:paraId="64B72B8B" w14:textId="77777777" w:rsidR="008C5CFA" w:rsidRPr="009C3005" w:rsidRDefault="00E82A60" w:rsidP="00300A01">
            <w:pPr>
              <w:pStyle w:val="Text1"/>
              <w:spacing w:before="0" w:after="0"/>
              <w:ind w:left="0"/>
              <w:rPr>
                <w:sz w:val="12"/>
                <w:szCs w:val="12"/>
              </w:rPr>
            </w:pPr>
            <w:r>
              <w:rPr>
                <w:noProof/>
                <w:sz w:val="12"/>
                <w:szCs w:val="12"/>
              </w:rPr>
              <w:t>Słabiej rozwinięte</w:t>
            </w:r>
          </w:p>
        </w:tc>
        <w:tc>
          <w:tcPr>
            <w:tcW w:w="0" w:type="auto"/>
            <w:shd w:val="clear" w:color="auto" w:fill="auto"/>
          </w:tcPr>
          <w:p w14:paraId="620E6D2E" w14:textId="77777777" w:rsidR="008C5CFA" w:rsidRPr="009C3005" w:rsidRDefault="00E82A60" w:rsidP="00300A01">
            <w:pPr>
              <w:pStyle w:val="Text1"/>
              <w:spacing w:before="0" w:after="0"/>
              <w:ind w:left="0"/>
              <w:rPr>
                <w:sz w:val="12"/>
                <w:szCs w:val="12"/>
              </w:rPr>
            </w:pPr>
            <w:r>
              <w:rPr>
                <w:noProof/>
                <w:sz w:val="12"/>
                <w:szCs w:val="12"/>
              </w:rPr>
              <w:t>102</w:t>
            </w:r>
          </w:p>
        </w:tc>
        <w:tc>
          <w:tcPr>
            <w:tcW w:w="0" w:type="auto"/>
            <w:shd w:val="clear" w:color="auto" w:fill="auto"/>
          </w:tcPr>
          <w:p w14:paraId="5E7F56F3"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56378EEE"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2C731475"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55E497BB" w14:textId="77777777" w:rsidR="008C5CFA" w:rsidRPr="009C3005" w:rsidRDefault="008C5CFA" w:rsidP="00300A01">
            <w:pPr>
              <w:pStyle w:val="Text1"/>
              <w:spacing w:before="0" w:after="0"/>
              <w:ind w:left="0"/>
              <w:rPr>
                <w:sz w:val="12"/>
                <w:szCs w:val="12"/>
              </w:rPr>
            </w:pPr>
          </w:p>
        </w:tc>
        <w:tc>
          <w:tcPr>
            <w:tcW w:w="0" w:type="auto"/>
            <w:shd w:val="clear" w:color="auto" w:fill="auto"/>
          </w:tcPr>
          <w:p w14:paraId="3D9DC8DC" w14:textId="77777777" w:rsidR="008C5CFA" w:rsidRPr="009C3005" w:rsidRDefault="00E82A60" w:rsidP="00300A01">
            <w:pPr>
              <w:pStyle w:val="Text1"/>
              <w:spacing w:before="0" w:after="0"/>
              <w:ind w:left="0"/>
              <w:rPr>
                <w:sz w:val="12"/>
                <w:szCs w:val="12"/>
              </w:rPr>
            </w:pPr>
            <w:r>
              <w:rPr>
                <w:noProof/>
                <w:sz w:val="12"/>
                <w:szCs w:val="12"/>
              </w:rPr>
              <w:t>08</w:t>
            </w:r>
            <w:r>
              <w:rPr>
                <w:sz w:val="12"/>
                <w:szCs w:val="12"/>
              </w:rPr>
              <w:t xml:space="preserve"> </w:t>
            </w:r>
          </w:p>
        </w:tc>
        <w:tc>
          <w:tcPr>
            <w:tcW w:w="0" w:type="auto"/>
            <w:shd w:val="clear" w:color="auto" w:fill="auto"/>
          </w:tcPr>
          <w:p w14:paraId="692F7749" w14:textId="77777777" w:rsidR="008C5CFA" w:rsidRPr="009C3005" w:rsidRDefault="00E82A60" w:rsidP="00300A01">
            <w:pPr>
              <w:pStyle w:val="Text1"/>
              <w:spacing w:before="0" w:after="0"/>
              <w:ind w:left="0"/>
              <w:rPr>
                <w:sz w:val="12"/>
                <w:szCs w:val="12"/>
              </w:rPr>
            </w:pPr>
            <w:r>
              <w:rPr>
                <w:noProof/>
                <w:sz w:val="12"/>
                <w:szCs w:val="12"/>
              </w:rPr>
              <w:t>21</w:t>
            </w:r>
          </w:p>
        </w:tc>
        <w:tc>
          <w:tcPr>
            <w:tcW w:w="0" w:type="auto"/>
            <w:shd w:val="clear" w:color="auto" w:fill="auto"/>
          </w:tcPr>
          <w:p w14:paraId="5D0023C7" w14:textId="77777777" w:rsidR="008C5CFA" w:rsidRPr="009C3005" w:rsidRDefault="00E82A60" w:rsidP="00300A01">
            <w:pPr>
              <w:pStyle w:val="Text1"/>
              <w:spacing w:before="0" w:after="0"/>
              <w:ind w:left="0"/>
              <w:rPr>
                <w:sz w:val="12"/>
                <w:szCs w:val="12"/>
              </w:rPr>
            </w:pPr>
            <w:r>
              <w:rPr>
                <w:noProof/>
                <w:sz w:val="12"/>
                <w:szCs w:val="12"/>
              </w:rPr>
              <w:t>PL33</w:t>
            </w:r>
          </w:p>
        </w:tc>
        <w:tc>
          <w:tcPr>
            <w:tcW w:w="0" w:type="auto"/>
            <w:shd w:val="clear" w:color="auto" w:fill="auto"/>
          </w:tcPr>
          <w:p w14:paraId="69697796" w14:textId="77777777" w:rsidR="008C5CFA" w:rsidRPr="009C3005" w:rsidRDefault="00E82A60" w:rsidP="00300A01">
            <w:pPr>
              <w:pStyle w:val="Text1"/>
              <w:spacing w:before="0" w:after="0"/>
              <w:ind w:left="0"/>
              <w:jc w:val="right"/>
              <w:rPr>
                <w:sz w:val="12"/>
                <w:szCs w:val="12"/>
              </w:rPr>
            </w:pPr>
            <w:r w:rsidRPr="009C3005">
              <w:rPr>
                <w:noProof/>
                <w:sz w:val="12"/>
                <w:szCs w:val="12"/>
              </w:rPr>
              <w:t>459 375,60</w:t>
            </w:r>
          </w:p>
        </w:tc>
        <w:tc>
          <w:tcPr>
            <w:tcW w:w="0" w:type="auto"/>
            <w:shd w:val="clear" w:color="auto" w:fill="auto"/>
          </w:tcPr>
          <w:p w14:paraId="0E1D9DB9" w14:textId="77777777" w:rsidR="008C5CFA" w:rsidRPr="009C3005" w:rsidRDefault="00E82A60" w:rsidP="00300A01">
            <w:pPr>
              <w:pStyle w:val="Text1"/>
              <w:spacing w:before="0" w:after="0"/>
              <w:ind w:left="0"/>
              <w:jc w:val="right"/>
              <w:rPr>
                <w:sz w:val="12"/>
                <w:szCs w:val="12"/>
              </w:rPr>
            </w:pPr>
            <w:r w:rsidRPr="009C3005">
              <w:rPr>
                <w:noProof/>
                <w:sz w:val="12"/>
                <w:szCs w:val="12"/>
              </w:rPr>
              <w:t>436 392,06</w:t>
            </w:r>
          </w:p>
        </w:tc>
        <w:tc>
          <w:tcPr>
            <w:tcW w:w="0" w:type="auto"/>
            <w:shd w:val="clear" w:color="auto" w:fill="auto"/>
          </w:tcPr>
          <w:p w14:paraId="213868B9" w14:textId="77777777" w:rsidR="008C5CFA" w:rsidRPr="009C3005" w:rsidRDefault="00E82A60" w:rsidP="00300A01">
            <w:pPr>
              <w:pStyle w:val="Text1"/>
              <w:spacing w:before="0" w:after="0"/>
              <w:ind w:left="0"/>
              <w:jc w:val="right"/>
              <w:rPr>
                <w:sz w:val="12"/>
                <w:szCs w:val="12"/>
              </w:rPr>
            </w:pPr>
            <w:r w:rsidRPr="009C3005">
              <w:rPr>
                <w:noProof/>
                <w:sz w:val="12"/>
                <w:szCs w:val="12"/>
              </w:rPr>
              <w:t>459 375,60</w:t>
            </w:r>
          </w:p>
        </w:tc>
        <w:tc>
          <w:tcPr>
            <w:tcW w:w="0" w:type="auto"/>
            <w:shd w:val="clear" w:color="auto" w:fill="auto"/>
          </w:tcPr>
          <w:p w14:paraId="0C16429F" w14:textId="77777777" w:rsidR="008C5CFA" w:rsidRPr="009C3005" w:rsidRDefault="00E82A60" w:rsidP="00300A01">
            <w:pPr>
              <w:pStyle w:val="Text1"/>
              <w:spacing w:before="0" w:after="0"/>
              <w:ind w:left="0"/>
              <w:jc w:val="right"/>
              <w:rPr>
                <w:sz w:val="12"/>
                <w:szCs w:val="12"/>
              </w:rPr>
            </w:pPr>
            <w:r w:rsidRPr="009C3005">
              <w:rPr>
                <w:noProof/>
                <w:sz w:val="12"/>
                <w:szCs w:val="12"/>
              </w:rPr>
              <w:t>1</w:t>
            </w:r>
          </w:p>
        </w:tc>
      </w:tr>
      <w:tr w:rsidR="006B2EC1" w14:paraId="7C33D7B0" w14:textId="77777777" w:rsidTr="0047688D">
        <w:tc>
          <w:tcPr>
            <w:tcW w:w="0" w:type="auto"/>
            <w:shd w:val="clear" w:color="auto" w:fill="auto"/>
          </w:tcPr>
          <w:p w14:paraId="10E30CF1" w14:textId="77777777" w:rsidR="008C5CFA" w:rsidRPr="009C3005" w:rsidRDefault="00E82A60" w:rsidP="00300A01">
            <w:pPr>
              <w:pStyle w:val="Text1"/>
              <w:spacing w:before="0" w:after="0"/>
              <w:ind w:left="0"/>
              <w:rPr>
                <w:sz w:val="12"/>
                <w:szCs w:val="12"/>
              </w:rPr>
            </w:pPr>
            <w:r>
              <w:rPr>
                <w:noProof/>
                <w:sz w:val="14"/>
                <w:szCs w:val="14"/>
                <w:lang w:val="fr-BE"/>
              </w:rPr>
              <w:t>10</w:t>
            </w:r>
          </w:p>
        </w:tc>
        <w:tc>
          <w:tcPr>
            <w:tcW w:w="0" w:type="auto"/>
            <w:shd w:val="clear" w:color="auto" w:fill="auto"/>
          </w:tcPr>
          <w:p w14:paraId="717440BB" w14:textId="77777777" w:rsidR="008C5CFA" w:rsidRPr="009C3005" w:rsidRDefault="00E82A60" w:rsidP="00300A01">
            <w:pPr>
              <w:pStyle w:val="Text1"/>
              <w:spacing w:before="0" w:after="0"/>
              <w:ind w:left="0"/>
              <w:rPr>
                <w:sz w:val="12"/>
                <w:szCs w:val="12"/>
              </w:rPr>
            </w:pPr>
            <w:r>
              <w:rPr>
                <w:noProof/>
                <w:sz w:val="12"/>
                <w:szCs w:val="12"/>
              </w:rPr>
              <w:t>EFS</w:t>
            </w:r>
          </w:p>
        </w:tc>
        <w:tc>
          <w:tcPr>
            <w:tcW w:w="0" w:type="auto"/>
            <w:shd w:val="clear" w:color="auto" w:fill="auto"/>
          </w:tcPr>
          <w:p w14:paraId="13E43535" w14:textId="77777777" w:rsidR="008C5CFA" w:rsidRPr="009C3005" w:rsidRDefault="00E82A60" w:rsidP="00300A01">
            <w:pPr>
              <w:pStyle w:val="Text1"/>
              <w:spacing w:before="0" w:after="0"/>
              <w:ind w:left="0"/>
              <w:rPr>
                <w:sz w:val="12"/>
                <w:szCs w:val="12"/>
              </w:rPr>
            </w:pPr>
            <w:r>
              <w:rPr>
                <w:noProof/>
                <w:sz w:val="12"/>
                <w:szCs w:val="12"/>
              </w:rPr>
              <w:t>Słabiej rozwinięte</w:t>
            </w:r>
          </w:p>
        </w:tc>
        <w:tc>
          <w:tcPr>
            <w:tcW w:w="0" w:type="auto"/>
            <w:shd w:val="clear" w:color="auto" w:fill="auto"/>
          </w:tcPr>
          <w:p w14:paraId="34D9DBB1" w14:textId="77777777" w:rsidR="008C5CFA" w:rsidRPr="009C3005" w:rsidRDefault="00E82A60" w:rsidP="00300A01">
            <w:pPr>
              <w:pStyle w:val="Text1"/>
              <w:spacing w:before="0" w:after="0"/>
              <w:ind w:left="0"/>
              <w:rPr>
                <w:sz w:val="12"/>
                <w:szCs w:val="12"/>
              </w:rPr>
            </w:pPr>
            <w:r>
              <w:rPr>
                <w:noProof/>
                <w:sz w:val="12"/>
                <w:szCs w:val="12"/>
              </w:rPr>
              <w:t>102</w:t>
            </w:r>
          </w:p>
        </w:tc>
        <w:tc>
          <w:tcPr>
            <w:tcW w:w="0" w:type="auto"/>
            <w:shd w:val="clear" w:color="auto" w:fill="auto"/>
          </w:tcPr>
          <w:p w14:paraId="24CDD9F0"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082E8E5A"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7D17D514"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16565DEC" w14:textId="77777777" w:rsidR="008C5CFA" w:rsidRPr="009C3005" w:rsidRDefault="008C5CFA" w:rsidP="00300A01">
            <w:pPr>
              <w:pStyle w:val="Text1"/>
              <w:spacing w:before="0" w:after="0"/>
              <w:ind w:left="0"/>
              <w:rPr>
                <w:sz w:val="12"/>
                <w:szCs w:val="12"/>
              </w:rPr>
            </w:pPr>
          </w:p>
        </w:tc>
        <w:tc>
          <w:tcPr>
            <w:tcW w:w="0" w:type="auto"/>
            <w:shd w:val="clear" w:color="auto" w:fill="auto"/>
          </w:tcPr>
          <w:p w14:paraId="0A5DF1BE" w14:textId="77777777" w:rsidR="008C5CFA" w:rsidRPr="009C3005" w:rsidRDefault="00E82A60" w:rsidP="00300A01">
            <w:pPr>
              <w:pStyle w:val="Text1"/>
              <w:spacing w:before="0" w:after="0"/>
              <w:ind w:left="0"/>
              <w:rPr>
                <w:sz w:val="12"/>
                <w:szCs w:val="12"/>
              </w:rPr>
            </w:pPr>
            <w:r>
              <w:rPr>
                <w:noProof/>
                <w:sz w:val="12"/>
                <w:szCs w:val="12"/>
              </w:rPr>
              <w:t>08</w:t>
            </w:r>
            <w:r>
              <w:rPr>
                <w:sz w:val="12"/>
                <w:szCs w:val="12"/>
              </w:rPr>
              <w:t xml:space="preserve"> </w:t>
            </w:r>
          </w:p>
        </w:tc>
        <w:tc>
          <w:tcPr>
            <w:tcW w:w="0" w:type="auto"/>
            <w:shd w:val="clear" w:color="auto" w:fill="auto"/>
          </w:tcPr>
          <w:p w14:paraId="510FB2AE" w14:textId="77777777" w:rsidR="008C5CFA" w:rsidRPr="009C3005" w:rsidRDefault="00E82A60" w:rsidP="00300A01">
            <w:pPr>
              <w:pStyle w:val="Text1"/>
              <w:spacing w:before="0" w:after="0"/>
              <w:ind w:left="0"/>
              <w:rPr>
                <w:sz w:val="12"/>
                <w:szCs w:val="12"/>
              </w:rPr>
            </w:pPr>
            <w:r>
              <w:rPr>
                <w:noProof/>
                <w:sz w:val="12"/>
                <w:szCs w:val="12"/>
              </w:rPr>
              <w:t>24</w:t>
            </w:r>
          </w:p>
        </w:tc>
        <w:tc>
          <w:tcPr>
            <w:tcW w:w="0" w:type="auto"/>
            <w:shd w:val="clear" w:color="auto" w:fill="auto"/>
          </w:tcPr>
          <w:p w14:paraId="6246A0F0" w14:textId="77777777" w:rsidR="008C5CFA" w:rsidRPr="009C3005" w:rsidRDefault="00E82A60" w:rsidP="00300A01">
            <w:pPr>
              <w:pStyle w:val="Text1"/>
              <w:spacing w:before="0" w:after="0"/>
              <w:ind w:left="0"/>
              <w:rPr>
                <w:sz w:val="12"/>
                <w:szCs w:val="12"/>
              </w:rPr>
            </w:pPr>
            <w:r>
              <w:rPr>
                <w:noProof/>
                <w:sz w:val="12"/>
                <w:szCs w:val="12"/>
              </w:rPr>
              <w:t>PL33</w:t>
            </w:r>
          </w:p>
        </w:tc>
        <w:tc>
          <w:tcPr>
            <w:tcW w:w="0" w:type="auto"/>
            <w:shd w:val="clear" w:color="auto" w:fill="auto"/>
          </w:tcPr>
          <w:p w14:paraId="4A990E53" w14:textId="77777777" w:rsidR="008C5CFA" w:rsidRPr="009C3005" w:rsidRDefault="00E82A60" w:rsidP="00300A01">
            <w:pPr>
              <w:pStyle w:val="Text1"/>
              <w:spacing w:before="0" w:after="0"/>
              <w:ind w:left="0"/>
              <w:jc w:val="right"/>
              <w:rPr>
                <w:sz w:val="12"/>
                <w:szCs w:val="12"/>
              </w:rPr>
            </w:pPr>
            <w:r w:rsidRPr="009C3005">
              <w:rPr>
                <w:noProof/>
                <w:sz w:val="12"/>
                <w:szCs w:val="12"/>
              </w:rPr>
              <w:t>6 320 806,23</w:t>
            </w:r>
          </w:p>
        </w:tc>
        <w:tc>
          <w:tcPr>
            <w:tcW w:w="0" w:type="auto"/>
            <w:shd w:val="clear" w:color="auto" w:fill="auto"/>
          </w:tcPr>
          <w:p w14:paraId="6CC758A5" w14:textId="77777777" w:rsidR="008C5CFA" w:rsidRPr="009C3005" w:rsidRDefault="00E82A60" w:rsidP="00300A01">
            <w:pPr>
              <w:pStyle w:val="Text1"/>
              <w:spacing w:before="0" w:after="0"/>
              <w:ind w:left="0"/>
              <w:jc w:val="right"/>
              <w:rPr>
                <w:sz w:val="12"/>
                <w:szCs w:val="12"/>
              </w:rPr>
            </w:pPr>
            <w:r w:rsidRPr="009C3005">
              <w:rPr>
                <w:noProof/>
                <w:sz w:val="12"/>
                <w:szCs w:val="12"/>
              </w:rPr>
              <w:t>5 609 425,39</w:t>
            </w:r>
          </w:p>
        </w:tc>
        <w:tc>
          <w:tcPr>
            <w:tcW w:w="0" w:type="auto"/>
            <w:shd w:val="clear" w:color="auto" w:fill="auto"/>
          </w:tcPr>
          <w:p w14:paraId="36A0B19F" w14:textId="77777777" w:rsidR="008C5CFA" w:rsidRPr="009C3005" w:rsidRDefault="00E82A60" w:rsidP="00300A01">
            <w:pPr>
              <w:pStyle w:val="Text1"/>
              <w:spacing w:before="0" w:after="0"/>
              <w:ind w:left="0"/>
              <w:jc w:val="right"/>
              <w:rPr>
                <w:sz w:val="12"/>
                <w:szCs w:val="12"/>
              </w:rPr>
            </w:pPr>
            <w:r w:rsidRPr="009C3005">
              <w:rPr>
                <w:noProof/>
                <w:sz w:val="12"/>
                <w:szCs w:val="12"/>
              </w:rPr>
              <w:t>5 141 630,46</w:t>
            </w:r>
          </w:p>
        </w:tc>
        <w:tc>
          <w:tcPr>
            <w:tcW w:w="0" w:type="auto"/>
            <w:shd w:val="clear" w:color="auto" w:fill="auto"/>
          </w:tcPr>
          <w:p w14:paraId="4DCAE805" w14:textId="77777777" w:rsidR="008C5CFA" w:rsidRPr="009C3005" w:rsidRDefault="00E82A60" w:rsidP="00300A01">
            <w:pPr>
              <w:pStyle w:val="Text1"/>
              <w:spacing w:before="0" w:after="0"/>
              <w:ind w:left="0"/>
              <w:jc w:val="right"/>
              <w:rPr>
                <w:sz w:val="12"/>
                <w:szCs w:val="12"/>
              </w:rPr>
            </w:pPr>
            <w:r w:rsidRPr="009C3005">
              <w:rPr>
                <w:noProof/>
                <w:sz w:val="12"/>
                <w:szCs w:val="12"/>
              </w:rPr>
              <w:t>19</w:t>
            </w:r>
          </w:p>
        </w:tc>
      </w:tr>
      <w:tr w:rsidR="006B2EC1" w14:paraId="490DFB24" w14:textId="77777777" w:rsidTr="0047688D">
        <w:tc>
          <w:tcPr>
            <w:tcW w:w="0" w:type="auto"/>
            <w:shd w:val="clear" w:color="auto" w:fill="auto"/>
          </w:tcPr>
          <w:p w14:paraId="6BE66CE7" w14:textId="77777777" w:rsidR="008C5CFA" w:rsidRPr="009C3005" w:rsidRDefault="00E82A60" w:rsidP="00300A01">
            <w:pPr>
              <w:pStyle w:val="Text1"/>
              <w:spacing w:before="0" w:after="0"/>
              <w:ind w:left="0"/>
              <w:rPr>
                <w:sz w:val="12"/>
                <w:szCs w:val="12"/>
              </w:rPr>
            </w:pPr>
            <w:r>
              <w:rPr>
                <w:noProof/>
                <w:sz w:val="14"/>
                <w:szCs w:val="14"/>
                <w:lang w:val="fr-BE"/>
              </w:rPr>
              <w:t>10</w:t>
            </w:r>
          </w:p>
        </w:tc>
        <w:tc>
          <w:tcPr>
            <w:tcW w:w="0" w:type="auto"/>
            <w:shd w:val="clear" w:color="auto" w:fill="auto"/>
          </w:tcPr>
          <w:p w14:paraId="01ECBE67" w14:textId="77777777" w:rsidR="008C5CFA" w:rsidRPr="009C3005" w:rsidRDefault="00E82A60" w:rsidP="00300A01">
            <w:pPr>
              <w:pStyle w:val="Text1"/>
              <w:spacing w:before="0" w:after="0"/>
              <w:ind w:left="0"/>
              <w:rPr>
                <w:sz w:val="12"/>
                <w:szCs w:val="12"/>
              </w:rPr>
            </w:pPr>
            <w:r>
              <w:rPr>
                <w:noProof/>
                <w:sz w:val="12"/>
                <w:szCs w:val="12"/>
              </w:rPr>
              <w:t>EFS</w:t>
            </w:r>
          </w:p>
        </w:tc>
        <w:tc>
          <w:tcPr>
            <w:tcW w:w="0" w:type="auto"/>
            <w:shd w:val="clear" w:color="auto" w:fill="auto"/>
          </w:tcPr>
          <w:p w14:paraId="725118DB" w14:textId="77777777" w:rsidR="008C5CFA" w:rsidRPr="009C3005" w:rsidRDefault="00E82A60" w:rsidP="00300A01">
            <w:pPr>
              <w:pStyle w:val="Text1"/>
              <w:spacing w:before="0" w:after="0"/>
              <w:ind w:left="0"/>
              <w:rPr>
                <w:sz w:val="12"/>
                <w:szCs w:val="12"/>
              </w:rPr>
            </w:pPr>
            <w:r>
              <w:rPr>
                <w:noProof/>
                <w:sz w:val="12"/>
                <w:szCs w:val="12"/>
              </w:rPr>
              <w:t>Słabiej rozwinięte</w:t>
            </w:r>
          </w:p>
        </w:tc>
        <w:tc>
          <w:tcPr>
            <w:tcW w:w="0" w:type="auto"/>
            <w:shd w:val="clear" w:color="auto" w:fill="auto"/>
          </w:tcPr>
          <w:p w14:paraId="2C33868B" w14:textId="77777777" w:rsidR="008C5CFA" w:rsidRPr="009C3005" w:rsidRDefault="00E82A60" w:rsidP="00300A01">
            <w:pPr>
              <w:pStyle w:val="Text1"/>
              <w:spacing w:before="0" w:after="0"/>
              <w:ind w:left="0"/>
              <w:rPr>
                <w:sz w:val="12"/>
                <w:szCs w:val="12"/>
              </w:rPr>
            </w:pPr>
            <w:r>
              <w:rPr>
                <w:noProof/>
                <w:sz w:val="12"/>
                <w:szCs w:val="12"/>
              </w:rPr>
              <w:t>104</w:t>
            </w:r>
          </w:p>
        </w:tc>
        <w:tc>
          <w:tcPr>
            <w:tcW w:w="0" w:type="auto"/>
            <w:shd w:val="clear" w:color="auto" w:fill="auto"/>
          </w:tcPr>
          <w:p w14:paraId="4FBD4C26"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2C1F3CDA"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456E3204"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2F818D7C" w14:textId="77777777" w:rsidR="008C5CFA" w:rsidRPr="009C3005" w:rsidRDefault="008C5CFA" w:rsidP="00300A01">
            <w:pPr>
              <w:pStyle w:val="Text1"/>
              <w:spacing w:before="0" w:after="0"/>
              <w:ind w:left="0"/>
              <w:rPr>
                <w:sz w:val="12"/>
                <w:szCs w:val="12"/>
              </w:rPr>
            </w:pPr>
          </w:p>
        </w:tc>
        <w:tc>
          <w:tcPr>
            <w:tcW w:w="0" w:type="auto"/>
            <w:shd w:val="clear" w:color="auto" w:fill="auto"/>
          </w:tcPr>
          <w:p w14:paraId="181D9335" w14:textId="77777777" w:rsidR="008C5CFA" w:rsidRPr="009C3005" w:rsidRDefault="00E82A60" w:rsidP="00300A01">
            <w:pPr>
              <w:pStyle w:val="Text1"/>
              <w:spacing w:before="0" w:after="0"/>
              <w:ind w:left="0"/>
              <w:rPr>
                <w:sz w:val="12"/>
                <w:szCs w:val="12"/>
              </w:rPr>
            </w:pPr>
            <w:r>
              <w:rPr>
                <w:noProof/>
                <w:sz w:val="12"/>
                <w:szCs w:val="12"/>
              </w:rPr>
              <w:t>08</w:t>
            </w:r>
            <w:r>
              <w:rPr>
                <w:sz w:val="12"/>
                <w:szCs w:val="12"/>
              </w:rPr>
              <w:t xml:space="preserve"> </w:t>
            </w:r>
          </w:p>
        </w:tc>
        <w:tc>
          <w:tcPr>
            <w:tcW w:w="0" w:type="auto"/>
            <w:shd w:val="clear" w:color="auto" w:fill="auto"/>
          </w:tcPr>
          <w:p w14:paraId="41A524D5" w14:textId="77777777" w:rsidR="008C5CFA" w:rsidRPr="009C3005" w:rsidRDefault="00E82A60" w:rsidP="00300A01">
            <w:pPr>
              <w:pStyle w:val="Text1"/>
              <w:spacing w:before="0" w:after="0"/>
              <w:ind w:left="0"/>
              <w:rPr>
                <w:sz w:val="12"/>
                <w:szCs w:val="12"/>
              </w:rPr>
            </w:pPr>
            <w:r>
              <w:rPr>
                <w:noProof/>
                <w:sz w:val="12"/>
                <w:szCs w:val="12"/>
              </w:rPr>
              <w:t>19</w:t>
            </w:r>
          </w:p>
        </w:tc>
        <w:tc>
          <w:tcPr>
            <w:tcW w:w="0" w:type="auto"/>
            <w:shd w:val="clear" w:color="auto" w:fill="auto"/>
          </w:tcPr>
          <w:p w14:paraId="7782CB47" w14:textId="77777777" w:rsidR="008C5CFA" w:rsidRPr="009C3005" w:rsidRDefault="00E82A60" w:rsidP="00300A01">
            <w:pPr>
              <w:pStyle w:val="Text1"/>
              <w:spacing w:before="0" w:after="0"/>
              <w:ind w:left="0"/>
              <w:rPr>
                <w:sz w:val="12"/>
                <w:szCs w:val="12"/>
              </w:rPr>
            </w:pPr>
            <w:r>
              <w:rPr>
                <w:noProof/>
                <w:sz w:val="12"/>
                <w:szCs w:val="12"/>
              </w:rPr>
              <w:t>PL33</w:t>
            </w:r>
          </w:p>
        </w:tc>
        <w:tc>
          <w:tcPr>
            <w:tcW w:w="0" w:type="auto"/>
            <w:shd w:val="clear" w:color="auto" w:fill="auto"/>
          </w:tcPr>
          <w:p w14:paraId="6FBD6311" w14:textId="77777777" w:rsidR="008C5CFA" w:rsidRPr="009C3005" w:rsidRDefault="00E82A60" w:rsidP="00300A01">
            <w:pPr>
              <w:pStyle w:val="Text1"/>
              <w:spacing w:before="0" w:after="0"/>
              <w:ind w:left="0"/>
              <w:jc w:val="right"/>
              <w:rPr>
                <w:sz w:val="12"/>
                <w:szCs w:val="12"/>
              </w:rPr>
            </w:pPr>
            <w:r w:rsidRPr="009C3005">
              <w:rPr>
                <w:noProof/>
                <w:sz w:val="12"/>
                <w:szCs w:val="12"/>
              </w:rPr>
              <w:t>1 907 984,85</w:t>
            </w:r>
          </w:p>
        </w:tc>
        <w:tc>
          <w:tcPr>
            <w:tcW w:w="0" w:type="auto"/>
            <w:shd w:val="clear" w:color="auto" w:fill="auto"/>
          </w:tcPr>
          <w:p w14:paraId="4F8E822E" w14:textId="77777777" w:rsidR="008C5CFA" w:rsidRPr="009C3005" w:rsidRDefault="00E82A60" w:rsidP="00300A01">
            <w:pPr>
              <w:pStyle w:val="Text1"/>
              <w:spacing w:before="0" w:after="0"/>
              <w:ind w:left="0"/>
              <w:jc w:val="right"/>
              <w:rPr>
                <w:sz w:val="12"/>
                <w:szCs w:val="12"/>
              </w:rPr>
            </w:pPr>
            <w:r w:rsidRPr="009C3005">
              <w:rPr>
                <w:noProof/>
                <w:sz w:val="12"/>
                <w:szCs w:val="12"/>
              </w:rPr>
              <w:t>1 907 984,85</w:t>
            </w:r>
          </w:p>
        </w:tc>
        <w:tc>
          <w:tcPr>
            <w:tcW w:w="0" w:type="auto"/>
            <w:shd w:val="clear" w:color="auto" w:fill="auto"/>
          </w:tcPr>
          <w:p w14:paraId="2924F40E" w14:textId="77777777" w:rsidR="008C5CFA" w:rsidRPr="009C3005" w:rsidRDefault="00E82A60" w:rsidP="00300A01">
            <w:pPr>
              <w:pStyle w:val="Text1"/>
              <w:spacing w:before="0" w:after="0"/>
              <w:ind w:left="0"/>
              <w:jc w:val="right"/>
              <w:rPr>
                <w:sz w:val="12"/>
                <w:szCs w:val="12"/>
              </w:rPr>
            </w:pPr>
            <w:r w:rsidRPr="009C3005">
              <w:rPr>
                <w:noProof/>
                <w:sz w:val="12"/>
                <w:szCs w:val="12"/>
              </w:rPr>
              <w:t>1 905 132,44</w:t>
            </w:r>
          </w:p>
        </w:tc>
        <w:tc>
          <w:tcPr>
            <w:tcW w:w="0" w:type="auto"/>
            <w:shd w:val="clear" w:color="auto" w:fill="auto"/>
          </w:tcPr>
          <w:p w14:paraId="09B392A8" w14:textId="77777777" w:rsidR="008C5CFA" w:rsidRPr="009C3005" w:rsidRDefault="00E82A60" w:rsidP="00300A01">
            <w:pPr>
              <w:pStyle w:val="Text1"/>
              <w:spacing w:before="0" w:after="0"/>
              <w:ind w:left="0"/>
              <w:jc w:val="right"/>
              <w:rPr>
                <w:sz w:val="12"/>
                <w:szCs w:val="12"/>
              </w:rPr>
            </w:pPr>
            <w:r w:rsidRPr="009C3005">
              <w:rPr>
                <w:noProof/>
                <w:sz w:val="12"/>
                <w:szCs w:val="12"/>
              </w:rPr>
              <w:t>1</w:t>
            </w:r>
          </w:p>
        </w:tc>
      </w:tr>
      <w:tr w:rsidR="006B2EC1" w14:paraId="5A20F8C6" w14:textId="77777777" w:rsidTr="0047688D">
        <w:tc>
          <w:tcPr>
            <w:tcW w:w="0" w:type="auto"/>
            <w:shd w:val="clear" w:color="auto" w:fill="auto"/>
          </w:tcPr>
          <w:p w14:paraId="38687230" w14:textId="77777777" w:rsidR="008C5CFA" w:rsidRPr="009C3005" w:rsidRDefault="00E82A60" w:rsidP="00300A01">
            <w:pPr>
              <w:pStyle w:val="Text1"/>
              <w:spacing w:before="0" w:after="0"/>
              <w:ind w:left="0"/>
              <w:rPr>
                <w:sz w:val="12"/>
                <w:szCs w:val="12"/>
              </w:rPr>
            </w:pPr>
            <w:r>
              <w:rPr>
                <w:noProof/>
                <w:sz w:val="14"/>
                <w:szCs w:val="14"/>
                <w:lang w:val="fr-BE"/>
              </w:rPr>
              <w:t>10</w:t>
            </w:r>
          </w:p>
        </w:tc>
        <w:tc>
          <w:tcPr>
            <w:tcW w:w="0" w:type="auto"/>
            <w:shd w:val="clear" w:color="auto" w:fill="auto"/>
          </w:tcPr>
          <w:p w14:paraId="19F17AAD" w14:textId="77777777" w:rsidR="008C5CFA" w:rsidRPr="009C3005" w:rsidRDefault="00E82A60" w:rsidP="00300A01">
            <w:pPr>
              <w:pStyle w:val="Text1"/>
              <w:spacing w:before="0" w:after="0"/>
              <w:ind w:left="0"/>
              <w:rPr>
                <w:sz w:val="12"/>
                <w:szCs w:val="12"/>
              </w:rPr>
            </w:pPr>
            <w:r>
              <w:rPr>
                <w:noProof/>
                <w:sz w:val="12"/>
                <w:szCs w:val="12"/>
              </w:rPr>
              <w:t>EFS</w:t>
            </w:r>
          </w:p>
        </w:tc>
        <w:tc>
          <w:tcPr>
            <w:tcW w:w="0" w:type="auto"/>
            <w:shd w:val="clear" w:color="auto" w:fill="auto"/>
          </w:tcPr>
          <w:p w14:paraId="5FFBED27" w14:textId="77777777" w:rsidR="008C5CFA" w:rsidRPr="009C3005" w:rsidRDefault="00E82A60" w:rsidP="00300A01">
            <w:pPr>
              <w:pStyle w:val="Text1"/>
              <w:spacing w:before="0" w:after="0"/>
              <w:ind w:left="0"/>
              <w:rPr>
                <w:sz w:val="12"/>
                <w:szCs w:val="12"/>
              </w:rPr>
            </w:pPr>
            <w:r>
              <w:rPr>
                <w:noProof/>
                <w:sz w:val="12"/>
                <w:szCs w:val="12"/>
              </w:rPr>
              <w:t>Słabiej rozwinięte</w:t>
            </w:r>
          </w:p>
        </w:tc>
        <w:tc>
          <w:tcPr>
            <w:tcW w:w="0" w:type="auto"/>
            <w:shd w:val="clear" w:color="auto" w:fill="auto"/>
          </w:tcPr>
          <w:p w14:paraId="5EC5D4BF" w14:textId="77777777" w:rsidR="008C5CFA" w:rsidRPr="009C3005" w:rsidRDefault="00E82A60" w:rsidP="00300A01">
            <w:pPr>
              <w:pStyle w:val="Text1"/>
              <w:spacing w:before="0" w:after="0"/>
              <w:ind w:left="0"/>
              <w:rPr>
                <w:sz w:val="12"/>
                <w:szCs w:val="12"/>
              </w:rPr>
            </w:pPr>
            <w:r>
              <w:rPr>
                <w:noProof/>
                <w:sz w:val="12"/>
                <w:szCs w:val="12"/>
              </w:rPr>
              <w:t>104</w:t>
            </w:r>
          </w:p>
        </w:tc>
        <w:tc>
          <w:tcPr>
            <w:tcW w:w="0" w:type="auto"/>
            <w:shd w:val="clear" w:color="auto" w:fill="auto"/>
          </w:tcPr>
          <w:p w14:paraId="667F8C96"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4641313B"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4E0A7D00"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036A374E" w14:textId="77777777" w:rsidR="008C5CFA" w:rsidRPr="009C3005" w:rsidRDefault="008C5CFA" w:rsidP="00300A01">
            <w:pPr>
              <w:pStyle w:val="Text1"/>
              <w:spacing w:before="0" w:after="0"/>
              <w:ind w:left="0"/>
              <w:rPr>
                <w:sz w:val="12"/>
                <w:szCs w:val="12"/>
              </w:rPr>
            </w:pPr>
          </w:p>
        </w:tc>
        <w:tc>
          <w:tcPr>
            <w:tcW w:w="0" w:type="auto"/>
            <w:shd w:val="clear" w:color="auto" w:fill="auto"/>
          </w:tcPr>
          <w:p w14:paraId="1CD857B2" w14:textId="77777777" w:rsidR="008C5CFA" w:rsidRPr="009C3005" w:rsidRDefault="00E82A60" w:rsidP="00300A01">
            <w:pPr>
              <w:pStyle w:val="Text1"/>
              <w:spacing w:before="0" w:after="0"/>
              <w:ind w:left="0"/>
              <w:rPr>
                <w:sz w:val="12"/>
                <w:szCs w:val="12"/>
              </w:rPr>
            </w:pPr>
            <w:r>
              <w:rPr>
                <w:noProof/>
                <w:sz w:val="12"/>
                <w:szCs w:val="12"/>
              </w:rPr>
              <w:t>08</w:t>
            </w:r>
            <w:r>
              <w:rPr>
                <w:sz w:val="12"/>
                <w:szCs w:val="12"/>
              </w:rPr>
              <w:t xml:space="preserve"> </w:t>
            </w:r>
          </w:p>
        </w:tc>
        <w:tc>
          <w:tcPr>
            <w:tcW w:w="0" w:type="auto"/>
            <w:shd w:val="clear" w:color="auto" w:fill="auto"/>
          </w:tcPr>
          <w:p w14:paraId="32A90F85" w14:textId="77777777" w:rsidR="008C5CFA" w:rsidRPr="009C3005" w:rsidRDefault="00E82A60" w:rsidP="00300A01">
            <w:pPr>
              <w:pStyle w:val="Text1"/>
              <w:spacing w:before="0" w:after="0"/>
              <w:ind w:left="0"/>
              <w:rPr>
                <w:sz w:val="12"/>
                <w:szCs w:val="12"/>
              </w:rPr>
            </w:pPr>
            <w:r>
              <w:rPr>
                <w:noProof/>
                <w:sz w:val="12"/>
                <w:szCs w:val="12"/>
              </w:rPr>
              <w:t>24</w:t>
            </w:r>
          </w:p>
        </w:tc>
        <w:tc>
          <w:tcPr>
            <w:tcW w:w="0" w:type="auto"/>
            <w:shd w:val="clear" w:color="auto" w:fill="auto"/>
          </w:tcPr>
          <w:p w14:paraId="1AC54293" w14:textId="77777777" w:rsidR="008C5CFA" w:rsidRPr="009C3005" w:rsidRDefault="00E82A60" w:rsidP="00300A01">
            <w:pPr>
              <w:pStyle w:val="Text1"/>
              <w:spacing w:before="0" w:after="0"/>
              <w:ind w:left="0"/>
              <w:rPr>
                <w:sz w:val="12"/>
                <w:szCs w:val="12"/>
              </w:rPr>
            </w:pPr>
            <w:r>
              <w:rPr>
                <w:noProof/>
                <w:sz w:val="12"/>
                <w:szCs w:val="12"/>
              </w:rPr>
              <w:t>PL33</w:t>
            </w:r>
          </w:p>
        </w:tc>
        <w:tc>
          <w:tcPr>
            <w:tcW w:w="0" w:type="auto"/>
            <w:shd w:val="clear" w:color="auto" w:fill="auto"/>
          </w:tcPr>
          <w:p w14:paraId="1C97D267" w14:textId="77777777" w:rsidR="008C5CFA" w:rsidRPr="009C3005" w:rsidRDefault="00E82A60" w:rsidP="00300A01">
            <w:pPr>
              <w:pStyle w:val="Text1"/>
              <w:spacing w:before="0" w:after="0"/>
              <w:ind w:left="0"/>
              <w:jc w:val="right"/>
              <w:rPr>
                <w:sz w:val="12"/>
                <w:szCs w:val="12"/>
              </w:rPr>
            </w:pPr>
            <w:r w:rsidRPr="009C3005">
              <w:rPr>
                <w:noProof/>
                <w:sz w:val="12"/>
                <w:szCs w:val="12"/>
              </w:rPr>
              <w:t>2 009 996,41</w:t>
            </w:r>
          </w:p>
        </w:tc>
        <w:tc>
          <w:tcPr>
            <w:tcW w:w="0" w:type="auto"/>
            <w:shd w:val="clear" w:color="auto" w:fill="auto"/>
          </w:tcPr>
          <w:p w14:paraId="076F7A76" w14:textId="77777777" w:rsidR="008C5CFA" w:rsidRPr="009C3005" w:rsidRDefault="00E82A60" w:rsidP="00300A01">
            <w:pPr>
              <w:pStyle w:val="Text1"/>
              <w:spacing w:before="0" w:after="0"/>
              <w:ind w:left="0"/>
              <w:jc w:val="right"/>
              <w:rPr>
                <w:sz w:val="12"/>
                <w:szCs w:val="12"/>
              </w:rPr>
            </w:pPr>
            <w:r w:rsidRPr="009C3005">
              <w:rPr>
                <w:noProof/>
                <w:sz w:val="12"/>
                <w:szCs w:val="12"/>
              </w:rPr>
              <w:t>1 957 532,61</w:t>
            </w:r>
          </w:p>
        </w:tc>
        <w:tc>
          <w:tcPr>
            <w:tcW w:w="0" w:type="auto"/>
            <w:shd w:val="clear" w:color="auto" w:fill="auto"/>
          </w:tcPr>
          <w:p w14:paraId="5AB9A774" w14:textId="77777777" w:rsidR="008C5CFA" w:rsidRPr="009C3005" w:rsidRDefault="00E82A60" w:rsidP="00300A01">
            <w:pPr>
              <w:pStyle w:val="Text1"/>
              <w:spacing w:before="0" w:after="0"/>
              <w:ind w:left="0"/>
              <w:jc w:val="right"/>
              <w:rPr>
                <w:sz w:val="12"/>
                <w:szCs w:val="12"/>
              </w:rPr>
            </w:pPr>
            <w:r w:rsidRPr="009C3005">
              <w:rPr>
                <w:noProof/>
                <w:sz w:val="12"/>
                <w:szCs w:val="12"/>
              </w:rPr>
              <w:t>1 967 765,40</w:t>
            </w:r>
          </w:p>
        </w:tc>
        <w:tc>
          <w:tcPr>
            <w:tcW w:w="0" w:type="auto"/>
            <w:shd w:val="clear" w:color="auto" w:fill="auto"/>
          </w:tcPr>
          <w:p w14:paraId="1F59FBE3" w14:textId="77777777" w:rsidR="008C5CFA" w:rsidRPr="009C3005" w:rsidRDefault="00E82A60" w:rsidP="00300A01">
            <w:pPr>
              <w:pStyle w:val="Text1"/>
              <w:spacing w:before="0" w:after="0"/>
              <w:ind w:left="0"/>
              <w:jc w:val="right"/>
              <w:rPr>
                <w:sz w:val="12"/>
                <w:szCs w:val="12"/>
              </w:rPr>
            </w:pPr>
            <w:r w:rsidRPr="009C3005">
              <w:rPr>
                <w:noProof/>
                <w:sz w:val="12"/>
                <w:szCs w:val="12"/>
              </w:rPr>
              <w:t>2</w:t>
            </w:r>
          </w:p>
        </w:tc>
      </w:tr>
      <w:tr w:rsidR="006B2EC1" w14:paraId="230AA32B" w14:textId="77777777" w:rsidTr="0047688D">
        <w:tc>
          <w:tcPr>
            <w:tcW w:w="0" w:type="auto"/>
            <w:shd w:val="clear" w:color="auto" w:fill="auto"/>
          </w:tcPr>
          <w:p w14:paraId="3DF49E72" w14:textId="77777777" w:rsidR="008C5CFA" w:rsidRPr="009C3005" w:rsidRDefault="00E82A60" w:rsidP="00300A01">
            <w:pPr>
              <w:pStyle w:val="Text1"/>
              <w:spacing w:before="0" w:after="0"/>
              <w:ind w:left="0"/>
              <w:rPr>
                <w:sz w:val="12"/>
                <w:szCs w:val="12"/>
              </w:rPr>
            </w:pPr>
            <w:r>
              <w:rPr>
                <w:noProof/>
                <w:sz w:val="14"/>
                <w:szCs w:val="14"/>
                <w:lang w:val="fr-BE"/>
              </w:rPr>
              <w:t>10</w:t>
            </w:r>
          </w:p>
        </w:tc>
        <w:tc>
          <w:tcPr>
            <w:tcW w:w="0" w:type="auto"/>
            <w:shd w:val="clear" w:color="auto" w:fill="auto"/>
          </w:tcPr>
          <w:p w14:paraId="6C6F3F12" w14:textId="77777777" w:rsidR="008C5CFA" w:rsidRPr="009C3005" w:rsidRDefault="00E82A60" w:rsidP="00300A01">
            <w:pPr>
              <w:pStyle w:val="Text1"/>
              <w:spacing w:before="0" w:after="0"/>
              <w:ind w:left="0"/>
              <w:rPr>
                <w:sz w:val="12"/>
                <w:szCs w:val="12"/>
              </w:rPr>
            </w:pPr>
            <w:r>
              <w:rPr>
                <w:noProof/>
                <w:sz w:val="12"/>
                <w:szCs w:val="12"/>
              </w:rPr>
              <w:t>EFS</w:t>
            </w:r>
          </w:p>
        </w:tc>
        <w:tc>
          <w:tcPr>
            <w:tcW w:w="0" w:type="auto"/>
            <w:shd w:val="clear" w:color="auto" w:fill="auto"/>
          </w:tcPr>
          <w:p w14:paraId="02D39692" w14:textId="77777777" w:rsidR="008C5CFA" w:rsidRPr="009C3005" w:rsidRDefault="00E82A60" w:rsidP="00300A01">
            <w:pPr>
              <w:pStyle w:val="Text1"/>
              <w:spacing w:before="0" w:after="0"/>
              <w:ind w:left="0"/>
              <w:rPr>
                <w:sz w:val="12"/>
                <w:szCs w:val="12"/>
              </w:rPr>
            </w:pPr>
            <w:r>
              <w:rPr>
                <w:noProof/>
                <w:sz w:val="12"/>
                <w:szCs w:val="12"/>
              </w:rPr>
              <w:t>Słabiej rozwinięte</w:t>
            </w:r>
          </w:p>
        </w:tc>
        <w:tc>
          <w:tcPr>
            <w:tcW w:w="0" w:type="auto"/>
            <w:shd w:val="clear" w:color="auto" w:fill="auto"/>
          </w:tcPr>
          <w:p w14:paraId="0A440A6D" w14:textId="77777777" w:rsidR="008C5CFA" w:rsidRPr="009C3005" w:rsidRDefault="00E82A60" w:rsidP="00300A01">
            <w:pPr>
              <w:pStyle w:val="Text1"/>
              <w:spacing w:before="0" w:after="0"/>
              <w:ind w:left="0"/>
              <w:rPr>
                <w:sz w:val="12"/>
                <w:szCs w:val="12"/>
              </w:rPr>
            </w:pPr>
            <w:r>
              <w:rPr>
                <w:noProof/>
                <w:sz w:val="12"/>
                <w:szCs w:val="12"/>
              </w:rPr>
              <w:t>104</w:t>
            </w:r>
          </w:p>
        </w:tc>
        <w:tc>
          <w:tcPr>
            <w:tcW w:w="0" w:type="auto"/>
            <w:shd w:val="clear" w:color="auto" w:fill="auto"/>
          </w:tcPr>
          <w:p w14:paraId="6F50B198"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05B9F552"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4A04FEB7"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3CAC8799" w14:textId="77777777" w:rsidR="008C5CFA" w:rsidRPr="009C3005" w:rsidRDefault="008C5CFA" w:rsidP="00300A01">
            <w:pPr>
              <w:pStyle w:val="Text1"/>
              <w:spacing w:before="0" w:after="0"/>
              <w:ind w:left="0"/>
              <w:rPr>
                <w:sz w:val="12"/>
                <w:szCs w:val="12"/>
              </w:rPr>
            </w:pPr>
          </w:p>
        </w:tc>
        <w:tc>
          <w:tcPr>
            <w:tcW w:w="0" w:type="auto"/>
            <w:shd w:val="clear" w:color="auto" w:fill="auto"/>
          </w:tcPr>
          <w:p w14:paraId="41DADF9C" w14:textId="77777777" w:rsidR="008C5CFA" w:rsidRPr="009C3005" w:rsidRDefault="00E82A60" w:rsidP="00300A01">
            <w:pPr>
              <w:pStyle w:val="Text1"/>
              <w:spacing w:before="0" w:after="0"/>
              <w:ind w:left="0"/>
              <w:rPr>
                <w:sz w:val="12"/>
                <w:szCs w:val="12"/>
              </w:rPr>
            </w:pPr>
            <w:r>
              <w:rPr>
                <w:noProof/>
                <w:sz w:val="12"/>
                <w:szCs w:val="12"/>
              </w:rPr>
              <w:t>08</w:t>
            </w:r>
            <w:r>
              <w:rPr>
                <w:sz w:val="12"/>
                <w:szCs w:val="12"/>
              </w:rPr>
              <w:t xml:space="preserve"> </w:t>
            </w:r>
          </w:p>
        </w:tc>
        <w:tc>
          <w:tcPr>
            <w:tcW w:w="0" w:type="auto"/>
            <w:shd w:val="clear" w:color="auto" w:fill="auto"/>
          </w:tcPr>
          <w:p w14:paraId="04C13426" w14:textId="77777777" w:rsidR="008C5CFA" w:rsidRPr="009C3005" w:rsidRDefault="00E82A60" w:rsidP="00300A01">
            <w:pPr>
              <w:pStyle w:val="Text1"/>
              <w:spacing w:before="0" w:after="0"/>
              <w:ind w:left="0"/>
              <w:rPr>
                <w:sz w:val="12"/>
                <w:szCs w:val="12"/>
              </w:rPr>
            </w:pPr>
            <w:r>
              <w:rPr>
                <w:noProof/>
                <w:sz w:val="12"/>
                <w:szCs w:val="12"/>
              </w:rPr>
              <w:t>13</w:t>
            </w:r>
          </w:p>
        </w:tc>
        <w:tc>
          <w:tcPr>
            <w:tcW w:w="0" w:type="auto"/>
            <w:shd w:val="clear" w:color="auto" w:fill="auto"/>
          </w:tcPr>
          <w:p w14:paraId="02FA4C6E" w14:textId="77777777" w:rsidR="008C5CFA" w:rsidRPr="009C3005" w:rsidRDefault="00E82A60" w:rsidP="00300A01">
            <w:pPr>
              <w:pStyle w:val="Text1"/>
              <w:spacing w:before="0" w:after="0"/>
              <w:ind w:left="0"/>
              <w:rPr>
                <w:sz w:val="12"/>
                <w:szCs w:val="12"/>
              </w:rPr>
            </w:pPr>
            <w:r>
              <w:rPr>
                <w:noProof/>
                <w:sz w:val="12"/>
                <w:szCs w:val="12"/>
              </w:rPr>
              <w:t>PL33</w:t>
            </w:r>
          </w:p>
        </w:tc>
        <w:tc>
          <w:tcPr>
            <w:tcW w:w="0" w:type="auto"/>
            <w:shd w:val="clear" w:color="auto" w:fill="auto"/>
          </w:tcPr>
          <w:p w14:paraId="5752DB65" w14:textId="77777777" w:rsidR="008C5CFA" w:rsidRPr="009C3005" w:rsidRDefault="00E82A60" w:rsidP="00300A01">
            <w:pPr>
              <w:pStyle w:val="Text1"/>
              <w:spacing w:before="0" w:after="0"/>
              <w:ind w:left="0"/>
              <w:jc w:val="right"/>
              <w:rPr>
                <w:sz w:val="12"/>
                <w:szCs w:val="12"/>
              </w:rPr>
            </w:pPr>
            <w:r w:rsidRPr="009C3005">
              <w:rPr>
                <w:noProof/>
                <w:sz w:val="12"/>
                <w:szCs w:val="12"/>
              </w:rPr>
              <w:t>378 159,72</w:t>
            </w:r>
          </w:p>
        </w:tc>
        <w:tc>
          <w:tcPr>
            <w:tcW w:w="0" w:type="auto"/>
            <w:shd w:val="clear" w:color="auto" w:fill="auto"/>
          </w:tcPr>
          <w:p w14:paraId="20B79DD1" w14:textId="77777777" w:rsidR="008C5CFA" w:rsidRPr="009C3005" w:rsidRDefault="00E82A60" w:rsidP="00300A01">
            <w:pPr>
              <w:pStyle w:val="Text1"/>
              <w:spacing w:before="0" w:after="0"/>
              <w:ind w:left="0"/>
              <w:jc w:val="right"/>
              <w:rPr>
                <w:sz w:val="12"/>
                <w:szCs w:val="12"/>
              </w:rPr>
            </w:pPr>
            <w:r w:rsidRPr="009C3005">
              <w:rPr>
                <w:noProof/>
                <w:sz w:val="12"/>
                <w:szCs w:val="12"/>
              </w:rPr>
              <w:t>367 495,44</w:t>
            </w:r>
          </w:p>
        </w:tc>
        <w:tc>
          <w:tcPr>
            <w:tcW w:w="0" w:type="auto"/>
            <w:shd w:val="clear" w:color="auto" w:fill="auto"/>
          </w:tcPr>
          <w:p w14:paraId="3F2E2987" w14:textId="77777777" w:rsidR="008C5CFA" w:rsidRPr="009C3005" w:rsidRDefault="00E82A60" w:rsidP="00300A01">
            <w:pPr>
              <w:pStyle w:val="Text1"/>
              <w:spacing w:before="0" w:after="0"/>
              <w:ind w:left="0"/>
              <w:jc w:val="right"/>
              <w:rPr>
                <w:sz w:val="12"/>
                <w:szCs w:val="12"/>
              </w:rPr>
            </w:pPr>
            <w:r w:rsidRPr="009C3005">
              <w:rPr>
                <w:noProof/>
                <w:sz w:val="12"/>
                <w:szCs w:val="12"/>
              </w:rPr>
              <w:t>372 368,10</w:t>
            </w:r>
          </w:p>
        </w:tc>
        <w:tc>
          <w:tcPr>
            <w:tcW w:w="0" w:type="auto"/>
            <w:shd w:val="clear" w:color="auto" w:fill="auto"/>
          </w:tcPr>
          <w:p w14:paraId="68FBE846" w14:textId="77777777" w:rsidR="008C5CFA" w:rsidRPr="009C3005" w:rsidRDefault="00E82A60" w:rsidP="00300A01">
            <w:pPr>
              <w:pStyle w:val="Text1"/>
              <w:spacing w:before="0" w:after="0"/>
              <w:ind w:left="0"/>
              <w:jc w:val="right"/>
              <w:rPr>
                <w:sz w:val="12"/>
                <w:szCs w:val="12"/>
              </w:rPr>
            </w:pPr>
            <w:r w:rsidRPr="009C3005">
              <w:rPr>
                <w:noProof/>
                <w:sz w:val="12"/>
                <w:szCs w:val="12"/>
              </w:rPr>
              <w:t>1</w:t>
            </w:r>
          </w:p>
        </w:tc>
      </w:tr>
      <w:tr w:rsidR="006B2EC1" w14:paraId="712997FC" w14:textId="77777777" w:rsidTr="0047688D">
        <w:tc>
          <w:tcPr>
            <w:tcW w:w="0" w:type="auto"/>
            <w:shd w:val="clear" w:color="auto" w:fill="auto"/>
          </w:tcPr>
          <w:p w14:paraId="6A226503" w14:textId="77777777" w:rsidR="008C5CFA" w:rsidRPr="009C3005" w:rsidRDefault="00E82A60" w:rsidP="00300A01">
            <w:pPr>
              <w:pStyle w:val="Text1"/>
              <w:spacing w:before="0" w:after="0"/>
              <w:ind w:left="0"/>
              <w:rPr>
                <w:sz w:val="12"/>
                <w:szCs w:val="12"/>
              </w:rPr>
            </w:pPr>
            <w:r>
              <w:rPr>
                <w:noProof/>
                <w:sz w:val="14"/>
                <w:szCs w:val="14"/>
                <w:lang w:val="fr-BE"/>
              </w:rPr>
              <w:t>10</w:t>
            </w:r>
          </w:p>
        </w:tc>
        <w:tc>
          <w:tcPr>
            <w:tcW w:w="0" w:type="auto"/>
            <w:shd w:val="clear" w:color="auto" w:fill="auto"/>
          </w:tcPr>
          <w:p w14:paraId="448A0D5D" w14:textId="77777777" w:rsidR="008C5CFA" w:rsidRPr="009C3005" w:rsidRDefault="00E82A60" w:rsidP="00300A01">
            <w:pPr>
              <w:pStyle w:val="Text1"/>
              <w:spacing w:before="0" w:after="0"/>
              <w:ind w:left="0"/>
              <w:rPr>
                <w:sz w:val="12"/>
                <w:szCs w:val="12"/>
              </w:rPr>
            </w:pPr>
            <w:r>
              <w:rPr>
                <w:noProof/>
                <w:sz w:val="12"/>
                <w:szCs w:val="12"/>
              </w:rPr>
              <w:t>EFS</w:t>
            </w:r>
          </w:p>
        </w:tc>
        <w:tc>
          <w:tcPr>
            <w:tcW w:w="0" w:type="auto"/>
            <w:shd w:val="clear" w:color="auto" w:fill="auto"/>
          </w:tcPr>
          <w:p w14:paraId="7F2F8A7D" w14:textId="77777777" w:rsidR="008C5CFA" w:rsidRPr="009C3005" w:rsidRDefault="00E82A60" w:rsidP="00300A01">
            <w:pPr>
              <w:pStyle w:val="Text1"/>
              <w:spacing w:before="0" w:after="0"/>
              <w:ind w:left="0"/>
              <w:rPr>
                <w:sz w:val="12"/>
                <w:szCs w:val="12"/>
              </w:rPr>
            </w:pPr>
            <w:r>
              <w:rPr>
                <w:noProof/>
                <w:sz w:val="12"/>
                <w:szCs w:val="12"/>
              </w:rPr>
              <w:t>Słabiej rozwinięte</w:t>
            </w:r>
          </w:p>
        </w:tc>
        <w:tc>
          <w:tcPr>
            <w:tcW w:w="0" w:type="auto"/>
            <w:shd w:val="clear" w:color="auto" w:fill="auto"/>
          </w:tcPr>
          <w:p w14:paraId="5DE0D837" w14:textId="77777777" w:rsidR="008C5CFA" w:rsidRPr="009C3005" w:rsidRDefault="00E82A60" w:rsidP="00300A01">
            <w:pPr>
              <w:pStyle w:val="Text1"/>
              <w:spacing w:before="0" w:after="0"/>
              <w:ind w:left="0"/>
              <w:rPr>
                <w:sz w:val="12"/>
                <w:szCs w:val="12"/>
              </w:rPr>
            </w:pPr>
            <w:r>
              <w:rPr>
                <w:noProof/>
                <w:sz w:val="12"/>
                <w:szCs w:val="12"/>
              </w:rPr>
              <w:t>104</w:t>
            </w:r>
          </w:p>
        </w:tc>
        <w:tc>
          <w:tcPr>
            <w:tcW w:w="0" w:type="auto"/>
            <w:shd w:val="clear" w:color="auto" w:fill="auto"/>
          </w:tcPr>
          <w:p w14:paraId="15D3AB19"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74578DE2"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5DEB12F5"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1E432496" w14:textId="77777777" w:rsidR="008C5CFA" w:rsidRPr="009C3005" w:rsidRDefault="008C5CFA" w:rsidP="00300A01">
            <w:pPr>
              <w:pStyle w:val="Text1"/>
              <w:spacing w:before="0" w:after="0"/>
              <w:ind w:left="0"/>
              <w:rPr>
                <w:sz w:val="12"/>
                <w:szCs w:val="12"/>
              </w:rPr>
            </w:pPr>
          </w:p>
        </w:tc>
        <w:tc>
          <w:tcPr>
            <w:tcW w:w="0" w:type="auto"/>
            <w:shd w:val="clear" w:color="auto" w:fill="auto"/>
          </w:tcPr>
          <w:p w14:paraId="10DF5155" w14:textId="77777777" w:rsidR="008C5CFA" w:rsidRPr="009C3005" w:rsidRDefault="00E82A60" w:rsidP="00300A01">
            <w:pPr>
              <w:pStyle w:val="Text1"/>
              <w:spacing w:before="0" w:after="0"/>
              <w:ind w:left="0"/>
              <w:rPr>
                <w:sz w:val="12"/>
                <w:szCs w:val="12"/>
              </w:rPr>
            </w:pPr>
            <w:r>
              <w:rPr>
                <w:noProof/>
                <w:sz w:val="12"/>
                <w:szCs w:val="12"/>
              </w:rPr>
              <w:t>08</w:t>
            </w:r>
            <w:r>
              <w:rPr>
                <w:sz w:val="12"/>
                <w:szCs w:val="12"/>
              </w:rPr>
              <w:t xml:space="preserve"> </w:t>
            </w:r>
          </w:p>
        </w:tc>
        <w:tc>
          <w:tcPr>
            <w:tcW w:w="0" w:type="auto"/>
            <w:shd w:val="clear" w:color="auto" w:fill="auto"/>
          </w:tcPr>
          <w:p w14:paraId="623FDE41" w14:textId="77777777" w:rsidR="008C5CFA" w:rsidRPr="009C3005" w:rsidRDefault="00E82A60" w:rsidP="00300A01">
            <w:pPr>
              <w:pStyle w:val="Text1"/>
              <w:spacing w:before="0" w:after="0"/>
              <w:ind w:left="0"/>
              <w:rPr>
                <w:sz w:val="12"/>
                <w:szCs w:val="12"/>
              </w:rPr>
            </w:pPr>
            <w:r>
              <w:rPr>
                <w:noProof/>
                <w:sz w:val="12"/>
                <w:szCs w:val="12"/>
              </w:rPr>
              <w:t>16</w:t>
            </w:r>
          </w:p>
        </w:tc>
        <w:tc>
          <w:tcPr>
            <w:tcW w:w="0" w:type="auto"/>
            <w:shd w:val="clear" w:color="auto" w:fill="auto"/>
          </w:tcPr>
          <w:p w14:paraId="473E3C2E" w14:textId="77777777" w:rsidR="008C5CFA" w:rsidRPr="009C3005" w:rsidRDefault="00E82A60" w:rsidP="00300A01">
            <w:pPr>
              <w:pStyle w:val="Text1"/>
              <w:spacing w:before="0" w:after="0"/>
              <w:ind w:left="0"/>
              <w:rPr>
                <w:sz w:val="12"/>
                <w:szCs w:val="12"/>
              </w:rPr>
            </w:pPr>
            <w:r>
              <w:rPr>
                <w:noProof/>
                <w:sz w:val="12"/>
                <w:szCs w:val="12"/>
              </w:rPr>
              <w:t>PL33</w:t>
            </w:r>
          </w:p>
        </w:tc>
        <w:tc>
          <w:tcPr>
            <w:tcW w:w="0" w:type="auto"/>
            <w:shd w:val="clear" w:color="auto" w:fill="auto"/>
          </w:tcPr>
          <w:p w14:paraId="39977F03" w14:textId="77777777" w:rsidR="008C5CFA" w:rsidRPr="009C3005" w:rsidRDefault="00E82A60" w:rsidP="00300A01">
            <w:pPr>
              <w:pStyle w:val="Text1"/>
              <w:spacing w:before="0" w:after="0"/>
              <w:ind w:left="0"/>
              <w:jc w:val="right"/>
              <w:rPr>
                <w:sz w:val="12"/>
                <w:szCs w:val="12"/>
              </w:rPr>
            </w:pPr>
            <w:r w:rsidRPr="009C3005">
              <w:rPr>
                <w:noProof/>
                <w:sz w:val="12"/>
                <w:szCs w:val="12"/>
              </w:rPr>
              <w:t>0,00</w:t>
            </w:r>
          </w:p>
        </w:tc>
        <w:tc>
          <w:tcPr>
            <w:tcW w:w="0" w:type="auto"/>
            <w:shd w:val="clear" w:color="auto" w:fill="auto"/>
          </w:tcPr>
          <w:p w14:paraId="03F068D1" w14:textId="77777777" w:rsidR="008C5CFA" w:rsidRPr="009C3005" w:rsidRDefault="00E82A60" w:rsidP="00300A01">
            <w:pPr>
              <w:pStyle w:val="Text1"/>
              <w:spacing w:before="0" w:after="0"/>
              <w:ind w:left="0"/>
              <w:jc w:val="right"/>
              <w:rPr>
                <w:sz w:val="12"/>
                <w:szCs w:val="12"/>
              </w:rPr>
            </w:pPr>
            <w:r w:rsidRPr="009C3005">
              <w:rPr>
                <w:noProof/>
                <w:sz w:val="12"/>
                <w:szCs w:val="12"/>
              </w:rPr>
              <w:t>0,00</w:t>
            </w:r>
          </w:p>
        </w:tc>
        <w:tc>
          <w:tcPr>
            <w:tcW w:w="0" w:type="auto"/>
            <w:shd w:val="clear" w:color="auto" w:fill="auto"/>
          </w:tcPr>
          <w:p w14:paraId="38F1BB6B" w14:textId="77777777" w:rsidR="008C5CFA" w:rsidRPr="009C3005" w:rsidRDefault="00E82A60" w:rsidP="00300A01">
            <w:pPr>
              <w:pStyle w:val="Text1"/>
              <w:spacing w:before="0" w:after="0"/>
              <w:ind w:left="0"/>
              <w:jc w:val="right"/>
              <w:rPr>
                <w:sz w:val="12"/>
                <w:szCs w:val="12"/>
              </w:rPr>
            </w:pPr>
            <w:r w:rsidRPr="009C3005">
              <w:rPr>
                <w:noProof/>
                <w:sz w:val="12"/>
                <w:szCs w:val="12"/>
              </w:rPr>
              <w:t>6 184,03</w:t>
            </w:r>
          </w:p>
        </w:tc>
        <w:tc>
          <w:tcPr>
            <w:tcW w:w="0" w:type="auto"/>
            <w:shd w:val="clear" w:color="auto" w:fill="auto"/>
          </w:tcPr>
          <w:p w14:paraId="2CAFD921" w14:textId="77777777" w:rsidR="008C5CFA" w:rsidRPr="009C3005" w:rsidRDefault="00E82A60" w:rsidP="00300A01">
            <w:pPr>
              <w:pStyle w:val="Text1"/>
              <w:spacing w:before="0" w:after="0"/>
              <w:ind w:left="0"/>
              <w:jc w:val="right"/>
              <w:rPr>
                <w:sz w:val="12"/>
                <w:szCs w:val="12"/>
              </w:rPr>
            </w:pPr>
            <w:r w:rsidRPr="009C3005">
              <w:rPr>
                <w:noProof/>
                <w:sz w:val="12"/>
                <w:szCs w:val="12"/>
              </w:rPr>
              <w:t>0</w:t>
            </w:r>
          </w:p>
        </w:tc>
      </w:tr>
      <w:tr w:rsidR="006B2EC1" w14:paraId="17335151" w14:textId="77777777" w:rsidTr="0047688D">
        <w:tc>
          <w:tcPr>
            <w:tcW w:w="0" w:type="auto"/>
            <w:shd w:val="clear" w:color="auto" w:fill="auto"/>
          </w:tcPr>
          <w:p w14:paraId="63B885F2" w14:textId="77777777" w:rsidR="008C5CFA" w:rsidRPr="009C3005" w:rsidRDefault="00E82A60" w:rsidP="00300A01">
            <w:pPr>
              <w:pStyle w:val="Text1"/>
              <w:spacing w:before="0" w:after="0"/>
              <w:ind w:left="0"/>
              <w:rPr>
                <w:sz w:val="12"/>
                <w:szCs w:val="12"/>
              </w:rPr>
            </w:pPr>
            <w:r>
              <w:rPr>
                <w:noProof/>
                <w:sz w:val="14"/>
                <w:szCs w:val="14"/>
                <w:lang w:val="fr-BE"/>
              </w:rPr>
              <w:t>10</w:t>
            </w:r>
          </w:p>
        </w:tc>
        <w:tc>
          <w:tcPr>
            <w:tcW w:w="0" w:type="auto"/>
            <w:shd w:val="clear" w:color="auto" w:fill="auto"/>
          </w:tcPr>
          <w:p w14:paraId="38F7883B" w14:textId="77777777" w:rsidR="008C5CFA" w:rsidRPr="009C3005" w:rsidRDefault="00E82A60" w:rsidP="00300A01">
            <w:pPr>
              <w:pStyle w:val="Text1"/>
              <w:spacing w:before="0" w:after="0"/>
              <w:ind w:left="0"/>
              <w:rPr>
                <w:sz w:val="12"/>
                <w:szCs w:val="12"/>
              </w:rPr>
            </w:pPr>
            <w:r>
              <w:rPr>
                <w:noProof/>
                <w:sz w:val="12"/>
                <w:szCs w:val="12"/>
              </w:rPr>
              <w:t>EFS</w:t>
            </w:r>
          </w:p>
        </w:tc>
        <w:tc>
          <w:tcPr>
            <w:tcW w:w="0" w:type="auto"/>
            <w:shd w:val="clear" w:color="auto" w:fill="auto"/>
          </w:tcPr>
          <w:p w14:paraId="0B3207D1" w14:textId="77777777" w:rsidR="008C5CFA" w:rsidRPr="009C3005" w:rsidRDefault="00E82A60" w:rsidP="00300A01">
            <w:pPr>
              <w:pStyle w:val="Text1"/>
              <w:spacing w:before="0" w:after="0"/>
              <w:ind w:left="0"/>
              <w:rPr>
                <w:sz w:val="12"/>
                <w:szCs w:val="12"/>
              </w:rPr>
            </w:pPr>
            <w:r>
              <w:rPr>
                <w:noProof/>
                <w:sz w:val="12"/>
                <w:szCs w:val="12"/>
              </w:rPr>
              <w:t>Słabiej rozwinięte</w:t>
            </w:r>
          </w:p>
        </w:tc>
        <w:tc>
          <w:tcPr>
            <w:tcW w:w="0" w:type="auto"/>
            <w:shd w:val="clear" w:color="auto" w:fill="auto"/>
          </w:tcPr>
          <w:p w14:paraId="1962A23D" w14:textId="77777777" w:rsidR="008C5CFA" w:rsidRPr="009C3005" w:rsidRDefault="00E82A60" w:rsidP="00300A01">
            <w:pPr>
              <w:pStyle w:val="Text1"/>
              <w:spacing w:before="0" w:after="0"/>
              <w:ind w:left="0"/>
              <w:rPr>
                <w:sz w:val="12"/>
                <w:szCs w:val="12"/>
              </w:rPr>
            </w:pPr>
            <w:r>
              <w:rPr>
                <w:noProof/>
                <w:sz w:val="12"/>
                <w:szCs w:val="12"/>
              </w:rPr>
              <w:t>104</w:t>
            </w:r>
          </w:p>
        </w:tc>
        <w:tc>
          <w:tcPr>
            <w:tcW w:w="0" w:type="auto"/>
            <w:shd w:val="clear" w:color="auto" w:fill="auto"/>
          </w:tcPr>
          <w:p w14:paraId="77F6B24F"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4E236AB9"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3FC215F2"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13D0BD7B" w14:textId="77777777" w:rsidR="008C5CFA" w:rsidRPr="009C3005" w:rsidRDefault="008C5CFA" w:rsidP="00300A01">
            <w:pPr>
              <w:pStyle w:val="Text1"/>
              <w:spacing w:before="0" w:after="0"/>
              <w:ind w:left="0"/>
              <w:rPr>
                <w:sz w:val="12"/>
                <w:szCs w:val="12"/>
              </w:rPr>
            </w:pPr>
          </w:p>
        </w:tc>
        <w:tc>
          <w:tcPr>
            <w:tcW w:w="0" w:type="auto"/>
            <w:shd w:val="clear" w:color="auto" w:fill="auto"/>
          </w:tcPr>
          <w:p w14:paraId="4A01E5FC" w14:textId="77777777" w:rsidR="008C5CFA" w:rsidRPr="009C3005" w:rsidRDefault="00E82A60" w:rsidP="00300A01">
            <w:pPr>
              <w:pStyle w:val="Text1"/>
              <w:spacing w:before="0" w:after="0"/>
              <w:ind w:left="0"/>
              <w:rPr>
                <w:sz w:val="12"/>
                <w:szCs w:val="12"/>
              </w:rPr>
            </w:pPr>
            <w:r>
              <w:rPr>
                <w:noProof/>
                <w:sz w:val="12"/>
                <w:szCs w:val="12"/>
              </w:rPr>
              <w:t>08</w:t>
            </w:r>
            <w:r>
              <w:rPr>
                <w:sz w:val="12"/>
                <w:szCs w:val="12"/>
              </w:rPr>
              <w:t xml:space="preserve"> </w:t>
            </w:r>
          </w:p>
        </w:tc>
        <w:tc>
          <w:tcPr>
            <w:tcW w:w="0" w:type="auto"/>
            <w:shd w:val="clear" w:color="auto" w:fill="auto"/>
          </w:tcPr>
          <w:p w14:paraId="45E0C745" w14:textId="77777777" w:rsidR="008C5CFA" w:rsidRPr="009C3005" w:rsidRDefault="00E82A60" w:rsidP="00300A01">
            <w:pPr>
              <w:pStyle w:val="Text1"/>
              <w:spacing w:before="0" w:after="0"/>
              <w:ind w:left="0"/>
              <w:rPr>
                <w:sz w:val="12"/>
                <w:szCs w:val="12"/>
              </w:rPr>
            </w:pPr>
            <w:r>
              <w:rPr>
                <w:noProof/>
                <w:sz w:val="12"/>
                <w:szCs w:val="12"/>
              </w:rPr>
              <w:t>17</w:t>
            </w:r>
          </w:p>
        </w:tc>
        <w:tc>
          <w:tcPr>
            <w:tcW w:w="0" w:type="auto"/>
            <w:shd w:val="clear" w:color="auto" w:fill="auto"/>
          </w:tcPr>
          <w:p w14:paraId="5B4969EC" w14:textId="77777777" w:rsidR="008C5CFA" w:rsidRPr="009C3005" w:rsidRDefault="00E82A60" w:rsidP="00300A01">
            <w:pPr>
              <w:pStyle w:val="Text1"/>
              <w:spacing w:before="0" w:after="0"/>
              <w:ind w:left="0"/>
              <w:rPr>
                <w:sz w:val="12"/>
                <w:szCs w:val="12"/>
              </w:rPr>
            </w:pPr>
            <w:r>
              <w:rPr>
                <w:noProof/>
                <w:sz w:val="12"/>
                <w:szCs w:val="12"/>
              </w:rPr>
              <w:t>PL33</w:t>
            </w:r>
          </w:p>
        </w:tc>
        <w:tc>
          <w:tcPr>
            <w:tcW w:w="0" w:type="auto"/>
            <w:shd w:val="clear" w:color="auto" w:fill="auto"/>
          </w:tcPr>
          <w:p w14:paraId="2A7163FE" w14:textId="77777777" w:rsidR="008C5CFA" w:rsidRPr="009C3005" w:rsidRDefault="00E82A60" w:rsidP="00300A01">
            <w:pPr>
              <w:pStyle w:val="Text1"/>
              <w:spacing w:before="0" w:after="0"/>
              <w:ind w:left="0"/>
              <w:jc w:val="right"/>
              <w:rPr>
                <w:sz w:val="12"/>
                <w:szCs w:val="12"/>
              </w:rPr>
            </w:pPr>
            <w:r w:rsidRPr="009C3005">
              <w:rPr>
                <w:noProof/>
                <w:sz w:val="12"/>
                <w:szCs w:val="12"/>
              </w:rPr>
              <w:t>445 263,23</w:t>
            </w:r>
          </w:p>
        </w:tc>
        <w:tc>
          <w:tcPr>
            <w:tcW w:w="0" w:type="auto"/>
            <w:shd w:val="clear" w:color="auto" w:fill="auto"/>
          </w:tcPr>
          <w:p w14:paraId="5B15D845" w14:textId="77777777" w:rsidR="008C5CFA" w:rsidRPr="009C3005" w:rsidRDefault="00E82A60" w:rsidP="00300A01">
            <w:pPr>
              <w:pStyle w:val="Text1"/>
              <w:spacing w:before="0" w:after="0"/>
              <w:ind w:left="0"/>
              <w:jc w:val="right"/>
              <w:rPr>
                <w:sz w:val="12"/>
                <w:szCs w:val="12"/>
              </w:rPr>
            </w:pPr>
            <w:r w:rsidRPr="009C3005">
              <w:rPr>
                <w:noProof/>
                <w:sz w:val="12"/>
                <w:szCs w:val="12"/>
              </w:rPr>
              <w:t>432 348,77</w:t>
            </w:r>
          </w:p>
        </w:tc>
        <w:tc>
          <w:tcPr>
            <w:tcW w:w="0" w:type="auto"/>
            <w:shd w:val="clear" w:color="auto" w:fill="auto"/>
          </w:tcPr>
          <w:p w14:paraId="7016B677" w14:textId="77777777" w:rsidR="008C5CFA" w:rsidRPr="009C3005" w:rsidRDefault="00E82A60" w:rsidP="00300A01">
            <w:pPr>
              <w:pStyle w:val="Text1"/>
              <w:spacing w:before="0" w:after="0"/>
              <w:ind w:left="0"/>
              <w:jc w:val="right"/>
              <w:rPr>
                <w:sz w:val="12"/>
                <w:szCs w:val="12"/>
              </w:rPr>
            </w:pPr>
            <w:r w:rsidRPr="009C3005">
              <w:rPr>
                <w:noProof/>
                <w:sz w:val="12"/>
                <w:szCs w:val="12"/>
              </w:rPr>
              <w:t>441 951,04</w:t>
            </w:r>
          </w:p>
        </w:tc>
        <w:tc>
          <w:tcPr>
            <w:tcW w:w="0" w:type="auto"/>
            <w:shd w:val="clear" w:color="auto" w:fill="auto"/>
          </w:tcPr>
          <w:p w14:paraId="3262E68C" w14:textId="77777777" w:rsidR="008C5CFA" w:rsidRPr="009C3005" w:rsidRDefault="00E82A60" w:rsidP="00300A01">
            <w:pPr>
              <w:pStyle w:val="Text1"/>
              <w:spacing w:before="0" w:after="0"/>
              <w:ind w:left="0"/>
              <w:jc w:val="right"/>
              <w:rPr>
                <w:sz w:val="12"/>
                <w:szCs w:val="12"/>
              </w:rPr>
            </w:pPr>
            <w:r w:rsidRPr="009C3005">
              <w:rPr>
                <w:noProof/>
                <w:sz w:val="12"/>
                <w:szCs w:val="12"/>
              </w:rPr>
              <w:t>1</w:t>
            </w:r>
          </w:p>
        </w:tc>
      </w:tr>
      <w:tr w:rsidR="006B2EC1" w14:paraId="37FEDE49" w14:textId="77777777" w:rsidTr="0047688D">
        <w:tc>
          <w:tcPr>
            <w:tcW w:w="0" w:type="auto"/>
            <w:shd w:val="clear" w:color="auto" w:fill="auto"/>
          </w:tcPr>
          <w:p w14:paraId="26C35CB4" w14:textId="77777777" w:rsidR="008C5CFA" w:rsidRPr="009C3005" w:rsidRDefault="00E82A60" w:rsidP="00300A01">
            <w:pPr>
              <w:pStyle w:val="Text1"/>
              <w:spacing w:before="0" w:after="0"/>
              <w:ind w:left="0"/>
              <w:rPr>
                <w:sz w:val="12"/>
                <w:szCs w:val="12"/>
              </w:rPr>
            </w:pPr>
            <w:r>
              <w:rPr>
                <w:noProof/>
                <w:sz w:val="14"/>
                <w:szCs w:val="14"/>
                <w:lang w:val="fr-BE"/>
              </w:rPr>
              <w:t>10</w:t>
            </w:r>
          </w:p>
        </w:tc>
        <w:tc>
          <w:tcPr>
            <w:tcW w:w="0" w:type="auto"/>
            <w:shd w:val="clear" w:color="auto" w:fill="auto"/>
          </w:tcPr>
          <w:p w14:paraId="2FC83BC9" w14:textId="77777777" w:rsidR="008C5CFA" w:rsidRPr="009C3005" w:rsidRDefault="00E82A60" w:rsidP="00300A01">
            <w:pPr>
              <w:pStyle w:val="Text1"/>
              <w:spacing w:before="0" w:after="0"/>
              <w:ind w:left="0"/>
              <w:rPr>
                <w:sz w:val="12"/>
                <w:szCs w:val="12"/>
              </w:rPr>
            </w:pPr>
            <w:r>
              <w:rPr>
                <w:noProof/>
                <w:sz w:val="12"/>
                <w:szCs w:val="12"/>
              </w:rPr>
              <w:t>EFS</w:t>
            </w:r>
          </w:p>
        </w:tc>
        <w:tc>
          <w:tcPr>
            <w:tcW w:w="0" w:type="auto"/>
            <w:shd w:val="clear" w:color="auto" w:fill="auto"/>
          </w:tcPr>
          <w:p w14:paraId="2FAA520E" w14:textId="77777777" w:rsidR="008C5CFA" w:rsidRPr="009C3005" w:rsidRDefault="00E82A60" w:rsidP="00300A01">
            <w:pPr>
              <w:pStyle w:val="Text1"/>
              <w:spacing w:before="0" w:after="0"/>
              <w:ind w:left="0"/>
              <w:rPr>
                <w:sz w:val="12"/>
                <w:szCs w:val="12"/>
              </w:rPr>
            </w:pPr>
            <w:r>
              <w:rPr>
                <w:noProof/>
                <w:sz w:val="12"/>
                <w:szCs w:val="12"/>
              </w:rPr>
              <w:t>Słabiej rozwinięte</w:t>
            </w:r>
          </w:p>
        </w:tc>
        <w:tc>
          <w:tcPr>
            <w:tcW w:w="0" w:type="auto"/>
            <w:shd w:val="clear" w:color="auto" w:fill="auto"/>
          </w:tcPr>
          <w:p w14:paraId="341ABA3B" w14:textId="77777777" w:rsidR="008C5CFA" w:rsidRPr="009C3005" w:rsidRDefault="00E82A60" w:rsidP="00300A01">
            <w:pPr>
              <w:pStyle w:val="Text1"/>
              <w:spacing w:before="0" w:after="0"/>
              <w:ind w:left="0"/>
              <w:rPr>
                <w:sz w:val="12"/>
                <w:szCs w:val="12"/>
              </w:rPr>
            </w:pPr>
            <w:r>
              <w:rPr>
                <w:noProof/>
                <w:sz w:val="12"/>
                <w:szCs w:val="12"/>
              </w:rPr>
              <w:t>104</w:t>
            </w:r>
          </w:p>
        </w:tc>
        <w:tc>
          <w:tcPr>
            <w:tcW w:w="0" w:type="auto"/>
            <w:shd w:val="clear" w:color="auto" w:fill="auto"/>
          </w:tcPr>
          <w:p w14:paraId="0067266E"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1039F7E5"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1AE7CCEF"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49ADAC45" w14:textId="77777777" w:rsidR="008C5CFA" w:rsidRPr="009C3005" w:rsidRDefault="008C5CFA" w:rsidP="00300A01">
            <w:pPr>
              <w:pStyle w:val="Text1"/>
              <w:spacing w:before="0" w:after="0"/>
              <w:ind w:left="0"/>
              <w:rPr>
                <w:sz w:val="12"/>
                <w:szCs w:val="12"/>
              </w:rPr>
            </w:pPr>
          </w:p>
        </w:tc>
        <w:tc>
          <w:tcPr>
            <w:tcW w:w="0" w:type="auto"/>
            <w:shd w:val="clear" w:color="auto" w:fill="auto"/>
          </w:tcPr>
          <w:p w14:paraId="26B6AF01" w14:textId="77777777" w:rsidR="008C5CFA" w:rsidRPr="009C3005" w:rsidRDefault="00E82A60" w:rsidP="00300A01">
            <w:pPr>
              <w:pStyle w:val="Text1"/>
              <w:spacing w:before="0" w:after="0"/>
              <w:ind w:left="0"/>
              <w:rPr>
                <w:sz w:val="12"/>
                <w:szCs w:val="12"/>
              </w:rPr>
            </w:pPr>
            <w:r>
              <w:rPr>
                <w:noProof/>
                <w:sz w:val="12"/>
                <w:szCs w:val="12"/>
              </w:rPr>
              <w:t>08</w:t>
            </w:r>
            <w:r>
              <w:rPr>
                <w:sz w:val="12"/>
                <w:szCs w:val="12"/>
              </w:rPr>
              <w:t xml:space="preserve"> </w:t>
            </w:r>
          </w:p>
        </w:tc>
        <w:tc>
          <w:tcPr>
            <w:tcW w:w="0" w:type="auto"/>
            <w:shd w:val="clear" w:color="auto" w:fill="auto"/>
          </w:tcPr>
          <w:p w14:paraId="49648E55" w14:textId="77777777" w:rsidR="008C5CFA" w:rsidRPr="009C3005" w:rsidRDefault="00E82A60" w:rsidP="00300A01">
            <w:pPr>
              <w:pStyle w:val="Text1"/>
              <w:spacing w:before="0" w:after="0"/>
              <w:ind w:left="0"/>
              <w:rPr>
                <w:sz w:val="12"/>
                <w:szCs w:val="12"/>
              </w:rPr>
            </w:pPr>
            <w:r>
              <w:rPr>
                <w:noProof/>
                <w:sz w:val="12"/>
                <w:szCs w:val="12"/>
              </w:rPr>
              <w:t>18</w:t>
            </w:r>
          </w:p>
        </w:tc>
        <w:tc>
          <w:tcPr>
            <w:tcW w:w="0" w:type="auto"/>
            <w:shd w:val="clear" w:color="auto" w:fill="auto"/>
          </w:tcPr>
          <w:p w14:paraId="31B52BF8" w14:textId="77777777" w:rsidR="008C5CFA" w:rsidRPr="009C3005" w:rsidRDefault="00E82A60" w:rsidP="00300A01">
            <w:pPr>
              <w:pStyle w:val="Text1"/>
              <w:spacing w:before="0" w:after="0"/>
              <w:ind w:left="0"/>
              <w:rPr>
                <w:sz w:val="12"/>
                <w:szCs w:val="12"/>
              </w:rPr>
            </w:pPr>
            <w:r>
              <w:rPr>
                <w:noProof/>
                <w:sz w:val="12"/>
                <w:szCs w:val="12"/>
              </w:rPr>
              <w:t>PL33</w:t>
            </w:r>
          </w:p>
        </w:tc>
        <w:tc>
          <w:tcPr>
            <w:tcW w:w="0" w:type="auto"/>
            <w:shd w:val="clear" w:color="auto" w:fill="auto"/>
          </w:tcPr>
          <w:p w14:paraId="0E64A1D0" w14:textId="77777777" w:rsidR="008C5CFA" w:rsidRPr="009C3005" w:rsidRDefault="00E82A60" w:rsidP="00300A01">
            <w:pPr>
              <w:pStyle w:val="Text1"/>
              <w:spacing w:before="0" w:after="0"/>
              <w:ind w:left="0"/>
              <w:jc w:val="right"/>
              <w:rPr>
                <w:sz w:val="12"/>
                <w:szCs w:val="12"/>
              </w:rPr>
            </w:pPr>
            <w:r w:rsidRPr="009C3005">
              <w:rPr>
                <w:noProof/>
                <w:sz w:val="12"/>
                <w:szCs w:val="12"/>
              </w:rPr>
              <w:t>3 078 764,96</w:t>
            </w:r>
          </w:p>
        </w:tc>
        <w:tc>
          <w:tcPr>
            <w:tcW w:w="0" w:type="auto"/>
            <w:shd w:val="clear" w:color="auto" w:fill="auto"/>
          </w:tcPr>
          <w:p w14:paraId="45A05E70" w14:textId="77777777" w:rsidR="008C5CFA" w:rsidRPr="009C3005" w:rsidRDefault="00E82A60" w:rsidP="00300A01">
            <w:pPr>
              <w:pStyle w:val="Text1"/>
              <w:spacing w:before="0" w:after="0"/>
              <w:ind w:left="0"/>
              <w:jc w:val="right"/>
              <w:rPr>
                <w:sz w:val="12"/>
                <w:szCs w:val="12"/>
              </w:rPr>
            </w:pPr>
            <w:r w:rsidRPr="009C3005">
              <w:rPr>
                <w:noProof/>
                <w:sz w:val="12"/>
                <w:szCs w:val="12"/>
              </w:rPr>
              <w:t>3 026 877,60</w:t>
            </w:r>
          </w:p>
        </w:tc>
        <w:tc>
          <w:tcPr>
            <w:tcW w:w="0" w:type="auto"/>
            <w:shd w:val="clear" w:color="auto" w:fill="auto"/>
          </w:tcPr>
          <w:p w14:paraId="3453B92B" w14:textId="77777777" w:rsidR="008C5CFA" w:rsidRPr="009C3005" w:rsidRDefault="00E82A60" w:rsidP="00300A01">
            <w:pPr>
              <w:pStyle w:val="Text1"/>
              <w:spacing w:before="0" w:after="0"/>
              <w:ind w:left="0"/>
              <w:jc w:val="right"/>
              <w:rPr>
                <w:sz w:val="12"/>
                <w:szCs w:val="12"/>
              </w:rPr>
            </w:pPr>
            <w:r w:rsidRPr="009C3005">
              <w:rPr>
                <w:noProof/>
                <w:sz w:val="12"/>
                <w:szCs w:val="12"/>
              </w:rPr>
              <w:t>3 046 368,03</w:t>
            </w:r>
          </w:p>
        </w:tc>
        <w:tc>
          <w:tcPr>
            <w:tcW w:w="0" w:type="auto"/>
            <w:shd w:val="clear" w:color="auto" w:fill="auto"/>
          </w:tcPr>
          <w:p w14:paraId="0AF36F3B" w14:textId="77777777" w:rsidR="008C5CFA" w:rsidRPr="009C3005" w:rsidRDefault="00E82A60" w:rsidP="00300A01">
            <w:pPr>
              <w:pStyle w:val="Text1"/>
              <w:spacing w:before="0" w:after="0"/>
              <w:ind w:left="0"/>
              <w:jc w:val="right"/>
              <w:rPr>
                <w:sz w:val="12"/>
                <w:szCs w:val="12"/>
              </w:rPr>
            </w:pPr>
            <w:r w:rsidRPr="009C3005">
              <w:rPr>
                <w:noProof/>
                <w:sz w:val="12"/>
                <w:szCs w:val="12"/>
              </w:rPr>
              <w:t>3</w:t>
            </w:r>
          </w:p>
        </w:tc>
      </w:tr>
      <w:tr w:rsidR="006B2EC1" w14:paraId="47C51A37" w14:textId="77777777" w:rsidTr="0047688D">
        <w:tc>
          <w:tcPr>
            <w:tcW w:w="0" w:type="auto"/>
            <w:shd w:val="clear" w:color="auto" w:fill="auto"/>
          </w:tcPr>
          <w:p w14:paraId="47A264AB" w14:textId="77777777" w:rsidR="008C5CFA" w:rsidRPr="009C3005" w:rsidRDefault="00E82A60" w:rsidP="00300A01">
            <w:pPr>
              <w:pStyle w:val="Text1"/>
              <w:spacing w:before="0" w:after="0"/>
              <w:ind w:left="0"/>
              <w:rPr>
                <w:sz w:val="12"/>
                <w:szCs w:val="12"/>
              </w:rPr>
            </w:pPr>
            <w:r>
              <w:rPr>
                <w:noProof/>
                <w:sz w:val="14"/>
                <w:szCs w:val="14"/>
                <w:lang w:val="fr-BE"/>
              </w:rPr>
              <w:t>10</w:t>
            </w:r>
          </w:p>
        </w:tc>
        <w:tc>
          <w:tcPr>
            <w:tcW w:w="0" w:type="auto"/>
            <w:shd w:val="clear" w:color="auto" w:fill="auto"/>
          </w:tcPr>
          <w:p w14:paraId="3BFCDF45" w14:textId="77777777" w:rsidR="008C5CFA" w:rsidRPr="009C3005" w:rsidRDefault="00E82A60" w:rsidP="00300A01">
            <w:pPr>
              <w:pStyle w:val="Text1"/>
              <w:spacing w:before="0" w:after="0"/>
              <w:ind w:left="0"/>
              <w:rPr>
                <w:sz w:val="12"/>
                <w:szCs w:val="12"/>
              </w:rPr>
            </w:pPr>
            <w:r>
              <w:rPr>
                <w:noProof/>
                <w:sz w:val="12"/>
                <w:szCs w:val="12"/>
              </w:rPr>
              <w:t>EFS</w:t>
            </w:r>
          </w:p>
        </w:tc>
        <w:tc>
          <w:tcPr>
            <w:tcW w:w="0" w:type="auto"/>
            <w:shd w:val="clear" w:color="auto" w:fill="auto"/>
          </w:tcPr>
          <w:p w14:paraId="6F0E2A2A" w14:textId="77777777" w:rsidR="008C5CFA" w:rsidRPr="009C3005" w:rsidRDefault="00E82A60" w:rsidP="00300A01">
            <w:pPr>
              <w:pStyle w:val="Text1"/>
              <w:spacing w:before="0" w:after="0"/>
              <w:ind w:left="0"/>
              <w:rPr>
                <w:sz w:val="12"/>
                <w:szCs w:val="12"/>
              </w:rPr>
            </w:pPr>
            <w:r>
              <w:rPr>
                <w:noProof/>
                <w:sz w:val="12"/>
                <w:szCs w:val="12"/>
              </w:rPr>
              <w:t>Słabiej rozwinięte</w:t>
            </w:r>
          </w:p>
        </w:tc>
        <w:tc>
          <w:tcPr>
            <w:tcW w:w="0" w:type="auto"/>
            <w:shd w:val="clear" w:color="auto" w:fill="auto"/>
          </w:tcPr>
          <w:p w14:paraId="0D746DC5" w14:textId="77777777" w:rsidR="008C5CFA" w:rsidRPr="009C3005" w:rsidRDefault="00E82A60" w:rsidP="00300A01">
            <w:pPr>
              <w:pStyle w:val="Text1"/>
              <w:spacing w:before="0" w:after="0"/>
              <w:ind w:left="0"/>
              <w:rPr>
                <w:sz w:val="12"/>
                <w:szCs w:val="12"/>
              </w:rPr>
            </w:pPr>
            <w:r>
              <w:rPr>
                <w:noProof/>
                <w:sz w:val="12"/>
                <w:szCs w:val="12"/>
              </w:rPr>
              <w:t>104</w:t>
            </w:r>
          </w:p>
        </w:tc>
        <w:tc>
          <w:tcPr>
            <w:tcW w:w="0" w:type="auto"/>
            <w:shd w:val="clear" w:color="auto" w:fill="auto"/>
          </w:tcPr>
          <w:p w14:paraId="46A3D03E"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1578C4C6"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5521A922"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076268F4" w14:textId="77777777" w:rsidR="008C5CFA" w:rsidRPr="009C3005" w:rsidRDefault="008C5CFA" w:rsidP="00300A01">
            <w:pPr>
              <w:pStyle w:val="Text1"/>
              <w:spacing w:before="0" w:after="0"/>
              <w:ind w:left="0"/>
              <w:rPr>
                <w:sz w:val="12"/>
                <w:szCs w:val="12"/>
              </w:rPr>
            </w:pPr>
          </w:p>
        </w:tc>
        <w:tc>
          <w:tcPr>
            <w:tcW w:w="0" w:type="auto"/>
            <w:shd w:val="clear" w:color="auto" w:fill="auto"/>
          </w:tcPr>
          <w:p w14:paraId="656105D2" w14:textId="77777777" w:rsidR="008C5CFA" w:rsidRPr="009C3005" w:rsidRDefault="00E82A60" w:rsidP="00300A01">
            <w:pPr>
              <w:pStyle w:val="Text1"/>
              <w:spacing w:before="0" w:after="0"/>
              <w:ind w:left="0"/>
              <w:rPr>
                <w:sz w:val="12"/>
                <w:szCs w:val="12"/>
              </w:rPr>
            </w:pPr>
            <w:r>
              <w:rPr>
                <w:noProof/>
                <w:sz w:val="12"/>
                <w:szCs w:val="12"/>
              </w:rPr>
              <w:t>08</w:t>
            </w:r>
            <w:r>
              <w:rPr>
                <w:sz w:val="12"/>
                <w:szCs w:val="12"/>
              </w:rPr>
              <w:t xml:space="preserve"> </w:t>
            </w:r>
          </w:p>
        </w:tc>
        <w:tc>
          <w:tcPr>
            <w:tcW w:w="0" w:type="auto"/>
            <w:shd w:val="clear" w:color="auto" w:fill="auto"/>
          </w:tcPr>
          <w:p w14:paraId="5629376F" w14:textId="77777777" w:rsidR="008C5CFA" w:rsidRPr="009C3005" w:rsidRDefault="00E82A60" w:rsidP="00300A01">
            <w:pPr>
              <w:pStyle w:val="Text1"/>
              <w:spacing w:before="0" w:after="0"/>
              <w:ind w:left="0"/>
              <w:rPr>
                <w:sz w:val="12"/>
                <w:szCs w:val="12"/>
              </w:rPr>
            </w:pPr>
            <w:r>
              <w:rPr>
                <w:noProof/>
                <w:sz w:val="12"/>
                <w:szCs w:val="12"/>
              </w:rPr>
              <w:t>19</w:t>
            </w:r>
          </w:p>
        </w:tc>
        <w:tc>
          <w:tcPr>
            <w:tcW w:w="0" w:type="auto"/>
            <w:shd w:val="clear" w:color="auto" w:fill="auto"/>
          </w:tcPr>
          <w:p w14:paraId="0640779E" w14:textId="77777777" w:rsidR="008C5CFA" w:rsidRPr="009C3005" w:rsidRDefault="00E82A60" w:rsidP="00300A01">
            <w:pPr>
              <w:pStyle w:val="Text1"/>
              <w:spacing w:before="0" w:after="0"/>
              <w:ind w:left="0"/>
              <w:rPr>
                <w:sz w:val="12"/>
                <w:szCs w:val="12"/>
              </w:rPr>
            </w:pPr>
            <w:r>
              <w:rPr>
                <w:noProof/>
                <w:sz w:val="12"/>
                <w:szCs w:val="12"/>
              </w:rPr>
              <w:t>PL33</w:t>
            </w:r>
          </w:p>
        </w:tc>
        <w:tc>
          <w:tcPr>
            <w:tcW w:w="0" w:type="auto"/>
            <w:shd w:val="clear" w:color="auto" w:fill="auto"/>
          </w:tcPr>
          <w:p w14:paraId="72399727" w14:textId="77777777" w:rsidR="008C5CFA" w:rsidRPr="009C3005" w:rsidRDefault="00E82A60" w:rsidP="00300A01">
            <w:pPr>
              <w:pStyle w:val="Text1"/>
              <w:spacing w:before="0" w:after="0"/>
              <w:ind w:left="0"/>
              <w:jc w:val="right"/>
              <w:rPr>
                <w:sz w:val="12"/>
                <w:szCs w:val="12"/>
              </w:rPr>
            </w:pPr>
            <w:r w:rsidRPr="009C3005">
              <w:rPr>
                <w:noProof/>
                <w:sz w:val="12"/>
                <w:szCs w:val="12"/>
              </w:rPr>
              <w:t>11 564 861,41</w:t>
            </w:r>
          </w:p>
        </w:tc>
        <w:tc>
          <w:tcPr>
            <w:tcW w:w="0" w:type="auto"/>
            <w:shd w:val="clear" w:color="auto" w:fill="auto"/>
          </w:tcPr>
          <w:p w14:paraId="26689A32" w14:textId="77777777" w:rsidR="008C5CFA" w:rsidRPr="009C3005" w:rsidRDefault="00E82A60" w:rsidP="00300A01">
            <w:pPr>
              <w:pStyle w:val="Text1"/>
              <w:spacing w:before="0" w:after="0"/>
              <w:ind w:left="0"/>
              <w:jc w:val="right"/>
              <w:rPr>
                <w:sz w:val="12"/>
                <w:szCs w:val="12"/>
              </w:rPr>
            </w:pPr>
            <w:r w:rsidRPr="009C3005">
              <w:rPr>
                <w:noProof/>
                <w:sz w:val="12"/>
                <w:szCs w:val="12"/>
              </w:rPr>
              <w:t>11 335 067,77</w:t>
            </w:r>
          </w:p>
        </w:tc>
        <w:tc>
          <w:tcPr>
            <w:tcW w:w="0" w:type="auto"/>
            <w:shd w:val="clear" w:color="auto" w:fill="auto"/>
          </w:tcPr>
          <w:p w14:paraId="15F040B7" w14:textId="77777777" w:rsidR="008C5CFA" w:rsidRPr="009C3005" w:rsidRDefault="00E82A60" w:rsidP="00300A01">
            <w:pPr>
              <w:pStyle w:val="Text1"/>
              <w:spacing w:before="0" w:after="0"/>
              <w:ind w:left="0"/>
              <w:jc w:val="right"/>
              <w:rPr>
                <w:sz w:val="12"/>
                <w:szCs w:val="12"/>
              </w:rPr>
            </w:pPr>
            <w:r w:rsidRPr="009C3005">
              <w:rPr>
                <w:noProof/>
                <w:sz w:val="12"/>
                <w:szCs w:val="12"/>
              </w:rPr>
              <w:t>11 503 170,95</w:t>
            </w:r>
          </w:p>
        </w:tc>
        <w:tc>
          <w:tcPr>
            <w:tcW w:w="0" w:type="auto"/>
            <w:shd w:val="clear" w:color="auto" w:fill="auto"/>
          </w:tcPr>
          <w:p w14:paraId="3CEF6A12" w14:textId="77777777" w:rsidR="008C5CFA" w:rsidRPr="009C3005" w:rsidRDefault="00E82A60" w:rsidP="00300A01">
            <w:pPr>
              <w:pStyle w:val="Text1"/>
              <w:spacing w:before="0" w:after="0"/>
              <w:ind w:left="0"/>
              <w:jc w:val="right"/>
              <w:rPr>
                <w:sz w:val="12"/>
                <w:szCs w:val="12"/>
              </w:rPr>
            </w:pPr>
            <w:r w:rsidRPr="009C3005">
              <w:rPr>
                <w:noProof/>
                <w:sz w:val="12"/>
                <w:szCs w:val="12"/>
              </w:rPr>
              <w:t>19</w:t>
            </w:r>
          </w:p>
        </w:tc>
      </w:tr>
      <w:tr w:rsidR="006B2EC1" w14:paraId="1DFEEA8E" w14:textId="77777777" w:rsidTr="0047688D">
        <w:tc>
          <w:tcPr>
            <w:tcW w:w="0" w:type="auto"/>
            <w:shd w:val="clear" w:color="auto" w:fill="auto"/>
          </w:tcPr>
          <w:p w14:paraId="6F8B9C79" w14:textId="77777777" w:rsidR="008C5CFA" w:rsidRPr="009C3005" w:rsidRDefault="00E82A60" w:rsidP="00300A01">
            <w:pPr>
              <w:pStyle w:val="Text1"/>
              <w:spacing w:before="0" w:after="0"/>
              <w:ind w:left="0"/>
              <w:rPr>
                <w:sz w:val="12"/>
                <w:szCs w:val="12"/>
              </w:rPr>
            </w:pPr>
            <w:r>
              <w:rPr>
                <w:noProof/>
                <w:sz w:val="14"/>
                <w:szCs w:val="14"/>
                <w:lang w:val="fr-BE"/>
              </w:rPr>
              <w:t>10</w:t>
            </w:r>
          </w:p>
        </w:tc>
        <w:tc>
          <w:tcPr>
            <w:tcW w:w="0" w:type="auto"/>
            <w:shd w:val="clear" w:color="auto" w:fill="auto"/>
          </w:tcPr>
          <w:p w14:paraId="59FECEC2" w14:textId="77777777" w:rsidR="008C5CFA" w:rsidRPr="009C3005" w:rsidRDefault="00E82A60" w:rsidP="00300A01">
            <w:pPr>
              <w:pStyle w:val="Text1"/>
              <w:spacing w:before="0" w:after="0"/>
              <w:ind w:left="0"/>
              <w:rPr>
                <w:sz w:val="12"/>
                <w:szCs w:val="12"/>
              </w:rPr>
            </w:pPr>
            <w:r>
              <w:rPr>
                <w:noProof/>
                <w:sz w:val="12"/>
                <w:szCs w:val="12"/>
              </w:rPr>
              <w:t>EFS</w:t>
            </w:r>
          </w:p>
        </w:tc>
        <w:tc>
          <w:tcPr>
            <w:tcW w:w="0" w:type="auto"/>
            <w:shd w:val="clear" w:color="auto" w:fill="auto"/>
          </w:tcPr>
          <w:p w14:paraId="1F4ECB9C" w14:textId="77777777" w:rsidR="008C5CFA" w:rsidRPr="009C3005" w:rsidRDefault="00E82A60" w:rsidP="00300A01">
            <w:pPr>
              <w:pStyle w:val="Text1"/>
              <w:spacing w:before="0" w:after="0"/>
              <w:ind w:left="0"/>
              <w:rPr>
                <w:sz w:val="12"/>
                <w:szCs w:val="12"/>
              </w:rPr>
            </w:pPr>
            <w:r>
              <w:rPr>
                <w:noProof/>
                <w:sz w:val="12"/>
                <w:szCs w:val="12"/>
              </w:rPr>
              <w:t>Słabiej rozwinięte</w:t>
            </w:r>
          </w:p>
        </w:tc>
        <w:tc>
          <w:tcPr>
            <w:tcW w:w="0" w:type="auto"/>
            <w:shd w:val="clear" w:color="auto" w:fill="auto"/>
          </w:tcPr>
          <w:p w14:paraId="2CE5DF10" w14:textId="77777777" w:rsidR="008C5CFA" w:rsidRPr="009C3005" w:rsidRDefault="00E82A60" w:rsidP="00300A01">
            <w:pPr>
              <w:pStyle w:val="Text1"/>
              <w:spacing w:before="0" w:after="0"/>
              <w:ind w:left="0"/>
              <w:rPr>
                <w:sz w:val="12"/>
                <w:szCs w:val="12"/>
              </w:rPr>
            </w:pPr>
            <w:r>
              <w:rPr>
                <w:noProof/>
                <w:sz w:val="12"/>
                <w:szCs w:val="12"/>
              </w:rPr>
              <w:t>104</w:t>
            </w:r>
          </w:p>
        </w:tc>
        <w:tc>
          <w:tcPr>
            <w:tcW w:w="0" w:type="auto"/>
            <w:shd w:val="clear" w:color="auto" w:fill="auto"/>
          </w:tcPr>
          <w:p w14:paraId="09AB35EB"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08402854"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2057DB96"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658FBE64" w14:textId="77777777" w:rsidR="008C5CFA" w:rsidRPr="009C3005" w:rsidRDefault="008C5CFA" w:rsidP="00300A01">
            <w:pPr>
              <w:pStyle w:val="Text1"/>
              <w:spacing w:before="0" w:after="0"/>
              <w:ind w:left="0"/>
              <w:rPr>
                <w:sz w:val="12"/>
                <w:szCs w:val="12"/>
              </w:rPr>
            </w:pPr>
          </w:p>
        </w:tc>
        <w:tc>
          <w:tcPr>
            <w:tcW w:w="0" w:type="auto"/>
            <w:shd w:val="clear" w:color="auto" w:fill="auto"/>
          </w:tcPr>
          <w:p w14:paraId="5687E54F" w14:textId="77777777" w:rsidR="008C5CFA" w:rsidRPr="009C3005" w:rsidRDefault="00E82A60" w:rsidP="00300A01">
            <w:pPr>
              <w:pStyle w:val="Text1"/>
              <w:spacing w:before="0" w:after="0"/>
              <w:ind w:left="0"/>
              <w:rPr>
                <w:sz w:val="12"/>
                <w:szCs w:val="12"/>
              </w:rPr>
            </w:pPr>
            <w:r>
              <w:rPr>
                <w:noProof/>
                <w:sz w:val="12"/>
                <w:szCs w:val="12"/>
              </w:rPr>
              <w:t>08</w:t>
            </w:r>
            <w:r>
              <w:rPr>
                <w:sz w:val="12"/>
                <w:szCs w:val="12"/>
              </w:rPr>
              <w:t xml:space="preserve"> </w:t>
            </w:r>
          </w:p>
        </w:tc>
        <w:tc>
          <w:tcPr>
            <w:tcW w:w="0" w:type="auto"/>
            <w:shd w:val="clear" w:color="auto" w:fill="auto"/>
          </w:tcPr>
          <w:p w14:paraId="3674DF84" w14:textId="77777777" w:rsidR="008C5CFA" w:rsidRPr="009C3005" w:rsidRDefault="00E82A60" w:rsidP="00300A01">
            <w:pPr>
              <w:pStyle w:val="Text1"/>
              <w:spacing w:before="0" w:after="0"/>
              <w:ind w:left="0"/>
              <w:rPr>
                <w:sz w:val="12"/>
                <w:szCs w:val="12"/>
              </w:rPr>
            </w:pPr>
            <w:r>
              <w:rPr>
                <w:noProof/>
                <w:sz w:val="12"/>
                <w:szCs w:val="12"/>
              </w:rPr>
              <w:t>21</w:t>
            </w:r>
          </w:p>
        </w:tc>
        <w:tc>
          <w:tcPr>
            <w:tcW w:w="0" w:type="auto"/>
            <w:shd w:val="clear" w:color="auto" w:fill="auto"/>
          </w:tcPr>
          <w:p w14:paraId="3CAFA04C" w14:textId="77777777" w:rsidR="008C5CFA" w:rsidRPr="009C3005" w:rsidRDefault="00E82A60" w:rsidP="00300A01">
            <w:pPr>
              <w:pStyle w:val="Text1"/>
              <w:spacing w:before="0" w:after="0"/>
              <w:ind w:left="0"/>
              <w:rPr>
                <w:sz w:val="12"/>
                <w:szCs w:val="12"/>
              </w:rPr>
            </w:pPr>
            <w:r>
              <w:rPr>
                <w:noProof/>
                <w:sz w:val="12"/>
                <w:szCs w:val="12"/>
              </w:rPr>
              <w:t>PL33</w:t>
            </w:r>
          </w:p>
        </w:tc>
        <w:tc>
          <w:tcPr>
            <w:tcW w:w="0" w:type="auto"/>
            <w:shd w:val="clear" w:color="auto" w:fill="auto"/>
          </w:tcPr>
          <w:p w14:paraId="38A5592E" w14:textId="77777777" w:rsidR="008C5CFA" w:rsidRPr="009C3005" w:rsidRDefault="00E82A60" w:rsidP="00300A01">
            <w:pPr>
              <w:pStyle w:val="Text1"/>
              <w:spacing w:before="0" w:after="0"/>
              <w:ind w:left="0"/>
              <w:jc w:val="right"/>
              <w:rPr>
                <w:sz w:val="12"/>
                <w:szCs w:val="12"/>
              </w:rPr>
            </w:pPr>
            <w:r w:rsidRPr="009C3005">
              <w:rPr>
                <w:noProof/>
                <w:sz w:val="12"/>
                <w:szCs w:val="12"/>
              </w:rPr>
              <w:t>1 205 941,50</w:t>
            </w:r>
          </w:p>
        </w:tc>
        <w:tc>
          <w:tcPr>
            <w:tcW w:w="0" w:type="auto"/>
            <w:shd w:val="clear" w:color="auto" w:fill="auto"/>
          </w:tcPr>
          <w:p w14:paraId="3A5AFDD2" w14:textId="77777777" w:rsidR="008C5CFA" w:rsidRPr="009C3005" w:rsidRDefault="00E82A60" w:rsidP="00300A01">
            <w:pPr>
              <w:pStyle w:val="Text1"/>
              <w:spacing w:before="0" w:after="0"/>
              <w:ind w:left="0"/>
              <w:jc w:val="right"/>
              <w:rPr>
                <w:sz w:val="12"/>
                <w:szCs w:val="12"/>
              </w:rPr>
            </w:pPr>
            <w:r w:rsidRPr="009C3005">
              <w:rPr>
                <w:noProof/>
                <w:sz w:val="12"/>
                <w:szCs w:val="12"/>
              </w:rPr>
              <w:t>1 180 882,99</w:t>
            </w:r>
          </w:p>
        </w:tc>
        <w:tc>
          <w:tcPr>
            <w:tcW w:w="0" w:type="auto"/>
            <w:shd w:val="clear" w:color="auto" w:fill="auto"/>
          </w:tcPr>
          <w:p w14:paraId="4FC83F66" w14:textId="77777777" w:rsidR="008C5CFA" w:rsidRPr="009C3005" w:rsidRDefault="00E82A60" w:rsidP="00300A01">
            <w:pPr>
              <w:pStyle w:val="Text1"/>
              <w:spacing w:before="0" w:after="0"/>
              <w:ind w:left="0"/>
              <w:jc w:val="right"/>
              <w:rPr>
                <w:sz w:val="12"/>
                <w:szCs w:val="12"/>
              </w:rPr>
            </w:pPr>
            <w:r w:rsidRPr="009C3005">
              <w:rPr>
                <w:noProof/>
                <w:sz w:val="12"/>
                <w:szCs w:val="12"/>
              </w:rPr>
              <w:t>1 195 199,44</w:t>
            </w:r>
          </w:p>
        </w:tc>
        <w:tc>
          <w:tcPr>
            <w:tcW w:w="0" w:type="auto"/>
            <w:shd w:val="clear" w:color="auto" w:fill="auto"/>
          </w:tcPr>
          <w:p w14:paraId="50350B4A" w14:textId="77777777" w:rsidR="008C5CFA" w:rsidRPr="009C3005" w:rsidRDefault="00E82A60" w:rsidP="00300A01">
            <w:pPr>
              <w:pStyle w:val="Text1"/>
              <w:spacing w:before="0" w:after="0"/>
              <w:ind w:left="0"/>
              <w:jc w:val="right"/>
              <w:rPr>
                <w:sz w:val="12"/>
                <w:szCs w:val="12"/>
              </w:rPr>
            </w:pPr>
            <w:r w:rsidRPr="009C3005">
              <w:rPr>
                <w:noProof/>
                <w:sz w:val="12"/>
                <w:szCs w:val="12"/>
              </w:rPr>
              <w:t>3</w:t>
            </w:r>
          </w:p>
        </w:tc>
      </w:tr>
      <w:tr w:rsidR="006B2EC1" w14:paraId="6C666E19" w14:textId="77777777" w:rsidTr="0047688D">
        <w:tc>
          <w:tcPr>
            <w:tcW w:w="0" w:type="auto"/>
            <w:shd w:val="clear" w:color="auto" w:fill="auto"/>
          </w:tcPr>
          <w:p w14:paraId="577906CD" w14:textId="77777777" w:rsidR="008C5CFA" w:rsidRPr="009C3005" w:rsidRDefault="00E82A60" w:rsidP="00300A01">
            <w:pPr>
              <w:pStyle w:val="Text1"/>
              <w:spacing w:before="0" w:after="0"/>
              <w:ind w:left="0"/>
              <w:rPr>
                <w:sz w:val="12"/>
                <w:szCs w:val="12"/>
              </w:rPr>
            </w:pPr>
            <w:r>
              <w:rPr>
                <w:noProof/>
                <w:sz w:val="14"/>
                <w:szCs w:val="14"/>
                <w:lang w:val="fr-BE"/>
              </w:rPr>
              <w:t>10</w:t>
            </w:r>
          </w:p>
        </w:tc>
        <w:tc>
          <w:tcPr>
            <w:tcW w:w="0" w:type="auto"/>
            <w:shd w:val="clear" w:color="auto" w:fill="auto"/>
          </w:tcPr>
          <w:p w14:paraId="5906CFAC" w14:textId="77777777" w:rsidR="008C5CFA" w:rsidRPr="009C3005" w:rsidRDefault="00E82A60" w:rsidP="00300A01">
            <w:pPr>
              <w:pStyle w:val="Text1"/>
              <w:spacing w:before="0" w:after="0"/>
              <w:ind w:left="0"/>
              <w:rPr>
                <w:sz w:val="12"/>
                <w:szCs w:val="12"/>
              </w:rPr>
            </w:pPr>
            <w:r>
              <w:rPr>
                <w:noProof/>
                <w:sz w:val="12"/>
                <w:szCs w:val="12"/>
              </w:rPr>
              <w:t>EFS</w:t>
            </w:r>
          </w:p>
        </w:tc>
        <w:tc>
          <w:tcPr>
            <w:tcW w:w="0" w:type="auto"/>
            <w:shd w:val="clear" w:color="auto" w:fill="auto"/>
          </w:tcPr>
          <w:p w14:paraId="7559D438" w14:textId="77777777" w:rsidR="008C5CFA" w:rsidRPr="009C3005" w:rsidRDefault="00E82A60" w:rsidP="00300A01">
            <w:pPr>
              <w:pStyle w:val="Text1"/>
              <w:spacing w:before="0" w:after="0"/>
              <w:ind w:left="0"/>
              <w:rPr>
                <w:sz w:val="12"/>
                <w:szCs w:val="12"/>
              </w:rPr>
            </w:pPr>
            <w:r>
              <w:rPr>
                <w:noProof/>
                <w:sz w:val="12"/>
                <w:szCs w:val="12"/>
              </w:rPr>
              <w:t>Słabiej rozwinięte</w:t>
            </w:r>
          </w:p>
        </w:tc>
        <w:tc>
          <w:tcPr>
            <w:tcW w:w="0" w:type="auto"/>
            <w:shd w:val="clear" w:color="auto" w:fill="auto"/>
          </w:tcPr>
          <w:p w14:paraId="122F6747" w14:textId="77777777" w:rsidR="008C5CFA" w:rsidRPr="009C3005" w:rsidRDefault="00E82A60" w:rsidP="00300A01">
            <w:pPr>
              <w:pStyle w:val="Text1"/>
              <w:spacing w:before="0" w:after="0"/>
              <w:ind w:left="0"/>
              <w:rPr>
                <w:sz w:val="12"/>
                <w:szCs w:val="12"/>
              </w:rPr>
            </w:pPr>
            <w:r>
              <w:rPr>
                <w:noProof/>
                <w:sz w:val="12"/>
                <w:szCs w:val="12"/>
              </w:rPr>
              <w:t>104</w:t>
            </w:r>
          </w:p>
        </w:tc>
        <w:tc>
          <w:tcPr>
            <w:tcW w:w="0" w:type="auto"/>
            <w:shd w:val="clear" w:color="auto" w:fill="auto"/>
          </w:tcPr>
          <w:p w14:paraId="3F99B6E1"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0709B666"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1AA726AC"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19835021" w14:textId="77777777" w:rsidR="008C5CFA" w:rsidRPr="009C3005" w:rsidRDefault="008C5CFA" w:rsidP="00300A01">
            <w:pPr>
              <w:pStyle w:val="Text1"/>
              <w:spacing w:before="0" w:after="0"/>
              <w:ind w:left="0"/>
              <w:rPr>
                <w:sz w:val="12"/>
                <w:szCs w:val="12"/>
              </w:rPr>
            </w:pPr>
          </w:p>
        </w:tc>
        <w:tc>
          <w:tcPr>
            <w:tcW w:w="0" w:type="auto"/>
            <w:shd w:val="clear" w:color="auto" w:fill="auto"/>
          </w:tcPr>
          <w:p w14:paraId="5DA5CBF1" w14:textId="77777777" w:rsidR="008C5CFA" w:rsidRPr="009C3005" w:rsidRDefault="00E82A60" w:rsidP="00300A01">
            <w:pPr>
              <w:pStyle w:val="Text1"/>
              <w:spacing w:before="0" w:after="0"/>
              <w:ind w:left="0"/>
              <w:rPr>
                <w:sz w:val="12"/>
                <w:szCs w:val="12"/>
              </w:rPr>
            </w:pPr>
            <w:r>
              <w:rPr>
                <w:noProof/>
                <w:sz w:val="12"/>
                <w:szCs w:val="12"/>
              </w:rPr>
              <w:t>08</w:t>
            </w:r>
            <w:r>
              <w:rPr>
                <w:sz w:val="12"/>
                <w:szCs w:val="12"/>
              </w:rPr>
              <w:t xml:space="preserve"> </w:t>
            </w:r>
          </w:p>
        </w:tc>
        <w:tc>
          <w:tcPr>
            <w:tcW w:w="0" w:type="auto"/>
            <w:shd w:val="clear" w:color="auto" w:fill="auto"/>
          </w:tcPr>
          <w:p w14:paraId="3C8DC11B" w14:textId="77777777" w:rsidR="008C5CFA" w:rsidRPr="009C3005" w:rsidRDefault="00E82A60" w:rsidP="00300A01">
            <w:pPr>
              <w:pStyle w:val="Text1"/>
              <w:spacing w:before="0" w:after="0"/>
              <w:ind w:left="0"/>
              <w:rPr>
                <w:sz w:val="12"/>
                <w:szCs w:val="12"/>
              </w:rPr>
            </w:pPr>
            <w:r>
              <w:rPr>
                <w:noProof/>
                <w:sz w:val="12"/>
                <w:szCs w:val="12"/>
              </w:rPr>
              <w:t>24</w:t>
            </w:r>
          </w:p>
        </w:tc>
        <w:tc>
          <w:tcPr>
            <w:tcW w:w="0" w:type="auto"/>
            <w:shd w:val="clear" w:color="auto" w:fill="auto"/>
          </w:tcPr>
          <w:p w14:paraId="2535F982" w14:textId="77777777" w:rsidR="008C5CFA" w:rsidRPr="009C3005" w:rsidRDefault="00E82A60" w:rsidP="00300A01">
            <w:pPr>
              <w:pStyle w:val="Text1"/>
              <w:spacing w:before="0" w:after="0"/>
              <w:ind w:left="0"/>
              <w:rPr>
                <w:sz w:val="12"/>
                <w:szCs w:val="12"/>
              </w:rPr>
            </w:pPr>
            <w:r>
              <w:rPr>
                <w:noProof/>
                <w:sz w:val="12"/>
                <w:szCs w:val="12"/>
              </w:rPr>
              <w:t>PL33</w:t>
            </w:r>
          </w:p>
        </w:tc>
        <w:tc>
          <w:tcPr>
            <w:tcW w:w="0" w:type="auto"/>
            <w:shd w:val="clear" w:color="auto" w:fill="auto"/>
          </w:tcPr>
          <w:p w14:paraId="22B1BBC2" w14:textId="77777777" w:rsidR="008C5CFA" w:rsidRPr="009C3005" w:rsidRDefault="00E82A60" w:rsidP="00300A01">
            <w:pPr>
              <w:pStyle w:val="Text1"/>
              <w:spacing w:before="0" w:after="0"/>
              <w:ind w:left="0"/>
              <w:jc w:val="right"/>
              <w:rPr>
                <w:sz w:val="12"/>
                <w:szCs w:val="12"/>
              </w:rPr>
            </w:pPr>
            <w:r w:rsidRPr="009C3005">
              <w:rPr>
                <w:noProof/>
                <w:sz w:val="12"/>
                <w:szCs w:val="12"/>
              </w:rPr>
              <w:t>14 975 438,80</w:t>
            </w:r>
          </w:p>
        </w:tc>
        <w:tc>
          <w:tcPr>
            <w:tcW w:w="0" w:type="auto"/>
            <w:shd w:val="clear" w:color="auto" w:fill="auto"/>
          </w:tcPr>
          <w:p w14:paraId="177CB88D" w14:textId="77777777" w:rsidR="008C5CFA" w:rsidRPr="009C3005" w:rsidRDefault="00E82A60" w:rsidP="00300A01">
            <w:pPr>
              <w:pStyle w:val="Text1"/>
              <w:spacing w:before="0" w:after="0"/>
              <w:ind w:left="0"/>
              <w:jc w:val="right"/>
              <w:rPr>
                <w:sz w:val="12"/>
                <w:szCs w:val="12"/>
              </w:rPr>
            </w:pPr>
            <w:r w:rsidRPr="009C3005">
              <w:rPr>
                <w:noProof/>
                <w:sz w:val="12"/>
                <w:szCs w:val="12"/>
              </w:rPr>
              <w:t>14 638 530,35</w:t>
            </w:r>
          </w:p>
        </w:tc>
        <w:tc>
          <w:tcPr>
            <w:tcW w:w="0" w:type="auto"/>
            <w:shd w:val="clear" w:color="auto" w:fill="auto"/>
          </w:tcPr>
          <w:p w14:paraId="26C0C01B" w14:textId="77777777" w:rsidR="008C5CFA" w:rsidRPr="009C3005" w:rsidRDefault="00E82A60" w:rsidP="00300A01">
            <w:pPr>
              <w:pStyle w:val="Text1"/>
              <w:spacing w:before="0" w:after="0"/>
              <w:ind w:left="0"/>
              <w:jc w:val="right"/>
              <w:rPr>
                <w:sz w:val="12"/>
                <w:szCs w:val="12"/>
              </w:rPr>
            </w:pPr>
            <w:r w:rsidRPr="009C3005">
              <w:rPr>
                <w:noProof/>
                <w:sz w:val="12"/>
                <w:szCs w:val="12"/>
              </w:rPr>
              <w:t>14 782 150,27</w:t>
            </w:r>
          </w:p>
        </w:tc>
        <w:tc>
          <w:tcPr>
            <w:tcW w:w="0" w:type="auto"/>
            <w:shd w:val="clear" w:color="auto" w:fill="auto"/>
          </w:tcPr>
          <w:p w14:paraId="4B969F34" w14:textId="77777777" w:rsidR="008C5CFA" w:rsidRPr="009C3005" w:rsidRDefault="00E82A60" w:rsidP="00300A01">
            <w:pPr>
              <w:pStyle w:val="Text1"/>
              <w:spacing w:before="0" w:after="0"/>
              <w:ind w:left="0"/>
              <w:jc w:val="right"/>
              <w:rPr>
                <w:sz w:val="12"/>
                <w:szCs w:val="12"/>
              </w:rPr>
            </w:pPr>
            <w:r w:rsidRPr="009C3005">
              <w:rPr>
                <w:noProof/>
                <w:sz w:val="12"/>
                <w:szCs w:val="12"/>
              </w:rPr>
              <w:t>20</w:t>
            </w:r>
          </w:p>
        </w:tc>
      </w:tr>
      <w:tr w:rsidR="006B2EC1" w14:paraId="25FD2FB5" w14:textId="77777777" w:rsidTr="0047688D">
        <w:tc>
          <w:tcPr>
            <w:tcW w:w="0" w:type="auto"/>
            <w:shd w:val="clear" w:color="auto" w:fill="auto"/>
          </w:tcPr>
          <w:p w14:paraId="309A979D" w14:textId="77777777" w:rsidR="008C5CFA" w:rsidRPr="009C3005" w:rsidRDefault="00E82A60" w:rsidP="00300A01">
            <w:pPr>
              <w:pStyle w:val="Text1"/>
              <w:spacing w:before="0" w:after="0"/>
              <w:ind w:left="0"/>
              <w:rPr>
                <w:sz w:val="12"/>
                <w:szCs w:val="12"/>
              </w:rPr>
            </w:pPr>
            <w:r>
              <w:rPr>
                <w:noProof/>
                <w:sz w:val="14"/>
                <w:szCs w:val="14"/>
                <w:lang w:val="fr-BE"/>
              </w:rPr>
              <w:t>10</w:t>
            </w:r>
          </w:p>
        </w:tc>
        <w:tc>
          <w:tcPr>
            <w:tcW w:w="0" w:type="auto"/>
            <w:shd w:val="clear" w:color="auto" w:fill="auto"/>
          </w:tcPr>
          <w:p w14:paraId="35B7367B" w14:textId="77777777" w:rsidR="008C5CFA" w:rsidRPr="009C3005" w:rsidRDefault="00E82A60" w:rsidP="00300A01">
            <w:pPr>
              <w:pStyle w:val="Text1"/>
              <w:spacing w:before="0" w:after="0"/>
              <w:ind w:left="0"/>
              <w:rPr>
                <w:sz w:val="12"/>
                <w:szCs w:val="12"/>
              </w:rPr>
            </w:pPr>
            <w:r>
              <w:rPr>
                <w:noProof/>
                <w:sz w:val="12"/>
                <w:szCs w:val="12"/>
              </w:rPr>
              <w:t>EFS</w:t>
            </w:r>
          </w:p>
        </w:tc>
        <w:tc>
          <w:tcPr>
            <w:tcW w:w="0" w:type="auto"/>
            <w:shd w:val="clear" w:color="auto" w:fill="auto"/>
          </w:tcPr>
          <w:p w14:paraId="50B1DB5C" w14:textId="77777777" w:rsidR="008C5CFA" w:rsidRPr="009C3005" w:rsidRDefault="00E82A60" w:rsidP="00300A01">
            <w:pPr>
              <w:pStyle w:val="Text1"/>
              <w:spacing w:before="0" w:after="0"/>
              <w:ind w:left="0"/>
              <w:rPr>
                <w:sz w:val="12"/>
                <w:szCs w:val="12"/>
              </w:rPr>
            </w:pPr>
            <w:r>
              <w:rPr>
                <w:noProof/>
                <w:sz w:val="12"/>
                <w:szCs w:val="12"/>
              </w:rPr>
              <w:t>Słabiej rozwinięte</w:t>
            </w:r>
          </w:p>
        </w:tc>
        <w:tc>
          <w:tcPr>
            <w:tcW w:w="0" w:type="auto"/>
            <w:shd w:val="clear" w:color="auto" w:fill="auto"/>
          </w:tcPr>
          <w:p w14:paraId="5239279F" w14:textId="77777777" w:rsidR="008C5CFA" w:rsidRPr="009C3005" w:rsidRDefault="00E82A60" w:rsidP="00300A01">
            <w:pPr>
              <w:pStyle w:val="Text1"/>
              <w:spacing w:before="0" w:after="0"/>
              <w:ind w:left="0"/>
              <w:rPr>
                <w:sz w:val="12"/>
                <w:szCs w:val="12"/>
              </w:rPr>
            </w:pPr>
            <w:r>
              <w:rPr>
                <w:noProof/>
                <w:sz w:val="12"/>
                <w:szCs w:val="12"/>
              </w:rPr>
              <w:t>104</w:t>
            </w:r>
          </w:p>
        </w:tc>
        <w:tc>
          <w:tcPr>
            <w:tcW w:w="0" w:type="auto"/>
            <w:shd w:val="clear" w:color="auto" w:fill="auto"/>
          </w:tcPr>
          <w:p w14:paraId="75B1D85F" w14:textId="77777777" w:rsidR="008C5CFA" w:rsidRPr="009C3005" w:rsidRDefault="00E82A60" w:rsidP="00300A01">
            <w:pPr>
              <w:pStyle w:val="Text1"/>
              <w:spacing w:before="0" w:after="0"/>
              <w:ind w:left="0"/>
              <w:rPr>
                <w:sz w:val="12"/>
                <w:szCs w:val="12"/>
              </w:rPr>
            </w:pPr>
            <w:r>
              <w:rPr>
                <w:noProof/>
                <w:sz w:val="12"/>
                <w:szCs w:val="12"/>
              </w:rPr>
              <w:t>04</w:t>
            </w:r>
          </w:p>
        </w:tc>
        <w:tc>
          <w:tcPr>
            <w:tcW w:w="0" w:type="auto"/>
            <w:shd w:val="clear" w:color="auto" w:fill="auto"/>
          </w:tcPr>
          <w:p w14:paraId="42C6BE01"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5D741230"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48EAB5DF" w14:textId="77777777" w:rsidR="008C5CFA" w:rsidRPr="009C3005" w:rsidRDefault="008C5CFA" w:rsidP="00300A01">
            <w:pPr>
              <w:pStyle w:val="Text1"/>
              <w:spacing w:before="0" w:after="0"/>
              <w:ind w:left="0"/>
              <w:rPr>
                <w:sz w:val="12"/>
                <w:szCs w:val="12"/>
              </w:rPr>
            </w:pPr>
          </w:p>
        </w:tc>
        <w:tc>
          <w:tcPr>
            <w:tcW w:w="0" w:type="auto"/>
            <w:shd w:val="clear" w:color="auto" w:fill="auto"/>
          </w:tcPr>
          <w:p w14:paraId="6F4FFE35" w14:textId="77777777" w:rsidR="008C5CFA" w:rsidRPr="009C3005" w:rsidRDefault="00E82A60" w:rsidP="00300A01">
            <w:pPr>
              <w:pStyle w:val="Text1"/>
              <w:spacing w:before="0" w:after="0"/>
              <w:ind w:left="0"/>
              <w:rPr>
                <w:sz w:val="12"/>
                <w:szCs w:val="12"/>
              </w:rPr>
            </w:pPr>
            <w:r>
              <w:rPr>
                <w:noProof/>
                <w:sz w:val="12"/>
                <w:szCs w:val="12"/>
              </w:rPr>
              <w:t>08</w:t>
            </w:r>
            <w:r>
              <w:rPr>
                <w:sz w:val="12"/>
                <w:szCs w:val="12"/>
              </w:rPr>
              <w:t xml:space="preserve"> </w:t>
            </w:r>
          </w:p>
        </w:tc>
        <w:tc>
          <w:tcPr>
            <w:tcW w:w="0" w:type="auto"/>
            <w:shd w:val="clear" w:color="auto" w:fill="auto"/>
          </w:tcPr>
          <w:p w14:paraId="6AD81B0E" w14:textId="77777777" w:rsidR="008C5CFA" w:rsidRPr="009C3005" w:rsidRDefault="00E82A60" w:rsidP="00300A01">
            <w:pPr>
              <w:pStyle w:val="Text1"/>
              <w:spacing w:before="0" w:after="0"/>
              <w:ind w:left="0"/>
              <w:rPr>
                <w:sz w:val="12"/>
                <w:szCs w:val="12"/>
              </w:rPr>
            </w:pPr>
            <w:r>
              <w:rPr>
                <w:noProof/>
                <w:sz w:val="12"/>
                <w:szCs w:val="12"/>
              </w:rPr>
              <w:t>16</w:t>
            </w:r>
          </w:p>
        </w:tc>
        <w:tc>
          <w:tcPr>
            <w:tcW w:w="0" w:type="auto"/>
            <w:shd w:val="clear" w:color="auto" w:fill="auto"/>
          </w:tcPr>
          <w:p w14:paraId="7F92E630" w14:textId="77777777" w:rsidR="008C5CFA" w:rsidRPr="009C3005" w:rsidRDefault="00E82A60" w:rsidP="00300A01">
            <w:pPr>
              <w:pStyle w:val="Text1"/>
              <w:spacing w:before="0" w:after="0"/>
              <w:ind w:left="0"/>
              <w:rPr>
                <w:sz w:val="12"/>
                <w:szCs w:val="12"/>
              </w:rPr>
            </w:pPr>
            <w:r>
              <w:rPr>
                <w:noProof/>
                <w:sz w:val="12"/>
                <w:szCs w:val="12"/>
              </w:rPr>
              <w:t>PL33</w:t>
            </w:r>
          </w:p>
        </w:tc>
        <w:tc>
          <w:tcPr>
            <w:tcW w:w="0" w:type="auto"/>
            <w:shd w:val="clear" w:color="auto" w:fill="auto"/>
          </w:tcPr>
          <w:p w14:paraId="4195B440" w14:textId="77777777" w:rsidR="008C5CFA" w:rsidRPr="009C3005" w:rsidRDefault="00E82A60" w:rsidP="00300A01">
            <w:pPr>
              <w:pStyle w:val="Text1"/>
              <w:spacing w:before="0" w:after="0"/>
              <w:ind w:left="0"/>
              <w:jc w:val="right"/>
              <w:rPr>
                <w:sz w:val="12"/>
                <w:szCs w:val="12"/>
              </w:rPr>
            </w:pPr>
            <w:r w:rsidRPr="009C3005">
              <w:rPr>
                <w:noProof/>
                <w:sz w:val="12"/>
                <w:szCs w:val="12"/>
              </w:rPr>
              <w:t>9 376 427,73</w:t>
            </w:r>
          </w:p>
        </w:tc>
        <w:tc>
          <w:tcPr>
            <w:tcW w:w="0" w:type="auto"/>
            <w:shd w:val="clear" w:color="auto" w:fill="auto"/>
          </w:tcPr>
          <w:p w14:paraId="2730DBFC" w14:textId="77777777" w:rsidR="008C5CFA" w:rsidRPr="009C3005" w:rsidRDefault="00E82A60" w:rsidP="00300A01">
            <w:pPr>
              <w:pStyle w:val="Text1"/>
              <w:spacing w:before="0" w:after="0"/>
              <w:ind w:left="0"/>
              <w:jc w:val="right"/>
              <w:rPr>
                <w:sz w:val="12"/>
                <w:szCs w:val="12"/>
              </w:rPr>
            </w:pPr>
            <w:r w:rsidRPr="009C3005">
              <w:rPr>
                <w:noProof/>
                <w:sz w:val="12"/>
                <w:szCs w:val="12"/>
              </w:rPr>
              <w:t>7 969 963,54</w:t>
            </w:r>
          </w:p>
        </w:tc>
        <w:tc>
          <w:tcPr>
            <w:tcW w:w="0" w:type="auto"/>
            <w:shd w:val="clear" w:color="auto" w:fill="auto"/>
          </w:tcPr>
          <w:p w14:paraId="18741922" w14:textId="77777777" w:rsidR="008C5CFA" w:rsidRPr="009C3005" w:rsidRDefault="00E82A60" w:rsidP="00300A01">
            <w:pPr>
              <w:pStyle w:val="Text1"/>
              <w:spacing w:before="0" w:after="0"/>
              <w:ind w:left="0"/>
              <w:jc w:val="right"/>
              <w:rPr>
                <w:sz w:val="12"/>
                <w:szCs w:val="12"/>
              </w:rPr>
            </w:pPr>
            <w:r w:rsidRPr="009C3005">
              <w:rPr>
                <w:noProof/>
                <w:sz w:val="12"/>
                <w:szCs w:val="12"/>
              </w:rPr>
              <w:t>2 344 106,93</w:t>
            </w:r>
          </w:p>
        </w:tc>
        <w:tc>
          <w:tcPr>
            <w:tcW w:w="0" w:type="auto"/>
            <w:shd w:val="clear" w:color="auto" w:fill="auto"/>
          </w:tcPr>
          <w:p w14:paraId="38F4E4E0" w14:textId="77777777" w:rsidR="008C5CFA" w:rsidRPr="009C3005" w:rsidRDefault="00E82A60" w:rsidP="00300A01">
            <w:pPr>
              <w:pStyle w:val="Text1"/>
              <w:spacing w:before="0" w:after="0"/>
              <w:ind w:left="0"/>
              <w:jc w:val="right"/>
              <w:rPr>
                <w:sz w:val="12"/>
                <w:szCs w:val="12"/>
              </w:rPr>
            </w:pPr>
            <w:r w:rsidRPr="009C3005">
              <w:rPr>
                <w:noProof/>
                <w:sz w:val="12"/>
                <w:szCs w:val="12"/>
              </w:rPr>
              <w:t>1</w:t>
            </w:r>
          </w:p>
        </w:tc>
      </w:tr>
      <w:tr w:rsidR="006B2EC1" w14:paraId="46BAC05F" w14:textId="77777777" w:rsidTr="0047688D">
        <w:tc>
          <w:tcPr>
            <w:tcW w:w="0" w:type="auto"/>
            <w:shd w:val="clear" w:color="auto" w:fill="auto"/>
          </w:tcPr>
          <w:p w14:paraId="7D1BED6B" w14:textId="77777777" w:rsidR="008C5CFA" w:rsidRPr="009C3005" w:rsidRDefault="00E82A60" w:rsidP="00300A01">
            <w:pPr>
              <w:pStyle w:val="Text1"/>
              <w:spacing w:before="0" w:after="0"/>
              <w:ind w:left="0"/>
              <w:rPr>
                <w:sz w:val="12"/>
                <w:szCs w:val="12"/>
              </w:rPr>
            </w:pPr>
            <w:r>
              <w:rPr>
                <w:noProof/>
                <w:sz w:val="14"/>
                <w:szCs w:val="14"/>
                <w:lang w:val="fr-BE"/>
              </w:rPr>
              <w:t>10</w:t>
            </w:r>
          </w:p>
        </w:tc>
        <w:tc>
          <w:tcPr>
            <w:tcW w:w="0" w:type="auto"/>
            <w:shd w:val="clear" w:color="auto" w:fill="auto"/>
          </w:tcPr>
          <w:p w14:paraId="33702AB1" w14:textId="77777777" w:rsidR="008C5CFA" w:rsidRPr="009C3005" w:rsidRDefault="00E82A60" w:rsidP="00300A01">
            <w:pPr>
              <w:pStyle w:val="Text1"/>
              <w:spacing w:before="0" w:after="0"/>
              <w:ind w:left="0"/>
              <w:rPr>
                <w:sz w:val="12"/>
                <w:szCs w:val="12"/>
              </w:rPr>
            </w:pPr>
            <w:r>
              <w:rPr>
                <w:noProof/>
                <w:sz w:val="12"/>
                <w:szCs w:val="12"/>
              </w:rPr>
              <w:t>EFS</w:t>
            </w:r>
          </w:p>
        </w:tc>
        <w:tc>
          <w:tcPr>
            <w:tcW w:w="0" w:type="auto"/>
            <w:shd w:val="clear" w:color="auto" w:fill="auto"/>
          </w:tcPr>
          <w:p w14:paraId="712295D9" w14:textId="77777777" w:rsidR="008C5CFA" w:rsidRPr="009C3005" w:rsidRDefault="00E82A60" w:rsidP="00300A01">
            <w:pPr>
              <w:pStyle w:val="Text1"/>
              <w:spacing w:before="0" w:after="0"/>
              <w:ind w:left="0"/>
              <w:rPr>
                <w:sz w:val="12"/>
                <w:szCs w:val="12"/>
              </w:rPr>
            </w:pPr>
            <w:r>
              <w:rPr>
                <w:noProof/>
                <w:sz w:val="12"/>
                <w:szCs w:val="12"/>
              </w:rPr>
              <w:t>Słabiej rozwinięte</w:t>
            </w:r>
          </w:p>
        </w:tc>
        <w:tc>
          <w:tcPr>
            <w:tcW w:w="0" w:type="auto"/>
            <w:shd w:val="clear" w:color="auto" w:fill="auto"/>
          </w:tcPr>
          <w:p w14:paraId="56DBA5F5" w14:textId="77777777" w:rsidR="008C5CFA" w:rsidRPr="009C3005" w:rsidRDefault="00E82A60" w:rsidP="00300A01">
            <w:pPr>
              <w:pStyle w:val="Text1"/>
              <w:spacing w:before="0" w:after="0"/>
              <w:ind w:left="0"/>
              <w:rPr>
                <w:sz w:val="12"/>
                <w:szCs w:val="12"/>
              </w:rPr>
            </w:pPr>
            <w:r>
              <w:rPr>
                <w:noProof/>
                <w:sz w:val="12"/>
                <w:szCs w:val="12"/>
              </w:rPr>
              <w:t>106</w:t>
            </w:r>
          </w:p>
        </w:tc>
        <w:tc>
          <w:tcPr>
            <w:tcW w:w="0" w:type="auto"/>
            <w:shd w:val="clear" w:color="auto" w:fill="auto"/>
          </w:tcPr>
          <w:p w14:paraId="437A9938"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5154E4CA"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40DA055B"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070C4416" w14:textId="77777777" w:rsidR="008C5CFA" w:rsidRPr="009C3005" w:rsidRDefault="008C5CFA" w:rsidP="00300A01">
            <w:pPr>
              <w:pStyle w:val="Text1"/>
              <w:spacing w:before="0" w:after="0"/>
              <w:ind w:left="0"/>
              <w:rPr>
                <w:sz w:val="12"/>
                <w:szCs w:val="12"/>
              </w:rPr>
            </w:pPr>
          </w:p>
        </w:tc>
        <w:tc>
          <w:tcPr>
            <w:tcW w:w="0" w:type="auto"/>
            <w:shd w:val="clear" w:color="auto" w:fill="auto"/>
          </w:tcPr>
          <w:p w14:paraId="7C9CB32A" w14:textId="77777777" w:rsidR="008C5CFA" w:rsidRPr="009C3005" w:rsidRDefault="00E82A60" w:rsidP="00300A01">
            <w:pPr>
              <w:pStyle w:val="Text1"/>
              <w:spacing w:before="0" w:after="0"/>
              <w:ind w:left="0"/>
              <w:rPr>
                <w:sz w:val="12"/>
                <w:szCs w:val="12"/>
              </w:rPr>
            </w:pPr>
            <w:r>
              <w:rPr>
                <w:noProof/>
                <w:sz w:val="12"/>
                <w:szCs w:val="12"/>
              </w:rPr>
              <w:t>08</w:t>
            </w:r>
            <w:r>
              <w:rPr>
                <w:sz w:val="12"/>
                <w:szCs w:val="12"/>
              </w:rPr>
              <w:t xml:space="preserve"> </w:t>
            </w:r>
          </w:p>
        </w:tc>
        <w:tc>
          <w:tcPr>
            <w:tcW w:w="0" w:type="auto"/>
            <w:shd w:val="clear" w:color="auto" w:fill="auto"/>
          </w:tcPr>
          <w:p w14:paraId="229254C9" w14:textId="77777777" w:rsidR="008C5CFA" w:rsidRPr="009C3005" w:rsidRDefault="00E82A60" w:rsidP="00300A01">
            <w:pPr>
              <w:pStyle w:val="Text1"/>
              <w:spacing w:before="0" w:after="0"/>
              <w:ind w:left="0"/>
              <w:rPr>
                <w:sz w:val="12"/>
                <w:szCs w:val="12"/>
              </w:rPr>
            </w:pPr>
            <w:r>
              <w:rPr>
                <w:noProof/>
                <w:sz w:val="12"/>
                <w:szCs w:val="12"/>
              </w:rPr>
              <w:t>24</w:t>
            </w:r>
          </w:p>
        </w:tc>
        <w:tc>
          <w:tcPr>
            <w:tcW w:w="0" w:type="auto"/>
            <w:shd w:val="clear" w:color="auto" w:fill="auto"/>
          </w:tcPr>
          <w:p w14:paraId="62CB66AE" w14:textId="77777777" w:rsidR="008C5CFA" w:rsidRPr="009C3005" w:rsidRDefault="00E82A60" w:rsidP="00300A01">
            <w:pPr>
              <w:pStyle w:val="Text1"/>
              <w:spacing w:before="0" w:after="0"/>
              <w:ind w:left="0"/>
              <w:rPr>
                <w:sz w:val="12"/>
                <w:szCs w:val="12"/>
              </w:rPr>
            </w:pPr>
            <w:r>
              <w:rPr>
                <w:noProof/>
                <w:sz w:val="12"/>
                <w:szCs w:val="12"/>
              </w:rPr>
              <w:t>PL33</w:t>
            </w:r>
          </w:p>
        </w:tc>
        <w:tc>
          <w:tcPr>
            <w:tcW w:w="0" w:type="auto"/>
            <w:shd w:val="clear" w:color="auto" w:fill="auto"/>
          </w:tcPr>
          <w:p w14:paraId="302EFBE0" w14:textId="77777777" w:rsidR="008C5CFA" w:rsidRPr="009C3005" w:rsidRDefault="00E82A60" w:rsidP="00300A01">
            <w:pPr>
              <w:pStyle w:val="Text1"/>
              <w:spacing w:before="0" w:after="0"/>
              <w:ind w:left="0"/>
              <w:jc w:val="right"/>
              <w:rPr>
                <w:sz w:val="12"/>
                <w:szCs w:val="12"/>
              </w:rPr>
            </w:pPr>
            <w:r w:rsidRPr="009C3005">
              <w:rPr>
                <w:noProof/>
                <w:sz w:val="12"/>
                <w:szCs w:val="12"/>
              </w:rPr>
              <w:t>18 338 990,71</w:t>
            </w:r>
          </w:p>
        </w:tc>
        <w:tc>
          <w:tcPr>
            <w:tcW w:w="0" w:type="auto"/>
            <w:shd w:val="clear" w:color="auto" w:fill="auto"/>
          </w:tcPr>
          <w:p w14:paraId="158191FA" w14:textId="77777777" w:rsidR="008C5CFA" w:rsidRPr="009C3005" w:rsidRDefault="00E82A60" w:rsidP="00300A01">
            <w:pPr>
              <w:pStyle w:val="Text1"/>
              <w:spacing w:before="0" w:after="0"/>
              <w:ind w:left="0"/>
              <w:jc w:val="right"/>
              <w:rPr>
                <w:sz w:val="12"/>
                <w:szCs w:val="12"/>
              </w:rPr>
            </w:pPr>
            <w:r w:rsidRPr="009C3005">
              <w:rPr>
                <w:noProof/>
                <w:sz w:val="12"/>
                <w:szCs w:val="12"/>
              </w:rPr>
              <w:t>15 214 054,67</w:t>
            </w:r>
          </w:p>
        </w:tc>
        <w:tc>
          <w:tcPr>
            <w:tcW w:w="0" w:type="auto"/>
            <w:shd w:val="clear" w:color="auto" w:fill="auto"/>
          </w:tcPr>
          <w:p w14:paraId="26C9CFE1" w14:textId="77777777" w:rsidR="008C5CFA" w:rsidRPr="009C3005" w:rsidRDefault="00E82A60" w:rsidP="00300A01">
            <w:pPr>
              <w:pStyle w:val="Text1"/>
              <w:spacing w:before="0" w:after="0"/>
              <w:ind w:left="0"/>
              <w:jc w:val="right"/>
              <w:rPr>
                <w:sz w:val="12"/>
                <w:szCs w:val="12"/>
              </w:rPr>
            </w:pPr>
            <w:r w:rsidRPr="009C3005">
              <w:rPr>
                <w:noProof/>
                <w:sz w:val="12"/>
                <w:szCs w:val="12"/>
              </w:rPr>
              <w:t>4 011 192,46</w:t>
            </w:r>
          </w:p>
        </w:tc>
        <w:tc>
          <w:tcPr>
            <w:tcW w:w="0" w:type="auto"/>
            <w:shd w:val="clear" w:color="auto" w:fill="auto"/>
          </w:tcPr>
          <w:p w14:paraId="2738BD16" w14:textId="77777777" w:rsidR="008C5CFA" w:rsidRPr="009C3005" w:rsidRDefault="00E82A60" w:rsidP="00300A01">
            <w:pPr>
              <w:pStyle w:val="Text1"/>
              <w:spacing w:before="0" w:after="0"/>
              <w:ind w:left="0"/>
              <w:jc w:val="right"/>
              <w:rPr>
                <w:sz w:val="12"/>
                <w:szCs w:val="12"/>
              </w:rPr>
            </w:pPr>
            <w:r w:rsidRPr="009C3005">
              <w:rPr>
                <w:noProof/>
                <w:sz w:val="12"/>
                <w:szCs w:val="12"/>
              </w:rPr>
              <w:t>3</w:t>
            </w:r>
          </w:p>
        </w:tc>
      </w:tr>
      <w:tr w:rsidR="006B2EC1" w14:paraId="0CB0A28E" w14:textId="77777777" w:rsidTr="0047688D">
        <w:tc>
          <w:tcPr>
            <w:tcW w:w="0" w:type="auto"/>
            <w:shd w:val="clear" w:color="auto" w:fill="auto"/>
          </w:tcPr>
          <w:p w14:paraId="0572CC04" w14:textId="77777777" w:rsidR="008C5CFA" w:rsidRPr="009C3005" w:rsidRDefault="00E82A60" w:rsidP="00300A01">
            <w:pPr>
              <w:pStyle w:val="Text1"/>
              <w:spacing w:before="0" w:after="0"/>
              <w:ind w:left="0"/>
              <w:rPr>
                <w:sz w:val="12"/>
                <w:szCs w:val="12"/>
              </w:rPr>
            </w:pPr>
            <w:r>
              <w:rPr>
                <w:noProof/>
                <w:sz w:val="14"/>
                <w:szCs w:val="14"/>
                <w:lang w:val="fr-BE"/>
              </w:rPr>
              <w:t>11</w:t>
            </w:r>
          </w:p>
        </w:tc>
        <w:tc>
          <w:tcPr>
            <w:tcW w:w="0" w:type="auto"/>
            <w:shd w:val="clear" w:color="auto" w:fill="auto"/>
          </w:tcPr>
          <w:p w14:paraId="20095E37" w14:textId="77777777" w:rsidR="008C5CFA" w:rsidRPr="009C3005" w:rsidRDefault="00E82A60" w:rsidP="00300A01">
            <w:pPr>
              <w:pStyle w:val="Text1"/>
              <w:spacing w:before="0" w:after="0"/>
              <w:ind w:left="0"/>
              <w:rPr>
                <w:sz w:val="12"/>
                <w:szCs w:val="12"/>
              </w:rPr>
            </w:pPr>
            <w:r>
              <w:rPr>
                <w:noProof/>
                <w:sz w:val="12"/>
                <w:szCs w:val="12"/>
              </w:rPr>
              <w:t>EFS</w:t>
            </w:r>
          </w:p>
        </w:tc>
        <w:tc>
          <w:tcPr>
            <w:tcW w:w="0" w:type="auto"/>
            <w:shd w:val="clear" w:color="auto" w:fill="auto"/>
          </w:tcPr>
          <w:p w14:paraId="227036A1" w14:textId="77777777" w:rsidR="008C5CFA" w:rsidRPr="009C3005" w:rsidRDefault="00E82A60" w:rsidP="00300A01">
            <w:pPr>
              <w:pStyle w:val="Text1"/>
              <w:spacing w:before="0" w:after="0"/>
              <w:ind w:left="0"/>
              <w:rPr>
                <w:sz w:val="12"/>
                <w:szCs w:val="12"/>
              </w:rPr>
            </w:pPr>
            <w:r>
              <w:rPr>
                <w:noProof/>
                <w:sz w:val="12"/>
                <w:szCs w:val="12"/>
              </w:rPr>
              <w:t>Słabiej rozwinięte</w:t>
            </w:r>
          </w:p>
        </w:tc>
        <w:tc>
          <w:tcPr>
            <w:tcW w:w="0" w:type="auto"/>
            <w:shd w:val="clear" w:color="auto" w:fill="auto"/>
          </w:tcPr>
          <w:p w14:paraId="45EC7F60" w14:textId="77777777" w:rsidR="008C5CFA" w:rsidRPr="009C3005" w:rsidRDefault="00E82A60" w:rsidP="00300A01">
            <w:pPr>
              <w:pStyle w:val="Text1"/>
              <w:spacing w:before="0" w:after="0"/>
              <w:ind w:left="0"/>
              <w:rPr>
                <w:sz w:val="12"/>
                <w:szCs w:val="12"/>
              </w:rPr>
            </w:pPr>
            <w:r>
              <w:rPr>
                <w:noProof/>
                <w:sz w:val="12"/>
                <w:szCs w:val="12"/>
              </w:rPr>
              <w:t>121</w:t>
            </w:r>
          </w:p>
        </w:tc>
        <w:tc>
          <w:tcPr>
            <w:tcW w:w="0" w:type="auto"/>
            <w:shd w:val="clear" w:color="auto" w:fill="auto"/>
          </w:tcPr>
          <w:p w14:paraId="1CDF6B41"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42226D3C"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3DC581B8"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5D0E5166" w14:textId="77777777" w:rsidR="008C5CFA" w:rsidRPr="009C3005" w:rsidRDefault="008C5CFA" w:rsidP="00300A01">
            <w:pPr>
              <w:pStyle w:val="Text1"/>
              <w:spacing w:before="0" w:after="0"/>
              <w:ind w:left="0"/>
              <w:rPr>
                <w:sz w:val="12"/>
                <w:szCs w:val="12"/>
              </w:rPr>
            </w:pPr>
          </w:p>
        </w:tc>
        <w:tc>
          <w:tcPr>
            <w:tcW w:w="0" w:type="auto"/>
            <w:shd w:val="clear" w:color="auto" w:fill="auto"/>
          </w:tcPr>
          <w:p w14:paraId="0955A2EE" w14:textId="77777777" w:rsidR="008C5CFA" w:rsidRPr="009C3005" w:rsidRDefault="00E82A60" w:rsidP="00300A01">
            <w:pPr>
              <w:pStyle w:val="Text1"/>
              <w:spacing w:before="0" w:after="0"/>
              <w:ind w:left="0"/>
              <w:rPr>
                <w:sz w:val="12"/>
                <w:szCs w:val="12"/>
              </w:rPr>
            </w:pPr>
            <w:r>
              <w:rPr>
                <w:noProof/>
                <w:sz w:val="12"/>
                <w:szCs w:val="12"/>
              </w:rPr>
              <w:t>08</w:t>
            </w:r>
            <w:r>
              <w:rPr>
                <w:sz w:val="12"/>
                <w:szCs w:val="12"/>
              </w:rPr>
              <w:t xml:space="preserve"> </w:t>
            </w:r>
          </w:p>
        </w:tc>
        <w:tc>
          <w:tcPr>
            <w:tcW w:w="0" w:type="auto"/>
            <w:shd w:val="clear" w:color="auto" w:fill="auto"/>
          </w:tcPr>
          <w:p w14:paraId="35583504" w14:textId="77777777" w:rsidR="008C5CFA" w:rsidRPr="009C3005" w:rsidRDefault="00E82A60" w:rsidP="00300A01">
            <w:pPr>
              <w:pStyle w:val="Text1"/>
              <w:spacing w:before="0" w:after="0"/>
              <w:ind w:left="0"/>
              <w:rPr>
                <w:sz w:val="12"/>
                <w:szCs w:val="12"/>
              </w:rPr>
            </w:pPr>
            <w:r>
              <w:rPr>
                <w:noProof/>
                <w:sz w:val="12"/>
                <w:szCs w:val="12"/>
              </w:rPr>
              <w:t>18</w:t>
            </w:r>
          </w:p>
        </w:tc>
        <w:tc>
          <w:tcPr>
            <w:tcW w:w="0" w:type="auto"/>
            <w:shd w:val="clear" w:color="auto" w:fill="auto"/>
          </w:tcPr>
          <w:p w14:paraId="13F6A8E8" w14:textId="77777777" w:rsidR="008C5CFA" w:rsidRPr="009C3005" w:rsidRDefault="00E82A60" w:rsidP="00300A01">
            <w:pPr>
              <w:pStyle w:val="Text1"/>
              <w:spacing w:before="0" w:after="0"/>
              <w:ind w:left="0"/>
              <w:rPr>
                <w:sz w:val="12"/>
                <w:szCs w:val="12"/>
              </w:rPr>
            </w:pPr>
            <w:r>
              <w:rPr>
                <w:noProof/>
                <w:sz w:val="12"/>
                <w:szCs w:val="12"/>
              </w:rPr>
              <w:t>PL33</w:t>
            </w:r>
          </w:p>
        </w:tc>
        <w:tc>
          <w:tcPr>
            <w:tcW w:w="0" w:type="auto"/>
            <w:shd w:val="clear" w:color="auto" w:fill="auto"/>
          </w:tcPr>
          <w:p w14:paraId="78BA8693" w14:textId="77777777" w:rsidR="008C5CFA" w:rsidRPr="009C3005" w:rsidRDefault="00E82A60" w:rsidP="00300A01">
            <w:pPr>
              <w:pStyle w:val="Text1"/>
              <w:spacing w:before="0" w:after="0"/>
              <w:ind w:left="0"/>
              <w:jc w:val="right"/>
              <w:rPr>
                <w:sz w:val="12"/>
                <w:szCs w:val="12"/>
              </w:rPr>
            </w:pPr>
            <w:r w:rsidRPr="009C3005">
              <w:rPr>
                <w:noProof/>
                <w:sz w:val="12"/>
                <w:szCs w:val="12"/>
              </w:rPr>
              <w:t>35 194 313,83</w:t>
            </w:r>
          </w:p>
        </w:tc>
        <w:tc>
          <w:tcPr>
            <w:tcW w:w="0" w:type="auto"/>
            <w:shd w:val="clear" w:color="auto" w:fill="auto"/>
          </w:tcPr>
          <w:p w14:paraId="26C99B62" w14:textId="77777777" w:rsidR="008C5CFA" w:rsidRPr="009C3005" w:rsidRDefault="00E82A60" w:rsidP="00300A01">
            <w:pPr>
              <w:pStyle w:val="Text1"/>
              <w:spacing w:before="0" w:after="0"/>
              <w:ind w:left="0"/>
              <w:jc w:val="right"/>
              <w:rPr>
                <w:sz w:val="12"/>
                <w:szCs w:val="12"/>
              </w:rPr>
            </w:pPr>
            <w:r w:rsidRPr="009C3005">
              <w:rPr>
                <w:noProof/>
                <w:sz w:val="12"/>
                <w:szCs w:val="12"/>
              </w:rPr>
              <w:t>35 194 313,83</w:t>
            </w:r>
          </w:p>
        </w:tc>
        <w:tc>
          <w:tcPr>
            <w:tcW w:w="0" w:type="auto"/>
            <w:shd w:val="clear" w:color="auto" w:fill="auto"/>
          </w:tcPr>
          <w:p w14:paraId="1F5ABA52" w14:textId="77777777" w:rsidR="008C5CFA" w:rsidRPr="009C3005" w:rsidRDefault="00E82A60" w:rsidP="00300A01">
            <w:pPr>
              <w:pStyle w:val="Text1"/>
              <w:spacing w:before="0" w:after="0"/>
              <w:ind w:left="0"/>
              <w:jc w:val="right"/>
              <w:rPr>
                <w:sz w:val="12"/>
                <w:szCs w:val="12"/>
              </w:rPr>
            </w:pPr>
            <w:r w:rsidRPr="009C3005">
              <w:rPr>
                <w:noProof/>
                <w:sz w:val="12"/>
                <w:szCs w:val="12"/>
              </w:rPr>
              <w:t>21 647 188,29</w:t>
            </w:r>
          </w:p>
        </w:tc>
        <w:tc>
          <w:tcPr>
            <w:tcW w:w="0" w:type="auto"/>
            <w:shd w:val="clear" w:color="auto" w:fill="auto"/>
          </w:tcPr>
          <w:p w14:paraId="76AAACB5" w14:textId="77777777" w:rsidR="008C5CFA" w:rsidRPr="009C3005" w:rsidRDefault="00E82A60" w:rsidP="00300A01">
            <w:pPr>
              <w:pStyle w:val="Text1"/>
              <w:spacing w:before="0" w:after="0"/>
              <w:ind w:left="0"/>
              <w:jc w:val="right"/>
              <w:rPr>
                <w:sz w:val="12"/>
                <w:szCs w:val="12"/>
              </w:rPr>
            </w:pPr>
            <w:r w:rsidRPr="009C3005">
              <w:rPr>
                <w:noProof/>
                <w:sz w:val="12"/>
                <w:szCs w:val="12"/>
              </w:rPr>
              <w:t>102</w:t>
            </w:r>
          </w:p>
        </w:tc>
      </w:tr>
      <w:tr w:rsidR="006B2EC1" w14:paraId="15F30B12" w14:textId="77777777" w:rsidTr="0047688D">
        <w:tc>
          <w:tcPr>
            <w:tcW w:w="0" w:type="auto"/>
            <w:shd w:val="clear" w:color="auto" w:fill="auto"/>
          </w:tcPr>
          <w:p w14:paraId="6F58CC5E" w14:textId="77777777" w:rsidR="008C5CFA" w:rsidRPr="009C3005" w:rsidRDefault="00E82A60" w:rsidP="00300A01">
            <w:pPr>
              <w:pStyle w:val="Text1"/>
              <w:spacing w:before="0" w:after="0"/>
              <w:ind w:left="0"/>
              <w:rPr>
                <w:sz w:val="12"/>
                <w:szCs w:val="12"/>
              </w:rPr>
            </w:pPr>
            <w:r>
              <w:rPr>
                <w:noProof/>
                <w:sz w:val="14"/>
                <w:szCs w:val="14"/>
                <w:lang w:val="fr-BE"/>
              </w:rPr>
              <w:t>11</w:t>
            </w:r>
          </w:p>
        </w:tc>
        <w:tc>
          <w:tcPr>
            <w:tcW w:w="0" w:type="auto"/>
            <w:shd w:val="clear" w:color="auto" w:fill="auto"/>
          </w:tcPr>
          <w:p w14:paraId="3CA5277D" w14:textId="77777777" w:rsidR="008C5CFA" w:rsidRPr="009C3005" w:rsidRDefault="00E82A60" w:rsidP="00300A01">
            <w:pPr>
              <w:pStyle w:val="Text1"/>
              <w:spacing w:before="0" w:after="0"/>
              <w:ind w:left="0"/>
              <w:rPr>
                <w:sz w:val="12"/>
                <w:szCs w:val="12"/>
              </w:rPr>
            </w:pPr>
            <w:r>
              <w:rPr>
                <w:noProof/>
                <w:sz w:val="12"/>
                <w:szCs w:val="12"/>
              </w:rPr>
              <w:t>EFS</w:t>
            </w:r>
          </w:p>
        </w:tc>
        <w:tc>
          <w:tcPr>
            <w:tcW w:w="0" w:type="auto"/>
            <w:shd w:val="clear" w:color="auto" w:fill="auto"/>
          </w:tcPr>
          <w:p w14:paraId="26E8AB45" w14:textId="77777777" w:rsidR="008C5CFA" w:rsidRPr="009C3005" w:rsidRDefault="00E82A60" w:rsidP="00300A01">
            <w:pPr>
              <w:pStyle w:val="Text1"/>
              <w:spacing w:before="0" w:after="0"/>
              <w:ind w:left="0"/>
              <w:rPr>
                <w:sz w:val="12"/>
                <w:szCs w:val="12"/>
              </w:rPr>
            </w:pPr>
            <w:r>
              <w:rPr>
                <w:noProof/>
                <w:sz w:val="12"/>
                <w:szCs w:val="12"/>
              </w:rPr>
              <w:t>Słabiej rozwinięte</w:t>
            </w:r>
          </w:p>
        </w:tc>
        <w:tc>
          <w:tcPr>
            <w:tcW w:w="0" w:type="auto"/>
            <w:shd w:val="clear" w:color="auto" w:fill="auto"/>
          </w:tcPr>
          <w:p w14:paraId="46FF4D22" w14:textId="77777777" w:rsidR="008C5CFA" w:rsidRPr="009C3005" w:rsidRDefault="00E82A60" w:rsidP="00300A01">
            <w:pPr>
              <w:pStyle w:val="Text1"/>
              <w:spacing w:before="0" w:after="0"/>
              <w:ind w:left="0"/>
              <w:rPr>
                <w:sz w:val="12"/>
                <w:szCs w:val="12"/>
              </w:rPr>
            </w:pPr>
            <w:r>
              <w:rPr>
                <w:noProof/>
                <w:sz w:val="12"/>
                <w:szCs w:val="12"/>
              </w:rPr>
              <w:t>122</w:t>
            </w:r>
          </w:p>
        </w:tc>
        <w:tc>
          <w:tcPr>
            <w:tcW w:w="0" w:type="auto"/>
            <w:shd w:val="clear" w:color="auto" w:fill="auto"/>
          </w:tcPr>
          <w:p w14:paraId="4B3EEDBD"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48334413"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71C773A0"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0BABC274" w14:textId="77777777" w:rsidR="008C5CFA" w:rsidRPr="009C3005" w:rsidRDefault="008C5CFA" w:rsidP="00300A01">
            <w:pPr>
              <w:pStyle w:val="Text1"/>
              <w:spacing w:before="0" w:after="0"/>
              <w:ind w:left="0"/>
              <w:rPr>
                <w:sz w:val="12"/>
                <w:szCs w:val="12"/>
              </w:rPr>
            </w:pPr>
          </w:p>
        </w:tc>
        <w:tc>
          <w:tcPr>
            <w:tcW w:w="0" w:type="auto"/>
            <w:shd w:val="clear" w:color="auto" w:fill="auto"/>
          </w:tcPr>
          <w:p w14:paraId="574FA365" w14:textId="77777777" w:rsidR="008C5CFA" w:rsidRPr="009C3005" w:rsidRDefault="00E82A60" w:rsidP="00300A01">
            <w:pPr>
              <w:pStyle w:val="Text1"/>
              <w:spacing w:before="0" w:after="0"/>
              <w:ind w:left="0"/>
              <w:rPr>
                <w:sz w:val="12"/>
                <w:szCs w:val="12"/>
              </w:rPr>
            </w:pPr>
            <w:r>
              <w:rPr>
                <w:noProof/>
                <w:sz w:val="12"/>
                <w:szCs w:val="12"/>
              </w:rPr>
              <w:t>08</w:t>
            </w:r>
            <w:r>
              <w:rPr>
                <w:sz w:val="12"/>
                <w:szCs w:val="12"/>
              </w:rPr>
              <w:t xml:space="preserve"> </w:t>
            </w:r>
          </w:p>
        </w:tc>
        <w:tc>
          <w:tcPr>
            <w:tcW w:w="0" w:type="auto"/>
            <w:shd w:val="clear" w:color="auto" w:fill="auto"/>
          </w:tcPr>
          <w:p w14:paraId="253C4FEE" w14:textId="77777777" w:rsidR="008C5CFA" w:rsidRPr="009C3005" w:rsidRDefault="00E82A60" w:rsidP="00300A01">
            <w:pPr>
              <w:pStyle w:val="Text1"/>
              <w:spacing w:before="0" w:after="0"/>
              <w:ind w:left="0"/>
              <w:rPr>
                <w:sz w:val="12"/>
                <w:szCs w:val="12"/>
              </w:rPr>
            </w:pPr>
            <w:r>
              <w:rPr>
                <w:noProof/>
                <w:sz w:val="12"/>
                <w:szCs w:val="12"/>
              </w:rPr>
              <w:t>18</w:t>
            </w:r>
          </w:p>
        </w:tc>
        <w:tc>
          <w:tcPr>
            <w:tcW w:w="0" w:type="auto"/>
            <w:shd w:val="clear" w:color="auto" w:fill="auto"/>
          </w:tcPr>
          <w:p w14:paraId="15D32911" w14:textId="77777777" w:rsidR="008C5CFA" w:rsidRPr="009C3005" w:rsidRDefault="00E82A60" w:rsidP="00300A01">
            <w:pPr>
              <w:pStyle w:val="Text1"/>
              <w:spacing w:before="0" w:after="0"/>
              <w:ind w:left="0"/>
              <w:rPr>
                <w:sz w:val="12"/>
                <w:szCs w:val="12"/>
              </w:rPr>
            </w:pPr>
            <w:r>
              <w:rPr>
                <w:noProof/>
                <w:sz w:val="12"/>
                <w:szCs w:val="12"/>
              </w:rPr>
              <w:t>PL33</w:t>
            </w:r>
          </w:p>
        </w:tc>
        <w:tc>
          <w:tcPr>
            <w:tcW w:w="0" w:type="auto"/>
            <w:shd w:val="clear" w:color="auto" w:fill="auto"/>
          </w:tcPr>
          <w:p w14:paraId="60DB2F37" w14:textId="77777777" w:rsidR="008C5CFA" w:rsidRPr="009C3005" w:rsidRDefault="00E82A60" w:rsidP="00300A01">
            <w:pPr>
              <w:pStyle w:val="Text1"/>
              <w:spacing w:before="0" w:after="0"/>
              <w:ind w:left="0"/>
              <w:jc w:val="right"/>
              <w:rPr>
                <w:sz w:val="12"/>
                <w:szCs w:val="12"/>
              </w:rPr>
            </w:pPr>
            <w:r w:rsidRPr="009C3005">
              <w:rPr>
                <w:noProof/>
                <w:sz w:val="12"/>
                <w:szCs w:val="12"/>
              </w:rPr>
              <w:t>1 267 745,82</w:t>
            </w:r>
          </w:p>
        </w:tc>
        <w:tc>
          <w:tcPr>
            <w:tcW w:w="0" w:type="auto"/>
            <w:shd w:val="clear" w:color="auto" w:fill="auto"/>
          </w:tcPr>
          <w:p w14:paraId="53AF3A1B" w14:textId="77777777" w:rsidR="008C5CFA" w:rsidRPr="009C3005" w:rsidRDefault="00E82A60" w:rsidP="00300A01">
            <w:pPr>
              <w:pStyle w:val="Text1"/>
              <w:spacing w:before="0" w:after="0"/>
              <w:ind w:left="0"/>
              <w:jc w:val="right"/>
              <w:rPr>
                <w:sz w:val="12"/>
                <w:szCs w:val="12"/>
              </w:rPr>
            </w:pPr>
            <w:r w:rsidRPr="009C3005">
              <w:rPr>
                <w:noProof/>
                <w:sz w:val="12"/>
                <w:szCs w:val="12"/>
              </w:rPr>
              <w:t>1 267 745,82</w:t>
            </w:r>
          </w:p>
        </w:tc>
        <w:tc>
          <w:tcPr>
            <w:tcW w:w="0" w:type="auto"/>
            <w:shd w:val="clear" w:color="auto" w:fill="auto"/>
          </w:tcPr>
          <w:p w14:paraId="0454F195" w14:textId="77777777" w:rsidR="008C5CFA" w:rsidRPr="009C3005" w:rsidRDefault="00E82A60" w:rsidP="00300A01">
            <w:pPr>
              <w:pStyle w:val="Text1"/>
              <w:spacing w:before="0" w:after="0"/>
              <w:ind w:left="0"/>
              <w:jc w:val="right"/>
              <w:rPr>
                <w:sz w:val="12"/>
                <w:szCs w:val="12"/>
              </w:rPr>
            </w:pPr>
            <w:r w:rsidRPr="009C3005">
              <w:rPr>
                <w:noProof/>
                <w:sz w:val="12"/>
                <w:szCs w:val="12"/>
              </w:rPr>
              <w:t>457 996,33</w:t>
            </w:r>
          </w:p>
        </w:tc>
        <w:tc>
          <w:tcPr>
            <w:tcW w:w="0" w:type="auto"/>
            <w:shd w:val="clear" w:color="auto" w:fill="auto"/>
          </w:tcPr>
          <w:p w14:paraId="49C49774" w14:textId="77777777" w:rsidR="008C5CFA" w:rsidRPr="009C3005" w:rsidRDefault="00E82A60" w:rsidP="00300A01">
            <w:pPr>
              <w:pStyle w:val="Text1"/>
              <w:spacing w:before="0" w:after="0"/>
              <w:ind w:left="0"/>
              <w:jc w:val="right"/>
              <w:rPr>
                <w:sz w:val="12"/>
                <w:szCs w:val="12"/>
              </w:rPr>
            </w:pPr>
            <w:r w:rsidRPr="009C3005">
              <w:rPr>
                <w:noProof/>
                <w:sz w:val="12"/>
                <w:szCs w:val="12"/>
              </w:rPr>
              <w:t>15</w:t>
            </w:r>
          </w:p>
        </w:tc>
      </w:tr>
      <w:tr w:rsidR="006B2EC1" w14:paraId="53B66797" w14:textId="77777777" w:rsidTr="0047688D">
        <w:tc>
          <w:tcPr>
            <w:tcW w:w="0" w:type="auto"/>
            <w:shd w:val="clear" w:color="auto" w:fill="auto"/>
          </w:tcPr>
          <w:p w14:paraId="27FC616C" w14:textId="77777777" w:rsidR="008C5CFA" w:rsidRPr="009C3005" w:rsidRDefault="00E82A60" w:rsidP="00300A01">
            <w:pPr>
              <w:pStyle w:val="Text1"/>
              <w:spacing w:before="0" w:after="0"/>
              <w:ind w:left="0"/>
              <w:rPr>
                <w:sz w:val="12"/>
                <w:szCs w:val="12"/>
              </w:rPr>
            </w:pPr>
            <w:r>
              <w:rPr>
                <w:noProof/>
                <w:sz w:val="14"/>
                <w:szCs w:val="14"/>
                <w:lang w:val="fr-BE"/>
              </w:rPr>
              <w:t>11</w:t>
            </w:r>
          </w:p>
        </w:tc>
        <w:tc>
          <w:tcPr>
            <w:tcW w:w="0" w:type="auto"/>
            <w:shd w:val="clear" w:color="auto" w:fill="auto"/>
          </w:tcPr>
          <w:p w14:paraId="18322256" w14:textId="77777777" w:rsidR="008C5CFA" w:rsidRPr="009C3005" w:rsidRDefault="00E82A60" w:rsidP="00300A01">
            <w:pPr>
              <w:pStyle w:val="Text1"/>
              <w:spacing w:before="0" w:after="0"/>
              <w:ind w:left="0"/>
              <w:rPr>
                <w:sz w:val="12"/>
                <w:szCs w:val="12"/>
              </w:rPr>
            </w:pPr>
            <w:r>
              <w:rPr>
                <w:noProof/>
                <w:sz w:val="12"/>
                <w:szCs w:val="12"/>
              </w:rPr>
              <w:t>EFS</w:t>
            </w:r>
          </w:p>
        </w:tc>
        <w:tc>
          <w:tcPr>
            <w:tcW w:w="0" w:type="auto"/>
            <w:shd w:val="clear" w:color="auto" w:fill="auto"/>
          </w:tcPr>
          <w:p w14:paraId="565BF643" w14:textId="77777777" w:rsidR="008C5CFA" w:rsidRPr="009C3005" w:rsidRDefault="00E82A60" w:rsidP="00300A01">
            <w:pPr>
              <w:pStyle w:val="Text1"/>
              <w:spacing w:before="0" w:after="0"/>
              <w:ind w:left="0"/>
              <w:rPr>
                <w:sz w:val="12"/>
                <w:szCs w:val="12"/>
              </w:rPr>
            </w:pPr>
            <w:r>
              <w:rPr>
                <w:noProof/>
                <w:sz w:val="12"/>
                <w:szCs w:val="12"/>
              </w:rPr>
              <w:t>Słabiej rozwinięte</w:t>
            </w:r>
          </w:p>
        </w:tc>
        <w:tc>
          <w:tcPr>
            <w:tcW w:w="0" w:type="auto"/>
            <w:shd w:val="clear" w:color="auto" w:fill="auto"/>
          </w:tcPr>
          <w:p w14:paraId="21034AF3" w14:textId="77777777" w:rsidR="008C5CFA" w:rsidRPr="009C3005" w:rsidRDefault="00E82A60" w:rsidP="00300A01">
            <w:pPr>
              <w:pStyle w:val="Text1"/>
              <w:spacing w:before="0" w:after="0"/>
              <w:ind w:left="0"/>
              <w:rPr>
                <w:sz w:val="12"/>
                <w:szCs w:val="12"/>
              </w:rPr>
            </w:pPr>
            <w:r>
              <w:rPr>
                <w:noProof/>
                <w:sz w:val="12"/>
                <w:szCs w:val="12"/>
              </w:rPr>
              <w:t>123</w:t>
            </w:r>
          </w:p>
        </w:tc>
        <w:tc>
          <w:tcPr>
            <w:tcW w:w="0" w:type="auto"/>
            <w:shd w:val="clear" w:color="auto" w:fill="auto"/>
          </w:tcPr>
          <w:p w14:paraId="165F0141" w14:textId="77777777" w:rsidR="008C5CFA" w:rsidRPr="009C3005" w:rsidRDefault="00E82A60" w:rsidP="00300A01">
            <w:pPr>
              <w:pStyle w:val="Text1"/>
              <w:spacing w:before="0" w:after="0"/>
              <w:ind w:left="0"/>
              <w:rPr>
                <w:sz w:val="12"/>
                <w:szCs w:val="12"/>
              </w:rPr>
            </w:pPr>
            <w:r>
              <w:rPr>
                <w:noProof/>
                <w:sz w:val="12"/>
                <w:szCs w:val="12"/>
              </w:rPr>
              <w:t>01</w:t>
            </w:r>
          </w:p>
        </w:tc>
        <w:tc>
          <w:tcPr>
            <w:tcW w:w="0" w:type="auto"/>
            <w:shd w:val="clear" w:color="auto" w:fill="auto"/>
          </w:tcPr>
          <w:p w14:paraId="55BFDE33"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3CBC1E39" w14:textId="77777777" w:rsidR="008C5CFA" w:rsidRPr="009C3005" w:rsidRDefault="00E82A60" w:rsidP="00300A01">
            <w:pPr>
              <w:pStyle w:val="Text1"/>
              <w:spacing w:before="0" w:after="0"/>
              <w:ind w:left="0"/>
              <w:rPr>
                <w:sz w:val="12"/>
                <w:szCs w:val="12"/>
              </w:rPr>
            </w:pPr>
            <w:r>
              <w:rPr>
                <w:noProof/>
                <w:sz w:val="12"/>
                <w:szCs w:val="12"/>
              </w:rPr>
              <w:t>07</w:t>
            </w:r>
          </w:p>
        </w:tc>
        <w:tc>
          <w:tcPr>
            <w:tcW w:w="0" w:type="auto"/>
            <w:shd w:val="clear" w:color="auto" w:fill="auto"/>
          </w:tcPr>
          <w:p w14:paraId="17E0466E" w14:textId="77777777" w:rsidR="008C5CFA" w:rsidRPr="009C3005" w:rsidRDefault="008C5CFA" w:rsidP="00300A01">
            <w:pPr>
              <w:pStyle w:val="Text1"/>
              <w:spacing w:before="0" w:after="0"/>
              <w:ind w:left="0"/>
              <w:rPr>
                <w:sz w:val="12"/>
                <w:szCs w:val="12"/>
              </w:rPr>
            </w:pPr>
          </w:p>
        </w:tc>
        <w:tc>
          <w:tcPr>
            <w:tcW w:w="0" w:type="auto"/>
            <w:shd w:val="clear" w:color="auto" w:fill="auto"/>
          </w:tcPr>
          <w:p w14:paraId="11FA95A6" w14:textId="77777777" w:rsidR="008C5CFA" w:rsidRPr="009C3005" w:rsidRDefault="00E82A60" w:rsidP="00300A01">
            <w:pPr>
              <w:pStyle w:val="Text1"/>
              <w:spacing w:before="0" w:after="0"/>
              <w:ind w:left="0"/>
              <w:rPr>
                <w:sz w:val="12"/>
                <w:szCs w:val="12"/>
              </w:rPr>
            </w:pPr>
            <w:r>
              <w:rPr>
                <w:noProof/>
                <w:sz w:val="12"/>
                <w:szCs w:val="12"/>
              </w:rPr>
              <w:t>08</w:t>
            </w:r>
            <w:r>
              <w:rPr>
                <w:sz w:val="12"/>
                <w:szCs w:val="12"/>
              </w:rPr>
              <w:t xml:space="preserve"> </w:t>
            </w:r>
          </w:p>
        </w:tc>
        <w:tc>
          <w:tcPr>
            <w:tcW w:w="0" w:type="auto"/>
            <w:shd w:val="clear" w:color="auto" w:fill="auto"/>
          </w:tcPr>
          <w:p w14:paraId="554BB0CF" w14:textId="77777777" w:rsidR="008C5CFA" w:rsidRPr="009C3005" w:rsidRDefault="00E82A60" w:rsidP="00300A01">
            <w:pPr>
              <w:pStyle w:val="Text1"/>
              <w:spacing w:before="0" w:after="0"/>
              <w:ind w:left="0"/>
              <w:rPr>
                <w:sz w:val="12"/>
                <w:szCs w:val="12"/>
              </w:rPr>
            </w:pPr>
            <w:r>
              <w:rPr>
                <w:noProof/>
                <w:sz w:val="12"/>
                <w:szCs w:val="12"/>
              </w:rPr>
              <w:t>18</w:t>
            </w:r>
          </w:p>
        </w:tc>
        <w:tc>
          <w:tcPr>
            <w:tcW w:w="0" w:type="auto"/>
            <w:shd w:val="clear" w:color="auto" w:fill="auto"/>
          </w:tcPr>
          <w:p w14:paraId="53CAD52E" w14:textId="77777777" w:rsidR="008C5CFA" w:rsidRPr="009C3005" w:rsidRDefault="00E82A60" w:rsidP="00300A01">
            <w:pPr>
              <w:pStyle w:val="Text1"/>
              <w:spacing w:before="0" w:after="0"/>
              <w:ind w:left="0"/>
              <w:rPr>
                <w:sz w:val="12"/>
                <w:szCs w:val="12"/>
              </w:rPr>
            </w:pPr>
            <w:r>
              <w:rPr>
                <w:noProof/>
                <w:sz w:val="12"/>
                <w:szCs w:val="12"/>
              </w:rPr>
              <w:t>PL33</w:t>
            </w:r>
          </w:p>
        </w:tc>
        <w:tc>
          <w:tcPr>
            <w:tcW w:w="0" w:type="auto"/>
            <w:shd w:val="clear" w:color="auto" w:fill="auto"/>
          </w:tcPr>
          <w:p w14:paraId="276139B4" w14:textId="77777777" w:rsidR="008C5CFA" w:rsidRPr="009C3005" w:rsidRDefault="00E82A60" w:rsidP="00300A01">
            <w:pPr>
              <w:pStyle w:val="Text1"/>
              <w:spacing w:before="0" w:after="0"/>
              <w:ind w:left="0"/>
              <w:jc w:val="right"/>
              <w:rPr>
                <w:sz w:val="12"/>
                <w:szCs w:val="12"/>
              </w:rPr>
            </w:pPr>
            <w:r w:rsidRPr="009C3005">
              <w:rPr>
                <w:noProof/>
                <w:sz w:val="12"/>
                <w:szCs w:val="12"/>
              </w:rPr>
              <w:t>1 997 456,06</w:t>
            </w:r>
          </w:p>
        </w:tc>
        <w:tc>
          <w:tcPr>
            <w:tcW w:w="0" w:type="auto"/>
            <w:shd w:val="clear" w:color="auto" w:fill="auto"/>
          </w:tcPr>
          <w:p w14:paraId="57EF68C2" w14:textId="77777777" w:rsidR="008C5CFA" w:rsidRPr="009C3005" w:rsidRDefault="00E82A60" w:rsidP="00300A01">
            <w:pPr>
              <w:pStyle w:val="Text1"/>
              <w:spacing w:before="0" w:after="0"/>
              <w:ind w:left="0"/>
              <w:jc w:val="right"/>
              <w:rPr>
                <w:sz w:val="12"/>
                <w:szCs w:val="12"/>
              </w:rPr>
            </w:pPr>
            <w:r w:rsidRPr="009C3005">
              <w:rPr>
                <w:noProof/>
                <w:sz w:val="12"/>
                <w:szCs w:val="12"/>
              </w:rPr>
              <w:t>1 997 456,06</w:t>
            </w:r>
          </w:p>
        </w:tc>
        <w:tc>
          <w:tcPr>
            <w:tcW w:w="0" w:type="auto"/>
            <w:shd w:val="clear" w:color="auto" w:fill="auto"/>
          </w:tcPr>
          <w:p w14:paraId="1692C76D" w14:textId="77777777" w:rsidR="008C5CFA" w:rsidRPr="009C3005" w:rsidRDefault="00E82A60" w:rsidP="00300A01">
            <w:pPr>
              <w:pStyle w:val="Text1"/>
              <w:spacing w:before="0" w:after="0"/>
              <w:ind w:left="0"/>
              <w:jc w:val="right"/>
              <w:rPr>
                <w:sz w:val="12"/>
                <w:szCs w:val="12"/>
              </w:rPr>
            </w:pPr>
            <w:r w:rsidRPr="009C3005">
              <w:rPr>
                <w:noProof/>
                <w:sz w:val="12"/>
                <w:szCs w:val="12"/>
              </w:rPr>
              <w:t>797 280,53</w:t>
            </w:r>
          </w:p>
        </w:tc>
        <w:tc>
          <w:tcPr>
            <w:tcW w:w="0" w:type="auto"/>
            <w:shd w:val="clear" w:color="auto" w:fill="auto"/>
          </w:tcPr>
          <w:p w14:paraId="17F9581F" w14:textId="77777777" w:rsidR="008C5CFA" w:rsidRPr="009C3005" w:rsidRDefault="00E82A60" w:rsidP="00300A01">
            <w:pPr>
              <w:pStyle w:val="Text1"/>
              <w:spacing w:before="0" w:after="0"/>
              <w:ind w:left="0"/>
              <w:jc w:val="right"/>
              <w:rPr>
                <w:sz w:val="12"/>
                <w:szCs w:val="12"/>
              </w:rPr>
            </w:pPr>
            <w:r w:rsidRPr="009C3005">
              <w:rPr>
                <w:noProof/>
                <w:sz w:val="12"/>
                <w:szCs w:val="12"/>
              </w:rPr>
              <w:t>39</w:t>
            </w:r>
          </w:p>
        </w:tc>
      </w:tr>
    </w:tbl>
    <w:p w14:paraId="17B0ECE4" w14:textId="77777777" w:rsidR="008C5CFA" w:rsidRDefault="008C5CFA" w:rsidP="00300A01">
      <w:pPr>
        <w:spacing w:before="0" w:after="0"/>
        <w:rPr>
          <w:lang w:val="fr-BE"/>
        </w:rPr>
      </w:pPr>
    </w:p>
    <w:p w14:paraId="797CA2EB" w14:textId="77777777" w:rsidR="008C5CFA" w:rsidRDefault="00E82A60" w:rsidP="00300A01">
      <w:pPr>
        <w:pStyle w:val="Nagwek2"/>
        <w:spacing w:before="0" w:after="0"/>
      </w:pPr>
      <w:r>
        <w:rPr>
          <w:lang w:val="fr-BE"/>
        </w:rPr>
        <w:br w:type="page"/>
      </w:r>
      <w:bookmarkStart w:id="89" w:name="_Toc46391773"/>
      <w:r w:rsidRPr="00B36AD0">
        <w:rPr>
          <w:noProof/>
        </w:rPr>
        <w:lastRenderedPageBreak/>
        <w:t>Tabela 8: Wykorzystanie finansowania krzyżowego</w:t>
      </w:r>
      <w:bookmarkEnd w:id="89"/>
    </w:p>
    <w:p w14:paraId="3D830523" w14:textId="77777777" w:rsidR="008C5CFA" w:rsidRDefault="008C5CFA" w:rsidP="00300A01">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1"/>
        <w:gridCol w:w="1579"/>
        <w:gridCol w:w="2631"/>
        <w:gridCol w:w="2747"/>
        <w:gridCol w:w="3089"/>
        <w:gridCol w:w="2747"/>
      </w:tblGrid>
      <w:tr w:rsidR="006B2EC1" w14:paraId="7B879A61" w14:textId="77777777" w:rsidTr="0047688D">
        <w:tc>
          <w:tcPr>
            <w:tcW w:w="0" w:type="auto"/>
            <w:shd w:val="clear" w:color="auto" w:fill="auto"/>
          </w:tcPr>
          <w:p w14:paraId="6668DB9D" w14:textId="77777777" w:rsidR="008C5CFA" w:rsidRPr="00B52842" w:rsidRDefault="00E82A60" w:rsidP="00300A01">
            <w:pPr>
              <w:spacing w:before="0" w:after="0"/>
              <w:jc w:val="center"/>
              <w:rPr>
                <w:b/>
              </w:rPr>
            </w:pPr>
            <w:r w:rsidRPr="00B52842">
              <w:rPr>
                <w:b/>
              </w:rPr>
              <w:t>1</w:t>
            </w:r>
          </w:p>
        </w:tc>
        <w:tc>
          <w:tcPr>
            <w:tcW w:w="0" w:type="auto"/>
            <w:shd w:val="clear" w:color="auto" w:fill="auto"/>
          </w:tcPr>
          <w:p w14:paraId="5FBE1650" w14:textId="77777777" w:rsidR="008C5CFA" w:rsidRPr="00B52842" w:rsidRDefault="00E82A60" w:rsidP="00300A01">
            <w:pPr>
              <w:spacing w:before="0" w:after="0"/>
              <w:jc w:val="center"/>
              <w:rPr>
                <w:b/>
              </w:rPr>
            </w:pPr>
            <w:r w:rsidRPr="00B52842">
              <w:rPr>
                <w:b/>
              </w:rPr>
              <w:t>2</w:t>
            </w:r>
          </w:p>
        </w:tc>
        <w:tc>
          <w:tcPr>
            <w:tcW w:w="0" w:type="auto"/>
            <w:shd w:val="clear" w:color="auto" w:fill="auto"/>
          </w:tcPr>
          <w:p w14:paraId="1A6AD3B5" w14:textId="77777777" w:rsidR="008C5CFA" w:rsidRPr="00B52842" w:rsidRDefault="00E82A60" w:rsidP="00300A01">
            <w:pPr>
              <w:spacing w:before="0" w:after="0"/>
              <w:jc w:val="center"/>
              <w:rPr>
                <w:b/>
              </w:rPr>
            </w:pPr>
            <w:r w:rsidRPr="00B52842">
              <w:rPr>
                <w:b/>
              </w:rPr>
              <w:t>3</w:t>
            </w:r>
          </w:p>
        </w:tc>
        <w:tc>
          <w:tcPr>
            <w:tcW w:w="0" w:type="auto"/>
            <w:shd w:val="clear" w:color="auto" w:fill="auto"/>
          </w:tcPr>
          <w:p w14:paraId="0F4875AA" w14:textId="77777777" w:rsidR="008C5CFA" w:rsidRPr="00B52842" w:rsidRDefault="00E82A60" w:rsidP="00300A01">
            <w:pPr>
              <w:spacing w:before="0" w:after="0"/>
              <w:jc w:val="center"/>
              <w:rPr>
                <w:b/>
              </w:rPr>
            </w:pPr>
            <w:r w:rsidRPr="00B52842">
              <w:rPr>
                <w:b/>
              </w:rPr>
              <w:t>4</w:t>
            </w:r>
          </w:p>
        </w:tc>
        <w:tc>
          <w:tcPr>
            <w:tcW w:w="0" w:type="auto"/>
            <w:shd w:val="clear" w:color="auto" w:fill="auto"/>
          </w:tcPr>
          <w:p w14:paraId="69D6A2FE" w14:textId="77777777" w:rsidR="008C5CFA" w:rsidRPr="00B52842" w:rsidRDefault="00E82A60" w:rsidP="00300A01">
            <w:pPr>
              <w:spacing w:before="0" w:after="0"/>
              <w:jc w:val="center"/>
              <w:rPr>
                <w:b/>
              </w:rPr>
            </w:pPr>
            <w:r w:rsidRPr="00B52842">
              <w:rPr>
                <w:b/>
              </w:rPr>
              <w:t>5</w:t>
            </w:r>
          </w:p>
        </w:tc>
        <w:tc>
          <w:tcPr>
            <w:tcW w:w="0" w:type="auto"/>
            <w:shd w:val="clear" w:color="auto" w:fill="auto"/>
          </w:tcPr>
          <w:p w14:paraId="6A37D8DE" w14:textId="77777777" w:rsidR="008C5CFA" w:rsidRPr="00B52842" w:rsidRDefault="00E82A60" w:rsidP="00300A01">
            <w:pPr>
              <w:spacing w:before="0" w:after="0"/>
              <w:jc w:val="center"/>
              <w:rPr>
                <w:b/>
              </w:rPr>
            </w:pPr>
            <w:r w:rsidRPr="00B52842">
              <w:rPr>
                <w:b/>
              </w:rPr>
              <w:t>6</w:t>
            </w:r>
          </w:p>
        </w:tc>
      </w:tr>
      <w:tr w:rsidR="006B2EC1" w14:paraId="66FBD57A" w14:textId="77777777" w:rsidTr="0047688D">
        <w:tc>
          <w:tcPr>
            <w:tcW w:w="0" w:type="auto"/>
            <w:shd w:val="clear" w:color="auto" w:fill="auto"/>
          </w:tcPr>
          <w:p w14:paraId="1C3A845C" w14:textId="77777777" w:rsidR="008C5CFA" w:rsidRPr="00B52842" w:rsidRDefault="00E82A60" w:rsidP="00300A01">
            <w:pPr>
              <w:spacing w:before="0" w:after="0"/>
              <w:rPr>
                <w:b/>
              </w:rPr>
            </w:pPr>
            <w:r w:rsidRPr="00B52842">
              <w:rPr>
                <w:b/>
                <w:noProof/>
              </w:rPr>
              <w:t>Wykorzystanie finansowania krzyżowego</w:t>
            </w:r>
          </w:p>
        </w:tc>
        <w:tc>
          <w:tcPr>
            <w:tcW w:w="0" w:type="auto"/>
            <w:shd w:val="clear" w:color="auto" w:fill="auto"/>
          </w:tcPr>
          <w:p w14:paraId="0BF4807C" w14:textId="77777777" w:rsidR="008C5CFA" w:rsidRPr="00B52842" w:rsidRDefault="00E82A60" w:rsidP="00300A01">
            <w:pPr>
              <w:spacing w:before="0" w:after="0"/>
              <w:rPr>
                <w:b/>
              </w:rPr>
            </w:pPr>
            <w:r w:rsidRPr="00B52842">
              <w:rPr>
                <w:b/>
                <w:noProof/>
              </w:rPr>
              <w:t>Oś priorytetowa</w:t>
            </w:r>
          </w:p>
        </w:tc>
        <w:tc>
          <w:tcPr>
            <w:tcW w:w="0" w:type="auto"/>
            <w:shd w:val="clear" w:color="auto" w:fill="auto"/>
          </w:tcPr>
          <w:p w14:paraId="3DF1DE54" w14:textId="77777777" w:rsidR="008C5CFA" w:rsidRPr="00B52842" w:rsidRDefault="00E82A60" w:rsidP="00300A01">
            <w:pPr>
              <w:spacing w:before="0" w:after="0"/>
              <w:rPr>
                <w:b/>
              </w:rPr>
            </w:pPr>
            <w:r w:rsidRPr="00B52842">
              <w:rPr>
                <w:b/>
                <w:noProof/>
              </w:rPr>
              <w:t>Kwota wsparcia UE, jaką przewiduje się wykorzystać w celu finansowania krzyżowego na podstawie wybranych operacji (w EUR)</w:t>
            </w:r>
          </w:p>
        </w:tc>
        <w:tc>
          <w:tcPr>
            <w:tcW w:w="0" w:type="auto"/>
            <w:shd w:val="clear" w:color="auto" w:fill="auto"/>
          </w:tcPr>
          <w:p w14:paraId="02EB08B9" w14:textId="77777777" w:rsidR="008C5CFA" w:rsidRPr="00B52842" w:rsidRDefault="00E82A60" w:rsidP="00300A01">
            <w:pPr>
              <w:spacing w:before="0" w:after="0"/>
              <w:rPr>
                <w:b/>
              </w:rPr>
            </w:pPr>
            <w:r w:rsidRPr="00B52842">
              <w:rPr>
                <w:b/>
                <w:noProof/>
              </w:rPr>
              <w:t>Jako część wsparcia UE na oś priorytetową (w %) (3/wsparcie UE na oś priorytetową*100)</w:t>
            </w:r>
          </w:p>
        </w:tc>
        <w:tc>
          <w:tcPr>
            <w:tcW w:w="0" w:type="auto"/>
            <w:shd w:val="clear" w:color="auto" w:fill="auto"/>
          </w:tcPr>
          <w:p w14:paraId="0DBA4A45" w14:textId="77777777" w:rsidR="008C5CFA" w:rsidRPr="00B52842" w:rsidRDefault="00E82A60" w:rsidP="00300A01">
            <w:pPr>
              <w:spacing w:before="0" w:after="0"/>
              <w:rPr>
                <w:b/>
              </w:rPr>
            </w:pPr>
            <w:r w:rsidRPr="00B52842">
              <w:rPr>
                <w:b/>
                <w:noProof/>
              </w:rPr>
              <w:t>Kwota wsparcia UE w ramach finansowania krzyżowego w oparciu o wydatki kwalifikowalne zadeklarowane przez beneficjentów instytucji zarządzającej (w EUR)</w:t>
            </w:r>
          </w:p>
        </w:tc>
        <w:tc>
          <w:tcPr>
            <w:tcW w:w="0" w:type="auto"/>
            <w:shd w:val="clear" w:color="auto" w:fill="auto"/>
          </w:tcPr>
          <w:p w14:paraId="3EC0013A" w14:textId="77777777" w:rsidR="008C5CFA" w:rsidRPr="00B52842" w:rsidRDefault="00E82A60" w:rsidP="00300A01">
            <w:pPr>
              <w:spacing w:before="0" w:after="0"/>
              <w:rPr>
                <w:b/>
              </w:rPr>
            </w:pPr>
            <w:r w:rsidRPr="00B52842">
              <w:rPr>
                <w:b/>
                <w:noProof/>
              </w:rPr>
              <w:t>Jako część wsparcia UE na oś priorytetową (w %) (5/wsparcie UE na oś priorytetową*100)</w:t>
            </w:r>
          </w:p>
        </w:tc>
      </w:tr>
      <w:tr w:rsidR="006B2EC1" w14:paraId="2D9AEF70" w14:textId="77777777" w:rsidTr="0047688D">
        <w:tc>
          <w:tcPr>
            <w:tcW w:w="0" w:type="auto"/>
            <w:shd w:val="clear" w:color="auto" w:fill="auto"/>
          </w:tcPr>
          <w:p w14:paraId="66398721" w14:textId="77777777" w:rsidR="008C5CFA" w:rsidRDefault="00E82A60" w:rsidP="00300A01">
            <w:pPr>
              <w:spacing w:before="0" w:after="0"/>
            </w:pPr>
            <w:r>
              <w:rPr>
                <w:noProof/>
              </w:rPr>
              <w:t>koszty kwalifikujące się do wsparcia w ramach EFS, ale objęte wsparciem w ramach EFRR</w:t>
            </w:r>
          </w:p>
        </w:tc>
        <w:tc>
          <w:tcPr>
            <w:tcW w:w="0" w:type="auto"/>
            <w:shd w:val="clear" w:color="auto" w:fill="auto"/>
          </w:tcPr>
          <w:p w14:paraId="4801E6B6" w14:textId="77777777" w:rsidR="008C5CFA" w:rsidRDefault="00E82A60" w:rsidP="00300A01">
            <w:pPr>
              <w:spacing w:before="0" w:after="0"/>
            </w:pPr>
            <w:r>
              <w:rPr>
                <w:noProof/>
              </w:rPr>
              <w:t>1</w:t>
            </w:r>
          </w:p>
        </w:tc>
        <w:tc>
          <w:tcPr>
            <w:tcW w:w="0" w:type="auto"/>
            <w:shd w:val="clear" w:color="auto" w:fill="auto"/>
          </w:tcPr>
          <w:p w14:paraId="0BFCB946" w14:textId="77777777" w:rsidR="008C5CFA" w:rsidRDefault="00E82A60" w:rsidP="00300A01">
            <w:pPr>
              <w:spacing w:before="0" w:after="0"/>
              <w:jc w:val="right"/>
            </w:pPr>
            <w:r>
              <w:rPr>
                <w:noProof/>
              </w:rPr>
              <w:t>922 559,28</w:t>
            </w:r>
          </w:p>
        </w:tc>
        <w:tc>
          <w:tcPr>
            <w:tcW w:w="0" w:type="auto"/>
            <w:shd w:val="clear" w:color="auto" w:fill="auto"/>
          </w:tcPr>
          <w:p w14:paraId="795C6E25" w14:textId="77777777" w:rsidR="008C5CFA" w:rsidRDefault="00E82A60" w:rsidP="00300A01">
            <w:pPr>
              <w:spacing w:before="0" w:after="0"/>
              <w:jc w:val="right"/>
            </w:pPr>
            <w:r>
              <w:rPr>
                <w:noProof/>
              </w:rPr>
              <w:t>1,02%</w:t>
            </w:r>
          </w:p>
        </w:tc>
        <w:tc>
          <w:tcPr>
            <w:tcW w:w="0" w:type="auto"/>
            <w:shd w:val="clear" w:color="auto" w:fill="auto"/>
          </w:tcPr>
          <w:p w14:paraId="69FA78BA" w14:textId="77777777" w:rsidR="008C5CFA" w:rsidRDefault="00E82A60" w:rsidP="00300A01">
            <w:pPr>
              <w:spacing w:before="0" w:after="0"/>
              <w:jc w:val="right"/>
            </w:pPr>
            <w:r>
              <w:rPr>
                <w:noProof/>
              </w:rPr>
              <w:t>48 335,57</w:t>
            </w:r>
          </w:p>
        </w:tc>
        <w:tc>
          <w:tcPr>
            <w:tcW w:w="0" w:type="auto"/>
            <w:shd w:val="clear" w:color="auto" w:fill="auto"/>
          </w:tcPr>
          <w:p w14:paraId="48F65801" w14:textId="77777777" w:rsidR="008C5CFA" w:rsidRDefault="00E82A60" w:rsidP="00300A01">
            <w:pPr>
              <w:spacing w:before="0" w:after="0"/>
              <w:jc w:val="right"/>
            </w:pPr>
            <w:r>
              <w:rPr>
                <w:noProof/>
              </w:rPr>
              <w:t>0,05%</w:t>
            </w:r>
          </w:p>
        </w:tc>
      </w:tr>
      <w:tr w:rsidR="006B2EC1" w14:paraId="0A148DAC" w14:textId="77777777" w:rsidTr="0047688D">
        <w:tc>
          <w:tcPr>
            <w:tcW w:w="0" w:type="auto"/>
            <w:shd w:val="clear" w:color="auto" w:fill="auto"/>
          </w:tcPr>
          <w:p w14:paraId="2BE063B2" w14:textId="77777777" w:rsidR="008C5CFA" w:rsidRDefault="00E82A60" w:rsidP="00300A01">
            <w:pPr>
              <w:spacing w:before="0" w:after="0"/>
            </w:pPr>
            <w:r>
              <w:rPr>
                <w:noProof/>
              </w:rPr>
              <w:t>koszty kwalifikujące się do wsparcia w ramach EFRR, ale objęte wsparciem w ramach EFS</w:t>
            </w:r>
          </w:p>
        </w:tc>
        <w:tc>
          <w:tcPr>
            <w:tcW w:w="0" w:type="auto"/>
            <w:shd w:val="clear" w:color="auto" w:fill="auto"/>
          </w:tcPr>
          <w:p w14:paraId="5A5D6C7E" w14:textId="77777777" w:rsidR="008C5CFA" w:rsidRDefault="00E82A60" w:rsidP="00300A01">
            <w:pPr>
              <w:spacing w:before="0" w:after="0"/>
            </w:pPr>
            <w:r>
              <w:rPr>
                <w:noProof/>
              </w:rPr>
              <w:t>10</w:t>
            </w:r>
          </w:p>
        </w:tc>
        <w:tc>
          <w:tcPr>
            <w:tcW w:w="0" w:type="auto"/>
            <w:shd w:val="clear" w:color="auto" w:fill="auto"/>
          </w:tcPr>
          <w:p w14:paraId="4D180CE4" w14:textId="77777777" w:rsidR="008C5CFA" w:rsidRDefault="00E82A60" w:rsidP="00300A01">
            <w:pPr>
              <w:spacing w:before="0" w:after="0"/>
              <w:jc w:val="right"/>
            </w:pPr>
            <w:r>
              <w:rPr>
                <w:noProof/>
              </w:rPr>
              <w:t>11 642 661,00</w:t>
            </w:r>
          </w:p>
        </w:tc>
        <w:tc>
          <w:tcPr>
            <w:tcW w:w="0" w:type="auto"/>
            <w:shd w:val="clear" w:color="auto" w:fill="auto"/>
          </w:tcPr>
          <w:p w14:paraId="2EB36EFB" w14:textId="77777777" w:rsidR="008C5CFA" w:rsidRDefault="00E82A60" w:rsidP="00300A01">
            <w:pPr>
              <w:spacing w:before="0" w:after="0"/>
              <w:jc w:val="right"/>
            </w:pPr>
            <w:r>
              <w:rPr>
                <w:noProof/>
              </w:rPr>
              <w:t>10,00%</w:t>
            </w:r>
          </w:p>
        </w:tc>
        <w:tc>
          <w:tcPr>
            <w:tcW w:w="0" w:type="auto"/>
            <w:shd w:val="clear" w:color="auto" w:fill="auto"/>
          </w:tcPr>
          <w:p w14:paraId="34B55918" w14:textId="77777777" w:rsidR="008C5CFA" w:rsidRDefault="00E82A60" w:rsidP="00300A01">
            <w:pPr>
              <w:spacing w:before="0" w:after="0"/>
              <w:jc w:val="right"/>
            </w:pPr>
            <w:r>
              <w:rPr>
                <w:noProof/>
              </w:rPr>
              <w:t>1 238,07</w:t>
            </w:r>
          </w:p>
        </w:tc>
        <w:tc>
          <w:tcPr>
            <w:tcW w:w="0" w:type="auto"/>
            <w:shd w:val="clear" w:color="auto" w:fill="auto"/>
          </w:tcPr>
          <w:p w14:paraId="2C27B341" w14:textId="77777777" w:rsidR="008C5CFA" w:rsidRDefault="00E82A60" w:rsidP="00300A01">
            <w:pPr>
              <w:spacing w:before="0" w:after="0"/>
              <w:jc w:val="right"/>
            </w:pPr>
            <w:r>
              <w:rPr>
                <w:noProof/>
              </w:rPr>
              <w:t>0,00%</w:t>
            </w:r>
          </w:p>
        </w:tc>
      </w:tr>
      <w:tr w:rsidR="006B2EC1" w14:paraId="2ACFAA26" w14:textId="77777777" w:rsidTr="0047688D">
        <w:tc>
          <w:tcPr>
            <w:tcW w:w="0" w:type="auto"/>
            <w:shd w:val="clear" w:color="auto" w:fill="auto"/>
          </w:tcPr>
          <w:p w14:paraId="518BB6C8" w14:textId="77777777" w:rsidR="008C5CFA" w:rsidRDefault="00E82A60" w:rsidP="00300A01">
            <w:pPr>
              <w:spacing w:before="0" w:after="0"/>
            </w:pPr>
            <w:r>
              <w:rPr>
                <w:noProof/>
              </w:rPr>
              <w:t>koszty kwalifikujące się do wsparcia w ramach EFRR, ale objęte wsparciem w ramach EFS</w:t>
            </w:r>
          </w:p>
        </w:tc>
        <w:tc>
          <w:tcPr>
            <w:tcW w:w="0" w:type="auto"/>
            <w:shd w:val="clear" w:color="auto" w:fill="auto"/>
          </w:tcPr>
          <w:p w14:paraId="77EFF271" w14:textId="77777777" w:rsidR="008C5CFA" w:rsidRDefault="00E82A60" w:rsidP="00300A01">
            <w:pPr>
              <w:spacing w:before="0" w:after="0"/>
            </w:pPr>
            <w:r>
              <w:rPr>
                <w:noProof/>
              </w:rPr>
              <w:t>11</w:t>
            </w:r>
          </w:p>
        </w:tc>
        <w:tc>
          <w:tcPr>
            <w:tcW w:w="0" w:type="auto"/>
            <w:shd w:val="clear" w:color="auto" w:fill="auto"/>
          </w:tcPr>
          <w:p w14:paraId="4B34C672" w14:textId="77777777" w:rsidR="008C5CFA" w:rsidRDefault="00E82A60" w:rsidP="00300A01">
            <w:pPr>
              <w:spacing w:before="0" w:after="0"/>
              <w:jc w:val="right"/>
            </w:pPr>
            <w:r>
              <w:rPr>
                <w:noProof/>
              </w:rPr>
              <w:t>0,00</w:t>
            </w:r>
          </w:p>
        </w:tc>
        <w:tc>
          <w:tcPr>
            <w:tcW w:w="0" w:type="auto"/>
            <w:shd w:val="clear" w:color="auto" w:fill="auto"/>
          </w:tcPr>
          <w:p w14:paraId="42ADE4BF" w14:textId="77777777" w:rsidR="008C5CFA" w:rsidRDefault="008C5CFA" w:rsidP="00300A01">
            <w:pPr>
              <w:spacing w:before="0" w:after="0"/>
              <w:jc w:val="right"/>
            </w:pPr>
          </w:p>
        </w:tc>
        <w:tc>
          <w:tcPr>
            <w:tcW w:w="0" w:type="auto"/>
            <w:shd w:val="clear" w:color="auto" w:fill="auto"/>
          </w:tcPr>
          <w:p w14:paraId="242D4B5B" w14:textId="77777777" w:rsidR="008C5CFA" w:rsidRDefault="00E82A60" w:rsidP="00300A01">
            <w:pPr>
              <w:spacing w:before="0" w:after="0"/>
              <w:jc w:val="right"/>
            </w:pPr>
            <w:r>
              <w:rPr>
                <w:noProof/>
              </w:rPr>
              <w:t>0,00</w:t>
            </w:r>
          </w:p>
        </w:tc>
        <w:tc>
          <w:tcPr>
            <w:tcW w:w="0" w:type="auto"/>
            <w:shd w:val="clear" w:color="auto" w:fill="auto"/>
          </w:tcPr>
          <w:p w14:paraId="78B09EF9" w14:textId="77777777" w:rsidR="008C5CFA" w:rsidRDefault="008C5CFA" w:rsidP="00300A01">
            <w:pPr>
              <w:spacing w:before="0" w:after="0"/>
              <w:jc w:val="right"/>
            </w:pPr>
          </w:p>
        </w:tc>
      </w:tr>
      <w:tr w:rsidR="006B2EC1" w14:paraId="752C810C" w14:textId="77777777" w:rsidTr="0047688D">
        <w:tc>
          <w:tcPr>
            <w:tcW w:w="0" w:type="auto"/>
            <w:shd w:val="clear" w:color="auto" w:fill="auto"/>
          </w:tcPr>
          <w:p w14:paraId="7BBF38A9" w14:textId="77777777" w:rsidR="008C5CFA" w:rsidRDefault="00E82A60" w:rsidP="00300A01">
            <w:pPr>
              <w:spacing w:before="0" w:after="0"/>
            </w:pPr>
            <w:r>
              <w:rPr>
                <w:noProof/>
              </w:rPr>
              <w:t>koszty kwalifikujące się do wsparcia w ramach EFS, ale objęte wsparciem w ramach EFRR</w:t>
            </w:r>
          </w:p>
        </w:tc>
        <w:tc>
          <w:tcPr>
            <w:tcW w:w="0" w:type="auto"/>
            <w:shd w:val="clear" w:color="auto" w:fill="auto"/>
          </w:tcPr>
          <w:p w14:paraId="71EDA8D2" w14:textId="77777777" w:rsidR="008C5CFA" w:rsidRDefault="00E82A60" w:rsidP="00300A01">
            <w:pPr>
              <w:spacing w:before="0" w:after="0"/>
            </w:pPr>
            <w:r>
              <w:rPr>
                <w:noProof/>
              </w:rPr>
              <w:t>2</w:t>
            </w:r>
          </w:p>
        </w:tc>
        <w:tc>
          <w:tcPr>
            <w:tcW w:w="0" w:type="auto"/>
            <w:shd w:val="clear" w:color="auto" w:fill="auto"/>
          </w:tcPr>
          <w:p w14:paraId="45728330" w14:textId="77777777" w:rsidR="008C5CFA" w:rsidRDefault="00E82A60" w:rsidP="00300A01">
            <w:pPr>
              <w:spacing w:before="0" w:after="0"/>
              <w:jc w:val="right"/>
            </w:pPr>
            <w:r>
              <w:rPr>
                <w:noProof/>
              </w:rPr>
              <w:t>216 364,45</w:t>
            </w:r>
          </w:p>
        </w:tc>
        <w:tc>
          <w:tcPr>
            <w:tcW w:w="0" w:type="auto"/>
            <w:shd w:val="clear" w:color="auto" w:fill="auto"/>
          </w:tcPr>
          <w:p w14:paraId="551FAEDD" w14:textId="77777777" w:rsidR="008C5CFA" w:rsidRDefault="00E82A60" w:rsidP="00300A01">
            <w:pPr>
              <w:spacing w:before="0" w:after="0"/>
              <w:jc w:val="right"/>
            </w:pPr>
            <w:r>
              <w:rPr>
                <w:noProof/>
              </w:rPr>
              <w:t>0,14%</w:t>
            </w:r>
          </w:p>
        </w:tc>
        <w:tc>
          <w:tcPr>
            <w:tcW w:w="0" w:type="auto"/>
            <w:shd w:val="clear" w:color="auto" w:fill="auto"/>
          </w:tcPr>
          <w:p w14:paraId="3B8439BD" w14:textId="77777777" w:rsidR="008C5CFA" w:rsidRDefault="00E82A60" w:rsidP="00300A01">
            <w:pPr>
              <w:spacing w:before="0" w:after="0"/>
              <w:jc w:val="right"/>
            </w:pPr>
            <w:r>
              <w:rPr>
                <w:noProof/>
              </w:rPr>
              <w:t>1 644,47</w:t>
            </w:r>
          </w:p>
        </w:tc>
        <w:tc>
          <w:tcPr>
            <w:tcW w:w="0" w:type="auto"/>
            <w:shd w:val="clear" w:color="auto" w:fill="auto"/>
          </w:tcPr>
          <w:p w14:paraId="5AA7DF40" w14:textId="77777777" w:rsidR="008C5CFA" w:rsidRDefault="00E82A60" w:rsidP="00300A01">
            <w:pPr>
              <w:spacing w:before="0" w:after="0"/>
              <w:jc w:val="right"/>
            </w:pPr>
            <w:r>
              <w:rPr>
                <w:noProof/>
              </w:rPr>
              <w:t>0,00%</w:t>
            </w:r>
          </w:p>
        </w:tc>
      </w:tr>
      <w:tr w:rsidR="006B2EC1" w14:paraId="6AE6EAE5" w14:textId="77777777" w:rsidTr="0047688D">
        <w:tc>
          <w:tcPr>
            <w:tcW w:w="0" w:type="auto"/>
            <w:shd w:val="clear" w:color="auto" w:fill="auto"/>
          </w:tcPr>
          <w:p w14:paraId="475FB1A7" w14:textId="77777777" w:rsidR="008C5CFA" w:rsidRDefault="00E82A60" w:rsidP="00300A01">
            <w:pPr>
              <w:spacing w:before="0" w:after="0"/>
            </w:pPr>
            <w:r>
              <w:rPr>
                <w:noProof/>
              </w:rPr>
              <w:t>koszty kwalifikujące się do wsparcia w ramach EFS, ale objęte wsparciem w ramach EFRR</w:t>
            </w:r>
          </w:p>
        </w:tc>
        <w:tc>
          <w:tcPr>
            <w:tcW w:w="0" w:type="auto"/>
            <w:shd w:val="clear" w:color="auto" w:fill="auto"/>
          </w:tcPr>
          <w:p w14:paraId="3D2F3D18" w14:textId="77777777" w:rsidR="008C5CFA" w:rsidRDefault="00E82A60" w:rsidP="00300A01">
            <w:pPr>
              <w:spacing w:before="0" w:after="0"/>
            </w:pPr>
            <w:r>
              <w:rPr>
                <w:noProof/>
              </w:rPr>
              <w:t>3</w:t>
            </w:r>
          </w:p>
        </w:tc>
        <w:tc>
          <w:tcPr>
            <w:tcW w:w="0" w:type="auto"/>
            <w:shd w:val="clear" w:color="auto" w:fill="auto"/>
          </w:tcPr>
          <w:p w14:paraId="58478AFF" w14:textId="77777777" w:rsidR="008C5CFA" w:rsidRDefault="00E82A60" w:rsidP="00300A01">
            <w:pPr>
              <w:spacing w:before="0" w:after="0"/>
              <w:jc w:val="right"/>
            </w:pPr>
            <w:r>
              <w:rPr>
                <w:noProof/>
              </w:rPr>
              <w:t>0,00</w:t>
            </w:r>
          </w:p>
        </w:tc>
        <w:tc>
          <w:tcPr>
            <w:tcW w:w="0" w:type="auto"/>
            <w:shd w:val="clear" w:color="auto" w:fill="auto"/>
          </w:tcPr>
          <w:p w14:paraId="4BAC4B34" w14:textId="77777777" w:rsidR="008C5CFA" w:rsidRDefault="008C5CFA" w:rsidP="00300A01">
            <w:pPr>
              <w:spacing w:before="0" w:after="0"/>
              <w:jc w:val="right"/>
            </w:pPr>
          </w:p>
        </w:tc>
        <w:tc>
          <w:tcPr>
            <w:tcW w:w="0" w:type="auto"/>
            <w:shd w:val="clear" w:color="auto" w:fill="auto"/>
          </w:tcPr>
          <w:p w14:paraId="2BCDD951" w14:textId="77777777" w:rsidR="008C5CFA" w:rsidRDefault="00E82A60" w:rsidP="00300A01">
            <w:pPr>
              <w:spacing w:before="0" w:after="0"/>
              <w:jc w:val="right"/>
            </w:pPr>
            <w:r>
              <w:rPr>
                <w:noProof/>
              </w:rPr>
              <w:t>0,00</w:t>
            </w:r>
          </w:p>
        </w:tc>
        <w:tc>
          <w:tcPr>
            <w:tcW w:w="0" w:type="auto"/>
            <w:shd w:val="clear" w:color="auto" w:fill="auto"/>
          </w:tcPr>
          <w:p w14:paraId="1316C096" w14:textId="77777777" w:rsidR="008C5CFA" w:rsidRDefault="008C5CFA" w:rsidP="00300A01">
            <w:pPr>
              <w:spacing w:before="0" w:after="0"/>
              <w:jc w:val="right"/>
            </w:pPr>
          </w:p>
        </w:tc>
      </w:tr>
      <w:tr w:rsidR="006B2EC1" w14:paraId="5934CBCF" w14:textId="77777777" w:rsidTr="0047688D">
        <w:tc>
          <w:tcPr>
            <w:tcW w:w="0" w:type="auto"/>
            <w:shd w:val="clear" w:color="auto" w:fill="auto"/>
          </w:tcPr>
          <w:p w14:paraId="37CE3A12" w14:textId="77777777" w:rsidR="008C5CFA" w:rsidRDefault="00E82A60" w:rsidP="00300A01">
            <w:pPr>
              <w:spacing w:before="0" w:after="0"/>
            </w:pPr>
            <w:r>
              <w:rPr>
                <w:noProof/>
              </w:rPr>
              <w:lastRenderedPageBreak/>
              <w:t>koszty kwalifikujące się do wsparcia w ramach EFS, ale objęte wsparciem w ramach EFRR</w:t>
            </w:r>
          </w:p>
        </w:tc>
        <w:tc>
          <w:tcPr>
            <w:tcW w:w="0" w:type="auto"/>
            <w:shd w:val="clear" w:color="auto" w:fill="auto"/>
          </w:tcPr>
          <w:p w14:paraId="7D968726" w14:textId="77777777" w:rsidR="008C5CFA" w:rsidRDefault="00E82A60" w:rsidP="00300A01">
            <w:pPr>
              <w:spacing w:before="0" w:after="0"/>
            </w:pPr>
            <w:r>
              <w:rPr>
                <w:noProof/>
              </w:rPr>
              <w:t>4</w:t>
            </w:r>
          </w:p>
        </w:tc>
        <w:tc>
          <w:tcPr>
            <w:tcW w:w="0" w:type="auto"/>
            <w:shd w:val="clear" w:color="auto" w:fill="auto"/>
          </w:tcPr>
          <w:p w14:paraId="12CBA901" w14:textId="77777777" w:rsidR="008C5CFA" w:rsidRDefault="00E82A60" w:rsidP="00300A01">
            <w:pPr>
              <w:spacing w:before="0" w:after="0"/>
              <w:jc w:val="right"/>
            </w:pPr>
            <w:r>
              <w:rPr>
                <w:noProof/>
              </w:rPr>
              <w:t>0,00</w:t>
            </w:r>
          </w:p>
        </w:tc>
        <w:tc>
          <w:tcPr>
            <w:tcW w:w="0" w:type="auto"/>
            <w:shd w:val="clear" w:color="auto" w:fill="auto"/>
          </w:tcPr>
          <w:p w14:paraId="2A1F49EE" w14:textId="77777777" w:rsidR="008C5CFA" w:rsidRDefault="008C5CFA" w:rsidP="00300A01">
            <w:pPr>
              <w:spacing w:before="0" w:after="0"/>
              <w:jc w:val="right"/>
            </w:pPr>
          </w:p>
        </w:tc>
        <w:tc>
          <w:tcPr>
            <w:tcW w:w="0" w:type="auto"/>
            <w:shd w:val="clear" w:color="auto" w:fill="auto"/>
          </w:tcPr>
          <w:p w14:paraId="0D63FCA4" w14:textId="77777777" w:rsidR="008C5CFA" w:rsidRDefault="00E82A60" w:rsidP="00300A01">
            <w:pPr>
              <w:spacing w:before="0" w:after="0"/>
              <w:jc w:val="right"/>
            </w:pPr>
            <w:r>
              <w:rPr>
                <w:noProof/>
              </w:rPr>
              <w:t>0,00</w:t>
            </w:r>
          </w:p>
        </w:tc>
        <w:tc>
          <w:tcPr>
            <w:tcW w:w="0" w:type="auto"/>
            <w:shd w:val="clear" w:color="auto" w:fill="auto"/>
          </w:tcPr>
          <w:p w14:paraId="4FDFD680" w14:textId="77777777" w:rsidR="008C5CFA" w:rsidRDefault="008C5CFA" w:rsidP="00300A01">
            <w:pPr>
              <w:spacing w:before="0" w:after="0"/>
              <w:jc w:val="right"/>
            </w:pPr>
          </w:p>
        </w:tc>
      </w:tr>
      <w:tr w:rsidR="006B2EC1" w14:paraId="79BDEB21" w14:textId="77777777" w:rsidTr="0047688D">
        <w:tc>
          <w:tcPr>
            <w:tcW w:w="0" w:type="auto"/>
            <w:shd w:val="clear" w:color="auto" w:fill="auto"/>
          </w:tcPr>
          <w:p w14:paraId="597B9FD6" w14:textId="77777777" w:rsidR="008C5CFA" w:rsidRDefault="00E82A60" w:rsidP="00300A01">
            <w:pPr>
              <w:spacing w:before="0" w:after="0"/>
            </w:pPr>
            <w:r>
              <w:rPr>
                <w:noProof/>
              </w:rPr>
              <w:t>koszty kwalifikujące się do wsparcia w ramach EFS, ale objęte wsparciem w ramach EFRR</w:t>
            </w:r>
          </w:p>
        </w:tc>
        <w:tc>
          <w:tcPr>
            <w:tcW w:w="0" w:type="auto"/>
            <w:shd w:val="clear" w:color="auto" w:fill="auto"/>
          </w:tcPr>
          <w:p w14:paraId="76AFB433" w14:textId="77777777" w:rsidR="008C5CFA" w:rsidRDefault="00E82A60" w:rsidP="00300A01">
            <w:pPr>
              <w:spacing w:before="0" w:after="0"/>
            </w:pPr>
            <w:r>
              <w:rPr>
                <w:noProof/>
              </w:rPr>
              <w:t>5</w:t>
            </w:r>
          </w:p>
        </w:tc>
        <w:tc>
          <w:tcPr>
            <w:tcW w:w="0" w:type="auto"/>
            <w:shd w:val="clear" w:color="auto" w:fill="auto"/>
          </w:tcPr>
          <w:p w14:paraId="4DA0F21A" w14:textId="77777777" w:rsidR="008C5CFA" w:rsidRDefault="00E82A60" w:rsidP="00300A01">
            <w:pPr>
              <w:spacing w:before="0" w:after="0"/>
              <w:jc w:val="right"/>
            </w:pPr>
            <w:r>
              <w:rPr>
                <w:noProof/>
              </w:rPr>
              <w:t>0,00</w:t>
            </w:r>
          </w:p>
        </w:tc>
        <w:tc>
          <w:tcPr>
            <w:tcW w:w="0" w:type="auto"/>
            <w:shd w:val="clear" w:color="auto" w:fill="auto"/>
          </w:tcPr>
          <w:p w14:paraId="3274A6BD" w14:textId="77777777" w:rsidR="008C5CFA" w:rsidRDefault="008C5CFA" w:rsidP="00300A01">
            <w:pPr>
              <w:spacing w:before="0" w:after="0"/>
              <w:jc w:val="right"/>
            </w:pPr>
          </w:p>
        </w:tc>
        <w:tc>
          <w:tcPr>
            <w:tcW w:w="0" w:type="auto"/>
            <w:shd w:val="clear" w:color="auto" w:fill="auto"/>
          </w:tcPr>
          <w:p w14:paraId="402D6B97" w14:textId="77777777" w:rsidR="008C5CFA" w:rsidRDefault="00E82A60" w:rsidP="00300A01">
            <w:pPr>
              <w:spacing w:before="0" w:after="0"/>
              <w:jc w:val="right"/>
            </w:pPr>
            <w:r>
              <w:rPr>
                <w:noProof/>
              </w:rPr>
              <w:t>0,00</w:t>
            </w:r>
          </w:p>
        </w:tc>
        <w:tc>
          <w:tcPr>
            <w:tcW w:w="0" w:type="auto"/>
            <w:shd w:val="clear" w:color="auto" w:fill="auto"/>
          </w:tcPr>
          <w:p w14:paraId="29854BE9" w14:textId="77777777" w:rsidR="008C5CFA" w:rsidRDefault="008C5CFA" w:rsidP="00300A01">
            <w:pPr>
              <w:spacing w:before="0" w:after="0"/>
              <w:jc w:val="right"/>
            </w:pPr>
          </w:p>
        </w:tc>
      </w:tr>
      <w:tr w:rsidR="006B2EC1" w14:paraId="1119757B" w14:textId="77777777" w:rsidTr="0047688D">
        <w:tc>
          <w:tcPr>
            <w:tcW w:w="0" w:type="auto"/>
            <w:shd w:val="clear" w:color="auto" w:fill="auto"/>
          </w:tcPr>
          <w:p w14:paraId="05F247C1" w14:textId="77777777" w:rsidR="008C5CFA" w:rsidRDefault="00E82A60" w:rsidP="00300A01">
            <w:pPr>
              <w:spacing w:before="0" w:after="0"/>
            </w:pPr>
            <w:r>
              <w:rPr>
                <w:noProof/>
              </w:rPr>
              <w:t>koszty kwalifikujące się do wsparcia w ramach EFS, ale objęte wsparciem w ramach EFRR</w:t>
            </w:r>
          </w:p>
        </w:tc>
        <w:tc>
          <w:tcPr>
            <w:tcW w:w="0" w:type="auto"/>
            <w:shd w:val="clear" w:color="auto" w:fill="auto"/>
          </w:tcPr>
          <w:p w14:paraId="3AB766D8" w14:textId="77777777" w:rsidR="008C5CFA" w:rsidRDefault="00E82A60" w:rsidP="00300A01">
            <w:pPr>
              <w:spacing w:before="0" w:after="0"/>
            </w:pPr>
            <w:r>
              <w:rPr>
                <w:noProof/>
              </w:rPr>
              <w:t>6</w:t>
            </w:r>
          </w:p>
        </w:tc>
        <w:tc>
          <w:tcPr>
            <w:tcW w:w="0" w:type="auto"/>
            <w:shd w:val="clear" w:color="auto" w:fill="auto"/>
          </w:tcPr>
          <w:p w14:paraId="28F13AFF" w14:textId="77777777" w:rsidR="008C5CFA" w:rsidRDefault="00E82A60" w:rsidP="00300A01">
            <w:pPr>
              <w:spacing w:before="0" w:after="0"/>
              <w:jc w:val="right"/>
            </w:pPr>
            <w:r>
              <w:rPr>
                <w:noProof/>
              </w:rPr>
              <w:t>0,00</w:t>
            </w:r>
          </w:p>
        </w:tc>
        <w:tc>
          <w:tcPr>
            <w:tcW w:w="0" w:type="auto"/>
            <w:shd w:val="clear" w:color="auto" w:fill="auto"/>
          </w:tcPr>
          <w:p w14:paraId="497109E6" w14:textId="77777777" w:rsidR="008C5CFA" w:rsidRDefault="008C5CFA" w:rsidP="00300A01">
            <w:pPr>
              <w:spacing w:before="0" w:after="0"/>
              <w:jc w:val="right"/>
            </w:pPr>
          </w:p>
        </w:tc>
        <w:tc>
          <w:tcPr>
            <w:tcW w:w="0" w:type="auto"/>
            <w:shd w:val="clear" w:color="auto" w:fill="auto"/>
          </w:tcPr>
          <w:p w14:paraId="10959E6A" w14:textId="77777777" w:rsidR="008C5CFA" w:rsidRDefault="00E82A60" w:rsidP="00300A01">
            <w:pPr>
              <w:spacing w:before="0" w:after="0"/>
              <w:jc w:val="right"/>
            </w:pPr>
            <w:r>
              <w:rPr>
                <w:noProof/>
              </w:rPr>
              <w:t>0,00</w:t>
            </w:r>
          </w:p>
        </w:tc>
        <w:tc>
          <w:tcPr>
            <w:tcW w:w="0" w:type="auto"/>
            <w:shd w:val="clear" w:color="auto" w:fill="auto"/>
          </w:tcPr>
          <w:p w14:paraId="56EB0486" w14:textId="77777777" w:rsidR="008C5CFA" w:rsidRDefault="008C5CFA" w:rsidP="00300A01">
            <w:pPr>
              <w:spacing w:before="0" w:after="0"/>
              <w:jc w:val="right"/>
            </w:pPr>
          </w:p>
        </w:tc>
      </w:tr>
      <w:tr w:rsidR="006B2EC1" w14:paraId="546A32DC" w14:textId="77777777" w:rsidTr="0047688D">
        <w:tc>
          <w:tcPr>
            <w:tcW w:w="0" w:type="auto"/>
            <w:shd w:val="clear" w:color="auto" w:fill="auto"/>
          </w:tcPr>
          <w:p w14:paraId="18BC9946" w14:textId="77777777" w:rsidR="008C5CFA" w:rsidRDefault="00E82A60" w:rsidP="00300A01">
            <w:pPr>
              <w:spacing w:before="0" w:after="0"/>
            </w:pPr>
            <w:r>
              <w:rPr>
                <w:noProof/>
              </w:rPr>
              <w:t>koszty kwalifikujące się do wsparcia w ramach EFS, ale objęte wsparciem w ramach EFRR</w:t>
            </w:r>
          </w:p>
        </w:tc>
        <w:tc>
          <w:tcPr>
            <w:tcW w:w="0" w:type="auto"/>
            <w:shd w:val="clear" w:color="auto" w:fill="auto"/>
          </w:tcPr>
          <w:p w14:paraId="1650BEA4" w14:textId="77777777" w:rsidR="008C5CFA" w:rsidRDefault="00E82A60" w:rsidP="00300A01">
            <w:pPr>
              <w:spacing w:before="0" w:after="0"/>
            </w:pPr>
            <w:r>
              <w:rPr>
                <w:noProof/>
              </w:rPr>
              <w:t>7</w:t>
            </w:r>
          </w:p>
        </w:tc>
        <w:tc>
          <w:tcPr>
            <w:tcW w:w="0" w:type="auto"/>
            <w:shd w:val="clear" w:color="auto" w:fill="auto"/>
          </w:tcPr>
          <w:p w14:paraId="32AE5380" w14:textId="77777777" w:rsidR="008C5CFA" w:rsidRDefault="00E82A60" w:rsidP="00300A01">
            <w:pPr>
              <w:spacing w:before="0" w:after="0"/>
              <w:jc w:val="right"/>
            </w:pPr>
            <w:r>
              <w:rPr>
                <w:noProof/>
              </w:rPr>
              <w:t>896 467,22</w:t>
            </w:r>
          </w:p>
        </w:tc>
        <w:tc>
          <w:tcPr>
            <w:tcW w:w="0" w:type="auto"/>
            <w:shd w:val="clear" w:color="auto" w:fill="auto"/>
          </w:tcPr>
          <w:p w14:paraId="64C618A2" w14:textId="77777777" w:rsidR="008C5CFA" w:rsidRDefault="00E82A60" w:rsidP="00300A01">
            <w:pPr>
              <w:spacing w:before="0" w:after="0"/>
              <w:jc w:val="right"/>
            </w:pPr>
            <w:r>
              <w:rPr>
                <w:noProof/>
              </w:rPr>
              <w:t>0,73%</w:t>
            </w:r>
          </w:p>
        </w:tc>
        <w:tc>
          <w:tcPr>
            <w:tcW w:w="0" w:type="auto"/>
            <w:shd w:val="clear" w:color="auto" w:fill="auto"/>
          </w:tcPr>
          <w:p w14:paraId="1EABF577" w14:textId="77777777" w:rsidR="008C5CFA" w:rsidRDefault="00E82A60" w:rsidP="00300A01">
            <w:pPr>
              <w:spacing w:before="0" w:after="0"/>
              <w:jc w:val="right"/>
            </w:pPr>
            <w:r>
              <w:rPr>
                <w:noProof/>
              </w:rPr>
              <w:t>264 371,98</w:t>
            </w:r>
          </w:p>
        </w:tc>
        <w:tc>
          <w:tcPr>
            <w:tcW w:w="0" w:type="auto"/>
            <w:shd w:val="clear" w:color="auto" w:fill="auto"/>
          </w:tcPr>
          <w:p w14:paraId="45F49E50" w14:textId="77777777" w:rsidR="008C5CFA" w:rsidRDefault="00E82A60" w:rsidP="00300A01">
            <w:pPr>
              <w:spacing w:before="0" w:after="0"/>
              <w:jc w:val="right"/>
            </w:pPr>
            <w:r>
              <w:rPr>
                <w:noProof/>
              </w:rPr>
              <w:t>0,21%</w:t>
            </w:r>
          </w:p>
        </w:tc>
      </w:tr>
      <w:tr w:rsidR="006B2EC1" w14:paraId="37BDF1A9" w14:textId="77777777" w:rsidTr="0047688D">
        <w:tc>
          <w:tcPr>
            <w:tcW w:w="0" w:type="auto"/>
            <w:shd w:val="clear" w:color="auto" w:fill="auto"/>
          </w:tcPr>
          <w:p w14:paraId="092E0CEC" w14:textId="77777777" w:rsidR="008C5CFA" w:rsidRDefault="00E82A60" w:rsidP="00300A01">
            <w:pPr>
              <w:spacing w:before="0" w:after="0"/>
            </w:pPr>
            <w:r>
              <w:rPr>
                <w:noProof/>
              </w:rPr>
              <w:t>koszty kwalifikujące się do wsparcia w ramach EFRR, ale objęte wsparciem w ramach EFS</w:t>
            </w:r>
          </w:p>
        </w:tc>
        <w:tc>
          <w:tcPr>
            <w:tcW w:w="0" w:type="auto"/>
            <w:shd w:val="clear" w:color="auto" w:fill="auto"/>
          </w:tcPr>
          <w:p w14:paraId="46B27BE5" w14:textId="77777777" w:rsidR="008C5CFA" w:rsidRDefault="00E82A60" w:rsidP="00300A01">
            <w:pPr>
              <w:spacing w:before="0" w:after="0"/>
            </w:pPr>
            <w:r>
              <w:rPr>
                <w:noProof/>
              </w:rPr>
              <w:t>8</w:t>
            </w:r>
          </w:p>
        </w:tc>
        <w:tc>
          <w:tcPr>
            <w:tcW w:w="0" w:type="auto"/>
            <w:shd w:val="clear" w:color="auto" w:fill="auto"/>
          </w:tcPr>
          <w:p w14:paraId="4847E8F1" w14:textId="77777777" w:rsidR="008C5CFA" w:rsidRDefault="00E82A60" w:rsidP="00300A01">
            <w:pPr>
              <w:spacing w:before="0" w:after="0"/>
              <w:jc w:val="right"/>
            </w:pPr>
            <w:r>
              <w:rPr>
                <w:noProof/>
              </w:rPr>
              <w:t>10 176 074,00</w:t>
            </w:r>
          </w:p>
        </w:tc>
        <w:tc>
          <w:tcPr>
            <w:tcW w:w="0" w:type="auto"/>
            <w:shd w:val="clear" w:color="auto" w:fill="auto"/>
          </w:tcPr>
          <w:p w14:paraId="09C03CD9" w14:textId="77777777" w:rsidR="008C5CFA" w:rsidRDefault="00E82A60" w:rsidP="00300A01">
            <w:pPr>
              <w:spacing w:before="0" w:after="0"/>
              <w:jc w:val="right"/>
            </w:pPr>
            <w:r>
              <w:rPr>
                <w:noProof/>
              </w:rPr>
              <w:t>10,00%</w:t>
            </w:r>
          </w:p>
        </w:tc>
        <w:tc>
          <w:tcPr>
            <w:tcW w:w="0" w:type="auto"/>
            <w:shd w:val="clear" w:color="auto" w:fill="auto"/>
          </w:tcPr>
          <w:p w14:paraId="2EEAF566" w14:textId="77777777" w:rsidR="008C5CFA" w:rsidRDefault="00E82A60" w:rsidP="00300A01">
            <w:pPr>
              <w:spacing w:before="0" w:after="0"/>
              <w:jc w:val="right"/>
            </w:pPr>
            <w:r>
              <w:rPr>
                <w:noProof/>
              </w:rPr>
              <w:t>1 560 109,89</w:t>
            </w:r>
          </w:p>
        </w:tc>
        <w:tc>
          <w:tcPr>
            <w:tcW w:w="0" w:type="auto"/>
            <w:shd w:val="clear" w:color="auto" w:fill="auto"/>
          </w:tcPr>
          <w:p w14:paraId="06D5161C" w14:textId="77777777" w:rsidR="008C5CFA" w:rsidRDefault="00E82A60" w:rsidP="00300A01">
            <w:pPr>
              <w:spacing w:before="0" w:after="0"/>
              <w:jc w:val="right"/>
            </w:pPr>
            <w:r>
              <w:rPr>
                <w:noProof/>
              </w:rPr>
              <w:t>1,53%</w:t>
            </w:r>
          </w:p>
        </w:tc>
      </w:tr>
      <w:tr w:rsidR="006B2EC1" w14:paraId="4683B4D9" w14:textId="77777777" w:rsidTr="0047688D">
        <w:tc>
          <w:tcPr>
            <w:tcW w:w="0" w:type="auto"/>
            <w:shd w:val="clear" w:color="auto" w:fill="auto"/>
          </w:tcPr>
          <w:p w14:paraId="0CECB0CC" w14:textId="77777777" w:rsidR="008C5CFA" w:rsidRDefault="00E82A60" w:rsidP="00300A01">
            <w:pPr>
              <w:spacing w:before="0" w:after="0"/>
            </w:pPr>
            <w:r>
              <w:rPr>
                <w:noProof/>
              </w:rPr>
              <w:t>koszty kwalifikujące się do wsparcia w ramach EFRR, ale objęte wsparciem w ramach EFS</w:t>
            </w:r>
          </w:p>
        </w:tc>
        <w:tc>
          <w:tcPr>
            <w:tcW w:w="0" w:type="auto"/>
            <w:shd w:val="clear" w:color="auto" w:fill="auto"/>
          </w:tcPr>
          <w:p w14:paraId="6F4731C3" w14:textId="77777777" w:rsidR="008C5CFA" w:rsidRDefault="00E82A60" w:rsidP="00300A01">
            <w:pPr>
              <w:spacing w:before="0" w:after="0"/>
            </w:pPr>
            <w:r>
              <w:rPr>
                <w:noProof/>
              </w:rPr>
              <w:t>9</w:t>
            </w:r>
          </w:p>
        </w:tc>
        <w:tc>
          <w:tcPr>
            <w:tcW w:w="0" w:type="auto"/>
            <w:shd w:val="clear" w:color="auto" w:fill="auto"/>
          </w:tcPr>
          <w:p w14:paraId="194CF3C3" w14:textId="77777777" w:rsidR="008C5CFA" w:rsidRDefault="00E82A60" w:rsidP="00300A01">
            <w:pPr>
              <w:spacing w:before="0" w:after="0"/>
              <w:jc w:val="right"/>
            </w:pPr>
            <w:r>
              <w:rPr>
                <w:noProof/>
              </w:rPr>
              <w:t>9 262 190,00</w:t>
            </w:r>
          </w:p>
        </w:tc>
        <w:tc>
          <w:tcPr>
            <w:tcW w:w="0" w:type="auto"/>
            <w:shd w:val="clear" w:color="auto" w:fill="auto"/>
          </w:tcPr>
          <w:p w14:paraId="3830454D" w14:textId="77777777" w:rsidR="008C5CFA" w:rsidRDefault="00E82A60" w:rsidP="00300A01">
            <w:pPr>
              <w:spacing w:before="0" w:after="0"/>
              <w:jc w:val="right"/>
            </w:pPr>
            <w:r>
              <w:rPr>
                <w:noProof/>
              </w:rPr>
              <w:t>10,00%</w:t>
            </w:r>
          </w:p>
        </w:tc>
        <w:tc>
          <w:tcPr>
            <w:tcW w:w="0" w:type="auto"/>
            <w:shd w:val="clear" w:color="auto" w:fill="auto"/>
          </w:tcPr>
          <w:p w14:paraId="2EDF5D10" w14:textId="77777777" w:rsidR="008C5CFA" w:rsidRDefault="00E82A60" w:rsidP="00300A01">
            <w:pPr>
              <w:spacing w:before="0" w:after="0"/>
              <w:jc w:val="right"/>
            </w:pPr>
            <w:r>
              <w:rPr>
                <w:noProof/>
              </w:rPr>
              <w:t>3 430 573,45</w:t>
            </w:r>
          </w:p>
        </w:tc>
        <w:tc>
          <w:tcPr>
            <w:tcW w:w="0" w:type="auto"/>
            <w:shd w:val="clear" w:color="auto" w:fill="auto"/>
          </w:tcPr>
          <w:p w14:paraId="4A01EA3B" w14:textId="77777777" w:rsidR="008C5CFA" w:rsidRDefault="00E82A60" w:rsidP="00300A01">
            <w:pPr>
              <w:spacing w:before="0" w:after="0"/>
              <w:jc w:val="right"/>
            </w:pPr>
            <w:r>
              <w:rPr>
                <w:noProof/>
              </w:rPr>
              <w:t>3,70%</w:t>
            </w:r>
          </w:p>
        </w:tc>
      </w:tr>
    </w:tbl>
    <w:p w14:paraId="45BDB363" w14:textId="77777777" w:rsidR="008C5CFA" w:rsidRDefault="008C5CFA" w:rsidP="00300A01">
      <w:pPr>
        <w:spacing w:before="0" w:after="0"/>
        <w:rPr>
          <w:lang w:val="fr-BE"/>
        </w:rPr>
      </w:pPr>
    </w:p>
    <w:p w14:paraId="1997AC8B" w14:textId="77777777" w:rsidR="00C902C0" w:rsidRDefault="008C5CFA" w:rsidP="00C902C0">
      <w:pPr>
        <w:pStyle w:val="Nagwek2"/>
        <w:spacing w:before="0" w:after="0"/>
        <w:rPr>
          <w:lang w:val="fr-BE"/>
        </w:rPr>
      </w:pPr>
      <w:r>
        <w:rPr>
          <w:lang w:val="fr-BE"/>
        </w:rPr>
        <w:br w:type="page"/>
      </w:r>
      <w:r w:rsidR="00EA7BCC">
        <w:rPr>
          <w:lang w:val="fr-BE"/>
        </w:rPr>
        <w:lastRenderedPageBreak/>
        <w:t xml:space="preserve"> </w:t>
      </w:r>
      <w:bookmarkStart w:id="90" w:name="_Toc46391774"/>
      <w:r w:rsidR="00E82A60">
        <w:rPr>
          <w:lang w:val="fr-BE"/>
        </w:rPr>
        <w:t xml:space="preserve">Tabela 9: Koszt operacji realizowanych poza obszarem objętym programem (EFRR i Fundusz Spójności w ramach celu </w:t>
      </w:r>
      <w:r w:rsidR="00E82A60">
        <w:t>"</w:t>
      </w:r>
      <w:r w:rsidR="00E82A60">
        <w:rPr>
          <w:lang w:val="fr-BE"/>
        </w:rPr>
        <w:t>Inwestycje na rzecz wzrostu gospodarczego i zatrudnienia</w:t>
      </w:r>
      <w:r w:rsidR="00E82A60">
        <w:t>"</w:t>
      </w:r>
      <w:r w:rsidR="00E82A60">
        <w:rPr>
          <w:lang w:val="fr-BE"/>
        </w:rPr>
        <w:t>)</w:t>
      </w:r>
      <w:bookmarkEnd w:id="90"/>
    </w:p>
    <w:p w14:paraId="6AC30039" w14:textId="77777777" w:rsidR="00C902C0" w:rsidRDefault="00C902C0" w:rsidP="00C902C0">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4"/>
        <w:gridCol w:w="3090"/>
        <w:gridCol w:w="3383"/>
        <w:gridCol w:w="3744"/>
        <w:gridCol w:w="3383"/>
      </w:tblGrid>
      <w:tr w:rsidR="006B2EC1" w14:paraId="5AF5079E" w14:textId="77777777" w:rsidTr="003C0F39">
        <w:tc>
          <w:tcPr>
            <w:tcW w:w="0" w:type="auto"/>
            <w:shd w:val="clear" w:color="auto" w:fill="auto"/>
          </w:tcPr>
          <w:p w14:paraId="55EC7F98" w14:textId="77777777" w:rsidR="00C902C0" w:rsidRPr="00B52842" w:rsidRDefault="00E82A60" w:rsidP="003C0F39">
            <w:pPr>
              <w:spacing w:before="0" w:after="0"/>
              <w:jc w:val="center"/>
              <w:rPr>
                <w:b/>
                <w:lang w:val="fr-BE"/>
              </w:rPr>
            </w:pPr>
            <w:r w:rsidRPr="00B52842">
              <w:rPr>
                <w:b/>
                <w:lang w:val="fr-BE"/>
              </w:rPr>
              <w:t>1</w:t>
            </w:r>
          </w:p>
        </w:tc>
        <w:tc>
          <w:tcPr>
            <w:tcW w:w="0" w:type="auto"/>
            <w:shd w:val="clear" w:color="auto" w:fill="auto"/>
          </w:tcPr>
          <w:p w14:paraId="6CE7D1D8" w14:textId="77777777" w:rsidR="00C902C0" w:rsidRPr="00B52842" w:rsidRDefault="00E82A60" w:rsidP="003C0F39">
            <w:pPr>
              <w:spacing w:before="0" w:after="0"/>
              <w:jc w:val="center"/>
              <w:rPr>
                <w:b/>
                <w:lang w:val="fr-BE"/>
              </w:rPr>
            </w:pPr>
            <w:r w:rsidRPr="00B52842">
              <w:rPr>
                <w:b/>
                <w:lang w:val="fr-BE"/>
              </w:rPr>
              <w:t>2</w:t>
            </w:r>
          </w:p>
        </w:tc>
        <w:tc>
          <w:tcPr>
            <w:tcW w:w="0" w:type="auto"/>
            <w:shd w:val="clear" w:color="auto" w:fill="auto"/>
          </w:tcPr>
          <w:p w14:paraId="146A2D54" w14:textId="77777777" w:rsidR="00C902C0" w:rsidRPr="00B52842" w:rsidRDefault="00E82A60" w:rsidP="003C0F39">
            <w:pPr>
              <w:spacing w:before="0" w:after="0"/>
              <w:jc w:val="center"/>
              <w:rPr>
                <w:b/>
                <w:lang w:val="fr-BE"/>
              </w:rPr>
            </w:pPr>
            <w:r w:rsidRPr="00B52842">
              <w:rPr>
                <w:b/>
                <w:lang w:val="fr-BE"/>
              </w:rPr>
              <w:t>3</w:t>
            </w:r>
          </w:p>
        </w:tc>
        <w:tc>
          <w:tcPr>
            <w:tcW w:w="0" w:type="auto"/>
            <w:shd w:val="clear" w:color="auto" w:fill="auto"/>
          </w:tcPr>
          <w:p w14:paraId="4859ABAF" w14:textId="77777777" w:rsidR="00C902C0" w:rsidRPr="00B52842" w:rsidRDefault="00E82A60" w:rsidP="003C0F39">
            <w:pPr>
              <w:spacing w:before="0" w:after="0"/>
              <w:jc w:val="center"/>
              <w:rPr>
                <w:b/>
                <w:lang w:val="fr-BE"/>
              </w:rPr>
            </w:pPr>
            <w:r w:rsidRPr="00B52842">
              <w:rPr>
                <w:b/>
                <w:lang w:val="fr-BE"/>
              </w:rPr>
              <w:t>4</w:t>
            </w:r>
          </w:p>
        </w:tc>
        <w:tc>
          <w:tcPr>
            <w:tcW w:w="0" w:type="auto"/>
            <w:shd w:val="clear" w:color="auto" w:fill="auto"/>
          </w:tcPr>
          <w:p w14:paraId="331C2CF2" w14:textId="77777777" w:rsidR="00C902C0" w:rsidRPr="00B52842" w:rsidRDefault="00E82A60" w:rsidP="003C0F39">
            <w:pPr>
              <w:spacing w:before="0" w:after="0"/>
              <w:jc w:val="center"/>
              <w:rPr>
                <w:b/>
                <w:lang w:val="fr-BE"/>
              </w:rPr>
            </w:pPr>
            <w:r w:rsidRPr="00B52842">
              <w:rPr>
                <w:b/>
                <w:lang w:val="fr-BE"/>
              </w:rPr>
              <w:t>5</w:t>
            </w:r>
          </w:p>
        </w:tc>
      </w:tr>
      <w:tr w:rsidR="006B2EC1" w14:paraId="62E38AA5" w14:textId="77777777" w:rsidTr="003C0F39">
        <w:tc>
          <w:tcPr>
            <w:tcW w:w="0" w:type="auto"/>
            <w:shd w:val="clear" w:color="auto" w:fill="auto"/>
          </w:tcPr>
          <w:p w14:paraId="05323216" w14:textId="77777777" w:rsidR="00C902C0" w:rsidRPr="00B52842" w:rsidRDefault="00E82A60" w:rsidP="003C0F39">
            <w:pPr>
              <w:spacing w:before="0" w:after="0"/>
              <w:rPr>
                <w:b/>
                <w:lang w:val="fr-BE"/>
              </w:rPr>
            </w:pPr>
            <w:r w:rsidRPr="00B52842">
              <w:rPr>
                <w:b/>
                <w:noProof/>
                <w:lang w:val="fr-BE"/>
              </w:rPr>
              <w:t>Oś priorytetowa</w:t>
            </w:r>
          </w:p>
        </w:tc>
        <w:tc>
          <w:tcPr>
            <w:tcW w:w="0" w:type="auto"/>
            <w:shd w:val="clear" w:color="auto" w:fill="auto"/>
          </w:tcPr>
          <w:p w14:paraId="71B828DE" w14:textId="77777777" w:rsidR="00C902C0" w:rsidRPr="00B52842" w:rsidRDefault="00E82A60" w:rsidP="003C0F39">
            <w:pPr>
              <w:spacing w:before="0" w:after="0"/>
              <w:rPr>
                <w:b/>
                <w:lang w:val="fr-BE"/>
              </w:rPr>
            </w:pPr>
            <w:r w:rsidRPr="00B52842">
              <w:rPr>
                <w:b/>
                <w:noProof/>
                <w:lang w:val="fr-BE"/>
              </w:rPr>
              <w:t>Kwota wsparcia UE, jaką przewiduje się wykorzystać na operacje realizowane poza obszarem objętym programem na podstawie wybranych operacji (w EUR)</w:t>
            </w:r>
          </w:p>
        </w:tc>
        <w:tc>
          <w:tcPr>
            <w:tcW w:w="0" w:type="auto"/>
            <w:shd w:val="clear" w:color="auto" w:fill="auto"/>
          </w:tcPr>
          <w:p w14:paraId="4104B34D" w14:textId="77777777" w:rsidR="00C902C0" w:rsidRPr="00B52842" w:rsidRDefault="00E82A60" w:rsidP="003C0F39">
            <w:pPr>
              <w:spacing w:before="0" w:after="0"/>
              <w:rPr>
                <w:b/>
                <w:lang w:val="fr-BE"/>
              </w:rPr>
            </w:pPr>
            <w:r w:rsidRPr="00B52842">
              <w:rPr>
                <w:b/>
                <w:noProof/>
                <w:lang w:val="fr-BE"/>
              </w:rPr>
              <w:t>Jako część wsparcia UE dla osi priorytetowej w momencie przyjęcia programu (%) (2/wsparcie UE dla osi priorytetowej w momencie przyjęcia programu*100)</w:t>
            </w:r>
          </w:p>
        </w:tc>
        <w:tc>
          <w:tcPr>
            <w:tcW w:w="0" w:type="auto"/>
            <w:shd w:val="clear" w:color="auto" w:fill="auto"/>
          </w:tcPr>
          <w:p w14:paraId="6C5F651D" w14:textId="77777777" w:rsidR="00C902C0" w:rsidRPr="00B52842" w:rsidRDefault="00E82A60" w:rsidP="003C0F39">
            <w:pPr>
              <w:spacing w:before="0" w:after="0"/>
              <w:rPr>
                <w:b/>
                <w:lang w:val="fr-BE"/>
              </w:rPr>
            </w:pPr>
            <w:r w:rsidRPr="00B52842">
              <w:rPr>
                <w:b/>
                <w:noProof/>
                <w:lang w:val="fr-BE"/>
              </w:rPr>
              <w:t>Kwota wsparcia UE podczas operacji realizowanych poza obszarem objętym programem w oparciu o wydatki kwalifikowalne zadeklarowane przez beneficjentów instytucji zarządzającej (w EUR)</w:t>
            </w:r>
          </w:p>
        </w:tc>
        <w:tc>
          <w:tcPr>
            <w:tcW w:w="0" w:type="auto"/>
            <w:shd w:val="clear" w:color="auto" w:fill="auto"/>
          </w:tcPr>
          <w:p w14:paraId="22B70911" w14:textId="77777777" w:rsidR="00C902C0" w:rsidRPr="00B52842" w:rsidRDefault="00E82A60" w:rsidP="003C0F39">
            <w:pPr>
              <w:spacing w:before="0" w:after="0"/>
              <w:rPr>
                <w:b/>
                <w:lang w:val="fr-BE"/>
              </w:rPr>
            </w:pPr>
            <w:r w:rsidRPr="00B52842">
              <w:rPr>
                <w:b/>
                <w:noProof/>
                <w:lang w:val="fr-BE"/>
              </w:rPr>
              <w:t>Jako część wsparcia UE dla osi priorytetowej w momencie przyjęcia programu (%) (4/wsparcie UE dla osi priorytetowej w momencie przyjęcia programu*100)</w:t>
            </w:r>
          </w:p>
        </w:tc>
      </w:tr>
      <w:tr w:rsidR="006B2EC1" w14:paraId="2511B8EA" w14:textId="77777777" w:rsidTr="003C0F39">
        <w:tc>
          <w:tcPr>
            <w:tcW w:w="0" w:type="auto"/>
            <w:shd w:val="clear" w:color="auto" w:fill="auto"/>
          </w:tcPr>
          <w:p w14:paraId="4E4AC1FE" w14:textId="77777777" w:rsidR="00C902C0" w:rsidRPr="00B52842" w:rsidRDefault="00E82A60" w:rsidP="003C0F39">
            <w:pPr>
              <w:spacing w:before="0" w:after="0"/>
              <w:rPr>
                <w:lang w:val="fr-BE"/>
              </w:rPr>
            </w:pPr>
            <w:r w:rsidRPr="00B52842">
              <w:rPr>
                <w:noProof/>
                <w:lang w:val="fr-BE"/>
              </w:rPr>
              <w:t>1</w:t>
            </w:r>
          </w:p>
        </w:tc>
        <w:tc>
          <w:tcPr>
            <w:tcW w:w="0" w:type="auto"/>
            <w:shd w:val="clear" w:color="auto" w:fill="auto"/>
          </w:tcPr>
          <w:p w14:paraId="25011640" w14:textId="77777777" w:rsidR="00C902C0" w:rsidRPr="00B52842" w:rsidRDefault="00E82A60" w:rsidP="003C0F39">
            <w:pPr>
              <w:spacing w:before="0" w:after="0"/>
              <w:jc w:val="right"/>
              <w:rPr>
                <w:lang w:val="fr-BE"/>
              </w:rPr>
            </w:pPr>
            <w:r w:rsidRPr="00B52842">
              <w:rPr>
                <w:noProof/>
                <w:lang w:val="fr-BE"/>
              </w:rPr>
              <w:t>0,00</w:t>
            </w:r>
          </w:p>
        </w:tc>
        <w:tc>
          <w:tcPr>
            <w:tcW w:w="0" w:type="auto"/>
            <w:shd w:val="clear" w:color="auto" w:fill="auto"/>
          </w:tcPr>
          <w:p w14:paraId="35BF5B16" w14:textId="77777777" w:rsidR="00C902C0" w:rsidRPr="00B52842" w:rsidRDefault="00C902C0" w:rsidP="003C0F39">
            <w:pPr>
              <w:spacing w:before="0" w:after="0"/>
              <w:jc w:val="right"/>
              <w:rPr>
                <w:lang w:val="fr-BE"/>
              </w:rPr>
            </w:pPr>
          </w:p>
        </w:tc>
        <w:tc>
          <w:tcPr>
            <w:tcW w:w="0" w:type="auto"/>
            <w:shd w:val="clear" w:color="auto" w:fill="auto"/>
          </w:tcPr>
          <w:p w14:paraId="09161990" w14:textId="77777777" w:rsidR="00C902C0" w:rsidRPr="00B52842" w:rsidRDefault="00E82A60" w:rsidP="003C0F39">
            <w:pPr>
              <w:spacing w:before="0" w:after="0"/>
              <w:jc w:val="right"/>
              <w:rPr>
                <w:lang w:val="fr-BE"/>
              </w:rPr>
            </w:pPr>
            <w:r w:rsidRPr="00B52842">
              <w:rPr>
                <w:noProof/>
                <w:lang w:val="fr-BE"/>
              </w:rPr>
              <w:t>0,00</w:t>
            </w:r>
          </w:p>
        </w:tc>
        <w:tc>
          <w:tcPr>
            <w:tcW w:w="0" w:type="auto"/>
            <w:shd w:val="clear" w:color="auto" w:fill="auto"/>
          </w:tcPr>
          <w:p w14:paraId="2FDF5020" w14:textId="77777777" w:rsidR="00C902C0" w:rsidRPr="00B52842" w:rsidRDefault="00C902C0" w:rsidP="003C0F39">
            <w:pPr>
              <w:spacing w:before="0" w:after="0"/>
              <w:jc w:val="right"/>
              <w:rPr>
                <w:lang w:val="fr-BE"/>
              </w:rPr>
            </w:pPr>
          </w:p>
        </w:tc>
      </w:tr>
      <w:tr w:rsidR="006B2EC1" w14:paraId="668BF7F8" w14:textId="77777777" w:rsidTr="003C0F39">
        <w:tc>
          <w:tcPr>
            <w:tcW w:w="0" w:type="auto"/>
            <w:shd w:val="clear" w:color="auto" w:fill="auto"/>
          </w:tcPr>
          <w:p w14:paraId="33EFA1F4" w14:textId="77777777" w:rsidR="00C902C0" w:rsidRPr="00B52842" w:rsidRDefault="00E82A60" w:rsidP="003C0F39">
            <w:pPr>
              <w:spacing w:before="0" w:after="0"/>
              <w:rPr>
                <w:lang w:val="fr-BE"/>
              </w:rPr>
            </w:pPr>
            <w:r w:rsidRPr="00B52842">
              <w:rPr>
                <w:noProof/>
                <w:lang w:val="fr-BE"/>
              </w:rPr>
              <w:t>2</w:t>
            </w:r>
          </w:p>
        </w:tc>
        <w:tc>
          <w:tcPr>
            <w:tcW w:w="0" w:type="auto"/>
            <w:shd w:val="clear" w:color="auto" w:fill="auto"/>
          </w:tcPr>
          <w:p w14:paraId="0B24E948" w14:textId="77777777" w:rsidR="00C902C0" w:rsidRPr="00B52842" w:rsidRDefault="00E82A60" w:rsidP="003C0F39">
            <w:pPr>
              <w:spacing w:before="0" w:after="0"/>
              <w:jc w:val="right"/>
              <w:rPr>
                <w:lang w:val="fr-BE"/>
              </w:rPr>
            </w:pPr>
            <w:r w:rsidRPr="00B52842">
              <w:rPr>
                <w:noProof/>
                <w:lang w:val="fr-BE"/>
              </w:rPr>
              <w:t>0,00</w:t>
            </w:r>
          </w:p>
        </w:tc>
        <w:tc>
          <w:tcPr>
            <w:tcW w:w="0" w:type="auto"/>
            <w:shd w:val="clear" w:color="auto" w:fill="auto"/>
          </w:tcPr>
          <w:p w14:paraId="22162841" w14:textId="77777777" w:rsidR="00C902C0" w:rsidRPr="00B52842" w:rsidRDefault="00C902C0" w:rsidP="003C0F39">
            <w:pPr>
              <w:spacing w:before="0" w:after="0"/>
              <w:jc w:val="right"/>
              <w:rPr>
                <w:lang w:val="fr-BE"/>
              </w:rPr>
            </w:pPr>
          </w:p>
        </w:tc>
        <w:tc>
          <w:tcPr>
            <w:tcW w:w="0" w:type="auto"/>
            <w:shd w:val="clear" w:color="auto" w:fill="auto"/>
          </w:tcPr>
          <w:p w14:paraId="471308D3" w14:textId="77777777" w:rsidR="00C902C0" w:rsidRPr="00B52842" w:rsidRDefault="00E82A60" w:rsidP="003C0F39">
            <w:pPr>
              <w:spacing w:before="0" w:after="0"/>
              <w:jc w:val="right"/>
              <w:rPr>
                <w:lang w:val="fr-BE"/>
              </w:rPr>
            </w:pPr>
            <w:r w:rsidRPr="00B52842">
              <w:rPr>
                <w:noProof/>
                <w:lang w:val="fr-BE"/>
              </w:rPr>
              <w:t>0,00</w:t>
            </w:r>
          </w:p>
        </w:tc>
        <w:tc>
          <w:tcPr>
            <w:tcW w:w="0" w:type="auto"/>
            <w:shd w:val="clear" w:color="auto" w:fill="auto"/>
          </w:tcPr>
          <w:p w14:paraId="40465DDF" w14:textId="77777777" w:rsidR="00C902C0" w:rsidRPr="00B52842" w:rsidRDefault="00C902C0" w:rsidP="003C0F39">
            <w:pPr>
              <w:spacing w:before="0" w:after="0"/>
              <w:jc w:val="right"/>
              <w:rPr>
                <w:lang w:val="fr-BE"/>
              </w:rPr>
            </w:pPr>
          </w:p>
        </w:tc>
      </w:tr>
      <w:tr w:rsidR="006B2EC1" w14:paraId="01585570" w14:textId="77777777" w:rsidTr="003C0F39">
        <w:tc>
          <w:tcPr>
            <w:tcW w:w="0" w:type="auto"/>
            <w:shd w:val="clear" w:color="auto" w:fill="auto"/>
          </w:tcPr>
          <w:p w14:paraId="22B4DBA2" w14:textId="77777777" w:rsidR="00C902C0" w:rsidRPr="00B52842" w:rsidRDefault="00E82A60" w:rsidP="003C0F39">
            <w:pPr>
              <w:spacing w:before="0" w:after="0"/>
              <w:rPr>
                <w:lang w:val="fr-BE"/>
              </w:rPr>
            </w:pPr>
            <w:r w:rsidRPr="00B52842">
              <w:rPr>
                <w:noProof/>
                <w:lang w:val="fr-BE"/>
              </w:rPr>
              <w:t>3</w:t>
            </w:r>
          </w:p>
        </w:tc>
        <w:tc>
          <w:tcPr>
            <w:tcW w:w="0" w:type="auto"/>
            <w:shd w:val="clear" w:color="auto" w:fill="auto"/>
          </w:tcPr>
          <w:p w14:paraId="0F5A96F8" w14:textId="77777777" w:rsidR="00C902C0" w:rsidRPr="00B52842" w:rsidRDefault="00E82A60" w:rsidP="003C0F39">
            <w:pPr>
              <w:spacing w:before="0" w:after="0"/>
              <w:jc w:val="right"/>
              <w:rPr>
                <w:lang w:val="fr-BE"/>
              </w:rPr>
            </w:pPr>
            <w:r w:rsidRPr="00B52842">
              <w:rPr>
                <w:noProof/>
                <w:lang w:val="fr-BE"/>
              </w:rPr>
              <w:t>0,00</w:t>
            </w:r>
          </w:p>
        </w:tc>
        <w:tc>
          <w:tcPr>
            <w:tcW w:w="0" w:type="auto"/>
            <w:shd w:val="clear" w:color="auto" w:fill="auto"/>
          </w:tcPr>
          <w:p w14:paraId="215E55A7" w14:textId="77777777" w:rsidR="00C902C0" w:rsidRPr="00B52842" w:rsidRDefault="00C902C0" w:rsidP="003C0F39">
            <w:pPr>
              <w:spacing w:before="0" w:after="0"/>
              <w:jc w:val="right"/>
              <w:rPr>
                <w:lang w:val="fr-BE"/>
              </w:rPr>
            </w:pPr>
          </w:p>
        </w:tc>
        <w:tc>
          <w:tcPr>
            <w:tcW w:w="0" w:type="auto"/>
            <w:shd w:val="clear" w:color="auto" w:fill="auto"/>
          </w:tcPr>
          <w:p w14:paraId="3B08ABEE" w14:textId="77777777" w:rsidR="00C902C0" w:rsidRPr="00B52842" w:rsidRDefault="00E82A60" w:rsidP="003C0F39">
            <w:pPr>
              <w:spacing w:before="0" w:after="0"/>
              <w:jc w:val="right"/>
              <w:rPr>
                <w:lang w:val="fr-BE"/>
              </w:rPr>
            </w:pPr>
            <w:r w:rsidRPr="00B52842">
              <w:rPr>
                <w:noProof/>
                <w:lang w:val="fr-BE"/>
              </w:rPr>
              <w:t>0,00</w:t>
            </w:r>
          </w:p>
        </w:tc>
        <w:tc>
          <w:tcPr>
            <w:tcW w:w="0" w:type="auto"/>
            <w:shd w:val="clear" w:color="auto" w:fill="auto"/>
          </w:tcPr>
          <w:p w14:paraId="56B88F25" w14:textId="77777777" w:rsidR="00C902C0" w:rsidRPr="00B52842" w:rsidRDefault="00C902C0" w:rsidP="003C0F39">
            <w:pPr>
              <w:spacing w:before="0" w:after="0"/>
              <w:jc w:val="right"/>
              <w:rPr>
                <w:lang w:val="fr-BE"/>
              </w:rPr>
            </w:pPr>
          </w:p>
        </w:tc>
      </w:tr>
      <w:tr w:rsidR="006B2EC1" w14:paraId="47C3B87F" w14:textId="77777777" w:rsidTr="003C0F39">
        <w:tc>
          <w:tcPr>
            <w:tcW w:w="0" w:type="auto"/>
            <w:shd w:val="clear" w:color="auto" w:fill="auto"/>
          </w:tcPr>
          <w:p w14:paraId="34D258BE" w14:textId="77777777" w:rsidR="00C902C0" w:rsidRPr="00B52842" w:rsidRDefault="00E82A60" w:rsidP="003C0F39">
            <w:pPr>
              <w:spacing w:before="0" w:after="0"/>
              <w:rPr>
                <w:lang w:val="fr-BE"/>
              </w:rPr>
            </w:pPr>
            <w:r w:rsidRPr="00B52842">
              <w:rPr>
                <w:noProof/>
                <w:lang w:val="fr-BE"/>
              </w:rPr>
              <w:t>4</w:t>
            </w:r>
          </w:p>
        </w:tc>
        <w:tc>
          <w:tcPr>
            <w:tcW w:w="0" w:type="auto"/>
            <w:shd w:val="clear" w:color="auto" w:fill="auto"/>
          </w:tcPr>
          <w:p w14:paraId="04A34D91" w14:textId="77777777" w:rsidR="00C902C0" w:rsidRPr="00B52842" w:rsidRDefault="00E82A60" w:rsidP="003C0F39">
            <w:pPr>
              <w:spacing w:before="0" w:after="0"/>
              <w:jc w:val="right"/>
              <w:rPr>
                <w:lang w:val="fr-BE"/>
              </w:rPr>
            </w:pPr>
            <w:r w:rsidRPr="00B52842">
              <w:rPr>
                <w:noProof/>
                <w:lang w:val="fr-BE"/>
              </w:rPr>
              <w:t>0,00</w:t>
            </w:r>
          </w:p>
        </w:tc>
        <w:tc>
          <w:tcPr>
            <w:tcW w:w="0" w:type="auto"/>
            <w:shd w:val="clear" w:color="auto" w:fill="auto"/>
          </w:tcPr>
          <w:p w14:paraId="07E358CE" w14:textId="77777777" w:rsidR="00C902C0" w:rsidRPr="00B52842" w:rsidRDefault="00C902C0" w:rsidP="003C0F39">
            <w:pPr>
              <w:spacing w:before="0" w:after="0"/>
              <w:jc w:val="right"/>
              <w:rPr>
                <w:lang w:val="fr-BE"/>
              </w:rPr>
            </w:pPr>
          </w:p>
        </w:tc>
        <w:tc>
          <w:tcPr>
            <w:tcW w:w="0" w:type="auto"/>
            <w:shd w:val="clear" w:color="auto" w:fill="auto"/>
          </w:tcPr>
          <w:p w14:paraId="37D29D9B" w14:textId="77777777" w:rsidR="00C902C0" w:rsidRPr="00B52842" w:rsidRDefault="00E82A60" w:rsidP="003C0F39">
            <w:pPr>
              <w:spacing w:before="0" w:after="0"/>
              <w:jc w:val="right"/>
              <w:rPr>
                <w:lang w:val="fr-BE"/>
              </w:rPr>
            </w:pPr>
            <w:r w:rsidRPr="00B52842">
              <w:rPr>
                <w:noProof/>
                <w:lang w:val="fr-BE"/>
              </w:rPr>
              <w:t>0,00</w:t>
            </w:r>
          </w:p>
        </w:tc>
        <w:tc>
          <w:tcPr>
            <w:tcW w:w="0" w:type="auto"/>
            <w:shd w:val="clear" w:color="auto" w:fill="auto"/>
          </w:tcPr>
          <w:p w14:paraId="25F51F6F" w14:textId="77777777" w:rsidR="00C902C0" w:rsidRPr="00B52842" w:rsidRDefault="00C902C0" w:rsidP="003C0F39">
            <w:pPr>
              <w:spacing w:before="0" w:after="0"/>
              <w:jc w:val="right"/>
              <w:rPr>
                <w:lang w:val="fr-BE"/>
              </w:rPr>
            </w:pPr>
          </w:p>
        </w:tc>
      </w:tr>
      <w:tr w:rsidR="006B2EC1" w14:paraId="37DE059A" w14:textId="77777777" w:rsidTr="003C0F39">
        <w:tc>
          <w:tcPr>
            <w:tcW w:w="0" w:type="auto"/>
            <w:shd w:val="clear" w:color="auto" w:fill="auto"/>
          </w:tcPr>
          <w:p w14:paraId="3A89AB71" w14:textId="77777777" w:rsidR="00C902C0" w:rsidRPr="00B52842" w:rsidRDefault="00E82A60" w:rsidP="003C0F39">
            <w:pPr>
              <w:spacing w:before="0" w:after="0"/>
              <w:rPr>
                <w:lang w:val="fr-BE"/>
              </w:rPr>
            </w:pPr>
            <w:r w:rsidRPr="00B52842">
              <w:rPr>
                <w:noProof/>
                <w:lang w:val="fr-BE"/>
              </w:rPr>
              <w:t>5</w:t>
            </w:r>
          </w:p>
        </w:tc>
        <w:tc>
          <w:tcPr>
            <w:tcW w:w="0" w:type="auto"/>
            <w:shd w:val="clear" w:color="auto" w:fill="auto"/>
          </w:tcPr>
          <w:p w14:paraId="4E82D695" w14:textId="77777777" w:rsidR="00C902C0" w:rsidRPr="00B52842" w:rsidRDefault="00E82A60" w:rsidP="003C0F39">
            <w:pPr>
              <w:spacing w:before="0" w:after="0"/>
              <w:jc w:val="right"/>
              <w:rPr>
                <w:lang w:val="fr-BE"/>
              </w:rPr>
            </w:pPr>
            <w:r w:rsidRPr="00B52842">
              <w:rPr>
                <w:noProof/>
                <w:lang w:val="fr-BE"/>
              </w:rPr>
              <w:t>0,00</w:t>
            </w:r>
          </w:p>
        </w:tc>
        <w:tc>
          <w:tcPr>
            <w:tcW w:w="0" w:type="auto"/>
            <w:shd w:val="clear" w:color="auto" w:fill="auto"/>
          </w:tcPr>
          <w:p w14:paraId="0C6EE561" w14:textId="77777777" w:rsidR="00C902C0" w:rsidRPr="00B52842" w:rsidRDefault="00C902C0" w:rsidP="003C0F39">
            <w:pPr>
              <w:spacing w:before="0" w:after="0"/>
              <w:jc w:val="right"/>
              <w:rPr>
                <w:lang w:val="fr-BE"/>
              </w:rPr>
            </w:pPr>
          </w:p>
        </w:tc>
        <w:tc>
          <w:tcPr>
            <w:tcW w:w="0" w:type="auto"/>
            <w:shd w:val="clear" w:color="auto" w:fill="auto"/>
          </w:tcPr>
          <w:p w14:paraId="15626626" w14:textId="77777777" w:rsidR="00C902C0" w:rsidRPr="00B52842" w:rsidRDefault="00E82A60" w:rsidP="003C0F39">
            <w:pPr>
              <w:spacing w:before="0" w:after="0"/>
              <w:jc w:val="right"/>
              <w:rPr>
                <w:lang w:val="fr-BE"/>
              </w:rPr>
            </w:pPr>
            <w:r w:rsidRPr="00B52842">
              <w:rPr>
                <w:noProof/>
                <w:lang w:val="fr-BE"/>
              </w:rPr>
              <w:t>0,00</w:t>
            </w:r>
          </w:p>
        </w:tc>
        <w:tc>
          <w:tcPr>
            <w:tcW w:w="0" w:type="auto"/>
            <w:shd w:val="clear" w:color="auto" w:fill="auto"/>
          </w:tcPr>
          <w:p w14:paraId="7AF58436" w14:textId="77777777" w:rsidR="00C902C0" w:rsidRPr="00B52842" w:rsidRDefault="00C902C0" w:rsidP="003C0F39">
            <w:pPr>
              <w:spacing w:before="0" w:after="0"/>
              <w:jc w:val="right"/>
              <w:rPr>
                <w:lang w:val="fr-BE"/>
              </w:rPr>
            </w:pPr>
          </w:p>
        </w:tc>
      </w:tr>
      <w:tr w:rsidR="006B2EC1" w14:paraId="1E7C82F0" w14:textId="77777777" w:rsidTr="003C0F39">
        <w:tc>
          <w:tcPr>
            <w:tcW w:w="0" w:type="auto"/>
            <w:shd w:val="clear" w:color="auto" w:fill="auto"/>
          </w:tcPr>
          <w:p w14:paraId="5B89B3B2" w14:textId="77777777" w:rsidR="00C902C0" w:rsidRPr="00B52842" w:rsidRDefault="00E82A60" w:rsidP="003C0F39">
            <w:pPr>
              <w:spacing w:before="0" w:after="0"/>
              <w:rPr>
                <w:lang w:val="fr-BE"/>
              </w:rPr>
            </w:pPr>
            <w:r w:rsidRPr="00B52842">
              <w:rPr>
                <w:noProof/>
                <w:lang w:val="fr-BE"/>
              </w:rPr>
              <w:t>6</w:t>
            </w:r>
          </w:p>
        </w:tc>
        <w:tc>
          <w:tcPr>
            <w:tcW w:w="0" w:type="auto"/>
            <w:shd w:val="clear" w:color="auto" w:fill="auto"/>
          </w:tcPr>
          <w:p w14:paraId="4CBF89D5" w14:textId="77777777" w:rsidR="00C902C0" w:rsidRPr="00B52842" w:rsidRDefault="00E82A60" w:rsidP="003C0F39">
            <w:pPr>
              <w:spacing w:before="0" w:after="0"/>
              <w:jc w:val="right"/>
              <w:rPr>
                <w:lang w:val="fr-BE"/>
              </w:rPr>
            </w:pPr>
            <w:r w:rsidRPr="00B52842">
              <w:rPr>
                <w:noProof/>
                <w:lang w:val="fr-BE"/>
              </w:rPr>
              <w:t>0,00</w:t>
            </w:r>
          </w:p>
        </w:tc>
        <w:tc>
          <w:tcPr>
            <w:tcW w:w="0" w:type="auto"/>
            <w:shd w:val="clear" w:color="auto" w:fill="auto"/>
          </w:tcPr>
          <w:p w14:paraId="6B1785DF" w14:textId="77777777" w:rsidR="00C902C0" w:rsidRPr="00B52842" w:rsidRDefault="00C902C0" w:rsidP="003C0F39">
            <w:pPr>
              <w:spacing w:before="0" w:after="0"/>
              <w:jc w:val="right"/>
              <w:rPr>
                <w:lang w:val="fr-BE"/>
              </w:rPr>
            </w:pPr>
          </w:p>
        </w:tc>
        <w:tc>
          <w:tcPr>
            <w:tcW w:w="0" w:type="auto"/>
            <w:shd w:val="clear" w:color="auto" w:fill="auto"/>
          </w:tcPr>
          <w:p w14:paraId="00779F85" w14:textId="77777777" w:rsidR="00C902C0" w:rsidRPr="00B52842" w:rsidRDefault="00E82A60" w:rsidP="003C0F39">
            <w:pPr>
              <w:spacing w:before="0" w:after="0"/>
              <w:jc w:val="right"/>
              <w:rPr>
                <w:lang w:val="fr-BE"/>
              </w:rPr>
            </w:pPr>
            <w:r w:rsidRPr="00B52842">
              <w:rPr>
                <w:noProof/>
                <w:lang w:val="fr-BE"/>
              </w:rPr>
              <w:t>0,00</w:t>
            </w:r>
          </w:p>
        </w:tc>
        <w:tc>
          <w:tcPr>
            <w:tcW w:w="0" w:type="auto"/>
            <w:shd w:val="clear" w:color="auto" w:fill="auto"/>
          </w:tcPr>
          <w:p w14:paraId="082F6D30" w14:textId="77777777" w:rsidR="00C902C0" w:rsidRPr="00B52842" w:rsidRDefault="00C902C0" w:rsidP="003C0F39">
            <w:pPr>
              <w:spacing w:before="0" w:after="0"/>
              <w:jc w:val="right"/>
              <w:rPr>
                <w:lang w:val="fr-BE"/>
              </w:rPr>
            </w:pPr>
          </w:p>
        </w:tc>
      </w:tr>
      <w:tr w:rsidR="006B2EC1" w14:paraId="4E9C4C85" w14:textId="77777777" w:rsidTr="003C0F39">
        <w:tc>
          <w:tcPr>
            <w:tcW w:w="0" w:type="auto"/>
            <w:shd w:val="clear" w:color="auto" w:fill="auto"/>
          </w:tcPr>
          <w:p w14:paraId="29B7EE85" w14:textId="77777777" w:rsidR="00C902C0" w:rsidRPr="00B52842" w:rsidRDefault="00E82A60" w:rsidP="003C0F39">
            <w:pPr>
              <w:spacing w:before="0" w:after="0"/>
              <w:rPr>
                <w:lang w:val="fr-BE"/>
              </w:rPr>
            </w:pPr>
            <w:r w:rsidRPr="00B52842">
              <w:rPr>
                <w:noProof/>
                <w:lang w:val="fr-BE"/>
              </w:rPr>
              <w:t>7</w:t>
            </w:r>
          </w:p>
        </w:tc>
        <w:tc>
          <w:tcPr>
            <w:tcW w:w="0" w:type="auto"/>
            <w:shd w:val="clear" w:color="auto" w:fill="auto"/>
          </w:tcPr>
          <w:p w14:paraId="10461E6D" w14:textId="77777777" w:rsidR="00C902C0" w:rsidRPr="00B52842" w:rsidRDefault="00E82A60" w:rsidP="003C0F39">
            <w:pPr>
              <w:spacing w:before="0" w:after="0"/>
              <w:jc w:val="right"/>
              <w:rPr>
                <w:lang w:val="fr-BE"/>
              </w:rPr>
            </w:pPr>
            <w:r w:rsidRPr="00B52842">
              <w:rPr>
                <w:noProof/>
                <w:lang w:val="fr-BE"/>
              </w:rPr>
              <w:t>0,00</w:t>
            </w:r>
          </w:p>
        </w:tc>
        <w:tc>
          <w:tcPr>
            <w:tcW w:w="0" w:type="auto"/>
            <w:shd w:val="clear" w:color="auto" w:fill="auto"/>
          </w:tcPr>
          <w:p w14:paraId="6D09FCF8" w14:textId="77777777" w:rsidR="00C902C0" w:rsidRPr="00B52842" w:rsidRDefault="00C902C0" w:rsidP="003C0F39">
            <w:pPr>
              <w:spacing w:before="0" w:after="0"/>
              <w:jc w:val="right"/>
              <w:rPr>
                <w:lang w:val="fr-BE"/>
              </w:rPr>
            </w:pPr>
          </w:p>
        </w:tc>
        <w:tc>
          <w:tcPr>
            <w:tcW w:w="0" w:type="auto"/>
            <w:shd w:val="clear" w:color="auto" w:fill="auto"/>
          </w:tcPr>
          <w:p w14:paraId="333AB596" w14:textId="77777777" w:rsidR="00C902C0" w:rsidRPr="00B52842" w:rsidRDefault="00E82A60" w:rsidP="003C0F39">
            <w:pPr>
              <w:spacing w:before="0" w:after="0"/>
              <w:jc w:val="right"/>
              <w:rPr>
                <w:lang w:val="fr-BE"/>
              </w:rPr>
            </w:pPr>
            <w:r w:rsidRPr="00B52842">
              <w:rPr>
                <w:noProof/>
                <w:lang w:val="fr-BE"/>
              </w:rPr>
              <w:t>0,00</w:t>
            </w:r>
          </w:p>
        </w:tc>
        <w:tc>
          <w:tcPr>
            <w:tcW w:w="0" w:type="auto"/>
            <w:shd w:val="clear" w:color="auto" w:fill="auto"/>
          </w:tcPr>
          <w:p w14:paraId="6E55048B" w14:textId="77777777" w:rsidR="00C902C0" w:rsidRPr="00B52842" w:rsidRDefault="00C902C0" w:rsidP="003C0F39">
            <w:pPr>
              <w:spacing w:before="0" w:after="0"/>
              <w:jc w:val="right"/>
              <w:rPr>
                <w:lang w:val="fr-BE"/>
              </w:rPr>
            </w:pPr>
          </w:p>
        </w:tc>
      </w:tr>
    </w:tbl>
    <w:p w14:paraId="5D306641" w14:textId="77777777" w:rsidR="00C902C0" w:rsidRDefault="00C902C0" w:rsidP="00C902C0">
      <w:pPr>
        <w:spacing w:before="0" w:after="0"/>
        <w:rPr>
          <w:lang w:val="fr-BE"/>
        </w:rPr>
      </w:pPr>
    </w:p>
    <w:p w14:paraId="24CFA095" w14:textId="77777777" w:rsidR="008C5CFA" w:rsidRDefault="00C902C0" w:rsidP="00300A01">
      <w:pPr>
        <w:pStyle w:val="Nagwek2"/>
        <w:spacing w:before="0" w:after="0"/>
        <w:rPr>
          <w:lang w:val="fr-BE"/>
        </w:rPr>
      </w:pPr>
      <w:r>
        <w:rPr>
          <w:lang w:val="fr-BE"/>
        </w:rPr>
        <w:br w:type="page"/>
      </w:r>
      <w:bookmarkStart w:id="91" w:name="_Toc46391775"/>
      <w:r w:rsidR="00E82A60" w:rsidRPr="00802EB5">
        <w:rPr>
          <w:noProof/>
          <w:lang w:val="fr-BE"/>
        </w:rPr>
        <w:lastRenderedPageBreak/>
        <w:t>Tabela 10: Wydatki poniesione poza terytorium Unii (EFS)</w:t>
      </w:r>
      <w:bookmarkEnd w:id="91"/>
    </w:p>
    <w:p w14:paraId="4C504D38" w14:textId="77777777" w:rsidR="00DF0D6A" w:rsidRPr="00802EB5" w:rsidRDefault="00DF0D6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3"/>
        <w:gridCol w:w="4929"/>
        <w:gridCol w:w="2643"/>
        <w:gridCol w:w="4929"/>
      </w:tblGrid>
      <w:tr w:rsidR="006B2EC1" w14:paraId="1F87A689" w14:textId="77777777" w:rsidTr="0047688D">
        <w:tc>
          <w:tcPr>
            <w:tcW w:w="0" w:type="auto"/>
            <w:shd w:val="clear" w:color="auto" w:fill="auto"/>
          </w:tcPr>
          <w:p w14:paraId="3FAF360F" w14:textId="77777777" w:rsidR="008C5CFA" w:rsidRPr="003D4F6D" w:rsidRDefault="00E82A60" w:rsidP="00300A01">
            <w:pPr>
              <w:spacing w:before="0" w:after="0"/>
              <w:jc w:val="center"/>
              <w:rPr>
                <w:lang w:val="fr-BE"/>
              </w:rPr>
            </w:pPr>
            <w:r w:rsidRPr="003D4F6D">
              <w:rPr>
                <w:noProof/>
                <w:lang w:val="fr-BE"/>
              </w:rPr>
              <w:t>Kwota wydatków, które mają zostać poniesione poza terytorium Unii w ramach celów tematycznych 8 i 10 na podstawie wybranych operacji (w EUR)</w:t>
            </w:r>
          </w:p>
        </w:tc>
        <w:tc>
          <w:tcPr>
            <w:tcW w:w="0" w:type="auto"/>
            <w:shd w:val="clear" w:color="auto" w:fill="auto"/>
          </w:tcPr>
          <w:p w14:paraId="3FB9B9B0" w14:textId="77777777" w:rsidR="008C5CFA" w:rsidRPr="003D4F6D" w:rsidRDefault="00E82A60" w:rsidP="00300A01">
            <w:pPr>
              <w:spacing w:before="0" w:after="0"/>
              <w:jc w:val="center"/>
              <w:rPr>
                <w:lang w:val="fr-BE"/>
              </w:rPr>
            </w:pPr>
            <w:r w:rsidRPr="003D4F6D">
              <w:rPr>
                <w:noProof/>
                <w:lang w:val="fr-BE"/>
              </w:rPr>
              <w:t>Udział w całkowitej alokacji finansowej (wkład unijny i krajowy) na program w ramach EFS lub objętą EFS część programu wielofunduszowego (%) (1/całkowita alokacja finansowa (wkład unijny i krajowy) na program w ramach EFS lub objętą EFS część programu wielofunduszowego*100)</w:t>
            </w:r>
          </w:p>
        </w:tc>
        <w:tc>
          <w:tcPr>
            <w:tcW w:w="0" w:type="auto"/>
            <w:shd w:val="clear" w:color="auto" w:fill="auto"/>
          </w:tcPr>
          <w:p w14:paraId="53155F6A" w14:textId="77777777" w:rsidR="008C5CFA" w:rsidRPr="003D4F6D" w:rsidRDefault="00E82A60" w:rsidP="00300A01">
            <w:pPr>
              <w:spacing w:before="0" w:after="0"/>
              <w:jc w:val="center"/>
              <w:rPr>
                <w:lang w:val="fr-BE"/>
              </w:rPr>
            </w:pPr>
            <w:r w:rsidRPr="003D4F6D">
              <w:rPr>
                <w:noProof/>
                <w:lang w:val="fr-BE"/>
              </w:rPr>
              <w:t>Wydatki kwalifikowalne poniesione poza terytorium Unii, zadeklarowane przez beneficjentów instytucji zarządzającej (w EUR)</w:t>
            </w:r>
          </w:p>
        </w:tc>
        <w:tc>
          <w:tcPr>
            <w:tcW w:w="0" w:type="auto"/>
            <w:shd w:val="clear" w:color="auto" w:fill="auto"/>
          </w:tcPr>
          <w:p w14:paraId="75FA5479" w14:textId="77777777" w:rsidR="008C5CFA" w:rsidRPr="003D4F6D" w:rsidRDefault="00E82A60" w:rsidP="00300A01">
            <w:pPr>
              <w:spacing w:before="0" w:after="0"/>
              <w:jc w:val="center"/>
              <w:rPr>
                <w:lang w:val="fr-BE"/>
              </w:rPr>
            </w:pPr>
            <w:r w:rsidRPr="003D4F6D">
              <w:rPr>
                <w:noProof/>
                <w:lang w:val="fr-BE"/>
              </w:rPr>
              <w:t>Udział w całkowitej alokacji finansowej (wkład unijny i krajowy) na program w ramach EFS lub objętą EFS część programu wielofunduszowego (%) (3/całkowita alokacja finansowa (wkład unijny i krajowy) na program w ramach EFS lub objętą EFS część programu wielofunduszowego*100)</w:t>
            </w:r>
          </w:p>
        </w:tc>
      </w:tr>
      <w:tr w:rsidR="006B2EC1" w14:paraId="6ED4337E" w14:textId="77777777" w:rsidTr="0047688D">
        <w:tc>
          <w:tcPr>
            <w:tcW w:w="0" w:type="auto"/>
            <w:shd w:val="clear" w:color="auto" w:fill="auto"/>
          </w:tcPr>
          <w:p w14:paraId="320CA3EC" w14:textId="77777777" w:rsidR="008C5CFA" w:rsidRPr="003D4F6D" w:rsidRDefault="00E82A60" w:rsidP="00300A01">
            <w:pPr>
              <w:spacing w:before="0" w:after="0"/>
              <w:jc w:val="right"/>
              <w:rPr>
                <w:lang w:val="fr-BE"/>
              </w:rPr>
            </w:pPr>
            <w:r w:rsidRPr="003D4F6D">
              <w:rPr>
                <w:noProof/>
                <w:lang w:val="fr-BE"/>
              </w:rPr>
              <w:t>0,00</w:t>
            </w:r>
          </w:p>
        </w:tc>
        <w:tc>
          <w:tcPr>
            <w:tcW w:w="0" w:type="auto"/>
            <w:shd w:val="clear" w:color="auto" w:fill="auto"/>
          </w:tcPr>
          <w:p w14:paraId="29F95985" w14:textId="77777777" w:rsidR="008C5CFA" w:rsidRPr="003D4F6D" w:rsidRDefault="008C5CFA" w:rsidP="00300A01">
            <w:pPr>
              <w:spacing w:before="0" w:after="0"/>
              <w:jc w:val="right"/>
              <w:rPr>
                <w:lang w:val="fr-BE"/>
              </w:rPr>
            </w:pPr>
          </w:p>
        </w:tc>
        <w:tc>
          <w:tcPr>
            <w:tcW w:w="0" w:type="auto"/>
            <w:shd w:val="clear" w:color="auto" w:fill="auto"/>
          </w:tcPr>
          <w:p w14:paraId="5DEC136A" w14:textId="77777777" w:rsidR="008C5CFA" w:rsidRPr="003D4F6D" w:rsidRDefault="00E82A60" w:rsidP="00300A01">
            <w:pPr>
              <w:spacing w:before="0" w:after="0"/>
              <w:jc w:val="right"/>
              <w:rPr>
                <w:lang w:val="fr-BE"/>
              </w:rPr>
            </w:pPr>
            <w:r w:rsidRPr="003D4F6D">
              <w:rPr>
                <w:noProof/>
                <w:lang w:val="fr-BE"/>
              </w:rPr>
              <w:t>0,00</w:t>
            </w:r>
          </w:p>
        </w:tc>
        <w:tc>
          <w:tcPr>
            <w:tcW w:w="0" w:type="auto"/>
            <w:shd w:val="clear" w:color="auto" w:fill="auto"/>
          </w:tcPr>
          <w:p w14:paraId="44B1AA04" w14:textId="77777777" w:rsidR="008C5CFA" w:rsidRPr="003D4F6D" w:rsidRDefault="008C5CFA" w:rsidP="00300A01">
            <w:pPr>
              <w:spacing w:before="0" w:after="0"/>
              <w:jc w:val="right"/>
              <w:rPr>
                <w:lang w:val="fr-BE"/>
              </w:rPr>
            </w:pPr>
          </w:p>
        </w:tc>
      </w:tr>
    </w:tbl>
    <w:p w14:paraId="5DC85305" w14:textId="77777777" w:rsidR="008C5CFA" w:rsidRDefault="008C5CFA" w:rsidP="00300A01">
      <w:pPr>
        <w:spacing w:before="0" w:after="0"/>
        <w:rPr>
          <w:lang w:val="fr-BE"/>
        </w:rPr>
      </w:pPr>
    </w:p>
    <w:p w14:paraId="6925D688" w14:textId="77777777" w:rsidR="008C5CFA" w:rsidRDefault="008C5CFA" w:rsidP="00300A01">
      <w:pPr>
        <w:spacing w:before="0" w:after="0"/>
        <w:rPr>
          <w:lang w:val="fr-BE"/>
        </w:rPr>
        <w:sectPr w:rsidR="008C5CFA" w:rsidSect="0047688D">
          <w:headerReference w:type="default" r:id="rId12"/>
          <w:footerReference w:type="default" r:id="rId13"/>
          <w:headerReference w:type="first" r:id="rId14"/>
          <w:footerReference w:type="first" r:id="rId15"/>
          <w:pgSz w:w="16838" w:h="11906" w:orient="landscape"/>
          <w:pgMar w:top="567" w:right="510" w:bottom="284" w:left="1134" w:header="284" w:footer="284" w:gutter="0"/>
          <w:cols w:space="708"/>
          <w:docGrid w:linePitch="360"/>
        </w:sectPr>
      </w:pPr>
    </w:p>
    <w:p w14:paraId="6BA418F0" w14:textId="77777777" w:rsidR="008C5CFA" w:rsidRDefault="00E82A60" w:rsidP="00300A01">
      <w:pPr>
        <w:pStyle w:val="Nagwek1"/>
        <w:numPr>
          <w:ilvl w:val="0"/>
          <w:numId w:val="33"/>
        </w:numPr>
        <w:tabs>
          <w:tab w:val="clear" w:pos="992"/>
          <w:tab w:val="num" w:pos="0"/>
        </w:tabs>
        <w:spacing w:before="0" w:after="0"/>
        <w:ind w:left="0" w:firstLine="0"/>
        <w:jc w:val="left"/>
      </w:pPr>
      <w:r>
        <w:lastRenderedPageBreak/>
        <w:t xml:space="preserve"> </w:t>
      </w:r>
      <w:bookmarkStart w:id="92" w:name="_Toc46391776"/>
      <w:r>
        <w:rPr>
          <w:noProof/>
        </w:rPr>
        <w:t>SYNTEZA EWALUACJI</w:t>
      </w:r>
      <w:bookmarkEnd w:id="92"/>
    </w:p>
    <w:p w14:paraId="115DA0DB" w14:textId="77777777" w:rsidR="008C5CFA" w:rsidRDefault="008C5CFA" w:rsidP="00300A01">
      <w:pPr>
        <w:pStyle w:val="Text1"/>
        <w:spacing w:before="0" w:after="0"/>
        <w:ind w:left="0"/>
        <w:rPr>
          <w:lang w:val="fr-BE"/>
        </w:rPr>
      </w:pPr>
    </w:p>
    <w:p w14:paraId="4FF0BA2A" w14:textId="77777777" w:rsidR="008C5CFA" w:rsidRDefault="00E82A60" w:rsidP="00300A01">
      <w:pPr>
        <w:pStyle w:val="Text1"/>
        <w:spacing w:before="0" w:after="0"/>
        <w:ind w:left="0"/>
        <w:rPr>
          <w:lang w:val="fr-BE"/>
        </w:rPr>
      </w:pPr>
      <w:r>
        <w:rPr>
          <w:noProof/>
          <w:lang w:val="fr-BE"/>
        </w:rPr>
        <w:t>Synteza wyników wszystkich ewaluacji programu dostępnych w odniesieniu do poprzedniego roku obrotowego, wraz z odniesieniem do nazwy i okresu, jaki obejmowała dana ewaluacja</w:t>
      </w:r>
    </w:p>
    <w:p w14:paraId="6122B778" w14:textId="77777777" w:rsidR="008C5CFA" w:rsidRDefault="008C5CFA" w:rsidP="00300A01">
      <w:pPr>
        <w:pStyle w:val="Text1"/>
        <w:spacing w:before="0" w:after="0"/>
        <w:ind w:left="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52"/>
      </w:tblGrid>
      <w:tr w:rsidR="006B2EC1" w14:paraId="1137E532" w14:textId="77777777" w:rsidTr="0047688D">
        <w:tc>
          <w:tcPr>
            <w:tcW w:w="0" w:type="auto"/>
            <w:shd w:val="clear" w:color="auto" w:fill="auto"/>
          </w:tcPr>
          <w:p w14:paraId="0BE56B1C" w14:textId="77777777" w:rsidR="006B2EC1" w:rsidRDefault="00E82A60">
            <w:pPr>
              <w:spacing w:before="0" w:after="240"/>
              <w:jc w:val="left"/>
            </w:pPr>
            <w:r>
              <w:t xml:space="preserve">W 2019 r. </w:t>
            </w:r>
            <w:proofErr w:type="spellStart"/>
            <w:r>
              <w:t>dokonano</w:t>
            </w:r>
            <w:proofErr w:type="spellEnd"/>
            <w:r>
              <w:t xml:space="preserve"> </w:t>
            </w:r>
            <w:proofErr w:type="spellStart"/>
            <w:r>
              <w:t>aktualizacji</w:t>
            </w:r>
            <w:proofErr w:type="spellEnd"/>
            <w:r>
              <w:t xml:space="preserve"> </w:t>
            </w:r>
            <w:proofErr w:type="spellStart"/>
            <w:r>
              <w:t>Planu</w:t>
            </w:r>
            <w:proofErr w:type="spellEnd"/>
            <w:r>
              <w:t xml:space="preserve"> </w:t>
            </w:r>
            <w:proofErr w:type="spellStart"/>
            <w:r>
              <w:t>Ewaluacji</w:t>
            </w:r>
            <w:proofErr w:type="spellEnd"/>
            <w:r>
              <w:t xml:space="preserve"> RPOWŚ - </w:t>
            </w:r>
            <w:proofErr w:type="spellStart"/>
            <w:r>
              <w:t>wprowadzono</w:t>
            </w:r>
            <w:proofErr w:type="spellEnd"/>
            <w:r>
              <w:t xml:space="preserve"> </w:t>
            </w:r>
            <w:proofErr w:type="spellStart"/>
            <w:r>
              <w:t>zmiany</w:t>
            </w:r>
            <w:proofErr w:type="spellEnd"/>
            <w:r>
              <w:t xml:space="preserve"> </w:t>
            </w:r>
            <w:proofErr w:type="spellStart"/>
            <w:r>
              <w:t>wynikające</w:t>
            </w:r>
            <w:proofErr w:type="spellEnd"/>
            <w:r>
              <w:t xml:space="preserve"> z </w:t>
            </w:r>
            <w:proofErr w:type="spellStart"/>
            <w:r>
              <w:t>nowego</w:t>
            </w:r>
            <w:proofErr w:type="spellEnd"/>
            <w:r>
              <w:t xml:space="preserve"> </w:t>
            </w:r>
            <w:proofErr w:type="spellStart"/>
            <w:r>
              <w:t>schematu</w:t>
            </w:r>
            <w:proofErr w:type="spellEnd"/>
            <w:r>
              <w:t xml:space="preserve"> </w:t>
            </w:r>
            <w:proofErr w:type="spellStart"/>
            <w:r>
              <w:t>organizacyjnego</w:t>
            </w:r>
            <w:proofErr w:type="spellEnd"/>
            <w:r>
              <w:t xml:space="preserve"> UMWŚ </w:t>
            </w:r>
            <w:proofErr w:type="spellStart"/>
            <w:r>
              <w:t>oraz</w:t>
            </w:r>
            <w:proofErr w:type="spellEnd"/>
            <w:r>
              <w:t xml:space="preserve"> </w:t>
            </w:r>
            <w:proofErr w:type="spellStart"/>
            <w:r>
              <w:t>zmienionego</w:t>
            </w:r>
            <w:proofErr w:type="spellEnd"/>
            <w:r>
              <w:t xml:space="preserve"> w 2018 r. RPOWŚ.</w:t>
            </w:r>
          </w:p>
          <w:p w14:paraId="7B4AD5F4" w14:textId="77777777" w:rsidR="006B2EC1" w:rsidRDefault="00E82A60">
            <w:pPr>
              <w:spacing w:before="240" w:after="240"/>
              <w:jc w:val="left"/>
            </w:pPr>
            <w:r>
              <w:t xml:space="preserve">Do </w:t>
            </w:r>
            <w:proofErr w:type="spellStart"/>
            <w:r>
              <w:t>planu</w:t>
            </w:r>
            <w:proofErr w:type="spellEnd"/>
            <w:r>
              <w:t xml:space="preserve"> </w:t>
            </w:r>
            <w:proofErr w:type="spellStart"/>
            <w:r>
              <w:t>dodano</w:t>
            </w:r>
            <w:proofErr w:type="spellEnd"/>
            <w:r>
              <w:t xml:space="preserve"> </w:t>
            </w:r>
            <w:proofErr w:type="spellStart"/>
            <w:r>
              <w:t>badanie</w:t>
            </w:r>
            <w:proofErr w:type="spellEnd"/>
            <w:r>
              <w:t xml:space="preserve"> </w:t>
            </w:r>
            <w:proofErr w:type="spellStart"/>
            <w:r>
              <w:rPr>
                <w:i/>
                <w:iCs/>
              </w:rPr>
              <w:t>Kompleksowa</w:t>
            </w:r>
            <w:proofErr w:type="spellEnd"/>
            <w:r>
              <w:rPr>
                <w:i/>
                <w:iCs/>
              </w:rPr>
              <w:t xml:space="preserve">  </w:t>
            </w:r>
            <w:proofErr w:type="spellStart"/>
            <w:r>
              <w:rPr>
                <w:i/>
                <w:iCs/>
              </w:rPr>
              <w:t>ocena</w:t>
            </w:r>
            <w:proofErr w:type="spellEnd"/>
            <w:r>
              <w:rPr>
                <w:i/>
                <w:iCs/>
              </w:rPr>
              <w:t xml:space="preserve"> </w:t>
            </w:r>
            <w:proofErr w:type="spellStart"/>
            <w:r>
              <w:rPr>
                <w:i/>
                <w:iCs/>
              </w:rPr>
              <w:t>instrumentu</w:t>
            </w:r>
            <w:proofErr w:type="spellEnd"/>
            <w:r>
              <w:rPr>
                <w:i/>
                <w:iCs/>
              </w:rPr>
              <w:t xml:space="preserve"> </w:t>
            </w:r>
            <w:proofErr w:type="spellStart"/>
            <w:r>
              <w:rPr>
                <w:i/>
                <w:iCs/>
              </w:rPr>
              <w:t>Zintegrowane</w:t>
            </w:r>
            <w:proofErr w:type="spellEnd"/>
            <w:r>
              <w:rPr>
                <w:i/>
                <w:iCs/>
              </w:rPr>
              <w:t xml:space="preserve"> </w:t>
            </w:r>
            <w:proofErr w:type="spellStart"/>
            <w:r>
              <w:rPr>
                <w:i/>
                <w:iCs/>
              </w:rPr>
              <w:t>Inwestycje</w:t>
            </w:r>
            <w:proofErr w:type="spellEnd"/>
            <w:r>
              <w:rPr>
                <w:i/>
                <w:iCs/>
              </w:rPr>
              <w:t xml:space="preserve"> </w:t>
            </w:r>
            <w:proofErr w:type="spellStart"/>
            <w:r>
              <w:rPr>
                <w:i/>
                <w:iCs/>
              </w:rPr>
              <w:t>Terytorialne</w:t>
            </w:r>
            <w:proofErr w:type="spellEnd"/>
            <w:r>
              <w:rPr>
                <w:i/>
                <w:iCs/>
              </w:rPr>
              <w:t xml:space="preserve"> w </w:t>
            </w:r>
            <w:proofErr w:type="spellStart"/>
            <w:r>
              <w:rPr>
                <w:i/>
                <w:iCs/>
              </w:rPr>
              <w:t>ramach</w:t>
            </w:r>
            <w:proofErr w:type="spellEnd"/>
            <w:r>
              <w:rPr>
                <w:i/>
                <w:iCs/>
              </w:rPr>
              <w:t xml:space="preserve"> RPOWŚ 2014-2020</w:t>
            </w:r>
            <w:r>
              <w:t xml:space="preserve">, </w:t>
            </w:r>
            <w:proofErr w:type="spellStart"/>
            <w:r>
              <w:t>wynikające</w:t>
            </w:r>
            <w:proofErr w:type="spellEnd"/>
            <w:r>
              <w:t xml:space="preserve"> z </w:t>
            </w:r>
            <w:proofErr w:type="spellStart"/>
            <w:r>
              <w:t>rekomendacji</w:t>
            </w:r>
            <w:proofErr w:type="spellEnd"/>
            <w:r>
              <w:t xml:space="preserve"> </w:t>
            </w:r>
            <w:proofErr w:type="spellStart"/>
            <w:r>
              <w:t>przeprowadzonego</w:t>
            </w:r>
            <w:proofErr w:type="spellEnd"/>
            <w:r>
              <w:t xml:space="preserve"> w 17 r. </w:t>
            </w:r>
            <w:proofErr w:type="spellStart"/>
            <w:r>
              <w:t>badania</w:t>
            </w:r>
            <w:proofErr w:type="spellEnd"/>
            <w:r>
              <w:t xml:space="preserve"> </w:t>
            </w:r>
            <w:proofErr w:type="spellStart"/>
            <w:r>
              <w:rPr>
                <w:i/>
                <w:iCs/>
              </w:rPr>
              <w:t>Ewaluacja</w:t>
            </w:r>
            <w:proofErr w:type="spellEnd"/>
            <w:r>
              <w:rPr>
                <w:i/>
                <w:iCs/>
              </w:rPr>
              <w:t xml:space="preserve"> </w:t>
            </w:r>
            <w:proofErr w:type="spellStart"/>
            <w:r>
              <w:rPr>
                <w:i/>
                <w:iCs/>
              </w:rPr>
              <w:t>Strategii</w:t>
            </w:r>
            <w:proofErr w:type="spellEnd"/>
            <w:r>
              <w:rPr>
                <w:i/>
                <w:iCs/>
              </w:rPr>
              <w:t xml:space="preserve"> Rozwoju </w:t>
            </w:r>
            <w:proofErr w:type="spellStart"/>
            <w:r>
              <w:rPr>
                <w:i/>
                <w:iCs/>
              </w:rPr>
              <w:t>Województwa</w:t>
            </w:r>
            <w:proofErr w:type="spellEnd"/>
            <w:r>
              <w:rPr>
                <w:i/>
                <w:iCs/>
              </w:rPr>
              <w:t xml:space="preserve"> Świętokrzyskiego w </w:t>
            </w:r>
            <w:proofErr w:type="spellStart"/>
            <w:r>
              <w:rPr>
                <w:i/>
                <w:iCs/>
              </w:rPr>
              <w:t>kontekście</w:t>
            </w:r>
            <w:proofErr w:type="spellEnd"/>
            <w:r>
              <w:rPr>
                <w:i/>
                <w:iCs/>
              </w:rPr>
              <w:t xml:space="preserve"> </w:t>
            </w:r>
            <w:proofErr w:type="spellStart"/>
            <w:r>
              <w:rPr>
                <w:i/>
                <w:iCs/>
              </w:rPr>
              <w:t>wpływu</w:t>
            </w:r>
            <w:proofErr w:type="spellEnd"/>
            <w:r>
              <w:rPr>
                <w:i/>
                <w:iCs/>
              </w:rPr>
              <w:t xml:space="preserve"> RPOWŚ 2014-2020 </w:t>
            </w:r>
            <w:proofErr w:type="spellStart"/>
            <w:r>
              <w:rPr>
                <w:i/>
                <w:iCs/>
              </w:rPr>
              <w:t>na</w:t>
            </w:r>
            <w:proofErr w:type="spellEnd"/>
            <w:r>
              <w:rPr>
                <w:i/>
                <w:iCs/>
              </w:rPr>
              <w:t xml:space="preserve"> </w:t>
            </w:r>
            <w:proofErr w:type="spellStart"/>
            <w:r>
              <w:rPr>
                <w:i/>
                <w:iCs/>
              </w:rPr>
              <w:t>realizację</w:t>
            </w:r>
            <w:proofErr w:type="spellEnd"/>
            <w:r>
              <w:rPr>
                <w:i/>
                <w:iCs/>
              </w:rPr>
              <w:t xml:space="preserve"> </w:t>
            </w:r>
            <w:proofErr w:type="spellStart"/>
            <w:r>
              <w:rPr>
                <w:i/>
                <w:iCs/>
              </w:rPr>
              <w:t>jej</w:t>
            </w:r>
            <w:proofErr w:type="spellEnd"/>
            <w:r>
              <w:rPr>
                <w:i/>
                <w:iCs/>
              </w:rPr>
              <w:t xml:space="preserve"> </w:t>
            </w:r>
            <w:proofErr w:type="spellStart"/>
            <w:r>
              <w:rPr>
                <w:i/>
                <w:iCs/>
              </w:rPr>
              <w:t>celów</w:t>
            </w:r>
            <w:proofErr w:type="spellEnd"/>
            <w:r>
              <w:t>.</w:t>
            </w:r>
          </w:p>
          <w:p w14:paraId="00FEE81B" w14:textId="77777777" w:rsidR="006B2EC1" w:rsidRDefault="00E82A60">
            <w:pPr>
              <w:spacing w:before="240" w:after="240"/>
              <w:jc w:val="left"/>
            </w:pPr>
            <w:r>
              <w:t xml:space="preserve">Z </w:t>
            </w:r>
            <w:proofErr w:type="spellStart"/>
            <w:r>
              <w:t>uwagi</w:t>
            </w:r>
            <w:proofErr w:type="spellEnd"/>
            <w:r>
              <w:t xml:space="preserve"> </w:t>
            </w:r>
            <w:proofErr w:type="spellStart"/>
            <w:r>
              <w:t>na</w:t>
            </w:r>
            <w:proofErr w:type="spellEnd"/>
            <w:r>
              <w:t xml:space="preserve"> </w:t>
            </w:r>
            <w:proofErr w:type="spellStart"/>
            <w:r>
              <w:t>postępy</w:t>
            </w:r>
            <w:proofErr w:type="spellEnd"/>
            <w:r>
              <w:t xml:space="preserve"> we </w:t>
            </w:r>
            <w:proofErr w:type="spellStart"/>
            <w:r>
              <w:t>wdrażaniu</w:t>
            </w:r>
            <w:proofErr w:type="spellEnd"/>
            <w:r>
              <w:t xml:space="preserve"> </w:t>
            </w:r>
            <w:proofErr w:type="spellStart"/>
            <w:r>
              <w:t>poszczególnych</w:t>
            </w:r>
            <w:proofErr w:type="spellEnd"/>
            <w:r>
              <w:t xml:space="preserve"> PI, </w:t>
            </w:r>
            <w:proofErr w:type="spellStart"/>
            <w:r>
              <w:t>drobnym</w:t>
            </w:r>
            <w:proofErr w:type="spellEnd"/>
            <w:r>
              <w:t xml:space="preserve"> </w:t>
            </w:r>
            <w:proofErr w:type="spellStart"/>
            <w:r>
              <w:t>modyfikacjom</w:t>
            </w:r>
            <w:proofErr w:type="spellEnd"/>
            <w:r>
              <w:t xml:space="preserve"> </w:t>
            </w:r>
            <w:proofErr w:type="spellStart"/>
            <w:r>
              <w:t>uległy</w:t>
            </w:r>
            <w:proofErr w:type="spellEnd"/>
            <w:r>
              <w:t xml:space="preserve"> </w:t>
            </w:r>
            <w:proofErr w:type="spellStart"/>
            <w:r>
              <w:t>terminy</w:t>
            </w:r>
            <w:proofErr w:type="spellEnd"/>
            <w:r>
              <w:t xml:space="preserve"> </w:t>
            </w:r>
            <w:proofErr w:type="spellStart"/>
            <w:r>
              <w:t>realizacji</w:t>
            </w:r>
            <w:proofErr w:type="spellEnd"/>
            <w:r>
              <w:t xml:space="preserve"> </w:t>
            </w:r>
            <w:proofErr w:type="spellStart"/>
            <w:r>
              <w:t>niektórych</w:t>
            </w:r>
            <w:proofErr w:type="spellEnd"/>
            <w:r>
              <w:t xml:space="preserve"> </w:t>
            </w:r>
            <w:proofErr w:type="spellStart"/>
            <w:r>
              <w:t>badań</w:t>
            </w:r>
            <w:proofErr w:type="spellEnd"/>
            <w:r>
              <w:t xml:space="preserve">, a </w:t>
            </w:r>
            <w:proofErr w:type="spellStart"/>
            <w:r>
              <w:t>także</w:t>
            </w:r>
            <w:proofErr w:type="spellEnd"/>
            <w:r>
              <w:t xml:space="preserve"> </w:t>
            </w:r>
            <w:proofErr w:type="spellStart"/>
            <w:r>
              <w:t>doprecyzowano</w:t>
            </w:r>
            <w:proofErr w:type="spellEnd"/>
            <w:r>
              <w:t xml:space="preserve"> </w:t>
            </w:r>
            <w:proofErr w:type="spellStart"/>
            <w:r>
              <w:t>nazwy</w:t>
            </w:r>
            <w:proofErr w:type="spellEnd"/>
            <w:r>
              <w:t xml:space="preserve"> </w:t>
            </w:r>
            <w:proofErr w:type="spellStart"/>
            <w:r>
              <w:t>lub</w:t>
            </w:r>
            <w:proofErr w:type="spellEnd"/>
            <w:r>
              <w:t xml:space="preserve"> </w:t>
            </w:r>
            <w:proofErr w:type="spellStart"/>
            <w:r>
              <w:t>rozszerzono</w:t>
            </w:r>
            <w:proofErr w:type="spellEnd"/>
            <w:r>
              <w:t xml:space="preserve"> </w:t>
            </w:r>
            <w:proofErr w:type="spellStart"/>
            <w:r>
              <w:t>zakres</w:t>
            </w:r>
            <w:proofErr w:type="spellEnd"/>
            <w:r>
              <w:t xml:space="preserve"> </w:t>
            </w:r>
            <w:proofErr w:type="spellStart"/>
            <w:r>
              <w:t>wcześniej</w:t>
            </w:r>
            <w:proofErr w:type="spellEnd"/>
            <w:r>
              <w:t xml:space="preserve"> </w:t>
            </w:r>
            <w:proofErr w:type="spellStart"/>
            <w:r>
              <w:t>zaplanowanych</w:t>
            </w:r>
            <w:proofErr w:type="spellEnd"/>
            <w:r>
              <w:t xml:space="preserve"> </w:t>
            </w:r>
            <w:proofErr w:type="spellStart"/>
            <w:r>
              <w:t>badań</w:t>
            </w:r>
            <w:proofErr w:type="spellEnd"/>
            <w:r>
              <w:t>.</w:t>
            </w:r>
          </w:p>
          <w:p w14:paraId="4E1B0E07" w14:textId="77777777" w:rsidR="006B2EC1" w:rsidRDefault="00E82A60">
            <w:pPr>
              <w:spacing w:before="240" w:after="240"/>
              <w:jc w:val="left"/>
            </w:pPr>
            <w:r>
              <w:t xml:space="preserve">Plan </w:t>
            </w:r>
            <w:proofErr w:type="spellStart"/>
            <w:r>
              <w:t>Ewaluacji</w:t>
            </w:r>
            <w:proofErr w:type="spellEnd"/>
            <w:r>
              <w:t xml:space="preserve"> </w:t>
            </w:r>
            <w:proofErr w:type="spellStart"/>
            <w:r>
              <w:t>realizowany</w:t>
            </w:r>
            <w:proofErr w:type="spellEnd"/>
            <w:r>
              <w:t xml:space="preserve"> jest </w:t>
            </w:r>
            <w:proofErr w:type="spellStart"/>
            <w:r>
              <w:t>zgodnie</w:t>
            </w:r>
            <w:proofErr w:type="spellEnd"/>
            <w:r>
              <w:t xml:space="preserve"> z </w:t>
            </w:r>
            <w:proofErr w:type="spellStart"/>
            <w:r>
              <w:t>harmonogramem</w:t>
            </w:r>
            <w:proofErr w:type="spellEnd"/>
            <w:r>
              <w:t>.</w:t>
            </w:r>
          </w:p>
          <w:p w14:paraId="7EF6018D" w14:textId="77777777" w:rsidR="006B2EC1" w:rsidRDefault="00E82A60">
            <w:pPr>
              <w:spacing w:before="240" w:after="240"/>
              <w:jc w:val="left"/>
            </w:pPr>
            <w:proofErr w:type="spellStart"/>
            <w:r>
              <w:t>Zgodnie</w:t>
            </w:r>
            <w:proofErr w:type="spellEnd"/>
            <w:r>
              <w:t xml:space="preserve"> z </w:t>
            </w:r>
            <w:proofErr w:type="spellStart"/>
            <w:r>
              <w:t>Planem</w:t>
            </w:r>
            <w:proofErr w:type="spellEnd"/>
            <w:r>
              <w:t xml:space="preserve"> </w:t>
            </w:r>
            <w:proofErr w:type="spellStart"/>
            <w:r>
              <w:t>Ewaluacji</w:t>
            </w:r>
            <w:proofErr w:type="spellEnd"/>
            <w:r>
              <w:t xml:space="preserve"> RPOWŚ w 19 r. </w:t>
            </w:r>
            <w:proofErr w:type="spellStart"/>
            <w:r>
              <w:t>zrealizowano</w:t>
            </w:r>
            <w:proofErr w:type="spellEnd"/>
            <w:r>
              <w:t xml:space="preserve"> </w:t>
            </w:r>
            <w:proofErr w:type="spellStart"/>
            <w:r>
              <w:t>następujące</w:t>
            </w:r>
            <w:proofErr w:type="spellEnd"/>
            <w:r>
              <w:t xml:space="preserve"> </w:t>
            </w:r>
            <w:proofErr w:type="spellStart"/>
            <w:r>
              <w:t>badania</w:t>
            </w:r>
            <w:proofErr w:type="spellEnd"/>
            <w:r>
              <w:t xml:space="preserve"> </w:t>
            </w:r>
            <w:proofErr w:type="spellStart"/>
            <w:r>
              <w:t>ewaluacyjne</w:t>
            </w:r>
            <w:proofErr w:type="spellEnd"/>
            <w:r>
              <w:t>:</w:t>
            </w:r>
          </w:p>
          <w:p w14:paraId="3EA66FD0" w14:textId="77777777" w:rsidR="006B2EC1" w:rsidRDefault="006B2EC1" w:rsidP="00E82A60">
            <w:pPr>
              <w:numPr>
                <w:ilvl w:val="0"/>
                <w:numId w:val="40"/>
              </w:numPr>
              <w:spacing w:before="240" w:after="0"/>
              <w:ind w:hanging="280"/>
              <w:jc w:val="left"/>
            </w:pPr>
          </w:p>
          <w:p w14:paraId="121C667E" w14:textId="77777777" w:rsidR="006B2EC1" w:rsidRDefault="00E82A60" w:rsidP="00E82A60">
            <w:pPr>
              <w:numPr>
                <w:ilvl w:val="1"/>
                <w:numId w:val="40"/>
              </w:numPr>
              <w:spacing w:before="240" w:after="240"/>
              <w:ind w:hanging="280"/>
              <w:jc w:val="left"/>
            </w:pPr>
            <w:proofErr w:type="spellStart"/>
            <w:r>
              <w:rPr>
                <w:b/>
                <w:bCs/>
              </w:rPr>
              <w:t>Ewaluacja</w:t>
            </w:r>
            <w:proofErr w:type="spellEnd"/>
            <w:r>
              <w:rPr>
                <w:b/>
                <w:bCs/>
              </w:rPr>
              <w:t xml:space="preserve"> mid-term </w:t>
            </w:r>
            <w:proofErr w:type="spellStart"/>
            <w:r>
              <w:rPr>
                <w:b/>
                <w:bCs/>
              </w:rPr>
              <w:t>dotycząca</w:t>
            </w:r>
            <w:proofErr w:type="spellEnd"/>
            <w:r>
              <w:rPr>
                <w:b/>
                <w:bCs/>
              </w:rPr>
              <w:t xml:space="preserve"> </w:t>
            </w:r>
            <w:proofErr w:type="spellStart"/>
            <w:r>
              <w:rPr>
                <w:b/>
                <w:bCs/>
              </w:rPr>
              <w:t>postępu</w:t>
            </w:r>
            <w:proofErr w:type="spellEnd"/>
            <w:r>
              <w:rPr>
                <w:b/>
                <w:bCs/>
              </w:rPr>
              <w:t xml:space="preserve"> </w:t>
            </w:r>
            <w:proofErr w:type="spellStart"/>
            <w:r>
              <w:rPr>
                <w:b/>
                <w:bCs/>
              </w:rPr>
              <w:t>rzeczowego</w:t>
            </w:r>
            <w:proofErr w:type="spellEnd"/>
            <w:r>
              <w:rPr>
                <w:b/>
                <w:bCs/>
              </w:rPr>
              <w:t xml:space="preserve"> RPOWŚ 2014-2020 </w:t>
            </w:r>
            <w:proofErr w:type="spellStart"/>
            <w:r>
              <w:rPr>
                <w:b/>
                <w:bCs/>
              </w:rPr>
              <w:t>dla</w:t>
            </w:r>
            <w:proofErr w:type="spellEnd"/>
            <w:r>
              <w:rPr>
                <w:b/>
                <w:bCs/>
              </w:rPr>
              <w:t xml:space="preserve"> </w:t>
            </w:r>
            <w:proofErr w:type="spellStart"/>
            <w:r>
              <w:rPr>
                <w:b/>
                <w:bCs/>
              </w:rPr>
              <w:t>potrzeb</w:t>
            </w:r>
            <w:proofErr w:type="spellEnd"/>
            <w:r>
              <w:rPr>
                <w:b/>
                <w:bCs/>
              </w:rPr>
              <w:t xml:space="preserve"> </w:t>
            </w:r>
            <w:proofErr w:type="spellStart"/>
            <w:r>
              <w:rPr>
                <w:b/>
                <w:bCs/>
              </w:rPr>
              <w:t>przeglądu</w:t>
            </w:r>
            <w:proofErr w:type="spellEnd"/>
            <w:r>
              <w:rPr>
                <w:b/>
                <w:bCs/>
              </w:rPr>
              <w:t xml:space="preserve"> </w:t>
            </w:r>
            <w:proofErr w:type="spellStart"/>
            <w:r>
              <w:rPr>
                <w:b/>
                <w:bCs/>
              </w:rPr>
              <w:t>śródokresowego</w:t>
            </w:r>
            <w:proofErr w:type="spellEnd"/>
            <w:r>
              <w:rPr>
                <w:b/>
                <w:bCs/>
              </w:rPr>
              <w:t xml:space="preserve">, w </w:t>
            </w:r>
            <w:proofErr w:type="spellStart"/>
            <w:r>
              <w:rPr>
                <w:b/>
                <w:bCs/>
              </w:rPr>
              <w:t>tym</w:t>
            </w:r>
            <w:proofErr w:type="spellEnd"/>
            <w:r>
              <w:rPr>
                <w:b/>
                <w:bCs/>
              </w:rPr>
              <w:t xml:space="preserve"> </w:t>
            </w:r>
            <w:proofErr w:type="spellStart"/>
            <w:r>
              <w:rPr>
                <w:b/>
                <w:bCs/>
              </w:rPr>
              <w:t>realizacji</w:t>
            </w:r>
            <w:proofErr w:type="spellEnd"/>
            <w:r>
              <w:rPr>
                <w:b/>
                <w:bCs/>
              </w:rPr>
              <w:t xml:space="preserve"> </w:t>
            </w:r>
            <w:proofErr w:type="spellStart"/>
            <w:r>
              <w:rPr>
                <w:b/>
                <w:bCs/>
              </w:rPr>
              <w:t>zapisów</w:t>
            </w:r>
            <w:proofErr w:type="spellEnd"/>
            <w:r>
              <w:rPr>
                <w:b/>
                <w:bCs/>
              </w:rPr>
              <w:t xml:space="preserve"> ram i </w:t>
            </w:r>
            <w:proofErr w:type="spellStart"/>
            <w:r>
              <w:rPr>
                <w:b/>
                <w:bCs/>
              </w:rPr>
              <w:t>rezerwy</w:t>
            </w:r>
            <w:proofErr w:type="spellEnd"/>
            <w:r>
              <w:rPr>
                <w:b/>
                <w:bCs/>
              </w:rPr>
              <w:t xml:space="preserve"> </w:t>
            </w:r>
            <w:proofErr w:type="spellStart"/>
            <w:r>
              <w:rPr>
                <w:b/>
                <w:bCs/>
              </w:rPr>
              <w:t>wykonania</w:t>
            </w:r>
            <w:proofErr w:type="spellEnd"/>
            <w:r>
              <w:rPr>
                <w:b/>
                <w:bCs/>
              </w:rPr>
              <w:t xml:space="preserve"> - </w:t>
            </w:r>
            <w:proofErr w:type="spellStart"/>
            <w:r>
              <w:t>realizacja</w:t>
            </w:r>
            <w:proofErr w:type="spellEnd"/>
            <w:r>
              <w:t xml:space="preserve"> </w:t>
            </w:r>
            <w:proofErr w:type="spellStart"/>
            <w:r>
              <w:t>grudzień</w:t>
            </w:r>
            <w:proofErr w:type="spellEnd"/>
            <w:r>
              <w:t xml:space="preserve"> 2018 - </w:t>
            </w:r>
            <w:proofErr w:type="spellStart"/>
            <w:r>
              <w:t>kwiecień</w:t>
            </w:r>
            <w:proofErr w:type="spellEnd"/>
            <w:r>
              <w:t xml:space="preserve"> 2019</w:t>
            </w:r>
          </w:p>
          <w:p w14:paraId="6694A0C6" w14:textId="77777777" w:rsidR="006B2EC1" w:rsidRDefault="00E82A60">
            <w:pPr>
              <w:spacing w:before="240" w:after="240"/>
              <w:jc w:val="left"/>
            </w:pPr>
            <w:proofErr w:type="spellStart"/>
            <w:r>
              <w:t>Głównym</w:t>
            </w:r>
            <w:proofErr w:type="spellEnd"/>
            <w:r>
              <w:t xml:space="preserve"> </w:t>
            </w:r>
            <w:proofErr w:type="spellStart"/>
            <w:r>
              <w:t>celem</w:t>
            </w:r>
            <w:proofErr w:type="spellEnd"/>
            <w:r>
              <w:t xml:space="preserve"> </w:t>
            </w:r>
            <w:proofErr w:type="spellStart"/>
            <w:r>
              <w:t>badania</w:t>
            </w:r>
            <w:proofErr w:type="spellEnd"/>
            <w:r>
              <w:t xml:space="preserve"> </w:t>
            </w:r>
            <w:proofErr w:type="spellStart"/>
            <w:r>
              <w:t>była</w:t>
            </w:r>
            <w:proofErr w:type="spellEnd"/>
            <w:r>
              <w:t xml:space="preserve"> </w:t>
            </w:r>
            <w:proofErr w:type="spellStart"/>
            <w:r>
              <w:t>ocena</w:t>
            </w:r>
            <w:proofErr w:type="spellEnd"/>
            <w:r>
              <w:t xml:space="preserve"> </w:t>
            </w:r>
            <w:proofErr w:type="spellStart"/>
            <w:r>
              <w:t>postępów</w:t>
            </w:r>
            <w:proofErr w:type="spellEnd"/>
            <w:r>
              <w:t xml:space="preserve"> </w:t>
            </w:r>
            <w:proofErr w:type="spellStart"/>
            <w:r>
              <w:t>realizacji</w:t>
            </w:r>
            <w:proofErr w:type="spellEnd"/>
            <w:r>
              <w:t xml:space="preserve"> </w:t>
            </w:r>
            <w:proofErr w:type="spellStart"/>
            <w:r>
              <w:t>celów</w:t>
            </w:r>
            <w:proofErr w:type="spellEnd"/>
            <w:r>
              <w:t xml:space="preserve"> </w:t>
            </w:r>
            <w:proofErr w:type="spellStart"/>
            <w:r>
              <w:t>szczegółowych</w:t>
            </w:r>
            <w:proofErr w:type="spellEnd"/>
            <w:r>
              <w:t xml:space="preserve"> </w:t>
            </w:r>
            <w:proofErr w:type="spellStart"/>
            <w:r>
              <w:t>określonych</w:t>
            </w:r>
            <w:proofErr w:type="spellEnd"/>
            <w:r>
              <w:t xml:space="preserve"> </w:t>
            </w:r>
            <w:proofErr w:type="spellStart"/>
            <w:r>
              <w:t>dla</w:t>
            </w:r>
            <w:proofErr w:type="spellEnd"/>
            <w:r>
              <w:t xml:space="preserve"> </w:t>
            </w:r>
            <w:proofErr w:type="spellStart"/>
            <w:r>
              <w:t>priorytetów</w:t>
            </w:r>
            <w:proofErr w:type="spellEnd"/>
            <w:r>
              <w:t xml:space="preserve"> </w:t>
            </w:r>
            <w:proofErr w:type="spellStart"/>
            <w:r>
              <w:t>inwestycyjnych</w:t>
            </w:r>
            <w:proofErr w:type="spellEnd"/>
            <w:r>
              <w:t>/</w:t>
            </w:r>
            <w:proofErr w:type="spellStart"/>
            <w:r>
              <w:t>osi</w:t>
            </w:r>
            <w:proofErr w:type="spellEnd"/>
            <w:r>
              <w:t xml:space="preserve"> </w:t>
            </w:r>
            <w:proofErr w:type="spellStart"/>
            <w:r>
              <w:t>priorytetowych</w:t>
            </w:r>
            <w:proofErr w:type="spellEnd"/>
            <w:r>
              <w:t xml:space="preserve"> RPOWŚ 2014 - 2020 </w:t>
            </w:r>
            <w:proofErr w:type="spellStart"/>
            <w:r>
              <w:t>dla</w:t>
            </w:r>
            <w:proofErr w:type="spellEnd"/>
            <w:r>
              <w:t xml:space="preserve"> </w:t>
            </w:r>
            <w:proofErr w:type="spellStart"/>
            <w:r>
              <w:t>potrzeb</w:t>
            </w:r>
            <w:proofErr w:type="spellEnd"/>
            <w:r>
              <w:t xml:space="preserve"> </w:t>
            </w:r>
            <w:proofErr w:type="spellStart"/>
            <w:r>
              <w:t>przeglądu</w:t>
            </w:r>
            <w:proofErr w:type="spellEnd"/>
            <w:r>
              <w:t xml:space="preserve"> </w:t>
            </w:r>
            <w:proofErr w:type="spellStart"/>
            <w:r>
              <w:t>śródokresowego</w:t>
            </w:r>
            <w:proofErr w:type="spellEnd"/>
            <w:r>
              <w:t xml:space="preserve">, </w:t>
            </w:r>
            <w:proofErr w:type="spellStart"/>
            <w:r>
              <w:t>ze</w:t>
            </w:r>
            <w:proofErr w:type="spellEnd"/>
            <w:r>
              <w:t xml:space="preserve"> </w:t>
            </w:r>
            <w:proofErr w:type="spellStart"/>
            <w:r>
              <w:t>szczególnym</w:t>
            </w:r>
            <w:proofErr w:type="spellEnd"/>
            <w:r>
              <w:t xml:space="preserve"> </w:t>
            </w:r>
            <w:proofErr w:type="spellStart"/>
            <w:r>
              <w:t>uwzględnieniem</w:t>
            </w:r>
            <w:proofErr w:type="spellEnd"/>
            <w:r>
              <w:t xml:space="preserve"> </w:t>
            </w:r>
            <w:proofErr w:type="spellStart"/>
            <w:r>
              <w:t>zobowiązań</w:t>
            </w:r>
            <w:proofErr w:type="spellEnd"/>
            <w:r>
              <w:t xml:space="preserve"> </w:t>
            </w:r>
            <w:proofErr w:type="spellStart"/>
            <w:r>
              <w:t>wynikających</w:t>
            </w:r>
            <w:proofErr w:type="spellEnd"/>
            <w:r>
              <w:t xml:space="preserve"> z  </w:t>
            </w:r>
            <w:proofErr w:type="spellStart"/>
            <w:r>
              <w:t>zapisów</w:t>
            </w:r>
            <w:proofErr w:type="spellEnd"/>
            <w:r>
              <w:t xml:space="preserve"> ram i </w:t>
            </w:r>
            <w:proofErr w:type="spellStart"/>
            <w:r>
              <w:t>rezerwy</w:t>
            </w:r>
            <w:proofErr w:type="spellEnd"/>
            <w:r>
              <w:t xml:space="preserve"> </w:t>
            </w:r>
            <w:proofErr w:type="spellStart"/>
            <w:r>
              <w:t>wykonania</w:t>
            </w:r>
            <w:proofErr w:type="spellEnd"/>
            <w:r>
              <w:t>.</w:t>
            </w:r>
          </w:p>
          <w:p w14:paraId="6EE8C430" w14:textId="77777777" w:rsidR="006B2EC1" w:rsidRDefault="00E82A60">
            <w:pPr>
              <w:spacing w:before="240" w:after="240"/>
              <w:jc w:val="left"/>
            </w:pPr>
            <w:r>
              <w:t xml:space="preserve">W </w:t>
            </w:r>
            <w:proofErr w:type="spellStart"/>
            <w:r>
              <w:t>ramach</w:t>
            </w:r>
            <w:proofErr w:type="spellEnd"/>
            <w:r>
              <w:t xml:space="preserve"> </w:t>
            </w:r>
            <w:proofErr w:type="spellStart"/>
            <w:r>
              <w:t>badania</w:t>
            </w:r>
            <w:proofErr w:type="spellEnd"/>
            <w:r>
              <w:t xml:space="preserve"> </w:t>
            </w:r>
            <w:proofErr w:type="spellStart"/>
            <w:r>
              <w:t>dokonano</w:t>
            </w:r>
            <w:proofErr w:type="spellEnd"/>
            <w:r>
              <w:t>:</w:t>
            </w:r>
          </w:p>
          <w:p w14:paraId="72BB53BB" w14:textId="77777777" w:rsidR="006B2EC1" w:rsidRDefault="00E82A60" w:rsidP="00E82A60">
            <w:pPr>
              <w:numPr>
                <w:ilvl w:val="0"/>
                <w:numId w:val="41"/>
              </w:numPr>
              <w:spacing w:before="240" w:after="0"/>
              <w:ind w:hanging="210"/>
              <w:jc w:val="left"/>
            </w:pPr>
            <w:proofErr w:type="spellStart"/>
            <w:r>
              <w:t>oceny</w:t>
            </w:r>
            <w:proofErr w:type="spellEnd"/>
            <w:r>
              <w:t xml:space="preserve"> </w:t>
            </w:r>
            <w:proofErr w:type="spellStart"/>
            <w:r>
              <w:t>postępów</w:t>
            </w:r>
            <w:proofErr w:type="spellEnd"/>
            <w:r>
              <w:t xml:space="preserve"> </w:t>
            </w:r>
            <w:proofErr w:type="spellStart"/>
            <w:r>
              <w:t>wdrażania</w:t>
            </w:r>
            <w:proofErr w:type="spellEnd"/>
            <w:r>
              <w:t xml:space="preserve"> RPOWŚ </w:t>
            </w:r>
            <w:proofErr w:type="spellStart"/>
            <w:r>
              <w:t>na</w:t>
            </w:r>
            <w:proofErr w:type="spellEnd"/>
            <w:r>
              <w:t xml:space="preserve"> </w:t>
            </w:r>
            <w:proofErr w:type="spellStart"/>
            <w:r>
              <w:t>poziomie</w:t>
            </w:r>
            <w:proofErr w:type="spellEnd"/>
            <w:r>
              <w:t xml:space="preserve"> </w:t>
            </w:r>
            <w:proofErr w:type="spellStart"/>
            <w:r>
              <w:t>osi</w:t>
            </w:r>
            <w:proofErr w:type="spellEnd"/>
            <w:r>
              <w:t xml:space="preserve"> i </w:t>
            </w:r>
            <w:proofErr w:type="spellStart"/>
            <w:r>
              <w:t>priorytetów</w:t>
            </w:r>
            <w:proofErr w:type="spellEnd"/>
            <w:r>
              <w:t xml:space="preserve"> </w:t>
            </w:r>
            <w:proofErr w:type="spellStart"/>
            <w:r>
              <w:t>inwestycyjnych</w:t>
            </w:r>
            <w:proofErr w:type="spellEnd"/>
            <w:r>
              <w:t xml:space="preserve"> </w:t>
            </w:r>
            <w:proofErr w:type="spellStart"/>
            <w:r>
              <w:t>poprzez</w:t>
            </w:r>
            <w:proofErr w:type="spellEnd"/>
            <w:r>
              <w:t xml:space="preserve"> </w:t>
            </w:r>
            <w:proofErr w:type="spellStart"/>
            <w:r>
              <w:t>ocenę</w:t>
            </w:r>
            <w:proofErr w:type="spellEnd"/>
            <w:r>
              <w:t xml:space="preserve"> </w:t>
            </w:r>
            <w:proofErr w:type="spellStart"/>
            <w:r>
              <w:t>realizacji</w:t>
            </w:r>
            <w:proofErr w:type="spellEnd"/>
            <w:r>
              <w:t xml:space="preserve"> </w:t>
            </w:r>
            <w:proofErr w:type="spellStart"/>
            <w:r>
              <w:t>założonych</w:t>
            </w:r>
            <w:proofErr w:type="spellEnd"/>
            <w:r>
              <w:t xml:space="preserve"> </w:t>
            </w:r>
            <w:proofErr w:type="spellStart"/>
            <w:r>
              <w:t>wartości</w:t>
            </w:r>
            <w:proofErr w:type="spellEnd"/>
            <w:r>
              <w:t xml:space="preserve"> </w:t>
            </w:r>
            <w:proofErr w:type="spellStart"/>
            <w:r>
              <w:t>pośrednich</w:t>
            </w:r>
            <w:proofErr w:type="spellEnd"/>
            <w:r>
              <w:t xml:space="preserve"> i </w:t>
            </w:r>
            <w:proofErr w:type="spellStart"/>
            <w:r>
              <w:t>docelowych</w:t>
            </w:r>
            <w:proofErr w:type="spellEnd"/>
            <w:r>
              <w:t xml:space="preserve"> </w:t>
            </w:r>
            <w:proofErr w:type="spellStart"/>
            <w:r>
              <w:t>wskaźników</w:t>
            </w:r>
            <w:proofErr w:type="spellEnd"/>
            <w:r>
              <w:t xml:space="preserve"> </w:t>
            </w:r>
            <w:proofErr w:type="spellStart"/>
            <w:r>
              <w:t>wraz</w:t>
            </w:r>
            <w:proofErr w:type="spellEnd"/>
            <w:r>
              <w:t xml:space="preserve"> z </w:t>
            </w:r>
            <w:proofErr w:type="spellStart"/>
            <w:r>
              <w:t>określeniem</w:t>
            </w:r>
            <w:proofErr w:type="spellEnd"/>
            <w:r>
              <w:t xml:space="preserve"> </w:t>
            </w:r>
            <w:proofErr w:type="spellStart"/>
            <w:r>
              <w:t>czynników</w:t>
            </w:r>
            <w:proofErr w:type="spellEnd"/>
            <w:r>
              <w:t>/</w:t>
            </w:r>
            <w:proofErr w:type="spellStart"/>
            <w:r>
              <w:t>problemów</w:t>
            </w:r>
            <w:proofErr w:type="spellEnd"/>
            <w:r>
              <w:t xml:space="preserve">  </w:t>
            </w:r>
            <w:proofErr w:type="spellStart"/>
            <w:r>
              <w:t>wpływających</w:t>
            </w:r>
            <w:proofErr w:type="spellEnd"/>
            <w:r>
              <w:t xml:space="preserve"> </w:t>
            </w:r>
            <w:proofErr w:type="spellStart"/>
            <w:r>
              <w:t>na</w:t>
            </w:r>
            <w:proofErr w:type="spellEnd"/>
            <w:r>
              <w:t xml:space="preserve"> </w:t>
            </w:r>
            <w:proofErr w:type="spellStart"/>
            <w:r>
              <w:t>stopień</w:t>
            </w:r>
            <w:proofErr w:type="spellEnd"/>
            <w:r>
              <w:t xml:space="preserve"> ich </w:t>
            </w:r>
            <w:proofErr w:type="spellStart"/>
            <w:r>
              <w:t>osiągnięcia</w:t>
            </w:r>
            <w:proofErr w:type="spellEnd"/>
            <w:r>
              <w:t>.</w:t>
            </w:r>
          </w:p>
          <w:p w14:paraId="17881529" w14:textId="77777777" w:rsidR="006B2EC1" w:rsidRDefault="00E82A60" w:rsidP="00E82A60">
            <w:pPr>
              <w:numPr>
                <w:ilvl w:val="0"/>
                <w:numId w:val="41"/>
              </w:numPr>
              <w:spacing w:before="0" w:after="0"/>
              <w:ind w:hanging="210"/>
              <w:jc w:val="left"/>
            </w:pPr>
            <w:proofErr w:type="spellStart"/>
            <w:r>
              <w:t>oceny</w:t>
            </w:r>
            <w:proofErr w:type="spellEnd"/>
            <w:r>
              <w:t xml:space="preserve"> </w:t>
            </w:r>
            <w:proofErr w:type="spellStart"/>
            <w:r>
              <w:t>potencjału</w:t>
            </w:r>
            <w:proofErr w:type="spellEnd"/>
            <w:r>
              <w:t xml:space="preserve"> </w:t>
            </w:r>
            <w:proofErr w:type="spellStart"/>
            <w:r>
              <w:t>absorpcyjnego</w:t>
            </w:r>
            <w:proofErr w:type="spellEnd"/>
            <w:r>
              <w:t xml:space="preserve"> </w:t>
            </w:r>
            <w:proofErr w:type="spellStart"/>
            <w:r>
              <w:t>osi</w:t>
            </w:r>
            <w:proofErr w:type="spellEnd"/>
            <w:r>
              <w:t xml:space="preserve"> </w:t>
            </w:r>
            <w:proofErr w:type="spellStart"/>
            <w:r>
              <w:t>priorytetowych</w:t>
            </w:r>
            <w:proofErr w:type="spellEnd"/>
            <w:r>
              <w:t xml:space="preserve">, w </w:t>
            </w:r>
            <w:proofErr w:type="spellStart"/>
            <w:r>
              <w:t>ramach</w:t>
            </w:r>
            <w:proofErr w:type="spellEnd"/>
            <w:r>
              <w:t xml:space="preserve"> </w:t>
            </w:r>
            <w:proofErr w:type="spellStart"/>
            <w:r>
              <w:t>których</w:t>
            </w:r>
            <w:proofErr w:type="spellEnd"/>
            <w:r>
              <w:t xml:space="preserve"> </w:t>
            </w:r>
            <w:proofErr w:type="spellStart"/>
            <w:r>
              <w:t>może</w:t>
            </w:r>
            <w:proofErr w:type="spellEnd"/>
            <w:r>
              <w:t xml:space="preserve"> </w:t>
            </w:r>
            <w:proofErr w:type="spellStart"/>
            <w:r>
              <w:t>dojść</w:t>
            </w:r>
            <w:proofErr w:type="spellEnd"/>
            <w:r>
              <w:t xml:space="preserve"> do </w:t>
            </w:r>
            <w:proofErr w:type="spellStart"/>
            <w:r>
              <w:t>realokacji</w:t>
            </w:r>
            <w:proofErr w:type="spellEnd"/>
            <w:r>
              <w:t xml:space="preserve"> </w:t>
            </w:r>
            <w:proofErr w:type="spellStart"/>
            <w:r>
              <w:t>środków</w:t>
            </w:r>
            <w:proofErr w:type="spellEnd"/>
            <w:r>
              <w:t>.</w:t>
            </w:r>
          </w:p>
          <w:p w14:paraId="5AA092D8" w14:textId="77777777" w:rsidR="006B2EC1" w:rsidRDefault="00E82A60" w:rsidP="00E82A60">
            <w:pPr>
              <w:numPr>
                <w:ilvl w:val="0"/>
                <w:numId w:val="41"/>
              </w:numPr>
              <w:spacing w:before="0" w:after="0"/>
              <w:ind w:hanging="210"/>
              <w:jc w:val="left"/>
            </w:pPr>
            <w:proofErr w:type="spellStart"/>
            <w:r>
              <w:t>oceny</w:t>
            </w:r>
            <w:proofErr w:type="spellEnd"/>
            <w:r>
              <w:t xml:space="preserve"> </w:t>
            </w:r>
            <w:proofErr w:type="spellStart"/>
            <w:r>
              <w:t>wkładu</w:t>
            </w:r>
            <w:proofErr w:type="spellEnd"/>
            <w:r>
              <w:t xml:space="preserve"> </w:t>
            </w:r>
            <w:proofErr w:type="spellStart"/>
            <w:r>
              <w:t>interwencji</w:t>
            </w:r>
            <w:proofErr w:type="spellEnd"/>
            <w:r>
              <w:t xml:space="preserve"> w </w:t>
            </w:r>
            <w:proofErr w:type="spellStart"/>
            <w:r>
              <w:t>realizację</w:t>
            </w:r>
            <w:proofErr w:type="spellEnd"/>
            <w:r>
              <w:t xml:space="preserve"> </w:t>
            </w:r>
            <w:proofErr w:type="spellStart"/>
            <w:r>
              <w:t>celów</w:t>
            </w:r>
            <w:proofErr w:type="spellEnd"/>
            <w:r>
              <w:t xml:space="preserve"> </w:t>
            </w:r>
            <w:proofErr w:type="spellStart"/>
            <w:r>
              <w:t>Strategii</w:t>
            </w:r>
            <w:proofErr w:type="spellEnd"/>
            <w:r>
              <w:t xml:space="preserve"> Europa 2020.</w:t>
            </w:r>
          </w:p>
          <w:p w14:paraId="5D2E5736" w14:textId="77777777" w:rsidR="006B2EC1" w:rsidRDefault="00E82A60" w:rsidP="00E82A60">
            <w:pPr>
              <w:numPr>
                <w:ilvl w:val="0"/>
                <w:numId w:val="41"/>
              </w:numPr>
              <w:spacing w:before="0" w:after="240"/>
              <w:ind w:hanging="210"/>
              <w:jc w:val="left"/>
            </w:pPr>
            <w:proofErr w:type="spellStart"/>
            <w:r>
              <w:t>sformułowania</w:t>
            </w:r>
            <w:proofErr w:type="spellEnd"/>
            <w:r>
              <w:t xml:space="preserve"> </w:t>
            </w:r>
            <w:proofErr w:type="spellStart"/>
            <w:r>
              <w:t>wniosków</w:t>
            </w:r>
            <w:proofErr w:type="spellEnd"/>
            <w:r>
              <w:t xml:space="preserve"> i </w:t>
            </w:r>
            <w:proofErr w:type="spellStart"/>
            <w:r>
              <w:t>rekomendacji</w:t>
            </w:r>
            <w:proofErr w:type="spellEnd"/>
            <w:r>
              <w:t xml:space="preserve"> </w:t>
            </w:r>
            <w:proofErr w:type="spellStart"/>
            <w:r>
              <w:t>dotyczących</w:t>
            </w:r>
            <w:proofErr w:type="spellEnd"/>
            <w:r>
              <w:t xml:space="preserve"> </w:t>
            </w:r>
            <w:proofErr w:type="spellStart"/>
            <w:r>
              <w:t>dalszej</w:t>
            </w:r>
            <w:proofErr w:type="spellEnd"/>
            <w:r>
              <w:t xml:space="preserve"> </w:t>
            </w:r>
            <w:proofErr w:type="spellStart"/>
            <w:r>
              <w:t>realizacji</w:t>
            </w:r>
            <w:proofErr w:type="spellEnd"/>
            <w:r>
              <w:t xml:space="preserve"> RPOWŚ.</w:t>
            </w:r>
          </w:p>
          <w:p w14:paraId="55D49E4A" w14:textId="77777777" w:rsidR="006B2EC1" w:rsidRDefault="00E82A60">
            <w:pPr>
              <w:spacing w:before="240" w:after="240"/>
              <w:jc w:val="left"/>
            </w:pPr>
            <w:r>
              <w:lastRenderedPageBreak/>
              <w:t xml:space="preserve">W </w:t>
            </w:r>
            <w:proofErr w:type="spellStart"/>
            <w:r>
              <w:t>wyniku</w:t>
            </w:r>
            <w:proofErr w:type="spellEnd"/>
            <w:r>
              <w:t xml:space="preserve"> </w:t>
            </w:r>
            <w:proofErr w:type="spellStart"/>
            <w:r>
              <w:t>przeprowadzonego</w:t>
            </w:r>
            <w:proofErr w:type="spellEnd"/>
            <w:r>
              <w:t xml:space="preserve"> </w:t>
            </w:r>
            <w:proofErr w:type="spellStart"/>
            <w:r>
              <w:t>badania</w:t>
            </w:r>
            <w:proofErr w:type="spellEnd"/>
            <w:r>
              <w:t xml:space="preserve"> </w:t>
            </w:r>
            <w:proofErr w:type="spellStart"/>
            <w:r>
              <w:t>prognozuje</w:t>
            </w:r>
            <w:proofErr w:type="spellEnd"/>
            <w:r>
              <w:t xml:space="preserve"> </w:t>
            </w:r>
            <w:proofErr w:type="spellStart"/>
            <w:r>
              <w:t>się</w:t>
            </w:r>
            <w:proofErr w:type="spellEnd"/>
            <w:r>
              <w:t xml:space="preserve">, </w:t>
            </w:r>
            <w:proofErr w:type="spellStart"/>
            <w:r>
              <w:t>że</w:t>
            </w:r>
            <w:proofErr w:type="spellEnd"/>
            <w:r>
              <w:t xml:space="preserve"> </w:t>
            </w:r>
            <w:proofErr w:type="spellStart"/>
            <w:r>
              <w:t>cele</w:t>
            </w:r>
            <w:proofErr w:type="spellEnd"/>
            <w:r>
              <w:t xml:space="preserve"> </w:t>
            </w:r>
            <w:proofErr w:type="spellStart"/>
            <w:r>
              <w:t>operacyjne</w:t>
            </w:r>
            <w:proofErr w:type="spellEnd"/>
            <w:r>
              <w:t xml:space="preserve"> </w:t>
            </w:r>
            <w:proofErr w:type="spellStart"/>
            <w:r>
              <w:t>wszystkich</w:t>
            </w:r>
            <w:proofErr w:type="spellEnd"/>
            <w:r>
              <w:t xml:space="preserve"> </w:t>
            </w:r>
            <w:proofErr w:type="spellStart"/>
            <w:r>
              <w:t>osi</w:t>
            </w:r>
            <w:proofErr w:type="spellEnd"/>
            <w:r>
              <w:t xml:space="preserve"> </w:t>
            </w:r>
            <w:proofErr w:type="spellStart"/>
            <w:r>
              <w:t>priorytetowych</w:t>
            </w:r>
            <w:proofErr w:type="spellEnd"/>
            <w:r>
              <w:t xml:space="preserve">, </w:t>
            </w:r>
            <w:proofErr w:type="spellStart"/>
            <w:r>
              <w:t>ujęte</w:t>
            </w:r>
            <w:proofErr w:type="spellEnd"/>
            <w:r>
              <w:t xml:space="preserve"> w </w:t>
            </w:r>
            <w:proofErr w:type="spellStart"/>
            <w:r>
              <w:t>wartościach</w:t>
            </w:r>
            <w:proofErr w:type="spellEnd"/>
            <w:r>
              <w:t xml:space="preserve"> </w:t>
            </w:r>
            <w:proofErr w:type="spellStart"/>
            <w:r>
              <w:t>docelowych</w:t>
            </w:r>
            <w:proofErr w:type="spellEnd"/>
            <w:r>
              <w:t xml:space="preserve"> </w:t>
            </w:r>
            <w:proofErr w:type="spellStart"/>
            <w:r>
              <w:t>wskaźników</w:t>
            </w:r>
            <w:proofErr w:type="spellEnd"/>
            <w:r>
              <w:t xml:space="preserve"> ram </w:t>
            </w:r>
            <w:proofErr w:type="spellStart"/>
            <w:r>
              <w:t>wykonania</w:t>
            </w:r>
            <w:proofErr w:type="spellEnd"/>
            <w:r>
              <w:t xml:space="preserve"> i </w:t>
            </w:r>
            <w:proofErr w:type="spellStart"/>
            <w:r>
              <w:t>wskaźników</w:t>
            </w:r>
            <w:proofErr w:type="spellEnd"/>
            <w:r>
              <w:t xml:space="preserve"> </w:t>
            </w:r>
            <w:proofErr w:type="spellStart"/>
            <w:r>
              <w:t>programowych</w:t>
            </w:r>
            <w:proofErr w:type="spellEnd"/>
            <w:r>
              <w:t xml:space="preserve"> </w:t>
            </w:r>
            <w:proofErr w:type="spellStart"/>
            <w:r>
              <w:t>produktu</w:t>
            </w:r>
            <w:proofErr w:type="spellEnd"/>
            <w:r>
              <w:t xml:space="preserve">, </w:t>
            </w:r>
            <w:proofErr w:type="spellStart"/>
            <w:r>
              <w:t>zostaną</w:t>
            </w:r>
            <w:proofErr w:type="spellEnd"/>
            <w:r>
              <w:t xml:space="preserve"> w </w:t>
            </w:r>
            <w:proofErr w:type="spellStart"/>
            <w:r>
              <w:t>przeważającej</w:t>
            </w:r>
            <w:proofErr w:type="spellEnd"/>
            <w:r>
              <w:t xml:space="preserve"> </w:t>
            </w:r>
            <w:proofErr w:type="spellStart"/>
            <w:r>
              <w:t>większości</w:t>
            </w:r>
            <w:proofErr w:type="spellEnd"/>
            <w:r>
              <w:t xml:space="preserve"> </w:t>
            </w:r>
            <w:proofErr w:type="spellStart"/>
            <w:r>
              <w:t>przypadków</w:t>
            </w:r>
            <w:proofErr w:type="spellEnd"/>
            <w:r>
              <w:t xml:space="preserve"> </w:t>
            </w:r>
            <w:proofErr w:type="spellStart"/>
            <w:r>
              <w:t>osiągnięte</w:t>
            </w:r>
            <w:proofErr w:type="spellEnd"/>
            <w:r>
              <w:t xml:space="preserve"> </w:t>
            </w:r>
            <w:proofErr w:type="spellStart"/>
            <w:r>
              <w:t>na</w:t>
            </w:r>
            <w:proofErr w:type="spellEnd"/>
            <w:r>
              <w:t xml:space="preserve"> </w:t>
            </w:r>
            <w:proofErr w:type="spellStart"/>
            <w:r>
              <w:t>zakładanym</w:t>
            </w:r>
            <w:proofErr w:type="spellEnd"/>
            <w:r>
              <w:t xml:space="preserve"> </w:t>
            </w:r>
            <w:proofErr w:type="spellStart"/>
            <w:r>
              <w:t>lub</w:t>
            </w:r>
            <w:proofErr w:type="spellEnd"/>
            <w:r>
              <w:t xml:space="preserve"> </w:t>
            </w:r>
            <w:proofErr w:type="spellStart"/>
            <w:r>
              <w:t>wyższym</w:t>
            </w:r>
            <w:proofErr w:type="spellEnd"/>
            <w:r>
              <w:t xml:space="preserve"> </w:t>
            </w:r>
            <w:proofErr w:type="spellStart"/>
            <w:r>
              <w:t>niż</w:t>
            </w:r>
            <w:proofErr w:type="spellEnd"/>
            <w:r>
              <w:t xml:space="preserve"> </w:t>
            </w:r>
            <w:proofErr w:type="spellStart"/>
            <w:r>
              <w:t>zakładano</w:t>
            </w:r>
            <w:proofErr w:type="spellEnd"/>
            <w:r>
              <w:t xml:space="preserve"> </w:t>
            </w:r>
            <w:proofErr w:type="spellStart"/>
            <w:r>
              <w:t>poziomie</w:t>
            </w:r>
            <w:proofErr w:type="spellEnd"/>
            <w:r>
              <w:t xml:space="preserve">. W </w:t>
            </w:r>
            <w:proofErr w:type="spellStart"/>
            <w:r>
              <w:t>niektórych</w:t>
            </w:r>
            <w:proofErr w:type="spellEnd"/>
            <w:r>
              <w:t xml:space="preserve"> </w:t>
            </w:r>
            <w:proofErr w:type="spellStart"/>
            <w:r>
              <w:t>osiach</w:t>
            </w:r>
            <w:proofErr w:type="spellEnd"/>
            <w:r>
              <w:t xml:space="preserve"> </w:t>
            </w:r>
            <w:proofErr w:type="spellStart"/>
            <w:r>
              <w:t>niskie</w:t>
            </w:r>
            <w:proofErr w:type="spellEnd"/>
            <w:r>
              <w:t xml:space="preserve"> </w:t>
            </w:r>
            <w:proofErr w:type="spellStart"/>
            <w:r>
              <w:t>zaawansowanie</w:t>
            </w:r>
            <w:proofErr w:type="spellEnd"/>
            <w:r>
              <w:t xml:space="preserve"> </w:t>
            </w:r>
            <w:proofErr w:type="spellStart"/>
            <w:r>
              <w:t>wdrażania</w:t>
            </w:r>
            <w:proofErr w:type="spellEnd"/>
            <w:r>
              <w:t xml:space="preserve"> </w:t>
            </w:r>
            <w:proofErr w:type="spellStart"/>
            <w:r>
              <w:t>pokazuje</w:t>
            </w:r>
            <w:proofErr w:type="spellEnd"/>
            <w:r>
              <w:t xml:space="preserve">, </w:t>
            </w:r>
            <w:proofErr w:type="spellStart"/>
            <w:r>
              <w:t>że</w:t>
            </w:r>
            <w:proofErr w:type="spellEnd"/>
            <w:r>
              <w:t xml:space="preserve"> </w:t>
            </w:r>
            <w:proofErr w:type="spellStart"/>
            <w:r>
              <w:t>konieczna</w:t>
            </w:r>
            <w:proofErr w:type="spellEnd"/>
            <w:r>
              <w:t xml:space="preserve"> jest </w:t>
            </w:r>
            <w:proofErr w:type="spellStart"/>
            <w:r>
              <w:t>intensywna</w:t>
            </w:r>
            <w:proofErr w:type="spellEnd"/>
            <w:r>
              <w:t xml:space="preserve"> </w:t>
            </w:r>
            <w:proofErr w:type="spellStart"/>
            <w:r>
              <w:t>kontraktacja</w:t>
            </w:r>
            <w:proofErr w:type="spellEnd"/>
            <w:r>
              <w:t xml:space="preserve"> (</w:t>
            </w:r>
            <w:proofErr w:type="spellStart"/>
            <w:r>
              <w:t>głównie</w:t>
            </w:r>
            <w:proofErr w:type="spellEnd"/>
            <w:r>
              <w:t xml:space="preserve"> EFS). </w:t>
            </w:r>
            <w:proofErr w:type="spellStart"/>
            <w:r>
              <w:t>Zwrócono</w:t>
            </w:r>
            <w:proofErr w:type="spellEnd"/>
            <w:r>
              <w:t xml:space="preserve"> </w:t>
            </w:r>
            <w:proofErr w:type="spellStart"/>
            <w:r>
              <w:t>uwagę</w:t>
            </w:r>
            <w:proofErr w:type="spellEnd"/>
            <w:r>
              <w:t xml:space="preserve"> </w:t>
            </w:r>
            <w:proofErr w:type="spellStart"/>
            <w:r>
              <w:t>na</w:t>
            </w:r>
            <w:proofErr w:type="spellEnd"/>
            <w:r>
              <w:t xml:space="preserve"> </w:t>
            </w:r>
            <w:proofErr w:type="spellStart"/>
            <w:r>
              <w:t>przekrojowy</w:t>
            </w:r>
            <w:proofErr w:type="spellEnd"/>
            <w:r>
              <w:t xml:space="preserve"> problem </w:t>
            </w:r>
            <w:proofErr w:type="spellStart"/>
            <w:r>
              <w:t>wysokich</w:t>
            </w:r>
            <w:proofErr w:type="spellEnd"/>
            <w:r>
              <w:t xml:space="preserve"> </w:t>
            </w:r>
            <w:proofErr w:type="spellStart"/>
            <w:r>
              <w:t>cen</w:t>
            </w:r>
            <w:proofErr w:type="spellEnd"/>
            <w:r>
              <w:t xml:space="preserve"> </w:t>
            </w:r>
            <w:proofErr w:type="spellStart"/>
            <w:r>
              <w:t>na</w:t>
            </w:r>
            <w:proofErr w:type="spellEnd"/>
            <w:r>
              <w:t xml:space="preserve"> </w:t>
            </w:r>
            <w:proofErr w:type="spellStart"/>
            <w:r>
              <w:t>rynku</w:t>
            </w:r>
            <w:proofErr w:type="spellEnd"/>
            <w:r>
              <w:t xml:space="preserve"> </w:t>
            </w:r>
            <w:proofErr w:type="spellStart"/>
            <w:r>
              <w:t>usług</w:t>
            </w:r>
            <w:proofErr w:type="spellEnd"/>
            <w:r>
              <w:t xml:space="preserve"> i </w:t>
            </w:r>
            <w:proofErr w:type="spellStart"/>
            <w:r>
              <w:t>materiałów</w:t>
            </w:r>
            <w:proofErr w:type="spellEnd"/>
            <w:r>
              <w:t xml:space="preserve"> </w:t>
            </w:r>
            <w:proofErr w:type="spellStart"/>
            <w:r>
              <w:t>budowlanych</w:t>
            </w:r>
            <w:proofErr w:type="spellEnd"/>
            <w:r>
              <w:t xml:space="preserve"> (</w:t>
            </w:r>
            <w:proofErr w:type="spellStart"/>
            <w:r>
              <w:t>ryzyko</w:t>
            </w:r>
            <w:proofErr w:type="spellEnd"/>
            <w:r>
              <w:t xml:space="preserve"> </w:t>
            </w:r>
            <w:proofErr w:type="spellStart"/>
            <w:r>
              <w:t>dla</w:t>
            </w:r>
            <w:proofErr w:type="spellEnd"/>
            <w:r>
              <w:t xml:space="preserve"> </w:t>
            </w:r>
            <w:proofErr w:type="spellStart"/>
            <w:r>
              <w:t>osiągnięcia</w:t>
            </w:r>
            <w:proofErr w:type="spellEnd"/>
            <w:r>
              <w:t xml:space="preserve"> </w:t>
            </w:r>
            <w:proofErr w:type="spellStart"/>
            <w:r>
              <w:t>niektórych</w:t>
            </w:r>
            <w:proofErr w:type="spellEnd"/>
            <w:r>
              <w:t xml:space="preserve"> </w:t>
            </w:r>
            <w:proofErr w:type="spellStart"/>
            <w:r>
              <w:t>wskaźników</w:t>
            </w:r>
            <w:proofErr w:type="spellEnd"/>
            <w:r>
              <w:t xml:space="preserve"> i </w:t>
            </w:r>
            <w:proofErr w:type="spellStart"/>
            <w:r>
              <w:t>prawidłowej</w:t>
            </w:r>
            <w:proofErr w:type="spellEnd"/>
            <w:r>
              <w:t xml:space="preserve"> </w:t>
            </w:r>
            <w:proofErr w:type="spellStart"/>
            <w:r>
              <w:t>realizacji</w:t>
            </w:r>
            <w:proofErr w:type="spellEnd"/>
            <w:r>
              <w:t xml:space="preserve"> </w:t>
            </w:r>
            <w:proofErr w:type="spellStart"/>
            <w:r>
              <w:t>projektów</w:t>
            </w:r>
            <w:proofErr w:type="spellEnd"/>
            <w:r>
              <w:t>).</w:t>
            </w:r>
          </w:p>
          <w:p w14:paraId="58C95765" w14:textId="77777777" w:rsidR="006B2EC1" w:rsidRDefault="00E82A60">
            <w:pPr>
              <w:spacing w:before="240" w:after="240"/>
              <w:jc w:val="left"/>
            </w:pPr>
            <w:proofErr w:type="spellStart"/>
            <w:r>
              <w:t>Przekroczenia</w:t>
            </w:r>
            <w:proofErr w:type="spellEnd"/>
            <w:r>
              <w:t xml:space="preserve"> </w:t>
            </w:r>
            <w:proofErr w:type="spellStart"/>
            <w:r>
              <w:t>wartości</w:t>
            </w:r>
            <w:proofErr w:type="spellEnd"/>
            <w:r>
              <w:t xml:space="preserve"> </w:t>
            </w:r>
            <w:proofErr w:type="spellStart"/>
            <w:r>
              <w:t>docelowych</w:t>
            </w:r>
            <w:proofErr w:type="spellEnd"/>
            <w:r>
              <w:t xml:space="preserve"> </w:t>
            </w:r>
            <w:proofErr w:type="spellStart"/>
            <w:r>
              <w:t>wskaźników</w:t>
            </w:r>
            <w:proofErr w:type="spellEnd"/>
            <w:r>
              <w:t xml:space="preserve"> </w:t>
            </w:r>
            <w:proofErr w:type="spellStart"/>
            <w:r>
              <w:t>programowych</w:t>
            </w:r>
            <w:proofErr w:type="spellEnd"/>
            <w:r>
              <w:t xml:space="preserve"> </w:t>
            </w:r>
            <w:proofErr w:type="spellStart"/>
            <w:r>
              <w:t>produktu</w:t>
            </w:r>
            <w:proofErr w:type="spellEnd"/>
            <w:r>
              <w:t xml:space="preserve"> </w:t>
            </w:r>
            <w:proofErr w:type="spellStart"/>
            <w:r>
              <w:t>wynikają</w:t>
            </w:r>
            <w:proofErr w:type="spellEnd"/>
            <w:r>
              <w:t xml:space="preserve"> m.in. z </w:t>
            </w:r>
            <w:proofErr w:type="spellStart"/>
            <w:r>
              <w:t>większej</w:t>
            </w:r>
            <w:proofErr w:type="spellEnd"/>
            <w:r>
              <w:t xml:space="preserve"> </w:t>
            </w:r>
            <w:proofErr w:type="spellStart"/>
            <w:r>
              <w:t>niż</w:t>
            </w:r>
            <w:proofErr w:type="spellEnd"/>
            <w:r>
              <w:t xml:space="preserve"> </w:t>
            </w:r>
            <w:proofErr w:type="spellStart"/>
            <w:r>
              <w:t>założono</w:t>
            </w:r>
            <w:proofErr w:type="spellEnd"/>
            <w:r>
              <w:t xml:space="preserve"> </w:t>
            </w:r>
            <w:proofErr w:type="spellStart"/>
            <w:r>
              <w:t>efektywności</w:t>
            </w:r>
            <w:proofErr w:type="spellEnd"/>
            <w:r>
              <w:t xml:space="preserve"> </w:t>
            </w:r>
            <w:proofErr w:type="spellStart"/>
            <w:r>
              <w:t>realizacji</w:t>
            </w:r>
            <w:proofErr w:type="spellEnd"/>
            <w:r>
              <w:t xml:space="preserve"> </w:t>
            </w:r>
            <w:proofErr w:type="spellStart"/>
            <w:r>
              <w:t>projektów</w:t>
            </w:r>
            <w:proofErr w:type="spellEnd"/>
            <w:r>
              <w:t xml:space="preserve"> (</w:t>
            </w:r>
            <w:proofErr w:type="spellStart"/>
            <w:r>
              <w:t>niższe</w:t>
            </w:r>
            <w:proofErr w:type="spellEnd"/>
            <w:r>
              <w:t xml:space="preserve"> </w:t>
            </w:r>
            <w:proofErr w:type="spellStart"/>
            <w:r>
              <w:t>niż</w:t>
            </w:r>
            <w:proofErr w:type="spellEnd"/>
            <w:r>
              <w:t xml:space="preserve"> </w:t>
            </w:r>
            <w:proofErr w:type="spellStart"/>
            <w:r>
              <w:t>zakładano</w:t>
            </w:r>
            <w:proofErr w:type="spellEnd"/>
            <w:r>
              <w:t xml:space="preserve"> </w:t>
            </w:r>
            <w:proofErr w:type="spellStart"/>
            <w:r>
              <w:t>na</w:t>
            </w:r>
            <w:proofErr w:type="spellEnd"/>
            <w:r>
              <w:t xml:space="preserve"> </w:t>
            </w:r>
            <w:proofErr w:type="spellStart"/>
            <w:r>
              <w:t>podstawie</w:t>
            </w:r>
            <w:proofErr w:type="spellEnd"/>
            <w:r>
              <w:t xml:space="preserve"> </w:t>
            </w:r>
            <w:proofErr w:type="spellStart"/>
            <w:r>
              <w:t>doświadczeń</w:t>
            </w:r>
            <w:proofErr w:type="spellEnd"/>
            <w:r>
              <w:br/>
              <w:t xml:space="preserve">z </w:t>
            </w:r>
            <w:proofErr w:type="spellStart"/>
            <w:r>
              <w:t>poprzedniego</w:t>
            </w:r>
            <w:proofErr w:type="spellEnd"/>
            <w:r>
              <w:t xml:space="preserve"> </w:t>
            </w:r>
            <w:proofErr w:type="spellStart"/>
            <w:r>
              <w:t>okresu</w:t>
            </w:r>
            <w:proofErr w:type="spellEnd"/>
            <w:r>
              <w:t xml:space="preserve"> </w:t>
            </w:r>
            <w:proofErr w:type="spellStart"/>
            <w:r>
              <w:t>wdrażania</w:t>
            </w:r>
            <w:proofErr w:type="spellEnd"/>
            <w:r>
              <w:t xml:space="preserve"> </w:t>
            </w:r>
            <w:proofErr w:type="spellStart"/>
            <w:r>
              <w:t>średnie</w:t>
            </w:r>
            <w:proofErr w:type="spellEnd"/>
            <w:r>
              <w:t xml:space="preserve"> </w:t>
            </w:r>
            <w:proofErr w:type="spellStart"/>
            <w:r>
              <w:t>wartości</w:t>
            </w:r>
            <w:proofErr w:type="spellEnd"/>
            <w:r>
              <w:t xml:space="preserve"> w </w:t>
            </w:r>
            <w:proofErr w:type="spellStart"/>
            <w:r>
              <w:t>projektach</w:t>
            </w:r>
            <w:proofErr w:type="spellEnd"/>
            <w:r>
              <w:t xml:space="preserve">). </w:t>
            </w:r>
            <w:proofErr w:type="spellStart"/>
            <w:r>
              <w:t>Większej</w:t>
            </w:r>
            <w:proofErr w:type="spellEnd"/>
            <w:r>
              <w:t xml:space="preserve"> </w:t>
            </w:r>
            <w:proofErr w:type="spellStart"/>
            <w:r>
              <w:t>efektywności</w:t>
            </w:r>
            <w:proofErr w:type="spellEnd"/>
            <w:r>
              <w:t xml:space="preserve"> </w:t>
            </w:r>
            <w:proofErr w:type="spellStart"/>
            <w:r>
              <w:t>sprzyja</w:t>
            </w:r>
            <w:proofErr w:type="spellEnd"/>
            <w:r>
              <w:t xml:space="preserve"> system </w:t>
            </w:r>
            <w:proofErr w:type="spellStart"/>
            <w:r>
              <w:t>wyboru</w:t>
            </w:r>
            <w:proofErr w:type="spellEnd"/>
            <w:r>
              <w:t xml:space="preserve"> </w:t>
            </w:r>
            <w:proofErr w:type="spellStart"/>
            <w:r>
              <w:t>projektów</w:t>
            </w:r>
            <w:proofErr w:type="spellEnd"/>
            <w:r>
              <w:t xml:space="preserve"> </w:t>
            </w:r>
            <w:proofErr w:type="spellStart"/>
            <w:r>
              <w:t>oraz</w:t>
            </w:r>
            <w:proofErr w:type="spellEnd"/>
            <w:r>
              <w:t xml:space="preserve"> </w:t>
            </w:r>
            <w:proofErr w:type="spellStart"/>
            <w:r>
              <w:t>procedury</w:t>
            </w:r>
            <w:proofErr w:type="spellEnd"/>
            <w:r>
              <w:t xml:space="preserve"> </w:t>
            </w:r>
            <w:proofErr w:type="spellStart"/>
            <w:r>
              <w:t>konkurencyjności</w:t>
            </w:r>
            <w:proofErr w:type="spellEnd"/>
            <w:r>
              <w:t xml:space="preserve"> </w:t>
            </w:r>
            <w:proofErr w:type="spellStart"/>
            <w:r>
              <w:t>przy</w:t>
            </w:r>
            <w:proofErr w:type="spellEnd"/>
            <w:r>
              <w:t xml:space="preserve"> </w:t>
            </w:r>
            <w:proofErr w:type="spellStart"/>
            <w:r>
              <w:t>zakupie</w:t>
            </w:r>
            <w:proofErr w:type="spellEnd"/>
            <w:r>
              <w:t xml:space="preserve"> </w:t>
            </w:r>
            <w:proofErr w:type="spellStart"/>
            <w:r>
              <w:t>dostaw</w:t>
            </w:r>
            <w:proofErr w:type="spellEnd"/>
            <w:r>
              <w:t xml:space="preserve"> i </w:t>
            </w:r>
            <w:proofErr w:type="spellStart"/>
            <w:r>
              <w:t>usług</w:t>
            </w:r>
            <w:proofErr w:type="spellEnd"/>
            <w:r>
              <w:t>.</w:t>
            </w:r>
          </w:p>
          <w:p w14:paraId="3F2AA7B7" w14:textId="77777777" w:rsidR="006B2EC1" w:rsidRDefault="00E82A60">
            <w:pPr>
              <w:spacing w:before="240" w:after="240"/>
              <w:jc w:val="left"/>
            </w:pPr>
            <w:proofErr w:type="spellStart"/>
            <w:r>
              <w:t>Analizę</w:t>
            </w:r>
            <w:proofErr w:type="spellEnd"/>
            <w:r>
              <w:t xml:space="preserve"> </w:t>
            </w:r>
            <w:proofErr w:type="spellStart"/>
            <w:r>
              <w:t>wpływu</w:t>
            </w:r>
            <w:proofErr w:type="spellEnd"/>
            <w:r>
              <w:t xml:space="preserve"> </w:t>
            </w:r>
            <w:proofErr w:type="spellStart"/>
            <w:r>
              <w:t>środków</w:t>
            </w:r>
            <w:proofErr w:type="spellEnd"/>
            <w:r>
              <w:t xml:space="preserve"> z RPOWŚ 2014-2020 </w:t>
            </w:r>
            <w:proofErr w:type="spellStart"/>
            <w:r>
              <w:t>na</w:t>
            </w:r>
            <w:proofErr w:type="spellEnd"/>
            <w:r>
              <w:t xml:space="preserve"> </w:t>
            </w:r>
            <w:proofErr w:type="spellStart"/>
            <w:r>
              <w:t>cele</w:t>
            </w:r>
            <w:proofErr w:type="spellEnd"/>
            <w:r>
              <w:t xml:space="preserve"> </w:t>
            </w:r>
            <w:proofErr w:type="spellStart"/>
            <w:r>
              <w:t>Strategii</w:t>
            </w:r>
            <w:proofErr w:type="spellEnd"/>
            <w:r>
              <w:t xml:space="preserve"> Europa 2020 i </w:t>
            </w:r>
            <w:proofErr w:type="spellStart"/>
            <w:r>
              <w:t>wskaźniki</w:t>
            </w:r>
            <w:proofErr w:type="spellEnd"/>
            <w:r>
              <w:t xml:space="preserve"> </w:t>
            </w:r>
            <w:proofErr w:type="spellStart"/>
            <w:r>
              <w:t>programowe</w:t>
            </w:r>
            <w:proofErr w:type="spellEnd"/>
            <w:r>
              <w:t xml:space="preserve"> </w:t>
            </w:r>
            <w:proofErr w:type="spellStart"/>
            <w:r>
              <w:t>rezultatu</w:t>
            </w:r>
            <w:proofErr w:type="spellEnd"/>
            <w:r>
              <w:t xml:space="preserve"> </w:t>
            </w:r>
            <w:proofErr w:type="spellStart"/>
            <w:r>
              <w:t>przeprowadzono</w:t>
            </w:r>
            <w:proofErr w:type="spellEnd"/>
            <w:r>
              <w:t xml:space="preserve"> </w:t>
            </w:r>
            <w:proofErr w:type="spellStart"/>
            <w:r>
              <w:t>przy</w:t>
            </w:r>
            <w:proofErr w:type="spellEnd"/>
            <w:r>
              <w:t xml:space="preserve"> </w:t>
            </w:r>
            <w:proofErr w:type="spellStart"/>
            <w:r>
              <w:t>wykorzystaniu</w:t>
            </w:r>
            <w:proofErr w:type="spellEnd"/>
            <w:r>
              <w:t xml:space="preserve"> </w:t>
            </w:r>
            <w:proofErr w:type="spellStart"/>
            <w:r>
              <w:t>modeli</w:t>
            </w:r>
            <w:proofErr w:type="spellEnd"/>
            <w:r>
              <w:t xml:space="preserve"> </w:t>
            </w:r>
            <w:proofErr w:type="spellStart"/>
            <w:r>
              <w:t>ekonometrycznych</w:t>
            </w:r>
            <w:proofErr w:type="spellEnd"/>
            <w:r>
              <w:t xml:space="preserve">. </w:t>
            </w:r>
            <w:proofErr w:type="spellStart"/>
            <w:r>
              <w:t>Stwierdzono</w:t>
            </w:r>
            <w:proofErr w:type="spellEnd"/>
            <w:r>
              <w:t xml:space="preserve"> </w:t>
            </w:r>
            <w:proofErr w:type="spellStart"/>
            <w:r>
              <w:t>pozytywny</w:t>
            </w:r>
            <w:proofErr w:type="spellEnd"/>
            <w:r>
              <w:t xml:space="preserve"> </w:t>
            </w:r>
            <w:proofErr w:type="spellStart"/>
            <w:r>
              <w:t>wpływ</w:t>
            </w:r>
            <w:proofErr w:type="spellEnd"/>
            <w:r>
              <w:t xml:space="preserve"> </w:t>
            </w:r>
            <w:proofErr w:type="spellStart"/>
            <w:r>
              <w:t>na</w:t>
            </w:r>
            <w:proofErr w:type="spellEnd"/>
            <w:r>
              <w:t xml:space="preserve"> </w:t>
            </w:r>
            <w:proofErr w:type="spellStart"/>
            <w:r>
              <w:t>zmianę</w:t>
            </w:r>
            <w:proofErr w:type="spellEnd"/>
            <w:r>
              <w:t xml:space="preserve"> </w:t>
            </w:r>
            <w:proofErr w:type="spellStart"/>
            <w:r>
              <w:t>wartości</w:t>
            </w:r>
            <w:proofErr w:type="spellEnd"/>
            <w:r>
              <w:t xml:space="preserve"> </w:t>
            </w:r>
            <w:proofErr w:type="spellStart"/>
            <w:r>
              <w:t>wskaźników</w:t>
            </w:r>
            <w:proofErr w:type="spellEnd"/>
            <w:r>
              <w:t xml:space="preserve"> </w:t>
            </w:r>
            <w:proofErr w:type="spellStart"/>
            <w:r>
              <w:t>charakteryzujących</w:t>
            </w:r>
            <w:proofErr w:type="spellEnd"/>
            <w:r>
              <w:t xml:space="preserve"> </w:t>
            </w:r>
            <w:proofErr w:type="spellStart"/>
            <w:r>
              <w:t>cele</w:t>
            </w:r>
            <w:proofErr w:type="spellEnd"/>
            <w:r>
              <w:t xml:space="preserve"> </w:t>
            </w:r>
            <w:proofErr w:type="spellStart"/>
            <w:r>
              <w:t>Strategii</w:t>
            </w:r>
            <w:proofErr w:type="spellEnd"/>
            <w:r>
              <w:t xml:space="preserve"> we </w:t>
            </w:r>
            <w:proofErr w:type="spellStart"/>
            <w:r>
              <w:t>wszystkich</w:t>
            </w:r>
            <w:proofErr w:type="spellEnd"/>
            <w:r>
              <w:t xml:space="preserve"> </w:t>
            </w:r>
            <w:proofErr w:type="spellStart"/>
            <w:r>
              <w:t>analizowanych</w:t>
            </w:r>
            <w:proofErr w:type="spellEnd"/>
            <w:r>
              <w:t xml:space="preserve"> </w:t>
            </w:r>
            <w:proofErr w:type="spellStart"/>
            <w:r>
              <w:t>obszarach</w:t>
            </w:r>
            <w:proofErr w:type="spellEnd"/>
            <w:r>
              <w:t xml:space="preserve">. </w:t>
            </w:r>
            <w:proofErr w:type="spellStart"/>
            <w:r>
              <w:t>Pozytywny</w:t>
            </w:r>
            <w:proofErr w:type="spellEnd"/>
            <w:r>
              <w:t xml:space="preserve"> </w:t>
            </w:r>
            <w:proofErr w:type="spellStart"/>
            <w:r>
              <w:t>wpływ</w:t>
            </w:r>
            <w:proofErr w:type="spellEnd"/>
            <w:r>
              <w:t xml:space="preserve"> </w:t>
            </w:r>
            <w:proofErr w:type="spellStart"/>
            <w:r>
              <w:t>obserwowano</w:t>
            </w:r>
            <w:proofErr w:type="spellEnd"/>
            <w:r>
              <w:t xml:space="preserve"> </w:t>
            </w:r>
            <w:proofErr w:type="spellStart"/>
            <w:r>
              <w:t>dla</w:t>
            </w:r>
            <w:proofErr w:type="spellEnd"/>
            <w:r>
              <w:t xml:space="preserve"> </w:t>
            </w:r>
            <w:proofErr w:type="spellStart"/>
            <w:r>
              <w:t>wskaźników</w:t>
            </w:r>
            <w:proofErr w:type="spellEnd"/>
            <w:r>
              <w:t xml:space="preserve"> </w:t>
            </w:r>
            <w:proofErr w:type="spellStart"/>
            <w:r>
              <w:t>programowych</w:t>
            </w:r>
            <w:proofErr w:type="spellEnd"/>
            <w:r>
              <w:t xml:space="preserve"> </w:t>
            </w:r>
            <w:proofErr w:type="spellStart"/>
            <w:r>
              <w:t>rezultatu</w:t>
            </w:r>
            <w:proofErr w:type="spellEnd"/>
            <w:r>
              <w:t xml:space="preserve"> w </w:t>
            </w:r>
            <w:proofErr w:type="spellStart"/>
            <w:r>
              <w:t>odniesieniu</w:t>
            </w:r>
            <w:proofErr w:type="spellEnd"/>
            <w:r>
              <w:t xml:space="preserve"> do </w:t>
            </w:r>
            <w:proofErr w:type="spellStart"/>
            <w:r>
              <w:t>każdej</w:t>
            </w:r>
            <w:proofErr w:type="spellEnd"/>
            <w:r>
              <w:t xml:space="preserve"> </w:t>
            </w:r>
            <w:proofErr w:type="spellStart"/>
            <w:r>
              <w:t>osi</w:t>
            </w:r>
            <w:proofErr w:type="spellEnd"/>
            <w:r>
              <w:t xml:space="preserve"> </w:t>
            </w:r>
            <w:proofErr w:type="spellStart"/>
            <w:r>
              <w:t>priorytetowej</w:t>
            </w:r>
            <w:proofErr w:type="spellEnd"/>
            <w:r>
              <w:t xml:space="preserve"> </w:t>
            </w:r>
            <w:proofErr w:type="spellStart"/>
            <w:r>
              <w:t>Programu</w:t>
            </w:r>
            <w:proofErr w:type="spellEnd"/>
            <w:r>
              <w:t>.</w:t>
            </w:r>
          </w:p>
          <w:p w14:paraId="6270F224" w14:textId="77777777" w:rsidR="006B2EC1" w:rsidRDefault="00E82A60" w:rsidP="00E82A60">
            <w:pPr>
              <w:numPr>
                <w:ilvl w:val="0"/>
                <w:numId w:val="42"/>
              </w:numPr>
              <w:spacing w:before="240" w:after="240"/>
              <w:ind w:hanging="280"/>
              <w:jc w:val="left"/>
            </w:pPr>
            <w:proofErr w:type="spellStart"/>
            <w:r>
              <w:rPr>
                <w:b/>
                <w:bCs/>
              </w:rPr>
              <w:t>Ewaluacja</w:t>
            </w:r>
            <w:proofErr w:type="spellEnd"/>
            <w:r>
              <w:rPr>
                <w:b/>
                <w:bCs/>
              </w:rPr>
              <w:t xml:space="preserve"> - </w:t>
            </w:r>
            <w:proofErr w:type="spellStart"/>
            <w:r>
              <w:rPr>
                <w:b/>
                <w:bCs/>
              </w:rPr>
              <w:t>Badanie</w:t>
            </w:r>
            <w:proofErr w:type="spellEnd"/>
            <w:r>
              <w:rPr>
                <w:b/>
                <w:bCs/>
              </w:rPr>
              <w:t xml:space="preserve"> </w:t>
            </w:r>
            <w:proofErr w:type="spellStart"/>
            <w:r>
              <w:rPr>
                <w:b/>
                <w:bCs/>
              </w:rPr>
              <w:t>osiągniętych</w:t>
            </w:r>
            <w:proofErr w:type="spellEnd"/>
            <w:r>
              <w:rPr>
                <w:b/>
                <w:bCs/>
              </w:rPr>
              <w:t xml:space="preserve"> </w:t>
            </w:r>
            <w:proofErr w:type="spellStart"/>
            <w:r>
              <w:rPr>
                <w:b/>
                <w:bCs/>
              </w:rPr>
              <w:t>wartości</w:t>
            </w:r>
            <w:proofErr w:type="spellEnd"/>
            <w:r>
              <w:rPr>
                <w:b/>
                <w:bCs/>
              </w:rPr>
              <w:t xml:space="preserve"> </w:t>
            </w:r>
            <w:proofErr w:type="spellStart"/>
            <w:r>
              <w:rPr>
                <w:b/>
                <w:bCs/>
              </w:rPr>
              <w:t>wybranych</w:t>
            </w:r>
            <w:proofErr w:type="spellEnd"/>
            <w:r>
              <w:rPr>
                <w:b/>
                <w:bCs/>
              </w:rPr>
              <w:t xml:space="preserve"> </w:t>
            </w:r>
            <w:proofErr w:type="spellStart"/>
            <w:r>
              <w:rPr>
                <w:b/>
                <w:bCs/>
              </w:rPr>
              <w:t>wskaźników</w:t>
            </w:r>
            <w:proofErr w:type="spellEnd"/>
            <w:r>
              <w:rPr>
                <w:b/>
                <w:bCs/>
              </w:rPr>
              <w:t xml:space="preserve"> </w:t>
            </w:r>
            <w:proofErr w:type="spellStart"/>
            <w:r>
              <w:rPr>
                <w:b/>
                <w:bCs/>
              </w:rPr>
              <w:t>rezultatu</w:t>
            </w:r>
            <w:proofErr w:type="spellEnd"/>
            <w:r>
              <w:rPr>
                <w:b/>
                <w:bCs/>
              </w:rPr>
              <w:t xml:space="preserve"> I </w:t>
            </w:r>
            <w:proofErr w:type="spellStart"/>
            <w:r>
              <w:rPr>
                <w:b/>
                <w:bCs/>
              </w:rPr>
              <w:t>etap</w:t>
            </w:r>
            <w:proofErr w:type="spellEnd"/>
            <w:r>
              <w:rPr>
                <w:b/>
                <w:bCs/>
              </w:rPr>
              <w:t xml:space="preserve"> – </w:t>
            </w:r>
            <w:proofErr w:type="spellStart"/>
            <w:r>
              <w:t>realizacja</w:t>
            </w:r>
            <w:proofErr w:type="spellEnd"/>
            <w:r>
              <w:t xml:space="preserve"> </w:t>
            </w:r>
            <w:proofErr w:type="spellStart"/>
            <w:r>
              <w:t>grudzień</w:t>
            </w:r>
            <w:proofErr w:type="spellEnd"/>
            <w:r>
              <w:t xml:space="preserve"> 2018 – </w:t>
            </w:r>
            <w:proofErr w:type="spellStart"/>
            <w:r>
              <w:t>kwiecień</w:t>
            </w:r>
            <w:proofErr w:type="spellEnd"/>
            <w:r>
              <w:t xml:space="preserve"> 2019</w:t>
            </w:r>
          </w:p>
          <w:p w14:paraId="2206470A" w14:textId="77777777" w:rsidR="006B2EC1" w:rsidRDefault="00E82A60">
            <w:pPr>
              <w:spacing w:before="240" w:after="240"/>
              <w:jc w:val="left"/>
            </w:pPr>
            <w:proofErr w:type="spellStart"/>
            <w:r>
              <w:t>Celem</w:t>
            </w:r>
            <w:proofErr w:type="spellEnd"/>
            <w:r>
              <w:t xml:space="preserve"> </w:t>
            </w:r>
            <w:proofErr w:type="spellStart"/>
            <w:r>
              <w:t>badania</w:t>
            </w:r>
            <w:proofErr w:type="spellEnd"/>
            <w:r>
              <w:t xml:space="preserve"> </w:t>
            </w:r>
            <w:proofErr w:type="spellStart"/>
            <w:r>
              <w:t>było</w:t>
            </w:r>
            <w:proofErr w:type="spellEnd"/>
            <w:r>
              <w:t xml:space="preserve"> </w:t>
            </w:r>
            <w:proofErr w:type="spellStart"/>
            <w:r>
              <w:t>dokonanie</w:t>
            </w:r>
            <w:proofErr w:type="spellEnd"/>
            <w:r>
              <w:t xml:space="preserve"> </w:t>
            </w:r>
            <w:proofErr w:type="spellStart"/>
            <w:r>
              <w:t>analizy</w:t>
            </w:r>
            <w:proofErr w:type="spellEnd"/>
            <w:r>
              <w:t xml:space="preserve">, w </w:t>
            </w:r>
            <w:proofErr w:type="spellStart"/>
            <w:r>
              <w:t>jaki</w:t>
            </w:r>
            <w:proofErr w:type="spellEnd"/>
            <w:r>
              <w:t xml:space="preserve"> </w:t>
            </w:r>
            <w:proofErr w:type="spellStart"/>
            <w:r>
              <w:t>sposób</w:t>
            </w:r>
            <w:proofErr w:type="spellEnd"/>
            <w:r>
              <w:t xml:space="preserve"> </w:t>
            </w:r>
            <w:proofErr w:type="spellStart"/>
            <w:r>
              <w:t>wsparcie</w:t>
            </w:r>
            <w:proofErr w:type="spellEnd"/>
            <w:r>
              <w:t xml:space="preserve"> EFS </w:t>
            </w:r>
            <w:proofErr w:type="spellStart"/>
            <w:r>
              <w:t>przyczyniło</w:t>
            </w:r>
            <w:proofErr w:type="spellEnd"/>
            <w:r>
              <w:t xml:space="preserve"> </w:t>
            </w:r>
            <w:proofErr w:type="spellStart"/>
            <w:r>
              <w:t>się</w:t>
            </w:r>
            <w:proofErr w:type="spellEnd"/>
            <w:r>
              <w:t xml:space="preserve"> do </w:t>
            </w:r>
            <w:proofErr w:type="spellStart"/>
            <w:r>
              <w:t>zmiany</w:t>
            </w:r>
            <w:proofErr w:type="spellEnd"/>
            <w:r>
              <w:t xml:space="preserve"> </w:t>
            </w:r>
            <w:proofErr w:type="spellStart"/>
            <w:r>
              <w:t>sytuacji</w:t>
            </w:r>
            <w:proofErr w:type="spellEnd"/>
            <w:r>
              <w:t xml:space="preserve"> </w:t>
            </w:r>
            <w:proofErr w:type="spellStart"/>
            <w:r>
              <w:t>uczestników</w:t>
            </w:r>
            <w:proofErr w:type="spellEnd"/>
            <w:r>
              <w:t xml:space="preserve"> </w:t>
            </w:r>
            <w:proofErr w:type="spellStart"/>
            <w:r>
              <w:t>projektów</w:t>
            </w:r>
            <w:proofErr w:type="spellEnd"/>
            <w:r>
              <w:t xml:space="preserve">, </w:t>
            </w:r>
            <w:proofErr w:type="spellStart"/>
            <w:r>
              <w:t>którzy</w:t>
            </w:r>
            <w:proofErr w:type="spellEnd"/>
            <w:r>
              <w:t xml:space="preserve"> </w:t>
            </w:r>
            <w:proofErr w:type="spellStart"/>
            <w:r>
              <w:t>pracowali</w:t>
            </w:r>
            <w:proofErr w:type="spellEnd"/>
            <w:r>
              <w:t xml:space="preserve"> w </w:t>
            </w:r>
            <w:proofErr w:type="spellStart"/>
            <w:r>
              <w:t>momencie</w:t>
            </w:r>
            <w:proofErr w:type="spellEnd"/>
            <w:r>
              <w:t xml:space="preserve"> </w:t>
            </w:r>
            <w:proofErr w:type="spellStart"/>
            <w:r>
              <w:t>przystąpienia</w:t>
            </w:r>
            <w:proofErr w:type="spellEnd"/>
            <w:r>
              <w:t xml:space="preserve"> do </w:t>
            </w:r>
            <w:proofErr w:type="spellStart"/>
            <w:r>
              <w:t>projektu</w:t>
            </w:r>
            <w:proofErr w:type="spellEnd"/>
            <w:r>
              <w:t xml:space="preserve">. W </w:t>
            </w:r>
            <w:proofErr w:type="spellStart"/>
            <w:r>
              <w:t>ramach</w:t>
            </w:r>
            <w:proofErr w:type="spellEnd"/>
            <w:r>
              <w:t xml:space="preserve"> </w:t>
            </w:r>
            <w:proofErr w:type="spellStart"/>
            <w:r>
              <w:t>tego</w:t>
            </w:r>
            <w:proofErr w:type="spellEnd"/>
            <w:r>
              <w:t xml:space="preserve"> </w:t>
            </w:r>
            <w:proofErr w:type="spellStart"/>
            <w:r>
              <w:t>etapu</w:t>
            </w:r>
            <w:proofErr w:type="spellEnd"/>
            <w:r>
              <w:t xml:space="preserve"> </w:t>
            </w:r>
            <w:proofErr w:type="spellStart"/>
            <w:r>
              <w:t>badano</w:t>
            </w:r>
            <w:proofErr w:type="spellEnd"/>
            <w:r>
              <w:t xml:space="preserve"> </w:t>
            </w:r>
            <w:proofErr w:type="spellStart"/>
            <w:r>
              <w:t>uczestników</w:t>
            </w:r>
            <w:proofErr w:type="spellEnd"/>
            <w:r>
              <w:t xml:space="preserve"> </w:t>
            </w:r>
            <w:proofErr w:type="spellStart"/>
            <w:r>
              <w:t>projektów</w:t>
            </w:r>
            <w:proofErr w:type="spellEnd"/>
            <w:r>
              <w:t xml:space="preserve">, </w:t>
            </w:r>
            <w:proofErr w:type="spellStart"/>
            <w:r>
              <w:t>którzy</w:t>
            </w:r>
            <w:proofErr w:type="spellEnd"/>
            <w:r>
              <w:t xml:space="preserve"> </w:t>
            </w:r>
            <w:proofErr w:type="spellStart"/>
            <w:r>
              <w:t>zakończyli</w:t>
            </w:r>
            <w:proofErr w:type="spellEnd"/>
            <w:r>
              <w:t xml:space="preserve"> </w:t>
            </w:r>
            <w:proofErr w:type="spellStart"/>
            <w:r>
              <w:t>udział</w:t>
            </w:r>
            <w:proofErr w:type="spellEnd"/>
            <w:r>
              <w:t xml:space="preserve"> we </w:t>
            </w:r>
            <w:proofErr w:type="spellStart"/>
            <w:r>
              <w:t>wsparciu</w:t>
            </w:r>
            <w:proofErr w:type="spellEnd"/>
            <w:r>
              <w:t xml:space="preserve"> do 30.06.2018 r. </w:t>
            </w:r>
            <w:proofErr w:type="spellStart"/>
            <w:r>
              <w:t>Uczestnicy</w:t>
            </w:r>
            <w:proofErr w:type="spellEnd"/>
            <w:r>
              <w:t xml:space="preserve"> </w:t>
            </w:r>
            <w:proofErr w:type="spellStart"/>
            <w:r>
              <w:t>projektów</w:t>
            </w:r>
            <w:proofErr w:type="spellEnd"/>
            <w:r>
              <w:t xml:space="preserve">, </w:t>
            </w:r>
            <w:proofErr w:type="spellStart"/>
            <w:r>
              <w:t>którzy</w:t>
            </w:r>
            <w:proofErr w:type="spellEnd"/>
            <w:r>
              <w:t xml:space="preserve"> </w:t>
            </w:r>
            <w:proofErr w:type="spellStart"/>
            <w:r>
              <w:t>zakończą</w:t>
            </w:r>
            <w:proofErr w:type="spellEnd"/>
            <w:r>
              <w:t xml:space="preserve"> </w:t>
            </w:r>
            <w:proofErr w:type="spellStart"/>
            <w:r>
              <w:t>udział</w:t>
            </w:r>
            <w:proofErr w:type="spellEnd"/>
            <w:r>
              <w:t xml:space="preserve"> w </w:t>
            </w:r>
            <w:proofErr w:type="spellStart"/>
            <w:r>
              <w:t>projektach</w:t>
            </w:r>
            <w:proofErr w:type="spellEnd"/>
            <w:r>
              <w:t xml:space="preserve"> po 30.06.2018 r. </w:t>
            </w:r>
            <w:proofErr w:type="spellStart"/>
            <w:r>
              <w:t>będą</w:t>
            </w:r>
            <w:proofErr w:type="spellEnd"/>
            <w:r>
              <w:t xml:space="preserve"> </w:t>
            </w:r>
            <w:proofErr w:type="spellStart"/>
            <w:r>
              <w:t>badani</w:t>
            </w:r>
            <w:proofErr w:type="spellEnd"/>
            <w:r>
              <w:t xml:space="preserve"> w </w:t>
            </w:r>
            <w:proofErr w:type="spellStart"/>
            <w:r>
              <w:t>kolejnych</w:t>
            </w:r>
            <w:proofErr w:type="spellEnd"/>
            <w:r>
              <w:t xml:space="preserve"> </w:t>
            </w:r>
            <w:proofErr w:type="spellStart"/>
            <w:r>
              <w:t>etapach</w:t>
            </w:r>
            <w:proofErr w:type="spellEnd"/>
            <w:r>
              <w:t xml:space="preserve"> </w:t>
            </w:r>
            <w:proofErr w:type="spellStart"/>
            <w:r>
              <w:t>badania</w:t>
            </w:r>
            <w:proofErr w:type="spellEnd"/>
            <w:r>
              <w:t>.</w:t>
            </w:r>
          </w:p>
          <w:p w14:paraId="65E01D0D" w14:textId="77777777" w:rsidR="006B2EC1" w:rsidRDefault="00E82A60">
            <w:pPr>
              <w:spacing w:before="240" w:after="240"/>
              <w:jc w:val="left"/>
            </w:pPr>
            <w:proofErr w:type="spellStart"/>
            <w:r>
              <w:t>Dokonana</w:t>
            </w:r>
            <w:proofErr w:type="spellEnd"/>
            <w:r>
              <w:t xml:space="preserve"> </w:t>
            </w:r>
            <w:proofErr w:type="spellStart"/>
            <w:r>
              <w:t>została</w:t>
            </w:r>
            <w:proofErr w:type="spellEnd"/>
            <w:r>
              <w:t xml:space="preserve"> </w:t>
            </w:r>
            <w:proofErr w:type="spellStart"/>
            <w:r>
              <w:t>ocena</w:t>
            </w:r>
            <w:proofErr w:type="spellEnd"/>
            <w:r>
              <w:t xml:space="preserve"> </w:t>
            </w:r>
            <w:proofErr w:type="spellStart"/>
            <w:r>
              <w:t>wpływu</w:t>
            </w:r>
            <w:proofErr w:type="spellEnd"/>
            <w:r>
              <w:t xml:space="preserve"> </w:t>
            </w:r>
            <w:proofErr w:type="spellStart"/>
            <w:r>
              <w:t>wsparcia</w:t>
            </w:r>
            <w:proofErr w:type="spellEnd"/>
            <w:r>
              <w:t xml:space="preserve"> RPOWŚ </w:t>
            </w:r>
            <w:proofErr w:type="spellStart"/>
            <w:r>
              <w:t>na</w:t>
            </w:r>
            <w:proofErr w:type="spellEnd"/>
            <w:r>
              <w:t xml:space="preserve"> </w:t>
            </w:r>
            <w:proofErr w:type="spellStart"/>
            <w:r>
              <w:t>zmianę</w:t>
            </w:r>
            <w:proofErr w:type="spellEnd"/>
            <w:r>
              <w:t xml:space="preserve"> </w:t>
            </w:r>
            <w:proofErr w:type="spellStart"/>
            <w:r>
              <w:t>sytuacji</w:t>
            </w:r>
            <w:proofErr w:type="spellEnd"/>
            <w:r>
              <w:t xml:space="preserve"> </w:t>
            </w:r>
            <w:proofErr w:type="spellStart"/>
            <w:r>
              <w:t>uczestników</w:t>
            </w:r>
            <w:proofErr w:type="spellEnd"/>
            <w:r>
              <w:t xml:space="preserve"> </w:t>
            </w:r>
            <w:proofErr w:type="spellStart"/>
            <w:r>
              <w:t>projektów</w:t>
            </w:r>
            <w:proofErr w:type="spellEnd"/>
            <w:r>
              <w:t xml:space="preserve"> </w:t>
            </w:r>
            <w:proofErr w:type="spellStart"/>
            <w:r>
              <w:t>pracujących</w:t>
            </w:r>
            <w:proofErr w:type="spellEnd"/>
            <w:r>
              <w:t xml:space="preserve"> w </w:t>
            </w:r>
            <w:proofErr w:type="spellStart"/>
            <w:r>
              <w:t>momencie</w:t>
            </w:r>
            <w:proofErr w:type="spellEnd"/>
            <w:r>
              <w:t xml:space="preserve"> </w:t>
            </w:r>
            <w:proofErr w:type="spellStart"/>
            <w:r>
              <w:t>udzielenia</w:t>
            </w:r>
            <w:proofErr w:type="spellEnd"/>
            <w:r>
              <w:t xml:space="preserve"> </w:t>
            </w:r>
            <w:proofErr w:type="spellStart"/>
            <w:r>
              <w:t>wsparcia</w:t>
            </w:r>
            <w:proofErr w:type="spellEnd"/>
            <w:r>
              <w:t xml:space="preserve">, w </w:t>
            </w:r>
            <w:proofErr w:type="spellStart"/>
            <w:r>
              <w:t>tym</w:t>
            </w:r>
            <w:proofErr w:type="spellEnd"/>
            <w:r>
              <w:t xml:space="preserve"> </w:t>
            </w:r>
            <w:proofErr w:type="spellStart"/>
            <w:r>
              <w:t>analiza</w:t>
            </w:r>
            <w:proofErr w:type="spellEnd"/>
            <w:r>
              <w:t xml:space="preserve"> </w:t>
            </w:r>
            <w:proofErr w:type="spellStart"/>
            <w:r>
              <w:t>wyników</w:t>
            </w:r>
            <w:proofErr w:type="spellEnd"/>
            <w:r>
              <w:t xml:space="preserve"> </w:t>
            </w:r>
            <w:proofErr w:type="spellStart"/>
            <w:r>
              <w:t>odnośnie</w:t>
            </w:r>
            <w:proofErr w:type="spellEnd"/>
            <w:r>
              <w:t xml:space="preserve"> </w:t>
            </w:r>
            <w:proofErr w:type="spellStart"/>
            <w:r>
              <w:t>rodzajów</w:t>
            </w:r>
            <w:proofErr w:type="spellEnd"/>
            <w:r>
              <w:t xml:space="preserve"> </w:t>
            </w:r>
            <w:proofErr w:type="spellStart"/>
            <w:r>
              <w:t>wsparcia</w:t>
            </w:r>
            <w:proofErr w:type="spellEnd"/>
            <w:r>
              <w:t xml:space="preserve">, </w:t>
            </w:r>
            <w:proofErr w:type="spellStart"/>
            <w:r>
              <w:t>które</w:t>
            </w:r>
            <w:proofErr w:type="spellEnd"/>
            <w:r>
              <w:t xml:space="preserve"> </w:t>
            </w:r>
            <w:proofErr w:type="spellStart"/>
            <w:r>
              <w:t>miały</w:t>
            </w:r>
            <w:proofErr w:type="spellEnd"/>
            <w:r>
              <w:t xml:space="preserve"> </w:t>
            </w:r>
            <w:proofErr w:type="spellStart"/>
            <w:r>
              <w:t>największy</w:t>
            </w:r>
            <w:proofErr w:type="spellEnd"/>
            <w:r>
              <w:t xml:space="preserve"> </w:t>
            </w:r>
            <w:proofErr w:type="spellStart"/>
            <w:r>
              <w:t>wpływ</w:t>
            </w:r>
            <w:proofErr w:type="spellEnd"/>
            <w:r>
              <w:t xml:space="preserve"> </w:t>
            </w:r>
            <w:proofErr w:type="spellStart"/>
            <w:r>
              <w:t>na</w:t>
            </w:r>
            <w:proofErr w:type="spellEnd"/>
            <w:r>
              <w:t xml:space="preserve"> </w:t>
            </w:r>
            <w:proofErr w:type="spellStart"/>
            <w:r>
              <w:t>zmianę</w:t>
            </w:r>
            <w:proofErr w:type="spellEnd"/>
            <w:r>
              <w:t xml:space="preserve"> </w:t>
            </w:r>
            <w:proofErr w:type="spellStart"/>
            <w:r>
              <w:t>statusu</w:t>
            </w:r>
            <w:proofErr w:type="spellEnd"/>
            <w:r>
              <w:t xml:space="preserve"> </w:t>
            </w:r>
            <w:proofErr w:type="spellStart"/>
            <w:r>
              <w:t>zatrudnienia</w:t>
            </w:r>
            <w:proofErr w:type="spellEnd"/>
            <w:r>
              <w:t xml:space="preserve"> </w:t>
            </w:r>
            <w:proofErr w:type="spellStart"/>
            <w:r>
              <w:t>uczestników</w:t>
            </w:r>
            <w:proofErr w:type="spellEnd"/>
            <w:r>
              <w:t xml:space="preserve"> </w:t>
            </w:r>
            <w:proofErr w:type="spellStart"/>
            <w:r>
              <w:t>projektów</w:t>
            </w:r>
            <w:proofErr w:type="spellEnd"/>
            <w:r>
              <w:t>.</w:t>
            </w:r>
          </w:p>
          <w:p w14:paraId="61C7746E" w14:textId="77777777" w:rsidR="006B2EC1" w:rsidRDefault="00E82A60">
            <w:pPr>
              <w:spacing w:before="240" w:after="240"/>
              <w:jc w:val="left"/>
            </w:pPr>
            <w:proofErr w:type="spellStart"/>
            <w:r>
              <w:t>Uczestnicy</w:t>
            </w:r>
            <w:proofErr w:type="spellEnd"/>
            <w:r>
              <w:t xml:space="preserve"> </w:t>
            </w:r>
            <w:proofErr w:type="spellStart"/>
            <w:r>
              <w:t>projektów</w:t>
            </w:r>
            <w:proofErr w:type="spellEnd"/>
            <w:r>
              <w:t xml:space="preserve">, </w:t>
            </w:r>
            <w:proofErr w:type="spellStart"/>
            <w:r>
              <w:t>niezależnie</w:t>
            </w:r>
            <w:proofErr w:type="spellEnd"/>
            <w:r>
              <w:t xml:space="preserve"> od </w:t>
            </w:r>
            <w:proofErr w:type="spellStart"/>
            <w:r>
              <w:t>zakresu</w:t>
            </w:r>
            <w:proofErr w:type="spellEnd"/>
            <w:r>
              <w:t xml:space="preserve"> </w:t>
            </w:r>
            <w:proofErr w:type="spellStart"/>
            <w:r>
              <w:t>wsparcia</w:t>
            </w:r>
            <w:proofErr w:type="spellEnd"/>
            <w:r>
              <w:t xml:space="preserve"> z </w:t>
            </w:r>
            <w:proofErr w:type="spellStart"/>
            <w:r>
              <w:t>którego</w:t>
            </w:r>
            <w:proofErr w:type="spellEnd"/>
            <w:r>
              <w:t xml:space="preserve"> </w:t>
            </w:r>
            <w:proofErr w:type="spellStart"/>
            <w:r>
              <w:t>korzystali</w:t>
            </w:r>
            <w:proofErr w:type="spellEnd"/>
            <w:r>
              <w:t xml:space="preserve">, </w:t>
            </w:r>
            <w:proofErr w:type="spellStart"/>
            <w:r>
              <w:t>jako</w:t>
            </w:r>
            <w:proofErr w:type="spellEnd"/>
            <w:r>
              <w:t xml:space="preserve"> </w:t>
            </w:r>
            <w:proofErr w:type="spellStart"/>
            <w:r>
              <w:t>pozytywną</w:t>
            </w:r>
            <w:proofErr w:type="spellEnd"/>
            <w:r>
              <w:t xml:space="preserve"> </w:t>
            </w:r>
            <w:proofErr w:type="spellStart"/>
            <w:r>
              <w:t>zmianę</w:t>
            </w:r>
            <w:proofErr w:type="spellEnd"/>
            <w:r>
              <w:t xml:space="preserve"> </w:t>
            </w:r>
            <w:proofErr w:type="spellStart"/>
            <w:r>
              <w:t>wskazywali</w:t>
            </w:r>
            <w:proofErr w:type="spellEnd"/>
            <w:r>
              <w:t xml:space="preserve"> </w:t>
            </w:r>
            <w:proofErr w:type="spellStart"/>
            <w:r>
              <w:t>przede</w:t>
            </w:r>
            <w:proofErr w:type="spellEnd"/>
            <w:r>
              <w:t xml:space="preserve"> </w:t>
            </w:r>
            <w:proofErr w:type="spellStart"/>
            <w:r>
              <w:t>wszystkim</w:t>
            </w:r>
            <w:proofErr w:type="spellEnd"/>
            <w:r>
              <w:t xml:space="preserve"> </w:t>
            </w:r>
            <w:proofErr w:type="spellStart"/>
            <w:r>
              <w:t>na</w:t>
            </w:r>
            <w:proofErr w:type="spellEnd"/>
            <w:r>
              <w:t xml:space="preserve"> </w:t>
            </w:r>
            <w:proofErr w:type="spellStart"/>
            <w:r>
              <w:t>nabycie</w:t>
            </w:r>
            <w:proofErr w:type="spellEnd"/>
            <w:r>
              <w:t xml:space="preserve"> </w:t>
            </w:r>
            <w:proofErr w:type="spellStart"/>
            <w:r>
              <w:t>nowej</w:t>
            </w:r>
            <w:proofErr w:type="spellEnd"/>
            <w:r>
              <w:t xml:space="preserve"> </w:t>
            </w:r>
            <w:proofErr w:type="spellStart"/>
            <w:r>
              <w:t>wiedzy</w:t>
            </w:r>
            <w:proofErr w:type="spellEnd"/>
            <w:r>
              <w:t xml:space="preserve"> i </w:t>
            </w:r>
            <w:proofErr w:type="spellStart"/>
            <w:r>
              <w:t>nowych</w:t>
            </w:r>
            <w:proofErr w:type="spellEnd"/>
            <w:r>
              <w:t xml:space="preserve"> </w:t>
            </w:r>
            <w:proofErr w:type="spellStart"/>
            <w:r>
              <w:t>kompetencji</w:t>
            </w:r>
            <w:proofErr w:type="spellEnd"/>
            <w:r>
              <w:t xml:space="preserve">, co </w:t>
            </w:r>
            <w:proofErr w:type="spellStart"/>
            <w:r>
              <w:t>rzadko</w:t>
            </w:r>
            <w:proofErr w:type="spellEnd"/>
            <w:r>
              <w:t xml:space="preserve"> </w:t>
            </w:r>
            <w:proofErr w:type="spellStart"/>
            <w:r>
              <w:t>wiązało</w:t>
            </w:r>
            <w:proofErr w:type="spellEnd"/>
            <w:r>
              <w:t xml:space="preserve"> </w:t>
            </w:r>
            <w:proofErr w:type="spellStart"/>
            <w:r>
              <w:t>się</w:t>
            </w:r>
            <w:proofErr w:type="spellEnd"/>
            <w:r>
              <w:t xml:space="preserve"> </w:t>
            </w:r>
            <w:proofErr w:type="spellStart"/>
            <w:r>
              <w:t>ze</w:t>
            </w:r>
            <w:proofErr w:type="spellEnd"/>
            <w:r>
              <w:t xml:space="preserve"> </w:t>
            </w:r>
            <w:proofErr w:type="spellStart"/>
            <w:r>
              <w:t>zmianą</w:t>
            </w:r>
            <w:proofErr w:type="spellEnd"/>
            <w:r>
              <w:t xml:space="preserve"> </w:t>
            </w:r>
            <w:proofErr w:type="spellStart"/>
            <w:r>
              <w:t>pracy</w:t>
            </w:r>
            <w:proofErr w:type="spellEnd"/>
            <w:r>
              <w:t xml:space="preserve"> </w:t>
            </w:r>
            <w:proofErr w:type="spellStart"/>
            <w:r>
              <w:t>czy</w:t>
            </w:r>
            <w:proofErr w:type="spellEnd"/>
            <w:r>
              <w:t xml:space="preserve"> </w:t>
            </w:r>
            <w:proofErr w:type="spellStart"/>
            <w:r>
              <w:t>poprawą</w:t>
            </w:r>
            <w:proofErr w:type="spellEnd"/>
            <w:r>
              <w:t xml:space="preserve"> </w:t>
            </w:r>
            <w:proofErr w:type="spellStart"/>
            <w:r>
              <w:t>stabilności</w:t>
            </w:r>
            <w:proofErr w:type="spellEnd"/>
            <w:r>
              <w:t xml:space="preserve"> </w:t>
            </w:r>
            <w:proofErr w:type="spellStart"/>
            <w:r>
              <w:t>zatrudnienia</w:t>
            </w:r>
            <w:proofErr w:type="spellEnd"/>
            <w:r>
              <w:t xml:space="preserve"> (</w:t>
            </w:r>
            <w:proofErr w:type="spellStart"/>
            <w:r>
              <w:t>które</w:t>
            </w:r>
            <w:proofErr w:type="spellEnd"/>
            <w:r>
              <w:t xml:space="preserve"> </w:t>
            </w:r>
            <w:proofErr w:type="spellStart"/>
            <w:r>
              <w:t>już</w:t>
            </w:r>
            <w:proofErr w:type="spellEnd"/>
            <w:r>
              <w:t xml:space="preserve"> jest </w:t>
            </w:r>
            <w:proofErr w:type="spellStart"/>
            <w:r>
              <w:t>stabilne</w:t>
            </w:r>
            <w:proofErr w:type="spellEnd"/>
            <w:r>
              <w:t xml:space="preserve">), </w:t>
            </w:r>
            <w:proofErr w:type="spellStart"/>
            <w:r>
              <w:t>zdecydowanie</w:t>
            </w:r>
            <w:proofErr w:type="spellEnd"/>
            <w:r>
              <w:t xml:space="preserve"> </w:t>
            </w:r>
            <w:proofErr w:type="spellStart"/>
            <w:r>
              <w:t>częściej</w:t>
            </w:r>
            <w:proofErr w:type="spellEnd"/>
            <w:r>
              <w:t xml:space="preserve"> </w:t>
            </w:r>
            <w:proofErr w:type="spellStart"/>
            <w:r>
              <w:t>zaś</w:t>
            </w:r>
            <w:proofErr w:type="spellEnd"/>
            <w:r>
              <w:t xml:space="preserve"> z </w:t>
            </w:r>
            <w:proofErr w:type="spellStart"/>
            <w:r>
              <w:t>możliwością</w:t>
            </w:r>
            <w:proofErr w:type="spellEnd"/>
            <w:r>
              <w:t xml:space="preserve"> </w:t>
            </w:r>
            <w:proofErr w:type="spellStart"/>
            <w:r>
              <w:t>rozwoju</w:t>
            </w:r>
            <w:proofErr w:type="spellEnd"/>
            <w:r>
              <w:t xml:space="preserve"> </w:t>
            </w:r>
            <w:proofErr w:type="spellStart"/>
            <w:r>
              <w:t>osobistego</w:t>
            </w:r>
            <w:proofErr w:type="spellEnd"/>
            <w:r>
              <w:t xml:space="preserve">, z </w:t>
            </w:r>
            <w:proofErr w:type="spellStart"/>
            <w:r>
              <w:t>rozwojem</w:t>
            </w:r>
            <w:proofErr w:type="spellEnd"/>
            <w:r>
              <w:t xml:space="preserve"> </w:t>
            </w:r>
            <w:proofErr w:type="spellStart"/>
            <w:r>
              <w:t>przedsiębiorstwa</w:t>
            </w:r>
            <w:proofErr w:type="spellEnd"/>
            <w:r>
              <w:t xml:space="preserve">, w </w:t>
            </w:r>
            <w:proofErr w:type="spellStart"/>
            <w:r>
              <w:t>którym</w:t>
            </w:r>
            <w:proofErr w:type="spellEnd"/>
            <w:r>
              <w:t xml:space="preserve"> </w:t>
            </w:r>
            <w:proofErr w:type="spellStart"/>
            <w:r>
              <w:t>są</w:t>
            </w:r>
            <w:proofErr w:type="spellEnd"/>
            <w:r>
              <w:t xml:space="preserve"> </w:t>
            </w:r>
            <w:proofErr w:type="spellStart"/>
            <w:r>
              <w:t>oni</w:t>
            </w:r>
            <w:proofErr w:type="spellEnd"/>
            <w:r>
              <w:t xml:space="preserve"> </w:t>
            </w:r>
            <w:proofErr w:type="spellStart"/>
            <w:r>
              <w:t>zatrudnieni</w:t>
            </w:r>
            <w:proofErr w:type="spellEnd"/>
            <w:r>
              <w:t xml:space="preserve">. </w:t>
            </w:r>
            <w:proofErr w:type="spellStart"/>
            <w:r>
              <w:t>Wskazywali</w:t>
            </w:r>
            <w:proofErr w:type="spellEnd"/>
            <w:r>
              <w:t xml:space="preserve"> </w:t>
            </w:r>
            <w:proofErr w:type="spellStart"/>
            <w:r>
              <w:t>na</w:t>
            </w:r>
            <w:proofErr w:type="spellEnd"/>
            <w:r>
              <w:t xml:space="preserve"> </w:t>
            </w:r>
            <w:proofErr w:type="spellStart"/>
            <w:r>
              <w:t>zwiększenie</w:t>
            </w:r>
            <w:proofErr w:type="spellEnd"/>
            <w:r>
              <w:t xml:space="preserve"> </w:t>
            </w:r>
            <w:proofErr w:type="spellStart"/>
            <w:r>
              <w:t>motywacji</w:t>
            </w:r>
            <w:proofErr w:type="spellEnd"/>
            <w:r>
              <w:t xml:space="preserve"> do </w:t>
            </w:r>
            <w:proofErr w:type="spellStart"/>
            <w:r>
              <w:t>wykonywania</w:t>
            </w:r>
            <w:proofErr w:type="spellEnd"/>
            <w:r>
              <w:t xml:space="preserve"> </w:t>
            </w:r>
            <w:proofErr w:type="spellStart"/>
            <w:r>
              <w:t>zadań</w:t>
            </w:r>
            <w:proofErr w:type="spellEnd"/>
            <w:r>
              <w:t xml:space="preserve"> </w:t>
            </w:r>
            <w:proofErr w:type="spellStart"/>
            <w:r>
              <w:t>służbowych</w:t>
            </w:r>
            <w:proofErr w:type="spellEnd"/>
            <w:r>
              <w:t xml:space="preserve">, </w:t>
            </w:r>
            <w:proofErr w:type="spellStart"/>
            <w:r>
              <w:t>wzrost</w:t>
            </w:r>
            <w:proofErr w:type="spellEnd"/>
            <w:r>
              <w:t xml:space="preserve"> </w:t>
            </w:r>
            <w:proofErr w:type="spellStart"/>
            <w:r>
              <w:t>pewności</w:t>
            </w:r>
            <w:proofErr w:type="spellEnd"/>
            <w:r>
              <w:t xml:space="preserve"> </w:t>
            </w:r>
            <w:proofErr w:type="spellStart"/>
            <w:r>
              <w:t>siebie</w:t>
            </w:r>
            <w:proofErr w:type="spellEnd"/>
            <w:r>
              <w:br/>
              <w:t xml:space="preserve">i </w:t>
            </w:r>
            <w:proofErr w:type="spellStart"/>
            <w:r>
              <w:t>dobre</w:t>
            </w:r>
            <w:proofErr w:type="spellEnd"/>
            <w:r>
              <w:t xml:space="preserve"> </w:t>
            </w:r>
            <w:proofErr w:type="spellStart"/>
            <w:r>
              <w:t>samopoczucie</w:t>
            </w:r>
            <w:proofErr w:type="spellEnd"/>
            <w:r>
              <w:t xml:space="preserve"> w </w:t>
            </w:r>
            <w:proofErr w:type="spellStart"/>
            <w:r>
              <w:t>miejscu</w:t>
            </w:r>
            <w:proofErr w:type="spellEnd"/>
            <w:r>
              <w:t xml:space="preserve"> </w:t>
            </w:r>
            <w:proofErr w:type="spellStart"/>
            <w:r>
              <w:t>pracy</w:t>
            </w:r>
            <w:proofErr w:type="spellEnd"/>
            <w:r>
              <w:t xml:space="preserve">, </w:t>
            </w:r>
            <w:proofErr w:type="spellStart"/>
            <w:r>
              <w:t>rzadziej</w:t>
            </w:r>
            <w:proofErr w:type="spellEnd"/>
            <w:r>
              <w:t xml:space="preserve"> </w:t>
            </w:r>
            <w:proofErr w:type="spellStart"/>
            <w:r>
              <w:t>wskazywali</w:t>
            </w:r>
            <w:proofErr w:type="spellEnd"/>
            <w:r>
              <w:t xml:space="preserve"> </w:t>
            </w:r>
            <w:proofErr w:type="spellStart"/>
            <w:r>
              <w:t>również</w:t>
            </w:r>
            <w:proofErr w:type="spellEnd"/>
            <w:r>
              <w:t xml:space="preserve"> </w:t>
            </w:r>
            <w:proofErr w:type="spellStart"/>
            <w:r>
              <w:t>na</w:t>
            </w:r>
            <w:proofErr w:type="spellEnd"/>
            <w:r>
              <w:t xml:space="preserve"> </w:t>
            </w:r>
            <w:proofErr w:type="spellStart"/>
            <w:r>
              <w:t>awans</w:t>
            </w:r>
            <w:proofErr w:type="spellEnd"/>
            <w:r>
              <w:t xml:space="preserve"> </w:t>
            </w:r>
            <w:proofErr w:type="spellStart"/>
            <w:r>
              <w:t>oraz</w:t>
            </w:r>
            <w:proofErr w:type="spellEnd"/>
            <w:r>
              <w:t xml:space="preserve"> </w:t>
            </w:r>
            <w:proofErr w:type="spellStart"/>
            <w:r>
              <w:t>na</w:t>
            </w:r>
            <w:proofErr w:type="spellEnd"/>
            <w:r>
              <w:t xml:space="preserve"> </w:t>
            </w:r>
            <w:proofErr w:type="spellStart"/>
            <w:r>
              <w:t>wzrost</w:t>
            </w:r>
            <w:proofErr w:type="spellEnd"/>
            <w:r>
              <w:t xml:space="preserve"> </w:t>
            </w:r>
            <w:proofErr w:type="spellStart"/>
            <w:r>
              <w:t>wynagrodzenia</w:t>
            </w:r>
            <w:proofErr w:type="spellEnd"/>
            <w:r>
              <w:t>.</w:t>
            </w:r>
          </w:p>
          <w:p w14:paraId="3BCA91B4" w14:textId="77777777" w:rsidR="006B2EC1" w:rsidRDefault="00E82A60">
            <w:pPr>
              <w:spacing w:before="240" w:after="240"/>
              <w:jc w:val="left"/>
            </w:pPr>
            <w:proofErr w:type="spellStart"/>
            <w:r>
              <w:t>Zarekomendowano</w:t>
            </w:r>
            <w:proofErr w:type="spellEnd"/>
            <w:r>
              <w:t xml:space="preserve"> m.in.: </w:t>
            </w:r>
            <w:proofErr w:type="spellStart"/>
            <w:r>
              <w:t>kontynuowanie</w:t>
            </w:r>
            <w:proofErr w:type="spellEnd"/>
            <w:r>
              <w:t xml:space="preserve"> </w:t>
            </w:r>
            <w:proofErr w:type="spellStart"/>
            <w:r>
              <w:t>przedsięwzięć</w:t>
            </w:r>
            <w:proofErr w:type="spellEnd"/>
            <w:r>
              <w:t xml:space="preserve"> z </w:t>
            </w:r>
            <w:proofErr w:type="spellStart"/>
            <w:r>
              <w:t>zakresu</w:t>
            </w:r>
            <w:proofErr w:type="spellEnd"/>
            <w:r>
              <w:t xml:space="preserve"> </w:t>
            </w:r>
            <w:proofErr w:type="spellStart"/>
            <w:r>
              <w:t>godzenia</w:t>
            </w:r>
            <w:proofErr w:type="spellEnd"/>
            <w:r>
              <w:t xml:space="preserve"> </w:t>
            </w:r>
            <w:proofErr w:type="spellStart"/>
            <w:r>
              <w:t>życia</w:t>
            </w:r>
            <w:proofErr w:type="spellEnd"/>
            <w:r>
              <w:t xml:space="preserve"> </w:t>
            </w:r>
            <w:proofErr w:type="spellStart"/>
            <w:r>
              <w:t>zawodowego</w:t>
            </w:r>
            <w:proofErr w:type="spellEnd"/>
            <w:r>
              <w:br/>
              <w:t xml:space="preserve">i </w:t>
            </w:r>
            <w:proofErr w:type="spellStart"/>
            <w:r>
              <w:t>rodzinnego</w:t>
            </w:r>
            <w:proofErr w:type="spellEnd"/>
            <w:r>
              <w:t xml:space="preserve">, </w:t>
            </w:r>
            <w:proofErr w:type="spellStart"/>
            <w:r>
              <w:t>przygotowanie</w:t>
            </w:r>
            <w:proofErr w:type="spellEnd"/>
            <w:r>
              <w:t xml:space="preserve"> form </w:t>
            </w:r>
            <w:proofErr w:type="spellStart"/>
            <w:r>
              <w:t>wsparcia</w:t>
            </w:r>
            <w:proofErr w:type="spellEnd"/>
            <w:r>
              <w:t xml:space="preserve">, </w:t>
            </w:r>
            <w:proofErr w:type="spellStart"/>
            <w:r>
              <w:t>które</w:t>
            </w:r>
            <w:proofErr w:type="spellEnd"/>
            <w:r>
              <w:t xml:space="preserve"> </w:t>
            </w:r>
            <w:proofErr w:type="spellStart"/>
            <w:r>
              <w:t>będą</w:t>
            </w:r>
            <w:proofErr w:type="spellEnd"/>
            <w:r>
              <w:t xml:space="preserve"> </w:t>
            </w:r>
            <w:proofErr w:type="spellStart"/>
            <w:r>
              <w:t>oferowały</w:t>
            </w:r>
            <w:proofErr w:type="spellEnd"/>
            <w:r>
              <w:t xml:space="preserve"> </w:t>
            </w:r>
            <w:proofErr w:type="spellStart"/>
            <w:r>
              <w:t>uczestnikom</w:t>
            </w:r>
            <w:proofErr w:type="spellEnd"/>
            <w:r>
              <w:t xml:space="preserve"> </w:t>
            </w:r>
            <w:proofErr w:type="spellStart"/>
            <w:r>
              <w:t>zdobycie</w:t>
            </w:r>
            <w:proofErr w:type="spellEnd"/>
            <w:r>
              <w:t xml:space="preserve"> </w:t>
            </w:r>
            <w:proofErr w:type="spellStart"/>
            <w:r>
              <w:t>praktycznych</w:t>
            </w:r>
            <w:proofErr w:type="spellEnd"/>
            <w:r>
              <w:t xml:space="preserve"> </w:t>
            </w:r>
            <w:proofErr w:type="spellStart"/>
            <w:r>
              <w:t>umiejętności</w:t>
            </w:r>
            <w:proofErr w:type="spellEnd"/>
            <w:r>
              <w:t xml:space="preserve"> i </w:t>
            </w:r>
            <w:proofErr w:type="spellStart"/>
            <w:r>
              <w:t>potwierdzonych</w:t>
            </w:r>
            <w:proofErr w:type="spellEnd"/>
            <w:r>
              <w:t xml:space="preserve"> </w:t>
            </w:r>
            <w:proofErr w:type="spellStart"/>
            <w:r>
              <w:t>certyfikatem</w:t>
            </w:r>
            <w:proofErr w:type="spellEnd"/>
            <w:r>
              <w:t xml:space="preserve"> </w:t>
            </w:r>
            <w:proofErr w:type="spellStart"/>
            <w:r>
              <w:t>kwalifikacji</w:t>
            </w:r>
            <w:proofErr w:type="spellEnd"/>
            <w:r>
              <w:t>.</w:t>
            </w:r>
          </w:p>
          <w:p w14:paraId="654475E3" w14:textId="77777777" w:rsidR="006B2EC1" w:rsidRDefault="00E82A60" w:rsidP="00E82A60">
            <w:pPr>
              <w:numPr>
                <w:ilvl w:val="0"/>
                <w:numId w:val="43"/>
              </w:numPr>
              <w:spacing w:before="240" w:after="240"/>
              <w:ind w:hanging="280"/>
              <w:jc w:val="left"/>
            </w:pPr>
            <w:proofErr w:type="spellStart"/>
            <w:r>
              <w:rPr>
                <w:b/>
                <w:bCs/>
              </w:rPr>
              <w:lastRenderedPageBreak/>
              <w:t>Ewaluacja</w:t>
            </w:r>
            <w:proofErr w:type="spellEnd"/>
            <w:r>
              <w:rPr>
                <w:b/>
                <w:bCs/>
              </w:rPr>
              <w:t xml:space="preserve"> </w:t>
            </w:r>
            <w:proofErr w:type="spellStart"/>
            <w:r>
              <w:rPr>
                <w:b/>
                <w:bCs/>
              </w:rPr>
              <w:t>wdrażania</w:t>
            </w:r>
            <w:proofErr w:type="spellEnd"/>
            <w:r>
              <w:rPr>
                <w:b/>
                <w:bCs/>
              </w:rPr>
              <w:t xml:space="preserve"> </w:t>
            </w:r>
            <w:proofErr w:type="spellStart"/>
            <w:r>
              <w:rPr>
                <w:b/>
                <w:bCs/>
              </w:rPr>
              <w:t>polityk</w:t>
            </w:r>
            <w:proofErr w:type="spellEnd"/>
            <w:r>
              <w:rPr>
                <w:b/>
                <w:bCs/>
              </w:rPr>
              <w:t xml:space="preserve"> </w:t>
            </w:r>
            <w:proofErr w:type="spellStart"/>
            <w:r>
              <w:rPr>
                <w:b/>
                <w:bCs/>
              </w:rPr>
              <w:t>horyzontalnych</w:t>
            </w:r>
            <w:proofErr w:type="spellEnd"/>
            <w:r>
              <w:rPr>
                <w:b/>
                <w:bCs/>
              </w:rPr>
              <w:t xml:space="preserve"> w </w:t>
            </w:r>
            <w:proofErr w:type="spellStart"/>
            <w:r>
              <w:rPr>
                <w:b/>
                <w:bCs/>
              </w:rPr>
              <w:t>ramach</w:t>
            </w:r>
            <w:proofErr w:type="spellEnd"/>
            <w:r>
              <w:rPr>
                <w:b/>
                <w:bCs/>
              </w:rPr>
              <w:t xml:space="preserve"> RPOWŚ 2014-2020</w:t>
            </w:r>
            <w:r>
              <w:t xml:space="preserve"> - </w:t>
            </w:r>
            <w:proofErr w:type="spellStart"/>
            <w:r>
              <w:t>realizacja</w:t>
            </w:r>
            <w:proofErr w:type="spellEnd"/>
            <w:r>
              <w:t xml:space="preserve"> </w:t>
            </w:r>
            <w:proofErr w:type="spellStart"/>
            <w:r>
              <w:t>październik-grudzień</w:t>
            </w:r>
            <w:proofErr w:type="spellEnd"/>
            <w:r>
              <w:t xml:space="preserve"> 2019</w:t>
            </w:r>
          </w:p>
          <w:p w14:paraId="0E6B7AF5" w14:textId="77777777" w:rsidR="006B2EC1" w:rsidRDefault="00E82A60">
            <w:pPr>
              <w:spacing w:before="240" w:after="240"/>
              <w:jc w:val="left"/>
            </w:pPr>
            <w:proofErr w:type="spellStart"/>
            <w:r>
              <w:t>Głównym</w:t>
            </w:r>
            <w:proofErr w:type="spellEnd"/>
            <w:r>
              <w:t xml:space="preserve"> </w:t>
            </w:r>
            <w:proofErr w:type="spellStart"/>
            <w:r>
              <w:t>celem</w:t>
            </w:r>
            <w:proofErr w:type="spellEnd"/>
            <w:r>
              <w:t xml:space="preserve"> </w:t>
            </w:r>
            <w:proofErr w:type="spellStart"/>
            <w:r>
              <w:t>badania</w:t>
            </w:r>
            <w:proofErr w:type="spellEnd"/>
            <w:r>
              <w:t xml:space="preserve"> </w:t>
            </w:r>
            <w:proofErr w:type="spellStart"/>
            <w:r>
              <w:t>była</w:t>
            </w:r>
            <w:proofErr w:type="spellEnd"/>
            <w:r>
              <w:t xml:space="preserve"> </w:t>
            </w:r>
            <w:proofErr w:type="spellStart"/>
            <w:r>
              <w:t>oceny</w:t>
            </w:r>
            <w:proofErr w:type="spellEnd"/>
            <w:r>
              <w:t xml:space="preserve"> </w:t>
            </w:r>
            <w:proofErr w:type="spellStart"/>
            <w:r>
              <w:t>działań</w:t>
            </w:r>
            <w:proofErr w:type="spellEnd"/>
            <w:r>
              <w:t xml:space="preserve"> </w:t>
            </w:r>
            <w:proofErr w:type="spellStart"/>
            <w:r>
              <w:t>podejmowanych</w:t>
            </w:r>
            <w:proofErr w:type="spellEnd"/>
            <w:r>
              <w:t xml:space="preserve"> </w:t>
            </w:r>
            <w:proofErr w:type="spellStart"/>
            <w:r>
              <w:t>na</w:t>
            </w:r>
            <w:proofErr w:type="spellEnd"/>
            <w:r>
              <w:t xml:space="preserve"> </w:t>
            </w:r>
            <w:proofErr w:type="spellStart"/>
            <w:r>
              <w:t>rzecz</w:t>
            </w:r>
            <w:proofErr w:type="spellEnd"/>
            <w:r>
              <w:t xml:space="preserve"> </w:t>
            </w:r>
            <w:proofErr w:type="spellStart"/>
            <w:r>
              <w:t>realizacji</w:t>
            </w:r>
            <w:proofErr w:type="spellEnd"/>
            <w:r>
              <w:t xml:space="preserve"> </w:t>
            </w:r>
            <w:proofErr w:type="spellStart"/>
            <w:r>
              <w:t>polityk</w:t>
            </w:r>
            <w:proofErr w:type="spellEnd"/>
            <w:r>
              <w:t xml:space="preserve"> </w:t>
            </w:r>
            <w:proofErr w:type="spellStart"/>
            <w:r>
              <w:t>horyzontalnych</w:t>
            </w:r>
            <w:proofErr w:type="spellEnd"/>
            <w:r>
              <w:t xml:space="preserve"> w </w:t>
            </w:r>
            <w:proofErr w:type="spellStart"/>
            <w:r>
              <w:t>zakresie</w:t>
            </w:r>
            <w:proofErr w:type="spellEnd"/>
            <w:r>
              <w:t xml:space="preserve"> </w:t>
            </w:r>
            <w:proofErr w:type="spellStart"/>
            <w:r>
              <w:t>zarządzania</w:t>
            </w:r>
            <w:proofErr w:type="spellEnd"/>
            <w:r>
              <w:t xml:space="preserve"> i </w:t>
            </w:r>
            <w:proofErr w:type="spellStart"/>
            <w:r>
              <w:t>wdrażania</w:t>
            </w:r>
            <w:proofErr w:type="spellEnd"/>
            <w:r>
              <w:t xml:space="preserve"> RPOWŚ 2014-2020 </w:t>
            </w:r>
            <w:proofErr w:type="spellStart"/>
            <w:r>
              <w:t>tj</w:t>
            </w:r>
            <w:proofErr w:type="spellEnd"/>
            <w:r>
              <w:t xml:space="preserve">.: </w:t>
            </w:r>
            <w:proofErr w:type="spellStart"/>
            <w:r>
              <w:t>zasady</w:t>
            </w:r>
            <w:proofErr w:type="spellEnd"/>
            <w:r>
              <w:t xml:space="preserve"> </w:t>
            </w:r>
            <w:proofErr w:type="spellStart"/>
            <w:r>
              <w:t>partnerstwa</w:t>
            </w:r>
            <w:proofErr w:type="spellEnd"/>
            <w:r>
              <w:t xml:space="preserve">; </w:t>
            </w:r>
            <w:proofErr w:type="spellStart"/>
            <w:r>
              <w:t>zasady</w:t>
            </w:r>
            <w:proofErr w:type="spellEnd"/>
            <w:r>
              <w:t xml:space="preserve"> </w:t>
            </w:r>
            <w:proofErr w:type="spellStart"/>
            <w:r>
              <w:t>zrównoważonego</w:t>
            </w:r>
            <w:proofErr w:type="spellEnd"/>
            <w:r>
              <w:t xml:space="preserve"> </w:t>
            </w:r>
            <w:proofErr w:type="spellStart"/>
            <w:r>
              <w:t>rozwoju</w:t>
            </w:r>
            <w:proofErr w:type="spellEnd"/>
            <w:r>
              <w:t xml:space="preserve">; </w:t>
            </w:r>
            <w:proofErr w:type="spellStart"/>
            <w:r>
              <w:t>zasady</w:t>
            </w:r>
            <w:proofErr w:type="spellEnd"/>
            <w:r>
              <w:t xml:space="preserve"> </w:t>
            </w:r>
            <w:proofErr w:type="spellStart"/>
            <w:r>
              <w:t>równości</w:t>
            </w:r>
            <w:proofErr w:type="spellEnd"/>
            <w:r>
              <w:t xml:space="preserve"> </w:t>
            </w:r>
            <w:proofErr w:type="spellStart"/>
            <w:r>
              <w:t>szans</w:t>
            </w:r>
            <w:proofErr w:type="spellEnd"/>
            <w:r>
              <w:t xml:space="preserve"> i </w:t>
            </w:r>
            <w:proofErr w:type="spellStart"/>
            <w:r>
              <w:t>niedyskryminacji</w:t>
            </w:r>
            <w:proofErr w:type="spellEnd"/>
            <w:r>
              <w:t xml:space="preserve">, w </w:t>
            </w:r>
            <w:proofErr w:type="spellStart"/>
            <w:r>
              <w:t>tym</w:t>
            </w:r>
            <w:proofErr w:type="spellEnd"/>
            <w:r>
              <w:t xml:space="preserve"> </w:t>
            </w:r>
            <w:proofErr w:type="spellStart"/>
            <w:r>
              <w:t>dostępności</w:t>
            </w:r>
            <w:proofErr w:type="spellEnd"/>
            <w:r>
              <w:t xml:space="preserve"> </w:t>
            </w:r>
            <w:proofErr w:type="spellStart"/>
            <w:r>
              <w:t>dla</w:t>
            </w:r>
            <w:proofErr w:type="spellEnd"/>
            <w:r>
              <w:t xml:space="preserve"> </w:t>
            </w:r>
            <w:proofErr w:type="spellStart"/>
            <w:r>
              <w:t>osób</w:t>
            </w:r>
            <w:proofErr w:type="spellEnd"/>
            <w:r>
              <w:br/>
              <w:t xml:space="preserve">z </w:t>
            </w:r>
            <w:proofErr w:type="spellStart"/>
            <w:r>
              <w:t>niepełnosprawnościami</w:t>
            </w:r>
            <w:proofErr w:type="spellEnd"/>
            <w:r>
              <w:t xml:space="preserve"> </w:t>
            </w:r>
            <w:proofErr w:type="spellStart"/>
            <w:r>
              <w:t>oraz</w:t>
            </w:r>
            <w:proofErr w:type="spellEnd"/>
            <w:r>
              <w:t xml:space="preserve"> </w:t>
            </w:r>
            <w:proofErr w:type="spellStart"/>
            <w:r>
              <w:t>zasady</w:t>
            </w:r>
            <w:proofErr w:type="spellEnd"/>
            <w:r>
              <w:t xml:space="preserve"> </w:t>
            </w:r>
            <w:proofErr w:type="spellStart"/>
            <w:r>
              <w:t>równości</w:t>
            </w:r>
            <w:proofErr w:type="spellEnd"/>
            <w:r>
              <w:t xml:space="preserve"> </w:t>
            </w:r>
            <w:proofErr w:type="spellStart"/>
            <w:r>
              <w:t>szans</w:t>
            </w:r>
            <w:proofErr w:type="spellEnd"/>
            <w:r>
              <w:t xml:space="preserve"> </w:t>
            </w:r>
            <w:proofErr w:type="spellStart"/>
            <w:r>
              <w:t>kobiet</w:t>
            </w:r>
            <w:proofErr w:type="spellEnd"/>
            <w:r>
              <w:t xml:space="preserve"> i </w:t>
            </w:r>
            <w:proofErr w:type="spellStart"/>
            <w:r>
              <w:t>mężczyzn</w:t>
            </w:r>
            <w:proofErr w:type="spellEnd"/>
            <w:r>
              <w:t xml:space="preserve">. </w:t>
            </w:r>
            <w:proofErr w:type="spellStart"/>
            <w:r>
              <w:t>Analizą</w:t>
            </w:r>
            <w:proofErr w:type="spellEnd"/>
            <w:r>
              <w:t xml:space="preserve"> </w:t>
            </w:r>
            <w:proofErr w:type="spellStart"/>
            <w:r>
              <w:t>objęto</w:t>
            </w:r>
            <w:proofErr w:type="spellEnd"/>
            <w:r>
              <w:t xml:space="preserve"> </w:t>
            </w:r>
            <w:proofErr w:type="spellStart"/>
            <w:r>
              <w:t>etapy</w:t>
            </w:r>
            <w:proofErr w:type="spellEnd"/>
            <w:r>
              <w:t xml:space="preserve"> </w:t>
            </w:r>
            <w:proofErr w:type="spellStart"/>
            <w:r>
              <w:t>programowania</w:t>
            </w:r>
            <w:proofErr w:type="spellEnd"/>
            <w:r>
              <w:t xml:space="preserve">, </w:t>
            </w:r>
            <w:proofErr w:type="spellStart"/>
            <w:r>
              <w:t>wdrażania</w:t>
            </w:r>
            <w:proofErr w:type="spellEnd"/>
            <w:r>
              <w:t xml:space="preserve">, </w:t>
            </w:r>
            <w:proofErr w:type="spellStart"/>
            <w:r>
              <w:t>monitorowania</w:t>
            </w:r>
            <w:proofErr w:type="spellEnd"/>
            <w:r>
              <w:t xml:space="preserve"> i </w:t>
            </w:r>
            <w:proofErr w:type="spellStart"/>
            <w:r>
              <w:t>ewaluacji</w:t>
            </w:r>
            <w:proofErr w:type="spellEnd"/>
            <w:r>
              <w:t xml:space="preserve"> </w:t>
            </w:r>
            <w:proofErr w:type="spellStart"/>
            <w:r>
              <w:t>oraz</w:t>
            </w:r>
            <w:proofErr w:type="spellEnd"/>
            <w:r>
              <w:t xml:space="preserve"> </w:t>
            </w:r>
            <w:proofErr w:type="spellStart"/>
            <w:r>
              <w:t>działania</w:t>
            </w:r>
            <w:proofErr w:type="spellEnd"/>
            <w:r>
              <w:t xml:space="preserve"> </w:t>
            </w:r>
            <w:proofErr w:type="spellStart"/>
            <w:r>
              <w:t>informacyjno-promocyjne</w:t>
            </w:r>
            <w:proofErr w:type="spellEnd"/>
            <w:r>
              <w:t>.</w:t>
            </w:r>
          </w:p>
          <w:p w14:paraId="4C58B549" w14:textId="77777777" w:rsidR="006B2EC1" w:rsidRDefault="00E82A60">
            <w:pPr>
              <w:spacing w:before="240" w:after="240"/>
              <w:jc w:val="left"/>
            </w:pPr>
            <w:r>
              <w:t xml:space="preserve">W </w:t>
            </w:r>
            <w:proofErr w:type="spellStart"/>
            <w:r>
              <w:t>wyniku</w:t>
            </w:r>
            <w:proofErr w:type="spellEnd"/>
            <w:r>
              <w:t xml:space="preserve"> </w:t>
            </w:r>
            <w:proofErr w:type="spellStart"/>
            <w:r>
              <w:t>analizy</w:t>
            </w:r>
            <w:proofErr w:type="spellEnd"/>
            <w:r>
              <w:t xml:space="preserve"> </w:t>
            </w:r>
            <w:proofErr w:type="spellStart"/>
            <w:r>
              <w:t>stwierdzono</w:t>
            </w:r>
            <w:proofErr w:type="spellEnd"/>
            <w:r>
              <w:t xml:space="preserve">, </w:t>
            </w:r>
            <w:proofErr w:type="spellStart"/>
            <w:r>
              <w:t>że</w:t>
            </w:r>
            <w:proofErr w:type="spellEnd"/>
            <w:r>
              <w:t xml:space="preserve"> </w:t>
            </w:r>
            <w:proofErr w:type="spellStart"/>
            <w:r>
              <w:t>na</w:t>
            </w:r>
            <w:proofErr w:type="spellEnd"/>
            <w:r>
              <w:t xml:space="preserve"> </w:t>
            </w:r>
            <w:proofErr w:type="spellStart"/>
            <w:r>
              <w:t>każdym</w:t>
            </w:r>
            <w:proofErr w:type="spellEnd"/>
            <w:r>
              <w:t xml:space="preserve"> </w:t>
            </w:r>
            <w:proofErr w:type="spellStart"/>
            <w:r>
              <w:t>etapie</w:t>
            </w:r>
            <w:proofErr w:type="spellEnd"/>
            <w:r>
              <w:t xml:space="preserve"> </w:t>
            </w:r>
            <w:proofErr w:type="spellStart"/>
            <w:r>
              <w:t>projektowania</w:t>
            </w:r>
            <w:proofErr w:type="spellEnd"/>
            <w:r>
              <w:t xml:space="preserve"> i </w:t>
            </w:r>
            <w:proofErr w:type="spellStart"/>
            <w:r>
              <w:t>wdrażania</w:t>
            </w:r>
            <w:proofErr w:type="spellEnd"/>
            <w:r>
              <w:t xml:space="preserve"> </w:t>
            </w:r>
            <w:proofErr w:type="spellStart"/>
            <w:r>
              <w:t>Programu</w:t>
            </w:r>
            <w:proofErr w:type="spellEnd"/>
            <w:r>
              <w:t xml:space="preserve"> </w:t>
            </w:r>
            <w:proofErr w:type="spellStart"/>
            <w:r>
              <w:t>przewidziano</w:t>
            </w:r>
            <w:proofErr w:type="spellEnd"/>
            <w:r>
              <w:t xml:space="preserve"> </w:t>
            </w:r>
            <w:proofErr w:type="spellStart"/>
            <w:r>
              <w:t>działania</w:t>
            </w:r>
            <w:proofErr w:type="spellEnd"/>
            <w:r>
              <w:t xml:space="preserve">, </w:t>
            </w:r>
            <w:proofErr w:type="spellStart"/>
            <w:r>
              <w:t>służące</w:t>
            </w:r>
            <w:proofErr w:type="spellEnd"/>
            <w:r>
              <w:t xml:space="preserve"> </w:t>
            </w:r>
            <w:proofErr w:type="spellStart"/>
            <w:r>
              <w:t>zapewnieniu</w:t>
            </w:r>
            <w:proofErr w:type="spellEnd"/>
            <w:r>
              <w:t xml:space="preserve"> </w:t>
            </w:r>
            <w:proofErr w:type="spellStart"/>
            <w:r>
              <w:t>realizacji</w:t>
            </w:r>
            <w:proofErr w:type="spellEnd"/>
            <w:r>
              <w:t xml:space="preserve"> </w:t>
            </w:r>
            <w:proofErr w:type="spellStart"/>
            <w:r>
              <w:t>polityk</w:t>
            </w:r>
            <w:proofErr w:type="spellEnd"/>
            <w:r>
              <w:t xml:space="preserve"> </w:t>
            </w:r>
            <w:proofErr w:type="spellStart"/>
            <w:r>
              <w:t>horyzontalnych</w:t>
            </w:r>
            <w:proofErr w:type="spellEnd"/>
            <w:r>
              <w:t xml:space="preserve">. </w:t>
            </w:r>
            <w:proofErr w:type="spellStart"/>
            <w:r>
              <w:t>Zapisy</w:t>
            </w:r>
            <w:proofErr w:type="spellEnd"/>
            <w:r>
              <w:t xml:space="preserve"> RPOWŚ, a </w:t>
            </w:r>
            <w:proofErr w:type="spellStart"/>
            <w:r>
              <w:t>także</w:t>
            </w:r>
            <w:proofErr w:type="spellEnd"/>
            <w:r>
              <w:t xml:space="preserve"> </w:t>
            </w:r>
            <w:proofErr w:type="spellStart"/>
            <w:r>
              <w:t>sposób</w:t>
            </w:r>
            <w:proofErr w:type="spellEnd"/>
            <w:r>
              <w:t xml:space="preserve"> </w:t>
            </w:r>
            <w:proofErr w:type="spellStart"/>
            <w:r>
              <w:t>wdrażania</w:t>
            </w:r>
            <w:proofErr w:type="spellEnd"/>
            <w:r>
              <w:t xml:space="preserve"> </w:t>
            </w:r>
            <w:proofErr w:type="spellStart"/>
            <w:r>
              <w:t>Programu</w:t>
            </w:r>
            <w:proofErr w:type="spellEnd"/>
            <w:r>
              <w:t xml:space="preserve"> </w:t>
            </w:r>
            <w:proofErr w:type="spellStart"/>
            <w:r>
              <w:t>wykazują</w:t>
            </w:r>
            <w:proofErr w:type="spellEnd"/>
            <w:r>
              <w:t xml:space="preserve"> </w:t>
            </w:r>
            <w:proofErr w:type="spellStart"/>
            <w:r>
              <w:t>zgodność</w:t>
            </w:r>
            <w:proofErr w:type="spellEnd"/>
            <w:r>
              <w:t xml:space="preserve"> z </w:t>
            </w:r>
            <w:proofErr w:type="spellStart"/>
            <w:r>
              <w:t>europejskimi</w:t>
            </w:r>
            <w:proofErr w:type="spellEnd"/>
            <w:r>
              <w:t xml:space="preserve"> </w:t>
            </w:r>
            <w:proofErr w:type="spellStart"/>
            <w:r>
              <w:t>dokumentami</w:t>
            </w:r>
            <w:proofErr w:type="spellEnd"/>
            <w:r>
              <w:t xml:space="preserve"> </w:t>
            </w:r>
            <w:proofErr w:type="spellStart"/>
            <w:r>
              <w:t>strategicznymi</w:t>
            </w:r>
            <w:proofErr w:type="spellEnd"/>
            <w:r>
              <w:t xml:space="preserve">, jak </w:t>
            </w:r>
            <w:proofErr w:type="spellStart"/>
            <w:r>
              <w:t>również</w:t>
            </w:r>
            <w:proofErr w:type="spellEnd"/>
            <w:r>
              <w:t xml:space="preserve"> z </w:t>
            </w:r>
            <w:proofErr w:type="spellStart"/>
            <w:r>
              <w:t>regulacjami</w:t>
            </w:r>
            <w:proofErr w:type="spellEnd"/>
            <w:r>
              <w:t xml:space="preserve"> </w:t>
            </w:r>
            <w:proofErr w:type="spellStart"/>
            <w:r>
              <w:t>krajowymi</w:t>
            </w:r>
            <w:proofErr w:type="spellEnd"/>
            <w:r>
              <w:t>.</w:t>
            </w:r>
          </w:p>
          <w:p w14:paraId="022F98C6" w14:textId="77777777" w:rsidR="006B2EC1" w:rsidRDefault="00E82A60">
            <w:pPr>
              <w:spacing w:before="240" w:after="240"/>
              <w:jc w:val="left"/>
            </w:pPr>
            <w:proofErr w:type="spellStart"/>
            <w:r>
              <w:t>Badanie</w:t>
            </w:r>
            <w:proofErr w:type="spellEnd"/>
            <w:r>
              <w:t xml:space="preserve"> </w:t>
            </w:r>
            <w:proofErr w:type="spellStart"/>
            <w:r>
              <w:t>potwierdziło</w:t>
            </w:r>
            <w:proofErr w:type="spellEnd"/>
            <w:r>
              <w:t xml:space="preserve">, </w:t>
            </w:r>
            <w:proofErr w:type="spellStart"/>
            <w:r>
              <w:t>że</w:t>
            </w:r>
            <w:proofErr w:type="spellEnd"/>
            <w:r>
              <w:t xml:space="preserve"> system </w:t>
            </w:r>
            <w:proofErr w:type="spellStart"/>
            <w:r>
              <w:t>oceny</w:t>
            </w:r>
            <w:proofErr w:type="spellEnd"/>
            <w:r>
              <w:t xml:space="preserve"> i </w:t>
            </w:r>
            <w:proofErr w:type="spellStart"/>
            <w:r>
              <w:t>wyboru</w:t>
            </w:r>
            <w:proofErr w:type="spellEnd"/>
            <w:r>
              <w:t xml:space="preserve"> </w:t>
            </w:r>
            <w:proofErr w:type="spellStart"/>
            <w:r>
              <w:t>projektów</w:t>
            </w:r>
            <w:proofErr w:type="spellEnd"/>
            <w:r>
              <w:t xml:space="preserve"> </w:t>
            </w:r>
            <w:proofErr w:type="spellStart"/>
            <w:r>
              <w:t>skonstruowano</w:t>
            </w:r>
            <w:proofErr w:type="spellEnd"/>
            <w:r>
              <w:t xml:space="preserve"> w </w:t>
            </w:r>
            <w:proofErr w:type="spellStart"/>
            <w:r>
              <w:t>taki</w:t>
            </w:r>
            <w:proofErr w:type="spellEnd"/>
            <w:r>
              <w:t xml:space="preserve"> </w:t>
            </w:r>
            <w:proofErr w:type="spellStart"/>
            <w:r>
              <w:t>sposób</w:t>
            </w:r>
            <w:proofErr w:type="spellEnd"/>
            <w:r>
              <w:t xml:space="preserve">, aby </w:t>
            </w:r>
            <w:proofErr w:type="spellStart"/>
            <w:r>
              <w:t>zgodność</w:t>
            </w:r>
            <w:proofErr w:type="spellEnd"/>
            <w:r>
              <w:t xml:space="preserve"> z </w:t>
            </w:r>
            <w:proofErr w:type="spellStart"/>
            <w:r>
              <w:t>politykami</w:t>
            </w:r>
            <w:proofErr w:type="spellEnd"/>
            <w:r>
              <w:t xml:space="preserve"> </w:t>
            </w:r>
            <w:proofErr w:type="spellStart"/>
            <w:r>
              <w:t>horyzontalnymi</w:t>
            </w:r>
            <w:proofErr w:type="spellEnd"/>
            <w:r>
              <w:t xml:space="preserve"> </w:t>
            </w:r>
            <w:proofErr w:type="spellStart"/>
            <w:r>
              <w:t>przesądzała</w:t>
            </w:r>
            <w:proofErr w:type="spellEnd"/>
            <w:r>
              <w:t xml:space="preserve"> o </w:t>
            </w:r>
            <w:proofErr w:type="spellStart"/>
            <w:r>
              <w:t>możliwości</w:t>
            </w:r>
            <w:proofErr w:type="spellEnd"/>
            <w:r>
              <w:t xml:space="preserve"> </w:t>
            </w:r>
            <w:proofErr w:type="spellStart"/>
            <w:r>
              <w:t>uzyskania</w:t>
            </w:r>
            <w:proofErr w:type="spellEnd"/>
            <w:r>
              <w:t xml:space="preserve"> </w:t>
            </w:r>
            <w:proofErr w:type="spellStart"/>
            <w:r>
              <w:t>dofinansowania</w:t>
            </w:r>
            <w:proofErr w:type="spellEnd"/>
            <w:r>
              <w:t xml:space="preserve">. Od </w:t>
            </w:r>
            <w:proofErr w:type="spellStart"/>
            <w:r>
              <w:t>specyfiki</w:t>
            </w:r>
            <w:proofErr w:type="spellEnd"/>
            <w:r>
              <w:t xml:space="preserve"> </w:t>
            </w:r>
            <w:proofErr w:type="spellStart"/>
            <w:r>
              <w:t>Działania</w:t>
            </w:r>
            <w:proofErr w:type="spellEnd"/>
            <w:r>
              <w:t xml:space="preserve">, w </w:t>
            </w:r>
            <w:proofErr w:type="spellStart"/>
            <w:r>
              <w:t>ramach</w:t>
            </w:r>
            <w:proofErr w:type="spellEnd"/>
            <w:r>
              <w:t xml:space="preserve"> </w:t>
            </w:r>
            <w:proofErr w:type="spellStart"/>
            <w:r>
              <w:t>którego</w:t>
            </w:r>
            <w:proofErr w:type="spellEnd"/>
            <w:r>
              <w:t xml:space="preserve"> </w:t>
            </w:r>
            <w:proofErr w:type="spellStart"/>
            <w:r>
              <w:t>prowadzano</w:t>
            </w:r>
            <w:proofErr w:type="spellEnd"/>
            <w:r>
              <w:t xml:space="preserve">  </w:t>
            </w:r>
            <w:proofErr w:type="spellStart"/>
            <w:r>
              <w:t>konkurs</w:t>
            </w:r>
            <w:proofErr w:type="spellEnd"/>
            <w:r>
              <w:t xml:space="preserve">, </w:t>
            </w:r>
            <w:proofErr w:type="spellStart"/>
            <w:r>
              <w:t>zależało</w:t>
            </w:r>
            <w:proofErr w:type="spellEnd"/>
            <w:r>
              <w:t xml:space="preserve"> w </w:t>
            </w:r>
            <w:proofErr w:type="spellStart"/>
            <w:r>
              <w:t>jakim</w:t>
            </w:r>
            <w:proofErr w:type="spellEnd"/>
            <w:r>
              <w:t xml:space="preserve"> </w:t>
            </w:r>
            <w:proofErr w:type="spellStart"/>
            <w:r>
              <w:t>stopniu</w:t>
            </w:r>
            <w:proofErr w:type="spellEnd"/>
            <w:r>
              <w:t xml:space="preserve"> </w:t>
            </w:r>
            <w:proofErr w:type="spellStart"/>
            <w:r>
              <w:t>uwzględnione</w:t>
            </w:r>
            <w:proofErr w:type="spellEnd"/>
            <w:r>
              <w:t xml:space="preserve"> </w:t>
            </w:r>
            <w:proofErr w:type="spellStart"/>
            <w:r>
              <w:t>zostały</w:t>
            </w:r>
            <w:proofErr w:type="spellEnd"/>
            <w:r>
              <w:t xml:space="preserve"> </w:t>
            </w:r>
            <w:proofErr w:type="spellStart"/>
            <w:r>
              <w:t>zasady</w:t>
            </w:r>
            <w:proofErr w:type="spellEnd"/>
            <w:r>
              <w:t xml:space="preserve"> </w:t>
            </w:r>
            <w:proofErr w:type="spellStart"/>
            <w:r>
              <w:t>horyzontalne</w:t>
            </w:r>
            <w:proofErr w:type="spellEnd"/>
            <w:r>
              <w:t xml:space="preserve">. </w:t>
            </w:r>
            <w:proofErr w:type="spellStart"/>
            <w:r>
              <w:t>Przewidziano</w:t>
            </w:r>
            <w:proofErr w:type="spellEnd"/>
            <w:r>
              <w:t xml:space="preserve"> </w:t>
            </w:r>
            <w:proofErr w:type="spellStart"/>
            <w:r>
              <w:t>też</w:t>
            </w:r>
            <w:proofErr w:type="spellEnd"/>
            <w:r>
              <w:t xml:space="preserve"> </w:t>
            </w:r>
            <w:proofErr w:type="spellStart"/>
            <w:r>
              <w:t>szereg</w:t>
            </w:r>
            <w:proofErr w:type="spellEnd"/>
            <w:r>
              <w:t xml:space="preserve"> </w:t>
            </w:r>
            <w:proofErr w:type="spellStart"/>
            <w:r>
              <w:t>wskaźników</w:t>
            </w:r>
            <w:proofErr w:type="spellEnd"/>
            <w:r>
              <w:t xml:space="preserve">, </w:t>
            </w:r>
            <w:proofErr w:type="spellStart"/>
            <w:r>
              <w:t>umożliwiających</w:t>
            </w:r>
            <w:proofErr w:type="spellEnd"/>
            <w:r>
              <w:t xml:space="preserve"> </w:t>
            </w:r>
            <w:proofErr w:type="spellStart"/>
            <w:r>
              <w:t>śledzenie</w:t>
            </w:r>
            <w:proofErr w:type="spellEnd"/>
            <w:r>
              <w:t xml:space="preserve"> </w:t>
            </w:r>
            <w:proofErr w:type="spellStart"/>
            <w:r>
              <w:t>postępów</w:t>
            </w:r>
            <w:proofErr w:type="spellEnd"/>
            <w:r>
              <w:t xml:space="preserve"> we </w:t>
            </w:r>
            <w:proofErr w:type="spellStart"/>
            <w:r>
              <w:t>wdrażaniu</w:t>
            </w:r>
            <w:proofErr w:type="spellEnd"/>
            <w:r>
              <w:t xml:space="preserve"> </w:t>
            </w:r>
            <w:proofErr w:type="spellStart"/>
            <w:r>
              <w:t>Programu</w:t>
            </w:r>
            <w:proofErr w:type="spellEnd"/>
            <w:r>
              <w:t xml:space="preserve"> w </w:t>
            </w:r>
            <w:proofErr w:type="spellStart"/>
            <w:r>
              <w:t>obszarach</w:t>
            </w:r>
            <w:proofErr w:type="spellEnd"/>
            <w:r>
              <w:t xml:space="preserve"> </w:t>
            </w:r>
            <w:proofErr w:type="spellStart"/>
            <w:r>
              <w:t>związanych</w:t>
            </w:r>
            <w:proofErr w:type="spellEnd"/>
            <w:r>
              <w:t xml:space="preserve"> z </w:t>
            </w:r>
            <w:proofErr w:type="spellStart"/>
            <w:r>
              <w:t>politykami</w:t>
            </w:r>
            <w:proofErr w:type="spellEnd"/>
            <w:r>
              <w:t xml:space="preserve"> </w:t>
            </w:r>
            <w:proofErr w:type="spellStart"/>
            <w:r>
              <w:t>horyzontalnymi</w:t>
            </w:r>
            <w:proofErr w:type="spellEnd"/>
            <w:r>
              <w:t>.</w:t>
            </w:r>
          </w:p>
          <w:p w14:paraId="7704A2F1" w14:textId="77777777" w:rsidR="006B2EC1" w:rsidRDefault="00E82A60">
            <w:pPr>
              <w:spacing w:before="240" w:after="240"/>
              <w:jc w:val="left"/>
            </w:pPr>
            <w:r>
              <w:t xml:space="preserve">Z </w:t>
            </w:r>
            <w:proofErr w:type="spellStart"/>
            <w:r>
              <w:t>badań</w:t>
            </w:r>
            <w:proofErr w:type="spellEnd"/>
            <w:r>
              <w:t xml:space="preserve"> </w:t>
            </w:r>
            <w:proofErr w:type="spellStart"/>
            <w:r>
              <w:t>przeprowadzonych</w:t>
            </w:r>
            <w:proofErr w:type="spellEnd"/>
            <w:r>
              <w:t xml:space="preserve"> </w:t>
            </w:r>
            <w:proofErr w:type="spellStart"/>
            <w:r>
              <w:t>wśród</w:t>
            </w:r>
            <w:proofErr w:type="spellEnd"/>
            <w:r>
              <w:t xml:space="preserve"> </w:t>
            </w:r>
            <w:proofErr w:type="spellStart"/>
            <w:r>
              <w:t>uczestników</w:t>
            </w:r>
            <w:proofErr w:type="spellEnd"/>
            <w:r>
              <w:t xml:space="preserve"> </w:t>
            </w:r>
            <w:proofErr w:type="spellStart"/>
            <w:r>
              <w:t>projektów</w:t>
            </w:r>
            <w:proofErr w:type="spellEnd"/>
            <w:r>
              <w:t xml:space="preserve"> </w:t>
            </w:r>
            <w:proofErr w:type="spellStart"/>
            <w:r>
              <w:t>wynika</w:t>
            </w:r>
            <w:proofErr w:type="spellEnd"/>
            <w:r>
              <w:t xml:space="preserve">, </w:t>
            </w:r>
            <w:proofErr w:type="spellStart"/>
            <w:r>
              <w:t>iż</w:t>
            </w:r>
            <w:proofErr w:type="spellEnd"/>
            <w:r>
              <w:t xml:space="preserve"> </w:t>
            </w:r>
            <w:proofErr w:type="spellStart"/>
            <w:r>
              <w:t>projekty</w:t>
            </w:r>
            <w:proofErr w:type="spellEnd"/>
            <w:r>
              <w:t xml:space="preserve"> </w:t>
            </w:r>
            <w:proofErr w:type="spellStart"/>
            <w:r>
              <w:t>te</w:t>
            </w:r>
            <w:proofErr w:type="spellEnd"/>
            <w:r>
              <w:t xml:space="preserve"> </w:t>
            </w:r>
            <w:proofErr w:type="spellStart"/>
            <w:r>
              <w:t>były</w:t>
            </w:r>
            <w:proofErr w:type="spellEnd"/>
            <w:r>
              <w:t xml:space="preserve"> </w:t>
            </w:r>
            <w:proofErr w:type="spellStart"/>
            <w:r>
              <w:t>dostosowane</w:t>
            </w:r>
            <w:proofErr w:type="spellEnd"/>
            <w:r>
              <w:t xml:space="preserve"> do </w:t>
            </w:r>
            <w:proofErr w:type="spellStart"/>
            <w:r>
              <w:t>potrzeb</w:t>
            </w:r>
            <w:proofErr w:type="spellEnd"/>
            <w:r>
              <w:t xml:space="preserve"> </w:t>
            </w:r>
            <w:proofErr w:type="spellStart"/>
            <w:r>
              <w:t>osób</w:t>
            </w:r>
            <w:proofErr w:type="spellEnd"/>
            <w:r>
              <w:t xml:space="preserve"> z </w:t>
            </w:r>
            <w:proofErr w:type="spellStart"/>
            <w:r>
              <w:t>niepełnosprawnościami</w:t>
            </w:r>
            <w:proofErr w:type="spellEnd"/>
            <w:r>
              <w:t xml:space="preserve"> i </w:t>
            </w:r>
            <w:proofErr w:type="spellStart"/>
            <w:r>
              <w:t>faktycznie</w:t>
            </w:r>
            <w:proofErr w:type="spellEnd"/>
            <w:r>
              <w:t xml:space="preserve"> </w:t>
            </w:r>
            <w:proofErr w:type="spellStart"/>
            <w:r>
              <w:t>przyczyniały</w:t>
            </w:r>
            <w:proofErr w:type="spellEnd"/>
            <w:r>
              <w:t xml:space="preserve"> </w:t>
            </w:r>
            <w:proofErr w:type="spellStart"/>
            <w:r>
              <w:t>się</w:t>
            </w:r>
            <w:proofErr w:type="spellEnd"/>
            <w:r>
              <w:t xml:space="preserve"> do </w:t>
            </w:r>
            <w:proofErr w:type="spellStart"/>
            <w:r>
              <w:t>realizacji</w:t>
            </w:r>
            <w:proofErr w:type="spellEnd"/>
            <w:r>
              <w:t xml:space="preserve"> </w:t>
            </w:r>
            <w:proofErr w:type="spellStart"/>
            <w:r>
              <w:t>zasady</w:t>
            </w:r>
            <w:proofErr w:type="spellEnd"/>
            <w:r>
              <w:t xml:space="preserve"> </w:t>
            </w:r>
            <w:proofErr w:type="spellStart"/>
            <w:r>
              <w:t>równości</w:t>
            </w:r>
            <w:proofErr w:type="spellEnd"/>
            <w:r>
              <w:t xml:space="preserve"> </w:t>
            </w:r>
            <w:proofErr w:type="spellStart"/>
            <w:r>
              <w:t>szans</w:t>
            </w:r>
            <w:proofErr w:type="spellEnd"/>
            <w:r>
              <w:t xml:space="preserve"> i </w:t>
            </w:r>
            <w:proofErr w:type="spellStart"/>
            <w:r>
              <w:t>niedyskryminacji</w:t>
            </w:r>
            <w:proofErr w:type="spellEnd"/>
            <w:r>
              <w:t xml:space="preserve">, w </w:t>
            </w:r>
            <w:proofErr w:type="spellStart"/>
            <w:r>
              <w:t>tym</w:t>
            </w:r>
            <w:proofErr w:type="spellEnd"/>
            <w:r>
              <w:t xml:space="preserve"> </w:t>
            </w:r>
            <w:proofErr w:type="spellStart"/>
            <w:r>
              <w:t>dostępności</w:t>
            </w:r>
            <w:proofErr w:type="spellEnd"/>
            <w:r>
              <w:t xml:space="preserve"> </w:t>
            </w:r>
            <w:proofErr w:type="spellStart"/>
            <w:r>
              <w:t>dla</w:t>
            </w:r>
            <w:proofErr w:type="spellEnd"/>
            <w:r>
              <w:t xml:space="preserve"> </w:t>
            </w:r>
            <w:proofErr w:type="spellStart"/>
            <w:r>
              <w:t>osób</w:t>
            </w:r>
            <w:proofErr w:type="spellEnd"/>
            <w:r>
              <w:t xml:space="preserve"> z </w:t>
            </w:r>
            <w:proofErr w:type="spellStart"/>
            <w:r>
              <w:t>niepełnosprawnościami</w:t>
            </w:r>
            <w:proofErr w:type="spellEnd"/>
            <w:r>
              <w:t>.</w:t>
            </w:r>
          </w:p>
          <w:p w14:paraId="07EBEE8B" w14:textId="77777777" w:rsidR="006B2EC1" w:rsidRDefault="00E82A60">
            <w:pPr>
              <w:spacing w:before="240" w:after="240"/>
              <w:jc w:val="left"/>
            </w:pPr>
            <w:r>
              <w:t xml:space="preserve">We </w:t>
            </w:r>
            <w:proofErr w:type="spellStart"/>
            <w:r>
              <w:t>wnioskach</w:t>
            </w:r>
            <w:proofErr w:type="spellEnd"/>
            <w:r>
              <w:t xml:space="preserve"> i </w:t>
            </w:r>
            <w:proofErr w:type="spellStart"/>
            <w:r>
              <w:t>rekomendacjach</w:t>
            </w:r>
            <w:proofErr w:type="spellEnd"/>
            <w:r>
              <w:t xml:space="preserve"> </w:t>
            </w:r>
            <w:proofErr w:type="spellStart"/>
            <w:r>
              <w:t>wskazano</w:t>
            </w:r>
            <w:proofErr w:type="spellEnd"/>
            <w:r>
              <w:t xml:space="preserve">: </w:t>
            </w:r>
            <w:proofErr w:type="spellStart"/>
            <w:r>
              <w:t>konieczność</w:t>
            </w:r>
            <w:proofErr w:type="spellEnd"/>
            <w:r>
              <w:t xml:space="preserve"> </w:t>
            </w:r>
            <w:proofErr w:type="spellStart"/>
            <w:r>
              <w:t>szerszego</w:t>
            </w:r>
            <w:proofErr w:type="spellEnd"/>
            <w:r>
              <w:t xml:space="preserve"> </w:t>
            </w:r>
            <w:proofErr w:type="spellStart"/>
            <w:r>
              <w:t>ujęcia</w:t>
            </w:r>
            <w:proofErr w:type="spellEnd"/>
            <w:r>
              <w:t xml:space="preserve"> </w:t>
            </w:r>
            <w:proofErr w:type="spellStart"/>
            <w:r>
              <w:t>kwestii</w:t>
            </w:r>
            <w:proofErr w:type="spellEnd"/>
            <w:r>
              <w:t xml:space="preserve"> </w:t>
            </w:r>
            <w:proofErr w:type="spellStart"/>
            <w:r>
              <w:t>związanych</w:t>
            </w:r>
            <w:proofErr w:type="spellEnd"/>
            <w:r>
              <w:t xml:space="preserve"> z </w:t>
            </w:r>
            <w:proofErr w:type="spellStart"/>
            <w:r>
              <w:t>zasadą</w:t>
            </w:r>
            <w:proofErr w:type="spellEnd"/>
            <w:r>
              <w:t xml:space="preserve"> </w:t>
            </w:r>
            <w:proofErr w:type="spellStart"/>
            <w:r>
              <w:t>zrównoważonego</w:t>
            </w:r>
            <w:proofErr w:type="spellEnd"/>
            <w:r>
              <w:t xml:space="preserve"> </w:t>
            </w:r>
            <w:proofErr w:type="spellStart"/>
            <w:r>
              <w:t>rozwoju</w:t>
            </w:r>
            <w:proofErr w:type="spellEnd"/>
            <w:r>
              <w:t xml:space="preserve"> (np. </w:t>
            </w:r>
            <w:proofErr w:type="spellStart"/>
            <w:r>
              <w:t>efektu</w:t>
            </w:r>
            <w:proofErr w:type="spellEnd"/>
            <w:r>
              <w:t xml:space="preserve"> </w:t>
            </w:r>
            <w:proofErr w:type="spellStart"/>
            <w:r>
              <w:t>ekologicznego</w:t>
            </w:r>
            <w:proofErr w:type="spellEnd"/>
            <w:r>
              <w:t xml:space="preserve">) w </w:t>
            </w:r>
            <w:proofErr w:type="spellStart"/>
            <w:r>
              <w:t>kryteriach</w:t>
            </w:r>
            <w:proofErr w:type="spellEnd"/>
            <w:r>
              <w:t xml:space="preserve"> </w:t>
            </w:r>
            <w:proofErr w:type="spellStart"/>
            <w:r>
              <w:t>punktowych</w:t>
            </w:r>
            <w:proofErr w:type="spellEnd"/>
            <w:r>
              <w:t xml:space="preserve"> (</w:t>
            </w:r>
            <w:proofErr w:type="spellStart"/>
            <w:r>
              <w:t>gł</w:t>
            </w:r>
            <w:proofErr w:type="spellEnd"/>
            <w:r>
              <w:t xml:space="preserve">. w </w:t>
            </w:r>
            <w:proofErr w:type="spellStart"/>
            <w:r>
              <w:t>działaniach</w:t>
            </w:r>
            <w:proofErr w:type="spellEnd"/>
            <w:r>
              <w:t xml:space="preserve"> </w:t>
            </w:r>
            <w:proofErr w:type="spellStart"/>
            <w:r>
              <w:t>finansowanych</w:t>
            </w:r>
            <w:proofErr w:type="spellEnd"/>
            <w:r>
              <w:t xml:space="preserve"> z EFRR); </w:t>
            </w:r>
            <w:proofErr w:type="spellStart"/>
            <w:r>
              <w:t>szersze</w:t>
            </w:r>
            <w:proofErr w:type="spellEnd"/>
            <w:r>
              <w:t xml:space="preserve"> </w:t>
            </w:r>
            <w:proofErr w:type="spellStart"/>
            <w:r>
              <w:t>włączenie</w:t>
            </w:r>
            <w:proofErr w:type="spellEnd"/>
            <w:r>
              <w:t xml:space="preserve"> </w:t>
            </w:r>
            <w:proofErr w:type="spellStart"/>
            <w:r>
              <w:t>tematyki</w:t>
            </w:r>
            <w:proofErr w:type="spellEnd"/>
            <w:r>
              <w:t xml:space="preserve"> </w:t>
            </w:r>
            <w:proofErr w:type="spellStart"/>
            <w:r>
              <w:t>polityk</w:t>
            </w:r>
            <w:proofErr w:type="spellEnd"/>
            <w:r>
              <w:t xml:space="preserve"> </w:t>
            </w:r>
            <w:proofErr w:type="spellStart"/>
            <w:r>
              <w:t>horyzontalnych</w:t>
            </w:r>
            <w:proofErr w:type="spellEnd"/>
            <w:r>
              <w:t xml:space="preserve"> do </w:t>
            </w:r>
            <w:proofErr w:type="spellStart"/>
            <w:r>
              <w:t>działań</w:t>
            </w:r>
            <w:proofErr w:type="spellEnd"/>
            <w:r>
              <w:t xml:space="preserve"> </w:t>
            </w:r>
            <w:proofErr w:type="spellStart"/>
            <w:r>
              <w:t>szkoleniowych</w:t>
            </w:r>
            <w:proofErr w:type="spellEnd"/>
            <w:r>
              <w:t xml:space="preserve"> </w:t>
            </w:r>
            <w:proofErr w:type="spellStart"/>
            <w:r>
              <w:t>skierowanych</w:t>
            </w:r>
            <w:proofErr w:type="spellEnd"/>
            <w:r>
              <w:t xml:space="preserve"> do </w:t>
            </w:r>
            <w:proofErr w:type="spellStart"/>
            <w:r>
              <w:t>Beneficjentów</w:t>
            </w:r>
            <w:proofErr w:type="spellEnd"/>
            <w:r>
              <w:t xml:space="preserve">; </w:t>
            </w:r>
            <w:proofErr w:type="spellStart"/>
            <w:r>
              <w:t>analizę</w:t>
            </w:r>
            <w:proofErr w:type="spellEnd"/>
            <w:r>
              <w:t xml:space="preserve"> </w:t>
            </w:r>
            <w:proofErr w:type="spellStart"/>
            <w:r>
              <w:t>zapotrzebowania</w:t>
            </w:r>
            <w:proofErr w:type="spellEnd"/>
            <w:r>
              <w:t xml:space="preserve"> </w:t>
            </w:r>
            <w:proofErr w:type="spellStart"/>
            <w:r>
              <w:t>na</w:t>
            </w:r>
            <w:proofErr w:type="spellEnd"/>
            <w:r>
              <w:t xml:space="preserve"> </w:t>
            </w:r>
            <w:proofErr w:type="spellStart"/>
            <w:r>
              <w:t>wiedzę</w:t>
            </w:r>
            <w:proofErr w:type="spellEnd"/>
            <w:r>
              <w:t xml:space="preserve"> z </w:t>
            </w:r>
            <w:proofErr w:type="spellStart"/>
            <w:r>
              <w:t>tego</w:t>
            </w:r>
            <w:proofErr w:type="spellEnd"/>
            <w:r>
              <w:t xml:space="preserve"> </w:t>
            </w:r>
            <w:proofErr w:type="spellStart"/>
            <w:r>
              <w:t>zakresu</w:t>
            </w:r>
            <w:proofErr w:type="spellEnd"/>
            <w:r>
              <w:t xml:space="preserve"> </w:t>
            </w:r>
            <w:proofErr w:type="spellStart"/>
            <w:r>
              <w:t>wśród</w:t>
            </w:r>
            <w:proofErr w:type="spellEnd"/>
            <w:r>
              <w:t xml:space="preserve"> </w:t>
            </w:r>
            <w:proofErr w:type="spellStart"/>
            <w:r>
              <w:t>pracowników</w:t>
            </w:r>
            <w:proofErr w:type="spellEnd"/>
            <w:r>
              <w:t xml:space="preserve"> IZ i IP; </w:t>
            </w:r>
            <w:proofErr w:type="spellStart"/>
            <w:r>
              <w:t>ukierunkowanie</w:t>
            </w:r>
            <w:proofErr w:type="spellEnd"/>
            <w:r>
              <w:t xml:space="preserve"> </w:t>
            </w:r>
            <w:proofErr w:type="spellStart"/>
            <w:r>
              <w:t>działań</w:t>
            </w:r>
            <w:proofErr w:type="spellEnd"/>
            <w:r>
              <w:t xml:space="preserve"> </w:t>
            </w:r>
            <w:proofErr w:type="spellStart"/>
            <w:r>
              <w:t>informacyjno-promocyjnych</w:t>
            </w:r>
            <w:proofErr w:type="spellEnd"/>
            <w:r>
              <w:t xml:space="preserve"> </w:t>
            </w:r>
            <w:proofErr w:type="spellStart"/>
            <w:r>
              <w:t>na</w:t>
            </w:r>
            <w:proofErr w:type="spellEnd"/>
            <w:r>
              <w:t> </w:t>
            </w:r>
            <w:proofErr w:type="spellStart"/>
            <w:r>
              <w:t>zwiększanie</w:t>
            </w:r>
            <w:proofErr w:type="spellEnd"/>
            <w:r>
              <w:t xml:space="preserve"> </w:t>
            </w:r>
            <w:proofErr w:type="spellStart"/>
            <w:r>
              <w:t>świadomości</w:t>
            </w:r>
            <w:proofErr w:type="spellEnd"/>
            <w:r>
              <w:t xml:space="preserve"> </w:t>
            </w:r>
            <w:proofErr w:type="spellStart"/>
            <w:r>
              <w:t>odbiorców</w:t>
            </w:r>
            <w:proofErr w:type="spellEnd"/>
            <w:r>
              <w:t xml:space="preserve"> w </w:t>
            </w:r>
            <w:proofErr w:type="spellStart"/>
            <w:r>
              <w:t>zakresie</w:t>
            </w:r>
            <w:proofErr w:type="spellEnd"/>
            <w:r>
              <w:t xml:space="preserve"> </w:t>
            </w:r>
            <w:proofErr w:type="spellStart"/>
            <w:r>
              <w:t>polityk</w:t>
            </w:r>
            <w:proofErr w:type="spellEnd"/>
            <w:r>
              <w:t xml:space="preserve"> </w:t>
            </w:r>
            <w:proofErr w:type="spellStart"/>
            <w:r>
              <w:t>horyzontalnych</w:t>
            </w:r>
            <w:proofErr w:type="spellEnd"/>
            <w:r>
              <w:t xml:space="preserve"> i ich </w:t>
            </w:r>
            <w:proofErr w:type="spellStart"/>
            <w:r>
              <w:t>znaczenia</w:t>
            </w:r>
            <w:proofErr w:type="spellEnd"/>
            <w:r>
              <w:t>.</w:t>
            </w:r>
          </w:p>
          <w:p w14:paraId="012AFFC6" w14:textId="77777777" w:rsidR="006B2EC1" w:rsidRDefault="00E82A60" w:rsidP="00E82A60">
            <w:pPr>
              <w:numPr>
                <w:ilvl w:val="0"/>
                <w:numId w:val="44"/>
              </w:numPr>
              <w:spacing w:before="240" w:after="240"/>
              <w:ind w:hanging="280"/>
              <w:jc w:val="left"/>
            </w:pPr>
            <w:proofErr w:type="spellStart"/>
            <w:r>
              <w:rPr>
                <w:b/>
                <w:bCs/>
              </w:rPr>
              <w:t>Ocena</w:t>
            </w:r>
            <w:proofErr w:type="spellEnd"/>
            <w:r>
              <w:rPr>
                <w:b/>
                <w:bCs/>
              </w:rPr>
              <w:t xml:space="preserve"> </w:t>
            </w:r>
            <w:proofErr w:type="spellStart"/>
            <w:r>
              <w:rPr>
                <w:b/>
                <w:bCs/>
              </w:rPr>
              <w:t>instrumentu</w:t>
            </w:r>
            <w:proofErr w:type="spellEnd"/>
            <w:r>
              <w:rPr>
                <w:b/>
                <w:bCs/>
              </w:rPr>
              <w:t xml:space="preserve"> </w:t>
            </w:r>
            <w:proofErr w:type="spellStart"/>
            <w:r>
              <w:rPr>
                <w:b/>
                <w:bCs/>
              </w:rPr>
              <w:t>Zintegrowane</w:t>
            </w:r>
            <w:proofErr w:type="spellEnd"/>
            <w:r>
              <w:rPr>
                <w:b/>
                <w:bCs/>
              </w:rPr>
              <w:t xml:space="preserve"> </w:t>
            </w:r>
            <w:proofErr w:type="spellStart"/>
            <w:r>
              <w:rPr>
                <w:b/>
                <w:bCs/>
              </w:rPr>
              <w:t>Inwestycje</w:t>
            </w:r>
            <w:proofErr w:type="spellEnd"/>
            <w:r>
              <w:rPr>
                <w:b/>
                <w:bCs/>
              </w:rPr>
              <w:t xml:space="preserve"> </w:t>
            </w:r>
            <w:proofErr w:type="spellStart"/>
            <w:r>
              <w:rPr>
                <w:b/>
                <w:bCs/>
              </w:rPr>
              <w:t>Terytorialne</w:t>
            </w:r>
            <w:proofErr w:type="spellEnd"/>
            <w:r>
              <w:rPr>
                <w:b/>
                <w:bCs/>
              </w:rPr>
              <w:t xml:space="preserve"> w </w:t>
            </w:r>
            <w:proofErr w:type="spellStart"/>
            <w:r>
              <w:rPr>
                <w:b/>
                <w:bCs/>
              </w:rPr>
              <w:t>ramach</w:t>
            </w:r>
            <w:proofErr w:type="spellEnd"/>
            <w:r>
              <w:rPr>
                <w:b/>
                <w:bCs/>
              </w:rPr>
              <w:t xml:space="preserve"> RPOWŚ 2014-2020 </w:t>
            </w:r>
            <w:r>
              <w:t xml:space="preserve">– </w:t>
            </w:r>
            <w:proofErr w:type="spellStart"/>
            <w:r>
              <w:t>realizacja</w:t>
            </w:r>
            <w:proofErr w:type="spellEnd"/>
            <w:r>
              <w:t xml:space="preserve"> </w:t>
            </w:r>
            <w:proofErr w:type="spellStart"/>
            <w:r>
              <w:t>październik</w:t>
            </w:r>
            <w:proofErr w:type="spellEnd"/>
            <w:r>
              <w:t xml:space="preserve"> – </w:t>
            </w:r>
            <w:proofErr w:type="spellStart"/>
            <w:r>
              <w:t>grudzień</w:t>
            </w:r>
            <w:proofErr w:type="spellEnd"/>
            <w:r>
              <w:t xml:space="preserve"> 2019</w:t>
            </w:r>
          </w:p>
          <w:p w14:paraId="69A30806" w14:textId="77777777" w:rsidR="006B2EC1" w:rsidRDefault="00E82A60">
            <w:pPr>
              <w:spacing w:before="240" w:after="240"/>
              <w:jc w:val="left"/>
            </w:pPr>
            <w:proofErr w:type="spellStart"/>
            <w:r>
              <w:rPr>
                <w:b/>
                <w:bCs/>
              </w:rPr>
              <w:t>Głównym</w:t>
            </w:r>
            <w:proofErr w:type="spellEnd"/>
            <w:r>
              <w:rPr>
                <w:b/>
                <w:bCs/>
              </w:rPr>
              <w:t xml:space="preserve"> </w:t>
            </w:r>
            <w:proofErr w:type="spellStart"/>
            <w:r>
              <w:rPr>
                <w:b/>
                <w:bCs/>
              </w:rPr>
              <w:t>celem</w:t>
            </w:r>
            <w:proofErr w:type="spellEnd"/>
            <w:r>
              <w:rPr>
                <w:b/>
                <w:bCs/>
              </w:rPr>
              <w:t xml:space="preserve"> </w:t>
            </w:r>
            <w:proofErr w:type="spellStart"/>
            <w:r>
              <w:rPr>
                <w:b/>
                <w:bCs/>
              </w:rPr>
              <w:t>badania</w:t>
            </w:r>
            <w:proofErr w:type="spellEnd"/>
            <w:r>
              <w:rPr>
                <w:b/>
                <w:bCs/>
              </w:rPr>
              <w:t xml:space="preserve"> </w:t>
            </w:r>
            <w:proofErr w:type="spellStart"/>
            <w:r>
              <w:rPr>
                <w:b/>
                <w:bCs/>
              </w:rPr>
              <w:t>było</w:t>
            </w:r>
            <w:proofErr w:type="spellEnd"/>
            <w:r>
              <w:rPr>
                <w:b/>
                <w:bCs/>
              </w:rPr>
              <w:t xml:space="preserve"> </w:t>
            </w:r>
            <w:proofErr w:type="spellStart"/>
            <w:r>
              <w:rPr>
                <w:b/>
                <w:bCs/>
              </w:rPr>
              <w:t>dokonanie</w:t>
            </w:r>
            <w:proofErr w:type="spellEnd"/>
            <w:r>
              <w:rPr>
                <w:b/>
                <w:bCs/>
              </w:rPr>
              <w:t xml:space="preserve"> </w:t>
            </w:r>
            <w:proofErr w:type="spellStart"/>
            <w:r>
              <w:rPr>
                <w:b/>
                <w:bCs/>
              </w:rPr>
              <w:t>oceny</w:t>
            </w:r>
            <w:proofErr w:type="spellEnd"/>
            <w:r>
              <w:rPr>
                <w:b/>
                <w:bCs/>
              </w:rPr>
              <w:t xml:space="preserve"> </w:t>
            </w:r>
            <w:proofErr w:type="spellStart"/>
            <w:r>
              <w:rPr>
                <w:b/>
                <w:bCs/>
              </w:rPr>
              <w:t>interwencji</w:t>
            </w:r>
            <w:proofErr w:type="spellEnd"/>
            <w:r>
              <w:rPr>
                <w:b/>
                <w:bCs/>
              </w:rPr>
              <w:t xml:space="preserve"> RPOWŚ 2014-2020 </w:t>
            </w:r>
            <w:proofErr w:type="spellStart"/>
            <w:r>
              <w:rPr>
                <w:b/>
                <w:bCs/>
              </w:rPr>
              <w:t>realizowanej</w:t>
            </w:r>
            <w:proofErr w:type="spellEnd"/>
            <w:r>
              <w:rPr>
                <w:b/>
                <w:bCs/>
              </w:rPr>
              <w:br/>
              <w:t xml:space="preserve">w </w:t>
            </w:r>
            <w:proofErr w:type="spellStart"/>
            <w:r>
              <w:rPr>
                <w:b/>
                <w:bCs/>
              </w:rPr>
              <w:t>ramach</w:t>
            </w:r>
            <w:proofErr w:type="spellEnd"/>
            <w:r>
              <w:rPr>
                <w:b/>
                <w:bCs/>
              </w:rPr>
              <w:t xml:space="preserve"> ZIT KOF, pod </w:t>
            </w:r>
            <w:proofErr w:type="spellStart"/>
            <w:r>
              <w:rPr>
                <w:b/>
                <w:bCs/>
              </w:rPr>
              <w:t>kątem</w:t>
            </w:r>
            <w:proofErr w:type="spellEnd"/>
            <w:r>
              <w:rPr>
                <w:b/>
                <w:bCs/>
              </w:rPr>
              <w:t xml:space="preserve"> </w:t>
            </w:r>
            <w:proofErr w:type="spellStart"/>
            <w:r>
              <w:rPr>
                <w:b/>
                <w:bCs/>
              </w:rPr>
              <w:t>oceny</w:t>
            </w:r>
            <w:proofErr w:type="spellEnd"/>
            <w:r>
              <w:rPr>
                <w:b/>
                <w:bCs/>
              </w:rPr>
              <w:t xml:space="preserve"> </w:t>
            </w:r>
            <w:proofErr w:type="spellStart"/>
            <w:r>
              <w:rPr>
                <w:b/>
                <w:bCs/>
              </w:rPr>
              <w:t>trafności</w:t>
            </w:r>
            <w:proofErr w:type="spellEnd"/>
            <w:r>
              <w:rPr>
                <w:b/>
                <w:bCs/>
              </w:rPr>
              <w:t xml:space="preserve"> </w:t>
            </w:r>
            <w:proofErr w:type="spellStart"/>
            <w:r>
              <w:rPr>
                <w:b/>
                <w:bCs/>
              </w:rPr>
              <w:t>przyjętego</w:t>
            </w:r>
            <w:proofErr w:type="spellEnd"/>
            <w:r>
              <w:rPr>
                <w:b/>
                <w:bCs/>
              </w:rPr>
              <w:t xml:space="preserve"> </w:t>
            </w:r>
            <w:proofErr w:type="spellStart"/>
            <w:r>
              <w:rPr>
                <w:b/>
                <w:bCs/>
              </w:rPr>
              <w:t>systemu</w:t>
            </w:r>
            <w:proofErr w:type="spellEnd"/>
            <w:r>
              <w:rPr>
                <w:b/>
                <w:bCs/>
              </w:rPr>
              <w:t xml:space="preserve"> </w:t>
            </w:r>
            <w:proofErr w:type="spellStart"/>
            <w:r>
              <w:rPr>
                <w:b/>
                <w:bCs/>
              </w:rPr>
              <w:t>realizacji</w:t>
            </w:r>
            <w:proofErr w:type="spellEnd"/>
            <w:r>
              <w:rPr>
                <w:b/>
                <w:bCs/>
              </w:rPr>
              <w:t xml:space="preserve"> i </w:t>
            </w:r>
            <w:proofErr w:type="spellStart"/>
            <w:r>
              <w:rPr>
                <w:b/>
                <w:bCs/>
              </w:rPr>
              <w:t>skuteczności</w:t>
            </w:r>
            <w:proofErr w:type="spellEnd"/>
            <w:r>
              <w:rPr>
                <w:b/>
                <w:bCs/>
              </w:rPr>
              <w:t xml:space="preserve"> </w:t>
            </w:r>
            <w:proofErr w:type="spellStart"/>
            <w:r>
              <w:rPr>
                <w:b/>
                <w:bCs/>
              </w:rPr>
              <w:t>wdrażania</w:t>
            </w:r>
            <w:proofErr w:type="spellEnd"/>
            <w:r>
              <w:rPr>
                <w:b/>
                <w:bCs/>
              </w:rPr>
              <w:t xml:space="preserve"> </w:t>
            </w:r>
            <w:proofErr w:type="spellStart"/>
            <w:r>
              <w:rPr>
                <w:b/>
                <w:bCs/>
              </w:rPr>
              <w:t>interwencji</w:t>
            </w:r>
            <w:proofErr w:type="spellEnd"/>
            <w:r>
              <w:rPr>
                <w:b/>
                <w:bCs/>
              </w:rPr>
              <w:t xml:space="preserve"> w </w:t>
            </w:r>
            <w:proofErr w:type="spellStart"/>
            <w:r>
              <w:rPr>
                <w:b/>
                <w:bCs/>
              </w:rPr>
              <w:t>ramach</w:t>
            </w:r>
            <w:proofErr w:type="spellEnd"/>
            <w:r>
              <w:rPr>
                <w:b/>
                <w:bCs/>
              </w:rPr>
              <w:t xml:space="preserve"> ZIT, w </w:t>
            </w:r>
            <w:proofErr w:type="spellStart"/>
            <w:r>
              <w:rPr>
                <w:b/>
                <w:bCs/>
              </w:rPr>
              <w:t>kontekście</w:t>
            </w:r>
            <w:proofErr w:type="spellEnd"/>
            <w:r>
              <w:rPr>
                <w:b/>
                <w:bCs/>
              </w:rPr>
              <w:t xml:space="preserve"> </w:t>
            </w:r>
            <w:proofErr w:type="spellStart"/>
            <w:r>
              <w:rPr>
                <w:b/>
                <w:bCs/>
              </w:rPr>
              <w:t>osiągania</w:t>
            </w:r>
            <w:proofErr w:type="spellEnd"/>
            <w:r>
              <w:rPr>
                <w:b/>
                <w:bCs/>
              </w:rPr>
              <w:t xml:space="preserve"> </w:t>
            </w:r>
            <w:proofErr w:type="spellStart"/>
            <w:r>
              <w:rPr>
                <w:b/>
                <w:bCs/>
              </w:rPr>
              <w:t>założonych</w:t>
            </w:r>
            <w:proofErr w:type="spellEnd"/>
            <w:r>
              <w:rPr>
                <w:b/>
                <w:bCs/>
              </w:rPr>
              <w:t xml:space="preserve"> </w:t>
            </w:r>
            <w:proofErr w:type="spellStart"/>
            <w:r>
              <w:rPr>
                <w:b/>
                <w:bCs/>
              </w:rPr>
              <w:t>celów</w:t>
            </w:r>
            <w:proofErr w:type="spellEnd"/>
            <w:r>
              <w:rPr>
                <w:b/>
                <w:bCs/>
              </w:rPr>
              <w:t xml:space="preserve"> </w:t>
            </w:r>
            <w:proofErr w:type="spellStart"/>
            <w:r>
              <w:rPr>
                <w:b/>
                <w:bCs/>
              </w:rPr>
              <w:t>Programu</w:t>
            </w:r>
            <w:proofErr w:type="spellEnd"/>
            <w:r>
              <w:rPr>
                <w:b/>
                <w:bCs/>
              </w:rPr>
              <w:t xml:space="preserve">. </w:t>
            </w:r>
          </w:p>
          <w:p w14:paraId="2E77B7C2" w14:textId="77777777" w:rsidR="006B2EC1" w:rsidRDefault="00E82A60">
            <w:pPr>
              <w:spacing w:before="240" w:after="240"/>
              <w:jc w:val="left"/>
            </w:pPr>
            <w:proofErr w:type="spellStart"/>
            <w:r>
              <w:rPr>
                <w:b/>
                <w:bCs/>
              </w:rPr>
              <w:t>Poziom</w:t>
            </w:r>
            <w:proofErr w:type="spellEnd"/>
            <w:r>
              <w:rPr>
                <w:b/>
                <w:bCs/>
              </w:rPr>
              <w:t xml:space="preserve"> </w:t>
            </w:r>
            <w:proofErr w:type="spellStart"/>
            <w:r>
              <w:rPr>
                <w:b/>
                <w:bCs/>
              </w:rPr>
              <w:t>wykorzystania</w:t>
            </w:r>
            <w:proofErr w:type="spellEnd"/>
            <w:r>
              <w:rPr>
                <w:b/>
                <w:bCs/>
              </w:rPr>
              <w:t xml:space="preserve"> </w:t>
            </w:r>
            <w:proofErr w:type="spellStart"/>
            <w:r>
              <w:rPr>
                <w:b/>
                <w:bCs/>
              </w:rPr>
              <w:t>alokacji</w:t>
            </w:r>
            <w:proofErr w:type="spellEnd"/>
            <w:r>
              <w:rPr>
                <w:b/>
                <w:bCs/>
              </w:rPr>
              <w:t xml:space="preserve"> w </w:t>
            </w:r>
            <w:proofErr w:type="spellStart"/>
            <w:r>
              <w:rPr>
                <w:b/>
                <w:bCs/>
              </w:rPr>
              <w:t>ramach</w:t>
            </w:r>
            <w:proofErr w:type="spellEnd"/>
            <w:r>
              <w:rPr>
                <w:b/>
                <w:bCs/>
              </w:rPr>
              <w:t xml:space="preserve"> </w:t>
            </w:r>
            <w:proofErr w:type="spellStart"/>
            <w:r>
              <w:rPr>
                <w:b/>
                <w:bCs/>
              </w:rPr>
              <w:t>instrumentu</w:t>
            </w:r>
            <w:proofErr w:type="spellEnd"/>
            <w:r>
              <w:rPr>
                <w:b/>
                <w:bCs/>
              </w:rPr>
              <w:t xml:space="preserve"> ZIT </w:t>
            </w:r>
            <w:proofErr w:type="spellStart"/>
            <w:r>
              <w:rPr>
                <w:b/>
                <w:bCs/>
              </w:rPr>
              <w:t>osiągnął</w:t>
            </w:r>
            <w:proofErr w:type="spellEnd"/>
            <w:r>
              <w:rPr>
                <w:b/>
                <w:bCs/>
              </w:rPr>
              <w:t xml:space="preserve"> </w:t>
            </w:r>
            <w:proofErr w:type="spellStart"/>
            <w:r>
              <w:rPr>
                <w:b/>
                <w:bCs/>
              </w:rPr>
              <w:t>poziom</w:t>
            </w:r>
            <w:proofErr w:type="spellEnd"/>
            <w:r>
              <w:rPr>
                <w:b/>
                <w:bCs/>
              </w:rPr>
              <w:t xml:space="preserve"> 90,76%. </w:t>
            </w:r>
            <w:proofErr w:type="spellStart"/>
            <w:r>
              <w:rPr>
                <w:b/>
                <w:bCs/>
              </w:rPr>
              <w:t>Według</w:t>
            </w:r>
            <w:proofErr w:type="spellEnd"/>
            <w:r>
              <w:rPr>
                <w:b/>
                <w:bCs/>
              </w:rPr>
              <w:t xml:space="preserve"> </w:t>
            </w:r>
            <w:proofErr w:type="spellStart"/>
            <w:r>
              <w:rPr>
                <w:b/>
                <w:bCs/>
              </w:rPr>
              <w:t>szacunków</w:t>
            </w:r>
            <w:proofErr w:type="spellEnd"/>
            <w:r>
              <w:rPr>
                <w:b/>
                <w:bCs/>
              </w:rPr>
              <w:t xml:space="preserve">, </w:t>
            </w:r>
            <w:proofErr w:type="spellStart"/>
            <w:r>
              <w:rPr>
                <w:b/>
                <w:bCs/>
              </w:rPr>
              <w:t>większość</w:t>
            </w:r>
            <w:proofErr w:type="spellEnd"/>
            <w:r>
              <w:rPr>
                <w:b/>
                <w:bCs/>
              </w:rPr>
              <w:t xml:space="preserve"> </w:t>
            </w:r>
            <w:proofErr w:type="spellStart"/>
            <w:r>
              <w:rPr>
                <w:b/>
                <w:bCs/>
              </w:rPr>
              <w:t>wskaźników</w:t>
            </w:r>
            <w:proofErr w:type="spellEnd"/>
            <w:r>
              <w:rPr>
                <w:b/>
                <w:bCs/>
              </w:rPr>
              <w:t xml:space="preserve"> </w:t>
            </w:r>
            <w:proofErr w:type="spellStart"/>
            <w:r>
              <w:rPr>
                <w:b/>
                <w:bCs/>
              </w:rPr>
              <w:t>rzeczowych</w:t>
            </w:r>
            <w:proofErr w:type="spellEnd"/>
            <w:r>
              <w:rPr>
                <w:b/>
                <w:bCs/>
              </w:rPr>
              <w:t xml:space="preserve"> </w:t>
            </w:r>
            <w:proofErr w:type="spellStart"/>
            <w:r>
              <w:rPr>
                <w:b/>
                <w:bCs/>
              </w:rPr>
              <w:t>zostanie</w:t>
            </w:r>
            <w:proofErr w:type="spellEnd"/>
            <w:r>
              <w:rPr>
                <w:b/>
                <w:bCs/>
              </w:rPr>
              <w:t xml:space="preserve"> </w:t>
            </w:r>
            <w:proofErr w:type="spellStart"/>
            <w:r>
              <w:rPr>
                <w:b/>
                <w:bCs/>
              </w:rPr>
              <w:t>osiągnięta</w:t>
            </w:r>
            <w:proofErr w:type="spellEnd"/>
            <w:r>
              <w:rPr>
                <w:b/>
                <w:bCs/>
              </w:rPr>
              <w:t xml:space="preserve"> i </w:t>
            </w:r>
            <w:proofErr w:type="spellStart"/>
            <w:r>
              <w:rPr>
                <w:b/>
                <w:bCs/>
              </w:rPr>
              <w:t>nie</w:t>
            </w:r>
            <w:proofErr w:type="spellEnd"/>
            <w:r>
              <w:rPr>
                <w:b/>
                <w:bCs/>
              </w:rPr>
              <w:t xml:space="preserve"> </w:t>
            </w:r>
            <w:proofErr w:type="spellStart"/>
            <w:r>
              <w:rPr>
                <w:b/>
                <w:bCs/>
              </w:rPr>
              <w:t>przewiduje</w:t>
            </w:r>
            <w:proofErr w:type="spellEnd"/>
            <w:r>
              <w:rPr>
                <w:b/>
                <w:bCs/>
              </w:rPr>
              <w:t xml:space="preserve"> </w:t>
            </w:r>
            <w:proofErr w:type="spellStart"/>
            <w:r>
              <w:rPr>
                <w:b/>
                <w:bCs/>
              </w:rPr>
              <w:t>się</w:t>
            </w:r>
            <w:proofErr w:type="spellEnd"/>
            <w:r>
              <w:rPr>
                <w:b/>
                <w:bCs/>
              </w:rPr>
              <w:t xml:space="preserve">  </w:t>
            </w:r>
            <w:proofErr w:type="spellStart"/>
            <w:r>
              <w:rPr>
                <w:b/>
                <w:bCs/>
              </w:rPr>
              <w:t>trudności</w:t>
            </w:r>
            <w:proofErr w:type="spellEnd"/>
            <w:r>
              <w:rPr>
                <w:b/>
                <w:bCs/>
              </w:rPr>
              <w:br/>
              <w:t xml:space="preserve">w </w:t>
            </w:r>
            <w:proofErr w:type="spellStart"/>
            <w:r>
              <w:rPr>
                <w:b/>
                <w:bCs/>
              </w:rPr>
              <w:t>wypełnieniu</w:t>
            </w:r>
            <w:proofErr w:type="spellEnd"/>
            <w:r>
              <w:rPr>
                <w:b/>
                <w:bCs/>
              </w:rPr>
              <w:t xml:space="preserve"> </w:t>
            </w:r>
            <w:proofErr w:type="spellStart"/>
            <w:r>
              <w:rPr>
                <w:b/>
                <w:bCs/>
              </w:rPr>
              <w:t>zobowiązań</w:t>
            </w:r>
            <w:proofErr w:type="spellEnd"/>
            <w:r>
              <w:rPr>
                <w:b/>
                <w:bCs/>
              </w:rPr>
              <w:t xml:space="preserve"> </w:t>
            </w:r>
            <w:proofErr w:type="spellStart"/>
            <w:r>
              <w:rPr>
                <w:b/>
                <w:bCs/>
              </w:rPr>
              <w:t>finansowych</w:t>
            </w:r>
            <w:proofErr w:type="spellEnd"/>
            <w:r>
              <w:rPr>
                <w:b/>
                <w:bCs/>
              </w:rPr>
              <w:t xml:space="preserve">. </w:t>
            </w:r>
            <w:proofErr w:type="spellStart"/>
            <w:r>
              <w:rPr>
                <w:b/>
                <w:bCs/>
              </w:rPr>
              <w:t>Wysokość</w:t>
            </w:r>
            <w:proofErr w:type="spellEnd"/>
            <w:r>
              <w:rPr>
                <w:b/>
                <w:bCs/>
              </w:rPr>
              <w:t xml:space="preserve"> </w:t>
            </w:r>
            <w:proofErr w:type="spellStart"/>
            <w:r>
              <w:rPr>
                <w:b/>
                <w:bCs/>
              </w:rPr>
              <w:t>dostępnych</w:t>
            </w:r>
            <w:proofErr w:type="spellEnd"/>
            <w:r>
              <w:rPr>
                <w:b/>
                <w:bCs/>
              </w:rPr>
              <w:t xml:space="preserve"> </w:t>
            </w:r>
            <w:proofErr w:type="spellStart"/>
            <w:r>
              <w:rPr>
                <w:b/>
                <w:bCs/>
              </w:rPr>
              <w:t>środków</w:t>
            </w:r>
            <w:proofErr w:type="spellEnd"/>
            <w:r>
              <w:rPr>
                <w:b/>
                <w:bCs/>
              </w:rPr>
              <w:t xml:space="preserve"> jest </w:t>
            </w:r>
            <w:proofErr w:type="spellStart"/>
            <w:r>
              <w:rPr>
                <w:b/>
                <w:bCs/>
              </w:rPr>
              <w:t>zbyt</w:t>
            </w:r>
            <w:proofErr w:type="spellEnd"/>
            <w:r>
              <w:rPr>
                <w:b/>
                <w:bCs/>
              </w:rPr>
              <w:t xml:space="preserve"> </w:t>
            </w:r>
            <w:proofErr w:type="spellStart"/>
            <w:r>
              <w:rPr>
                <w:b/>
                <w:bCs/>
              </w:rPr>
              <w:t>niska</w:t>
            </w:r>
            <w:proofErr w:type="spellEnd"/>
            <w:r>
              <w:rPr>
                <w:b/>
                <w:bCs/>
              </w:rPr>
              <w:t xml:space="preserve"> w </w:t>
            </w:r>
            <w:proofErr w:type="spellStart"/>
            <w:r>
              <w:rPr>
                <w:b/>
                <w:bCs/>
              </w:rPr>
              <w:lastRenderedPageBreak/>
              <w:t>stosunku</w:t>
            </w:r>
            <w:proofErr w:type="spellEnd"/>
            <w:r>
              <w:rPr>
                <w:b/>
                <w:bCs/>
              </w:rPr>
              <w:t xml:space="preserve"> do </w:t>
            </w:r>
            <w:proofErr w:type="spellStart"/>
            <w:r>
              <w:rPr>
                <w:b/>
                <w:bCs/>
              </w:rPr>
              <w:t>występujących</w:t>
            </w:r>
            <w:proofErr w:type="spellEnd"/>
            <w:r>
              <w:rPr>
                <w:b/>
                <w:bCs/>
              </w:rPr>
              <w:t xml:space="preserve"> </w:t>
            </w:r>
            <w:proofErr w:type="spellStart"/>
            <w:r>
              <w:rPr>
                <w:b/>
                <w:bCs/>
              </w:rPr>
              <w:t>wyzwań</w:t>
            </w:r>
            <w:proofErr w:type="spellEnd"/>
            <w:r>
              <w:rPr>
                <w:b/>
                <w:bCs/>
              </w:rPr>
              <w:t xml:space="preserve"> </w:t>
            </w:r>
            <w:proofErr w:type="spellStart"/>
            <w:r>
              <w:rPr>
                <w:b/>
                <w:bCs/>
              </w:rPr>
              <w:t>rozwojowych</w:t>
            </w:r>
            <w:proofErr w:type="spellEnd"/>
            <w:r>
              <w:rPr>
                <w:b/>
                <w:bCs/>
              </w:rPr>
              <w:t xml:space="preserve">, a </w:t>
            </w:r>
            <w:proofErr w:type="spellStart"/>
            <w:r>
              <w:rPr>
                <w:b/>
                <w:bCs/>
              </w:rPr>
              <w:t>obecny</w:t>
            </w:r>
            <w:proofErr w:type="spellEnd"/>
            <w:r>
              <w:rPr>
                <w:b/>
                <w:bCs/>
              </w:rPr>
              <w:t xml:space="preserve"> </w:t>
            </w:r>
            <w:proofErr w:type="spellStart"/>
            <w:r>
              <w:rPr>
                <w:b/>
                <w:bCs/>
              </w:rPr>
              <w:t>zakres</w:t>
            </w:r>
            <w:proofErr w:type="spellEnd"/>
            <w:r>
              <w:rPr>
                <w:b/>
                <w:bCs/>
              </w:rPr>
              <w:t xml:space="preserve"> </w:t>
            </w:r>
            <w:proofErr w:type="spellStart"/>
            <w:r>
              <w:rPr>
                <w:b/>
                <w:bCs/>
              </w:rPr>
              <w:t>wsparcia</w:t>
            </w:r>
            <w:proofErr w:type="spellEnd"/>
            <w:r>
              <w:rPr>
                <w:b/>
                <w:bCs/>
              </w:rPr>
              <w:t xml:space="preserve"> </w:t>
            </w:r>
            <w:proofErr w:type="spellStart"/>
            <w:r>
              <w:rPr>
                <w:b/>
                <w:bCs/>
              </w:rPr>
              <w:t>nie</w:t>
            </w:r>
            <w:proofErr w:type="spellEnd"/>
            <w:r>
              <w:rPr>
                <w:b/>
                <w:bCs/>
              </w:rPr>
              <w:t xml:space="preserve"> </w:t>
            </w:r>
            <w:proofErr w:type="spellStart"/>
            <w:r>
              <w:rPr>
                <w:b/>
                <w:bCs/>
              </w:rPr>
              <w:t>zaspokaja</w:t>
            </w:r>
            <w:proofErr w:type="spellEnd"/>
            <w:r>
              <w:rPr>
                <w:b/>
                <w:bCs/>
              </w:rPr>
              <w:t xml:space="preserve"> w </w:t>
            </w:r>
            <w:proofErr w:type="spellStart"/>
            <w:r>
              <w:rPr>
                <w:b/>
                <w:bCs/>
              </w:rPr>
              <w:t>pełni</w:t>
            </w:r>
            <w:proofErr w:type="spellEnd"/>
            <w:r>
              <w:rPr>
                <w:b/>
                <w:bCs/>
              </w:rPr>
              <w:t xml:space="preserve"> </w:t>
            </w:r>
            <w:proofErr w:type="spellStart"/>
            <w:r>
              <w:rPr>
                <w:b/>
                <w:bCs/>
              </w:rPr>
              <w:t>najważniejszych</w:t>
            </w:r>
            <w:proofErr w:type="spellEnd"/>
            <w:r>
              <w:rPr>
                <w:b/>
                <w:bCs/>
              </w:rPr>
              <w:t xml:space="preserve"> </w:t>
            </w:r>
            <w:proofErr w:type="spellStart"/>
            <w:r>
              <w:rPr>
                <w:b/>
                <w:bCs/>
              </w:rPr>
              <w:t>potrzeb</w:t>
            </w:r>
            <w:proofErr w:type="spellEnd"/>
            <w:r>
              <w:rPr>
                <w:b/>
                <w:bCs/>
              </w:rPr>
              <w:t xml:space="preserve"> KOF.</w:t>
            </w:r>
          </w:p>
          <w:p w14:paraId="41D149CB" w14:textId="77777777" w:rsidR="006B2EC1" w:rsidRDefault="00E82A60">
            <w:pPr>
              <w:spacing w:before="240" w:after="240"/>
              <w:jc w:val="left"/>
            </w:pPr>
            <w:proofErr w:type="spellStart"/>
            <w:r>
              <w:t>Jako</w:t>
            </w:r>
            <w:proofErr w:type="spellEnd"/>
            <w:r>
              <w:t xml:space="preserve"> </w:t>
            </w:r>
            <w:proofErr w:type="spellStart"/>
            <w:r>
              <w:t>potencjalne</w:t>
            </w:r>
            <w:proofErr w:type="spellEnd"/>
            <w:r>
              <w:t xml:space="preserve"> </w:t>
            </w:r>
            <w:proofErr w:type="spellStart"/>
            <w:r>
              <w:t>kierunki</w:t>
            </w:r>
            <w:proofErr w:type="spellEnd"/>
            <w:r>
              <w:t xml:space="preserve"> </w:t>
            </w:r>
            <w:proofErr w:type="spellStart"/>
            <w:r>
              <w:t>wsparcia</w:t>
            </w:r>
            <w:proofErr w:type="spellEnd"/>
            <w:r>
              <w:t xml:space="preserve"> w </w:t>
            </w:r>
            <w:proofErr w:type="spellStart"/>
            <w:r>
              <w:t>przyszłości</w:t>
            </w:r>
            <w:proofErr w:type="spellEnd"/>
            <w:r>
              <w:t xml:space="preserve"> </w:t>
            </w:r>
            <w:proofErr w:type="spellStart"/>
            <w:r>
              <w:t>wskazuje</w:t>
            </w:r>
            <w:proofErr w:type="spellEnd"/>
            <w:r>
              <w:t xml:space="preserve"> </w:t>
            </w:r>
            <w:proofErr w:type="spellStart"/>
            <w:r>
              <w:t>się</w:t>
            </w:r>
            <w:proofErr w:type="spellEnd"/>
            <w:r>
              <w:t xml:space="preserve"> </w:t>
            </w:r>
            <w:proofErr w:type="spellStart"/>
            <w:r>
              <w:t>przedsięwzięcia</w:t>
            </w:r>
            <w:proofErr w:type="spellEnd"/>
            <w:r>
              <w:t xml:space="preserve"> </w:t>
            </w:r>
            <w:proofErr w:type="spellStart"/>
            <w:r>
              <w:t>dotyczące</w:t>
            </w:r>
            <w:proofErr w:type="spellEnd"/>
            <w:r>
              <w:t xml:space="preserve"> </w:t>
            </w:r>
            <w:proofErr w:type="spellStart"/>
            <w:r>
              <w:t>systemu</w:t>
            </w:r>
            <w:proofErr w:type="spellEnd"/>
            <w:r>
              <w:t xml:space="preserve"> </w:t>
            </w:r>
            <w:proofErr w:type="spellStart"/>
            <w:r>
              <w:t>komunikacji</w:t>
            </w:r>
            <w:proofErr w:type="spellEnd"/>
            <w:r>
              <w:t xml:space="preserve"> </w:t>
            </w:r>
            <w:proofErr w:type="spellStart"/>
            <w:r>
              <w:t>miejskiej</w:t>
            </w:r>
            <w:proofErr w:type="spellEnd"/>
            <w:r>
              <w:t xml:space="preserve">, </w:t>
            </w:r>
            <w:proofErr w:type="spellStart"/>
            <w:r>
              <w:t>skoordynowanej</w:t>
            </w:r>
            <w:proofErr w:type="spellEnd"/>
            <w:r>
              <w:t xml:space="preserve"> </w:t>
            </w:r>
            <w:proofErr w:type="spellStart"/>
            <w:r>
              <w:t>polityki</w:t>
            </w:r>
            <w:proofErr w:type="spellEnd"/>
            <w:r>
              <w:t xml:space="preserve"> </w:t>
            </w:r>
            <w:proofErr w:type="spellStart"/>
            <w:r>
              <w:t>senioralnej</w:t>
            </w:r>
            <w:proofErr w:type="spellEnd"/>
            <w:r>
              <w:t xml:space="preserve">, </w:t>
            </w:r>
            <w:proofErr w:type="spellStart"/>
            <w:r>
              <w:t>rozwoju</w:t>
            </w:r>
            <w:proofErr w:type="spellEnd"/>
            <w:r>
              <w:t xml:space="preserve"> </w:t>
            </w:r>
            <w:proofErr w:type="spellStart"/>
            <w:r>
              <w:t>sieci</w:t>
            </w:r>
            <w:proofErr w:type="spellEnd"/>
            <w:r>
              <w:t xml:space="preserve"> </w:t>
            </w:r>
            <w:proofErr w:type="spellStart"/>
            <w:r>
              <w:t>szerokopasmowego</w:t>
            </w:r>
            <w:proofErr w:type="spellEnd"/>
            <w:r>
              <w:t xml:space="preserve"> </w:t>
            </w:r>
            <w:proofErr w:type="spellStart"/>
            <w:r>
              <w:t>internetu</w:t>
            </w:r>
            <w:proofErr w:type="spellEnd"/>
            <w:r>
              <w:t xml:space="preserve"> </w:t>
            </w:r>
            <w:proofErr w:type="spellStart"/>
            <w:r>
              <w:t>oraz</w:t>
            </w:r>
            <w:proofErr w:type="spellEnd"/>
            <w:r>
              <w:t xml:space="preserve"> </w:t>
            </w:r>
            <w:proofErr w:type="spellStart"/>
            <w:r>
              <w:t>wdrożenie</w:t>
            </w:r>
            <w:proofErr w:type="spellEnd"/>
            <w:r>
              <w:t xml:space="preserve"> </w:t>
            </w:r>
            <w:proofErr w:type="spellStart"/>
            <w:r>
              <w:t>inteligentnych</w:t>
            </w:r>
            <w:proofErr w:type="spellEnd"/>
            <w:r>
              <w:t xml:space="preserve"> </w:t>
            </w:r>
            <w:proofErr w:type="spellStart"/>
            <w:r>
              <w:t>systemów</w:t>
            </w:r>
            <w:proofErr w:type="spellEnd"/>
            <w:r>
              <w:t xml:space="preserve"> </w:t>
            </w:r>
            <w:proofErr w:type="spellStart"/>
            <w:r>
              <w:t>zarządzania</w:t>
            </w:r>
            <w:proofErr w:type="spellEnd"/>
            <w:r>
              <w:t xml:space="preserve"> </w:t>
            </w:r>
            <w:proofErr w:type="spellStart"/>
            <w:r>
              <w:t>miastem</w:t>
            </w:r>
            <w:proofErr w:type="spellEnd"/>
            <w:r>
              <w:t xml:space="preserve"> i </w:t>
            </w:r>
            <w:proofErr w:type="spellStart"/>
            <w:r>
              <w:t>jego</w:t>
            </w:r>
            <w:proofErr w:type="spellEnd"/>
            <w:r>
              <w:t xml:space="preserve"> </w:t>
            </w:r>
            <w:proofErr w:type="spellStart"/>
            <w:r>
              <w:t>obszarem</w:t>
            </w:r>
            <w:proofErr w:type="spellEnd"/>
            <w:r>
              <w:t xml:space="preserve"> </w:t>
            </w:r>
            <w:proofErr w:type="spellStart"/>
            <w:r>
              <w:t>funkcjonalnym</w:t>
            </w:r>
            <w:proofErr w:type="spellEnd"/>
            <w:r>
              <w:t xml:space="preserve"> a </w:t>
            </w:r>
            <w:proofErr w:type="spellStart"/>
            <w:r>
              <w:t>także</w:t>
            </w:r>
            <w:proofErr w:type="spellEnd"/>
            <w:r>
              <w:t xml:space="preserve"> </w:t>
            </w:r>
            <w:proofErr w:type="spellStart"/>
            <w:r>
              <w:t>dalsze</w:t>
            </w:r>
            <w:proofErr w:type="spellEnd"/>
            <w:r>
              <w:t xml:space="preserve"> </w:t>
            </w:r>
            <w:proofErr w:type="spellStart"/>
            <w:r>
              <w:t>wspólne</w:t>
            </w:r>
            <w:proofErr w:type="spellEnd"/>
            <w:r>
              <w:t xml:space="preserve"> </w:t>
            </w:r>
            <w:proofErr w:type="spellStart"/>
            <w:r>
              <w:t>rozwiązywanie</w:t>
            </w:r>
            <w:proofErr w:type="spellEnd"/>
            <w:r>
              <w:t xml:space="preserve"> </w:t>
            </w:r>
            <w:proofErr w:type="spellStart"/>
            <w:r>
              <w:t>problemów</w:t>
            </w:r>
            <w:proofErr w:type="spellEnd"/>
            <w:r>
              <w:t xml:space="preserve"> </w:t>
            </w:r>
            <w:proofErr w:type="spellStart"/>
            <w:r>
              <w:t>dotyczących</w:t>
            </w:r>
            <w:proofErr w:type="spellEnd"/>
            <w:r>
              <w:t xml:space="preserve"> </w:t>
            </w:r>
            <w:proofErr w:type="spellStart"/>
            <w:r>
              <w:t>stanu</w:t>
            </w:r>
            <w:proofErr w:type="spellEnd"/>
            <w:r>
              <w:t xml:space="preserve"> </w:t>
            </w:r>
            <w:proofErr w:type="spellStart"/>
            <w:r>
              <w:t>środowiska</w:t>
            </w:r>
            <w:proofErr w:type="spellEnd"/>
            <w:r>
              <w:t xml:space="preserve"> </w:t>
            </w:r>
            <w:proofErr w:type="spellStart"/>
            <w:r>
              <w:t>naturalnego</w:t>
            </w:r>
            <w:proofErr w:type="spellEnd"/>
            <w:r>
              <w:t xml:space="preserve"> z </w:t>
            </w:r>
            <w:proofErr w:type="spellStart"/>
            <w:r>
              <w:t>zakresu</w:t>
            </w:r>
            <w:proofErr w:type="spellEnd"/>
            <w:r>
              <w:t xml:space="preserve"> </w:t>
            </w:r>
            <w:proofErr w:type="spellStart"/>
            <w:r>
              <w:t>gospodarki</w:t>
            </w:r>
            <w:proofErr w:type="spellEnd"/>
            <w:r>
              <w:t xml:space="preserve"> </w:t>
            </w:r>
            <w:proofErr w:type="spellStart"/>
            <w:r>
              <w:t>wodno-ściekowej</w:t>
            </w:r>
            <w:proofErr w:type="spellEnd"/>
            <w:r>
              <w:t xml:space="preserve">, </w:t>
            </w:r>
            <w:proofErr w:type="spellStart"/>
            <w:r>
              <w:t>wspólnych</w:t>
            </w:r>
            <w:proofErr w:type="spellEnd"/>
            <w:r>
              <w:t xml:space="preserve"> </w:t>
            </w:r>
            <w:proofErr w:type="spellStart"/>
            <w:r>
              <w:t>rozwiązań</w:t>
            </w:r>
            <w:proofErr w:type="spellEnd"/>
            <w:r>
              <w:t xml:space="preserve"> </w:t>
            </w:r>
            <w:proofErr w:type="spellStart"/>
            <w:r>
              <w:t>antysmogowych</w:t>
            </w:r>
            <w:proofErr w:type="spellEnd"/>
            <w:r>
              <w:t xml:space="preserve"> </w:t>
            </w:r>
            <w:proofErr w:type="spellStart"/>
            <w:r>
              <w:t>oraz</w:t>
            </w:r>
            <w:proofErr w:type="spellEnd"/>
            <w:r>
              <w:t xml:space="preserve"> </w:t>
            </w:r>
            <w:proofErr w:type="spellStart"/>
            <w:r>
              <w:t>systemu</w:t>
            </w:r>
            <w:proofErr w:type="spellEnd"/>
            <w:r>
              <w:t xml:space="preserve"> </w:t>
            </w:r>
            <w:proofErr w:type="spellStart"/>
            <w:r>
              <w:t>zagospodarowania</w:t>
            </w:r>
            <w:proofErr w:type="spellEnd"/>
            <w:r>
              <w:t xml:space="preserve"> </w:t>
            </w:r>
            <w:proofErr w:type="spellStart"/>
            <w:r>
              <w:t>odpadów</w:t>
            </w:r>
            <w:proofErr w:type="spellEnd"/>
            <w:r>
              <w:t>.</w:t>
            </w:r>
          </w:p>
          <w:p w14:paraId="1508D30E" w14:textId="77777777" w:rsidR="006B2EC1" w:rsidRDefault="00E82A60">
            <w:pPr>
              <w:spacing w:before="240" w:after="240"/>
              <w:jc w:val="left"/>
            </w:pPr>
            <w:r>
              <w:t xml:space="preserve">W </w:t>
            </w:r>
            <w:proofErr w:type="spellStart"/>
            <w:r>
              <w:t>ramach</w:t>
            </w:r>
            <w:proofErr w:type="spellEnd"/>
            <w:r>
              <w:t xml:space="preserve"> </w:t>
            </w:r>
            <w:proofErr w:type="spellStart"/>
            <w:r>
              <w:t>projektów</w:t>
            </w:r>
            <w:proofErr w:type="spellEnd"/>
            <w:r>
              <w:t xml:space="preserve"> </w:t>
            </w:r>
            <w:proofErr w:type="spellStart"/>
            <w:r>
              <w:t>realizowanych</w:t>
            </w:r>
            <w:proofErr w:type="spellEnd"/>
            <w:r>
              <w:t xml:space="preserve"> w </w:t>
            </w:r>
            <w:proofErr w:type="spellStart"/>
            <w:r>
              <w:t>formule</w:t>
            </w:r>
            <w:proofErr w:type="spellEnd"/>
            <w:r>
              <w:t xml:space="preserve"> ZIT </w:t>
            </w:r>
            <w:proofErr w:type="spellStart"/>
            <w:r>
              <w:t>potwierdzono</w:t>
            </w:r>
            <w:proofErr w:type="spellEnd"/>
            <w:r>
              <w:t xml:space="preserve"> </w:t>
            </w:r>
            <w:proofErr w:type="spellStart"/>
            <w:r>
              <w:t>występowanie</w:t>
            </w:r>
            <w:proofErr w:type="spellEnd"/>
            <w:r>
              <w:t xml:space="preserve"> </w:t>
            </w:r>
            <w:proofErr w:type="spellStart"/>
            <w:r>
              <w:t>komplementarności</w:t>
            </w:r>
            <w:proofErr w:type="spellEnd"/>
            <w:r>
              <w:t xml:space="preserve">, </w:t>
            </w:r>
            <w:proofErr w:type="spellStart"/>
            <w:r>
              <w:t>głównie</w:t>
            </w:r>
            <w:proofErr w:type="spellEnd"/>
            <w:r>
              <w:t xml:space="preserve"> w </w:t>
            </w:r>
            <w:proofErr w:type="spellStart"/>
            <w:r>
              <w:t>ramach</w:t>
            </w:r>
            <w:proofErr w:type="spellEnd"/>
            <w:r>
              <w:t xml:space="preserve"> </w:t>
            </w:r>
            <w:proofErr w:type="spellStart"/>
            <w:r>
              <w:t>projektów</w:t>
            </w:r>
            <w:proofErr w:type="spellEnd"/>
            <w:r>
              <w:t xml:space="preserve"> </w:t>
            </w:r>
            <w:proofErr w:type="spellStart"/>
            <w:r>
              <w:t>zbieżnych</w:t>
            </w:r>
            <w:proofErr w:type="spellEnd"/>
            <w:r>
              <w:t xml:space="preserve"> </w:t>
            </w:r>
            <w:proofErr w:type="spellStart"/>
            <w:r>
              <w:t>tematycznie</w:t>
            </w:r>
            <w:proofErr w:type="spellEnd"/>
            <w:r>
              <w:t xml:space="preserve"> w </w:t>
            </w:r>
            <w:proofErr w:type="spellStart"/>
            <w:r>
              <w:t>obrębie</w:t>
            </w:r>
            <w:proofErr w:type="spellEnd"/>
            <w:r>
              <w:t xml:space="preserve"> </w:t>
            </w:r>
            <w:proofErr w:type="spellStart"/>
            <w:r>
              <w:t>poszczególnych</w:t>
            </w:r>
            <w:proofErr w:type="spellEnd"/>
            <w:r>
              <w:t xml:space="preserve"> </w:t>
            </w:r>
            <w:proofErr w:type="spellStart"/>
            <w:r>
              <w:t>gmin</w:t>
            </w:r>
            <w:proofErr w:type="spellEnd"/>
            <w:r>
              <w:t xml:space="preserve">. </w:t>
            </w:r>
            <w:proofErr w:type="spellStart"/>
            <w:r>
              <w:t>Nieliczne</w:t>
            </w:r>
            <w:proofErr w:type="spellEnd"/>
            <w:r>
              <w:t xml:space="preserve"> </w:t>
            </w:r>
            <w:proofErr w:type="spellStart"/>
            <w:r>
              <w:t>projekty</w:t>
            </w:r>
            <w:proofErr w:type="spellEnd"/>
            <w:r>
              <w:t xml:space="preserve"> </w:t>
            </w:r>
            <w:proofErr w:type="spellStart"/>
            <w:r>
              <w:t>są</w:t>
            </w:r>
            <w:proofErr w:type="spellEnd"/>
            <w:r>
              <w:t xml:space="preserve"> </w:t>
            </w:r>
            <w:proofErr w:type="spellStart"/>
            <w:r>
              <w:t>wdrażane</w:t>
            </w:r>
            <w:proofErr w:type="spellEnd"/>
            <w:r>
              <w:t xml:space="preserve"> w </w:t>
            </w:r>
            <w:proofErr w:type="spellStart"/>
            <w:r>
              <w:t>formule</w:t>
            </w:r>
            <w:proofErr w:type="spellEnd"/>
            <w:r>
              <w:t xml:space="preserve"> </w:t>
            </w:r>
            <w:proofErr w:type="spellStart"/>
            <w:r>
              <w:t>partnerskiej</w:t>
            </w:r>
            <w:proofErr w:type="spellEnd"/>
            <w:r>
              <w:t xml:space="preserve"> i </w:t>
            </w:r>
            <w:proofErr w:type="spellStart"/>
            <w:r>
              <w:t>występują</w:t>
            </w:r>
            <w:proofErr w:type="spellEnd"/>
            <w:r>
              <w:t xml:space="preserve"> one </w:t>
            </w:r>
            <w:proofErr w:type="spellStart"/>
            <w:r>
              <w:t>jedynie</w:t>
            </w:r>
            <w:proofErr w:type="spellEnd"/>
            <w:r>
              <w:t xml:space="preserve"> w </w:t>
            </w:r>
            <w:proofErr w:type="spellStart"/>
            <w:r>
              <w:t>ramach</w:t>
            </w:r>
            <w:proofErr w:type="spellEnd"/>
            <w:r>
              <w:t xml:space="preserve"> EFS, </w:t>
            </w:r>
            <w:proofErr w:type="spellStart"/>
            <w:r>
              <w:t>gdzie</w:t>
            </w:r>
            <w:proofErr w:type="spellEnd"/>
            <w:r>
              <w:t xml:space="preserve"> </w:t>
            </w:r>
            <w:proofErr w:type="spellStart"/>
            <w:r>
              <w:t>zawiązywanie</w:t>
            </w:r>
            <w:proofErr w:type="spellEnd"/>
            <w:r>
              <w:t xml:space="preserve"> </w:t>
            </w:r>
            <w:proofErr w:type="spellStart"/>
            <w:r>
              <w:t>partnerstw</w:t>
            </w:r>
            <w:proofErr w:type="spellEnd"/>
            <w:r>
              <w:t xml:space="preserve"> </w:t>
            </w:r>
            <w:proofErr w:type="spellStart"/>
            <w:r>
              <w:t>premiuje</w:t>
            </w:r>
            <w:proofErr w:type="spellEnd"/>
            <w:r>
              <w:t xml:space="preserve"> </w:t>
            </w:r>
            <w:proofErr w:type="spellStart"/>
            <w:r>
              <w:t>się</w:t>
            </w:r>
            <w:proofErr w:type="spellEnd"/>
            <w:r>
              <w:t xml:space="preserve"> </w:t>
            </w:r>
            <w:proofErr w:type="spellStart"/>
            <w:r>
              <w:t>na</w:t>
            </w:r>
            <w:proofErr w:type="spellEnd"/>
            <w:r>
              <w:t xml:space="preserve"> </w:t>
            </w:r>
            <w:proofErr w:type="spellStart"/>
            <w:r>
              <w:t>etapie</w:t>
            </w:r>
            <w:proofErr w:type="spellEnd"/>
            <w:r>
              <w:t xml:space="preserve"> </w:t>
            </w:r>
            <w:proofErr w:type="spellStart"/>
            <w:r>
              <w:t>oceny</w:t>
            </w:r>
            <w:proofErr w:type="spellEnd"/>
            <w:r>
              <w:t xml:space="preserve"> </w:t>
            </w:r>
            <w:proofErr w:type="spellStart"/>
            <w:r>
              <w:t>wniosków</w:t>
            </w:r>
            <w:proofErr w:type="spellEnd"/>
            <w:r>
              <w:t xml:space="preserve"> o </w:t>
            </w:r>
            <w:proofErr w:type="spellStart"/>
            <w:r>
              <w:t>dofinansowanie</w:t>
            </w:r>
            <w:proofErr w:type="spellEnd"/>
            <w:r>
              <w:t xml:space="preserve">. </w:t>
            </w:r>
            <w:proofErr w:type="spellStart"/>
            <w:r>
              <w:t>Formy</w:t>
            </w:r>
            <w:proofErr w:type="spellEnd"/>
            <w:r>
              <w:t xml:space="preserve"> </w:t>
            </w:r>
            <w:proofErr w:type="spellStart"/>
            <w:r>
              <w:t>organizacyjne</w:t>
            </w:r>
            <w:proofErr w:type="spellEnd"/>
            <w:r>
              <w:t xml:space="preserve"> </w:t>
            </w:r>
            <w:proofErr w:type="spellStart"/>
            <w:r>
              <w:t>powołane</w:t>
            </w:r>
            <w:proofErr w:type="spellEnd"/>
            <w:r>
              <w:t xml:space="preserve"> </w:t>
            </w:r>
            <w:proofErr w:type="spellStart"/>
            <w:r>
              <w:t>na</w:t>
            </w:r>
            <w:proofErr w:type="spellEnd"/>
            <w:r>
              <w:t xml:space="preserve"> </w:t>
            </w:r>
            <w:proofErr w:type="spellStart"/>
            <w:r>
              <w:t>mocy</w:t>
            </w:r>
            <w:proofErr w:type="spellEnd"/>
            <w:r>
              <w:t xml:space="preserve"> </w:t>
            </w:r>
            <w:proofErr w:type="spellStart"/>
            <w:r>
              <w:t>porozumienia</w:t>
            </w:r>
            <w:proofErr w:type="spellEnd"/>
            <w:r>
              <w:t xml:space="preserve"> </w:t>
            </w:r>
            <w:proofErr w:type="spellStart"/>
            <w:r>
              <w:t>pozwalają</w:t>
            </w:r>
            <w:proofErr w:type="spellEnd"/>
            <w:r>
              <w:t xml:space="preserve"> </w:t>
            </w:r>
            <w:proofErr w:type="spellStart"/>
            <w:r>
              <w:t>na</w:t>
            </w:r>
            <w:proofErr w:type="spellEnd"/>
            <w:r>
              <w:t xml:space="preserve"> </w:t>
            </w:r>
            <w:proofErr w:type="spellStart"/>
            <w:r>
              <w:t>realizację</w:t>
            </w:r>
            <w:proofErr w:type="spellEnd"/>
            <w:r>
              <w:t xml:space="preserve"> </w:t>
            </w:r>
            <w:proofErr w:type="spellStart"/>
            <w:r>
              <w:t>zadań</w:t>
            </w:r>
            <w:proofErr w:type="spellEnd"/>
            <w:r>
              <w:t xml:space="preserve"> i </w:t>
            </w:r>
            <w:proofErr w:type="spellStart"/>
            <w:r>
              <w:t>obowiązków</w:t>
            </w:r>
            <w:proofErr w:type="spellEnd"/>
            <w:r>
              <w:t xml:space="preserve"> </w:t>
            </w:r>
            <w:proofErr w:type="spellStart"/>
            <w:r>
              <w:t>stawianych</w:t>
            </w:r>
            <w:proofErr w:type="spellEnd"/>
            <w:r>
              <w:t xml:space="preserve"> </w:t>
            </w:r>
            <w:proofErr w:type="spellStart"/>
            <w:r>
              <w:t>przed</w:t>
            </w:r>
            <w:proofErr w:type="spellEnd"/>
            <w:r>
              <w:t xml:space="preserve"> ZIT.</w:t>
            </w:r>
          </w:p>
          <w:p w14:paraId="0E957F8E" w14:textId="77777777" w:rsidR="006B2EC1" w:rsidRDefault="00E82A60">
            <w:pPr>
              <w:spacing w:before="240" w:after="240"/>
              <w:jc w:val="left"/>
            </w:pPr>
            <w:proofErr w:type="spellStart"/>
            <w:r>
              <w:rPr>
                <w:b/>
                <w:bCs/>
              </w:rPr>
              <w:t>Badania</w:t>
            </w:r>
            <w:proofErr w:type="spellEnd"/>
            <w:r>
              <w:rPr>
                <w:b/>
                <w:bCs/>
              </w:rPr>
              <w:t xml:space="preserve"> </w:t>
            </w:r>
            <w:proofErr w:type="spellStart"/>
            <w:r>
              <w:rPr>
                <w:b/>
                <w:bCs/>
              </w:rPr>
              <w:t>przeprowadzone</w:t>
            </w:r>
            <w:proofErr w:type="spellEnd"/>
            <w:r>
              <w:rPr>
                <w:b/>
                <w:bCs/>
              </w:rPr>
              <w:t xml:space="preserve"> w </w:t>
            </w:r>
            <w:proofErr w:type="spellStart"/>
            <w:r>
              <w:rPr>
                <w:b/>
                <w:bCs/>
              </w:rPr>
              <w:t>latach</w:t>
            </w:r>
            <w:proofErr w:type="spellEnd"/>
            <w:r>
              <w:rPr>
                <w:b/>
                <w:bCs/>
              </w:rPr>
              <w:t xml:space="preserve"> </w:t>
            </w:r>
            <w:proofErr w:type="spellStart"/>
            <w:r>
              <w:rPr>
                <w:b/>
                <w:bCs/>
              </w:rPr>
              <w:t>poprzednich</w:t>
            </w:r>
            <w:proofErr w:type="spellEnd"/>
            <w:r>
              <w:rPr>
                <w:b/>
                <w:bCs/>
              </w:rPr>
              <w:t xml:space="preserve"> :</w:t>
            </w:r>
          </w:p>
          <w:p w14:paraId="184B184C" w14:textId="77777777" w:rsidR="006B2EC1" w:rsidRDefault="00E82A60">
            <w:pPr>
              <w:spacing w:before="240" w:after="240"/>
              <w:jc w:val="left"/>
            </w:pPr>
            <w:r>
              <w:rPr>
                <w:b/>
                <w:bCs/>
              </w:rPr>
              <w:t>W 2017 r</w:t>
            </w:r>
            <w:r>
              <w:t>.:</w:t>
            </w:r>
          </w:p>
          <w:p w14:paraId="13EFC772" w14:textId="77777777" w:rsidR="006B2EC1" w:rsidRDefault="00E82A60" w:rsidP="00E82A60">
            <w:pPr>
              <w:numPr>
                <w:ilvl w:val="0"/>
                <w:numId w:val="45"/>
              </w:numPr>
              <w:spacing w:before="240" w:after="240"/>
              <w:ind w:hanging="280"/>
              <w:jc w:val="left"/>
            </w:pPr>
            <w:proofErr w:type="spellStart"/>
            <w:r>
              <w:rPr>
                <w:i/>
                <w:iCs/>
              </w:rPr>
              <w:t>Ewaluacja</w:t>
            </w:r>
            <w:proofErr w:type="spellEnd"/>
            <w:r>
              <w:rPr>
                <w:i/>
                <w:iCs/>
              </w:rPr>
              <w:t xml:space="preserve"> </w:t>
            </w:r>
            <w:proofErr w:type="spellStart"/>
            <w:r>
              <w:rPr>
                <w:i/>
                <w:iCs/>
              </w:rPr>
              <w:t>Strategii</w:t>
            </w:r>
            <w:proofErr w:type="spellEnd"/>
            <w:r>
              <w:rPr>
                <w:i/>
                <w:iCs/>
              </w:rPr>
              <w:t xml:space="preserve"> Rozwoju </w:t>
            </w:r>
            <w:proofErr w:type="spellStart"/>
            <w:r>
              <w:rPr>
                <w:i/>
                <w:iCs/>
              </w:rPr>
              <w:t>Województwa</w:t>
            </w:r>
            <w:proofErr w:type="spellEnd"/>
            <w:r>
              <w:rPr>
                <w:i/>
                <w:iCs/>
              </w:rPr>
              <w:t xml:space="preserve"> Świętokrzyskiego do </w:t>
            </w:r>
            <w:proofErr w:type="spellStart"/>
            <w:r>
              <w:rPr>
                <w:i/>
                <w:iCs/>
              </w:rPr>
              <w:t>roku</w:t>
            </w:r>
            <w:proofErr w:type="spellEnd"/>
            <w:r>
              <w:rPr>
                <w:i/>
                <w:iCs/>
              </w:rPr>
              <w:t xml:space="preserve"> 2020 w </w:t>
            </w:r>
            <w:proofErr w:type="spellStart"/>
            <w:r>
              <w:rPr>
                <w:i/>
                <w:iCs/>
              </w:rPr>
              <w:t>kontekście</w:t>
            </w:r>
            <w:proofErr w:type="spellEnd"/>
            <w:r>
              <w:rPr>
                <w:i/>
                <w:iCs/>
              </w:rPr>
              <w:t xml:space="preserve"> </w:t>
            </w:r>
            <w:proofErr w:type="spellStart"/>
            <w:r>
              <w:rPr>
                <w:i/>
                <w:iCs/>
              </w:rPr>
              <w:t>wpływu</w:t>
            </w:r>
            <w:proofErr w:type="spellEnd"/>
            <w:r>
              <w:rPr>
                <w:i/>
                <w:iCs/>
              </w:rPr>
              <w:t xml:space="preserve"> RPOWŚ </w:t>
            </w:r>
            <w:proofErr w:type="spellStart"/>
            <w:r>
              <w:rPr>
                <w:i/>
                <w:iCs/>
              </w:rPr>
              <w:t>na</w:t>
            </w:r>
            <w:proofErr w:type="spellEnd"/>
            <w:r>
              <w:rPr>
                <w:i/>
                <w:iCs/>
              </w:rPr>
              <w:t xml:space="preserve"> </w:t>
            </w:r>
            <w:proofErr w:type="spellStart"/>
            <w:r>
              <w:rPr>
                <w:i/>
                <w:iCs/>
              </w:rPr>
              <w:t>lata</w:t>
            </w:r>
            <w:proofErr w:type="spellEnd"/>
            <w:r>
              <w:rPr>
                <w:i/>
                <w:iCs/>
              </w:rPr>
              <w:t xml:space="preserve"> 2014-2020 </w:t>
            </w:r>
            <w:proofErr w:type="spellStart"/>
            <w:r>
              <w:rPr>
                <w:i/>
                <w:iCs/>
              </w:rPr>
              <w:t>na</w:t>
            </w:r>
            <w:proofErr w:type="spellEnd"/>
            <w:r>
              <w:rPr>
                <w:i/>
                <w:iCs/>
              </w:rPr>
              <w:t xml:space="preserve"> </w:t>
            </w:r>
            <w:proofErr w:type="spellStart"/>
            <w:r>
              <w:rPr>
                <w:i/>
                <w:iCs/>
              </w:rPr>
              <w:t>realizację</w:t>
            </w:r>
            <w:proofErr w:type="spellEnd"/>
            <w:r>
              <w:rPr>
                <w:i/>
                <w:iCs/>
              </w:rPr>
              <w:t xml:space="preserve"> </w:t>
            </w:r>
            <w:proofErr w:type="spellStart"/>
            <w:r>
              <w:rPr>
                <w:i/>
                <w:iCs/>
              </w:rPr>
              <w:t>jej</w:t>
            </w:r>
            <w:proofErr w:type="spellEnd"/>
            <w:r>
              <w:rPr>
                <w:i/>
                <w:iCs/>
              </w:rPr>
              <w:t xml:space="preserve"> </w:t>
            </w:r>
            <w:proofErr w:type="spellStart"/>
            <w:r>
              <w:rPr>
                <w:i/>
                <w:iCs/>
              </w:rPr>
              <w:t>celów</w:t>
            </w:r>
            <w:proofErr w:type="spellEnd"/>
            <w:r>
              <w:t xml:space="preserve"> - </w:t>
            </w:r>
            <w:proofErr w:type="spellStart"/>
            <w:r>
              <w:t>realizacja</w:t>
            </w:r>
            <w:proofErr w:type="spellEnd"/>
            <w:r>
              <w:t>  16.10-20.12.2017.</w:t>
            </w:r>
          </w:p>
          <w:p w14:paraId="70C31DDA" w14:textId="77777777" w:rsidR="006B2EC1" w:rsidRDefault="00E82A60">
            <w:pPr>
              <w:spacing w:before="240" w:after="240"/>
              <w:jc w:val="left"/>
            </w:pPr>
            <w:r>
              <w:rPr>
                <w:b/>
                <w:bCs/>
              </w:rPr>
              <w:t>W 2016 r</w:t>
            </w:r>
            <w:r>
              <w:t>.:</w:t>
            </w:r>
          </w:p>
          <w:p w14:paraId="085D324E" w14:textId="77777777" w:rsidR="006B2EC1" w:rsidRDefault="00E82A60" w:rsidP="00E82A60">
            <w:pPr>
              <w:numPr>
                <w:ilvl w:val="0"/>
                <w:numId w:val="46"/>
              </w:numPr>
              <w:spacing w:before="240" w:after="0"/>
              <w:ind w:hanging="280"/>
              <w:jc w:val="left"/>
            </w:pPr>
            <w:proofErr w:type="spellStart"/>
            <w:r>
              <w:rPr>
                <w:i/>
                <w:iCs/>
              </w:rPr>
              <w:t>Ewaluacja</w:t>
            </w:r>
            <w:proofErr w:type="spellEnd"/>
            <w:r>
              <w:rPr>
                <w:i/>
                <w:iCs/>
              </w:rPr>
              <w:t xml:space="preserve"> </w:t>
            </w:r>
            <w:proofErr w:type="spellStart"/>
            <w:r>
              <w:rPr>
                <w:i/>
                <w:iCs/>
              </w:rPr>
              <w:t>bieżąca</w:t>
            </w:r>
            <w:proofErr w:type="spellEnd"/>
            <w:r>
              <w:rPr>
                <w:i/>
                <w:iCs/>
              </w:rPr>
              <w:t xml:space="preserve">  </w:t>
            </w:r>
            <w:proofErr w:type="spellStart"/>
            <w:r>
              <w:rPr>
                <w:i/>
                <w:iCs/>
              </w:rPr>
              <w:t>kryteriów</w:t>
            </w:r>
            <w:proofErr w:type="spellEnd"/>
            <w:r>
              <w:rPr>
                <w:i/>
                <w:iCs/>
              </w:rPr>
              <w:t xml:space="preserve"> i </w:t>
            </w:r>
            <w:proofErr w:type="spellStart"/>
            <w:r>
              <w:rPr>
                <w:i/>
                <w:iCs/>
              </w:rPr>
              <w:t>systemu</w:t>
            </w:r>
            <w:proofErr w:type="spellEnd"/>
            <w:r>
              <w:rPr>
                <w:i/>
                <w:iCs/>
              </w:rPr>
              <w:t xml:space="preserve"> </w:t>
            </w:r>
            <w:proofErr w:type="spellStart"/>
            <w:r>
              <w:rPr>
                <w:i/>
                <w:iCs/>
              </w:rPr>
              <w:t>wyboru</w:t>
            </w:r>
            <w:proofErr w:type="spellEnd"/>
            <w:r>
              <w:rPr>
                <w:i/>
                <w:iCs/>
              </w:rPr>
              <w:t xml:space="preserve"> </w:t>
            </w:r>
            <w:proofErr w:type="spellStart"/>
            <w:r>
              <w:rPr>
                <w:i/>
                <w:iCs/>
              </w:rPr>
              <w:t>projektów</w:t>
            </w:r>
            <w:proofErr w:type="spellEnd"/>
            <w:r>
              <w:rPr>
                <w:i/>
                <w:iCs/>
              </w:rPr>
              <w:t xml:space="preserve"> RPOWŚ </w:t>
            </w:r>
            <w:proofErr w:type="spellStart"/>
            <w:r>
              <w:rPr>
                <w:i/>
                <w:iCs/>
              </w:rPr>
              <w:t>na</w:t>
            </w:r>
            <w:proofErr w:type="spellEnd"/>
            <w:r>
              <w:rPr>
                <w:i/>
                <w:iCs/>
              </w:rPr>
              <w:t xml:space="preserve"> </w:t>
            </w:r>
            <w:proofErr w:type="spellStart"/>
            <w:r>
              <w:rPr>
                <w:i/>
                <w:iCs/>
              </w:rPr>
              <w:t>lata</w:t>
            </w:r>
            <w:proofErr w:type="spellEnd"/>
            <w:r>
              <w:rPr>
                <w:i/>
                <w:iCs/>
              </w:rPr>
              <w:t xml:space="preserve"> 2014-2020</w:t>
            </w:r>
            <w:r>
              <w:t xml:space="preserve"> - </w:t>
            </w:r>
            <w:proofErr w:type="spellStart"/>
            <w:r>
              <w:t>realizacja</w:t>
            </w:r>
            <w:proofErr w:type="spellEnd"/>
            <w:r>
              <w:t>  18.08-29.12016</w:t>
            </w:r>
          </w:p>
          <w:p w14:paraId="7A5F826B" w14:textId="77777777" w:rsidR="006B2EC1" w:rsidRDefault="00E82A60" w:rsidP="00E82A60">
            <w:pPr>
              <w:numPr>
                <w:ilvl w:val="0"/>
                <w:numId w:val="46"/>
              </w:numPr>
              <w:spacing w:before="0" w:after="240"/>
              <w:ind w:hanging="280"/>
              <w:jc w:val="left"/>
            </w:pPr>
            <w:proofErr w:type="spellStart"/>
            <w:r>
              <w:rPr>
                <w:i/>
                <w:iCs/>
              </w:rPr>
              <w:t>Ewaluacja</w:t>
            </w:r>
            <w:proofErr w:type="spellEnd"/>
            <w:r>
              <w:rPr>
                <w:i/>
                <w:iCs/>
              </w:rPr>
              <w:t xml:space="preserve"> on-going </w:t>
            </w:r>
            <w:proofErr w:type="spellStart"/>
            <w:r>
              <w:rPr>
                <w:i/>
                <w:iCs/>
              </w:rPr>
              <w:t>systemu</w:t>
            </w:r>
            <w:proofErr w:type="spellEnd"/>
            <w:r>
              <w:rPr>
                <w:i/>
                <w:iCs/>
              </w:rPr>
              <w:t xml:space="preserve"> </w:t>
            </w:r>
            <w:proofErr w:type="spellStart"/>
            <w:r>
              <w:rPr>
                <w:i/>
                <w:iCs/>
              </w:rPr>
              <w:t>wdrażania</w:t>
            </w:r>
            <w:proofErr w:type="spellEnd"/>
            <w:r>
              <w:rPr>
                <w:i/>
                <w:iCs/>
              </w:rPr>
              <w:t xml:space="preserve"> i </w:t>
            </w:r>
            <w:proofErr w:type="spellStart"/>
            <w:r>
              <w:rPr>
                <w:i/>
                <w:iCs/>
              </w:rPr>
              <w:t>zarządzania</w:t>
            </w:r>
            <w:proofErr w:type="spellEnd"/>
            <w:r>
              <w:rPr>
                <w:i/>
                <w:iCs/>
              </w:rPr>
              <w:t xml:space="preserve"> RPOWŚ 2014-2020 </w:t>
            </w:r>
            <w:r>
              <w:t xml:space="preserve">- </w:t>
            </w:r>
            <w:proofErr w:type="spellStart"/>
            <w:r>
              <w:t>realizacja</w:t>
            </w:r>
            <w:proofErr w:type="spellEnd"/>
            <w:r>
              <w:t xml:space="preserve"> 29.09-21.12.2016.</w:t>
            </w:r>
          </w:p>
          <w:p w14:paraId="3D1B49E4" w14:textId="77777777" w:rsidR="006B2EC1" w:rsidRDefault="00E82A60">
            <w:pPr>
              <w:spacing w:before="240" w:after="240"/>
              <w:jc w:val="left"/>
            </w:pPr>
            <w:r>
              <w:rPr>
                <w:b/>
                <w:bCs/>
              </w:rPr>
              <w:t>W 2015</w:t>
            </w:r>
            <w:r>
              <w:t xml:space="preserve"> r. </w:t>
            </w:r>
            <w:proofErr w:type="spellStart"/>
            <w:r>
              <w:t>zrealizowano</w:t>
            </w:r>
            <w:proofErr w:type="spellEnd"/>
            <w:r>
              <w:t xml:space="preserve"> </w:t>
            </w:r>
            <w:proofErr w:type="spellStart"/>
            <w:r>
              <w:t>Badanie</w:t>
            </w:r>
            <w:proofErr w:type="spellEnd"/>
            <w:r>
              <w:t xml:space="preserve"> </w:t>
            </w:r>
            <w:proofErr w:type="spellStart"/>
            <w:r>
              <w:rPr>
                <w:i/>
                <w:iCs/>
              </w:rPr>
              <w:t>Ocena</w:t>
            </w:r>
            <w:proofErr w:type="spellEnd"/>
            <w:r>
              <w:rPr>
                <w:i/>
                <w:iCs/>
              </w:rPr>
              <w:t xml:space="preserve"> ex-ante </w:t>
            </w:r>
            <w:proofErr w:type="spellStart"/>
            <w:r>
              <w:rPr>
                <w:i/>
                <w:iCs/>
              </w:rPr>
              <w:t>instrumentów</w:t>
            </w:r>
            <w:proofErr w:type="spellEnd"/>
            <w:r>
              <w:rPr>
                <w:i/>
                <w:iCs/>
              </w:rPr>
              <w:t xml:space="preserve"> </w:t>
            </w:r>
            <w:proofErr w:type="spellStart"/>
            <w:r>
              <w:rPr>
                <w:i/>
                <w:iCs/>
              </w:rPr>
              <w:t>finansowych</w:t>
            </w:r>
            <w:proofErr w:type="spellEnd"/>
            <w:r>
              <w:t xml:space="preserve"> RPOWŚ.</w:t>
            </w:r>
          </w:p>
          <w:p w14:paraId="5AEE95F4" w14:textId="77777777" w:rsidR="006B2EC1" w:rsidRDefault="00E82A60">
            <w:pPr>
              <w:spacing w:before="240" w:after="240"/>
              <w:jc w:val="left"/>
            </w:pPr>
            <w:proofErr w:type="spellStart"/>
            <w:r>
              <w:t>Dla</w:t>
            </w:r>
            <w:proofErr w:type="spellEnd"/>
            <w:r>
              <w:t xml:space="preserve"> RPOWŚ </w:t>
            </w:r>
            <w:proofErr w:type="spellStart"/>
            <w:r>
              <w:t>prowadzona</w:t>
            </w:r>
            <w:proofErr w:type="spellEnd"/>
            <w:r>
              <w:t xml:space="preserve"> jest </w:t>
            </w:r>
            <w:proofErr w:type="spellStart"/>
            <w:r>
              <w:t>strona</w:t>
            </w:r>
            <w:proofErr w:type="spellEnd"/>
            <w:r>
              <w:t xml:space="preserve"> </w:t>
            </w:r>
            <w:proofErr w:type="spellStart"/>
            <w:r>
              <w:t>internetowa</w:t>
            </w:r>
            <w:proofErr w:type="spellEnd"/>
            <w:r>
              <w:t xml:space="preserve"> z </w:t>
            </w:r>
            <w:proofErr w:type="spellStart"/>
            <w:r>
              <w:t>oddzielną</w:t>
            </w:r>
            <w:proofErr w:type="spellEnd"/>
            <w:r>
              <w:t xml:space="preserve"> </w:t>
            </w:r>
            <w:proofErr w:type="spellStart"/>
            <w:r>
              <w:t>zakładką</w:t>
            </w:r>
            <w:proofErr w:type="spellEnd"/>
            <w:r>
              <w:t xml:space="preserve"> </w:t>
            </w:r>
            <w:proofErr w:type="spellStart"/>
            <w:r>
              <w:t>dedykowaną</w:t>
            </w:r>
            <w:proofErr w:type="spellEnd"/>
            <w:r>
              <w:t xml:space="preserve"> </w:t>
            </w:r>
            <w:proofErr w:type="spellStart"/>
            <w:r>
              <w:t>ewaluacji</w:t>
            </w:r>
            <w:proofErr w:type="spellEnd"/>
            <w:r>
              <w:t xml:space="preserve"> RPOWŚ. Na </w:t>
            </w:r>
            <w:proofErr w:type="spellStart"/>
            <w:r>
              <w:t>stronie</w:t>
            </w:r>
            <w:proofErr w:type="spellEnd"/>
            <w:r>
              <w:t xml:space="preserve"> </w:t>
            </w:r>
            <w:proofErr w:type="spellStart"/>
            <w:r>
              <w:t>publikowane</w:t>
            </w:r>
            <w:proofErr w:type="spellEnd"/>
            <w:r>
              <w:t xml:space="preserve"> </w:t>
            </w:r>
            <w:proofErr w:type="spellStart"/>
            <w:r>
              <w:t>są</w:t>
            </w:r>
            <w:proofErr w:type="spellEnd"/>
            <w:r>
              <w:t xml:space="preserve"> </w:t>
            </w:r>
            <w:proofErr w:type="spellStart"/>
            <w:r>
              <w:t>opracowania</w:t>
            </w:r>
            <w:proofErr w:type="spellEnd"/>
            <w:r>
              <w:t xml:space="preserve">, </w:t>
            </w:r>
            <w:proofErr w:type="spellStart"/>
            <w:r>
              <w:t>wyniki</w:t>
            </w:r>
            <w:proofErr w:type="spellEnd"/>
            <w:r>
              <w:t xml:space="preserve"> </w:t>
            </w:r>
            <w:proofErr w:type="spellStart"/>
            <w:r>
              <w:t>analiz</w:t>
            </w:r>
            <w:proofErr w:type="spellEnd"/>
            <w:r>
              <w:t xml:space="preserve"> </w:t>
            </w:r>
            <w:proofErr w:type="spellStart"/>
            <w:r>
              <w:t>oraz</w:t>
            </w:r>
            <w:proofErr w:type="spellEnd"/>
            <w:r>
              <w:t xml:space="preserve"> </w:t>
            </w:r>
            <w:proofErr w:type="spellStart"/>
            <w:r>
              <w:t>badań</w:t>
            </w:r>
            <w:proofErr w:type="spellEnd"/>
            <w:r>
              <w:t xml:space="preserve"> </w:t>
            </w:r>
            <w:proofErr w:type="spellStart"/>
            <w:r>
              <w:t>ewaluacyjnych</w:t>
            </w:r>
            <w:proofErr w:type="spellEnd"/>
            <w:r>
              <w:t xml:space="preserve"> </w:t>
            </w:r>
            <w:proofErr w:type="spellStart"/>
            <w:r>
              <w:t>dotyczących</w:t>
            </w:r>
            <w:proofErr w:type="spellEnd"/>
            <w:r>
              <w:t xml:space="preserve"> </w:t>
            </w:r>
            <w:proofErr w:type="spellStart"/>
            <w:r>
              <w:t>Programu</w:t>
            </w:r>
            <w:proofErr w:type="spellEnd"/>
            <w:r>
              <w:t>.  </w:t>
            </w:r>
          </w:p>
          <w:p w14:paraId="0DFBA196" w14:textId="77777777" w:rsidR="006B2EC1" w:rsidRDefault="00E82A60">
            <w:pPr>
              <w:spacing w:before="240" w:after="240"/>
              <w:jc w:val="left"/>
            </w:pPr>
            <w:r>
              <w:t xml:space="preserve">IZ RPOWŚ </w:t>
            </w:r>
            <w:proofErr w:type="spellStart"/>
            <w:r>
              <w:t>na</w:t>
            </w:r>
            <w:proofErr w:type="spellEnd"/>
            <w:r>
              <w:t xml:space="preserve"> </w:t>
            </w:r>
            <w:proofErr w:type="spellStart"/>
            <w:r>
              <w:t>bieżąco</w:t>
            </w:r>
            <w:proofErr w:type="spellEnd"/>
            <w:r>
              <w:t xml:space="preserve"> </w:t>
            </w:r>
            <w:proofErr w:type="spellStart"/>
            <w:r>
              <w:t>informuje</w:t>
            </w:r>
            <w:proofErr w:type="spellEnd"/>
            <w:r>
              <w:t xml:space="preserve"> </w:t>
            </w:r>
            <w:proofErr w:type="spellStart"/>
            <w:r>
              <w:t>przedstawicieli</w:t>
            </w:r>
            <w:proofErr w:type="spellEnd"/>
            <w:r>
              <w:t xml:space="preserve"> KM o </w:t>
            </w:r>
            <w:proofErr w:type="spellStart"/>
            <w:r>
              <w:t>wynikach</w:t>
            </w:r>
            <w:proofErr w:type="spellEnd"/>
            <w:r>
              <w:t xml:space="preserve"> </w:t>
            </w:r>
            <w:proofErr w:type="spellStart"/>
            <w:r>
              <w:t>realizowanych</w:t>
            </w:r>
            <w:proofErr w:type="spellEnd"/>
            <w:r>
              <w:t xml:space="preserve"> </w:t>
            </w:r>
            <w:proofErr w:type="spellStart"/>
            <w:r>
              <w:t>badań</w:t>
            </w:r>
            <w:proofErr w:type="spellEnd"/>
            <w:r>
              <w:t xml:space="preserve"> </w:t>
            </w:r>
            <w:proofErr w:type="spellStart"/>
            <w:r>
              <w:t>ewaluacyjnych</w:t>
            </w:r>
            <w:proofErr w:type="spellEnd"/>
            <w:r>
              <w:t xml:space="preserve"> i </w:t>
            </w:r>
            <w:proofErr w:type="spellStart"/>
            <w:r>
              <w:t>sformułowanych</w:t>
            </w:r>
            <w:proofErr w:type="spellEnd"/>
            <w:r>
              <w:t xml:space="preserve"> </w:t>
            </w:r>
            <w:proofErr w:type="spellStart"/>
            <w:r>
              <w:t>rekomendacjach</w:t>
            </w:r>
            <w:proofErr w:type="spellEnd"/>
            <w:r>
              <w:t xml:space="preserve">. W </w:t>
            </w:r>
            <w:proofErr w:type="spellStart"/>
            <w:r>
              <w:t>przygotowanie</w:t>
            </w:r>
            <w:proofErr w:type="spellEnd"/>
            <w:r>
              <w:t xml:space="preserve"> </w:t>
            </w:r>
            <w:proofErr w:type="spellStart"/>
            <w:r>
              <w:t>zakresu</w:t>
            </w:r>
            <w:proofErr w:type="spellEnd"/>
            <w:r>
              <w:t xml:space="preserve"> </w:t>
            </w:r>
            <w:proofErr w:type="spellStart"/>
            <w:r>
              <w:t>badań</w:t>
            </w:r>
            <w:proofErr w:type="spellEnd"/>
            <w:r>
              <w:t xml:space="preserve"> </w:t>
            </w:r>
            <w:proofErr w:type="spellStart"/>
            <w:r>
              <w:t>ewaluacyjnych</w:t>
            </w:r>
            <w:proofErr w:type="spellEnd"/>
            <w:r>
              <w:t xml:space="preserve">, </w:t>
            </w:r>
            <w:proofErr w:type="spellStart"/>
            <w:r>
              <w:t>akceptacji</w:t>
            </w:r>
            <w:proofErr w:type="spellEnd"/>
            <w:r>
              <w:br/>
              <w:t xml:space="preserve">i </w:t>
            </w:r>
            <w:proofErr w:type="spellStart"/>
            <w:r>
              <w:t>oceny</w:t>
            </w:r>
            <w:proofErr w:type="spellEnd"/>
            <w:r>
              <w:t xml:space="preserve"> </w:t>
            </w:r>
            <w:proofErr w:type="spellStart"/>
            <w:r>
              <w:t>raportów</w:t>
            </w:r>
            <w:proofErr w:type="spellEnd"/>
            <w:r>
              <w:t xml:space="preserve"> </w:t>
            </w:r>
            <w:proofErr w:type="spellStart"/>
            <w:r>
              <w:t>końcowych</w:t>
            </w:r>
            <w:proofErr w:type="spellEnd"/>
            <w:r>
              <w:t xml:space="preserve"> z </w:t>
            </w:r>
            <w:proofErr w:type="spellStart"/>
            <w:r>
              <w:t>przeprowadzonych</w:t>
            </w:r>
            <w:proofErr w:type="spellEnd"/>
            <w:r>
              <w:t xml:space="preserve"> </w:t>
            </w:r>
            <w:proofErr w:type="spellStart"/>
            <w:r>
              <w:t>analiz</w:t>
            </w:r>
            <w:proofErr w:type="spellEnd"/>
            <w:r>
              <w:t xml:space="preserve"> </w:t>
            </w:r>
            <w:proofErr w:type="spellStart"/>
            <w:r>
              <w:t>zaangażowana</w:t>
            </w:r>
            <w:proofErr w:type="spellEnd"/>
            <w:r>
              <w:t xml:space="preserve"> jest </w:t>
            </w:r>
            <w:proofErr w:type="spellStart"/>
            <w:r>
              <w:t>Grupa</w:t>
            </w:r>
            <w:proofErr w:type="spellEnd"/>
            <w:r>
              <w:t xml:space="preserve"> </w:t>
            </w:r>
            <w:proofErr w:type="spellStart"/>
            <w:r>
              <w:t>Sterująca</w:t>
            </w:r>
            <w:proofErr w:type="spellEnd"/>
            <w:r>
              <w:t xml:space="preserve"> </w:t>
            </w:r>
            <w:proofErr w:type="spellStart"/>
            <w:r>
              <w:t>Ewaluacją</w:t>
            </w:r>
            <w:proofErr w:type="spellEnd"/>
            <w:r>
              <w:t xml:space="preserve"> RPOWŚ.</w:t>
            </w:r>
          </w:p>
          <w:p w14:paraId="0972B935" w14:textId="77777777" w:rsidR="008C5CFA" w:rsidRPr="003D4F6D" w:rsidRDefault="008C5CFA" w:rsidP="00300A01">
            <w:pPr>
              <w:pStyle w:val="Text1"/>
              <w:spacing w:before="0" w:after="0"/>
              <w:ind w:left="0"/>
              <w:rPr>
                <w:lang w:val="fr-BE"/>
              </w:rPr>
            </w:pPr>
          </w:p>
        </w:tc>
      </w:tr>
    </w:tbl>
    <w:p w14:paraId="286078D2" w14:textId="77777777" w:rsidR="00D61A92" w:rsidRDefault="00D61A92" w:rsidP="00300A01">
      <w:pPr>
        <w:spacing w:before="0" w:after="0"/>
        <w:rPr>
          <w:lang w:val="fr-BE"/>
        </w:rPr>
      </w:pPr>
    </w:p>
    <w:p w14:paraId="1807D8F9" w14:textId="77777777" w:rsidR="00D61A92" w:rsidRDefault="00D61A92" w:rsidP="00300A01">
      <w:pPr>
        <w:spacing w:before="0" w:after="0"/>
        <w:rPr>
          <w:lang w:val="fr-BE"/>
        </w:rPr>
        <w:sectPr w:rsidR="00D61A92" w:rsidSect="0047688D">
          <w:headerReference w:type="default" r:id="rId16"/>
          <w:footerReference w:type="default" r:id="rId17"/>
          <w:headerReference w:type="first" r:id="rId18"/>
          <w:footerReference w:type="first" r:id="rId19"/>
          <w:pgSz w:w="11906" w:h="16838"/>
          <w:pgMar w:top="567" w:right="510" w:bottom="284" w:left="1134" w:header="709" w:footer="709" w:gutter="0"/>
          <w:cols w:space="708"/>
          <w:docGrid w:linePitch="360"/>
        </w:sectPr>
      </w:pPr>
    </w:p>
    <w:p w14:paraId="001B8348" w14:textId="77777777" w:rsidR="000C0FEB" w:rsidRDefault="000C0FEB" w:rsidP="00D9190F">
      <w:pPr>
        <w:spacing w:before="0" w:after="0"/>
        <w:jc w:val="left"/>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7"/>
        <w:gridCol w:w="803"/>
        <w:gridCol w:w="810"/>
        <w:gridCol w:w="552"/>
        <w:gridCol w:w="809"/>
        <w:gridCol w:w="551"/>
        <w:gridCol w:w="838"/>
        <w:gridCol w:w="1005"/>
        <w:gridCol w:w="4438"/>
        <w:gridCol w:w="3907"/>
      </w:tblGrid>
      <w:tr w:rsidR="006B2EC1" w14:paraId="0CF49488" w14:textId="77777777" w:rsidTr="00776DD9">
        <w:trPr>
          <w:trHeight w:val="153"/>
        </w:trPr>
        <w:tc>
          <w:tcPr>
            <w:tcW w:w="0" w:type="auto"/>
            <w:shd w:val="clear" w:color="auto" w:fill="auto"/>
          </w:tcPr>
          <w:p w14:paraId="3A8804D3" w14:textId="77777777" w:rsidR="00932504" w:rsidRPr="006C5893" w:rsidRDefault="00E82A60" w:rsidP="007D0631">
            <w:pPr>
              <w:spacing w:before="0" w:after="0"/>
              <w:jc w:val="left"/>
              <w:rPr>
                <w:b/>
                <w:sz w:val="16"/>
                <w:szCs w:val="16"/>
                <w:lang w:val="fr-BE"/>
              </w:rPr>
            </w:pPr>
            <w:r w:rsidRPr="006C5893">
              <w:rPr>
                <w:b/>
                <w:noProof/>
                <w:sz w:val="16"/>
                <w:szCs w:val="16"/>
                <w:lang w:val="fr-BE"/>
              </w:rPr>
              <w:t>Nazwa</w:t>
            </w:r>
          </w:p>
        </w:tc>
        <w:tc>
          <w:tcPr>
            <w:tcW w:w="0" w:type="auto"/>
            <w:shd w:val="clear" w:color="auto" w:fill="auto"/>
          </w:tcPr>
          <w:p w14:paraId="0F2DD7D1" w14:textId="77777777" w:rsidR="00932504" w:rsidRPr="006C5893" w:rsidRDefault="00A912D3" w:rsidP="007D0631">
            <w:pPr>
              <w:spacing w:before="0" w:after="0"/>
              <w:jc w:val="left"/>
              <w:rPr>
                <w:b/>
                <w:sz w:val="16"/>
                <w:szCs w:val="16"/>
                <w:lang w:val="fr-BE"/>
              </w:rPr>
            </w:pPr>
            <w:r w:rsidRPr="006C5893">
              <w:rPr>
                <w:b/>
                <w:noProof/>
                <w:sz w:val="16"/>
                <w:szCs w:val="16"/>
                <w:lang w:val="fr-BE"/>
              </w:rPr>
              <w:t>Fundusz</w:t>
            </w:r>
          </w:p>
        </w:tc>
        <w:tc>
          <w:tcPr>
            <w:tcW w:w="0" w:type="auto"/>
            <w:shd w:val="clear" w:color="auto" w:fill="auto"/>
          </w:tcPr>
          <w:p w14:paraId="6CBD2186" w14:textId="77777777" w:rsidR="00932504" w:rsidRPr="006C5893" w:rsidRDefault="00A912D3" w:rsidP="007D0631">
            <w:pPr>
              <w:spacing w:before="0" w:after="0"/>
              <w:jc w:val="left"/>
              <w:rPr>
                <w:b/>
                <w:sz w:val="16"/>
                <w:szCs w:val="16"/>
                <w:lang w:val="fr-BE"/>
              </w:rPr>
            </w:pPr>
            <w:r w:rsidRPr="006C5893">
              <w:rPr>
                <w:b/>
                <w:noProof/>
                <w:sz w:val="16"/>
                <w:szCs w:val="16"/>
                <w:lang w:val="fr-BE"/>
              </w:rPr>
              <w:t>Od miesiąca</w:t>
            </w:r>
          </w:p>
        </w:tc>
        <w:tc>
          <w:tcPr>
            <w:tcW w:w="0" w:type="auto"/>
            <w:shd w:val="clear" w:color="auto" w:fill="auto"/>
          </w:tcPr>
          <w:p w14:paraId="2EBBFF27" w14:textId="77777777" w:rsidR="00932504" w:rsidRPr="006C5893" w:rsidRDefault="00A912D3" w:rsidP="007D0631">
            <w:pPr>
              <w:spacing w:before="0" w:after="0"/>
              <w:jc w:val="left"/>
              <w:rPr>
                <w:b/>
                <w:sz w:val="16"/>
                <w:szCs w:val="16"/>
                <w:lang w:val="fr-BE"/>
              </w:rPr>
            </w:pPr>
            <w:r w:rsidRPr="006C5893">
              <w:rPr>
                <w:b/>
                <w:noProof/>
                <w:sz w:val="16"/>
                <w:szCs w:val="16"/>
                <w:lang w:val="fr-BE"/>
              </w:rPr>
              <w:t>Od roku</w:t>
            </w:r>
          </w:p>
        </w:tc>
        <w:tc>
          <w:tcPr>
            <w:tcW w:w="0" w:type="auto"/>
            <w:shd w:val="clear" w:color="auto" w:fill="auto"/>
          </w:tcPr>
          <w:p w14:paraId="7D383D2D" w14:textId="77777777" w:rsidR="00932504" w:rsidRPr="006C5893" w:rsidRDefault="00A912D3" w:rsidP="007D0631">
            <w:pPr>
              <w:spacing w:before="0" w:after="0"/>
              <w:jc w:val="left"/>
              <w:rPr>
                <w:b/>
                <w:sz w:val="16"/>
                <w:szCs w:val="16"/>
                <w:lang w:val="fr-BE"/>
              </w:rPr>
            </w:pPr>
            <w:r w:rsidRPr="006C5893">
              <w:rPr>
                <w:b/>
                <w:noProof/>
                <w:sz w:val="16"/>
                <w:szCs w:val="16"/>
                <w:lang w:val="fr-BE"/>
              </w:rPr>
              <w:t>Do miesiąca</w:t>
            </w:r>
          </w:p>
        </w:tc>
        <w:tc>
          <w:tcPr>
            <w:tcW w:w="0" w:type="auto"/>
            <w:shd w:val="clear" w:color="auto" w:fill="auto"/>
          </w:tcPr>
          <w:p w14:paraId="718FE885" w14:textId="77777777" w:rsidR="00932504" w:rsidRPr="006C5893" w:rsidRDefault="00A912D3" w:rsidP="007D0631">
            <w:pPr>
              <w:spacing w:before="0" w:after="0"/>
              <w:jc w:val="left"/>
              <w:rPr>
                <w:b/>
                <w:sz w:val="16"/>
                <w:szCs w:val="16"/>
                <w:lang w:val="fr-BE"/>
              </w:rPr>
            </w:pPr>
            <w:r w:rsidRPr="006C5893">
              <w:rPr>
                <w:b/>
                <w:noProof/>
                <w:sz w:val="16"/>
                <w:szCs w:val="16"/>
                <w:lang w:val="fr-BE"/>
              </w:rPr>
              <w:t>Do roku</w:t>
            </w:r>
          </w:p>
        </w:tc>
        <w:tc>
          <w:tcPr>
            <w:tcW w:w="0" w:type="auto"/>
            <w:shd w:val="clear" w:color="auto" w:fill="auto"/>
          </w:tcPr>
          <w:p w14:paraId="38D83C37" w14:textId="77777777" w:rsidR="00932504" w:rsidRPr="006C5893" w:rsidRDefault="00A912D3" w:rsidP="007D0631">
            <w:pPr>
              <w:spacing w:before="0" w:after="0"/>
              <w:jc w:val="left"/>
              <w:rPr>
                <w:b/>
                <w:sz w:val="16"/>
                <w:szCs w:val="16"/>
                <w:lang w:val="fr-BE"/>
              </w:rPr>
            </w:pPr>
            <w:r w:rsidRPr="006C5893">
              <w:rPr>
                <w:b/>
                <w:noProof/>
                <w:sz w:val="16"/>
                <w:szCs w:val="16"/>
                <w:lang w:val="fr-BE"/>
              </w:rPr>
              <w:t>Rodzaj oceny</w:t>
            </w:r>
          </w:p>
        </w:tc>
        <w:tc>
          <w:tcPr>
            <w:tcW w:w="0" w:type="auto"/>
            <w:shd w:val="clear" w:color="auto" w:fill="auto"/>
          </w:tcPr>
          <w:p w14:paraId="5A8AD43C" w14:textId="77777777" w:rsidR="00932504" w:rsidRPr="006C5893" w:rsidRDefault="00A912D3" w:rsidP="007D0631">
            <w:pPr>
              <w:spacing w:before="0" w:after="0"/>
              <w:jc w:val="left"/>
              <w:rPr>
                <w:b/>
                <w:sz w:val="16"/>
                <w:szCs w:val="16"/>
                <w:lang w:val="fr-BE"/>
              </w:rPr>
            </w:pPr>
            <w:r w:rsidRPr="006C5893">
              <w:rPr>
                <w:b/>
                <w:noProof/>
                <w:sz w:val="16"/>
                <w:szCs w:val="16"/>
                <w:lang w:val="fr-BE"/>
              </w:rPr>
              <w:t>Cel tematyczny</w:t>
            </w:r>
          </w:p>
        </w:tc>
        <w:tc>
          <w:tcPr>
            <w:tcW w:w="0" w:type="auto"/>
            <w:shd w:val="clear" w:color="auto" w:fill="auto"/>
          </w:tcPr>
          <w:p w14:paraId="1AFCDBDD" w14:textId="77777777" w:rsidR="00932504" w:rsidRPr="006C5893" w:rsidRDefault="00A912D3" w:rsidP="007D0631">
            <w:pPr>
              <w:spacing w:before="0" w:after="0"/>
              <w:jc w:val="left"/>
              <w:rPr>
                <w:b/>
                <w:sz w:val="16"/>
                <w:szCs w:val="16"/>
                <w:lang w:val="fr-BE"/>
              </w:rPr>
            </w:pPr>
            <w:r w:rsidRPr="006C5893">
              <w:rPr>
                <w:b/>
                <w:noProof/>
                <w:sz w:val="16"/>
                <w:szCs w:val="16"/>
                <w:lang w:val="fr-BE"/>
              </w:rPr>
              <w:t>Temat</w:t>
            </w:r>
          </w:p>
        </w:tc>
        <w:tc>
          <w:tcPr>
            <w:tcW w:w="0" w:type="auto"/>
            <w:shd w:val="clear" w:color="auto" w:fill="auto"/>
          </w:tcPr>
          <w:p w14:paraId="718B6D7F" w14:textId="77777777" w:rsidR="00932504" w:rsidRPr="006C5893" w:rsidRDefault="00A912D3" w:rsidP="007D0631">
            <w:pPr>
              <w:spacing w:before="0" w:after="0"/>
              <w:jc w:val="left"/>
              <w:rPr>
                <w:b/>
                <w:sz w:val="16"/>
                <w:szCs w:val="16"/>
                <w:lang w:val="fr-BE"/>
              </w:rPr>
            </w:pPr>
            <w:r w:rsidRPr="006C5893">
              <w:rPr>
                <w:b/>
                <w:noProof/>
                <w:sz w:val="16"/>
                <w:szCs w:val="16"/>
                <w:lang w:val="fr-BE"/>
              </w:rPr>
              <w:t>Ustalenia</w:t>
            </w:r>
          </w:p>
        </w:tc>
      </w:tr>
      <w:tr w:rsidR="006B2EC1" w14:paraId="355DDAFB" w14:textId="77777777" w:rsidTr="00776DD9">
        <w:tc>
          <w:tcPr>
            <w:tcW w:w="0" w:type="auto"/>
            <w:shd w:val="clear" w:color="auto" w:fill="auto"/>
          </w:tcPr>
          <w:p w14:paraId="1DF2CE65" w14:textId="77777777" w:rsidR="00932504" w:rsidRPr="006C5893" w:rsidRDefault="00E11D4E" w:rsidP="007D0631">
            <w:pPr>
              <w:spacing w:before="0" w:after="0"/>
              <w:jc w:val="left"/>
              <w:rPr>
                <w:sz w:val="16"/>
                <w:szCs w:val="16"/>
                <w:lang w:val="fr-BE"/>
              </w:rPr>
            </w:pPr>
            <w:r w:rsidRPr="006C5893">
              <w:rPr>
                <w:noProof/>
                <w:sz w:val="16"/>
                <w:szCs w:val="16"/>
                <w:lang w:val="fr-BE"/>
              </w:rPr>
              <w:t>Badanie osiągniętych wartości wskaźników rezultatu -I etap</w:t>
            </w:r>
          </w:p>
        </w:tc>
        <w:tc>
          <w:tcPr>
            <w:tcW w:w="0" w:type="auto"/>
            <w:shd w:val="clear" w:color="auto" w:fill="auto"/>
          </w:tcPr>
          <w:p w14:paraId="06E4B9E2" w14:textId="77777777" w:rsidR="00932504" w:rsidRPr="006C5893" w:rsidRDefault="00E70F05" w:rsidP="00E70F05">
            <w:pPr>
              <w:spacing w:before="0" w:after="0"/>
              <w:jc w:val="left"/>
              <w:rPr>
                <w:sz w:val="16"/>
                <w:szCs w:val="16"/>
                <w:lang w:val="fr-BE"/>
              </w:rPr>
            </w:pPr>
            <w:r w:rsidRPr="006C5893">
              <w:rPr>
                <w:noProof/>
                <w:sz w:val="16"/>
                <w:szCs w:val="16"/>
                <w:lang w:val="fr-BE"/>
              </w:rPr>
              <w:t>EFS</w:t>
            </w:r>
          </w:p>
        </w:tc>
        <w:tc>
          <w:tcPr>
            <w:tcW w:w="0" w:type="auto"/>
            <w:shd w:val="clear" w:color="auto" w:fill="auto"/>
          </w:tcPr>
          <w:p w14:paraId="0FBBC7A1" w14:textId="77777777" w:rsidR="00932504" w:rsidRPr="006C5893" w:rsidRDefault="0089499E" w:rsidP="007D0631">
            <w:pPr>
              <w:spacing w:before="0" w:after="0"/>
              <w:jc w:val="left"/>
              <w:rPr>
                <w:sz w:val="16"/>
                <w:szCs w:val="16"/>
                <w:lang w:val="fr-BE"/>
              </w:rPr>
            </w:pPr>
            <w:r w:rsidRPr="006C5893">
              <w:rPr>
                <w:noProof/>
                <w:sz w:val="16"/>
                <w:szCs w:val="16"/>
                <w:lang w:val="fr-BE"/>
              </w:rPr>
              <w:t>12</w:t>
            </w:r>
          </w:p>
        </w:tc>
        <w:tc>
          <w:tcPr>
            <w:tcW w:w="0" w:type="auto"/>
            <w:shd w:val="clear" w:color="auto" w:fill="auto"/>
          </w:tcPr>
          <w:p w14:paraId="31E62BA1" w14:textId="77777777" w:rsidR="00932504" w:rsidRPr="006C5893" w:rsidRDefault="0089499E" w:rsidP="007D0631">
            <w:pPr>
              <w:spacing w:before="0" w:after="0"/>
              <w:jc w:val="left"/>
              <w:rPr>
                <w:sz w:val="16"/>
                <w:szCs w:val="16"/>
                <w:lang w:val="fr-BE"/>
              </w:rPr>
            </w:pPr>
            <w:r w:rsidRPr="006C5893">
              <w:rPr>
                <w:noProof/>
                <w:sz w:val="16"/>
                <w:szCs w:val="16"/>
                <w:lang w:val="fr-BE"/>
              </w:rPr>
              <w:t>2018</w:t>
            </w:r>
          </w:p>
        </w:tc>
        <w:tc>
          <w:tcPr>
            <w:tcW w:w="0" w:type="auto"/>
            <w:shd w:val="clear" w:color="auto" w:fill="auto"/>
          </w:tcPr>
          <w:p w14:paraId="6624858B" w14:textId="77777777" w:rsidR="00932504" w:rsidRPr="006C5893" w:rsidRDefault="0089499E" w:rsidP="007D0631">
            <w:pPr>
              <w:spacing w:before="0" w:after="0"/>
              <w:jc w:val="left"/>
              <w:rPr>
                <w:sz w:val="16"/>
                <w:szCs w:val="16"/>
                <w:lang w:val="fr-BE"/>
              </w:rPr>
            </w:pPr>
            <w:r w:rsidRPr="006C5893">
              <w:rPr>
                <w:noProof/>
                <w:sz w:val="16"/>
                <w:szCs w:val="16"/>
                <w:lang w:val="fr-BE"/>
              </w:rPr>
              <w:t>4</w:t>
            </w:r>
          </w:p>
        </w:tc>
        <w:tc>
          <w:tcPr>
            <w:tcW w:w="0" w:type="auto"/>
            <w:shd w:val="clear" w:color="auto" w:fill="auto"/>
          </w:tcPr>
          <w:p w14:paraId="22241F55" w14:textId="77777777" w:rsidR="00932504" w:rsidRPr="006C5893" w:rsidRDefault="0089499E" w:rsidP="007D0631">
            <w:pPr>
              <w:spacing w:before="0" w:after="0"/>
              <w:jc w:val="left"/>
              <w:rPr>
                <w:sz w:val="16"/>
                <w:szCs w:val="16"/>
                <w:lang w:val="fr-BE"/>
              </w:rPr>
            </w:pPr>
            <w:r w:rsidRPr="006C5893">
              <w:rPr>
                <w:noProof/>
                <w:sz w:val="16"/>
                <w:szCs w:val="16"/>
                <w:lang w:val="fr-BE"/>
              </w:rPr>
              <w:t>2019</w:t>
            </w:r>
          </w:p>
        </w:tc>
        <w:tc>
          <w:tcPr>
            <w:tcW w:w="0" w:type="auto"/>
            <w:shd w:val="clear" w:color="auto" w:fill="auto"/>
          </w:tcPr>
          <w:p w14:paraId="5ED2C0B1" w14:textId="77777777" w:rsidR="00932504" w:rsidRPr="006C5893" w:rsidRDefault="00B126B3" w:rsidP="0051119B">
            <w:pPr>
              <w:spacing w:before="0" w:after="0"/>
              <w:jc w:val="left"/>
              <w:rPr>
                <w:sz w:val="16"/>
                <w:szCs w:val="16"/>
                <w:lang w:val="fr-BE"/>
              </w:rPr>
            </w:pPr>
            <w:r w:rsidRPr="006C5893">
              <w:rPr>
                <w:noProof/>
                <w:sz w:val="16"/>
                <w:szCs w:val="16"/>
                <w:lang w:val="fr-BE"/>
              </w:rPr>
              <w:t>Wpływ</w:t>
            </w:r>
          </w:p>
        </w:tc>
        <w:tc>
          <w:tcPr>
            <w:tcW w:w="0" w:type="auto"/>
            <w:shd w:val="clear" w:color="auto" w:fill="auto"/>
          </w:tcPr>
          <w:p w14:paraId="563724B6" w14:textId="77777777" w:rsidR="00932504" w:rsidRPr="006C5893" w:rsidRDefault="00092FD6" w:rsidP="00092FD6">
            <w:pPr>
              <w:spacing w:before="0" w:after="0"/>
              <w:jc w:val="left"/>
              <w:rPr>
                <w:sz w:val="16"/>
                <w:szCs w:val="16"/>
                <w:lang w:val="fr-BE"/>
              </w:rPr>
            </w:pPr>
            <w:r w:rsidRPr="006C5893">
              <w:rPr>
                <w:noProof/>
                <w:sz w:val="16"/>
                <w:szCs w:val="16"/>
                <w:lang w:val="fr-BE"/>
              </w:rPr>
              <w:t>08</w:t>
            </w:r>
          </w:p>
          <w:p w14:paraId="1C882EDD" w14:textId="77777777" w:rsidR="00932504" w:rsidRPr="006C5893" w:rsidRDefault="00092FD6" w:rsidP="00092FD6">
            <w:pPr>
              <w:spacing w:before="0" w:after="0"/>
              <w:jc w:val="left"/>
              <w:rPr>
                <w:sz w:val="16"/>
                <w:szCs w:val="16"/>
                <w:lang w:val="fr-BE"/>
              </w:rPr>
            </w:pPr>
            <w:r w:rsidRPr="006C5893">
              <w:rPr>
                <w:noProof/>
                <w:sz w:val="16"/>
                <w:szCs w:val="16"/>
                <w:lang w:val="fr-BE"/>
              </w:rPr>
              <w:t>09</w:t>
            </w:r>
          </w:p>
          <w:p w14:paraId="2F7A9879" w14:textId="77777777" w:rsidR="00932504" w:rsidRPr="006C5893" w:rsidRDefault="00092FD6" w:rsidP="00092FD6">
            <w:pPr>
              <w:spacing w:before="0" w:after="0"/>
              <w:jc w:val="left"/>
              <w:rPr>
                <w:sz w:val="16"/>
                <w:szCs w:val="16"/>
                <w:lang w:val="fr-BE"/>
              </w:rPr>
            </w:pPr>
            <w:r w:rsidRPr="006C5893">
              <w:rPr>
                <w:noProof/>
                <w:sz w:val="16"/>
                <w:szCs w:val="16"/>
                <w:lang w:val="fr-BE"/>
              </w:rPr>
              <w:t>10</w:t>
            </w:r>
          </w:p>
        </w:tc>
        <w:tc>
          <w:tcPr>
            <w:tcW w:w="0" w:type="auto"/>
            <w:shd w:val="clear" w:color="auto" w:fill="auto"/>
          </w:tcPr>
          <w:p w14:paraId="0D3818AD" w14:textId="77777777" w:rsidR="006B2EC1" w:rsidRDefault="00E82A60">
            <w:pPr>
              <w:spacing w:before="0" w:after="240"/>
              <w:jc w:val="left"/>
            </w:pPr>
            <w:proofErr w:type="spellStart"/>
            <w:r>
              <w:t>Celem</w:t>
            </w:r>
            <w:proofErr w:type="spellEnd"/>
            <w:r>
              <w:t xml:space="preserve"> </w:t>
            </w:r>
            <w:proofErr w:type="spellStart"/>
            <w:r>
              <w:t>badania</w:t>
            </w:r>
            <w:proofErr w:type="spellEnd"/>
            <w:r>
              <w:t xml:space="preserve"> </w:t>
            </w:r>
            <w:proofErr w:type="spellStart"/>
            <w:r>
              <w:t>była</w:t>
            </w:r>
            <w:proofErr w:type="spellEnd"/>
            <w:r>
              <w:t xml:space="preserve"> </w:t>
            </w:r>
            <w:proofErr w:type="spellStart"/>
            <w:r>
              <w:t>analiza</w:t>
            </w:r>
            <w:proofErr w:type="spellEnd"/>
            <w:r>
              <w:t xml:space="preserve"> i </w:t>
            </w:r>
            <w:proofErr w:type="spellStart"/>
            <w:r>
              <w:t>ocena</w:t>
            </w:r>
            <w:proofErr w:type="spellEnd"/>
            <w:r>
              <w:t xml:space="preserve"> </w:t>
            </w:r>
            <w:proofErr w:type="spellStart"/>
            <w:r>
              <w:t>wsparcia</w:t>
            </w:r>
            <w:proofErr w:type="spellEnd"/>
            <w:r>
              <w:t xml:space="preserve"> RPOWŚ 2014-2020 pod </w:t>
            </w:r>
            <w:proofErr w:type="spellStart"/>
            <w:r>
              <w:t>kątem</w:t>
            </w:r>
            <w:proofErr w:type="spellEnd"/>
            <w:r>
              <w:t xml:space="preserve"> </w:t>
            </w:r>
            <w:proofErr w:type="spellStart"/>
            <w:r>
              <w:t>efektywności</w:t>
            </w:r>
            <w:proofErr w:type="spellEnd"/>
            <w:r>
              <w:t xml:space="preserve"> </w:t>
            </w:r>
            <w:proofErr w:type="spellStart"/>
            <w:r>
              <w:t>wpływu</w:t>
            </w:r>
            <w:proofErr w:type="spellEnd"/>
            <w:r>
              <w:t xml:space="preserve"> </w:t>
            </w:r>
            <w:proofErr w:type="spellStart"/>
            <w:r>
              <w:t>na</w:t>
            </w:r>
            <w:proofErr w:type="spellEnd"/>
            <w:r>
              <w:t xml:space="preserve"> </w:t>
            </w:r>
            <w:proofErr w:type="spellStart"/>
            <w:r>
              <w:t>zmianę</w:t>
            </w:r>
            <w:proofErr w:type="spellEnd"/>
            <w:r>
              <w:t xml:space="preserve"> </w:t>
            </w:r>
            <w:proofErr w:type="spellStart"/>
            <w:r>
              <w:t>sytuacji</w:t>
            </w:r>
            <w:proofErr w:type="spellEnd"/>
            <w:r>
              <w:t xml:space="preserve"> </w:t>
            </w:r>
            <w:proofErr w:type="spellStart"/>
            <w:r>
              <w:t>na</w:t>
            </w:r>
            <w:proofErr w:type="spellEnd"/>
            <w:r>
              <w:t xml:space="preserve"> </w:t>
            </w:r>
            <w:proofErr w:type="spellStart"/>
            <w:r>
              <w:t>rynku</w:t>
            </w:r>
            <w:proofErr w:type="spellEnd"/>
            <w:r>
              <w:t xml:space="preserve"> </w:t>
            </w:r>
            <w:proofErr w:type="spellStart"/>
            <w:r>
              <w:t>pracy</w:t>
            </w:r>
            <w:proofErr w:type="spellEnd"/>
            <w:r>
              <w:t xml:space="preserve"> </w:t>
            </w:r>
            <w:proofErr w:type="spellStart"/>
            <w:r>
              <w:t>osób</w:t>
            </w:r>
            <w:proofErr w:type="spellEnd"/>
            <w:r>
              <w:t xml:space="preserve"> </w:t>
            </w:r>
            <w:proofErr w:type="spellStart"/>
            <w:r>
              <w:t>uczestniczących</w:t>
            </w:r>
            <w:proofErr w:type="spellEnd"/>
            <w:r>
              <w:t xml:space="preserve"> w </w:t>
            </w:r>
            <w:proofErr w:type="spellStart"/>
            <w:r>
              <w:t>projektach</w:t>
            </w:r>
            <w:proofErr w:type="spellEnd"/>
            <w:r>
              <w:t xml:space="preserve"> i </w:t>
            </w:r>
            <w:proofErr w:type="spellStart"/>
            <w:r>
              <w:t>jednocześnie</w:t>
            </w:r>
            <w:proofErr w:type="spellEnd"/>
            <w:r>
              <w:t xml:space="preserve"> </w:t>
            </w:r>
            <w:proofErr w:type="spellStart"/>
            <w:r>
              <w:t>pracujących</w:t>
            </w:r>
            <w:proofErr w:type="spellEnd"/>
            <w:r>
              <w:t xml:space="preserve">. </w:t>
            </w:r>
            <w:proofErr w:type="spellStart"/>
            <w:r>
              <w:t>Oszacowano</w:t>
            </w:r>
            <w:proofErr w:type="spellEnd"/>
            <w:r>
              <w:t xml:space="preserve"> </w:t>
            </w:r>
            <w:proofErr w:type="spellStart"/>
            <w:r>
              <w:t>wartość</w:t>
            </w:r>
            <w:proofErr w:type="spellEnd"/>
            <w:r>
              <w:t xml:space="preserve"> </w:t>
            </w:r>
            <w:proofErr w:type="spellStart"/>
            <w:r>
              <w:t>wskaźnika</w:t>
            </w:r>
            <w:proofErr w:type="spellEnd"/>
            <w:r>
              <w:t xml:space="preserve"> </w:t>
            </w:r>
            <w:proofErr w:type="spellStart"/>
            <w:r>
              <w:t>rezultatu</w:t>
            </w:r>
            <w:proofErr w:type="spellEnd"/>
            <w:r>
              <w:t xml:space="preserve"> </w:t>
            </w:r>
            <w:proofErr w:type="spellStart"/>
            <w:r>
              <w:t>długoterminowego</w:t>
            </w:r>
            <w:proofErr w:type="spellEnd"/>
            <w:r>
              <w:t xml:space="preserve"> </w:t>
            </w:r>
            <w:proofErr w:type="spellStart"/>
            <w:r>
              <w:t>pn</w:t>
            </w:r>
            <w:proofErr w:type="spellEnd"/>
            <w:r>
              <w:t xml:space="preserve">. </w:t>
            </w:r>
            <w:proofErr w:type="spellStart"/>
            <w:r>
              <w:t>Liczba</w:t>
            </w:r>
            <w:proofErr w:type="spellEnd"/>
            <w:r>
              <w:t xml:space="preserve"> </w:t>
            </w:r>
            <w:proofErr w:type="spellStart"/>
            <w:r>
              <w:t>osób</w:t>
            </w:r>
            <w:proofErr w:type="spellEnd"/>
            <w:r>
              <w:t xml:space="preserve"> </w:t>
            </w:r>
            <w:proofErr w:type="spellStart"/>
            <w:r>
              <w:t>znajdujących</w:t>
            </w:r>
            <w:proofErr w:type="spellEnd"/>
            <w:r>
              <w:t xml:space="preserve"> </w:t>
            </w:r>
            <w:proofErr w:type="spellStart"/>
            <w:r>
              <w:t>się</w:t>
            </w:r>
            <w:proofErr w:type="spellEnd"/>
            <w:r>
              <w:t xml:space="preserve"> w </w:t>
            </w:r>
            <w:proofErr w:type="spellStart"/>
            <w:r>
              <w:t>lepszej</w:t>
            </w:r>
            <w:proofErr w:type="spellEnd"/>
            <w:r>
              <w:t xml:space="preserve"> </w:t>
            </w:r>
            <w:proofErr w:type="spellStart"/>
            <w:r>
              <w:t>sytuacji</w:t>
            </w:r>
            <w:proofErr w:type="spellEnd"/>
            <w:r>
              <w:t xml:space="preserve"> </w:t>
            </w:r>
            <w:proofErr w:type="spellStart"/>
            <w:r>
              <w:t>na</w:t>
            </w:r>
            <w:proofErr w:type="spellEnd"/>
            <w:r>
              <w:t xml:space="preserve"> </w:t>
            </w:r>
            <w:proofErr w:type="spellStart"/>
            <w:r>
              <w:t>rynku</w:t>
            </w:r>
            <w:proofErr w:type="spellEnd"/>
            <w:r>
              <w:t xml:space="preserve"> </w:t>
            </w:r>
            <w:proofErr w:type="spellStart"/>
            <w:r>
              <w:t>pracy</w:t>
            </w:r>
            <w:proofErr w:type="spellEnd"/>
            <w:r>
              <w:t xml:space="preserve"> </w:t>
            </w:r>
            <w:proofErr w:type="spellStart"/>
            <w:r>
              <w:t>sześć</w:t>
            </w:r>
            <w:proofErr w:type="spellEnd"/>
            <w:r>
              <w:t xml:space="preserve"> </w:t>
            </w:r>
            <w:proofErr w:type="spellStart"/>
            <w:r>
              <w:t>miesięcy</w:t>
            </w:r>
            <w:proofErr w:type="spellEnd"/>
            <w:r>
              <w:t xml:space="preserve"> po </w:t>
            </w:r>
            <w:proofErr w:type="spellStart"/>
            <w:r>
              <w:t>opuszczeniu</w:t>
            </w:r>
            <w:proofErr w:type="spellEnd"/>
            <w:r>
              <w:t xml:space="preserve"> </w:t>
            </w:r>
            <w:proofErr w:type="spellStart"/>
            <w:r>
              <w:t>programu</w:t>
            </w:r>
            <w:proofErr w:type="spellEnd"/>
            <w:r>
              <w:t>.</w:t>
            </w:r>
          </w:p>
          <w:p w14:paraId="3C175999" w14:textId="77777777" w:rsidR="00932504" w:rsidRPr="006C5893" w:rsidRDefault="00932504" w:rsidP="0051119B">
            <w:pPr>
              <w:spacing w:before="0" w:after="0"/>
              <w:jc w:val="left"/>
              <w:rPr>
                <w:sz w:val="16"/>
                <w:szCs w:val="16"/>
                <w:lang w:val="fr-BE"/>
              </w:rPr>
            </w:pPr>
          </w:p>
        </w:tc>
        <w:tc>
          <w:tcPr>
            <w:tcW w:w="0" w:type="auto"/>
            <w:shd w:val="clear" w:color="auto" w:fill="auto"/>
          </w:tcPr>
          <w:p w14:paraId="66D517A0" w14:textId="77777777" w:rsidR="006B2EC1" w:rsidRDefault="00E82A60">
            <w:pPr>
              <w:spacing w:before="0" w:after="240"/>
              <w:jc w:val="left"/>
            </w:pPr>
            <w:r>
              <w:t xml:space="preserve">W </w:t>
            </w:r>
            <w:proofErr w:type="spellStart"/>
            <w:r>
              <w:t>badaniu</w:t>
            </w:r>
            <w:proofErr w:type="spellEnd"/>
            <w:r>
              <w:t xml:space="preserve"> </w:t>
            </w:r>
            <w:proofErr w:type="spellStart"/>
            <w:r>
              <w:t>wskazano</w:t>
            </w:r>
            <w:proofErr w:type="spellEnd"/>
            <w:r>
              <w:t xml:space="preserve"> </w:t>
            </w:r>
            <w:proofErr w:type="spellStart"/>
            <w:r>
              <w:t>strukturę</w:t>
            </w:r>
            <w:proofErr w:type="spellEnd"/>
            <w:r>
              <w:t xml:space="preserve"> </w:t>
            </w:r>
            <w:proofErr w:type="spellStart"/>
            <w:r>
              <w:t>zmian</w:t>
            </w:r>
            <w:proofErr w:type="spellEnd"/>
            <w:r>
              <w:t xml:space="preserve">, </w:t>
            </w:r>
            <w:proofErr w:type="spellStart"/>
            <w:r>
              <w:t>jakie</w:t>
            </w:r>
            <w:proofErr w:type="spellEnd"/>
            <w:r>
              <w:t xml:space="preserve"> </w:t>
            </w:r>
            <w:proofErr w:type="spellStart"/>
            <w:r>
              <w:t>zaszły</w:t>
            </w:r>
            <w:proofErr w:type="spellEnd"/>
            <w:r>
              <w:t xml:space="preserve"> w </w:t>
            </w:r>
            <w:proofErr w:type="spellStart"/>
            <w:r>
              <w:t>życiu</w:t>
            </w:r>
            <w:proofErr w:type="spellEnd"/>
            <w:r>
              <w:t xml:space="preserve"> </w:t>
            </w:r>
            <w:proofErr w:type="spellStart"/>
            <w:r>
              <w:t>zawodowym</w:t>
            </w:r>
            <w:proofErr w:type="spellEnd"/>
            <w:r>
              <w:t xml:space="preserve"> </w:t>
            </w:r>
            <w:proofErr w:type="spellStart"/>
            <w:r>
              <w:t>uczestników</w:t>
            </w:r>
            <w:proofErr w:type="spellEnd"/>
            <w:r>
              <w:t xml:space="preserve"> </w:t>
            </w:r>
            <w:proofErr w:type="spellStart"/>
            <w:r>
              <w:t>projektów</w:t>
            </w:r>
            <w:proofErr w:type="spellEnd"/>
            <w:r>
              <w:t xml:space="preserve">, </w:t>
            </w:r>
            <w:proofErr w:type="spellStart"/>
            <w:r>
              <w:t>jaki</w:t>
            </w:r>
            <w:proofErr w:type="spellEnd"/>
            <w:r>
              <w:t xml:space="preserve"> </w:t>
            </w:r>
            <w:proofErr w:type="spellStart"/>
            <w:r>
              <w:t>odsetek</w:t>
            </w:r>
            <w:proofErr w:type="spellEnd"/>
            <w:r>
              <w:t xml:space="preserve"> </w:t>
            </w:r>
            <w:proofErr w:type="spellStart"/>
            <w:r>
              <w:t>uczestników</w:t>
            </w:r>
            <w:proofErr w:type="spellEnd"/>
            <w:r>
              <w:t xml:space="preserve"> </w:t>
            </w:r>
            <w:proofErr w:type="spellStart"/>
            <w:r>
              <w:t>nie</w:t>
            </w:r>
            <w:proofErr w:type="spellEnd"/>
            <w:r>
              <w:t xml:space="preserve"> </w:t>
            </w:r>
            <w:proofErr w:type="spellStart"/>
            <w:r>
              <w:t>dostrzega</w:t>
            </w:r>
            <w:proofErr w:type="spellEnd"/>
            <w:r>
              <w:t xml:space="preserve"> </w:t>
            </w:r>
            <w:proofErr w:type="spellStart"/>
            <w:r>
              <w:t>żadnych</w:t>
            </w:r>
            <w:proofErr w:type="spellEnd"/>
            <w:r>
              <w:t xml:space="preserve"> </w:t>
            </w:r>
            <w:proofErr w:type="spellStart"/>
            <w:r>
              <w:t>zmian</w:t>
            </w:r>
            <w:proofErr w:type="spellEnd"/>
            <w:r>
              <w:t xml:space="preserve"> w </w:t>
            </w:r>
            <w:proofErr w:type="spellStart"/>
            <w:r>
              <w:t>wyniku</w:t>
            </w:r>
            <w:proofErr w:type="spellEnd"/>
            <w:r>
              <w:t xml:space="preserve"> </w:t>
            </w:r>
            <w:proofErr w:type="spellStart"/>
            <w:r>
              <w:t>udziału</w:t>
            </w:r>
            <w:proofErr w:type="spellEnd"/>
            <w:r>
              <w:t xml:space="preserve"> w </w:t>
            </w:r>
            <w:proofErr w:type="spellStart"/>
            <w:r>
              <w:t>projekcie</w:t>
            </w:r>
            <w:proofErr w:type="spellEnd"/>
            <w:r>
              <w:t xml:space="preserve">, a </w:t>
            </w:r>
            <w:proofErr w:type="spellStart"/>
            <w:r>
              <w:t>jaki</w:t>
            </w:r>
            <w:proofErr w:type="spellEnd"/>
            <w:r>
              <w:t xml:space="preserve"> </w:t>
            </w:r>
            <w:proofErr w:type="spellStart"/>
            <w:r>
              <w:t>odsetek</w:t>
            </w:r>
            <w:proofErr w:type="spellEnd"/>
            <w:r>
              <w:t xml:space="preserve"> </w:t>
            </w:r>
            <w:proofErr w:type="spellStart"/>
            <w:r>
              <w:t>dostrzega</w:t>
            </w:r>
            <w:proofErr w:type="spellEnd"/>
            <w:r>
              <w:t xml:space="preserve"> </w:t>
            </w:r>
            <w:proofErr w:type="spellStart"/>
            <w:r>
              <w:t>negatywne</w:t>
            </w:r>
            <w:proofErr w:type="spellEnd"/>
            <w:r>
              <w:t xml:space="preserve"> </w:t>
            </w:r>
            <w:proofErr w:type="spellStart"/>
            <w:r>
              <w:t>zmiany</w:t>
            </w:r>
            <w:proofErr w:type="spellEnd"/>
            <w:r>
              <w:t xml:space="preserve">. </w:t>
            </w:r>
            <w:proofErr w:type="spellStart"/>
            <w:r>
              <w:t>Uczestnicy</w:t>
            </w:r>
            <w:proofErr w:type="spellEnd"/>
            <w:r>
              <w:t xml:space="preserve"> </w:t>
            </w:r>
            <w:proofErr w:type="spellStart"/>
            <w:r>
              <w:t>projektów</w:t>
            </w:r>
            <w:proofErr w:type="spellEnd"/>
            <w:r>
              <w:t xml:space="preserve">, </w:t>
            </w:r>
            <w:proofErr w:type="spellStart"/>
            <w:r>
              <w:t>niezależnie</w:t>
            </w:r>
            <w:proofErr w:type="spellEnd"/>
            <w:r>
              <w:t xml:space="preserve"> od </w:t>
            </w:r>
            <w:proofErr w:type="spellStart"/>
            <w:r>
              <w:t>zakresu</w:t>
            </w:r>
            <w:proofErr w:type="spellEnd"/>
            <w:r>
              <w:t xml:space="preserve"> </w:t>
            </w:r>
            <w:proofErr w:type="spellStart"/>
            <w:r>
              <w:t>wsparcia</w:t>
            </w:r>
            <w:proofErr w:type="spellEnd"/>
            <w:r>
              <w:t xml:space="preserve">, z </w:t>
            </w:r>
            <w:proofErr w:type="spellStart"/>
            <w:r>
              <w:t>którego</w:t>
            </w:r>
            <w:proofErr w:type="spellEnd"/>
            <w:r>
              <w:t xml:space="preserve"> </w:t>
            </w:r>
            <w:proofErr w:type="spellStart"/>
            <w:r>
              <w:t>korzystali</w:t>
            </w:r>
            <w:proofErr w:type="spellEnd"/>
            <w:r>
              <w:t xml:space="preserve"> </w:t>
            </w:r>
            <w:proofErr w:type="spellStart"/>
            <w:r>
              <w:t>jako</w:t>
            </w:r>
            <w:proofErr w:type="spellEnd"/>
            <w:r>
              <w:t xml:space="preserve"> </w:t>
            </w:r>
            <w:proofErr w:type="spellStart"/>
            <w:r>
              <w:t>pozytywną</w:t>
            </w:r>
            <w:proofErr w:type="spellEnd"/>
            <w:r>
              <w:t xml:space="preserve"> </w:t>
            </w:r>
            <w:proofErr w:type="spellStart"/>
            <w:r>
              <w:t>zmianę</w:t>
            </w:r>
            <w:proofErr w:type="spellEnd"/>
            <w:r>
              <w:t xml:space="preserve"> </w:t>
            </w:r>
            <w:proofErr w:type="spellStart"/>
            <w:r>
              <w:t>wskazywali</w:t>
            </w:r>
            <w:proofErr w:type="spellEnd"/>
            <w:r>
              <w:t xml:space="preserve"> </w:t>
            </w:r>
            <w:proofErr w:type="spellStart"/>
            <w:r>
              <w:t>przede</w:t>
            </w:r>
            <w:proofErr w:type="spellEnd"/>
            <w:r>
              <w:t xml:space="preserve"> </w:t>
            </w:r>
            <w:proofErr w:type="spellStart"/>
            <w:r>
              <w:t>wszystkim</w:t>
            </w:r>
            <w:proofErr w:type="spellEnd"/>
            <w:r>
              <w:t xml:space="preserve"> </w:t>
            </w:r>
            <w:proofErr w:type="spellStart"/>
            <w:r>
              <w:t>na</w:t>
            </w:r>
            <w:proofErr w:type="spellEnd"/>
            <w:r>
              <w:t xml:space="preserve"> </w:t>
            </w:r>
            <w:proofErr w:type="spellStart"/>
            <w:r>
              <w:t>nabycie</w:t>
            </w:r>
            <w:proofErr w:type="spellEnd"/>
            <w:r>
              <w:t xml:space="preserve"> </w:t>
            </w:r>
            <w:proofErr w:type="spellStart"/>
            <w:r>
              <w:t>nowej</w:t>
            </w:r>
            <w:proofErr w:type="spellEnd"/>
            <w:r>
              <w:t xml:space="preserve"> </w:t>
            </w:r>
            <w:proofErr w:type="spellStart"/>
            <w:r>
              <w:t>wiedzy</w:t>
            </w:r>
            <w:proofErr w:type="spellEnd"/>
            <w:r>
              <w:t xml:space="preserve"> i </w:t>
            </w:r>
            <w:proofErr w:type="spellStart"/>
            <w:r>
              <w:t>nowych</w:t>
            </w:r>
            <w:proofErr w:type="spellEnd"/>
            <w:r>
              <w:t xml:space="preserve"> </w:t>
            </w:r>
            <w:proofErr w:type="spellStart"/>
            <w:r>
              <w:t>kompetencji</w:t>
            </w:r>
            <w:proofErr w:type="spellEnd"/>
            <w:r>
              <w:t xml:space="preserve">, co </w:t>
            </w:r>
            <w:proofErr w:type="spellStart"/>
            <w:r>
              <w:t>rzadko</w:t>
            </w:r>
            <w:proofErr w:type="spellEnd"/>
            <w:r>
              <w:t xml:space="preserve"> </w:t>
            </w:r>
            <w:proofErr w:type="spellStart"/>
            <w:r>
              <w:t>wiązało</w:t>
            </w:r>
            <w:proofErr w:type="spellEnd"/>
            <w:r>
              <w:t xml:space="preserve"> </w:t>
            </w:r>
            <w:proofErr w:type="spellStart"/>
            <w:r>
              <w:t>się</w:t>
            </w:r>
            <w:proofErr w:type="spellEnd"/>
            <w:r>
              <w:t xml:space="preserve"> </w:t>
            </w:r>
            <w:proofErr w:type="spellStart"/>
            <w:r>
              <w:t>ze</w:t>
            </w:r>
            <w:proofErr w:type="spellEnd"/>
            <w:r>
              <w:t xml:space="preserve"> </w:t>
            </w:r>
            <w:proofErr w:type="spellStart"/>
            <w:r>
              <w:t>zmianą</w:t>
            </w:r>
            <w:proofErr w:type="spellEnd"/>
            <w:r>
              <w:t xml:space="preserve"> </w:t>
            </w:r>
            <w:proofErr w:type="spellStart"/>
            <w:r>
              <w:t>pracy</w:t>
            </w:r>
            <w:proofErr w:type="spellEnd"/>
            <w:r>
              <w:t xml:space="preserve"> </w:t>
            </w:r>
            <w:proofErr w:type="spellStart"/>
            <w:r>
              <w:t>czy</w:t>
            </w:r>
            <w:proofErr w:type="spellEnd"/>
            <w:r>
              <w:t xml:space="preserve"> </w:t>
            </w:r>
            <w:proofErr w:type="spellStart"/>
            <w:r>
              <w:t>poprawą</w:t>
            </w:r>
            <w:proofErr w:type="spellEnd"/>
            <w:r>
              <w:t xml:space="preserve"> </w:t>
            </w:r>
            <w:proofErr w:type="spellStart"/>
            <w:r>
              <w:t>stabilności</w:t>
            </w:r>
            <w:proofErr w:type="spellEnd"/>
            <w:r>
              <w:t xml:space="preserve"> </w:t>
            </w:r>
            <w:proofErr w:type="spellStart"/>
            <w:r>
              <w:t>zatrudnienia</w:t>
            </w:r>
            <w:proofErr w:type="spellEnd"/>
            <w:r>
              <w:t xml:space="preserve"> (</w:t>
            </w:r>
            <w:proofErr w:type="spellStart"/>
            <w:r>
              <w:t>które</w:t>
            </w:r>
            <w:proofErr w:type="spellEnd"/>
            <w:r>
              <w:t xml:space="preserve"> </w:t>
            </w:r>
            <w:proofErr w:type="spellStart"/>
            <w:r>
              <w:t>już</w:t>
            </w:r>
            <w:proofErr w:type="spellEnd"/>
            <w:r>
              <w:t xml:space="preserve"> jest </w:t>
            </w:r>
            <w:proofErr w:type="spellStart"/>
            <w:r>
              <w:t>stabilne</w:t>
            </w:r>
            <w:proofErr w:type="spellEnd"/>
            <w:r>
              <w:t xml:space="preserve">), </w:t>
            </w:r>
            <w:proofErr w:type="spellStart"/>
            <w:r>
              <w:t>zdecydowanie</w:t>
            </w:r>
            <w:proofErr w:type="spellEnd"/>
            <w:r>
              <w:t xml:space="preserve"> </w:t>
            </w:r>
            <w:proofErr w:type="spellStart"/>
            <w:r>
              <w:t>częściej</w:t>
            </w:r>
            <w:proofErr w:type="spellEnd"/>
            <w:r>
              <w:t xml:space="preserve"> </w:t>
            </w:r>
            <w:proofErr w:type="spellStart"/>
            <w:r>
              <w:t>zaś</w:t>
            </w:r>
            <w:proofErr w:type="spellEnd"/>
            <w:r>
              <w:t xml:space="preserve"> z </w:t>
            </w:r>
            <w:proofErr w:type="spellStart"/>
            <w:r>
              <w:t>możliwością</w:t>
            </w:r>
            <w:proofErr w:type="spellEnd"/>
            <w:r>
              <w:t xml:space="preserve"> </w:t>
            </w:r>
            <w:proofErr w:type="spellStart"/>
            <w:r>
              <w:t>rozwoju</w:t>
            </w:r>
            <w:proofErr w:type="spellEnd"/>
            <w:r>
              <w:t xml:space="preserve"> </w:t>
            </w:r>
            <w:proofErr w:type="spellStart"/>
            <w:r>
              <w:t>osobistego</w:t>
            </w:r>
            <w:proofErr w:type="spellEnd"/>
            <w:r>
              <w:t xml:space="preserve">, a co za </w:t>
            </w:r>
            <w:proofErr w:type="spellStart"/>
            <w:r>
              <w:t>tym</w:t>
            </w:r>
            <w:proofErr w:type="spellEnd"/>
            <w:r>
              <w:t xml:space="preserve"> </w:t>
            </w:r>
            <w:proofErr w:type="spellStart"/>
            <w:r>
              <w:t>idzie</w:t>
            </w:r>
            <w:proofErr w:type="spellEnd"/>
            <w:r>
              <w:t xml:space="preserve"> z </w:t>
            </w:r>
            <w:proofErr w:type="spellStart"/>
            <w:r>
              <w:t>rozwojem</w:t>
            </w:r>
            <w:proofErr w:type="spellEnd"/>
            <w:r>
              <w:t xml:space="preserve"> </w:t>
            </w:r>
            <w:proofErr w:type="spellStart"/>
            <w:r>
              <w:t>przedsiębiorstwa</w:t>
            </w:r>
            <w:proofErr w:type="spellEnd"/>
            <w:r>
              <w:t xml:space="preserve">, w </w:t>
            </w:r>
            <w:proofErr w:type="spellStart"/>
            <w:r>
              <w:t>którym</w:t>
            </w:r>
            <w:proofErr w:type="spellEnd"/>
            <w:r>
              <w:t xml:space="preserve"> </w:t>
            </w:r>
            <w:proofErr w:type="spellStart"/>
            <w:r>
              <w:t>są</w:t>
            </w:r>
            <w:proofErr w:type="spellEnd"/>
            <w:r>
              <w:t xml:space="preserve"> </w:t>
            </w:r>
            <w:proofErr w:type="spellStart"/>
            <w:r>
              <w:t>oni</w:t>
            </w:r>
            <w:proofErr w:type="spellEnd"/>
            <w:r>
              <w:t xml:space="preserve"> </w:t>
            </w:r>
            <w:proofErr w:type="spellStart"/>
            <w:r>
              <w:t>zatrudnieni</w:t>
            </w:r>
            <w:proofErr w:type="spellEnd"/>
            <w:r>
              <w:t xml:space="preserve">. </w:t>
            </w:r>
            <w:proofErr w:type="spellStart"/>
            <w:r>
              <w:t>Ponadto</w:t>
            </w:r>
            <w:proofErr w:type="spellEnd"/>
            <w:r>
              <w:t xml:space="preserve"> </w:t>
            </w:r>
            <w:proofErr w:type="spellStart"/>
            <w:r>
              <w:t>wskazywali</w:t>
            </w:r>
            <w:proofErr w:type="spellEnd"/>
            <w:r>
              <w:t xml:space="preserve"> </w:t>
            </w:r>
            <w:proofErr w:type="spellStart"/>
            <w:r>
              <w:t>na</w:t>
            </w:r>
            <w:proofErr w:type="spellEnd"/>
            <w:r>
              <w:t xml:space="preserve"> </w:t>
            </w:r>
            <w:proofErr w:type="spellStart"/>
            <w:r>
              <w:t>zwiększenie</w:t>
            </w:r>
            <w:proofErr w:type="spellEnd"/>
            <w:r>
              <w:t xml:space="preserve"> </w:t>
            </w:r>
            <w:proofErr w:type="spellStart"/>
            <w:r>
              <w:t>motywacji</w:t>
            </w:r>
            <w:proofErr w:type="spellEnd"/>
            <w:r>
              <w:t xml:space="preserve"> do </w:t>
            </w:r>
            <w:proofErr w:type="spellStart"/>
            <w:r>
              <w:t>wykonywania</w:t>
            </w:r>
            <w:proofErr w:type="spellEnd"/>
            <w:r>
              <w:t xml:space="preserve"> </w:t>
            </w:r>
            <w:proofErr w:type="spellStart"/>
            <w:r>
              <w:t>zadań</w:t>
            </w:r>
            <w:proofErr w:type="spellEnd"/>
            <w:r>
              <w:t xml:space="preserve"> </w:t>
            </w:r>
            <w:proofErr w:type="spellStart"/>
            <w:r>
              <w:t>służbowych</w:t>
            </w:r>
            <w:proofErr w:type="spellEnd"/>
            <w:r>
              <w:t xml:space="preserve">, </w:t>
            </w:r>
            <w:proofErr w:type="spellStart"/>
            <w:r>
              <w:t>wzrost</w:t>
            </w:r>
            <w:proofErr w:type="spellEnd"/>
            <w:r>
              <w:t xml:space="preserve"> </w:t>
            </w:r>
            <w:proofErr w:type="spellStart"/>
            <w:r>
              <w:t>pewności</w:t>
            </w:r>
            <w:proofErr w:type="spellEnd"/>
            <w:r>
              <w:t xml:space="preserve"> </w:t>
            </w:r>
            <w:proofErr w:type="spellStart"/>
            <w:r>
              <w:t>siebie</w:t>
            </w:r>
            <w:proofErr w:type="spellEnd"/>
            <w:r>
              <w:t xml:space="preserve"> i </w:t>
            </w:r>
            <w:proofErr w:type="spellStart"/>
            <w:r>
              <w:t>dobre</w:t>
            </w:r>
            <w:proofErr w:type="spellEnd"/>
            <w:r>
              <w:t xml:space="preserve"> </w:t>
            </w:r>
            <w:proofErr w:type="spellStart"/>
            <w:r>
              <w:t>samopoczucie</w:t>
            </w:r>
            <w:proofErr w:type="spellEnd"/>
            <w:r>
              <w:t xml:space="preserve"> w </w:t>
            </w:r>
            <w:proofErr w:type="spellStart"/>
            <w:r>
              <w:t>miejscu</w:t>
            </w:r>
            <w:proofErr w:type="spellEnd"/>
            <w:r>
              <w:t xml:space="preserve"> </w:t>
            </w:r>
            <w:proofErr w:type="spellStart"/>
            <w:r>
              <w:t>pracy</w:t>
            </w:r>
            <w:proofErr w:type="spellEnd"/>
            <w:r>
              <w:t xml:space="preserve">. </w:t>
            </w:r>
            <w:proofErr w:type="spellStart"/>
            <w:r>
              <w:t>Jako</w:t>
            </w:r>
            <w:proofErr w:type="spellEnd"/>
            <w:r>
              <w:t xml:space="preserve"> </w:t>
            </w:r>
            <w:proofErr w:type="spellStart"/>
            <w:r>
              <w:t>pozytywną</w:t>
            </w:r>
            <w:proofErr w:type="spellEnd"/>
            <w:r>
              <w:t xml:space="preserve"> </w:t>
            </w:r>
            <w:proofErr w:type="spellStart"/>
            <w:r>
              <w:t>zmianę</w:t>
            </w:r>
            <w:proofErr w:type="spellEnd"/>
            <w:r>
              <w:t xml:space="preserve"> w </w:t>
            </w:r>
            <w:proofErr w:type="spellStart"/>
            <w:r>
              <w:t>swoim</w:t>
            </w:r>
            <w:proofErr w:type="spellEnd"/>
            <w:r>
              <w:t xml:space="preserve"> </w:t>
            </w:r>
            <w:proofErr w:type="spellStart"/>
            <w:r>
              <w:t>życiu</w:t>
            </w:r>
            <w:proofErr w:type="spellEnd"/>
            <w:r>
              <w:t xml:space="preserve"> </w:t>
            </w:r>
            <w:proofErr w:type="spellStart"/>
            <w:r>
              <w:t>zawodowym</w:t>
            </w:r>
            <w:proofErr w:type="spellEnd"/>
            <w:r>
              <w:t xml:space="preserve"> </w:t>
            </w:r>
            <w:proofErr w:type="spellStart"/>
            <w:r>
              <w:t>wskazywali</w:t>
            </w:r>
            <w:proofErr w:type="spellEnd"/>
            <w:r>
              <w:t xml:space="preserve"> </w:t>
            </w:r>
            <w:proofErr w:type="spellStart"/>
            <w:r>
              <w:t>również</w:t>
            </w:r>
            <w:proofErr w:type="spellEnd"/>
            <w:r>
              <w:t xml:space="preserve"> </w:t>
            </w:r>
            <w:proofErr w:type="spellStart"/>
            <w:r>
              <w:t>na</w:t>
            </w:r>
            <w:proofErr w:type="spellEnd"/>
            <w:r>
              <w:t xml:space="preserve"> </w:t>
            </w:r>
            <w:proofErr w:type="spellStart"/>
            <w:r>
              <w:t>awans</w:t>
            </w:r>
            <w:proofErr w:type="spellEnd"/>
            <w:r>
              <w:t xml:space="preserve"> </w:t>
            </w:r>
            <w:proofErr w:type="spellStart"/>
            <w:r>
              <w:t>oraz</w:t>
            </w:r>
            <w:proofErr w:type="spellEnd"/>
            <w:r>
              <w:t xml:space="preserve"> </w:t>
            </w:r>
            <w:proofErr w:type="spellStart"/>
            <w:r>
              <w:t>na</w:t>
            </w:r>
            <w:proofErr w:type="spellEnd"/>
            <w:r>
              <w:t xml:space="preserve"> </w:t>
            </w:r>
            <w:proofErr w:type="spellStart"/>
            <w:r>
              <w:t>wzrost</w:t>
            </w:r>
            <w:proofErr w:type="spellEnd"/>
            <w:r>
              <w:t xml:space="preserve"> </w:t>
            </w:r>
            <w:proofErr w:type="spellStart"/>
            <w:r>
              <w:t>wynagrodzenia</w:t>
            </w:r>
            <w:proofErr w:type="spellEnd"/>
            <w:r>
              <w:t xml:space="preserve">; </w:t>
            </w:r>
            <w:proofErr w:type="spellStart"/>
            <w:r>
              <w:t>odpowiedzi</w:t>
            </w:r>
            <w:proofErr w:type="spellEnd"/>
            <w:r>
              <w:t xml:space="preserve"> </w:t>
            </w:r>
            <w:proofErr w:type="spellStart"/>
            <w:r>
              <w:t>te</w:t>
            </w:r>
            <w:proofErr w:type="spellEnd"/>
            <w:r>
              <w:t xml:space="preserve"> </w:t>
            </w:r>
            <w:proofErr w:type="spellStart"/>
            <w:r>
              <w:t>pojawiały</w:t>
            </w:r>
            <w:proofErr w:type="spellEnd"/>
            <w:r>
              <w:t xml:space="preserve"> </w:t>
            </w:r>
            <w:proofErr w:type="spellStart"/>
            <w:r>
              <w:t>się</w:t>
            </w:r>
            <w:proofErr w:type="spellEnd"/>
            <w:r>
              <w:t xml:space="preserve"> </w:t>
            </w:r>
            <w:proofErr w:type="spellStart"/>
            <w:r>
              <w:t>jednak</w:t>
            </w:r>
            <w:proofErr w:type="spellEnd"/>
            <w:r>
              <w:t xml:space="preserve"> </w:t>
            </w:r>
            <w:proofErr w:type="spellStart"/>
            <w:r>
              <w:t>rzadziej</w:t>
            </w:r>
            <w:proofErr w:type="spellEnd"/>
            <w:r>
              <w:t xml:space="preserve">, </w:t>
            </w:r>
            <w:proofErr w:type="spellStart"/>
            <w:r>
              <w:t>niż</w:t>
            </w:r>
            <w:proofErr w:type="spellEnd"/>
            <w:r>
              <w:t xml:space="preserve"> </w:t>
            </w:r>
            <w:proofErr w:type="spellStart"/>
            <w:r>
              <w:t>możliwość</w:t>
            </w:r>
            <w:proofErr w:type="spellEnd"/>
            <w:r>
              <w:t xml:space="preserve"> </w:t>
            </w:r>
            <w:proofErr w:type="spellStart"/>
            <w:r>
              <w:t>wykorzystania</w:t>
            </w:r>
            <w:proofErr w:type="spellEnd"/>
            <w:r>
              <w:t xml:space="preserve"> </w:t>
            </w:r>
            <w:proofErr w:type="spellStart"/>
            <w:r>
              <w:t>nabytych</w:t>
            </w:r>
            <w:proofErr w:type="spellEnd"/>
            <w:r>
              <w:t xml:space="preserve"> </w:t>
            </w:r>
            <w:proofErr w:type="spellStart"/>
            <w:r>
              <w:t>kompetencji</w:t>
            </w:r>
            <w:proofErr w:type="spellEnd"/>
            <w:r>
              <w:t xml:space="preserve"> i </w:t>
            </w:r>
            <w:proofErr w:type="spellStart"/>
            <w:r>
              <w:t>uzyskanej</w:t>
            </w:r>
            <w:proofErr w:type="spellEnd"/>
            <w:r>
              <w:t xml:space="preserve"> </w:t>
            </w:r>
            <w:proofErr w:type="spellStart"/>
            <w:r>
              <w:t>wiedzy</w:t>
            </w:r>
            <w:proofErr w:type="spellEnd"/>
            <w:r>
              <w:t>.</w:t>
            </w:r>
          </w:p>
          <w:p w14:paraId="17F83530" w14:textId="77777777" w:rsidR="006B2EC1" w:rsidRDefault="00E82A60">
            <w:pPr>
              <w:spacing w:before="240" w:after="240"/>
              <w:jc w:val="left"/>
            </w:pPr>
            <w:proofErr w:type="spellStart"/>
            <w:r>
              <w:t>Rekomendacje</w:t>
            </w:r>
            <w:proofErr w:type="spellEnd"/>
            <w:r>
              <w:t xml:space="preserve"> z </w:t>
            </w:r>
            <w:proofErr w:type="spellStart"/>
            <w:r>
              <w:t>badania</w:t>
            </w:r>
            <w:proofErr w:type="spellEnd"/>
            <w:r>
              <w:t xml:space="preserve"> dot. m.in: </w:t>
            </w:r>
            <w:proofErr w:type="spellStart"/>
            <w:r>
              <w:t>kontynuowania</w:t>
            </w:r>
            <w:proofErr w:type="spellEnd"/>
            <w:r>
              <w:t xml:space="preserve"> </w:t>
            </w:r>
            <w:proofErr w:type="spellStart"/>
            <w:r>
              <w:t>przedsięwzięć</w:t>
            </w:r>
            <w:proofErr w:type="spellEnd"/>
            <w:r>
              <w:t xml:space="preserve"> z </w:t>
            </w:r>
            <w:proofErr w:type="spellStart"/>
            <w:r>
              <w:t>zakresu</w:t>
            </w:r>
            <w:proofErr w:type="spellEnd"/>
            <w:r>
              <w:t xml:space="preserve"> </w:t>
            </w:r>
            <w:proofErr w:type="spellStart"/>
            <w:r>
              <w:t>godzenia</w:t>
            </w:r>
            <w:proofErr w:type="spellEnd"/>
            <w:r>
              <w:t xml:space="preserve"> </w:t>
            </w:r>
            <w:proofErr w:type="spellStart"/>
            <w:r>
              <w:t>życia</w:t>
            </w:r>
            <w:proofErr w:type="spellEnd"/>
            <w:r>
              <w:t xml:space="preserve"> </w:t>
            </w:r>
            <w:proofErr w:type="spellStart"/>
            <w:r>
              <w:t>zawodowego</w:t>
            </w:r>
            <w:proofErr w:type="spellEnd"/>
            <w:r>
              <w:t xml:space="preserve"> i </w:t>
            </w:r>
            <w:proofErr w:type="spellStart"/>
            <w:r>
              <w:t>rodzinnego</w:t>
            </w:r>
            <w:proofErr w:type="spellEnd"/>
            <w:r>
              <w:t xml:space="preserve">, </w:t>
            </w:r>
            <w:proofErr w:type="spellStart"/>
            <w:r>
              <w:t>ponieważ</w:t>
            </w:r>
            <w:proofErr w:type="spellEnd"/>
            <w:r>
              <w:t xml:space="preserve"> </w:t>
            </w:r>
            <w:proofErr w:type="spellStart"/>
            <w:r>
              <w:t>cechuje</w:t>
            </w:r>
            <w:proofErr w:type="spellEnd"/>
            <w:r>
              <w:t xml:space="preserve"> </w:t>
            </w:r>
            <w:proofErr w:type="spellStart"/>
            <w:r>
              <w:t>się</w:t>
            </w:r>
            <w:proofErr w:type="spellEnd"/>
            <w:r>
              <w:t xml:space="preserve"> </w:t>
            </w:r>
            <w:proofErr w:type="spellStart"/>
            <w:r>
              <w:t>wysokim</w:t>
            </w:r>
            <w:proofErr w:type="spellEnd"/>
            <w:r>
              <w:t xml:space="preserve"> </w:t>
            </w:r>
            <w:proofErr w:type="spellStart"/>
            <w:r>
              <w:t>poziomem</w:t>
            </w:r>
            <w:proofErr w:type="spellEnd"/>
            <w:r>
              <w:t xml:space="preserve"> </w:t>
            </w:r>
            <w:proofErr w:type="spellStart"/>
            <w:r>
              <w:t>trwałości</w:t>
            </w:r>
            <w:proofErr w:type="spellEnd"/>
            <w:r>
              <w:t xml:space="preserve"> </w:t>
            </w:r>
            <w:proofErr w:type="spellStart"/>
            <w:r>
              <w:lastRenderedPageBreak/>
              <w:t>efektów</w:t>
            </w:r>
            <w:proofErr w:type="spellEnd"/>
            <w:r>
              <w:t xml:space="preserve">; </w:t>
            </w:r>
            <w:proofErr w:type="spellStart"/>
            <w:r>
              <w:t>przygotowania</w:t>
            </w:r>
            <w:proofErr w:type="spellEnd"/>
            <w:r>
              <w:t xml:space="preserve"> form </w:t>
            </w:r>
            <w:proofErr w:type="spellStart"/>
            <w:r>
              <w:t>wsparcia</w:t>
            </w:r>
            <w:proofErr w:type="spellEnd"/>
            <w:r>
              <w:t xml:space="preserve">, </w:t>
            </w:r>
            <w:proofErr w:type="spellStart"/>
            <w:r>
              <w:t>które</w:t>
            </w:r>
            <w:proofErr w:type="spellEnd"/>
            <w:r>
              <w:t xml:space="preserve"> </w:t>
            </w:r>
            <w:proofErr w:type="spellStart"/>
            <w:r>
              <w:t>będą</w:t>
            </w:r>
            <w:proofErr w:type="spellEnd"/>
            <w:r>
              <w:t xml:space="preserve"> </w:t>
            </w:r>
            <w:proofErr w:type="spellStart"/>
            <w:r>
              <w:t>oferowały</w:t>
            </w:r>
            <w:proofErr w:type="spellEnd"/>
            <w:r>
              <w:t xml:space="preserve"> </w:t>
            </w:r>
            <w:proofErr w:type="spellStart"/>
            <w:r>
              <w:t>uczestnikom</w:t>
            </w:r>
            <w:proofErr w:type="spellEnd"/>
            <w:r>
              <w:t xml:space="preserve"> </w:t>
            </w:r>
            <w:proofErr w:type="spellStart"/>
            <w:r>
              <w:t>zdobycie</w:t>
            </w:r>
            <w:proofErr w:type="spellEnd"/>
            <w:r>
              <w:t xml:space="preserve"> </w:t>
            </w:r>
            <w:proofErr w:type="spellStart"/>
            <w:r>
              <w:t>praktycznych</w:t>
            </w:r>
            <w:proofErr w:type="spellEnd"/>
            <w:r>
              <w:t xml:space="preserve"> </w:t>
            </w:r>
            <w:proofErr w:type="spellStart"/>
            <w:r>
              <w:t>umiejętności</w:t>
            </w:r>
            <w:proofErr w:type="spellEnd"/>
            <w:r>
              <w:t xml:space="preserve"> i </w:t>
            </w:r>
            <w:proofErr w:type="spellStart"/>
            <w:r>
              <w:t>potwierdzonych</w:t>
            </w:r>
            <w:proofErr w:type="spellEnd"/>
            <w:r>
              <w:t xml:space="preserve"> </w:t>
            </w:r>
            <w:proofErr w:type="spellStart"/>
            <w:r>
              <w:t>certyfikatem</w:t>
            </w:r>
            <w:proofErr w:type="spellEnd"/>
            <w:r>
              <w:t xml:space="preserve"> </w:t>
            </w:r>
            <w:proofErr w:type="spellStart"/>
            <w:r>
              <w:t>kwalifikacji</w:t>
            </w:r>
            <w:proofErr w:type="spellEnd"/>
            <w:r>
              <w:t xml:space="preserve">, </w:t>
            </w:r>
            <w:proofErr w:type="spellStart"/>
            <w:r>
              <w:t>wpływających</w:t>
            </w:r>
            <w:proofErr w:type="spellEnd"/>
            <w:r>
              <w:t xml:space="preserve"> </w:t>
            </w:r>
            <w:proofErr w:type="spellStart"/>
            <w:r>
              <w:t>na</w:t>
            </w:r>
            <w:proofErr w:type="spellEnd"/>
            <w:r>
              <w:t xml:space="preserve"> </w:t>
            </w:r>
            <w:proofErr w:type="spellStart"/>
            <w:r>
              <w:t>możliwość</w:t>
            </w:r>
            <w:proofErr w:type="spellEnd"/>
            <w:r>
              <w:t xml:space="preserve"> </w:t>
            </w:r>
            <w:proofErr w:type="spellStart"/>
            <w:r>
              <w:t>awansu</w:t>
            </w:r>
            <w:proofErr w:type="spellEnd"/>
            <w:r>
              <w:t xml:space="preserve"> </w:t>
            </w:r>
            <w:proofErr w:type="spellStart"/>
            <w:r>
              <w:t>lub</w:t>
            </w:r>
            <w:proofErr w:type="spellEnd"/>
            <w:r>
              <w:t xml:space="preserve"> </w:t>
            </w:r>
            <w:proofErr w:type="spellStart"/>
            <w:r>
              <w:t>znalezienia</w:t>
            </w:r>
            <w:proofErr w:type="spellEnd"/>
            <w:r>
              <w:t xml:space="preserve"> </w:t>
            </w:r>
            <w:proofErr w:type="spellStart"/>
            <w:r>
              <w:t>lepszej</w:t>
            </w:r>
            <w:proofErr w:type="spellEnd"/>
            <w:r>
              <w:t xml:space="preserve"> </w:t>
            </w:r>
            <w:proofErr w:type="spellStart"/>
            <w:r>
              <w:t>pracy</w:t>
            </w:r>
            <w:proofErr w:type="spellEnd"/>
            <w:r>
              <w:t>.</w:t>
            </w:r>
          </w:p>
          <w:p w14:paraId="281D20AC" w14:textId="77777777" w:rsidR="006B2EC1" w:rsidRDefault="00E82A60">
            <w:pPr>
              <w:spacing w:before="240" w:after="240"/>
              <w:jc w:val="left"/>
            </w:pPr>
            <w:r>
              <w:t xml:space="preserve">W </w:t>
            </w:r>
            <w:proofErr w:type="spellStart"/>
            <w:r>
              <w:t>wyniku</w:t>
            </w:r>
            <w:proofErr w:type="spellEnd"/>
            <w:r>
              <w:t xml:space="preserve"> </w:t>
            </w:r>
            <w:proofErr w:type="spellStart"/>
            <w:r>
              <w:t>realizacji</w:t>
            </w:r>
            <w:proofErr w:type="spellEnd"/>
            <w:r>
              <w:t xml:space="preserve"> </w:t>
            </w:r>
            <w:proofErr w:type="spellStart"/>
            <w:r>
              <w:t>badania</w:t>
            </w:r>
            <w:proofErr w:type="spellEnd"/>
            <w:r>
              <w:t xml:space="preserve"> </w:t>
            </w:r>
            <w:proofErr w:type="spellStart"/>
            <w:r>
              <w:t>sformułowano</w:t>
            </w:r>
            <w:proofErr w:type="spellEnd"/>
            <w:r>
              <w:t xml:space="preserve"> 8 </w:t>
            </w:r>
            <w:proofErr w:type="spellStart"/>
            <w:r>
              <w:t>rekomendacji</w:t>
            </w:r>
            <w:proofErr w:type="spellEnd"/>
            <w:r>
              <w:t xml:space="preserve">, </w:t>
            </w:r>
            <w:proofErr w:type="spellStart"/>
            <w:r>
              <w:t>żadna</w:t>
            </w:r>
            <w:proofErr w:type="spellEnd"/>
            <w:r>
              <w:t xml:space="preserve"> </w:t>
            </w:r>
            <w:proofErr w:type="spellStart"/>
            <w:r>
              <w:t>nie</w:t>
            </w:r>
            <w:proofErr w:type="spellEnd"/>
            <w:r>
              <w:t xml:space="preserve"> </w:t>
            </w:r>
            <w:proofErr w:type="spellStart"/>
            <w:r>
              <w:t>została</w:t>
            </w:r>
            <w:proofErr w:type="spellEnd"/>
            <w:r>
              <w:t xml:space="preserve"> </w:t>
            </w:r>
            <w:proofErr w:type="spellStart"/>
            <w:r>
              <w:t>odrzucona</w:t>
            </w:r>
            <w:proofErr w:type="spellEnd"/>
            <w:r>
              <w:t>.</w:t>
            </w:r>
          </w:p>
          <w:p w14:paraId="007B1CBD" w14:textId="77777777" w:rsidR="006B2EC1" w:rsidRDefault="00E82A60">
            <w:pPr>
              <w:spacing w:before="240" w:after="240"/>
              <w:jc w:val="left"/>
            </w:pPr>
            <w:r>
              <w:t> </w:t>
            </w:r>
          </w:p>
          <w:p w14:paraId="0E0A1F42" w14:textId="77777777" w:rsidR="00932504" w:rsidRPr="006C5893" w:rsidRDefault="00932504" w:rsidP="0051119B">
            <w:pPr>
              <w:spacing w:before="0" w:after="0"/>
              <w:jc w:val="left"/>
              <w:rPr>
                <w:sz w:val="16"/>
                <w:szCs w:val="16"/>
                <w:lang w:val="fr-BE"/>
              </w:rPr>
            </w:pPr>
          </w:p>
        </w:tc>
      </w:tr>
      <w:tr w:rsidR="006B2EC1" w14:paraId="36085338" w14:textId="77777777" w:rsidTr="00776DD9">
        <w:tc>
          <w:tcPr>
            <w:tcW w:w="0" w:type="auto"/>
            <w:shd w:val="clear" w:color="auto" w:fill="auto"/>
          </w:tcPr>
          <w:p w14:paraId="6CA69068" w14:textId="77777777" w:rsidR="00932504" w:rsidRPr="006C5893" w:rsidRDefault="00E11D4E" w:rsidP="007D0631">
            <w:pPr>
              <w:spacing w:before="0" w:after="0"/>
              <w:jc w:val="left"/>
              <w:rPr>
                <w:sz w:val="16"/>
                <w:szCs w:val="16"/>
                <w:lang w:val="fr-BE"/>
              </w:rPr>
            </w:pPr>
            <w:r w:rsidRPr="006C5893">
              <w:rPr>
                <w:noProof/>
                <w:sz w:val="16"/>
                <w:szCs w:val="16"/>
                <w:lang w:val="fr-BE"/>
              </w:rPr>
              <w:lastRenderedPageBreak/>
              <w:t>Ocena instrumentu Zintegrowane Inwestycje Terytorialne</w:t>
            </w:r>
          </w:p>
        </w:tc>
        <w:tc>
          <w:tcPr>
            <w:tcW w:w="0" w:type="auto"/>
            <w:shd w:val="clear" w:color="auto" w:fill="auto"/>
          </w:tcPr>
          <w:p w14:paraId="4CFED756" w14:textId="77777777" w:rsidR="00932504" w:rsidRPr="006C5893" w:rsidRDefault="00E70F05" w:rsidP="00E70F05">
            <w:pPr>
              <w:spacing w:before="0" w:after="0"/>
              <w:jc w:val="left"/>
              <w:rPr>
                <w:sz w:val="16"/>
                <w:szCs w:val="16"/>
                <w:lang w:val="fr-BE"/>
              </w:rPr>
            </w:pPr>
            <w:r w:rsidRPr="006C5893">
              <w:rPr>
                <w:noProof/>
                <w:sz w:val="16"/>
                <w:szCs w:val="16"/>
                <w:lang w:val="fr-BE"/>
              </w:rPr>
              <w:t>EFRR</w:t>
            </w:r>
          </w:p>
          <w:p w14:paraId="6797CF8A" w14:textId="77777777" w:rsidR="00932504" w:rsidRPr="006C5893" w:rsidRDefault="00E70F05" w:rsidP="00E70F05">
            <w:pPr>
              <w:spacing w:before="0" w:after="0"/>
              <w:jc w:val="left"/>
              <w:rPr>
                <w:sz w:val="16"/>
                <w:szCs w:val="16"/>
                <w:lang w:val="fr-BE"/>
              </w:rPr>
            </w:pPr>
            <w:r w:rsidRPr="006C5893">
              <w:rPr>
                <w:noProof/>
                <w:sz w:val="16"/>
                <w:szCs w:val="16"/>
                <w:lang w:val="fr-BE"/>
              </w:rPr>
              <w:t>EFS</w:t>
            </w:r>
          </w:p>
        </w:tc>
        <w:tc>
          <w:tcPr>
            <w:tcW w:w="0" w:type="auto"/>
            <w:shd w:val="clear" w:color="auto" w:fill="auto"/>
          </w:tcPr>
          <w:p w14:paraId="4601BE0B" w14:textId="77777777" w:rsidR="00932504" w:rsidRPr="006C5893" w:rsidRDefault="0089499E" w:rsidP="007D0631">
            <w:pPr>
              <w:spacing w:before="0" w:after="0"/>
              <w:jc w:val="left"/>
              <w:rPr>
                <w:sz w:val="16"/>
                <w:szCs w:val="16"/>
                <w:lang w:val="fr-BE"/>
              </w:rPr>
            </w:pPr>
            <w:r w:rsidRPr="006C5893">
              <w:rPr>
                <w:noProof/>
                <w:sz w:val="16"/>
                <w:szCs w:val="16"/>
                <w:lang w:val="fr-BE"/>
              </w:rPr>
              <w:t>10</w:t>
            </w:r>
          </w:p>
        </w:tc>
        <w:tc>
          <w:tcPr>
            <w:tcW w:w="0" w:type="auto"/>
            <w:shd w:val="clear" w:color="auto" w:fill="auto"/>
          </w:tcPr>
          <w:p w14:paraId="4BE48ED3" w14:textId="77777777" w:rsidR="00932504" w:rsidRPr="006C5893" w:rsidRDefault="0089499E" w:rsidP="007D0631">
            <w:pPr>
              <w:spacing w:before="0" w:after="0"/>
              <w:jc w:val="left"/>
              <w:rPr>
                <w:sz w:val="16"/>
                <w:szCs w:val="16"/>
                <w:lang w:val="fr-BE"/>
              </w:rPr>
            </w:pPr>
            <w:r w:rsidRPr="006C5893">
              <w:rPr>
                <w:noProof/>
                <w:sz w:val="16"/>
                <w:szCs w:val="16"/>
                <w:lang w:val="fr-BE"/>
              </w:rPr>
              <w:t>2019</w:t>
            </w:r>
          </w:p>
        </w:tc>
        <w:tc>
          <w:tcPr>
            <w:tcW w:w="0" w:type="auto"/>
            <w:shd w:val="clear" w:color="auto" w:fill="auto"/>
          </w:tcPr>
          <w:p w14:paraId="1A4824E6" w14:textId="77777777" w:rsidR="00932504" w:rsidRPr="006C5893" w:rsidRDefault="0089499E" w:rsidP="007D0631">
            <w:pPr>
              <w:spacing w:before="0" w:after="0"/>
              <w:jc w:val="left"/>
              <w:rPr>
                <w:sz w:val="16"/>
                <w:szCs w:val="16"/>
                <w:lang w:val="fr-BE"/>
              </w:rPr>
            </w:pPr>
            <w:r w:rsidRPr="006C5893">
              <w:rPr>
                <w:noProof/>
                <w:sz w:val="16"/>
                <w:szCs w:val="16"/>
                <w:lang w:val="fr-BE"/>
              </w:rPr>
              <w:t>12</w:t>
            </w:r>
          </w:p>
        </w:tc>
        <w:tc>
          <w:tcPr>
            <w:tcW w:w="0" w:type="auto"/>
            <w:shd w:val="clear" w:color="auto" w:fill="auto"/>
          </w:tcPr>
          <w:p w14:paraId="5CBC42C7" w14:textId="77777777" w:rsidR="00932504" w:rsidRPr="006C5893" w:rsidRDefault="0089499E" w:rsidP="007D0631">
            <w:pPr>
              <w:spacing w:before="0" w:after="0"/>
              <w:jc w:val="left"/>
              <w:rPr>
                <w:sz w:val="16"/>
                <w:szCs w:val="16"/>
                <w:lang w:val="fr-BE"/>
              </w:rPr>
            </w:pPr>
            <w:r w:rsidRPr="006C5893">
              <w:rPr>
                <w:noProof/>
                <w:sz w:val="16"/>
                <w:szCs w:val="16"/>
                <w:lang w:val="fr-BE"/>
              </w:rPr>
              <w:t>2019</w:t>
            </w:r>
          </w:p>
        </w:tc>
        <w:tc>
          <w:tcPr>
            <w:tcW w:w="0" w:type="auto"/>
            <w:shd w:val="clear" w:color="auto" w:fill="auto"/>
          </w:tcPr>
          <w:p w14:paraId="3D5AA11D" w14:textId="77777777" w:rsidR="00932504" w:rsidRPr="006C5893" w:rsidRDefault="00B126B3" w:rsidP="0051119B">
            <w:pPr>
              <w:spacing w:before="0" w:after="0"/>
              <w:jc w:val="left"/>
              <w:rPr>
                <w:sz w:val="16"/>
                <w:szCs w:val="16"/>
                <w:lang w:val="fr-BE"/>
              </w:rPr>
            </w:pPr>
            <w:r w:rsidRPr="006C5893">
              <w:rPr>
                <w:noProof/>
                <w:sz w:val="16"/>
                <w:szCs w:val="16"/>
                <w:lang w:val="fr-BE"/>
              </w:rPr>
              <w:t>Proces</w:t>
            </w:r>
          </w:p>
        </w:tc>
        <w:tc>
          <w:tcPr>
            <w:tcW w:w="0" w:type="auto"/>
            <w:shd w:val="clear" w:color="auto" w:fill="auto"/>
          </w:tcPr>
          <w:p w14:paraId="58E3A0B0" w14:textId="77777777" w:rsidR="00932504" w:rsidRPr="006C5893" w:rsidRDefault="00092FD6" w:rsidP="00092FD6">
            <w:pPr>
              <w:spacing w:before="0" w:after="0"/>
              <w:jc w:val="left"/>
              <w:rPr>
                <w:sz w:val="16"/>
                <w:szCs w:val="16"/>
                <w:lang w:val="fr-BE"/>
              </w:rPr>
            </w:pPr>
            <w:r w:rsidRPr="006C5893">
              <w:rPr>
                <w:noProof/>
                <w:sz w:val="16"/>
                <w:szCs w:val="16"/>
                <w:lang w:val="fr-BE"/>
              </w:rPr>
              <w:t>04</w:t>
            </w:r>
          </w:p>
          <w:p w14:paraId="2F9860E5" w14:textId="77777777" w:rsidR="00932504" w:rsidRPr="006C5893" w:rsidRDefault="00092FD6" w:rsidP="00092FD6">
            <w:pPr>
              <w:spacing w:before="0" w:after="0"/>
              <w:jc w:val="left"/>
              <w:rPr>
                <w:sz w:val="16"/>
                <w:szCs w:val="16"/>
                <w:lang w:val="fr-BE"/>
              </w:rPr>
            </w:pPr>
            <w:r w:rsidRPr="006C5893">
              <w:rPr>
                <w:noProof/>
                <w:sz w:val="16"/>
                <w:szCs w:val="16"/>
                <w:lang w:val="fr-BE"/>
              </w:rPr>
              <w:t>06</w:t>
            </w:r>
          </w:p>
          <w:p w14:paraId="03CA0CAF" w14:textId="77777777" w:rsidR="00932504" w:rsidRPr="006C5893" w:rsidRDefault="00092FD6" w:rsidP="00092FD6">
            <w:pPr>
              <w:spacing w:before="0" w:after="0"/>
              <w:jc w:val="left"/>
              <w:rPr>
                <w:sz w:val="16"/>
                <w:szCs w:val="16"/>
                <w:lang w:val="fr-BE"/>
              </w:rPr>
            </w:pPr>
            <w:r w:rsidRPr="006C5893">
              <w:rPr>
                <w:noProof/>
                <w:sz w:val="16"/>
                <w:szCs w:val="16"/>
                <w:lang w:val="fr-BE"/>
              </w:rPr>
              <w:t>07</w:t>
            </w:r>
          </w:p>
          <w:p w14:paraId="795540BB" w14:textId="77777777" w:rsidR="00932504" w:rsidRPr="006C5893" w:rsidRDefault="00092FD6" w:rsidP="00092FD6">
            <w:pPr>
              <w:spacing w:before="0" w:after="0"/>
              <w:jc w:val="left"/>
              <w:rPr>
                <w:sz w:val="16"/>
                <w:szCs w:val="16"/>
                <w:lang w:val="fr-BE"/>
              </w:rPr>
            </w:pPr>
            <w:r w:rsidRPr="006C5893">
              <w:rPr>
                <w:noProof/>
                <w:sz w:val="16"/>
                <w:szCs w:val="16"/>
                <w:lang w:val="fr-BE"/>
              </w:rPr>
              <w:t>08</w:t>
            </w:r>
          </w:p>
          <w:p w14:paraId="56A137C0" w14:textId="77777777" w:rsidR="00932504" w:rsidRPr="006C5893" w:rsidRDefault="00092FD6" w:rsidP="00092FD6">
            <w:pPr>
              <w:spacing w:before="0" w:after="0"/>
              <w:jc w:val="left"/>
              <w:rPr>
                <w:sz w:val="16"/>
                <w:szCs w:val="16"/>
                <w:lang w:val="fr-BE"/>
              </w:rPr>
            </w:pPr>
            <w:r w:rsidRPr="006C5893">
              <w:rPr>
                <w:noProof/>
                <w:sz w:val="16"/>
                <w:szCs w:val="16"/>
                <w:lang w:val="fr-BE"/>
              </w:rPr>
              <w:t>09</w:t>
            </w:r>
          </w:p>
          <w:p w14:paraId="01E4974C" w14:textId="77777777" w:rsidR="00932504" w:rsidRPr="006C5893" w:rsidRDefault="00092FD6" w:rsidP="00092FD6">
            <w:pPr>
              <w:spacing w:before="0" w:after="0"/>
              <w:jc w:val="left"/>
              <w:rPr>
                <w:sz w:val="16"/>
                <w:szCs w:val="16"/>
                <w:lang w:val="fr-BE"/>
              </w:rPr>
            </w:pPr>
            <w:r w:rsidRPr="006C5893">
              <w:rPr>
                <w:noProof/>
                <w:sz w:val="16"/>
                <w:szCs w:val="16"/>
                <w:lang w:val="fr-BE"/>
              </w:rPr>
              <w:t>10</w:t>
            </w:r>
          </w:p>
        </w:tc>
        <w:tc>
          <w:tcPr>
            <w:tcW w:w="0" w:type="auto"/>
            <w:shd w:val="clear" w:color="auto" w:fill="auto"/>
          </w:tcPr>
          <w:p w14:paraId="398CEA38" w14:textId="77777777" w:rsidR="006B2EC1" w:rsidRDefault="00E82A60">
            <w:pPr>
              <w:spacing w:before="0" w:after="240"/>
              <w:jc w:val="left"/>
            </w:pPr>
            <w:proofErr w:type="spellStart"/>
            <w:r>
              <w:t>Głównym</w:t>
            </w:r>
            <w:proofErr w:type="spellEnd"/>
            <w:r>
              <w:t xml:space="preserve"> </w:t>
            </w:r>
            <w:proofErr w:type="spellStart"/>
            <w:r>
              <w:t>celem</w:t>
            </w:r>
            <w:proofErr w:type="spellEnd"/>
            <w:r>
              <w:t xml:space="preserve"> </w:t>
            </w:r>
            <w:proofErr w:type="spellStart"/>
            <w:r>
              <w:t>badania</w:t>
            </w:r>
            <w:proofErr w:type="spellEnd"/>
            <w:r>
              <w:t xml:space="preserve"> </w:t>
            </w:r>
            <w:proofErr w:type="spellStart"/>
            <w:r>
              <w:t>było</w:t>
            </w:r>
            <w:proofErr w:type="spellEnd"/>
            <w:r>
              <w:t xml:space="preserve"> </w:t>
            </w:r>
            <w:proofErr w:type="spellStart"/>
            <w:r>
              <w:t>dokonanie</w:t>
            </w:r>
            <w:proofErr w:type="spellEnd"/>
            <w:r>
              <w:t xml:space="preserve"> </w:t>
            </w:r>
            <w:proofErr w:type="spellStart"/>
            <w:r>
              <w:t>oceny</w:t>
            </w:r>
            <w:proofErr w:type="spellEnd"/>
            <w:r>
              <w:t xml:space="preserve"> </w:t>
            </w:r>
            <w:proofErr w:type="spellStart"/>
            <w:r>
              <w:t>interwencji</w:t>
            </w:r>
            <w:proofErr w:type="spellEnd"/>
            <w:r>
              <w:t xml:space="preserve"> RPOWŚ 2014-2020 </w:t>
            </w:r>
            <w:proofErr w:type="spellStart"/>
            <w:r>
              <w:t>realizowanej</w:t>
            </w:r>
            <w:proofErr w:type="spellEnd"/>
            <w:r>
              <w:t xml:space="preserve"> w </w:t>
            </w:r>
            <w:proofErr w:type="spellStart"/>
            <w:r>
              <w:t>ramach</w:t>
            </w:r>
            <w:proofErr w:type="spellEnd"/>
            <w:r>
              <w:t xml:space="preserve"> </w:t>
            </w:r>
            <w:proofErr w:type="spellStart"/>
            <w:r>
              <w:t>Zintegrowanych</w:t>
            </w:r>
            <w:proofErr w:type="spellEnd"/>
            <w:r>
              <w:t xml:space="preserve"> Inwestycji </w:t>
            </w:r>
            <w:proofErr w:type="spellStart"/>
            <w:r>
              <w:t>Terytorialnych</w:t>
            </w:r>
            <w:proofErr w:type="spellEnd"/>
            <w:r>
              <w:t xml:space="preserve"> </w:t>
            </w:r>
            <w:proofErr w:type="spellStart"/>
            <w:r>
              <w:t>Kieleckiego</w:t>
            </w:r>
            <w:proofErr w:type="spellEnd"/>
            <w:r>
              <w:t xml:space="preserve"> </w:t>
            </w:r>
            <w:proofErr w:type="spellStart"/>
            <w:r>
              <w:t>Obszaru</w:t>
            </w:r>
            <w:proofErr w:type="spellEnd"/>
            <w:r>
              <w:t xml:space="preserve"> </w:t>
            </w:r>
            <w:proofErr w:type="spellStart"/>
            <w:r>
              <w:t>Funkcjonalnego</w:t>
            </w:r>
            <w:proofErr w:type="spellEnd"/>
            <w:r>
              <w:t xml:space="preserve">, pod </w:t>
            </w:r>
            <w:proofErr w:type="spellStart"/>
            <w:r>
              <w:t>kątem</w:t>
            </w:r>
            <w:proofErr w:type="spellEnd"/>
            <w:r>
              <w:t xml:space="preserve"> </w:t>
            </w:r>
            <w:proofErr w:type="spellStart"/>
            <w:r>
              <w:t>oceny</w:t>
            </w:r>
            <w:proofErr w:type="spellEnd"/>
            <w:r>
              <w:t xml:space="preserve"> </w:t>
            </w:r>
            <w:proofErr w:type="spellStart"/>
            <w:r>
              <w:t>trafności</w:t>
            </w:r>
            <w:proofErr w:type="spellEnd"/>
            <w:r>
              <w:t xml:space="preserve"> </w:t>
            </w:r>
            <w:proofErr w:type="spellStart"/>
            <w:r>
              <w:t>przyjętego</w:t>
            </w:r>
            <w:proofErr w:type="spellEnd"/>
            <w:r>
              <w:t xml:space="preserve"> </w:t>
            </w:r>
            <w:proofErr w:type="spellStart"/>
            <w:r>
              <w:t>systemu</w:t>
            </w:r>
            <w:proofErr w:type="spellEnd"/>
            <w:r>
              <w:t xml:space="preserve"> </w:t>
            </w:r>
            <w:proofErr w:type="spellStart"/>
            <w:r>
              <w:t>realizacji</w:t>
            </w:r>
            <w:proofErr w:type="spellEnd"/>
            <w:r>
              <w:t xml:space="preserve"> i </w:t>
            </w:r>
            <w:proofErr w:type="spellStart"/>
            <w:r>
              <w:t>skuteczności</w:t>
            </w:r>
            <w:proofErr w:type="spellEnd"/>
            <w:r>
              <w:t xml:space="preserve"> </w:t>
            </w:r>
            <w:proofErr w:type="spellStart"/>
            <w:r>
              <w:t>wdrażania</w:t>
            </w:r>
            <w:proofErr w:type="spellEnd"/>
            <w:r>
              <w:t xml:space="preserve"> </w:t>
            </w:r>
            <w:proofErr w:type="spellStart"/>
            <w:r>
              <w:t>interwencji</w:t>
            </w:r>
            <w:proofErr w:type="spellEnd"/>
            <w:r>
              <w:t xml:space="preserve"> w </w:t>
            </w:r>
            <w:proofErr w:type="spellStart"/>
            <w:r>
              <w:t>ramach</w:t>
            </w:r>
            <w:proofErr w:type="spellEnd"/>
            <w:r>
              <w:t xml:space="preserve"> ZIT, w </w:t>
            </w:r>
            <w:proofErr w:type="spellStart"/>
            <w:r>
              <w:t>kontekście</w:t>
            </w:r>
            <w:proofErr w:type="spellEnd"/>
            <w:r>
              <w:t xml:space="preserve"> </w:t>
            </w:r>
            <w:proofErr w:type="spellStart"/>
            <w:r>
              <w:t>osiągania</w:t>
            </w:r>
            <w:proofErr w:type="spellEnd"/>
            <w:r>
              <w:t xml:space="preserve"> </w:t>
            </w:r>
            <w:proofErr w:type="spellStart"/>
            <w:r>
              <w:t>założonych</w:t>
            </w:r>
            <w:proofErr w:type="spellEnd"/>
            <w:r>
              <w:t xml:space="preserve"> </w:t>
            </w:r>
            <w:proofErr w:type="spellStart"/>
            <w:r>
              <w:t>celów</w:t>
            </w:r>
            <w:proofErr w:type="spellEnd"/>
            <w:r>
              <w:t xml:space="preserve"> </w:t>
            </w:r>
            <w:proofErr w:type="spellStart"/>
            <w:r>
              <w:t>Programu</w:t>
            </w:r>
            <w:proofErr w:type="spellEnd"/>
            <w:r>
              <w:t xml:space="preserve">. Na </w:t>
            </w:r>
            <w:proofErr w:type="spellStart"/>
            <w:r>
              <w:t>podstawie</w:t>
            </w:r>
            <w:proofErr w:type="spellEnd"/>
            <w:r>
              <w:t xml:space="preserve"> </w:t>
            </w:r>
            <w:proofErr w:type="spellStart"/>
            <w:r>
              <w:t>badań</w:t>
            </w:r>
            <w:proofErr w:type="spellEnd"/>
            <w:r>
              <w:t xml:space="preserve"> </w:t>
            </w:r>
            <w:proofErr w:type="spellStart"/>
            <w:r>
              <w:t>ilościowych</w:t>
            </w:r>
            <w:proofErr w:type="spellEnd"/>
            <w:r>
              <w:t xml:space="preserve"> i </w:t>
            </w:r>
            <w:proofErr w:type="spellStart"/>
            <w:r>
              <w:t>jakościowych</w:t>
            </w:r>
            <w:proofErr w:type="spellEnd"/>
            <w:r>
              <w:t xml:space="preserve"> </w:t>
            </w:r>
            <w:proofErr w:type="spellStart"/>
            <w:r>
              <w:t>została</w:t>
            </w:r>
            <w:proofErr w:type="spellEnd"/>
            <w:r>
              <w:t xml:space="preserve"> </w:t>
            </w:r>
            <w:proofErr w:type="spellStart"/>
            <w:r>
              <w:t>dokonana</w:t>
            </w:r>
            <w:proofErr w:type="spellEnd"/>
            <w:r>
              <w:t xml:space="preserve"> </w:t>
            </w:r>
            <w:proofErr w:type="spellStart"/>
            <w:r>
              <w:t>ocena</w:t>
            </w:r>
            <w:proofErr w:type="spellEnd"/>
            <w:r>
              <w:t xml:space="preserve"> </w:t>
            </w:r>
            <w:proofErr w:type="spellStart"/>
            <w:r>
              <w:t>dotychczasowego</w:t>
            </w:r>
            <w:proofErr w:type="spellEnd"/>
            <w:r>
              <w:t xml:space="preserve"> </w:t>
            </w:r>
            <w:proofErr w:type="spellStart"/>
            <w:r>
              <w:t>wdrażania</w:t>
            </w:r>
            <w:proofErr w:type="spellEnd"/>
            <w:r>
              <w:t xml:space="preserve"> </w:t>
            </w:r>
            <w:proofErr w:type="spellStart"/>
            <w:r>
              <w:t>projektów</w:t>
            </w:r>
            <w:proofErr w:type="spellEnd"/>
            <w:r>
              <w:t xml:space="preserve"> w </w:t>
            </w:r>
            <w:proofErr w:type="spellStart"/>
            <w:r>
              <w:t>ramach</w:t>
            </w:r>
            <w:proofErr w:type="spellEnd"/>
            <w:r>
              <w:t xml:space="preserve"> ZIT KOF </w:t>
            </w:r>
            <w:proofErr w:type="spellStart"/>
            <w:r>
              <w:t>oraz</w:t>
            </w:r>
            <w:proofErr w:type="spellEnd"/>
            <w:r>
              <w:t xml:space="preserve"> </w:t>
            </w:r>
            <w:proofErr w:type="spellStart"/>
            <w:r>
              <w:t>ocena</w:t>
            </w:r>
            <w:proofErr w:type="spellEnd"/>
            <w:r>
              <w:t xml:space="preserve"> </w:t>
            </w:r>
            <w:proofErr w:type="spellStart"/>
            <w:r>
              <w:t>systemu</w:t>
            </w:r>
            <w:proofErr w:type="spellEnd"/>
            <w:r>
              <w:t xml:space="preserve"> </w:t>
            </w:r>
            <w:proofErr w:type="spellStart"/>
            <w:r>
              <w:t>realizacji</w:t>
            </w:r>
            <w:proofErr w:type="spellEnd"/>
            <w:r>
              <w:t xml:space="preserve"> </w:t>
            </w:r>
            <w:proofErr w:type="spellStart"/>
            <w:r>
              <w:t>instrumentu</w:t>
            </w:r>
            <w:proofErr w:type="spellEnd"/>
            <w:r>
              <w:t xml:space="preserve"> ZIT.</w:t>
            </w:r>
          </w:p>
          <w:p w14:paraId="6E02353E" w14:textId="77777777" w:rsidR="00932504" w:rsidRPr="006C5893" w:rsidRDefault="00932504" w:rsidP="0051119B">
            <w:pPr>
              <w:spacing w:before="0" w:after="0"/>
              <w:jc w:val="left"/>
              <w:rPr>
                <w:sz w:val="16"/>
                <w:szCs w:val="16"/>
                <w:lang w:val="fr-BE"/>
              </w:rPr>
            </w:pPr>
          </w:p>
        </w:tc>
        <w:tc>
          <w:tcPr>
            <w:tcW w:w="0" w:type="auto"/>
            <w:shd w:val="clear" w:color="auto" w:fill="auto"/>
          </w:tcPr>
          <w:p w14:paraId="65C186A1" w14:textId="77777777" w:rsidR="006B2EC1" w:rsidRDefault="00E82A60">
            <w:pPr>
              <w:spacing w:before="0" w:after="240"/>
              <w:jc w:val="left"/>
            </w:pPr>
            <w:proofErr w:type="spellStart"/>
            <w:r>
              <w:t>Wdrażanie</w:t>
            </w:r>
            <w:proofErr w:type="spellEnd"/>
            <w:r>
              <w:t xml:space="preserve"> </w:t>
            </w:r>
            <w:proofErr w:type="spellStart"/>
            <w:r>
              <w:t>instrumentu</w:t>
            </w:r>
            <w:proofErr w:type="spellEnd"/>
            <w:r>
              <w:t xml:space="preserve"> ZIT w </w:t>
            </w:r>
            <w:proofErr w:type="spellStart"/>
            <w:r>
              <w:t>regionie</w:t>
            </w:r>
            <w:proofErr w:type="spellEnd"/>
            <w:r>
              <w:t xml:space="preserve"> </w:t>
            </w:r>
            <w:proofErr w:type="spellStart"/>
            <w:r>
              <w:t>następuje</w:t>
            </w:r>
            <w:proofErr w:type="spellEnd"/>
            <w:r>
              <w:t xml:space="preserve"> </w:t>
            </w:r>
            <w:proofErr w:type="spellStart"/>
            <w:r>
              <w:t>prawidłowo</w:t>
            </w:r>
            <w:proofErr w:type="spellEnd"/>
            <w:r>
              <w:t xml:space="preserve">, </w:t>
            </w:r>
            <w:proofErr w:type="spellStart"/>
            <w:r>
              <w:t>wykorzystanie</w:t>
            </w:r>
            <w:proofErr w:type="spellEnd"/>
            <w:r>
              <w:t xml:space="preserve"> </w:t>
            </w:r>
            <w:proofErr w:type="spellStart"/>
            <w:r>
              <w:t>alokacji</w:t>
            </w:r>
            <w:proofErr w:type="spellEnd"/>
            <w:r>
              <w:t xml:space="preserve"> w </w:t>
            </w:r>
            <w:proofErr w:type="spellStart"/>
            <w:r>
              <w:t>ramach</w:t>
            </w:r>
            <w:proofErr w:type="spellEnd"/>
            <w:r>
              <w:t xml:space="preserve"> ZIT </w:t>
            </w:r>
            <w:proofErr w:type="spellStart"/>
            <w:r>
              <w:t>wyniosło</w:t>
            </w:r>
            <w:proofErr w:type="spellEnd"/>
            <w:r>
              <w:t xml:space="preserve"> 90,76%. </w:t>
            </w:r>
            <w:proofErr w:type="spellStart"/>
            <w:r>
              <w:t>Przeprowadzone</w:t>
            </w:r>
            <w:proofErr w:type="spellEnd"/>
            <w:r>
              <w:t xml:space="preserve"> </w:t>
            </w:r>
            <w:proofErr w:type="spellStart"/>
            <w:r>
              <w:t>analizy</w:t>
            </w:r>
            <w:proofErr w:type="spellEnd"/>
            <w:r>
              <w:t xml:space="preserve"> </w:t>
            </w:r>
            <w:proofErr w:type="spellStart"/>
            <w:r>
              <w:t>wskazują</w:t>
            </w:r>
            <w:proofErr w:type="spellEnd"/>
            <w:r>
              <w:t xml:space="preserve">, </w:t>
            </w:r>
            <w:proofErr w:type="spellStart"/>
            <w:r>
              <w:t>iż</w:t>
            </w:r>
            <w:proofErr w:type="spellEnd"/>
            <w:r>
              <w:t xml:space="preserve"> </w:t>
            </w:r>
            <w:proofErr w:type="spellStart"/>
            <w:r>
              <w:t>zdecydowana</w:t>
            </w:r>
            <w:proofErr w:type="spellEnd"/>
            <w:r>
              <w:t xml:space="preserve"> </w:t>
            </w:r>
            <w:proofErr w:type="spellStart"/>
            <w:r>
              <w:t>większość</w:t>
            </w:r>
            <w:proofErr w:type="spellEnd"/>
            <w:r>
              <w:t xml:space="preserve"> </w:t>
            </w:r>
            <w:proofErr w:type="spellStart"/>
            <w:r>
              <w:t>wskaźników</w:t>
            </w:r>
            <w:proofErr w:type="spellEnd"/>
            <w:r>
              <w:t xml:space="preserve"> </w:t>
            </w:r>
            <w:proofErr w:type="spellStart"/>
            <w:r>
              <w:t>rzeczowych</w:t>
            </w:r>
            <w:proofErr w:type="spellEnd"/>
            <w:r>
              <w:t xml:space="preserve"> </w:t>
            </w:r>
            <w:proofErr w:type="spellStart"/>
            <w:r>
              <w:t>zostanie</w:t>
            </w:r>
            <w:proofErr w:type="spellEnd"/>
            <w:r>
              <w:t xml:space="preserve"> </w:t>
            </w:r>
            <w:proofErr w:type="spellStart"/>
            <w:r>
              <w:t>osiągnięta</w:t>
            </w:r>
            <w:proofErr w:type="spellEnd"/>
            <w:r>
              <w:t xml:space="preserve">, </w:t>
            </w:r>
            <w:proofErr w:type="spellStart"/>
            <w:r>
              <w:t>nie</w:t>
            </w:r>
            <w:proofErr w:type="spellEnd"/>
            <w:r>
              <w:t xml:space="preserve"> </w:t>
            </w:r>
            <w:proofErr w:type="spellStart"/>
            <w:r>
              <w:t>przewiduje</w:t>
            </w:r>
            <w:proofErr w:type="spellEnd"/>
            <w:r>
              <w:t xml:space="preserve"> </w:t>
            </w:r>
            <w:proofErr w:type="spellStart"/>
            <w:r>
              <w:t>się</w:t>
            </w:r>
            <w:proofErr w:type="spellEnd"/>
            <w:r>
              <w:t xml:space="preserve"> </w:t>
            </w:r>
            <w:proofErr w:type="spellStart"/>
            <w:r>
              <w:t>trudności</w:t>
            </w:r>
            <w:proofErr w:type="spellEnd"/>
            <w:r>
              <w:t xml:space="preserve"> w </w:t>
            </w:r>
            <w:proofErr w:type="spellStart"/>
            <w:r>
              <w:t>wypełnieniu</w:t>
            </w:r>
            <w:proofErr w:type="spellEnd"/>
            <w:r>
              <w:t xml:space="preserve"> </w:t>
            </w:r>
            <w:proofErr w:type="spellStart"/>
            <w:r>
              <w:t>zobowiązań</w:t>
            </w:r>
            <w:proofErr w:type="spellEnd"/>
            <w:r>
              <w:t xml:space="preserve"> </w:t>
            </w:r>
            <w:proofErr w:type="spellStart"/>
            <w:r>
              <w:t>finansowych</w:t>
            </w:r>
            <w:proofErr w:type="spellEnd"/>
            <w:r>
              <w:t xml:space="preserve">. </w:t>
            </w:r>
            <w:proofErr w:type="spellStart"/>
            <w:r>
              <w:t>Obecny</w:t>
            </w:r>
            <w:proofErr w:type="spellEnd"/>
            <w:r>
              <w:t xml:space="preserve"> </w:t>
            </w:r>
            <w:proofErr w:type="spellStart"/>
            <w:r>
              <w:t>zakres</w:t>
            </w:r>
            <w:proofErr w:type="spellEnd"/>
            <w:r>
              <w:t xml:space="preserve"> </w:t>
            </w:r>
            <w:proofErr w:type="spellStart"/>
            <w:r>
              <w:t>wsparcia</w:t>
            </w:r>
            <w:proofErr w:type="spellEnd"/>
            <w:r>
              <w:t xml:space="preserve"> </w:t>
            </w:r>
            <w:proofErr w:type="spellStart"/>
            <w:r>
              <w:t>nie</w:t>
            </w:r>
            <w:proofErr w:type="spellEnd"/>
            <w:r>
              <w:t xml:space="preserve"> </w:t>
            </w:r>
            <w:proofErr w:type="spellStart"/>
            <w:r>
              <w:t>zaspokaja</w:t>
            </w:r>
            <w:proofErr w:type="spellEnd"/>
            <w:r>
              <w:t xml:space="preserve"> w </w:t>
            </w:r>
            <w:proofErr w:type="spellStart"/>
            <w:r>
              <w:t>pełni</w:t>
            </w:r>
            <w:proofErr w:type="spellEnd"/>
            <w:r>
              <w:t xml:space="preserve"> </w:t>
            </w:r>
            <w:proofErr w:type="spellStart"/>
            <w:r>
              <w:t>najważniejszych</w:t>
            </w:r>
            <w:proofErr w:type="spellEnd"/>
            <w:r>
              <w:t xml:space="preserve"> </w:t>
            </w:r>
            <w:proofErr w:type="spellStart"/>
            <w:r>
              <w:t>potrzeb</w:t>
            </w:r>
            <w:proofErr w:type="spellEnd"/>
            <w:r>
              <w:t xml:space="preserve"> KOF, a </w:t>
            </w:r>
            <w:proofErr w:type="spellStart"/>
            <w:r>
              <w:t>wysokość</w:t>
            </w:r>
            <w:proofErr w:type="spellEnd"/>
            <w:r>
              <w:t xml:space="preserve"> </w:t>
            </w:r>
            <w:proofErr w:type="spellStart"/>
            <w:r>
              <w:t>dostępnych</w:t>
            </w:r>
            <w:proofErr w:type="spellEnd"/>
            <w:r>
              <w:t xml:space="preserve"> </w:t>
            </w:r>
            <w:proofErr w:type="spellStart"/>
            <w:r>
              <w:t>środków</w:t>
            </w:r>
            <w:proofErr w:type="spellEnd"/>
            <w:r>
              <w:t xml:space="preserve"> jest </w:t>
            </w:r>
            <w:proofErr w:type="spellStart"/>
            <w:r>
              <w:t>zbyt</w:t>
            </w:r>
            <w:proofErr w:type="spellEnd"/>
            <w:r>
              <w:t xml:space="preserve"> </w:t>
            </w:r>
            <w:proofErr w:type="spellStart"/>
            <w:r>
              <w:t>niska</w:t>
            </w:r>
            <w:proofErr w:type="spellEnd"/>
            <w:r>
              <w:t xml:space="preserve"> w </w:t>
            </w:r>
            <w:proofErr w:type="spellStart"/>
            <w:r>
              <w:t>stosunku</w:t>
            </w:r>
            <w:proofErr w:type="spellEnd"/>
            <w:r>
              <w:t xml:space="preserve"> do </w:t>
            </w:r>
            <w:proofErr w:type="spellStart"/>
            <w:r>
              <w:t>występujących</w:t>
            </w:r>
            <w:proofErr w:type="spellEnd"/>
            <w:r>
              <w:t xml:space="preserve"> </w:t>
            </w:r>
            <w:proofErr w:type="spellStart"/>
            <w:r>
              <w:t>wyzwań</w:t>
            </w:r>
            <w:proofErr w:type="spellEnd"/>
            <w:r>
              <w:t xml:space="preserve"> </w:t>
            </w:r>
            <w:proofErr w:type="spellStart"/>
            <w:r>
              <w:t>rozwojowych</w:t>
            </w:r>
            <w:proofErr w:type="spellEnd"/>
            <w:r>
              <w:t xml:space="preserve">. </w:t>
            </w:r>
            <w:proofErr w:type="spellStart"/>
            <w:r>
              <w:t>Tryb</w:t>
            </w:r>
            <w:proofErr w:type="spellEnd"/>
            <w:r>
              <w:t xml:space="preserve"> </w:t>
            </w:r>
            <w:proofErr w:type="spellStart"/>
            <w:r>
              <w:t>wyboru</w:t>
            </w:r>
            <w:proofErr w:type="spellEnd"/>
            <w:r>
              <w:t xml:space="preserve"> </w:t>
            </w:r>
            <w:proofErr w:type="spellStart"/>
            <w:r>
              <w:t>projektów</w:t>
            </w:r>
            <w:proofErr w:type="spellEnd"/>
            <w:r>
              <w:t xml:space="preserve"> </w:t>
            </w:r>
            <w:proofErr w:type="spellStart"/>
            <w:r>
              <w:t>zastosowany</w:t>
            </w:r>
            <w:proofErr w:type="spellEnd"/>
            <w:r>
              <w:t xml:space="preserve"> </w:t>
            </w:r>
            <w:proofErr w:type="spellStart"/>
            <w:r>
              <w:t>dla</w:t>
            </w:r>
            <w:proofErr w:type="spellEnd"/>
            <w:r>
              <w:t xml:space="preserve"> </w:t>
            </w:r>
            <w:proofErr w:type="spellStart"/>
            <w:r>
              <w:t>instrumentu</w:t>
            </w:r>
            <w:proofErr w:type="spellEnd"/>
            <w:r>
              <w:t xml:space="preserve"> ZIT </w:t>
            </w:r>
            <w:proofErr w:type="spellStart"/>
            <w:r>
              <w:t>został</w:t>
            </w:r>
            <w:proofErr w:type="spellEnd"/>
            <w:r>
              <w:t xml:space="preserve"> </w:t>
            </w:r>
            <w:proofErr w:type="spellStart"/>
            <w:r>
              <w:t>skonstruowany</w:t>
            </w:r>
            <w:proofErr w:type="spellEnd"/>
            <w:r>
              <w:t xml:space="preserve"> </w:t>
            </w:r>
            <w:proofErr w:type="spellStart"/>
            <w:r>
              <w:t>prawidłowo</w:t>
            </w:r>
            <w:proofErr w:type="spellEnd"/>
            <w:r>
              <w:t xml:space="preserve"> i w </w:t>
            </w:r>
            <w:proofErr w:type="spellStart"/>
            <w:r>
              <w:t>obecnej</w:t>
            </w:r>
            <w:proofErr w:type="spellEnd"/>
            <w:r>
              <w:t xml:space="preserve"> </w:t>
            </w:r>
            <w:proofErr w:type="spellStart"/>
            <w:r>
              <w:t>formule</w:t>
            </w:r>
            <w:proofErr w:type="spellEnd"/>
            <w:r>
              <w:t xml:space="preserve"> </w:t>
            </w:r>
            <w:proofErr w:type="spellStart"/>
            <w:r>
              <w:t>powinien</w:t>
            </w:r>
            <w:proofErr w:type="spellEnd"/>
            <w:r>
              <w:t xml:space="preserve"> </w:t>
            </w:r>
            <w:proofErr w:type="spellStart"/>
            <w:r>
              <w:t>być</w:t>
            </w:r>
            <w:proofErr w:type="spellEnd"/>
            <w:r>
              <w:t xml:space="preserve"> </w:t>
            </w:r>
            <w:proofErr w:type="spellStart"/>
            <w:r>
              <w:t>utrzymany</w:t>
            </w:r>
            <w:proofErr w:type="spellEnd"/>
            <w:r>
              <w:t xml:space="preserve"> w </w:t>
            </w:r>
            <w:proofErr w:type="spellStart"/>
            <w:r>
              <w:t>przyszłości</w:t>
            </w:r>
            <w:proofErr w:type="spellEnd"/>
            <w:r>
              <w:t xml:space="preserve">. W </w:t>
            </w:r>
            <w:proofErr w:type="spellStart"/>
            <w:r>
              <w:t>ramach</w:t>
            </w:r>
            <w:proofErr w:type="spellEnd"/>
            <w:r>
              <w:t xml:space="preserve"> </w:t>
            </w:r>
            <w:proofErr w:type="spellStart"/>
            <w:r>
              <w:t>projektów</w:t>
            </w:r>
            <w:proofErr w:type="spellEnd"/>
            <w:r>
              <w:t xml:space="preserve"> </w:t>
            </w:r>
            <w:proofErr w:type="spellStart"/>
            <w:r>
              <w:t>realizowanych</w:t>
            </w:r>
            <w:proofErr w:type="spellEnd"/>
            <w:r>
              <w:t xml:space="preserve"> w </w:t>
            </w:r>
            <w:proofErr w:type="spellStart"/>
            <w:r>
              <w:t>formule</w:t>
            </w:r>
            <w:proofErr w:type="spellEnd"/>
            <w:r>
              <w:t xml:space="preserve"> ZIT </w:t>
            </w:r>
            <w:proofErr w:type="spellStart"/>
            <w:r>
              <w:t>zidentyfikowano</w:t>
            </w:r>
            <w:proofErr w:type="spellEnd"/>
            <w:r>
              <w:t xml:space="preserve"> </w:t>
            </w:r>
            <w:proofErr w:type="spellStart"/>
            <w:r>
              <w:t>występowanie</w:t>
            </w:r>
            <w:proofErr w:type="spellEnd"/>
            <w:r>
              <w:t xml:space="preserve"> </w:t>
            </w:r>
            <w:proofErr w:type="spellStart"/>
            <w:r>
              <w:t>komplementarności</w:t>
            </w:r>
            <w:proofErr w:type="spellEnd"/>
            <w:r>
              <w:t xml:space="preserve">. Ma </w:t>
            </w:r>
            <w:proofErr w:type="spellStart"/>
            <w:r>
              <w:t>ona</w:t>
            </w:r>
            <w:proofErr w:type="spellEnd"/>
            <w:r>
              <w:t xml:space="preserve"> </w:t>
            </w:r>
            <w:proofErr w:type="spellStart"/>
            <w:r>
              <w:t>miejsce</w:t>
            </w:r>
            <w:proofErr w:type="spellEnd"/>
            <w:r>
              <w:t xml:space="preserve"> </w:t>
            </w:r>
            <w:proofErr w:type="spellStart"/>
            <w:r>
              <w:lastRenderedPageBreak/>
              <w:t>głównie</w:t>
            </w:r>
            <w:proofErr w:type="spellEnd"/>
            <w:r>
              <w:t xml:space="preserve"> w </w:t>
            </w:r>
            <w:proofErr w:type="spellStart"/>
            <w:r>
              <w:t>ramach</w:t>
            </w:r>
            <w:proofErr w:type="spellEnd"/>
            <w:r>
              <w:t xml:space="preserve"> </w:t>
            </w:r>
            <w:proofErr w:type="spellStart"/>
            <w:r>
              <w:t>projektów</w:t>
            </w:r>
            <w:proofErr w:type="spellEnd"/>
            <w:r>
              <w:t xml:space="preserve"> </w:t>
            </w:r>
            <w:proofErr w:type="spellStart"/>
            <w:r>
              <w:t>zbieżnych</w:t>
            </w:r>
            <w:proofErr w:type="spellEnd"/>
            <w:r>
              <w:t xml:space="preserve"> </w:t>
            </w:r>
            <w:proofErr w:type="spellStart"/>
            <w:r>
              <w:t>tematycznie</w:t>
            </w:r>
            <w:proofErr w:type="spellEnd"/>
            <w:r>
              <w:t xml:space="preserve"> w </w:t>
            </w:r>
            <w:proofErr w:type="spellStart"/>
            <w:r>
              <w:t>obrębie</w:t>
            </w:r>
            <w:proofErr w:type="spellEnd"/>
            <w:r>
              <w:t xml:space="preserve"> </w:t>
            </w:r>
            <w:proofErr w:type="spellStart"/>
            <w:r>
              <w:t>poszczególnych</w:t>
            </w:r>
            <w:proofErr w:type="spellEnd"/>
            <w:r>
              <w:t xml:space="preserve"> </w:t>
            </w:r>
            <w:proofErr w:type="spellStart"/>
            <w:r>
              <w:t>gmin</w:t>
            </w:r>
            <w:proofErr w:type="spellEnd"/>
            <w:r>
              <w:t xml:space="preserve">. </w:t>
            </w:r>
            <w:proofErr w:type="spellStart"/>
            <w:r>
              <w:t>Nieliczne</w:t>
            </w:r>
            <w:proofErr w:type="spellEnd"/>
            <w:r>
              <w:t xml:space="preserve"> </w:t>
            </w:r>
            <w:proofErr w:type="spellStart"/>
            <w:r>
              <w:t>projekty</w:t>
            </w:r>
            <w:proofErr w:type="spellEnd"/>
            <w:r>
              <w:t xml:space="preserve"> </w:t>
            </w:r>
            <w:proofErr w:type="spellStart"/>
            <w:r>
              <w:t>są</w:t>
            </w:r>
            <w:proofErr w:type="spellEnd"/>
            <w:r>
              <w:t xml:space="preserve"> </w:t>
            </w:r>
            <w:proofErr w:type="spellStart"/>
            <w:r>
              <w:t>wdrażane</w:t>
            </w:r>
            <w:proofErr w:type="spellEnd"/>
            <w:r>
              <w:t xml:space="preserve"> w </w:t>
            </w:r>
            <w:proofErr w:type="spellStart"/>
            <w:r>
              <w:t>formule</w:t>
            </w:r>
            <w:proofErr w:type="spellEnd"/>
            <w:r>
              <w:t xml:space="preserve"> </w:t>
            </w:r>
            <w:proofErr w:type="spellStart"/>
            <w:r>
              <w:t>partnerskiej</w:t>
            </w:r>
            <w:proofErr w:type="spellEnd"/>
            <w:r>
              <w:t xml:space="preserve"> i </w:t>
            </w:r>
            <w:proofErr w:type="spellStart"/>
            <w:r>
              <w:t>występują</w:t>
            </w:r>
            <w:proofErr w:type="spellEnd"/>
            <w:r>
              <w:t xml:space="preserve"> one </w:t>
            </w:r>
            <w:proofErr w:type="spellStart"/>
            <w:r>
              <w:t>jedynie</w:t>
            </w:r>
            <w:proofErr w:type="spellEnd"/>
            <w:r>
              <w:t xml:space="preserve"> w </w:t>
            </w:r>
            <w:proofErr w:type="spellStart"/>
            <w:r>
              <w:t>ramach</w:t>
            </w:r>
            <w:proofErr w:type="spellEnd"/>
            <w:r>
              <w:t xml:space="preserve"> EFS. W </w:t>
            </w:r>
            <w:proofErr w:type="spellStart"/>
            <w:r>
              <w:t>perspektywie</w:t>
            </w:r>
            <w:proofErr w:type="spellEnd"/>
            <w:r>
              <w:t xml:space="preserve"> 2021-2027 </w:t>
            </w:r>
            <w:proofErr w:type="spellStart"/>
            <w:r>
              <w:t>jako</w:t>
            </w:r>
            <w:proofErr w:type="spellEnd"/>
            <w:r>
              <w:t xml:space="preserve"> </w:t>
            </w:r>
            <w:proofErr w:type="spellStart"/>
            <w:r>
              <w:t>potencjalne</w:t>
            </w:r>
            <w:proofErr w:type="spellEnd"/>
            <w:r>
              <w:t xml:space="preserve"> </w:t>
            </w:r>
            <w:proofErr w:type="spellStart"/>
            <w:r>
              <w:t>kierunki</w:t>
            </w:r>
            <w:proofErr w:type="spellEnd"/>
            <w:r>
              <w:t xml:space="preserve"> </w:t>
            </w:r>
            <w:proofErr w:type="spellStart"/>
            <w:r>
              <w:t>wsparcia</w:t>
            </w:r>
            <w:proofErr w:type="spellEnd"/>
            <w:r>
              <w:t xml:space="preserve"> </w:t>
            </w:r>
            <w:proofErr w:type="spellStart"/>
            <w:r>
              <w:t>wskazano</w:t>
            </w:r>
            <w:proofErr w:type="spellEnd"/>
            <w:r>
              <w:t xml:space="preserve"> </w:t>
            </w:r>
            <w:proofErr w:type="spellStart"/>
            <w:r>
              <w:t>przedsięwzięcia</w:t>
            </w:r>
            <w:proofErr w:type="spellEnd"/>
            <w:r>
              <w:t xml:space="preserve"> </w:t>
            </w:r>
            <w:proofErr w:type="spellStart"/>
            <w:r>
              <w:t>dotyczące</w:t>
            </w:r>
            <w:proofErr w:type="spellEnd"/>
            <w:r>
              <w:t xml:space="preserve"> </w:t>
            </w:r>
            <w:proofErr w:type="spellStart"/>
            <w:r>
              <w:t>systemu</w:t>
            </w:r>
            <w:proofErr w:type="spellEnd"/>
            <w:r>
              <w:t xml:space="preserve"> </w:t>
            </w:r>
            <w:proofErr w:type="spellStart"/>
            <w:r>
              <w:t>komunikacji</w:t>
            </w:r>
            <w:proofErr w:type="spellEnd"/>
            <w:r>
              <w:t xml:space="preserve"> </w:t>
            </w:r>
            <w:proofErr w:type="spellStart"/>
            <w:r>
              <w:t>miejskiej</w:t>
            </w:r>
            <w:proofErr w:type="spellEnd"/>
            <w:r>
              <w:t xml:space="preserve">, </w:t>
            </w:r>
            <w:proofErr w:type="spellStart"/>
            <w:r>
              <w:t>skoordynowanej</w:t>
            </w:r>
            <w:proofErr w:type="spellEnd"/>
            <w:r>
              <w:t xml:space="preserve"> </w:t>
            </w:r>
            <w:proofErr w:type="spellStart"/>
            <w:r>
              <w:t>polityki</w:t>
            </w:r>
            <w:proofErr w:type="spellEnd"/>
            <w:r>
              <w:t xml:space="preserve"> </w:t>
            </w:r>
            <w:proofErr w:type="spellStart"/>
            <w:r>
              <w:t>senioralnej</w:t>
            </w:r>
            <w:proofErr w:type="spellEnd"/>
            <w:r>
              <w:t xml:space="preserve">, </w:t>
            </w:r>
            <w:proofErr w:type="spellStart"/>
            <w:r>
              <w:t>rozwoju</w:t>
            </w:r>
            <w:proofErr w:type="spellEnd"/>
            <w:r>
              <w:t xml:space="preserve"> </w:t>
            </w:r>
            <w:proofErr w:type="spellStart"/>
            <w:r>
              <w:t>sieci</w:t>
            </w:r>
            <w:proofErr w:type="spellEnd"/>
            <w:r>
              <w:t xml:space="preserve"> </w:t>
            </w:r>
            <w:proofErr w:type="spellStart"/>
            <w:r>
              <w:t>szerokopasmowego</w:t>
            </w:r>
            <w:proofErr w:type="spellEnd"/>
            <w:r>
              <w:t xml:space="preserve"> </w:t>
            </w:r>
            <w:proofErr w:type="spellStart"/>
            <w:r>
              <w:t>internetu</w:t>
            </w:r>
            <w:proofErr w:type="spellEnd"/>
            <w:r>
              <w:t xml:space="preserve"> </w:t>
            </w:r>
            <w:proofErr w:type="spellStart"/>
            <w:r>
              <w:t>oraz</w:t>
            </w:r>
            <w:proofErr w:type="spellEnd"/>
            <w:r>
              <w:t xml:space="preserve"> </w:t>
            </w:r>
            <w:proofErr w:type="spellStart"/>
            <w:r>
              <w:t>wdrożenie</w:t>
            </w:r>
            <w:proofErr w:type="spellEnd"/>
            <w:r>
              <w:t xml:space="preserve"> </w:t>
            </w:r>
            <w:proofErr w:type="spellStart"/>
            <w:r>
              <w:t>inteligentnych</w:t>
            </w:r>
            <w:proofErr w:type="spellEnd"/>
            <w:r>
              <w:t xml:space="preserve"> </w:t>
            </w:r>
            <w:proofErr w:type="spellStart"/>
            <w:r>
              <w:t>systemów</w:t>
            </w:r>
            <w:proofErr w:type="spellEnd"/>
            <w:r>
              <w:t xml:space="preserve"> </w:t>
            </w:r>
            <w:proofErr w:type="spellStart"/>
            <w:r>
              <w:t>zarządzania</w:t>
            </w:r>
            <w:proofErr w:type="spellEnd"/>
            <w:r>
              <w:t xml:space="preserve"> </w:t>
            </w:r>
            <w:proofErr w:type="spellStart"/>
            <w:r>
              <w:t>miastem</w:t>
            </w:r>
            <w:proofErr w:type="spellEnd"/>
            <w:r>
              <w:t xml:space="preserve"> i </w:t>
            </w:r>
            <w:proofErr w:type="spellStart"/>
            <w:r>
              <w:t>jego</w:t>
            </w:r>
            <w:proofErr w:type="spellEnd"/>
            <w:r>
              <w:t xml:space="preserve"> </w:t>
            </w:r>
            <w:proofErr w:type="spellStart"/>
            <w:r>
              <w:t>obszarem</w:t>
            </w:r>
            <w:proofErr w:type="spellEnd"/>
            <w:r>
              <w:t xml:space="preserve"> </w:t>
            </w:r>
            <w:proofErr w:type="spellStart"/>
            <w:r>
              <w:t>funkcjonalnym</w:t>
            </w:r>
            <w:proofErr w:type="spellEnd"/>
            <w:r>
              <w:t xml:space="preserve">. </w:t>
            </w:r>
            <w:proofErr w:type="spellStart"/>
            <w:r>
              <w:t>Kluczowe</w:t>
            </w:r>
            <w:proofErr w:type="spellEnd"/>
            <w:r>
              <w:t xml:space="preserve"> </w:t>
            </w:r>
            <w:proofErr w:type="spellStart"/>
            <w:r>
              <w:t>będzie</w:t>
            </w:r>
            <w:proofErr w:type="spellEnd"/>
            <w:r>
              <w:t xml:space="preserve"> </w:t>
            </w:r>
            <w:proofErr w:type="spellStart"/>
            <w:r>
              <w:t>także</w:t>
            </w:r>
            <w:proofErr w:type="spellEnd"/>
            <w:r>
              <w:t xml:space="preserve"> </w:t>
            </w:r>
            <w:proofErr w:type="spellStart"/>
            <w:r>
              <w:t>dalsze</w:t>
            </w:r>
            <w:proofErr w:type="spellEnd"/>
            <w:r>
              <w:t xml:space="preserve"> </w:t>
            </w:r>
            <w:proofErr w:type="spellStart"/>
            <w:r>
              <w:t>wspólne</w:t>
            </w:r>
            <w:proofErr w:type="spellEnd"/>
            <w:r>
              <w:t xml:space="preserve"> </w:t>
            </w:r>
            <w:proofErr w:type="spellStart"/>
            <w:r>
              <w:t>rozwiązywanie</w:t>
            </w:r>
            <w:proofErr w:type="spellEnd"/>
            <w:r>
              <w:t xml:space="preserve"> </w:t>
            </w:r>
            <w:proofErr w:type="spellStart"/>
            <w:r>
              <w:t>problemów</w:t>
            </w:r>
            <w:proofErr w:type="spellEnd"/>
            <w:r>
              <w:t xml:space="preserve"> </w:t>
            </w:r>
            <w:proofErr w:type="spellStart"/>
            <w:r>
              <w:t>dotyczących</w:t>
            </w:r>
            <w:proofErr w:type="spellEnd"/>
            <w:r>
              <w:t xml:space="preserve"> </w:t>
            </w:r>
            <w:proofErr w:type="spellStart"/>
            <w:r>
              <w:t>stanu</w:t>
            </w:r>
            <w:proofErr w:type="spellEnd"/>
            <w:r>
              <w:t xml:space="preserve"> </w:t>
            </w:r>
            <w:proofErr w:type="spellStart"/>
            <w:r>
              <w:t>środowiska</w:t>
            </w:r>
            <w:proofErr w:type="spellEnd"/>
            <w:r>
              <w:t xml:space="preserve"> </w:t>
            </w:r>
            <w:proofErr w:type="spellStart"/>
            <w:r>
              <w:t>naturalnego</w:t>
            </w:r>
            <w:proofErr w:type="spellEnd"/>
            <w:r>
              <w:t xml:space="preserve"> z </w:t>
            </w:r>
            <w:proofErr w:type="spellStart"/>
            <w:r>
              <w:t>zakresu</w:t>
            </w:r>
            <w:proofErr w:type="spellEnd"/>
            <w:r>
              <w:t xml:space="preserve"> </w:t>
            </w:r>
            <w:proofErr w:type="spellStart"/>
            <w:r>
              <w:t>gospodarki</w:t>
            </w:r>
            <w:proofErr w:type="spellEnd"/>
            <w:r>
              <w:t xml:space="preserve"> </w:t>
            </w:r>
            <w:proofErr w:type="spellStart"/>
            <w:r>
              <w:t>wodno-ściekowej</w:t>
            </w:r>
            <w:proofErr w:type="spellEnd"/>
            <w:r>
              <w:t xml:space="preserve">, </w:t>
            </w:r>
            <w:proofErr w:type="spellStart"/>
            <w:r>
              <w:t>wspólnych</w:t>
            </w:r>
            <w:proofErr w:type="spellEnd"/>
            <w:r>
              <w:t xml:space="preserve"> </w:t>
            </w:r>
            <w:proofErr w:type="spellStart"/>
            <w:r>
              <w:t>rozwiązań</w:t>
            </w:r>
            <w:proofErr w:type="spellEnd"/>
            <w:r>
              <w:t xml:space="preserve"> </w:t>
            </w:r>
            <w:proofErr w:type="spellStart"/>
            <w:r>
              <w:t>antysmogowych</w:t>
            </w:r>
            <w:proofErr w:type="spellEnd"/>
            <w:r>
              <w:t xml:space="preserve"> </w:t>
            </w:r>
            <w:proofErr w:type="spellStart"/>
            <w:r>
              <w:t>oraz</w:t>
            </w:r>
            <w:proofErr w:type="spellEnd"/>
            <w:r>
              <w:t xml:space="preserve"> </w:t>
            </w:r>
            <w:proofErr w:type="spellStart"/>
            <w:r>
              <w:t>systemu</w:t>
            </w:r>
            <w:proofErr w:type="spellEnd"/>
            <w:r>
              <w:t xml:space="preserve"> </w:t>
            </w:r>
            <w:proofErr w:type="spellStart"/>
            <w:r>
              <w:t>zagospodarowania</w:t>
            </w:r>
            <w:proofErr w:type="spellEnd"/>
            <w:r>
              <w:t xml:space="preserve"> </w:t>
            </w:r>
            <w:proofErr w:type="spellStart"/>
            <w:r>
              <w:t>odpadów</w:t>
            </w:r>
            <w:proofErr w:type="spellEnd"/>
            <w:r>
              <w:t xml:space="preserve">. </w:t>
            </w:r>
            <w:proofErr w:type="spellStart"/>
            <w:r>
              <w:t>Wszystkie</w:t>
            </w:r>
            <w:proofErr w:type="spellEnd"/>
            <w:r>
              <w:t xml:space="preserve"> </w:t>
            </w:r>
            <w:proofErr w:type="spellStart"/>
            <w:r>
              <w:t>rekomendacje</w:t>
            </w:r>
            <w:proofErr w:type="spellEnd"/>
            <w:r>
              <w:t xml:space="preserve"> (10) </w:t>
            </w:r>
            <w:proofErr w:type="spellStart"/>
            <w:r>
              <w:t>dotyczyły</w:t>
            </w:r>
            <w:proofErr w:type="spellEnd"/>
            <w:r>
              <w:t xml:space="preserve"> </w:t>
            </w:r>
            <w:proofErr w:type="spellStart"/>
            <w:r>
              <w:t>perspektywy</w:t>
            </w:r>
            <w:proofErr w:type="spellEnd"/>
            <w:r>
              <w:t xml:space="preserve"> </w:t>
            </w:r>
            <w:proofErr w:type="spellStart"/>
            <w:r>
              <w:t>finansowej</w:t>
            </w:r>
            <w:proofErr w:type="spellEnd"/>
            <w:r>
              <w:t xml:space="preserve"> 2021-2027 i </w:t>
            </w:r>
            <w:proofErr w:type="spellStart"/>
            <w:r>
              <w:t>zostały</w:t>
            </w:r>
            <w:proofErr w:type="spellEnd"/>
            <w:r>
              <w:t xml:space="preserve"> w </w:t>
            </w:r>
            <w:proofErr w:type="spellStart"/>
            <w:r>
              <w:t>całości</w:t>
            </w:r>
            <w:proofErr w:type="spellEnd"/>
            <w:r>
              <w:t xml:space="preserve"> </w:t>
            </w:r>
            <w:proofErr w:type="spellStart"/>
            <w:r>
              <w:t>zatwierdzone</w:t>
            </w:r>
            <w:proofErr w:type="spellEnd"/>
            <w:r>
              <w:t xml:space="preserve"> do </w:t>
            </w:r>
            <w:proofErr w:type="spellStart"/>
            <w:r>
              <w:t>realizacji</w:t>
            </w:r>
            <w:proofErr w:type="spellEnd"/>
            <w:r>
              <w:t>.</w:t>
            </w:r>
          </w:p>
          <w:p w14:paraId="4C56B91C" w14:textId="77777777" w:rsidR="00932504" w:rsidRPr="006C5893" w:rsidRDefault="00932504" w:rsidP="0051119B">
            <w:pPr>
              <w:spacing w:before="0" w:after="0"/>
              <w:jc w:val="left"/>
              <w:rPr>
                <w:sz w:val="16"/>
                <w:szCs w:val="16"/>
                <w:lang w:val="fr-BE"/>
              </w:rPr>
            </w:pPr>
          </w:p>
        </w:tc>
      </w:tr>
      <w:tr w:rsidR="006B2EC1" w14:paraId="6817CACD" w14:textId="77777777" w:rsidTr="00776DD9">
        <w:tc>
          <w:tcPr>
            <w:tcW w:w="0" w:type="auto"/>
            <w:shd w:val="clear" w:color="auto" w:fill="auto"/>
          </w:tcPr>
          <w:p w14:paraId="786D6255" w14:textId="77777777" w:rsidR="00932504" w:rsidRPr="006C5893" w:rsidRDefault="00E11D4E" w:rsidP="007D0631">
            <w:pPr>
              <w:spacing w:before="0" w:after="0"/>
              <w:jc w:val="left"/>
              <w:rPr>
                <w:sz w:val="16"/>
                <w:szCs w:val="16"/>
                <w:lang w:val="fr-BE"/>
              </w:rPr>
            </w:pPr>
            <w:r w:rsidRPr="006C5893">
              <w:rPr>
                <w:noProof/>
                <w:sz w:val="16"/>
                <w:szCs w:val="16"/>
                <w:lang w:val="fr-BE"/>
              </w:rPr>
              <w:lastRenderedPageBreak/>
              <w:t>Ewaluacja wdrażania polityk horyzontalnych w ramach RPOWŚ 2014-2020</w:t>
            </w:r>
          </w:p>
        </w:tc>
        <w:tc>
          <w:tcPr>
            <w:tcW w:w="0" w:type="auto"/>
            <w:shd w:val="clear" w:color="auto" w:fill="auto"/>
          </w:tcPr>
          <w:p w14:paraId="176252AA" w14:textId="77777777" w:rsidR="00932504" w:rsidRPr="006C5893" w:rsidRDefault="00E70F05" w:rsidP="00E70F05">
            <w:pPr>
              <w:spacing w:before="0" w:after="0"/>
              <w:jc w:val="left"/>
              <w:rPr>
                <w:sz w:val="16"/>
                <w:szCs w:val="16"/>
                <w:lang w:val="fr-BE"/>
              </w:rPr>
            </w:pPr>
            <w:r w:rsidRPr="006C5893">
              <w:rPr>
                <w:noProof/>
                <w:sz w:val="16"/>
                <w:szCs w:val="16"/>
                <w:lang w:val="fr-BE"/>
              </w:rPr>
              <w:t>EFRR</w:t>
            </w:r>
          </w:p>
          <w:p w14:paraId="3209F9EF" w14:textId="77777777" w:rsidR="00932504" w:rsidRPr="006C5893" w:rsidRDefault="00E70F05" w:rsidP="00E70F05">
            <w:pPr>
              <w:spacing w:before="0" w:after="0"/>
              <w:jc w:val="left"/>
              <w:rPr>
                <w:sz w:val="16"/>
                <w:szCs w:val="16"/>
                <w:lang w:val="fr-BE"/>
              </w:rPr>
            </w:pPr>
            <w:r w:rsidRPr="006C5893">
              <w:rPr>
                <w:noProof/>
                <w:sz w:val="16"/>
                <w:szCs w:val="16"/>
                <w:lang w:val="fr-BE"/>
              </w:rPr>
              <w:t>EFS</w:t>
            </w:r>
          </w:p>
        </w:tc>
        <w:tc>
          <w:tcPr>
            <w:tcW w:w="0" w:type="auto"/>
            <w:shd w:val="clear" w:color="auto" w:fill="auto"/>
          </w:tcPr>
          <w:p w14:paraId="43C605D0" w14:textId="77777777" w:rsidR="00932504" w:rsidRPr="006C5893" w:rsidRDefault="0089499E" w:rsidP="007D0631">
            <w:pPr>
              <w:spacing w:before="0" w:after="0"/>
              <w:jc w:val="left"/>
              <w:rPr>
                <w:sz w:val="16"/>
                <w:szCs w:val="16"/>
                <w:lang w:val="fr-BE"/>
              </w:rPr>
            </w:pPr>
            <w:r w:rsidRPr="006C5893">
              <w:rPr>
                <w:noProof/>
                <w:sz w:val="16"/>
                <w:szCs w:val="16"/>
                <w:lang w:val="fr-BE"/>
              </w:rPr>
              <w:t>10</w:t>
            </w:r>
          </w:p>
        </w:tc>
        <w:tc>
          <w:tcPr>
            <w:tcW w:w="0" w:type="auto"/>
            <w:shd w:val="clear" w:color="auto" w:fill="auto"/>
          </w:tcPr>
          <w:p w14:paraId="1ED9DB0D" w14:textId="77777777" w:rsidR="00932504" w:rsidRPr="006C5893" w:rsidRDefault="0089499E" w:rsidP="007D0631">
            <w:pPr>
              <w:spacing w:before="0" w:after="0"/>
              <w:jc w:val="left"/>
              <w:rPr>
                <w:sz w:val="16"/>
                <w:szCs w:val="16"/>
                <w:lang w:val="fr-BE"/>
              </w:rPr>
            </w:pPr>
            <w:r w:rsidRPr="006C5893">
              <w:rPr>
                <w:noProof/>
                <w:sz w:val="16"/>
                <w:szCs w:val="16"/>
                <w:lang w:val="fr-BE"/>
              </w:rPr>
              <w:t>2019</w:t>
            </w:r>
          </w:p>
        </w:tc>
        <w:tc>
          <w:tcPr>
            <w:tcW w:w="0" w:type="auto"/>
            <w:shd w:val="clear" w:color="auto" w:fill="auto"/>
          </w:tcPr>
          <w:p w14:paraId="26B53713" w14:textId="77777777" w:rsidR="00932504" w:rsidRPr="006C5893" w:rsidRDefault="0089499E" w:rsidP="007D0631">
            <w:pPr>
              <w:spacing w:before="0" w:after="0"/>
              <w:jc w:val="left"/>
              <w:rPr>
                <w:sz w:val="16"/>
                <w:szCs w:val="16"/>
                <w:lang w:val="fr-BE"/>
              </w:rPr>
            </w:pPr>
            <w:r w:rsidRPr="006C5893">
              <w:rPr>
                <w:noProof/>
                <w:sz w:val="16"/>
                <w:szCs w:val="16"/>
                <w:lang w:val="fr-BE"/>
              </w:rPr>
              <w:t>12</w:t>
            </w:r>
          </w:p>
        </w:tc>
        <w:tc>
          <w:tcPr>
            <w:tcW w:w="0" w:type="auto"/>
            <w:shd w:val="clear" w:color="auto" w:fill="auto"/>
          </w:tcPr>
          <w:p w14:paraId="110E93F8" w14:textId="77777777" w:rsidR="00932504" w:rsidRPr="006C5893" w:rsidRDefault="0089499E" w:rsidP="007D0631">
            <w:pPr>
              <w:spacing w:before="0" w:after="0"/>
              <w:jc w:val="left"/>
              <w:rPr>
                <w:sz w:val="16"/>
                <w:szCs w:val="16"/>
                <w:lang w:val="fr-BE"/>
              </w:rPr>
            </w:pPr>
            <w:r w:rsidRPr="006C5893">
              <w:rPr>
                <w:noProof/>
                <w:sz w:val="16"/>
                <w:szCs w:val="16"/>
                <w:lang w:val="fr-BE"/>
              </w:rPr>
              <w:t>2019</w:t>
            </w:r>
          </w:p>
        </w:tc>
        <w:tc>
          <w:tcPr>
            <w:tcW w:w="0" w:type="auto"/>
            <w:shd w:val="clear" w:color="auto" w:fill="auto"/>
          </w:tcPr>
          <w:p w14:paraId="774F502E" w14:textId="77777777" w:rsidR="00932504" w:rsidRPr="006C5893" w:rsidRDefault="00B126B3" w:rsidP="0051119B">
            <w:pPr>
              <w:spacing w:before="0" w:after="0"/>
              <w:jc w:val="left"/>
              <w:rPr>
                <w:sz w:val="16"/>
                <w:szCs w:val="16"/>
                <w:lang w:val="fr-BE"/>
              </w:rPr>
            </w:pPr>
            <w:r w:rsidRPr="006C5893">
              <w:rPr>
                <w:noProof/>
                <w:sz w:val="16"/>
                <w:szCs w:val="16"/>
                <w:lang w:val="fr-BE"/>
              </w:rPr>
              <w:t>Proces</w:t>
            </w:r>
          </w:p>
        </w:tc>
        <w:tc>
          <w:tcPr>
            <w:tcW w:w="0" w:type="auto"/>
            <w:shd w:val="clear" w:color="auto" w:fill="auto"/>
          </w:tcPr>
          <w:p w14:paraId="38C3F2AB" w14:textId="77777777" w:rsidR="00932504" w:rsidRPr="006C5893" w:rsidRDefault="00092FD6" w:rsidP="00092FD6">
            <w:pPr>
              <w:spacing w:before="0" w:after="0"/>
              <w:jc w:val="left"/>
              <w:rPr>
                <w:sz w:val="16"/>
                <w:szCs w:val="16"/>
                <w:lang w:val="fr-BE"/>
              </w:rPr>
            </w:pPr>
            <w:r w:rsidRPr="006C5893">
              <w:rPr>
                <w:noProof/>
                <w:sz w:val="16"/>
                <w:szCs w:val="16"/>
                <w:lang w:val="fr-BE"/>
              </w:rPr>
              <w:t>01</w:t>
            </w:r>
          </w:p>
          <w:p w14:paraId="50414AA2" w14:textId="77777777" w:rsidR="00932504" w:rsidRPr="006C5893" w:rsidRDefault="00092FD6" w:rsidP="00092FD6">
            <w:pPr>
              <w:spacing w:before="0" w:after="0"/>
              <w:jc w:val="left"/>
              <w:rPr>
                <w:sz w:val="16"/>
                <w:szCs w:val="16"/>
                <w:lang w:val="fr-BE"/>
              </w:rPr>
            </w:pPr>
            <w:r w:rsidRPr="006C5893">
              <w:rPr>
                <w:noProof/>
                <w:sz w:val="16"/>
                <w:szCs w:val="16"/>
                <w:lang w:val="fr-BE"/>
              </w:rPr>
              <w:t>02</w:t>
            </w:r>
          </w:p>
          <w:p w14:paraId="73D911C0" w14:textId="77777777" w:rsidR="00932504" w:rsidRPr="006C5893" w:rsidRDefault="00092FD6" w:rsidP="00092FD6">
            <w:pPr>
              <w:spacing w:before="0" w:after="0"/>
              <w:jc w:val="left"/>
              <w:rPr>
                <w:sz w:val="16"/>
                <w:szCs w:val="16"/>
                <w:lang w:val="fr-BE"/>
              </w:rPr>
            </w:pPr>
            <w:r w:rsidRPr="006C5893">
              <w:rPr>
                <w:noProof/>
                <w:sz w:val="16"/>
                <w:szCs w:val="16"/>
                <w:lang w:val="fr-BE"/>
              </w:rPr>
              <w:t>03</w:t>
            </w:r>
          </w:p>
          <w:p w14:paraId="698AD7FA" w14:textId="77777777" w:rsidR="00932504" w:rsidRPr="006C5893" w:rsidRDefault="00092FD6" w:rsidP="00092FD6">
            <w:pPr>
              <w:spacing w:before="0" w:after="0"/>
              <w:jc w:val="left"/>
              <w:rPr>
                <w:sz w:val="16"/>
                <w:szCs w:val="16"/>
                <w:lang w:val="fr-BE"/>
              </w:rPr>
            </w:pPr>
            <w:r w:rsidRPr="006C5893">
              <w:rPr>
                <w:noProof/>
                <w:sz w:val="16"/>
                <w:szCs w:val="16"/>
                <w:lang w:val="fr-BE"/>
              </w:rPr>
              <w:t>04</w:t>
            </w:r>
          </w:p>
          <w:p w14:paraId="0E8C7AF3" w14:textId="77777777" w:rsidR="00932504" w:rsidRPr="006C5893" w:rsidRDefault="00092FD6" w:rsidP="00092FD6">
            <w:pPr>
              <w:spacing w:before="0" w:after="0"/>
              <w:jc w:val="left"/>
              <w:rPr>
                <w:sz w:val="16"/>
                <w:szCs w:val="16"/>
                <w:lang w:val="fr-BE"/>
              </w:rPr>
            </w:pPr>
            <w:r w:rsidRPr="006C5893">
              <w:rPr>
                <w:noProof/>
                <w:sz w:val="16"/>
                <w:szCs w:val="16"/>
                <w:lang w:val="fr-BE"/>
              </w:rPr>
              <w:t>05</w:t>
            </w:r>
          </w:p>
          <w:p w14:paraId="3E5569AF" w14:textId="77777777" w:rsidR="00932504" w:rsidRPr="006C5893" w:rsidRDefault="00092FD6" w:rsidP="00092FD6">
            <w:pPr>
              <w:spacing w:before="0" w:after="0"/>
              <w:jc w:val="left"/>
              <w:rPr>
                <w:sz w:val="16"/>
                <w:szCs w:val="16"/>
                <w:lang w:val="fr-BE"/>
              </w:rPr>
            </w:pPr>
            <w:r w:rsidRPr="006C5893">
              <w:rPr>
                <w:noProof/>
                <w:sz w:val="16"/>
                <w:szCs w:val="16"/>
                <w:lang w:val="fr-BE"/>
              </w:rPr>
              <w:t>06</w:t>
            </w:r>
          </w:p>
          <w:p w14:paraId="6DC43B42" w14:textId="77777777" w:rsidR="00932504" w:rsidRPr="006C5893" w:rsidRDefault="00092FD6" w:rsidP="00092FD6">
            <w:pPr>
              <w:spacing w:before="0" w:after="0"/>
              <w:jc w:val="left"/>
              <w:rPr>
                <w:sz w:val="16"/>
                <w:szCs w:val="16"/>
                <w:lang w:val="fr-BE"/>
              </w:rPr>
            </w:pPr>
            <w:r w:rsidRPr="006C5893">
              <w:rPr>
                <w:noProof/>
                <w:sz w:val="16"/>
                <w:szCs w:val="16"/>
                <w:lang w:val="fr-BE"/>
              </w:rPr>
              <w:t>07</w:t>
            </w:r>
          </w:p>
          <w:p w14:paraId="1C224745" w14:textId="77777777" w:rsidR="00932504" w:rsidRPr="006C5893" w:rsidRDefault="00092FD6" w:rsidP="00092FD6">
            <w:pPr>
              <w:spacing w:before="0" w:after="0"/>
              <w:jc w:val="left"/>
              <w:rPr>
                <w:sz w:val="16"/>
                <w:szCs w:val="16"/>
                <w:lang w:val="fr-BE"/>
              </w:rPr>
            </w:pPr>
            <w:r w:rsidRPr="006C5893">
              <w:rPr>
                <w:noProof/>
                <w:sz w:val="16"/>
                <w:szCs w:val="16"/>
                <w:lang w:val="fr-BE"/>
              </w:rPr>
              <w:t>08</w:t>
            </w:r>
          </w:p>
          <w:p w14:paraId="6A14D1F1" w14:textId="77777777" w:rsidR="00932504" w:rsidRPr="006C5893" w:rsidRDefault="00092FD6" w:rsidP="00092FD6">
            <w:pPr>
              <w:spacing w:before="0" w:after="0"/>
              <w:jc w:val="left"/>
              <w:rPr>
                <w:sz w:val="16"/>
                <w:szCs w:val="16"/>
                <w:lang w:val="fr-BE"/>
              </w:rPr>
            </w:pPr>
            <w:r w:rsidRPr="006C5893">
              <w:rPr>
                <w:noProof/>
                <w:sz w:val="16"/>
                <w:szCs w:val="16"/>
                <w:lang w:val="fr-BE"/>
              </w:rPr>
              <w:t>09</w:t>
            </w:r>
          </w:p>
          <w:p w14:paraId="3BC70D60" w14:textId="77777777" w:rsidR="00932504" w:rsidRPr="006C5893" w:rsidRDefault="00092FD6" w:rsidP="00092FD6">
            <w:pPr>
              <w:spacing w:before="0" w:after="0"/>
              <w:jc w:val="left"/>
              <w:rPr>
                <w:sz w:val="16"/>
                <w:szCs w:val="16"/>
                <w:lang w:val="fr-BE"/>
              </w:rPr>
            </w:pPr>
            <w:r w:rsidRPr="006C5893">
              <w:rPr>
                <w:noProof/>
                <w:sz w:val="16"/>
                <w:szCs w:val="16"/>
                <w:lang w:val="fr-BE"/>
              </w:rPr>
              <w:t>10</w:t>
            </w:r>
          </w:p>
        </w:tc>
        <w:tc>
          <w:tcPr>
            <w:tcW w:w="0" w:type="auto"/>
            <w:shd w:val="clear" w:color="auto" w:fill="auto"/>
          </w:tcPr>
          <w:p w14:paraId="5E58FB42" w14:textId="77777777" w:rsidR="006B2EC1" w:rsidRDefault="00E82A60">
            <w:pPr>
              <w:spacing w:before="0" w:after="240"/>
              <w:jc w:val="left"/>
            </w:pPr>
            <w:proofErr w:type="spellStart"/>
            <w:r>
              <w:t>Główny</w:t>
            </w:r>
            <w:proofErr w:type="spellEnd"/>
            <w:r>
              <w:t xml:space="preserve"> </w:t>
            </w:r>
            <w:proofErr w:type="spellStart"/>
            <w:r>
              <w:t>cel</w:t>
            </w:r>
            <w:proofErr w:type="spellEnd"/>
            <w:r>
              <w:t xml:space="preserve"> </w:t>
            </w:r>
            <w:proofErr w:type="spellStart"/>
            <w:r>
              <w:t>badania-ocena</w:t>
            </w:r>
            <w:proofErr w:type="spellEnd"/>
            <w:r>
              <w:t xml:space="preserve"> </w:t>
            </w:r>
            <w:proofErr w:type="spellStart"/>
            <w:r>
              <w:t>działań</w:t>
            </w:r>
            <w:proofErr w:type="spellEnd"/>
            <w:r>
              <w:t xml:space="preserve"> </w:t>
            </w:r>
            <w:proofErr w:type="spellStart"/>
            <w:r>
              <w:t>podejmowanych</w:t>
            </w:r>
            <w:proofErr w:type="spellEnd"/>
            <w:r>
              <w:t xml:space="preserve"> </w:t>
            </w:r>
            <w:proofErr w:type="spellStart"/>
            <w:r>
              <w:t>na</w:t>
            </w:r>
            <w:proofErr w:type="spellEnd"/>
            <w:r>
              <w:t xml:space="preserve"> </w:t>
            </w:r>
            <w:proofErr w:type="spellStart"/>
            <w:r>
              <w:t>rzecz</w:t>
            </w:r>
            <w:proofErr w:type="spellEnd"/>
            <w:r>
              <w:t xml:space="preserve"> </w:t>
            </w:r>
            <w:proofErr w:type="spellStart"/>
            <w:r>
              <w:t>realizacji</w:t>
            </w:r>
            <w:proofErr w:type="spellEnd"/>
            <w:r>
              <w:t xml:space="preserve"> </w:t>
            </w:r>
            <w:proofErr w:type="spellStart"/>
            <w:r>
              <w:t>polityk</w:t>
            </w:r>
            <w:proofErr w:type="spellEnd"/>
            <w:r>
              <w:t xml:space="preserve"> </w:t>
            </w:r>
            <w:proofErr w:type="spellStart"/>
            <w:r>
              <w:t>horyzont</w:t>
            </w:r>
            <w:proofErr w:type="spellEnd"/>
            <w:r>
              <w:t xml:space="preserve">. w </w:t>
            </w:r>
            <w:proofErr w:type="spellStart"/>
            <w:r>
              <w:t>zakresie</w:t>
            </w:r>
            <w:proofErr w:type="spellEnd"/>
            <w:r>
              <w:t xml:space="preserve"> </w:t>
            </w:r>
            <w:proofErr w:type="spellStart"/>
            <w:r>
              <w:t>zarządzania</w:t>
            </w:r>
            <w:proofErr w:type="spellEnd"/>
            <w:r>
              <w:t xml:space="preserve"> i </w:t>
            </w:r>
            <w:proofErr w:type="spellStart"/>
            <w:r>
              <w:t>wdrażania</w:t>
            </w:r>
            <w:proofErr w:type="spellEnd"/>
            <w:r>
              <w:t xml:space="preserve"> RPOWŚ (</w:t>
            </w:r>
            <w:proofErr w:type="spellStart"/>
            <w:r>
              <w:t>zasady</w:t>
            </w:r>
            <w:proofErr w:type="spellEnd"/>
            <w:r>
              <w:t xml:space="preserve"> </w:t>
            </w:r>
            <w:proofErr w:type="spellStart"/>
            <w:r>
              <w:t>partnerstwa</w:t>
            </w:r>
            <w:proofErr w:type="spellEnd"/>
            <w:r>
              <w:t xml:space="preserve">, </w:t>
            </w:r>
            <w:proofErr w:type="spellStart"/>
            <w:r>
              <w:t>zrównoważonego</w:t>
            </w:r>
            <w:proofErr w:type="spellEnd"/>
            <w:r>
              <w:t xml:space="preserve"> </w:t>
            </w:r>
            <w:proofErr w:type="spellStart"/>
            <w:r>
              <w:t>rozwoju,równości</w:t>
            </w:r>
            <w:proofErr w:type="spellEnd"/>
            <w:r>
              <w:t xml:space="preserve"> </w:t>
            </w:r>
            <w:proofErr w:type="spellStart"/>
            <w:r>
              <w:t>szans</w:t>
            </w:r>
            <w:proofErr w:type="spellEnd"/>
            <w:r>
              <w:t xml:space="preserve"> i </w:t>
            </w:r>
            <w:proofErr w:type="spellStart"/>
            <w:r>
              <w:t>niedyskryminacji</w:t>
            </w:r>
            <w:proofErr w:type="spellEnd"/>
            <w:r>
              <w:t xml:space="preserve">, w </w:t>
            </w:r>
            <w:proofErr w:type="spellStart"/>
            <w:r>
              <w:t>tym</w:t>
            </w:r>
            <w:proofErr w:type="spellEnd"/>
            <w:r>
              <w:t xml:space="preserve"> </w:t>
            </w:r>
            <w:proofErr w:type="spellStart"/>
            <w:r>
              <w:t>dostępności</w:t>
            </w:r>
            <w:proofErr w:type="spellEnd"/>
            <w:r>
              <w:t xml:space="preserve"> </w:t>
            </w:r>
            <w:proofErr w:type="spellStart"/>
            <w:r>
              <w:t>dla</w:t>
            </w:r>
            <w:proofErr w:type="spellEnd"/>
            <w:r>
              <w:t xml:space="preserve"> </w:t>
            </w:r>
            <w:proofErr w:type="spellStart"/>
            <w:r>
              <w:t>osób</w:t>
            </w:r>
            <w:proofErr w:type="spellEnd"/>
            <w:r>
              <w:t xml:space="preserve"> z </w:t>
            </w:r>
            <w:proofErr w:type="spellStart"/>
            <w:r>
              <w:t>niepełnospr</w:t>
            </w:r>
            <w:proofErr w:type="spellEnd"/>
            <w:r>
              <w:t xml:space="preserve">. </w:t>
            </w:r>
            <w:proofErr w:type="spellStart"/>
            <w:r>
              <w:t>oraz</w:t>
            </w:r>
            <w:proofErr w:type="spellEnd"/>
            <w:r>
              <w:t xml:space="preserve"> </w:t>
            </w:r>
            <w:proofErr w:type="spellStart"/>
            <w:r>
              <w:t>równości</w:t>
            </w:r>
            <w:proofErr w:type="spellEnd"/>
            <w:r>
              <w:t xml:space="preserve"> </w:t>
            </w:r>
            <w:proofErr w:type="spellStart"/>
            <w:r>
              <w:t>szans</w:t>
            </w:r>
            <w:proofErr w:type="spellEnd"/>
            <w:r>
              <w:t xml:space="preserve"> </w:t>
            </w:r>
            <w:proofErr w:type="spellStart"/>
            <w:r>
              <w:t>kobiet</w:t>
            </w:r>
            <w:proofErr w:type="spellEnd"/>
            <w:r>
              <w:t xml:space="preserve"> i </w:t>
            </w:r>
            <w:proofErr w:type="spellStart"/>
            <w:r>
              <w:t>mężczyzn</w:t>
            </w:r>
            <w:proofErr w:type="spellEnd"/>
            <w:r>
              <w:t xml:space="preserve">). </w:t>
            </w:r>
            <w:proofErr w:type="spellStart"/>
            <w:r>
              <w:t>Badanie</w:t>
            </w:r>
            <w:proofErr w:type="spellEnd"/>
            <w:r>
              <w:t xml:space="preserve"> </w:t>
            </w:r>
            <w:proofErr w:type="spellStart"/>
            <w:r>
              <w:t>obejmowało</w:t>
            </w:r>
            <w:proofErr w:type="spellEnd"/>
            <w:r>
              <w:t xml:space="preserve"> </w:t>
            </w:r>
            <w:proofErr w:type="spellStart"/>
            <w:r>
              <w:t>analizę</w:t>
            </w:r>
            <w:proofErr w:type="spellEnd"/>
            <w:r>
              <w:t xml:space="preserve"> </w:t>
            </w:r>
            <w:proofErr w:type="spellStart"/>
            <w:r>
              <w:t>dokumentów</w:t>
            </w:r>
            <w:proofErr w:type="spellEnd"/>
            <w:r>
              <w:t xml:space="preserve"> </w:t>
            </w:r>
            <w:proofErr w:type="spellStart"/>
            <w:r>
              <w:t>oraz</w:t>
            </w:r>
            <w:proofErr w:type="spellEnd"/>
            <w:r>
              <w:t xml:space="preserve"> </w:t>
            </w:r>
            <w:proofErr w:type="spellStart"/>
            <w:r>
              <w:t>metody</w:t>
            </w:r>
            <w:proofErr w:type="spellEnd"/>
            <w:r>
              <w:t xml:space="preserve"> </w:t>
            </w:r>
            <w:proofErr w:type="spellStart"/>
            <w:r>
              <w:t>interaktywne</w:t>
            </w:r>
            <w:proofErr w:type="spellEnd"/>
            <w:r>
              <w:t xml:space="preserve"> (</w:t>
            </w:r>
            <w:proofErr w:type="spellStart"/>
            <w:r>
              <w:t>badania</w:t>
            </w:r>
            <w:proofErr w:type="spellEnd"/>
            <w:r>
              <w:t xml:space="preserve"> </w:t>
            </w:r>
            <w:proofErr w:type="spellStart"/>
            <w:r>
              <w:t>ankietowe</w:t>
            </w:r>
            <w:proofErr w:type="spellEnd"/>
            <w:r>
              <w:t xml:space="preserve">, </w:t>
            </w:r>
            <w:proofErr w:type="spellStart"/>
            <w:r>
              <w:t>wywiady</w:t>
            </w:r>
            <w:proofErr w:type="spellEnd"/>
            <w:r>
              <w:t xml:space="preserve"> </w:t>
            </w:r>
            <w:proofErr w:type="spellStart"/>
            <w:r>
              <w:t>pogłębione</w:t>
            </w:r>
            <w:proofErr w:type="spellEnd"/>
            <w:r>
              <w:t xml:space="preserve"> z </w:t>
            </w:r>
            <w:proofErr w:type="spellStart"/>
            <w:r>
              <w:t>beneficjentami</w:t>
            </w:r>
            <w:proofErr w:type="spellEnd"/>
            <w:r>
              <w:t xml:space="preserve"> i </w:t>
            </w:r>
            <w:proofErr w:type="spellStart"/>
            <w:r>
              <w:t>uczestnikami</w:t>
            </w:r>
            <w:proofErr w:type="spellEnd"/>
            <w:r>
              <w:t xml:space="preserve">, </w:t>
            </w:r>
            <w:proofErr w:type="spellStart"/>
            <w:r>
              <w:t>przedstawicielami</w:t>
            </w:r>
            <w:proofErr w:type="spellEnd"/>
            <w:r>
              <w:t xml:space="preserve"> </w:t>
            </w:r>
            <w:proofErr w:type="spellStart"/>
            <w:r>
              <w:t>instytucji</w:t>
            </w:r>
            <w:proofErr w:type="spellEnd"/>
            <w:r>
              <w:t xml:space="preserve"> </w:t>
            </w:r>
            <w:proofErr w:type="spellStart"/>
            <w:r>
              <w:lastRenderedPageBreak/>
              <w:t>zaangażowanych</w:t>
            </w:r>
            <w:proofErr w:type="spellEnd"/>
            <w:r>
              <w:t xml:space="preserve"> w </w:t>
            </w:r>
            <w:proofErr w:type="spellStart"/>
            <w:r>
              <w:t>zarządzanie</w:t>
            </w:r>
            <w:proofErr w:type="spellEnd"/>
            <w:r>
              <w:t xml:space="preserve"> i </w:t>
            </w:r>
            <w:proofErr w:type="spellStart"/>
            <w:r>
              <w:t>wdrażanie</w:t>
            </w:r>
            <w:proofErr w:type="spellEnd"/>
            <w:r>
              <w:t xml:space="preserve"> RPOWŚ.</w:t>
            </w:r>
          </w:p>
          <w:p w14:paraId="16ABF596" w14:textId="77777777" w:rsidR="00932504" w:rsidRPr="006C5893" w:rsidRDefault="00932504" w:rsidP="0051119B">
            <w:pPr>
              <w:spacing w:before="0" w:after="0"/>
              <w:jc w:val="left"/>
              <w:rPr>
                <w:sz w:val="16"/>
                <w:szCs w:val="16"/>
                <w:lang w:val="fr-BE"/>
              </w:rPr>
            </w:pPr>
          </w:p>
        </w:tc>
        <w:tc>
          <w:tcPr>
            <w:tcW w:w="0" w:type="auto"/>
            <w:shd w:val="clear" w:color="auto" w:fill="auto"/>
          </w:tcPr>
          <w:p w14:paraId="5DF93077" w14:textId="77777777" w:rsidR="006B2EC1" w:rsidRDefault="00E82A60">
            <w:pPr>
              <w:spacing w:before="0" w:after="240"/>
              <w:jc w:val="left"/>
            </w:pPr>
            <w:proofErr w:type="spellStart"/>
            <w:r>
              <w:lastRenderedPageBreak/>
              <w:t>Analizą</w:t>
            </w:r>
            <w:proofErr w:type="spellEnd"/>
            <w:r>
              <w:t xml:space="preserve"> </w:t>
            </w:r>
            <w:proofErr w:type="spellStart"/>
            <w:r>
              <w:t>objęto</w:t>
            </w:r>
            <w:proofErr w:type="spellEnd"/>
            <w:r>
              <w:t xml:space="preserve"> </w:t>
            </w:r>
            <w:proofErr w:type="spellStart"/>
            <w:r>
              <w:t>etapy</w:t>
            </w:r>
            <w:proofErr w:type="spellEnd"/>
            <w:r>
              <w:t xml:space="preserve">: </w:t>
            </w:r>
            <w:proofErr w:type="spellStart"/>
            <w:r>
              <w:t>programowania</w:t>
            </w:r>
            <w:proofErr w:type="spellEnd"/>
            <w:r>
              <w:t xml:space="preserve">, </w:t>
            </w:r>
            <w:proofErr w:type="spellStart"/>
            <w:r>
              <w:t>wdrażania</w:t>
            </w:r>
            <w:proofErr w:type="spellEnd"/>
            <w:r>
              <w:t xml:space="preserve">, </w:t>
            </w:r>
            <w:proofErr w:type="spellStart"/>
            <w:r>
              <w:t>monitorowania</w:t>
            </w:r>
            <w:proofErr w:type="spellEnd"/>
            <w:r>
              <w:t xml:space="preserve"> i </w:t>
            </w:r>
            <w:proofErr w:type="spellStart"/>
            <w:r>
              <w:t>ewaluacji</w:t>
            </w:r>
            <w:proofErr w:type="spellEnd"/>
            <w:r>
              <w:t xml:space="preserve"> </w:t>
            </w:r>
            <w:proofErr w:type="spellStart"/>
            <w:r>
              <w:t>oraz</w:t>
            </w:r>
            <w:proofErr w:type="spellEnd"/>
            <w:r>
              <w:t xml:space="preserve"> </w:t>
            </w:r>
            <w:proofErr w:type="spellStart"/>
            <w:r>
              <w:t>działania</w:t>
            </w:r>
            <w:proofErr w:type="spellEnd"/>
            <w:r>
              <w:t xml:space="preserve"> </w:t>
            </w:r>
            <w:proofErr w:type="spellStart"/>
            <w:r>
              <w:t>informacyjno-promocyjne</w:t>
            </w:r>
            <w:proofErr w:type="spellEnd"/>
            <w:r>
              <w:t>.</w:t>
            </w:r>
          </w:p>
          <w:p w14:paraId="3BC52F2E" w14:textId="77777777" w:rsidR="006B2EC1" w:rsidRDefault="00E82A60">
            <w:pPr>
              <w:spacing w:before="240" w:after="240"/>
              <w:jc w:val="left"/>
            </w:pPr>
            <w:r>
              <w:t xml:space="preserve">W </w:t>
            </w:r>
            <w:proofErr w:type="spellStart"/>
            <w:r>
              <w:t>wyniku</w:t>
            </w:r>
            <w:proofErr w:type="spellEnd"/>
            <w:r>
              <w:t xml:space="preserve"> </w:t>
            </w:r>
            <w:proofErr w:type="spellStart"/>
            <w:r>
              <w:t>przeprowadzonej</w:t>
            </w:r>
            <w:proofErr w:type="spellEnd"/>
            <w:r>
              <w:t xml:space="preserve"> </w:t>
            </w:r>
            <w:proofErr w:type="spellStart"/>
            <w:r>
              <w:t>analizy</w:t>
            </w:r>
            <w:proofErr w:type="spellEnd"/>
            <w:r>
              <w:t xml:space="preserve"> </w:t>
            </w:r>
            <w:proofErr w:type="spellStart"/>
            <w:r>
              <w:t>stwierdzono</w:t>
            </w:r>
            <w:proofErr w:type="spellEnd"/>
            <w:r>
              <w:t xml:space="preserve">, </w:t>
            </w:r>
            <w:proofErr w:type="spellStart"/>
            <w:r>
              <w:t>że</w:t>
            </w:r>
            <w:proofErr w:type="spellEnd"/>
            <w:r>
              <w:t xml:space="preserve"> </w:t>
            </w:r>
            <w:proofErr w:type="spellStart"/>
            <w:r>
              <w:t>na</w:t>
            </w:r>
            <w:proofErr w:type="spellEnd"/>
            <w:r>
              <w:t xml:space="preserve"> </w:t>
            </w:r>
            <w:proofErr w:type="spellStart"/>
            <w:r>
              <w:t>każdym</w:t>
            </w:r>
            <w:proofErr w:type="spellEnd"/>
            <w:r>
              <w:t xml:space="preserve"> </w:t>
            </w:r>
            <w:proofErr w:type="spellStart"/>
            <w:r>
              <w:t>etapie</w:t>
            </w:r>
            <w:proofErr w:type="spellEnd"/>
            <w:r>
              <w:t xml:space="preserve"> </w:t>
            </w:r>
            <w:proofErr w:type="spellStart"/>
            <w:r>
              <w:t>projektowania</w:t>
            </w:r>
            <w:proofErr w:type="spellEnd"/>
            <w:r>
              <w:t xml:space="preserve"> i </w:t>
            </w:r>
            <w:proofErr w:type="spellStart"/>
            <w:r>
              <w:t>wdrażania</w:t>
            </w:r>
            <w:proofErr w:type="spellEnd"/>
            <w:r>
              <w:t xml:space="preserve"> </w:t>
            </w:r>
            <w:proofErr w:type="spellStart"/>
            <w:r>
              <w:t>Programu</w:t>
            </w:r>
            <w:proofErr w:type="spellEnd"/>
            <w:r>
              <w:t xml:space="preserve">, </w:t>
            </w:r>
            <w:proofErr w:type="spellStart"/>
            <w:r>
              <w:t>przewidziano</w:t>
            </w:r>
            <w:proofErr w:type="spellEnd"/>
            <w:r>
              <w:t xml:space="preserve"> </w:t>
            </w:r>
            <w:proofErr w:type="spellStart"/>
            <w:r>
              <w:t>działania</w:t>
            </w:r>
            <w:proofErr w:type="spellEnd"/>
            <w:r>
              <w:t xml:space="preserve"> </w:t>
            </w:r>
            <w:proofErr w:type="spellStart"/>
            <w:r>
              <w:t>służące</w:t>
            </w:r>
            <w:proofErr w:type="spellEnd"/>
            <w:r>
              <w:t xml:space="preserve"> </w:t>
            </w:r>
            <w:proofErr w:type="spellStart"/>
            <w:r>
              <w:t>zapewnieniu</w:t>
            </w:r>
            <w:proofErr w:type="spellEnd"/>
            <w:r>
              <w:t xml:space="preserve"> </w:t>
            </w:r>
            <w:proofErr w:type="spellStart"/>
            <w:r>
              <w:t>realizacji</w:t>
            </w:r>
            <w:proofErr w:type="spellEnd"/>
            <w:r>
              <w:t xml:space="preserve"> </w:t>
            </w:r>
            <w:proofErr w:type="spellStart"/>
            <w:r>
              <w:t>polityk</w:t>
            </w:r>
            <w:proofErr w:type="spellEnd"/>
            <w:r>
              <w:t xml:space="preserve"> </w:t>
            </w:r>
            <w:proofErr w:type="spellStart"/>
            <w:r>
              <w:t>horyzontalnych</w:t>
            </w:r>
            <w:proofErr w:type="spellEnd"/>
            <w:r>
              <w:t xml:space="preserve">. </w:t>
            </w:r>
            <w:proofErr w:type="spellStart"/>
            <w:r>
              <w:t>Zapisy</w:t>
            </w:r>
            <w:proofErr w:type="spellEnd"/>
            <w:r>
              <w:t xml:space="preserve"> RPOWŚ, a </w:t>
            </w:r>
            <w:proofErr w:type="spellStart"/>
            <w:r>
              <w:lastRenderedPageBreak/>
              <w:t>także</w:t>
            </w:r>
            <w:proofErr w:type="spellEnd"/>
            <w:r>
              <w:t xml:space="preserve"> </w:t>
            </w:r>
            <w:proofErr w:type="spellStart"/>
            <w:r>
              <w:t>sposób</w:t>
            </w:r>
            <w:proofErr w:type="spellEnd"/>
            <w:r>
              <w:t xml:space="preserve"> </w:t>
            </w:r>
            <w:proofErr w:type="spellStart"/>
            <w:r>
              <w:t>wdrażania</w:t>
            </w:r>
            <w:proofErr w:type="spellEnd"/>
            <w:r>
              <w:t xml:space="preserve"> </w:t>
            </w:r>
            <w:proofErr w:type="spellStart"/>
            <w:r>
              <w:t>Programu</w:t>
            </w:r>
            <w:proofErr w:type="spellEnd"/>
            <w:r>
              <w:t xml:space="preserve"> </w:t>
            </w:r>
            <w:proofErr w:type="spellStart"/>
            <w:r>
              <w:t>wykazują</w:t>
            </w:r>
            <w:proofErr w:type="spellEnd"/>
            <w:r>
              <w:t xml:space="preserve"> </w:t>
            </w:r>
            <w:proofErr w:type="spellStart"/>
            <w:r>
              <w:t>zgodność</w:t>
            </w:r>
            <w:proofErr w:type="spellEnd"/>
            <w:r>
              <w:t xml:space="preserve"> </w:t>
            </w:r>
            <w:proofErr w:type="spellStart"/>
            <w:r>
              <w:t>zarówno</w:t>
            </w:r>
            <w:proofErr w:type="spellEnd"/>
            <w:r>
              <w:t xml:space="preserve"> z </w:t>
            </w:r>
            <w:proofErr w:type="spellStart"/>
            <w:r>
              <w:t>europejskimi</w:t>
            </w:r>
            <w:proofErr w:type="spellEnd"/>
            <w:r>
              <w:t xml:space="preserve"> </w:t>
            </w:r>
            <w:proofErr w:type="spellStart"/>
            <w:r>
              <w:t>dokumentami</w:t>
            </w:r>
            <w:proofErr w:type="spellEnd"/>
            <w:r>
              <w:t xml:space="preserve"> </w:t>
            </w:r>
            <w:proofErr w:type="spellStart"/>
            <w:r>
              <w:t>strategicznymi</w:t>
            </w:r>
            <w:proofErr w:type="spellEnd"/>
            <w:r>
              <w:t xml:space="preserve"> (m.in. </w:t>
            </w:r>
            <w:proofErr w:type="spellStart"/>
            <w:r>
              <w:t>strategią</w:t>
            </w:r>
            <w:proofErr w:type="spellEnd"/>
            <w:r>
              <w:t xml:space="preserve"> Europa 2020), jak </w:t>
            </w:r>
            <w:proofErr w:type="spellStart"/>
            <w:r>
              <w:t>również</w:t>
            </w:r>
            <w:proofErr w:type="spellEnd"/>
            <w:r>
              <w:t xml:space="preserve"> z </w:t>
            </w:r>
            <w:proofErr w:type="spellStart"/>
            <w:r>
              <w:t>krajowymi</w:t>
            </w:r>
            <w:proofErr w:type="spellEnd"/>
            <w:r>
              <w:t xml:space="preserve"> </w:t>
            </w:r>
            <w:proofErr w:type="spellStart"/>
            <w:r>
              <w:t>regulacjami</w:t>
            </w:r>
            <w:proofErr w:type="spellEnd"/>
            <w:r>
              <w:t>.</w:t>
            </w:r>
          </w:p>
          <w:p w14:paraId="16AFCB69" w14:textId="77777777" w:rsidR="006B2EC1" w:rsidRDefault="00E82A60">
            <w:pPr>
              <w:spacing w:before="240" w:after="240"/>
              <w:jc w:val="left"/>
            </w:pPr>
            <w:proofErr w:type="spellStart"/>
            <w:r>
              <w:t>Wnioski</w:t>
            </w:r>
            <w:proofErr w:type="spellEnd"/>
            <w:r>
              <w:t xml:space="preserve"> i </w:t>
            </w:r>
            <w:proofErr w:type="spellStart"/>
            <w:r>
              <w:t>rekomendacje</w:t>
            </w:r>
            <w:proofErr w:type="spellEnd"/>
            <w:r>
              <w:t xml:space="preserve"> </w:t>
            </w:r>
            <w:proofErr w:type="spellStart"/>
            <w:r>
              <w:t>wynikające</w:t>
            </w:r>
            <w:proofErr w:type="spellEnd"/>
            <w:r>
              <w:t xml:space="preserve"> z </w:t>
            </w:r>
            <w:proofErr w:type="spellStart"/>
            <w:r>
              <w:t>badania</w:t>
            </w:r>
            <w:proofErr w:type="spellEnd"/>
            <w:r>
              <w:t xml:space="preserve"> </w:t>
            </w:r>
            <w:proofErr w:type="spellStart"/>
            <w:r>
              <w:t>wskazują</w:t>
            </w:r>
            <w:proofErr w:type="spellEnd"/>
            <w:r>
              <w:t xml:space="preserve"> </w:t>
            </w:r>
            <w:proofErr w:type="spellStart"/>
            <w:r>
              <w:t>głównie</w:t>
            </w:r>
            <w:proofErr w:type="spellEnd"/>
            <w:r>
              <w:t xml:space="preserve"> </w:t>
            </w:r>
            <w:proofErr w:type="spellStart"/>
            <w:r>
              <w:t>na</w:t>
            </w:r>
            <w:proofErr w:type="spellEnd"/>
            <w:r>
              <w:t xml:space="preserve">: </w:t>
            </w:r>
            <w:proofErr w:type="spellStart"/>
            <w:r>
              <w:t>szersze</w:t>
            </w:r>
            <w:proofErr w:type="spellEnd"/>
            <w:r>
              <w:t xml:space="preserve"> </w:t>
            </w:r>
            <w:proofErr w:type="spellStart"/>
            <w:r>
              <w:t>ujęcie</w:t>
            </w:r>
            <w:proofErr w:type="spellEnd"/>
            <w:r>
              <w:t xml:space="preserve"> </w:t>
            </w:r>
            <w:proofErr w:type="spellStart"/>
            <w:r>
              <w:t>kwestii</w:t>
            </w:r>
            <w:proofErr w:type="spellEnd"/>
            <w:r>
              <w:t xml:space="preserve"> </w:t>
            </w:r>
            <w:proofErr w:type="spellStart"/>
            <w:r>
              <w:t>związanych</w:t>
            </w:r>
            <w:proofErr w:type="spellEnd"/>
            <w:r>
              <w:t xml:space="preserve"> z </w:t>
            </w:r>
            <w:proofErr w:type="spellStart"/>
            <w:r>
              <w:t>zasadą</w:t>
            </w:r>
            <w:proofErr w:type="spellEnd"/>
            <w:r>
              <w:t xml:space="preserve"> </w:t>
            </w:r>
            <w:proofErr w:type="spellStart"/>
            <w:r>
              <w:t>zrównoważonego</w:t>
            </w:r>
            <w:proofErr w:type="spellEnd"/>
            <w:r>
              <w:t xml:space="preserve"> </w:t>
            </w:r>
            <w:proofErr w:type="spellStart"/>
            <w:r>
              <w:t>rozwoju</w:t>
            </w:r>
            <w:proofErr w:type="spellEnd"/>
            <w:r>
              <w:t xml:space="preserve"> (np. </w:t>
            </w:r>
            <w:proofErr w:type="spellStart"/>
            <w:r>
              <w:t>efektu</w:t>
            </w:r>
            <w:proofErr w:type="spellEnd"/>
            <w:r>
              <w:t xml:space="preserve"> </w:t>
            </w:r>
            <w:proofErr w:type="spellStart"/>
            <w:r>
              <w:t>ekologicznego</w:t>
            </w:r>
            <w:proofErr w:type="spellEnd"/>
            <w:r>
              <w:t xml:space="preserve">) w </w:t>
            </w:r>
            <w:proofErr w:type="spellStart"/>
            <w:r>
              <w:t>kryteriach</w:t>
            </w:r>
            <w:proofErr w:type="spellEnd"/>
            <w:r>
              <w:t xml:space="preserve"> </w:t>
            </w:r>
            <w:proofErr w:type="spellStart"/>
            <w:r>
              <w:t>punktowych</w:t>
            </w:r>
            <w:proofErr w:type="spellEnd"/>
            <w:r>
              <w:t xml:space="preserve">, w </w:t>
            </w:r>
            <w:proofErr w:type="spellStart"/>
            <w:r>
              <w:t>szczególności</w:t>
            </w:r>
            <w:proofErr w:type="spellEnd"/>
            <w:r>
              <w:t xml:space="preserve"> w </w:t>
            </w:r>
            <w:proofErr w:type="spellStart"/>
            <w:r>
              <w:t>działaniach</w:t>
            </w:r>
            <w:proofErr w:type="spellEnd"/>
            <w:r>
              <w:t xml:space="preserve"> </w:t>
            </w:r>
            <w:proofErr w:type="spellStart"/>
            <w:r>
              <w:t>finansowanych</w:t>
            </w:r>
            <w:proofErr w:type="spellEnd"/>
            <w:r>
              <w:t xml:space="preserve"> z EFRR; </w:t>
            </w:r>
            <w:proofErr w:type="spellStart"/>
            <w:r>
              <w:t>szersze</w:t>
            </w:r>
            <w:proofErr w:type="spellEnd"/>
            <w:r>
              <w:t xml:space="preserve"> </w:t>
            </w:r>
            <w:proofErr w:type="spellStart"/>
            <w:r>
              <w:t>włączenie</w:t>
            </w:r>
            <w:proofErr w:type="spellEnd"/>
            <w:r>
              <w:t xml:space="preserve"> </w:t>
            </w:r>
            <w:proofErr w:type="spellStart"/>
            <w:r>
              <w:t>tematyki</w:t>
            </w:r>
            <w:proofErr w:type="spellEnd"/>
            <w:r>
              <w:t xml:space="preserve"> </w:t>
            </w:r>
            <w:proofErr w:type="spellStart"/>
            <w:r>
              <w:t>polityk</w:t>
            </w:r>
            <w:proofErr w:type="spellEnd"/>
            <w:r>
              <w:t xml:space="preserve"> </w:t>
            </w:r>
            <w:proofErr w:type="spellStart"/>
            <w:r>
              <w:t>horyzontalnych</w:t>
            </w:r>
            <w:proofErr w:type="spellEnd"/>
            <w:r>
              <w:t xml:space="preserve"> do </w:t>
            </w:r>
            <w:proofErr w:type="spellStart"/>
            <w:r>
              <w:t>działań</w:t>
            </w:r>
            <w:proofErr w:type="spellEnd"/>
            <w:r>
              <w:t xml:space="preserve"> </w:t>
            </w:r>
            <w:proofErr w:type="spellStart"/>
            <w:r>
              <w:t>szkoleniowych</w:t>
            </w:r>
            <w:proofErr w:type="spellEnd"/>
            <w:r>
              <w:t xml:space="preserve"> </w:t>
            </w:r>
            <w:proofErr w:type="spellStart"/>
            <w:r>
              <w:t>skierowanych</w:t>
            </w:r>
            <w:proofErr w:type="spellEnd"/>
            <w:r>
              <w:t xml:space="preserve"> do </w:t>
            </w:r>
            <w:proofErr w:type="spellStart"/>
            <w:r>
              <w:t>Beneficjentów</w:t>
            </w:r>
            <w:proofErr w:type="spellEnd"/>
            <w:r>
              <w:t xml:space="preserve">; </w:t>
            </w:r>
            <w:proofErr w:type="spellStart"/>
            <w:r>
              <w:t>przeprowadzenie</w:t>
            </w:r>
            <w:proofErr w:type="spellEnd"/>
            <w:r>
              <w:t xml:space="preserve"> </w:t>
            </w:r>
            <w:proofErr w:type="spellStart"/>
            <w:r>
              <w:t>analizy</w:t>
            </w:r>
            <w:proofErr w:type="spellEnd"/>
            <w:r>
              <w:t xml:space="preserve"> </w:t>
            </w:r>
            <w:proofErr w:type="spellStart"/>
            <w:r>
              <w:t>zapotrzebowania</w:t>
            </w:r>
            <w:proofErr w:type="spellEnd"/>
            <w:r>
              <w:t xml:space="preserve"> </w:t>
            </w:r>
            <w:proofErr w:type="spellStart"/>
            <w:r>
              <w:t>na</w:t>
            </w:r>
            <w:proofErr w:type="spellEnd"/>
            <w:r>
              <w:t xml:space="preserve"> </w:t>
            </w:r>
            <w:proofErr w:type="spellStart"/>
            <w:r>
              <w:t>wiedzę</w:t>
            </w:r>
            <w:proofErr w:type="spellEnd"/>
            <w:r>
              <w:t xml:space="preserve"> </w:t>
            </w:r>
            <w:proofErr w:type="spellStart"/>
            <w:r>
              <w:t>wśród</w:t>
            </w:r>
            <w:proofErr w:type="spellEnd"/>
            <w:r>
              <w:t xml:space="preserve"> </w:t>
            </w:r>
            <w:proofErr w:type="spellStart"/>
            <w:r>
              <w:t>pracowników</w:t>
            </w:r>
            <w:proofErr w:type="spellEnd"/>
            <w:r>
              <w:t xml:space="preserve"> IZ i IP z </w:t>
            </w:r>
            <w:proofErr w:type="spellStart"/>
            <w:r>
              <w:t>zakresu</w:t>
            </w:r>
            <w:proofErr w:type="spellEnd"/>
            <w:r>
              <w:t xml:space="preserve"> </w:t>
            </w:r>
            <w:proofErr w:type="spellStart"/>
            <w:r>
              <w:t>zasady</w:t>
            </w:r>
            <w:proofErr w:type="spellEnd"/>
            <w:r>
              <w:t xml:space="preserve"> </w:t>
            </w:r>
            <w:proofErr w:type="spellStart"/>
            <w:r>
              <w:t>równości</w:t>
            </w:r>
            <w:proofErr w:type="spellEnd"/>
            <w:r>
              <w:t xml:space="preserve"> </w:t>
            </w:r>
            <w:proofErr w:type="spellStart"/>
            <w:r>
              <w:t>szans</w:t>
            </w:r>
            <w:proofErr w:type="spellEnd"/>
            <w:r>
              <w:t xml:space="preserve"> i </w:t>
            </w:r>
            <w:proofErr w:type="spellStart"/>
            <w:r>
              <w:t>niedyskryminacji</w:t>
            </w:r>
            <w:proofErr w:type="spellEnd"/>
            <w:r>
              <w:t xml:space="preserve"> </w:t>
            </w:r>
            <w:proofErr w:type="spellStart"/>
            <w:r>
              <w:t>oraz</w:t>
            </w:r>
            <w:proofErr w:type="spellEnd"/>
            <w:r>
              <w:t xml:space="preserve"> </w:t>
            </w:r>
            <w:proofErr w:type="spellStart"/>
            <w:r>
              <w:t>zasady</w:t>
            </w:r>
            <w:proofErr w:type="spellEnd"/>
            <w:r>
              <w:t xml:space="preserve"> </w:t>
            </w:r>
            <w:proofErr w:type="spellStart"/>
            <w:r>
              <w:t>równości</w:t>
            </w:r>
            <w:proofErr w:type="spellEnd"/>
            <w:r>
              <w:t xml:space="preserve"> </w:t>
            </w:r>
            <w:proofErr w:type="spellStart"/>
            <w:r>
              <w:t>szans</w:t>
            </w:r>
            <w:proofErr w:type="spellEnd"/>
            <w:r>
              <w:t xml:space="preserve"> </w:t>
            </w:r>
            <w:proofErr w:type="spellStart"/>
            <w:r>
              <w:t>kobiet</w:t>
            </w:r>
            <w:proofErr w:type="spellEnd"/>
            <w:r>
              <w:t xml:space="preserve"> i </w:t>
            </w:r>
            <w:proofErr w:type="spellStart"/>
            <w:r>
              <w:t>mężczyzn</w:t>
            </w:r>
            <w:proofErr w:type="spellEnd"/>
            <w:r>
              <w:t xml:space="preserve">; </w:t>
            </w:r>
            <w:proofErr w:type="spellStart"/>
            <w:r>
              <w:t>ukierunkowanie</w:t>
            </w:r>
            <w:proofErr w:type="spellEnd"/>
            <w:r>
              <w:t xml:space="preserve"> </w:t>
            </w:r>
            <w:proofErr w:type="spellStart"/>
            <w:r>
              <w:t>działań</w:t>
            </w:r>
            <w:proofErr w:type="spellEnd"/>
            <w:r>
              <w:t xml:space="preserve"> </w:t>
            </w:r>
            <w:proofErr w:type="spellStart"/>
            <w:r>
              <w:t>informacyjno-promocyjnych</w:t>
            </w:r>
            <w:proofErr w:type="spellEnd"/>
            <w:r>
              <w:t xml:space="preserve"> </w:t>
            </w:r>
            <w:proofErr w:type="spellStart"/>
            <w:r>
              <w:t>na</w:t>
            </w:r>
            <w:proofErr w:type="spellEnd"/>
            <w:r>
              <w:t> </w:t>
            </w:r>
            <w:proofErr w:type="spellStart"/>
            <w:r>
              <w:t>zwiększanie</w:t>
            </w:r>
            <w:proofErr w:type="spellEnd"/>
            <w:r>
              <w:t xml:space="preserve"> </w:t>
            </w:r>
            <w:proofErr w:type="spellStart"/>
            <w:r>
              <w:t>świadomości</w:t>
            </w:r>
            <w:proofErr w:type="spellEnd"/>
            <w:r>
              <w:t xml:space="preserve"> </w:t>
            </w:r>
            <w:proofErr w:type="spellStart"/>
            <w:r>
              <w:t>odbiorców</w:t>
            </w:r>
            <w:proofErr w:type="spellEnd"/>
            <w:r>
              <w:t xml:space="preserve"> w </w:t>
            </w:r>
            <w:proofErr w:type="spellStart"/>
            <w:r>
              <w:t>zakresie</w:t>
            </w:r>
            <w:proofErr w:type="spellEnd"/>
            <w:r>
              <w:t xml:space="preserve"> </w:t>
            </w:r>
            <w:proofErr w:type="spellStart"/>
            <w:r>
              <w:t>polityk</w:t>
            </w:r>
            <w:proofErr w:type="spellEnd"/>
            <w:r>
              <w:t xml:space="preserve"> </w:t>
            </w:r>
            <w:proofErr w:type="spellStart"/>
            <w:r>
              <w:t>horyzontalnych</w:t>
            </w:r>
            <w:proofErr w:type="spellEnd"/>
            <w:r>
              <w:t xml:space="preserve"> i ich </w:t>
            </w:r>
            <w:proofErr w:type="spellStart"/>
            <w:r>
              <w:t>znaczenia</w:t>
            </w:r>
            <w:proofErr w:type="spellEnd"/>
            <w:r>
              <w:t>.</w:t>
            </w:r>
          </w:p>
          <w:p w14:paraId="711B2A7F" w14:textId="77777777" w:rsidR="006B2EC1" w:rsidRDefault="00E82A60">
            <w:pPr>
              <w:spacing w:before="240" w:after="240"/>
              <w:jc w:val="left"/>
            </w:pPr>
            <w:proofErr w:type="spellStart"/>
            <w:r>
              <w:t>Sformułowano</w:t>
            </w:r>
            <w:proofErr w:type="spellEnd"/>
            <w:r>
              <w:t xml:space="preserve"> 6 </w:t>
            </w:r>
            <w:proofErr w:type="spellStart"/>
            <w:r>
              <w:t>rekomendacji</w:t>
            </w:r>
            <w:proofErr w:type="spellEnd"/>
            <w:r>
              <w:t xml:space="preserve">, </w:t>
            </w:r>
            <w:proofErr w:type="spellStart"/>
            <w:r>
              <w:t>wszystkie</w:t>
            </w:r>
            <w:proofErr w:type="spellEnd"/>
            <w:r>
              <w:t xml:space="preserve"> </w:t>
            </w:r>
            <w:proofErr w:type="spellStart"/>
            <w:r>
              <w:t>zostały</w:t>
            </w:r>
            <w:proofErr w:type="spellEnd"/>
            <w:r>
              <w:t xml:space="preserve"> </w:t>
            </w:r>
            <w:proofErr w:type="spellStart"/>
            <w:r>
              <w:t>zaakceptowane</w:t>
            </w:r>
            <w:proofErr w:type="spellEnd"/>
            <w:r>
              <w:t xml:space="preserve"> i </w:t>
            </w:r>
            <w:proofErr w:type="spellStart"/>
            <w:r>
              <w:t>dotyczyły</w:t>
            </w:r>
            <w:proofErr w:type="spellEnd"/>
            <w:r>
              <w:t xml:space="preserve"> </w:t>
            </w:r>
            <w:proofErr w:type="spellStart"/>
            <w:r>
              <w:t>głównie</w:t>
            </w:r>
            <w:proofErr w:type="spellEnd"/>
            <w:r>
              <w:t xml:space="preserve"> </w:t>
            </w:r>
            <w:proofErr w:type="spellStart"/>
            <w:r>
              <w:t>projektowania</w:t>
            </w:r>
            <w:proofErr w:type="spellEnd"/>
            <w:r>
              <w:t xml:space="preserve"> </w:t>
            </w:r>
            <w:proofErr w:type="spellStart"/>
            <w:r>
              <w:t>nowej</w:t>
            </w:r>
            <w:proofErr w:type="spellEnd"/>
            <w:r>
              <w:t xml:space="preserve"> </w:t>
            </w:r>
            <w:proofErr w:type="spellStart"/>
            <w:r>
              <w:t>perspektywy</w:t>
            </w:r>
            <w:proofErr w:type="spellEnd"/>
            <w:r>
              <w:t xml:space="preserve"> 2021-2027.</w:t>
            </w:r>
          </w:p>
          <w:p w14:paraId="3A3A428C" w14:textId="77777777" w:rsidR="00932504" w:rsidRPr="006C5893" w:rsidRDefault="00932504" w:rsidP="0051119B">
            <w:pPr>
              <w:spacing w:before="0" w:after="0"/>
              <w:jc w:val="left"/>
              <w:rPr>
                <w:sz w:val="16"/>
                <w:szCs w:val="16"/>
                <w:lang w:val="fr-BE"/>
              </w:rPr>
            </w:pPr>
          </w:p>
        </w:tc>
      </w:tr>
      <w:tr w:rsidR="006B2EC1" w14:paraId="4D3387FA" w14:textId="77777777" w:rsidTr="00776DD9">
        <w:tc>
          <w:tcPr>
            <w:tcW w:w="0" w:type="auto"/>
            <w:shd w:val="clear" w:color="auto" w:fill="auto"/>
          </w:tcPr>
          <w:p w14:paraId="73CC016C" w14:textId="77777777" w:rsidR="00932504" w:rsidRPr="006C5893" w:rsidRDefault="00E11D4E" w:rsidP="007D0631">
            <w:pPr>
              <w:spacing w:before="0" w:after="0"/>
              <w:jc w:val="left"/>
              <w:rPr>
                <w:sz w:val="16"/>
                <w:szCs w:val="16"/>
                <w:lang w:val="fr-BE"/>
              </w:rPr>
            </w:pPr>
            <w:r w:rsidRPr="006C5893">
              <w:rPr>
                <w:noProof/>
                <w:sz w:val="16"/>
                <w:szCs w:val="16"/>
                <w:lang w:val="fr-BE"/>
              </w:rPr>
              <w:lastRenderedPageBreak/>
              <w:t xml:space="preserve">Ewaluacja Strategii Rozwoju Województwa Świętokrzyskiego do roku 2020 w </w:t>
            </w:r>
            <w:r w:rsidRPr="006C5893">
              <w:rPr>
                <w:noProof/>
                <w:sz w:val="16"/>
                <w:szCs w:val="16"/>
                <w:lang w:val="fr-BE"/>
              </w:rPr>
              <w:lastRenderedPageBreak/>
              <w:t>kontekście wpływu Regionalnego Programu Operacyjnego Województwa Świętokrzyskiego na lata 2014-2020 na realizację jej celów</w:t>
            </w:r>
          </w:p>
        </w:tc>
        <w:tc>
          <w:tcPr>
            <w:tcW w:w="0" w:type="auto"/>
            <w:shd w:val="clear" w:color="auto" w:fill="auto"/>
          </w:tcPr>
          <w:p w14:paraId="745F7C19" w14:textId="77777777" w:rsidR="00932504" w:rsidRPr="006C5893" w:rsidRDefault="00E70F05" w:rsidP="00E70F05">
            <w:pPr>
              <w:spacing w:before="0" w:after="0"/>
              <w:jc w:val="left"/>
              <w:rPr>
                <w:sz w:val="16"/>
                <w:szCs w:val="16"/>
                <w:lang w:val="fr-BE"/>
              </w:rPr>
            </w:pPr>
            <w:r w:rsidRPr="006C5893">
              <w:rPr>
                <w:noProof/>
                <w:sz w:val="16"/>
                <w:szCs w:val="16"/>
                <w:lang w:val="fr-BE"/>
              </w:rPr>
              <w:lastRenderedPageBreak/>
              <w:t>EFRR</w:t>
            </w:r>
          </w:p>
          <w:p w14:paraId="0E28D2A1" w14:textId="77777777" w:rsidR="00932504" w:rsidRPr="006C5893" w:rsidRDefault="00E70F05" w:rsidP="00E70F05">
            <w:pPr>
              <w:spacing w:before="0" w:after="0"/>
              <w:jc w:val="left"/>
              <w:rPr>
                <w:sz w:val="16"/>
                <w:szCs w:val="16"/>
                <w:lang w:val="fr-BE"/>
              </w:rPr>
            </w:pPr>
            <w:r w:rsidRPr="006C5893">
              <w:rPr>
                <w:noProof/>
                <w:sz w:val="16"/>
                <w:szCs w:val="16"/>
                <w:lang w:val="fr-BE"/>
              </w:rPr>
              <w:t>EFS</w:t>
            </w:r>
          </w:p>
        </w:tc>
        <w:tc>
          <w:tcPr>
            <w:tcW w:w="0" w:type="auto"/>
            <w:shd w:val="clear" w:color="auto" w:fill="auto"/>
          </w:tcPr>
          <w:p w14:paraId="4F253497" w14:textId="77777777" w:rsidR="00932504" w:rsidRPr="006C5893" w:rsidRDefault="0089499E" w:rsidP="007D0631">
            <w:pPr>
              <w:spacing w:before="0" w:after="0"/>
              <w:jc w:val="left"/>
              <w:rPr>
                <w:sz w:val="16"/>
                <w:szCs w:val="16"/>
                <w:lang w:val="fr-BE"/>
              </w:rPr>
            </w:pPr>
            <w:r w:rsidRPr="006C5893">
              <w:rPr>
                <w:noProof/>
                <w:sz w:val="16"/>
                <w:szCs w:val="16"/>
                <w:lang w:val="fr-BE"/>
              </w:rPr>
              <w:t>10</w:t>
            </w:r>
          </w:p>
        </w:tc>
        <w:tc>
          <w:tcPr>
            <w:tcW w:w="0" w:type="auto"/>
            <w:shd w:val="clear" w:color="auto" w:fill="auto"/>
          </w:tcPr>
          <w:p w14:paraId="615F7758" w14:textId="77777777" w:rsidR="00932504" w:rsidRPr="006C5893" w:rsidRDefault="0089499E" w:rsidP="007D0631">
            <w:pPr>
              <w:spacing w:before="0" w:after="0"/>
              <w:jc w:val="left"/>
              <w:rPr>
                <w:sz w:val="16"/>
                <w:szCs w:val="16"/>
                <w:lang w:val="fr-BE"/>
              </w:rPr>
            </w:pPr>
            <w:r w:rsidRPr="006C5893">
              <w:rPr>
                <w:noProof/>
                <w:sz w:val="16"/>
                <w:szCs w:val="16"/>
                <w:lang w:val="fr-BE"/>
              </w:rPr>
              <w:t>2017</w:t>
            </w:r>
          </w:p>
        </w:tc>
        <w:tc>
          <w:tcPr>
            <w:tcW w:w="0" w:type="auto"/>
            <w:shd w:val="clear" w:color="auto" w:fill="auto"/>
          </w:tcPr>
          <w:p w14:paraId="267259CA" w14:textId="77777777" w:rsidR="00932504" w:rsidRPr="006C5893" w:rsidRDefault="0089499E" w:rsidP="007D0631">
            <w:pPr>
              <w:spacing w:before="0" w:after="0"/>
              <w:jc w:val="left"/>
              <w:rPr>
                <w:sz w:val="16"/>
                <w:szCs w:val="16"/>
                <w:lang w:val="fr-BE"/>
              </w:rPr>
            </w:pPr>
            <w:r w:rsidRPr="006C5893">
              <w:rPr>
                <w:noProof/>
                <w:sz w:val="16"/>
                <w:szCs w:val="16"/>
                <w:lang w:val="fr-BE"/>
              </w:rPr>
              <w:t>12</w:t>
            </w:r>
          </w:p>
        </w:tc>
        <w:tc>
          <w:tcPr>
            <w:tcW w:w="0" w:type="auto"/>
            <w:shd w:val="clear" w:color="auto" w:fill="auto"/>
          </w:tcPr>
          <w:p w14:paraId="0BEB66AA" w14:textId="77777777" w:rsidR="00932504" w:rsidRPr="006C5893" w:rsidRDefault="0089499E" w:rsidP="007D0631">
            <w:pPr>
              <w:spacing w:before="0" w:after="0"/>
              <w:jc w:val="left"/>
              <w:rPr>
                <w:sz w:val="16"/>
                <w:szCs w:val="16"/>
                <w:lang w:val="fr-BE"/>
              </w:rPr>
            </w:pPr>
            <w:r w:rsidRPr="006C5893">
              <w:rPr>
                <w:noProof/>
                <w:sz w:val="16"/>
                <w:szCs w:val="16"/>
                <w:lang w:val="fr-BE"/>
              </w:rPr>
              <w:t>2017</w:t>
            </w:r>
          </w:p>
        </w:tc>
        <w:tc>
          <w:tcPr>
            <w:tcW w:w="0" w:type="auto"/>
            <w:shd w:val="clear" w:color="auto" w:fill="auto"/>
          </w:tcPr>
          <w:p w14:paraId="60CE37C9" w14:textId="77777777" w:rsidR="00932504" w:rsidRPr="006C5893" w:rsidRDefault="00B126B3" w:rsidP="0051119B">
            <w:pPr>
              <w:spacing w:before="0" w:after="0"/>
              <w:jc w:val="left"/>
              <w:rPr>
                <w:sz w:val="16"/>
                <w:szCs w:val="16"/>
                <w:lang w:val="fr-BE"/>
              </w:rPr>
            </w:pPr>
            <w:r w:rsidRPr="006C5893">
              <w:rPr>
                <w:noProof/>
                <w:sz w:val="16"/>
                <w:szCs w:val="16"/>
                <w:lang w:val="fr-BE"/>
              </w:rPr>
              <w:t>Mieszana</w:t>
            </w:r>
          </w:p>
        </w:tc>
        <w:tc>
          <w:tcPr>
            <w:tcW w:w="0" w:type="auto"/>
            <w:shd w:val="clear" w:color="auto" w:fill="auto"/>
          </w:tcPr>
          <w:p w14:paraId="623F046A" w14:textId="77777777" w:rsidR="00932504" w:rsidRPr="006C5893" w:rsidRDefault="00092FD6" w:rsidP="00092FD6">
            <w:pPr>
              <w:spacing w:before="0" w:after="0"/>
              <w:jc w:val="left"/>
              <w:rPr>
                <w:sz w:val="16"/>
                <w:szCs w:val="16"/>
                <w:lang w:val="fr-BE"/>
              </w:rPr>
            </w:pPr>
            <w:r w:rsidRPr="006C5893">
              <w:rPr>
                <w:noProof/>
                <w:sz w:val="16"/>
                <w:szCs w:val="16"/>
                <w:lang w:val="fr-BE"/>
              </w:rPr>
              <w:t>01</w:t>
            </w:r>
          </w:p>
          <w:p w14:paraId="26995404" w14:textId="77777777" w:rsidR="00932504" w:rsidRPr="006C5893" w:rsidRDefault="00092FD6" w:rsidP="00092FD6">
            <w:pPr>
              <w:spacing w:before="0" w:after="0"/>
              <w:jc w:val="left"/>
              <w:rPr>
                <w:sz w:val="16"/>
                <w:szCs w:val="16"/>
                <w:lang w:val="fr-BE"/>
              </w:rPr>
            </w:pPr>
            <w:r w:rsidRPr="006C5893">
              <w:rPr>
                <w:noProof/>
                <w:sz w:val="16"/>
                <w:szCs w:val="16"/>
                <w:lang w:val="fr-BE"/>
              </w:rPr>
              <w:t>02</w:t>
            </w:r>
          </w:p>
          <w:p w14:paraId="6338DA71" w14:textId="77777777" w:rsidR="00932504" w:rsidRPr="006C5893" w:rsidRDefault="00092FD6" w:rsidP="00092FD6">
            <w:pPr>
              <w:spacing w:before="0" w:after="0"/>
              <w:jc w:val="left"/>
              <w:rPr>
                <w:sz w:val="16"/>
                <w:szCs w:val="16"/>
                <w:lang w:val="fr-BE"/>
              </w:rPr>
            </w:pPr>
            <w:r w:rsidRPr="006C5893">
              <w:rPr>
                <w:noProof/>
                <w:sz w:val="16"/>
                <w:szCs w:val="16"/>
                <w:lang w:val="fr-BE"/>
              </w:rPr>
              <w:t>03</w:t>
            </w:r>
          </w:p>
          <w:p w14:paraId="17211BB6" w14:textId="77777777" w:rsidR="00932504" w:rsidRPr="006C5893" w:rsidRDefault="00092FD6" w:rsidP="00092FD6">
            <w:pPr>
              <w:spacing w:before="0" w:after="0"/>
              <w:jc w:val="left"/>
              <w:rPr>
                <w:sz w:val="16"/>
                <w:szCs w:val="16"/>
                <w:lang w:val="fr-BE"/>
              </w:rPr>
            </w:pPr>
            <w:r w:rsidRPr="006C5893">
              <w:rPr>
                <w:noProof/>
                <w:sz w:val="16"/>
                <w:szCs w:val="16"/>
                <w:lang w:val="fr-BE"/>
              </w:rPr>
              <w:t>04</w:t>
            </w:r>
          </w:p>
          <w:p w14:paraId="6C30D5DA" w14:textId="77777777" w:rsidR="00932504" w:rsidRPr="006C5893" w:rsidRDefault="00092FD6" w:rsidP="00092FD6">
            <w:pPr>
              <w:spacing w:before="0" w:after="0"/>
              <w:jc w:val="left"/>
              <w:rPr>
                <w:sz w:val="16"/>
                <w:szCs w:val="16"/>
                <w:lang w:val="fr-BE"/>
              </w:rPr>
            </w:pPr>
            <w:r w:rsidRPr="006C5893">
              <w:rPr>
                <w:noProof/>
                <w:sz w:val="16"/>
                <w:szCs w:val="16"/>
                <w:lang w:val="fr-BE"/>
              </w:rPr>
              <w:t>05</w:t>
            </w:r>
          </w:p>
          <w:p w14:paraId="28890A00" w14:textId="77777777" w:rsidR="00932504" w:rsidRPr="006C5893" w:rsidRDefault="00092FD6" w:rsidP="00092FD6">
            <w:pPr>
              <w:spacing w:before="0" w:after="0"/>
              <w:jc w:val="left"/>
              <w:rPr>
                <w:sz w:val="16"/>
                <w:szCs w:val="16"/>
                <w:lang w:val="fr-BE"/>
              </w:rPr>
            </w:pPr>
            <w:r w:rsidRPr="006C5893">
              <w:rPr>
                <w:noProof/>
                <w:sz w:val="16"/>
                <w:szCs w:val="16"/>
                <w:lang w:val="fr-BE"/>
              </w:rPr>
              <w:lastRenderedPageBreak/>
              <w:t>06</w:t>
            </w:r>
          </w:p>
          <w:p w14:paraId="2C517AF1" w14:textId="77777777" w:rsidR="00932504" w:rsidRPr="006C5893" w:rsidRDefault="00092FD6" w:rsidP="00092FD6">
            <w:pPr>
              <w:spacing w:before="0" w:after="0"/>
              <w:jc w:val="left"/>
              <w:rPr>
                <w:sz w:val="16"/>
                <w:szCs w:val="16"/>
                <w:lang w:val="fr-BE"/>
              </w:rPr>
            </w:pPr>
            <w:r w:rsidRPr="006C5893">
              <w:rPr>
                <w:noProof/>
                <w:sz w:val="16"/>
                <w:szCs w:val="16"/>
                <w:lang w:val="fr-BE"/>
              </w:rPr>
              <w:t>07</w:t>
            </w:r>
          </w:p>
          <w:p w14:paraId="4CE63A54" w14:textId="77777777" w:rsidR="00932504" w:rsidRPr="006C5893" w:rsidRDefault="00092FD6" w:rsidP="00092FD6">
            <w:pPr>
              <w:spacing w:before="0" w:after="0"/>
              <w:jc w:val="left"/>
              <w:rPr>
                <w:sz w:val="16"/>
                <w:szCs w:val="16"/>
                <w:lang w:val="fr-BE"/>
              </w:rPr>
            </w:pPr>
            <w:r w:rsidRPr="006C5893">
              <w:rPr>
                <w:noProof/>
                <w:sz w:val="16"/>
                <w:szCs w:val="16"/>
                <w:lang w:val="fr-BE"/>
              </w:rPr>
              <w:t>08</w:t>
            </w:r>
          </w:p>
          <w:p w14:paraId="37588CFF" w14:textId="77777777" w:rsidR="00932504" w:rsidRPr="006C5893" w:rsidRDefault="00092FD6" w:rsidP="00092FD6">
            <w:pPr>
              <w:spacing w:before="0" w:after="0"/>
              <w:jc w:val="left"/>
              <w:rPr>
                <w:sz w:val="16"/>
                <w:szCs w:val="16"/>
                <w:lang w:val="fr-BE"/>
              </w:rPr>
            </w:pPr>
            <w:r w:rsidRPr="006C5893">
              <w:rPr>
                <w:noProof/>
                <w:sz w:val="16"/>
                <w:szCs w:val="16"/>
                <w:lang w:val="fr-BE"/>
              </w:rPr>
              <w:t>09</w:t>
            </w:r>
          </w:p>
          <w:p w14:paraId="5B25DC5D" w14:textId="77777777" w:rsidR="00932504" w:rsidRPr="006C5893" w:rsidRDefault="00092FD6" w:rsidP="00092FD6">
            <w:pPr>
              <w:spacing w:before="0" w:after="0"/>
              <w:jc w:val="left"/>
              <w:rPr>
                <w:sz w:val="16"/>
                <w:szCs w:val="16"/>
                <w:lang w:val="fr-BE"/>
              </w:rPr>
            </w:pPr>
            <w:r w:rsidRPr="006C5893">
              <w:rPr>
                <w:noProof/>
                <w:sz w:val="16"/>
                <w:szCs w:val="16"/>
                <w:lang w:val="fr-BE"/>
              </w:rPr>
              <w:t>10</w:t>
            </w:r>
          </w:p>
        </w:tc>
        <w:tc>
          <w:tcPr>
            <w:tcW w:w="0" w:type="auto"/>
            <w:shd w:val="clear" w:color="auto" w:fill="auto"/>
          </w:tcPr>
          <w:p w14:paraId="5683D1CC" w14:textId="77777777" w:rsidR="006B2EC1" w:rsidRDefault="00E82A60">
            <w:pPr>
              <w:spacing w:before="0" w:after="240"/>
              <w:jc w:val="left"/>
            </w:pPr>
            <w:proofErr w:type="spellStart"/>
            <w:r>
              <w:lastRenderedPageBreak/>
              <w:t>Celem</w:t>
            </w:r>
            <w:proofErr w:type="spellEnd"/>
            <w:r>
              <w:t xml:space="preserve"> </w:t>
            </w:r>
            <w:proofErr w:type="spellStart"/>
            <w:r>
              <w:t>głównym</w:t>
            </w:r>
            <w:proofErr w:type="spellEnd"/>
            <w:r>
              <w:t xml:space="preserve"> </w:t>
            </w:r>
            <w:proofErr w:type="spellStart"/>
            <w:r>
              <w:t>badania</w:t>
            </w:r>
            <w:proofErr w:type="spellEnd"/>
            <w:r>
              <w:t xml:space="preserve"> </w:t>
            </w:r>
            <w:proofErr w:type="spellStart"/>
            <w:r>
              <w:t>była</w:t>
            </w:r>
            <w:proofErr w:type="spellEnd"/>
            <w:r>
              <w:t xml:space="preserve"> </w:t>
            </w:r>
            <w:proofErr w:type="spellStart"/>
            <w:r>
              <w:t>ocena</w:t>
            </w:r>
            <w:proofErr w:type="spellEnd"/>
            <w:r>
              <w:t xml:space="preserve"> </w:t>
            </w:r>
            <w:proofErr w:type="spellStart"/>
            <w:r>
              <w:t>Strategii</w:t>
            </w:r>
            <w:proofErr w:type="spellEnd"/>
            <w:r>
              <w:t xml:space="preserve"> Rozwoju </w:t>
            </w:r>
            <w:proofErr w:type="spellStart"/>
            <w:r>
              <w:t>Województwa</w:t>
            </w:r>
            <w:proofErr w:type="spellEnd"/>
            <w:r>
              <w:t xml:space="preserve"> Świętokrzyskiego (SRWŚ) do </w:t>
            </w:r>
            <w:proofErr w:type="spellStart"/>
            <w:r>
              <w:t>roku</w:t>
            </w:r>
            <w:proofErr w:type="spellEnd"/>
            <w:r>
              <w:t xml:space="preserve"> 2020 w </w:t>
            </w:r>
            <w:proofErr w:type="spellStart"/>
            <w:r>
              <w:lastRenderedPageBreak/>
              <w:t>kontekście</w:t>
            </w:r>
            <w:proofErr w:type="spellEnd"/>
            <w:r>
              <w:t xml:space="preserve"> </w:t>
            </w:r>
            <w:proofErr w:type="spellStart"/>
            <w:r>
              <w:t>oddziaływania</w:t>
            </w:r>
            <w:proofErr w:type="spellEnd"/>
            <w:r>
              <w:t xml:space="preserve"> </w:t>
            </w:r>
            <w:proofErr w:type="spellStart"/>
            <w:r>
              <w:t>projektów</w:t>
            </w:r>
            <w:proofErr w:type="spellEnd"/>
            <w:r>
              <w:t xml:space="preserve"> </w:t>
            </w:r>
            <w:proofErr w:type="spellStart"/>
            <w:r>
              <w:t>realizowanych</w:t>
            </w:r>
            <w:proofErr w:type="spellEnd"/>
            <w:r>
              <w:t xml:space="preserve"> w RPOWŚ 2014-2020 </w:t>
            </w:r>
            <w:proofErr w:type="spellStart"/>
            <w:r>
              <w:t>na</w:t>
            </w:r>
            <w:proofErr w:type="spellEnd"/>
            <w:r>
              <w:t xml:space="preserve"> </w:t>
            </w:r>
            <w:proofErr w:type="spellStart"/>
            <w:r>
              <w:t>jej</w:t>
            </w:r>
            <w:proofErr w:type="spellEnd"/>
            <w:r>
              <w:t xml:space="preserve"> </w:t>
            </w:r>
            <w:proofErr w:type="spellStart"/>
            <w:r>
              <w:t>cele</w:t>
            </w:r>
            <w:proofErr w:type="spellEnd"/>
            <w:r>
              <w:t>.</w:t>
            </w:r>
          </w:p>
          <w:p w14:paraId="1A145C2C" w14:textId="77777777" w:rsidR="006B2EC1" w:rsidRDefault="00E82A60">
            <w:pPr>
              <w:spacing w:before="240" w:after="240"/>
              <w:jc w:val="left"/>
            </w:pPr>
            <w:proofErr w:type="spellStart"/>
            <w:r>
              <w:t>Realizację</w:t>
            </w:r>
            <w:proofErr w:type="spellEnd"/>
            <w:r>
              <w:t xml:space="preserve"> </w:t>
            </w:r>
            <w:proofErr w:type="spellStart"/>
            <w:r>
              <w:t>badania</w:t>
            </w:r>
            <w:proofErr w:type="spellEnd"/>
            <w:r>
              <w:t xml:space="preserve"> </w:t>
            </w:r>
            <w:proofErr w:type="spellStart"/>
            <w:r>
              <w:t>podzielono</w:t>
            </w:r>
            <w:proofErr w:type="spellEnd"/>
            <w:r>
              <w:t xml:space="preserve"> </w:t>
            </w:r>
            <w:proofErr w:type="spellStart"/>
            <w:r>
              <w:t>na</w:t>
            </w:r>
            <w:proofErr w:type="spellEnd"/>
            <w:r>
              <w:t xml:space="preserve"> 3 </w:t>
            </w:r>
            <w:proofErr w:type="spellStart"/>
            <w:r>
              <w:t>etapy</w:t>
            </w:r>
            <w:proofErr w:type="spellEnd"/>
            <w:r>
              <w:t xml:space="preserve">. W </w:t>
            </w:r>
            <w:proofErr w:type="spellStart"/>
            <w:r>
              <w:t>pierwszym</w:t>
            </w:r>
            <w:proofErr w:type="spellEnd"/>
            <w:r>
              <w:t xml:space="preserve"> </w:t>
            </w:r>
            <w:proofErr w:type="spellStart"/>
            <w:r>
              <w:t>określono</w:t>
            </w:r>
            <w:proofErr w:type="spellEnd"/>
            <w:r>
              <w:t xml:space="preserve"> </w:t>
            </w:r>
            <w:proofErr w:type="spellStart"/>
            <w:r>
              <w:t>ogólny</w:t>
            </w:r>
            <w:proofErr w:type="spellEnd"/>
            <w:r>
              <w:t xml:space="preserve"> </w:t>
            </w:r>
            <w:proofErr w:type="spellStart"/>
            <w:r>
              <w:t>postęp</w:t>
            </w:r>
            <w:proofErr w:type="spellEnd"/>
            <w:r>
              <w:t xml:space="preserve"> </w:t>
            </w:r>
            <w:proofErr w:type="spellStart"/>
            <w:r>
              <w:t>realizacji</w:t>
            </w:r>
            <w:proofErr w:type="spellEnd"/>
            <w:r>
              <w:t xml:space="preserve"> </w:t>
            </w:r>
            <w:proofErr w:type="spellStart"/>
            <w:r>
              <w:t>celów</w:t>
            </w:r>
            <w:proofErr w:type="spellEnd"/>
            <w:r>
              <w:t xml:space="preserve"> SRWŚ. </w:t>
            </w:r>
            <w:proofErr w:type="spellStart"/>
            <w:r>
              <w:t>Następnie</w:t>
            </w:r>
            <w:proofErr w:type="spellEnd"/>
            <w:r>
              <w:t xml:space="preserve"> </w:t>
            </w:r>
            <w:proofErr w:type="spellStart"/>
            <w:r>
              <w:t>przeprowadzono</w:t>
            </w:r>
            <w:proofErr w:type="spellEnd"/>
            <w:r>
              <w:t xml:space="preserve"> </w:t>
            </w:r>
            <w:proofErr w:type="spellStart"/>
            <w:r>
              <w:t>analizę</w:t>
            </w:r>
            <w:proofErr w:type="spellEnd"/>
            <w:r>
              <w:t xml:space="preserve"> </w:t>
            </w:r>
            <w:proofErr w:type="spellStart"/>
            <w:r>
              <w:t>wpływu</w:t>
            </w:r>
            <w:proofErr w:type="spellEnd"/>
            <w:r>
              <w:t xml:space="preserve"> RPOWŚ 2014-2020 </w:t>
            </w:r>
            <w:proofErr w:type="spellStart"/>
            <w:r>
              <w:t>na</w:t>
            </w:r>
            <w:proofErr w:type="spellEnd"/>
            <w:r>
              <w:t xml:space="preserve"> SRWŚ w  </w:t>
            </w:r>
            <w:proofErr w:type="spellStart"/>
            <w:r>
              <w:t>ujęciu</w:t>
            </w:r>
            <w:proofErr w:type="spellEnd"/>
            <w:r>
              <w:t xml:space="preserve"> </w:t>
            </w:r>
            <w:proofErr w:type="spellStart"/>
            <w:r>
              <w:t>odgórnym</w:t>
            </w:r>
            <w:proofErr w:type="spellEnd"/>
            <w:r>
              <w:t xml:space="preserve"> („top-down”). </w:t>
            </w:r>
            <w:proofErr w:type="spellStart"/>
            <w:r>
              <w:t>Trzeci</w:t>
            </w:r>
            <w:proofErr w:type="spellEnd"/>
            <w:r>
              <w:t xml:space="preserve"> </w:t>
            </w:r>
            <w:proofErr w:type="spellStart"/>
            <w:r>
              <w:t>etap</w:t>
            </w:r>
            <w:proofErr w:type="spellEnd"/>
            <w:r>
              <w:t xml:space="preserve"> </w:t>
            </w:r>
            <w:proofErr w:type="spellStart"/>
            <w:r>
              <w:t>polegał</w:t>
            </w:r>
            <w:proofErr w:type="spellEnd"/>
            <w:r>
              <w:t xml:space="preserve"> </w:t>
            </w:r>
            <w:proofErr w:type="spellStart"/>
            <w:r>
              <w:t>na</w:t>
            </w:r>
            <w:proofErr w:type="spellEnd"/>
            <w:r>
              <w:t xml:space="preserve"> </w:t>
            </w:r>
            <w:proofErr w:type="spellStart"/>
            <w:r>
              <w:t>analizie</w:t>
            </w:r>
            <w:proofErr w:type="spellEnd"/>
            <w:r>
              <w:t xml:space="preserve"> </w:t>
            </w:r>
            <w:proofErr w:type="spellStart"/>
            <w:r>
              <w:t>wpływu</w:t>
            </w:r>
            <w:proofErr w:type="spellEnd"/>
            <w:r>
              <w:t xml:space="preserve"> </w:t>
            </w:r>
            <w:proofErr w:type="spellStart"/>
            <w:r>
              <w:t>Programu</w:t>
            </w:r>
            <w:proofErr w:type="spellEnd"/>
            <w:r>
              <w:t xml:space="preserve"> </w:t>
            </w:r>
            <w:proofErr w:type="spellStart"/>
            <w:r>
              <w:t>na</w:t>
            </w:r>
            <w:proofErr w:type="spellEnd"/>
            <w:r>
              <w:t xml:space="preserve"> </w:t>
            </w:r>
            <w:proofErr w:type="spellStart"/>
            <w:r>
              <w:t>Strategię</w:t>
            </w:r>
            <w:proofErr w:type="spellEnd"/>
            <w:r>
              <w:t xml:space="preserve"> w </w:t>
            </w:r>
            <w:proofErr w:type="spellStart"/>
            <w:r>
              <w:t>ujęciu</w:t>
            </w:r>
            <w:proofErr w:type="spellEnd"/>
            <w:r>
              <w:t xml:space="preserve"> </w:t>
            </w:r>
            <w:proofErr w:type="spellStart"/>
            <w:r>
              <w:t>oddolnym</w:t>
            </w:r>
            <w:proofErr w:type="spellEnd"/>
            <w:r>
              <w:t xml:space="preserve"> („bottom-up”).</w:t>
            </w:r>
          </w:p>
          <w:p w14:paraId="1A20CE64" w14:textId="77777777" w:rsidR="00932504" w:rsidRPr="006C5893" w:rsidRDefault="00932504" w:rsidP="0051119B">
            <w:pPr>
              <w:spacing w:before="0" w:after="0"/>
              <w:jc w:val="left"/>
              <w:rPr>
                <w:sz w:val="16"/>
                <w:szCs w:val="16"/>
                <w:lang w:val="fr-BE"/>
              </w:rPr>
            </w:pPr>
          </w:p>
        </w:tc>
        <w:tc>
          <w:tcPr>
            <w:tcW w:w="0" w:type="auto"/>
            <w:shd w:val="clear" w:color="auto" w:fill="auto"/>
          </w:tcPr>
          <w:p w14:paraId="779A93F6" w14:textId="77777777" w:rsidR="006B2EC1" w:rsidRDefault="00E82A60">
            <w:pPr>
              <w:spacing w:before="0" w:after="240"/>
              <w:jc w:val="left"/>
            </w:pPr>
            <w:r>
              <w:lastRenderedPageBreak/>
              <w:t xml:space="preserve">W </w:t>
            </w:r>
            <w:proofErr w:type="spellStart"/>
            <w:r>
              <w:t>wyniku</w:t>
            </w:r>
            <w:proofErr w:type="spellEnd"/>
            <w:r>
              <w:t xml:space="preserve"> </w:t>
            </w:r>
            <w:proofErr w:type="spellStart"/>
            <w:r>
              <w:t>ewaluacji</w:t>
            </w:r>
            <w:proofErr w:type="spellEnd"/>
            <w:r>
              <w:t xml:space="preserve"> </w:t>
            </w:r>
            <w:proofErr w:type="spellStart"/>
            <w:r>
              <w:t>stwierdzono</w:t>
            </w:r>
            <w:proofErr w:type="spellEnd"/>
            <w:r>
              <w:t xml:space="preserve">, </w:t>
            </w:r>
            <w:proofErr w:type="spellStart"/>
            <w:r>
              <w:t>że</w:t>
            </w:r>
            <w:proofErr w:type="spellEnd"/>
            <w:r>
              <w:t xml:space="preserve"> RPOWŚ </w:t>
            </w:r>
            <w:proofErr w:type="spellStart"/>
            <w:r>
              <w:t>wywiera</w:t>
            </w:r>
            <w:proofErr w:type="spellEnd"/>
            <w:r>
              <w:t xml:space="preserve"> </w:t>
            </w:r>
            <w:proofErr w:type="spellStart"/>
            <w:r>
              <w:t>bezpośredni</w:t>
            </w:r>
            <w:proofErr w:type="spellEnd"/>
            <w:r>
              <w:t xml:space="preserve"> </w:t>
            </w:r>
            <w:proofErr w:type="spellStart"/>
            <w:r>
              <w:t>wpływ</w:t>
            </w:r>
            <w:proofErr w:type="spellEnd"/>
            <w:r>
              <w:t xml:space="preserve"> </w:t>
            </w:r>
            <w:proofErr w:type="spellStart"/>
            <w:r>
              <w:t>na</w:t>
            </w:r>
            <w:proofErr w:type="spellEnd"/>
            <w:r>
              <w:t xml:space="preserve"> </w:t>
            </w:r>
            <w:proofErr w:type="spellStart"/>
            <w:r>
              <w:t>realizację</w:t>
            </w:r>
            <w:proofErr w:type="spellEnd"/>
            <w:r>
              <w:t xml:space="preserve"> </w:t>
            </w:r>
            <w:proofErr w:type="spellStart"/>
            <w:r>
              <w:t>wszystkich</w:t>
            </w:r>
            <w:proofErr w:type="spellEnd"/>
            <w:r>
              <w:t xml:space="preserve"> </w:t>
            </w:r>
            <w:proofErr w:type="spellStart"/>
            <w:r>
              <w:t>celów</w:t>
            </w:r>
            <w:proofErr w:type="spellEnd"/>
            <w:r>
              <w:t xml:space="preserve"> </w:t>
            </w:r>
            <w:proofErr w:type="spellStart"/>
            <w:r>
              <w:lastRenderedPageBreak/>
              <w:t>Strategii</w:t>
            </w:r>
            <w:proofErr w:type="spellEnd"/>
            <w:r>
              <w:t xml:space="preserve">. </w:t>
            </w:r>
            <w:proofErr w:type="spellStart"/>
            <w:r>
              <w:t>Natomiast</w:t>
            </w:r>
            <w:proofErr w:type="spellEnd"/>
            <w:r>
              <w:t xml:space="preserve"> </w:t>
            </w:r>
            <w:proofErr w:type="spellStart"/>
            <w:r>
              <w:t>pośrednie</w:t>
            </w:r>
            <w:proofErr w:type="spellEnd"/>
            <w:r>
              <w:t xml:space="preserve"> </w:t>
            </w:r>
            <w:proofErr w:type="spellStart"/>
            <w:r>
              <w:t>oddziaływania</w:t>
            </w:r>
            <w:proofErr w:type="spellEnd"/>
            <w:r>
              <w:t xml:space="preserve"> </w:t>
            </w:r>
            <w:proofErr w:type="spellStart"/>
            <w:r>
              <w:t>regionalnego</w:t>
            </w:r>
            <w:proofErr w:type="spellEnd"/>
            <w:r>
              <w:t xml:space="preserve"> </w:t>
            </w:r>
            <w:proofErr w:type="spellStart"/>
            <w:r>
              <w:t>programu</w:t>
            </w:r>
            <w:proofErr w:type="spellEnd"/>
            <w:r>
              <w:t xml:space="preserve"> </w:t>
            </w:r>
            <w:proofErr w:type="spellStart"/>
            <w:r>
              <w:t>operacyjnego</w:t>
            </w:r>
            <w:proofErr w:type="spellEnd"/>
            <w:r>
              <w:t xml:space="preserve"> </w:t>
            </w:r>
            <w:proofErr w:type="spellStart"/>
            <w:r>
              <w:t>na</w:t>
            </w:r>
            <w:proofErr w:type="spellEnd"/>
            <w:r>
              <w:t xml:space="preserve"> </w:t>
            </w:r>
            <w:proofErr w:type="spellStart"/>
            <w:r>
              <w:t>cele</w:t>
            </w:r>
            <w:proofErr w:type="spellEnd"/>
            <w:r>
              <w:t xml:space="preserve"> </w:t>
            </w:r>
            <w:proofErr w:type="spellStart"/>
            <w:r>
              <w:t>lokalnej</w:t>
            </w:r>
            <w:proofErr w:type="spellEnd"/>
            <w:r>
              <w:t xml:space="preserve"> </w:t>
            </w:r>
            <w:proofErr w:type="spellStart"/>
            <w:r>
              <w:t>Strategii</w:t>
            </w:r>
            <w:proofErr w:type="spellEnd"/>
            <w:r>
              <w:t xml:space="preserve"> </w:t>
            </w:r>
            <w:proofErr w:type="spellStart"/>
            <w:r>
              <w:t>składają</w:t>
            </w:r>
            <w:proofErr w:type="spellEnd"/>
            <w:r>
              <w:t xml:space="preserve"> </w:t>
            </w:r>
            <w:proofErr w:type="spellStart"/>
            <w:r>
              <w:t>się</w:t>
            </w:r>
            <w:proofErr w:type="spellEnd"/>
            <w:r>
              <w:t xml:space="preserve"> </w:t>
            </w:r>
            <w:proofErr w:type="spellStart"/>
            <w:r>
              <w:t>na</w:t>
            </w:r>
            <w:proofErr w:type="spellEnd"/>
            <w:r>
              <w:t xml:space="preserve"> </w:t>
            </w:r>
            <w:proofErr w:type="spellStart"/>
            <w:r>
              <w:t>bardzo</w:t>
            </w:r>
            <w:proofErr w:type="spellEnd"/>
            <w:r>
              <w:t xml:space="preserve"> </w:t>
            </w:r>
            <w:proofErr w:type="spellStart"/>
            <w:r>
              <w:t>skomplikowany</w:t>
            </w:r>
            <w:proofErr w:type="spellEnd"/>
            <w:r>
              <w:t xml:space="preserve"> </w:t>
            </w:r>
            <w:proofErr w:type="spellStart"/>
            <w:r>
              <w:t>układ</w:t>
            </w:r>
            <w:proofErr w:type="spellEnd"/>
            <w:r>
              <w:t xml:space="preserve"> </w:t>
            </w:r>
            <w:proofErr w:type="spellStart"/>
            <w:r>
              <w:t>powiązań</w:t>
            </w:r>
            <w:proofErr w:type="spellEnd"/>
            <w:r>
              <w:t xml:space="preserve"> </w:t>
            </w:r>
            <w:proofErr w:type="spellStart"/>
            <w:r>
              <w:t>procesowych</w:t>
            </w:r>
            <w:proofErr w:type="spellEnd"/>
            <w:r>
              <w:t>.</w:t>
            </w:r>
          </w:p>
          <w:p w14:paraId="002B4912" w14:textId="77777777" w:rsidR="006B2EC1" w:rsidRDefault="00E82A60">
            <w:pPr>
              <w:spacing w:before="240" w:after="240"/>
              <w:jc w:val="left"/>
            </w:pPr>
            <w:proofErr w:type="spellStart"/>
            <w:r>
              <w:t>Wykonawca</w:t>
            </w:r>
            <w:proofErr w:type="spellEnd"/>
            <w:r>
              <w:t xml:space="preserve"> </w:t>
            </w:r>
            <w:proofErr w:type="spellStart"/>
            <w:r>
              <w:t>jednocześnie</w:t>
            </w:r>
            <w:proofErr w:type="spellEnd"/>
            <w:r>
              <w:t xml:space="preserve"> </w:t>
            </w:r>
            <w:proofErr w:type="spellStart"/>
            <w:r>
              <w:t>sformułował</w:t>
            </w:r>
            <w:proofErr w:type="spellEnd"/>
            <w:r>
              <w:t xml:space="preserve">  12 </w:t>
            </w:r>
            <w:proofErr w:type="spellStart"/>
            <w:r>
              <w:t>wniosków</w:t>
            </w:r>
            <w:proofErr w:type="spellEnd"/>
            <w:r>
              <w:t xml:space="preserve"> i </w:t>
            </w:r>
            <w:proofErr w:type="spellStart"/>
            <w:r>
              <w:t>rekomendacji</w:t>
            </w:r>
            <w:proofErr w:type="spellEnd"/>
            <w:r>
              <w:t xml:space="preserve"> o </w:t>
            </w:r>
            <w:proofErr w:type="spellStart"/>
            <w:r>
              <w:t>charakterze</w:t>
            </w:r>
            <w:proofErr w:type="spellEnd"/>
            <w:r>
              <w:t xml:space="preserve"> </w:t>
            </w:r>
            <w:proofErr w:type="spellStart"/>
            <w:r>
              <w:t>szczegółowym</w:t>
            </w:r>
            <w:proofErr w:type="spellEnd"/>
            <w:r>
              <w:t xml:space="preserve">, </w:t>
            </w:r>
            <w:proofErr w:type="spellStart"/>
            <w:r>
              <w:t>które</w:t>
            </w:r>
            <w:proofErr w:type="spellEnd"/>
            <w:r>
              <w:t xml:space="preserve"> </w:t>
            </w:r>
            <w:proofErr w:type="spellStart"/>
            <w:r>
              <w:t>mają</w:t>
            </w:r>
            <w:proofErr w:type="spellEnd"/>
            <w:r>
              <w:t xml:space="preserve"> </w:t>
            </w:r>
            <w:proofErr w:type="spellStart"/>
            <w:r>
              <w:t>posłużyć</w:t>
            </w:r>
            <w:proofErr w:type="spellEnd"/>
            <w:r>
              <w:t xml:space="preserve"> w </w:t>
            </w:r>
            <w:proofErr w:type="spellStart"/>
            <w:r>
              <w:t>usprawnieniu</w:t>
            </w:r>
            <w:proofErr w:type="spellEnd"/>
            <w:r>
              <w:t xml:space="preserve"> </w:t>
            </w:r>
            <w:proofErr w:type="spellStart"/>
            <w:r>
              <w:t>realizacji</w:t>
            </w:r>
            <w:proofErr w:type="spellEnd"/>
            <w:r>
              <w:t xml:space="preserve"> </w:t>
            </w:r>
            <w:proofErr w:type="spellStart"/>
            <w:r>
              <w:t>programu</w:t>
            </w:r>
            <w:proofErr w:type="spellEnd"/>
            <w:r>
              <w:t xml:space="preserve">. </w:t>
            </w:r>
            <w:proofErr w:type="spellStart"/>
            <w:r>
              <w:t>Rekomendacje</w:t>
            </w:r>
            <w:proofErr w:type="spellEnd"/>
            <w:r>
              <w:t xml:space="preserve"> </w:t>
            </w:r>
            <w:proofErr w:type="spellStart"/>
            <w:r>
              <w:t>te</w:t>
            </w:r>
            <w:proofErr w:type="spellEnd"/>
            <w:r>
              <w:t xml:space="preserve"> </w:t>
            </w:r>
            <w:proofErr w:type="spellStart"/>
            <w:r>
              <w:t>dotyczyły</w:t>
            </w:r>
            <w:proofErr w:type="spellEnd"/>
            <w:r>
              <w:t xml:space="preserve"> </w:t>
            </w:r>
            <w:proofErr w:type="spellStart"/>
            <w:r>
              <w:t>między</w:t>
            </w:r>
            <w:proofErr w:type="spellEnd"/>
            <w:r>
              <w:t xml:space="preserve"> </w:t>
            </w:r>
            <w:proofErr w:type="spellStart"/>
            <w:r>
              <w:t>innymi</w:t>
            </w:r>
            <w:proofErr w:type="spellEnd"/>
            <w:r>
              <w:t xml:space="preserve"> </w:t>
            </w:r>
            <w:proofErr w:type="spellStart"/>
            <w:r>
              <w:t>poniższych</w:t>
            </w:r>
            <w:proofErr w:type="spellEnd"/>
            <w:r>
              <w:t xml:space="preserve"> </w:t>
            </w:r>
            <w:proofErr w:type="spellStart"/>
            <w:r>
              <w:t>kwestii</w:t>
            </w:r>
            <w:proofErr w:type="spellEnd"/>
            <w:r>
              <w:t>:</w:t>
            </w:r>
          </w:p>
          <w:p w14:paraId="179EDF07" w14:textId="77777777" w:rsidR="006B2EC1" w:rsidRDefault="00E82A60" w:rsidP="00E82A60">
            <w:pPr>
              <w:numPr>
                <w:ilvl w:val="0"/>
                <w:numId w:val="56"/>
              </w:numPr>
              <w:spacing w:before="240" w:after="0"/>
              <w:ind w:hanging="210"/>
              <w:jc w:val="left"/>
            </w:pPr>
            <w:proofErr w:type="spellStart"/>
            <w:r>
              <w:t>dążenie</w:t>
            </w:r>
            <w:proofErr w:type="spellEnd"/>
            <w:r>
              <w:t xml:space="preserve"> do </w:t>
            </w:r>
            <w:proofErr w:type="spellStart"/>
            <w:r>
              <w:t>uwzględnienia</w:t>
            </w:r>
            <w:proofErr w:type="spellEnd"/>
            <w:r>
              <w:t xml:space="preserve"> </w:t>
            </w:r>
            <w:proofErr w:type="spellStart"/>
            <w:r>
              <w:t>potrzeb</w:t>
            </w:r>
            <w:proofErr w:type="spellEnd"/>
            <w:r>
              <w:t xml:space="preserve"> </w:t>
            </w:r>
            <w:proofErr w:type="spellStart"/>
            <w:r>
              <w:t>regionu</w:t>
            </w:r>
            <w:proofErr w:type="spellEnd"/>
            <w:r>
              <w:t xml:space="preserve"> w </w:t>
            </w:r>
            <w:proofErr w:type="spellStart"/>
            <w:r>
              <w:t>zakresie</w:t>
            </w:r>
            <w:proofErr w:type="spellEnd"/>
            <w:r>
              <w:t xml:space="preserve"> </w:t>
            </w:r>
            <w:proofErr w:type="spellStart"/>
            <w:r>
              <w:t>infrastruktury</w:t>
            </w:r>
            <w:proofErr w:type="spellEnd"/>
            <w:r>
              <w:t xml:space="preserve"> </w:t>
            </w:r>
            <w:proofErr w:type="spellStart"/>
            <w:r>
              <w:t>transportowej</w:t>
            </w:r>
            <w:proofErr w:type="spellEnd"/>
            <w:r>
              <w:t xml:space="preserve"> w </w:t>
            </w:r>
            <w:proofErr w:type="spellStart"/>
            <w:r>
              <w:t>przyszłej</w:t>
            </w:r>
            <w:proofErr w:type="spellEnd"/>
            <w:r>
              <w:t xml:space="preserve"> </w:t>
            </w:r>
            <w:proofErr w:type="spellStart"/>
            <w:r>
              <w:t>perspektywie</w:t>
            </w:r>
            <w:proofErr w:type="spellEnd"/>
            <w:r>
              <w:t xml:space="preserve"> UE. </w:t>
            </w:r>
          </w:p>
          <w:p w14:paraId="44DEDED2" w14:textId="77777777" w:rsidR="006B2EC1" w:rsidRDefault="00E82A60" w:rsidP="00E82A60">
            <w:pPr>
              <w:numPr>
                <w:ilvl w:val="0"/>
                <w:numId w:val="56"/>
              </w:numPr>
              <w:spacing w:before="0" w:after="0"/>
              <w:ind w:hanging="210"/>
              <w:jc w:val="left"/>
            </w:pPr>
            <w:proofErr w:type="spellStart"/>
            <w:r>
              <w:t>bezpośrednie</w:t>
            </w:r>
            <w:proofErr w:type="spellEnd"/>
            <w:r>
              <w:t xml:space="preserve"> i </w:t>
            </w:r>
            <w:proofErr w:type="spellStart"/>
            <w:r>
              <w:t>pośrednie</w:t>
            </w:r>
            <w:proofErr w:type="spellEnd"/>
            <w:r>
              <w:t xml:space="preserve"> </w:t>
            </w:r>
            <w:proofErr w:type="spellStart"/>
            <w:r>
              <w:t>wnioskowanie</w:t>
            </w:r>
            <w:proofErr w:type="spellEnd"/>
            <w:r>
              <w:t xml:space="preserve"> do DG REGIO o </w:t>
            </w:r>
            <w:proofErr w:type="spellStart"/>
            <w:r>
              <w:t>uelastycznienie</w:t>
            </w:r>
            <w:proofErr w:type="spellEnd"/>
            <w:r>
              <w:t xml:space="preserve"> i </w:t>
            </w:r>
            <w:proofErr w:type="spellStart"/>
            <w:r>
              <w:t>przyśpieszenie</w:t>
            </w:r>
            <w:proofErr w:type="spellEnd"/>
            <w:r>
              <w:t xml:space="preserve"> </w:t>
            </w:r>
            <w:proofErr w:type="spellStart"/>
            <w:r>
              <w:t>procedury</w:t>
            </w:r>
            <w:proofErr w:type="spellEnd"/>
            <w:r>
              <w:t xml:space="preserve"> </w:t>
            </w:r>
            <w:proofErr w:type="spellStart"/>
            <w:r>
              <w:t>renegocjacji</w:t>
            </w:r>
            <w:proofErr w:type="spellEnd"/>
            <w:r>
              <w:t xml:space="preserve"> </w:t>
            </w:r>
            <w:proofErr w:type="spellStart"/>
            <w:r>
              <w:t>Programu</w:t>
            </w:r>
            <w:proofErr w:type="spellEnd"/>
            <w:r>
              <w:t>.</w:t>
            </w:r>
          </w:p>
          <w:p w14:paraId="3516E6E0" w14:textId="77777777" w:rsidR="006B2EC1" w:rsidRDefault="00E82A60" w:rsidP="00E82A60">
            <w:pPr>
              <w:numPr>
                <w:ilvl w:val="0"/>
                <w:numId w:val="56"/>
              </w:numPr>
              <w:spacing w:before="0" w:after="0"/>
              <w:ind w:hanging="210"/>
              <w:jc w:val="left"/>
            </w:pPr>
            <w:proofErr w:type="spellStart"/>
            <w:r>
              <w:t>przesunięcie</w:t>
            </w:r>
            <w:proofErr w:type="spellEnd"/>
            <w:r>
              <w:t xml:space="preserve"> </w:t>
            </w:r>
            <w:proofErr w:type="spellStart"/>
            <w:r>
              <w:t>części</w:t>
            </w:r>
            <w:proofErr w:type="spellEnd"/>
            <w:r>
              <w:t xml:space="preserve"> </w:t>
            </w:r>
            <w:proofErr w:type="spellStart"/>
            <w:r>
              <w:t>środków</w:t>
            </w:r>
            <w:proofErr w:type="spellEnd"/>
            <w:r>
              <w:t xml:space="preserve"> z </w:t>
            </w:r>
            <w:proofErr w:type="spellStart"/>
            <w:r>
              <w:t>Działań</w:t>
            </w:r>
            <w:proofErr w:type="spellEnd"/>
            <w:r>
              <w:t xml:space="preserve"> 1.2 </w:t>
            </w:r>
            <w:proofErr w:type="spellStart"/>
            <w:r>
              <w:t>oraz</w:t>
            </w:r>
            <w:proofErr w:type="spellEnd"/>
            <w:r>
              <w:t xml:space="preserve"> 1.3 do </w:t>
            </w:r>
            <w:proofErr w:type="spellStart"/>
            <w:r>
              <w:t>Działania</w:t>
            </w:r>
            <w:proofErr w:type="spellEnd"/>
            <w:r>
              <w:t xml:space="preserve"> 2.5 i </w:t>
            </w:r>
            <w:proofErr w:type="spellStart"/>
            <w:r>
              <w:t>postawienie</w:t>
            </w:r>
            <w:proofErr w:type="spellEnd"/>
            <w:r>
              <w:t xml:space="preserve"> w </w:t>
            </w:r>
            <w:proofErr w:type="spellStart"/>
            <w:r>
              <w:t>większym</w:t>
            </w:r>
            <w:proofErr w:type="spellEnd"/>
            <w:r>
              <w:t xml:space="preserve"> </w:t>
            </w:r>
            <w:proofErr w:type="spellStart"/>
            <w:r>
              <w:t>stopniu</w:t>
            </w:r>
            <w:proofErr w:type="spellEnd"/>
            <w:r>
              <w:t xml:space="preserve"> </w:t>
            </w:r>
            <w:proofErr w:type="spellStart"/>
            <w:r>
              <w:t>na</w:t>
            </w:r>
            <w:proofErr w:type="spellEnd"/>
            <w:r>
              <w:t xml:space="preserve"> </w:t>
            </w:r>
            <w:proofErr w:type="spellStart"/>
            <w:r>
              <w:t>innowacyjność</w:t>
            </w:r>
            <w:proofErr w:type="spellEnd"/>
            <w:r>
              <w:t xml:space="preserve"> </w:t>
            </w:r>
            <w:proofErr w:type="spellStart"/>
            <w:r>
              <w:t>imitacyjną</w:t>
            </w:r>
            <w:proofErr w:type="spellEnd"/>
            <w:r>
              <w:t>.</w:t>
            </w:r>
          </w:p>
          <w:p w14:paraId="4AA40175" w14:textId="77777777" w:rsidR="006B2EC1" w:rsidRDefault="00E82A60" w:rsidP="00E82A60">
            <w:pPr>
              <w:numPr>
                <w:ilvl w:val="0"/>
                <w:numId w:val="56"/>
              </w:numPr>
              <w:spacing w:before="0" w:after="0"/>
              <w:ind w:hanging="210"/>
              <w:jc w:val="left"/>
            </w:pPr>
            <w:proofErr w:type="spellStart"/>
            <w:r>
              <w:t>relokacja</w:t>
            </w:r>
            <w:proofErr w:type="spellEnd"/>
            <w:r>
              <w:t xml:space="preserve"> </w:t>
            </w:r>
            <w:proofErr w:type="spellStart"/>
            <w:r>
              <w:t>środków</w:t>
            </w:r>
            <w:proofErr w:type="spellEnd"/>
            <w:r>
              <w:t xml:space="preserve"> z </w:t>
            </w:r>
            <w:proofErr w:type="spellStart"/>
            <w:r>
              <w:t>Działania</w:t>
            </w:r>
            <w:proofErr w:type="spellEnd"/>
            <w:r>
              <w:t xml:space="preserve"> 10.3 </w:t>
            </w:r>
            <w:proofErr w:type="spellStart"/>
            <w:r>
              <w:t>Mobilność</w:t>
            </w:r>
            <w:proofErr w:type="spellEnd"/>
            <w:r>
              <w:t xml:space="preserve"> </w:t>
            </w:r>
            <w:proofErr w:type="spellStart"/>
            <w:r>
              <w:t>zawodowa</w:t>
            </w:r>
            <w:proofErr w:type="spellEnd"/>
            <w:r>
              <w:t xml:space="preserve"> </w:t>
            </w:r>
            <w:proofErr w:type="spellStart"/>
            <w:r>
              <w:t>geograficzna</w:t>
            </w:r>
            <w:proofErr w:type="spellEnd"/>
            <w:r>
              <w:t xml:space="preserve"> w </w:t>
            </w:r>
            <w:proofErr w:type="spellStart"/>
            <w:r>
              <w:t>ramach</w:t>
            </w:r>
            <w:proofErr w:type="spellEnd"/>
            <w:r>
              <w:t xml:space="preserve"> </w:t>
            </w:r>
            <w:proofErr w:type="spellStart"/>
            <w:r>
              <w:t>sieci</w:t>
            </w:r>
            <w:proofErr w:type="spellEnd"/>
            <w:r>
              <w:t xml:space="preserve"> </w:t>
            </w:r>
            <w:proofErr w:type="spellStart"/>
            <w:r>
              <w:t>Eures</w:t>
            </w:r>
            <w:proofErr w:type="spellEnd"/>
            <w:r>
              <w:t xml:space="preserve"> </w:t>
            </w:r>
            <w:proofErr w:type="spellStart"/>
            <w:r>
              <w:t>wspierana</w:t>
            </w:r>
            <w:proofErr w:type="spellEnd"/>
            <w:r>
              <w:t xml:space="preserve"> </w:t>
            </w:r>
            <w:proofErr w:type="spellStart"/>
            <w:r>
              <w:t>przez</w:t>
            </w:r>
            <w:proofErr w:type="spellEnd"/>
            <w:r>
              <w:t xml:space="preserve"> </w:t>
            </w:r>
            <w:proofErr w:type="spellStart"/>
            <w:r>
              <w:t>publiczne</w:t>
            </w:r>
            <w:proofErr w:type="spellEnd"/>
            <w:r>
              <w:t xml:space="preserve"> </w:t>
            </w:r>
            <w:proofErr w:type="spellStart"/>
            <w:r>
              <w:t>służby</w:t>
            </w:r>
            <w:proofErr w:type="spellEnd"/>
            <w:r>
              <w:t xml:space="preserve"> </w:t>
            </w:r>
            <w:proofErr w:type="spellStart"/>
            <w:r>
              <w:t>zatrudnienia</w:t>
            </w:r>
            <w:proofErr w:type="spellEnd"/>
            <w:r>
              <w:t xml:space="preserve">, WK OHP </w:t>
            </w:r>
            <w:proofErr w:type="spellStart"/>
            <w:r>
              <w:t>oraz</w:t>
            </w:r>
            <w:proofErr w:type="spellEnd"/>
            <w:r>
              <w:t xml:space="preserve"> </w:t>
            </w:r>
            <w:proofErr w:type="spellStart"/>
            <w:r>
              <w:t>podmioty</w:t>
            </w:r>
            <w:proofErr w:type="spellEnd"/>
            <w:r>
              <w:t xml:space="preserve"> </w:t>
            </w:r>
            <w:proofErr w:type="spellStart"/>
            <w:r>
              <w:t>akredytowane</w:t>
            </w:r>
            <w:proofErr w:type="spellEnd"/>
            <w:r>
              <w:t xml:space="preserve"> </w:t>
            </w:r>
            <w:proofErr w:type="spellStart"/>
            <w:r>
              <w:t>przez</w:t>
            </w:r>
            <w:proofErr w:type="spellEnd"/>
            <w:r>
              <w:t xml:space="preserve"> MPIPS </w:t>
            </w:r>
            <w:proofErr w:type="spellStart"/>
            <w:r>
              <w:t>na</w:t>
            </w:r>
            <w:proofErr w:type="spellEnd"/>
            <w:r>
              <w:t xml:space="preserve">  </w:t>
            </w:r>
            <w:proofErr w:type="spellStart"/>
            <w:r>
              <w:t>Działania</w:t>
            </w:r>
            <w:proofErr w:type="spellEnd"/>
            <w:r>
              <w:t xml:space="preserve"> 10.2 </w:t>
            </w:r>
            <w:proofErr w:type="spellStart"/>
            <w:r>
              <w:t>oraz</w:t>
            </w:r>
            <w:proofErr w:type="spellEnd"/>
            <w:r>
              <w:t xml:space="preserve"> 10.4.</w:t>
            </w:r>
          </w:p>
          <w:p w14:paraId="10D8B66E" w14:textId="77777777" w:rsidR="006B2EC1" w:rsidRDefault="00E82A60" w:rsidP="00E82A60">
            <w:pPr>
              <w:numPr>
                <w:ilvl w:val="0"/>
                <w:numId w:val="56"/>
              </w:numPr>
              <w:spacing w:before="0" w:after="240"/>
              <w:ind w:hanging="210"/>
              <w:jc w:val="left"/>
            </w:pPr>
            <w:proofErr w:type="spellStart"/>
            <w:r>
              <w:lastRenderedPageBreak/>
              <w:t>wprowadzenie</w:t>
            </w:r>
            <w:proofErr w:type="spellEnd"/>
            <w:r>
              <w:t xml:space="preserve"> </w:t>
            </w:r>
            <w:proofErr w:type="spellStart"/>
            <w:r>
              <w:t>regularnego</w:t>
            </w:r>
            <w:proofErr w:type="spellEnd"/>
            <w:r>
              <w:t xml:space="preserve"> </w:t>
            </w:r>
            <w:proofErr w:type="spellStart"/>
            <w:r>
              <w:t>monitoringu</w:t>
            </w:r>
            <w:proofErr w:type="spellEnd"/>
            <w:r>
              <w:t xml:space="preserve"> </w:t>
            </w:r>
            <w:proofErr w:type="spellStart"/>
            <w:r>
              <w:t>skali</w:t>
            </w:r>
            <w:proofErr w:type="spellEnd"/>
            <w:r>
              <w:t xml:space="preserve"> i </w:t>
            </w:r>
            <w:proofErr w:type="spellStart"/>
            <w:r>
              <w:t>charakteru</w:t>
            </w:r>
            <w:proofErr w:type="spellEnd"/>
            <w:r>
              <w:t xml:space="preserve"> </w:t>
            </w:r>
            <w:proofErr w:type="spellStart"/>
            <w:r>
              <w:t>wsparcia</w:t>
            </w:r>
            <w:proofErr w:type="spellEnd"/>
            <w:r>
              <w:t xml:space="preserve"> w </w:t>
            </w:r>
            <w:proofErr w:type="spellStart"/>
            <w:r>
              <w:t>ramach</w:t>
            </w:r>
            <w:proofErr w:type="spellEnd"/>
            <w:r>
              <w:t xml:space="preserve"> RPOWŚ 2014-2020 w </w:t>
            </w:r>
            <w:proofErr w:type="spellStart"/>
            <w:r>
              <w:t>podziale</w:t>
            </w:r>
            <w:proofErr w:type="spellEnd"/>
            <w:r>
              <w:t xml:space="preserve"> </w:t>
            </w:r>
            <w:proofErr w:type="spellStart"/>
            <w:r>
              <w:t>na</w:t>
            </w:r>
            <w:proofErr w:type="spellEnd"/>
            <w:r>
              <w:t xml:space="preserve"> 6 </w:t>
            </w:r>
            <w:proofErr w:type="spellStart"/>
            <w:r>
              <w:t>Obszarów</w:t>
            </w:r>
            <w:proofErr w:type="spellEnd"/>
            <w:r>
              <w:t xml:space="preserve"> </w:t>
            </w:r>
            <w:proofErr w:type="spellStart"/>
            <w:r>
              <w:t>Strategicznej</w:t>
            </w:r>
            <w:proofErr w:type="spellEnd"/>
            <w:r>
              <w:t xml:space="preserve"> </w:t>
            </w:r>
            <w:proofErr w:type="spellStart"/>
            <w:r>
              <w:t>Interwencji</w:t>
            </w:r>
            <w:proofErr w:type="spellEnd"/>
            <w:r>
              <w:t xml:space="preserve"> </w:t>
            </w:r>
            <w:proofErr w:type="spellStart"/>
            <w:r>
              <w:t>województwa</w:t>
            </w:r>
            <w:proofErr w:type="spellEnd"/>
            <w:r>
              <w:t xml:space="preserve"> </w:t>
            </w:r>
            <w:proofErr w:type="spellStart"/>
            <w:r>
              <w:t>świętokrzyskiego</w:t>
            </w:r>
            <w:proofErr w:type="spellEnd"/>
            <w:r>
              <w:t>.</w:t>
            </w:r>
          </w:p>
          <w:p w14:paraId="64DB5407" w14:textId="77777777" w:rsidR="00932504" w:rsidRPr="006C5893" w:rsidRDefault="00932504" w:rsidP="0051119B">
            <w:pPr>
              <w:spacing w:before="0" w:after="0"/>
              <w:jc w:val="left"/>
              <w:rPr>
                <w:sz w:val="16"/>
                <w:szCs w:val="16"/>
                <w:lang w:val="fr-BE"/>
              </w:rPr>
            </w:pPr>
          </w:p>
        </w:tc>
      </w:tr>
      <w:tr w:rsidR="006B2EC1" w14:paraId="62618A7E" w14:textId="77777777" w:rsidTr="00776DD9">
        <w:tc>
          <w:tcPr>
            <w:tcW w:w="0" w:type="auto"/>
            <w:shd w:val="clear" w:color="auto" w:fill="auto"/>
          </w:tcPr>
          <w:p w14:paraId="4CF47030" w14:textId="77777777" w:rsidR="00932504" w:rsidRPr="006C5893" w:rsidRDefault="00E11D4E" w:rsidP="007D0631">
            <w:pPr>
              <w:spacing w:before="0" w:after="0"/>
              <w:jc w:val="left"/>
              <w:rPr>
                <w:sz w:val="16"/>
                <w:szCs w:val="16"/>
                <w:lang w:val="fr-BE"/>
              </w:rPr>
            </w:pPr>
            <w:r w:rsidRPr="006C5893">
              <w:rPr>
                <w:noProof/>
                <w:sz w:val="16"/>
                <w:szCs w:val="16"/>
                <w:lang w:val="fr-BE"/>
              </w:rPr>
              <w:lastRenderedPageBreak/>
              <w:t>Ewaluacja bieżąca  kryteriów i systemu wyboru projektów RPOWŚ na lata 2014-2020</w:t>
            </w:r>
          </w:p>
        </w:tc>
        <w:tc>
          <w:tcPr>
            <w:tcW w:w="0" w:type="auto"/>
            <w:shd w:val="clear" w:color="auto" w:fill="auto"/>
          </w:tcPr>
          <w:p w14:paraId="5880D0A1" w14:textId="77777777" w:rsidR="00932504" w:rsidRPr="006C5893" w:rsidRDefault="00E70F05" w:rsidP="00E70F05">
            <w:pPr>
              <w:spacing w:before="0" w:after="0"/>
              <w:jc w:val="left"/>
              <w:rPr>
                <w:sz w:val="16"/>
                <w:szCs w:val="16"/>
                <w:lang w:val="fr-BE"/>
              </w:rPr>
            </w:pPr>
            <w:r w:rsidRPr="006C5893">
              <w:rPr>
                <w:noProof/>
                <w:sz w:val="16"/>
                <w:szCs w:val="16"/>
                <w:lang w:val="fr-BE"/>
              </w:rPr>
              <w:t>EFRR</w:t>
            </w:r>
          </w:p>
          <w:p w14:paraId="60D09F9B" w14:textId="77777777" w:rsidR="00932504" w:rsidRPr="006C5893" w:rsidRDefault="00E70F05" w:rsidP="00E70F05">
            <w:pPr>
              <w:spacing w:before="0" w:after="0"/>
              <w:jc w:val="left"/>
              <w:rPr>
                <w:sz w:val="16"/>
                <w:szCs w:val="16"/>
                <w:lang w:val="fr-BE"/>
              </w:rPr>
            </w:pPr>
            <w:r w:rsidRPr="006C5893">
              <w:rPr>
                <w:noProof/>
                <w:sz w:val="16"/>
                <w:szCs w:val="16"/>
                <w:lang w:val="fr-BE"/>
              </w:rPr>
              <w:t>EFS</w:t>
            </w:r>
          </w:p>
        </w:tc>
        <w:tc>
          <w:tcPr>
            <w:tcW w:w="0" w:type="auto"/>
            <w:shd w:val="clear" w:color="auto" w:fill="auto"/>
          </w:tcPr>
          <w:p w14:paraId="3E87E576" w14:textId="77777777" w:rsidR="00932504" w:rsidRPr="006C5893" w:rsidRDefault="0089499E" w:rsidP="007D0631">
            <w:pPr>
              <w:spacing w:before="0" w:after="0"/>
              <w:jc w:val="left"/>
              <w:rPr>
                <w:sz w:val="16"/>
                <w:szCs w:val="16"/>
                <w:lang w:val="fr-BE"/>
              </w:rPr>
            </w:pPr>
            <w:r w:rsidRPr="006C5893">
              <w:rPr>
                <w:noProof/>
                <w:sz w:val="16"/>
                <w:szCs w:val="16"/>
                <w:lang w:val="fr-BE"/>
              </w:rPr>
              <w:t>8</w:t>
            </w:r>
          </w:p>
        </w:tc>
        <w:tc>
          <w:tcPr>
            <w:tcW w:w="0" w:type="auto"/>
            <w:shd w:val="clear" w:color="auto" w:fill="auto"/>
          </w:tcPr>
          <w:p w14:paraId="7E7AA5C6" w14:textId="77777777" w:rsidR="00932504" w:rsidRPr="006C5893" w:rsidRDefault="0089499E" w:rsidP="007D0631">
            <w:pPr>
              <w:spacing w:before="0" w:after="0"/>
              <w:jc w:val="left"/>
              <w:rPr>
                <w:sz w:val="16"/>
                <w:szCs w:val="16"/>
                <w:lang w:val="fr-BE"/>
              </w:rPr>
            </w:pPr>
            <w:r w:rsidRPr="006C5893">
              <w:rPr>
                <w:noProof/>
                <w:sz w:val="16"/>
                <w:szCs w:val="16"/>
                <w:lang w:val="fr-BE"/>
              </w:rPr>
              <w:t>2016</w:t>
            </w:r>
          </w:p>
        </w:tc>
        <w:tc>
          <w:tcPr>
            <w:tcW w:w="0" w:type="auto"/>
            <w:shd w:val="clear" w:color="auto" w:fill="auto"/>
          </w:tcPr>
          <w:p w14:paraId="423688D4" w14:textId="77777777" w:rsidR="00932504" w:rsidRPr="006C5893" w:rsidRDefault="0089499E" w:rsidP="007D0631">
            <w:pPr>
              <w:spacing w:before="0" w:after="0"/>
              <w:jc w:val="left"/>
              <w:rPr>
                <w:sz w:val="16"/>
                <w:szCs w:val="16"/>
                <w:lang w:val="fr-BE"/>
              </w:rPr>
            </w:pPr>
            <w:r w:rsidRPr="006C5893">
              <w:rPr>
                <w:noProof/>
                <w:sz w:val="16"/>
                <w:szCs w:val="16"/>
                <w:lang w:val="fr-BE"/>
              </w:rPr>
              <w:t>11</w:t>
            </w:r>
          </w:p>
        </w:tc>
        <w:tc>
          <w:tcPr>
            <w:tcW w:w="0" w:type="auto"/>
            <w:shd w:val="clear" w:color="auto" w:fill="auto"/>
          </w:tcPr>
          <w:p w14:paraId="412BF612" w14:textId="77777777" w:rsidR="00932504" w:rsidRPr="006C5893" w:rsidRDefault="0089499E" w:rsidP="007D0631">
            <w:pPr>
              <w:spacing w:before="0" w:after="0"/>
              <w:jc w:val="left"/>
              <w:rPr>
                <w:sz w:val="16"/>
                <w:szCs w:val="16"/>
                <w:lang w:val="fr-BE"/>
              </w:rPr>
            </w:pPr>
            <w:r w:rsidRPr="006C5893">
              <w:rPr>
                <w:noProof/>
                <w:sz w:val="16"/>
                <w:szCs w:val="16"/>
                <w:lang w:val="fr-BE"/>
              </w:rPr>
              <w:t>2016</w:t>
            </w:r>
          </w:p>
        </w:tc>
        <w:tc>
          <w:tcPr>
            <w:tcW w:w="0" w:type="auto"/>
            <w:shd w:val="clear" w:color="auto" w:fill="auto"/>
          </w:tcPr>
          <w:p w14:paraId="4E8BEE33" w14:textId="77777777" w:rsidR="00932504" w:rsidRPr="006C5893" w:rsidRDefault="00B126B3" w:rsidP="0051119B">
            <w:pPr>
              <w:spacing w:before="0" w:after="0"/>
              <w:jc w:val="left"/>
              <w:rPr>
                <w:sz w:val="16"/>
                <w:szCs w:val="16"/>
                <w:lang w:val="fr-BE"/>
              </w:rPr>
            </w:pPr>
            <w:r w:rsidRPr="006C5893">
              <w:rPr>
                <w:noProof/>
                <w:sz w:val="16"/>
                <w:szCs w:val="16"/>
                <w:lang w:val="fr-BE"/>
              </w:rPr>
              <w:t>Proces</w:t>
            </w:r>
          </w:p>
        </w:tc>
        <w:tc>
          <w:tcPr>
            <w:tcW w:w="0" w:type="auto"/>
            <w:shd w:val="clear" w:color="auto" w:fill="auto"/>
          </w:tcPr>
          <w:p w14:paraId="693DF650" w14:textId="77777777" w:rsidR="00932504" w:rsidRPr="006C5893" w:rsidRDefault="00092FD6" w:rsidP="00092FD6">
            <w:pPr>
              <w:spacing w:before="0" w:after="0"/>
              <w:jc w:val="left"/>
              <w:rPr>
                <w:sz w:val="16"/>
                <w:szCs w:val="16"/>
                <w:lang w:val="fr-BE"/>
              </w:rPr>
            </w:pPr>
            <w:r w:rsidRPr="006C5893">
              <w:rPr>
                <w:noProof/>
                <w:sz w:val="16"/>
                <w:szCs w:val="16"/>
                <w:lang w:val="fr-BE"/>
              </w:rPr>
              <w:t>01</w:t>
            </w:r>
          </w:p>
          <w:p w14:paraId="091F4876" w14:textId="77777777" w:rsidR="00932504" w:rsidRPr="006C5893" w:rsidRDefault="00092FD6" w:rsidP="00092FD6">
            <w:pPr>
              <w:spacing w:before="0" w:after="0"/>
              <w:jc w:val="left"/>
              <w:rPr>
                <w:sz w:val="16"/>
                <w:szCs w:val="16"/>
                <w:lang w:val="fr-BE"/>
              </w:rPr>
            </w:pPr>
            <w:r w:rsidRPr="006C5893">
              <w:rPr>
                <w:noProof/>
                <w:sz w:val="16"/>
                <w:szCs w:val="16"/>
                <w:lang w:val="fr-BE"/>
              </w:rPr>
              <w:t>02</w:t>
            </w:r>
          </w:p>
          <w:p w14:paraId="102B91D7" w14:textId="77777777" w:rsidR="00932504" w:rsidRPr="006C5893" w:rsidRDefault="00092FD6" w:rsidP="00092FD6">
            <w:pPr>
              <w:spacing w:before="0" w:after="0"/>
              <w:jc w:val="left"/>
              <w:rPr>
                <w:sz w:val="16"/>
                <w:szCs w:val="16"/>
                <w:lang w:val="fr-BE"/>
              </w:rPr>
            </w:pPr>
            <w:r w:rsidRPr="006C5893">
              <w:rPr>
                <w:noProof/>
                <w:sz w:val="16"/>
                <w:szCs w:val="16"/>
                <w:lang w:val="fr-BE"/>
              </w:rPr>
              <w:t>03</w:t>
            </w:r>
          </w:p>
          <w:p w14:paraId="728696B5" w14:textId="77777777" w:rsidR="00932504" w:rsidRPr="006C5893" w:rsidRDefault="00092FD6" w:rsidP="00092FD6">
            <w:pPr>
              <w:spacing w:before="0" w:after="0"/>
              <w:jc w:val="left"/>
              <w:rPr>
                <w:sz w:val="16"/>
                <w:szCs w:val="16"/>
                <w:lang w:val="fr-BE"/>
              </w:rPr>
            </w:pPr>
            <w:r w:rsidRPr="006C5893">
              <w:rPr>
                <w:noProof/>
                <w:sz w:val="16"/>
                <w:szCs w:val="16"/>
                <w:lang w:val="fr-BE"/>
              </w:rPr>
              <w:t>04</w:t>
            </w:r>
          </w:p>
          <w:p w14:paraId="30508109" w14:textId="77777777" w:rsidR="00932504" w:rsidRPr="006C5893" w:rsidRDefault="00092FD6" w:rsidP="00092FD6">
            <w:pPr>
              <w:spacing w:before="0" w:after="0"/>
              <w:jc w:val="left"/>
              <w:rPr>
                <w:sz w:val="16"/>
                <w:szCs w:val="16"/>
                <w:lang w:val="fr-BE"/>
              </w:rPr>
            </w:pPr>
            <w:r w:rsidRPr="006C5893">
              <w:rPr>
                <w:noProof/>
                <w:sz w:val="16"/>
                <w:szCs w:val="16"/>
                <w:lang w:val="fr-BE"/>
              </w:rPr>
              <w:t>05</w:t>
            </w:r>
          </w:p>
          <w:p w14:paraId="1B7303AC" w14:textId="77777777" w:rsidR="00932504" w:rsidRPr="006C5893" w:rsidRDefault="00092FD6" w:rsidP="00092FD6">
            <w:pPr>
              <w:spacing w:before="0" w:after="0"/>
              <w:jc w:val="left"/>
              <w:rPr>
                <w:sz w:val="16"/>
                <w:szCs w:val="16"/>
                <w:lang w:val="fr-BE"/>
              </w:rPr>
            </w:pPr>
            <w:r w:rsidRPr="006C5893">
              <w:rPr>
                <w:noProof/>
                <w:sz w:val="16"/>
                <w:szCs w:val="16"/>
                <w:lang w:val="fr-BE"/>
              </w:rPr>
              <w:t>06</w:t>
            </w:r>
          </w:p>
          <w:p w14:paraId="2660A950" w14:textId="77777777" w:rsidR="00932504" w:rsidRPr="006C5893" w:rsidRDefault="00092FD6" w:rsidP="00092FD6">
            <w:pPr>
              <w:spacing w:before="0" w:after="0"/>
              <w:jc w:val="left"/>
              <w:rPr>
                <w:sz w:val="16"/>
                <w:szCs w:val="16"/>
                <w:lang w:val="fr-BE"/>
              </w:rPr>
            </w:pPr>
            <w:r w:rsidRPr="006C5893">
              <w:rPr>
                <w:noProof/>
                <w:sz w:val="16"/>
                <w:szCs w:val="16"/>
                <w:lang w:val="fr-BE"/>
              </w:rPr>
              <w:t>07</w:t>
            </w:r>
          </w:p>
          <w:p w14:paraId="654C3502" w14:textId="77777777" w:rsidR="00932504" w:rsidRPr="006C5893" w:rsidRDefault="00092FD6" w:rsidP="00092FD6">
            <w:pPr>
              <w:spacing w:before="0" w:after="0"/>
              <w:jc w:val="left"/>
              <w:rPr>
                <w:sz w:val="16"/>
                <w:szCs w:val="16"/>
                <w:lang w:val="fr-BE"/>
              </w:rPr>
            </w:pPr>
            <w:r w:rsidRPr="006C5893">
              <w:rPr>
                <w:noProof/>
                <w:sz w:val="16"/>
                <w:szCs w:val="16"/>
                <w:lang w:val="fr-BE"/>
              </w:rPr>
              <w:t>08</w:t>
            </w:r>
          </w:p>
          <w:p w14:paraId="379A6A7D" w14:textId="77777777" w:rsidR="00932504" w:rsidRPr="006C5893" w:rsidRDefault="00092FD6" w:rsidP="00092FD6">
            <w:pPr>
              <w:spacing w:before="0" w:after="0"/>
              <w:jc w:val="left"/>
              <w:rPr>
                <w:sz w:val="16"/>
                <w:szCs w:val="16"/>
                <w:lang w:val="fr-BE"/>
              </w:rPr>
            </w:pPr>
            <w:r w:rsidRPr="006C5893">
              <w:rPr>
                <w:noProof/>
                <w:sz w:val="16"/>
                <w:szCs w:val="16"/>
                <w:lang w:val="fr-BE"/>
              </w:rPr>
              <w:t>09</w:t>
            </w:r>
          </w:p>
          <w:p w14:paraId="39F4124E" w14:textId="77777777" w:rsidR="00932504" w:rsidRPr="006C5893" w:rsidRDefault="00092FD6" w:rsidP="00092FD6">
            <w:pPr>
              <w:spacing w:before="0" w:after="0"/>
              <w:jc w:val="left"/>
              <w:rPr>
                <w:sz w:val="16"/>
                <w:szCs w:val="16"/>
                <w:lang w:val="fr-BE"/>
              </w:rPr>
            </w:pPr>
            <w:r w:rsidRPr="006C5893">
              <w:rPr>
                <w:noProof/>
                <w:sz w:val="16"/>
                <w:szCs w:val="16"/>
                <w:lang w:val="fr-BE"/>
              </w:rPr>
              <w:t>10</w:t>
            </w:r>
          </w:p>
        </w:tc>
        <w:tc>
          <w:tcPr>
            <w:tcW w:w="0" w:type="auto"/>
            <w:shd w:val="clear" w:color="auto" w:fill="auto"/>
          </w:tcPr>
          <w:p w14:paraId="636F0C75" w14:textId="77777777" w:rsidR="006B2EC1" w:rsidRDefault="00E82A60">
            <w:pPr>
              <w:spacing w:before="0" w:after="240"/>
              <w:jc w:val="left"/>
            </w:pPr>
            <w:proofErr w:type="spellStart"/>
            <w:r>
              <w:t>Celem</w:t>
            </w:r>
            <w:proofErr w:type="spellEnd"/>
            <w:r>
              <w:t xml:space="preserve"> </w:t>
            </w:r>
            <w:proofErr w:type="spellStart"/>
            <w:r>
              <w:t>głównym</w:t>
            </w:r>
            <w:proofErr w:type="spellEnd"/>
            <w:r>
              <w:t xml:space="preserve"> </w:t>
            </w:r>
            <w:proofErr w:type="spellStart"/>
            <w:r>
              <w:t>badania</w:t>
            </w:r>
            <w:proofErr w:type="spellEnd"/>
            <w:r>
              <w:t xml:space="preserve"> </w:t>
            </w:r>
            <w:proofErr w:type="spellStart"/>
            <w:r>
              <w:t>było</w:t>
            </w:r>
            <w:proofErr w:type="spellEnd"/>
            <w:r>
              <w:t xml:space="preserve"> </w:t>
            </w:r>
            <w:proofErr w:type="spellStart"/>
            <w:r>
              <w:t>dokonanie</w:t>
            </w:r>
            <w:proofErr w:type="spellEnd"/>
            <w:r>
              <w:t xml:space="preserve"> </w:t>
            </w:r>
            <w:proofErr w:type="spellStart"/>
            <w:r>
              <w:t>oceny</w:t>
            </w:r>
            <w:proofErr w:type="spellEnd"/>
            <w:r>
              <w:t xml:space="preserve"> </w:t>
            </w:r>
            <w:proofErr w:type="spellStart"/>
            <w:r>
              <w:t>kryteriów</w:t>
            </w:r>
            <w:proofErr w:type="spellEnd"/>
            <w:r>
              <w:t xml:space="preserve"> </w:t>
            </w:r>
            <w:proofErr w:type="spellStart"/>
            <w:r>
              <w:t>wyboru</w:t>
            </w:r>
            <w:proofErr w:type="spellEnd"/>
            <w:r>
              <w:t xml:space="preserve"> </w:t>
            </w:r>
            <w:proofErr w:type="spellStart"/>
            <w:r>
              <w:t>projektów</w:t>
            </w:r>
            <w:proofErr w:type="spellEnd"/>
            <w:r>
              <w:t xml:space="preserve"> </w:t>
            </w:r>
            <w:proofErr w:type="spellStart"/>
            <w:r>
              <w:t>oraz</w:t>
            </w:r>
            <w:proofErr w:type="spellEnd"/>
            <w:r>
              <w:t xml:space="preserve"> </w:t>
            </w:r>
            <w:proofErr w:type="spellStart"/>
            <w:r>
              <w:t>systemu</w:t>
            </w:r>
            <w:proofErr w:type="spellEnd"/>
            <w:r>
              <w:t xml:space="preserve"> </w:t>
            </w:r>
            <w:proofErr w:type="spellStart"/>
            <w:r>
              <w:t>wyboru</w:t>
            </w:r>
            <w:proofErr w:type="spellEnd"/>
            <w:r>
              <w:t xml:space="preserve"> </w:t>
            </w:r>
            <w:proofErr w:type="spellStart"/>
            <w:r>
              <w:t>projektów</w:t>
            </w:r>
            <w:proofErr w:type="spellEnd"/>
            <w:r>
              <w:t xml:space="preserve">, pod </w:t>
            </w:r>
            <w:proofErr w:type="spellStart"/>
            <w:r>
              <w:t>kątem</w:t>
            </w:r>
            <w:proofErr w:type="spellEnd"/>
            <w:r>
              <w:t xml:space="preserve"> </w:t>
            </w:r>
            <w:proofErr w:type="spellStart"/>
            <w:r>
              <w:t>zapewnienia</w:t>
            </w:r>
            <w:proofErr w:type="spellEnd"/>
            <w:r>
              <w:t xml:space="preserve"> </w:t>
            </w:r>
            <w:proofErr w:type="spellStart"/>
            <w:r>
              <w:t>skutecznej</w:t>
            </w:r>
            <w:proofErr w:type="spellEnd"/>
            <w:r>
              <w:t xml:space="preserve"> i </w:t>
            </w:r>
            <w:proofErr w:type="spellStart"/>
            <w:r>
              <w:t>najbardziej</w:t>
            </w:r>
            <w:proofErr w:type="spellEnd"/>
            <w:r>
              <w:t xml:space="preserve"> </w:t>
            </w:r>
            <w:proofErr w:type="spellStart"/>
            <w:r>
              <w:t>efektywnej</w:t>
            </w:r>
            <w:proofErr w:type="spellEnd"/>
            <w:r>
              <w:t xml:space="preserve"> </w:t>
            </w:r>
            <w:proofErr w:type="spellStart"/>
            <w:r>
              <w:t>realizacji</w:t>
            </w:r>
            <w:proofErr w:type="spellEnd"/>
            <w:r>
              <w:t xml:space="preserve"> RPOWŚ 2014-2020.</w:t>
            </w:r>
          </w:p>
          <w:p w14:paraId="363DC157" w14:textId="77777777" w:rsidR="006B2EC1" w:rsidRDefault="00E82A60">
            <w:pPr>
              <w:spacing w:before="240" w:after="240"/>
              <w:jc w:val="left"/>
            </w:pPr>
            <w:proofErr w:type="spellStart"/>
            <w:r>
              <w:t>Badanie</w:t>
            </w:r>
            <w:proofErr w:type="spellEnd"/>
            <w:r>
              <w:t xml:space="preserve"> </w:t>
            </w:r>
            <w:proofErr w:type="spellStart"/>
            <w:r>
              <w:t>obejmowało</w:t>
            </w:r>
            <w:proofErr w:type="spellEnd"/>
            <w:r>
              <w:t xml:space="preserve"> </w:t>
            </w:r>
            <w:proofErr w:type="spellStart"/>
            <w:r>
              <w:t>całościową</w:t>
            </w:r>
            <w:proofErr w:type="spellEnd"/>
            <w:r>
              <w:t xml:space="preserve"> </w:t>
            </w:r>
            <w:proofErr w:type="spellStart"/>
            <w:r>
              <w:t>analizę</w:t>
            </w:r>
            <w:proofErr w:type="spellEnd"/>
            <w:r>
              <w:t xml:space="preserve"> </w:t>
            </w:r>
            <w:proofErr w:type="spellStart"/>
            <w:r>
              <w:t>systemu</w:t>
            </w:r>
            <w:proofErr w:type="spellEnd"/>
            <w:r>
              <w:t xml:space="preserve"> </w:t>
            </w:r>
            <w:proofErr w:type="spellStart"/>
            <w:r>
              <w:t>oraz</w:t>
            </w:r>
            <w:proofErr w:type="spellEnd"/>
            <w:r>
              <w:t xml:space="preserve"> </w:t>
            </w:r>
            <w:proofErr w:type="spellStart"/>
            <w:r>
              <w:t>procesu</w:t>
            </w:r>
            <w:proofErr w:type="spellEnd"/>
            <w:r>
              <w:t xml:space="preserve"> </w:t>
            </w:r>
            <w:proofErr w:type="spellStart"/>
            <w:r>
              <w:t>wyboru</w:t>
            </w:r>
            <w:proofErr w:type="spellEnd"/>
            <w:r>
              <w:t xml:space="preserve"> i </w:t>
            </w:r>
            <w:proofErr w:type="spellStart"/>
            <w:r>
              <w:t>oceny</w:t>
            </w:r>
            <w:proofErr w:type="spellEnd"/>
            <w:r>
              <w:t xml:space="preserve"> </w:t>
            </w:r>
            <w:proofErr w:type="spellStart"/>
            <w:r>
              <w:t>projektów</w:t>
            </w:r>
            <w:proofErr w:type="spellEnd"/>
            <w:r>
              <w:t xml:space="preserve"> </w:t>
            </w:r>
            <w:proofErr w:type="spellStart"/>
            <w:r>
              <w:t>oraz</w:t>
            </w:r>
            <w:proofErr w:type="spellEnd"/>
            <w:r>
              <w:t xml:space="preserve"> </w:t>
            </w:r>
            <w:proofErr w:type="spellStart"/>
            <w:r>
              <w:t>wielowymiarową</w:t>
            </w:r>
            <w:proofErr w:type="spellEnd"/>
            <w:r>
              <w:t xml:space="preserve"> </w:t>
            </w:r>
            <w:proofErr w:type="spellStart"/>
            <w:r>
              <w:t>analizę</w:t>
            </w:r>
            <w:proofErr w:type="spellEnd"/>
            <w:r>
              <w:t xml:space="preserve"> </w:t>
            </w:r>
            <w:proofErr w:type="spellStart"/>
            <w:r>
              <w:t>kryteriów</w:t>
            </w:r>
            <w:proofErr w:type="spellEnd"/>
            <w:r>
              <w:t xml:space="preserve"> </w:t>
            </w:r>
            <w:proofErr w:type="spellStart"/>
            <w:r>
              <w:t>wyboru</w:t>
            </w:r>
            <w:proofErr w:type="spellEnd"/>
            <w:r>
              <w:t xml:space="preserve"> </w:t>
            </w:r>
            <w:proofErr w:type="spellStart"/>
            <w:r>
              <w:t>projektów</w:t>
            </w:r>
            <w:proofErr w:type="spellEnd"/>
            <w:r>
              <w:t xml:space="preserve"> z </w:t>
            </w:r>
            <w:proofErr w:type="spellStart"/>
            <w:r>
              <w:t>uwzględnieniem</w:t>
            </w:r>
            <w:proofErr w:type="spellEnd"/>
            <w:r>
              <w:t xml:space="preserve"> </w:t>
            </w:r>
            <w:proofErr w:type="spellStart"/>
            <w:r>
              <w:t>poprawności</w:t>
            </w:r>
            <w:proofErr w:type="spellEnd"/>
            <w:r>
              <w:t xml:space="preserve"> ich </w:t>
            </w:r>
            <w:proofErr w:type="spellStart"/>
            <w:r>
              <w:t>sformułowania</w:t>
            </w:r>
            <w:proofErr w:type="spellEnd"/>
            <w:r>
              <w:t xml:space="preserve"> </w:t>
            </w:r>
            <w:proofErr w:type="spellStart"/>
            <w:r>
              <w:t>oraz</w:t>
            </w:r>
            <w:proofErr w:type="spellEnd"/>
            <w:r>
              <w:t xml:space="preserve"> </w:t>
            </w:r>
            <w:proofErr w:type="spellStart"/>
            <w:r>
              <w:t>skuteczności</w:t>
            </w:r>
            <w:proofErr w:type="spellEnd"/>
            <w:r>
              <w:t xml:space="preserve"> </w:t>
            </w:r>
            <w:proofErr w:type="spellStart"/>
            <w:r>
              <w:t>rozumianej</w:t>
            </w:r>
            <w:proofErr w:type="spellEnd"/>
            <w:r>
              <w:t xml:space="preserve"> </w:t>
            </w:r>
            <w:proofErr w:type="spellStart"/>
            <w:r>
              <w:t>jako</w:t>
            </w:r>
            <w:proofErr w:type="spellEnd"/>
            <w:r>
              <w:t xml:space="preserve"> </w:t>
            </w:r>
            <w:proofErr w:type="spellStart"/>
            <w:r>
              <w:t>przyczynianie</w:t>
            </w:r>
            <w:proofErr w:type="spellEnd"/>
            <w:r>
              <w:t xml:space="preserve"> </w:t>
            </w:r>
            <w:proofErr w:type="spellStart"/>
            <w:r>
              <w:t>się</w:t>
            </w:r>
            <w:proofErr w:type="spellEnd"/>
            <w:r>
              <w:t xml:space="preserve"> do </w:t>
            </w:r>
            <w:proofErr w:type="spellStart"/>
            <w:r>
              <w:t>wyboru</w:t>
            </w:r>
            <w:proofErr w:type="spellEnd"/>
            <w:r>
              <w:t xml:space="preserve"> </w:t>
            </w:r>
            <w:proofErr w:type="spellStart"/>
            <w:r>
              <w:t>przedsięwzięć</w:t>
            </w:r>
            <w:proofErr w:type="spellEnd"/>
            <w:r>
              <w:t xml:space="preserve"> </w:t>
            </w:r>
            <w:proofErr w:type="spellStart"/>
            <w:r>
              <w:t>optymalnych</w:t>
            </w:r>
            <w:proofErr w:type="spellEnd"/>
            <w:r>
              <w:t xml:space="preserve"> z </w:t>
            </w:r>
            <w:proofErr w:type="spellStart"/>
            <w:r>
              <w:t>punktu</w:t>
            </w:r>
            <w:proofErr w:type="spellEnd"/>
            <w:r>
              <w:t xml:space="preserve"> </w:t>
            </w:r>
            <w:proofErr w:type="spellStart"/>
            <w:r>
              <w:t>widzenia</w:t>
            </w:r>
            <w:proofErr w:type="spellEnd"/>
            <w:r>
              <w:t xml:space="preserve"> </w:t>
            </w:r>
            <w:proofErr w:type="spellStart"/>
            <w:r>
              <w:t>realizacji</w:t>
            </w:r>
            <w:proofErr w:type="spellEnd"/>
            <w:r>
              <w:t xml:space="preserve"> </w:t>
            </w:r>
            <w:proofErr w:type="spellStart"/>
            <w:r>
              <w:t>programu</w:t>
            </w:r>
            <w:proofErr w:type="spellEnd"/>
            <w:r>
              <w:t>.</w:t>
            </w:r>
          </w:p>
          <w:p w14:paraId="7A2F0277" w14:textId="77777777" w:rsidR="00932504" w:rsidRPr="006C5893" w:rsidRDefault="00932504" w:rsidP="0051119B">
            <w:pPr>
              <w:spacing w:before="0" w:after="0"/>
              <w:jc w:val="left"/>
              <w:rPr>
                <w:sz w:val="16"/>
                <w:szCs w:val="16"/>
                <w:lang w:val="fr-BE"/>
              </w:rPr>
            </w:pPr>
          </w:p>
        </w:tc>
        <w:tc>
          <w:tcPr>
            <w:tcW w:w="0" w:type="auto"/>
            <w:shd w:val="clear" w:color="auto" w:fill="auto"/>
          </w:tcPr>
          <w:p w14:paraId="787E8397" w14:textId="77777777" w:rsidR="006B2EC1" w:rsidRDefault="00E82A60">
            <w:pPr>
              <w:spacing w:before="0" w:after="240"/>
              <w:jc w:val="left"/>
            </w:pPr>
            <w:proofErr w:type="spellStart"/>
            <w:r>
              <w:t>Analizy</w:t>
            </w:r>
            <w:proofErr w:type="spellEnd"/>
            <w:r>
              <w:t xml:space="preserve"> </w:t>
            </w:r>
            <w:proofErr w:type="spellStart"/>
            <w:r>
              <w:t>kryteriów</w:t>
            </w:r>
            <w:proofErr w:type="spellEnd"/>
            <w:r>
              <w:t xml:space="preserve"> </w:t>
            </w:r>
            <w:proofErr w:type="spellStart"/>
            <w:r>
              <w:t>doboru</w:t>
            </w:r>
            <w:proofErr w:type="spellEnd"/>
            <w:r>
              <w:t xml:space="preserve"> </w:t>
            </w:r>
            <w:proofErr w:type="spellStart"/>
            <w:r>
              <w:t>projektów</w:t>
            </w:r>
            <w:proofErr w:type="spellEnd"/>
            <w:r>
              <w:t xml:space="preserve"> </w:t>
            </w:r>
            <w:proofErr w:type="spellStart"/>
            <w:r>
              <w:t>zostały</w:t>
            </w:r>
            <w:proofErr w:type="spellEnd"/>
            <w:r>
              <w:t xml:space="preserve"> </w:t>
            </w:r>
            <w:proofErr w:type="spellStart"/>
            <w:r>
              <w:t>przeprowadzone</w:t>
            </w:r>
            <w:proofErr w:type="spellEnd"/>
            <w:r>
              <w:t xml:space="preserve"> w </w:t>
            </w:r>
            <w:proofErr w:type="spellStart"/>
            <w:r>
              <w:t>ramach</w:t>
            </w:r>
            <w:proofErr w:type="spellEnd"/>
            <w:r>
              <w:t xml:space="preserve"> </w:t>
            </w:r>
            <w:proofErr w:type="spellStart"/>
            <w:r>
              <w:t>głównych</w:t>
            </w:r>
            <w:proofErr w:type="spellEnd"/>
            <w:r>
              <w:t xml:space="preserve"> </w:t>
            </w:r>
            <w:proofErr w:type="spellStart"/>
            <w:r>
              <w:t>bloków</w:t>
            </w:r>
            <w:proofErr w:type="spellEnd"/>
            <w:r>
              <w:t xml:space="preserve"> </w:t>
            </w:r>
            <w:proofErr w:type="spellStart"/>
            <w:r>
              <w:t>tematycznych</w:t>
            </w:r>
            <w:proofErr w:type="spellEnd"/>
            <w:r>
              <w:t xml:space="preserve"> i </w:t>
            </w:r>
            <w:proofErr w:type="spellStart"/>
            <w:r>
              <w:t>dotyczyły</w:t>
            </w:r>
            <w:proofErr w:type="spellEnd"/>
            <w:r>
              <w:t xml:space="preserve"> </w:t>
            </w:r>
            <w:proofErr w:type="spellStart"/>
            <w:r>
              <w:t>zarówno</w:t>
            </w:r>
            <w:proofErr w:type="spellEnd"/>
            <w:r>
              <w:t xml:space="preserve"> </w:t>
            </w:r>
            <w:proofErr w:type="spellStart"/>
            <w:r>
              <w:t>kryteriów</w:t>
            </w:r>
            <w:proofErr w:type="spellEnd"/>
            <w:r>
              <w:t xml:space="preserve"> </w:t>
            </w:r>
            <w:proofErr w:type="spellStart"/>
            <w:r>
              <w:t>ogólnych</w:t>
            </w:r>
            <w:proofErr w:type="spellEnd"/>
            <w:r>
              <w:t xml:space="preserve"> </w:t>
            </w:r>
            <w:proofErr w:type="spellStart"/>
            <w:r>
              <w:t>dla</w:t>
            </w:r>
            <w:proofErr w:type="spellEnd"/>
            <w:r>
              <w:t xml:space="preserve"> </w:t>
            </w:r>
            <w:proofErr w:type="spellStart"/>
            <w:r>
              <w:t>obu</w:t>
            </w:r>
            <w:proofErr w:type="spellEnd"/>
            <w:r>
              <w:t xml:space="preserve"> </w:t>
            </w:r>
            <w:proofErr w:type="spellStart"/>
            <w:r>
              <w:t>funduszy</w:t>
            </w:r>
            <w:proofErr w:type="spellEnd"/>
            <w:r>
              <w:t xml:space="preserve"> (i </w:t>
            </w:r>
            <w:proofErr w:type="spellStart"/>
            <w:r>
              <w:t>obowiązująca</w:t>
            </w:r>
            <w:proofErr w:type="spellEnd"/>
            <w:r>
              <w:t xml:space="preserve"> we </w:t>
            </w:r>
            <w:proofErr w:type="spellStart"/>
            <w:r>
              <w:t>wszystkich</w:t>
            </w:r>
            <w:proofErr w:type="spellEnd"/>
            <w:r>
              <w:t xml:space="preserve"> </w:t>
            </w:r>
            <w:proofErr w:type="spellStart"/>
            <w:r>
              <w:t>Działaniach</w:t>
            </w:r>
            <w:proofErr w:type="spellEnd"/>
            <w:r>
              <w:t>/</w:t>
            </w:r>
            <w:proofErr w:type="spellStart"/>
            <w:r>
              <w:t>Poddziałaniach</w:t>
            </w:r>
            <w:proofErr w:type="spellEnd"/>
            <w:r>
              <w:t xml:space="preserve"> </w:t>
            </w:r>
            <w:proofErr w:type="spellStart"/>
            <w:r>
              <w:t>dla</w:t>
            </w:r>
            <w:proofErr w:type="spellEnd"/>
            <w:r>
              <w:t xml:space="preserve"> </w:t>
            </w:r>
            <w:proofErr w:type="spellStart"/>
            <w:r>
              <w:t>danego</w:t>
            </w:r>
            <w:proofErr w:type="spellEnd"/>
            <w:r>
              <w:t xml:space="preserve"> </w:t>
            </w:r>
            <w:proofErr w:type="spellStart"/>
            <w:r>
              <w:t>funduszu</w:t>
            </w:r>
            <w:proofErr w:type="spellEnd"/>
            <w:r>
              <w:t xml:space="preserve">), jak i </w:t>
            </w:r>
            <w:proofErr w:type="spellStart"/>
            <w:r>
              <w:t>kryteriów</w:t>
            </w:r>
            <w:proofErr w:type="spellEnd"/>
            <w:r>
              <w:t xml:space="preserve"> </w:t>
            </w:r>
            <w:proofErr w:type="spellStart"/>
            <w:r>
              <w:t>specyficznych</w:t>
            </w:r>
            <w:proofErr w:type="spellEnd"/>
            <w:r>
              <w:t xml:space="preserve"> </w:t>
            </w:r>
            <w:proofErr w:type="spellStart"/>
            <w:r>
              <w:t>dla</w:t>
            </w:r>
            <w:proofErr w:type="spellEnd"/>
            <w:r>
              <w:t xml:space="preserve"> </w:t>
            </w:r>
            <w:proofErr w:type="spellStart"/>
            <w:r>
              <w:t>poszczególnych</w:t>
            </w:r>
            <w:proofErr w:type="spellEnd"/>
            <w:r>
              <w:t xml:space="preserve"> </w:t>
            </w:r>
            <w:proofErr w:type="spellStart"/>
            <w:r>
              <w:t>Działań</w:t>
            </w:r>
            <w:proofErr w:type="spellEnd"/>
            <w:r>
              <w:t xml:space="preserve"> / </w:t>
            </w:r>
            <w:proofErr w:type="spellStart"/>
            <w:r>
              <w:t>Poddziałań</w:t>
            </w:r>
            <w:proofErr w:type="spellEnd"/>
            <w:r>
              <w:t xml:space="preserve">. </w:t>
            </w:r>
            <w:proofErr w:type="spellStart"/>
            <w:r>
              <w:t>Sformułowano</w:t>
            </w:r>
            <w:proofErr w:type="spellEnd"/>
            <w:r>
              <w:t xml:space="preserve"> </w:t>
            </w:r>
            <w:proofErr w:type="spellStart"/>
            <w:r>
              <w:t>ogólne</w:t>
            </w:r>
            <w:proofErr w:type="spellEnd"/>
            <w:r>
              <w:t xml:space="preserve"> </w:t>
            </w:r>
            <w:proofErr w:type="spellStart"/>
            <w:r>
              <w:t>zalecenia</w:t>
            </w:r>
            <w:proofErr w:type="spellEnd"/>
            <w:r>
              <w:t xml:space="preserve"> </w:t>
            </w:r>
            <w:proofErr w:type="spellStart"/>
            <w:r>
              <w:t>dotyczące</w:t>
            </w:r>
            <w:proofErr w:type="spellEnd"/>
            <w:r>
              <w:t xml:space="preserve"> </w:t>
            </w:r>
            <w:proofErr w:type="spellStart"/>
            <w:r>
              <w:t>zagadnienia</w:t>
            </w:r>
            <w:proofErr w:type="spellEnd"/>
            <w:r>
              <w:t xml:space="preserve"> </w:t>
            </w:r>
            <w:proofErr w:type="spellStart"/>
            <w:r>
              <w:t>kryteriów</w:t>
            </w:r>
            <w:proofErr w:type="spellEnd"/>
            <w:r>
              <w:t xml:space="preserve"> </w:t>
            </w:r>
            <w:proofErr w:type="spellStart"/>
            <w:r>
              <w:t>wyborów</w:t>
            </w:r>
            <w:proofErr w:type="spellEnd"/>
            <w:r>
              <w:t xml:space="preserve"> </w:t>
            </w:r>
            <w:proofErr w:type="spellStart"/>
            <w:r>
              <w:t>projektów</w:t>
            </w:r>
            <w:proofErr w:type="spellEnd"/>
            <w:r>
              <w:t xml:space="preserve">, </w:t>
            </w:r>
            <w:proofErr w:type="spellStart"/>
            <w:r>
              <w:t>wśród</w:t>
            </w:r>
            <w:proofErr w:type="spellEnd"/>
            <w:r>
              <w:t xml:space="preserve"> </w:t>
            </w:r>
            <w:proofErr w:type="spellStart"/>
            <w:r>
              <w:t>których</w:t>
            </w:r>
            <w:proofErr w:type="spellEnd"/>
            <w:r>
              <w:t xml:space="preserve"> </w:t>
            </w:r>
            <w:proofErr w:type="spellStart"/>
            <w:r>
              <w:t>należy</w:t>
            </w:r>
            <w:proofErr w:type="spellEnd"/>
            <w:r>
              <w:t xml:space="preserve"> </w:t>
            </w:r>
            <w:proofErr w:type="spellStart"/>
            <w:r>
              <w:t>wskazać</w:t>
            </w:r>
            <w:proofErr w:type="spellEnd"/>
            <w:r>
              <w:t xml:space="preserve">: </w:t>
            </w:r>
            <w:proofErr w:type="spellStart"/>
            <w:r>
              <w:t>uproszczenie</w:t>
            </w:r>
            <w:proofErr w:type="spellEnd"/>
            <w:r>
              <w:t xml:space="preserve"> </w:t>
            </w:r>
            <w:proofErr w:type="spellStart"/>
            <w:r>
              <w:t>systematyzacji</w:t>
            </w:r>
            <w:proofErr w:type="spellEnd"/>
            <w:r>
              <w:t xml:space="preserve"> </w:t>
            </w:r>
            <w:proofErr w:type="spellStart"/>
            <w:r>
              <w:t>kryteriów</w:t>
            </w:r>
            <w:proofErr w:type="spellEnd"/>
            <w:r>
              <w:t xml:space="preserve"> (</w:t>
            </w:r>
            <w:proofErr w:type="spellStart"/>
            <w:r>
              <w:t>poprzez</w:t>
            </w:r>
            <w:proofErr w:type="spellEnd"/>
            <w:r>
              <w:t xml:space="preserve"> </w:t>
            </w:r>
            <w:proofErr w:type="spellStart"/>
            <w:r>
              <w:t>zmniejszenie</w:t>
            </w:r>
            <w:proofErr w:type="spellEnd"/>
            <w:r>
              <w:t xml:space="preserve"> </w:t>
            </w:r>
            <w:proofErr w:type="spellStart"/>
            <w:r>
              <w:t>ilości</w:t>
            </w:r>
            <w:proofErr w:type="spellEnd"/>
            <w:r>
              <w:t xml:space="preserve"> </w:t>
            </w:r>
            <w:proofErr w:type="spellStart"/>
            <w:r>
              <w:t>kategorii</w:t>
            </w:r>
            <w:proofErr w:type="spellEnd"/>
            <w:r>
              <w:t xml:space="preserve"> </w:t>
            </w:r>
            <w:proofErr w:type="spellStart"/>
            <w:r>
              <w:t>kryteriów</w:t>
            </w:r>
            <w:proofErr w:type="spellEnd"/>
            <w:r>
              <w:t xml:space="preserve">); </w:t>
            </w:r>
            <w:proofErr w:type="spellStart"/>
            <w:r>
              <w:t>prowadzenie</w:t>
            </w:r>
            <w:proofErr w:type="spellEnd"/>
            <w:r>
              <w:t xml:space="preserve"> </w:t>
            </w:r>
            <w:proofErr w:type="spellStart"/>
            <w:r>
              <w:t>spójnej</w:t>
            </w:r>
            <w:proofErr w:type="spellEnd"/>
            <w:r>
              <w:t xml:space="preserve"> </w:t>
            </w:r>
            <w:proofErr w:type="spellStart"/>
            <w:r>
              <w:t>polityki</w:t>
            </w:r>
            <w:proofErr w:type="spellEnd"/>
            <w:r>
              <w:t xml:space="preserve"> </w:t>
            </w:r>
            <w:proofErr w:type="spellStart"/>
            <w:r>
              <w:t>informowania</w:t>
            </w:r>
            <w:proofErr w:type="spellEnd"/>
            <w:r>
              <w:t xml:space="preserve"> </w:t>
            </w:r>
            <w:proofErr w:type="spellStart"/>
            <w:r>
              <w:t>odnośnie</w:t>
            </w:r>
            <w:proofErr w:type="spellEnd"/>
            <w:r>
              <w:t xml:space="preserve"> </w:t>
            </w:r>
            <w:proofErr w:type="spellStart"/>
            <w:r>
              <w:t>kryteriów</w:t>
            </w:r>
            <w:proofErr w:type="spellEnd"/>
            <w:r>
              <w:t xml:space="preserve"> (</w:t>
            </w:r>
            <w:proofErr w:type="spellStart"/>
            <w:r>
              <w:t>gł</w:t>
            </w:r>
            <w:proofErr w:type="spellEnd"/>
            <w:r>
              <w:t xml:space="preserve">. za </w:t>
            </w:r>
            <w:proofErr w:type="spellStart"/>
            <w:r>
              <w:t>pośrednictwem</w:t>
            </w:r>
            <w:proofErr w:type="spellEnd"/>
            <w:r>
              <w:t xml:space="preserve"> </w:t>
            </w:r>
            <w:proofErr w:type="spellStart"/>
            <w:r>
              <w:t>witryny</w:t>
            </w:r>
            <w:proofErr w:type="spellEnd"/>
            <w:r>
              <w:t xml:space="preserve"> </w:t>
            </w:r>
            <w:proofErr w:type="spellStart"/>
            <w:r>
              <w:t>internetowej</w:t>
            </w:r>
            <w:proofErr w:type="spellEnd"/>
            <w:r>
              <w:t xml:space="preserve"> RPOWŚ i </w:t>
            </w:r>
            <w:proofErr w:type="spellStart"/>
            <w:r>
              <w:t>zamieszczanej</w:t>
            </w:r>
            <w:proofErr w:type="spellEnd"/>
            <w:r>
              <w:t xml:space="preserve"> w </w:t>
            </w:r>
            <w:proofErr w:type="spellStart"/>
            <w:r>
              <w:t>tym</w:t>
            </w:r>
            <w:proofErr w:type="spellEnd"/>
            <w:r>
              <w:t xml:space="preserve"> </w:t>
            </w:r>
            <w:proofErr w:type="spellStart"/>
            <w:r>
              <w:t>miejscu</w:t>
            </w:r>
            <w:proofErr w:type="spellEnd"/>
            <w:r>
              <w:t xml:space="preserve"> </w:t>
            </w:r>
            <w:proofErr w:type="spellStart"/>
            <w:r>
              <w:t>dokumentacji</w:t>
            </w:r>
            <w:proofErr w:type="spellEnd"/>
            <w:r>
              <w:t xml:space="preserve">); </w:t>
            </w:r>
            <w:proofErr w:type="spellStart"/>
            <w:r>
              <w:t>włączenie</w:t>
            </w:r>
            <w:proofErr w:type="spellEnd"/>
            <w:r>
              <w:t xml:space="preserve"> </w:t>
            </w:r>
            <w:proofErr w:type="spellStart"/>
            <w:r>
              <w:t>problematyki</w:t>
            </w:r>
            <w:proofErr w:type="spellEnd"/>
            <w:r>
              <w:t xml:space="preserve"> </w:t>
            </w:r>
            <w:proofErr w:type="spellStart"/>
            <w:r>
              <w:t>kryteriów</w:t>
            </w:r>
            <w:proofErr w:type="spellEnd"/>
            <w:r>
              <w:t xml:space="preserve"> </w:t>
            </w:r>
            <w:proofErr w:type="spellStart"/>
            <w:r>
              <w:t>wyboru</w:t>
            </w:r>
            <w:proofErr w:type="spellEnd"/>
            <w:r>
              <w:t xml:space="preserve"> </w:t>
            </w:r>
            <w:proofErr w:type="spellStart"/>
            <w:r>
              <w:t>projektów</w:t>
            </w:r>
            <w:proofErr w:type="spellEnd"/>
            <w:r>
              <w:t xml:space="preserve"> do </w:t>
            </w:r>
            <w:proofErr w:type="spellStart"/>
            <w:r>
              <w:t>badań</w:t>
            </w:r>
            <w:proofErr w:type="spellEnd"/>
            <w:r>
              <w:t xml:space="preserve"> </w:t>
            </w:r>
            <w:proofErr w:type="spellStart"/>
            <w:r>
              <w:t>ewaluacyjnych</w:t>
            </w:r>
            <w:proofErr w:type="spellEnd"/>
            <w:r>
              <w:t xml:space="preserve"> </w:t>
            </w:r>
            <w:proofErr w:type="spellStart"/>
            <w:r>
              <w:t>realizowanych</w:t>
            </w:r>
            <w:proofErr w:type="spellEnd"/>
            <w:r>
              <w:t xml:space="preserve"> w </w:t>
            </w:r>
            <w:proofErr w:type="spellStart"/>
            <w:r>
              <w:t>toku</w:t>
            </w:r>
            <w:proofErr w:type="spellEnd"/>
            <w:r>
              <w:t xml:space="preserve"> </w:t>
            </w:r>
            <w:proofErr w:type="spellStart"/>
            <w:r>
              <w:t>wdrażania</w:t>
            </w:r>
            <w:proofErr w:type="spellEnd"/>
            <w:r>
              <w:t xml:space="preserve"> </w:t>
            </w:r>
            <w:proofErr w:type="spellStart"/>
            <w:r>
              <w:t>Programu</w:t>
            </w:r>
            <w:proofErr w:type="spellEnd"/>
            <w:r>
              <w:t xml:space="preserve"> (</w:t>
            </w:r>
            <w:proofErr w:type="spellStart"/>
            <w:r>
              <w:t>poprzez</w:t>
            </w:r>
            <w:proofErr w:type="spellEnd"/>
            <w:r>
              <w:t xml:space="preserve"> </w:t>
            </w:r>
            <w:proofErr w:type="spellStart"/>
            <w:r>
              <w:t>uwzględnianie</w:t>
            </w:r>
            <w:proofErr w:type="spellEnd"/>
            <w:r>
              <w:t xml:space="preserve"> </w:t>
            </w:r>
            <w:proofErr w:type="spellStart"/>
            <w:r>
              <w:t>problematyki</w:t>
            </w:r>
            <w:proofErr w:type="spellEnd"/>
            <w:r>
              <w:t xml:space="preserve"> </w:t>
            </w:r>
            <w:proofErr w:type="spellStart"/>
            <w:r>
              <w:t>odnoszącej</w:t>
            </w:r>
            <w:proofErr w:type="spellEnd"/>
            <w:r>
              <w:t xml:space="preserve"> </w:t>
            </w:r>
            <w:proofErr w:type="spellStart"/>
            <w:r>
              <w:t>się</w:t>
            </w:r>
            <w:proofErr w:type="spellEnd"/>
            <w:r>
              <w:t xml:space="preserve"> do </w:t>
            </w:r>
            <w:proofErr w:type="spellStart"/>
            <w:r>
              <w:t>kryteriów</w:t>
            </w:r>
            <w:proofErr w:type="spellEnd"/>
            <w:r>
              <w:t xml:space="preserve"> </w:t>
            </w:r>
            <w:proofErr w:type="spellStart"/>
            <w:r>
              <w:t>wyboru</w:t>
            </w:r>
            <w:proofErr w:type="spellEnd"/>
            <w:r>
              <w:t xml:space="preserve"> </w:t>
            </w:r>
            <w:proofErr w:type="spellStart"/>
            <w:r>
              <w:t>projektów</w:t>
            </w:r>
            <w:proofErr w:type="spellEnd"/>
            <w:r>
              <w:t xml:space="preserve"> w </w:t>
            </w:r>
            <w:proofErr w:type="spellStart"/>
            <w:r>
              <w:t>sektorowych</w:t>
            </w:r>
            <w:proofErr w:type="spellEnd"/>
            <w:r>
              <w:t xml:space="preserve"> </w:t>
            </w:r>
            <w:proofErr w:type="spellStart"/>
            <w:r>
              <w:t>ewaluacjach</w:t>
            </w:r>
            <w:proofErr w:type="spellEnd"/>
            <w:r>
              <w:t xml:space="preserve"> </w:t>
            </w:r>
            <w:proofErr w:type="spellStart"/>
            <w:r>
              <w:t>Programu</w:t>
            </w:r>
            <w:proofErr w:type="spellEnd"/>
            <w:r>
              <w:t xml:space="preserve">, </w:t>
            </w:r>
            <w:proofErr w:type="spellStart"/>
            <w:r>
              <w:t>które</w:t>
            </w:r>
            <w:proofErr w:type="spellEnd"/>
            <w:r>
              <w:t xml:space="preserve"> </w:t>
            </w:r>
            <w:proofErr w:type="spellStart"/>
            <w:r>
              <w:t>dotyczą</w:t>
            </w:r>
            <w:proofErr w:type="spellEnd"/>
            <w:r>
              <w:t xml:space="preserve"> </w:t>
            </w:r>
            <w:proofErr w:type="spellStart"/>
            <w:r>
              <w:t>bezpośrednio</w:t>
            </w:r>
            <w:proofErr w:type="spellEnd"/>
            <w:r>
              <w:t xml:space="preserve"> </w:t>
            </w:r>
            <w:proofErr w:type="spellStart"/>
            <w:r>
              <w:t>skuteczności</w:t>
            </w:r>
            <w:proofErr w:type="spellEnd"/>
            <w:r>
              <w:t xml:space="preserve"> </w:t>
            </w:r>
            <w:proofErr w:type="spellStart"/>
            <w:r>
              <w:t>wsparcia</w:t>
            </w:r>
            <w:proofErr w:type="spellEnd"/>
            <w:r>
              <w:t>).</w:t>
            </w:r>
          </w:p>
          <w:p w14:paraId="288B3B82" w14:textId="77777777" w:rsidR="006B2EC1" w:rsidRDefault="00E82A60">
            <w:pPr>
              <w:spacing w:before="240" w:after="240"/>
              <w:jc w:val="left"/>
            </w:pPr>
            <w:r>
              <w:lastRenderedPageBreak/>
              <w:t xml:space="preserve">W </w:t>
            </w:r>
            <w:proofErr w:type="spellStart"/>
            <w:r>
              <w:t>wyniku</w:t>
            </w:r>
            <w:proofErr w:type="spellEnd"/>
            <w:r>
              <w:t xml:space="preserve"> </w:t>
            </w:r>
            <w:proofErr w:type="spellStart"/>
            <w:r>
              <w:t>oceny</w:t>
            </w:r>
            <w:proofErr w:type="spellEnd"/>
            <w:r>
              <w:t xml:space="preserve"> </w:t>
            </w:r>
            <w:proofErr w:type="spellStart"/>
            <w:r>
              <w:t>stwierdzono</w:t>
            </w:r>
            <w:proofErr w:type="spellEnd"/>
            <w:r>
              <w:t xml:space="preserve">, </w:t>
            </w:r>
            <w:proofErr w:type="spellStart"/>
            <w:r>
              <w:t>że</w:t>
            </w:r>
            <w:proofErr w:type="spellEnd"/>
            <w:r>
              <w:t xml:space="preserve"> </w:t>
            </w:r>
            <w:proofErr w:type="spellStart"/>
            <w:r>
              <w:t>przyjęty</w:t>
            </w:r>
            <w:proofErr w:type="spellEnd"/>
            <w:r>
              <w:t xml:space="preserve"> system </w:t>
            </w:r>
            <w:proofErr w:type="spellStart"/>
            <w:r>
              <w:t>wyboru</w:t>
            </w:r>
            <w:proofErr w:type="spellEnd"/>
            <w:r>
              <w:t xml:space="preserve"> </w:t>
            </w:r>
            <w:proofErr w:type="spellStart"/>
            <w:r>
              <w:t>projektów</w:t>
            </w:r>
            <w:proofErr w:type="spellEnd"/>
            <w:r>
              <w:t xml:space="preserve"> jest w </w:t>
            </w:r>
            <w:proofErr w:type="spellStart"/>
            <w:r>
              <w:t>ramach</w:t>
            </w:r>
            <w:proofErr w:type="spellEnd"/>
            <w:r>
              <w:t xml:space="preserve"> RPOWŚ </w:t>
            </w:r>
            <w:proofErr w:type="spellStart"/>
            <w:r>
              <w:t>poprawnie</w:t>
            </w:r>
            <w:proofErr w:type="spellEnd"/>
            <w:r>
              <w:t xml:space="preserve"> </w:t>
            </w:r>
            <w:proofErr w:type="spellStart"/>
            <w:r>
              <w:t>skonstruowany</w:t>
            </w:r>
            <w:proofErr w:type="spellEnd"/>
            <w:r>
              <w:t xml:space="preserve"> i </w:t>
            </w:r>
            <w:proofErr w:type="spellStart"/>
            <w:r>
              <w:t>odpowiada</w:t>
            </w:r>
            <w:proofErr w:type="spellEnd"/>
            <w:r>
              <w:t xml:space="preserve"> </w:t>
            </w:r>
            <w:proofErr w:type="spellStart"/>
            <w:r>
              <w:t>potrzebom</w:t>
            </w:r>
            <w:proofErr w:type="spellEnd"/>
            <w:r>
              <w:t xml:space="preserve"> </w:t>
            </w:r>
            <w:proofErr w:type="spellStart"/>
            <w:r>
              <w:t>realizacji</w:t>
            </w:r>
            <w:proofErr w:type="spellEnd"/>
            <w:r>
              <w:t xml:space="preserve"> </w:t>
            </w:r>
            <w:proofErr w:type="spellStart"/>
            <w:r>
              <w:t>Programu</w:t>
            </w:r>
            <w:proofErr w:type="spellEnd"/>
            <w:r>
              <w:t xml:space="preserve">, a </w:t>
            </w:r>
            <w:proofErr w:type="spellStart"/>
            <w:r>
              <w:t>katalog</w:t>
            </w:r>
            <w:proofErr w:type="spellEnd"/>
            <w:r>
              <w:t xml:space="preserve"> </w:t>
            </w:r>
            <w:proofErr w:type="spellStart"/>
            <w:r>
              <w:t>kryteriów</w:t>
            </w:r>
            <w:proofErr w:type="spellEnd"/>
            <w:r>
              <w:t xml:space="preserve"> jest </w:t>
            </w:r>
            <w:proofErr w:type="spellStart"/>
            <w:r>
              <w:t>kompletny</w:t>
            </w:r>
            <w:proofErr w:type="spellEnd"/>
            <w:r>
              <w:t xml:space="preserve">, </w:t>
            </w:r>
            <w:proofErr w:type="spellStart"/>
            <w:r>
              <w:t>spójny</w:t>
            </w:r>
            <w:proofErr w:type="spellEnd"/>
            <w:r>
              <w:t xml:space="preserve"> i </w:t>
            </w:r>
            <w:proofErr w:type="spellStart"/>
            <w:r>
              <w:t>racjonalny</w:t>
            </w:r>
            <w:proofErr w:type="spellEnd"/>
            <w:r>
              <w:t xml:space="preserve">. </w:t>
            </w:r>
            <w:proofErr w:type="spellStart"/>
            <w:r>
              <w:t>Eksperci</w:t>
            </w:r>
            <w:proofErr w:type="spellEnd"/>
            <w:r>
              <w:t xml:space="preserve"> </w:t>
            </w:r>
            <w:proofErr w:type="spellStart"/>
            <w:r>
              <w:t>jednocześnie</w:t>
            </w:r>
            <w:proofErr w:type="spellEnd"/>
            <w:r>
              <w:t xml:space="preserve"> </w:t>
            </w:r>
            <w:proofErr w:type="spellStart"/>
            <w:r>
              <w:t>wskazali</w:t>
            </w:r>
            <w:proofErr w:type="spellEnd"/>
            <w:r>
              <w:t xml:space="preserve"> </w:t>
            </w:r>
            <w:proofErr w:type="spellStart"/>
            <w:r>
              <w:t>zalecenia</w:t>
            </w:r>
            <w:proofErr w:type="spellEnd"/>
            <w:r>
              <w:t xml:space="preserve"> i </w:t>
            </w:r>
            <w:proofErr w:type="spellStart"/>
            <w:r>
              <w:t>rekomendacje</w:t>
            </w:r>
            <w:proofErr w:type="spellEnd"/>
            <w:r>
              <w:t xml:space="preserve"> </w:t>
            </w:r>
            <w:proofErr w:type="spellStart"/>
            <w:r>
              <w:t>dotyczące</w:t>
            </w:r>
            <w:proofErr w:type="spellEnd"/>
            <w:r>
              <w:t xml:space="preserve"> </w:t>
            </w:r>
            <w:proofErr w:type="spellStart"/>
            <w:r>
              <w:t>wprowadzania</w:t>
            </w:r>
            <w:proofErr w:type="spellEnd"/>
            <w:r>
              <w:t xml:space="preserve"> </w:t>
            </w:r>
            <w:proofErr w:type="spellStart"/>
            <w:r>
              <w:t>określonych</w:t>
            </w:r>
            <w:proofErr w:type="spellEnd"/>
            <w:r>
              <w:t xml:space="preserve"> </w:t>
            </w:r>
            <w:proofErr w:type="spellStart"/>
            <w:r>
              <w:t>modyfikacji</w:t>
            </w:r>
            <w:proofErr w:type="spellEnd"/>
            <w:r>
              <w:t xml:space="preserve"> i </w:t>
            </w:r>
            <w:proofErr w:type="spellStart"/>
            <w:r>
              <w:t>zmian</w:t>
            </w:r>
            <w:proofErr w:type="spellEnd"/>
            <w:r>
              <w:t xml:space="preserve"> o </w:t>
            </w:r>
            <w:proofErr w:type="spellStart"/>
            <w:r>
              <w:t>charakterze</w:t>
            </w:r>
            <w:proofErr w:type="spellEnd"/>
            <w:r>
              <w:t xml:space="preserve"> </w:t>
            </w:r>
            <w:proofErr w:type="spellStart"/>
            <w:r>
              <w:t>szczegółowym</w:t>
            </w:r>
            <w:proofErr w:type="spellEnd"/>
            <w:r>
              <w:t xml:space="preserve">, </w:t>
            </w:r>
            <w:proofErr w:type="spellStart"/>
            <w:r>
              <w:t>które</w:t>
            </w:r>
            <w:proofErr w:type="spellEnd"/>
            <w:r>
              <w:t xml:space="preserve"> </w:t>
            </w:r>
            <w:proofErr w:type="spellStart"/>
            <w:r>
              <w:t>mają</w:t>
            </w:r>
            <w:proofErr w:type="spellEnd"/>
            <w:r>
              <w:t xml:space="preserve"> </w:t>
            </w:r>
            <w:proofErr w:type="spellStart"/>
            <w:r>
              <w:t>na</w:t>
            </w:r>
            <w:proofErr w:type="spellEnd"/>
            <w:r>
              <w:t xml:space="preserve"> </w:t>
            </w:r>
            <w:proofErr w:type="spellStart"/>
            <w:r>
              <w:t>celu</w:t>
            </w:r>
            <w:proofErr w:type="spellEnd"/>
            <w:r>
              <w:t xml:space="preserve"> </w:t>
            </w:r>
            <w:proofErr w:type="spellStart"/>
            <w:r>
              <w:t>usprawnienie</w:t>
            </w:r>
            <w:proofErr w:type="spellEnd"/>
            <w:r>
              <w:t xml:space="preserve"> </w:t>
            </w:r>
            <w:proofErr w:type="spellStart"/>
            <w:r>
              <w:t>realizacji</w:t>
            </w:r>
            <w:proofErr w:type="spellEnd"/>
            <w:r>
              <w:t xml:space="preserve"> </w:t>
            </w:r>
            <w:proofErr w:type="spellStart"/>
            <w:r>
              <w:t>programu</w:t>
            </w:r>
            <w:proofErr w:type="spellEnd"/>
            <w:r>
              <w:t xml:space="preserve"> </w:t>
            </w:r>
            <w:proofErr w:type="spellStart"/>
            <w:r>
              <w:t>wsparcia</w:t>
            </w:r>
            <w:proofErr w:type="spellEnd"/>
            <w:r>
              <w:t>).</w:t>
            </w:r>
          </w:p>
          <w:p w14:paraId="0076A340" w14:textId="77777777" w:rsidR="00932504" w:rsidRPr="006C5893" w:rsidRDefault="00932504" w:rsidP="0051119B">
            <w:pPr>
              <w:spacing w:before="0" w:after="0"/>
              <w:jc w:val="left"/>
              <w:rPr>
                <w:sz w:val="16"/>
                <w:szCs w:val="16"/>
                <w:lang w:val="fr-BE"/>
              </w:rPr>
            </w:pPr>
          </w:p>
        </w:tc>
      </w:tr>
      <w:tr w:rsidR="006B2EC1" w14:paraId="55F61CD7" w14:textId="77777777" w:rsidTr="00776DD9">
        <w:tc>
          <w:tcPr>
            <w:tcW w:w="0" w:type="auto"/>
            <w:shd w:val="clear" w:color="auto" w:fill="auto"/>
          </w:tcPr>
          <w:p w14:paraId="530ADF1D" w14:textId="77777777" w:rsidR="00932504" w:rsidRPr="006C5893" w:rsidRDefault="00E11D4E" w:rsidP="007D0631">
            <w:pPr>
              <w:spacing w:before="0" w:after="0"/>
              <w:jc w:val="left"/>
              <w:rPr>
                <w:sz w:val="16"/>
                <w:szCs w:val="16"/>
                <w:lang w:val="fr-BE"/>
              </w:rPr>
            </w:pPr>
            <w:r w:rsidRPr="006C5893">
              <w:rPr>
                <w:noProof/>
                <w:sz w:val="16"/>
                <w:szCs w:val="16"/>
                <w:lang w:val="fr-BE"/>
              </w:rPr>
              <w:lastRenderedPageBreak/>
              <w:t>Ewaluacja on-going systemu wdrażania i zarządzania RPOWŚ 2014-2020</w:t>
            </w:r>
          </w:p>
        </w:tc>
        <w:tc>
          <w:tcPr>
            <w:tcW w:w="0" w:type="auto"/>
            <w:shd w:val="clear" w:color="auto" w:fill="auto"/>
          </w:tcPr>
          <w:p w14:paraId="631E2A95" w14:textId="77777777" w:rsidR="00932504" w:rsidRPr="006C5893" w:rsidRDefault="00E70F05" w:rsidP="00E70F05">
            <w:pPr>
              <w:spacing w:before="0" w:after="0"/>
              <w:jc w:val="left"/>
              <w:rPr>
                <w:sz w:val="16"/>
                <w:szCs w:val="16"/>
                <w:lang w:val="fr-BE"/>
              </w:rPr>
            </w:pPr>
            <w:r w:rsidRPr="006C5893">
              <w:rPr>
                <w:noProof/>
                <w:sz w:val="16"/>
                <w:szCs w:val="16"/>
                <w:lang w:val="fr-BE"/>
              </w:rPr>
              <w:t>EFRR</w:t>
            </w:r>
          </w:p>
          <w:p w14:paraId="1754882C" w14:textId="77777777" w:rsidR="00932504" w:rsidRPr="006C5893" w:rsidRDefault="00E70F05" w:rsidP="00E70F05">
            <w:pPr>
              <w:spacing w:before="0" w:after="0"/>
              <w:jc w:val="left"/>
              <w:rPr>
                <w:sz w:val="16"/>
                <w:szCs w:val="16"/>
                <w:lang w:val="fr-BE"/>
              </w:rPr>
            </w:pPr>
            <w:r w:rsidRPr="006C5893">
              <w:rPr>
                <w:noProof/>
                <w:sz w:val="16"/>
                <w:szCs w:val="16"/>
                <w:lang w:val="fr-BE"/>
              </w:rPr>
              <w:t>EFS</w:t>
            </w:r>
          </w:p>
        </w:tc>
        <w:tc>
          <w:tcPr>
            <w:tcW w:w="0" w:type="auto"/>
            <w:shd w:val="clear" w:color="auto" w:fill="auto"/>
          </w:tcPr>
          <w:p w14:paraId="20F8C4FF" w14:textId="77777777" w:rsidR="00932504" w:rsidRPr="006C5893" w:rsidRDefault="0089499E" w:rsidP="007D0631">
            <w:pPr>
              <w:spacing w:before="0" w:after="0"/>
              <w:jc w:val="left"/>
              <w:rPr>
                <w:sz w:val="16"/>
                <w:szCs w:val="16"/>
                <w:lang w:val="fr-BE"/>
              </w:rPr>
            </w:pPr>
            <w:r w:rsidRPr="006C5893">
              <w:rPr>
                <w:noProof/>
                <w:sz w:val="16"/>
                <w:szCs w:val="16"/>
                <w:lang w:val="fr-BE"/>
              </w:rPr>
              <w:t>9</w:t>
            </w:r>
          </w:p>
        </w:tc>
        <w:tc>
          <w:tcPr>
            <w:tcW w:w="0" w:type="auto"/>
            <w:shd w:val="clear" w:color="auto" w:fill="auto"/>
          </w:tcPr>
          <w:p w14:paraId="02AA2948" w14:textId="77777777" w:rsidR="00932504" w:rsidRPr="006C5893" w:rsidRDefault="0089499E" w:rsidP="007D0631">
            <w:pPr>
              <w:spacing w:before="0" w:after="0"/>
              <w:jc w:val="left"/>
              <w:rPr>
                <w:sz w:val="16"/>
                <w:szCs w:val="16"/>
                <w:lang w:val="fr-BE"/>
              </w:rPr>
            </w:pPr>
            <w:r w:rsidRPr="006C5893">
              <w:rPr>
                <w:noProof/>
                <w:sz w:val="16"/>
                <w:szCs w:val="16"/>
                <w:lang w:val="fr-BE"/>
              </w:rPr>
              <w:t>2016</w:t>
            </w:r>
          </w:p>
        </w:tc>
        <w:tc>
          <w:tcPr>
            <w:tcW w:w="0" w:type="auto"/>
            <w:shd w:val="clear" w:color="auto" w:fill="auto"/>
          </w:tcPr>
          <w:p w14:paraId="54FE5CF0" w14:textId="77777777" w:rsidR="00932504" w:rsidRPr="006C5893" w:rsidRDefault="0089499E" w:rsidP="007D0631">
            <w:pPr>
              <w:spacing w:before="0" w:after="0"/>
              <w:jc w:val="left"/>
              <w:rPr>
                <w:sz w:val="16"/>
                <w:szCs w:val="16"/>
                <w:lang w:val="fr-BE"/>
              </w:rPr>
            </w:pPr>
            <w:r w:rsidRPr="006C5893">
              <w:rPr>
                <w:noProof/>
                <w:sz w:val="16"/>
                <w:szCs w:val="16"/>
                <w:lang w:val="fr-BE"/>
              </w:rPr>
              <w:t>12</w:t>
            </w:r>
          </w:p>
        </w:tc>
        <w:tc>
          <w:tcPr>
            <w:tcW w:w="0" w:type="auto"/>
            <w:shd w:val="clear" w:color="auto" w:fill="auto"/>
          </w:tcPr>
          <w:p w14:paraId="3D403C5B" w14:textId="77777777" w:rsidR="00932504" w:rsidRPr="006C5893" w:rsidRDefault="0089499E" w:rsidP="007D0631">
            <w:pPr>
              <w:spacing w:before="0" w:after="0"/>
              <w:jc w:val="left"/>
              <w:rPr>
                <w:sz w:val="16"/>
                <w:szCs w:val="16"/>
                <w:lang w:val="fr-BE"/>
              </w:rPr>
            </w:pPr>
            <w:r w:rsidRPr="006C5893">
              <w:rPr>
                <w:noProof/>
                <w:sz w:val="16"/>
                <w:szCs w:val="16"/>
                <w:lang w:val="fr-BE"/>
              </w:rPr>
              <w:t>2016</w:t>
            </w:r>
          </w:p>
        </w:tc>
        <w:tc>
          <w:tcPr>
            <w:tcW w:w="0" w:type="auto"/>
            <w:shd w:val="clear" w:color="auto" w:fill="auto"/>
          </w:tcPr>
          <w:p w14:paraId="64583F61" w14:textId="77777777" w:rsidR="00932504" w:rsidRPr="006C5893" w:rsidRDefault="00B126B3" w:rsidP="0051119B">
            <w:pPr>
              <w:spacing w:before="0" w:after="0"/>
              <w:jc w:val="left"/>
              <w:rPr>
                <w:sz w:val="16"/>
                <w:szCs w:val="16"/>
                <w:lang w:val="fr-BE"/>
              </w:rPr>
            </w:pPr>
            <w:r w:rsidRPr="006C5893">
              <w:rPr>
                <w:noProof/>
                <w:sz w:val="16"/>
                <w:szCs w:val="16"/>
                <w:lang w:val="fr-BE"/>
              </w:rPr>
              <w:t>Proces</w:t>
            </w:r>
          </w:p>
        </w:tc>
        <w:tc>
          <w:tcPr>
            <w:tcW w:w="0" w:type="auto"/>
            <w:shd w:val="clear" w:color="auto" w:fill="auto"/>
          </w:tcPr>
          <w:p w14:paraId="288461A7" w14:textId="77777777" w:rsidR="00932504" w:rsidRPr="006C5893" w:rsidRDefault="00092FD6" w:rsidP="00092FD6">
            <w:pPr>
              <w:spacing w:before="0" w:after="0"/>
              <w:jc w:val="left"/>
              <w:rPr>
                <w:sz w:val="16"/>
                <w:szCs w:val="16"/>
                <w:lang w:val="fr-BE"/>
              </w:rPr>
            </w:pPr>
            <w:r w:rsidRPr="006C5893">
              <w:rPr>
                <w:noProof/>
                <w:sz w:val="16"/>
                <w:szCs w:val="16"/>
                <w:lang w:val="fr-BE"/>
              </w:rPr>
              <w:t>01</w:t>
            </w:r>
          </w:p>
          <w:p w14:paraId="79A30F58" w14:textId="77777777" w:rsidR="00932504" w:rsidRPr="006C5893" w:rsidRDefault="00092FD6" w:rsidP="00092FD6">
            <w:pPr>
              <w:spacing w:before="0" w:after="0"/>
              <w:jc w:val="left"/>
              <w:rPr>
                <w:sz w:val="16"/>
                <w:szCs w:val="16"/>
                <w:lang w:val="fr-BE"/>
              </w:rPr>
            </w:pPr>
            <w:r w:rsidRPr="006C5893">
              <w:rPr>
                <w:noProof/>
                <w:sz w:val="16"/>
                <w:szCs w:val="16"/>
                <w:lang w:val="fr-BE"/>
              </w:rPr>
              <w:t>02</w:t>
            </w:r>
          </w:p>
          <w:p w14:paraId="7F908E56" w14:textId="77777777" w:rsidR="00932504" w:rsidRPr="006C5893" w:rsidRDefault="00092FD6" w:rsidP="00092FD6">
            <w:pPr>
              <w:spacing w:before="0" w:after="0"/>
              <w:jc w:val="left"/>
              <w:rPr>
                <w:sz w:val="16"/>
                <w:szCs w:val="16"/>
                <w:lang w:val="fr-BE"/>
              </w:rPr>
            </w:pPr>
            <w:r w:rsidRPr="006C5893">
              <w:rPr>
                <w:noProof/>
                <w:sz w:val="16"/>
                <w:szCs w:val="16"/>
                <w:lang w:val="fr-BE"/>
              </w:rPr>
              <w:t>03</w:t>
            </w:r>
          </w:p>
          <w:p w14:paraId="67B184AF" w14:textId="77777777" w:rsidR="00932504" w:rsidRPr="006C5893" w:rsidRDefault="00092FD6" w:rsidP="00092FD6">
            <w:pPr>
              <w:spacing w:before="0" w:after="0"/>
              <w:jc w:val="left"/>
              <w:rPr>
                <w:sz w:val="16"/>
                <w:szCs w:val="16"/>
                <w:lang w:val="fr-BE"/>
              </w:rPr>
            </w:pPr>
            <w:r w:rsidRPr="006C5893">
              <w:rPr>
                <w:noProof/>
                <w:sz w:val="16"/>
                <w:szCs w:val="16"/>
                <w:lang w:val="fr-BE"/>
              </w:rPr>
              <w:t>04</w:t>
            </w:r>
          </w:p>
          <w:p w14:paraId="203C08C4" w14:textId="77777777" w:rsidR="00932504" w:rsidRPr="006C5893" w:rsidRDefault="00092FD6" w:rsidP="00092FD6">
            <w:pPr>
              <w:spacing w:before="0" w:after="0"/>
              <w:jc w:val="left"/>
              <w:rPr>
                <w:sz w:val="16"/>
                <w:szCs w:val="16"/>
                <w:lang w:val="fr-BE"/>
              </w:rPr>
            </w:pPr>
            <w:r w:rsidRPr="006C5893">
              <w:rPr>
                <w:noProof/>
                <w:sz w:val="16"/>
                <w:szCs w:val="16"/>
                <w:lang w:val="fr-BE"/>
              </w:rPr>
              <w:t>05</w:t>
            </w:r>
          </w:p>
          <w:p w14:paraId="3A28FCDA" w14:textId="77777777" w:rsidR="00932504" w:rsidRPr="006C5893" w:rsidRDefault="00092FD6" w:rsidP="00092FD6">
            <w:pPr>
              <w:spacing w:before="0" w:after="0"/>
              <w:jc w:val="left"/>
              <w:rPr>
                <w:sz w:val="16"/>
                <w:szCs w:val="16"/>
                <w:lang w:val="fr-BE"/>
              </w:rPr>
            </w:pPr>
            <w:r w:rsidRPr="006C5893">
              <w:rPr>
                <w:noProof/>
                <w:sz w:val="16"/>
                <w:szCs w:val="16"/>
                <w:lang w:val="fr-BE"/>
              </w:rPr>
              <w:t>06</w:t>
            </w:r>
          </w:p>
          <w:p w14:paraId="51791322" w14:textId="77777777" w:rsidR="00932504" w:rsidRPr="006C5893" w:rsidRDefault="00092FD6" w:rsidP="00092FD6">
            <w:pPr>
              <w:spacing w:before="0" w:after="0"/>
              <w:jc w:val="left"/>
              <w:rPr>
                <w:sz w:val="16"/>
                <w:szCs w:val="16"/>
                <w:lang w:val="fr-BE"/>
              </w:rPr>
            </w:pPr>
            <w:r w:rsidRPr="006C5893">
              <w:rPr>
                <w:noProof/>
                <w:sz w:val="16"/>
                <w:szCs w:val="16"/>
                <w:lang w:val="fr-BE"/>
              </w:rPr>
              <w:t>07</w:t>
            </w:r>
          </w:p>
          <w:p w14:paraId="2CDFD452" w14:textId="77777777" w:rsidR="00932504" w:rsidRPr="006C5893" w:rsidRDefault="00092FD6" w:rsidP="00092FD6">
            <w:pPr>
              <w:spacing w:before="0" w:after="0"/>
              <w:jc w:val="left"/>
              <w:rPr>
                <w:sz w:val="16"/>
                <w:szCs w:val="16"/>
                <w:lang w:val="fr-BE"/>
              </w:rPr>
            </w:pPr>
            <w:r w:rsidRPr="006C5893">
              <w:rPr>
                <w:noProof/>
                <w:sz w:val="16"/>
                <w:szCs w:val="16"/>
                <w:lang w:val="fr-BE"/>
              </w:rPr>
              <w:t>08</w:t>
            </w:r>
          </w:p>
          <w:p w14:paraId="21E126E2" w14:textId="77777777" w:rsidR="00932504" w:rsidRPr="006C5893" w:rsidRDefault="00092FD6" w:rsidP="00092FD6">
            <w:pPr>
              <w:spacing w:before="0" w:after="0"/>
              <w:jc w:val="left"/>
              <w:rPr>
                <w:sz w:val="16"/>
                <w:szCs w:val="16"/>
                <w:lang w:val="fr-BE"/>
              </w:rPr>
            </w:pPr>
            <w:r w:rsidRPr="006C5893">
              <w:rPr>
                <w:noProof/>
                <w:sz w:val="16"/>
                <w:szCs w:val="16"/>
                <w:lang w:val="fr-BE"/>
              </w:rPr>
              <w:t>09</w:t>
            </w:r>
          </w:p>
          <w:p w14:paraId="559D5E74" w14:textId="77777777" w:rsidR="00932504" w:rsidRPr="006C5893" w:rsidRDefault="00092FD6" w:rsidP="00092FD6">
            <w:pPr>
              <w:spacing w:before="0" w:after="0"/>
              <w:jc w:val="left"/>
              <w:rPr>
                <w:sz w:val="16"/>
                <w:szCs w:val="16"/>
                <w:lang w:val="fr-BE"/>
              </w:rPr>
            </w:pPr>
            <w:r w:rsidRPr="006C5893">
              <w:rPr>
                <w:noProof/>
                <w:sz w:val="16"/>
                <w:szCs w:val="16"/>
                <w:lang w:val="fr-BE"/>
              </w:rPr>
              <w:t>10</w:t>
            </w:r>
          </w:p>
        </w:tc>
        <w:tc>
          <w:tcPr>
            <w:tcW w:w="0" w:type="auto"/>
            <w:shd w:val="clear" w:color="auto" w:fill="auto"/>
          </w:tcPr>
          <w:p w14:paraId="113D6461" w14:textId="77777777" w:rsidR="006B2EC1" w:rsidRDefault="00E82A60">
            <w:pPr>
              <w:spacing w:before="0" w:after="240"/>
              <w:jc w:val="left"/>
            </w:pPr>
            <w:proofErr w:type="spellStart"/>
            <w:r>
              <w:t>Celem</w:t>
            </w:r>
            <w:proofErr w:type="spellEnd"/>
            <w:r>
              <w:t xml:space="preserve"> </w:t>
            </w:r>
            <w:proofErr w:type="spellStart"/>
            <w:r>
              <w:t>głównym</w:t>
            </w:r>
            <w:proofErr w:type="spellEnd"/>
            <w:r>
              <w:t xml:space="preserve"> </w:t>
            </w:r>
            <w:proofErr w:type="spellStart"/>
            <w:r>
              <w:t>badania</w:t>
            </w:r>
            <w:proofErr w:type="spellEnd"/>
            <w:r>
              <w:t xml:space="preserve"> </w:t>
            </w:r>
            <w:proofErr w:type="spellStart"/>
            <w:r>
              <w:t>była</w:t>
            </w:r>
            <w:proofErr w:type="spellEnd"/>
            <w:r>
              <w:t xml:space="preserve"> </w:t>
            </w:r>
            <w:proofErr w:type="spellStart"/>
            <w:r>
              <w:t>ocena</w:t>
            </w:r>
            <w:proofErr w:type="spellEnd"/>
            <w:r>
              <w:t xml:space="preserve"> </w:t>
            </w:r>
            <w:proofErr w:type="spellStart"/>
            <w:r>
              <w:t>systemu</w:t>
            </w:r>
            <w:proofErr w:type="spellEnd"/>
            <w:r>
              <w:t xml:space="preserve"> </w:t>
            </w:r>
            <w:proofErr w:type="spellStart"/>
            <w:r>
              <w:t>zarządzania</w:t>
            </w:r>
            <w:proofErr w:type="spellEnd"/>
            <w:r>
              <w:t xml:space="preserve"> i </w:t>
            </w:r>
            <w:proofErr w:type="spellStart"/>
            <w:r>
              <w:t>wdrażania</w:t>
            </w:r>
            <w:proofErr w:type="spellEnd"/>
            <w:r>
              <w:t xml:space="preserve"> RPOWŚ </w:t>
            </w:r>
            <w:proofErr w:type="spellStart"/>
            <w:r>
              <w:t>na</w:t>
            </w:r>
            <w:proofErr w:type="spellEnd"/>
            <w:r>
              <w:t xml:space="preserve"> </w:t>
            </w:r>
            <w:proofErr w:type="spellStart"/>
            <w:r>
              <w:t>lata</w:t>
            </w:r>
            <w:proofErr w:type="spellEnd"/>
            <w:r>
              <w:t xml:space="preserve"> 2014-2020 pod </w:t>
            </w:r>
            <w:proofErr w:type="spellStart"/>
            <w:r>
              <w:t>kątem</w:t>
            </w:r>
            <w:proofErr w:type="spellEnd"/>
            <w:r>
              <w:t xml:space="preserve"> </w:t>
            </w:r>
            <w:proofErr w:type="spellStart"/>
            <w:r>
              <w:t>spełniania</w:t>
            </w:r>
            <w:proofErr w:type="spellEnd"/>
            <w:r>
              <w:t xml:space="preserve"> </w:t>
            </w:r>
            <w:proofErr w:type="spellStart"/>
            <w:r>
              <w:t>kryteriów</w:t>
            </w:r>
            <w:proofErr w:type="spellEnd"/>
            <w:r>
              <w:t xml:space="preserve"> </w:t>
            </w:r>
            <w:proofErr w:type="spellStart"/>
            <w:r>
              <w:t>ewaluacyjnych</w:t>
            </w:r>
            <w:proofErr w:type="spellEnd"/>
            <w:r>
              <w:t xml:space="preserve">: </w:t>
            </w:r>
            <w:proofErr w:type="spellStart"/>
            <w:r>
              <w:t>trafności</w:t>
            </w:r>
            <w:proofErr w:type="spellEnd"/>
            <w:r>
              <w:t xml:space="preserve"> </w:t>
            </w:r>
            <w:proofErr w:type="spellStart"/>
            <w:r>
              <w:t>przyjętych</w:t>
            </w:r>
            <w:proofErr w:type="spellEnd"/>
            <w:r>
              <w:t xml:space="preserve"> </w:t>
            </w:r>
            <w:proofErr w:type="spellStart"/>
            <w:r>
              <w:t>rozwiązań</w:t>
            </w:r>
            <w:proofErr w:type="spellEnd"/>
            <w:r>
              <w:t xml:space="preserve"> </w:t>
            </w:r>
            <w:proofErr w:type="spellStart"/>
            <w:r>
              <w:t>instytucjonalnych</w:t>
            </w:r>
            <w:proofErr w:type="spellEnd"/>
            <w:r>
              <w:t> i </w:t>
            </w:r>
            <w:proofErr w:type="spellStart"/>
            <w:r>
              <w:t>organizacyjnych</w:t>
            </w:r>
            <w:proofErr w:type="spellEnd"/>
            <w:r>
              <w:t xml:space="preserve"> w </w:t>
            </w:r>
            <w:proofErr w:type="spellStart"/>
            <w:r>
              <w:t>instytucjach</w:t>
            </w:r>
            <w:proofErr w:type="spellEnd"/>
            <w:r>
              <w:rPr>
                <w:i/>
                <w:iCs/>
              </w:rPr>
              <w:t xml:space="preserve"> </w:t>
            </w:r>
            <w:proofErr w:type="spellStart"/>
            <w:r>
              <w:t>zaangażowanych</w:t>
            </w:r>
            <w:proofErr w:type="spellEnd"/>
            <w:r>
              <w:t xml:space="preserve"> w </w:t>
            </w:r>
            <w:proofErr w:type="spellStart"/>
            <w:r>
              <w:t>proces</w:t>
            </w:r>
            <w:proofErr w:type="spellEnd"/>
            <w:r>
              <w:t xml:space="preserve"> </w:t>
            </w:r>
            <w:proofErr w:type="spellStart"/>
            <w:r>
              <w:t>zarządzania</w:t>
            </w:r>
            <w:proofErr w:type="spellEnd"/>
            <w:r>
              <w:t xml:space="preserve"> i </w:t>
            </w:r>
            <w:proofErr w:type="spellStart"/>
            <w:r>
              <w:t>wdrażania</w:t>
            </w:r>
            <w:proofErr w:type="spellEnd"/>
            <w:r>
              <w:t xml:space="preserve"> RPOWŚ; </w:t>
            </w:r>
            <w:proofErr w:type="spellStart"/>
            <w:r>
              <w:t>użyteczności</w:t>
            </w:r>
            <w:proofErr w:type="spellEnd"/>
            <w:r>
              <w:t xml:space="preserve"> </w:t>
            </w:r>
            <w:proofErr w:type="spellStart"/>
            <w:r>
              <w:t>stosowanych</w:t>
            </w:r>
            <w:proofErr w:type="spellEnd"/>
            <w:r>
              <w:t xml:space="preserve"> </w:t>
            </w:r>
            <w:proofErr w:type="spellStart"/>
            <w:r>
              <w:t>procedur</w:t>
            </w:r>
            <w:proofErr w:type="spellEnd"/>
            <w:r>
              <w:t xml:space="preserve"> w </w:t>
            </w:r>
            <w:proofErr w:type="spellStart"/>
            <w:r>
              <w:t>procesie</w:t>
            </w:r>
            <w:proofErr w:type="spellEnd"/>
            <w:r>
              <w:t xml:space="preserve"> </w:t>
            </w:r>
            <w:proofErr w:type="spellStart"/>
            <w:r>
              <w:t>zarządzania</w:t>
            </w:r>
            <w:proofErr w:type="spellEnd"/>
            <w:r>
              <w:t xml:space="preserve"> i </w:t>
            </w:r>
            <w:proofErr w:type="spellStart"/>
            <w:r>
              <w:t>wdrażania</w:t>
            </w:r>
            <w:proofErr w:type="spellEnd"/>
            <w:r>
              <w:t xml:space="preserve"> RPOWŚ </w:t>
            </w:r>
            <w:proofErr w:type="spellStart"/>
            <w:r>
              <w:t>oraz</w:t>
            </w:r>
            <w:proofErr w:type="spellEnd"/>
            <w:r>
              <w:t xml:space="preserve"> </w:t>
            </w:r>
            <w:proofErr w:type="spellStart"/>
            <w:r>
              <w:t>skuteczności</w:t>
            </w:r>
            <w:proofErr w:type="spellEnd"/>
            <w:r>
              <w:t xml:space="preserve"> </w:t>
            </w:r>
            <w:proofErr w:type="spellStart"/>
            <w:r>
              <w:t>procesu</w:t>
            </w:r>
            <w:proofErr w:type="spellEnd"/>
            <w:r>
              <w:t xml:space="preserve"> </w:t>
            </w:r>
            <w:proofErr w:type="spellStart"/>
            <w:r>
              <w:t>komunikacji</w:t>
            </w:r>
            <w:proofErr w:type="spellEnd"/>
            <w:r>
              <w:t xml:space="preserve"> i </w:t>
            </w:r>
            <w:proofErr w:type="spellStart"/>
            <w:r>
              <w:t>współpracy</w:t>
            </w:r>
            <w:proofErr w:type="spellEnd"/>
            <w:r>
              <w:t xml:space="preserve"> </w:t>
            </w:r>
            <w:proofErr w:type="spellStart"/>
            <w:r>
              <w:t>jednostek</w:t>
            </w:r>
            <w:proofErr w:type="spellEnd"/>
            <w:r>
              <w:t xml:space="preserve"> </w:t>
            </w:r>
            <w:proofErr w:type="spellStart"/>
            <w:r>
              <w:t>oraz</w:t>
            </w:r>
            <w:proofErr w:type="spellEnd"/>
            <w:r>
              <w:t xml:space="preserve"> </w:t>
            </w:r>
            <w:proofErr w:type="spellStart"/>
            <w:r>
              <w:t>osób</w:t>
            </w:r>
            <w:proofErr w:type="spellEnd"/>
            <w:r>
              <w:t xml:space="preserve"> </w:t>
            </w:r>
            <w:proofErr w:type="spellStart"/>
            <w:r>
              <w:t>zaangażowanych</w:t>
            </w:r>
            <w:proofErr w:type="spellEnd"/>
            <w:r>
              <w:t xml:space="preserve"> we</w:t>
            </w:r>
            <w:r>
              <w:rPr>
                <w:i/>
                <w:iCs/>
              </w:rPr>
              <w:t xml:space="preserve"> </w:t>
            </w:r>
            <w:proofErr w:type="spellStart"/>
            <w:r>
              <w:t>wdrażanie</w:t>
            </w:r>
            <w:proofErr w:type="spellEnd"/>
            <w:r>
              <w:t xml:space="preserve"> RPOWŚ</w:t>
            </w:r>
          </w:p>
          <w:p w14:paraId="7B40A7B7" w14:textId="77777777" w:rsidR="006B2EC1" w:rsidRDefault="00E82A60">
            <w:pPr>
              <w:spacing w:before="240" w:after="240"/>
              <w:jc w:val="left"/>
            </w:pPr>
            <w:r>
              <w:t> </w:t>
            </w:r>
          </w:p>
          <w:p w14:paraId="7A6F0672" w14:textId="77777777" w:rsidR="00932504" w:rsidRPr="006C5893" w:rsidRDefault="00932504" w:rsidP="0051119B">
            <w:pPr>
              <w:spacing w:before="0" w:after="0"/>
              <w:jc w:val="left"/>
              <w:rPr>
                <w:sz w:val="16"/>
                <w:szCs w:val="16"/>
                <w:lang w:val="fr-BE"/>
              </w:rPr>
            </w:pPr>
          </w:p>
        </w:tc>
        <w:tc>
          <w:tcPr>
            <w:tcW w:w="0" w:type="auto"/>
            <w:shd w:val="clear" w:color="auto" w:fill="auto"/>
          </w:tcPr>
          <w:p w14:paraId="10574412" w14:textId="77777777" w:rsidR="006B2EC1" w:rsidRDefault="00E82A60">
            <w:pPr>
              <w:spacing w:before="0" w:after="240"/>
              <w:jc w:val="left"/>
            </w:pPr>
            <w:r>
              <w:t xml:space="preserve">W </w:t>
            </w:r>
            <w:proofErr w:type="spellStart"/>
            <w:r>
              <w:t>wyniku</w:t>
            </w:r>
            <w:proofErr w:type="spellEnd"/>
            <w:r>
              <w:t xml:space="preserve"> </w:t>
            </w:r>
            <w:proofErr w:type="spellStart"/>
            <w:r>
              <w:t>przeprowadzonej</w:t>
            </w:r>
            <w:proofErr w:type="spellEnd"/>
            <w:r>
              <w:t xml:space="preserve"> </w:t>
            </w:r>
            <w:proofErr w:type="spellStart"/>
            <w:r>
              <w:t>ewaluacji</w:t>
            </w:r>
            <w:proofErr w:type="spellEnd"/>
            <w:r>
              <w:t xml:space="preserve"> </w:t>
            </w:r>
            <w:proofErr w:type="spellStart"/>
            <w:r>
              <w:t>stwierdzono</w:t>
            </w:r>
            <w:proofErr w:type="spellEnd"/>
            <w:r>
              <w:t xml:space="preserve">, </w:t>
            </w:r>
            <w:proofErr w:type="spellStart"/>
            <w:r>
              <w:t>że</w:t>
            </w:r>
            <w:proofErr w:type="spellEnd"/>
            <w:r>
              <w:t xml:space="preserve"> </w:t>
            </w:r>
            <w:proofErr w:type="spellStart"/>
            <w:r>
              <w:t>ocena</w:t>
            </w:r>
            <w:proofErr w:type="spellEnd"/>
            <w:r>
              <w:t xml:space="preserve"> </w:t>
            </w:r>
            <w:proofErr w:type="spellStart"/>
            <w:r>
              <w:t>systemu</w:t>
            </w:r>
            <w:proofErr w:type="spellEnd"/>
            <w:r>
              <w:t xml:space="preserve"> </w:t>
            </w:r>
            <w:proofErr w:type="spellStart"/>
            <w:r>
              <w:t>wdrażania</w:t>
            </w:r>
            <w:proofErr w:type="spellEnd"/>
            <w:r>
              <w:t xml:space="preserve"> i </w:t>
            </w:r>
            <w:proofErr w:type="spellStart"/>
            <w:r>
              <w:t>zarządzania</w:t>
            </w:r>
            <w:proofErr w:type="spellEnd"/>
            <w:r>
              <w:t xml:space="preserve">, </w:t>
            </w:r>
            <w:proofErr w:type="spellStart"/>
            <w:r>
              <w:t>kontroli</w:t>
            </w:r>
            <w:proofErr w:type="spellEnd"/>
            <w:r>
              <w:t xml:space="preserve"> </w:t>
            </w:r>
            <w:proofErr w:type="spellStart"/>
            <w:r>
              <w:t>oraz</w:t>
            </w:r>
            <w:proofErr w:type="spellEnd"/>
            <w:r>
              <w:t xml:space="preserve"> </w:t>
            </w:r>
            <w:proofErr w:type="spellStart"/>
            <w:r>
              <w:t>certyfikacji</w:t>
            </w:r>
            <w:proofErr w:type="spellEnd"/>
            <w:r>
              <w:t xml:space="preserve"> RPOWŚ 2014-2020 jest </w:t>
            </w:r>
            <w:proofErr w:type="spellStart"/>
            <w:r>
              <w:t>pozytywna</w:t>
            </w:r>
            <w:proofErr w:type="spellEnd"/>
            <w:r>
              <w:t xml:space="preserve"> pod </w:t>
            </w:r>
            <w:proofErr w:type="spellStart"/>
            <w:r>
              <w:t>względem</w:t>
            </w:r>
            <w:proofErr w:type="spellEnd"/>
            <w:r>
              <w:t xml:space="preserve"> </w:t>
            </w:r>
            <w:proofErr w:type="spellStart"/>
            <w:r>
              <w:t>jego</w:t>
            </w:r>
            <w:proofErr w:type="spellEnd"/>
            <w:r>
              <w:t xml:space="preserve"> </w:t>
            </w:r>
            <w:proofErr w:type="spellStart"/>
            <w:r>
              <w:t>efektywności</w:t>
            </w:r>
            <w:proofErr w:type="spellEnd"/>
            <w:r>
              <w:t xml:space="preserve"> i </w:t>
            </w:r>
            <w:proofErr w:type="spellStart"/>
            <w:r>
              <w:t>skuteczności</w:t>
            </w:r>
            <w:proofErr w:type="spellEnd"/>
            <w:r>
              <w:t xml:space="preserve">. System </w:t>
            </w:r>
            <w:proofErr w:type="spellStart"/>
            <w:r>
              <w:t>został</w:t>
            </w:r>
            <w:proofErr w:type="spellEnd"/>
            <w:r>
              <w:t xml:space="preserve"> </w:t>
            </w:r>
            <w:proofErr w:type="spellStart"/>
            <w:r>
              <w:t>skonstruowany</w:t>
            </w:r>
            <w:proofErr w:type="spellEnd"/>
            <w:r>
              <w:t xml:space="preserve"> </w:t>
            </w:r>
            <w:proofErr w:type="spellStart"/>
            <w:r>
              <w:t>odpowiednio</w:t>
            </w:r>
            <w:proofErr w:type="spellEnd"/>
            <w:r>
              <w:t xml:space="preserve"> do </w:t>
            </w:r>
            <w:proofErr w:type="spellStart"/>
            <w:r>
              <w:t>potrzeb</w:t>
            </w:r>
            <w:proofErr w:type="spellEnd"/>
            <w:r>
              <w:t xml:space="preserve"> </w:t>
            </w:r>
            <w:proofErr w:type="spellStart"/>
            <w:r>
              <w:t>wynikających</w:t>
            </w:r>
            <w:proofErr w:type="spellEnd"/>
            <w:r>
              <w:t xml:space="preserve"> z </w:t>
            </w:r>
            <w:proofErr w:type="spellStart"/>
            <w:r>
              <w:t>realizacji</w:t>
            </w:r>
            <w:proofErr w:type="spellEnd"/>
            <w:r>
              <w:t xml:space="preserve"> </w:t>
            </w:r>
            <w:proofErr w:type="spellStart"/>
            <w:r>
              <w:t>Programu</w:t>
            </w:r>
            <w:proofErr w:type="spellEnd"/>
            <w:r>
              <w:t xml:space="preserve"> i </w:t>
            </w:r>
            <w:proofErr w:type="spellStart"/>
            <w:r>
              <w:t>pozwala</w:t>
            </w:r>
            <w:proofErr w:type="spellEnd"/>
            <w:r>
              <w:t xml:space="preserve"> </w:t>
            </w:r>
            <w:proofErr w:type="spellStart"/>
            <w:r>
              <w:t>na</w:t>
            </w:r>
            <w:proofErr w:type="spellEnd"/>
            <w:r>
              <w:t xml:space="preserve"> </w:t>
            </w:r>
            <w:proofErr w:type="spellStart"/>
            <w:r>
              <w:t>efektywną</w:t>
            </w:r>
            <w:proofErr w:type="spellEnd"/>
            <w:r>
              <w:t xml:space="preserve"> </w:t>
            </w:r>
            <w:proofErr w:type="spellStart"/>
            <w:r>
              <w:t>realizację</w:t>
            </w:r>
            <w:proofErr w:type="spellEnd"/>
            <w:r>
              <w:t xml:space="preserve"> </w:t>
            </w:r>
            <w:proofErr w:type="spellStart"/>
            <w:r>
              <w:t>jego</w:t>
            </w:r>
            <w:proofErr w:type="spellEnd"/>
            <w:r>
              <w:t xml:space="preserve"> </w:t>
            </w:r>
            <w:proofErr w:type="spellStart"/>
            <w:r>
              <w:t>celów</w:t>
            </w:r>
            <w:proofErr w:type="spellEnd"/>
            <w:r>
              <w:t>.</w:t>
            </w:r>
          </w:p>
          <w:p w14:paraId="7EDB155E" w14:textId="77777777" w:rsidR="006B2EC1" w:rsidRDefault="00E82A60">
            <w:pPr>
              <w:spacing w:before="240" w:after="240"/>
              <w:jc w:val="left"/>
            </w:pPr>
            <w:r>
              <w:t xml:space="preserve">W </w:t>
            </w:r>
            <w:proofErr w:type="spellStart"/>
            <w:r>
              <w:t>obszarze</w:t>
            </w:r>
            <w:proofErr w:type="spellEnd"/>
            <w:r>
              <w:t xml:space="preserve"> </w:t>
            </w:r>
            <w:proofErr w:type="spellStart"/>
            <w:r>
              <w:t>dotyczącym</w:t>
            </w:r>
            <w:proofErr w:type="spellEnd"/>
            <w:r>
              <w:t xml:space="preserve"> </w:t>
            </w:r>
            <w:proofErr w:type="spellStart"/>
            <w:r>
              <w:rPr>
                <w:i/>
                <w:iCs/>
              </w:rPr>
              <w:t>Oceny</w:t>
            </w:r>
            <w:proofErr w:type="spellEnd"/>
            <w:r>
              <w:rPr>
                <w:i/>
                <w:iCs/>
              </w:rPr>
              <w:t xml:space="preserve"> </w:t>
            </w:r>
            <w:proofErr w:type="spellStart"/>
            <w:r>
              <w:rPr>
                <w:i/>
                <w:iCs/>
              </w:rPr>
              <w:t>organizacji</w:t>
            </w:r>
            <w:proofErr w:type="spellEnd"/>
            <w:r>
              <w:rPr>
                <w:i/>
                <w:iCs/>
              </w:rPr>
              <w:t xml:space="preserve"> </w:t>
            </w:r>
            <w:proofErr w:type="spellStart"/>
            <w:r>
              <w:rPr>
                <w:i/>
                <w:iCs/>
              </w:rPr>
              <w:t>pracy</w:t>
            </w:r>
            <w:proofErr w:type="spellEnd"/>
            <w:r>
              <w:rPr>
                <w:i/>
                <w:iCs/>
              </w:rPr>
              <w:t xml:space="preserve"> </w:t>
            </w:r>
            <w:proofErr w:type="spellStart"/>
            <w:r>
              <w:t>stwierdzono</w:t>
            </w:r>
            <w:proofErr w:type="spellEnd"/>
            <w:r>
              <w:t xml:space="preserve">, </w:t>
            </w:r>
            <w:proofErr w:type="spellStart"/>
            <w:r>
              <w:t>że</w:t>
            </w:r>
            <w:proofErr w:type="spellEnd"/>
            <w:r>
              <w:t xml:space="preserve"> </w:t>
            </w:r>
            <w:proofErr w:type="spellStart"/>
            <w:r>
              <w:t>podział</w:t>
            </w:r>
            <w:proofErr w:type="spellEnd"/>
            <w:r>
              <w:t xml:space="preserve"> </w:t>
            </w:r>
            <w:proofErr w:type="spellStart"/>
            <w:r>
              <w:t>kompetencji</w:t>
            </w:r>
            <w:proofErr w:type="spellEnd"/>
            <w:r>
              <w:t xml:space="preserve"> </w:t>
            </w:r>
            <w:proofErr w:type="spellStart"/>
            <w:r>
              <w:t>pomiędzy</w:t>
            </w:r>
            <w:proofErr w:type="spellEnd"/>
            <w:r>
              <w:t xml:space="preserve"> </w:t>
            </w:r>
            <w:proofErr w:type="spellStart"/>
            <w:r>
              <w:t>poszczególnymi</w:t>
            </w:r>
            <w:proofErr w:type="spellEnd"/>
            <w:r>
              <w:t xml:space="preserve"> </w:t>
            </w:r>
            <w:proofErr w:type="spellStart"/>
            <w:r>
              <w:t>Instytucjami</w:t>
            </w:r>
            <w:proofErr w:type="spellEnd"/>
            <w:r>
              <w:t xml:space="preserve"> </w:t>
            </w:r>
            <w:proofErr w:type="spellStart"/>
            <w:r>
              <w:t>oraz</w:t>
            </w:r>
            <w:proofErr w:type="spellEnd"/>
            <w:r>
              <w:t xml:space="preserve"> </w:t>
            </w:r>
            <w:proofErr w:type="spellStart"/>
            <w:r>
              <w:t>poszczególnych</w:t>
            </w:r>
            <w:proofErr w:type="spellEnd"/>
            <w:r>
              <w:t xml:space="preserve"> </w:t>
            </w:r>
            <w:proofErr w:type="spellStart"/>
            <w:r>
              <w:t>Departamentach</w:t>
            </w:r>
            <w:proofErr w:type="spellEnd"/>
            <w:r>
              <w:t>/</w:t>
            </w:r>
            <w:proofErr w:type="spellStart"/>
            <w:r>
              <w:t>Wydziałach</w:t>
            </w:r>
            <w:proofErr w:type="spellEnd"/>
            <w:r>
              <w:t xml:space="preserve"> (IZ i IP) jest </w:t>
            </w:r>
            <w:proofErr w:type="spellStart"/>
            <w:r>
              <w:t>właściwy</w:t>
            </w:r>
            <w:proofErr w:type="spellEnd"/>
            <w:r>
              <w:t xml:space="preserve"> i </w:t>
            </w:r>
            <w:proofErr w:type="spellStart"/>
            <w:r>
              <w:t>zgodny</w:t>
            </w:r>
            <w:proofErr w:type="spellEnd"/>
            <w:r>
              <w:t xml:space="preserve"> z </w:t>
            </w:r>
            <w:proofErr w:type="spellStart"/>
            <w:r>
              <w:t>obowiązującymi</w:t>
            </w:r>
            <w:proofErr w:type="spellEnd"/>
            <w:r>
              <w:t xml:space="preserve"> </w:t>
            </w:r>
            <w:proofErr w:type="spellStart"/>
            <w:r>
              <w:t>wytycznymi</w:t>
            </w:r>
            <w:proofErr w:type="spellEnd"/>
            <w:r>
              <w:t xml:space="preserve"> </w:t>
            </w:r>
            <w:proofErr w:type="spellStart"/>
            <w:r>
              <w:t>na</w:t>
            </w:r>
            <w:proofErr w:type="spellEnd"/>
            <w:r>
              <w:t xml:space="preserve"> </w:t>
            </w:r>
            <w:proofErr w:type="spellStart"/>
            <w:r>
              <w:t>poziomie</w:t>
            </w:r>
            <w:proofErr w:type="spellEnd"/>
            <w:r>
              <w:t xml:space="preserve"> </w:t>
            </w:r>
            <w:proofErr w:type="spellStart"/>
            <w:r>
              <w:t>krajowym</w:t>
            </w:r>
            <w:proofErr w:type="spellEnd"/>
            <w:r>
              <w:t xml:space="preserve"> i </w:t>
            </w:r>
            <w:proofErr w:type="spellStart"/>
            <w:r>
              <w:t>europejskim</w:t>
            </w:r>
            <w:proofErr w:type="spellEnd"/>
            <w:r>
              <w:t>.</w:t>
            </w:r>
          </w:p>
          <w:p w14:paraId="35CFA525" w14:textId="77777777" w:rsidR="006B2EC1" w:rsidRDefault="00E82A60">
            <w:pPr>
              <w:spacing w:before="240" w:after="240"/>
              <w:jc w:val="left"/>
            </w:pPr>
            <w:r>
              <w:lastRenderedPageBreak/>
              <w:t xml:space="preserve">W </w:t>
            </w:r>
            <w:proofErr w:type="spellStart"/>
            <w:r>
              <w:t>obszarze</w:t>
            </w:r>
            <w:proofErr w:type="spellEnd"/>
            <w:r>
              <w:t xml:space="preserve">: </w:t>
            </w:r>
            <w:proofErr w:type="spellStart"/>
            <w:r>
              <w:rPr>
                <w:i/>
                <w:iCs/>
              </w:rPr>
              <w:t>Ocena</w:t>
            </w:r>
            <w:proofErr w:type="spellEnd"/>
            <w:r>
              <w:rPr>
                <w:i/>
                <w:iCs/>
              </w:rPr>
              <w:t xml:space="preserve"> </w:t>
            </w:r>
            <w:proofErr w:type="spellStart"/>
            <w:r>
              <w:rPr>
                <w:i/>
                <w:iCs/>
              </w:rPr>
              <w:t>procedur</w:t>
            </w:r>
            <w:proofErr w:type="spellEnd"/>
            <w:r>
              <w:rPr>
                <w:i/>
                <w:iCs/>
              </w:rPr>
              <w:t xml:space="preserve">  dot. </w:t>
            </w:r>
            <w:proofErr w:type="spellStart"/>
            <w:r>
              <w:rPr>
                <w:i/>
                <w:iCs/>
              </w:rPr>
              <w:t>zarządzania</w:t>
            </w:r>
            <w:proofErr w:type="spellEnd"/>
            <w:r>
              <w:rPr>
                <w:i/>
                <w:iCs/>
              </w:rPr>
              <w:t xml:space="preserve">, </w:t>
            </w:r>
            <w:proofErr w:type="spellStart"/>
            <w:r>
              <w:rPr>
                <w:i/>
                <w:iCs/>
              </w:rPr>
              <w:t>wdrażania</w:t>
            </w:r>
            <w:proofErr w:type="spellEnd"/>
            <w:r>
              <w:rPr>
                <w:i/>
                <w:iCs/>
              </w:rPr>
              <w:t xml:space="preserve"> i </w:t>
            </w:r>
            <w:proofErr w:type="spellStart"/>
            <w:r>
              <w:rPr>
                <w:i/>
                <w:iCs/>
              </w:rPr>
              <w:t>kontroli</w:t>
            </w:r>
            <w:proofErr w:type="spellEnd"/>
            <w:r>
              <w:rPr>
                <w:i/>
                <w:iCs/>
              </w:rPr>
              <w:t xml:space="preserve"> </w:t>
            </w:r>
            <w:proofErr w:type="spellStart"/>
            <w:r>
              <w:rPr>
                <w:i/>
                <w:iCs/>
              </w:rPr>
              <w:t>oraz</w:t>
            </w:r>
            <w:proofErr w:type="spellEnd"/>
            <w:r>
              <w:rPr>
                <w:i/>
                <w:iCs/>
              </w:rPr>
              <w:t xml:space="preserve"> </w:t>
            </w:r>
            <w:proofErr w:type="spellStart"/>
            <w:r>
              <w:rPr>
                <w:i/>
                <w:iCs/>
              </w:rPr>
              <w:t>certyfikacji</w:t>
            </w:r>
            <w:proofErr w:type="spellEnd"/>
            <w:r>
              <w:rPr>
                <w:i/>
                <w:iCs/>
              </w:rPr>
              <w:t xml:space="preserve"> RPOWŚ</w:t>
            </w:r>
            <w:r>
              <w:t xml:space="preserve"> </w:t>
            </w:r>
            <w:proofErr w:type="spellStart"/>
            <w:r>
              <w:t>analizy</w:t>
            </w:r>
            <w:proofErr w:type="spellEnd"/>
            <w:r>
              <w:t xml:space="preserve"> </w:t>
            </w:r>
            <w:proofErr w:type="spellStart"/>
            <w:r>
              <w:t>pozwoliły</w:t>
            </w:r>
            <w:proofErr w:type="spellEnd"/>
            <w:r>
              <w:t xml:space="preserve"> </w:t>
            </w:r>
            <w:proofErr w:type="spellStart"/>
            <w:r>
              <w:t>stwierdzić</w:t>
            </w:r>
            <w:proofErr w:type="spellEnd"/>
            <w:r>
              <w:t xml:space="preserve">, </w:t>
            </w:r>
            <w:proofErr w:type="spellStart"/>
            <w:r>
              <w:t>że</w:t>
            </w:r>
            <w:proofErr w:type="spellEnd"/>
            <w:r>
              <w:t xml:space="preserve"> </w:t>
            </w:r>
            <w:proofErr w:type="spellStart"/>
            <w:r>
              <w:t>obowiązujące</w:t>
            </w:r>
            <w:proofErr w:type="spellEnd"/>
            <w:r>
              <w:t xml:space="preserve"> </w:t>
            </w:r>
            <w:proofErr w:type="spellStart"/>
            <w:r>
              <w:t>procedury</w:t>
            </w:r>
            <w:proofErr w:type="spellEnd"/>
            <w:r>
              <w:t xml:space="preserve"> i </w:t>
            </w:r>
            <w:proofErr w:type="spellStart"/>
            <w:r>
              <w:t>instrukcje</w:t>
            </w:r>
            <w:proofErr w:type="spellEnd"/>
            <w:r>
              <w:t xml:space="preserve"> </w:t>
            </w:r>
            <w:proofErr w:type="spellStart"/>
            <w:r>
              <w:t>są</w:t>
            </w:r>
            <w:proofErr w:type="spellEnd"/>
            <w:r>
              <w:t xml:space="preserve"> </w:t>
            </w:r>
            <w:proofErr w:type="spellStart"/>
            <w:r>
              <w:t>właściwe</w:t>
            </w:r>
            <w:proofErr w:type="spellEnd"/>
            <w:r>
              <w:t xml:space="preserve">, </w:t>
            </w:r>
            <w:proofErr w:type="spellStart"/>
            <w:r>
              <w:t>jasne</w:t>
            </w:r>
            <w:proofErr w:type="spellEnd"/>
            <w:r>
              <w:t xml:space="preserve"> </w:t>
            </w:r>
            <w:proofErr w:type="spellStart"/>
            <w:r>
              <w:t>dla</w:t>
            </w:r>
            <w:proofErr w:type="spellEnd"/>
            <w:r>
              <w:t xml:space="preserve"> </w:t>
            </w:r>
            <w:proofErr w:type="spellStart"/>
            <w:r>
              <w:t>pracowników</w:t>
            </w:r>
            <w:proofErr w:type="spellEnd"/>
            <w:r>
              <w:t xml:space="preserve"> i </w:t>
            </w:r>
            <w:proofErr w:type="spellStart"/>
            <w:r>
              <w:t>zapewniają</w:t>
            </w:r>
            <w:proofErr w:type="spellEnd"/>
            <w:r>
              <w:t xml:space="preserve"> </w:t>
            </w:r>
            <w:proofErr w:type="spellStart"/>
            <w:r>
              <w:t>sprawną</w:t>
            </w:r>
            <w:proofErr w:type="spellEnd"/>
            <w:r>
              <w:t xml:space="preserve"> </w:t>
            </w:r>
            <w:proofErr w:type="spellStart"/>
            <w:r>
              <w:t>realizację</w:t>
            </w:r>
            <w:proofErr w:type="spellEnd"/>
            <w:r>
              <w:t xml:space="preserve"> </w:t>
            </w:r>
            <w:proofErr w:type="spellStart"/>
            <w:r>
              <w:t>Programu</w:t>
            </w:r>
            <w:proofErr w:type="spellEnd"/>
            <w:r>
              <w:t>.</w:t>
            </w:r>
          </w:p>
          <w:p w14:paraId="79FF48CA" w14:textId="77777777" w:rsidR="006B2EC1" w:rsidRDefault="00E82A60">
            <w:pPr>
              <w:spacing w:before="240" w:after="240"/>
              <w:jc w:val="left"/>
            </w:pPr>
            <w:r>
              <w:t xml:space="preserve">W </w:t>
            </w:r>
            <w:proofErr w:type="spellStart"/>
            <w:r>
              <w:t>obszarze</w:t>
            </w:r>
            <w:proofErr w:type="spellEnd"/>
            <w:r>
              <w:t xml:space="preserve">: </w:t>
            </w:r>
            <w:proofErr w:type="spellStart"/>
            <w:r>
              <w:rPr>
                <w:i/>
                <w:iCs/>
              </w:rPr>
              <w:t>Ocena</w:t>
            </w:r>
            <w:proofErr w:type="spellEnd"/>
            <w:r>
              <w:rPr>
                <w:i/>
                <w:iCs/>
              </w:rPr>
              <w:t xml:space="preserve"> </w:t>
            </w:r>
            <w:proofErr w:type="spellStart"/>
            <w:r>
              <w:rPr>
                <w:i/>
                <w:iCs/>
              </w:rPr>
              <w:t>potencjału</w:t>
            </w:r>
            <w:proofErr w:type="spellEnd"/>
            <w:r>
              <w:rPr>
                <w:i/>
                <w:iCs/>
              </w:rPr>
              <w:t xml:space="preserve"> </w:t>
            </w:r>
            <w:proofErr w:type="spellStart"/>
            <w:r>
              <w:rPr>
                <w:i/>
                <w:iCs/>
              </w:rPr>
              <w:t>kadrowego</w:t>
            </w:r>
            <w:proofErr w:type="spellEnd"/>
            <w:r>
              <w:rPr>
                <w:i/>
                <w:iCs/>
              </w:rPr>
              <w:t xml:space="preserve"> </w:t>
            </w:r>
            <w:proofErr w:type="spellStart"/>
            <w:r>
              <w:t>zwrócono</w:t>
            </w:r>
            <w:proofErr w:type="spellEnd"/>
            <w:r>
              <w:t xml:space="preserve"> </w:t>
            </w:r>
            <w:proofErr w:type="spellStart"/>
            <w:r>
              <w:t>uwagę</w:t>
            </w:r>
            <w:proofErr w:type="spellEnd"/>
            <w:r>
              <w:t xml:space="preserve">, </w:t>
            </w:r>
            <w:proofErr w:type="spellStart"/>
            <w:r>
              <w:t>iż</w:t>
            </w:r>
            <w:proofErr w:type="spellEnd"/>
            <w:r>
              <w:t xml:space="preserve"> w </w:t>
            </w:r>
            <w:proofErr w:type="spellStart"/>
            <w:r>
              <w:t>niewystarczającym</w:t>
            </w:r>
            <w:proofErr w:type="spellEnd"/>
            <w:r>
              <w:t xml:space="preserve"> </w:t>
            </w:r>
            <w:proofErr w:type="spellStart"/>
            <w:r>
              <w:t>stopniu</w:t>
            </w:r>
            <w:proofErr w:type="spellEnd"/>
            <w:r>
              <w:t xml:space="preserve"> </w:t>
            </w:r>
            <w:proofErr w:type="spellStart"/>
            <w:r>
              <w:t>funkcjonuje</w:t>
            </w:r>
            <w:proofErr w:type="spellEnd"/>
            <w:r>
              <w:t xml:space="preserve"> </w:t>
            </w:r>
            <w:proofErr w:type="spellStart"/>
            <w:r>
              <w:t>pozapłacowy</w:t>
            </w:r>
            <w:proofErr w:type="spellEnd"/>
            <w:r>
              <w:t xml:space="preserve"> system </w:t>
            </w:r>
            <w:proofErr w:type="spellStart"/>
            <w:r>
              <w:t>motywacyjny</w:t>
            </w:r>
            <w:proofErr w:type="spellEnd"/>
            <w:r>
              <w:t xml:space="preserve">, </w:t>
            </w:r>
            <w:proofErr w:type="spellStart"/>
            <w:r>
              <w:t>dedykowany</w:t>
            </w:r>
            <w:proofErr w:type="spellEnd"/>
            <w:r>
              <w:t xml:space="preserve"> </w:t>
            </w:r>
            <w:proofErr w:type="spellStart"/>
            <w:r>
              <w:t>dla</w:t>
            </w:r>
            <w:proofErr w:type="spellEnd"/>
            <w:r>
              <w:t xml:space="preserve"> </w:t>
            </w:r>
            <w:proofErr w:type="spellStart"/>
            <w:r>
              <w:t>pracowników</w:t>
            </w:r>
            <w:proofErr w:type="spellEnd"/>
            <w:r>
              <w:t xml:space="preserve"> </w:t>
            </w:r>
            <w:proofErr w:type="spellStart"/>
            <w:r>
              <w:t>zaangażowanych</w:t>
            </w:r>
            <w:proofErr w:type="spellEnd"/>
            <w:r>
              <w:t xml:space="preserve"> w </w:t>
            </w:r>
            <w:proofErr w:type="spellStart"/>
            <w:r>
              <w:t>zarządzanie</w:t>
            </w:r>
            <w:proofErr w:type="spellEnd"/>
            <w:r>
              <w:t xml:space="preserve"> i </w:t>
            </w:r>
            <w:proofErr w:type="spellStart"/>
            <w:r>
              <w:t>wdrażanie</w:t>
            </w:r>
            <w:proofErr w:type="spellEnd"/>
            <w:r>
              <w:t xml:space="preserve"> RPOWŚ 2014-2020. </w:t>
            </w:r>
            <w:proofErr w:type="spellStart"/>
            <w:r>
              <w:t>Warto</w:t>
            </w:r>
            <w:proofErr w:type="spellEnd"/>
            <w:r>
              <w:t xml:space="preserve"> </w:t>
            </w:r>
            <w:proofErr w:type="spellStart"/>
            <w:r>
              <w:t>byłoby</w:t>
            </w:r>
            <w:proofErr w:type="spellEnd"/>
            <w:r>
              <w:t xml:space="preserve"> </w:t>
            </w:r>
            <w:proofErr w:type="spellStart"/>
            <w:r>
              <w:t>także</w:t>
            </w:r>
            <w:proofErr w:type="spellEnd"/>
            <w:r>
              <w:t xml:space="preserve"> </w:t>
            </w:r>
            <w:proofErr w:type="spellStart"/>
            <w:r>
              <w:t>ograniczyć</w:t>
            </w:r>
            <w:proofErr w:type="spellEnd"/>
            <w:r>
              <w:t xml:space="preserve"> </w:t>
            </w:r>
            <w:proofErr w:type="spellStart"/>
            <w:r>
              <w:t>rotację</w:t>
            </w:r>
            <w:proofErr w:type="spellEnd"/>
            <w:r>
              <w:t xml:space="preserve"> </w:t>
            </w:r>
            <w:proofErr w:type="spellStart"/>
            <w:r>
              <w:t>pracowników</w:t>
            </w:r>
            <w:proofErr w:type="spellEnd"/>
            <w:r>
              <w:t xml:space="preserve"> (w </w:t>
            </w:r>
            <w:proofErr w:type="spellStart"/>
            <w:r>
              <w:t>szczególności</w:t>
            </w:r>
            <w:proofErr w:type="spellEnd"/>
            <w:r>
              <w:t xml:space="preserve"> w DPR), </w:t>
            </w:r>
            <w:proofErr w:type="spellStart"/>
            <w:r>
              <w:t>gdyż</w:t>
            </w:r>
            <w:proofErr w:type="spellEnd"/>
            <w:r>
              <w:t xml:space="preserve"> </w:t>
            </w:r>
            <w:proofErr w:type="spellStart"/>
            <w:r>
              <w:t>obecnie</w:t>
            </w:r>
            <w:proofErr w:type="spellEnd"/>
            <w:r>
              <w:t xml:space="preserve"> </w:t>
            </w:r>
            <w:proofErr w:type="spellStart"/>
            <w:r>
              <w:t>zatrudnieni</w:t>
            </w:r>
            <w:proofErr w:type="spellEnd"/>
            <w:r>
              <w:t xml:space="preserve"> </w:t>
            </w:r>
            <w:proofErr w:type="spellStart"/>
            <w:r>
              <w:t>często</w:t>
            </w:r>
            <w:proofErr w:type="spellEnd"/>
            <w:r>
              <w:t xml:space="preserve"> </w:t>
            </w:r>
            <w:proofErr w:type="spellStart"/>
            <w:r>
              <w:t>wykonują</w:t>
            </w:r>
            <w:proofErr w:type="spellEnd"/>
            <w:r>
              <w:t xml:space="preserve"> </w:t>
            </w:r>
            <w:proofErr w:type="spellStart"/>
            <w:r>
              <w:t>obowiązki</w:t>
            </w:r>
            <w:proofErr w:type="spellEnd"/>
            <w:r>
              <w:t xml:space="preserve"> </w:t>
            </w:r>
            <w:proofErr w:type="spellStart"/>
            <w:r>
              <w:t>dla</w:t>
            </w:r>
            <w:proofErr w:type="spellEnd"/>
            <w:r>
              <w:t xml:space="preserve"> </w:t>
            </w:r>
            <w:proofErr w:type="spellStart"/>
            <w:r>
              <w:t>nich</w:t>
            </w:r>
            <w:proofErr w:type="spellEnd"/>
            <w:r>
              <w:t xml:space="preserve"> </w:t>
            </w:r>
            <w:proofErr w:type="spellStart"/>
            <w:r>
              <w:t>nowe</w:t>
            </w:r>
            <w:proofErr w:type="spellEnd"/>
            <w:r>
              <w:t xml:space="preserve">, a </w:t>
            </w:r>
            <w:proofErr w:type="spellStart"/>
            <w:r>
              <w:t>zakres</w:t>
            </w:r>
            <w:proofErr w:type="spellEnd"/>
            <w:r>
              <w:t xml:space="preserve"> ich </w:t>
            </w:r>
            <w:proofErr w:type="spellStart"/>
            <w:r>
              <w:t>zadań</w:t>
            </w:r>
            <w:proofErr w:type="spellEnd"/>
            <w:r>
              <w:t xml:space="preserve"> </w:t>
            </w:r>
            <w:proofErr w:type="spellStart"/>
            <w:r>
              <w:t>się</w:t>
            </w:r>
            <w:proofErr w:type="spellEnd"/>
            <w:r>
              <w:t xml:space="preserve"> </w:t>
            </w:r>
            <w:proofErr w:type="spellStart"/>
            <w:r>
              <w:t>często</w:t>
            </w:r>
            <w:proofErr w:type="spellEnd"/>
            <w:r>
              <w:t xml:space="preserve"> </w:t>
            </w:r>
            <w:proofErr w:type="spellStart"/>
            <w:r>
              <w:t>zmienia</w:t>
            </w:r>
            <w:proofErr w:type="spellEnd"/>
            <w:r>
              <w:t xml:space="preserve">, co </w:t>
            </w:r>
            <w:proofErr w:type="spellStart"/>
            <w:r>
              <w:t>znacznie</w:t>
            </w:r>
            <w:proofErr w:type="spellEnd"/>
            <w:r>
              <w:t xml:space="preserve"> ich </w:t>
            </w:r>
            <w:proofErr w:type="spellStart"/>
            <w:r>
              <w:t>obciąża</w:t>
            </w:r>
            <w:proofErr w:type="spellEnd"/>
            <w:r>
              <w:t xml:space="preserve"> i </w:t>
            </w:r>
            <w:proofErr w:type="spellStart"/>
            <w:r>
              <w:t>może</w:t>
            </w:r>
            <w:proofErr w:type="spellEnd"/>
            <w:r>
              <w:t xml:space="preserve"> </w:t>
            </w:r>
            <w:proofErr w:type="spellStart"/>
            <w:r>
              <w:t>obniżać</w:t>
            </w:r>
            <w:proofErr w:type="spellEnd"/>
            <w:r>
              <w:t xml:space="preserve"> </w:t>
            </w:r>
            <w:proofErr w:type="spellStart"/>
            <w:r>
              <w:t>efektywność</w:t>
            </w:r>
            <w:proofErr w:type="spellEnd"/>
            <w:r>
              <w:t xml:space="preserve"> ich </w:t>
            </w:r>
            <w:proofErr w:type="spellStart"/>
            <w:r>
              <w:t>pracy</w:t>
            </w:r>
            <w:proofErr w:type="spellEnd"/>
            <w:r>
              <w:t>.  </w:t>
            </w:r>
          </w:p>
          <w:p w14:paraId="5198711B" w14:textId="77777777" w:rsidR="006B2EC1" w:rsidRDefault="00E82A60">
            <w:pPr>
              <w:spacing w:before="240" w:after="240"/>
              <w:jc w:val="left"/>
            </w:pPr>
            <w:r>
              <w:t xml:space="preserve">W </w:t>
            </w:r>
            <w:proofErr w:type="spellStart"/>
            <w:r>
              <w:t>obszarze</w:t>
            </w:r>
            <w:proofErr w:type="spellEnd"/>
            <w:r>
              <w:t xml:space="preserve"> </w:t>
            </w:r>
            <w:proofErr w:type="spellStart"/>
            <w:r>
              <w:t>dotyczącym</w:t>
            </w:r>
            <w:proofErr w:type="spellEnd"/>
            <w:r>
              <w:t xml:space="preserve"> </w:t>
            </w:r>
            <w:proofErr w:type="spellStart"/>
            <w:r>
              <w:rPr>
                <w:i/>
                <w:iCs/>
              </w:rPr>
              <w:t>Oceny</w:t>
            </w:r>
            <w:proofErr w:type="spellEnd"/>
            <w:r>
              <w:rPr>
                <w:i/>
                <w:iCs/>
              </w:rPr>
              <w:t xml:space="preserve"> </w:t>
            </w:r>
            <w:proofErr w:type="spellStart"/>
            <w:r>
              <w:rPr>
                <w:i/>
                <w:iCs/>
              </w:rPr>
              <w:t>zasobów</w:t>
            </w:r>
            <w:proofErr w:type="spellEnd"/>
            <w:r>
              <w:rPr>
                <w:i/>
                <w:iCs/>
              </w:rPr>
              <w:t xml:space="preserve"> </w:t>
            </w:r>
            <w:proofErr w:type="spellStart"/>
            <w:r>
              <w:rPr>
                <w:i/>
                <w:iCs/>
              </w:rPr>
              <w:t>materialnych</w:t>
            </w:r>
            <w:proofErr w:type="spellEnd"/>
            <w:r>
              <w:rPr>
                <w:i/>
                <w:iCs/>
              </w:rPr>
              <w:t xml:space="preserve"> i </w:t>
            </w:r>
            <w:proofErr w:type="spellStart"/>
            <w:r>
              <w:rPr>
                <w:i/>
                <w:iCs/>
              </w:rPr>
              <w:t>niematerialnych</w:t>
            </w:r>
            <w:proofErr w:type="spellEnd"/>
            <w:r>
              <w:rPr>
                <w:i/>
                <w:iCs/>
              </w:rPr>
              <w:t xml:space="preserve"> </w:t>
            </w:r>
            <w:proofErr w:type="spellStart"/>
            <w:r>
              <w:t>stwierdzono</w:t>
            </w:r>
            <w:proofErr w:type="spellEnd"/>
            <w:r>
              <w:t xml:space="preserve">, </w:t>
            </w:r>
            <w:proofErr w:type="spellStart"/>
            <w:r>
              <w:t>że</w:t>
            </w:r>
            <w:proofErr w:type="spellEnd"/>
            <w:r>
              <w:t xml:space="preserve"> </w:t>
            </w:r>
            <w:proofErr w:type="spellStart"/>
            <w:r>
              <w:t>obecne</w:t>
            </w:r>
            <w:proofErr w:type="spellEnd"/>
            <w:r>
              <w:t xml:space="preserve"> </w:t>
            </w:r>
            <w:proofErr w:type="spellStart"/>
            <w:r>
              <w:t>zasoby</w:t>
            </w:r>
            <w:proofErr w:type="spellEnd"/>
            <w:r>
              <w:t xml:space="preserve"> </w:t>
            </w:r>
            <w:proofErr w:type="spellStart"/>
            <w:r>
              <w:t>są</w:t>
            </w:r>
            <w:proofErr w:type="spellEnd"/>
            <w:r>
              <w:t xml:space="preserve"> </w:t>
            </w:r>
            <w:proofErr w:type="spellStart"/>
            <w:r>
              <w:t>odpowiednie</w:t>
            </w:r>
            <w:proofErr w:type="spellEnd"/>
            <w:r>
              <w:t xml:space="preserve"> do </w:t>
            </w:r>
            <w:proofErr w:type="spellStart"/>
            <w:r>
              <w:t>potrzeb</w:t>
            </w:r>
            <w:proofErr w:type="spellEnd"/>
            <w:r>
              <w:t xml:space="preserve"> i </w:t>
            </w:r>
            <w:proofErr w:type="spellStart"/>
            <w:r>
              <w:t>nie</w:t>
            </w:r>
            <w:proofErr w:type="spellEnd"/>
            <w:r>
              <w:t xml:space="preserve"> </w:t>
            </w:r>
            <w:proofErr w:type="spellStart"/>
            <w:r>
              <w:t>wymagają</w:t>
            </w:r>
            <w:proofErr w:type="spellEnd"/>
            <w:r>
              <w:t xml:space="preserve"> </w:t>
            </w:r>
            <w:proofErr w:type="spellStart"/>
            <w:r>
              <w:t>znaczących</w:t>
            </w:r>
            <w:proofErr w:type="spellEnd"/>
            <w:r>
              <w:t xml:space="preserve"> </w:t>
            </w:r>
            <w:proofErr w:type="spellStart"/>
            <w:r>
              <w:t>zmian</w:t>
            </w:r>
            <w:proofErr w:type="spellEnd"/>
            <w:r>
              <w:t>.</w:t>
            </w:r>
          </w:p>
          <w:p w14:paraId="6037FF3C" w14:textId="77777777" w:rsidR="006B2EC1" w:rsidRDefault="00E82A60">
            <w:pPr>
              <w:spacing w:before="240" w:after="240"/>
              <w:jc w:val="left"/>
            </w:pPr>
            <w:r>
              <w:t> </w:t>
            </w:r>
          </w:p>
          <w:p w14:paraId="5F478640" w14:textId="77777777" w:rsidR="00932504" w:rsidRPr="006C5893" w:rsidRDefault="00932504" w:rsidP="0051119B">
            <w:pPr>
              <w:spacing w:before="0" w:after="0"/>
              <w:jc w:val="left"/>
              <w:rPr>
                <w:sz w:val="16"/>
                <w:szCs w:val="16"/>
                <w:lang w:val="fr-BE"/>
              </w:rPr>
            </w:pPr>
          </w:p>
        </w:tc>
      </w:tr>
      <w:tr w:rsidR="006B2EC1" w14:paraId="345D7F2E" w14:textId="77777777" w:rsidTr="00776DD9">
        <w:tc>
          <w:tcPr>
            <w:tcW w:w="0" w:type="auto"/>
            <w:shd w:val="clear" w:color="auto" w:fill="auto"/>
          </w:tcPr>
          <w:p w14:paraId="5DBD4AE8" w14:textId="77777777" w:rsidR="00932504" w:rsidRPr="006C5893" w:rsidRDefault="00E11D4E" w:rsidP="007D0631">
            <w:pPr>
              <w:spacing w:before="0" w:after="0"/>
              <w:jc w:val="left"/>
              <w:rPr>
                <w:sz w:val="16"/>
                <w:szCs w:val="16"/>
                <w:lang w:val="fr-BE"/>
              </w:rPr>
            </w:pPr>
            <w:r w:rsidRPr="006C5893">
              <w:rPr>
                <w:noProof/>
                <w:sz w:val="16"/>
                <w:szCs w:val="16"/>
                <w:lang w:val="fr-BE"/>
              </w:rPr>
              <w:lastRenderedPageBreak/>
              <w:t>Ewaluacja mid-term dotycząca postępu rzeczowego RPOWŚ 2014-2020 dla potrzeb przeglądu śródokresowego, w tym realizacji zapisów ram i rezerwy wykonania</w:t>
            </w:r>
          </w:p>
        </w:tc>
        <w:tc>
          <w:tcPr>
            <w:tcW w:w="0" w:type="auto"/>
            <w:shd w:val="clear" w:color="auto" w:fill="auto"/>
          </w:tcPr>
          <w:p w14:paraId="41EF8836" w14:textId="77777777" w:rsidR="00932504" w:rsidRPr="006C5893" w:rsidRDefault="00E70F05" w:rsidP="00E70F05">
            <w:pPr>
              <w:spacing w:before="0" w:after="0"/>
              <w:jc w:val="left"/>
              <w:rPr>
                <w:sz w:val="16"/>
                <w:szCs w:val="16"/>
                <w:lang w:val="fr-BE"/>
              </w:rPr>
            </w:pPr>
            <w:r w:rsidRPr="006C5893">
              <w:rPr>
                <w:noProof/>
                <w:sz w:val="16"/>
                <w:szCs w:val="16"/>
                <w:lang w:val="fr-BE"/>
              </w:rPr>
              <w:t>EFRR</w:t>
            </w:r>
          </w:p>
          <w:p w14:paraId="1D4968F8" w14:textId="77777777" w:rsidR="00932504" w:rsidRPr="006C5893" w:rsidRDefault="00E70F05" w:rsidP="00E70F05">
            <w:pPr>
              <w:spacing w:before="0" w:after="0"/>
              <w:jc w:val="left"/>
              <w:rPr>
                <w:sz w:val="16"/>
                <w:szCs w:val="16"/>
                <w:lang w:val="fr-BE"/>
              </w:rPr>
            </w:pPr>
            <w:r w:rsidRPr="006C5893">
              <w:rPr>
                <w:noProof/>
                <w:sz w:val="16"/>
                <w:szCs w:val="16"/>
                <w:lang w:val="fr-BE"/>
              </w:rPr>
              <w:t>EFS</w:t>
            </w:r>
          </w:p>
        </w:tc>
        <w:tc>
          <w:tcPr>
            <w:tcW w:w="0" w:type="auto"/>
            <w:shd w:val="clear" w:color="auto" w:fill="auto"/>
          </w:tcPr>
          <w:p w14:paraId="244CB468" w14:textId="77777777" w:rsidR="00932504" w:rsidRPr="006C5893" w:rsidRDefault="0089499E" w:rsidP="007D0631">
            <w:pPr>
              <w:spacing w:before="0" w:after="0"/>
              <w:jc w:val="left"/>
              <w:rPr>
                <w:sz w:val="16"/>
                <w:szCs w:val="16"/>
                <w:lang w:val="fr-BE"/>
              </w:rPr>
            </w:pPr>
            <w:r w:rsidRPr="006C5893">
              <w:rPr>
                <w:noProof/>
                <w:sz w:val="16"/>
                <w:szCs w:val="16"/>
                <w:lang w:val="fr-BE"/>
              </w:rPr>
              <w:t>12</w:t>
            </w:r>
          </w:p>
        </w:tc>
        <w:tc>
          <w:tcPr>
            <w:tcW w:w="0" w:type="auto"/>
            <w:shd w:val="clear" w:color="auto" w:fill="auto"/>
          </w:tcPr>
          <w:p w14:paraId="2DB1CA1B" w14:textId="77777777" w:rsidR="00932504" w:rsidRPr="006C5893" w:rsidRDefault="0089499E" w:rsidP="007D0631">
            <w:pPr>
              <w:spacing w:before="0" w:after="0"/>
              <w:jc w:val="left"/>
              <w:rPr>
                <w:sz w:val="16"/>
                <w:szCs w:val="16"/>
                <w:lang w:val="fr-BE"/>
              </w:rPr>
            </w:pPr>
            <w:r w:rsidRPr="006C5893">
              <w:rPr>
                <w:noProof/>
                <w:sz w:val="16"/>
                <w:szCs w:val="16"/>
                <w:lang w:val="fr-BE"/>
              </w:rPr>
              <w:t>2018</w:t>
            </w:r>
          </w:p>
        </w:tc>
        <w:tc>
          <w:tcPr>
            <w:tcW w:w="0" w:type="auto"/>
            <w:shd w:val="clear" w:color="auto" w:fill="auto"/>
          </w:tcPr>
          <w:p w14:paraId="18A33CDC" w14:textId="77777777" w:rsidR="00932504" w:rsidRPr="006C5893" w:rsidRDefault="0089499E" w:rsidP="007D0631">
            <w:pPr>
              <w:spacing w:before="0" w:after="0"/>
              <w:jc w:val="left"/>
              <w:rPr>
                <w:sz w:val="16"/>
                <w:szCs w:val="16"/>
                <w:lang w:val="fr-BE"/>
              </w:rPr>
            </w:pPr>
            <w:r w:rsidRPr="006C5893">
              <w:rPr>
                <w:noProof/>
                <w:sz w:val="16"/>
                <w:szCs w:val="16"/>
                <w:lang w:val="fr-BE"/>
              </w:rPr>
              <w:t>4</w:t>
            </w:r>
          </w:p>
        </w:tc>
        <w:tc>
          <w:tcPr>
            <w:tcW w:w="0" w:type="auto"/>
            <w:shd w:val="clear" w:color="auto" w:fill="auto"/>
          </w:tcPr>
          <w:p w14:paraId="49628F99" w14:textId="77777777" w:rsidR="00932504" w:rsidRPr="006C5893" w:rsidRDefault="0089499E" w:rsidP="007D0631">
            <w:pPr>
              <w:spacing w:before="0" w:after="0"/>
              <w:jc w:val="left"/>
              <w:rPr>
                <w:sz w:val="16"/>
                <w:szCs w:val="16"/>
                <w:lang w:val="fr-BE"/>
              </w:rPr>
            </w:pPr>
            <w:r w:rsidRPr="006C5893">
              <w:rPr>
                <w:noProof/>
                <w:sz w:val="16"/>
                <w:szCs w:val="16"/>
                <w:lang w:val="fr-BE"/>
              </w:rPr>
              <w:t>2019</w:t>
            </w:r>
          </w:p>
        </w:tc>
        <w:tc>
          <w:tcPr>
            <w:tcW w:w="0" w:type="auto"/>
            <w:shd w:val="clear" w:color="auto" w:fill="auto"/>
          </w:tcPr>
          <w:p w14:paraId="652BCBF4" w14:textId="77777777" w:rsidR="00932504" w:rsidRPr="006C5893" w:rsidRDefault="00B126B3" w:rsidP="0051119B">
            <w:pPr>
              <w:spacing w:before="0" w:after="0"/>
              <w:jc w:val="left"/>
              <w:rPr>
                <w:sz w:val="16"/>
                <w:szCs w:val="16"/>
                <w:lang w:val="fr-BE"/>
              </w:rPr>
            </w:pPr>
            <w:r w:rsidRPr="006C5893">
              <w:rPr>
                <w:noProof/>
                <w:sz w:val="16"/>
                <w:szCs w:val="16"/>
                <w:lang w:val="fr-BE"/>
              </w:rPr>
              <w:t>Mieszana</w:t>
            </w:r>
          </w:p>
        </w:tc>
        <w:tc>
          <w:tcPr>
            <w:tcW w:w="0" w:type="auto"/>
            <w:shd w:val="clear" w:color="auto" w:fill="auto"/>
          </w:tcPr>
          <w:p w14:paraId="5C3C34A4" w14:textId="77777777" w:rsidR="00932504" w:rsidRPr="006C5893" w:rsidRDefault="00092FD6" w:rsidP="00092FD6">
            <w:pPr>
              <w:spacing w:before="0" w:after="0"/>
              <w:jc w:val="left"/>
              <w:rPr>
                <w:sz w:val="16"/>
                <w:szCs w:val="16"/>
                <w:lang w:val="fr-BE"/>
              </w:rPr>
            </w:pPr>
            <w:r w:rsidRPr="006C5893">
              <w:rPr>
                <w:noProof/>
                <w:sz w:val="16"/>
                <w:szCs w:val="16"/>
                <w:lang w:val="fr-BE"/>
              </w:rPr>
              <w:t>01</w:t>
            </w:r>
          </w:p>
          <w:p w14:paraId="0CBC7217" w14:textId="77777777" w:rsidR="00932504" w:rsidRPr="006C5893" w:rsidRDefault="00092FD6" w:rsidP="00092FD6">
            <w:pPr>
              <w:spacing w:before="0" w:after="0"/>
              <w:jc w:val="left"/>
              <w:rPr>
                <w:sz w:val="16"/>
                <w:szCs w:val="16"/>
                <w:lang w:val="fr-BE"/>
              </w:rPr>
            </w:pPr>
            <w:r w:rsidRPr="006C5893">
              <w:rPr>
                <w:noProof/>
                <w:sz w:val="16"/>
                <w:szCs w:val="16"/>
                <w:lang w:val="fr-BE"/>
              </w:rPr>
              <w:t>02</w:t>
            </w:r>
          </w:p>
          <w:p w14:paraId="34718F28" w14:textId="77777777" w:rsidR="00932504" w:rsidRPr="006C5893" w:rsidRDefault="00092FD6" w:rsidP="00092FD6">
            <w:pPr>
              <w:spacing w:before="0" w:after="0"/>
              <w:jc w:val="left"/>
              <w:rPr>
                <w:sz w:val="16"/>
                <w:szCs w:val="16"/>
                <w:lang w:val="fr-BE"/>
              </w:rPr>
            </w:pPr>
            <w:r w:rsidRPr="006C5893">
              <w:rPr>
                <w:noProof/>
                <w:sz w:val="16"/>
                <w:szCs w:val="16"/>
                <w:lang w:val="fr-BE"/>
              </w:rPr>
              <w:t>03</w:t>
            </w:r>
          </w:p>
          <w:p w14:paraId="038DD138" w14:textId="77777777" w:rsidR="00932504" w:rsidRPr="006C5893" w:rsidRDefault="00092FD6" w:rsidP="00092FD6">
            <w:pPr>
              <w:spacing w:before="0" w:after="0"/>
              <w:jc w:val="left"/>
              <w:rPr>
                <w:sz w:val="16"/>
                <w:szCs w:val="16"/>
                <w:lang w:val="fr-BE"/>
              </w:rPr>
            </w:pPr>
            <w:r w:rsidRPr="006C5893">
              <w:rPr>
                <w:noProof/>
                <w:sz w:val="16"/>
                <w:szCs w:val="16"/>
                <w:lang w:val="fr-BE"/>
              </w:rPr>
              <w:t>04</w:t>
            </w:r>
          </w:p>
          <w:p w14:paraId="72A00318" w14:textId="77777777" w:rsidR="00932504" w:rsidRPr="006C5893" w:rsidRDefault="00092FD6" w:rsidP="00092FD6">
            <w:pPr>
              <w:spacing w:before="0" w:after="0"/>
              <w:jc w:val="left"/>
              <w:rPr>
                <w:sz w:val="16"/>
                <w:szCs w:val="16"/>
                <w:lang w:val="fr-BE"/>
              </w:rPr>
            </w:pPr>
            <w:r w:rsidRPr="006C5893">
              <w:rPr>
                <w:noProof/>
                <w:sz w:val="16"/>
                <w:szCs w:val="16"/>
                <w:lang w:val="fr-BE"/>
              </w:rPr>
              <w:t>05</w:t>
            </w:r>
          </w:p>
          <w:p w14:paraId="7FA3A0EF" w14:textId="77777777" w:rsidR="00932504" w:rsidRPr="006C5893" w:rsidRDefault="00092FD6" w:rsidP="00092FD6">
            <w:pPr>
              <w:spacing w:before="0" w:after="0"/>
              <w:jc w:val="left"/>
              <w:rPr>
                <w:sz w:val="16"/>
                <w:szCs w:val="16"/>
                <w:lang w:val="fr-BE"/>
              </w:rPr>
            </w:pPr>
            <w:r w:rsidRPr="006C5893">
              <w:rPr>
                <w:noProof/>
                <w:sz w:val="16"/>
                <w:szCs w:val="16"/>
                <w:lang w:val="fr-BE"/>
              </w:rPr>
              <w:t>06</w:t>
            </w:r>
          </w:p>
          <w:p w14:paraId="4361DC59" w14:textId="77777777" w:rsidR="00932504" w:rsidRPr="006C5893" w:rsidRDefault="00092FD6" w:rsidP="00092FD6">
            <w:pPr>
              <w:spacing w:before="0" w:after="0"/>
              <w:jc w:val="left"/>
              <w:rPr>
                <w:sz w:val="16"/>
                <w:szCs w:val="16"/>
                <w:lang w:val="fr-BE"/>
              </w:rPr>
            </w:pPr>
            <w:r w:rsidRPr="006C5893">
              <w:rPr>
                <w:noProof/>
                <w:sz w:val="16"/>
                <w:szCs w:val="16"/>
                <w:lang w:val="fr-BE"/>
              </w:rPr>
              <w:t>07</w:t>
            </w:r>
          </w:p>
          <w:p w14:paraId="1C4F0EFC" w14:textId="77777777" w:rsidR="00932504" w:rsidRPr="006C5893" w:rsidRDefault="00092FD6" w:rsidP="00092FD6">
            <w:pPr>
              <w:spacing w:before="0" w:after="0"/>
              <w:jc w:val="left"/>
              <w:rPr>
                <w:sz w:val="16"/>
                <w:szCs w:val="16"/>
                <w:lang w:val="fr-BE"/>
              </w:rPr>
            </w:pPr>
            <w:r w:rsidRPr="006C5893">
              <w:rPr>
                <w:noProof/>
                <w:sz w:val="16"/>
                <w:szCs w:val="16"/>
                <w:lang w:val="fr-BE"/>
              </w:rPr>
              <w:t>08</w:t>
            </w:r>
          </w:p>
          <w:p w14:paraId="1FFEAC6B" w14:textId="77777777" w:rsidR="00932504" w:rsidRPr="006C5893" w:rsidRDefault="00092FD6" w:rsidP="00092FD6">
            <w:pPr>
              <w:spacing w:before="0" w:after="0"/>
              <w:jc w:val="left"/>
              <w:rPr>
                <w:sz w:val="16"/>
                <w:szCs w:val="16"/>
                <w:lang w:val="fr-BE"/>
              </w:rPr>
            </w:pPr>
            <w:r w:rsidRPr="006C5893">
              <w:rPr>
                <w:noProof/>
                <w:sz w:val="16"/>
                <w:szCs w:val="16"/>
                <w:lang w:val="fr-BE"/>
              </w:rPr>
              <w:t>09</w:t>
            </w:r>
          </w:p>
          <w:p w14:paraId="08295AAB" w14:textId="77777777" w:rsidR="00932504" w:rsidRPr="006C5893" w:rsidRDefault="00092FD6" w:rsidP="00092FD6">
            <w:pPr>
              <w:spacing w:before="0" w:after="0"/>
              <w:jc w:val="left"/>
              <w:rPr>
                <w:sz w:val="16"/>
                <w:szCs w:val="16"/>
                <w:lang w:val="fr-BE"/>
              </w:rPr>
            </w:pPr>
            <w:r w:rsidRPr="006C5893">
              <w:rPr>
                <w:noProof/>
                <w:sz w:val="16"/>
                <w:szCs w:val="16"/>
                <w:lang w:val="fr-BE"/>
              </w:rPr>
              <w:t>10</w:t>
            </w:r>
          </w:p>
        </w:tc>
        <w:tc>
          <w:tcPr>
            <w:tcW w:w="0" w:type="auto"/>
            <w:shd w:val="clear" w:color="auto" w:fill="auto"/>
          </w:tcPr>
          <w:p w14:paraId="358804C6" w14:textId="77777777" w:rsidR="006B2EC1" w:rsidRDefault="00E82A60">
            <w:pPr>
              <w:spacing w:before="0" w:after="240"/>
              <w:jc w:val="left"/>
            </w:pPr>
            <w:proofErr w:type="spellStart"/>
            <w:r>
              <w:t>Głównym</w:t>
            </w:r>
            <w:proofErr w:type="spellEnd"/>
            <w:r>
              <w:t xml:space="preserve"> </w:t>
            </w:r>
            <w:proofErr w:type="spellStart"/>
            <w:r>
              <w:t>celem</w:t>
            </w:r>
            <w:proofErr w:type="spellEnd"/>
            <w:r>
              <w:t xml:space="preserve"> </w:t>
            </w:r>
            <w:proofErr w:type="spellStart"/>
            <w:r>
              <w:t>badania</w:t>
            </w:r>
            <w:proofErr w:type="spellEnd"/>
            <w:r>
              <w:t xml:space="preserve"> </w:t>
            </w:r>
            <w:proofErr w:type="spellStart"/>
            <w:r>
              <w:t>było</w:t>
            </w:r>
            <w:proofErr w:type="spellEnd"/>
            <w:r>
              <w:t xml:space="preserve"> </w:t>
            </w:r>
            <w:proofErr w:type="spellStart"/>
            <w:r>
              <w:t>dokonanie</w:t>
            </w:r>
            <w:proofErr w:type="spellEnd"/>
            <w:r>
              <w:t xml:space="preserve"> </w:t>
            </w:r>
            <w:proofErr w:type="spellStart"/>
            <w:r>
              <w:t>oceny</w:t>
            </w:r>
            <w:proofErr w:type="spellEnd"/>
            <w:r>
              <w:t xml:space="preserve"> </w:t>
            </w:r>
            <w:proofErr w:type="spellStart"/>
            <w:r>
              <w:t>postępów</w:t>
            </w:r>
            <w:proofErr w:type="spellEnd"/>
            <w:r>
              <w:t xml:space="preserve"> </w:t>
            </w:r>
            <w:proofErr w:type="spellStart"/>
            <w:r>
              <w:t>realizacji</w:t>
            </w:r>
            <w:proofErr w:type="spellEnd"/>
            <w:r>
              <w:t xml:space="preserve"> </w:t>
            </w:r>
            <w:proofErr w:type="spellStart"/>
            <w:r>
              <w:t>celów</w:t>
            </w:r>
            <w:proofErr w:type="spellEnd"/>
            <w:r>
              <w:t xml:space="preserve"> </w:t>
            </w:r>
            <w:proofErr w:type="spellStart"/>
            <w:r>
              <w:t>szczegółowych</w:t>
            </w:r>
            <w:proofErr w:type="spellEnd"/>
            <w:r>
              <w:t xml:space="preserve"> </w:t>
            </w:r>
            <w:proofErr w:type="spellStart"/>
            <w:r>
              <w:t>określonych</w:t>
            </w:r>
            <w:proofErr w:type="spellEnd"/>
            <w:r>
              <w:t xml:space="preserve"> </w:t>
            </w:r>
            <w:proofErr w:type="spellStart"/>
            <w:r>
              <w:t>dla</w:t>
            </w:r>
            <w:proofErr w:type="spellEnd"/>
            <w:r>
              <w:t xml:space="preserve"> </w:t>
            </w:r>
            <w:proofErr w:type="spellStart"/>
            <w:r>
              <w:t>priorytetów</w:t>
            </w:r>
            <w:proofErr w:type="spellEnd"/>
            <w:r>
              <w:t xml:space="preserve"> </w:t>
            </w:r>
            <w:proofErr w:type="spellStart"/>
            <w:r>
              <w:t>inwestycyjnych</w:t>
            </w:r>
            <w:proofErr w:type="spellEnd"/>
            <w:r>
              <w:t>/</w:t>
            </w:r>
            <w:proofErr w:type="spellStart"/>
            <w:r>
              <w:t>osi</w:t>
            </w:r>
            <w:proofErr w:type="spellEnd"/>
            <w:r>
              <w:t xml:space="preserve"> </w:t>
            </w:r>
            <w:proofErr w:type="spellStart"/>
            <w:r>
              <w:t>priorytetowych</w:t>
            </w:r>
            <w:proofErr w:type="spellEnd"/>
            <w:r>
              <w:t xml:space="preserve"> RPOWŚ 2014 - 2020 </w:t>
            </w:r>
            <w:proofErr w:type="spellStart"/>
            <w:r>
              <w:t>dla</w:t>
            </w:r>
            <w:proofErr w:type="spellEnd"/>
            <w:r>
              <w:t xml:space="preserve"> </w:t>
            </w:r>
            <w:proofErr w:type="spellStart"/>
            <w:r>
              <w:t>potrzeb</w:t>
            </w:r>
            <w:proofErr w:type="spellEnd"/>
            <w:r>
              <w:t xml:space="preserve"> </w:t>
            </w:r>
            <w:proofErr w:type="spellStart"/>
            <w:r>
              <w:t>przeglądu</w:t>
            </w:r>
            <w:proofErr w:type="spellEnd"/>
            <w:r>
              <w:t xml:space="preserve"> </w:t>
            </w:r>
            <w:proofErr w:type="spellStart"/>
            <w:r>
              <w:t>śródokresowego</w:t>
            </w:r>
            <w:proofErr w:type="spellEnd"/>
            <w:r>
              <w:t xml:space="preserve">, </w:t>
            </w:r>
            <w:proofErr w:type="spellStart"/>
            <w:r>
              <w:t>ze</w:t>
            </w:r>
            <w:proofErr w:type="spellEnd"/>
            <w:r>
              <w:t xml:space="preserve"> </w:t>
            </w:r>
            <w:proofErr w:type="spellStart"/>
            <w:r>
              <w:t>szczególnym</w:t>
            </w:r>
            <w:proofErr w:type="spellEnd"/>
            <w:r>
              <w:t xml:space="preserve"> </w:t>
            </w:r>
            <w:proofErr w:type="spellStart"/>
            <w:r>
              <w:t>uwzględnieniem</w:t>
            </w:r>
            <w:proofErr w:type="spellEnd"/>
            <w:r>
              <w:t xml:space="preserve"> </w:t>
            </w:r>
            <w:proofErr w:type="spellStart"/>
            <w:r>
              <w:t>zobowiązań</w:t>
            </w:r>
            <w:proofErr w:type="spellEnd"/>
            <w:r>
              <w:t xml:space="preserve"> </w:t>
            </w:r>
            <w:proofErr w:type="spellStart"/>
            <w:r>
              <w:t>wynikających</w:t>
            </w:r>
            <w:proofErr w:type="spellEnd"/>
            <w:r>
              <w:t xml:space="preserve"> z  </w:t>
            </w:r>
            <w:proofErr w:type="spellStart"/>
            <w:r>
              <w:t>zapisów</w:t>
            </w:r>
            <w:proofErr w:type="spellEnd"/>
            <w:r>
              <w:t xml:space="preserve"> ram i </w:t>
            </w:r>
            <w:proofErr w:type="spellStart"/>
            <w:r>
              <w:t>rezerwy</w:t>
            </w:r>
            <w:proofErr w:type="spellEnd"/>
            <w:r>
              <w:t xml:space="preserve"> </w:t>
            </w:r>
            <w:proofErr w:type="spellStart"/>
            <w:r>
              <w:t>wykonania</w:t>
            </w:r>
            <w:proofErr w:type="spellEnd"/>
            <w:r>
              <w:t xml:space="preserve">. </w:t>
            </w:r>
            <w:proofErr w:type="spellStart"/>
            <w:r>
              <w:t>Badanie</w:t>
            </w:r>
            <w:proofErr w:type="spellEnd"/>
            <w:r>
              <w:t xml:space="preserve"> </w:t>
            </w:r>
            <w:proofErr w:type="spellStart"/>
            <w:r>
              <w:t>posłużyło</w:t>
            </w:r>
            <w:proofErr w:type="spellEnd"/>
            <w:r>
              <w:t xml:space="preserve"> </w:t>
            </w:r>
            <w:proofErr w:type="spellStart"/>
            <w:r>
              <w:t>również</w:t>
            </w:r>
            <w:proofErr w:type="spellEnd"/>
            <w:r>
              <w:t xml:space="preserve"> do </w:t>
            </w:r>
            <w:proofErr w:type="spellStart"/>
            <w:r>
              <w:t>wypracowania</w:t>
            </w:r>
            <w:proofErr w:type="spellEnd"/>
            <w:r>
              <w:t xml:space="preserve"> </w:t>
            </w:r>
            <w:proofErr w:type="spellStart"/>
            <w:r>
              <w:t>rekomendacji</w:t>
            </w:r>
            <w:proofErr w:type="spellEnd"/>
            <w:r>
              <w:t xml:space="preserve"> </w:t>
            </w:r>
            <w:proofErr w:type="spellStart"/>
            <w:r>
              <w:t>wskazujących</w:t>
            </w:r>
            <w:proofErr w:type="spellEnd"/>
            <w:r>
              <w:t xml:space="preserve"> </w:t>
            </w:r>
            <w:proofErr w:type="spellStart"/>
            <w:r>
              <w:t>niezbędne</w:t>
            </w:r>
            <w:proofErr w:type="spellEnd"/>
            <w:r>
              <w:t xml:space="preserve"> </w:t>
            </w:r>
            <w:proofErr w:type="spellStart"/>
            <w:r>
              <w:t>dostosowania</w:t>
            </w:r>
            <w:proofErr w:type="spellEnd"/>
            <w:r>
              <w:t xml:space="preserve">, </w:t>
            </w:r>
            <w:proofErr w:type="spellStart"/>
            <w:r>
              <w:t>które</w:t>
            </w:r>
            <w:proofErr w:type="spellEnd"/>
            <w:r>
              <w:t xml:space="preserve"> </w:t>
            </w:r>
            <w:proofErr w:type="spellStart"/>
            <w:r>
              <w:t>wprowadzone</w:t>
            </w:r>
            <w:proofErr w:type="spellEnd"/>
            <w:r>
              <w:t xml:space="preserve"> w </w:t>
            </w:r>
            <w:proofErr w:type="spellStart"/>
            <w:r>
              <w:t>ramach</w:t>
            </w:r>
            <w:proofErr w:type="spellEnd"/>
            <w:r>
              <w:t xml:space="preserve"> </w:t>
            </w:r>
            <w:proofErr w:type="spellStart"/>
            <w:r>
              <w:t>renegocjacji</w:t>
            </w:r>
            <w:proofErr w:type="spellEnd"/>
            <w:r>
              <w:t xml:space="preserve"> </w:t>
            </w:r>
            <w:proofErr w:type="spellStart"/>
            <w:r>
              <w:t>programu</w:t>
            </w:r>
            <w:proofErr w:type="spellEnd"/>
            <w:r>
              <w:t xml:space="preserve"> </w:t>
            </w:r>
            <w:proofErr w:type="spellStart"/>
            <w:r>
              <w:t>pozwolą</w:t>
            </w:r>
            <w:proofErr w:type="spellEnd"/>
            <w:r>
              <w:t xml:space="preserve"> </w:t>
            </w:r>
            <w:proofErr w:type="spellStart"/>
            <w:r>
              <w:t>na</w:t>
            </w:r>
            <w:proofErr w:type="spellEnd"/>
            <w:r>
              <w:t xml:space="preserve"> </w:t>
            </w:r>
            <w:proofErr w:type="spellStart"/>
            <w:r>
              <w:t>zwiększenie</w:t>
            </w:r>
            <w:proofErr w:type="spellEnd"/>
            <w:r>
              <w:t xml:space="preserve"> </w:t>
            </w:r>
            <w:proofErr w:type="spellStart"/>
            <w:r>
              <w:t>skuteczności</w:t>
            </w:r>
            <w:proofErr w:type="spellEnd"/>
            <w:r>
              <w:t xml:space="preserve"> </w:t>
            </w:r>
            <w:proofErr w:type="spellStart"/>
            <w:r>
              <w:t>interwencji</w:t>
            </w:r>
            <w:proofErr w:type="spellEnd"/>
            <w:r>
              <w:t>.</w:t>
            </w:r>
          </w:p>
          <w:p w14:paraId="3E2BF1AD" w14:textId="77777777" w:rsidR="00932504" w:rsidRPr="006C5893" w:rsidRDefault="00932504" w:rsidP="0051119B">
            <w:pPr>
              <w:spacing w:before="0" w:after="0"/>
              <w:jc w:val="left"/>
              <w:rPr>
                <w:sz w:val="16"/>
                <w:szCs w:val="16"/>
                <w:lang w:val="fr-BE"/>
              </w:rPr>
            </w:pPr>
          </w:p>
        </w:tc>
        <w:tc>
          <w:tcPr>
            <w:tcW w:w="0" w:type="auto"/>
            <w:shd w:val="clear" w:color="auto" w:fill="auto"/>
          </w:tcPr>
          <w:p w14:paraId="36E35A35" w14:textId="77777777" w:rsidR="006B2EC1" w:rsidRDefault="00E82A60">
            <w:pPr>
              <w:spacing w:before="0" w:after="240"/>
              <w:jc w:val="left"/>
            </w:pPr>
            <w:r>
              <w:t xml:space="preserve">W </w:t>
            </w:r>
            <w:proofErr w:type="spellStart"/>
            <w:r>
              <w:t>ramach</w:t>
            </w:r>
            <w:proofErr w:type="spellEnd"/>
            <w:r>
              <w:t xml:space="preserve"> </w:t>
            </w:r>
            <w:proofErr w:type="spellStart"/>
            <w:r>
              <w:t>badania</w:t>
            </w:r>
            <w:proofErr w:type="spellEnd"/>
            <w:r>
              <w:t xml:space="preserve"> </w:t>
            </w:r>
            <w:proofErr w:type="spellStart"/>
            <w:r>
              <w:t>dokonana</w:t>
            </w:r>
            <w:proofErr w:type="spellEnd"/>
            <w:r>
              <w:t xml:space="preserve"> </w:t>
            </w:r>
            <w:proofErr w:type="spellStart"/>
            <w:r>
              <w:t>została</w:t>
            </w:r>
            <w:proofErr w:type="spellEnd"/>
            <w:r>
              <w:t xml:space="preserve"> </w:t>
            </w:r>
            <w:proofErr w:type="spellStart"/>
            <w:r>
              <w:t>ocena</w:t>
            </w:r>
            <w:proofErr w:type="spellEnd"/>
            <w:r>
              <w:t>:</w:t>
            </w:r>
          </w:p>
          <w:p w14:paraId="4B086D5C" w14:textId="77777777" w:rsidR="006B2EC1" w:rsidRDefault="00E82A60" w:rsidP="00E82A60">
            <w:pPr>
              <w:numPr>
                <w:ilvl w:val="0"/>
                <w:numId w:val="57"/>
              </w:numPr>
              <w:spacing w:before="240" w:after="0"/>
              <w:ind w:hanging="210"/>
              <w:jc w:val="left"/>
            </w:pPr>
            <w:proofErr w:type="spellStart"/>
            <w:r>
              <w:t>postępów</w:t>
            </w:r>
            <w:proofErr w:type="spellEnd"/>
            <w:r>
              <w:t xml:space="preserve"> </w:t>
            </w:r>
            <w:proofErr w:type="spellStart"/>
            <w:r>
              <w:t>wdrażania</w:t>
            </w:r>
            <w:proofErr w:type="spellEnd"/>
            <w:r>
              <w:t xml:space="preserve"> RPOWŚ 2014-2020 </w:t>
            </w:r>
            <w:proofErr w:type="spellStart"/>
            <w:r>
              <w:t>na</w:t>
            </w:r>
            <w:proofErr w:type="spellEnd"/>
            <w:r>
              <w:t xml:space="preserve"> </w:t>
            </w:r>
            <w:proofErr w:type="spellStart"/>
            <w:r>
              <w:t>poziomie</w:t>
            </w:r>
            <w:proofErr w:type="spellEnd"/>
            <w:r>
              <w:t xml:space="preserve"> </w:t>
            </w:r>
            <w:proofErr w:type="spellStart"/>
            <w:r>
              <w:t>osi</w:t>
            </w:r>
            <w:proofErr w:type="spellEnd"/>
            <w:r>
              <w:t xml:space="preserve"> i </w:t>
            </w:r>
            <w:proofErr w:type="spellStart"/>
            <w:r>
              <w:t>priorytetów</w:t>
            </w:r>
            <w:proofErr w:type="spellEnd"/>
            <w:r>
              <w:t xml:space="preserve"> </w:t>
            </w:r>
            <w:proofErr w:type="spellStart"/>
            <w:r>
              <w:t>inwestycyjnych</w:t>
            </w:r>
            <w:proofErr w:type="spellEnd"/>
            <w:r>
              <w:t xml:space="preserve"> </w:t>
            </w:r>
            <w:proofErr w:type="spellStart"/>
            <w:r>
              <w:t>poprzez</w:t>
            </w:r>
            <w:proofErr w:type="spellEnd"/>
            <w:r>
              <w:t xml:space="preserve"> </w:t>
            </w:r>
            <w:proofErr w:type="spellStart"/>
            <w:r>
              <w:t>ocenę</w:t>
            </w:r>
            <w:proofErr w:type="spellEnd"/>
            <w:r>
              <w:t xml:space="preserve"> </w:t>
            </w:r>
            <w:proofErr w:type="spellStart"/>
            <w:r>
              <w:t>realizacji</w:t>
            </w:r>
            <w:proofErr w:type="spellEnd"/>
            <w:r>
              <w:t xml:space="preserve"> </w:t>
            </w:r>
            <w:proofErr w:type="spellStart"/>
            <w:r>
              <w:t>założonych</w:t>
            </w:r>
            <w:proofErr w:type="spellEnd"/>
            <w:r>
              <w:t xml:space="preserve"> </w:t>
            </w:r>
            <w:proofErr w:type="spellStart"/>
            <w:r>
              <w:t>wartości</w:t>
            </w:r>
            <w:proofErr w:type="spellEnd"/>
            <w:r>
              <w:t xml:space="preserve"> </w:t>
            </w:r>
            <w:proofErr w:type="spellStart"/>
            <w:r>
              <w:t>pośrednich</w:t>
            </w:r>
            <w:proofErr w:type="spellEnd"/>
            <w:r>
              <w:t xml:space="preserve"> i </w:t>
            </w:r>
            <w:proofErr w:type="spellStart"/>
            <w:r>
              <w:t>oszacowanie</w:t>
            </w:r>
            <w:proofErr w:type="spellEnd"/>
            <w:r>
              <w:t xml:space="preserve"> </w:t>
            </w:r>
            <w:proofErr w:type="spellStart"/>
            <w:r>
              <w:t>poziomu</w:t>
            </w:r>
            <w:proofErr w:type="spellEnd"/>
            <w:r>
              <w:t xml:space="preserve"> </w:t>
            </w:r>
            <w:proofErr w:type="spellStart"/>
            <w:r>
              <w:t>realizacji</w:t>
            </w:r>
            <w:proofErr w:type="spellEnd"/>
            <w:r>
              <w:t xml:space="preserve"> </w:t>
            </w:r>
            <w:proofErr w:type="spellStart"/>
            <w:r>
              <w:t>wartości</w:t>
            </w:r>
            <w:proofErr w:type="spellEnd"/>
            <w:r>
              <w:t xml:space="preserve"> </w:t>
            </w:r>
            <w:proofErr w:type="spellStart"/>
            <w:r>
              <w:t>docelowych</w:t>
            </w:r>
            <w:proofErr w:type="spellEnd"/>
            <w:r>
              <w:t xml:space="preserve"> </w:t>
            </w:r>
            <w:proofErr w:type="spellStart"/>
            <w:r>
              <w:t>wskaźników</w:t>
            </w:r>
            <w:proofErr w:type="spellEnd"/>
            <w:r>
              <w:t xml:space="preserve"> </w:t>
            </w:r>
            <w:proofErr w:type="spellStart"/>
            <w:r>
              <w:t>wraz</w:t>
            </w:r>
            <w:proofErr w:type="spellEnd"/>
            <w:r>
              <w:t xml:space="preserve"> z </w:t>
            </w:r>
            <w:proofErr w:type="spellStart"/>
            <w:r>
              <w:t>określeniem</w:t>
            </w:r>
            <w:proofErr w:type="spellEnd"/>
            <w:r>
              <w:t xml:space="preserve"> </w:t>
            </w:r>
            <w:proofErr w:type="spellStart"/>
            <w:r>
              <w:t>czynników</w:t>
            </w:r>
            <w:proofErr w:type="spellEnd"/>
            <w:r>
              <w:t>/</w:t>
            </w:r>
            <w:proofErr w:type="spellStart"/>
            <w:r>
              <w:t>problemów</w:t>
            </w:r>
            <w:proofErr w:type="spellEnd"/>
            <w:r>
              <w:t xml:space="preserve"> </w:t>
            </w:r>
            <w:proofErr w:type="spellStart"/>
            <w:r>
              <w:t>wpływających</w:t>
            </w:r>
            <w:proofErr w:type="spellEnd"/>
            <w:r>
              <w:t xml:space="preserve"> </w:t>
            </w:r>
            <w:proofErr w:type="spellStart"/>
            <w:r>
              <w:t>na</w:t>
            </w:r>
            <w:proofErr w:type="spellEnd"/>
            <w:r>
              <w:t xml:space="preserve"> </w:t>
            </w:r>
            <w:proofErr w:type="spellStart"/>
            <w:r>
              <w:t>stopień</w:t>
            </w:r>
            <w:proofErr w:type="spellEnd"/>
            <w:r>
              <w:t xml:space="preserve"> ich </w:t>
            </w:r>
            <w:proofErr w:type="spellStart"/>
            <w:r>
              <w:t>osiągnięcia</w:t>
            </w:r>
            <w:proofErr w:type="spellEnd"/>
          </w:p>
          <w:p w14:paraId="1D582E8D" w14:textId="77777777" w:rsidR="006B2EC1" w:rsidRDefault="00E82A60" w:rsidP="00E82A60">
            <w:pPr>
              <w:numPr>
                <w:ilvl w:val="0"/>
                <w:numId w:val="57"/>
              </w:numPr>
              <w:spacing w:before="0" w:after="0"/>
              <w:ind w:hanging="210"/>
              <w:jc w:val="left"/>
            </w:pPr>
            <w:proofErr w:type="spellStart"/>
            <w:r>
              <w:t>potencjału</w:t>
            </w:r>
            <w:proofErr w:type="spellEnd"/>
            <w:r>
              <w:t xml:space="preserve"> </w:t>
            </w:r>
            <w:proofErr w:type="spellStart"/>
            <w:r>
              <w:t>absorpcyjnego</w:t>
            </w:r>
            <w:proofErr w:type="spellEnd"/>
            <w:r>
              <w:t xml:space="preserve"> </w:t>
            </w:r>
            <w:proofErr w:type="spellStart"/>
            <w:r>
              <w:t>osi</w:t>
            </w:r>
            <w:proofErr w:type="spellEnd"/>
            <w:r>
              <w:t xml:space="preserve"> </w:t>
            </w:r>
            <w:proofErr w:type="spellStart"/>
            <w:r>
              <w:t>priorytetowych</w:t>
            </w:r>
            <w:proofErr w:type="spellEnd"/>
            <w:r>
              <w:t xml:space="preserve">, w </w:t>
            </w:r>
            <w:proofErr w:type="spellStart"/>
            <w:r>
              <w:t>ramach</w:t>
            </w:r>
            <w:proofErr w:type="spellEnd"/>
            <w:r>
              <w:t xml:space="preserve"> </w:t>
            </w:r>
            <w:proofErr w:type="spellStart"/>
            <w:r>
              <w:t>których</w:t>
            </w:r>
            <w:proofErr w:type="spellEnd"/>
            <w:r>
              <w:t xml:space="preserve"> </w:t>
            </w:r>
            <w:proofErr w:type="spellStart"/>
            <w:r>
              <w:t>może</w:t>
            </w:r>
            <w:proofErr w:type="spellEnd"/>
            <w:r>
              <w:t xml:space="preserve"> </w:t>
            </w:r>
            <w:proofErr w:type="spellStart"/>
            <w:r>
              <w:t>dojść</w:t>
            </w:r>
            <w:proofErr w:type="spellEnd"/>
            <w:r>
              <w:t xml:space="preserve"> do </w:t>
            </w:r>
            <w:proofErr w:type="spellStart"/>
            <w:r>
              <w:t>realokacji</w:t>
            </w:r>
            <w:proofErr w:type="spellEnd"/>
            <w:r>
              <w:t xml:space="preserve"> </w:t>
            </w:r>
            <w:proofErr w:type="spellStart"/>
            <w:r>
              <w:t>środków</w:t>
            </w:r>
            <w:proofErr w:type="spellEnd"/>
            <w:r>
              <w:t xml:space="preserve"> </w:t>
            </w:r>
            <w:proofErr w:type="spellStart"/>
            <w:r>
              <w:t>rezerwy</w:t>
            </w:r>
            <w:proofErr w:type="spellEnd"/>
            <w:r>
              <w:t xml:space="preserve"> </w:t>
            </w:r>
            <w:proofErr w:type="spellStart"/>
            <w:r>
              <w:t>wykonania</w:t>
            </w:r>
            <w:proofErr w:type="spellEnd"/>
            <w:r>
              <w:t>.</w:t>
            </w:r>
          </w:p>
          <w:p w14:paraId="5AFE9FAD" w14:textId="77777777" w:rsidR="006B2EC1" w:rsidRDefault="00E82A60" w:rsidP="00E82A60">
            <w:pPr>
              <w:numPr>
                <w:ilvl w:val="0"/>
                <w:numId w:val="57"/>
              </w:numPr>
              <w:spacing w:before="0" w:after="240"/>
              <w:ind w:hanging="210"/>
              <w:jc w:val="left"/>
            </w:pPr>
            <w:proofErr w:type="spellStart"/>
            <w:r>
              <w:t>wkładu</w:t>
            </w:r>
            <w:proofErr w:type="spellEnd"/>
            <w:r>
              <w:t xml:space="preserve"> </w:t>
            </w:r>
            <w:proofErr w:type="spellStart"/>
            <w:r>
              <w:t>interwencji</w:t>
            </w:r>
            <w:proofErr w:type="spellEnd"/>
            <w:r>
              <w:t xml:space="preserve"> w </w:t>
            </w:r>
            <w:proofErr w:type="spellStart"/>
            <w:r>
              <w:t>realizację</w:t>
            </w:r>
            <w:proofErr w:type="spellEnd"/>
            <w:r>
              <w:t xml:space="preserve"> </w:t>
            </w:r>
            <w:proofErr w:type="spellStart"/>
            <w:r>
              <w:t>celów</w:t>
            </w:r>
            <w:proofErr w:type="spellEnd"/>
            <w:r>
              <w:t xml:space="preserve"> </w:t>
            </w:r>
            <w:proofErr w:type="spellStart"/>
            <w:r>
              <w:t>Strategii</w:t>
            </w:r>
            <w:proofErr w:type="spellEnd"/>
            <w:r>
              <w:t xml:space="preserve"> Europa 2020.</w:t>
            </w:r>
          </w:p>
          <w:p w14:paraId="7540A27C" w14:textId="77777777" w:rsidR="006B2EC1" w:rsidRDefault="00E82A60">
            <w:pPr>
              <w:spacing w:before="240" w:after="240"/>
              <w:jc w:val="left"/>
            </w:pPr>
            <w:proofErr w:type="spellStart"/>
            <w:r>
              <w:t>Stwierdzono</w:t>
            </w:r>
            <w:proofErr w:type="spellEnd"/>
            <w:r>
              <w:t xml:space="preserve">, </w:t>
            </w:r>
            <w:proofErr w:type="spellStart"/>
            <w:r>
              <w:t>że</w:t>
            </w:r>
            <w:proofErr w:type="spellEnd"/>
            <w:r>
              <w:t xml:space="preserve"> </w:t>
            </w:r>
            <w:proofErr w:type="spellStart"/>
            <w:r>
              <w:t>cele</w:t>
            </w:r>
            <w:proofErr w:type="spellEnd"/>
            <w:r>
              <w:t xml:space="preserve"> </w:t>
            </w:r>
            <w:proofErr w:type="spellStart"/>
            <w:r>
              <w:t>pośrednie</w:t>
            </w:r>
            <w:proofErr w:type="spellEnd"/>
            <w:r>
              <w:t xml:space="preserve"> </w:t>
            </w:r>
            <w:proofErr w:type="spellStart"/>
            <w:r>
              <w:t>zostały</w:t>
            </w:r>
            <w:proofErr w:type="spellEnd"/>
            <w:r>
              <w:t xml:space="preserve"> </w:t>
            </w:r>
            <w:proofErr w:type="spellStart"/>
            <w:r>
              <w:t>osiągnięte</w:t>
            </w:r>
            <w:proofErr w:type="spellEnd"/>
            <w:r>
              <w:t xml:space="preserve"> we </w:t>
            </w:r>
            <w:proofErr w:type="spellStart"/>
            <w:r>
              <w:t>wszystkich</w:t>
            </w:r>
            <w:proofErr w:type="spellEnd"/>
            <w:r>
              <w:t xml:space="preserve"> </w:t>
            </w:r>
            <w:proofErr w:type="spellStart"/>
            <w:r>
              <w:t>osiach</w:t>
            </w:r>
            <w:proofErr w:type="spellEnd"/>
            <w:r>
              <w:t xml:space="preserve"> </w:t>
            </w:r>
            <w:proofErr w:type="spellStart"/>
            <w:r>
              <w:t>priorytetowych</w:t>
            </w:r>
            <w:proofErr w:type="spellEnd"/>
            <w:r>
              <w:t xml:space="preserve"> i </w:t>
            </w:r>
            <w:proofErr w:type="spellStart"/>
            <w:r>
              <w:t>tym</w:t>
            </w:r>
            <w:proofErr w:type="spellEnd"/>
            <w:r>
              <w:t xml:space="preserve"> </w:t>
            </w:r>
            <w:proofErr w:type="spellStart"/>
            <w:r>
              <w:t>samym</w:t>
            </w:r>
            <w:proofErr w:type="spellEnd"/>
            <w:r>
              <w:t xml:space="preserve"> </w:t>
            </w:r>
            <w:proofErr w:type="spellStart"/>
            <w:r>
              <w:t>został</w:t>
            </w:r>
            <w:proofErr w:type="spellEnd"/>
            <w:r>
              <w:t xml:space="preserve"> </w:t>
            </w:r>
            <w:proofErr w:type="spellStart"/>
            <w:r>
              <w:t>spełniony</w:t>
            </w:r>
            <w:proofErr w:type="spellEnd"/>
            <w:r>
              <w:t xml:space="preserve"> </w:t>
            </w:r>
            <w:proofErr w:type="spellStart"/>
            <w:r>
              <w:t>warunek</w:t>
            </w:r>
            <w:proofErr w:type="spellEnd"/>
            <w:r>
              <w:t xml:space="preserve"> </w:t>
            </w:r>
            <w:proofErr w:type="spellStart"/>
            <w:r>
              <w:t>przyznania</w:t>
            </w:r>
            <w:proofErr w:type="spellEnd"/>
            <w:r>
              <w:t xml:space="preserve"> </w:t>
            </w:r>
            <w:proofErr w:type="spellStart"/>
            <w:r>
              <w:t>środków</w:t>
            </w:r>
            <w:proofErr w:type="spellEnd"/>
            <w:r>
              <w:t xml:space="preserve"> </w:t>
            </w:r>
            <w:proofErr w:type="spellStart"/>
            <w:r>
              <w:t>stanowiących</w:t>
            </w:r>
            <w:proofErr w:type="spellEnd"/>
            <w:r>
              <w:t xml:space="preserve"> </w:t>
            </w:r>
            <w:proofErr w:type="spellStart"/>
            <w:r>
              <w:t>rezerwę</w:t>
            </w:r>
            <w:proofErr w:type="spellEnd"/>
            <w:r>
              <w:t xml:space="preserve"> </w:t>
            </w:r>
            <w:proofErr w:type="spellStart"/>
            <w:r>
              <w:t>wykonania</w:t>
            </w:r>
            <w:proofErr w:type="spellEnd"/>
            <w:r>
              <w:t xml:space="preserve">. </w:t>
            </w:r>
            <w:proofErr w:type="spellStart"/>
            <w:r>
              <w:t>Dokonano</w:t>
            </w:r>
            <w:proofErr w:type="spellEnd"/>
            <w:r>
              <w:t xml:space="preserve"> </w:t>
            </w:r>
            <w:proofErr w:type="spellStart"/>
            <w:r>
              <w:t>analizy</w:t>
            </w:r>
            <w:proofErr w:type="spellEnd"/>
            <w:r>
              <w:t xml:space="preserve"> i </w:t>
            </w:r>
            <w:proofErr w:type="spellStart"/>
            <w:r>
              <w:t>oceny</w:t>
            </w:r>
            <w:proofErr w:type="spellEnd"/>
            <w:r>
              <w:t xml:space="preserve"> </w:t>
            </w:r>
            <w:proofErr w:type="spellStart"/>
            <w:r>
              <w:t>dotyczące</w:t>
            </w:r>
            <w:proofErr w:type="spellEnd"/>
            <w:r>
              <w:t xml:space="preserve"> </w:t>
            </w:r>
            <w:proofErr w:type="spellStart"/>
            <w:r>
              <w:t>skuteczności</w:t>
            </w:r>
            <w:proofErr w:type="spellEnd"/>
            <w:r>
              <w:t xml:space="preserve"> </w:t>
            </w:r>
            <w:proofErr w:type="spellStart"/>
            <w:r>
              <w:t>realizacji</w:t>
            </w:r>
            <w:proofErr w:type="spellEnd"/>
            <w:r>
              <w:t xml:space="preserve"> </w:t>
            </w:r>
            <w:proofErr w:type="spellStart"/>
            <w:r>
              <w:t>celów</w:t>
            </w:r>
            <w:proofErr w:type="spellEnd"/>
            <w:r>
              <w:t xml:space="preserve"> </w:t>
            </w:r>
            <w:proofErr w:type="spellStart"/>
            <w:r>
              <w:t>szczegółowych</w:t>
            </w:r>
            <w:proofErr w:type="spellEnd"/>
            <w:r>
              <w:t xml:space="preserve"> RPO </w:t>
            </w:r>
            <w:proofErr w:type="spellStart"/>
            <w:r>
              <w:t>stanowiącej</w:t>
            </w:r>
            <w:proofErr w:type="spellEnd"/>
            <w:r>
              <w:t xml:space="preserve"> </w:t>
            </w:r>
            <w:proofErr w:type="spellStart"/>
            <w:r>
              <w:t>podstawę</w:t>
            </w:r>
            <w:proofErr w:type="spellEnd"/>
            <w:r>
              <w:t xml:space="preserve"> do </w:t>
            </w:r>
            <w:proofErr w:type="spellStart"/>
            <w:r>
              <w:t>renegocjacji</w:t>
            </w:r>
            <w:proofErr w:type="spellEnd"/>
            <w:r>
              <w:t xml:space="preserve"> </w:t>
            </w:r>
            <w:proofErr w:type="spellStart"/>
            <w:r>
              <w:t>programu</w:t>
            </w:r>
            <w:proofErr w:type="spellEnd"/>
            <w:r>
              <w:t xml:space="preserve"> i </w:t>
            </w:r>
            <w:proofErr w:type="spellStart"/>
            <w:r>
              <w:t>realokowania</w:t>
            </w:r>
            <w:proofErr w:type="spellEnd"/>
            <w:r>
              <w:t xml:space="preserve"> </w:t>
            </w:r>
            <w:proofErr w:type="spellStart"/>
            <w:r>
              <w:t>środków</w:t>
            </w:r>
            <w:proofErr w:type="spellEnd"/>
            <w:r>
              <w:t xml:space="preserve"> w </w:t>
            </w:r>
            <w:proofErr w:type="spellStart"/>
            <w:r>
              <w:t>ramach</w:t>
            </w:r>
            <w:proofErr w:type="spellEnd"/>
            <w:r>
              <w:t xml:space="preserve"> </w:t>
            </w:r>
            <w:proofErr w:type="spellStart"/>
            <w:r>
              <w:t>rezerwy</w:t>
            </w:r>
            <w:proofErr w:type="spellEnd"/>
            <w:r>
              <w:t xml:space="preserve"> </w:t>
            </w:r>
            <w:proofErr w:type="spellStart"/>
            <w:r>
              <w:t>wykonania</w:t>
            </w:r>
            <w:proofErr w:type="spellEnd"/>
            <w:r>
              <w:t>.  </w:t>
            </w:r>
            <w:proofErr w:type="spellStart"/>
            <w:r>
              <w:t>Wnioski</w:t>
            </w:r>
            <w:proofErr w:type="spellEnd"/>
            <w:r>
              <w:t xml:space="preserve"> i </w:t>
            </w:r>
            <w:proofErr w:type="spellStart"/>
            <w:r>
              <w:t>rekomendacje</w:t>
            </w:r>
            <w:proofErr w:type="spellEnd"/>
            <w:r>
              <w:t xml:space="preserve"> </w:t>
            </w:r>
            <w:proofErr w:type="spellStart"/>
            <w:r>
              <w:t>dotyczyły</w:t>
            </w:r>
            <w:proofErr w:type="spellEnd"/>
            <w:r>
              <w:t xml:space="preserve"> </w:t>
            </w:r>
            <w:proofErr w:type="spellStart"/>
            <w:r>
              <w:t>dalszej</w:t>
            </w:r>
            <w:proofErr w:type="spellEnd"/>
            <w:r>
              <w:t xml:space="preserve"> </w:t>
            </w:r>
            <w:proofErr w:type="spellStart"/>
            <w:r>
              <w:t>realizacji</w:t>
            </w:r>
            <w:proofErr w:type="spellEnd"/>
            <w:r>
              <w:t xml:space="preserve"> RPO </w:t>
            </w:r>
            <w:proofErr w:type="spellStart"/>
            <w:r>
              <w:t>dla</w:t>
            </w:r>
            <w:proofErr w:type="spellEnd"/>
            <w:r>
              <w:t xml:space="preserve"> </w:t>
            </w:r>
            <w:proofErr w:type="spellStart"/>
            <w:r>
              <w:lastRenderedPageBreak/>
              <w:t>każdej</w:t>
            </w:r>
            <w:proofErr w:type="spellEnd"/>
            <w:r>
              <w:t xml:space="preserve"> </w:t>
            </w:r>
            <w:proofErr w:type="spellStart"/>
            <w:r>
              <w:t>osi</w:t>
            </w:r>
            <w:proofErr w:type="spellEnd"/>
            <w:r>
              <w:t xml:space="preserve"> </w:t>
            </w:r>
            <w:proofErr w:type="spellStart"/>
            <w:r>
              <w:t>priorytetowej</w:t>
            </w:r>
            <w:proofErr w:type="spellEnd"/>
            <w:r>
              <w:t xml:space="preserve">. </w:t>
            </w:r>
            <w:proofErr w:type="spellStart"/>
            <w:r>
              <w:t>Najważniejsze</w:t>
            </w:r>
            <w:proofErr w:type="spellEnd"/>
            <w:r>
              <w:t xml:space="preserve"> z </w:t>
            </w:r>
            <w:proofErr w:type="spellStart"/>
            <w:r>
              <w:t>nich</w:t>
            </w:r>
            <w:proofErr w:type="spellEnd"/>
            <w:r>
              <w:t xml:space="preserve"> to:</w:t>
            </w:r>
          </w:p>
          <w:p w14:paraId="4BA66BCD" w14:textId="77777777" w:rsidR="006B2EC1" w:rsidRDefault="00E82A60" w:rsidP="00E82A60">
            <w:pPr>
              <w:numPr>
                <w:ilvl w:val="0"/>
                <w:numId w:val="58"/>
              </w:numPr>
              <w:spacing w:before="240" w:after="0"/>
              <w:ind w:hanging="210"/>
              <w:jc w:val="left"/>
            </w:pPr>
            <w:proofErr w:type="spellStart"/>
            <w:r>
              <w:t>przekrojowy</w:t>
            </w:r>
            <w:proofErr w:type="spellEnd"/>
            <w:r>
              <w:t xml:space="preserve"> problem </w:t>
            </w:r>
            <w:proofErr w:type="spellStart"/>
            <w:r>
              <w:t>wysokich</w:t>
            </w:r>
            <w:proofErr w:type="spellEnd"/>
            <w:r>
              <w:t xml:space="preserve"> </w:t>
            </w:r>
            <w:proofErr w:type="spellStart"/>
            <w:r>
              <w:t>cen</w:t>
            </w:r>
            <w:proofErr w:type="spellEnd"/>
            <w:r>
              <w:t xml:space="preserve"> </w:t>
            </w:r>
            <w:proofErr w:type="spellStart"/>
            <w:r>
              <w:t>na</w:t>
            </w:r>
            <w:proofErr w:type="spellEnd"/>
            <w:r>
              <w:t xml:space="preserve"> </w:t>
            </w:r>
            <w:proofErr w:type="spellStart"/>
            <w:r>
              <w:t>rynku</w:t>
            </w:r>
            <w:proofErr w:type="spellEnd"/>
            <w:r>
              <w:t xml:space="preserve"> </w:t>
            </w:r>
            <w:proofErr w:type="spellStart"/>
            <w:r>
              <w:t>usług</w:t>
            </w:r>
            <w:proofErr w:type="spellEnd"/>
            <w:r>
              <w:t xml:space="preserve"> i </w:t>
            </w:r>
            <w:proofErr w:type="spellStart"/>
            <w:r>
              <w:t>materiałów</w:t>
            </w:r>
            <w:proofErr w:type="spellEnd"/>
            <w:r>
              <w:t xml:space="preserve"> </w:t>
            </w:r>
            <w:proofErr w:type="spellStart"/>
            <w:r>
              <w:t>budowlanych</w:t>
            </w:r>
            <w:proofErr w:type="spellEnd"/>
            <w:r>
              <w:t xml:space="preserve"> (</w:t>
            </w:r>
            <w:proofErr w:type="spellStart"/>
            <w:r>
              <w:t>ryzyko</w:t>
            </w:r>
            <w:proofErr w:type="spellEnd"/>
            <w:r>
              <w:t xml:space="preserve"> </w:t>
            </w:r>
            <w:proofErr w:type="spellStart"/>
            <w:r>
              <w:t>dla</w:t>
            </w:r>
            <w:proofErr w:type="spellEnd"/>
            <w:r>
              <w:t xml:space="preserve"> </w:t>
            </w:r>
            <w:proofErr w:type="spellStart"/>
            <w:r>
              <w:t>osiągnięcia</w:t>
            </w:r>
            <w:proofErr w:type="spellEnd"/>
            <w:r>
              <w:t xml:space="preserve"> </w:t>
            </w:r>
            <w:proofErr w:type="spellStart"/>
            <w:r>
              <w:t>niektórych</w:t>
            </w:r>
            <w:proofErr w:type="spellEnd"/>
            <w:r>
              <w:t xml:space="preserve"> </w:t>
            </w:r>
            <w:proofErr w:type="spellStart"/>
            <w:r>
              <w:t>wskaźników</w:t>
            </w:r>
            <w:proofErr w:type="spellEnd"/>
            <w:r>
              <w:t xml:space="preserve"> i </w:t>
            </w:r>
            <w:proofErr w:type="spellStart"/>
            <w:r>
              <w:t>prawidłowej</w:t>
            </w:r>
            <w:proofErr w:type="spellEnd"/>
            <w:r>
              <w:t xml:space="preserve"> </w:t>
            </w:r>
            <w:proofErr w:type="spellStart"/>
            <w:r>
              <w:t>realizacji</w:t>
            </w:r>
            <w:proofErr w:type="spellEnd"/>
            <w:r>
              <w:t xml:space="preserve"> </w:t>
            </w:r>
            <w:proofErr w:type="spellStart"/>
            <w:r>
              <w:t>projektów</w:t>
            </w:r>
            <w:proofErr w:type="spellEnd"/>
            <w:r>
              <w:t>)</w:t>
            </w:r>
          </w:p>
          <w:p w14:paraId="4A8281F2" w14:textId="77777777" w:rsidR="006B2EC1" w:rsidRDefault="00E82A60" w:rsidP="00E82A60">
            <w:pPr>
              <w:numPr>
                <w:ilvl w:val="0"/>
                <w:numId w:val="58"/>
              </w:numPr>
              <w:spacing w:before="0" w:after="0"/>
              <w:ind w:hanging="210"/>
              <w:jc w:val="left"/>
            </w:pPr>
            <w:proofErr w:type="spellStart"/>
            <w:r>
              <w:t>realokacja</w:t>
            </w:r>
            <w:proofErr w:type="spellEnd"/>
            <w:r>
              <w:t xml:space="preserve"> </w:t>
            </w:r>
            <w:proofErr w:type="spellStart"/>
            <w:r>
              <w:t>oszczędności</w:t>
            </w:r>
            <w:proofErr w:type="spellEnd"/>
            <w:r>
              <w:t xml:space="preserve"> i </w:t>
            </w:r>
            <w:proofErr w:type="spellStart"/>
            <w:r>
              <w:t>środków</w:t>
            </w:r>
            <w:proofErr w:type="spellEnd"/>
            <w:r>
              <w:t xml:space="preserve"> RW – w </w:t>
            </w:r>
            <w:proofErr w:type="spellStart"/>
            <w:r>
              <w:t>oparciu</w:t>
            </w:r>
            <w:proofErr w:type="spellEnd"/>
            <w:r>
              <w:t xml:space="preserve"> o </w:t>
            </w:r>
            <w:proofErr w:type="spellStart"/>
            <w:r>
              <w:t>analizę</w:t>
            </w:r>
            <w:proofErr w:type="spellEnd"/>
            <w:r>
              <w:t xml:space="preserve"> – </w:t>
            </w:r>
            <w:proofErr w:type="spellStart"/>
            <w:r>
              <w:t>zwiększenie</w:t>
            </w:r>
            <w:proofErr w:type="spellEnd"/>
            <w:r>
              <w:t xml:space="preserve"> </w:t>
            </w:r>
            <w:proofErr w:type="spellStart"/>
            <w:r>
              <w:t>środków</w:t>
            </w:r>
            <w:proofErr w:type="spellEnd"/>
            <w:r>
              <w:t xml:space="preserve"> </w:t>
            </w:r>
            <w:proofErr w:type="spellStart"/>
            <w:r>
              <w:t>na</w:t>
            </w:r>
            <w:proofErr w:type="spellEnd"/>
            <w:r>
              <w:t xml:space="preserve"> </w:t>
            </w:r>
            <w:proofErr w:type="spellStart"/>
            <w:r>
              <w:t>Działanie</w:t>
            </w:r>
            <w:proofErr w:type="spellEnd"/>
            <w:r>
              <w:t xml:space="preserve"> 1.1 (PI 1a), 2.5 (PI 3c), 3.3 (PI3c), 3.4 (4e), 4.4 (6c), 6.5 (9b).</w:t>
            </w:r>
          </w:p>
          <w:p w14:paraId="0BBFFF07" w14:textId="77777777" w:rsidR="006B2EC1" w:rsidRDefault="00E82A60" w:rsidP="00E82A60">
            <w:pPr>
              <w:numPr>
                <w:ilvl w:val="0"/>
                <w:numId w:val="58"/>
              </w:numPr>
              <w:spacing w:before="0" w:after="240"/>
              <w:ind w:hanging="210"/>
              <w:jc w:val="left"/>
            </w:pPr>
            <w:proofErr w:type="spellStart"/>
            <w:r>
              <w:t>wg</w:t>
            </w:r>
            <w:proofErr w:type="spellEnd"/>
            <w:r>
              <w:t xml:space="preserve"> </w:t>
            </w:r>
            <w:proofErr w:type="spellStart"/>
            <w:r>
              <w:t>szacunków</w:t>
            </w:r>
            <w:proofErr w:type="spellEnd"/>
            <w:r>
              <w:t xml:space="preserve"> </w:t>
            </w:r>
            <w:proofErr w:type="spellStart"/>
            <w:r>
              <w:t>dla</w:t>
            </w:r>
            <w:proofErr w:type="spellEnd"/>
            <w:r>
              <w:t xml:space="preserve"> </w:t>
            </w:r>
            <w:proofErr w:type="spellStart"/>
            <w:r>
              <w:t>większości</w:t>
            </w:r>
            <w:proofErr w:type="spellEnd"/>
            <w:r>
              <w:t xml:space="preserve"> </w:t>
            </w:r>
            <w:proofErr w:type="spellStart"/>
            <w:r>
              <w:t>wskaźników</w:t>
            </w:r>
            <w:proofErr w:type="spellEnd"/>
            <w:r>
              <w:t xml:space="preserve"> – </w:t>
            </w:r>
            <w:proofErr w:type="spellStart"/>
            <w:r>
              <w:t>cele</w:t>
            </w:r>
            <w:proofErr w:type="spellEnd"/>
            <w:r>
              <w:t xml:space="preserve"> </w:t>
            </w:r>
            <w:proofErr w:type="spellStart"/>
            <w:r>
              <w:t>końcowe</w:t>
            </w:r>
            <w:proofErr w:type="spellEnd"/>
            <w:r>
              <w:t xml:space="preserve"> </w:t>
            </w:r>
            <w:proofErr w:type="spellStart"/>
            <w:r>
              <w:t>zostaną</w:t>
            </w:r>
            <w:proofErr w:type="spellEnd"/>
            <w:r>
              <w:t xml:space="preserve"> </w:t>
            </w:r>
            <w:proofErr w:type="spellStart"/>
            <w:r>
              <w:t>osiągnięte</w:t>
            </w:r>
            <w:proofErr w:type="spellEnd"/>
            <w:r>
              <w:t>.</w:t>
            </w:r>
          </w:p>
          <w:p w14:paraId="5FA76869" w14:textId="77777777" w:rsidR="00932504" w:rsidRPr="006C5893" w:rsidRDefault="00932504" w:rsidP="0051119B">
            <w:pPr>
              <w:spacing w:before="0" w:after="0"/>
              <w:jc w:val="left"/>
              <w:rPr>
                <w:sz w:val="16"/>
                <w:szCs w:val="16"/>
                <w:lang w:val="fr-BE"/>
              </w:rPr>
            </w:pPr>
          </w:p>
        </w:tc>
      </w:tr>
    </w:tbl>
    <w:p w14:paraId="01E4C4EE" w14:textId="77777777" w:rsidR="00932504" w:rsidRDefault="00932504" w:rsidP="00D9190F">
      <w:pPr>
        <w:spacing w:before="0" w:after="0"/>
        <w:jc w:val="left"/>
        <w:rPr>
          <w:lang w:val="fr-BE"/>
        </w:rPr>
      </w:pPr>
    </w:p>
    <w:p w14:paraId="4063A14C" w14:textId="77777777" w:rsidR="00C617AA" w:rsidRDefault="00C617AA" w:rsidP="00D9190F">
      <w:pPr>
        <w:spacing w:before="0" w:after="0"/>
        <w:jc w:val="left"/>
        <w:rPr>
          <w:lang w:val="fr-BE"/>
        </w:rPr>
      </w:pPr>
    </w:p>
    <w:p w14:paraId="492FBB5A" w14:textId="77777777" w:rsidR="00C617AA" w:rsidRDefault="00C617AA" w:rsidP="00D9190F">
      <w:pPr>
        <w:spacing w:before="0" w:after="0"/>
        <w:jc w:val="left"/>
        <w:rPr>
          <w:lang w:val="fr-BE"/>
        </w:rPr>
        <w:sectPr w:rsidR="00C617AA" w:rsidSect="0008149E">
          <w:headerReference w:type="default" r:id="rId20"/>
          <w:footerReference w:type="default" r:id="rId21"/>
          <w:pgSz w:w="16838" w:h="11906" w:orient="landscape"/>
          <w:pgMar w:top="0" w:right="851" w:bottom="0" w:left="567" w:header="0" w:footer="0" w:gutter="0"/>
          <w:cols w:space="708"/>
          <w:docGrid w:linePitch="360"/>
        </w:sectPr>
      </w:pPr>
    </w:p>
    <w:p w14:paraId="473334E6" w14:textId="77777777" w:rsidR="008B4892" w:rsidRDefault="008B4892" w:rsidP="00D9190F">
      <w:pPr>
        <w:spacing w:before="0" w:after="0"/>
        <w:jc w:val="left"/>
        <w:rPr>
          <w:lang w:val="fr-BE"/>
        </w:rPr>
      </w:pPr>
    </w:p>
    <w:p w14:paraId="12814728" w14:textId="77777777" w:rsidR="008C5CFA" w:rsidRPr="008B4892" w:rsidRDefault="00E82A60" w:rsidP="00E82A60">
      <w:pPr>
        <w:pStyle w:val="Nagwek1"/>
        <w:numPr>
          <w:ilvl w:val="0"/>
          <w:numId w:val="37"/>
        </w:numPr>
        <w:ind w:left="0" w:firstLine="0"/>
        <w:rPr>
          <w:b w:val="0"/>
        </w:rPr>
      </w:pPr>
      <w:bookmarkStart w:id="93" w:name="_Toc46391777"/>
      <w:r w:rsidRPr="008B4892">
        <w:rPr>
          <w:rStyle w:val="Nagwek1Znak"/>
          <w:b/>
          <w:noProof/>
        </w:rPr>
        <w:t>KWESTIE MAJĄCE WPŁYW NA WYKONANIE PROGRAMU I PODJĘTE DZIAŁANIA (art. 50 ust. 2 rozporządzenia (UE) nr 1303/2013)</w:t>
      </w:r>
      <w:bookmarkEnd w:id="93"/>
    </w:p>
    <w:p w14:paraId="049376B8" w14:textId="77777777" w:rsidR="008C5CFA" w:rsidRDefault="008C5CFA" w:rsidP="00300A01">
      <w:pPr>
        <w:pStyle w:val="Text1"/>
        <w:spacing w:before="0" w:after="0"/>
        <w:ind w:left="0"/>
        <w:rPr>
          <w:lang w:val="fr-BE"/>
        </w:rPr>
      </w:pPr>
    </w:p>
    <w:p w14:paraId="283E1243" w14:textId="77777777" w:rsidR="008C5CFA" w:rsidRPr="000C0BA9" w:rsidRDefault="00E82A60" w:rsidP="0094129D">
      <w:pPr>
        <w:spacing w:before="0" w:after="0"/>
        <w:rPr>
          <w:lang w:val="fr-BE"/>
        </w:rPr>
      </w:pPr>
      <w:r w:rsidRPr="000C0BA9">
        <w:rPr>
          <w:noProof/>
          <w:lang w:val="fr-BE"/>
        </w:rPr>
        <w:t>a) Kwestie mające wpływ na wykonanie programu i podjęte działania</w:t>
      </w:r>
    </w:p>
    <w:p w14:paraId="704F6EA0" w14:textId="77777777" w:rsidR="008C5CFA" w:rsidRDefault="008C5CFA" w:rsidP="0094129D">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52"/>
      </w:tblGrid>
      <w:tr w:rsidR="006B2EC1" w14:paraId="2D5AD2C1" w14:textId="77777777" w:rsidTr="0047688D">
        <w:tc>
          <w:tcPr>
            <w:tcW w:w="0" w:type="auto"/>
            <w:shd w:val="clear" w:color="auto" w:fill="auto"/>
          </w:tcPr>
          <w:p w14:paraId="3253EB9C" w14:textId="77777777" w:rsidR="006B2EC1" w:rsidRDefault="00E82A60">
            <w:pPr>
              <w:spacing w:before="0" w:after="240"/>
              <w:jc w:val="left"/>
            </w:pPr>
            <w:r>
              <w:t xml:space="preserve">W 19r. z </w:t>
            </w:r>
            <w:proofErr w:type="spellStart"/>
            <w:r>
              <w:t>MFiPR</w:t>
            </w:r>
            <w:proofErr w:type="spellEnd"/>
            <w:r>
              <w:t xml:space="preserve"> i KE </w:t>
            </w:r>
            <w:proofErr w:type="spellStart"/>
            <w:r>
              <w:t>uzgadniano</w:t>
            </w:r>
            <w:proofErr w:type="spellEnd"/>
            <w:r>
              <w:t xml:space="preserve"> </w:t>
            </w:r>
            <w:proofErr w:type="spellStart"/>
            <w:r>
              <w:t>zmiany</w:t>
            </w:r>
            <w:proofErr w:type="spellEnd"/>
            <w:r>
              <w:t xml:space="preserve"> RPOWŚ. </w:t>
            </w:r>
            <w:proofErr w:type="spellStart"/>
            <w:r>
              <w:t>Przyspieszono</w:t>
            </w:r>
            <w:proofErr w:type="spellEnd"/>
            <w:r>
              <w:t xml:space="preserve"> </w:t>
            </w:r>
            <w:proofErr w:type="spellStart"/>
            <w:r>
              <w:t>realizację</w:t>
            </w:r>
            <w:proofErr w:type="spellEnd"/>
            <w:r>
              <w:t xml:space="preserve">, </w:t>
            </w:r>
            <w:proofErr w:type="spellStart"/>
            <w:r>
              <w:t>zwiększono</w:t>
            </w:r>
            <w:proofErr w:type="spellEnd"/>
            <w:r>
              <w:t xml:space="preserve"> </w:t>
            </w:r>
            <w:proofErr w:type="spellStart"/>
            <w:r>
              <w:t>kontraktację</w:t>
            </w:r>
            <w:proofErr w:type="spellEnd"/>
            <w:r>
              <w:t xml:space="preserve"> i </w:t>
            </w:r>
            <w:proofErr w:type="spellStart"/>
            <w:r>
              <w:t>certyfikację</w:t>
            </w:r>
            <w:proofErr w:type="spellEnd"/>
            <w:r>
              <w:t>.</w:t>
            </w:r>
          </w:p>
          <w:p w14:paraId="58828055" w14:textId="77777777" w:rsidR="006B2EC1" w:rsidRDefault="00E82A60">
            <w:pPr>
              <w:spacing w:before="240" w:after="240"/>
              <w:jc w:val="left"/>
            </w:pPr>
            <w:r>
              <w:t>EFRR</w:t>
            </w:r>
          </w:p>
          <w:p w14:paraId="218233B8" w14:textId="77777777" w:rsidR="006B2EC1" w:rsidRDefault="00E82A60">
            <w:pPr>
              <w:spacing w:before="240" w:after="240"/>
              <w:jc w:val="left"/>
            </w:pPr>
            <w:r>
              <w:t xml:space="preserve">W EFRR </w:t>
            </w:r>
            <w:proofErr w:type="spellStart"/>
            <w:r>
              <w:t>zmniejszono</w:t>
            </w:r>
            <w:proofErr w:type="spellEnd"/>
            <w:r>
              <w:t xml:space="preserve"> </w:t>
            </w:r>
            <w:proofErr w:type="spellStart"/>
            <w:r>
              <w:t>liczbę</w:t>
            </w:r>
            <w:proofErr w:type="spellEnd"/>
            <w:r>
              <w:t xml:space="preserve"> i </w:t>
            </w:r>
            <w:proofErr w:type="spellStart"/>
            <w:r>
              <w:t>wartość</w:t>
            </w:r>
            <w:proofErr w:type="spellEnd"/>
            <w:r>
              <w:t xml:space="preserve"> pre-</w:t>
            </w:r>
            <w:proofErr w:type="spellStart"/>
            <w:r>
              <w:t>umów</w:t>
            </w:r>
            <w:proofErr w:type="spellEnd"/>
            <w:r>
              <w:t xml:space="preserve"> (</w:t>
            </w:r>
            <w:proofErr w:type="spellStart"/>
            <w:r>
              <w:t>podpisano</w:t>
            </w:r>
            <w:proofErr w:type="spellEnd"/>
            <w:r>
              <w:t xml:space="preserve"> </w:t>
            </w:r>
            <w:proofErr w:type="spellStart"/>
            <w:r>
              <w:t>umowy</w:t>
            </w:r>
            <w:proofErr w:type="spellEnd"/>
            <w:r>
              <w:t>).</w:t>
            </w:r>
          </w:p>
          <w:p w14:paraId="1B06D078" w14:textId="77777777" w:rsidR="006B2EC1" w:rsidRDefault="00E82A60">
            <w:pPr>
              <w:spacing w:before="240" w:after="240"/>
              <w:jc w:val="left"/>
            </w:pPr>
            <w:r>
              <w:rPr>
                <w:b/>
                <w:bCs/>
              </w:rPr>
              <w:t xml:space="preserve">OP1 </w:t>
            </w:r>
          </w:p>
          <w:p w14:paraId="6F784F07" w14:textId="77777777" w:rsidR="006B2EC1" w:rsidRDefault="00E82A60">
            <w:pPr>
              <w:spacing w:before="240" w:after="240"/>
              <w:jc w:val="left"/>
            </w:pPr>
            <w:r>
              <w:t xml:space="preserve">PI 1a/Dz.1.1 </w:t>
            </w:r>
            <w:proofErr w:type="spellStart"/>
            <w:r>
              <w:t>wsparcie</w:t>
            </w:r>
            <w:proofErr w:type="spellEnd"/>
            <w:r>
              <w:t xml:space="preserve"> </w:t>
            </w:r>
            <w:proofErr w:type="spellStart"/>
            <w:r>
              <w:t>mogły</w:t>
            </w:r>
            <w:proofErr w:type="spellEnd"/>
            <w:r>
              <w:t xml:space="preserve"> </w:t>
            </w:r>
            <w:proofErr w:type="spellStart"/>
            <w:r>
              <w:t>ubiegać</w:t>
            </w:r>
            <w:proofErr w:type="spellEnd"/>
            <w:r>
              <w:t xml:space="preserve"> </w:t>
            </w:r>
            <w:proofErr w:type="spellStart"/>
            <w:r>
              <w:t>się</w:t>
            </w:r>
            <w:proofErr w:type="spellEnd"/>
            <w:r>
              <w:t xml:space="preserve"> 3 </w:t>
            </w:r>
            <w:proofErr w:type="spellStart"/>
            <w:r>
              <w:t>podmioty</w:t>
            </w:r>
            <w:proofErr w:type="spellEnd"/>
            <w:r>
              <w:t xml:space="preserve">, </w:t>
            </w:r>
            <w:proofErr w:type="spellStart"/>
            <w:r>
              <w:t>wpisane</w:t>
            </w:r>
            <w:proofErr w:type="spellEnd"/>
            <w:r>
              <w:t xml:space="preserve"> w KT. </w:t>
            </w:r>
            <w:proofErr w:type="spellStart"/>
            <w:r>
              <w:t>Długie</w:t>
            </w:r>
            <w:proofErr w:type="spellEnd"/>
            <w:r>
              <w:t xml:space="preserve"> </w:t>
            </w:r>
            <w:proofErr w:type="spellStart"/>
            <w:r>
              <w:t>negocjacje</w:t>
            </w:r>
            <w:proofErr w:type="spellEnd"/>
            <w:r>
              <w:t xml:space="preserve"> z </w:t>
            </w:r>
            <w:proofErr w:type="spellStart"/>
            <w:r>
              <w:t>MIiR</w:t>
            </w:r>
            <w:proofErr w:type="spellEnd"/>
            <w:r>
              <w:t xml:space="preserve"> </w:t>
            </w:r>
            <w:proofErr w:type="spellStart"/>
            <w:r>
              <w:t>opóźniły</w:t>
            </w:r>
            <w:proofErr w:type="spellEnd"/>
            <w:r>
              <w:t xml:space="preserve"> </w:t>
            </w:r>
            <w:proofErr w:type="spellStart"/>
            <w:r>
              <w:t>ogłoszenie</w:t>
            </w:r>
            <w:proofErr w:type="spellEnd"/>
            <w:r>
              <w:t xml:space="preserve"> </w:t>
            </w:r>
            <w:proofErr w:type="spellStart"/>
            <w:r>
              <w:t>naboru</w:t>
            </w:r>
            <w:proofErr w:type="spellEnd"/>
            <w:r>
              <w:t xml:space="preserve">. </w:t>
            </w:r>
            <w:proofErr w:type="spellStart"/>
            <w:r>
              <w:t>Jeden</w:t>
            </w:r>
            <w:proofErr w:type="spellEnd"/>
            <w:r>
              <w:t xml:space="preserve"> z </w:t>
            </w:r>
            <w:proofErr w:type="spellStart"/>
            <w:r>
              <w:t>podmiotów</w:t>
            </w:r>
            <w:proofErr w:type="spellEnd"/>
            <w:r>
              <w:t xml:space="preserve">, </w:t>
            </w:r>
            <w:proofErr w:type="spellStart"/>
            <w:r>
              <w:t>wycofał</w:t>
            </w:r>
            <w:proofErr w:type="spellEnd"/>
            <w:r>
              <w:t xml:space="preserve"> </w:t>
            </w:r>
            <w:proofErr w:type="spellStart"/>
            <w:r>
              <w:t>się</w:t>
            </w:r>
            <w:proofErr w:type="spellEnd"/>
            <w:r>
              <w:t xml:space="preserve">. </w:t>
            </w:r>
            <w:proofErr w:type="spellStart"/>
            <w:r>
              <w:t>Wolną</w:t>
            </w:r>
            <w:proofErr w:type="spellEnd"/>
            <w:r>
              <w:t xml:space="preserve"> </w:t>
            </w:r>
            <w:proofErr w:type="spellStart"/>
            <w:r>
              <w:t>alokację</w:t>
            </w:r>
            <w:proofErr w:type="spellEnd"/>
            <w:r>
              <w:t xml:space="preserve"> Dz.1.1. </w:t>
            </w:r>
            <w:proofErr w:type="spellStart"/>
            <w:r>
              <w:t>przeznaczono</w:t>
            </w:r>
            <w:proofErr w:type="spellEnd"/>
            <w:r>
              <w:t xml:space="preserve"> </w:t>
            </w:r>
            <w:proofErr w:type="spellStart"/>
            <w:r>
              <w:t>na</w:t>
            </w:r>
            <w:proofErr w:type="spellEnd"/>
            <w:r>
              <w:t xml:space="preserve"> </w:t>
            </w:r>
            <w:proofErr w:type="spellStart"/>
            <w:r>
              <w:t>proj</w:t>
            </w:r>
            <w:proofErr w:type="spellEnd"/>
            <w:r>
              <w:t xml:space="preserve">. GUM. </w:t>
            </w:r>
            <w:proofErr w:type="spellStart"/>
            <w:r>
              <w:t>Projekt</w:t>
            </w:r>
            <w:proofErr w:type="spellEnd"/>
            <w:r>
              <w:t xml:space="preserve"> w </w:t>
            </w:r>
            <w:proofErr w:type="spellStart"/>
            <w:r>
              <w:t>trakcie</w:t>
            </w:r>
            <w:proofErr w:type="spellEnd"/>
            <w:r>
              <w:t xml:space="preserve"> </w:t>
            </w:r>
            <w:proofErr w:type="spellStart"/>
            <w:r>
              <w:t>realizacji</w:t>
            </w:r>
            <w:proofErr w:type="spellEnd"/>
            <w:r>
              <w:t xml:space="preserve">. Z </w:t>
            </w:r>
            <w:proofErr w:type="spellStart"/>
            <w:r>
              <w:t>uwagi</w:t>
            </w:r>
            <w:proofErr w:type="spellEnd"/>
            <w:r>
              <w:t xml:space="preserve"> </w:t>
            </w:r>
            <w:proofErr w:type="spellStart"/>
            <w:r>
              <w:t>na</w:t>
            </w:r>
            <w:proofErr w:type="spellEnd"/>
            <w:r>
              <w:t xml:space="preserve"> </w:t>
            </w:r>
            <w:proofErr w:type="spellStart"/>
            <w:r>
              <w:t>obserwowany</w:t>
            </w:r>
            <w:proofErr w:type="spellEnd"/>
            <w:r>
              <w:t xml:space="preserve"> </w:t>
            </w:r>
            <w:proofErr w:type="spellStart"/>
            <w:r>
              <w:t>wzrost</w:t>
            </w:r>
            <w:proofErr w:type="spellEnd"/>
            <w:r>
              <w:t xml:space="preserve"> </w:t>
            </w:r>
            <w:proofErr w:type="spellStart"/>
            <w:r>
              <w:t>cen</w:t>
            </w:r>
            <w:proofErr w:type="spellEnd"/>
            <w:r>
              <w:t xml:space="preserve"> </w:t>
            </w:r>
            <w:proofErr w:type="spellStart"/>
            <w:r>
              <w:t>materiałów</w:t>
            </w:r>
            <w:proofErr w:type="spellEnd"/>
            <w:r>
              <w:t xml:space="preserve"> i </w:t>
            </w:r>
            <w:proofErr w:type="spellStart"/>
            <w:r>
              <w:t>usług</w:t>
            </w:r>
            <w:proofErr w:type="spellEnd"/>
            <w:r>
              <w:t xml:space="preserve"> </w:t>
            </w:r>
            <w:proofErr w:type="spellStart"/>
            <w:r>
              <w:t>budowlanych</w:t>
            </w:r>
            <w:proofErr w:type="spellEnd"/>
            <w:r>
              <w:t xml:space="preserve">, po </w:t>
            </w:r>
            <w:proofErr w:type="spellStart"/>
            <w:r>
              <w:t>ogłoszeniu</w:t>
            </w:r>
            <w:proofErr w:type="spellEnd"/>
            <w:r>
              <w:t xml:space="preserve"> </w:t>
            </w:r>
            <w:proofErr w:type="spellStart"/>
            <w:r>
              <w:t>przetargu</w:t>
            </w:r>
            <w:proofErr w:type="spellEnd"/>
            <w:r>
              <w:t xml:space="preserve"> </w:t>
            </w:r>
            <w:proofErr w:type="spellStart"/>
            <w:r>
              <w:t>na</w:t>
            </w:r>
            <w:proofErr w:type="spellEnd"/>
            <w:r>
              <w:t xml:space="preserve"> </w:t>
            </w:r>
            <w:proofErr w:type="spellStart"/>
            <w:r>
              <w:t>budowę</w:t>
            </w:r>
            <w:proofErr w:type="spellEnd"/>
            <w:r>
              <w:t xml:space="preserve"> </w:t>
            </w:r>
            <w:proofErr w:type="spellStart"/>
            <w:r>
              <w:t>głównego</w:t>
            </w:r>
            <w:proofErr w:type="spellEnd"/>
            <w:r>
              <w:t xml:space="preserve"> </w:t>
            </w:r>
            <w:proofErr w:type="spellStart"/>
            <w:r>
              <w:t>budynku</w:t>
            </w:r>
            <w:proofErr w:type="spellEnd"/>
            <w:r>
              <w:t xml:space="preserve"> </w:t>
            </w:r>
            <w:proofErr w:type="spellStart"/>
            <w:r>
              <w:t>kampusu</w:t>
            </w:r>
            <w:proofErr w:type="spellEnd"/>
            <w:r>
              <w:t xml:space="preserve">, </w:t>
            </w:r>
            <w:proofErr w:type="spellStart"/>
            <w:r>
              <w:t>identyfikuje</w:t>
            </w:r>
            <w:proofErr w:type="spellEnd"/>
            <w:r>
              <w:t xml:space="preserve"> </w:t>
            </w:r>
            <w:proofErr w:type="spellStart"/>
            <w:r>
              <w:t>się</w:t>
            </w:r>
            <w:proofErr w:type="spellEnd"/>
            <w:r>
              <w:t xml:space="preserve"> </w:t>
            </w:r>
            <w:proofErr w:type="spellStart"/>
            <w:r>
              <w:t>ryzyko</w:t>
            </w:r>
            <w:proofErr w:type="spellEnd"/>
            <w:r>
              <w:t xml:space="preserve">, </w:t>
            </w:r>
            <w:proofErr w:type="spellStart"/>
            <w:r>
              <w:t>iż</w:t>
            </w:r>
            <w:proofErr w:type="spellEnd"/>
            <w:r>
              <w:t xml:space="preserve"> </w:t>
            </w:r>
            <w:proofErr w:type="spellStart"/>
            <w:r>
              <w:t>cała</w:t>
            </w:r>
            <w:proofErr w:type="spellEnd"/>
            <w:r>
              <w:t xml:space="preserve"> </w:t>
            </w:r>
            <w:proofErr w:type="spellStart"/>
            <w:r>
              <w:t>kwota</w:t>
            </w:r>
            <w:proofErr w:type="spellEnd"/>
            <w:r>
              <w:t xml:space="preserve"> </w:t>
            </w:r>
            <w:proofErr w:type="spellStart"/>
            <w:r>
              <w:t>środków</w:t>
            </w:r>
            <w:proofErr w:type="spellEnd"/>
            <w:r>
              <w:t xml:space="preserve"> </w:t>
            </w:r>
            <w:proofErr w:type="spellStart"/>
            <w:r>
              <w:t>przeznaczonych</w:t>
            </w:r>
            <w:proofErr w:type="spellEnd"/>
            <w:r>
              <w:t xml:space="preserve"> </w:t>
            </w:r>
            <w:proofErr w:type="spellStart"/>
            <w:r>
              <w:t>na</w:t>
            </w:r>
            <w:proofErr w:type="spellEnd"/>
            <w:r>
              <w:t xml:space="preserve"> </w:t>
            </w:r>
            <w:proofErr w:type="spellStart"/>
            <w:r>
              <w:t>wydatki</w:t>
            </w:r>
            <w:proofErr w:type="spellEnd"/>
            <w:r>
              <w:t xml:space="preserve"> </w:t>
            </w:r>
            <w:proofErr w:type="spellStart"/>
            <w:r>
              <w:t>budowlane</w:t>
            </w:r>
            <w:proofErr w:type="spellEnd"/>
            <w:r>
              <w:t xml:space="preserve"> w </w:t>
            </w:r>
            <w:proofErr w:type="spellStart"/>
            <w:r>
              <w:t>proj</w:t>
            </w:r>
            <w:proofErr w:type="spellEnd"/>
            <w:r>
              <w:t xml:space="preserve">. </w:t>
            </w:r>
            <w:proofErr w:type="spellStart"/>
            <w:r>
              <w:t>zostanie</w:t>
            </w:r>
            <w:proofErr w:type="spellEnd"/>
            <w:r>
              <w:t xml:space="preserve"> </w:t>
            </w:r>
            <w:proofErr w:type="spellStart"/>
            <w:r>
              <w:t>rozdysponowana</w:t>
            </w:r>
            <w:proofErr w:type="spellEnd"/>
            <w:r>
              <w:t xml:space="preserve"> </w:t>
            </w:r>
            <w:proofErr w:type="spellStart"/>
            <w:r>
              <w:t>na</w:t>
            </w:r>
            <w:proofErr w:type="spellEnd"/>
            <w:r>
              <w:t xml:space="preserve"> </w:t>
            </w:r>
            <w:proofErr w:type="spellStart"/>
            <w:r>
              <w:t>główny</w:t>
            </w:r>
            <w:proofErr w:type="spellEnd"/>
            <w:r>
              <w:t xml:space="preserve"> </w:t>
            </w:r>
            <w:proofErr w:type="spellStart"/>
            <w:r>
              <w:t>budynek</w:t>
            </w:r>
            <w:proofErr w:type="spellEnd"/>
            <w:r>
              <w:t xml:space="preserve">, co </w:t>
            </w:r>
            <w:proofErr w:type="spellStart"/>
            <w:r>
              <w:t>może</w:t>
            </w:r>
            <w:proofErr w:type="spellEnd"/>
            <w:r>
              <w:t xml:space="preserve"> </w:t>
            </w:r>
            <w:proofErr w:type="spellStart"/>
            <w:r>
              <w:t>uniemożliwić</w:t>
            </w:r>
            <w:proofErr w:type="spellEnd"/>
            <w:r>
              <w:t xml:space="preserve"> </w:t>
            </w:r>
            <w:proofErr w:type="spellStart"/>
            <w:r>
              <w:t>budowę</w:t>
            </w:r>
            <w:proofErr w:type="spellEnd"/>
            <w:r>
              <w:t xml:space="preserve"> </w:t>
            </w:r>
            <w:proofErr w:type="spellStart"/>
            <w:r>
              <w:t>pozostałych</w:t>
            </w:r>
            <w:proofErr w:type="spellEnd"/>
            <w:r>
              <w:t xml:space="preserve"> 2 </w:t>
            </w:r>
            <w:proofErr w:type="spellStart"/>
            <w:r>
              <w:t>obiektów</w:t>
            </w:r>
            <w:proofErr w:type="spellEnd"/>
            <w:r>
              <w:t xml:space="preserve">. </w:t>
            </w:r>
            <w:proofErr w:type="spellStart"/>
            <w:r>
              <w:t>Ponadto</w:t>
            </w:r>
            <w:proofErr w:type="spellEnd"/>
            <w:r>
              <w:t xml:space="preserve">, z </w:t>
            </w:r>
            <w:proofErr w:type="spellStart"/>
            <w:r>
              <w:t>uwagi</w:t>
            </w:r>
            <w:proofErr w:type="spellEnd"/>
            <w:r>
              <w:t xml:space="preserve"> </w:t>
            </w:r>
            <w:proofErr w:type="spellStart"/>
            <w:r>
              <w:t>na</w:t>
            </w:r>
            <w:proofErr w:type="spellEnd"/>
            <w:r>
              <w:t xml:space="preserve"> COVID partner </w:t>
            </w:r>
            <w:proofErr w:type="spellStart"/>
            <w:r>
              <w:t>proj</w:t>
            </w:r>
            <w:proofErr w:type="spellEnd"/>
            <w:r>
              <w:t xml:space="preserve">. </w:t>
            </w:r>
            <w:proofErr w:type="spellStart"/>
            <w:r>
              <w:t>sygnalizuje</w:t>
            </w:r>
            <w:proofErr w:type="spellEnd"/>
            <w:r>
              <w:t xml:space="preserve"> </w:t>
            </w:r>
            <w:proofErr w:type="spellStart"/>
            <w:r>
              <w:t>problemy</w:t>
            </w:r>
            <w:proofErr w:type="spellEnd"/>
            <w:r>
              <w:t xml:space="preserve"> z </w:t>
            </w:r>
            <w:proofErr w:type="spellStart"/>
            <w:r>
              <w:t>wygenerowaniem</w:t>
            </w:r>
            <w:proofErr w:type="spellEnd"/>
            <w:r>
              <w:t xml:space="preserve"> </w:t>
            </w:r>
            <w:proofErr w:type="spellStart"/>
            <w:r>
              <w:t>dodatkowych</w:t>
            </w:r>
            <w:proofErr w:type="spellEnd"/>
            <w:r>
              <w:t xml:space="preserve"> </w:t>
            </w:r>
            <w:proofErr w:type="spellStart"/>
            <w:r>
              <w:t>środków</w:t>
            </w:r>
            <w:proofErr w:type="spellEnd"/>
            <w:r>
              <w:t xml:space="preserve"> </w:t>
            </w:r>
            <w:proofErr w:type="spellStart"/>
            <w:r>
              <w:t>na</w:t>
            </w:r>
            <w:proofErr w:type="spellEnd"/>
            <w:r>
              <w:t xml:space="preserve"> </w:t>
            </w:r>
            <w:proofErr w:type="spellStart"/>
            <w:r>
              <w:t>jego</w:t>
            </w:r>
            <w:proofErr w:type="spellEnd"/>
            <w:r>
              <w:t xml:space="preserve"> </w:t>
            </w:r>
            <w:proofErr w:type="spellStart"/>
            <w:r>
              <w:t>realizację</w:t>
            </w:r>
            <w:proofErr w:type="spellEnd"/>
            <w:r>
              <w:t>.</w:t>
            </w:r>
          </w:p>
          <w:p w14:paraId="757CABA9" w14:textId="77777777" w:rsidR="006B2EC1" w:rsidRDefault="00E82A60">
            <w:pPr>
              <w:spacing w:before="240" w:after="240"/>
              <w:jc w:val="left"/>
            </w:pPr>
            <w:r>
              <w:rPr>
                <w:b/>
                <w:bCs/>
              </w:rPr>
              <w:t>OP2</w:t>
            </w:r>
          </w:p>
          <w:p w14:paraId="4AD276CB" w14:textId="77777777" w:rsidR="006B2EC1" w:rsidRDefault="00E82A60">
            <w:pPr>
              <w:spacing w:before="240" w:after="240"/>
              <w:jc w:val="left"/>
            </w:pPr>
            <w:r>
              <w:t xml:space="preserve">W Dz.2.6/PI3c z </w:t>
            </w:r>
            <w:proofErr w:type="spellStart"/>
            <w:r>
              <w:t>uwagi</w:t>
            </w:r>
            <w:proofErr w:type="spellEnd"/>
            <w:r>
              <w:t xml:space="preserve"> </w:t>
            </w:r>
            <w:proofErr w:type="spellStart"/>
            <w:r>
              <w:t>na</w:t>
            </w:r>
            <w:proofErr w:type="spellEnd"/>
            <w:r>
              <w:t xml:space="preserve"> </w:t>
            </w:r>
            <w:proofErr w:type="spellStart"/>
            <w:r>
              <w:t>brak</w:t>
            </w:r>
            <w:proofErr w:type="spellEnd"/>
            <w:r>
              <w:t xml:space="preserve"> </w:t>
            </w:r>
            <w:proofErr w:type="spellStart"/>
            <w:r>
              <w:t>zainteresowania</w:t>
            </w:r>
            <w:proofErr w:type="spellEnd"/>
            <w:r>
              <w:t xml:space="preserve"> </w:t>
            </w:r>
            <w:proofErr w:type="spellStart"/>
            <w:r>
              <w:t>odbiorców</w:t>
            </w:r>
            <w:proofErr w:type="spellEnd"/>
            <w:r>
              <w:t xml:space="preserve"> </w:t>
            </w:r>
            <w:proofErr w:type="spellStart"/>
            <w:r>
              <w:t>nie</w:t>
            </w:r>
            <w:proofErr w:type="spellEnd"/>
            <w:r>
              <w:t xml:space="preserve"> </w:t>
            </w:r>
            <w:proofErr w:type="spellStart"/>
            <w:r>
              <w:t>uruchomiono</w:t>
            </w:r>
            <w:proofErr w:type="spellEnd"/>
            <w:r>
              <w:t xml:space="preserve"> </w:t>
            </w:r>
            <w:proofErr w:type="spellStart"/>
            <w:r>
              <w:t>poręczeń</w:t>
            </w:r>
            <w:proofErr w:type="spellEnd"/>
            <w:r>
              <w:t xml:space="preserve">. IZ </w:t>
            </w:r>
            <w:proofErr w:type="spellStart"/>
            <w:r>
              <w:t>zgłosiła</w:t>
            </w:r>
            <w:proofErr w:type="spellEnd"/>
            <w:r>
              <w:t xml:space="preserve"> </w:t>
            </w:r>
            <w:proofErr w:type="spellStart"/>
            <w:r>
              <w:t>zmianę</w:t>
            </w:r>
            <w:proofErr w:type="spellEnd"/>
            <w:r>
              <w:t xml:space="preserve"> do RPOWŚ-</w:t>
            </w:r>
            <w:proofErr w:type="spellStart"/>
            <w:r>
              <w:t>rezygnacja</w:t>
            </w:r>
            <w:proofErr w:type="spellEnd"/>
            <w:r>
              <w:t xml:space="preserve"> z </w:t>
            </w:r>
            <w:proofErr w:type="spellStart"/>
            <w:r>
              <w:t>poręczeń</w:t>
            </w:r>
            <w:proofErr w:type="spellEnd"/>
            <w:r>
              <w:t xml:space="preserve"> i </w:t>
            </w:r>
            <w:proofErr w:type="spellStart"/>
            <w:r>
              <w:t>zwiększenie</w:t>
            </w:r>
            <w:proofErr w:type="spellEnd"/>
            <w:r>
              <w:t xml:space="preserve"> </w:t>
            </w:r>
            <w:proofErr w:type="spellStart"/>
            <w:r>
              <w:t>środków</w:t>
            </w:r>
            <w:proofErr w:type="spellEnd"/>
            <w:r>
              <w:t xml:space="preserve"> </w:t>
            </w:r>
            <w:proofErr w:type="spellStart"/>
            <w:r>
              <w:t>na</w:t>
            </w:r>
            <w:proofErr w:type="spellEnd"/>
            <w:r>
              <w:t xml:space="preserve"> </w:t>
            </w:r>
            <w:proofErr w:type="spellStart"/>
            <w:r>
              <w:t>pożyczki</w:t>
            </w:r>
            <w:proofErr w:type="spellEnd"/>
            <w:r>
              <w:t>.</w:t>
            </w:r>
          </w:p>
          <w:p w14:paraId="07242217" w14:textId="77777777" w:rsidR="006B2EC1" w:rsidRDefault="00E82A60">
            <w:pPr>
              <w:spacing w:before="240" w:after="240"/>
              <w:jc w:val="left"/>
            </w:pPr>
            <w:r>
              <w:rPr>
                <w:b/>
                <w:bCs/>
              </w:rPr>
              <w:t>OP3</w:t>
            </w:r>
          </w:p>
          <w:p w14:paraId="103C85C1" w14:textId="77777777" w:rsidR="006B2EC1" w:rsidRDefault="00E82A60" w:rsidP="00E82A60">
            <w:pPr>
              <w:numPr>
                <w:ilvl w:val="0"/>
                <w:numId w:val="47"/>
              </w:numPr>
              <w:spacing w:before="240" w:after="240"/>
              <w:ind w:hanging="210"/>
              <w:jc w:val="left"/>
            </w:pPr>
            <w:proofErr w:type="spellStart"/>
            <w:r>
              <w:t>problemy</w:t>
            </w:r>
            <w:proofErr w:type="spellEnd"/>
            <w:r>
              <w:t xml:space="preserve"> z </w:t>
            </w:r>
            <w:proofErr w:type="spellStart"/>
            <w:r>
              <w:t>wyłonieniem</w:t>
            </w:r>
            <w:proofErr w:type="spellEnd"/>
            <w:r>
              <w:t xml:space="preserve"> </w:t>
            </w:r>
            <w:proofErr w:type="spellStart"/>
            <w:r>
              <w:t>wykonawców-brak</w:t>
            </w:r>
            <w:proofErr w:type="spellEnd"/>
            <w:r>
              <w:t xml:space="preserve"> </w:t>
            </w:r>
            <w:proofErr w:type="spellStart"/>
            <w:r>
              <w:t>ofert</w:t>
            </w:r>
            <w:proofErr w:type="spellEnd"/>
            <w:r>
              <w:t xml:space="preserve">, </w:t>
            </w:r>
            <w:proofErr w:type="spellStart"/>
            <w:r>
              <w:t>wysokie</w:t>
            </w:r>
            <w:proofErr w:type="spellEnd"/>
            <w:r>
              <w:t xml:space="preserve"> </w:t>
            </w:r>
            <w:proofErr w:type="spellStart"/>
            <w:r>
              <w:t>ceny-powtarzanie</w:t>
            </w:r>
            <w:proofErr w:type="spellEnd"/>
            <w:r>
              <w:t xml:space="preserve"> </w:t>
            </w:r>
            <w:proofErr w:type="spellStart"/>
            <w:r>
              <w:t>procedur</w:t>
            </w:r>
            <w:proofErr w:type="spellEnd"/>
            <w:r>
              <w:t xml:space="preserve"> i </w:t>
            </w:r>
            <w:proofErr w:type="spellStart"/>
            <w:r>
              <w:t>przesunięcia</w:t>
            </w:r>
            <w:proofErr w:type="spellEnd"/>
            <w:r>
              <w:t xml:space="preserve"> </w:t>
            </w:r>
            <w:proofErr w:type="spellStart"/>
            <w:r>
              <w:t>terminów</w:t>
            </w:r>
            <w:proofErr w:type="spellEnd"/>
            <w:r>
              <w:t xml:space="preserve">  </w:t>
            </w:r>
            <w:proofErr w:type="spellStart"/>
            <w:r>
              <w:t>zakończenia</w:t>
            </w:r>
            <w:proofErr w:type="spellEnd"/>
            <w:r>
              <w:t xml:space="preserve"> </w:t>
            </w:r>
            <w:proofErr w:type="spellStart"/>
            <w:r>
              <w:t>realizacji</w:t>
            </w:r>
            <w:proofErr w:type="spellEnd"/>
            <w:r>
              <w:t xml:space="preserve"> </w:t>
            </w:r>
            <w:proofErr w:type="spellStart"/>
            <w:r>
              <w:t>proj</w:t>
            </w:r>
            <w:proofErr w:type="spellEnd"/>
            <w:r>
              <w:t>.</w:t>
            </w:r>
          </w:p>
          <w:p w14:paraId="7CE3F5D5" w14:textId="77777777" w:rsidR="006B2EC1" w:rsidRDefault="00E82A60" w:rsidP="00E82A60">
            <w:pPr>
              <w:numPr>
                <w:ilvl w:val="0"/>
                <w:numId w:val="48"/>
              </w:numPr>
              <w:spacing w:before="240" w:after="0"/>
              <w:ind w:hanging="210"/>
              <w:jc w:val="left"/>
            </w:pPr>
            <w:proofErr w:type="spellStart"/>
            <w:r>
              <w:t>znaczny</w:t>
            </w:r>
            <w:proofErr w:type="spellEnd"/>
            <w:r>
              <w:t xml:space="preserve"> </w:t>
            </w:r>
            <w:proofErr w:type="spellStart"/>
            <w:r>
              <w:t>wzrost</w:t>
            </w:r>
            <w:proofErr w:type="spellEnd"/>
            <w:r>
              <w:t xml:space="preserve"> </w:t>
            </w:r>
            <w:proofErr w:type="spellStart"/>
            <w:r>
              <w:t>kosztu</w:t>
            </w:r>
            <w:proofErr w:type="spellEnd"/>
            <w:r>
              <w:t xml:space="preserve"> </w:t>
            </w:r>
            <w:proofErr w:type="spellStart"/>
            <w:r>
              <w:t>jednostkowego</w:t>
            </w:r>
            <w:proofErr w:type="spellEnd"/>
            <w:r>
              <w:t xml:space="preserve"> </w:t>
            </w:r>
            <w:proofErr w:type="spellStart"/>
            <w:r>
              <w:t>termomodernizacji</w:t>
            </w:r>
            <w:proofErr w:type="spellEnd"/>
            <w:r>
              <w:t xml:space="preserve"> </w:t>
            </w:r>
            <w:proofErr w:type="spellStart"/>
            <w:r>
              <w:t>budynków</w:t>
            </w:r>
            <w:proofErr w:type="spellEnd"/>
          </w:p>
          <w:p w14:paraId="505AD979" w14:textId="77777777" w:rsidR="006B2EC1" w:rsidRDefault="00E82A60" w:rsidP="00E82A60">
            <w:pPr>
              <w:numPr>
                <w:ilvl w:val="0"/>
                <w:numId w:val="48"/>
              </w:numPr>
              <w:spacing w:before="0" w:after="0"/>
              <w:ind w:hanging="210"/>
              <w:jc w:val="left"/>
            </w:pPr>
            <w:r>
              <w:t xml:space="preserve">Dz.3.1/PI4a </w:t>
            </w:r>
            <w:proofErr w:type="spellStart"/>
            <w:r>
              <w:t>trudności</w:t>
            </w:r>
            <w:proofErr w:type="spellEnd"/>
            <w:r>
              <w:t xml:space="preserve"> w </w:t>
            </w:r>
            <w:proofErr w:type="spellStart"/>
            <w:r>
              <w:t>realizacji</w:t>
            </w:r>
            <w:proofErr w:type="spellEnd"/>
            <w:r>
              <w:t xml:space="preserve"> </w:t>
            </w:r>
            <w:proofErr w:type="spellStart"/>
            <w:r>
              <w:t>proj</w:t>
            </w:r>
            <w:proofErr w:type="spellEnd"/>
            <w:r>
              <w:t xml:space="preserve">. </w:t>
            </w:r>
            <w:proofErr w:type="spellStart"/>
            <w:r>
              <w:t>partnerskich</w:t>
            </w:r>
            <w:proofErr w:type="spellEnd"/>
            <w:r>
              <w:t xml:space="preserve">/z </w:t>
            </w:r>
            <w:proofErr w:type="spellStart"/>
            <w:r>
              <w:t>dużą</w:t>
            </w:r>
            <w:proofErr w:type="spellEnd"/>
            <w:r>
              <w:t xml:space="preserve"> </w:t>
            </w:r>
            <w:proofErr w:type="spellStart"/>
            <w:r>
              <w:t>liczbą</w:t>
            </w:r>
            <w:proofErr w:type="spellEnd"/>
            <w:r>
              <w:t xml:space="preserve"> </w:t>
            </w:r>
            <w:proofErr w:type="spellStart"/>
            <w:r>
              <w:t>uczestników</w:t>
            </w:r>
            <w:proofErr w:type="spellEnd"/>
            <w:r>
              <w:t xml:space="preserve">. </w:t>
            </w:r>
            <w:proofErr w:type="spellStart"/>
            <w:r>
              <w:t>Konieczność</w:t>
            </w:r>
            <w:proofErr w:type="spellEnd"/>
            <w:r>
              <w:t xml:space="preserve"> </w:t>
            </w:r>
            <w:proofErr w:type="spellStart"/>
            <w:r>
              <w:t>zmian</w:t>
            </w:r>
            <w:proofErr w:type="spellEnd"/>
            <w:r>
              <w:t xml:space="preserve"> </w:t>
            </w:r>
            <w:proofErr w:type="spellStart"/>
            <w:r>
              <w:t>proj</w:t>
            </w:r>
            <w:proofErr w:type="spellEnd"/>
            <w:r>
              <w:t>.-</w:t>
            </w:r>
            <w:proofErr w:type="spellStart"/>
            <w:r>
              <w:t>rezygnacja</w:t>
            </w:r>
            <w:proofErr w:type="spellEnd"/>
            <w:r>
              <w:t xml:space="preserve">  </w:t>
            </w:r>
            <w:proofErr w:type="spellStart"/>
            <w:r>
              <w:t>partnerów</w:t>
            </w:r>
            <w:proofErr w:type="spellEnd"/>
            <w:r>
              <w:t>.</w:t>
            </w:r>
          </w:p>
          <w:p w14:paraId="4855E2C7" w14:textId="77777777" w:rsidR="006B2EC1" w:rsidRDefault="00E82A60" w:rsidP="00E82A60">
            <w:pPr>
              <w:numPr>
                <w:ilvl w:val="0"/>
                <w:numId w:val="48"/>
              </w:numPr>
              <w:spacing w:before="0" w:after="0"/>
              <w:ind w:hanging="210"/>
              <w:jc w:val="left"/>
            </w:pPr>
            <w:r>
              <w:t xml:space="preserve">Dz.3.2/PI4b, Dz.3.3/PI4c-poprawianie </w:t>
            </w:r>
            <w:proofErr w:type="spellStart"/>
            <w:r>
              <w:t>przez</w:t>
            </w:r>
            <w:proofErr w:type="spellEnd"/>
            <w:r>
              <w:t xml:space="preserve"> </w:t>
            </w:r>
            <w:proofErr w:type="spellStart"/>
            <w:r>
              <w:t>beneficjentów</w:t>
            </w:r>
            <w:proofErr w:type="spellEnd"/>
            <w:r>
              <w:t xml:space="preserve"> </w:t>
            </w:r>
            <w:proofErr w:type="spellStart"/>
            <w:r>
              <w:t>audytów</w:t>
            </w:r>
            <w:proofErr w:type="spellEnd"/>
            <w:r>
              <w:t xml:space="preserve"> </w:t>
            </w:r>
            <w:proofErr w:type="spellStart"/>
            <w:r>
              <w:t>energetycznych</w:t>
            </w:r>
            <w:proofErr w:type="spellEnd"/>
            <w:r>
              <w:t>/</w:t>
            </w:r>
            <w:proofErr w:type="spellStart"/>
            <w:r>
              <w:t>efektywności</w:t>
            </w:r>
            <w:proofErr w:type="spellEnd"/>
            <w:r>
              <w:t xml:space="preserve"> </w:t>
            </w:r>
            <w:proofErr w:type="spellStart"/>
            <w:r>
              <w:t>energet</w:t>
            </w:r>
            <w:proofErr w:type="spellEnd"/>
            <w:r>
              <w:t>. (</w:t>
            </w:r>
            <w:proofErr w:type="spellStart"/>
            <w:r>
              <w:t>błędy</w:t>
            </w:r>
            <w:proofErr w:type="spellEnd"/>
            <w:r>
              <w:t>)</w:t>
            </w:r>
          </w:p>
          <w:p w14:paraId="21E9D4BF" w14:textId="77777777" w:rsidR="006B2EC1" w:rsidRDefault="00E82A60" w:rsidP="00E82A60">
            <w:pPr>
              <w:numPr>
                <w:ilvl w:val="0"/>
                <w:numId w:val="48"/>
              </w:numPr>
              <w:spacing w:before="0" w:after="0"/>
              <w:ind w:hanging="210"/>
              <w:jc w:val="left"/>
            </w:pPr>
            <w:r>
              <w:t xml:space="preserve">Dz.3.2/PI4b </w:t>
            </w:r>
            <w:proofErr w:type="spellStart"/>
            <w:r>
              <w:t>niewystarczające</w:t>
            </w:r>
            <w:proofErr w:type="spellEnd"/>
            <w:r>
              <w:t xml:space="preserve"> </w:t>
            </w:r>
            <w:proofErr w:type="spellStart"/>
            <w:r>
              <w:t>zainteresowanie</w:t>
            </w:r>
            <w:proofErr w:type="spellEnd"/>
            <w:r>
              <w:t xml:space="preserve"> </w:t>
            </w:r>
            <w:proofErr w:type="spellStart"/>
            <w:r>
              <w:t>przedsiębiorców</w:t>
            </w:r>
            <w:proofErr w:type="spellEnd"/>
            <w:r>
              <w:t xml:space="preserve"> </w:t>
            </w:r>
            <w:proofErr w:type="spellStart"/>
            <w:r>
              <w:t>proj</w:t>
            </w:r>
            <w:proofErr w:type="spellEnd"/>
            <w:r>
              <w:t xml:space="preserve">. dot. </w:t>
            </w:r>
            <w:proofErr w:type="spellStart"/>
            <w:r>
              <w:t>poprawy</w:t>
            </w:r>
            <w:proofErr w:type="spellEnd"/>
            <w:r>
              <w:t xml:space="preserve"> </w:t>
            </w:r>
            <w:proofErr w:type="spellStart"/>
            <w:r>
              <w:t>efektywności</w:t>
            </w:r>
            <w:proofErr w:type="spellEnd"/>
            <w:r>
              <w:t xml:space="preserve"> </w:t>
            </w:r>
            <w:proofErr w:type="spellStart"/>
            <w:r>
              <w:t>energet</w:t>
            </w:r>
            <w:proofErr w:type="spellEnd"/>
            <w:r>
              <w:t xml:space="preserve">.  i </w:t>
            </w:r>
            <w:proofErr w:type="spellStart"/>
            <w:r>
              <w:t>wykorzystywaniem</w:t>
            </w:r>
            <w:proofErr w:type="spellEnd"/>
            <w:r>
              <w:t xml:space="preserve"> OZE (</w:t>
            </w:r>
            <w:proofErr w:type="spellStart"/>
            <w:r>
              <w:t>modernizacja</w:t>
            </w:r>
            <w:proofErr w:type="spellEnd"/>
            <w:r>
              <w:t xml:space="preserve"> </w:t>
            </w:r>
            <w:proofErr w:type="spellStart"/>
            <w:r>
              <w:t>energet</w:t>
            </w:r>
            <w:proofErr w:type="spellEnd"/>
            <w:r>
              <w:t xml:space="preserve">. </w:t>
            </w:r>
            <w:proofErr w:type="spellStart"/>
            <w:r>
              <w:t>budynków</w:t>
            </w:r>
            <w:proofErr w:type="spellEnd"/>
            <w:r>
              <w:t>).</w:t>
            </w:r>
          </w:p>
          <w:p w14:paraId="22935ECF" w14:textId="77777777" w:rsidR="006B2EC1" w:rsidRDefault="00E82A60" w:rsidP="00E82A60">
            <w:pPr>
              <w:numPr>
                <w:ilvl w:val="0"/>
                <w:numId w:val="48"/>
              </w:numPr>
              <w:spacing w:before="0" w:after="0"/>
              <w:ind w:hanging="210"/>
              <w:jc w:val="left"/>
            </w:pPr>
            <w:r>
              <w:lastRenderedPageBreak/>
              <w:t xml:space="preserve">Dz. 3.4/PI4d-wynikające z UP </w:t>
            </w:r>
            <w:proofErr w:type="spellStart"/>
            <w:r>
              <w:t>ograniczenia</w:t>
            </w:r>
            <w:proofErr w:type="spellEnd"/>
            <w:r>
              <w:t xml:space="preserve"> w </w:t>
            </w:r>
            <w:proofErr w:type="spellStart"/>
            <w:r>
              <w:t>zakresie</w:t>
            </w:r>
            <w:proofErr w:type="spellEnd"/>
            <w:r>
              <w:t xml:space="preserve"> </w:t>
            </w:r>
            <w:proofErr w:type="spellStart"/>
            <w:r>
              <w:t>realizacji</w:t>
            </w:r>
            <w:proofErr w:type="spellEnd"/>
            <w:r>
              <w:t xml:space="preserve"> </w:t>
            </w:r>
            <w:proofErr w:type="spellStart"/>
            <w:r>
              <w:t>proj</w:t>
            </w:r>
            <w:proofErr w:type="spellEnd"/>
            <w:r>
              <w:t xml:space="preserve">. </w:t>
            </w:r>
            <w:proofErr w:type="spellStart"/>
            <w:r>
              <w:t>dotyczących</w:t>
            </w:r>
            <w:proofErr w:type="spellEnd"/>
            <w:r>
              <w:t xml:space="preserve"> </w:t>
            </w:r>
            <w:proofErr w:type="spellStart"/>
            <w:r>
              <w:t>infrastruktury</w:t>
            </w:r>
            <w:proofErr w:type="spellEnd"/>
            <w:r>
              <w:t xml:space="preserve"> </w:t>
            </w:r>
            <w:proofErr w:type="spellStart"/>
            <w:r>
              <w:t>transportu</w:t>
            </w:r>
            <w:proofErr w:type="spellEnd"/>
            <w:r>
              <w:t xml:space="preserve"> </w:t>
            </w:r>
            <w:proofErr w:type="spellStart"/>
            <w:r>
              <w:t>publicznego</w:t>
            </w:r>
            <w:proofErr w:type="spellEnd"/>
            <w:r>
              <w:t xml:space="preserve"> (</w:t>
            </w:r>
            <w:proofErr w:type="spellStart"/>
            <w:r>
              <w:t>tylko</w:t>
            </w:r>
            <w:proofErr w:type="spellEnd"/>
            <w:r>
              <w:t xml:space="preserve"> do </w:t>
            </w:r>
            <w:proofErr w:type="spellStart"/>
            <w:r>
              <w:t>transportu</w:t>
            </w:r>
            <w:proofErr w:type="spellEnd"/>
            <w:r>
              <w:t xml:space="preserve"> </w:t>
            </w:r>
            <w:proofErr w:type="spellStart"/>
            <w:r>
              <w:t>miejskiego</w:t>
            </w:r>
            <w:proofErr w:type="spellEnd"/>
            <w:r>
              <w:t>)</w:t>
            </w:r>
          </w:p>
          <w:p w14:paraId="0AA8E041" w14:textId="77777777" w:rsidR="006B2EC1" w:rsidRDefault="00E82A60" w:rsidP="00E82A60">
            <w:pPr>
              <w:numPr>
                <w:ilvl w:val="0"/>
                <w:numId w:val="48"/>
              </w:numPr>
              <w:spacing w:before="0" w:after="240"/>
              <w:ind w:hanging="210"/>
              <w:jc w:val="left"/>
            </w:pPr>
            <w:proofErr w:type="spellStart"/>
            <w:r>
              <w:t>opóźnienia</w:t>
            </w:r>
            <w:proofErr w:type="spellEnd"/>
            <w:r>
              <w:t xml:space="preserve"> </w:t>
            </w:r>
            <w:proofErr w:type="spellStart"/>
            <w:r>
              <w:t>realizacji</w:t>
            </w:r>
            <w:proofErr w:type="spellEnd"/>
            <w:r>
              <w:t xml:space="preserve"> </w:t>
            </w:r>
            <w:proofErr w:type="spellStart"/>
            <w:r>
              <w:t>kompleksowych</w:t>
            </w:r>
            <w:proofErr w:type="spellEnd"/>
            <w:r>
              <w:t xml:space="preserve"> </w:t>
            </w:r>
            <w:proofErr w:type="spellStart"/>
            <w:r>
              <w:t>proj</w:t>
            </w:r>
            <w:proofErr w:type="spellEnd"/>
            <w:r>
              <w:t xml:space="preserve">. </w:t>
            </w:r>
            <w:proofErr w:type="spellStart"/>
            <w:r>
              <w:t>infrastruktury</w:t>
            </w:r>
            <w:proofErr w:type="spellEnd"/>
            <w:r>
              <w:t xml:space="preserve"> </w:t>
            </w:r>
            <w:proofErr w:type="spellStart"/>
            <w:r>
              <w:t>transportu</w:t>
            </w:r>
            <w:proofErr w:type="spellEnd"/>
            <w:r>
              <w:t xml:space="preserve"> </w:t>
            </w:r>
            <w:proofErr w:type="spellStart"/>
            <w:r>
              <w:t>publicznego</w:t>
            </w:r>
            <w:proofErr w:type="spellEnd"/>
            <w:r>
              <w:t xml:space="preserve"> (tabor, </w:t>
            </w:r>
            <w:proofErr w:type="spellStart"/>
            <w:r>
              <w:t>infrastruktura</w:t>
            </w:r>
            <w:proofErr w:type="spellEnd"/>
            <w:r>
              <w:t xml:space="preserve"> </w:t>
            </w:r>
            <w:proofErr w:type="spellStart"/>
            <w:r>
              <w:t>drogowa</w:t>
            </w:r>
            <w:proofErr w:type="spellEnd"/>
            <w:r>
              <w:t xml:space="preserve">, </w:t>
            </w:r>
            <w:proofErr w:type="spellStart"/>
            <w:r>
              <w:t>ścieżki</w:t>
            </w:r>
            <w:proofErr w:type="spellEnd"/>
            <w:r>
              <w:t xml:space="preserve"> </w:t>
            </w:r>
            <w:proofErr w:type="spellStart"/>
            <w:r>
              <w:t>rowerowe</w:t>
            </w:r>
            <w:proofErr w:type="spellEnd"/>
            <w:r>
              <w:t>)-</w:t>
            </w:r>
            <w:proofErr w:type="spellStart"/>
            <w:r>
              <w:t>problemy</w:t>
            </w:r>
            <w:proofErr w:type="spellEnd"/>
            <w:r>
              <w:t xml:space="preserve"> </w:t>
            </w:r>
            <w:proofErr w:type="spellStart"/>
            <w:r>
              <w:t>na</w:t>
            </w:r>
            <w:proofErr w:type="spellEnd"/>
            <w:r>
              <w:t xml:space="preserve"> </w:t>
            </w:r>
            <w:proofErr w:type="spellStart"/>
            <w:r>
              <w:t>etapie</w:t>
            </w:r>
            <w:proofErr w:type="spellEnd"/>
            <w:r>
              <w:t xml:space="preserve"> </w:t>
            </w:r>
            <w:proofErr w:type="spellStart"/>
            <w:r>
              <w:t>uzyskiwania</w:t>
            </w:r>
            <w:proofErr w:type="spellEnd"/>
            <w:r>
              <w:t xml:space="preserve"> </w:t>
            </w:r>
            <w:proofErr w:type="spellStart"/>
            <w:r>
              <w:t>decyzji</w:t>
            </w:r>
            <w:proofErr w:type="spellEnd"/>
            <w:r>
              <w:t xml:space="preserve"> </w:t>
            </w:r>
            <w:proofErr w:type="spellStart"/>
            <w:r>
              <w:t>administracyjnych</w:t>
            </w:r>
            <w:proofErr w:type="spellEnd"/>
            <w:r>
              <w:t>.</w:t>
            </w:r>
          </w:p>
          <w:p w14:paraId="0BAFC1CF" w14:textId="77777777" w:rsidR="006B2EC1" w:rsidRDefault="00E82A60">
            <w:pPr>
              <w:spacing w:before="240" w:after="240"/>
              <w:jc w:val="left"/>
            </w:pPr>
            <w:r>
              <w:t> </w:t>
            </w:r>
          </w:p>
          <w:p w14:paraId="70AACB68" w14:textId="77777777" w:rsidR="006B2EC1" w:rsidRDefault="00E82A60">
            <w:pPr>
              <w:spacing w:before="240" w:after="240"/>
              <w:jc w:val="left"/>
            </w:pPr>
            <w:r>
              <w:rPr>
                <w:b/>
                <w:bCs/>
              </w:rPr>
              <w:t>OP 4</w:t>
            </w:r>
          </w:p>
          <w:p w14:paraId="634A513C" w14:textId="77777777" w:rsidR="006B2EC1" w:rsidRDefault="00E82A60" w:rsidP="00E82A60">
            <w:pPr>
              <w:numPr>
                <w:ilvl w:val="0"/>
                <w:numId w:val="49"/>
              </w:numPr>
              <w:spacing w:before="240" w:after="0"/>
              <w:ind w:hanging="210"/>
              <w:jc w:val="left"/>
            </w:pPr>
            <w:r>
              <w:t xml:space="preserve">PI5b/Dz.4.1 </w:t>
            </w:r>
            <w:proofErr w:type="spellStart"/>
            <w:r>
              <w:t>negatywna</w:t>
            </w:r>
            <w:proofErr w:type="spellEnd"/>
            <w:r>
              <w:t xml:space="preserve"> </w:t>
            </w:r>
            <w:proofErr w:type="spellStart"/>
            <w:r>
              <w:t>ocena</w:t>
            </w:r>
            <w:proofErr w:type="spellEnd"/>
            <w:r>
              <w:t xml:space="preserve"> KE </w:t>
            </w:r>
            <w:proofErr w:type="spellStart"/>
            <w:r>
              <w:t>aPGW</w:t>
            </w:r>
            <w:proofErr w:type="spellEnd"/>
            <w:r>
              <w:t xml:space="preserve"> </w:t>
            </w:r>
            <w:proofErr w:type="spellStart"/>
            <w:r>
              <w:t>uniemożliwiła</w:t>
            </w:r>
            <w:proofErr w:type="spellEnd"/>
            <w:r>
              <w:t xml:space="preserve"> </w:t>
            </w:r>
            <w:proofErr w:type="spellStart"/>
            <w:r>
              <w:t>zawieranie</w:t>
            </w:r>
            <w:proofErr w:type="spellEnd"/>
            <w:r>
              <w:t xml:space="preserve"> UDA </w:t>
            </w:r>
            <w:proofErr w:type="spellStart"/>
            <w:r>
              <w:t>na</w:t>
            </w:r>
            <w:proofErr w:type="spellEnd"/>
            <w:r>
              <w:t xml:space="preserve"> </w:t>
            </w:r>
            <w:proofErr w:type="spellStart"/>
            <w:r>
              <w:t>zbiorniki</w:t>
            </w:r>
            <w:proofErr w:type="spellEnd"/>
            <w:r>
              <w:t xml:space="preserve"> </w:t>
            </w:r>
            <w:proofErr w:type="spellStart"/>
            <w:r>
              <w:t>małej</w:t>
            </w:r>
            <w:proofErr w:type="spellEnd"/>
            <w:r>
              <w:t xml:space="preserve"> </w:t>
            </w:r>
            <w:proofErr w:type="spellStart"/>
            <w:r>
              <w:t>retencji</w:t>
            </w:r>
            <w:proofErr w:type="spellEnd"/>
            <w:r>
              <w:t xml:space="preserve">. </w:t>
            </w:r>
            <w:proofErr w:type="spellStart"/>
            <w:r>
              <w:t>Czasochłonna</w:t>
            </w:r>
            <w:proofErr w:type="spellEnd"/>
            <w:r>
              <w:t xml:space="preserve"> </w:t>
            </w:r>
            <w:proofErr w:type="spellStart"/>
            <w:r>
              <w:t>procedura</w:t>
            </w:r>
            <w:proofErr w:type="spellEnd"/>
            <w:r>
              <w:t xml:space="preserve"> </w:t>
            </w:r>
            <w:proofErr w:type="spellStart"/>
            <w:r>
              <w:t>oceny</w:t>
            </w:r>
            <w:proofErr w:type="spellEnd"/>
            <w:r>
              <w:t xml:space="preserve"> Jaspers </w:t>
            </w:r>
            <w:proofErr w:type="spellStart"/>
            <w:r>
              <w:t>dla</w:t>
            </w:r>
            <w:proofErr w:type="spellEnd"/>
            <w:r>
              <w:t xml:space="preserve"> </w:t>
            </w:r>
            <w:proofErr w:type="spellStart"/>
            <w:r>
              <w:t>pozostałego</w:t>
            </w:r>
            <w:proofErr w:type="spellEnd"/>
            <w:r>
              <w:t xml:space="preserve"> w Dz.4.1 </w:t>
            </w:r>
            <w:proofErr w:type="spellStart"/>
            <w:r>
              <w:t>proj</w:t>
            </w:r>
            <w:proofErr w:type="spellEnd"/>
            <w:r>
              <w:t xml:space="preserve">. PGW </w:t>
            </w:r>
            <w:proofErr w:type="spellStart"/>
            <w:r>
              <w:t>Wody</w:t>
            </w:r>
            <w:proofErr w:type="spellEnd"/>
            <w:r>
              <w:t xml:space="preserve"> </w:t>
            </w:r>
            <w:proofErr w:type="spellStart"/>
            <w:r>
              <w:t>Polskie</w:t>
            </w:r>
            <w:proofErr w:type="spellEnd"/>
            <w:r>
              <w:t xml:space="preserve"> dot. </w:t>
            </w:r>
            <w:proofErr w:type="spellStart"/>
            <w:r>
              <w:t>polderów</w:t>
            </w:r>
            <w:proofErr w:type="spellEnd"/>
            <w:r>
              <w:t xml:space="preserve"> </w:t>
            </w:r>
            <w:proofErr w:type="spellStart"/>
            <w:r>
              <w:t>zalewowych</w:t>
            </w:r>
            <w:proofErr w:type="spellEnd"/>
          </w:p>
          <w:p w14:paraId="351B5FC3" w14:textId="77777777" w:rsidR="006B2EC1" w:rsidRDefault="00E82A60" w:rsidP="00E82A60">
            <w:pPr>
              <w:numPr>
                <w:ilvl w:val="0"/>
                <w:numId w:val="49"/>
              </w:numPr>
              <w:spacing w:before="0" w:after="0"/>
              <w:ind w:hanging="210"/>
              <w:jc w:val="left"/>
            </w:pPr>
            <w:r>
              <w:t xml:space="preserve">Dz.4.2/PI6a-brak WND dot. </w:t>
            </w:r>
            <w:proofErr w:type="spellStart"/>
            <w:r>
              <w:t>odpadów</w:t>
            </w:r>
            <w:proofErr w:type="spellEnd"/>
            <w:r>
              <w:t xml:space="preserve"> </w:t>
            </w:r>
            <w:proofErr w:type="spellStart"/>
            <w:r>
              <w:t>niebezpiecznych</w:t>
            </w:r>
            <w:proofErr w:type="spellEnd"/>
            <w:r>
              <w:t xml:space="preserve">. </w:t>
            </w:r>
            <w:proofErr w:type="spellStart"/>
            <w:r>
              <w:t>Małe</w:t>
            </w:r>
            <w:proofErr w:type="spellEnd"/>
            <w:r>
              <w:t xml:space="preserve"> </w:t>
            </w:r>
            <w:proofErr w:type="spellStart"/>
            <w:r>
              <w:t>zainteresowanie</w:t>
            </w:r>
            <w:proofErr w:type="spellEnd"/>
            <w:r>
              <w:t xml:space="preserve"> </w:t>
            </w:r>
            <w:proofErr w:type="spellStart"/>
            <w:r>
              <w:t>proj</w:t>
            </w:r>
            <w:proofErr w:type="spellEnd"/>
            <w:r>
              <w:t xml:space="preserve">. </w:t>
            </w:r>
            <w:proofErr w:type="spellStart"/>
            <w:r>
              <w:t>gospodarki</w:t>
            </w:r>
            <w:proofErr w:type="spellEnd"/>
            <w:r>
              <w:t xml:space="preserve"> </w:t>
            </w:r>
            <w:proofErr w:type="spellStart"/>
            <w:r>
              <w:t>odpadami</w:t>
            </w:r>
            <w:proofErr w:type="spellEnd"/>
          </w:p>
          <w:p w14:paraId="76358411" w14:textId="77777777" w:rsidR="006B2EC1" w:rsidRDefault="00E82A60" w:rsidP="00E82A60">
            <w:pPr>
              <w:numPr>
                <w:ilvl w:val="0"/>
                <w:numId w:val="49"/>
              </w:numPr>
              <w:spacing w:before="0" w:after="0"/>
              <w:ind w:hanging="210"/>
              <w:jc w:val="left"/>
            </w:pPr>
            <w:r>
              <w:t xml:space="preserve">Dz.6.3/PI6b-ograniczona  </w:t>
            </w:r>
            <w:proofErr w:type="spellStart"/>
            <w:r>
              <w:t>możliwość</w:t>
            </w:r>
            <w:proofErr w:type="spellEnd"/>
            <w:r>
              <w:t xml:space="preserve"> </w:t>
            </w:r>
            <w:proofErr w:type="spellStart"/>
            <w:r>
              <w:t>aplikacji-brak</w:t>
            </w:r>
            <w:proofErr w:type="spellEnd"/>
            <w:r>
              <w:t xml:space="preserve"> </w:t>
            </w:r>
            <w:proofErr w:type="spellStart"/>
            <w:r>
              <w:t>inwestycji</w:t>
            </w:r>
            <w:proofErr w:type="spellEnd"/>
            <w:r>
              <w:t xml:space="preserve"> w KPOŚK i/</w:t>
            </w:r>
            <w:proofErr w:type="spellStart"/>
            <w:r>
              <w:t>lub</w:t>
            </w:r>
            <w:proofErr w:type="spellEnd"/>
            <w:r>
              <w:t xml:space="preserve"> </w:t>
            </w:r>
            <w:proofErr w:type="spellStart"/>
            <w:r>
              <w:t>współczynnika</w:t>
            </w:r>
            <w:proofErr w:type="spellEnd"/>
            <w:r>
              <w:t xml:space="preserve"> </w:t>
            </w:r>
            <w:proofErr w:type="spellStart"/>
            <w:r>
              <w:t>koncentracji</w:t>
            </w:r>
            <w:proofErr w:type="spellEnd"/>
          </w:p>
          <w:p w14:paraId="7E188445" w14:textId="77777777" w:rsidR="006B2EC1" w:rsidRDefault="00E82A60" w:rsidP="00E82A60">
            <w:pPr>
              <w:numPr>
                <w:ilvl w:val="0"/>
                <w:numId w:val="49"/>
              </w:numPr>
              <w:spacing w:before="0" w:after="240"/>
              <w:ind w:hanging="210"/>
              <w:jc w:val="left"/>
            </w:pPr>
            <w:proofErr w:type="spellStart"/>
            <w:r>
              <w:t>wysokie</w:t>
            </w:r>
            <w:proofErr w:type="spellEnd"/>
            <w:r>
              <w:t xml:space="preserve"> </w:t>
            </w:r>
            <w:proofErr w:type="spellStart"/>
            <w:r>
              <w:t>ceny</w:t>
            </w:r>
            <w:proofErr w:type="spellEnd"/>
            <w:r>
              <w:t xml:space="preserve"> </w:t>
            </w:r>
            <w:proofErr w:type="spellStart"/>
            <w:r>
              <w:t>robót</w:t>
            </w:r>
            <w:proofErr w:type="spellEnd"/>
            <w:r>
              <w:t xml:space="preserve"> </w:t>
            </w:r>
            <w:proofErr w:type="spellStart"/>
            <w:r>
              <w:t>budowlanych-powtarzanie</w:t>
            </w:r>
            <w:proofErr w:type="spellEnd"/>
            <w:r>
              <w:t xml:space="preserve"> </w:t>
            </w:r>
            <w:proofErr w:type="spellStart"/>
            <w:r>
              <w:t>przetargów</w:t>
            </w:r>
            <w:proofErr w:type="spellEnd"/>
            <w:r>
              <w:t xml:space="preserve">, </w:t>
            </w:r>
            <w:proofErr w:type="spellStart"/>
            <w:r>
              <w:t>opóźnienia</w:t>
            </w:r>
            <w:proofErr w:type="spellEnd"/>
            <w:r>
              <w:t xml:space="preserve"> w </w:t>
            </w:r>
            <w:proofErr w:type="spellStart"/>
            <w:r>
              <w:t>realizacji</w:t>
            </w:r>
            <w:proofErr w:type="spellEnd"/>
          </w:p>
          <w:p w14:paraId="0D975443" w14:textId="77777777" w:rsidR="006B2EC1" w:rsidRDefault="00E82A60">
            <w:pPr>
              <w:spacing w:before="240" w:after="240"/>
              <w:jc w:val="left"/>
            </w:pPr>
            <w:r>
              <w:rPr>
                <w:b/>
                <w:bCs/>
              </w:rPr>
              <w:t>OP 5</w:t>
            </w:r>
          </w:p>
          <w:p w14:paraId="0188584C" w14:textId="77777777" w:rsidR="006B2EC1" w:rsidRDefault="00E82A60" w:rsidP="00E82A60">
            <w:pPr>
              <w:numPr>
                <w:ilvl w:val="0"/>
                <w:numId w:val="50"/>
              </w:numPr>
              <w:spacing w:before="240" w:after="0"/>
              <w:ind w:hanging="210"/>
              <w:jc w:val="left"/>
            </w:pPr>
            <w:r>
              <w:t xml:space="preserve">PI7b/Dz.5.1-protesty </w:t>
            </w:r>
            <w:proofErr w:type="spellStart"/>
            <w:r>
              <w:t>mieszkańców</w:t>
            </w:r>
            <w:proofErr w:type="spellEnd"/>
            <w:r>
              <w:t xml:space="preserve"> </w:t>
            </w:r>
            <w:proofErr w:type="spellStart"/>
            <w:r>
              <w:t>na</w:t>
            </w:r>
            <w:proofErr w:type="spellEnd"/>
            <w:r>
              <w:t xml:space="preserve"> </w:t>
            </w:r>
            <w:proofErr w:type="spellStart"/>
            <w:r>
              <w:t>etapie</w:t>
            </w:r>
            <w:proofErr w:type="spellEnd"/>
            <w:r>
              <w:t xml:space="preserve"> </w:t>
            </w:r>
            <w:proofErr w:type="spellStart"/>
            <w:r>
              <w:t>uzyskiwania</w:t>
            </w:r>
            <w:proofErr w:type="spellEnd"/>
            <w:r>
              <w:t xml:space="preserve"> </w:t>
            </w:r>
            <w:proofErr w:type="spellStart"/>
            <w:r>
              <w:t>decyzji</w:t>
            </w:r>
            <w:proofErr w:type="spellEnd"/>
            <w:r>
              <w:t xml:space="preserve"> </w:t>
            </w:r>
            <w:proofErr w:type="spellStart"/>
            <w:r>
              <w:t>środowiskowej</w:t>
            </w:r>
            <w:proofErr w:type="spellEnd"/>
            <w:r>
              <w:t xml:space="preserve"> </w:t>
            </w:r>
            <w:proofErr w:type="spellStart"/>
            <w:r>
              <w:t>oraz</w:t>
            </w:r>
            <w:proofErr w:type="spellEnd"/>
            <w:r>
              <w:t xml:space="preserve"> ZRID-</w:t>
            </w:r>
            <w:proofErr w:type="spellStart"/>
            <w:r>
              <w:t>ocena</w:t>
            </w:r>
            <w:proofErr w:type="spellEnd"/>
            <w:r>
              <w:t xml:space="preserve"> </w:t>
            </w:r>
            <w:proofErr w:type="spellStart"/>
            <w:r>
              <w:t>merytoryczna</w:t>
            </w:r>
            <w:proofErr w:type="spellEnd"/>
            <w:r>
              <w:t xml:space="preserve"> </w:t>
            </w:r>
            <w:proofErr w:type="spellStart"/>
            <w:r>
              <w:t>jednego</w:t>
            </w:r>
            <w:proofErr w:type="spellEnd"/>
            <w:r>
              <w:t xml:space="preserve"> z </w:t>
            </w:r>
            <w:proofErr w:type="spellStart"/>
            <w:r>
              <w:t>proj.drogowych</w:t>
            </w:r>
            <w:proofErr w:type="spellEnd"/>
            <w:r>
              <w:t xml:space="preserve"> </w:t>
            </w:r>
            <w:proofErr w:type="spellStart"/>
            <w:r>
              <w:t>trwała</w:t>
            </w:r>
            <w:proofErr w:type="spellEnd"/>
            <w:r>
              <w:t xml:space="preserve"> </w:t>
            </w:r>
            <w:proofErr w:type="spellStart"/>
            <w:r>
              <w:t>ponad</w:t>
            </w:r>
            <w:proofErr w:type="spellEnd"/>
            <w:r>
              <w:t xml:space="preserve"> </w:t>
            </w:r>
            <w:proofErr w:type="spellStart"/>
            <w:r>
              <w:t>rok</w:t>
            </w:r>
            <w:proofErr w:type="spellEnd"/>
            <w:r>
              <w:t xml:space="preserve"> (</w:t>
            </w:r>
            <w:proofErr w:type="spellStart"/>
            <w:r>
              <w:t>zawieszona</w:t>
            </w:r>
            <w:proofErr w:type="spellEnd"/>
            <w:r>
              <w:t xml:space="preserve"> do </w:t>
            </w:r>
            <w:proofErr w:type="spellStart"/>
            <w:r>
              <w:t>momentu</w:t>
            </w:r>
            <w:proofErr w:type="spellEnd"/>
            <w:r>
              <w:t xml:space="preserve"> </w:t>
            </w:r>
            <w:proofErr w:type="spellStart"/>
            <w:r>
              <w:t>wydania</w:t>
            </w:r>
            <w:proofErr w:type="spellEnd"/>
            <w:r>
              <w:t xml:space="preserve"> ZRID)</w:t>
            </w:r>
          </w:p>
          <w:p w14:paraId="66B019CC" w14:textId="77777777" w:rsidR="006B2EC1" w:rsidRDefault="00E82A60" w:rsidP="00E82A60">
            <w:pPr>
              <w:numPr>
                <w:ilvl w:val="0"/>
                <w:numId w:val="50"/>
              </w:numPr>
              <w:spacing w:before="0" w:after="0"/>
              <w:ind w:hanging="210"/>
              <w:jc w:val="left"/>
            </w:pPr>
            <w:proofErr w:type="spellStart"/>
            <w:r>
              <w:t>wzrost</w:t>
            </w:r>
            <w:proofErr w:type="spellEnd"/>
            <w:r>
              <w:t xml:space="preserve"> </w:t>
            </w:r>
            <w:proofErr w:type="spellStart"/>
            <w:r>
              <w:t>cen</w:t>
            </w:r>
            <w:proofErr w:type="spellEnd"/>
            <w:r>
              <w:t xml:space="preserve"> </w:t>
            </w:r>
            <w:proofErr w:type="spellStart"/>
            <w:r>
              <w:t>robót</w:t>
            </w:r>
            <w:proofErr w:type="spellEnd"/>
            <w:r>
              <w:t xml:space="preserve"> </w:t>
            </w:r>
            <w:proofErr w:type="spellStart"/>
            <w:r>
              <w:t>budowlanych-konieczność</w:t>
            </w:r>
            <w:proofErr w:type="spellEnd"/>
            <w:r>
              <w:t xml:space="preserve"> </w:t>
            </w:r>
            <w:proofErr w:type="spellStart"/>
            <w:r>
              <w:t>zwiększania</w:t>
            </w:r>
            <w:proofErr w:type="spellEnd"/>
            <w:r>
              <w:t xml:space="preserve"> </w:t>
            </w:r>
            <w:proofErr w:type="spellStart"/>
            <w:r>
              <w:t>wkładu</w:t>
            </w:r>
            <w:proofErr w:type="spellEnd"/>
            <w:r>
              <w:t xml:space="preserve"> </w:t>
            </w:r>
            <w:proofErr w:type="spellStart"/>
            <w:r>
              <w:t>własnego</w:t>
            </w:r>
            <w:proofErr w:type="spellEnd"/>
            <w:r>
              <w:t>/</w:t>
            </w:r>
            <w:proofErr w:type="spellStart"/>
            <w:r>
              <w:t>dofinansowania</w:t>
            </w:r>
            <w:proofErr w:type="spellEnd"/>
            <w:r>
              <w:t xml:space="preserve"> EFRR-</w:t>
            </w:r>
            <w:proofErr w:type="spellStart"/>
            <w:r>
              <w:t>zagrożenie</w:t>
            </w:r>
            <w:proofErr w:type="spellEnd"/>
            <w:r>
              <w:t xml:space="preserve"> </w:t>
            </w:r>
            <w:proofErr w:type="spellStart"/>
            <w:r>
              <w:t>niezrealizowania</w:t>
            </w:r>
            <w:proofErr w:type="spellEnd"/>
            <w:r>
              <w:t xml:space="preserve"> </w:t>
            </w:r>
            <w:proofErr w:type="spellStart"/>
            <w:r>
              <w:t>proj</w:t>
            </w:r>
            <w:proofErr w:type="spellEnd"/>
            <w:r>
              <w:t xml:space="preserve">. </w:t>
            </w:r>
            <w:proofErr w:type="spellStart"/>
            <w:r>
              <w:t>drogowych</w:t>
            </w:r>
            <w:proofErr w:type="spellEnd"/>
            <w:r>
              <w:t xml:space="preserve"> w </w:t>
            </w:r>
            <w:proofErr w:type="spellStart"/>
            <w:r>
              <w:t>zaplanowanym</w:t>
            </w:r>
            <w:proofErr w:type="spellEnd"/>
            <w:r>
              <w:t xml:space="preserve"> </w:t>
            </w:r>
            <w:proofErr w:type="spellStart"/>
            <w:r>
              <w:t>kształcie</w:t>
            </w:r>
            <w:proofErr w:type="spellEnd"/>
          </w:p>
          <w:p w14:paraId="0CDA9E2D" w14:textId="77777777" w:rsidR="006B2EC1" w:rsidRDefault="00E82A60" w:rsidP="00E82A60">
            <w:pPr>
              <w:numPr>
                <w:ilvl w:val="0"/>
                <w:numId w:val="50"/>
              </w:numPr>
              <w:spacing w:before="0" w:after="240"/>
              <w:ind w:hanging="210"/>
              <w:jc w:val="left"/>
            </w:pPr>
            <w:r>
              <w:t xml:space="preserve">PI7d/Dz.5.2-w </w:t>
            </w:r>
            <w:proofErr w:type="spellStart"/>
            <w:r>
              <w:t>proj</w:t>
            </w:r>
            <w:proofErr w:type="spellEnd"/>
            <w:r>
              <w:t xml:space="preserve">. PKP PLK SA </w:t>
            </w:r>
            <w:proofErr w:type="spellStart"/>
            <w:r>
              <w:t>wartość</w:t>
            </w:r>
            <w:proofErr w:type="spellEnd"/>
            <w:r>
              <w:t xml:space="preserve"> </w:t>
            </w:r>
            <w:proofErr w:type="spellStart"/>
            <w:r>
              <w:t>złożonych</w:t>
            </w:r>
            <w:proofErr w:type="spellEnd"/>
            <w:r>
              <w:t xml:space="preserve"> </w:t>
            </w:r>
            <w:proofErr w:type="spellStart"/>
            <w:r>
              <w:t>ofert</w:t>
            </w:r>
            <w:proofErr w:type="spellEnd"/>
            <w:r>
              <w:t xml:space="preserve"> </w:t>
            </w:r>
            <w:proofErr w:type="spellStart"/>
            <w:r>
              <w:t>przekraczała</w:t>
            </w:r>
            <w:proofErr w:type="spellEnd"/>
            <w:r>
              <w:t xml:space="preserve"> </w:t>
            </w:r>
            <w:proofErr w:type="spellStart"/>
            <w:r>
              <w:t>budżet</w:t>
            </w:r>
            <w:proofErr w:type="spellEnd"/>
            <w:r>
              <w:t xml:space="preserve">. </w:t>
            </w:r>
            <w:proofErr w:type="spellStart"/>
            <w:r>
              <w:t>Konieczność</w:t>
            </w:r>
            <w:proofErr w:type="spellEnd"/>
            <w:r>
              <w:t xml:space="preserve"> </w:t>
            </w:r>
            <w:proofErr w:type="spellStart"/>
            <w:r>
              <w:t>zmiany</w:t>
            </w:r>
            <w:proofErr w:type="spellEnd"/>
            <w:r>
              <w:t xml:space="preserve"> </w:t>
            </w:r>
            <w:proofErr w:type="spellStart"/>
            <w:r>
              <w:t>zakresu</w:t>
            </w:r>
            <w:proofErr w:type="spellEnd"/>
            <w:r>
              <w:t xml:space="preserve"> </w:t>
            </w:r>
            <w:proofErr w:type="spellStart"/>
            <w:r>
              <w:t>rzeczowego</w:t>
            </w:r>
            <w:proofErr w:type="spellEnd"/>
            <w:r>
              <w:t xml:space="preserve"> </w:t>
            </w:r>
            <w:proofErr w:type="spellStart"/>
            <w:r>
              <w:t>proj</w:t>
            </w:r>
            <w:proofErr w:type="spellEnd"/>
            <w:r>
              <w:t xml:space="preserve">. Na </w:t>
            </w:r>
            <w:proofErr w:type="spellStart"/>
            <w:r>
              <w:t>koniec</w:t>
            </w:r>
            <w:proofErr w:type="spellEnd"/>
            <w:r>
              <w:t xml:space="preserve"> 19r.  IZ </w:t>
            </w:r>
            <w:proofErr w:type="spellStart"/>
            <w:r>
              <w:t>wyraziła</w:t>
            </w:r>
            <w:proofErr w:type="spellEnd"/>
            <w:r>
              <w:t xml:space="preserve"> </w:t>
            </w:r>
            <w:proofErr w:type="spellStart"/>
            <w:r>
              <w:t>zgodę</w:t>
            </w:r>
            <w:proofErr w:type="spellEnd"/>
            <w:r>
              <w:t xml:space="preserve"> </w:t>
            </w:r>
            <w:proofErr w:type="spellStart"/>
            <w:r>
              <w:t>na</w:t>
            </w:r>
            <w:proofErr w:type="spellEnd"/>
            <w:r>
              <w:t xml:space="preserve"> </w:t>
            </w:r>
            <w:proofErr w:type="spellStart"/>
            <w:r>
              <w:t>ograniczenie</w:t>
            </w:r>
            <w:proofErr w:type="spellEnd"/>
            <w:r>
              <w:t xml:space="preserve"> </w:t>
            </w:r>
            <w:proofErr w:type="spellStart"/>
            <w:r>
              <w:t>zakresu</w:t>
            </w:r>
            <w:proofErr w:type="spellEnd"/>
            <w:r>
              <w:t xml:space="preserve"> </w:t>
            </w:r>
            <w:proofErr w:type="spellStart"/>
            <w:r>
              <w:t>rzeczowego</w:t>
            </w:r>
            <w:proofErr w:type="spellEnd"/>
            <w:r>
              <w:t xml:space="preserve"> i </w:t>
            </w:r>
            <w:proofErr w:type="spellStart"/>
            <w:r>
              <w:t>zwiększyła</w:t>
            </w:r>
            <w:proofErr w:type="spellEnd"/>
            <w:r>
              <w:t xml:space="preserve"> </w:t>
            </w:r>
            <w:proofErr w:type="spellStart"/>
            <w:r>
              <w:t>dofinansowanie</w:t>
            </w:r>
            <w:proofErr w:type="spellEnd"/>
            <w:r>
              <w:t>.</w:t>
            </w:r>
          </w:p>
          <w:p w14:paraId="39F2D4FA" w14:textId="77777777" w:rsidR="006B2EC1" w:rsidRDefault="00E82A60">
            <w:pPr>
              <w:spacing w:before="240" w:after="240"/>
              <w:jc w:val="left"/>
            </w:pPr>
            <w:r>
              <w:rPr>
                <w:b/>
                <w:bCs/>
              </w:rPr>
              <w:t>OP 6</w:t>
            </w:r>
          </w:p>
          <w:p w14:paraId="33E1503D" w14:textId="77777777" w:rsidR="006B2EC1" w:rsidRDefault="00E82A60" w:rsidP="00E82A60">
            <w:pPr>
              <w:numPr>
                <w:ilvl w:val="0"/>
                <w:numId w:val="51"/>
              </w:numPr>
              <w:spacing w:before="240" w:after="0"/>
              <w:ind w:hanging="210"/>
              <w:jc w:val="left"/>
            </w:pPr>
            <w:proofErr w:type="spellStart"/>
            <w:r>
              <w:t>przedłużające</w:t>
            </w:r>
            <w:proofErr w:type="spellEnd"/>
            <w:r>
              <w:t xml:space="preserve"> </w:t>
            </w:r>
            <w:proofErr w:type="spellStart"/>
            <w:r>
              <w:t>się</w:t>
            </w:r>
            <w:proofErr w:type="spellEnd"/>
            <w:r>
              <w:t xml:space="preserve"> </w:t>
            </w:r>
            <w:proofErr w:type="spellStart"/>
            <w:r>
              <w:t>procedury</w:t>
            </w:r>
            <w:proofErr w:type="spellEnd"/>
            <w:r>
              <w:t xml:space="preserve"> </w:t>
            </w:r>
            <w:proofErr w:type="spellStart"/>
            <w:r>
              <w:t>uzyskania</w:t>
            </w:r>
            <w:proofErr w:type="spellEnd"/>
            <w:r>
              <w:t xml:space="preserve"> </w:t>
            </w:r>
            <w:proofErr w:type="spellStart"/>
            <w:r>
              <w:t>przez</w:t>
            </w:r>
            <w:proofErr w:type="spellEnd"/>
            <w:r>
              <w:t xml:space="preserve"> </w:t>
            </w:r>
            <w:proofErr w:type="spellStart"/>
            <w:r>
              <w:t>gminy</w:t>
            </w:r>
            <w:proofErr w:type="spellEnd"/>
            <w:r>
              <w:t xml:space="preserve"> </w:t>
            </w:r>
            <w:proofErr w:type="spellStart"/>
            <w:r>
              <w:t>pozwoleń</w:t>
            </w:r>
            <w:proofErr w:type="spellEnd"/>
            <w:r>
              <w:t xml:space="preserve"> </w:t>
            </w:r>
            <w:proofErr w:type="spellStart"/>
            <w:r>
              <w:t>na</w:t>
            </w:r>
            <w:proofErr w:type="spellEnd"/>
            <w:r>
              <w:t xml:space="preserve"> </w:t>
            </w:r>
            <w:proofErr w:type="spellStart"/>
            <w:r>
              <w:t>budowę</w:t>
            </w:r>
            <w:proofErr w:type="spellEnd"/>
            <w:r>
              <w:t xml:space="preserve"> </w:t>
            </w:r>
            <w:proofErr w:type="spellStart"/>
            <w:r>
              <w:t>ciągów</w:t>
            </w:r>
            <w:proofErr w:type="spellEnd"/>
            <w:r>
              <w:t xml:space="preserve"> </w:t>
            </w:r>
            <w:proofErr w:type="spellStart"/>
            <w:r>
              <w:t>rowerowych</w:t>
            </w:r>
            <w:proofErr w:type="spellEnd"/>
            <w:r>
              <w:t xml:space="preserve">, </w:t>
            </w:r>
            <w:proofErr w:type="spellStart"/>
            <w:r>
              <w:t>nieuregulowany</w:t>
            </w:r>
            <w:proofErr w:type="spellEnd"/>
            <w:r>
              <w:t xml:space="preserve"> stan prawny </w:t>
            </w:r>
            <w:proofErr w:type="spellStart"/>
            <w:r>
              <w:t>nieruchomości</w:t>
            </w:r>
            <w:proofErr w:type="spellEnd"/>
            <w:r>
              <w:t xml:space="preserve"> pod </w:t>
            </w:r>
            <w:proofErr w:type="spellStart"/>
            <w:r>
              <w:t>inwestycje</w:t>
            </w:r>
            <w:proofErr w:type="spellEnd"/>
          </w:p>
          <w:p w14:paraId="65D010B2" w14:textId="77777777" w:rsidR="006B2EC1" w:rsidRDefault="00E82A60" w:rsidP="00E82A60">
            <w:pPr>
              <w:numPr>
                <w:ilvl w:val="0"/>
                <w:numId w:val="51"/>
              </w:numPr>
              <w:spacing w:before="0" w:after="0"/>
              <w:ind w:hanging="210"/>
              <w:jc w:val="left"/>
            </w:pPr>
            <w:r>
              <w:t xml:space="preserve">w </w:t>
            </w:r>
            <w:proofErr w:type="spellStart"/>
            <w:r>
              <w:t>rewitalizacji-problemy</w:t>
            </w:r>
            <w:proofErr w:type="spellEnd"/>
            <w:r>
              <w:t xml:space="preserve"> z </w:t>
            </w:r>
            <w:proofErr w:type="spellStart"/>
            <w:r>
              <w:t>uzyskiwaniem</w:t>
            </w:r>
            <w:proofErr w:type="spellEnd"/>
            <w:r>
              <w:t xml:space="preserve"> </w:t>
            </w:r>
            <w:proofErr w:type="spellStart"/>
            <w:r>
              <w:t>pozwoleń</w:t>
            </w:r>
            <w:proofErr w:type="spellEnd"/>
            <w:r>
              <w:t xml:space="preserve"> (m.in. </w:t>
            </w:r>
            <w:proofErr w:type="spellStart"/>
            <w:r>
              <w:t>uzgodnienia</w:t>
            </w:r>
            <w:proofErr w:type="spellEnd"/>
            <w:r>
              <w:t xml:space="preserve"> z </w:t>
            </w:r>
            <w:proofErr w:type="spellStart"/>
            <w:r>
              <w:t>konserwatorem</w:t>
            </w:r>
            <w:proofErr w:type="spellEnd"/>
            <w:r>
              <w:t xml:space="preserve"> </w:t>
            </w:r>
            <w:proofErr w:type="spellStart"/>
            <w:r>
              <w:t>zabytków</w:t>
            </w:r>
            <w:proofErr w:type="spellEnd"/>
            <w:r>
              <w:t xml:space="preserve">, </w:t>
            </w:r>
            <w:proofErr w:type="spellStart"/>
            <w:r>
              <w:t>wodami</w:t>
            </w:r>
            <w:proofErr w:type="spellEnd"/>
            <w:r>
              <w:t xml:space="preserve"> </w:t>
            </w:r>
            <w:proofErr w:type="spellStart"/>
            <w:r>
              <w:t>polskimi</w:t>
            </w:r>
            <w:proofErr w:type="spellEnd"/>
            <w:r>
              <w:t>)</w:t>
            </w:r>
          </w:p>
          <w:p w14:paraId="7A1D6303" w14:textId="77777777" w:rsidR="006B2EC1" w:rsidRDefault="00E82A60" w:rsidP="00E82A60">
            <w:pPr>
              <w:numPr>
                <w:ilvl w:val="0"/>
                <w:numId w:val="51"/>
              </w:numPr>
              <w:spacing w:before="0" w:after="240"/>
              <w:ind w:hanging="210"/>
              <w:jc w:val="left"/>
            </w:pPr>
            <w:proofErr w:type="spellStart"/>
            <w:r>
              <w:t>wzrost</w:t>
            </w:r>
            <w:proofErr w:type="spellEnd"/>
            <w:r>
              <w:t xml:space="preserve"> </w:t>
            </w:r>
            <w:proofErr w:type="spellStart"/>
            <w:r>
              <w:t>cen</w:t>
            </w:r>
            <w:proofErr w:type="spellEnd"/>
            <w:r>
              <w:t xml:space="preserve"> </w:t>
            </w:r>
            <w:proofErr w:type="spellStart"/>
            <w:r>
              <w:t>robót</w:t>
            </w:r>
            <w:proofErr w:type="spellEnd"/>
            <w:r>
              <w:t xml:space="preserve"> </w:t>
            </w:r>
            <w:proofErr w:type="spellStart"/>
            <w:r>
              <w:t>budowlanych</w:t>
            </w:r>
            <w:proofErr w:type="spellEnd"/>
            <w:r>
              <w:t xml:space="preserve">, </w:t>
            </w:r>
            <w:proofErr w:type="spellStart"/>
            <w:r>
              <w:t>powtarzanie</w:t>
            </w:r>
            <w:proofErr w:type="spellEnd"/>
            <w:r>
              <w:t xml:space="preserve"> </w:t>
            </w:r>
            <w:proofErr w:type="spellStart"/>
            <w:r>
              <w:t>zamówień-zmiany</w:t>
            </w:r>
            <w:proofErr w:type="spellEnd"/>
            <w:r>
              <w:t xml:space="preserve"> </w:t>
            </w:r>
            <w:proofErr w:type="spellStart"/>
            <w:r>
              <w:t>zakresu</w:t>
            </w:r>
            <w:proofErr w:type="spellEnd"/>
            <w:r>
              <w:t xml:space="preserve"> </w:t>
            </w:r>
            <w:proofErr w:type="spellStart"/>
            <w:r>
              <w:t>proj</w:t>
            </w:r>
            <w:proofErr w:type="spellEnd"/>
            <w:r>
              <w:t xml:space="preserve">. i </w:t>
            </w:r>
            <w:proofErr w:type="spellStart"/>
            <w:r>
              <w:t>wydłużenie</w:t>
            </w:r>
            <w:proofErr w:type="spellEnd"/>
            <w:r>
              <w:t xml:space="preserve"> </w:t>
            </w:r>
            <w:proofErr w:type="spellStart"/>
            <w:r>
              <w:t>terminów</w:t>
            </w:r>
            <w:proofErr w:type="spellEnd"/>
          </w:p>
          <w:p w14:paraId="546C6EF0" w14:textId="77777777" w:rsidR="006B2EC1" w:rsidRDefault="00E82A60">
            <w:pPr>
              <w:spacing w:before="240" w:after="240"/>
              <w:jc w:val="left"/>
            </w:pPr>
            <w:r>
              <w:rPr>
                <w:b/>
                <w:bCs/>
              </w:rPr>
              <w:t>OP 7</w:t>
            </w:r>
          </w:p>
          <w:p w14:paraId="5EE8C8F9" w14:textId="77777777" w:rsidR="006B2EC1" w:rsidRDefault="00E82A60" w:rsidP="00E82A60">
            <w:pPr>
              <w:numPr>
                <w:ilvl w:val="0"/>
                <w:numId w:val="52"/>
              </w:numPr>
              <w:spacing w:before="240" w:after="240"/>
              <w:ind w:hanging="210"/>
              <w:jc w:val="left"/>
            </w:pPr>
            <w:proofErr w:type="spellStart"/>
            <w:r>
              <w:lastRenderedPageBreak/>
              <w:t>wysokie</w:t>
            </w:r>
            <w:proofErr w:type="spellEnd"/>
            <w:r>
              <w:t xml:space="preserve"> </w:t>
            </w:r>
            <w:proofErr w:type="spellStart"/>
            <w:r>
              <w:t>ceny</w:t>
            </w:r>
            <w:proofErr w:type="spellEnd"/>
            <w:r>
              <w:t xml:space="preserve"> </w:t>
            </w:r>
            <w:proofErr w:type="spellStart"/>
            <w:r>
              <w:t>robót</w:t>
            </w:r>
            <w:proofErr w:type="spellEnd"/>
            <w:r>
              <w:t xml:space="preserve"> </w:t>
            </w:r>
            <w:proofErr w:type="spellStart"/>
            <w:r>
              <w:t>budowlanych</w:t>
            </w:r>
            <w:proofErr w:type="spellEnd"/>
            <w:r>
              <w:t>/</w:t>
            </w:r>
            <w:proofErr w:type="spellStart"/>
            <w:r>
              <w:t>usług</w:t>
            </w:r>
            <w:proofErr w:type="spellEnd"/>
            <w:r>
              <w:t xml:space="preserve">, </w:t>
            </w:r>
            <w:proofErr w:type="spellStart"/>
            <w:r>
              <w:t>powtarzanie</w:t>
            </w:r>
            <w:proofErr w:type="spellEnd"/>
            <w:r>
              <w:t xml:space="preserve"> </w:t>
            </w:r>
            <w:proofErr w:type="spellStart"/>
            <w:r>
              <w:t>zamówień-wydłużanie</w:t>
            </w:r>
            <w:proofErr w:type="spellEnd"/>
            <w:r>
              <w:t xml:space="preserve"> </w:t>
            </w:r>
            <w:proofErr w:type="spellStart"/>
            <w:r>
              <w:t>terminów</w:t>
            </w:r>
            <w:proofErr w:type="spellEnd"/>
            <w:r>
              <w:t xml:space="preserve"> </w:t>
            </w:r>
            <w:proofErr w:type="spellStart"/>
            <w:r>
              <w:t>realizacji</w:t>
            </w:r>
            <w:proofErr w:type="spellEnd"/>
            <w:r>
              <w:t xml:space="preserve"> </w:t>
            </w:r>
            <w:proofErr w:type="spellStart"/>
            <w:r>
              <w:t>proj</w:t>
            </w:r>
            <w:proofErr w:type="spellEnd"/>
            <w:r>
              <w:t xml:space="preserve">. </w:t>
            </w:r>
            <w:r>
              <w:rPr>
                <w:b/>
                <w:bCs/>
              </w:rPr>
              <w:t> </w:t>
            </w:r>
          </w:p>
          <w:p w14:paraId="2372E5DB" w14:textId="77777777" w:rsidR="006B2EC1" w:rsidRDefault="00E82A60">
            <w:pPr>
              <w:spacing w:before="240" w:after="240"/>
              <w:jc w:val="left"/>
            </w:pPr>
            <w:r>
              <w:rPr>
                <w:b/>
                <w:bCs/>
              </w:rPr>
              <w:t>EFS</w:t>
            </w:r>
          </w:p>
          <w:p w14:paraId="09E8BD88" w14:textId="77777777" w:rsidR="006B2EC1" w:rsidRDefault="00E82A60" w:rsidP="00E82A60">
            <w:pPr>
              <w:numPr>
                <w:ilvl w:val="0"/>
                <w:numId w:val="53"/>
              </w:numPr>
              <w:spacing w:before="240" w:after="0"/>
              <w:ind w:hanging="210"/>
              <w:jc w:val="left"/>
            </w:pPr>
            <w:proofErr w:type="spellStart"/>
            <w:r>
              <w:rPr>
                <w:b/>
                <w:bCs/>
              </w:rPr>
              <w:t>Beneficjencie</w:t>
            </w:r>
            <w:proofErr w:type="spellEnd"/>
            <w:r>
              <w:rPr>
                <w:b/>
                <w:bCs/>
              </w:rPr>
              <w:t xml:space="preserve"> </w:t>
            </w:r>
            <w:proofErr w:type="spellStart"/>
            <w:r>
              <w:rPr>
                <w:b/>
                <w:bCs/>
              </w:rPr>
              <w:t>rozliczają</w:t>
            </w:r>
            <w:proofErr w:type="spellEnd"/>
            <w:r>
              <w:rPr>
                <w:b/>
                <w:bCs/>
              </w:rPr>
              <w:t xml:space="preserve"> </w:t>
            </w:r>
            <w:proofErr w:type="spellStart"/>
            <w:r>
              <w:rPr>
                <w:b/>
                <w:bCs/>
              </w:rPr>
              <w:t>proj</w:t>
            </w:r>
            <w:proofErr w:type="spellEnd"/>
            <w:r>
              <w:rPr>
                <w:b/>
                <w:bCs/>
              </w:rPr>
              <w:t xml:space="preserve">. z </w:t>
            </w:r>
            <w:proofErr w:type="spellStart"/>
            <w:r>
              <w:rPr>
                <w:b/>
                <w:bCs/>
              </w:rPr>
              <w:t>opóźnieniem</w:t>
            </w:r>
            <w:proofErr w:type="spellEnd"/>
            <w:r>
              <w:rPr>
                <w:b/>
                <w:bCs/>
              </w:rPr>
              <w:t xml:space="preserve">, </w:t>
            </w:r>
            <w:proofErr w:type="spellStart"/>
            <w:r>
              <w:rPr>
                <w:b/>
                <w:bCs/>
              </w:rPr>
              <w:t>wykazują</w:t>
            </w:r>
            <w:proofErr w:type="spellEnd"/>
            <w:r>
              <w:rPr>
                <w:b/>
                <w:bCs/>
              </w:rPr>
              <w:t xml:space="preserve"> </w:t>
            </w:r>
            <w:proofErr w:type="spellStart"/>
            <w:r>
              <w:rPr>
                <w:b/>
                <w:bCs/>
              </w:rPr>
              <w:t>mniejsze</w:t>
            </w:r>
            <w:proofErr w:type="spellEnd"/>
            <w:r>
              <w:rPr>
                <w:b/>
                <w:bCs/>
              </w:rPr>
              <w:t xml:space="preserve"> </w:t>
            </w:r>
            <w:proofErr w:type="spellStart"/>
            <w:r>
              <w:rPr>
                <w:b/>
                <w:bCs/>
              </w:rPr>
              <w:t>niż</w:t>
            </w:r>
            <w:proofErr w:type="spellEnd"/>
            <w:r>
              <w:rPr>
                <w:b/>
                <w:bCs/>
              </w:rPr>
              <w:t xml:space="preserve"> </w:t>
            </w:r>
            <w:proofErr w:type="spellStart"/>
            <w:r>
              <w:rPr>
                <w:b/>
                <w:bCs/>
              </w:rPr>
              <w:t>planowano</w:t>
            </w:r>
            <w:proofErr w:type="spellEnd"/>
            <w:r>
              <w:rPr>
                <w:b/>
                <w:bCs/>
              </w:rPr>
              <w:t xml:space="preserve"> </w:t>
            </w:r>
            <w:proofErr w:type="spellStart"/>
            <w:r>
              <w:rPr>
                <w:b/>
                <w:bCs/>
              </w:rPr>
              <w:t>wydatki</w:t>
            </w:r>
            <w:proofErr w:type="spellEnd"/>
            <w:r>
              <w:rPr>
                <w:b/>
                <w:bCs/>
              </w:rPr>
              <w:t xml:space="preserve">. </w:t>
            </w:r>
            <w:proofErr w:type="spellStart"/>
            <w:r>
              <w:rPr>
                <w:b/>
                <w:bCs/>
              </w:rPr>
              <w:t>Zmiany</w:t>
            </w:r>
            <w:proofErr w:type="spellEnd"/>
            <w:r>
              <w:rPr>
                <w:b/>
                <w:bCs/>
              </w:rPr>
              <w:t xml:space="preserve"> </w:t>
            </w:r>
            <w:proofErr w:type="spellStart"/>
            <w:r>
              <w:rPr>
                <w:b/>
                <w:bCs/>
              </w:rPr>
              <w:t>harmonogramów</w:t>
            </w:r>
            <w:proofErr w:type="spellEnd"/>
            <w:r>
              <w:rPr>
                <w:b/>
                <w:bCs/>
              </w:rPr>
              <w:t xml:space="preserve"> </w:t>
            </w:r>
            <w:proofErr w:type="spellStart"/>
            <w:r>
              <w:rPr>
                <w:b/>
                <w:bCs/>
              </w:rPr>
              <w:t>płatności</w:t>
            </w:r>
            <w:proofErr w:type="spellEnd"/>
            <w:r>
              <w:rPr>
                <w:b/>
                <w:bCs/>
              </w:rPr>
              <w:t xml:space="preserve">, </w:t>
            </w:r>
            <w:proofErr w:type="spellStart"/>
            <w:r>
              <w:rPr>
                <w:b/>
                <w:bCs/>
              </w:rPr>
              <w:t>przesuwanie</w:t>
            </w:r>
            <w:proofErr w:type="spellEnd"/>
            <w:r>
              <w:rPr>
                <w:b/>
                <w:bCs/>
              </w:rPr>
              <w:t xml:space="preserve"> </w:t>
            </w:r>
            <w:proofErr w:type="spellStart"/>
            <w:r>
              <w:rPr>
                <w:b/>
                <w:bCs/>
              </w:rPr>
              <w:t>transz</w:t>
            </w:r>
            <w:proofErr w:type="spellEnd"/>
          </w:p>
          <w:p w14:paraId="40BBBC02" w14:textId="77777777" w:rsidR="006B2EC1" w:rsidRDefault="00E82A60" w:rsidP="00E82A60">
            <w:pPr>
              <w:numPr>
                <w:ilvl w:val="0"/>
                <w:numId w:val="53"/>
              </w:numPr>
              <w:spacing w:before="0" w:after="240"/>
              <w:ind w:hanging="210"/>
              <w:jc w:val="left"/>
            </w:pPr>
            <w:proofErr w:type="spellStart"/>
            <w:r>
              <w:rPr>
                <w:b/>
                <w:bCs/>
              </w:rPr>
              <w:t>Zmiana</w:t>
            </w:r>
            <w:proofErr w:type="spellEnd"/>
            <w:r>
              <w:rPr>
                <w:b/>
                <w:bCs/>
              </w:rPr>
              <w:t xml:space="preserve"> </w:t>
            </w:r>
            <w:proofErr w:type="spellStart"/>
            <w:r>
              <w:rPr>
                <w:b/>
                <w:bCs/>
              </w:rPr>
              <w:t>Wytycznych</w:t>
            </w:r>
            <w:proofErr w:type="spellEnd"/>
            <w:r>
              <w:rPr>
                <w:b/>
                <w:bCs/>
              </w:rPr>
              <w:t xml:space="preserve"> dot.-</w:t>
            </w:r>
            <w:proofErr w:type="spellStart"/>
            <w:r>
              <w:rPr>
                <w:b/>
                <w:bCs/>
              </w:rPr>
              <w:t>podziału</w:t>
            </w:r>
            <w:proofErr w:type="spellEnd"/>
            <w:r>
              <w:rPr>
                <w:b/>
                <w:bCs/>
              </w:rPr>
              <w:t xml:space="preserve"> </w:t>
            </w:r>
            <w:proofErr w:type="spellStart"/>
            <w:r>
              <w:rPr>
                <w:b/>
                <w:bCs/>
              </w:rPr>
              <w:t>konkursów</w:t>
            </w:r>
            <w:proofErr w:type="spellEnd"/>
            <w:r>
              <w:rPr>
                <w:b/>
                <w:bCs/>
              </w:rPr>
              <w:t xml:space="preserve"> </w:t>
            </w:r>
            <w:proofErr w:type="spellStart"/>
            <w:r>
              <w:rPr>
                <w:b/>
                <w:bCs/>
              </w:rPr>
              <w:t>na</w:t>
            </w:r>
            <w:proofErr w:type="spellEnd"/>
            <w:r>
              <w:rPr>
                <w:b/>
                <w:bCs/>
              </w:rPr>
              <w:t xml:space="preserve"> </w:t>
            </w:r>
            <w:proofErr w:type="spellStart"/>
            <w:r>
              <w:rPr>
                <w:b/>
                <w:bCs/>
              </w:rPr>
              <w:t>proj</w:t>
            </w:r>
            <w:proofErr w:type="spellEnd"/>
            <w:r>
              <w:rPr>
                <w:b/>
                <w:bCs/>
              </w:rPr>
              <w:t xml:space="preserve">. </w:t>
            </w:r>
            <w:proofErr w:type="spellStart"/>
            <w:r>
              <w:rPr>
                <w:b/>
                <w:bCs/>
              </w:rPr>
              <w:t>małe</w:t>
            </w:r>
            <w:proofErr w:type="spellEnd"/>
            <w:r>
              <w:rPr>
                <w:b/>
                <w:bCs/>
              </w:rPr>
              <w:t xml:space="preserve"> do 100 </w:t>
            </w:r>
            <w:proofErr w:type="spellStart"/>
            <w:r>
              <w:rPr>
                <w:b/>
                <w:bCs/>
              </w:rPr>
              <w:t>tys</w:t>
            </w:r>
            <w:proofErr w:type="spellEnd"/>
            <w:r>
              <w:rPr>
                <w:b/>
                <w:bCs/>
              </w:rPr>
              <w:t xml:space="preserve">. EUR i </w:t>
            </w:r>
            <w:proofErr w:type="spellStart"/>
            <w:r>
              <w:rPr>
                <w:b/>
                <w:bCs/>
              </w:rPr>
              <w:t>duże</w:t>
            </w:r>
            <w:proofErr w:type="spellEnd"/>
            <w:r>
              <w:rPr>
                <w:b/>
                <w:bCs/>
              </w:rPr>
              <w:t xml:space="preserve">- </w:t>
            </w:r>
            <w:proofErr w:type="spellStart"/>
            <w:r>
              <w:rPr>
                <w:b/>
                <w:bCs/>
              </w:rPr>
              <w:t>brak</w:t>
            </w:r>
            <w:proofErr w:type="spellEnd"/>
            <w:r>
              <w:rPr>
                <w:b/>
                <w:bCs/>
              </w:rPr>
              <w:t xml:space="preserve"> </w:t>
            </w:r>
            <w:proofErr w:type="spellStart"/>
            <w:r>
              <w:rPr>
                <w:b/>
                <w:bCs/>
              </w:rPr>
              <w:t>uwzględnienia</w:t>
            </w:r>
            <w:proofErr w:type="spellEnd"/>
            <w:r>
              <w:rPr>
                <w:b/>
                <w:bCs/>
              </w:rPr>
              <w:t xml:space="preserve"> </w:t>
            </w:r>
            <w:proofErr w:type="spellStart"/>
            <w:r>
              <w:rPr>
                <w:b/>
                <w:bCs/>
              </w:rPr>
              <w:t>specyfiki</w:t>
            </w:r>
            <w:proofErr w:type="spellEnd"/>
            <w:r>
              <w:rPr>
                <w:b/>
                <w:bCs/>
              </w:rPr>
              <w:t xml:space="preserve"> </w:t>
            </w:r>
            <w:proofErr w:type="spellStart"/>
            <w:r>
              <w:rPr>
                <w:b/>
                <w:bCs/>
              </w:rPr>
              <w:t>proj</w:t>
            </w:r>
            <w:proofErr w:type="spellEnd"/>
            <w:r>
              <w:rPr>
                <w:b/>
                <w:bCs/>
              </w:rPr>
              <w:t xml:space="preserve">. </w:t>
            </w:r>
            <w:proofErr w:type="spellStart"/>
            <w:r>
              <w:rPr>
                <w:b/>
                <w:bCs/>
              </w:rPr>
              <w:t>rozliczanych</w:t>
            </w:r>
            <w:proofErr w:type="spellEnd"/>
            <w:r>
              <w:rPr>
                <w:b/>
                <w:bCs/>
              </w:rPr>
              <w:t xml:space="preserve"> </w:t>
            </w:r>
            <w:proofErr w:type="spellStart"/>
            <w:r>
              <w:rPr>
                <w:b/>
                <w:bCs/>
              </w:rPr>
              <w:t>stawkami</w:t>
            </w:r>
            <w:proofErr w:type="spellEnd"/>
            <w:r>
              <w:rPr>
                <w:b/>
                <w:bCs/>
              </w:rPr>
              <w:t xml:space="preserve"> </w:t>
            </w:r>
            <w:proofErr w:type="spellStart"/>
            <w:r>
              <w:rPr>
                <w:b/>
                <w:bCs/>
              </w:rPr>
              <w:t>jednostkowymi</w:t>
            </w:r>
            <w:proofErr w:type="spellEnd"/>
          </w:p>
          <w:p w14:paraId="7D287C01" w14:textId="77777777" w:rsidR="006B2EC1" w:rsidRDefault="00E82A60">
            <w:pPr>
              <w:spacing w:before="240" w:after="240"/>
              <w:jc w:val="left"/>
            </w:pPr>
            <w:r>
              <w:rPr>
                <w:b/>
                <w:bCs/>
              </w:rPr>
              <w:t>OP 8</w:t>
            </w:r>
          </w:p>
          <w:p w14:paraId="152A260E" w14:textId="77777777" w:rsidR="006B2EC1" w:rsidRDefault="00E82A60">
            <w:pPr>
              <w:spacing w:before="240" w:after="240"/>
              <w:jc w:val="left"/>
            </w:pPr>
            <w:r>
              <w:t xml:space="preserve">PI8vi/Dz.8.2-wymagające </w:t>
            </w:r>
            <w:proofErr w:type="spellStart"/>
            <w:r>
              <w:t>kryteria</w:t>
            </w:r>
            <w:proofErr w:type="spellEnd"/>
            <w:r>
              <w:t xml:space="preserve"> </w:t>
            </w:r>
            <w:proofErr w:type="spellStart"/>
            <w:r>
              <w:t>wyboru</w:t>
            </w:r>
            <w:proofErr w:type="spellEnd"/>
            <w:r>
              <w:t xml:space="preserve"> </w:t>
            </w:r>
            <w:proofErr w:type="spellStart"/>
            <w:r>
              <w:t>proj</w:t>
            </w:r>
            <w:proofErr w:type="spellEnd"/>
            <w:r>
              <w:t xml:space="preserve">. i </w:t>
            </w:r>
            <w:proofErr w:type="spellStart"/>
            <w:r>
              <w:t>małe</w:t>
            </w:r>
            <w:proofErr w:type="spellEnd"/>
            <w:r>
              <w:t xml:space="preserve"> </w:t>
            </w:r>
            <w:proofErr w:type="spellStart"/>
            <w:r>
              <w:t>zainteresowanie</w:t>
            </w:r>
            <w:proofErr w:type="spellEnd"/>
            <w:r>
              <w:t xml:space="preserve"> </w:t>
            </w:r>
            <w:proofErr w:type="spellStart"/>
            <w:r>
              <w:t>konkurs</w:t>
            </w:r>
            <w:proofErr w:type="spellEnd"/>
            <w:r>
              <w:t xml:space="preserve">., </w:t>
            </w:r>
            <w:proofErr w:type="spellStart"/>
            <w:r>
              <w:t>brak</w:t>
            </w:r>
            <w:proofErr w:type="spellEnd"/>
            <w:r>
              <w:t xml:space="preserve"> </w:t>
            </w:r>
            <w:proofErr w:type="spellStart"/>
            <w:r>
              <w:t>doświadczenia</w:t>
            </w:r>
            <w:proofErr w:type="spellEnd"/>
            <w:r>
              <w:t xml:space="preserve"> </w:t>
            </w:r>
            <w:proofErr w:type="spellStart"/>
            <w:r>
              <w:t>Wnioskodawców</w:t>
            </w:r>
            <w:proofErr w:type="spellEnd"/>
            <w:r>
              <w:t xml:space="preserve"> w </w:t>
            </w:r>
            <w:proofErr w:type="spellStart"/>
            <w:r>
              <w:t>przygotowaniu</w:t>
            </w:r>
            <w:proofErr w:type="spellEnd"/>
            <w:r>
              <w:t xml:space="preserve"> WND i </w:t>
            </w:r>
            <w:proofErr w:type="spellStart"/>
            <w:r>
              <w:t>kadr</w:t>
            </w:r>
            <w:proofErr w:type="spellEnd"/>
            <w:r>
              <w:t xml:space="preserve"> do </w:t>
            </w:r>
            <w:proofErr w:type="spellStart"/>
            <w:r>
              <w:t>realizacji</w:t>
            </w:r>
            <w:proofErr w:type="spellEnd"/>
            <w:r>
              <w:t xml:space="preserve"> </w:t>
            </w:r>
            <w:proofErr w:type="spellStart"/>
            <w:r>
              <w:t>proj</w:t>
            </w:r>
            <w:proofErr w:type="spellEnd"/>
            <w:r>
              <w:t xml:space="preserve">., </w:t>
            </w:r>
            <w:proofErr w:type="spellStart"/>
            <w:r>
              <w:t>długi</w:t>
            </w:r>
            <w:proofErr w:type="spellEnd"/>
            <w:r>
              <w:t xml:space="preserve"> </w:t>
            </w:r>
            <w:proofErr w:type="spellStart"/>
            <w:r>
              <w:t>proces</w:t>
            </w:r>
            <w:proofErr w:type="spellEnd"/>
            <w:r>
              <w:t xml:space="preserve"> </w:t>
            </w:r>
            <w:proofErr w:type="spellStart"/>
            <w:r>
              <w:t>zatwierdzania</w:t>
            </w:r>
            <w:proofErr w:type="spellEnd"/>
            <w:r>
              <w:t xml:space="preserve"> RPZ.</w:t>
            </w:r>
          </w:p>
          <w:p w14:paraId="0D02ABF3" w14:textId="77777777" w:rsidR="006B2EC1" w:rsidRDefault="00E82A60">
            <w:pPr>
              <w:spacing w:before="240" w:after="240"/>
              <w:jc w:val="left"/>
            </w:pPr>
            <w:proofErr w:type="spellStart"/>
            <w:r>
              <w:t>Wskaźniki</w:t>
            </w:r>
            <w:proofErr w:type="spellEnd"/>
            <w:r>
              <w:t xml:space="preserve">, z </w:t>
            </w:r>
            <w:proofErr w:type="spellStart"/>
            <w:r>
              <w:t>niską</w:t>
            </w:r>
            <w:proofErr w:type="spellEnd"/>
            <w:r>
              <w:t xml:space="preserve"> </w:t>
            </w:r>
            <w:proofErr w:type="spellStart"/>
            <w:r>
              <w:t>realizacją</w:t>
            </w:r>
            <w:proofErr w:type="spellEnd"/>
            <w:r>
              <w:t>:</w:t>
            </w:r>
          </w:p>
          <w:p w14:paraId="3A8B39FB" w14:textId="77777777" w:rsidR="006B2EC1" w:rsidRDefault="00E82A60">
            <w:pPr>
              <w:spacing w:before="240" w:after="240"/>
              <w:jc w:val="left"/>
            </w:pPr>
            <w:r>
              <w:rPr>
                <w:i/>
                <w:iCs/>
              </w:rPr>
              <w:t xml:space="preserve">-L. </w:t>
            </w:r>
            <w:proofErr w:type="spellStart"/>
            <w:r>
              <w:rPr>
                <w:i/>
                <w:iCs/>
              </w:rPr>
              <w:t>osób</w:t>
            </w:r>
            <w:proofErr w:type="spellEnd"/>
            <w:r>
              <w:rPr>
                <w:i/>
                <w:iCs/>
              </w:rPr>
              <w:t xml:space="preserve">, </w:t>
            </w:r>
            <w:proofErr w:type="spellStart"/>
            <w:r>
              <w:rPr>
                <w:i/>
                <w:iCs/>
              </w:rPr>
              <w:t>które</w:t>
            </w:r>
            <w:proofErr w:type="spellEnd"/>
            <w:r>
              <w:rPr>
                <w:i/>
                <w:iCs/>
              </w:rPr>
              <w:t xml:space="preserve"> po </w:t>
            </w:r>
            <w:proofErr w:type="spellStart"/>
            <w:r>
              <w:rPr>
                <w:i/>
                <w:iCs/>
              </w:rPr>
              <w:t>opuszczeniu</w:t>
            </w:r>
            <w:proofErr w:type="spellEnd"/>
            <w:r>
              <w:rPr>
                <w:i/>
                <w:iCs/>
              </w:rPr>
              <w:t xml:space="preserve"> </w:t>
            </w:r>
            <w:proofErr w:type="spellStart"/>
            <w:r>
              <w:rPr>
                <w:i/>
                <w:iCs/>
              </w:rPr>
              <w:t>programu</w:t>
            </w:r>
            <w:proofErr w:type="spellEnd"/>
            <w:r>
              <w:rPr>
                <w:i/>
                <w:iCs/>
              </w:rPr>
              <w:t xml:space="preserve"> </w:t>
            </w:r>
            <w:proofErr w:type="spellStart"/>
            <w:r>
              <w:rPr>
                <w:i/>
                <w:iCs/>
              </w:rPr>
              <w:t>podjęły</w:t>
            </w:r>
            <w:proofErr w:type="spellEnd"/>
            <w:r>
              <w:rPr>
                <w:i/>
                <w:iCs/>
              </w:rPr>
              <w:t xml:space="preserve"> </w:t>
            </w:r>
            <w:proofErr w:type="spellStart"/>
            <w:r>
              <w:rPr>
                <w:i/>
                <w:iCs/>
              </w:rPr>
              <w:t>pracę</w:t>
            </w:r>
            <w:proofErr w:type="spellEnd"/>
            <w:r>
              <w:rPr>
                <w:i/>
                <w:iCs/>
              </w:rPr>
              <w:t xml:space="preserve"> </w:t>
            </w:r>
            <w:proofErr w:type="spellStart"/>
            <w:r>
              <w:rPr>
                <w:i/>
                <w:iCs/>
              </w:rPr>
              <w:t>lub</w:t>
            </w:r>
            <w:proofErr w:type="spellEnd"/>
            <w:r>
              <w:rPr>
                <w:i/>
                <w:iCs/>
              </w:rPr>
              <w:t xml:space="preserve"> </w:t>
            </w:r>
            <w:proofErr w:type="spellStart"/>
            <w:r>
              <w:rPr>
                <w:i/>
                <w:iCs/>
              </w:rPr>
              <w:t>kontynuowały</w:t>
            </w:r>
            <w:proofErr w:type="spellEnd"/>
            <w:r>
              <w:rPr>
                <w:i/>
                <w:iCs/>
              </w:rPr>
              <w:t xml:space="preserve"> zatrudnienie-</w:t>
            </w:r>
            <w:r>
              <w:t xml:space="preserve">10,7%. </w:t>
            </w:r>
            <w:proofErr w:type="spellStart"/>
            <w:r>
              <w:t>Wsk</w:t>
            </w:r>
            <w:proofErr w:type="spellEnd"/>
            <w:r>
              <w:t xml:space="preserve">. </w:t>
            </w:r>
            <w:proofErr w:type="spellStart"/>
            <w:r>
              <w:t>nie</w:t>
            </w:r>
            <w:proofErr w:type="spellEnd"/>
            <w:r>
              <w:t xml:space="preserve"> </w:t>
            </w:r>
            <w:proofErr w:type="spellStart"/>
            <w:r>
              <w:t>dotyczy</w:t>
            </w:r>
            <w:proofErr w:type="spellEnd"/>
            <w:r>
              <w:t xml:space="preserve"> </w:t>
            </w:r>
            <w:proofErr w:type="spellStart"/>
            <w:r>
              <w:t>całego</w:t>
            </w:r>
            <w:proofErr w:type="spellEnd"/>
            <w:r>
              <w:t xml:space="preserve"> PI8vi </w:t>
            </w:r>
            <w:proofErr w:type="spellStart"/>
            <w:r>
              <w:t>tylko</w:t>
            </w:r>
            <w:proofErr w:type="spellEnd"/>
            <w:r>
              <w:t xml:space="preserve"> rehab. </w:t>
            </w:r>
            <w:proofErr w:type="spellStart"/>
            <w:r>
              <w:t>kardiolog</w:t>
            </w:r>
            <w:proofErr w:type="spellEnd"/>
            <w:r>
              <w:t xml:space="preserve">., </w:t>
            </w:r>
            <w:proofErr w:type="spellStart"/>
            <w:r>
              <w:t>pulmonolog</w:t>
            </w:r>
            <w:proofErr w:type="spellEnd"/>
            <w:r>
              <w:t xml:space="preserve">., </w:t>
            </w:r>
            <w:proofErr w:type="spellStart"/>
            <w:r>
              <w:t>pylicy</w:t>
            </w:r>
            <w:proofErr w:type="spellEnd"/>
            <w:r>
              <w:t xml:space="preserve">, </w:t>
            </w:r>
            <w:proofErr w:type="spellStart"/>
            <w:r>
              <w:t>eliminowania</w:t>
            </w:r>
            <w:proofErr w:type="spellEnd"/>
            <w:r>
              <w:t xml:space="preserve"> </w:t>
            </w:r>
            <w:proofErr w:type="spellStart"/>
            <w:r>
              <w:t>czyn</w:t>
            </w:r>
            <w:proofErr w:type="spellEnd"/>
            <w:r>
              <w:t xml:space="preserve">. </w:t>
            </w:r>
            <w:proofErr w:type="spellStart"/>
            <w:r>
              <w:t>ryzyka</w:t>
            </w:r>
            <w:proofErr w:type="spellEnd"/>
            <w:r>
              <w:t xml:space="preserve"> w </w:t>
            </w:r>
            <w:proofErr w:type="spellStart"/>
            <w:r>
              <w:t>miejscu</w:t>
            </w:r>
            <w:proofErr w:type="spellEnd"/>
            <w:r>
              <w:t xml:space="preserve"> </w:t>
            </w:r>
            <w:proofErr w:type="spellStart"/>
            <w:r>
              <w:t>pracy</w:t>
            </w:r>
            <w:proofErr w:type="spellEnd"/>
            <w:r>
              <w:t xml:space="preserve">-IZ </w:t>
            </w:r>
            <w:proofErr w:type="spellStart"/>
            <w:r>
              <w:t>zgłosiła</w:t>
            </w:r>
            <w:proofErr w:type="spellEnd"/>
            <w:r>
              <w:t xml:space="preserve"> </w:t>
            </w:r>
            <w:proofErr w:type="spellStart"/>
            <w:r>
              <w:t>propozycję</w:t>
            </w:r>
            <w:proofErr w:type="spellEnd"/>
            <w:r>
              <w:t xml:space="preserve"> </w:t>
            </w:r>
            <w:proofErr w:type="spellStart"/>
            <w:r>
              <w:t>modyfikacji</w:t>
            </w:r>
            <w:proofErr w:type="spellEnd"/>
            <w:r>
              <w:t xml:space="preserve"> </w:t>
            </w:r>
            <w:proofErr w:type="spellStart"/>
            <w:r>
              <w:t>metodologii</w:t>
            </w:r>
            <w:proofErr w:type="spellEnd"/>
            <w:r>
              <w:t xml:space="preserve"> </w:t>
            </w:r>
            <w:proofErr w:type="spellStart"/>
            <w:r>
              <w:t>szacowania</w:t>
            </w:r>
            <w:proofErr w:type="spellEnd"/>
            <w:r>
              <w:t>.</w:t>
            </w:r>
          </w:p>
          <w:p w14:paraId="0A3C2E93" w14:textId="77777777" w:rsidR="006B2EC1" w:rsidRDefault="00E82A60">
            <w:pPr>
              <w:spacing w:before="240" w:after="240"/>
              <w:jc w:val="left"/>
            </w:pPr>
            <w:r>
              <w:t xml:space="preserve">- </w:t>
            </w:r>
            <w:proofErr w:type="spellStart"/>
            <w:r>
              <w:rPr>
                <w:i/>
                <w:iCs/>
              </w:rPr>
              <w:t>L.osób</w:t>
            </w:r>
            <w:proofErr w:type="spellEnd"/>
            <w:r>
              <w:rPr>
                <w:i/>
                <w:iCs/>
              </w:rPr>
              <w:t xml:space="preserve">, </w:t>
            </w:r>
            <w:proofErr w:type="spellStart"/>
            <w:r>
              <w:rPr>
                <w:i/>
                <w:iCs/>
              </w:rPr>
              <w:t>które</w:t>
            </w:r>
            <w:proofErr w:type="spellEnd"/>
            <w:r>
              <w:rPr>
                <w:i/>
                <w:iCs/>
              </w:rPr>
              <w:t xml:space="preserve"> </w:t>
            </w:r>
            <w:proofErr w:type="spellStart"/>
            <w:r>
              <w:rPr>
                <w:i/>
                <w:iCs/>
              </w:rPr>
              <w:t>dzięki</w:t>
            </w:r>
            <w:proofErr w:type="spellEnd"/>
            <w:r>
              <w:rPr>
                <w:i/>
                <w:iCs/>
              </w:rPr>
              <w:t xml:space="preserve"> </w:t>
            </w:r>
            <w:proofErr w:type="spellStart"/>
            <w:r>
              <w:rPr>
                <w:i/>
                <w:iCs/>
              </w:rPr>
              <w:t>interwencji</w:t>
            </w:r>
            <w:proofErr w:type="spellEnd"/>
            <w:r>
              <w:rPr>
                <w:i/>
                <w:iCs/>
              </w:rPr>
              <w:t xml:space="preserve"> EFS </w:t>
            </w:r>
            <w:proofErr w:type="spellStart"/>
            <w:r>
              <w:rPr>
                <w:i/>
                <w:iCs/>
              </w:rPr>
              <w:t>zgłosiły</w:t>
            </w:r>
            <w:proofErr w:type="spellEnd"/>
            <w:r>
              <w:rPr>
                <w:i/>
                <w:iCs/>
              </w:rPr>
              <w:t xml:space="preserve"> </w:t>
            </w:r>
            <w:proofErr w:type="spellStart"/>
            <w:r>
              <w:rPr>
                <w:i/>
                <w:iCs/>
              </w:rPr>
              <w:t>się</w:t>
            </w:r>
            <w:proofErr w:type="spellEnd"/>
            <w:r>
              <w:rPr>
                <w:i/>
                <w:iCs/>
              </w:rPr>
              <w:t xml:space="preserve"> </w:t>
            </w:r>
            <w:proofErr w:type="spellStart"/>
            <w:r>
              <w:rPr>
                <w:i/>
                <w:iCs/>
              </w:rPr>
              <w:t>na</w:t>
            </w:r>
            <w:proofErr w:type="spellEnd"/>
            <w:r>
              <w:rPr>
                <w:i/>
                <w:iCs/>
              </w:rPr>
              <w:t xml:space="preserve"> </w:t>
            </w:r>
            <w:proofErr w:type="spellStart"/>
            <w:r>
              <w:rPr>
                <w:i/>
                <w:iCs/>
              </w:rPr>
              <w:t>badanie</w:t>
            </w:r>
            <w:proofErr w:type="spellEnd"/>
            <w:r>
              <w:t xml:space="preserve"> </w:t>
            </w:r>
            <w:r>
              <w:rPr>
                <w:i/>
                <w:iCs/>
              </w:rPr>
              <w:t>profilaktyczne</w:t>
            </w:r>
            <w:r>
              <w:t>-40,9%.</w:t>
            </w:r>
          </w:p>
          <w:p w14:paraId="41D36F74" w14:textId="77777777" w:rsidR="006B2EC1" w:rsidRDefault="00E82A60">
            <w:pPr>
              <w:spacing w:before="240" w:after="240"/>
              <w:jc w:val="left"/>
            </w:pPr>
            <w:proofErr w:type="spellStart"/>
            <w:r>
              <w:t>Konkursy</w:t>
            </w:r>
            <w:proofErr w:type="spellEnd"/>
            <w:r>
              <w:t xml:space="preserve"> </w:t>
            </w:r>
            <w:proofErr w:type="spellStart"/>
            <w:r>
              <w:t>na</w:t>
            </w:r>
            <w:proofErr w:type="spellEnd"/>
            <w:r>
              <w:t xml:space="preserve"> </w:t>
            </w:r>
            <w:proofErr w:type="spellStart"/>
            <w:r>
              <w:t>wdrożenie</w:t>
            </w:r>
            <w:proofErr w:type="spellEnd"/>
            <w:r>
              <w:t xml:space="preserve"> RPZ </w:t>
            </w:r>
            <w:proofErr w:type="spellStart"/>
            <w:r>
              <w:t>ogłoszono</w:t>
            </w:r>
            <w:proofErr w:type="spellEnd"/>
            <w:r>
              <w:t xml:space="preserve"> w 17r. (</w:t>
            </w:r>
            <w:proofErr w:type="spellStart"/>
            <w:r>
              <w:t>długi</w:t>
            </w:r>
            <w:proofErr w:type="spellEnd"/>
            <w:r>
              <w:t xml:space="preserve"> </w:t>
            </w:r>
            <w:proofErr w:type="spellStart"/>
            <w:r>
              <w:t>proces</w:t>
            </w:r>
            <w:proofErr w:type="spellEnd"/>
            <w:r>
              <w:t xml:space="preserve"> </w:t>
            </w:r>
            <w:proofErr w:type="spellStart"/>
            <w:r>
              <w:t>konstruowania</w:t>
            </w:r>
            <w:proofErr w:type="spellEnd"/>
            <w:r>
              <w:t>/</w:t>
            </w:r>
            <w:proofErr w:type="spellStart"/>
            <w:r>
              <w:t>opiniowania</w:t>
            </w:r>
            <w:proofErr w:type="spellEnd"/>
            <w:r>
              <w:t xml:space="preserve"> </w:t>
            </w:r>
            <w:proofErr w:type="spellStart"/>
            <w:r>
              <w:t>przez</w:t>
            </w:r>
            <w:proofErr w:type="spellEnd"/>
            <w:r>
              <w:t xml:space="preserve"> </w:t>
            </w:r>
            <w:proofErr w:type="spellStart"/>
            <w:r>
              <w:t>AOTMiT</w:t>
            </w:r>
            <w:proofErr w:type="spellEnd"/>
            <w:r>
              <w:t xml:space="preserve">). </w:t>
            </w:r>
            <w:proofErr w:type="spellStart"/>
            <w:r>
              <w:t>Zatwierdzone</w:t>
            </w:r>
            <w:proofErr w:type="spellEnd"/>
            <w:r>
              <w:t xml:space="preserve"> RPZ, </w:t>
            </w:r>
            <w:proofErr w:type="spellStart"/>
            <w:r>
              <w:t>ogłoszone</w:t>
            </w:r>
            <w:proofErr w:type="spellEnd"/>
            <w:r>
              <w:t xml:space="preserve"> </w:t>
            </w:r>
            <w:proofErr w:type="spellStart"/>
            <w:r>
              <w:t>nabory</w:t>
            </w:r>
            <w:proofErr w:type="spellEnd"/>
            <w:r>
              <w:t xml:space="preserve">, </w:t>
            </w:r>
            <w:proofErr w:type="spellStart"/>
            <w:r>
              <w:t>podpisanie</w:t>
            </w:r>
            <w:proofErr w:type="spellEnd"/>
            <w:r>
              <w:t xml:space="preserve"> </w:t>
            </w:r>
            <w:proofErr w:type="spellStart"/>
            <w:r>
              <w:t>nowych</w:t>
            </w:r>
            <w:proofErr w:type="spellEnd"/>
            <w:r>
              <w:t xml:space="preserve"> </w:t>
            </w:r>
            <w:proofErr w:type="spellStart"/>
            <w:r>
              <w:t>umów</w:t>
            </w:r>
            <w:proofErr w:type="spellEnd"/>
            <w:r>
              <w:t xml:space="preserve"> </w:t>
            </w:r>
            <w:proofErr w:type="spellStart"/>
            <w:r>
              <w:t>podniesie</w:t>
            </w:r>
            <w:proofErr w:type="spellEnd"/>
            <w:r>
              <w:t xml:space="preserve"> </w:t>
            </w:r>
            <w:proofErr w:type="spellStart"/>
            <w:r>
              <w:t>realizację</w:t>
            </w:r>
            <w:proofErr w:type="spellEnd"/>
            <w:r>
              <w:t xml:space="preserve"> w </w:t>
            </w:r>
            <w:proofErr w:type="spellStart"/>
            <w:r>
              <w:t>kolejnych</w:t>
            </w:r>
            <w:proofErr w:type="spellEnd"/>
            <w:r>
              <w:t xml:space="preserve"> </w:t>
            </w:r>
            <w:proofErr w:type="spellStart"/>
            <w:r>
              <w:t>okresach</w:t>
            </w:r>
            <w:proofErr w:type="spellEnd"/>
            <w:r>
              <w:t>.</w:t>
            </w:r>
          </w:p>
          <w:p w14:paraId="67679BDD" w14:textId="77777777" w:rsidR="006B2EC1" w:rsidRDefault="00E82A60">
            <w:pPr>
              <w:spacing w:before="240" w:after="240"/>
              <w:jc w:val="left"/>
            </w:pPr>
            <w:r>
              <w:t xml:space="preserve">PI10iv/Dz.8.5-problem z </w:t>
            </w:r>
            <w:proofErr w:type="spellStart"/>
            <w:r>
              <w:t>realizacją</w:t>
            </w:r>
            <w:proofErr w:type="spellEnd"/>
            <w:r>
              <w:t xml:space="preserve"> </w:t>
            </w:r>
            <w:proofErr w:type="spellStart"/>
            <w:r>
              <w:t>staży</w:t>
            </w:r>
            <w:proofErr w:type="spellEnd"/>
            <w:r>
              <w:t xml:space="preserve"> </w:t>
            </w:r>
            <w:proofErr w:type="spellStart"/>
            <w:r>
              <w:t>zawodowych-mało</w:t>
            </w:r>
            <w:proofErr w:type="spellEnd"/>
            <w:r>
              <w:t xml:space="preserve"> </w:t>
            </w:r>
            <w:proofErr w:type="spellStart"/>
            <w:r>
              <w:t>miejsc</w:t>
            </w:r>
            <w:proofErr w:type="spellEnd"/>
            <w:r>
              <w:t xml:space="preserve"> </w:t>
            </w:r>
            <w:proofErr w:type="spellStart"/>
            <w:r>
              <w:t>na</w:t>
            </w:r>
            <w:proofErr w:type="spellEnd"/>
            <w:r>
              <w:t xml:space="preserve"> </w:t>
            </w:r>
            <w:proofErr w:type="spellStart"/>
            <w:r>
              <w:t>odbycie</w:t>
            </w:r>
            <w:proofErr w:type="spellEnd"/>
            <w:r>
              <w:t xml:space="preserve"> </w:t>
            </w:r>
            <w:proofErr w:type="spellStart"/>
            <w:r>
              <w:t>staży</w:t>
            </w:r>
            <w:proofErr w:type="spellEnd"/>
            <w:r>
              <w:t xml:space="preserve"> i </w:t>
            </w:r>
            <w:proofErr w:type="spellStart"/>
            <w:r>
              <w:t>praktyk</w:t>
            </w:r>
            <w:proofErr w:type="spellEnd"/>
            <w:r>
              <w:br/>
              <w:t xml:space="preserve">u </w:t>
            </w:r>
            <w:proofErr w:type="spellStart"/>
            <w:r>
              <w:t>pracodawców</w:t>
            </w:r>
            <w:proofErr w:type="spellEnd"/>
            <w:r>
              <w:t>  (</w:t>
            </w:r>
            <w:proofErr w:type="spellStart"/>
            <w:r>
              <w:t>mało</w:t>
            </w:r>
            <w:proofErr w:type="spellEnd"/>
            <w:r>
              <w:t xml:space="preserve"> </w:t>
            </w:r>
            <w:proofErr w:type="spellStart"/>
            <w:r>
              <w:t>dużych</w:t>
            </w:r>
            <w:proofErr w:type="spellEnd"/>
            <w:r>
              <w:t xml:space="preserve"> i </w:t>
            </w:r>
            <w:proofErr w:type="spellStart"/>
            <w:r>
              <w:t>średnich</w:t>
            </w:r>
            <w:proofErr w:type="spellEnd"/>
            <w:r>
              <w:t xml:space="preserve"> </w:t>
            </w:r>
            <w:proofErr w:type="spellStart"/>
            <w:r>
              <w:t>przedsięb</w:t>
            </w:r>
            <w:proofErr w:type="spellEnd"/>
            <w:r>
              <w:t xml:space="preserve">. w </w:t>
            </w:r>
            <w:proofErr w:type="spellStart"/>
            <w:r>
              <w:t>woj</w:t>
            </w:r>
            <w:proofErr w:type="spellEnd"/>
            <w:r>
              <w:t xml:space="preserve">.) </w:t>
            </w:r>
            <w:proofErr w:type="spellStart"/>
            <w:r>
              <w:t>Możliwość</w:t>
            </w:r>
            <w:proofErr w:type="spellEnd"/>
            <w:r>
              <w:t xml:space="preserve"> </w:t>
            </w:r>
            <w:proofErr w:type="spellStart"/>
            <w:r>
              <w:t>aplikacji</w:t>
            </w:r>
            <w:proofErr w:type="spellEnd"/>
            <w:r>
              <w:t xml:space="preserve"> w POWER.</w:t>
            </w:r>
          </w:p>
          <w:p w14:paraId="0CD36E9D" w14:textId="77777777" w:rsidR="006B2EC1" w:rsidRDefault="00E82A60">
            <w:pPr>
              <w:spacing w:before="240" w:after="240"/>
              <w:jc w:val="left"/>
            </w:pPr>
            <w:r>
              <w:t xml:space="preserve">Niska </w:t>
            </w:r>
            <w:proofErr w:type="spellStart"/>
            <w:r>
              <w:t>realizacja</w:t>
            </w:r>
            <w:proofErr w:type="spellEnd"/>
            <w:r>
              <w:t xml:space="preserve"> </w:t>
            </w:r>
            <w:proofErr w:type="spellStart"/>
            <w:r>
              <w:t>wsk</w:t>
            </w:r>
            <w:proofErr w:type="spellEnd"/>
            <w:r>
              <w:t xml:space="preserve">. </w:t>
            </w:r>
            <w:r>
              <w:rPr>
                <w:i/>
                <w:iCs/>
              </w:rPr>
              <w:t xml:space="preserve">L. </w:t>
            </w:r>
            <w:proofErr w:type="spellStart"/>
            <w:r>
              <w:rPr>
                <w:i/>
                <w:iCs/>
              </w:rPr>
              <w:t>osób</w:t>
            </w:r>
            <w:proofErr w:type="spellEnd"/>
            <w:r>
              <w:rPr>
                <w:i/>
                <w:iCs/>
              </w:rPr>
              <w:t xml:space="preserve"> </w:t>
            </w:r>
            <w:proofErr w:type="spellStart"/>
            <w:r>
              <w:rPr>
                <w:i/>
                <w:iCs/>
              </w:rPr>
              <w:t>uczestniczących</w:t>
            </w:r>
            <w:proofErr w:type="spellEnd"/>
            <w:r>
              <w:rPr>
                <w:i/>
                <w:iCs/>
              </w:rPr>
              <w:t xml:space="preserve"> w </w:t>
            </w:r>
            <w:proofErr w:type="spellStart"/>
            <w:r>
              <w:rPr>
                <w:i/>
                <w:iCs/>
              </w:rPr>
              <w:t>pozaszkolnych</w:t>
            </w:r>
            <w:proofErr w:type="spellEnd"/>
            <w:r>
              <w:rPr>
                <w:i/>
                <w:iCs/>
              </w:rPr>
              <w:t xml:space="preserve"> </w:t>
            </w:r>
            <w:proofErr w:type="spellStart"/>
            <w:r>
              <w:rPr>
                <w:i/>
                <w:iCs/>
              </w:rPr>
              <w:t>formach</w:t>
            </w:r>
            <w:proofErr w:type="spellEnd"/>
            <w:r>
              <w:rPr>
                <w:i/>
                <w:iCs/>
              </w:rPr>
              <w:t xml:space="preserve"> </w:t>
            </w:r>
            <w:proofErr w:type="spellStart"/>
            <w:r>
              <w:rPr>
                <w:i/>
                <w:iCs/>
              </w:rPr>
              <w:t>kształcenia</w:t>
            </w:r>
            <w:proofErr w:type="spellEnd"/>
            <w:r>
              <w:rPr>
                <w:i/>
                <w:iCs/>
              </w:rPr>
              <w:t xml:space="preserve"> w programie-</w:t>
            </w:r>
            <w:r>
              <w:t xml:space="preserve">20,09% </w:t>
            </w:r>
            <w:proofErr w:type="spellStart"/>
            <w:r>
              <w:t>wynikająca</w:t>
            </w:r>
            <w:proofErr w:type="spellEnd"/>
            <w:r>
              <w:t xml:space="preserve"> z </w:t>
            </w:r>
            <w:proofErr w:type="spellStart"/>
            <w:r>
              <w:t>niskiego</w:t>
            </w:r>
            <w:proofErr w:type="spellEnd"/>
            <w:r>
              <w:t xml:space="preserve"> </w:t>
            </w:r>
            <w:proofErr w:type="spellStart"/>
            <w:r>
              <w:t>poziomu</w:t>
            </w:r>
            <w:proofErr w:type="spellEnd"/>
            <w:r>
              <w:t xml:space="preserve"> </w:t>
            </w:r>
            <w:proofErr w:type="spellStart"/>
            <w:r>
              <w:t>kontraktacji</w:t>
            </w:r>
            <w:proofErr w:type="spellEnd"/>
            <w:r>
              <w:t xml:space="preserve">. </w:t>
            </w:r>
            <w:proofErr w:type="spellStart"/>
            <w:r>
              <w:t>Przy</w:t>
            </w:r>
            <w:proofErr w:type="spellEnd"/>
            <w:r>
              <w:t xml:space="preserve"> </w:t>
            </w:r>
            <w:proofErr w:type="spellStart"/>
            <w:r>
              <w:t>kontraktacji</w:t>
            </w:r>
            <w:proofErr w:type="spellEnd"/>
            <w:r>
              <w:t xml:space="preserve"> </w:t>
            </w:r>
            <w:proofErr w:type="spellStart"/>
            <w:r>
              <w:t>całej</w:t>
            </w:r>
            <w:proofErr w:type="spellEnd"/>
            <w:r>
              <w:t xml:space="preserve"> </w:t>
            </w:r>
            <w:proofErr w:type="spellStart"/>
            <w:r>
              <w:t>alokacji</w:t>
            </w:r>
            <w:proofErr w:type="spellEnd"/>
            <w:r>
              <w:t xml:space="preserve"> </w:t>
            </w:r>
            <w:proofErr w:type="spellStart"/>
            <w:r>
              <w:t>dedykowanej</w:t>
            </w:r>
            <w:proofErr w:type="spellEnd"/>
            <w:r>
              <w:t xml:space="preserve"> </w:t>
            </w:r>
            <w:proofErr w:type="spellStart"/>
            <w:r>
              <w:t>kształceniu</w:t>
            </w:r>
            <w:proofErr w:type="spellEnd"/>
            <w:r>
              <w:t xml:space="preserve"> </w:t>
            </w:r>
            <w:proofErr w:type="spellStart"/>
            <w:r>
              <w:t>ustawicznemu</w:t>
            </w:r>
            <w:proofErr w:type="spellEnd"/>
            <w:r>
              <w:t xml:space="preserve">, </w:t>
            </w:r>
            <w:proofErr w:type="spellStart"/>
            <w:r>
              <w:t>wskaźnik</w:t>
            </w:r>
            <w:proofErr w:type="spellEnd"/>
            <w:r>
              <w:t xml:space="preserve"> </w:t>
            </w:r>
            <w:proofErr w:type="spellStart"/>
            <w:r>
              <w:t>powinien</w:t>
            </w:r>
            <w:proofErr w:type="spellEnd"/>
            <w:r>
              <w:t xml:space="preserve"> </w:t>
            </w:r>
            <w:proofErr w:type="spellStart"/>
            <w:r>
              <w:t>zostać</w:t>
            </w:r>
            <w:proofErr w:type="spellEnd"/>
            <w:r>
              <w:t xml:space="preserve"> </w:t>
            </w:r>
            <w:proofErr w:type="spellStart"/>
            <w:r>
              <w:t>zrealizowany</w:t>
            </w:r>
            <w:proofErr w:type="spellEnd"/>
            <w:r>
              <w:t>.</w:t>
            </w:r>
          </w:p>
          <w:p w14:paraId="26474425" w14:textId="77777777" w:rsidR="006B2EC1" w:rsidRDefault="00E82A60">
            <w:pPr>
              <w:spacing w:before="240" w:after="240"/>
              <w:jc w:val="left"/>
            </w:pPr>
            <w:r>
              <w:t> </w:t>
            </w:r>
            <w:r>
              <w:rPr>
                <w:b/>
                <w:bCs/>
              </w:rPr>
              <w:t>OP 9</w:t>
            </w:r>
          </w:p>
          <w:p w14:paraId="170E0162" w14:textId="77777777" w:rsidR="006B2EC1" w:rsidRDefault="00E82A60">
            <w:pPr>
              <w:spacing w:before="240" w:after="240"/>
              <w:jc w:val="left"/>
            </w:pPr>
            <w:r>
              <w:t xml:space="preserve">PI9i/Dz.9.1-mniejsze </w:t>
            </w:r>
            <w:proofErr w:type="spellStart"/>
            <w:r>
              <w:t>zainteresowanie</w:t>
            </w:r>
            <w:proofErr w:type="spellEnd"/>
            <w:r>
              <w:t xml:space="preserve"> </w:t>
            </w:r>
            <w:proofErr w:type="spellStart"/>
            <w:r>
              <w:t>udziałem</w:t>
            </w:r>
            <w:proofErr w:type="spellEnd"/>
            <w:r>
              <w:t xml:space="preserve"> w </w:t>
            </w:r>
            <w:proofErr w:type="spellStart"/>
            <w:r>
              <w:t>proj</w:t>
            </w:r>
            <w:proofErr w:type="spellEnd"/>
            <w:r>
              <w:t>.-</w:t>
            </w:r>
            <w:proofErr w:type="spellStart"/>
            <w:r>
              <w:t>spadek</w:t>
            </w:r>
            <w:proofErr w:type="spellEnd"/>
            <w:r>
              <w:t xml:space="preserve"> </w:t>
            </w:r>
            <w:proofErr w:type="spellStart"/>
            <w:r>
              <w:t>ubóstwa</w:t>
            </w:r>
            <w:proofErr w:type="spellEnd"/>
            <w:r>
              <w:t xml:space="preserve"> (</w:t>
            </w:r>
            <w:proofErr w:type="spellStart"/>
            <w:r>
              <w:t>wzrost</w:t>
            </w:r>
            <w:proofErr w:type="spellEnd"/>
            <w:r>
              <w:t xml:space="preserve"> </w:t>
            </w:r>
            <w:proofErr w:type="spellStart"/>
            <w:r>
              <w:t>wynagrodzeń</w:t>
            </w:r>
            <w:proofErr w:type="spellEnd"/>
            <w:r>
              <w:t xml:space="preserve">, </w:t>
            </w:r>
            <w:proofErr w:type="spellStart"/>
            <w:r>
              <w:t>spadek</w:t>
            </w:r>
            <w:proofErr w:type="spellEnd"/>
            <w:r>
              <w:t xml:space="preserve"> </w:t>
            </w:r>
            <w:proofErr w:type="spellStart"/>
            <w:r>
              <w:t>bezrobocia</w:t>
            </w:r>
            <w:proofErr w:type="spellEnd"/>
            <w:r>
              <w:t xml:space="preserve">, </w:t>
            </w:r>
            <w:proofErr w:type="spellStart"/>
            <w:r>
              <w:t>poprawa</w:t>
            </w:r>
            <w:proofErr w:type="spellEnd"/>
            <w:r>
              <w:t xml:space="preserve"> </w:t>
            </w:r>
            <w:proofErr w:type="spellStart"/>
            <w:r>
              <w:t>sytuacji</w:t>
            </w:r>
            <w:proofErr w:type="spellEnd"/>
            <w:r>
              <w:t xml:space="preserve"> fin. </w:t>
            </w:r>
            <w:proofErr w:type="spellStart"/>
            <w:r>
              <w:t>rodzin</w:t>
            </w:r>
            <w:proofErr w:type="spellEnd"/>
            <w:r>
              <w:t>-Program 500+)</w:t>
            </w:r>
          </w:p>
          <w:p w14:paraId="0F57BA16" w14:textId="77777777" w:rsidR="006B2EC1" w:rsidRDefault="00E82A60">
            <w:pPr>
              <w:spacing w:before="240" w:after="240"/>
              <w:jc w:val="left"/>
            </w:pPr>
            <w:r>
              <w:lastRenderedPageBreak/>
              <w:t>PI9iv/Dz.9.2-</w:t>
            </w:r>
            <w:r>
              <w:rPr>
                <w:i/>
                <w:iCs/>
              </w:rPr>
              <w:t xml:space="preserve">L. </w:t>
            </w:r>
            <w:proofErr w:type="spellStart"/>
            <w:r>
              <w:rPr>
                <w:i/>
                <w:iCs/>
              </w:rPr>
              <w:t>osób</w:t>
            </w:r>
            <w:proofErr w:type="spellEnd"/>
            <w:r>
              <w:rPr>
                <w:i/>
                <w:iCs/>
              </w:rPr>
              <w:t xml:space="preserve"> </w:t>
            </w:r>
            <w:proofErr w:type="spellStart"/>
            <w:r>
              <w:rPr>
                <w:i/>
                <w:iCs/>
              </w:rPr>
              <w:t>zagrożonych</w:t>
            </w:r>
            <w:proofErr w:type="spellEnd"/>
            <w:r>
              <w:rPr>
                <w:i/>
                <w:iCs/>
              </w:rPr>
              <w:t xml:space="preserve"> </w:t>
            </w:r>
            <w:proofErr w:type="spellStart"/>
            <w:r>
              <w:rPr>
                <w:i/>
                <w:iCs/>
              </w:rPr>
              <w:t>ubóstwem</w:t>
            </w:r>
            <w:proofErr w:type="spellEnd"/>
            <w:r>
              <w:rPr>
                <w:i/>
                <w:iCs/>
              </w:rPr>
              <w:t xml:space="preserve"> </w:t>
            </w:r>
            <w:proofErr w:type="spellStart"/>
            <w:r>
              <w:rPr>
                <w:i/>
                <w:iCs/>
              </w:rPr>
              <w:t>lub</w:t>
            </w:r>
            <w:proofErr w:type="spellEnd"/>
            <w:r>
              <w:rPr>
                <w:i/>
                <w:iCs/>
              </w:rPr>
              <w:t xml:space="preserve"> </w:t>
            </w:r>
            <w:proofErr w:type="spellStart"/>
            <w:r>
              <w:rPr>
                <w:i/>
                <w:iCs/>
              </w:rPr>
              <w:t>wykluczeniem</w:t>
            </w:r>
            <w:proofErr w:type="spellEnd"/>
            <w:r>
              <w:rPr>
                <w:i/>
                <w:iCs/>
              </w:rPr>
              <w:t xml:space="preserve"> </w:t>
            </w:r>
            <w:proofErr w:type="spellStart"/>
            <w:r>
              <w:rPr>
                <w:i/>
                <w:iCs/>
              </w:rPr>
              <w:t>społecznym</w:t>
            </w:r>
            <w:proofErr w:type="spellEnd"/>
            <w:r>
              <w:rPr>
                <w:i/>
                <w:iCs/>
              </w:rPr>
              <w:t xml:space="preserve"> </w:t>
            </w:r>
            <w:proofErr w:type="spellStart"/>
            <w:r>
              <w:rPr>
                <w:i/>
                <w:iCs/>
              </w:rPr>
              <w:t>poszukujących</w:t>
            </w:r>
            <w:proofErr w:type="spellEnd"/>
            <w:r>
              <w:rPr>
                <w:i/>
                <w:iCs/>
              </w:rPr>
              <w:t xml:space="preserve"> </w:t>
            </w:r>
            <w:proofErr w:type="spellStart"/>
            <w:r>
              <w:rPr>
                <w:i/>
                <w:iCs/>
              </w:rPr>
              <w:t>pracy</w:t>
            </w:r>
            <w:proofErr w:type="spellEnd"/>
            <w:r>
              <w:rPr>
                <w:i/>
                <w:iCs/>
              </w:rPr>
              <w:t xml:space="preserve">, </w:t>
            </w:r>
            <w:proofErr w:type="spellStart"/>
            <w:r>
              <w:rPr>
                <w:i/>
                <w:iCs/>
              </w:rPr>
              <w:t>uczestniczących</w:t>
            </w:r>
            <w:proofErr w:type="spellEnd"/>
            <w:r>
              <w:rPr>
                <w:i/>
                <w:iCs/>
              </w:rPr>
              <w:t xml:space="preserve"> w </w:t>
            </w:r>
            <w:proofErr w:type="spellStart"/>
            <w:r>
              <w:rPr>
                <w:i/>
                <w:iCs/>
              </w:rPr>
              <w:t>kształceniu</w:t>
            </w:r>
            <w:proofErr w:type="spellEnd"/>
            <w:r>
              <w:rPr>
                <w:i/>
                <w:iCs/>
              </w:rPr>
              <w:t xml:space="preserve"> </w:t>
            </w:r>
            <w:proofErr w:type="spellStart"/>
            <w:r>
              <w:rPr>
                <w:i/>
                <w:iCs/>
              </w:rPr>
              <w:t>lub</w:t>
            </w:r>
            <w:proofErr w:type="spellEnd"/>
            <w:r>
              <w:rPr>
                <w:i/>
                <w:iCs/>
              </w:rPr>
              <w:t xml:space="preserve"> </w:t>
            </w:r>
            <w:proofErr w:type="spellStart"/>
            <w:r>
              <w:rPr>
                <w:i/>
                <w:iCs/>
              </w:rPr>
              <w:t>szkoleniu</w:t>
            </w:r>
            <w:proofErr w:type="spellEnd"/>
            <w:r>
              <w:rPr>
                <w:i/>
                <w:iCs/>
              </w:rPr>
              <w:t xml:space="preserve">, </w:t>
            </w:r>
            <w:proofErr w:type="spellStart"/>
            <w:r>
              <w:rPr>
                <w:i/>
                <w:iCs/>
              </w:rPr>
              <w:t>zdobywających</w:t>
            </w:r>
            <w:proofErr w:type="spellEnd"/>
            <w:r>
              <w:rPr>
                <w:i/>
                <w:iCs/>
              </w:rPr>
              <w:t xml:space="preserve"> </w:t>
            </w:r>
            <w:proofErr w:type="spellStart"/>
            <w:r>
              <w:rPr>
                <w:i/>
                <w:iCs/>
              </w:rPr>
              <w:t>kwalifikacje</w:t>
            </w:r>
            <w:proofErr w:type="spellEnd"/>
            <w:r>
              <w:rPr>
                <w:i/>
                <w:iCs/>
              </w:rPr>
              <w:t xml:space="preserve">, </w:t>
            </w:r>
            <w:proofErr w:type="spellStart"/>
            <w:r>
              <w:rPr>
                <w:i/>
                <w:iCs/>
              </w:rPr>
              <w:t>pracujących</w:t>
            </w:r>
            <w:proofErr w:type="spellEnd"/>
            <w:r>
              <w:rPr>
                <w:i/>
                <w:iCs/>
              </w:rPr>
              <w:t xml:space="preserve"> (</w:t>
            </w:r>
            <w:proofErr w:type="spellStart"/>
            <w:r>
              <w:rPr>
                <w:i/>
                <w:iCs/>
              </w:rPr>
              <w:t>łącznie</w:t>
            </w:r>
            <w:proofErr w:type="spellEnd"/>
            <w:r>
              <w:rPr>
                <w:i/>
                <w:iCs/>
              </w:rPr>
              <w:t xml:space="preserve"> z </w:t>
            </w:r>
            <w:proofErr w:type="spellStart"/>
            <w:r>
              <w:rPr>
                <w:i/>
                <w:iCs/>
              </w:rPr>
              <w:t>prowadzącymi</w:t>
            </w:r>
            <w:proofErr w:type="spellEnd"/>
            <w:r>
              <w:rPr>
                <w:i/>
                <w:iCs/>
              </w:rPr>
              <w:t xml:space="preserve"> </w:t>
            </w:r>
            <w:proofErr w:type="spellStart"/>
            <w:r>
              <w:rPr>
                <w:i/>
                <w:iCs/>
              </w:rPr>
              <w:t>działalność</w:t>
            </w:r>
            <w:proofErr w:type="spellEnd"/>
            <w:r>
              <w:rPr>
                <w:i/>
                <w:iCs/>
              </w:rPr>
              <w:t xml:space="preserve"> </w:t>
            </w:r>
            <w:proofErr w:type="spellStart"/>
            <w:r>
              <w:rPr>
                <w:i/>
                <w:iCs/>
              </w:rPr>
              <w:t>na</w:t>
            </w:r>
            <w:proofErr w:type="spellEnd"/>
            <w:r>
              <w:rPr>
                <w:i/>
                <w:iCs/>
              </w:rPr>
              <w:t xml:space="preserve"> </w:t>
            </w:r>
            <w:proofErr w:type="spellStart"/>
            <w:r>
              <w:rPr>
                <w:i/>
                <w:iCs/>
              </w:rPr>
              <w:t>własny</w:t>
            </w:r>
            <w:proofErr w:type="spellEnd"/>
            <w:r>
              <w:rPr>
                <w:i/>
                <w:iCs/>
              </w:rPr>
              <w:t xml:space="preserve"> </w:t>
            </w:r>
            <w:proofErr w:type="spellStart"/>
            <w:r>
              <w:rPr>
                <w:i/>
                <w:iCs/>
              </w:rPr>
              <w:t>rachunek</w:t>
            </w:r>
            <w:proofErr w:type="spellEnd"/>
            <w:r>
              <w:rPr>
                <w:i/>
                <w:iCs/>
              </w:rPr>
              <w:t xml:space="preserve">) po </w:t>
            </w:r>
            <w:proofErr w:type="spellStart"/>
            <w:r>
              <w:rPr>
                <w:i/>
                <w:iCs/>
              </w:rPr>
              <w:t>opuszczeniu</w:t>
            </w:r>
            <w:proofErr w:type="spellEnd"/>
            <w:r>
              <w:rPr>
                <w:i/>
                <w:iCs/>
              </w:rPr>
              <w:t xml:space="preserve"> programu-</w:t>
            </w:r>
            <w:r>
              <w:t xml:space="preserve">9,2 %. </w:t>
            </w:r>
            <w:proofErr w:type="spellStart"/>
            <w:r>
              <w:t>Błędna</w:t>
            </w:r>
            <w:proofErr w:type="spellEnd"/>
            <w:r>
              <w:t xml:space="preserve"> </w:t>
            </w:r>
            <w:proofErr w:type="spellStart"/>
            <w:r>
              <w:t>metodologia</w:t>
            </w:r>
            <w:proofErr w:type="spellEnd"/>
            <w:r>
              <w:t xml:space="preserve"> </w:t>
            </w:r>
            <w:proofErr w:type="spellStart"/>
            <w:r>
              <w:t>szacowania</w:t>
            </w:r>
            <w:proofErr w:type="spellEnd"/>
            <w:r>
              <w:t xml:space="preserve"> </w:t>
            </w:r>
            <w:proofErr w:type="spellStart"/>
            <w:r>
              <w:t>wskaźnika</w:t>
            </w:r>
            <w:proofErr w:type="spellEnd"/>
            <w:r>
              <w:t xml:space="preserve">. IZ </w:t>
            </w:r>
            <w:proofErr w:type="spellStart"/>
            <w:r>
              <w:t>zaproponowała</w:t>
            </w:r>
            <w:proofErr w:type="spellEnd"/>
            <w:r>
              <w:t xml:space="preserve"> </w:t>
            </w:r>
            <w:proofErr w:type="spellStart"/>
            <w:r>
              <w:t>usunięcie</w:t>
            </w:r>
            <w:proofErr w:type="spellEnd"/>
            <w:r>
              <w:t xml:space="preserve"> </w:t>
            </w:r>
            <w:proofErr w:type="spellStart"/>
            <w:r>
              <w:t>wskaźnika</w:t>
            </w:r>
            <w:proofErr w:type="spellEnd"/>
            <w:r>
              <w:t xml:space="preserve"> z </w:t>
            </w:r>
            <w:proofErr w:type="spellStart"/>
            <w:r>
              <w:t>Programu</w:t>
            </w:r>
            <w:proofErr w:type="spellEnd"/>
            <w:r>
              <w:t>.</w:t>
            </w:r>
          </w:p>
          <w:p w14:paraId="338A9B49" w14:textId="77777777" w:rsidR="006B2EC1" w:rsidRDefault="00E82A60">
            <w:pPr>
              <w:spacing w:before="240" w:after="240"/>
              <w:jc w:val="left"/>
            </w:pPr>
            <w:r>
              <w:t xml:space="preserve">- </w:t>
            </w:r>
            <w:r>
              <w:rPr>
                <w:i/>
                <w:iCs/>
              </w:rPr>
              <w:t xml:space="preserve">L. </w:t>
            </w:r>
            <w:proofErr w:type="spellStart"/>
            <w:r>
              <w:rPr>
                <w:i/>
                <w:iCs/>
              </w:rPr>
              <w:t>osób</w:t>
            </w:r>
            <w:proofErr w:type="spellEnd"/>
            <w:r>
              <w:rPr>
                <w:i/>
                <w:iCs/>
              </w:rPr>
              <w:t xml:space="preserve"> </w:t>
            </w:r>
            <w:proofErr w:type="spellStart"/>
            <w:r>
              <w:rPr>
                <w:i/>
                <w:iCs/>
              </w:rPr>
              <w:t>zagrożonych</w:t>
            </w:r>
            <w:proofErr w:type="spellEnd"/>
            <w:r>
              <w:rPr>
                <w:i/>
                <w:iCs/>
              </w:rPr>
              <w:t xml:space="preserve"> </w:t>
            </w:r>
            <w:proofErr w:type="spellStart"/>
            <w:r>
              <w:rPr>
                <w:i/>
                <w:iCs/>
              </w:rPr>
              <w:t>ubóstwem</w:t>
            </w:r>
            <w:proofErr w:type="spellEnd"/>
            <w:r>
              <w:rPr>
                <w:i/>
                <w:iCs/>
              </w:rPr>
              <w:t xml:space="preserve"> </w:t>
            </w:r>
            <w:proofErr w:type="spellStart"/>
            <w:r>
              <w:rPr>
                <w:i/>
                <w:iCs/>
              </w:rPr>
              <w:t>lub</w:t>
            </w:r>
            <w:proofErr w:type="spellEnd"/>
            <w:r>
              <w:rPr>
                <w:i/>
                <w:iCs/>
              </w:rPr>
              <w:t xml:space="preserve"> </w:t>
            </w:r>
            <w:proofErr w:type="spellStart"/>
            <w:r>
              <w:rPr>
                <w:i/>
                <w:iCs/>
              </w:rPr>
              <w:t>wykluczeniem</w:t>
            </w:r>
            <w:proofErr w:type="spellEnd"/>
            <w:r>
              <w:rPr>
                <w:i/>
                <w:iCs/>
              </w:rPr>
              <w:t xml:space="preserve"> </w:t>
            </w:r>
            <w:proofErr w:type="spellStart"/>
            <w:r>
              <w:rPr>
                <w:i/>
                <w:iCs/>
              </w:rPr>
              <w:t>społecznym</w:t>
            </w:r>
            <w:proofErr w:type="spellEnd"/>
            <w:r>
              <w:rPr>
                <w:i/>
                <w:iCs/>
              </w:rPr>
              <w:t xml:space="preserve"> </w:t>
            </w:r>
            <w:proofErr w:type="spellStart"/>
            <w:r>
              <w:rPr>
                <w:i/>
                <w:iCs/>
              </w:rPr>
              <w:t>objętych</w:t>
            </w:r>
            <w:proofErr w:type="spellEnd"/>
            <w:r>
              <w:rPr>
                <w:i/>
                <w:iCs/>
              </w:rPr>
              <w:t xml:space="preserve"> </w:t>
            </w:r>
            <w:proofErr w:type="spellStart"/>
            <w:r>
              <w:rPr>
                <w:i/>
                <w:iCs/>
              </w:rPr>
              <w:t>usługami</w:t>
            </w:r>
            <w:proofErr w:type="spellEnd"/>
            <w:r>
              <w:rPr>
                <w:i/>
                <w:iCs/>
              </w:rPr>
              <w:t xml:space="preserve"> </w:t>
            </w:r>
            <w:proofErr w:type="spellStart"/>
            <w:r>
              <w:rPr>
                <w:i/>
                <w:iCs/>
              </w:rPr>
              <w:t>zdrowotnymi</w:t>
            </w:r>
            <w:proofErr w:type="spellEnd"/>
            <w:r>
              <w:rPr>
                <w:i/>
                <w:iCs/>
              </w:rPr>
              <w:t xml:space="preserve"> w </w:t>
            </w:r>
            <w:proofErr w:type="spellStart"/>
            <w:r>
              <w:rPr>
                <w:i/>
                <w:iCs/>
              </w:rPr>
              <w:t>programie</w:t>
            </w:r>
            <w:proofErr w:type="spellEnd"/>
            <w:r>
              <w:t xml:space="preserve"> - 31,24 %</w:t>
            </w:r>
          </w:p>
          <w:p w14:paraId="67740952" w14:textId="77777777" w:rsidR="006B2EC1" w:rsidRDefault="00E82A60">
            <w:pPr>
              <w:spacing w:before="240" w:after="240"/>
              <w:jc w:val="left"/>
            </w:pPr>
            <w:r>
              <w:t xml:space="preserve">- </w:t>
            </w:r>
            <w:r>
              <w:rPr>
                <w:i/>
                <w:iCs/>
              </w:rPr>
              <w:t xml:space="preserve">L. </w:t>
            </w:r>
            <w:proofErr w:type="spellStart"/>
            <w:r>
              <w:rPr>
                <w:i/>
                <w:iCs/>
              </w:rPr>
              <w:t>wspartych</w:t>
            </w:r>
            <w:proofErr w:type="spellEnd"/>
            <w:r>
              <w:rPr>
                <w:i/>
                <w:iCs/>
              </w:rPr>
              <w:t xml:space="preserve"> w </w:t>
            </w:r>
            <w:proofErr w:type="spellStart"/>
            <w:r>
              <w:rPr>
                <w:i/>
                <w:iCs/>
              </w:rPr>
              <w:t>programie</w:t>
            </w:r>
            <w:proofErr w:type="spellEnd"/>
            <w:r>
              <w:rPr>
                <w:i/>
                <w:iCs/>
              </w:rPr>
              <w:t xml:space="preserve"> </w:t>
            </w:r>
            <w:proofErr w:type="spellStart"/>
            <w:r>
              <w:rPr>
                <w:i/>
                <w:iCs/>
              </w:rPr>
              <w:t>miejsc</w:t>
            </w:r>
            <w:proofErr w:type="spellEnd"/>
            <w:r>
              <w:rPr>
                <w:i/>
                <w:iCs/>
              </w:rPr>
              <w:t xml:space="preserve"> </w:t>
            </w:r>
            <w:proofErr w:type="spellStart"/>
            <w:r>
              <w:rPr>
                <w:i/>
                <w:iCs/>
              </w:rPr>
              <w:t>świadczenia</w:t>
            </w:r>
            <w:proofErr w:type="spellEnd"/>
            <w:r>
              <w:rPr>
                <w:i/>
                <w:iCs/>
              </w:rPr>
              <w:t xml:space="preserve"> </w:t>
            </w:r>
            <w:proofErr w:type="spellStart"/>
            <w:r>
              <w:rPr>
                <w:i/>
                <w:iCs/>
              </w:rPr>
              <w:t>usług</w:t>
            </w:r>
            <w:proofErr w:type="spellEnd"/>
            <w:r>
              <w:rPr>
                <w:i/>
                <w:iCs/>
              </w:rPr>
              <w:t xml:space="preserve"> </w:t>
            </w:r>
            <w:proofErr w:type="spellStart"/>
            <w:r>
              <w:rPr>
                <w:i/>
                <w:iCs/>
              </w:rPr>
              <w:t>zdrowotnych</w:t>
            </w:r>
            <w:proofErr w:type="spellEnd"/>
            <w:r>
              <w:rPr>
                <w:i/>
                <w:iCs/>
              </w:rPr>
              <w:t xml:space="preserve"> </w:t>
            </w:r>
            <w:proofErr w:type="spellStart"/>
            <w:r>
              <w:rPr>
                <w:i/>
                <w:iCs/>
              </w:rPr>
              <w:t>istniejących</w:t>
            </w:r>
            <w:proofErr w:type="spellEnd"/>
            <w:r>
              <w:rPr>
                <w:i/>
                <w:iCs/>
              </w:rPr>
              <w:t xml:space="preserve"> po </w:t>
            </w:r>
            <w:proofErr w:type="spellStart"/>
            <w:r>
              <w:rPr>
                <w:i/>
                <w:iCs/>
              </w:rPr>
              <w:t>zakończeniu</w:t>
            </w:r>
            <w:proofErr w:type="spellEnd"/>
            <w:r>
              <w:rPr>
                <w:i/>
                <w:iCs/>
              </w:rPr>
              <w:t xml:space="preserve"> </w:t>
            </w:r>
            <w:proofErr w:type="spellStart"/>
            <w:r>
              <w:rPr>
                <w:i/>
                <w:iCs/>
              </w:rPr>
              <w:t>projektu</w:t>
            </w:r>
            <w:proofErr w:type="spellEnd"/>
            <w:r>
              <w:t xml:space="preserve"> - 12,79 %</w:t>
            </w:r>
          </w:p>
          <w:p w14:paraId="69968BC4" w14:textId="77777777" w:rsidR="006B2EC1" w:rsidRDefault="00E82A60">
            <w:pPr>
              <w:spacing w:before="240" w:after="240"/>
              <w:jc w:val="left"/>
            </w:pPr>
            <w:proofErr w:type="spellStart"/>
            <w:r>
              <w:t>Konkursy</w:t>
            </w:r>
            <w:proofErr w:type="spellEnd"/>
            <w:r>
              <w:t xml:space="preserve"> </w:t>
            </w:r>
            <w:proofErr w:type="spellStart"/>
            <w:r>
              <w:t>na</w:t>
            </w:r>
            <w:proofErr w:type="spellEnd"/>
            <w:r>
              <w:t xml:space="preserve"> </w:t>
            </w:r>
            <w:proofErr w:type="spellStart"/>
            <w:r>
              <w:t>realizację</w:t>
            </w:r>
            <w:proofErr w:type="spellEnd"/>
            <w:r>
              <w:t xml:space="preserve"> </w:t>
            </w:r>
            <w:proofErr w:type="spellStart"/>
            <w:r>
              <w:t>usług</w:t>
            </w:r>
            <w:proofErr w:type="spellEnd"/>
            <w:r>
              <w:t xml:space="preserve"> </w:t>
            </w:r>
            <w:proofErr w:type="spellStart"/>
            <w:r>
              <w:t>zdrowotnych</w:t>
            </w:r>
            <w:proofErr w:type="spellEnd"/>
            <w:r>
              <w:t xml:space="preserve"> </w:t>
            </w:r>
            <w:proofErr w:type="spellStart"/>
            <w:r>
              <w:t>ogłaszano</w:t>
            </w:r>
            <w:proofErr w:type="spellEnd"/>
            <w:r>
              <w:t xml:space="preserve"> </w:t>
            </w:r>
            <w:proofErr w:type="spellStart"/>
            <w:r>
              <w:t>od</w:t>
            </w:r>
            <w:proofErr w:type="spellEnd"/>
            <w:r>
              <w:t xml:space="preserve"> </w:t>
            </w:r>
            <w:proofErr w:type="spellStart"/>
            <w:r>
              <w:t>połowy</w:t>
            </w:r>
            <w:proofErr w:type="spellEnd"/>
            <w:r>
              <w:t xml:space="preserve"> 17r. </w:t>
            </w:r>
            <w:proofErr w:type="spellStart"/>
            <w:r>
              <w:t>Planuje</w:t>
            </w:r>
            <w:proofErr w:type="spellEnd"/>
            <w:r>
              <w:t xml:space="preserve"> </w:t>
            </w:r>
            <w:proofErr w:type="spellStart"/>
            <w:r>
              <w:t>się</w:t>
            </w:r>
            <w:proofErr w:type="spellEnd"/>
            <w:r>
              <w:t xml:space="preserve"> </w:t>
            </w:r>
            <w:proofErr w:type="spellStart"/>
            <w:r>
              <w:t>ogłoszenie</w:t>
            </w:r>
            <w:proofErr w:type="spellEnd"/>
            <w:r>
              <w:t xml:space="preserve"> </w:t>
            </w:r>
            <w:proofErr w:type="spellStart"/>
            <w:r>
              <w:t>kolejnych-deinstytucjonalizacja</w:t>
            </w:r>
            <w:proofErr w:type="spellEnd"/>
            <w:r>
              <w:t xml:space="preserve"> </w:t>
            </w:r>
            <w:proofErr w:type="spellStart"/>
            <w:r>
              <w:t>usług</w:t>
            </w:r>
            <w:proofErr w:type="spellEnd"/>
            <w:r>
              <w:t xml:space="preserve"> </w:t>
            </w:r>
            <w:proofErr w:type="spellStart"/>
            <w:r>
              <w:t>opieki</w:t>
            </w:r>
            <w:proofErr w:type="spellEnd"/>
            <w:r>
              <w:t xml:space="preserve"> </w:t>
            </w:r>
            <w:proofErr w:type="spellStart"/>
            <w:r>
              <w:t>medycznej</w:t>
            </w:r>
            <w:proofErr w:type="spellEnd"/>
            <w:r>
              <w:t xml:space="preserve"> </w:t>
            </w:r>
            <w:proofErr w:type="spellStart"/>
            <w:r>
              <w:t>nad</w:t>
            </w:r>
            <w:proofErr w:type="spellEnd"/>
            <w:r>
              <w:t xml:space="preserve"> </w:t>
            </w:r>
            <w:proofErr w:type="spellStart"/>
            <w:r>
              <w:t>osobami</w:t>
            </w:r>
            <w:proofErr w:type="spellEnd"/>
            <w:r>
              <w:t xml:space="preserve"> </w:t>
            </w:r>
            <w:proofErr w:type="spellStart"/>
            <w:r>
              <w:t>niesamodzielnymi</w:t>
            </w:r>
            <w:proofErr w:type="spellEnd"/>
            <w:r>
              <w:t xml:space="preserve"> </w:t>
            </w:r>
            <w:proofErr w:type="spellStart"/>
            <w:r>
              <w:t>oraz</w:t>
            </w:r>
            <w:proofErr w:type="spellEnd"/>
            <w:r>
              <w:t xml:space="preserve"> </w:t>
            </w:r>
            <w:proofErr w:type="spellStart"/>
            <w:r>
              <w:t>realizację</w:t>
            </w:r>
            <w:proofErr w:type="spellEnd"/>
            <w:r>
              <w:t xml:space="preserve"> </w:t>
            </w:r>
            <w:proofErr w:type="spellStart"/>
            <w:r>
              <w:t>proj</w:t>
            </w:r>
            <w:proofErr w:type="spellEnd"/>
            <w:r>
              <w:t xml:space="preserve">., co </w:t>
            </w:r>
            <w:proofErr w:type="spellStart"/>
            <w:r>
              <w:t>wpłynie</w:t>
            </w:r>
            <w:proofErr w:type="spellEnd"/>
            <w:r>
              <w:t xml:space="preserve"> </w:t>
            </w:r>
            <w:proofErr w:type="spellStart"/>
            <w:r>
              <w:t>na</w:t>
            </w:r>
            <w:proofErr w:type="spellEnd"/>
            <w:r>
              <w:t xml:space="preserve"> </w:t>
            </w:r>
            <w:proofErr w:type="spellStart"/>
            <w:r>
              <w:t>osiągnięcie</w:t>
            </w:r>
            <w:proofErr w:type="spellEnd"/>
            <w:r>
              <w:t xml:space="preserve"> </w:t>
            </w:r>
            <w:proofErr w:type="spellStart"/>
            <w:r>
              <w:t>wskaźnika</w:t>
            </w:r>
            <w:proofErr w:type="spellEnd"/>
            <w:r>
              <w:t>.</w:t>
            </w:r>
          </w:p>
          <w:p w14:paraId="4F7CDD81" w14:textId="77777777" w:rsidR="006B2EC1" w:rsidRDefault="00E82A60">
            <w:pPr>
              <w:spacing w:before="240" w:after="240"/>
              <w:jc w:val="left"/>
            </w:pPr>
            <w:r>
              <w:t xml:space="preserve">PI9v/Dz.9.3-małe </w:t>
            </w:r>
            <w:proofErr w:type="spellStart"/>
            <w:r>
              <w:t>zainteresowanie</w:t>
            </w:r>
            <w:proofErr w:type="spellEnd"/>
            <w:r>
              <w:t xml:space="preserve"> PS </w:t>
            </w:r>
            <w:proofErr w:type="spellStart"/>
            <w:r>
              <w:t>dotacjami</w:t>
            </w:r>
            <w:proofErr w:type="spellEnd"/>
            <w:r>
              <w:t xml:space="preserve"> </w:t>
            </w:r>
            <w:proofErr w:type="spellStart"/>
            <w:r>
              <w:t>na</w:t>
            </w:r>
            <w:proofErr w:type="spellEnd"/>
            <w:r>
              <w:t xml:space="preserve"> </w:t>
            </w:r>
            <w:proofErr w:type="spellStart"/>
            <w:r>
              <w:t>tworzenie</w:t>
            </w:r>
            <w:proofErr w:type="spellEnd"/>
            <w:r>
              <w:t xml:space="preserve"> </w:t>
            </w:r>
            <w:proofErr w:type="spellStart"/>
            <w:r>
              <w:t>nowych</w:t>
            </w:r>
            <w:proofErr w:type="spellEnd"/>
            <w:r>
              <w:t xml:space="preserve"> </w:t>
            </w:r>
            <w:proofErr w:type="spellStart"/>
            <w:r>
              <w:t>miejsc</w:t>
            </w:r>
            <w:proofErr w:type="spellEnd"/>
            <w:r>
              <w:t xml:space="preserve"> </w:t>
            </w:r>
            <w:proofErr w:type="spellStart"/>
            <w:r>
              <w:t>pracy</w:t>
            </w:r>
            <w:proofErr w:type="spellEnd"/>
            <w:r>
              <w:t xml:space="preserve"> (</w:t>
            </w:r>
            <w:proofErr w:type="spellStart"/>
            <w:r>
              <w:t>brak</w:t>
            </w:r>
            <w:proofErr w:type="spellEnd"/>
            <w:r>
              <w:t xml:space="preserve"> </w:t>
            </w:r>
            <w:proofErr w:type="spellStart"/>
            <w:r>
              <w:t>przewidzianego</w:t>
            </w:r>
            <w:proofErr w:type="spellEnd"/>
            <w:r>
              <w:t xml:space="preserve"> w </w:t>
            </w:r>
            <w:proofErr w:type="spellStart"/>
            <w:r>
              <w:t>proj</w:t>
            </w:r>
            <w:proofErr w:type="spellEnd"/>
            <w:r>
              <w:t xml:space="preserve">. OWES </w:t>
            </w:r>
            <w:proofErr w:type="spellStart"/>
            <w:r>
              <w:t>wsparcia</w:t>
            </w:r>
            <w:proofErr w:type="spellEnd"/>
            <w:r>
              <w:t xml:space="preserve"> </w:t>
            </w:r>
            <w:proofErr w:type="spellStart"/>
            <w:r>
              <w:t>pomostowego</w:t>
            </w:r>
            <w:proofErr w:type="spellEnd"/>
            <w:r>
              <w:t xml:space="preserve"> </w:t>
            </w:r>
            <w:proofErr w:type="spellStart"/>
            <w:r>
              <w:t>na</w:t>
            </w:r>
            <w:proofErr w:type="spellEnd"/>
            <w:r>
              <w:t xml:space="preserve"> </w:t>
            </w:r>
            <w:proofErr w:type="spellStart"/>
            <w:r>
              <w:t>tworzone</w:t>
            </w:r>
            <w:proofErr w:type="spellEnd"/>
            <w:r>
              <w:t xml:space="preserve"> </w:t>
            </w:r>
            <w:proofErr w:type="spellStart"/>
            <w:r>
              <w:t>stanowiska</w:t>
            </w:r>
            <w:proofErr w:type="spellEnd"/>
            <w:r>
              <w:t xml:space="preserve"> </w:t>
            </w:r>
            <w:proofErr w:type="spellStart"/>
            <w:r>
              <w:t>pracy</w:t>
            </w:r>
            <w:proofErr w:type="spellEnd"/>
            <w:r>
              <w:t xml:space="preserve"> </w:t>
            </w:r>
            <w:proofErr w:type="spellStart"/>
            <w:r>
              <w:t>dla</w:t>
            </w:r>
            <w:proofErr w:type="spellEnd"/>
            <w:r>
              <w:t xml:space="preserve"> </w:t>
            </w:r>
            <w:proofErr w:type="spellStart"/>
            <w:r>
              <w:t>istniejących</w:t>
            </w:r>
            <w:proofErr w:type="spellEnd"/>
            <w:r>
              <w:t xml:space="preserve"> PS), </w:t>
            </w:r>
            <w:proofErr w:type="spellStart"/>
            <w:r>
              <w:t>niechęć</w:t>
            </w:r>
            <w:proofErr w:type="spellEnd"/>
            <w:r>
              <w:t xml:space="preserve"> do </w:t>
            </w:r>
            <w:proofErr w:type="spellStart"/>
            <w:r>
              <w:t>ekonomizowania</w:t>
            </w:r>
            <w:proofErr w:type="spellEnd"/>
            <w:r>
              <w:t xml:space="preserve"> </w:t>
            </w:r>
            <w:proofErr w:type="spellStart"/>
            <w:r>
              <w:t>się</w:t>
            </w:r>
            <w:proofErr w:type="spellEnd"/>
            <w:r>
              <w:t>.</w:t>
            </w:r>
          </w:p>
          <w:p w14:paraId="044A8F02" w14:textId="77777777" w:rsidR="006B2EC1" w:rsidRDefault="00E82A60">
            <w:pPr>
              <w:spacing w:before="240" w:after="240"/>
              <w:jc w:val="left"/>
            </w:pPr>
            <w:r>
              <w:rPr>
                <w:b/>
                <w:bCs/>
              </w:rPr>
              <w:t>OP 10</w:t>
            </w:r>
          </w:p>
          <w:p w14:paraId="3B5CFDD8" w14:textId="77777777" w:rsidR="006B2EC1" w:rsidRDefault="00E82A60">
            <w:pPr>
              <w:spacing w:before="240" w:after="240"/>
              <w:jc w:val="left"/>
            </w:pPr>
            <w:proofErr w:type="spellStart"/>
            <w:r>
              <w:t>Większość</w:t>
            </w:r>
            <w:proofErr w:type="spellEnd"/>
            <w:r>
              <w:t xml:space="preserve"> </w:t>
            </w:r>
            <w:proofErr w:type="spellStart"/>
            <w:r>
              <w:t>wsk</w:t>
            </w:r>
            <w:proofErr w:type="spellEnd"/>
            <w:r>
              <w:t xml:space="preserve">. </w:t>
            </w:r>
            <w:proofErr w:type="spellStart"/>
            <w:r>
              <w:t>osiągnięto</w:t>
            </w:r>
            <w:proofErr w:type="spellEnd"/>
            <w:r>
              <w:t xml:space="preserve"> </w:t>
            </w:r>
            <w:proofErr w:type="spellStart"/>
            <w:r>
              <w:t>na</w:t>
            </w:r>
            <w:proofErr w:type="spellEnd"/>
            <w:r>
              <w:t xml:space="preserve"> </w:t>
            </w:r>
            <w:proofErr w:type="spellStart"/>
            <w:r>
              <w:t>zadowalającym</w:t>
            </w:r>
            <w:proofErr w:type="spellEnd"/>
            <w:r>
              <w:t xml:space="preserve"> </w:t>
            </w:r>
            <w:proofErr w:type="spellStart"/>
            <w:r>
              <w:t>poziomie</w:t>
            </w:r>
            <w:proofErr w:type="spellEnd"/>
            <w:r>
              <w:t>.</w:t>
            </w:r>
          </w:p>
          <w:p w14:paraId="79831132" w14:textId="77777777" w:rsidR="006B2EC1" w:rsidRDefault="00E82A60">
            <w:pPr>
              <w:spacing w:before="240" w:after="240"/>
              <w:jc w:val="left"/>
            </w:pPr>
            <w:r>
              <w:t xml:space="preserve">PI8i-nadal </w:t>
            </w:r>
            <w:proofErr w:type="spellStart"/>
            <w:r>
              <w:t>niski</w:t>
            </w:r>
            <w:proofErr w:type="spellEnd"/>
            <w:r>
              <w:t xml:space="preserve"> </w:t>
            </w:r>
            <w:proofErr w:type="spellStart"/>
            <w:r>
              <w:t>poziom</w:t>
            </w:r>
            <w:proofErr w:type="spellEnd"/>
            <w:r>
              <w:t xml:space="preserve"> </w:t>
            </w:r>
            <w:proofErr w:type="spellStart"/>
            <w:r>
              <w:t>wsk</w:t>
            </w:r>
            <w:proofErr w:type="spellEnd"/>
            <w:r>
              <w:t xml:space="preserve">. dot. </w:t>
            </w:r>
            <w:proofErr w:type="spellStart"/>
            <w:r>
              <w:t>osób</w:t>
            </w:r>
            <w:proofErr w:type="spellEnd"/>
            <w:r>
              <w:t xml:space="preserve"> </w:t>
            </w:r>
            <w:proofErr w:type="spellStart"/>
            <w:r>
              <w:t>bezrob</w:t>
            </w:r>
            <w:proofErr w:type="spellEnd"/>
            <w:r>
              <w:t xml:space="preserve">. i </w:t>
            </w:r>
            <w:proofErr w:type="spellStart"/>
            <w:r>
              <w:t>długotrwale</w:t>
            </w:r>
            <w:proofErr w:type="spellEnd"/>
            <w:r>
              <w:t xml:space="preserve"> </w:t>
            </w:r>
            <w:proofErr w:type="spellStart"/>
            <w:r>
              <w:t>bezrob</w:t>
            </w:r>
            <w:proofErr w:type="spellEnd"/>
            <w:r>
              <w:t xml:space="preserve">., </w:t>
            </w:r>
            <w:proofErr w:type="spellStart"/>
            <w:r>
              <w:t>które</w:t>
            </w:r>
            <w:proofErr w:type="spellEnd"/>
            <w:r>
              <w:t xml:space="preserve"> </w:t>
            </w:r>
            <w:proofErr w:type="spellStart"/>
            <w:r>
              <w:t>uzyskały</w:t>
            </w:r>
            <w:proofErr w:type="spellEnd"/>
            <w:r>
              <w:t xml:space="preserve"> </w:t>
            </w:r>
            <w:proofErr w:type="spellStart"/>
            <w:r>
              <w:t>kwalifik</w:t>
            </w:r>
            <w:proofErr w:type="spellEnd"/>
            <w:r>
              <w:t xml:space="preserve">. po </w:t>
            </w:r>
            <w:proofErr w:type="spellStart"/>
            <w:r>
              <w:t>opuszczeniu</w:t>
            </w:r>
            <w:proofErr w:type="spellEnd"/>
            <w:r>
              <w:t xml:space="preserve"> </w:t>
            </w:r>
            <w:proofErr w:type="spellStart"/>
            <w:r>
              <w:t>programu-prognozuje</w:t>
            </w:r>
            <w:proofErr w:type="spellEnd"/>
            <w:r>
              <w:t xml:space="preserve"> </w:t>
            </w:r>
            <w:proofErr w:type="spellStart"/>
            <w:r>
              <w:t>się</w:t>
            </w:r>
            <w:proofErr w:type="spellEnd"/>
            <w:r>
              <w:t xml:space="preserve"> </w:t>
            </w:r>
            <w:proofErr w:type="spellStart"/>
            <w:r>
              <w:t>wzrost</w:t>
            </w:r>
            <w:proofErr w:type="spellEnd"/>
            <w:r>
              <w:t xml:space="preserve"> </w:t>
            </w:r>
            <w:proofErr w:type="spellStart"/>
            <w:r>
              <w:t>wskaźnika</w:t>
            </w:r>
            <w:proofErr w:type="spellEnd"/>
            <w:r>
              <w:t xml:space="preserve"> w </w:t>
            </w:r>
            <w:proofErr w:type="spellStart"/>
            <w:r>
              <w:t>wyniku</w:t>
            </w:r>
            <w:proofErr w:type="spellEnd"/>
            <w:r>
              <w:t xml:space="preserve"> </w:t>
            </w:r>
            <w:proofErr w:type="spellStart"/>
            <w:r>
              <w:t>kończących</w:t>
            </w:r>
            <w:proofErr w:type="spellEnd"/>
            <w:r>
              <w:t xml:space="preserve"> </w:t>
            </w:r>
            <w:proofErr w:type="spellStart"/>
            <w:r>
              <w:t>się</w:t>
            </w:r>
            <w:proofErr w:type="spellEnd"/>
            <w:r>
              <w:t xml:space="preserve"> </w:t>
            </w:r>
            <w:proofErr w:type="spellStart"/>
            <w:r>
              <w:t>proj</w:t>
            </w:r>
            <w:proofErr w:type="spellEnd"/>
            <w:r>
              <w:t xml:space="preserve">. W 20r. </w:t>
            </w:r>
            <w:proofErr w:type="spellStart"/>
            <w:r>
              <w:t>planowany</w:t>
            </w:r>
            <w:proofErr w:type="spellEnd"/>
            <w:r>
              <w:t xml:space="preserve"> jest </w:t>
            </w:r>
            <w:proofErr w:type="spellStart"/>
            <w:r>
              <w:t>kolejny</w:t>
            </w:r>
            <w:proofErr w:type="spellEnd"/>
            <w:r>
              <w:t xml:space="preserve"> </w:t>
            </w:r>
            <w:proofErr w:type="spellStart"/>
            <w:r>
              <w:t>nabór</w:t>
            </w:r>
            <w:proofErr w:type="spellEnd"/>
            <w:r>
              <w:t>.</w:t>
            </w:r>
          </w:p>
          <w:p w14:paraId="3437A12D" w14:textId="77777777" w:rsidR="006B2EC1" w:rsidRDefault="00E82A60">
            <w:pPr>
              <w:spacing w:before="240" w:after="240"/>
              <w:jc w:val="left"/>
            </w:pPr>
            <w:r>
              <w:t xml:space="preserve">PI8iii/Dz.10.4 </w:t>
            </w:r>
            <w:proofErr w:type="spellStart"/>
            <w:r>
              <w:t>nadal</w:t>
            </w:r>
            <w:proofErr w:type="spellEnd"/>
            <w:r>
              <w:t xml:space="preserve"> </w:t>
            </w:r>
            <w:proofErr w:type="spellStart"/>
            <w:r>
              <w:t>zagrożenie</w:t>
            </w:r>
            <w:proofErr w:type="spellEnd"/>
            <w:r>
              <w:t xml:space="preserve"> </w:t>
            </w:r>
            <w:proofErr w:type="spellStart"/>
            <w:r>
              <w:t>nieosiągnięcia</w:t>
            </w:r>
            <w:proofErr w:type="spellEnd"/>
            <w:r>
              <w:t xml:space="preserve"> </w:t>
            </w:r>
            <w:proofErr w:type="spellStart"/>
            <w:r>
              <w:t>wsk</w:t>
            </w:r>
            <w:proofErr w:type="spellEnd"/>
            <w:r>
              <w:t xml:space="preserve">. </w:t>
            </w:r>
            <w:proofErr w:type="spellStart"/>
            <w:r>
              <w:t>osób</w:t>
            </w:r>
            <w:proofErr w:type="spellEnd"/>
            <w:r>
              <w:t xml:space="preserve"> </w:t>
            </w:r>
            <w:proofErr w:type="spellStart"/>
            <w:r>
              <w:t>pozostających</w:t>
            </w:r>
            <w:proofErr w:type="spellEnd"/>
            <w:r>
              <w:t xml:space="preserve"> bez </w:t>
            </w:r>
            <w:proofErr w:type="spellStart"/>
            <w:r>
              <w:t>pracy</w:t>
            </w:r>
            <w:proofErr w:type="spellEnd"/>
            <w:r>
              <w:t xml:space="preserve">, </w:t>
            </w:r>
            <w:proofErr w:type="spellStart"/>
            <w:r>
              <w:t>które</w:t>
            </w:r>
            <w:proofErr w:type="spellEnd"/>
            <w:r>
              <w:t xml:space="preserve"> </w:t>
            </w:r>
            <w:proofErr w:type="spellStart"/>
            <w:r>
              <w:t>skorzystały</w:t>
            </w:r>
            <w:proofErr w:type="spellEnd"/>
            <w:r>
              <w:br/>
              <w:t xml:space="preserve">z instr. </w:t>
            </w:r>
            <w:proofErr w:type="spellStart"/>
            <w:r>
              <w:t>zwrotnych</w:t>
            </w:r>
            <w:proofErr w:type="spellEnd"/>
            <w:r>
              <w:t xml:space="preserve"> </w:t>
            </w:r>
            <w:proofErr w:type="spellStart"/>
            <w:r>
              <w:t>na</w:t>
            </w:r>
            <w:proofErr w:type="spellEnd"/>
            <w:r>
              <w:t xml:space="preserve"> </w:t>
            </w:r>
            <w:proofErr w:type="spellStart"/>
            <w:r>
              <w:t>podjęcie</w:t>
            </w:r>
            <w:proofErr w:type="spellEnd"/>
            <w:r>
              <w:t xml:space="preserve"> </w:t>
            </w:r>
            <w:proofErr w:type="spellStart"/>
            <w:r>
              <w:t>działalności-pierwszych</w:t>
            </w:r>
            <w:proofErr w:type="spellEnd"/>
            <w:r>
              <w:t xml:space="preserve"> </w:t>
            </w:r>
            <w:proofErr w:type="spellStart"/>
            <w:r>
              <w:t>pożyczek</w:t>
            </w:r>
            <w:proofErr w:type="spellEnd"/>
            <w:r>
              <w:t xml:space="preserve"> </w:t>
            </w:r>
            <w:proofErr w:type="spellStart"/>
            <w:r>
              <w:t>udzielono</w:t>
            </w:r>
            <w:proofErr w:type="spellEnd"/>
            <w:r>
              <w:t xml:space="preserve"> w II kw.18 r. </w:t>
            </w:r>
            <w:proofErr w:type="spellStart"/>
            <w:r>
              <w:t>Widoczny</w:t>
            </w:r>
            <w:proofErr w:type="spellEnd"/>
            <w:r>
              <w:t xml:space="preserve"> </w:t>
            </w:r>
            <w:proofErr w:type="spellStart"/>
            <w:r>
              <w:t>wzrost</w:t>
            </w:r>
            <w:proofErr w:type="spellEnd"/>
            <w:r>
              <w:t xml:space="preserve"> </w:t>
            </w:r>
            <w:proofErr w:type="spellStart"/>
            <w:r>
              <w:t>wskaź</w:t>
            </w:r>
            <w:proofErr w:type="spellEnd"/>
            <w:r>
              <w:t xml:space="preserve">.  Nadal </w:t>
            </w:r>
            <w:proofErr w:type="spellStart"/>
            <w:r>
              <w:t>barierą</w:t>
            </w:r>
            <w:proofErr w:type="spellEnd"/>
            <w:r>
              <w:t xml:space="preserve"> </w:t>
            </w:r>
            <w:proofErr w:type="spellStart"/>
            <w:r>
              <w:t>dla</w:t>
            </w:r>
            <w:proofErr w:type="spellEnd"/>
            <w:r>
              <w:t xml:space="preserve"> </w:t>
            </w:r>
            <w:proofErr w:type="spellStart"/>
            <w:r>
              <w:t>bezrobotnego</w:t>
            </w:r>
            <w:proofErr w:type="spellEnd"/>
            <w:r>
              <w:t xml:space="preserve"> jest </w:t>
            </w:r>
            <w:proofErr w:type="spellStart"/>
            <w:r>
              <w:t>zabezpieczenie</w:t>
            </w:r>
            <w:proofErr w:type="spellEnd"/>
            <w:r>
              <w:t xml:space="preserve"> </w:t>
            </w:r>
            <w:proofErr w:type="spellStart"/>
            <w:r>
              <w:t>pożyczki-poręczyciele</w:t>
            </w:r>
            <w:proofErr w:type="spellEnd"/>
            <w:r>
              <w:t>.</w:t>
            </w:r>
          </w:p>
          <w:p w14:paraId="552F187C" w14:textId="77777777" w:rsidR="006B2EC1" w:rsidRDefault="00E82A60">
            <w:pPr>
              <w:spacing w:before="240" w:after="240"/>
              <w:jc w:val="left"/>
            </w:pPr>
            <w:r>
              <w:t xml:space="preserve">PI8v/Dz.10.5-ryzyko </w:t>
            </w:r>
            <w:proofErr w:type="spellStart"/>
            <w:r>
              <w:t>nieosiągnięcia</w:t>
            </w:r>
            <w:proofErr w:type="spellEnd"/>
            <w:r>
              <w:t xml:space="preserve"> wart. doc. </w:t>
            </w:r>
            <w:proofErr w:type="spellStart"/>
            <w:r>
              <w:t>wskaźników</w:t>
            </w:r>
            <w:proofErr w:type="spellEnd"/>
            <w:r>
              <w:t xml:space="preserve">, </w:t>
            </w:r>
            <w:proofErr w:type="spellStart"/>
            <w:r>
              <w:t>szczególnie</w:t>
            </w:r>
            <w:proofErr w:type="spellEnd"/>
            <w:r>
              <w:t xml:space="preserve"> </w:t>
            </w:r>
            <w:proofErr w:type="spellStart"/>
            <w:r>
              <w:t>osób</w:t>
            </w:r>
            <w:proofErr w:type="spellEnd"/>
            <w:r>
              <w:t xml:space="preserve"> 50+. W </w:t>
            </w:r>
            <w:proofErr w:type="spellStart"/>
            <w:r>
              <w:t>grudniu</w:t>
            </w:r>
            <w:proofErr w:type="spellEnd"/>
            <w:r>
              <w:t xml:space="preserve"> 19r. </w:t>
            </w:r>
            <w:proofErr w:type="spellStart"/>
            <w:r>
              <w:t>Podpisano</w:t>
            </w:r>
            <w:proofErr w:type="spellEnd"/>
            <w:r>
              <w:t xml:space="preserve"> </w:t>
            </w:r>
            <w:proofErr w:type="spellStart"/>
            <w:r>
              <w:t>nową</w:t>
            </w:r>
            <w:proofErr w:type="spellEnd"/>
            <w:r>
              <w:t xml:space="preserve"> </w:t>
            </w:r>
            <w:proofErr w:type="spellStart"/>
            <w:r>
              <w:t>umowę</w:t>
            </w:r>
            <w:proofErr w:type="spellEnd"/>
            <w:r>
              <w:t xml:space="preserve">, </w:t>
            </w:r>
            <w:proofErr w:type="spellStart"/>
            <w:r>
              <w:t>której</w:t>
            </w:r>
            <w:proofErr w:type="spellEnd"/>
            <w:r>
              <w:t xml:space="preserve"> </w:t>
            </w:r>
            <w:proofErr w:type="spellStart"/>
            <w:r>
              <w:t>celem</w:t>
            </w:r>
            <w:proofErr w:type="spellEnd"/>
            <w:r>
              <w:t xml:space="preserve"> </w:t>
            </w:r>
            <w:proofErr w:type="spellStart"/>
            <w:r>
              <w:t>będzie</w:t>
            </w:r>
            <w:proofErr w:type="spellEnd"/>
            <w:r>
              <w:t xml:space="preserve"> </w:t>
            </w:r>
            <w:proofErr w:type="spellStart"/>
            <w:r>
              <w:t>wsparcie</w:t>
            </w:r>
            <w:proofErr w:type="spellEnd"/>
            <w:r>
              <w:t xml:space="preserve"> </w:t>
            </w:r>
            <w:proofErr w:type="spellStart"/>
            <w:r>
              <w:t>ponad</w:t>
            </w:r>
            <w:proofErr w:type="spellEnd"/>
            <w:r>
              <w:t xml:space="preserve"> 7 </w:t>
            </w:r>
            <w:proofErr w:type="spellStart"/>
            <w:r>
              <w:t>tys</w:t>
            </w:r>
            <w:proofErr w:type="spellEnd"/>
            <w:r>
              <w:t xml:space="preserve">. </w:t>
            </w:r>
            <w:proofErr w:type="spellStart"/>
            <w:r>
              <w:t>osób</w:t>
            </w:r>
            <w:proofErr w:type="spellEnd"/>
            <w:r>
              <w:t xml:space="preserve"> (w </w:t>
            </w:r>
            <w:proofErr w:type="spellStart"/>
            <w:r>
              <w:t>tym</w:t>
            </w:r>
            <w:proofErr w:type="spellEnd"/>
            <w:r>
              <w:t xml:space="preserve"> 50+).</w:t>
            </w:r>
          </w:p>
          <w:p w14:paraId="0ACB1E6C" w14:textId="77777777" w:rsidR="008C5CFA" w:rsidRPr="00716FAF" w:rsidRDefault="008C5CFA" w:rsidP="0094129D">
            <w:pPr>
              <w:spacing w:before="0" w:after="0"/>
              <w:rPr>
                <w:lang w:val="fr-BE"/>
              </w:rPr>
            </w:pPr>
          </w:p>
        </w:tc>
      </w:tr>
    </w:tbl>
    <w:p w14:paraId="1053EE76" w14:textId="77777777" w:rsidR="008C5CFA" w:rsidRDefault="008C5CFA" w:rsidP="0094129D">
      <w:pPr>
        <w:spacing w:before="0" w:after="0"/>
        <w:rPr>
          <w:lang w:val="fr-BE"/>
        </w:rPr>
      </w:pPr>
    </w:p>
    <w:p w14:paraId="7EEFEF1E" w14:textId="77777777" w:rsidR="008C5CFA" w:rsidRPr="000C0BA9" w:rsidRDefault="00E82A60" w:rsidP="0094129D">
      <w:pPr>
        <w:spacing w:before="0" w:after="0"/>
        <w:rPr>
          <w:lang w:val="fr-BE"/>
        </w:rPr>
      </w:pPr>
      <w:r>
        <w:rPr>
          <w:lang w:val="fr-BE"/>
        </w:rPr>
        <w:br w:type="page"/>
      </w:r>
      <w:r w:rsidRPr="000C0BA9">
        <w:rPr>
          <w:noProof/>
          <w:lang w:val="fr-BE"/>
        </w:rPr>
        <w:lastRenderedPageBreak/>
        <w:t>b) Ocena tego, czy postępy poczynione w zakresie celów pośrednich są wystarczające, aby zapewnić ich realizację, wskazanie wszelkich podjętych lub planowanych działań naprawczych (w stosownych przypadkach)</w:t>
      </w:r>
    </w:p>
    <w:p w14:paraId="55B55253" w14:textId="77777777" w:rsidR="008C5CFA" w:rsidRDefault="008C5CFA" w:rsidP="00300A01">
      <w:pPr>
        <w:pStyle w:val="Text1"/>
        <w:spacing w:before="0" w:after="0"/>
        <w:ind w:left="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52"/>
      </w:tblGrid>
      <w:tr w:rsidR="006B2EC1" w14:paraId="6F003D7F" w14:textId="77777777" w:rsidTr="0047688D">
        <w:tc>
          <w:tcPr>
            <w:tcW w:w="0" w:type="auto"/>
            <w:shd w:val="clear" w:color="auto" w:fill="auto"/>
          </w:tcPr>
          <w:p w14:paraId="282420E1" w14:textId="77777777" w:rsidR="006B2EC1" w:rsidRDefault="00E82A60">
            <w:pPr>
              <w:spacing w:before="0" w:after="240"/>
              <w:jc w:val="left"/>
            </w:pPr>
            <w:r>
              <w:t xml:space="preserve">Cele </w:t>
            </w:r>
            <w:proofErr w:type="spellStart"/>
            <w:r>
              <w:t>pośrednie</w:t>
            </w:r>
            <w:proofErr w:type="spellEnd"/>
            <w:r>
              <w:t xml:space="preserve"> RPOWŚ </w:t>
            </w:r>
            <w:proofErr w:type="spellStart"/>
            <w:r>
              <w:t>zostały</w:t>
            </w:r>
            <w:proofErr w:type="spellEnd"/>
            <w:r>
              <w:t xml:space="preserve"> </w:t>
            </w:r>
            <w:proofErr w:type="spellStart"/>
            <w:r>
              <w:t>zrealizowane</w:t>
            </w:r>
            <w:proofErr w:type="spellEnd"/>
            <w:r>
              <w:t xml:space="preserve">. W 2019 r. </w:t>
            </w:r>
            <w:proofErr w:type="spellStart"/>
            <w:r>
              <w:t>trwał</w:t>
            </w:r>
            <w:proofErr w:type="spellEnd"/>
            <w:r>
              <w:t xml:space="preserve"> </w:t>
            </w:r>
            <w:proofErr w:type="spellStart"/>
            <w:r>
              <w:t>proces</w:t>
            </w:r>
            <w:proofErr w:type="spellEnd"/>
            <w:r>
              <w:t xml:space="preserve"> </w:t>
            </w:r>
            <w:proofErr w:type="spellStart"/>
            <w:r>
              <w:t>zmian</w:t>
            </w:r>
            <w:proofErr w:type="spellEnd"/>
            <w:r>
              <w:t xml:space="preserve"> </w:t>
            </w:r>
            <w:proofErr w:type="spellStart"/>
            <w:r>
              <w:t>Programu</w:t>
            </w:r>
            <w:proofErr w:type="spellEnd"/>
            <w:r>
              <w:t xml:space="preserve">. </w:t>
            </w:r>
            <w:proofErr w:type="spellStart"/>
            <w:r>
              <w:t>Prowadzono</w:t>
            </w:r>
            <w:proofErr w:type="spellEnd"/>
            <w:r>
              <w:t xml:space="preserve"> </w:t>
            </w:r>
            <w:proofErr w:type="spellStart"/>
            <w:r>
              <w:t>uzgodnienia</w:t>
            </w:r>
            <w:proofErr w:type="spellEnd"/>
            <w:r>
              <w:t xml:space="preserve"> z </w:t>
            </w:r>
            <w:proofErr w:type="spellStart"/>
            <w:r>
              <w:t>MFiPR</w:t>
            </w:r>
            <w:proofErr w:type="spellEnd"/>
            <w:r>
              <w:t xml:space="preserve"> </w:t>
            </w:r>
            <w:proofErr w:type="spellStart"/>
            <w:r>
              <w:t>oraz</w:t>
            </w:r>
            <w:proofErr w:type="spellEnd"/>
            <w:r>
              <w:t xml:space="preserve"> KE.</w:t>
            </w:r>
          </w:p>
          <w:p w14:paraId="0D0E32B4" w14:textId="77777777" w:rsidR="006B2EC1" w:rsidRDefault="00E82A60">
            <w:pPr>
              <w:spacing w:before="240" w:after="240"/>
              <w:jc w:val="left"/>
            </w:pPr>
            <w:r>
              <w:t>EFRR</w:t>
            </w:r>
          </w:p>
          <w:p w14:paraId="74BBEA7F" w14:textId="77777777" w:rsidR="006B2EC1" w:rsidRDefault="00E82A60" w:rsidP="00E82A60">
            <w:pPr>
              <w:numPr>
                <w:ilvl w:val="0"/>
                <w:numId w:val="54"/>
              </w:numPr>
              <w:spacing w:before="240" w:after="0"/>
              <w:ind w:hanging="210"/>
              <w:jc w:val="left"/>
            </w:pPr>
            <w:proofErr w:type="spellStart"/>
            <w:r>
              <w:t>dla</w:t>
            </w:r>
            <w:proofErr w:type="spellEnd"/>
            <w:r>
              <w:t xml:space="preserve"> </w:t>
            </w:r>
            <w:proofErr w:type="spellStart"/>
            <w:r>
              <w:t>wskaźników</w:t>
            </w:r>
            <w:proofErr w:type="spellEnd"/>
            <w:r>
              <w:t xml:space="preserve">, </w:t>
            </w:r>
            <w:proofErr w:type="spellStart"/>
            <w:r>
              <w:t>dla</w:t>
            </w:r>
            <w:proofErr w:type="spellEnd"/>
            <w:r>
              <w:t xml:space="preserve"> </w:t>
            </w:r>
            <w:proofErr w:type="spellStart"/>
            <w:r>
              <w:t>których</w:t>
            </w:r>
            <w:proofErr w:type="spellEnd"/>
            <w:r>
              <w:t xml:space="preserve"> </w:t>
            </w:r>
            <w:proofErr w:type="spellStart"/>
            <w:r>
              <w:t>zidentyfikowano</w:t>
            </w:r>
            <w:proofErr w:type="spellEnd"/>
            <w:r>
              <w:t xml:space="preserve"> </w:t>
            </w:r>
            <w:proofErr w:type="spellStart"/>
            <w:r>
              <w:t>zagrożenie</w:t>
            </w:r>
            <w:proofErr w:type="spellEnd"/>
            <w:r>
              <w:t xml:space="preserve"> </w:t>
            </w:r>
            <w:proofErr w:type="spellStart"/>
            <w:r>
              <w:t>realizacji</w:t>
            </w:r>
            <w:proofErr w:type="spellEnd"/>
            <w:r>
              <w:t xml:space="preserve">, np. z </w:t>
            </w:r>
            <w:proofErr w:type="spellStart"/>
            <w:r>
              <w:t>uwagi</w:t>
            </w:r>
            <w:proofErr w:type="spellEnd"/>
            <w:r>
              <w:t xml:space="preserve"> </w:t>
            </w:r>
            <w:proofErr w:type="spellStart"/>
            <w:r>
              <w:t>na</w:t>
            </w:r>
            <w:proofErr w:type="spellEnd"/>
            <w:r>
              <w:t xml:space="preserve"> </w:t>
            </w:r>
            <w:proofErr w:type="spellStart"/>
            <w:r>
              <w:t>zmiany</w:t>
            </w:r>
            <w:proofErr w:type="spellEnd"/>
            <w:r>
              <w:t xml:space="preserve"> w </w:t>
            </w:r>
            <w:proofErr w:type="spellStart"/>
            <w:r>
              <w:t>pierwotnych</w:t>
            </w:r>
            <w:proofErr w:type="spellEnd"/>
            <w:r>
              <w:t xml:space="preserve"> </w:t>
            </w:r>
            <w:proofErr w:type="spellStart"/>
            <w:r>
              <w:t>warunkach</w:t>
            </w:r>
            <w:proofErr w:type="spellEnd"/>
            <w:r>
              <w:t xml:space="preserve"> </w:t>
            </w:r>
            <w:proofErr w:type="spellStart"/>
            <w:r>
              <w:t>przyjętych</w:t>
            </w:r>
            <w:proofErr w:type="spellEnd"/>
            <w:r>
              <w:t xml:space="preserve"> w </w:t>
            </w:r>
            <w:proofErr w:type="spellStart"/>
            <w:r>
              <w:t>metodologii</w:t>
            </w:r>
            <w:proofErr w:type="spellEnd"/>
            <w:r>
              <w:t xml:space="preserve"> </w:t>
            </w:r>
            <w:proofErr w:type="spellStart"/>
            <w:r>
              <w:t>szacowania</w:t>
            </w:r>
            <w:proofErr w:type="spellEnd"/>
            <w:r>
              <w:t xml:space="preserve"> </w:t>
            </w:r>
            <w:proofErr w:type="spellStart"/>
            <w:r>
              <w:t>zgłoszono</w:t>
            </w:r>
            <w:proofErr w:type="spellEnd"/>
            <w:r>
              <w:t xml:space="preserve"> do KE </w:t>
            </w:r>
            <w:proofErr w:type="spellStart"/>
            <w:r>
              <w:t>propozycje</w:t>
            </w:r>
            <w:proofErr w:type="spellEnd"/>
            <w:r>
              <w:t xml:space="preserve"> </w:t>
            </w:r>
            <w:proofErr w:type="spellStart"/>
            <w:r>
              <w:t>zmian</w:t>
            </w:r>
            <w:proofErr w:type="spellEnd"/>
          </w:p>
          <w:p w14:paraId="681FF26F" w14:textId="77777777" w:rsidR="006B2EC1" w:rsidRDefault="00E82A60" w:rsidP="00E82A60">
            <w:pPr>
              <w:numPr>
                <w:ilvl w:val="0"/>
                <w:numId w:val="54"/>
              </w:numPr>
              <w:spacing w:before="0" w:after="0"/>
              <w:ind w:hanging="210"/>
              <w:jc w:val="left"/>
            </w:pPr>
            <w:proofErr w:type="spellStart"/>
            <w:r>
              <w:t>zintensyfikowano</w:t>
            </w:r>
            <w:proofErr w:type="spellEnd"/>
            <w:r>
              <w:t xml:space="preserve"> monitoring </w:t>
            </w:r>
            <w:proofErr w:type="spellStart"/>
            <w:r>
              <w:t>postępów</w:t>
            </w:r>
            <w:proofErr w:type="spellEnd"/>
            <w:r>
              <w:t xml:space="preserve"> </w:t>
            </w:r>
            <w:proofErr w:type="spellStart"/>
            <w:r>
              <w:t>przygotowywania</w:t>
            </w:r>
            <w:proofErr w:type="spellEnd"/>
            <w:r>
              <w:t xml:space="preserve"> </w:t>
            </w:r>
            <w:proofErr w:type="spellStart"/>
            <w:r>
              <w:t>przez</w:t>
            </w:r>
            <w:proofErr w:type="spellEnd"/>
            <w:r>
              <w:t xml:space="preserve"> </w:t>
            </w:r>
            <w:proofErr w:type="spellStart"/>
            <w:r>
              <w:t>Beneficjentów</w:t>
            </w:r>
            <w:proofErr w:type="spellEnd"/>
            <w:r>
              <w:t xml:space="preserve"> </w:t>
            </w:r>
            <w:proofErr w:type="spellStart"/>
            <w:r>
              <w:t>inwestycji</w:t>
            </w:r>
            <w:proofErr w:type="spellEnd"/>
            <w:r>
              <w:t xml:space="preserve"> do </w:t>
            </w:r>
            <w:proofErr w:type="spellStart"/>
            <w:r>
              <w:t>realizacji</w:t>
            </w:r>
            <w:proofErr w:type="spellEnd"/>
            <w:r>
              <w:t xml:space="preserve"> i </w:t>
            </w:r>
            <w:proofErr w:type="spellStart"/>
            <w:r>
              <w:t>postępów</w:t>
            </w:r>
            <w:proofErr w:type="spellEnd"/>
            <w:r>
              <w:t xml:space="preserve"> </w:t>
            </w:r>
            <w:proofErr w:type="spellStart"/>
            <w:r>
              <w:t>realizacji</w:t>
            </w:r>
            <w:proofErr w:type="spellEnd"/>
            <w:r>
              <w:t xml:space="preserve"> </w:t>
            </w:r>
            <w:proofErr w:type="spellStart"/>
            <w:r>
              <w:t>inwestycji</w:t>
            </w:r>
            <w:proofErr w:type="spellEnd"/>
            <w:r>
              <w:t xml:space="preserve">, w </w:t>
            </w:r>
            <w:proofErr w:type="spellStart"/>
            <w:r>
              <w:t>tym</w:t>
            </w:r>
            <w:proofErr w:type="spellEnd"/>
            <w:r>
              <w:t xml:space="preserve"> </w:t>
            </w:r>
            <w:proofErr w:type="spellStart"/>
            <w:r>
              <w:t>indywidualne</w:t>
            </w:r>
            <w:proofErr w:type="spellEnd"/>
            <w:r>
              <w:t xml:space="preserve"> </w:t>
            </w:r>
            <w:proofErr w:type="spellStart"/>
            <w:r>
              <w:t>konsultacje</w:t>
            </w:r>
            <w:proofErr w:type="spellEnd"/>
            <w:r>
              <w:t xml:space="preserve"> z </w:t>
            </w:r>
            <w:proofErr w:type="spellStart"/>
            <w:r>
              <w:t>Beneficjentami</w:t>
            </w:r>
            <w:proofErr w:type="spellEnd"/>
            <w:r>
              <w:t xml:space="preserve"> w </w:t>
            </w:r>
            <w:proofErr w:type="spellStart"/>
            <w:r>
              <w:t>obszarach</w:t>
            </w:r>
            <w:proofErr w:type="spellEnd"/>
            <w:r>
              <w:t xml:space="preserve">, </w:t>
            </w:r>
            <w:proofErr w:type="spellStart"/>
            <w:r>
              <w:t>gdzie</w:t>
            </w:r>
            <w:proofErr w:type="spellEnd"/>
            <w:r>
              <w:t xml:space="preserve"> </w:t>
            </w:r>
            <w:proofErr w:type="spellStart"/>
            <w:r>
              <w:t>zagrożone</w:t>
            </w:r>
            <w:proofErr w:type="spellEnd"/>
            <w:r>
              <w:t xml:space="preserve"> </w:t>
            </w:r>
            <w:proofErr w:type="spellStart"/>
            <w:r>
              <w:t>było</w:t>
            </w:r>
            <w:proofErr w:type="spellEnd"/>
            <w:r>
              <w:t xml:space="preserve"> </w:t>
            </w:r>
            <w:proofErr w:type="spellStart"/>
            <w:r>
              <w:t>osiągnięcie</w:t>
            </w:r>
            <w:proofErr w:type="spellEnd"/>
            <w:r>
              <w:t xml:space="preserve"> </w:t>
            </w:r>
            <w:proofErr w:type="spellStart"/>
            <w:r>
              <w:t>wskaźników</w:t>
            </w:r>
            <w:proofErr w:type="spellEnd"/>
          </w:p>
          <w:p w14:paraId="2CA48689" w14:textId="77777777" w:rsidR="006B2EC1" w:rsidRDefault="00E82A60" w:rsidP="00E82A60">
            <w:pPr>
              <w:numPr>
                <w:ilvl w:val="0"/>
                <w:numId w:val="54"/>
              </w:numPr>
              <w:spacing w:before="0" w:after="0"/>
              <w:ind w:hanging="210"/>
              <w:jc w:val="left"/>
            </w:pPr>
            <w:r>
              <w:t xml:space="preserve">tam </w:t>
            </w:r>
            <w:proofErr w:type="spellStart"/>
            <w:r>
              <w:t>gdzie</w:t>
            </w:r>
            <w:proofErr w:type="spellEnd"/>
            <w:r>
              <w:t xml:space="preserve"> jest to </w:t>
            </w:r>
            <w:proofErr w:type="spellStart"/>
            <w:r>
              <w:t>możliwe</w:t>
            </w:r>
            <w:proofErr w:type="spellEnd"/>
            <w:r>
              <w:t xml:space="preserve"> </w:t>
            </w:r>
            <w:proofErr w:type="spellStart"/>
            <w:r>
              <w:t>zrezygnowano</w:t>
            </w:r>
            <w:proofErr w:type="spellEnd"/>
            <w:r>
              <w:t xml:space="preserve"> z </w:t>
            </w:r>
            <w:proofErr w:type="spellStart"/>
            <w:r>
              <w:t>prowadzenia</w:t>
            </w:r>
            <w:proofErr w:type="spellEnd"/>
            <w:r>
              <w:t xml:space="preserve"> </w:t>
            </w:r>
            <w:proofErr w:type="spellStart"/>
            <w:r>
              <w:t>kontroli</w:t>
            </w:r>
            <w:proofErr w:type="spellEnd"/>
            <w:r>
              <w:t xml:space="preserve"> </w:t>
            </w:r>
            <w:proofErr w:type="spellStart"/>
            <w:r>
              <w:t>na</w:t>
            </w:r>
            <w:proofErr w:type="spellEnd"/>
            <w:r>
              <w:t xml:space="preserve"> </w:t>
            </w:r>
            <w:proofErr w:type="spellStart"/>
            <w:r>
              <w:t>miejscu</w:t>
            </w:r>
            <w:proofErr w:type="spellEnd"/>
            <w:r>
              <w:t xml:space="preserve"> </w:t>
            </w:r>
            <w:proofErr w:type="spellStart"/>
            <w:r>
              <w:t>na</w:t>
            </w:r>
            <w:proofErr w:type="spellEnd"/>
            <w:r>
              <w:t xml:space="preserve"> </w:t>
            </w:r>
            <w:proofErr w:type="spellStart"/>
            <w:r>
              <w:t>rzecz</w:t>
            </w:r>
            <w:proofErr w:type="spellEnd"/>
            <w:r>
              <w:t xml:space="preserve"> </w:t>
            </w:r>
            <w:proofErr w:type="spellStart"/>
            <w:r>
              <w:t>kontroli</w:t>
            </w:r>
            <w:proofErr w:type="spellEnd"/>
            <w:r>
              <w:t xml:space="preserve"> </w:t>
            </w:r>
            <w:proofErr w:type="spellStart"/>
            <w:r>
              <w:t>na</w:t>
            </w:r>
            <w:proofErr w:type="spellEnd"/>
            <w:r>
              <w:t xml:space="preserve"> </w:t>
            </w:r>
            <w:proofErr w:type="spellStart"/>
            <w:r>
              <w:t>dokumentach</w:t>
            </w:r>
            <w:proofErr w:type="spellEnd"/>
            <w:r>
              <w:t xml:space="preserve"> (</w:t>
            </w:r>
            <w:proofErr w:type="spellStart"/>
            <w:r>
              <w:t>kontrole</w:t>
            </w:r>
            <w:proofErr w:type="spellEnd"/>
            <w:r>
              <w:t xml:space="preserve"> </w:t>
            </w:r>
            <w:proofErr w:type="spellStart"/>
            <w:r>
              <w:t>uprzednie</w:t>
            </w:r>
            <w:proofErr w:type="spellEnd"/>
            <w:r>
              <w:t>)</w:t>
            </w:r>
          </w:p>
          <w:p w14:paraId="3EC9F310" w14:textId="77777777" w:rsidR="006B2EC1" w:rsidRDefault="00E82A60" w:rsidP="00E82A60">
            <w:pPr>
              <w:numPr>
                <w:ilvl w:val="0"/>
                <w:numId w:val="54"/>
              </w:numPr>
              <w:spacing w:before="0" w:after="0"/>
              <w:ind w:hanging="210"/>
              <w:jc w:val="left"/>
            </w:pPr>
            <w:proofErr w:type="spellStart"/>
            <w:r>
              <w:t>ułatwiono</w:t>
            </w:r>
            <w:proofErr w:type="spellEnd"/>
            <w:r>
              <w:t xml:space="preserve"> </w:t>
            </w:r>
            <w:proofErr w:type="spellStart"/>
            <w:r>
              <w:t>wypłacanie</w:t>
            </w:r>
            <w:proofErr w:type="spellEnd"/>
            <w:r>
              <w:t xml:space="preserve"> </w:t>
            </w:r>
            <w:proofErr w:type="spellStart"/>
            <w:r>
              <w:t>środków</w:t>
            </w:r>
            <w:proofErr w:type="spellEnd"/>
            <w:r>
              <w:t xml:space="preserve"> w </w:t>
            </w:r>
            <w:proofErr w:type="spellStart"/>
            <w:r>
              <w:t>formie</w:t>
            </w:r>
            <w:proofErr w:type="spellEnd"/>
            <w:r>
              <w:t xml:space="preserve"> </w:t>
            </w:r>
            <w:proofErr w:type="spellStart"/>
            <w:r>
              <w:t>zaliczki</w:t>
            </w:r>
            <w:proofErr w:type="spellEnd"/>
          </w:p>
          <w:p w14:paraId="647E769D" w14:textId="77777777" w:rsidR="006B2EC1" w:rsidRDefault="00E82A60" w:rsidP="00E82A60">
            <w:pPr>
              <w:numPr>
                <w:ilvl w:val="0"/>
                <w:numId w:val="54"/>
              </w:numPr>
              <w:spacing w:before="0" w:after="240"/>
              <w:ind w:hanging="210"/>
              <w:jc w:val="left"/>
            </w:pPr>
            <w:proofErr w:type="spellStart"/>
            <w:r>
              <w:t>przyspieszano</w:t>
            </w:r>
            <w:proofErr w:type="spellEnd"/>
            <w:r>
              <w:t xml:space="preserve"> </w:t>
            </w:r>
            <w:proofErr w:type="spellStart"/>
            <w:r>
              <w:t>proces</w:t>
            </w:r>
            <w:proofErr w:type="spellEnd"/>
            <w:r>
              <w:t xml:space="preserve"> </w:t>
            </w:r>
            <w:proofErr w:type="spellStart"/>
            <w:r>
              <w:t>podpisywania</w:t>
            </w:r>
            <w:proofErr w:type="spellEnd"/>
            <w:r>
              <w:t xml:space="preserve"> </w:t>
            </w:r>
            <w:proofErr w:type="spellStart"/>
            <w:r>
              <w:t>umów</w:t>
            </w:r>
            <w:proofErr w:type="spellEnd"/>
            <w:r>
              <w:t xml:space="preserve"> (z pre -</w:t>
            </w:r>
            <w:proofErr w:type="spellStart"/>
            <w:r>
              <w:t>umów</w:t>
            </w:r>
            <w:proofErr w:type="spellEnd"/>
            <w:r>
              <w:t>).</w:t>
            </w:r>
          </w:p>
          <w:p w14:paraId="62996204" w14:textId="77777777" w:rsidR="006B2EC1" w:rsidRDefault="00E82A60">
            <w:pPr>
              <w:spacing w:before="240" w:after="240"/>
              <w:jc w:val="left"/>
            </w:pPr>
            <w:r>
              <w:t>EFS</w:t>
            </w:r>
          </w:p>
          <w:p w14:paraId="31520C65" w14:textId="77777777" w:rsidR="006B2EC1" w:rsidRDefault="00E82A60" w:rsidP="00E82A60">
            <w:pPr>
              <w:numPr>
                <w:ilvl w:val="0"/>
                <w:numId w:val="55"/>
              </w:numPr>
              <w:spacing w:before="240" w:after="0"/>
              <w:ind w:hanging="210"/>
              <w:jc w:val="left"/>
            </w:pPr>
            <w:proofErr w:type="spellStart"/>
            <w:r>
              <w:t>dla</w:t>
            </w:r>
            <w:proofErr w:type="spellEnd"/>
            <w:r>
              <w:t xml:space="preserve"> </w:t>
            </w:r>
            <w:proofErr w:type="spellStart"/>
            <w:r>
              <w:t>wskaźników</w:t>
            </w:r>
            <w:proofErr w:type="spellEnd"/>
            <w:r>
              <w:t xml:space="preserve">, </w:t>
            </w:r>
            <w:proofErr w:type="spellStart"/>
            <w:r>
              <w:t>dla</w:t>
            </w:r>
            <w:proofErr w:type="spellEnd"/>
            <w:r>
              <w:t xml:space="preserve"> </w:t>
            </w:r>
            <w:proofErr w:type="spellStart"/>
            <w:r>
              <w:t>których</w:t>
            </w:r>
            <w:proofErr w:type="spellEnd"/>
            <w:r>
              <w:t xml:space="preserve"> </w:t>
            </w:r>
            <w:proofErr w:type="spellStart"/>
            <w:r>
              <w:t>zidentyfikowano</w:t>
            </w:r>
            <w:proofErr w:type="spellEnd"/>
            <w:r>
              <w:t xml:space="preserve"> </w:t>
            </w:r>
            <w:proofErr w:type="spellStart"/>
            <w:r>
              <w:t>zagrożenie</w:t>
            </w:r>
            <w:proofErr w:type="spellEnd"/>
            <w:r>
              <w:t xml:space="preserve"> </w:t>
            </w:r>
            <w:proofErr w:type="spellStart"/>
            <w:r>
              <w:t>realizacji</w:t>
            </w:r>
            <w:proofErr w:type="spellEnd"/>
            <w:r>
              <w:t xml:space="preserve">, np. z </w:t>
            </w:r>
            <w:proofErr w:type="spellStart"/>
            <w:r>
              <w:t>uwagi</w:t>
            </w:r>
            <w:proofErr w:type="spellEnd"/>
            <w:r>
              <w:t xml:space="preserve"> </w:t>
            </w:r>
            <w:proofErr w:type="spellStart"/>
            <w:r>
              <w:t>na</w:t>
            </w:r>
            <w:proofErr w:type="spellEnd"/>
            <w:r>
              <w:t xml:space="preserve"> </w:t>
            </w:r>
            <w:proofErr w:type="spellStart"/>
            <w:r>
              <w:t>zmiany</w:t>
            </w:r>
            <w:proofErr w:type="spellEnd"/>
            <w:r>
              <w:t xml:space="preserve"> w </w:t>
            </w:r>
            <w:proofErr w:type="spellStart"/>
            <w:r>
              <w:t>pierwotnych</w:t>
            </w:r>
            <w:proofErr w:type="spellEnd"/>
            <w:r>
              <w:t xml:space="preserve"> </w:t>
            </w:r>
            <w:proofErr w:type="spellStart"/>
            <w:r>
              <w:t>warunkach</w:t>
            </w:r>
            <w:proofErr w:type="spellEnd"/>
            <w:r>
              <w:t xml:space="preserve"> </w:t>
            </w:r>
            <w:proofErr w:type="spellStart"/>
            <w:r>
              <w:t>przyjętych</w:t>
            </w:r>
            <w:proofErr w:type="spellEnd"/>
            <w:r>
              <w:t xml:space="preserve"> w </w:t>
            </w:r>
            <w:proofErr w:type="spellStart"/>
            <w:r>
              <w:t>metodologii</w:t>
            </w:r>
            <w:proofErr w:type="spellEnd"/>
            <w:r>
              <w:t xml:space="preserve"> </w:t>
            </w:r>
            <w:proofErr w:type="spellStart"/>
            <w:r>
              <w:t>szacowania</w:t>
            </w:r>
            <w:proofErr w:type="spellEnd"/>
            <w:r>
              <w:t xml:space="preserve"> </w:t>
            </w:r>
            <w:proofErr w:type="spellStart"/>
            <w:r>
              <w:t>zgłoszono</w:t>
            </w:r>
            <w:proofErr w:type="spellEnd"/>
            <w:r>
              <w:t xml:space="preserve"> do KE </w:t>
            </w:r>
            <w:proofErr w:type="spellStart"/>
            <w:r>
              <w:t>propozycje</w:t>
            </w:r>
            <w:proofErr w:type="spellEnd"/>
            <w:r>
              <w:t xml:space="preserve"> </w:t>
            </w:r>
            <w:proofErr w:type="spellStart"/>
            <w:r>
              <w:t>zmian</w:t>
            </w:r>
            <w:proofErr w:type="spellEnd"/>
          </w:p>
          <w:p w14:paraId="33B24979" w14:textId="77777777" w:rsidR="006B2EC1" w:rsidRDefault="00E82A60" w:rsidP="00E82A60">
            <w:pPr>
              <w:numPr>
                <w:ilvl w:val="0"/>
                <w:numId w:val="55"/>
              </w:numPr>
              <w:spacing w:before="0" w:after="0"/>
              <w:ind w:hanging="210"/>
              <w:jc w:val="left"/>
            </w:pPr>
            <w:r>
              <w:t xml:space="preserve">w </w:t>
            </w:r>
            <w:proofErr w:type="spellStart"/>
            <w:r>
              <w:t>celu</w:t>
            </w:r>
            <w:proofErr w:type="spellEnd"/>
            <w:r>
              <w:t xml:space="preserve"> </w:t>
            </w:r>
            <w:proofErr w:type="spellStart"/>
            <w:r>
              <w:t>zwiększenia</w:t>
            </w:r>
            <w:proofErr w:type="spellEnd"/>
            <w:r>
              <w:t xml:space="preserve"> </w:t>
            </w:r>
            <w:proofErr w:type="spellStart"/>
            <w:r>
              <w:t>efektywności</w:t>
            </w:r>
            <w:proofErr w:type="spellEnd"/>
            <w:r>
              <w:t xml:space="preserve"> </w:t>
            </w:r>
            <w:proofErr w:type="spellStart"/>
            <w:r>
              <w:t>wdrażania</w:t>
            </w:r>
            <w:proofErr w:type="spellEnd"/>
            <w:r>
              <w:t xml:space="preserve"> IZ </w:t>
            </w:r>
            <w:proofErr w:type="spellStart"/>
            <w:r>
              <w:t>realizowała</w:t>
            </w:r>
            <w:proofErr w:type="spellEnd"/>
            <w:r>
              <w:t xml:space="preserve"> </w:t>
            </w:r>
            <w:proofErr w:type="spellStart"/>
            <w:r>
              <w:t>różne</w:t>
            </w:r>
            <w:proofErr w:type="spellEnd"/>
            <w:r>
              <w:t xml:space="preserve"> </w:t>
            </w:r>
            <w:proofErr w:type="spellStart"/>
            <w:r>
              <w:t>działania</w:t>
            </w:r>
            <w:proofErr w:type="spellEnd"/>
            <w:r>
              <w:t xml:space="preserve"> </w:t>
            </w:r>
            <w:proofErr w:type="spellStart"/>
            <w:r>
              <w:t>intensyfikacyjne</w:t>
            </w:r>
            <w:proofErr w:type="spellEnd"/>
            <w:r>
              <w:t xml:space="preserve">, np.: </w:t>
            </w:r>
            <w:proofErr w:type="spellStart"/>
            <w:r>
              <w:t>zwiększenie</w:t>
            </w:r>
            <w:proofErr w:type="spellEnd"/>
            <w:r>
              <w:t xml:space="preserve"> </w:t>
            </w:r>
            <w:proofErr w:type="spellStart"/>
            <w:r>
              <w:t>liczby</w:t>
            </w:r>
            <w:proofErr w:type="spellEnd"/>
            <w:r>
              <w:t xml:space="preserve"> </w:t>
            </w:r>
            <w:proofErr w:type="spellStart"/>
            <w:r>
              <w:t>konkursów</w:t>
            </w:r>
            <w:proofErr w:type="spellEnd"/>
            <w:r>
              <w:t xml:space="preserve">, </w:t>
            </w:r>
            <w:proofErr w:type="spellStart"/>
            <w:r>
              <w:t>działania</w:t>
            </w:r>
            <w:proofErr w:type="spellEnd"/>
            <w:r>
              <w:t xml:space="preserve"> </w:t>
            </w:r>
            <w:proofErr w:type="spellStart"/>
            <w:r>
              <w:t>informacyjno-promocyjne</w:t>
            </w:r>
            <w:proofErr w:type="spellEnd"/>
            <w:r>
              <w:t xml:space="preserve">, </w:t>
            </w:r>
            <w:proofErr w:type="spellStart"/>
            <w:r>
              <w:t>konsultacje</w:t>
            </w:r>
            <w:proofErr w:type="spellEnd"/>
            <w:r>
              <w:t xml:space="preserve"> i </w:t>
            </w:r>
            <w:proofErr w:type="spellStart"/>
            <w:r>
              <w:t>warsztaty</w:t>
            </w:r>
            <w:proofErr w:type="spellEnd"/>
            <w:r>
              <w:t>.</w:t>
            </w:r>
          </w:p>
          <w:p w14:paraId="59B96512" w14:textId="77777777" w:rsidR="006B2EC1" w:rsidRDefault="00E82A60" w:rsidP="00E82A60">
            <w:pPr>
              <w:numPr>
                <w:ilvl w:val="0"/>
                <w:numId w:val="55"/>
              </w:numPr>
              <w:spacing w:before="0" w:after="240"/>
              <w:ind w:hanging="210"/>
              <w:jc w:val="left"/>
            </w:pPr>
            <w:r>
              <w:t xml:space="preserve">W 2018r. </w:t>
            </w:r>
            <w:proofErr w:type="spellStart"/>
            <w:r>
              <w:t>wprowadzono</w:t>
            </w:r>
            <w:proofErr w:type="spellEnd"/>
            <w:r>
              <w:t xml:space="preserve"> </w:t>
            </w:r>
            <w:proofErr w:type="spellStart"/>
            <w:r>
              <w:t>zmiany</w:t>
            </w:r>
            <w:proofErr w:type="spellEnd"/>
            <w:r>
              <w:t xml:space="preserve"> do RPOWŚ, </w:t>
            </w:r>
            <w:proofErr w:type="spellStart"/>
            <w:r>
              <w:t>usprawniające</w:t>
            </w:r>
            <w:proofErr w:type="spellEnd"/>
            <w:r>
              <w:t xml:space="preserve"> </w:t>
            </w:r>
            <w:proofErr w:type="spellStart"/>
            <w:r>
              <w:t>wdrażanie</w:t>
            </w:r>
            <w:proofErr w:type="spellEnd"/>
            <w:r>
              <w:t xml:space="preserve"> OP9 w </w:t>
            </w:r>
            <w:proofErr w:type="spellStart"/>
            <w:r>
              <w:t>kolejnych</w:t>
            </w:r>
            <w:proofErr w:type="spellEnd"/>
            <w:r>
              <w:t xml:space="preserve"> </w:t>
            </w:r>
            <w:proofErr w:type="spellStart"/>
            <w:r>
              <w:t>latach</w:t>
            </w:r>
            <w:proofErr w:type="spellEnd"/>
            <w:r>
              <w:t xml:space="preserve"> (m.in. </w:t>
            </w:r>
            <w:proofErr w:type="spellStart"/>
            <w:r>
              <w:t>wprowadzono</w:t>
            </w:r>
            <w:proofErr w:type="spellEnd"/>
            <w:r>
              <w:t xml:space="preserve"> </w:t>
            </w:r>
            <w:proofErr w:type="spellStart"/>
            <w:r>
              <w:t>tryb</w:t>
            </w:r>
            <w:proofErr w:type="spellEnd"/>
            <w:r>
              <w:t xml:space="preserve"> </w:t>
            </w:r>
            <w:proofErr w:type="spellStart"/>
            <w:r>
              <w:t>pozakonkursowy</w:t>
            </w:r>
            <w:proofErr w:type="spellEnd"/>
            <w:r>
              <w:t xml:space="preserve"> w PI9i i PI9iv). W </w:t>
            </w:r>
            <w:proofErr w:type="spellStart"/>
            <w:r>
              <w:t>konsekwencji</w:t>
            </w:r>
            <w:proofErr w:type="spellEnd"/>
            <w:r>
              <w:t xml:space="preserve"> </w:t>
            </w:r>
            <w:proofErr w:type="spellStart"/>
            <w:r>
              <w:t>udało</w:t>
            </w:r>
            <w:proofErr w:type="spellEnd"/>
            <w:r>
              <w:t xml:space="preserve"> </w:t>
            </w:r>
            <w:proofErr w:type="spellStart"/>
            <w:r>
              <w:t>się</w:t>
            </w:r>
            <w:proofErr w:type="spellEnd"/>
            <w:r>
              <w:t xml:space="preserve"> </w:t>
            </w:r>
            <w:proofErr w:type="spellStart"/>
            <w:r>
              <w:t>przyspieszyć</w:t>
            </w:r>
            <w:proofErr w:type="spellEnd"/>
            <w:r>
              <w:t xml:space="preserve"> </w:t>
            </w:r>
            <w:proofErr w:type="spellStart"/>
            <w:r>
              <w:t>kontraktację</w:t>
            </w:r>
            <w:proofErr w:type="spellEnd"/>
            <w:r>
              <w:t xml:space="preserve"> i </w:t>
            </w:r>
            <w:proofErr w:type="spellStart"/>
            <w:r>
              <w:t>certyfikację</w:t>
            </w:r>
            <w:proofErr w:type="spellEnd"/>
            <w:r>
              <w:t xml:space="preserve"> OP 9.</w:t>
            </w:r>
          </w:p>
          <w:p w14:paraId="386753A2" w14:textId="77777777" w:rsidR="008C5CFA" w:rsidRPr="00716FAF" w:rsidRDefault="008C5CFA" w:rsidP="00300A01">
            <w:pPr>
              <w:pStyle w:val="Text1"/>
              <w:spacing w:before="0" w:after="0"/>
              <w:ind w:left="0"/>
              <w:rPr>
                <w:lang w:val="fr-BE"/>
              </w:rPr>
            </w:pPr>
          </w:p>
        </w:tc>
      </w:tr>
    </w:tbl>
    <w:p w14:paraId="7744348F" w14:textId="77777777" w:rsidR="008C5CFA" w:rsidRDefault="008C5CFA" w:rsidP="00300A01">
      <w:pPr>
        <w:pStyle w:val="Text1"/>
        <w:spacing w:before="0" w:after="0"/>
        <w:ind w:left="0"/>
        <w:rPr>
          <w:lang w:val="fr-BE"/>
        </w:rPr>
      </w:pPr>
    </w:p>
    <w:p w14:paraId="0EA142DF" w14:textId="1BC69A2D" w:rsidR="008C5CFA" w:rsidRDefault="00E82A60" w:rsidP="00E82A60">
      <w:pPr>
        <w:pStyle w:val="Nagwek1"/>
        <w:numPr>
          <w:ilvl w:val="0"/>
          <w:numId w:val="36"/>
        </w:numPr>
        <w:tabs>
          <w:tab w:val="clear" w:pos="992"/>
          <w:tab w:val="num" w:pos="0"/>
        </w:tabs>
        <w:spacing w:before="0" w:after="0"/>
        <w:ind w:left="0" w:firstLine="0"/>
        <w:jc w:val="left"/>
      </w:pPr>
      <w:r>
        <w:br w:type="page"/>
      </w:r>
      <w:bookmarkStart w:id="94" w:name="_Toc46391778"/>
      <w:r>
        <w:rPr>
          <w:noProof/>
        </w:rPr>
        <w:lastRenderedPageBreak/>
        <w:t>STRESZCZENIE PODAWANE DO WIADOMOŚCI PUBLICZNEJ</w:t>
      </w:r>
      <w:r w:rsidR="008E4C74">
        <w:rPr>
          <w:noProof/>
        </w:rPr>
        <w:t xml:space="preserve"> – Stanowi odrębny załącznik do dokumantu.</w:t>
      </w:r>
      <w:bookmarkEnd w:id="94"/>
    </w:p>
    <w:p w14:paraId="5B8F0E4C" w14:textId="77777777" w:rsidR="008C5CFA" w:rsidRDefault="008C5CFA" w:rsidP="00300A01">
      <w:pPr>
        <w:pStyle w:val="Text1"/>
        <w:spacing w:before="0" w:after="0"/>
        <w:ind w:left="0"/>
        <w:rPr>
          <w:lang w:val="fr-BE"/>
        </w:rPr>
      </w:pPr>
    </w:p>
    <w:p w14:paraId="1A2456AC" w14:textId="77777777" w:rsidR="008C5CFA" w:rsidRPr="00651D0D" w:rsidRDefault="00E82A60" w:rsidP="00300A01">
      <w:pPr>
        <w:pStyle w:val="Text1"/>
        <w:spacing w:before="0" w:after="0"/>
        <w:ind w:left="0"/>
      </w:pPr>
      <w:r w:rsidRPr="00651D0D">
        <w:rPr>
          <w:noProof/>
        </w:rPr>
        <w:t>Streszczenie treści rocznych i końcowych sprawozdań z wdrażania należy opublikować i przekazać jako oddzielny plik w postaci załącznika do rocznego i końcowego sprawozdania z wdrażania.</w:t>
      </w:r>
    </w:p>
    <w:p w14:paraId="7F1DCEE2" w14:textId="77777777" w:rsidR="008C5CFA" w:rsidRPr="00651D0D" w:rsidRDefault="008C5CFA" w:rsidP="00300A01">
      <w:pPr>
        <w:pStyle w:val="Text1"/>
        <w:spacing w:before="0" w:after="0"/>
        <w:ind w:left="0"/>
      </w:pPr>
    </w:p>
    <w:p w14:paraId="3596C277" w14:textId="77777777" w:rsidR="008C5CFA" w:rsidRPr="00651D0D" w:rsidRDefault="00E82A60" w:rsidP="00300A01">
      <w:pPr>
        <w:pStyle w:val="Text1"/>
        <w:spacing w:before="0" w:after="0"/>
        <w:ind w:left="0"/>
      </w:pPr>
      <w:r w:rsidRPr="00651D0D">
        <w:rPr>
          <w:noProof/>
        </w:rPr>
        <w:t>Możesz przesłać/znaleźć streszczenie podawane do wiadomości publicznej w menu Ogólne &gt; Dokumenty aplikacji SFC2014.</w:t>
      </w:r>
    </w:p>
    <w:p w14:paraId="73AF2D90" w14:textId="77777777" w:rsidR="008C5CFA" w:rsidRDefault="00E82A60" w:rsidP="00300A01">
      <w:pPr>
        <w:pStyle w:val="Nagwek1"/>
        <w:numPr>
          <w:ilvl w:val="0"/>
          <w:numId w:val="33"/>
        </w:numPr>
        <w:tabs>
          <w:tab w:val="clear" w:pos="992"/>
          <w:tab w:val="num" w:pos="0"/>
        </w:tabs>
        <w:spacing w:before="0" w:after="0"/>
        <w:ind w:left="0" w:firstLine="0"/>
        <w:jc w:val="left"/>
      </w:pPr>
      <w:r w:rsidRPr="00651D0D">
        <w:br w:type="page"/>
      </w:r>
      <w:bookmarkStart w:id="95" w:name="_Toc46391779"/>
      <w:r>
        <w:rPr>
          <w:noProof/>
        </w:rPr>
        <w:lastRenderedPageBreak/>
        <w:t>SPRAWOZDANIE Z WDRAŻANIA INSTRUMENTÓW FINANSOWYCH</w:t>
      </w:r>
      <w:bookmarkEnd w:id="95"/>
    </w:p>
    <w:p w14:paraId="2273E174" w14:textId="77777777" w:rsidR="008C5CFA" w:rsidRDefault="008C5CFA" w:rsidP="00300A01">
      <w:pPr>
        <w:spacing w:before="0" w:after="0"/>
      </w:pPr>
    </w:p>
    <w:p w14:paraId="529CE798" w14:textId="77777777" w:rsidR="006B2EC1" w:rsidRDefault="006B2EC1"/>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2"/>
        <w:gridCol w:w="3870"/>
      </w:tblGrid>
      <w:tr w:rsidR="006B2EC1" w14:paraId="515A6250" w14:textId="77777777" w:rsidTr="0047688D">
        <w:tc>
          <w:tcPr>
            <w:tcW w:w="0" w:type="auto"/>
            <w:gridSpan w:val="2"/>
            <w:shd w:val="clear" w:color="auto" w:fill="auto"/>
          </w:tcPr>
          <w:p w14:paraId="686DA4DB" w14:textId="77777777" w:rsidR="008C5CFA" w:rsidRDefault="00E82A60" w:rsidP="00300A01">
            <w:pPr>
              <w:spacing w:before="0" w:after="0"/>
            </w:pPr>
            <w:bookmarkStart w:id="96" w:name="bkmrkVerMer1"/>
            <w:bookmarkEnd w:id="96"/>
            <w:r>
              <w:rPr>
                <w:b/>
              </w:rPr>
              <w:t xml:space="preserve">I. </w:t>
            </w:r>
            <w:proofErr w:type="spellStart"/>
            <w:r>
              <w:rPr>
                <w:b/>
              </w:rPr>
              <w:t>Określenie</w:t>
            </w:r>
            <w:proofErr w:type="spellEnd"/>
            <w:r>
              <w:rPr>
                <w:b/>
              </w:rPr>
              <w:t xml:space="preserve"> </w:t>
            </w:r>
            <w:proofErr w:type="spellStart"/>
            <w:r>
              <w:rPr>
                <w:b/>
              </w:rPr>
              <w:t>programu</w:t>
            </w:r>
            <w:proofErr w:type="spellEnd"/>
            <w:r>
              <w:rPr>
                <w:b/>
              </w:rPr>
              <w:t xml:space="preserve"> i </w:t>
            </w:r>
            <w:proofErr w:type="spellStart"/>
            <w:r>
              <w:rPr>
                <w:b/>
              </w:rPr>
              <w:t>priorytetu</w:t>
            </w:r>
            <w:proofErr w:type="spellEnd"/>
            <w:r>
              <w:rPr>
                <w:b/>
              </w:rPr>
              <w:t xml:space="preserve"> </w:t>
            </w:r>
            <w:proofErr w:type="spellStart"/>
            <w:r>
              <w:rPr>
                <w:b/>
              </w:rPr>
              <w:t>lub</w:t>
            </w:r>
            <w:proofErr w:type="spellEnd"/>
            <w:r>
              <w:rPr>
                <w:b/>
              </w:rPr>
              <w:t xml:space="preserve"> </w:t>
            </w:r>
            <w:proofErr w:type="spellStart"/>
            <w:r>
              <w:rPr>
                <w:b/>
              </w:rPr>
              <w:t>środka</w:t>
            </w:r>
            <w:proofErr w:type="spellEnd"/>
            <w:r>
              <w:rPr>
                <w:b/>
              </w:rPr>
              <w:t xml:space="preserve">, z </w:t>
            </w:r>
            <w:proofErr w:type="spellStart"/>
            <w:r>
              <w:rPr>
                <w:b/>
              </w:rPr>
              <w:t>których</w:t>
            </w:r>
            <w:proofErr w:type="spellEnd"/>
            <w:r>
              <w:rPr>
                <w:b/>
              </w:rPr>
              <w:t xml:space="preserve"> </w:t>
            </w:r>
            <w:proofErr w:type="spellStart"/>
            <w:r>
              <w:rPr>
                <w:b/>
              </w:rPr>
              <w:t>udzielane</w:t>
            </w:r>
            <w:proofErr w:type="spellEnd"/>
            <w:r>
              <w:rPr>
                <w:b/>
              </w:rPr>
              <w:t xml:space="preserve"> jest </w:t>
            </w:r>
            <w:proofErr w:type="spellStart"/>
            <w:r>
              <w:rPr>
                <w:b/>
              </w:rPr>
              <w:t>wsparcie</w:t>
            </w:r>
            <w:proofErr w:type="spellEnd"/>
            <w:r>
              <w:rPr>
                <w:b/>
              </w:rPr>
              <w:t xml:space="preserve"> z EFSI (art. 46 </w:t>
            </w:r>
            <w:proofErr w:type="spellStart"/>
            <w:r>
              <w:rPr>
                <w:b/>
              </w:rPr>
              <w:t>ust</w:t>
            </w:r>
            <w:proofErr w:type="spellEnd"/>
            <w:r>
              <w:rPr>
                <w:b/>
              </w:rPr>
              <w:t xml:space="preserve">. 2 lit. a) </w:t>
            </w:r>
            <w:proofErr w:type="spellStart"/>
            <w:r>
              <w:rPr>
                <w:b/>
              </w:rPr>
              <w:t>rozporządzenia</w:t>
            </w:r>
            <w:proofErr w:type="spellEnd"/>
            <w:r>
              <w:rPr>
                <w:b/>
              </w:rPr>
              <w:t xml:space="preserve"> (UE) nr 1303/2013)</w:t>
            </w:r>
          </w:p>
        </w:tc>
      </w:tr>
      <w:tr w:rsidR="006B2EC1" w14:paraId="5DC56302" w14:textId="77777777" w:rsidTr="0047688D">
        <w:tc>
          <w:tcPr>
            <w:tcW w:w="0" w:type="auto"/>
            <w:gridSpan w:val="2"/>
            <w:shd w:val="clear" w:color="auto" w:fill="auto"/>
          </w:tcPr>
          <w:p w14:paraId="137A8177" w14:textId="77777777" w:rsidR="008C5CFA" w:rsidRDefault="00E82A60" w:rsidP="00300A01">
            <w:pPr>
              <w:spacing w:before="0" w:after="0"/>
            </w:pPr>
            <w:r>
              <w:rPr>
                <w:b/>
              </w:rPr>
              <w:t xml:space="preserve">1. </w:t>
            </w:r>
            <w:proofErr w:type="spellStart"/>
            <w:r>
              <w:rPr>
                <w:b/>
              </w:rPr>
              <w:t>Osie</w:t>
            </w:r>
            <w:proofErr w:type="spellEnd"/>
            <w:r>
              <w:rPr>
                <w:b/>
              </w:rPr>
              <w:t xml:space="preserve"> </w:t>
            </w:r>
            <w:proofErr w:type="spellStart"/>
            <w:r>
              <w:rPr>
                <w:b/>
              </w:rPr>
              <w:t>priorytetowe</w:t>
            </w:r>
            <w:proofErr w:type="spellEnd"/>
            <w:r>
              <w:rPr>
                <w:b/>
              </w:rPr>
              <w:t xml:space="preserve"> </w:t>
            </w:r>
            <w:proofErr w:type="spellStart"/>
            <w:r>
              <w:rPr>
                <w:b/>
              </w:rPr>
              <w:t>lub</w:t>
            </w:r>
            <w:proofErr w:type="spellEnd"/>
            <w:r>
              <w:rPr>
                <w:b/>
              </w:rPr>
              <w:t xml:space="preserve"> </w:t>
            </w:r>
            <w:proofErr w:type="spellStart"/>
            <w:r>
              <w:rPr>
                <w:b/>
              </w:rPr>
              <w:t>środki</w:t>
            </w:r>
            <w:proofErr w:type="spellEnd"/>
            <w:r>
              <w:rPr>
                <w:b/>
              </w:rPr>
              <w:t xml:space="preserve"> </w:t>
            </w:r>
            <w:proofErr w:type="spellStart"/>
            <w:r>
              <w:rPr>
                <w:b/>
              </w:rPr>
              <w:t>wspierające</w:t>
            </w:r>
            <w:proofErr w:type="spellEnd"/>
            <w:r>
              <w:rPr>
                <w:b/>
              </w:rPr>
              <w:t xml:space="preserve"> instrument </w:t>
            </w:r>
            <w:proofErr w:type="spellStart"/>
            <w:r>
              <w:rPr>
                <w:b/>
              </w:rPr>
              <w:t>finansowy</w:t>
            </w:r>
            <w:proofErr w:type="spellEnd"/>
            <w:r>
              <w:rPr>
                <w:b/>
              </w:rPr>
              <w:t xml:space="preserve">, w </w:t>
            </w:r>
            <w:proofErr w:type="spellStart"/>
            <w:r>
              <w:rPr>
                <w:b/>
              </w:rPr>
              <w:t>tym</w:t>
            </w:r>
            <w:proofErr w:type="spellEnd"/>
            <w:r>
              <w:rPr>
                <w:b/>
              </w:rPr>
              <w:t xml:space="preserve"> </w:t>
            </w:r>
            <w:proofErr w:type="spellStart"/>
            <w:r>
              <w:rPr>
                <w:b/>
              </w:rPr>
              <w:t>fundusz</w:t>
            </w:r>
            <w:proofErr w:type="spellEnd"/>
            <w:r>
              <w:rPr>
                <w:b/>
              </w:rPr>
              <w:t xml:space="preserve"> </w:t>
            </w:r>
            <w:proofErr w:type="spellStart"/>
            <w:r>
              <w:rPr>
                <w:b/>
              </w:rPr>
              <w:t>funduszy</w:t>
            </w:r>
            <w:proofErr w:type="spellEnd"/>
            <w:r>
              <w:rPr>
                <w:b/>
              </w:rPr>
              <w:t xml:space="preserve">, w </w:t>
            </w:r>
            <w:proofErr w:type="spellStart"/>
            <w:r>
              <w:rPr>
                <w:b/>
              </w:rPr>
              <w:t>ramach</w:t>
            </w:r>
            <w:proofErr w:type="spellEnd"/>
            <w:r>
              <w:rPr>
                <w:b/>
              </w:rPr>
              <w:t xml:space="preserve"> </w:t>
            </w:r>
            <w:proofErr w:type="spellStart"/>
            <w:r>
              <w:rPr>
                <w:b/>
              </w:rPr>
              <w:t>programu</w:t>
            </w:r>
            <w:proofErr w:type="spellEnd"/>
            <w:r>
              <w:rPr>
                <w:b/>
              </w:rPr>
              <w:t xml:space="preserve"> </w:t>
            </w:r>
            <w:proofErr w:type="spellStart"/>
            <w:r>
              <w:rPr>
                <w:b/>
              </w:rPr>
              <w:t>finansowanego</w:t>
            </w:r>
            <w:proofErr w:type="spellEnd"/>
            <w:r>
              <w:rPr>
                <w:b/>
              </w:rPr>
              <w:t xml:space="preserve"> z EFSI</w:t>
            </w:r>
          </w:p>
        </w:tc>
      </w:tr>
      <w:tr w:rsidR="006B2EC1" w14:paraId="3BF158E9" w14:textId="77777777" w:rsidTr="0047688D">
        <w:tc>
          <w:tcPr>
            <w:tcW w:w="0" w:type="auto"/>
            <w:shd w:val="clear" w:color="auto" w:fill="auto"/>
          </w:tcPr>
          <w:p w14:paraId="78742714" w14:textId="77777777" w:rsidR="008C5CFA" w:rsidRDefault="00E82A60" w:rsidP="00300A01">
            <w:pPr>
              <w:spacing w:before="0" w:after="0"/>
            </w:pPr>
            <w:r>
              <w:t xml:space="preserve">1.1. </w:t>
            </w:r>
            <w:proofErr w:type="spellStart"/>
            <w:r>
              <w:t>Oś</w:t>
            </w:r>
            <w:proofErr w:type="spellEnd"/>
            <w:r>
              <w:t xml:space="preserve"> </w:t>
            </w:r>
            <w:proofErr w:type="spellStart"/>
            <w:r>
              <w:t>priorytetowa</w:t>
            </w:r>
            <w:proofErr w:type="spellEnd"/>
            <w:r>
              <w:t xml:space="preserve"> </w:t>
            </w:r>
            <w:proofErr w:type="spellStart"/>
            <w:r>
              <w:t>wspierająca</w:t>
            </w:r>
            <w:proofErr w:type="spellEnd"/>
            <w:r>
              <w:t xml:space="preserve"> instrument </w:t>
            </w:r>
            <w:proofErr w:type="spellStart"/>
            <w:r>
              <w:t>finansowy</w:t>
            </w:r>
            <w:proofErr w:type="spellEnd"/>
            <w:r>
              <w:t xml:space="preserve"> w </w:t>
            </w:r>
            <w:proofErr w:type="spellStart"/>
            <w:r>
              <w:t>ramach</w:t>
            </w:r>
            <w:proofErr w:type="spellEnd"/>
            <w:r>
              <w:t xml:space="preserve"> </w:t>
            </w:r>
            <w:proofErr w:type="spellStart"/>
            <w:r>
              <w:t>programu</w:t>
            </w:r>
            <w:proofErr w:type="spellEnd"/>
            <w:r>
              <w:t xml:space="preserve"> </w:t>
            </w:r>
            <w:proofErr w:type="spellStart"/>
            <w:r>
              <w:t>finansowanego</w:t>
            </w:r>
            <w:proofErr w:type="spellEnd"/>
            <w:r>
              <w:t xml:space="preserve"> z EFSI </w:t>
            </w:r>
          </w:p>
        </w:tc>
        <w:tc>
          <w:tcPr>
            <w:tcW w:w="0" w:type="auto"/>
            <w:shd w:val="clear" w:color="auto" w:fill="auto"/>
          </w:tcPr>
          <w:p w14:paraId="1B0C24ED" w14:textId="77777777" w:rsidR="008C5CFA" w:rsidRDefault="00E82A60" w:rsidP="00300A01">
            <w:pPr>
              <w:spacing w:before="0" w:after="0"/>
              <w:jc w:val="left"/>
            </w:pPr>
            <w:r>
              <w:t xml:space="preserve">2 - </w:t>
            </w:r>
            <w:proofErr w:type="spellStart"/>
            <w:r>
              <w:t>Konkurencyjna</w:t>
            </w:r>
            <w:proofErr w:type="spellEnd"/>
            <w:r>
              <w:t xml:space="preserve"> </w:t>
            </w:r>
            <w:proofErr w:type="spellStart"/>
            <w:r>
              <w:t>gospodarka</w:t>
            </w:r>
            <w:proofErr w:type="spellEnd"/>
          </w:p>
        </w:tc>
      </w:tr>
      <w:tr w:rsidR="006B2EC1" w14:paraId="7E27518F" w14:textId="77777777" w:rsidTr="0047688D">
        <w:tc>
          <w:tcPr>
            <w:tcW w:w="0" w:type="auto"/>
            <w:shd w:val="clear" w:color="auto" w:fill="auto"/>
          </w:tcPr>
          <w:p w14:paraId="34ECC10E" w14:textId="77777777" w:rsidR="008C5CFA" w:rsidRDefault="00E82A60" w:rsidP="00300A01">
            <w:pPr>
              <w:spacing w:before="0" w:after="0"/>
            </w:pPr>
            <w:r>
              <w:t xml:space="preserve">2. </w:t>
            </w:r>
            <w:proofErr w:type="spellStart"/>
            <w:r>
              <w:t>Nazwa</w:t>
            </w:r>
            <w:proofErr w:type="spellEnd"/>
            <w:r>
              <w:t xml:space="preserve"> </w:t>
            </w:r>
            <w:proofErr w:type="spellStart"/>
            <w:r>
              <w:t>funduszu</w:t>
            </w:r>
            <w:proofErr w:type="spellEnd"/>
            <w:r>
              <w:t xml:space="preserve"> (</w:t>
            </w:r>
            <w:proofErr w:type="spellStart"/>
            <w:r>
              <w:t>funduszy</w:t>
            </w:r>
            <w:proofErr w:type="spellEnd"/>
            <w:r>
              <w:t xml:space="preserve">) EFSI </w:t>
            </w:r>
            <w:proofErr w:type="spellStart"/>
            <w:r>
              <w:t>wspierającego</w:t>
            </w:r>
            <w:proofErr w:type="spellEnd"/>
            <w:r>
              <w:t>(-</w:t>
            </w:r>
            <w:proofErr w:type="spellStart"/>
            <w:r>
              <w:t>ych</w:t>
            </w:r>
            <w:proofErr w:type="spellEnd"/>
            <w:r>
              <w:t xml:space="preserve">) instrument </w:t>
            </w:r>
            <w:proofErr w:type="spellStart"/>
            <w:r>
              <w:t>finansowy</w:t>
            </w:r>
            <w:proofErr w:type="spellEnd"/>
            <w:r>
              <w:t xml:space="preserve"> w </w:t>
            </w:r>
            <w:proofErr w:type="spellStart"/>
            <w:r>
              <w:t>ramach</w:t>
            </w:r>
            <w:proofErr w:type="spellEnd"/>
            <w:r>
              <w:t xml:space="preserve"> </w:t>
            </w:r>
            <w:proofErr w:type="spellStart"/>
            <w:r>
              <w:t>osi</w:t>
            </w:r>
            <w:proofErr w:type="spellEnd"/>
            <w:r>
              <w:t xml:space="preserve"> </w:t>
            </w:r>
            <w:proofErr w:type="spellStart"/>
            <w:r>
              <w:t>priorytetowej</w:t>
            </w:r>
            <w:proofErr w:type="spellEnd"/>
            <w:r>
              <w:t xml:space="preserve"> </w:t>
            </w:r>
            <w:proofErr w:type="spellStart"/>
            <w:r>
              <w:t>lub</w:t>
            </w:r>
            <w:proofErr w:type="spellEnd"/>
            <w:r>
              <w:t xml:space="preserve"> </w:t>
            </w:r>
            <w:proofErr w:type="spellStart"/>
            <w:r>
              <w:t>środka</w:t>
            </w:r>
            <w:proofErr w:type="spellEnd"/>
          </w:p>
        </w:tc>
        <w:tc>
          <w:tcPr>
            <w:tcW w:w="0" w:type="auto"/>
            <w:shd w:val="clear" w:color="auto" w:fill="auto"/>
          </w:tcPr>
          <w:p w14:paraId="79B70AD4" w14:textId="77777777" w:rsidR="008C5CFA" w:rsidRDefault="00E82A60" w:rsidP="00300A01">
            <w:pPr>
              <w:spacing w:before="0" w:after="0"/>
              <w:jc w:val="left"/>
            </w:pPr>
            <w:r>
              <w:t>EFRR</w:t>
            </w:r>
          </w:p>
        </w:tc>
      </w:tr>
      <w:tr w:rsidR="006B2EC1" w14:paraId="6C2728BE" w14:textId="77777777" w:rsidTr="0047688D">
        <w:tc>
          <w:tcPr>
            <w:tcW w:w="0" w:type="auto"/>
            <w:shd w:val="clear" w:color="auto" w:fill="auto"/>
          </w:tcPr>
          <w:p w14:paraId="4570E68A" w14:textId="77777777" w:rsidR="008C5CFA" w:rsidRDefault="00E82A60" w:rsidP="00300A01">
            <w:pPr>
              <w:spacing w:before="0" w:after="0"/>
            </w:pPr>
            <w:r>
              <w:rPr>
                <w:b/>
                <w:i/>
              </w:rPr>
              <w:t xml:space="preserve">3. </w:t>
            </w:r>
            <w:proofErr w:type="spellStart"/>
            <w:r>
              <w:rPr>
                <w:b/>
                <w:i/>
              </w:rPr>
              <w:t>Cel</w:t>
            </w:r>
            <w:proofErr w:type="spellEnd"/>
            <w:r>
              <w:rPr>
                <w:b/>
                <w:i/>
              </w:rPr>
              <w:t xml:space="preserve">(-e) </w:t>
            </w:r>
            <w:proofErr w:type="spellStart"/>
            <w:r>
              <w:rPr>
                <w:b/>
                <w:i/>
              </w:rPr>
              <w:t>tematyczny</w:t>
            </w:r>
            <w:proofErr w:type="spellEnd"/>
            <w:r>
              <w:rPr>
                <w:b/>
                <w:i/>
              </w:rPr>
              <w:t xml:space="preserve">(-e), o </w:t>
            </w:r>
            <w:proofErr w:type="spellStart"/>
            <w:r>
              <w:rPr>
                <w:b/>
                <w:i/>
              </w:rPr>
              <w:t>którym</w:t>
            </w:r>
            <w:proofErr w:type="spellEnd"/>
            <w:r>
              <w:rPr>
                <w:b/>
                <w:i/>
              </w:rPr>
              <w:t>(-</w:t>
            </w:r>
            <w:proofErr w:type="spellStart"/>
            <w:r>
              <w:rPr>
                <w:b/>
                <w:i/>
              </w:rPr>
              <w:t>ych</w:t>
            </w:r>
            <w:proofErr w:type="spellEnd"/>
            <w:r>
              <w:rPr>
                <w:b/>
                <w:i/>
              </w:rPr>
              <w:t xml:space="preserve">) </w:t>
            </w:r>
            <w:proofErr w:type="spellStart"/>
            <w:r>
              <w:rPr>
                <w:b/>
                <w:i/>
              </w:rPr>
              <w:t>mowa</w:t>
            </w:r>
            <w:proofErr w:type="spellEnd"/>
            <w:r>
              <w:rPr>
                <w:b/>
                <w:i/>
              </w:rPr>
              <w:t xml:space="preserve"> w art. 9 </w:t>
            </w:r>
            <w:proofErr w:type="spellStart"/>
            <w:r>
              <w:rPr>
                <w:b/>
                <w:i/>
              </w:rPr>
              <w:t>akapit</w:t>
            </w:r>
            <w:proofErr w:type="spellEnd"/>
            <w:r>
              <w:rPr>
                <w:b/>
                <w:i/>
              </w:rPr>
              <w:t xml:space="preserve"> </w:t>
            </w:r>
            <w:proofErr w:type="spellStart"/>
            <w:r>
              <w:rPr>
                <w:b/>
                <w:i/>
              </w:rPr>
              <w:t>pierwszy</w:t>
            </w:r>
            <w:proofErr w:type="spellEnd"/>
            <w:r>
              <w:rPr>
                <w:b/>
                <w:i/>
              </w:rPr>
              <w:t xml:space="preserve"> </w:t>
            </w:r>
            <w:proofErr w:type="spellStart"/>
            <w:r>
              <w:rPr>
                <w:b/>
                <w:i/>
              </w:rPr>
              <w:t>rozporządzenia</w:t>
            </w:r>
            <w:proofErr w:type="spellEnd"/>
            <w:r>
              <w:rPr>
                <w:b/>
                <w:i/>
              </w:rPr>
              <w:t xml:space="preserve"> (UE) nr 1303/2013, </w:t>
            </w:r>
            <w:proofErr w:type="spellStart"/>
            <w:r>
              <w:rPr>
                <w:b/>
                <w:i/>
              </w:rPr>
              <w:t>wspierany</w:t>
            </w:r>
            <w:proofErr w:type="spellEnd"/>
            <w:r>
              <w:rPr>
                <w:b/>
                <w:i/>
              </w:rPr>
              <w:t xml:space="preserve">(-e) z </w:t>
            </w:r>
            <w:proofErr w:type="spellStart"/>
            <w:r>
              <w:rPr>
                <w:b/>
                <w:i/>
              </w:rPr>
              <w:t>instrumentu</w:t>
            </w:r>
            <w:proofErr w:type="spellEnd"/>
            <w:r>
              <w:rPr>
                <w:b/>
                <w:i/>
              </w:rPr>
              <w:t xml:space="preserve"> </w:t>
            </w:r>
            <w:proofErr w:type="spellStart"/>
            <w:r>
              <w:rPr>
                <w:b/>
                <w:i/>
              </w:rPr>
              <w:t>finansowego</w:t>
            </w:r>
            <w:proofErr w:type="spellEnd"/>
          </w:p>
        </w:tc>
        <w:tc>
          <w:tcPr>
            <w:tcW w:w="0" w:type="auto"/>
            <w:shd w:val="clear" w:color="auto" w:fill="auto"/>
          </w:tcPr>
          <w:p w14:paraId="17492543" w14:textId="77777777" w:rsidR="008C5CFA" w:rsidRDefault="00E82A60" w:rsidP="00300A01">
            <w:pPr>
              <w:spacing w:before="0" w:after="0"/>
              <w:jc w:val="left"/>
            </w:pPr>
            <w:r>
              <w:rPr>
                <w:b/>
                <w:i/>
              </w:rPr>
              <w:t xml:space="preserve">03 - </w:t>
            </w:r>
            <w:proofErr w:type="spellStart"/>
            <w:r>
              <w:rPr>
                <w:b/>
                <w:i/>
              </w:rPr>
              <w:t>Wzmacnianie</w:t>
            </w:r>
            <w:proofErr w:type="spellEnd"/>
            <w:r>
              <w:rPr>
                <w:b/>
                <w:i/>
              </w:rPr>
              <w:t xml:space="preserve"> </w:t>
            </w:r>
            <w:proofErr w:type="spellStart"/>
            <w:r>
              <w:rPr>
                <w:b/>
                <w:i/>
              </w:rPr>
              <w:t>konkurencyjności</w:t>
            </w:r>
            <w:proofErr w:type="spellEnd"/>
            <w:r>
              <w:rPr>
                <w:b/>
                <w:i/>
              </w:rPr>
              <w:t xml:space="preserve"> </w:t>
            </w:r>
            <w:proofErr w:type="spellStart"/>
            <w:r>
              <w:rPr>
                <w:b/>
                <w:i/>
              </w:rPr>
              <w:t>małych</w:t>
            </w:r>
            <w:proofErr w:type="spellEnd"/>
            <w:r>
              <w:rPr>
                <w:b/>
                <w:i/>
              </w:rPr>
              <w:t xml:space="preserve"> i </w:t>
            </w:r>
            <w:proofErr w:type="spellStart"/>
            <w:r>
              <w:rPr>
                <w:b/>
                <w:i/>
              </w:rPr>
              <w:t>średnich</w:t>
            </w:r>
            <w:proofErr w:type="spellEnd"/>
            <w:r>
              <w:rPr>
                <w:b/>
                <w:i/>
              </w:rPr>
              <w:t xml:space="preserve"> </w:t>
            </w:r>
            <w:proofErr w:type="spellStart"/>
            <w:r>
              <w:rPr>
                <w:b/>
                <w:i/>
              </w:rPr>
              <w:t>przedsiębiorstw</w:t>
            </w:r>
            <w:proofErr w:type="spellEnd"/>
            <w:r>
              <w:rPr>
                <w:b/>
                <w:i/>
              </w:rPr>
              <w:t xml:space="preserve">, </w:t>
            </w:r>
            <w:proofErr w:type="spellStart"/>
            <w:r>
              <w:rPr>
                <w:b/>
                <w:i/>
              </w:rPr>
              <w:t>sektora</w:t>
            </w:r>
            <w:proofErr w:type="spellEnd"/>
            <w:r>
              <w:rPr>
                <w:b/>
                <w:i/>
              </w:rPr>
              <w:t xml:space="preserve"> </w:t>
            </w:r>
            <w:proofErr w:type="spellStart"/>
            <w:r>
              <w:rPr>
                <w:b/>
                <w:i/>
              </w:rPr>
              <w:t>rolnego</w:t>
            </w:r>
            <w:proofErr w:type="spellEnd"/>
            <w:r>
              <w:rPr>
                <w:b/>
                <w:i/>
              </w:rPr>
              <w:t xml:space="preserve"> (w </w:t>
            </w:r>
            <w:proofErr w:type="spellStart"/>
            <w:r>
              <w:rPr>
                <w:b/>
                <w:i/>
              </w:rPr>
              <w:t>odniesieniu</w:t>
            </w:r>
            <w:proofErr w:type="spellEnd"/>
            <w:r>
              <w:rPr>
                <w:b/>
                <w:i/>
              </w:rPr>
              <w:t xml:space="preserve"> do EFRROW) </w:t>
            </w:r>
            <w:proofErr w:type="spellStart"/>
            <w:r>
              <w:rPr>
                <w:b/>
                <w:i/>
              </w:rPr>
              <w:t>oraz</w:t>
            </w:r>
            <w:proofErr w:type="spellEnd"/>
            <w:r>
              <w:rPr>
                <w:b/>
                <w:i/>
              </w:rPr>
              <w:t xml:space="preserve"> </w:t>
            </w:r>
            <w:proofErr w:type="spellStart"/>
            <w:r>
              <w:rPr>
                <w:b/>
                <w:i/>
              </w:rPr>
              <w:t>sektora</w:t>
            </w:r>
            <w:proofErr w:type="spellEnd"/>
            <w:r>
              <w:rPr>
                <w:b/>
                <w:i/>
              </w:rPr>
              <w:t xml:space="preserve"> </w:t>
            </w:r>
            <w:proofErr w:type="spellStart"/>
            <w:r>
              <w:rPr>
                <w:b/>
                <w:i/>
              </w:rPr>
              <w:t>rybołówstwa</w:t>
            </w:r>
            <w:proofErr w:type="spellEnd"/>
            <w:r>
              <w:rPr>
                <w:b/>
                <w:i/>
              </w:rPr>
              <w:t xml:space="preserve"> i </w:t>
            </w:r>
            <w:proofErr w:type="spellStart"/>
            <w:r>
              <w:rPr>
                <w:b/>
                <w:i/>
              </w:rPr>
              <w:t>akwakultury</w:t>
            </w:r>
            <w:proofErr w:type="spellEnd"/>
            <w:r>
              <w:rPr>
                <w:b/>
                <w:i/>
              </w:rPr>
              <w:t xml:space="preserve"> (w </w:t>
            </w:r>
            <w:proofErr w:type="spellStart"/>
            <w:r>
              <w:rPr>
                <w:b/>
                <w:i/>
              </w:rPr>
              <w:t>odniesieniu</w:t>
            </w:r>
            <w:proofErr w:type="spellEnd"/>
            <w:r>
              <w:rPr>
                <w:b/>
                <w:i/>
              </w:rPr>
              <w:t xml:space="preserve"> do EFMR)</w:t>
            </w:r>
          </w:p>
        </w:tc>
      </w:tr>
      <w:tr w:rsidR="006B2EC1" w14:paraId="66A4ED20" w14:textId="77777777" w:rsidTr="0047688D">
        <w:tc>
          <w:tcPr>
            <w:tcW w:w="0" w:type="auto"/>
            <w:shd w:val="clear" w:color="auto" w:fill="auto"/>
          </w:tcPr>
          <w:p w14:paraId="35530413" w14:textId="77777777" w:rsidR="008C5CFA" w:rsidRDefault="00E82A60" w:rsidP="00300A01">
            <w:pPr>
              <w:spacing w:before="0" w:after="0"/>
            </w:pPr>
            <w:r>
              <w:t xml:space="preserve">3.1. </w:t>
            </w:r>
            <w:proofErr w:type="spellStart"/>
            <w:r>
              <w:t>Kwota</w:t>
            </w:r>
            <w:proofErr w:type="spellEnd"/>
            <w:r>
              <w:t xml:space="preserve"> </w:t>
            </w:r>
            <w:proofErr w:type="spellStart"/>
            <w:r>
              <w:t>finansowania</w:t>
            </w:r>
            <w:proofErr w:type="spellEnd"/>
            <w:r>
              <w:t xml:space="preserve"> z EFSI </w:t>
            </w:r>
            <w:proofErr w:type="spellStart"/>
            <w:r>
              <w:t>zaangażowana</w:t>
            </w:r>
            <w:proofErr w:type="spellEnd"/>
            <w:r>
              <w:t xml:space="preserve"> w </w:t>
            </w:r>
            <w:proofErr w:type="spellStart"/>
            <w:r>
              <w:t>umowie</w:t>
            </w:r>
            <w:proofErr w:type="spellEnd"/>
            <w:r>
              <w:t xml:space="preserve"> o </w:t>
            </w:r>
            <w:proofErr w:type="spellStart"/>
            <w:r>
              <w:t>finansowaniu</w:t>
            </w:r>
            <w:proofErr w:type="spellEnd"/>
            <w:r>
              <w:t xml:space="preserve"> z </w:t>
            </w:r>
            <w:proofErr w:type="spellStart"/>
            <w:r>
              <w:t>poszczególnych</w:t>
            </w:r>
            <w:proofErr w:type="spellEnd"/>
            <w:r>
              <w:t xml:space="preserve"> </w:t>
            </w:r>
            <w:proofErr w:type="spellStart"/>
            <w:r>
              <w:t>celów</w:t>
            </w:r>
            <w:proofErr w:type="spellEnd"/>
            <w:r>
              <w:t xml:space="preserve"> </w:t>
            </w:r>
            <w:proofErr w:type="spellStart"/>
            <w:r>
              <w:t>tematycznych</w:t>
            </w:r>
            <w:proofErr w:type="spellEnd"/>
            <w:r>
              <w:t xml:space="preserve"> </w:t>
            </w:r>
            <w:proofErr w:type="spellStart"/>
            <w:r>
              <w:t>wybranych</w:t>
            </w:r>
            <w:proofErr w:type="spellEnd"/>
            <w:r>
              <w:t xml:space="preserve"> w </w:t>
            </w:r>
            <w:proofErr w:type="spellStart"/>
            <w:r>
              <w:t>polu</w:t>
            </w:r>
            <w:proofErr w:type="spellEnd"/>
            <w:r>
              <w:t xml:space="preserve"> 3 (</w:t>
            </w:r>
            <w:proofErr w:type="spellStart"/>
            <w:r>
              <w:t>fakultatywnie</w:t>
            </w:r>
            <w:proofErr w:type="spellEnd"/>
            <w:r>
              <w:t>)</w:t>
            </w:r>
          </w:p>
        </w:tc>
        <w:tc>
          <w:tcPr>
            <w:tcW w:w="0" w:type="auto"/>
            <w:shd w:val="clear" w:color="auto" w:fill="auto"/>
          </w:tcPr>
          <w:p w14:paraId="4CD01AE7" w14:textId="77777777" w:rsidR="008C5CFA" w:rsidRDefault="00E82A60" w:rsidP="00300A01">
            <w:pPr>
              <w:spacing w:before="0" w:after="0"/>
              <w:jc w:val="right"/>
            </w:pPr>
            <w:r>
              <w:t>49 052 082,60</w:t>
            </w:r>
          </w:p>
        </w:tc>
      </w:tr>
      <w:tr w:rsidR="006B2EC1" w14:paraId="4202ED46" w14:textId="77777777" w:rsidTr="0047688D">
        <w:tc>
          <w:tcPr>
            <w:tcW w:w="0" w:type="auto"/>
            <w:gridSpan w:val="2"/>
            <w:shd w:val="clear" w:color="auto" w:fill="auto"/>
          </w:tcPr>
          <w:p w14:paraId="6029E354" w14:textId="77777777" w:rsidR="008C5CFA" w:rsidRDefault="00E82A60" w:rsidP="00300A01">
            <w:pPr>
              <w:spacing w:before="0" w:after="0"/>
            </w:pPr>
            <w:r>
              <w:rPr>
                <w:b/>
              </w:rPr>
              <w:t xml:space="preserve">4. </w:t>
            </w:r>
            <w:proofErr w:type="spellStart"/>
            <w:r>
              <w:rPr>
                <w:b/>
              </w:rPr>
              <w:t>Inne</w:t>
            </w:r>
            <w:proofErr w:type="spellEnd"/>
            <w:r>
              <w:rPr>
                <w:b/>
              </w:rPr>
              <w:t xml:space="preserve"> </w:t>
            </w:r>
            <w:proofErr w:type="spellStart"/>
            <w:r>
              <w:rPr>
                <w:b/>
              </w:rPr>
              <w:t>programy</w:t>
            </w:r>
            <w:proofErr w:type="spellEnd"/>
            <w:r>
              <w:rPr>
                <w:b/>
              </w:rPr>
              <w:t xml:space="preserve"> </w:t>
            </w:r>
            <w:proofErr w:type="spellStart"/>
            <w:r>
              <w:rPr>
                <w:b/>
              </w:rPr>
              <w:t>finansowane</w:t>
            </w:r>
            <w:proofErr w:type="spellEnd"/>
            <w:r>
              <w:rPr>
                <w:b/>
              </w:rPr>
              <w:t xml:space="preserve"> z EFSI, z </w:t>
            </w:r>
            <w:proofErr w:type="spellStart"/>
            <w:r>
              <w:rPr>
                <w:b/>
              </w:rPr>
              <w:t>których</w:t>
            </w:r>
            <w:proofErr w:type="spellEnd"/>
            <w:r>
              <w:rPr>
                <w:b/>
              </w:rPr>
              <w:t xml:space="preserve"> </w:t>
            </w:r>
            <w:proofErr w:type="spellStart"/>
            <w:r>
              <w:rPr>
                <w:b/>
              </w:rPr>
              <w:t>pochodzą</w:t>
            </w:r>
            <w:proofErr w:type="spellEnd"/>
            <w:r>
              <w:rPr>
                <w:b/>
              </w:rPr>
              <w:t xml:space="preserve"> </w:t>
            </w:r>
            <w:proofErr w:type="spellStart"/>
            <w:r>
              <w:rPr>
                <w:b/>
              </w:rPr>
              <w:t>wkłady</w:t>
            </w:r>
            <w:proofErr w:type="spellEnd"/>
            <w:r>
              <w:rPr>
                <w:b/>
              </w:rPr>
              <w:t xml:space="preserve"> do </w:t>
            </w:r>
            <w:proofErr w:type="spellStart"/>
            <w:r>
              <w:rPr>
                <w:b/>
              </w:rPr>
              <w:t>instrumentu</w:t>
            </w:r>
            <w:proofErr w:type="spellEnd"/>
            <w:r>
              <w:rPr>
                <w:b/>
              </w:rPr>
              <w:t xml:space="preserve"> </w:t>
            </w:r>
            <w:proofErr w:type="spellStart"/>
            <w:r>
              <w:rPr>
                <w:b/>
              </w:rPr>
              <w:t>finansowego</w:t>
            </w:r>
            <w:proofErr w:type="spellEnd"/>
          </w:p>
        </w:tc>
      </w:tr>
      <w:tr w:rsidR="006B2EC1" w14:paraId="5D889865" w14:textId="77777777" w:rsidTr="0047688D">
        <w:tc>
          <w:tcPr>
            <w:tcW w:w="0" w:type="auto"/>
            <w:shd w:val="clear" w:color="auto" w:fill="auto"/>
          </w:tcPr>
          <w:p w14:paraId="05557585" w14:textId="77777777" w:rsidR="008C5CFA" w:rsidRDefault="00E82A60" w:rsidP="00300A01">
            <w:pPr>
              <w:spacing w:before="0" w:after="0"/>
            </w:pPr>
            <w:r>
              <w:t xml:space="preserve">4.1. </w:t>
            </w:r>
            <w:proofErr w:type="spellStart"/>
            <w:r>
              <w:t>Numer</w:t>
            </w:r>
            <w:proofErr w:type="spellEnd"/>
            <w:r>
              <w:t xml:space="preserve"> CCI </w:t>
            </w:r>
            <w:proofErr w:type="spellStart"/>
            <w:r>
              <w:t>każdego</w:t>
            </w:r>
            <w:proofErr w:type="spellEnd"/>
            <w:r>
              <w:t xml:space="preserve"> </w:t>
            </w:r>
            <w:proofErr w:type="spellStart"/>
            <w:r>
              <w:t>innego</w:t>
            </w:r>
            <w:proofErr w:type="spellEnd"/>
            <w:r>
              <w:t xml:space="preserve"> </w:t>
            </w:r>
            <w:proofErr w:type="spellStart"/>
            <w:r>
              <w:t>programu</w:t>
            </w:r>
            <w:proofErr w:type="spellEnd"/>
            <w:r>
              <w:t xml:space="preserve"> </w:t>
            </w:r>
            <w:proofErr w:type="spellStart"/>
            <w:r>
              <w:t>finansowanego</w:t>
            </w:r>
            <w:proofErr w:type="spellEnd"/>
            <w:r>
              <w:t xml:space="preserve"> z EFSI, z </w:t>
            </w:r>
            <w:proofErr w:type="spellStart"/>
            <w:r>
              <w:t>którego</w:t>
            </w:r>
            <w:proofErr w:type="spellEnd"/>
            <w:r>
              <w:t xml:space="preserve"> </w:t>
            </w:r>
            <w:proofErr w:type="spellStart"/>
            <w:r>
              <w:t>pochodzą</w:t>
            </w:r>
            <w:proofErr w:type="spellEnd"/>
            <w:r>
              <w:t xml:space="preserve"> </w:t>
            </w:r>
            <w:proofErr w:type="spellStart"/>
            <w:r>
              <w:t>wkłady</w:t>
            </w:r>
            <w:proofErr w:type="spellEnd"/>
            <w:r>
              <w:t xml:space="preserve"> do </w:t>
            </w:r>
            <w:proofErr w:type="spellStart"/>
            <w:r>
              <w:t>instrumentu</w:t>
            </w:r>
            <w:proofErr w:type="spellEnd"/>
            <w:r>
              <w:t xml:space="preserve"> </w:t>
            </w:r>
            <w:proofErr w:type="spellStart"/>
            <w:r>
              <w:t>finansowego</w:t>
            </w:r>
            <w:proofErr w:type="spellEnd"/>
          </w:p>
        </w:tc>
        <w:tc>
          <w:tcPr>
            <w:tcW w:w="0" w:type="auto"/>
            <w:shd w:val="clear" w:color="auto" w:fill="auto"/>
          </w:tcPr>
          <w:p w14:paraId="3A8A0FB0" w14:textId="77777777" w:rsidR="008C5CFA" w:rsidRDefault="008C5CFA" w:rsidP="00300A01">
            <w:pPr>
              <w:spacing w:before="0" w:after="0"/>
              <w:jc w:val="left"/>
            </w:pPr>
          </w:p>
        </w:tc>
      </w:tr>
      <w:tr w:rsidR="006B2EC1" w14:paraId="2BC3DC56" w14:textId="77777777" w:rsidTr="0047688D">
        <w:tc>
          <w:tcPr>
            <w:tcW w:w="0" w:type="auto"/>
            <w:shd w:val="clear" w:color="auto" w:fill="auto"/>
          </w:tcPr>
          <w:p w14:paraId="5C4B4324" w14:textId="77777777" w:rsidR="008C5CFA" w:rsidRDefault="00E82A60" w:rsidP="00300A01">
            <w:pPr>
              <w:spacing w:before="0" w:after="0"/>
            </w:pPr>
            <w:r>
              <w:t xml:space="preserve">30. Data </w:t>
            </w:r>
            <w:proofErr w:type="spellStart"/>
            <w:r>
              <w:t>ukończenia</w:t>
            </w:r>
            <w:proofErr w:type="spellEnd"/>
            <w:r>
              <w:t xml:space="preserve"> </w:t>
            </w:r>
            <w:proofErr w:type="spellStart"/>
            <w:r>
              <w:t>oceny</w:t>
            </w:r>
            <w:proofErr w:type="spellEnd"/>
            <w:r>
              <w:t xml:space="preserve"> ex ante</w:t>
            </w:r>
          </w:p>
        </w:tc>
        <w:tc>
          <w:tcPr>
            <w:tcW w:w="0" w:type="auto"/>
            <w:shd w:val="clear" w:color="auto" w:fill="auto"/>
          </w:tcPr>
          <w:p w14:paraId="4E5B9DDC" w14:textId="77777777" w:rsidR="008C5CFA" w:rsidRDefault="00E82A60" w:rsidP="00300A01">
            <w:pPr>
              <w:spacing w:before="0" w:after="0"/>
              <w:jc w:val="right"/>
            </w:pPr>
            <w:r>
              <w:t>2014-11-28</w:t>
            </w:r>
          </w:p>
        </w:tc>
      </w:tr>
      <w:tr w:rsidR="006B2EC1" w14:paraId="5D60F6AF" w14:textId="77777777" w:rsidTr="0047688D">
        <w:tc>
          <w:tcPr>
            <w:tcW w:w="0" w:type="auto"/>
            <w:gridSpan w:val="2"/>
            <w:shd w:val="clear" w:color="auto" w:fill="auto"/>
          </w:tcPr>
          <w:p w14:paraId="13E899CD" w14:textId="77777777" w:rsidR="008C5CFA" w:rsidRDefault="00E82A60" w:rsidP="00300A01">
            <w:pPr>
              <w:spacing w:before="0" w:after="0"/>
            </w:pPr>
            <w:r>
              <w:rPr>
                <w:b/>
              </w:rPr>
              <w:t xml:space="preserve">31. </w:t>
            </w:r>
            <w:proofErr w:type="spellStart"/>
            <w:r>
              <w:rPr>
                <w:b/>
              </w:rPr>
              <w:t>Wybór</w:t>
            </w:r>
            <w:proofErr w:type="spellEnd"/>
            <w:r>
              <w:rPr>
                <w:b/>
              </w:rPr>
              <w:t xml:space="preserve"> </w:t>
            </w:r>
            <w:proofErr w:type="spellStart"/>
            <w:r>
              <w:rPr>
                <w:b/>
              </w:rPr>
              <w:t>podmiotów</w:t>
            </w:r>
            <w:proofErr w:type="spellEnd"/>
            <w:r>
              <w:rPr>
                <w:b/>
              </w:rPr>
              <w:t xml:space="preserve"> </w:t>
            </w:r>
            <w:proofErr w:type="spellStart"/>
            <w:r>
              <w:rPr>
                <w:b/>
              </w:rPr>
              <w:t>wdrażających</w:t>
            </w:r>
            <w:proofErr w:type="spellEnd"/>
            <w:r>
              <w:rPr>
                <w:b/>
              </w:rPr>
              <w:t xml:space="preserve"> instrument </w:t>
            </w:r>
            <w:proofErr w:type="spellStart"/>
            <w:r>
              <w:rPr>
                <w:b/>
              </w:rPr>
              <w:t>finansowy</w:t>
            </w:r>
            <w:proofErr w:type="spellEnd"/>
          </w:p>
        </w:tc>
      </w:tr>
      <w:tr w:rsidR="006B2EC1" w14:paraId="5A422C91" w14:textId="77777777" w:rsidTr="0047688D">
        <w:tc>
          <w:tcPr>
            <w:tcW w:w="0" w:type="auto"/>
            <w:shd w:val="clear" w:color="auto" w:fill="auto"/>
          </w:tcPr>
          <w:p w14:paraId="6BE46DAA" w14:textId="77777777" w:rsidR="008C5CFA" w:rsidRDefault="00E82A60" w:rsidP="00300A01">
            <w:pPr>
              <w:spacing w:before="0" w:after="0"/>
            </w:pPr>
            <w:r>
              <w:t xml:space="preserve">31.1. </w:t>
            </w:r>
            <w:proofErr w:type="spellStart"/>
            <w:r>
              <w:t>Czy</w:t>
            </w:r>
            <w:proofErr w:type="spellEnd"/>
            <w:r>
              <w:t xml:space="preserve"> </w:t>
            </w:r>
            <w:proofErr w:type="spellStart"/>
            <w:r>
              <w:t>rozpoczęto</w:t>
            </w:r>
            <w:proofErr w:type="spellEnd"/>
            <w:r>
              <w:t xml:space="preserve"> </w:t>
            </w:r>
            <w:proofErr w:type="spellStart"/>
            <w:r>
              <w:t>już</w:t>
            </w:r>
            <w:proofErr w:type="spellEnd"/>
            <w:r>
              <w:t xml:space="preserve"> </w:t>
            </w:r>
            <w:proofErr w:type="spellStart"/>
            <w:r>
              <w:t>proces</w:t>
            </w:r>
            <w:proofErr w:type="spellEnd"/>
            <w:r>
              <w:t xml:space="preserve"> </w:t>
            </w:r>
            <w:proofErr w:type="spellStart"/>
            <w:r>
              <w:t>wyboru</w:t>
            </w:r>
            <w:proofErr w:type="spellEnd"/>
            <w:r>
              <w:t xml:space="preserve"> </w:t>
            </w:r>
            <w:proofErr w:type="spellStart"/>
            <w:r>
              <w:t>lub</w:t>
            </w:r>
            <w:proofErr w:type="spellEnd"/>
            <w:r>
              <w:t xml:space="preserve"> </w:t>
            </w:r>
            <w:proofErr w:type="spellStart"/>
            <w:r>
              <w:t>wyznaczenia</w:t>
            </w:r>
            <w:proofErr w:type="spellEnd"/>
            <w:r>
              <w:t>?</w:t>
            </w:r>
          </w:p>
        </w:tc>
        <w:tc>
          <w:tcPr>
            <w:tcW w:w="0" w:type="auto"/>
            <w:shd w:val="clear" w:color="auto" w:fill="auto"/>
          </w:tcPr>
          <w:p w14:paraId="355007A6" w14:textId="77777777" w:rsidR="008C5CFA" w:rsidRDefault="00E82A60" w:rsidP="00300A01">
            <w:pPr>
              <w:spacing w:before="0" w:after="0"/>
              <w:jc w:val="right"/>
            </w:pPr>
            <w:proofErr w:type="spellStart"/>
            <w:r>
              <w:t>Tak</w:t>
            </w:r>
            <w:proofErr w:type="spellEnd"/>
          </w:p>
        </w:tc>
      </w:tr>
      <w:tr w:rsidR="006B2EC1" w14:paraId="264C7BCA" w14:textId="77777777" w:rsidTr="0047688D">
        <w:tc>
          <w:tcPr>
            <w:tcW w:w="0" w:type="auto"/>
            <w:gridSpan w:val="2"/>
            <w:shd w:val="clear" w:color="auto" w:fill="auto"/>
          </w:tcPr>
          <w:p w14:paraId="37B49888" w14:textId="77777777" w:rsidR="008C5CFA" w:rsidRDefault="00E82A60" w:rsidP="00300A01">
            <w:pPr>
              <w:spacing w:before="0" w:after="0"/>
            </w:pPr>
            <w:r>
              <w:rPr>
                <w:b/>
              </w:rPr>
              <w:t xml:space="preserve">II. </w:t>
            </w:r>
            <w:proofErr w:type="spellStart"/>
            <w:r>
              <w:rPr>
                <w:b/>
              </w:rPr>
              <w:t>Opis</w:t>
            </w:r>
            <w:proofErr w:type="spellEnd"/>
            <w:r>
              <w:rPr>
                <w:b/>
              </w:rPr>
              <w:t xml:space="preserve"> </w:t>
            </w:r>
            <w:proofErr w:type="spellStart"/>
            <w:r>
              <w:rPr>
                <w:b/>
              </w:rPr>
              <w:t>instrumentu</w:t>
            </w:r>
            <w:proofErr w:type="spellEnd"/>
            <w:r>
              <w:rPr>
                <w:b/>
              </w:rPr>
              <w:t xml:space="preserve"> </w:t>
            </w:r>
            <w:proofErr w:type="spellStart"/>
            <w:r>
              <w:rPr>
                <w:b/>
              </w:rPr>
              <w:t>finansowego</w:t>
            </w:r>
            <w:proofErr w:type="spellEnd"/>
            <w:r>
              <w:rPr>
                <w:b/>
              </w:rPr>
              <w:t xml:space="preserve"> i </w:t>
            </w:r>
            <w:proofErr w:type="spellStart"/>
            <w:r>
              <w:rPr>
                <w:b/>
              </w:rPr>
              <w:t>rozwiązania</w:t>
            </w:r>
            <w:proofErr w:type="spellEnd"/>
            <w:r>
              <w:rPr>
                <w:b/>
              </w:rPr>
              <w:t xml:space="preserve"> </w:t>
            </w:r>
            <w:proofErr w:type="spellStart"/>
            <w:r>
              <w:rPr>
                <w:b/>
              </w:rPr>
              <w:t>wdrożeniowe</w:t>
            </w:r>
            <w:proofErr w:type="spellEnd"/>
            <w:r>
              <w:rPr>
                <w:b/>
              </w:rPr>
              <w:t xml:space="preserve"> (art. 46 </w:t>
            </w:r>
            <w:proofErr w:type="spellStart"/>
            <w:r>
              <w:rPr>
                <w:b/>
              </w:rPr>
              <w:t>ust</w:t>
            </w:r>
            <w:proofErr w:type="spellEnd"/>
            <w:r>
              <w:rPr>
                <w:b/>
              </w:rPr>
              <w:t xml:space="preserve">. 2 lit. b) </w:t>
            </w:r>
            <w:proofErr w:type="spellStart"/>
            <w:r>
              <w:rPr>
                <w:b/>
              </w:rPr>
              <w:t>rozporządzenia</w:t>
            </w:r>
            <w:proofErr w:type="spellEnd"/>
            <w:r>
              <w:rPr>
                <w:b/>
              </w:rPr>
              <w:t xml:space="preserve"> (UE) nr 1303/2013)</w:t>
            </w:r>
          </w:p>
        </w:tc>
      </w:tr>
      <w:tr w:rsidR="006B2EC1" w14:paraId="389D6AF2" w14:textId="77777777" w:rsidTr="0047688D">
        <w:tc>
          <w:tcPr>
            <w:tcW w:w="0" w:type="auto"/>
            <w:shd w:val="clear" w:color="auto" w:fill="auto"/>
          </w:tcPr>
          <w:p w14:paraId="5F35BAD0" w14:textId="77777777" w:rsidR="008C5CFA" w:rsidRDefault="00E82A60" w:rsidP="00300A01">
            <w:pPr>
              <w:spacing w:before="0" w:after="0"/>
            </w:pPr>
            <w:r>
              <w:t xml:space="preserve">5. </w:t>
            </w:r>
            <w:proofErr w:type="spellStart"/>
            <w:r>
              <w:t>Nazwa</w:t>
            </w:r>
            <w:proofErr w:type="spellEnd"/>
            <w:r>
              <w:t xml:space="preserve"> </w:t>
            </w:r>
            <w:proofErr w:type="spellStart"/>
            <w:r>
              <w:t>instrumentu</w:t>
            </w:r>
            <w:proofErr w:type="spellEnd"/>
            <w:r>
              <w:t xml:space="preserve"> </w:t>
            </w:r>
            <w:proofErr w:type="spellStart"/>
            <w:r>
              <w:t>finansowego</w:t>
            </w:r>
            <w:proofErr w:type="spellEnd"/>
          </w:p>
        </w:tc>
        <w:tc>
          <w:tcPr>
            <w:tcW w:w="0" w:type="auto"/>
            <w:shd w:val="clear" w:color="auto" w:fill="auto"/>
          </w:tcPr>
          <w:p w14:paraId="2B4CB3E0" w14:textId="77777777" w:rsidR="008C5CFA" w:rsidRDefault="00E82A60" w:rsidP="00300A01">
            <w:pPr>
              <w:pStyle w:val="Nagwek2"/>
              <w:spacing w:before="0" w:after="0"/>
              <w:jc w:val="left"/>
            </w:pPr>
            <w:bookmarkStart w:id="97" w:name="_Toc46391780"/>
            <w:proofErr w:type="spellStart"/>
            <w:r>
              <w:t>Fundusz</w:t>
            </w:r>
            <w:proofErr w:type="spellEnd"/>
            <w:r>
              <w:t xml:space="preserve"> </w:t>
            </w:r>
            <w:proofErr w:type="spellStart"/>
            <w:r>
              <w:t>Funduszy</w:t>
            </w:r>
            <w:proofErr w:type="spellEnd"/>
            <w:r>
              <w:t xml:space="preserve"> </w:t>
            </w:r>
            <w:proofErr w:type="spellStart"/>
            <w:r>
              <w:t>Województwa</w:t>
            </w:r>
            <w:proofErr w:type="spellEnd"/>
            <w:r>
              <w:t xml:space="preserve"> Świętokrzyskiego</w:t>
            </w:r>
            <w:bookmarkEnd w:id="97"/>
          </w:p>
        </w:tc>
      </w:tr>
      <w:tr w:rsidR="006B2EC1" w14:paraId="69E60B01" w14:textId="77777777" w:rsidTr="0047688D">
        <w:tc>
          <w:tcPr>
            <w:tcW w:w="0" w:type="auto"/>
            <w:shd w:val="clear" w:color="auto" w:fill="auto"/>
          </w:tcPr>
          <w:p w14:paraId="0A1CA633" w14:textId="77777777" w:rsidR="008C5CFA" w:rsidRDefault="00E82A60" w:rsidP="00300A01">
            <w:pPr>
              <w:spacing w:before="0" w:after="0"/>
            </w:pPr>
            <w:r>
              <w:t xml:space="preserve">6. </w:t>
            </w:r>
            <w:proofErr w:type="spellStart"/>
            <w:r>
              <w:t>Oficjalny</w:t>
            </w:r>
            <w:proofErr w:type="spellEnd"/>
            <w:r>
              <w:t xml:space="preserve"> </w:t>
            </w:r>
            <w:proofErr w:type="spellStart"/>
            <w:r>
              <w:t>adres</w:t>
            </w:r>
            <w:proofErr w:type="spellEnd"/>
            <w:r>
              <w:t>/</w:t>
            </w:r>
            <w:proofErr w:type="spellStart"/>
            <w:r>
              <w:t>miejsce</w:t>
            </w:r>
            <w:proofErr w:type="spellEnd"/>
            <w:r>
              <w:t xml:space="preserve"> </w:t>
            </w:r>
            <w:proofErr w:type="spellStart"/>
            <w:r>
              <w:t>prowadzenia</w:t>
            </w:r>
            <w:proofErr w:type="spellEnd"/>
            <w:r>
              <w:t xml:space="preserve"> </w:t>
            </w:r>
            <w:proofErr w:type="spellStart"/>
            <w:r>
              <w:t>działalności</w:t>
            </w:r>
            <w:proofErr w:type="spellEnd"/>
            <w:r>
              <w:t xml:space="preserve"> </w:t>
            </w:r>
            <w:proofErr w:type="spellStart"/>
            <w:r>
              <w:t>instrumentu</w:t>
            </w:r>
            <w:proofErr w:type="spellEnd"/>
            <w:r>
              <w:t xml:space="preserve"> </w:t>
            </w:r>
            <w:proofErr w:type="spellStart"/>
            <w:r>
              <w:t>finansowego</w:t>
            </w:r>
            <w:proofErr w:type="spellEnd"/>
            <w:r>
              <w:t xml:space="preserve"> (</w:t>
            </w:r>
            <w:proofErr w:type="spellStart"/>
            <w:r>
              <w:t>nazwa</w:t>
            </w:r>
            <w:proofErr w:type="spellEnd"/>
            <w:r>
              <w:t xml:space="preserve"> </w:t>
            </w:r>
            <w:proofErr w:type="spellStart"/>
            <w:r>
              <w:t>państwa</w:t>
            </w:r>
            <w:proofErr w:type="spellEnd"/>
            <w:r>
              <w:t xml:space="preserve"> i </w:t>
            </w:r>
            <w:proofErr w:type="spellStart"/>
            <w:r>
              <w:t>miasta</w:t>
            </w:r>
            <w:proofErr w:type="spellEnd"/>
            <w:r>
              <w:t>)</w:t>
            </w:r>
          </w:p>
        </w:tc>
        <w:tc>
          <w:tcPr>
            <w:tcW w:w="0" w:type="auto"/>
            <w:shd w:val="clear" w:color="auto" w:fill="auto"/>
          </w:tcPr>
          <w:p w14:paraId="0820B5AB" w14:textId="77777777" w:rsidR="008C5CFA" w:rsidRDefault="00E82A60" w:rsidP="00300A01">
            <w:pPr>
              <w:spacing w:before="0" w:after="0"/>
              <w:jc w:val="left"/>
            </w:pPr>
            <w:proofErr w:type="spellStart"/>
            <w:r>
              <w:t>Polska</w:t>
            </w:r>
            <w:proofErr w:type="spellEnd"/>
            <w:r>
              <w:t>, Warszawa</w:t>
            </w:r>
          </w:p>
        </w:tc>
      </w:tr>
      <w:tr w:rsidR="006B2EC1" w14:paraId="10A1BC00" w14:textId="77777777" w:rsidTr="0047688D">
        <w:tc>
          <w:tcPr>
            <w:tcW w:w="0" w:type="auto"/>
            <w:gridSpan w:val="2"/>
            <w:shd w:val="clear" w:color="auto" w:fill="auto"/>
          </w:tcPr>
          <w:p w14:paraId="394113CF" w14:textId="77777777" w:rsidR="008C5CFA" w:rsidRDefault="00E82A60" w:rsidP="00300A01">
            <w:pPr>
              <w:spacing w:before="0" w:after="0"/>
            </w:pPr>
            <w:r>
              <w:rPr>
                <w:b/>
              </w:rPr>
              <w:t xml:space="preserve">7. </w:t>
            </w:r>
            <w:proofErr w:type="spellStart"/>
            <w:r>
              <w:rPr>
                <w:b/>
              </w:rPr>
              <w:t>Rozwiązania</w:t>
            </w:r>
            <w:proofErr w:type="spellEnd"/>
            <w:r>
              <w:rPr>
                <w:b/>
              </w:rPr>
              <w:t xml:space="preserve"> </w:t>
            </w:r>
            <w:proofErr w:type="spellStart"/>
            <w:r>
              <w:rPr>
                <w:b/>
              </w:rPr>
              <w:t>wdrożeniowe</w:t>
            </w:r>
            <w:proofErr w:type="spellEnd"/>
          </w:p>
        </w:tc>
      </w:tr>
      <w:tr w:rsidR="006B2EC1" w14:paraId="0459EEA1" w14:textId="77777777" w:rsidTr="0047688D">
        <w:tc>
          <w:tcPr>
            <w:tcW w:w="0" w:type="auto"/>
            <w:shd w:val="clear" w:color="auto" w:fill="auto"/>
          </w:tcPr>
          <w:p w14:paraId="27B610A3" w14:textId="77777777" w:rsidR="008C5CFA" w:rsidRDefault="00E82A60" w:rsidP="00300A01">
            <w:pPr>
              <w:spacing w:before="0" w:after="0"/>
            </w:pPr>
            <w:r>
              <w:t xml:space="preserve">7.1. </w:t>
            </w:r>
            <w:proofErr w:type="spellStart"/>
            <w:r>
              <w:t>Instrumenty</w:t>
            </w:r>
            <w:proofErr w:type="spellEnd"/>
            <w:r>
              <w:t xml:space="preserve"> </w:t>
            </w:r>
            <w:proofErr w:type="spellStart"/>
            <w:r>
              <w:t>finansowe</w:t>
            </w:r>
            <w:proofErr w:type="spellEnd"/>
            <w:r>
              <w:t xml:space="preserve"> </w:t>
            </w:r>
            <w:proofErr w:type="spellStart"/>
            <w:r>
              <w:t>ustanowione</w:t>
            </w:r>
            <w:proofErr w:type="spellEnd"/>
            <w:r>
              <w:t xml:space="preserve"> </w:t>
            </w:r>
            <w:proofErr w:type="spellStart"/>
            <w:r>
              <w:t>na</w:t>
            </w:r>
            <w:proofErr w:type="spellEnd"/>
            <w:r>
              <w:t xml:space="preserve"> </w:t>
            </w:r>
            <w:proofErr w:type="spellStart"/>
            <w:r>
              <w:t>poziomie</w:t>
            </w:r>
            <w:proofErr w:type="spellEnd"/>
            <w:r>
              <w:t xml:space="preserve"> </w:t>
            </w:r>
            <w:proofErr w:type="spellStart"/>
            <w:r>
              <w:t>Unii</w:t>
            </w:r>
            <w:proofErr w:type="spellEnd"/>
            <w:r>
              <w:t xml:space="preserve">, </w:t>
            </w:r>
            <w:proofErr w:type="spellStart"/>
            <w:r>
              <w:t>zarządzane</w:t>
            </w:r>
            <w:proofErr w:type="spellEnd"/>
            <w:r>
              <w:t xml:space="preserve"> </w:t>
            </w:r>
            <w:proofErr w:type="spellStart"/>
            <w:r>
              <w:t>bezpośrednio</w:t>
            </w:r>
            <w:proofErr w:type="spellEnd"/>
            <w:r>
              <w:t xml:space="preserve"> </w:t>
            </w:r>
            <w:proofErr w:type="spellStart"/>
            <w:r>
              <w:t>lub</w:t>
            </w:r>
            <w:proofErr w:type="spellEnd"/>
            <w:r>
              <w:t xml:space="preserve"> </w:t>
            </w:r>
            <w:proofErr w:type="spellStart"/>
            <w:r>
              <w:t>pośrednio</w:t>
            </w:r>
            <w:proofErr w:type="spellEnd"/>
            <w:r>
              <w:t xml:space="preserve"> </w:t>
            </w:r>
            <w:proofErr w:type="spellStart"/>
            <w:r>
              <w:t>przez</w:t>
            </w:r>
            <w:proofErr w:type="spellEnd"/>
            <w:r>
              <w:t xml:space="preserve"> </w:t>
            </w:r>
            <w:proofErr w:type="spellStart"/>
            <w:r>
              <w:t>Komisję</w:t>
            </w:r>
            <w:proofErr w:type="spellEnd"/>
            <w:r>
              <w:t xml:space="preserve">, o </w:t>
            </w:r>
            <w:proofErr w:type="spellStart"/>
            <w:r>
              <w:t>których</w:t>
            </w:r>
            <w:proofErr w:type="spellEnd"/>
            <w:r>
              <w:t xml:space="preserve"> </w:t>
            </w:r>
            <w:proofErr w:type="spellStart"/>
            <w:r>
              <w:t>mowa</w:t>
            </w:r>
            <w:proofErr w:type="spellEnd"/>
            <w:r>
              <w:t xml:space="preserve"> w art. 38 </w:t>
            </w:r>
            <w:proofErr w:type="spellStart"/>
            <w:r>
              <w:t>ust</w:t>
            </w:r>
            <w:proofErr w:type="spellEnd"/>
            <w:r>
              <w:t xml:space="preserve">. 1 lit. a) </w:t>
            </w:r>
            <w:proofErr w:type="spellStart"/>
            <w:r>
              <w:t>rozporządzenia</w:t>
            </w:r>
            <w:proofErr w:type="spellEnd"/>
            <w:r>
              <w:t xml:space="preserve"> (UE) nr 1303/2013, </w:t>
            </w:r>
            <w:proofErr w:type="spellStart"/>
            <w:r>
              <w:t>wspierane</w:t>
            </w:r>
            <w:proofErr w:type="spellEnd"/>
            <w:r>
              <w:t xml:space="preserve"> z </w:t>
            </w:r>
            <w:proofErr w:type="spellStart"/>
            <w:r>
              <w:t>wkładów</w:t>
            </w:r>
            <w:proofErr w:type="spellEnd"/>
            <w:r>
              <w:t xml:space="preserve"> </w:t>
            </w:r>
            <w:proofErr w:type="spellStart"/>
            <w:r>
              <w:t>pochodzących</w:t>
            </w:r>
            <w:proofErr w:type="spellEnd"/>
            <w:r>
              <w:t xml:space="preserve"> z </w:t>
            </w:r>
            <w:proofErr w:type="spellStart"/>
            <w:r>
              <w:t>programu</w:t>
            </w:r>
            <w:proofErr w:type="spellEnd"/>
            <w:r>
              <w:t xml:space="preserve"> </w:t>
            </w:r>
            <w:proofErr w:type="spellStart"/>
            <w:r>
              <w:t>finansowanego</w:t>
            </w:r>
            <w:proofErr w:type="spellEnd"/>
            <w:r>
              <w:t xml:space="preserve"> z EFSI</w:t>
            </w:r>
          </w:p>
        </w:tc>
        <w:tc>
          <w:tcPr>
            <w:tcW w:w="0" w:type="auto"/>
            <w:shd w:val="clear" w:color="auto" w:fill="auto"/>
          </w:tcPr>
          <w:p w14:paraId="0EA8FF61" w14:textId="77777777" w:rsidR="008C5CFA" w:rsidRDefault="008C5CFA" w:rsidP="00300A01">
            <w:pPr>
              <w:spacing w:before="0" w:after="0"/>
              <w:jc w:val="right"/>
            </w:pPr>
          </w:p>
        </w:tc>
      </w:tr>
      <w:tr w:rsidR="006B2EC1" w14:paraId="2ADCEA87" w14:textId="77777777" w:rsidTr="0047688D">
        <w:tc>
          <w:tcPr>
            <w:tcW w:w="0" w:type="auto"/>
            <w:shd w:val="clear" w:color="auto" w:fill="auto"/>
          </w:tcPr>
          <w:p w14:paraId="0924476C" w14:textId="77777777" w:rsidR="008C5CFA" w:rsidRDefault="00E82A60" w:rsidP="00300A01">
            <w:pPr>
              <w:spacing w:before="0" w:after="0"/>
            </w:pPr>
            <w:r>
              <w:t xml:space="preserve">7.1.1. </w:t>
            </w:r>
            <w:proofErr w:type="spellStart"/>
            <w:r>
              <w:t>Nazwa</w:t>
            </w:r>
            <w:proofErr w:type="spellEnd"/>
            <w:r>
              <w:t xml:space="preserve"> </w:t>
            </w:r>
            <w:proofErr w:type="spellStart"/>
            <w:r>
              <w:t>instrumentu</w:t>
            </w:r>
            <w:proofErr w:type="spellEnd"/>
            <w:r>
              <w:t xml:space="preserve"> </w:t>
            </w:r>
            <w:proofErr w:type="spellStart"/>
            <w:r>
              <w:t>finansowego</w:t>
            </w:r>
            <w:proofErr w:type="spellEnd"/>
            <w:r>
              <w:t xml:space="preserve"> </w:t>
            </w:r>
            <w:proofErr w:type="spellStart"/>
            <w:r>
              <w:t>ustanowionego</w:t>
            </w:r>
            <w:proofErr w:type="spellEnd"/>
            <w:r>
              <w:t xml:space="preserve"> </w:t>
            </w:r>
            <w:proofErr w:type="spellStart"/>
            <w:r>
              <w:t>na</w:t>
            </w:r>
            <w:proofErr w:type="spellEnd"/>
            <w:r>
              <w:t xml:space="preserve"> </w:t>
            </w:r>
            <w:proofErr w:type="spellStart"/>
            <w:r>
              <w:t>poziomie</w:t>
            </w:r>
            <w:proofErr w:type="spellEnd"/>
            <w:r>
              <w:t xml:space="preserve"> </w:t>
            </w:r>
            <w:proofErr w:type="spellStart"/>
            <w:r>
              <w:t>Unii</w:t>
            </w:r>
            <w:proofErr w:type="spellEnd"/>
          </w:p>
        </w:tc>
        <w:tc>
          <w:tcPr>
            <w:tcW w:w="0" w:type="auto"/>
            <w:shd w:val="clear" w:color="auto" w:fill="auto"/>
          </w:tcPr>
          <w:p w14:paraId="4FD49ECC" w14:textId="77777777" w:rsidR="008C5CFA" w:rsidRDefault="008C5CFA" w:rsidP="00300A01">
            <w:pPr>
              <w:spacing w:before="0" w:after="0"/>
              <w:jc w:val="left"/>
            </w:pPr>
          </w:p>
        </w:tc>
      </w:tr>
      <w:tr w:rsidR="006B2EC1" w14:paraId="5992EFED" w14:textId="77777777" w:rsidTr="0047688D">
        <w:tc>
          <w:tcPr>
            <w:tcW w:w="0" w:type="auto"/>
            <w:shd w:val="clear" w:color="auto" w:fill="auto"/>
          </w:tcPr>
          <w:p w14:paraId="781DFE87" w14:textId="77777777" w:rsidR="008C5CFA" w:rsidRDefault="00E82A60" w:rsidP="00300A01">
            <w:pPr>
              <w:spacing w:before="0" w:after="0"/>
            </w:pPr>
            <w:r>
              <w:t xml:space="preserve">7.2. Instrument </w:t>
            </w:r>
            <w:proofErr w:type="spellStart"/>
            <w:r>
              <w:t>finansowy</w:t>
            </w:r>
            <w:proofErr w:type="spellEnd"/>
            <w:r>
              <w:t xml:space="preserve"> </w:t>
            </w:r>
            <w:proofErr w:type="spellStart"/>
            <w:r>
              <w:t>ustanowiony</w:t>
            </w:r>
            <w:proofErr w:type="spellEnd"/>
            <w:r>
              <w:t xml:space="preserve"> </w:t>
            </w:r>
            <w:proofErr w:type="spellStart"/>
            <w:r>
              <w:t>na</w:t>
            </w:r>
            <w:proofErr w:type="spellEnd"/>
            <w:r>
              <w:t xml:space="preserve"> </w:t>
            </w:r>
            <w:proofErr w:type="spellStart"/>
            <w:r>
              <w:t>poziomie</w:t>
            </w:r>
            <w:proofErr w:type="spellEnd"/>
            <w:r>
              <w:t xml:space="preserve"> </w:t>
            </w:r>
            <w:proofErr w:type="spellStart"/>
            <w:r>
              <w:t>krajowym</w:t>
            </w:r>
            <w:proofErr w:type="spellEnd"/>
            <w:r>
              <w:t xml:space="preserve">, </w:t>
            </w:r>
            <w:proofErr w:type="spellStart"/>
            <w:r>
              <w:t>regionalnym</w:t>
            </w:r>
            <w:proofErr w:type="spellEnd"/>
            <w:r>
              <w:t xml:space="preserve">, </w:t>
            </w:r>
            <w:proofErr w:type="spellStart"/>
            <w:r>
              <w:t>transnarodowym</w:t>
            </w:r>
            <w:proofErr w:type="spellEnd"/>
            <w:r>
              <w:t xml:space="preserve"> </w:t>
            </w:r>
            <w:proofErr w:type="spellStart"/>
            <w:r>
              <w:t>lub</w:t>
            </w:r>
            <w:proofErr w:type="spellEnd"/>
            <w:r>
              <w:t xml:space="preserve"> </w:t>
            </w:r>
            <w:proofErr w:type="spellStart"/>
            <w:r>
              <w:t>transgranicznym</w:t>
            </w:r>
            <w:proofErr w:type="spellEnd"/>
            <w:r>
              <w:t xml:space="preserve">, </w:t>
            </w:r>
            <w:proofErr w:type="spellStart"/>
            <w:r>
              <w:t>zarządzany</w:t>
            </w:r>
            <w:proofErr w:type="spellEnd"/>
            <w:r>
              <w:t xml:space="preserve"> </w:t>
            </w:r>
            <w:proofErr w:type="spellStart"/>
            <w:r>
              <w:t>przez</w:t>
            </w:r>
            <w:proofErr w:type="spellEnd"/>
            <w:r>
              <w:t xml:space="preserve"> </w:t>
            </w:r>
            <w:proofErr w:type="spellStart"/>
            <w:r>
              <w:t>instytucję</w:t>
            </w:r>
            <w:proofErr w:type="spellEnd"/>
            <w:r>
              <w:t xml:space="preserve"> </w:t>
            </w:r>
            <w:proofErr w:type="spellStart"/>
            <w:r>
              <w:t>zarządzającą</w:t>
            </w:r>
            <w:proofErr w:type="spellEnd"/>
            <w:r>
              <w:t xml:space="preserve"> </w:t>
            </w:r>
            <w:proofErr w:type="spellStart"/>
            <w:r>
              <w:t>lub</w:t>
            </w:r>
            <w:proofErr w:type="spellEnd"/>
            <w:r>
              <w:t xml:space="preserve"> </w:t>
            </w:r>
            <w:proofErr w:type="spellStart"/>
            <w:r>
              <w:t>na</w:t>
            </w:r>
            <w:proofErr w:type="spellEnd"/>
            <w:r>
              <w:t xml:space="preserve"> </w:t>
            </w:r>
            <w:proofErr w:type="spellStart"/>
            <w:r>
              <w:t>jej</w:t>
            </w:r>
            <w:proofErr w:type="spellEnd"/>
            <w:r>
              <w:t xml:space="preserve"> </w:t>
            </w:r>
            <w:proofErr w:type="spellStart"/>
            <w:r>
              <w:t>odpowiedzialność</w:t>
            </w:r>
            <w:proofErr w:type="spellEnd"/>
            <w:r>
              <w:t xml:space="preserve">, o </w:t>
            </w:r>
            <w:proofErr w:type="spellStart"/>
            <w:r>
              <w:t>którym</w:t>
            </w:r>
            <w:proofErr w:type="spellEnd"/>
            <w:r>
              <w:t xml:space="preserve"> </w:t>
            </w:r>
            <w:proofErr w:type="spellStart"/>
            <w:r>
              <w:t>mowa</w:t>
            </w:r>
            <w:proofErr w:type="spellEnd"/>
            <w:r>
              <w:t xml:space="preserve"> w art. 38 </w:t>
            </w:r>
            <w:proofErr w:type="spellStart"/>
            <w:r>
              <w:t>ust</w:t>
            </w:r>
            <w:proofErr w:type="spellEnd"/>
            <w:r>
              <w:t xml:space="preserve">. 1 lit. b), </w:t>
            </w:r>
            <w:proofErr w:type="spellStart"/>
            <w:r>
              <w:t>wspierany</w:t>
            </w:r>
            <w:proofErr w:type="spellEnd"/>
            <w:r>
              <w:t xml:space="preserve"> z </w:t>
            </w:r>
            <w:proofErr w:type="spellStart"/>
            <w:r>
              <w:t>wkładów</w:t>
            </w:r>
            <w:proofErr w:type="spellEnd"/>
            <w:r>
              <w:t xml:space="preserve"> </w:t>
            </w:r>
            <w:proofErr w:type="spellStart"/>
            <w:r>
              <w:t>pochodzących</w:t>
            </w:r>
            <w:proofErr w:type="spellEnd"/>
            <w:r>
              <w:t xml:space="preserve"> z </w:t>
            </w:r>
            <w:proofErr w:type="spellStart"/>
            <w:r>
              <w:t>programu</w:t>
            </w:r>
            <w:proofErr w:type="spellEnd"/>
            <w:r>
              <w:t xml:space="preserve"> </w:t>
            </w:r>
            <w:proofErr w:type="spellStart"/>
            <w:r>
              <w:t>finansowanego</w:t>
            </w:r>
            <w:proofErr w:type="spellEnd"/>
            <w:r>
              <w:t xml:space="preserve"> z EFSI </w:t>
            </w:r>
            <w:proofErr w:type="spellStart"/>
            <w:r>
              <w:t>na</w:t>
            </w:r>
            <w:proofErr w:type="spellEnd"/>
            <w:r>
              <w:t xml:space="preserve"> </w:t>
            </w:r>
            <w:proofErr w:type="spellStart"/>
            <w:r>
              <w:t>podstawie</w:t>
            </w:r>
            <w:proofErr w:type="spellEnd"/>
            <w:r>
              <w:t xml:space="preserve"> art. 38 </w:t>
            </w:r>
            <w:proofErr w:type="spellStart"/>
            <w:r>
              <w:t>ust</w:t>
            </w:r>
            <w:proofErr w:type="spellEnd"/>
            <w:r>
              <w:t xml:space="preserve">. 4 lit. a), b), c) i d) </w:t>
            </w:r>
            <w:proofErr w:type="spellStart"/>
            <w:r>
              <w:t>rozporządzenia</w:t>
            </w:r>
            <w:proofErr w:type="spellEnd"/>
            <w:r>
              <w:t xml:space="preserve"> (UE) nr 1303/2013</w:t>
            </w:r>
          </w:p>
        </w:tc>
        <w:tc>
          <w:tcPr>
            <w:tcW w:w="0" w:type="auto"/>
            <w:shd w:val="clear" w:color="auto" w:fill="auto"/>
          </w:tcPr>
          <w:p w14:paraId="31BA77CE" w14:textId="77777777" w:rsidR="008C5CFA" w:rsidRDefault="00E82A60" w:rsidP="00300A01">
            <w:pPr>
              <w:spacing w:before="0" w:after="0"/>
              <w:jc w:val="left"/>
            </w:pPr>
            <w:proofErr w:type="spellStart"/>
            <w:r>
              <w:t>Powierzenie</w:t>
            </w:r>
            <w:proofErr w:type="spellEnd"/>
            <w:r>
              <w:t xml:space="preserve"> </w:t>
            </w:r>
            <w:proofErr w:type="spellStart"/>
            <w:r>
              <w:t>zadań</w:t>
            </w:r>
            <w:proofErr w:type="spellEnd"/>
            <w:r>
              <w:t xml:space="preserve"> </w:t>
            </w:r>
            <w:proofErr w:type="spellStart"/>
            <w:r>
              <w:t>wdrożeniowych</w:t>
            </w:r>
            <w:proofErr w:type="spellEnd"/>
            <w:r>
              <w:t xml:space="preserve"> </w:t>
            </w:r>
            <w:proofErr w:type="spellStart"/>
            <w:r>
              <w:t>przez</w:t>
            </w:r>
            <w:proofErr w:type="spellEnd"/>
            <w:r>
              <w:t xml:space="preserve"> </w:t>
            </w:r>
            <w:proofErr w:type="spellStart"/>
            <w:r>
              <w:t>bezpośrednie</w:t>
            </w:r>
            <w:proofErr w:type="spellEnd"/>
            <w:r>
              <w:t xml:space="preserve"> </w:t>
            </w:r>
            <w:proofErr w:type="spellStart"/>
            <w:r>
              <w:t>udzielenie</w:t>
            </w:r>
            <w:proofErr w:type="spellEnd"/>
            <w:r>
              <w:t xml:space="preserve"> </w:t>
            </w:r>
            <w:proofErr w:type="spellStart"/>
            <w:r>
              <w:t>zamówienia</w:t>
            </w:r>
            <w:proofErr w:type="spellEnd"/>
          </w:p>
        </w:tc>
      </w:tr>
      <w:tr w:rsidR="006B2EC1" w14:paraId="331A7BEB" w14:textId="77777777" w:rsidTr="0047688D">
        <w:tc>
          <w:tcPr>
            <w:tcW w:w="0" w:type="auto"/>
            <w:shd w:val="clear" w:color="auto" w:fill="auto"/>
          </w:tcPr>
          <w:p w14:paraId="750B4BFC" w14:textId="77777777" w:rsidR="008C5CFA" w:rsidRDefault="00E82A60" w:rsidP="00300A01">
            <w:pPr>
              <w:spacing w:before="0" w:after="0"/>
            </w:pPr>
            <w:r>
              <w:t xml:space="preserve">7.3. Instrument </w:t>
            </w:r>
            <w:proofErr w:type="spellStart"/>
            <w:r>
              <w:t>finansowy</w:t>
            </w:r>
            <w:proofErr w:type="spellEnd"/>
            <w:r>
              <w:t xml:space="preserve">, o </w:t>
            </w:r>
            <w:proofErr w:type="spellStart"/>
            <w:r>
              <w:t>którym</w:t>
            </w:r>
            <w:proofErr w:type="spellEnd"/>
            <w:r>
              <w:t xml:space="preserve"> </w:t>
            </w:r>
            <w:proofErr w:type="spellStart"/>
            <w:r>
              <w:t>mowa</w:t>
            </w:r>
            <w:proofErr w:type="spellEnd"/>
            <w:r>
              <w:t xml:space="preserve"> w art. 38 </w:t>
            </w:r>
            <w:proofErr w:type="spellStart"/>
            <w:r>
              <w:t>ust</w:t>
            </w:r>
            <w:proofErr w:type="spellEnd"/>
            <w:r>
              <w:t xml:space="preserve">. 1 lit. c), </w:t>
            </w:r>
            <w:proofErr w:type="spellStart"/>
            <w:r>
              <w:t>łączący</w:t>
            </w:r>
            <w:proofErr w:type="spellEnd"/>
            <w:r>
              <w:t xml:space="preserve"> </w:t>
            </w:r>
            <w:proofErr w:type="spellStart"/>
            <w:r>
              <w:t>wkład</w:t>
            </w:r>
            <w:proofErr w:type="spellEnd"/>
            <w:r>
              <w:t xml:space="preserve"> </w:t>
            </w:r>
            <w:proofErr w:type="spellStart"/>
            <w:r>
              <w:t>finansowy</w:t>
            </w:r>
            <w:proofErr w:type="spellEnd"/>
            <w:r>
              <w:t xml:space="preserve"> </w:t>
            </w:r>
            <w:proofErr w:type="spellStart"/>
            <w:r>
              <w:t>pochodzący</w:t>
            </w:r>
            <w:proofErr w:type="spellEnd"/>
            <w:r>
              <w:t xml:space="preserve"> </w:t>
            </w:r>
            <w:proofErr w:type="spellStart"/>
            <w:r>
              <w:t>od</w:t>
            </w:r>
            <w:proofErr w:type="spellEnd"/>
            <w:r>
              <w:t xml:space="preserve"> IZ z </w:t>
            </w:r>
            <w:proofErr w:type="spellStart"/>
            <w:r>
              <w:t>produktami</w:t>
            </w:r>
            <w:proofErr w:type="spellEnd"/>
            <w:r>
              <w:t xml:space="preserve"> </w:t>
            </w:r>
            <w:proofErr w:type="spellStart"/>
            <w:r>
              <w:lastRenderedPageBreak/>
              <w:t>finansowym</w:t>
            </w:r>
            <w:proofErr w:type="spellEnd"/>
            <w:r>
              <w:t xml:space="preserve"> EBI w </w:t>
            </w:r>
            <w:proofErr w:type="spellStart"/>
            <w:r>
              <w:t>ramach</w:t>
            </w:r>
            <w:proofErr w:type="spellEnd"/>
            <w:r>
              <w:t xml:space="preserve"> Europejskiego Funduszu </w:t>
            </w:r>
            <w:proofErr w:type="spellStart"/>
            <w:r>
              <w:t>na</w:t>
            </w:r>
            <w:proofErr w:type="spellEnd"/>
            <w:r>
              <w:t xml:space="preserve"> </w:t>
            </w:r>
            <w:proofErr w:type="spellStart"/>
            <w:r>
              <w:t>rzecz</w:t>
            </w:r>
            <w:proofErr w:type="spellEnd"/>
            <w:r>
              <w:t xml:space="preserve"> Inwestycji </w:t>
            </w:r>
            <w:proofErr w:type="spellStart"/>
            <w:r>
              <w:t>Strategicznych</w:t>
            </w:r>
            <w:proofErr w:type="spellEnd"/>
            <w:r>
              <w:t xml:space="preserve">, </w:t>
            </w:r>
            <w:proofErr w:type="spellStart"/>
            <w:r>
              <w:t>zgodnie</w:t>
            </w:r>
            <w:proofErr w:type="spellEnd"/>
            <w:r>
              <w:t xml:space="preserve"> z art. 39a</w:t>
            </w:r>
          </w:p>
        </w:tc>
        <w:tc>
          <w:tcPr>
            <w:tcW w:w="0" w:type="auto"/>
            <w:shd w:val="clear" w:color="auto" w:fill="auto"/>
          </w:tcPr>
          <w:p w14:paraId="4D6EEA2C" w14:textId="77777777" w:rsidR="008C5CFA" w:rsidRDefault="008C5CFA" w:rsidP="00300A01">
            <w:pPr>
              <w:spacing w:before="0" w:after="0"/>
              <w:jc w:val="left"/>
            </w:pPr>
          </w:p>
        </w:tc>
      </w:tr>
      <w:tr w:rsidR="006B2EC1" w14:paraId="3F492C9F" w14:textId="77777777" w:rsidTr="0047688D">
        <w:tc>
          <w:tcPr>
            <w:tcW w:w="0" w:type="auto"/>
            <w:shd w:val="clear" w:color="auto" w:fill="auto"/>
          </w:tcPr>
          <w:p w14:paraId="1A10A95C" w14:textId="77777777" w:rsidR="008C5CFA" w:rsidRDefault="00E82A60" w:rsidP="00300A01">
            <w:pPr>
              <w:spacing w:before="0" w:after="0"/>
            </w:pPr>
            <w:r>
              <w:t xml:space="preserve">8. </w:t>
            </w:r>
            <w:proofErr w:type="spellStart"/>
            <w:r>
              <w:t>Rodzaj</w:t>
            </w:r>
            <w:proofErr w:type="spellEnd"/>
            <w:r>
              <w:t xml:space="preserve"> </w:t>
            </w:r>
            <w:proofErr w:type="spellStart"/>
            <w:r>
              <w:t>instrumentu</w:t>
            </w:r>
            <w:proofErr w:type="spellEnd"/>
            <w:r>
              <w:t xml:space="preserve"> </w:t>
            </w:r>
            <w:proofErr w:type="spellStart"/>
            <w:r>
              <w:t>finansowego</w:t>
            </w:r>
            <w:proofErr w:type="spellEnd"/>
          </w:p>
        </w:tc>
        <w:tc>
          <w:tcPr>
            <w:tcW w:w="0" w:type="auto"/>
            <w:shd w:val="clear" w:color="auto" w:fill="auto"/>
          </w:tcPr>
          <w:p w14:paraId="0C3DF0BD" w14:textId="77777777" w:rsidR="008C5CFA" w:rsidRDefault="00E82A60" w:rsidP="00300A01">
            <w:pPr>
              <w:spacing w:before="0" w:after="0"/>
              <w:jc w:val="left"/>
            </w:pPr>
            <w:proofErr w:type="spellStart"/>
            <w:r>
              <w:t>Poszczególny</w:t>
            </w:r>
            <w:proofErr w:type="spellEnd"/>
            <w:r>
              <w:t xml:space="preserve"> </w:t>
            </w:r>
            <w:proofErr w:type="spellStart"/>
            <w:r>
              <w:t>fundusz</w:t>
            </w:r>
            <w:proofErr w:type="spellEnd"/>
          </w:p>
        </w:tc>
      </w:tr>
      <w:tr w:rsidR="006B2EC1" w14:paraId="64E3D8AE" w14:textId="77777777" w:rsidTr="0047688D">
        <w:tc>
          <w:tcPr>
            <w:tcW w:w="0" w:type="auto"/>
            <w:shd w:val="clear" w:color="auto" w:fill="auto"/>
          </w:tcPr>
          <w:p w14:paraId="75419ECF" w14:textId="77777777" w:rsidR="008C5CFA" w:rsidRDefault="00E82A60" w:rsidP="00300A01">
            <w:pPr>
              <w:spacing w:before="0" w:after="0"/>
            </w:pPr>
            <w:r>
              <w:t xml:space="preserve">8.1. </w:t>
            </w:r>
            <w:proofErr w:type="spellStart"/>
            <w:r>
              <w:t>Instrumenty</w:t>
            </w:r>
            <w:proofErr w:type="spellEnd"/>
            <w:r>
              <w:t xml:space="preserve"> </w:t>
            </w:r>
            <w:proofErr w:type="spellStart"/>
            <w:r>
              <w:t>specjalnie</w:t>
            </w:r>
            <w:proofErr w:type="spellEnd"/>
            <w:r>
              <w:t xml:space="preserve"> </w:t>
            </w:r>
            <w:proofErr w:type="spellStart"/>
            <w:r>
              <w:t>zaprojektowane</w:t>
            </w:r>
            <w:proofErr w:type="spellEnd"/>
            <w:r>
              <w:t xml:space="preserve"> (ang. tailor-made) </w:t>
            </w:r>
            <w:proofErr w:type="spellStart"/>
            <w:r>
              <w:t>lub</w:t>
            </w:r>
            <w:proofErr w:type="spellEnd"/>
            <w:r>
              <w:t xml:space="preserve"> </w:t>
            </w:r>
            <w:proofErr w:type="spellStart"/>
            <w:r>
              <w:t>instrumenty</w:t>
            </w:r>
            <w:proofErr w:type="spellEnd"/>
            <w:r>
              <w:t xml:space="preserve"> </w:t>
            </w:r>
            <w:proofErr w:type="spellStart"/>
            <w:r>
              <w:t>finansowe</w:t>
            </w:r>
            <w:proofErr w:type="spellEnd"/>
            <w:r>
              <w:t xml:space="preserve"> </w:t>
            </w:r>
            <w:proofErr w:type="spellStart"/>
            <w:r>
              <w:t>spełniające</w:t>
            </w:r>
            <w:proofErr w:type="spellEnd"/>
            <w:r>
              <w:t xml:space="preserve"> </w:t>
            </w:r>
            <w:proofErr w:type="spellStart"/>
            <w:r>
              <w:t>standardowe</w:t>
            </w:r>
            <w:proofErr w:type="spellEnd"/>
            <w:r>
              <w:t xml:space="preserve"> </w:t>
            </w:r>
            <w:proofErr w:type="spellStart"/>
            <w:r>
              <w:t>warunki</w:t>
            </w:r>
            <w:proofErr w:type="spellEnd"/>
            <w:r>
              <w:t xml:space="preserve">, </w:t>
            </w:r>
            <w:proofErr w:type="spellStart"/>
            <w:r>
              <w:t>tj</w:t>
            </w:r>
            <w:proofErr w:type="spellEnd"/>
            <w:r>
              <w:t xml:space="preserve">. </w:t>
            </w:r>
            <w:proofErr w:type="spellStart"/>
            <w:r>
              <w:t>gotowe</w:t>
            </w:r>
            <w:proofErr w:type="spellEnd"/>
            <w:r>
              <w:t xml:space="preserve"> </w:t>
            </w:r>
            <w:proofErr w:type="spellStart"/>
            <w:r>
              <w:t>instrumenty</w:t>
            </w:r>
            <w:proofErr w:type="spellEnd"/>
          </w:p>
        </w:tc>
        <w:tc>
          <w:tcPr>
            <w:tcW w:w="0" w:type="auto"/>
            <w:shd w:val="clear" w:color="auto" w:fill="auto"/>
          </w:tcPr>
          <w:p w14:paraId="71765D3D" w14:textId="77777777" w:rsidR="008C5CFA" w:rsidRDefault="00E82A60" w:rsidP="00300A01">
            <w:pPr>
              <w:spacing w:before="0" w:after="0"/>
              <w:jc w:val="right"/>
            </w:pPr>
            <w:r>
              <w:t xml:space="preserve">Instrument </w:t>
            </w:r>
            <w:proofErr w:type="spellStart"/>
            <w:r>
              <w:t>specjalnie</w:t>
            </w:r>
            <w:proofErr w:type="spellEnd"/>
            <w:r>
              <w:t xml:space="preserve"> </w:t>
            </w:r>
            <w:proofErr w:type="spellStart"/>
            <w:r>
              <w:t>zaprojektowany</w:t>
            </w:r>
            <w:proofErr w:type="spellEnd"/>
          </w:p>
        </w:tc>
      </w:tr>
      <w:tr w:rsidR="006B2EC1" w14:paraId="588349F1" w14:textId="77777777" w:rsidTr="0047688D">
        <w:tc>
          <w:tcPr>
            <w:tcW w:w="0" w:type="auto"/>
            <w:gridSpan w:val="2"/>
            <w:shd w:val="clear" w:color="auto" w:fill="auto"/>
          </w:tcPr>
          <w:p w14:paraId="13FC7E3B" w14:textId="77777777" w:rsidR="008C5CFA" w:rsidRDefault="00E82A60" w:rsidP="00300A01">
            <w:pPr>
              <w:spacing w:before="0" w:after="0"/>
            </w:pPr>
            <w:r>
              <w:rPr>
                <w:b/>
              </w:rPr>
              <w:t xml:space="preserve">9. </w:t>
            </w:r>
            <w:proofErr w:type="spellStart"/>
            <w:r>
              <w:rPr>
                <w:b/>
              </w:rPr>
              <w:t>Rodzaj</w:t>
            </w:r>
            <w:proofErr w:type="spellEnd"/>
            <w:r>
              <w:rPr>
                <w:b/>
              </w:rPr>
              <w:t xml:space="preserve"> </w:t>
            </w:r>
            <w:proofErr w:type="spellStart"/>
            <w:r>
              <w:rPr>
                <w:b/>
              </w:rPr>
              <w:t>produktów</w:t>
            </w:r>
            <w:proofErr w:type="spellEnd"/>
            <w:r>
              <w:rPr>
                <w:b/>
              </w:rPr>
              <w:t xml:space="preserve"> </w:t>
            </w:r>
            <w:proofErr w:type="spellStart"/>
            <w:r>
              <w:rPr>
                <w:b/>
              </w:rPr>
              <w:t>zapewnianych</w:t>
            </w:r>
            <w:proofErr w:type="spellEnd"/>
            <w:r>
              <w:rPr>
                <w:b/>
              </w:rPr>
              <w:t xml:space="preserve"> </w:t>
            </w:r>
            <w:proofErr w:type="spellStart"/>
            <w:r>
              <w:rPr>
                <w:b/>
              </w:rPr>
              <w:t>przez</w:t>
            </w:r>
            <w:proofErr w:type="spellEnd"/>
            <w:r>
              <w:rPr>
                <w:b/>
              </w:rPr>
              <w:t xml:space="preserve"> instrument </w:t>
            </w:r>
            <w:proofErr w:type="spellStart"/>
            <w:r>
              <w:rPr>
                <w:b/>
              </w:rPr>
              <w:t>finansowy</w:t>
            </w:r>
            <w:proofErr w:type="spellEnd"/>
            <w:r>
              <w:rPr>
                <w:b/>
              </w:rPr>
              <w:t xml:space="preserve">: </w:t>
            </w:r>
            <w:proofErr w:type="spellStart"/>
            <w:r>
              <w:rPr>
                <w:b/>
              </w:rPr>
              <w:t>pożyczki</w:t>
            </w:r>
            <w:proofErr w:type="spellEnd"/>
            <w:r>
              <w:rPr>
                <w:b/>
              </w:rPr>
              <w:t xml:space="preserve">, </w:t>
            </w:r>
            <w:proofErr w:type="spellStart"/>
            <w:r>
              <w:rPr>
                <w:b/>
              </w:rPr>
              <w:t>mikropożyczki</w:t>
            </w:r>
            <w:proofErr w:type="spellEnd"/>
            <w:r>
              <w:rPr>
                <w:b/>
              </w:rPr>
              <w:t xml:space="preserve">, </w:t>
            </w:r>
            <w:proofErr w:type="spellStart"/>
            <w:r>
              <w:rPr>
                <w:b/>
              </w:rPr>
              <w:t>gwarancje</w:t>
            </w:r>
            <w:proofErr w:type="spellEnd"/>
            <w:r>
              <w:rPr>
                <w:b/>
              </w:rPr>
              <w:t xml:space="preserve">, </w:t>
            </w:r>
            <w:proofErr w:type="spellStart"/>
            <w:r>
              <w:rPr>
                <w:b/>
              </w:rPr>
              <w:t>inwestycje</w:t>
            </w:r>
            <w:proofErr w:type="spellEnd"/>
            <w:r>
              <w:rPr>
                <w:b/>
              </w:rPr>
              <w:t xml:space="preserve"> </w:t>
            </w:r>
            <w:proofErr w:type="spellStart"/>
            <w:r>
              <w:rPr>
                <w:b/>
              </w:rPr>
              <w:t>kapitałowe</w:t>
            </w:r>
            <w:proofErr w:type="spellEnd"/>
            <w:r>
              <w:rPr>
                <w:b/>
              </w:rPr>
              <w:t xml:space="preserve"> </w:t>
            </w:r>
            <w:proofErr w:type="spellStart"/>
            <w:r>
              <w:rPr>
                <w:b/>
              </w:rPr>
              <w:t>lub</w:t>
            </w:r>
            <w:proofErr w:type="spellEnd"/>
            <w:r>
              <w:rPr>
                <w:b/>
              </w:rPr>
              <w:t xml:space="preserve"> quasi-</w:t>
            </w:r>
            <w:proofErr w:type="spellStart"/>
            <w:r>
              <w:rPr>
                <w:b/>
              </w:rPr>
              <w:t>kapitałowe</w:t>
            </w:r>
            <w:proofErr w:type="spellEnd"/>
            <w:r>
              <w:rPr>
                <w:b/>
              </w:rPr>
              <w:t xml:space="preserve">, </w:t>
            </w:r>
            <w:proofErr w:type="spellStart"/>
            <w:r>
              <w:rPr>
                <w:b/>
              </w:rPr>
              <w:t>inny</w:t>
            </w:r>
            <w:proofErr w:type="spellEnd"/>
            <w:r>
              <w:rPr>
                <w:b/>
              </w:rPr>
              <w:t xml:space="preserve"> </w:t>
            </w:r>
            <w:proofErr w:type="spellStart"/>
            <w:r>
              <w:rPr>
                <w:b/>
              </w:rPr>
              <w:t>produkt</w:t>
            </w:r>
            <w:proofErr w:type="spellEnd"/>
            <w:r>
              <w:rPr>
                <w:b/>
              </w:rPr>
              <w:t xml:space="preserve"> </w:t>
            </w:r>
            <w:proofErr w:type="spellStart"/>
            <w:r>
              <w:rPr>
                <w:b/>
              </w:rPr>
              <w:t>finansowy</w:t>
            </w:r>
            <w:proofErr w:type="spellEnd"/>
            <w:r>
              <w:rPr>
                <w:b/>
              </w:rPr>
              <w:t xml:space="preserve"> </w:t>
            </w:r>
            <w:proofErr w:type="spellStart"/>
            <w:r>
              <w:rPr>
                <w:b/>
              </w:rPr>
              <w:t>lub</w:t>
            </w:r>
            <w:proofErr w:type="spellEnd"/>
            <w:r>
              <w:rPr>
                <w:b/>
              </w:rPr>
              <w:t xml:space="preserve"> </w:t>
            </w:r>
            <w:proofErr w:type="spellStart"/>
            <w:r>
              <w:rPr>
                <w:b/>
              </w:rPr>
              <w:t>inne</w:t>
            </w:r>
            <w:proofErr w:type="spellEnd"/>
            <w:r>
              <w:rPr>
                <w:b/>
              </w:rPr>
              <w:t xml:space="preserve"> </w:t>
            </w:r>
            <w:proofErr w:type="spellStart"/>
            <w:r>
              <w:rPr>
                <w:b/>
              </w:rPr>
              <w:t>wsparcie</w:t>
            </w:r>
            <w:proofErr w:type="spellEnd"/>
            <w:r>
              <w:rPr>
                <w:b/>
              </w:rPr>
              <w:t xml:space="preserve"> </w:t>
            </w:r>
            <w:proofErr w:type="spellStart"/>
            <w:r>
              <w:rPr>
                <w:b/>
              </w:rPr>
              <w:t>połączone</w:t>
            </w:r>
            <w:proofErr w:type="spellEnd"/>
            <w:r>
              <w:rPr>
                <w:b/>
              </w:rPr>
              <w:t xml:space="preserve"> w </w:t>
            </w:r>
            <w:proofErr w:type="spellStart"/>
            <w:r>
              <w:rPr>
                <w:b/>
              </w:rPr>
              <w:t>ramach</w:t>
            </w:r>
            <w:proofErr w:type="spellEnd"/>
            <w:r>
              <w:rPr>
                <w:b/>
              </w:rPr>
              <w:t xml:space="preserve"> </w:t>
            </w:r>
            <w:proofErr w:type="spellStart"/>
            <w:r>
              <w:rPr>
                <w:b/>
              </w:rPr>
              <w:t>instrumentu</w:t>
            </w:r>
            <w:proofErr w:type="spellEnd"/>
            <w:r>
              <w:rPr>
                <w:b/>
              </w:rPr>
              <w:t xml:space="preserve"> </w:t>
            </w:r>
            <w:proofErr w:type="spellStart"/>
            <w:r>
              <w:rPr>
                <w:b/>
              </w:rPr>
              <w:t>finansowego</w:t>
            </w:r>
            <w:proofErr w:type="spellEnd"/>
            <w:r>
              <w:rPr>
                <w:b/>
              </w:rPr>
              <w:t xml:space="preserve"> </w:t>
            </w:r>
            <w:proofErr w:type="spellStart"/>
            <w:r>
              <w:rPr>
                <w:b/>
              </w:rPr>
              <w:t>zgodnie</w:t>
            </w:r>
            <w:proofErr w:type="spellEnd"/>
            <w:r>
              <w:rPr>
                <w:b/>
              </w:rPr>
              <w:t xml:space="preserve"> z art. 37 </w:t>
            </w:r>
            <w:proofErr w:type="spellStart"/>
            <w:r>
              <w:rPr>
                <w:b/>
              </w:rPr>
              <w:t>ust</w:t>
            </w:r>
            <w:proofErr w:type="spellEnd"/>
            <w:r>
              <w:rPr>
                <w:b/>
              </w:rPr>
              <w:t xml:space="preserve">. 7 </w:t>
            </w:r>
            <w:proofErr w:type="spellStart"/>
            <w:r>
              <w:rPr>
                <w:b/>
              </w:rPr>
              <w:t>rozporządzenia</w:t>
            </w:r>
            <w:proofErr w:type="spellEnd"/>
            <w:r>
              <w:rPr>
                <w:b/>
              </w:rPr>
              <w:t xml:space="preserve"> (UE) nr 1303/2013</w:t>
            </w:r>
          </w:p>
        </w:tc>
      </w:tr>
      <w:tr w:rsidR="006B2EC1" w14:paraId="1145B54C" w14:textId="77777777" w:rsidTr="0047688D">
        <w:tc>
          <w:tcPr>
            <w:tcW w:w="0" w:type="auto"/>
            <w:shd w:val="clear" w:color="auto" w:fill="auto"/>
          </w:tcPr>
          <w:p w14:paraId="3FB87858" w14:textId="77777777" w:rsidR="008C5CFA" w:rsidRDefault="00E82A60" w:rsidP="00300A01">
            <w:pPr>
              <w:spacing w:before="0" w:after="0"/>
            </w:pPr>
            <w:r>
              <w:t xml:space="preserve">9.0.1.  </w:t>
            </w:r>
            <w:proofErr w:type="spellStart"/>
            <w:r>
              <w:t>Pożyczki</w:t>
            </w:r>
            <w:proofErr w:type="spellEnd"/>
            <w:r>
              <w:t xml:space="preserve"> (≥ EUR 25 000)</w:t>
            </w:r>
          </w:p>
        </w:tc>
        <w:tc>
          <w:tcPr>
            <w:tcW w:w="0" w:type="auto"/>
            <w:shd w:val="clear" w:color="auto" w:fill="auto"/>
          </w:tcPr>
          <w:p w14:paraId="22EDA0FC" w14:textId="77777777" w:rsidR="008C5CFA" w:rsidRDefault="00E82A60" w:rsidP="00300A01">
            <w:pPr>
              <w:spacing w:before="0" w:after="0"/>
              <w:jc w:val="right"/>
            </w:pPr>
            <w:proofErr w:type="spellStart"/>
            <w:r>
              <w:t>Tak</w:t>
            </w:r>
            <w:proofErr w:type="spellEnd"/>
          </w:p>
        </w:tc>
      </w:tr>
      <w:tr w:rsidR="006B2EC1" w14:paraId="00E670A4" w14:textId="77777777" w:rsidTr="0047688D">
        <w:tc>
          <w:tcPr>
            <w:tcW w:w="0" w:type="auto"/>
            <w:shd w:val="clear" w:color="auto" w:fill="auto"/>
          </w:tcPr>
          <w:p w14:paraId="3A48DE9B" w14:textId="77777777" w:rsidR="008C5CFA" w:rsidRDefault="00E82A60" w:rsidP="00300A01">
            <w:pPr>
              <w:spacing w:before="0" w:after="0"/>
            </w:pPr>
            <w:r>
              <w:t xml:space="preserve">9.0.2. </w:t>
            </w:r>
            <w:proofErr w:type="spellStart"/>
            <w:r>
              <w:t>Mikropożyczki</w:t>
            </w:r>
            <w:proofErr w:type="spellEnd"/>
            <w:r>
              <w:t xml:space="preserve"> (&lt; EUR 25 000 i </w:t>
            </w:r>
            <w:proofErr w:type="spellStart"/>
            <w:r>
              <w:t>udzielone</w:t>
            </w:r>
            <w:proofErr w:type="spellEnd"/>
            <w:r>
              <w:t xml:space="preserve"> </w:t>
            </w:r>
            <w:proofErr w:type="spellStart"/>
            <w:r>
              <w:t>mikroprzedsiębiorstwom</w:t>
            </w:r>
            <w:proofErr w:type="spellEnd"/>
            <w:r>
              <w:t xml:space="preserve">) </w:t>
            </w:r>
            <w:proofErr w:type="spellStart"/>
            <w:r>
              <w:t>zgodnie</w:t>
            </w:r>
            <w:proofErr w:type="spellEnd"/>
            <w:r>
              <w:t xml:space="preserve"> z SEC/2011/1134 final</w:t>
            </w:r>
          </w:p>
        </w:tc>
        <w:tc>
          <w:tcPr>
            <w:tcW w:w="0" w:type="auto"/>
            <w:shd w:val="clear" w:color="auto" w:fill="auto"/>
          </w:tcPr>
          <w:p w14:paraId="1890AA6A" w14:textId="77777777" w:rsidR="008C5CFA" w:rsidRDefault="00E82A60" w:rsidP="00300A01">
            <w:pPr>
              <w:spacing w:before="0" w:after="0"/>
              <w:jc w:val="right"/>
            </w:pPr>
            <w:proofErr w:type="spellStart"/>
            <w:r>
              <w:t>Nie</w:t>
            </w:r>
            <w:proofErr w:type="spellEnd"/>
          </w:p>
        </w:tc>
      </w:tr>
      <w:tr w:rsidR="006B2EC1" w14:paraId="6130F1BB" w14:textId="77777777" w:rsidTr="0047688D">
        <w:tc>
          <w:tcPr>
            <w:tcW w:w="0" w:type="auto"/>
            <w:shd w:val="clear" w:color="auto" w:fill="auto"/>
          </w:tcPr>
          <w:p w14:paraId="237BE5AC" w14:textId="77777777" w:rsidR="008C5CFA" w:rsidRDefault="00E82A60" w:rsidP="00300A01">
            <w:pPr>
              <w:spacing w:before="0" w:after="0"/>
            </w:pPr>
            <w:r>
              <w:t xml:space="preserve">9.0.3. </w:t>
            </w:r>
            <w:proofErr w:type="spellStart"/>
            <w:r>
              <w:t>Gwarancje</w:t>
            </w:r>
            <w:proofErr w:type="spellEnd"/>
          </w:p>
        </w:tc>
        <w:tc>
          <w:tcPr>
            <w:tcW w:w="0" w:type="auto"/>
            <w:shd w:val="clear" w:color="auto" w:fill="auto"/>
          </w:tcPr>
          <w:p w14:paraId="6326C3C3" w14:textId="77777777" w:rsidR="008C5CFA" w:rsidRDefault="00E82A60" w:rsidP="00300A01">
            <w:pPr>
              <w:spacing w:before="0" w:after="0"/>
              <w:jc w:val="right"/>
            </w:pPr>
            <w:proofErr w:type="spellStart"/>
            <w:r>
              <w:t>Nie</w:t>
            </w:r>
            <w:proofErr w:type="spellEnd"/>
          </w:p>
        </w:tc>
      </w:tr>
      <w:tr w:rsidR="006B2EC1" w14:paraId="0ECA9EBF" w14:textId="77777777" w:rsidTr="0047688D">
        <w:tc>
          <w:tcPr>
            <w:tcW w:w="0" w:type="auto"/>
            <w:shd w:val="clear" w:color="auto" w:fill="auto"/>
          </w:tcPr>
          <w:p w14:paraId="2DB68C05" w14:textId="77777777" w:rsidR="008C5CFA" w:rsidRDefault="00E82A60" w:rsidP="00300A01">
            <w:pPr>
              <w:spacing w:before="0" w:after="0"/>
            </w:pPr>
            <w:r>
              <w:t xml:space="preserve">9.0.4. </w:t>
            </w:r>
            <w:proofErr w:type="spellStart"/>
            <w:r>
              <w:t>Inwestycje</w:t>
            </w:r>
            <w:proofErr w:type="spellEnd"/>
            <w:r>
              <w:t xml:space="preserve"> </w:t>
            </w:r>
            <w:proofErr w:type="spellStart"/>
            <w:r>
              <w:t>kapitałowe</w:t>
            </w:r>
            <w:proofErr w:type="spellEnd"/>
          </w:p>
        </w:tc>
        <w:tc>
          <w:tcPr>
            <w:tcW w:w="0" w:type="auto"/>
            <w:shd w:val="clear" w:color="auto" w:fill="auto"/>
          </w:tcPr>
          <w:p w14:paraId="4F2663AC" w14:textId="77777777" w:rsidR="008C5CFA" w:rsidRDefault="00E82A60" w:rsidP="00300A01">
            <w:pPr>
              <w:spacing w:before="0" w:after="0"/>
              <w:jc w:val="right"/>
            </w:pPr>
            <w:proofErr w:type="spellStart"/>
            <w:r>
              <w:t>Nie</w:t>
            </w:r>
            <w:proofErr w:type="spellEnd"/>
          </w:p>
        </w:tc>
      </w:tr>
      <w:tr w:rsidR="006B2EC1" w14:paraId="4A470C4B" w14:textId="77777777" w:rsidTr="0047688D">
        <w:tc>
          <w:tcPr>
            <w:tcW w:w="0" w:type="auto"/>
            <w:shd w:val="clear" w:color="auto" w:fill="auto"/>
          </w:tcPr>
          <w:p w14:paraId="0E38B006" w14:textId="77777777" w:rsidR="008C5CFA" w:rsidRDefault="00E82A60" w:rsidP="00300A01">
            <w:pPr>
              <w:spacing w:before="0" w:after="0"/>
            </w:pPr>
            <w:r>
              <w:t xml:space="preserve">9.0.5. </w:t>
            </w:r>
            <w:proofErr w:type="spellStart"/>
            <w:r>
              <w:t>Inwestycja</w:t>
            </w:r>
            <w:proofErr w:type="spellEnd"/>
            <w:r>
              <w:t xml:space="preserve"> quasi-</w:t>
            </w:r>
            <w:proofErr w:type="spellStart"/>
            <w:r>
              <w:t>kapitałowa</w:t>
            </w:r>
            <w:proofErr w:type="spellEnd"/>
          </w:p>
        </w:tc>
        <w:tc>
          <w:tcPr>
            <w:tcW w:w="0" w:type="auto"/>
            <w:shd w:val="clear" w:color="auto" w:fill="auto"/>
          </w:tcPr>
          <w:p w14:paraId="2FC59738" w14:textId="77777777" w:rsidR="008C5CFA" w:rsidRDefault="00E82A60" w:rsidP="00300A01">
            <w:pPr>
              <w:spacing w:before="0" w:after="0"/>
              <w:jc w:val="right"/>
            </w:pPr>
            <w:proofErr w:type="spellStart"/>
            <w:r>
              <w:t>Nie</w:t>
            </w:r>
            <w:proofErr w:type="spellEnd"/>
          </w:p>
        </w:tc>
      </w:tr>
      <w:tr w:rsidR="006B2EC1" w14:paraId="13B48EA5" w14:textId="77777777" w:rsidTr="0047688D">
        <w:tc>
          <w:tcPr>
            <w:tcW w:w="0" w:type="auto"/>
            <w:shd w:val="clear" w:color="auto" w:fill="auto"/>
          </w:tcPr>
          <w:p w14:paraId="22AF87FE" w14:textId="77777777" w:rsidR="008C5CFA" w:rsidRDefault="00E82A60" w:rsidP="00300A01">
            <w:pPr>
              <w:spacing w:before="0" w:after="0"/>
            </w:pPr>
            <w:r>
              <w:t xml:space="preserve">9.0.6. </w:t>
            </w:r>
            <w:proofErr w:type="spellStart"/>
            <w:r>
              <w:t>Inne</w:t>
            </w:r>
            <w:proofErr w:type="spellEnd"/>
            <w:r>
              <w:t xml:space="preserve"> </w:t>
            </w:r>
            <w:proofErr w:type="spellStart"/>
            <w:r>
              <w:t>produkty</w:t>
            </w:r>
            <w:proofErr w:type="spellEnd"/>
            <w:r>
              <w:t xml:space="preserve"> </w:t>
            </w:r>
            <w:proofErr w:type="spellStart"/>
            <w:r>
              <w:t>finansowe</w:t>
            </w:r>
            <w:proofErr w:type="spellEnd"/>
          </w:p>
        </w:tc>
        <w:tc>
          <w:tcPr>
            <w:tcW w:w="0" w:type="auto"/>
            <w:shd w:val="clear" w:color="auto" w:fill="auto"/>
          </w:tcPr>
          <w:p w14:paraId="4300E095" w14:textId="77777777" w:rsidR="008C5CFA" w:rsidRDefault="00E82A60" w:rsidP="00300A01">
            <w:pPr>
              <w:spacing w:before="0" w:after="0"/>
              <w:jc w:val="right"/>
            </w:pPr>
            <w:proofErr w:type="spellStart"/>
            <w:r>
              <w:t>Nie</w:t>
            </w:r>
            <w:proofErr w:type="spellEnd"/>
          </w:p>
        </w:tc>
      </w:tr>
      <w:tr w:rsidR="006B2EC1" w14:paraId="08B49346" w14:textId="77777777" w:rsidTr="0047688D">
        <w:tc>
          <w:tcPr>
            <w:tcW w:w="0" w:type="auto"/>
            <w:shd w:val="clear" w:color="auto" w:fill="auto"/>
          </w:tcPr>
          <w:p w14:paraId="10D1139B" w14:textId="77777777" w:rsidR="008C5CFA" w:rsidRDefault="00E82A60" w:rsidP="00300A01">
            <w:pPr>
              <w:spacing w:before="0" w:after="0"/>
            </w:pPr>
            <w:r>
              <w:t xml:space="preserve">9.0.7. </w:t>
            </w:r>
            <w:proofErr w:type="spellStart"/>
            <w:r>
              <w:t>Inne</w:t>
            </w:r>
            <w:proofErr w:type="spellEnd"/>
            <w:r>
              <w:t xml:space="preserve"> </w:t>
            </w:r>
            <w:proofErr w:type="spellStart"/>
            <w:r>
              <w:t>wsparcie</w:t>
            </w:r>
            <w:proofErr w:type="spellEnd"/>
            <w:r>
              <w:t xml:space="preserve"> </w:t>
            </w:r>
            <w:proofErr w:type="spellStart"/>
            <w:r>
              <w:t>połączone</w:t>
            </w:r>
            <w:proofErr w:type="spellEnd"/>
            <w:r>
              <w:t xml:space="preserve"> z </w:t>
            </w:r>
            <w:proofErr w:type="spellStart"/>
            <w:r>
              <w:t>instrumentem</w:t>
            </w:r>
            <w:proofErr w:type="spellEnd"/>
            <w:r>
              <w:t xml:space="preserve"> </w:t>
            </w:r>
            <w:proofErr w:type="spellStart"/>
            <w:r>
              <w:t>finansowym</w:t>
            </w:r>
            <w:proofErr w:type="spellEnd"/>
          </w:p>
        </w:tc>
        <w:tc>
          <w:tcPr>
            <w:tcW w:w="0" w:type="auto"/>
            <w:shd w:val="clear" w:color="auto" w:fill="auto"/>
          </w:tcPr>
          <w:p w14:paraId="3FE9D59C" w14:textId="77777777" w:rsidR="008C5CFA" w:rsidRDefault="00E82A60" w:rsidP="00300A01">
            <w:pPr>
              <w:spacing w:before="0" w:after="0"/>
              <w:jc w:val="right"/>
            </w:pPr>
            <w:proofErr w:type="spellStart"/>
            <w:r>
              <w:t>Nie</w:t>
            </w:r>
            <w:proofErr w:type="spellEnd"/>
          </w:p>
        </w:tc>
      </w:tr>
      <w:tr w:rsidR="006B2EC1" w14:paraId="016126DC" w14:textId="77777777" w:rsidTr="0047688D">
        <w:tc>
          <w:tcPr>
            <w:tcW w:w="0" w:type="auto"/>
            <w:shd w:val="clear" w:color="auto" w:fill="auto"/>
          </w:tcPr>
          <w:p w14:paraId="1282907E" w14:textId="77777777" w:rsidR="008C5CFA" w:rsidRDefault="00E82A60" w:rsidP="00300A01">
            <w:pPr>
              <w:spacing w:before="0" w:after="0"/>
            </w:pPr>
            <w:r>
              <w:t xml:space="preserve">9.1. </w:t>
            </w:r>
            <w:proofErr w:type="spellStart"/>
            <w:r>
              <w:t>Opis</w:t>
            </w:r>
            <w:proofErr w:type="spellEnd"/>
            <w:r>
              <w:t xml:space="preserve"> </w:t>
            </w:r>
            <w:proofErr w:type="spellStart"/>
            <w:r>
              <w:t>innego</w:t>
            </w:r>
            <w:proofErr w:type="spellEnd"/>
            <w:r>
              <w:t xml:space="preserve"> </w:t>
            </w:r>
            <w:proofErr w:type="spellStart"/>
            <w:r>
              <w:t>produktu</w:t>
            </w:r>
            <w:proofErr w:type="spellEnd"/>
            <w:r>
              <w:t xml:space="preserve"> </w:t>
            </w:r>
            <w:proofErr w:type="spellStart"/>
            <w:r>
              <w:t>finansowego</w:t>
            </w:r>
            <w:proofErr w:type="spellEnd"/>
          </w:p>
        </w:tc>
        <w:tc>
          <w:tcPr>
            <w:tcW w:w="0" w:type="auto"/>
            <w:shd w:val="clear" w:color="auto" w:fill="auto"/>
          </w:tcPr>
          <w:p w14:paraId="35EDDDC2" w14:textId="77777777" w:rsidR="008C5CFA" w:rsidRDefault="008C5CFA" w:rsidP="00300A01">
            <w:pPr>
              <w:spacing w:before="0" w:after="0"/>
              <w:jc w:val="left"/>
            </w:pPr>
          </w:p>
        </w:tc>
      </w:tr>
      <w:tr w:rsidR="006B2EC1" w14:paraId="0FF5228E" w14:textId="77777777" w:rsidTr="0047688D">
        <w:tc>
          <w:tcPr>
            <w:tcW w:w="0" w:type="auto"/>
            <w:shd w:val="clear" w:color="auto" w:fill="auto"/>
          </w:tcPr>
          <w:p w14:paraId="071C6F10" w14:textId="77777777" w:rsidR="008C5CFA" w:rsidRDefault="00E82A60" w:rsidP="00300A01">
            <w:pPr>
              <w:spacing w:before="0" w:after="0"/>
            </w:pPr>
            <w:r>
              <w:t xml:space="preserve">9.2. </w:t>
            </w:r>
            <w:proofErr w:type="spellStart"/>
            <w:r>
              <w:t>Inne</w:t>
            </w:r>
            <w:proofErr w:type="spellEnd"/>
            <w:r>
              <w:t xml:space="preserve"> </w:t>
            </w:r>
            <w:proofErr w:type="spellStart"/>
            <w:r>
              <w:t>wsparcie</w:t>
            </w:r>
            <w:proofErr w:type="spellEnd"/>
            <w:r>
              <w:t xml:space="preserve"> </w:t>
            </w:r>
            <w:proofErr w:type="spellStart"/>
            <w:r>
              <w:t>połączone</w:t>
            </w:r>
            <w:proofErr w:type="spellEnd"/>
            <w:r>
              <w:t xml:space="preserve"> w </w:t>
            </w:r>
            <w:proofErr w:type="spellStart"/>
            <w:r>
              <w:t>ramach</w:t>
            </w:r>
            <w:proofErr w:type="spellEnd"/>
            <w:r>
              <w:t xml:space="preserve"> </w:t>
            </w:r>
            <w:proofErr w:type="spellStart"/>
            <w:r>
              <w:t>instrumentu</w:t>
            </w:r>
            <w:proofErr w:type="spellEnd"/>
            <w:r>
              <w:t xml:space="preserve"> </w:t>
            </w:r>
            <w:proofErr w:type="spellStart"/>
            <w:r>
              <w:t>finansowego</w:t>
            </w:r>
            <w:proofErr w:type="spellEnd"/>
            <w:r>
              <w:t xml:space="preserve">: </w:t>
            </w:r>
            <w:proofErr w:type="spellStart"/>
            <w:r>
              <w:t>dotacja</w:t>
            </w:r>
            <w:proofErr w:type="spellEnd"/>
            <w:r>
              <w:t xml:space="preserve">, </w:t>
            </w:r>
            <w:proofErr w:type="spellStart"/>
            <w:r>
              <w:t>dotacja</w:t>
            </w:r>
            <w:proofErr w:type="spellEnd"/>
            <w:r>
              <w:t xml:space="preserve"> </w:t>
            </w:r>
            <w:proofErr w:type="spellStart"/>
            <w:r>
              <w:t>na</w:t>
            </w:r>
            <w:proofErr w:type="spellEnd"/>
            <w:r>
              <w:t xml:space="preserve"> </w:t>
            </w:r>
            <w:proofErr w:type="spellStart"/>
            <w:r>
              <w:t>spłatę</w:t>
            </w:r>
            <w:proofErr w:type="spellEnd"/>
            <w:r>
              <w:t xml:space="preserve"> </w:t>
            </w:r>
            <w:proofErr w:type="spellStart"/>
            <w:r>
              <w:t>odsetek</w:t>
            </w:r>
            <w:proofErr w:type="spellEnd"/>
            <w:r>
              <w:t xml:space="preserve">, </w:t>
            </w:r>
            <w:proofErr w:type="spellStart"/>
            <w:r>
              <w:t>dotacja</w:t>
            </w:r>
            <w:proofErr w:type="spellEnd"/>
            <w:r>
              <w:t xml:space="preserve"> </w:t>
            </w:r>
            <w:proofErr w:type="spellStart"/>
            <w:r>
              <w:t>na</w:t>
            </w:r>
            <w:proofErr w:type="spellEnd"/>
            <w:r>
              <w:t xml:space="preserve"> </w:t>
            </w:r>
            <w:proofErr w:type="spellStart"/>
            <w:r>
              <w:t>opłaty</w:t>
            </w:r>
            <w:proofErr w:type="spellEnd"/>
            <w:r>
              <w:t xml:space="preserve"> </w:t>
            </w:r>
            <w:proofErr w:type="spellStart"/>
            <w:r>
              <w:t>gwarancyjne</w:t>
            </w:r>
            <w:proofErr w:type="spellEnd"/>
            <w:r>
              <w:t xml:space="preserve"> </w:t>
            </w:r>
            <w:proofErr w:type="spellStart"/>
            <w:r>
              <w:t>zgodnie</w:t>
            </w:r>
            <w:proofErr w:type="spellEnd"/>
            <w:r>
              <w:t xml:space="preserve"> z art. 37 </w:t>
            </w:r>
            <w:proofErr w:type="spellStart"/>
            <w:r>
              <w:t>ust</w:t>
            </w:r>
            <w:proofErr w:type="spellEnd"/>
            <w:r>
              <w:t xml:space="preserve">. 7 </w:t>
            </w:r>
            <w:proofErr w:type="spellStart"/>
            <w:r>
              <w:t>rozporządzenia</w:t>
            </w:r>
            <w:proofErr w:type="spellEnd"/>
            <w:r>
              <w:t xml:space="preserve"> (UE) nr 1303/2013</w:t>
            </w:r>
          </w:p>
        </w:tc>
        <w:tc>
          <w:tcPr>
            <w:tcW w:w="0" w:type="auto"/>
            <w:shd w:val="clear" w:color="auto" w:fill="auto"/>
          </w:tcPr>
          <w:p w14:paraId="68DD6193" w14:textId="77777777" w:rsidR="008C5CFA" w:rsidRDefault="008C5CFA" w:rsidP="00300A01">
            <w:pPr>
              <w:spacing w:before="0" w:after="0"/>
              <w:jc w:val="left"/>
            </w:pPr>
          </w:p>
        </w:tc>
      </w:tr>
      <w:tr w:rsidR="006B2EC1" w14:paraId="2F787B6B" w14:textId="77777777" w:rsidTr="0047688D">
        <w:tc>
          <w:tcPr>
            <w:tcW w:w="0" w:type="auto"/>
            <w:shd w:val="clear" w:color="auto" w:fill="auto"/>
          </w:tcPr>
          <w:p w14:paraId="4A3B4ACC" w14:textId="77777777" w:rsidR="008C5CFA" w:rsidRDefault="00E82A60" w:rsidP="00300A01">
            <w:pPr>
              <w:spacing w:before="0" w:after="0"/>
            </w:pPr>
            <w:r>
              <w:t xml:space="preserve">10. Status prawny </w:t>
            </w:r>
            <w:proofErr w:type="spellStart"/>
            <w:r>
              <w:t>instrumentu</w:t>
            </w:r>
            <w:proofErr w:type="spellEnd"/>
            <w:r>
              <w:t xml:space="preserve"> </w:t>
            </w:r>
            <w:proofErr w:type="spellStart"/>
            <w:r>
              <w:t>finansowego</w:t>
            </w:r>
            <w:proofErr w:type="spellEnd"/>
            <w:r>
              <w:t xml:space="preserve"> </w:t>
            </w:r>
            <w:proofErr w:type="spellStart"/>
            <w:r>
              <w:t>zgodnie</w:t>
            </w:r>
            <w:proofErr w:type="spellEnd"/>
            <w:r>
              <w:t xml:space="preserve"> z art. 38 </w:t>
            </w:r>
            <w:proofErr w:type="spellStart"/>
            <w:r>
              <w:t>ust</w:t>
            </w:r>
            <w:proofErr w:type="spellEnd"/>
            <w:r>
              <w:t xml:space="preserve">. 6 i art. 39a </w:t>
            </w:r>
            <w:proofErr w:type="spellStart"/>
            <w:r>
              <w:t>ust</w:t>
            </w:r>
            <w:proofErr w:type="spellEnd"/>
            <w:r>
              <w:t xml:space="preserve">. 5 lit. b) </w:t>
            </w:r>
            <w:proofErr w:type="spellStart"/>
            <w:r>
              <w:t>rozporządzenia</w:t>
            </w:r>
            <w:proofErr w:type="spellEnd"/>
            <w:r>
              <w:t xml:space="preserve"> (UE) nr 1303/2013 (</w:t>
            </w:r>
            <w:proofErr w:type="spellStart"/>
            <w:r>
              <w:t>dotyczy</w:t>
            </w:r>
            <w:proofErr w:type="spellEnd"/>
            <w:r>
              <w:t xml:space="preserve"> </w:t>
            </w:r>
            <w:proofErr w:type="spellStart"/>
            <w:r>
              <w:t>wyłącznie</w:t>
            </w:r>
            <w:proofErr w:type="spellEnd"/>
            <w:r>
              <w:t xml:space="preserve"> </w:t>
            </w:r>
            <w:proofErr w:type="spellStart"/>
            <w:r>
              <w:t>instrumentów</w:t>
            </w:r>
            <w:proofErr w:type="spellEnd"/>
            <w:r>
              <w:t xml:space="preserve"> </w:t>
            </w:r>
            <w:proofErr w:type="spellStart"/>
            <w:r>
              <w:t>finansowych</w:t>
            </w:r>
            <w:proofErr w:type="spellEnd"/>
            <w:r>
              <w:t xml:space="preserve">, o </w:t>
            </w:r>
            <w:proofErr w:type="spellStart"/>
            <w:r>
              <w:t>których</w:t>
            </w:r>
            <w:proofErr w:type="spellEnd"/>
            <w:r>
              <w:t xml:space="preserve"> </w:t>
            </w:r>
            <w:proofErr w:type="spellStart"/>
            <w:r>
              <w:t>mowa</w:t>
            </w:r>
            <w:proofErr w:type="spellEnd"/>
            <w:r>
              <w:t xml:space="preserve"> w art. 38 </w:t>
            </w:r>
            <w:proofErr w:type="spellStart"/>
            <w:r>
              <w:t>ust</w:t>
            </w:r>
            <w:proofErr w:type="spellEnd"/>
            <w:r>
              <w:t xml:space="preserve">. 1 lit. b) i c)): </w:t>
            </w:r>
            <w:proofErr w:type="spellStart"/>
            <w:r>
              <w:t>rachunek</w:t>
            </w:r>
            <w:proofErr w:type="spellEnd"/>
            <w:r>
              <w:t xml:space="preserve"> </w:t>
            </w:r>
            <w:proofErr w:type="spellStart"/>
            <w:r>
              <w:t>powierniczy</w:t>
            </w:r>
            <w:proofErr w:type="spellEnd"/>
            <w:r>
              <w:t xml:space="preserve"> </w:t>
            </w:r>
            <w:proofErr w:type="spellStart"/>
            <w:r>
              <w:t>otwarty</w:t>
            </w:r>
            <w:proofErr w:type="spellEnd"/>
            <w:r>
              <w:t xml:space="preserve"> w </w:t>
            </w:r>
            <w:proofErr w:type="spellStart"/>
            <w:r>
              <w:t>imieniu</w:t>
            </w:r>
            <w:proofErr w:type="spellEnd"/>
            <w:r>
              <w:t xml:space="preserve"> </w:t>
            </w:r>
            <w:proofErr w:type="spellStart"/>
            <w:r>
              <w:t>podmiotu</w:t>
            </w:r>
            <w:proofErr w:type="spellEnd"/>
            <w:r>
              <w:t xml:space="preserve"> </w:t>
            </w:r>
            <w:proofErr w:type="spellStart"/>
            <w:r>
              <w:t>wdrażającego</w:t>
            </w:r>
            <w:proofErr w:type="spellEnd"/>
            <w:r>
              <w:t xml:space="preserve"> </w:t>
            </w:r>
            <w:proofErr w:type="spellStart"/>
            <w:r>
              <w:t>oraz</w:t>
            </w:r>
            <w:proofErr w:type="spellEnd"/>
            <w:r>
              <w:t xml:space="preserve"> w </w:t>
            </w:r>
            <w:proofErr w:type="spellStart"/>
            <w:r>
              <w:t>imieniu</w:t>
            </w:r>
            <w:proofErr w:type="spellEnd"/>
            <w:r>
              <w:t xml:space="preserve"> </w:t>
            </w:r>
            <w:proofErr w:type="spellStart"/>
            <w:r>
              <w:t>instytucji</w:t>
            </w:r>
            <w:proofErr w:type="spellEnd"/>
            <w:r>
              <w:t xml:space="preserve"> </w:t>
            </w:r>
            <w:proofErr w:type="spellStart"/>
            <w:r>
              <w:t>zarządzającej</w:t>
            </w:r>
            <w:proofErr w:type="spellEnd"/>
            <w:r>
              <w:t xml:space="preserve"> </w:t>
            </w:r>
            <w:proofErr w:type="spellStart"/>
            <w:r>
              <w:t>lub</w:t>
            </w:r>
            <w:proofErr w:type="spellEnd"/>
            <w:r>
              <w:t xml:space="preserve"> </w:t>
            </w:r>
            <w:proofErr w:type="spellStart"/>
            <w:r>
              <w:t>oddzielny</w:t>
            </w:r>
            <w:proofErr w:type="spellEnd"/>
            <w:r>
              <w:t xml:space="preserve"> </w:t>
            </w:r>
            <w:proofErr w:type="spellStart"/>
            <w:r>
              <w:t>blok</w:t>
            </w:r>
            <w:proofErr w:type="spellEnd"/>
            <w:r>
              <w:t xml:space="preserve"> </w:t>
            </w:r>
            <w:proofErr w:type="spellStart"/>
            <w:r>
              <w:t>finansowy</w:t>
            </w:r>
            <w:proofErr w:type="spellEnd"/>
            <w:r>
              <w:t xml:space="preserve"> w </w:t>
            </w:r>
            <w:proofErr w:type="spellStart"/>
            <w:r>
              <w:t>ramach</w:t>
            </w:r>
            <w:proofErr w:type="spellEnd"/>
            <w:r>
              <w:t xml:space="preserve"> </w:t>
            </w:r>
            <w:proofErr w:type="spellStart"/>
            <w:r>
              <w:t>instytucji</w:t>
            </w:r>
            <w:proofErr w:type="spellEnd"/>
            <w:r>
              <w:t xml:space="preserve"> </w:t>
            </w:r>
            <w:proofErr w:type="spellStart"/>
            <w:r>
              <w:t>finansowej</w:t>
            </w:r>
            <w:proofErr w:type="spellEnd"/>
          </w:p>
        </w:tc>
        <w:tc>
          <w:tcPr>
            <w:tcW w:w="0" w:type="auto"/>
            <w:shd w:val="clear" w:color="auto" w:fill="auto"/>
          </w:tcPr>
          <w:p w14:paraId="5FB14A33" w14:textId="77777777" w:rsidR="008C5CFA" w:rsidRDefault="00E82A60" w:rsidP="00300A01">
            <w:pPr>
              <w:spacing w:before="0" w:after="0"/>
              <w:jc w:val="left"/>
            </w:pPr>
            <w:proofErr w:type="spellStart"/>
            <w:r>
              <w:t>Oddzielny</w:t>
            </w:r>
            <w:proofErr w:type="spellEnd"/>
            <w:r>
              <w:t xml:space="preserve"> </w:t>
            </w:r>
            <w:proofErr w:type="spellStart"/>
            <w:r>
              <w:t>blok</w:t>
            </w:r>
            <w:proofErr w:type="spellEnd"/>
            <w:r>
              <w:t xml:space="preserve"> </w:t>
            </w:r>
            <w:proofErr w:type="spellStart"/>
            <w:r>
              <w:t>finansowy</w:t>
            </w:r>
            <w:proofErr w:type="spellEnd"/>
          </w:p>
        </w:tc>
      </w:tr>
      <w:tr w:rsidR="006B2EC1" w14:paraId="37EAEF35" w14:textId="77777777" w:rsidTr="0047688D">
        <w:tc>
          <w:tcPr>
            <w:tcW w:w="0" w:type="auto"/>
            <w:gridSpan w:val="2"/>
            <w:shd w:val="clear" w:color="auto" w:fill="auto"/>
          </w:tcPr>
          <w:p w14:paraId="3C237922" w14:textId="77777777" w:rsidR="008C5CFA" w:rsidRDefault="00E82A60" w:rsidP="00300A01">
            <w:pPr>
              <w:spacing w:before="0" w:after="0"/>
            </w:pPr>
            <w:r>
              <w:rPr>
                <w:b/>
              </w:rPr>
              <w:t xml:space="preserve">III. </w:t>
            </w:r>
            <w:proofErr w:type="spellStart"/>
            <w:r>
              <w:rPr>
                <w:b/>
              </w:rPr>
              <w:t>Określenie</w:t>
            </w:r>
            <w:proofErr w:type="spellEnd"/>
            <w:r>
              <w:rPr>
                <w:b/>
              </w:rPr>
              <w:t xml:space="preserve"> </w:t>
            </w:r>
            <w:proofErr w:type="spellStart"/>
            <w:r>
              <w:rPr>
                <w:b/>
              </w:rPr>
              <w:t>podmiotu</w:t>
            </w:r>
            <w:proofErr w:type="spellEnd"/>
            <w:r>
              <w:rPr>
                <w:b/>
              </w:rPr>
              <w:t xml:space="preserve"> </w:t>
            </w:r>
            <w:proofErr w:type="spellStart"/>
            <w:r>
              <w:rPr>
                <w:b/>
              </w:rPr>
              <w:t>wdrażającego</w:t>
            </w:r>
            <w:proofErr w:type="spellEnd"/>
            <w:r>
              <w:rPr>
                <w:b/>
              </w:rPr>
              <w:t xml:space="preserve"> instrument </w:t>
            </w:r>
            <w:proofErr w:type="spellStart"/>
            <w:r>
              <w:rPr>
                <w:b/>
              </w:rPr>
              <w:t>finansowy</w:t>
            </w:r>
            <w:proofErr w:type="spellEnd"/>
            <w:r>
              <w:rPr>
                <w:b/>
              </w:rPr>
              <w:t xml:space="preserve"> </w:t>
            </w:r>
            <w:proofErr w:type="spellStart"/>
            <w:r>
              <w:rPr>
                <w:b/>
              </w:rPr>
              <w:t>oraz</w:t>
            </w:r>
            <w:proofErr w:type="spellEnd"/>
            <w:r>
              <w:rPr>
                <w:b/>
              </w:rPr>
              <w:t xml:space="preserve">, w </w:t>
            </w:r>
            <w:proofErr w:type="spellStart"/>
            <w:r>
              <w:rPr>
                <w:b/>
              </w:rPr>
              <w:t>stosownych</w:t>
            </w:r>
            <w:proofErr w:type="spellEnd"/>
            <w:r>
              <w:rPr>
                <w:b/>
              </w:rPr>
              <w:t xml:space="preserve"> </w:t>
            </w:r>
            <w:proofErr w:type="spellStart"/>
            <w:r>
              <w:rPr>
                <w:b/>
              </w:rPr>
              <w:t>przypadkach</w:t>
            </w:r>
            <w:proofErr w:type="spellEnd"/>
            <w:r>
              <w:rPr>
                <w:b/>
              </w:rPr>
              <w:t xml:space="preserve">, </w:t>
            </w:r>
            <w:proofErr w:type="spellStart"/>
            <w:r>
              <w:rPr>
                <w:b/>
              </w:rPr>
              <w:t>podmiotu</w:t>
            </w:r>
            <w:proofErr w:type="spellEnd"/>
            <w:r>
              <w:rPr>
                <w:b/>
              </w:rPr>
              <w:t xml:space="preserve"> </w:t>
            </w:r>
            <w:proofErr w:type="spellStart"/>
            <w:r>
              <w:rPr>
                <w:b/>
              </w:rPr>
              <w:t>wdrażającego</w:t>
            </w:r>
            <w:proofErr w:type="spellEnd"/>
            <w:r>
              <w:rPr>
                <w:b/>
              </w:rPr>
              <w:t xml:space="preserve"> </w:t>
            </w:r>
            <w:proofErr w:type="spellStart"/>
            <w:r>
              <w:rPr>
                <w:b/>
              </w:rPr>
              <w:t>fundusz</w:t>
            </w:r>
            <w:proofErr w:type="spellEnd"/>
            <w:r>
              <w:rPr>
                <w:b/>
              </w:rPr>
              <w:t xml:space="preserve"> </w:t>
            </w:r>
            <w:proofErr w:type="spellStart"/>
            <w:r>
              <w:rPr>
                <w:b/>
              </w:rPr>
              <w:t>funduszy</w:t>
            </w:r>
            <w:proofErr w:type="spellEnd"/>
            <w:r>
              <w:rPr>
                <w:b/>
              </w:rPr>
              <w:t xml:space="preserve">, o </w:t>
            </w:r>
            <w:proofErr w:type="spellStart"/>
            <w:r>
              <w:rPr>
                <w:b/>
              </w:rPr>
              <w:t>którym</w:t>
            </w:r>
            <w:proofErr w:type="spellEnd"/>
            <w:r>
              <w:rPr>
                <w:b/>
              </w:rPr>
              <w:t xml:space="preserve"> </w:t>
            </w:r>
            <w:proofErr w:type="spellStart"/>
            <w:r>
              <w:rPr>
                <w:b/>
              </w:rPr>
              <w:t>mowa</w:t>
            </w:r>
            <w:proofErr w:type="spellEnd"/>
            <w:r>
              <w:rPr>
                <w:b/>
              </w:rPr>
              <w:t xml:space="preserve"> w art. 38 </w:t>
            </w:r>
            <w:proofErr w:type="spellStart"/>
            <w:r>
              <w:rPr>
                <w:b/>
              </w:rPr>
              <w:t>ust</w:t>
            </w:r>
            <w:proofErr w:type="spellEnd"/>
            <w:r>
              <w:rPr>
                <w:b/>
              </w:rPr>
              <w:t xml:space="preserve">. 1 lit. a), b) i c) </w:t>
            </w:r>
            <w:proofErr w:type="spellStart"/>
            <w:r>
              <w:rPr>
                <w:b/>
              </w:rPr>
              <w:t>rozporządzenia</w:t>
            </w:r>
            <w:proofErr w:type="spellEnd"/>
            <w:r>
              <w:rPr>
                <w:b/>
              </w:rPr>
              <w:t xml:space="preserve"> (UE) nr 1303/2013 (art. 46 </w:t>
            </w:r>
            <w:proofErr w:type="spellStart"/>
            <w:r>
              <w:rPr>
                <w:b/>
              </w:rPr>
              <w:t>ust</w:t>
            </w:r>
            <w:proofErr w:type="spellEnd"/>
            <w:r>
              <w:rPr>
                <w:b/>
              </w:rPr>
              <w:t xml:space="preserve">. 2 lit. c) </w:t>
            </w:r>
            <w:proofErr w:type="spellStart"/>
            <w:r>
              <w:rPr>
                <w:b/>
              </w:rPr>
              <w:t>rozporządzenia</w:t>
            </w:r>
            <w:proofErr w:type="spellEnd"/>
            <w:r>
              <w:rPr>
                <w:b/>
              </w:rPr>
              <w:t xml:space="preserve"> (UE) nr 1303/2013)</w:t>
            </w:r>
          </w:p>
        </w:tc>
      </w:tr>
      <w:tr w:rsidR="006B2EC1" w14:paraId="33F081A6" w14:textId="77777777" w:rsidTr="0047688D">
        <w:tc>
          <w:tcPr>
            <w:tcW w:w="0" w:type="auto"/>
            <w:gridSpan w:val="2"/>
            <w:shd w:val="clear" w:color="auto" w:fill="auto"/>
          </w:tcPr>
          <w:p w14:paraId="4AE7A6A2" w14:textId="77777777" w:rsidR="008C5CFA" w:rsidRDefault="00E82A60" w:rsidP="00300A01">
            <w:pPr>
              <w:spacing w:before="0" w:after="0"/>
            </w:pPr>
            <w:r>
              <w:rPr>
                <w:b/>
              </w:rPr>
              <w:t xml:space="preserve">11. </w:t>
            </w:r>
            <w:proofErr w:type="spellStart"/>
            <w:r>
              <w:rPr>
                <w:b/>
              </w:rPr>
              <w:t>Podmiot</w:t>
            </w:r>
            <w:proofErr w:type="spellEnd"/>
            <w:r>
              <w:rPr>
                <w:b/>
              </w:rPr>
              <w:t xml:space="preserve"> </w:t>
            </w:r>
            <w:proofErr w:type="spellStart"/>
            <w:r>
              <w:rPr>
                <w:b/>
              </w:rPr>
              <w:t>wdrażający</w:t>
            </w:r>
            <w:proofErr w:type="spellEnd"/>
            <w:r>
              <w:rPr>
                <w:b/>
              </w:rPr>
              <w:t xml:space="preserve"> instrument </w:t>
            </w:r>
            <w:proofErr w:type="spellStart"/>
            <w:r>
              <w:rPr>
                <w:b/>
              </w:rPr>
              <w:t>finansowy</w:t>
            </w:r>
            <w:proofErr w:type="spellEnd"/>
          </w:p>
        </w:tc>
      </w:tr>
      <w:tr w:rsidR="006B2EC1" w14:paraId="7AA7F05B" w14:textId="77777777" w:rsidTr="0047688D">
        <w:tc>
          <w:tcPr>
            <w:tcW w:w="0" w:type="auto"/>
            <w:shd w:val="clear" w:color="auto" w:fill="auto"/>
          </w:tcPr>
          <w:p w14:paraId="2CAA8D41" w14:textId="77777777" w:rsidR="008C5CFA" w:rsidRDefault="00E82A60" w:rsidP="00300A01">
            <w:pPr>
              <w:spacing w:before="0" w:after="0"/>
            </w:pPr>
            <w:r>
              <w:t xml:space="preserve">11.1. </w:t>
            </w:r>
            <w:proofErr w:type="spellStart"/>
            <w:r>
              <w:t>Rodzaj</w:t>
            </w:r>
            <w:proofErr w:type="spellEnd"/>
            <w:r>
              <w:t xml:space="preserve"> </w:t>
            </w:r>
            <w:proofErr w:type="spellStart"/>
            <w:r>
              <w:t>podmiotu</w:t>
            </w:r>
            <w:proofErr w:type="spellEnd"/>
            <w:r>
              <w:t xml:space="preserve"> </w:t>
            </w:r>
            <w:proofErr w:type="spellStart"/>
            <w:r>
              <w:t>wdrażającego</w:t>
            </w:r>
            <w:proofErr w:type="spellEnd"/>
            <w:r>
              <w:t xml:space="preserve"> </w:t>
            </w:r>
            <w:proofErr w:type="spellStart"/>
            <w:r>
              <w:t>zgodnie</w:t>
            </w:r>
            <w:proofErr w:type="spellEnd"/>
            <w:r>
              <w:t xml:space="preserve"> z art. 38 </w:t>
            </w:r>
            <w:proofErr w:type="spellStart"/>
            <w:r>
              <w:t>ust</w:t>
            </w:r>
            <w:proofErr w:type="spellEnd"/>
            <w:r>
              <w:t xml:space="preserve">. 4 i art. 39a </w:t>
            </w:r>
            <w:proofErr w:type="spellStart"/>
            <w:r>
              <w:t>ust</w:t>
            </w:r>
            <w:proofErr w:type="spellEnd"/>
            <w:r>
              <w:t xml:space="preserve">. 5 </w:t>
            </w:r>
            <w:proofErr w:type="spellStart"/>
            <w:r>
              <w:t>rozporządzenia</w:t>
            </w:r>
            <w:proofErr w:type="spellEnd"/>
            <w:r>
              <w:t xml:space="preserve"> (UE) nr 1303/2013: </w:t>
            </w:r>
            <w:proofErr w:type="spellStart"/>
            <w:r>
              <w:t>istniejący</w:t>
            </w:r>
            <w:proofErr w:type="spellEnd"/>
            <w:r>
              <w:t xml:space="preserve"> </w:t>
            </w:r>
            <w:proofErr w:type="spellStart"/>
            <w:r>
              <w:t>lub</w:t>
            </w:r>
            <w:proofErr w:type="spellEnd"/>
            <w:r>
              <w:t xml:space="preserve"> </w:t>
            </w:r>
            <w:proofErr w:type="spellStart"/>
            <w:r>
              <w:t>nowo</w:t>
            </w:r>
            <w:proofErr w:type="spellEnd"/>
            <w:r>
              <w:t xml:space="preserve"> </w:t>
            </w:r>
            <w:proofErr w:type="spellStart"/>
            <w:r>
              <w:t>utworzony</w:t>
            </w:r>
            <w:proofErr w:type="spellEnd"/>
            <w:r>
              <w:t xml:space="preserve"> </w:t>
            </w:r>
            <w:proofErr w:type="spellStart"/>
            <w:r>
              <w:t>podmiot</w:t>
            </w:r>
            <w:proofErr w:type="spellEnd"/>
            <w:r>
              <w:t xml:space="preserve"> prawny </w:t>
            </w:r>
            <w:proofErr w:type="spellStart"/>
            <w:r>
              <w:t>zajmujący</w:t>
            </w:r>
            <w:proofErr w:type="spellEnd"/>
            <w:r>
              <w:t xml:space="preserve"> </w:t>
            </w:r>
            <w:proofErr w:type="spellStart"/>
            <w:r>
              <w:t>się</w:t>
            </w:r>
            <w:proofErr w:type="spellEnd"/>
            <w:r>
              <w:t xml:space="preserve"> </w:t>
            </w:r>
            <w:proofErr w:type="spellStart"/>
            <w:r>
              <w:t>wdrażaniem</w:t>
            </w:r>
            <w:proofErr w:type="spellEnd"/>
            <w:r>
              <w:t xml:space="preserve"> </w:t>
            </w:r>
            <w:proofErr w:type="spellStart"/>
            <w:r>
              <w:t>instrumentów</w:t>
            </w:r>
            <w:proofErr w:type="spellEnd"/>
            <w:r>
              <w:t xml:space="preserve"> </w:t>
            </w:r>
            <w:proofErr w:type="spellStart"/>
            <w:r>
              <w:t>finansowych</w:t>
            </w:r>
            <w:proofErr w:type="spellEnd"/>
            <w:r>
              <w:t xml:space="preserve">; </w:t>
            </w:r>
            <w:proofErr w:type="spellStart"/>
            <w:r>
              <w:t>Europejski</w:t>
            </w:r>
            <w:proofErr w:type="spellEnd"/>
            <w:r>
              <w:t xml:space="preserve"> Bank </w:t>
            </w:r>
            <w:proofErr w:type="spellStart"/>
            <w:r>
              <w:t>Inwestycyjny</w:t>
            </w:r>
            <w:proofErr w:type="spellEnd"/>
            <w:r>
              <w:t xml:space="preserve">; </w:t>
            </w:r>
            <w:proofErr w:type="spellStart"/>
            <w:r>
              <w:t>Europejski</w:t>
            </w:r>
            <w:proofErr w:type="spellEnd"/>
            <w:r>
              <w:t xml:space="preserve"> </w:t>
            </w:r>
            <w:proofErr w:type="spellStart"/>
            <w:r>
              <w:t>Fundusz</w:t>
            </w:r>
            <w:proofErr w:type="spellEnd"/>
            <w:r>
              <w:t xml:space="preserve"> </w:t>
            </w:r>
            <w:proofErr w:type="spellStart"/>
            <w:r>
              <w:t>Inwestycyjny</w:t>
            </w:r>
            <w:proofErr w:type="spellEnd"/>
            <w:r>
              <w:t xml:space="preserve">; </w:t>
            </w:r>
            <w:proofErr w:type="spellStart"/>
            <w:r>
              <w:t>międzynarodowa</w:t>
            </w:r>
            <w:proofErr w:type="spellEnd"/>
            <w:r>
              <w:t xml:space="preserve"> </w:t>
            </w:r>
            <w:proofErr w:type="spellStart"/>
            <w:r>
              <w:t>instytucja</w:t>
            </w:r>
            <w:proofErr w:type="spellEnd"/>
            <w:r>
              <w:t xml:space="preserve"> </w:t>
            </w:r>
            <w:proofErr w:type="spellStart"/>
            <w:r>
              <w:t>finansowa</w:t>
            </w:r>
            <w:proofErr w:type="spellEnd"/>
            <w:r>
              <w:t xml:space="preserve">, w </w:t>
            </w:r>
            <w:proofErr w:type="spellStart"/>
            <w:r>
              <w:t>której</w:t>
            </w:r>
            <w:proofErr w:type="spellEnd"/>
            <w:r>
              <w:t xml:space="preserve"> </w:t>
            </w:r>
            <w:proofErr w:type="spellStart"/>
            <w:r>
              <w:t>państwo</w:t>
            </w:r>
            <w:proofErr w:type="spellEnd"/>
            <w:r>
              <w:t xml:space="preserve"> </w:t>
            </w:r>
            <w:proofErr w:type="spellStart"/>
            <w:r>
              <w:t>członkowskie</w:t>
            </w:r>
            <w:proofErr w:type="spellEnd"/>
            <w:r>
              <w:t xml:space="preserve"> </w:t>
            </w:r>
            <w:proofErr w:type="spellStart"/>
            <w:r>
              <w:t>posiada</w:t>
            </w:r>
            <w:proofErr w:type="spellEnd"/>
            <w:r>
              <w:t xml:space="preserve"> </w:t>
            </w:r>
            <w:proofErr w:type="spellStart"/>
            <w:r>
              <w:t>akcje</w:t>
            </w:r>
            <w:proofErr w:type="spellEnd"/>
            <w:r>
              <w:t xml:space="preserve"> </w:t>
            </w:r>
            <w:proofErr w:type="spellStart"/>
            <w:r>
              <w:t>lub</w:t>
            </w:r>
            <w:proofErr w:type="spellEnd"/>
            <w:r>
              <w:t xml:space="preserve"> </w:t>
            </w:r>
            <w:proofErr w:type="spellStart"/>
            <w:r>
              <w:t>udziały</w:t>
            </w:r>
            <w:proofErr w:type="spellEnd"/>
            <w:r>
              <w:t xml:space="preserve">; bank </w:t>
            </w:r>
            <w:proofErr w:type="spellStart"/>
            <w:r>
              <w:t>publiczny</w:t>
            </w:r>
            <w:proofErr w:type="spellEnd"/>
            <w:r>
              <w:t xml:space="preserve"> </w:t>
            </w:r>
            <w:proofErr w:type="spellStart"/>
            <w:r>
              <w:t>lub</w:t>
            </w:r>
            <w:proofErr w:type="spellEnd"/>
            <w:r>
              <w:t xml:space="preserve"> </w:t>
            </w:r>
            <w:proofErr w:type="spellStart"/>
            <w:r>
              <w:t>instytucja</w:t>
            </w:r>
            <w:proofErr w:type="spellEnd"/>
            <w:r>
              <w:t xml:space="preserve"> </w:t>
            </w:r>
            <w:proofErr w:type="spellStart"/>
            <w:r>
              <w:t>publiczna</w:t>
            </w:r>
            <w:proofErr w:type="spellEnd"/>
            <w:r>
              <w:t xml:space="preserve">, </w:t>
            </w:r>
            <w:proofErr w:type="spellStart"/>
            <w:r>
              <w:t>ustanowione</w:t>
            </w:r>
            <w:proofErr w:type="spellEnd"/>
            <w:r>
              <w:t xml:space="preserve"> </w:t>
            </w:r>
            <w:proofErr w:type="spellStart"/>
            <w:r>
              <w:t>jako</w:t>
            </w:r>
            <w:proofErr w:type="spellEnd"/>
            <w:r>
              <w:t xml:space="preserve"> </w:t>
            </w:r>
            <w:proofErr w:type="spellStart"/>
            <w:r>
              <w:t>podmioty</w:t>
            </w:r>
            <w:proofErr w:type="spellEnd"/>
            <w:r>
              <w:t xml:space="preserve"> </w:t>
            </w:r>
            <w:proofErr w:type="spellStart"/>
            <w:r>
              <w:t>prawne</w:t>
            </w:r>
            <w:proofErr w:type="spellEnd"/>
            <w:r>
              <w:t xml:space="preserve"> </w:t>
            </w:r>
            <w:proofErr w:type="spellStart"/>
            <w:r>
              <w:t>prowadzące</w:t>
            </w:r>
            <w:proofErr w:type="spellEnd"/>
            <w:r>
              <w:t xml:space="preserve"> </w:t>
            </w:r>
            <w:proofErr w:type="spellStart"/>
            <w:r>
              <w:t>profesjonalną</w:t>
            </w:r>
            <w:proofErr w:type="spellEnd"/>
            <w:r>
              <w:t xml:space="preserve"> </w:t>
            </w:r>
            <w:proofErr w:type="spellStart"/>
            <w:r>
              <w:t>działalność</w:t>
            </w:r>
            <w:proofErr w:type="spellEnd"/>
            <w:r>
              <w:t xml:space="preserve"> </w:t>
            </w:r>
            <w:proofErr w:type="spellStart"/>
            <w:r>
              <w:t>finansową</w:t>
            </w:r>
            <w:proofErr w:type="spellEnd"/>
            <w:r>
              <w:t xml:space="preserve">; </w:t>
            </w:r>
            <w:proofErr w:type="spellStart"/>
            <w:r>
              <w:t>podmiot</w:t>
            </w:r>
            <w:proofErr w:type="spellEnd"/>
            <w:r>
              <w:t xml:space="preserve"> </w:t>
            </w:r>
            <w:proofErr w:type="spellStart"/>
            <w:r>
              <w:t>prawa</w:t>
            </w:r>
            <w:proofErr w:type="spellEnd"/>
            <w:r>
              <w:t xml:space="preserve"> </w:t>
            </w:r>
            <w:proofErr w:type="spellStart"/>
            <w:r>
              <w:t>publicznego</w:t>
            </w:r>
            <w:proofErr w:type="spellEnd"/>
            <w:r>
              <w:t xml:space="preserve"> </w:t>
            </w:r>
            <w:proofErr w:type="spellStart"/>
            <w:r>
              <w:t>lub</w:t>
            </w:r>
            <w:proofErr w:type="spellEnd"/>
            <w:r>
              <w:t xml:space="preserve"> </w:t>
            </w:r>
            <w:proofErr w:type="spellStart"/>
            <w:r>
              <w:t>prywatnego</w:t>
            </w:r>
            <w:proofErr w:type="spellEnd"/>
            <w:r>
              <w:t xml:space="preserve">; </w:t>
            </w:r>
            <w:proofErr w:type="spellStart"/>
            <w:r>
              <w:t>instytucja</w:t>
            </w:r>
            <w:proofErr w:type="spellEnd"/>
            <w:r>
              <w:t xml:space="preserve"> </w:t>
            </w:r>
            <w:proofErr w:type="spellStart"/>
            <w:r>
              <w:t>zarządzająca</w:t>
            </w:r>
            <w:proofErr w:type="spellEnd"/>
            <w:r>
              <w:t xml:space="preserve"> </w:t>
            </w:r>
            <w:proofErr w:type="spellStart"/>
            <w:r>
              <w:t>bezpośrednio</w:t>
            </w:r>
            <w:proofErr w:type="spellEnd"/>
            <w:r>
              <w:t xml:space="preserve"> </w:t>
            </w:r>
            <w:proofErr w:type="spellStart"/>
            <w:r>
              <w:t>podejmująca</w:t>
            </w:r>
            <w:proofErr w:type="spellEnd"/>
            <w:r>
              <w:t xml:space="preserve"> </w:t>
            </w:r>
            <w:proofErr w:type="spellStart"/>
            <w:r>
              <w:t>zadania</w:t>
            </w:r>
            <w:proofErr w:type="spellEnd"/>
            <w:r>
              <w:t xml:space="preserve"> </w:t>
            </w:r>
            <w:proofErr w:type="spellStart"/>
            <w:r>
              <w:t>wdrożeniowe</w:t>
            </w:r>
            <w:proofErr w:type="spellEnd"/>
            <w:r>
              <w:t xml:space="preserve"> (</w:t>
            </w:r>
            <w:proofErr w:type="spellStart"/>
            <w:r>
              <w:t>tylko</w:t>
            </w:r>
            <w:proofErr w:type="spellEnd"/>
            <w:r>
              <w:t xml:space="preserve"> w </w:t>
            </w:r>
            <w:proofErr w:type="spellStart"/>
            <w:r>
              <w:t>przypadku</w:t>
            </w:r>
            <w:proofErr w:type="spellEnd"/>
            <w:r>
              <w:t xml:space="preserve"> </w:t>
            </w:r>
            <w:proofErr w:type="spellStart"/>
            <w:r>
              <w:t>pożyczek</w:t>
            </w:r>
            <w:proofErr w:type="spellEnd"/>
            <w:r>
              <w:t xml:space="preserve"> i </w:t>
            </w:r>
            <w:proofErr w:type="spellStart"/>
            <w:r>
              <w:t>gwarancji</w:t>
            </w:r>
            <w:proofErr w:type="spellEnd"/>
            <w:r>
              <w:t>)</w:t>
            </w:r>
          </w:p>
        </w:tc>
        <w:tc>
          <w:tcPr>
            <w:tcW w:w="0" w:type="auto"/>
            <w:shd w:val="clear" w:color="auto" w:fill="auto"/>
          </w:tcPr>
          <w:p w14:paraId="25F9C930" w14:textId="77777777" w:rsidR="008C5CFA" w:rsidRDefault="00E82A60" w:rsidP="00300A01">
            <w:pPr>
              <w:spacing w:before="0" w:after="0"/>
              <w:jc w:val="left"/>
            </w:pPr>
            <w:r>
              <w:t xml:space="preserve">Bank </w:t>
            </w:r>
            <w:proofErr w:type="spellStart"/>
            <w:r>
              <w:t>publiczny</w:t>
            </w:r>
            <w:proofErr w:type="spellEnd"/>
            <w:r>
              <w:t xml:space="preserve"> </w:t>
            </w:r>
            <w:proofErr w:type="spellStart"/>
            <w:r>
              <w:t>lub</w:t>
            </w:r>
            <w:proofErr w:type="spellEnd"/>
            <w:r>
              <w:t xml:space="preserve"> </w:t>
            </w:r>
            <w:proofErr w:type="spellStart"/>
            <w:r>
              <w:t>instytucja</w:t>
            </w:r>
            <w:proofErr w:type="spellEnd"/>
            <w:r>
              <w:t xml:space="preserve"> </w:t>
            </w:r>
            <w:proofErr w:type="spellStart"/>
            <w:r>
              <w:t>publiczna</w:t>
            </w:r>
            <w:proofErr w:type="spellEnd"/>
          </w:p>
        </w:tc>
      </w:tr>
      <w:tr w:rsidR="006B2EC1" w14:paraId="49B48E9C" w14:textId="77777777" w:rsidTr="0047688D">
        <w:tc>
          <w:tcPr>
            <w:tcW w:w="0" w:type="auto"/>
            <w:shd w:val="clear" w:color="auto" w:fill="auto"/>
          </w:tcPr>
          <w:p w14:paraId="17BCBC8F" w14:textId="77777777" w:rsidR="008C5CFA" w:rsidRDefault="00E82A60" w:rsidP="00300A01">
            <w:pPr>
              <w:spacing w:before="0" w:after="0"/>
            </w:pPr>
            <w:r>
              <w:t xml:space="preserve">11.1.1. </w:t>
            </w:r>
            <w:proofErr w:type="spellStart"/>
            <w:r>
              <w:t>Nazwa</w:t>
            </w:r>
            <w:proofErr w:type="spellEnd"/>
            <w:r>
              <w:t xml:space="preserve"> </w:t>
            </w:r>
            <w:proofErr w:type="spellStart"/>
            <w:r>
              <w:t>podmiotu</w:t>
            </w:r>
            <w:proofErr w:type="spellEnd"/>
            <w:r>
              <w:t xml:space="preserve"> </w:t>
            </w:r>
            <w:proofErr w:type="spellStart"/>
            <w:r>
              <w:t>wdrażającego</w:t>
            </w:r>
            <w:proofErr w:type="spellEnd"/>
            <w:r>
              <w:t xml:space="preserve"> instrument </w:t>
            </w:r>
            <w:proofErr w:type="spellStart"/>
            <w:r>
              <w:t>finansowy</w:t>
            </w:r>
            <w:proofErr w:type="spellEnd"/>
          </w:p>
        </w:tc>
        <w:tc>
          <w:tcPr>
            <w:tcW w:w="0" w:type="auto"/>
            <w:shd w:val="clear" w:color="auto" w:fill="auto"/>
          </w:tcPr>
          <w:p w14:paraId="3E9A8A33" w14:textId="77777777" w:rsidR="008C5CFA" w:rsidRDefault="00E82A60" w:rsidP="00300A01">
            <w:pPr>
              <w:spacing w:before="0" w:after="0"/>
              <w:jc w:val="left"/>
            </w:pPr>
            <w:r>
              <w:t xml:space="preserve">Bank </w:t>
            </w:r>
            <w:proofErr w:type="spellStart"/>
            <w:r>
              <w:t>Gospodarstwa</w:t>
            </w:r>
            <w:proofErr w:type="spellEnd"/>
            <w:r>
              <w:t xml:space="preserve"> </w:t>
            </w:r>
            <w:proofErr w:type="spellStart"/>
            <w:r>
              <w:t>Krajowego</w:t>
            </w:r>
            <w:proofErr w:type="spellEnd"/>
          </w:p>
        </w:tc>
      </w:tr>
      <w:tr w:rsidR="006B2EC1" w14:paraId="6BD18D61" w14:textId="77777777" w:rsidTr="0047688D">
        <w:tc>
          <w:tcPr>
            <w:tcW w:w="0" w:type="auto"/>
            <w:shd w:val="clear" w:color="auto" w:fill="auto"/>
          </w:tcPr>
          <w:p w14:paraId="2ECFC679" w14:textId="77777777" w:rsidR="008C5CFA" w:rsidRDefault="00E82A60" w:rsidP="00300A01">
            <w:pPr>
              <w:spacing w:before="0" w:after="0"/>
            </w:pPr>
            <w:r>
              <w:t xml:space="preserve">11.1.2. </w:t>
            </w:r>
            <w:proofErr w:type="spellStart"/>
            <w:r>
              <w:t>Oficjalny</w:t>
            </w:r>
            <w:proofErr w:type="spellEnd"/>
            <w:r>
              <w:t xml:space="preserve"> </w:t>
            </w:r>
            <w:proofErr w:type="spellStart"/>
            <w:r>
              <w:t>adres</w:t>
            </w:r>
            <w:proofErr w:type="spellEnd"/>
            <w:r>
              <w:t>/</w:t>
            </w:r>
            <w:proofErr w:type="spellStart"/>
            <w:r>
              <w:t>miejsce</w:t>
            </w:r>
            <w:proofErr w:type="spellEnd"/>
            <w:r>
              <w:t xml:space="preserve"> </w:t>
            </w:r>
            <w:proofErr w:type="spellStart"/>
            <w:r>
              <w:t>prowadzenia</w:t>
            </w:r>
            <w:proofErr w:type="spellEnd"/>
            <w:r>
              <w:t xml:space="preserve"> </w:t>
            </w:r>
            <w:proofErr w:type="spellStart"/>
            <w:r>
              <w:t>działalności</w:t>
            </w:r>
            <w:proofErr w:type="spellEnd"/>
            <w:r>
              <w:t xml:space="preserve"> (</w:t>
            </w:r>
            <w:proofErr w:type="spellStart"/>
            <w:r>
              <w:t>nazwa</w:t>
            </w:r>
            <w:proofErr w:type="spellEnd"/>
            <w:r>
              <w:t xml:space="preserve"> </w:t>
            </w:r>
            <w:proofErr w:type="spellStart"/>
            <w:r>
              <w:t>państwa</w:t>
            </w:r>
            <w:proofErr w:type="spellEnd"/>
            <w:r>
              <w:t xml:space="preserve"> i </w:t>
            </w:r>
            <w:proofErr w:type="spellStart"/>
            <w:r>
              <w:t>miejscowości</w:t>
            </w:r>
            <w:proofErr w:type="spellEnd"/>
            <w:r>
              <w:t xml:space="preserve">) </w:t>
            </w:r>
            <w:proofErr w:type="spellStart"/>
            <w:r>
              <w:t>podmiotu</w:t>
            </w:r>
            <w:proofErr w:type="spellEnd"/>
            <w:r>
              <w:t xml:space="preserve"> </w:t>
            </w:r>
            <w:proofErr w:type="spellStart"/>
            <w:r>
              <w:t>wdrażającego</w:t>
            </w:r>
            <w:proofErr w:type="spellEnd"/>
            <w:r>
              <w:t xml:space="preserve"> instrument </w:t>
            </w:r>
            <w:proofErr w:type="spellStart"/>
            <w:r>
              <w:t>finansowy</w:t>
            </w:r>
            <w:proofErr w:type="spellEnd"/>
          </w:p>
        </w:tc>
        <w:tc>
          <w:tcPr>
            <w:tcW w:w="0" w:type="auto"/>
            <w:shd w:val="clear" w:color="auto" w:fill="auto"/>
          </w:tcPr>
          <w:p w14:paraId="73FDD497" w14:textId="77777777" w:rsidR="008C5CFA" w:rsidRDefault="00E82A60" w:rsidP="00300A01">
            <w:pPr>
              <w:spacing w:before="0" w:after="0"/>
              <w:jc w:val="left"/>
            </w:pPr>
            <w:proofErr w:type="spellStart"/>
            <w:r>
              <w:t>Polska</w:t>
            </w:r>
            <w:proofErr w:type="spellEnd"/>
            <w:r>
              <w:t>, Warszawa</w:t>
            </w:r>
          </w:p>
        </w:tc>
      </w:tr>
      <w:tr w:rsidR="006B2EC1" w14:paraId="55AC7694" w14:textId="77777777" w:rsidTr="0047688D">
        <w:tc>
          <w:tcPr>
            <w:tcW w:w="0" w:type="auto"/>
            <w:shd w:val="clear" w:color="auto" w:fill="auto"/>
          </w:tcPr>
          <w:p w14:paraId="6129AB10" w14:textId="77777777" w:rsidR="008C5CFA" w:rsidRDefault="00E82A60" w:rsidP="00300A01">
            <w:pPr>
              <w:spacing w:before="0" w:after="0"/>
            </w:pPr>
            <w:r>
              <w:lastRenderedPageBreak/>
              <w:t xml:space="preserve">12. </w:t>
            </w:r>
            <w:proofErr w:type="spellStart"/>
            <w:r>
              <w:t>Procedura</w:t>
            </w:r>
            <w:proofErr w:type="spellEnd"/>
            <w:r>
              <w:t xml:space="preserve"> </w:t>
            </w:r>
            <w:proofErr w:type="spellStart"/>
            <w:r>
              <w:t>wyboru</w:t>
            </w:r>
            <w:proofErr w:type="spellEnd"/>
            <w:r>
              <w:t xml:space="preserve"> </w:t>
            </w:r>
            <w:proofErr w:type="spellStart"/>
            <w:r>
              <w:t>podmiotu</w:t>
            </w:r>
            <w:proofErr w:type="spellEnd"/>
            <w:r>
              <w:t xml:space="preserve"> </w:t>
            </w:r>
            <w:proofErr w:type="spellStart"/>
            <w:r>
              <w:t>wdrażającego</w:t>
            </w:r>
            <w:proofErr w:type="spellEnd"/>
            <w:r>
              <w:t xml:space="preserve"> instrument </w:t>
            </w:r>
            <w:proofErr w:type="spellStart"/>
            <w:r>
              <w:t>finansowy</w:t>
            </w:r>
            <w:proofErr w:type="spellEnd"/>
            <w:r>
              <w:t xml:space="preserve">: </w:t>
            </w:r>
            <w:proofErr w:type="spellStart"/>
            <w:r>
              <w:t>udzielenie</w:t>
            </w:r>
            <w:proofErr w:type="spellEnd"/>
            <w:r>
              <w:t xml:space="preserve"> </w:t>
            </w:r>
            <w:proofErr w:type="spellStart"/>
            <w:r>
              <w:t>zamówienia</w:t>
            </w:r>
            <w:proofErr w:type="spellEnd"/>
            <w:r>
              <w:t xml:space="preserve"> </w:t>
            </w:r>
            <w:proofErr w:type="spellStart"/>
            <w:r>
              <w:t>publicznego</w:t>
            </w:r>
            <w:proofErr w:type="spellEnd"/>
            <w:r>
              <w:t xml:space="preserve">; </w:t>
            </w:r>
            <w:proofErr w:type="spellStart"/>
            <w:r>
              <w:t>inna</w:t>
            </w:r>
            <w:proofErr w:type="spellEnd"/>
            <w:r>
              <w:t xml:space="preserve"> </w:t>
            </w:r>
            <w:proofErr w:type="spellStart"/>
            <w:r>
              <w:t>procedura</w:t>
            </w:r>
            <w:proofErr w:type="spellEnd"/>
          </w:p>
        </w:tc>
        <w:tc>
          <w:tcPr>
            <w:tcW w:w="0" w:type="auto"/>
            <w:shd w:val="clear" w:color="auto" w:fill="auto"/>
          </w:tcPr>
          <w:p w14:paraId="16946326" w14:textId="77777777" w:rsidR="008C5CFA" w:rsidRDefault="00E82A60" w:rsidP="00300A01">
            <w:pPr>
              <w:spacing w:before="0" w:after="0"/>
              <w:jc w:val="left"/>
            </w:pPr>
            <w:proofErr w:type="spellStart"/>
            <w:r>
              <w:t>Pozostałe</w:t>
            </w:r>
            <w:proofErr w:type="spellEnd"/>
          </w:p>
        </w:tc>
      </w:tr>
      <w:tr w:rsidR="006B2EC1" w14:paraId="1F9D402E" w14:textId="77777777" w:rsidTr="0047688D">
        <w:tc>
          <w:tcPr>
            <w:tcW w:w="0" w:type="auto"/>
            <w:shd w:val="clear" w:color="auto" w:fill="auto"/>
          </w:tcPr>
          <w:p w14:paraId="544DFA6F" w14:textId="77777777" w:rsidR="008C5CFA" w:rsidRDefault="00E82A60" w:rsidP="00300A01">
            <w:pPr>
              <w:spacing w:before="0" w:after="0"/>
            </w:pPr>
            <w:r>
              <w:t xml:space="preserve">12.1. </w:t>
            </w:r>
            <w:proofErr w:type="spellStart"/>
            <w:r>
              <w:t>Opis</w:t>
            </w:r>
            <w:proofErr w:type="spellEnd"/>
            <w:r>
              <w:t xml:space="preserve"> </w:t>
            </w:r>
            <w:proofErr w:type="spellStart"/>
            <w:r>
              <w:t>innej</w:t>
            </w:r>
            <w:proofErr w:type="spellEnd"/>
            <w:r>
              <w:t xml:space="preserve"> </w:t>
            </w:r>
            <w:proofErr w:type="spellStart"/>
            <w:r>
              <w:t>procedury</w:t>
            </w:r>
            <w:proofErr w:type="spellEnd"/>
            <w:r>
              <w:t xml:space="preserve"> </w:t>
            </w:r>
            <w:proofErr w:type="spellStart"/>
            <w:r>
              <w:t>wyboru</w:t>
            </w:r>
            <w:proofErr w:type="spellEnd"/>
            <w:r>
              <w:t xml:space="preserve"> </w:t>
            </w:r>
            <w:proofErr w:type="spellStart"/>
            <w:r>
              <w:t>podmiotu</w:t>
            </w:r>
            <w:proofErr w:type="spellEnd"/>
            <w:r>
              <w:t xml:space="preserve"> </w:t>
            </w:r>
            <w:proofErr w:type="spellStart"/>
            <w:r>
              <w:t>wdrażającego</w:t>
            </w:r>
            <w:proofErr w:type="spellEnd"/>
            <w:r>
              <w:t xml:space="preserve"> instrument </w:t>
            </w:r>
            <w:proofErr w:type="spellStart"/>
            <w:r>
              <w:t>finansowy</w:t>
            </w:r>
            <w:proofErr w:type="spellEnd"/>
          </w:p>
        </w:tc>
        <w:tc>
          <w:tcPr>
            <w:tcW w:w="0" w:type="auto"/>
            <w:shd w:val="clear" w:color="auto" w:fill="auto"/>
          </w:tcPr>
          <w:p w14:paraId="4E8D5907" w14:textId="77777777" w:rsidR="008C5CFA" w:rsidRDefault="00E82A60" w:rsidP="00300A01">
            <w:pPr>
              <w:spacing w:before="0" w:after="0"/>
              <w:jc w:val="left"/>
            </w:pPr>
            <w:proofErr w:type="spellStart"/>
            <w:r>
              <w:t>Wybór</w:t>
            </w:r>
            <w:proofErr w:type="spellEnd"/>
            <w:r>
              <w:t xml:space="preserve"> </w:t>
            </w:r>
            <w:proofErr w:type="spellStart"/>
            <w:r>
              <w:t>podmiotu</w:t>
            </w:r>
            <w:proofErr w:type="spellEnd"/>
            <w:r>
              <w:t xml:space="preserve"> </w:t>
            </w:r>
            <w:proofErr w:type="spellStart"/>
            <w:r>
              <w:t>wdrażającego</w:t>
            </w:r>
            <w:proofErr w:type="spellEnd"/>
            <w:r>
              <w:t xml:space="preserve"> IF w </w:t>
            </w:r>
            <w:proofErr w:type="spellStart"/>
            <w:r>
              <w:t>ramach</w:t>
            </w:r>
            <w:proofErr w:type="spellEnd"/>
            <w:r>
              <w:t xml:space="preserve"> </w:t>
            </w:r>
            <w:proofErr w:type="spellStart"/>
            <w:r>
              <w:t>wspólpracy</w:t>
            </w:r>
            <w:proofErr w:type="spellEnd"/>
            <w:r>
              <w:t xml:space="preserve"> </w:t>
            </w:r>
            <w:proofErr w:type="spellStart"/>
            <w:r>
              <w:t>publiczno</w:t>
            </w:r>
            <w:proofErr w:type="spellEnd"/>
            <w:r>
              <w:t xml:space="preserve"> - </w:t>
            </w:r>
            <w:proofErr w:type="spellStart"/>
            <w:r>
              <w:t>publicznej</w:t>
            </w:r>
            <w:proofErr w:type="spellEnd"/>
            <w:r>
              <w:t xml:space="preserve"> </w:t>
            </w:r>
            <w:proofErr w:type="spellStart"/>
            <w:r>
              <w:t>zgodnie</w:t>
            </w:r>
            <w:proofErr w:type="spellEnd"/>
            <w:r>
              <w:t xml:space="preserve"> z </w:t>
            </w:r>
            <w:proofErr w:type="spellStart"/>
            <w:r>
              <w:t>obowiązującymi</w:t>
            </w:r>
            <w:proofErr w:type="spellEnd"/>
            <w:r>
              <w:t xml:space="preserve"> </w:t>
            </w:r>
            <w:proofErr w:type="spellStart"/>
            <w:r>
              <w:t>przepisami</w:t>
            </w:r>
            <w:proofErr w:type="spellEnd"/>
            <w:r>
              <w:t xml:space="preserve"> </w:t>
            </w:r>
            <w:proofErr w:type="spellStart"/>
            <w:r>
              <w:t>prawa</w:t>
            </w:r>
            <w:proofErr w:type="spellEnd"/>
            <w:r>
              <w:t xml:space="preserve"> w </w:t>
            </w:r>
            <w:proofErr w:type="spellStart"/>
            <w:r>
              <w:t>tym</w:t>
            </w:r>
            <w:proofErr w:type="spellEnd"/>
            <w:r>
              <w:t xml:space="preserve"> w </w:t>
            </w:r>
            <w:proofErr w:type="spellStart"/>
            <w:r>
              <w:t>zakresei</w:t>
            </w:r>
            <w:proofErr w:type="spellEnd"/>
            <w:r>
              <w:t xml:space="preserve"> </w:t>
            </w:r>
            <w:proofErr w:type="spellStart"/>
            <w:r>
              <w:t>zamówień</w:t>
            </w:r>
            <w:proofErr w:type="spellEnd"/>
            <w:r>
              <w:t xml:space="preserve"> </w:t>
            </w:r>
            <w:proofErr w:type="spellStart"/>
            <w:r>
              <w:t>publicznych</w:t>
            </w:r>
            <w:proofErr w:type="spellEnd"/>
          </w:p>
        </w:tc>
      </w:tr>
      <w:tr w:rsidR="006B2EC1" w14:paraId="277E0191" w14:textId="77777777" w:rsidTr="0047688D">
        <w:tc>
          <w:tcPr>
            <w:tcW w:w="0" w:type="auto"/>
            <w:shd w:val="clear" w:color="auto" w:fill="auto"/>
          </w:tcPr>
          <w:p w14:paraId="6EB3E7FE" w14:textId="77777777" w:rsidR="008C5CFA" w:rsidRDefault="00E82A60" w:rsidP="00300A01">
            <w:pPr>
              <w:spacing w:before="0" w:after="0"/>
            </w:pPr>
            <w:r>
              <w:t xml:space="preserve">13. Data </w:t>
            </w:r>
            <w:proofErr w:type="spellStart"/>
            <w:r>
              <w:t>podpisania</w:t>
            </w:r>
            <w:proofErr w:type="spellEnd"/>
            <w:r>
              <w:t xml:space="preserve"> </w:t>
            </w:r>
            <w:proofErr w:type="spellStart"/>
            <w:r>
              <w:t>umowy</w:t>
            </w:r>
            <w:proofErr w:type="spellEnd"/>
            <w:r>
              <w:t xml:space="preserve"> o </w:t>
            </w:r>
            <w:proofErr w:type="spellStart"/>
            <w:r>
              <w:t>finansowaniu</w:t>
            </w:r>
            <w:proofErr w:type="spellEnd"/>
            <w:r>
              <w:t xml:space="preserve"> z </w:t>
            </w:r>
            <w:proofErr w:type="spellStart"/>
            <w:r>
              <w:t>podmiotem</w:t>
            </w:r>
            <w:proofErr w:type="spellEnd"/>
            <w:r>
              <w:t xml:space="preserve"> </w:t>
            </w:r>
            <w:proofErr w:type="spellStart"/>
            <w:r>
              <w:t>wdrażającym</w:t>
            </w:r>
            <w:proofErr w:type="spellEnd"/>
            <w:r>
              <w:t xml:space="preserve"> instrument </w:t>
            </w:r>
            <w:proofErr w:type="spellStart"/>
            <w:r>
              <w:t>finansowy</w:t>
            </w:r>
            <w:proofErr w:type="spellEnd"/>
          </w:p>
        </w:tc>
        <w:tc>
          <w:tcPr>
            <w:tcW w:w="0" w:type="auto"/>
            <w:shd w:val="clear" w:color="auto" w:fill="auto"/>
          </w:tcPr>
          <w:p w14:paraId="06D7FFD3" w14:textId="77777777" w:rsidR="008C5CFA" w:rsidRDefault="00E82A60" w:rsidP="00300A01">
            <w:pPr>
              <w:spacing w:before="0" w:after="0"/>
              <w:jc w:val="right"/>
            </w:pPr>
            <w:r>
              <w:t>2017-06-30</w:t>
            </w:r>
          </w:p>
        </w:tc>
      </w:tr>
      <w:tr w:rsidR="006B2EC1" w14:paraId="5FFB0AA2" w14:textId="77777777" w:rsidTr="0047688D">
        <w:tc>
          <w:tcPr>
            <w:tcW w:w="0" w:type="auto"/>
            <w:gridSpan w:val="2"/>
            <w:shd w:val="clear" w:color="auto" w:fill="auto"/>
          </w:tcPr>
          <w:p w14:paraId="280EEF32" w14:textId="77777777" w:rsidR="008C5CFA" w:rsidRDefault="00E82A60" w:rsidP="00300A01">
            <w:pPr>
              <w:spacing w:before="0" w:after="0"/>
            </w:pPr>
            <w:r>
              <w:rPr>
                <w:b/>
              </w:rPr>
              <w:t xml:space="preserve">IV. </w:t>
            </w:r>
            <w:proofErr w:type="spellStart"/>
            <w:r>
              <w:rPr>
                <w:b/>
              </w:rPr>
              <w:t>Łączna</w:t>
            </w:r>
            <w:proofErr w:type="spellEnd"/>
            <w:r>
              <w:rPr>
                <w:b/>
              </w:rPr>
              <w:t xml:space="preserve"> </w:t>
            </w:r>
            <w:proofErr w:type="spellStart"/>
            <w:r>
              <w:rPr>
                <w:b/>
              </w:rPr>
              <w:t>kwota</w:t>
            </w:r>
            <w:proofErr w:type="spellEnd"/>
            <w:r>
              <w:rPr>
                <w:b/>
              </w:rPr>
              <w:t xml:space="preserve"> </w:t>
            </w:r>
            <w:proofErr w:type="spellStart"/>
            <w:r>
              <w:rPr>
                <w:b/>
              </w:rPr>
              <w:t>wkładów</w:t>
            </w:r>
            <w:proofErr w:type="spellEnd"/>
            <w:r>
              <w:rPr>
                <w:b/>
              </w:rPr>
              <w:t xml:space="preserve"> z </w:t>
            </w:r>
            <w:proofErr w:type="spellStart"/>
            <w:r>
              <w:rPr>
                <w:b/>
              </w:rPr>
              <w:t>programu</w:t>
            </w:r>
            <w:proofErr w:type="spellEnd"/>
            <w:r>
              <w:rPr>
                <w:b/>
              </w:rPr>
              <w:t xml:space="preserve">, w </w:t>
            </w:r>
            <w:proofErr w:type="spellStart"/>
            <w:r>
              <w:rPr>
                <w:b/>
              </w:rPr>
              <w:t>podziale</w:t>
            </w:r>
            <w:proofErr w:type="spellEnd"/>
            <w:r>
              <w:rPr>
                <w:b/>
              </w:rPr>
              <w:t xml:space="preserve"> </w:t>
            </w:r>
            <w:proofErr w:type="spellStart"/>
            <w:r>
              <w:rPr>
                <w:b/>
              </w:rPr>
              <w:t>na</w:t>
            </w:r>
            <w:proofErr w:type="spellEnd"/>
            <w:r>
              <w:rPr>
                <w:b/>
              </w:rPr>
              <w:t xml:space="preserve"> </w:t>
            </w:r>
            <w:proofErr w:type="spellStart"/>
            <w:r>
              <w:rPr>
                <w:b/>
              </w:rPr>
              <w:t>priorytety</w:t>
            </w:r>
            <w:proofErr w:type="spellEnd"/>
            <w:r>
              <w:rPr>
                <w:b/>
              </w:rPr>
              <w:t xml:space="preserve"> </w:t>
            </w:r>
            <w:proofErr w:type="spellStart"/>
            <w:r>
              <w:rPr>
                <w:b/>
              </w:rPr>
              <w:t>lub</w:t>
            </w:r>
            <w:proofErr w:type="spellEnd"/>
            <w:r>
              <w:rPr>
                <w:b/>
              </w:rPr>
              <w:t xml:space="preserve"> </w:t>
            </w:r>
            <w:proofErr w:type="spellStart"/>
            <w:r>
              <w:rPr>
                <w:b/>
              </w:rPr>
              <w:t>środki</w:t>
            </w:r>
            <w:proofErr w:type="spellEnd"/>
            <w:r>
              <w:rPr>
                <w:b/>
              </w:rPr>
              <w:t xml:space="preserve">, </w:t>
            </w:r>
            <w:proofErr w:type="spellStart"/>
            <w:r>
              <w:rPr>
                <w:b/>
              </w:rPr>
              <w:t>wypłacona</w:t>
            </w:r>
            <w:proofErr w:type="spellEnd"/>
            <w:r>
              <w:rPr>
                <w:b/>
              </w:rPr>
              <w:t xml:space="preserve"> </w:t>
            </w:r>
            <w:proofErr w:type="spellStart"/>
            <w:r>
              <w:rPr>
                <w:b/>
              </w:rPr>
              <w:t>na</w:t>
            </w:r>
            <w:proofErr w:type="spellEnd"/>
            <w:r>
              <w:rPr>
                <w:b/>
              </w:rPr>
              <w:t xml:space="preserve"> </w:t>
            </w:r>
            <w:proofErr w:type="spellStart"/>
            <w:r>
              <w:rPr>
                <w:b/>
              </w:rPr>
              <w:t>rzecz</w:t>
            </w:r>
            <w:proofErr w:type="spellEnd"/>
            <w:r>
              <w:rPr>
                <w:b/>
              </w:rPr>
              <w:t xml:space="preserve"> </w:t>
            </w:r>
            <w:proofErr w:type="spellStart"/>
            <w:r>
              <w:rPr>
                <w:b/>
              </w:rPr>
              <w:t>instrumentu</w:t>
            </w:r>
            <w:proofErr w:type="spellEnd"/>
            <w:r>
              <w:rPr>
                <w:b/>
              </w:rPr>
              <w:t xml:space="preserve"> </w:t>
            </w:r>
            <w:proofErr w:type="spellStart"/>
            <w:r>
              <w:rPr>
                <w:b/>
              </w:rPr>
              <w:t>finansowego</w:t>
            </w:r>
            <w:proofErr w:type="spellEnd"/>
            <w:r>
              <w:rPr>
                <w:b/>
              </w:rPr>
              <w:t xml:space="preserve"> </w:t>
            </w:r>
            <w:proofErr w:type="spellStart"/>
            <w:r>
              <w:rPr>
                <w:b/>
              </w:rPr>
              <w:t>oraz</w:t>
            </w:r>
            <w:proofErr w:type="spellEnd"/>
            <w:r>
              <w:rPr>
                <w:b/>
              </w:rPr>
              <w:t xml:space="preserve"> </w:t>
            </w:r>
            <w:proofErr w:type="spellStart"/>
            <w:r>
              <w:rPr>
                <w:b/>
              </w:rPr>
              <w:t>poniesione</w:t>
            </w:r>
            <w:proofErr w:type="spellEnd"/>
            <w:r>
              <w:rPr>
                <w:b/>
              </w:rPr>
              <w:t xml:space="preserve"> </w:t>
            </w:r>
            <w:proofErr w:type="spellStart"/>
            <w:r>
              <w:rPr>
                <w:b/>
              </w:rPr>
              <w:t>koszty</w:t>
            </w:r>
            <w:proofErr w:type="spellEnd"/>
            <w:r>
              <w:rPr>
                <w:b/>
              </w:rPr>
              <w:t xml:space="preserve"> </w:t>
            </w:r>
            <w:proofErr w:type="spellStart"/>
            <w:r>
              <w:rPr>
                <w:b/>
              </w:rPr>
              <w:t>zarządzania</w:t>
            </w:r>
            <w:proofErr w:type="spellEnd"/>
            <w:r>
              <w:rPr>
                <w:b/>
              </w:rPr>
              <w:t xml:space="preserve"> </w:t>
            </w:r>
            <w:proofErr w:type="spellStart"/>
            <w:r>
              <w:rPr>
                <w:b/>
              </w:rPr>
              <w:t>lub</w:t>
            </w:r>
            <w:proofErr w:type="spellEnd"/>
            <w:r>
              <w:rPr>
                <w:b/>
              </w:rPr>
              <w:t xml:space="preserve"> </w:t>
            </w:r>
            <w:proofErr w:type="spellStart"/>
            <w:r>
              <w:rPr>
                <w:b/>
              </w:rPr>
              <w:t>uiszczone</w:t>
            </w:r>
            <w:proofErr w:type="spellEnd"/>
            <w:r>
              <w:rPr>
                <w:b/>
              </w:rPr>
              <w:t xml:space="preserve"> </w:t>
            </w:r>
            <w:proofErr w:type="spellStart"/>
            <w:r>
              <w:rPr>
                <w:b/>
              </w:rPr>
              <w:t>opłaty</w:t>
            </w:r>
            <w:proofErr w:type="spellEnd"/>
            <w:r>
              <w:rPr>
                <w:b/>
              </w:rPr>
              <w:t xml:space="preserve"> za </w:t>
            </w:r>
            <w:proofErr w:type="spellStart"/>
            <w:r>
              <w:rPr>
                <w:b/>
              </w:rPr>
              <w:t>zarządzanie</w:t>
            </w:r>
            <w:proofErr w:type="spellEnd"/>
            <w:r>
              <w:rPr>
                <w:b/>
              </w:rPr>
              <w:t xml:space="preserve"> (art. 46 </w:t>
            </w:r>
            <w:proofErr w:type="spellStart"/>
            <w:r>
              <w:rPr>
                <w:b/>
              </w:rPr>
              <w:t>ust</w:t>
            </w:r>
            <w:proofErr w:type="spellEnd"/>
            <w:r>
              <w:rPr>
                <w:b/>
              </w:rPr>
              <w:t xml:space="preserve">. 2 lit. d) i e) </w:t>
            </w:r>
            <w:proofErr w:type="spellStart"/>
            <w:r>
              <w:rPr>
                <w:b/>
              </w:rPr>
              <w:t>rozporządzenia</w:t>
            </w:r>
            <w:proofErr w:type="spellEnd"/>
            <w:r>
              <w:rPr>
                <w:b/>
              </w:rPr>
              <w:t xml:space="preserve"> (UE) nr 1303/2013)</w:t>
            </w:r>
          </w:p>
        </w:tc>
      </w:tr>
      <w:tr w:rsidR="006B2EC1" w14:paraId="5CB98306" w14:textId="77777777" w:rsidTr="0047688D">
        <w:tc>
          <w:tcPr>
            <w:tcW w:w="0" w:type="auto"/>
            <w:shd w:val="clear" w:color="auto" w:fill="auto"/>
          </w:tcPr>
          <w:p w14:paraId="3CD3CEE8" w14:textId="77777777" w:rsidR="008C5CFA" w:rsidRDefault="00E82A60" w:rsidP="00300A01">
            <w:pPr>
              <w:spacing w:before="0" w:after="0"/>
            </w:pPr>
            <w:r>
              <w:t xml:space="preserve">14. </w:t>
            </w:r>
            <w:proofErr w:type="spellStart"/>
            <w:r>
              <w:t>Łączna</w:t>
            </w:r>
            <w:proofErr w:type="spellEnd"/>
            <w:r>
              <w:t xml:space="preserve"> </w:t>
            </w:r>
            <w:proofErr w:type="spellStart"/>
            <w:r>
              <w:t>kwota</w:t>
            </w:r>
            <w:proofErr w:type="spellEnd"/>
            <w:r>
              <w:t xml:space="preserve"> </w:t>
            </w:r>
            <w:proofErr w:type="spellStart"/>
            <w:r>
              <w:t>wkładów</w:t>
            </w:r>
            <w:proofErr w:type="spellEnd"/>
            <w:r>
              <w:t xml:space="preserve"> z </w:t>
            </w:r>
            <w:proofErr w:type="spellStart"/>
            <w:r>
              <w:t>programu</w:t>
            </w:r>
            <w:proofErr w:type="spellEnd"/>
            <w:r>
              <w:t xml:space="preserve"> </w:t>
            </w:r>
            <w:proofErr w:type="spellStart"/>
            <w:r>
              <w:t>zaangażowanych</w:t>
            </w:r>
            <w:proofErr w:type="spellEnd"/>
            <w:r>
              <w:t xml:space="preserve"> w </w:t>
            </w:r>
            <w:proofErr w:type="spellStart"/>
            <w:r>
              <w:t>ramach</w:t>
            </w:r>
            <w:proofErr w:type="spellEnd"/>
            <w:r>
              <w:t xml:space="preserve"> </w:t>
            </w:r>
            <w:proofErr w:type="spellStart"/>
            <w:r>
              <w:t>umowy</w:t>
            </w:r>
            <w:proofErr w:type="spellEnd"/>
            <w:r>
              <w:t xml:space="preserve"> o </w:t>
            </w:r>
            <w:proofErr w:type="spellStart"/>
            <w:r>
              <w:t>finansowaniu</w:t>
            </w:r>
            <w:proofErr w:type="spellEnd"/>
            <w:r>
              <w:t xml:space="preserve"> (w EUR)</w:t>
            </w:r>
          </w:p>
        </w:tc>
        <w:tc>
          <w:tcPr>
            <w:tcW w:w="0" w:type="auto"/>
            <w:shd w:val="clear" w:color="auto" w:fill="auto"/>
          </w:tcPr>
          <w:p w14:paraId="24B55CE5" w14:textId="77777777" w:rsidR="008C5CFA" w:rsidRDefault="00E82A60" w:rsidP="00300A01">
            <w:pPr>
              <w:spacing w:before="0" w:after="0"/>
              <w:jc w:val="right"/>
            </w:pPr>
            <w:r>
              <w:t>57 708 332,47</w:t>
            </w:r>
          </w:p>
        </w:tc>
      </w:tr>
      <w:tr w:rsidR="006B2EC1" w14:paraId="0ECBC89F" w14:textId="77777777" w:rsidTr="0047688D">
        <w:tc>
          <w:tcPr>
            <w:tcW w:w="0" w:type="auto"/>
            <w:shd w:val="clear" w:color="auto" w:fill="auto"/>
          </w:tcPr>
          <w:p w14:paraId="53E4621B" w14:textId="77777777" w:rsidR="008C5CFA" w:rsidRDefault="00E82A60" w:rsidP="00300A01">
            <w:pPr>
              <w:spacing w:before="0" w:after="0"/>
            </w:pPr>
            <w:r>
              <w:t xml:space="preserve">14.1. w </w:t>
            </w:r>
            <w:proofErr w:type="spellStart"/>
            <w:r>
              <w:t>tym</w:t>
            </w:r>
            <w:proofErr w:type="spellEnd"/>
            <w:r>
              <w:t xml:space="preserve"> </w:t>
            </w:r>
            <w:proofErr w:type="spellStart"/>
            <w:r>
              <w:t>wkłady</w:t>
            </w:r>
            <w:proofErr w:type="spellEnd"/>
            <w:r>
              <w:t xml:space="preserve"> z EFSI (w EUR)</w:t>
            </w:r>
          </w:p>
        </w:tc>
        <w:tc>
          <w:tcPr>
            <w:tcW w:w="0" w:type="auto"/>
            <w:shd w:val="clear" w:color="auto" w:fill="auto"/>
          </w:tcPr>
          <w:p w14:paraId="7B949958" w14:textId="77777777" w:rsidR="008C5CFA" w:rsidRDefault="00E82A60" w:rsidP="00300A01">
            <w:pPr>
              <w:spacing w:before="0" w:after="0"/>
              <w:jc w:val="right"/>
            </w:pPr>
            <w:r>
              <w:t>49 052 082,60</w:t>
            </w:r>
          </w:p>
        </w:tc>
      </w:tr>
      <w:tr w:rsidR="006B2EC1" w14:paraId="6B7348AD" w14:textId="77777777" w:rsidTr="0047688D">
        <w:tc>
          <w:tcPr>
            <w:tcW w:w="0" w:type="auto"/>
            <w:shd w:val="clear" w:color="auto" w:fill="auto"/>
          </w:tcPr>
          <w:p w14:paraId="3ADC34C8" w14:textId="77777777" w:rsidR="008C5CFA" w:rsidRDefault="00E82A60" w:rsidP="00300A01">
            <w:pPr>
              <w:spacing w:before="0" w:after="0"/>
            </w:pPr>
            <w:r>
              <w:t xml:space="preserve">14.1.1. w </w:t>
            </w:r>
            <w:proofErr w:type="spellStart"/>
            <w:r>
              <w:t>tym</w:t>
            </w:r>
            <w:proofErr w:type="spellEnd"/>
            <w:r>
              <w:t xml:space="preserve"> EFRR (w EUR) (</w:t>
            </w:r>
            <w:proofErr w:type="spellStart"/>
            <w:r>
              <w:t>fakultatywnie</w:t>
            </w:r>
            <w:proofErr w:type="spellEnd"/>
            <w:r>
              <w:t>)</w:t>
            </w:r>
          </w:p>
        </w:tc>
        <w:tc>
          <w:tcPr>
            <w:tcW w:w="0" w:type="auto"/>
            <w:shd w:val="clear" w:color="auto" w:fill="auto"/>
          </w:tcPr>
          <w:p w14:paraId="2CE1BF43" w14:textId="77777777" w:rsidR="008C5CFA" w:rsidRDefault="00E82A60" w:rsidP="00300A01">
            <w:pPr>
              <w:spacing w:before="0" w:after="0"/>
              <w:jc w:val="right"/>
            </w:pPr>
            <w:r>
              <w:t>49 052 082,60</w:t>
            </w:r>
          </w:p>
        </w:tc>
      </w:tr>
      <w:tr w:rsidR="006B2EC1" w14:paraId="13EF934C" w14:textId="77777777" w:rsidTr="0047688D">
        <w:tc>
          <w:tcPr>
            <w:tcW w:w="0" w:type="auto"/>
            <w:shd w:val="clear" w:color="auto" w:fill="auto"/>
          </w:tcPr>
          <w:p w14:paraId="40B7FECC" w14:textId="77777777" w:rsidR="008C5CFA" w:rsidRDefault="00E82A60" w:rsidP="00300A01">
            <w:pPr>
              <w:spacing w:before="0" w:after="0"/>
            </w:pPr>
            <w:r>
              <w:t xml:space="preserve">14.1.2. w </w:t>
            </w:r>
            <w:proofErr w:type="spellStart"/>
            <w:r>
              <w:t>tym</w:t>
            </w:r>
            <w:proofErr w:type="spellEnd"/>
            <w:r>
              <w:t xml:space="preserve"> </w:t>
            </w:r>
            <w:proofErr w:type="spellStart"/>
            <w:r>
              <w:t>Fundusz</w:t>
            </w:r>
            <w:proofErr w:type="spellEnd"/>
            <w:r>
              <w:t xml:space="preserve"> </w:t>
            </w:r>
            <w:proofErr w:type="spellStart"/>
            <w:r>
              <w:t>Spójności</w:t>
            </w:r>
            <w:proofErr w:type="spellEnd"/>
            <w:r>
              <w:t xml:space="preserve"> (w EUR) (</w:t>
            </w:r>
            <w:proofErr w:type="spellStart"/>
            <w:r>
              <w:t>fakultatywnie</w:t>
            </w:r>
            <w:proofErr w:type="spellEnd"/>
            <w:r>
              <w:t>)</w:t>
            </w:r>
          </w:p>
        </w:tc>
        <w:tc>
          <w:tcPr>
            <w:tcW w:w="0" w:type="auto"/>
            <w:shd w:val="clear" w:color="auto" w:fill="auto"/>
          </w:tcPr>
          <w:p w14:paraId="6DB6ABF4" w14:textId="77777777" w:rsidR="008C5CFA" w:rsidRDefault="008C5CFA" w:rsidP="00300A01">
            <w:pPr>
              <w:spacing w:before="0" w:after="0"/>
              <w:jc w:val="right"/>
            </w:pPr>
          </w:p>
        </w:tc>
      </w:tr>
      <w:tr w:rsidR="006B2EC1" w14:paraId="7E3DE158" w14:textId="77777777" w:rsidTr="0047688D">
        <w:tc>
          <w:tcPr>
            <w:tcW w:w="0" w:type="auto"/>
            <w:shd w:val="clear" w:color="auto" w:fill="auto"/>
          </w:tcPr>
          <w:p w14:paraId="68F29490" w14:textId="77777777" w:rsidR="008C5CFA" w:rsidRDefault="00E82A60" w:rsidP="00300A01">
            <w:pPr>
              <w:spacing w:before="0" w:after="0"/>
            </w:pPr>
            <w:r>
              <w:t xml:space="preserve">14.1.3. w </w:t>
            </w:r>
            <w:proofErr w:type="spellStart"/>
            <w:r>
              <w:t>tym</w:t>
            </w:r>
            <w:proofErr w:type="spellEnd"/>
            <w:r>
              <w:t xml:space="preserve"> EFS (w EUR) (</w:t>
            </w:r>
            <w:proofErr w:type="spellStart"/>
            <w:r>
              <w:t>fakultatywnie</w:t>
            </w:r>
            <w:proofErr w:type="spellEnd"/>
            <w:r>
              <w:t>)</w:t>
            </w:r>
          </w:p>
        </w:tc>
        <w:tc>
          <w:tcPr>
            <w:tcW w:w="0" w:type="auto"/>
            <w:shd w:val="clear" w:color="auto" w:fill="auto"/>
          </w:tcPr>
          <w:p w14:paraId="3D3A3CDE" w14:textId="77777777" w:rsidR="008C5CFA" w:rsidRDefault="008C5CFA" w:rsidP="00300A01">
            <w:pPr>
              <w:spacing w:before="0" w:after="0"/>
              <w:jc w:val="right"/>
            </w:pPr>
          </w:p>
        </w:tc>
      </w:tr>
      <w:tr w:rsidR="006B2EC1" w14:paraId="3B3D3F4E" w14:textId="77777777" w:rsidTr="0047688D">
        <w:tc>
          <w:tcPr>
            <w:tcW w:w="0" w:type="auto"/>
            <w:shd w:val="clear" w:color="auto" w:fill="auto"/>
          </w:tcPr>
          <w:p w14:paraId="26FADEDD" w14:textId="77777777" w:rsidR="008C5CFA" w:rsidRDefault="00E82A60" w:rsidP="00300A01">
            <w:pPr>
              <w:spacing w:before="0" w:after="0"/>
            </w:pPr>
            <w:r>
              <w:t xml:space="preserve">14.1.4. w </w:t>
            </w:r>
            <w:proofErr w:type="spellStart"/>
            <w:r>
              <w:t>tym</w:t>
            </w:r>
            <w:proofErr w:type="spellEnd"/>
            <w:r>
              <w:t xml:space="preserve"> EFRROW (w EUR) (</w:t>
            </w:r>
            <w:proofErr w:type="spellStart"/>
            <w:r>
              <w:t>fakultatywnie</w:t>
            </w:r>
            <w:proofErr w:type="spellEnd"/>
            <w:r>
              <w:t>)</w:t>
            </w:r>
          </w:p>
        </w:tc>
        <w:tc>
          <w:tcPr>
            <w:tcW w:w="0" w:type="auto"/>
            <w:shd w:val="clear" w:color="auto" w:fill="auto"/>
          </w:tcPr>
          <w:p w14:paraId="01447B5D" w14:textId="77777777" w:rsidR="008C5CFA" w:rsidRDefault="008C5CFA" w:rsidP="00300A01">
            <w:pPr>
              <w:spacing w:before="0" w:after="0"/>
              <w:jc w:val="right"/>
            </w:pPr>
          </w:p>
        </w:tc>
      </w:tr>
      <w:tr w:rsidR="006B2EC1" w14:paraId="1729B7D3" w14:textId="77777777" w:rsidTr="0047688D">
        <w:tc>
          <w:tcPr>
            <w:tcW w:w="0" w:type="auto"/>
            <w:shd w:val="clear" w:color="auto" w:fill="auto"/>
          </w:tcPr>
          <w:p w14:paraId="37B266BC" w14:textId="77777777" w:rsidR="008C5CFA" w:rsidRDefault="00E82A60" w:rsidP="00300A01">
            <w:pPr>
              <w:spacing w:before="0" w:after="0"/>
            </w:pPr>
            <w:r>
              <w:t xml:space="preserve">14.1.5. w </w:t>
            </w:r>
            <w:proofErr w:type="spellStart"/>
            <w:r>
              <w:t>tym</w:t>
            </w:r>
            <w:proofErr w:type="spellEnd"/>
            <w:r>
              <w:t xml:space="preserve"> EFMR (w EUR) (</w:t>
            </w:r>
            <w:proofErr w:type="spellStart"/>
            <w:r>
              <w:t>fakultatywnie</w:t>
            </w:r>
            <w:proofErr w:type="spellEnd"/>
            <w:r>
              <w:t>)</w:t>
            </w:r>
          </w:p>
        </w:tc>
        <w:tc>
          <w:tcPr>
            <w:tcW w:w="0" w:type="auto"/>
            <w:shd w:val="clear" w:color="auto" w:fill="auto"/>
          </w:tcPr>
          <w:p w14:paraId="521BFF9B" w14:textId="77777777" w:rsidR="008C5CFA" w:rsidRDefault="008C5CFA" w:rsidP="00300A01">
            <w:pPr>
              <w:spacing w:before="0" w:after="0"/>
              <w:jc w:val="right"/>
            </w:pPr>
          </w:p>
        </w:tc>
      </w:tr>
      <w:tr w:rsidR="006B2EC1" w14:paraId="3B14512B" w14:textId="77777777" w:rsidTr="0047688D">
        <w:tc>
          <w:tcPr>
            <w:tcW w:w="0" w:type="auto"/>
            <w:shd w:val="clear" w:color="auto" w:fill="auto"/>
          </w:tcPr>
          <w:p w14:paraId="367DDD50" w14:textId="77777777" w:rsidR="008C5CFA" w:rsidRDefault="00E82A60" w:rsidP="00300A01">
            <w:pPr>
              <w:spacing w:before="0" w:after="0"/>
            </w:pPr>
            <w:r>
              <w:t xml:space="preserve">15. </w:t>
            </w:r>
            <w:proofErr w:type="spellStart"/>
            <w:r>
              <w:t>Łączna</w:t>
            </w:r>
            <w:proofErr w:type="spellEnd"/>
            <w:r>
              <w:t xml:space="preserve"> </w:t>
            </w:r>
            <w:proofErr w:type="spellStart"/>
            <w:r>
              <w:t>kwota</w:t>
            </w:r>
            <w:proofErr w:type="spellEnd"/>
            <w:r>
              <w:t xml:space="preserve"> </w:t>
            </w:r>
            <w:proofErr w:type="spellStart"/>
            <w:r>
              <w:t>wkładów</w:t>
            </w:r>
            <w:proofErr w:type="spellEnd"/>
            <w:r>
              <w:t xml:space="preserve"> z </w:t>
            </w:r>
            <w:proofErr w:type="spellStart"/>
            <w:r>
              <w:t>programu</w:t>
            </w:r>
            <w:proofErr w:type="spellEnd"/>
            <w:r>
              <w:t xml:space="preserve"> </w:t>
            </w:r>
            <w:proofErr w:type="spellStart"/>
            <w:r>
              <w:t>wypłaconych</w:t>
            </w:r>
            <w:proofErr w:type="spellEnd"/>
            <w:r>
              <w:t xml:space="preserve"> </w:t>
            </w:r>
            <w:proofErr w:type="spellStart"/>
            <w:r>
              <w:t>na</w:t>
            </w:r>
            <w:proofErr w:type="spellEnd"/>
            <w:r>
              <w:t xml:space="preserve"> </w:t>
            </w:r>
            <w:proofErr w:type="spellStart"/>
            <w:r>
              <w:t>rzecz</w:t>
            </w:r>
            <w:proofErr w:type="spellEnd"/>
            <w:r>
              <w:t xml:space="preserve"> </w:t>
            </w:r>
            <w:proofErr w:type="spellStart"/>
            <w:r>
              <w:t>instrumentu</w:t>
            </w:r>
            <w:proofErr w:type="spellEnd"/>
            <w:r>
              <w:t xml:space="preserve"> </w:t>
            </w:r>
            <w:proofErr w:type="spellStart"/>
            <w:r>
              <w:t>finansowego</w:t>
            </w:r>
            <w:proofErr w:type="spellEnd"/>
            <w:r>
              <w:t xml:space="preserve"> (w EUR)</w:t>
            </w:r>
          </w:p>
        </w:tc>
        <w:tc>
          <w:tcPr>
            <w:tcW w:w="0" w:type="auto"/>
            <w:shd w:val="clear" w:color="auto" w:fill="auto"/>
          </w:tcPr>
          <w:p w14:paraId="15A020BB" w14:textId="77777777" w:rsidR="008C5CFA" w:rsidRDefault="00E82A60" w:rsidP="00300A01">
            <w:pPr>
              <w:spacing w:before="0" w:after="0"/>
              <w:jc w:val="right"/>
            </w:pPr>
            <w:r>
              <w:t>30 018 742,43</w:t>
            </w:r>
          </w:p>
        </w:tc>
      </w:tr>
      <w:tr w:rsidR="006B2EC1" w14:paraId="162D8C59" w14:textId="77777777" w:rsidTr="0047688D">
        <w:tc>
          <w:tcPr>
            <w:tcW w:w="0" w:type="auto"/>
            <w:shd w:val="clear" w:color="auto" w:fill="auto"/>
          </w:tcPr>
          <w:p w14:paraId="157AB10C" w14:textId="77777777" w:rsidR="008C5CFA" w:rsidRDefault="00E82A60" w:rsidP="00300A01">
            <w:pPr>
              <w:spacing w:before="0" w:after="0"/>
            </w:pPr>
            <w:r>
              <w:t xml:space="preserve">15.1. w </w:t>
            </w:r>
            <w:proofErr w:type="spellStart"/>
            <w:r>
              <w:t>tym</w:t>
            </w:r>
            <w:proofErr w:type="spellEnd"/>
            <w:r>
              <w:t xml:space="preserve"> </w:t>
            </w:r>
            <w:proofErr w:type="spellStart"/>
            <w:r>
              <w:t>kwoty</w:t>
            </w:r>
            <w:proofErr w:type="spellEnd"/>
            <w:r>
              <w:t xml:space="preserve"> </w:t>
            </w:r>
            <w:proofErr w:type="spellStart"/>
            <w:r>
              <w:t>wkładów</w:t>
            </w:r>
            <w:proofErr w:type="spellEnd"/>
            <w:r>
              <w:t xml:space="preserve"> z EFSI (w EUR)</w:t>
            </w:r>
          </w:p>
        </w:tc>
        <w:tc>
          <w:tcPr>
            <w:tcW w:w="0" w:type="auto"/>
            <w:shd w:val="clear" w:color="auto" w:fill="auto"/>
          </w:tcPr>
          <w:p w14:paraId="1EE6C558" w14:textId="77777777" w:rsidR="008C5CFA" w:rsidRDefault="00E82A60" w:rsidP="00300A01">
            <w:pPr>
              <w:spacing w:before="0" w:after="0"/>
              <w:jc w:val="right"/>
            </w:pPr>
            <w:r>
              <w:t>24 169 456,30</w:t>
            </w:r>
          </w:p>
        </w:tc>
      </w:tr>
      <w:tr w:rsidR="006B2EC1" w14:paraId="36178283" w14:textId="77777777" w:rsidTr="0047688D">
        <w:tc>
          <w:tcPr>
            <w:tcW w:w="0" w:type="auto"/>
            <w:shd w:val="clear" w:color="auto" w:fill="auto"/>
          </w:tcPr>
          <w:p w14:paraId="6C6E01D4" w14:textId="77777777" w:rsidR="008C5CFA" w:rsidRDefault="00E82A60" w:rsidP="00300A01">
            <w:pPr>
              <w:spacing w:before="0" w:after="0"/>
            </w:pPr>
            <w:r>
              <w:t xml:space="preserve">15.1.1. w </w:t>
            </w:r>
            <w:proofErr w:type="spellStart"/>
            <w:r>
              <w:t>tym</w:t>
            </w:r>
            <w:proofErr w:type="spellEnd"/>
            <w:r>
              <w:t xml:space="preserve"> EFRR (w EUR)</w:t>
            </w:r>
          </w:p>
        </w:tc>
        <w:tc>
          <w:tcPr>
            <w:tcW w:w="0" w:type="auto"/>
            <w:shd w:val="clear" w:color="auto" w:fill="auto"/>
          </w:tcPr>
          <w:p w14:paraId="53491781" w14:textId="77777777" w:rsidR="008C5CFA" w:rsidRDefault="00E82A60" w:rsidP="00300A01">
            <w:pPr>
              <w:spacing w:before="0" w:after="0"/>
              <w:jc w:val="right"/>
            </w:pPr>
            <w:r>
              <w:t>24 169 456,30</w:t>
            </w:r>
          </w:p>
        </w:tc>
      </w:tr>
      <w:tr w:rsidR="006B2EC1" w14:paraId="7AF578A6" w14:textId="77777777" w:rsidTr="0047688D">
        <w:tc>
          <w:tcPr>
            <w:tcW w:w="0" w:type="auto"/>
            <w:shd w:val="clear" w:color="auto" w:fill="auto"/>
          </w:tcPr>
          <w:p w14:paraId="3EF69C7A" w14:textId="77777777" w:rsidR="008C5CFA" w:rsidRDefault="00E82A60" w:rsidP="00300A01">
            <w:pPr>
              <w:spacing w:before="0" w:after="0"/>
            </w:pPr>
            <w:r>
              <w:t xml:space="preserve">15.1.2. w </w:t>
            </w:r>
            <w:proofErr w:type="spellStart"/>
            <w:r>
              <w:t>tym</w:t>
            </w:r>
            <w:proofErr w:type="spellEnd"/>
            <w:r>
              <w:t xml:space="preserve"> </w:t>
            </w:r>
            <w:proofErr w:type="spellStart"/>
            <w:r>
              <w:t>Fundusz</w:t>
            </w:r>
            <w:proofErr w:type="spellEnd"/>
            <w:r>
              <w:t xml:space="preserve"> </w:t>
            </w:r>
            <w:proofErr w:type="spellStart"/>
            <w:r>
              <w:t>Spójności</w:t>
            </w:r>
            <w:proofErr w:type="spellEnd"/>
            <w:r>
              <w:t xml:space="preserve"> (w EUR)</w:t>
            </w:r>
          </w:p>
        </w:tc>
        <w:tc>
          <w:tcPr>
            <w:tcW w:w="0" w:type="auto"/>
            <w:shd w:val="clear" w:color="auto" w:fill="auto"/>
          </w:tcPr>
          <w:p w14:paraId="15DDD9B4" w14:textId="77777777" w:rsidR="008C5CFA" w:rsidRDefault="008C5CFA" w:rsidP="00300A01">
            <w:pPr>
              <w:spacing w:before="0" w:after="0"/>
              <w:jc w:val="right"/>
            </w:pPr>
          </w:p>
        </w:tc>
      </w:tr>
      <w:tr w:rsidR="006B2EC1" w14:paraId="66C08BDD" w14:textId="77777777" w:rsidTr="0047688D">
        <w:tc>
          <w:tcPr>
            <w:tcW w:w="0" w:type="auto"/>
            <w:shd w:val="clear" w:color="auto" w:fill="auto"/>
          </w:tcPr>
          <w:p w14:paraId="3622633A" w14:textId="77777777" w:rsidR="008C5CFA" w:rsidRDefault="00E82A60" w:rsidP="00300A01">
            <w:pPr>
              <w:spacing w:before="0" w:after="0"/>
            </w:pPr>
            <w:r>
              <w:t xml:space="preserve">15.1.3. w </w:t>
            </w:r>
            <w:proofErr w:type="spellStart"/>
            <w:r>
              <w:t>tym</w:t>
            </w:r>
            <w:proofErr w:type="spellEnd"/>
            <w:r>
              <w:t xml:space="preserve"> EFS (w EUR)</w:t>
            </w:r>
          </w:p>
        </w:tc>
        <w:tc>
          <w:tcPr>
            <w:tcW w:w="0" w:type="auto"/>
            <w:shd w:val="clear" w:color="auto" w:fill="auto"/>
          </w:tcPr>
          <w:p w14:paraId="604589B3" w14:textId="77777777" w:rsidR="008C5CFA" w:rsidRDefault="008C5CFA" w:rsidP="00300A01">
            <w:pPr>
              <w:spacing w:before="0" w:after="0"/>
              <w:jc w:val="right"/>
            </w:pPr>
          </w:p>
        </w:tc>
      </w:tr>
      <w:tr w:rsidR="006B2EC1" w14:paraId="6B4F9B4B" w14:textId="77777777" w:rsidTr="0047688D">
        <w:tc>
          <w:tcPr>
            <w:tcW w:w="0" w:type="auto"/>
            <w:shd w:val="clear" w:color="auto" w:fill="auto"/>
          </w:tcPr>
          <w:p w14:paraId="03C29673" w14:textId="77777777" w:rsidR="008C5CFA" w:rsidRDefault="00E82A60" w:rsidP="00300A01">
            <w:pPr>
              <w:spacing w:before="0" w:after="0"/>
            </w:pPr>
            <w:r>
              <w:t xml:space="preserve">15.1.4. w </w:t>
            </w:r>
            <w:proofErr w:type="spellStart"/>
            <w:r>
              <w:t>tym</w:t>
            </w:r>
            <w:proofErr w:type="spellEnd"/>
            <w:r>
              <w:t xml:space="preserve"> EFRROW (w EUR)</w:t>
            </w:r>
          </w:p>
        </w:tc>
        <w:tc>
          <w:tcPr>
            <w:tcW w:w="0" w:type="auto"/>
            <w:shd w:val="clear" w:color="auto" w:fill="auto"/>
          </w:tcPr>
          <w:p w14:paraId="5B12623D" w14:textId="77777777" w:rsidR="008C5CFA" w:rsidRDefault="008C5CFA" w:rsidP="00300A01">
            <w:pPr>
              <w:spacing w:before="0" w:after="0"/>
              <w:jc w:val="right"/>
            </w:pPr>
          </w:p>
        </w:tc>
      </w:tr>
      <w:tr w:rsidR="006B2EC1" w14:paraId="769EBC43" w14:textId="77777777" w:rsidTr="0047688D">
        <w:tc>
          <w:tcPr>
            <w:tcW w:w="0" w:type="auto"/>
            <w:shd w:val="clear" w:color="auto" w:fill="auto"/>
          </w:tcPr>
          <w:p w14:paraId="680583FB" w14:textId="77777777" w:rsidR="008C5CFA" w:rsidRDefault="00E82A60" w:rsidP="00300A01">
            <w:pPr>
              <w:spacing w:before="0" w:after="0"/>
            </w:pPr>
            <w:r>
              <w:t xml:space="preserve">15.1.5. w </w:t>
            </w:r>
            <w:proofErr w:type="spellStart"/>
            <w:r>
              <w:t>tym</w:t>
            </w:r>
            <w:proofErr w:type="spellEnd"/>
            <w:r>
              <w:t xml:space="preserve"> EFMR (w EUR)</w:t>
            </w:r>
          </w:p>
        </w:tc>
        <w:tc>
          <w:tcPr>
            <w:tcW w:w="0" w:type="auto"/>
            <w:shd w:val="clear" w:color="auto" w:fill="auto"/>
          </w:tcPr>
          <w:p w14:paraId="36A51837" w14:textId="77777777" w:rsidR="008C5CFA" w:rsidRDefault="008C5CFA" w:rsidP="00300A01">
            <w:pPr>
              <w:spacing w:before="0" w:after="0"/>
              <w:jc w:val="right"/>
            </w:pPr>
          </w:p>
        </w:tc>
      </w:tr>
      <w:tr w:rsidR="006B2EC1" w14:paraId="7EEE75A6" w14:textId="77777777" w:rsidTr="0047688D">
        <w:tc>
          <w:tcPr>
            <w:tcW w:w="0" w:type="auto"/>
            <w:shd w:val="clear" w:color="auto" w:fill="auto"/>
          </w:tcPr>
          <w:p w14:paraId="42A93EB7" w14:textId="77777777" w:rsidR="008C5CFA" w:rsidRDefault="00E82A60" w:rsidP="00300A01">
            <w:pPr>
              <w:spacing w:before="0" w:after="0"/>
            </w:pPr>
            <w:r>
              <w:t xml:space="preserve">15.2. w </w:t>
            </w:r>
            <w:proofErr w:type="spellStart"/>
            <w:r>
              <w:t>tym</w:t>
            </w:r>
            <w:proofErr w:type="spellEnd"/>
            <w:r>
              <w:t xml:space="preserve"> </w:t>
            </w:r>
            <w:proofErr w:type="spellStart"/>
            <w:r>
              <w:t>łączna</w:t>
            </w:r>
            <w:proofErr w:type="spellEnd"/>
            <w:r>
              <w:t xml:space="preserve"> </w:t>
            </w:r>
            <w:proofErr w:type="spellStart"/>
            <w:r>
              <w:t>kwota</w:t>
            </w:r>
            <w:proofErr w:type="spellEnd"/>
            <w:r>
              <w:t xml:space="preserve"> </w:t>
            </w:r>
            <w:proofErr w:type="spellStart"/>
            <w:r>
              <w:t>współfinansowania</w:t>
            </w:r>
            <w:proofErr w:type="spellEnd"/>
            <w:r>
              <w:t xml:space="preserve"> </w:t>
            </w:r>
            <w:proofErr w:type="spellStart"/>
            <w:r>
              <w:t>krajowego</w:t>
            </w:r>
            <w:proofErr w:type="spellEnd"/>
            <w:r>
              <w:t xml:space="preserve"> (w EUR)</w:t>
            </w:r>
          </w:p>
        </w:tc>
        <w:tc>
          <w:tcPr>
            <w:tcW w:w="0" w:type="auto"/>
            <w:shd w:val="clear" w:color="auto" w:fill="auto"/>
          </w:tcPr>
          <w:p w14:paraId="71D7CD5E" w14:textId="77777777" w:rsidR="008C5CFA" w:rsidRDefault="00E82A60" w:rsidP="00300A01">
            <w:pPr>
              <w:spacing w:before="0" w:after="0"/>
              <w:jc w:val="right"/>
            </w:pPr>
            <w:r>
              <w:t>5 849 286,13</w:t>
            </w:r>
          </w:p>
        </w:tc>
      </w:tr>
      <w:tr w:rsidR="006B2EC1" w14:paraId="24C5C2AF" w14:textId="77777777" w:rsidTr="0047688D">
        <w:tc>
          <w:tcPr>
            <w:tcW w:w="0" w:type="auto"/>
            <w:shd w:val="clear" w:color="auto" w:fill="auto"/>
          </w:tcPr>
          <w:p w14:paraId="1D244DBA" w14:textId="77777777" w:rsidR="008C5CFA" w:rsidRDefault="00E82A60" w:rsidP="00300A01">
            <w:pPr>
              <w:spacing w:before="0" w:after="0"/>
            </w:pPr>
            <w:r>
              <w:t xml:space="preserve">15.2.1. w </w:t>
            </w:r>
            <w:proofErr w:type="spellStart"/>
            <w:r>
              <w:t>tym</w:t>
            </w:r>
            <w:proofErr w:type="spellEnd"/>
            <w:r>
              <w:t xml:space="preserve"> </w:t>
            </w:r>
            <w:proofErr w:type="spellStart"/>
            <w:r>
              <w:t>łączna</w:t>
            </w:r>
            <w:proofErr w:type="spellEnd"/>
            <w:r>
              <w:t xml:space="preserve"> </w:t>
            </w:r>
            <w:proofErr w:type="spellStart"/>
            <w:r>
              <w:t>kwota</w:t>
            </w:r>
            <w:proofErr w:type="spellEnd"/>
            <w:r>
              <w:t xml:space="preserve"> </w:t>
            </w:r>
            <w:proofErr w:type="spellStart"/>
            <w:r>
              <w:t>krajowego</w:t>
            </w:r>
            <w:proofErr w:type="spellEnd"/>
            <w:r>
              <w:t xml:space="preserve"> </w:t>
            </w:r>
            <w:proofErr w:type="spellStart"/>
            <w:r>
              <w:t>finansowania</w:t>
            </w:r>
            <w:proofErr w:type="spellEnd"/>
            <w:r>
              <w:t xml:space="preserve"> </w:t>
            </w:r>
            <w:proofErr w:type="spellStart"/>
            <w:r>
              <w:t>publicznego</w:t>
            </w:r>
            <w:proofErr w:type="spellEnd"/>
            <w:r>
              <w:t xml:space="preserve"> (w EUR)</w:t>
            </w:r>
          </w:p>
        </w:tc>
        <w:tc>
          <w:tcPr>
            <w:tcW w:w="0" w:type="auto"/>
            <w:shd w:val="clear" w:color="auto" w:fill="auto"/>
          </w:tcPr>
          <w:p w14:paraId="14C6AC1E" w14:textId="77777777" w:rsidR="008C5CFA" w:rsidRDefault="008C5CFA" w:rsidP="00300A01">
            <w:pPr>
              <w:spacing w:before="0" w:after="0"/>
              <w:jc w:val="right"/>
            </w:pPr>
          </w:p>
        </w:tc>
      </w:tr>
      <w:tr w:rsidR="006B2EC1" w14:paraId="352D8A6D" w14:textId="77777777" w:rsidTr="0047688D">
        <w:tc>
          <w:tcPr>
            <w:tcW w:w="0" w:type="auto"/>
            <w:shd w:val="clear" w:color="auto" w:fill="auto"/>
          </w:tcPr>
          <w:p w14:paraId="51CA6780" w14:textId="77777777" w:rsidR="008C5CFA" w:rsidRDefault="00E82A60" w:rsidP="00300A01">
            <w:pPr>
              <w:spacing w:before="0" w:after="0"/>
            </w:pPr>
            <w:r>
              <w:t xml:space="preserve">15.2.2. w </w:t>
            </w:r>
            <w:proofErr w:type="spellStart"/>
            <w:r>
              <w:t>tym</w:t>
            </w:r>
            <w:proofErr w:type="spellEnd"/>
            <w:r>
              <w:t xml:space="preserve"> </w:t>
            </w:r>
            <w:proofErr w:type="spellStart"/>
            <w:r>
              <w:t>łączna</w:t>
            </w:r>
            <w:proofErr w:type="spellEnd"/>
            <w:r>
              <w:t xml:space="preserve"> </w:t>
            </w:r>
            <w:proofErr w:type="spellStart"/>
            <w:r>
              <w:t>kwota</w:t>
            </w:r>
            <w:proofErr w:type="spellEnd"/>
            <w:r>
              <w:t xml:space="preserve"> </w:t>
            </w:r>
            <w:proofErr w:type="spellStart"/>
            <w:r>
              <w:t>krajowego</w:t>
            </w:r>
            <w:proofErr w:type="spellEnd"/>
            <w:r>
              <w:t xml:space="preserve"> </w:t>
            </w:r>
            <w:proofErr w:type="spellStart"/>
            <w:r>
              <w:t>finansowania</w:t>
            </w:r>
            <w:proofErr w:type="spellEnd"/>
            <w:r>
              <w:t xml:space="preserve"> </w:t>
            </w:r>
            <w:proofErr w:type="spellStart"/>
            <w:r>
              <w:t>prywatnego</w:t>
            </w:r>
            <w:proofErr w:type="spellEnd"/>
            <w:r>
              <w:t xml:space="preserve"> (w EUR)</w:t>
            </w:r>
          </w:p>
        </w:tc>
        <w:tc>
          <w:tcPr>
            <w:tcW w:w="0" w:type="auto"/>
            <w:shd w:val="clear" w:color="auto" w:fill="auto"/>
          </w:tcPr>
          <w:p w14:paraId="5CF16E9E" w14:textId="77777777" w:rsidR="008C5CFA" w:rsidRDefault="00E82A60" w:rsidP="00300A01">
            <w:pPr>
              <w:spacing w:before="0" w:after="0"/>
              <w:jc w:val="right"/>
            </w:pPr>
            <w:r>
              <w:t>5 849 286,13</w:t>
            </w:r>
          </w:p>
        </w:tc>
      </w:tr>
      <w:tr w:rsidR="006B2EC1" w14:paraId="43A6797B" w14:textId="77777777" w:rsidTr="0047688D">
        <w:tc>
          <w:tcPr>
            <w:tcW w:w="0" w:type="auto"/>
            <w:shd w:val="clear" w:color="auto" w:fill="auto"/>
          </w:tcPr>
          <w:p w14:paraId="2F244812" w14:textId="77777777" w:rsidR="008C5CFA" w:rsidRDefault="00E82A60" w:rsidP="00300A01">
            <w:pPr>
              <w:spacing w:before="0" w:after="0"/>
            </w:pPr>
            <w:r>
              <w:t xml:space="preserve">16. </w:t>
            </w:r>
            <w:proofErr w:type="spellStart"/>
            <w:r>
              <w:t>Łączna</w:t>
            </w:r>
            <w:proofErr w:type="spellEnd"/>
            <w:r>
              <w:t xml:space="preserve"> </w:t>
            </w:r>
            <w:proofErr w:type="spellStart"/>
            <w:r>
              <w:t>kwota</w:t>
            </w:r>
            <w:proofErr w:type="spellEnd"/>
            <w:r>
              <w:t xml:space="preserve"> </w:t>
            </w:r>
            <w:proofErr w:type="spellStart"/>
            <w:r>
              <w:t>wkładów</w:t>
            </w:r>
            <w:proofErr w:type="spellEnd"/>
            <w:r>
              <w:t xml:space="preserve"> z </w:t>
            </w:r>
            <w:proofErr w:type="spellStart"/>
            <w:r>
              <w:t>programu</w:t>
            </w:r>
            <w:proofErr w:type="spellEnd"/>
            <w:r>
              <w:t xml:space="preserve"> </w:t>
            </w:r>
            <w:proofErr w:type="spellStart"/>
            <w:r>
              <w:t>wpłacanych</w:t>
            </w:r>
            <w:proofErr w:type="spellEnd"/>
            <w:r>
              <w:t xml:space="preserve"> </w:t>
            </w:r>
            <w:proofErr w:type="spellStart"/>
            <w:r>
              <w:t>na</w:t>
            </w:r>
            <w:proofErr w:type="spellEnd"/>
            <w:r>
              <w:t xml:space="preserve"> </w:t>
            </w:r>
            <w:proofErr w:type="spellStart"/>
            <w:r>
              <w:t>rzecz</w:t>
            </w:r>
            <w:proofErr w:type="spellEnd"/>
            <w:r>
              <w:t xml:space="preserve"> </w:t>
            </w:r>
            <w:proofErr w:type="spellStart"/>
            <w:r>
              <w:t>instrumentu</w:t>
            </w:r>
            <w:proofErr w:type="spellEnd"/>
            <w:r>
              <w:t xml:space="preserve"> </w:t>
            </w:r>
            <w:proofErr w:type="spellStart"/>
            <w:r>
              <w:t>finansowego</w:t>
            </w:r>
            <w:proofErr w:type="spellEnd"/>
            <w:r>
              <w:t xml:space="preserve"> w </w:t>
            </w:r>
            <w:proofErr w:type="spellStart"/>
            <w:r>
              <w:t>ramach</w:t>
            </w:r>
            <w:proofErr w:type="spellEnd"/>
            <w:r>
              <w:t xml:space="preserve"> </w:t>
            </w:r>
            <w:proofErr w:type="spellStart"/>
            <w:r>
              <w:t>Inicjatywy</w:t>
            </w:r>
            <w:proofErr w:type="spellEnd"/>
            <w:r>
              <w:t xml:space="preserve"> </w:t>
            </w:r>
            <w:proofErr w:type="spellStart"/>
            <w:r>
              <w:t>na</w:t>
            </w:r>
            <w:proofErr w:type="spellEnd"/>
            <w:r>
              <w:t xml:space="preserve"> </w:t>
            </w:r>
            <w:proofErr w:type="spellStart"/>
            <w:r>
              <w:t>rzecz</w:t>
            </w:r>
            <w:proofErr w:type="spellEnd"/>
            <w:r>
              <w:t xml:space="preserve"> </w:t>
            </w:r>
            <w:proofErr w:type="spellStart"/>
            <w:r>
              <w:t>zatrudnienia</w:t>
            </w:r>
            <w:proofErr w:type="spellEnd"/>
            <w:r>
              <w:t xml:space="preserve"> </w:t>
            </w:r>
            <w:proofErr w:type="spellStart"/>
            <w:r>
              <w:t>ludzi</w:t>
            </w:r>
            <w:proofErr w:type="spellEnd"/>
            <w:r>
              <w:t xml:space="preserve"> </w:t>
            </w:r>
            <w:proofErr w:type="spellStart"/>
            <w:r>
              <w:t>młodych</w:t>
            </w:r>
            <w:proofErr w:type="spellEnd"/>
            <w:r>
              <w:t xml:space="preserve"> (YEI) (w EUR)</w:t>
            </w:r>
          </w:p>
        </w:tc>
        <w:tc>
          <w:tcPr>
            <w:tcW w:w="0" w:type="auto"/>
            <w:shd w:val="clear" w:color="auto" w:fill="auto"/>
          </w:tcPr>
          <w:p w14:paraId="1DEDB787" w14:textId="77777777" w:rsidR="008C5CFA" w:rsidRDefault="008C5CFA" w:rsidP="00300A01">
            <w:pPr>
              <w:spacing w:before="0" w:after="0"/>
              <w:jc w:val="right"/>
            </w:pPr>
          </w:p>
        </w:tc>
      </w:tr>
      <w:tr w:rsidR="006B2EC1" w14:paraId="1DFAEE64" w14:textId="77777777" w:rsidTr="0047688D">
        <w:tc>
          <w:tcPr>
            <w:tcW w:w="0" w:type="auto"/>
            <w:shd w:val="clear" w:color="auto" w:fill="auto"/>
          </w:tcPr>
          <w:p w14:paraId="648F2971" w14:textId="77777777" w:rsidR="008C5CFA" w:rsidRDefault="00E82A60" w:rsidP="00300A01">
            <w:pPr>
              <w:spacing w:before="0" w:after="0"/>
            </w:pPr>
            <w:r>
              <w:t xml:space="preserve">17. </w:t>
            </w:r>
            <w:proofErr w:type="spellStart"/>
            <w:r>
              <w:t>Łączna</w:t>
            </w:r>
            <w:proofErr w:type="spellEnd"/>
            <w:r>
              <w:t xml:space="preserve"> </w:t>
            </w:r>
            <w:proofErr w:type="spellStart"/>
            <w:r>
              <w:t>kwota</w:t>
            </w:r>
            <w:proofErr w:type="spellEnd"/>
            <w:r>
              <w:t xml:space="preserve"> </w:t>
            </w:r>
            <w:proofErr w:type="spellStart"/>
            <w:r>
              <w:t>kosztów</w:t>
            </w:r>
            <w:proofErr w:type="spellEnd"/>
            <w:r>
              <w:t xml:space="preserve"> </w:t>
            </w:r>
            <w:proofErr w:type="spellStart"/>
            <w:r>
              <w:t>zarządzania</w:t>
            </w:r>
            <w:proofErr w:type="spellEnd"/>
            <w:r>
              <w:t xml:space="preserve"> i </w:t>
            </w:r>
            <w:proofErr w:type="spellStart"/>
            <w:r>
              <w:t>opłat</w:t>
            </w:r>
            <w:proofErr w:type="spellEnd"/>
            <w:r>
              <w:t xml:space="preserve"> za </w:t>
            </w:r>
            <w:proofErr w:type="spellStart"/>
            <w:r>
              <w:t>zarządzanie</w:t>
            </w:r>
            <w:proofErr w:type="spellEnd"/>
            <w:r>
              <w:t xml:space="preserve"> </w:t>
            </w:r>
            <w:proofErr w:type="spellStart"/>
            <w:r>
              <w:t>wypłacona</w:t>
            </w:r>
            <w:proofErr w:type="spellEnd"/>
            <w:r>
              <w:t xml:space="preserve"> z </w:t>
            </w:r>
            <w:proofErr w:type="spellStart"/>
            <w:r>
              <w:t>wkładów</w:t>
            </w:r>
            <w:proofErr w:type="spellEnd"/>
            <w:r>
              <w:t xml:space="preserve"> z </w:t>
            </w:r>
            <w:proofErr w:type="spellStart"/>
            <w:r>
              <w:t>programu</w:t>
            </w:r>
            <w:proofErr w:type="spellEnd"/>
            <w:r>
              <w:t xml:space="preserve"> (w EUR)</w:t>
            </w:r>
          </w:p>
        </w:tc>
        <w:tc>
          <w:tcPr>
            <w:tcW w:w="0" w:type="auto"/>
            <w:shd w:val="clear" w:color="auto" w:fill="auto"/>
          </w:tcPr>
          <w:p w14:paraId="6335B202" w14:textId="77777777" w:rsidR="008C5CFA" w:rsidRDefault="00E82A60" w:rsidP="00300A01">
            <w:pPr>
              <w:spacing w:before="0" w:after="0"/>
              <w:jc w:val="right"/>
            </w:pPr>
            <w:r>
              <w:t>1 076 522,43</w:t>
            </w:r>
          </w:p>
        </w:tc>
      </w:tr>
      <w:tr w:rsidR="006B2EC1" w14:paraId="332C4722" w14:textId="77777777" w:rsidTr="0047688D">
        <w:tc>
          <w:tcPr>
            <w:tcW w:w="0" w:type="auto"/>
            <w:shd w:val="clear" w:color="auto" w:fill="auto"/>
          </w:tcPr>
          <w:p w14:paraId="3E9828E0" w14:textId="77777777" w:rsidR="008C5CFA" w:rsidRDefault="00E82A60" w:rsidP="00300A01">
            <w:pPr>
              <w:spacing w:before="0" w:after="0"/>
            </w:pPr>
            <w:r>
              <w:t xml:space="preserve">17.1. w </w:t>
            </w:r>
            <w:proofErr w:type="spellStart"/>
            <w:r>
              <w:t>tym</w:t>
            </w:r>
            <w:proofErr w:type="spellEnd"/>
            <w:r>
              <w:t xml:space="preserve"> </w:t>
            </w:r>
            <w:proofErr w:type="spellStart"/>
            <w:r>
              <w:t>wynagrodzenie</w:t>
            </w:r>
            <w:proofErr w:type="spellEnd"/>
            <w:r>
              <w:t xml:space="preserve"> </w:t>
            </w:r>
            <w:proofErr w:type="spellStart"/>
            <w:r>
              <w:t>podstawowe</w:t>
            </w:r>
            <w:proofErr w:type="spellEnd"/>
            <w:r>
              <w:t xml:space="preserve"> (w EUR)</w:t>
            </w:r>
          </w:p>
        </w:tc>
        <w:tc>
          <w:tcPr>
            <w:tcW w:w="0" w:type="auto"/>
            <w:shd w:val="clear" w:color="auto" w:fill="auto"/>
          </w:tcPr>
          <w:p w14:paraId="6E64FC34" w14:textId="77777777" w:rsidR="008C5CFA" w:rsidRDefault="00E82A60" w:rsidP="00300A01">
            <w:pPr>
              <w:spacing w:before="0" w:after="0"/>
              <w:jc w:val="right"/>
            </w:pPr>
            <w:r>
              <w:t>492 942,05</w:t>
            </w:r>
          </w:p>
        </w:tc>
      </w:tr>
      <w:tr w:rsidR="006B2EC1" w14:paraId="00EBC7AA" w14:textId="77777777" w:rsidTr="0047688D">
        <w:tc>
          <w:tcPr>
            <w:tcW w:w="0" w:type="auto"/>
            <w:shd w:val="clear" w:color="auto" w:fill="auto"/>
          </w:tcPr>
          <w:p w14:paraId="44B1C116" w14:textId="77777777" w:rsidR="008C5CFA" w:rsidRDefault="00E82A60" w:rsidP="00300A01">
            <w:pPr>
              <w:spacing w:before="0" w:after="0"/>
            </w:pPr>
            <w:r>
              <w:t xml:space="preserve">17.2. w </w:t>
            </w:r>
            <w:proofErr w:type="spellStart"/>
            <w:r>
              <w:t>tym</w:t>
            </w:r>
            <w:proofErr w:type="spellEnd"/>
            <w:r>
              <w:t xml:space="preserve"> </w:t>
            </w:r>
            <w:proofErr w:type="spellStart"/>
            <w:r>
              <w:t>wynagrodzenie</w:t>
            </w:r>
            <w:proofErr w:type="spellEnd"/>
            <w:r>
              <w:t xml:space="preserve"> </w:t>
            </w:r>
            <w:proofErr w:type="spellStart"/>
            <w:r>
              <w:t>oparte</w:t>
            </w:r>
            <w:proofErr w:type="spellEnd"/>
            <w:r>
              <w:t xml:space="preserve"> </w:t>
            </w:r>
            <w:proofErr w:type="spellStart"/>
            <w:r>
              <w:t>na</w:t>
            </w:r>
            <w:proofErr w:type="spellEnd"/>
            <w:r>
              <w:t xml:space="preserve"> </w:t>
            </w:r>
            <w:proofErr w:type="spellStart"/>
            <w:r>
              <w:t>wynikach</w:t>
            </w:r>
            <w:proofErr w:type="spellEnd"/>
            <w:r>
              <w:t xml:space="preserve"> (w EUR)</w:t>
            </w:r>
          </w:p>
        </w:tc>
        <w:tc>
          <w:tcPr>
            <w:tcW w:w="0" w:type="auto"/>
            <w:shd w:val="clear" w:color="auto" w:fill="auto"/>
          </w:tcPr>
          <w:p w14:paraId="72494BBF" w14:textId="77777777" w:rsidR="008C5CFA" w:rsidRDefault="00E82A60" w:rsidP="00300A01">
            <w:pPr>
              <w:spacing w:before="0" w:after="0"/>
              <w:jc w:val="right"/>
            </w:pPr>
            <w:r>
              <w:t>583 580,38</w:t>
            </w:r>
          </w:p>
        </w:tc>
      </w:tr>
      <w:tr w:rsidR="006B2EC1" w14:paraId="283223EF" w14:textId="77777777" w:rsidTr="0047688D">
        <w:tc>
          <w:tcPr>
            <w:tcW w:w="0" w:type="auto"/>
            <w:shd w:val="clear" w:color="auto" w:fill="auto"/>
          </w:tcPr>
          <w:p w14:paraId="7057802C" w14:textId="77777777" w:rsidR="008C5CFA" w:rsidRDefault="00E82A60" w:rsidP="00300A01">
            <w:pPr>
              <w:spacing w:before="0" w:after="0"/>
            </w:pPr>
            <w:r>
              <w:t xml:space="preserve">18. </w:t>
            </w:r>
            <w:proofErr w:type="spellStart"/>
            <w:r>
              <w:t>Skapitalizowane</w:t>
            </w:r>
            <w:proofErr w:type="spellEnd"/>
            <w:r>
              <w:t xml:space="preserve"> </w:t>
            </w:r>
            <w:proofErr w:type="spellStart"/>
            <w:r>
              <w:t>koszty</w:t>
            </w:r>
            <w:proofErr w:type="spellEnd"/>
            <w:r>
              <w:t xml:space="preserve"> </w:t>
            </w:r>
            <w:proofErr w:type="spellStart"/>
            <w:r>
              <w:t>zarządzania</w:t>
            </w:r>
            <w:proofErr w:type="spellEnd"/>
            <w:r>
              <w:t xml:space="preserve"> </w:t>
            </w:r>
            <w:proofErr w:type="spellStart"/>
            <w:r>
              <w:t>lub</w:t>
            </w:r>
            <w:proofErr w:type="spellEnd"/>
            <w:r>
              <w:t xml:space="preserve"> </w:t>
            </w:r>
            <w:proofErr w:type="spellStart"/>
            <w:r>
              <w:t>opłat</w:t>
            </w:r>
            <w:proofErr w:type="spellEnd"/>
            <w:r>
              <w:t xml:space="preserve"> za </w:t>
            </w:r>
            <w:proofErr w:type="spellStart"/>
            <w:r>
              <w:t>zarządzanie</w:t>
            </w:r>
            <w:proofErr w:type="spellEnd"/>
            <w:r>
              <w:t xml:space="preserve"> </w:t>
            </w:r>
            <w:proofErr w:type="spellStart"/>
            <w:r>
              <w:t>zgodnie</w:t>
            </w:r>
            <w:proofErr w:type="spellEnd"/>
            <w:r>
              <w:t xml:space="preserve"> z art. 42 </w:t>
            </w:r>
            <w:proofErr w:type="spellStart"/>
            <w:r>
              <w:t>ust</w:t>
            </w:r>
            <w:proofErr w:type="spellEnd"/>
            <w:r>
              <w:t xml:space="preserve">. 2 </w:t>
            </w:r>
            <w:proofErr w:type="spellStart"/>
            <w:r>
              <w:t>rozporządzenia</w:t>
            </w:r>
            <w:proofErr w:type="spellEnd"/>
            <w:r>
              <w:t xml:space="preserve"> (UE) nr 1303/2013 (</w:t>
            </w:r>
            <w:proofErr w:type="spellStart"/>
            <w:r>
              <w:t>dotyczy</w:t>
            </w:r>
            <w:proofErr w:type="spellEnd"/>
            <w:r>
              <w:t xml:space="preserve"> </w:t>
            </w:r>
            <w:proofErr w:type="spellStart"/>
            <w:r>
              <w:t>wyłącznie</w:t>
            </w:r>
            <w:proofErr w:type="spellEnd"/>
            <w:r>
              <w:t xml:space="preserve"> </w:t>
            </w:r>
            <w:proofErr w:type="spellStart"/>
            <w:r>
              <w:t>sprawozdania</w:t>
            </w:r>
            <w:proofErr w:type="spellEnd"/>
            <w:r>
              <w:t xml:space="preserve"> </w:t>
            </w:r>
            <w:proofErr w:type="spellStart"/>
            <w:r>
              <w:t>końcowego</w:t>
            </w:r>
            <w:proofErr w:type="spellEnd"/>
            <w:r>
              <w:t>) (w EUR)</w:t>
            </w:r>
          </w:p>
        </w:tc>
        <w:tc>
          <w:tcPr>
            <w:tcW w:w="0" w:type="auto"/>
            <w:shd w:val="clear" w:color="auto" w:fill="auto"/>
          </w:tcPr>
          <w:p w14:paraId="67DD19C2" w14:textId="77777777" w:rsidR="008C5CFA" w:rsidRDefault="008C5CFA" w:rsidP="00300A01">
            <w:pPr>
              <w:spacing w:before="0" w:after="0"/>
              <w:jc w:val="right"/>
            </w:pPr>
          </w:p>
        </w:tc>
      </w:tr>
      <w:tr w:rsidR="006B2EC1" w14:paraId="05AA47DD" w14:textId="77777777" w:rsidTr="0047688D">
        <w:tc>
          <w:tcPr>
            <w:tcW w:w="0" w:type="auto"/>
            <w:shd w:val="clear" w:color="auto" w:fill="auto"/>
          </w:tcPr>
          <w:p w14:paraId="2699565A" w14:textId="77777777" w:rsidR="008C5CFA" w:rsidRDefault="00E82A60" w:rsidP="00300A01">
            <w:pPr>
              <w:spacing w:before="0" w:after="0"/>
            </w:pPr>
            <w:r>
              <w:t xml:space="preserve">19. </w:t>
            </w:r>
            <w:proofErr w:type="spellStart"/>
            <w:r>
              <w:t>Skapitalizowane</w:t>
            </w:r>
            <w:proofErr w:type="spellEnd"/>
            <w:r>
              <w:t xml:space="preserve"> </w:t>
            </w:r>
            <w:proofErr w:type="spellStart"/>
            <w:r>
              <w:t>dotacje</w:t>
            </w:r>
            <w:proofErr w:type="spellEnd"/>
            <w:r>
              <w:t xml:space="preserve"> </w:t>
            </w:r>
            <w:proofErr w:type="spellStart"/>
            <w:r>
              <w:t>na</w:t>
            </w:r>
            <w:proofErr w:type="spellEnd"/>
            <w:r>
              <w:t xml:space="preserve"> </w:t>
            </w:r>
            <w:proofErr w:type="spellStart"/>
            <w:r>
              <w:t>spłatę</w:t>
            </w:r>
            <w:proofErr w:type="spellEnd"/>
            <w:r>
              <w:t xml:space="preserve"> </w:t>
            </w:r>
            <w:proofErr w:type="spellStart"/>
            <w:r>
              <w:t>odsetek</w:t>
            </w:r>
            <w:proofErr w:type="spellEnd"/>
            <w:r>
              <w:t xml:space="preserve"> </w:t>
            </w:r>
            <w:proofErr w:type="spellStart"/>
            <w:r>
              <w:t>lub</w:t>
            </w:r>
            <w:proofErr w:type="spellEnd"/>
            <w:r>
              <w:t xml:space="preserve"> </w:t>
            </w:r>
            <w:proofErr w:type="spellStart"/>
            <w:r>
              <w:t>dotacje</w:t>
            </w:r>
            <w:proofErr w:type="spellEnd"/>
            <w:r>
              <w:t xml:space="preserve"> </w:t>
            </w:r>
            <w:proofErr w:type="spellStart"/>
            <w:r>
              <w:t>na</w:t>
            </w:r>
            <w:proofErr w:type="spellEnd"/>
            <w:r>
              <w:t xml:space="preserve"> </w:t>
            </w:r>
            <w:proofErr w:type="spellStart"/>
            <w:r>
              <w:t>opłaty</w:t>
            </w:r>
            <w:proofErr w:type="spellEnd"/>
            <w:r>
              <w:t xml:space="preserve"> </w:t>
            </w:r>
            <w:proofErr w:type="spellStart"/>
            <w:r>
              <w:t>gwarancyjne</w:t>
            </w:r>
            <w:proofErr w:type="spellEnd"/>
            <w:r>
              <w:t xml:space="preserve"> </w:t>
            </w:r>
            <w:proofErr w:type="spellStart"/>
            <w:r>
              <w:t>zgodnie</w:t>
            </w:r>
            <w:proofErr w:type="spellEnd"/>
            <w:r>
              <w:t xml:space="preserve"> z art. 42 </w:t>
            </w:r>
            <w:proofErr w:type="spellStart"/>
            <w:r>
              <w:t>ust</w:t>
            </w:r>
            <w:proofErr w:type="spellEnd"/>
            <w:r>
              <w:t xml:space="preserve">. 1 lit. c) </w:t>
            </w:r>
            <w:proofErr w:type="spellStart"/>
            <w:r>
              <w:t>rozporządzenia</w:t>
            </w:r>
            <w:proofErr w:type="spellEnd"/>
            <w:r>
              <w:t xml:space="preserve"> (UE) nr 1303/2013 (</w:t>
            </w:r>
            <w:proofErr w:type="spellStart"/>
            <w:r>
              <w:t>dotyczy</w:t>
            </w:r>
            <w:proofErr w:type="spellEnd"/>
            <w:r>
              <w:t xml:space="preserve"> </w:t>
            </w:r>
            <w:proofErr w:type="spellStart"/>
            <w:r>
              <w:t>wyłącznie</w:t>
            </w:r>
            <w:proofErr w:type="spellEnd"/>
            <w:r>
              <w:t xml:space="preserve"> </w:t>
            </w:r>
            <w:proofErr w:type="spellStart"/>
            <w:r>
              <w:t>sprawozdania</w:t>
            </w:r>
            <w:proofErr w:type="spellEnd"/>
            <w:r>
              <w:t xml:space="preserve"> </w:t>
            </w:r>
            <w:proofErr w:type="spellStart"/>
            <w:r>
              <w:t>końcowego</w:t>
            </w:r>
            <w:proofErr w:type="spellEnd"/>
            <w:r>
              <w:t>) (w EUR)</w:t>
            </w:r>
          </w:p>
        </w:tc>
        <w:tc>
          <w:tcPr>
            <w:tcW w:w="0" w:type="auto"/>
            <w:shd w:val="clear" w:color="auto" w:fill="auto"/>
          </w:tcPr>
          <w:p w14:paraId="63927BF5" w14:textId="77777777" w:rsidR="008C5CFA" w:rsidRDefault="008C5CFA" w:rsidP="00300A01">
            <w:pPr>
              <w:spacing w:before="0" w:after="0"/>
              <w:jc w:val="right"/>
            </w:pPr>
          </w:p>
        </w:tc>
      </w:tr>
      <w:tr w:rsidR="006B2EC1" w14:paraId="144EC085" w14:textId="77777777" w:rsidTr="0047688D">
        <w:tc>
          <w:tcPr>
            <w:tcW w:w="0" w:type="auto"/>
            <w:shd w:val="clear" w:color="auto" w:fill="auto"/>
          </w:tcPr>
          <w:p w14:paraId="7093A54D" w14:textId="77777777" w:rsidR="008C5CFA" w:rsidRDefault="00E82A60" w:rsidP="00300A01">
            <w:pPr>
              <w:spacing w:before="0" w:after="0"/>
            </w:pPr>
            <w:r>
              <w:lastRenderedPageBreak/>
              <w:t xml:space="preserve">20. </w:t>
            </w:r>
            <w:proofErr w:type="spellStart"/>
            <w:r>
              <w:t>Kwota</w:t>
            </w:r>
            <w:proofErr w:type="spellEnd"/>
            <w:r>
              <w:t xml:space="preserve"> </w:t>
            </w:r>
            <w:proofErr w:type="spellStart"/>
            <w:r>
              <w:t>wkładów</w:t>
            </w:r>
            <w:proofErr w:type="spellEnd"/>
            <w:r>
              <w:t xml:space="preserve"> z </w:t>
            </w:r>
            <w:proofErr w:type="spellStart"/>
            <w:r>
              <w:t>programu</w:t>
            </w:r>
            <w:proofErr w:type="spellEnd"/>
            <w:r>
              <w:t xml:space="preserve"> </w:t>
            </w:r>
            <w:proofErr w:type="spellStart"/>
            <w:r>
              <w:t>przeznaczonych</w:t>
            </w:r>
            <w:proofErr w:type="spellEnd"/>
            <w:r>
              <w:t xml:space="preserve"> </w:t>
            </w:r>
            <w:proofErr w:type="spellStart"/>
            <w:r>
              <w:t>na</w:t>
            </w:r>
            <w:proofErr w:type="spellEnd"/>
            <w:r>
              <w:t xml:space="preserve"> </w:t>
            </w:r>
            <w:proofErr w:type="spellStart"/>
            <w:r>
              <w:t>inwestycje</w:t>
            </w:r>
            <w:proofErr w:type="spellEnd"/>
            <w:r>
              <w:t xml:space="preserve"> </w:t>
            </w:r>
            <w:proofErr w:type="spellStart"/>
            <w:r>
              <w:t>kontynuacyjne</w:t>
            </w:r>
            <w:proofErr w:type="spellEnd"/>
            <w:r>
              <w:t xml:space="preserve"> </w:t>
            </w:r>
            <w:proofErr w:type="spellStart"/>
            <w:r>
              <w:t>na</w:t>
            </w:r>
            <w:proofErr w:type="spellEnd"/>
            <w:r>
              <w:t xml:space="preserve"> </w:t>
            </w:r>
            <w:proofErr w:type="spellStart"/>
            <w:r>
              <w:t>rzecz</w:t>
            </w:r>
            <w:proofErr w:type="spellEnd"/>
            <w:r>
              <w:t xml:space="preserve"> </w:t>
            </w:r>
            <w:proofErr w:type="spellStart"/>
            <w:r>
              <w:t>ostatecznych</w:t>
            </w:r>
            <w:proofErr w:type="spellEnd"/>
            <w:r>
              <w:t xml:space="preserve"> </w:t>
            </w:r>
            <w:proofErr w:type="spellStart"/>
            <w:r>
              <w:t>odbiorców</w:t>
            </w:r>
            <w:proofErr w:type="spellEnd"/>
            <w:r>
              <w:t xml:space="preserve"> </w:t>
            </w:r>
            <w:proofErr w:type="spellStart"/>
            <w:r>
              <w:t>zgodnie</w:t>
            </w:r>
            <w:proofErr w:type="spellEnd"/>
            <w:r>
              <w:t xml:space="preserve"> z art. 42 </w:t>
            </w:r>
            <w:proofErr w:type="spellStart"/>
            <w:r>
              <w:t>ust</w:t>
            </w:r>
            <w:proofErr w:type="spellEnd"/>
            <w:r>
              <w:t xml:space="preserve">. 3 </w:t>
            </w:r>
            <w:proofErr w:type="spellStart"/>
            <w:r>
              <w:t>rozporządzenia</w:t>
            </w:r>
            <w:proofErr w:type="spellEnd"/>
            <w:r>
              <w:t xml:space="preserve"> (UE) nr 1303/2013 (</w:t>
            </w:r>
            <w:proofErr w:type="spellStart"/>
            <w:r>
              <w:t>dotyczy</w:t>
            </w:r>
            <w:proofErr w:type="spellEnd"/>
            <w:r>
              <w:t xml:space="preserve"> </w:t>
            </w:r>
            <w:proofErr w:type="spellStart"/>
            <w:r>
              <w:t>wyłącznie</w:t>
            </w:r>
            <w:proofErr w:type="spellEnd"/>
            <w:r>
              <w:t xml:space="preserve"> </w:t>
            </w:r>
            <w:proofErr w:type="spellStart"/>
            <w:r>
              <w:t>sprawozdania</w:t>
            </w:r>
            <w:proofErr w:type="spellEnd"/>
            <w:r>
              <w:t xml:space="preserve"> </w:t>
            </w:r>
            <w:proofErr w:type="spellStart"/>
            <w:r>
              <w:t>końcowego</w:t>
            </w:r>
            <w:proofErr w:type="spellEnd"/>
            <w:r>
              <w:t>) (w EUR)</w:t>
            </w:r>
          </w:p>
        </w:tc>
        <w:tc>
          <w:tcPr>
            <w:tcW w:w="0" w:type="auto"/>
            <w:shd w:val="clear" w:color="auto" w:fill="auto"/>
          </w:tcPr>
          <w:p w14:paraId="6B3967C4" w14:textId="77777777" w:rsidR="008C5CFA" w:rsidRDefault="008C5CFA" w:rsidP="00300A01">
            <w:pPr>
              <w:spacing w:before="0" w:after="0"/>
              <w:jc w:val="right"/>
            </w:pPr>
          </w:p>
        </w:tc>
      </w:tr>
      <w:tr w:rsidR="006B2EC1" w14:paraId="387D7EC2" w14:textId="77777777" w:rsidTr="0047688D">
        <w:tc>
          <w:tcPr>
            <w:tcW w:w="0" w:type="auto"/>
            <w:shd w:val="clear" w:color="auto" w:fill="auto"/>
          </w:tcPr>
          <w:p w14:paraId="2C3C5A9A" w14:textId="77777777" w:rsidR="008C5CFA" w:rsidRDefault="00E82A60" w:rsidP="00300A01">
            <w:pPr>
              <w:spacing w:before="0" w:after="0"/>
            </w:pPr>
            <w:r>
              <w:t xml:space="preserve">21. </w:t>
            </w:r>
            <w:proofErr w:type="spellStart"/>
            <w:r>
              <w:t>Wkłady</w:t>
            </w:r>
            <w:proofErr w:type="spellEnd"/>
            <w:r>
              <w:t xml:space="preserve"> w </w:t>
            </w:r>
            <w:proofErr w:type="spellStart"/>
            <w:r>
              <w:t>postaci</w:t>
            </w:r>
            <w:proofErr w:type="spellEnd"/>
            <w:r>
              <w:t xml:space="preserve"> </w:t>
            </w:r>
            <w:proofErr w:type="spellStart"/>
            <w:r>
              <w:t>gruntów</w:t>
            </w:r>
            <w:proofErr w:type="spellEnd"/>
            <w:r>
              <w:t xml:space="preserve"> </w:t>
            </w:r>
            <w:proofErr w:type="spellStart"/>
            <w:r>
              <w:t>lub</w:t>
            </w:r>
            <w:proofErr w:type="spellEnd"/>
            <w:r>
              <w:t xml:space="preserve"> </w:t>
            </w:r>
            <w:proofErr w:type="spellStart"/>
            <w:r>
              <w:t>nieruchomości</w:t>
            </w:r>
            <w:proofErr w:type="spellEnd"/>
            <w:r>
              <w:t xml:space="preserve"> w instrument </w:t>
            </w:r>
            <w:proofErr w:type="spellStart"/>
            <w:r>
              <w:t>finansowy</w:t>
            </w:r>
            <w:proofErr w:type="spellEnd"/>
            <w:r>
              <w:t xml:space="preserve"> </w:t>
            </w:r>
            <w:proofErr w:type="spellStart"/>
            <w:r>
              <w:t>zgodnie</w:t>
            </w:r>
            <w:proofErr w:type="spellEnd"/>
            <w:r>
              <w:t xml:space="preserve"> z art. 37 </w:t>
            </w:r>
            <w:proofErr w:type="spellStart"/>
            <w:r>
              <w:t>ust</w:t>
            </w:r>
            <w:proofErr w:type="spellEnd"/>
            <w:r>
              <w:t xml:space="preserve">. 10 </w:t>
            </w:r>
            <w:proofErr w:type="spellStart"/>
            <w:r>
              <w:t>rozporządzenia</w:t>
            </w:r>
            <w:proofErr w:type="spellEnd"/>
            <w:r>
              <w:t xml:space="preserve"> (UE) nr 1303/2013 (</w:t>
            </w:r>
            <w:proofErr w:type="spellStart"/>
            <w:r>
              <w:t>dotyczy</w:t>
            </w:r>
            <w:proofErr w:type="spellEnd"/>
            <w:r>
              <w:t xml:space="preserve"> </w:t>
            </w:r>
            <w:proofErr w:type="spellStart"/>
            <w:r>
              <w:t>wyłącznie</w:t>
            </w:r>
            <w:proofErr w:type="spellEnd"/>
            <w:r>
              <w:t xml:space="preserve"> </w:t>
            </w:r>
            <w:proofErr w:type="spellStart"/>
            <w:r>
              <w:t>sprawozdania</w:t>
            </w:r>
            <w:proofErr w:type="spellEnd"/>
            <w:r>
              <w:t xml:space="preserve"> </w:t>
            </w:r>
            <w:proofErr w:type="spellStart"/>
            <w:r>
              <w:t>końcowego</w:t>
            </w:r>
            <w:proofErr w:type="spellEnd"/>
            <w:r>
              <w:t>) (w EUR)</w:t>
            </w:r>
          </w:p>
        </w:tc>
        <w:tc>
          <w:tcPr>
            <w:tcW w:w="0" w:type="auto"/>
            <w:shd w:val="clear" w:color="auto" w:fill="auto"/>
          </w:tcPr>
          <w:p w14:paraId="226C86D6" w14:textId="77777777" w:rsidR="008C5CFA" w:rsidRDefault="008C5CFA" w:rsidP="00300A01">
            <w:pPr>
              <w:spacing w:before="0" w:after="0"/>
              <w:jc w:val="right"/>
            </w:pPr>
          </w:p>
        </w:tc>
      </w:tr>
      <w:tr w:rsidR="006B2EC1" w14:paraId="33880F01" w14:textId="77777777" w:rsidTr="0047688D">
        <w:tc>
          <w:tcPr>
            <w:tcW w:w="0" w:type="auto"/>
            <w:gridSpan w:val="2"/>
            <w:shd w:val="clear" w:color="auto" w:fill="auto"/>
          </w:tcPr>
          <w:p w14:paraId="4174A91A" w14:textId="77777777" w:rsidR="008C5CFA" w:rsidRDefault="00E82A60" w:rsidP="00300A01">
            <w:pPr>
              <w:spacing w:before="0" w:after="0"/>
            </w:pPr>
            <w:r>
              <w:rPr>
                <w:b/>
              </w:rPr>
              <w:t xml:space="preserve">V. </w:t>
            </w:r>
            <w:proofErr w:type="spellStart"/>
            <w:r>
              <w:rPr>
                <w:b/>
              </w:rPr>
              <w:t>Łączna</w:t>
            </w:r>
            <w:proofErr w:type="spellEnd"/>
            <w:r>
              <w:rPr>
                <w:b/>
              </w:rPr>
              <w:t xml:space="preserve"> </w:t>
            </w:r>
            <w:proofErr w:type="spellStart"/>
            <w:r>
              <w:rPr>
                <w:b/>
              </w:rPr>
              <w:t>kwota</w:t>
            </w:r>
            <w:proofErr w:type="spellEnd"/>
            <w:r>
              <w:rPr>
                <w:b/>
              </w:rPr>
              <w:t xml:space="preserve"> </w:t>
            </w:r>
            <w:proofErr w:type="spellStart"/>
            <w:r>
              <w:rPr>
                <w:b/>
              </w:rPr>
              <w:t>wsparcia</w:t>
            </w:r>
            <w:proofErr w:type="spellEnd"/>
            <w:r>
              <w:rPr>
                <w:b/>
              </w:rPr>
              <w:t xml:space="preserve"> </w:t>
            </w:r>
            <w:proofErr w:type="spellStart"/>
            <w:r>
              <w:rPr>
                <w:b/>
              </w:rPr>
              <w:t>wypłacona</w:t>
            </w:r>
            <w:proofErr w:type="spellEnd"/>
            <w:r>
              <w:rPr>
                <w:b/>
              </w:rPr>
              <w:t xml:space="preserve"> </w:t>
            </w:r>
            <w:proofErr w:type="spellStart"/>
            <w:r>
              <w:rPr>
                <w:b/>
              </w:rPr>
              <w:t>ostatecznym</w:t>
            </w:r>
            <w:proofErr w:type="spellEnd"/>
            <w:r>
              <w:rPr>
                <w:b/>
              </w:rPr>
              <w:t xml:space="preserve"> </w:t>
            </w:r>
            <w:proofErr w:type="spellStart"/>
            <w:r>
              <w:rPr>
                <w:b/>
              </w:rPr>
              <w:t>odbiorcom</w:t>
            </w:r>
            <w:proofErr w:type="spellEnd"/>
            <w:r>
              <w:rPr>
                <w:b/>
              </w:rPr>
              <w:t xml:space="preserve"> </w:t>
            </w:r>
            <w:proofErr w:type="spellStart"/>
            <w:r>
              <w:rPr>
                <w:b/>
              </w:rPr>
              <w:t>lub</w:t>
            </w:r>
            <w:proofErr w:type="spellEnd"/>
            <w:r>
              <w:rPr>
                <w:b/>
              </w:rPr>
              <w:t xml:space="preserve"> </w:t>
            </w:r>
            <w:proofErr w:type="spellStart"/>
            <w:r>
              <w:rPr>
                <w:b/>
              </w:rPr>
              <w:t>na</w:t>
            </w:r>
            <w:proofErr w:type="spellEnd"/>
            <w:r>
              <w:rPr>
                <w:b/>
              </w:rPr>
              <w:t xml:space="preserve"> </w:t>
            </w:r>
            <w:proofErr w:type="spellStart"/>
            <w:r>
              <w:rPr>
                <w:b/>
              </w:rPr>
              <w:t>wsparcie</w:t>
            </w:r>
            <w:proofErr w:type="spellEnd"/>
            <w:r>
              <w:rPr>
                <w:b/>
              </w:rPr>
              <w:t xml:space="preserve"> </w:t>
            </w:r>
            <w:proofErr w:type="spellStart"/>
            <w:r>
              <w:rPr>
                <w:b/>
              </w:rPr>
              <w:t>na</w:t>
            </w:r>
            <w:proofErr w:type="spellEnd"/>
            <w:r>
              <w:rPr>
                <w:b/>
              </w:rPr>
              <w:t xml:space="preserve"> </w:t>
            </w:r>
            <w:proofErr w:type="spellStart"/>
            <w:r>
              <w:rPr>
                <w:b/>
              </w:rPr>
              <w:t>rzecz</w:t>
            </w:r>
            <w:proofErr w:type="spellEnd"/>
            <w:r>
              <w:rPr>
                <w:b/>
              </w:rPr>
              <w:t xml:space="preserve"> </w:t>
            </w:r>
            <w:proofErr w:type="spellStart"/>
            <w:r>
              <w:rPr>
                <w:b/>
              </w:rPr>
              <w:t>ostatecznych</w:t>
            </w:r>
            <w:proofErr w:type="spellEnd"/>
            <w:r>
              <w:rPr>
                <w:b/>
              </w:rPr>
              <w:t xml:space="preserve"> </w:t>
            </w:r>
            <w:proofErr w:type="spellStart"/>
            <w:r>
              <w:rPr>
                <w:b/>
              </w:rPr>
              <w:t>odbiorców</w:t>
            </w:r>
            <w:proofErr w:type="spellEnd"/>
            <w:r>
              <w:rPr>
                <w:b/>
              </w:rPr>
              <w:t xml:space="preserve"> </w:t>
            </w:r>
            <w:proofErr w:type="spellStart"/>
            <w:r>
              <w:rPr>
                <w:b/>
              </w:rPr>
              <w:t>lub</w:t>
            </w:r>
            <w:proofErr w:type="spellEnd"/>
            <w:r>
              <w:rPr>
                <w:b/>
              </w:rPr>
              <w:t xml:space="preserve"> </w:t>
            </w:r>
            <w:proofErr w:type="spellStart"/>
            <w:r>
              <w:rPr>
                <w:b/>
              </w:rPr>
              <w:t>zaangażowanego</w:t>
            </w:r>
            <w:proofErr w:type="spellEnd"/>
            <w:r>
              <w:rPr>
                <w:b/>
              </w:rPr>
              <w:t xml:space="preserve"> </w:t>
            </w:r>
            <w:proofErr w:type="spellStart"/>
            <w:r>
              <w:rPr>
                <w:b/>
              </w:rPr>
              <w:t>przez</w:t>
            </w:r>
            <w:proofErr w:type="spellEnd"/>
            <w:r>
              <w:rPr>
                <w:b/>
              </w:rPr>
              <w:t xml:space="preserve"> instrument </w:t>
            </w:r>
            <w:proofErr w:type="spellStart"/>
            <w:r>
              <w:rPr>
                <w:b/>
              </w:rPr>
              <w:t>finansowy</w:t>
            </w:r>
            <w:proofErr w:type="spellEnd"/>
            <w:r>
              <w:rPr>
                <w:b/>
              </w:rPr>
              <w:t xml:space="preserve"> w </w:t>
            </w:r>
            <w:proofErr w:type="spellStart"/>
            <w:r>
              <w:rPr>
                <w:b/>
              </w:rPr>
              <w:t>ramach</w:t>
            </w:r>
            <w:proofErr w:type="spellEnd"/>
            <w:r>
              <w:rPr>
                <w:b/>
              </w:rPr>
              <w:t xml:space="preserve"> </w:t>
            </w:r>
            <w:proofErr w:type="spellStart"/>
            <w:r>
              <w:rPr>
                <w:b/>
              </w:rPr>
              <w:t>umów</w:t>
            </w:r>
            <w:proofErr w:type="spellEnd"/>
            <w:r>
              <w:rPr>
                <w:b/>
              </w:rPr>
              <w:t xml:space="preserve"> </w:t>
            </w:r>
            <w:proofErr w:type="spellStart"/>
            <w:r>
              <w:rPr>
                <w:b/>
              </w:rPr>
              <w:t>gwarancyjnych</w:t>
            </w:r>
            <w:proofErr w:type="spellEnd"/>
            <w:r>
              <w:rPr>
                <w:b/>
              </w:rPr>
              <w:t xml:space="preserve"> </w:t>
            </w:r>
            <w:proofErr w:type="spellStart"/>
            <w:r>
              <w:rPr>
                <w:b/>
              </w:rPr>
              <w:t>na</w:t>
            </w:r>
            <w:proofErr w:type="spellEnd"/>
            <w:r>
              <w:rPr>
                <w:b/>
              </w:rPr>
              <w:t xml:space="preserve"> </w:t>
            </w:r>
            <w:proofErr w:type="spellStart"/>
            <w:r>
              <w:rPr>
                <w:b/>
              </w:rPr>
              <w:t>inwestycje</w:t>
            </w:r>
            <w:proofErr w:type="spellEnd"/>
            <w:r>
              <w:rPr>
                <w:b/>
              </w:rPr>
              <w:t xml:space="preserve"> </w:t>
            </w:r>
            <w:proofErr w:type="spellStart"/>
            <w:r>
              <w:rPr>
                <w:b/>
              </w:rPr>
              <w:t>na</w:t>
            </w:r>
            <w:proofErr w:type="spellEnd"/>
            <w:r>
              <w:rPr>
                <w:b/>
              </w:rPr>
              <w:t xml:space="preserve"> </w:t>
            </w:r>
            <w:proofErr w:type="spellStart"/>
            <w:r>
              <w:rPr>
                <w:b/>
              </w:rPr>
              <w:t>rzecz</w:t>
            </w:r>
            <w:proofErr w:type="spellEnd"/>
            <w:r>
              <w:rPr>
                <w:b/>
              </w:rPr>
              <w:t xml:space="preserve"> </w:t>
            </w:r>
            <w:proofErr w:type="spellStart"/>
            <w:r>
              <w:rPr>
                <w:b/>
              </w:rPr>
              <w:t>ostatecznych</w:t>
            </w:r>
            <w:proofErr w:type="spellEnd"/>
            <w:r>
              <w:rPr>
                <w:b/>
              </w:rPr>
              <w:t xml:space="preserve"> </w:t>
            </w:r>
            <w:proofErr w:type="spellStart"/>
            <w:r>
              <w:rPr>
                <w:b/>
              </w:rPr>
              <w:t>odbiorców</w:t>
            </w:r>
            <w:proofErr w:type="spellEnd"/>
            <w:r>
              <w:rPr>
                <w:b/>
              </w:rPr>
              <w:t xml:space="preserve">, w </w:t>
            </w:r>
            <w:proofErr w:type="spellStart"/>
            <w:r>
              <w:rPr>
                <w:b/>
              </w:rPr>
              <w:t>podziale</w:t>
            </w:r>
            <w:proofErr w:type="spellEnd"/>
            <w:r>
              <w:rPr>
                <w:b/>
              </w:rPr>
              <w:t xml:space="preserve"> </w:t>
            </w:r>
            <w:proofErr w:type="spellStart"/>
            <w:r>
              <w:rPr>
                <w:b/>
              </w:rPr>
              <w:t>na</w:t>
            </w:r>
            <w:proofErr w:type="spellEnd"/>
            <w:r>
              <w:rPr>
                <w:b/>
              </w:rPr>
              <w:t xml:space="preserve"> </w:t>
            </w:r>
            <w:proofErr w:type="spellStart"/>
            <w:r>
              <w:rPr>
                <w:b/>
              </w:rPr>
              <w:t>programy</w:t>
            </w:r>
            <w:proofErr w:type="spellEnd"/>
            <w:r>
              <w:rPr>
                <w:b/>
              </w:rPr>
              <w:t xml:space="preserve"> i </w:t>
            </w:r>
            <w:proofErr w:type="spellStart"/>
            <w:r>
              <w:rPr>
                <w:b/>
              </w:rPr>
              <w:t>priorytety</w:t>
            </w:r>
            <w:proofErr w:type="spellEnd"/>
            <w:r>
              <w:rPr>
                <w:b/>
              </w:rPr>
              <w:t xml:space="preserve"> </w:t>
            </w:r>
            <w:proofErr w:type="spellStart"/>
            <w:r>
              <w:rPr>
                <w:b/>
              </w:rPr>
              <w:t>lub</w:t>
            </w:r>
            <w:proofErr w:type="spellEnd"/>
            <w:r>
              <w:rPr>
                <w:b/>
              </w:rPr>
              <w:t xml:space="preserve"> </w:t>
            </w:r>
            <w:proofErr w:type="spellStart"/>
            <w:r>
              <w:rPr>
                <w:b/>
              </w:rPr>
              <w:t>środki</w:t>
            </w:r>
            <w:proofErr w:type="spellEnd"/>
            <w:r>
              <w:rPr>
                <w:b/>
              </w:rPr>
              <w:t xml:space="preserve"> EFSI (art. 46 </w:t>
            </w:r>
            <w:proofErr w:type="spellStart"/>
            <w:r>
              <w:rPr>
                <w:b/>
              </w:rPr>
              <w:t>ust</w:t>
            </w:r>
            <w:proofErr w:type="spellEnd"/>
            <w:r>
              <w:rPr>
                <w:b/>
              </w:rPr>
              <w:t xml:space="preserve">. 2 lit. e) </w:t>
            </w:r>
            <w:proofErr w:type="spellStart"/>
            <w:r>
              <w:rPr>
                <w:b/>
              </w:rPr>
              <w:t>rozporządzenia</w:t>
            </w:r>
            <w:proofErr w:type="spellEnd"/>
            <w:r>
              <w:rPr>
                <w:b/>
              </w:rPr>
              <w:t xml:space="preserve"> (UE) nr 1303/2013)</w:t>
            </w:r>
          </w:p>
        </w:tc>
      </w:tr>
      <w:tr w:rsidR="006B2EC1" w14:paraId="5FB0FF70" w14:textId="77777777" w:rsidTr="0047688D">
        <w:tc>
          <w:tcPr>
            <w:tcW w:w="0" w:type="auto"/>
            <w:shd w:val="clear" w:color="auto" w:fill="auto"/>
          </w:tcPr>
          <w:p w14:paraId="05B47AEC" w14:textId="77777777" w:rsidR="008C5CFA" w:rsidRDefault="00E82A60" w:rsidP="00300A01">
            <w:pPr>
              <w:spacing w:before="0" w:after="0"/>
            </w:pPr>
            <w:r>
              <w:rPr>
                <w:b/>
                <w:i/>
              </w:rPr>
              <w:t xml:space="preserve">22. </w:t>
            </w:r>
            <w:proofErr w:type="spellStart"/>
            <w:r>
              <w:rPr>
                <w:b/>
                <w:i/>
              </w:rPr>
              <w:t>Nazwa</w:t>
            </w:r>
            <w:proofErr w:type="spellEnd"/>
            <w:r>
              <w:rPr>
                <w:b/>
                <w:i/>
              </w:rPr>
              <w:t xml:space="preserve"> </w:t>
            </w:r>
            <w:proofErr w:type="spellStart"/>
            <w:r>
              <w:rPr>
                <w:b/>
                <w:i/>
              </w:rPr>
              <w:t>produktu</w:t>
            </w:r>
            <w:proofErr w:type="spellEnd"/>
            <w:r>
              <w:rPr>
                <w:b/>
                <w:i/>
              </w:rPr>
              <w:t xml:space="preserve"> </w:t>
            </w:r>
            <w:proofErr w:type="spellStart"/>
            <w:r>
              <w:rPr>
                <w:b/>
                <w:i/>
              </w:rPr>
              <w:t>finansowego</w:t>
            </w:r>
            <w:proofErr w:type="spellEnd"/>
            <w:r>
              <w:rPr>
                <w:b/>
                <w:i/>
              </w:rPr>
              <w:t xml:space="preserve"> </w:t>
            </w:r>
            <w:proofErr w:type="spellStart"/>
            <w:r>
              <w:rPr>
                <w:b/>
                <w:i/>
              </w:rPr>
              <w:t>oferowanego</w:t>
            </w:r>
            <w:proofErr w:type="spellEnd"/>
            <w:r>
              <w:rPr>
                <w:b/>
                <w:i/>
              </w:rPr>
              <w:t xml:space="preserve"> </w:t>
            </w:r>
            <w:proofErr w:type="spellStart"/>
            <w:r>
              <w:rPr>
                <w:b/>
                <w:i/>
              </w:rPr>
              <w:t>przez</w:t>
            </w:r>
            <w:proofErr w:type="spellEnd"/>
            <w:r>
              <w:rPr>
                <w:b/>
                <w:i/>
              </w:rPr>
              <w:t xml:space="preserve"> instrument </w:t>
            </w:r>
            <w:proofErr w:type="spellStart"/>
            <w:r>
              <w:rPr>
                <w:b/>
                <w:i/>
              </w:rPr>
              <w:t>finansowy</w:t>
            </w:r>
            <w:proofErr w:type="spellEnd"/>
          </w:p>
        </w:tc>
        <w:tc>
          <w:tcPr>
            <w:tcW w:w="0" w:type="auto"/>
            <w:shd w:val="clear" w:color="auto" w:fill="auto"/>
          </w:tcPr>
          <w:p w14:paraId="77DC763D" w14:textId="77777777" w:rsidR="008C5CFA" w:rsidRDefault="00E82A60" w:rsidP="00300A01">
            <w:pPr>
              <w:pStyle w:val="Nagwek3"/>
              <w:spacing w:before="0" w:after="0"/>
              <w:jc w:val="left"/>
            </w:pPr>
            <w:bookmarkStart w:id="98" w:name="_Toc46391781"/>
            <w:proofErr w:type="spellStart"/>
            <w:r>
              <w:rPr>
                <w:b/>
              </w:rPr>
              <w:t>Pożyczki</w:t>
            </w:r>
            <w:proofErr w:type="spellEnd"/>
            <w:r>
              <w:rPr>
                <w:b/>
              </w:rPr>
              <w:t xml:space="preserve"> </w:t>
            </w:r>
            <w:proofErr w:type="spellStart"/>
            <w:r>
              <w:rPr>
                <w:b/>
              </w:rPr>
              <w:t>dla</w:t>
            </w:r>
            <w:proofErr w:type="spellEnd"/>
            <w:r>
              <w:rPr>
                <w:b/>
              </w:rPr>
              <w:t xml:space="preserve"> MŚP</w:t>
            </w:r>
            <w:bookmarkEnd w:id="98"/>
          </w:p>
        </w:tc>
      </w:tr>
      <w:tr w:rsidR="006B2EC1" w14:paraId="4C81B782" w14:textId="77777777" w:rsidTr="0047688D">
        <w:tc>
          <w:tcPr>
            <w:tcW w:w="0" w:type="auto"/>
            <w:shd w:val="clear" w:color="auto" w:fill="auto"/>
          </w:tcPr>
          <w:p w14:paraId="24446081" w14:textId="77777777" w:rsidR="008C5CFA" w:rsidRDefault="00E82A60" w:rsidP="00300A01">
            <w:pPr>
              <w:spacing w:before="0" w:after="0"/>
            </w:pPr>
            <w:r>
              <w:t xml:space="preserve">22.1. </w:t>
            </w:r>
            <w:proofErr w:type="spellStart"/>
            <w:r>
              <w:t>Rodzaj</w:t>
            </w:r>
            <w:proofErr w:type="spellEnd"/>
            <w:r>
              <w:t xml:space="preserve"> </w:t>
            </w:r>
            <w:proofErr w:type="spellStart"/>
            <w:r>
              <w:t>produktu</w:t>
            </w:r>
            <w:proofErr w:type="spellEnd"/>
            <w:r>
              <w:t xml:space="preserve"> </w:t>
            </w:r>
            <w:proofErr w:type="spellStart"/>
            <w:r>
              <w:t>finansowego</w:t>
            </w:r>
            <w:proofErr w:type="spellEnd"/>
            <w:r>
              <w:t xml:space="preserve"> </w:t>
            </w:r>
            <w:proofErr w:type="spellStart"/>
            <w:r>
              <w:t>oferowanego</w:t>
            </w:r>
            <w:proofErr w:type="spellEnd"/>
            <w:r>
              <w:t xml:space="preserve"> </w:t>
            </w:r>
            <w:proofErr w:type="spellStart"/>
            <w:r>
              <w:t>przez</w:t>
            </w:r>
            <w:proofErr w:type="spellEnd"/>
            <w:r>
              <w:t xml:space="preserve"> instrument </w:t>
            </w:r>
            <w:proofErr w:type="spellStart"/>
            <w:r>
              <w:t>finansowy</w:t>
            </w:r>
            <w:proofErr w:type="spellEnd"/>
          </w:p>
        </w:tc>
        <w:tc>
          <w:tcPr>
            <w:tcW w:w="0" w:type="auto"/>
            <w:shd w:val="clear" w:color="auto" w:fill="auto"/>
          </w:tcPr>
          <w:p w14:paraId="6E36EF28" w14:textId="77777777" w:rsidR="008C5CFA" w:rsidRDefault="00E82A60" w:rsidP="00300A01">
            <w:pPr>
              <w:spacing w:before="0" w:after="0"/>
              <w:jc w:val="left"/>
            </w:pPr>
            <w:proofErr w:type="spellStart"/>
            <w:r>
              <w:t>Pożyczka</w:t>
            </w:r>
            <w:proofErr w:type="spellEnd"/>
          </w:p>
        </w:tc>
      </w:tr>
      <w:tr w:rsidR="006B2EC1" w14:paraId="5A75F731" w14:textId="77777777" w:rsidTr="0047688D">
        <w:tc>
          <w:tcPr>
            <w:tcW w:w="0" w:type="auto"/>
            <w:shd w:val="clear" w:color="auto" w:fill="auto"/>
          </w:tcPr>
          <w:p w14:paraId="2769D84F" w14:textId="77777777" w:rsidR="008C5CFA" w:rsidRDefault="00E82A60" w:rsidP="00300A01">
            <w:pPr>
              <w:spacing w:before="0" w:after="0"/>
            </w:pPr>
            <w:r>
              <w:t xml:space="preserve">24. </w:t>
            </w:r>
            <w:proofErr w:type="spellStart"/>
            <w:r>
              <w:t>Łączna</w:t>
            </w:r>
            <w:proofErr w:type="spellEnd"/>
            <w:r>
              <w:t xml:space="preserve"> </w:t>
            </w:r>
            <w:proofErr w:type="spellStart"/>
            <w:r>
              <w:t>kwota</w:t>
            </w:r>
            <w:proofErr w:type="spellEnd"/>
            <w:r>
              <w:t xml:space="preserve"> </w:t>
            </w:r>
            <w:proofErr w:type="spellStart"/>
            <w:r>
              <w:t>wkładów</w:t>
            </w:r>
            <w:proofErr w:type="spellEnd"/>
            <w:r>
              <w:t xml:space="preserve"> z </w:t>
            </w:r>
            <w:proofErr w:type="spellStart"/>
            <w:r>
              <w:t>programu</w:t>
            </w:r>
            <w:proofErr w:type="spellEnd"/>
            <w:r>
              <w:t xml:space="preserve"> </w:t>
            </w:r>
            <w:proofErr w:type="spellStart"/>
            <w:r>
              <w:t>zaangażowanych</w:t>
            </w:r>
            <w:proofErr w:type="spellEnd"/>
            <w:r>
              <w:t xml:space="preserve"> w </w:t>
            </w:r>
            <w:proofErr w:type="spellStart"/>
            <w:r>
              <w:t>ramach</w:t>
            </w:r>
            <w:proofErr w:type="spellEnd"/>
            <w:r>
              <w:t xml:space="preserve"> </w:t>
            </w:r>
            <w:proofErr w:type="spellStart"/>
            <w:r>
              <w:t>tej</w:t>
            </w:r>
            <w:proofErr w:type="spellEnd"/>
            <w:r>
              <w:t xml:space="preserve"> </w:t>
            </w:r>
            <w:proofErr w:type="spellStart"/>
            <w:r>
              <w:t>pożyczki</w:t>
            </w:r>
            <w:proofErr w:type="spellEnd"/>
            <w:r>
              <w:t xml:space="preserve">, </w:t>
            </w:r>
            <w:proofErr w:type="spellStart"/>
            <w:r>
              <w:t>umów</w:t>
            </w:r>
            <w:proofErr w:type="spellEnd"/>
            <w:r>
              <w:t xml:space="preserve"> </w:t>
            </w:r>
            <w:proofErr w:type="spellStart"/>
            <w:r>
              <w:t>gwarancyjnych</w:t>
            </w:r>
            <w:proofErr w:type="spellEnd"/>
            <w:r>
              <w:t xml:space="preserve">, </w:t>
            </w:r>
            <w:proofErr w:type="spellStart"/>
            <w:r>
              <w:t>umów</w:t>
            </w:r>
            <w:proofErr w:type="spellEnd"/>
            <w:r>
              <w:t xml:space="preserve"> o </w:t>
            </w:r>
            <w:proofErr w:type="spellStart"/>
            <w:r>
              <w:t>produkty</w:t>
            </w:r>
            <w:proofErr w:type="spellEnd"/>
            <w:r>
              <w:t xml:space="preserve"> </w:t>
            </w:r>
            <w:proofErr w:type="spellStart"/>
            <w:r>
              <w:t>kapitałowe</w:t>
            </w:r>
            <w:proofErr w:type="spellEnd"/>
            <w:r>
              <w:t>, quasi-</w:t>
            </w:r>
            <w:proofErr w:type="spellStart"/>
            <w:r>
              <w:t>kapitałowe</w:t>
            </w:r>
            <w:proofErr w:type="spellEnd"/>
            <w:r>
              <w:t xml:space="preserve"> </w:t>
            </w:r>
            <w:proofErr w:type="spellStart"/>
            <w:r>
              <w:t>lub</w:t>
            </w:r>
            <w:proofErr w:type="spellEnd"/>
            <w:r>
              <w:t xml:space="preserve"> </w:t>
            </w:r>
            <w:proofErr w:type="spellStart"/>
            <w:r>
              <w:t>inne</w:t>
            </w:r>
            <w:proofErr w:type="spellEnd"/>
            <w:r>
              <w:t xml:space="preserve"> </w:t>
            </w:r>
            <w:proofErr w:type="spellStart"/>
            <w:r>
              <w:t>produkty</w:t>
            </w:r>
            <w:proofErr w:type="spellEnd"/>
            <w:r>
              <w:t xml:space="preserve"> </w:t>
            </w:r>
            <w:proofErr w:type="spellStart"/>
            <w:r>
              <w:t>finansowe</w:t>
            </w:r>
            <w:proofErr w:type="spellEnd"/>
            <w:r>
              <w:t xml:space="preserve"> z </w:t>
            </w:r>
            <w:proofErr w:type="spellStart"/>
            <w:r>
              <w:t>ostatecznymi</w:t>
            </w:r>
            <w:proofErr w:type="spellEnd"/>
            <w:r>
              <w:t xml:space="preserve"> </w:t>
            </w:r>
            <w:proofErr w:type="spellStart"/>
            <w:r>
              <w:t>odbiorcami</w:t>
            </w:r>
            <w:proofErr w:type="spellEnd"/>
            <w:r>
              <w:t xml:space="preserve"> (w EUR)</w:t>
            </w:r>
          </w:p>
        </w:tc>
        <w:tc>
          <w:tcPr>
            <w:tcW w:w="0" w:type="auto"/>
            <w:shd w:val="clear" w:color="auto" w:fill="auto"/>
          </w:tcPr>
          <w:p w14:paraId="229C1FA0" w14:textId="77777777" w:rsidR="008C5CFA" w:rsidRDefault="00E82A60" w:rsidP="00300A01">
            <w:pPr>
              <w:spacing w:before="0" w:after="0"/>
              <w:jc w:val="right"/>
            </w:pPr>
            <w:r>
              <w:t>19 962 801,34</w:t>
            </w:r>
          </w:p>
        </w:tc>
      </w:tr>
      <w:tr w:rsidR="006B2EC1" w14:paraId="679CD086" w14:textId="77777777" w:rsidTr="0047688D">
        <w:tc>
          <w:tcPr>
            <w:tcW w:w="0" w:type="auto"/>
            <w:shd w:val="clear" w:color="auto" w:fill="auto"/>
          </w:tcPr>
          <w:p w14:paraId="7A990A3C" w14:textId="77777777" w:rsidR="008C5CFA" w:rsidRDefault="00E82A60" w:rsidP="00300A01">
            <w:pPr>
              <w:spacing w:before="0" w:after="0"/>
            </w:pPr>
            <w:r>
              <w:t xml:space="preserve">24.1. w </w:t>
            </w:r>
            <w:proofErr w:type="spellStart"/>
            <w:r>
              <w:t>tym</w:t>
            </w:r>
            <w:proofErr w:type="spellEnd"/>
            <w:r>
              <w:t xml:space="preserve"> </w:t>
            </w:r>
            <w:proofErr w:type="spellStart"/>
            <w:r>
              <w:t>łączna</w:t>
            </w:r>
            <w:proofErr w:type="spellEnd"/>
            <w:r>
              <w:t xml:space="preserve"> </w:t>
            </w:r>
            <w:proofErr w:type="spellStart"/>
            <w:r>
              <w:t>kwota</w:t>
            </w:r>
            <w:proofErr w:type="spellEnd"/>
            <w:r>
              <w:t xml:space="preserve"> </w:t>
            </w:r>
            <w:proofErr w:type="spellStart"/>
            <w:r>
              <w:t>wkładów</w:t>
            </w:r>
            <w:proofErr w:type="spellEnd"/>
            <w:r>
              <w:t xml:space="preserve"> z EFSI (w EUR)</w:t>
            </w:r>
          </w:p>
        </w:tc>
        <w:tc>
          <w:tcPr>
            <w:tcW w:w="0" w:type="auto"/>
            <w:shd w:val="clear" w:color="auto" w:fill="auto"/>
          </w:tcPr>
          <w:p w14:paraId="5C2A8E2A" w14:textId="77777777" w:rsidR="008C5CFA" w:rsidRDefault="00E82A60" w:rsidP="00300A01">
            <w:pPr>
              <w:spacing w:before="0" w:after="0"/>
              <w:jc w:val="right"/>
            </w:pPr>
            <w:r>
              <w:t>13 844 559,47</w:t>
            </w:r>
          </w:p>
        </w:tc>
      </w:tr>
      <w:tr w:rsidR="006B2EC1" w14:paraId="5F450514" w14:textId="77777777" w:rsidTr="0047688D">
        <w:tc>
          <w:tcPr>
            <w:tcW w:w="0" w:type="auto"/>
            <w:shd w:val="clear" w:color="auto" w:fill="auto"/>
          </w:tcPr>
          <w:p w14:paraId="05F89AC5" w14:textId="77777777" w:rsidR="008C5CFA" w:rsidRDefault="00E82A60" w:rsidP="00300A01">
            <w:pPr>
              <w:spacing w:before="0" w:after="0"/>
            </w:pPr>
            <w:r>
              <w:t xml:space="preserve">25. </w:t>
            </w:r>
            <w:proofErr w:type="spellStart"/>
            <w:r>
              <w:t>Łączna</w:t>
            </w:r>
            <w:proofErr w:type="spellEnd"/>
            <w:r>
              <w:t xml:space="preserve"> </w:t>
            </w:r>
            <w:proofErr w:type="spellStart"/>
            <w:r>
              <w:t>kwota</w:t>
            </w:r>
            <w:proofErr w:type="spellEnd"/>
            <w:r>
              <w:t xml:space="preserve"> </w:t>
            </w:r>
            <w:proofErr w:type="spellStart"/>
            <w:r>
              <w:t>wkładów</w:t>
            </w:r>
            <w:proofErr w:type="spellEnd"/>
            <w:r>
              <w:t xml:space="preserve"> z </w:t>
            </w:r>
            <w:proofErr w:type="spellStart"/>
            <w:r>
              <w:t>programu</w:t>
            </w:r>
            <w:proofErr w:type="spellEnd"/>
            <w:r>
              <w:t xml:space="preserve"> </w:t>
            </w:r>
            <w:proofErr w:type="spellStart"/>
            <w:r>
              <w:t>wypłacona</w:t>
            </w:r>
            <w:proofErr w:type="spellEnd"/>
            <w:r>
              <w:t xml:space="preserve"> </w:t>
            </w:r>
            <w:proofErr w:type="spellStart"/>
            <w:r>
              <w:t>ostatecznym</w:t>
            </w:r>
            <w:proofErr w:type="spellEnd"/>
            <w:r>
              <w:t xml:space="preserve"> </w:t>
            </w:r>
            <w:proofErr w:type="spellStart"/>
            <w:r>
              <w:t>odbiorcom</w:t>
            </w:r>
            <w:proofErr w:type="spellEnd"/>
            <w:r>
              <w:t xml:space="preserve"> w </w:t>
            </w:r>
            <w:proofErr w:type="spellStart"/>
            <w:r>
              <w:t>formie</w:t>
            </w:r>
            <w:proofErr w:type="spellEnd"/>
            <w:r>
              <w:t xml:space="preserve"> </w:t>
            </w:r>
            <w:proofErr w:type="spellStart"/>
            <w:r>
              <w:t>tej</w:t>
            </w:r>
            <w:proofErr w:type="spellEnd"/>
            <w:r>
              <w:t xml:space="preserve"> </w:t>
            </w:r>
            <w:proofErr w:type="spellStart"/>
            <w:r>
              <w:t>pożyczki</w:t>
            </w:r>
            <w:proofErr w:type="spellEnd"/>
            <w:r>
              <w:t xml:space="preserve">, </w:t>
            </w:r>
            <w:proofErr w:type="spellStart"/>
            <w:r>
              <w:t>mikropożyczek</w:t>
            </w:r>
            <w:proofErr w:type="spellEnd"/>
            <w:r>
              <w:t xml:space="preserve">, </w:t>
            </w:r>
            <w:proofErr w:type="spellStart"/>
            <w:r>
              <w:t>kapitału</w:t>
            </w:r>
            <w:proofErr w:type="spellEnd"/>
            <w:r>
              <w:t xml:space="preserve"> </w:t>
            </w:r>
            <w:proofErr w:type="spellStart"/>
            <w:r>
              <w:t>lub</w:t>
            </w:r>
            <w:proofErr w:type="spellEnd"/>
            <w:r>
              <w:t xml:space="preserve"> </w:t>
            </w:r>
            <w:proofErr w:type="spellStart"/>
            <w:r>
              <w:t>innych</w:t>
            </w:r>
            <w:proofErr w:type="spellEnd"/>
            <w:r>
              <w:t xml:space="preserve"> </w:t>
            </w:r>
            <w:proofErr w:type="spellStart"/>
            <w:r>
              <w:t>produktów</w:t>
            </w:r>
            <w:proofErr w:type="spellEnd"/>
            <w:r>
              <w:t xml:space="preserve"> </w:t>
            </w:r>
            <w:proofErr w:type="spellStart"/>
            <w:r>
              <w:t>lub</w:t>
            </w:r>
            <w:proofErr w:type="spellEnd"/>
            <w:r>
              <w:t xml:space="preserve"> w </w:t>
            </w:r>
            <w:proofErr w:type="spellStart"/>
            <w:r>
              <w:t>przypadku</w:t>
            </w:r>
            <w:proofErr w:type="spellEnd"/>
            <w:r>
              <w:t xml:space="preserve"> </w:t>
            </w:r>
            <w:proofErr w:type="spellStart"/>
            <w:r>
              <w:t>gwarancji</w:t>
            </w:r>
            <w:proofErr w:type="spellEnd"/>
            <w:r>
              <w:t xml:space="preserve"> </w:t>
            </w:r>
            <w:proofErr w:type="spellStart"/>
            <w:r>
              <w:t>przeznaczona</w:t>
            </w:r>
            <w:proofErr w:type="spellEnd"/>
            <w:r>
              <w:t xml:space="preserve"> </w:t>
            </w:r>
            <w:proofErr w:type="spellStart"/>
            <w:r>
              <w:t>na</w:t>
            </w:r>
            <w:proofErr w:type="spellEnd"/>
            <w:r>
              <w:t xml:space="preserve"> </w:t>
            </w:r>
            <w:proofErr w:type="spellStart"/>
            <w:r>
              <w:t>pożyczki</w:t>
            </w:r>
            <w:proofErr w:type="spellEnd"/>
            <w:r>
              <w:t xml:space="preserve"> </w:t>
            </w:r>
            <w:proofErr w:type="spellStart"/>
            <w:r>
              <w:t>wypłacone</w:t>
            </w:r>
            <w:proofErr w:type="spellEnd"/>
            <w:r>
              <w:t xml:space="preserve"> </w:t>
            </w:r>
            <w:proofErr w:type="spellStart"/>
            <w:r>
              <w:t>ostatecznym</w:t>
            </w:r>
            <w:proofErr w:type="spellEnd"/>
            <w:r>
              <w:t xml:space="preserve"> </w:t>
            </w:r>
            <w:proofErr w:type="spellStart"/>
            <w:r>
              <w:t>odbiorcom</w:t>
            </w:r>
            <w:proofErr w:type="spellEnd"/>
            <w:r>
              <w:t xml:space="preserve">, </w:t>
            </w:r>
            <w:proofErr w:type="spellStart"/>
            <w:r>
              <w:t>według</w:t>
            </w:r>
            <w:proofErr w:type="spellEnd"/>
            <w:r>
              <w:t xml:space="preserve"> </w:t>
            </w:r>
            <w:proofErr w:type="spellStart"/>
            <w:r>
              <w:t>produktów</w:t>
            </w:r>
            <w:proofErr w:type="spellEnd"/>
            <w:r>
              <w:t xml:space="preserve"> (w EUR)</w:t>
            </w:r>
          </w:p>
        </w:tc>
        <w:tc>
          <w:tcPr>
            <w:tcW w:w="0" w:type="auto"/>
            <w:shd w:val="clear" w:color="auto" w:fill="auto"/>
          </w:tcPr>
          <w:p w14:paraId="2D56353C" w14:textId="77777777" w:rsidR="008C5CFA" w:rsidRDefault="00E82A60" w:rsidP="00300A01">
            <w:pPr>
              <w:spacing w:before="0" w:after="0"/>
              <w:jc w:val="right"/>
            </w:pPr>
            <w:r>
              <w:t>19 148 965,45</w:t>
            </w:r>
          </w:p>
        </w:tc>
      </w:tr>
      <w:tr w:rsidR="006B2EC1" w14:paraId="435149DD" w14:textId="77777777" w:rsidTr="0047688D">
        <w:tc>
          <w:tcPr>
            <w:tcW w:w="0" w:type="auto"/>
            <w:shd w:val="clear" w:color="auto" w:fill="auto"/>
          </w:tcPr>
          <w:p w14:paraId="75E0B8A3" w14:textId="77777777" w:rsidR="008C5CFA" w:rsidRDefault="00E82A60" w:rsidP="00300A01">
            <w:pPr>
              <w:spacing w:before="0" w:after="0"/>
            </w:pPr>
            <w:r>
              <w:t xml:space="preserve">25.1. w </w:t>
            </w:r>
            <w:proofErr w:type="spellStart"/>
            <w:r>
              <w:t>tym</w:t>
            </w:r>
            <w:proofErr w:type="spellEnd"/>
            <w:r>
              <w:t xml:space="preserve"> </w:t>
            </w:r>
            <w:proofErr w:type="spellStart"/>
            <w:r>
              <w:t>łączna</w:t>
            </w:r>
            <w:proofErr w:type="spellEnd"/>
            <w:r>
              <w:t xml:space="preserve"> </w:t>
            </w:r>
            <w:proofErr w:type="spellStart"/>
            <w:r>
              <w:t>kwota</w:t>
            </w:r>
            <w:proofErr w:type="spellEnd"/>
            <w:r>
              <w:t xml:space="preserve"> </w:t>
            </w:r>
            <w:proofErr w:type="spellStart"/>
            <w:r>
              <w:t>wkładów</w:t>
            </w:r>
            <w:proofErr w:type="spellEnd"/>
            <w:r>
              <w:t xml:space="preserve"> z EFSI (w EUR)</w:t>
            </w:r>
          </w:p>
        </w:tc>
        <w:tc>
          <w:tcPr>
            <w:tcW w:w="0" w:type="auto"/>
            <w:shd w:val="clear" w:color="auto" w:fill="auto"/>
          </w:tcPr>
          <w:p w14:paraId="49184664" w14:textId="77777777" w:rsidR="008C5CFA" w:rsidRDefault="00E82A60" w:rsidP="00300A01">
            <w:pPr>
              <w:spacing w:before="0" w:after="0"/>
              <w:jc w:val="right"/>
            </w:pPr>
            <w:r>
              <w:t>13 299 679,32</w:t>
            </w:r>
          </w:p>
        </w:tc>
      </w:tr>
      <w:tr w:rsidR="006B2EC1" w14:paraId="521DF7D9" w14:textId="77777777" w:rsidTr="0047688D">
        <w:tc>
          <w:tcPr>
            <w:tcW w:w="0" w:type="auto"/>
            <w:shd w:val="clear" w:color="auto" w:fill="auto"/>
          </w:tcPr>
          <w:p w14:paraId="208B6D77" w14:textId="77777777" w:rsidR="008C5CFA" w:rsidRDefault="00E82A60" w:rsidP="00300A01">
            <w:pPr>
              <w:spacing w:before="0" w:after="0"/>
            </w:pPr>
            <w:r>
              <w:t xml:space="preserve">25.1.1. w </w:t>
            </w:r>
            <w:proofErr w:type="spellStart"/>
            <w:r>
              <w:t>tym</w:t>
            </w:r>
            <w:proofErr w:type="spellEnd"/>
            <w:r>
              <w:t xml:space="preserve"> EFRR (w EUR)</w:t>
            </w:r>
          </w:p>
        </w:tc>
        <w:tc>
          <w:tcPr>
            <w:tcW w:w="0" w:type="auto"/>
            <w:shd w:val="clear" w:color="auto" w:fill="auto"/>
          </w:tcPr>
          <w:p w14:paraId="1FF34154" w14:textId="77777777" w:rsidR="008C5CFA" w:rsidRDefault="00E82A60" w:rsidP="00300A01">
            <w:pPr>
              <w:spacing w:before="0" w:after="0"/>
              <w:jc w:val="right"/>
            </w:pPr>
            <w:r>
              <w:t>13 299 679,32</w:t>
            </w:r>
          </w:p>
        </w:tc>
      </w:tr>
      <w:tr w:rsidR="006B2EC1" w14:paraId="7EA5AC2E" w14:textId="77777777" w:rsidTr="0047688D">
        <w:tc>
          <w:tcPr>
            <w:tcW w:w="0" w:type="auto"/>
            <w:shd w:val="clear" w:color="auto" w:fill="auto"/>
          </w:tcPr>
          <w:p w14:paraId="62BA32D8" w14:textId="77777777" w:rsidR="008C5CFA" w:rsidRDefault="00E82A60" w:rsidP="00300A01">
            <w:pPr>
              <w:spacing w:before="0" w:after="0"/>
            </w:pPr>
            <w:r>
              <w:t xml:space="preserve">25.1.2. w </w:t>
            </w:r>
            <w:proofErr w:type="spellStart"/>
            <w:r>
              <w:t>tym</w:t>
            </w:r>
            <w:proofErr w:type="spellEnd"/>
            <w:r>
              <w:t xml:space="preserve"> </w:t>
            </w:r>
            <w:proofErr w:type="spellStart"/>
            <w:r>
              <w:t>Fundusz</w:t>
            </w:r>
            <w:proofErr w:type="spellEnd"/>
            <w:r>
              <w:t xml:space="preserve"> </w:t>
            </w:r>
            <w:proofErr w:type="spellStart"/>
            <w:r>
              <w:t>Spójności</w:t>
            </w:r>
            <w:proofErr w:type="spellEnd"/>
            <w:r>
              <w:t xml:space="preserve"> (w EUR)</w:t>
            </w:r>
          </w:p>
        </w:tc>
        <w:tc>
          <w:tcPr>
            <w:tcW w:w="0" w:type="auto"/>
            <w:shd w:val="clear" w:color="auto" w:fill="auto"/>
          </w:tcPr>
          <w:p w14:paraId="1C3D81B5" w14:textId="77777777" w:rsidR="008C5CFA" w:rsidRDefault="008C5CFA" w:rsidP="00300A01">
            <w:pPr>
              <w:spacing w:before="0" w:after="0"/>
              <w:jc w:val="right"/>
            </w:pPr>
          </w:p>
        </w:tc>
      </w:tr>
      <w:tr w:rsidR="006B2EC1" w14:paraId="139FD9CE" w14:textId="77777777" w:rsidTr="0047688D">
        <w:tc>
          <w:tcPr>
            <w:tcW w:w="0" w:type="auto"/>
            <w:shd w:val="clear" w:color="auto" w:fill="auto"/>
          </w:tcPr>
          <w:p w14:paraId="34CB6017" w14:textId="77777777" w:rsidR="008C5CFA" w:rsidRDefault="00E82A60" w:rsidP="00300A01">
            <w:pPr>
              <w:spacing w:before="0" w:after="0"/>
            </w:pPr>
            <w:r>
              <w:t xml:space="preserve">25.1.3. w </w:t>
            </w:r>
            <w:proofErr w:type="spellStart"/>
            <w:r>
              <w:t>tym</w:t>
            </w:r>
            <w:proofErr w:type="spellEnd"/>
            <w:r>
              <w:t xml:space="preserve"> EFS (w EUR)</w:t>
            </w:r>
          </w:p>
        </w:tc>
        <w:tc>
          <w:tcPr>
            <w:tcW w:w="0" w:type="auto"/>
            <w:shd w:val="clear" w:color="auto" w:fill="auto"/>
          </w:tcPr>
          <w:p w14:paraId="79322419" w14:textId="77777777" w:rsidR="008C5CFA" w:rsidRDefault="008C5CFA" w:rsidP="00300A01">
            <w:pPr>
              <w:spacing w:before="0" w:after="0"/>
              <w:jc w:val="right"/>
            </w:pPr>
          </w:p>
        </w:tc>
      </w:tr>
      <w:tr w:rsidR="006B2EC1" w14:paraId="2204799A" w14:textId="77777777" w:rsidTr="0047688D">
        <w:tc>
          <w:tcPr>
            <w:tcW w:w="0" w:type="auto"/>
            <w:shd w:val="clear" w:color="auto" w:fill="auto"/>
          </w:tcPr>
          <w:p w14:paraId="76737E16" w14:textId="77777777" w:rsidR="008C5CFA" w:rsidRDefault="00E82A60" w:rsidP="00300A01">
            <w:pPr>
              <w:spacing w:before="0" w:after="0"/>
            </w:pPr>
            <w:r>
              <w:t xml:space="preserve">25.1.4. w </w:t>
            </w:r>
            <w:proofErr w:type="spellStart"/>
            <w:r>
              <w:t>tym</w:t>
            </w:r>
            <w:proofErr w:type="spellEnd"/>
            <w:r>
              <w:t xml:space="preserve"> EFRROW (w EUR)</w:t>
            </w:r>
          </w:p>
        </w:tc>
        <w:tc>
          <w:tcPr>
            <w:tcW w:w="0" w:type="auto"/>
            <w:shd w:val="clear" w:color="auto" w:fill="auto"/>
          </w:tcPr>
          <w:p w14:paraId="47B9126B" w14:textId="77777777" w:rsidR="008C5CFA" w:rsidRDefault="008C5CFA" w:rsidP="00300A01">
            <w:pPr>
              <w:spacing w:before="0" w:after="0"/>
              <w:jc w:val="right"/>
            </w:pPr>
          </w:p>
        </w:tc>
      </w:tr>
      <w:tr w:rsidR="006B2EC1" w14:paraId="4E796E08" w14:textId="77777777" w:rsidTr="0047688D">
        <w:tc>
          <w:tcPr>
            <w:tcW w:w="0" w:type="auto"/>
            <w:shd w:val="clear" w:color="auto" w:fill="auto"/>
          </w:tcPr>
          <w:p w14:paraId="20B9BD8C" w14:textId="77777777" w:rsidR="008C5CFA" w:rsidRDefault="00E82A60" w:rsidP="00300A01">
            <w:pPr>
              <w:spacing w:before="0" w:after="0"/>
            </w:pPr>
            <w:r>
              <w:t xml:space="preserve">25.1.5. w </w:t>
            </w:r>
            <w:proofErr w:type="spellStart"/>
            <w:r>
              <w:t>tym</w:t>
            </w:r>
            <w:proofErr w:type="spellEnd"/>
            <w:r>
              <w:t xml:space="preserve"> EFMR (w EUR)</w:t>
            </w:r>
          </w:p>
        </w:tc>
        <w:tc>
          <w:tcPr>
            <w:tcW w:w="0" w:type="auto"/>
            <w:shd w:val="clear" w:color="auto" w:fill="auto"/>
          </w:tcPr>
          <w:p w14:paraId="10A96AF8" w14:textId="77777777" w:rsidR="008C5CFA" w:rsidRDefault="008C5CFA" w:rsidP="00300A01">
            <w:pPr>
              <w:spacing w:before="0" w:after="0"/>
              <w:jc w:val="right"/>
            </w:pPr>
          </w:p>
        </w:tc>
      </w:tr>
      <w:tr w:rsidR="006B2EC1" w14:paraId="4B14A096" w14:textId="77777777" w:rsidTr="0047688D">
        <w:tc>
          <w:tcPr>
            <w:tcW w:w="0" w:type="auto"/>
            <w:shd w:val="clear" w:color="auto" w:fill="auto"/>
          </w:tcPr>
          <w:p w14:paraId="237EFCC1" w14:textId="77777777" w:rsidR="008C5CFA" w:rsidRDefault="00E82A60" w:rsidP="00300A01">
            <w:pPr>
              <w:spacing w:before="0" w:after="0"/>
            </w:pPr>
            <w:r>
              <w:t xml:space="preserve">25.2. w </w:t>
            </w:r>
            <w:proofErr w:type="spellStart"/>
            <w:r>
              <w:t>tym</w:t>
            </w:r>
            <w:proofErr w:type="spellEnd"/>
            <w:r>
              <w:t xml:space="preserve"> </w:t>
            </w:r>
            <w:proofErr w:type="spellStart"/>
            <w:r>
              <w:t>łączna</w:t>
            </w:r>
            <w:proofErr w:type="spellEnd"/>
            <w:r>
              <w:t xml:space="preserve"> </w:t>
            </w:r>
            <w:proofErr w:type="spellStart"/>
            <w:r>
              <w:t>kwota</w:t>
            </w:r>
            <w:proofErr w:type="spellEnd"/>
            <w:r>
              <w:t xml:space="preserve"> </w:t>
            </w:r>
            <w:proofErr w:type="spellStart"/>
            <w:r>
              <w:t>krajowego</w:t>
            </w:r>
            <w:proofErr w:type="spellEnd"/>
            <w:r>
              <w:t xml:space="preserve"> </w:t>
            </w:r>
            <w:proofErr w:type="spellStart"/>
            <w:r>
              <w:t>współfinansowania</w:t>
            </w:r>
            <w:proofErr w:type="spellEnd"/>
            <w:r>
              <w:t xml:space="preserve"> </w:t>
            </w:r>
            <w:proofErr w:type="spellStart"/>
            <w:r>
              <w:t>publicznego</w:t>
            </w:r>
            <w:proofErr w:type="spellEnd"/>
            <w:r>
              <w:t xml:space="preserve"> (w EUR)</w:t>
            </w:r>
          </w:p>
        </w:tc>
        <w:tc>
          <w:tcPr>
            <w:tcW w:w="0" w:type="auto"/>
            <w:shd w:val="clear" w:color="auto" w:fill="auto"/>
          </w:tcPr>
          <w:p w14:paraId="59B33567" w14:textId="77777777" w:rsidR="008C5CFA" w:rsidRDefault="008C5CFA" w:rsidP="00300A01">
            <w:pPr>
              <w:spacing w:before="0" w:after="0"/>
              <w:jc w:val="right"/>
            </w:pPr>
          </w:p>
        </w:tc>
      </w:tr>
      <w:tr w:rsidR="006B2EC1" w14:paraId="3CD2DB64" w14:textId="77777777" w:rsidTr="0047688D">
        <w:tc>
          <w:tcPr>
            <w:tcW w:w="0" w:type="auto"/>
            <w:shd w:val="clear" w:color="auto" w:fill="auto"/>
          </w:tcPr>
          <w:p w14:paraId="7161711B" w14:textId="77777777" w:rsidR="008C5CFA" w:rsidRDefault="00E82A60" w:rsidP="00300A01">
            <w:pPr>
              <w:spacing w:before="0" w:after="0"/>
            </w:pPr>
            <w:r>
              <w:t xml:space="preserve">25.3. w </w:t>
            </w:r>
            <w:proofErr w:type="spellStart"/>
            <w:r>
              <w:t>tym</w:t>
            </w:r>
            <w:proofErr w:type="spellEnd"/>
            <w:r>
              <w:t xml:space="preserve"> </w:t>
            </w:r>
            <w:proofErr w:type="spellStart"/>
            <w:r>
              <w:t>łączna</w:t>
            </w:r>
            <w:proofErr w:type="spellEnd"/>
            <w:r>
              <w:t xml:space="preserve"> </w:t>
            </w:r>
            <w:proofErr w:type="spellStart"/>
            <w:r>
              <w:t>kwota</w:t>
            </w:r>
            <w:proofErr w:type="spellEnd"/>
            <w:r>
              <w:t xml:space="preserve"> </w:t>
            </w:r>
            <w:proofErr w:type="spellStart"/>
            <w:r>
              <w:t>krajowego</w:t>
            </w:r>
            <w:proofErr w:type="spellEnd"/>
            <w:r>
              <w:t xml:space="preserve"> </w:t>
            </w:r>
            <w:proofErr w:type="spellStart"/>
            <w:r>
              <w:t>współfinansowania</w:t>
            </w:r>
            <w:proofErr w:type="spellEnd"/>
            <w:r>
              <w:t xml:space="preserve"> </w:t>
            </w:r>
            <w:proofErr w:type="spellStart"/>
            <w:r>
              <w:t>prywatnego</w:t>
            </w:r>
            <w:proofErr w:type="spellEnd"/>
            <w:r>
              <w:t xml:space="preserve"> (w EUR)</w:t>
            </w:r>
          </w:p>
        </w:tc>
        <w:tc>
          <w:tcPr>
            <w:tcW w:w="0" w:type="auto"/>
            <w:shd w:val="clear" w:color="auto" w:fill="auto"/>
          </w:tcPr>
          <w:p w14:paraId="423D181D" w14:textId="77777777" w:rsidR="008C5CFA" w:rsidRDefault="00E82A60" w:rsidP="00300A01">
            <w:pPr>
              <w:spacing w:before="0" w:after="0"/>
              <w:jc w:val="right"/>
            </w:pPr>
            <w:r>
              <w:t>5 849 286,13</w:t>
            </w:r>
          </w:p>
        </w:tc>
      </w:tr>
      <w:tr w:rsidR="006B2EC1" w14:paraId="66E826EC" w14:textId="77777777" w:rsidTr="0047688D">
        <w:tc>
          <w:tcPr>
            <w:tcW w:w="0" w:type="auto"/>
            <w:shd w:val="clear" w:color="auto" w:fill="auto"/>
          </w:tcPr>
          <w:p w14:paraId="0037506B" w14:textId="77777777" w:rsidR="008C5CFA" w:rsidRDefault="00E82A60" w:rsidP="00300A01">
            <w:pPr>
              <w:spacing w:before="0" w:after="0"/>
            </w:pPr>
            <w:r>
              <w:t xml:space="preserve">27. </w:t>
            </w:r>
            <w:proofErr w:type="spellStart"/>
            <w:r>
              <w:t>Liczba</w:t>
            </w:r>
            <w:proofErr w:type="spellEnd"/>
            <w:r>
              <w:t xml:space="preserve"> </w:t>
            </w:r>
            <w:proofErr w:type="spellStart"/>
            <w:r>
              <w:t>umów</w:t>
            </w:r>
            <w:proofErr w:type="spellEnd"/>
            <w:r>
              <w:t xml:space="preserve"> </w:t>
            </w:r>
            <w:proofErr w:type="spellStart"/>
            <w:r>
              <w:t>pożyczki</w:t>
            </w:r>
            <w:proofErr w:type="spellEnd"/>
            <w:r>
              <w:t>/</w:t>
            </w:r>
            <w:proofErr w:type="spellStart"/>
            <w:r>
              <w:t>umów</w:t>
            </w:r>
            <w:proofErr w:type="spellEnd"/>
            <w:r>
              <w:t xml:space="preserve"> </w:t>
            </w:r>
            <w:proofErr w:type="spellStart"/>
            <w:r>
              <w:t>gwarancyjnych</w:t>
            </w:r>
            <w:proofErr w:type="spellEnd"/>
            <w:r>
              <w:t>/</w:t>
            </w:r>
            <w:proofErr w:type="spellStart"/>
            <w:r>
              <w:t>umów</w:t>
            </w:r>
            <w:proofErr w:type="spellEnd"/>
            <w:r>
              <w:t xml:space="preserve"> o </w:t>
            </w:r>
            <w:proofErr w:type="spellStart"/>
            <w:r>
              <w:t>produkty</w:t>
            </w:r>
            <w:proofErr w:type="spellEnd"/>
            <w:r>
              <w:t xml:space="preserve"> </w:t>
            </w:r>
            <w:proofErr w:type="spellStart"/>
            <w:r>
              <w:t>kapitałowe</w:t>
            </w:r>
            <w:proofErr w:type="spellEnd"/>
            <w:r>
              <w:t xml:space="preserve"> </w:t>
            </w:r>
            <w:proofErr w:type="spellStart"/>
            <w:r>
              <w:t>lub</w:t>
            </w:r>
            <w:proofErr w:type="spellEnd"/>
            <w:r>
              <w:t xml:space="preserve"> quasi-</w:t>
            </w:r>
            <w:proofErr w:type="spellStart"/>
            <w:r>
              <w:t>kapitałowe</w:t>
            </w:r>
            <w:proofErr w:type="spellEnd"/>
            <w:r>
              <w:t>/</w:t>
            </w:r>
            <w:proofErr w:type="spellStart"/>
            <w:r>
              <w:t>umów</w:t>
            </w:r>
            <w:proofErr w:type="spellEnd"/>
            <w:r>
              <w:t xml:space="preserve"> o </w:t>
            </w:r>
            <w:proofErr w:type="spellStart"/>
            <w:r>
              <w:t>inne</w:t>
            </w:r>
            <w:proofErr w:type="spellEnd"/>
            <w:r>
              <w:t xml:space="preserve"> </w:t>
            </w:r>
            <w:proofErr w:type="spellStart"/>
            <w:r>
              <w:t>produkty</w:t>
            </w:r>
            <w:proofErr w:type="spellEnd"/>
            <w:r>
              <w:t xml:space="preserve"> </w:t>
            </w:r>
            <w:proofErr w:type="spellStart"/>
            <w:r>
              <w:t>finansowe</w:t>
            </w:r>
            <w:proofErr w:type="spellEnd"/>
            <w:r>
              <w:t xml:space="preserve"> </w:t>
            </w:r>
            <w:proofErr w:type="spellStart"/>
            <w:r>
              <w:t>podpisanych</w:t>
            </w:r>
            <w:proofErr w:type="spellEnd"/>
            <w:r>
              <w:t xml:space="preserve"> z </w:t>
            </w:r>
            <w:proofErr w:type="spellStart"/>
            <w:r>
              <w:t>ostatecznymi</w:t>
            </w:r>
            <w:proofErr w:type="spellEnd"/>
            <w:r>
              <w:t xml:space="preserve"> </w:t>
            </w:r>
            <w:proofErr w:type="spellStart"/>
            <w:r>
              <w:t>odbiorcami</w:t>
            </w:r>
            <w:proofErr w:type="spellEnd"/>
            <w:r>
              <w:t xml:space="preserve">, </w:t>
            </w:r>
            <w:proofErr w:type="spellStart"/>
            <w:r>
              <w:t>według</w:t>
            </w:r>
            <w:proofErr w:type="spellEnd"/>
            <w:r>
              <w:t xml:space="preserve"> </w:t>
            </w:r>
            <w:proofErr w:type="spellStart"/>
            <w:r>
              <w:t>produktów</w:t>
            </w:r>
            <w:proofErr w:type="spellEnd"/>
          </w:p>
        </w:tc>
        <w:tc>
          <w:tcPr>
            <w:tcW w:w="0" w:type="auto"/>
            <w:shd w:val="clear" w:color="auto" w:fill="auto"/>
          </w:tcPr>
          <w:p w14:paraId="6514B81D" w14:textId="77777777" w:rsidR="008C5CFA" w:rsidRDefault="00E82A60" w:rsidP="00300A01">
            <w:pPr>
              <w:spacing w:before="0" w:after="0"/>
              <w:jc w:val="right"/>
            </w:pPr>
            <w:r>
              <w:t>594</w:t>
            </w:r>
          </w:p>
        </w:tc>
      </w:tr>
      <w:tr w:rsidR="006B2EC1" w14:paraId="4B5337E3" w14:textId="77777777" w:rsidTr="0047688D">
        <w:tc>
          <w:tcPr>
            <w:tcW w:w="0" w:type="auto"/>
            <w:shd w:val="clear" w:color="auto" w:fill="auto"/>
          </w:tcPr>
          <w:p w14:paraId="732A13A8" w14:textId="77777777" w:rsidR="008C5CFA" w:rsidRDefault="00E82A60" w:rsidP="00300A01">
            <w:pPr>
              <w:spacing w:before="0" w:after="0"/>
            </w:pPr>
            <w:r>
              <w:t xml:space="preserve">28. </w:t>
            </w:r>
            <w:proofErr w:type="spellStart"/>
            <w:r>
              <w:t>Liczba</w:t>
            </w:r>
            <w:proofErr w:type="spellEnd"/>
            <w:r>
              <w:t xml:space="preserve"> </w:t>
            </w:r>
            <w:proofErr w:type="spellStart"/>
            <w:r>
              <w:t>inwestycji</w:t>
            </w:r>
            <w:proofErr w:type="spellEnd"/>
            <w:r>
              <w:t xml:space="preserve"> w </w:t>
            </w:r>
            <w:proofErr w:type="spellStart"/>
            <w:r>
              <w:t>formie</w:t>
            </w:r>
            <w:proofErr w:type="spellEnd"/>
            <w:r>
              <w:t xml:space="preserve"> </w:t>
            </w:r>
            <w:proofErr w:type="spellStart"/>
            <w:r>
              <w:t>pożyczki</w:t>
            </w:r>
            <w:proofErr w:type="spellEnd"/>
            <w:r>
              <w:t>/</w:t>
            </w:r>
            <w:proofErr w:type="spellStart"/>
            <w:r>
              <w:t>gwarancji</w:t>
            </w:r>
            <w:proofErr w:type="spellEnd"/>
            <w:r>
              <w:t>/</w:t>
            </w:r>
            <w:proofErr w:type="spellStart"/>
            <w:r>
              <w:t>kapitału</w:t>
            </w:r>
            <w:proofErr w:type="spellEnd"/>
            <w:r>
              <w:t xml:space="preserve"> </w:t>
            </w:r>
            <w:proofErr w:type="spellStart"/>
            <w:r>
              <w:t>lub</w:t>
            </w:r>
            <w:proofErr w:type="spellEnd"/>
            <w:r>
              <w:t xml:space="preserve"> quasi-</w:t>
            </w:r>
            <w:proofErr w:type="spellStart"/>
            <w:r>
              <w:t>kapitału</w:t>
            </w:r>
            <w:proofErr w:type="spellEnd"/>
            <w:r>
              <w:t>/</w:t>
            </w:r>
            <w:proofErr w:type="spellStart"/>
            <w:r>
              <w:t>innych</w:t>
            </w:r>
            <w:proofErr w:type="spellEnd"/>
            <w:r>
              <w:t xml:space="preserve"> </w:t>
            </w:r>
            <w:proofErr w:type="spellStart"/>
            <w:r>
              <w:t>produktów</w:t>
            </w:r>
            <w:proofErr w:type="spellEnd"/>
            <w:r>
              <w:t xml:space="preserve"> </w:t>
            </w:r>
            <w:proofErr w:type="spellStart"/>
            <w:r>
              <w:t>finansowych</w:t>
            </w:r>
            <w:proofErr w:type="spellEnd"/>
            <w:r>
              <w:t xml:space="preserve"> </w:t>
            </w:r>
            <w:proofErr w:type="spellStart"/>
            <w:r>
              <w:t>dokonanych</w:t>
            </w:r>
            <w:proofErr w:type="spellEnd"/>
            <w:r>
              <w:t xml:space="preserve"> u </w:t>
            </w:r>
            <w:proofErr w:type="spellStart"/>
            <w:r>
              <w:t>ostatecznych</w:t>
            </w:r>
            <w:proofErr w:type="spellEnd"/>
            <w:r>
              <w:t xml:space="preserve"> </w:t>
            </w:r>
            <w:proofErr w:type="spellStart"/>
            <w:r>
              <w:t>odbiorców</w:t>
            </w:r>
            <w:proofErr w:type="spellEnd"/>
            <w:r>
              <w:t xml:space="preserve">, </w:t>
            </w:r>
            <w:proofErr w:type="spellStart"/>
            <w:r>
              <w:t>według</w:t>
            </w:r>
            <w:proofErr w:type="spellEnd"/>
            <w:r>
              <w:t xml:space="preserve"> </w:t>
            </w:r>
            <w:proofErr w:type="spellStart"/>
            <w:r>
              <w:t>produktów</w:t>
            </w:r>
            <w:proofErr w:type="spellEnd"/>
          </w:p>
        </w:tc>
        <w:tc>
          <w:tcPr>
            <w:tcW w:w="0" w:type="auto"/>
            <w:shd w:val="clear" w:color="auto" w:fill="auto"/>
          </w:tcPr>
          <w:p w14:paraId="304111C3" w14:textId="77777777" w:rsidR="008C5CFA" w:rsidRDefault="00E82A60" w:rsidP="00300A01">
            <w:pPr>
              <w:spacing w:before="0" w:after="0"/>
              <w:jc w:val="right"/>
            </w:pPr>
            <w:r>
              <w:t>594</w:t>
            </w:r>
          </w:p>
        </w:tc>
      </w:tr>
      <w:tr w:rsidR="006B2EC1" w14:paraId="25F6D4EA" w14:textId="77777777" w:rsidTr="0047688D">
        <w:tc>
          <w:tcPr>
            <w:tcW w:w="0" w:type="auto"/>
            <w:shd w:val="clear" w:color="auto" w:fill="auto"/>
          </w:tcPr>
          <w:p w14:paraId="5293D555" w14:textId="77777777" w:rsidR="008C5CFA" w:rsidRDefault="00E82A60" w:rsidP="00300A01">
            <w:pPr>
              <w:spacing w:before="0" w:after="0"/>
            </w:pPr>
            <w:r>
              <w:t xml:space="preserve">29. </w:t>
            </w:r>
            <w:proofErr w:type="spellStart"/>
            <w:r>
              <w:t>Liczba</w:t>
            </w:r>
            <w:proofErr w:type="spellEnd"/>
            <w:r>
              <w:t xml:space="preserve"> </w:t>
            </w:r>
            <w:proofErr w:type="spellStart"/>
            <w:r>
              <w:t>odbiorców</w:t>
            </w:r>
            <w:proofErr w:type="spellEnd"/>
            <w:r>
              <w:t xml:space="preserve"> </w:t>
            </w:r>
            <w:proofErr w:type="spellStart"/>
            <w:r>
              <w:t>finansowych</w:t>
            </w:r>
            <w:proofErr w:type="spellEnd"/>
            <w:r>
              <w:t xml:space="preserve"> </w:t>
            </w:r>
            <w:proofErr w:type="spellStart"/>
            <w:r>
              <w:t>wspieranych</w:t>
            </w:r>
            <w:proofErr w:type="spellEnd"/>
            <w:r>
              <w:t xml:space="preserve"> za </w:t>
            </w:r>
            <w:proofErr w:type="spellStart"/>
            <w:r>
              <w:t>pomocą</w:t>
            </w:r>
            <w:proofErr w:type="spellEnd"/>
            <w:r>
              <w:t xml:space="preserve"> </w:t>
            </w:r>
            <w:proofErr w:type="spellStart"/>
            <w:r>
              <w:t>produktu</w:t>
            </w:r>
            <w:proofErr w:type="spellEnd"/>
            <w:r>
              <w:t xml:space="preserve"> </w:t>
            </w:r>
            <w:proofErr w:type="spellStart"/>
            <w:r>
              <w:t>finansowego</w:t>
            </w:r>
            <w:proofErr w:type="spellEnd"/>
          </w:p>
        </w:tc>
        <w:tc>
          <w:tcPr>
            <w:tcW w:w="0" w:type="auto"/>
            <w:shd w:val="clear" w:color="auto" w:fill="auto"/>
          </w:tcPr>
          <w:p w14:paraId="0C6BFDDE" w14:textId="77777777" w:rsidR="008C5CFA" w:rsidRDefault="00E82A60" w:rsidP="00300A01">
            <w:pPr>
              <w:spacing w:before="0" w:after="0"/>
              <w:jc w:val="right"/>
            </w:pPr>
            <w:r>
              <w:t>583</w:t>
            </w:r>
          </w:p>
        </w:tc>
      </w:tr>
      <w:tr w:rsidR="006B2EC1" w14:paraId="67A9902C" w14:textId="77777777" w:rsidTr="0047688D">
        <w:tc>
          <w:tcPr>
            <w:tcW w:w="0" w:type="auto"/>
            <w:shd w:val="clear" w:color="auto" w:fill="auto"/>
          </w:tcPr>
          <w:p w14:paraId="0952CF61" w14:textId="77777777" w:rsidR="008C5CFA" w:rsidRDefault="00E82A60" w:rsidP="00300A01">
            <w:pPr>
              <w:spacing w:before="0" w:after="0"/>
            </w:pPr>
            <w:r>
              <w:t xml:space="preserve">29.1. w </w:t>
            </w:r>
            <w:proofErr w:type="spellStart"/>
            <w:r>
              <w:t>tym</w:t>
            </w:r>
            <w:proofErr w:type="spellEnd"/>
            <w:r>
              <w:t xml:space="preserve"> </w:t>
            </w:r>
            <w:proofErr w:type="spellStart"/>
            <w:r>
              <w:t>duże</w:t>
            </w:r>
            <w:proofErr w:type="spellEnd"/>
            <w:r>
              <w:t xml:space="preserve"> </w:t>
            </w:r>
            <w:proofErr w:type="spellStart"/>
            <w:r>
              <w:t>przedsiębiorstwa</w:t>
            </w:r>
            <w:proofErr w:type="spellEnd"/>
          </w:p>
        </w:tc>
        <w:tc>
          <w:tcPr>
            <w:tcW w:w="0" w:type="auto"/>
            <w:shd w:val="clear" w:color="auto" w:fill="auto"/>
          </w:tcPr>
          <w:p w14:paraId="48EA82D2" w14:textId="77777777" w:rsidR="008C5CFA" w:rsidRDefault="008C5CFA" w:rsidP="00300A01">
            <w:pPr>
              <w:spacing w:before="0" w:after="0"/>
              <w:jc w:val="right"/>
            </w:pPr>
          </w:p>
        </w:tc>
      </w:tr>
      <w:tr w:rsidR="006B2EC1" w14:paraId="0F42AB46" w14:textId="77777777" w:rsidTr="0047688D">
        <w:tc>
          <w:tcPr>
            <w:tcW w:w="0" w:type="auto"/>
            <w:shd w:val="clear" w:color="auto" w:fill="auto"/>
          </w:tcPr>
          <w:p w14:paraId="6F0CD8AD" w14:textId="77777777" w:rsidR="008C5CFA" w:rsidRDefault="00E82A60" w:rsidP="00300A01">
            <w:pPr>
              <w:spacing w:before="0" w:after="0"/>
            </w:pPr>
            <w:r>
              <w:t xml:space="preserve">29.2. w </w:t>
            </w:r>
            <w:proofErr w:type="spellStart"/>
            <w:r>
              <w:t>tym</w:t>
            </w:r>
            <w:proofErr w:type="spellEnd"/>
            <w:r>
              <w:t xml:space="preserve"> MŚP</w:t>
            </w:r>
          </w:p>
        </w:tc>
        <w:tc>
          <w:tcPr>
            <w:tcW w:w="0" w:type="auto"/>
            <w:shd w:val="clear" w:color="auto" w:fill="auto"/>
          </w:tcPr>
          <w:p w14:paraId="5AE145E1" w14:textId="77777777" w:rsidR="008C5CFA" w:rsidRDefault="00E82A60" w:rsidP="00300A01">
            <w:pPr>
              <w:spacing w:before="0" w:after="0"/>
              <w:jc w:val="right"/>
            </w:pPr>
            <w:r>
              <w:t>581</w:t>
            </w:r>
          </w:p>
        </w:tc>
      </w:tr>
      <w:tr w:rsidR="006B2EC1" w14:paraId="200E6004" w14:textId="77777777" w:rsidTr="0047688D">
        <w:tc>
          <w:tcPr>
            <w:tcW w:w="0" w:type="auto"/>
            <w:shd w:val="clear" w:color="auto" w:fill="auto"/>
          </w:tcPr>
          <w:p w14:paraId="0BB14A70" w14:textId="77777777" w:rsidR="008C5CFA" w:rsidRDefault="00E82A60" w:rsidP="00300A01">
            <w:pPr>
              <w:spacing w:before="0" w:after="0"/>
            </w:pPr>
            <w:r>
              <w:t xml:space="preserve">29.2.1. w </w:t>
            </w:r>
            <w:proofErr w:type="spellStart"/>
            <w:r>
              <w:t>tym</w:t>
            </w:r>
            <w:proofErr w:type="spellEnd"/>
            <w:r>
              <w:t xml:space="preserve"> </w:t>
            </w:r>
            <w:proofErr w:type="spellStart"/>
            <w:r>
              <w:t>mikroprzedsiębiorstwa</w:t>
            </w:r>
            <w:proofErr w:type="spellEnd"/>
          </w:p>
        </w:tc>
        <w:tc>
          <w:tcPr>
            <w:tcW w:w="0" w:type="auto"/>
            <w:shd w:val="clear" w:color="auto" w:fill="auto"/>
          </w:tcPr>
          <w:p w14:paraId="2B817265" w14:textId="77777777" w:rsidR="008C5CFA" w:rsidRDefault="00E82A60" w:rsidP="00300A01">
            <w:pPr>
              <w:spacing w:before="0" w:after="0"/>
              <w:jc w:val="right"/>
            </w:pPr>
            <w:r>
              <w:t>516</w:t>
            </w:r>
          </w:p>
        </w:tc>
      </w:tr>
      <w:tr w:rsidR="006B2EC1" w14:paraId="79B83A9D" w14:textId="77777777" w:rsidTr="0047688D">
        <w:tc>
          <w:tcPr>
            <w:tcW w:w="0" w:type="auto"/>
            <w:shd w:val="clear" w:color="auto" w:fill="auto"/>
          </w:tcPr>
          <w:p w14:paraId="62862C54" w14:textId="77777777" w:rsidR="008C5CFA" w:rsidRDefault="00E82A60" w:rsidP="00300A01">
            <w:pPr>
              <w:spacing w:before="0" w:after="0"/>
            </w:pPr>
            <w:r>
              <w:t xml:space="preserve">29.3. w </w:t>
            </w:r>
            <w:proofErr w:type="spellStart"/>
            <w:r>
              <w:t>tym</w:t>
            </w:r>
            <w:proofErr w:type="spellEnd"/>
            <w:r>
              <w:t xml:space="preserve"> </w:t>
            </w:r>
            <w:proofErr w:type="spellStart"/>
            <w:r>
              <w:t>osoby</w:t>
            </w:r>
            <w:proofErr w:type="spellEnd"/>
            <w:r>
              <w:t xml:space="preserve"> </w:t>
            </w:r>
            <w:proofErr w:type="spellStart"/>
            <w:r>
              <w:t>fizyczne</w:t>
            </w:r>
            <w:proofErr w:type="spellEnd"/>
          </w:p>
        </w:tc>
        <w:tc>
          <w:tcPr>
            <w:tcW w:w="0" w:type="auto"/>
            <w:shd w:val="clear" w:color="auto" w:fill="auto"/>
          </w:tcPr>
          <w:p w14:paraId="505F792B" w14:textId="77777777" w:rsidR="008C5CFA" w:rsidRDefault="008C5CFA" w:rsidP="00300A01">
            <w:pPr>
              <w:spacing w:before="0" w:after="0"/>
              <w:jc w:val="right"/>
            </w:pPr>
          </w:p>
        </w:tc>
      </w:tr>
      <w:tr w:rsidR="006B2EC1" w14:paraId="51243E17" w14:textId="77777777" w:rsidTr="0047688D">
        <w:tc>
          <w:tcPr>
            <w:tcW w:w="0" w:type="auto"/>
            <w:shd w:val="clear" w:color="auto" w:fill="auto"/>
          </w:tcPr>
          <w:p w14:paraId="2BAD8AA1" w14:textId="77777777" w:rsidR="008C5CFA" w:rsidRDefault="00E82A60" w:rsidP="00300A01">
            <w:pPr>
              <w:spacing w:before="0" w:after="0"/>
            </w:pPr>
            <w:r>
              <w:lastRenderedPageBreak/>
              <w:t xml:space="preserve">29.4. w </w:t>
            </w:r>
            <w:proofErr w:type="spellStart"/>
            <w:r>
              <w:t>tym</w:t>
            </w:r>
            <w:proofErr w:type="spellEnd"/>
            <w:r>
              <w:t xml:space="preserve"> </w:t>
            </w:r>
            <w:proofErr w:type="spellStart"/>
            <w:r>
              <w:t>inny</w:t>
            </w:r>
            <w:proofErr w:type="spellEnd"/>
            <w:r>
              <w:t xml:space="preserve"> </w:t>
            </w:r>
            <w:proofErr w:type="spellStart"/>
            <w:r>
              <w:t>rodzaj</w:t>
            </w:r>
            <w:proofErr w:type="spellEnd"/>
            <w:r>
              <w:t xml:space="preserve"> </w:t>
            </w:r>
            <w:proofErr w:type="spellStart"/>
            <w:r>
              <w:t>wspieranych</w:t>
            </w:r>
            <w:proofErr w:type="spellEnd"/>
            <w:r>
              <w:t xml:space="preserve"> </w:t>
            </w:r>
            <w:proofErr w:type="spellStart"/>
            <w:r>
              <w:t>ostatecznych</w:t>
            </w:r>
            <w:proofErr w:type="spellEnd"/>
            <w:r>
              <w:t xml:space="preserve"> </w:t>
            </w:r>
            <w:proofErr w:type="spellStart"/>
            <w:r>
              <w:t>odbiorców</w:t>
            </w:r>
            <w:proofErr w:type="spellEnd"/>
          </w:p>
        </w:tc>
        <w:tc>
          <w:tcPr>
            <w:tcW w:w="0" w:type="auto"/>
            <w:shd w:val="clear" w:color="auto" w:fill="auto"/>
          </w:tcPr>
          <w:p w14:paraId="3BAC040D" w14:textId="77777777" w:rsidR="008C5CFA" w:rsidRDefault="00E82A60" w:rsidP="00300A01">
            <w:pPr>
              <w:spacing w:before="0" w:after="0"/>
              <w:jc w:val="right"/>
            </w:pPr>
            <w:r>
              <w:t>2</w:t>
            </w:r>
          </w:p>
        </w:tc>
      </w:tr>
      <w:tr w:rsidR="006B2EC1" w14:paraId="482CA7B9" w14:textId="77777777" w:rsidTr="0047688D">
        <w:tc>
          <w:tcPr>
            <w:tcW w:w="0" w:type="auto"/>
            <w:shd w:val="clear" w:color="auto" w:fill="auto"/>
          </w:tcPr>
          <w:p w14:paraId="766ECA40" w14:textId="77777777" w:rsidR="008C5CFA" w:rsidRDefault="00E82A60" w:rsidP="00300A01">
            <w:pPr>
              <w:spacing w:before="0" w:after="0"/>
            </w:pPr>
            <w:r>
              <w:t xml:space="preserve">29.4.1. </w:t>
            </w:r>
            <w:proofErr w:type="spellStart"/>
            <w:r>
              <w:t>opis</w:t>
            </w:r>
            <w:proofErr w:type="spellEnd"/>
            <w:r>
              <w:t xml:space="preserve"> </w:t>
            </w:r>
            <w:proofErr w:type="spellStart"/>
            <w:r>
              <w:t>innego</w:t>
            </w:r>
            <w:proofErr w:type="spellEnd"/>
            <w:r>
              <w:t xml:space="preserve"> </w:t>
            </w:r>
            <w:proofErr w:type="spellStart"/>
            <w:r>
              <w:t>rodzaju</w:t>
            </w:r>
            <w:proofErr w:type="spellEnd"/>
            <w:r>
              <w:t xml:space="preserve"> </w:t>
            </w:r>
            <w:proofErr w:type="spellStart"/>
            <w:r>
              <w:t>wspieranych</w:t>
            </w:r>
            <w:proofErr w:type="spellEnd"/>
            <w:r>
              <w:t xml:space="preserve"> </w:t>
            </w:r>
            <w:proofErr w:type="spellStart"/>
            <w:r>
              <w:t>ostatecznych</w:t>
            </w:r>
            <w:proofErr w:type="spellEnd"/>
            <w:r>
              <w:t xml:space="preserve"> </w:t>
            </w:r>
            <w:proofErr w:type="spellStart"/>
            <w:r>
              <w:t>odbiorców</w:t>
            </w:r>
            <w:proofErr w:type="spellEnd"/>
          </w:p>
        </w:tc>
        <w:tc>
          <w:tcPr>
            <w:tcW w:w="0" w:type="auto"/>
            <w:shd w:val="clear" w:color="auto" w:fill="auto"/>
          </w:tcPr>
          <w:p w14:paraId="1351E78C" w14:textId="77777777" w:rsidR="008C5CFA" w:rsidRDefault="00E82A60" w:rsidP="00300A01">
            <w:pPr>
              <w:spacing w:before="0" w:after="0"/>
              <w:jc w:val="left"/>
            </w:pPr>
            <w:proofErr w:type="spellStart"/>
            <w:r>
              <w:t>spółdzielnie</w:t>
            </w:r>
            <w:proofErr w:type="spellEnd"/>
            <w:r>
              <w:t xml:space="preserve">, </w:t>
            </w:r>
            <w:proofErr w:type="spellStart"/>
            <w:r>
              <w:t>stowarzyszenia</w:t>
            </w:r>
            <w:proofErr w:type="spellEnd"/>
          </w:p>
        </w:tc>
      </w:tr>
      <w:tr w:rsidR="006B2EC1" w14:paraId="79F59148" w14:textId="77777777" w:rsidTr="0047688D">
        <w:tc>
          <w:tcPr>
            <w:tcW w:w="0" w:type="auto"/>
            <w:shd w:val="clear" w:color="auto" w:fill="auto"/>
          </w:tcPr>
          <w:p w14:paraId="742B3115" w14:textId="77777777" w:rsidR="008C5CFA" w:rsidRDefault="00E82A60" w:rsidP="00300A01">
            <w:pPr>
              <w:spacing w:before="0" w:after="0"/>
            </w:pPr>
            <w:r>
              <w:t xml:space="preserve">33. </w:t>
            </w:r>
            <w:proofErr w:type="spellStart"/>
            <w:r>
              <w:t>Łączna</w:t>
            </w:r>
            <w:proofErr w:type="spellEnd"/>
            <w:r>
              <w:t xml:space="preserve"> </w:t>
            </w:r>
            <w:proofErr w:type="spellStart"/>
            <w:r>
              <w:t>liczba</w:t>
            </w:r>
            <w:proofErr w:type="spellEnd"/>
            <w:r>
              <w:t xml:space="preserve"> </w:t>
            </w:r>
            <w:proofErr w:type="spellStart"/>
            <w:r>
              <w:t>wypłaconych</w:t>
            </w:r>
            <w:proofErr w:type="spellEnd"/>
            <w:r>
              <w:t xml:space="preserve"> </w:t>
            </w:r>
            <w:proofErr w:type="spellStart"/>
            <w:r>
              <w:t>pożyczek</w:t>
            </w:r>
            <w:proofErr w:type="spellEnd"/>
            <w:r>
              <w:t xml:space="preserve">, </w:t>
            </w:r>
            <w:proofErr w:type="spellStart"/>
            <w:r>
              <w:t>których</w:t>
            </w:r>
            <w:proofErr w:type="spellEnd"/>
            <w:r>
              <w:t xml:space="preserve"> </w:t>
            </w:r>
            <w:proofErr w:type="spellStart"/>
            <w:r>
              <w:t>spłata</w:t>
            </w:r>
            <w:proofErr w:type="spellEnd"/>
            <w:r>
              <w:t xml:space="preserve"> </w:t>
            </w:r>
            <w:proofErr w:type="spellStart"/>
            <w:r>
              <w:t>się</w:t>
            </w:r>
            <w:proofErr w:type="spellEnd"/>
            <w:r>
              <w:t xml:space="preserve"> </w:t>
            </w:r>
            <w:proofErr w:type="spellStart"/>
            <w:r>
              <w:t>opóźnia</w:t>
            </w:r>
            <w:proofErr w:type="spellEnd"/>
            <w:r>
              <w:t xml:space="preserve">, </w:t>
            </w:r>
            <w:proofErr w:type="spellStart"/>
            <w:r>
              <w:t>lub</w:t>
            </w:r>
            <w:proofErr w:type="spellEnd"/>
            <w:r>
              <w:t xml:space="preserve"> </w:t>
            </w:r>
            <w:proofErr w:type="spellStart"/>
            <w:r>
              <w:t>łączna</w:t>
            </w:r>
            <w:proofErr w:type="spellEnd"/>
            <w:r>
              <w:t xml:space="preserve"> </w:t>
            </w:r>
            <w:proofErr w:type="spellStart"/>
            <w:r>
              <w:t>liczba</w:t>
            </w:r>
            <w:proofErr w:type="spellEnd"/>
            <w:r>
              <w:t xml:space="preserve"> </w:t>
            </w:r>
            <w:proofErr w:type="spellStart"/>
            <w:r>
              <w:t>gwarancji</w:t>
            </w:r>
            <w:proofErr w:type="spellEnd"/>
            <w:r>
              <w:t xml:space="preserve"> </w:t>
            </w:r>
            <w:proofErr w:type="spellStart"/>
            <w:r>
              <w:t>udzielonych</w:t>
            </w:r>
            <w:proofErr w:type="spellEnd"/>
            <w:r>
              <w:t xml:space="preserve"> i </w:t>
            </w:r>
            <w:proofErr w:type="spellStart"/>
            <w:r>
              <w:t>wykorzystanych</w:t>
            </w:r>
            <w:proofErr w:type="spellEnd"/>
            <w:r>
              <w:t xml:space="preserve"> w </w:t>
            </w:r>
            <w:proofErr w:type="spellStart"/>
            <w:r>
              <w:t>związku</w:t>
            </w:r>
            <w:proofErr w:type="spellEnd"/>
            <w:r>
              <w:t xml:space="preserve"> </w:t>
            </w:r>
            <w:proofErr w:type="spellStart"/>
            <w:r>
              <w:t>ze</w:t>
            </w:r>
            <w:proofErr w:type="spellEnd"/>
            <w:r>
              <w:t xml:space="preserve"> </w:t>
            </w:r>
            <w:proofErr w:type="spellStart"/>
            <w:r>
              <w:t>zwłoką</w:t>
            </w:r>
            <w:proofErr w:type="spellEnd"/>
            <w:r>
              <w:t xml:space="preserve"> w </w:t>
            </w:r>
            <w:proofErr w:type="spellStart"/>
            <w:r>
              <w:t>spłacie</w:t>
            </w:r>
            <w:proofErr w:type="spellEnd"/>
            <w:r>
              <w:t xml:space="preserve"> </w:t>
            </w:r>
            <w:proofErr w:type="spellStart"/>
            <w:r>
              <w:t>pożyczki</w:t>
            </w:r>
            <w:proofErr w:type="spellEnd"/>
          </w:p>
        </w:tc>
        <w:tc>
          <w:tcPr>
            <w:tcW w:w="0" w:type="auto"/>
            <w:shd w:val="clear" w:color="auto" w:fill="auto"/>
          </w:tcPr>
          <w:p w14:paraId="3806DA68" w14:textId="77777777" w:rsidR="008C5CFA" w:rsidRDefault="008C5CFA" w:rsidP="00300A01">
            <w:pPr>
              <w:spacing w:before="0" w:after="0"/>
              <w:jc w:val="right"/>
            </w:pPr>
          </w:p>
        </w:tc>
      </w:tr>
      <w:tr w:rsidR="006B2EC1" w14:paraId="794E4F80" w14:textId="77777777" w:rsidTr="0047688D">
        <w:tc>
          <w:tcPr>
            <w:tcW w:w="0" w:type="auto"/>
            <w:shd w:val="clear" w:color="auto" w:fill="auto"/>
          </w:tcPr>
          <w:p w14:paraId="5CD37EA0" w14:textId="77777777" w:rsidR="008C5CFA" w:rsidRDefault="00E82A60" w:rsidP="00300A01">
            <w:pPr>
              <w:spacing w:before="0" w:after="0"/>
            </w:pPr>
            <w:r>
              <w:t xml:space="preserve">34. </w:t>
            </w:r>
            <w:proofErr w:type="spellStart"/>
            <w:r>
              <w:t>Łączna</w:t>
            </w:r>
            <w:proofErr w:type="spellEnd"/>
            <w:r>
              <w:t xml:space="preserve"> </w:t>
            </w:r>
            <w:proofErr w:type="spellStart"/>
            <w:r>
              <w:t>kwota</w:t>
            </w:r>
            <w:proofErr w:type="spellEnd"/>
            <w:r>
              <w:t xml:space="preserve"> </w:t>
            </w:r>
            <w:proofErr w:type="spellStart"/>
            <w:r>
              <w:t>wypłaconych</w:t>
            </w:r>
            <w:proofErr w:type="spellEnd"/>
            <w:r>
              <w:t xml:space="preserve"> </w:t>
            </w:r>
            <w:proofErr w:type="spellStart"/>
            <w:r>
              <w:t>pożyczek</w:t>
            </w:r>
            <w:proofErr w:type="spellEnd"/>
            <w:r>
              <w:t xml:space="preserve">, </w:t>
            </w:r>
            <w:proofErr w:type="spellStart"/>
            <w:r>
              <w:t>których</w:t>
            </w:r>
            <w:proofErr w:type="spellEnd"/>
            <w:r>
              <w:t xml:space="preserve"> </w:t>
            </w:r>
            <w:proofErr w:type="spellStart"/>
            <w:r>
              <w:t>spłata</w:t>
            </w:r>
            <w:proofErr w:type="spellEnd"/>
            <w:r>
              <w:t xml:space="preserve"> </w:t>
            </w:r>
            <w:proofErr w:type="spellStart"/>
            <w:r>
              <w:t>się</w:t>
            </w:r>
            <w:proofErr w:type="spellEnd"/>
            <w:r>
              <w:t xml:space="preserve"> </w:t>
            </w:r>
            <w:proofErr w:type="spellStart"/>
            <w:r>
              <w:t>opóźnia</w:t>
            </w:r>
            <w:proofErr w:type="spellEnd"/>
            <w:r>
              <w:t xml:space="preserve"> (w EUR), </w:t>
            </w:r>
            <w:proofErr w:type="spellStart"/>
            <w:r>
              <w:t>lub</w:t>
            </w:r>
            <w:proofErr w:type="spellEnd"/>
            <w:r>
              <w:t xml:space="preserve"> </w:t>
            </w:r>
            <w:proofErr w:type="spellStart"/>
            <w:r>
              <w:t>łączna</w:t>
            </w:r>
            <w:proofErr w:type="spellEnd"/>
            <w:r>
              <w:t xml:space="preserve"> </w:t>
            </w:r>
            <w:proofErr w:type="spellStart"/>
            <w:r>
              <w:t>kwota</w:t>
            </w:r>
            <w:proofErr w:type="spellEnd"/>
            <w:r>
              <w:t xml:space="preserve"> </w:t>
            </w:r>
            <w:proofErr w:type="spellStart"/>
            <w:r>
              <w:t>przeznaczona</w:t>
            </w:r>
            <w:proofErr w:type="spellEnd"/>
            <w:r>
              <w:t xml:space="preserve"> </w:t>
            </w:r>
            <w:proofErr w:type="spellStart"/>
            <w:r>
              <w:t>na</w:t>
            </w:r>
            <w:proofErr w:type="spellEnd"/>
            <w:r>
              <w:t xml:space="preserve"> </w:t>
            </w:r>
            <w:proofErr w:type="spellStart"/>
            <w:r>
              <w:t>gwarancje</w:t>
            </w:r>
            <w:proofErr w:type="spellEnd"/>
            <w:r>
              <w:t xml:space="preserve"> </w:t>
            </w:r>
            <w:proofErr w:type="spellStart"/>
            <w:r>
              <w:t>udzielone</w:t>
            </w:r>
            <w:proofErr w:type="spellEnd"/>
            <w:r>
              <w:t xml:space="preserve"> i </w:t>
            </w:r>
            <w:proofErr w:type="spellStart"/>
            <w:r>
              <w:t>wykorzystane</w:t>
            </w:r>
            <w:proofErr w:type="spellEnd"/>
            <w:r>
              <w:t xml:space="preserve"> w </w:t>
            </w:r>
            <w:proofErr w:type="spellStart"/>
            <w:r>
              <w:t>związku</w:t>
            </w:r>
            <w:proofErr w:type="spellEnd"/>
            <w:r>
              <w:t xml:space="preserve"> </w:t>
            </w:r>
            <w:proofErr w:type="spellStart"/>
            <w:r>
              <w:t>ze</w:t>
            </w:r>
            <w:proofErr w:type="spellEnd"/>
            <w:r>
              <w:t xml:space="preserve"> </w:t>
            </w:r>
            <w:proofErr w:type="spellStart"/>
            <w:r>
              <w:t>zwłoką</w:t>
            </w:r>
            <w:proofErr w:type="spellEnd"/>
            <w:r>
              <w:t xml:space="preserve"> w </w:t>
            </w:r>
            <w:proofErr w:type="spellStart"/>
            <w:r>
              <w:t>spłacie</w:t>
            </w:r>
            <w:proofErr w:type="spellEnd"/>
            <w:r>
              <w:t xml:space="preserve"> </w:t>
            </w:r>
            <w:proofErr w:type="spellStart"/>
            <w:r>
              <w:t>pożyczki</w:t>
            </w:r>
            <w:proofErr w:type="spellEnd"/>
            <w:r>
              <w:t xml:space="preserve"> (w EUR)</w:t>
            </w:r>
          </w:p>
        </w:tc>
        <w:tc>
          <w:tcPr>
            <w:tcW w:w="0" w:type="auto"/>
            <w:shd w:val="clear" w:color="auto" w:fill="auto"/>
          </w:tcPr>
          <w:p w14:paraId="38ADA98D" w14:textId="77777777" w:rsidR="008C5CFA" w:rsidRDefault="008C5CFA" w:rsidP="00300A01">
            <w:pPr>
              <w:spacing w:before="0" w:after="0"/>
              <w:jc w:val="right"/>
            </w:pPr>
          </w:p>
        </w:tc>
      </w:tr>
      <w:tr w:rsidR="006B2EC1" w14:paraId="3A705FAD" w14:textId="77777777" w:rsidTr="0047688D">
        <w:tc>
          <w:tcPr>
            <w:tcW w:w="0" w:type="auto"/>
            <w:gridSpan w:val="2"/>
            <w:shd w:val="clear" w:color="auto" w:fill="auto"/>
          </w:tcPr>
          <w:p w14:paraId="4C4CD411" w14:textId="77777777" w:rsidR="008C5CFA" w:rsidRDefault="00E82A60" w:rsidP="00300A01">
            <w:pPr>
              <w:spacing w:before="0" w:after="0"/>
            </w:pPr>
            <w:r>
              <w:rPr>
                <w:b/>
              </w:rPr>
              <w:t xml:space="preserve">38. </w:t>
            </w:r>
            <w:proofErr w:type="spellStart"/>
            <w:r>
              <w:rPr>
                <w:b/>
              </w:rPr>
              <w:t>Łączna</w:t>
            </w:r>
            <w:proofErr w:type="spellEnd"/>
            <w:r>
              <w:rPr>
                <w:b/>
              </w:rPr>
              <w:t xml:space="preserve"> </w:t>
            </w:r>
            <w:proofErr w:type="spellStart"/>
            <w:r>
              <w:rPr>
                <w:b/>
              </w:rPr>
              <w:t>kwota</w:t>
            </w:r>
            <w:proofErr w:type="spellEnd"/>
            <w:r>
              <w:rPr>
                <w:b/>
              </w:rPr>
              <w:t xml:space="preserve"> </w:t>
            </w:r>
            <w:proofErr w:type="spellStart"/>
            <w:r>
              <w:rPr>
                <w:b/>
              </w:rPr>
              <w:t>innych</w:t>
            </w:r>
            <w:proofErr w:type="spellEnd"/>
            <w:r>
              <w:rPr>
                <w:b/>
              </w:rPr>
              <w:t xml:space="preserve"> </w:t>
            </w:r>
            <w:proofErr w:type="spellStart"/>
            <w:r>
              <w:rPr>
                <w:b/>
              </w:rPr>
              <w:t>wkładów</w:t>
            </w:r>
            <w:proofErr w:type="spellEnd"/>
            <w:r>
              <w:rPr>
                <w:b/>
              </w:rPr>
              <w:t xml:space="preserve">, </w:t>
            </w:r>
            <w:proofErr w:type="spellStart"/>
            <w:r>
              <w:rPr>
                <w:b/>
              </w:rPr>
              <w:t>poza</w:t>
            </w:r>
            <w:proofErr w:type="spellEnd"/>
            <w:r>
              <w:rPr>
                <w:b/>
              </w:rPr>
              <w:t xml:space="preserve"> EFSI, </w:t>
            </w:r>
            <w:proofErr w:type="spellStart"/>
            <w:r>
              <w:rPr>
                <w:b/>
              </w:rPr>
              <w:t>pozyskanych</w:t>
            </w:r>
            <w:proofErr w:type="spellEnd"/>
            <w:r>
              <w:rPr>
                <w:b/>
              </w:rPr>
              <w:t xml:space="preserve"> </w:t>
            </w:r>
            <w:proofErr w:type="spellStart"/>
            <w:r>
              <w:rPr>
                <w:b/>
              </w:rPr>
              <w:t>przez</w:t>
            </w:r>
            <w:proofErr w:type="spellEnd"/>
            <w:r>
              <w:rPr>
                <w:b/>
              </w:rPr>
              <w:t xml:space="preserve"> instrument </w:t>
            </w:r>
            <w:proofErr w:type="spellStart"/>
            <w:r>
              <w:rPr>
                <w:b/>
              </w:rPr>
              <w:t>finansowy</w:t>
            </w:r>
            <w:proofErr w:type="spellEnd"/>
            <w:r>
              <w:rPr>
                <w:b/>
              </w:rPr>
              <w:t xml:space="preserve"> (EUR)</w:t>
            </w:r>
          </w:p>
        </w:tc>
      </w:tr>
      <w:tr w:rsidR="006B2EC1" w14:paraId="175B31B3" w14:textId="77777777" w:rsidTr="0047688D">
        <w:tc>
          <w:tcPr>
            <w:tcW w:w="0" w:type="auto"/>
            <w:shd w:val="clear" w:color="auto" w:fill="auto"/>
          </w:tcPr>
          <w:p w14:paraId="04133EFA" w14:textId="77777777" w:rsidR="008C5CFA" w:rsidRDefault="00E82A60" w:rsidP="00300A01">
            <w:pPr>
              <w:spacing w:before="0" w:after="0"/>
            </w:pPr>
            <w:r>
              <w:t xml:space="preserve">38.3. </w:t>
            </w:r>
            <w:proofErr w:type="spellStart"/>
            <w:r>
              <w:t>Łączna</w:t>
            </w:r>
            <w:proofErr w:type="spellEnd"/>
            <w:r>
              <w:t xml:space="preserve"> </w:t>
            </w:r>
            <w:proofErr w:type="spellStart"/>
            <w:r>
              <w:t>kwota</w:t>
            </w:r>
            <w:proofErr w:type="spellEnd"/>
            <w:r>
              <w:t xml:space="preserve"> </w:t>
            </w:r>
            <w:proofErr w:type="spellStart"/>
            <w:r>
              <w:t>innych</w:t>
            </w:r>
            <w:proofErr w:type="spellEnd"/>
            <w:r>
              <w:t xml:space="preserve"> </w:t>
            </w:r>
            <w:proofErr w:type="spellStart"/>
            <w:r>
              <w:t>wkładów</w:t>
            </w:r>
            <w:proofErr w:type="spellEnd"/>
            <w:r>
              <w:t xml:space="preserve">, </w:t>
            </w:r>
            <w:proofErr w:type="spellStart"/>
            <w:r>
              <w:t>poza</w:t>
            </w:r>
            <w:proofErr w:type="spellEnd"/>
            <w:r>
              <w:t xml:space="preserve"> EFSI, </w:t>
            </w:r>
            <w:proofErr w:type="spellStart"/>
            <w:r>
              <w:t>uruchomionych</w:t>
            </w:r>
            <w:proofErr w:type="spellEnd"/>
            <w:r>
              <w:t xml:space="preserve"> </w:t>
            </w:r>
            <w:proofErr w:type="spellStart"/>
            <w:r>
              <w:t>na</w:t>
            </w:r>
            <w:proofErr w:type="spellEnd"/>
            <w:r>
              <w:t xml:space="preserve"> </w:t>
            </w:r>
            <w:proofErr w:type="spellStart"/>
            <w:r>
              <w:t>poziomie</w:t>
            </w:r>
            <w:proofErr w:type="spellEnd"/>
            <w:r>
              <w:t xml:space="preserve"> </w:t>
            </w:r>
            <w:proofErr w:type="spellStart"/>
            <w:r>
              <w:t>ostatecznych</w:t>
            </w:r>
            <w:proofErr w:type="spellEnd"/>
            <w:r>
              <w:t xml:space="preserve"> </w:t>
            </w:r>
            <w:proofErr w:type="spellStart"/>
            <w:r>
              <w:t>odbiorców</w:t>
            </w:r>
            <w:proofErr w:type="spellEnd"/>
            <w:r>
              <w:t xml:space="preserve"> (w EUR)</w:t>
            </w:r>
          </w:p>
        </w:tc>
        <w:tc>
          <w:tcPr>
            <w:tcW w:w="0" w:type="auto"/>
            <w:shd w:val="clear" w:color="auto" w:fill="auto"/>
          </w:tcPr>
          <w:p w14:paraId="7163A91A" w14:textId="77777777" w:rsidR="008C5CFA" w:rsidRDefault="00E82A60" w:rsidP="00300A01">
            <w:pPr>
              <w:spacing w:before="0" w:after="0"/>
              <w:jc w:val="right"/>
            </w:pPr>
            <w:r>
              <w:t>9 281 050,96</w:t>
            </w:r>
          </w:p>
        </w:tc>
      </w:tr>
      <w:tr w:rsidR="006B2EC1" w14:paraId="7E61E119" w14:textId="77777777" w:rsidTr="0047688D">
        <w:tc>
          <w:tcPr>
            <w:tcW w:w="0" w:type="auto"/>
            <w:shd w:val="clear" w:color="auto" w:fill="auto"/>
          </w:tcPr>
          <w:p w14:paraId="208E5F32" w14:textId="77777777" w:rsidR="008C5CFA" w:rsidRDefault="00E82A60" w:rsidP="00300A01">
            <w:pPr>
              <w:spacing w:before="0" w:after="0"/>
            </w:pPr>
            <w:r>
              <w:t xml:space="preserve">38.3.1. w </w:t>
            </w:r>
            <w:proofErr w:type="spellStart"/>
            <w:r>
              <w:t>tym</w:t>
            </w:r>
            <w:proofErr w:type="spellEnd"/>
            <w:r>
              <w:t xml:space="preserve"> </w:t>
            </w:r>
            <w:proofErr w:type="spellStart"/>
            <w:r>
              <w:t>wkłady</w:t>
            </w:r>
            <w:proofErr w:type="spellEnd"/>
            <w:r>
              <w:t xml:space="preserve"> </w:t>
            </w:r>
            <w:proofErr w:type="spellStart"/>
            <w:r>
              <w:t>publiczne</w:t>
            </w:r>
            <w:proofErr w:type="spellEnd"/>
            <w:r>
              <w:t xml:space="preserve"> (w EUR)</w:t>
            </w:r>
          </w:p>
        </w:tc>
        <w:tc>
          <w:tcPr>
            <w:tcW w:w="0" w:type="auto"/>
            <w:shd w:val="clear" w:color="auto" w:fill="auto"/>
          </w:tcPr>
          <w:p w14:paraId="10E6B95D" w14:textId="77777777" w:rsidR="008C5CFA" w:rsidRDefault="008C5CFA" w:rsidP="00300A01">
            <w:pPr>
              <w:spacing w:before="0" w:after="0"/>
              <w:jc w:val="right"/>
            </w:pPr>
          </w:p>
        </w:tc>
      </w:tr>
      <w:tr w:rsidR="006B2EC1" w14:paraId="2770C4D6" w14:textId="77777777" w:rsidTr="0047688D">
        <w:tc>
          <w:tcPr>
            <w:tcW w:w="0" w:type="auto"/>
            <w:shd w:val="clear" w:color="auto" w:fill="auto"/>
          </w:tcPr>
          <w:p w14:paraId="0C0584C1" w14:textId="77777777" w:rsidR="008C5CFA" w:rsidRDefault="00E82A60" w:rsidP="00300A01">
            <w:pPr>
              <w:spacing w:before="0" w:after="0"/>
            </w:pPr>
            <w:r>
              <w:t xml:space="preserve">38.3.2. w </w:t>
            </w:r>
            <w:proofErr w:type="spellStart"/>
            <w:r>
              <w:t>tym</w:t>
            </w:r>
            <w:proofErr w:type="spellEnd"/>
            <w:r>
              <w:t xml:space="preserve"> </w:t>
            </w:r>
            <w:proofErr w:type="spellStart"/>
            <w:r>
              <w:t>wkłady</w:t>
            </w:r>
            <w:proofErr w:type="spellEnd"/>
            <w:r>
              <w:t xml:space="preserve"> </w:t>
            </w:r>
            <w:proofErr w:type="spellStart"/>
            <w:r>
              <w:t>prywatne</w:t>
            </w:r>
            <w:proofErr w:type="spellEnd"/>
            <w:r>
              <w:t xml:space="preserve"> (w EUR)</w:t>
            </w:r>
          </w:p>
        </w:tc>
        <w:tc>
          <w:tcPr>
            <w:tcW w:w="0" w:type="auto"/>
            <w:shd w:val="clear" w:color="auto" w:fill="auto"/>
          </w:tcPr>
          <w:p w14:paraId="4AC29F94" w14:textId="77777777" w:rsidR="008C5CFA" w:rsidRDefault="00E82A60" w:rsidP="00300A01">
            <w:pPr>
              <w:spacing w:before="0" w:after="0"/>
              <w:jc w:val="right"/>
            </w:pPr>
            <w:r>
              <w:t>9 281 050,96</w:t>
            </w:r>
          </w:p>
        </w:tc>
      </w:tr>
      <w:tr w:rsidR="006B2EC1" w14:paraId="7D772903" w14:textId="77777777" w:rsidTr="0047688D">
        <w:tc>
          <w:tcPr>
            <w:tcW w:w="0" w:type="auto"/>
            <w:shd w:val="clear" w:color="auto" w:fill="auto"/>
          </w:tcPr>
          <w:p w14:paraId="2C3C17F1" w14:textId="77777777" w:rsidR="008C5CFA" w:rsidRDefault="00E82A60" w:rsidP="00300A01">
            <w:pPr>
              <w:spacing w:before="0" w:after="0"/>
            </w:pPr>
            <w:r>
              <w:t xml:space="preserve">38.3 A. </w:t>
            </w:r>
            <w:proofErr w:type="spellStart"/>
            <w:r>
              <w:t>Wkład</w:t>
            </w:r>
            <w:proofErr w:type="spellEnd"/>
            <w:r>
              <w:t xml:space="preserve"> w </w:t>
            </w:r>
            <w:proofErr w:type="spellStart"/>
            <w:r>
              <w:t>ramach</w:t>
            </w:r>
            <w:proofErr w:type="spellEnd"/>
            <w:r>
              <w:t xml:space="preserve"> </w:t>
            </w:r>
            <w:proofErr w:type="spellStart"/>
            <w:r>
              <w:t>produktu</w:t>
            </w:r>
            <w:proofErr w:type="spellEnd"/>
            <w:r>
              <w:t xml:space="preserve"> </w:t>
            </w:r>
            <w:proofErr w:type="spellStart"/>
            <w:r>
              <w:t>finansowego</w:t>
            </w:r>
            <w:proofErr w:type="spellEnd"/>
            <w:r>
              <w:t xml:space="preserve"> EBI </w:t>
            </w:r>
            <w:proofErr w:type="spellStart"/>
            <w:r>
              <w:t>uruchomiony</w:t>
            </w:r>
            <w:proofErr w:type="spellEnd"/>
            <w:r>
              <w:t xml:space="preserve"> </w:t>
            </w:r>
            <w:proofErr w:type="spellStart"/>
            <w:r>
              <w:t>na</w:t>
            </w:r>
            <w:proofErr w:type="spellEnd"/>
            <w:r>
              <w:t xml:space="preserve"> </w:t>
            </w:r>
            <w:proofErr w:type="spellStart"/>
            <w:r>
              <w:t>poziomie</w:t>
            </w:r>
            <w:proofErr w:type="spellEnd"/>
            <w:r>
              <w:t xml:space="preserve"> </w:t>
            </w:r>
            <w:proofErr w:type="spellStart"/>
            <w:r>
              <w:t>ostatecznych</w:t>
            </w:r>
            <w:proofErr w:type="spellEnd"/>
            <w:r>
              <w:t xml:space="preserve"> </w:t>
            </w:r>
            <w:proofErr w:type="spellStart"/>
            <w:r>
              <w:t>odbiorców</w:t>
            </w:r>
            <w:proofErr w:type="spellEnd"/>
            <w:r>
              <w:t xml:space="preserve"> (</w:t>
            </w:r>
            <w:proofErr w:type="spellStart"/>
            <w:r>
              <w:t>dotyczy</w:t>
            </w:r>
            <w:proofErr w:type="spellEnd"/>
            <w:r>
              <w:t xml:space="preserve"> </w:t>
            </w:r>
            <w:proofErr w:type="spellStart"/>
            <w:r>
              <w:t>wyłącznie</w:t>
            </w:r>
            <w:proofErr w:type="spellEnd"/>
            <w:r>
              <w:t xml:space="preserve"> </w:t>
            </w:r>
            <w:proofErr w:type="spellStart"/>
            <w:r>
              <w:t>instrumentów</w:t>
            </w:r>
            <w:proofErr w:type="spellEnd"/>
            <w:r>
              <w:t xml:space="preserve">, o </w:t>
            </w:r>
            <w:proofErr w:type="spellStart"/>
            <w:r>
              <w:t>których</w:t>
            </w:r>
            <w:proofErr w:type="spellEnd"/>
            <w:r>
              <w:t xml:space="preserve"> </w:t>
            </w:r>
            <w:proofErr w:type="spellStart"/>
            <w:r>
              <w:t>mowa</w:t>
            </w:r>
            <w:proofErr w:type="spellEnd"/>
            <w:r>
              <w:t xml:space="preserve"> w art. 38 </w:t>
            </w:r>
            <w:proofErr w:type="spellStart"/>
            <w:r>
              <w:t>ust</w:t>
            </w:r>
            <w:proofErr w:type="spellEnd"/>
            <w:r>
              <w:t>. 1 lit. c)) (w EUR)</w:t>
            </w:r>
          </w:p>
        </w:tc>
        <w:tc>
          <w:tcPr>
            <w:tcW w:w="0" w:type="auto"/>
            <w:shd w:val="clear" w:color="auto" w:fill="auto"/>
          </w:tcPr>
          <w:p w14:paraId="186F35FF" w14:textId="77777777" w:rsidR="008C5CFA" w:rsidRDefault="008C5CFA" w:rsidP="00300A01">
            <w:pPr>
              <w:spacing w:before="0" w:after="0"/>
              <w:jc w:val="right"/>
            </w:pPr>
          </w:p>
        </w:tc>
      </w:tr>
      <w:tr w:rsidR="006B2EC1" w14:paraId="7F293ADA" w14:textId="77777777" w:rsidTr="0047688D">
        <w:tc>
          <w:tcPr>
            <w:tcW w:w="0" w:type="auto"/>
            <w:gridSpan w:val="2"/>
            <w:shd w:val="clear" w:color="auto" w:fill="auto"/>
          </w:tcPr>
          <w:p w14:paraId="5F6D4CD4" w14:textId="77777777" w:rsidR="008C5CFA" w:rsidRDefault="00E82A60" w:rsidP="00300A01">
            <w:pPr>
              <w:spacing w:before="0" w:after="0"/>
            </w:pPr>
            <w:r>
              <w:rPr>
                <w:b/>
              </w:rPr>
              <w:t xml:space="preserve">39. </w:t>
            </w:r>
            <w:proofErr w:type="spellStart"/>
            <w:r>
              <w:rPr>
                <w:b/>
              </w:rPr>
              <w:t>Spodziewany</w:t>
            </w:r>
            <w:proofErr w:type="spellEnd"/>
            <w:r>
              <w:rPr>
                <w:b/>
              </w:rPr>
              <w:t xml:space="preserve"> i </w:t>
            </w:r>
            <w:proofErr w:type="spellStart"/>
            <w:r>
              <w:rPr>
                <w:b/>
              </w:rPr>
              <w:t>osiągnięty</w:t>
            </w:r>
            <w:proofErr w:type="spellEnd"/>
            <w:r>
              <w:rPr>
                <w:b/>
              </w:rPr>
              <w:t xml:space="preserve"> </w:t>
            </w:r>
            <w:proofErr w:type="spellStart"/>
            <w:r>
              <w:rPr>
                <w:b/>
              </w:rPr>
              <w:t>efekt</w:t>
            </w:r>
            <w:proofErr w:type="spellEnd"/>
            <w:r>
              <w:rPr>
                <w:b/>
              </w:rPr>
              <w:t xml:space="preserve"> </w:t>
            </w:r>
            <w:proofErr w:type="spellStart"/>
            <w:r>
              <w:rPr>
                <w:b/>
              </w:rPr>
              <w:t>dźwigni</w:t>
            </w:r>
            <w:proofErr w:type="spellEnd"/>
            <w:r>
              <w:rPr>
                <w:b/>
              </w:rPr>
              <w:t xml:space="preserve"> w </w:t>
            </w:r>
            <w:proofErr w:type="spellStart"/>
            <w:r>
              <w:rPr>
                <w:b/>
              </w:rPr>
              <w:t>odniesieniu</w:t>
            </w:r>
            <w:proofErr w:type="spellEnd"/>
            <w:r>
              <w:rPr>
                <w:b/>
              </w:rPr>
              <w:t xml:space="preserve"> do </w:t>
            </w:r>
            <w:proofErr w:type="spellStart"/>
            <w:r>
              <w:rPr>
                <w:b/>
              </w:rPr>
              <w:t>umowy</w:t>
            </w:r>
            <w:proofErr w:type="spellEnd"/>
            <w:r>
              <w:rPr>
                <w:b/>
              </w:rPr>
              <w:t xml:space="preserve"> o </w:t>
            </w:r>
            <w:proofErr w:type="spellStart"/>
            <w:r>
              <w:rPr>
                <w:b/>
              </w:rPr>
              <w:t>finansowaniu</w:t>
            </w:r>
            <w:proofErr w:type="spellEnd"/>
          </w:p>
        </w:tc>
      </w:tr>
      <w:tr w:rsidR="006B2EC1" w14:paraId="4E7D39B1" w14:textId="77777777" w:rsidTr="0047688D">
        <w:tc>
          <w:tcPr>
            <w:tcW w:w="0" w:type="auto"/>
            <w:shd w:val="clear" w:color="auto" w:fill="auto"/>
          </w:tcPr>
          <w:p w14:paraId="6BC3B53A" w14:textId="77777777" w:rsidR="008C5CFA" w:rsidRDefault="00E82A60" w:rsidP="00300A01">
            <w:pPr>
              <w:spacing w:before="0" w:after="0"/>
            </w:pPr>
            <w:r>
              <w:t xml:space="preserve">39.1. </w:t>
            </w:r>
            <w:proofErr w:type="spellStart"/>
            <w:r>
              <w:t>Spodziewany</w:t>
            </w:r>
            <w:proofErr w:type="spellEnd"/>
            <w:r>
              <w:t xml:space="preserve"> </w:t>
            </w:r>
            <w:proofErr w:type="spellStart"/>
            <w:r>
              <w:t>efekt</w:t>
            </w:r>
            <w:proofErr w:type="spellEnd"/>
            <w:r>
              <w:t xml:space="preserve"> </w:t>
            </w:r>
            <w:proofErr w:type="spellStart"/>
            <w:r>
              <w:t>dźwigni</w:t>
            </w:r>
            <w:proofErr w:type="spellEnd"/>
            <w:r>
              <w:t xml:space="preserve"> w </w:t>
            </w:r>
            <w:proofErr w:type="spellStart"/>
            <w:r>
              <w:t>przypadku</w:t>
            </w:r>
            <w:proofErr w:type="spellEnd"/>
            <w:r>
              <w:t xml:space="preserve"> </w:t>
            </w:r>
            <w:proofErr w:type="spellStart"/>
            <w:r>
              <w:t>pożyczki</w:t>
            </w:r>
            <w:proofErr w:type="spellEnd"/>
            <w:r>
              <w:t>/</w:t>
            </w:r>
            <w:proofErr w:type="spellStart"/>
            <w:r>
              <w:t>gwarancji</w:t>
            </w:r>
            <w:proofErr w:type="spellEnd"/>
            <w:r>
              <w:t>/</w:t>
            </w:r>
            <w:proofErr w:type="spellStart"/>
            <w:r>
              <w:t>inwestycji</w:t>
            </w:r>
            <w:proofErr w:type="spellEnd"/>
            <w:r>
              <w:t xml:space="preserve"> </w:t>
            </w:r>
            <w:proofErr w:type="spellStart"/>
            <w:r>
              <w:t>kapitałowej</w:t>
            </w:r>
            <w:proofErr w:type="spellEnd"/>
            <w:r>
              <w:t xml:space="preserve"> </w:t>
            </w:r>
            <w:proofErr w:type="spellStart"/>
            <w:r>
              <w:t>lub</w:t>
            </w:r>
            <w:proofErr w:type="spellEnd"/>
            <w:r>
              <w:t xml:space="preserve"> quasi-</w:t>
            </w:r>
            <w:proofErr w:type="spellStart"/>
            <w:r>
              <w:t>kapitałowej</w:t>
            </w:r>
            <w:proofErr w:type="spellEnd"/>
            <w:r>
              <w:t>/</w:t>
            </w:r>
            <w:proofErr w:type="spellStart"/>
            <w:r>
              <w:t>innego</w:t>
            </w:r>
            <w:proofErr w:type="spellEnd"/>
            <w:r>
              <w:t xml:space="preserve"> </w:t>
            </w:r>
            <w:proofErr w:type="spellStart"/>
            <w:r>
              <w:t>produktu</w:t>
            </w:r>
            <w:proofErr w:type="spellEnd"/>
            <w:r>
              <w:t xml:space="preserve"> </w:t>
            </w:r>
            <w:proofErr w:type="spellStart"/>
            <w:r>
              <w:t>finansowego</w:t>
            </w:r>
            <w:proofErr w:type="spellEnd"/>
            <w:r>
              <w:t xml:space="preserve"> w </w:t>
            </w:r>
            <w:proofErr w:type="spellStart"/>
            <w:r>
              <w:t>odniesieniu</w:t>
            </w:r>
            <w:proofErr w:type="spellEnd"/>
            <w:r>
              <w:t xml:space="preserve"> do </w:t>
            </w:r>
            <w:proofErr w:type="spellStart"/>
            <w:r>
              <w:t>umowy</w:t>
            </w:r>
            <w:proofErr w:type="spellEnd"/>
            <w:r>
              <w:t xml:space="preserve"> o </w:t>
            </w:r>
            <w:proofErr w:type="spellStart"/>
            <w:r>
              <w:t>finansowaniu</w:t>
            </w:r>
            <w:proofErr w:type="spellEnd"/>
            <w:r>
              <w:t xml:space="preserve">, </w:t>
            </w:r>
            <w:proofErr w:type="spellStart"/>
            <w:r>
              <w:t>według</w:t>
            </w:r>
            <w:proofErr w:type="spellEnd"/>
            <w:r>
              <w:t xml:space="preserve"> </w:t>
            </w:r>
            <w:proofErr w:type="spellStart"/>
            <w:r>
              <w:t>produktów</w:t>
            </w:r>
            <w:proofErr w:type="spellEnd"/>
          </w:p>
        </w:tc>
        <w:tc>
          <w:tcPr>
            <w:tcW w:w="0" w:type="auto"/>
            <w:shd w:val="clear" w:color="auto" w:fill="auto"/>
          </w:tcPr>
          <w:p w14:paraId="4E0C71F9" w14:textId="77777777" w:rsidR="008C5CFA" w:rsidRDefault="00E82A60" w:rsidP="00300A01">
            <w:pPr>
              <w:spacing w:before="0" w:after="0"/>
              <w:jc w:val="right"/>
            </w:pPr>
            <w:r>
              <w:t>24,00</w:t>
            </w:r>
          </w:p>
        </w:tc>
      </w:tr>
      <w:tr w:rsidR="006B2EC1" w14:paraId="3F00B693" w14:textId="77777777" w:rsidTr="0047688D">
        <w:tc>
          <w:tcPr>
            <w:tcW w:w="0" w:type="auto"/>
            <w:shd w:val="clear" w:color="auto" w:fill="auto"/>
          </w:tcPr>
          <w:p w14:paraId="351B2C25" w14:textId="77777777" w:rsidR="008C5CFA" w:rsidRDefault="00E82A60" w:rsidP="00300A01">
            <w:pPr>
              <w:spacing w:before="0" w:after="0"/>
            </w:pPr>
            <w:r>
              <w:t xml:space="preserve">39.2. </w:t>
            </w:r>
            <w:proofErr w:type="spellStart"/>
            <w:r>
              <w:t>Osiągnięty</w:t>
            </w:r>
            <w:proofErr w:type="spellEnd"/>
            <w:r>
              <w:t xml:space="preserve"> </w:t>
            </w:r>
            <w:proofErr w:type="spellStart"/>
            <w:r>
              <w:t>efekt</w:t>
            </w:r>
            <w:proofErr w:type="spellEnd"/>
            <w:r>
              <w:t xml:space="preserve"> </w:t>
            </w:r>
            <w:proofErr w:type="spellStart"/>
            <w:r>
              <w:t>dźwigni</w:t>
            </w:r>
            <w:proofErr w:type="spellEnd"/>
            <w:r>
              <w:t xml:space="preserve"> </w:t>
            </w:r>
            <w:proofErr w:type="spellStart"/>
            <w:r>
              <w:t>na</w:t>
            </w:r>
            <w:proofErr w:type="spellEnd"/>
            <w:r>
              <w:t xml:space="preserve"> </w:t>
            </w:r>
            <w:proofErr w:type="spellStart"/>
            <w:r>
              <w:t>koniec</w:t>
            </w:r>
            <w:proofErr w:type="spellEnd"/>
            <w:r>
              <w:t xml:space="preserve"> </w:t>
            </w:r>
            <w:proofErr w:type="spellStart"/>
            <w:r>
              <w:t>roku</w:t>
            </w:r>
            <w:proofErr w:type="spellEnd"/>
            <w:r>
              <w:t xml:space="preserve"> </w:t>
            </w:r>
            <w:proofErr w:type="spellStart"/>
            <w:r>
              <w:t>sprawozdawczego</w:t>
            </w:r>
            <w:proofErr w:type="spellEnd"/>
            <w:r>
              <w:t xml:space="preserve"> w </w:t>
            </w:r>
            <w:proofErr w:type="spellStart"/>
            <w:r>
              <w:t>przypadku</w:t>
            </w:r>
            <w:proofErr w:type="spellEnd"/>
            <w:r>
              <w:t xml:space="preserve"> </w:t>
            </w:r>
            <w:proofErr w:type="spellStart"/>
            <w:r>
              <w:t>pożyczki</w:t>
            </w:r>
            <w:proofErr w:type="spellEnd"/>
            <w:r>
              <w:t>/</w:t>
            </w:r>
            <w:proofErr w:type="spellStart"/>
            <w:r>
              <w:t>gwarancji</w:t>
            </w:r>
            <w:proofErr w:type="spellEnd"/>
            <w:r>
              <w:t>/</w:t>
            </w:r>
            <w:proofErr w:type="spellStart"/>
            <w:r>
              <w:t>inwestycji</w:t>
            </w:r>
            <w:proofErr w:type="spellEnd"/>
            <w:r>
              <w:t xml:space="preserve"> </w:t>
            </w:r>
            <w:proofErr w:type="spellStart"/>
            <w:r>
              <w:t>kapitałowej</w:t>
            </w:r>
            <w:proofErr w:type="spellEnd"/>
            <w:r>
              <w:t xml:space="preserve"> </w:t>
            </w:r>
            <w:proofErr w:type="spellStart"/>
            <w:r>
              <w:t>lub</w:t>
            </w:r>
            <w:proofErr w:type="spellEnd"/>
            <w:r>
              <w:t xml:space="preserve"> quasi-</w:t>
            </w:r>
            <w:proofErr w:type="spellStart"/>
            <w:r>
              <w:t>kapitałowej</w:t>
            </w:r>
            <w:proofErr w:type="spellEnd"/>
            <w:r>
              <w:t>/</w:t>
            </w:r>
            <w:proofErr w:type="spellStart"/>
            <w:r>
              <w:t>innego</w:t>
            </w:r>
            <w:proofErr w:type="spellEnd"/>
            <w:r>
              <w:t xml:space="preserve"> </w:t>
            </w:r>
            <w:proofErr w:type="spellStart"/>
            <w:r>
              <w:t>produktu</w:t>
            </w:r>
            <w:proofErr w:type="spellEnd"/>
            <w:r>
              <w:t xml:space="preserve"> </w:t>
            </w:r>
            <w:proofErr w:type="spellStart"/>
            <w:r>
              <w:t>finansowego</w:t>
            </w:r>
            <w:proofErr w:type="spellEnd"/>
            <w:r>
              <w:t xml:space="preserve">, </w:t>
            </w:r>
            <w:proofErr w:type="spellStart"/>
            <w:r>
              <w:t>według</w:t>
            </w:r>
            <w:proofErr w:type="spellEnd"/>
            <w:r>
              <w:t xml:space="preserve"> </w:t>
            </w:r>
            <w:proofErr w:type="spellStart"/>
            <w:r>
              <w:t>produktów</w:t>
            </w:r>
            <w:proofErr w:type="spellEnd"/>
            <w:r>
              <w:t xml:space="preserve"> </w:t>
            </w:r>
          </w:p>
        </w:tc>
        <w:tc>
          <w:tcPr>
            <w:tcW w:w="0" w:type="auto"/>
            <w:shd w:val="clear" w:color="auto" w:fill="auto"/>
          </w:tcPr>
          <w:p w14:paraId="6E79500B" w14:textId="77777777" w:rsidR="008C5CFA" w:rsidRDefault="00E82A60" w:rsidP="00300A01">
            <w:pPr>
              <w:spacing w:before="0" w:after="0"/>
              <w:jc w:val="right"/>
            </w:pPr>
            <w:r>
              <w:t>1,63</w:t>
            </w:r>
          </w:p>
        </w:tc>
      </w:tr>
      <w:tr w:rsidR="006B2EC1" w14:paraId="400F339C" w14:textId="77777777" w:rsidTr="0047688D">
        <w:tc>
          <w:tcPr>
            <w:tcW w:w="0" w:type="auto"/>
            <w:shd w:val="clear" w:color="auto" w:fill="auto"/>
          </w:tcPr>
          <w:p w14:paraId="1968F38E" w14:textId="77777777" w:rsidR="008C5CFA" w:rsidRDefault="00E82A60" w:rsidP="00300A01">
            <w:pPr>
              <w:spacing w:before="0" w:after="0"/>
            </w:pPr>
            <w:r>
              <w:t xml:space="preserve">39.3. </w:t>
            </w:r>
            <w:proofErr w:type="spellStart"/>
            <w:r>
              <w:t>Inwestycje</w:t>
            </w:r>
            <w:proofErr w:type="spellEnd"/>
            <w:r>
              <w:t xml:space="preserve"> </w:t>
            </w:r>
            <w:proofErr w:type="spellStart"/>
            <w:r>
              <w:t>uruchomione</w:t>
            </w:r>
            <w:proofErr w:type="spellEnd"/>
            <w:r>
              <w:t xml:space="preserve"> </w:t>
            </w:r>
            <w:proofErr w:type="spellStart"/>
            <w:r>
              <w:t>przez</w:t>
            </w:r>
            <w:proofErr w:type="spellEnd"/>
            <w:r>
              <w:t xml:space="preserve"> </w:t>
            </w:r>
            <w:proofErr w:type="spellStart"/>
            <w:r>
              <w:t>instrumenty</w:t>
            </w:r>
            <w:proofErr w:type="spellEnd"/>
            <w:r>
              <w:t xml:space="preserve"> </w:t>
            </w:r>
            <w:proofErr w:type="spellStart"/>
            <w:r>
              <w:t>finansowe</w:t>
            </w:r>
            <w:proofErr w:type="spellEnd"/>
            <w:r>
              <w:t xml:space="preserve"> EFSI </w:t>
            </w:r>
            <w:proofErr w:type="spellStart"/>
            <w:r>
              <w:t>dla</w:t>
            </w:r>
            <w:proofErr w:type="spellEnd"/>
            <w:r>
              <w:t xml:space="preserve"> </w:t>
            </w:r>
            <w:proofErr w:type="spellStart"/>
            <w:r>
              <w:t>pożyczki</w:t>
            </w:r>
            <w:proofErr w:type="spellEnd"/>
            <w:r>
              <w:t>/</w:t>
            </w:r>
            <w:proofErr w:type="spellStart"/>
            <w:r>
              <w:t>gwarancji</w:t>
            </w:r>
            <w:proofErr w:type="spellEnd"/>
            <w:r>
              <w:t>/</w:t>
            </w:r>
            <w:proofErr w:type="spellStart"/>
            <w:r>
              <w:t>inwestycji</w:t>
            </w:r>
            <w:proofErr w:type="spellEnd"/>
            <w:r>
              <w:t xml:space="preserve"> </w:t>
            </w:r>
            <w:proofErr w:type="spellStart"/>
            <w:r>
              <w:t>kapitałowej</w:t>
            </w:r>
            <w:proofErr w:type="spellEnd"/>
            <w:r>
              <w:t xml:space="preserve"> </w:t>
            </w:r>
            <w:proofErr w:type="spellStart"/>
            <w:r>
              <w:t>lub</w:t>
            </w:r>
            <w:proofErr w:type="spellEnd"/>
            <w:r>
              <w:t xml:space="preserve"> quasi-</w:t>
            </w:r>
            <w:proofErr w:type="spellStart"/>
            <w:r>
              <w:t>kapitałowej</w:t>
            </w:r>
            <w:proofErr w:type="spellEnd"/>
            <w:r>
              <w:t xml:space="preserve">, </w:t>
            </w:r>
            <w:proofErr w:type="spellStart"/>
            <w:r>
              <w:t>według</w:t>
            </w:r>
            <w:proofErr w:type="spellEnd"/>
            <w:r>
              <w:t xml:space="preserve"> </w:t>
            </w:r>
            <w:proofErr w:type="spellStart"/>
            <w:r>
              <w:t>produktów</w:t>
            </w:r>
            <w:proofErr w:type="spellEnd"/>
            <w:r>
              <w:t xml:space="preserve"> (</w:t>
            </w:r>
            <w:proofErr w:type="spellStart"/>
            <w:r>
              <w:t>fakultatywnie</w:t>
            </w:r>
            <w:proofErr w:type="spellEnd"/>
            <w:r>
              <w:t>)</w:t>
            </w:r>
          </w:p>
        </w:tc>
        <w:tc>
          <w:tcPr>
            <w:tcW w:w="0" w:type="auto"/>
            <w:shd w:val="clear" w:color="auto" w:fill="auto"/>
          </w:tcPr>
          <w:p w14:paraId="6A54535E" w14:textId="77777777" w:rsidR="008C5CFA" w:rsidRDefault="008C5CFA" w:rsidP="00300A01">
            <w:pPr>
              <w:spacing w:before="0" w:after="0"/>
              <w:jc w:val="right"/>
            </w:pPr>
          </w:p>
        </w:tc>
      </w:tr>
      <w:tr w:rsidR="006B2EC1" w14:paraId="1AD50400" w14:textId="77777777" w:rsidTr="0047688D">
        <w:tc>
          <w:tcPr>
            <w:tcW w:w="0" w:type="auto"/>
            <w:shd w:val="clear" w:color="auto" w:fill="auto"/>
          </w:tcPr>
          <w:p w14:paraId="223BC82F" w14:textId="77777777" w:rsidR="008C5CFA" w:rsidRDefault="00E82A60" w:rsidP="00300A01">
            <w:pPr>
              <w:spacing w:before="0" w:after="0"/>
            </w:pPr>
            <w:r>
              <w:rPr>
                <w:b/>
                <w:i/>
              </w:rPr>
              <w:t xml:space="preserve">22. </w:t>
            </w:r>
            <w:proofErr w:type="spellStart"/>
            <w:r>
              <w:rPr>
                <w:b/>
                <w:i/>
              </w:rPr>
              <w:t>Nazwa</w:t>
            </w:r>
            <w:proofErr w:type="spellEnd"/>
            <w:r>
              <w:rPr>
                <w:b/>
                <w:i/>
              </w:rPr>
              <w:t xml:space="preserve"> </w:t>
            </w:r>
            <w:proofErr w:type="spellStart"/>
            <w:r>
              <w:rPr>
                <w:b/>
                <w:i/>
              </w:rPr>
              <w:t>produktu</w:t>
            </w:r>
            <w:proofErr w:type="spellEnd"/>
            <w:r>
              <w:rPr>
                <w:b/>
                <w:i/>
              </w:rPr>
              <w:t xml:space="preserve"> </w:t>
            </w:r>
            <w:proofErr w:type="spellStart"/>
            <w:r>
              <w:rPr>
                <w:b/>
                <w:i/>
              </w:rPr>
              <w:t>finansowego</w:t>
            </w:r>
            <w:proofErr w:type="spellEnd"/>
            <w:r>
              <w:rPr>
                <w:b/>
                <w:i/>
              </w:rPr>
              <w:t xml:space="preserve"> </w:t>
            </w:r>
            <w:proofErr w:type="spellStart"/>
            <w:r>
              <w:rPr>
                <w:b/>
                <w:i/>
              </w:rPr>
              <w:t>oferowanego</w:t>
            </w:r>
            <w:proofErr w:type="spellEnd"/>
            <w:r>
              <w:rPr>
                <w:b/>
                <w:i/>
              </w:rPr>
              <w:t xml:space="preserve"> </w:t>
            </w:r>
            <w:proofErr w:type="spellStart"/>
            <w:r>
              <w:rPr>
                <w:b/>
                <w:i/>
              </w:rPr>
              <w:t>przez</w:t>
            </w:r>
            <w:proofErr w:type="spellEnd"/>
            <w:r>
              <w:rPr>
                <w:b/>
                <w:i/>
              </w:rPr>
              <w:t xml:space="preserve"> instrument </w:t>
            </w:r>
            <w:proofErr w:type="spellStart"/>
            <w:r>
              <w:rPr>
                <w:b/>
                <w:i/>
              </w:rPr>
              <w:t>finansowy</w:t>
            </w:r>
            <w:proofErr w:type="spellEnd"/>
          </w:p>
        </w:tc>
        <w:tc>
          <w:tcPr>
            <w:tcW w:w="0" w:type="auto"/>
            <w:shd w:val="clear" w:color="auto" w:fill="auto"/>
          </w:tcPr>
          <w:p w14:paraId="6A7B64C0" w14:textId="77777777" w:rsidR="008C5CFA" w:rsidRDefault="00E82A60" w:rsidP="00300A01">
            <w:pPr>
              <w:pStyle w:val="Nagwek3"/>
              <w:spacing w:before="0" w:after="0"/>
              <w:jc w:val="left"/>
            </w:pPr>
            <w:bookmarkStart w:id="99" w:name="_Toc46391782"/>
            <w:proofErr w:type="spellStart"/>
            <w:r>
              <w:rPr>
                <w:b/>
              </w:rPr>
              <w:t>Poręczenia</w:t>
            </w:r>
            <w:proofErr w:type="spellEnd"/>
            <w:r>
              <w:rPr>
                <w:b/>
              </w:rPr>
              <w:t xml:space="preserve"> </w:t>
            </w:r>
            <w:proofErr w:type="spellStart"/>
            <w:r>
              <w:rPr>
                <w:b/>
              </w:rPr>
              <w:t>dla</w:t>
            </w:r>
            <w:proofErr w:type="spellEnd"/>
            <w:r>
              <w:rPr>
                <w:b/>
              </w:rPr>
              <w:t xml:space="preserve"> MŚP</w:t>
            </w:r>
            <w:bookmarkEnd w:id="99"/>
          </w:p>
        </w:tc>
      </w:tr>
      <w:tr w:rsidR="006B2EC1" w14:paraId="666191F4" w14:textId="77777777" w:rsidTr="0047688D">
        <w:tc>
          <w:tcPr>
            <w:tcW w:w="0" w:type="auto"/>
            <w:shd w:val="clear" w:color="auto" w:fill="auto"/>
          </w:tcPr>
          <w:p w14:paraId="79073D34" w14:textId="77777777" w:rsidR="008C5CFA" w:rsidRDefault="00E82A60" w:rsidP="00300A01">
            <w:pPr>
              <w:spacing w:before="0" w:after="0"/>
            </w:pPr>
            <w:r>
              <w:t xml:space="preserve">22.1. </w:t>
            </w:r>
            <w:proofErr w:type="spellStart"/>
            <w:r>
              <w:t>Rodzaj</w:t>
            </w:r>
            <w:proofErr w:type="spellEnd"/>
            <w:r>
              <w:t xml:space="preserve"> </w:t>
            </w:r>
            <w:proofErr w:type="spellStart"/>
            <w:r>
              <w:t>produktu</w:t>
            </w:r>
            <w:proofErr w:type="spellEnd"/>
            <w:r>
              <w:t xml:space="preserve"> </w:t>
            </w:r>
            <w:proofErr w:type="spellStart"/>
            <w:r>
              <w:t>finansowego</w:t>
            </w:r>
            <w:proofErr w:type="spellEnd"/>
            <w:r>
              <w:t xml:space="preserve"> </w:t>
            </w:r>
            <w:proofErr w:type="spellStart"/>
            <w:r>
              <w:t>oferowanego</w:t>
            </w:r>
            <w:proofErr w:type="spellEnd"/>
            <w:r>
              <w:t xml:space="preserve"> </w:t>
            </w:r>
            <w:proofErr w:type="spellStart"/>
            <w:r>
              <w:t>przez</w:t>
            </w:r>
            <w:proofErr w:type="spellEnd"/>
            <w:r>
              <w:t xml:space="preserve"> instrument </w:t>
            </w:r>
            <w:proofErr w:type="spellStart"/>
            <w:r>
              <w:t>finansowy</w:t>
            </w:r>
            <w:proofErr w:type="spellEnd"/>
          </w:p>
        </w:tc>
        <w:tc>
          <w:tcPr>
            <w:tcW w:w="0" w:type="auto"/>
            <w:shd w:val="clear" w:color="auto" w:fill="auto"/>
          </w:tcPr>
          <w:p w14:paraId="25C3DF7D" w14:textId="77777777" w:rsidR="008C5CFA" w:rsidRDefault="00E82A60" w:rsidP="00300A01">
            <w:pPr>
              <w:spacing w:before="0" w:after="0"/>
              <w:jc w:val="left"/>
            </w:pPr>
            <w:proofErr w:type="spellStart"/>
            <w:r>
              <w:t>Gwarancja</w:t>
            </w:r>
            <w:proofErr w:type="spellEnd"/>
          </w:p>
        </w:tc>
      </w:tr>
      <w:tr w:rsidR="006B2EC1" w14:paraId="7CBCE3D0" w14:textId="77777777" w:rsidTr="0047688D">
        <w:tc>
          <w:tcPr>
            <w:tcW w:w="0" w:type="auto"/>
            <w:shd w:val="clear" w:color="auto" w:fill="auto"/>
          </w:tcPr>
          <w:p w14:paraId="48292BC9" w14:textId="77777777" w:rsidR="008C5CFA" w:rsidRDefault="00E82A60" w:rsidP="00300A01">
            <w:pPr>
              <w:spacing w:before="0" w:after="0"/>
            </w:pPr>
            <w:r>
              <w:t xml:space="preserve">24. </w:t>
            </w:r>
            <w:proofErr w:type="spellStart"/>
            <w:r>
              <w:t>Łączna</w:t>
            </w:r>
            <w:proofErr w:type="spellEnd"/>
            <w:r>
              <w:t xml:space="preserve"> </w:t>
            </w:r>
            <w:proofErr w:type="spellStart"/>
            <w:r>
              <w:t>kwota</w:t>
            </w:r>
            <w:proofErr w:type="spellEnd"/>
            <w:r>
              <w:t xml:space="preserve"> </w:t>
            </w:r>
            <w:proofErr w:type="spellStart"/>
            <w:r>
              <w:t>wkładów</w:t>
            </w:r>
            <w:proofErr w:type="spellEnd"/>
            <w:r>
              <w:t xml:space="preserve"> z </w:t>
            </w:r>
            <w:proofErr w:type="spellStart"/>
            <w:r>
              <w:t>programu</w:t>
            </w:r>
            <w:proofErr w:type="spellEnd"/>
            <w:r>
              <w:t xml:space="preserve"> </w:t>
            </w:r>
            <w:proofErr w:type="spellStart"/>
            <w:r>
              <w:t>zaangażowanych</w:t>
            </w:r>
            <w:proofErr w:type="spellEnd"/>
            <w:r>
              <w:t xml:space="preserve"> w </w:t>
            </w:r>
            <w:proofErr w:type="spellStart"/>
            <w:r>
              <w:t>ramach</w:t>
            </w:r>
            <w:proofErr w:type="spellEnd"/>
            <w:r>
              <w:t xml:space="preserve"> </w:t>
            </w:r>
            <w:proofErr w:type="spellStart"/>
            <w:r>
              <w:t>tej</w:t>
            </w:r>
            <w:proofErr w:type="spellEnd"/>
            <w:r>
              <w:t xml:space="preserve"> </w:t>
            </w:r>
            <w:proofErr w:type="spellStart"/>
            <w:r>
              <w:t>pożyczki</w:t>
            </w:r>
            <w:proofErr w:type="spellEnd"/>
            <w:r>
              <w:t xml:space="preserve">, </w:t>
            </w:r>
            <w:proofErr w:type="spellStart"/>
            <w:r>
              <w:t>umów</w:t>
            </w:r>
            <w:proofErr w:type="spellEnd"/>
            <w:r>
              <w:t xml:space="preserve"> </w:t>
            </w:r>
            <w:proofErr w:type="spellStart"/>
            <w:r>
              <w:t>gwarancyjnych</w:t>
            </w:r>
            <w:proofErr w:type="spellEnd"/>
            <w:r>
              <w:t xml:space="preserve">, </w:t>
            </w:r>
            <w:proofErr w:type="spellStart"/>
            <w:r>
              <w:t>umów</w:t>
            </w:r>
            <w:proofErr w:type="spellEnd"/>
            <w:r>
              <w:t xml:space="preserve"> o </w:t>
            </w:r>
            <w:proofErr w:type="spellStart"/>
            <w:r>
              <w:t>produkty</w:t>
            </w:r>
            <w:proofErr w:type="spellEnd"/>
            <w:r>
              <w:t xml:space="preserve"> </w:t>
            </w:r>
            <w:proofErr w:type="spellStart"/>
            <w:r>
              <w:t>kapitałowe</w:t>
            </w:r>
            <w:proofErr w:type="spellEnd"/>
            <w:r>
              <w:t>, quasi-</w:t>
            </w:r>
            <w:proofErr w:type="spellStart"/>
            <w:r>
              <w:t>kapitałowe</w:t>
            </w:r>
            <w:proofErr w:type="spellEnd"/>
            <w:r>
              <w:t xml:space="preserve"> </w:t>
            </w:r>
            <w:proofErr w:type="spellStart"/>
            <w:r>
              <w:t>lub</w:t>
            </w:r>
            <w:proofErr w:type="spellEnd"/>
            <w:r>
              <w:t xml:space="preserve"> </w:t>
            </w:r>
            <w:proofErr w:type="spellStart"/>
            <w:r>
              <w:t>inne</w:t>
            </w:r>
            <w:proofErr w:type="spellEnd"/>
            <w:r>
              <w:t xml:space="preserve"> </w:t>
            </w:r>
            <w:proofErr w:type="spellStart"/>
            <w:r>
              <w:t>produkty</w:t>
            </w:r>
            <w:proofErr w:type="spellEnd"/>
            <w:r>
              <w:t xml:space="preserve"> </w:t>
            </w:r>
            <w:proofErr w:type="spellStart"/>
            <w:r>
              <w:t>finansowe</w:t>
            </w:r>
            <w:proofErr w:type="spellEnd"/>
            <w:r>
              <w:t xml:space="preserve"> z </w:t>
            </w:r>
            <w:proofErr w:type="spellStart"/>
            <w:r>
              <w:t>ostatecznymi</w:t>
            </w:r>
            <w:proofErr w:type="spellEnd"/>
            <w:r>
              <w:t xml:space="preserve"> </w:t>
            </w:r>
            <w:proofErr w:type="spellStart"/>
            <w:r>
              <w:t>odbiorcami</w:t>
            </w:r>
            <w:proofErr w:type="spellEnd"/>
            <w:r>
              <w:t xml:space="preserve"> (w EUR)</w:t>
            </w:r>
          </w:p>
        </w:tc>
        <w:tc>
          <w:tcPr>
            <w:tcW w:w="0" w:type="auto"/>
            <w:shd w:val="clear" w:color="auto" w:fill="auto"/>
          </w:tcPr>
          <w:p w14:paraId="6E81984E" w14:textId="77777777" w:rsidR="008C5CFA" w:rsidRDefault="00E82A60" w:rsidP="00300A01">
            <w:pPr>
              <w:spacing w:before="0" w:after="0"/>
              <w:jc w:val="right"/>
            </w:pPr>
            <w:r>
              <w:t>0,00</w:t>
            </w:r>
          </w:p>
        </w:tc>
      </w:tr>
      <w:tr w:rsidR="006B2EC1" w14:paraId="2D82B978" w14:textId="77777777" w:rsidTr="0047688D">
        <w:tc>
          <w:tcPr>
            <w:tcW w:w="0" w:type="auto"/>
            <w:shd w:val="clear" w:color="auto" w:fill="auto"/>
          </w:tcPr>
          <w:p w14:paraId="757CAFF3" w14:textId="77777777" w:rsidR="008C5CFA" w:rsidRDefault="00E82A60" w:rsidP="00300A01">
            <w:pPr>
              <w:spacing w:before="0" w:after="0"/>
            </w:pPr>
            <w:r>
              <w:t xml:space="preserve">24.1. w </w:t>
            </w:r>
            <w:proofErr w:type="spellStart"/>
            <w:r>
              <w:t>tym</w:t>
            </w:r>
            <w:proofErr w:type="spellEnd"/>
            <w:r>
              <w:t xml:space="preserve"> </w:t>
            </w:r>
            <w:proofErr w:type="spellStart"/>
            <w:r>
              <w:t>łączna</w:t>
            </w:r>
            <w:proofErr w:type="spellEnd"/>
            <w:r>
              <w:t xml:space="preserve"> </w:t>
            </w:r>
            <w:proofErr w:type="spellStart"/>
            <w:r>
              <w:t>kwota</w:t>
            </w:r>
            <w:proofErr w:type="spellEnd"/>
            <w:r>
              <w:t xml:space="preserve"> </w:t>
            </w:r>
            <w:proofErr w:type="spellStart"/>
            <w:r>
              <w:t>wkładów</w:t>
            </w:r>
            <w:proofErr w:type="spellEnd"/>
            <w:r>
              <w:t xml:space="preserve"> z EFSI (w EUR)</w:t>
            </w:r>
          </w:p>
        </w:tc>
        <w:tc>
          <w:tcPr>
            <w:tcW w:w="0" w:type="auto"/>
            <w:shd w:val="clear" w:color="auto" w:fill="auto"/>
          </w:tcPr>
          <w:p w14:paraId="4B76F430" w14:textId="77777777" w:rsidR="008C5CFA" w:rsidRDefault="008C5CFA" w:rsidP="00300A01">
            <w:pPr>
              <w:spacing w:before="0" w:after="0"/>
              <w:jc w:val="right"/>
            </w:pPr>
          </w:p>
        </w:tc>
      </w:tr>
      <w:tr w:rsidR="006B2EC1" w14:paraId="5EB9BB90" w14:textId="77777777" w:rsidTr="0047688D">
        <w:tc>
          <w:tcPr>
            <w:tcW w:w="0" w:type="auto"/>
            <w:shd w:val="clear" w:color="auto" w:fill="auto"/>
          </w:tcPr>
          <w:p w14:paraId="0B11F6E1" w14:textId="77777777" w:rsidR="008C5CFA" w:rsidRDefault="00E82A60" w:rsidP="00300A01">
            <w:pPr>
              <w:spacing w:before="0" w:after="0"/>
            </w:pPr>
            <w:r>
              <w:t xml:space="preserve">25. </w:t>
            </w:r>
            <w:proofErr w:type="spellStart"/>
            <w:r>
              <w:t>Łączna</w:t>
            </w:r>
            <w:proofErr w:type="spellEnd"/>
            <w:r>
              <w:t xml:space="preserve"> </w:t>
            </w:r>
            <w:proofErr w:type="spellStart"/>
            <w:r>
              <w:t>kwota</w:t>
            </w:r>
            <w:proofErr w:type="spellEnd"/>
            <w:r>
              <w:t xml:space="preserve"> </w:t>
            </w:r>
            <w:proofErr w:type="spellStart"/>
            <w:r>
              <w:t>wkładów</w:t>
            </w:r>
            <w:proofErr w:type="spellEnd"/>
            <w:r>
              <w:t xml:space="preserve"> z </w:t>
            </w:r>
            <w:proofErr w:type="spellStart"/>
            <w:r>
              <w:t>programu</w:t>
            </w:r>
            <w:proofErr w:type="spellEnd"/>
            <w:r>
              <w:t xml:space="preserve"> </w:t>
            </w:r>
            <w:proofErr w:type="spellStart"/>
            <w:r>
              <w:t>wypłacona</w:t>
            </w:r>
            <w:proofErr w:type="spellEnd"/>
            <w:r>
              <w:t xml:space="preserve"> </w:t>
            </w:r>
            <w:proofErr w:type="spellStart"/>
            <w:r>
              <w:t>ostatecznym</w:t>
            </w:r>
            <w:proofErr w:type="spellEnd"/>
            <w:r>
              <w:t xml:space="preserve"> </w:t>
            </w:r>
            <w:proofErr w:type="spellStart"/>
            <w:r>
              <w:t>odbiorcom</w:t>
            </w:r>
            <w:proofErr w:type="spellEnd"/>
            <w:r>
              <w:t xml:space="preserve"> w </w:t>
            </w:r>
            <w:proofErr w:type="spellStart"/>
            <w:r>
              <w:t>formie</w:t>
            </w:r>
            <w:proofErr w:type="spellEnd"/>
            <w:r>
              <w:t xml:space="preserve"> </w:t>
            </w:r>
            <w:proofErr w:type="spellStart"/>
            <w:r>
              <w:t>tej</w:t>
            </w:r>
            <w:proofErr w:type="spellEnd"/>
            <w:r>
              <w:t xml:space="preserve"> </w:t>
            </w:r>
            <w:proofErr w:type="spellStart"/>
            <w:r>
              <w:t>pożyczki</w:t>
            </w:r>
            <w:proofErr w:type="spellEnd"/>
            <w:r>
              <w:t xml:space="preserve">, </w:t>
            </w:r>
            <w:proofErr w:type="spellStart"/>
            <w:r>
              <w:t>mikropożyczek</w:t>
            </w:r>
            <w:proofErr w:type="spellEnd"/>
            <w:r>
              <w:t xml:space="preserve">, </w:t>
            </w:r>
            <w:proofErr w:type="spellStart"/>
            <w:r>
              <w:t>kapitału</w:t>
            </w:r>
            <w:proofErr w:type="spellEnd"/>
            <w:r>
              <w:t xml:space="preserve"> </w:t>
            </w:r>
            <w:proofErr w:type="spellStart"/>
            <w:r>
              <w:t>lub</w:t>
            </w:r>
            <w:proofErr w:type="spellEnd"/>
            <w:r>
              <w:t xml:space="preserve"> </w:t>
            </w:r>
            <w:proofErr w:type="spellStart"/>
            <w:r>
              <w:t>innych</w:t>
            </w:r>
            <w:proofErr w:type="spellEnd"/>
            <w:r>
              <w:t xml:space="preserve"> </w:t>
            </w:r>
            <w:proofErr w:type="spellStart"/>
            <w:r>
              <w:t>produktów</w:t>
            </w:r>
            <w:proofErr w:type="spellEnd"/>
            <w:r>
              <w:t xml:space="preserve"> </w:t>
            </w:r>
            <w:proofErr w:type="spellStart"/>
            <w:r>
              <w:t>lub</w:t>
            </w:r>
            <w:proofErr w:type="spellEnd"/>
            <w:r>
              <w:t xml:space="preserve"> w </w:t>
            </w:r>
            <w:proofErr w:type="spellStart"/>
            <w:r>
              <w:t>przypadku</w:t>
            </w:r>
            <w:proofErr w:type="spellEnd"/>
            <w:r>
              <w:t xml:space="preserve"> </w:t>
            </w:r>
            <w:proofErr w:type="spellStart"/>
            <w:r>
              <w:t>gwarancji</w:t>
            </w:r>
            <w:proofErr w:type="spellEnd"/>
            <w:r>
              <w:t xml:space="preserve"> </w:t>
            </w:r>
            <w:proofErr w:type="spellStart"/>
            <w:r>
              <w:t>przeznaczona</w:t>
            </w:r>
            <w:proofErr w:type="spellEnd"/>
            <w:r>
              <w:t xml:space="preserve"> </w:t>
            </w:r>
            <w:proofErr w:type="spellStart"/>
            <w:r>
              <w:t>na</w:t>
            </w:r>
            <w:proofErr w:type="spellEnd"/>
            <w:r>
              <w:t xml:space="preserve"> </w:t>
            </w:r>
            <w:proofErr w:type="spellStart"/>
            <w:r>
              <w:t>pożyczki</w:t>
            </w:r>
            <w:proofErr w:type="spellEnd"/>
            <w:r>
              <w:t xml:space="preserve"> </w:t>
            </w:r>
            <w:proofErr w:type="spellStart"/>
            <w:r>
              <w:t>wypłacone</w:t>
            </w:r>
            <w:proofErr w:type="spellEnd"/>
            <w:r>
              <w:t xml:space="preserve"> </w:t>
            </w:r>
            <w:proofErr w:type="spellStart"/>
            <w:r>
              <w:t>ostatecznym</w:t>
            </w:r>
            <w:proofErr w:type="spellEnd"/>
            <w:r>
              <w:t xml:space="preserve"> </w:t>
            </w:r>
            <w:proofErr w:type="spellStart"/>
            <w:r>
              <w:t>odbiorcom</w:t>
            </w:r>
            <w:proofErr w:type="spellEnd"/>
            <w:r>
              <w:t xml:space="preserve">, </w:t>
            </w:r>
            <w:proofErr w:type="spellStart"/>
            <w:r>
              <w:t>według</w:t>
            </w:r>
            <w:proofErr w:type="spellEnd"/>
            <w:r>
              <w:t xml:space="preserve"> </w:t>
            </w:r>
            <w:proofErr w:type="spellStart"/>
            <w:r>
              <w:t>produktów</w:t>
            </w:r>
            <w:proofErr w:type="spellEnd"/>
            <w:r>
              <w:t xml:space="preserve"> (w EUR)</w:t>
            </w:r>
          </w:p>
        </w:tc>
        <w:tc>
          <w:tcPr>
            <w:tcW w:w="0" w:type="auto"/>
            <w:shd w:val="clear" w:color="auto" w:fill="auto"/>
          </w:tcPr>
          <w:p w14:paraId="4B38D7C0" w14:textId="77777777" w:rsidR="008C5CFA" w:rsidRDefault="00E82A60" w:rsidP="00300A01">
            <w:pPr>
              <w:spacing w:before="0" w:after="0"/>
              <w:jc w:val="right"/>
            </w:pPr>
            <w:r>
              <w:t>0,00</w:t>
            </w:r>
          </w:p>
        </w:tc>
      </w:tr>
      <w:tr w:rsidR="006B2EC1" w14:paraId="52E8EB2F" w14:textId="77777777" w:rsidTr="0047688D">
        <w:tc>
          <w:tcPr>
            <w:tcW w:w="0" w:type="auto"/>
            <w:shd w:val="clear" w:color="auto" w:fill="auto"/>
          </w:tcPr>
          <w:p w14:paraId="165D62D9" w14:textId="77777777" w:rsidR="008C5CFA" w:rsidRDefault="00E82A60" w:rsidP="00300A01">
            <w:pPr>
              <w:spacing w:before="0" w:after="0"/>
            </w:pPr>
            <w:r>
              <w:t xml:space="preserve">25.1. w </w:t>
            </w:r>
            <w:proofErr w:type="spellStart"/>
            <w:r>
              <w:t>tym</w:t>
            </w:r>
            <w:proofErr w:type="spellEnd"/>
            <w:r>
              <w:t xml:space="preserve"> </w:t>
            </w:r>
            <w:proofErr w:type="spellStart"/>
            <w:r>
              <w:t>łączna</w:t>
            </w:r>
            <w:proofErr w:type="spellEnd"/>
            <w:r>
              <w:t xml:space="preserve"> </w:t>
            </w:r>
            <w:proofErr w:type="spellStart"/>
            <w:r>
              <w:t>kwota</w:t>
            </w:r>
            <w:proofErr w:type="spellEnd"/>
            <w:r>
              <w:t xml:space="preserve"> </w:t>
            </w:r>
            <w:proofErr w:type="spellStart"/>
            <w:r>
              <w:t>wkładów</w:t>
            </w:r>
            <w:proofErr w:type="spellEnd"/>
            <w:r>
              <w:t xml:space="preserve"> z EFSI (w EUR)</w:t>
            </w:r>
          </w:p>
        </w:tc>
        <w:tc>
          <w:tcPr>
            <w:tcW w:w="0" w:type="auto"/>
            <w:shd w:val="clear" w:color="auto" w:fill="auto"/>
          </w:tcPr>
          <w:p w14:paraId="17A5E904" w14:textId="77777777" w:rsidR="008C5CFA" w:rsidRDefault="00E82A60" w:rsidP="00300A01">
            <w:pPr>
              <w:spacing w:before="0" w:after="0"/>
              <w:jc w:val="right"/>
            </w:pPr>
            <w:r>
              <w:t>0,00</w:t>
            </w:r>
          </w:p>
        </w:tc>
      </w:tr>
      <w:tr w:rsidR="006B2EC1" w14:paraId="5811B300" w14:textId="77777777" w:rsidTr="0047688D">
        <w:tc>
          <w:tcPr>
            <w:tcW w:w="0" w:type="auto"/>
            <w:shd w:val="clear" w:color="auto" w:fill="auto"/>
          </w:tcPr>
          <w:p w14:paraId="4C9354C6" w14:textId="77777777" w:rsidR="008C5CFA" w:rsidRDefault="00E82A60" w:rsidP="00300A01">
            <w:pPr>
              <w:spacing w:before="0" w:after="0"/>
            </w:pPr>
            <w:r>
              <w:t xml:space="preserve">25.1.1. w </w:t>
            </w:r>
            <w:proofErr w:type="spellStart"/>
            <w:r>
              <w:t>tym</w:t>
            </w:r>
            <w:proofErr w:type="spellEnd"/>
            <w:r>
              <w:t xml:space="preserve"> EFRR (w EUR)</w:t>
            </w:r>
          </w:p>
        </w:tc>
        <w:tc>
          <w:tcPr>
            <w:tcW w:w="0" w:type="auto"/>
            <w:shd w:val="clear" w:color="auto" w:fill="auto"/>
          </w:tcPr>
          <w:p w14:paraId="4B27FC95" w14:textId="77777777" w:rsidR="008C5CFA" w:rsidRDefault="00E82A60" w:rsidP="00300A01">
            <w:pPr>
              <w:spacing w:before="0" w:after="0"/>
              <w:jc w:val="right"/>
            </w:pPr>
            <w:r>
              <w:t>0,00</w:t>
            </w:r>
          </w:p>
        </w:tc>
      </w:tr>
      <w:tr w:rsidR="006B2EC1" w14:paraId="1C7E7A97" w14:textId="77777777" w:rsidTr="0047688D">
        <w:tc>
          <w:tcPr>
            <w:tcW w:w="0" w:type="auto"/>
            <w:shd w:val="clear" w:color="auto" w:fill="auto"/>
          </w:tcPr>
          <w:p w14:paraId="3A0CDCCB" w14:textId="77777777" w:rsidR="008C5CFA" w:rsidRDefault="00E82A60" w:rsidP="00300A01">
            <w:pPr>
              <w:spacing w:before="0" w:after="0"/>
            </w:pPr>
            <w:r>
              <w:t xml:space="preserve">25.1.2. w </w:t>
            </w:r>
            <w:proofErr w:type="spellStart"/>
            <w:r>
              <w:t>tym</w:t>
            </w:r>
            <w:proofErr w:type="spellEnd"/>
            <w:r>
              <w:t xml:space="preserve"> </w:t>
            </w:r>
            <w:proofErr w:type="spellStart"/>
            <w:r>
              <w:t>Fundusz</w:t>
            </w:r>
            <w:proofErr w:type="spellEnd"/>
            <w:r>
              <w:t xml:space="preserve"> </w:t>
            </w:r>
            <w:proofErr w:type="spellStart"/>
            <w:r>
              <w:t>Spójności</w:t>
            </w:r>
            <w:proofErr w:type="spellEnd"/>
            <w:r>
              <w:t xml:space="preserve"> (w EUR)</w:t>
            </w:r>
          </w:p>
        </w:tc>
        <w:tc>
          <w:tcPr>
            <w:tcW w:w="0" w:type="auto"/>
            <w:shd w:val="clear" w:color="auto" w:fill="auto"/>
          </w:tcPr>
          <w:p w14:paraId="1A7F30C3" w14:textId="77777777" w:rsidR="008C5CFA" w:rsidRDefault="008C5CFA" w:rsidP="00300A01">
            <w:pPr>
              <w:spacing w:before="0" w:after="0"/>
              <w:jc w:val="right"/>
            </w:pPr>
          </w:p>
        </w:tc>
      </w:tr>
      <w:tr w:rsidR="006B2EC1" w14:paraId="33F5E31A" w14:textId="77777777" w:rsidTr="0047688D">
        <w:tc>
          <w:tcPr>
            <w:tcW w:w="0" w:type="auto"/>
            <w:shd w:val="clear" w:color="auto" w:fill="auto"/>
          </w:tcPr>
          <w:p w14:paraId="3B31ACDA" w14:textId="77777777" w:rsidR="008C5CFA" w:rsidRDefault="00E82A60" w:rsidP="00300A01">
            <w:pPr>
              <w:spacing w:before="0" w:after="0"/>
            </w:pPr>
            <w:r>
              <w:t xml:space="preserve">25.1.3. w </w:t>
            </w:r>
            <w:proofErr w:type="spellStart"/>
            <w:r>
              <w:t>tym</w:t>
            </w:r>
            <w:proofErr w:type="spellEnd"/>
            <w:r>
              <w:t xml:space="preserve"> EFS (w EUR)</w:t>
            </w:r>
          </w:p>
        </w:tc>
        <w:tc>
          <w:tcPr>
            <w:tcW w:w="0" w:type="auto"/>
            <w:shd w:val="clear" w:color="auto" w:fill="auto"/>
          </w:tcPr>
          <w:p w14:paraId="7BC0F14C" w14:textId="77777777" w:rsidR="008C5CFA" w:rsidRDefault="008C5CFA" w:rsidP="00300A01">
            <w:pPr>
              <w:spacing w:before="0" w:after="0"/>
              <w:jc w:val="right"/>
            </w:pPr>
          </w:p>
        </w:tc>
      </w:tr>
      <w:tr w:rsidR="006B2EC1" w14:paraId="5E001AB4" w14:textId="77777777" w:rsidTr="0047688D">
        <w:tc>
          <w:tcPr>
            <w:tcW w:w="0" w:type="auto"/>
            <w:shd w:val="clear" w:color="auto" w:fill="auto"/>
          </w:tcPr>
          <w:p w14:paraId="7B1624E6" w14:textId="77777777" w:rsidR="008C5CFA" w:rsidRDefault="00E82A60" w:rsidP="00300A01">
            <w:pPr>
              <w:spacing w:before="0" w:after="0"/>
            </w:pPr>
            <w:r>
              <w:lastRenderedPageBreak/>
              <w:t xml:space="preserve">25.1.4. w </w:t>
            </w:r>
            <w:proofErr w:type="spellStart"/>
            <w:r>
              <w:t>tym</w:t>
            </w:r>
            <w:proofErr w:type="spellEnd"/>
            <w:r>
              <w:t xml:space="preserve"> EFRROW (w EUR)</w:t>
            </w:r>
          </w:p>
        </w:tc>
        <w:tc>
          <w:tcPr>
            <w:tcW w:w="0" w:type="auto"/>
            <w:shd w:val="clear" w:color="auto" w:fill="auto"/>
          </w:tcPr>
          <w:p w14:paraId="1B927E33" w14:textId="77777777" w:rsidR="008C5CFA" w:rsidRDefault="008C5CFA" w:rsidP="00300A01">
            <w:pPr>
              <w:spacing w:before="0" w:after="0"/>
              <w:jc w:val="right"/>
            </w:pPr>
          </w:p>
        </w:tc>
      </w:tr>
      <w:tr w:rsidR="006B2EC1" w14:paraId="7953D0B2" w14:textId="77777777" w:rsidTr="0047688D">
        <w:tc>
          <w:tcPr>
            <w:tcW w:w="0" w:type="auto"/>
            <w:shd w:val="clear" w:color="auto" w:fill="auto"/>
          </w:tcPr>
          <w:p w14:paraId="450D63BA" w14:textId="77777777" w:rsidR="008C5CFA" w:rsidRDefault="00E82A60" w:rsidP="00300A01">
            <w:pPr>
              <w:spacing w:before="0" w:after="0"/>
            </w:pPr>
            <w:r>
              <w:t xml:space="preserve">25.1.5. w </w:t>
            </w:r>
            <w:proofErr w:type="spellStart"/>
            <w:r>
              <w:t>tym</w:t>
            </w:r>
            <w:proofErr w:type="spellEnd"/>
            <w:r>
              <w:t xml:space="preserve"> EFMR (w EUR)</w:t>
            </w:r>
          </w:p>
        </w:tc>
        <w:tc>
          <w:tcPr>
            <w:tcW w:w="0" w:type="auto"/>
            <w:shd w:val="clear" w:color="auto" w:fill="auto"/>
          </w:tcPr>
          <w:p w14:paraId="2DB7A579" w14:textId="77777777" w:rsidR="008C5CFA" w:rsidRDefault="008C5CFA" w:rsidP="00300A01">
            <w:pPr>
              <w:spacing w:before="0" w:after="0"/>
              <w:jc w:val="right"/>
            </w:pPr>
          </w:p>
        </w:tc>
      </w:tr>
      <w:tr w:rsidR="006B2EC1" w14:paraId="2D2D9F6B" w14:textId="77777777" w:rsidTr="0047688D">
        <w:tc>
          <w:tcPr>
            <w:tcW w:w="0" w:type="auto"/>
            <w:shd w:val="clear" w:color="auto" w:fill="auto"/>
          </w:tcPr>
          <w:p w14:paraId="1F7A3048" w14:textId="77777777" w:rsidR="008C5CFA" w:rsidRDefault="00E82A60" w:rsidP="00300A01">
            <w:pPr>
              <w:spacing w:before="0" w:after="0"/>
            </w:pPr>
            <w:r>
              <w:t xml:space="preserve">25.2. w </w:t>
            </w:r>
            <w:proofErr w:type="spellStart"/>
            <w:r>
              <w:t>tym</w:t>
            </w:r>
            <w:proofErr w:type="spellEnd"/>
            <w:r>
              <w:t xml:space="preserve"> </w:t>
            </w:r>
            <w:proofErr w:type="spellStart"/>
            <w:r>
              <w:t>łączna</w:t>
            </w:r>
            <w:proofErr w:type="spellEnd"/>
            <w:r>
              <w:t xml:space="preserve"> </w:t>
            </w:r>
            <w:proofErr w:type="spellStart"/>
            <w:r>
              <w:t>kwota</w:t>
            </w:r>
            <w:proofErr w:type="spellEnd"/>
            <w:r>
              <w:t xml:space="preserve"> </w:t>
            </w:r>
            <w:proofErr w:type="spellStart"/>
            <w:r>
              <w:t>krajowego</w:t>
            </w:r>
            <w:proofErr w:type="spellEnd"/>
            <w:r>
              <w:t xml:space="preserve"> </w:t>
            </w:r>
            <w:proofErr w:type="spellStart"/>
            <w:r>
              <w:t>współfinansowania</w:t>
            </w:r>
            <w:proofErr w:type="spellEnd"/>
            <w:r>
              <w:t xml:space="preserve"> </w:t>
            </w:r>
            <w:proofErr w:type="spellStart"/>
            <w:r>
              <w:t>publicznego</w:t>
            </w:r>
            <w:proofErr w:type="spellEnd"/>
            <w:r>
              <w:t xml:space="preserve"> (w EUR)</w:t>
            </w:r>
          </w:p>
        </w:tc>
        <w:tc>
          <w:tcPr>
            <w:tcW w:w="0" w:type="auto"/>
            <w:shd w:val="clear" w:color="auto" w:fill="auto"/>
          </w:tcPr>
          <w:p w14:paraId="2D9AF820" w14:textId="77777777" w:rsidR="008C5CFA" w:rsidRDefault="008C5CFA" w:rsidP="00300A01">
            <w:pPr>
              <w:spacing w:before="0" w:after="0"/>
              <w:jc w:val="right"/>
            </w:pPr>
          </w:p>
        </w:tc>
      </w:tr>
      <w:tr w:rsidR="006B2EC1" w14:paraId="06A2459E" w14:textId="77777777" w:rsidTr="0047688D">
        <w:tc>
          <w:tcPr>
            <w:tcW w:w="0" w:type="auto"/>
            <w:shd w:val="clear" w:color="auto" w:fill="auto"/>
          </w:tcPr>
          <w:p w14:paraId="4A49A3C3" w14:textId="77777777" w:rsidR="008C5CFA" w:rsidRDefault="00E82A60" w:rsidP="00300A01">
            <w:pPr>
              <w:spacing w:before="0" w:after="0"/>
            </w:pPr>
            <w:r>
              <w:t xml:space="preserve">25.3. w </w:t>
            </w:r>
            <w:proofErr w:type="spellStart"/>
            <w:r>
              <w:t>tym</w:t>
            </w:r>
            <w:proofErr w:type="spellEnd"/>
            <w:r>
              <w:t xml:space="preserve"> </w:t>
            </w:r>
            <w:proofErr w:type="spellStart"/>
            <w:r>
              <w:t>łączna</w:t>
            </w:r>
            <w:proofErr w:type="spellEnd"/>
            <w:r>
              <w:t xml:space="preserve"> </w:t>
            </w:r>
            <w:proofErr w:type="spellStart"/>
            <w:r>
              <w:t>kwota</w:t>
            </w:r>
            <w:proofErr w:type="spellEnd"/>
            <w:r>
              <w:t xml:space="preserve"> </w:t>
            </w:r>
            <w:proofErr w:type="spellStart"/>
            <w:r>
              <w:t>krajowego</w:t>
            </w:r>
            <w:proofErr w:type="spellEnd"/>
            <w:r>
              <w:t xml:space="preserve"> </w:t>
            </w:r>
            <w:proofErr w:type="spellStart"/>
            <w:r>
              <w:t>współfinansowania</w:t>
            </w:r>
            <w:proofErr w:type="spellEnd"/>
            <w:r>
              <w:t xml:space="preserve"> </w:t>
            </w:r>
            <w:proofErr w:type="spellStart"/>
            <w:r>
              <w:t>prywatnego</w:t>
            </w:r>
            <w:proofErr w:type="spellEnd"/>
            <w:r>
              <w:t xml:space="preserve"> (w EUR)</w:t>
            </w:r>
          </w:p>
        </w:tc>
        <w:tc>
          <w:tcPr>
            <w:tcW w:w="0" w:type="auto"/>
            <w:shd w:val="clear" w:color="auto" w:fill="auto"/>
          </w:tcPr>
          <w:p w14:paraId="061C4C28" w14:textId="77777777" w:rsidR="008C5CFA" w:rsidRDefault="008C5CFA" w:rsidP="00300A01">
            <w:pPr>
              <w:spacing w:before="0" w:after="0"/>
              <w:jc w:val="right"/>
            </w:pPr>
          </w:p>
        </w:tc>
      </w:tr>
      <w:tr w:rsidR="006B2EC1" w14:paraId="368D3AEE" w14:textId="77777777" w:rsidTr="0047688D">
        <w:tc>
          <w:tcPr>
            <w:tcW w:w="0" w:type="auto"/>
            <w:shd w:val="clear" w:color="auto" w:fill="auto"/>
          </w:tcPr>
          <w:p w14:paraId="1A5582E3" w14:textId="77777777" w:rsidR="008C5CFA" w:rsidRDefault="00E82A60" w:rsidP="00300A01">
            <w:pPr>
              <w:spacing w:before="0" w:after="0"/>
            </w:pPr>
            <w:r>
              <w:t xml:space="preserve">26. </w:t>
            </w:r>
            <w:proofErr w:type="spellStart"/>
            <w:r>
              <w:t>Łączna</w:t>
            </w:r>
            <w:proofErr w:type="spellEnd"/>
            <w:r>
              <w:t xml:space="preserve"> </w:t>
            </w:r>
            <w:proofErr w:type="spellStart"/>
            <w:r>
              <w:t>wartość</w:t>
            </w:r>
            <w:proofErr w:type="spellEnd"/>
            <w:r>
              <w:t xml:space="preserve"> </w:t>
            </w:r>
            <w:proofErr w:type="spellStart"/>
            <w:r>
              <w:t>pożyczek</w:t>
            </w:r>
            <w:proofErr w:type="spellEnd"/>
            <w:r>
              <w:t xml:space="preserve"> </w:t>
            </w:r>
            <w:proofErr w:type="spellStart"/>
            <w:r>
              <w:t>faktycznie</w:t>
            </w:r>
            <w:proofErr w:type="spellEnd"/>
            <w:r>
              <w:t xml:space="preserve"> </w:t>
            </w:r>
            <w:proofErr w:type="spellStart"/>
            <w:r>
              <w:t>wypłaconych</w:t>
            </w:r>
            <w:proofErr w:type="spellEnd"/>
            <w:r>
              <w:t xml:space="preserve"> </w:t>
            </w:r>
            <w:proofErr w:type="spellStart"/>
            <w:r>
              <w:t>ostatecznym</w:t>
            </w:r>
            <w:proofErr w:type="spellEnd"/>
            <w:r>
              <w:t xml:space="preserve"> </w:t>
            </w:r>
            <w:proofErr w:type="spellStart"/>
            <w:r>
              <w:t>odbiorcom</w:t>
            </w:r>
            <w:proofErr w:type="spellEnd"/>
            <w:r>
              <w:t xml:space="preserve"> w </w:t>
            </w:r>
            <w:proofErr w:type="spellStart"/>
            <w:r>
              <w:t>odniesieniu</w:t>
            </w:r>
            <w:proofErr w:type="spellEnd"/>
            <w:r>
              <w:t xml:space="preserve"> do </w:t>
            </w:r>
            <w:proofErr w:type="spellStart"/>
            <w:r>
              <w:t>podpisanych</w:t>
            </w:r>
            <w:proofErr w:type="spellEnd"/>
            <w:r>
              <w:t xml:space="preserve"> </w:t>
            </w:r>
            <w:proofErr w:type="spellStart"/>
            <w:r>
              <w:t>umów</w:t>
            </w:r>
            <w:proofErr w:type="spellEnd"/>
            <w:r>
              <w:t xml:space="preserve"> </w:t>
            </w:r>
            <w:proofErr w:type="spellStart"/>
            <w:r>
              <w:t>gwarancyjnych</w:t>
            </w:r>
            <w:proofErr w:type="spellEnd"/>
            <w:r>
              <w:t xml:space="preserve"> (EUR)</w:t>
            </w:r>
          </w:p>
        </w:tc>
        <w:tc>
          <w:tcPr>
            <w:tcW w:w="0" w:type="auto"/>
            <w:shd w:val="clear" w:color="auto" w:fill="auto"/>
          </w:tcPr>
          <w:p w14:paraId="5D8AF2B0" w14:textId="77777777" w:rsidR="008C5CFA" w:rsidRDefault="00E82A60" w:rsidP="00300A01">
            <w:pPr>
              <w:spacing w:before="0" w:after="0"/>
              <w:jc w:val="right"/>
            </w:pPr>
            <w:r>
              <w:t>0,00</w:t>
            </w:r>
          </w:p>
        </w:tc>
      </w:tr>
      <w:tr w:rsidR="006B2EC1" w14:paraId="77043523" w14:textId="77777777" w:rsidTr="0047688D">
        <w:tc>
          <w:tcPr>
            <w:tcW w:w="0" w:type="auto"/>
            <w:shd w:val="clear" w:color="auto" w:fill="auto"/>
          </w:tcPr>
          <w:p w14:paraId="631A9300" w14:textId="77777777" w:rsidR="008C5CFA" w:rsidRDefault="00E82A60" w:rsidP="00300A01">
            <w:pPr>
              <w:spacing w:before="0" w:after="0"/>
            </w:pPr>
            <w:r>
              <w:t xml:space="preserve">26.1. </w:t>
            </w:r>
            <w:proofErr w:type="spellStart"/>
            <w:r>
              <w:t>Całkowita</w:t>
            </w:r>
            <w:proofErr w:type="spellEnd"/>
            <w:r>
              <w:t xml:space="preserve"> </w:t>
            </w:r>
            <w:proofErr w:type="spellStart"/>
            <w:r>
              <w:t>wartość</w:t>
            </w:r>
            <w:proofErr w:type="spellEnd"/>
            <w:r>
              <w:t xml:space="preserve"> </w:t>
            </w:r>
            <w:proofErr w:type="spellStart"/>
            <w:r>
              <w:t>nowego</w:t>
            </w:r>
            <w:proofErr w:type="spellEnd"/>
            <w:r>
              <w:t xml:space="preserve"> </w:t>
            </w:r>
            <w:proofErr w:type="spellStart"/>
            <w:r>
              <w:t>finansowania</w:t>
            </w:r>
            <w:proofErr w:type="spellEnd"/>
            <w:r>
              <w:t xml:space="preserve"> </w:t>
            </w:r>
            <w:proofErr w:type="spellStart"/>
            <w:r>
              <w:t>dłużnego</w:t>
            </w:r>
            <w:proofErr w:type="spellEnd"/>
            <w:r>
              <w:t xml:space="preserve"> </w:t>
            </w:r>
            <w:proofErr w:type="spellStart"/>
            <w:r>
              <w:t>stworzonego</w:t>
            </w:r>
            <w:proofErr w:type="spellEnd"/>
            <w:r>
              <w:t xml:space="preserve"> </w:t>
            </w:r>
            <w:proofErr w:type="spellStart"/>
            <w:r>
              <w:t>przez</w:t>
            </w:r>
            <w:proofErr w:type="spellEnd"/>
            <w:r>
              <w:t xml:space="preserve"> </w:t>
            </w:r>
            <w:proofErr w:type="spellStart"/>
            <w:r>
              <w:t>inicjatywę</w:t>
            </w:r>
            <w:proofErr w:type="spellEnd"/>
            <w:r>
              <w:t xml:space="preserve"> </w:t>
            </w:r>
            <w:proofErr w:type="spellStart"/>
            <w:r>
              <w:t>na</w:t>
            </w:r>
            <w:proofErr w:type="spellEnd"/>
            <w:r>
              <w:t xml:space="preserve"> </w:t>
            </w:r>
            <w:proofErr w:type="spellStart"/>
            <w:r>
              <w:t>rzecz</w:t>
            </w:r>
            <w:proofErr w:type="spellEnd"/>
            <w:r>
              <w:t xml:space="preserve"> MŚP (art. 39 </w:t>
            </w:r>
            <w:proofErr w:type="spellStart"/>
            <w:r>
              <w:t>ust</w:t>
            </w:r>
            <w:proofErr w:type="spellEnd"/>
            <w:r>
              <w:t>. 10 lit. b) RWP)</w:t>
            </w:r>
          </w:p>
        </w:tc>
        <w:tc>
          <w:tcPr>
            <w:tcW w:w="0" w:type="auto"/>
            <w:shd w:val="clear" w:color="auto" w:fill="auto"/>
          </w:tcPr>
          <w:p w14:paraId="0D865F57" w14:textId="77777777" w:rsidR="008C5CFA" w:rsidRDefault="008C5CFA" w:rsidP="00300A01">
            <w:pPr>
              <w:spacing w:before="0" w:after="0"/>
              <w:jc w:val="right"/>
            </w:pPr>
          </w:p>
        </w:tc>
      </w:tr>
      <w:tr w:rsidR="006B2EC1" w14:paraId="671C267B" w14:textId="77777777" w:rsidTr="0047688D">
        <w:tc>
          <w:tcPr>
            <w:tcW w:w="0" w:type="auto"/>
            <w:shd w:val="clear" w:color="auto" w:fill="auto"/>
          </w:tcPr>
          <w:p w14:paraId="77778A2E" w14:textId="77777777" w:rsidR="008C5CFA" w:rsidRDefault="00E82A60" w:rsidP="00300A01">
            <w:pPr>
              <w:spacing w:before="0" w:after="0"/>
            </w:pPr>
            <w:r>
              <w:t xml:space="preserve">27. </w:t>
            </w:r>
            <w:proofErr w:type="spellStart"/>
            <w:r>
              <w:t>Liczba</w:t>
            </w:r>
            <w:proofErr w:type="spellEnd"/>
            <w:r>
              <w:t xml:space="preserve"> </w:t>
            </w:r>
            <w:proofErr w:type="spellStart"/>
            <w:r>
              <w:t>umów</w:t>
            </w:r>
            <w:proofErr w:type="spellEnd"/>
            <w:r>
              <w:t xml:space="preserve"> </w:t>
            </w:r>
            <w:proofErr w:type="spellStart"/>
            <w:r>
              <w:t>pożyczki</w:t>
            </w:r>
            <w:proofErr w:type="spellEnd"/>
            <w:r>
              <w:t>/</w:t>
            </w:r>
            <w:proofErr w:type="spellStart"/>
            <w:r>
              <w:t>umów</w:t>
            </w:r>
            <w:proofErr w:type="spellEnd"/>
            <w:r>
              <w:t xml:space="preserve"> </w:t>
            </w:r>
            <w:proofErr w:type="spellStart"/>
            <w:r>
              <w:t>gwarancyjnych</w:t>
            </w:r>
            <w:proofErr w:type="spellEnd"/>
            <w:r>
              <w:t>/</w:t>
            </w:r>
            <w:proofErr w:type="spellStart"/>
            <w:r>
              <w:t>umów</w:t>
            </w:r>
            <w:proofErr w:type="spellEnd"/>
            <w:r>
              <w:t xml:space="preserve"> o </w:t>
            </w:r>
            <w:proofErr w:type="spellStart"/>
            <w:r>
              <w:t>produkty</w:t>
            </w:r>
            <w:proofErr w:type="spellEnd"/>
            <w:r>
              <w:t xml:space="preserve"> </w:t>
            </w:r>
            <w:proofErr w:type="spellStart"/>
            <w:r>
              <w:t>kapitałowe</w:t>
            </w:r>
            <w:proofErr w:type="spellEnd"/>
            <w:r>
              <w:t xml:space="preserve"> </w:t>
            </w:r>
            <w:proofErr w:type="spellStart"/>
            <w:r>
              <w:t>lub</w:t>
            </w:r>
            <w:proofErr w:type="spellEnd"/>
            <w:r>
              <w:t xml:space="preserve"> quasi-</w:t>
            </w:r>
            <w:proofErr w:type="spellStart"/>
            <w:r>
              <w:t>kapitałowe</w:t>
            </w:r>
            <w:proofErr w:type="spellEnd"/>
            <w:r>
              <w:t>/</w:t>
            </w:r>
            <w:proofErr w:type="spellStart"/>
            <w:r>
              <w:t>umów</w:t>
            </w:r>
            <w:proofErr w:type="spellEnd"/>
            <w:r>
              <w:t xml:space="preserve"> o </w:t>
            </w:r>
            <w:proofErr w:type="spellStart"/>
            <w:r>
              <w:t>inne</w:t>
            </w:r>
            <w:proofErr w:type="spellEnd"/>
            <w:r>
              <w:t xml:space="preserve"> </w:t>
            </w:r>
            <w:proofErr w:type="spellStart"/>
            <w:r>
              <w:t>produkty</w:t>
            </w:r>
            <w:proofErr w:type="spellEnd"/>
            <w:r>
              <w:t xml:space="preserve"> </w:t>
            </w:r>
            <w:proofErr w:type="spellStart"/>
            <w:r>
              <w:t>finansowe</w:t>
            </w:r>
            <w:proofErr w:type="spellEnd"/>
            <w:r>
              <w:t xml:space="preserve"> </w:t>
            </w:r>
            <w:proofErr w:type="spellStart"/>
            <w:r>
              <w:t>podpisanych</w:t>
            </w:r>
            <w:proofErr w:type="spellEnd"/>
            <w:r>
              <w:t xml:space="preserve"> z </w:t>
            </w:r>
            <w:proofErr w:type="spellStart"/>
            <w:r>
              <w:t>ostatecznymi</w:t>
            </w:r>
            <w:proofErr w:type="spellEnd"/>
            <w:r>
              <w:t xml:space="preserve"> </w:t>
            </w:r>
            <w:proofErr w:type="spellStart"/>
            <w:r>
              <w:t>odbiorcami</w:t>
            </w:r>
            <w:proofErr w:type="spellEnd"/>
            <w:r>
              <w:t xml:space="preserve">, </w:t>
            </w:r>
            <w:proofErr w:type="spellStart"/>
            <w:r>
              <w:t>według</w:t>
            </w:r>
            <w:proofErr w:type="spellEnd"/>
            <w:r>
              <w:t xml:space="preserve"> </w:t>
            </w:r>
            <w:proofErr w:type="spellStart"/>
            <w:r>
              <w:t>produktów</w:t>
            </w:r>
            <w:proofErr w:type="spellEnd"/>
          </w:p>
        </w:tc>
        <w:tc>
          <w:tcPr>
            <w:tcW w:w="0" w:type="auto"/>
            <w:shd w:val="clear" w:color="auto" w:fill="auto"/>
          </w:tcPr>
          <w:p w14:paraId="3FFCFA53" w14:textId="77777777" w:rsidR="008C5CFA" w:rsidRDefault="00E82A60" w:rsidP="00300A01">
            <w:pPr>
              <w:spacing w:before="0" w:after="0"/>
              <w:jc w:val="right"/>
            </w:pPr>
            <w:r>
              <w:t>0</w:t>
            </w:r>
          </w:p>
        </w:tc>
      </w:tr>
      <w:tr w:rsidR="006B2EC1" w14:paraId="17AE13F3" w14:textId="77777777" w:rsidTr="0047688D">
        <w:tc>
          <w:tcPr>
            <w:tcW w:w="0" w:type="auto"/>
            <w:shd w:val="clear" w:color="auto" w:fill="auto"/>
          </w:tcPr>
          <w:p w14:paraId="3DFD1ED7" w14:textId="77777777" w:rsidR="008C5CFA" w:rsidRDefault="00E82A60" w:rsidP="00300A01">
            <w:pPr>
              <w:spacing w:before="0" w:after="0"/>
            </w:pPr>
            <w:r>
              <w:t xml:space="preserve">28. </w:t>
            </w:r>
            <w:proofErr w:type="spellStart"/>
            <w:r>
              <w:t>Liczba</w:t>
            </w:r>
            <w:proofErr w:type="spellEnd"/>
            <w:r>
              <w:t xml:space="preserve"> </w:t>
            </w:r>
            <w:proofErr w:type="spellStart"/>
            <w:r>
              <w:t>inwestycji</w:t>
            </w:r>
            <w:proofErr w:type="spellEnd"/>
            <w:r>
              <w:t xml:space="preserve"> w </w:t>
            </w:r>
            <w:proofErr w:type="spellStart"/>
            <w:r>
              <w:t>formie</w:t>
            </w:r>
            <w:proofErr w:type="spellEnd"/>
            <w:r>
              <w:t xml:space="preserve"> </w:t>
            </w:r>
            <w:proofErr w:type="spellStart"/>
            <w:r>
              <w:t>pożyczki</w:t>
            </w:r>
            <w:proofErr w:type="spellEnd"/>
            <w:r>
              <w:t>/</w:t>
            </w:r>
            <w:proofErr w:type="spellStart"/>
            <w:r>
              <w:t>gwarancji</w:t>
            </w:r>
            <w:proofErr w:type="spellEnd"/>
            <w:r>
              <w:t>/</w:t>
            </w:r>
            <w:proofErr w:type="spellStart"/>
            <w:r>
              <w:t>kapitału</w:t>
            </w:r>
            <w:proofErr w:type="spellEnd"/>
            <w:r>
              <w:t xml:space="preserve"> </w:t>
            </w:r>
            <w:proofErr w:type="spellStart"/>
            <w:r>
              <w:t>lub</w:t>
            </w:r>
            <w:proofErr w:type="spellEnd"/>
            <w:r>
              <w:t xml:space="preserve"> quasi-</w:t>
            </w:r>
            <w:proofErr w:type="spellStart"/>
            <w:r>
              <w:t>kapitału</w:t>
            </w:r>
            <w:proofErr w:type="spellEnd"/>
            <w:r>
              <w:t>/</w:t>
            </w:r>
            <w:proofErr w:type="spellStart"/>
            <w:r>
              <w:t>innych</w:t>
            </w:r>
            <w:proofErr w:type="spellEnd"/>
            <w:r>
              <w:t xml:space="preserve"> </w:t>
            </w:r>
            <w:proofErr w:type="spellStart"/>
            <w:r>
              <w:t>produktów</w:t>
            </w:r>
            <w:proofErr w:type="spellEnd"/>
            <w:r>
              <w:t xml:space="preserve"> </w:t>
            </w:r>
            <w:proofErr w:type="spellStart"/>
            <w:r>
              <w:t>finansowych</w:t>
            </w:r>
            <w:proofErr w:type="spellEnd"/>
            <w:r>
              <w:t xml:space="preserve"> </w:t>
            </w:r>
            <w:proofErr w:type="spellStart"/>
            <w:r>
              <w:t>dokonanych</w:t>
            </w:r>
            <w:proofErr w:type="spellEnd"/>
            <w:r>
              <w:t xml:space="preserve"> u </w:t>
            </w:r>
            <w:proofErr w:type="spellStart"/>
            <w:r>
              <w:t>ostatecznych</w:t>
            </w:r>
            <w:proofErr w:type="spellEnd"/>
            <w:r>
              <w:t xml:space="preserve"> </w:t>
            </w:r>
            <w:proofErr w:type="spellStart"/>
            <w:r>
              <w:t>odbiorców</w:t>
            </w:r>
            <w:proofErr w:type="spellEnd"/>
            <w:r>
              <w:t xml:space="preserve">, </w:t>
            </w:r>
            <w:proofErr w:type="spellStart"/>
            <w:r>
              <w:t>według</w:t>
            </w:r>
            <w:proofErr w:type="spellEnd"/>
            <w:r>
              <w:t xml:space="preserve"> </w:t>
            </w:r>
            <w:proofErr w:type="spellStart"/>
            <w:r>
              <w:t>produktów</w:t>
            </w:r>
            <w:proofErr w:type="spellEnd"/>
          </w:p>
        </w:tc>
        <w:tc>
          <w:tcPr>
            <w:tcW w:w="0" w:type="auto"/>
            <w:shd w:val="clear" w:color="auto" w:fill="auto"/>
          </w:tcPr>
          <w:p w14:paraId="3294F5FF" w14:textId="77777777" w:rsidR="008C5CFA" w:rsidRDefault="00E82A60" w:rsidP="00300A01">
            <w:pPr>
              <w:spacing w:before="0" w:after="0"/>
              <w:jc w:val="right"/>
            </w:pPr>
            <w:r>
              <w:t>0</w:t>
            </w:r>
          </w:p>
        </w:tc>
      </w:tr>
      <w:tr w:rsidR="006B2EC1" w14:paraId="569F39AC" w14:textId="77777777" w:rsidTr="0047688D">
        <w:tc>
          <w:tcPr>
            <w:tcW w:w="0" w:type="auto"/>
            <w:shd w:val="clear" w:color="auto" w:fill="auto"/>
          </w:tcPr>
          <w:p w14:paraId="0C4022BA" w14:textId="77777777" w:rsidR="008C5CFA" w:rsidRDefault="00E82A60" w:rsidP="00300A01">
            <w:pPr>
              <w:spacing w:before="0" w:after="0"/>
            </w:pPr>
            <w:r>
              <w:t xml:space="preserve">29. </w:t>
            </w:r>
            <w:proofErr w:type="spellStart"/>
            <w:r>
              <w:t>Liczba</w:t>
            </w:r>
            <w:proofErr w:type="spellEnd"/>
            <w:r>
              <w:t xml:space="preserve"> </w:t>
            </w:r>
            <w:proofErr w:type="spellStart"/>
            <w:r>
              <w:t>odbiorców</w:t>
            </w:r>
            <w:proofErr w:type="spellEnd"/>
            <w:r>
              <w:t xml:space="preserve"> </w:t>
            </w:r>
            <w:proofErr w:type="spellStart"/>
            <w:r>
              <w:t>finansowych</w:t>
            </w:r>
            <w:proofErr w:type="spellEnd"/>
            <w:r>
              <w:t xml:space="preserve"> </w:t>
            </w:r>
            <w:proofErr w:type="spellStart"/>
            <w:r>
              <w:t>wspieranych</w:t>
            </w:r>
            <w:proofErr w:type="spellEnd"/>
            <w:r>
              <w:t xml:space="preserve"> za </w:t>
            </w:r>
            <w:proofErr w:type="spellStart"/>
            <w:r>
              <w:t>pomocą</w:t>
            </w:r>
            <w:proofErr w:type="spellEnd"/>
            <w:r>
              <w:t xml:space="preserve"> </w:t>
            </w:r>
            <w:proofErr w:type="spellStart"/>
            <w:r>
              <w:t>produktu</w:t>
            </w:r>
            <w:proofErr w:type="spellEnd"/>
            <w:r>
              <w:t xml:space="preserve"> </w:t>
            </w:r>
            <w:proofErr w:type="spellStart"/>
            <w:r>
              <w:t>finansowego</w:t>
            </w:r>
            <w:proofErr w:type="spellEnd"/>
          </w:p>
        </w:tc>
        <w:tc>
          <w:tcPr>
            <w:tcW w:w="0" w:type="auto"/>
            <w:shd w:val="clear" w:color="auto" w:fill="auto"/>
          </w:tcPr>
          <w:p w14:paraId="1380FE0F" w14:textId="77777777" w:rsidR="008C5CFA" w:rsidRDefault="00E82A60" w:rsidP="00300A01">
            <w:pPr>
              <w:spacing w:before="0" w:after="0"/>
              <w:jc w:val="right"/>
            </w:pPr>
            <w:r>
              <w:t>0</w:t>
            </w:r>
          </w:p>
        </w:tc>
      </w:tr>
      <w:tr w:rsidR="006B2EC1" w14:paraId="1414A242" w14:textId="77777777" w:rsidTr="0047688D">
        <w:tc>
          <w:tcPr>
            <w:tcW w:w="0" w:type="auto"/>
            <w:shd w:val="clear" w:color="auto" w:fill="auto"/>
          </w:tcPr>
          <w:p w14:paraId="35746C7A" w14:textId="77777777" w:rsidR="008C5CFA" w:rsidRDefault="00E82A60" w:rsidP="00300A01">
            <w:pPr>
              <w:spacing w:before="0" w:after="0"/>
            </w:pPr>
            <w:r>
              <w:t xml:space="preserve">29.1. w </w:t>
            </w:r>
            <w:proofErr w:type="spellStart"/>
            <w:r>
              <w:t>tym</w:t>
            </w:r>
            <w:proofErr w:type="spellEnd"/>
            <w:r>
              <w:t xml:space="preserve"> </w:t>
            </w:r>
            <w:proofErr w:type="spellStart"/>
            <w:r>
              <w:t>duże</w:t>
            </w:r>
            <w:proofErr w:type="spellEnd"/>
            <w:r>
              <w:t xml:space="preserve"> </w:t>
            </w:r>
            <w:proofErr w:type="spellStart"/>
            <w:r>
              <w:t>przedsiębiorstwa</w:t>
            </w:r>
            <w:proofErr w:type="spellEnd"/>
          </w:p>
        </w:tc>
        <w:tc>
          <w:tcPr>
            <w:tcW w:w="0" w:type="auto"/>
            <w:shd w:val="clear" w:color="auto" w:fill="auto"/>
          </w:tcPr>
          <w:p w14:paraId="4E725ADD" w14:textId="77777777" w:rsidR="008C5CFA" w:rsidRDefault="008C5CFA" w:rsidP="00300A01">
            <w:pPr>
              <w:spacing w:before="0" w:after="0"/>
              <w:jc w:val="right"/>
            </w:pPr>
          </w:p>
        </w:tc>
      </w:tr>
      <w:tr w:rsidR="006B2EC1" w14:paraId="3D90A8EF" w14:textId="77777777" w:rsidTr="0047688D">
        <w:tc>
          <w:tcPr>
            <w:tcW w:w="0" w:type="auto"/>
            <w:shd w:val="clear" w:color="auto" w:fill="auto"/>
          </w:tcPr>
          <w:p w14:paraId="76A18CDF" w14:textId="77777777" w:rsidR="008C5CFA" w:rsidRDefault="00E82A60" w:rsidP="00300A01">
            <w:pPr>
              <w:spacing w:before="0" w:after="0"/>
            </w:pPr>
            <w:r>
              <w:t xml:space="preserve">29.2. w </w:t>
            </w:r>
            <w:proofErr w:type="spellStart"/>
            <w:r>
              <w:t>tym</w:t>
            </w:r>
            <w:proofErr w:type="spellEnd"/>
            <w:r>
              <w:t xml:space="preserve"> MŚP</w:t>
            </w:r>
          </w:p>
        </w:tc>
        <w:tc>
          <w:tcPr>
            <w:tcW w:w="0" w:type="auto"/>
            <w:shd w:val="clear" w:color="auto" w:fill="auto"/>
          </w:tcPr>
          <w:p w14:paraId="2EA6517B" w14:textId="77777777" w:rsidR="008C5CFA" w:rsidRDefault="00E82A60" w:rsidP="00300A01">
            <w:pPr>
              <w:spacing w:before="0" w:after="0"/>
              <w:jc w:val="right"/>
            </w:pPr>
            <w:r>
              <w:t>0</w:t>
            </w:r>
          </w:p>
        </w:tc>
      </w:tr>
      <w:tr w:rsidR="006B2EC1" w14:paraId="532ED53A" w14:textId="77777777" w:rsidTr="0047688D">
        <w:tc>
          <w:tcPr>
            <w:tcW w:w="0" w:type="auto"/>
            <w:shd w:val="clear" w:color="auto" w:fill="auto"/>
          </w:tcPr>
          <w:p w14:paraId="71ADBD13" w14:textId="77777777" w:rsidR="008C5CFA" w:rsidRDefault="00E82A60" w:rsidP="00300A01">
            <w:pPr>
              <w:spacing w:before="0" w:after="0"/>
            </w:pPr>
            <w:r>
              <w:t xml:space="preserve">29.2.1. w </w:t>
            </w:r>
            <w:proofErr w:type="spellStart"/>
            <w:r>
              <w:t>tym</w:t>
            </w:r>
            <w:proofErr w:type="spellEnd"/>
            <w:r>
              <w:t xml:space="preserve"> </w:t>
            </w:r>
            <w:proofErr w:type="spellStart"/>
            <w:r>
              <w:t>mikroprzedsiębiorstwa</w:t>
            </w:r>
            <w:proofErr w:type="spellEnd"/>
          </w:p>
        </w:tc>
        <w:tc>
          <w:tcPr>
            <w:tcW w:w="0" w:type="auto"/>
            <w:shd w:val="clear" w:color="auto" w:fill="auto"/>
          </w:tcPr>
          <w:p w14:paraId="313B8374" w14:textId="77777777" w:rsidR="008C5CFA" w:rsidRDefault="008C5CFA" w:rsidP="00300A01">
            <w:pPr>
              <w:spacing w:before="0" w:after="0"/>
              <w:jc w:val="right"/>
            </w:pPr>
          </w:p>
        </w:tc>
      </w:tr>
      <w:tr w:rsidR="006B2EC1" w14:paraId="16BDD897" w14:textId="77777777" w:rsidTr="0047688D">
        <w:tc>
          <w:tcPr>
            <w:tcW w:w="0" w:type="auto"/>
            <w:shd w:val="clear" w:color="auto" w:fill="auto"/>
          </w:tcPr>
          <w:p w14:paraId="46B6F4FA" w14:textId="77777777" w:rsidR="008C5CFA" w:rsidRDefault="00E82A60" w:rsidP="00300A01">
            <w:pPr>
              <w:spacing w:before="0" w:after="0"/>
            </w:pPr>
            <w:r>
              <w:t xml:space="preserve">29.3. w </w:t>
            </w:r>
            <w:proofErr w:type="spellStart"/>
            <w:r>
              <w:t>tym</w:t>
            </w:r>
            <w:proofErr w:type="spellEnd"/>
            <w:r>
              <w:t xml:space="preserve"> </w:t>
            </w:r>
            <w:proofErr w:type="spellStart"/>
            <w:r>
              <w:t>osoby</w:t>
            </w:r>
            <w:proofErr w:type="spellEnd"/>
            <w:r>
              <w:t xml:space="preserve"> </w:t>
            </w:r>
            <w:proofErr w:type="spellStart"/>
            <w:r>
              <w:t>fizyczne</w:t>
            </w:r>
            <w:proofErr w:type="spellEnd"/>
          </w:p>
        </w:tc>
        <w:tc>
          <w:tcPr>
            <w:tcW w:w="0" w:type="auto"/>
            <w:shd w:val="clear" w:color="auto" w:fill="auto"/>
          </w:tcPr>
          <w:p w14:paraId="73E0EBAA" w14:textId="77777777" w:rsidR="008C5CFA" w:rsidRDefault="008C5CFA" w:rsidP="00300A01">
            <w:pPr>
              <w:spacing w:before="0" w:after="0"/>
              <w:jc w:val="right"/>
            </w:pPr>
          </w:p>
        </w:tc>
      </w:tr>
      <w:tr w:rsidR="006B2EC1" w14:paraId="4033EB2C" w14:textId="77777777" w:rsidTr="0047688D">
        <w:tc>
          <w:tcPr>
            <w:tcW w:w="0" w:type="auto"/>
            <w:shd w:val="clear" w:color="auto" w:fill="auto"/>
          </w:tcPr>
          <w:p w14:paraId="0C2AC7D7" w14:textId="77777777" w:rsidR="008C5CFA" w:rsidRDefault="00E82A60" w:rsidP="00300A01">
            <w:pPr>
              <w:spacing w:before="0" w:after="0"/>
            </w:pPr>
            <w:r>
              <w:t xml:space="preserve">29.4. w </w:t>
            </w:r>
            <w:proofErr w:type="spellStart"/>
            <w:r>
              <w:t>tym</w:t>
            </w:r>
            <w:proofErr w:type="spellEnd"/>
            <w:r>
              <w:t xml:space="preserve"> </w:t>
            </w:r>
            <w:proofErr w:type="spellStart"/>
            <w:r>
              <w:t>inny</w:t>
            </w:r>
            <w:proofErr w:type="spellEnd"/>
            <w:r>
              <w:t xml:space="preserve"> </w:t>
            </w:r>
            <w:proofErr w:type="spellStart"/>
            <w:r>
              <w:t>rodzaj</w:t>
            </w:r>
            <w:proofErr w:type="spellEnd"/>
            <w:r>
              <w:t xml:space="preserve"> </w:t>
            </w:r>
            <w:proofErr w:type="spellStart"/>
            <w:r>
              <w:t>wspieranych</w:t>
            </w:r>
            <w:proofErr w:type="spellEnd"/>
            <w:r>
              <w:t xml:space="preserve"> </w:t>
            </w:r>
            <w:proofErr w:type="spellStart"/>
            <w:r>
              <w:t>ostatecznych</w:t>
            </w:r>
            <w:proofErr w:type="spellEnd"/>
            <w:r>
              <w:t xml:space="preserve"> </w:t>
            </w:r>
            <w:proofErr w:type="spellStart"/>
            <w:r>
              <w:t>odbiorców</w:t>
            </w:r>
            <w:proofErr w:type="spellEnd"/>
          </w:p>
        </w:tc>
        <w:tc>
          <w:tcPr>
            <w:tcW w:w="0" w:type="auto"/>
            <w:shd w:val="clear" w:color="auto" w:fill="auto"/>
          </w:tcPr>
          <w:p w14:paraId="6041324F" w14:textId="77777777" w:rsidR="008C5CFA" w:rsidRDefault="008C5CFA" w:rsidP="00300A01">
            <w:pPr>
              <w:spacing w:before="0" w:after="0"/>
              <w:jc w:val="right"/>
            </w:pPr>
          </w:p>
        </w:tc>
      </w:tr>
      <w:tr w:rsidR="006B2EC1" w14:paraId="0DD7DD50" w14:textId="77777777" w:rsidTr="0047688D">
        <w:tc>
          <w:tcPr>
            <w:tcW w:w="0" w:type="auto"/>
            <w:shd w:val="clear" w:color="auto" w:fill="auto"/>
          </w:tcPr>
          <w:p w14:paraId="22D1D519" w14:textId="77777777" w:rsidR="008C5CFA" w:rsidRDefault="00E82A60" w:rsidP="00300A01">
            <w:pPr>
              <w:spacing w:before="0" w:after="0"/>
            </w:pPr>
            <w:r>
              <w:t xml:space="preserve">29.4.1. </w:t>
            </w:r>
            <w:proofErr w:type="spellStart"/>
            <w:r>
              <w:t>opis</w:t>
            </w:r>
            <w:proofErr w:type="spellEnd"/>
            <w:r>
              <w:t xml:space="preserve"> </w:t>
            </w:r>
            <w:proofErr w:type="spellStart"/>
            <w:r>
              <w:t>innego</w:t>
            </w:r>
            <w:proofErr w:type="spellEnd"/>
            <w:r>
              <w:t xml:space="preserve"> </w:t>
            </w:r>
            <w:proofErr w:type="spellStart"/>
            <w:r>
              <w:t>rodzaju</w:t>
            </w:r>
            <w:proofErr w:type="spellEnd"/>
            <w:r>
              <w:t xml:space="preserve"> </w:t>
            </w:r>
            <w:proofErr w:type="spellStart"/>
            <w:r>
              <w:t>wspieranych</w:t>
            </w:r>
            <w:proofErr w:type="spellEnd"/>
            <w:r>
              <w:t xml:space="preserve"> </w:t>
            </w:r>
            <w:proofErr w:type="spellStart"/>
            <w:r>
              <w:t>ostatecznych</w:t>
            </w:r>
            <w:proofErr w:type="spellEnd"/>
            <w:r>
              <w:t xml:space="preserve"> </w:t>
            </w:r>
            <w:proofErr w:type="spellStart"/>
            <w:r>
              <w:t>odbiorców</w:t>
            </w:r>
            <w:proofErr w:type="spellEnd"/>
          </w:p>
        </w:tc>
        <w:tc>
          <w:tcPr>
            <w:tcW w:w="0" w:type="auto"/>
            <w:shd w:val="clear" w:color="auto" w:fill="auto"/>
          </w:tcPr>
          <w:p w14:paraId="66E8D8F3" w14:textId="77777777" w:rsidR="008C5CFA" w:rsidRDefault="008C5CFA" w:rsidP="00300A01">
            <w:pPr>
              <w:spacing w:before="0" w:after="0"/>
              <w:jc w:val="left"/>
            </w:pPr>
          </w:p>
        </w:tc>
      </w:tr>
      <w:tr w:rsidR="006B2EC1" w14:paraId="50242203" w14:textId="77777777" w:rsidTr="0047688D">
        <w:tc>
          <w:tcPr>
            <w:tcW w:w="0" w:type="auto"/>
            <w:shd w:val="clear" w:color="auto" w:fill="auto"/>
          </w:tcPr>
          <w:p w14:paraId="2D520348" w14:textId="77777777" w:rsidR="008C5CFA" w:rsidRDefault="00E82A60" w:rsidP="00300A01">
            <w:pPr>
              <w:spacing w:before="0" w:after="0"/>
            </w:pPr>
            <w:r>
              <w:t xml:space="preserve">33. </w:t>
            </w:r>
            <w:proofErr w:type="spellStart"/>
            <w:r>
              <w:t>Łączna</w:t>
            </w:r>
            <w:proofErr w:type="spellEnd"/>
            <w:r>
              <w:t xml:space="preserve"> </w:t>
            </w:r>
            <w:proofErr w:type="spellStart"/>
            <w:r>
              <w:t>liczba</w:t>
            </w:r>
            <w:proofErr w:type="spellEnd"/>
            <w:r>
              <w:t xml:space="preserve"> </w:t>
            </w:r>
            <w:proofErr w:type="spellStart"/>
            <w:r>
              <w:t>wypłaconych</w:t>
            </w:r>
            <w:proofErr w:type="spellEnd"/>
            <w:r>
              <w:t xml:space="preserve"> </w:t>
            </w:r>
            <w:proofErr w:type="spellStart"/>
            <w:r>
              <w:t>pożyczek</w:t>
            </w:r>
            <w:proofErr w:type="spellEnd"/>
            <w:r>
              <w:t xml:space="preserve">, </w:t>
            </w:r>
            <w:proofErr w:type="spellStart"/>
            <w:r>
              <w:t>których</w:t>
            </w:r>
            <w:proofErr w:type="spellEnd"/>
            <w:r>
              <w:t xml:space="preserve"> </w:t>
            </w:r>
            <w:proofErr w:type="spellStart"/>
            <w:r>
              <w:t>spłata</w:t>
            </w:r>
            <w:proofErr w:type="spellEnd"/>
            <w:r>
              <w:t xml:space="preserve"> </w:t>
            </w:r>
            <w:proofErr w:type="spellStart"/>
            <w:r>
              <w:t>się</w:t>
            </w:r>
            <w:proofErr w:type="spellEnd"/>
            <w:r>
              <w:t xml:space="preserve"> </w:t>
            </w:r>
            <w:proofErr w:type="spellStart"/>
            <w:r>
              <w:t>opóźnia</w:t>
            </w:r>
            <w:proofErr w:type="spellEnd"/>
            <w:r>
              <w:t xml:space="preserve">, </w:t>
            </w:r>
            <w:proofErr w:type="spellStart"/>
            <w:r>
              <w:t>lub</w:t>
            </w:r>
            <w:proofErr w:type="spellEnd"/>
            <w:r>
              <w:t xml:space="preserve"> </w:t>
            </w:r>
            <w:proofErr w:type="spellStart"/>
            <w:r>
              <w:t>łączna</w:t>
            </w:r>
            <w:proofErr w:type="spellEnd"/>
            <w:r>
              <w:t xml:space="preserve"> </w:t>
            </w:r>
            <w:proofErr w:type="spellStart"/>
            <w:r>
              <w:t>liczba</w:t>
            </w:r>
            <w:proofErr w:type="spellEnd"/>
            <w:r>
              <w:t xml:space="preserve"> </w:t>
            </w:r>
            <w:proofErr w:type="spellStart"/>
            <w:r>
              <w:t>gwarancji</w:t>
            </w:r>
            <w:proofErr w:type="spellEnd"/>
            <w:r>
              <w:t xml:space="preserve"> </w:t>
            </w:r>
            <w:proofErr w:type="spellStart"/>
            <w:r>
              <w:t>udzielonych</w:t>
            </w:r>
            <w:proofErr w:type="spellEnd"/>
            <w:r>
              <w:t xml:space="preserve"> i </w:t>
            </w:r>
            <w:proofErr w:type="spellStart"/>
            <w:r>
              <w:t>wykorzystanych</w:t>
            </w:r>
            <w:proofErr w:type="spellEnd"/>
            <w:r>
              <w:t xml:space="preserve"> w </w:t>
            </w:r>
            <w:proofErr w:type="spellStart"/>
            <w:r>
              <w:t>związku</w:t>
            </w:r>
            <w:proofErr w:type="spellEnd"/>
            <w:r>
              <w:t xml:space="preserve"> </w:t>
            </w:r>
            <w:proofErr w:type="spellStart"/>
            <w:r>
              <w:t>ze</w:t>
            </w:r>
            <w:proofErr w:type="spellEnd"/>
            <w:r>
              <w:t xml:space="preserve"> </w:t>
            </w:r>
            <w:proofErr w:type="spellStart"/>
            <w:r>
              <w:t>zwłoką</w:t>
            </w:r>
            <w:proofErr w:type="spellEnd"/>
            <w:r>
              <w:t xml:space="preserve"> w </w:t>
            </w:r>
            <w:proofErr w:type="spellStart"/>
            <w:r>
              <w:t>spłacie</w:t>
            </w:r>
            <w:proofErr w:type="spellEnd"/>
            <w:r>
              <w:t xml:space="preserve"> </w:t>
            </w:r>
            <w:proofErr w:type="spellStart"/>
            <w:r>
              <w:t>pożyczki</w:t>
            </w:r>
            <w:proofErr w:type="spellEnd"/>
          </w:p>
        </w:tc>
        <w:tc>
          <w:tcPr>
            <w:tcW w:w="0" w:type="auto"/>
            <w:shd w:val="clear" w:color="auto" w:fill="auto"/>
          </w:tcPr>
          <w:p w14:paraId="3E54A3FE" w14:textId="77777777" w:rsidR="008C5CFA" w:rsidRDefault="00E82A60" w:rsidP="00300A01">
            <w:pPr>
              <w:spacing w:before="0" w:after="0"/>
              <w:jc w:val="right"/>
            </w:pPr>
            <w:r>
              <w:t>0</w:t>
            </w:r>
          </w:p>
        </w:tc>
      </w:tr>
      <w:tr w:rsidR="006B2EC1" w14:paraId="6F3B4B99" w14:textId="77777777" w:rsidTr="0047688D">
        <w:tc>
          <w:tcPr>
            <w:tcW w:w="0" w:type="auto"/>
            <w:shd w:val="clear" w:color="auto" w:fill="auto"/>
          </w:tcPr>
          <w:p w14:paraId="1539A5A8" w14:textId="77777777" w:rsidR="008C5CFA" w:rsidRDefault="00E82A60" w:rsidP="00300A01">
            <w:pPr>
              <w:spacing w:before="0" w:after="0"/>
            </w:pPr>
            <w:r>
              <w:t xml:space="preserve">34. </w:t>
            </w:r>
            <w:proofErr w:type="spellStart"/>
            <w:r>
              <w:t>Łączna</w:t>
            </w:r>
            <w:proofErr w:type="spellEnd"/>
            <w:r>
              <w:t xml:space="preserve"> </w:t>
            </w:r>
            <w:proofErr w:type="spellStart"/>
            <w:r>
              <w:t>kwota</w:t>
            </w:r>
            <w:proofErr w:type="spellEnd"/>
            <w:r>
              <w:t xml:space="preserve"> </w:t>
            </w:r>
            <w:proofErr w:type="spellStart"/>
            <w:r>
              <w:t>wypłaconych</w:t>
            </w:r>
            <w:proofErr w:type="spellEnd"/>
            <w:r>
              <w:t xml:space="preserve"> </w:t>
            </w:r>
            <w:proofErr w:type="spellStart"/>
            <w:r>
              <w:t>pożyczek</w:t>
            </w:r>
            <w:proofErr w:type="spellEnd"/>
            <w:r>
              <w:t xml:space="preserve">, </w:t>
            </w:r>
            <w:proofErr w:type="spellStart"/>
            <w:r>
              <w:t>których</w:t>
            </w:r>
            <w:proofErr w:type="spellEnd"/>
            <w:r>
              <w:t xml:space="preserve"> </w:t>
            </w:r>
            <w:proofErr w:type="spellStart"/>
            <w:r>
              <w:t>spłata</w:t>
            </w:r>
            <w:proofErr w:type="spellEnd"/>
            <w:r>
              <w:t xml:space="preserve"> </w:t>
            </w:r>
            <w:proofErr w:type="spellStart"/>
            <w:r>
              <w:t>się</w:t>
            </w:r>
            <w:proofErr w:type="spellEnd"/>
            <w:r>
              <w:t xml:space="preserve"> </w:t>
            </w:r>
            <w:proofErr w:type="spellStart"/>
            <w:r>
              <w:t>opóźnia</w:t>
            </w:r>
            <w:proofErr w:type="spellEnd"/>
            <w:r>
              <w:t xml:space="preserve"> (w EUR), </w:t>
            </w:r>
            <w:proofErr w:type="spellStart"/>
            <w:r>
              <w:t>lub</w:t>
            </w:r>
            <w:proofErr w:type="spellEnd"/>
            <w:r>
              <w:t xml:space="preserve"> </w:t>
            </w:r>
            <w:proofErr w:type="spellStart"/>
            <w:r>
              <w:t>łączna</w:t>
            </w:r>
            <w:proofErr w:type="spellEnd"/>
            <w:r>
              <w:t xml:space="preserve"> </w:t>
            </w:r>
            <w:proofErr w:type="spellStart"/>
            <w:r>
              <w:t>kwota</w:t>
            </w:r>
            <w:proofErr w:type="spellEnd"/>
            <w:r>
              <w:t xml:space="preserve"> </w:t>
            </w:r>
            <w:proofErr w:type="spellStart"/>
            <w:r>
              <w:t>przeznaczona</w:t>
            </w:r>
            <w:proofErr w:type="spellEnd"/>
            <w:r>
              <w:t xml:space="preserve"> </w:t>
            </w:r>
            <w:proofErr w:type="spellStart"/>
            <w:r>
              <w:t>na</w:t>
            </w:r>
            <w:proofErr w:type="spellEnd"/>
            <w:r>
              <w:t xml:space="preserve"> </w:t>
            </w:r>
            <w:proofErr w:type="spellStart"/>
            <w:r>
              <w:t>gwarancje</w:t>
            </w:r>
            <w:proofErr w:type="spellEnd"/>
            <w:r>
              <w:t xml:space="preserve"> </w:t>
            </w:r>
            <w:proofErr w:type="spellStart"/>
            <w:r>
              <w:t>udzielone</w:t>
            </w:r>
            <w:proofErr w:type="spellEnd"/>
            <w:r>
              <w:t xml:space="preserve"> i </w:t>
            </w:r>
            <w:proofErr w:type="spellStart"/>
            <w:r>
              <w:t>wykorzystane</w:t>
            </w:r>
            <w:proofErr w:type="spellEnd"/>
            <w:r>
              <w:t xml:space="preserve"> w </w:t>
            </w:r>
            <w:proofErr w:type="spellStart"/>
            <w:r>
              <w:t>związku</w:t>
            </w:r>
            <w:proofErr w:type="spellEnd"/>
            <w:r>
              <w:t xml:space="preserve"> </w:t>
            </w:r>
            <w:proofErr w:type="spellStart"/>
            <w:r>
              <w:t>ze</w:t>
            </w:r>
            <w:proofErr w:type="spellEnd"/>
            <w:r>
              <w:t xml:space="preserve"> </w:t>
            </w:r>
            <w:proofErr w:type="spellStart"/>
            <w:r>
              <w:t>zwłoką</w:t>
            </w:r>
            <w:proofErr w:type="spellEnd"/>
            <w:r>
              <w:t xml:space="preserve"> w </w:t>
            </w:r>
            <w:proofErr w:type="spellStart"/>
            <w:r>
              <w:t>spłacie</w:t>
            </w:r>
            <w:proofErr w:type="spellEnd"/>
            <w:r>
              <w:t xml:space="preserve"> </w:t>
            </w:r>
            <w:proofErr w:type="spellStart"/>
            <w:r>
              <w:t>pożyczki</w:t>
            </w:r>
            <w:proofErr w:type="spellEnd"/>
            <w:r>
              <w:t xml:space="preserve"> (w EUR)</w:t>
            </w:r>
          </w:p>
        </w:tc>
        <w:tc>
          <w:tcPr>
            <w:tcW w:w="0" w:type="auto"/>
            <w:shd w:val="clear" w:color="auto" w:fill="auto"/>
          </w:tcPr>
          <w:p w14:paraId="5F94EC54" w14:textId="77777777" w:rsidR="008C5CFA" w:rsidRDefault="00E82A60" w:rsidP="00300A01">
            <w:pPr>
              <w:spacing w:before="0" w:after="0"/>
              <w:jc w:val="right"/>
            </w:pPr>
            <w:r>
              <w:t>0,00</w:t>
            </w:r>
          </w:p>
        </w:tc>
      </w:tr>
      <w:tr w:rsidR="006B2EC1" w14:paraId="5AA10BCE" w14:textId="77777777" w:rsidTr="0047688D">
        <w:tc>
          <w:tcPr>
            <w:tcW w:w="0" w:type="auto"/>
            <w:gridSpan w:val="2"/>
            <w:shd w:val="clear" w:color="auto" w:fill="auto"/>
          </w:tcPr>
          <w:p w14:paraId="50D01ACD" w14:textId="77777777" w:rsidR="008C5CFA" w:rsidRDefault="00E82A60" w:rsidP="00300A01">
            <w:pPr>
              <w:spacing w:before="0" w:after="0"/>
            </w:pPr>
            <w:r>
              <w:rPr>
                <w:b/>
              </w:rPr>
              <w:t xml:space="preserve">39. </w:t>
            </w:r>
            <w:proofErr w:type="spellStart"/>
            <w:r>
              <w:rPr>
                <w:b/>
              </w:rPr>
              <w:t>Spodziewany</w:t>
            </w:r>
            <w:proofErr w:type="spellEnd"/>
            <w:r>
              <w:rPr>
                <w:b/>
              </w:rPr>
              <w:t xml:space="preserve"> i </w:t>
            </w:r>
            <w:proofErr w:type="spellStart"/>
            <w:r>
              <w:rPr>
                <w:b/>
              </w:rPr>
              <w:t>osiągnięty</w:t>
            </w:r>
            <w:proofErr w:type="spellEnd"/>
            <w:r>
              <w:rPr>
                <w:b/>
              </w:rPr>
              <w:t xml:space="preserve"> </w:t>
            </w:r>
            <w:proofErr w:type="spellStart"/>
            <w:r>
              <w:rPr>
                <w:b/>
              </w:rPr>
              <w:t>efekt</w:t>
            </w:r>
            <w:proofErr w:type="spellEnd"/>
            <w:r>
              <w:rPr>
                <w:b/>
              </w:rPr>
              <w:t xml:space="preserve"> </w:t>
            </w:r>
            <w:proofErr w:type="spellStart"/>
            <w:r>
              <w:rPr>
                <w:b/>
              </w:rPr>
              <w:t>dźwigni</w:t>
            </w:r>
            <w:proofErr w:type="spellEnd"/>
            <w:r>
              <w:rPr>
                <w:b/>
              </w:rPr>
              <w:t xml:space="preserve"> w </w:t>
            </w:r>
            <w:proofErr w:type="spellStart"/>
            <w:r>
              <w:rPr>
                <w:b/>
              </w:rPr>
              <w:t>odniesieniu</w:t>
            </w:r>
            <w:proofErr w:type="spellEnd"/>
            <w:r>
              <w:rPr>
                <w:b/>
              </w:rPr>
              <w:t xml:space="preserve"> do </w:t>
            </w:r>
            <w:proofErr w:type="spellStart"/>
            <w:r>
              <w:rPr>
                <w:b/>
              </w:rPr>
              <w:t>umowy</w:t>
            </w:r>
            <w:proofErr w:type="spellEnd"/>
            <w:r>
              <w:rPr>
                <w:b/>
              </w:rPr>
              <w:t xml:space="preserve"> o </w:t>
            </w:r>
            <w:proofErr w:type="spellStart"/>
            <w:r>
              <w:rPr>
                <w:b/>
              </w:rPr>
              <w:t>finansowaniu</w:t>
            </w:r>
            <w:proofErr w:type="spellEnd"/>
          </w:p>
        </w:tc>
      </w:tr>
      <w:tr w:rsidR="006B2EC1" w14:paraId="7E702583" w14:textId="77777777" w:rsidTr="0047688D">
        <w:tc>
          <w:tcPr>
            <w:tcW w:w="0" w:type="auto"/>
            <w:shd w:val="clear" w:color="auto" w:fill="auto"/>
          </w:tcPr>
          <w:p w14:paraId="6F4EB5CD" w14:textId="77777777" w:rsidR="008C5CFA" w:rsidRDefault="00E82A60" w:rsidP="00300A01">
            <w:pPr>
              <w:spacing w:before="0" w:after="0"/>
            </w:pPr>
            <w:r>
              <w:t xml:space="preserve">39.1. </w:t>
            </w:r>
            <w:proofErr w:type="spellStart"/>
            <w:r>
              <w:t>Spodziewany</w:t>
            </w:r>
            <w:proofErr w:type="spellEnd"/>
            <w:r>
              <w:t xml:space="preserve"> </w:t>
            </w:r>
            <w:proofErr w:type="spellStart"/>
            <w:r>
              <w:t>efekt</w:t>
            </w:r>
            <w:proofErr w:type="spellEnd"/>
            <w:r>
              <w:t xml:space="preserve"> </w:t>
            </w:r>
            <w:proofErr w:type="spellStart"/>
            <w:r>
              <w:t>dźwigni</w:t>
            </w:r>
            <w:proofErr w:type="spellEnd"/>
            <w:r>
              <w:t xml:space="preserve"> w </w:t>
            </w:r>
            <w:proofErr w:type="spellStart"/>
            <w:r>
              <w:t>przypadku</w:t>
            </w:r>
            <w:proofErr w:type="spellEnd"/>
            <w:r>
              <w:t xml:space="preserve"> </w:t>
            </w:r>
            <w:proofErr w:type="spellStart"/>
            <w:r>
              <w:t>pożyczki</w:t>
            </w:r>
            <w:proofErr w:type="spellEnd"/>
            <w:r>
              <w:t>/</w:t>
            </w:r>
            <w:proofErr w:type="spellStart"/>
            <w:r>
              <w:t>gwarancji</w:t>
            </w:r>
            <w:proofErr w:type="spellEnd"/>
            <w:r>
              <w:t>/</w:t>
            </w:r>
            <w:proofErr w:type="spellStart"/>
            <w:r>
              <w:t>inwestycji</w:t>
            </w:r>
            <w:proofErr w:type="spellEnd"/>
            <w:r>
              <w:t xml:space="preserve"> </w:t>
            </w:r>
            <w:proofErr w:type="spellStart"/>
            <w:r>
              <w:t>kapitałowej</w:t>
            </w:r>
            <w:proofErr w:type="spellEnd"/>
            <w:r>
              <w:t xml:space="preserve"> </w:t>
            </w:r>
            <w:proofErr w:type="spellStart"/>
            <w:r>
              <w:t>lub</w:t>
            </w:r>
            <w:proofErr w:type="spellEnd"/>
            <w:r>
              <w:t xml:space="preserve"> quasi-</w:t>
            </w:r>
            <w:proofErr w:type="spellStart"/>
            <w:r>
              <w:t>kapitałowej</w:t>
            </w:r>
            <w:proofErr w:type="spellEnd"/>
            <w:r>
              <w:t>/</w:t>
            </w:r>
            <w:proofErr w:type="spellStart"/>
            <w:r>
              <w:t>innego</w:t>
            </w:r>
            <w:proofErr w:type="spellEnd"/>
            <w:r>
              <w:t xml:space="preserve"> </w:t>
            </w:r>
            <w:proofErr w:type="spellStart"/>
            <w:r>
              <w:t>produktu</w:t>
            </w:r>
            <w:proofErr w:type="spellEnd"/>
            <w:r>
              <w:t xml:space="preserve"> </w:t>
            </w:r>
            <w:proofErr w:type="spellStart"/>
            <w:r>
              <w:t>finansowego</w:t>
            </w:r>
            <w:proofErr w:type="spellEnd"/>
            <w:r>
              <w:t xml:space="preserve"> w </w:t>
            </w:r>
            <w:proofErr w:type="spellStart"/>
            <w:r>
              <w:t>odniesieniu</w:t>
            </w:r>
            <w:proofErr w:type="spellEnd"/>
            <w:r>
              <w:t xml:space="preserve"> do </w:t>
            </w:r>
            <w:proofErr w:type="spellStart"/>
            <w:r>
              <w:t>umowy</w:t>
            </w:r>
            <w:proofErr w:type="spellEnd"/>
            <w:r>
              <w:t xml:space="preserve"> o </w:t>
            </w:r>
            <w:proofErr w:type="spellStart"/>
            <w:r>
              <w:t>finansowaniu</w:t>
            </w:r>
            <w:proofErr w:type="spellEnd"/>
            <w:r>
              <w:t xml:space="preserve">, </w:t>
            </w:r>
            <w:proofErr w:type="spellStart"/>
            <w:r>
              <w:t>według</w:t>
            </w:r>
            <w:proofErr w:type="spellEnd"/>
            <w:r>
              <w:t xml:space="preserve"> </w:t>
            </w:r>
            <w:proofErr w:type="spellStart"/>
            <w:r>
              <w:t>produktów</w:t>
            </w:r>
            <w:proofErr w:type="spellEnd"/>
          </w:p>
        </w:tc>
        <w:tc>
          <w:tcPr>
            <w:tcW w:w="0" w:type="auto"/>
            <w:shd w:val="clear" w:color="auto" w:fill="auto"/>
          </w:tcPr>
          <w:p w14:paraId="39A15CC1" w14:textId="77777777" w:rsidR="008C5CFA" w:rsidRDefault="00E82A60" w:rsidP="00300A01">
            <w:pPr>
              <w:spacing w:before="0" w:after="0"/>
              <w:jc w:val="right"/>
            </w:pPr>
            <w:r>
              <w:t>10,30</w:t>
            </w:r>
          </w:p>
        </w:tc>
      </w:tr>
      <w:tr w:rsidR="006B2EC1" w14:paraId="6E04D3B4" w14:textId="77777777" w:rsidTr="0047688D">
        <w:tc>
          <w:tcPr>
            <w:tcW w:w="0" w:type="auto"/>
            <w:shd w:val="clear" w:color="auto" w:fill="auto"/>
          </w:tcPr>
          <w:p w14:paraId="2F5C04C8" w14:textId="77777777" w:rsidR="008C5CFA" w:rsidRDefault="00E82A60" w:rsidP="00300A01">
            <w:pPr>
              <w:spacing w:before="0" w:after="0"/>
            </w:pPr>
            <w:r>
              <w:t xml:space="preserve">39.2. </w:t>
            </w:r>
            <w:proofErr w:type="spellStart"/>
            <w:r>
              <w:t>Osiągnięty</w:t>
            </w:r>
            <w:proofErr w:type="spellEnd"/>
            <w:r>
              <w:t xml:space="preserve"> </w:t>
            </w:r>
            <w:proofErr w:type="spellStart"/>
            <w:r>
              <w:t>efekt</w:t>
            </w:r>
            <w:proofErr w:type="spellEnd"/>
            <w:r>
              <w:t xml:space="preserve"> </w:t>
            </w:r>
            <w:proofErr w:type="spellStart"/>
            <w:r>
              <w:t>dźwigni</w:t>
            </w:r>
            <w:proofErr w:type="spellEnd"/>
            <w:r>
              <w:t xml:space="preserve"> </w:t>
            </w:r>
            <w:proofErr w:type="spellStart"/>
            <w:r>
              <w:t>na</w:t>
            </w:r>
            <w:proofErr w:type="spellEnd"/>
            <w:r>
              <w:t xml:space="preserve"> </w:t>
            </w:r>
            <w:proofErr w:type="spellStart"/>
            <w:r>
              <w:t>koniec</w:t>
            </w:r>
            <w:proofErr w:type="spellEnd"/>
            <w:r>
              <w:t xml:space="preserve"> </w:t>
            </w:r>
            <w:proofErr w:type="spellStart"/>
            <w:r>
              <w:t>roku</w:t>
            </w:r>
            <w:proofErr w:type="spellEnd"/>
            <w:r>
              <w:t xml:space="preserve"> </w:t>
            </w:r>
            <w:proofErr w:type="spellStart"/>
            <w:r>
              <w:t>sprawozdawczego</w:t>
            </w:r>
            <w:proofErr w:type="spellEnd"/>
            <w:r>
              <w:t xml:space="preserve"> w </w:t>
            </w:r>
            <w:proofErr w:type="spellStart"/>
            <w:r>
              <w:t>przypadku</w:t>
            </w:r>
            <w:proofErr w:type="spellEnd"/>
            <w:r>
              <w:t xml:space="preserve"> </w:t>
            </w:r>
            <w:proofErr w:type="spellStart"/>
            <w:r>
              <w:t>pożyczki</w:t>
            </w:r>
            <w:proofErr w:type="spellEnd"/>
            <w:r>
              <w:t>/</w:t>
            </w:r>
            <w:proofErr w:type="spellStart"/>
            <w:r>
              <w:t>gwarancji</w:t>
            </w:r>
            <w:proofErr w:type="spellEnd"/>
            <w:r>
              <w:t>/</w:t>
            </w:r>
            <w:proofErr w:type="spellStart"/>
            <w:r>
              <w:t>inwestycji</w:t>
            </w:r>
            <w:proofErr w:type="spellEnd"/>
            <w:r>
              <w:t xml:space="preserve"> </w:t>
            </w:r>
            <w:proofErr w:type="spellStart"/>
            <w:r>
              <w:t>kapitałowej</w:t>
            </w:r>
            <w:proofErr w:type="spellEnd"/>
            <w:r>
              <w:t xml:space="preserve"> </w:t>
            </w:r>
            <w:proofErr w:type="spellStart"/>
            <w:r>
              <w:t>lub</w:t>
            </w:r>
            <w:proofErr w:type="spellEnd"/>
            <w:r>
              <w:t xml:space="preserve"> quasi-</w:t>
            </w:r>
            <w:proofErr w:type="spellStart"/>
            <w:r>
              <w:t>kapitałowej</w:t>
            </w:r>
            <w:proofErr w:type="spellEnd"/>
            <w:r>
              <w:t>/</w:t>
            </w:r>
            <w:proofErr w:type="spellStart"/>
            <w:r>
              <w:t>innego</w:t>
            </w:r>
            <w:proofErr w:type="spellEnd"/>
            <w:r>
              <w:t xml:space="preserve"> </w:t>
            </w:r>
            <w:proofErr w:type="spellStart"/>
            <w:r>
              <w:t>produktu</w:t>
            </w:r>
            <w:proofErr w:type="spellEnd"/>
            <w:r>
              <w:t xml:space="preserve"> </w:t>
            </w:r>
            <w:proofErr w:type="spellStart"/>
            <w:r>
              <w:t>finansowego</w:t>
            </w:r>
            <w:proofErr w:type="spellEnd"/>
            <w:r>
              <w:t xml:space="preserve">, </w:t>
            </w:r>
            <w:proofErr w:type="spellStart"/>
            <w:r>
              <w:t>według</w:t>
            </w:r>
            <w:proofErr w:type="spellEnd"/>
            <w:r>
              <w:t xml:space="preserve"> </w:t>
            </w:r>
            <w:proofErr w:type="spellStart"/>
            <w:r>
              <w:t>produktów</w:t>
            </w:r>
            <w:proofErr w:type="spellEnd"/>
            <w:r>
              <w:t xml:space="preserve"> </w:t>
            </w:r>
          </w:p>
        </w:tc>
        <w:tc>
          <w:tcPr>
            <w:tcW w:w="0" w:type="auto"/>
            <w:shd w:val="clear" w:color="auto" w:fill="auto"/>
          </w:tcPr>
          <w:p w14:paraId="78303F99" w14:textId="77777777" w:rsidR="008C5CFA" w:rsidRDefault="008C5CFA" w:rsidP="00300A01">
            <w:pPr>
              <w:spacing w:before="0" w:after="0"/>
              <w:jc w:val="right"/>
            </w:pPr>
          </w:p>
        </w:tc>
      </w:tr>
      <w:tr w:rsidR="006B2EC1" w14:paraId="1E3D4317" w14:textId="77777777" w:rsidTr="0047688D">
        <w:tc>
          <w:tcPr>
            <w:tcW w:w="0" w:type="auto"/>
            <w:shd w:val="clear" w:color="auto" w:fill="auto"/>
          </w:tcPr>
          <w:p w14:paraId="4A3A9BCC" w14:textId="77777777" w:rsidR="008C5CFA" w:rsidRDefault="00E82A60" w:rsidP="00300A01">
            <w:pPr>
              <w:spacing w:before="0" w:after="0"/>
            </w:pPr>
            <w:r>
              <w:t xml:space="preserve">39.3. </w:t>
            </w:r>
            <w:proofErr w:type="spellStart"/>
            <w:r>
              <w:t>Inwestycje</w:t>
            </w:r>
            <w:proofErr w:type="spellEnd"/>
            <w:r>
              <w:t xml:space="preserve"> </w:t>
            </w:r>
            <w:proofErr w:type="spellStart"/>
            <w:r>
              <w:t>uruchomione</w:t>
            </w:r>
            <w:proofErr w:type="spellEnd"/>
            <w:r>
              <w:t xml:space="preserve"> </w:t>
            </w:r>
            <w:proofErr w:type="spellStart"/>
            <w:r>
              <w:t>przez</w:t>
            </w:r>
            <w:proofErr w:type="spellEnd"/>
            <w:r>
              <w:t xml:space="preserve"> </w:t>
            </w:r>
            <w:proofErr w:type="spellStart"/>
            <w:r>
              <w:t>instrumenty</w:t>
            </w:r>
            <w:proofErr w:type="spellEnd"/>
            <w:r>
              <w:t xml:space="preserve"> </w:t>
            </w:r>
            <w:proofErr w:type="spellStart"/>
            <w:r>
              <w:t>finansowe</w:t>
            </w:r>
            <w:proofErr w:type="spellEnd"/>
            <w:r>
              <w:t xml:space="preserve"> EFSI </w:t>
            </w:r>
            <w:proofErr w:type="spellStart"/>
            <w:r>
              <w:t>dla</w:t>
            </w:r>
            <w:proofErr w:type="spellEnd"/>
            <w:r>
              <w:t xml:space="preserve"> </w:t>
            </w:r>
            <w:proofErr w:type="spellStart"/>
            <w:r>
              <w:t>pożyczki</w:t>
            </w:r>
            <w:proofErr w:type="spellEnd"/>
            <w:r>
              <w:t>/</w:t>
            </w:r>
            <w:proofErr w:type="spellStart"/>
            <w:r>
              <w:t>gwarancji</w:t>
            </w:r>
            <w:proofErr w:type="spellEnd"/>
            <w:r>
              <w:t>/</w:t>
            </w:r>
            <w:proofErr w:type="spellStart"/>
            <w:r>
              <w:t>inwestycji</w:t>
            </w:r>
            <w:proofErr w:type="spellEnd"/>
            <w:r>
              <w:t xml:space="preserve"> </w:t>
            </w:r>
            <w:proofErr w:type="spellStart"/>
            <w:r>
              <w:t>kapitałowej</w:t>
            </w:r>
            <w:proofErr w:type="spellEnd"/>
            <w:r>
              <w:t xml:space="preserve"> </w:t>
            </w:r>
            <w:proofErr w:type="spellStart"/>
            <w:r>
              <w:t>lub</w:t>
            </w:r>
            <w:proofErr w:type="spellEnd"/>
            <w:r>
              <w:t xml:space="preserve"> quasi-</w:t>
            </w:r>
            <w:proofErr w:type="spellStart"/>
            <w:r>
              <w:t>kapitałowej</w:t>
            </w:r>
            <w:proofErr w:type="spellEnd"/>
            <w:r>
              <w:t xml:space="preserve">, </w:t>
            </w:r>
            <w:proofErr w:type="spellStart"/>
            <w:r>
              <w:t>według</w:t>
            </w:r>
            <w:proofErr w:type="spellEnd"/>
            <w:r>
              <w:t xml:space="preserve"> </w:t>
            </w:r>
            <w:proofErr w:type="spellStart"/>
            <w:r>
              <w:t>produktów</w:t>
            </w:r>
            <w:proofErr w:type="spellEnd"/>
            <w:r>
              <w:t xml:space="preserve"> (</w:t>
            </w:r>
            <w:proofErr w:type="spellStart"/>
            <w:r>
              <w:t>fakultatywnie</w:t>
            </w:r>
            <w:proofErr w:type="spellEnd"/>
            <w:r>
              <w:t>)</w:t>
            </w:r>
          </w:p>
        </w:tc>
        <w:tc>
          <w:tcPr>
            <w:tcW w:w="0" w:type="auto"/>
            <w:shd w:val="clear" w:color="auto" w:fill="auto"/>
          </w:tcPr>
          <w:p w14:paraId="4577C13E" w14:textId="77777777" w:rsidR="008C5CFA" w:rsidRDefault="008C5CFA" w:rsidP="00300A01">
            <w:pPr>
              <w:spacing w:before="0" w:after="0"/>
              <w:jc w:val="right"/>
            </w:pPr>
          </w:p>
        </w:tc>
      </w:tr>
      <w:tr w:rsidR="006B2EC1" w14:paraId="4AE50B61" w14:textId="77777777" w:rsidTr="0047688D">
        <w:tc>
          <w:tcPr>
            <w:tcW w:w="0" w:type="auto"/>
            <w:gridSpan w:val="2"/>
            <w:shd w:val="clear" w:color="auto" w:fill="auto"/>
          </w:tcPr>
          <w:p w14:paraId="2F437B7C" w14:textId="77777777" w:rsidR="008C5CFA" w:rsidRDefault="00E82A60" w:rsidP="00300A01">
            <w:pPr>
              <w:spacing w:before="0" w:after="0"/>
            </w:pPr>
            <w:r>
              <w:rPr>
                <w:b/>
              </w:rPr>
              <w:lastRenderedPageBreak/>
              <w:t xml:space="preserve">VI. </w:t>
            </w:r>
            <w:proofErr w:type="spellStart"/>
            <w:r>
              <w:rPr>
                <w:b/>
              </w:rPr>
              <w:t>Funkcjonowanie</w:t>
            </w:r>
            <w:proofErr w:type="spellEnd"/>
            <w:r>
              <w:rPr>
                <w:b/>
              </w:rPr>
              <w:t xml:space="preserve"> </w:t>
            </w:r>
            <w:proofErr w:type="spellStart"/>
            <w:r>
              <w:rPr>
                <w:b/>
              </w:rPr>
              <w:t>instrumentu</w:t>
            </w:r>
            <w:proofErr w:type="spellEnd"/>
            <w:r>
              <w:rPr>
                <w:b/>
              </w:rPr>
              <w:t xml:space="preserve"> </w:t>
            </w:r>
            <w:proofErr w:type="spellStart"/>
            <w:r>
              <w:rPr>
                <w:b/>
              </w:rPr>
              <w:t>finansowego</w:t>
            </w:r>
            <w:proofErr w:type="spellEnd"/>
            <w:r>
              <w:rPr>
                <w:b/>
              </w:rPr>
              <w:t xml:space="preserve">, w </w:t>
            </w:r>
            <w:proofErr w:type="spellStart"/>
            <w:r>
              <w:rPr>
                <w:b/>
              </w:rPr>
              <w:t>tym</w:t>
            </w:r>
            <w:proofErr w:type="spellEnd"/>
            <w:r>
              <w:rPr>
                <w:b/>
              </w:rPr>
              <w:t xml:space="preserve"> </w:t>
            </w:r>
            <w:proofErr w:type="spellStart"/>
            <w:r>
              <w:rPr>
                <w:b/>
              </w:rPr>
              <w:t>postęp</w:t>
            </w:r>
            <w:proofErr w:type="spellEnd"/>
            <w:r>
              <w:rPr>
                <w:b/>
              </w:rPr>
              <w:t xml:space="preserve"> w </w:t>
            </w:r>
            <w:proofErr w:type="spellStart"/>
            <w:r>
              <w:rPr>
                <w:b/>
              </w:rPr>
              <w:t>ustanawianiu</w:t>
            </w:r>
            <w:proofErr w:type="spellEnd"/>
            <w:r>
              <w:rPr>
                <w:b/>
              </w:rPr>
              <w:t xml:space="preserve"> i </w:t>
            </w:r>
            <w:proofErr w:type="spellStart"/>
            <w:r>
              <w:rPr>
                <w:b/>
              </w:rPr>
              <w:t>wyborze</w:t>
            </w:r>
            <w:proofErr w:type="spellEnd"/>
            <w:r>
              <w:rPr>
                <w:b/>
              </w:rPr>
              <w:t xml:space="preserve"> </w:t>
            </w:r>
            <w:proofErr w:type="spellStart"/>
            <w:r>
              <w:rPr>
                <w:b/>
              </w:rPr>
              <w:t>instytucji</w:t>
            </w:r>
            <w:proofErr w:type="spellEnd"/>
            <w:r>
              <w:rPr>
                <w:b/>
              </w:rPr>
              <w:t xml:space="preserve"> </w:t>
            </w:r>
            <w:proofErr w:type="spellStart"/>
            <w:r>
              <w:rPr>
                <w:b/>
              </w:rPr>
              <w:t>wdrażających</w:t>
            </w:r>
            <w:proofErr w:type="spellEnd"/>
            <w:r>
              <w:rPr>
                <w:b/>
              </w:rPr>
              <w:t xml:space="preserve"> instrument </w:t>
            </w:r>
            <w:proofErr w:type="spellStart"/>
            <w:r>
              <w:rPr>
                <w:b/>
              </w:rPr>
              <w:t>finansowy</w:t>
            </w:r>
            <w:proofErr w:type="spellEnd"/>
            <w:r>
              <w:rPr>
                <w:b/>
              </w:rPr>
              <w:t xml:space="preserve"> (w </w:t>
            </w:r>
            <w:proofErr w:type="spellStart"/>
            <w:r>
              <w:rPr>
                <w:b/>
              </w:rPr>
              <w:t>tym</w:t>
            </w:r>
            <w:proofErr w:type="spellEnd"/>
            <w:r>
              <w:rPr>
                <w:b/>
              </w:rPr>
              <w:t xml:space="preserve"> </w:t>
            </w:r>
            <w:proofErr w:type="spellStart"/>
            <w:r>
              <w:rPr>
                <w:b/>
              </w:rPr>
              <w:t>instytucji</w:t>
            </w:r>
            <w:proofErr w:type="spellEnd"/>
            <w:r>
              <w:rPr>
                <w:b/>
              </w:rPr>
              <w:t xml:space="preserve"> </w:t>
            </w:r>
            <w:proofErr w:type="spellStart"/>
            <w:r>
              <w:rPr>
                <w:b/>
              </w:rPr>
              <w:t>wdrażającej</w:t>
            </w:r>
            <w:proofErr w:type="spellEnd"/>
            <w:r>
              <w:rPr>
                <w:b/>
              </w:rPr>
              <w:t xml:space="preserve"> </w:t>
            </w:r>
            <w:proofErr w:type="spellStart"/>
            <w:r>
              <w:rPr>
                <w:b/>
              </w:rPr>
              <w:t>fundusz</w:t>
            </w:r>
            <w:proofErr w:type="spellEnd"/>
            <w:r>
              <w:rPr>
                <w:b/>
              </w:rPr>
              <w:t xml:space="preserve"> </w:t>
            </w:r>
            <w:proofErr w:type="spellStart"/>
            <w:r>
              <w:rPr>
                <w:b/>
              </w:rPr>
              <w:t>funduszy</w:t>
            </w:r>
            <w:proofErr w:type="spellEnd"/>
            <w:r>
              <w:rPr>
                <w:b/>
              </w:rPr>
              <w:t xml:space="preserve">) (art. 46 </w:t>
            </w:r>
            <w:proofErr w:type="spellStart"/>
            <w:r>
              <w:rPr>
                <w:b/>
              </w:rPr>
              <w:t>ust</w:t>
            </w:r>
            <w:proofErr w:type="spellEnd"/>
            <w:r>
              <w:rPr>
                <w:b/>
              </w:rPr>
              <w:t xml:space="preserve">. 2 lit. f) </w:t>
            </w:r>
            <w:proofErr w:type="spellStart"/>
            <w:r>
              <w:rPr>
                <w:b/>
              </w:rPr>
              <w:t>rozporządzenia</w:t>
            </w:r>
            <w:proofErr w:type="spellEnd"/>
            <w:r>
              <w:rPr>
                <w:b/>
              </w:rPr>
              <w:t xml:space="preserve"> (UE) nr 1303/2013)</w:t>
            </w:r>
          </w:p>
        </w:tc>
      </w:tr>
      <w:tr w:rsidR="006B2EC1" w14:paraId="6377C6F3" w14:textId="77777777" w:rsidTr="0047688D">
        <w:tc>
          <w:tcPr>
            <w:tcW w:w="0" w:type="auto"/>
            <w:shd w:val="clear" w:color="auto" w:fill="auto"/>
          </w:tcPr>
          <w:p w14:paraId="4FF25F14" w14:textId="77777777" w:rsidR="008C5CFA" w:rsidRDefault="00E82A60" w:rsidP="00300A01">
            <w:pPr>
              <w:spacing w:before="0" w:after="0"/>
            </w:pPr>
            <w:r>
              <w:t xml:space="preserve">32. </w:t>
            </w:r>
            <w:proofErr w:type="spellStart"/>
            <w:r>
              <w:t>Informacja</w:t>
            </w:r>
            <w:proofErr w:type="spellEnd"/>
            <w:r>
              <w:t xml:space="preserve"> o </w:t>
            </w:r>
            <w:proofErr w:type="spellStart"/>
            <w:r>
              <w:t>tym</w:t>
            </w:r>
            <w:proofErr w:type="spellEnd"/>
            <w:r>
              <w:t xml:space="preserve">, </w:t>
            </w:r>
            <w:proofErr w:type="spellStart"/>
            <w:r>
              <w:t>czy</w:t>
            </w:r>
            <w:proofErr w:type="spellEnd"/>
            <w:r>
              <w:t xml:space="preserve"> instrument </w:t>
            </w:r>
            <w:proofErr w:type="spellStart"/>
            <w:r>
              <w:t>finansowy</w:t>
            </w:r>
            <w:proofErr w:type="spellEnd"/>
            <w:r>
              <w:t xml:space="preserve"> </w:t>
            </w:r>
            <w:proofErr w:type="spellStart"/>
            <w:r>
              <w:t>nadal</w:t>
            </w:r>
            <w:proofErr w:type="spellEnd"/>
            <w:r>
              <w:t xml:space="preserve"> </w:t>
            </w:r>
            <w:proofErr w:type="spellStart"/>
            <w:r>
              <w:t>funkcjonował</w:t>
            </w:r>
            <w:proofErr w:type="spellEnd"/>
            <w:r>
              <w:t xml:space="preserve"> </w:t>
            </w:r>
            <w:proofErr w:type="spellStart"/>
            <w:r>
              <w:t>na</w:t>
            </w:r>
            <w:proofErr w:type="spellEnd"/>
            <w:r>
              <w:t xml:space="preserve"> </w:t>
            </w:r>
            <w:proofErr w:type="spellStart"/>
            <w:r>
              <w:t>koniec</w:t>
            </w:r>
            <w:proofErr w:type="spellEnd"/>
            <w:r>
              <w:t xml:space="preserve"> </w:t>
            </w:r>
            <w:proofErr w:type="spellStart"/>
            <w:r>
              <w:t>roku</w:t>
            </w:r>
            <w:proofErr w:type="spellEnd"/>
            <w:r>
              <w:t xml:space="preserve"> </w:t>
            </w:r>
            <w:proofErr w:type="spellStart"/>
            <w:r>
              <w:t>sprawozdawczego</w:t>
            </w:r>
            <w:proofErr w:type="spellEnd"/>
          </w:p>
        </w:tc>
        <w:tc>
          <w:tcPr>
            <w:tcW w:w="0" w:type="auto"/>
            <w:shd w:val="clear" w:color="auto" w:fill="auto"/>
          </w:tcPr>
          <w:p w14:paraId="2036701D" w14:textId="77777777" w:rsidR="008C5CFA" w:rsidRDefault="00E82A60" w:rsidP="00300A01">
            <w:pPr>
              <w:spacing w:before="0" w:after="0"/>
              <w:jc w:val="right"/>
            </w:pPr>
            <w:proofErr w:type="spellStart"/>
            <w:r>
              <w:t>Tak</w:t>
            </w:r>
            <w:proofErr w:type="spellEnd"/>
          </w:p>
        </w:tc>
      </w:tr>
      <w:tr w:rsidR="006B2EC1" w14:paraId="4E64FD43" w14:textId="77777777" w:rsidTr="0047688D">
        <w:tc>
          <w:tcPr>
            <w:tcW w:w="0" w:type="auto"/>
            <w:shd w:val="clear" w:color="auto" w:fill="auto"/>
          </w:tcPr>
          <w:p w14:paraId="05183DE2" w14:textId="77777777" w:rsidR="008C5CFA" w:rsidRDefault="00E82A60" w:rsidP="00300A01">
            <w:pPr>
              <w:spacing w:before="0" w:after="0"/>
            </w:pPr>
            <w:r>
              <w:t xml:space="preserve">32.1. </w:t>
            </w:r>
            <w:proofErr w:type="spellStart"/>
            <w:r>
              <w:t>Jeżeli</w:t>
            </w:r>
            <w:proofErr w:type="spellEnd"/>
            <w:r>
              <w:t xml:space="preserve"> instrument </w:t>
            </w:r>
            <w:proofErr w:type="spellStart"/>
            <w:r>
              <w:t>finansowy</w:t>
            </w:r>
            <w:proofErr w:type="spellEnd"/>
            <w:r>
              <w:t xml:space="preserve"> </w:t>
            </w:r>
            <w:proofErr w:type="spellStart"/>
            <w:r>
              <w:t>nie</w:t>
            </w:r>
            <w:proofErr w:type="spellEnd"/>
            <w:r>
              <w:t xml:space="preserve"> </w:t>
            </w:r>
            <w:proofErr w:type="spellStart"/>
            <w:r>
              <w:t>funkcjonował</w:t>
            </w:r>
            <w:proofErr w:type="spellEnd"/>
            <w:r>
              <w:t xml:space="preserve"> </w:t>
            </w:r>
            <w:proofErr w:type="spellStart"/>
            <w:r>
              <w:t>na</w:t>
            </w:r>
            <w:proofErr w:type="spellEnd"/>
            <w:r>
              <w:t xml:space="preserve"> </w:t>
            </w:r>
            <w:proofErr w:type="spellStart"/>
            <w:r>
              <w:t>koniec</w:t>
            </w:r>
            <w:proofErr w:type="spellEnd"/>
            <w:r>
              <w:t xml:space="preserve"> </w:t>
            </w:r>
            <w:proofErr w:type="spellStart"/>
            <w:r>
              <w:t>roku</w:t>
            </w:r>
            <w:proofErr w:type="spellEnd"/>
            <w:r>
              <w:t xml:space="preserve"> </w:t>
            </w:r>
            <w:proofErr w:type="spellStart"/>
            <w:r>
              <w:t>sprawozdawczego</w:t>
            </w:r>
            <w:proofErr w:type="spellEnd"/>
            <w:r>
              <w:t xml:space="preserve">, data </w:t>
            </w:r>
            <w:proofErr w:type="spellStart"/>
            <w:r>
              <w:t>likwidacji</w:t>
            </w:r>
            <w:proofErr w:type="spellEnd"/>
          </w:p>
        </w:tc>
        <w:tc>
          <w:tcPr>
            <w:tcW w:w="0" w:type="auto"/>
            <w:shd w:val="clear" w:color="auto" w:fill="auto"/>
          </w:tcPr>
          <w:p w14:paraId="0E0AC645" w14:textId="77777777" w:rsidR="008C5CFA" w:rsidRDefault="008C5CFA" w:rsidP="00300A01">
            <w:pPr>
              <w:spacing w:before="0" w:after="0"/>
              <w:jc w:val="right"/>
            </w:pPr>
          </w:p>
        </w:tc>
      </w:tr>
      <w:tr w:rsidR="006B2EC1" w14:paraId="38A36020" w14:textId="77777777" w:rsidTr="0047688D">
        <w:tc>
          <w:tcPr>
            <w:tcW w:w="0" w:type="auto"/>
            <w:gridSpan w:val="2"/>
            <w:shd w:val="clear" w:color="auto" w:fill="auto"/>
          </w:tcPr>
          <w:p w14:paraId="1354D606" w14:textId="77777777" w:rsidR="008C5CFA" w:rsidRDefault="00E82A60" w:rsidP="00300A01">
            <w:pPr>
              <w:spacing w:before="0" w:after="0"/>
            </w:pPr>
            <w:r>
              <w:rPr>
                <w:b/>
              </w:rPr>
              <w:t xml:space="preserve">VII. </w:t>
            </w:r>
            <w:proofErr w:type="spellStart"/>
            <w:r>
              <w:rPr>
                <w:b/>
              </w:rPr>
              <w:t>Odsetki</w:t>
            </w:r>
            <w:proofErr w:type="spellEnd"/>
            <w:r>
              <w:rPr>
                <w:b/>
              </w:rPr>
              <w:t xml:space="preserve"> </w:t>
            </w:r>
            <w:proofErr w:type="spellStart"/>
            <w:r>
              <w:rPr>
                <w:b/>
              </w:rPr>
              <w:t>oraz</w:t>
            </w:r>
            <w:proofErr w:type="spellEnd"/>
            <w:r>
              <w:rPr>
                <w:b/>
              </w:rPr>
              <w:t xml:space="preserve"> </w:t>
            </w:r>
            <w:proofErr w:type="spellStart"/>
            <w:r>
              <w:rPr>
                <w:b/>
              </w:rPr>
              <w:t>inne</w:t>
            </w:r>
            <w:proofErr w:type="spellEnd"/>
            <w:r>
              <w:rPr>
                <w:b/>
              </w:rPr>
              <w:t xml:space="preserve"> </w:t>
            </w:r>
            <w:proofErr w:type="spellStart"/>
            <w:r>
              <w:rPr>
                <w:b/>
              </w:rPr>
              <w:t>zyski</w:t>
            </w:r>
            <w:proofErr w:type="spellEnd"/>
            <w:r>
              <w:rPr>
                <w:b/>
              </w:rPr>
              <w:t xml:space="preserve"> </w:t>
            </w:r>
            <w:proofErr w:type="spellStart"/>
            <w:r>
              <w:rPr>
                <w:b/>
              </w:rPr>
              <w:t>generowane</w:t>
            </w:r>
            <w:proofErr w:type="spellEnd"/>
            <w:r>
              <w:rPr>
                <w:b/>
              </w:rPr>
              <w:t xml:space="preserve"> </w:t>
            </w:r>
            <w:proofErr w:type="spellStart"/>
            <w:r>
              <w:rPr>
                <w:b/>
              </w:rPr>
              <w:t>ze</w:t>
            </w:r>
            <w:proofErr w:type="spellEnd"/>
            <w:r>
              <w:rPr>
                <w:b/>
              </w:rPr>
              <w:t xml:space="preserve"> </w:t>
            </w:r>
            <w:proofErr w:type="spellStart"/>
            <w:r>
              <w:rPr>
                <w:b/>
              </w:rPr>
              <w:t>wsparcia</w:t>
            </w:r>
            <w:proofErr w:type="spellEnd"/>
            <w:r>
              <w:rPr>
                <w:b/>
              </w:rPr>
              <w:t xml:space="preserve"> </w:t>
            </w:r>
            <w:proofErr w:type="spellStart"/>
            <w:r>
              <w:rPr>
                <w:b/>
              </w:rPr>
              <w:t>udzielanego</w:t>
            </w:r>
            <w:proofErr w:type="spellEnd"/>
            <w:r>
              <w:rPr>
                <w:b/>
              </w:rPr>
              <w:t xml:space="preserve"> z EFSI </w:t>
            </w:r>
            <w:proofErr w:type="spellStart"/>
            <w:r>
              <w:rPr>
                <w:b/>
              </w:rPr>
              <w:t>na</w:t>
            </w:r>
            <w:proofErr w:type="spellEnd"/>
            <w:r>
              <w:rPr>
                <w:b/>
              </w:rPr>
              <w:t xml:space="preserve"> </w:t>
            </w:r>
            <w:proofErr w:type="spellStart"/>
            <w:r>
              <w:rPr>
                <w:b/>
              </w:rPr>
              <w:t>rzecz</w:t>
            </w:r>
            <w:proofErr w:type="spellEnd"/>
            <w:r>
              <w:rPr>
                <w:b/>
              </w:rPr>
              <w:t xml:space="preserve"> </w:t>
            </w:r>
            <w:proofErr w:type="spellStart"/>
            <w:r>
              <w:rPr>
                <w:b/>
              </w:rPr>
              <w:t>instrumentu</w:t>
            </w:r>
            <w:proofErr w:type="spellEnd"/>
            <w:r>
              <w:rPr>
                <w:b/>
              </w:rPr>
              <w:t xml:space="preserve"> </w:t>
            </w:r>
            <w:proofErr w:type="spellStart"/>
            <w:r>
              <w:rPr>
                <w:b/>
              </w:rPr>
              <w:t>finansowego</w:t>
            </w:r>
            <w:proofErr w:type="spellEnd"/>
            <w:r>
              <w:rPr>
                <w:b/>
              </w:rPr>
              <w:t xml:space="preserve">, </w:t>
            </w:r>
            <w:proofErr w:type="spellStart"/>
            <w:r>
              <w:rPr>
                <w:b/>
              </w:rPr>
              <w:t>zasoby</w:t>
            </w:r>
            <w:proofErr w:type="spellEnd"/>
            <w:r>
              <w:rPr>
                <w:b/>
              </w:rPr>
              <w:t xml:space="preserve"> </w:t>
            </w:r>
            <w:proofErr w:type="spellStart"/>
            <w:r>
              <w:rPr>
                <w:b/>
              </w:rPr>
              <w:t>programu</w:t>
            </w:r>
            <w:proofErr w:type="spellEnd"/>
            <w:r>
              <w:rPr>
                <w:b/>
              </w:rPr>
              <w:t xml:space="preserve"> </w:t>
            </w:r>
            <w:proofErr w:type="spellStart"/>
            <w:r>
              <w:rPr>
                <w:b/>
              </w:rPr>
              <w:t>zwrócone</w:t>
            </w:r>
            <w:proofErr w:type="spellEnd"/>
            <w:r>
              <w:rPr>
                <w:b/>
              </w:rPr>
              <w:t xml:space="preserve"> do </w:t>
            </w:r>
            <w:proofErr w:type="spellStart"/>
            <w:r>
              <w:rPr>
                <w:b/>
              </w:rPr>
              <w:t>instrumentów</w:t>
            </w:r>
            <w:proofErr w:type="spellEnd"/>
            <w:r>
              <w:rPr>
                <w:b/>
              </w:rPr>
              <w:t xml:space="preserve"> </w:t>
            </w:r>
            <w:proofErr w:type="spellStart"/>
            <w:r>
              <w:rPr>
                <w:b/>
              </w:rPr>
              <w:t>finansowych</w:t>
            </w:r>
            <w:proofErr w:type="spellEnd"/>
            <w:r>
              <w:rPr>
                <w:b/>
              </w:rPr>
              <w:t xml:space="preserve"> z </w:t>
            </w:r>
            <w:proofErr w:type="spellStart"/>
            <w:r>
              <w:rPr>
                <w:b/>
              </w:rPr>
              <w:t>inwestycji</w:t>
            </w:r>
            <w:proofErr w:type="spellEnd"/>
            <w:r>
              <w:rPr>
                <w:b/>
              </w:rPr>
              <w:t xml:space="preserve">, </w:t>
            </w:r>
            <w:proofErr w:type="spellStart"/>
            <w:r>
              <w:rPr>
                <w:b/>
              </w:rPr>
              <w:t>zgodnie</w:t>
            </w:r>
            <w:proofErr w:type="spellEnd"/>
            <w:r>
              <w:rPr>
                <w:b/>
              </w:rPr>
              <w:t xml:space="preserve"> z art. 43 i 44, </w:t>
            </w:r>
            <w:proofErr w:type="spellStart"/>
            <w:r>
              <w:rPr>
                <w:b/>
              </w:rPr>
              <w:t>kwoty</w:t>
            </w:r>
            <w:proofErr w:type="spellEnd"/>
            <w:r>
              <w:rPr>
                <w:b/>
              </w:rPr>
              <w:t xml:space="preserve"> </w:t>
            </w:r>
            <w:proofErr w:type="spellStart"/>
            <w:r>
              <w:rPr>
                <w:b/>
              </w:rPr>
              <w:t>wykorzystane</w:t>
            </w:r>
            <w:proofErr w:type="spellEnd"/>
            <w:r>
              <w:rPr>
                <w:b/>
              </w:rPr>
              <w:t xml:space="preserve"> </w:t>
            </w:r>
            <w:proofErr w:type="spellStart"/>
            <w:r>
              <w:rPr>
                <w:b/>
              </w:rPr>
              <w:t>na</w:t>
            </w:r>
            <w:proofErr w:type="spellEnd"/>
            <w:r>
              <w:rPr>
                <w:b/>
              </w:rPr>
              <w:t xml:space="preserve"> </w:t>
            </w:r>
            <w:proofErr w:type="spellStart"/>
            <w:r>
              <w:rPr>
                <w:b/>
              </w:rPr>
              <w:t>zróżnicowane</w:t>
            </w:r>
            <w:proofErr w:type="spellEnd"/>
            <w:r>
              <w:rPr>
                <w:b/>
              </w:rPr>
              <w:t xml:space="preserve"> </w:t>
            </w:r>
            <w:proofErr w:type="spellStart"/>
            <w:r>
              <w:rPr>
                <w:b/>
              </w:rPr>
              <w:t>traktowanie</w:t>
            </w:r>
            <w:proofErr w:type="spellEnd"/>
            <w:r>
              <w:rPr>
                <w:b/>
              </w:rPr>
              <w:t xml:space="preserve">, o </w:t>
            </w:r>
            <w:proofErr w:type="spellStart"/>
            <w:r>
              <w:rPr>
                <w:b/>
              </w:rPr>
              <w:t>którym</w:t>
            </w:r>
            <w:proofErr w:type="spellEnd"/>
            <w:r>
              <w:rPr>
                <w:b/>
              </w:rPr>
              <w:t xml:space="preserve"> </w:t>
            </w:r>
            <w:proofErr w:type="spellStart"/>
            <w:r>
              <w:rPr>
                <w:b/>
              </w:rPr>
              <w:t>mowa</w:t>
            </w:r>
            <w:proofErr w:type="spellEnd"/>
            <w:r>
              <w:rPr>
                <w:b/>
              </w:rPr>
              <w:t xml:space="preserve"> w art. 43a, </w:t>
            </w:r>
            <w:proofErr w:type="spellStart"/>
            <w:r>
              <w:rPr>
                <w:b/>
              </w:rPr>
              <w:t>oraz</w:t>
            </w:r>
            <w:proofErr w:type="spellEnd"/>
            <w:r>
              <w:rPr>
                <w:b/>
              </w:rPr>
              <w:t xml:space="preserve"> </w:t>
            </w:r>
            <w:proofErr w:type="spellStart"/>
            <w:r>
              <w:rPr>
                <w:b/>
              </w:rPr>
              <w:t>wartość</w:t>
            </w:r>
            <w:proofErr w:type="spellEnd"/>
            <w:r>
              <w:rPr>
                <w:b/>
              </w:rPr>
              <w:t xml:space="preserve"> </w:t>
            </w:r>
            <w:proofErr w:type="spellStart"/>
            <w:r>
              <w:rPr>
                <w:b/>
              </w:rPr>
              <w:t>inwestycji</w:t>
            </w:r>
            <w:proofErr w:type="spellEnd"/>
            <w:r>
              <w:rPr>
                <w:b/>
              </w:rPr>
              <w:t xml:space="preserve"> </w:t>
            </w:r>
            <w:proofErr w:type="spellStart"/>
            <w:r>
              <w:rPr>
                <w:b/>
              </w:rPr>
              <w:t>kapitałowych</w:t>
            </w:r>
            <w:proofErr w:type="spellEnd"/>
            <w:r>
              <w:rPr>
                <w:b/>
              </w:rPr>
              <w:t xml:space="preserve"> w </w:t>
            </w:r>
            <w:proofErr w:type="spellStart"/>
            <w:r>
              <w:rPr>
                <w:b/>
              </w:rPr>
              <w:t>odniesieniu</w:t>
            </w:r>
            <w:proofErr w:type="spellEnd"/>
            <w:r>
              <w:rPr>
                <w:b/>
              </w:rPr>
              <w:t xml:space="preserve"> do </w:t>
            </w:r>
            <w:proofErr w:type="spellStart"/>
            <w:r>
              <w:rPr>
                <w:b/>
              </w:rPr>
              <w:t>poprzednich</w:t>
            </w:r>
            <w:proofErr w:type="spellEnd"/>
            <w:r>
              <w:rPr>
                <w:b/>
              </w:rPr>
              <w:t xml:space="preserve"> </w:t>
            </w:r>
            <w:proofErr w:type="spellStart"/>
            <w:r>
              <w:rPr>
                <w:b/>
              </w:rPr>
              <w:t>lat</w:t>
            </w:r>
            <w:proofErr w:type="spellEnd"/>
            <w:r>
              <w:rPr>
                <w:b/>
              </w:rPr>
              <w:t xml:space="preserve"> (art. 46 </w:t>
            </w:r>
            <w:proofErr w:type="spellStart"/>
            <w:r>
              <w:rPr>
                <w:b/>
              </w:rPr>
              <w:t>ust</w:t>
            </w:r>
            <w:proofErr w:type="spellEnd"/>
            <w:r>
              <w:rPr>
                <w:b/>
              </w:rPr>
              <w:t xml:space="preserve">. 2 lit. g) </w:t>
            </w:r>
            <w:proofErr w:type="spellStart"/>
            <w:r>
              <w:rPr>
                <w:b/>
              </w:rPr>
              <w:t>oraz</w:t>
            </w:r>
            <w:proofErr w:type="spellEnd"/>
            <w:r>
              <w:rPr>
                <w:b/>
              </w:rPr>
              <w:t xml:space="preserve"> i) </w:t>
            </w:r>
            <w:proofErr w:type="spellStart"/>
            <w:r>
              <w:rPr>
                <w:b/>
              </w:rPr>
              <w:t>rozporządzenia</w:t>
            </w:r>
            <w:proofErr w:type="spellEnd"/>
            <w:r>
              <w:rPr>
                <w:b/>
              </w:rPr>
              <w:t xml:space="preserve"> (UE) nr 1303/2013)</w:t>
            </w:r>
          </w:p>
        </w:tc>
      </w:tr>
      <w:tr w:rsidR="006B2EC1" w14:paraId="220098F2" w14:textId="77777777" w:rsidTr="0047688D">
        <w:tc>
          <w:tcPr>
            <w:tcW w:w="0" w:type="auto"/>
            <w:shd w:val="clear" w:color="auto" w:fill="auto"/>
          </w:tcPr>
          <w:p w14:paraId="6EAB6B16" w14:textId="77777777" w:rsidR="008C5CFA" w:rsidRDefault="00E82A60" w:rsidP="00300A01">
            <w:pPr>
              <w:spacing w:before="0" w:after="0"/>
            </w:pPr>
            <w:r>
              <w:t xml:space="preserve">35. </w:t>
            </w:r>
            <w:proofErr w:type="spellStart"/>
            <w:r>
              <w:t>Odsetki</w:t>
            </w:r>
            <w:proofErr w:type="spellEnd"/>
            <w:r>
              <w:t xml:space="preserve"> </w:t>
            </w:r>
            <w:proofErr w:type="spellStart"/>
            <w:r>
              <w:t>oraz</w:t>
            </w:r>
            <w:proofErr w:type="spellEnd"/>
            <w:r>
              <w:t xml:space="preserve"> </w:t>
            </w:r>
            <w:proofErr w:type="spellStart"/>
            <w:r>
              <w:t>inne</w:t>
            </w:r>
            <w:proofErr w:type="spellEnd"/>
            <w:r>
              <w:t xml:space="preserve"> </w:t>
            </w:r>
            <w:proofErr w:type="spellStart"/>
            <w:r>
              <w:t>zyski</w:t>
            </w:r>
            <w:proofErr w:type="spellEnd"/>
            <w:r>
              <w:t xml:space="preserve"> </w:t>
            </w:r>
            <w:proofErr w:type="spellStart"/>
            <w:r>
              <w:t>generowane</w:t>
            </w:r>
            <w:proofErr w:type="spellEnd"/>
            <w:r>
              <w:t xml:space="preserve"> z </w:t>
            </w:r>
            <w:proofErr w:type="spellStart"/>
            <w:r>
              <w:t>płatności</w:t>
            </w:r>
            <w:proofErr w:type="spellEnd"/>
            <w:r>
              <w:t xml:space="preserve"> z EFSI </w:t>
            </w:r>
            <w:proofErr w:type="spellStart"/>
            <w:r>
              <w:t>na</w:t>
            </w:r>
            <w:proofErr w:type="spellEnd"/>
            <w:r>
              <w:t xml:space="preserve"> </w:t>
            </w:r>
            <w:proofErr w:type="spellStart"/>
            <w:r>
              <w:t>rzecz</w:t>
            </w:r>
            <w:proofErr w:type="spellEnd"/>
            <w:r>
              <w:t xml:space="preserve"> </w:t>
            </w:r>
            <w:proofErr w:type="spellStart"/>
            <w:r>
              <w:t>instrumentu</w:t>
            </w:r>
            <w:proofErr w:type="spellEnd"/>
            <w:r>
              <w:t xml:space="preserve"> </w:t>
            </w:r>
            <w:proofErr w:type="spellStart"/>
            <w:r>
              <w:t>finansowego</w:t>
            </w:r>
            <w:proofErr w:type="spellEnd"/>
            <w:r>
              <w:t xml:space="preserve"> (w EUR)</w:t>
            </w:r>
          </w:p>
        </w:tc>
        <w:tc>
          <w:tcPr>
            <w:tcW w:w="0" w:type="auto"/>
            <w:shd w:val="clear" w:color="auto" w:fill="auto"/>
          </w:tcPr>
          <w:p w14:paraId="4138256D" w14:textId="77777777" w:rsidR="008C5CFA" w:rsidRDefault="00E82A60" w:rsidP="00300A01">
            <w:pPr>
              <w:spacing w:before="0" w:after="0"/>
              <w:jc w:val="right"/>
            </w:pPr>
            <w:r>
              <w:t>382 219,39</w:t>
            </w:r>
          </w:p>
        </w:tc>
      </w:tr>
      <w:tr w:rsidR="006B2EC1" w14:paraId="30088983" w14:textId="77777777" w:rsidTr="0047688D">
        <w:tc>
          <w:tcPr>
            <w:tcW w:w="0" w:type="auto"/>
            <w:shd w:val="clear" w:color="auto" w:fill="auto"/>
          </w:tcPr>
          <w:p w14:paraId="0BF8474C" w14:textId="77777777" w:rsidR="008C5CFA" w:rsidRDefault="00E82A60" w:rsidP="00300A01">
            <w:pPr>
              <w:spacing w:before="0" w:after="0"/>
            </w:pPr>
            <w:r>
              <w:t xml:space="preserve">36. </w:t>
            </w:r>
            <w:proofErr w:type="spellStart"/>
            <w:r>
              <w:t>Kwoty</w:t>
            </w:r>
            <w:proofErr w:type="spellEnd"/>
            <w:r>
              <w:t xml:space="preserve"> </w:t>
            </w:r>
            <w:proofErr w:type="spellStart"/>
            <w:r>
              <w:t>zwrócone</w:t>
            </w:r>
            <w:proofErr w:type="spellEnd"/>
            <w:r>
              <w:t xml:space="preserve"> do </w:t>
            </w:r>
            <w:proofErr w:type="spellStart"/>
            <w:r>
              <w:t>instrumentu</w:t>
            </w:r>
            <w:proofErr w:type="spellEnd"/>
            <w:r>
              <w:t xml:space="preserve"> </w:t>
            </w:r>
            <w:proofErr w:type="spellStart"/>
            <w:r>
              <w:t>finansowego</w:t>
            </w:r>
            <w:proofErr w:type="spellEnd"/>
            <w:r>
              <w:t xml:space="preserve"> </w:t>
            </w:r>
            <w:proofErr w:type="spellStart"/>
            <w:r>
              <w:t>przypisane</w:t>
            </w:r>
            <w:proofErr w:type="spellEnd"/>
            <w:r>
              <w:t xml:space="preserve"> do </w:t>
            </w:r>
            <w:proofErr w:type="spellStart"/>
            <w:r>
              <w:t>wsparcia</w:t>
            </w:r>
            <w:proofErr w:type="spellEnd"/>
            <w:r>
              <w:t xml:space="preserve"> z EFSI do </w:t>
            </w:r>
            <w:proofErr w:type="spellStart"/>
            <w:r>
              <w:t>końca</w:t>
            </w:r>
            <w:proofErr w:type="spellEnd"/>
            <w:r>
              <w:t xml:space="preserve"> </w:t>
            </w:r>
            <w:proofErr w:type="spellStart"/>
            <w:r>
              <w:t>roku</w:t>
            </w:r>
            <w:proofErr w:type="spellEnd"/>
            <w:r>
              <w:t xml:space="preserve"> </w:t>
            </w:r>
            <w:proofErr w:type="spellStart"/>
            <w:r>
              <w:t>sprawozdawczego</w:t>
            </w:r>
            <w:proofErr w:type="spellEnd"/>
            <w:r>
              <w:t xml:space="preserve"> (w EUR)</w:t>
            </w:r>
          </w:p>
        </w:tc>
        <w:tc>
          <w:tcPr>
            <w:tcW w:w="0" w:type="auto"/>
            <w:shd w:val="clear" w:color="auto" w:fill="auto"/>
          </w:tcPr>
          <w:p w14:paraId="4ED3D7BF" w14:textId="77777777" w:rsidR="008C5CFA" w:rsidRDefault="00E82A60" w:rsidP="00300A01">
            <w:pPr>
              <w:spacing w:before="0" w:after="0"/>
              <w:jc w:val="right"/>
            </w:pPr>
            <w:r>
              <w:t>1 989 708,78</w:t>
            </w:r>
          </w:p>
        </w:tc>
      </w:tr>
      <w:tr w:rsidR="006B2EC1" w14:paraId="0652A3BE" w14:textId="77777777" w:rsidTr="0047688D">
        <w:tc>
          <w:tcPr>
            <w:tcW w:w="0" w:type="auto"/>
            <w:shd w:val="clear" w:color="auto" w:fill="auto"/>
          </w:tcPr>
          <w:p w14:paraId="5290393C" w14:textId="77777777" w:rsidR="008C5CFA" w:rsidRDefault="00E82A60" w:rsidP="00300A01">
            <w:pPr>
              <w:spacing w:before="0" w:after="0"/>
            </w:pPr>
            <w:r>
              <w:t xml:space="preserve">36.1. w </w:t>
            </w:r>
            <w:proofErr w:type="spellStart"/>
            <w:r>
              <w:t>tym</w:t>
            </w:r>
            <w:proofErr w:type="spellEnd"/>
            <w:r>
              <w:t xml:space="preserve"> </w:t>
            </w:r>
            <w:proofErr w:type="spellStart"/>
            <w:r>
              <w:t>zwroty</w:t>
            </w:r>
            <w:proofErr w:type="spellEnd"/>
            <w:r>
              <w:t xml:space="preserve"> </w:t>
            </w:r>
            <w:proofErr w:type="spellStart"/>
            <w:r>
              <w:t>kapitału</w:t>
            </w:r>
            <w:proofErr w:type="spellEnd"/>
            <w:r>
              <w:t xml:space="preserve"> (w EUR)</w:t>
            </w:r>
          </w:p>
        </w:tc>
        <w:tc>
          <w:tcPr>
            <w:tcW w:w="0" w:type="auto"/>
            <w:shd w:val="clear" w:color="auto" w:fill="auto"/>
          </w:tcPr>
          <w:p w14:paraId="01F09A0D" w14:textId="77777777" w:rsidR="008C5CFA" w:rsidRDefault="00E82A60" w:rsidP="00300A01">
            <w:pPr>
              <w:spacing w:before="0" w:after="0"/>
              <w:jc w:val="right"/>
            </w:pPr>
            <w:r>
              <w:t>1 799 405,96</w:t>
            </w:r>
          </w:p>
        </w:tc>
      </w:tr>
      <w:tr w:rsidR="006B2EC1" w14:paraId="52156825" w14:textId="77777777" w:rsidTr="0047688D">
        <w:tc>
          <w:tcPr>
            <w:tcW w:w="0" w:type="auto"/>
            <w:shd w:val="clear" w:color="auto" w:fill="auto"/>
          </w:tcPr>
          <w:p w14:paraId="2B605A49" w14:textId="77777777" w:rsidR="008C5CFA" w:rsidRDefault="00E82A60" w:rsidP="00300A01">
            <w:pPr>
              <w:spacing w:before="0" w:after="0"/>
            </w:pPr>
            <w:r>
              <w:t xml:space="preserve">36.2. w </w:t>
            </w:r>
            <w:proofErr w:type="spellStart"/>
            <w:r>
              <w:t>tym</w:t>
            </w:r>
            <w:proofErr w:type="spellEnd"/>
            <w:r>
              <w:t xml:space="preserve"> </w:t>
            </w:r>
            <w:proofErr w:type="spellStart"/>
            <w:r>
              <w:t>zyski</w:t>
            </w:r>
            <w:proofErr w:type="spellEnd"/>
            <w:r>
              <w:t xml:space="preserve"> </w:t>
            </w:r>
            <w:proofErr w:type="spellStart"/>
            <w:r>
              <w:t>oraz</w:t>
            </w:r>
            <w:proofErr w:type="spellEnd"/>
            <w:r>
              <w:t xml:space="preserve"> </w:t>
            </w:r>
            <w:proofErr w:type="spellStart"/>
            <w:r>
              <w:t>inne</w:t>
            </w:r>
            <w:proofErr w:type="spellEnd"/>
            <w:r>
              <w:t xml:space="preserve"> </w:t>
            </w:r>
            <w:proofErr w:type="spellStart"/>
            <w:r>
              <w:t>dochody</w:t>
            </w:r>
            <w:proofErr w:type="spellEnd"/>
            <w:r>
              <w:t xml:space="preserve"> (w EUR)</w:t>
            </w:r>
          </w:p>
        </w:tc>
        <w:tc>
          <w:tcPr>
            <w:tcW w:w="0" w:type="auto"/>
            <w:shd w:val="clear" w:color="auto" w:fill="auto"/>
          </w:tcPr>
          <w:p w14:paraId="2A747E13" w14:textId="77777777" w:rsidR="008C5CFA" w:rsidRDefault="00E82A60" w:rsidP="00300A01">
            <w:pPr>
              <w:spacing w:before="0" w:after="0"/>
              <w:jc w:val="right"/>
            </w:pPr>
            <w:r>
              <w:t>190 302,82</w:t>
            </w:r>
          </w:p>
        </w:tc>
      </w:tr>
      <w:tr w:rsidR="006B2EC1" w14:paraId="09011256" w14:textId="77777777" w:rsidTr="0047688D">
        <w:tc>
          <w:tcPr>
            <w:tcW w:w="0" w:type="auto"/>
            <w:shd w:val="clear" w:color="auto" w:fill="auto"/>
          </w:tcPr>
          <w:p w14:paraId="1A492F58" w14:textId="77777777" w:rsidR="008C5CFA" w:rsidRDefault="00E82A60" w:rsidP="00300A01">
            <w:pPr>
              <w:spacing w:before="0" w:after="0"/>
            </w:pPr>
            <w:r>
              <w:t xml:space="preserve">37. </w:t>
            </w:r>
            <w:proofErr w:type="spellStart"/>
            <w:r>
              <w:t>Kwoty</w:t>
            </w:r>
            <w:proofErr w:type="spellEnd"/>
            <w:r>
              <w:t xml:space="preserve"> </w:t>
            </w:r>
            <w:proofErr w:type="spellStart"/>
            <w:r>
              <w:t>zasobów</w:t>
            </w:r>
            <w:proofErr w:type="spellEnd"/>
            <w:r>
              <w:t xml:space="preserve">, </w:t>
            </w:r>
            <w:proofErr w:type="spellStart"/>
            <w:r>
              <w:t>które</w:t>
            </w:r>
            <w:proofErr w:type="spellEnd"/>
            <w:r>
              <w:t xml:space="preserve"> </w:t>
            </w:r>
            <w:proofErr w:type="spellStart"/>
            <w:r>
              <w:t>można</w:t>
            </w:r>
            <w:proofErr w:type="spellEnd"/>
            <w:r>
              <w:t xml:space="preserve"> </w:t>
            </w:r>
            <w:proofErr w:type="spellStart"/>
            <w:r>
              <w:t>przypisać</w:t>
            </w:r>
            <w:proofErr w:type="spellEnd"/>
            <w:r>
              <w:t xml:space="preserve"> EFSI, </w:t>
            </w:r>
            <w:proofErr w:type="spellStart"/>
            <w:r>
              <w:t>wykorzystane</w:t>
            </w:r>
            <w:proofErr w:type="spellEnd"/>
            <w:r>
              <w:t xml:space="preserve"> </w:t>
            </w:r>
            <w:proofErr w:type="spellStart"/>
            <w:r>
              <w:t>zgodnie</w:t>
            </w:r>
            <w:proofErr w:type="spellEnd"/>
            <w:r>
              <w:t xml:space="preserve"> z art. 44 i art. 43a</w:t>
            </w:r>
          </w:p>
        </w:tc>
        <w:tc>
          <w:tcPr>
            <w:tcW w:w="0" w:type="auto"/>
            <w:shd w:val="clear" w:color="auto" w:fill="auto"/>
          </w:tcPr>
          <w:p w14:paraId="04AA0150" w14:textId="77777777" w:rsidR="008C5CFA" w:rsidRDefault="008C5CFA" w:rsidP="00300A01">
            <w:pPr>
              <w:spacing w:before="0" w:after="0"/>
              <w:jc w:val="right"/>
            </w:pPr>
          </w:p>
        </w:tc>
      </w:tr>
      <w:tr w:rsidR="006B2EC1" w14:paraId="49985C46" w14:textId="77777777" w:rsidTr="0047688D">
        <w:tc>
          <w:tcPr>
            <w:tcW w:w="0" w:type="auto"/>
            <w:shd w:val="clear" w:color="auto" w:fill="auto"/>
          </w:tcPr>
          <w:p w14:paraId="09293088" w14:textId="77777777" w:rsidR="008C5CFA" w:rsidRDefault="00E82A60" w:rsidP="00300A01">
            <w:pPr>
              <w:spacing w:before="0" w:after="0"/>
            </w:pPr>
            <w:r>
              <w:t xml:space="preserve">37.1 w </w:t>
            </w:r>
            <w:proofErr w:type="spellStart"/>
            <w:r>
              <w:t>tym</w:t>
            </w:r>
            <w:proofErr w:type="spellEnd"/>
            <w:r>
              <w:t xml:space="preserve"> </w:t>
            </w:r>
            <w:proofErr w:type="spellStart"/>
            <w:r>
              <w:t>kwoty</w:t>
            </w:r>
            <w:proofErr w:type="spellEnd"/>
            <w:r>
              <w:t xml:space="preserve"> </w:t>
            </w:r>
            <w:proofErr w:type="spellStart"/>
            <w:r>
              <w:t>wypłacone</w:t>
            </w:r>
            <w:proofErr w:type="spellEnd"/>
            <w:r>
              <w:t xml:space="preserve"> </w:t>
            </w:r>
            <w:proofErr w:type="spellStart"/>
            <w:r>
              <w:t>na</w:t>
            </w:r>
            <w:proofErr w:type="spellEnd"/>
            <w:r>
              <w:t xml:space="preserve"> </w:t>
            </w:r>
            <w:proofErr w:type="spellStart"/>
            <w:r>
              <w:t>zróżnicowane</w:t>
            </w:r>
            <w:proofErr w:type="spellEnd"/>
            <w:r>
              <w:t xml:space="preserve"> </w:t>
            </w:r>
            <w:proofErr w:type="spellStart"/>
            <w:r>
              <w:t>traktowanie</w:t>
            </w:r>
            <w:proofErr w:type="spellEnd"/>
            <w:r>
              <w:t xml:space="preserve"> </w:t>
            </w:r>
            <w:proofErr w:type="spellStart"/>
            <w:r>
              <w:t>inwestorów</w:t>
            </w:r>
            <w:proofErr w:type="spellEnd"/>
            <w:r>
              <w:t xml:space="preserve"> </w:t>
            </w:r>
            <w:proofErr w:type="spellStart"/>
            <w:r>
              <w:t>działających</w:t>
            </w:r>
            <w:proofErr w:type="spellEnd"/>
            <w:r>
              <w:t xml:space="preserve"> </w:t>
            </w:r>
            <w:proofErr w:type="spellStart"/>
            <w:r>
              <w:t>zgodnie</w:t>
            </w:r>
            <w:proofErr w:type="spellEnd"/>
            <w:r>
              <w:t xml:space="preserve"> z </w:t>
            </w:r>
            <w:proofErr w:type="spellStart"/>
            <w:r>
              <w:t>zasadą</w:t>
            </w:r>
            <w:proofErr w:type="spellEnd"/>
            <w:r>
              <w:t xml:space="preserve"> </w:t>
            </w:r>
            <w:proofErr w:type="spellStart"/>
            <w:r>
              <w:t>gospodarki</w:t>
            </w:r>
            <w:proofErr w:type="spellEnd"/>
            <w:r>
              <w:t xml:space="preserve"> </w:t>
            </w:r>
            <w:proofErr w:type="spellStart"/>
            <w:r>
              <w:t>rynkowej</w:t>
            </w:r>
            <w:proofErr w:type="spellEnd"/>
            <w:r>
              <w:t xml:space="preserve">, </w:t>
            </w:r>
            <w:proofErr w:type="spellStart"/>
            <w:r>
              <w:t>którzy</w:t>
            </w:r>
            <w:proofErr w:type="spellEnd"/>
            <w:r>
              <w:t xml:space="preserve"> </w:t>
            </w:r>
            <w:proofErr w:type="spellStart"/>
            <w:r>
              <w:t>zapewniają</w:t>
            </w:r>
            <w:proofErr w:type="spellEnd"/>
            <w:r>
              <w:t xml:space="preserve"> </w:t>
            </w:r>
            <w:proofErr w:type="spellStart"/>
            <w:r>
              <w:t>środki</w:t>
            </w:r>
            <w:proofErr w:type="spellEnd"/>
            <w:r>
              <w:t xml:space="preserve"> </w:t>
            </w:r>
            <w:proofErr w:type="spellStart"/>
            <w:r>
              <w:t>odpowiadające</w:t>
            </w:r>
            <w:proofErr w:type="spellEnd"/>
            <w:r>
              <w:t xml:space="preserve"> </w:t>
            </w:r>
            <w:proofErr w:type="spellStart"/>
            <w:r>
              <w:t>wsparciu</w:t>
            </w:r>
            <w:proofErr w:type="spellEnd"/>
            <w:r>
              <w:t xml:space="preserve"> z EFSI </w:t>
            </w:r>
            <w:proofErr w:type="spellStart"/>
            <w:r>
              <w:t>na</w:t>
            </w:r>
            <w:proofErr w:type="spellEnd"/>
            <w:r>
              <w:t xml:space="preserve"> </w:t>
            </w:r>
            <w:proofErr w:type="spellStart"/>
            <w:r>
              <w:t>rzecz</w:t>
            </w:r>
            <w:proofErr w:type="spellEnd"/>
            <w:r>
              <w:t xml:space="preserve"> </w:t>
            </w:r>
            <w:proofErr w:type="spellStart"/>
            <w:r>
              <w:t>instrumentu</w:t>
            </w:r>
            <w:proofErr w:type="spellEnd"/>
            <w:r>
              <w:t xml:space="preserve"> </w:t>
            </w:r>
            <w:proofErr w:type="spellStart"/>
            <w:r>
              <w:t>finansowego</w:t>
            </w:r>
            <w:proofErr w:type="spellEnd"/>
            <w:r>
              <w:t xml:space="preserve"> </w:t>
            </w:r>
            <w:proofErr w:type="spellStart"/>
            <w:r>
              <w:t>lub</w:t>
            </w:r>
            <w:proofErr w:type="spellEnd"/>
            <w:r>
              <w:t xml:space="preserve"> </w:t>
            </w:r>
            <w:proofErr w:type="spellStart"/>
            <w:r>
              <w:t>którzy</w:t>
            </w:r>
            <w:proofErr w:type="spellEnd"/>
            <w:r>
              <w:t xml:space="preserve"> </w:t>
            </w:r>
            <w:proofErr w:type="spellStart"/>
            <w:r>
              <w:t>współfinansują</w:t>
            </w:r>
            <w:proofErr w:type="spellEnd"/>
            <w:r>
              <w:t xml:space="preserve"> </w:t>
            </w:r>
            <w:proofErr w:type="spellStart"/>
            <w:r>
              <w:t>inwestycję</w:t>
            </w:r>
            <w:proofErr w:type="spellEnd"/>
            <w:r>
              <w:t xml:space="preserve"> </w:t>
            </w:r>
            <w:proofErr w:type="spellStart"/>
            <w:r>
              <w:t>na</w:t>
            </w:r>
            <w:proofErr w:type="spellEnd"/>
            <w:r>
              <w:t xml:space="preserve"> </w:t>
            </w:r>
            <w:proofErr w:type="spellStart"/>
            <w:r>
              <w:t>poziomie</w:t>
            </w:r>
            <w:proofErr w:type="spellEnd"/>
            <w:r>
              <w:t xml:space="preserve"> </w:t>
            </w:r>
            <w:proofErr w:type="spellStart"/>
            <w:r>
              <w:t>ostatecznych</w:t>
            </w:r>
            <w:proofErr w:type="spellEnd"/>
            <w:r>
              <w:t xml:space="preserve"> </w:t>
            </w:r>
            <w:proofErr w:type="spellStart"/>
            <w:r>
              <w:t>odbiorców</w:t>
            </w:r>
            <w:proofErr w:type="spellEnd"/>
            <w:r>
              <w:t xml:space="preserve"> (w EUR)</w:t>
            </w:r>
          </w:p>
        </w:tc>
        <w:tc>
          <w:tcPr>
            <w:tcW w:w="0" w:type="auto"/>
            <w:shd w:val="clear" w:color="auto" w:fill="auto"/>
          </w:tcPr>
          <w:p w14:paraId="0C37893B" w14:textId="77777777" w:rsidR="008C5CFA" w:rsidRDefault="008C5CFA" w:rsidP="00300A01">
            <w:pPr>
              <w:spacing w:before="0" w:after="0"/>
              <w:jc w:val="right"/>
            </w:pPr>
          </w:p>
        </w:tc>
      </w:tr>
      <w:tr w:rsidR="006B2EC1" w14:paraId="2DCF84C2" w14:textId="77777777" w:rsidTr="0047688D">
        <w:tc>
          <w:tcPr>
            <w:tcW w:w="0" w:type="auto"/>
            <w:shd w:val="clear" w:color="auto" w:fill="auto"/>
          </w:tcPr>
          <w:p w14:paraId="7518B9FA" w14:textId="77777777" w:rsidR="008C5CFA" w:rsidRDefault="00E82A60" w:rsidP="00300A01">
            <w:pPr>
              <w:spacing w:before="0" w:after="0"/>
            </w:pPr>
            <w:r>
              <w:t xml:space="preserve">37.2. w </w:t>
            </w:r>
            <w:proofErr w:type="spellStart"/>
            <w:r>
              <w:t>tym</w:t>
            </w:r>
            <w:proofErr w:type="spellEnd"/>
            <w:r>
              <w:t xml:space="preserve"> </w:t>
            </w:r>
            <w:proofErr w:type="spellStart"/>
            <w:r>
              <w:t>kwoty</w:t>
            </w:r>
            <w:proofErr w:type="spellEnd"/>
            <w:r>
              <w:t xml:space="preserve"> </w:t>
            </w:r>
            <w:proofErr w:type="spellStart"/>
            <w:r>
              <w:t>wypłacone</w:t>
            </w:r>
            <w:proofErr w:type="spellEnd"/>
            <w:r>
              <w:t xml:space="preserve"> </w:t>
            </w:r>
            <w:proofErr w:type="spellStart"/>
            <w:r>
              <w:t>na</w:t>
            </w:r>
            <w:proofErr w:type="spellEnd"/>
            <w:r>
              <w:t xml:space="preserve"> </w:t>
            </w:r>
            <w:proofErr w:type="spellStart"/>
            <w:r>
              <w:t>refundację</w:t>
            </w:r>
            <w:proofErr w:type="spellEnd"/>
            <w:r>
              <w:t xml:space="preserve"> </w:t>
            </w:r>
            <w:proofErr w:type="spellStart"/>
            <w:r>
              <w:t>poniesionych</w:t>
            </w:r>
            <w:proofErr w:type="spellEnd"/>
            <w:r>
              <w:t xml:space="preserve"> </w:t>
            </w:r>
            <w:proofErr w:type="spellStart"/>
            <w:r>
              <w:t>kosztów</w:t>
            </w:r>
            <w:proofErr w:type="spellEnd"/>
            <w:r>
              <w:t xml:space="preserve"> </w:t>
            </w:r>
            <w:proofErr w:type="spellStart"/>
            <w:r>
              <w:t>zarządzania</w:t>
            </w:r>
            <w:proofErr w:type="spellEnd"/>
            <w:r>
              <w:t xml:space="preserve"> i </w:t>
            </w:r>
            <w:proofErr w:type="spellStart"/>
            <w:r>
              <w:t>opłat</w:t>
            </w:r>
            <w:proofErr w:type="spellEnd"/>
            <w:r>
              <w:t xml:space="preserve"> za </w:t>
            </w:r>
            <w:proofErr w:type="spellStart"/>
            <w:r>
              <w:t>zarządzanie</w:t>
            </w:r>
            <w:proofErr w:type="spellEnd"/>
            <w:r>
              <w:t xml:space="preserve"> </w:t>
            </w:r>
            <w:proofErr w:type="spellStart"/>
            <w:r>
              <w:t>instrumentem</w:t>
            </w:r>
            <w:proofErr w:type="spellEnd"/>
            <w:r>
              <w:t xml:space="preserve"> </w:t>
            </w:r>
            <w:proofErr w:type="spellStart"/>
            <w:r>
              <w:t>finansowym</w:t>
            </w:r>
            <w:proofErr w:type="spellEnd"/>
            <w:r>
              <w:t xml:space="preserve"> (w EUR)</w:t>
            </w:r>
          </w:p>
        </w:tc>
        <w:tc>
          <w:tcPr>
            <w:tcW w:w="0" w:type="auto"/>
            <w:shd w:val="clear" w:color="auto" w:fill="auto"/>
          </w:tcPr>
          <w:p w14:paraId="50A38FC6" w14:textId="77777777" w:rsidR="008C5CFA" w:rsidRDefault="008C5CFA" w:rsidP="00300A01">
            <w:pPr>
              <w:spacing w:before="0" w:after="0"/>
              <w:jc w:val="right"/>
            </w:pPr>
          </w:p>
        </w:tc>
      </w:tr>
      <w:tr w:rsidR="006B2EC1" w14:paraId="27A59FE4" w14:textId="77777777" w:rsidTr="0047688D">
        <w:tc>
          <w:tcPr>
            <w:tcW w:w="0" w:type="auto"/>
            <w:shd w:val="clear" w:color="auto" w:fill="auto"/>
          </w:tcPr>
          <w:p w14:paraId="0D24DA8D" w14:textId="77777777" w:rsidR="008C5CFA" w:rsidRDefault="00E82A60" w:rsidP="00300A01">
            <w:pPr>
              <w:spacing w:before="0" w:after="0"/>
            </w:pPr>
            <w:r>
              <w:t xml:space="preserve">37.3 w </w:t>
            </w:r>
            <w:proofErr w:type="spellStart"/>
            <w:r>
              <w:t>tym</w:t>
            </w:r>
            <w:proofErr w:type="spellEnd"/>
            <w:r>
              <w:t xml:space="preserve"> </w:t>
            </w:r>
            <w:proofErr w:type="spellStart"/>
            <w:r>
              <w:t>kwoty</w:t>
            </w:r>
            <w:proofErr w:type="spellEnd"/>
            <w:r>
              <w:t xml:space="preserve"> </w:t>
            </w:r>
            <w:proofErr w:type="spellStart"/>
            <w:r>
              <w:t>na</w:t>
            </w:r>
            <w:proofErr w:type="spellEnd"/>
            <w:r>
              <w:t xml:space="preserve"> </w:t>
            </w:r>
            <w:proofErr w:type="spellStart"/>
            <w:r>
              <w:t>pokrycie</w:t>
            </w:r>
            <w:proofErr w:type="spellEnd"/>
            <w:r>
              <w:t xml:space="preserve"> w </w:t>
            </w:r>
            <w:proofErr w:type="spellStart"/>
            <w:r>
              <w:t>kwocie</w:t>
            </w:r>
            <w:proofErr w:type="spellEnd"/>
            <w:r>
              <w:t xml:space="preserve"> </w:t>
            </w:r>
            <w:proofErr w:type="spellStart"/>
            <w:r>
              <w:t>nominalnej</w:t>
            </w:r>
            <w:proofErr w:type="spellEnd"/>
            <w:r>
              <w:t xml:space="preserve"> </w:t>
            </w:r>
            <w:proofErr w:type="spellStart"/>
            <w:r>
              <w:t>straty</w:t>
            </w:r>
            <w:proofErr w:type="spellEnd"/>
            <w:r>
              <w:t xml:space="preserve"> </w:t>
            </w:r>
            <w:proofErr w:type="spellStart"/>
            <w:r>
              <w:t>wkładu</w:t>
            </w:r>
            <w:proofErr w:type="spellEnd"/>
            <w:r>
              <w:t xml:space="preserve"> EFSI </w:t>
            </w:r>
            <w:proofErr w:type="spellStart"/>
            <w:r>
              <w:t>na</w:t>
            </w:r>
            <w:proofErr w:type="spellEnd"/>
            <w:r>
              <w:t xml:space="preserve"> </w:t>
            </w:r>
            <w:proofErr w:type="spellStart"/>
            <w:r>
              <w:t>rzecz</w:t>
            </w:r>
            <w:proofErr w:type="spellEnd"/>
            <w:r>
              <w:t xml:space="preserve"> </w:t>
            </w:r>
            <w:proofErr w:type="spellStart"/>
            <w:r>
              <w:t>instrumentów</w:t>
            </w:r>
            <w:proofErr w:type="spellEnd"/>
            <w:r>
              <w:t xml:space="preserve"> </w:t>
            </w:r>
            <w:proofErr w:type="spellStart"/>
            <w:r>
              <w:t>finansowych</w:t>
            </w:r>
            <w:proofErr w:type="spellEnd"/>
            <w:r>
              <w:t xml:space="preserve"> </w:t>
            </w:r>
            <w:proofErr w:type="spellStart"/>
            <w:r>
              <w:t>wynikającej</w:t>
            </w:r>
            <w:proofErr w:type="spellEnd"/>
            <w:r>
              <w:t xml:space="preserve"> z </w:t>
            </w:r>
            <w:proofErr w:type="spellStart"/>
            <w:r>
              <w:t>ujemnych</w:t>
            </w:r>
            <w:proofErr w:type="spellEnd"/>
            <w:r>
              <w:t xml:space="preserve"> </w:t>
            </w:r>
            <w:proofErr w:type="spellStart"/>
            <w:r>
              <w:t>odsetek</w:t>
            </w:r>
            <w:proofErr w:type="spellEnd"/>
            <w:r>
              <w:t xml:space="preserve">, </w:t>
            </w:r>
            <w:proofErr w:type="spellStart"/>
            <w:r>
              <w:t>jeżeli</w:t>
            </w:r>
            <w:proofErr w:type="spellEnd"/>
            <w:r>
              <w:t xml:space="preserve"> strata ta </w:t>
            </w:r>
            <w:proofErr w:type="spellStart"/>
            <w:r>
              <w:t>nastąpiła</w:t>
            </w:r>
            <w:proofErr w:type="spellEnd"/>
            <w:r>
              <w:t xml:space="preserve"> </w:t>
            </w:r>
            <w:proofErr w:type="spellStart"/>
            <w:r>
              <w:t>pomimo</w:t>
            </w:r>
            <w:proofErr w:type="spellEnd"/>
            <w:r>
              <w:t xml:space="preserve"> </w:t>
            </w:r>
            <w:proofErr w:type="spellStart"/>
            <w:r>
              <w:t>aktywnego</w:t>
            </w:r>
            <w:proofErr w:type="spellEnd"/>
            <w:r>
              <w:t xml:space="preserve"> </w:t>
            </w:r>
            <w:proofErr w:type="spellStart"/>
            <w:r>
              <w:t>zarządzania</w:t>
            </w:r>
            <w:proofErr w:type="spellEnd"/>
            <w:r>
              <w:t xml:space="preserve"> </w:t>
            </w:r>
            <w:proofErr w:type="spellStart"/>
            <w:r>
              <w:t>zasobami</w:t>
            </w:r>
            <w:proofErr w:type="spellEnd"/>
            <w:r>
              <w:t xml:space="preserve"> </w:t>
            </w:r>
            <w:proofErr w:type="spellStart"/>
            <w:r>
              <w:t>finansowymi</w:t>
            </w:r>
            <w:proofErr w:type="spellEnd"/>
            <w:r>
              <w:t xml:space="preserve"> </w:t>
            </w:r>
            <w:proofErr w:type="spellStart"/>
            <w:r>
              <w:t>przez</w:t>
            </w:r>
            <w:proofErr w:type="spellEnd"/>
            <w:r>
              <w:t xml:space="preserve"> </w:t>
            </w:r>
            <w:proofErr w:type="spellStart"/>
            <w:r>
              <w:t>podmioty</w:t>
            </w:r>
            <w:proofErr w:type="spellEnd"/>
            <w:r>
              <w:t xml:space="preserve"> </w:t>
            </w:r>
            <w:proofErr w:type="spellStart"/>
            <w:r>
              <w:t>wdrażające</w:t>
            </w:r>
            <w:proofErr w:type="spellEnd"/>
            <w:r>
              <w:t xml:space="preserve"> </w:t>
            </w:r>
            <w:proofErr w:type="spellStart"/>
            <w:r>
              <w:t>instrumenty</w:t>
            </w:r>
            <w:proofErr w:type="spellEnd"/>
            <w:r>
              <w:t xml:space="preserve"> </w:t>
            </w:r>
            <w:proofErr w:type="spellStart"/>
            <w:r>
              <w:t>finansowe</w:t>
            </w:r>
            <w:proofErr w:type="spellEnd"/>
            <w:r>
              <w:t xml:space="preserve"> (w EUR)</w:t>
            </w:r>
          </w:p>
        </w:tc>
        <w:tc>
          <w:tcPr>
            <w:tcW w:w="0" w:type="auto"/>
            <w:shd w:val="clear" w:color="auto" w:fill="auto"/>
          </w:tcPr>
          <w:p w14:paraId="59E0FF0E" w14:textId="77777777" w:rsidR="008C5CFA" w:rsidRDefault="008C5CFA" w:rsidP="00300A01">
            <w:pPr>
              <w:spacing w:before="0" w:after="0"/>
              <w:jc w:val="right"/>
            </w:pPr>
          </w:p>
        </w:tc>
      </w:tr>
      <w:tr w:rsidR="006B2EC1" w14:paraId="7DEF4069" w14:textId="77777777" w:rsidTr="0047688D">
        <w:tc>
          <w:tcPr>
            <w:tcW w:w="0" w:type="auto"/>
            <w:gridSpan w:val="2"/>
            <w:shd w:val="clear" w:color="auto" w:fill="auto"/>
          </w:tcPr>
          <w:p w14:paraId="17F3C592" w14:textId="77777777" w:rsidR="008C5CFA" w:rsidRDefault="00E82A60" w:rsidP="00300A01">
            <w:pPr>
              <w:spacing w:before="0" w:after="0"/>
            </w:pPr>
            <w:r>
              <w:rPr>
                <w:b/>
              </w:rPr>
              <w:t xml:space="preserve">VIII. </w:t>
            </w:r>
            <w:proofErr w:type="spellStart"/>
            <w:r>
              <w:rPr>
                <w:b/>
              </w:rPr>
              <w:t>Postępy</w:t>
            </w:r>
            <w:proofErr w:type="spellEnd"/>
            <w:r>
              <w:rPr>
                <w:b/>
              </w:rPr>
              <w:t xml:space="preserve"> w </w:t>
            </w:r>
            <w:proofErr w:type="spellStart"/>
            <w:r>
              <w:rPr>
                <w:b/>
              </w:rPr>
              <w:t>osiąganiu</w:t>
            </w:r>
            <w:proofErr w:type="spellEnd"/>
            <w:r>
              <w:rPr>
                <w:b/>
              </w:rPr>
              <w:t xml:space="preserve"> </w:t>
            </w:r>
            <w:proofErr w:type="spellStart"/>
            <w:r>
              <w:rPr>
                <w:b/>
              </w:rPr>
              <w:t>spodziewanego</w:t>
            </w:r>
            <w:proofErr w:type="spellEnd"/>
            <w:r>
              <w:rPr>
                <w:b/>
              </w:rPr>
              <w:t xml:space="preserve"> </w:t>
            </w:r>
            <w:proofErr w:type="spellStart"/>
            <w:r>
              <w:rPr>
                <w:b/>
              </w:rPr>
              <w:t>efektu</w:t>
            </w:r>
            <w:proofErr w:type="spellEnd"/>
            <w:r>
              <w:rPr>
                <w:b/>
              </w:rPr>
              <w:t xml:space="preserve"> </w:t>
            </w:r>
            <w:proofErr w:type="spellStart"/>
            <w:r>
              <w:rPr>
                <w:b/>
              </w:rPr>
              <w:t>dźwigni</w:t>
            </w:r>
            <w:proofErr w:type="spellEnd"/>
            <w:r>
              <w:rPr>
                <w:b/>
              </w:rPr>
              <w:t xml:space="preserve"> z </w:t>
            </w:r>
            <w:proofErr w:type="spellStart"/>
            <w:r>
              <w:rPr>
                <w:b/>
              </w:rPr>
              <w:t>inwestycji</w:t>
            </w:r>
            <w:proofErr w:type="spellEnd"/>
            <w:r>
              <w:rPr>
                <w:b/>
              </w:rPr>
              <w:t xml:space="preserve"> </w:t>
            </w:r>
            <w:proofErr w:type="spellStart"/>
            <w:r>
              <w:rPr>
                <w:b/>
              </w:rPr>
              <w:t>dokonywanych</w:t>
            </w:r>
            <w:proofErr w:type="spellEnd"/>
            <w:r>
              <w:rPr>
                <w:b/>
              </w:rPr>
              <w:t xml:space="preserve"> w </w:t>
            </w:r>
            <w:proofErr w:type="spellStart"/>
            <w:r>
              <w:rPr>
                <w:b/>
              </w:rPr>
              <w:t>ramach</w:t>
            </w:r>
            <w:proofErr w:type="spellEnd"/>
            <w:r>
              <w:rPr>
                <w:b/>
              </w:rPr>
              <w:t xml:space="preserve"> </w:t>
            </w:r>
            <w:proofErr w:type="spellStart"/>
            <w:r>
              <w:rPr>
                <w:b/>
              </w:rPr>
              <w:t>instrumentu</w:t>
            </w:r>
            <w:proofErr w:type="spellEnd"/>
            <w:r>
              <w:rPr>
                <w:b/>
              </w:rPr>
              <w:t xml:space="preserve"> </w:t>
            </w:r>
            <w:proofErr w:type="spellStart"/>
            <w:r>
              <w:rPr>
                <w:b/>
              </w:rPr>
              <w:t>finansowego</w:t>
            </w:r>
            <w:proofErr w:type="spellEnd"/>
            <w:r>
              <w:rPr>
                <w:b/>
              </w:rPr>
              <w:t xml:space="preserve"> </w:t>
            </w:r>
            <w:proofErr w:type="spellStart"/>
            <w:r>
              <w:rPr>
                <w:b/>
              </w:rPr>
              <w:t>oraz</w:t>
            </w:r>
            <w:proofErr w:type="spellEnd"/>
            <w:r>
              <w:rPr>
                <w:b/>
              </w:rPr>
              <w:t xml:space="preserve"> </w:t>
            </w:r>
            <w:proofErr w:type="spellStart"/>
            <w:r>
              <w:rPr>
                <w:b/>
              </w:rPr>
              <w:t>wartość</w:t>
            </w:r>
            <w:proofErr w:type="spellEnd"/>
            <w:r>
              <w:rPr>
                <w:b/>
              </w:rPr>
              <w:t xml:space="preserve"> </w:t>
            </w:r>
            <w:proofErr w:type="spellStart"/>
            <w:r>
              <w:rPr>
                <w:b/>
              </w:rPr>
              <w:t>inwestycji</w:t>
            </w:r>
            <w:proofErr w:type="spellEnd"/>
            <w:r>
              <w:rPr>
                <w:b/>
              </w:rPr>
              <w:t xml:space="preserve"> i </w:t>
            </w:r>
            <w:proofErr w:type="spellStart"/>
            <w:r>
              <w:rPr>
                <w:b/>
              </w:rPr>
              <w:t>uczestnictwa</w:t>
            </w:r>
            <w:proofErr w:type="spellEnd"/>
            <w:r>
              <w:rPr>
                <w:b/>
              </w:rPr>
              <w:t xml:space="preserve"> (art. 46 </w:t>
            </w:r>
            <w:proofErr w:type="spellStart"/>
            <w:r>
              <w:rPr>
                <w:b/>
              </w:rPr>
              <w:t>ust</w:t>
            </w:r>
            <w:proofErr w:type="spellEnd"/>
            <w:r>
              <w:rPr>
                <w:b/>
              </w:rPr>
              <w:t xml:space="preserve">. 2 lit. h) </w:t>
            </w:r>
            <w:proofErr w:type="spellStart"/>
            <w:r>
              <w:rPr>
                <w:b/>
              </w:rPr>
              <w:t>rozporządzenia</w:t>
            </w:r>
            <w:proofErr w:type="spellEnd"/>
            <w:r>
              <w:rPr>
                <w:b/>
              </w:rPr>
              <w:t xml:space="preserve"> (UE) nr 1303/2013)</w:t>
            </w:r>
          </w:p>
        </w:tc>
      </w:tr>
      <w:tr w:rsidR="006B2EC1" w14:paraId="7B85F456" w14:textId="77777777" w:rsidTr="0047688D">
        <w:tc>
          <w:tcPr>
            <w:tcW w:w="0" w:type="auto"/>
            <w:gridSpan w:val="2"/>
            <w:shd w:val="clear" w:color="auto" w:fill="auto"/>
          </w:tcPr>
          <w:p w14:paraId="5E86FC32" w14:textId="77777777" w:rsidR="008C5CFA" w:rsidRDefault="00E82A60" w:rsidP="00300A01">
            <w:pPr>
              <w:spacing w:before="0" w:after="0"/>
            </w:pPr>
            <w:r>
              <w:rPr>
                <w:b/>
              </w:rPr>
              <w:t xml:space="preserve">38. </w:t>
            </w:r>
            <w:proofErr w:type="spellStart"/>
            <w:r>
              <w:rPr>
                <w:b/>
              </w:rPr>
              <w:t>Łączna</w:t>
            </w:r>
            <w:proofErr w:type="spellEnd"/>
            <w:r>
              <w:rPr>
                <w:b/>
              </w:rPr>
              <w:t xml:space="preserve"> </w:t>
            </w:r>
            <w:proofErr w:type="spellStart"/>
            <w:r>
              <w:rPr>
                <w:b/>
              </w:rPr>
              <w:t>kwota</w:t>
            </w:r>
            <w:proofErr w:type="spellEnd"/>
            <w:r>
              <w:rPr>
                <w:b/>
              </w:rPr>
              <w:t xml:space="preserve"> </w:t>
            </w:r>
            <w:proofErr w:type="spellStart"/>
            <w:r>
              <w:rPr>
                <w:b/>
              </w:rPr>
              <w:t>innych</w:t>
            </w:r>
            <w:proofErr w:type="spellEnd"/>
            <w:r>
              <w:rPr>
                <w:b/>
              </w:rPr>
              <w:t xml:space="preserve"> </w:t>
            </w:r>
            <w:proofErr w:type="spellStart"/>
            <w:r>
              <w:rPr>
                <w:b/>
              </w:rPr>
              <w:t>wkładów</w:t>
            </w:r>
            <w:proofErr w:type="spellEnd"/>
            <w:r>
              <w:rPr>
                <w:b/>
              </w:rPr>
              <w:t xml:space="preserve">, </w:t>
            </w:r>
            <w:proofErr w:type="spellStart"/>
            <w:r>
              <w:rPr>
                <w:b/>
              </w:rPr>
              <w:t>poza</w:t>
            </w:r>
            <w:proofErr w:type="spellEnd"/>
            <w:r>
              <w:rPr>
                <w:b/>
              </w:rPr>
              <w:t xml:space="preserve"> EFSI, </w:t>
            </w:r>
            <w:proofErr w:type="spellStart"/>
            <w:r>
              <w:rPr>
                <w:b/>
              </w:rPr>
              <w:t>pozyskanych</w:t>
            </w:r>
            <w:proofErr w:type="spellEnd"/>
            <w:r>
              <w:rPr>
                <w:b/>
              </w:rPr>
              <w:t xml:space="preserve"> </w:t>
            </w:r>
            <w:proofErr w:type="spellStart"/>
            <w:r>
              <w:rPr>
                <w:b/>
              </w:rPr>
              <w:t>przez</w:t>
            </w:r>
            <w:proofErr w:type="spellEnd"/>
            <w:r>
              <w:rPr>
                <w:b/>
              </w:rPr>
              <w:t xml:space="preserve"> instrument </w:t>
            </w:r>
            <w:proofErr w:type="spellStart"/>
            <w:r>
              <w:rPr>
                <w:b/>
              </w:rPr>
              <w:t>finansowy</w:t>
            </w:r>
            <w:proofErr w:type="spellEnd"/>
            <w:r>
              <w:rPr>
                <w:b/>
              </w:rPr>
              <w:t xml:space="preserve"> (EUR)</w:t>
            </w:r>
          </w:p>
        </w:tc>
      </w:tr>
      <w:tr w:rsidR="006B2EC1" w14:paraId="21BAC3D3" w14:textId="77777777" w:rsidTr="0047688D">
        <w:tc>
          <w:tcPr>
            <w:tcW w:w="0" w:type="auto"/>
            <w:shd w:val="clear" w:color="auto" w:fill="auto"/>
          </w:tcPr>
          <w:p w14:paraId="5CFB6FD7" w14:textId="77777777" w:rsidR="008C5CFA" w:rsidRDefault="00E82A60" w:rsidP="00300A01">
            <w:pPr>
              <w:spacing w:before="0" w:after="0"/>
            </w:pPr>
            <w:r>
              <w:t xml:space="preserve">38.1. </w:t>
            </w:r>
            <w:proofErr w:type="spellStart"/>
            <w:r>
              <w:t>Łączna</w:t>
            </w:r>
            <w:proofErr w:type="spellEnd"/>
            <w:r>
              <w:t xml:space="preserve"> </w:t>
            </w:r>
            <w:proofErr w:type="spellStart"/>
            <w:r>
              <w:t>kwota</w:t>
            </w:r>
            <w:proofErr w:type="spellEnd"/>
            <w:r>
              <w:t xml:space="preserve"> </w:t>
            </w:r>
            <w:proofErr w:type="spellStart"/>
            <w:r>
              <w:t>innych</w:t>
            </w:r>
            <w:proofErr w:type="spellEnd"/>
            <w:r>
              <w:t xml:space="preserve"> </w:t>
            </w:r>
            <w:proofErr w:type="spellStart"/>
            <w:r>
              <w:t>wkładów</w:t>
            </w:r>
            <w:proofErr w:type="spellEnd"/>
            <w:r>
              <w:t xml:space="preserve">, </w:t>
            </w:r>
            <w:proofErr w:type="spellStart"/>
            <w:r>
              <w:t>poza</w:t>
            </w:r>
            <w:proofErr w:type="spellEnd"/>
            <w:r>
              <w:t xml:space="preserve"> EFSI, </w:t>
            </w:r>
            <w:proofErr w:type="spellStart"/>
            <w:r>
              <w:t>zaangażowanych</w:t>
            </w:r>
            <w:proofErr w:type="spellEnd"/>
            <w:r>
              <w:t xml:space="preserve"> w </w:t>
            </w:r>
            <w:proofErr w:type="spellStart"/>
            <w:r>
              <w:t>ramach</w:t>
            </w:r>
            <w:proofErr w:type="spellEnd"/>
            <w:r>
              <w:t xml:space="preserve"> </w:t>
            </w:r>
            <w:proofErr w:type="spellStart"/>
            <w:r>
              <w:t>umowy</w:t>
            </w:r>
            <w:proofErr w:type="spellEnd"/>
            <w:r>
              <w:t xml:space="preserve"> o </w:t>
            </w:r>
            <w:proofErr w:type="spellStart"/>
            <w:r>
              <w:t>finansowaniu</w:t>
            </w:r>
            <w:proofErr w:type="spellEnd"/>
            <w:r>
              <w:t xml:space="preserve"> z </w:t>
            </w:r>
            <w:proofErr w:type="spellStart"/>
            <w:r>
              <w:t>podmiotem</w:t>
            </w:r>
            <w:proofErr w:type="spellEnd"/>
            <w:r>
              <w:t xml:space="preserve"> </w:t>
            </w:r>
            <w:proofErr w:type="spellStart"/>
            <w:r>
              <w:t>wdrażającym</w:t>
            </w:r>
            <w:proofErr w:type="spellEnd"/>
            <w:r>
              <w:t xml:space="preserve"> instrument </w:t>
            </w:r>
            <w:proofErr w:type="spellStart"/>
            <w:r>
              <w:t>finansowy</w:t>
            </w:r>
            <w:proofErr w:type="spellEnd"/>
            <w:r>
              <w:t xml:space="preserve"> (w EUR)</w:t>
            </w:r>
          </w:p>
        </w:tc>
        <w:tc>
          <w:tcPr>
            <w:tcW w:w="0" w:type="auto"/>
            <w:shd w:val="clear" w:color="auto" w:fill="auto"/>
          </w:tcPr>
          <w:p w14:paraId="34FE7AD3" w14:textId="77777777" w:rsidR="008C5CFA" w:rsidRDefault="00E82A60" w:rsidP="00300A01">
            <w:pPr>
              <w:spacing w:before="0" w:after="0"/>
              <w:jc w:val="right"/>
            </w:pPr>
            <w:r>
              <w:t>8 656 249,87</w:t>
            </w:r>
          </w:p>
        </w:tc>
      </w:tr>
      <w:tr w:rsidR="006B2EC1" w14:paraId="1557BE05" w14:textId="77777777" w:rsidTr="0047688D">
        <w:tc>
          <w:tcPr>
            <w:tcW w:w="0" w:type="auto"/>
            <w:shd w:val="clear" w:color="auto" w:fill="auto"/>
          </w:tcPr>
          <w:p w14:paraId="14F740F5" w14:textId="77777777" w:rsidR="008C5CFA" w:rsidRDefault="00E82A60" w:rsidP="00300A01">
            <w:pPr>
              <w:spacing w:before="0" w:after="0"/>
            </w:pPr>
            <w:r>
              <w:t xml:space="preserve">38.1 A. </w:t>
            </w:r>
            <w:proofErr w:type="spellStart"/>
            <w:r>
              <w:t>Wkłady</w:t>
            </w:r>
            <w:proofErr w:type="spellEnd"/>
            <w:r>
              <w:t xml:space="preserve"> w </w:t>
            </w:r>
            <w:proofErr w:type="spellStart"/>
            <w:r>
              <w:t>ramach</w:t>
            </w:r>
            <w:proofErr w:type="spellEnd"/>
            <w:r>
              <w:t xml:space="preserve"> </w:t>
            </w:r>
            <w:proofErr w:type="spellStart"/>
            <w:r>
              <w:t>produktu</w:t>
            </w:r>
            <w:proofErr w:type="spellEnd"/>
            <w:r>
              <w:t xml:space="preserve"> </w:t>
            </w:r>
            <w:proofErr w:type="spellStart"/>
            <w:r>
              <w:t>finansowego</w:t>
            </w:r>
            <w:proofErr w:type="spellEnd"/>
            <w:r>
              <w:t xml:space="preserve"> EBI </w:t>
            </w:r>
            <w:proofErr w:type="spellStart"/>
            <w:r>
              <w:t>zaangażowane</w:t>
            </w:r>
            <w:proofErr w:type="spellEnd"/>
            <w:r>
              <w:t xml:space="preserve"> w </w:t>
            </w:r>
            <w:proofErr w:type="spellStart"/>
            <w:r>
              <w:t>ramach</w:t>
            </w:r>
            <w:proofErr w:type="spellEnd"/>
            <w:r>
              <w:t xml:space="preserve"> </w:t>
            </w:r>
            <w:proofErr w:type="spellStart"/>
            <w:r>
              <w:t>umowy</w:t>
            </w:r>
            <w:proofErr w:type="spellEnd"/>
            <w:r>
              <w:t xml:space="preserve"> o </w:t>
            </w:r>
            <w:proofErr w:type="spellStart"/>
            <w:r>
              <w:t>finansowanie</w:t>
            </w:r>
            <w:proofErr w:type="spellEnd"/>
            <w:r>
              <w:t xml:space="preserve"> z </w:t>
            </w:r>
            <w:proofErr w:type="spellStart"/>
            <w:r>
              <w:t>podmiotem</w:t>
            </w:r>
            <w:proofErr w:type="spellEnd"/>
            <w:r>
              <w:t xml:space="preserve"> </w:t>
            </w:r>
            <w:proofErr w:type="spellStart"/>
            <w:r>
              <w:t>wdrażającym</w:t>
            </w:r>
            <w:proofErr w:type="spellEnd"/>
            <w:r>
              <w:t xml:space="preserve"> instrument </w:t>
            </w:r>
            <w:proofErr w:type="spellStart"/>
            <w:r>
              <w:t>finansowy</w:t>
            </w:r>
            <w:proofErr w:type="spellEnd"/>
            <w:r>
              <w:t xml:space="preserve"> (</w:t>
            </w:r>
            <w:proofErr w:type="spellStart"/>
            <w:r>
              <w:t>dotyczy</w:t>
            </w:r>
            <w:proofErr w:type="spellEnd"/>
            <w:r>
              <w:t xml:space="preserve"> </w:t>
            </w:r>
            <w:proofErr w:type="spellStart"/>
            <w:r>
              <w:t>wyłącznie</w:t>
            </w:r>
            <w:proofErr w:type="spellEnd"/>
            <w:r>
              <w:t xml:space="preserve"> </w:t>
            </w:r>
            <w:proofErr w:type="spellStart"/>
            <w:r>
              <w:t>instrumentów</w:t>
            </w:r>
            <w:proofErr w:type="spellEnd"/>
            <w:r>
              <w:t xml:space="preserve">, o </w:t>
            </w:r>
            <w:proofErr w:type="spellStart"/>
            <w:r>
              <w:t>których</w:t>
            </w:r>
            <w:proofErr w:type="spellEnd"/>
            <w:r>
              <w:t xml:space="preserve"> </w:t>
            </w:r>
            <w:proofErr w:type="spellStart"/>
            <w:r>
              <w:t>mowa</w:t>
            </w:r>
            <w:proofErr w:type="spellEnd"/>
            <w:r>
              <w:t xml:space="preserve"> w art. 38 </w:t>
            </w:r>
            <w:proofErr w:type="spellStart"/>
            <w:r>
              <w:t>ust</w:t>
            </w:r>
            <w:proofErr w:type="spellEnd"/>
            <w:r>
              <w:t>. 1 lit. c)) (w EUR)</w:t>
            </w:r>
          </w:p>
        </w:tc>
        <w:tc>
          <w:tcPr>
            <w:tcW w:w="0" w:type="auto"/>
            <w:shd w:val="clear" w:color="auto" w:fill="auto"/>
          </w:tcPr>
          <w:p w14:paraId="6C83BF88" w14:textId="77777777" w:rsidR="008C5CFA" w:rsidRDefault="008C5CFA" w:rsidP="00300A01">
            <w:pPr>
              <w:spacing w:before="0" w:after="0"/>
              <w:jc w:val="right"/>
            </w:pPr>
          </w:p>
        </w:tc>
      </w:tr>
      <w:tr w:rsidR="006B2EC1" w14:paraId="7B1CCAB1" w14:textId="77777777" w:rsidTr="0047688D">
        <w:tc>
          <w:tcPr>
            <w:tcW w:w="0" w:type="auto"/>
            <w:shd w:val="clear" w:color="auto" w:fill="auto"/>
          </w:tcPr>
          <w:p w14:paraId="622171CC" w14:textId="77777777" w:rsidR="008C5CFA" w:rsidRDefault="00E82A60" w:rsidP="00300A01">
            <w:pPr>
              <w:spacing w:before="0" w:after="0"/>
            </w:pPr>
            <w:r>
              <w:t xml:space="preserve">38.2. </w:t>
            </w:r>
            <w:proofErr w:type="spellStart"/>
            <w:r>
              <w:t>Łączna</w:t>
            </w:r>
            <w:proofErr w:type="spellEnd"/>
            <w:r>
              <w:t xml:space="preserve"> </w:t>
            </w:r>
            <w:proofErr w:type="spellStart"/>
            <w:r>
              <w:t>kwota</w:t>
            </w:r>
            <w:proofErr w:type="spellEnd"/>
            <w:r>
              <w:t xml:space="preserve"> </w:t>
            </w:r>
            <w:proofErr w:type="spellStart"/>
            <w:r>
              <w:t>innych</w:t>
            </w:r>
            <w:proofErr w:type="spellEnd"/>
            <w:r>
              <w:t xml:space="preserve"> </w:t>
            </w:r>
            <w:proofErr w:type="spellStart"/>
            <w:r>
              <w:t>wkładów</w:t>
            </w:r>
            <w:proofErr w:type="spellEnd"/>
            <w:r>
              <w:t xml:space="preserve">, </w:t>
            </w:r>
            <w:proofErr w:type="spellStart"/>
            <w:r>
              <w:t>poza</w:t>
            </w:r>
            <w:proofErr w:type="spellEnd"/>
            <w:r>
              <w:t xml:space="preserve"> EFSI, </w:t>
            </w:r>
            <w:proofErr w:type="spellStart"/>
            <w:r>
              <w:t>wypłaconych</w:t>
            </w:r>
            <w:proofErr w:type="spellEnd"/>
            <w:r>
              <w:t xml:space="preserve"> </w:t>
            </w:r>
            <w:proofErr w:type="spellStart"/>
            <w:r>
              <w:t>na</w:t>
            </w:r>
            <w:proofErr w:type="spellEnd"/>
            <w:r>
              <w:t xml:space="preserve"> </w:t>
            </w:r>
            <w:proofErr w:type="spellStart"/>
            <w:r>
              <w:t>rzecz</w:t>
            </w:r>
            <w:proofErr w:type="spellEnd"/>
            <w:r>
              <w:t xml:space="preserve"> </w:t>
            </w:r>
            <w:proofErr w:type="spellStart"/>
            <w:r>
              <w:t>instrumentu</w:t>
            </w:r>
            <w:proofErr w:type="spellEnd"/>
            <w:r>
              <w:t xml:space="preserve"> </w:t>
            </w:r>
            <w:proofErr w:type="spellStart"/>
            <w:r>
              <w:t>finansowego</w:t>
            </w:r>
            <w:proofErr w:type="spellEnd"/>
            <w:r>
              <w:t xml:space="preserve"> (w EUR)</w:t>
            </w:r>
          </w:p>
        </w:tc>
        <w:tc>
          <w:tcPr>
            <w:tcW w:w="0" w:type="auto"/>
            <w:shd w:val="clear" w:color="auto" w:fill="auto"/>
          </w:tcPr>
          <w:p w14:paraId="381790DA" w14:textId="77777777" w:rsidR="008C5CFA" w:rsidRDefault="00E82A60" w:rsidP="00300A01">
            <w:pPr>
              <w:spacing w:before="0" w:after="0"/>
              <w:jc w:val="right"/>
            </w:pPr>
            <w:r>
              <w:t>5 853 545,95</w:t>
            </w:r>
          </w:p>
        </w:tc>
      </w:tr>
      <w:tr w:rsidR="006B2EC1" w14:paraId="7F7430CA" w14:textId="77777777" w:rsidTr="0047688D">
        <w:tc>
          <w:tcPr>
            <w:tcW w:w="0" w:type="auto"/>
            <w:shd w:val="clear" w:color="auto" w:fill="auto"/>
          </w:tcPr>
          <w:p w14:paraId="1A98DDCA" w14:textId="77777777" w:rsidR="008C5CFA" w:rsidRDefault="00E82A60" w:rsidP="00300A01">
            <w:pPr>
              <w:spacing w:before="0" w:after="0"/>
            </w:pPr>
            <w:r>
              <w:t xml:space="preserve">38.2.1. w </w:t>
            </w:r>
            <w:proofErr w:type="spellStart"/>
            <w:r>
              <w:t>tym</w:t>
            </w:r>
            <w:proofErr w:type="spellEnd"/>
            <w:r>
              <w:t xml:space="preserve"> </w:t>
            </w:r>
            <w:proofErr w:type="spellStart"/>
            <w:r>
              <w:t>wkłady</w:t>
            </w:r>
            <w:proofErr w:type="spellEnd"/>
            <w:r>
              <w:t xml:space="preserve"> </w:t>
            </w:r>
            <w:proofErr w:type="spellStart"/>
            <w:r>
              <w:t>publiczne</w:t>
            </w:r>
            <w:proofErr w:type="spellEnd"/>
            <w:r>
              <w:t xml:space="preserve"> (w EUR)</w:t>
            </w:r>
          </w:p>
        </w:tc>
        <w:tc>
          <w:tcPr>
            <w:tcW w:w="0" w:type="auto"/>
            <w:shd w:val="clear" w:color="auto" w:fill="auto"/>
          </w:tcPr>
          <w:p w14:paraId="75816107" w14:textId="77777777" w:rsidR="008C5CFA" w:rsidRDefault="008C5CFA" w:rsidP="00300A01">
            <w:pPr>
              <w:spacing w:before="0" w:after="0"/>
              <w:jc w:val="right"/>
            </w:pPr>
          </w:p>
        </w:tc>
      </w:tr>
      <w:tr w:rsidR="006B2EC1" w14:paraId="7BC84475" w14:textId="77777777" w:rsidTr="0047688D">
        <w:tc>
          <w:tcPr>
            <w:tcW w:w="0" w:type="auto"/>
            <w:shd w:val="clear" w:color="auto" w:fill="auto"/>
          </w:tcPr>
          <w:p w14:paraId="2780C147" w14:textId="77777777" w:rsidR="008C5CFA" w:rsidRDefault="00E82A60" w:rsidP="00300A01">
            <w:pPr>
              <w:spacing w:before="0" w:after="0"/>
            </w:pPr>
            <w:r>
              <w:t xml:space="preserve">38.2.2. w </w:t>
            </w:r>
            <w:proofErr w:type="spellStart"/>
            <w:r>
              <w:t>tym</w:t>
            </w:r>
            <w:proofErr w:type="spellEnd"/>
            <w:r>
              <w:t xml:space="preserve"> </w:t>
            </w:r>
            <w:proofErr w:type="spellStart"/>
            <w:r>
              <w:t>wkłady</w:t>
            </w:r>
            <w:proofErr w:type="spellEnd"/>
            <w:r>
              <w:t xml:space="preserve"> </w:t>
            </w:r>
            <w:proofErr w:type="spellStart"/>
            <w:r>
              <w:t>prywatne</w:t>
            </w:r>
            <w:proofErr w:type="spellEnd"/>
            <w:r>
              <w:t xml:space="preserve"> (w EUR)</w:t>
            </w:r>
          </w:p>
        </w:tc>
        <w:tc>
          <w:tcPr>
            <w:tcW w:w="0" w:type="auto"/>
            <w:shd w:val="clear" w:color="auto" w:fill="auto"/>
          </w:tcPr>
          <w:p w14:paraId="11837911" w14:textId="77777777" w:rsidR="008C5CFA" w:rsidRDefault="00E82A60" w:rsidP="00300A01">
            <w:pPr>
              <w:spacing w:before="0" w:after="0"/>
              <w:jc w:val="right"/>
            </w:pPr>
            <w:r>
              <w:t>5 853 545,95</w:t>
            </w:r>
          </w:p>
        </w:tc>
      </w:tr>
      <w:tr w:rsidR="006B2EC1" w14:paraId="1BC6B585" w14:textId="77777777" w:rsidTr="0047688D">
        <w:tc>
          <w:tcPr>
            <w:tcW w:w="0" w:type="auto"/>
            <w:shd w:val="clear" w:color="auto" w:fill="auto"/>
          </w:tcPr>
          <w:p w14:paraId="4CF7410D" w14:textId="77777777" w:rsidR="008C5CFA" w:rsidRDefault="00E82A60" w:rsidP="00300A01">
            <w:pPr>
              <w:spacing w:before="0" w:after="0"/>
            </w:pPr>
            <w:r>
              <w:lastRenderedPageBreak/>
              <w:t xml:space="preserve">38.2A. </w:t>
            </w:r>
            <w:proofErr w:type="spellStart"/>
            <w:r>
              <w:t>Wkład</w:t>
            </w:r>
            <w:proofErr w:type="spellEnd"/>
            <w:r>
              <w:t xml:space="preserve"> w </w:t>
            </w:r>
            <w:proofErr w:type="spellStart"/>
            <w:r>
              <w:t>ramach</w:t>
            </w:r>
            <w:proofErr w:type="spellEnd"/>
            <w:r>
              <w:t xml:space="preserve"> </w:t>
            </w:r>
            <w:proofErr w:type="spellStart"/>
            <w:r>
              <w:t>produktu</w:t>
            </w:r>
            <w:proofErr w:type="spellEnd"/>
            <w:r>
              <w:t xml:space="preserve"> </w:t>
            </w:r>
            <w:proofErr w:type="spellStart"/>
            <w:r>
              <w:t>finansowego</w:t>
            </w:r>
            <w:proofErr w:type="spellEnd"/>
            <w:r>
              <w:t xml:space="preserve"> EBI </w:t>
            </w:r>
            <w:proofErr w:type="spellStart"/>
            <w:r>
              <w:t>wypłacony</w:t>
            </w:r>
            <w:proofErr w:type="spellEnd"/>
            <w:r>
              <w:t xml:space="preserve"> </w:t>
            </w:r>
            <w:proofErr w:type="spellStart"/>
            <w:r>
              <w:t>na</w:t>
            </w:r>
            <w:proofErr w:type="spellEnd"/>
            <w:r>
              <w:t xml:space="preserve"> </w:t>
            </w:r>
            <w:proofErr w:type="spellStart"/>
            <w:r>
              <w:t>rzecz</w:t>
            </w:r>
            <w:proofErr w:type="spellEnd"/>
            <w:r>
              <w:t xml:space="preserve"> </w:t>
            </w:r>
            <w:proofErr w:type="spellStart"/>
            <w:r>
              <w:t>instrumentu</w:t>
            </w:r>
            <w:proofErr w:type="spellEnd"/>
            <w:r>
              <w:t xml:space="preserve"> </w:t>
            </w:r>
            <w:proofErr w:type="spellStart"/>
            <w:r>
              <w:t>finansowego</w:t>
            </w:r>
            <w:proofErr w:type="spellEnd"/>
            <w:r>
              <w:t xml:space="preserve"> (</w:t>
            </w:r>
            <w:proofErr w:type="spellStart"/>
            <w:r>
              <w:t>dotyczy</w:t>
            </w:r>
            <w:proofErr w:type="spellEnd"/>
            <w:r>
              <w:t xml:space="preserve"> </w:t>
            </w:r>
            <w:proofErr w:type="spellStart"/>
            <w:r>
              <w:t>wyłącznie</w:t>
            </w:r>
            <w:proofErr w:type="spellEnd"/>
            <w:r>
              <w:t xml:space="preserve"> </w:t>
            </w:r>
            <w:proofErr w:type="spellStart"/>
            <w:r>
              <w:t>instrumentów</w:t>
            </w:r>
            <w:proofErr w:type="spellEnd"/>
            <w:r>
              <w:t xml:space="preserve">, o </w:t>
            </w:r>
            <w:proofErr w:type="spellStart"/>
            <w:r>
              <w:t>których</w:t>
            </w:r>
            <w:proofErr w:type="spellEnd"/>
            <w:r>
              <w:t xml:space="preserve"> </w:t>
            </w:r>
            <w:proofErr w:type="spellStart"/>
            <w:r>
              <w:t>mowa</w:t>
            </w:r>
            <w:proofErr w:type="spellEnd"/>
            <w:r>
              <w:t xml:space="preserve"> w art. 38 </w:t>
            </w:r>
            <w:proofErr w:type="spellStart"/>
            <w:r>
              <w:t>ust</w:t>
            </w:r>
            <w:proofErr w:type="spellEnd"/>
            <w:r>
              <w:t>. 1 lit. c)) (w EUR)</w:t>
            </w:r>
          </w:p>
        </w:tc>
        <w:tc>
          <w:tcPr>
            <w:tcW w:w="0" w:type="auto"/>
            <w:shd w:val="clear" w:color="auto" w:fill="auto"/>
          </w:tcPr>
          <w:p w14:paraId="44877600" w14:textId="77777777" w:rsidR="008C5CFA" w:rsidRDefault="008C5CFA" w:rsidP="00300A01">
            <w:pPr>
              <w:spacing w:before="0" w:after="0"/>
              <w:jc w:val="right"/>
            </w:pPr>
          </w:p>
        </w:tc>
      </w:tr>
      <w:tr w:rsidR="006B2EC1" w14:paraId="5C76CD12" w14:textId="77777777" w:rsidTr="0047688D">
        <w:tc>
          <w:tcPr>
            <w:tcW w:w="0" w:type="auto"/>
            <w:gridSpan w:val="2"/>
            <w:shd w:val="clear" w:color="auto" w:fill="auto"/>
          </w:tcPr>
          <w:p w14:paraId="312E68CA" w14:textId="77777777" w:rsidR="008C5CFA" w:rsidRDefault="00E82A60" w:rsidP="00300A01">
            <w:pPr>
              <w:spacing w:before="0" w:after="0"/>
            </w:pPr>
            <w:r>
              <w:rPr>
                <w:b/>
              </w:rPr>
              <w:t xml:space="preserve">IX. </w:t>
            </w:r>
            <w:proofErr w:type="spellStart"/>
            <w:r>
              <w:rPr>
                <w:b/>
              </w:rPr>
              <w:t>Wkład</w:t>
            </w:r>
            <w:proofErr w:type="spellEnd"/>
            <w:r>
              <w:rPr>
                <w:b/>
              </w:rPr>
              <w:t xml:space="preserve"> </w:t>
            </w:r>
            <w:proofErr w:type="spellStart"/>
            <w:r>
              <w:rPr>
                <w:b/>
              </w:rPr>
              <w:t>instrumentu</w:t>
            </w:r>
            <w:proofErr w:type="spellEnd"/>
            <w:r>
              <w:rPr>
                <w:b/>
              </w:rPr>
              <w:t xml:space="preserve"> </w:t>
            </w:r>
            <w:proofErr w:type="spellStart"/>
            <w:r>
              <w:rPr>
                <w:b/>
              </w:rPr>
              <w:t>finansowego</w:t>
            </w:r>
            <w:proofErr w:type="spellEnd"/>
            <w:r>
              <w:rPr>
                <w:b/>
              </w:rPr>
              <w:t xml:space="preserve"> w </w:t>
            </w:r>
            <w:proofErr w:type="spellStart"/>
            <w:r>
              <w:rPr>
                <w:b/>
              </w:rPr>
              <w:t>osiąganie</w:t>
            </w:r>
            <w:proofErr w:type="spellEnd"/>
            <w:r>
              <w:rPr>
                <w:b/>
              </w:rPr>
              <w:t xml:space="preserve"> </w:t>
            </w:r>
            <w:proofErr w:type="spellStart"/>
            <w:r>
              <w:rPr>
                <w:b/>
              </w:rPr>
              <w:t>wskaźników</w:t>
            </w:r>
            <w:proofErr w:type="spellEnd"/>
            <w:r>
              <w:rPr>
                <w:b/>
              </w:rPr>
              <w:t xml:space="preserve"> </w:t>
            </w:r>
            <w:proofErr w:type="spellStart"/>
            <w:r>
              <w:rPr>
                <w:b/>
              </w:rPr>
              <w:t>danego</w:t>
            </w:r>
            <w:proofErr w:type="spellEnd"/>
            <w:r>
              <w:rPr>
                <w:b/>
              </w:rPr>
              <w:t xml:space="preserve"> </w:t>
            </w:r>
            <w:proofErr w:type="spellStart"/>
            <w:r>
              <w:rPr>
                <w:b/>
              </w:rPr>
              <w:t>priorytetu</w:t>
            </w:r>
            <w:proofErr w:type="spellEnd"/>
            <w:r>
              <w:rPr>
                <w:b/>
              </w:rPr>
              <w:t xml:space="preserve"> </w:t>
            </w:r>
            <w:proofErr w:type="spellStart"/>
            <w:r>
              <w:rPr>
                <w:b/>
              </w:rPr>
              <w:t>lub</w:t>
            </w:r>
            <w:proofErr w:type="spellEnd"/>
            <w:r>
              <w:rPr>
                <w:b/>
              </w:rPr>
              <w:t xml:space="preserve"> </w:t>
            </w:r>
            <w:proofErr w:type="spellStart"/>
            <w:r>
              <w:rPr>
                <w:b/>
              </w:rPr>
              <w:t>środka</w:t>
            </w:r>
            <w:proofErr w:type="spellEnd"/>
            <w:r>
              <w:rPr>
                <w:b/>
              </w:rPr>
              <w:t xml:space="preserve"> (art. 46 </w:t>
            </w:r>
            <w:proofErr w:type="spellStart"/>
            <w:r>
              <w:rPr>
                <w:b/>
              </w:rPr>
              <w:t>ust</w:t>
            </w:r>
            <w:proofErr w:type="spellEnd"/>
            <w:r>
              <w:rPr>
                <w:b/>
              </w:rPr>
              <w:t xml:space="preserve">. 2 lit. j) </w:t>
            </w:r>
            <w:proofErr w:type="spellStart"/>
            <w:r>
              <w:rPr>
                <w:b/>
              </w:rPr>
              <w:t>rozporządzenia</w:t>
            </w:r>
            <w:proofErr w:type="spellEnd"/>
            <w:r>
              <w:rPr>
                <w:b/>
              </w:rPr>
              <w:t xml:space="preserve"> (UE) nr 1303/2013)</w:t>
            </w:r>
          </w:p>
        </w:tc>
      </w:tr>
      <w:tr w:rsidR="006B2EC1" w14:paraId="4A15F0F3" w14:textId="77777777" w:rsidTr="0047688D">
        <w:tc>
          <w:tcPr>
            <w:tcW w:w="0" w:type="auto"/>
            <w:shd w:val="clear" w:color="auto" w:fill="auto"/>
          </w:tcPr>
          <w:p w14:paraId="54A61483" w14:textId="77777777" w:rsidR="008C5CFA" w:rsidRDefault="00E82A60" w:rsidP="00300A01">
            <w:pPr>
              <w:spacing w:before="0" w:after="0"/>
            </w:pPr>
            <w:r>
              <w:rPr>
                <w:b/>
                <w:i/>
              </w:rPr>
              <w:t xml:space="preserve">41. </w:t>
            </w:r>
            <w:proofErr w:type="spellStart"/>
            <w:r>
              <w:rPr>
                <w:b/>
                <w:i/>
              </w:rPr>
              <w:t>Wskaźnik</w:t>
            </w:r>
            <w:proofErr w:type="spellEnd"/>
            <w:r>
              <w:rPr>
                <w:b/>
                <w:i/>
              </w:rPr>
              <w:t xml:space="preserve"> </w:t>
            </w:r>
            <w:proofErr w:type="spellStart"/>
            <w:r>
              <w:rPr>
                <w:b/>
                <w:i/>
              </w:rPr>
              <w:t>produktu</w:t>
            </w:r>
            <w:proofErr w:type="spellEnd"/>
            <w:r>
              <w:rPr>
                <w:b/>
                <w:i/>
              </w:rPr>
              <w:t xml:space="preserve"> (</w:t>
            </w:r>
            <w:proofErr w:type="spellStart"/>
            <w:r>
              <w:rPr>
                <w:b/>
                <w:i/>
              </w:rPr>
              <w:t>kod</w:t>
            </w:r>
            <w:proofErr w:type="spellEnd"/>
            <w:r>
              <w:rPr>
                <w:b/>
                <w:i/>
              </w:rPr>
              <w:t xml:space="preserve"> i </w:t>
            </w:r>
            <w:proofErr w:type="spellStart"/>
            <w:r>
              <w:rPr>
                <w:b/>
                <w:i/>
              </w:rPr>
              <w:t>nazwa</w:t>
            </w:r>
            <w:proofErr w:type="spellEnd"/>
            <w:r>
              <w:rPr>
                <w:b/>
                <w:i/>
              </w:rPr>
              <w:t xml:space="preserve">), w </w:t>
            </w:r>
            <w:proofErr w:type="spellStart"/>
            <w:r>
              <w:rPr>
                <w:b/>
                <w:i/>
              </w:rPr>
              <w:t>który</w:t>
            </w:r>
            <w:proofErr w:type="spellEnd"/>
            <w:r>
              <w:rPr>
                <w:b/>
                <w:i/>
              </w:rPr>
              <w:t xml:space="preserve"> </w:t>
            </w:r>
            <w:proofErr w:type="spellStart"/>
            <w:r>
              <w:rPr>
                <w:b/>
                <w:i/>
              </w:rPr>
              <w:t>wkład</w:t>
            </w:r>
            <w:proofErr w:type="spellEnd"/>
            <w:r>
              <w:rPr>
                <w:b/>
                <w:i/>
              </w:rPr>
              <w:t xml:space="preserve"> </w:t>
            </w:r>
            <w:proofErr w:type="spellStart"/>
            <w:r>
              <w:rPr>
                <w:b/>
                <w:i/>
              </w:rPr>
              <w:t>wnosi</w:t>
            </w:r>
            <w:proofErr w:type="spellEnd"/>
            <w:r>
              <w:rPr>
                <w:b/>
                <w:i/>
              </w:rPr>
              <w:t xml:space="preserve"> instrument </w:t>
            </w:r>
            <w:proofErr w:type="spellStart"/>
            <w:r>
              <w:rPr>
                <w:b/>
                <w:i/>
              </w:rPr>
              <w:t>finansowy</w:t>
            </w:r>
            <w:proofErr w:type="spellEnd"/>
          </w:p>
        </w:tc>
        <w:tc>
          <w:tcPr>
            <w:tcW w:w="0" w:type="auto"/>
            <w:shd w:val="clear" w:color="auto" w:fill="auto"/>
          </w:tcPr>
          <w:p w14:paraId="026DD1CA" w14:textId="77777777" w:rsidR="008C5CFA" w:rsidRDefault="00E82A60" w:rsidP="00300A01">
            <w:pPr>
              <w:spacing w:before="0" w:after="0"/>
              <w:jc w:val="right"/>
            </w:pPr>
            <w:r>
              <w:rPr>
                <w:b/>
                <w:i/>
              </w:rPr>
              <w:t xml:space="preserve">CO07 - </w:t>
            </w:r>
            <w:proofErr w:type="spellStart"/>
            <w:r>
              <w:rPr>
                <w:b/>
                <w:i/>
              </w:rPr>
              <w:t>Inwestycje</w:t>
            </w:r>
            <w:proofErr w:type="spellEnd"/>
            <w:r>
              <w:rPr>
                <w:b/>
                <w:i/>
              </w:rPr>
              <w:t xml:space="preserve"> </w:t>
            </w:r>
            <w:proofErr w:type="spellStart"/>
            <w:r>
              <w:rPr>
                <w:b/>
                <w:i/>
              </w:rPr>
              <w:t>produkcyjne</w:t>
            </w:r>
            <w:proofErr w:type="spellEnd"/>
            <w:r>
              <w:rPr>
                <w:b/>
                <w:i/>
              </w:rPr>
              <w:t xml:space="preserve">: </w:t>
            </w:r>
            <w:proofErr w:type="spellStart"/>
            <w:r>
              <w:rPr>
                <w:b/>
                <w:i/>
              </w:rPr>
              <w:t>inwestycje</w:t>
            </w:r>
            <w:proofErr w:type="spellEnd"/>
            <w:r>
              <w:rPr>
                <w:b/>
                <w:i/>
              </w:rPr>
              <w:t xml:space="preserve"> </w:t>
            </w:r>
            <w:proofErr w:type="spellStart"/>
            <w:r>
              <w:rPr>
                <w:b/>
                <w:i/>
              </w:rPr>
              <w:t>prywatne</w:t>
            </w:r>
            <w:proofErr w:type="spellEnd"/>
            <w:r>
              <w:rPr>
                <w:b/>
                <w:i/>
              </w:rPr>
              <w:t xml:space="preserve"> </w:t>
            </w:r>
            <w:proofErr w:type="spellStart"/>
            <w:r>
              <w:rPr>
                <w:b/>
                <w:i/>
              </w:rPr>
              <w:t>uzupełniające</w:t>
            </w:r>
            <w:proofErr w:type="spellEnd"/>
            <w:r>
              <w:rPr>
                <w:b/>
                <w:i/>
              </w:rPr>
              <w:t xml:space="preserve"> </w:t>
            </w:r>
            <w:proofErr w:type="spellStart"/>
            <w:r>
              <w:rPr>
                <w:b/>
                <w:i/>
              </w:rPr>
              <w:t>wsparcie</w:t>
            </w:r>
            <w:proofErr w:type="spellEnd"/>
            <w:r>
              <w:rPr>
                <w:b/>
                <w:i/>
              </w:rPr>
              <w:t xml:space="preserve"> </w:t>
            </w:r>
            <w:proofErr w:type="spellStart"/>
            <w:r>
              <w:rPr>
                <w:b/>
                <w:i/>
              </w:rPr>
              <w:t>publiczne</w:t>
            </w:r>
            <w:proofErr w:type="spellEnd"/>
            <w:r>
              <w:rPr>
                <w:b/>
                <w:i/>
              </w:rPr>
              <w:t xml:space="preserve"> </w:t>
            </w:r>
            <w:proofErr w:type="spellStart"/>
            <w:r>
              <w:rPr>
                <w:b/>
                <w:i/>
              </w:rPr>
              <w:t>dla</w:t>
            </w:r>
            <w:proofErr w:type="spellEnd"/>
            <w:r>
              <w:rPr>
                <w:b/>
                <w:i/>
              </w:rPr>
              <w:t xml:space="preserve"> </w:t>
            </w:r>
            <w:proofErr w:type="spellStart"/>
            <w:r>
              <w:rPr>
                <w:b/>
                <w:i/>
              </w:rPr>
              <w:t>przedsiębiorstw</w:t>
            </w:r>
            <w:proofErr w:type="spellEnd"/>
            <w:r>
              <w:rPr>
                <w:b/>
                <w:i/>
              </w:rPr>
              <w:t xml:space="preserve"> (</w:t>
            </w:r>
            <w:proofErr w:type="spellStart"/>
            <w:r>
              <w:rPr>
                <w:b/>
                <w:i/>
              </w:rPr>
              <w:t>inne</w:t>
            </w:r>
            <w:proofErr w:type="spellEnd"/>
            <w:r>
              <w:rPr>
                <w:b/>
                <w:i/>
              </w:rPr>
              <w:t xml:space="preserve"> </w:t>
            </w:r>
            <w:proofErr w:type="spellStart"/>
            <w:r>
              <w:rPr>
                <w:b/>
                <w:i/>
              </w:rPr>
              <w:t>niż</w:t>
            </w:r>
            <w:proofErr w:type="spellEnd"/>
            <w:r>
              <w:rPr>
                <w:b/>
                <w:i/>
              </w:rPr>
              <w:t xml:space="preserve"> </w:t>
            </w:r>
            <w:proofErr w:type="spellStart"/>
            <w:r>
              <w:rPr>
                <w:b/>
                <w:i/>
              </w:rPr>
              <w:t>dotacje</w:t>
            </w:r>
            <w:proofErr w:type="spellEnd"/>
            <w:r>
              <w:rPr>
                <w:b/>
                <w:i/>
              </w:rPr>
              <w:t>)</w:t>
            </w:r>
          </w:p>
        </w:tc>
      </w:tr>
      <w:tr w:rsidR="006B2EC1" w14:paraId="14136F35" w14:textId="77777777" w:rsidTr="0047688D">
        <w:tc>
          <w:tcPr>
            <w:tcW w:w="0" w:type="auto"/>
            <w:shd w:val="clear" w:color="auto" w:fill="auto"/>
          </w:tcPr>
          <w:p w14:paraId="46C96775" w14:textId="77777777" w:rsidR="008C5CFA" w:rsidRDefault="00E82A60" w:rsidP="00300A01">
            <w:pPr>
              <w:spacing w:before="0" w:after="0"/>
            </w:pPr>
            <w:r>
              <w:t xml:space="preserve">41.1. </w:t>
            </w:r>
            <w:proofErr w:type="spellStart"/>
            <w:r>
              <w:t>Wartość</w:t>
            </w:r>
            <w:proofErr w:type="spellEnd"/>
            <w:r>
              <w:t xml:space="preserve"> </w:t>
            </w:r>
            <w:proofErr w:type="spellStart"/>
            <w:r>
              <w:t>docelowa</w:t>
            </w:r>
            <w:proofErr w:type="spellEnd"/>
            <w:r>
              <w:t xml:space="preserve"> </w:t>
            </w:r>
            <w:proofErr w:type="spellStart"/>
            <w:r>
              <w:t>wskaźnika</w:t>
            </w:r>
            <w:proofErr w:type="spellEnd"/>
            <w:r>
              <w:t xml:space="preserve"> </w:t>
            </w:r>
            <w:proofErr w:type="spellStart"/>
            <w:r>
              <w:t>produktu</w:t>
            </w:r>
            <w:proofErr w:type="spellEnd"/>
          </w:p>
        </w:tc>
        <w:tc>
          <w:tcPr>
            <w:tcW w:w="0" w:type="auto"/>
            <w:shd w:val="clear" w:color="auto" w:fill="auto"/>
          </w:tcPr>
          <w:p w14:paraId="3792C16E" w14:textId="77777777" w:rsidR="008C5CFA" w:rsidRDefault="00E82A60" w:rsidP="00300A01">
            <w:pPr>
              <w:spacing w:before="0" w:after="0"/>
              <w:jc w:val="right"/>
            </w:pPr>
            <w:r>
              <w:t>7 500 000,00</w:t>
            </w:r>
          </w:p>
        </w:tc>
      </w:tr>
      <w:tr w:rsidR="006B2EC1" w14:paraId="08E697E0" w14:textId="77777777" w:rsidTr="0047688D">
        <w:tc>
          <w:tcPr>
            <w:tcW w:w="0" w:type="auto"/>
            <w:shd w:val="clear" w:color="auto" w:fill="auto"/>
          </w:tcPr>
          <w:p w14:paraId="489DFA5A" w14:textId="77777777" w:rsidR="008C5CFA" w:rsidRDefault="00E82A60" w:rsidP="00300A01">
            <w:pPr>
              <w:spacing w:before="0" w:after="0"/>
            </w:pPr>
            <w:r>
              <w:t xml:space="preserve">41.2. </w:t>
            </w:r>
            <w:proofErr w:type="spellStart"/>
            <w:r>
              <w:t>Wartość</w:t>
            </w:r>
            <w:proofErr w:type="spellEnd"/>
            <w:r>
              <w:t xml:space="preserve"> </w:t>
            </w:r>
            <w:proofErr w:type="spellStart"/>
            <w:r>
              <w:t>osiągnięta</w:t>
            </w:r>
            <w:proofErr w:type="spellEnd"/>
            <w:r>
              <w:t xml:space="preserve"> </w:t>
            </w:r>
            <w:proofErr w:type="spellStart"/>
            <w:r>
              <w:t>przez</w:t>
            </w:r>
            <w:proofErr w:type="spellEnd"/>
            <w:r>
              <w:t xml:space="preserve"> instrument </w:t>
            </w:r>
            <w:proofErr w:type="spellStart"/>
            <w:r>
              <w:t>finansowy</w:t>
            </w:r>
            <w:proofErr w:type="spellEnd"/>
            <w:r>
              <w:t xml:space="preserve"> w </w:t>
            </w:r>
            <w:proofErr w:type="spellStart"/>
            <w:r>
              <w:t>odniesieniu</w:t>
            </w:r>
            <w:proofErr w:type="spellEnd"/>
            <w:r>
              <w:t xml:space="preserve"> do </w:t>
            </w:r>
            <w:proofErr w:type="spellStart"/>
            <w:r>
              <w:t>wartości</w:t>
            </w:r>
            <w:proofErr w:type="spellEnd"/>
            <w:r>
              <w:t xml:space="preserve"> </w:t>
            </w:r>
            <w:proofErr w:type="spellStart"/>
            <w:r>
              <w:t>docelowej</w:t>
            </w:r>
            <w:proofErr w:type="spellEnd"/>
            <w:r>
              <w:t xml:space="preserve"> </w:t>
            </w:r>
            <w:proofErr w:type="spellStart"/>
            <w:r>
              <w:t>wskaźnika</w:t>
            </w:r>
            <w:proofErr w:type="spellEnd"/>
            <w:r>
              <w:t xml:space="preserve"> </w:t>
            </w:r>
            <w:proofErr w:type="spellStart"/>
            <w:r>
              <w:t>produktu</w:t>
            </w:r>
            <w:proofErr w:type="spellEnd"/>
          </w:p>
        </w:tc>
        <w:tc>
          <w:tcPr>
            <w:tcW w:w="0" w:type="auto"/>
            <w:shd w:val="clear" w:color="auto" w:fill="auto"/>
          </w:tcPr>
          <w:p w14:paraId="6F9A2E14" w14:textId="77777777" w:rsidR="008C5CFA" w:rsidRDefault="00E82A60" w:rsidP="00300A01">
            <w:pPr>
              <w:spacing w:before="0" w:after="0"/>
              <w:jc w:val="right"/>
            </w:pPr>
            <w:r>
              <w:t>279 242,00</w:t>
            </w:r>
          </w:p>
        </w:tc>
      </w:tr>
      <w:tr w:rsidR="006B2EC1" w14:paraId="5B9CC6DA" w14:textId="77777777" w:rsidTr="0047688D">
        <w:tc>
          <w:tcPr>
            <w:tcW w:w="0" w:type="auto"/>
            <w:shd w:val="clear" w:color="auto" w:fill="auto"/>
          </w:tcPr>
          <w:p w14:paraId="115D215A" w14:textId="77777777" w:rsidR="008C5CFA" w:rsidRDefault="00E82A60" w:rsidP="00300A01">
            <w:pPr>
              <w:spacing w:before="0" w:after="0"/>
            </w:pPr>
            <w:r>
              <w:rPr>
                <w:b/>
                <w:i/>
              </w:rPr>
              <w:t xml:space="preserve">41. </w:t>
            </w:r>
            <w:proofErr w:type="spellStart"/>
            <w:r>
              <w:rPr>
                <w:b/>
                <w:i/>
              </w:rPr>
              <w:t>Wskaźnik</w:t>
            </w:r>
            <w:proofErr w:type="spellEnd"/>
            <w:r>
              <w:rPr>
                <w:b/>
                <w:i/>
              </w:rPr>
              <w:t xml:space="preserve"> </w:t>
            </w:r>
            <w:proofErr w:type="spellStart"/>
            <w:r>
              <w:rPr>
                <w:b/>
                <w:i/>
              </w:rPr>
              <w:t>produktu</w:t>
            </w:r>
            <w:proofErr w:type="spellEnd"/>
            <w:r>
              <w:rPr>
                <w:b/>
                <w:i/>
              </w:rPr>
              <w:t xml:space="preserve"> (</w:t>
            </w:r>
            <w:proofErr w:type="spellStart"/>
            <w:r>
              <w:rPr>
                <w:b/>
                <w:i/>
              </w:rPr>
              <w:t>kod</w:t>
            </w:r>
            <w:proofErr w:type="spellEnd"/>
            <w:r>
              <w:rPr>
                <w:b/>
                <w:i/>
              </w:rPr>
              <w:t xml:space="preserve"> i </w:t>
            </w:r>
            <w:proofErr w:type="spellStart"/>
            <w:r>
              <w:rPr>
                <w:b/>
                <w:i/>
              </w:rPr>
              <w:t>nazwa</w:t>
            </w:r>
            <w:proofErr w:type="spellEnd"/>
            <w:r>
              <w:rPr>
                <w:b/>
                <w:i/>
              </w:rPr>
              <w:t xml:space="preserve">), w </w:t>
            </w:r>
            <w:proofErr w:type="spellStart"/>
            <w:r>
              <w:rPr>
                <w:b/>
                <w:i/>
              </w:rPr>
              <w:t>który</w:t>
            </w:r>
            <w:proofErr w:type="spellEnd"/>
            <w:r>
              <w:rPr>
                <w:b/>
                <w:i/>
              </w:rPr>
              <w:t xml:space="preserve"> </w:t>
            </w:r>
            <w:proofErr w:type="spellStart"/>
            <w:r>
              <w:rPr>
                <w:b/>
                <w:i/>
              </w:rPr>
              <w:t>wkład</w:t>
            </w:r>
            <w:proofErr w:type="spellEnd"/>
            <w:r>
              <w:rPr>
                <w:b/>
                <w:i/>
              </w:rPr>
              <w:t xml:space="preserve"> </w:t>
            </w:r>
            <w:proofErr w:type="spellStart"/>
            <w:r>
              <w:rPr>
                <w:b/>
                <w:i/>
              </w:rPr>
              <w:t>wnosi</w:t>
            </w:r>
            <w:proofErr w:type="spellEnd"/>
            <w:r>
              <w:rPr>
                <w:b/>
                <w:i/>
              </w:rPr>
              <w:t xml:space="preserve"> instrument </w:t>
            </w:r>
            <w:proofErr w:type="spellStart"/>
            <w:r>
              <w:rPr>
                <w:b/>
                <w:i/>
              </w:rPr>
              <w:t>finansowy</w:t>
            </w:r>
            <w:proofErr w:type="spellEnd"/>
          </w:p>
        </w:tc>
        <w:tc>
          <w:tcPr>
            <w:tcW w:w="0" w:type="auto"/>
            <w:shd w:val="clear" w:color="auto" w:fill="auto"/>
          </w:tcPr>
          <w:p w14:paraId="3CD53D48" w14:textId="77777777" w:rsidR="008C5CFA" w:rsidRDefault="00E82A60" w:rsidP="00300A01">
            <w:pPr>
              <w:spacing w:before="0" w:after="0"/>
              <w:jc w:val="right"/>
            </w:pPr>
            <w:r>
              <w:rPr>
                <w:b/>
                <w:i/>
              </w:rPr>
              <w:t xml:space="preserve">CO01 - </w:t>
            </w:r>
            <w:proofErr w:type="spellStart"/>
            <w:r>
              <w:rPr>
                <w:b/>
                <w:i/>
              </w:rPr>
              <w:t>Inwestycje</w:t>
            </w:r>
            <w:proofErr w:type="spellEnd"/>
            <w:r>
              <w:rPr>
                <w:b/>
                <w:i/>
              </w:rPr>
              <w:t xml:space="preserve"> </w:t>
            </w:r>
            <w:proofErr w:type="spellStart"/>
            <w:r>
              <w:rPr>
                <w:b/>
                <w:i/>
              </w:rPr>
              <w:t>produkcyjne</w:t>
            </w:r>
            <w:proofErr w:type="spellEnd"/>
            <w:r>
              <w:rPr>
                <w:b/>
                <w:i/>
              </w:rPr>
              <w:t xml:space="preserve">: </w:t>
            </w:r>
            <w:proofErr w:type="spellStart"/>
            <w:r>
              <w:rPr>
                <w:b/>
                <w:i/>
              </w:rPr>
              <w:t>liczba</w:t>
            </w:r>
            <w:proofErr w:type="spellEnd"/>
            <w:r>
              <w:rPr>
                <w:b/>
                <w:i/>
              </w:rPr>
              <w:t xml:space="preserve"> </w:t>
            </w:r>
            <w:proofErr w:type="spellStart"/>
            <w:r>
              <w:rPr>
                <w:b/>
                <w:i/>
              </w:rPr>
              <w:t>przedsiębiorstw</w:t>
            </w:r>
            <w:proofErr w:type="spellEnd"/>
            <w:r>
              <w:rPr>
                <w:b/>
                <w:i/>
              </w:rPr>
              <w:t xml:space="preserve"> </w:t>
            </w:r>
            <w:proofErr w:type="spellStart"/>
            <w:r>
              <w:rPr>
                <w:b/>
                <w:i/>
              </w:rPr>
              <w:t>otrzymujących</w:t>
            </w:r>
            <w:proofErr w:type="spellEnd"/>
            <w:r>
              <w:rPr>
                <w:b/>
                <w:i/>
              </w:rPr>
              <w:t xml:space="preserve"> </w:t>
            </w:r>
            <w:proofErr w:type="spellStart"/>
            <w:r>
              <w:rPr>
                <w:b/>
                <w:i/>
              </w:rPr>
              <w:t>wsparcie</w:t>
            </w:r>
            <w:proofErr w:type="spellEnd"/>
          </w:p>
        </w:tc>
      </w:tr>
      <w:tr w:rsidR="006B2EC1" w14:paraId="7C1FC3F3" w14:textId="77777777" w:rsidTr="0047688D">
        <w:tc>
          <w:tcPr>
            <w:tcW w:w="0" w:type="auto"/>
            <w:shd w:val="clear" w:color="auto" w:fill="auto"/>
          </w:tcPr>
          <w:p w14:paraId="28856EEA" w14:textId="77777777" w:rsidR="008C5CFA" w:rsidRDefault="00E82A60" w:rsidP="00300A01">
            <w:pPr>
              <w:spacing w:before="0" w:after="0"/>
            </w:pPr>
            <w:r>
              <w:t xml:space="preserve">41.1. </w:t>
            </w:r>
            <w:proofErr w:type="spellStart"/>
            <w:r>
              <w:t>Wartość</w:t>
            </w:r>
            <w:proofErr w:type="spellEnd"/>
            <w:r>
              <w:t xml:space="preserve"> </w:t>
            </w:r>
            <w:proofErr w:type="spellStart"/>
            <w:r>
              <w:t>docelowa</w:t>
            </w:r>
            <w:proofErr w:type="spellEnd"/>
            <w:r>
              <w:t xml:space="preserve"> </w:t>
            </w:r>
            <w:proofErr w:type="spellStart"/>
            <w:r>
              <w:t>wskaźnika</w:t>
            </w:r>
            <w:proofErr w:type="spellEnd"/>
            <w:r>
              <w:t xml:space="preserve"> </w:t>
            </w:r>
            <w:proofErr w:type="spellStart"/>
            <w:r>
              <w:t>produktu</w:t>
            </w:r>
            <w:proofErr w:type="spellEnd"/>
          </w:p>
        </w:tc>
        <w:tc>
          <w:tcPr>
            <w:tcW w:w="0" w:type="auto"/>
            <w:shd w:val="clear" w:color="auto" w:fill="auto"/>
          </w:tcPr>
          <w:p w14:paraId="21FCD90E" w14:textId="77777777" w:rsidR="008C5CFA" w:rsidRDefault="00E82A60" w:rsidP="00300A01">
            <w:pPr>
              <w:spacing w:before="0" w:after="0"/>
              <w:jc w:val="right"/>
            </w:pPr>
            <w:r>
              <w:t>932,00</w:t>
            </w:r>
          </w:p>
        </w:tc>
      </w:tr>
      <w:tr w:rsidR="006B2EC1" w14:paraId="4C8A905A" w14:textId="77777777" w:rsidTr="0047688D">
        <w:tc>
          <w:tcPr>
            <w:tcW w:w="0" w:type="auto"/>
            <w:shd w:val="clear" w:color="auto" w:fill="auto"/>
          </w:tcPr>
          <w:p w14:paraId="69AD479F" w14:textId="77777777" w:rsidR="008C5CFA" w:rsidRDefault="00E82A60" w:rsidP="00300A01">
            <w:pPr>
              <w:spacing w:before="0" w:after="0"/>
            </w:pPr>
            <w:r>
              <w:t xml:space="preserve">41.2. </w:t>
            </w:r>
            <w:proofErr w:type="spellStart"/>
            <w:r>
              <w:t>Wartość</w:t>
            </w:r>
            <w:proofErr w:type="spellEnd"/>
            <w:r>
              <w:t xml:space="preserve"> </w:t>
            </w:r>
            <w:proofErr w:type="spellStart"/>
            <w:r>
              <w:t>osiągnięta</w:t>
            </w:r>
            <w:proofErr w:type="spellEnd"/>
            <w:r>
              <w:t xml:space="preserve"> </w:t>
            </w:r>
            <w:proofErr w:type="spellStart"/>
            <w:r>
              <w:t>przez</w:t>
            </w:r>
            <w:proofErr w:type="spellEnd"/>
            <w:r>
              <w:t xml:space="preserve"> instrument </w:t>
            </w:r>
            <w:proofErr w:type="spellStart"/>
            <w:r>
              <w:t>finansowy</w:t>
            </w:r>
            <w:proofErr w:type="spellEnd"/>
            <w:r>
              <w:t xml:space="preserve"> w </w:t>
            </w:r>
            <w:proofErr w:type="spellStart"/>
            <w:r>
              <w:t>odniesieniu</w:t>
            </w:r>
            <w:proofErr w:type="spellEnd"/>
            <w:r>
              <w:t xml:space="preserve"> do </w:t>
            </w:r>
            <w:proofErr w:type="spellStart"/>
            <w:r>
              <w:t>wartości</w:t>
            </w:r>
            <w:proofErr w:type="spellEnd"/>
            <w:r>
              <w:t xml:space="preserve"> </w:t>
            </w:r>
            <w:proofErr w:type="spellStart"/>
            <w:r>
              <w:t>docelowej</w:t>
            </w:r>
            <w:proofErr w:type="spellEnd"/>
            <w:r>
              <w:t xml:space="preserve"> </w:t>
            </w:r>
            <w:proofErr w:type="spellStart"/>
            <w:r>
              <w:t>wskaźnika</w:t>
            </w:r>
            <w:proofErr w:type="spellEnd"/>
            <w:r>
              <w:t xml:space="preserve"> </w:t>
            </w:r>
            <w:proofErr w:type="spellStart"/>
            <w:r>
              <w:t>produktu</w:t>
            </w:r>
            <w:proofErr w:type="spellEnd"/>
          </w:p>
        </w:tc>
        <w:tc>
          <w:tcPr>
            <w:tcW w:w="0" w:type="auto"/>
            <w:shd w:val="clear" w:color="auto" w:fill="auto"/>
          </w:tcPr>
          <w:p w14:paraId="37A192D4" w14:textId="77777777" w:rsidR="008C5CFA" w:rsidRDefault="00E82A60" w:rsidP="00300A01">
            <w:pPr>
              <w:spacing w:before="0" w:after="0"/>
              <w:jc w:val="right"/>
            </w:pPr>
            <w:r>
              <w:t>583,00</w:t>
            </w:r>
          </w:p>
        </w:tc>
      </w:tr>
      <w:tr w:rsidR="006B2EC1" w14:paraId="62D42DB9" w14:textId="77777777" w:rsidTr="0047688D">
        <w:tc>
          <w:tcPr>
            <w:tcW w:w="0" w:type="auto"/>
            <w:shd w:val="clear" w:color="auto" w:fill="auto"/>
          </w:tcPr>
          <w:p w14:paraId="7AD0B584" w14:textId="77777777" w:rsidR="008C5CFA" w:rsidRDefault="00E82A60" w:rsidP="00300A01">
            <w:pPr>
              <w:spacing w:before="0" w:after="0"/>
            </w:pPr>
            <w:r>
              <w:rPr>
                <w:b/>
                <w:i/>
              </w:rPr>
              <w:t xml:space="preserve">41. </w:t>
            </w:r>
            <w:proofErr w:type="spellStart"/>
            <w:r>
              <w:rPr>
                <w:b/>
                <w:i/>
              </w:rPr>
              <w:t>Wskaźnik</w:t>
            </w:r>
            <w:proofErr w:type="spellEnd"/>
            <w:r>
              <w:rPr>
                <w:b/>
                <w:i/>
              </w:rPr>
              <w:t xml:space="preserve"> </w:t>
            </w:r>
            <w:proofErr w:type="spellStart"/>
            <w:r>
              <w:rPr>
                <w:b/>
                <w:i/>
              </w:rPr>
              <w:t>produktu</w:t>
            </w:r>
            <w:proofErr w:type="spellEnd"/>
            <w:r>
              <w:rPr>
                <w:b/>
                <w:i/>
              </w:rPr>
              <w:t xml:space="preserve"> (</w:t>
            </w:r>
            <w:proofErr w:type="spellStart"/>
            <w:r>
              <w:rPr>
                <w:b/>
                <w:i/>
              </w:rPr>
              <w:t>kod</w:t>
            </w:r>
            <w:proofErr w:type="spellEnd"/>
            <w:r>
              <w:rPr>
                <w:b/>
                <w:i/>
              </w:rPr>
              <w:t xml:space="preserve"> i </w:t>
            </w:r>
            <w:proofErr w:type="spellStart"/>
            <w:r>
              <w:rPr>
                <w:b/>
                <w:i/>
              </w:rPr>
              <w:t>nazwa</w:t>
            </w:r>
            <w:proofErr w:type="spellEnd"/>
            <w:r>
              <w:rPr>
                <w:b/>
                <w:i/>
              </w:rPr>
              <w:t xml:space="preserve">), w </w:t>
            </w:r>
            <w:proofErr w:type="spellStart"/>
            <w:r>
              <w:rPr>
                <w:b/>
                <w:i/>
              </w:rPr>
              <w:t>który</w:t>
            </w:r>
            <w:proofErr w:type="spellEnd"/>
            <w:r>
              <w:rPr>
                <w:b/>
                <w:i/>
              </w:rPr>
              <w:t xml:space="preserve"> </w:t>
            </w:r>
            <w:proofErr w:type="spellStart"/>
            <w:r>
              <w:rPr>
                <w:b/>
                <w:i/>
              </w:rPr>
              <w:t>wkład</w:t>
            </w:r>
            <w:proofErr w:type="spellEnd"/>
            <w:r>
              <w:rPr>
                <w:b/>
                <w:i/>
              </w:rPr>
              <w:t xml:space="preserve"> </w:t>
            </w:r>
            <w:proofErr w:type="spellStart"/>
            <w:r>
              <w:rPr>
                <w:b/>
                <w:i/>
              </w:rPr>
              <w:t>wnosi</w:t>
            </w:r>
            <w:proofErr w:type="spellEnd"/>
            <w:r>
              <w:rPr>
                <w:b/>
                <w:i/>
              </w:rPr>
              <w:t xml:space="preserve"> instrument </w:t>
            </w:r>
            <w:proofErr w:type="spellStart"/>
            <w:r>
              <w:rPr>
                <w:b/>
                <w:i/>
              </w:rPr>
              <w:t>finansowy</w:t>
            </w:r>
            <w:proofErr w:type="spellEnd"/>
          </w:p>
        </w:tc>
        <w:tc>
          <w:tcPr>
            <w:tcW w:w="0" w:type="auto"/>
            <w:shd w:val="clear" w:color="auto" w:fill="auto"/>
          </w:tcPr>
          <w:p w14:paraId="33D08D94" w14:textId="77777777" w:rsidR="008C5CFA" w:rsidRDefault="00E82A60" w:rsidP="00300A01">
            <w:pPr>
              <w:spacing w:before="0" w:after="0"/>
              <w:jc w:val="right"/>
            </w:pPr>
            <w:r>
              <w:rPr>
                <w:b/>
                <w:i/>
              </w:rPr>
              <w:t xml:space="preserve">CO03 - </w:t>
            </w:r>
            <w:proofErr w:type="spellStart"/>
            <w:r>
              <w:rPr>
                <w:b/>
                <w:i/>
              </w:rPr>
              <w:t>Inwestycje</w:t>
            </w:r>
            <w:proofErr w:type="spellEnd"/>
            <w:r>
              <w:rPr>
                <w:b/>
                <w:i/>
              </w:rPr>
              <w:t xml:space="preserve"> </w:t>
            </w:r>
            <w:proofErr w:type="spellStart"/>
            <w:r>
              <w:rPr>
                <w:b/>
                <w:i/>
              </w:rPr>
              <w:t>produkcyjne</w:t>
            </w:r>
            <w:proofErr w:type="spellEnd"/>
            <w:r>
              <w:rPr>
                <w:b/>
                <w:i/>
              </w:rPr>
              <w:t xml:space="preserve">: </w:t>
            </w:r>
            <w:proofErr w:type="spellStart"/>
            <w:r>
              <w:rPr>
                <w:b/>
                <w:i/>
              </w:rPr>
              <w:t>liczba</w:t>
            </w:r>
            <w:proofErr w:type="spellEnd"/>
            <w:r>
              <w:rPr>
                <w:b/>
                <w:i/>
              </w:rPr>
              <w:t xml:space="preserve"> </w:t>
            </w:r>
            <w:proofErr w:type="spellStart"/>
            <w:r>
              <w:rPr>
                <w:b/>
                <w:i/>
              </w:rPr>
              <w:t>przedsiębiorstw</w:t>
            </w:r>
            <w:proofErr w:type="spellEnd"/>
            <w:r>
              <w:rPr>
                <w:b/>
                <w:i/>
              </w:rPr>
              <w:t xml:space="preserve"> </w:t>
            </w:r>
            <w:proofErr w:type="spellStart"/>
            <w:r>
              <w:rPr>
                <w:b/>
                <w:i/>
              </w:rPr>
              <w:t>otrzymujących</w:t>
            </w:r>
            <w:proofErr w:type="spellEnd"/>
            <w:r>
              <w:rPr>
                <w:b/>
                <w:i/>
              </w:rPr>
              <w:t xml:space="preserve"> </w:t>
            </w:r>
            <w:proofErr w:type="spellStart"/>
            <w:r>
              <w:rPr>
                <w:b/>
                <w:i/>
              </w:rPr>
              <w:t>wsparcie</w:t>
            </w:r>
            <w:proofErr w:type="spellEnd"/>
            <w:r>
              <w:rPr>
                <w:b/>
                <w:i/>
              </w:rPr>
              <w:t xml:space="preserve"> </w:t>
            </w:r>
            <w:proofErr w:type="spellStart"/>
            <w:r>
              <w:rPr>
                <w:b/>
                <w:i/>
              </w:rPr>
              <w:t>finansowe</w:t>
            </w:r>
            <w:proofErr w:type="spellEnd"/>
            <w:r>
              <w:rPr>
                <w:b/>
                <w:i/>
              </w:rPr>
              <w:t xml:space="preserve"> </w:t>
            </w:r>
            <w:proofErr w:type="spellStart"/>
            <w:r>
              <w:rPr>
                <w:b/>
                <w:i/>
              </w:rPr>
              <w:t>inne</w:t>
            </w:r>
            <w:proofErr w:type="spellEnd"/>
            <w:r>
              <w:rPr>
                <w:b/>
                <w:i/>
              </w:rPr>
              <w:t xml:space="preserve"> </w:t>
            </w:r>
            <w:proofErr w:type="spellStart"/>
            <w:r>
              <w:rPr>
                <w:b/>
                <w:i/>
              </w:rPr>
              <w:t>niż</w:t>
            </w:r>
            <w:proofErr w:type="spellEnd"/>
            <w:r>
              <w:rPr>
                <w:b/>
                <w:i/>
              </w:rPr>
              <w:t xml:space="preserve"> </w:t>
            </w:r>
            <w:proofErr w:type="spellStart"/>
            <w:r>
              <w:rPr>
                <w:b/>
                <w:i/>
              </w:rPr>
              <w:t>dotacje</w:t>
            </w:r>
            <w:proofErr w:type="spellEnd"/>
          </w:p>
        </w:tc>
      </w:tr>
      <w:tr w:rsidR="006B2EC1" w14:paraId="5B6DA388" w14:textId="77777777" w:rsidTr="0047688D">
        <w:tc>
          <w:tcPr>
            <w:tcW w:w="0" w:type="auto"/>
            <w:shd w:val="clear" w:color="auto" w:fill="auto"/>
          </w:tcPr>
          <w:p w14:paraId="00EAEC93" w14:textId="77777777" w:rsidR="008C5CFA" w:rsidRDefault="00E82A60" w:rsidP="00300A01">
            <w:pPr>
              <w:spacing w:before="0" w:after="0"/>
            </w:pPr>
            <w:r>
              <w:t xml:space="preserve">41.1. </w:t>
            </w:r>
            <w:proofErr w:type="spellStart"/>
            <w:r>
              <w:t>Wartość</w:t>
            </w:r>
            <w:proofErr w:type="spellEnd"/>
            <w:r>
              <w:t xml:space="preserve"> </w:t>
            </w:r>
            <w:proofErr w:type="spellStart"/>
            <w:r>
              <w:t>docelowa</w:t>
            </w:r>
            <w:proofErr w:type="spellEnd"/>
            <w:r>
              <w:t xml:space="preserve"> </w:t>
            </w:r>
            <w:proofErr w:type="spellStart"/>
            <w:r>
              <w:t>wskaźnika</w:t>
            </w:r>
            <w:proofErr w:type="spellEnd"/>
            <w:r>
              <w:t xml:space="preserve"> </w:t>
            </w:r>
            <w:proofErr w:type="spellStart"/>
            <w:r>
              <w:t>produktu</w:t>
            </w:r>
            <w:proofErr w:type="spellEnd"/>
          </w:p>
        </w:tc>
        <w:tc>
          <w:tcPr>
            <w:tcW w:w="0" w:type="auto"/>
            <w:shd w:val="clear" w:color="auto" w:fill="auto"/>
          </w:tcPr>
          <w:p w14:paraId="4F827920" w14:textId="77777777" w:rsidR="008C5CFA" w:rsidRDefault="00E82A60" w:rsidP="00300A01">
            <w:pPr>
              <w:spacing w:before="0" w:after="0"/>
              <w:jc w:val="right"/>
            </w:pPr>
            <w:r>
              <w:t>932,00</w:t>
            </w:r>
          </w:p>
        </w:tc>
      </w:tr>
      <w:tr w:rsidR="006B2EC1" w14:paraId="1B3A69BC" w14:textId="77777777" w:rsidTr="0047688D">
        <w:tc>
          <w:tcPr>
            <w:tcW w:w="0" w:type="auto"/>
            <w:shd w:val="clear" w:color="auto" w:fill="auto"/>
          </w:tcPr>
          <w:p w14:paraId="182774B8" w14:textId="77777777" w:rsidR="008C5CFA" w:rsidRDefault="00E82A60" w:rsidP="00300A01">
            <w:pPr>
              <w:spacing w:before="0" w:after="0"/>
            </w:pPr>
            <w:r>
              <w:t xml:space="preserve">41.2. </w:t>
            </w:r>
            <w:proofErr w:type="spellStart"/>
            <w:r>
              <w:t>Wartość</w:t>
            </w:r>
            <w:proofErr w:type="spellEnd"/>
            <w:r>
              <w:t xml:space="preserve"> </w:t>
            </w:r>
            <w:proofErr w:type="spellStart"/>
            <w:r>
              <w:t>osiągnięta</w:t>
            </w:r>
            <w:proofErr w:type="spellEnd"/>
            <w:r>
              <w:t xml:space="preserve"> </w:t>
            </w:r>
            <w:proofErr w:type="spellStart"/>
            <w:r>
              <w:t>przez</w:t>
            </w:r>
            <w:proofErr w:type="spellEnd"/>
            <w:r>
              <w:t xml:space="preserve"> instrument </w:t>
            </w:r>
            <w:proofErr w:type="spellStart"/>
            <w:r>
              <w:t>finansowy</w:t>
            </w:r>
            <w:proofErr w:type="spellEnd"/>
            <w:r>
              <w:t xml:space="preserve"> w </w:t>
            </w:r>
            <w:proofErr w:type="spellStart"/>
            <w:r>
              <w:t>odniesieniu</w:t>
            </w:r>
            <w:proofErr w:type="spellEnd"/>
            <w:r>
              <w:t xml:space="preserve"> do </w:t>
            </w:r>
            <w:proofErr w:type="spellStart"/>
            <w:r>
              <w:t>wartości</w:t>
            </w:r>
            <w:proofErr w:type="spellEnd"/>
            <w:r>
              <w:t xml:space="preserve"> </w:t>
            </w:r>
            <w:proofErr w:type="spellStart"/>
            <w:r>
              <w:t>docelowej</w:t>
            </w:r>
            <w:proofErr w:type="spellEnd"/>
            <w:r>
              <w:t xml:space="preserve"> </w:t>
            </w:r>
            <w:proofErr w:type="spellStart"/>
            <w:r>
              <w:t>wskaźnika</w:t>
            </w:r>
            <w:proofErr w:type="spellEnd"/>
            <w:r>
              <w:t xml:space="preserve"> </w:t>
            </w:r>
            <w:proofErr w:type="spellStart"/>
            <w:r>
              <w:t>produktu</w:t>
            </w:r>
            <w:proofErr w:type="spellEnd"/>
          </w:p>
        </w:tc>
        <w:tc>
          <w:tcPr>
            <w:tcW w:w="0" w:type="auto"/>
            <w:shd w:val="clear" w:color="auto" w:fill="auto"/>
          </w:tcPr>
          <w:p w14:paraId="3CB5884B" w14:textId="77777777" w:rsidR="008C5CFA" w:rsidRDefault="00E82A60" w:rsidP="00300A01">
            <w:pPr>
              <w:spacing w:before="0" w:after="0"/>
              <w:jc w:val="right"/>
            </w:pPr>
            <w:r>
              <w:t>583,00</w:t>
            </w:r>
          </w:p>
        </w:tc>
      </w:tr>
    </w:tbl>
    <w:p w14:paraId="2AF70586" w14:textId="77777777" w:rsidR="006B2EC1" w:rsidRDefault="006B2EC1"/>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56"/>
        <w:gridCol w:w="3696"/>
      </w:tblGrid>
      <w:tr w:rsidR="006B2EC1" w14:paraId="2CC79D3E" w14:textId="77777777" w:rsidTr="0047688D">
        <w:tc>
          <w:tcPr>
            <w:tcW w:w="0" w:type="auto"/>
            <w:gridSpan w:val="2"/>
            <w:shd w:val="clear" w:color="auto" w:fill="auto"/>
          </w:tcPr>
          <w:p w14:paraId="619BB04E" w14:textId="77777777" w:rsidR="008C5CFA" w:rsidRDefault="00E82A60" w:rsidP="00300A01">
            <w:pPr>
              <w:spacing w:before="0" w:after="0"/>
            </w:pPr>
            <w:r>
              <w:rPr>
                <w:b/>
              </w:rPr>
              <w:t xml:space="preserve">I. </w:t>
            </w:r>
            <w:proofErr w:type="spellStart"/>
            <w:r>
              <w:rPr>
                <w:b/>
              </w:rPr>
              <w:t>Określenie</w:t>
            </w:r>
            <w:proofErr w:type="spellEnd"/>
            <w:r>
              <w:rPr>
                <w:b/>
              </w:rPr>
              <w:t xml:space="preserve"> </w:t>
            </w:r>
            <w:proofErr w:type="spellStart"/>
            <w:r>
              <w:rPr>
                <w:b/>
              </w:rPr>
              <w:t>programu</w:t>
            </w:r>
            <w:proofErr w:type="spellEnd"/>
            <w:r>
              <w:rPr>
                <w:b/>
              </w:rPr>
              <w:t xml:space="preserve"> i </w:t>
            </w:r>
            <w:proofErr w:type="spellStart"/>
            <w:r>
              <w:rPr>
                <w:b/>
              </w:rPr>
              <w:t>priorytetu</w:t>
            </w:r>
            <w:proofErr w:type="spellEnd"/>
            <w:r>
              <w:rPr>
                <w:b/>
              </w:rPr>
              <w:t xml:space="preserve"> </w:t>
            </w:r>
            <w:proofErr w:type="spellStart"/>
            <w:r>
              <w:rPr>
                <w:b/>
              </w:rPr>
              <w:t>lub</w:t>
            </w:r>
            <w:proofErr w:type="spellEnd"/>
            <w:r>
              <w:rPr>
                <w:b/>
              </w:rPr>
              <w:t xml:space="preserve"> </w:t>
            </w:r>
            <w:proofErr w:type="spellStart"/>
            <w:r>
              <w:rPr>
                <w:b/>
              </w:rPr>
              <w:t>środka</w:t>
            </w:r>
            <w:proofErr w:type="spellEnd"/>
            <w:r>
              <w:rPr>
                <w:b/>
              </w:rPr>
              <w:t xml:space="preserve">, z </w:t>
            </w:r>
            <w:proofErr w:type="spellStart"/>
            <w:r>
              <w:rPr>
                <w:b/>
              </w:rPr>
              <w:t>których</w:t>
            </w:r>
            <w:proofErr w:type="spellEnd"/>
            <w:r>
              <w:rPr>
                <w:b/>
              </w:rPr>
              <w:t xml:space="preserve"> </w:t>
            </w:r>
            <w:proofErr w:type="spellStart"/>
            <w:r>
              <w:rPr>
                <w:b/>
              </w:rPr>
              <w:t>udzielane</w:t>
            </w:r>
            <w:proofErr w:type="spellEnd"/>
            <w:r>
              <w:rPr>
                <w:b/>
              </w:rPr>
              <w:t xml:space="preserve"> jest </w:t>
            </w:r>
            <w:proofErr w:type="spellStart"/>
            <w:r>
              <w:rPr>
                <w:b/>
              </w:rPr>
              <w:t>wsparcie</w:t>
            </w:r>
            <w:proofErr w:type="spellEnd"/>
            <w:r>
              <w:rPr>
                <w:b/>
              </w:rPr>
              <w:t xml:space="preserve"> z EFSI (art. 46 </w:t>
            </w:r>
            <w:proofErr w:type="spellStart"/>
            <w:r>
              <w:rPr>
                <w:b/>
              </w:rPr>
              <w:t>ust</w:t>
            </w:r>
            <w:proofErr w:type="spellEnd"/>
            <w:r>
              <w:rPr>
                <w:b/>
              </w:rPr>
              <w:t xml:space="preserve">. 2 lit. a) </w:t>
            </w:r>
            <w:proofErr w:type="spellStart"/>
            <w:r>
              <w:rPr>
                <w:b/>
              </w:rPr>
              <w:t>rozporządzenia</w:t>
            </w:r>
            <w:proofErr w:type="spellEnd"/>
            <w:r>
              <w:rPr>
                <w:b/>
              </w:rPr>
              <w:t xml:space="preserve"> (UE) nr 1303/2013)</w:t>
            </w:r>
          </w:p>
        </w:tc>
      </w:tr>
      <w:tr w:rsidR="006B2EC1" w14:paraId="64F34809" w14:textId="77777777" w:rsidTr="0047688D">
        <w:tc>
          <w:tcPr>
            <w:tcW w:w="0" w:type="auto"/>
            <w:gridSpan w:val="2"/>
            <w:shd w:val="clear" w:color="auto" w:fill="auto"/>
          </w:tcPr>
          <w:p w14:paraId="00E82580" w14:textId="77777777" w:rsidR="008C5CFA" w:rsidRDefault="00E82A60" w:rsidP="00300A01">
            <w:pPr>
              <w:spacing w:before="0" w:after="0"/>
            </w:pPr>
            <w:r>
              <w:rPr>
                <w:b/>
              </w:rPr>
              <w:t xml:space="preserve">1. </w:t>
            </w:r>
            <w:proofErr w:type="spellStart"/>
            <w:r>
              <w:rPr>
                <w:b/>
              </w:rPr>
              <w:t>Osie</w:t>
            </w:r>
            <w:proofErr w:type="spellEnd"/>
            <w:r>
              <w:rPr>
                <w:b/>
              </w:rPr>
              <w:t xml:space="preserve"> </w:t>
            </w:r>
            <w:proofErr w:type="spellStart"/>
            <w:r>
              <w:rPr>
                <w:b/>
              </w:rPr>
              <w:t>priorytetowe</w:t>
            </w:r>
            <w:proofErr w:type="spellEnd"/>
            <w:r>
              <w:rPr>
                <w:b/>
              </w:rPr>
              <w:t xml:space="preserve"> </w:t>
            </w:r>
            <w:proofErr w:type="spellStart"/>
            <w:r>
              <w:rPr>
                <w:b/>
              </w:rPr>
              <w:t>lub</w:t>
            </w:r>
            <w:proofErr w:type="spellEnd"/>
            <w:r>
              <w:rPr>
                <w:b/>
              </w:rPr>
              <w:t xml:space="preserve"> </w:t>
            </w:r>
            <w:proofErr w:type="spellStart"/>
            <w:r>
              <w:rPr>
                <w:b/>
              </w:rPr>
              <w:t>środki</w:t>
            </w:r>
            <w:proofErr w:type="spellEnd"/>
            <w:r>
              <w:rPr>
                <w:b/>
              </w:rPr>
              <w:t xml:space="preserve"> </w:t>
            </w:r>
            <w:proofErr w:type="spellStart"/>
            <w:r>
              <w:rPr>
                <w:b/>
              </w:rPr>
              <w:t>wspierające</w:t>
            </w:r>
            <w:proofErr w:type="spellEnd"/>
            <w:r>
              <w:rPr>
                <w:b/>
              </w:rPr>
              <w:t xml:space="preserve"> instrument </w:t>
            </w:r>
            <w:proofErr w:type="spellStart"/>
            <w:r>
              <w:rPr>
                <w:b/>
              </w:rPr>
              <w:t>finansowy</w:t>
            </w:r>
            <w:proofErr w:type="spellEnd"/>
            <w:r>
              <w:rPr>
                <w:b/>
              </w:rPr>
              <w:t xml:space="preserve">, w </w:t>
            </w:r>
            <w:proofErr w:type="spellStart"/>
            <w:r>
              <w:rPr>
                <w:b/>
              </w:rPr>
              <w:t>tym</w:t>
            </w:r>
            <w:proofErr w:type="spellEnd"/>
            <w:r>
              <w:rPr>
                <w:b/>
              </w:rPr>
              <w:t xml:space="preserve"> </w:t>
            </w:r>
            <w:proofErr w:type="spellStart"/>
            <w:r>
              <w:rPr>
                <w:b/>
              </w:rPr>
              <w:t>fundusz</w:t>
            </w:r>
            <w:proofErr w:type="spellEnd"/>
            <w:r>
              <w:rPr>
                <w:b/>
              </w:rPr>
              <w:t xml:space="preserve"> </w:t>
            </w:r>
            <w:proofErr w:type="spellStart"/>
            <w:r>
              <w:rPr>
                <w:b/>
              </w:rPr>
              <w:t>funduszy</w:t>
            </w:r>
            <w:proofErr w:type="spellEnd"/>
            <w:r>
              <w:rPr>
                <w:b/>
              </w:rPr>
              <w:t xml:space="preserve">, w </w:t>
            </w:r>
            <w:proofErr w:type="spellStart"/>
            <w:r>
              <w:rPr>
                <w:b/>
              </w:rPr>
              <w:t>ramach</w:t>
            </w:r>
            <w:proofErr w:type="spellEnd"/>
            <w:r>
              <w:rPr>
                <w:b/>
              </w:rPr>
              <w:t xml:space="preserve"> </w:t>
            </w:r>
            <w:proofErr w:type="spellStart"/>
            <w:r>
              <w:rPr>
                <w:b/>
              </w:rPr>
              <w:t>programu</w:t>
            </w:r>
            <w:proofErr w:type="spellEnd"/>
            <w:r>
              <w:rPr>
                <w:b/>
              </w:rPr>
              <w:t xml:space="preserve"> </w:t>
            </w:r>
            <w:proofErr w:type="spellStart"/>
            <w:r>
              <w:rPr>
                <w:b/>
              </w:rPr>
              <w:t>finansowanego</w:t>
            </w:r>
            <w:proofErr w:type="spellEnd"/>
            <w:r>
              <w:rPr>
                <w:b/>
              </w:rPr>
              <w:t xml:space="preserve"> z EFSI</w:t>
            </w:r>
          </w:p>
        </w:tc>
      </w:tr>
      <w:tr w:rsidR="006B2EC1" w14:paraId="24013918" w14:textId="77777777" w:rsidTr="0047688D">
        <w:tc>
          <w:tcPr>
            <w:tcW w:w="0" w:type="auto"/>
            <w:shd w:val="clear" w:color="auto" w:fill="auto"/>
          </w:tcPr>
          <w:p w14:paraId="641F655F" w14:textId="77777777" w:rsidR="008C5CFA" w:rsidRDefault="00E82A60" w:rsidP="00300A01">
            <w:pPr>
              <w:spacing w:before="0" w:after="0"/>
            </w:pPr>
            <w:r>
              <w:t xml:space="preserve">1.1. </w:t>
            </w:r>
            <w:proofErr w:type="spellStart"/>
            <w:r>
              <w:t>Oś</w:t>
            </w:r>
            <w:proofErr w:type="spellEnd"/>
            <w:r>
              <w:t xml:space="preserve"> </w:t>
            </w:r>
            <w:proofErr w:type="spellStart"/>
            <w:r>
              <w:t>priorytetowa</w:t>
            </w:r>
            <w:proofErr w:type="spellEnd"/>
            <w:r>
              <w:t xml:space="preserve"> </w:t>
            </w:r>
            <w:proofErr w:type="spellStart"/>
            <w:r>
              <w:t>wspierająca</w:t>
            </w:r>
            <w:proofErr w:type="spellEnd"/>
            <w:r>
              <w:t xml:space="preserve"> instrument </w:t>
            </w:r>
            <w:proofErr w:type="spellStart"/>
            <w:r>
              <w:t>finansowy</w:t>
            </w:r>
            <w:proofErr w:type="spellEnd"/>
            <w:r>
              <w:t xml:space="preserve"> w </w:t>
            </w:r>
            <w:proofErr w:type="spellStart"/>
            <w:r>
              <w:t>ramach</w:t>
            </w:r>
            <w:proofErr w:type="spellEnd"/>
            <w:r>
              <w:t xml:space="preserve"> </w:t>
            </w:r>
            <w:proofErr w:type="spellStart"/>
            <w:r>
              <w:t>programu</w:t>
            </w:r>
            <w:proofErr w:type="spellEnd"/>
            <w:r>
              <w:t xml:space="preserve"> </w:t>
            </w:r>
            <w:proofErr w:type="spellStart"/>
            <w:r>
              <w:t>finansowanego</w:t>
            </w:r>
            <w:proofErr w:type="spellEnd"/>
            <w:r>
              <w:t xml:space="preserve"> z EFSI </w:t>
            </w:r>
          </w:p>
        </w:tc>
        <w:tc>
          <w:tcPr>
            <w:tcW w:w="0" w:type="auto"/>
            <w:shd w:val="clear" w:color="auto" w:fill="auto"/>
          </w:tcPr>
          <w:p w14:paraId="2380EC98" w14:textId="77777777" w:rsidR="008C5CFA" w:rsidRDefault="00E82A60" w:rsidP="00300A01">
            <w:pPr>
              <w:spacing w:before="0" w:after="0"/>
              <w:jc w:val="left"/>
            </w:pPr>
            <w:r>
              <w:t xml:space="preserve">10 - </w:t>
            </w:r>
            <w:proofErr w:type="spellStart"/>
            <w:r>
              <w:t>Otwarty</w:t>
            </w:r>
            <w:proofErr w:type="spellEnd"/>
            <w:r>
              <w:t xml:space="preserve"> </w:t>
            </w:r>
            <w:proofErr w:type="spellStart"/>
            <w:r>
              <w:t>rynek</w:t>
            </w:r>
            <w:proofErr w:type="spellEnd"/>
            <w:r>
              <w:t xml:space="preserve"> </w:t>
            </w:r>
            <w:proofErr w:type="spellStart"/>
            <w:r>
              <w:t>pracy</w:t>
            </w:r>
            <w:proofErr w:type="spellEnd"/>
          </w:p>
        </w:tc>
      </w:tr>
      <w:tr w:rsidR="006B2EC1" w14:paraId="532E6390" w14:textId="77777777" w:rsidTr="0047688D">
        <w:tc>
          <w:tcPr>
            <w:tcW w:w="0" w:type="auto"/>
            <w:shd w:val="clear" w:color="auto" w:fill="auto"/>
          </w:tcPr>
          <w:p w14:paraId="5DF81832" w14:textId="77777777" w:rsidR="008C5CFA" w:rsidRDefault="00E82A60" w:rsidP="00300A01">
            <w:pPr>
              <w:spacing w:before="0" w:after="0"/>
            </w:pPr>
            <w:r>
              <w:t xml:space="preserve">2. </w:t>
            </w:r>
            <w:proofErr w:type="spellStart"/>
            <w:r>
              <w:t>Nazwa</w:t>
            </w:r>
            <w:proofErr w:type="spellEnd"/>
            <w:r>
              <w:t xml:space="preserve"> </w:t>
            </w:r>
            <w:proofErr w:type="spellStart"/>
            <w:r>
              <w:t>funduszu</w:t>
            </w:r>
            <w:proofErr w:type="spellEnd"/>
            <w:r>
              <w:t xml:space="preserve"> (</w:t>
            </w:r>
            <w:proofErr w:type="spellStart"/>
            <w:r>
              <w:t>funduszy</w:t>
            </w:r>
            <w:proofErr w:type="spellEnd"/>
            <w:r>
              <w:t xml:space="preserve">) EFSI </w:t>
            </w:r>
            <w:proofErr w:type="spellStart"/>
            <w:r>
              <w:t>wspierającego</w:t>
            </w:r>
            <w:proofErr w:type="spellEnd"/>
            <w:r>
              <w:t>(-</w:t>
            </w:r>
            <w:proofErr w:type="spellStart"/>
            <w:r>
              <w:t>ych</w:t>
            </w:r>
            <w:proofErr w:type="spellEnd"/>
            <w:r>
              <w:t xml:space="preserve">) instrument </w:t>
            </w:r>
            <w:proofErr w:type="spellStart"/>
            <w:r>
              <w:t>finansowy</w:t>
            </w:r>
            <w:proofErr w:type="spellEnd"/>
            <w:r>
              <w:t xml:space="preserve"> w </w:t>
            </w:r>
            <w:proofErr w:type="spellStart"/>
            <w:r>
              <w:t>ramach</w:t>
            </w:r>
            <w:proofErr w:type="spellEnd"/>
            <w:r>
              <w:t xml:space="preserve"> </w:t>
            </w:r>
            <w:proofErr w:type="spellStart"/>
            <w:r>
              <w:t>osi</w:t>
            </w:r>
            <w:proofErr w:type="spellEnd"/>
            <w:r>
              <w:t xml:space="preserve"> </w:t>
            </w:r>
            <w:proofErr w:type="spellStart"/>
            <w:r>
              <w:t>priorytetowej</w:t>
            </w:r>
            <w:proofErr w:type="spellEnd"/>
            <w:r>
              <w:t xml:space="preserve"> </w:t>
            </w:r>
            <w:proofErr w:type="spellStart"/>
            <w:r>
              <w:t>lub</w:t>
            </w:r>
            <w:proofErr w:type="spellEnd"/>
            <w:r>
              <w:t xml:space="preserve"> </w:t>
            </w:r>
            <w:proofErr w:type="spellStart"/>
            <w:r>
              <w:t>środka</w:t>
            </w:r>
            <w:proofErr w:type="spellEnd"/>
          </w:p>
        </w:tc>
        <w:tc>
          <w:tcPr>
            <w:tcW w:w="0" w:type="auto"/>
            <w:shd w:val="clear" w:color="auto" w:fill="auto"/>
          </w:tcPr>
          <w:p w14:paraId="11C52523" w14:textId="77777777" w:rsidR="008C5CFA" w:rsidRDefault="00E82A60" w:rsidP="00300A01">
            <w:pPr>
              <w:spacing w:before="0" w:after="0"/>
              <w:jc w:val="left"/>
            </w:pPr>
            <w:r>
              <w:t>EFS</w:t>
            </w:r>
          </w:p>
        </w:tc>
      </w:tr>
      <w:tr w:rsidR="006B2EC1" w14:paraId="51740492" w14:textId="77777777" w:rsidTr="0047688D">
        <w:tc>
          <w:tcPr>
            <w:tcW w:w="0" w:type="auto"/>
            <w:shd w:val="clear" w:color="auto" w:fill="auto"/>
          </w:tcPr>
          <w:p w14:paraId="35AE7FD4" w14:textId="77777777" w:rsidR="008C5CFA" w:rsidRDefault="00E82A60" w:rsidP="00300A01">
            <w:pPr>
              <w:spacing w:before="0" w:after="0"/>
            </w:pPr>
            <w:r>
              <w:rPr>
                <w:b/>
                <w:i/>
              </w:rPr>
              <w:t xml:space="preserve">3. </w:t>
            </w:r>
            <w:proofErr w:type="spellStart"/>
            <w:r>
              <w:rPr>
                <w:b/>
                <w:i/>
              </w:rPr>
              <w:t>Cel</w:t>
            </w:r>
            <w:proofErr w:type="spellEnd"/>
            <w:r>
              <w:rPr>
                <w:b/>
                <w:i/>
              </w:rPr>
              <w:t xml:space="preserve">(-e) </w:t>
            </w:r>
            <w:proofErr w:type="spellStart"/>
            <w:r>
              <w:rPr>
                <w:b/>
                <w:i/>
              </w:rPr>
              <w:t>tematyczny</w:t>
            </w:r>
            <w:proofErr w:type="spellEnd"/>
            <w:r>
              <w:rPr>
                <w:b/>
                <w:i/>
              </w:rPr>
              <w:t xml:space="preserve">(-e), o </w:t>
            </w:r>
            <w:proofErr w:type="spellStart"/>
            <w:r>
              <w:rPr>
                <w:b/>
                <w:i/>
              </w:rPr>
              <w:t>którym</w:t>
            </w:r>
            <w:proofErr w:type="spellEnd"/>
            <w:r>
              <w:rPr>
                <w:b/>
                <w:i/>
              </w:rPr>
              <w:t>(-</w:t>
            </w:r>
            <w:proofErr w:type="spellStart"/>
            <w:r>
              <w:rPr>
                <w:b/>
                <w:i/>
              </w:rPr>
              <w:t>ych</w:t>
            </w:r>
            <w:proofErr w:type="spellEnd"/>
            <w:r>
              <w:rPr>
                <w:b/>
                <w:i/>
              </w:rPr>
              <w:t xml:space="preserve">) </w:t>
            </w:r>
            <w:proofErr w:type="spellStart"/>
            <w:r>
              <w:rPr>
                <w:b/>
                <w:i/>
              </w:rPr>
              <w:t>mowa</w:t>
            </w:r>
            <w:proofErr w:type="spellEnd"/>
            <w:r>
              <w:rPr>
                <w:b/>
                <w:i/>
              </w:rPr>
              <w:t xml:space="preserve"> w art. 9 </w:t>
            </w:r>
            <w:proofErr w:type="spellStart"/>
            <w:r>
              <w:rPr>
                <w:b/>
                <w:i/>
              </w:rPr>
              <w:t>akapit</w:t>
            </w:r>
            <w:proofErr w:type="spellEnd"/>
            <w:r>
              <w:rPr>
                <w:b/>
                <w:i/>
              </w:rPr>
              <w:t xml:space="preserve"> </w:t>
            </w:r>
            <w:proofErr w:type="spellStart"/>
            <w:r>
              <w:rPr>
                <w:b/>
                <w:i/>
              </w:rPr>
              <w:t>pierwszy</w:t>
            </w:r>
            <w:proofErr w:type="spellEnd"/>
            <w:r>
              <w:rPr>
                <w:b/>
                <w:i/>
              </w:rPr>
              <w:t xml:space="preserve"> </w:t>
            </w:r>
            <w:proofErr w:type="spellStart"/>
            <w:r>
              <w:rPr>
                <w:b/>
                <w:i/>
              </w:rPr>
              <w:t>rozporządzenia</w:t>
            </w:r>
            <w:proofErr w:type="spellEnd"/>
            <w:r>
              <w:rPr>
                <w:b/>
                <w:i/>
              </w:rPr>
              <w:t xml:space="preserve"> (UE) nr 1303/2013, </w:t>
            </w:r>
            <w:proofErr w:type="spellStart"/>
            <w:r>
              <w:rPr>
                <w:b/>
                <w:i/>
              </w:rPr>
              <w:t>wspierany</w:t>
            </w:r>
            <w:proofErr w:type="spellEnd"/>
            <w:r>
              <w:rPr>
                <w:b/>
                <w:i/>
              </w:rPr>
              <w:t xml:space="preserve">(-e) z </w:t>
            </w:r>
            <w:proofErr w:type="spellStart"/>
            <w:r>
              <w:rPr>
                <w:b/>
                <w:i/>
              </w:rPr>
              <w:t>instrumentu</w:t>
            </w:r>
            <w:proofErr w:type="spellEnd"/>
            <w:r>
              <w:rPr>
                <w:b/>
                <w:i/>
              </w:rPr>
              <w:t xml:space="preserve"> </w:t>
            </w:r>
            <w:proofErr w:type="spellStart"/>
            <w:r>
              <w:rPr>
                <w:b/>
                <w:i/>
              </w:rPr>
              <w:t>finansowego</w:t>
            </w:r>
            <w:proofErr w:type="spellEnd"/>
          </w:p>
        </w:tc>
        <w:tc>
          <w:tcPr>
            <w:tcW w:w="0" w:type="auto"/>
            <w:shd w:val="clear" w:color="auto" w:fill="auto"/>
          </w:tcPr>
          <w:p w14:paraId="026AACCE" w14:textId="77777777" w:rsidR="008C5CFA" w:rsidRDefault="00E82A60" w:rsidP="00300A01">
            <w:pPr>
              <w:spacing w:before="0" w:after="0"/>
              <w:jc w:val="left"/>
            </w:pPr>
            <w:r>
              <w:rPr>
                <w:b/>
                <w:i/>
              </w:rPr>
              <w:t xml:space="preserve">08 - </w:t>
            </w:r>
            <w:proofErr w:type="spellStart"/>
            <w:r>
              <w:rPr>
                <w:b/>
                <w:i/>
              </w:rPr>
              <w:t>Promowanie</w:t>
            </w:r>
            <w:proofErr w:type="spellEnd"/>
            <w:r>
              <w:rPr>
                <w:b/>
                <w:i/>
              </w:rPr>
              <w:t xml:space="preserve"> </w:t>
            </w:r>
            <w:proofErr w:type="spellStart"/>
            <w:r>
              <w:rPr>
                <w:b/>
                <w:i/>
              </w:rPr>
              <w:t>trwałego</w:t>
            </w:r>
            <w:proofErr w:type="spellEnd"/>
            <w:r>
              <w:rPr>
                <w:b/>
                <w:i/>
              </w:rPr>
              <w:t xml:space="preserve"> i </w:t>
            </w:r>
            <w:proofErr w:type="spellStart"/>
            <w:r>
              <w:rPr>
                <w:b/>
                <w:i/>
              </w:rPr>
              <w:t>wysokiej</w:t>
            </w:r>
            <w:proofErr w:type="spellEnd"/>
            <w:r>
              <w:rPr>
                <w:b/>
                <w:i/>
              </w:rPr>
              <w:t xml:space="preserve"> </w:t>
            </w:r>
            <w:proofErr w:type="spellStart"/>
            <w:r>
              <w:rPr>
                <w:b/>
                <w:i/>
              </w:rPr>
              <w:t>jakości</w:t>
            </w:r>
            <w:proofErr w:type="spellEnd"/>
            <w:r>
              <w:rPr>
                <w:b/>
                <w:i/>
              </w:rPr>
              <w:t xml:space="preserve"> </w:t>
            </w:r>
            <w:proofErr w:type="spellStart"/>
            <w:r>
              <w:rPr>
                <w:b/>
                <w:i/>
              </w:rPr>
              <w:t>zatrudnienia</w:t>
            </w:r>
            <w:proofErr w:type="spellEnd"/>
            <w:r>
              <w:rPr>
                <w:b/>
                <w:i/>
              </w:rPr>
              <w:t xml:space="preserve"> </w:t>
            </w:r>
            <w:proofErr w:type="spellStart"/>
            <w:r>
              <w:rPr>
                <w:b/>
                <w:i/>
              </w:rPr>
              <w:t>oraz</w:t>
            </w:r>
            <w:proofErr w:type="spellEnd"/>
            <w:r>
              <w:rPr>
                <w:b/>
                <w:i/>
              </w:rPr>
              <w:t xml:space="preserve"> </w:t>
            </w:r>
            <w:proofErr w:type="spellStart"/>
            <w:r>
              <w:rPr>
                <w:b/>
                <w:i/>
              </w:rPr>
              <w:t>mobilności</w:t>
            </w:r>
            <w:proofErr w:type="spellEnd"/>
            <w:r>
              <w:rPr>
                <w:b/>
                <w:i/>
              </w:rPr>
              <w:t xml:space="preserve"> </w:t>
            </w:r>
            <w:proofErr w:type="spellStart"/>
            <w:r>
              <w:rPr>
                <w:b/>
                <w:i/>
              </w:rPr>
              <w:t>pracowników</w:t>
            </w:r>
            <w:proofErr w:type="spellEnd"/>
          </w:p>
        </w:tc>
      </w:tr>
      <w:tr w:rsidR="006B2EC1" w14:paraId="7B41C13F" w14:textId="77777777" w:rsidTr="0047688D">
        <w:tc>
          <w:tcPr>
            <w:tcW w:w="0" w:type="auto"/>
            <w:shd w:val="clear" w:color="auto" w:fill="auto"/>
          </w:tcPr>
          <w:p w14:paraId="6AE0358C" w14:textId="77777777" w:rsidR="008C5CFA" w:rsidRDefault="00E82A60" w:rsidP="00300A01">
            <w:pPr>
              <w:spacing w:before="0" w:after="0"/>
            </w:pPr>
            <w:r>
              <w:t xml:space="preserve">3.1. </w:t>
            </w:r>
            <w:proofErr w:type="spellStart"/>
            <w:r>
              <w:t>Kwota</w:t>
            </w:r>
            <w:proofErr w:type="spellEnd"/>
            <w:r>
              <w:t xml:space="preserve"> </w:t>
            </w:r>
            <w:proofErr w:type="spellStart"/>
            <w:r>
              <w:t>finansowania</w:t>
            </w:r>
            <w:proofErr w:type="spellEnd"/>
            <w:r>
              <w:t xml:space="preserve"> z EFSI </w:t>
            </w:r>
            <w:proofErr w:type="spellStart"/>
            <w:r>
              <w:t>zaangażowana</w:t>
            </w:r>
            <w:proofErr w:type="spellEnd"/>
            <w:r>
              <w:t xml:space="preserve"> w </w:t>
            </w:r>
            <w:proofErr w:type="spellStart"/>
            <w:r>
              <w:t>umowie</w:t>
            </w:r>
            <w:proofErr w:type="spellEnd"/>
            <w:r>
              <w:t xml:space="preserve"> o </w:t>
            </w:r>
            <w:proofErr w:type="spellStart"/>
            <w:r>
              <w:t>finansowaniu</w:t>
            </w:r>
            <w:proofErr w:type="spellEnd"/>
            <w:r>
              <w:t xml:space="preserve"> z </w:t>
            </w:r>
            <w:proofErr w:type="spellStart"/>
            <w:r>
              <w:t>poszczególnych</w:t>
            </w:r>
            <w:proofErr w:type="spellEnd"/>
            <w:r>
              <w:t xml:space="preserve"> </w:t>
            </w:r>
            <w:proofErr w:type="spellStart"/>
            <w:r>
              <w:t>celów</w:t>
            </w:r>
            <w:proofErr w:type="spellEnd"/>
            <w:r>
              <w:t xml:space="preserve"> </w:t>
            </w:r>
            <w:proofErr w:type="spellStart"/>
            <w:r>
              <w:t>tematycznych</w:t>
            </w:r>
            <w:proofErr w:type="spellEnd"/>
            <w:r>
              <w:t xml:space="preserve"> </w:t>
            </w:r>
            <w:proofErr w:type="spellStart"/>
            <w:r>
              <w:t>wybranych</w:t>
            </w:r>
            <w:proofErr w:type="spellEnd"/>
            <w:r>
              <w:t xml:space="preserve"> w </w:t>
            </w:r>
            <w:proofErr w:type="spellStart"/>
            <w:r>
              <w:t>polu</w:t>
            </w:r>
            <w:proofErr w:type="spellEnd"/>
            <w:r>
              <w:t xml:space="preserve"> 3 (</w:t>
            </w:r>
            <w:proofErr w:type="spellStart"/>
            <w:r>
              <w:t>fakultatywnie</w:t>
            </w:r>
            <w:proofErr w:type="spellEnd"/>
            <w:r>
              <w:t>)</w:t>
            </w:r>
          </w:p>
        </w:tc>
        <w:tc>
          <w:tcPr>
            <w:tcW w:w="0" w:type="auto"/>
            <w:shd w:val="clear" w:color="auto" w:fill="auto"/>
          </w:tcPr>
          <w:p w14:paraId="36732AE7" w14:textId="77777777" w:rsidR="008C5CFA" w:rsidRDefault="00E82A60" w:rsidP="00300A01">
            <w:pPr>
              <w:spacing w:before="0" w:after="0"/>
              <w:jc w:val="right"/>
            </w:pPr>
            <w:r>
              <w:t>7 969 963,54</w:t>
            </w:r>
          </w:p>
        </w:tc>
      </w:tr>
      <w:tr w:rsidR="006B2EC1" w14:paraId="17D2FD6A" w14:textId="77777777" w:rsidTr="0047688D">
        <w:tc>
          <w:tcPr>
            <w:tcW w:w="0" w:type="auto"/>
            <w:gridSpan w:val="2"/>
            <w:shd w:val="clear" w:color="auto" w:fill="auto"/>
          </w:tcPr>
          <w:p w14:paraId="249F8C38" w14:textId="77777777" w:rsidR="008C5CFA" w:rsidRDefault="00E82A60" w:rsidP="00300A01">
            <w:pPr>
              <w:spacing w:before="0" w:after="0"/>
            </w:pPr>
            <w:r>
              <w:rPr>
                <w:b/>
              </w:rPr>
              <w:t xml:space="preserve">4. </w:t>
            </w:r>
            <w:proofErr w:type="spellStart"/>
            <w:r>
              <w:rPr>
                <w:b/>
              </w:rPr>
              <w:t>Inne</w:t>
            </w:r>
            <w:proofErr w:type="spellEnd"/>
            <w:r>
              <w:rPr>
                <w:b/>
              </w:rPr>
              <w:t xml:space="preserve"> </w:t>
            </w:r>
            <w:proofErr w:type="spellStart"/>
            <w:r>
              <w:rPr>
                <w:b/>
              </w:rPr>
              <w:t>programy</w:t>
            </w:r>
            <w:proofErr w:type="spellEnd"/>
            <w:r>
              <w:rPr>
                <w:b/>
              </w:rPr>
              <w:t xml:space="preserve"> </w:t>
            </w:r>
            <w:proofErr w:type="spellStart"/>
            <w:r>
              <w:rPr>
                <w:b/>
              </w:rPr>
              <w:t>finansowane</w:t>
            </w:r>
            <w:proofErr w:type="spellEnd"/>
            <w:r>
              <w:rPr>
                <w:b/>
              </w:rPr>
              <w:t xml:space="preserve"> z EFSI, z </w:t>
            </w:r>
            <w:proofErr w:type="spellStart"/>
            <w:r>
              <w:rPr>
                <w:b/>
              </w:rPr>
              <w:t>których</w:t>
            </w:r>
            <w:proofErr w:type="spellEnd"/>
            <w:r>
              <w:rPr>
                <w:b/>
              </w:rPr>
              <w:t xml:space="preserve"> </w:t>
            </w:r>
            <w:proofErr w:type="spellStart"/>
            <w:r>
              <w:rPr>
                <w:b/>
              </w:rPr>
              <w:t>pochodzą</w:t>
            </w:r>
            <w:proofErr w:type="spellEnd"/>
            <w:r>
              <w:rPr>
                <w:b/>
              </w:rPr>
              <w:t xml:space="preserve"> </w:t>
            </w:r>
            <w:proofErr w:type="spellStart"/>
            <w:r>
              <w:rPr>
                <w:b/>
              </w:rPr>
              <w:t>wkłady</w:t>
            </w:r>
            <w:proofErr w:type="spellEnd"/>
            <w:r>
              <w:rPr>
                <w:b/>
              </w:rPr>
              <w:t xml:space="preserve"> do </w:t>
            </w:r>
            <w:proofErr w:type="spellStart"/>
            <w:r>
              <w:rPr>
                <w:b/>
              </w:rPr>
              <w:t>instrumentu</w:t>
            </w:r>
            <w:proofErr w:type="spellEnd"/>
            <w:r>
              <w:rPr>
                <w:b/>
              </w:rPr>
              <w:t xml:space="preserve"> </w:t>
            </w:r>
            <w:proofErr w:type="spellStart"/>
            <w:r>
              <w:rPr>
                <w:b/>
              </w:rPr>
              <w:t>finansowego</w:t>
            </w:r>
            <w:proofErr w:type="spellEnd"/>
          </w:p>
        </w:tc>
      </w:tr>
      <w:tr w:rsidR="006B2EC1" w14:paraId="100628A9" w14:textId="77777777" w:rsidTr="0047688D">
        <w:tc>
          <w:tcPr>
            <w:tcW w:w="0" w:type="auto"/>
            <w:shd w:val="clear" w:color="auto" w:fill="auto"/>
          </w:tcPr>
          <w:p w14:paraId="14508069" w14:textId="77777777" w:rsidR="008C5CFA" w:rsidRDefault="00E82A60" w:rsidP="00300A01">
            <w:pPr>
              <w:spacing w:before="0" w:after="0"/>
            </w:pPr>
            <w:r>
              <w:t xml:space="preserve">4.1. </w:t>
            </w:r>
            <w:proofErr w:type="spellStart"/>
            <w:r>
              <w:t>Numer</w:t>
            </w:r>
            <w:proofErr w:type="spellEnd"/>
            <w:r>
              <w:t xml:space="preserve"> CCI </w:t>
            </w:r>
            <w:proofErr w:type="spellStart"/>
            <w:r>
              <w:t>każdego</w:t>
            </w:r>
            <w:proofErr w:type="spellEnd"/>
            <w:r>
              <w:t xml:space="preserve"> </w:t>
            </w:r>
            <w:proofErr w:type="spellStart"/>
            <w:r>
              <w:t>innego</w:t>
            </w:r>
            <w:proofErr w:type="spellEnd"/>
            <w:r>
              <w:t xml:space="preserve"> </w:t>
            </w:r>
            <w:proofErr w:type="spellStart"/>
            <w:r>
              <w:t>programu</w:t>
            </w:r>
            <w:proofErr w:type="spellEnd"/>
            <w:r>
              <w:t xml:space="preserve"> </w:t>
            </w:r>
            <w:proofErr w:type="spellStart"/>
            <w:r>
              <w:t>finansowanego</w:t>
            </w:r>
            <w:proofErr w:type="spellEnd"/>
            <w:r>
              <w:t xml:space="preserve"> z EFSI, z </w:t>
            </w:r>
            <w:proofErr w:type="spellStart"/>
            <w:r>
              <w:t>którego</w:t>
            </w:r>
            <w:proofErr w:type="spellEnd"/>
            <w:r>
              <w:t xml:space="preserve"> </w:t>
            </w:r>
            <w:proofErr w:type="spellStart"/>
            <w:r>
              <w:t>pochodzą</w:t>
            </w:r>
            <w:proofErr w:type="spellEnd"/>
            <w:r>
              <w:t xml:space="preserve"> </w:t>
            </w:r>
            <w:proofErr w:type="spellStart"/>
            <w:r>
              <w:t>wkłady</w:t>
            </w:r>
            <w:proofErr w:type="spellEnd"/>
            <w:r>
              <w:t xml:space="preserve"> do </w:t>
            </w:r>
            <w:proofErr w:type="spellStart"/>
            <w:r>
              <w:t>instrumentu</w:t>
            </w:r>
            <w:proofErr w:type="spellEnd"/>
            <w:r>
              <w:t xml:space="preserve"> </w:t>
            </w:r>
            <w:proofErr w:type="spellStart"/>
            <w:r>
              <w:t>finansowego</w:t>
            </w:r>
            <w:proofErr w:type="spellEnd"/>
          </w:p>
        </w:tc>
        <w:tc>
          <w:tcPr>
            <w:tcW w:w="0" w:type="auto"/>
            <w:shd w:val="clear" w:color="auto" w:fill="auto"/>
          </w:tcPr>
          <w:p w14:paraId="6F5AF8C2" w14:textId="77777777" w:rsidR="008C5CFA" w:rsidRDefault="008C5CFA" w:rsidP="00300A01">
            <w:pPr>
              <w:spacing w:before="0" w:after="0"/>
              <w:jc w:val="left"/>
            </w:pPr>
          </w:p>
        </w:tc>
      </w:tr>
      <w:tr w:rsidR="006B2EC1" w14:paraId="74018B85" w14:textId="77777777" w:rsidTr="0047688D">
        <w:tc>
          <w:tcPr>
            <w:tcW w:w="0" w:type="auto"/>
            <w:shd w:val="clear" w:color="auto" w:fill="auto"/>
          </w:tcPr>
          <w:p w14:paraId="57528A60" w14:textId="77777777" w:rsidR="008C5CFA" w:rsidRDefault="00E82A60" w:rsidP="00300A01">
            <w:pPr>
              <w:spacing w:before="0" w:after="0"/>
            </w:pPr>
            <w:r>
              <w:t xml:space="preserve">30. Data </w:t>
            </w:r>
            <w:proofErr w:type="spellStart"/>
            <w:r>
              <w:t>ukończenia</w:t>
            </w:r>
            <w:proofErr w:type="spellEnd"/>
            <w:r>
              <w:t xml:space="preserve"> </w:t>
            </w:r>
            <w:proofErr w:type="spellStart"/>
            <w:r>
              <w:t>oceny</w:t>
            </w:r>
            <w:proofErr w:type="spellEnd"/>
            <w:r>
              <w:t xml:space="preserve"> ex ante</w:t>
            </w:r>
          </w:p>
        </w:tc>
        <w:tc>
          <w:tcPr>
            <w:tcW w:w="0" w:type="auto"/>
            <w:shd w:val="clear" w:color="auto" w:fill="auto"/>
          </w:tcPr>
          <w:p w14:paraId="14935A72" w14:textId="77777777" w:rsidR="008C5CFA" w:rsidRDefault="00E82A60" w:rsidP="00300A01">
            <w:pPr>
              <w:spacing w:before="0" w:after="0"/>
              <w:jc w:val="right"/>
            </w:pPr>
            <w:r>
              <w:t>2014-11-28</w:t>
            </w:r>
          </w:p>
        </w:tc>
      </w:tr>
      <w:tr w:rsidR="006B2EC1" w14:paraId="47E4319E" w14:textId="77777777" w:rsidTr="0047688D">
        <w:tc>
          <w:tcPr>
            <w:tcW w:w="0" w:type="auto"/>
            <w:gridSpan w:val="2"/>
            <w:shd w:val="clear" w:color="auto" w:fill="auto"/>
          </w:tcPr>
          <w:p w14:paraId="7A5271C9" w14:textId="77777777" w:rsidR="008C5CFA" w:rsidRDefault="00E82A60" w:rsidP="00300A01">
            <w:pPr>
              <w:spacing w:before="0" w:after="0"/>
            </w:pPr>
            <w:r>
              <w:rPr>
                <w:b/>
              </w:rPr>
              <w:t xml:space="preserve">31. </w:t>
            </w:r>
            <w:proofErr w:type="spellStart"/>
            <w:r>
              <w:rPr>
                <w:b/>
              </w:rPr>
              <w:t>Wybór</w:t>
            </w:r>
            <w:proofErr w:type="spellEnd"/>
            <w:r>
              <w:rPr>
                <w:b/>
              </w:rPr>
              <w:t xml:space="preserve"> </w:t>
            </w:r>
            <w:proofErr w:type="spellStart"/>
            <w:r>
              <w:rPr>
                <w:b/>
              </w:rPr>
              <w:t>podmiotów</w:t>
            </w:r>
            <w:proofErr w:type="spellEnd"/>
            <w:r>
              <w:rPr>
                <w:b/>
              </w:rPr>
              <w:t xml:space="preserve"> </w:t>
            </w:r>
            <w:proofErr w:type="spellStart"/>
            <w:r>
              <w:rPr>
                <w:b/>
              </w:rPr>
              <w:t>wdrażających</w:t>
            </w:r>
            <w:proofErr w:type="spellEnd"/>
            <w:r>
              <w:rPr>
                <w:b/>
              </w:rPr>
              <w:t xml:space="preserve"> instrument </w:t>
            </w:r>
            <w:proofErr w:type="spellStart"/>
            <w:r>
              <w:rPr>
                <w:b/>
              </w:rPr>
              <w:t>finansowy</w:t>
            </w:r>
            <w:proofErr w:type="spellEnd"/>
          </w:p>
        </w:tc>
      </w:tr>
      <w:tr w:rsidR="006B2EC1" w14:paraId="7AE69933" w14:textId="77777777" w:rsidTr="0047688D">
        <w:tc>
          <w:tcPr>
            <w:tcW w:w="0" w:type="auto"/>
            <w:shd w:val="clear" w:color="auto" w:fill="auto"/>
          </w:tcPr>
          <w:p w14:paraId="18504F25" w14:textId="77777777" w:rsidR="008C5CFA" w:rsidRDefault="00E82A60" w:rsidP="00300A01">
            <w:pPr>
              <w:spacing w:before="0" w:after="0"/>
            </w:pPr>
            <w:r>
              <w:t xml:space="preserve">31.1. </w:t>
            </w:r>
            <w:proofErr w:type="spellStart"/>
            <w:r>
              <w:t>Czy</w:t>
            </w:r>
            <w:proofErr w:type="spellEnd"/>
            <w:r>
              <w:t xml:space="preserve"> </w:t>
            </w:r>
            <w:proofErr w:type="spellStart"/>
            <w:r>
              <w:t>rozpoczęto</w:t>
            </w:r>
            <w:proofErr w:type="spellEnd"/>
            <w:r>
              <w:t xml:space="preserve"> </w:t>
            </w:r>
            <w:proofErr w:type="spellStart"/>
            <w:r>
              <w:t>już</w:t>
            </w:r>
            <w:proofErr w:type="spellEnd"/>
            <w:r>
              <w:t xml:space="preserve"> </w:t>
            </w:r>
            <w:proofErr w:type="spellStart"/>
            <w:r>
              <w:t>proces</w:t>
            </w:r>
            <w:proofErr w:type="spellEnd"/>
            <w:r>
              <w:t xml:space="preserve"> </w:t>
            </w:r>
            <w:proofErr w:type="spellStart"/>
            <w:r>
              <w:t>wyboru</w:t>
            </w:r>
            <w:proofErr w:type="spellEnd"/>
            <w:r>
              <w:t xml:space="preserve"> </w:t>
            </w:r>
            <w:proofErr w:type="spellStart"/>
            <w:r>
              <w:t>lub</w:t>
            </w:r>
            <w:proofErr w:type="spellEnd"/>
            <w:r>
              <w:t xml:space="preserve"> </w:t>
            </w:r>
            <w:proofErr w:type="spellStart"/>
            <w:r>
              <w:t>wyznaczenia</w:t>
            </w:r>
            <w:proofErr w:type="spellEnd"/>
            <w:r>
              <w:t>?</w:t>
            </w:r>
          </w:p>
        </w:tc>
        <w:tc>
          <w:tcPr>
            <w:tcW w:w="0" w:type="auto"/>
            <w:shd w:val="clear" w:color="auto" w:fill="auto"/>
          </w:tcPr>
          <w:p w14:paraId="5BF902A0" w14:textId="77777777" w:rsidR="008C5CFA" w:rsidRDefault="00E82A60" w:rsidP="00300A01">
            <w:pPr>
              <w:spacing w:before="0" w:after="0"/>
              <w:jc w:val="right"/>
            </w:pPr>
            <w:proofErr w:type="spellStart"/>
            <w:r>
              <w:t>Tak</w:t>
            </w:r>
            <w:proofErr w:type="spellEnd"/>
          </w:p>
        </w:tc>
      </w:tr>
      <w:tr w:rsidR="006B2EC1" w14:paraId="67346A68" w14:textId="77777777" w:rsidTr="0047688D">
        <w:tc>
          <w:tcPr>
            <w:tcW w:w="0" w:type="auto"/>
            <w:gridSpan w:val="2"/>
            <w:shd w:val="clear" w:color="auto" w:fill="auto"/>
          </w:tcPr>
          <w:p w14:paraId="7B903B00" w14:textId="77777777" w:rsidR="008C5CFA" w:rsidRDefault="00E82A60" w:rsidP="00300A01">
            <w:pPr>
              <w:spacing w:before="0" w:after="0"/>
            </w:pPr>
            <w:r>
              <w:rPr>
                <w:b/>
              </w:rPr>
              <w:t xml:space="preserve">II. </w:t>
            </w:r>
            <w:proofErr w:type="spellStart"/>
            <w:r>
              <w:rPr>
                <w:b/>
              </w:rPr>
              <w:t>Opis</w:t>
            </w:r>
            <w:proofErr w:type="spellEnd"/>
            <w:r>
              <w:rPr>
                <w:b/>
              </w:rPr>
              <w:t xml:space="preserve"> </w:t>
            </w:r>
            <w:proofErr w:type="spellStart"/>
            <w:r>
              <w:rPr>
                <w:b/>
              </w:rPr>
              <w:t>instrumentu</w:t>
            </w:r>
            <w:proofErr w:type="spellEnd"/>
            <w:r>
              <w:rPr>
                <w:b/>
              </w:rPr>
              <w:t xml:space="preserve"> </w:t>
            </w:r>
            <w:proofErr w:type="spellStart"/>
            <w:r>
              <w:rPr>
                <w:b/>
              </w:rPr>
              <w:t>finansowego</w:t>
            </w:r>
            <w:proofErr w:type="spellEnd"/>
            <w:r>
              <w:rPr>
                <w:b/>
              </w:rPr>
              <w:t xml:space="preserve"> i </w:t>
            </w:r>
            <w:proofErr w:type="spellStart"/>
            <w:r>
              <w:rPr>
                <w:b/>
              </w:rPr>
              <w:t>rozwiązania</w:t>
            </w:r>
            <w:proofErr w:type="spellEnd"/>
            <w:r>
              <w:rPr>
                <w:b/>
              </w:rPr>
              <w:t xml:space="preserve"> </w:t>
            </w:r>
            <w:proofErr w:type="spellStart"/>
            <w:r>
              <w:rPr>
                <w:b/>
              </w:rPr>
              <w:t>wdrożeniowe</w:t>
            </w:r>
            <w:proofErr w:type="spellEnd"/>
            <w:r>
              <w:rPr>
                <w:b/>
              </w:rPr>
              <w:t xml:space="preserve"> (art. 46 </w:t>
            </w:r>
            <w:proofErr w:type="spellStart"/>
            <w:r>
              <w:rPr>
                <w:b/>
              </w:rPr>
              <w:t>ust</w:t>
            </w:r>
            <w:proofErr w:type="spellEnd"/>
            <w:r>
              <w:rPr>
                <w:b/>
              </w:rPr>
              <w:t xml:space="preserve">. 2 lit. b) </w:t>
            </w:r>
            <w:proofErr w:type="spellStart"/>
            <w:r>
              <w:rPr>
                <w:b/>
              </w:rPr>
              <w:t>rozporządzenia</w:t>
            </w:r>
            <w:proofErr w:type="spellEnd"/>
            <w:r>
              <w:rPr>
                <w:b/>
              </w:rPr>
              <w:t xml:space="preserve"> (UE) nr 1303/2013)</w:t>
            </w:r>
          </w:p>
        </w:tc>
      </w:tr>
      <w:tr w:rsidR="006B2EC1" w14:paraId="04226489" w14:textId="77777777" w:rsidTr="0047688D">
        <w:tc>
          <w:tcPr>
            <w:tcW w:w="0" w:type="auto"/>
            <w:shd w:val="clear" w:color="auto" w:fill="auto"/>
          </w:tcPr>
          <w:p w14:paraId="60E2F7EA" w14:textId="77777777" w:rsidR="008C5CFA" w:rsidRDefault="00E82A60" w:rsidP="00300A01">
            <w:pPr>
              <w:spacing w:before="0" w:after="0"/>
            </w:pPr>
            <w:r>
              <w:lastRenderedPageBreak/>
              <w:t xml:space="preserve">5. </w:t>
            </w:r>
            <w:proofErr w:type="spellStart"/>
            <w:r>
              <w:t>Nazwa</w:t>
            </w:r>
            <w:proofErr w:type="spellEnd"/>
            <w:r>
              <w:t xml:space="preserve"> </w:t>
            </w:r>
            <w:proofErr w:type="spellStart"/>
            <w:r>
              <w:t>instrumentu</w:t>
            </w:r>
            <w:proofErr w:type="spellEnd"/>
            <w:r>
              <w:t xml:space="preserve"> </w:t>
            </w:r>
            <w:proofErr w:type="spellStart"/>
            <w:r>
              <w:t>finansowego</w:t>
            </w:r>
            <w:proofErr w:type="spellEnd"/>
          </w:p>
        </w:tc>
        <w:tc>
          <w:tcPr>
            <w:tcW w:w="0" w:type="auto"/>
            <w:shd w:val="clear" w:color="auto" w:fill="auto"/>
          </w:tcPr>
          <w:p w14:paraId="7E4DA791" w14:textId="77777777" w:rsidR="008C5CFA" w:rsidRDefault="00E82A60" w:rsidP="00300A01">
            <w:pPr>
              <w:pStyle w:val="Nagwek2"/>
              <w:spacing w:before="0" w:after="0"/>
              <w:jc w:val="left"/>
            </w:pPr>
            <w:bookmarkStart w:id="100" w:name="_Toc46391783"/>
            <w:proofErr w:type="spellStart"/>
            <w:r>
              <w:t>Wsparcie</w:t>
            </w:r>
            <w:proofErr w:type="spellEnd"/>
            <w:r>
              <w:t xml:space="preserve"> </w:t>
            </w:r>
            <w:proofErr w:type="spellStart"/>
            <w:r>
              <w:t>rynku</w:t>
            </w:r>
            <w:proofErr w:type="spellEnd"/>
            <w:r>
              <w:t xml:space="preserve"> </w:t>
            </w:r>
            <w:proofErr w:type="spellStart"/>
            <w:r>
              <w:t>pracy</w:t>
            </w:r>
            <w:proofErr w:type="spellEnd"/>
            <w:r>
              <w:t xml:space="preserve"> </w:t>
            </w:r>
            <w:proofErr w:type="spellStart"/>
            <w:r>
              <w:t>przez</w:t>
            </w:r>
            <w:proofErr w:type="spellEnd"/>
            <w:r>
              <w:t xml:space="preserve"> </w:t>
            </w:r>
            <w:proofErr w:type="spellStart"/>
            <w:r>
              <w:t>Fundusz</w:t>
            </w:r>
            <w:proofErr w:type="spellEnd"/>
            <w:r>
              <w:t xml:space="preserve"> </w:t>
            </w:r>
            <w:proofErr w:type="spellStart"/>
            <w:r>
              <w:t>Funduszy</w:t>
            </w:r>
            <w:proofErr w:type="spellEnd"/>
            <w:r>
              <w:t xml:space="preserve"> </w:t>
            </w:r>
            <w:proofErr w:type="spellStart"/>
            <w:r>
              <w:t>Województwa</w:t>
            </w:r>
            <w:proofErr w:type="spellEnd"/>
            <w:r>
              <w:t xml:space="preserve"> Świętokrzyskiego</w:t>
            </w:r>
            <w:bookmarkEnd w:id="100"/>
          </w:p>
        </w:tc>
      </w:tr>
      <w:tr w:rsidR="006B2EC1" w14:paraId="01CCC73D" w14:textId="77777777" w:rsidTr="0047688D">
        <w:tc>
          <w:tcPr>
            <w:tcW w:w="0" w:type="auto"/>
            <w:shd w:val="clear" w:color="auto" w:fill="auto"/>
          </w:tcPr>
          <w:p w14:paraId="36777CD0" w14:textId="77777777" w:rsidR="008C5CFA" w:rsidRDefault="00E82A60" w:rsidP="00300A01">
            <w:pPr>
              <w:spacing w:before="0" w:after="0"/>
            </w:pPr>
            <w:r>
              <w:t xml:space="preserve">6. </w:t>
            </w:r>
            <w:proofErr w:type="spellStart"/>
            <w:r>
              <w:t>Oficjalny</w:t>
            </w:r>
            <w:proofErr w:type="spellEnd"/>
            <w:r>
              <w:t xml:space="preserve"> </w:t>
            </w:r>
            <w:proofErr w:type="spellStart"/>
            <w:r>
              <w:t>adres</w:t>
            </w:r>
            <w:proofErr w:type="spellEnd"/>
            <w:r>
              <w:t>/</w:t>
            </w:r>
            <w:proofErr w:type="spellStart"/>
            <w:r>
              <w:t>miejsce</w:t>
            </w:r>
            <w:proofErr w:type="spellEnd"/>
            <w:r>
              <w:t xml:space="preserve"> </w:t>
            </w:r>
            <w:proofErr w:type="spellStart"/>
            <w:r>
              <w:t>prowadzenia</w:t>
            </w:r>
            <w:proofErr w:type="spellEnd"/>
            <w:r>
              <w:t xml:space="preserve"> </w:t>
            </w:r>
            <w:proofErr w:type="spellStart"/>
            <w:r>
              <w:t>działalności</w:t>
            </w:r>
            <w:proofErr w:type="spellEnd"/>
            <w:r>
              <w:t xml:space="preserve"> </w:t>
            </w:r>
            <w:proofErr w:type="spellStart"/>
            <w:r>
              <w:t>instrumentu</w:t>
            </w:r>
            <w:proofErr w:type="spellEnd"/>
            <w:r>
              <w:t xml:space="preserve"> </w:t>
            </w:r>
            <w:proofErr w:type="spellStart"/>
            <w:r>
              <w:t>finansowego</w:t>
            </w:r>
            <w:proofErr w:type="spellEnd"/>
            <w:r>
              <w:t xml:space="preserve"> (</w:t>
            </w:r>
            <w:proofErr w:type="spellStart"/>
            <w:r>
              <w:t>nazwa</w:t>
            </w:r>
            <w:proofErr w:type="spellEnd"/>
            <w:r>
              <w:t xml:space="preserve"> </w:t>
            </w:r>
            <w:proofErr w:type="spellStart"/>
            <w:r>
              <w:t>państwa</w:t>
            </w:r>
            <w:proofErr w:type="spellEnd"/>
            <w:r>
              <w:t xml:space="preserve"> i </w:t>
            </w:r>
            <w:proofErr w:type="spellStart"/>
            <w:r>
              <w:t>miasta</w:t>
            </w:r>
            <w:proofErr w:type="spellEnd"/>
            <w:r>
              <w:t>)</w:t>
            </w:r>
          </w:p>
        </w:tc>
        <w:tc>
          <w:tcPr>
            <w:tcW w:w="0" w:type="auto"/>
            <w:shd w:val="clear" w:color="auto" w:fill="auto"/>
          </w:tcPr>
          <w:p w14:paraId="20FC1560" w14:textId="77777777" w:rsidR="008C5CFA" w:rsidRDefault="00E82A60" w:rsidP="00300A01">
            <w:pPr>
              <w:spacing w:before="0" w:after="0"/>
              <w:jc w:val="left"/>
            </w:pPr>
            <w:proofErr w:type="spellStart"/>
            <w:r>
              <w:t>Polska</w:t>
            </w:r>
            <w:proofErr w:type="spellEnd"/>
            <w:r>
              <w:t>, Warszawa</w:t>
            </w:r>
          </w:p>
        </w:tc>
      </w:tr>
      <w:tr w:rsidR="006B2EC1" w14:paraId="4363A55C" w14:textId="77777777" w:rsidTr="0047688D">
        <w:tc>
          <w:tcPr>
            <w:tcW w:w="0" w:type="auto"/>
            <w:gridSpan w:val="2"/>
            <w:shd w:val="clear" w:color="auto" w:fill="auto"/>
          </w:tcPr>
          <w:p w14:paraId="28042DF4" w14:textId="77777777" w:rsidR="008C5CFA" w:rsidRDefault="00E82A60" w:rsidP="00300A01">
            <w:pPr>
              <w:spacing w:before="0" w:after="0"/>
            </w:pPr>
            <w:r>
              <w:rPr>
                <w:b/>
              </w:rPr>
              <w:t xml:space="preserve">7. </w:t>
            </w:r>
            <w:proofErr w:type="spellStart"/>
            <w:r>
              <w:rPr>
                <w:b/>
              </w:rPr>
              <w:t>Rozwiązania</w:t>
            </w:r>
            <w:proofErr w:type="spellEnd"/>
            <w:r>
              <w:rPr>
                <w:b/>
              </w:rPr>
              <w:t xml:space="preserve"> </w:t>
            </w:r>
            <w:proofErr w:type="spellStart"/>
            <w:r>
              <w:rPr>
                <w:b/>
              </w:rPr>
              <w:t>wdrożeniowe</w:t>
            </w:r>
            <w:proofErr w:type="spellEnd"/>
          </w:p>
        </w:tc>
      </w:tr>
      <w:tr w:rsidR="006B2EC1" w14:paraId="0AD42FED" w14:textId="77777777" w:rsidTr="0047688D">
        <w:tc>
          <w:tcPr>
            <w:tcW w:w="0" w:type="auto"/>
            <w:shd w:val="clear" w:color="auto" w:fill="auto"/>
          </w:tcPr>
          <w:p w14:paraId="60CBA259" w14:textId="77777777" w:rsidR="008C5CFA" w:rsidRDefault="00E82A60" w:rsidP="00300A01">
            <w:pPr>
              <w:spacing w:before="0" w:after="0"/>
            </w:pPr>
            <w:r>
              <w:t xml:space="preserve">7.1. </w:t>
            </w:r>
            <w:proofErr w:type="spellStart"/>
            <w:r>
              <w:t>Instrumenty</w:t>
            </w:r>
            <w:proofErr w:type="spellEnd"/>
            <w:r>
              <w:t xml:space="preserve"> </w:t>
            </w:r>
            <w:proofErr w:type="spellStart"/>
            <w:r>
              <w:t>finansowe</w:t>
            </w:r>
            <w:proofErr w:type="spellEnd"/>
            <w:r>
              <w:t xml:space="preserve"> </w:t>
            </w:r>
            <w:proofErr w:type="spellStart"/>
            <w:r>
              <w:t>ustanowione</w:t>
            </w:r>
            <w:proofErr w:type="spellEnd"/>
            <w:r>
              <w:t xml:space="preserve"> </w:t>
            </w:r>
            <w:proofErr w:type="spellStart"/>
            <w:r>
              <w:t>na</w:t>
            </w:r>
            <w:proofErr w:type="spellEnd"/>
            <w:r>
              <w:t xml:space="preserve"> </w:t>
            </w:r>
            <w:proofErr w:type="spellStart"/>
            <w:r>
              <w:t>poziomie</w:t>
            </w:r>
            <w:proofErr w:type="spellEnd"/>
            <w:r>
              <w:t xml:space="preserve"> </w:t>
            </w:r>
            <w:proofErr w:type="spellStart"/>
            <w:r>
              <w:t>Unii</w:t>
            </w:r>
            <w:proofErr w:type="spellEnd"/>
            <w:r>
              <w:t xml:space="preserve">, </w:t>
            </w:r>
            <w:proofErr w:type="spellStart"/>
            <w:r>
              <w:t>zarządzane</w:t>
            </w:r>
            <w:proofErr w:type="spellEnd"/>
            <w:r>
              <w:t xml:space="preserve"> </w:t>
            </w:r>
            <w:proofErr w:type="spellStart"/>
            <w:r>
              <w:t>bezpośrednio</w:t>
            </w:r>
            <w:proofErr w:type="spellEnd"/>
            <w:r>
              <w:t xml:space="preserve"> </w:t>
            </w:r>
            <w:proofErr w:type="spellStart"/>
            <w:r>
              <w:t>lub</w:t>
            </w:r>
            <w:proofErr w:type="spellEnd"/>
            <w:r>
              <w:t xml:space="preserve"> </w:t>
            </w:r>
            <w:proofErr w:type="spellStart"/>
            <w:r>
              <w:t>pośrednio</w:t>
            </w:r>
            <w:proofErr w:type="spellEnd"/>
            <w:r>
              <w:t xml:space="preserve"> </w:t>
            </w:r>
            <w:proofErr w:type="spellStart"/>
            <w:r>
              <w:t>przez</w:t>
            </w:r>
            <w:proofErr w:type="spellEnd"/>
            <w:r>
              <w:t xml:space="preserve"> </w:t>
            </w:r>
            <w:proofErr w:type="spellStart"/>
            <w:r>
              <w:t>Komisję</w:t>
            </w:r>
            <w:proofErr w:type="spellEnd"/>
            <w:r>
              <w:t xml:space="preserve">, o </w:t>
            </w:r>
            <w:proofErr w:type="spellStart"/>
            <w:r>
              <w:t>których</w:t>
            </w:r>
            <w:proofErr w:type="spellEnd"/>
            <w:r>
              <w:t xml:space="preserve"> </w:t>
            </w:r>
            <w:proofErr w:type="spellStart"/>
            <w:r>
              <w:t>mowa</w:t>
            </w:r>
            <w:proofErr w:type="spellEnd"/>
            <w:r>
              <w:t xml:space="preserve"> w art. 38 </w:t>
            </w:r>
            <w:proofErr w:type="spellStart"/>
            <w:r>
              <w:t>ust</w:t>
            </w:r>
            <w:proofErr w:type="spellEnd"/>
            <w:r>
              <w:t xml:space="preserve">. 1 lit. a) </w:t>
            </w:r>
            <w:proofErr w:type="spellStart"/>
            <w:r>
              <w:t>rozporządzenia</w:t>
            </w:r>
            <w:proofErr w:type="spellEnd"/>
            <w:r>
              <w:t xml:space="preserve"> (UE) nr 1303/2013, </w:t>
            </w:r>
            <w:proofErr w:type="spellStart"/>
            <w:r>
              <w:t>wspierane</w:t>
            </w:r>
            <w:proofErr w:type="spellEnd"/>
            <w:r>
              <w:t xml:space="preserve"> z </w:t>
            </w:r>
            <w:proofErr w:type="spellStart"/>
            <w:r>
              <w:t>wkładów</w:t>
            </w:r>
            <w:proofErr w:type="spellEnd"/>
            <w:r>
              <w:t xml:space="preserve"> </w:t>
            </w:r>
            <w:proofErr w:type="spellStart"/>
            <w:r>
              <w:t>pochodzących</w:t>
            </w:r>
            <w:proofErr w:type="spellEnd"/>
            <w:r>
              <w:t xml:space="preserve"> z </w:t>
            </w:r>
            <w:proofErr w:type="spellStart"/>
            <w:r>
              <w:t>programu</w:t>
            </w:r>
            <w:proofErr w:type="spellEnd"/>
            <w:r>
              <w:t xml:space="preserve"> </w:t>
            </w:r>
            <w:proofErr w:type="spellStart"/>
            <w:r>
              <w:t>finansowanego</w:t>
            </w:r>
            <w:proofErr w:type="spellEnd"/>
            <w:r>
              <w:t xml:space="preserve"> z EFSI</w:t>
            </w:r>
          </w:p>
        </w:tc>
        <w:tc>
          <w:tcPr>
            <w:tcW w:w="0" w:type="auto"/>
            <w:shd w:val="clear" w:color="auto" w:fill="auto"/>
          </w:tcPr>
          <w:p w14:paraId="7F2007B2" w14:textId="77777777" w:rsidR="008C5CFA" w:rsidRDefault="008C5CFA" w:rsidP="00300A01">
            <w:pPr>
              <w:spacing w:before="0" w:after="0"/>
              <w:jc w:val="right"/>
            </w:pPr>
          </w:p>
        </w:tc>
      </w:tr>
      <w:tr w:rsidR="006B2EC1" w14:paraId="5C9EF755" w14:textId="77777777" w:rsidTr="0047688D">
        <w:tc>
          <w:tcPr>
            <w:tcW w:w="0" w:type="auto"/>
            <w:shd w:val="clear" w:color="auto" w:fill="auto"/>
          </w:tcPr>
          <w:p w14:paraId="093F5F1B" w14:textId="77777777" w:rsidR="008C5CFA" w:rsidRDefault="00E82A60" w:rsidP="00300A01">
            <w:pPr>
              <w:spacing w:before="0" w:after="0"/>
            </w:pPr>
            <w:r>
              <w:t xml:space="preserve">7.1.1. </w:t>
            </w:r>
            <w:proofErr w:type="spellStart"/>
            <w:r>
              <w:t>Nazwa</w:t>
            </w:r>
            <w:proofErr w:type="spellEnd"/>
            <w:r>
              <w:t xml:space="preserve"> </w:t>
            </w:r>
            <w:proofErr w:type="spellStart"/>
            <w:r>
              <w:t>instrumentu</w:t>
            </w:r>
            <w:proofErr w:type="spellEnd"/>
            <w:r>
              <w:t xml:space="preserve"> </w:t>
            </w:r>
            <w:proofErr w:type="spellStart"/>
            <w:r>
              <w:t>finansowego</w:t>
            </w:r>
            <w:proofErr w:type="spellEnd"/>
            <w:r>
              <w:t xml:space="preserve"> </w:t>
            </w:r>
            <w:proofErr w:type="spellStart"/>
            <w:r>
              <w:t>ustanowionego</w:t>
            </w:r>
            <w:proofErr w:type="spellEnd"/>
            <w:r>
              <w:t xml:space="preserve"> </w:t>
            </w:r>
            <w:proofErr w:type="spellStart"/>
            <w:r>
              <w:t>na</w:t>
            </w:r>
            <w:proofErr w:type="spellEnd"/>
            <w:r>
              <w:t xml:space="preserve"> </w:t>
            </w:r>
            <w:proofErr w:type="spellStart"/>
            <w:r>
              <w:t>poziomie</w:t>
            </w:r>
            <w:proofErr w:type="spellEnd"/>
            <w:r>
              <w:t xml:space="preserve"> </w:t>
            </w:r>
            <w:proofErr w:type="spellStart"/>
            <w:r>
              <w:t>Unii</w:t>
            </w:r>
            <w:proofErr w:type="spellEnd"/>
          </w:p>
        </w:tc>
        <w:tc>
          <w:tcPr>
            <w:tcW w:w="0" w:type="auto"/>
            <w:shd w:val="clear" w:color="auto" w:fill="auto"/>
          </w:tcPr>
          <w:p w14:paraId="5F3057A3" w14:textId="77777777" w:rsidR="008C5CFA" w:rsidRDefault="008C5CFA" w:rsidP="00300A01">
            <w:pPr>
              <w:spacing w:before="0" w:after="0"/>
              <w:jc w:val="left"/>
            </w:pPr>
          </w:p>
        </w:tc>
      </w:tr>
      <w:tr w:rsidR="006B2EC1" w14:paraId="68158F75" w14:textId="77777777" w:rsidTr="0047688D">
        <w:tc>
          <w:tcPr>
            <w:tcW w:w="0" w:type="auto"/>
            <w:shd w:val="clear" w:color="auto" w:fill="auto"/>
          </w:tcPr>
          <w:p w14:paraId="59836007" w14:textId="77777777" w:rsidR="008C5CFA" w:rsidRDefault="00E82A60" w:rsidP="00300A01">
            <w:pPr>
              <w:spacing w:before="0" w:after="0"/>
            </w:pPr>
            <w:r>
              <w:t xml:space="preserve">7.2. Instrument </w:t>
            </w:r>
            <w:proofErr w:type="spellStart"/>
            <w:r>
              <w:t>finansowy</w:t>
            </w:r>
            <w:proofErr w:type="spellEnd"/>
            <w:r>
              <w:t xml:space="preserve"> </w:t>
            </w:r>
            <w:proofErr w:type="spellStart"/>
            <w:r>
              <w:t>ustanowiony</w:t>
            </w:r>
            <w:proofErr w:type="spellEnd"/>
            <w:r>
              <w:t xml:space="preserve"> </w:t>
            </w:r>
            <w:proofErr w:type="spellStart"/>
            <w:r>
              <w:t>na</w:t>
            </w:r>
            <w:proofErr w:type="spellEnd"/>
            <w:r>
              <w:t xml:space="preserve"> </w:t>
            </w:r>
            <w:proofErr w:type="spellStart"/>
            <w:r>
              <w:t>poziomie</w:t>
            </w:r>
            <w:proofErr w:type="spellEnd"/>
            <w:r>
              <w:t xml:space="preserve"> </w:t>
            </w:r>
            <w:proofErr w:type="spellStart"/>
            <w:r>
              <w:t>krajowym</w:t>
            </w:r>
            <w:proofErr w:type="spellEnd"/>
            <w:r>
              <w:t xml:space="preserve">, </w:t>
            </w:r>
            <w:proofErr w:type="spellStart"/>
            <w:r>
              <w:t>regionalnym</w:t>
            </w:r>
            <w:proofErr w:type="spellEnd"/>
            <w:r>
              <w:t xml:space="preserve">, </w:t>
            </w:r>
            <w:proofErr w:type="spellStart"/>
            <w:r>
              <w:t>transnarodowym</w:t>
            </w:r>
            <w:proofErr w:type="spellEnd"/>
            <w:r>
              <w:t xml:space="preserve"> </w:t>
            </w:r>
            <w:proofErr w:type="spellStart"/>
            <w:r>
              <w:t>lub</w:t>
            </w:r>
            <w:proofErr w:type="spellEnd"/>
            <w:r>
              <w:t xml:space="preserve"> </w:t>
            </w:r>
            <w:proofErr w:type="spellStart"/>
            <w:r>
              <w:t>transgranicznym</w:t>
            </w:r>
            <w:proofErr w:type="spellEnd"/>
            <w:r>
              <w:t xml:space="preserve">, </w:t>
            </w:r>
            <w:proofErr w:type="spellStart"/>
            <w:r>
              <w:t>zarządzany</w:t>
            </w:r>
            <w:proofErr w:type="spellEnd"/>
            <w:r>
              <w:t xml:space="preserve"> </w:t>
            </w:r>
            <w:proofErr w:type="spellStart"/>
            <w:r>
              <w:t>przez</w:t>
            </w:r>
            <w:proofErr w:type="spellEnd"/>
            <w:r>
              <w:t xml:space="preserve"> </w:t>
            </w:r>
            <w:proofErr w:type="spellStart"/>
            <w:r>
              <w:t>instytucję</w:t>
            </w:r>
            <w:proofErr w:type="spellEnd"/>
            <w:r>
              <w:t xml:space="preserve"> </w:t>
            </w:r>
            <w:proofErr w:type="spellStart"/>
            <w:r>
              <w:t>zarządzającą</w:t>
            </w:r>
            <w:proofErr w:type="spellEnd"/>
            <w:r>
              <w:t xml:space="preserve"> </w:t>
            </w:r>
            <w:proofErr w:type="spellStart"/>
            <w:r>
              <w:t>lub</w:t>
            </w:r>
            <w:proofErr w:type="spellEnd"/>
            <w:r>
              <w:t xml:space="preserve"> </w:t>
            </w:r>
            <w:proofErr w:type="spellStart"/>
            <w:r>
              <w:t>na</w:t>
            </w:r>
            <w:proofErr w:type="spellEnd"/>
            <w:r>
              <w:t xml:space="preserve"> </w:t>
            </w:r>
            <w:proofErr w:type="spellStart"/>
            <w:r>
              <w:t>jej</w:t>
            </w:r>
            <w:proofErr w:type="spellEnd"/>
            <w:r>
              <w:t xml:space="preserve"> </w:t>
            </w:r>
            <w:proofErr w:type="spellStart"/>
            <w:r>
              <w:t>odpowiedzialność</w:t>
            </w:r>
            <w:proofErr w:type="spellEnd"/>
            <w:r>
              <w:t xml:space="preserve">, o </w:t>
            </w:r>
            <w:proofErr w:type="spellStart"/>
            <w:r>
              <w:t>którym</w:t>
            </w:r>
            <w:proofErr w:type="spellEnd"/>
            <w:r>
              <w:t xml:space="preserve"> </w:t>
            </w:r>
            <w:proofErr w:type="spellStart"/>
            <w:r>
              <w:t>mowa</w:t>
            </w:r>
            <w:proofErr w:type="spellEnd"/>
            <w:r>
              <w:t xml:space="preserve"> w art. 38 </w:t>
            </w:r>
            <w:proofErr w:type="spellStart"/>
            <w:r>
              <w:t>ust</w:t>
            </w:r>
            <w:proofErr w:type="spellEnd"/>
            <w:r>
              <w:t xml:space="preserve">. 1 lit. b), </w:t>
            </w:r>
            <w:proofErr w:type="spellStart"/>
            <w:r>
              <w:t>wspierany</w:t>
            </w:r>
            <w:proofErr w:type="spellEnd"/>
            <w:r>
              <w:t xml:space="preserve"> z </w:t>
            </w:r>
            <w:proofErr w:type="spellStart"/>
            <w:r>
              <w:t>wkładów</w:t>
            </w:r>
            <w:proofErr w:type="spellEnd"/>
            <w:r>
              <w:t xml:space="preserve"> </w:t>
            </w:r>
            <w:proofErr w:type="spellStart"/>
            <w:r>
              <w:t>pochodzących</w:t>
            </w:r>
            <w:proofErr w:type="spellEnd"/>
            <w:r>
              <w:t xml:space="preserve"> z </w:t>
            </w:r>
            <w:proofErr w:type="spellStart"/>
            <w:r>
              <w:t>programu</w:t>
            </w:r>
            <w:proofErr w:type="spellEnd"/>
            <w:r>
              <w:t xml:space="preserve"> </w:t>
            </w:r>
            <w:proofErr w:type="spellStart"/>
            <w:r>
              <w:t>finansowanego</w:t>
            </w:r>
            <w:proofErr w:type="spellEnd"/>
            <w:r>
              <w:t xml:space="preserve"> z EFSI </w:t>
            </w:r>
            <w:proofErr w:type="spellStart"/>
            <w:r>
              <w:t>na</w:t>
            </w:r>
            <w:proofErr w:type="spellEnd"/>
            <w:r>
              <w:t xml:space="preserve"> </w:t>
            </w:r>
            <w:proofErr w:type="spellStart"/>
            <w:r>
              <w:t>podstawie</w:t>
            </w:r>
            <w:proofErr w:type="spellEnd"/>
            <w:r>
              <w:t xml:space="preserve"> art. 38 </w:t>
            </w:r>
            <w:proofErr w:type="spellStart"/>
            <w:r>
              <w:t>ust</w:t>
            </w:r>
            <w:proofErr w:type="spellEnd"/>
            <w:r>
              <w:t xml:space="preserve">. 4 lit. a), b), c) i d) </w:t>
            </w:r>
            <w:proofErr w:type="spellStart"/>
            <w:r>
              <w:t>rozporządzenia</w:t>
            </w:r>
            <w:proofErr w:type="spellEnd"/>
            <w:r>
              <w:t xml:space="preserve"> (UE) nr 1303/2013</w:t>
            </w:r>
          </w:p>
        </w:tc>
        <w:tc>
          <w:tcPr>
            <w:tcW w:w="0" w:type="auto"/>
            <w:shd w:val="clear" w:color="auto" w:fill="auto"/>
          </w:tcPr>
          <w:p w14:paraId="2007D8D1" w14:textId="77777777" w:rsidR="008C5CFA" w:rsidRDefault="00E82A60" w:rsidP="00300A01">
            <w:pPr>
              <w:spacing w:before="0" w:after="0"/>
              <w:jc w:val="left"/>
            </w:pPr>
            <w:proofErr w:type="spellStart"/>
            <w:r>
              <w:t>Powierzenie</w:t>
            </w:r>
            <w:proofErr w:type="spellEnd"/>
            <w:r>
              <w:t xml:space="preserve"> </w:t>
            </w:r>
            <w:proofErr w:type="spellStart"/>
            <w:r>
              <w:t>zadań</w:t>
            </w:r>
            <w:proofErr w:type="spellEnd"/>
            <w:r>
              <w:t xml:space="preserve"> </w:t>
            </w:r>
            <w:proofErr w:type="spellStart"/>
            <w:r>
              <w:t>wdrożeniowych</w:t>
            </w:r>
            <w:proofErr w:type="spellEnd"/>
            <w:r>
              <w:t xml:space="preserve"> </w:t>
            </w:r>
            <w:proofErr w:type="spellStart"/>
            <w:r>
              <w:t>przez</w:t>
            </w:r>
            <w:proofErr w:type="spellEnd"/>
            <w:r>
              <w:t xml:space="preserve"> </w:t>
            </w:r>
            <w:proofErr w:type="spellStart"/>
            <w:r>
              <w:t>bezpośrednie</w:t>
            </w:r>
            <w:proofErr w:type="spellEnd"/>
            <w:r>
              <w:t xml:space="preserve"> </w:t>
            </w:r>
            <w:proofErr w:type="spellStart"/>
            <w:r>
              <w:t>udzielenie</w:t>
            </w:r>
            <w:proofErr w:type="spellEnd"/>
            <w:r>
              <w:t xml:space="preserve"> </w:t>
            </w:r>
            <w:proofErr w:type="spellStart"/>
            <w:r>
              <w:t>zamówienia</w:t>
            </w:r>
            <w:proofErr w:type="spellEnd"/>
          </w:p>
        </w:tc>
      </w:tr>
      <w:tr w:rsidR="006B2EC1" w14:paraId="734DA77A" w14:textId="77777777" w:rsidTr="0047688D">
        <w:tc>
          <w:tcPr>
            <w:tcW w:w="0" w:type="auto"/>
            <w:shd w:val="clear" w:color="auto" w:fill="auto"/>
          </w:tcPr>
          <w:p w14:paraId="1E2D6AED" w14:textId="77777777" w:rsidR="008C5CFA" w:rsidRDefault="00E82A60" w:rsidP="00300A01">
            <w:pPr>
              <w:spacing w:before="0" w:after="0"/>
            </w:pPr>
            <w:r>
              <w:t xml:space="preserve">7.3. Instrument </w:t>
            </w:r>
            <w:proofErr w:type="spellStart"/>
            <w:r>
              <w:t>finansowy</w:t>
            </w:r>
            <w:proofErr w:type="spellEnd"/>
            <w:r>
              <w:t xml:space="preserve">, o </w:t>
            </w:r>
            <w:proofErr w:type="spellStart"/>
            <w:r>
              <w:t>którym</w:t>
            </w:r>
            <w:proofErr w:type="spellEnd"/>
            <w:r>
              <w:t xml:space="preserve"> </w:t>
            </w:r>
            <w:proofErr w:type="spellStart"/>
            <w:r>
              <w:t>mowa</w:t>
            </w:r>
            <w:proofErr w:type="spellEnd"/>
            <w:r>
              <w:t xml:space="preserve"> w art. 38 </w:t>
            </w:r>
            <w:proofErr w:type="spellStart"/>
            <w:r>
              <w:t>ust</w:t>
            </w:r>
            <w:proofErr w:type="spellEnd"/>
            <w:r>
              <w:t xml:space="preserve">. 1 lit. c), </w:t>
            </w:r>
            <w:proofErr w:type="spellStart"/>
            <w:r>
              <w:t>łączący</w:t>
            </w:r>
            <w:proofErr w:type="spellEnd"/>
            <w:r>
              <w:t xml:space="preserve"> </w:t>
            </w:r>
            <w:proofErr w:type="spellStart"/>
            <w:r>
              <w:t>wkład</w:t>
            </w:r>
            <w:proofErr w:type="spellEnd"/>
            <w:r>
              <w:t xml:space="preserve"> </w:t>
            </w:r>
            <w:proofErr w:type="spellStart"/>
            <w:r>
              <w:t>finansowy</w:t>
            </w:r>
            <w:proofErr w:type="spellEnd"/>
            <w:r>
              <w:t xml:space="preserve"> </w:t>
            </w:r>
            <w:proofErr w:type="spellStart"/>
            <w:r>
              <w:t>pochodzący</w:t>
            </w:r>
            <w:proofErr w:type="spellEnd"/>
            <w:r>
              <w:t xml:space="preserve"> </w:t>
            </w:r>
            <w:proofErr w:type="spellStart"/>
            <w:r>
              <w:t>od</w:t>
            </w:r>
            <w:proofErr w:type="spellEnd"/>
            <w:r>
              <w:t xml:space="preserve"> IZ z </w:t>
            </w:r>
            <w:proofErr w:type="spellStart"/>
            <w:r>
              <w:t>produktami</w:t>
            </w:r>
            <w:proofErr w:type="spellEnd"/>
            <w:r>
              <w:t xml:space="preserve"> </w:t>
            </w:r>
            <w:proofErr w:type="spellStart"/>
            <w:r>
              <w:t>finansowym</w:t>
            </w:r>
            <w:proofErr w:type="spellEnd"/>
            <w:r>
              <w:t xml:space="preserve"> EBI w </w:t>
            </w:r>
            <w:proofErr w:type="spellStart"/>
            <w:r>
              <w:t>ramach</w:t>
            </w:r>
            <w:proofErr w:type="spellEnd"/>
            <w:r>
              <w:t xml:space="preserve"> Europejskiego Funduszu </w:t>
            </w:r>
            <w:proofErr w:type="spellStart"/>
            <w:r>
              <w:t>na</w:t>
            </w:r>
            <w:proofErr w:type="spellEnd"/>
            <w:r>
              <w:t xml:space="preserve"> </w:t>
            </w:r>
            <w:proofErr w:type="spellStart"/>
            <w:r>
              <w:t>rzecz</w:t>
            </w:r>
            <w:proofErr w:type="spellEnd"/>
            <w:r>
              <w:t xml:space="preserve"> Inwestycji </w:t>
            </w:r>
            <w:proofErr w:type="spellStart"/>
            <w:r>
              <w:t>Strategicznych</w:t>
            </w:r>
            <w:proofErr w:type="spellEnd"/>
            <w:r>
              <w:t xml:space="preserve">, </w:t>
            </w:r>
            <w:proofErr w:type="spellStart"/>
            <w:r>
              <w:t>zgodnie</w:t>
            </w:r>
            <w:proofErr w:type="spellEnd"/>
            <w:r>
              <w:t xml:space="preserve"> z art. 39a</w:t>
            </w:r>
          </w:p>
        </w:tc>
        <w:tc>
          <w:tcPr>
            <w:tcW w:w="0" w:type="auto"/>
            <w:shd w:val="clear" w:color="auto" w:fill="auto"/>
          </w:tcPr>
          <w:p w14:paraId="4F6BBD65" w14:textId="77777777" w:rsidR="008C5CFA" w:rsidRDefault="008C5CFA" w:rsidP="00300A01">
            <w:pPr>
              <w:spacing w:before="0" w:after="0"/>
              <w:jc w:val="left"/>
            </w:pPr>
          </w:p>
        </w:tc>
      </w:tr>
      <w:tr w:rsidR="006B2EC1" w14:paraId="64DBDC87" w14:textId="77777777" w:rsidTr="0047688D">
        <w:tc>
          <w:tcPr>
            <w:tcW w:w="0" w:type="auto"/>
            <w:shd w:val="clear" w:color="auto" w:fill="auto"/>
          </w:tcPr>
          <w:p w14:paraId="051EE0B8" w14:textId="77777777" w:rsidR="008C5CFA" w:rsidRDefault="00E82A60" w:rsidP="00300A01">
            <w:pPr>
              <w:spacing w:before="0" w:after="0"/>
            </w:pPr>
            <w:r>
              <w:t xml:space="preserve">8. </w:t>
            </w:r>
            <w:proofErr w:type="spellStart"/>
            <w:r>
              <w:t>Rodzaj</w:t>
            </w:r>
            <w:proofErr w:type="spellEnd"/>
            <w:r>
              <w:t xml:space="preserve"> </w:t>
            </w:r>
            <w:proofErr w:type="spellStart"/>
            <w:r>
              <w:t>instrumentu</w:t>
            </w:r>
            <w:proofErr w:type="spellEnd"/>
            <w:r>
              <w:t xml:space="preserve"> </w:t>
            </w:r>
            <w:proofErr w:type="spellStart"/>
            <w:r>
              <w:t>finansowego</w:t>
            </w:r>
            <w:proofErr w:type="spellEnd"/>
          </w:p>
        </w:tc>
        <w:tc>
          <w:tcPr>
            <w:tcW w:w="0" w:type="auto"/>
            <w:shd w:val="clear" w:color="auto" w:fill="auto"/>
          </w:tcPr>
          <w:p w14:paraId="0C9FADD1" w14:textId="77777777" w:rsidR="008C5CFA" w:rsidRDefault="00E82A60" w:rsidP="00300A01">
            <w:pPr>
              <w:spacing w:before="0" w:after="0"/>
              <w:jc w:val="left"/>
            </w:pPr>
            <w:proofErr w:type="spellStart"/>
            <w:r>
              <w:t>Poszczególny</w:t>
            </w:r>
            <w:proofErr w:type="spellEnd"/>
            <w:r>
              <w:t xml:space="preserve"> </w:t>
            </w:r>
            <w:proofErr w:type="spellStart"/>
            <w:r>
              <w:t>fundusz</w:t>
            </w:r>
            <w:proofErr w:type="spellEnd"/>
          </w:p>
        </w:tc>
      </w:tr>
      <w:tr w:rsidR="006B2EC1" w14:paraId="64AA368A" w14:textId="77777777" w:rsidTr="0047688D">
        <w:tc>
          <w:tcPr>
            <w:tcW w:w="0" w:type="auto"/>
            <w:shd w:val="clear" w:color="auto" w:fill="auto"/>
          </w:tcPr>
          <w:p w14:paraId="61A80A52" w14:textId="77777777" w:rsidR="008C5CFA" w:rsidRDefault="00E82A60" w:rsidP="00300A01">
            <w:pPr>
              <w:spacing w:before="0" w:after="0"/>
            </w:pPr>
            <w:r>
              <w:t xml:space="preserve">8.1. </w:t>
            </w:r>
            <w:proofErr w:type="spellStart"/>
            <w:r>
              <w:t>Instrumenty</w:t>
            </w:r>
            <w:proofErr w:type="spellEnd"/>
            <w:r>
              <w:t xml:space="preserve"> </w:t>
            </w:r>
            <w:proofErr w:type="spellStart"/>
            <w:r>
              <w:t>specjalnie</w:t>
            </w:r>
            <w:proofErr w:type="spellEnd"/>
            <w:r>
              <w:t xml:space="preserve"> </w:t>
            </w:r>
            <w:proofErr w:type="spellStart"/>
            <w:r>
              <w:t>zaprojektowane</w:t>
            </w:r>
            <w:proofErr w:type="spellEnd"/>
            <w:r>
              <w:t xml:space="preserve"> (ang. tailor-made) </w:t>
            </w:r>
            <w:proofErr w:type="spellStart"/>
            <w:r>
              <w:t>lub</w:t>
            </w:r>
            <w:proofErr w:type="spellEnd"/>
            <w:r>
              <w:t xml:space="preserve"> </w:t>
            </w:r>
            <w:proofErr w:type="spellStart"/>
            <w:r>
              <w:t>instrumenty</w:t>
            </w:r>
            <w:proofErr w:type="spellEnd"/>
            <w:r>
              <w:t xml:space="preserve"> </w:t>
            </w:r>
            <w:proofErr w:type="spellStart"/>
            <w:r>
              <w:t>finansowe</w:t>
            </w:r>
            <w:proofErr w:type="spellEnd"/>
            <w:r>
              <w:t xml:space="preserve"> </w:t>
            </w:r>
            <w:proofErr w:type="spellStart"/>
            <w:r>
              <w:t>spełniające</w:t>
            </w:r>
            <w:proofErr w:type="spellEnd"/>
            <w:r>
              <w:t xml:space="preserve"> </w:t>
            </w:r>
            <w:proofErr w:type="spellStart"/>
            <w:r>
              <w:t>standardowe</w:t>
            </w:r>
            <w:proofErr w:type="spellEnd"/>
            <w:r>
              <w:t xml:space="preserve"> </w:t>
            </w:r>
            <w:proofErr w:type="spellStart"/>
            <w:r>
              <w:t>warunki</w:t>
            </w:r>
            <w:proofErr w:type="spellEnd"/>
            <w:r>
              <w:t xml:space="preserve">, </w:t>
            </w:r>
            <w:proofErr w:type="spellStart"/>
            <w:r>
              <w:t>tj</w:t>
            </w:r>
            <w:proofErr w:type="spellEnd"/>
            <w:r>
              <w:t xml:space="preserve">. </w:t>
            </w:r>
            <w:proofErr w:type="spellStart"/>
            <w:r>
              <w:t>gotowe</w:t>
            </w:r>
            <w:proofErr w:type="spellEnd"/>
            <w:r>
              <w:t xml:space="preserve"> </w:t>
            </w:r>
            <w:proofErr w:type="spellStart"/>
            <w:r>
              <w:t>instrumenty</w:t>
            </w:r>
            <w:proofErr w:type="spellEnd"/>
          </w:p>
        </w:tc>
        <w:tc>
          <w:tcPr>
            <w:tcW w:w="0" w:type="auto"/>
            <w:shd w:val="clear" w:color="auto" w:fill="auto"/>
          </w:tcPr>
          <w:p w14:paraId="06A0DF7B" w14:textId="77777777" w:rsidR="008C5CFA" w:rsidRDefault="00E82A60" w:rsidP="00300A01">
            <w:pPr>
              <w:spacing w:before="0" w:after="0"/>
              <w:jc w:val="right"/>
            </w:pPr>
            <w:r>
              <w:t xml:space="preserve">Instrument </w:t>
            </w:r>
            <w:proofErr w:type="spellStart"/>
            <w:r>
              <w:t>specjalnie</w:t>
            </w:r>
            <w:proofErr w:type="spellEnd"/>
            <w:r>
              <w:t xml:space="preserve"> </w:t>
            </w:r>
            <w:proofErr w:type="spellStart"/>
            <w:r>
              <w:t>zaprojektowany</w:t>
            </w:r>
            <w:proofErr w:type="spellEnd"/>
          </w:p>
        </w:tc>
      </w:tr>
      <w:tr w:rsidR="006B2EC1" w14:paraId="7341F5B2" w14:textId="77777777" w:rsidTr="0047688D">
        <w:tc>
          <w:tcPr>
            <w:tcW w:w="0" w:type="auto"/>
            <w:gridSpan w:val="2"/>
            <w:shd w:val="clear" w:color="auto" w:fill="auto"/>
          </w:tcPr>
          <w:p w14:paraId="70FB498F" w14:textId="77777777" w:rsidR="008C5CFA" w:rsidRDefault="00E82A60" w:rsidP="00300A01">
            <w:pPr>
              <w:spacing w:before="0" w:after="0"/>
            </w:pPr>
            <w:r>
              <w:rPr>
                <w:b/>
              </w:rPr>
              <w:t xml:space="preserve">9. </w:t>
            </w:r>
            <w:proofErr w:type="spellStart"/>
            <w:r>
              <w:rPr>
                <w:b/>
              </w:rPr>
              <w:t>Rodzaj</w:t>
            </w:r>
            <w:proofErr w:type="spellEnd"/>
            <w:r>
              <w:rPr>
                <w:b/>
              </w:rPr>
              <w:t xml:space="preserve"> </w:t>
            </w:r>
            <w:proofErr w:type="spellStart"/>
            <w:r>
              <w:rPr>
                <w:b/>
              </w:rPr>
              <w:t>produktów</w:t>
            </w:r>
            <w:proofErr w:type="spellEnd"/>
            <w:r>
              <w:rPr>
                <w:b/>
              </w:rPr>
              <w:t xml:space="preserve"> </w:t>
            </w:r>
            <w:proofErr w:type="spellStart"/>
            <w:r>
              <w:rPr>
                <w:b/>
              </w:rPr>
              <w:t>zapewnianych</w:t>
            </w:r>
            <w:proofErr w:type="spellEnd"/>
            <w:r>
              <w:rPr>
                <w:b/>
              </w:rPr>
              <w:t xml:space="preserve"> </w:t>
            </w:r>
            <w:proofErr w:type="spellStart"/>
            <w:r>
              <w:rPr>
                <w:b/>
              </w:rPr>
              <w:t>przez</w:t>
            </w:r>
            <w:proofErr w:type="spellEnd"/>
            <w:r>
              <w:rPr>
                <w:b/>
              </w:rPr>
              <w:t xml:space="preserve"> instrument </w:t>
            </w:r>
            <w:proofErr w:type="spellStart"/>
            <w:r>
              <w:rPr>
                <w:b/>
              </w:rPr>
              <w:t>finansowy</w:t>
            </w:r>
            <w:proofErr w:type="spellEnd"/>
            <w:r>
              <w:rPr>
                <w:b/>
              </w:rPr>
              <w:t xml:space="preserve">: </w:t>
            </w:r>
            <w:proofErr w:type="spellStart"/>
            <w:r>
              <w:rPr>
                <w:b/>
              </w:rPr>
              <w:t>pożyczki</w:t>
            </w:r>
            <w:proofErr w:type="spellEnd"/>
            <w:r>
              <w:rPr>
                <w:b/>
              </w:rPr>
              <w:t xml:space="preserve">, </w:t>
            </w:r>
            <w:proofErr w:type="spellStart"/>
            <w:r>
              <w:rPr>
                <w:b/>
              </w:rPr>
              <w:t>mikropożyczki</w:t>
            </w:r>
            <w:proofErr w:type="spellEnd"/>
            <w:r>
              <w:rPr>
                <w:b/>
              </w:rPr>
              <w:t xml:space="preserve">, </w:t>
            </w:r>
            <w:proofErr w:type="spellStart"/>
            <w:r>
              <w:rPr>
                <w:b/>
              </w:rPr>
              <w:t>gwarancje</w:t>
            </w:r>
            <w:proofErr w:type="spellEnd"/>
            <w:r>
              <w:rPr>
                <w:b/>
              </w:rPr>
              <w:t xml:space="preserve">, </w:t>
            </w:r>
            <w:proofErr w:type="spellStart"/>
            <w:r>
              <w:rPr>
                <w:b/>
              </w:rPr>
              <w:t>inwestycje</w:t>
            </w:r>
            <w:proofErr w:type="spellEnd"/>
            <w:r>
              <w:rPr>
                <w:b/>
              </w:rPr>
              <w:t xml:space="preserve"> </w:t>
            </w:r>
            <w:proofErr w:type="spellStart"/>
            <w:r>
              <w:rPr>
                <w:b/>
              </w:rPr>
              <w:t>kapitałowe</w:t>
            </w:r>
            <w:proofErr w:type="spellEnd"/>
            <w:r>
              <w:rPr>
                <w:b/>
              </w:rPr>
              <w:t xml:space="preserve"> </w:t>
            </w:r>
            <w:proofErr w:type="spellStart"/>
            <w:r>
              <w:rPr>
                <w:b/>
              </w:rPr>
              <w:t>lub</w:t>
            </w:r>
            <w:proofErr w:type="spellEnd"/>
            <w:r>
              <w:rPr>
                <w:b/>
              </w:rPr>
              <w:t xml:space="preserve"> quasi-</w:t>
            </w:r>
            <w:proofErr w:type="spellStart"/>
            <w:r>
              <w:rPr>
                <w:b/>
              </w:rPr>
              <w:t>kapitałowe</w:t>
            </w:r>
            <w:proofErr w:type="spellEnd"/>
            <w:r>
              <w:rPr>
                <w:b/>
              </w:rPr>
              <w:t xml:space="preserve">, </w:t>
            </w:r>
            <w:proofErr w:type="spellStart"/>
            <w:r>
              <w:rPr>
                <w:b/>
              </w:rPr>
              <w:t>inny</w:t>
            </w:r>
            <w:proofErr w:type="spellEnd"/>
            <w:r>
              <w:rPr>
                <w:b/>
              </w:rPr>
              <w:t xml:space="preserve"> </w:t>
            </w:r>
            <w:proofErr w:type="spellStart"/>
            <w:r>
              <w:rPr>
                <w:b/>
              </w:rPr>
              <w:t>produkt</w:t>
            </w:r>
            <w:proofErr w:type="spellEnd"/>
            <w:r>
              <w:rPr>
                <w:b/>
              </w:rPr>
              <w:t xml:space="preserve"> </w:t>
            </w:r>
            <w:proofErr w:type="spellStart"/>
            <w:r>
              <w:rPr>
                <w:b/>
              </w:rPr>
              <w:t>finansowy</w:t>
            </w:r>
            <w:proofErr w:type="spellEnd"/>
            <w:r>
              <w:rPr>
                <w:b/>
              </w:rPr>
              <w:t xml:space="preserve"> </w:t>
            </w:r>
            <w:proofErr w:type="spellStart"/>
            <w:r>
              <w:rPr>
                <w:b/>
              </w:rPr>
              <w:t>lub</w:t>
            </w:r>
            <w:proofErr w:type="spellEnd"/>
            <w:r>
              <w:rPr>
                <w:b/>
              </w:rPr>
              <w:t xml:space="preserve"> </w:t>
            </w:r>
            <w:proofErr w:type="spellStart"/>
            <w:r>
              <w:rPr>
                <w:b/>
              </w:rPr>
              <w:t>inne</w:t>
            </w:r>
            <w:proofErr w:type="spellEnd"/>
            <w:r>
              <w:rPr>
                <w:b/>
              </w:rPr>
              <w:t xml:space="preserve"> </w:t>
            </w:r>
            <w:proofErr w:type="spellStart"/>
            <w:r>
              <w:rPr>
                <w:b/>
              </w:rPr>
              <w:t>wsparcie</w:t>
            </w:r>
            <w:proofErr w:type="spellEnd"/>
            <w:r>
              <w:rPr>
                <w:b/>
              </w:rPr>
              <w:t xml:space="preserve"> </w:t>
            </w:r>
            <w:proofErr w:type="spellStart"/>
            <w:r>
              <w:rPr>
                <w:b/>
              </w:rPr>
              <w:t>połączone</w:t>
            </w:r>
            <w:proofErr w:type="spellEnd"/>
            <w:r>
              <w:rPr>
                <w:b/>
              </w:rPr>
              <w:t xml:space="preserve"> w </w:t>
            </w:r>
            <w:proofErr w:type="spellStart"/>
            <w:r>
              <w:rPr>
                <w:b/>
              </w:rPr>
              <w:t>ramach</w:t>
            </w:r>
            <w:proofErr w:type="spellEnd"/>
            <w:r>
              <w:rPr>
                <w:b/>
              </w:rPr>
              <w:t xml:space="preserve"> </w:t>
            </w:r>
            <w:proofErr w:type="spellStart"/>
            <w:r>
              <w:rPr>
                <w:b/>
              </w:rPr>
              <w:t>instrumentu</w:t>
            </w:r>
            <w:proofErr w:type="spellEnd"/>
            <w:r>
              <w:rPr>
                <w:b/>
              </w:rPr>
              <w:t xml:space="preserve"> </w:t>
            </w:r>
            <w:proofErr w:type="spellStart"/>
            <w:r>
              <w:rPr>
                <w:b/>
              </w:rPr>
              <w:t>finansowego</w:t>
            </w:r>
            <w:proofErr w:type="spellEnd"/>
            <w:r>
              <w:rPr>
                <w:b/>
              </w:rPr>
              <w:t xml:space="preserve"> </w:t>
            </w:r>
            <w:proofErr w:type="spellStart"/>
            <w:r>
              <w:rPr>
                <w:b/>
              </w:rPr>
              <w:t>zgodnie</w:t>
            </w:r>
            <w:proofErr w:type="spellEnd"/>
            <w:r>
              <w:rPr>
                <w:b/>
              </w:rPr>
              <w:t xml:space="preserve"> z art. 37 </w:t>
            </w:r>
            <w:proofErr w:type="spellStart"/>
            <w:r>
              <w:rPr>
                <w:b/>
              </w:rPr>
              <w:t>ust</w:t>
            </w:r>
            <w:proofErr w:type="spellEnd"/>
            <w:r>
              <w:rPr>
                <w:b/>
              </w:rPr>
              <w:t xml:space="preserve">. 7 </w:t>
            </w:r>
            <w:proofErr w:type="spellStart"/>
            <w:r>
              <w:rPr>
                <w:b/>
              </w:rPr>
              <w:t>rozporządzenia</w:t>
            </w:r>
            <w:proofErr w:type="spellEnd"/>
            <w:r>
              <w:rPr>
                <w:b/>
              </w:rPr>
              <w:t xml:space="preserve"> (UE) nr 1303/2013</w:t>
            </w:r>
          </w:p>
        </w:tc>
      </w:tr>
      <w:tr w:rsidR="006B2EC1" w14:paraId="37FE6405" w14:textId="77777777" w:rsidTr="0047688D">
        <w:tc>
          <w:tcPr>
            <w:tcW w:w="0" w:type="auto"/>
            <w:shd w:val="clear" w:color="auto" w:fill="auto"/>
          </w:tcPr>
          <w:p w14:paraId="447BAC85" w14:textId="77777777" w:rsidR="008C5CFA" w:rsidRDefault="00E82A60" w:rsidP="00300A01">
            <w:pPr>
              <w:spacing w:before="0" w:after="0"/>
            </w:pPr>
            <w:r>
              <w:t xml:space="preserve">9.0.1.  </w:t>
            </w:r>
            <w:proofErr w:type="spellStart"/>
            <w:r>
              <w:t>Pożyczki</w:t>
            </w:r>
            <w:proofErr w:type="spellEnd"/>
            <w:r>
              <w:t xml:space="preserve"> (≥ EUR 25 000)</w:t>
            </w:r>
          </w:p>
        </w:tc>
        <w:tc>
          <w:tcPr>
            <w:tcW w:w="0" w:type="auto"/>
            <w:shd w:val="clear" w:color="auto" w:fill="auto"/>
          </w:tcPr>
          <w:p w14:paraId="579631B9" w14:textId="77777777" w:rsidR="008C5CFA" w:rsidRDefault="00E82A60" w:rsidP="00300A01">
            <w:pPr>
              <w:spacing w:before="0" w:after="0"/>
              <w:jc w:val="right"/>
            </w:pPr>
            <w:proofErr w:type="spellStart"/>
            <w:r>
              <w:t>Nie</w:t>
            </w:r>
            <w:proofErr w:type="spellEnd"/>
          </w:p>
        </w:tc>
      </w:tr>
      <w:tr w:rsidR="006B2EC1" w14:paraId="11DF1696" w14:textId="77777777" w:rsidTr="0047688D">
        <w:tc>
          <w:tcPr>
            <w:tcW w:w="0" w:type="auto"/>
            <w:shd w:val="clear" w:color="auto" w:fill="auto"/>
          </w:tcPr>
          <w:p w14:paraId="354FD72E" w14:textId="77777777" w:rsidR="008C5CFA" w:rsidRDefault="00E82A60" w:rsidP="00300A01">
            <w:pPr>
              <w:spacing w:before="0" w:after="0"/>
            </w:pPr>
            <w:r>
              <w:t xml:space="preserve">9.0.2. </w:t>
            </w:r>
            <w:proofErr w:type="spellStart"/>
            <w:r>
              <w:t>Mikropożyczki</w:t>
            </w:r>
            <w:proofErr w:type="spellEnd"/>
            <w:r>
              <w:t xml:space="preserve"> (&lt; EUR 25 000 i </w:t>
            </w:r>
            <w:proofErr w:type="spellStart"/>
            <w:r>
              <w:t>udzielone</w:t>
            </w:r>
            <w:proofErr w:type="spellEnd"/>
            <w:r>
              <w:t xml:space="preserve"> </w:t>
            </w:r>
            <w:proofErr w:type="spellStart"/>
            <w:r>
              <w:t>mikroprzedsiębiorstwom</w:t>
            </w:r>
            <w:proofErr w:type="spellEnd"/>
            <w:r>
              <w:t xml:space="preserve">) </w:t>
            </w:r>
            <w:proofErr w:type="spellStart"/>
            <w:r>
              <w:t>zgodnie</w:t>
            </w:r>
            <w:proofErr w:type="spellEnd"/>
            <w:r>
              <w:t xml:space="preserve"> z SEC/2011/1134 final</w:t>
            </w:r>
          </w:p>
        </w:tc>
        <w:tc>
          <w:tcPr>
            <w:tcW w:w="0" w:type="auto"/>
            <w:shd w:val="clear" w:color="auto" w:fill="auto"/>
          </w:tcPr>
          <w:p w14:paraId="52FEBE80" w14:textId="77777777" w:rsidR="008C5CFA" w:rsidRDefault="00E82A60" w:rsidP="00300A01">
            <w:pPr>
              <w:spacing w:before="0" w:after="0"/>
              <w:jc w:val="right"/>
            </w:pPr>
            <w:proofErr w:type="spellStart"/>
            <w:r>
              <w:t>Tak</w:t>
            </w:r>
            <w:proofErr w:type="spellEnd"/>
          </w:p>
        </w:tc>
      </w:tr>
      <w:tr w:rsidR="006B2EC1" w14:paraId="433BF19B" w14:textId="77777777" w:rsidTr="0047688D">
        <w:tc>
          <w:tcPr>
            <w:tcW w:w="0" w:type="auto"/>
            <w:shd w:val="clear" w:color="auto" w:fill="auto"/>
          </w:tcPr>
          <w:p w14:paraId="3672230D" w14:textId="77777777" w:rsidR="008C5CFA" w:rsidRDefault="00E82A60" w:rsidP="00300A01">
            <w:pPr>
              <w:spacing w:before="0" w:after="0"/>
            </w:pPr>
            <w:r>
              <w:t xml:space="preserve">9.0.3. </w:t>
            </w:r>
            <w:proofErr w:type="spellStart"/>
            <w:r>
              <w:t>Gwarancje</w:t>
            </w:r>
            <w:proofErr w:type="spellEnd"/>
          </w:p>
        </w:tc>
        <w:tc>
          <w:tcPr>
            <w:tcW w:w="0" w:type="auto"/>
            <w:shd w:val="clear" w:color="auto" w:fill="auto"/>
          </w:tcPr>
          <w:p w14:paraId="53B78A28" w14:textId="77777777" w:rsidR="008C5CFA" w:rsidRDefault="00E82A60" w:rsidP="00300A01">
            <w:pPr>
              <w:spacing w:before="0" w:after="0"/>
              <w:jc w:val="right"/>
            </w:pPr>
            <w:proofErr w:type="spellStart"/>
            <w:r>
              <w:t>Nie</w:t>
            </w:r>
            <w:proofErr w:type="spellEnd"/>
          </w:p>
        </w:tc>
      </w:tr>
      <w:tr w:rsidR="006B2EC1" w14:paraId="505FAFBB" w14:textId="77777777" w:rsidTr="0047688D">
        <w:tc>
          <w:tcPr>
            <w:tcW w:w="0" w:type="auto"/>
            <w:shd w:val="clear" w:color="auto" w:fill="auto"/>
          </w:tcPr>
          <w:p w14:paraId="6DB08F50" w14:textId="77777777" w:rsidR="008C5CFA" w:rsidRDefault="00E82A60" w:rsidP="00300A01">
            <w:pPr>
              <w:spacing w:before="0" w:after="0"/>
            </w:pPr>
            <w:r>
              <w:t xml:space="preserve">9.0.4. </w:t>
            </w:r>
            <w:proofErr w:type="spellStart"/>
            <w:r>
              <w:t>Inwestycje</w:t>
            </w:r>
            <w:proofErr w:type="spellEnd"/>
            <w:r>
              <w:t xml:space="preserve"> </w:t>
            </w:r>
            <w:proofErr w:type="spellStart"/>
            <w:r>
              <w:t>kapitałowe</w:t>
            </w:r>
            <w:proofErr w:type="spellEnd"/>
          </w:p>
        </w:tc>
        <w:tc>
          <w:tcPr>
            <w:tcW w:w="0" w:type="auto"/>
            <w:shd w:val="clear" w:color="auto" w:fill="auto"/>
          </w:tcPr>
          <w:p w14:paraId="2976DF42" w14:textId="77777777" w:rsidR="008C5CFA" w:rsidRDefault="00E82A60" w:rsidP="00300A01">
            <w:pPr>
              <w:spacing w:before="0" w:after="0"/>
              <w:jc w:val="right"/>
            </w:pPr>
            <w:proofErr w:type="spellStart"/>
            <w:r>
              <w:t>Nie</w:t>
            </w:r>
            <w:proofErr w:type="spellEnd"/>
          </w:p>
        </w:tc>
      </w:tr>
      <w:tr w:rsidR="006B2EC1" w14:paraId="7EFAD973" w14:textId="77777777" w:rsidTr="0047688D">
        <w:tc>
          <w:tcPr>
            <w:tcW w:w="0" w:type="auto"/>
            <w:shd w:val="clear" w:color="auto" w:fill="auto"/>
          </w:tcPr>
          <w:p w14:paraId="01E58117" w14:textId="77777777" w:rsidR="008C5CFA" w:rsidRDefault="00E82A60" w:rsidP="00300A01">
            <w:pPr>
              <w:spacing w:before="0" w:after="0"/>
            </w:pPr>
            <w:r>
              <w:t xml:space="preserve">9.0.5. </w:t>
            </w:r>
            <w:proofErr w:type="spellStart"/>
            <w:r>
              <w:t>Inwestycja</w:t>
            </w:r>
            <w:proofErr w:type="spellEnd"/>
            <w:r>
              <w:t xml:space="preserve"> quasi-</w:t>
            </w:r>
            <w:proofErr w:type="spellStart"/>
            <w:r>
              <w:t>kapitałowa</w:t>
            </w:r>
            <w:proofErr w:type="spellEnd"/>
          </w:p>
        </w:tc>
        <w:tc>
          <w:tcPr>
            <w:tcW w:w="0" w:type="auto"/>
            <w:shd w:val="clear" w:color="auto" w:fill="auto"/>
          </w:tcPr>
          <w:p w14:paraId="5C95EEE6" w14:textId="77777777" w:rsidR="008C5CFA" w:rsidRDefault="00E82A60" w:rsidP="00300A01">
            <w:pPr>
              <w:spacing w:before="0" w:after="0"/>
              <w:jc w:val="right"/>
            </w:pPr>
            <w:proofErr w:type="spellStart"/>
            <w:r>
              <w:t>Nie</w:t>
            </w:r>
            <w:proofErr w:type="spellEnd"/>
          </w:p>
        </w:tc>
      </w:tr>
      <w:tr w:rsidR="006B2EC1" w14:paraId="2A6745B1" w14:textId="77777777" w:rsidTr="0047688D">
        <w:tc>
          <w:tcPr>
            <w:tcW w:w="0" w:type="auto"/>
            <w:shd w:val="clear" w:color="auto" w:fill="auto"/>
          </w:tcPr>
          <w:p w14:paraId="78751732" w14:textId="77777777" w:rsidR="008C5CFA" w:rsidRDefault="00E82A60" w:rsidP="00300A01">
            <w:pPr>
              <w:spacing w:before="0" w:after="0"/>
            </w:pPr>
            <w:r>
              <w:t xml:space="preserve">9.0.6. </w:t>
            </w:r>
            <w:proofErr w:type="spellStart"/>
            <w:r>
              <w:t>Inne</w:t>
            </w:r>
            <w:proofErr w:type="spellEnd"/>
            <w:r>
              <w:t xml:space="preserve"> </w:t>
            </w:r>
            <w:proofErr w:type="spellStart"/>
            <w:r>
              <w:t>produkty</w:t>
            </w:r>
            <w:proofErr w:type="spellEnd"/>
            <w:r>
              <w:t xml:space="preserve"> </w:t>
            </w:r>
            <w:proofErr w:type="spellStart"/>
            <w:r>
              <w:t>finansowe</w:t>
            </w:r>
            <w:proofErr w:type="spellEnd"/>
          </w:p>
        </w:tc>
        <w:tc>
          <w:tcPr>
            <w:tcW w:w="0" w:type="auto"/>
            <w:shd w:val="clear" w:color="auto" w:fill="auto"/>
          </w:tcPr>
          <w:p w14:paraId="3F07D446" w14:textId="77777777" w:rsidR="008C5CFA" w:rsidRDefault="00E82A60" w:rsidP="00300A01">
            <w:pPr>
              <w:spacing w:before="0" w:after="0"/>
              <w:jc w:val="right"/>
            </w:pPr>
            <w:proofErr w:type="spellStart"/>
            <w:r>
              <w:t>Nie</w:t>
            </w:r>
            <w:proofErr w:type="spellEnd"/>
          </w:p>
        </w:tc>
      </w:tr>
      <w:tr w:rsidR="006B2EC1" w14:paraId="2984B18E" w14:textId="77777777" w:rsidTr="0047688D">
        <w:tc>
          <w:tcPr>
            <w:tcW w:w="0" w:type="auto"/>
            <w:shd w:val="clear" w:color="auto" w:fill="auto"/>
          </w:tcPr>
          <w:p w14:paraId="56E95CFC" w14:textId="77777777" w:rsidR="008C5CFA" w:rsidRDefault="00E82A60" w:rsidP="00300A01">
            <w:pPr>
              <w:spacing w:before="0" w:after="0"/>
            </w:pPr>
            <w:r>
              <w:t xml:space="preserve">9.0.7. </w:t>
            </w:r>
            <w:proofErr w:type="spellStart"/>
            <w:r>
              <w:t>Inne</w:t>
            </w:r>
            <w:proofErr w:type="spellEnd"/>
            <w:r>
              <w:t xml:space="preserve"> </w:t>
            </w:r>
            <w:proofErr w:type="spellStart"/>
            <w:r>
              <w:t>wsparcie</w:t>
            </w:r>
            <w:proofErr w:type="spellEnd"/>
            <w:r>
              <w:t xml:space="preserve"> </w:t>
            </w:r>
            <w:proofErr w:type="spellStart"/>
            <w:r>
              <w:t>połączone</w:t>
            </w:r>
            <w:proofErr w:type="spellEnd"/>
            <w:r>
              <w:t xml:space="preserve"> z </w:t>
            </w:r>
            <w:proofErr w:type="spellStart"/>
            <w:r>
              <w:t>instrumentem</w:t>
            </w:r>
            <w:proofErr w:type="spellEnd"/>
            <w:r>
              <w:t xml:space="preserve"> </w:t>
            </w:r>
            <w:proofErr w:type="spellStart"/>
            <w:r>
              <w:t>finansowym</w:t>
            </w:r>
            <w:proofErr w:type="spellEnd"/>
          </w:p>
        </w:tc>
        <w:tc>
          <w:tcPr>
            <w:tcW w:w="0" w:type="auto"/>
            <w:shd w:val="clear" w:color="auto" w:fill="auto"/>
          </w:tcPr>
          <w:p w14:paraId="51A1068A" w14:textId="77777777" w:rsidR="008C5CFA" w:rsidRDefault="00E82A60" w:rsidP="00300A01">
            <w:pPr>
              <w:spacing w:before="0" w:after="0"/>
              <w:jc w:val="right"/>
            </w:pPr>
            <w:proofErr w:type="spellStart"/>
            <w:r>
              <w:t>Nie</w:t>
            </w:r>
            <w:proofErr w:type="spellEnd"/>
          </w:p>
        </w:tc>
      </w:tr>
      <w:tr w:rsidR="006B2EC1" w14:paraId="3993D580" w14:textId="77777777" w:rsidTr="0047688D">
        <w:tc>
          <w:tcPr>
            <w:tcW w:w="0" w:type="auto"/>
            <w:shd w:val="clear" w:color="auto" w:fill="auto"/>
          </w:tcPr>
          <w:p w14:paraId="629C4AC2" w14:textId="77777777" w:rsidR="008C5CFA" w:rsidRDefault="00E82A60" w:rsidP="00300A01">
            <w:pPr>
              <w:spacing w:before="0" w:after="0"/>
            </w:pPr>
            <w:r>
              <w:t xml:space="preserve">9.1. </w:t>
            </w:r>
            <w:proofErr w:type="spellStart"/>
            <w:r>
              <w:t>Opis</w:t>
            </w:r>
            <w:proofErr w:type="spellEnd"/>
            <w:r>
              <w:t xml:space="preserve"> </w:t>
            </w:r>
            <w:proofErr w:type="spellStart"/>
            <w:r>
              <w:t>innego</w:t>
            </w:r>
            <w:proofErr w:type="spellEnd"/>
            <w:r>
              <w:t xml:space="preserve"> </w:t>
            </w:r>
            <w:proofErr w:type="spellStart"/>
            <w:r>
              <w:t>produktu</w:t>
            </w:r>
            <w:proofErr w:type="spellEnd"/>
            <w:r>
              <w:t xml:space="preserve"> </w:t>
            </w:r>
            <w:proofErr w:type="spellStart"/>
            <w:r>
              <w:t>finansowego</w:t>
            </w:r>
            <w:proofErr w:type="spellEnd"/>
          </w:p>
        </w:tc>
        <w:tc>
          <w:tcPr>
            <w:tcW w:w="0" w:type="auto"/>
            <w:shd w:val="clear" w:color="auto" w:fill="auto"/>
          </w:tcPr>
          <w:p w14:paraId="20ECDAD5" w14:textId="77777777" w:rsidR="008C5CFA" w:rsidRDefault="008C5CFA" w:rsidP="00300A01">
            <w:pPr>
              <w:spacing w:before="0" w:after="0"/>
              <w:jc w:val="left"/>
            </w:pPr>
          </w:p>
        </w:tc>
      </w:tr>
      <w:tr w:rsidR="006B2EC1" w14:paraId="2637D487" w14:textId="77777777" w:rsidTr="0047688D">
        <w:tc>
          <w:tcPr>
            <w:tcW w:w="0" w:type="auto"/>
            <w:shd w:val="clear" w:color="auto" w:fill="auto"/>
          </w:tcPr>
          <w:p w14:paraId="77726B36" w14:textId="77777777" w:rsidR="008C5CFA" w:rsidRDefault="00E82A60" w:rsidP="00300A01">
            <w:pPr>
              <w:spacing w:before="0" w:after="0"/>
            </w:pPr>
            <w:r>
              <w:t xml:space="preserve">9.2. </w:t>
            </w:r>
            <w:proofErr w:type="spellStart"/>
            <w:r>
              <w:t>Inne</w:t>
            </w:r>
            <w:proofErr w:type="spellEnd"/>
            <w:r>
              <w:t xml:space="preserve"> </w:t>
            </w:r>
            <w:proofErr w:type="spellStart"/>
            <w:r>
              <w:t>wsparcie</w:t>
            </w:r>
            <w:proofErr w:type="spellEnd"/>
            <w:r>
              <w:t xml:space="preserve"> </w:t>
            </w:r>
            <w:proofErr w:type="spellStart"/>
            <w:r>
              <w:t>połączone</w:t>
            </w:r>
            <w:proofErr w:type="spellEnd"/>
            <w:r>
              <w:t xml:space="preserve"> w </w:t>
            </w:r>
            <w:proofErr w:type="spellStart"/>
            <w:r>
              <w:t>ramach</w:t>
            </w:r>
            <w:proofErr w:type="spellEnd"/>
            <w:r>
              <w:t xml:space="preserve"> </w:t>
            </w:r>
            <w:proofErr w:type="spellStart"/>
            <w:r>
              <w:t>instrumentu</w:t>
            </w:r>
            <w:proofErr w:type="spellEnd"/>
            <w:r>
              <w:t xml:space="preserve"> </w:t>
            </w:r>
            <w:proofErr w:type="spellStart"/>
            <w:r>
              <w:t>finansowego</w:t>
            </w:r>
            <w:proofErr w:type="spellEnd"/>
            <w:r>
              <w:t xml:space="preserve">: </w:t>
            </w:r>
            <w:proofErr w:type="spellStart"/>
            <w:r>
              <w:t>dotacja</w:t>
            </w:r>
            <w:proofErr w:type="spellEnd"/>
            <w:r>
              <w:t xml:space="preserve">, </w:t>
            </w:r>
            <w:proofErr w:type="spellStart"/>
            <w:r>
              <w:t>dotacja</w:t>
            </w:r>
            <w:proofErr w:type="spellEnd"/>
            <w:r>
              <w:t xml:space="preserve"> </w:t>
            </w:r>
            <w:proofErr w:type="spellStart"/>
            <w:r>
              <w:t>na</w:t>
            </w:r>
            <w:proofErr w:type="spellEnd"/>
            <w:r>
              <w:t xml:space="preserve"> </w:t>
            </w:r>
            <w:proofErr w:type="spellStart"/>
            <w:r>
              <w:t>spłatę</w:t>
            </w:r>
            <w:proofErr w:type="spellEnd"/>
            <w:r>
              <w:t xml:space="preserve"> </w:t>
            </w:r>
            <w:proofErr w:type="spellStart"/>
            <w:r>
              <w:t>odsetek</w:t>
            </w:r>
            <w:proofErr w:type="spellEnd"/>
            <w:r>
              <w:t xml:space="preserve">, </w:t>
            </w:r>
            <w:proofErr w:type="spellStart"/>
            <w:r>
              <w:t>dotacja</w:t>
            </w:r>
            <w:proofErr w:type="spellEnd"/>
            <w:r>
              <w:t xml:space="preserve"> </w:t>
            </w:r>
            <w:proofErr w:type="spellStart"/>
            <w:r>
              <w:t>na</w:t>
            </w:r>
            <w:proofErr w:type="spellEnd"/>
            <w:r>
              <w:t xml:space="preserve"> </w:t>
            </w:r>
            <w:proofErr w:type="spellStart"/>
            <w:r>
              <w:t>opłaty</w:t>
            </w:r>
            <w:proofErr w:type="spellEnd"/>
            <w:r>
              <w:t xml:space="preserve"> </w:t>
            </w:r>
            <w:proofErr w:type="spellStart"/>
            <w:r>
              <w:t>gwarancyjne</w:t>
            </w:r>
            <w:proofErr w:type="spellEnd"/>
            <w:r>
              <w:t xml:space="preserve"> </w:t>
            </w:r>
            <w:proofErr w:type="spellStart"/>
            <w:r>
              <w:t>zgodnie</w:t>
            </w:r>
            <w:proofErr w:type="spellEnd"/>
            <w:r>
              <w:t xml:space="preserve"> z art. 37 </w:t>
            </w:r>
            <w:proofErr w:type="spellStart"/>
            <w:r>
              <w:t>ust</w:t>
            </w:r>
            <w:proofErr w:type="spellEnd"/>
            <w:r>
              <w:t xml:space="preserve">. 7 </w:t>
            </w:r>
            <w:proofErr w:type="spellStart"/>
            <w:r>
              <w:t>rozporządzenia</w:t>
            </w:r>
            <w:proofErr w:type="spellEnd"/>
            <w:r>
              <w:t xml:space="preserve"> (UE) nr 1303/2013</w:t>
            </w:r>
          </w:p>
        </w:tc>
        <w:tc>
          <w:tcPr>
            <w:tcW w:w="0" w:type="auto"/>
            <w:shd w:val="clear" w:color="auto" w:fill="auto"/>
          </w:tcPr>
          <w:p w14:paraId="7B87DD0A" w14:textId="77777777" w:rsidR="008C5CFA" w:rsidRDefault="008C5CFA" w:rsidP="00300A01">
            <w:pPr>
              <w:spacing w:before="0" w:after="0"/>
              <w:jc w:val="left"/>
            </w:pPr>
          </w:p>
        </w:tc>
      </w:tr>
      <w:tr w:rsidR="006B2EC1" w14:paraId="2B54A14E" w14:textId="77777777" w:rsidTr="0047688D">
        <w:tc>
          <w:tcPr>
            <w:tcW w:w="0" w:type="auto"/>
            <w:shd w:val="clear" w:color="auto" w:fill="auto"/>
          </w:tcPr>
          <w:p w14:paraId="46E0F750" w14:textId="77777777" w:rsidR="008C5CFA" w:rsidRDefault="00E82A60" w:rsidP="00300A01">
            <w:pPr>
              <w:spacing w:before="0" w:after="0"/>
            </w:pPr>
            <w:r>
              <w:t xml:space="preserve">10. Status prawny </w:t>
            </w:r>
            <w:proofErr w:type="spellStart"/>
            <w:r>
              <w:t>instrumentu</w:t>
            </w:r>
            <w:proofErr w:type="spellEnd"/>
            <w:r>
              <w:t xml:space="preserve"> </w:t>
            </w:r>
            <w:proofErr w:type="spellStart"/>
            <w:r>
              <w:t>finansowego</w:t>
            </w:r>
            <w:proofErr w:type="spellEnd"/>
            <w:r>
              <w:t xml:space="preserve"> </w:t>
            </w:r>
            <w:proofErr w:type="spellStart"/>
            <w:r>
              <w:t>zgodnie</w:t>
            </w:r>
            <w:proofErr w:type="spellEnd"/>
            <w:r>
              <w:t xml:space="preserve"> z art. 38 </w:t>
            </w:r>
            <w:proofErr w:type="spellStart"/>
            <w:r>
              <w:t>ust</w:t>
            </w:r>
            <w:proofErr w:type="spellEnd"/>
            <w:r>
              <w:t xml:space="preserve">. 6 i art. 39a </w:t>
            </w:r>
            <w:proofErr w:type="spellStart"/>
            <w:r>
              <w:t>ust</w:t>
            </w:r>
            <w:proofErr w:type="spellEnd"/>
            <w:r>
              <w:t xml:space="preserve">. 5 lit. b) </w:t>
            </w:r>
            <w:proofErr w:type="spellStart"/>
            <w:r>
              <w:t>rozporządzenia</w:t>
            </w:r>
            <w:proofErr w:type="spellEnd"/>
            <w:r>
              <w:t xml:space="preserve"> (UE) nr 1303/2013 (</w:t>
            </w:r>
            <w:proofErr w:type="spellStart"/>
            <w:r>
              <w:t>dotyczy</w:t>
            </w:r>
            <w:proofErr w:type="spellEnd"/>
            <w:r>
              <w:t xml:space="preserve"> </w:t>
            </w:r>
            <w:proofErr w:type="spellStart"/>
            <w:r>
              <w:t>wyłącznie</w:t>
            </w:r>
            <w:proofErr w:type="spellEnd"/>
            <w:r>
              <w:t xml:space="preserve"> </w:t>
            </w:r>
            <w:proofErr w:type="spellStart"/>
            <w:r>
              <w:t>instrumentów</w:t>
            </w:r>
            <w:proofErr w:type="spellEnd"/>
            <w:r>
              <w:t xml:space="preserve"> </w:t>
            </w:r>
            <w:proofErr w:type="spellStart"/>
            <w:r>
              <w:t>finansowych</w:t>
            </w:r>
            <w:proofErr w:type="spellEnd"/>
            <w:r>
              <w:t xml:space="preserve">, o </w:t>
            </w:r>
            <w:proofErr w:type="spellStart"/>
            <w:r>
              <w:t>których</w:t>
            </w:r>
            <w:proofErr w:type="spellEnd"/>
            <w:r>
              <w:t xml:space="preserve"> </w:t>
            </w:r>
            <w:proofErr w:type="spellStart"/>
            <w:r>
              <w:t>mowa</w:t>
            </w:r>
            <w:proofErr w:type="spellEnd"/>
            <w:r>
              <w:t xml:space="preserve"> w art. 38 </w:t>
            </w:r>
            <w:proofErr w:type="spellStart"/>
            <w:r>
              <w:t>ust</w:t>
            </w:r>
            <w:proofErr w:type="spellEnd"/>
            <w:r>
              <w:t xml:space="preserve">. 1 lit. b) i c)): </w:t>
            </w:r>
            <w:proofErr w:type="spellStart"/>
            <w:r>
              <w:t>rachunek</w:t>
            </w:r>
            <w:proofErr w:type="spellEnd"/>
            <w:r>
              <w:t xml:space="preserve"> </w:t>
            </w:r>
            <w:proofErr w:type="spellStart"/>
            <w:r>
              <w:t>powierniczy</w:t>
            </w:r>
            <w:proofErr w:type="spellEnd"/>
            <w:r>
              <w:t xml:space="preserve"> </w:t>
            </w:r>
            <w:proofErr w:type="spellStart"/>
            <w:r>
              <w:t>otwarty</w:t>
            </w:r>
            <w:proofErr w:type="spellEnd"/>
            <w:r>
              <w:t xml:space="preserve"> w </w:t>
            </w:r>
            <w:proofErr w:type="spellStart"/>
            <w:r>
              <w:t>imieniu</w:t>
            </w:r>
            <w:proofErr w:type="spellEnd"/>
            <w:r>
              <w:t xml:space="preserve"> </w:t>
            </w:r>
            <w:proofErr w:type="spellStart"/>
            <w:r>
              <w:t>podmiotu</w:t>
            </w:r>
            <w:proofErr w:type="spellEnd"/>
            <w:r>
              <w:t xml:space="preserve"> </w:t>
            </w:r>
            <w:proofErr w:type="spellStart"/>
            <w:r>
              <w:t>wdrażającego</w:t>
            </w:r>
            <w:proofErr w:type="spellEnd"/>
            <w:r>
              <w:t xml:space="preserve"> </w:t>
            </w:r>
            <w:proofErr w:type="spellStart"/>
            <w:r>
              <w:t>oraz</w:t>
            </w:r>
            <w:proofErr w:type="spellEnd"/>
            <w:r>
              <w:t xml:space="preserve"> w </w:t>
            </w:r>
            <w:proofErr w:type="spellStart"/>
            <w:r>
              <w:t>imieniu</w:t>
            </w:r>
            <w:proofErr w:type="spellEnd"/>
            <w:r>
              <w:t xml:space="preserve"> </w:t>
            </w:r>
            <w:proofErr w:type="spellStart"/>
            <w:r>
              <w:t>instytucji</w:t>
            </w:r>
            <w:proofErr w:type="spellEnd"/>
            <w:r>
              <w:t xml:space="preserve"> </w:t>
            </w:r>
            <w:proofErr w:type="spellStart"/>
            <w:r>
              <w:t>zarządzającej</w:t>
            </w:r>
            <w:proofErr w:type="spellEnd"/>
            <w:r>
              <w:t xml:space="preserve"> </w:t>
            </w:r>
            <w:proofErr w:type="spellStart"/>
            <w:r>
              <w:t>lub</w:t>
            </w:r>
            <w:proofErr w:type="spellEnd"/>
            <w:r>
              <w:t xml:space="preserve"> </w:t>
            </w:r>
            <w:proofErr w:type="spellStart"/>
            <w:r>
              <w:t>oddzielny</w:t>
            </w:r>
            <w:proofErr w:type="spellEnd"/>
            <w:r>
              <w:t xml:space="preserve"> </w:t>
            </w:r>
            <w:proofErr w:type="spellStart"/>
            <w:r>
              <w:t>blok</w:t>
            </w:r>
            <w:proofErr w:type="spellEnd"/>
            <w:r>
              <w:t xml:space="preserve"> </w:t>
            </w:r>
            <w:proofErr w:type="spellStart"/>
            <w:r>
              <w:t>finansowy</w:t>
            </w:r>
            <w:proofErr w:type="spellEnd"/>
            <w:r>
              <w:t xml:space="preserve"> w </w:t>
            </w:r>
            <w:proofErr w:type="spellStart"/>
            <w:r>
              <w:t>ramach</w:t>
            </w:r>
            <w:proofErr w:type="spellEnd"/>
            <w:r>
              <w:t xml:space="preserve"> </w:t>
            </w:r>
            <w:proofErr w:type="spellStart"/>
            <w:r>
              <w:t>instytucji</w:t>
            </w:r>
            <w:proofErr w:type="spellEnd"/>
            <w:r>
              <w:t xml:space="preserve"> </w:t>
            </w:r>
            <w:proofErr w:type="spellStart"/>
            <w:r>
              <w:t>finansowej</w:t>
            </w:r>
            <w:proofErr w:type="spellEnd"/>
          </w:p>
        </w:tc>
        <w:tc>
          <w:tcPr>
            <w:tcW w:w="0" w:type="auto"/>
            <w:shd w:val="clear" w:color="auto" w:fill="auto"/>
          </w:tcPr>
          <w:p w14:paraId="3F7CA1B6" w14:textId="77777777" w:rsidR="008C5CFA" w:rsidRDefault="00E82A60" w:rsidP="00300A01">
            <w:pPr>
              <w:spacing w:before="0" w:after="0"/>
              <w:jc w:val="left"/>
            </w:pPr>
            <w:proofErr w:type="spellStart"/>
            <w:r>
              <w:t>Oddzielny</w:t>
            </w:r>
            <w:proofErr w:type="spellEnd"/>
            <w:r>
              <w:t xml:space="preserve"> </w:t>
            </w:r>
            <w:proofErr w:type="spellStart"/>
            <w:r>
              <w:t>blok</w:t>
            </w:r>
            <w:proofErr w:type="spellEnd"/>
            <w:r>
              <w:t xml:space="preserve"> </w:t>
            </w:r>
            <w:proofErr w:type="spellStart"/>
            <w:r>
              <w:t>finansowy</w:t>
            </w:r>
            <w:proofErr w:type="spellEnd"/>
          </w:p>
        </w:tc>
      </w:tr>
      <w:tr w:rsidR="006B2EC1" w14:paraId="32E3A7E6" w14:textId="77777777" w:rsidTr="0047688D">
        <w:tc>
          <w:tcPr>
            <w:tcW w:w="0" w:type="auto"/>
            <w:gridSpan w:val="2"/>
            <w:shd w:val="clear" w:color="auto" w:fill="auto"/>
          </w:tcPr>
          <w:p w14:paraId="68BCED2C" w14:textId="77777777" w:rsidR="008C5CFA" w:rsidRDefault="00E82A60" w:rsidP="00300A01">
            <w:pPr>
              <w:spacing w:before="0" w:after="0"/>
            </w:pPr>
            <w:r>
              <w:rPr>
                <w:b/>
              </w:rPr>
              <w:lastRenderedPageBreak/>
              <w:t xml:space="preserve">III. </w:t>
            </w:r>
            <w:proofErr w:type="spellStart"/>
            <w:r>
              <w:rPr>
                <w:b/>
              </w:rPr>
              <w:t>Określenie</w:t>
            </w:r>
            <w:proofErr w:type="spellEnd"/>
            <w:r>
              <w:rPr>
                <w:b/>
              </w:rPr>
              <w:t xml:space="preserve"> </w:t>
            </w:r>
            <w:proofErr w:type="spellStart"/>
            <w:r>
              <w:rPr>
                <w:b/>
              </w:rPr>
              <w:t>podmiotu</w:t>
            </w:r>
            <w:proofErr w:type="spellEnd"/>
            <w:r>
              <w:rPr>
                <w:b/>
              </w:rPr>
              <w:t xml:space="preserve"> </w:t>
            </w:r>
            <w:proofErr w:type="spellStart"/>
            <w:r>
              <w:rPr>
                <w:b/>
              </w:rPr>
              <w:t>wdrażającego</w:t>
            </w:r>
            <w:proofErr w:type="spellEnd"/>
            <w:r>
              <w:rPr>
                <w:b/>
              </w:rPr>
              <w:t xml:space="preserve"> instrument </w:t>
            </w:r>
            <w:proofErr w:type="spellStart"/>
            <w:r>
              <w:rPr>
                <w:b/>
              </w:rPr>
              <w:t>finansowy</w:t>
            </w:r>
            <w:proofErr w:type="spellEnd"/>
            <w:r>
              <w:rPr>
                <w:b/>
              </w:rPr>
              <w:t xml:space="preserve"> </w:t>
            </w:r>
            <w:proofErr w:type="spellStart"/>
            <w:r>
              <w:rPr>
                <w:b/>
              </w:rPr>
              <w:t>oraz</w:t>
            </w:r>
            <w:proofErr w:type="spellEnd"/>
            <w:r>
              <w:rPr>
                <w:b/>
              </w:rPr>
              <w:t xml:space="preserve">, w </w:t>
            </w:r>
            <w:proofErr w:type="spellStart"/>
            <w:r>
              <w:rPr>
                <w:b/>
              </w:rPr>
              <w:t>stosownych</w:t>
            </w:r>
            <w:proofErr w:type="spellEnd"/>
            <w:r>
              <w:rPr>
                <w:b/>
              </w:rPr>
              <w:t xml:space="preserve"> </w:t>
            </w:r>
            <w:proofErr w:type="spellStart"/>
            <w:r>
              <w:rPr>
                <w:b/>
              </w:rPr>
              <w:t>przypadkach</w:t>
            </w:r>
            <w:proofErr w:type="spellEnd"/>
            <w:r>
              <w:rPr>
                <w:b/>
              </w:rPr>
              <w:t xml:space="preserve">, </w:t>
            </w:r>
            <w:proofErr w:type="spellStart"/>
            <w:r>
              <w:rPr>
                <w:b/>
              </w:rPr>
              <w:t>podmiotu</w:t>
            </w:r>
            <w:proofErr w:type="spellEnd"/>
            <w:r>
              <w:rPr>
                <w:b/>
              </w:rPr>
              <w:t xml:space="preserve"> </w:t>
            </w:r>
            <w:proofErr w:type="spellStart"/>
            <w:r>
              <w:rPr>
                <w:b/>
              </w:rPr>
              <w:t>wdrażającego</w:t>
            </w:r>
            <w:proofErr w:type="spellEnd"/>
            <w:r>
              <w:rPr>
                <w:b/>
              </w:rPr>
              <w:t xml:space="preserve"> </w:t>
            </w:r>
            <w:proofErr w:type="spellStart"/>
            <w:r>
              <w:rPr>
                <w:b/>
              </w:rPr>
              <w:t>fundusz</w:t>
            </w:r>
            <w:proofErr w:type="spellEnd"/>
            <w:r>
              <w:rPr>
                <w:b/>
              </w:rPr>
              <w:t xml:space="preserve"> </w:t>
            </w:r>
            <w:proofErr w:type="spellStart"/>
            <w:r>
              <w:rPr>
                <w:b/>
              </w:rPr>
              <w:t>funduszy</w:t>
            </w:r>
            <w:proofErr w:type="spellEnd"/>
            <w:r>
              <w:rPr>
                <w:b/>
              </w:rPr>
              <w:t xml:space="preserve">, o </w:t>
            </w:r>
            <w:proofErr w:type="spellStart"/>
            <w:r>
              <w:rPr>
                <w:b/>
              </w:rPr>
              <w:t>którym</w:t>
            </w:r>
            <w:proofErr w:type="spellEnd"/>
            <w:r>
              <w:rPr>
                <w:b/>
              </w:rPr>
              <w:t xml:space="preserve"> </w:t>
            </w:r>
            <w:proofErr w:type="spellStart"/>
            <w:r>
              <w:rPr>
                <w:b/>
              </w:rPr>
              <w:t>mowa</w:t>
            </w:r>
            <w:proofErr w:type="spellEnd"/>
            <w:r>
              <w:rPr>
                <w:b/>
              </w:rPr>
              <w:t xml:space="preserve"> w art. 38 </w:t>
            </w:r>
            <w:proofErr w:type="spellStart"/>
            <w:r>
              <w:rPr>
                <w:b/>
              </w:rPr>
              <w:t>ust</w:t>
            </w:r>
            <w:proofErr w:type="spellEnd"/>
            <w:r>
              <w:rPr>
                <w:b/>
              </w:rPr>
              <w:t xml:space="preserve">. 1 lit. a), b) i c) </w:t>
            </w:r>
            <w:proofErr w:type="spellStart"/>
            <w:r>
              <w:rPr>
                <w:b/>
              </w:rPr>
              <w:t>rozporządzenia</w:t>
            </w:r>
            <w:proofErr w:type="spellEnd"/>
            <w:r>
              <w:rPr>
                <w:b/>
              </w:rPr>
              <w:t xml:space="preserve"> (UE) nr 1303/2013 (art. 46 </w:t>
            </w:r>
            <w:proofErr w:type="spellStart"/>
            <w:r>
              <w:rPr>
                <w:b/>
              </w:rPr>
              <w:t>ust</w:t>
            </w:r>
            <w:proofErr w:type="spellEnd"/>
            <w:r>
              <w:rPr>
                <w:b/>
              </w:rPr>
              <w:t xml:space="preserve">. 2 lit. c) </w:t>
            </w:r>
            <w:proofErr w:type="spellStart"/>
            <w:r>
              <w:rPr>
                <w:b/>
              </w:rPr>
              <w:t>rozporządzenia</w:t>
            </w:r>
            <w:proofErr w:type="spellEnd"/>
            <w:r>
              <w:rPr>
                <w:b/>
              </w:rPr>
              <w:t xml:space="preserve"> (UE) nr 1303/2013)</w:t>
            </w:r>
          </w:p>
        </w:tc>
      </w:tr>
      <w:tr w:rsidR="006B2EC1" w14:paraId="1D1FD11F" w14:textId="77777777" w:rsidTr="0047688D">
        <w:tc>
          <w:tcPr>
            <w:tcW w:w="0" w:type="auto"/>
            <w:gridSpan w:val="2"/>
            <w:shd w:val="clear" w:color="auto" w:fill="auto"/>
          </w:tcPr>
          <w:p w14:paraId="62ACE025" w14:textId="77777777" w:rsidR="008C5CFA" w:rsidRDefault="00E82A60" w:rsidP="00300A01">
            <w:pPr>
              <w:spacing w:before="0" w:after="0"/>
            </w:pPr>
            <w:r>
              <w:rPr>
                <w:b/>
              </w:rPr>
              <w:t xml:space="preserve">11. </w:t>
            </w:r>
            <w:proofErr w:type="spellStart"/>
            <w:r>
              <w:rPr>
                <w:b/>
              </w:rPr>
              <w:t>Podmiot</w:t>
            </w:r>
            <w:proofErr w:type="spellEnd"/>
            <w:r>
              <w:rPr>
                <w:b/>
              </w:rPr>
              <w:t xml:space="preserve"> </w:t>
            </w:r>
            <w:proofErr w:type="spellStart"/>
            <w:r>
              <w:rPr>
                <w:b/>
              </w:rPr>
              <w:t>wdrażający</w:t>
            </w:r>
            <w:proofErr w:type="spellEnd"/>
            <w:r>
              <w:rPr>
                <w:b/>
              </w:rPr>
              <w:t xml:space="preserve"> instrument </w:t>
            </w:r>
            <w:proofErr w:type="spellStart"/>
            <w:r>
              <w:rPr>
                <w:b/>
              </w:rPr>
              <w:t>finansowy</w:t>
            </w:r>
            <w:proofErr w:type="spellEnd"/>
          </w:p>
        </w:tc>
      </w:tr>
      <w:tr w:rsidR="006B2EC1" w14:paraId="3D5DD60B" w14:textId="77777777" w:rsidTr="0047688D">
        <w:tc>
          <w:tcPr>
            <w:tcW w:w="0" w:type="auto"/>
            <w:shd w:val="clear" w:color="auto" w:fill="auto"/>
          </w:tcPr>
          <w:p w14:paraId="68A65864" w14:textId="77777777" w:rsidR="008C5CFA" w:rsidRDefault="00E82A60" w:rsidP="00300A01">
            <w:pPr>
              <w:spacing w:before="0" w:after="0"/>
            </w:pPr>
            <w:r>
              <w:t xml:space="preserve">11.1. </w:t>
            </w:r>
            <w:proofErr w:type="spellStart"/>
            <w:r>
              <w:t>Rodzaj</w:t>
            </w:r>
            <w:proofErr w:type="spellEnd"/>
            <w:r>
              <w:t xml:space="preserve"> </w:t>
            </w:r>
            <w:proofErr w:type="spellStart"/>
            <w:r>
              <w:t>podmiotu</w:t>
            </w:r>
            <w:proofErr w:type="spellEnd"/>
            <w:r>
              <w:t xml:space="preserve"> </w:t>
            </w:r>
            <w:proofErr w:type="spellStart"/>
            <w:r>
              <w:t>wdrażającego</w:t>
            </w:r>
            <w:proofErr w:type="spellEnd"/>
            <w:r>
              <w:t xml:space="preserve"> </w:t>
            </w:r>
            <w:proofErr w:type="spellStart"/>
            <w:r>
              <w:t>zgodnie</w:t>
            </w:r>
            <w:proofErr w:type="spellEnd"/>
            <w:r>
              <w:t xml:space="preserve"> z art. 38 </w:t>
            </w:r>
            <w:proofErr w:type="spellStart"/>
            <w:r>
              <w:t>ust</w:t>
            </w:r>
            <w:proofErr w:type="spellEnd"/>
            <w:r>
              <w:t xml:space="preserve">. 4 i art. 39a </w:t>
            </w:r>
            <w:proofErr w:type="spellStart"/>
            <w:r>
              <w:t>ust</w:t>
            </w:r>
            <w:proofErr w:type="spellEnd"/>
            <w:r>
              <w:t xml:space="preserve">. 5 </w:t>
            </w:r>
            <w:proofErr w:type="spellStart"/>
            <w:r>
              <w:t>rozporządzenia</w:t>
            </w:r>
            <w:proofErr w:type="spellEnd"/>
            <w:r>
              <w:t xml:space="preserve"> (UE) nr 1303/2013: </w:t>
            </w:r>
            <w:proofErr w:type="spellStart"/>
            <w:r>
              <w:t>istniejący</w:t>
            </w:r>
            <w:proofErr w:type="spellEnd"/>
            <w:r>
              <w:t xml:space="preserve"> </w:t>
            </w:r>
            <w:proofErr w:type="spellStart"/>
            <w:r>
              <w:t>lub</w:t>
            </w:r>
            <w:proofErr w:type="spellEnd"/>
            <w:r>
              <w:t xml:space="preserve"> </w:t>
            </w:r>
            <w:proofErr w:type="spellStart"/>
            <w:r>
              <w:t>nowo</w:t>
            </w:r>
            <w:proofErr w:type="spellEnd"/>
            <w:r>
              <w:t xml:space="preserve"> </w:t>
            </w:r>
            <w:proofErr w:type="spellStart"/>
            <w:r>
              <w:t>utworzony</w:t>
            </w:r>
            <w:proofErr w:type="spellEnd"/>
            <w:r>
              <w:t xml:space="preserve"> </w:t>
            </w:r>
            <w:proofErr w:type="spellStart"/>
            <w:r>
              <w:t>podmiot</w:t>
            </w:r>
            <w:proofErr w:type="spellEnd"/>
            <w:r>
              <w:t xml:space="preserve"> prawny </w:t>
            </w:r>
            <w:proofErr w:type="spellStart"/>
            <w:r>
              <w:t>zajmujący</w:t>
            </w:r>
            <w:proofErr w:type="spellEnd"/>
            <w:r>
              <w:t xml:space="preserve"> </w:t>
            </w:r>
            <w:proofErr w:type="spellStart"/>
            <w:r>
              <w:t>się</w:t>
            </w:r>
            <w:proofErr w:type="spellEnd"/>
            <w:r>
              <w:t xml:space="preserve"> </w:t>
            </w:r>
            <w:proofErr w:type="spellStart"/>
            <w:r>
              <w:t>wdrażaniem</w:t>
            </w:r>
            <w:proofErr w:type="spellEnd"/>
            <w:r>
              <w:t xml:space="preserve"> </w:t>
            </w:r>
            <w:proofErr w:type="spellStart"/>
            <w:r>
              <w:t>instrumentów</w:t>
            </w:r>
            <w:proofErr w:type="spellEnd"/>
            <w:r>
              <w:t xml:space="preserve"> </w:t>
            </w:r>
            <w:proofErr w:type="spellStart"/>
            <w:r>
              <w:t>finansowych</w:t>
            </w:r>
            <w:proofErr w:type="spellEnd"/>
            <w:r>
              <w:t xml:space="preserve">; </w:t>
            </w:r>
            <w:proofErr w:type="spellStart"/>
            <w:r>
              <w:t>Europejski</w:t>
            </w:r>
            <w:proofErr w:type="spellEnd"/>
            <w:r>
              <w:t xml:space="preserve"> Bank </w:t>
            </w:r>
            <w:proofErr w:type="spellStart"/>
            <w:r>
              <w:t>Inwestycyjny</w:t>
            </w:r>
            <w:proofErr w:type="spellEnd"/>
            <w:r>
              <w:t xml:space="preserve">; </w:t>
            </w:r>
            <w:proofErr w:type="spellStart"/>
            <w:r>
              <w:t>Europejski</w:t>
            </w:r>
            <w:proofErr w:type="spellEnd"/>
            <w:r>
              <w:t xml:space="preserve"> </w:t>
            </w:r>
            <w:proofErr w:type="spellStart"/>
            <w:r>
              <w:t>Fundusz</w:t>
            </w:r>
            <w:proofErr w:type="spellEnd"/>
            <w:r>
              <w:t xml:space="preserve"> </w:t>
            </w:r>
            <w:proofErr w:type="spellStart"/>
            <w:r>
              <w:t>Inwestycyjny</w:t>
            </w:r>
            <w:proofErr w:type="spellEnd"/>
            <w:r>
              <w:t xml:space="preserve">; </w:t>
            </w:r>
            <w:proofErr w:type="spellStart"/>
            <w:r>
              <w:t>międzynarodowa</w:t>
            </w:r>
            <w:proofErr w:type="spellEnd"/>
            <w:r>
              <w:t xml:space="preserve"> </w:t>
            </w:r>
            <w:proofErr w:type="spellStart"/>
            <w:r>
              <w:t>instytucja</w:t>
            </w:r>
            <w:proofErr w:type="spellEnd"/>
            <w:r>
              <w:t xml:space="preserve"> </w:t>
            </w:r>
            <w:proofErr w:type="spellStart"/>
            <w:r>
              <w:t>finansowa</w:t>
            </w:r>
            <w:proofErr w:type="spellEnd"/>
            <w:r>
              <w:t xml:space="preserve">, w </w:t>
            </w:r>
            <w:proofErr w:type="spellStart"/>
            <w:r>
              <w:t>której</w:t>
            </w:r>
            <w:proofErr w:type="spellEnd"/>
            <w:r>
              <w:t xml:space="preserve"> </w:t>
            </w:r>
            <w:proofErr w:type="spellStart"/>
            <w:r>
              <w:t>państwo</w:t>
            </w:r>
            <w:proofErr w:type="spellEnd"/>
            <w:r>
              <w:t xml:space="preserve"> </w:t>
            </w:r>
            <w:proofErr w:type="spellStart"/>
            <w:r>
              <w:t>członkowskie</w:t>
            </w:r>
            <w:proofErr w:type="spellEnd"/>
            <w:r>
              <w:t xml:space="preserve"> </w:t>
            </w:r>
            <w:proofErr w:type="spellStart"/>
            <w:r>
              <w:t>posiada</w:t>
            </w:r>
            <w:proofErr w:type="spellEnd"/>
            <w:r>
              <w:t xml:space="preserve"> </w:t>
            </w:r>
            <w:proofErr w:type="spellStart"/>
            <w:r>
              <w:t>akcje</w:t>
            </w:r>
            <w:proofErr w:type="spellEnd"/>
            <w:r>
              <w:t xml:space="preserve"> </w:t>
            </w:r>
            <w:proofErr w:type="spellStart"/>
            <w:r>
              <w:t>lub</w:t>
            </w:r>
            <w:proofErr w:type="spellEnd"/>
            <w:r>
              <w:t xml:space="preserve"> </w:t>
            </w:r>
            <w:proofErr w:type="spellStart"/>
            <w:r>
              <w:t>udziały</w:t>
            </w:r>
            <w:proofErr w:type="spellEnd"/>
            <w:r>
              <w:t xml:space="preserve">; bank </w:t>
            </w:r>
            <w:proofErr w:type="spellStart"/>
            <w:r>
              <w:t>publiczny</w:t>
            </w:r>
            <w:proofErr w:type="spellEnd"/>
            <w:r>
              <w:t xml:space="preserve"> </w:t>
            </w:r>
            <w:proofErr w:type="spellStart"/>
            <w:r>
              <w:t>lub</w:t>
            </w:r>
            <w:proofErr w:type="spellEnd"/>
            <w:r>
              <w:t xml:space="preserve"> </w:t>
            </w:r>
            <w:proofErr w:type="spellStart"/>
            <w:r>
              <w:t>instytucja</w:t>
            </w:r>
            <w:proofErr w:type="spellEnd"/>
            <w:r>
              <w:t xml:space="preserve"> </w:t>
            </w:r>
            <w:proofErr w:type="spellStart"/>
            <w:r>
              <w:t>publiczna</w:t>
            </w:r>
            <w:proofErr w:type="spellEnd"/>
            <w:r>
              <w:t xml:space="preserve">, </w:t>
            </w:r>
            <w:proofErr w:type="spellStart"/>
            <w:r>
              <w:t>ustanowione</w:t>
            </w:r>
            <w:proofErr w:type="spellEnd"/>
            <w:r>
              <w:t xml:space="preserve"> </w:t>
            </w:r>
            <w:proofErr w:type="spellStart"/>
            <w:r>
              <w:t>jako</w:t>
            </w:r>
            <w:proofErr w:type="spellEnd"/>
            <w:r>
              <w:t xml:space="preserve"> </w:t>
            </w:r>
            <w:proofErr w:type="spellStart"/>
            <w:r>
              <w:t>podmioty</w:t>
            </w:r>
            <w:proofErr w:type="spellEnd"/>
            <w:r>
              <w:t xml:space="preserve"> </w:t>
            </w:r>
            <w:proofErr w:type="spellStart"/>
            <w:r>
              <w:t>prawne</w:t>
            </w:r>
            <w:proofErr w:type="spellEnd"/>
            <w:r>
              <w:t xml:space="preserve"> </w:t>
            </w:r>
            <w:proofErr w:type="spellStart"/>
            <w:r>
              <w:t>prowadzące</w:t>
            </w:r>
            <w:proofErr w:type="spellEnd"/>
            <w:r>
              <w:t xml:space="preserve"> </w:t>
            </w:r>
            <w:proofErr w:type="spellStart"/>
            <w:r>
              <w:t>profesjonalną</w:t>
            </w:r>
            <w:proofErr w:type="spellEnd"/>
            <w:r>
              <w:t xml:space="preserve"> </w:t>
            </w:r>
            <w:proofErr w:type="spellStart"/>
            <w:r>
              <w:t>działalność</w:t>
            </w:r>
            <w:proofErr w:type="spellEnd"/>
            <w:r>
              <w:t xml:space="preserve"> </w:t>
            </w:r>
            <w:proofErr w:type="spellStart"/>
            <w:r>
              <w:t>finansową</w:t>
            </w:r>
            <w:proofErr w:type="spellEnd"/>
            <w:r>
              <w:t xml:space="preserve">; </w:t>
            </w:r>
            <w:proofErr w:type="spellStart"/>
            <w:r>
              <w:t>podmiot</w:t>
            </w:r>
            <w:proofErr w:type="spellEnd"/>
            <w:r>
              <w:t xml:space="preserve"> </w:t>
            </w:r>
            <w:proofErr w:type="spellStart"/>
            <w:r>
              <w:t>prawa</w:t>
            </w:r>
            <w:proofErr w:type="spellEnd"/>
            <w:r>
              <w:t xml:space="preserve"> </w:t>
            </w:r>
            <w:proofErr w:type="spellStart"/>
            <w:r>
              <w:t>publicznego</w:t>
            </w:r>
            <w:proofErr w:type="spellEnd"/>
            <w:r>
              <w:t xml:space="preserve"> </w:t>
            </w:r>
            <w:proofErr w:type="spellStart"/>
            <w:r>
              <w:t>lub</w:t>
            </w:r>
            <w:proofErr w:type="spellEnd"/>
            <w:r>
              <w:t xml:space="preserve"> </w:t>
            </w:r>
            <w:proofErr w:type="spellStart"/>
            <w:r>
              <w:t>prywatnego</w:t>
            </w:r>
            <w:proofErr w:type="spellEnd"/>
            <w:r>
              <w:t xml:space="preserve">; </w:t>
            </w:r>
            <w:proofErr w:type="spellStart"/>
            <w:r>
              <w:t>instytucja</w:t>
            </w:r>
            <w:proofErr w:type="spellEnd"/>
            <w:r>
              <w:t xml:space="preserve"> </w:t>
            </w:r>
            <w:proofErr w:type="spellStart"/>
            <w:r>
              <w:t>zarządzająca</w:t>
            </w:r>
            <w:proofErr w:type="spellEnd"/>
            <w:r>
              <w:t xml:space="preserve"> </w:t>
            </w:r>
            <w:proofErr w:type="spellStart"/>
            <w:r>
              <w:t>bezpośrednio</w:t>
            </w:r>
            <w:proofErr w:type="spellEnd"/>
            <w:r>
              <w:t xml:space="preserve"> </w:t>
            </w:r>
            <w:proofErr w:type="spellStart"/>
            <w:r>
              <w:t>podejmująca</w:t>
            </w:r>
            <w:proofErr w:type="spellEnd"/>
            <w:r>
              <w:t xml:space="preserve"> </w:t>
            </w:r>
            <w:proofErr w:type="spellStart"/>
            <w:r>
              <w:t>zadania</w:t>
            </w:r>
            <w:proofErr w:type="spellEnd"/>
            <w:r>
              <w:t xml:space="preserve"> </w:t>
            </w:r>
            <w:proofErr w:type="spellStart"/>
            <w:r>
              <w:t>wdrożeniowe</w:t>
            </w:r>
            <w:proofErr w:type="spellEnd"/>
            <w:r>
              <w:t xml:space="preserve"> (</w:t>
            </w:r>
            <w:proofErr w:type="spellStart"/>
            <w:r>
              <w:t>tylko</w:t>
            </w:r>
            <w:proofErr w:type="spellEnd"/>
            <w:r>
              <w:t xml:space="preserve"> w </w:t>
            </w:r>
            <w:proofErr w:type="spellStart"/>
            <w:r>
              <w:t>przypadku</w:t>
            </w:r>
            <w:proofErr w:type="spellEnd"/>
            <w:r>
              <w:t xml:space="preserve"> </w:t>
            </w:r>
            <w:proofErr w:type="spellStart"/>
            <w:r>
              <w:t>pożyczek</w:t>
            </w:r>
            <w:proofErr w:type="spellEnd"/>
            <w:r>
              <w:t xml:space="preserve"> i </w:t>
            </w:r>
            <w:proofErr w:type="spellStart"/>
            <w:r>
              <w:t>gwarancji</w:t>
            </w:r>
            <w:proofErr w:type="spellEnd"/>
            <w:r>
              <w:t>)</w:t>
            </w:r>
          </w:p>
        </w:tc>
        <w:tc>
          <w:tcPr>
            <w:tcW w:w="0" w:type="auto"/>
            <w:shd w:val="clear" w:color="auto" w:fill="auto"/>
          </w:tcPr>
          <w:p w14:paraId="5099F521" w14:textId="77777777" w:rsidR="008C5CFA" w:rsidRDefault="00E82A60" w:rsidP="00300A01">
            <w:pPr>
              <w:spacing w:before="0" w:after="0"/>
              <w:jc w:val="left"/>
            </w:pPr>
            <w:r>
              <w:t xml:space="preserve">Bank </w:t>
            </w:r>
            <w:proofErr w:type="spellStart"/>
            <w:r>
              <w:t>publiczny</w:t>
            </w:r>
            <w:proofErr w:type="spellEnd"/>
            <w:r>
              <w:t xml:space="preserve"> </w:t>
            </w:r>
            <w:proofErr w:type="spellStart"/>
            <w:r>
              <w:t>lub</w:t>
            </w:r>
            <w:proofErr w:type="spellEnd"/>
            <w:r>
              <w:t xml:space="preserve"> </w:t>
            </w:r>
            <w:proofErr w:type="spellStart"/>
            <w:r>
              <w:t>instytucja</w:t>
            </w:r>
            <w:proofErr w:type="spellEnd"/>
            <w:r>
              <w:t xml:space="preserve"> </w:t>
            </w:r>
            <w:proofErr w:type="spellStart"/>
            <w:r>
              <w:t>publiczna</w:t>
            </w:r>
            <w:proofErr w:type="spellEnd"/>
          </w:p>
        </w:tc>
      </w:tr>
      <w:tr w:rsidR="006B2EC1" w14:paraId="296E64AF" w14:textId="77777777" w:rsidTr="0047688D">
        <w:tc>
          <w:tcPr>
            <w:tcW w:w="0" w:type="auto"/>
            <w:shd w:val="clear" w:color="auto" w:fill="auto"/>
          </w:tcPr>
          <w:p w14:paraId="53E942C8" w14:textId="77777777" w:rsidR="008C5CFA" w:rsidRDefault="00E82A60" w:rsidP="00300A01">
            <w:pPr>
              <w:spacing w:before="0" w:after="0"/>
            </w:pPr>
            <w:r>
              <w:t xml:space="preserve">11.1.1. </w:t>
            </w:r>
            <w:proofErr w:type="spellStart"/>
            <w:r>
              <w:t>Nazwa</w:t>
            </w:r>
            <w:proofErr w:type="spellEnd"/>
            <w:r>
              <w:t xml:space="preserve"> </w:t>
            </w:r>
            <w:proofErr w:type="spellStart"/>
            <w:r>
              <w:t>podmiotu</w:t>
            </w:r>
            <w:proofErr w:type="spellEnd"/>
            <w:r>
              <w:t xml:space="preserve"> </w:t>
            </w:r>
            <w:proofErr w:type="spellStart"/>
            <w:r>
              <w:t>wdrażającego</w:t>
            </w:r>
            <w:proofErr w:type="spellEnd"/>
            <w:r>
              <w:t xml:space="preserve"> instrument </w:t>
            </w:r>
            <w:proofErr w:type="spellStart"/>
            <w:r>
              <w:t>finansowy</w:t>
            </w:r>
            <w:proofErr w:type="spellEnd"/>
          </w:p>
        </w:tc>
        <w:tc>
          <w:tcPr>
            <w:tcW w:w="0" w:type="auto"/>
            <w:shd w:val="clear" w:color="auto" w:fill="auto"/>
          </w:tcPr>
          <w:p w14:paraId="36B3C3E1" w14:textId="77777777" w:rsidR="008C5CFA" w:rsidRDefault="00E82A60" w:rsidP="00300A01">
            <w:pPr>
              <w:spacing w:before="0" w:after="0"/>
              <w:jc w:val="left"/>
            </w:pPr>
            <w:r>
              <w:t xml:space="preserve">Bank </w:t>
            </w:r>
            <w:proofErr w:type="spellStart"/>
            <w:r>
              <w:t>Gospodarstwa</w:t>
            </w:r>
            <w:proofErr w:type="spellEnd"/>
            <w:r>
              <w:t xml:space="preserve"> </w:t>
            </w:r>
            <w:proofErr w:type="spellStart"/>
            <w:r>
              <w:t>Krajowego</w:t>
            </w:r>
            <w:proofErr w:type="spellEnd"/>
          </w:p>
        </w:tc>
      </w:tr>
      <w:tr w:rsidR="006B2EC1" w14:paraId="5D849BF2" w14:textId="77777777" w:rsidTr="0047688D">
        <w:tc>
          <w:tcPr>
            <w:tcW w:w="0" w:type="auto"/>
            <w:shd w:val="clear" w:color="auto" w:fill="auto"/>
          </w:tcPr>
          <w:p w14:paraId="0B194E2A" w14:textId="77777777" w:rsidR="008C5CFA" w:rsidRDefault="00E82A60" w:rsidP="00300A01">
            <w:pPr>
              <w:spacing w:before="0" w:after="0"/>
            </w:pPr>
            <w:r>
              <w:t xml:space="preserve">11.1.2. </w:t>
            </w:r>
            <w:proofErr w:type="spellStart"/>
            <w:r>
              <w:t>Oficjalny</w:t>
            </w:r>
            <w:proofErr w:type="spellEnd"/>
            <w:r>
              <w:t xml:space="preserve"> </w:t>
            </w:r>
            <w:proofErr w:type="spellStart"/>
            <w:r>
              <w:t>adres</w:t>
            </w:r>
            <w:proofErr w:type="spellEnd"/>
            <w:r>
              <w:t>/</w:t>
            </w:r>
            <w:proofErr w:type="spellStart"/>
            <w:r>
              <w:t>miejsce</w:t>
            </w:r>
            <w:proofErr w:type="spellEnd"/>
            <w:r>
              <w:t xml:space="preserve"> </w:t>
            </w:r>
            <w:proofErr w:type="spellStart"/>
            <w:r>
              <w:t>prowadzenia</w:t>
            </w:r>
            <w:proofErr w:type="spellEnd"/>
            <w:r>
              <w:t xml:space="preserve"> </w:t>
            </w:r>
            <w:proofErr w:type="spellStart"/>
            <w:r>
              <w:t>działalności</w:t>
            </w:r>
            <w:proofErr w:type="spellEnd"/>
            <w:r>
              <w:t xml:space="preserve"> (</w:t>
            </w:r>
            <w:proofErr w:type="spellStart"/>
            <w:r>
              <w:t>nazwa</w:t>
            </w:r>
            <w:proofErr w:type="spellEnd"/>
            <w:r>
              <w:t xml:space="preserve"> </w:t>
            </w:r>
            <w:proofErr w:type="spellStart"/>
            <w:r>
              <w:t>państwa</w:t>
            </w:r>
            <w:proofErr w:type="spellEnd"/>
            <w:r>
              <w:t xml:space="preserve"> i </w:t>
            </w:r>
            <w:proofErr w:type="spellStart"/>
            <w:r>
              <w:t>miejscowości</w:t>
            </w:r>
            <w:proofErr w:type="spellEnd"/>
            <w:r>
              <w:t xml:space="preserve">) </w:t>
            </w:r>
            <w:proofErr w:type="spellStart"/>
            <w:r>
              <w:t>podmiotu</w:t>
            </w:r>
            <w:proofErr w:type="spellEnd"/>
            <w:r>
              <w:t xml:space="preserve"> </w:t>
            </w:r>
            <w:proofErr w:type="spellStart"/>
            <w:r>
              <w:t>wdrażającego</w:t>
            </w:r>
            <w:proofErr w:type="spellEnd"/>
            <w:r>
              <w:t xml:space="preserve"> instrument </w:t>
            </w:r>
            <w:proofErr w:type="spellStart"/>
            <w:r>
              <w:t>finansowy</w:t>
            </w:r>
            <w:proofErr w:type="spellEnd"/>
          </w:p>
        </w:tc>
        <w:tc>
          <w:tcPr>
            <w:tcW w:w="0" w:type="auto"/>
            <w:shd w:val="clear" w:color="auto" w:fill="auto"/>
          </w:tcPr>
          <w:p w14:paraId="64D86AC3" w14:textId="77777777" w:rsidR="008C5CFA" w:rsidRDefault="00E82A60" w:rsidP="00300A01">
            <w:pPr>
              <w:spacing w:before="0" w:after="0"/>
              <w:jc w:val="left"/>
            </w:pPr>
            <w:proofErr w:type="spellStart"/>
            <w:r>
              <w:t>Polska</w:t>
            </w:r>
            <w:proofErr w:type="spellEnd"/>
            <w:r>
              <w:t>, Warszawa</w:t>
            </w:r>
          </w:p>
        </w:tc>
      </w:tr>
      <w:tr w:rsidR="006B2EC1" w14:paraId="314076AB" w14:textId="77777777" w:rsidTr="0047688D">
        <w:tc>
          <w:tcPr>
            <w:tcW w:w="0" w:type="auto"/>
            <w:shd w:val="clear" w:color="auto" w:fill="auto"/>
          </w:tcPr>
          <w:p w14:paraId="435F7C57" w14:textId="77777777" w:rsidR="008C5CFA" w:rsidRDefault="00E82A60" w:rsidP="00300A01">
            <w:pPr>
              <w:spacing w:before="0" w:after="0"/>
            </w:pPr>
            <w:r>
              <w:t xml:space="preserve">12. </w:t>
            </w:r>
            <w:proofErr w:type="spellStart"/>
            <w:r>
              <w:t>Procedura</w:t>
            </w:r>
            <w:proofErr w:type="spellEnd"/>
            <w:r>
              <w:t xml:space="preserve"> </w:t>
            </w:r>
            <w:proofErr w:type="spellStart"/>
            <w:r>
              <w:t>wyboru</w:t>
            </w:r>
            <w:proofErr w:type="spellEnd"/>
            <w:r>
              <w:t xml:space="preserve"> </w:t>
            </w:r>
            <w:proofErr w:type="spellStart"/>
            <w:r>
              <w:t>podmiotu</w:t>
            </w:r>
            <w:proofErr w:type="spellEnd"/>
            <w:r>
              <w:t xml:space="preserve"> </w:t>
            </w:r>
            <w:proofErr w:type="spellStart"/>
            <w:r>
              <w:t>wdrażającego</w:t>
            </w:r>
            <w:proofErr w:type="spellEnd"/>
            <w:r>
              <w:t xml:space="preserve"> instrument </w:t>
            </w:r>
            <w:proofErr w:type="spellStart"/>
            <w:r>
              <w:t>finansowy</w:t>
            </w:r>
            <w:proofErr w:type="spellEnd"/>
            <w:r>
              <w:t xml:space="preserve">: </w:t>
            </w:r>
            <w:proofErr w:type="spellStart"/>
            <w:r>
              <w:t>udzielenie</w:t>
            </w:r>
            <w:proofErr w:type="spellEnd"/>
            <w:r>
              <w:t xml:space="preserve"> </w:t>
            </w:r>
            <w:proofErr w:type="spellStart"/>
            <w:r>
              <w:t>zamówienia</w:t>
            </w:r>
            <w:proofErr w:type="spellEnd"/>
            <w:r>
              <w:t xml:space="preserve"> </w:t>
            </w:r>
            <w:proofErr w:type="spellStart"/>
            <w:r>
              <w:t>publicznego</w:t>
            </w:r>
            <w:proofErr w:type="spellEnd"/>
            <w:r>
              <w:t xml:space="preserve">; </w:t>
            </w:r>
            <w:proofErr w:type="spellStart"/>
            <w:r>
              <w:t>inna</w:t>
            </w:r>
            <w:proofErr w:type="spellEnd"/>
            <w:r>
              <w:t xml:space="preserve"> </w:t>
            </w:r>
            <w:proofErr w:type="spellStart"/>
            <w:r>
              <w:t>procedura</w:t>
            </w:r>
            <w:proofErr w:type="spellEnd"/>
          </w:p>
        </w:tc>
        <w:tc>
          <w:tcPr>
            <w:tcW w:w="0" w:type="auto"/>
            <w:shd w:val="clear" w:color="auto" w:fill="auto"/>
          </w:tcPr>
          <w:p w14:paraId="4131DEE3" w14:textId="77777777" w:rsidR="008C5CFA" w:rsidRDefault="00E82A60" w:rsidP="00300A01">
            <w:pPr>
              <w:spacing w:before="0" w:after="0"/>
              <w:jc w:val="left"/>
            </w:pPr>
            <w:proofErr w:type="spellStart"/>
            <w:r>
              <w:t>Pozostałe</w:t>
            </w:r>
            <w:proofErr w:type="spellEnd"/>
          </w:p>
        </w:tc>
      </w:tr>
      <w:tr w:rsidR="006B2EC1" w14:paraId="0FD5BC39" w14:textId="77777777" w:rsidTr="0047688D">
        <w:tc>
          <w:tcPr>
            <w:tcW w:w="0" w:type="auto"/>
            <w:shd w:val="clear" w:color="auto" w:fill="auto"/>
          </w:tcPr>
          <w:p w14:paraId="11154D8C" w14:textId="77777777" w:rsidR="008C5CFA" w:rsidRDefault="00E82A60" w:rsidP="00300A01">
            <w:pPr>
              <w:spacing w:before="0" w:after="0"/>
            </w:pPr>
            <w:r>
              <w:t xml:space="preserve">12.1. </w:t>
            </w:r>
            <w:proofErr w:type="spellStart"/>
            <w:r>
              <w:t>Opis</w:t>
            </w:r>
            <w:proofErr w:type="spellEnd"/>
            <w:r>
              <w:t xml:space="preserve"> </w:t>
            </w:r>
            <w:proofErr w:type="spellStart"/>
            <w:r>
              <w:t>innej</w:t>
            </w:r>
            <w:proofErr w:type="spellEnd"/>
            <w:r>
              <w:t xml:space="preserve"> </w:t>
            </w:r>
            <w:proofErr w:type="spellStart"/>
            <w:r>
              <w:t>procedury</w:t>
            </w:r>
            <w:proofErr w:type="spellEnd"/>
            <w:r>
              <w:t xml:space="preserve"> </w:t>
            </w:r>
            <w:proofErr w:type="spellStart"/>
            <w:r>
              <w:t>wyboru</w:t>
            </w:r>
            <w:proofErr w:type="spellEnd"/>
            <w:r>
              <w:t xml:space="preserve"> </w:t>
            </w:r>
            <w:proofErr w:type="spellStart"/>
            <w:r>
              <w:t>podmiotu</w:t>
            </w:r>
            <w:proofErr w:type="spellEnd"/>
            <w:r>
              <w:t xml:space="preserve"> </w:t>
            </w:r>
            <w:proofErr w:type="spellStart"/>
            <w:r>
              <w:t>wdrażającego</w:t>
            </w:r>
            <w:proofErr w:type="spellEnd"/>
            <w:r>
              <w:t xml:space="preserve"> instrument </w:t>
            </w:r>
            <w:proofErr w:type="spellStart"/>
            <w:r>
              <w:t>finansowy</w:t>
            </w:r>
            <w:proofErr w:type="spellEnd"/>
          </w:p>
        </w:tc>
        <w:tc>
          <w:tcPr>
            <w:tcW w:w="0" w:type="auto"/>
            <w:shd w:val="clear" w:color="auto" w:fill="auto"/>
          </w:tcPr>
          <w:p w14:paraId="794CBC03" w14:textId="77777777" w:rsidR="008C5CFA" w:rsidRDefault="00E82A60" w:rsidP="00300A01">
            <w:pPr>
              <w:spacing w:before="0" w:after="0"/>
              <w:jc w:val="left"/>
            </w:pPr>
            <w:proofErr w:type="spellStart"/>
            <w:r>
              <w:t>Wybór</w:t>
            </w:r>
            <w:proofErr w:type="spellEnd"/>
            <w:r>
              <w:t xml:space="preserve"> </w:t>
            </w:r>
            <w:proofErr w:type="spellStart"/>
            <w:r>
              <w:t>podmiotu</w:t>
            </w:r>
            <w:proofErr w:type="spellEnd"/>
            <w:r>
              <w:t xml:space="preserve"> </w:t>
            </w:r>
            <w:proofErr w:type="spellStart"/>
            <w:r>
              <w:t>wdrażającego</w:t>
            </w:r>
            <w:proofErr w:type="spellEnd"/>
            <w:r>
              <w:t xml:space="preserve"> IF w </w:t>
            </w:r>
            <w:proofErr w:type="spellStart"/>
            <w:r>
              <w:t>ramach</w:t>
            </w:r>
            <w:proofErr w:type="spellEnd"/>
            <w:r>
              <w:t xml:space="preserve"> </w:t>
            </w:r>
            <w:proofErr w:type="spellStart"/>
            <w:r>
              <w:t>współpracy</w:t>
            </w:r>
            <w:proofErr w:type="spellEnd"/>
            <w:r>
              <w:t xml:space="preserve"> </w:t>
            </w:r>
            <w:proofErr w:type="spellStart"/>
            <w:r>
              <w:t>publiczno</w:t>
            </w:r>
            <w:proofErr w:type="spellEnd"/>
            <w:r>
              <w:t xml:space="preserve"> - </w:t>
            </w:r>
            <w:proofErr w:type="spellStart"/>
            <w:r>
              <w:t>publicznej</w:t>
            </w:r>
            <w:proofErr w:type="spellEnd"/>
            <w:r>
              <w:t xml:space="preserve"> </w:t>
            </w:r>
            <w:proofErr w:type="spellStart"/>
            <w:r>
              <w:t>zgodnie</w:t>
            </w:r>
            <w:proofErr w:type="spellEnd"/>
            <w:r>
              <w:t xml:space="preserve"> z </w:t>
            </w:r>
            <w:proofErr w:type="spellStart"/>
            <w:r>
              <w:t>obowiązującymi</w:t>
            </w:r>
            <w:proofErr w:type="spellEnd"/>
            <w:r>
              <w:t xml:space="preserve"> </w:t>
            </w:r>
            <w:proofErr w:type="spellStart"/>
            <w:r>
              <w:t>przepisami</w:t>
            </w:r>
            <w:proofErr w:type="spellEnd"/>
            <w:r>
              <w:t xml:space="preserve"> </w:t>
            </w:r>
            <w:proofErr w:type="spellStart"/>
            <w:r>
              <w:t>prawa</w:t>
            </w:r>
            <w:proofErr w:type="spellEnd"/>
            <w:r>
              <w:t xml:space="preserve"> w </w:t>
            </w:r>
            <w:proofErr w:type="spellStart"/>
            <w:r>
              <w:t>tym</w:t>
            </w:r>
            <w:proofErr w:type="spellEnd"/>
            <w:r>
              <w:t xml:space="preserve"> z </w:t>
            </w:r>
            <w:proofErr w:type="spellStart"/>
            <w:r>
              <w:t>zakresu</w:t>
            </w:r>
            <w:proofErr w:type="spellEnd"/>
            <w:r>
              <w:t xml:space="preserve"> </w:t>
            </w:r>
            <w:proofErr w:type="spellStart"/>
            <w:r>
              <w:t>zamówień</w:t>
            </w:r>
            <w:proofErr w:type="spellEnd"/>
            <w:r>
              <w:t xml:space="preserve"> </w:t>
            </w:r>
            <w:proofErr w:type="spellStart"/>
            <w:r>
              <w:t>publicznych</w:t>
            </w:r>
            <w:proofErr w:type="spellEnd"/>
          </w:p>
        </w:tc>
      </w:tr>
      <w:tr w:rsidR="006B2EC1" w14:paraId="26F18B89" w14:textId="77777777" w:rsidTr="0047688D">
        <w:tc>
          <w:tcPr>
            <w:tcW w:w="0" w:type="auto"/>
            <w:shd w:val="clear" w:color="auto" w:fill="auto"/>
          </w:tcPr>
          <w:p w14:paraId="15A29760" w14:textId="77777777" w:rsidR="008C5CFA" w:rsidRDefault="00E82A60" w:rsidP="00300A01">
            <w:pPr>
              <w:spacing w:before="0" w:after="0"/>
            </w:pPr>
            <w:r>
              <w:t xml:space="preserve">13. Data </w:t>
            </w:r>
            <w:proofErr w:type="spellStart"/>
            <w:r>
              <w:t>podpisania</w:t>
            </w:r>
            <w:proofErr w:type="spellEnd"/>
            <w:r>
              <w:t xml:space="preserve"> </w:t>
            </w:r>
            <w:proofErr w:type="spellStart"/>
            <w:r>
              <w:t>umowy</w:t>
            </w:r>
            <w:proofErr w:type="spellEnd"/>
            <w:r>
              <w:t xml:space="preserve"> o </w:t>
            </w:r>
            <w:proofErr w:type="spellStart"/>
            <w:r>
              <w:t>finansowaniu</w:t>
            </w:r>
            <w:proofErr w:type="spellEnd"/>
            <w:r>
              <w:t xml:space="preserve"> z </w:t>
            </w:r>
            <w:proofErr w:type="spellStart"/>
            <w:r>
              <w:t>podmiotem</w:t>
            </w:r>
            <w:proofErr w:type="spellEnd"/>
            <w:r>
              <w:t xml:space="preserve"> </w:t>
            </w:r>
            <w:proofErr w:type="spellStart"/>
            <w:r>
              <w:t>wdrażającym</w:t>
            </w:r>
            <w:proofErr w:type="spellEnd"/>
            <w:r>
              <w:t xml:space="preserve"> instrument </w:t>
            </w:r>
            <w:proofErr w:type="spellStart"/>
            <w:r>
              <w:t>finansowy</w:t>
            </w:r>
            <w:proofErr w:type="spellEnd"/>
          </w:p>
        </w:tc>
        <w:tc>
          <w:tcPr>
            <w:tcW w:w="0" w:type="auto"/>
            <w:shd w:val="clear" w:color="auto" w:fill="auto"/>
          </w:tcPr>
          <w:p w14:paraId="1995E7FD" w14:textId="77777777" w:rsidR="008C5CFA" w:rsidRDefault="00E82A60" w:rsidP="00300A01">
            <w:pPr>
              <w:spacing w:before="0" w:after="0"/>
              <w:jc w:val="right"/>
            </w:pPr>
            <w:r>
              <w:t>2017-06-30</w:t>
            </w:r>
          </w:p>
        </w:tc>
      </w:tr>
      <w:tr w:rsidR="006B2EC1" w14:paraId="03941904" w14:textId="77777777" w:rsidTr="0047688D">
        <w:tc>
          <w:tcPr>
            <w:tcW w:w="0" w:type="auto"/>
            <w:gridSpan w:val="2"/>
            <w:shd w:val="clear" w:color="auto" w:fill="auto"/>
          </w:tcPr>
          <w:p w14:paraId="1B82CA35" w14:textId="77777777" w:rsidR="008C5CFA" w:rsidRDefault="00E82A60" w:rsidP="00300A01">
            <w:pPr>
              <w:spacing w:before="0" w:after="0"/>
            </w:pPr>
            <w:r>
              <w:rPr>
                <w:b/>
              </w:rPr>
              <w:t xml:space="preserve">IV. </w:t>
            </w:r>
            <w:proofErr w:type="spellStart"/>
            <w:r>
              <w:rPr>
                <w:b/>
              </w:rPr>
              <w:t>Łączna</w:t>
            </w:r>
            <w:proofErr w:type="spellEnd"/>
            <w:r>
              <w:rPr>
                <w:b/>
              </w:rPr>
              <w:t xml:space="preserve"> </w:t>
            </w:r>
            <w:proofErr w:type="spellStart"/>
            <w:r>
              <w:rPr>
                <w:b/>
              </w:rPr>
              <w:t>kwota</w:t>
            </w:r>
            <w:proofErr w:type="spellEnd"/>
            <w:r>
              <w:rPr>
                <w:b/>
              </w:rPr>
              <w:t xml:space="preserve"> </w:t>
            </w:r>
            <w:proofErr w:type="spellStart"/>
            <w:r>
              <w:rPr>
                <w:b/>
              </w:rPr>
              <w:t>wkładów</w:t>
            </w:r>
            <w:proofErr w:type="spellEnd"/>
            <w:r>
              <w:rPr>
                <w:b/>
              </w:rPr>
              <w:t xml:space="preserve"> z </w:t>
            </w:r>
            <w:proofErr w:type="spellStart"/>
            <w:r>
              <w:rPr>
                <w:b/>
              </w:rPr>
              <w:t>programu</w:t>
            </w:r>
            <w:proofErr w:type="spellEnd"/>
            <w:r>
              <w:rPr>
                <w:b/>
              </w:rPr>
              <w:t xml:space="preserve">, w </w:t>
            </w:r>
            <w:proofErr w:type="spellStart"/>
            <w:r>
              <w:rPr>
                <w:b/>
              </w:rPr>
              <w:t>podziale</w:t>
            </w:r>
            <w:proofErr w:type="spellEnd"/>
            <w:r>
              <w:rPr>
                <w:b/>
              </w:rPr>
              <w:t xml:space="preserve"> </w:t>
            </w:r>
            <w:proofErr w:type="spellStart"/>
            <w:r>
              <w:rPr>
                <w:b/>
              </w:rPr>
              <w:t>na</w:t>
            </w:r>
            <w:proofErr w:type="spellEnd"/>
            <w:r>
              <w:rPr>
                <w:b/>
              </w:rPr>
              <w:t xml:space="preserve"> </w:t>
            </w:r>
            <w:proofErr w:type="spellStart"/>
            <w:r>
              <w:rPr>
                <w:b/>
              </w:rPr>
              <w:t>priorytety</w:t>
            </w:r>
            <w:proofErr w:type="spellEnd"/>
            <w:r>
              <w:rPr>
                <w:b/>
              </w:rPr>
              <w:t xml:space="preserve"> </w:t>
            </w:r>
            <w:proofErr w:type="spellStart"/>
            <w:r>
              <w:rPr>
                <w:b/>
              </w:rPr>
              <w:t>lub</w:t>
            </w:r>
            <w:proofErr w:type="spellEnd"/>
            <w:r>
              <w:rPr>
                <w:b/>
              </w:rPr>
              <w:t xml:space="preserve"> </w:t>
            </w:r>
            <w:proofErr w:type="spellStart"/>
            <w:r>
              <w:rPr>
                <w:b/>
              </w:rPr>
              <w:t>środki</w:t>
            </w:r>
            <w:proofErr w:type="spellEnd"/>
            <w:r>
              <w:rPr>
                <w:b/>
              </w:rPr>
              <w:t xml:space="preserve">, </w:t>
            </w:r>
            <w:proofErr w:type="spellStart"/>
            <w:r>
              <w:rPr>
                <w:b/>
              </w:rPr>
              <w:t>wypłacona</w:t>
            </w:r>
            <w:proofErr w:type="spellEnd"/>
            <w:r>
              <w:rPr>
                <w:b/>
              </w:rPr>
              <w:t xml:space="preserve"> </w:t>
            </w:r>
            <w:proofErr w:type="spellStart"/>
            <w:r>
              <w:rPr>
                <w:b/>
              </w:rPr>
              <w:t>na</w:t>
            </w:r>
            <w:proofErr w:type="spellEnd"/>
            <w:r>
              <w:rPr>
                <w:b/>
              </w:rPr>
              <w:t xml:space="preserve"> </w:t>
            </w:r>
            <w:proofErr w:type="spellStart"/>
            <w:r>
              <w:rPr>
                <w:b/>
              </w:rPr>
              <w:t>rzecz</w:t>
            </w:r>
            <w:proofErr w:type="spellEnd"/>
            <w:r>
              <w:rPr>
                <w:b/>
              </w:rPr>
              <w:t xml:space="preserve"> </w:t>
            </w:r>
            <w:proofErr w:type="spellStart"/>
            <w:r>
              <w:rPr>
                <w:b/>
              </w:rPr>
              <w:t>instrumentu</w:t>
            </w:r>
            <w:proofErr w:type="spellEnd"/>
            <w:r>
              <w:rPr>
                <w:b/>
              </w:rPr>
              <w:t xml:space="preserve"> </w:t>
            </w:r>
            <w:proofErr w:type="spellStart"/>
            <w:r>
              <w:rPr>
                <w:b/>
              </w:rPr>
              <w:t>finansowego</w:t>
            </w:r>
            <w:proofErr w:type="spellEnd"/>
            <w:r>
              <w:rPr>
                <w:b/>
              </w:rPr>
              <w:t xml:space="preserve"> </w:t>
            </w:r>
            <w:proofErr w:type="spellStart"/>
            <w:r>
              <w:rPr>
                <w:b/>
              </w:rPr>
              <w:t>oraz</w:t>
            </w:r>
            <w:proofErr w:type="spellEnd"/>
            <w:r>
              <w:rPr>
                <w:b/>
              </w:rPr>
              <w:t xml:space="preserve"> </w:t>
            </w:r>
            <w:proofErr w:type="spellStart"/>
            <w:r>
              <w:rPr>
                <w:b/>
              </w:rPr>
              <w:t>poniesione</w:t>
            </w:r>
            <w:proofErr w:type="spellEnd"/>
            <w:r>
              <w:rPr>
                <w:b/>
              </w:rPr>
              <w:t xml:space="preserve"> </w:t>
            </w:r>
            <w:proofErr w:type="spellStart"/>
            <w:r>
              <w:rPr>
                <w:b/>
              </w:rPr>
              <w:t>koszty</w:t>
            </w:r>
            <w:proofErr w:type="spellEnd"/>
            <w:r>
              <w:rPr>
                <w:b/>
              </w:rPr>
              <w:t xml:space="preserve"> </w:t>
            </w:r>
            <w:proofErr w:type="spellStart"/>
            <w:r>
              <w:rPr>
                <w:b/>
              </w:rPr>
              <w:t>zarządzania</w:t>
            </w:r>
            <w:proofErr w:type="spellEnd"/>
            <w:r>
              <w:rPr>
                <w:b/>
              </w:rPr>
              <w:t xml:space="preserve"> </w:t>
            </w:r>
            <w:proofErr w:type="spellStart"/>
            <w:r>
              <w:rPr>
                <w:b/>
              </w:rPr>
              <w:t>lub</w:t>
            </w:r>
            <w:proofErr w:type="spellEnd"/>
            <w:r>
              <w:rPr>
                <w:b/>
              </w:rPr>
              <w:t xml:space="preserve"> </w:t>
            </w:r>
            <w:proofErr w:type="spellStart"/>
            <w:r>
              <w:rPr>
                <w:b/>
              </w:rPr>
              <w:t>uiszczone</w:t>
            </w:r>
            <w:proofErr w:type="spellEnd"/>
            <w:r>
              <w:rPr>
                <w:b/>
              </w:rPr>
              <w:t xml:space="preserve"> </w:t>
            </w:r>
            <w:proofErr w:type="spellStart"/>
            <w:r>
              <w:rPr>
                <w:b/>
              </w:rPr>
              <w:t>opłaty</w:t>
            </w:r>
            <w:proofErr w:type="spellEnd"/>
            <w:r>
              <w:rPr>
                <w:b/>
              </w:rPr>
              <w:t xml:space="preserve"> za </w:t>
            </w:r>
            <w:proofErr w:type="spellStart"/>
            <w:r>
              <w:rPr>
                <w:b/>
              </w:rPr>
              <w:t>zarządzanie</w:t>
            </w:r>
            <w:proofErr w:type="spellEnd"/>
            <w:r>
              <w:rPr>
                <w:b/>
              </w:rPr>
              <w:t xml:space="preserve"> (art. 46 </w:t>
            </w:r>
            <w:proofErr w:type="spellStart"/>
            <w:r>
              <w:rPr>
                <w:b/>
              </w:rPr>
              <w:t>ust</w:t>
            </w:r>
            <w:proofErr w:type="spellEnd"/>
            <w:r>
              <w:rPr>
                <w:b/>
              </w:rPr>
              <w:t xml:space="preserve">. 2 lit. d) i e) </w:t>
            </w:r>
            <w:proofErr w:type="spellStart"/>
            <w:r>
              <w:rPr>
                <w:b/>
              </w:rPr>
              <w:t>rozporządzenia</w:t>
            </w:r>
            <w:proofErr w:type="spellEnd"/>
            <w:r>
              <w:rPr>
                <w:b/>
              </w:rPr>
              <w:t xml:space="preserve"> (UE) nr 1303/2013)</w:t>
            </w:r>
          </w:p>
        </w:tc>
      </w:tr>
      <w:tr w:rsidR="006B2EC1" w14:paraId="0230E6BB" w14:textId="77777777" w:rsidTr="0047688D">
        <w:tc>
          <w:tcPr>
            <w:tcW w:w="0" w:type="auto"/>
            <w:shd w:val="clear" w:color="auto" w:fill="auto"/>
          </w:tcPr>
          <w:p w14:paraId="6390660C" w14:textId="77777777" w:rsidR="008C5CFA" w:rsidRDefault="00E82A60" w:rsidP="00300A01">
            <w:pPr>
              <w:spacing w:before="0" w:after="0"/>
            </w:pPr>
            <w:r>
              <w:t xml:space="preserve">14. </w:t>
            </w:r>
            <w:proofErr w:type="spellStart"/>
            <w:r>
              <w:t>Łączna</w:t>
            </w:r>
            <w:proofErr w:type="spellEnd"/>
            <w:r>
              <w:t xml:space="preserve"> </w:t>
            </w:r>
            <w:proofErr w:type="spellStart"/>
            <w:r>
              <w:t>kwota</w:t>
            </w:r>
            <w:proofErr w:type="spellEnd"/>
            <w:r>
              <w:t xml:space="preserve"> </w:t>
            </w:r>
            <w:proofErr w:type="spellStart"/>
            <w:r>
              <w:t>wkładów</w:t>
            </w:r>
            <w:proofErr w:type="spellEnd"/>
            <w:r>
              <w:t xml:space="preserve"> z </w:t>
            </w:r>
            <w:proofErr w:type="spellStart"/>
            <w:r>
              <w:t>programu</w:t>
            </w:r>
            <w:proofErr w:type="spellEnd"/>
            <w:r>
              <w:t xml:space="preserve"> </w:t>
            </w:r>
            <w:proofErr w:type="spellStart"/>
            <w:r>
              <w:t>zaangażowanych</w:t>
            </w:r>
            <w:proofErr w:type="spellEnd"/>
            <w:r>
              <w:t xml:space="preserve"> w </w:t>
            </w:r>
            <w:proofErr w:type="spellStart"/>
            <w:r>
              <w:t>ramach</w:t>
            </w:r>
            <w:proofErr w:type="spellEnd"/>
            <w:r>
              <w:t xml:space="preserve"> </w:t>
            </w:r>
            <w:proofErr w:type="spellStart"/>
            <w:r>
              <w:t>umowy</w:t>
            </w:r>
            <w:proofErr w:type="spellEnd"/>
            <w:r>
              <w:t xml:space="preserve"> o </w:t>
            </w:r>
            <w:proofErr w:type="spellStart"/>
            <w:r>
              <w:t>finansowaniu</w:t>
            </w:r>
            <w:proofErr w:type="spellEnd"/>
            <w:r>
              <w:t xml:space="preserve"> (w EUR)</w:t>
            </w:r>
          </w:p>
        </w:tc>
        <w:tc>
          <w:tcPr>
            <w:tcW w:w="0" w:type="auto"/>
            <w:shd w:val="clear" w:color="auto" w:fill="auto"/>
          </w:tcPr>
          <w:p w14:paraId="35A7D205" w14:textId="77777777" w:rsidR="008C5CFA" w:rsidRDefault="00E82A60" w:rsidP="00300A01">
            <w:pPr>
              <w:spacing w:before="0" w:after="0"/>
              <w:jc w:val="right"/>
            </w:pPr>
            <w:r>
              <w:t>9 376 427,73</w:t>
            </w:r>
          </w:p>
        </w:tc>
      </w:tr>
      <w:tr w:rsidR="006B2EC1" w14:paraId="1DADDD33" w14:textId="77777777" w:rsidTr="0047688D">
        <w:tc>
          <w:tcPr>
            <w:tcW w:w="0" w:type="auto"/>
            <w:shd w:val="clear" w:color="auto" w:fill="auto"/>
          </w:tcPr>
          <w:p w14:paraId="29105067" w14:textId="77777777" w:rsidR="008C5CFA" w:rsidRDefault="00E82A60" w:rsidP="00300A01">
            <w:pPr>
              <w:spacing w:before="0" w:after="0"/>
            </w:pPr>
            <w:r>
              <w:t xml:space="preserve">14.1. w </w:t>
            </w:r>
            <w:proofErr w:type="spellStart"/>
            <w:r>
              <w:t>tym</w:t>
            </w:r>
            <w:proofErr w:type="spellEnd"/>
            <w:r>
              <w:t xml:space="preserve"> </w:t>
            </w:r>
            <w:proofErr w:type="spellStart"/>
            <w:r>
              <w:t>wkłady</w:t>
            </w:r>
            <w:proofErr w:type="spellEnd"/>
            <w:r>
              <w:t xml:space="preserve"> z EFSI (w EUR)</w:t>
            </w:r>
          </w:p>
        </w:tc>
        <w:tc>
          <w:tcPr>
            <w:tcW w:w="0" w:type="auto"/>
            <w:shd w:val="clear" w:color="auto" w:fill="auto"/>
          </w:tcPr>
          <w:p w14:paraId="71E9494C" w14:textId="77777777" w:rsidR="008C5CFA" w:rsidRDefault="00E82A60" w:rsidP="00300A01">
            <w:pPr>
              <w:spacing w:before="0" w:after="0"/>
              <w:jc w:val="right"/>
            </w:pPr>
            <w:r>
              <w:t>7 969 963,54</w:t>
            </w:r>
          </w:p>
        </w:tc>
      </w:tr>
      <w:tr w:rsidR="006B2EC1" w14:paraId="6CB0B83B" w14:textId="77777777" w:rsidTr="0047688D">
        <w:tc>
          <w:tcPr>
            <w:tcW w:w="0" w:type="auto"/>
            <w:shd w:val="clear" w:color="auto" w:fill="auto"/>
          </w:tcPr>
          <w:p w14:paraId="320BB948" w14:textId="77777777" w:rsidR="008C5CFA" w:rsidRDefault="00E82A60" w:rsidP="00300A01">
            <w:pPr>
              <w:spacing w:before="0" w:after="0"/>
            </w:pPr>
            <w:r>
              <w:t xml:space="preserve">14.1.1. w </w:t>
            </w:r>
            <w:proofErr w:type="spellStart"/>
            <w:r>
              <w:t>tym</w:t>
            </w:r>
            <w:proofErr w:type="spellEnd"/>
            <w:r>
              <w:t xml:space="preserve"> EFRR (w EUR) (</w:t>
            </w:r>
            <w:proofErr w:type="spellStart"/>
            <w:r>
              <w:t>fakultatywnie</w:t>
            </w:r>
            <w:proofErr w:type="spellEnd"/>
            <w:r>
              <w:t>)</w:t>
            </w:r>
          </w:p>
        </w:tc>
        <w:tc>
          <w:tcPr>
            <w:tcW w:w="0" w:type="auto"/>
            <w:shd w:val="clear" w:color="auto" w:fill="auto"/>
          </w:tcPr>
          <w:p w14:paraId="06CFCB23" w14:textId="77777777" w:rsidR="008C5CFA" w:rsidRDefault="008C5CFA" w:rsidP="00300A01">
            <w:pPr>
              <w:spacing w:before="0" w:after="0"/>
              <w:jc w:val="right"/>
            </w:pPr>
          </w:p>
        </w:tc>
      </w:tr>
      <w:tr w:rsidR="006B2EC1" w14:paraId="0D776C9F" w14:textId="77777777" w:rsidTr="0047688D">
        <w:tc>
          <w:tcPr>
            <w:tcW w:w="0" w:type="auto"/>
            <w:shd w:val="clear" w:color="auto" w:fill="auto"/>
          </w:tcPr>
          <w:p w14:paraId="5298AA51" w14:textId="77777777" w:rsidR="008C5CFA" w:rsidRDefault="00E82A60" w:rsidP="00300A01">
            <w:pPr>
              <w:spacing w:before="0" w:after="0"/>
            </w:pPr>
            <w:r>
              <w:t xml:space="preserve">14.1.2. w </w:t>
            </w:r>
            <w:proofErr w:type="spellStart"/>
            <w:r>
              <w:t>tym</w:t>
            </w:r>
            <w:proofErr w:type="spellEnd"/>
            <w:r>
              <w:t xml:space="preserve"> </w:t>
            </w:r>
            <w:proofErr w:type="spellStart"/>
            <w:r>
              <w:t>Fundusz</w:t>
            </w:r>
            <w:proofErr w:type="spellEnd"/>
            <w:r>
              <w:t xml:space="preserve"> </w:t>
            </w:r>
            <w:proofErr w:type="spellStart"/>
            <w:r>
              <w:t>Spójności</w:t>
            </w:r>
            <w:proofErr w:type="spellEnd"/>
            <w:r>
              <w:t xml:space="preserve"> (w EUR) (</w:t>
            </w:r>
            <w:proofErr w:type="spellStart"/>
            <w:r>
              <w:t>fakultatywnie</w:t>
            </w:r>
            <w:proofErr w:type="spellEnd"/>
            <w:r>
              <w:t>)</w:t>
            </w:r>
          </w:p>
        </w:tc>
        <w:tc>
          <w:tcPr>
            <w:tcW w:w="0" w:type="auto"/>
            <w:shd w:val="clear" w:color="auto" w:fill="auto"/>
          </w:tcPr>
          <w:p w14:paraId="45CABB12" w14:textId="77777777" w:rsidR="008C5CFA" w:rsidRDefault="008C5CFA" w:rsidP="00300A01">
            <w:pPr>
              <w:spacing w:before="0" w:after="0"/>
              <w:jc w:val="right"/>
            </w:pPr>
          </w:p>
        </w:tc>
      </w:tr>
      <w:tr w:rsidR="006B2EC1" w14:paraId="251FB48D" w14:textId="77777777" w:rsidTr="0047688D">
        <w:tc>
          <w:tcPr>
            <w:tcW w:w="0" w:type="auto"/>
            <w:shd w:val="clear" w:color="auto" w:fill="auto"/>
          </w:tcPr>
          <w:p w14:paraId="398EC363" w14:textId="77777777" w:rsidR="008C5CFA" w:rsidRDefault="00E82A60" w:rsidP="00300A01">
            <w:pPr>
              <w:spacing w:before="0" w:after="0"/>
            </w:pPr>
            <w:r>
              <w:t xml:space="preserve">14.1.3. w </w:t>
            </w:r>
            <w:proofErr w:type="spellStart"/>
            <w:r>
              <w:t>tym</w:t>
            </w:r>
            <w:proofErr w:type="spellEnd"/>
            <w:r>
              <w:t xml:space="preserve"> EFS (w EUR) (</w:t>
            </w:r>
            <w:proofErr w:type="spellStart"/>
            <w:r>
              <w:t>fakultatywnie</w:t>
            </w:r>
            <w:proofErr w:type="spellEnd"/>
            <w:r>
              <w:t>)</w:t>
            </w:r>
          </w:p>
        </w:tc>
        <w:tc>
          <w:tcPr>
            <w:tcW w:w="0" w:type="auto"/>
            <w:shd w:val="clear" w:color="auto" w:fill="auto"/>
          </w:tcPr>
          <w:p w14:paraId="34EA8C93" w14:textId="77777777" w:rsidR="008C5CFA" w:rsidRDefault="00E82A60" w:rsidP="00300A01">
            <w:pPr>
              <w:spacing w:before="0" w:after="0"/>
              <w:jc w:val="right"/>
            </w:pPr>
            <w:r>
              <w:t>7 969 963,54</w:t>
            </w:r>
          </w:p>
        </w:tc>
      </w:tr>
      <w:tr w:rsidR="006B2EC1" w14:paraId="3F2A064A" w14:textId="77777777" w:rsidTr="0047688D">
        <w:tc>
          <w:tcPr>
            <w:tcW w:w="0" w:type="auto"/>
            <w:shd w:val="clear" w:color="auto" w:fill="auto"/>
          </w:tcPr>
          <w:p w14:paraId="4C5E5432" w14:textId="77777777" w:rsidR="008C5CFA" w:rsidRDefault="00E82A60" w:rsidP="00300A01">
            <w:pPr>
              <w:spacing w:before="0" w:after="0"/>
            </w:pPr>
            <w:r>
              <w:t xml:space="preserve">14.1.4. w </w:t>
            </w:r>
            <w:proofErr w:type="spellStart"/>
            <w:r>
              <w:t>tym</w:t>
            </w:r>
            <w:proofErr w:type="spellEnd"/>
            <w:r>
              <w:t xml:space="preserve"> EFRROW (w EUR) (</w:t>
            </w:r>
            <w:proofErr w:type="spellStart"/>
            <w:r>
              <w:t>fakultatywnie</w:t>
            </w:r>
            <w:proofErr w:type="spellEnd"/>
            <w:r>
              <w:t>)</w:t>
            </w:r>
          </w:p>
        </w:tc>
        <w:tc>
          <w:tcPr>
            <w:tcW w:w="0" w:type="auto"/>
            <w:shd w:val="clear" w:color="auto" w:fill="auto"/>
          </w:tcPr>
          <w:p w14:paraId="59D0ED3C" w14:textId="77777777" w:rsidR="008C5CFA" w:rsidRDefault="008C5CFA" w:rsidP="00300A01">
            <w:pPr>
              <w:spacing w:before="0" w:after="0"/>
              <w:jc w:val="right"/>
            </w:pPr>
          </w:p>
        </w:tc>
      </w:tr>
      <w:tr w:rsidR="006B2EC1" w14:paraId="097DD163" w14:textId="77777777" w:rsidTr="0047688D">
        <w:tc>
          <w:tcPr>
            <w:tcW w:w="0" w:type="auto"/>
            <w:shd w:val="clear" w:color="auto" w:fill="auto"/>
          </w:tcPr>
          <w:p w14:paraId="4A402983" w14:textId="77777777" w:rsidR="008C5CFA" w:rsidRDefault="00E82A60" w:rsidP="00300A01">
            <w:pPr>
              <w:spacing w:before="0" w:after="0"/>
            </w:pPr>
            <w:r>
              <w:t xml:space="preserve">14.1.5. w </w:t>
            </w:r>
            <w:proofErr w:type="spellStart"/>
            <w:r>
              <w:t>tym</w:t>
            </w:r>
            <w:proofErr w:type="spellEnd"/>
            <w:r>
              <w:t xml:space="preserve"> EFMR (w EUR) (</w:t>
            </w:r>
            <w:proofErr w:type="spellStart"/>
            <w:r>
              <w:t>fakultatywnie</w:t>
            </w:r>
            <w:proofErr w:type="spellEnd"/>
            <w:r>
              <w:t>)</w:t>
            </w:r>
          </w:p>
        </w:tc>
        <w:tc>
          <w:tcPr>
            <w:tcW w:w="0" w:type="auto"/>
            <w:shd w:val="clear" w:color="auto" w:fill="auto"/>
          </w:tcPr>
          <w:p w14:paraId="1A855E42" w14:textId="77777777" w:rsidR="008C5CFA" w:rsidRDefault="008C5CFA" w:rsidP="00300A01">
            <w:pPr>
              <w:spacing w:before="0" w:after="0"/>
              <w:jc w:val="right"/>
            </w:pPr>
          </w:p>
        </w:tc>
      </w:tr>
      <w:tr w:rsidR="006B2EC1" w14:paraId="458BE4CD" w14:textId="77777777" w:rsidTr="0047688D">
        <w:tc>
          <w:tcPr>
            <w:tcW w:w="0" w:type="auto"/>
            <w:shd w:val="clear" w:color="auto" w:fill="auto"/>
          </w:tcPr>
          <w:p w14:paraId="3AD67A6A" w14:textId="77777777" w:rsidR="008C5CFA" w:rsidRDefault="00E82A60" w:rsidP="00300A01">
            <w:pPr>
              <w:spacing w:before="0" w:after="0"/>
            </w:pPr>
            <w:r>
              <w:t xml:space="preserve">15. </w:t>
            </w:r>
            <w:proofErr w:type="spellStart"/>
            <w:r>
              <w:t>Łączna</w:t>
            </w:r>
            <w:proofErr w:type="spellEnd"/>
            <w:r>
              <w:t xml:space="preserve"> </w:t>
            </w:r>
            <w:proofErr w:type="spellStart"/>
            <w:r>
              <w:t>kwota</w:t>
            </w:r>
            <w:proofErr w:type="spellEnd"/>
            <w:r>
              <w:t xml:space="preserve"> </w:t>
            </w:r>
            <w:proofErr w:type="spellStart"/>
            <w:r>
              <w:t>wkładów</w:t>
            </w:r>
            <w:proofErr w:type="spellEnd"/>
            <w:r>
              <w:t xml:space="preserve"> z </w:t>
            </w:r>
            <w:proofErr w:type="spellStart"/>
            <w:r>
              <w:t>programu</w:t>
            </w:r>
            <w:proofErr w:type="spellEnd"/>
            <w:r>
              <w:t xml:space="preserve"> </w:t>
            </w:r>
            <w:proofErr w:type="spellStart"/>
            <w:r>
              <w:t>wypłaconych</w:t>
            </w:r>
            <w:proofErr w:type="spellEnd"/>
            <w:r>
              <w:t xml:space="preserve"> </w:t>
            </w:r>
            <w:proofErr w:type="spellStart"/>
            <w:r>
              <w:t>na</w:t>
            </w:r>
            <w:proofErr w:type="spellEnd"/>
            <w:r>
              <w:t xml:space="preserve"> </w:t>
            </w:r>
            <w:proofErr w:type="spellStart"/>
            <w:r>
              <w:t>rzecz</w:t>
            </w:r>
            <w:proofErr w:type="spellEnd"/>
            <w:r>
              <w:t xml:space="preserve"> </w:t>
            </w:r>
            <w:proofErr w:type="spellStart"/>
            <w:r>
              <w:t>instrumentu</w:t>
            </w:r>
            <w:proofErr w:type="spellEnd"/>
            <w:r>
              <w:t xml:space="preserve"> </w:t>
            </w:r>
            <w:proofErr w:type="spellStart"/>
            <w:r>
              <w:t>finansowego</w:t>
            </w:r>
            <w:proofErr w:type="spellEnd"/>
            <w:r>
              <w:t xml:space="preserve"> (w EUR)</w:t>
            </w:r>
          </w:p>
        </w:tc>
        <w:tc>
          <w:tcPr>
            <w:tcW w:w="0" w:type="auto"/>
            <w:shd w:val="clear" w:color="auto" w:fill="auto"/>
          </w:tcPr>
          <w:p w14:paraId="5122F7DE" w14:textId="77777777" w:rsidR="008C5CFA" w:rsidRDefault="00E82A60" w:rsidP="00300A01">
            <w:pPr>
              <w:spacing w:before="0" w:after="0"/>
              <w:jc w:val="right"/>
            </w:pPr>
            <w:r>
              <w:t>4 334 011,60</w:t>
            </w:r>
          </w:p>
        </w:tc>
      </w:tr>
      <w:tr w:rsidR="006B2EC1" w14:paraId="03DC71AA" w14:textId="77777777" w:rsidTr="0047688D">
        <w:tc>
          <w:tcPr>
            <w:tcW w:w="0" w:type="auto"/>
            <w:shd w:val="clear" w:color="auto" w:fill="auto"/>
          </w:tcPr>
          <w:p w14:paraId="22D56E8E" w14:textId="77777777" w:rsidR="008C5CFA" w:rsidRDefault="00E82A60" w:rsidP="00300A01">
            <w:pPr>
              <w:spacing w:before="0" w:after="0"/>
            </w:pPr>
            <w:r>
              <w:t xml:space="preserve">15.1. w </w:t>
            </w:r>
            <w:proofErr w:type="spellStart"/>
            <w:r>
              <w:t>tym</w:t>
            </w:r>
            <w:proofErr w:type="spellEnd"/>
            <w:r>
              <w:t xml:space="preserve"> </w:t>
            </w:r>
            <w:proofErr w:type="spellStart"/>
            <w:r>
              <w:t>kwoty</w:t>
            </w:r>
            <w:proofErr w:type="spellEnd"/>
            <w:r>
              <w:t xml:space="preserve"> </w:t>
            </w:r>
            <w:proofErr w:type="spellStart"/>
            <w:r>
              <w:t>wkładów</w:t>
            </w:r>
            <w:proofErr w:type="spellEnd"/>
            <w:r>
              <w:t xml:space="preserve"> z EFSI (w EUR)</w:t>
            </w:r>
          </w:p>
        </w:tc>
        <w:tc>
          <w:tcPr>
            <w:tcW w:w="0" w:type="auto"/>
            <w:shd w:val="clear" w:color="auto" w:fill="auto"/>
          </w:tcPr>
          <w:p w14:paraId="70FF0E81" w14:textId="77777777" w:rsidR="008C5CFA" w:rsidRDefault="00E82A60" w:rsidP="00300A01">
            <w:pPr>
              <w:spacing w:before="0" w:after="0"/>
              <w:jc w:val="right"/>
            </w:pPr>
            <w:r>
              <w:t>4 011 591,95</w:t>
            </w:r>
          </w:p>
        </w:tc>
      </w:tr>
      <w:tr w:rsidR="006B2EC1" w14:paraId="38A596AB" w14:textId="77777777" w:rsidTr="0047688D">
        <w:tc>
          <w:tcPr>
            <w:tcW w:w="0" w:type="auto"/>
            <w:shd w:val="clear" w:color="auto" w:fill="auto"/>
          </w:tcPr>
          <w:p w14:paraId="3B01318B" w14:textId="77777777" w:rsidR="008C5CFA" w:rsidRDefault="00E82A60" w:rsidP="00300A01">
            <w:pPr>
              <w:spacing w:before="0" w:after="0"/>
            </w:pPr>
            <w:r>
              <w:t xml:space="preserve">15.1.1. w </w:t>
            </w:r>
            <w:proofErr w:type="spellStart"/>
            <w:r>
              <w:t>tym</w:t>
            </w:r>
            <w:proofErr w:type="spellEnd"/>
            <w:r>
              <w:t xml:space="preserve"> EFRR (w EUR)</w:t>
            </w:r>
          </w:p>
        </w:tc>
        <w:tc>
          <w:tcPr>
            <w:tcW w:w="0" w:type="auto"/>
            <w:shd w:val="clear" w:color="auto" w:fill="auto"/>
          </w:tcPr>
          <w:p w14:paraId="37D67079" w14:textId="77777777" w:rsidR="008C5CFA" w:rsidRDefault="008C5CFA" w:rsidP="00300A01">
            <w:pPr>
              <w:spacing w:before="0" w:after="0"/>
              <w:jc w:val="right"/>
            </w:pPr>
          </w:p>
        </w:tc>
      </w:tr>
      <w:tr w:rsidR="006B2EC1" w14:paraId="66B49D67" w14:textId="77777777" w:rsidTr="0047688D">
        <w:tc>
          <w:tcPr>
            <w:tcW w:w="0" w:type="auto"/>
            <w:shd w:val="clear" w:color="auto" w:fill="auto"/>
          </w:tcPr>
          <w:p w14:paraId="4391E740" w14:textId="77777777" w:rsidR="008C5CFA" w:rsidRDefault="00E82A60" w:rsidP="00300A01">
            <w:pPr>
              <w:spacing w:before="0" w:after="0"/>
            </w:pPr>
            <w:r>
              <w:t xml:space="preserve">15.1.2. w </w:t>
            </w:r>
            <w:proofErr w:type="spellStart"/>
            <w:r>
              <w:t>tym</w:t>
            </w:r>
            <w:proofErr w:type="spellEnd"/>
            <w:r>
              <w:t xml:space="preserve"> </w:t>
            </w:r>
            <w:proofErr w:type="spellStart"/>
            <w:r>
              <w:t>Fundusz</w:t>
            </w:r>
            <w:proofErr w:type="spellEnd"/>
            <w:r>
              <w:t xml:space="preserve"> </w:t>
            </w:r>
            <w:proofErr w:type="spellStart"/>
            <w:r>
              <w:t>Spójności</w:t>
            </w:r>
            <w:proofErr w:type="spellEnd"/>
            <w:r>
              <w:t xml:space="preserve"> (w EUR)</w:t>
            </w:r>
          </w:p>
        </w:tc>
        <w:tc>
          <w:tcPr>
            <w:tcW w:w="0" w:type="auto"/>
            <w:shd w:val="clear" w:color="auto" w:fill="auto"/>
          </w:tcPr>
          <w:p w14:paraId="4F6166E1" w14:textId="77777777" w:rsidR="008C5CFA" w:rsidRDefault="008C5CFA" w:rsidP="00300A01">
            <w:pPr>
              <w:spacing w:before="0" w:after="0"/>
              <w:jc w:val="right"/>
            </w:pPr>
          </w:p>
        </w:tc>
      </w:tr>
      <w:tr w:rsidR="006B2EC1" w14:paraId="0BB6E39D" w14:textId="77777777" w:rsidTr="0047688D">
        <w:tc>
          <w:tcPr>
            <w:tcW w:w="0" w:type="auto"/>
            <w:shd w:val="clear" w:color="auto" w:fill="auto"/>
          </w:tcPr>
          <w:p w14:paraId="3A076630" w14:textId="77777777" w:rsidR="008C5CFA" w:rsidRDefault="00E82A60" w:rsidP="00300A01">
            <w:pPr>
              <w:spacing w:before="0" w:after="0"/>
            </w:pPr>
            <w:r>
              <w:t xml:space="preserve">15.1.3. w </w:t>
            </w:r>
            <w:proofErr w:type="spellStart"/>
            <w:r>
              <w:t>tym</w:t>
            </w:r>
            <w:proofErr w:type="spellEnd"/>
            <w:r>
              <w:t xml:space="preserve"> EFS (w EUR)</w:t>
            </w:r>
          </w:p>
        </w:tc>
        <w:tc>
          <w:tcPr>
            <w:tcW w:w="0" w:type="auto"/>
            <w:shd w:val="clear" w:color="auto" w:fill="auto"/>
          </w:tcPr>
          <w:p w14:paraId="48E81D3F" w14:textId="77777777" w:rsidR="008C5CFA" w:rsidRDefault="00E82A60" w:rsidP="00300A01">
            <w:pPr>
              <w:spacing w:before="0" w:after="0"/>
              <w:jc w:val="right"/>
            </w:pPr>
            <w:r>
              <w:t>4 011 591,95</w:t>
            </w:r>
          </w:p>
        </w:tc>
      </w:tr>
      <w:tr w:rsidR="006B2EC1" w14:paraId="5BA91938" w14:textId="77777777" w:rsidTr="0047688D">
        <w:tc>
          <w:tcPr>
            <w:tcW w:w="0" w:type="auto"/>
            <w:shd w:val="clear" w:color="auto" w:fill="auto"/>
          </w:tcPr>
          <w:p w14:paraId="0246BCD4" w14:textId="77777777" w:rsidR="008C5CFA" w:rsidRDefault="00E82A60" w:rsidP="00300A01">
            <w:pPr>
              <w:spacing w:before="0" w:after="0"/>
            </w:pPr>
            <w:r>
              <w:t xml:space="preserve">15.1.4. w </w:t>
            </w:r>
            <w:proofErr w:type="spellStart"/>
            <w:r>
              <w:t>tym</w:t>
            </w:r>
            <w:proofErr w:type="spellEnd"/>
            <w:r>
              <w:t xml:space="preserve"> EFRROW (w EUR)</w:t>
            </w:r>
          </w:p>
        </w:tc>
        <w:tc>
          <w:tcPr>
            <w:tcW w:w="0" w:type="auto"/>
            <w:shd w:val="clear" w:color="auto" w:fill="auto"/>
          </w:tcPr>
          <w:p w14:paraId="6EC6CCBB" w14:textId="77777777" w:rsidR="008C5CFA" w:rsidRDefault="008C5CFA" w:rsidP="00300A01">
            <w:pPr>
              <w:spacing w:before="0" w:after="0"/>
              <w:jc w:val="right"/>
            </w:pPr>
          </w:p>
        </w:tc>
      </w:tr>
      <w:tr w:rsidR="006B2EC1" w14:paraId="2E3D5C7B" w14:textId="77777777" w:rsidTr="0047688D">
        <w:tc>
          <w:tcPr>
            <w:tcW w:w="0" w:type="auto"/>
            <w:shd w:val="clear" w:color="auto" w:fill="auto"/>
          </w:tcPr>
          <w:p w14:paraId="013970DC" w14:textId="77777777" w:rsidR="008C5CFA" w:rsidRDefault="00E82A60" w:rsidP="00300A01">
            <w:pPr>
              <w:spacing w:before="0" w:after="0"/>
            </w:pPr>
            <w:r>
              <w:t xml:space="preserve">15.1.5. w </w:t>
            </w:r>
            <w:proofErr w:type="spellStart"/>
            <w:r>
              <w:t>tym</w:t>
            </w:r>
            <w:proofErr w:type="spellEnd"/>
            <w:r>
              <w:t xml:space="preserve"> EFMR (w EUR)</w:t>
            </w:r>
          </w:p>
        </w:tc>
        <w:tc>
          <w:tcPr>
            <w:tcW w:w="0" w:type="auto"/>
            <w:shd w:val="clear" w:color="auto" w:fill="auto"/>
          </w:tcPr>
          <w:p w14:paraId="13AB5089" w14:textId="77777777" w:rsidR="008C5CFA" w:rsidRDefault="008C5CFA" w:rsidP="00300A01">
            <w:pPr>
              <w:spacing w:before="0" w:after="0"/>
              <w:jc w:val="right"/>
            </w:pPr>
          </w:p>
        </w:tc>
      </w:tr>
      <w:tr w:rsidR="006B2EC1" w14:paraId="2EDE78B0" w14:textId="77777777" w:rsidTr="0047688D">
        <w:tc>
          <w:tcPr>
            <w:tcW w:w="0" w:type="auto"/>
            <w:shd w:val="clear" w:color="auto" w:fill="auto"/>
          </w:tcPr>
          <w:p w14:paraId="0311AF52" w14:textId="77777777" w:rsidR="008C5CFA" w:rsidRDefault="00E82A60" w:rsidP="00300A01">
            <w:pPr>
              <w:spacing w:before="0" w:after="0"/>
            </w:pPr>
            <w:r>
              <w:t xml:space="preserve">15.2. w </w:t>
            </w:r>
            <w:proofErr w:type="spellStart"/>
            <w:r>
              <w:t>tym</w:t>
            </w:r>
            <w:proofErr w:type="spellEnd"/>
            <w:r>
              <w:t xml:space="preserve"> </w:t>
            </w:r>
            <w:proofErr w:type="spellStart"/>
            <w:r>
              <w:t>łączna</w:t>
            </w:r>
            <w:proofErr w:type="spellEnd"/>
            <w:r>
              <w:t xml:space="preserve"> </w:t>
            </w:r>
            <w:proofErr w:type="spellStart"/>
            <w:r>
              <w:t>kwota</w:t>
            </w:r>
            <w:proofErr w:type="spellEnd"/>
            <w:r>
              <w:t xml:space="preserve"> </w:t>
            </w:r>
            <w:proofErr w:type="spellStart"/>
            <w:r>
              <w:t>współfinansowania</w:t>
            </w:r>
            <w:proofErr w:type="spellEnd"/>
            <w:r>
              <w:t xml:space="preserve"> </w:t>
            </w:r>
            <w:proofErr w:type="spellStart"/>
            <w:r>
              <w:t>krajowego</w:t>
            </w:r>
            <w:proofErr w:type="spellEnd"/>
            <w:r>
              <w:t xml:space="preserve"> (w EUR)</w:t>
            </w:r>
          </w:p>
        </w:tc>
        <w:tc>
          <w:tcPr>
            <w:tcW w:w="0" w:type="auto"/>
            <w:shd w:val="clear" w:color="auto" w:fill="auto"/>
          </w:tcPr>
          <w:p w14:paraId="587F8357" w14:textId="77777777" w:rsidR="008C5CFA" w:rsidRDefault="00E82A60" w:rsidP="00300A01">
            <w:pPr>
              <w:spacing w:before="0" w:after="0"/>
              <w:jc w:val="right"/>
            </w:pPr>
            <w:r>
              <w:t>322 419,65</w:t>
            </w:r>
          </w:p>
        </w:tc>
      </w:tr>
      <w:tr w:rsidR="006B2EC1" w14:paraId="4DF11A8D" w14:textId="77777777" w:rsidTr="0047688D">
        <w:tc>
          <w:tcPr>
            <w:tcW w:w="0" w:type="auto"/>
            <w:shd w:val="clear" w:color="auto" w:fill="auto"/>
          </w:tcPr>
          <w:p w14:paraId="27C8C318" w14:textId="77777777" w:rsidR="008C5CFA" w:rsidRDefault="00E82A60" w:rsidP="00300A01">
            <w:pPr>
              <w:spacing w:before="0" w:after="0"/>
            </w:pPr>
            <w:r>
              <w:lastRenderedPageBreak/>
              <w:t xml:space="preserve">15.2.1. w </w:t>
            </w:r>
            <w:proofErr w:type="spellStart"/>
            <w:r>
              <w:t>tym</w:t>
            </w:r>
            <w:proofErr w:type="spellEnd"/>
            <w:r>
              <w:t xml:space="preserve"> </w:t>
            </w:r>
            <w:proofErr w:type="spellStart"/>
            <w:r>
              <w:t>łączna</w:t>
            </w:r>
            <w:proofErr w:type="spellEnd"/>
            <w:r>
              <w:t xml:space="preserve"> </w:t>
            </w:r>
            <w:proofErr w:type="spellStart"/>
            <w:r>
              <w:t>kwota</w:t>
            </w:r>
            <w:proofErr w:type="spellEnd"/>
            <w:r>
              <w:t xml:space="preserve"> </w:t>
            </w:r>
            <w:proofErr w:type="spellStart"/>
            <w:r>
              <w:t>krajowego</w:t>
            </w:r>
            <w:proofErr w:type="spellEnd"/>
            <w:r>
              <w:t xml:space="preserve"> </w:t>
            </w:r>
            <w:proofErr w:type="spellStart"/>
            <w:r>
              <w:t>finansowania</w:t>
            </w:r>
            <w:proofErr w:type="spellEnd"/>
            <w:r>
              <w:t xml:space="preserve"> </w:t>
            </w:r>
            <w:proofErr w:type="spellStart"/>
            <w:r>
              <w:t>publicznego</w:t>
            </w:r>
            <w:proofErr w:type="spellEnd"/>
            <w:r>
              <w:t xml:space="preserve"> (w EUR)</w:t>
            </w:r>
          </w:p>
        </w:tc>
        <w:tc>
          <w:tcPr>
            <w:tcW w:w="0" w:type="auto"/>
            <w:shd w:val="clear" w:color="auto" w:fill="auto"/>
          </w:tcPr>
          <w:p w14:paraId="5BF12A50" w14:textId="77777777" w:rsidR="008C5CFA" w:rsidRDefault="008C5CFA" w:rsidP="00300A01">
            <w:pPr>
              <w:spacing w:before="0" w:after="0"/>
              <w:jc w:val="right"/>
            </w:pPr>
          </w:p>
        </w:tc>
      </w:tr>
      <w:tr w:rsidR="006B2EC1" w14:paraId="5A4B1492" w14:textId="77777777" w:rsidTr="0047688D">
        <w:tc>
          <w:tcPr>
            <w:tcW w:w="0" w:type="auto"/>
            <w:shd w:val="clear" w:color="auto" w:fill="auto"/>
          </w:tcPr>
          <w:p w14:paraId="359464BF" w14:textId="77777777" w:rsidR="008C5CFA" w:rsidRDefault="00E82A60" w:rsidP="00300A01">
            <w:pPr>
              <w:spacing w:before="0" w:after="0"/>
            </w:pPr>
            <w:r>
              <w:t xml:space="preserve">15.2.2. w </w:t>
            </w:r>
            <w:proofErr w:type="spellStart"/>
            <w:r>
              <w:t>tym</w:t>
            </w:r>
            <w:proofErr w:type="spellEnd"/>
            <w:r>
              <w:t xml:space="preserve"> </w:t>
            </w:r>
            <w:proofErr w:type="spellStart"/>
            <w:r>
              <w:t>łączna</w:t>
            </w:r>
            <w:proofErr w:type="spellEnd"/>
            <w:r>
              <w:t xml:space="preserve"> </w:t>
            </w:r>
            <w:proofErr w:type="spellStart"/>
            <w:r>
              <w:t>kwota</w:t>
            </w:r>
            <w:proofErr w:type="spellEnd"/>
            <w:r>
              <w:t xml:space="preserve"> </w:t>
            </w:r>
            <w:proofErr w:type="spellStart"/>
            <w:r>
              <w:t>krajowego</w:t>
            </w:r>
            <w:proofErr w:type="spellEnd"/>
            <w:r>
              <w:t xml:space="preserve"> </w:t>
            </w:r>
            <w:proofErr w:type="spellStart"/>
            <w:r>
              <w:t>finansowania</w:t>
            </w:r>
            <w:proofErr w:type="spellEnd"/>
            <w:r>
              <w:t xml:space="preserve"> </w:t>
            </w:r>
            <w:proofErr w:type="spellStart"/>
            <w:r>
              <w:t>prywatnego</w:t>
            </w:r>
            <w:proofErr w:type="spellEnd"/>
            <w:r>
              <w:t xml:space="preserve"> (w EUR)</w:t>
            </w:r>
          </w:p>
        </w:tc>
        <w:tc>
          <w:tcPr>
            <w:tcW w:w="0" w:type="auto"/>
            <w:shd w:val="clear" w:color="auto" w:fill="auto"/>
          </w:tcPr>
          <w:p w14:paraId="18E9BED8" w14:textId="77777777" w:rsidR="008C5CFA" w:rsidRDefault="00E82A60" w:rsidP="00300A01">
            <w:pPr>
              <w:spacing w:before="0" w:after="0"/>
              <w:jc w:val="right"/>
            </w:pPr>
            <w:r>
              <w:t>322 419,65</w:t>
            </w:r>
          </w:p>
        </w:tc>
      </w:tr>
      <w:tr w:rsidR="006B2EC1" w14:paraId="4465AA34" w14:textId="77777777" w:rsidTr="0047688D">
        <w:tc>
          <w:tcPr>
            <w:tcW w:w="0" w:type="auto"/>
            <w:shd w:val="clear" w:color="auto" w:fill="auto"/>
          </w:tcPr>
          <w:p w14:paraId="0D611669" w14:textId="77777777" w:rsidR="008C5CFA" w:rsidRDefault="00E82A60" w:rsidP="00300A01">
            <w:pPr>
              <w:spacing w:before="0" w:after="0"/>
            </w:pPr>
            <w:r>
              <w:t xml:space="preserve">16. </w:t>
            </w:r>
            <w:proofErr w:type="spellStart"/>
            <w:r>
              <w:t>Łączna</w:t>
            </w:r>
            <w:proofErr w:type="spellEnd"/>
            <w:r>
              <w:t xml:space="preserve"> </w:t>
            </w:r>
            <w:proofErr w:type="spellStart"/>
            <w:r>
              <w:t>kwota</w:t>
            </w:r>
            <w:proofErr w:type="spellEnd"/>
            <w:r>
              <w:t xml:space="preserve"> </w:t>
            </w:r>
            <w:proofErr w:type="spellStart"/>
            <w:r>
              <w:t>wkładów</w:t>
            </w:r>
            <w:proofErr w:type="spellEnd"/>
            <w:r>
              <w:t xml:space="preserve"> z </w:t>
            </w:r>
            <w:proofErr w:type="spellStart"/>
            <w:r>
              <w:t>programu</w:t>
            </w:r>
            <w:proofErr w:type="spellEnd"/>
            <w:r>
              <w:t xml:space="preserve"> </w:t>
            </w:r>
            <w:proofErr w:type="spellStart"/>
            <w:r>
              <w:t>wpłacanych</w:t>
            </w:r>
            <w:proofErr w:type="spellEnd"/>
            <w:r>
              <w:t xml:space="preserve"> </w:t>
            </w:r>
            <w:proofErr w:type="spellStart"/>
            <w:r>
              <w:t>na</w:t>
            </w:r>
            <w:proofErr w:type="spellEnd"/>
            <w:r>
              <w:t xml:space="preserve"> </w:t>
            </w:r>
            <w:proofErr w:type="spellStart"/>
            <w:r>
              <w:t>rzecz</w:t>
            </w:r>
            <w:proofErr w:type="spellEnd"/>
            <w:r>
              <w:t xml:space="preserve"> </w:t>
            </w:r>
            <w:proofErr w:type="spellStart"/>
            <w:r>
              <w:t>instrumentu</w:t>
            </w:r>
            <w:proofErr w:type="spellEnd"/>
            <w:r>
              <w:t xml:space="preserve"> </w:t>
            </w:r>
            <w:proofErr w:type="spellStart"/>
            <w:r>
              <w:t>finansowego</w:t>
            </w:r>
            <w:proofErr w:type="spellEnd"/>
            <w:r>
              <w:t xml:space="preserve"> w </w:t>
            </w:r>
            <w:proofErr w:type="spellStart"/>
            <w:r>
              <w:t>ramach</w:t>
            </w:r>
            <w:proofErr w:type="spellEnd"/>
            <w:r>
              <w:t xml:space="preserve"> </w:t>
            </w:r>
            <w:proofErr w:type="spellStart"/>
            <w:r>
              <w:t>Inicjatywy</w:t>
            </w:r>
            <w:proofErr w:type="spellEnd"/>
            <w:r>
              <w:t xml:space="preserve"> </w:t>
            </w:r>
            <w:proofErr w:type="spellStart"/>
            <w:r>
              <w:t>na</w:t>
            </w:r>
            <w:proofErr w:type="spellEnd"/>
            <w:r>
              <w:t xml:space="preserve"> </w:t>
            </w:r>
            <w:proofErr w:type="spellStart"/>
            <w:r>
              <w:t>rzecz</w:t>
            </w:r>
            <w:proofErr w:type="spellEnd"/>
            <w:r>
              <w:t xml:space="preserve"> </w:t>
            </w:r>
            <w:proofErr w:type="spellStart"/>
            <w:r>
              <w:t>zatrudnienia</w:t>
            </w:r>
            <w:proofErr w:type="spellEnd"/>
            <w:r>
              <w:t xml:space="preserve"> </w:t>
            </w:r>
            <w:proofErr w:type="spellStart"/>
            <w:r>
              <w:t>ludzi</w:t>
            </w:r>
            <w:proofErr w:type="spellEnd"/>
            <w:r>
              <w:t xml:space="preserve"> </w:t>
            </w:r>
            <w:proofErr w:type="spellStart"/>
            <w:r>
              <w:t>młodych</w:t>
            </w:r>
            <w:proofErr w:type="spellEnd"/>
            <w:r>
              <w:t xml:space="preserve"> (YEI) (w EUR)</w:t>
            </w:r>
          </w:p>
        </w:tc>
        <w:tc>
          <w:tcPr>
            <w:tcW w:w="0" w:type="auto"/>
            <w:shd w:val="clear" w:color="auto" w:fill="auto"/>
          </w:tcPr>
          <w:p w14:paraId="60A566CD" w14:textId="77777777" w:rsidR="008C5CFA" w:rsidRDefault="008C5CFA" w:rsidP="00300A01">
            <w:pPr>
              <w:spacing w:before="0" w:after="0"/>
              <w:jc w:val="right"/>
            </w:pPr>
          </w:p>
        </w:tc>
      </w:tr>
      <w:tr w:rsidR="006B2EC1" w14:paraId="26B137EE" w14:textId="77777777" w:rsidTr="0047688D">
        <w:tc>
          <w:tcPr>
            <w:tcW w:w="0" w:type="auto"/>
            <w:shd w:val="clear" w:color="auto" w:fill="auto"/>
          </w:tcPr>
          <w:p w14:paraId="0B3F5DAB" w14:textId="77777777" w:rsidR="008C5CFA" w:rsidRDefault="00E82A60" w:rsidP="00300A01">
            <w:pPr>
              <w:spacing w:before="0" w:after="0"/>
            </w:pPr>
            <w:r>
              <w:t xml:space="preserve">17. </w:t>
            </w:r>
            <w:proofErr w:type="spellStart"/>
            <w:r>
              <w:t>Łączna</w:t>
            </w:r>
            <w:proofErr w:type="spellEnd"/>
            <w:r>
              <w:t xml:space="preserve"> </w:t>
            </w:r>
            <w:proofErr w:type="spellStart"/>
            <w:r>
              <w:t>kwota</w:t>
            </w:r>
            <w:proofErr w:type="spellEnd"/>
            <w:r>
              <w:t xml:space="preserve"> </w:t>
            </w:r>
            <w:proofErr w:type="spellStart"/>
            <w:r>
              <w:t>kosztów</w:t>
            </w:r>
            <w:proofErr w:type="spellEnd"/>
            <w:r>
              <w:t xml:space="preserve"> </w:t>
            </w:r>
            <w:proofErr w:type="spellStart"/>
            <w:r>
              <w:t>zarządzania</w:t>
            </w:r>
            <w:proofErr w:type="spellEnd"/>
            <w:r>
              <w:t xml:space="preserve"> i </w:t>
            </w:r>
            <w:proofErr w:type="spellStart"/>
            <w:r>
              <w:t>opłat</w:t>
            </w:r>
            <w:proofErr w:type="spellEnd"/>
            <w:r>
              <w:t xml:space="preserve"> za </w:t>
            </w:r>
            <w:proofErr w:type="spellStart"/>
            <w:r>
              <w:t>zarządzanie</w:t>
            </w:r>
            <w:proofErr w:type="spellEnd"/>
            <w:r>
              <w:t xml:space="preserve"> </w:t>
            </w:r>
            <w:proofErr w:type="spellStart"/>
            <w:r>
              <w:t>wypłacona</w:t>
            </w:r>
            <w:proofErr w:type="spellEnd"/>
            <w:r>
              <w:t xml:space="preserve"> z </w:t>
            </w:r>
            <w:proofErr w:type="spellStart"/>
            <w:r>
              <w:t>wkładów</w:t>
            </w:r>
            <w:proofErr w:type="spellEnd"/>
            <w:r>
              <w:t xml:space="preserve"> z </w:t>
            </w:r>
            <w:proofErr w:type="spellStart"/>
            <w:r>
              <w:t>programu</w:t>
            </w:r>
            <w:proofErr w:type="spellEnd"/>
            <w:r>
              <w:t xml:space="preserve"> (w EUR)</w:t>
            </w:r>
          </w:p>
        </w:tc>
        <w:tc>
          <w:tcPr>
            <w:tcW w:w="0" w:type="auto"/>
            <w:shd w:val="clear" w:color="auto" w:fill="auto"/>
          </w:tcPr>
          <w:p w14:paraId="18F91542" w14:textId="77777777" w:rsidR="008C5CFA" w:rsidRDefault="00E82A60" w:rsidP="00300A01">
            <w:pPr>
              <w:spacing w:before="0" w:after="0"/>
              <w:jc w:val="right"/>
            </w:pPr>
            <w:r>
              <w:t>139 874,87</w:t>
            </w:r>
          </w:p>
        </w:tc>
      </w:tr>
      <w:tr w:rsidR="006B2EC1" w14:paraId="6C43C498" w14:textId="77777777" w:rsidTr="0047688D">
        <w:tc>
          <w:tcPr>
            <w:tcW w:w="0" w:type="auto"/>
            <w:shd w:val="clear" w:color="auto" w:fill="auto"/>
          </w:tcPr>
          <w:p w14:paraId="77BB6CB7" w14:textId="77777777" w:rsidR="008C5CFA" w:rsidRDefault="00E82A60" w:rsidP="00300A01">
            <w:pPr>
              <w:spacing w:before="0" w:after="0"/>
            </w:pPr>
            <w:r>
              <w:t xml:space="preserve">17.1. w </w:t>
            </w:r>
            <w:proofErr w:type="spellStart"/>
            <w:r>
              <w:t>tym</w:t>
            </w:r>
            <w:proofErr w:type="spellEnd"/>
            <w:r>
              <w:t xml:space="preserve"> </w:t>
            </w:r>
            <w:proofErr w:type="spellStart"/>
            <w:r>
              <w:t>wynagrodzenie</w:t>
            </w:r>
            <w:proofErr w:type="spellEnd"/>
            <w:r>
              <w:t xml:space="preserve"> </w:t>
            </w:r>
            <w:proofErr w:type="spellStart"/>
            <w:r>
              <w:t>podstawowe</w:t>
            </w:r>
            <w:proofErr w:type="spellEnd"/>
            <w:r>
              <w:t xml:space="preserve"> (w EUR)</w:t>
            </w:r>
          </w:p>
        </w:tc>
        <w:tc>
          <w:tcPr>
            <w:tcW w:w="0" w:type="auto"/>
            <w:shd w:val="clear" w:color="auto" w:fill="auto"/>
          </w:tcPr>
          <w:p w14:paraId="6C469EB7" w14:textId="77777777" w:rsidR="008C5CFA" w:rsidRDefault="00E82A60" w:rsidP="00300A01">
            <w:pPr>
              <w:spacing w:before="0" w:after="0"/>
              <w:jc w:val="right"/>
            </w:pPr>
            <w:r>
              <w:t>80 176,06</w:t>
            </w:r>
          </w:p>
        </w:tc>
      </w:tr>
      <w:tr w:rsidR="006B2EC1" w14:paraId="4C9474BC" w14:textId="77777777" w:rsidTr="0047688D">
        <w:tc>
          <w:tcPr>
            <w:tcW w:w="0" w:type="auto"/>
            <w:shd w:val="clear" w:color="auto" w:fill="auto"/>
          </w:tcPr>
          <w:p w14:paraId="7ED9EDA1" w14:textId="77777777" w:rsidR="008C5CFA" w:rsidRDefault="00E82A60" w:rsidP="00300A01">
            <w:pPr>
              <w:spacing w:before="0" w:after="0"/>
            </w:pPr>
            <w:r>
              <w:t xml:space="preserve">17.2. w </w:t>
            </w:r>
            <w:proofErr w:type="spellStart"/>
            <w:r>
              <w:t>tym</w:t>
            </w:r>
            <w:proofErr w:type="spellEnd"/>
            <w:r>
              <w:t xml:space="preserve"> </w:t>
            </w:r>
            <w:proofErr w:type="spellStart"/>
            <w:r>
              <w:t>wynagrodzenie</w:t>
            </w:r>
            <w:proofErr w:type="spellEnd"/>
            <w:r>
              <w:t xml:space="preserve"> </w:t>
            </w:r>
            <w:proofErr w:type="spellStart"/>
            <w:r>
              <w:t>oparte</w:t>
            </w:r>
            <w:proofErr w:type="spellEnd"/>
            <w:r>
              <w:t xml:space="preserve"> </w:t>
            </w:r>
            <w:proofErr w:type="spellStart"/>
            <w:r>
              <w:t>na</w:t>
            </w:r>
            <w:proofErr w:type="spellEnd"/>
            <w:r>
              <w:t xml:space="preserve"> </w:t>
            </w:r>
            <w:proofErr w:type="spellStart"/>
            <w:r>
              <w:t>wynikach</w:t>
            </w:r>
            <w:proofErr w:type="spellEnd"/>
            <w:r>
              <w:t xml:space="preserve"> (w EUR)</w:t>
            </w:r>
          </w:p>
        </w:tc>
        <w:tc>
          <w:tcPr>
            <w:tcW w:w="0" w:type="auto"/>
            <w:shd w:val="clear" w:color="auto" w:fill="auto"/>
          </w:tcPr>
          <w:p w14:paraId="097E47C8" w14:textId="77777777" w:rsidR="008C5CFA" w:rsidRDefault="00E82A60" w:rsidP="00300A01">
            <w:pPr>
              <w:spacing w:before="0" w:after="0"/>
              <w:jc w:val="right"/>
            </w:pPr>
            <w:r>
              <w:t>59 698,80</w:t>
            </w:r>
          </w:p>
        </w:tc>
      </w:tr>
      <w:tr w:rsidR="006B2EC1" w14:paraId="31A218DA" w14:textId="77777777" w:rsidTr="0047688D">
        <w:tc>
          <w:tcPr>
            <w:tcW w:w="0" w:type="auto"/>
            <w:shd w:val="clear" w:color="auto" w:fill="auto"/>
          </w:tcPr>
          <w:p w14:paraId="764F2929" w14:textId="77777777" w:rsidR="008C5CFA" w:rsidRDefault="00E82A60" w:rsidP="00300A01">
            <w:pPr>
              <w:spacing w:before="0" w:after="0"/>
            </w:pPr>
            <w:r>
              <w:t xml:space="preserve">18. </w:t>
            </w:r>
            <w:proofErr w:type="spellStart"/>
            <w:r>
              <w:t>Skapitalizowane</w:t>
            </w:r>
            <w:proofErr w:type="spellEnd"/>
            <w:r>
              <w:t xml:space="preserve"> </w:t>
            </w:r>
            <w:proofErr w:type="spellStart"/>
            <w:r>
              <w:t>koszty</w:t>
            </w:r>
            <w:proofErr w:type="spellEnd"/>
            <w:r>
              <w:t xml:space="preserve"> </w:t>
            </w:r>
            <w:proofErr w:type="spellStart"/>
            <w:r>
              <w:t>zarządzania</w:t>
            </w:r>
            <w:proofErr w:type="spellEnd"/>
            <w:r>
              <w:t xml:space="preserve"> </w:t>
            </w:r>
            <w:proofErr w:type="spellStart"/>
            <w:r>
              <w:t>lub</w:t>
            </w:r>
            <w:proofErr w:type="spellEnd"/>
            <w:r>
              <w:t xml:space="preserve"> </w:t>
            </w:r>
            <w:proofErr w:type="spellStart"/>
            <w:r>
              <w:t>opłat</w:t>
            </w:r>
            <w:proofErr w:type="spellEnd"/>
            <w:r>
              <w:t xml:space="preserve"> za </w:t>
            </w:r>
            <w:proofErr w:type="spellStart"/>
            <w:r>
              <w:t>zarządzanie</w:t>
            </w:r>
            <w:proofErr w:type="spellEnd"/>
            <w:r>
              <w:t xml:space="preserve"> </w:t>
            </w:r>
            <w:proofErr w:type="spellStart"/>
            <w:r>
              <w:t>zgodnie</w:t>
            </w:r>
            <w:proofErr w:type="spellEnd"/>
            <w:r>
              <w:t xml:space="preserve"> z art. 42 </w:t>
            </w:r>
            <w:proofErr w:type="spellStart"/>
            <w:r>
              <w:t>ust</w:t>
            </w:r>
            <w:proofErr w:type="spellEnd"/>
            <w:r>
              <w:t xml:space="preserve">. 2 </w:t>
            </w:r>
            <w:proofErr w:type="spellStart"/>
            <w:r>
              <w:t>rozporządzenia</w:t>
            </w:r>
            <w:proofErr w:type="spellEnd"/>
            <w:r>
              <w:t xml:space="preserve"> (UE) nr 1303/2013 (</w:t>
            </w:r>
            <w:proofErr w:type="spellStart"/>
            <w:r>
              <w:t>dotyczy</w:t>
            </w:r>
            <w:proofErr w:type="spellEnd"/>
            <w:r>
              <w:t xml:space="preserve"> </w:t>
            </w:r>
            <w:proofErr w:type="spellStart"/>
            <w:r>
              <w:t>wyłącznie</w:t>
            </w:r>
            <w:proofErr w:type="spellEnd"/>
            <w:r>
              <w:t xml:space="preserve"> </w:t>
            </w:r>
            <w:proofErr w:type="spellStart"/>
            <w:r>
              <w:t>sprawozdania</w:t>
            </w:r>
            <w:proofErr w:type="spellEnd"/>
            <w:r>
              <w:t xml:space="preserve"> </w:t>
            </w:r>
            <w:proofErr w:type="spellStart"/>
            <w:r>
              <w:t>końcowego</w:t>
            </w:r>
            <w:proofErr w:type="spellEnd"/>
            <w:r>
              <w:t>) (w EUR)</w:t>
            </w:r>
          </w:p>
        </w:tc>
        <w:tc>
          <w:tcPr>
            <w:tcW w:w="0" w:type="auto"/>
            <w:shd w:val="clear" w:color="auto" w:fill="auto"/>
          </w:tcPr>
          <w:p w14:paraId="55EAF411" w14:textId="77777777" w:rsidR="008C5CFA" w:rsidRDefault="008C5CFA" w:rsidP="00300A01">
            <w:pPr>
              <w:spacing w:before="0" w:after="0"/>
              <w:jc w:val="right"/>
            </w:pPr>
          </w:p>
        </w:tc>
      </w:tr>
      <w:tr w:rsidR="006B2EC1" w14:paraId="647C95D3" w14:textId="77777777" w:rsidTr="0047688D">
        <w:tc>
          <w:tcPr>
            <w:tcW w:w="0" w:type="auto"/>
            <w:shd w:val="clear" w:color="auto" w:fill="auto"/>
          </w:tcPr>
          <w:p w14:paraId="32A03385" w14:textId="77777777" w:rsidR="008C5CFA" w:rsidRDefault="00E82A60" w:rsidP="00300A01">
            <w:pPr>
              <w:spacing w:before="0" w:after="0"/>
            </w:pPr>
            <w:r>
              <w:t xml:space="preserve">19. </w:t>
            </w:r>
            <w:proofErr w:type="spellStart"/>
            <w:r>
              <w:t>Skapitalizowane</w:t>
            </w:r>
            <w:proofErr w:type="spellEnd"/>
            <w:r>
              <w:t xml:space="preserve"> </w:t>
            </w:r>
            <w:proofErr w:type="spellStart"/>
            <w:r>
              <w:t>dotacje</w:t>
            </w:r>
            <w:proofErr w:type="spellEnd"/>
            <w:r>
              <w:t xml:space="preserve"> </w:t>
            </w:r>
            <w:proofErr w:type="spellStart"/>
            <w:r>
              <w:t>na</w:t>
            </w:r>
            <w:proofErr w:type="spellEnd"/>
            <w:r>
              <w:t xml:space="preserve"> </w:t>
            </w:r>
            <w:proofErr w:type="spellStart"/>
            <w:r>
              <w:t>spłatę</w:t>
            </w:r>
            <w:proofErr w:type="spellEnd"/>
            <w:r>
              <w:t xml:space="preserve"> </w:t>
            </w:r>
            <w:proofErr w:type="spellStart"/>
            <w:r>
              <w:t>odsetek</w:t>
            </w:r>
            <w:proofErr w:type="spellEnd"/>
            <w:r>
              <w:t xml:space="preserve"> </w:t>
            </w:r>
            <w:proofErr w:type="spellStart"/>
            <w:r>
              <w:t>lub</w:t>
            </w:r>
            <w:proofErr w:type="spellEnd"/>
            <w:r>
              <w:t xml:space="preserve"> </w:t>
            </w:r>
            <w:proofErr w:type="spellStart"/>
            <w:r>
              <w:t>dotacje</w:t>
            </w:r>
            <w:proofErr w:type="spellEnd"/>
            <w:r>
              <w:t xml:space="preserve"> </w:t>
            </w:r>
            <w:proofErr w:type="spellStart"/>
            <w:r>
              <w:t>na</w:t>
            </w:r>
            <w:proofErr w:type="spellEnd"/>
            <w:r>
              <w:t xml:space="preserve"> </w:t>
            </w:r>
            <w:proofErr w:type="spellStart"/>
            <w:r>
              <w:t>opłaty</w:t>
            </w:r>
            <w:proofErr w:type="spellEnd"/>
            <w:r>
              <w:t xml:space="preserve"> </w:t>
            </w:r>
            <w:proofErr w:type="spellStart"/>
            <w:r>
              <w:t>gwarancyjne</w:t>
            </w:r>
            <w:proofErr w:type="spellEnd"/>
            <w:r>
              <w:t xml:space="preserve"> </w:t>
            </w:r>
            <w:proofErr w:type="spellStart"/>
            <w:r>
              <w:t>zgodnie</w:t>
            </w:r>
            <w:proofErr w:type="spellEnd"/>
            <w:r>
              <w:t xml:space="preserve"> z art. 42 </w:t>
            </w:r>
            <w:proofErr w:type="spellStart"/>
            <w:r>
              <w:t>ust</w:t>
            </w:r>
            <w:proofErr w:type="spellEnd"/>
            <w:r>
              <w:t xml:space="preserve">. 1 lit. c) </w:t>
            </w:r>
            <w:proofErr w:type="spellStart"/>
            <w:r>
              <w:t>rozporządzenia</w:t>
            </w:r>
            <w:proofErr w:type="spellEnd"/>
            <w:r>
              <w:t xml:space="preserve"> (UE) nr 1303/2013 (</w:t>
            </w:r>
            <w:proofErr w:type="spellStart"/>
            <w:r>
              <w:t>dotyczy</w:t>
            </w:r>
            <w:proofErr w:type="spellEnd"/>
            <w:r>
              <w:t xml:space="preserve"> </w:t>
            </w:r>
            <w:proofErr w:type="spellStart"/>
            <w:r>
              <w:t>wyłącznie</w:t>
            </w:r>
            <w:proofErr w:type="spellEnd"/>
            <w:r>
              <w:t xml:space="preserve"> </w:t>
            </w:r>
            <w:proofErr w:type="spellStart"/>
            <w:r>
              <w:t>sprawozdania</w:t>
            </w:r>
            <w:proofErr w:type="spellEnd"/>
            <w:r>
              <w:t xml:space="preserve"> </w:t>
            </w:r>
            <w:proofErr w:type="spellStart"/>
            <w:r>
              <w:t>końcowego</w:t>
            </w:r>
            <w:proofErr w:type="spellEnd"/>
            <w:r>
              <w:t>) (w EUR)</w:t>
            </w:r>
          </w:p>
        </w:tc>
        <w:tc>
          <w:tcPr>
            <w:tcW w:w="0" w:type="auto"/>
            <w:shd w:val="clear" w:color="auto" w:fill="auto"/>
          </w:tcPr>
          <w:p w14:paraId="46E5445E" w14:textId="77777777" w:rsidR="008C5CFA" w:rsidRDefault="008C5CFA" w:rsidP="00300A01">
            <w:pPr>
              <w:spacing w:before="0" w:after="0"/>
              <w:jc w:val="right"/>
            </w:pPr>
          </w:p>
        </w:tc>
      </w:tr>
      <w:tr w:rsidR="006B2EC1" w14:paraId="42E9E138" w14:textId="77777777" w:rsidTr="0047688D">
        <w:tc>
          <w:tcPr>
            <w:tcW w:w="0" w:type="auto"/>
            <w:shd w:val="clear" w:color="auto" w:fill="auto"/>
          </w:tcPr>
          <w:p w14:paraId="1A8CAB07" w14:textId="77777777" w:rsidR="008C5CFA" w:rsidRDefault="00E82A60" w:rsidP="00300A01">
            <w:pPr>
              <w:spacing w:before="0" w:after="0"/>
            </w:pPr>
            <w:r>
              <w:t xml:space="preserve">20. </w:t>
            </w:r>
            <w:proofErr w:type="spellStart"/>
            <w:r>
              <w:t>Kwota</w:t>
            </w:r>
            <w:proofErr w:type="spellEnd"/>
            <w:r>
              <w:t xml:space="preserve"> </w:t>
            </w:r>
            <w:proofErr w:type="spellStart"/>
            <w:r>
              <w:t>wkładów</w:t>
            </w:r>
            <w:proofErr w:type="spellEnd"/>
            <w:r>
              <w:t xml:space="preserve"> z </w:t>
            </w:r>
            <w:proofErr w:type="spellStart"/>
            <w:r>
              <w:t>programu</w:t>
            </w:r>
            <w:proofErr w:type="spellEnd"/>
            <w:r>
              <w:t xml:space="preserve"> </w:t>
            </w:r>
            <w:proofErr w:type="spellStart"/>
            <w:r>
              <w:t>przeznaczonych</w:t>
            </w:r>
            <w:proofErr w:type="spellEnd"/>
            <w:r>
              <w:t xml:space="preserve"> </w:t>
            </w:r>
            <w:proofErr w:type="spellStart"/>
            <w:r>
              <w:t>na</w:t>
            </w:r>
            <w:proofErr w:type="spellEnd"/>
            <w:r>
              <w:t xml:space="preserve"> </w:t>
            </w:r>
            <w:proofErr w:type="spellStart"/>
            <w:r>
              <w:t>inwestycje</w:t>
            </w:r>
            <w:proofErr w:type="spellEnd"/>
            <w:r>
              <w:t xml:space="preserve"> </w:t>
            </w:r>
            <w:proofErr w:type="spellStart"/>
            <w:r>
              <w:t>kontynuacyjne</w:t>
            </w:r>
            <w:proofErr w:type="spellEnd"/>
            <w:r>
              <w:t xml:space="preserve"> </w:t>
            </w:r>
            <w:proofErr w:type="spellStart"/>
            <w:r>
              <w:t>na</w:t>
            </w:r>
            <w:proofErr w:type="spellEnd"/>
            <w:r>
              <w:t xml:space="preserve"> </w:t>
            </w:r>
            <w:proofErr w:type="spellStart"/>
            <w:r>
              <w:t>rzecz</w:t>
            </w:r>
            <w:proofErr w:type="spellEnd"/>
            <w:r>
              <w:t xml:space="preserve"> </w:t>
            </w:r>
            <w:proofErr w:type="spellStart"/>
            <w:r>
              <w:t>ostatecznych</w:t>
            </w:r>
            <w:proofErr w:type="spellEnd"/>
            <w:r>
              <w:t xml:space="preserve"> </w:t>
            </w:r>
            <w:proofErr w:type="spellStart"/>
            <w:r>
              <w:t>odbiorców</w:t>
            </w:r>
            <w:proofErr w:type="spellEnd"/>
            <w:r>
              <w:t xml:space="preserve"> </w:t>
            </w:r>
            <w:proofErr w:type="spellStart"/>
            <w:r>
              <w:t>zgodnie</w:t>
            </w:r>
            <w:proofErr w:type="spellEnd"/>
            <w:r>
              <w:t xml:space="preserve"> z art. 42 </w:t>
            </w:r>
            <w:proofErr w:type="spellStart"/>
            <w:r>
              <w:t>ust</w:t>
            </w:r>
            <w:proofErr w:type="spellEnd"/>
            <w:r>
              <w:t xml:space="preserve">. 3 </w:t>
            </w:r>
            <w:proofErr w:type="spellStart"/>
            <w:r>
              <w:t>rozporządzenia</w:t>
            </w:r>
            <w:proofErr w:type="spellEnd"/>
            <w:r>
              <w:t xml:space="preserve"> (UE) nr 1303/2013 (</w:t>
            </w:r>
            <w:proofErr w:type="spellStart"/>
            <w:r>
              <w:t>dotyczy</w:t>
            </w:r>
            <w:proofErr w:type="spellEnd"/>
            <w:r>
              <w:t xml:space="preserve"> </w:t>
            </w:r>
            <w:proofErr w:type="spellStart"/>
            <w:r>
              <w:t>wyłącznie</w:t>
            </w:r>
            <w:proofErr w:type="spellEnd"/>
            <w:r>
              <w:t xml:space="preserve"> </w:t>
            </w:r>
            <w:proofErr w:type="spellStart"/>
            <w:r>
              <w:t>sprawozdania</w:t>
            </w:r>
            <w:proofErr w:type="spellEnd"/>
            <w:r>
              <w:t xml:space="preserve"> </w:t>
            </w:r>
            <w:proofErr w:type="spellStart"/>
            <w:r>
              <w:t>końcowego</w:t>
            </w:r>
            <w:proofErr w:type="spellEnd"/>
            <w:r>
              <w:t>) (w EUR)</w:t>
            </w:r>
          </w:p>
        </w:tc>
        <w:tc>
          <w:tcPr>
            <w:tcW w:w="0" w:type="auto"/>
            <w:shd w:val="clear" w:color="auto" w:fill="auto"/>
          </w:tcPr>
          <w:p w14:paraId="2189EA2F" w14:textId="77777777" w:rsidR="008C5CFA" w:rsidRDefault="008C5CFA" w:rsidP="00300A01">
            <w:pPr>
              <w:spacing w:before="0" w:after="0"/>
              <w:jc w:val="right"/>
            </w:pPr>
          </w:p>
        </w:tc>
      </w:tr>
      <w:tr w:rsidR="006B2EC1" w14:paraId="315BBEC3" w14:textId="77777777" w:rsidTr="0047688D">
        <w:tc>
          <w:tcPr>
            <w:tcW w:w="0" w:type="auto"/>
            <w:shd w:val="clear" w:color="auto" w:fill="auto"/>
          </w:tcPr>
          <w:p w14:paraId="2171FA83" w14:textId="77777777" w:rsidR="008C5CFA" w:rsidRDefault="00E82A60" w:rsidP="00300A01">
            <w:pPr>
              <w:spacing w:before="0" w:after="0"/>
            </w:pPr>
            <w:r>
              <w:t xml:space="preserve">21. </w:t>
            </w:r>
            <w:proofErr w:type="spellStart"/>
            <w:r>
              <w:t>Wkłady</w:t>
            </w:r>
            <w:proofErr w:type="spellEnd"/>
            <w:r>
              <w:t xml:space="preserve"> w </w:t>
            </w:r>
            <w:proofErr w:type="spellStart"/>
            <w:r>
              <w:t>postaci</w:t>
            </w:r>
            <w:proofErr w:type="spellEnd"/>
            <w:r>
              <w:t xml:space="preserve"> </w:t>
            </w:r>
            <w:proofErr w:type="spellStart"/>
            <w:r>
              <w:t>gruntów</w:t>
            </w:r>
            <w:proofErr w:type="spellEnd"/>
            <w:r>
              <w:t xml:space="preserve"> </w:t>
            </w:r>
            <w:proofErr w:type="spellStart"/>
            <w:r>
              <w:t>lub</w:t>
            </w:r>
            <w:proofErr w:type="spellEnd"/>
            <w:r>
              <w:t xml:space="preserve"> </w:t>
            </w:r>
            <w:proofErr w:type="spellStart"/>
            <w:r>
              <w:t>nieruchomości</w:t>
            </w:r>
            <w:proofErr w:type="spellEnd"/>
            <w:r>
              <w:t xml:space="preserve"> w instrument </w:t>
            </w:r>
            <w:proofErr w:type="spellStart"/>
            <w:r>
              <w:t>finansowy</w:t>
            </w:r>
            <w:proofErr w:type="spellEnd"/>
            <w:r>
              <w:t xml:space="preserve"> </w:t>
            </w:r>
            <w:proofErr w:type="spellStart"/>
            <w:r>
              <w:t>zgodnie</w:t>
            </w:r>
            <w:proofErr w:type="spellEnd"/>
            <w:r>
              <w:t xml:space="preserve"> z art. 37 </w:t>
            </w:r>
            <w:proofErr w:type="spellStart"/>
            <w:r>
              <w:t>ust</w:t>
            </w:r>
            <w:proofErr w:type="spellEnd"/>
            <w:r>
              <w:t xml:space="preserve">. 10 </w:t>
            </w:r>
            <w:proofErr w:type="spellStart"/>
            <w:r>
              <w:t>rozporządzenia</w:t>
            </w:r>
            <w:proofErr w:type="spellEnd"/>
            <w:r>
              <w:t xml:space="preserve"> (UE) nr 1303/2013 (</w:t>
            </w:r>
            <w:proofErr w:type="spellStart"/>
            <w:r>
              <w:t>dotyczy</w:t>
            </w:r>
            <w:proofErr w:type="spellEnd"/>
            <w:r>
              <w:t xml:space="preserve"> </w:t>
            </w:r>
            <w:proofErr w:type="spellStart"/>
            <w:r>
              <w:t>wyłącznie</w:t>
            </w:r>
            <w:proofErr w:type="spellEnd"/>
            <w:r>
              <w:t xml:space="preserve"> </w:t>
            </w:r>
            <w:proofErr w:type="spellStart"/>
            <w:r>
              <w:t>sprawozdania</w:t>
            </w:r>
            <w:proofErr w:type="spellEnd"/>
            <w:r>
              <w:t xml:space="preserve"> </w:t>
            </w:r>
            <w:proofErr w:type="spellStart"/>
            <w:r>
              <w:t>końcowego</w:t>
            </w:r>
            <w:proofErr w:type="spellEnd"/>
            <w:r>
              <w:t>) (w EUR)</w:t>
            </w:r>
          </w:p>
        </w:tc>
        <w:tc>
          <w:tcPr>
            <w:tcW w:w="0" w:type="auto"/>
            <w:shd w:val="clear" w:color="auto" w:fill="auto"/>
          </w:tcPr>
          <w:p w14:paraId="2CA42CE9" w14:textId="77777777" w:rsidR="008C5CFA" w:rsidRDefault="008C5CFA" w:rsidP="00300A01">
            <w:pPr>
              <w:spacing w:before="0" w:after="0"/>
              <w:jc w:val="right"/>
            </w:pPr>
          </w:p>
        </w:tc>
      </w:tr>
      <w:tr w:rsidR="006B2EC1" w14:paraId="742AB6BF" w14:textId="77777777" w:rsidTr="0047688D">
        <w:tc>
          <w:tcPr>
            <w:tcW w:w="0" w:type="auto"/>
            <w:gridSpan w:val="2"/>
            <w:shd w:val="clear" w:color="auto" w:fill="auto"/>
          </w:tcPr>
          <w:p w14:paraId="27B209B2" w14:textId="77777777" w:rsidR="008C5CFA" w:rsidRDefault="00E82A60" w:rsidP="00300A01">
            <w:pPr>
              <w:spacing w:before="0" w:after="0"/>
            </w:pPr>
            <w:r>
              <w:rPr>
                <w:b/>
              </w:rPr>
              <w:t xml:space="preserve">V. </w:t>
            </w:r>
            <w:proofErr w:type="spellStart"/>
            <w:r>
              <w:rPr>
                <w:b/>
              </w:rPr>
              <w:t>Łączna</w:t>
            </w:r>
            <w:proofErr w:type="spellEnd"/>
            <w:r>
              <w:rPr>
                <w:b/>
              </w:rPr>
              <w:t xml:space="preserve"> </w:t>
            </w:r>
            <w:proofErr w:type="spellStart"/>
            <w:r>
              <w:rPr>
                <w:b/>
              </w:rPr>
              <w:t>kwota</w:t>
            </w:r>
            <w:proofErr w:type="spellEnd"/>
            <w:r>
              <w:rPr>
                <w:b/>
              </w:rPr>
              <w:t xml:space="preserve"> </w:t>
            </w:r>
            <w:proofErr w:type="spellStart"/>
            <w:r>
              <w:rPr>
                <w:b/>
              </w:rPr>
              <w:t>wsparcia</w:t>
            </w:r>
            <w:proofErr w:type="spellEnd"/>
            <w:r>
              <w:rPr>
                <w:b/>
              </w:rPr>
              <w:t xml:space="preserve"> </w:t>
            </w:r>
            <w:proofErr w:type="spellStart"/>
            <w:r>
              <w:rPr>
                <w:b/>
              </w:rPr>
              <w:t>wypłacona</w:t>
            </w:r>
            <w:proofErr w:type="spellEnd"/>
            <w:r>
              <w:rPr>
                <w:b/>
              </w:rPr>
              <w:t xml:space="preserve"> </w:t>
            </w:r>
            <w:proofErr w:type="spellStart"/>
            <w:r>
              <w:rPr>
                <w:b/>
              </w:rPr>
              <w:t>ostatecznym</w:t>
            </w:r>
            <w:proofErr w:type="spellEnd"/>
            <w:r>
              <w:rPr>
                <w:b/>
              </w:rPr>
              <w:t xml:space="preserve"> </w:t>
            </w:r>
            <w:proofErr w:type="spellStart"/>
            <w:r>
              <w:rPr>
                <w:b/>
              </w:rPr>
              <w:t>odbiorcom</w:t>
            </w:r>
            <w:proofErr w:type="spellEnd"/>
            <w:r>
              <w:rPr>
                <w:b/>
              </w:rPr>
              <w:t xml:space="preserve"> </w:t>
            </w:r>
            <w:proofErr w:type="spellStart"/>
            <w:r>
              <w:rPr>
                <w:b/>
              </w:rPr>
              <w:t>lub</w:t>
            </w:r>
            <w:proofErr w:type="spellEnd"/>
            <w:r>
              <w:rPr>
                <w:b/>
              </w:rPr>
              <w:t xml:space="preserve"> </w:t>
            </w:r>
            <w:proofErr w:type="spellStart"/>
            <w:r>
              <w:rPr>
                <w:b/>
              </w:rPr>
              <w:t>na</w:t>
            </w:r>
            <w:proofErr w:type="spellEnd"/>
            <w:r>
              <w:rPr>
                <w:b/>
              </w:rPr>
              <w:t xml:space="preserve"> </w:t>
            </w:r>
            <w:proofErr w:type="spellStart"/>
            <w:r>
              <w:rPr>
                <w:b/>
              </w:rPr>
              <w:t>wsparcie</w:t>
            </w:r>
            <w:proofErr w:type="spellEnd"/>
            <w:r>
              <w:rPr>
                <w:b/>
              </w:rPr>
              <w:t xml:space="preserve"> </w:t>
            </w:r>
            <w:proofErr w:type="spellStart"/>
            <w:r>
              <w:rPr>
                <w:b/>
              </w:rPr>
              <w:t>na</w:t>
            </w:r>
            <w:proofErr w:type="spellEnd"/>
            <w:r>
              <w:rPr>
                <w:b/>
              </w:rPr>
              <w:t xml:space="preserve"> </w:t>
            </w:r>
            <w:proofErr w:type="spellStart"/>
            <w:r>
              <w:rPr>
                <w:b/>
              </w:rPr>
              <w:t>rzecz</w:t>
            </w:r>
            <w:proofErr w:type="spellEnd"/>
            <w:r>
              <w:rPr>
                <w:b/>
              </w:rPr>
              <w:t xml:space="preserve"> </w:t>
            </w:r>
            <w:proofErr w:type="spellStart"/>
            <w:r>
              <w:rPr>
                <w:b/>
              </w:rPr>
              <w:t>ostatecznych</w:t>
            </w:r>
            <w:proofErr w:type="spellEnd"/>
            <w:r>
              <w:rPr>
                <w:b/>
              </w:rPr>
              <w:t xml:space="preserve"> </w:t>
            </w:r>
            <w:proofErr w:type="spellStart"/>
            <w:r>
              <w:rPr>
                <w:b/>
              </w:rPr>
              <w:t>odbiorców</w:t>
            </w:r>
            <w:proofErr w:type="spellEnd"/>
            <w:r>
              <w:rPr>
                <w:b/>
              </w:rPr>
              <w:t xml:space="preserve"> </w:t>
            </w:r>
            <w:proofErr w:type="spellStart"/>
            <w:r>
              <w:rPr>
                <w:b/>
              </w:rPr>
              <w:t>lub</w:t>
            </w:r>
            <w:proofErr w:type="spellEnd"/>
            <w:r>
              <w:rPr>
                <w:b/>
              </w:rPr>
              <w:t xml:space="preserve"> </w:t>
            </w:r>
            <w:proofErr w:type="spellStart"/>
            <w:r>
              <w:rPr>
                <w:b/>
              </w:rPr>
              <w:t>zaangażowanego</w:t>
            </w:r>
            <w:proofErr w:type="spellEnd"/>
            <w:r>
              <w:rPr>
                <w:b/>
              </w:rPr>
              <w:t xml:space="preserve"> </w:t>
            </w:r>
            <w:proofErr w:type="spellStart"/>
            <w:r>
              <w:rPr>
                <w:b/>
              </w:rPr>
              <w:t>przez</w:t>
            </w:r>
            <w:proofErr w:type="spellEnd"/>
            <w:r>
              <w:rPr>
                <w:b/>
              </w:rPr>
              <w:t xml:space="preserve"> instrument </w:t>
            </w:r>
            <w:proofErr w:type="spellStart"/>
            <w:r>
              <w:rPr>
                <w:b/>
              </w:rPr>
              <w:t>finansowy</w:t>
            </w:r>
            <w:proofErr w:type="spellEnd"/>
            <w:r>
              <w:rPr>
                <w:b/>
              </w:rPr>
              <w:t xml:space="preserve"> w </w:t>
            </w:r>
            <w:proofErr w:type="spellStart"/>
            <w:r>
              <w:rPr>
                <w:b/>
              </w:rPr>
              <w:t>ramach</w:t>
            </w:r>
            <w:proofErr w:type="spellEnd"/>
            <w:r>
              <w:rPr>
                <w:b/>
              </w:rPr>
              <w:t xml:space="preserve"> </w:t>
            </w:r>
            <w:proofErr w:type="spellStart"/>
            <w:r>
              <w:rPr>
                <w:b/>
              </w:rPr>
              <w:t>umów</w:t>
            </w:r>
            <w:proofErr w:type="spellEnd"/>
            <w:r>
              <w:rPr>
                <w:b/>
              </w:rPr>
              <w:t xml:space="preserve"> </w:t>
            </w:r>
            <w:proofErr w:type="spellStart"/>
            <w:r>
              <w:rPr>
                <w:b/>
              </w:rPr>
              <w:t>gwarancyjnych</w:t>
            </w:r>
            <w:proofErr w:type="spellEnd"/>
            <w:r>
              <w:rPr>
                <w:b/>
              </w:rPr>
              <w:t xml:space="preserve"> </w:t>
            </w:r>
            <w:proofErr w:type="spellStart"/>
            <w:r>
              <w:rPr>
                <w:b/>
              </w:rPr>
              <w:t>na</w:t>
            </w:r>
            <w:proofErr w:type="spellEnd"/>
            <w:r>
              <w:rPr>
                <w:b/>
              </w:rPr>
              <w:t xml:space="preserve"> </w:t>
            </w:r>
            <w:proofErr w:type="spellStart"/>
            <w:r>
              <w:rPr>
                <w:b/>
              </w:rPr>
              <w:t>inwestycje</w:t>
            </w:r>
            <w:proofErr w:type="spellEnd"/>
            <w:r>
              <w:rPr>
                <w:b/>
              </w:rPr>
              <w:t xml:space="preserve"> </w:t>
            </w:r>
            <w:proofErr w:type="spellStart"/>
            <w:r>
              <w:rPr>
                <w:b/>
              </w:rPr>
              <w:t>na</w:t>
            </w:r>
            <w:proofErr w:type="spellEnd"/>
            <w:r>
              <w:rPr>
                <w:b/>
              </w:rPr>
              <w:t xml:space="preserve"> </w:t>
            </w:r>
            <w:proofErr w:type="spellStart"/>
            <w:r>
              <w:rPr>
                <w:b/>
              </w:rPr>
              <w:t>rzecz</w:t>
            </w:r>
            <w:proofErr w:type="spellEnd"/>
            <w:r>
              <w:rPr>
                <w:b/>
              </w:rPr>
              <w:t xml:space="preserve"> </w:t>
            </w:r>
            <w:proofErr w:type="spellStart"/>
            <w:r>
              <w:rPr>
                <w:b/>
              </w:rPr>
              <w:t>ostatecznych</w:t>
            </w:r>
            <w:proofErr w:type="spellEnd"/>
            <w:r>
              <w:rPr>
                <w:b/>
              </w:rPr>
              <w:t xml:space="preserve"> </w:t>
            </w:r>
            <w:proofErr w:type="spellStart"/>
            <w:r>
              <w:rPr>
                <w:b/>
              </w:rPr>
              <w:t>odbiorców</w:t>
            </w:r>
            <w:proofErr w:type="spellEnd"/>
            <w:r>
              <w:rPr>
                <w:b/>
              </w:rPr>
              <w:t xml:space="preserve">, w </w:t>
            </w:r>
            <w:proofErr w:type="spellStart"/>
            <w:r>
              <w:rPr>
                <w:b/>
              </w:rPr>
              <w:t>podziale</w:t>
            </w:r>
            <w:proofErr w:type="spellEnd"/>
            <w:r>
              <w:rPr>
                <w:b/>
              </w:rPr>
              <w:t xml:space="preserve"> </w:t>
            </w:r>
            <w:proofErr w:type="spellStart"/>
            <w:r>
              <w:rPr>
                <w:b/>
              </w:rPr>
              <w:t>na</w:t>
            </w:r>
            <w:proofErr w:type="spellEnd"/>
            <w:r>
              <w:rPr>
                <w:b/>
              </w:rPr>
              <w:t xml:space="preserve"> </w:t>
            </w:r>
            <w:proofErr w:type="spellStart"/>
            <w:r>
              <w:rPr>
                <w:b/>
              </w:rPr>
              <w:t>programy</w:t>
            </w:r>
            <w:proofErr w:type="spellEnd"/>
            <w:r>
              <w:rPr>
                <w:b/>
              </w:rPr>
              <w:t xml:space="preserve"> i </w:t>
            </w:r>
            <w:proofErr w:type="spellStart"/>
            <w:r>
              <w:rPr>
                <w:b/>
              </w:rPr>
              <w:t>priorytety</w:t>
            </w:r>
            <w:proofErr w:type="spellEnd"/>
            <w:r>
              <w:rPr>
                <w:b/>
              </w:rPr>
              <w:t xml:space="preserve"> </w:t>
            </w:r>
            <w:proofErr w:type="spellStart"/>
            <w:r>
              <w:rPr>
                <w:b/>
              </w:rPr>
              <w:t>lub</w:t>
            </w:r>
            <w:proofErr w:type="spellEnd"/>
            <w:r>
              <w:rPr>
                <w:b/>
              </w:rPr>
              <w:t xml:space="preserve"> </w:t>
            </w:r>
            <w:proofErr w:type="spellStart"/>
            <w:r>
              <w:rPr>
                <w:b/>
              </w:rPr>
              <w:t>środki</w:t>
            </w:r>
            <w:proofErr w:type="spellEnd"/>
            <w:r>
              <w:rPr>
                <w:b/>
              </w:rPr>
              <w:t xml:space="preserve"> EFSI (art. 46 </w:t>
            </w:r>
            <w:proofErr w:type="spellStart"/>
            <w:r>
              <w:rPr>
                <w:b/>
              </w:rPr>
              <w:t>ust</w:t>
            </w:r>
            <w:proofErr w:type="spellEnd"/>
            <w:r>
              <w:rPr>
                <w:b/>
              </w:rPr>
              <w:t xml:space="preserve">. 2 lit. e) </w:t>
            </w:r>
            <w:proofErr w:type="spellStart"/>
            <w:r>
              <w:rPr>
                <w:b/>
              </w:rPr>
              <w:t>rozporządzenia</w:t>
            </w:r>
            <w:proofErr w:type="spellEnd"/>
            <w:r>
              <w:rPr>
                <w:b/>
              </w:rPr>
              <w:t xml:space="preserve"> (UE) nr 1303/2013)</w:t>
            </w:r>
          </w:p>
        </w:tc>
      </w:tr>
      <w:tr w:rsidR="006B2EC1" w14:paraId="3FC314D3" w14:textId="77777777" w:rsidTr="0047688D">
        <w:tc>
          <w:tcPr>
            <w:tcW w:w="0" w:type="auto"/>
            <w:shd w:val="clear" w:color="auto" w:fill="auto"/>
          </w:tcPr>
          <w:p w14:paraId="25B1A95C" w14:textId="77777777" w:rsidR="008C5CFA" w:rsidRDefault="00E82A60" w:rsidP="00300A01">
            <w:pPr>
              <w:spacing w:before="0" w:after="0"/>
            </w:pPr>
            <w:r>
              <w:rPr>
                <w:b/>
                <w:i/>
              </w:rPr>
              <w:t xml:space="preserve">22. </w:t>
            </w:r>
            <w:proofErr w:type="spellStart"/>
            <w:r>
              <w:rPr>
                <w:b/>
                <w:i/>
              </w:rPr>
              <w:t>Nazwa</w:t>
            </w:r>
            <w:proofErr w:type="spellEnd"/>
            <w:r>
              <w:rPr>
                <w:b/>
                <w:i/>
              </w:rPr>
              <w:t xml:space="preserve"> </w:t>
            </w:r>
            <w:proofErr w:type="spellStart"/>
            <w:r>
              <w:rPr>
                <w:b/>
                <w:i/>
              </w:rPr>
              <w:t>produktu</w:t>
            </w:r>
            <w:proofErr w:type="spellEnd"/>
            <w:r>
              <w:rPr>
                <w:b/>
                <w:i/>
              </w:rPr>
              <w:t xml:space="preserve"> </w:t>
            </w:r>
            <w:proofErr w:type="spellStart"/>
            <w:r>
              <w:rPr>
                <w:b/>
                <w:i/>
              </w:rPr>
              <w:t>finansowego</w:t>
            </w:r>
            <w:proofErr w:type="spellEnd"/>
            <w:r>
              <w:rPr>
                <w:b/>
                <w:i/>
              </w:rPr>
              <w:t xml:space="preserve"> </w:t>
            </w:r>
            <w:proofErr w:type="spellStart"/>
            <w:r>
              <w:rPr>
                <w:b/>
                <w:i/>
              </w:rPr>
              <w:t>oferowanego</w:t>
            </w:r>
            <w:proofErr w:type="spellEnd"/>
            <w:r>
              <w:rPr>
                <w:b/>
                <w:i/>
              </w:rPr>
              <w:t xml:space="preserve"> </w:t>
            </w:r>
            <w:proofErr w:type="spellStart"/>
            <w:r>
              <w:rPr>
                <w:b/>
                <w:i/>
              </w:rPr>
              <w:t>przez</w:t>
            </w:r>
            <w:proofErr w:type="spellEnd"/>
            <w:r>
              <w:rPr>
                <w:b/>
                <w:i/>
              </w:rPr>
              <w:t xml:space="preserve"> instrument </w:t>
            </w:r>
            <w:proofErr w:type="spellStart"/>
            <w:r>
              <w:rPr>
                <w:b/>
                <w:i/>
              </w:rPr>
              <w:t>finansowy</w:t>
            </w:r>
            <w:proofErr w:type="spellEnd"/>
          </w:p>
        </w:tc>
        <w:tc>
          <w:tcPr>
            <w:tcW w:w="0" w:type="auto"/>
            <w:shd w:val="clear" w:color="auto" w:fill="auto"/>
          </w:tcPr>
          <w:p w14:paraId="2BBAFE86" w14:textId="77777777" w:rsidR="008C5CFA" w:rsidRDefault="00E82A60" w:rsidP="00300A01">
            <w:pPr>
              <w:pStyle w:val="Nagwek3"/>
              <w:spacing w:before="0" w:after="0"/>
              <w:jc w:val="left"/>
            </w:pPr>
            <w:bookmarkStart w:id="101" w:name="_Toc46391784"/>
            <w:proofErr w:type="spellStart"/>
            <w:r>
              <w:rPr>
                <w:b/>
              </w:rPr>
              <w:t>Mikropożyczki</w:t>
            </w:r>
            <w:bookmarkEnd w:id="101"/>
            <w:proofErr w:type="spellEnd"/>
          </w:p>
        </w:tc>
      </w:tr>
      <w:tr w:rsidR="006B2EC1" w14:paraId="288BA46E" w14:textId="77777777" w:rsidTr="0047688D">
        <w:tc>
          <w:tcPr>
            <w:tcW w:w="0" w:type="auto"/>
            <w:shd w:val="clear" w:color="auto" w:fill="auto"/>
          </w:tcPr>
          <w:p w14:paraId="3A02BAB2" w14:textId="77777777" w:rsidR="008C5CFA" w:rsidRDefault="00E82A60" w:rsidP="00300A01">
            <w:pPr>
              <w:spacing w:before="0" w:after="0"/>
            </w:pPr>
            <w:r>
              <w:t xml:space="preserve">22.1. </w:t>
            </w:r>
            <w:proofErr w:type="spellStart"/>
            <w:r>
              <w:t>Rodzaj</w:t>
            </w:r>
            <w:proofErr w:type="spellEnd"/>
            <w:r>
              <w:t xml:space="preserve"> </w:t>
            </w:r>
            <w:proofErr w:type="spellStart"/>
            <w:r>
              <w:t>produktu</w:t>
            </w:r>
            <w:proofErr w:type="spellEnd"/>
            <w:r>
              <w:t xml:space="preserve"> </w:t>
            </w:r>
            <w:proofErr w:type="spellStart"/>
            <w:r>
              <w:t>finansowego</w:t>
            </w:r>
            <w:proofErr w:type="spellEnd"/>
            <w:r>
              <w:t xml:space="preserve"> </w:t>
            </w:r>
            <w:proofErr w:type="spellStart"/>
            <w:r>
              <w:t>oferowanego</w:t>
            </w:r>
            <w:proofErr w:type="spellEnd"/>
            <w:r>
              <w:t xml:space="preserve"> </w:t>
            </w:r>
            <w:proofErr w:type="spellStart"/>
            <w:r>
              <w:t>przez</w:t>
            </w:r>
            <w:proofErr w:type="spellEnd"/>
            <w:r>
              <w:t xml:space="preserve"> instrument </w:t>
            </w:r>
            <w:proofErr w:type="spellStart"/>
            <w:r>
              <w:t>finansowy</w:t>
            </w:r>
            <w:proofErr w:type="spellEnd"/>
          </w:p>
        </w:tc>
        <w:tc>
          <w:tcPr>
            <w:tcW w:w="0" w:type="auto"/>
            <w:shd w:val="clear" w:color="auto" w:fill="auto"/>
          </w:tcPr>
          <w:p w14:paraId="15C1028D" w14:textId="77777777" w:rsidR="008C5CFA" w:rsidRDefault="00E82A60" w:rsidP="00300A01">
            <w:pPr>
              <w:spacing w:before="0" w:after="0"/>
              <w:jc w:val="left"/>
            </w:pPr>
            <w:proofErr w:type="spellStart"/>
            <w:r>
              <w:t>Pożyczka</w:t>
            </w:r>
            <w:proofErr w:type="spellEnd"/>
          </w:p>
        </w:tc>
      </w:tr>
      <w:tr w:rsidR="006B2EC1" w14:paraId="665EB7E5" w14:textId="77777777" w:rsidTr="0047688D">
        <w:tc>
          <w:tcPr>
            <w:tcW w:w="0" w:type="auto"/>
            <w:shd w:val="clear" w:color="auto" w:fill="auto"/>
          </w:tcPr>
          <w:p w14:paraId="102FD533" w14:textId="77777777" w:rsidR="008C5CFA" w:rsidRDefault="00E82A60" w:rsidP="00300A01">
            <w:pPr>
              <w:spacing w:before="0" w:after="0"/>
            </w:pPr>
            <w:r>
              <w:t xml:space="preserve">24. </w:t>
            </w:r>
            <w:proofErr w:type="spellStart"/>
            <w:r>
              <w:t>Łączna</w:t>
            </w:r>
            <w:proofErr w:type="spellEnd"/>
            <w:r>
              <w:t xml:space="preserve"> </w:t>
            </w:r>
            <w:proofErr w:type="spellStart"/>
            <w:r>
              <w:t>kwota</w:t>
            </w:r>
            <w:proofErr w:type="spellEnd"/>
            <w:r>
              <w:t xml:space="preserve"> </w:t>
            </w:r>
            <w:proofErr w:type="spellStart"/>
            <w:r>
              <w:t>wkładów</w:t>
            </w:r>
            <w:proofErr w:type="spellEnd"/>
            <w:r>
              <w:t xml:space="preserve"> z </w:t>
            </w:r>
            <w:proofErr w:type="spellStart"/>
            <w:r>
              <w:t>programu</w:t>
            </w:r>
            <w:proofErr w:type="spellEnd"/>
            <w:r>
              <w:t xml:space="preserve"> </w:t>
            </w:r>
            <w:proofErr w:type="spellStart"/>
            <w:r>
              <w:t>zaangażowanych</w:t>
            </w:r>
            <w:proofErr w:type="spellEnd"/>
            <w:r>
              <w:t xml:space="preserve"> w </w:t>
            </w:r>
            <w:proofErr w:type="spellStart"/>
            <w:r>
              <w:t>ramach</w:t>
            </w:r>
            <w:proofErr w:type="spellEnd"/>
            <w:r>
              <w:t xml:space="preserve"> </w:t>
            </w:r>
            <w:proofErr w:type="spellStart"/>
            <w:r>
              <w:t>tej</w:t>
            </w:r>
            <w:proofErr w:type="spellEnd"/>
            <w:r>
              <w:t xml:space="preserve"> </w:t>
            </w:r>
            <w:proofErr w:type="spellStart"/>
            <w:r>
              <w:t>pożyczki</w:t>
            </w:r>
            <w:proofErr w:type="spellEnd"/>
            <w:r>
              <w:t xml:space="preserve">, </w:t>
            </w:r>
            <w:proofErr w:type="spellStart"/>
            <w:r>
              <w:t>umów</w:t>
            </w:r>
            <w:proofErr w:type="spellEnd"/>
            <w:r>
              <w:t xml:space="preserve"> </w:t>
            </w:r>
            <w:proofErr w:type="spellStart"/>
            <w:r>
              <w:t>gwarancyjnych</w:t>
            </w:r>
            <w:proofErr w:type="spellEnd"/>
            <w:r>
              <w:t xml:space="preserve">, </w:t>
            </w:r>
            <w:proofErr w:type="spellStart"/>
            <w:r>
              <w:t>umów</w:t>
            </w:r>
            <w:proofErr w:type="spellEnd"/>
            <w:r>
              <w:t xml:space="preserve"> o </w:t>
            </w:r>
            <w:proofErr w:type="spellStart"/>
            <w:r>
              <w:t>produkty</w:t>
            </w:r>
            <w:proofErr w:type="spellEnd"/>
            <w:r>
              <w:t xml:space="preserve"> </w:t>
            </w:r>
            <w:proofErr w:type="spellStart"/>
            <w:r>
              <w:t>kapitałowe</w:t>
            </w:r>
            <w:proofErr w:type="spellEnd"/>
            <w:r>
              <w:t>, quasi-</w:t>
            </w:r>
            <w:proofErr w:type="spellStart"/>
            <w:r>
              <w:t>kapitałowe</w:t>
            </w:r>
            <w:proofErr w:type="spellEnd"/>
            <w:r>
              <w:t xml:space="preserve"> </w:t>
            </w:r>
            <w:proofErr w:type="spellStart"/>
            <w:r>
              <w:t>lub</w:t>
            </w:r>
            <w:proofErr w:type="spellEnd"/>
            <w:r>
              <w:t xml:space="preserve"> </w:t>
            </w:r>
            <w:proofErr w:type="spellStart"/>
            <w:r>
              <w:t>inne</w:t>
            </w:r>
            <w:proofErr w:type="spellEnd"/>
            <w:r>
              <w:t xml:space="preserve"> </w:t>
            </w:r>
            <w:proofErr w:type="spellStart"/>
            <w:r>
              <w:t>produkty</w:t>
            </w:r>
            <w:proofErr w:type="spellEnd"/>
            <w:r>
              <w:t xml:space="preserve"> </w:t>
            </w:r>
            <w:proofErr w:type="spellStart"/>
            <w:r>
              <w:t>finansowe</w:t>
            </w:r>
            <w:proofErr w:type="spellEnd"/>
            <w:r>
              <w:t xml:space="preserve"> z </w:t>
            </w:r>
            <w:proofErr w:type="spellStart"/>
            <w:r>
              <w:t>ostatecznymi</w:t>
            </w:r>
            <w:proofErr w:type="spellEnd"/>
            <w:r>
              <w:t xml:space="preserve"> </w:t>
            </w:r>
            <w:proofErr w:type="spellStart"/>
            <w:r>
              <w:t>odbiorcami</w:t>
            </w:r>
            <w:proofErr w:type="spellEnd"/>
            <w:r>
              <w:t xml:space="preserve"> (w EUR)</w:t>
            </w:r>
          </w:p>
        </w:tc>
        <w:tc>
          <w:tcPr>
            <w:tcW w:w="0" w:type="auto"/>
            <w:shd w:val="clear" w:color="auto" w:fill="auto"/>
          </w:tcPr>
          <w:p w14:paraId="1612B2B6" w14:textId="77777777" w:rsidR="008C5CFA" w:rsidRDefault="00E82A60" w:rsidP="00300A01">
            <w:pPr>
              <w:spacing w:before="0" w:after="0"/>
              <w:jc w:val="right"/>
            </w:pPr>
            <w:r>
              <w:t>1 791 220,30</w:t>
            </w:r>
          </w:p>
        </w:tc>
      </w:tr>
      <w:tr w:rsidR="006B2EC1" w14:paraId="39E61485" w14:textId="77777777" w:rsidTr="0047688D">
        <w:tc>
          <w:tcPr>
            <w:tcW w:w="0" w:type="auto"/>
            <w:shd w:val="clear" w:color="auto" w:fill="auto"/>
          </w:tcPr>
          <w:p w14:paraId="5AC1CCD8" w14:textId="77777777" w:rsidR="008C5CFA" w:rsidRDefault="00E82A60" w:rsidP="00300A01">
            <w:pPr>
              <w:spacing w:before="0" w:after="0"/>
            </w:pPr>
            <w:r>
              <w:t xml:space="preserve">24.1. w </w:t>
            </w:r>
            <w:proofErr w:type="spellStart"/>
            <w:r>
              <w:t>tym</w:t>
            </w:r>
            <w:proofErr w:type="spellEnd"/>
            <w:r>
              <w:t xml:space="preserve"> </w:t>
            </w:r>
            <w:proofErr w:type="spellStart"/>
            <w:r>
              <w:t>łączna</w:t>
            </w:r>
            <w:proofErr w:type="spellEnd"/>
            <w:r>
              <w:t xml:space="preserve"> </w:t>
            </w:r>
            <w:proofErr w:type="spellStart"/>
            <w:r>
              <w:t>kwota</w:t>
            </w:r>
            <w:proofErr w:type="spellEnd"/>
            <w:r>
              <w:t xml:space="preserve"> </w:t>
            </w:r>
            <w:proofErr w:type="spellStart"/>
            <w:r>
              <w:t>wkładów</w:t>
            </w:r>
            <w:proofErr w:type="spellEnd"/>
            <w:r>
              <w:t xml:space="preserve"> z EFSI (w EUR)</w:t>
            </w:r>
          </w:p>
        </w:tc>
        <w:tc>
          <w:tcPr>
            <w:tcW w:w="0" w:type="auto"/>
            <w:shd w:val="clear" w:color="auto" w:fill="auto"/>
          </w:tcPr>
          <w:p w14:paraId="57DC4F96" w14:textId="77777777" w:rsidR="008C5CFA" w:rsidRDefault="00E82A60" w:rsidP="00300A01">
            <w:pPr>
              <w:spacing w:before="0" w:after="0"/>
              <w:jc w:val="right"/>
            </w:pPr>
            <w:r>
              <w:t>1 468 800,65</w:t>
            </w:r>
          </w:p>
        </w:tc>
      </w:tr>
      <w:tr w:rsidR="006B2EC1" w14:paraId="78EBEBF2" w14:textId="77777777" w:rsidTr="0047688D">
        <w:tc>
          <w:tcPr>
            <w:tcW w:w="0" w:type="auto"/>
            <w:shd w:val="clear" w:color="auto" w:fill="auto"/>
          </w:tcPr>
          <w:p w14:paraId="4AAE02CA" w14:textId="77777777" w:rsidR="008C5CFA" w:rsidRDefault="00E82A60" w:rsidP="00300A01">
            <w:pPr>
              <w:spacing w:before="0" w:after="0"/>
            </w:pPr>
            <w:r>
              <w:t xml:space="preserve">25. </w:t>
            </w:r>
            <w:proofErr w:type="spellStart"/>
            <w:r>
              <w:t>Łączna</w:t>
            </w:r>
            <w:proofErr w:type="spellEnd"/>
            <w:r>
              <w:t xml:space="preserve"> </w:t>
            </w:r>
            <w:proofErr w:type="spellStart"/>
            <w:r>
              <w:t>kwota</w:t>
            </w:r>
            <w:proofErr w:type="spellEnd"/>
            <w:r>
              <w:t xml:space="preserve"> </w:t>
            </w:r>
            <w:proofErr w:type="spellStart"/>
            <w:r>
              <w:t>wkładów</w:t>
            </w:r>
            <w:proofErr w:type="spellEnd"/>
            <w:r>
              <w:t xml:space="preserve"> z </w:t>
            </w:r>
            <w:proofErr w:type="spellStart"/>
            <w:r>
              <w:t>programu</w:t>
            </w:r>
            <w:proofErr w:type="spellEnd"/>
            <w:r>
              <w:t xml:space="preserve"> </w:t>
            </w:r>
            <w:proofErr w:type="spellStart"/>
            <w:r>
              <w:t>wypłacona</w:t>
            </w:r>
            <w:proofErr w:type="spellEnd"/>
            <w:r>
              <w:t xml:space="preserve"> </w:t>
            </w:r>
            <w:proofErr w:type="spellStart"/>
            <w:r>
              <w:t>ostatecznym</w:t>
            </w:r>
            <w:proofErr w:type="spellEnd"/>
            <w:r>
              <w:t xml:space="preserve"> </w:t>
            </w:r>
            <w:proofErr w:type="spellStart"/>
            <w:r>
              <w:t>odbiorcom</w:t>
            </w:r>
            <w:proofErr w:type="spellEnd"/>
            <w:r>
              <w:t xml:space="preserve"> w </w:t>
            </w:r>
            <w:proofErr w:type="spellStart"/>
            <w:r>
              <w:t>formie</w:t>
            </w:r>
            <w:proofErr w:type="spellEnd"/>
            <w:r>
              <w:t xml:space="preserve"> </w:t>
            </w:r>
            <w:proofErr w:type="spellStart"/>
            <w:r>
              <w:t>tej</w:t>
            </w:r>
            <w:proofErr w:type="spellEnd"/>
            <w:r>
              <w:t xml:space="preserve"> </w:t>
            </w:r>
            <w:proofErr w:type="spellStart"/>
            <w:r>
              <w:t>pożyczki</w:t>
            </w:r>
            <w:proofErr w:type="spellEnd"/>
            <w:r>
              <w:t xml:space="preserve">, </w:t>
            </w:r>
            <w:proofErr w:type="spellStart"/>
            <w:r>
              <w:t>mikropożyczek</w:t>
            </w:r>
            <w:proofErr w:type="spellEnd"/>
            <w:r>
              <w:t xml:space="preserve">, </w:t>
            </w:r>
            <w:proofErr w:type="spellStart"/>
            <w:r>
              <w:t>kapitału</w:t>
            </w:r>
            <w:proofErr w:type="spellEnd"/>
            <w:r>
              <w:t xml:space="preserve"> </w:t>
            </w:r>
            <w:proofErr w:type="spellStart"/>
            <w:r>
              <w:t>lub</w:t>
            </w:r>
            <w:proofErr w:type="spellEnd"/>
            <w:r>
              <w:t xml:space="preserve"> </w:t>
            </w:r>
            <w:proofErr w:type="spellStart"/>
            <w:r>
              <w:t>innych</w:t>
            </w:r>
            <w:proofErr w:type="spellEnd"/>
            <w:r>
              <w:t xml:space="preserve"> </w:t>
            </w:r>
            <w:proofErr w:type="spellStart"/>
            <w:r>
              <w:t>produktów</w:t>
            </w:r>
            <w:proofErr w:type="spellEnd"/>
            <w:r>
              <w:t xml:space="preserve"> </w:t>
            </w:r>
            <w:proofErr w:type="spellStart"/>
            <w:r>
              <w:t>lub</w:t>
            </w:r>
            <w:proofErr w:type="spellEnd"/>
            <w:r>
              <w:t xml:space="preserve"> w </w:t>
            </w:r>
            <w:proofErr w:type="spellStart"/>
            <w:r>
              <w:t>przypadku</w:t>
            </w:r>
            <w:proofErr w:type="spellEnd"/>
            <w:r>
              <w:t xml:space="preserve"> </w:t>
            </w:r>
            <w:proofErr w:type="spellStart"/>
            <w:r>
              <w:t>gwarancji</w:t>
            </w:r>
            <w:proofErr w:type="spellEnd"/>
            <w:r>
              <w:t xml:space="preserve"> </w:t>
            </w:r>
            <w:proofErr w:type="spellStart"/>
            <w:r>
              <w:t>przeznaczona</w:t>
            </w:r>
            <w:proofErr w:type="spellEnd"/>
            <w:r>
              <w:t xml:space="preserve"> </w:t>
            </w:r>
            <w:proofErr w:type="spellStart"/>
            <w:r>
              <w:t>na</w:t>
            </w:r>
            <w:proofErr w:type="spellEnd"/>
            <w:r>
              <w:t xml:space="preserve"> </w:t>
            </w:r>
            <w:proofErr w:type="spellStart"/>
            <w:r>
              <w:t>pożyczki</w:t>
            </w:r>
            <w:proofErr w:type="spellEnd"/>
            <w:r>
              <w:t xml:space="preserve"> </w:t>
            </w:r>
            <w:proofErr w:type="spellStart"/>
            <w:r>
              <w:t>wypłacone</w:t>
            </w:r>
            <w:proofErr w:type="spellEnd"/>
            <w:r>
              <w:t xml:space="preserve"> </w:t>
            </w:r>
            <w:proofErr w:type="spellStart"/>
            <w:r>
              <w:t>ostatecznym</w:t>
            </w:r>
            <w:proofErr w:type="spellEnd"/>
            <w:r>
              <w:t xml:space="preserve"> </w:t>
            </w:r>
            <w:proofErr w:type="spellStart"/>
            <w:r>
              <w:t>odbiorcom</w:t>
            </w:r>
            <w:proofErr w:type="spellEnd"/>
            <w:r>
              <w:t xml:space="preserve">, </w:t>
            </w:r>
            <w:proofErr w:type="spellStart"/>
            <w:r>
              <w:t>według</w:t>
            </w:r>
            <w:proofErr w:type="spellEnd"/>
            <w:r>
              <w:t xml:space="preserve"> </w:t>
            </w:r>
            <w:proofErr w:type="spellStart"/>
            <w:r>
              <w:t>produktów</w:t>
            </w:r>
            <w:proofErr w:type="spellEnd"/>
            <w:r>
              <w:t xml:space="preserve"> (w EUR)</w:t>
            </w:r>
          </w:p>
        </w:tc>
        <w:tc>
          <w:tcPr>
            <w:tcW w:w="0" w:type="auto"/>
            <w:shd w:val="clear" w:color="auto" w:fill="auto"/>
          </w:tcPr>
          <w:p w14:paraId="10ADDC5F" w14:textId="77777777" w:rsidR="008C5CFA" w:rsidRDefault="00E82A60" w:rsidP="00300A01">
            <w:pPr>
              <w:spacing w:before="0" w:after="0"/>
              <w:jc w:val="right"/>
            </w:pPr>
            <w:r>
              <w:t>1 791 220,30</w:t>
            </w:r>
          </w:p>
        </w:tc>
      </w:tr>
      <w:tr w:rsidR="006B2EC1" w14:paraId="62AECA9A" w14:textId="77777777" w:rsidTr="0047688D">
        <w:tc>
          <w:tcPr>
            <w:tcW w:w="0" w:type="auto"/>
            <w:shd w:val="clear" w:color="auto" w:fill="auto"/>
          </w:tcPr>
          <w:p w14:paraId="0DC78F0A" w14:textId="77777777" w:rsidR="008C5CFA" w:rsidRDefault="00E82A60" w:rsidP="00300A01">
            <w:pPr>
              <w:spacing w:before="0" w:after="0"/>
            </w:pPr>
            <w:r>
              <w:t xml:space="preserve">25.1. w </w:t>
            </w:r>
            <w:proofErr w:type="spellStart"/>
            <w:r>
              <w:t>tym</w:t>
            </w:r>
            <w:proofErr w:type="spellEnd"/>
            <w:r>
              <w:t xml:space="preserve"> </w:t>
            </w:r>
            <w:proofErr w:type="spellStart"/>
            <w:r>
              <w:t>łączna</w:t>
            </w:r>
            <w:proofErr w:type="spellEnd"/>
            <w:r>
              <w:t xml:space="preserve"> </w:t>
            </w:r>
            <w:proofErr w:type="spellStart"/>
            <w:r>
              <w:t>kwota</w:t>
            </w:r>
            <w:proofErr w:type="spellEnd"/>
            <w:r>
              <w:t xml:space="preserve"> </w:t>
            </w:r>
            <w:proofErr w:type="spellStart"/>
            <w:r>
              <w:t>wkładów</w:t>
            </w:r>
            <w:proofErr w:type="spellEnd"/>
            <w:r>
              <w:t xml:space="preserve"> z EFSI (w EUR)</w:t>
            </w:r>
          </w:p>
        </w:tc>
        <w:tc>
          <w:tcPr>
            <w:tcW w:w="0" w:type="auto"/>
            <w:shd w:val="clear" w:color="auto" w:fill="auto"/>
          </w:tcPr>
          <w:p w14:paraId="3BC72A4E" w14:textId="77777777" w:rsidR="008C5CFA" w:rsidRDefault="00E82A60" w:rsidP="00300A01">
            <w:pPr>
              <w:spacing w:before="0" w:after="0"/>
              <w:jc w:val="right"/>
            </w:pPr>
            <w:r>
              <w:t>1 468 800,65</w:t>
            </w:r>
          </w:p>
        </w:tc>
      </w:tr>
      <w:tr w:rsidR="006B2EC1" w14:paraId="72EECC38" w14:textId="77777777" w:rsidTr="0047688D">
        <w:tc>
          <w:tcPr>
            <w:tcW w:w="0" w:type="auto"/>
            <w:shd w:val="clear" w:color="auto" w:fill="auto"/>
          </w:tcPr>
          <w:p w14:paraId="669F4EBC" w14:textId="77777777" w:rsidR="008C5CFA" w:rsidRDefault="00E82A60" w:rsidP="00300A01">
            <w:pPr>
              <w:spacing w:before="0" w:after="0"/>
            </w:pPr>
            <w:r>
              <w:t xml:space="preserve">25.1.1. w </w:t>
            </w:r>
            <w:proofErr w:type="spellStart"/>
            <w:r>
              <w:t>tym</w:t>
            </w:r>
            <w:proofErr w:type="spellEnd"/>
            <w:r>
              <w:t xml:space="preserve"> EFRR (w EUR)</w:t>
            </w:r>
          </w:p>
        </w:tc>
        <w:tc>
          <w:tcPr>
            <w:tcW w:w="0" w:type="auto"/>
            <w:shd w:val="clear" w:color="auto" w:fill="auto"/>
          </w:tcPr>
          <w:p w14:paraId="089C6581" w14:textId="77777777" w:rsidR="008C5CFA" w:rsidRDefault="008C5CFA" w:rsidP="00300A01">
            <w:pPr>
              <w:spacing w:before="0" w:after="0"/>
              <w:jc w:val="right"/>
            </w:pPr>
          </w:p>
        </w:tc>
      </w:tr>
      <w:tr w:rsidR="006B2EC1" w14:paraId="2B7C8524" w14:textId="77777777" w:rsidTr="0047688D">
        <w:tc>
          <w:tcPr>
            <w:tcW w:w="0" w:type="auto"/>
            <w:shd w:val="clear" w:color="auto" w:fill="auto"/>
          </w:tcPr>
          <w:p w14:paraId="4E1D6FB0" w14:textId="77777777" w:rsidR="008C5CFA" w:rsidRDefault="00E82A60" w:rsidP="00300A01">
            <w:pPr>
              <w:spacing w:before="0" w:after="0"/>
            </w:pPr>
            <w:r>
              <w:t xml:space="preserve">25.1.2. w </w:t>
            </w:r>
            <w:proofErr w:type="spellStart"/>
            <w:r>
              <w:t>tym</w:t>
            </w:r>
            <w:proofErr w:type="spellEnd"/>
            <w:r>
              <w:t xml:space="preserve"> </w:t>
            </w:r>
            <w:proofErr w:type="spellStart"/>
            <w:r>
              <w:t>Fundusz</w:t>
            </w:r>
            <w:proofErr w:type="spellEnd"/>
            <w:r>
              <w:t xml:space="preserve"> </w:t>
            </w:r>
            <w:proofErr w:type="spellStart"/>
            <w:r>
              <w:t>Spójności</w:t>
            </w:r>
            <w:proofErr w:type="spellEnd"/>
            <w:r>
              <w:t xml:space="preserve"> (w EUR)</w:t>
            </w:r>
          </w:p>
        </w:tc>
        <w:tc>
          <w:tcPr>
            <w:tcW w:w="0" w:type="auto"/>
            <w:shd w:val="clear" w:color="auto" w:fill="auto"/>
          </w:tcPr>
          <w:p w14:paraId="5A5289C7" w14:textId="77777777" w:rsidR="008C5CFA" w:rsidRDefault="008C5CFA" w:rsidP="00300A01">
            <w:pPr>
              <w:spacing w:before="0" w:after="0"/>
              <w:jc w:val="right"/>
            </w:pPr>
          </w:p>
        </w:tc>
      </w:tr>
      <w:tr w:rsidR="006B2EC1" w14:paraId="2F9BA767" w14:textId="77777777" w:rsidTr="0047688D">
        <w:tc>
          <w:tcPr>
            <w:tcW w:w="0" w:type="auto"/>
            <w:shd w:val="clear" w:color="auto" w:fill="auto"/>
          </w:tcPr>
          <w:p w14:paraId="630C747E" w14:textId="77777777" w:rsidR="008C5CFA" w:rsidRDefault="00E82A60" w:rsidP="00300A01">
            <w:pPr>
              <w:spacing w:before="0" w:after="0"/>
            </w:pPr>
            <w:r>
              <w:t xml:space="preserve">25.1.3. w </w:t>
            </w:r>
            <w:proofErr w:type="spellStart"/>
            <w:r>
              <w:t>tym</w:t>
            </w:r>
            <w:proofErr w:type="spellEnd"/>
            <w:r>
              <w:t xml:space="preserve"> EFS (w EUR)</w:t>
            </w:r>
          </w:p>
        </w:tc>
        <w:tc>
          <w:tcPr>
            <w:tcW w:w="0" w:type="auto"/>
            <w:shd w:val="clear" w:color="auto" w:fill="auto"/>
          </w:tcPr>
          <w:p w14:paraId="6FDDEB60" w14:textId="77777777" w:rsidR="008C5CFA" w:rsidRDefault="00E82A60" w:rsidP="00300A01">
            <w:pPr>
              <w:spacing w:before="0" w:after="0"/>
              <w:jc w:val="right"/>
            </w:pPr>
            <w:r>
              <w:t>1 468 800,65</w:t>
            </w:r>
          </w:p>
        </w:tc>
      </w:tr>
      <w:tr w:rsidR="006B2EC1" w14:paraId="327A87B3" w14:textId="77777777" w:rsidTr="0047688D">
        <w:tc>
          <w:tcPr>
            <w:tcW w:w="0" w:type="auto"/>
            <w:shd w:val="clear" w:color="auto" w:fill="auto"/>
          </w:tcPr>
          <w:p w14:paraId="0171F90E" w14:textId="77777777" w:rsidR="008C5CFA" w:rsidRDefault="00E82A60" w:rsidP="00300A01">
            <w:pPr>
              <w:spacing w:before="0" w:after="0"/>
            </w:pPr>
            <w:r>
              <w:t xml:space="preserve">25.1.4. w </w:t>
            </w:r>
            <w:proofErr w:type="spellStart"/>
            <w:r>
              <w:t>tym</w:t>
            </w:r>
            <w:proofErr w:type="spellEnd"/>
            <w:r>
              <w:t xml:space="preserve"> EFRROW (w EUR)</w:t>
            </w:r>
          </w:p>
        </w:tc>
        <w:tc>
          <w:tcPr>
            <w:tcW w:w="0" w:type="auto"/>
            <w:shd w:val="clear" w:color="auto" w:fill="auto"/>
          </w:tcPr>
          <w:p w14:paraId="0C6C5160" w14:textId="77777777" w:rsidR="008C5CFA" w:rsidRDefault="008C5CFA" w:rsidP="00300A01">
            <w:pPr>
              <w:spacing w:before="0" w:after="0"/>
              <w:jc w:val="right"/>
            </w:pPr>
          </w:p>
        </w:tc>
      </w:tr>
      <w:tr w:rsidR="006B2EC1" w14:paraId="62E0C655" w14:textId="77777777" w:rsidTr="0047688D">
        <w:tc>
          <w:tcPr>
            <w:tcW w:w="0" w:type="auto"/>
            <w:shd w:val="clear" w:color="auto" w:fill="auto"/>
          </w:tcPr>
          <w:p w14:paraId="21B4A95F" w14:textId="77777777" w:rsidR="008C5CFA" w:rsidRDefault="00E82A60" w:rsidP="00300A01">
            <w:pPr>
              <w:spacing w:before="0" w:after="0"/>
            </w:pPr>
            <w:r>
              <w:lastRenderedPageBreak/>
              <w:t xml:space="preserve">25.1.5. w </w:t>
            </w:r>
            <w:proofErr w:type="spellStart"/>
            <w:r>
              <w:t>tym</w:t>
            </w:r>
            <w:proofErr w:type="spellEnd"/>
            <w:r>
              <w:t xml:space="preserve"> EFMR (w EUR)</w:t>
            </w:r>
          </w:p>
        </w:tc>
        <w:tc>
          <w:tcPr>
            <w:tcW w:w="0" w:type="auto"/>
            <w:shd w:val="clear" w:color="auto" w:fill="auto"/>
          </w:tcPr>
          <w:p w14:paraId="2AD25A59" w14:textId="77777777" w:rsidR="008C5CFA" w:rsidRDefault="008C5CFA" w:rsidP="00300A01">
            <w:pPr>
              <w:spacing w:before="0" w:after="0"/>
              <w:jc w:val="right"/>
            </w:pPr>
          </w:p>
        </w:tc>
      </w:tr>
      <w:tr w:rsidR="006B2EC1" w14:paraId="664B1311" w14:textId="77777777" w:rsidTr="0047688D">
        <w:tc>
          <w:tcPr>
            <w:tcW w:w="0" w:type="auto"/>
            <w:shd w:val="clear" w:color="auto" w:fill="auto"/>
          </w:tcPr>
          <w:p w14:paraId="6425A3B3" w14:textId="77777777" w:rsidR="008C5CFA" w:rsidRDefault="00E82A60" w:rsidP="00300A01">
            <w:pPr>
              <w:spacing w:before="0" w:after="0"/>
            </w:pPr>
            <w:r>
              <w:t xml:space="preserve">25.2. w </w:t>
            </w:r>
            <w:proofErr w:type="spellStart"/>
            <w:r>
              <w:t>tym</w:t>
            </w:r>
            <w:proofErr w:type="spellEnd"/>
            <w:r>
              <w:t xml:space="preserve"> </w:t>
            </w:r>
            <w:proofErr w:type="spellStart"/>
            <w:r>
              <w:t>łączna</w:t>
            </w:r>
            <w:proofErr w:type="spellEnd"/>
            <w:r>
              <w:t xml:space="preserve"> </w:t>
            </w:r>
            <w:proofErr w:type="spellStart"/>
            <w:r>
              <w:t>kwota</w:t>
            </w:r>
            <w:proofErr w:type="spellEnd"/>
            <w:r>
              <w:t xml:space="preserve"> </w:t>
            </w:r>
            <w:proofErr w:type="spellStart"/>
            <w:r>
              <w:t>krajowego</w:t>
            </w:r>
            <w:proofErr w:type="spellEnd"/>
            <w:r>
              <w:t xml:space="preserve"> </w:t>
            </w:r>
            <w:proofErr w:type="spellStart"/>
            <w:r>
              <w:t>współfinansowania</w:t>
            </w:r>
            <w:proofErr w:type="spellEnd"/>
            <w:r>
              <w:t xml:space="preserve"> </w:t>
            </w:r>
            <w:proofErr w:type="spellStart"/>
            <w:r>
              <w:t>publicznego</w:t>
            </w:r>
            <w:proofErr w:type="spellEnd"/>
            <w:r>
              <w:t xml:space="preserve"> (w EUR)</w:t>
            </w:r>
          </w:p>
        </w:tc>
        <w:tc>
          <w:tcPr>
            <w:tcW w:w="0" w:type="auto"/>
            <w:shd w:val="clear" w:color="auto" w:fill="auto"/>
          </w:tcPr>
          <w:p w14:paraId="1305F314" w14:textId="77777777" w:rsidR="008C5CFA" w:rsidRDefault="008C5CFA" w:rsidP="00300A01">
            <w:pPr>
              <w:spacing w:before="0" w:after="0"/>
              <w:jc w:val="right"/>
            </w:pPr>
          </w:p>
        </w:tc>
      </w:tr>
      <w:tr w:rsidR="006B2EC1" w14:paraId="031C70DA" w14:textId="77777777" w:rsidTr="0047688D">
        <w:tc>
          <w:tcPr>
            <w:tcW w:w="0" w:type="auto"/>
            <w:shd w:val="clear" w:color="auto" w:fill="auto"/>
          </w:tcPr>
          <w:p w14:paraId="692753FB" w14:textId="77777777" w:rsidR="008C5CFA" w:rsidRDefault="00E82A60" w:rsidP="00300A01">
            <w:pPr>
              <w:spacing w:before="0" w:after="0"/>
            </w:pPr>
            <w:r>
              <w:t xml:space="preserve">25.3. w </w:t>
            </w:r>
            <w:proofErr w:type="spellStart"/>
            <w:r>
              <w:t>tym</w:t>
            </w:r>
            <w:proofErr w:type="spellEnd"/>
            <w:r>
              <w:t xml:space="preserve"> </w:t>
            </w:r>
            <w:proofErr w:type="spellStart"/>
            <w:r>
              <w:t>łączna</w:t>
            </w:r>
            <w:proofErr w:type="spellEnd"/>
            <w:r>
              <w:t xml:space="preserve"> </w:t>
            </w:r>
            <w:proofErr w:type="spellStart"/>
            <w:r>
              <w:t>kwota</w:t>
            </w:r>
            <w:proofErr w:type="spellEnd"/>
            <w:r>
              <w:t xml:space="preserve"> </w:t>
            </w:r>
            <w:proofErr w:type="spellStart"/>
            <w:r>
              <w:t>krajowego</w:t>
            </w:r>
            <w:proofErr w:type="spellEnd"/>
            <w:r>
              <w:t xml:space="preserve"> </w:t>
            </w:r>
            <w:proofErr w:type="spellStart"/>
            <w:r>
              <w:t>współfinansowania</w:t>
            </w:r>
            <w:proofErr w:type="spellEnd"/>
            <w:r>
              <w:t xml:space="preserve"> </w:t>
            </w:r>
            <w:proofErr w:type="spellStart"/>
            <w:r>
              <w:t>prywatnego</w:t>
            </w:r>
            <w:proofErr w:type="spellEnd"/>
            <w:r>
              <w:t xml:space="preserve"> (w EUR)</w:t>
            </w:r>
          </w:p>
        </w:tc>
        <w:tc>
          <w:tcPr>
            <w:tcW w:w="0" w:type="auto"/>
            <w:shd w:val="clear" w:color="auto" w:fill="auto"/>
          </w:tcPr>
          <w:p w14:paraId="24CDB81A" w14:textId="77777777" w:rsidR="008C5CFA" w:rsidRDefault="00E82A60" w:rsidP="00300A01">
            <w:pPr>
              <w:spacing w:before="0" w:after="0"/>
              <w:jc w:val="right"/>
            </w:pPr>
            <w:r>
              <w:t>322 419,65</w:t>
            </w:r>
          </w:p>
        </w:tc>
      </w:tr>
      <w:tr w:rsidR="006B2EC1" w14:paraId="3D2B9716" w14:textId="77777777" w:rsidTr="0047688D">
        <w:tc>
          <w:tcPr>
            <w:tcW w:w="0" w:type="auto"/>
            <w:shd w:val="clear" w:color="auto" w:fill="auto"/>
          </w:tcPr>
          <w:p w14:paraId="7521FF88" w14:textId="77777777" w:rsidR="008C5CFA" w:rsidRDefault="00E82A60" w:rsidP="00300A01">
            <w:pPr>
              <w:spacing w:before="0" w:after="0"/>
            </w:pPr>
            <w:r>
              <w:t xml:space="preserve">27. </w:t>
            </w:r>
            <w:proofErr w:type="spellStart"/>
            <w:r>
              <w:t>Liczba</w:t>
            </w:r>
            <w:proofErr w:type="spellEnd"/>
            <w:r>
              <w:t xml:space="preserve"> </w:t>
            </w:r>
            <w:proofErr w:type="spellStart"/>
            <w:r>
              <w:t>umów</w:t>
            </w:r>
            <w:proofErr w:type="spellEnd"/>
            <w:r>
              <w:t xml:space="preserve"> </w:t>
            </w:r>
            <w:proofErr w:type="spellStart"/>
            <w:r>
              <w:t>pożyczki</w:t>
            </w:r>
            <w:proofErr w:type="spellEnd"/>
            <w:r>
              <w:t>/</w:t>
            </w:r>
            <w:proofErr w:type="spellStart"/>
            <w:r>
              <w:t>umów</w:t>
            </w:r>
            <w:proofErr w:type="spellEnd"/>
            <w:r>
              <w:t xml:space="preserve"> </w:t>
            </w:r>
            <w:proofErr w:type="spellStart"/>
            <w:r>
              <w:t>gwarancyjnych</w:t>
            </w:r>
            <w:proofErr w:type="spellEnd"/>
            <w:r>
              <w:t>/</w:t>
            </w:r>
            <w:proofErr w:type="spellStart"/>
            <w:r>
              <w:t>umów</w:t>
            </w:r>
            <w:proofErr w:type="spellEnd"/>
            <w:r>
              <w:t xml:space="preserve"> o </w:t>
            </w:r>
            <w:proofErr w:type="spellStart"/>
            <w:r>
              <w:t>produkty</w:t>
            </w:r>
            <w:proofErr w:type="spellEnd"/>
            <w:r>
              <w:t xml:space="preserve"> </w:t>
            </w:r>
            <w:proofErr w:type="spellStart"/>
            <w:r>
              <w:t>kapitałowe</w:t>
            </w:r>
            <w:proofErr w:type="spellEnd"/>
            <w:r>
              <w:t xml:space="preserve"> </w:t>
            </w:r>
            <w:proofErr w:type="spellStart"/>
            <w:r>
              <w:t>lub</w:t>
            </w:r>
            <w:proofErr w:type="spellEnd"/>
            <w:r>
              <w:t xml:space="preserve"> quasi-</w:t>
            </w:r>
            <w:proofErr w:type="spellStart"/>
            <w:r>
              <w:t>kapitałowe</w:t>
            </w:r>
            <w:proofErr w:type="spellEnd"/>
            <w:r>
              <w:t>/</w:t>
            </w:r>
            <w:proofErr w:type="spellStart"/>
            <w:r>
              <w:t>umów</w:t>
            </w:r>
            <w:proofErr w:type="spellEnd"/>
            <w:r>
              <w:t xml:space="preserve"> o </w:t>
            </w:r>
            <w:proofErr w:type="spellStart"/>
            <w:r>
              <w:t>inne</w:t>
            </w:r>
            <w:proofErr w:type="spellEnd"/>
            <w:r>
              <w:t xml:space="preserve"> </w:t>
            </w:r>
            <w:proofErr w:type="spellStart"/>
            <w:r>
              <w:t>produkty</w:t>
            </w:r>
            <w:proofErr w:type="spellEnd"/>
            <w:r>
              <w:t xml:space="preserve"> </w:t>
            </w:r>
            <w:proofErr w:type="spellStart"/>
            <w:r>
              <w:t>finansowe</w:t>
            </w:r>
            <w:proofErr w:type="spellEnd"/>
            <w:r>
              <w:t xml:space="preserve"> </w:t>
            </w:r>
            <w:proofErr w:type="spellStart"/>
            <w:r>
              <w:t>podpisanych</w:t>
            </w:r>
            <w:proofErr w:type="spellEnd"/>
            <w:r>
              <w:t xml:space="preserve"> z </w:t>
            </w:r>
            <w:proofErr w:type="spellStart"/>
            <w:r>
              <w:t>ostatecznymi</w:t>
            </w:r>
            <w:proofErr w:type="spellEnd"/>
            <w:r>
              <w:t xml:space="preserve"> </w:t>
            </w:r>
            <w:proofErr w:type="spellStart"/>
            <w:r>
              <w:t>odbiorcami</w:t>
            </w:r>
            <w:proofErr w:type="spellEnd"/>
            <w:r>
              <w:t xml:space="preserve">, </w:t>
            </w:r>
            <w:proofErr w:type="spellStart"/>
            <w:r>
              <w:t>według</w:t>
            </w:r>
            <w:proofErr w:type="spellEnd"/>
            <w:r>
              <w:t xml:space="preserve"> </w:t>
            </w:r>
            <w:proofErr w:type="spellStart"/>
            <w:r>
              <w:t>produktów</w:t>
            </w:r>
            <w:proofErr w:type="spellEnd"/>
          </w:p>
        </w:tc>
        <w:tc>
          <w:tcPr>
            <w:tcW w:w="0" w:type="auto"/>
            <w:shd w:val="clear" w:color="auto" w:fill="auto"/>
          </w:tcPr>
          <w:p w14:paraId="34550849" w14:textId="77777777" w:rsidR="008C5CFA" w:rsidRDefault="00E82A60" w:rsidP="00300A01">
            <w:pPr>
              <w:spacing w:before="0" w:after="0"/>
              <w:jc w:val="right"/>
            </w:pPr>
            <w:r>
              <w:t>96</w:t>
            </w:r>
          </w:p>
        </w:tc>
      </w:tr>
      <w:tr w:rsidR="006B2EC1" w14:paraId="4CB18D97" w14:textId="77777777" w:rsidTr="0047688D">
        <w:tc>
          <w:tcPr>
            <w:tcW w:w="0" w:type="auto"/>
            <w:shd w:val="clear" w:color="auto" w:fill="auto"/>
          </w:tcPr>
          <w:p w14:paraId="4C4FF42B" w14:textId="77777777" w:rsidR="008C5CFA" w:rsidRDefault="00E82A60" w:rsidP="00300A01">
            <w:pPr>
              <w:spacing w:before="0" w:after="0"/>
            </w:pPr>
            <w:r>
              <w:t xml:space="preserve">28. </w:t>
            </w:r>
            <w:proofErr w:type="spellStart"/>
            <w:r>
              <w:t>Liczba</w:t>
            </w:r>
            <w:proofErr w:type="spellEnd"/>
            <w:r>
              <w:t xml:space="preserve"> </w:t>
            </w:r>
            <w:proofErr w:type="spellStart"/>
            <w:r>
              <w:t>inwestycji</w:t>
            </w:r>
            <w:proofErr w:type="spellEnd"/>
            <w:r>
              <w:t xml:space="preserve"> w </w:t>
            </w:r>
            <w:proofErr w:type="spellStart"/>
            <w:r>
              <w:t>formie</w:t>
            </w:r>
            <w:proofErr w:type="spellEnd"/>
            <w:r>
              <w:t xml:space="preserve"> </w:t>
            </w:r>
            <w:proofErr w:type="spellStart"/>
            <w:r>
              <w:t>pożyczki</w:t>
            </w:r>
            <w:proofErr w:type="spellEnd"/>
            <w:r>
              <w:t>/</w:t>
            </w:r>
            <w:proofErr w:type="spellStart"/>
            <w:r>
              <w:t>gwarancji</w:t>
            </w:r>
            <w:proofErr w:type="spellEnd"/>
            <w:r>
              <w:t>/</w:t>
            </w:r>
            <w:proofErr w:type="spellStart"/>
            <w:r>
              <w:t>kapitału</w:t>
            </w:r>
            <w:proofErr w:type="spellEnd"/>
            <w:r>
              <w:t xml:space="preserve"> </w:t>
            </w:r>
            <w:proofErr w:type="spellStart"/>
            <w:r>
              <w:t>lub</w:t>
            </w:r>
            <w:proofErr w:type="spellEnd"/>
            <w:r>
              <w:t xml:space="preserve"> quasi-</w:t>
            </w:r>
            <w:proofErr w:type="spellStart"/>
            <w:r>
              <w:t>kapitału</w:t>
            </w:r>
            <w:proofErr w:type="spellEnd"/>
            <w:r>
              <w:t>/</w:t>
            </w:r>
            <w:proofErr w:type="spellStart"/>
            <w:r>
              <w:t>innych</w:t>
            </w:r>
            <w:proofErr w:type="spellEnd"/>
            <w:r>
              <w:t xml:space="preserve"> </w:t>
            </w:r>
            <w:proofErr w:type="spellStart"/>
            <w:r>
              <w:t>produktów</w:t>
            </w:r>
            <w:proofErr w:type="spellEnd"/>
            <w:r>
              <w:t xml:space="preserve"> </w:t>
            </w:r>
            <w:proofErr w:type="spellStart"/>
            <w:r>
              <w:t>finansowych</w:t>
            </w:r>
            <w:proofErr w:type="spellEnd"/>
            <w:r>
              <w:t xml:space="preserve"> </w:t>
            </w:r>
            <w:proofErr w:type="spellStart"/>
            <w:r>
              <w:t>dokonanych</w:t>
            </w:r>
            <w:proofErr w:type="spellEnd"/>
            <w:r>
              <w:t xml:space="preserve"> u </w:t>
            </w:r>
            <w:proofErr w:type="spellStart"/>
            <w:r>
              <w:t>ostatecznych</w:t>
            </w:r>
            <w:proofErr w:type="spellEnd"/>
            <w:r>
              <w:t xml:space="preserve"> </w:t>
            </w:r>
            <w:proofErr w:type="spellStart"/>
            <w:r>
              <w:t>odbiorców</w:t>
            </w:r>
            <w:proofErr w:type="spellEnd"/>
            <w:r>
              <w:t xml:space="preserve">, </w:t>
            </w:r>
            <w:proofErr w:type="spellStart"/>
            <w:r>
              <w:t>według</w:t>
            </w:r>
            <w:proofErr w:type="spellEnd"/>
            <w:r>
              <w:t xml:space="preserve"> </w:t>
            </w:r>
            <w:proofErr w:type="spellStart"/>
            <w:r>
              <w:t>produktów</w:t>
            </w:r>
            <w:proofErr w:type="spellEnd"/>
          </w:p>
        </w:tc>
        <w:tc>
          <w:tcPr>
            <w:tcW w:w="0" w:type="auto"/>
            <w:shd w:val="clear" w:color="auto" w:fill="auto"/>
          </w:tcPr>
          <w:p w14:paraId="3256F2E8" w14:textId="77777777" w:rsidR="008C5CFA" w:rsidRDefault="00E82A60" w:rsidP="00300A01">
            <w:pPr>
              <w:spacing w:before="0" w:after="0"/>
              <w:jc w:val="right"/>
            </w:pPr>
            <w:r>
              <w:t>96</w:t>
            </w:r>
          </w:p>
        </w:tc>
      </w:tr>
      <w:tr w:rsidR="006B2EC1" w14:paraId="1E4CFB03" w14:textId="77777777" w:rsidTr="0047688D">
        <w:tc>
          <w:tcPr>
            <w:tcW w:w="0" w:type="auto"/>
            <w:shd w:val="clear" w:color="auto" w:fill="auto"/>
          </w:tcPr>
          <w:p w14:paraId="5291B57E" w14:textId="77777777" w:rsidR="008C5CFA" w:rsidRDefault="00E82A60" w:rsidP="00300A01">
            <w:pPr>
              <w:spacing w:before="0" w:after="0"/>
            </w:pPr>
            <w:r>
              <w:t xml:space="preserve">29. </w:t>
            </w:r>
            <w:proofErr w:type="spellStart"/>
            <w:r>
              <w:t>Liczba</w:t>
            </w:r>
            <w:proofErr w:type="spellEnd"/>
            <w:r>
              <w:t xml:space="preserve"> </w:t>
            </w:r>
            <w:proofErr w:type="spellStart"/>
            <w:r>
              <w:t>odbiorców</w:t>
            </w:r>
            <w:proofErr w:type="spellEnd"/>
            <w:r>
              <w:t xml:space="preserve"> </w:t>
            </w:r>
            <w:proofErr w:type="spellStart"/>
            <w:r>
              <w:t>finansowych</w:t>
            </w:r>
            <w:proofErr w:type="spellEnd"/>
            <w:r>
              <w:t xml:space="preserve"> </w:t>
            </w:r>
            <w:proofErr w:type="spellStart"/>
            <w:r>
              <w:t>wspieranych</w:t>
            </w:r>
            <w:proofErr w:type="spellEnd"/>
            <w:r>
              <w:t xml:space="preserve"> za </w:t>
            </w:r>
            <w:proofErr w:type="spellStart"/>
            <w:r>
              <w:t>pomocą</w:t>
            </w:r>
            <w:proofErr w:type="spellEnd"/>
            <w:r>
              <w:t xml:space="preserve"> </w:t>
            </w:r>
            <w:proofErr w:type="spellStart"/>
            <w:r>
              <w:t>produktu</w:t>
            </w:r>
            <w:proofErr w:type="spellEnd"/>
            <w:r>
              <w:t xml:space="preserve"> </w:t>
            </w:r>
            <w:proofErr w:type="spellStart"/>
            <w:r>
              <w:t>finansowego</w:t>
            </w:r>
            <w:proofErr w:type="spellEnd"/>
          </w:p>
        </w:tc>
        <w:tc>
          <w:tcPr>
            <w:tcW w:w="0" w:type="auto"/>
            <w:shd w:val="clear" w:color="auto" w:fill="auto"/>
          </w:tcPr>
          <w:p w14:paraId="3AEC823C" w14:textId="77777777" w:rsidR="008C5CFA" w:rsidRDefault="00E82A60" w:rsidP="00300A01">
            <w:pPr>
              <w:spacing w:before="0" w:after="0"/>
              <w:jc w:val="right"/>
            </w:pPr>
            <w:r>
              <w:t>96</w:t>
            </w:r>
          </w:p>
        </w:tc>
      </w:tr>
      <w:tr w:rsidR="006B2EC1" w14:paraId="6CC84E8C" w14:textId="77777777" w:rsidTr="0047688D">
        <w:tc>
          <w:tcPr>
            <w:tcW w:w="0" w:type="auto"/>
            <w:shd w:val="clear" w:color="auto" w:fill="auto"/>
          </w:tcPr>
          <w:p w14:paraId="0A4652F2" w14:textId="77777777" w:rsidR="008C5CFA" w:rsidRDefault="00E82A60" w:rsidP="00300A01">
            <w:pPr>
              <w:spacing w:before="0" w:after="0"/>
            </w:pPr>
            <w:r>
              <w:t xml:space="preserve">29.1. w </w:t>
            </w:r>
            <w:proofErr w:type="spellStart"/>
            <w:r>
              <w:t>tym</w:t>
            </w:r>
            <w:proofErr w:type="spellEnd"/>
            <w:r>
              <w:t xml:space="preserve"> </w:t>
            </w:r>
            <w:proofErr w:type="spellStart"/>
            <w:r>
              <w:t>duże</w:t>
            </w:r>
            <w:proofErr w:type="spellEnd"/>
            <w:r>
              <w:t xml:space="preserve"> </w:t>
            </w:r>
            <w:proofErr w:type="spellStart"/>
            <w:r>
              <w:t>przedsiębiorstwa</w:t>
            </w:r>
            <w:proofErr w:type="spellEnd"/>
          </w:p>
        </w:tc>
        <w:tc>
          <w:tcPr>
            <w:tcW w:w="0" w:type="auto"/>
            <w:shd w:val="clear" w:color="auto" w:fill="auto"/>
          </w:tcPr>
          <w:p w14:paraId="46E8D1E0" w14:textId="77777777" w:rsidR="008C5CFA" w:rsidRDefault="008C5CFA" w:rsidP="00300A01">
            <w:pPr>
              <w:spacing w:before="0" w:after="0"/>
              <w:jc w:val="right"/>
            </w:pPr>
          </w:p>
        </w:tc>
      </w:tr>
      <w:tr w:rsidR="006B2EC1" w14:paraId="1AE56264" w14:textId="77777777" w:rsidTr="0047688D">
        <w:tc>
          <w:tcPr>
            <w:tcW w:w="0" w:type="auto"/>
            <w:shd w:val="clear" w:color="auto" w:fill="auto"/>
          </w:tcPr>
          <w:p w14:paraId="5B7A3856" w14:textId="77777777" w:rsidR="008C5CFA" w:rsidRDefault="00E82A60" w:rsidP="00300A01">
            <w:pPr>
              <w:spacing w:before="0" w:after="0"/>
            </w:pPr>
            <w:r>
              <w:t xml:space="preserve">29.2. w </w:t>
            </w:r>
            <w:proofErr w:type="spellStart"/>
            <w:r>
              <w:t>tym</w:t>
            </w:r>
            <w:proofErr w:type="spellEnd"/>
            <w:r>
              <w:t xml:space="preserve"> MŚP</w:t>
            </w:r>
          </w:p>
        </w:tc>
        <w:tc>
          <w:tcPr>
            <w:tcW w:w="0" w:type="auto"/>
            <w:shd w:val="clear" w:color="auto" w:fill="auto"/>
          </w:tcPr>
          <w:p w14:paraId="7AD00F3C" w14:textId="77777777" w:rsidR="008C5CFA" w:rsidRDefault="008C5CFA" w:rsidP="00300A01">
            <w:pPr>
              <w:spacing w:before="0" w:after="0"/>
              <w:jc w:val="right"/>
            </w:pPr>
          </w:p>
        </w:tc>
      </w:tr>
      <w:tr w:rsidR="006B2EC1" w14:paraId="3CCF5936" w14:textId="77777777" w:rsidTr="0047688D">
        <w:tc>
          <w:tcPr>
            <w:tcW w:w="0" w:type="auto"/>
            <w:shd w:val="clear" w:color="auto" w:fill="auto"/>
          </w:tcPr>
          <w:p w14:paraId="6CFC57E3" w14:textId="77777777" w:rsidR="008C5CFA" w:rsidRDefault="00E82A60" w:rsidP="00300A01">
            <w:pPr>
              <w:spacing w:before="0" w:after="0"/>
            </w:pPr>
            <w:r>
              <w:t xml:space="preserve">29.2.1. w </w:t>
            </w:r>
            <w:proofErr w:type="spellStart"/>
            <w:r>
              <w:t>tym</w:t>
            </w:r>
            <w:proofErr w:type="spellEnd"/>
            <w:r>
              <w:t xml:space="preserve"> </w:t>
            </w:r>
            <w:proofErr w:type="spellStart"/>
            <w:r>
              <w:t>mikroprzedsiębiorstwa</w:t>
            </w:r>
            <w:proofErr w:type="spellEnd"/>
          </w:p>
        </w:tc>
        <w:tc>
          <w:tcPr>
            <w:tcW w:w="0" w:type="auto"/>
            <w:shd w:val="clear" w:color="auto" w:fill="auto"/>
          </w:tcPr>
          <w:p w14:paraId="27C49D32" w14:textId="77777777" w:rsidR="008C5CFA" w:rsidRDefault="008C5CFA" w:rsidP="00300A01">
            <w:pPr>
              <w:spacing w:before="0" w:after="0"/>
              <w:jc w:val="right"/>
            </w:pPr>
          </w:p>
        </w:tc>
      </w:tr>
      <w:tr w:rsidR="006B2EC1" w14:paraId="32D5539C" w14:textId="77777777" w:rsidTr="0047688D">
        <w:tc>
          <w:tcPr>
            <w:tcW w:w="0" w:type="auto"/>
            <w:shd w:val="clear" w:color="auto" w:fill="auto"/>
          </w:tcPr>
          <w:p w14:paraId="799E427B" w14:textId="77777777" w:rsidR="008C5CFA" w:rsidRDefault="00E82A60" w:rsidP="00300A01">
            <w:pPr>
              <w:spacing w:before="0" w:after="0"/>
            </w:pPr>
            <w:r>
              <w:t xml:space="preserve">29.3. w </w:t>
            </w:r>
            <w:proofErr w:type="spellStart"/>
            <w:r>
              <w:t>tym</w:t>
            </w:r>
            <w:proofErr w:type="spellEnd"/>
            <w:r>
              <w:t xml:space="preserve"> </w:t>
            </w:r>
            <w:proofErr w:type="spellStart"/>
            <w:r>
              <w:t>osoby</w:t>
            </w:r>
            <w:proofErr w:type="spellEnd"/>
            <w:r>
              <w:t xml:space="preserve"> </w:t>
            </w:r>
            <w:proofErr w:type="spellStart"/>
            <w:r>
              <w:t>fizyczne</w:t>
            </w:r>
            <w:proofErr w:type="spellEnd"/>
          </w:p>
        </w:tc>
        <w:tc>
          <w:tcPr>
            <w:tcW w:w="0" w:type="auto"/>
            <w:shd w:val="clear" w:color="auto" w:fill="auto"/>
          </w:tcPr>
          <w:p w14:paraId="47696F08" w14:textId="77777777" w:rsidR="008C5CFA" w:rsidRDefault="00E82A60" w:rsidP="00300A01">
            <w:pPr>
              <w:spacing w:before="0" w:after="0"/>
              <w:jc w:val="right"/>
            </w:pPr>
            <w:r>
              <w:t>96</w:t>
            </w:r>
          </w:p>
        </w:tc>
      </w:tr>
      <w:tr w:rsidR="006B2EC1" w14:paraId="4F47917B" w14:textId="77777777" w:rsidTr="0047688D">
        <w:tc>
          <w:tcPr>
            <w:tcW w:w="0" w:type="auto"/>
            <w:shd w:val="clear" w:color="auto" w:fill="auto"/>
          </w:tcPr>
          <w:p w14:paraId="3CF54903" w14:textId="77777777" w:rsidR="008C5CFA" w:rsidRDefault="00E82A60" w:rsidP="00300A01">
            <w:pPr>
              <w:spacing w:before="0" w:after="0"/>
            </w:pPr>
            <w:r>
              <w:t xml:space="preserve">29.4. w </w:t>
            </w:r>
            <w:proofErr w:type="spellStart"/>
            <w:r>
              <w:t>tym</w:t>
            </w:r>
            <w:proofErr w:type="spellEnd"/>
            <w:r>
              <w:t xml:space="preserve"> </w:t>
            </w:r>
            <w:proofErr w:type="spellStart"/>
            <w:r>
              <w:t>inny</w:t>
            </w:r>
            <w:proofErr w:type="spellEnd"/>
            <w:r>
              <w:t xml:space="preserve"> </w:t>
            </w:r>
            <w:proofErr w:type="spellStart"/>
            <w:r>
              <w:t>rodzaj</w:t>
            </w:r>
            <w:proofErr w:type="spellEnd"/>
            <w:r>
              <w:t xml:space="preserve"> </w:t>
            </w:r>
            <w:proofErr w:type="spellStart"/>
            <w:r>
              <w:t>wspieranych</w:t>
            </w:r>
            <w:proofErr w:type="spellEnd"/>
            <w:r>
              <w:t xml:space="preserve"> </w:t>
            </w:r>
            <w:proofErr w:type="spellStart"/>
            <w:r>
              <w:t>ostatecznych</w:t>
            </w:r>
            <w:proofErr w:type="spellEnd"/>
            <w:r>
              <w:t xml:space="preserve"> </w:t>
            </w:r>
            <w:proofErr w:type="spellStart"/>
            <w:r>
              <w:t>odbiorców</w:t>
            </w:r>
            <w:proofErr w:type="spellEnd"/>
          </w:p>
        </w:tc>
        <w:tc>
          <w:tcPr>
            <w:tcW w:w="0" w:type="auto"/>
            <w:shd w:val="clear" w:color="auto" w:fill="auto"/>
          </w:tcPr>
          <w:p w14:paraId="28FEBA8E" w14:textId="77777777" w:rsidR="008C5CFA" w:rsidRDefault="008C5CFA" w:rsidP="00300A01">
            <w:pPr>
              <w:spacing w:before="0" w:after="0"/>
              <w:jc w:val="right"/>
            </w:pPr>
          </w:p>
        </w:tc>
      </w:tr>
      <w:tr w:rsidR="006B2EC1" w14:paraId="0F8DF8E1" w14:textId="77777777" w:rsidTr="0047688D">
        <w:tc>
          <w:tcPr>
            <w:tcW w:w="0" w:type="auto"/>
            <w:shd w:val="clear" w:color="auto" w:fill="auto"/>
          </w:tcPr>
          <w:p w14:paraId="07A508DC" w14:textId="77777777" w:rsidR="008C5CFA" w:rsidRDefault="00E82A60" w:rsidP="00300A01">
            <w:pPr>
              <w:spacing w:before="0" w:after="0"/>
            </w:pPr>
            <w:r>
              <w:t xml:space="preserve">29.4.1. </w:t>
            </w:r>
            <w:proofErr w:type="spellStart"/>
            <w:r>
              <w:t>opis</w:t>
            </w:r>
            <w:proofErr w:type="spellEnd"/>
            <w:r>
              <w:t xml:space="preserve"> </w:t>
            </w:r>
            <w:proofErr w:type="spellStart"/>
            <w:r>
              <w:t>innego</w:t>
            </w:r>
            <w:proofErr w:type="spellEnd"/>
            <w:r>
              <w:t xml:space="preserve"> </w:t>
            </w:r>
            <w:proofErr w:type="spellStart"/>
            <w:r>
              <w:t>rodzaju</w:t>
            </w:r>
            <w:proofErr w:type="spellEnd"/>
            <w:r>
              <w:t xml:space="preserve"> </w:t>
            </w:r>
            <w:proofErr w:type="spellStart"/>
            <w:r>
              <w:t>wspieranych</w:t>
            </w:r>
            <w:proofErr w:type="spellEnd"/>
            <w:r>
              <w:t xml:space="preserve"> </w:t>
            </w:r>
            <w:proofErr w:type="spellStart"/>
            <w:r>
              <w:t>ostatecznych</w:t>
            </w:r>
            <w:proofErr w:type="spellEnd"/>
            <w:r>
              <w:t xml:space="preserve"> </w:t>
            </w:r>
            <w:proofErr w:type="spellStart"/>
            <w:r>
              <w:t>odbiorców</w:t>
            </w:r>
            <w:proofErr w:type="spellEnd"/>
          </w:p>
        </w:tc>
        <w:tc>
          <w:tcPr>
            <w:tcW w:w="0" w:type="auto"/>
            <w:shd w:val="clear" w:color="auto" w:fill="auto"/>
          </w:tcPr>
          <w:p w14:paraId="615185FC" w14:textId="77777777" w:rsidR="008C5CFA" w:rsidRDefault="008C5CFA" w:rsidP="00300A01">
            <w:pPr>
              <w:spacing w:before="0" w:after="0"/>
              <w:jc w:val="left"/>
            </w:pPr>
          </w:p>
        </w:tc>
      </w:tr>
      <w:tr w:rsidR="006B2EC1" w14:paraId="738517EB" w14:textId="77777777" w:rsidTr="0047688D">
        <w:tc>
          <w:tcPr>
            <w:tcW w:w="0" w:type="auto"/>
            <w:shd w:val="clear" w:color="auto" w:fill="auto"/>
          </w:tcPr>
          <w:p w14:paraId="54918B88" w14:textId="77777777" w:rsidR="008C5CFA" w:rsidRDefault="00E82A60" w:rsidP="00300A01">
            <w:pPr>
              <w:spacing w:before="0" w:after="0"/>
            </w:pPr>
            <w:r>
              <w:t xml:space="preserve">33. </w:t>
            </w:r>
            <w:proofErr w:type="spellStart"/>
            <w:r>
              <w:t>Łączna</w:t>
            </w:r>
            <w:proofErr w:type="spellEnd"/>
            <w:r>
              <w:t xml:space="preserve"> </w:t>
            </w:r>
            <w:proofErr w:type="spellStart"/>
            <w:r>
              <w:t>liczba</w:t>
            </w:r>
            <w:proofErr w:type="spellEnd"/>
            <w:r>
              <w:t xml:space="preserve"> </w:t>
            </w:r>
            <w:proofErr w:type="spellStart"/>
            <w:r>
              <w:t>wypłaconych</w:t>
            </w:r>
            <w:proofErr w:type="spellEnd"/>
            <w:r>
              <w:t xml:space="preserve"> </w:t>
            </w:r>
            <w:proofErr w:type="spellStart"/>
            <w:r>
              <w:t>pożyczek</w:t>
            </w:r>
            <w:proofErr w:type="spellEnd"/>
            <w:r>
              <w:t xml:space="preserve">, </w:t>
            </w:r>
            <w:proofErr w:type="spellStart"/>
            <w:r>
              <w:t>których</w:t>
            </w:r>
            <w:proofErr w:type="spellEnd"/>
            <w:r>
              <w:t xml:space="preserve"> </w:t>
            </w:r>
            <w:proofErr w:type="spellStart"/>
            <w:r>
              <w:t>spłata</w:t>
            </w:r>
            <w:proofErr w:type="spellEnd"/>
            <w:r>
              <w:t xml:space="preserve"> </w:t>
            </w:r>
            <w:proofErr w:type="spellStart"/>
            <w:r>
              <w:t>się</w:t>
            </w:r>
            <w:proofErr w:type="spellEnd"/>
            <w:r>
              <w:t xml:space="preserve"> </w:t>
            </w:r>
            <w:proofErr w:type="spellStart"/>
            <w:r>
              <w:t>opóźnia</w:t>
            </w:r>
            <w:proofErr w:type="spellEnd"/>
            <w:r>
              <w:t xml:space="preserve">, </w:t>
            </w:r>
            <w:proofErr w:type="spellStart"/>
            <w:r>
              <w:t>lub</w:t>
            </w:r>
            <w:proofErr w:type="spellEnd"/>
            <w:r>
              <w:t xml:space="preserve"> </w:t>
            </w:r>
            <w:proofErr w:type="spellStart"/>
            <w:r>
              <w:t>łączna</w:t>
            </w:r>
            <w:proofErr w:type="spellEnd"/>
            <w:r>
              <w:t xml:space="preserve"> </w:t>
            </w:r>
            <w:proofErr w:type="spellStart"/>
            <w:r>
              <w:t>liczba</w:t>
            </w:r>
            <w:proofErr w:type="spellEnd"/>
            <w:r>
              <w:t xml:space="preserve"> </w:t>
            </w:r>
            <w:proofErr w:type="spellStart"/>
            <w:r>
              <w:t>gwarancji</w:t>
            </w:r>
            <w:proofErr w:type="spellEnd"/>
            <w:r>
              <w:t xml:space="preserve"> </w:t>
            </w:r>
            <w:proofErr w:type="spellStart"/>
            <w:r>
              <w:t>udzielonych</w:t>
            </w:r>
            <w:proofErr w:type="spellEnd"/>
            <w:r>
              <w:t xml:space="preserve"> i </w:t>
            </w:r>
            <w:proofErr w:type="spellStart"/>
            <w:r>
              <w:t>wykorzystanych</w:t>
            </w:r>
            <w:proofErr w:type="spellEnd"/>
            <w:r>
              <w:t xml:space="preserve"> w </w:t>
            </w:r>
            <w:proofErr w:type="spellStart"/>
            <w:r>
              <w:t>związku</w:t>
            </w:r>
            <w:proofErr w:type="spellEnd"/>
            <w:r>
              <w:t xml:space="preserve"> </w:t>
            </w:r>
            <w:proofErr w:type="spellStart"/>
            <w:r>
              <w:t>ze</w:t>
            </w:r>
            <w:proofErr w:type="spellEnd"/>
            <w:r>
              <w:t xml:space="preserve"> </w:t>
            </w:r>
            <w:proofErr w:type="spellStart"/>
            <w:r>
              <w:t>zwłoką</w:t>
            </w:r>
            <w:proofErr w:type="spellEnd"/>
            <w:r>
              <w:t xml:space="preserve"> w </w:t>
            </w:r>
            <w:proofErr w:type="spellStart"/>
            <w:r>
              <w:t>spłacie</w:t>
            </w:r>
            <w:proofErr w:type="spellEnd"/>
            <w:r>
              <w:t xml:space="preserve"> </w:t>
            </w:r>
            <w:proofErr w:type="spellStart"/>
            <w:r>
              <w:t>pożyczki</w:t>
            </w:r>
            <w:proofErr w:type="spellEnd"/>
          </w:p>
        </w:tc>
        <w:tc>
          <w:tcPr>
            <w:tcW w:w="0" w:type="auto"/>
            <w:shd w:val="clear" w:color="auto" w:fill="auto"/>
          </w:tcPr>
          <w:p w14:paraId="6EA2B84B" w14:textId="77777777" w:rsidR="008C5CFA" w:rsidRDefault="008C5CFA" w:rsidP="00300A01">
            <w:pPr>
              <w:spacing w:before="0" w:after="0"/>
              <w:jc w:val="right"/>
            </w:pPr>
          </w:p>
        </w:tc>
      </w:tr>
      <w:tr w:rsidR="006B2EC1" w14:paraId="0F2AB569" w14:textId="77777777" w:rsidTr="0047688D">
        <w:tc>
          <w:tcPr>
            <w:tcW w:w="0" w:type="auto"/>
            <w:shd w:val="clear" w:color="auto" w:fill="auto"/>
          </w:tcPr>
          <w:p w14:paraId="53F38A2E" w14:textId="77777777" w:rsidR="008C5CFA" w:rsidRDefault="00E82A60" w:rsidP="00300A01">
            <w:pPr>
              <w:spacing w:before="0" w:after="0"/>
            </w:pPr>
            <w:r>
              <w:t xml:space="preserve">34. </w:t>
            </w:r>
            <w:proofErr w:type="spellStart"/>
            <w:r>
              <w:t>Łączna</w:t>
            </w:r>
            <w:proofErr w:type="spellEnd"/>
            <w:r>
              <w:t xml:space="preserve"> </w:t>
            </w:r>
            <w:proofErr w:type="spellStart"/>
            <w:r>
              <w:t>kwota</w:t>
            </w:r>
            <w:proofErr w:type="spellEnd"/>
            <w:r>
              <w:t xml:space="preserve"> </w:t>
            </w:r>
            <w:proofErr w:type="spellStart"/>
            <w:r>
              <w:t>wypłaconych</w:t>
            </w:r>
            <w:proofErr w:type="spellEnd"/>
            <w:r>
              <w:t xml:space="preserve"> </w:t>
            </w:r>
            <w:proofErr w:type="spellStart"/>
            <w:r>
              <w:t>pożyczek</w:t>
            </w:r>
            <w:proofErr w:type="spellEnd"/>
            <w:r>
              <w:t xml:space="preserve">, </w:t>
            </w:r>
            <w:proofErr w:type="spellStart"/>
            <w:r>
              <w:t>których</w:t>
            </w:r>
            <w:proofErr w:type="spellEnd"/>
            <w:r>
              <w:t xml:space="preserve"> </w:t>
            </w:r>
            <w:proofErr w:type="spellStart"/>
            <w:r>
              <w:t>spłata</w:t>
            </w:r>
            <w:proofErr w:type="spellEnd"/>
            <w:r>
              <w:t xml:space="preserve"> </w:t>
            </w:r>
            <w:proofErr w:type="spellStart"/>
            <w:r>
              <w:t>się</w:t>
            </w:r>
            <w:proofErr w:type="spellEnd"/>
            <w:r>
              <w:t xml:space="preserve"> </w:t>
            </w:r>
            <w:proofErr w:type="spellStart"/>
            <w:r>
              <w:t>opóźnia</w:t>
            </w:r>
            <w:proofErr w:type="spellEnd"/>
            <w:r>
              <w:t xml:space="preserve"> (w EUR), </w:t>
            </w:r>
            <w:proofErr w:type="spellStart"/>
            <w:r>
              <w:t>lub</w:t>
            </w:r>
            <w:proofErr w:type="spellEnd"/>
            <w:r>
              <w:t xml:space="preserve"> </w:t>
            </w:r>
            <w:proofErr w:type="spellStart"/>
            <w:r>
              <w:t>łączna</w:t>
            </w:r>
            <w:proofErr w:type="spellEnd"/>
            <w:r>
              <w:t xml:space="preserve"> </w:t>
            </w:r>
            <w:proofErr w:type="spellStart"/>
            <w:r>
              <w:t>kwota</w:t>
            </w:r>
            <w:proofErr w:type="spellEnd"/>
            <w:r>
              <w:t xml:space="preserve"> </w:t>
            </w:r>
            <w:proofErr w:type="spellStart"/>
            <w:r>
              <w:t>przeznaczona</w:t>
            </w:r>
            <w:proofErr w:type="spellEnd"/>
            <w:r>
              <w:t xml:space="preserve"> </w:t>
            </w:r>
            <w:proofErr w:type="spellStart"/>
            <w:r>
              <w:t>na</w:t>
            </w:r>
            <w:proofErr w:type="spellEnd"/>
            <w:r>
              <w:t xml:space="preserve"> </w:t>
            </w:r>
            <w:proofErr w:type="spellStart"/>
            <w:r>
              <w:t>gwarancje</w:t>
            </w:r>
            <w:proofErr w:type="spellEnd"/>
            <w:r>
              <w:t xml:space="preserve"> </w:t>
            </w:r>
            <w:proofErr w:type="spellStart"/>
            <w:r>
              <w:t>udzielone</w:t>
            </w:r>
            <w:proofErr w:type="spellEnd"/>
            <w:r>
              <w:t xml:space="preserve"> i </w:t>
            </w:r>
            <w:proofErr w:type="spellStart"/>
            <w:r>
              <w:t>wykorzystane</w:t>
            </w:r>
            <w:proofErr w:type="spellEnd"/>
            <w:r>
              <w:t xml:space="preserve"> w </w:t>
            </w:r>
            <w:proofErr w:type="spellStart"/>
            <w:r>
              <w:t>związku</w:t>
            </w:r>
            <w:proofErr w:type="spellEnd"/>
            <w:r>
              <w:t xml:space="preserve"> </w:t>
            </w:r>
            <w:proofErr w:type="spellStart"/>
            <w:r>
              <w:t>ze</w:t>
            </w:r>
            <w:proofErr w:type="spellEnd"/>
            <w:r>
              <w:t xml:space="preserve"> </w:t>
            </w:r>
            <w:proofErr w:type="spellStart"/>
            <w:r>
              <w:t>zwłoką</w:t>
            </w:r>
            <w:proofErr w:type="spellEnd"/>
            <w:r>
              <w:t xml:space="preserve"> w </w:t>
            </w:r>
            <w:proofErr w:type="spellStart"/>
            <w:r>
              <w:t>spłacie</w:t>
            </w:r>
            <w:proofErr w:type="spellEnd"/>
            <w:r>
              <w:t xml:space="preserve"> </w:t>
            </w:r>
            <w:proofErr w:type="spellStart"/>
            <w:r>
              <w:t>pożyczki</w:t>
            </w:r>
            <w:proofErr w:type="spellEnd"/>
            <w:r>
              <w:t xml:space="preserve"> (w EUR)</w:t>
            </w:r>
          </w:p>
        </w:tc>
        <w:tc>
          <w:tcPr>
            <w:tcW w:w="0" w:type="auto"/>
            <w:shd w:val="clear" w:color="auto" w:fill="auto"/>
          </w:tcPr>
          <w:p w14:paraId="4108F1A2" w14:textId="77777777" w:rsidR="008C5CFA" w:rsidRDefault="008C5CFA" w:rsidP="00300A01">
            <w:pPr>
              <w:spacing w:before="0" w:after="0"/>
              <w:jc w:val="right"/>
            </w:pPr>
          </w:p>
        </w:tc>
      </w:tr>
      <w:tr w:rsidR="006B2EC1" w14:paraId="2AF63496" w14:textId="77777777" w:rsidTr="0047688D">
        <w:tc>
          <w:tcPr>
            <w:tcW w:w="0" w:type="auto"/>
            <w:gridSpan w:val="2"/>
            <w:shd w:val="clear" w:color="auto" w:fill="auto"/>
          </w:tcPr>
          <w:p w14:paraId="747E43A6" w14:textId="77777777" w:rsidR="008C5CFA" w:rsidRDefault="00E82A60" w:rsidP="00300A01">
            <w:pPr>
              <w:spacing w:before="0" w:after="0"/>
            </w:pPr>
            <w:r>
              <w:rPr>
                <w:b/>
              </w:rPr>
              <w:t xml:space="preserve">38. </w:t>
            </w:r>
            <w:proofErr w:type="spellStart"/>
            <w:r>
              <w:rPr>
                <w:b/>
              </w:rPr>
              <w:t>Łączna</w:t>
            </w:r>
            <w:proofErr w:type="spellEnd"/>
            <w:r>
              <w:rPr>
                <w:b/>
              </w:rPr>
              <w:t xml:space="preserve"> </w:t>
            </w:r>
            <w:proofErr w:type="spellStart"/>
            <w:r>
              <w:rPr>
                <w:b/>
              </w:rPr>
              <w:t>kwota</w:t>
            </w:r>
            <w:proofErr w:type="spellEnd"/>
            <w:r>
              <w:rPr>
                <w:b/>
              </w:rPr>
              <w:t xml:space="preserve"> </w:t>
            </w:r>
            <w:proofErr w:type="spellStart"/>
            <w:r>
              <w:rPr>
                <w:b/>
              </w:rPr>
              <w:t>innych</w:t>
            </w:r>
            <w:proofErr w:type="spellEnd"/>
            <w:r>
              <w:rPr>
                <w:b/>
              </w:rPr>
              <w:t xml:space="preserve"> </w:t>
            </w:r>
            <w:proofErr w:type="spellStart"/>
            <w:r>
              <w:rPr>
                <w:b/>
              </w:rPr>
              <w:t>wkładów</w:t>
            </w:r>
            <w:proofErr w:type="spellEnd"/>
            <w:r>
              <w:rPr>
                <w:b/>
              </w:rPr>
              <w:t xml:space="preserve">, </w:t>
            </w:r>
            <w:proofErr w:type="spellStart"/>
            <w:r>
              <w:rPr>
                <w:b/>
              </w:rPr>
              <w:t>poza</w:t>
            </w:r>
            <w:proofErr w:type="spellEnd"/>
            <w:r>
              <w:rPr>
                <w:b/>
              </w:rPr>
              <w:t xml:space="preserve"> EFSI, </w:t>
            </w:r>
            <w:proofErr w:type="spellStart"/>
            <w:r>
              <w:rPr>
                <w:b/>
              </w:rPr>
              <w:t>pozyskanych</w:t>
            </w:r>
            <w:proofErr w:type="spellEnd"/>
            <w:r>
              <w:rPr>
                <w:b/>
              </w:rPr>
              <w:t xml:space="preserve"> </w:t>
            </w:r>
            <w:proofErr w:type="spellStart"/>
            <w:r>
              <w:rPr>
                <w:b/>
              </w:rPr>
              <w:t>przez</w:t>
            </w:r>
            <w:proofErr w:type="spellEnd"/>
            <w:r>
              <w:rPr>
                <w:b/>
              </w:rPr>
              <w:t xml:space="preserve"> instrument </w:t>
            </w:r>
            <w:proofErr w:type="spellStart"/>
            <w:r>
              <w:rPr>
                <w:b/>
              </w:rPr>
              <w:t>finansowy</w:t>
            </w:r>
            <w:proofErr w:type="spellEnd"/>
            <w:r>
              <w:rPr>
                <w:b/>
              </w:rPr>
              <w:t xml:space="preserve"> (EUR)</w:t>
            </w:r>
          </w:p>
        </w:tc>
      </w:tr>
      <w:tr w:rsidR="006B2EC1" w14:paraId="5FDFA93B" w14:textId="77777777" w:rsidTr="0047688D">
        <w:tc>
          <w:tcPr>
            <w:tcW w:w="0" w:type="auto"/>
            <w:shd w:val="clear" w:color="auto" w:fill="auto"/>
          </w:tcPr>
          <w:p w14:paraId="424C2CF1" w14:textId="77777777" w:rsidR="008C5CFA" w:rsidRDefault="00E82A60" w:rsidP="00300A01">
            <w:pPr>
              <w:spacing w:before="0" w:after="0"/>
            </w:pPr>
            <w:r>
              <w:t xml:space="preserve">38.3. </w:t>
            </w:r>
            <w:proofErr w:type="spellStart"/>
            <w:r>
              <w:t>Łączna</w:t>
            </w:r>
            <w:proofErr w:type="spellEnd"/>
            <w:r>
              <w:t xml:space="preserve"> </w:t>
            </w:r>
            <w:proofErr w:type="spellStart"/>
            <w:r>
              <w:t>kwota</w:t>
            </w:r>
            <w:proofErr w:type="spellEnd"/>
            <w:r>
              <w:t xml:space="preserve"> </w:t>
            </w:r>
            <w:proofErr w:type="spellStart"/>
            <w:r>
              <w:t>innych</w:t>
            </w:r>
            <w:proofErr w:type="spellEnd"/>
            <w:r>
              <w:t xml:space="preserve"> </w:t>
            </w:r>
            <w:proofErr w:type="spellStart"/>
            <w:r>
              <w:t>wkładów</w:t>
            </w:r>
            <w:proofErr w:type="spellEnd"/>
            <w:r>
              <w:t xml:space="preserve">, </w:t>
            </w:r>
            <w:proofErr w:type="spellStart"/>
            <w:r>
              <w:t>poza</w:t>
            </w:r>
            <w:proofErr w:type="spellEnd"/>
            <w:r>
              <w:t xml:space="preserve"> EFSI, </w:t>
            </w:r>
            <w:proofErr w:type="spellStart"/>
            <w:r>
              <w:t>uruchomionych</w:t>
            </w:r>
            <w:proofErr w:type="spellEnd"/>
            <w:r>
              <w:t xml:space="preserve"> </w:t>
            </w:r>
            <w:proofErr w:type="spellStart"/>
            <w:r>
              <w:t>na</w:t>
            </w:r>
            <w:proofErr w:type="spellEnd"/>
            <w:r>
              <w:t xml:space="preserve"> </w:t>
            </w:r>
            <w:proofErr w:type="spellStart"/>
            <w:r>
              <w:t>poziomie</w:t>
            </w:r>
            <w:proofErr w:type="spellEnd"/>
            <w:r>
              <w:t xml:space="preserve"> </w:t>
            </w:r>
            <w:proofErr w:type="spellStart"/>
            <w:r>
              <w:t>ostatecznych</w:t>
            </w:r>
            <w:proofErr w:type="spellEnd"/>
            <w:r>
              <w:t xml:space="preserve"> </w:t>
            </w:r>
            <w:proofErr w:type="spellStart"/>
            <w:r>
              <w:t>odbiorców</w:t>
            </w:r>
            <w:proofErr w:type="spellEnd"/>
            <w:r>
              <w:t xml:space="preserve"> (w EUR)</w:t>
            </w:r>
          </w:p>
        </w:tc>
        <w:tc>
          <w:tcPr>
            <w:tcW w:w="0" w:type="auto"/>
            <w:shd w:val="clear" w:color="auto" w:fill="auto"/>
          </w:tcPr>
          <w:p w14:paraId="7F64FA34" w14:textId="77777777" w:rsidR="008C5CFA" w:rsidRDefault="00E82A60" w:rsidP="00300A01">
            <w:pPr>
              <w:spacing w:before="0" w:after="0"/>
              <w:jc w:val="right"/>
            </w:pPr>
            <w:r>
              <w:t>470 482,22</w:t>
            </w:r>
          </w:p>
        </w:tc>
      </w:tr>
      <w:tr w:rsidR="006B2EC1" w14:paraId="079F37D0" w14:textId="77777777" w:rsidTr="0047688D">
        <w:tc>
          <w:tcPr>
            <w:tcW w:w="0" w:type="auto"/>
            <w:shd w:val="clear" w:color="auto" w:fill="auto"/>
          </w:tcPr>
          <w:p w14:paraId="226C1E84" w14:textId="77777777" w:rsidR="008C5CFA" w:rsidRDefault="00E82A60" w:rsidP="00300A01">
            <w:pPr>
              <w:spacing w:before="0" w:after="0"/>
            </w:pPr>
            <w:r>
              <w:t xml:space="preserve">38.3.1. w </w:t>
            </w:r>
            <w:proofErr w:type="spellStart"/>
            <w:r>
              <w:t>tym</w:t>
            </w:r>
            <w:proofErr w:type="spellEnd"/>
            <w:r>
              <w:t xml:space="preserve"> </w:t>
            </w:r>
            <w:proofErr w:type="spellStart"/>
            <w:r>
              <w:t>wkłady</w:t>
            </w:r>
            <w:proofErr w:type="spellEnd"/>
            <w:r>
              <w:t xml:space="preserve"> </w:t>
            </w:r>
            <w:proofErr w:type="spellStart"/>
            <w:r>
              <w:t>publiczne</w:t>
            </w:r>
            <w:proofErr w:type="spellEnd"/>
            <w:r>
              <w:t xml:space="preserve"> (w EUR)</w:t>
            </w:r>
          </w:p>
        </w:tc>
        <w:tc>
          <w:tcPr>
            <w:tcW w:w="0" w:type="auto"/>
            <w:shd w:val="clear" w:color="auto" w:fill="auto"/>
          </w:tcPr>
          <w:p w14:paraId="28DB7EE1" w14:textId="77777777" w:rsidR="008C5CFA" w:rsidRDefault="008C5CFA" w:rsidP="00300A01">
            <w:pPr>
              <w:spacing w:before="0" w:after="0"/>
              <w:jc w:val="right"/>
            </w:pPr>
          </w:p>
        </w:tc>
      </w:tr>
      <w:tr w:rsidR="006B2EC1" w14:paraId="214CBB86" w14:textId="77777777" w:rsidTr="0047688D">
        <w:tc>
          <w:tcPr>
            <w:tcW w:w="0" w:type="auto"/>
            <w:shd w:val="clear" w:color="auto" w:fill="auto"/>
          </w:tcPr>
          <w:p w14:paraId="022CD147" w14:textId="77777777" w:rsidR="008C5CFA" w:rsidRDefault="00E82A60" w:rsidP="00300A01">
            <w:pPr>
              <w:spacing w:before="0" w:after="0"/>
            </w:pPr>
            <w:r>
              <w:t xml:space="preserve">38.3.2. w </w:t>
            </w:r>
            <w:proofErr w:type="spellStart"/>
            <w:r>
              <w:t>tym</w:t>
            </w:r>
            <w:proofErr w:type="spellEnd"/>
            <w:r>
              <w:t xml:space="preserve"> </w:t>
            </w:r>
            <w:proofErr w:type="spellStart"/>
            <w:r>
              <w:t>wkłady</w:t>
            </w:r>
            <w:proofErr w:type="spellEnd"/>
            <w:r>
              <w:t xml:space="preserve"> </w:t>
            </w:r>
            <w:proofErr w:type="spellStart"/>
            <w:r>
              <w:t>prywatne</w:t>
            </w:r>
            <w:proofErr w:type="spellEnd"/>
            <w:r>
              <w:t xml:space="preserve"> (w EUR)</w:t>
            </w:r>
          </w:p>
        </w:tc>
        <w:tc>
          <w:tcPr>
            <w:tcW w:w="0" w:type="auto"/>
            <w:shd w:val="clear" w:color="auto" w:fill="auto"/>
          </w:tcPr>
          <w:p w14:paraId="0C653270" w14:textId="77777777" w:rsidR="008C5CFA" w:rsidRDefault="00E82A60" w:rsidP="00300A01">
            <w:pPr>
              <w:spacing w:before="0" w:after="0"/>
              <w:jc w:val="right"/>
            </w:pPr>
            <w:r>
              <w:t>470 482,22</w:t>
            </w:r>
          </w:p>
        </w:tc>
      </w:tr>
      <w:tr w:rsidR="006B2EC1" w14:paraId="27B91F64" w14:textId="77777777" w:rsidTr="0047688D">
        <w:tc>
          <w:tcPr>
            <w:tcW w:w="0" w:type="auto"/>
            <w:shd w:val="clear" w:color="auto" w:fill="auto"/>
          </w:tcPr>
          <w:p w14:paraId="17C2BD11" w14:textId="77777777" w:rsidR="008C5CFA" w:rsidRDefault="00E82A60" w:rsidP="00300A01">
            <w:pPr>
              <w:spacing w:before="0" w:after="0"/>
            </w:pPr>
            <w:r>
              <w:t xml:space="preserve">38.3 A. </w:t>
            </w:r>
            <w:proofErr w:type="spellStart"/>
            <w:r>
              <w:t>Wkład</w:t>
            </w:r>
            <w:proofErr w:type="spellEnd"/>
            <w:r>
              <w:t xml:space="preserve"> w </w:t>
            </w:r>
            <w:proofErr w:type="spellStart"/>
            <w:r>
              <w:t>ramach</w:t>
            </w:r>
            <w:proofErr w:type="spellEnd"/>
            <w:r>
              <w:t xml:space="preserve"> </w:t>
            </w:r>
            <w:proofErr w:type="spellStart"/>
            <w:r>
              <w:t>produktu</w:t>
            </w:r>
            <w:proofErr w:type="spellEnd"/>
            <w:r>
              <w:t xml:space="preserve"> </w:t>
            </w:r>
            <w:proofErr w:type="spellStart"/>
            <w:r>
              <w:t>finansowego</w:t>
            </w:r>
            <w:proofErr w:type="spellEnd"/>
            <w:r>
              <w:t xml:space="preserve"> EBI </w:t>
            </w:r>
            <w:proofErr w:type="spellStart"/>
            <w:r>
              <w:t>uruchomiony</w:t>
            </w:r>
            <w:proofErr w:type="spellEnd"/>
            <w:r>
              <w:t xml:space="preserve"> </w:t>
            </w:r>
            <w:proofErr w:type="spellStart"/>
            <w:r>
              <w:t>na</w:t>
            </w:r>
            <w:proofErr w:type="spellEnd"/>
            <w:r>
              <w:t xml:space="preserve"> </w:t>
            </w:r>
            <w:proofErr w:type="spellStart"/>
            <w:r>
              <w:t>poziomie</w:t>
            </w:r>
            <w:proofErr w:type="spellEnd"/>
            <w:r>
              <w:t xml:space="preserve"> </w:t>
            </w:r>
            <w:proofErr w:type="spellStart"/>
            <w:r>
              <w:t>ostatecznych</w:t>
            </w:r>
            <w:proofErr w:type="spellEnd"/>
            <w:r>
              <w:t xml:space="preserve"> </w:t>
            </w:r>
            <w:proofErr w:type="spellStart"/>
            <w:r>
              <w:t>odbiorców</w:t>
            </w:r>
            <w:proofErr w:type="spellEnd"/>
            <w:r>
              <w:t xml:space="preserve"> (</w:t>
            </w:r>
            <w:proofErr w:type="spellStart"/>
            <w:r>
              <w:t>dotyczy</w:t>
            </w:r>
            <w:proofErr w:type="spellEnd"/>
            <w:r>
              <w:t xml:space="preserve"> </w:t>
            </w:r>
            <w:proofErr w:type="spellStart"/>
            <w:r>
              <w:t>wyłącznie</w:t>
            </w:r>
            <w:proofErr w:type="spellEnd"/>
            <w:r>
              <w:t xml:space="preserve"> </w:t>
            </w:r>
            <w:proofErr w:type="spellStart"/>
            <w:r>
              <w:t>instrumentów</w:t>
            </w:r>
            <w:proofErr w:type="spellEnd"/>
            <w:r>
              <w:t xml:space="preserve">, o </w:t>
            </w:r>
            <w:proofErr w:type="spellStart"/>
            <w:r>
              <w:t>których</w:t>
            </w:r>
            <w:proofErr w:type="spellEnd"/>
            <w:r>
              <w:t xml:space="preserve"> </w:t>
            </w:r>
            <w:proofErr w:type="spellStart"/>
            <w:r>
              <w:t>mowa</w:t>
            </w:r>
            <w:proofErr w:type="spellEnd"/>
            <w:r>
              <w:t xml:space="preserve"> w art. 38 </w:t>
            </w:r>
            <w:proofErr w:type="spellStart"/>
            <w:r>
              <w:t>ust</w:t>
            </w:r>
            <w:proofErr w:type="spellEnd"/>
            <w:r>
              <w:t>. 1 lit. c)) (w EUR)</w:t>
            </w:r>
          </w:p>
        </w:tc>
        <w:tc>
          <w:tcPr>
            <w:tcW w:w="0" w:type="auto"/>
            <w:shd w:val="clear" w:color="auto" w:fill="auto"/>
          </w:tcPr>
          <w:p w14:paraId="24DC0504" w14:textId="77777777" w:rsidR="008C5CFA" w:rsidRDefault="008C5CFA" w:rsidP="00300A01">
            <w:pPr>
              <w:spacing w:before="0" w:after="0"/>
              <w:jc w:val="right"/>
            </w:pPr>
          </w:p>
        </w:tc>
      </w:tr>
      <w:tr w:rsidR="006B2EC1" w14:paraId="1234D39D" w14:textId="77777777" w:rsidTr="0047688D">
        <w:tc>
          <w:tcPr>
            <w:tcW w:w="0" w:type="auto"/>
            <w:gridSpan w:val="2"/>
            <w:shd w:val="clear" w:color="auto" w:fill="auto"/>
          </w:tcPr>
          <w:p w14:paraId="03F6129D" w14:textId="77777777" w:rsidR="008C5CFA" w:rsidRDefault="00E82A60" w:rsidP="00300A01">
            <w:pPr>
              <w:spacing w:before="0" w:after="0"/>
            </w:pPr>
            <w:r>
              <w:rPr>
                <w:b/>
              </w:rPr>
              <w:t xml:space="preserve">39. </w:t>
            </w:r>
            <w:proofErr w:type="spellStart"/>
            <w:r>
              <w:rPr>
                <w:b/>
              </w:rPr>
              <w:t>Spodziewany</w:t>
            </w:r>
            <w:proofErr w:type="spellEnd"/>
            <w:r>
              <w:rPr>
                <w:b/>
              </w:rPr>
              <w:t xml:space="preserve"> i </w:t>
            </w:r>
            <w:proofErr w:type="spellStart"/>
            <w:r>
              <w:rPr>
                <w:b/>
              </w:rPr>
              <w:t>osiągnięty</w:t>
            </w:r>
            <w:proofErr w:type="spellEnd"/>
            <w:r>
              <w:rPr>
                <w:b/>
              </w:rPr>
              <w:t xml:space="preserve"> </w:t>
            </w:r>
            <w:proofErr w:type="spellStart"/>
            <w:r>
              <w:rPr>
                <w:b/>
              </w:rPr>
              <w:t>efekt</w:t>
            </w:r>
            <w:proofErr w:type="spellEnd"/>
            <w:r>
              <w:rPr>
                <w:b/>
              </w:rPr>
              <w:t xml:space="preserve"> </w:t>
            </w:r>
            <w:proofErr w:type="spellStart"/>
            <w:r>
              <w:rPr>
                <w:b/>
              </w:rPr>
              <w:t>dźwigni</w:t>
            </w:r>
            <w:proofErr w:type="spellEnd"/>
            <w:r>
              <w:rPr>
                <w:b/>
              </w:rPr>
              <w:t xml:space="preserve"> w </w:t>
            </w:r>
            <w:proofErr w:type="spellStart"/>
            <w:r>
              <w:rPr>
                <w:b/>
              </w:rPr>
              <w:t>odniesieniu</w:t>
            </w:r>
            <w:proofErr w:type="spellEnd"/>
            <w:r>
              <w:rPr>
                <w:b/>
              </w:rPr>
              <w:t xml:space="preserve"> do </w:t>
            </w:r>
            <w:proofErr w:type="spellStart"/>
            <w:r>
              <w:rPr>
                <w:b/>
              </w:rPr>
              <w:t>umowy</w:t>
            </w:r>
            <w:proofErr w:type="spellEnd"/>
            <w:r>
              <w:rPr>
                <w:b/>
              </w:rPr>
              <w:t xml:space="preserve"> o </w:t>
            </w:r>
            <w:proofErr w:type="spellStart"/>
            <w:r>
              <w:rPr>
                <w:b/>
              </w:rPr>
              <w:t>finansowaniu</w:t>
            </w:r>
            <w:proofErr w:type="spellEnd"/>
          </w:p>
        </w:tc>
      </w:tr>
      <w:tr w:rsidR="006B2EC1" w14:paraId="5F458B04" w14:textId="77777777" w:rsidTr="0047688D">
        <w:tc>
          <w:tcPr>
            <w:tcW w:w="0" w:type="auto"/>
            <w:shd w:val="clear" w:color="auto" w:fill="auto"/>
          </w:tcPr>
          <w:p w14:paraId="0FA6DD35" w14:textId="77777777" w:rsidR="008C5CFA" w:rsidRDefault="00E82A60" w:rsidP="00300A01">
            <w:pPr>
              <w:spacing w:before="0" w:after="0"/>
            </w:pPr>
            <w:r>
              <w:t xml:space="preserve">39.1. </w:t>
            </w:r>
            <w:proofErr w:type="spellStart"/>
            <w:r>
              <w:t>Spodziewany</w:t>
            </w:r>
            <w:proofErr w:type="spellEnd"/>
            <w:r>
              <w:t xml:space="preserve"> </w:t>
            </w:r>
            <w:proofErr w:type="spellStart"/>
            <w:r>
              <w:t>efekt</w:t>
            </w:r>
            <w:proofErr w:type="spellEnd"/>
            <w:r>
              <w:t xml:space="preserve"> </w:t>
            </w:r>
            <w:proofErr w:type="spellStart"/>
            <w:r>
              <w:t>dźwigni</w:t>
            </w:r>
            <w:proofErr w:type="spellEnd"/>
            <w:r>
              <w:t xml:space="preserve"> w </w:t>
            </w:r>
            <w:proofErr w:type="spellStart"/>
            <w:r>
              <w:t>przypadku</w:t>
            </w:r>
            <w:proofErr w:type="spellEnd"/>
            <w:r>
              <w:t xml:space="preserve"> </w:t>
            </w:r>
            <w:proofErr w:type="spellStart"/>
            <w:r>
              <w:t>pożyczki</w:t>
            </w:r>
            <w:proofErr w:type="spellEnd"/>
            <w:r>
              <w:t>/</w:t>
            </w:r>
            <w:proofErr w:type="spellStart"/>
            <w:r>
              <w:t>gwarancji</w:t>
            </w:r>
            <w:proofErr w:type="spellEnd"/>
            <w:r>
              <w:t>/</w:t>
            </w:r>
            <w:proofErr w:type="spellStart"/>
            <w:r>
              <w:t>inwestycji</w:t>
            </w:r>
            <w:proofErr w:type="spellEnd"/>
            <w:r>
              <w:t xml:space="preserve"> </w:t>
            </w:r>
            <w:proofErr w:type="spellStart"/>
            <w:r>
              <w:t>kapitałowej</w:t>
            </w:r>
            <w:proofErr w:type="spellEnd"/>
            <w:r>
              <w:t xml:space="preserve"> </w:t>
            </w:r>
            <w:proofErr w:type="spellStart"/>
            <w:r>
              <w:t>lub</w:t>
            </w:r>
            <w:proofErr w:type="spellEnd"/>
            <w:r>
              <w:t xml:space="preserve"> quasi-</w:t>
            </w:r>
            <w:proofErr w:type="spellStart"/>
            <w:r>
              <w:t>kapitałowej</w:t>
            </w:r>
            <w:proofErr w:type="spellEnd"/>
            <w:r>
              <w:t>/</w:t>
            </w:r>
            <w:proofErr w:type="spellStart"/>
            <w:r>
              <w:t>innego</w:t>
            </w:r>
            <w:proofErr w:type="spellEnd"/>
            <w:r>
              <w:t xml:space="preserve"> </w:t>
            </w:r>
            <w:proofErr w:type="spellStart"/>
            <w:r>
              <w:t>produktu</w:t>
            </w:r>
            <w:proofErr w:type="spellEnd"/>
            <w:r>
              <w:t xml:space="preserve"> </w:t>
            </w:r>
            <w:proofErr w:type="spellStart"/>
            <w:r>
              <w:t>finansowego</w:t>
            </w:r>
            <w:proofErr w:type="spellEnd"/>
            <w:r>
              <w:t xml:space="preserve"> w </w:t>
            </w:r>
            <w:proofErr w:type="spellStart"/>
            <w:r>
              <w:t>odniesieniu</w:t>
            </w:r>
            <w:proofErr w:type="spellEnd"/>
            <w:r>
              <w:t xml:space="preserve"> do </w:t>
            </w:r>
            <w:proofErr w:type="spellStart"/>
            <w:r>
              <w:t>umowy</w:t>
            </w:r>
            <w:proofErr w:type="spellEnd"/>
            <w:r>
              <w:t xml:space="preserve"> o </w:t>
            </w:r>
            <w:proofErr w:type="spellStart"/>
            <w:r>
              <w:t>finansowaniu</w:t>
            </w:r>
            <w:proofErr w:type="spellEnd"/>
            <w:r>
              <w:t xml:space="preserve">, </w:t>
            </w:r>
            <w:proofErr w:type="spellStart"/>
            <w:r>
              <w:t>według</w:t>
            </w:r>
            <w:proofErr w:type="spellEnd"/>
            <w:r>
              <w:t xml:space="preserve"> </w:t>
            </w:r>
            <w:proofErr w:type="spellStart"/>
            <w:r>
              <w:t>produktów</w:t>
            </w:r>
            <w:proofErr w:type="spellEnd"/>
          </w:p>
        </w:tc>
        <w:tc>
          <w:tcPr>
            <w:tcW w:w="0" w:type="auto"/>
            <w:shd w:val="clear" w:color="auto" w:fill="auto"/>
          </w:tcPr>
          <w:p w14:paraId="0F80E7B4" w14:textId="77777777" w:rsidR="008C5CFA" w:rsidRDefault="00E82A60" w:rsidP="00300A01">
            <w:pPr>
              <w:spacing w:before="0" w:after="0"/>
              <w:jc w:val="right"/>
            </w:pPr>
            <w:r>
              <w:t>1,30</w:t>
            </w:r>
          </w:p>
        </w:tc>
      </w:tr>
      <w:tr w:rsidR="006B2EC1" w14:paraId="2F8A5819" w14:textId="77777777" w:rsidTr="0047688D">
        <w:tc>
          <w:tcPr>
            <w:tcW w:w="0" w:type="auto"/>
            <w:shd w:val="clear" w:color="auto" w:fill="auto"/>
          </w:tcPr>
          <w:p w14:paraId="09F2F781" w14:textId="77777777" w:rsidR="008C5CFA" w:rsidRDefault="00E82A60" w:rsidP="00300A01">
            <w:pPr>
              <w:spacing w:before="0" w:after="0"/>
            </w:pPr>
            <w:r>
              <w:t xml:space="preserve">39.2. </w:t>
            </w:r>
            <w:proofErr w:type="spellStart"/>
            <w:r>
              <w:t>Osiągnięty</w:t>
            </w:r>
            <w:proofErr w:type="spellEnd"/>
            <w:r>
              <w:t xml:space="preserve"> </w:t>
            </w:r>
            <w:proofErr w:type="spellStart"/>
            <w:r>
              <w:t>efekt</w:t>
            </w:r>
            <w:proofErr w:type="spellEnd"/>
            <w:r>
              <w:t xml:space="preserve"> </w:t>
            </w:r>
            <w:proofErr w:type="spellStart"/>
            <w:r>
              <w:t>dźwigni</w:t>
            </w:r>
            <w:proofErr w:type="spellEnd"/>
            <w:r>
              <w:t xml:space="preserve"> </w:t>
            </w:r>
            <w:proofErr w:type="spellStart"/>
            <w:r>
              <w:t>na</w:t>
            </w:r>
            <w:proofErr w:type="spellEnd"/>
            <w:r>
              <w:t xml:space="preserve"> </w:t>
            </w:r>
            <w:proofErr w:type="spellStart"/>
            <w:r>
              <w:t>koniec</w:t>
            </w:r>
            <w:proofErr w:type="spellEnd"/>
            <w:r>
              <w:t xml:space="preserve"> </w:t>
            </w:r>
            <w:proofErr w:type="spellStart"/>
            <w:r>
              <w:t>roku</w:t>
            </w:r>
            <w:proofErr w:type="spellEnd"/>
            <w:r>
              <w:t xml:space="preserve"> </w:t>
            </w:r>
            <w:proofErr w:type="spellStart"/>
            <w:r>
              <w:t>sprawozdawczego</w:t>
            </w:r>
            <w:proofErr w:type="spellEnd"/>
            <w:r>
              <w:t xml:space="preserve"> w </w:t>
            </w:r>
            <w:proofErr w:type="spellStart"/>
            <w:r>
              <w:t>przypadku</w:t>
            </w:r>
            <w:proofErr w:type="spellEnd"/>
            <w:r>
              <w:t xml:space="preserve"> </w:t>
            </w:r>
            <w:proofErr w:type="spellStart"/>
            <w:r>
              <w:t>pożyczki</w:t>
            </w:r>
            <w:proofErr w:type="spellEnd"/>
            <w:r>
              <w:t>/</w:t>
            </w:r>
            <w:proofErr w:type="spellStart"/>
            <w:r>
              <w:t>gwarancji</w:t>
            </w:r>
            <w:proofErr w:type="spellEnd"/>
            <w:r>
              <w:t>/</w:t>
            </w:r>
            <w:proofErr w:type="spellStart"/>
            <w:r>
              <w:t>inwestycji</w:t>
            </w:r>
            <w:proofErr w:type="spellEnd"/>
            <w:r>
              <w:t xml:space="preserve"> </w:t>
            </w:r>
            <w:proofErr w:type="spellStart"/>
            <w:r>
              <w:t>kapitałowej</w:t>
            </w:r>
            <w:proofErr w:type="spellEnd"/>
            <w:r>
              <w:t xml:space="preserve"> </w:t>
            </w:r>
            <w:proofErr w:type="spellStart"/>
            <w:r>
              <w:t>lub</w:t>
            </w:r>
            <w:proofErr w:type="spellEnd"/>
            <w:r>
              <w:t xml:space="preserve"> quasi-</w:t>
            </w:r>
            <w:proofErr w:type="spellStart"/>
            <w:r>
              <w:t>kapitałowej</w:t>
            </w:r>
            <w:proofErr w:type="spellEnd"/>
            <w:r>
              <w:t>/</w:t>
            </w:r>
            <w:proofErr w:type="spellStart"/>
            <w:r>
              <w:t>innego</w:t>
            </w:r>
            <w:proofErr w:type="spellEnd"/>
            <w:r>
              <w:t xml:space="preserve"> </w:t>
            </w:r>
            <w:proofErr w:type="spellStart"/>
            <w:r>
              <w:t>produktu</w:t>
            </w:r>
            <w:proofErr w:type="spellEnd"/>
            <w:r>
              <w:t xml:space="preserve"> </w:t>
            </w:r>
            <w:proofErr w:type="spellStart"/>
            <w:r>
              <w:t>finansowego</w:t>
            </w:r>
            <w:proofErr w:type="spellEnd"/>
            <w:r>
              <w:t xml:space="preserve">, </w:t>
            </w:r>
            <w:proofErr w:type="spellStart"/>
            <w:r>
              <w:t>według</w:t>
            </w:r>
            <w:proofErr w:type="spellEnd"/>
            <w:r>
              <w:t xml:space="preserve"> </w:t>
            </w:r>
            <w:proofErr w:type="spellStart"/>
            <w:r>
              <w:t>produktów</w:t>
            </w:r>
            <w:proofErr w:type="spellEnd"/>
            <w:r>
              <w:t xml:space="preserve"> </w:t>
            </w:r>
          </w:p>
        </w:tc>
        <w:tc>
          <w:tcPr>
            <w:tcW w:w="0" w:type="auto"/>
            <w:shd w:val="clear" w:color="auto" w:fill="auto"/>
          </w:tcPr>
          <w:p w14:paraId="490DBFF8" w14:textId="77777777" w:rsidR="008C5CFA" w:rsidRDefault="00E82A60" w:rsidP="00300A01">
            <w:pPr>
              <w:spacing w:before="0" w:after="0"/>
              <w:jc w:val="right"/>
            </w:pPr>
            <w:r>
              <w:t>1,28</w:t>
            </w:r>
          </w:p>
        </w:tc>
      </w:tr>
      <w:tr w:rsidR="006B2EC1" w14:paraId="6242EE1E" w14:textId="77777777" w:rsidTr="0047688D">
        <w:tc>
          <w:tcPr>
            <w:tcW w:w="0" w:type="auto"/>
            <w:shd w:val="clear" w:color="auto" w:fill="auto"/>
          </w:tcPr>
          <w:p w14:paraId="69628A1A" w14:textId="77777777" w:rsidR="008C5CFA" w:rsidRDefault="00E82A60" w:rsidP="00300A01">
            <w:pPr>
              <w:spacing w:before="0" w:after="0"/>
            </w:pPr>
            <w:r>
              <w:t xml:space="preserve">39.3. </w:t>
            </w:r>
            <w:proofErr w:type="spellStart"/>
            <w:r>
              <w:t>Inwestycje</w:t>
            </w:r>
            <w:proofErr w:type="spellEnd"/>
            <w:r>
              <w:t xml:space="preserve"> </w:t>
            </w:r>
            <w:proofErr w:type="spellStart"/>
            <w:r>
              <w:t>uruchomione</w:t>
            </w:r>
            <w:proofErr w:type="spellEnd"/>
            <w:r>
              <w:t xml:space="preserve"> </w:t>
            </w:r>
            <w:proofErr w:type="spellStart"/>
            <w:r>
              <w:t>przez</w:t>
            </w:r>
            <w:proofErr w:type="spellEnd"/>
            <w:r>
              <w:t xml:space="preserve"> </w:t>
            </w:r>
            <w:proofErr w:type="spellStart"/>
            <w:r>
              <w:t>instrumenty</w:t>
            </w:r>
            <w:proofErr w:type="spellEnd"/>
            <w:r>
              <w:t xml:space="preserve"> </w:t>
            </w:r>
            <w:proofErr w:type="spellStart"/>
            <w:r>
              <w:t>finansowe</w:t>
            </w:r>
            <w:proofErr w:type="spellEnd"/>
            <w:r>
              <w:t xml:space="preserve"> EFSI </w:t>
            </w:r>
            <w:proofErr w:type="spellStart"/>
            <w:r>
              <w:t>dla</w:t>
            </w:r>
            <w:proofErr w:type="spellEnd"/>
            <w:r>
              <w:t xml:space="preserve"> </w:t>
            </w:r>
            <w:proofErr w:type="spellStart"/>
            <w:r>
              <w:t>pożyczki</w:t>
            </w:r>
            <w:proofErr w:type="spellEnd"/>
            <w:r>
              <w:t>/</w:t>
            </w:r>
            <w:proofErr w:type="spellStart"/>
            <w:r>
              <w:t>gwarancji</w:t>
            </w:r>
            <w:proofErr w:type="spellEnd"/>
            <w:r>
              <w:t>/</w:t>
            </w:r>
            <w:proofErr w:type="spellStart"/>
            <w:r>
              <w:t>inwestycji</w:t>
            </w:r>
            <w:proofErr w:type="spellEnd"/>
            <w:r>
              <w:t xml:space="preserve"> </w:t>
            </w:r>
            <w:proofErr w:type="spellStart"/>
            <w:r>
              <w:t>kapitałowej</w:t>
            </w:r>
            <w:proofErr w:type="spellEnd"/>
            <w:r>
              <w:t xml:space="preserve"> </w:t>
            </w:r>
            <w:proofErr w:type="spellStart"/>
            <w:r>
              <w:t>lub</w:t>
            </w:r>
            <w:proofErr w:type="spellEnd"/>
            <w:r>
              <w:t xml:space="preserve"> quasi-</w:t>
            </w:r>
            <w:proofErr w:type="spellStart"/>
            <w:r>
              <w:t>kapitałowej</w:t>
            </w:r>
            <w:proofErr w:type="spellEnd"/>
            <w:r>
              <w:t xml:space="preserve">, </w:t>
            </w:r>
            <w:proofErr w:type="spellStart"/>
            <w:r>
              <w:t>według</w:t>
            </w:r>
            <w:proofErr w:type="spellEnd"/>
            <w:r>
              <w:t xml:space="preserve"> </w:t>
            </w:r>
            <w:proofErr w:type="spellStart"/>
            <w:r>
              <w:t>produktów</w:t>
            </w:r>
            <w:proofErr w:type="spellEnd"/>
            <w:r>
              <w:t xml:space="preserve"> (</w:t>
            </w:r>
            <w:proofErr w:type="spellStart"/>
            <w:r>
              <w:t>fakultatywnie</w:t>
            </w:r>
            <w:proofErr w:type="spellEnd"/>
            <w:r>
              <w:t>)</w:t>
            </w:r>
          </w:p>
        </w:tc>
        <w:tc>
          <w:tcPr>
            <w:tcW w:w="0" w:type="auto"/>
            <w:shd w:val="clear" w:color="auto" w:fill="auto"/>
          </w:tcPr>
          <w:p w14:paraId="0458EB2E" w14:textId="77777777" w:rsidR="008C5CFA" w:rsidRDefault="008C5CFA" w:rsidP="00300A01">
            <w:pPr>
              <w:spacing w:before="0" w:after="0"/>
              <w:jc w:val="right"/>
            </w:pPr>
          </w:p>
        </w:tc>
      </w:tr>
      <w:tr w:rsidR="006B2EC1" w14:paraId="2A6F04CB" w14:textId="77777777" w:rsidTr="0047688D">
        <w:tc>
          <w:tcPr>
            <w:tcW w:w="0" w:type="auto"/>
            <w:gridSpan w:val="2"/>
            <w:shd w:val="clear" w:color="auto" w:fill="auto"/>
          </w:tcPr>
          <w:p w14:paraId="3CB5EDC2" w14:textId="77777777" w:rsidR="008C5CFA" w:rsidRDefault="00E82A60" w:rsidP="00300A01">
            <w:pPr>
              <w:spacing w:before="0" w:after="0"/>
            </w:pPr>
            <w:r>
              <w:rPr>
                <w:b/>
              </w:rPr>
              <w:lastRenderedPageBreak/>
              <w:t xml:space="preserve">VI. </w:t>
            </w:r>
            <w:proofErr w:type="spellStart"/>
            <w:r>
              <w:rPr>
                <w:b/>
              </w:rPr>
              <w:t>Funkcjonowanie</w:t>
            </w:r>
            <w:proofErr w:type="spellEnd"/>
            <w:r>
              <w:rPr>
                <w:b/>
              </w:rPr>
              <w:t xml:space="preserve"> </w:t>
            </w:r>
            <w:proofErr w:type="spellStart"/>
            <w:r>
              <w:rPr>
                <w:b/>
              </w:rPr>
              <w:t>instrumentu</w:t>
            </w:r>
            <w:proofErr w:type="spellEnd"/>
            <w:r>
              <w:rPr>
                <w:b/>
              </w:rPr>
              <w:t xml:space="preserve"> </w:t>
            </w:r>
            <w:proofErr w:type="spellStart"/>
            <w:r>
              <w:rPr>
                <w:b/>
              </w:rPr>
              <w:t>finansowego</w:t>
            </w:r>
            <w:proofErr w:type="spellEnd"/>
            <w:r>
              <w:rPr>
                <w:b/>
              </w:rPr>
              <w:t xml:space="preserve">, w </w:t>
            </w:r>
            <w:proofErr w:type="spellStart"/>
            <w:r>
              <w:rPr>
                <w:b/>
              </w:rPr>
              <w:t>tym</w:t>
            </w:r>
            <w:proofErr w:type="spellEnd"/>
            <w:r>
              <w:rPr>
                <w:b/>
              </w:rPr>
              <w:t xml:space="preserve"> </w:t>
            </w:r>
            <w:proofErr w:type="spellStart"/>
            <w:r>
              <w:rPr>
                <w:b/>
              </w:rPr>
              <w:t>postęp</w:t>
            </w:r>
            <w:proofErr w:type="spellEnd"/>
            <w:r>
              <w:rPr>
                <w:b/>
              </w:rPr>
              <w:t xml:space="preserve"> w </w:t>
            </w:r>
            <w:proofErr w:type="spellStart"/>
            <w:r>
              <w:rPr>
                <w:b/>
              </w:rPr>
              <w:t>ustanawianiu</w:t>
            </w:r>
            <w:proofErr w:type="spellEnd"/>
            <w:r>
              <w:rPr>
                <w:b/>
              </w:rPr>
              <w:t xml:space="preserve"> i </w:t>
            </w:r>
            <w:proofErr w:type="spellStart"/>
            <w:r>
              <w:rPr>
                <w:b/>
              </w:rPr>
              <w:t>wyborze</w:t>
            </w:r>
            <w:proofErr w:type="spellEnd"/>
            <w:r>
              <w:rPr>
                <w:b/>
              </w:rPr>
              <w:t xml:space="preserve"> </w:t>
            </w:r>
            <w:proofErr w:type="spellStart"/>
            <w:r>
              <w:rPr>
                <w:b/>
              </w:rPr>
              <w:t>instytucji</w:t>
            </w:r>
            <w:proofErr w:type="spellEnd"/>
            <w:r>
              <w:rPr>
                <w:b/>
              </w:rPr>
              <w:t xml:space="preserve"> </w:t>
            </w:r>
            <w:proofErr w:type="spellStart"/>
            <w:r>
              <w:rPr>
                <w:b/>
              </w:rPr>
              <w:t>wdrażających</w:t>
            </w:r>
            <w:proofErr w:type="spellEnd"/>
            <w:r>
              <w:rPr>
                <w:b/>
              </w:rPr>
              <w:t xml:space="preserve"> instrument </w:t>
            </w:r>
            <w:proofErr w:type="spellStart"/>
            <w:r>
              <w:rPr>
                <w:b/>
              </w:rPr>
              <w:t>finansowy</w:t>
            </w:r>
            <w:proofErr w:type="spellEnd"/>
            <w:r>
              <w:rPr>
                <w:b/>
              </w:rPr>
              <w:t xml:space="preserve"> (w </w:t>
            </w:r>
            <w:proofErr w:type="spellStart"/>
            <w:r>
              <w:rPr>
                <w:b/>
              </w:rPr>
              <w:t>tym</w:t>
            </w:r>
            <w:proofErr w:type="spellEnd"/>
            <w:r>
              <w:rPr>
                <w:b/>
              </w:rPr>
              <w:t xml:space="preserve"> </w:t>
            </w:r>
            <w:proofErr w:type="spellStart"/>
            <w:r>
              <w:rPr>
                <w:b/>
              </w:rPr>
              <w:t>instytucji</w:t>
            </w:r>
            <w:proofErr w:type="spellEnd"/>
            <w:r>
              <w:rPr>
                <w:b/>
              </w:rPr>
              <w:t xml:space="preserve"> </w:t>
            </w:r>
            <w:proofErr w:type="spellStart"/>
            <w:r>
              <w:rPr>
                <w:b/>
              </w:rPr>
              <w:t>wdrażającej</w:t>
            </w:r>
            <w:proofErr w:type="spellEnd"/>
            <w:r>
              <w:rPr>
                <w:b/>
              </w:rPr>
              <w:t xml:space="preserve"> </w:t>
            </w:r>
            <w:proofErr w:type="spellStart"/>
            <w:r>
              <w:rPr>
                <w:b/>
              </w:rPr>
              <w:t>fundusz</w:t>
            </w:r>
            <w:proofErr w:type="spellEnd"/>
            <w:r>
              <w:rPr>
                <w:b/>
              </w:rPr>
              <w:t xml:space="preserve"> </w:t>
            </w:r>
            <w:proofErr w:type="spellStart"/>
            <w:r>
              <w:rPr>
                <w:b/>
              </w:rPr>
              <w:t>funduszy</w:t>
            </w:r>
            <w:proofErr w:type="spellEnd"/>
            <w:r>
              <w:rPr>
                <w:b/>
              </w:rPr>
              <w:t xml:space="preserve">) (art. 46 </w:t>
            </w:r>
            <w:proofErr w:type="spellStart"/>
            <w:r>
              <w:rPr>
                <w:b/>
              </w:rPr>
              <w:t>ust</w:t>
            </w:r>
            <w:proofErr w:type="spellEnd"/>
            <w:r>
              <w:rPr>
                <w:b/>
              </w:rPr>
              <w:t xml:space="preserve">. 2 lit. f) </w:t>
            </w:r>
            <w:proofErr w:type="spellStart"/>
            <w:r>
              <w:rPr>
                <w:b/>
              </w:rPr>
              <w:t>rozporządzenia</w:t>
            </w:r>
            <w:proofErr w:type="spellEnd"/>
            <w:r>
              <w:rPr>
                <w:b/>
              </w:rPr>
              <w:t xml:space="preserve"> (UE) nr 1303/2013)</w:t>
            </w:r>
          </w:p>
        </w:tc>
      </w:tr>
      <w:tr w:rsidR="006B2EC1" w14:paraId="7D2C6CC3" w14:textId="77777777" w:rsidTr="0047688D">
        <w:tc>
          <w:tcPr>
            <w:tcW w:w="0" w:type="auto"/>
            <w:shd w:val="clear" w:color="auto" w:fill="auto"/>
          </w:tcPr>
          <w:p w14:paraId="0017A702" w14:textId="77777777" w:rsidR="008C5CFA" w:rsidRDefault="00E82A60" w:rsidP="00300A01">
            <w:pPr>
              <w:spacing w:before="0" w:after="0"/>
            </w:pPr>
            <w:r>
              <w:t xml:space="preserve">32. </w:t>
            </w:r>
            <w:proofErr w:type="spellStart"/>
            <w:r>
              <w:t>Informacja</w:t>
            </w:r>
            <w:proofErr w:type="spellEnd"/>
            <w:r>
              <w:t xml:space="preserve"> o </w:t>
            </w:r>
            <w:proofErr w:type="spellStart"/>
            <w:r>
              <w:t>tym</w:t>
            </w:r>
            <w:proofErr w:type="spellEnd"/>
            <w:r>
              <w:t xml:space="preserve">, </w:t>
            </w:r>
            <w:proofErr w:type="spellStart"/>
            <w:r>
              <w:t>czy</w:t>
            </w:r>
            <w:proofErr w:type="spellEnd"/>
            <w:r>
              <w:t xml:space="preserve"> instrument </w:t>
            </w:r>
            <w:proofErr w:type="spellStart"/>
            <w:r>
              <w:t>finansowy</w:t>
            </w:r>
            <w:proofErr w:type="spellEnd"/>
            <w:r>
              <w:t xml:space="preserve"> </w:t>
            </w:r>
            <w:proofErr w:type="spellStart"/>
            <w:r>
              <w:t>nadal</w:t>
            </w:r>
            <w:proofErr w:type="spellEnd"/>
            <w:r>
              <w:t xml:space="preserve"> </w:t>
            </w:r>
            <w:proofErr w:type="spellStart"/>
            <w:r>
              <w:t>funkcjonował</w:t>
            </w:r>
            <w:proofErr w:type="spellEnd"/>
            <w:r>
              <w:t xml:space="preserve"> </w:t>
            </w:r>
            <w:proofErr w:type="spellStart"/>
            <w:r>
              <w:t>na</w:t>
            </w:r>
            <w:proofErr w:type="spellEnd"/>
            <w:r>
              <w:t xml:space="preserve"> </w:t>
            </w:r>
            <w:proofErr w:type="spellStart"/>
            <w:r>
              <w:t>koniec</w:t>
            </w:r>
            <w:proofErr w:type="spellEnd"/>
            <w:r>
              <w:t xml:space="preserve"> </w:t>
            </w:r>
            <w:proofErr w:type="spellStart"/>
            <w:r>
              <w:t>roku</w:t>
            </w:r>
            <w:proofErr w:type="spellEnd"/>
            <w:r>
              <w:t xml:space="preserve"> </w:t>
            </w:r>
            <w:proofErr w:type="spellStart"/>
            <w:r>
              <w:t>sprawozdawczego</w:t>
            </w:r>
            <w:proofErr w:type="spellEnd"/>
          </w:p>
        </w:tc>
        <w:tc>
          <w:tcPr>
            <w:tcW w:w="0" w:type="auto"/>
            <w:shd w:val="clear" w:color="auto" w:fill="auto"/>
          </w:tcPr>
          <w:p w14:paraId="266EA13D" w14:textId="77777777" w:rsidR="008C5CFA" w:rsidRDefault="00E82A60" w:rsidP="00300A01">
            <w:pPr>
              <w:spacing w:before="0" w:after="0"/>
              <w:jc w:val="right"/>
            </w:pPr>
            <w:proofErr w:type="spellStart"/>
            <w:r>
              <w:t>Tak</w:t>
            </w:r>
            <w:proofErr w:type="spellEnd"/>
          </w:p>
        </w:tc>
      </w:tr>
      <w:tr w:rsidR="006B2EC1" w14:paraId="5C9523EA" w14:textId="77777777" w:rsidTr="0047688D">
        <w:tc>
          <w:tcPr>
            <w:tcW w:w="0" w:type="auto"/>
            <w:shd w:val="clear" w:color="auto" w:fill="auto"/>
          </w:tcPr>
          <w:p w14:paraId="2C5566E2" w14:textId="77777777" w:rsidR="008C5CFA" w:rsidRDefault="00E82A60" w:rsidP="00300A01">
            <w:pPr>
              <w:spacing w:before="0" w:after="0"/>
            </w:pPr>
            <w:r>
              <w:t xml:space="preserve">32.1. </w:t>
            </w:r>
            <w:proofErr w:type="spellStart"/>
            <w:r>
              <w:t>Jeżeli</w:t>
            </w:r>
            <w:proofErr w:type="spellEnd"/>
            <w:r>
              <w:t xml:space="preserve"> instrument </w:t>
            </w:r>
            <w:proofErr w:type="spellStart"/>
            <w:r>
              <w:t>finansowy</w:t>
            </w:r>
            <w:proofErr w:type="spellEnd"/>
            <w:r>
              <w:t xml:space="preserve"> </w:t>
            </w:r>
            <w:proofErr w:type="spellStart"/>
            <w:r>
              <w:t>nie</w:t>
            </w:r>
            <w:proofErr w:type="spellEnd"/>
            <w:r>
              <w:t xml:space="preserve"> </w:t>
            </w:r>
            <w:proofErr w:type="spellStart"/>
            <w:r>
              <w:t>funkcjonował</w:t>
            </w:r>
            <w:proofErr w:type="spellEnd"/>
            <w:r>
              <w:t xml:space="preserve"> </w:t>
            </w:r>
            <w:proofErr w:type="spellStart"/>
            <w:r>
              <w:t>na</w:t>
            </w:r>
            <w:proofErr w:type="spellEnd"/>
            <w:r>
              <w:t xml:space="preserve"> </w:t>
            </w:r>
            <w:proofErr w:type="spellStart"/>
            <w:r>
              <w:t>koniec</w:t>
            </w:r>
            <w:proofErr w:type="spellEnd"/>
            <w:r>
              <w:t xml:space="preserve"> </w:t>
            </w:r>
            <w:proofErr w:type="spellStart"/>
            <w:r>
              <w:t>roku</w:t>
            </w:r>
            <w:proofErr w:type="spellEnd"/>
            <w:r>
              <w:t xml:space="preserve"> </w:t>
            </w:r>
            <w:proofErr w:type="spellStart"/>
            <w:r>
              <w:t>sprawozdawczego</w:t>
            </w:r>
            <w:proofErr w:type="spellEnd"/>
            <w:r>
              <w:t xml:space="preserve">, data </w:t>
            </w:r>
            <w:proofErr w:type="spellStart"/>
            <w:r>
              <w:t>likwidacji</w:t>
            </w:r>
            <w:proofErr w:type="spellEnd"/>
          </w:p>
        </w:tc>
        <w:tc>
          <w:tcPr>
            <w:tcW w:w="0" w:type="auto"/>
            <w:shd w:val="clear" w:color="auto" w:fill="auto"/>
          </w:tcPr>
          <w:p w14:paraId="6358B142" w14:textId="77777777" w:rsidR="008C5CFA" w:rsidRDefault="008C5CFA" w:rsidP="00300A01">
            <w:pPr>
              <w:spacing w:before="0" w:after="0"/>
              <w:jc w:val="right"/>
            </w:pPr>
          </w:p>
        </w:tc>
      </w:tr>
      <w:tr w:rsidR="006B2EC1" w14:paraId="04E9E959" w14:textId="77777777" w:rsidTr="0047688D">
        <w:tc>
          <w:tcPr>
            <w:tcW w:w="0" w:type="auto"/>
            <w:gridSpan w:val="2"/>
            <w:shd w:val="clear" w:color="auto" w:fill="auto"/>
          </w:tcPr>
          <w:p w14:paraId="608FBA46" w14:textId="77777777" w:rsidR="008C5CFA" w:rsidRDefault="00E82A60" w:rsidP="00300A01">
            <w:pPr>
              <w:spacing w:before="0" w:after="0"/>
            </w:pPr>
            <w:r>
              <w:rPr>
                <w:b/>
              </w:rPr>
              <w:t xml:space="preserve">VII. </w:t>
            </w:r>
            <w:proofErr w:type="spellStart"/>
            <w:r>
              <w:rPr>
                <w:b/>
              </w:rPr>
              <w:t>Odsetki</w:t>
            </w:r>
            <w:proofErr w:type="spellEnd"/>
            <w:r>
              <w:rPr>
                <w:b/>
              </w:rPr>
              <w:t xml:space="preserve"> </w:t>
            </w:r>
            <w:proofErr w:type="spellStart"/>
            <w:r>
              <w:rPr>
                <w:b/>
              </w:rPr>
              <w:t>oraz</w:t>
            </w:r>
            <w:proofErr w:type="spellEnd"/>
            <w:r>
              <w:rPr>
                <w:b/>
              </w:rPr>
              <w:t xml:space="preserve"> </w:t>
            </w:r>
            <w:proofErr w:type="spellStart"/>
            <w:r>
              <w:rPr>
                <w:b/>
              </w:rPr>
              <w:t>inne</w:t>
            </w:r>
            <w:proofErr w:type="spellEnd"/>
            <w:r>
              <w:rPr>
                <w:b/>
              </w:rPr>
              <w:t xml:space="preserve"> </w:t>
            </w:r>
            <w:proofErr w:type="spellStart"/>
            <w:r>
              <w:rPr>
                <w:b/>
              </w:rPr>
              <w:t>zyski</w:t>
            </w:r>
            <w:proofErr w:type="spellEnd"/>
            <w:r>
              <w:rPr>
                <w:b/>
              </w:rPr>
              <w:t xml:space="preserve"> </w:t>
            </w:r>
            <w:proofErr w:type="spellStart"/>
            <w:r>
              <w:rPr>
                <w:b/>
              </w:rPr>
              <w:t>generowane</w:t>
            </w:r>
            <w:proofErr w:type="spellEnd"/>
            <w:r>
              <w:rPr>
                <w:b/>
              </w:rPr>
              <w:t xml:space="preserve"> </w:t>
            </w:r>
            <w:proofErr w:type="spellStart"/>
            <w:r>
              <w:rPr>
                <w:b/>
              </w:rPr>
              <w:t>ze</w:t>
            </w:r>
            <w:proofErr w:type="spellEnd"/>
            <w:r>
              <w:rPr>
                <w:b/>
              </w:rPr>
              <w:t xml:space="preserve"> </w:t>
            </w:r>
            <w:proofErr w:type="spellStart"/>
            <w:r>
              <w:rPr>
                <w:b/>
              </w:rPr>
              <w:t>wsparcia</w:t>
            </w:r>
            <w:proofErr w:type="spellEnd"/>
            <w:r>
              <w:rPr>
                <w:b/>
              </w:rPr>
              <w:t xml:space="preserve"> </w:t>
            </w:r>
            <w:proofErr w:type="spellStart"/>
            <w:r>
              <w:rPr>
                <w:b/>
              </w:rPr>
              <w:t>udzielanego</w:t>
            </w:r>
            <w:proofErr w:type="spellEnd"/>
            <w:r>
              <w:rPr>
                <w:b/>
              </w:rPr>
              <w:t xml:space="preserve"> z EFSI </w:t>
            </w:r>
            <w:proofErr w:type="spellStart"/>
            <w:r>
              <w:rPr>
                <w:b/>
              </w:rPr>
              <w:t>na</w:t>
            </w:r>
            <w:proofErr w:type="spellEnd"/>
            <w:r>
              <w:rPr>
                <w:b/>
              </w:rPr>
              <w:t xml:space="preserve"> </w:t>
            </w:r>
            <w:proofErr w:type="spellStart"/>
            <w:r>
              <w:rPr>
                <w:b/>
              </w:rPr>
              <w:t>rzecz</w:t>
            </w:r>
            <w:proofErr w:type="spellEnd"/>
            <w:r>
              <w:rPr>
                <w:b/>
              </w:rPr>
              <w:t xml:space="preserve"> </w:t>
            </w:r>
            <w:proofErr w:type="spellStart"/>
            <w:r>
              <w:rPr>
                <w:b/>
              </w:rPr>
              <w:t>instrumentu</w:t>
            </w:r>
            <w:proofErr w:type="spellEnd"/>
            <w:r>
              <w:rPr>
                <w:b/>
              </w:rPr>
              <w:t xml:space="preserve"> </w:t>
            </w:r>
            <w:proofErr w:type="spellStart"/>
            <w:r>
              <w:rPr>
                <w:b/>
              </w:rPr>
              <w:t>finansowego</w:t>
            </w:r>
            <w:proofErr w:type="spellEnd"/>
            <w:r>
              <w:rPr>
                <w:b/>
              </w:rPr>
              <w:t xml:space="preserve">, </w:t>
            </w:r>
            <w:proofErr w:type="spellStart"/>
            <w:r>
              <w:rPr>
                <w:b/>
              </w:rPr>
              <w:t>zasoby</w:t>
            </w:r>
            <w:proofErr w:type="spellEnd"/>
            <w:r>
              <w:rPr>
                <w:b/>
              </w:rPr>
              <w:t xml:space="preserve"> </w:t>
            </w:r>
            <w:proofErr w:type="spellStart"/>
            <w:r>
              <w:rPr>
                <w:b/>
              </w:rPr>
              <w:t>programu</w:t>
            </w:r>
            <w:proofErr w:type="spellEnd"/>
            <w:r>
              <w:rPr>
                <w:b/>
              </w:rPr>
              <w:t xml:space="preserve"> </w:t>
            </w:r>
            <w:proofErr w:type="spellStart"/>
            <w:r>
              <w:rPr>
                <w:b/>
              </w:rPr>
              <w:t>zwrócone</w:t>
            </w:r>
            <w:proofErr w:type="spellEnd"/>
            <w:r>
              <w:rPr>
                <w:b/>
              </w:rPr>
              <w:t xml:space="preserve"> do </w:t>
            </w:r>
            <w:proofErr w:type="spellStart"/>
            <w:r>
              <w:rPr>
                <w:b/>
              </w:rPr>
              <w:t>instrumentów</w:t>
            </w:r>
            <w:proofErr w:type="spellEnd"/>
            <w:r>
              <w:rPr>
                <w:b/>
              </w:rPr>
              <w:t xml:space="preserve"> </w:t>
            </w:r>
            <w:proofErr w:type="spellStart"/>
            <w:r>
              <w:rPr>
                <w:b/>
              </w:rPr>
              <w:t>finansowych</w:t>
            </w:r>
            <w:proofErr w:type="spellEnd"/>
            <w:r>
              <w:rPr>
                <w:b/>
              </w:rPr>
              <w:t xml:space="preserve"> z </w:t>
            </w:r>
            <w:proofErr w:type="spellStart"/>
            <w:r>
              <w:rPr>
                <w:b/>
              </w:rPr>
              <w:t>inwestycji</w:t>
            </w:r>
            <w:proofErr w:type="spellEnd"/>
            <w:r>
              <w:rPr>
                <w:b/>
              </w:rPr>
              <w:t xml:space="preserve">, </w:t>
            </w:r>
            <w:proofErr w:type="spellStart"/>
            <w:r>
              <w:rPr>
                <w:b/>
              </w:rPr>
              <w:t>zgodnie</w:t>
            </w:r>
            <w:proofErr w:type="spellEnd"/>
            <w:r>
              <w:rPr>
                <w:b/>
              </w:rPr>
              <w:t xml:space="preserve"> z art. 43 i 44, </w:t>
            </w:r>
            <w:proofErr w:type="spellStart"/>
            <w:r>
              <w:rPr>
                <w:b/>
              </w:rPr>
              <w:t>kwoty</w:t>
            </w:r>
            <w:proofErr w:type="spellEnd"/>
            <w:r>
              <w:rPr>
                <w:b/>
              </w:rPr>
              <w:t xml:space="preserve"> </w:t>
            </w:r>
            <w:proofErr w:type="spellStart"/>
            <w:r>
              <w:rPr>
                <w:b/>
              </w:rPr>
              <w:t>wykorzystane</w:t>
            </w:r>
            <w:proofErr w:type="spellEnd"/>
            <w:r>
              <w:rPr>
                <w:b/>
              </w:rPr>
              <w:t xml:space="preserve"> </w:t>
            </w:r>
            <w:proofErr w:type="spellStart"/>
            <w:r>
              <w:rPr>
                <w:b/>
              </w:rPr>
              <w:t>na</w:t>
            </w:r>
            <w:proofErr w:type="spellEnd"/>
            <w:r>
              <w:rPr>
                <w:b/>
              </w:rPr>
              <w:t xml:space="preserve"> </w:t>
            </w:r>
            <w:proofErr w:type="spellStart"/>
            <w:r>
              <w:rPr>
                <w:b/>
              </w:rPr>
              <w:t>zróżnicowane</w:t>
            </w:r>
            <w:proofErr w:type="spellEnd"/>
            <w:r>
              <w:rPr>
                <w:b/>
              </w:rPr>
              <w:t xml:space="preserve"> </w:t>
            </w:r>
            <w:proofErr w:type="spellStart"/>
            <w:r>
              <w:rPr>
                <w:b/>
              </w:rPr>
              <w:t>traktowanie</w:t>
            </w:r>
            <w:proofErr w:type="spellEnd"/>
            <w:r>
              <w:rPr>
                <w:b/>
              </w:rPr>
              <w:t xml:space="preserve">, o </w:t>
            </w:r>
            <w:proofErr w:type="spellStart"/>
            <w:r>
              <w:rPr>
                <w:b/>
              </w:rPr>
              <w:t>którym</w:t>
            </w:r>
            <w:proofErr w:type="spellEnd"/>
            <w:r>
              <w:rPr>
                <w:b/>
              </w:rPr>
              <w:t xml:space="preserve"> </w:t>
            </w:r>
            <w:proofErr w:type="spellStart"/>
            <w:r>
              <w:rPr>
                <w:b/>
              </w:rPr>
              <w:t>mowa</w:t>
            </w:r>
            <w:proofErr w:type="spellEnd"/>
            <w:r>
              <w:rPr>
                <w:b/>
              </w:rPr>
              <w:t xml:space="preserve"> w art. 43a, </w:t>
            </w:r>
            <w:proofErr w:type="spellStart"/>
            <w:r>
              <w:rPr>
                <w:b/>
              </w:rPr>
              <w:t>oraz</w:t>
            </w:r>
            <w:proofErr w:type="spellEnd"/>
            <w:r>
              <w:rPr>
                <w:b/>
              </w:rPr>
              <w:t xml:space="preserve"> </w:t>
            </w:r>
            <w:proofErr w:type="spellStart"/>
            <w:r>
              <w:rPr>
                <w:b/>
              </w:rPr>
              <w:t>wartość</w:t>
            </w:r>
            <w:proofErr w:type="spellEnd"/>
            <w:r>
              <w:rPr>
                <w:b/>
              </w:rPr>
              <w:t xml:space="preserve"> </w:t>
            </w:r>
            <w:proofErr w:type="spellStart"/>
            <w:r>
              <w:rPr>
                <w:b/>
              </w:rPr>
              <w:t>inwestycji</w:t>
            </w:r>
            <w:proofErr w:type="spellEnd"/>
            <w:r>
              <w:rPr>
                <w:b/>
              </w:rPr>
              <w:t xml:space="preserve"> </w:t>
            </w:r>
            <w:proofErr w:type="spellStart"/>
            <w:r>
              <w:rPr>
                <w:b/>
              </w:rPr>
              <w:t>kapitałowych</w:t>
            </w:r>
            <w:proofErr w:type="spellEnd"/>
            <w:r>
              <w:rPr>
                <w:b/>
              </w:rPr>
              <w:t xml:space="preserve"> w </w:t>
            </w:r>
            <w:proofErr w:type="spellStart"/>
            <w:r>
              <w:rPr>
                <w:b/>
              </w:rPr>
              <w:t>odniesieniu</w:t>
            </w:r>
            <w:proofErr w:type="spellEnd"/>
            <w:r>
              <w:rPr>
                <w:b/>
              </w:rPr>
              <w:t xml:space="preserve"> do </w:t>
            </w:r>
            <w:proofErr w:type="spellStart"/>
            <w:r>
              <w:rPr>
                <w:b/>
              </w:rPr>
              <w:t>poprzednich</w:t>
            </w:r>
            <w:proofErr w:type="spellEnd"/>
            <w:r>
              <w:rPr>
                <w:b/>
              </w:rPr>
              <w:t xml:space="preserve"> </w:t>
            </w:r>
            <w:proofErr w:type="spellStart"/>
            <w:r>
              <w:rPr>
                <w:b/>
              </w:rPr>
              <w:t>lat</w:t>
            </w:r>
            <w:proofErr w:type="spellEnd"/>
            <w:r>
              <w:rPr>
                <w:b/>
              </w:rPr>
              <w:t xml:space="preserve"> (art. 46 </w:t>
            </w:r>
            <w:proofErr w:type="spellStart"/>
            <w:r>
              <w:rPr>
                <w:b/>
              </w:rPr>
              <w:t>ust</w:t>
            </w:r>
            <w:proofErr w:type="spellEnd"/>
            <w:r>
              <w:rPr>
                <w:b/>
              </w:rPr>
              <w:t xml:space="preserve">. 2 lit. g) </w:t>
            </w:r>
            <w:proofErr w:type="spellStart"/>
            <w:r>
              <w:rPr>
                <w:b/>
              </w:rPr>
              <w:t>oraz</w:t>
            </w:r>
            <w:proofErr w:type="spellEnd"/>
            <w:r>
              <w:rPr>
                <w:b/>
              </w:rPr>
              <w:t xml:space="preserve"> i) </w:t>
            </w:r>
            <w:proofErr w:type="spellStart"/>
            <w:r>
              <w:rPr>
                <w:b/>
              </w:rPr>
              <w:t>rozporządzenia</w:t>
            </w:r>
            <w:proofErr w:type="spellEnd"/>
            <w:r>
              <w:rPr>
                <w:b/>
              </w:rPr>
              <w:t xml:space="preserve"> (UE) nr 1303/2013)</w:t>
            </w:r>
          </w:p>
        </w:tc>
      </w:tr>
      <w:tr w:rsidR="006B2EC1" w14:paraId="30280227" w14:textId="77777777" w:rsidTr="0047688D">
        <w:tc>
          <w:tcPr>
            <w:tcW w:w="0" w:type="auto"/>
            <w:shd w:val="clear" w:color="auto" w:fill="auto"/>
          </w:tcPr>
          <w:p w14:paraId="1CA9AD9D" w14:textId="77777777" w:rsidR="008C5CFA" w:rsidRDefault="00E82A60" w:rsidP="00300A01">
            <w:pPr>
              <w:spacing w:before="0" w:after="0"/>
            </w:pPr>
            <w:r>
              <w:t xml:space="preserve">35. </w:t>
            </w:r>
            <w:proofErr w:type="spellStart"/>
            <w:r>
              <w:t>Odsetki</w:t>
            </w:r>
            <w:proofErr w:type="spellEnd"/>
            <w:r>
              <w:t xml:space="preserve"> </w:t>
            </w:r>
            <w:proofErr w:type="spellStart"/>
            <w:r>
              <w:t>oraz</w:t>
            </w:r>
            <w:proofErr w:type="spellEnd"/>
            <w:r>
              <w:t xml:space="preserve"> </w:t>
            </w:r>
            <w:proofErr w:type="spellStart"/>
            <w:r>
              <w:t>inne</w:t>
            </w:r>
            <w:proofErr w:type="spellEnd"/>
            <w:r>
              <w:t xml:space="preserve"> </w:t>
            </w:r>
            <w:proofErr w:type="spellStart"/>
            <w:r>
              <w:t>zyski</w:t>
            </w:r>
            <w:proofErr w:type="spellEnd"/>
            <w:r>
              <w:t xml:space="preserve"> </w:t>
            </w:r>
            <w:proofErr w:type="spellStart"/>
            <w:r>
              <w:t>generowane</w:t>
            </w:r>
            <w:proofErr w:type="spellEnd"/>
            <w:r>
              <w:t xml:space="preserve"> z </w:t>
            </w:r>
            <w:proofErr w:type="spellStart"/>
            <w:r>
              <w:t>płatności</w:t>
            </w:r>
            <w:proofErr w:type="spellEnd"/>
            <w:r>
              <w:t xml:space="preserve"> z EFSI </w:t>
            </w:r>
            <w:proofErr w:type="spellStart"/>
            <w:r>
              <w:t>na</w:t>
            </w:r>
            <w:proofErr w:type="spellEnd"/>
            <w:r>
              <w:t xml:space="preserve"> </w:t>
            </w:r>
            <w:proofErr w:type="spellStart"/>
            <w:r>
              <w:t>rzecz</w:t>
            </w:r>
            <w:proofErr w:type="spellEnd"/>
            <w:r>
              <w:t xml:space="preserve"> </w:t>
            </w:r>
            <w:proofErr w:type="spellStart"/>
            <w:r>
              <w:t>instrumentu</w:t>
            </w:r>
            <w:proofErr w:type="spellEnd"/>
            <w:r>
              <w:t xml:space="preserve"> </w:t>
            </w:r>
            <w:proofErr w:type="spellStart"/>
            <w:r>
              <w:t>finansowego</w:t>
            </w:r>
            <w:proofErr w:type="spellEnd"/>
            <w:r>
              <w:t xml:space="preserve"> (w EUR)</w:t>
            </w:r>
          </w:p>
        </w:tc>
        <w:tc>
          <w:tcPr>
            <w:tcW w:w="0" w:type="auto"/>
            <w:shd w:val="clear" w:color="auto" w:fill="auto"/>
          </w:tcPr>
          <w:p w14:paraId="34760EF1" w14:textId="77777777" w:rsidR="008C5CFA" w:rsidRDefault="00E82A60" w:rsidP="00300A01">
            <w:pPr>
              <w:spacing w:before="0" w:after="0"/>
              <w:jc w:val="right"/>
            </w:pPr>
            <w:r>
              <w:t>60 693,49</w:t>
            </w:r>
          </w:p>
        </w:tc>
      </w:tr>
      <w:tr w:rsidR="006B2EC1" w14:paraId="5C20A023" w14:textId="77777777" w:rsidTr="0047688D">
        <w:tc>
          <w:tcPr>
            <w:tcW w:w="0" w:type="auto"/>
            <w:shd w:val="clear" w:color="auto" w:fill="auto"/>
          </w:tcPr>
          <w:p w14:paraId="09E75A67" w14:textId="77777777" w:rsidR="008C5CFA" w:rsidRDefault="00E82A60" w:rsidP="00300A01">
            <w:pPr>
              <w:spacing w:before="0" w:after="0"/>
            </w:pPr>
            <w:r>
              <w:t xml:space="preserve">36. </w:t>
            </w:r>
            <w:proofErr w:type="spellStart"/>
            <w:r>
              <w:t>Kwoty</w:t>
            </w:r>
            <w:proofErr w:type="spellEnd"/>
            <w:r>
              <w:t xml:space="preserve"> </w:t>
            </w:r>
            <w:proofErr w:type="spellStart"/>
            <w:r>
              <w:t>zwrócone</w:t>
            </w:r>
            <w:proofErr w:type="spellEnd"/>
            <w:r>
              <w:t xml:space="preserve"> do </w:t>
            </w:r>
            <w:proofErr w:type="spellStart"/>
            <w:r>
              <w:t>instrumentu</w:t>
            </w:r>
            <w:proofErr w:type="spellEnd"/>
            <w:r>
              <w:t xml:space="preserve"> </w:t>
            </w:r>
            <w:proofErr w:type="spellStart"/>
            <w:r>
              <w:t>finansowego</w:t>
            </w:r>
            <w:proofErr w:type="spellEnd"/>
            <w:r>
              <w:t xml:space="preserve"> </w:t>
            </w:r>
            <w:proofErr w:type="spellStart"/>
            <w:r>
              <w:t>przypisane</w:t>
            </w:r>
            <w:proofErr w:type="spellEnd"/>
            <w:r>
              <w:t xml:space="preserve"> do </w:t>
            </w:r>
            <w:proofErr w:type="spellStart"/>
            <w:r>
              <w:t>wsparcia</w:t>
            </w:r>
            <w:proofErr w:type="spellEnd"/>
            <w:r>
              <w:t xml:space="preserve"> z EFSI do </w:t>
            </w:r>
            <w:proofErr w:type="spellStart"/>
            <w:r>
              <w:t>końca</w:t>
            </w:r>
            <w:proofErr w:type="spellEnd"/>
            <w:r>
              <w:t xml:space="preserve"> </w:t>
            </w:r>
            <w:proofErr w:type="spellStart"/>
            <w:r>
              <w:t>roku</w:t>
            </w:r>
            <w:proofErr w:type="spellEnd"/>
            <w:r>
              <w:t xml:space="preserve"> </w:t>
            </w:r>
            <w:proofErr w:type="spellStart"/>
            <w:r>
              <w:t>sprawozdawczego</w:t>
            </w:r>
            <w:proofErr w:type="spellEnd"/>
            <w:r>
              <w:t xml:space="preserve"> (w EUR)</w:t>
            </w:r>
          </w:p>
        </w:tc>
        <w:tc>
          <w:tcPr>
            <w:tcW w:w="0" w:type="auto"/>
            <w:shd w:val="clear" w:color="auto" w:fill="auto"/>
          </w:tcPr>
          <w:p w14:paraId="0B83D8CB" w14:textId="77777777" w:rsidR="008C5CFA" w:rsidRDefault="00E82A60" w:rsidP="00300A01">
            <w:pPr>
              <w:spacing w:before="0" w:after="0"/>
              <w:jc w:val="right"/>
            </w:pPr>
            <w:r>
              <w:t>60 969,70</w:t>
            </w:r>
          </w:p>
        </w:tc>
      </w:tr>
      <w:tr w:rsidR="006B2EC1" w14:paraId="7168FFD7" w14:textId="77777777" w:rsidTr="0047688D">
        <w:tc>
          <w:tcPr>
            <w:tcW w:w="0" w:type="auto"/>
            <w:shd w:val="clear" w:color="auto" w:fill="auto"/>
          </w:tcPr>
          <w:p w14:paraId="6AAC47FD" w14:textId="77777777" w:rsidR="008C5CFA" w:rsidRDefault="00E82A60" w:rsidP="00300A01">
            <w:pPr>
              <w:spacing w:before="0" w:after="0"/>
            </w:pPr>
            <w:r>
              <w:t xml:space="preserve">36.1. w </w:t>
            </w:r>
            <w:proofErr w:type="spellStart"/>
            <w:r>
              <w:t>tym</w:t>
            </w:r>
            <w:proofErr w:type="spellEnd"/>
            <w:r>
              <w:t xml:space="preserve"> </w:t>
            </w:r>
            <w:proofErr w:type="spellStart"/>
            <w:r>
              <w:t>zwroty</w:t>
            </w:r>
            <w:proofErr w:type="spellEnd"/>
            <w:r>
              <w:t xml:space="preserve"> </w:t>
            </w:r>
            <w:proofErr w:type="spellStart"/>
            <w:r>
              <w:t>kapitału</w:t>
            </w:r>
            <w:proofErr w:type="spellEnd"/>
            <w:r>
              <w:t xml:space="preserve"> (w EUR)</w:t>
            </w:r>
          </w:p>
        </w:tc>
        <w:tc>
          <w:tcPr>
            <w:tcW w:w="0" w:type="auto"/>
            <w:shd w:val="clear" w:color="auto" w:fill="auto"/>
          </w:tcPr>
          <w:p w14:paraId="6E52969D" w14:textId="77777777" w:rsidR="008C5CFA" w:rsidRDefault="00E82A60" w:rsidP="00300A01">
            <w:pPr>
              <w:spacing w:before="0" w:after="0"/>
              <w:jc w:val="right"/>
            </w:pPr>
            <w:r>
              <w:t>59 030,67</w:t>
            </w:r>
          </w:p>
        </w:tc>
      </w:tr>
      <w:tr w:rsidR="006B2EC1" w14:paraId="476BB8F4" w14:textId="77777777" w:rsidTr="0047688D">
        <w:tc>
          <w:tcPr>
            <w:tcW w:w="0" w:type="auto"/>
            <w:shd w:val="clear" w:color="auto" w:fill="auto"/>
          </w:tcPr>
          <w:p w14:paraId="642BD037" w14:textId="77777777" w:rsidR="008C5CFA" w:rsidRDefault="00E82A60" w:rsidP="00300A01">
            <w:pPr>
              <w:spacing w:before="0" w:after="0"/>
            </w:pPr>
            <w:r>
              <w:t xml:space="preserve">36.2. w </w:t>
            </w:r>
            <w:proofErr w:type="spellStart"/>
            <w:r>
              <w:t>tym</w:t>
            </w:r>
            <w:proofErr w:type="spellEnd"/>
            <w:r>
              <w:t xml:space="preserve"> </w:t>
            </w:r>
            <w:proofErr w:type="spellStart"/>
            <w:r>
              <w:t>zyski</w:t>
            </w:r>
            <w:proofErr w:type="spellEnd"/>
            <w:r>
              <w:t xml:space="preserve"> </w:t>
            </w:r>
            <w:proofErr w:type="spellStart"/>
            <w:r>
              <w:t>oraz</w:t>
            </w:r>
            <w:proofErr w:type="spellEnd"/>
            <w:r>
              <w:t xml:space="preserve"> </w:t>
            </w:r>
            <w:proofErr w:type="spellStart"/>
            <w:r>
              <w:t>inne</w:t>
            </w:r>
            <w:proofErr w:type="spellEnd"/>
            <w:r>
              <w:t xml:space="preserve"> </w:t>
            </w:r>
            <w:proofErr w:type="spellStart"/>
            <w:r>
              <w:t>dochody</w:t>
            </w:r>
            <w:proofErr w:type="spellEnd"/>
            <w:r>
              <w:t xml:space="preserve"> (w EUR)</w:t>
            </w:r>
          </w:p>
        </w:tc>
        <w:tc>
          <w:tcPr>
            <w:tcW w:w="0" w:type="auto"/>
            <w:shd w:val="clear" w:color="auto" w:fill="auto"/>
          </w:tcPr>
          <w:p w14:paraId="7FDFCA95" w14:textId="77777777" w:rsidR="008C5CFA" w:rsidRDefault="00E82A60" w:rsidP="00300A01">
            <w:pPr>
              <w:spacing w:before="0" w:after="0"/>
              <w:jc w:val="right"/>
            </w:pPr>
            <w:r>
              <w:t>1 939,03</w:t>
            </w:r>
          </w:p>
        </w:tc>
      </w:tr>
      <w:tr w:rsidR="006B2EC1" w14:paraId="75C4FE23" w14:textId="77777777" w:rsidTr="0047688D">
        <w:tc>
          <w:tcPr>
            <w:tcW w:w="0" w:type="auto"/>
            <w:shd w:val="clear" w:color="auto" w:fill="auto"/>
          </w:tcPr>
          <w:p w14:paraId="0AA3482E" w14:textId="77777777" w:rsidR="008C5CFA" w:rsidRDefault="00E82A60" w:rsidP="00300A01">
            <w:pPr>
              <w:spacing w:before="0" w:after="0"/>
            </w:pPr>
            <w:r>
              <w:t xml:space="preserve">37. </w:t>
            </w:r>
            <w:proofErr w:type="spellStart"/>
            <w:r>
              <w:t>Kwoty</w:t>
            </w:r>
            <w:proofErr w:type="spellEnd"/>
            <w:r>
              <w:t xml:space="preserve"> </w:t>
            </w:r>
            <w:proofErr w:type="spellStart"/>
            <w:r>
              <w:t>zasobów</w:t>
            </w:r>
            <w:proofErr w:type="spellEnd"/>
            <w:r>
              <w:t xml:space="preserve">, </w:t>
            </w:r>
            <w:proofErr w:type="spellStart"/>
            <w:r>
              <w:t>które</w:t>
            </w:r>
            <w:proofErr w:type="spellEnd"/>
            <w:r>
              <w:t xml:space="preserve"> </w:t>
            </w:r>
            <w:proofErr w:type="spellStart"/>
            <w:r>
              <w:t>można</w:t>
            </w:r>
            <w:proofErr w:type="spellEnd"/>
            <w:r>
              <w:t xml:space="preserve"> </w:t>
            </w:r>
            <w:proofErr w:type="spellStart"/>
            <w:r>
              <w:t>przypisać</w:t>
            </w:r>
            <w:proofErr w:type="spellEnd"/>
            <w:r>
              <w:t xml:space="preserve"> EFSI, </w:t>
            </w:r>
            <w:proofErr w:type="spellStart"/>
            <w:r>
              <w:t>wykorzystane</w:t>
            </w:r>
            <w:proofErr w:type="spellEnd"/>
            <w:r>
              <w:t xml:space="preserve"> </w:t>
            </w:r>
            <w:proofErr w:type="spellStart"/>
            <w:r>
              <w:t>zgodnie</w:t>
            </w:r>
            <w:proofErr w:type="spellEnd"/>
            <w:r>
              <w:t xml:space="preserve"> z art. 44 i art. 43a</w:t>
            </w:r>
          </w:p>
        </w:tc>
        <w:tc>
          <w:tcPr>
            <w:tcW w:w="0" w:type="auto"/>
            <w:shd w:val="clear" w:color="auto" w:fill="auto"/>
          </w:tcPr>
          <w:p w14:paraId="3514B087" w14:textId="77777777" w:rsidR="008C5CFA" w:rsidRDefault="008C5CFA" w:rsidP="00300A01">
            <w:pPr>
              <w:spacing w:before="0" w:after="0"/>
              <w:jc w:val="right"/>
            </w:pPr>
          </w:p>
        </w:tc>
      </w:tr>
      <w:tr w:rsidR="006B2EC1" w14:paraId="0448B1C5" w14:textId="77777777" w:rsidTr="0047688D">
        <w:tc>
          <w:tcPr>
            <w:tcW w:w="0" w:type="auto"/>
            <w:shd w:val="clear" w:color="auto" w:fill="auto"/>
          </w:tcPr>
          <w:p w14:paraId="21566F6A" w14:textId="77777777" w:rsidR="008C5CFA" w:rsidRDefault="00E82A60" w:rsidP="00300A01">
            <w:pPr>
              <w:spacing w:before="0" w:after="0"/>
            </w:pPr>
            <w:r>
              <w:t xml:space="preserve">37.1 w </w:t>
            </w:r>
            <w:proofErr w:type="spellStart"/>
            <w:r>
              <w:t>tym</w:t>
            </w:r>
            <w:proofErr w:type="spellEnd"/>
            <w:r>
              <w:t xml:space="preserve"> </w:t>
            </w:r>
            <w:proofErr w:type="spellStart"/>
            <w:r>
              <w:t>kwoty</w:t>
            </w:r>
            <w:proofErr w:type="spellEnd"/>
            <w:r>
              <w:t xml:space="preserve"> </w:t>
            </w:r>
            <w:proofErr w:type="spellStart"/>
            <w:r>
              <w:t>wypłacone</w:t>
            </w:r>
            <w:proofErr w:type="spellEnd"/>
            <w:r>
              <w:t xml:space="preserve"> </w:t>
            </w:r>
            <w:proofErr w:type="spellStart"/>
            <w:r>
              <w:t>na</w:t>
            </w:r>
            <w:proofErr w:type="spellEnd"/>
            <w:r>
              <w:t xml:space="preserve"> </w:t>
            </w:r>
            <w:proofErr w:type="spellStart"/>
            <w:r>
              <w:t>zróżnicowane</w:t>
            </w:r>
            <w:proofErr w:type="spellEnd"/>
            <w:r>
              <w:t xml:space="preserve"> </w:t>
            </w:r>
            <w:proofErr w:type="spellStart"/>
            <w:r>
              <w:t>traktowanie</w:t>
            </w:r>
            <w:proofErr w:type="spellEnd"/>
            <w:r>
              <w:t xml:space="preserve"> </w:t>
            </w:r>
            <w:proofErr w:type="spellStart"/>
            <w:r>
              <w:t>inwestorów</w:t>
            </w:r>
            <w:proofErr w:type="spellEnd"/>
            <w:r>
              <w:t xml:space="preserve"> </w:t>
            </w:r>
            <w:proofErr w:type="spellStart"/>
            <w:r>
              <w:t>działających</w:t>
            </w:r>
            <w:proofErr w:type="spellEnd"/>
            <w:r>
              <w:t xml:space="preserve"> </w:t>
            </w:r>
            <w:proofErr w:type="spellStart"/>
            <w:r>
              <w:t>zgodnie</w:t>
            </w:r>
            <w:proofErr w:type="spellEnd"/>
            <w:r>
              <w:t xml:space="preserve"> z </w:t>
            </w:r>
            <w:proofErr w:type="spellStart"/>
            <w:r>
              <w:t>zasadą</w:t>
            </w:r>
            <w:proofErr w:type="spellEnd"/>
            <w:r>
              <w:t xml:space="preserve"> </w:t>
            </w:r>
            <w:proofErr w:type="spellStart"/>
            <w:r>
              <w:t>gospodarki</w:t>
            </w:r>
            <w:proofErr w:type="spellEnd"/>
            <w:r>
              <w:t xml:space="preserve"> </w:t>
            </w:r>
            <w:proofErr w:type="spellStart"/>
            <w:r>
              <w:t>rynkowej</w:t>
            </w:r>
            <w:proofErr w:type="spellEnd"/>
            <w:r>
              <w:t xml:space="preserve">, </w:t>
            </w:r>
            <w:proofErr w:type="spellStart"/>
            <w:r>
              <w:t>którzy</w:t>
            </w:r>
            <w:proofErr w:type="spellEnd"/>
            <w:r>
              <w:t xml:space="preserve"> </w:t>
            </w:r>
            <w:proofErr w:type="spellStart"/>
            <w:r>
              <w:t>zapewniają</w:t>
            </w:r>
            <w:proofErr w:type="spellEnd"/>
            <w:r>
              <w:t xml:space="preserve"> </w:t>
            </w:r>
            <w:proofErr w:type="spellStart"/>
            <w:r>
              <w:t>środki</w:t>
            </w:r>
            <w:proofErr w:type="spellEnd"/>
            <w:r>
              <w:t xml:space="preserve"> </w:t>
            </w:r>
            <w:proofErr w:type="spellStart"/>
            <w:r>
              <w:t>odpowiadające</w:t>
            </w:r>
            <w:proofErr w:type="spellEnd"/>
            <w:r>
              <w:t xml:space="preserve"> </w:t>
            </w:r>
            <w:proofErr w:type="spellStart"/>
            <w:r>
              <w:t>wsparciu</w:t>
            </w:r>
            <w:proofErr w:type="spellEnd"/>
            <w:r>
              <w:t xml:space="preserve"> z EFSI </w:t>
            </w:r>
            <w:proofErr w:type="spellStart"/>
            <w:r>
              <w:t>na</w:t>
            </w:r>
            <w:proofErr w:type="spellEnd"/>
            <w:r>
              <w:t xml:space="preserve"> </w:t>
            </w:r>
            <w:proofErr w:type="spellStart"/>
            <w:r>
              <w:t>rzecz</w:t>
            </w:r>
            <w:proofErr w:type="spellEnd"/>
            <w:r>
              <w:t xml:space="preserve"> </w:t>
            </w:r>
            <w:proofErr w:type="spellStart"/>
            <w:r>
              <w:t>instrumentu</w:t>
            </w:r>
            <w:proofErr w:type="spellEnd"/>
            <w:r>
              <w:t xml:space="preserve"> </w:t>
            </w:r>
            <w:proofErr w:type="spellStart"/>
            <w:r>
              <w:t>finansowego</w:t>
            </w:r>
            <w:proofErr w:type="spellEnd"/>
            <w:r>
              <w:t xml:space="preserve"> </w:t>
            </w:r>
            <w:proofErr w:type="spellStart"/>
            <w:r>
              <w:t>lub</w:t>
            </w:r>
            <w:proofErr w:type="spellEnd"/>
            <w:r>
              <w:t xml:space="preserve"> </w:t>
            </w:r>
            <w:proofErr w:type="spellStart"/>
            <w:r>
              <w:t>którzy</w:t>
            </w:r>
            <w:proofErr w:type="spellEnd"/>
            <w:r>
              <w:t xml:space="preserve"> </w:t>
            </w:r>
            <w:proofErr w:type="spellStart"/>
            <w:r>
              <w:t>współfinansują</w:t>
            </w:r>
            <w:proofErr w:type="spellEnd"/>
            <w:r>
              <w:t xml:space="preserve"> </w:t>
            </w:r>
            <w:proofErr w:type="spellStart"/>
            <w:r>
              <w:t>inwestycję</w:t>
            </w:r>
            <w:proofErr w:type="spellEnd"/>
            <w:r>
              <w:t xml:space="preserve"> </w:t>
            </w:r>
            <w:proofErr w:type="spellStart"/>
            <w:r>
              <w:t>na</w:t>
            </w:r>
            <w:proofErr w:type="spellEnd"/>
            <w:r>
              <w:t xml:space="preserve"> </w:t>
            </w:r>
            <w:proofErr w:type="spellStart"/>
            <w:r>
              <w:t>poziomie</w:t>
            </w:r>
            <w:proofErr w:type="spellEnd"/>
            <w:r>
              <w:t xml:space="preserve"> </w:t>
            </w:r>
            <w:proofErr w:type="spellStart"/>
            <w:r>
              <w:t>ostatecznych</w:t>
            </w:r>
            <w:proofErr w:type="spellEnd"/>
            <w:r>
              <w:t xml:space="preserve"> </w:t>
            </w:r>
            <w:proofErr w:type="spellStart"/>
            <w:r>
              <w:t>odbiorców</w:t>
            </w:r>
            <w:proofErr w:type="spellEnd"/>
            <w:r>
              <w:t xml:space="preserve"> (w EUR)</w:t>
            </w:r>
          </w:p>
        </w:tc>
        <w:tc>
          <w:tcPr>
            <w:tcW w:w="0" w:type="auto"/>
            <w:shd w:val="clear" w:color="auto" w:fill="auto"/>
          </w:tcPr>
          <w:p w14:paraId="0BFD022A" w14:textId="77777777" w:rsidR="008C5CFA" w:rsidRDefault="008C5CFA" w:rsidP="00300A01">
            <w:pPr>
              <w:spacing w:before="0" w:after="0"/>
              <w:jc w:val="right"/>
            </w:pPr>
          </w:p>
        </w:tc>
      </w:tr>
      <w:tr w:rsidR="006B2EC1" w14:paraId="1C26946B" w14:textId="77777777" w:rsidTr="0047688D">
        <w:tc>
          <w:tcPr>
            <w:tcW w:w="0" w:type="auto"/>
            <w:shd w:val="clear" w:color="auto" w:fill="auto"/>
          </w:tcPr>
          <w:p w14:paraId="73D881FE" w14:textId="77777777" w:rsidR="008C5CFA" w:rsidRDefault="00E82A60" w:rsidP="00300A01">
            <w:pPr>
              <w:spacing w:before="0" w:after="0"/>
            </w:pPr>
            <w:r>
              <w:t xml:space="preserve">37.2. w </w:t>
            </w:r>
            <w:proofErr w:type="spellStart"/>
            <w:r>
              <w:t>tym</w:t>
            </w:r>
            <w:proofErr w:type="spellEnd"/>
            <w:r>
              <w:t xml:space="preserve"> </w:t>
            </w:r>
            <w:proofErr w:type="spellStart"/>
            <w:r>
              <w:t>kwoty</w:t>
            </w:r>
            <w:proofErr w:type="spellEnd"/>
            <w:r>
              <w:t xml:space="preserve"> </w:t>
            </w:r>
            <w:proofErr w:type="spellStart"/>
            <w:r>
              <w:t>wypłacone</w:t>
            </w:r>
            <w:proofErr w:type="spellEnd"/>
            <w:r>
              <w:t xml:space="preserve"> </w:t>
            </w:r>
            <w:proofErr w:type="spellStart"/>
            <w:r>
              <w:t>na</w:t>
            </w:r>
            <w:proofErr w:type="spellEnd"/>
            <w:r>
              <w:t xml:space="preserve"> </w:t>
            </w:r>
            <w:proofErr w:type="spellStart"/>
            <w:r>
              <w:t>refundację</w:t>
            </w:r>
            <w:proofErr w:type="spellEnd"/>
            <w:r>
              <w:t xml:space="preserve"> </w:t>
            </w:r>
            <w:proofErr w:type="spellStart"/>
            <w:r>
              <w:t>poniesionych</w:t>
            </w:r>
            <w:proofErr w:type="spellEnd"/>
            <w:r>
              <w:t xml:space="preserve"> </w:t>
            </w:r>
            <w:proofErr w:type="spellStart"/>
            <w:r>
              <w:t>kosztów</w:t>
            </w:r>
            <w:proofErr w:type="spellEnd"/>
            <w:r>
              <w:t xml:space="preserve"> </w:t>
            </w:r>
            <w:proofErr w:type="spellStart"/>
            <w:r>
              <w:t>zarządzania</w:t>
            </w:r>
            <w:proofErr w:type="spellEnd"/>
            <w:r>
              <w:t xml:space="preserve"> i </w:t>
            </w:r>
            <w:proofErr w:type="spellStart"/>
            <w:r>
              <w:t>opłat</w:t>
            </w:r>
            <w:proofErr w:type="spellEnd"/>
            <w:r>
              <w:t xml:space="preserve"> za </w:t>
            </w:r>
            <w:proofErr w:type="spellStart"/>
            <w:r>
              <w:t>zarządzanie</w:t>
            </w:r>
            <w:proofErr w:type="spellEnd"/>
            <w:r>
              <w:t xml:space="preserve"> </w:t>
            </w:r>
            <w:proofErr w:type="spellStart"/>
            <w:r>
              <w:t>instrumentem</w:t>
            </w:r>
            <w:proofErr w:type="spellEnd"/>
            <w:r>
              <w:t xml:space="preserve"> </w:t>
            </w:r>
            <w:proofErr w:type="spellStart"/>
            <w:r>
              <w:t>finansowym</w:t>
            </w:r>
            <w:proofErr w:type="spellEnd"/>
            <w:r>
              <w:t xml:space="preserve"> (w EUR)</w:t>
            </w:r>
          </w:p>
        </w:tc>
        <w:tc>
          <w:tcPr>
            <w:tcW w:w="0" w:type="auto"/>
            <w:shd w:val="clear" w:color="auto" w:fill="auto"/>
          </w:tcPr>
          <w:p w14:paraId="53FFECA7" w14:textId="77777777" w:rsidR="008C5CFA" w:rsidRDefault="008C5CFA" w:rsidP="00300A01">
            <w:pPr>
              <w:spacing w:before="0" w:after="0"/>
              <w:jc w:val="right"/>
            </w:pPr>
          </w:p>
        </w:tc>
      </w:tr>
      <w:tr w:rsidR="006B2EC1" w14:paraId="4028043E" w14:textId="77777777" w:rsidTr="0047688D">
        <w:tc>
          <w:tcPr>
            <w:tcW w:w="0" w:type="auto"/>
            <w:shd w:val="clear" w:color="auto" w:fill="auto"/>
          </w:tcPr>
          <w:p w14:paraId="0F1886DE" w14:textId="77777777" w:rsidR="008C5CFA" w:rsidRDefault="00E82A60" w:rsidP="00300A01">
            <w:pPr>
              <w:spacing w:before="0" w:after="0"/>
            </w:pPr>
            <w:r>
              <w:t xml:space="preserve">37.3 w </w:t>
            </w:r>
            <w:proofErr w:type="spellStart"/>
            <w:r>
              <w:t>tym</w:t>
            </w:r>
            <w:proofErr w:type="spellEnd"/>
            <w:r>
              <w:t xml:space="preserve"> </w:t>
            </w:r>
            <w:proofErr w:type="spellStart"/>
            <w:r>
              <w:t>kwoty</w:t>
            </w:r>
            <w:proofErr w:type="spellEnd"/>
            <w:r>
              <w:t xml:space="preserve"> </w:t>
            </w:r>
            <w:proofErr w:type="spellStart"/>
            <w:r>
              <w:t>na</w:t>
            </w:r>
            <w:proofErr w:type="spellEnd"/>
            <w:r>
              <w:t xml:space="preserve"> </w:t>
            </w:r>
            <w:proofErr w:type="spellStart"/>
            <w:r>
              <w:t>pokrycie</w:t>
            </w:r>
            <w:proofErr w:type="spellEnd"/>
            <w:r>
              <w:t xml:space="preserve"> w </w:t>
            </w:r>
            <w:proofErr w:type="spellStart"/>
            <w:r>
              <w:t>kwocie</w:t>
            </w:r>
            <w:proofErr w:type="spellEnd"/>
            <w:r>
              <w:t xml:space="preserve"> </w:t>
            </w:r>
            <w:proofErr w:type="spellStart"/>
            <w:r>
              <w:t>nominalnej</w:t>
            </w:r>
            <w:proofErr w:type="spellEnd"/>
            <w:r>
              <w:t xml:space="preserve"> </w:t>
            </w:r>
            <w:proofErr w:type="spellStart"/>
            <w:r>
              <w:t>straty</w:t>
            </w:r>
            <w:proofErr w:type="spellEnd"/>
            <w:r>
              <w:t xml:space="preserve"> </w:t>
            </w:r>
            <w:proofErr w:type="spellStart"/>
            <w:r>
              <w:t>wkładu</w:t>
            </w:r>
            <w:proofErr w:type="spellEnd"/>
            <w:r>
              <w:t xml:space="preserve"> EFSI </w:t>
            </w:r>
            <w:proofErr w:type="spellStart"/>
            <w:r>
              <w:t>na</w:t>
            </w:r>
            <w:proofErr w:type="spellEnd"/>
            <w:r>
              <w:t xml:space="preserve"> </w:t>
            </w:r>
            <w:proofErr w:type="spellStart"/>
            <w:r>
              <w:t>rzecz</w:t>
            </w:r>
            <w:proofErr w:type="spellEnd"/>
            <w:r>
              <w:t xml:space="preserve"> </w:t>
            </w:r>
            <w:proofErr w:type="spellStart"/>
            <w:r>
              <w:t>instrumentów</w:t>
            </w:r>
            <w:proofErr w:type="spellEnd"/>
            <w:r>
              <w:t xml:space="preserve"> </w:t>
            </w:r>
            <w:proofErr w:type="spellStart"/>
            <w:r>
              <w:t>finansowych</w:t>
            </w:r>
            <w:proofErr w:type="spellEnd"/>
            <w:r>
              <w:t xml:space="preserve"> </w:t>
            </w:r>
            <w:proofErr w:type="spellStart"/>
            <w:r>
              <w:t>wynikającej</w:t>
            </w:r>
            <w:proofErr w:type="spellEnd"/>
            <w:r>
              <w:t xml:space="preserve"> z </w:t>
            </w:r>
            <w:proofErr w:type="spellStart"/>
            <w:r>
              <w:t>ujemnych</w:t>
            </w:r>
            <w:proofErr w:type="spellEnd"/>
            <w:r>
              <w:t xml:space="preserve"> </w:t>
            </w:r>
            <w:proofErr w:type="spellStart"/>
            <w:r>
              <w:t>odsetek</w:t>
            </w:r>
            <w:proofErr w:type="spellEnd"/>
            <w:r>
              <w:t xml:space="preserve">, </w:t>
            </w:r>
            <w:proofErr w:type="spellStart"/>
            <w:r>
              <w:t>jeżeli</w:t>
            </w:r>
            <w:proofErr w:type="spellEnd"/>
            <w:r>
              <w:t xml:space="preserve"> strata ta </w:t>
            </w:r>
            <w:proofErr w:type="spellStart"/>
            <w:r>
              <w:t>nastąpiła</w:t>
            </w:r>
            <w:proofErr w:type="spellEnd"/>
            <w:r>
              <w:t xml:space="preserve"> </w:t>
            </w:r>
            <w:proofErr w:type="spellStart"/>
            <w:r>
              <w:t>pomimo</w:t>
            </w:r>
            <w:proofErr w:type="spellEnd"/>
            <w:r>
              <w:t xml:space="preserve"> </w:t>
            </w:r>
            <w:proofErr w:type="spellStart"/>
            <w:r>
              <w:t>aktywnego</w:t>
            </w:r>
            <w:proofErr w:type="spellEnd"/>
            <w:r>
              <w:t xml:space="preserve"> </w:t>
            </w:r>
            <w:proofErr w:type="spellStart"/>
            <w:r>
              <w:t>zarządzania</w:t>
            </w:r>
            <w:proofErr w:type="spellEnd"/>
            <w:r>
              <w:t xml:space="preserve"> </w:t>
            </w:r>
            <w:proofErr w:type="spellStart"/>
            <w:r>
              <w:t>zasobami</w:t>
            </w:r>
            <w:proofErr w:type="spellEnd"/>
            <w:r>
              <w:t xml:space="preserve"> </w:t>
            </w:r>
            <w:proofErr w:type="spellStart"/>
            <w:r>
              <w:t>finansowymi</w:t>
            </w:r>
            <w:proofErr w:type="spellEnd"/>
            <w:r>
              <w:t xml:space="preserve"> </w:t>
            </w:r>
            <w:proofErr w:type="spellStart"/>
            <w:r>
              <w:t>przez</w:t>
            </w:r>
            <w:proofErr w:type="spellEnd"/>
            <w:r>
              <w:t xml:space="preserve"> </w:t>
            </w:r>
            <w:proofErr w:type="spellStart"/>
            <w:r>
              <w:t>podmioty</w:t>
            </w:r>
            <w:proofErr w:type="spellEnd"/>
            <w:r>
              <w:t xml:space="preserve"> </w:t>
            </w:r>
            <w:proofErr w:type="spellStart"/>
            <w:r>
              <w:t>wdrażające</w:t>
            </w:r>
            <w:proofErr w:type="spellEnd"/>
            <w:r>
              <w:t xml:space="preserve"> </w:t>
            </w:r>
            <w:proofErr w:type="spellStart"/>
            <w:r>
              <w:t>instrumenty</w:t>
            </w:r>
            <w:proofErr w:type="spellEnd"/>
            <w:r>
              <w:t xml:space="preserve"> </w:t>
            </w:r>
            <w:proofErr w:type="spellStart"/>
            <w:r>
              <w:t>finansowe</w:t>
            </w:r>
            <w:proofErr w:type="spellEnd"/>
            <w:r>
              <w:t xml:space="preserve"> (w EUR)</w:t>
            </w:r>
          </w:p>
        </w:tc>
        <w:tc>
          <w:tcPr>
            <w:tcW w:w="0" w:type="auto"/>
            <w:shd w:val="clear" w:color="auto" w:fill="auto"/>
          </w:tcPr>
          <w:p w14:paraId="3AFABCC1" w14:textId="77777777" w:rsidR="008C5CFA" w:rsidRDefault="008C5CFA" w:rsidP="00300A01">
            <w:pPr>
              <w:spacing w:before="0" w:after="0"/>
              <w:jc w:val="right"/>
            </w:pPr>
          </w:p>
        </w:tc>
      </w:tr>
      <w:tr w:rsidR="006B2EC1" w14:paraId="1F421777" w14:textId="77777777" w:rsidTr="0047688D">
        <w:tc>
          <w:tcPr>
            <w:tcW w:w="0" w:type="auto"/>
            <w:gridSpan w:val="2"/>
            <w:shd w:val="clear" w:color="auto" w:fill="auto"/>
          </w:tcPr>
          <w:p w14:paraId="5A3786FA" w14:textId="77777777" w:rsidR="008C5CFA" w:rsidRDefault="00E82A60" w:rsidP="00300A01">
            <w:pPr>
              <w:spacing w:before="0" w:after="0"/>
            </w:pPr>
            <w:r>
              <w:rPr>
                <w:b/>
              </w:rPr>
              <w:t xml:space="preserve">VIII. </w:t>
            </w:r>
            <w:proofErr w:type="spellStart"/>
            <w:r>
              <w:rPr>
                <w:b/>
              </w:rPr>
              <w:t>Postępy</w:t>
            </w:r>
            <w:proofErr w:type="spellEnd"/>
            <w:r>
              <w:rPr>
                <w:b/>
              </w:rPr>
              <w:t xml:space="preserve"> w </w:t>
            </w:r>
            <w:proofErr w:type="spellStart"/>
            <w:r>
              <w:rPr>
                <w:b/>
              </w:rPr>
              <w:t>osiąganiu</w:t>
            </w:r>
            <w:proofErr w:type="spellEnd"/>
            <w:r>
              <w:rPr>
                <w:b/>
              </w:rPr>
              <w:t xml:space="preserve"> </w:t>
            </w:r>
            <w:proofErr w:type="spellStart"/>
            <w:r>
              <w:rPr>
                <w:b/>
              </w:rPr>
              <w:t>spodziewanego</w:t>
            </w:r>
            <w:proofErr w:type="spellEnd"/>
            <w:r>
              <w:rPr>
                <w:b/>
              </w:rPr>
              <w:t xml:space="preserve"> </w:t>
            </w:r>
            <w:proofErr w:type="spellStart"/>
            <w:r>
              <w:rPr>
                <w:b/>
              </w:rPr>
              <w:t>efektu</w:t>
            </w:r>
            <w:proofErr w:type="spellEnd"/>
            <w:r>
              <w:rPr>
                <w:b/>
              </w:rPr>
              <w:t xml:space="preserve"> </w:t>
            </w:r>
            <w:proofErr w:type="spellStart"/>
            <w:r>
              <w:rPr>
                <w:b/>
              </w:rPr>
              <w:t>dźwigni</w:t>
            </w:r>
            <w:proofErr w:type="spellEnd"/>
            <w:r>
              <w:rPr>
                <w:b/>
              </w:rPr>
              <w:t xml:space="preserve"> z </w:t>
            </w:r>
            <w:proofErr w:type="spellStart"/>
            <w:r>
              <w:rPr>
                <w:b/>
              </w:rPr>
              <w:t>inwestycji</w:t>
            </w:r>
            <w:proofErr w:type="spellEnd"/>
            <w:r>
              <w:rPr>
                <w:b/>
              </w:rPr>
              <w:t xml:space="preserve"> </w:t>
            </w:r>
            <w:proofErr w:type="spellStart"/>
            <w:r>
              <w:rPr>
                <w:b/>
              </w:rPr>
              <w:t>dokonywanych</w:t>
            </w:r>
            <w:proofErr w:type="spellEnd"/>
            <w:r>
              <w:rPr>
                <w:b/>
              </w:rPr>
              <w:t xml:space="preserve"> w </w:t>
            </w:r>
            <w:proofErr w:type="spellStart"/>
            <w:r>
              <w:rPr>
                <w:b/>
              </w:rPr>
              <w:t>ramach</w:t>
            </w:r>
            <w:proofErr w:type="spellEnd"/>
            <w:r>
              <w:rPr>
                <w:b/>
              </w:rPr>
              <w:t xml:space="preserve"> </w:t>
            </w:r>
            <w:proofErr w:type="spellStart"/>
            <w:r>
              <w:rPr>
                <w:b/>
              </w:rPr>
              <w:t>instrumentu</w:t>
            </w:r>
            <w:proofErr w:type="spellEnd"/>
            <w:r>
              <w:rPr>
                <w:b/>
              </w:rPr>
              <w:t xml:space="preserve"> </w:t>
            </w:r>
            <w:proofErr w:type="spellStart"/>
            <w:r>
              <w:rPr>
                <w:b/>
              </w:rPr>
              <w:t>finansowego</w:t>
            </w:r>
            <w:proofErr w:type="spellEnd"/>
            <w:r>
              <w:rPr>
                <w:b/>
              </w:rPr>
              <w:t xml:space="preserve"> </w:t>
            </w:r>
            <w:proofErr w:type="spellStart"/>
            <w:r>
              <w:rPr>
                <w:b/>
              </w:rPr>
              <w:t>oraz</w:t>
            </w:r>
            <w:proofErr w:type="spellEnd"/>
            <w:r>
              <w:rPr>
                <w:b/>
              </w:rPr>
              <w:t xml:space="preserve"> </w:t>
            </w:r>
            <w:proofErr w:type="spellStart"/>
            <w:r>
              <w:rPr>
                <w:b/>
              </w:rPr>
              <w:t>wartość</w:t>
            </w:r>
            <w:proofErr w:type="spellEnd"/>
            <w:r>
              <w:rPr>
                <w:b/>
              </w:rPr>
              <w:t xml:space="preserve"> </w:t>
            </w:r>
            <w:proofErr w:type="spellStart"/>
            <w:r>
              <w:rPr>
                <w:b/>
              </w:rPr>
              <w:t>inwestycji</w:t>
            </w:r>
            <w:proofErr w:type="spellEnd"/>
            <w:r>
              <w:rPr>
                <w:b/>
              </w:rPr>
              <w:t xml:space="preserve"> i </w:t>
            </w:r>
            <w:proofErr w:type="spellStart"/>
            <w:r>
              <w:rPr>
                <w:b/>
              </w:rPr>
              <w:t>uczestnictwa</w:t>
            </w:r>
            <w:proofErr w:type="spellEnd"/>
            <w:r>
              <w:rPr>
                <w:b/>
              </w:rPr>
              <w:t xml:space="preserve"> (art. 46 </w:t>
            </w:r>
            <w:proofErr w:type="spellStart"/>
            <w:r>
              <w:rPr>
                <w:b/>
              </w:rPr>
              <w:t>ust</w:t>
            </w:r>
            <w:proofErr w:type="spellEnd"/>
            <w:r>
              <w:rPr>
                <w:b/>
              </w:rPr>
              <w:t xml:space="preserve">. 2 lit. h) </w:t>
            </w:r>
            <w:proofErr w:type="spellStart"/>
            <w:r>
              <w:rPr>
                <w:b/>
              </w:rPr>
              <w:t>rozporządzenia</w:t>
            </w:r>
            <w:proofErr w:type="spellEnd"/>
            <w:r>
              <w:rPr>
                <w:b/>
              </w:rPr>
              <w:t xml:space="preserve"> (UE) nr 1303/2013)</w:t>
            </w:r>
          </w:p>
        </w:tc>
      </w:tr>
      <w:tr w:rsidR="006B2EC1" w14:paraId="7BCA2E5F" w14:textId="77777777" w:rsidTr="0047688D">
        <w:tc>
          <w:tcPr>
            <w:tcW w:w="0" w:type="auto"/>
            <w:gridSpan w:val="2"/>
            <w:shd w:val="clear" w:color="auto" w:fill="auto"/>
          </w:tcPr>
          <w:p w14:paraId="458AE042" w14:textId="77777777" w:rsidR="008C5CFA" w:rsidRDefault="00E82A60" w:rsidP="00300A01">
            <w:pPr>
              <w:spacing w:before="0" w:after="0"/>
            </w:pPr>
            <w:r>
              <w:rPr>
                <w:b/>
              </w:rPr>
              <w:t xml:space="preserve">38. </w:t>
            </w:r>
            <w:proofErr w:type="spellStart"/>
            <w:r>
              <w:rPr>
                <w:b/>
              </w:rPr>
              <w:t>Łączna</w:t>
            </w:r>
            <w:proofErr w:type="spellEnd"/>
            <w:r>
              <w:rPr>
                <w:b/>
              </w:rPr>
              <w:t xml:space="preserve"> </w:t>
            </w:r>
            <w:proofErr w:type="spellStart"/>
            <w:r>
              <w:rPr>
                <w:b/>
              </w:rPr>
              <w:t>kwota</w:t>
            </w:r>
            <w:proofErr w:type="spellEnd"/>
            <w:r>
              <w:rPr>
                <w:b/>
              </w:rPr>
              <w:t xml:space="preserve"> </w:t>
            </w:r>
            <w:proofErr w:type="spellStart"/>
            <w:r>
              <w:rPr>
                <w:b/>
              </w:rPr>
              <w:t>innych</w:t>
            </w:r>
            <w:proofErr w:type="spellEnd"/>
            <w:r>
              <w:rPr>
                <w:b/>
              </w:rPr>
              <w:t xml:space="preserve"> </w:t>
            </w:r>
            <w:proofErr w:type="spellStart"/>
            <w:r>
              <w:rPr>
                <w:b/>
              </w:rPr>
              <w:t>wkładów</w:t>
            </w:r>
            <w:proofErr w:type="spellEnd"/>
            <w:r>
              <w:rPr>
                <w:b/>
              </w:rPr>
              <w:t xml:space="preserve">, </w:t>
            </w:r>
            <w:proofErr w:type="spellStart"/>
            <w:r>
              <w:rPr>
                <w:b/>
              </w:rPr>
              <w:t>poza</w:t>
            </w:r>
            <w:proofErr w:type="spellEnd"/>
            <w:r>
              <w:rPr>
                <w:b/>
              </w:rPr>
              <w:t xml:space="preserve"> EFSI, </w:t>
            </w:r>
            <w:proofErr w:type="spellStart"/>
            <w:r>
              <w:rPr>
                <w:b/>
              </w:rPr>
              <w:t>pozyskanych</w:t>
            </w:r>
            <w:proofErr w:type="spellEnd"/>
            <w:r>
              <w:rPr>
                <w:b/>
              </w:rPr>
              <w:t xml:space="preserve"> </w:t>
            </w:r>
            <w:proofErr w:type="spellStart"/>
            <w:r>
              <w:rPr>
                <w:b/>
              </w:rPr>
              <w:t>przez</w:t>
            </w:r>
            <w:proofErr w:type="spellEnd"/>
            <w:r>
              <w:rPr>
                <w:b/>
              </w:rPr>
              <w:t xml:space="preserve"> instrument </w:t>
            </w:r>
            <w:proofErr w:type="spellStart"/>
            <w:r>
              <w:rPr>
                <w:b/>
              </w:rPr>
              <w:t>finansowy</w:t>
            </w:r>
            <w:proofErr w:type="spellEnd"/>
            <w:r>
              <w:rPr>
                <w:b/>
              </w:rPr>
              <w:t xml:space="preserve"> (EUR)</w:t>
            </w:r>
          </w:p>
        </w:tc>
      </w:tr>
      <w:tr w:rsidR="006B2EC1" w14:paraId="6092355D" w14:textId="77777777" w:rsidTr="0047688D">
        <w:tc>
          <w:tcPr>
            <w:tcW w:w="0" w:type="auto"/>
            <w:shd w:val="clear" w:color="auto" w:fill="auto"/>
          </w:tcPr>
          <w:p w14:paraId="1661F005" w14:textId="77777777" w:rsidR="008C5CFA" w:rsidRDefault="00E82A60" w:rsidP="00300A01">
            <w:pPr>
              <w:spacing w:before="0" w:after="0"/>
            </w:pPr>
            <w:r>
              <w:t xml:space="preserve">38.1. </w:t>
            </w:r>
            <w:proofErr w:type="spellStart"/>
            <w:r>
              <w:t>Łączna</w:t>
            </w:r>
            <w:proofErr w:type="spellEnd"/>
            <w:r>
              <w:t xml:space="preserve"> </w:t>
            </w:r>
            <w:proofErr w:type="spellStart"/>
            <w:r>
              <w:t>kwota</w:t>
            </w:r>
            <w:proofErr w:type="spellEnd"/>
            <w:r>
              <w:t xml:space="preserve"> </w:t>
            </w:r>
            <w:proofErr w:type="spellStart"/>
            <w:r>
              <w:t>innych</w:t>
            </w:r>
            <w:proofErr w:type="spellEnd"/>
            <w:r>
              <w:t xml:space="preserve"> </w:t>
            </w:r>
            <w:proofErr w:type="spellStart"/>
            <w:r>
              <w:t>wkładów</w:t>
            </w:r>
            <w:proofErr w:type="spellEnd"/>
            <w:r>
              <w:t xml:space="preserve">, </w:t>
            </w:r>
            <w:proofErr w:type="spellStart"/>
            <w:r>
              <w:t>poza</w:t>
            </w:r>
            <w:proofErr w:type="spellEnd"/>
            <w:r>
              <w:t xml:space="preserve"> EFSI, </w:t>
            </w:r>
            <w:proofErr w:type="spellStart"/>
            <w:r>
              <w:t>zaangażowanych</w:t>
            </w:r>
            <w:proofErr w:type="spellEnd"/>
            <w:r>
              <w:t xml:space="preserve"> w </w:t>
            </w:r>
            <w:proofErr w:type="spellStart"/>
            <w:r>
              <w:t>ramach</w:t>
            </w:r>
            <w:proofErr w:type="spellEnd"/>
            <w:r>
              <w:t xml:space="preserve"> </w:t>
            </w:r>
            <w:proofErr w:type="spellStart"/>
            <w:r>
              <w:t>umowy</w:t>
            </w:r>
            <w:proofErr w:type="spellEnd"/>
            <w:r>
              <w:t xml:space="preserve"> o </w:t>
            </w:r>
            <w:proofErr w:type="spellStart"/>
            <w:r>
              <w:t>finansowaniu</w:t>
            </w:r>
            <w:proofErr w:type="spellEnd"/>
            <w:r>
              <w:t xml:space="preserve"> z </w:t>
            </w:r>
            <w:proofErr w:type="spellStart"/>
            <w:r>
              <w:t>podmiotem</w:t>
            </w:r>
            <w:proofErr w:type="spellEnd"/>
            <w:r>
              <w:t xml:space="preserve"> </w:t>
            </w:r>
            <w:proofErr w:type="spellStart"/>
            <w:r>
              <w:t>wdrażającym</w:t>
            </w:r>
            <w:proofErr w:type="spellEnd"/>
            <w:r>
              <w:t xml:space="preserve"> instrument </w:t>
            </w:r>
            <w:proofErr w:type="spellStart"/>
            <w:r>
              <w:t>finansowy</w:t>
            </w:r>
            <w:proofErr w:type="spellEnd"/>
            <w:r>
              <w:t xml:space="preserve"> (w EUR)</w:t>
            </w:r>
          </w:p>
        </w:tc>
        <w:tc>
          <w:tcPr>
            <w:tcW w:w="0" w:type="auto"/>
            <w:shd w:val="clear" w:color="auto" w:fill="auto"/>
          </w:tcPr>
          <w:p w14:paraId="4641ACE2" w14:textId="77777777" w:rsidR="008C5CFA" w:rsidRDefault="00E82A60" w:rsidP="00300A01">
            <w:pPr>
              <w:spacing w:before="0" w:after="0"/>
              <w:jc w:val="right"/>
            </w:pPr>
            <w:r>
              <w:t>1 406 464,19</w:t>
            </w:r>
          </w:p>
        </w:tc>
      </w:tr>
      <w:tr w:rsidR="006B2EC1" w14:paraId="4BE97B29" w14:textId="77777777" w:rsidTr="0047688D">
        <w:tc>
          <w:tcPr>
            <w:tcW w:w="0" w:type="auto"/>
            <w:shd w:val="clear" w:color="auto" w:fill="auto"/>
          </w:tcPr>
          <w:p w14:paraId="641613C3" w14:textId="77777777" w:rsidR="008C5CFA" w:rsidRDefault="00E82A60" w:rsidP="00300A01">
            <w:pPr>
              <w:spacing w:before="0" w:after="0"/>
            </w:pPr>
            <w:r>
              <w:t xml:space="preserve">38.1 A. </w:t>
            </w:r>
            <w:proofErr w:type="spellStart"/>
            <w:r>
              <w:t>Wkłady</w:t>
            </w:r>
            <w:proofErr w:type="spellEnd"/>
            <w:r>
              <w:t xml:space="preserve"> w </w:t>
            </w:r>
            <w:proofErr w:type="spellStart"/>
            <w:r>
              <w:t>ramach</w:t>
            </w:r>
            <w:proofErr w:type="spellEnd"/>
            <w:r>
              <w:t xml:space="preserve"> </w:t>
            </w:r>
            <w:proofErr w:type="spellStart"/>
            <w:r>
              <w:t>produktu</w:t>
            </w:r>
            <w:proofErr w:type="spellEnd"/>
            <w:r>
              <w:t xml:space="preserve"> </w:t>
            </w:r>
            <w:proofErr w:type="spellStart"/>
            <w:r>
              <w:t>finansowego</w:t>
            </w:r>
            <w:proofErr w:type="spellEnd"/>
            <w:r>
              <w:t xml:space="preserve"> EBI </w:t>
            </w:r>
            <w:proofErr w:type="spellStart"/>
            <w:r>
              <w:t>zaangażowane</w:t>
            </w:r>
            <w:proofErr w:type="spellEnd"/>
            <w:r>
              <w:t xml:space="preserve"> w </w:t>
            </w:r>
            <w:proofErr w:type="spellStart"/>
            <w:r>
              <w:t>ramach</w:t>
            </w:r>
            <w:proofErr w:type="spellEnd"/>
            <w:r>
              <w:t xml:space="preserve"> </w:t>
            </w:r>
            <w:proofErr w:type="spellStart"/>
            <w:r>
              <w:t>umowy</w:t>
            </w:r>
            <w:proofErr w:type="spellEnd"/>
            <w:r>
              <w:t xml:space="preserve"> o </w:t>
            </w:r>
            <w:proofErr w:type="spellStart"/>
            <w:r>
              <w:t>finansowanie</w:t>
            </w:r>
            <w:proofErr w:type="spellEnd"/>
            <w:r>
              <w:t xml:space="preserve"> z </w:t>
            </w:r>
            <w:proofErr w:type="spellStart"/>
            <w:r>
              <w:t>podmiotem</w:t>
            </w:r>
            <w:proofErr w:type="spellEnd"/>
            <w:r>
              <w:t xml:space="preserve"> </w:t>
            </w:r>
            <w:proofErr w:type="spellStart"/>
            <w:r>
              <w:t>wdrażającym</w:t>
            </w:r>
            <w:proofErr w:type="spellEnd"/>
            <w:r>
              <w:t xml:space="preserve"> instrument </w:t>
            </w:r>
            <w:proofErr w:type="spellStart"/>
            <w:r>
              <w:t>finansowy</w:t>
            </w:r>
            <w:proofErr w:type="spellEnd"/>
            <w:r>
              <w:t xml:space="preserve"> (</w:t>
            </w:r>
            <w:proofErr w:type="spellStart"/>
            <w:r>
              <w:t>dotyczy</w:t>
            </w:r>
            <w:proofErr w:type="spellEnd"/>
            <w:r>
              <w:t xml:space="preserve"> </w:t>
            </w:r>
            <w:proofErr w:type="spellStart"/>
            <w:r>
              <w:t>wyłącznie</w:t>
            </w:r>
            <w:proofErr w:type="spellEnd"/>
            <w:r>
              <w:t xml:space="preserve"> </w:t>
            </w:r>
            <w:proofErr w:type="spellStart"/>
            <w:r>
              <w:t>instrumentów</w:t>
            </w:r>
            <w:proofErr w:type="spellEnd"/>
            <w:r>
              <w:t xml:space="preserve">, o </w:t>
            </w:r>
            <w:proofErr w:type="spellStart"/>
            <w:r>
              <w:t>których</w:t>
            </w:r>
            <w:proofErr w:type="spellEnd"/>
            <w:r>
              <w:t xml:space="preserve"> </w:t>
            </w:r>
            <w:proofErr w:type="spellStart"/>
            <w:r>
              <w:t>mowa</w:t>
            </w:r>
            <w:proofErr w:type="spellEnd"/>
            <w:r>
              <w:t xml:space="preserve"> w art. 38 </w:t>
            </w:r>
            <w:proofErr w:type="spellStart"/>
            <w:r>
              <w:t>ust</w:t>
            </w:r>
            <w:proofErr w:type="spellEnd"/>
            <w:r>
              <w:t>. 1 lit. c)) (w EUR)</w:t>
            </w:r>
          </w:p>
        </w:tc>
        <w:tc>
          <w:tcPr>
            <w:tcW w:w="0" w:type="auto"/>
            <w:shd w:val="clear" w:color="auto" w:fill="auto"/>
          </w:tcPr>
          <w:p w14:paraId="3E011E05" w14:textId="77777777" w:rsidR="008C5CFA" w:rsidRDefault="008C5CFA" w:rsidP="00300A01">
            <w:pPr>
              <w:spacing w:before="0" w:after="0"/>
              <w:jc w:val="right"/>
            </w:pPr>
          </w:p>
        </w:tc>
      </w:tr>
      <w:tr w:rsidR="006B2EC1" w14:paraId="0F0D2DB8" w14:textId="77777777" w:rsidTr="0047688D">
        <w:tc>
          <w:tcPr>
            <w:tcW w:w="0" w:type="auto"/>
            <w:shd w:val="clear" w:color="auto" w:fill="auto"/>
          </w:tcPr>
          <w:p w14:paraId="5726A976" w14:textId="77777777" w:rsidR="008C5CFA" w:rsidRDefault="00E82A60" w:rsidP="00300A01">
            <w:pPr>
              <w:spacing w:before="0" w:after="0"/>
            </w:pPr>
            <w:r>
              <w:t xml:space="preserve">38.2. </w:t>
            </w:r>
            <w:proofErr w:type="spellStart"/>
            <w:r>
              <w:t>Łączna</w:t>
            </w:r>
            <w:proofErr w:type="spellEnd"/>
            <w:r>
              <w:t xml:space="preserve"> </w:t>
            </w:r>
            <w:proofErr w:type="spellStart"/>
            <w:r>
              <w:t>kwota</w:t>
            </w:r>
            <w:proofErr w:type="spellEnd"/>
            <w:r>
              <w:t xml:space="preserve"> </w:t>
            </w:r>
            <w:proofErr w:type="spellStart"/>
            <w:r>
              <w:t>innych</w:t>
            </w:r>
            <w:proofErr w:type="spellEnd"/>
            <w:r>
              <w:t xml:space="preserve"> </w:t>
            </w:r>
            <w:proofErr w:type="spellStart"/>
            <w:r>
              <w:t>wkładów</w:t>
            </w:r>
            <w:proofErr w:type="spellEnd"/>
            <w:r>
              <w:t xml:space="preserve">, </w:t>
            </w:r>
            <w:proofErr w:type="spellStart"/>
            <w:r>
              <w:t>poza</w:t>
            </w:r>
            <w:proofErr w:type="spellEnd"/>
            <w:r>
              <w:t xml:space="preserve"> EFSI, </w:t>
            </w:r>
            <w:proofErr w:type="spellStart"/>
            <w:r>
              <w:t>wypłaconych</w:t>
            </w:r>
            <w:proofErr w:type="spellEnd"/>
            <w:r>
              <w:t xml:space="preserve"> </w:t>
            </w:r>
            <w:proofErr w:type="spellStart"/>
            <w:r>
              <w:t>na</w:t>
            </w:r>
            <w:proofErr w:type="spellEnd"/>
            <w:r>
              <w:t xml:space="preserve"> </w:t>
            </w:r>
            <w:proofErr w:type="spellStart"/>
            <w:r>
              <w:t>rzecz</w:t>
            </w:r>
            <w:proofErr w:type="spellEnd"/>
            <w:r>
              <w:t xml:space="preserve"> </w:t>
            </w:r>
            <w:proofErr w:type="spellStart"/>
            <w:r>
              <w:t>instrumentu</w:t>
            </w:r>
            <w:proofErr w:type="spellEnd"/>
            <w:r>
              <w:t xml:space="preserve"> </w:t>
            </w:r>
            <w:proofErr w:type="spellStart"/>
            <w:r>
              <w:t>finansowego</w:t>
            </w:r>
            <w:proofErr w:type="spellEnd"/>
            <w:r>
              <w:t xml:space="preserve"> (w EUR)</w:t>
            </w:r>
          </w:p>
        </w:tc>
        <w:tc>
          <w:tcPr>
            <w:tcW w:w="0" w:type="auto"/>
            <w:shd w:val="clear" w:color="auto" w:fill="auto"/>
          </w:tcPr>
          <w:p w14:paraId="013FFE58" w14:textId="77777777" w:rsidR="008C5CFA" w:rsidRDefault="00E82A60" w:rsidP="00300A01">
            <w:pPr>
              <w:spacing w:before="0" w:after="0"/>
              <w:jc w:val="right"/>
            </w:pPr>
            <w:r>
              <w:t>318 170,41</w:t>
            </w:r>
          </w:p>
        </w:tc>
      </w:tr>
      <w:tr w:rsidR="006B2EC1" w14:paraId="287D3289" w14:textId="77777777" w:rsidTr="0047688D">
        <w:tc>
          <w:tcPr>
            <w:tcW w:w="0" w:type="auto"/>
            <w:shd w:val="clear" w:color="auto" w:fill="auto"/>
          </w:tcPr>
          <w:p w14:paraId="079FA4B8" w14:textId="77777777" w:rsidR="008C5CFA" w:rsidRDefault="00E82A60" w:rsidP="00300A01">
            <w:pPr>
              <w:spacing w:before="0" w:after="0"/>
            </w:pPr>
            <w:r>
              <w:t xml:space="preserve">38.2.1. w </w:t>
            </w:r>
            <w:proofErr w:type="spellStart"/>
            <w:r>
              <w:t>tym</w:t>
            </w:r>
            <w:proofErr w:type="spellEnd"/>
            <w:r>
              <w:t xml:space="preserve"> </w:t>
            </w:r>
            <w:proofErr w:type="spellStart"/>
            <w:r>
              <w:t>wkłady</w:t>
            </w:r>
            <w:proofErr w:type="spellEnd"/>
            <w:r>
              <w:t xml:space="preserve"> </w:t>
            </w:r>
            <w:proofErr w:type="spellStart"/>
            <w:r>
              <w:t>publiczne</w:t>
            </w:r>
            <w:proofErr w:type="spellEnd"/>
            <w:r>
              <w:t xml:space="preserve"> (w EUR)</w:t>
            </w:r>
          </w:p>
        </w:tc>
        <w:tc>
          <w:tcPr>
            <w:tcW w:w="0" w:type="auto"/>
            <w:shd w:val="clear" w:color="auto" w:fill="auto"/>
          </w:tcPr>
          <w:p w14:paraId="127EE0A7" w14:textId="77777777" w:rsidR="008C5CFA" w:rsidRDefault="008C5CFA" w:rsidP="00300A01">
            <w:pPr>
              <w:spacing w:before="0" w:after="0"/>
              <w:jc w:val="right"/>
            </w:pPr>
          </w:p>
        </w:tc>
      </w:tr>
      <w:tr w:rsidR="006B2EC1" w14:paraId="1712A05D" w14:textId="77777777" w:rsidTr="0047688D">
        <w:tc>
          <w:tcPr>
            <w:tcW w:w="0" w:type="auto"/>
            <w:shd w:val="clear" w:color="auto" w:fill="auto"/>
          </w:tcPr>
          <w:p w14:paraId="66087504" w14:textId="77777777" w:rsidR="008C5CFA" w:rsidRDefault="00E82A60" w:rsidP="00300A01">
            <w:pPr>
              <w:spacing w:before="0" w:after="0"/>
            </w:pPr>
            <w:r>
              <w:t xml:space="preserve">38.2.2. w </w:t>
            </w:r>
            <w:proofErr w:type="spellStart"/>
            <w:r>
              <w:t>tym</w:t>
            </w:r>
            <w:proofErr w:type="spellEnd"/>
            <w:r>
              <w:t xml:space="preserve"> </w:t>
            </w:r>
            <w:proofErr w:type="spellStart"/>
            <w:r>
              <w:t>wkłady</w:t>
            </w:r>
            <w:proofErr w:type="spellEnd"/>
            <w:r>
              <w:t xml:space="preserve"> </w:t>
            </w:r>
            <w:proofErr w:type="spellStart"/>
            <w:r>
              <w:t>prywatne</w:t>
            </w:r>
            <w:proofErr w:type="spellEnd"/>
            <w:r>
              <w:t xml:space="preserve"> (w EUR)</w:t>
            </w:r>
          </w:p>
        </w:tc>
        <w:tc>
          <w:tcPr>
            <w:tcW w:w="0" w:type="auto"/>
            <w:shd w:val="clear" w:color="auto" w:fill="auto"/>
          </w:tcPr>
          <w:p w14:paraId="6D7E0855" w14:textId="77777777" w:rsidR="008C5CFA" w:rsidRDefault="00E82A60" w:rsidP="00300A01">
            <w:pPr>
              <w:spacing w:before="0" w:after="0"/>
              <w:jc w:val="right"/>
            </w:pPr>
            <w:r>
              <w:t>318 170,41</w:t>
            </w:r>
          </w:p>
        </w:tc>
      </w:tr>
      <w:tr w:rsidR="006B2EC1" w14:paraId="170A203D" w14:textId="77777777" w:rsidTr="0047688D">
        <w:tc>
          <w:tcPr>
            <w:tcW w:w="0" w:type="auto"/>
            <w:shd w:val="clear" w:color="auto" w:fill="auto"/>
          </w:tcPr>
          <w:p w14:paraId="409ED073" w14:textId="77777777" w:rsidR="008C5CFA" w:rsidRDefault="00E82A60" w:rsidP="00300A01">
            <w:pPr>
              <w:spacing w:before="0" w:after="0"/>
            </w:pPr>
            <w:r>
              <w:lastRenderedPageBreak/>
              <w:t xml:space="preserve">38.2A. </w:t>
            </w:r>
            <w:proofErr w:type="spellStart"/>
            <w:r>
              <w:t>Wkład</w:t>
            </w:r>
            <w:proofErr w:type="spellEnd"/>
            <w:r>
              <w:t xml:space="preserve"> w </w:t>
            </w:r>
            <w:proofErr w:type="spellStart"/>
            <w:r>
              <w:t>ramach</w:t>
            </w:r>
            <w:proofErr w:type="spellEnd"/>
            <w:r>
              <w:t xml:space="preserve"> </w:t>
            </w:r>
            <w:proofErr w:type="spellStart"/>
            <w:r>
              <w:t>produktu</w:t>
            </w:r>
            <w:proofErr w:type="spellEnd"/>
            <w:r>
              <w:t xml:space="preserve"> </w:t>
            </w:r>
            <w:proofErr w:type="spellStart"/>
            <w:r>
              <w:t>finansowego</w:t>
            </w:r>
            <w:proofErr w:type="spellEnd"/>
            <w:r>
              <w:t xml:space="preserve"> EBI </w:t>
            </w:r>
            <w:proofErr w:type="spellStart"/>
            <w:r>
              <w:t>wypłacony</w:t>
            </w:r>
            <w:proofErr w:type="spellEnd"/>
            <w:r>
              <w:t xml:space="preserve"> </w:t>
            </w:r>
            <w:proofErr w:type="spellStart"/>
            <w:r>
              <w:t>na</w:t>
            </w:r>
            <w:proofErr w:type="spellEnd"/>
            <w:r>
              <w:t xml:space="preserve"> </w:t>
            </w:r>
            <w:proofErr w:type="spellStart"/>
            <w:r>
              <w:t>rzecz</w:t>
            </w:r>
            <w:proofErr w:type="spellEnd"/>
            <w:r>
              <w:t xml:space="preserve"> </w:t>
            </w:r>
            <w:proofErr w:type="spellStart"/>
            <w:r>
              <w:t>instrumentu</w:t>
            </w:r>
            <w:proofErr w:type="spellEnd"/>
            <w:r>
              <w:t xml:space="preserve"> </w:t>
            </w:r>
            <w:proofErr w:type="spellStart"/>
            <w:r>
              <w:t>finansowego</w:t>
            </w:r>
            <w:proofErr w:type="spellEnd"/>
            <w:r>
              <w:t xml:space="preserve"> (</w:t>
            </w:r>
            <w:proofErr w:type="spellStart"/>
            <w:r>
              <w:t>dotyczy</w:t>
            </w:r>
            <w:proofErr w:type="spellEnd"/>
            <w:r>
              <w:t xml:space="preserve"> </w:t>
            </w:r>
            <w:proofErr w:type="spellStart"/>
            <w:r>
              <w:t>wyłącznie</w:t>
            </w:r>
            <w:proofErr w:type="spellEnd"/>
            <w:r>
              <w:t xml:space="preserve"> </w:t>
            </w:r>
            <w:proofErr w:type="spellStart"/>
            <w:r>
              <w:t>instrumentów</w:t>
            </w:r>
            <w:proofErr w:type="spellEnd"/>
            <w:r>
              <w:t xml:space="preserve">, o </w:t>
            </w:r>
            <w:proofErr w:type="spellStart"/>
            <w:r>
              <w:t>których</w:t>
            </w:r>
            <w:proofErr w:type="spellEnd"/>
            <w:r>
              <w:t xml:space="preserve"> </w:t>
            </w:r>
            <w:proofErr w:type="spellStart"/>
            <w:r>
              <w:t>mowa</w:t>
            </w:r>
            <w:proofErr w:type="spellEnd"/>
            <w:r>
              <w:t xml:space="preserve"> w art. 38 </w:t>
            </w:r>
            <w:proofErr w:type="spellStart"/>
            <w:r>
              <w:t>ust</w:t>
            </w:r>
            <w:proofErr w:type="spellEnd"/>
            <w:r>
              <w:t>. 1 lit. c)) (w EUR)</w:t>
            </w:r>
          </w:p>
        </w:tc>
        <w:tc>
          <w:tcPr>
            <w:tcW w:w="0" w:type="auto"/>
            <w:shd w:val="clear" w:color="auto" w:fill="auto"/>
          </w:tcPr>
          <w:p w14:paraId="27AF9C41" w14:textId="77777777" w:rsidR="008C5CFA" w:rsidRDefault="008C5CFA" w:rsidP="00300A01">
            <w:pPr>
              <w:spacing w:before="0" w:after="0"/>
              <w:jc w:val="right"/>
            </w:pPr>
          </w:p>
        </w:tc>
      </w:tr>
      <w:tr w:rsidR="006B2EC1" w14:paraId="22F5BE58" w14:textId="77777777" w:rsidTr="0047688D">
        <w:tc>
          <w:tcPr>
            <w:tcW w:w="0" w:type="auto"/>
            <w:gridSpan w:val="2"/>
            <w:shd w:val="clear" w:color="auto" w:fill="auto"/>
          </w:tcPr>
          <w:p w14:paraId="7A838798" w14:textId="77777777" w:rsidR="008C5CFA" w:rsidRDefault="00E82A60" w:rsidP="00300A01">
            <w:pPr>
              <w:spacing w:before="0" w:after="0"/>
            </w:pPr>
            <w:r>
              <w:rPr>
                <w:b/>
              </w:rPr>
              <w:t xml:space="preserve">IX. </w:t>
            </w:r>
            <w:proofErr w:type="spellStart"/>
            <w:r>
              <w:rPr>
                <w:b/>
              </w:rPr>
              <w:t>Wkład</w:t>
            </w:r>
            <w:proofErr w:type="spellEnd"/>
            <w:r>
              <w:rPr>
                <w:b/>
              </w:rPr>
              <w:t xml:space="preserve"> </w:t>
            </w:r>
            <w:proofErr w:type="spellStart"/>
            <w:r>
              <w:rPr>
                <w:b/>
              </w:rPr>
              <w:t>instrumentu</w:t>
            </w:r>
            <w:proofErr w:type="spellEnd"/>
            <w:r>
              <w:rPr>
                <w:b/>
              </w:rPr>
              <w:t xml:space="preserve"> </w:t>
            </w:r>
            <w:proofErr w:type="spellStart"/>
            <w:r>
              <w:rPr>
                <w:b/>
              </w:rPr>
              <w:t>finansowego</w:t>
            </w:r>
            <w:proofErr w:type="spellEnd"/>
            <w:r>
              <w:rPr>
                <w:b/>
              </w:rPr>
              <w:t xml:space="preserve"> w </w:t>
            </w:r>
            <w:proofErr w:type="spellStart"/>
            <w:r>
              <w:rPr>
                <w:b/>
              </w:rPr>
              <w:t>osiąganie</w:t>
            </w:r>
            <w:proofErr w:type="spellEnd"/>
            <w:r>
              <w:rPr>
                <w:b/>
              </w:rPr>
              <w:t xml:space="preserve"> </w:t>
            </w:r>
            <w:proofErr w:type="spellStart"/>
            <w:r>
              <w:rPr>
                <w:b/>
              </w:rPr>
              <w:t>wskaźników</w:t>
            </w:r>
            <w:proofErr w:type="spellEnd"/>
            <w:r>
              <w:rPr>
                <w:b/>
              </w:rPr>
              <w:t xml:space="preserve"> </w:t>
            </w:r>
            <w:proofErr w:type="spellStart"/>
            <w:r>
              <w:rPr>
                <w:b/>
              </w:rPr>
              <w:t>danego</w:t>
            </w:r>
            <w:proofErr w:type="spellEnd"/>
            <w:r>
              <w:rPr>
                <w:b/>
              </w:rPr>
              <w:t xml:space="preserve"> </w:t>
            </w:r>
            <w:proofErr w:type="spellStart"/>
            <w:r>
              <w:rPr>
                <w:b/>
              </w:rPr>
              <w:t>priorytetu</w:t>
            </w:r>
            <w:proofErr w:type="spellEnd"/>
            <w:r>
              <w:rPr>
                <w:b/>
              </w:rPr>
              <w:t xml:space="preserve"> </w:t>
            </w:r>
            <w:proofErr w:type="spellStart"/>
            <w:r>
              <w:rPr>
                <w:b/>
              </w:rPr>
              <w:t>lub</w:t>
            </w:r>
            <w:proofErr w:type="spellEnd"/>
            <w:r>
              <w:rPr>
                <w:b/>
              </w:rPr>
              <w:t xml:space="preserve"> </w:t>
            </w:r>
            <w:proofErr w:type="spellStart"/>
            <w:r>
              <w:rPr>
                <w:b/>
              </w:rPr>
              <w:t>środka</w:t>
            </w:r>
            <w:proofErr w:type="spellEnd"/>
            <w:r>
              <w:rPr>
                <w:b/>
              </w:rPr>
              <w:t xml:space="preserve"> (art. 46 </w:t>
            </w:r>
            <w:proofErr w:type="spellStart"/>
            <w:r>
              <w:rPr>
                <w:b/>
              </w:rPr>
              <w:t>ust</w:t>
            </w:r>
            <w:proofErr w:type="spellEnd"/>
            <w:r>
              <w:rPr>
                <w:b/>
              </w:rPr>
              <w:t xml:space="preserve">. 2 lit. j) </w:t>
            </w:r>
            <w:proofErr w:type="spellStart"/>
            <w:r>
              <w:rPr>
                <w:b/>
              </w:rPr>
              <w:t>rozporządzenia</w:t>
            </w:r>
            <w:proofErr w:type="spellEnd"/>
            <w:r>
              <w:rPr>
                <w:b/>
              </w:rPr>
              <w:t xml:space="preserve"> (UE) nr 1303/2013)</w:t>
            </w:r>
          </w:p>
        </w:tc>
      </w:tr>
      <w:tr w:rsidR="006B2EC1" w14:paraId="0AC52B43" w14:textId="77777777" w:rsidTr="0047688D">
        <w:tc>
          <w:tcPr>
            <w:tcW w:w="0" w:type="auto"/>
            <w:shd w:val="clear" w:color="auto" w:fill="auto"/>
          </w:tcPr>
          <w:p w14:paraId="4893EDA4" w14:textId="77777777" w:rsidR="008C5CFA" w:rsidRDefault="00E82A60" w:rsidP="00300A01">
            <w:pPr>
              <w:spacing w:before="0" w:after="0"/>
            </w:pPr>
            <w:r>
              <w:rPr>
                <w:b/>
                <w:i/>
              </w:rPr>
              <w:t xml:space="preserve">41. </w:t>
            </w:r>
            <w:proofErr w:type="spellStart"/>
            <w:r>
              <w:rPr>
                <w:b/>
                <w:i/>
              </w:rPr>
              <w:t>Wskaźnik</w:t>
            </w:r>
            <w:proofErr w:type="spellEnd"/>
            <w:r>
              <w:rPr>
                <w:b/>
                <w:i/>
              </w:rPr>
              <w:t xml:space="preserve"> </w:t>
            </w:r>
            <w:proofErr w:type="spellStart"/>
            <w:r>
              <w:rPr>
                <w:b/>
                <w:i/>
              </w:rPr>
              <w:t>produktu</w:t>
            </w:r>
            <w:proofErr w:type="spellEnd"/>
            <w:r>
              <w:rPr>
                <w:b/>
                <w:i/>
              </w:rPr>
              <w:t xml:space="preserve"> (</w:t>
            </w:r>
            <w:proofErr w:type="spellStart"/>
            <w:r>
              <w:rPr>
                <w:b/>
                <w:i/>
              </w:rPr>
              <w:t>kod</w:t>
            </w:r>
            <w:proofErr w:type="spellEnd"/>
            <w:r>
              <w:rPr>
                <w:b/>
                <w:i/>
              </w:rPr>
              <w:t xml:space="preserve"> i </w:t>
            </w:r>
            <w:proofErr w:type="spellStart"/>
            <w:r>
              <w:rPr>
                <w:b/>
                <w:i/>
              </w:rPr>
              <w:t>nazwa</w:t>
            </w:r>
            <w:proofErr w:type="spellEnd"/>
            <w:r>
              <w:rPr>
                <w:b/>
                <w:i/>
              </w:rPr>
              <w:t xml:space="preserve">), w </w:t>
            </w:r>
            <w:proofErr w:type="spellStart"/>
            <w:r>
              <w:rPr>
                <w:b/>
                <w:i/>
              </w:rPr>
              <w:t>który</w:t>
            </w:r>
            <w:proofErr w:type="spellEnd"/>
            <w:r>
              <w:rPr>
                <w:b/>
                <w:i/>
              </w:rPr>
              <w:t xml:space="preserve"> </w:t>
            </w:r>
            <w:proofErr w:type="spellStart"/>
            <w:r>
              <w:rPr>
                <w:b/>
                <w:i/>
              </w:rPr>
              <w:t>wkład</w:t>
            </w:r>
            <w:proofErr w:type="spellEnd"/>
            <w:r>
              <w:rPr>
                <w:b/>
                <w:i/>
              </w:rPr>
              <w:t xml:space="preserve"> </w:t>
            </w:r>
            <w:proofErr w:type="spellStart"/>
            <w:r>
              <w:rPr>
                <w:b/>
                <w:i/>
              </w:rPr>
              <w:t>wnosi</w:t>
            </w:r>
            <w:proofErr w:type="spellEnd"/>
            <w:r>
              <w:rPr>
                <w:b/>
                <w:i/>
              </w:rPr>
              <w:t xml:space="preserve"> instrument </w:t>
            </w:r>
            <w:proofErr w:type="spellStart"/>
            <w:r>
              <w:rPr>
                <w:b/>
                <w:i/>
              </w:rPr>
              <w:t>finansowy</w:t>
            </w:r>
            <w:proofErr w:type="spellEnd"/>
          </w:p>
        </w:tc>
        <w:tc>
          <w:tcPr>
            <w:tcW w:w="0" w:type="auto"/>
            <w:shd w:val="clear" w:color="auto" w:fill="auto"/>
          </w:tcPr>
          <w:p w14:paraId="6E1084D7" w14:textId="77777777" w:rsidR="008C5CFA" w:rsidRDefault="00E82A60" w:rsidP="00300A01">
            <w:pPr>
              <w:spacing w:before="0" w:after="0"/>
              <w:jc w:val="right"/>
            </w:pPr>
            <w:r>
              <w:rPr>
                <w:b/>
                <w:i/>
              </w:rPr>
              <w:t xml:space="preserve">019 - </w:t>
            </w:r>
            <w:proofErr w:type="spellStart"/>
            <w:r>
              <w:rPr>
                <w:b/>
                <w:i/>
              </w:rPr>
              <w:t>Liczba</w:t>
            </w:r>
            <w:proofErr w:type="spellEnd"/>
            <w:r>
              <w:rPr>
                <w:b/>
                <w:i/>
              </w:rPr>
              <w:t xml:space="preserve"> </w:t>
            </w:r>
            <w:proofErr w:type="spellStart"/>
            <w:r>
              <w:rPr>
                <w:b/>
                <w:i/>
              </w:rPr>
              <w:t>osób</w:t>
            </w:r>
            <w:proofErr w:type="spellEnd"/>
            <w:r>
              <w:rPr>
                <w:b/>
                <w:i/>
              </w:rPr>
              <w:t xml:space="preserve"> </w:t>
            </w:r>
            <w:proofErr w:type="spellStart"/>
            <w:r>
              <w:rPr>
                <w:b/>
                <w:i/>
              </w:rPr>
              <w:t>pozostających</w:t>
            </w:r>
            <w:proofErr w:type="spellEnd"/>
            <w:r>
              <w:rPr>
                <w:b/>
                <w:i/>
              </w:rPr>
              <w:t xml:space="preserve"> bez </w:t>
            </w:r>
            <w:proofErr w:type="spellStart"/>
            <w:r>
              <w:rPr>
                <w:b/>
                <w:i/>
              </w:rPr>
              <w:t>pracy</w:t>
            </w:r>
            <w:proofErr w:type="spellEnd"/>
            <w:r>
              <w:rPr>
                <w:b/>
                <w:i/>
              </w:rPr>
              <w:t xml:space="preserve">, </w:t>
            </w:r>
            <w:proofErr w:type="spellStart"/>
            <w:r>
              <w:rPr>
                <w:b/>
                <w:i/>
              </w:rPr>
              <w:t>które</w:t>
            </w:r>
            <w:proofErr w:type="spellEnd"/>
            <w:r>
              <w:rPr>
                <w:b/>
                <w:i/>
              </w:rPr>
              <w:t xml:space="preserve"> </w:t>
            </w:r>
            <w:proofErr w:type="spellStart"/>
            <w:r>
              <w:rPr>
                <w:b/>
                <w:i/>
              </w:rPr>
              <w:t>otrzymały</w:t>
            </w:r>
            <w:proofErr w:type="spellEnd"/>
            <w:r>
              <w:rPr>
                <w:b/>
                <w:i/>
              </w:rPr>
              <w:t xml:space="preserve"> </w:t>
            </w:r>
            <w:proofErr w:type="spellStart"/>
            <w:r>
              <w:rPr>
                <w:b/>
                <w:i/>
              </w:rPr>
              <w:t>bezzwrotne</w:t>
            </w:r>
            <w:proofErr w:type="spellEnd"/>
            <w:r>
              <w:rPr>
                <w:b/>
                <w:i/>
              </w:rPr>
              <w:t xml:space="preserve"> </w:t>
            </w:r>
            <w:proofErr w:type="spellStart"/>
            <w:r>
              <w:rPr>
                <w:b/>
                <w:i/>
              </w:rPr>
              <w:t>środki</w:t>
            </w:r>
            <w:proofErr w:type="spellEnd"/>
            <w:r>
              <w:rPr>
                <w:b/>
                <w:i/>
              </w:rPr>
              <w:t xml:space="preserve"> </w:t>
            </w:r>
            <w:proofErr w:type="spellStart"/>
            <w:r>
              <w:rPr>
                <w:b/>
                <w:i/>
              </w:rPr>
              <w:t>na</w:t>
            </w:r>
            <w:proofErr w:type="spellEnd"/>
            <w:r>
              <w:rPr>
                <w:b/>
                <w:i/>
              </w:rPr>
              <w:t xml:space="preserve"> </w:t>
            </w:r>
            <w:proofErr w:type="spellStart"/>
            <w:r>
              <w:rPr>
                <w:b/>
                <w:i/>
              </w:rPr>
              <w:t>podjęcie</w:t>
            </w:r>
            <w:proofErr w:type="spellEnd"/>
            <w:r>
              <w:rPr>
                <w:b/>
                <w:i/>
              </w:rPr>
              <w:t xml:space="preserve"> </w:t>
            </w:r>
            <w:proofErr w:type="spellStart"/>
            <w:r>
              <w:rPr>
                <w:b/>
                <w:i/>
              </w:rPr>
              <w:t>działalności</w:t>
            </w:r>
            <w:proofErr w:type="spellEnd"/>
            <w:r>
              <w:rPr>
                <w:b/>
                <w:i/>
              </w:rPr>
              <w:t xml:space="preserve"> </w:t>
            </w:r>
            <w:proofErr w:type="spellStart"/>
            <w:r>
              <w:rPr>
                <w:b/>
                <w:i/>
              </w:rPr>
              <w:t>gospodarczej</w:t>
            </w:r>
            <w:proofErr w:type="spellEnd"/>
            <w:r>
              <w:rPr>
                <w:b/>
                <w:i/>
              </w:rPr>
              <w:t xml:space="preserve"> w </w:t>
            </w:r>
            <w:proofErr w:type="spellStart"/>
            <w:r>
              <w:rPr>
                <w:b/>
                <w:i/>
              </w:rPr>
              <w:t>programie</w:t>
            </w:r>
            <w:proofErr w:type="spellEnd"/>
          </w:p>
        </w:tc>
      </w:tr>
      <w:tr w:rsidR="006B2EC1" w14:paraId="0FDBD833" w14:textId="77777777" w:rsidTr="0047688D">
        <w:tc>
          <w:tcPr>
            <w:tcW w:w="0" w:type="auto"/>
            <w:shd w:val="clear" w:color="auto" w:fill="auto"/>
          </w:tcPr>
          <w:p w14:paraId="49196642" w14:textId="77777777" w:rsidR="008C5CFA" w:rsidRDefault="00E82A60" w:rsidP="00300A01">
            <w:pPr>
              <w:spacing w:before="0" w:after="0"/>
            </w:pPr>
            <w:r>
              <w:t xml:space="preserve">41.1. </w:t>
            </w:r>
            <w:proofErr w:type="spellStart"/>
            <w:r>
              <w:t>Wartość</w:t>
            </w:r>
            <w:proofErr w:type="spellEnd"/>
            <w:r>
              <w:t xml:space="preserve"> </w:t>
            </w:r>
            <w:proofErr w:type="spellStart"/>
            <w:r>
              <w:t>docelowa</w:t>
            </w:r>
            <w:proofErr w:type="spellEnd"/>
            <w:r>
              <w:t xml:space="preserve"> </w:t>
            </w:r>
            <w:proofErr w:type="spellStart"/>
            <w:r>
              <w:t>wskaźnika</w:t>
            </w:r>
            <w:proofErr w:type="spellEnd"/>
            <w:r>
              <w:t xml:space="preserve"> </w:t>
            </w:r>
            <w:proofErr w:type="spellStart"/>
            <w:r>
              <w:t>produktu</w:t>
            </w:r>
            <w:proofErr w:type="spellEnd"/>
          </w:p>
        </w:tc>
        <w:tc>
          <w:tcPr>
            <w:tcW w:w="0" w:type="auto"/>
            <w:shd w:val="clear" w:color="auto" w:fill="auto"/>
          </w:tcPr>
          <w:p w14:paraId="6E74BF4D" w14:textId="77777777" w:rsidR="008C5CFA" w:rsidRDefault="00E82A60" w:rsidP="00300A01">
            <w:pPr>
              <w:spacing w:before="0" w:after="0"/>
              <w:jc w:val="right"/>
            </w:pPr>
            <w:r>
              <w:t>449,00</w:t>
            </w:r>
          </w:p>
        </w:tc>
      </w:tr>
      <w:tr w:rsidR="006B2EC1" w14:paraId="61A9B698" w14:textId="77777777" w:rsidTr="0047688D">
        <w:tc>
          <w:tcPr>
            <w:tcW w:w="0" w:type="auto"/>
            <w:shd w:val="clear" w:color="auto" w:fill="auto"/>
          </w:tcPr>
          <w:p w14:paraId="0001CD4F" w14:textId="77777777" w:rsidR="008C5CFA" w:rsidRDefault="00E82A60" w:rsidP="00300A01">
            <w:pPr>
              <w:spacing w:before="0" w:after="0"/>
            </w:pPr>
            <w:r>
              <w:t xml:space="preserve">41.2. </w:t>
            </w:r>
            <w:proofErr w:type="spellStart"/>
            <w:r>
              <w:t>Wartość</w:t>
            </w:r>
            <w:proofErr w:type="spellEnd"/>
            <w:r>
              <w:t xml:space="preserve"> </w:t>
            </w:r>
            <w:proofErr w:type="spellStart"/>
            <w:r>
              <w:t>osiągnięta</w:t>
            </w:r>
            <w:proofErr w:type="spellEnd"/>
            <w:r>
              <w:t xml:space="preserve"> </w:t>
            </w:r>
            <w:proofErr w:type="spellStart"/>
            <w:r>
              <w:t>przez</w:t>
            </w:r>
            <w:proofErr w:type="spellEnd"/>
            <w:r>
              <w:t xml:space="preserve"> instrument </w:t>
            </w:r>
            <w:proofErr w:type="spellStart"/>
            <w:r>
              <w:t>finansowy</w:t>
            </w:r>
            <w:proofErr w:type="spellEnd"/>
            <w:r>
              <w:t xml:space="preserve"> w </w:t>
            </w:r>
            <w:proofErr w:type="spellStart"/>
            <w:r>
              <w:t>odniesieniu</w:t>
            </w:r>
            <w:proofErr w:type="spellEnd"/>
            <w:r>
              <w:t xml:space="preserve"> do </w:t>
            </w:r>
            <w:proofErr w:type="spellStart"/>
            <w:r>
              <w:t>wartości</w:t>
            </w:r>
            <w:proofErr w:type="spellEnd"/>
            <w:r>
              <w:t xml:space="preserve"> </w:t>
            </w:r>
            <w:proofErr w:type="spellStart"/>
            <w:r>
              <w:t>docelowej</w:t>
            </w:r>
            <w:proofErr w:type="spellEnd"/>
            <w:r>
              <w:t xml:space="preserve"> </w:t>
            </w:r>
            <w:proofErr w:type="spellStart"/>
            <w:r>
              <w:t>wskaźnika</w:t>
            </w:r>
            <w:proofErr w:type="spellEnd"/>
            <w:r>
              <w:t xml:space="preserve"> </w:t>
            </w:r>
            <w:proofErr w:type="spellStart"/>
            <w:r>
              <w:t>produktu</w:t>
            </w:r>
            <w:proofErr w:type="spellEnd"/>
          </w:p>
        </w:tc>
        <w:tc>
          <w:tcPr>
            <w:tcW w:w="0" w:type="auto"/>
            <w:shd w:val="clear" w:color="auto" w:fill="auto"/>
          </w:tcPr>
          <w:p w14:paraId="602E0CB0" w14:textId="77777777" w:rsidR="008C5CFA" w:rsidRDefault="00E82A60" w:rsidP="00300A01">
            <w:pPr>
              <w:spacing w:before="0" w:after="0"/>
              <w:jc w:val="right"/>
            </w:pPr>
            <w:r>
              <w:t>96,00</w:t>
            </w:r>
          </w:p>
        </w:tc>
      </w:tr>
    </w:tbl>
    <w:p w14:paraId="46CEDA2F" w14:textId="77777777" w:rsidR="008C5CFA" w:rsidRDefault="00E82A60" w:rsidP="00300A01">
      <w:pPr>
        <w:spacing w:before="0" w:after="0"/>
      </w:pPr>
      <w:r>
        <w:t xml:space="preserve"> </w:t>
      </w:r>
    </w:p>
    <w:p w14:paraId="0895054F" w14:textId="77777777" w:rsidR="008C5CFA" w:rsidRPr="00651D0D" w:rsidRDefault="008C5CFA" w:rsidP="00300A01">
      <w:pPr>
        <w:pStyle w:val="Text1"/>
        <w:spacing w:before="0" w:after="0"/>
        <w:ind w:left="0"/>
        <w:sectPr w:rsidR="008C5CFA" w:rsidRPr="00651D0D" w:rsidSect="0047688D">
          <w:headerReference w:type="default" r:id="rId22"/>
          <w:footerReference w:type="default" r:id="rId23"/>
          <w:pgSz w:w="11906" w:h="16838"/>
          <w:pgMar w:top="567" w:right="510" w:bottom="284" w:left="1134" w:header="709" w:footer="709" w:gutter="0"/>
          <w:cols w:space="708"/>
          <w:docGrid w:linePitch="360"/>
        </w:sectPr>
      </w:pPr>
    </w:p>
    <w:p w14:paraId="25DEA9EE" w14:textId="77777777" w:rsidR="008C5CFA" w:rsidRDefault="008C5CFA" w:rsidP="00300A01">
      <w:pPr>
        <w:pStyle w:val="Text1"/>
        <w:spacing w:before="0" w:after="0"/>
        <w:ind w:left="0"/>
        <w:rPr>
          <w:lang w:val="fr-BE"/>
        </w:rPr>
        <w:sectPr w:rsidR="008C5CFA" w:rsidSect="0047688D">
          <w:headerReference w:type="default" r:id="rId24"/>
          <w:footerReference w:type="default" r:id="rId25"/>
          <w:headerReference w:type="first" r:id="rId26"/>
          <w:footerReference w:type="first" r:id="rId27"/>
          <w:pgSz w:w="16838" w:h="11906" w:orient="landscape"/>
          <w:pgMar w:top="567" w:right="510" w:bottom="284" w:left="1134" w:header="709" w:footer="709" w:gutter="0"/>
          <w:cols w:space="708"/>
          <w:docGrid w:linePitch="360"/>
        </w:sectPr>
      </w:pPr>
    </w:p>
    <w:p w14:paraId="70D6E701" w14:textId="77777777" w:rsidR="008C5CFA" w:rsidRPr="00525572" w:rsidRDefault="00E82A60" w:rsidP="00300A01">
      <w:pPr>
        <w:spacing w:before="0" w:after="0"/>
        <w:jc w:val="center"/>
        <w:rPr>
          <w:b/>
          <w:lang w:val="fr-BE"/>
        </w:rPr>
      </w:pPr>
      <w:r>
        <w:rPr>
          <w:lang w:val="fr-BE"/>
        </w:rPr>
        <w:lastRenderedPageBreak/>
        <w:br w:type="page"/>
      </w:r>
      <w:r w:rsidRPr="00525572">
        <w:rPr>
          <w:b/>
          <w:noProof/>
          <w:lang w:val="fr-BE"/>
        </w:rPr>
        <w:lastRenderedPageBreak/>
        <w:t>CZĘŚĆ B</w:t>
      </w:r>
    </w:p>
    <w:p w14:paraId="7F6914A2" w14:textId="77777777" w:rsidR="008C5CFA" w:rsidRPr="00525572" w:rsidRDefault="00E82A60" w:rsidP="00300A01">
      <w:pPr>
        <w:spacing w:before="0" w:after="0"/>
        <w:jc w:val="center"/>
        <w:rPr>
          <w:b/>
          <w:lang w:val="fr-BE"/>
        </w:rPr>
      </w:pPr>
      <w:r w:rsidRPr="00525572">
        <w:rPr>
          <w:b/>
          <w:noProof/>
          <w:lang w:val="fr-BE"/>
        </w:rPr>
        <w:t>SPRAWOZDANIA ZŁOŻONE W LATACH 2017, 2019 ORAZ KOŃCOWE SPRAWOZDANIE Z WDRAŻANIA (art. 50 ust. 4 i art. 111 ust. 3 i 4 rozporządzenia (UE) nr 1303/2013)</w:t>
      </w:r>
    </w:p>
    <w:p w14:paraId="7D49940B" w14:textId="77777777" w:rsidR="008C5CFA" w:rsidRDefault="00E82A60" w:rsidP="003C6DF1">
      <w:pPr>
        <w:pStyle w:val="Nagwek1"/>
        <w:numPr>
          <w:ilvl w:val="0"/>
          <w:numId w:val="59"/>
        </w:numPr>
        <w:spacing w:before="0" w:after="0"/>
        <w:jc w:val="left"/>
      </w:pPr>
      <w:bookmarkStart w:id="102" w:name="_Toc46391785"/>
      <w:r>
        <w:rPr>
          <w:noProof/>
        </w:rPr>
        <w:t>OCENA WDRAŻANIA PROGRAMU OPERACYJNEGO (art. 50 ust. 4 i art. 111 ust. 4 rozporządzenia (UE) nr 1303/2013)</w:t>
      </w:r>
      <w:bookmarkEnd w:id="102"/>
    </w:p>
    <w:p w14:paraId="0AC15A51" w14:textId="77777777" w:rsidR="008C5CFA" w:rsidRPr="00E452ED" w:rsidRDefault="008C5CFA" w:rsidP="00300A01">
      <w:pPr>
        <w:pStyle w:val="Text1"/>
        <w:spacing w:before="0" w:after="0"/>
        <w:ind w:left="0"/>
      </w:pPr>
    </w:p>
    <w:p w14:paraId="36FD9CD3" w14:textId="77777777" w:rsidR="003C6DF1" w:rsidRPr="003C6DF1" w:rsidRDefault="003C6DF1" w:rsidP="003C6DF1">
      <w:pPr>
        <w:pStyle w:val="Akapitzlist"/>
        <w:keepNext/>
        <w:numPr>
          <w:ilvl w:val="0"/>
          <w:numId w:val="15"/>
        </w:numPr>
        <w:spacing w:after="0"/>
        <w:outlineLvl w:val="1"/>
        <w:rPr>
          <w:b/>
          <w:bCs/>
          <w:iCs/>
          <w:noProof/>
          <w:vanish/>
          <w:szCs w:val="28"/>
        </w:rPr>
      </w:pPr>
      <w:bookmarkStart w:id="103" w:name="_Toc46391786"/>
      <w:bookmarkEnd w:id="103"/>
    </w:p>
    <w:p w14:paraId="6148E89C" w14:textId="77777777" w:rsidR="003C6DF1" w:rsidRPr="003C6DF1" w:rsidRDefault="003C6DF1" w:rsidP="003C6DF1">
      <w:pPr>
        <w:pStyle w:val="Akapitzlist"/>
        <w:keepNext/>
        <w:numPr>
          <w:ilvl w:val="0"/>
          <w:numId w:val="15"/>
        </w:numPr>
        <w:spacing w:after="0"/>
        <w:outlineLvl w:val="1"/>
        <w:rPr>
          <w:b/>
          <w:bCs/>
          <w:iCs/>
          <w:noProof/>
          <w:vanish/>
          <w:szCs w:val="28"/>
        </w:rPr>
      </w:pPr>
      <w:bookmarkStart w:id="104" w:name="_Toc46391787"/>
      <w:bookmarkEnd w:id="104"/>
    </w:p>
    <w:p w14:paraId="2529903D" w14:textId="77777777" w:rsidR="003C6DF1" w:rsidRPr="003C6DF1" w:rsidRDefault="003C6DF1" w:rsidP="003C6DF1">
      <w:pPr>
        <w:pStyle w:val="Akapitzlist"/>
        <w:keepNext/>
        <w:numPr>
          <w:ilvl w:val="0"/>
          <w:numId w:val="15"/>
        </w:numPr>
        <w:spacing w:after="0"/>
        <w:outlineLvl w:val="1"/>
        <w:rPr>
          <w:b/>
          <w:bCs/>
          <w:iCs/>
          <w:noProof/>
          <w:vanish/>
          <w:szCs w:val="28"/>
        </w:rPr>
      </w:pPr>
      <w:bookmarkStart w:id="105" w:name="_Toc46391788"/>
      <w:bookmarkEnd w:id="105"/>
    </w:p>
    <w:p w14:paraId="36B293B1" w14:textId="451080CA" w:rsidR="008C5CFA" w:rsidRDefault="00E82A60" w:rsidP="003C6DF1">
      <w:pPr>
        <w:pStyle w:val="Nagwek2"/>
        <w:numPr>
          <w:ilvl w:val="1"/>
          <w:numId w:val="15"/>
        </w:numPr>
        <w:spacing w:before="0" w:after="0"/>
        <w:jc w:val="left"/>
      </w:pPr>
      <w:bookmarkStart w:id="106" w:name="_Toc46391789"/>
      <w:r>
        <w:rPr>
          <w:noProof/>
        </w:rPr>
        <w:t>Informacje zawarte w części A i osiąganie celów programu (art. 50 ust. 4 rozporządzenia (UE) nr 1303/2013)</w:t>
      </w:r>
      <w:bookmarkEnd w:id="106"/>
    </w:p>
    <w:p w14:paraId="7BD8C4F7" w14:textId="77777777" w:rsidR="008C5CFA" w:rsidRDefault="008C5CFA" w:rsidP="00300A01">
      <w:pPr>
        <w:spacing w:before="0" w:after="0"/>
        <w:ind w:left="426" w:hanging="426"/>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1"/>
        <w:gridCol w:w="5791"/>
      </w:tblGrid>
      <w:tr w:rsidR="006B2EC1" w14:paraId="1007094C" w14:textId="77777777" w:rsidTr="0047688D">
        <w:tc>
          <w:tcPr>
            <w:tcW w:w="0" w:type="auto"/>
            <w:shd w:val="clear" w:color="auto" w:fill="auto"/>
          </w:tcPr>
          <w:p w14:paraId="46092580" w14:textId="77777777" w:rsidR="008C5CFA" w:rsidRDefault="00E82A60" w:rsidP="00300A01">
            <w:pPr>
              <w:spacing w:before="0" w:after="0"/>
            </w:pPr>
            <w:r>
              <w:rPr>
                <w:noProof/>
              </w:rPr>
              <w:t>Oś priorytetowa</w:t>
            </w:r>
          </w:p>
        </w:tc>
        <w:tc>
          <w:tcPr>
            <w:tcW w:w="0" w:type="auto"/>
            <w:shd w:val="clear" w:color="auto" w:fill="auto"/>
          </w:tcPr>
          <w:p w14:paraId="67F07D62" w14:textId="77777777" w:rsidR="008C5CFA" w:rsidRDefault="00E82A60" w:rsidP="00300A01">
            <w:pPr>
              <w:spacing w:before="0" w:after="0"/>
            </w:pPr>
            <w:r>
              <w:rPr>
                <w:noProof/>
              </w:rPr>
              <w:t>1</w:t>
            </w:r>
            <w:r>
              <w:t xml:space="preserve"> - </w:t>
            </w:r>
            <w:r>
              <w:rPr>
                <w:noProof/>
              </w:rPr>
              <w:t>Innowacje i nauka</w:t>
            </w:r>
            <w:r>
              <w:t xml:space="preserve"> </w:t>
            </w:r>
          </w:p>
        </w:tc>
      </w:tr>
    </w:tbl>
    <w:p w14:paraId="78FC6346" w14:textId="77777777" w:rsidR="008C5CFA" w:rsidRPr="00525572" w:rsidRDefault="008C5CFA" w:rsidP="00300A01">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52"/>
      </w:tblGrid>
      <w:tr w:rsidR="006B2EC1" w14:paraId="20C6CDCE" w14:textId="77777777" w:rsidTr="0047688D">
        <w:tc>
          <w:tcPr>
            <w:tcW w:w="0" w:type="auto"/>
            <w:shd w:val="clear" w:color="auto" w:fill="auto"/>
          </w:tcPr>
          <w:p w14:paraId="05797D41" w14:textId="77777777" w:rsidR="008C5CFA" w:rsidRDefault="008C5CFA" w:rsidP="00300A01">
            <w:pPr>
              <w:pStyle w:val="Text1"/>
              <w:spacing w:before="0" w:after="0"/>
              <w:ind w:left="0"/>
            </w:pPr>
          </w:p>
        </w:tc>
      </w:tr>
    </w:tbl>
    <w:p w14:paraId="05D20B3E" w14:textId="77777777" w:rsidR="008C5CFA" w:rsidRDefault="008C5CFA" w:rsidP="00300A01">
      <w:pPr>
        <w:spacing w:before="0" w:after="0"/>
        <w:ind w:left="426" w:hanging="426"/>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6141"/>
      </w:tblGrid>
      <w:tr w:rsidR="006B2EC1" w14:paraId="1BC1A3F6" w14:textId="77777777" w:rsidTr="0047688D">
        <w:tc>
          <w:tcPr>
            <w:tcW w:w="0" w:type="auto"/>
            <w:shd w:val="clear" w:color="auto" w:fill="auto"/>
          </w:tcPr>
          <w:p w14:paraId="6605EDDD" w14:textId="77777777" w:rsidR="008C5CFA" w:rsidRDefault="00E82A60" w:rsidP="00300A01">
            <w:pPr>
              <w:spacing w:before="0" w:after="0"/>
            </w:pPr>
            <w:r>
              <w:rPr>
                <w:noProof/>
              </w:rPr>
              <w:t>Oś priorytetowa</w:t>
            </w:r>
          </w:p>
        </w:tc>
        <w:tc>
          <w:tcPr>
            <w:tcW w:w="0" w:type="auto"/>
            <w:shd w:val="clear" w:color="auto" w:fill="auto"/>
          </w:tcPr>
          <w:p w14:paraId="0C8314CD" w14:textId="77777777" w:rsidR="008C5CFA" w:rsidRDefault="00E82A60" w:rsidP="00300A01">
            <w:pPr>
              <w:spacing w:before="0" w:after="0"/>
            </w:pPr>
            <w:r>
              <w:rPr>
                <w:noProof/>
              </w:rPr>
              <w:t>10</w:t>
            </w:r>
            <w:r>
              <w:t xml:space="preserve"> - </w:t>
            </w:r>
            <w:r>
              <w:rPr>
                <w:noProof/>
              </w:rPr>
              <w:t>Otwarty rynek pracy</w:t>
            </w:r>
            <w:r>
              <w:t xml:space="preserve"> </w:t>
            </w:r>
          </w:p>
        </w:tc>
      </w:tr>
    </w:tbl>
    <w:p w14:paraId="6EBBE3A4" w14:textId="77777777" w:rsidR="008C5CFA" w:rsidRPr="00525572" w:rsidRDefault="008C5CFA" w:rsidP="00300A01">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52"/>
      </w:tblGrid>
      <w:tr w:rsidR="006B2EC1" w14:paraId="0C0262FB" w14:textId="77777777" w:rsidTr="0047688D">
        <w:tc>
          <w:tcPr>
            <w:tcW w:w="0" w:type="auto"/>
            <w:shd w:val="clear" w:color="auto" w:fill="auto"/>
          </w:tcPr>
          <w:p w14:paraId="3918EB29" w14:textId="77777777" w:rsidR="008C5CFA" w:rsidRDefault="008C5CFA" w:rsidP="00300A01">
            <w:pPr>
              <w:pStyle w:val="Text1"/>
              <w:spacing w:before="0" w:after="0"/>
              <w:ind w:left="0"/>
            </w:pPr>
          </w:p>
        </w:tc>
      </w:tr>
    </w:tbl>
    <w:p w14:paraId="529BFDEA" w14:textId="77777777" w:rsidR="008C5CFA" w:rsidRDefault="008C5CFA" w:rsidP="00300A01">
      <w:pPr>
        <w:spacing w:before="0" w:after="0"/>
        <w:ind w:left="426" w:hanging="426"/>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9"/>
        <w:gridCol w:w="5993"/>
      </w:tblGrid>
      <w:tr w:rsidR="006B2EC1" w14:paraId="67745D03" w14:textId="77777777" w:rsidTr="0047688D">
        <w:tc>
          <w:tcPr>
            <w:tcW w:w="0" w:type="auto"/>
            <w:shd w:val="clear" w:color="auto" w:fill="auto"/>
          </w:tcPr>
          <w:p w14:paraId="4568E5D4" w14:textId="77777777" w:rsidR="008C5CFA" w:rsidRDefault="00E82A60" w:rsidP="00300A01">
            <w:pPr>
              <w:spacing w:before="0" w:after="0"/>
            </w:pPr>
            <w:r>
              <w:rPr>
                <w:noProof/>
              </w:rPr>
              <w:t>Oś priorytetowa</w:t>
            </w:r>
          </w:p>
        </w:tc>
        <w:tc>
          <w:tcPr>
            <w:tcW w:w="0" w:type="auto"/>
            <w:shd w:val="clear" w:color="auto" w:fill="auto"/>
          </w:tcPr>
          <w:p w14:paraId="6445DE77" w14:textId="77777777" w:rsidR="008C5CFA" w:rsidRDefault="00E82A60" w:rsidP="00300A01">
            <w:pPr>
              <w:spacing w:before="0" w:after="0"/>
            </w:pPr>
            <w:r>
              <w:rPr>
                <w:noProof/>
              </w:rPr>
              <w:t>11</w:t>
            </w:r>
            <w:r>
              <w:t xml:space="preserve"> - </w:t>
            </w:r>
            <w:r>
              <w:rPr>
                <w:noProof/>
              </w:rPr>
              <w:t>Pomoc Techniczna</w:t>
            </w:r>
            <w:r>
              <w:t xml:space="preserve"> </w:t>
            </w:r>
          </w:p>
        </w:tc>
      </w:tr>
    </w:tbl>
    <w:p w14:paraId="76211780" w14:textId="77777777" w:rsidR="008C5CFA" w:rsidRPr="00525572" w:rsidRDefault="008C5CFA" w:rsidP="00300A01">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52"/>
      </w:tblGrid>
      <w:tr w:rsidR="006B2EC1" w14:paraId="11582A86" w14:textId="77777777" w:rsidTr="0047688D">
        <w:tc>
          <w:tcPr>
            <w:tcW w:w="0" w:type="auto"/>
            <w:shd w:val="clear" w:color="auto" w:fill="auto"/>
          </w:tcPr>
          <w:p w14:paraId="6E8F7A6A" w14:textId="77777777" w:rsidR="008C5CFA" w:rsidRDefault="008C5CFA" w:rsidP="00300A01">
            <w:pPr>
              <w:pStyle w:val="Text1"/>
              <w:spacing w:before="0" w:after="0"/>
              <w:ind w:left="0"/>
            </w:pPr>
          </w:p>
        </w:tc>
      </w:tr>
    </w:tbl>
    <w:p w14:paraId="7E640D73" w14:textId="77777777" w:rsidR="008C5CFA" w:rsidRDefault="008C5CFA" w:rsidP="00300A01">
      <w:pPr>
        <w:spacing w:before="0" w:after="0"/>
        <w:ind w:left="426" w:hanging="426"/>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3"/>
        <w:gridCol w:w="6589"/>
      </w:tblGrid>
      <w:tr w:rsidR="006B2EC1" w14:paraId="462C370B" w14:textId="77777777" w:rsidTr="0047688D">
        <w:tc>
          <w:tcPr>
            <w:tcW w:w="0" w:type="auto"/>
            <w:shd w:val="clear" w:color="auto" w:fill="auto"/>
          </w:tcPr>
          <w:p w14:paraId="5F64EC83" w14:textId="77777777" w:rsidR="008C5CFA" w:rsidRDefault="00E82A60" w:rsidP="00300A01">
            <w:pPr>
              <w:spacing w:before="0" w:after="0"/>
            </w:pPr>
            <w:r>
              <w:rPr>
                <w:noProof/>
              </w:rPr>
              <w:t>Oś priorytetowa</w:t>
            </w:r>
          </w:p>
        </w:tc>
        <w:tc>
          <w:tcPr>
            <w:tcW w:w="0" w:type="auto"/>
            <w:shd w:val="clear" w:color="auto" w:fill="auto"/>
          </w:tcPr>
          <w:p w14:paraId="3DD2419F" w14:textId="77777777" w:rsidR="008C5CFA" w:rsidRDefault="00E82A60" w:rsidP="00300A01">
            <w:pPr>
              <w:spacing w:before="0" w:after="0"/>
            </w:pPr>
            <w:r>
              <w:rPr>
                <w:noProof/>
              </w:rPr>
              <w:t>2</w:t>
            </w:r>
            <w:r>
              <w:t xml:space="preserve"> - </w:t>
            </w:r>
            <w:r>
              <w:rPr>
                <w:noProof/>
              </w:rPr>
              <w:t>Konkurencyjna gospodarka</w:t>
            </w:r>
            <w:r>
              <w:t xml:space="preserve"> </w:t>
            </w:r>
          </w:p>
        </w:tc>
      </w:tr>
    </w:tbl>
    <w:p w14:paraId="2948895F" w14:textId="77777777" w:rsidR="008C5CFA" w:rsidRPr="00525572" w:rsidRDefault="008C5CFA" w:rsidP="00300A01">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52"/>
      </w:tblGrid>
      <w:tr w:rsidR="006B2EC1" w14:paraId="27733BB0" w14:textId="77777777" w:rsidTr="0047688D">
        <w:tc>
          <w:tcPr>
            <w:tcW w:w="0" w:type="auto"/>
            <w:shd w:val="clear" w:color="auto" w:fill="auto"/>
          </w:tcPr>
          <w:p w14:paraId="5ECADC53" w14:textId="77777777" w:rsidR="008C5CFA" w:rsidRDefault="008C5CFA" w:rsidP="00300A01">
            <w:pPr>
              <w:pStyle w:val="Text1"/>
              <w:spacing w:before="0" w:after="0"/>
              <w:ind w:left="0"/>
            </w:pPr>
          </w:p>
        </w:tc>
      </w:tr>
    </w:tbl>
    <w:p w14:paraId="0AC5991F" w14:textId="77777777" w:rsidR="008C5CFA" w:rsidRDefault="008C5CFA" w:rsidP="00300A01">
      <w:pPr>
        <w:spacing w:before="0" w:after="0"/>
        <w:ind w:left="426" w:hanging="426"/>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34"/>
        <w:gridCol w:w="6618"/>
      </w:tblGrid>
      <w:tr w:rsidR="006B2EC1" w14:paraId="369C851C" w14:textId="77777777" w:rsidTr="0047688D">
        <w:tc>
          <w:tcPr>
            <w:tcW w:w="0" w:type="auto"/>
            <w:shd w:val="clear" w:color="auto" w:fill="auto"/>
          </w:tcPr>
          <w:p w14:paraId="598FE6FE" w14:textId="77777777" w:rsidR="008C5CFA" w:rsidRDefault="00E82A60" w:rsidP="00300A01">
            <w:pPr>
              <w:spacing w:before="0" w:after="0"/>
            </w:pPr>
            <w:r>
              <w:rPr>
                <w:noProof/>
              </w:rPr>
              <w:t>Oś priorytetowa</w:t>
            </w:r>
          </w:p>
        </w:tc>
        <w:tc>
          <w:tcPr>
            <w:tcW w:w="0" w:type="auto"/>
            <w:shd w:val="clear" w:color="auto" w:fill="auto"/>
          </w:tcPr>
          <w:p w14:paraId="009D88FA" w14:textId="77777777" w:rsidR="008C5CFA" w:rsidRDefault="00E82A60" w:rsidP="00300A01">
            <w:pPr>
              <w:spacing w:before="0" w:after="0"/>
            </w:pPr>
            <w:r>
              <w:rPr>
                <w:noProof/>
              </w:rPr>
              <w:t>3</w:t>
            </w:r>
            <w:r>
              <w:t xml:space="preserve"> - </w:t>
            </w:r>
            <w:r>
              <w:rPr>
                <w:noProof/>
              </w:rPr>
              <w:t>Efektywna i zielona energia</w:t>
            </w:r>
            <w:r>
              <w:t xml:space="preserve"> </w:t>
            </w:r>
          </w:p>
        </w:tc>
      </w:tr>
    </w:tbl>
    <w:p w14:paraId="2DAB560C" w14:textId="77777777" w:rsidR="008C5CFA" w:rsidRPr="00525572" w:rsidRDefault="008C5CFA" w:rsidP="00300A01">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52"/>
      </w:tblGrid>
      <w:tr w:rsidR="006B2EC1" w14:paraId="1B6C1F9D" w14:textId="77777777" w:rsidTr="0047688D">
        <w:tc>
          <w:tcPr>
            <w:tcW w:w="0" w:type="auto"/>
            <w:shd w:val="clear" w:color="auto" w:fill="auto"/>
          </w:tcPr>
          <w:p w14:paraId="2110C541" w14:textId="77777777" w:rsidR="008C5CFA" w:rsidRDefault="008C5CFA" w:rsidP="00300A01">
            <w:pPr>
              <w:pStyle w:val="Text1"/>
              <w:spacing w:before="0" w:after="0"/>
              <w:ind w:left="0"/>
            </w:pPr>
          </w:p>
        </w:tc>
      </w:tr>
    </w:tbl>
    <w:p w14:paraId="1E058B13" w14:textId="77777777" w:rsidR="008C5CFA" w:rsidRDefault="008C5CFA" w:rsidP="00300A01">
      <w:pPr>
        <w:spacing w:before="0" w:after="0"/>
        <w:ind w:left="426" w:hanging="426"/>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1"/>
        <w:gridCol w:w="7031"/>
      </w:tblGrid>
      <w:tr w:rsidR="006B2EC1" w14:paraId="2244BBDD" w14:textId="77777777" w:rsidTr="0047688D">
        <w:tc>
          <w:tcPr>
            <w:tcW w:w="0" w:type="auto"/>
            <w:shd w:val="clear" w:color="auto" w:fill="auto"/>
          </w:tcPr>
          <w:p w14:paraId="55B524DA" w14:textId="77777777" w:rsidR="008C5CFA" w:rsidRDefault="00E82A60" w:rsidP="00300A01">
            <w:pPr>
              <w:spacing w:before="0" w:after="0"/>
            </w:pPr>
            <w:r>
              <w:rPr>
                <w:noProof/>
              </w:rPr>
              <w:t>Oś priorytetowa</w:t>
            </w:r>
          </w:p>
        </w:tc>
        <w:tc>
          <w:tcPr>
            <w:tcW w:w="0" w:type="auto"/>
            <w:shd w:val="clear" w:color="auto" w:fill="auto"/>
          </w:tcPr>
          <w:p w14:paraId="2153ADF1" w14:textId="77777777" w:rsidR="008C5CFA" w:rsidRDefault="00E82A60" w:rsidP="00300A01">
            <w:pPr>
              <w:spacing w:before="0" w:after="0"/>
            </w:pPr>
            <w:r>
              <w:rPr>
                <w:noProof/>
              </w:rPr>
              <w:t>4</w:t>
            </w:r>
            <w:r>
              <w:t xml:space="preserve"> - </w:t>
            </w:r>
            <w:r>
              <w:rPr>
                <w:noProof/>
              </w:rPr>
              <w:t>Dziedzictwo naturalne i kulturowe</w:t>
            </w:r>
            <w:r>
              <w:t xml:space="preserve"> </w:t>
            </w:r>
          </w:p>
        </w:tc>
      </w:tr>
    </w:tbl>
    <w:p w14:paraId="41E7C16F" w14:textId="77777777" w:rsidR="008C5CFA" w:rsidRPr="00525572" w:rsidRDefault="008C5CFA" w:rsidP="00300A01">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52"/>
      </w:tblGrid>
      <w:tr w:rsidR="006B2EC1" w14:paraId="2F1195FF" w14:textId="77777777" w:rsidTr="0047688D">
        <w:tc>
          <w:tcPr>
            <w:tcW w:w="0" w:type="auto"/>
            <w:shd w:val="clear" w:color="auto" w:fill="auto"/>
          </w:tcPr>
          <w:p w14:paraId="72F4A958" w14:textId="77777777" w:rsidR="008C5CFA" w:rsidRDefault="008C5CFA" w:rsidP="00300A01">
            <w:pPr>
              <w:pStyle w:val="Text1"/>
              <w:spacing w:before="0" w:after="0"/>
              <w:ind w:left="0"/>
            </w:pPr>
          </w:p>
        </w:tc>
      </w:tr>
    </w:tbl>
    <w:p w14:paraId="50B42962" w14:textId="77777777" w:rsidR="008C5CFA" w:rsidRDefault="008C5CFA" w:rsidP="00300A01">
      <w:pPr>
        <w:spacing w:before="0" w:after="0"/>
        <w:ind w:left="426" w:hanging="426"/>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54"/>
        <w:gridCol w:w="6498"/>
      </w:tblGrid>
      <w:tr w:rsidR="006B2EC1" w14:paraId="4BB5AD15" w14:textId="77777777" w:rsidTr="0047688D">
        <w:tc>
          <w:tcPr>
            <w:tcW w:w="0" w:type="auto"/>
            <w:shd w:val="clear" w:color="auto" w:fill="auto"/>
          </w:tcPr>
          <w:p w14:paraId="2AA474F6" w14:textId="77777777" w:rsidR="008C5CFA" w:rsidRDefault="00E82A60" w:rsidP="00300A01">
            <w:pPr>
              <w:spacing w:before="0" w:after="0"/>
            </w:pPr>
            <w:r>
              <w:rPr>
                <w:noProof/>
              </w:rPr>
              <w:t>Oś priorytetowa</w:t>
            </w:r>
          </w:p>
        </w:tc>
        <w:tc>
          <w:tcPr>
            <w:tcW w:w="0" w:type="auto"/>
            <w:shd w:val="clear" w:color="auto" w:fill="auto"/>
          </w:tcPr>
          <w:p w14:paraId="0227CB7A" w14:textId="77777777" w:rsidR="008C5CFA" w:rsidRDefault="00E82A60" w:rsidP="00300A01">
            <w:pPr>
              <w:spacing w:before="0" w:after="0"/>
            </w:pPr>
            <w:r>
              <w:rPr>
                <w:noProof/>
              </w:rPr>
              <w:t>5</w:t>
            </w:r>
            <w:r>
              <w:t xml:space="preserve"> - </w:t>
            </w:r>
            <w:r>
              <w:rPr>
                <w:noProof/>
              </w:rPr>
              <w:t>Nowoczesna komunikacja</w:t>
            </w:r>
            <w:r>
              <w:t xml:space="preserve"> </w:t>
            </w:r>
          </w:p>
        </w:tc>
      </w:tr>
    </w:tbl>
    <w:p w14:paraId="13BDED74" w14:textId="77777777" w:rsidR="008C5CFA" w:rsidRPr="00525572" w:rsidRDefault="008C5CFA" w:rsidP="00300A01">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52"/>
      </w:tblGrid>
      <w:tr w:rsidR="006B2EC1" w14:paraId="78B264C6" w14:textId="77777777" w:rsidTr="0047688D">
        <w:tc>
          <w:tcPr>
            <w:tcW w:w="0" w:type="auto"/>
            <w:shd w:val="clear" w:color="auto" w:fill="auto"/>
          </w:tcPr>
          <w:p w14:paraId="784B380E" w14:textId="77777777" w:rsidR="008C5CFA" w:rsidRDefault="008C5CFA" w:rsidP="00300A01">
            <w:pPr>
              <w:pStyle w:val="Text1"/>
              <w:spacing w:before="0" w:after="0"/>
              <w:ind w:left="0"/>
            </w:pPr>
          </w:p>
        </w:tc>
      </w:tr>
    </w:tbl>
    <w:p w14:paraId="6ED0EB26" w14:textId="77777777" w:rsidR="008C5CFA" w:rsidRDefault="008C5CFA" w:rsidP="00300A01">
      <w:pPr>
        <w:spacing w:before="0" w:after="0"/>
        <w:ind w:left="426" w:hanging="426"/>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3"/>
        <w:gridCol w:w="5259"/>
      </w:tblGrid>
      <w:tr w:rsidR="006B2EC1" w14:paraId="4F345D40" w14:textId="77777777" w:rsidTr="0047688D">
        <w:tc>
          <w:tcPr>
            <w:tcW w:w="0" w:type="auto"/>
            <w:shd w:val="clear" w:color="auto" w:fill="auto"/>
          </w:tcPr>
          <w:p w14:paraId="5FDA0E4F" w14:textId="77777777" w:rsidR="008C5CFA" w:rsidRDefault="00E82A60" w:rsidP="00300A01">
            <w:pPr>
              <w:spacing w:before="0" w:after="0"/>
            </w:pPr>
            <w:r>
              <w:rPr>
                <w:noProof/>
              </w:rPr>
              <w:t>Oś priorytetowa</w:t>
            </w:r>
          </w:p>
        </w:tc>
        <w:tc>
          <w:tcPr>
            <w:tcW w:w="0" w:type="auto"/>
            <w:shd w:val="clear" w:color="auto" w:fill="auto"/>
          </w:tcPr>
          <w:p w14:paraId="4B63D021" w14:textId="77777777" w:rsidR="008C5CFA" w:rsidRDefault="00E82A60" w:rsidP="00300A01">
            <w:pPr>
              <w:spacing w:before="0" w:after="0"/>
            </w:pPr>
            <w:r>
              <w:rPr>
                <w:noProof/>
              </w:rPr>
              <w:t>6</w:t>
            </w:r>
            <w:r>
              <w:t xml:space="preserve"> - </w:t>
            </w:r>
            <w:r>
              <w:rPr>
                <w:noProof/>
              </w:rPr>
              <w:t>Rozwój miast</w:t>
            </w:r>
            <w:r>
              <w:t xml:space="preserve"> </w:t>
            </w:r>
          </w:p>
        </w:tc>
      </w:tr>
    </w:tbl>
    <w:p w14:paraId="26EA433B" w14:textId="77777777" w:rsidR="008C5CFA" w:rsidRPr="00525572" w:rsidRDefault="008C5CFA" w:rsidP="00300A01">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52"/>
      </w:tblGrid>
      <w:tr w:rsidR="006B2EC1" w14:paraId="28569A98" w14:textId="77777777" w:rsidTr="0047688D">
        <w:tc>
          <w:tcPr>
            <w:tcW w:w="0" w:type="auto"/>
            <w:shd w:val="clear" w:color="auto" w:fill="auto"/>
          </w:tcPr>
          <w:p w14:paraId="04220641" w14:textId="77777777" w:rsidR="008C5CFA" w:rsidRDefault="008C5CFA" w:rsidP="00300A01">
            <w:pPr>
              <w:pStyle w:val="Text1"/>
              <w:spacing w:before="0" w:after="0"/>
              <w:ind w:left="0"/>
            </w:pPr>
          </w:p>
        </w:tc>
      </w:tr>
    </w:tbl>
    <w:p w14:paraId="1D758ECA" w14:textId="77777777" w:rsidR="008C5CFA" w:rsidRDefault="008C5CFA" w:rsidP="00300A01">
      <w:pPr>
        <w:spacing w:before="0" w:after="0"/>
        <w:ind w:left="426" w:hanging="426"/>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0"/>
        <w:gridCol w:w="6462"/>
      </w:tblGrid>
      <w:tr w:rsidR="006B2EC1" w14:paraId="71BBF755" w14:textId="77777777" w:rsidTr="0047688D">
        <w:tc>
          <w:tcPr>
            <w:tcW w:w="0" w:type="auto"/>
            <w:shd w:val="clear" w:color="auto" w:fill="auto"/>
          </w:tcPr>
          <w:p w14:paraId="41F39F7E" w14:textId="77777777" w:rsidR="008C5CFA" w:rsidRDefault="00E82A60" w:rsidP="00300A01">
            <w:pPr>
              <w:spacing w:before="0" w:after="0"/>
            </w:pPr>
            <w:r>
              <w:rPr>
                <w:noProof/>
              </w:rPr>
              <w:t>Oś priorytetowa</w:t>
            </w:r>
          </w:p>
        </w:tc>
        <w:tc>
          <w:tcPr>
            <w:tcW w:w="0" w:type="auto"/>
            <w:shd w:val="clear" w:color="auto" w:fill="auto"/>
          </w:tcPr>
          <w:p w14:paraId="3A3A82E2" w14:textId="77777777" w:rsidR="008C5CFA" w:rsidRDefault="00E82A60" w:rsidP="00300A01">
            <w:pPr>
              <w:spacing w:before="0" w:after="0"/>
            </w:pPr>
            <w:r>
              <w:rPr>
                <w:noProof/>
              </w:rPr>
              <w:t>7</w:t>
            </w:r>
            <w:r>
              <w:t xml:space="preserve"> - </w:t>
            </w:r>
            <w:r>
              <w:rPr>
                <w:noProof/>
              </w:rPr>
              <w:t>Sprawne usługi publiczne</w:t>
            </w:r>
            <w:r>
              <w:t xml:space="preserve"> </w:t>
            </w:r>
          </w:p>
        </w:tc>
      </w:tr>
    </w:tbl>
    <w:p w14:paraId="530C72E9" w14:textId="77777777" w:rsidR="008C5CFA" w:rsidRPr="00525572" w:rsidRDefault="008C5CFA" w:rsidP="00300A01">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52"/>
      </w:tblGrid>
      <w:tr w:rsidR="006B2EC1" w14:paraId="06FC8BA7" w14:textId="77777777" w:rsidTr="0047688D">
        <w:tc>
          <w:tcPr>
            <w:tcW w:w="0" w:type="auto"/>
            <w:shd w:val="clear" w:color="auto" w:fill="auto"/>
          </w:tcPr>
          <w:p w14:paraId="1FA13860" w14:textId="77777777" w:rsidR="008C5CFA" w:rsidRDefault="008C5CFA" w:rsidP="00300A01">
            <w:pPr>
              <w:pStyle w:val="Text1"/>
              <w:spacing w:before="0" w:after="0"/>
              <w:ind w:left="0"/>
            </w:pPr>
          </w:p>
        </w:tc>
      </w:tr>
    </w:tbl>
    <w:p w14:paraId="218631CE" w14:textId="77777777" w:rsidR="008C5CFA" w:rsidRDefault="008C5CFA" w:rsidP="00300A01">
      <w:pPr>
        <w:spacing w:before="0" w:after="0"/>
        <w:ind w:left="426" w:hanging="426"/>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1"/>
        <w:gridCol w:w="7411"/>
      </w:tblGrid>
      <w:tr w:rsidR="006B2EC1" w14:paraId="6CB98D73" w14:textId="77777777" w:rsidTr="0047688D">
        <w:tc>
          <w:tcPr>
            <w:tcW w:w="0" w:type="auto"/>
            <w:shd w:val="clear" w:color="auto" w:fill="auto"/>
          </w:tcPr>
          <w:p w14:paraId="34315ECA" w14:textId="77777777" w:rsidR="008C5CFA" w:rsidRDefault="00E82A60" w:rsidP="00300A01">
            <w:pPr>
              <w:spacing w:before="0" w:after="0"/>
            </w:pPr>
            <w:r>
              <w:rPr>
                <w:noProof/>
              </w:rPr>
              <w:t>Oś priorytetowa</w:t>
            </w:r>
          </w:p>
        </w:tc>
        <w:tc>
          <w:tcPr>
            <w:tcW w:w="0" w:type="auto"/>
            <w:shd w:val="clear" w:color="auto" w:fill="auto"/>
          </w:tcPr>
          <w:p w14:paraId="650E32A3" w14:textId="77777777" w:rsidR="008C5CFA" w:rsidRDefault="00E82A60" w:rsidP="00300A01">
            <w:pPr>
              <w:spacing w:before="0" w:after="0"/>
            </w:pPr>
            <w:r>
              <w:rPr>
                <w:noProof/>
              </w:rPr>
              <w:t>8</w:t>
            </w:r>
            <w:r>
              <w:t xml:space="preserve"> - </w:t>
            </w:r>
            <w:r>
              <w:rPr>
                <w:noProof/>
              </w:rPr>
              <w:t>Rozwój edukacji i aktywne społeczeństwo</w:t>
            </w:r>
            <w:r>
              <w:t xml:space="preserve"> </w:t>
            </w:r>
          </w:p>
        </w:tc>
      </w:tr>
    </w:tbl>
    <w:p w14:paraId="257466BF" w14:textId="77777777" w:rsidR="008C5CFA" w:rsidRPr="00525572" w:rsidRDefault="008C5CFA" w:rsidP="00300A01">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52"/>
      </w:tblGrid>
      <w:tr w:rsidR="006B2EC1" w14:paraId="0EA6FD99" w14:textId="77777777" w:rsidTr="0047688D">
        <w:tc>
          <w:tcPr>
            <w:tcW w:w="0" w:type="auto"/>
            <w:shd w:val="clear" w:color="auto" w:fill="auto"/>
          </w:tcPr>
          <w:p w14:paraId="7D966B80" w14:textId="77777777" w:rsidR="008C5CFA" w:rsidRDefault="008C5CFA" w:rsidP="00300A01">
            <w:pPr>
              <w:pStyle w:val="Text1"/>
              <w:spacing w:before="0" w:after="0"/>
              <w:ind w:left="0"/>
            </w:pPr>
          </w:p>
        </w:tc>
      </w:tr>
    </w:tbl>
    <w:p w14:paraId="375B7FDE" w14:textId="77777777" w:rsidR="008C5CFA" w:rsidRDefault="008C5CFA" w:rsidP="00300A01">
      <w:pPr>
        <w:spacing w:before="0" w:after="0"/>
        <w:ind w:left="426" w:hanging="426"/>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0"/>
        <w:gridCol w:w="7372"/>
      </w:tblGrid>
      <w:tr w:rsidR="006B2EC1" w14:paraId="2CA50A52" w14:textId="77777777" w:rsidTr="0047688D">
        <w:tc>
          <w:tcPr>
            <w:tcW w:w="0" w:type="auto"/>
            <w:shd w:val="clear" w:color="auto" w:fill="auto"/>
          </w:tcPr>
          <w:p w14:paraId="4C4544B5" w14:textId="77777777" w:rsidR="008C5CFA" w:rsidRDefault="00E82A60" w:rsidP="00300A01">
            <w:pPr>
              <w:spacing w:before="0" w:after="0"/>
            </w:pPr>
            <w:r>
              <w:rPr>
                <w:noProof/>
              </w:rPr>
              <w:lastRenderedPageBreak/>
              <w:t>Oś priorytetowa</w:t>
            </w:r>
          </w:p>
        </w:tc>
        <w:tc>
          <w:tcPr>
            <w:tcW w:w="0" w:type="auto"/>
            <w:shd w:val="clear" w:color="auto" w:fill="auto"/>
          </w:tcPr>
          <w:p w14:paraId="1869C486" w14:textId="77777777" w:rsidR="008C5CFA" w:rsidRDefault="00E82A60" w:rsidP="00300A01">
            <w:pPr>
              <w:spacing w:before="0" w:after="0"/>
            </w:pPr>
            <w:r>
              <w:rPr>
                <w:noProof/>
              </w:rPr>
              <w:t>9</w:t>
            </w:r>
            <w:r>
              <w:t xml:space="preserve"> - </w:t>
            </w:r>
            <w:r>
              <w:rPr>
                <w:noProof/>
              </w:rPr>
              <w:t>Włączenie społeczne i walka z ubóstwem</w:t>
            </w:r>
            <w:r>
              <w:t xml:space="preserve"> </w:t>
            </w:r>
          </w:p>
        </w:tc>
      </w:tr>
    </w:tbl>
    <w:p w14:paraId="5289A3C2" w14:textId="77777777" w:rsidR="008C5CFA" w:rsidRPr="00525572" w:rsidRDefault="008C5CFA" w:rsidP="00300A01">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52"/>
      </w:tblGrid>
      <w:tr w:rsidR="006B2EC1" w14:paraId="3EB49EB4" w14:textId="77777777" w:rsidTr="0047688D">
        <w:tc>
          <w:tcPr>
            <w:tcW w:w="0" w:type="auto"/>
            <w:shd w:val="clear" w:color="auto" w:fill="auto"/>
          </w:tcPr>
          <w:p w14:paraId="055C3D9F" w14:textId="77777777" w:rsidR="008C5CFA" w:rsidRDefault="008C5CFA" w:rsidP="00300A01">
            <w:pPr>
              <w:pStyle w:val="Text1"/>
              <w:spacing w:before="0" w:after="0"/>
              <w:ind w:left="0"/>
            </w:pPr>
          </w:p>
        </w:tc>
      </w:tr>
    </w:tbl>
    <w:p w14:paraId="32394418" w14:textId="77777777" w:rsidR="008C5CFA" w:rsidRDefault="008C5CFA" w:rsidP="00300A01">
      <w:pPr>
        <w:spacing w:before="0" w:after="0"/>
      </w:pPr>
    </w:p>
    <w:p w14:paraId="59F62B5A" w14:textId="77777777" w:rsidR="008C5CFA" w:rsidRDefault="00E82A60" w:rsidP="00300A01">
      <w:pPr>
        <w:pStyle w:val="Nagwek2"/>
        <w:numPr>
          <w:ilvl w:val="1"/>
          <w:numId w:val="15"/>
        </w:numPr>
        <w:tabs>
          <w:tab w:val="clear" w:pos="850"/>
          <w:tab w:val="num" w:pos="0"/>
        </w:tabs>
        <w:spacing w:before="0" w:after="0"/>
        <w:ind w:left="0" w:firstLine="0"/>
        <w:jc w:val="left"/>
      </w:pPr>
      <w:bookmarkStart w:id="107" w:name="_Toc46391790"/>
      <w:r>
        <w:rPr>
          <w:noProof/>
        </w:rPr>
        <w:t>Szczególne przedsięwzięcia mające na celu promowanie równouprawnienia płci oraz zapobieganie dyskryminacji, w tym w szczególności zapewnienie dostępności dla osób z niepełnosprawnościami, i rozwiązania wdrożone, aby zapewnić włączenie punktu widzenia płci do programów operacyjnych i operacji (art. 50 ust. 4 i art. 111 ust. 4 akapit drugi lit. e) rozporządzenia (UE) nr 1303/2013)</w:t>
      </w:r>
      <w:bookmarkEnd w:id="107"/>
    </w:p>
    <w:p w14:paraId="53EA0558" w14:textId="77777777" w:rsidR="008C5CFA" w:rsidRPr="00525572" w:rsidRDefault="008C5CFA" w:rsidP="00300A01">
      <w:pPr>
        <w:spacing w:before="0" w:after="0"/>
        <w:ind w:left="426" w:hanging="426"/>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52"/>
      </w:tblGrid>
      <w:tr w:rsidR="006B2EC1" w14:paraId="350CC15F" w14:textId="77777777" w:rsidTr="0047688D">
        <w:tc>
          <w:tcPr>
            <w:tcW w:w="0" w:type="auto"/>
            <w:shd w:val="clear" w:color="auto" w:fill="auto"/>
          </w:tcPr>
          <w:p w14:paraId="53DBDF27" w14:textId="77777777" w:rsidR="008C5CFA" w:rsidRDefault="008C5CFA" w:rsidP="00300A01">
            <w:pPr>
              <w:pStyle w:val="Text1"/>
              <w:spacing w:before="0" w:after="0"/>
              <w:ind w:left="0"/>
            </w:pPr>
          </w:p>
        </w:tc>
      </w:tr>
    </w:tbl>
    <w:p w14:paraId="45632A0F" w14:textId="77777777" w:rsidR="008C5CFA" w:rsidRDefault="008C5CFA" w:rsidP="00300A01">
      <w:pPr>
        <w:spacing w:before="0" w:after="0"/>
      </w:pPr>
    </w:p>
    <w:p w14:paraId="08516568" w14:textId="77777777" w:rsidR="008C5CFA" w:rsidRDefault="00E82A60" w:rsidP="00300A01">
      <w:pPr>
        <w:pStyle w:val="Nagwek2"/>
        <w:numPr>
          <w:ilvl w:val="1"/>
          <w:numId w:val="15"/>
        </w:numPr>
        <w:tabs>
          <w:tab w:val="clear" w:pos="850"/>
          <w:tab w:val="num" w:pos="0"/>
        </w:tabs>
        <w:spacing w:before="0" w:after="0"/>
        <w:ind w:left="0" w:firstLine="0"/>
        <w:jc w:val="left"/>
      </w:pPr>
      <w:bookmarkStart w:id="108" w:name="_Toc46391791"/>
      <w:r>
        <w:rPr>
          <w:noProof/>
        </w:rPr>
        <w:t>Zrównoważony rozwój (art. 50 ust. 4 i art. 111 ust. 4 akapit drugi lit. f) rozporządzenia (UE) nr 1303/2013)</w:t>
      </w:r>
      <w:bookmarkEnd w:id="108"/>
    </w:p>
    <w:p w14:paraId="35AC0619" w14:textId="77777777" w:rsidR="008C5CFA" w:rsidRPr="00525572" w:rsidRDefault="008C5CFA" w:rsidP="00300A01">
      <w:pPr>
        <w:spacing w:before="0" w:after="0"/>
        <w:ind w:left="426" w:hanging="426"/>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52"/>
      </w:tblGrid>
      <w:tr w:rsidR="006B2EC1" w14:paraId="02521F6C" w14:textId="77777777" w:rsidTr="0047688D">
        <w:tc>
          <w:tcPr>
            <w:tcW w:w="0" w:type="auto"/>
            <w:shd w:val="clear" w:color="auto" w:fill="auto"/>
          </w:tcPr>
          <w:p w14:paraId="2372B338" w14:textId="77777777" w:rsidR="008C5CFA" w:rsidRDefault="008C5CFA" w:rsidP="00300A01">
            <w:pPr>
              <w:pStyle w:val="Text1"/>
              <w:spacing w:before="0" w:after="0"/>
              <w:ind w:left="0"/>
            </w:pPr>
          </w:p>
        </w:tc>
      </w:tr>
    </w:tbl>
    <w:p w14:paraId="238C2EEE" w14:textId="77777777" w:rsidR="008C5CFA" w:rsidRDefault="008C5CFA" w:rsidP="00300A01">
      <w:pPr>
        <w:spacing w:before="0" w:after="0"/>
      </w:pPr>
    </w:p>
    <w:p w14:paraId="53F118E2" w14:textId="77777777" w:rsidR="008C5CFA" w:rsidRDefault="00E82A60" w:rsidP="00300A01">
      <w:pPr>
        <w:pStyle w:val="Nagwek2"/>
        <w:numPr>
          <w:ilvl w:val="1"/>
          <w:numId w:val="15"/>
        </w:numPr>
        <w:tabs>
          <w:tab w:val="clear" w:pos="850"/>
          <w:tab w:val="num" w:pos="0"/>
        </w:tabs>
        <w:spacing w:before="0" w:after="0"/>
        <w:ind w:left="0" w:firstLine="0"/>
        <w:jc w:val="left"/>
      </w:pPr>
      <w:bookmarkStart w:id="109" w:name="_Toc46391792"/>
      <w:r>
        <w:rPr>
          <w:noProof/>
        </w:rPr>
        <w:t>Sprawozdania dotyczące wsparcia wykorzystanego na cele dotyczące zmiany klimatu (art. 50 ust. 4 rozporządzenia (UE) nr 1303/2013)</w:t>
      </w:r>
      <w:bookmarkEnd w:id="109"/>
    </w:p>
    <w:p w14:paraId="63547E53" w14:textId="77777777" w:rsidR="008C5CFA" w:rsidRDefault="008C5CFA" w:rsidP="00300A01">
      <w:pPr>
        <w:pStyle w:val="Text1"/>
        <w:spacing w:before="0" w:after="0"/>
        <w:ind w:left="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0"/>
        <w:gridCol w:w="4391"/>
        <w:gridCol w:w="4141"/>
      </w:tblGrid>
      <w:tr w:rsidR="006B2EC1" w14:paraId="388F304D" w14:textId="77777777" w:rsidTr="0047688D">
        <w:tc>
          <w:tcPr>
            <w:tcW w:w="0" w:type="auto"/>
            <w:shd w:val="clear" w:color="auto" w:fill="auto"/>
          </w:tcPr>
          <w:p w14:paraId="3B7F2965" w14:textId="77777777" w:rsidR="008C5CFA" w:rsidRPr="00D81FD8" w:rsidRDefault="00E82A60" w:rsidP="00300A01">
            <w:pPr>
              <w:pStyle w:val="Text1"/>
              <w:spacing w:before="0" w:after="0"/>
              <w:ind w:left="0"/>
              <w:rPr>
                <w:b/>
              </w:rPr>
            </w:pPr>
            <w:r w:rsidRPr="00D81FD8">
              <w:rPr>
                <w:b/>
                <w:noProof/>
              </w:rPr>
              <w:t>Oś priorytetowa</w:t>
            </w:r>
          </w:p>
        </w:tc>
        <w:tc>
          <w:tcPr>
            <w:tcW w:w="0" w:type="auto"/>
            <w:shd w:val="clear" w:color="auto" w:fill="auto"/>
          </w:tcPr>
          <w:p w14:paraId="1863C91B" w14:textId="77777777" w:rsidR="008C5CFA" w:rsidRPr="00D81FD8" w:rsidRDefault="00E82A60" w:rsidP="00300A01">
            <w:pPr>
              <w:pStyle w:val="Text1"/>
              <w:spacing w:before="0" w:after="0"/>
              <w:ind w:left="0"/>
              <w:rPr>
                <w:b/>
              </w:rPr>
            </w:pPr>
            <w:r w:rsidRPr="00D81FD8">
              <w:rPr>
                <w:b/>
                <w:noProof/>
              </w:rPr>
              <w:t>Amount of support to be used for climate change objectives (EUR)</w:t>
            </w:r>
          </w:p>
        </w:tc>
        <w:tc>
          <w:tcPr>
            <w:tcW w:w="0" w:type="auto"/>
            <w:shd w:val="clear" w:color="auto" w:fill="auto"/>
          </w:tcPr>
          <w:p w14:paraId="4726DA3D" w14:textId="77777777" w:rsidR="008C5CFA" w:rsidRPr="00D81FD8" w:rsidRDefault="00E82A60" w:rsidP="00300A01">
            <w:pPr>
              <w:pStyle w:val="Text1"/>
              <w:spacing w:before="0" w:after="0"/>
              <w:ind w:left="0"/>
              <w:rPr>
                <w:b/>
              </w:rPr>
            </w:pPr>
            <w:r w:rsidRPr="00D81FD8">
              <w:rPr>
                <w:b/>
                <w:noProof/>
              </w:rPr>
              <w:t>Proportion of total allocation to the operational programme (%)</w:t>
            </w:r>
          </w:p>
        </w:tc>
      </w:tr>
      <w:tr w:rsidR="006B2EC1" w14:paraId="040DDC2E" w14:textId="77777777" w:rsidTr="0047688D">
        <w:tc>
          <w:tcPr>
            <w:tcW w:w="0" w:type="auto"/>
            <w:shd w:val="clear" w:color="auto" w:fill="auto"/>
          </w:tcPr>
          <w:p w14:paraId="683CC127" w14:textId="77777777" w:rsidR="008C5CFA" w:rsidRDefault="00E82A60" w:rsidP="00300A01">
            <w:pPr>
              <w:spacing w:before="0" w:after="0"/>
              <w:ind w:left="426" w:hanging="426"/>
            </w:pPr>
            <w:r>
              <w:rPr>
                <w:noProof/>
              </w:rPr>
              <w:t>3</w:t>
            </w:r>
          </w:p>
        </w:tc>
        <w:tc>
          <w:tcPr>
            <w:tcW w:w="0" w:type="auto"/>
            <w:shd w:val="clear" w:color="auto" w:fill="auto"/>
          </w:tcPr>
          <w:p w14:paraId="7DCAE46F" w14:textId="77777777" w:rsidR="008C5CFA" w:rsidRDefault="00E82A60" w:rsidP="00300A01">
            <w:pPr>
              <w:pStyle w:val="Text1"/>
              <w:spacing w:before="0" w:after="0"/>
              <w:ind w:left="0"/>
              <w:jc w:val="right"/>
            </w:pPr>
            <w:r>
              <w:rPr>
                <w:noProof/>
              </w:rPr>
              <w:t>128 549 849,05</w:t>
            </w:r>
          </w:p>
        </w:tc>
        <w:tc>
          <w:tcPr>
            <w:tcW w:w="0" w:type="auto"/>
            <w:shd w:val="clear" w:color="auto" w:fill="auto"/>
          </w:tcPr>
          <w:p w14:paraId="6BAA6C69" w14:textId="77777777" w:rsidR="008C5CFA" w:rsidRDefault="00E82A60" w:rsidP="00300A01">
            <w:pPr>
              <w:spacing w:before="0" w:after="0"/>
              <w:ind w:left="426" w:hanging="426"/>
              <w:jc w:val="right"/>
            </w:pPr>
            <w:r>
              <w:rPr>
                <w:noProof/>
              </w:rPr>
              <w:t>73,57%</w:t>
            </w:r>
          </w:p>
        </w:tc>
      </w:tr>
      <w:tr w:rsidR="006B2EC1" w14:paraId="6557DBD1" w14:textId="77777777" w:rsidTr="0047688D">
        <w:tc>
          <w:tcPr>
            <w:tcW w:w="0" w:type="auto"/>
            <w:shd w:val="clear" w:color="auto" w:fill="auto"/>
          </w:tcPr>
          <w:p w14:paraId="22C470B5" w14:textId="77777777" w:rsidR="008C5CFA" w:rsidRDefault="00E82A60" w:rsidP="00300A01">
            <w:pPr>
              <w:spacing w:before="0" w:after="0"/>
              <w:ind w:left="426" w:hanging="426"/>
            </w:pPr>
            <w:r>
              <w:rPr>
                <w:noProof/>
              </w:rPr>
              <w:t>4</w:t>
            </w:r>
          </w:p>
        </w:tc>
        <w:tc>
          <w:tcPr>
            <w:tcW w:w="0" w:type="auto"/>
            <w:shd w:val="clear" w:color="auto" w:fill="auto"/>
          </w:tcPr>
          <w:p w14:paraId="652498BB" w14:textId="77777777" w:rsidR="008C5CFA" w:rsidRDefault="00E82A60" w:rsidP="00300A01">
            <w:pPr>
              <w:pStyle w:val="Text1"/>
              <w:spacing w:before="0" w:after="0"/>
              <w:ind w:left="0"/>
              <w:jc w:val="right"/>
            </w:pPr>
            <w:r>
              <w:rPr>
                <w:noProof/>
              </w:rPr>
              <w:t>9 990 259,50</w:t>
            </w:r>
          </w:p>
        </w:tc>
        <w:tc>
          <w:tcPr>
            <w:tcW w:w="0" w:type="auto"/>
            <w:shd w:val="clear" w:color="auto" w:fill="auto"/>
          </w:tcPr>
          <w:p w14:paraId="48043AFD" w14:textId="77777777" w:rsidR="008C5CFA" w:rsidRDefault="00E82A60" w:rsidP="00300A01">
            <w:pPr>
              <w:spacing w:before="0" w:after="0"/>
              <w:ind w:left="426" w:hanging="426"/>
              <w:jc w:val="right"/>
            </w:pPr>
            <w:r>
              <w:rPr>
                <w:noProof/>
              </w:rPr>
              <w:t>5,91%</w:t>
            </w:r>
          </w:p>
        </w:tc>
      </w:tr>
      <w:tr w:rsidR="006B2EC1" w14:paraId="64F3F513" w14:textId="77777777" w:rsidTr="0047688D">
        <w:tc>
          <w:tcPr>
            <w:tcW w:w="0" w:type="auto"/>
            <w:shd w:val="clear" w:color="auto" w:fill="auto"/>
          </w:tcPr>
          <w:p w14:paraId="7698CDF2" w14:textId="77777777" w:rsidR="008C5CFA" w:rsidRDefault="00E82A60" w:rsidP="00300A01">
            <w:pPr>
              <w:spacing w:before="0" w:after="0"/>
              <w:ind w:left="426" w:hanging="426"/>
            </w:pPr>
            <w:r>
              <w:rPr>
                <w:noProof/>
              </w:rPr>
              <w:t>5</w:t>
            </w:r>
          </w:p>
        </w:tc>
        <w:tc>
          <w:tcPr>
            <w:tcW w:w="0" w:type="auto"/>
            <w:shd w:val="clear" w:color="auto" w:fill="auto"/>
          </w:tcPr>
          <w:p w14:paraId="5F21A1C4" w14:textId="77777777" w:rsidR="008C5CFA" w:rsidRDefault="00E82A60" w:rsidP="00300A01">
            <w:pPr>
              <w:pStyle w:val="Text1"/>
              <w:spacing w:before="0" w:after="0"/>
              <w:ind w:left="0"/>
              <w:jc w:val="right"/>
            </w:pPr>
            <w:r>
              <w:rPr>
                <w:noProof/>
              </w:rPr>
              <w:t>6 312 791,01</w:t>
            </w:r>
          </w:p>
        </w:tc>
        <w:tc>
          <w:tcPr>
            <w:tcW w:w="0" w:type="auto"/>
            <w:shd w:val="clear" w:color="auto" w:fill="auto"/>
          </w:tcPr>
          <w:p w14:paraId="2847C8ED" w14:textId="77777777" w:rsidR="008C5CFA" w:rsidRDefault="00E82A60" w:rsidP="00300A01">
            <w:pPr>
              <w:spacing w:before="0" w:after="0"/>
              <w:ind w:left="426" w:hanging="426"/>
              <w:jc w:val="right"/>
            </w:pPr>
            <w:r>
              <w:rPr>
                <w:noProof/>
              </w:rPr>
              <w:t>4,87%</w:t>
            </w:r>
          </w:p>
        </w:tc>
      </w:tr>
      <w:tr w:rsidR="006B2EC1" w14:paraId="1C936DB0" w14:textId="77777777" w:rsidTr="0047688D">
        <w:tc>
          <w:tcPr>
            <w:tcW w:w="0" w:type="auto"/>
            <w:shd w:val="clear" w:color="auto" w:fill="auto"/>
          </w:tcPr>
          <w:p w14:paraId="7E0DD6F4" w14:textId="77777777" w:rsidR="008C5CFA" w:rsidRDefault="00E82A60" w:rsidP="00300A01">
            <w:pPr>
              <w:spacing w:before="0" w:after="0"/>
              <w:ind w:left="426" w:hanging="426"/>
            </w:pPr>
            <w:r>
              <w:rPr>
                <w:noProof/>
              </w:rPr>
              <w:t>6</w:t>
            </w:r>
          </w:p>
        </w:tc>
        <w:tc>
          <w:tcPr>
            <w:tcW w:w="0" w:type="auto"/>
            <w:shd w:val="clear" w:color="auto" w:fill="auto"/>
          </w:tcPr>
          <w:p w14:paraId="73FC54E9" w14:textId="77777777" w:rsidR="008C5CFA" w:rsidRDefault="00E82A60" w:rsidP="00300A01">
            <w:pPr>
              <w:pStyle w:val="Text1"/>
              <w:spacing w:before="0" w:after="0"/>
              <w:ind w:left="0"/>
              <w:jc w:val="right"/>
            </w:pPr>
            <w:r>
              <w:rPr>
                <w:noProof/>
              </w:rPr>
              <w:t>25 062 695,68</w:t>
            </w:r>
          </w:p>
        </w:tc>
        <w:tc>
          <w:tcPr>
            <w:tcW w:w="0" w:type="auto"/>
            <w:shd w:val="clear" w:color="auto" w:fill="auto"/>
          </w:tcPr>
          <w:p w14:paraId="32525BAB" w14:textId="77777777" w:rsidR="008C5CFA" w:rsidRDefault="00E82A60" w:rsidP="00300A01">
            <w:pPr>
              <w:spacing w:before="0" w:after="0"/>
              <w:ind w:left="426" w:hanging="426"/>
              <w:jc w:val="right"/>
            </w:pPr>
            <w:r>
              <w:rPr>
                <w:noProof/>
              </w:rPr>
              <w:t>21,13%</w:t>
            </w:r>
          </w:p>
        </w:tc>
      </w:tr>
      <w:tr w:rsidR="006B2EC1" w14:paraId="0DEFDF39" w14:textId="77777777" w:rsidTr="0047688D">
        <w:tc>
          <w:tcPr>
            <w:tcW w:w="0" w:type="auto"/>
            <w:shd w:val="clear" w:color="auto" w:fill="auto"/>
          </w:tcPr>
          <w:p w14:paraId="5EE3C61D" w14:textId="77777777" w:rsidR="008C5CFA" w:rsidRDefault="00E82A60" w:rsidP="00300A01">
            <w:pPr>
              <w:spacing w:before="0" w:after="0"/>
              <w:ind w:left="426" w:hanging="426"/>
            </w:pPr>
            <w:r w:rsidRPr="00D81FD8">
              <w:rPr>
                <w:b/>
                <w:noProof/>
              </w:rPr>
              <w:t>Ogółem</w:t>
            </w:r>
          </w:p>
        </w:tc>
        <w:tc>
          <w:tcPr>
            <w:tcW w:w="0" w:type="auto"/>
            <w:shd w:val="clear" w:color="auto" w:fill="auto"/>
          </w:tcPr>
          <w:p w14:paraId="633423D2" w14:textId="77777777" w:rsidR="008C5CFA" w:rsidRDefault="00E82A60" w:rsidP="00300A01">
            <w:pPr>
              <w:pStyle w:val="Text1"/>
              <w:spacing w:before="0" w:after="0"/>
              <w:ind w:left="0"/>
              <w:jc w:val="right"/>
            </w:pPr>
            <w:r w:rsidRPr="00D81FD8">
              <w:rPr>
                <w:b/>
                <w:noProof/>
              </w:rPr>
              <w:t>169 915 595,24</w:t>
            </w:r>
          </w:p>
        </w:tc>
        <w:tc>
          <w:tcPr>
            <w:tcW w:w="0" w:type="auto"/>
            <w:shd w:val="clear" w:color="auto" w:fill="auto"/>
          </w:tcPr>
          <w:p w14:paraId="624F0E99" w14:textId="77777777" w:rsidR="008C5CFA" w:rsidRDefault="00E82A60" w:rsidP="00300A01">
            <w:pPr>
              <w:spacing w:before="0" w:after="0"/>
              <w:ind w:left="426" w:hanging="426"/>
              <w:jc w:val="right"/>
            </w:pPr>
            <w:r w:rsidRPr="00D81FD8">
              <w:rPr>
                <w:b/>
                <w:noProof/>
              </w:rPr>
              <w:t>12,45%</w:t>
            </w:r>
          </w:p>
        </w:tc>
      </w:tr>
    </w:tbl>
    <w:p w14:paraId="465346CD" w14:textId="77777777" w:rsidR="008C5CFA" w:rsidRPr="00AC3BC0" w:rsidRDefault="008C5CFA" w:rsidP="00300A01">
      <w:pPr>
        <w:pStyle w:val="Text1"/>
        <w:spacing w:before="0" w:after="0"/>
        <w:ind w:left="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52"/>
      </w:tblGrid>
      <w:tr w:rsidR="006B2EC1" w14:paraId="60047393" w14:textId="77777777" w:rsidTr="0047688D">
        <w:tc>
          <w:tcPr>
            <w:tcW w:w="0" w:type="auto"/>
            <w:shd w:val="clear" w:color="auto" w:fill="auto"/>
          </w:tcPr>
          <w:p w14:paraId="03D0100D" w14:textId="77777777" w:rsidR="008C5CFA" w:rsidRDefault="008C5CFA" w:rsidP="00300A01">
            <w:pPr>
              <w:pStyle w:val="Text1"/>
              <w:spacing w:before="0" w:after="0"/>
              <w:ind w:left="0"/>
            </w:pPr>
          </w:p>
        </w:tc>
      </w:tr>
    </w:tbl>
    <w:p w14:paraId="25D2B8BA" w14:textId="77777777" w:rsidR="008C5CFA" w:rsidRDefault="008C5CFA" w:rsidP="00300A01">
      <w:pPr>
        <w:spacing w:before="0" w:after="0"/>
      </w:pPr>
    </w:p>
    <w:p w14:paraId="200587BF" w14:textId="77777777" w:rsidR="008C5CFA" w:rsidRDefault="00E82A60" w:rsidP="00300A01">
      <w:pPr>
        <w:pStyle w:val="Nagwek2"/>
        <w:numPr>
          <w:ilvl w:val="1"/>
          <w:numId w:val="15"/>
        </w:numPr>
        <w:tabs>
          <w:tab w:val="clear" w:pos="850"/>
          <w:tab w:val="num" w:pos="0"/>
        </w:tabs>
        <w:spacing w:before="0" w:after="0"/>
        <w:ind w:left="0" w:firstLine="0"/>
        <w:jc w:val="left"/>
        <w:rPr>
          <w:lang w:val="fr-BE"/>
        </w:rPr>
      </w:pPr>
      <w:bookmarkStart w:id="110" w:name="_Toc46391793"/>
      <w:r>
        <w:rPr>
          <w:noProof/>
          <w:lang w:val="fr-BE"/>
        </w:rPr>
        <w:t>Rola partnerów we wdrażaniu programu</w:t>
      </w:r>
      <w:bookmarkEnd w:id="11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52"/>
      </w:tblGrid>
      <w:tr w:rsidR="006B2EC1" w14:paraId="0F69E16C" w14:textId="77777777" w:rsidTr="0047688D">
        <w:tc>
          <w:tcPr>
            <w:tcW w:w="0" w:type="auto"/>
            <w:shd w:val="clear" w:color="auto" w:fill="auto"/>
          </w:tcPr>
          <w:p w14:paraId="0F356B81" w14:textId="77777777" w:rsidR="008C5CFA" w:rsidRPr="00B52842" w:rsidRDefault="008C5CFA" w:rsidP="00300A01">
            <w:pPr>
              <w:pStyle w:val="Text1"/>
              <w:spacing w:before="0" w:after="0"/>
              <w:ind w:left="0"/>
              <w:rPr>
                <w:lang w:val="fr-BE"/>
              </w:rPr>
            </w:pPr>
          </w:p>
        </w:tc>
      </w:tr>
    </w:tbl>
    <w:p w14:paraId="6BF9B07E" w14:textId="77777777" w:rsidR="008C5CFA" w:rsidRPr="00612651" w:rsidRDefault="008C5CFA" w:rsidP="00300A01">
      <w:pPr>
        <w:pStyle w:val="Text1"/>
        <w:spacing w:before="0" w:after="0"/>
        <w:ind w:left="0"/>
        <w:rPr>
          <w:lang w:val="fr-BE"/>
        </w:rPr>
      </w:pPr>
    </w:p>
    <w:p w14:paraId="4885A3F2" w14:textId="78FD33F0" w:rsidR="008C5CFA" w:rsidRDefault="008C5CFA" w:rsidP="008E4C74">
      <w:pPr>
        <w:pStyle w:val="Nagwek1"/>
        <w:numPr>
          <w:ilvl w:val="0"/>
          <w:numId w:val="0"/>
        </w:numPr>
        <w:spacing w:before="0" w:after="0"/>
        <w:jc w:val="left"/>
      </w:pPr>
    </w:p>
    <w:p w14:paraId="7D3745EC" w14:textId="77777777" w:rsidR="000265B0" w:rsidRDefault="000265B0" w:rsidP="000265B0">
      <w:pPr>
        <w:spacing w:before="0" w:after="0"/>
        <w:rPr>
          <w:lang w:val="fr-BE"/>
        </w:rPr>
        <w:sectPr w:rsidR="000265B0" w:rsidSect="0047688D">
          <w:headerReference w:type="default" r:id="rId28"/>
          <w:footerReference w:type="default" r:id="rId29"/>
          <w:headerReference w:type="first" r:id="rId30"/>
          <w:footerReference w:type="first" r:id="rId31"/>
          <w:pgSz w:w="11906" w:h="16838"/>
          <w:pgMar w:top="567" w:right="510" w:bottom="284" w:left="1134" w:header="709" w:footer="709" w:gutter="0"/>
          <w:cols w:space="708"/>
          <w:docGrid w:linePitch="360"/>
        </w:sectPr>
      </w:pPr>
    </w:p>
    <w:p w14:paraId="139BDA30" w14:textId="77777777" w:rsidR="000265B0" w:rsidRDefault="000265B0" w:rsidP="000265B0">
      <w:pPr>
        <w:spacing w:before="0" w:after="0"/>
        <w:jc w:val="left"/>
        <w:rPr>
          <w:lang w:val="fr-BE"/>
        </w:rPr>
        <w:sectPr w:rsidR="000265B0" w:rsidSect="00501F99">
          <w:headerReference w:type="default" r:id="rId32"/>
          <w:footerReference w:type="default" r:id="rId33"/>
          <w:pgSz w:w="16838" w:h="11906" w:orient="landscape"/>
          <w:pgMar w:top="0" w:right="851" w:bottom="0" w:left="567" w:header="0" w:footer="284" w:gutter="0"/>
          <w:cols w:space="708"/>
          <w:docGrid w:linePitch="360"/>
        </w:sectPr>
      </w:pPr>
    </w:p>
    <w:p w14:paraId="4D35B972" w14:textId="77777777" w:rsidR="008C5CFA" w:rsidRDefault="008C5CFA" w:rsidP="00300A01">
      <w:pPr>
        <w:spacing w:before="0" w:after="0"/>
        <w:sectPr w:rsidR="008C5CFA" w:rsidSect="0047688D">
          <w:headerReference w:type="default" r:id="rId34"/>
          <w:footerReference w:type="default" r:id="rId35"/>
          <w:headerReference w:type="first" r:id="rId36"/>
          <w:footerReference w:type="first" r:id="rId37"/>
          <w:pgSz w:w="11906" w:h="16838"/>
          <w:pgMar w:top="567" w:right="510" w:bottom="284" w:left="1134" w:header="709" w:footer="283" w:gutter="0"/>
          <w:cols w:space="708"/>
          <w:docGrid w:linePitch="360"/>
        </w:sectPr>
      </w:pPr>
    </w:p>
    <w:p w14:paraId="5685B9ED" w14:textId="77777777" w:rsidR="008C5CFA" w:rsidRDefault="008C5CFA" w:rsidP="00300A01">
      <w:pPr>
        <w:spacing w:before="0" w:after="0"/>
        <w:sectPr w:rsidR="008C5CFA" w:rsidSect="0047688D">
          <w:headerReference w:type="default" r:id="rId38"/>
          <w:footerReference w:type="default" r:id="rId39"/>
          <w:headerReference w:type="first" r:id="rId40"/>
          <w:footerReference w:type="first" r:id="rId41"/>
          <w:pgSz w:w="16838" w:h="11906" w:orient="landscape"/>
          <w:pgMar w:top="567" w:right="510" w:bottom="284" w:left="1134" w:header="709" w:footer="709" w:gutter="0"/>
          <w:cols w:space="708"/>
          <w:docGrid w:linePitch="360"/>
        </w:sectPr>
      </w:pPr>
    </w:p>
    <w:p w14:paraId="633A8AB1" w14:textId="77777777" w:rsidR="008C5CFA" w:rsidRDefault="00E82A60" w:rsidP="00A040FE">
      <w:pPr>
        <w:pStyle w:val="Nagwek1"/>
        <w:numPr>
          <w:ilvl w:val="0"/>
          <w:numId w:val="60"/>
        </w:numPr>
        <w:spacing w:before="0" w:after="0"/>
        <w:jc w:val="left"/>
      </w:pPr>
      <w:bookmarkStart w:id="111" w:name="_Toc46391794"/>
      <w:r>
        <w:rPr>
          <w:noProof/>
        </w:rPr>
        <w:lastRenderedPageBreak/>
        <w:t>DODATKOWE INFORMACJE, KTÓRE MOŻNA DOŁĄCZYĆ, W ZALEŻNOŚCI OD TREŚCI I CELÓW PROGRAMU OPERACYJNEGO (art. 111 ust. 4 akapit drugi lit. a), b), c), d), g) i h) rozporządzenia (UE) nr 1303/2013)</w:t>
      </w:r>
      <w:bookmarkEnd w:id="111"/>
    </w:p>
    <w:p w14:paraId="57E7A116" w14:textId="77777777" w:rsidR="008C5CFA" w:rsidRPr="002444C3" w:rsidRDefault="008C5CFA" w:rsidP="00300A01">
      <w:pPr>
        <w:pStyle w:val="Text1"/>
        <w:spacing w:before="0" w:after="0"/>
        <w:ind w:left="0"/>
      </w:pPr>
    </w:p>
    <w:p w14:paraId="6456F96F" w14:textId="77777777" w:rsidR="003C6DF1" w:rsidRPr="003C6DF1" w:rsidRDefault="003C6DF1" w:rsidP="003C6DF1">
      <w:pPr>
        <w:pStyle w:val="Akapitzlist"/>
        <w:keepNext/>
        <w:numPr>
          <w:ilvl w:val="0"/>
          <w:numId w:val="15"/>
        </w:numPr>
        <w:spacing w:after="0"/>
        <w:outlineLvl w:val="1"/>
        <w:rPr>
          <w:b/>
          <w:bCs/>
          <w:iCs/>
          <w:noProof/>
          <w:vanish/>
          <w:szCs w:val="28"/>
        </w:rPr>
      </w:pPr>
      <w:bookmarkStart w:id="112" w:name="_Toc46391795"/>
      <w:bookmarkEnd w:id="112"/>
    </w:p>
    <w:p w14:paraId="1AA8C5EC" w14:textId="77777777" w:rsidR="003C6DF1" w:rsidRPr="003C6DF1" w:rsidRDefault="003C6DF1" w:rsidP="003C6DF1">
      <w:pPr>
        <w:pStyle w:val="Akapitzlist"/>
        <w:keepNext/>
        <w:numPr>
          <w:ilvl w:val="0"/>
          <w:numId w:val="15"/>
        </w:numPr>
        <w:spacing w:after="0"/>
        <w:outlineLvl w:val="1"/>
        <w:rPr>
          <w:b/>
          <w:bCs/>
          <w:iCs/>
          <w:noProof/>
          <w:vanish/>
          <w:szCs w:val="28"/>
        </w:rPr>
      </w:pPr>
      <w:bookmarkStart w:id="113" w:name="_Toc46391796"/>
      <w:bookmarkEnd w:id="113"/>
    </w:p>
    <w:p w14:paraId="24D05794" w14:textId="77777777" w:rsidR="003C6DF1" w:rsidRPr="003C6DF1" w:rsidRDefault="003C6DF1" w:rsidP="003C6DF1">
      <w:pPr>
        <w:pStyle w:val="Akapitzlist"/>
        <w:keepNext/>
        <w:numPr>
          <w:ilvl w:val="0"/>
          <w:numId w:val="15"/>
        </w:numPr>
        <w:spacing w:after="0"/>
        <w:outlineLvl w:val="1"/>
        <w:rPr>
          <w:b/>
          <w:bCs/>
          <w:iCs/>
          <w:noProof/>
          <w:vanish/>
          <w:szCs w:val="28"/>
        </w:rPr>
      </w:pPr>
      <w:bookmarkStart w:id="114" w:name="_Toc46391797"/>
      <w:bookmarkEnd w:id="114"/>
    </w:p>
    <w:p w14:paraId="6C1B9B56" w14:textId="57BDBB89" w:rsidR="008C5CFA" w:rsidRDefault="00E82A60" w:rsidP="003C6DF1">
      <w:pPr>
        <w:pStyle w:val="Nagwek2"/>
        <w:numPr>
          <w:ilvl w:val="1"/>
          <w:numId w:val="15"/>
        </w:numPr>
        <w:spacing w:before="0" w:after="0"/>
        <w:jc w:val="left"/>
      </w:pPr>
      <w:bookmarkStart w:id="115" w:name="_Toc46391798"/>
      <w:r>
        <w:rPr>
          <w:noProof/>
        </w:rPr>
        <w:t>Postępy w realizacji zintegrowanego podejścia do rozwoju terytorialnego, w tym rozwoju regionów, które cierpią na skutek sytuacji demograficznej oraz stałych lub naturalnych niekorzystnych warunków, zintegrowanych inwestycji terytorialnych, zrównoważonego rozwoju obszarów miejskich oraz rozwoju lokalnego kierowanego przez społeczność w ramach programu operacyjnego</w:t>
      </w:r>
      <w:bookmarkEnd w:id="115"/>
    </w:p>
    <w:p w14:paraId="7A2323FB" w14:textId="77777777" w:rsidR="008C5CFA" w:rsidRPr="00920F74" w:rsidRDefault="008C5CFA" w:rsidP="00300A01">
      <w:pPr>
        <w:pStyle w:val="Text1"/>
        <w:spacing w:before="0" w:after="0"/>
        <w:ind w:left="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10"/>
      </w:tblGrid>
      <w:tr w:rsidR="006B2EC1" w14:paraId="71B33D4C" w14:textId="77777777" w:rsidTr="0047688D">
        <w:tc>
          <w:tcPr>
            <w:tcW w:w="0" w:type="auto"/>
            <w:shd w:val="clear" w:color="auto" w:fill="auto"/>
          </w:tcPr>
          <w:p w14:paraId="31284A32" w14:textId="77777777" w:rsidR="008C5CFA" w:rsidRDefault="008C5CFA" w:rsidP="00300A01">
            <w:pPr>
              <w:pStyle w:val="Text1"/>
              <w:spacing w:before="0" w:after="0"/>
              <w:ind w:left="0"/>
            </w:pPr>
          </w:p>
        </w:tc>
      </w:tr>
    </w:tbl>
    <w:p w14:paraId="04438459" w14:textId="77777777" w:rsidR="008C5CFA" w:rsidRDefault="008C5CFA" w:rsidP="00300A01">
      <w:pPr>
        <w:spacing w:before="0" w:after="0"/>
      </w:pPr>
    </w:p>
    <w:p w14:paraId="2D390800" w14:textId="77777777" w:rsidR="008C5CFA" w:rsidRDefault="00E82A60" w:rsidP="00300A01">
      <w:pPr>
        <w:pStyle w:val="Nagwek2"/>
        <w:numPr>
          <w:ilvl w:val="1"/>
          <w:numId w:val="15"/>
        </w:numPr>
        <w:tabs>
          <w:tab w:val="clear" w:pos="850"/>
          <w:tab w:val="num" w:pos="0"/>
        </w:tabs>
        <w:spacing w:before="0" w:after="0"/>
        <w:ind w:left="0" w:firstLine="0"/>
        <w:jc w:val="left"/>
      </w:pPr>
      <w:bookmarkStart w:id="116" w:name="_Toc46391799"/>
      <w:r>
        <w:rPr>
          <w:noProof/>
        </w:rPr>
        <w:t>Postępy w realizacji przedsięwzięć mających na celu zwiększenie zdolności instytucji i beneficjentów w państwach członkowskich w zakresie zarządzania funduszami i korzystania z nich</w:t>
      </w:r>
      <w:bookmarkEnd w:id="116"/>
    </w:p>
    <w:p w14:paraId="7FF4AE47" w14:textId="77777777" w:rsidR="008C5CFA" w:rsidRPr="00920F74" w:rsidRDefault="008C5CFA" w:rsidP="00300A01">
      <w:pPr>
        <w:pStyle w:val="Text1"/>
        <w:spacing w:before="0" w:after="0"/>
        <w:ind w:left="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10"/>
      </w:tblGrid>
      <w:tr w:rsidR="006B2EC1" w14:paraId="64BB844B" w14:textId="77777777" w:rsidTr="0047688D">
        <w:tc>
          <w:tcPr>
            <w:tcW w:w="0" w:type="auto"/>
            <w:shd w:val="clear" w:color="auto" w:fill="auto"/>
          </w:tcPr>
          <w:p w14:paraId="68CEE887" w14:textId="77777777" w:rsidR="008C5CFA" w:rsidRDefault="008C5CFA" w:rsidP="00300A01">
            <w:pPr>
              <w:pStyle w:val="Text1"/>
              <w:spacing w:before="0" w:after="0"/>
              <w:ind w:left="0"/>
            </w:pPr>
          </w:p>
        </w:tc>
      </w:tr>
    </w:tbl>
    <w:p w14:paraId="08CF17C0" w14:textId="77777777" w:rsidR="008C5CFA" w:rsidRDefault="008C5CFA" w:rsidP="00300A01">
      <w:pPr>
        <w:spacing w:before="0" w:after="0"/>
      </w:pPr>
    </w:p>
    <w:p w14:paraId="0BCEE6D0" w14:textId="77777777" w:rsidR="008C5CFA" w:rsidRDefault="00E82A60" w:rsidP="00300A01">
      <w:pPr>
        <w:pStyle w:val="Nagwek2"/>
        <w:numPr>
          <w:ilvl w:val="1"/>
          <w:numId w:val="15"/>
        </w:numPr>
        <w:tabs>
          <w:tab w:val="clear" w:pos="850"/>
          <w:tab w:val="num" w:pos="0"/>
        </w:tabs>
        <w:spacing w:before="0" w:after="0"/>
        <w:ind w:left="0" w:firstLine="0"/>
        <w:jc w:val="left"/>
      </w:pPr>
      <w:bookmarkStart w:id="117" w:name="_Toc46391800"/>
      <w:r>
        <w:rPr>
          <w:noProof/>
        </w:rPr>
        <w:t>Postępy w realizacji wszelkich przedsięwzięć międzyregionalnych i transnarodowych</w:t>
      </w:r>
      <w:bookmarkEnd w:id="117"/>
    </w:p>
    <w:p w14:paraId="1B7966AC" w14:textId="77777777" w:rsidR="008C5CFA" w:rsidRPr="00920F74" w:rsidRDefault="008C5CFA" w:rsidP="00300A01">
      <w:pPr>
        <w:pStyle w:val="Text1"/>
        <w:spacing w:before="0" w:after="0"/>
        <w:ind w:left="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10"/>
      </w:tblGrid>
      <w:tr w:rsidR="006B2EC1" w14:paraId="7CC06304" w14:textId="77777777" w:rsidTr="0047688D">
        <w:tc>
          <w:tcPr>
            <w:tcW w:w="0" w:type="auto"/>
            <w:shd w:val="clear" w:color="auto" w:fill="auto"/>
          </w:tcPr>
          <w:p w14:paraId="1B64954D" w14:textId="77777777" w:rsidR="008C5CFA" w:rsidRDefault="008C5CFA" w:rsidP="00300A01">
            <w:pPr>
              <w:pStyle w:val="Text1"/>
              <w:spacing w:before="0" w:after="0"/>
              <w:ind w:left="0"/>
            </w:pPr>
          </w:p>
        </w:tc>
      </w:tr>
    </w:tbl>
    <w:p w14:paraId="7BA38B8F" w14:textId="77777777" w:rsidR="008C5CFA" w:rsidRDefault="008C5CFA" w:rsidP="00300A01">
      <w:pPr>
        <w:spacing w:before="0" w:after="0"/>
      </w:pPr>
    </w:p>
    <w:p w14:paraId="4C2DD792" w14:textId="77777777" w:rsidR="008C5CFA" w:rsidRDefault="00E82A60" w:rsidP="00300A01">
      <w:pPr>
        <w:pStyle w:val="Nagwek2"/>
        <w:numPr>
          <w:ilvl w:val="1"/>
          <w:numId w:val="15"/>
        </w:numPr>
        <w:tabs>
          <w:tab w:val="clear" w:pos="850"/>
          <w:tab w:val="num" w:pos="0"/>
        </w:tabs>
        <w:spacing w:before="0" w:after="0"/>
        <w:ind w:left="0" w:firstLine="0"/>
        <w:jc w:val="left"/>
      </w:pPr>
      <w:bookmarkStart w:id="118" w:name="_Toc46391801"/>
      <w:r>
        <w:rPr>
          <w:noProof/>
        </w:rPr>
        <w:t>W stosownych przypadkach — wkład w strategie makroregionalne i strategie morskie</w:t>
      </w:r>
      <w:bookmarkEnd w:id="118"/>
    </w:p>
    <w:p w14:paraId="15B3E82A" w14:textId="77777777" w:rsidR="008C5CFA" w:rsidRDefault="008C5CFA" w:rsidP="00300A01">
      <w:pPr>
        <w:pStyle w:val="Text1"/>
        <w:spacing w:before="0" w:after="0"/>
        <w:ind w:left="0"/>
      </w:pPr>
    </w:p>
    <w:p w14:paraId="31DE4ADB" w14:textId="77777777" w:rsidR="008C5CFA" w:rsidRDefault="00E82A60" w:rsidP="00300A01">
      <w:pPr>
        <w:pStyle w:val="Text1"/>
        <w:spacing w:before="0" w:after="0"/>
        <w:ind w:left="0"/>
      </w:pPr>
      <w:r>
        <w:t xml:space="preserve">Jak </w:t>
      </w:r>
      <w:proofErr w:type="spellStart"/>
      <w:r>
        <w:t>określono</w:t>
      </w:r>
      <w:proofErr w:type="spellEnd"/>
      <w:r>
        <w:t xml:space="preserve"> w </w:t>
      </w:r>
      <w:proofErr w:type="spellStart"/>
      <w:r>
        <w:t>rozporządzeniu</w:t>
      </w:r>
      <w:proofErr w:type="spellEnd"/>
      <w:r>
        <w:t xml:space="preserve"> (UE) nr 1303/2013 art. 27 </w:t>
      </w:r>
      <w:proofErr w:type="spellStart"/>
      <w:r>
        <w:t>ust</w:t>
      </w:r>
      <w:proofErr w:type="spellEnd"/>
      <w:r>
        <w:t xml:space="preserve">. 3 </w:t>
      </w:r>
      <w:proofErr w:type="spellStart"/>
      <w:r>
        <w:t>dotyczący</w:t>
      </w:r>
      <w:proofErr w:type="spellEnd"/>
      <w:r>
        <w:t xml:space="preserve"> </w:t>
      </w:r>
      <w:r>
        <w:fldChar w:fldCharType="begin"/>
      </w:r>
      <w:r>
        <w:instrText>QUOTE 34</w:instrText>
      </w:r>
      <w:r>
        <w:fldChar w:fldCharType="separate"/>
      </w:r>
      <w:r>
        <w:t>"</w:t>
      </w:r>
      <w:proofErr w:type="spellStart"/>
      <w:r>
        <w:fldChar w:fldCharType="end"/>
      </w:r>
      <w:r>
        <w:t>Treści</w:t>
      </w:r>
      <w:proofErr w:type="spellEnd"/>
      <w:r>
        <w:t xml:space="preserve"> </w:t>
      </w:r>
      <w:proofErr w:type="spellStart"/>
      <w:r>
        <w:t>programów</w:t>
      </w:r>
      <w:proofErr w:type="spellEnd"/>
      <w:r>
        <w:fldChar w:fldCharType="begin"/>
      </w:r>
      <w:r>
        <w:instrText>QUOTE 34</w:instrText>
      </w:r>
      <w:r>
        <w:fldChar w:fldCharType="separate"/>
      </w:r>
      <w:r>
        <w:t>"</w:t>
      </w:r>
      <w:r>
        <w:fldChar w:fldCharType="end"/>
      </w:r>
      <w:r>
        <w:t xml:space="preserve">, art. 96 </w:t>
      </w:r>
      <w:proofErr w:type="spellStart"/>
      <w:r>
        <w:t>ust</w:t>
      </w:r>
      <w:proofErr w:type="spellEnd"/>
      <w:r>
        <w:t xml:space="preserve">. 3 lit. e) </w:t>
      </w:r>
      <w:proofErr w:type="spellStart"/>
      <w:r>
        <w:t>dotyczący</w:t>
      </w:r>
      <w:proofErr w:type="spellEnd"/>
      <w:r>
        <w:t xml:space="preserve"> </w:t>
      </w:r>
      <w:r>
        <w:fldChar w:fldCharType="begin"/>
      </w:r>
      <w:r>
        <w:instrText>QUOTE 34</w:instrText>
      </w:r>
      <w:r>
        <w:fldChar w:fldCharType="separate"/>
      </w:r>
      <w:r>
        <w:t>"</w:t>
      </w:r>
      <w:proofErr w:type="spellStart"/>
      <w:r>
        <w:fldChar w:fldCharType="end"/>
      </w:r>
      <w:r>
        <w:t>Treści</w:t>
      </w:r>
      <w:proofErr w:type="spellEnd"/>
      <w:r>
        <w:t xml:space="preserve">, </w:t>
      </w:r>
      <w:proofErr w:type="spellStart"/>
      <w:r>
        <w:t>przyjęcia</w:t>
      </w:r>
      <w:proofErr w:type="spellEnd"/>
      <w:r>
        <w:t xml:space="preserve"> i </w:t>
      </w:r>
      <w:proofErr w:type="spellStart"/>
      <w:r>
        <w:t>zmiany</w:t>
      </w:r>
      <w:proofErr w:type="spellEnd"/>
      <w:r>
        <w:t xml:space="preserve"> </w:t>
      </w:r>
      <w:proofErr w:type="spellStart"/>
      <w:r>
        <w:t>programów</w:t>
      </w:r>
      <w:proofErr w:type="spellEnd"/>
      <w:r>
        <w:t xml:space="preserve"> </w:t>
      </w:r>
      <w:proofErr w:type="spellStart"/>
      <w:r>
        <w:t>operacyjnych</w:t>
      </w:r>
      <w:proofErr w:type="spellEnd"/>
      <w:r>
        <w:t xml:space="preserve"> w </w:t>
      </w:r>
      <w:proofErr w:type="spellStart"/>
      <w:r>
        <w:t>ramach</w:t>
      </w:r>
      <w:proofErr w:type="spellEnd"/>
      <w:r>
        <w:t xml:space="preserve"> </w:t>
      </w:r>
      <w:proofErr w:type="spellStart"/>
      <w:r>
        <w:t>celu</w:t>
      </w:r>
      <w:proofErr w:type="spellEnd"/>
      <w:r>
        <w:t xml:space="preserve"> ‘</w:t>
      </w:r>
      <w:proofErr w:type="spellStart"/>
      <w:r>
        <w:t>Inwestycje</w:t>
      </w:r>
      <w:proofErr w:type="spellEnd"/>
      <w:r>
        <w:t xml:space="preserve"> </w:t>
      </w:r>
      <w:proofErr w:type="spellStart"/>
      <w:r>
        <w:t>na</w:t>
      </w:r>
      <w:proofErr w:type="spellEnd"/>
      <w:r>
        <w:t xml:space="preserve"> </w:t>
      </w:r>
      <w:proofErr w:type="spellStart"/>
      <w:r>
        <w:t>rzecz</w:t>
      </w:r>
      <w:proofErr w:type="spellEnd"/>
      <w:r>
        <w:t xml:space="preserve"> </w:t>
      </w:r>
      <w:proofErr w:type="spellStart"/>
      <w:r>
        <w:t>wzrostu</w:t>
      </w:r>
      <w:proofErr w:type="spellEnd"/>
      <w:r>
        <w:t xml:space="preserve"> i </w:t>
      </w:r>
      <w:proofErr w:type="spellStart"/>
      <w:r>
        <w:t>zatrudnienia</w:t>
      </w:r>
      <w:proofErr w:type="spellEnd"/>
      <w:r>
        <w:t>’</w:t>
      </w:r>
      <w:r>
        <w:fldChar w:fldCharType="begin"/>
      </w:r>
      <w:r>
        <w:instrText>QUOTE 34</w:instrText>
      </w:r>
      <w:r>
        <w:fldChar w:fldCharType="separate"/>
      </w:r>
      <w:r>
        <w:t>"</w:t>
      </w:r>
      <w:r>
        <w:fldChar w:fldCharType="end"/>
      </w:r>
      <w:r>
        <w:t xml:space="preserve">, art. 111 </w:t>
      </w:r>
      <w:proofErr w:type="spellStart"/>
      <w:r>
        <w:t>ust</w:t>
      </w:r>
      <w:proofErr w:type="spellEnd"/>
      <w:r>
        <w:t xml:space="preserve">. 3 i art. 111 </w:t>
      </w:r>
      <w:proofErr w:type="spellStart"/>
      <w:r>
        <w:t>ust</w:t>
      </w:r>
      <w:proofErr w:type="spellEnd"/>
      <w:r>
        <w:t xml:space="preserve">. 4 lit. d) </w:t>
      </w:r>
      <w:proofErr w:type="spellStart"/>
      <w:r>
        <w:t>dotyczący</w:t>
      </w:r>
      <w:proofErr w:type="spellEnd"/>
      <w:r>
        <w:t xml:space="preserve"> </w:t>
      </w:r>
      <w:r>
        <w:fldChar w:fldCharType="begin"/>
      </w:r>
      <w:r>
        <w:instrText>QUOTE 34</w:instrText>
      </w:r>
      <w:r>
        <w:fldChar w:fldCharType="separate"/>
      </w:r>
      <w:r>
        <w:t>"</w:t>
      </w:r>
      <w:proofErr w:type="spellStart"/>
      <w:r>
        <w:fldChar w:fldCharType="end"/>
      </w:r>
      <w:r>
        <w:t>Sprawozdań</w:t>
      </w:r>
      <w:proofErr w:type="spellEnd"/>
      <w:r>
        <w:t xml:space="preserve"> z </w:t>
      </w:r>
      <w:proofErr w:type="spellStart"/>
      <w:r>
        <w:t>wdrażania</w:t>
      </w:r>
      <w:proofErr w:type="spellEnd"/>
      <w:r>
        <w:t xml:space="preserve"> w </w:t>
      </w:r>
      <w:proofErr w:type="spellStart"/>
      <w:r>
        <w:t>ramach</w:t>
      </w:r>
      <w:proofErr w:type="spellEnd"/>
      <w:r>
        <w:t xml:space="preserve"> </w:t>
      </w:r>
      <w:proofErr w:type="spellStart"/>
      <w:r>
        <w:t>celu</w:t>
      </w:r>
      <w:proofErr w:type="spellEnd"/>
      <w:r>
        <w:t xml:space="preserve"> ‘</w:t>
      </w:r>
      <w:proofErr w:type="spellStart"/>
      <w:r>
        <w:t>Inwestycje</w:t>
      </w:r>
      <w:proofErr w:type="spellEnd"/>
      <w:r>
        <w:t xml:space="preserve"> </w:t>
      </w:r>
      <w:proofErr w:type="spellStart"/>
      <w:r>
        <w:t>na</w:t>
      </w:r>
      <w:proofErr w:type="spellEnd"/>
      <w:r>
        <w:t xml:space="preserve"> </w:t>
      </w:r>
      <w:proofErr w:type="spellStart"/>
      <w:r>
        <w:t>rzecz</w:t>
      </w:r>
      <w:proofErr w:type="spellEnd"/>
      <w:r>
        <w:t xml:space="preserve"> </w:t>
      </w:r>
      <w:proofErr w:type="spellStart"/>
      <w:r>
        <w:t>wzrostu</w:t>
      </w:r>
      <w:proofErr w:type="spellEnd"/>
      <w:r>
        <w:t xml:space="preserve"> i </w:t>
      </w:r>
      <w:proofErr w:type="spellStart"/>
      <w:r>
        <w:t>zatrudnienia</w:t>
      </w:r>
      <w:proofErr w:type="spellEnd"/>
      <w:r>
        <w:t>’</w:t>
      </w:r>
      <w:r>
        <w:fldChar w:fldCharType="begin"/>
      </w:r>
      <w:r>
        <w:instrText>QUOTE 34</w:instrText>
      </w:r>
      <w:r>
        <w:fldChar w:fldCharType="separate"/>
      </w:r>
      <w:r>
        <w:t>"</w:t>
      </w:r>
      <w:r>
        <w:fldChar w:fldCharType="end"/>
      </w:r>
      <w:r>
        <w:t xml:space="preserve"> </w:t>
      </w:r>
      <w:proofErr w:type="spellStart"/>
      <w:r>
        <w:t>oraz</w:t>
      </w:r>
      <w:proofErr w:type="spellEnd"/>
      <w:r>
        <w:t xml:space="preserve"> </w:t>
      </w:r>
      <w:proofErr w:type="spellStart"/>
      <w:r>
        <w:t>załącznik</w:t>
      </w:r>
      <w:proofErr w:type="spellEnd"/>
      <w:r>
        <w:t xml:space="preserve"> 1 </w:t>
      </w:r>
      <w:proofErr w:type="spellStart"/>
      <w:r>
        <w:t>sekcja</w:t>
      </w:r>
      <w:proofErr w:type="spellEnd"/>
      <w:r>
        <w:t xml:space="preserve"> 7.3 </w:t>
      </w:r>
      <w:proofErr w:type="spellStart"/>
      <w:r>
        <w:t>dotyczący</w:t>
      </w:r>
      <w:proofErr w:type="spellEnd"/>
      <w:r>
        <w:t xml:space="preserve"> </w:t>
      </w:r>
      <w:r>
        <w:fldChar w:fldCharType="begin"/>
      </w:r>
      <w:r>
        <w:instrText>QUOTE 34</w:instrText>
      </w:r>
      <w:r>
        <w:fldChar w:fldCharType="separate"/>
      </w:r>
      <w:r>
        <w:t>"</w:t>
      </w:r>
      <w:proofErr w:type="spellStart"/>
      <w:r>
        <w:fldChar w:fldCharType="end"/>
      </w:r>
      <w:r>
        <w:t>Wkładu</w:t>
      </w:r>
      <w:proofErr w:type="spellEnd"/>
      <w:r>
        <w:t xml:space="preserve"> </w:t>
      </w:r>
      <w:proofErr w:type="spellStart"/>
      <w:r>
        <w:t>głównych</w:t>
      </w:r>
      <w:proofErr w:type="spellEnd"/>
      <w:r>
        <w:t xml:space="preserve"> </w:t>
      </w:r>
      <w:proofErr w:type="spellStart"/>
      <w:r>
        <w:t>programów</w:t>
      </w:r>
      <w:proofErr w:type="spellEnd"/>
      <w:r>
        <w:t xml:space="preserve"> w </w:t>
      </w:r>
      <w:proofErr w:type="spellStart"/>
      <w:r>
        <w:t>strategie</w:t>
      </w:r>
      <w:proofErr w:type="spellEnd"/>
      <w:r>
        <w:t xml:space="preserve"> </w:t>
      </w:r>
      <w:proofErr w:type="spellStart"/>
      <w:r>
        <w:t>makroregionalne</w:t>
      </w:r>
      <w:proofErr w:type="spellEnd"/>
      <w:r>
        <w:t xml:space="preserve"> i </w:t>
      </w:r>
      <w:proofErr w:type="spellStart"/>
      <w:r>
        <w:t>strategie</w:t>
      </w:r>
      <w:proofErr w:type="spellEnd"/>
      <w:r>
        <w:t xml:space="preserve"> </w:t>
      </w:r>
      <w:proofErr w:type="spellStart"/>
      <w:r>
        <w:t>morskie</w:t>
      </w:r>
      <w:proofErr w:type="spellEnd"/>
      <w:r>
        <w:fldChar w:fldCharType="begin"/>
      </w:r>
      <w:r>
        <w:instrText>QUOTE 34</w:instrText>
      </w:r>
      <w:r>
        <w:fldChar w:fldCharType="separate"/>
      </w:r>
      <w:r>
        <w:t>"</w:t>
      </w:r>
      <w:r>
        <w:fldChar w:fldCharType="end"/>
      </w:r>
      <w:r>
        <w:t xml:space="preserve">, program ten ma </w:t>
      </w:r>
      <w:proofErr w:type="spellStart"/>
      <w:r>
        <w:t>wkład</w:t>
      </w:r>
      <w:proofErr w:type="spellEnd"/>
      <w:r>
        <w:t xml:space="preserve"> w </w:t>
      </w:r>
      <w:proofErr w:type="spellStart"/>
      <w:r>
        <w:t>strategie</w:t>
      </w:r>
      <w:proofErr w:type="spellEnd"/>
      <w:r>
        <w:t xml:space="preserve"> </w:t>
      </w:r>
      <w:proofErr w:type="spellStart"/>
      <w:r>
        <w:t>makroregionalne</w:t>
      </w:r>
      <w:proofErr w:type="spellEnd"/>
      <w:r>
        <w:t xml:space="preserve"> </w:t>
      </w:r>
      <w:proofErr w:type="spellStart"/>
      <w:r>
        <w:t>lub</w:t>
      </w:r>
      <w:proofErr w:type="spellEnd"/>
      <w:r>
        <w:t xml:space="preserve"> </w:t>
      </w:r>
      <w:proofErr w:type="spellStart"/>
      <w:r>
        <w:t>strategie</w:t>
      </w:r>
      <w:proofErr w:type="spellEnd"/>
      <w:r>
        <w:t xml:space="preserve"> </w:t>
      </w:r>
      <w:proofErr w:type="spellStart"/>
      <w:r>
        <w:t>morskie</w:t>
      </w:r>
      <w:proofErr w:type="spellEnd"/>
      <w:r>
        <w:t>:</w:t>
      </w:r>
    </w:p>
    <w:p w14:paraId="37EA84DB" w14:textId="77777777" w:rsidR="008C5CFA" w:rsidRDefault="008C5CFA" w:rsidP="00300A01">
      <w:pPr>
        <w:pStyle w:val="Text1"/>
        <w:spacing w:before="0" w:after="0"/>
        <w:ind w:left="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10"/>
      </w:tblGrid>
      <w:tr w:rsidR="006B2EC1" w14:paraId="21D5E0E8" w14:textId="77777777" w:rsidTr="0047688D">
        <w:tc>
          <w:tcPr>
            <w:tcW w:w="0" w:type="auto"/>
            <w:shd w:val="clear" w:color="auto" w:fill="auto"/>
          </w:tcPr>
          <w:p w14:paraId="3AF7A278" w14:textId="77777777" w:rsidR="006B2EC1" w:rsidRDefault="00E82A60">
            <w:pPr>
              <w:spacing w:before="0" w:after="240"/>
              <w:jc w:val="left"/>
            </w:pPr>
            <w:proofErr w:type="spellStart"/>
            <w:r>
              <w:t>Regionalny</w:t>
            </w:r>
            <w:proofErr w:type="spellEnd"/>
            <w:r>
              <w:t xml:space="preserve"> Program </w:t>
            </w:r>
            <w:proofErr w:type="spellStart"/>
            <w:r>
              <w:t>Operacyjny</w:t>
            </w:r>
            <w:proofErr w:type="spellEnd"/>
            <w:r>
              <w:t xml:space="preserve"> </w:t>
            </w:r>
            <w:proofErr w:type="spellStart"/>
            <w:r>
              <w:t>Województwa</w:t>
            </w:r>
            <w:proofErr w:type="spellEnd"/>
            <w:r>
              <w:t xml:space="preserve"> Świętokrzyskiego 2014-2020 </w:t>
            </w:r>
            <w:proofErr w:type="spellStart"/>
            <w:r>
              <w:t>pośrednio</w:t>
            </w:r>
            <w:proofErr w:type="spellEnd"/>
            <w:r>
              <w:t xml:space="preserve"> </w:t>
            </w:r>
            <w:proofErr w:type="spellStart"/>
            <w:r>
              <w:t>realizuje</w:t>
            </w:r>
            <w:proofErr w:type="spellEnd"/>
            <w:r>
              <w:t xml:space="preserve"> </w:t>
            </w:r>
            <w:proofErr w:type="spellStart"/>
            <w:r>
              <w:t>strategię</w:t>
            </w:r>
            <w:proofErr w:type="spellEnd"/>
            <w:r>
              <w:t xml:space="preserve"> UE </w:t>
            </w:r>
            <w:proofErr w:type="spellStart"/>
            <w:r>
              <w:t>dla</w:t>
            </w:r>
            <w:proofErr w:type="spellEnd"/>
            <w:r>
              <w:t xml:space="preserve"> </w:t>
            </w:r>
            <w:proofErr w:type="spellStart"/>
            <w:r>
              <w:t>Regionu</w:t>
            </w:r>
            <w:proofErr w:type="spellEnd"/>
            <w:r>
              <w:t xml:space="preserve"> </w:t>
            </w:r>
            <w:proofErr w:type="spellStart"/>
            <w:r>
              <w:t>Morza</w:t>
            </w:r>
            <w:proofErr w:type="spellEnd"/>
            <w:r>
              <w:t xml:space="preserve"> </w:t>
            </w:r>
            <w:proofErr w:type="spellStart"/>
            <w:r>
              <w:t>Bałtyckiego</w:t>
            </w:r>
            <w:proofErr w:type="spellEnd"/>
            <w:r>
              <w:t xml:space="preserve">. Do 31.12.2019r. </w:t>
            </w:r>
            <w:proofErr w:type="spellStart"/>
            <w:r>
              <w:t>zaangażowano</w:t>
            </w:r>
            <w:proofErr w:type="spellEnd"/>
            <w:r>
              <w:t xml:space="preserve"> </w:t>
            </w:r>
            <w:proofErr w:type="spellStart"/>
            <w:r>
              <w:t>środki</w:t>
            </w:r>
            <w:proofErr w:type="spellEnd"/>
            <w:r>
              <w:t xml:space="preserve"> w </w:t>
            </w:r>
            <w:proofErr w:type="spellStart"/>
            <w:r>
              <w:t>wysokości</w:t>
            </w:r>
            <w:proofErr w:type="spellEnd"/>
            <w:r>
              <w:t xml:space="preserve"> 954 057 841,85 EUR </w:t>
            </w:r>
            <w:proofErr w:type="spellStart"/>
            <w:r>
              <w:t>wkładu</w:t>
            </w:r>
            <w:proofErr w:type="spellEnd"/>
            <w:r>
              <w:t xml:space="preserve"> UE, co </w:t>
            </w:r>
            <w:proofErr w:type="spellStart"/>
            <w:r>
              <w:t>stanowi</w:t>
            </w:r>
            <w:proofErr w:type="spellEnd"/>
            <w:r>
              <w:t xml:space="preserve"> </w:t>
            </w:r>
            <w:proofErr w:type="spellStart"/>
            <w:r>
              <w:t>blisko</w:t>
            </w:r>
            <w:proofErr w:type="spellEnd"/>
            <w:r>
              <w:t xml:space="preserve"> 70% </w:t>
            </w:r>
            <w:proofErr w:type="spellStart"/>
            <w:r>
              <w:t>alokacji</w:t>
            </w:r>
            <w:proofErr w:type="spellEnd"/>
            <w:r>
              <w:t xml:space="preserve"> </w:t>
            </w:r>
            <w:proofErr w:type="spellStart"/>
            <w:r>
              <w:t>Programu</w:t>
            </w:r>
            <w:proofErr w:type="spellEnd"/>
            <w:r>
              <w:t xml:space="preserve">. Z </w:t>
            </w:r>
            <w:proofErr w:type="spellStart"/>
            <w:r>
              <w:t>tego</w:t>
            </w:r>
            <w:proofErr w:type="spellEnd"/>
            <w:r>
              <w:t xml:space="preserve"> w </w:t>
            </w:r>
            <w:proofErr w:type="spellStart"/>
            <w:r>
              <w:t>zakresie</w:t>
            </w:r>
            <w:proofErr w:type="spellEnd"/>
            <w:r>
              <w:t xml:space="preserve"> EFRR jest to </w:t>
            </w:r>
            <w:proofErr w:type="spellStart"/>
            <w:r>
              <w:t>kwota</w:t>
            </w:r>
            <w:proofErr w:type="spellEnd"/>
            <w:r>
              <w:t xml:space="preserve"> 715 370 699,68 EUR (</w:t>
            </w:r>
            <w:proofErr w:type="spellStart"/>
            <w:r>
              <w:t>blisko</w:t>
            </w:r>
            <w:proofErr w:type="spellEnd"/>
            <w:r>
              <w:t xml:space="preserve"> 73% </w:t>
            </w:r>
            <w:proofErr w:type="spellStart"/>
            <w:r>
              <w:t>alokacji</w:t>
            </w:r>
            <w:proofErr w:type="spellEnd"/>
            <w:r>
              <w:t xml:space="preserve"> EFRR), </w:t>
            </w:r>
            <w:proofErr w:type="spellStart"/>
            <w:r>
              <w:t>natomiast</w:t>
            </w:r>
            <w:proofErr w:type="spellEnd"/>
            <w:r>
              <w:t xml:space="preserve"> w </w:t>
            </w:r>
            <w:proofErr w:type="spellStart"/>
            <w:r>
              <w:t>zakresie</w:t>
            </w:r>
            <w:proofErr w:type="spellEnd"/>
            <w:r>
              <w:t xml:space="preserve"> EFS 238 687 142,17 EUR ( </w:t>
            </w:r>
            <w:proofErr w:type="spellStart"/>
            <w:r>
              <w:t>tj</w:t>
            </w:r>
            <w:proofErr w:type="spellEnd"/>
            <w:r>
              <w:t xml:space="preserve">. 62% </w:t>
            </w:r>
            <w:proofErr w:type="spellStart"/>
            <w:r>
              <w:t>alokacji</w:t>
            </w:r>
            <w:proofErr w:type="spellEnd"/>
            <w:r>
              <w:t xml:space="preserve"> EFS). </w:t>
            </w:r>
            <w:proofErr w:type="spellStart"/>
            <w:r>
              <w:t>Obszary</w:t>
            </w:r>
            <w:proofErr w:type="spellEnd"/>
            <w:r>
              <w:t xml:space="preserve"> </w:t>
            </w:r>
            <w:proofErr w:type="spellStart"/>
            <w:r>
              <w:t>najsilniej</w:t>
            </w:r>
            <w:proofErr w:type="spellEnd"/>
            <w:r>
              <w:t xml:space="preserve"> </w:t>
            </w:r>
            <w:proofErr w:type="spellStart"/>
            <w:r>
              <w:t>wspierane</w:t>
            </w:r>
            <w:proofErr w:type="spellEnd"/>
            <w:r>
              <w:t xml:space="preserve"> to </w:t>
            </w:r>
            <w:proofErr w:type="spellStart"/>
            <w:r>
              <w:t>obszar</w:t>
            </w:r>
            <w:proofErr w:type="spellEnd"/>
            <w:r>
              <w:t xml:space="preserve"> </w:t>
            </w:r>
            <w:proofErr w:type="spellStart"/>
            <w:r>
              <w:t>transportu</w:t>
            </w:r>
            <w:proofErr w:type="spellEnd"/>
            <w:r>
              <w:t xml:space="preserve">- </w:t>
            </w:r>
            <w:proofErr w:type="spellStart"/>
            <w:r>
              <w:t>ponad</w:t>
            </w:r>
            <w:proofErr w:type="spellEnd"/>
            <w:r>
              <w:t xml:space="preserve"> 142,7 MLN  EUR, </w:t>
            </w:r>
            <w:proofErr w:type="spellStart"/>
            <w:r>
              <w:t>edukacji</w:t>
            </w:r>
            <w:proofErr w:type="spellEnd"/>
            <w:r>
              <w:t xml:space="preserve"> – </w:t>
            </w:r>
            <w:proofErr w:type="spellStart"/>
            <w:r>
              <w:t>blisko</w:t>
            </w:r>
            <w:proofErr w:type="spellEnd"/>
            <w:r>
              <w:t xml:space="preserve"> 128 MLN EUR, </w:t>
            </w:r>
            <w:proofErr w:type="spellStart"/>
            <w:r>
              <w:t>czy</w:t>
            </w:r>
            <w:proofErr w:type="spellEnd"/>
            <w:r>
              <w:t xml:space="preserve"> </w:t>
            </w:r>
            <w:proofErr w:type="spellStart"/>
            <w:r>
              <w:t>obszar</w:t>
            </w:r>
            <w:proofErr w:type="spellEnd"/>
            <w:r>
              <w:t xml:space="preserve"> </w:t>
            </w:r>
            <w:proofErr w:type="spellStart"/>
            <w:r>
              <w:t>energii</w:t>
            </w:r>
            <w:proofErr w:type="spellEnd"/>
            <w:r>
              <w:t xml:space="preserve"> -</w:t>
            </w:r>
            <w:proofErr w:type="spellStart"/>
            <w:r>
              <w:t>ponad</w:t>
            </w:r>
            <w:proofErr w:type="spellEnd"/>
            <w:r>
              <w:t xml:space="preserve"> 120 MLN .</w:t>
            </w:r>
          </w:p>
          <w:p w14:paraId="4920B86D" w14:textId="77777777" w:rsidR="006B2EC1" w:rsidRDefault="00E82A60">
            <w:pPr>
              <w:spacing w:before="240" w:after="240"/>
              <w:jc w:val="left"/>
            </w:pPr>
            <w:r>
              <w:t> </w:t>
            </w:r>
          </w:p>
          <w:p w14:paraId="074FF77B" w14:textId="77777777" w:rsidR="008C5CFA" w:rsidRDefault="008C5CFA" w:rsidP="00300A01">
            <w:pPr>
              <w:pStyle w:val="Text1"/>
              <w:spacing w:before="0" w:after="0"/>
              <w:ind w:left="0"/>
            </w:pPr>
          </w:p>
        </w:tc>
      </w:tr>
    </w:tbl>
    <w:p w14:paraId="2521F91A" w14:textId="77777777" w:rsidR="008C5CFA" w:rsidRDefault="008C5CFA" w:rsidP="00300A01">
      <w:pPr>
        <w:pStyle w:val="Text1"/>
        <w:spacing w:before="0" w:after="0"/>
        <w:ind w:left="0"/>
      </w:pPr>
    </w:p>
    <w:p w14:paraId="235E259A" w14:textId="77777777" w:rsidR="008C5CFA" w:rsidRDefault="00E82A60" w:rsidP="00300A01">
      <w:pPr>
        <w:autoSpaceDE w:val="0"/>
        <w:autoSpaceDN w:val="0"/>
        <w:adjustRightInd w:val="0"/>
        <w:spacing w:before="0" w:after="0"/>
      </w:pPr>
      <w:r>
        <w:rPr>
          <w:rFonts w:ascii="Wingdings" w:hAnsi="Wingdings" w:cs="Wingdings"/>
          <w:sz w:val="26"/>
          <w:szCs w:val="26"/>
          <w:lang w:val="en-US"/>
        </w:rPr>
        <w:sym w:font="Wingdings" w:char="F0FE"/>
      </w:r>
      <w:r>
        <w:t xml:space="preserve">  </w:t>
      </w:r>
      <w:r>
        <w:rPr>
          <w:noProof/>
        </w:rPr>
        <w:t>Strategia UE dla regionu Morza Bałtyckiego</w:t>
      </w:r>
    </w:p>
    <w:p w14:paraId="6DD53F89" w14:textId="77777777" w:rsidR="008C5CFA" w:rsidRDefault="00E82A60" w:rsidP="00300A01">
      <w:pPr>
        <w:spacing w:before="0" w:after="0"/>
      </w:pPr>
      <w:r>
        <w:rPr>
          <w:rFonts w:ascii="Wingdings" w:hAnsi="Wingdings" w:cs="Wingdings"/>
          <w:sz w:val="26"/>
          <w:szCs w:val="26"/>
          <w:lang w:val="en-US"/>
        </w:rPr>
        <w:sym w:font="Wingdings" w:char="F0A8"/>
      </w:r>
      <w:r>
        <w:t xml:space="preserve">  </w:t>
      </w:r>
      <w:r>
        <w:rPr>
          <w:noProof/>
        </w:rPr>
        <w:t>Strategia UE na rzecz regionu Dunaju (EUSDR)</w:t>
      </w:r>
    </w:p>
    <w:p w14:paraId="28F36C9F" w14:textId="77777777" w:rsidR="008C5CFA" w:rsidRDefault="00E82A60" w:rsidP="00300A01">
      <w:pPr>
        <w:pStyle w:val="Text1"/>
        <w:spacing w:before="0" w:after="0"/>
        <w:ind w:left="0"/>
      </w:pPr>
      <w:r>
        <w:rPr>
          <w:rFonts w:ascii="Wingdings" w:hAnsi="Wingdings" w:cs="Wingdings"/>
          <w:sz w:val="26"/>
          <w:szCs w:val="26"/>
          <w:lang w:val="en-US"/>
        </w:rPr>
        <w:sym w:font="Wingdings" w:char="F0A8"/>
      </w:r>
      <w:r>
        <w:t xml:space="preserve">  </w:t>
      </w:r>
      <w:r>
        <w:rPr>
          <w:noProof/>
        </w:rPr>
        <w:t>Strategia UE na rzecz regionu Morza Adriatyckiego i Morza Jońskiego (EUSAIR)</w:t>
      </w:r>
    </w:p>
    <w:p w14:paraId="1D9AE15C" w14:textId="77777777" w:rsidR="008C5CFA" w:rsidRDefault="00E82A60" w:rsidP="00300A01">
      <w:pPr>
        <w:pStyle w:val="Text1"/>
        <w:spacing w:before="0" w:after="0"/>
        <w:ind w:left="0"/>
      </w:pPr>
      <w:r>
        <w:rPr>
          <w:rFonts w:ascii="Wingdings" w:hAnsi="Wingdings" w:cs="Wingdings"/>
          <w:sz w:val="26"/>
          <w:szCs w:val="26"/>
          <w:lang w:val="en-US"/>
        </w:rPr>
        <w:lastRenderedPageBreak/>
        <w:sym w:font="Wingdings" w:char="F0A8"/>
      </w:r>
      <w:r>
        <w:t xml:space="preserve">  </w:t>
      </w:r>
      <w:r>
        <w:rPr>
          <w:noProof/>
        </w:rPr>
        <w:t>Strategia UE na rzecz regionu alpejskiego (EUSALP)</w:t>
      </w:r>
    </w:p>
    <w:p w14:paraId="59C458D7" w14:textId="77777777" w:rsidR="008C5CFA" w:rsidRPr="00F70AEC" w:rsidRDefault="00E82A60" w:rsidP="00300A01">
      <w:pPr>
        <w:pStyle w:val="Text1"/>
        <w:spacing w:before="0" w:after="0"/>
        <w:ind w:left="0"/>
        <w:rPr>
          <w:sz w:val="8"/>
          <w:szCs w:val="8"/>
        </w:rPr>
      </w:pPr>
      <w:r>
        <w:rPr>
          <w:rFonts w:ascii="Wingdings" w:hAnsi="Wingdings" w:cs="Wingdings"/>
          <w:sz w:val="26"/>
          <w:szCs w:val="26"/>
          <w:lang w:val="en-US"/>
        </w:rPr>
        <w:sym w:font="Wingdings" w:char="F0A8"/>
      </w:r>
      <w:r>
        <w:t xml:space="preserve">  </w:t>
      </w:r>
      <w:r>
        <w:rPr>
          <w:noProof/>
        </w:rPr>
        <w:t>Strategia na rzecz regionu Oceanu Atlantyckiego (ATLSBS)</w:t>
      </w:r>
    </w:p>
    <w:p w14:paraId="5C9128D0" w14:textId="77777777" w:rsidR="008C5CFA" w:rsidRPr="00785D8B" w:rsidRDefault="00E82A60" w:rsidP="00300A01">
      <w:pPr>
        <w:pStyle w:val="Nagwek3"/>
        <w:spacing w:before="0" w:after="0"/>
      </w:pPr>
      <w:r>
        <w:br w:type="page"/>
      </w:r>
      <w:bookmarkStart w:id="119" w:name="_Toc46391802"/>
      <w:r w:rsidRPr="00797952">
        <w:rPr>
          <w:rStyle w:val="Nagwek4Znak"/>
          <w:noProof/>
        </w:rPr>
        <w:lastRenderedPageBreak/>
        <w:t>EUSBSR</w:t>
      </w:r>
      <w:bookmarkEnd w:id="119"/>
    </w:p>
    <w:p w14:paraId="47D7A54E" w14:textId="77777777" w:rsidR="008C5CFA" w:rsidRDefault="008C5CFA" w:rsidP="00300A01">
      <w:pPr>
        <w:spacing w:before="0" w:after="0"/>
        <w:rPr>
          <w:b/>
        </w:rPr>
      </w:pPr>
    </w:p>
    <w:p w14:paraId="36ED70D6" w14:textId="77777777" w:rsidR="008C5CFA" w:rsidRPr="00D0301C" w:rsidRDefault="00E82A60" w:rsidP="00300A01">
      <w:pPr>
        <w:spacing w:before="0" w:after="0"/>
      </w:pPr>
      <w:r w:rsidRPr="00D0301C">
        <w:rPr>
          <w:noProof/>
        </w:rPr>
        <w:t>Cel(e), obszar(y) polityki i działanie(-a) horyzontalne, dla których program ma znaczenie:</w:t>
      </w:r>
    </w:p>
    <w:p w14:paraId="4E0E90DE" w14:textId="77777777" w:rsidR="008C5CFA" w:rsidRDefault="008C5CFA" w:rsidP="00300A01">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1"/>
        <w:gridCol w:w="14149"/>
      </w:tblGrid>
      <w:tr w:rsidR="006B2EC1" w14:paraId="2630E084" w14:textId="77777777" w:rsidTr="0047688D">
        <w:tc>
          <w:tcPr>
            <w:tcW w:w="0" w:type="auto"/>
            <w:shd w:val="clear" w:color="auto" w:fill="auto"/>
          </w:tcPr>
          <w:p w14:paraId="1FD8674C" w14:textId="77777777" w:rsidR="008C5CFA" w:rsidRDefault="008C5CFA" w:rsidP="00300A01">
            <w:pPr>
              <w:spacing w:before="0" w:after="0"/>
              <w:jc w:val="center"/>
            </w:pPr>
          </w:p>
        </w:tc>
        <w:tc>
          <w:tcPr>
            <w:tcW w:w="0" w:type="auto"/>
            <w:shd w:val="clear" w:color="auto" w:fill="auto"/>
          </w:tcPr>
          <w:p w14:paraId="4BFF8F7F" w14:textId="77777777" w:rsidR="008C5CFA" w:rsidRDefault="00E82A60" w:rsidP="00300A01">
            <w:pPr>
              <w:spacing w:before="0" w:after="0"/>
            </w:pPr>
            <w:r w:rsidRPr="009D7F18">
              <w:rPr>
                <w:b/>
                <w:noProof/>
              </w:rPr>
              <w:t>Cele</w:t>
            </w:r>
          </w:p>
        </w:tc>
      </w:tr>
      <w:tr w:rsidR="006B2EC1" w14:paraId="797AF3B5" w14:textId="77777777" w:rsidTr="0047688D">
        <w:tc>
          <w:tcPr>
            <w:tcW w:w="0" w:type="auto"/>
            <w:shd w:val="clear" w:color="auto" w:fill="auto"/>
          </w:tcPr>
          <w:p w14:paraId="3C21F894" w14:textId="77777777" w:rsidR="008C5CFA" w:rsidRDefault="00E82A60" w:rsidP="00300A01">
            <w:pPr>
              <w:spacing w:before="0" w:after="0"/>
              <w:jc w:val="center"/>
            </w:pPr>
            <w:r>
              <w:rPr>
                <w:rFonts w:ascii="Wingdings" w:hAnsi="Wingdings" w:cs="Wingdings"/>
                <w:sz w:val="26"/>
                <w:szCs w:val="26"/>
                <w:lang w:val="en-US"/>
              </w:rPr>
              <w:sym w:font="Wingdings" w:char="F0FE"/>
            </w:r>
          </w:p>
        </w:tc>
        <w:tc>
          <w:tcPr>
            <w:tcW w:w="0" w:type="auto"/>
            <w:shd w:val="clear" w:color="auto" w:fill="auto"/>
          </w:tcPr>
          <w:p w14:paraId="7E4A0A52" w14:textId="77777777" w:rsidR="008C5CFA" w:rsidRDefault="00E82A60" w:rsidP="00300A01">
            <w:pPr>
              <w:spacing w:before="0" w:after="0"/>
            </w:pPr>
            <w:r>
              <w:rPr>
                <w:noProof/>
              </w:rPr>
              <w:t>1 - Ocalenie morza</w:t>
            </w:r>
          </w:p>
        </w:tc>
      </w:tr>
      <w:tr w:rsidR="006B2EC1" w14:paraId="5890402C" w14:textId="77777777" w:rsidTr="0047688D">
        <w:tc>
          <w:tcPr>
            <w:tcW w:w="0" w:type="auto"/>
            <w:shd w:val="clear" w:color="auto" w:fill="auto"/>
          </w:tcPr>
          <w:p w14:paraId="7CE453C5" w14:textId="77777777" w:rsidR="008C5CFA" w:rsidRDefault="00E82A60" w:rsidP="00300A01">
            <w:pPr>
              <w:spacing w:before="0" w:after="0"/>
              <w:jc w:val="center"/>
            </w:pPr>
            <w:r>
              <w:rPr>
                <w:rFonts w:ascii="Wingdings" w:hAnsi="Wingdings" w:cs="Wingdings"/>
                <w:sz w:val="26"/>
                <w:szCs w:val="26"/>
                <w:lang w:val="en-US"/>
              </w:rPr>
              <w:sym w:font="Wingdings" w:char="F0FE"/>
            </w:r>
          </w:p>
        </w:tc>
        <w:tc>
          <w:tcPr>
            <w:tcW w:w="0" w:type="auto"/>
            <w:shd w:val="clear" w:color="auto" w:fill="auto"/>
          </w:tcPr>
          <w:p w14:paraId="5E6EB7DB" w14:textId="77777777" w:rsidR="008C5CFA" w:rsidRDefault="00E82A60" w:rsidP="00300A01">
            <w:pPr>
              <w:spacing w:before="0" w:after="0"/>
            </w:pPr>
            <w:r>
              <w:rPr>
                <w:noProof/>
              </w:rPr>
              <w:t>2 - Rozwój połączeń w regionie</w:t>
            </w:r>
          </w:p>
        </w:tc>
      </w:tr>
      <w:tr w:rsidR="006B2EC1" w14:paraId="0B9B7159" w14:textId="77777777" w:rsidTr="0047688D">
        <w:tc>
          <w:tcPr>
            <w:tcW w:w="0" w:type="auto"/>
            <w:shd w:val="clear" w:color="auto" w:fill="auto"/>
          </w:tcPr>
          <w:p w14:paraId="30FABC3D" w14:textId="77777777" w:rsidR="008C5CFA" w:rsidRDefault="00E82A60" w:rsidP="00300A01">
            <w:pPr>
              <w:spacing w:before="0" w:after="0"/>
              <w:jc w:val="center"/>
            </w:pPr>
            <w:r>
              <w:rPr>
                <w:rFonts w:ascii="Wingdings" w:hAnsi="Wingdings" w:cs="Wingdings"/>
                <w:sz w:val="26"/>
                <w:szCs w:val="26"/>
                <w:lang w:val="en-US"/>
              </w:rPr>
              <w:sym w:font="Wingdings" w:char="F0FE"/>
            </w:r>
          </w:p>
        </w:tc>
        <w:tc>
          <w:tcPr>
            <w:tcW w:w="0" w:type="auto"/>
            <w:shd w:val="clear" w:color="auto" w:fill="auto"/>
          </w:tcPr>
          <w:p w14:paraId="1E144B5A" w14:textId="77777777" w:rsidR="008C5CFA" w:rsidRDefault="00E82A60" w:rsidP="00300A01">
            <w:pPr>
              <w:spacing w:before="0" w:after="0"/>
            </w:pPr>
            <w:r>
              <w:rPr>
                <w:noProof/>
              </w:rPr>
              <w:t>3 - Zwiększenie dobrobytu</w:t>
            </w:r>
          </w:p>
        </w:tc>
      </w:tr>
      <w:tr w:rsidR="006B2EC1" w14:paraId="0FF9DD58" w14:textId="77777777" w:rsidTr="0047688D">
        <w:tc>
          <w:tcPr>
            <w:tcW w:w="0" w:type="auto"/>
            <w:shd w:val="clear" w:color="auto" w:fill="auto"/>
          </w:tcPr>
          <w:p w14:paraId="655818E7" w14:textId="77777777" w:rsidR="008C5CFA" w:rsidRDefault="008C5CFA" w:rsidP="00300A01">
            <w:pPr>
              <w:spacing w:before="0" w:after="0"/>
              <w:jc w:val="center"/>
            </w:pPr>
          </w:p>
        </w:tc>
        <w:tc>
          <w:tcPr>
            <w:tcW w:w="0" w:type="auto"/>
            <w:shd w:val="clear" w:color="auto" w:fill="auto"/>
          </w:tcPr>
          <w:p w14:paraId="7FC0513F" w14:textId="77777777" w:rsidR="008C5CFA" w:rsidRDefault="00E82A60" w:rsidP="00300A01">
            <w:pPr>
              <w:spacing w:before="0" w:after="0"/>
            </w:pPr>
            <w:r w:rsidRPr="009D7F18">
              <w:rPr>
                <w:b/>
                <w:noProof/>
              </w:rPr>
              <w:t>Obszary polityki</w:t>
            </w:r>
          </w:p>
        </w:tc>
      </w:tr>
      <w:tr w:rsidR="006B2EC1" w14:paraId="49D0D1E9" w14:textId="77777777" w:rsidTr="0047688D">
        <w:tc>
          <w:tcPr>
            <w:tcW w:w="0" w:type="auto"/>
            <w:shd w:val="clear" w:color="auto" w:fill="auto"/>
          </w:tcPr>
          <w:p w14:paraId="7FAD2B64" w14:textId="77777777" w:rsidR="008C5CFA" w:rsidRDefault="00E82A60" w:rsidP="00300A01">
            <w:pPr>
              <w:spacing w:before="0" w:after="0"/>
              <w:jc w:val="center"/>
            </w:pPr>
            <w:r>
              <w:rPr>
                <w:rFonts w:ascii="Wingdings" w:hAnsi="Wingdings" w:cs="Wingdings"/>
                <w:sz w:val="26"/>
                <w:szCs w:val="26"/>
                <w:lang w:val="en-US"/>
              </w:rPr>
              <w:sym w:font="Wingdings" w:char="F0A8"/>
            </w:r>
          </w:p>
        </w:tc>
        <w:tc>
          <w:tcPr>
            <w:tcW w:w="0" w:type="auto"/>
            <w:shd w:val="clear" w:color="auto" w:fill="auto"/>
          </w:tcPr>
          <w:p w14:paraId="3166A4E6" w14:textId="77777777" w:rsidR="008C5CFA" w:rsidRDefault="00E82A60" w:rsidP="00300A01">
            <w:pPr>
              <w:spacing w:before="0" w:after="0"/>
            </w:pPr>
            <w:r>
              <w:rPr>
                <w:noProof/>
              </w:rPr>
              <w:t>4.1 - Biogospodarka</w:t>
            </w:r>
          </w:p>
        </w:tc>
      </w:tr>
      <w:tr w:rsidR="006B2EC1" w14:paraId="6F3629ED" w14:textId="77777777" w:rsidTr="0047688D">
        <w:tc>
          <w:tcPr>
            <w:tcW w:w="0" w:type="auto"/>
            <w:shd w:val="clear" w:color="auto" w:fill="auto"/>
          </w:tcPr>
          <w:p w14:paraId="6B11C6FC" w14:textId="77777777" w:rsidR="008C5CFA" w:rsidRDefault="00E82A60" w:rsidP="00300A01">
            <w:pPr>
              <w:spacing w:before="0" w:after="0"/>
              <w:jc w:val="center"/>
            </w:pPr>
            <w:r>
              <w:rPr>
                <w:rFonts w:ascii="Wingdings" w:hAnsi="Wingdings" w:cs="Wingdings"/>
                <w:sz w:val="26"/>
                <w:szCs w:val="26"/>
                <w:lang w:val="en-US"/>
              </w:rPr>
              <w:sym w:font="Wingdings" w:char="F0FE"/>
            </w:r>
          </w:p>
        </w:tc>
        <w:tc>
          <w:tcPr>
            <w:tcW w:w="0" w:type="auto"/>
            <w:shd w:val="clear" w:color="auto" w:fill="auto"/>
          </w:tcPr>
          <w:p w14:paraId="240BAE9B" w14:textId="77777777" w:rsidR="008C5CFA" w:rsidRDefault="00E82A60" w:rsidP="00300A01">
            <w:pPr>
              <w:spacing w:before="0" w:after="0"/>
            </w:pPr>
            <w:r>
              <w:rPr>
                <w:noProof/>
              </w:rPr>
              <w:t>4.2 - Kultura</w:t>
            </w:r>
          </w:p>
        </w:tc>
      </w:tr>
      <w:tr w:rsidR="006B2EC1" w14:paraId="474DA727" w14:textId="77777777" w:rsidTr="0047688D">
        <w:tc>
          <w:tcPr>
            <w:tcW w:w="0" w:type="auto"/>
            <w:shd w:val="clear" w:color="auto" w:fill="auto"/>
          </w:tcPr>
          <w:p w14:paraId="0BF35D17" w14:textId="77777777" w:rsidR="008C5CFA" w:rsidRDefault="00E82A60" w:rsidP="00300A01">
            <w:pPr>
              <w:spacing w:before="0" w:after="0"/>
              <w:jc w:val="center"/>
            </w:pPr>
            <w:r>
              <w:rPr>
                <w:rFonts w:ascii="Wingdings" w:hAnsi="Wingdings" w:cs="Wingdings"/>
                <w:sz w:val="26"/>
                <w:szCs w:val="26"/>
                <w:lang w:val="en-US"/>
              </w:rPr>
              <w:sym w:font="Wingdings" w:char="F0FE"/>
            </w:r>
          </w:p>
        </w:tc>
        <w:tc>
          <w:tcPr>
            <w:tcW w:w="0" w:type="auto"/>
            <w:shd w:val="clear" w:color="auto" w:fill="auto"/>
          </w:tcPr>
          <w:p w14:paraId="1246F5BA" w14:textId="77777777" w:rsidR="008C5CFA" w:rsidRDefault="00E82A60" w:rsidP="00300A01">
            <w:pPr>
              <w:spacing w:before="0" w:after="0"/>
            </w:pPr>
            <w:r>
              <w:rPr>
                <w:noProof/>
              </w:rPr>
              <w:t>4.3 - Edukacja</w:t>
            </w:r>
          </w:p>
        </w:tc>
      </w:tr>
      <w:tr w:rsidR="006B2EC1" w14:paraId="3542638A" w14:textId="77777777" w:rsidTr="0047688D">
        <w:tc>
          <w:tcPr>
            <w:tcW w:w="0" w:type="auto"/>
            <w:shd w:val="clear" w:color="auto" w:fill="auto"/>
          </w:tcPr>
          <w:p w14:paraId="0912610F" w14:textId="77777777" w:rsidR="008C5CFA" w:rsidRDefault="00E82A60" w:rsidP="00300A01">
            <w:pPr>
              <w:spacing w:before="0" w:after="0"/>
              <w:jc w:val="center"/>
            </w:pPr>
            <w:r>
              <w:rPr>
                <w:rFonts w:ascii="Wingdings" w:hAnsi="Wingdings" w:cs="Wingdings"/>
                <w:sz w:val="26"/>
                <w:szCs w:val="26"/>
                <w:lang w:val="en-US"/>
              </w:rPr>
              <w:sym w:font="Wingdings" w:char="F0FE"/>
            </w:r>
          </w:p>
        </w:tc>
        <w:tc>
          <w:tcPr>
            <w:tcW w:w="0" w:type="auto"/>
            <w:shd w:val="clear" w:color="auto" w:fill="auto"/>
          </w:tcPr>
          <w:p w14:paraId="2122206B" w14:textId="77777777" w:rsidR="008C5CFA" w:rsidRDefault="00E82A60" w:rsidP="00300A01">
            <w:pPr>
              <w:spacing w:before="0" w:after="0"/>
            </w:pPr>
            <w:r>
              <w:rPr>
                <w:noProof/>
              </w:rPr>
              <w:t>4.4 - Energia</w:t>
            </w:r>
          </w:p>
        </w:tc>
      </w:tr>
      <w:tr w:rsidR="006B2EC1" w14:paraId="3E97A4CE" w14:textId="77777777" w:rsidTr="0047688D">
        <w:tc>
          <w:tcPr>
            <w:tcW w:w="0" w:type="auto"/>
            <w:shd w:val="clear" w:color="auto" w:fill="auto"/>
          </w:tcPr>
          <w:p w14:paraId="4EF18797" w14:textId="77777777" w:rsidR="008C5CFA" w:rsidRDefault="00E82A60" w:rsidP="00300A01">
            <w:pPr>
              <w:spacing w:before="0" w:after="0"/>
              <w:jc w:val="center"/>
            </w:pPr>
            <w:r>
              <w:rPr>
                <w:rFonts w:ascii="Wingdings" w:hAnsi="Wingdings" w:cs="Wingdings"/>
                <w:sz w:val="26"/>
                <w:szCs w:val="26"/>
                <w:lang w:val="en-US"/>
              </w:rPr>
              <w:sym w:font="Wingdings" w:char="F0A8"/>
            </w:r>
          </w:p>
        </w:tc>
        <w:tc>
          <w:tcPr>
            <w:tcW w:w="0" w:type="auto"/>
            <w:shd w:val="clear" w:color="auto" w:fill="auto"/>
          </w:tcPr>
          <w:p w14:paraId="22EB7942" w14:textId="77777777" w:rsidR="008C5CFA" w:rsidRDefault="00E82A60" w:rsidP="00300A01">
            <w:pPr>
              <w:spacing w:before="0" w:after="0"/>
            </w:pPr>
            <w:r>
              <w:rPr>
                <w:noProof/>
              </w:rPr>
              <w:t>4.5 - Substancje niebezpieczne</w:t>
            </w:r>
          </w:p>
        </w:tc>
      </w:tr>
      <w:tr w:rsidR="006B2EC1" w14:paraId="585B6BC4" w14:textId="77777777" w:rsidTr="0047688D">
        <w:tc>
          <w:tcPr>
            <w:tcW w:w="0" w:type="auto"/>
            <w:shd w:val="clear" w:color="auto" w:fill="auto"/>
          </w:tcPr>
          <w:p w14:paraId="5A9A45C8" w14:textId="77777777" w:rsidR="008C5CFA" w:rsidRDefault="00E82A60" w:rsidP="00300A01">
            <w:pPr>
              <w:spacing w:before="0" w:after="0"/>
              <w:jc w:val="center"/>
            </w:pPr>
            <w:r>
              <w:rPr>
                <w:rFonts w:ascii="Wingdings" w:hAnsi="Wingdings" w:cs="Wingdings"/>
                <w:sz w:val="26"/>
                <w:szCs w:val="26"/>
                <w:lang w:val="en-US"/>
              </w:rPr>
              <w:sym w:font="Wingdings" w:char="F0FE"/>
            </w:r>
          </w:p>
        </w:tc>
        <w:tc>
          <w:tcPr>
            <w:tcW w:w="0" w:type="auto"/>
            <w:shd w:val="clear" w:color="auto" w:fill="auto"/>
          </w:tcPr>
          <w:p w14:paraId="6B73E66A" w14:textId="77777777" w:rsidR="008C5CFA" w:rsidRDefault="00E82A60" w:rsidP="00300A01">
            <w:pPr>
              <w:spacing w:before="0" w:after="0"/>
            </w:pPr>
            <w:r>
              <w:rPr>
                <w:noProof/>
              </w:rPr>
              <w:t>4.6 - Zdrowie</w:t>
            </w:r>
          </w:p>
        </w:tc>
      </w:tr>
      <w:tr w:rsidR="006B2EC1" w14:paraId="02A05BAB" w14:textId="77777777" w:rsidTr="0047688D">
        <w:tc>
          <w:tcPr>
            <w:tcW w:w="0" w:type="auto"/>
            <w:shd w:val="clear" w:color="auto" w:fill="auto"/>
          </w:tcPr>
          <w:p w14:paraId="46421066" w14:textId="77777777" w:rsidR="008C5CFA" w:rsidRDefault="00E82A60" w:rsidP="00300A01">
            <w:pPr>
              <w:spacing w:before="0" w:after="0"/>
              <w:jc w:val="center"/>
            </w:pPr>
            <w:r>
              <w:rPr>
                <w:rFonts w:ascii="Wingdings" w:hAnsi="Wingdings" w:cs="Wingdings"/>
                <w:sz w:val="26"/>
                <w:szCs w:val="26"/>
                <w:lang w:val="en-US"/>
              </w:rPr>
              <w:sym w:font="Wingdings" w:char="F0FE"/>
            </w:r>
          </w:p>
        </w:tc>
        <w:tc>
          <w:tcPr>
            <w:tcW w:w="0" w:type="auto"/>
            <w:shd w:val="clear" w:color="auto" w:fill="auto"/>
          </w:tcPr>
          <w:p w14:paraId="6F7BFCDB" w14:textId="77777777" w:rsidR="008C5CFA" w:rsidRDefault="00E82A60" w:rsidP="00300A01">
            <w:pPr>
              <w:spacing w:before="0" w:after="0"/>
            </w:pPr>
            <w:r>
              <w:rPr>
                <w:noProof/>
              </w:rPr>
              <w:t>4.7 - Innowacje</w:t>
            </w:r>
          </w:p>
        </w:tc>
      </w:tr>
      <w:tr w:rsidR="006B2EC1" w14:paraId="2A3623A0" w14:textId="77777777" w:rsidTr="0047688D">
        <w:tc>
          <w:tcPr>
            <w:tcW w:w="0" w:type="auto"/>
            <w:shd w:val="clear" w:color="auto" w:fill="auto"/>
          </w:tcPr>
          <w:p w14:paraId="5CE95735" w14:textId="77777777" w:rsidR="008C5CFA" w:rsidRDefault="00E82A60" w:rsidP="00300A01">
            <w:pPr>
              <w:spacing w:before="0" w:after="0"/>
              <w:jc w:val="center"/>
            </w:pPr>
            <w:r>
              <w:rPr>
                <w:rFonts w:ascii="Wingdings" w:hAnsi="Wingdings" w:cs="Wingdings"/>
                <w:sz w:val="26"/>
                <w:szCs w:val="26"/>
                <w:lang w:val="en-US"/>
              </w:rPr>
              <w:sym w:font="Wingdings" w:char="F0A8"/>
            </w:r>
          </w:p>
        </w:tc>
        <w:tc>
          <w:tcPr>
            <w:tcW w:w="0" w:type="auto"/>
            <w:shd w:val="clear" w:color="auto" w:fill="auto"/>
          </w:tcPr>
          <w:p w14:paraId="7EC36CE9" w14:textId="77777777" w:rsidR="008C5CFA" w:rsidRDefault="00E82A60" w:rsidP="00300A01">
            <w:pPr>
              <w:spacing w:before="0" w:after="0"/>
            </w:pPr>
            <w:r>
              <w:rPr>
                <w:noProof/>
              </w:rPr>
              <w:t>4.8 - Substancje biogenne</w:t>
            </w:r>
          </w:p>
        </w:tc>
      </w:tr>
      <w:tr w:rsidR="006B2EC1" w14:paraId="1A9F0D46" w14:textId="77777777" w:rsidTr="0047688D">
        <w:tc>
          <w:tcPr>
            <w:tcW w:w="0" w:type="auto"/>
            <w:shd w:val="clear" w:color="auto" w:fill="auto"/>
          </w:tcPr>
          <w:p w14:paraId="7A018A10" w14:textId="77777777" w:rsidR="008C5CFA" w:rsidRDefault="00E82A60" w:rsidP="00300A01">
            <w:pPr>
              <w:spacing w:before="0" w:after="0"/>
              <w:jc w:val="center"/>
            </w:pPr>
            <w:r>
              <w:rPr>
                <w:rFonts w:ascii="Wingdings" w:hAnsi="Wingdings" w:cs="Wingdings"/>
                <w:sz w:val="26"/>
                <w:szCs w:val="26"/>
                <w:lang w:val="en-US"/>
              </w:rPr>
              <w:sym w:font="Wingdings" w:char="F0A8"/>
            </w:r>
          </w:p>
        </w:tc>
        <w:tc>
          <w:tcPr>
            <w:tcW w:w="0" w:type="auto"/>
            <w:shd w:val="clear" w:color="auto" w:fill="auto"/>
          </w:tcPr>
          <w:p w14:paraId="281A78F5" w14:textId="77777777" w:rsidR="008C5CFA" w:rsidRDefault="00E82A60" w:rsidP="00300A01">
            <w:pPr>
              <w:spacing w:before="0" w:after="0"/>
            </w:pPr>
            <w:r>
              <w:rPr>
                <w:noProof/>
              </w:rPr>
              <w:t>4.9 - Bezpieczeństwo morskie i ochrona na morzu</w:t>
            </w:r>
          </w:p>
        </w:tc>
      </w:tr>
      <w:tr w:rsidR="006B2EC1" w14:paraId="3F867D34" w14:textId="77777777" w:rsidTr="0047688D">
        <w:tc>
          <w:tcPr>
            <w:tcW w:w="0" w:type="auto"/>
            <w:shd w:val="clear" w:color="auto" w:fill="auto"/>
          </w:tcPr>
          <w:p w14:paraId="62CCE7BB" w14:textId="77777777" w:rsidR="008C5CFA" w:rsidRDefault="00E82A60" w:rsidP="00300A01">
            <w:pPr>
              <w:spacing w:before="0" w:after="0"/>
              <w:jc w:val="center"/>
            </w:pPr>
            <w:r>
              <w:rPr>
                <w:rFonts w:ascii="Wingdings" w:hAnsi="Wingdings" w:cs="Wingdings"/>
                <w:sz w:val="26"/>
                <w:szCs w:val="26"/>
                <w:lang w:val="en-US"/>
              </w:rPr>
              <w:sym w:font="Wingdings" w:char="F0A8"/>
            </w:r>
          </w:p>
        </w:tc>
        <w:tc>
          <w:tcPr>
            <w:tcW w:w="0" w:type="auto"/>
            <w:shd w:val="clear" w:color="auto" w:fill="auto"/>
          </w:tcPr>
          <w:p w14:paraId="69E2DEB4" w14:textId="77777777" w:rsidR="008C5CFA" w:rsidRDefault="00E82A60" w:rsidP="00300A01">
            <w:pPr>
              <w:spacing w:before="0" w:after="0"/>
            </w:pPr>
            <w:r>
              <w:rPr>
                <w:noProof/>
              </w:rPr>
              <w:t>4.10 - Bezpieczeństwo</w:t>
            </w:r>
          </w:p>
        </w:tc>
      </w:tr>
      <w:tr w:rsidR="006B2EC1" w14:paraId="00F14C81" w14:textId="77777777" w:rsidTr="0047688D">
        <w:tc>
          <w:tcPr>
            <w:tcW w:w="0" w:type="auto"/>
            <w:shd w:val="clear" w:color="auto" w:fill="auto"/>
          </w:tcPr>
          <w:p w14:paraId="257DF741" w14:textId="77777777" w:rsidR="008C5CFA" w:rsidRDefault="00E82A60" w:rsidP="00300A01">
            <w:pPr>
              <w:spacing w:before="0" w:after="0"/>
              <w:jc w:val="center"/>
            </w:pPr>
            <w:r>
              <w:rPr>
                <w:rFonts w:ascii="Wingdings" w:hAnsi="Wingdings" w:cs="Wingdings"/>
                <w:sz w:val="26"/>
                <w:szCs w:val="26"/>
                <w:lang w:val="en-US"/>
              </w:rPr>
              <w:sym w:font="Wingdings" w:char="F0A8"/>
            </w:r>
          </w:p>
        </w:tc>
        <w:tc>
          <w:tcPr>
            <w:tcW w:w="0" w:type="auto"/>
            <w:shd w:val="clear" w:color="auto" w:fill="auto"/>
          </w:tcPr>
          <w:p w14:paraId="6C833767" w14:textId="77777777" w:rsidR="008C5CFA" w:rsidRDefault="00E82A60" w:rsidP="00300A01">
            <w:pPr>
              <w:spacing w:before="0" w:after="0"/>
            </w:pPr>
            <w:r>
              <w:rPr>
                <w:noProof/>
              </w:rPr>
              <w:t>4.11 - Czysta żegluga</w:t>
            </w:r>
          </w:p>
        </w:tc>
      </w:tr>
      <w:tr w:rsidR="006B2EC1" w14:paraId="0BAE0C8D" w14:textId="77777777" w:rsidTr="0047688D">
        <w:tc>
          <w:tcPr>
            <w:tcW w:w="0" w:type="auto"/>
            <w:shd w:val="clear" w:color="auto" w:fill="auto"/>
          </w:tcPr>
          <w:p w14:paraId="44109B7F" w14:textId="77777777" w:rsidR="008C5CFA" w:rsidRDefault="00E82A60" w:rsidP="00300A01">
            <w:pPr>
              <w:spacing w:before="0" w:after="0"/>
              <w:jc w:val="center"/>
            </w:pPr>
            <w:r>
              <w:rPr>
                <w:rFonts w:ascii="Wingdings" w:hAnsi="Wingdings" w:cs="Wingdings"/>
                <w:sz w:val="26"/>
                <w:szCs w:val="26"/>
                <w:lang w:val="en-US"/>
              </w:rPr>
              <w:sym w:font="Wingdings" w:char="F0FE"/>
            </w:r>
          </w:p>
        </w:tc>
        <w:tc>
          <w:tcPr>
            <w:tcW w:w="0" w:type="auto"/>
            <w:shd w:val="clear" w:color="auto" w:fill="auto"/>
          </w:tcPr>
          <w:p w14:paraId="4C2A3E8A" w14:textId="77777777" w:rsidR="008C5CFA" w:rsidRDefault="00E82A60" w:rsidP="00300A01">
            <w:pPr>
              <w:spacing w:before="0" w:after="0"/>
            </w:pPr>
            <w:r>
              <w:rPr>
                <w:noProof/>
              </w:rPr>
              <w:t>4.12 - Turystyka</w:t>
            </w:r>
          </w:p>
        </w:tc>
      </w:tr>
      <w:tr w:rsidR="006B2EC1" w14:paraId="7D0F159C" w14:textId="77777777" w:rsidTr="0047688D">
        <w:tc>
          <w:tcPr>
            <w:tcW w:w="0" w:type="auto"/>
            <w:shd w:val="clear" w:color="auto" w:fill="auto"/>
          </w:tcPr>
          <w:p w14:paraId="2F243D96" w14:textId="77777777" w:rsidR="008C5CFA" w:rsidRDefault="00E82A60" w:rsidP="00300A01">
            <w:pPr>
              <w:spacing w:before="0" w:after="0"/>
              <w:jc w:val="center"/>
            </w:pPr>
            <w:r>
              <w:rPr>
                <w:rFonts w:ascii="Wingdings" w:hAnsi="Wingdings" w:cs="Wingdings"/>
                <w:sz w:val="26"/>
                <w:szCs w:val="26"/>
                <w:lang w:val="en-US"/>
              </w:rPr>
              <w:sym w:font="Wingdings" w:char="F0FE"/>
            </w:r>
          </w:p>
        </w:tc>
        <w:tc>
          <w:tcPr>
            <w:tcW w:w="0" w:type="auto"/>
            <w:shd w:val="clear" w:color="auto" w:fill="auto"/>
          </w:tcPr>
          <w:p w14:paraId="1C5B7E75" w14:textId="77777777" w:rsidR="008C5CFA" w:rsidRDefault="00E82A60" w:rsidP="00300A01">
            <w:pPr>
              <w:spacing w:before="0" w:after="0"/>
            </w:pPr>
            <w:r>
              <w:rPr>
                <w:noProof/>
              </w:rPr>
              <w:t>4.13 - Transport</w:t>
            </w:r>
          </w:p>
        </w:tc>
      </w:tr>
      <w:tr w:rsidR="006B2EC1" w14:paraId="46FF72A1" w14:textId="77777777" w:rsidTr="0047688D">
        <w:tc>
          <w:tcPr>
            <w:tcW w:w="0" w:type="auto"/>
            <w:shd w:val="clear" w:color="auto" w:fill="auto"/>
          </w:tcPr>
          <w:p w14:paraId="46BCE9F9" w14:textId="77777777" w:rsidR="008C5CFA" w:rsidRDefault="008C5CFA" w:rsidP="00300A01">
            <w:pPr>
              <w:spacing w:before="0" w:after="0"/>
              <w:jc w:val="center"/>
            </w:pPr>
          </w:p>
        </w:tc>
        <w:tc>
          <w:tcPr>
            <w:tcW w:w="0" w:type="auto"/>
            <w:shd w:val="clear" w:color="auto" w:fill="auto"/>
          </w:tcPr>
          <w:p w14:paraId="5868C94D" w14:textId="77777777" w:rsidR="008C5CFA" w:rsidRDefault="00E82A60" w:rsidP="00300A01">
            <w:pPr>
              <w:spacing w:before="0" w:after="0"/>
            </w:pPr>
            <w:r w:rsidRPr="009D7F18">
              <w:rPr>
                <w:b/>
                <w:noProof/>
              </w:rPr>
              <w:t>Działania horyzontalne</w:t>
            </w:r>
          </w:p>
        </w:tc>
      </w:tr>
      <w:tr w:rsidR="006B2EC1" w14:paraId="1689D23A" w14:textId="77777777" w:rsidTr="0047688D">
        <w:tc>
          <w:tcPr>
            <w:tcW w:w="0" w:type="auto"/>
            <w:shd w:val="clear" w:color="auto" w:fill="auto"/>
          </w:tcPr>
          <w:p w14:paraId="50DD544B" w14:textId="77777777" w:rsidR="008C5CFA" w:rsidRDefault="00E82A60" w:rsidP="00300A01">
            <w:pPr>
              <w:spacing w:before="0" w:after="0"/>
              <w:jc w:val="center"/>
            </w:pPr>
            <w:r>
              <w:rPr>
                <w:rFonts w:ascii="Wingdings" w:hAnsi="Wingdings" w:cs="Wingdings"/>
                <w:sz w:val="26"/>
                <w:szCs w:val="26"/>
                <w:lang w:val="en-US"/>
              </w:rPr>
              <w:sym w:font="Wingdings" w:char="F0A8"/>
            </w:r>
          </w:p>
        </w:tc>
        <w:tc>
          <w:tcPr>
            <w:tcW w:w="0" w:type="auto"/>
            <w:shd w:val="clear" w:color="auto" w:fill="auto"/>
          </w:tcPr>
          <w:p w14:paraId="55F797DD" w14:textId="77777777" w:rsidR="008C5CFA" w:rsidRDefault="00E82A60" w:rsidP="00300A01">
            <w:pPr>
              <w:spacing w:before="0" w:after="0"/>
            </w:pPr>
            <w:r>
              <w:rPr>
                <w:noProof/>
              </w:rPr>
              <w:t>5.1 - Zdolności</w:t>
            </w:r>
          </w:p>
        </w:tc>
      </w:tr>
      <w:tr w:rsidR="006B2EC1" w14:paraId="4F9B98CB" w14:textId="77777777" w:rsidTr="0047688D">
        <w:tc>
          <w:tcPr>
            <w:tcW w:w="0" w:type="auto"/>
            <w:shd w:val="clear" w:color="auto" w:fill="auto"/>
          </w:tcPr>
          <w:p w14:paraId="4052C5D9" w14:textId="77777777" w:rsidR="008C5CFA" w:rsidRDefault="00E82A60" w:rsidP="00300A01">
            <w:pPr>
              <w:spacing w:before="0" w:after="0"/>
              <w:jc w:val="center"/>
            </w:pPr>
            <w:r>
              <w:rPr>
                <w:rFonts w:ascii="Wingdings" w:hAnsi="Wingdings" w:cs="Wingdings"/>
                <w:sz w:val="26"/>
                <w:szCs w:val="26"/>
                <w:lang w:val="en-US"/>
              </w:rPr>
              <w:sym w:font="Wingdings" w:char="F0FE"/>
            </w:r>
          </w:p>
        </w:tc>
        <w:tc>
          <w:tcPr>
            <w:tcW w:w="0" w:type="auto"/>
            <w:shd w:val="clear" w:color="auto" w:fill="auto"/>
          </w:tcPr>
          <w:p w14:paraId="427CFA50" w14:textId="77777777" w:rsidR="008C5CFA" w:rsidRDefault="00E82A60" w:rsidP="00300A01">
            <w:pPr>
              <w:spacing w:before="0" w:after="0"/>
            </w:pPr>
            <w:r>
              <w:rPr>
                <w:noProof/>
              </w:rPr>
              <w:t>5.2 - Klimat</w:t>
            </w:r>
          </w:p>
        </w:tc>
      </w:tr>
      <w:tr w:rsidR="006B2EC1" w14:paraId="4579A484" w14:textId="77777777" w:rsidTr="0047688D">
        <w:tc>
          <w:tcPr>
            <w:tcW w:w="0" w:type="auto"/>
            <w:shd w:val="clear" w:color="auto" w:fill="auto"/>
          </w:tcPr>
          <w:p w14:paraId="1F417366" w14:textId="77777777" w:rsidR="008C5CFA" w:rsidRDefault="00E82A60" w:rsidP="00300A01">
            <w:pPr>
              <w:spacing w:before="0" w:after="0"/>
              <w:jc w:val="center"/>
            </w:pPr>
            <w:r>
              <w:rPr>
                <w:rFonts w:ascii="Wingdings" w:hAnsi="Wingdings" w:cs="Wingdings"/>
                <w:sz w:val="26"/>
                <w:szCs w:val="26"/>
                <w:lang w:val="en-US"/>
              </w:rPr>
              <w:sym w:font="Wingdings" w:char="F0A8"/>
            </w:r>
          </w:p>
        </w:tc>
        <w:tc>
          <w:tcPr>
            <w:tcW w:w="0" w:type="auto"/>
            <w:shd w:val="clear" w:color="auto" w:fill="auto"/>
          </w:tcPr>
          <w:p w14:paraId="2CF4C6C1" w14:textId="77777777" w:rsidR="008C5CFA" w:rsidRDefault="00E82A60" w:rsidP="00300A01">
            <w:pPr>
              <w:spacing w:before="0" w:after="0"/>
            </w:pPr>
            <w:r>
              <w:rPr>
                <w:noProof/>
              </w:rPr>
              <w:t>5.3 - Sąsiedzi</w:t>
            </w:r>
          </w:p>
        </w:tc>
      </w:tr>
      <w:tr w:rsidR="006B2EC1" w14:paraId="60D7D598" w14:textId="77777777" w:rsidTr="0047688D">
        <w:tc>
          <w:tcPr>
            <w:tcW w:w="0" w:type="auto"/>
            <w:shd w:val="clear" w:color="auto" w:fill="auto"/>
          </w:tcPr>
          <w:p w14:paraId="66A943F4" w14:textId="77777777" w:rsidR="008C5CFA" w:rsidRDefault="00E82A60" w:rsidP="00300A01">
            <w:pPr>
              <w:spacing w:before="0" w:after="0"/>
              <w:jc w:val="center"/>
            </w:pPr>
            <w:r>
              <w:rPr>
                <w:rFonts w:ascii="Wingdings" w:hAnsi="Wingdings" w:cs="Wingdings"/>
                <w:sz w:val="26"/>
                <w:szCs w:val="26"/>
                <w:lang w:val="en-US"/>
              </w:rPr>
              <w:sym w:font="Wingdings" w:char="F0A8"/>
            </w:r>
          </w:p>
        </w:tc>
        <w:tc>
          <w:tcPr>
            <w:tcW w:w="0" w:type="auto"/>
            <w:shd w:val="clear" w:color="auto" w:fill="auto"/>
          </w:tcPr>
          <w:p w14:paraId="06A0C5FB" w14:textId="77777777" w:rsidR="008C5CFA" w:rsidRDefault="00E82A60" w:rsidP="00300A01">
            <w:pPr>
              <w:spacing w:before="0" w:after="0"/>
            </w:pPr>
            <w:r>
              <w:rPr>
                <w:noProof/>
              </w:rPr>
              <w:t>5.4 - Planowanie przestrzenne</w:t>
            </w:r>
          </w:p>
        </w:tc>
      </w:tr>
    </w:tbl>
    <w:p w14:paraId="532A16E3" w14:textId="77777777" w:rsidR="008C5CFA" w:rsidRPr="00D0301C" w:rsidRDefault="00E82A60" w:rsidP="00300A01">
      <w:pPr>
        <w:spacing w:before="0" w:after="0"/>
        <w:rPr>
          <w:b/>
        </w:rPr>
      </w:pPr>
      <w:r>
        <w:br w:type="page"/>
      </w:r>
      <w:r w:rsidRPr="00D0301C">
        <w:rPr>
          <w:b/>
          <w:noProof/>
        </w:rPr>
        <w:lastRenderedPageBreak/>
        <w:t>Działania lub mechanizmy wykorzystane, aby lepiej połączyć program z EUSBSR</w:t>
      </w:r>
    </w:p>
    <w:p w14:paraId="10BCE72C" w14:textId="77777777" w:rsidR="008C5CFA" w:rsidRDefault="008C5CFA" w:rsidP="00300A01">
      <w:pPr>
        <w:spacing w:before="0" w:after="0"/>
      </w:pPr>
    </w:p>
    <w:p w14:paraId="39FD3B42" w14:textId="77777777" w:rsidR="008C5CFA" w:rsidRPr="009E7DF6" w:rsidRDefault="00E82A60" w:rsidP="00300A01">
      <w:pPr>
        <w:pStyle w:val="Text1"/>
        <w:spacing w:before="0" w:after="0"/>
        <w:ind w:left="0"/>
        <w:rPr>
          <w:b/>
        </w:rPr>
      </w:pPr>
      <w:r>
        <w:rPr>
          <w:b/>
          <w:noProof/>
        </w:rPr>
        <w:t>A. Czy koordynatorzy makroregionalni (przede wszystkim koordynatorzy krajowi, koordynatorzy obszarów polityki, koordynatorzy działań horyzontalnych lub członkowie komitetu sterującego / grup koordynacyjnych) są członkami komitetu monitorującego programu?</w:t>
      </w:r>
    </w:p>
    <w:p w14:paraId="42D71643" w14:textId="77777777" w:rsidR="008C5CFA" w:rsidRDefault="008C5CFA" w:rsidP="00300A01">
      <w:pPr>
        <w:pStyle w:val="Text1"/>
        <w:spacing w:before="0" w:after="0"/>
        <w:ind w:left="0"/>
      </w:pPr>
    </w:p>
    <w:p w14:paraId="507DE686" w14:textId="77777777" w:rsidR="008C5CFA" w:rsidRDefault="00E82A60" w:rsidP="00300A01">
      <w:pPr>
        <w:spacing w:before="0" w:after="0"/>
      </w:pPr>
      <w:r>
        <w:rPr>
          <w:noProof/>
        </w:rPr>
        <w:t>Tak</w:t>
      </w:r>
      <w:r>
        <w:t xml:space="preserve">  </w:t>
      </w:r>
      <w:r>
        <w:rPr>
          <w:rFonts w:ascii="Wingdings" w:hAnsi="Wingdings" w:cs="Wingdings"/>
          <w:sz w:val="26"/>
          <w:szCs w:val="26"/>
          <w:lang w:val="en-US"/>
        </w:rPr>
        <w:sym w:font="Wingdings" w:char="F0A8"/>
      </w:r>
      <w:r>
        <w:t xml:space="preserve">    </w:t>
      </w:r>
      <w:r>
        <w:rPr>
          <w:noProof/>
        </w:rPr>
        <w:t>Nie</w:t>
      </w:r>
      <w:r>
        <w:t xml:space="preserve">  </w:t>
      </w:r>
      <w:r>
        <w:rPr>
          <w:rFonts w:ascii="Wingdings" w:hAnsi="Wingdings" w:cs="Wingdings"/>
          <w:sz w:val="26"/>
          <w:szCs w:val="26"/>
          <w:lang w:val="en-US"/>
        </w:rPr>
        <w:sym w:font="Wingdings" w:char="F0FE"/>
      </w:r>
    </w:p>
    <w:p w14:paraId="090188E3" w14:textId="77777777" w:rsidR="008C5CFA" w:rsidRDefault="008C5CFA" w:rsidP="00300A01">
      <w:pPr>
        <w:spacing w:before="0" w:after="0"/>
      </w:pPr>
    </w:p>
    <w:p w14:paraId="1AED16A7" w14:textId="77777777" w:rsidR="008C5CFA" w:rsidRDefault="00E82A60" w:rsidP="00300A01">
      <w:pPr>
        <w:spacing w:before="0" w:after="0"/>
        <w:rPr>
          <w:b/>
        </w:rPr>
      </w:pPr>
      <w:r w:rsidRPr="00AB51B2">
        <w:rPr>
          <w:b/>
          <w:noProof/>
        </w:rPr>
        <w:t>B. Czy w kryteriach wyboru przyznano dodatkowe punkty za szczególe środki wspierające EUSBSR?</w:t>
      </w:r>
    </w:p>
    <w:p w14:paraId="148AC243" w14:textId="77777777" w:rsidR="008C5CFA" w:rsidRDefault="008C5CFA" w:rsidP="00300A01">
      <w:pPr>
        <w:spacing w:before="0" w:after="0"/>
        <w:rPr>
          <w:b/>
        </w:rPr>
      </w:pPr>
    </w:p>
    <w:p w14:paraId="2A4B43A8" w14:textId="77777777" w:rsidR="008C5CFA" w:rsidRDefault="00E82A60" w:rsidP="00300A01">
      <w:pPr>
        <w:spacing w:before="0" w:after="0"/>
      </w:pPr>
      <w:r>
        <w:rPr>
          <w:noProof/>
        </w:rPr>
        <w:t>Tak</w:t>
      </w:r>
      <w:r>
        <w:t xml:space="preserve">  </w:t>
      </w:r>
      <w:r>
        <w:rPr>
          <w:rFonts w:ascii="Wingdings" w:hAnsi="Wingdings" w:cs="Wingdings"/>
          <w:sz w:val="26"/>
          <w:szCs w:val="26"/>
          <w:lang w:val="en-US"/>
        </w:rPr>
        <w:sym w:font="Wingdings" w:char="F0A8"/>
      </w:r>
      <w:r>
        <w:t xml:space="preserve">   </w:t>
      </w:r>
      <w:r>
        <w:rPr>
          <w:noProof/>
        </w:rPr>
        <w:t>Nie</w:t>
      </w:r>
      <w:r>
        <w:t xml:space="preserve">  </w:t>
      </w:r>
      <w:r>
        <w:rPr>
          <w:rFonts w:ascii="Wingdings" w:hAnsi="Wingdings" w:cs="Wingdings"/>
          <w:sz w:val="26"/>
          <w:szCs w:val="26"/>
          <w:lang w:val="en-US"/>
        </w:rPr>
        <w:sym w:font="Wingdings" w:char="F0FE"/>
      </w:r>
    </w:p>
    <w:p w14:paraId="246F4A2B" w14:textId="77777777" w:rsidR="008C5CFA" w:rsidRDefault="008C5CFA" w:rsidP="00300A01">
      <w:pPr>
        <w:spacing w:before="0" w:after="0"/>
      </w:pPr>
    </w:p>
    <w:p w14:paraId="5C7D07B2" w14:textId="77777777" w:rsidR="008C5CFA" w:rsidRDefault="00E82A60" w:rsidP="00300A01">
      <w:pPr>
        <w:spacing w:before="0" w:after="0"/>
        <w:rPr>
          <w:b/>
        </w:rPr>
      </w:pPr>
      <w:r w:rsidRPr="00ED0DE3">
        <w:rPr>
          <w:b/>
          <w:noProof/>
        </w:rPr>
        <w:t>C. Czy w ramach programu zainwestowano środki UE w EUSBSR?</w:t>
      </w:r>
    </w:p>
    <w:p w14:paraId="439D1AB8" w14:textId="77777777" w:rsidR="008C5CFA" w:rsidRDefault="008C5CFA" w:rsidP="00300A01">
      <w:pPr>
        <w:spacing w:before="0" w:after="0"/>
      </w:pPr>
    </w:p>
    <w:p w14:paraId="7D16E3A0" w14:textId="77777777" w:rsidR="008C5CFA" w:rsidRDefault="00E82A60" w:rsidP="00300A01">
      <w:pPr>
        <w:spacing w:before="0" w:after="0"/>
      </w:pPr>
      <w:r>
        <w:rPr>
          <w:noProof/>
        </w:rPr>
        <w:t>Tak</w:t>
      </w:r>
      <w:r>
        <w:t xml:space="preserve">  </w:t>
      </w:r>
      <w:r>
        <w:rPr>
          <w:rFonts w:ascii="Wingdings" w:hAnsi="Wingdings" w:cs="Wingdings"/>
          <w:sz w:val="26"/>
          <w:szCs w:val="26"/>
          <w:lang w:val="en-US"/>
        </w:rPr>
        <w:sym w:font="Wingdings" w:char="F0FE"/>
      </w:r>
      <w:r>
        <w:t xml:space="preserve">   </w:t>
      </w:r>
      <w:r>
        <w:rPr>
          <w:noProof/>
        </w:rPr>
        <w:t>Nie</w:t>
      </w:r>
      <w:r>
        <w:t xml:space="preserve">  </w:t>
      </w:r>
      <w:r>
        <w:rPr>
          <w:rFonts w:ascii="Wingdings" w:hAnsi="Wingdings" w:cs="Wingdings"/>
          <w:sz w:val="26"/>
          <w:szCs w:val="26"/>
          <w:lang w:val="en-US"/>
        </w:rPr>
        <w:sym w:font="Wingdings" w:char="F0A8"/>
      </w:r>
    </w:p>
    <w:p w14:paraId="722768B5" w14:textId="77777777" w:rsidR="008C5CFA" w:rsidRDefault="008C5CFA" w:rsidP="00300A01">
      <w:pPr>
        <w:spacing w:before="0" w:after="0"/>
      </w:pPr>
    </w:p>
    <w:p w14:paraId="6CE8E40F" w14:textId="77777777" w:rsidR="008C5CFA" w:rsidRDefault="00E82A60" w:rsidP="00300A01">
      <w:pPr>
        <w:keepNext/>
        <w:spacing w:before="0" w:after="0"/>
        <w:rPr>
          <w:b/>
        </w:rPr>
      </w:pPr>
      <w:r>
        <w:rPr>
          <w:b/>
          <w:noProof/>
        </w:rPr>
        <w:t>przybliżona lub dokładna kwota w euro zainwestowana w EUSBSR: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11"/>
        <w:gridCol w:w="6299"/>
      </w:tblGrid>
      <w:tr w:rsidR="006B2EC1" w14:paraId="59A92A9A" w14:textId="77777777" w:rsidTr="0047688D">
        <w:tc>
          <w:tcPr>
            <w:tcW w:w="0" w:type="auto"/>
            <w:shd w:val="clear" w:color="auto" w:fill="auto"/>
          </w:tcPr>
          <w:p w14:paraId="3D81FA7A" w14:textId="77777777" w:rsidR="008C5CFA" w:rsidRDefault="00E82A60" w:rsidP="00300A01">
            <w:pPr>
              <w:spacing w:before="0" w:after="0"/>
              <w:jc w:val="right"/>
            </w:pPr>
            <w:r>
              <w:rPr>
                <w:noProof/>
              </w:rPr>
              <w:t>EFRR</w:t>
            </w:r>
          </w:p>
        </w:tc>
        <w:tc>
          <w:tcPr>
            <w:tcW w:w="0" w:type="auto"/>
            <w:shd w:val="clear" w:color="auto" w:fill="auto"/>
          </w:tcPr>
          <w:p w14:paraId="3E72EADE" w14:textId="77777777" w:rsidR="008C5CFA" w:rsidRDefault="00E82A60" w:rsidP="00300A01">
            <w:pPr>
              <w:spacing w:before="0" w:after="0"/>
              <w:jc w:val="right"/>
            </w:pPr>
            <w:r>
              <w:rPr>
                <w:noProof/>
              </w:rPr>
              <w:t>715 370 699,68</w:t>
            </w:r>
          </w:p>
        </w:tc>
      </w:tr>
      <w:tr w:rsidR="006B2EC1" w14:paraId="1821D16B" w14:textId="77777777" w:rsidTr="0047688D">
        <w:tc>
          <w:tcPr>
            <w:tcW w:w="0" w:type="auto"/>
            <w:shd w:val="clear" w:color="auto" w:fill="auto"/>
          </w:tcPr>
          <w:p w14:paraId="49D43B9F" w14:textId="77777777" w:rsidR="008C5CFA" w:rsidRDefault="00E82A60" w:rsidP="00300A01">
            <w:pPr>
              <w:spacing w:before="0" w:after="0"/>
              <w:jc w:val="right"/>
            </w:pPr>
            <w:r>
              <w:rPr>
                <w:noProof/>
              </w:rPr>
              <w:t>FS</w:t>
            </w:r>
          </w:p>
        </w:tc>
        <w:tc>
          <w:tcPr>
            <w:tcW w:w="0" w:type="auto"/>
            <w:shd w:val="clear" w:color="auto" w:fill="auto"/>
          </w:tcPr>
          <w:p w14:paraId="6E002F41" w14:textId="77777777" w:rsidR="008C5CFA" w:rsidRDefault="008C5CFA" w:rsidP="00300A01">
            <w:pPr>
              <w:spacing w:before="0" w:after="0"/>
              <w:jc w:val="right"/>
            </w:pPr>
          </w:p>
        </w:tc>
      </w:tr>
      <w:tr w:rsidR="006B2EC1" w14:paraId="2AE58332" w14:textId="77777777" w:rsidTr="0047688D">
        <w:tc>
          <w:tcPr>
            <w:tcW w:w="0" w:type="auto"/>
            <w:shd w:val="clear" w:color="auto" w:fill="auto"/>
          </w:tcPr>
          <w:p w14:paraId="646BB2A3" w14:textId="77777777" w:rsidR="008C5CFA" w:rsidRDefault="00E82A60" w:rsidP="00300A01">
            <w:pPr>
              <w:spacing w:before="0" w:after="0"/>
              <w:jc w:val="right"/>
            </w:pPr>
            <w:r>
              <w:rPr>
                <w:noProof/>
              </w:rPr>
              <w:t>EFS</w:t>
            </w:r>
          </w:p>
        </w:tc>
        <w:tc>
          <w:tcPr>
            <w:tcW w:w="0" w:type="auto"/>
            <w:shd w:val="clear" w:color="auto" w:fill="auto"/>
          </w:tcPr>
          <w:p w14:paraId="12B0FCF8" w14:textId="77777777" w:rsidR="008C5CFA" w:rsidRDefault="00E82A60" w:rsidP="00300A01">
            <w:pPr>
              <w:spacing w:before="0" w:after="0"/>
              <w:jc w:val="right"/>
            </w:pPr>
            <w:r>
              <w:rPr>
                <w:noProof/>
              </w:rPr>
              <w:t>238 687 142,17</w:t>
            </w:r>
          </w:p>
        </w:tc>
      </w:tr>
      <w:tr w:rsidR="006B2EC1" w14:paraId="2A6B80CD" w14:textId="77777777" w:rsidTr="0047688D">
        <w:tc>
          <w:tcPr>
            <w:tcW w:w="0" w:type="auto"/>
            <w:shd w:val="clear" w:color="auto" w:fill="auto"/>
          </w:tcPr>
          <w:p w14:paraId="41E6EB7B" w14:textId="77777777" w:rsidR="008C5CFA" w:rsidRDefault="00E82A60" w:rsidP="00300A01">
            <w:pPr>
              <w:spacing w:before="0" w:after="0"/>
              <w:jc w:val="right"/>
            </w:pPr>
            <w:r>
              <w:rPr>
                <w:noProof/>
              </w:rPr>
              <w:t>EFRROW</w:t>
            </w:r>
          </w:p>
        </w:tc>
        <w:tc>
          <w:tcPr>
            <w:tcW w:w="0" w:type="auto"/>
            <w:shd w:val="clear" w:color="auto" w:fill="auto"/>
          </w:tcPr>
          <w:p w14:paraId="52E4B11D" w14:textId="77777777" w:rsidR="008C5CFA" w:rsidRDefault="008C5CFA" w:rsidP="00300A01">
            <w:pPr>
              <w:spacing w:before="0" w:after="0"/>
              <w:jc w:val="right"/>
            </w:pPr>
          </w:p>
        </w:tc>
      </w:tr>
      <w:tr w:rsidR="006B2EC1" w14:paraId="6093AC53" w14:textId="77777777" w:rsidTr="0047688D">
        <w:tc>
          <w:tcPr>
            <w:tcW w:w="0" w:type="auto"/>
            <w:shd w:val="clear" w:color="auto" w:fill="auto"/>
          </w:tcPr>
          <w:p w14:paraId="7938F516" w14:textId="77777777" w:rsidR="008C5CFA" w:rsidRDefault="00E82A60" w:rsidP="00300A01">
            <w:pPr>
              <w:spacing w:before="0" w:after="0"/>
              <w:jc w:val="right"/>
            </w:pPr>
            <w:r>
              <w:rPr>
                <w:noProof/>
              </w:rPr>
              <w:t>EFMR</w:t>
            </w:r>
          </w:p>
        </w:tc>
        <w:tc>
          <w:tcPr>
            <w:tcW w:w="0" w:type="auto"/>
            <w:shd w:val="clear" w:color="auto" w:fill="auto"/>
          </w:tcPr>
          <w:p w14:paraId="191F4B2D" w14:textId="77777777" w:rsidR="008C5CFA" w:rsidRDefault="008C5CFA" w:rsidP="00300A01">
            <w:pPr>
              <w:spacing w:before="0" w:after="0"/>
              <w:jc w:val="right"/>
            </w:pPr>
          </w:p>
        </w:tc>
      </w:tr>
      <w:tr w:rsidR="006B2EC1" w14:paraId="773ABB8D" w14:textId="77777777" w:rsidTr="0047688D">
        <w:tc>
          <w:tcPr>
            <w:tcW w:w="0" w:type="auto"/>
            <w:shd w:val="clear" w:color="auto" w:fill="auto"/>
          </w:tcPr>
          <w:p w14:paraId="1C46E816" w14:textId="77777777" w:rsidR="008C5CFA" w:rsidRDefault="00E82A60" w:rsidP="00300A01">
            <w:pPr>
              <w:spacing w:before="0" w:after="0"/>
              <w:jc w:val="right"/>
            </w:pPr>
            <w:r>
              <w:rPr>
                <w:noProof/>
              </w:rPr>
              <w:t>EIS</w:t>
            </w:r>
          </w:p>
        </w:tc>
        <w:tc>
          <w:tcPr>
            <w:tcW w:w="0" w:type="auto"/>
            <w:shd w:val="clear" w:color="auto" w:fill="auto"/>
          </w:tcPr>
          <w:p w14:paraId="6742581A" w14:textId="77777777" w:rsidR="008C5CFA" w:rsidRDefault="008C5CFA" w:rsidP="00300A01">
            <w:pPr>
              <w:spacing w:before="0" w:after="0"/>
              <w:jc w:val="right"/>
            </w:pPr>
          </w:p>
        </w:tc>
      </w:tr>
      <w:tr w:rsidR="006B2EC1" w14:paraId="42AF9374" w14:textId="77777777" w:rsidTr="0047688D">
        <w:tc>
          <w:tcPr>
            <w:tcW w:w="0" w:type="auto"/>
            <w:shd w:val="clear" w:color="auto" w:fill="auto"/>
          </w:tcPr>
          <w:p w14:paraId="233A15D2" w14:textId="77777777" w:rsidR="008C5CFA" w:rsidRDefault="00E82A60" w:rsidP="00300A01">
            <w:pPr>
              <w:spacing w:before="0" w:after="0"/>
              <w:jc w:val="right"/>
            </w:pPr>
            <w:r>
              <w:rPr>
                <w:noProof/>
              </w:rPr>
              <w:t>inne fundusze</w:t>
            </w:r>
          </w:p>
        </w:tc>
        <w:tc>
          <w:tcPr>
            <w:tcW w:w="0" w:type="auto"/>
            <w:shd w:val="clear" w:color="auto" w:fill="auto"/>
          </w:tcPr>
          <w:p w14:paraId="0663EE09" w14:textId="77777777" w:rsidR="008C5CFA" w:rsidRDefault="008C5CFA" w:rsidP="00300A01">
            <w:pPr>
              <w:spacing w:before="0" w:after="0"/>
              <w:jc w:val="right"/>
            </w:pPr>
          </w:p>
        </w:tc>
      </w:tr>
      <w:tr w:rsidR="006B2EC1" w14:paraId="58A6DE8C" w14:textId="77777777" w:rsidTr="0047688D">
        <w:tc>
          <w:tcPr>
            <w:tcW w:w="0" w:type="auto"/>
            <w:shd w:val="clear" w:color="auto" w:fill="auto"/>
          </w:tcPr>
          <w:p w14:paraId="64B8AE38" w14:textId="77777777" w:rsidR="008C5CFA" w:rsidRDefault="00E82A60" w:rsidP="00300A01">
            <w:pPr>
              <w:spacing w:before="0" w:after="0"/>
              <w:jc w:val="right"/>
            </w:pPr>
            <w:r>
              <w:rPr>
                <w:noProof/>
              </w:rPr>
              <w:t>nazwa innych funduszy</w:t>
            </w:r>
          </w:p>
        </w:tc>
        <w:tc>
          <w:tcPr>
            <w:tcW w:w="0" w:type="auto"/>
            <w:shd w:val="clear" w:color="auto" w:fill="auto"/>
          </w:tcPr>
          <w:p w14:paraId="1C007576" w14:textId="77777777" w:rsidR="008C5CFA" w:rsidRDefault="008C5CFA" w:rsidP="00300A01">
            <w:pPr>
              <w:spacing w:before="0" w:after="0"/>
            </w:pPr>
          </w:p>
        </w:tc>
      </w:tr>
    </w:tbl>
    <w:p w14:paraId="14B480EC" w14:textId="77777777" w:rsidR="008C5CFA" w:rsidRDefault="008C5CFA" w:rsidP="00300A01">
      <w:pPr>
        <w:spacing w:before="0" w:after="0"/>
      </w:pPr>
    </w:p>
    <w:p w14:paraId="25F7A675" w14:textId="5FC6AF00" w:rsidR="00094173" w:rsidRPr="00D5077A" w:rsidRDefault="00094173" w:rsidP="00C10AE1">
      <w:pPr>
        <w:pStyle w:val="Nagwek1"/>
        <w:numPr>
          <w:ilvl w:val="0"/>
          <w:numId w:val="0"/>
        </w:numPr>
        <w:spacing w:before="0" w:after="0"/>
        <w:jc w:val="left"/>
        <w:sectPr w:rsidR="00094173" w:rsidRPr="00D5077A" w:rsidSect="0087734D">
          <w:headerReference w:type="default" r:id="rId42"/>
          <w:footerReference w:type="default" r:id="rId43"/>
          <w:pgSz w:w="16838" w:h="11906" w:orient="landscape"/>
          <w:pgMar w:top="0" w:right="567" w:bottom="0" w:left="851" w:header="0" w:footer="284" w:gutter="0"/>
          <w:cols w:space="708"/>
          <w:docGrid w:linePitch="360"/>
        </w:sectPr>
      </w:pPr>
    </w:p>
    <w:p w14:paraId="4BA09DE4" w14:textId="77777777" w:rsidR="00673320" w:rsidRPr="001A4AC5" w:rsidRDefault="00673320" w:rsidP="00DD2742"/>
    <w:sectPr w:rsidR="00673320" w:rsidRPr="001A4AC5" w:rsidSect="004D6897">
      <w:headerReference w:type="default" r:id="rId44"/>
      <w:footerReference w:type="default" r:id="rId45"/>
      <w:pgSz w:w="16838" w:h="11906" w:orient="landscape"/>
      <w:pgMar w:top="0" w:right="567" w:bottom="0" w:left="851" w:header="0"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5AA6F5" w14:textId="77777777" w:rsidR="004D6897" w:rsidRDefault="004D6897">
      <w:pPr>
        <w:spacing w:before="0" w:after="0"/>
      </w:pPr>
      <w:r>
        <w:separator/>
      </w:r>
    </w:p>
  </w:endnote>
  <w:endnote w:type="continuationSeparator" w:id="0">
    <w:p w14:paraId="26B38861" w14:textId="77777777" w:rsidR="004D6897" w:rsidRDefault="004D689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charset w:val="00"/>
    <w:family w:val="auto"/>
    <w:pitch w:val="variable"/>
    <w:sig w:usb0="00000000" w:usb1="C0007841"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D50929" w14:textId="77777777" w:rsidR="004D6897" w:rsidRPr="00966248" w:rsidRDefault="004D6897" w:rsidP="0053468B">
    <w:pPr>
      <w:pStyle w:val="Stopka"/>
      <w:ind w:left="-851" w:right="-851"/>
      <w:rPr>
        <w:rFonts w:ascii="Arial" w:hAnsi="Arial" w:cs="Arial"/>
        <w:b/>
        <w:sz w:val="48"/>
      </w:rPr>
    </w:pPr>
    <w:r>
      <w:rPr>
        <w:rFonts w:ascii="Arial" w:hAnsi="Arial" w:cs="Arial"/>
        <w:b/>
        <w:noProof/>
        <w:sz w:val="48"/>
      </w:rPr>
      <w:t>PL</w:t>
    </w:r>
    <w:r w:rsidRPr="007C3041">
      <w:rPr>
        <w:rFonts w:ascii="Arial" w:hAnsi="Arial" w:cs="Arial"/>
        <w:b/>
        <w:sz w:val="48"/>
      </w:rPr>
      <w:tab/>
    </w:r>
    <w:r>
      <w:fldChar w:fldCharType="begin"/>
    </w:r>
    <w:r>
      <w:instrText xml:space="preserve"> PAGE  </w:instrText>
    </w:r>
    <w:r>
      <w:fldChar w:fldCharType="separate"/>
    </w:r>
    <w:r>
      <w:t>10</w:t>
    </w:r>
    <w:r>
      <w:fldChar w:fldCharType="end"/>
    </w:r>
    <w:r>
      <w:tab/>
    </w:r>
    <w:r w:rsidRPr="007C3041">
      <w:tab/>
    </w:r>
    <w:r>
      <w:rPr>
        <w:rFonts w:ascii="Arial" w:hAnsi="Arial" w:cs="Arial"/>
        <w:b/>
        <w:noProof/>
        <w:sz w:val="48"/>
      </w:rPr>
      <w:t>PL</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1B6F88" w14:textId="77777777" w:rsidR="004D6897" w:rsidRPr="00D066A4" w:rsidRDefault="004D6897" w:rsidP="0047688D">
    <w:pPr>
      <w:pStyle w:val="FooterLandscape"/>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FAFAC7" w14:textId="77777777" w:rsidR="004D6897" w:rsidRPr="00784A51" w:rsidRDefault="004D6897" w:rsidP="00784A51">
    <w:pPr>
      <w:pStyle w:val="Stopka"/>
      <w:rPr>
        <w:rFonts w:ascii="Arial" w:hAnsi="Arial" w:cs="Arial"/>
        <w:b/>
        <w:sz w:val="48"/>
      </w:rPr>
    </w:pPr>
    <w:r>
      <w:rPr>
        <w:rFonts w:ascii="Arial" w:hAnsi="Arial" w:cs="Arial"/>
        <w:b/>
        <w:noProof/>
        <w:sz w:val="48"/>
      </w:rPr>
      <w:t>PL</w:t>
    </w:r>
    <w:r w:rsidRPr="007C3041">
      <w:rPr>
        <w:rFonts w:ascii="Arial" w:hAnsi="Arial" w:cs="Arial"/>
        <w:b/>
        <w:sz w:val="48"/>
      </w:rPr>
      <w:tab/>
    </w:r>
    <w:r>
      <w:fldChar w:fldCharType="begin"/>
    </w:r>
    <w:r>
      <w:instrText xml:space="preserve"> PAGE  </w:instrText>
    </w:r>
    <w:r>
      <w:fldChar w:fldCharType="separate"/>
    </w:r>
    <w:r>
      <w:t>222</w:t>
    </w:r>
    <w:r>
      <w:fldChar w:fldCharType="end"/>
    </w:r>
    <w:r>
      <w:tab/>
    </w:r>
    <w:r w:rsidRPr="007C3041">
      <w:tab/>
    </w:r>
    <w:r>
      <w:rPr>
        <w:rFonts w:ascii="Arial" w:hAnsi="Arial" w:cs="Arial"/>
        <w:b/>
        <w:noProof/>
        <w:sz w:val="48"/>
      </w:rPr>
      <w:t>PL</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D047E2" w14:textId="77777777" w:rsidR="004D6897" w:rsidRPr="00D066A4" w:rsidRDefault="004D6897" w:rsidP="0047688D">
    <w:pPr>
      <w:pStyle w:val="Stopka"/>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0050A1" w14:textId="77777777" w:rsidR="004D6897" w:rsidRPr="00035B9C" w:rsidRDefault="004D6897" w:rsidP="00E82B68">
    <w:pPr>
      <w:pStyle w:val="FooterLandscape"/>
      <w:tabs>
        <w:tab w:val="clear" w:pos="7285"/>
        <w:tab w:val="clear" w:pos="10913"/>
        <w:tab w:val="clear" w:pos="15137"/>
        <w:tab w:val="center" w:pos="7938"/>
        <w:tab w:val="right" w:pos="15735"/>
      </w:tabs>
      <w:spacing w:before="0" w:after="120"/>
      <w:ind w:left="0" w:right="0"/>
      <w:rPr>
        <w:rFonts w:ascii="Arial" w:hAnsi="Arial" w:cs="Arial"/>
        <w:b/>
        <w:sz w:val="48"/>
      </w:rPr>
    </w:pPr>
    <w:r w:rsidRPr="005F6C78">
      <w:rPr>
        <w:rFonts w:ascii="Arial" w:hAnsi="Arial" w:cs="Arial"/>
        <w:b/>
        <w:noProof/>
        <w:sz w:val="48"/>
        <w:szCs w:val="48"/>
        <w:lang w:val="fr-BE"/>
      </w:rPr>
      <w:t>PL</w:t>
    </w:r>
    <w:r w:rsidRPr="008E3442">
      <w:rPr>
        <w:rFonts w:ascii="Arial" w:hAnsi="Arial" w:cs="Arial"/>
        <w:b/>
        <w:sz w:val="48"/>
      </w:rPr>
      <w:tab/>
    </w:r>
    <w:r>
      <w:fldChar w:fldCharType="begin"/>
    </w:r>
    <w:r>
      <w:instrText xml:space="preserve"> PAGE  \* MERGEFORMAT </w:instrText>
    </w:r>
    <w:r>
      <w:fldChar w:fldCharType="separate"/>
    </w:r>
    <w:r>
      <w:rPr>
        <w:noProof/>
      </w:rPr>
      <w:t>223</w:t>
    </w:r>
    <w:r>
      <w:fldChar w:fldCharType="end"/>
    </w:r>
    <w:r>
      <w:tab/>
    </w:r>
    <w:r w:rsidRPr="005F6C78">
      <w:rPr>
        <w:rFonts w:ascii="Arial" w:hAnsi="Arial" w:cs="Arial"/>
        <w:b/>
        <w:noProof/>
        <w:sz w:val="48"/>
        <w:szCs w:val="48"/>
        <w:lang w:val="fr-BE"/>
      </w:rPr>
      <w:t>PL</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ECCC03" w14:textId="77777777" w:rsidR="004D6897" w:rsidRPr="00292464" w:rsidRDefault="004D6897" w:rsidP="0047688D">
    <w:pPr>
      <w:pStyle w:val="Stopka"/>
      <w:rPr>
        <w:rFonts w:ascii="Arial" w:hAnsi="Arial" w:cs="Arial"/>
        <w:b/>
        <w:sz w:val="48"/>
      </w:rPr>
    </w:pPr>
    <w:r>
      <w:rPr>
        <w:rFonts w:ascii="Arial" w:hAnsi="Arial" w:cs="Arial"/>
        <w:b/>
        <w:noProof/>
        <w:sz w:val="48"/>
      </w:rPr>
      <w:t>PL</w:t>
    </w:r>
    <w:r w:rsidRPr="007C3041">
      <w:rPr>
        <w:rFonts w:ascii="Arial" w:hAnsi="Arial" w:cs="Arial"/>
        <w:b/>
        <w:sz w:val="48"/>
      </w:rPr>
      <w:tab/>
    </w:r>
    <w:r>
      <w:fldChar w:fldCharType="begin"/>
    </w:r>
    <w:r>
      <w:instrText xml:space="preserve"> PAGE  </w:instrText>
    </w:r>
    <w:r>
      <w:fldChar w:fldCharType="separate"/>
    </w:r>
    <w:r>
      <w:t>224</w:t>
    </w:r>
    <w:r>
      <w:fldChar w:fldCharType="end"/>
    </w:r>
    <w:r>
      <w:tab/>
    </w:r>
    <w:r w:rsidRPr="007C3041">
      <w:tab/>
    </w:r>
    <w:r>
      <w:rPr>
        <w:rFonts w:ascii="Arial" w:hAnsi="Arial" w:cs="Arial"/>
        <w:b/>
        <w:noProof/>
        <w:sz w:val="48"/>
      </w:rPr>
      <w:t>PL</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53543C" w14:textId="77777777" w:rsidR="004D6897" w:rsidRPr="00D066A4" w:rsidRDefault="004D6897" w:rsidP="0047688D">
    <w:pPr>
      <w:pStyle w:val="Stopka"/>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E9E0FD" w14:textId="77777777" w:rsidR="004D6897" w:rsidRPr="00784A51" w:rsidRDefault="004D6897" w:rsidP="00784A51">
    <w:pPr>
      <w:pStyle w:val="FooterLandscape"/>
      <w:ind w:left="0"/>
      <w:rPr>
        <w:rFonts w:ascii="Arial" w:hAnsi="Arial" w:cs="Arial"/>
        <w:b/>
        <w:sz w:val="48"/>
      </w:rPr>
    </w:pPr>
    <w:r w:rsidRPr="005F6C78">
      <w:rPr>
        <w:rFonts w:ascii="Arial" w:hAnsi="Arial" w:cs="Arial"/>
        <w:b/>
        <w:noProof/>
        <w:sz w:val="48"/>
        <w:szCs w:val="48"/>
        <w:lang w:val="fr-BE"/>
      </w:rPr>
      <w:t>PL</w:t>
    </w:r>
    <w:r w:rsidRPr="008E3442">
      <w:rPr>
        <w:rFonts w:ascii="Arial" w:hAnsi="Arial" w:cs="Arial"/>
        <w:b/>
        <w:sz w:val="48"/>
      </w:rPr>
      <w:tab/>
    </w:r>
    <w:r>
      <w:fldChar w:fldCharType="begin"/>
    </w:r>
    <w:r>
      <w:instrText xml:space="preserve"> PAGE  \* MERGEFORMAT </w:instrText>
    </w:r>
    <w:r>
      <w:fldChar w:fldCharType="separate"/>
    </w:r>
    <w:r>
      <w:rPr>
        <w:noProof/>
      </w:rPr>
      <w:t>225</w:t>
    </w:r>
    <w:r>
      <w:fldChar w:fldCharType="end"/>
    </w:r>
    <w:r>
      <w:tab/>
    </w:r>
    <w:r w:rsidRPr="008E3442">
      <w:tab/>
    </w:r>
    <w:r w:rsidRPr="005F6C78">
      <w:rPr>
        <w:rFonts w:ascii="Arial" w:hAnsi="Arial" w:cs="Arial"/>
        <w:b/>
        <w:noProof/>
        <w:sz w:val="48"/>
        <w:szCs w:val="48"/>
        <w:lang w:val="fr-BE"/>
      </w:rPr>
      <w:t>PL</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5C13B2" w14:textId="77777777" w:rsidR="004D6897" w:rsidRPr="00D066A4" w:rsidRDefault="004D6897" w:rsidP="0047688D">
    <w:pPr>
      <w:pStyle w:val="FooterLandscape"/>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B86AB4" w14:textId="77777777" w:rsidR="004D6897" w:rsidRPr="00A91FB2" w:rsidRDefault="004D6897" w:rsidP="0087734D">
    <w:pPr>
      <w:pStyle w:val="FooterLandscape"/>
      <w:tabs>
        <w:tab w:val="clear" w:pos="7285"/>
        <w:tab w:val="clear" w:pos="10913"/>
        <w:tab w:val="clear" w:pos="15137"/>
        <w:tab w:val="center" w:pos="7655"/>
        <w:tab w:val="right" w:pos="15763"/>
      </w:tabs>
      <w:spacing w:before="0" w:after="120"/>
      <w:ind w:left="0" w:right="0"/>
      <w:rPr>
        <w:rFonts w:ascii="Arial" w:hAnsi="Arial" w:cs="Arial"/>
        <w:b/>
        <w:sz w:val="48"/>
      </w:rPr>
    </w:pPr>
    <w:r w:rsidRPr="005F6C78">
      <w:rPr>
        <w:rFonts w:ascii="Arial" w:hAnsi="Arial" w:cs="Arial"/>
        <w:b/>
        <w:noProof/>
        <w:sz w:val="48"/>
        <w:szCs w:val="48"/>
        <w:lang w:val="fr-BE"/>
      </w:rPr>
      <w:t>PL</w:t>
    </w:r>
    <w:r w:rsidRPr="008E3442">
      <w:rPr>
        <w:rFonts w:ascii="Arial" w:hAnsi="Arial" w:cs="Arial"/>
        <w:b/>
        <w:sz w:val="48"/>
      </w:rPr>
      <w:tab/>
    </w:r>
    <w:r>
      <w:fldChar w:fldCharType="begin"/>
    </w:r>
    <w:r>
      <w:instrText xml:space="preserve"> PAGE  \* MERGEFORMAT </w:instrText>
    </w:r>
    <w:r>
      <w:fldChar w:fldCharType="separate"/>
    </w:r>
    <w:r>
      <w:rPr>
        <w:noProof/>
      </w:rPr>
      <w:t>233</w:t>
    </w:r>
    <w:r>
      <w:fldChar w:fldCharType="end"/>
    </w:r>
    <w:r w:rsidRPr="008E3442">
      <w:tab/>
    </w:r>
    <w:r w:rsidRPr="005F6C78">
      <w:rPr>
        <w:rFonts w:ascii="Arial" w:hAnsi="Arial" w:cs="Arial"/>
        <w:b/>
        <w:noProof/>
        <w:sz w:val="48"/>
        <w:szCs w:val="48"/>
        <w:lang w:val="fr-BE"/>
      </w:rPr>
      <w:t>PL</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E7BE88" w14:textId="77777777" w:rsidR="004D6897" w:rsidRPr="002C592F" w:rsidRDefault="004D6897" w:rsidP="006C3A4F">
    <w:pPr>
      <w:pStyle w:val="FooterLandscape"/>
      <w:tabs>
        <w:tab w:val="clear" w:pos="7285"/>
        <w:tab w:val="clear" w:pos="10913"/>
        <w:tab w:val="clear" w:pos="15137"/>
        <w:tab w:val="center" w:pos="7655"/>
        <w:tab w:val="right" w:pos="15763"/>
      </w:tabs>
      <w:spacing w:before="0" w:after="120"/>
      <w:ind w:left="0" w:right="-173"/>
      <w:rPr>
        <w:rFonts w:ascii="Arial" w:hAnsi="Arial" w:cs="Arial"/>
        <w:b/>
        <w:sz w:val="48"/>
      </w:rPr>
    </w:pPr>
    <w:r w:rsidRPr="005F6C78">
      <w:rPr>
        <w:rFonts w:ascii="Arial" w:hAnsi="Arial" w:cs="Arial"/>
        <w:b/>
        <w:noProof/>
        <w:sz w:val="48"/>
        <w:szCs w:val="48"/>
        <w:lang w:val="fr-BE"/>
      </w:rPr>
      <w:t>PL</w:t>
    </w:r>
    <w:r w:rsidRPr="008E3442">
      <w:rPr>
        <w:rFonts w:ascii="Arial" w:hAnsi="Arial" w:cs="Arial"/>
        <w:b/>
        <w:sz w:val="48"/>
      </w:rPr>
      <w:tab/>
    </w:r>
    <w:r>
      <w:fldChar w:fldCharType="begin"/>
    </w:r>
    <w:r>
      <w:instrText xml:space="preserve"> PAGE  \* MERGEFORMAT </w:instrText>
    </w:r>
    <w:r>
      <w:fldChar w:fldCharType="separate"/>
    </w:r>
    <w:r>
      <w:rPr>
        <w:noProof/>
      </w:rPr>
      <w:t>246</w:t>
    </w:r>
    <w:r>
      <w:fldChar w:fldCharType="end"/>
    </w:r>
    <w:r w:rsidRPr="008E3442">
      <w:tab/>
    </w:r>
    <w:r w:rsidRPr="005F6C78">
      <w:rPr>
        <w:rFonts w:ascii="Arial" w:hAnsi="Arial" w:cs="Arial"/>
        <w:b/>
        <w:noProof/>
        <w:sz w:val="48"/>
        <w:szCs w:val="48"/>
        <w:lang w:val="fr-BE"/>
      </w:rPr>
      <w:t>PL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DD7F35" w14:textId="77777777" w:rsidR="004D6897" w:rsidRPr="00966248" w:rsidRDefault="004D6897" w:rsidP="0047688D">
    <w:pPr>
      <w:pStyle w:val="Stopka"/>
      <w:spacing w:before="120"/>
      <w:ind w:left="-567" w:right="-567"/>
      <w:rPr>
        <w:rFonts w:ascii="Arial" w:hAnsi="Arial" w:cs="Arial"/>
        <w:b/>
        <w:sz w:val="48"/>
      </w:rPr>
    </w:pPr>
    <w:r>
      <w:rPr>
        <w:rFonts w:ascii="Arial" w:hAnsi="Arial" w:cs="Arial"/>
        <w:b/>
        <w:noProof/>
        <w:sz w:val="48"/>
      </w:rPr>
      <w:t>PL</w:t>
    </w:r>
    <w:r w:rsidRPr="007C3041">
      <w:rPr>
        <w:rFonts w:ascii="Arial" w:hAnsi="Arial" w:cs="Arial"/>
        <w:b/>
        <w:sz w:val="48"/>
      </w:rPr>
      <w:tab/>
    </w:r>
    <w:r>
      <w:fldChar w:fldCharType="begin"/>
    </w:r>
    <w:r>
      <w:instrText xml:space="preserve"> PAGE  </w:instrText>
    </w:r>
    <w:r>
      <w:fldChar w:fldCharType="separate"/>
    </w:r>
    <w:r>
      <w:rPr>
        <w:noProof/>
      </w:rPr>
      <w:t>1</w:t>
    </w:r>
    <w:r>
      <w:fldChar w:fldCharType="end"/>
    </w:r>
    <w:r>
      <w:tab/>
    </w:r>
    <w:r w:rsidRPr="007C3041">
      <w:tab/>
    </w:r>
    <w:r>
      <w:rPr>
        <w:rFonts w:ascii="Arial" w:hAnsi="Arial" w:cs="Arial"/>
        <w:b/>
        <w:noProof/>
        <w:sz w:val="48"/>
      </w:rPr>
      <w:t>PL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174AE1" w14:textId="77777777" w:rsidR="004D6897" w:rsidRPr="00966248" w:rsidRDefault="004D6897" w:rsidP="008C5CFA">
    <w:pPr>
      <w:pStyle w:val="FooterLandscape"/>
      <w:ind w:left="0"/>
      <w:rPr>
        <w:rFonts w:ascii="Arial" w:hAnsi="Arial" w:cs="Arial"/>
        <w:b/>
        <w:sz w:val="48"/>
      </w:rPr>
    </w:pPr>
    <w:r w:rsidRPr="005F6C78">
      <w:rPr>
        <w:rFonts w:ascii="Arial" w:hAnsi="Arial" w:cs="Arial"/>
        <w:b/>
        <w:noProof/>
        <w:sz w:val="48"/>
        <w:szCs w:val="48"/>
        <w:lang w:val="fr-BE"/>
      </w:rPr>
      <w:t>PL</w:t>
    </w:r>
    <w:r w:rsidRPr="008E3442">
      <w:rPr>
        <w:rFonts w:ascii="Arial" w:hAnsi="Arial" w:cs="Arial"/>
        <w:b/>
        <w:sz w:val="48"/>
      </w:rPr>
      <w:tab/>
    </w:r>
    <w:r>
      <w:fldChar w:fldCharType="begin"/>
    </w:r>
    <w:r>
      <w:instrText xml:space="preserve"> PAGE  \* MERGEFORMAT </w:instrText>
    </w:r>
    <w:r>
      <w:fldChar w:fldCharType="separate"/>
    </w:r>
    <w:r>
      <w:rPr>
        <w:noProof/>
      </w:rPr>
      <w:t>178</w:t>
    </w:r>
    <w:r>
      <w:fldChar w:fldCharType="end"/>
    </w:r>
    <w:r>
      <w:tab/>
    </w:r>
    <w:r w:rsidRPr="008E3442">
      <w:tab/>
    </w:r>
    <w:r w:rsidRPr="005F6C78">
      <w:rPr>
        <w:rFonts w:ascii="Arial" w:hAnsi="Arial" w:cs="Arial"/>
        <w:b/>
        <w:noProof/>
        <w:sz w:val="48"/>
        <w:szCs w:val="48"/>
        <w:lang w:val="fr-BE"/>
      </w:rPr>
      <w:t>PL</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63DA13" w14:textId="77777777" w:rsidR="004D6897" w:rsidRPr="00D066A4" w:rsidRDefault="004D6897" w:rsidP="0047688D">
    <w:pPr>
      <w:pStyle w:val="FooterLandscap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27F37B" w14:textId="77777777" w:rsidR="004D6897" w:rsidRPr="00784A51" w:rsidRDefault="004D6897" w:rsidP="00784A51">
    <w:pPr>
      <w:pStyle w:val="Stopka"/>
      <w:rPr>
        <w:rFonts w:ascii="Arial" w:hAnsi="Arial" w:cs="Arial"/>
        <w:b/>
        <w:sz w:val="48"/>
      </w:rPr>
    </w:pPr>
    <w:r>
      <w:rPr>
        <w:rFonts w:ascii="Arial" w:hAnsi="Arial" w:cs="Arial"/>
        <w:b/>
        <w:noProof/>
        <w:sz w:val="48"/>
      </w:rPr>
      <w:t>PL</w:t>
    </w:r>
    <w:r w:rsidRPr="007C3041">
      <w:rPr>
        <w:rFonts w:ascii="Arial" w:hAnsi="Arial" w:cs="Arial"/>
        <w:b/>
        <w:sz w:val="48"/>
      </w:rPr>
      <w:tab/>
    </w:r>
    <w:r>
      <w:fldChar w:fldCharType="begin"/>
    </w:r>
    <w:r>
      <w:instrText xml:space="preserve"> PAGE  </w:instrText>
    </w:r>
    <w:r>
      <w:fldChar w:fldCharType="separate"/>
    </w:r>
    <w:r>
      <w:t>182</w:t>
    </w:r>
    <w:r>
      <w:fldChar w:fldCharType="end"/>
    </w:r>
    <w:r>
      <w:tab/>
    </w:r>
    <w:r w:rsidRPr="007C3041">
      <w:tab/>
    </w:r>
    <w:r>
      <w:rPr>
        <w:rFonts w:ascii="Arial" w:hAnsi="Arial" w:cs="Arial"/>
        <w:b/>
        <w:noProof/>
        <w:sz w:val="48"/>
      </w:rPr>
      <w:t>PL</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818610" w14:textId="77777777" w:rsidR="004D6897" w:rsidRPr="00D066A4" w:rsidRDefault="004D6897" w:rsidP="0047688D">
    <w:pPr>
      <w:pStyle w:val="Stopka"/>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1BDDE0" w14:textId="77777777" w:rsidR="004D6897" w:rsidRPr="00C24262" w:rsidRDefault="004D6897" w:rsidP="0008149E">
    <w:pPr>
      <w:pStyle w:val="FooterLandscape"/>
      <w:tabs>
        <w:tab w:val="clear" w:pos="7285"/>
        <w:tab w:val="clear" w:pos="10913"/>
        <w:tab w:val="clear" w:pos="15137"/>
        <w:tab w:val="center" w:pos="7938"/>
        <w:tab w:val="right" w:pos="15593"/>
      </w:tabs>
      <w:spacing w:before="0" w:after="120"/>
      <w:ind w:left="0" w:right="0"/>
      <w:rPr>
        <w:rFonts w:ascii="Arial" w:hAnsi="Arial" w:cs="Arial"/>
        <w:b/>
        <w:sz w:val="48"/>
      </w:rPr>
    </w:pPr>
    <w:r w:rsidRPr="005F6C78">
      <w:rPr>
        <w:rFonts w:ascii="Arial" w:hAnsi="Arial" w:cs="Arial"/>
        <w:b/>
        <w:noProof/>
        <w:sz w:val="48"/>
        <w:szCs w:val="48"/>
        <w:lang w:val="fr-BE"/>
      </w:rPr>
      <w:t>PL</w:t>
    </w:r>
    <w:r w:rsidRPr="008E3442">
      <w:rPr>
        <w:rFonts w:ascii="Arial" w:hAnsi="Arial" w:cs="Arial"/>
        <w:b/>
        <w:sz w:val="48"/>
      </w:rPr>
      <w:tab/>
    </w:r>
    <w:r>
      <w:fldChar w:fldCharType="begin"/>
    </w:r>
    <w:r>
      <w:instrText xml:space="preserve"> PAGE</w:instrText>
    </w:r>
    <w:r>
      <w:fldChar w:fldCharType="separate"/>
    </w:r>
    <w:r>
      <w:t>192</w:t>
    </w:r>
    <w:r>
      <w:fldChar w:fldCharType="end"/>
    </w:r>
    <w:r>
      <w:tab/>
    </w:r>
    <w:r w:rsidRPr="005F6C78">
      <w:rPr>
        <w:rFonts w:ascii="Arial" w:hAnsi="Arial" w:cs="Arial"/>
        <w:b/>
        <w:noProof/>
        <w:sz w:val="48"/>
        <w:szCs w:val="48"/>
        <w:lang w:val="fr-BE"/>
      </w:rPr>
      <w:t>PL</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99D27A" w14:textId="77777777" w:rsidR="004D6897" w:rsidRPr="00784A51" w:rsidRDefault="004D6897" w:rsidP="00784A51">
    <w:pPr>
      <w:pStyle w:val="Stopka"/>
      <w:rPr>
        <w:rFonts w:ascii="Arial" w:hAnsi="Arial" w:cs="Arial"/>
        <w:b/>
        <w:sz w:val="48"/>
      </w:rPr>
    </w:pPr>
    <w:r>
      <w:rPr>
        <w:rFonts w:ascii="Arial" w:hAnsi="Arial" w:cs="Arial"/>
        <w:b/>
        <w:noProof/>
        <w:sz w:val="48"/>
      </w:rPr>
      <w:t>PL</w:t>
    </w:r>
    <w:r w:rsidRPr="007C3041">
      <w:rPr>
        <w:rFonts w:ascii="Arial" w:hAnsi="Arial" w:cs="Arial"/>
        <w:b/>
        <w:sz w:val="48"/>
      </w:rPr>
      <w:tab/>
    </w:r>
    <w:r>
      <w:fldChar w:fldCharType="begin"/>
    </w:r>
    <w:r>
      <w:instrText xml:space="preserve"> PAGE  </w:instrText>
    </w:r>
    <w:r>
      <w:fldChar w:fldCharType="separate"/>
    </w:r>
    <w:r>
      <w:t>211</w:t>
    </w:r>
    <w:r>
      <w:fldChar w:fldCharType="end"/>
    </w:r>
    <w:r>
      <w:tab/>
    </w:r>
    <w:r w:rsidRPr="007C3041">
      <w:tab/>
    </w:r>
    <w:r>
      <w:rPr>
        <w:rFonts w:ascii="Arial" w:hAnsi="Arial" w:cs="Arial"/>
        <w:b/>
        <w:noProof/>
        <w:sz w:val="48"/>
      </w:rPr>
      <w:t>PL</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BFC770" w14:textId="77777777" w:rsidR="004D6897" w:rsidRPr="00784A51" w:rsidRDefault="004D6897" w:rsidP="00784A51">
    <w:pPr>
      <w:pStyle w:val="FooterLandscape"/>
      <w:ind w:left="0"/>
      <w:rPr>
        <w:rFonts w:ascii="Arial" w:hAnsi="Arial" w:cs="Arial"/>
        <w:b/>
        <w:sz w:val="48"/>
      </w:rPr>
    </w:pPr>
    <w:r w:rsidRPr="005F6C78">
      <w:rPr>
        <w:rFonts w:ascii="Arial" w:hAnsi="Arial" w:cs="Arial"/>
        <w:b/>
        <w:noProof/>
        <w:sz w:val="48"/>
        <w:szCs w:val="48"/>
        <w:lang w:val="fr-BE"/>
      </w:rPr>
      <w:t>PL</w:t>
    </w:r>
    <w:r w:rsidRPr="008E3442">
      <w:rPr>
        <w:rFonts w:ascii="Arial" w:hAnsi="Arial" w:cs="Arial"/>
        <w:b/>
        <w:sz w:val="48"/>
      </w:rPr>
      <w:tab/>
    </w:r>
    <w:r>
      <w:fldChar w:fldCharType="begin"/>
    </w:r>
    <w:r>
      <w:instrText xml:space="preserve"> PAGE  \* MERGEFORMAT </w:instrText>
    </w:r>
    <w:r>
      <w:fldChar w:fldCharType="separate"/>
    </w:r>
    <w:r>
      <w:rPr>
        <w:noProof/>
      </w:rPr>
      <w:t>214</w:t>
    </w:r>
    <w:r>
      <w:fldChar w:fldCharType="end"/>
    </w:r>
    <w:r>
      <w:tab/>
    </w:r>
    <w:r w:rsidRPr="008E3442">
      <w:tab/>
    </w:r>
    <w:r w:rsidRPr="005F6C78">
      <w:rPr>
        <w:rFonts w:ascii="Arial" w:hAnsi="Arial" w:cs="Arial"/>
        <w:b/>
        <w:noProof/>
        <w:sz w:val="48"/>
        <w:szCs w:val="48"/>
        <w:lang w:val="fr-BE"/>
      </w:rPr>
      <w:t>PL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D61EAC" w14:textId="77777777" w:rsidR="004D6897" w:rsidRDefault="004D6897">
      <w:pPr>
        <w:spacing w:before="0" w:after="0"/>
      </w:pPr>
      <w:r>
        <w:separator/>
      </w:r>
    </w:p>
  </w:footnote>
  <w:footnote w:type="continuationSeparator" w:id="0">
    <w:p w14:paraId="5B016C64" w14:textId="77777777" w:rsidR="004D6897" w:rsidRDefault="004D6897">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4757" w:type="pct"/>
      <w:tblInd w:w="-1" w:type="dxa"/>
      <w:tblCellMar>
        <w:left w:w="0" w:type="dxa"/>
        <w:right w:w="0" w:type="dxa"/>
      </w:tblCellMar>
      <w:tblLook w:val="04A0" w:firstRow="1" w:lastRow="0" w:firstColumn="1" w:lastColumn="0" w:noHBand="0" w:noVBand="1"/>
    </w:tblPr>
    <w:tblGrid>
      <w:gridCol w:w="1956"/>
      <w:gridCol w:w="2707"/>
      <w:gridCol w:w="2071"/>
      <w:gridCol w:w="2705"/>
    </w:tblGrid>
    <w:tr w:rsidR="004D6897" w:rsidRPr="00D77D6D" w14:paraId="43133526" w14:textId="77777777" w:rsidTr="004D6897">
      <w:tc>
        <w:tcPr>
          <w:tcW w:w="1036" w:type="pct"/>
          <w:tcMar>
            <w:left w:w="0" w:type="dxa"/>
            <w:right w:w="0" w:type="dxa"/>
          </w:tcMar>
        </w:tcPr>
        <w:p w14:paraId="37F1F66E" w14:textId="77777777" w:rsidR="004D6897" w:rsidRPr="00D77D6D" w:rsidRDefault="004D6897" w:rsidP="005C75F4">
          <w:pPr>
            <w:rPr>
              <w:rFonts w:ascii="Calibri" w:hAnsi="Calibri"/>
              <w:noProof/>
            </w:rPr>
          </w:pPr>
          <w:r w:rsidRPr="00D77D6D">
            <w:rPr>
              <w:rFonts w:ascii="Calibri" w:hAnsi="Calibri"/>
              <w:noProof/>
            </w:rPr>
            <w:drawing>
              <wp:inline distT="0" distB="0" distL="0" distR="0" wp14:anchorId="52EAC42D" wp14:editId="1374D63B">
                <wp:extent cx="1028700" cy="434340"/>
                <wp:effectExtent l="0" t="0" r="0" b="3810"/>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9"/>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28700" cy="434340"/>
                        </a:xfrm>
                        <a:prstGeom prst="rect">
                          <a:avLst/>
                        </a:prstGeom>
                        <a:noFill/>
                        <a:ln>
                          <a:noFill/>
                        </a:ln>
                      </pic:spPr>
                    </pic:pic>
                  </a:graphicData>
                </a:graphic>
              </wp:inline>
            </w:drawing>
          </w:r>
        </w:p>
      </w:tc>
      <w:tc>
        <w:tcPr>
          <w:tcW w:w="1434" w:type="pct"/>
          <w:tcMar>
            <w:left w:w="0" w:type="dxa"/>
            <w:right w:w="0" w:type="dxa"/>
          </w:tcMar>
        </w:tcPr>
        <w:p w14:paraId="5887A770" w14:textId="77777777" w:rsidR="004D6897" w:rsidRPr="00D77D6D" w:rsidRDefault="004D6897" w:rsidP="005C75F4">
          <w:pPr>
            <w:jc w:val="center"/>
            <w:rPr>
              <w:rFonts w:ascii="Calibri" w:hAnsi="Calibri"/>
              <w:noProof/>
            </w:rPr>
          </w:pPr>
          <w:r w:rsidRPr="00D77D6D">
            <w:rPr>
              <w:rFonts w:ascii="Calibri" w:hAnsi="Calibri"/>
              <w:noProof/>
            </w:rPr>
            <w:drawing>
              <wp:inline distT="0" distB="0" distL="0" distR="0" wp14:anchorId="044B4DC9" wp14:editId="57F3BBE9">
                <wp:extent cx="1417320" cy="434340"/>
                <wp:effectExtent l="0" t="0" r="0" b="3810"/>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17320" cy="434340"/>
                        </a:xfrm>
                        <a:prstGeom prst="rect">
                          <a:avLst/>
                        </a:prstGeom>
                        <a:noFill/>
                        <a:ln>
                          <a:noFill/>
                        </a:ln>
                      </pic:spPr>
                    </pic:pic>
                  </a:graphicData>
                </a:graphic>
              </wp:inline>
            </w:drawing>
          </w:r>
        </w:p>
      </w:tc>
      <w:tc>
        <w:tcPr>
          <w:tcW w:w="1097" w:type="pct"/>
          <w:tcMar>
            <w:left w:w="0" w:type="dxa"/>
            <w:right w:w="0" w:type="dxa"/>
          </w:tcMar>
        </w:tcPr>
        <w:p w14:paraId="672F467B" w14:textId="77777777" w:rsidR="004D6897" w:rsidRPr="00D77D6D" w:rsidRDefault="004D6897" w:rsidP="005C75F4">
          <w:pPr>
            <w:ind w:left="-27"/>
            <w:jc w:val="center"/>
            <w:rPr>
              <w:rFonts w:ascii="Calibri" w:hAnsi="Calibri"/>
              <w:noProof/>
            </w:rPr>
          </w:pPr>
          <w:r w:rsidRPr="00D77D6D">
            <w:rPr>
              <w:rFonts w:ascii="Calibri" w:hAnsi="Calibri"/>
              <w:noProof/>
            </w:rPr>
            <w:drawing>
              <wp:inline distT="0" distB="0" distL="0" distR="0" wp14:anchorId="3C7CB3B5" wp14:editId="17070D55">
                <wp:extent cx="960120" cy="434340"/>
                <wp:effectExtent l="0" t="0" r="0" b="3810"/>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60120" cy="434340"/>
                        </a:xfrm>
                        <a:prstGeom prst="rect">
                          <a:avLst/>
                        </a:prstGeom>
                        <a:noFill/>
                        <a:ln>
                          <a:noFill/>
                        </a:ln>
                      </pic:spPr>
                    </pic:pic>
                  </a:graphicData>
                </a:graphic>
              </wp:inline>
            </w:drawing>
          </w:r>
        </w:p>
      </w:tc>
      <w:tc>
        <w:tcPr>
          <w:tcW w:w="1433" w:type="pct"/>
          <w:tcMar>
            <w:left w:w="0" w:type="dxa"/>
            <w:right w:w="0" w:type="dxa"/>
          </w:tcMar>
        </w:tcPr>
        <w:p w14:paraId="1BAFD1E0" w14:textId="77777777" w:rsidR="004D6897" w:rsidRPr="00D77D6D" w:rsidRDefault="004D6897" w:rsidP="005C75F4">
          <w:pPr>
            <w:ind w:right="-1"/>
            <w:jc w:val="right"/>
            <w:rPr>
              <w:rFonts w:ascii="Calibri" w:hAnsi="Calibri"/>
              <w:noProof/>
            </w:rPr>
          </w:pPr>
          <w:r w:rsidRPr="00D77D6D">
            <w:rPr>
              <w:rFonts w:ascii="Calibri" w:hAnsi="Calibri"/>
              <w:noProof/>
            </w:rPr>
            <w:drawing>
              <wp:inline distT="0" distB="0" distL="0" distR="0" wp14:anchorId="049742E9" wp14:editId="39EE8DA2">
                <wp:extent cx="1539240" cy="434340"/>
                <wp:effectExtent l="0" t="0" r="3810" b="3810"/>
                <wp:docPr id="13"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539240" cy="434340"/>
                        </a:xfrm>
                        <a:prstGeom prst="rect">
                          <a:avLst/>
                        </a:prstGeom>
                        <a:noFill/>
                        <a:ln>
                          <a:noFill/>
                        </a:ln>
                      </pic:spPr>
                    </pic:pic>
                  </a:graphicData>
                </a:graphic>
              </wp:inline>
            </w:drawing>
          </w:r>
        </w:p>
      </w:tc>
    </w:tr>
  </w:tbl>
  <w:p w14:paraId="6619293A" w14:textId="77777777" w:rsidR="004D6897" w:rsidRPr="00393B43" w:rsidRDefault="004D6897" w:rsidP="00393B43">
    <w:pPr>
      <w:pStyle w:val="Nagwek"/>
    </w:pPr>
    <w:r>
      <w:fldChar w:fldCharType="begin"/>
    </w:r>
    <w:r>
      <w:instrText xml:space="preserve"> SET m_version </w:instrText>
    </w:r>
    <w:r>
      <w:rPr>
        <w:noProof/>
      </w:rPr>
      <w:instrText>2019</w:instrText>
    </w:r>
    <w:r>
      <w:instrText xml:space="preserve"> </w:instrText>
    </w:r>
    <w:r>
      <w:fldChar w:fldCharType="separate"/>
    </w:r>
    <w:r>
      <w:rPr>
        <w:noProof/>
      </w:rPr>
      <w:t>2019</w:t>
    </w:r>
    <w:r>
      <w:fldChar w:fldCharType="end"/>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75937E" w14:textId="77777777" w:rsidR="004D6897" w:rsidRPr="00D066A4" w:rsidRDefault="004D6897" w:rsidP="0047688D">
    <w:pPr>
      <w:pStyle w:val="HeaderLandscape"/>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1AB396" w14:textId="77777777" w:rsidR="004D6897" w:rsidRPr="00D066A4" w:rsidRDefault="004D6897" w:rsidP="0047688D">
    <w:pPr>
      <w:pStyle w:val="Nagwek"/>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419E82" w14:textId="77777777" w:rsidR="004D6897" w:rsidRPr="00D066A4" w:rsidRDefault="004D6897" w:rsidP="0047688D">
    <w:pPr>
      <w:pStyle w:val="Nagwek"/>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85E8E9" w14:textId="77777777" w:rsidR="004D6897" w:rsidRPr="00D066A4" w:rsidRDefault="004D6897" w:rsidP="00BE1A1C">
    <w:pPr>
      <w:pStyle w:val="Nagwek"/>
      <w:tabs>
        <w:tab w:val="clear" w:pos="9071"/>
        <w:tab w:val="right" w:pos="7655"/>
      </w:tabs>
      <w:spacing w:before="0" w:after="0"/>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A8220B" w14:textId="77777777" w:rsidR="004D6897" w:rsidRPr="00D066A4" w:rsidRDefault="004D6897" w:rsidP="0047688D">
    <w:pPr>
      <w:pStyle w:val="Nagwek"/>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B7AC07" w14:textId="77777777" w:rsidR="004D6897" w:rsidRPr="00D066A4" w:rsidRDefault="004D6897" w:rsidP="0047688D">
    <w:pPr>
      <w:pStyle w:val="Nagwek"/>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D72040" w14:textId="77777777" w:rsidR="004D6897" w:rsidRPr="00D066A4" w:rsidRDefault="004D6897" w:rsidP="0047688D">
    <w:pPr>
      <w:pStyle w:val="HeaderLandscape"/>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646232" w14:textId="77777777" w:rsidR="004D6897" w:rsidRPr="00D066A4" w:rsidRDefault="004D6897" w:rsidP="0047688D">
    <w:pPr>
      <w:pStyle w:val="HeaderLandscape"/>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1ED6AB" w14:textId="77777777" w:rsidR="004D6897" w:rsidRDefault="004D6897" w:rsidP="00BB7115">
    <w:pPr>
      <w:pStyle w:val="Header0"/>
      <w:spacing w:before="0" w:after="0"/>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31DE06" w14:textId="77777777" w:rsidR="004D6897" w:rsidRPr="00470F82" w:rsidRDefault="004D6897" w:rsidP="001E682E">
    <w:pPr>
      <w:pStyle w:val="Header1"/>
      <w:spacing w:before="0"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26BEEB" w14:textId="77777777" w:rsidR="004D6897" w:rsidRPr="001A1A94" w:rsidRDefault="004D6897" w:rsidP="0047688D">
    <w:pPr>
      <w:pStyle w:val="Nagwek"/>
      <w:rPr>
        <w:sz w:val="16"/>
        <w:szCs w:val="16"/>
        <w:lang w:val="fr-BE"/>
      </w:rPr>
    </w:pPr>
    <w:r w:rsidRPr="008C2BD7">
      <w:rPr>
        <w:sz w:val="12"/>
        <w:szCs w:val="12"/>
      </w:rPr>
      <w:fldChar w:fldCharType="begin"/>
    </w:r>
    <w:r w:rsidRPr="008C2BD7">
      <w:rPr>
        <w:sz w:val="12"/>
        <w:szCs w:val="12"/>
      </w:rPr>
      <w:instrText xml:space="preserve"> SET m_version </w:instrText>
    </w:r>
    <w:r w:rsidRPr="008C2BD7">
      <w:rPr>
        <w:noProof/>
        <w:sz w:val="12"/>
        <w:szCs w:val="12"/>
      </w:rPr>
      <w:instrText>2019</w:instrText>
    </w:r>
    <w:r w:rsidRPr="008C2BD7">
      <w:rPr>
        <w:sz w:val="12"/>
        <w:szCs w:val="12"/>
      </w:rPr>
      <w:instrText xml:space="preserve"> </w:instrText>
    </w:r>
    <w:r w:rsidRPr="008C2BD7">
      <w:rPr>
        <w:sz w:val="12"/>
        <w:szCs w:val="12"/>
      </w:rPr>
      <w:fldChar w:fldCharType="separate"/>
    </w:r>
    <w:bookmarkStart w:id="1" w:name="m_version"/>
    <w:r w:rsidRPr="008C2BD7">
      <w:rPr>
        <w:noProof/>
        <w:sz w:val="12"/>
        <w:szCs w:val="12"/>
      </w:rPr>
      <w:t>2019</w:t>
    </w:r>
    <w:bookmarkEnd w:id="1"/>
    <w:r w:rsidRPr="008C2BD7">
      <w:rPr>
        <w:sz w:val="12"/>
        <w:szCs w:val="12"/>
      </w:rPr>
      <w:fldChar w:fldCharType="end"/>
    </w:r>
    <w:r>
      <w:rPr>
        <w:sz w:val="12"/>
        <w:szCs w:val="12"/>
      </w:rPr>
      <w:fldChar w:fldCharType="begin"/>
    </w:r>
    <w:r>
      <w:rPr>
        <w:sz w:val="12"/>
        <w:szCs w:val="12"/>
      </w:rPr>
      <w:instrText xml:space="preserve"> SET m_displayErdfSfCf </w:instrText>
    </w:r>
    <w:r>
      <w:rPr>
        <w:noProof/>
        <w:sz w:val="12"/>
        <w:szCs w:val="12"/>
      </w:rPr>
      <w:instrText>true</w:instrText>
    </w:r>
    <w:r>
      <w:rPr>
        <w:sz w:val="12"/>
        <w:szCs w:val="12"/>
      </w:rPr>
      <w:instrText xml:space="preserve"> </w:instrText>
    </w:r>
    <w:r>
      <w:rPr>
        <w:sz w:val="12"/>
        <w:szCs w:val="12"/>
      </w:rPr>
      <w:fldChar w:fldCharType="separate"/>
    </w:r>
    <w:bookmarkStart w:id="2" w:name="m_displayErdfSfCf"/>
    <w:r>
      <w:rPr>
        <w:noProof/>
        <w:sz w:val="12"/>
        <w:szCs w:val="12"/>
      </w:rPr>
      <w:t>true</w:t>
    </w:r>
    <w:bookmarkEnd w:id="2"/>
    <w:r>
      <w:rPr>
        <w:sz w:val="12"/>
        <w:szCs w:val="12"/>
      </w:rPr>
      <w:fldChar w:fldCharType="end"/>
    </w:r>
    <w:r w:rsidRPr="00076114">
      <w:rPr>
        <w:b/>
        <w:sz w:val="16"/>
        <w:szCs w:val="16"/>
      </w:rPr>
      <w:fldChar w:fldCharType="begin"/>
    </w:r>
    <w:r w:rsidRPr="00076114">
      <w:rPr>
        <w:b/>
        <w:sz w:val="16"/>
        <w:szCs w:val="16"/>
      </w:rPr>
      <w:instrText xml:space="preserve"> SET m_version_8point </w:instrText>
    </w:r>
    <w:r w:rsidRPr="00076114">
      <w:rPr>
        <w:b/>
        <w:noProof/>
        <w:sz w:val="16"/>
        <w:szCs w:val="16"/>
      </w:rPr>
      <w:instrText>2019</w:instrText>
    </w:r>
    <w:r w:rsidRPr="00076114">
      <w:rPr>
        <w:b/>
        <w:sz w:val="16"/>
        <w:szCs w:val="16"/>
      </w:rPr>
      <w:instrText xml:space="preserve"> </w:instrText>
    </w:r>
    <w:r w:rsidRPr="00076114">
      <w:rPr>
        <w:b/>
        <w:sz w:val="16"/>
        <w:szCs w:val="16"/>
      </w:rPr>
      <w:fldChar w:fldCharType="separate"/>
    </w:r>
    <w:bookmarkStart w:id="3" w:name="m_version_8point"/>
    <w:r w:rsidRPr="00076114">
      <w:rPr>
        <w:b/>
        <w:noProof/>
        <w:sz w:val="16"/>
        <w:szCs w:val="16"/>
      </w:rPr>
      <w:t>2019</w:t>
    </w:r>
    <w:bookmarkEnd w:id="3"/>
    <w:r w:rsidRPr="00076114">
      <w:rPr>
        <w:b/>
        <w:sz w:val="16"/>
        <w:szCs w:val="16"/>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06DFF1" w14:textId="77777777" w:rsidR="004D6897" w:rsidRPr="00D066A4" w:rsidRDefault="004D6897" w:rsidP="0047688D">
    <w:pPr>
      <w:pStyle w:val="HeaderLandscap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4D662E" w14:textId="77777777" w:rsidR="004D6897" w:rsidRPr="00D066A4" w:rsidRDefault="004D6897" w:rsidP="0047688D">
    <w:pPr>
      <w:pStyle w:val="HeaderLandscap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DDD2FF" w14:textId="77777777" w:rsidR="004D6897" w:rsidRPr="00D066A4" w:rsidRDefault="004D6897" w:rsidP="0047688D">
    <w:pPr>
      <w:pStyle w:val="Nagwek"/>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753898" w14:textId="77777777" w:rsidR="004D6897" w:rsidRPr="00D066A4" w:rsidRDefault="004D6897" w:rsidP="0047688D">
    <w:pPr>
      <w:pStyle w:val="Nagwek"/>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A96ECF" w14:textId="77777777" w:rsidR="004D6897" w:rsidRPr="00D066A4" w:rsidRDefault="004D6897" w:rsidP="00C617AA">
    <w:pPr>
      <w:pStyle w:val="Nagwek"/>
      <w:spacing w:before="0" w:after="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34B4D5" w14:textId="77777777" w:rsidR="004D6897" w:rsidRPr="00D066A4" w:rsidRDefault="004D6897" w:rsidP="0047688D">
    <w:pPr>
      <w:pStyle w:val="Nagwek"/>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687727" w14:textId="77777777" w:rsidR="004D6897" w:rsidRPr="00D066A4" w:rsidRDefault="004D6897" w:rsidP="0047688D">
    <w:pPr>
      <w:pStyle w:val="HeaderLandscap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368029DA"/>
    <w:lvl w:ilvl="0">
      <w:start w:val="1"/>
      <w:numFmt w:val="decimal"/>
      <w:pStyle w:val="Listanumerowana5"/>
      <w:lvlText w:val="%1."/>
      <w:lvlJc w:val="left"/>
      <w:pPr>
        <w:tabs>
          <w:tab w:val="num" w:pos="1492"/>
        </w:tabs>
        <w:ind w:left="1492" w:hanging="360"/>
      </w:pPr>
    </w:lvl>
  </w:abstractNum>
  <w:abstractNum w:abstractNumId="1" w15:restartNumberingAfterBreak="0">
    <w:nsid w:val="FFFFFF80"/>
    <w:multiLevelType w:val="singleLevel"/>
    <w:tmpl w:val="1FA45650"/>
    <w:lvl w:ilvl="0">
      <w:start w:val="1"/>
      <w:numFmt w:val="bullet"/>
      <w:pStyle w:val="Listapunktowana5"/>
      <w:lvlText w:val=""/>
      <w:lvlJc w:val="left"/>
      <w:pPr>
        <w:tabs>
          <w:tab w:val="num" w:pos="1492"/>
        </w:tabs>
        <w:ind w:left="1492" w:hanging="360"/>
      </w:pPr>
      <w:rPr>
        <w:rFonts w:ascii="Symbol" w:hAnsi="Symbol" w:hint="default"/>
      </w:rPr>
    </w:lvl>
  </w:abstractNum>
  <w:abstractNum w:abstractNumId="2" w15:restartNumberingAfterBreak="0">
    <w:nsid w:val="FFFFFF89"/>
    <w:multiLevelType w:val="singleLevel"/>
    <w:tmpl w:val="DF5EBB7E"/>
    <w:lvl w:ilvl="0">
      <w:start w:val="1"/>
      <w:numFmt w:val="bullet"/>
      <w:pStyle w:val="Listapunktowana"/>
      <w:lvlText w:val=""/>
      <w:lvlJc w:val="left"/>
      <w:pPr>
        <w:tabs>
          <w:tab w:val="num" w:pos="360"/>
        </w:tabs>
        <w:ind w:left="360" w:hanging="360"/>
      </w:pPr>
      <w:rPr>
        <w:rFonts w:ascii="Symbol" w:hAnsi="Symbol" w:hint="default"/>
      </w:rPr>
    </w:lvl>
  </w:abstractNum>
  <w:abstractNum w:abstractNumId="3" w15:restartNumberingAfterBreak="0">
    <w:nsid w:val="055652B5"/>
    <w:multiLevelType w:val="multilevel"/>
    <w:tmpl w:val="B10A6748"/>
    <w:lvl w:ilvl="0">
      <w:start w:val="1"/>
      <w:numFmt w:val="decimal"/>
      <w:pStyle w:val="Listanumerowana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05DA3294"/>
    <w:multiLevelType w:val="multilevel"/>
    <w:tmpl w:val="E84EA99A"/>
    <w:name w:val="Heading3"/>
    <w:lvl w:ilvl="0">
      <w:start w:val="11"/>
      <w:numFmt w:val="decimal"/>
      <w:lvlText w:val="%1."/>
      <w:lvlJc w:val="left"/>
      <w:pPr>
        <w:tabs>
          <w:tab w:val="num" w:pos="992"/>
        </w:tabs>
        <w:ind w:left="992" w:hanging="850"/>
      </w:pPr>
      <w:rPr>
        <w:rFonts w:hint="default"/>
      </w:rPr>
    </w:lvl>
    <w:lvl w:ilvl="1">
      <w:start w:val="1"/>
      <w:numFmt w:val="decimal"/>
      <w:lvlText w:val="%1.%2."/>
      <w:lvlJc w:val="left"/>
      <w:pPr>
        <w:tabs>
          <w:tab w:val="num" w:pos="850"/>
        </w:tabs>
        <w:ind w:left="850" w:hanging="850"/>
      </w:pPr>
      <w:rPr>
        <w:rFonts w:hint="default"/>
      </w:rPr>
    </w:lvl>
    <w:lvl w:ilvl="2">
      <w:start w:val="1"/>
      <w:numFmt w:val="decimal"/>
      <w:lvlText w:val="%1.%2.%3."/>
      <w:lvlJc w:val="left"/>
      <w:pPr>
        <w:tabs>
          <w:tab w:val="num" w:pos="850"/>
        </w:tabs>
        <w:ind w:left="850" w:hanging="850"/>
      </w:pPr>
      <w:rPr>
        <w:rFonts w:hint="default"/>
        <w:b/>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10413672"/>
    <w:multiLevelType w:val="hybridMultilevel"/>
    <w:tmpl w:val="82EC22FC"/>
    <w:lvl w:ilvl="0" w:tplc="094C19A2">
      <w:start w:val="1"/>
      <w:numFmt w:val="decimal"/>
      <w:pStyle w:val="StyleHeading1Left0cm"/>
      <w:lvlText w:val="%1."/>
      <w:lvlJc w:val="left"/>
      <w:pPr>
        <w:ind w:left="360" w:hanging="360"/>
      </w:pPr>
    </w:lvl>
    <w:lvl w:ilvl="1" w:tplc="9F0E710A" w:tentative="1">
      <w:start w:val="1"/>
      <w:numFmt w:val="lowerLetter"/>
      <w:lvlText w:val="%2."/>
      <w:lvlJc w:val="left"/>
      <w:pPr>
        <w:ind w:left="1440" w:hanging="360"/>
      </w:pPr>
    </w:lvl>
    <w:lvl w:ilvl="2" w:tplc="E7EE45B0" w:tentative="1">
      <w:start w:val="1"/>
      <w:numFmt w:val="lowerRoman"/>
      <w:lvlText w:val="%3."/>
      <w:lvlJc w:val="right"/>
      <w:pPr>
        <w:ind w:left="2160" w:hanging="180"/>
      </w:pPr>
    </w:lvl>
    <w:lvl w:ilvl="3" w:tplc="D90A05CE" w:tentative="1">
      <w:start w:val="1"/>
      <w:numFmt w:val="decimal"/>
      <w:lvlText w:val="%4."/>
      <w:lvlJc w:val="left"/>
      <w:pPr>
        <w:ind w:left="2880" w:hanging="360"/>
      </w:pPr>
    </w:lvl>
    <w:lvl w:ilvl="4" w:tplc="0A526078" w:tentative="1">
      <w:start w:val="1"/>
      <w:numFmt w:val="lowerLetter"/>
      <w:lvlText w:val="%5."/>
      <w:lvlJc w:val="left"/>
      <w:pPr>
        <w:ind w:left="3600" w:hanging="360"/>
      </w:pPr>
    </w:lvl>
    <w:lvl w:ilvl="5" w:tplc="4AD88F16" w:tentative="1">
      <w:start w:val="1"/>
      <w:numFmt w:val="lowerRoman"/>
      <w:lvlText w:val="%6."/>
      <w:lvlJc w:val="right"/>
      <w:pPr>
        <w:ind w:left="4320" w:hanging="180"/>
      </w:pPr>
    </w:lvl>
    <w:lvl w:ilvl="6" w:tplc="BBC4C0B0" w:tentative="1">
      <w:start w:val="1"/>
      <w:numFmt w:val="decimal"/>
      <w:lvlText w:val="%7."/>
      <w:lvlJc w:val="left"/>
      <w:pPr>
        <w:ind w:left="5040" w:hanging="360"/>
      </w:pPr>
    </w:lvl>
    <w:lvl w:ilvl="7" w:tplc="D97CF1B2" w:tentative="1">
      <w:start w:val="1"/>
      <w:numFmt w:val="lowerLetter"/>
      <w:lvlText w:val="%8."/>
      <w:lvlJc w:val="left"/>
      <w:pPr>
        <w:ind w:left="5760" w:hanging="360"/>
      </w:pPr>
    </w:lvl>
    <w:lvl w:ilvl="8" w:tplc="EEE43224" w:tentative="1">
      <w:start w:val="1"/>
      <w:numFmt w:val="lowerRoman"/>
      <w:lvlText w:val="%9."/>
      <w:lvlJc w:val="right"/>
      <w:pPr>
        <w:ind w:left="6480" w:hanging="180"/>
      </w:pPr>
    </w:lvl>
  </w:abstractNum>
  <w:abstractNum w:abstractNumId="6" w15:restartNumberingAfterBreak="0">
    <w:nsid w:val="1262685D"/>
    <w:multiLevelType w:val="singleLevel"/>
    <w:tmpl w:val="D96C95A2"/>
    <w:lvl w:ilvl="0">
      <w:start w:val="1"/>
      <w:numFmt w:val="bullet"/>
      <w:pStyle w:val="Listapunktowana4"/>
      <w:lvlText w:val=""/>
      <w:lvlJc w:val="left"/>
      <w:pPr>
        <w:tabs>
          <w:tab w:val="num" w:pos="3163"/>
        </w:tabs>
        <w:ind w:left="3163" w:hanging="283"/>
      </w:pPr>
      <w:rPr>
        <w:rFonts w:ascii="Symbol" w:hAnsi="Symbol"/>
      </w:rPr>
    </w:lvl>
  </w:abstractNum>
  <w:abstractNum w:abstractNumId="7" w15:restartNumberingAfterBreak="0">
    <w:nsid w:val="143D0A16"/>
    <w:multiLevelType w:val="singleLevel"/>
    <w:tmpl w:val="01FA5668"/>
    <w:lvl w:ilvl="0">
      <w:start w:val="1"/>
      <w:numFmt w:val="bullet"/>
      <w:pStyle w:val="Listapunktowana3"/>
      <w:lvlText w:val=""/>
      <w:lvlJc w:val="left"/>
      <w:pPr>
        <w:tabs>
          <w:tab w:val="num" w:pos="2199"/>
        </w:tabs>
        <w:ind w:left="2199" w:hanging="283"/>
      </w:pPr>
      <w:rPr>
        <w:rFonts w:ascii="Symbol" w:hAnsi="Symbol"/>
      </w:rPr>
    </w:lvl>
  </w:abstractNum>
  <w:abstractNum w:abstractNumId="8" w15:restartNumberingAfterBreak="0">
    <w:nsid w:val="1B3C78B8"/>
    <w:multiLevelType w:val="multilevel"/>
    <w:tmpl w:val="2ED4F4D0"/>
    <w:name w:val="Point"/>
    <w:lvl w:ilvl="0">
      <w:start w:val="1"/>
      <w:numFmt w:val="decimal"/>
      <w:lvlText w:val="(%1)"/>
      <w:lvlJc w:val="left"/>
      <w:pPr>
        <w:tabs>
          <w:tab w:val="num" w:pos="850"/>
        </w:tabs>
        <w:ind w:left="850" w:hanging="850"/>
      </w:pPr>
    </w:lvl>
    <w:lvl w:ilvl="1">
      <w:start w:val="1"/>
      <w:numFmt w:val="lowerLetter"/>
      <w:lvlText w:val="(%2)"/>
      <w:lvlJc w:val="left"/>
      <w:pPr>
        <w:tabs>
          <w:tab w:val="num" w:pos="850"/>
        </w:tabs>
        <w:ind w:left="850" w:hanging="850"/>
      </w:pPr>
    </w:lvl>
    <w:lvl w:ilvl="2">
      <w:start w:val="1"/>
      <w:numFmt w:val="decimal"/>
      <w:lvlText w:val="(%3)"/>
      <w:lvlJc w:val="left"/>
      <w:pPr>
        <w:tabs>
          <w:tab w:val="num" w:pos="1417"/>
        </w:tabs>
        <w:ind w:left="1417" w:hanging="567"/>
      </w:pPr>
    </w:lvl>
    <w:lvl w:ilvl="3">
      <w:start w:val="1"/>
      <w:numFmt w:val="lowerLetter"/>
      <w:lvlText w:val="(%4)"/>
      <w:lvlJc w:val="left"/>
      <w:pPr>
        <w:tabs>
          <w:tab w:val="num" w:pos="1417"/>
        </w:tabs>
        <w:ind w:left="1417" w:hanging="567"/>
      </w:pPr>
    </w:lvl>
    <w:lvl w:ilvl="4">
      <w:start w:val="1"/>
      <w:numFmt w:val="decimal"/>
      <w:lvlText w:val="(%5)"/>
      <w:lvlJc w:val="left"/>
      <w:pPr>
        <w:tabs>
          <w:tab w:val="num" w:pos="1984"/>
        </w:tabs>
        <w:ind w:left="1984" w:hanging="567"/>
      </w:pPr>
    </w:lvl>
    <w:lvl w:ilvl="5">
      <w:start w:val="1"/>
      <w:numFmt w:val="lowerLetter"/>
      <w:lvlText w:val="(%6)"/>
      <w:lvlJc w:val="left"/>
      <w:pPr>
        <w:tabs>
          <w:tab w:val="num" w:pos="1984"/>
        </w:tabs>
        <w:ind w:left="1984" w:hanging="567"/>
      </w:pPr>
    </w:lvl>
    <w:lvl w:ilvl="6">
      <w:start w:val="1"/>
      <w:numFmt w:val="decimal"/>
      <w:lvlText w:val="(%7)"/>
      <w:lvlJc w:val="left"/>
      <w:pPr>
        <w:tabs>
          <w:tab w:val="num" w:pos="2551"/>
        </w:tabs>
        <w:ind w:left="2551" w:hanging="567"/>
      </w:pPr>
    </w:lvl>
    <w:lvl w:ilvl="7">
      <w:start w:val="1"/>
      <w:numFmt w:val="lowerLetter"/>
      <w:lvlText w:val="(%8)"/>
      <w:lvlJc w:val="left"/>
      <w:pPr>
        <w:tabs>
          <w:tab w:val="num" w:pos="2551"/>
        </w:tabs>
        <w:ind w:left="2551" w:hanging="567"/>
      </w:pPr>
    </w:lvl>
    <w:lvl w:ilvl="8">
      <w:start w:val="1"/>
      <w:numFmt w:val="lower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11" w15:restartNumberingAfterBreak="0">
    <w:nsid w:val="2AF76E7A"/>
    <w:multiLevelType w:val="singleLevel"/>
    <w:tmpl w:val="C74C5A32"/>
    <w:name w:val="Bullet 1"/>
    <w:lvl w:ilvl="0">
      <w:start w:val="1"/>
      <w:numFmt w:val="bullet"/>
      <w:pStyle w:val="Bullet1"/>
      <w:lvlText w:val=""/>
      <w:lvlJc w:val="left"/>
      <w:pPr>
        <w:tabs>
          <w:tab w:val="num" w:pos="1417"/>
        </w:tabs>
        <w:ind w:left="1417" w:hanging="567"/>
      </w:pPr>
      <w:rPr>
        <w:rFonts w:ascii="Symbol" w:hAnsi="Symbol" w:hint="default"/>
      </w:rPr>
    </w:lvl>
  </w:abstractNum>
  <w:abstractNum w:abstractNumId="12" w15:restartNumberingAfterBreak="0">
    <w:nsid w:val="2C5F023C"/>
    <w:multiLevelType w:val="hybridMultilevel"/>
    <w:tmpl w:val="1DA6E442"/>
    <w:name w:val="Heading2"/>
    <w:lvl w:ilvl="0" w:tplc="13CE39E6">
      <w:start w:val="1"/>
      <w:numFmt w:val="decimal"/>
      <w:lvlText w:val="%1."/>
      <w:lvlJc w:val="left"/>
      <w:pPr>
        <w:ind w:left="720" w:hanging="360"/>
      </w:pPr>
      <w:rPr>
        <w:rFonts w:hint="default"/>
      </w:rPr>
    </w:lvl>
    <w:lvl w:ilvl="1" w:tplc="B3B47D20" w:tentative="1">
      <w:start w:val="1"/>
      <w:numFmt w:val="lowerLetter"/>
      <w:lvlText w:val="%2."/>
      <w:lvlJc w:val="left"/>
      <w:pPr>
        <w:ind w:left="1440" w:hanging="360"/>
      </w:pPr>
    </w:lvl>
    <w:lvl w:ilvl="2" w:tplc="C4BE5EF4" w:tentative="1">
      <w:start w:val="1"/>
      <w:numFmt w:val="lowerRoman"/>
      <w:lvlText w:val="%3."/>
      <w:lvlJc w:val="right"/>
      <w:pPr>
        <w:ind w:left="2160" w:hanging="180"/>
      </w:pPr>
    </w:lvl>
    <w:lvl w:ilvl="3" w:tplc="4F420FE4" w:tentative="1">
      <w:start w:val="1"/>
      <w:numFmt w:val="decimal"/>
      <w:lvlText w:val="%4."/>
      <w:lvlJc w:val="left"/>
      <w:pPr>
        <w:ind w:left="2880" w:hanging="360"/>
      </w:pPr>
    </w:lvl>
    <w:lvl w:ilvl="4" w:tplc="F536BA48" w:tentative="1">
      <w:start w:val="1"/>
      <w:numFmt w:val="lowerLetter"/>
      <w:lvlText w:val="%5."/>
      <w:lvlJc w:val="left"/>
      <w:pPr>
        <w:ind w:left="3600" w:hanging="360"/>
      </w:pPr>
    </w:lvl>
    <w:lvl w:ilvl="5" w:tplc="F822F1E8" w:tentative="1">
      <w:start w:val="1"/>
      <w:numFmt w:val="lowerRoman"/>
      <w:lvlText w:val="%6."/>
      <w:lvlJc w:val="right"/>
      <w:pPr>
        <w:ind w:left="4320" w:hanging="180"/>
      </w:pPr>
    </w:lvl>
    <w:lvl w:ilvl="6" w:tplc="D3DAD526" w:tentative="1">
      <w:start w:val="1"/>
      <w:numFmt w:val="decimal"/>
      <w:lvlText w:val="%7."/>
      <w:lvlJc w:val="left"/>
      <w:pPr>
        <w:ind w:left="5040" w:hanging="360"/>
      </w:pPr>
    </w:lvl>
    <w:lvl w:ilvl="7" w:tplc="8982C662" w:tentative="1">
      <w:start w:val="1"/>
      <w:numFmt w:val="lowerLetter"/>
      <w:lvlText w:val="%8."/>
      <w:lvlJc w:val="left"/>
      <w:pPr>
        <w:ind w:left="5760" w:hanging="360"/>
      </w:pPr>
    </w:lvl>
    <w:lvl w:ilvl="8" w:tplc="54B634E6" w:tentative="1">
      <w:start w:val="1"/>
      <w:numFmt w:val="lowerRoman"/>
      <w:lvlText w:val="%9."/>
      <w:lvlJc w:val="right"/>
      <w:pPr>
        <w:ind w:left="6480" w:hanging="180"/>
      </w:pPr>
    </w:lvl>
  </w:abstractNum>
  <w:abstractNum w:abstractNumId="13" w15:restartNumberingAfterBreak="0">
    <w:nsid w:val="2C8D5AD3"/>
    <w:multiLevelType w:val="singleLevel"/>
    <w:tmpl w:val="82EE6B70"/>
    <w:lvl w:ilvl="0">
      <w:start w:val="1"/>
      <w:numFmt w:val="bullet"/>
      <w:pStyle w:val="Listapunktowana2"/>
      <w:lvlText w:val=""/>
      <w:lvlJc w:val="left"/>
      <w:pPr>
        <w:tabs>
          <w:tab w:val="num" w:pos="1360"/>
        </w:tabs>
        <w:ind w:left="1360" w:hanging="283"/>
      </w:pPr>
      <w:rPr>
        <w:rFonts w:ascii="Symbol" w:hAnsi="Symbol"/>
      </w:rPr>
    </w:lvl>
  </w:abstractNum>
  <w:abstractNum w:abstractNumId="14" w15:restartNumberingAfterBreak="0">
    <w:nsid w:val="2CF567B1"/>
    <w:multiLevelType w:val="hybridMultilevel"/>
    <w:tmpl w:val="86249B2A"/>
    <w:lvl w:ilvl="0" w:tplc="D5D62666">
      <w:start w:val="2"/>
      <w:numFmt w:val="decimal"/>
      <w:lvlText w:val="%1."/>
      <w:lvlJc w:val="left"/>
      <w:pPr>
        <w:ind w:left="720" w:hanging="360"/>
      </w:pPr>
      <w:rPr>
        <w:rFonts w:hint="default"/>
      </w:rPr>
    </w:lvl>
    <w:lvl w:ilvl="1" w:tplc="989297B4" w:tentative="1">
      <w:start w:val="1"/>
      <w:numFmt w:val="lowerLetter"/>
      <w:lvlText w:val="%2."/>
      <w:lvlJc w:val="left"/>
      <w:pPr>
        <w:ind w:left="1440" w:hanging="360"/>
      </w:pPr>
    </w:lvl>
    <w:lvl w:ilvl="2" w:tplc="53320610" w:tentative="1">
      <w:start w:val="1"/>
      <w:numFmt w:val="lowerRoman"/>
      <w:lvlText w:val="%3."/>
      <w:lvlJc w:val="right"/>
      <w:pPr>
        <w:ind w:left="2160" w:hanging="180"/>
      </w:pPr>
    </w:lvl>
    <w:lvl w:ilvl="3" w:tplc="DFFA222A" w:tentative="1">
      <w:start w:val="1"/>
      <w:numFmt w:val="decimal"/>
      <w:lvlText w:val="%4."/>
      <w:lvlJc w:val="left"/>
      <w:pPr>
        <w:ind w:left="2880" w:hanging="360"/>
      </w:pPr>
    </w:lvl>
    <w:lvl w:ilvl="4" w:tplc="F4D63A80" w:tentative="1">
      <w:start w:val="1"/>
      <w:numFmt w:val="lowerLetter"/>
      <w:lvlText w:val="%5."/>
      <w:lvlJc w:val="left"/>
      <w:pPr>
        <w:ind w:left="3600" w:hanging="360"/>
      </w:pPr>
    </w:lvl>
    <w:lvl w:ilvl="5" w:tplc="CCB869A4" w:tentative="1">
      <w:start w:val="1"/>
      <w:numFmt w:val="lowerRoman"/>
      <w:lvlText w:val="%6."/>
      <w:lvlJc w:val="right"/>
      <w:pPr>
        <w:ind w:left="4320" w:hanging="180"/>
      </w:pPr>
    </w:lvl>
    <w:lvl w:ilvl="6" w:tplc="139CC104" w:tentative="1">
      <w:start w:val="1"/>
      <w:numFmt w:val="decimal"/>
      <w:lvlText w:val="%7."/>
      <w:lvlJc w:val="left"/>
      <w:pPr>
        <w:ind w:left="5040" w:hanging="360"/>
      </w:pPr>
    </w:lvl>
    <w:lvl w:ilvl="7" w:tplc="6504D7B8" w:tentative="1">
      <w:start w:val="1"/>
      <w:numFmt w:val="lowerLetter"/>
      <w:lvlText w:val="%8."/>
      <w:lvlJc w:val="left"/>
      <w:pPr>
        <w:ind w:left="5760" w:hanging="360"/>
      </w:pPr>
    </w:lvl>
    <w:lvl w:ilvl="8" w:tplc="5956A188" w:tentative="1">
      <w:start w:val="1"/>
      <w:numFmt w:val="lowerRoman"/>
      <w:lvlText w:val="%9."/>
      <w:lvlJc w:val="right"/>
      <w:pPr>
        <w:ind w:left="6480" w:hanging="180"/>
      </w:pPr>
    </w:lvl>
  </w:abstractNum>
  <w:abstractNum w:abstractNumId="15" w15:restartNumberingAfterBreak="0">
    <w:nsid w:val="34AA2184"/>
    <w:multiLevelType w:val="hybridMultilevel"/>
    <w:tmpl w:val="A86252EA"/>
    <w:lvl w:ilvl="0" w:tplc="D870F6BC">
      <w:start w:val="6"/>
      <w:numFmt w:val="decimal"/>
      <w:lvlText w:val="%1"/>
      <w:lvlJc w:val="left"/>
      <w:pPr>
        <w:ind w:left="720" w:hanging="360"/>
      </w:pPr>
      <w:rPr>
        <w:rFonts w:hint="default"/>
        <w:b w:val="0"/>
      </w:rPr>
    </w:lvl>
    <w:lvl w:ilvl="1" w:tplc="393AEDDA" w:tentative="1">
      <w:start w:val="1"/>
      <w:numFmt w:val="lowerLetter"/>
      <w:lvlText w:val="%2."/>
      <w:lvlJc w:val="left"/>
      <w:pPr>
        <w:ind w:left="1440" w:hanging="360"/>
      </w:pPr>
    </w:lvl>
    <w:lvl w:ilvl="2" w:tplc="6FD4A93E" w:tentative="1">
      <w:start w:val="1"/>
      <w:numFmt w:val="lowerRoman"/>
      <w:lvlText w:val="%3."/>
      <w:lvlJc w:val="right"/>
      <w:pPr>
        <w:ind w:left="2160" w:hanging="180"/>
      </w:pPr>
    </w:lvl>
    <w:lvl w:ilvl="3" w:tplc="24260B04" w:tentative="1">
      <w:start w:val="1"/>
      <w:numFmt w:val="decimal"/>
      <w:lvlText w:val="%4."/>
      <w:lvlJc w:val="left"/>
      <w:pPr>
        <w:ind w:left="2880" w:hanging="360"/>
      </w:pPr>
    </w:lvl>
    <w:lvl w:ilvl="4" w:tplc="08A89660" w:tentative="1">
      <w:start w:val="1"/>
      <w:numFmt w:val="lowerLetter"/>
      <w:lvlText w:val="%5."/>
      <w:lvlJc w:val="left"/>
      <w:pPr>
        <w:ind w:left="3600" w:hanging="360"/>
      </w:pPr>
    </w:lvl>
    <w:lvl w:ilvl="5" w:tplc="68E81F20" w:tentative="1">
      <w:start w:val="1"/>
      <w:numFmt w:val="lowerRoman"/>
      <w:lvlText w:val="%6."/>
      <w:lvlJc w:val="right"/>
      <w:pPr>
        <w:ind w:left="4320" w:hanging="180"/>
      </w:pPr>
    </w:lvl>
    <w:lvl w:ilvl="6" w:tplc="4F5E18CE" w:tentative="1">
      <w:start w:val="1"/>
      <w:numFmt w:val="decimal"/>
      <w:lvlText w:val="%7."/>
      <w:lvlJc w:val="left"/>
      <w:pPr>
        <w:ind w:left="5040" w:hanging="360"/>
      </w:pPr>
    </w:lvl>
    <w:lvl w:ilvl="7" w:tplc="D52A648C" w:tentative="1">
      <w:start w:val="1"/>
      <w:numFmt w:val="lowerLetter"/>
      <w:lvlText w:val="%8."/>
      <w:lvlJc w:val="left"/>
      <w:pPr>
        <w:ind w:left="5760" w:hanging="360"/>
      </w:pPr>
    </w:lvl>
    <w:lvl w:ilvl="8" w:tplc="C51AF432" w:tentative="1">
      <w:start w:val="1"/>
      <w:numFmt w:val="lowerRoman"/>
      <w:lvlText w:val="%9."/>
      <w:lvlJc w:val="right"/>
      <w:pPr>
        <w:ind w:left="6480" w:hanging="180"/>
      </w:pPr>
    </w:lvl>
  </w:abstractNum>
  <w:abstractNum w:abstractNumId="16" w15:restartNumberingAfterBreak="0">
    <w:nsid w:val="3A5459E8"/>
    <w:multiLevelType w:val="singleLevel"/>
    <w:tmpl w:val="2188C922"/>
    <w:name w:val="Tiret 1"/>
    <w:lvl w:ilvl="0">
      <w:start w:val="1"/>
      <w:numFmt w:val="bullet"/>
      <w:pStyle w:val="Tiret1"/>
      <w:lvlText w:val="–"/>
      <w:lvlJc w:val="left"/>
      <w:pPr>
        <w:tabs>
          <w:tab w:val="num" w:pos="1417"/>
        </w:tabs>
        <w:ind w:left="1417" w:hanging="567"/>
      </w:pPr>
    </w:lvl>
  </w:abstractNum>
  <w:abstractNum w:abstractNumId="17" w15:restartNumberingAfterBreak="0">
    <w:nsid w:val="3BA736C9"/>
    <w:multiLevelType w:val="singleLevel"/>
    <w:tmpl w:val="F00A6C0C"/>
    <w:name w:val="Tiret 0"/>
    <w:lvl w:ilvl="0">
      <w:start w:val="1"/>
      <w:numFmt w:val="bullet"/>
      <w:pStyle w:val="Tiret0"/>
      <w:lvlText w:val="–"/>
      <w:lvlJc w:val="left"/>
      <w:pPr>
        <w:tabs>
          <w:tab w:val="num" w:pos="850"/>
        </w:tabs>
        <w:ind w:left="850" w:hanging="850"/>
      </w:pPr>
    </w:lvl>
  </w:abstractNum>
  <w:abstractNum w:abstractNumId="18" w15:restartNumberingAfterBreak="0">
    <w:nsid w:val="3C90278F"/>
    <w:multiLevelType w:val="singleLevel"/>
    <w:tmpl w:val="0FE08974"/>
    <w:name w:val="Tiret 3"/>
    <w:lvl w:ilvl="0">
      <w:start w:val="1"/>
      <w:numFmt w:val="bullet"/>
      <w:pStyle w:val="Tiret3"/>
      <w:lvlText w:val="–"/>
      <w:lvlJc w:val="left"/>
      <w:pPr>
        <w:tabs>
          <w:tab w:val="num" w:pos="2551"/>
        </w:tabs>
        <w:ind w:left="2551" w:hanging="567"/>
      </w:pPr>
    </w:lvl>
  </w:abstractNum>
  <w:abstractNum w:abstractNumId="19" w15:restartNumberingAfterBreak="0">
    <w:nsid w:val="428415E7"/>
    <w:multiLevelType w:val="multilevel"/>
    <w:tmpl w:val="92100ADA"/>
    <w:lvl w:ilvl="0">
      <w:start w:val="1"/>
      <w:numFmt w:val="decimal"/>
      <w:pStyle w:val="Listanumerowan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45481EA4"/>
    <w:multiLevelType w:val="multilevel"/>
    <w:tmpl w:val="28525E6E"/>
    <w:lvl w:ilvl="0">
      <w:start w:val="1"/>
      <w:numFmt w:val="decimal"/>
      <w:pStyle w:val="Listanumerowana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48842C30"/>
    <w:multiLevelType w:val="singleLevel"/>
    <w:tmpl w:val="4FA60B90"/>
    <w:name w:val="Bullet 4"/>
    <w:lvl w:ilvl="0">
      <w:start w:val="1"/>
      <w:numFmt w:val="bullet"/>
      <w:pStyle w:val="Bullet4"/>
      <w:lvlText w:val=""/>
      <w:lvlJc w:val="left"/>
      <w:pPr>
        <w:tabs>
          <w:tab w:val="num" w:pos="3118"/>
        </w:tabs>
        <w:ind w:left="3118" w:hanging="567"/>
      </w:pPr>
      <w:rPr>
        <w:rFonts w:ascii="Symbol" w:hAnsi="Symbol" w:hint="default"/>
      </w:rPr>
    </w:lvl>
  </w:abstractNum>
  <w:abstractNum w:abstractNumId="23" w15:restartNumberingAfterBreak="0">
    <w:nsid w:val="48860AAB"/>
    <w:multiLevelType w:val="multilevel"/>
    <w:tmpl w:val="E8744BD2"/>
    <w:lvl w:ilvl="0">
      <w:start w:val="1"/>
      <w:numFmt w:val="decimal"/>
      <w:pStyle w:val="Listanumerowana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54593082"/>
    <w:multiLevelType w:val="singleLevel"/>
    <w:tmpl w:val="EDE069AC"/>
    <w:name w:val="Bullet 0"/>
    <w:lvl w:ilvl="0">
      <w:start w:val="1"/>
      <w:numFmt w:val="bullet"/>
      <w:pStyle w:val="Bullet0"/>
      <w:lvlText w:val=""/>
      <w:lvlJc w:val="left"/>
      <w:pPr>
        <w:tabs>
          <w:tab w:val="num" w:pos="850"/>
        </w:tabs>
        <w:ind w:left="850" w:hanging="850"/>
      </w:pPr>
      <w:rPr>
        <w:rFonts w:ascii="Symbol" w:hAnsi="Symbol" w:hint="default"/>
      </w:rPr>
    </w:lvl>
  </w:abstractNum>
  <w:abstractNum w:abstractNumId="25" w15:restartNumberingAfterBreak="0">
    <w:nsid w:val="568864DC"/>
    <w:multiLevelType w:val="singleLevel"/>
    <w:tmpl w:val="485EBDAC"/>
    <w:name w:val="Tiret 4"/>
    <w:lvl w:ilvl="0">
      <w:start w:val="1"/>
      <w:numFmt w:val="bullet"/>
      <w:pStyle w:val="Tiret4"/>
      <w:lvlText w:val="–"/>
      <w:lvlJc w:val="left"/>
      <w:pPr>
        <w:tabs>
          <w:tab w:val="num" w:pos="3118"/>
        </w:tabs>
        <w:ind w:left="3118" w:hanging="567"/>
      </w:pPr>
    </w:lvl>
  </w:abstractNum>
  <w:abstractNum w:abstractNumId="26" w15:restartNumberingAfterBreak="0">
    <w:nsid w:val="5DB35C4B"/>
    <w:multiLevelType w:val="multilevel"/>
    <w:tmpl w:val="D9645406"/>
    <w:name w:val="Heading32"/>
    <w:lvl w:ilvl="0">
      <w:start w:val="14"/>
      <w:numFmt w:val="decimal"/>
      <w:lvlText w:val="%1."/>
      <w:lvlJc w:val="left"/>
      <w:pPr>
        <w:tabs>
          <w:tab w:val="num" w:pos="992"/>
        </w:tabs>
        <w:ind w:left="992" w:hanging="850"/>
      </w:pPr>
      <w:rPr>
        <w:rFonts w:hint="default"/>
      </w:rPr>
    </w:lvl>
    <w:lvl w:ilvl="1">
      <w:start w:val="1"/>
      <w:numFmt w:val="decimal"/>
      <w:lvlText w:val="%1.%2."/>
      <w:lvlJc w:val="left"/>
      <w:pPr>
        <w:tabs>
          <w:tab w:val="num" w:pos="850"/>
        </w:tabs>
        <w:ind w:left="850" w:hanging="850"/>
      </w:pPr>
      <w:rPr>
        <w:rFonts w:hint="default"/>
      </w:rPr>
    </w:lvl>
    <w:lvl w:ilvl="2">
      <w:start w:val="1"/>
      <w:numFmt w:val="decimal"/>
      <w:lvlText w:val="%1.%2.%3."/>
      <w:lvlJc w:val="left"/>
      <w:pPr>
        <w:tabs>
          <w:tab w:val="num" w:pos="850"/>
        </w:tabs>
        <w:ind w:left="850" w:hanging="850"/>
      </w:pPr>
      <w:rPr>
        <w:rFonts w:hint="default"/>
        <w:b/>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5E1231D1"/>
    <w:multiLevelType w:val="multilevel"/>
    <w:tmpl w:val="14984EB4"/>
    <w:lvl w:ilvl="0">
      <w:start w:val="1"/>
      <w:numFmt w:val="decimal"/>
      <w:pStyle w:val="Nagwek1"/>
      <w:lvlText w:val="6,%1"/>
      <w:lvlJc w:val="left"/>
      <w:pPr>
        <w:ind w:left="360" w:hanging="360"/>
      </w:pPr>
      <w:rPr>
        <w:rFonts w:hint="default"/>
      </w:rPr>
    </w:lvl>
    <w:lvl w:ilvl="1">
      <w:start w:val="1"/>
      <w:numFmt w:val="decimal"/>
      <w:lvlText w:val="%1.%2."/>
      <w:lvlJc w:val="left"/>
      <w:pPr>
        <w:tabs>
          <w:tab w:val="num" w:pos="850"/>
        </w:tabs>
        <w:ind w:left="850" w:hanging="850"/>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5F342530"/>
    <w:multiLevelType w:val="singleLevel"/>
    <w:tmpl w:val="D5444702"/>
    <w:name w:val="Bullet 3"/>
    <w:lvl w:ilvl="0">
      <w:start w:val="1"/>
      <w:numFmt w:val="bullet"/>
      <w:pStyle w:val="Bullet3"/>
      <w:lvlText w:val=""/>
      <w:lvlJc w:val="left"/>
      <w:pPr>
        <w:tabs>
          <w:tab w:val="num" w:pos="2551"/>
        </w:tabs>
        <w:ind w:left="2551" w:hanging="567"/>
      </w:pPr>
      <w:rPr>
        <w:rFonts w:ascii="Symbol" w:hAnsi="Symbol" w:hint="default"/>
      </w:rPr>
    </w:lvl>
  </w:abstractNum>
  <w:abstractNum w:abstractNumId="29" w15:restartNumberingAfterBreak="0">
    <w:nsid w:val="5F9C40AA"/>
    <w:multiLevelType w:val="singleLevel"/>
    <w:tmpl w:val="B89CB5A2"/>
    <w:name w:val="Bullet 2"/>
    <w:lvl w:ilvl="0">
      <w:start w:val="1"/>
      <w:numFmt w:val="bullet"/>
      <w:pStyle w:val="Bullet2"/>
      <w:lvlText w:val=""/>
      <w:lvlJc w:val="left"/>
      <w:pPr>
        <w:tabs>
          <w:tab w:val="num" w:pos="1984"/>
        </w:tabs>
        <w:ind w:left="1984" w:hanging="567"/>
      </w:pPr>
      <w:rPr>
        <w:rFonts w:ascii="Symbol" w:hAnsi="Symbol" w:hint="default"/>
      </w:rPr>
    </w:lvl>
  </w:abstractNum>
  <w:abstractNum w:abstractNumId="30" w15:restartNumberingAfterBreak="0">
    <w:nsid w:val="62970F71"/>
    <w:multiLevelType w:val="singleLevel"/>
    <w:tmpl w:val="5AFA8C72"/>
    <w:name w:val="Tiret 2"/>
    <w:lvl w:ilvl="0">
      <w:start w:val="1"/>
      <w:numFmt w:val="bullet"/>
      <w:pStyle w:val="Tiret2"/>
      <w:lvlText w:val="–"/>
      <w:lvlJc w:val="left"/>
      <w:pPr>
        <w:tabs>
          <w:tab w:val="num" w:pos="1984"/>
        </w:tabs>
        <w:ind w:left="1984" w:hanging="567"/>
      </w:pPr>
    </w:lvl>
  </w:abstractNum>
  <w:abstractNum w:abstractNumId="31" w15:restartNumberingAfterBreak="0">
    <w:nsid w:val="64A12FA4"/>
    <w:multiLevelType w:val="multilevel"/>
    <w:tmpl w:val="E1948A0A"/>
    <w:name w:val="Heading"/>
    <w:lvl w:ilvl="0">
      <w:start w:val="2"/>
      <w:numFmt w:val="decimal"/>
      <w:lvlText w:val="%1."/>
      <w:lvlJc w:val="left"/>
      <w:pPr>
        <w:tabs>
          <w:tab w:val="num" w:pos="992"/>
        </w:tabs>
        <w:ind w:left="992" w:hanging="850"/>
      </w:pPr>
      <w:rPr>
        <w:rFonts w:hint="default"/>
      </w:rPr>
    </w:lvl>
    <w:lvl w:ilvl="1">
      <w:start w:val="1"/>
      <w:numFmt w:val="decimal"/>
      <w:lvlText w:val="%1.%2."/>
      <w:lvlJc w:val="left"/>
      <w:pPr>
        <w:tabs>
          <w:tab w:val="num" w:pos="850"/>
        </w:tabs>
        <w:ind w:left="850" w:hanging="850"/>
      </w:pPr>
      <w:rPr>
        <w:rFonts w:hint="default"/>
      </w:rPr>
    </w:lvl>
    <w:lvl w:ilvl="2">
      <w:start w:val="1"/>
      <w:numFmt w:val="decimal"/>
      <w:lvlText w:val="%1.%2.%3."/>
      <w:lvlJc w:val="left"/>
      <w:pPr>
        <w:tabs>
          <w:tab w:val="num" w:pos="850"/>
        </w:tabs>
        <w:ind w:left="850" w:hanging="850"/>
      </w:pPr>
      <w:rPr>
        <w:rFonts w:hint="default"/>
        <w:b/>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33"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34" w15:restartNumberingAfterBreak="0">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35" w15:restartNumberingAfterBreak="0">
    <w:nsid w:val="69995580"/>
    <w:multiLevelType w:val="singleLevel"/>
    <w:tmpl w:val="75CC7CBA"/>
    <w:name w:val="Considérant"/>
    <w:lvl w:ilvl="0">
      <w:start w:val="1"/>
      <w:numFmt w:val="decimal"/>
      <w:pStyle w:val="Considrant"/>
      <w:lvlText w:val="(%1)"/>
      <w:lvlJc w:val="left"/>
      <w:pPr>
        <w:tabs>
          <w:tab w:val="num" w:pos="709"/>
        </w:tabs>
        <w:ind w:left="709" w:hanging="709"/>
      </w:pPr>
    </w:lvl>
  </w:abstractNum>
  <w:abstractNum w:abstractNumId="36" w15:restartNumberingAfterBreak="0">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abstractNum w:abstractNumId="37" w15:restartNumberingAfterBreak="0">
    <w:nsid w:val="711167E2"/>
    <w:multiLevelType w:val="multilevel"/>
    <w:tmpl w:val="C3843A7A"/>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75C26F71"/>
    <w:multiLevelType w:val="multilevel"/>
    <w:tmpl w:val="2DAA28F8"/>
    <w:lvl w:ilvl="0">
      <w:start w:val="2"/>
      <w:numFmt w:val="decimal"/>
      <w:pStyle w:val="Heading10"/>
      <w:lvlText w:val="%1."/>
      <w:lvlJc w:val="left"/>
      <w:pPr>
        <w:tabs>
          <w:tab w:val="num" w:pos="850"/>
        </w:tabs>
        <w:ind w:left="850" w:hanging="850"/>
      </w:pPr>
      <w:rPr>
        <w:rFonts w:hint="default"/>
      </w:rPr>
    </w:lvl>
    <w:lvl w:ilvl="1">
      <w:start w:val="1"/>
      <w:numFmt w:val="decimal"/>
      <w:lvlText w:val="%1.%2."/>
      <w:lvlJc w:val="left"/>
      <w:pPr>
        <w:tabs>
          <w:tab w:val="num" w:pos="850"/>
        </w:tabs>
        <w:ind w:left="850" w:hanging="850"/>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7BE95D7F"/>
    <w:multiLevelType w:val="multilevel"/>
    <w:tmpl w:val="F126F780"/>
    <w:lvl w:ilvl="0">
      <w:start w:val="1"/>
      <w:numFmt w:val="decimal"/>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40" w15:restartNumberingAfterBreak="0">
    <w:nsid w:val="7BE95D80"/>
    <w:multiLevelType w:val="hybridMultilevel"/>
    <w:tmpl w:val="7BE95D80"/>
    <w:lvl w:ilvl="0" w:tplc="6C0EEA74">
      <w:start w:val="1"/>
      <w:numFmt w:val="bullet"/>
      <w:lvlText w:val=""/>
      <w:lvlJc w:val="left"/>
      <w:pPr>
        <w:ind w:left="720" w:hanging="360"/>
      </w:pPr>
      <w:rPr>
        <w:rFonts w:ascii="Symbol" w:hAnsi="Symbol"/>
      </w:rPr>
    </w:lvl>
    <w:lvl w:ilvl="1" w:tplc="0FAA60F4">
      <w:start w:val="1"/>
      <w:numFmt w:val="bullet"/>
      <w:lvlText w:val="o"/>
      <w:lvlJc w:val="left"/>
      <w:pPr>
        <w:tabs>
          <w:tab w:val="num" w:pos="1440"/>
        </w:tabs>
        <w:ind w:left="1440" w:hanging="360"/>
      </w:pPr>
      <w:rPr>
        <w:rFonts w:ascii="Courier New" w:hAnsi="Courier New"/>
      </w:rPr>
    </w:lvl>
    <w:lvl w:ilvl="2" w:tplc="072697FC">
      <w:start w:val="1"/>
      <w:numFmt w:val="bullet"/>
      <w:lvlText w:val=""/>
      <w:lvlJc w:val="left"/>
      <w:pPr>
        <w:tabs>
          <w:tab w:val="num" w:pos="2160"/>
        </w:tabs>
        <w:ind w:left="2160" w:hanging="360"/>
      </w:pPr>
      <w:rPr>
        <w:rFonts w:ascii="Wingdings" w:hAnsi="Wingdings"/>
      </w:rPr>
    </w:lvl>
    <w:lvl w:ilvl="3" w:tplc="17823560">
      <w:start w:val="1"/>
      <w:numFmt w:val="bullet"/>
      <w:lvlText w:val=""/>
      <w:lvlJc w:val="left"/>
      <w:pPr>
        <w:tabs>
          <w:tab w:val="num" w:pos="2880"/>
        </w:tabs>
        <w:ind w:left="2880" w:hanging="360"/>
      </w:pPr>
      <w:rPr>
        <w:rFonts w:ascii="Symbol" w:hAnsi="Symbol"/>
      </w:rPr>
    </w:lvl>
    <w:lvl w:ilvl="4" w:tplc="ECE247BC">
      <w:start w:val="1"/>
      <w:numFmt w:val="bullet"/>
      <w:lvlText w:val="o"/>
      <w:lvlJc w:val="left"/>
      <w:pPr>
        <w:tabs>
          <w:tab w:val="num" w:pos="3600"/>
        </w:tabs>
        <w:ind w:left="3600" w:hanging="360"/>
      </w:pPr>
      <w:rPr>
        <w:rFonts w:ascii="Courier New" w:hAnsi="Courier New"/>
      </w:rPr>
    </w:lvl>
    <w:lvl w:ilvl="5" w:tplc="4B568EE8">
      <w:start w:val="1"/>
      <w:numFmt w:val="bullet"/>
      <w:lvlText w:val=""/>
      <w:lvlJc w:val="left"/>
      <w:pPr>
        <w:tabs>
          <w:tab w:val="num" w:pos="4320"/>
        </w:tabs>
        <w:ind w:left="4320" w:hanging="360"/>
      </w:pPr>
      <w:rPr>
        <w:rFonts w:ascii="Wingdings" w:hAnsi="Wingdings"/>
      </w:rPr>
    </w:lvl>
    <w:lvl w:ilvl="6" w:tplc="F9944D7A">
      <w:start w:val="1"/>
      <w:numFmt w:val="bullet"/>
      <w:lvlText w:val=""/>
      <w:lvlJc w:val="left"/>
      <w:pPr>
        <w:tabs>
          <w:tab w:val="num" w:pos="5040"/>
        </w:tabs>
        <w:ind w:left="5040" w:hanging="360"/>
      </w:pPr>
      <w:rPr>
        <w:rFonts w:ascii="Symbol" w:hAnsi="Symbol"/>
      </w:rPr>
    </w:lvl>
    <w:lvl w:ilvl="7" w:tplc="D472D116">
      <w:start w:val="1"/>
      <w:numFmt w:val="bullet"/>
      <w:lvlText w:val="o"/>
      <w:lvlJc w:val="left"/>
      <w:pPr>
        <w:tabs>
          <w:tab w:val="num" w:pos="5760"/>
        </w:tabs>
        <w:ind w:left="5760" w:hanging="360"/>
      </w:pPr>
      <w:rPr>
        <w:rFonts w:ascii="Courier New" w:hAnsi="Courier New"/>
      </w:rPr>
    </w:lvl>
    <w:lvl w:ilvl="8" w:tplc="F704DAF0">
      <w:start w:val="1"/>
      <w:numFmt w:val="bullet"/>
      <w:lvlText w:val=""/>
      <w:lvlJc w:val="left"/>
      <w:pPr>
        <w:tabs>
          <w:tab w:val="num" w:pos="6480"/>
        </w:tabs>
        <w:ind w:left="6480" w:hanging="360"/>
      </w:pPr>
      <w:rPr>
        <w:rFonts w:ascii="Wingdings" w:hAnsi="Wingdings"/>
      </w:rPr>
    </w:lvl>
  </w:abstractNum>
  <w:abstractNum w:abstractNumId="41" w15:restartNumberingAfterBreak="0">
    <w:nsid w:val="7BE95D81"/>
    <w:multiLevelType w:val="hybridMultilevel"/>
    <w:tmpl w:val="7BE95D81"/>
    <w:lvl w:ilvl="0" w:tplc="84761158">
      <w:start w:val="1"/>
      <w:numFmt w:val="bullet"/>
      <w:lvlText w:val=""/>
      <w:lvlJc w:val="left"/>
      <w:pPr>
        <w:ind w:left="720" w:hanging="360"/>
      </w:pPr>
      <w:rPr>
        <w:rFonts w:ascii="Symbol" w:hAnsi="Symbol"/>
      </w:rPr>
    </w:lvl>
    <w:lvl w:ilvl="1" w:tplc="D996F83A">
      <w:start w:val="1"/>
      <w:numFmt w:val="bullet"/>
      <w:lvlText w:val="o"/>
      <w:lvlJc w:val="left"/>
      <w:pPr>
        <w:tabs>
          <w:tab w:val="num" w:pos="1440"/>
        </w:tabs>
        <w:ind w:left="1440" w:hanging="360"/>
      </w:pPr>
      <w:rPr>
        <w:rFonts w:ascii="Courier New" w:hAnsi="Courier New"/>
      </w:rPr>
    </w:lvl>
    <w:lvl w:ilvl="2" w:tplc="51AA7B12">
      <w:start w:val="1"/>
      <w:numFmt w:val="bullet"/>
      <w:lvlText w:val=""/>
      <w:lvlJc w:val="left"/>
      <w:pPr>
        <w:tabs>
          <w:tab w:val="num" w:pos="2160"/>
        </w:tabs>
        <w:ind w:left="2160" w:hanging="360"/>
      </w:pPr>
      <w:rPr>
        <w:rFonts w:ascii="Wingdings" w:hAnsi="Wingdings"/>
      </w:rPr>
    </w:lvl>
    <w:lvl w:ilvl="3" w:tplc="F466A94C">
      <w:start w:val="1"/>
      <w:numFmt w:val="bullet"/>
      <w:lvlText w:val=""/>
      <w:lvlJc w:val="left"/>
      <w:pPr>
        <w:tabs>
          <w:tab w:val="num" w:pos="2880"/>
        </w:tabs>
        <w:ind w:left="2880" w:hanging="360"/>
      </w:pPr>
      <w:rPr>
        <w:rFonts w:ascii="Symbol" w:hAnsi="Symbol"/>
      </w:rPr>
    </w:lvl>
    <w:lvl w:ilvl="4" w:tplc="70165664">
      <w:start w:val="1"/>
      <w:numFmt w:val="bullet"/>
      <w:lvlText w:val="o"/>
      <w:lvlJc w:val="left"/>
      <w:pPr>
        <w:tabs>
          <w:tab w:val="num" w:pos="3600"/>
        </w:tabs>
        <w:ind w:left="3600" w:hanging="360"/>
      </w:pPr>
      <w:rPr>
        <w:rFonts w:ascii="Courier New" w:hAnsi="Courier New"/>
      </w:rPr>
    </w:lvl>
    <w:lvl w:ilvl="5" w:tplc="8F4A7ED8">
      <w:start w:val="1"/>
      <w:numFmt w:val="bullet"/>
      <w:lvlText w:val=""/>
      <w:lvlJc w:val="left"/>
      <w:pPr>
        <w:tabs>
          <w:tab w:val="num" w:pos="4320"/>
        </w:tabs>
        <w:ind w:left="4320" w:hanging="360"/>
      </w:pPr>
      <w:rPr>
        <w:rFonts w:ascii="Wingdings" w:hAnsi="Wingdings"/>
      </w:rPr>
    </w:lvl>
    <w:lvl w:ilvl="6" w:tplc="82405310">
      <w:start w:val="1"/>
      <w:numFmt w:val="bullet"/>
      <w:lvlText w:val=""/>
      <w:lvlJc w:val="left"/>
      <w:pPr>
        <w:tabs>
          <w:tab w:val="num" w:pos="5040"/>
        </w:tabs>
        <w:ind w:left="5040" w:hanging="360"/>
      </w:pPr>
      <w:rPr>
        <w:rFonts w:ascii="Symbol" w:hAnsi="Symbol"/>
      </w:rPr>
    </w:lvl>
    <w:lvl w:ilvl="7" w:tplc="DC2E90CE">
      <w:start w:val="1"/>
      <w:numFmt w:val="bullet"/>
      <w:lvlText w:val="o"/>
      <w:lvlJc w:val="left"/>
      <w:pPr>
        <w:tabs>
          <w:tab w:val="num" w:pos="5760"/>
        </w:tabs>
        <w:ind w:left="5760" w:hanging="360"/>
      </w:pPr>
      <w:rPr>
        <w:rFonts w:ascii="Courier New" w:hAnsi="Courier New"/>
      </w:rPr>
    </w:lvl>
    <w:lvl w:ilvl="8" w:tplc="BC5E0C94">
      <w:start w:val="1"/>
      <w:numFmt w:val="bullet"/>
      <w:lvlText w:val=""/>
      <w:lvlJc w:val="left"/>
      <w:pPr>
        <w:tabs>
          <w:tab w:val="num" w:pos="6480"/>
        </w:tabs>
        <w:ind w:left="6480" w:hanging="360"/>
      </w:pPr>
      <w:rPr>
        <w:rFonts w:ascii="Wingdings" w:hAnsi="Wingdings"/>
      </w:rPr>
    </w:lvl>
  </w:abstractNum>
  <w:abstractNum w:abstractNumId="42" w15:restartNumberingAfterBreak="0">
    <w:nsid w:val="7BE95D82"/>
    <w:multiLevelType w:val="multilevel"/>
    <w:tmpl w:val="7BE95D82"/>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7BE95D83"/>
    <w:multiLevelType w:val="hybridMultilevel"/>
    <w:tmpl w:val="7BE95D83"/>
    <w:lvl w:ilvl="0" w:tplc="8D407CBE">
      <w:start w:val="1"/>
      <w:numFmt w:val="bullet"/>
      <w:lvlText w:val=""/>
      <w:lvlJc w:val="left"/>
      <w:pPr>
        <w:ind w:left="720" w:hanging="360"/>
      </w:pPr>
      <w:rPr>
        <w:rFonts w:ascii="Symbol" w:hAnsi="Symbol"/>
      </w:rPr>
    </w:lvl>
    <w:lvl w:ilvl="1" w:tplc="205CB0F8">
      <w:start w:val="1"/>
      <w:numFmt w:val="bullet"/>
      <w:lvlText w:val="o"/>
      <w:lvlJc w:val="left"/>
      <w:pPr>
        <w:tabs>
          <w:tab w:val="num" w:pos="1440"/>
        </w:tabs>
        <w:ind w:left="1440" w:hanging="360"/>
      </w:pPr>
      <w:rPr>
        <w:rFonts w:ascii="Courier New" w:hAnsi="Courier New"/>
      </w:rPr>
    </w:lvl>
    <w:lvl w:ilvl="2" w:tplc="C50856FC">
      <w:start w:val="1"/>
      <w:numFmt w:val="bullet"/>
      <w:lvlText w:val=""/>
      <w:lvlJc w:val="left"/>
      <w:pPr>
        <w:tabs>
          <w:tab w:val="num" w:pos="2160"/>
        </w:tabs>
        <w:ind w:left="2160" w:hanging="360"/>
      </w:pPr>
      <w:rPr>
        <w:rFonts w:ascii="Wingdings" w:hAnsi="Wingdings"/>
      </w:rPr>
    </w:lvl>
    <w:lvl w:ilvl="3" w:tplc="720CD450">
      <w:start w:val="1"/>
      <w:numFmt w:val="bullet"/>
      <w:lvlText w:val=""/>
      <w:lvlJc w:val="left"/>
      <w:pPr>
        <w:tabs>
          <w:tab w:val="num" w:pos="2880"/>
        </w:tabs>
        <w:ind w:left="2880" w:hanging="360"/>
      </w:pPr>
      <w:rPr>
        <w:rFonts w:ascii="Symbol" w:hAnsi="Symbol"/>
      </w:rPr>
    </w:lvl>
    <w:lvl w:ilvl="4" w:tplc="BA780714">
      <w:start w:val="1"/>
      <w:numFmt w:val="bullet"/>
      <w:lvlText w:val="o"/>
      <w:lvlJc w:val="left"/>
      <w:pPr>
        <w:tabs>
          <w:tab w:val="num" w:pos="3600"/>
        </w:tabs>
        <w:ind w:left="3600" w:hanging="360"/>
      </w:pPr>
      <w:rPr>
        <w:rFonts w:ascii="Courier New" w:hAnsi="Courier New"/>
      </w:rPr>
    </w:lvl>
    <w:lvl w:ilvl="5" w:tplc="D6E6BA02">
      <w:start w:val="1"/>
      <w:numFmt w:val="bullet"/>
      <w:lvlText w:val=""/>
      <w:lvlJc w:val="left"/>
      <w:pPr>
        <w:tabs>
          <w:tab w:val="num" w:pos="4320"/>
        </w:tabs>
        <w:ind w:left="4320" w:hanging="360"/>
      </w:pPr>
      <w:rPr>
        <w:rFonts w:ascii="Wingdings" w:hAnsi="Wingdings"/>
      </w:rPr>
    </w:lvl>
    <w:lvl w:ilvl="6" w:tplc="547C7940">
      <w:start w:val="1"/>
      <w:numFmt w:val="bullet"/>
      <w:lvlText w:val=""/>
      <w:lvlJc w:val="left"/>
      <w:pPr>
        <w:tabs>
          <w:tab w:val="num" w:pos="5040"/>
        </w:tabs>
        <w:ind w:left="5040" w:hanging="360"/>
      </w:pPr>
      <w:rPr>
        <w:rFonts w:ascii="Symbol" w:hAnsi="Symbol"/>
      </w:rPr>
    </w:lvl>
    <w:lvl w:ilvl="7" w:tplc="FC56F57A">
      <w:start w:val="1"/>
      <w:numFmt w:val="bullet"/>
      <w:lvlText w:val="o"/>
      <w:lvlJc w:val="left"/>
      <w:pPr>
        <w:tabs>
          <w:tab w:val="num" w:pos="5760"/>
        </w:tabs>
        <w:ind w:left="5760" w:hanging="360"/>
      </w:pPr>
      <w:rPr>
        <w:rFonts w:ascii="Courier New" w:hAnsi="Courier New"/>
      </w:rPr>
    </w:lvl>
    <w:lvl w:ilvl="8" w:tplc="03985F8C">
      <w:start w:val="1"/>
      <w:numFmt w:val="bullet"/>
      <w:lvlText w:val=""/>
      <w:lvlJc w:val="left"/>
      <w:pPr>
        <w:tabs>
          <w:tab w:val="num" w:pos="6480"/>
        </w:tabs>
        <w:ind w:left="6480" w:hanging="360"/>
      </w:pPr>
      <w:rPr>
        <w:rFonts w:ascii="Wingdings" w:hAnsi="Wingdings"/>
      </w:rPr>
    </w:lvl>
  </w:abstractNum>
  <w:abstractNum w:abstractNumId="44" w15:restartNumberingAfterBreak="0">
    <w:nsid w:val="7BE95D84"/>
    <w:multiLevelType w:val="multilevel"/>
    <w:tmpl w:val="7BE95D84"/>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15:restartNumberingAfterBreak="0">
    <w:nsid w:val="7BE95D85"/>
    <w:multiLevelType w:val="multilevel"/>
    <w:tmpl w:val="7BE95D85"/>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15:restartNumberingAfterBreak="0">
    <w:nsid w:val="7BE95D86"/>
    <w:multiLevelType w:val="multilevel"/>
    <w:tmpl w:val="7BE95D86"/>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15:restartNumberingAfterBreak="0">
    <w:nsid w:val="7BE95D87"/>
    <w:multiLevelType w:val="multilevel"/>
    <w:tmpl w:val="7BE95D8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15:restartNumberingAfterBreak="0">
    <w:nsid w:val="7BE95D88"/>
    <w:multiLevelType w:val="multilevel"/>
    <w:tmpl w:val="7BE95D88"/>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9" w15:restartNumberingAfterBreak="0">
    <w:nsid w:val="7BE95D89"/>
    <w:multiLevelType w:val="hybridMultilevel"/>
    <w:tmpl w:val="7BE95D89"/>
    <w:lvl w:ilvl="0" w:tplc="CC2063AE">
      <w:start w:val="1"/>
      <w:numFmt w:val="bullet"/>
      <w:lvlText w:val=""/>
      <w:lvlJc w:val="left"/>
      <w:pPr>
        <w:ind w:left="720" w:hanging="360"/>
      </w:pPr>
      <w:rPr>
        <w:rFonts w:ascii="Symbol" w:hAnsi="Symbol"/>
      </w:rPr>
    </w:lvl>
    <w:lvl w:ilvl="1" w:tplc="9ACAA834">
      <w:start w:val="1"/>
      <w:numFmt w:val="bullet"/>
      <w:lvlText w:val="o"/>
      <w:lvlJc w:val="left"/>
      <w:pPr>
        <w:tabs>
          <w:tab w:val="num" w:pos="1440"/>
        </w:tabs>
        <w:ind w:left="1440" w:hanging="360"/>
      </w:pPr>
      <w:rPr>
        <w:rFonts w:ascii="Courier New" w:hAnsi="Courier New"/>
      </w:rPr>
    </w:lvl>
    <w:lvl w:ilvl="2" w:tplc="4F32B05A">
      <w:start w:val="1"/>
      <w:numFmt w:val="bullet"/>
      <w:lvlText w:val=""/>
      <w:lvlJc w:val="left"/>
      <w:pPr>
        <w:tabs>
          <w:tab w:val="num" w:pos="2160"/>
        </w:tabs>
        <w:ind w:left="2160" w:hanging="360"/>
      </w:pPr>
      <w:rPr>
        <w:rFonts w:ascii="Wingdings" w:hAnsi="Wingdings"/>
      </w:rPr>
    </w:lvl>
    <w:lvl w:ilvl="3" w:tplc="068226F2">
      <w:start w:val="1"/>
      <w:numFmt w:val="bullet"/>
      <w:lvlText w:val=""/>
      <w:lvlJc w:val="left"/>
      <w:pPr>
        <w:tabs>
          <w:tab w:val="num" w:pos="2880"/>
        </w:tabs>
        <w:ind w:left="2880" w:hanging="360"/>
      </w:pPr>
      <w:rPr>
        <w:rFonts w:ascii="Symbol" w:hAnsi="Symbol"/>
      </w:rPr>
    </w:lvl>
    <w:lvl w:ilvl="4" w:tplc="949EDC78">
      <w:start w:val="1"/>
      <w:numFmt w:val="bullet"/>
      <w:lvlText w:val="o"/>
      <w:lvlJc w:val="left"/>
      <w:pPr>
        <w:tabs>
          <w:tab w:val="num" w:pos="3600"/>
        </w:tabs>
        <w:ind w:left="3600" w:hanging="360"/>
      </w:pPr>
      <w:rPr>
        <w:rFonts w:ascii="Courier New" w:hAnsi="Courier New"/>
      </w:rPr>
    </w:lvl>
    <w:lvl w:ilvl="5" w:tplc="A41AE678">
      <w:start w:val="1"/>
      <w:numFmt w:val="bullet"/>
      <w:lvlText w:val=""/>
      <w:lvlJc w:val="left"/>
      <w:pPr>
        <w:tabs>
          <w:tab w:val="num" w:pos="4320"/>
        </w:tabs>
        <w:ind w:left="4320" w:hanging="360"/>
      </w:pPr>
      <w:rPr>
        <w:rFonts w:ascii="Wingdings" w:hAnsi="Wingdings"/>
      </w:rPr>
    </w:lvl>
    <w:lvl w:ilvl="6" w:tplc="4DF05960">
      <w:start w:val="1"/>
      <w:numFmt w:val="bullet"/>
      <w:lvlText w:val=""/>
      <w:lvlJc w:val="left"/>
      <w:pPr>
        <w:tabs>
          <w:tab w:val="num" w:pos="5040"/>
        </w:tabs>
        <w:ind w:left="5040" w:hanging="360"/>
      </w:pPr>
      <w:rPr>
        <w:rFonts w:ascii="Symbol" w:hAnsi="Symbol"/>
      </w:rPr>
    </w:lvl>
    <w:lvl w:ilvl="7" w:tplc="32728BB4">
      <w:start w:val="1"/>
      <w:numFmt w:val="bullet"/>
      <w:lvlText w:val="o"/>
      <w:lvlJc w:val="left"/>
      <w:pPr>
        <w:tabs>
          <w:tab w:val="num" w:pos="5760"/>
        </w:tabs>
        <w:ind w:left="5760" w:hanging="360"/>
      </w:pPr>
      <w:rPr>
        <w:rFonts w:ascii="Courier New" w:hAnsi="Courier New"/>
      </w:rPr>
    </w:lvl>
    <w:lvl w:ilvl="8" w:tplc="DDBAA95A">
      <w:start w:val="1"/>
      <w:numFmt w:val="bullet"/>
      <w:lvlText w:val=""/>
      <w:lvlJc w:val="left"/>
      <w:pPr>
        <w:tabs>
          <w:tab w:val="num" w:pos="6480"/>
        </w:tabs>
        <w:ind w:left="6480" w:hanging="360"/>
      </w:pPr>
      <w:rPr>
        <w:rFonts w:ascii="Wingdings" w:hAnsi="Wingdings"/>
      </w:rPr>
    </w:lvl>
  </w:abstractNum>
  <w:abstractNum w:abstractNumId="50" w15:restartNumberingAfterBreak="0">
    <w:nsid w:val="7BE95D8A"/>
    <w:multiLevelType w:val="hybridMultilevel"/>
    <w:tmpl w:val="7BE95D8A"/>
    <w:lvl w:ilvl="0" w:tplc="B5BEEF98">
      <w:start w:val="1"/>
      <w:numFmt w:val="bullet"/>
      <w:lvlText w:val=""/>
      <w:lvlJc w:val="left"/>
      <w:pPr>
        <w:ind w:left="720" w:hanging="360"/>
      </w:pPr>
      <w:rPr>
        <w:rFonts w:ascii="Symbol" w:hAnsi="Symbol"/>
      </w:rPr>
    </w:lvl>
    <w:lvl w:ilvl="1" w:tplc="57108C9C">
      <w:start w:val="1"/>
      <w:numFmt w:val="bullet"/>
      <w:lvlText w:val="o"/>
      <w:lvlJc w:val="left"/>
      <w:pPr>
        <w:tabs>
          <w:tab w:val="num" w:pos="1440"/>
        </w:tabs>
        <w:ind w:left="1440" w:hanging="360"/>
      </w:pPr>
      <w:rPr>
        <w:rFonts w:ascii="Courier New" w:hAnsi="Courier New"/>
      </w:rPr>
    </w:lvl>
    <w:lvl w:ilvl="2" w:tplc="E18E9510">
      <w:start w:val="1"/>
      <w:numFmt w:val="bullet"/>
      <w:lvlText w:val=""/>
      <w:lvlJc w:val="left"/>
      <w:pPr>
        <w:tabs>
          <w:tab w:val="num" w:pos="2160"/>
        </w:tabs>
        <w:ind w:left="2160" w:hanging="360"/>
      </w:pPr>
      <w:rPr>
        <w:rFonts w:ascii="Wingdings" w:hAnsi="Wingdings"/>
      </w:rPr>
    </w:lvl>
    <w:lvl w:ilvl="3" w:tplc="10A03354">
      <w:start w:val="1"/>
      <w:numFmt w:val="bullet"/>
      <w:lvlText w:val=""/>
      <w:lvlJc w:val="left"/>
      <w:pPr>
        <w:tabs>
          <w:tab w:val="num" w:pos="2880"/>
        </w:tabs>
        <w:ind w:left="2880" w:hanging="360"/>
      </w:pPr>
      <w:rPr>
        <w:rFonts w:ascii="Symbol" w:hAnsi="Symbol"/>
      </w:rPr>
    </w:lvl>
    <w:lvl w:ilvl="4" w:tplc="ADA2B41E">
      <w:start w:val="1"/>
      <w:numFmt w:val="bullet"/>
      <w:lvlText w:val="o"/>
      <w:lvlJc w:val="left"/>
      <w:pPr>
        <w:tabs>
          <w:tab w:val="num" w:pos="3600"/>
        </w:tabs>
        <w:ind w:left="3600" w:hanging="360"/>
      </w:pPr>
      <w:rPr>
        <w:rFonts w:ascii="Courier New" w:hAnsi="Courier New"/>
      </w:rPr>
    </w:lvl>
    <w:lvl w:ilvl="5" w:tplc="6B96B2C2">
      <w:start w:val="1"/>
      <w:numFmt w:val="bullet"/>
      <w:lvlText w:val=""/>
      <w:lvlJc w:val="left"/>
      <w:pPr>
        <w:tabs>
          <w:tab w:val="num" w:pos="4320"/>
        </w:tabs>
        <w:ind w:left="4320" w:hanging="360"/>
      </w:pPr>
      <w:rPr>
        <w:rFonts w:ascii="Wingdings" w:hAnsi="Wingdings"/>
      </w:rPr>
    </w:lvl>
    <w:lvl w:ilvl="6" w:tplc="6B6C95FE">
      <w:start w:val="1"/>
      <w:numFmt w:val="bullet"/>
      <w:lvlText w:val=""/>
      <w:lvlJc w:val="left"/>
      <w:pPr>
        <w:tabs>
          <w:tab w:val="num" w:pos="5040"/>
        </w:tabs>
        <w:ind w:left="5040" w:hanging="360"/>
      </w:pPr>
      <w:rPr>
        <w:rFonts w:ascii="Symbol" w:hAnsi="Symbol"/>
      </w:rPr>
    </w:lvl>
    <w:lvl w:ilvl="7" w:tplc="BA40C0D0">
      <w:start w:val="1"/>
      <w:numFmt w:val="bullet"/>
      <w:lvlText w:val="o"/>
      <w:lvlJc w:val="left"/>
      <w:pPr>
        <w:tabs>
          <w:tab w:val="num" w:pos="5760"/>
        </w:tabs>
        <w:ind w:left="5760" w:hanging="360"/>
      </w:pPr>
      <w:rPr>
        <w:rFonts w:ascii="Courier New" w:hAnsi="Courier New"/>
      </w:rPr>
    </w:lvl>
    <w:lvl w:ilvl="8" w:tplc="5FF6D370">
      <w:start w:val="1"/>
      <w:numFmt w:val="bullet"/>
      <w:lvlText w:val=""/>
      <w:lvlJc w:val="left"/>
      <w:pPr>
        <w:tabs>
          <w:tab w:val="num" w:pos="6480"/>
        </w:tabs>
        <w:ind w:left="6480" w:hanging="360"/>
      </w:pPr>
      <w:rPr>
        <w:rFonts w:ascii="Wingdings" w:hAnsi="Wingdings"/>
      </w:rPr>
    </w:lvl>
  </w:abstractNum>
  <w:abstractNum w:abstractNumId="51" w15:restartNumberingAfterBreak="0">
    <w:nsid w:val="7BE95D8B"/>
    <w:multiLevelType w:val="hybridMultilevel"/>
    <w:tmpl w:val="7BE95D8B"/>
    <w:lvl w:ilvl="0" w:tplc="6E88C648">
      <w:start w:val="1"/>
      <w:numFmt w:val="bullet"/>
      <w:lvlText w:val=""/>
      <w:lvlJc w:val="left"/>
      <w:pPr>
        <w:ind w:left="720" w:hanging="360"/>
      </w:pPr>
      <w:rPr>
        <w:rFonts w:ascii="Symbol" w:hAnsi="Symbol"/>
      </w:rPr>
    </w:lvl>
    <w:lvl w:ilvl="1" w:tplc="6EF4E5C4">
      <w:start w:val="1"/>
      <w:numFmt w:val="bullet"/>
      <w:lvlText w:val="o"/>
      <w:lvlJc w:val="left"/>
      <w:pPr>
        <w:tabs>
          <w:tab w:val="num" w:pos="1440"/>
        </w:tabs>
        <w:ind w:left="1440" w:hanging="360"/>
      </w:pPr>
      <w:rPr>
        <w:rFonts w:ascii="Courier New" w:hAnsi="Courier New"/>
      </w:rPr>
    </w:lvl>
    <w:lvl w:ilvl="2" w:tplc="1C28A23C">
      <w:start w:val="1"/>
      <w:numFmt w:val="bullet"/>
      <w:lvlText w:val=""/>
      <w:lvlJc w:val="left"/>
      <w:pPr>
        <w:tabs>
          <w:tab w:val="num" w:pos="2160"/>
        </w:tabs>
        <w:ind w:left="2160" w:hanging="360"/>
      </w:pPr>
      <w:rPr>
        <w:rFonts w:ascii="Wingdings" w:hAnsi="Wingdings"/>
      </w:rPr>
    </w:lvl>
    <w:lvl w:ilvl="3" w:tplc="41ACADF2">
      <w:start w:val="1"/>
      <w:numFmt w:val="bullet"/>
      <w:lvlText w:val=""/>
      <w:lvlJc w:val="left"/>
      <w:pPr>
        <w:tabs>
          <w:tab w:val="num" w:pos="2880"/>
        </w:tabs>
        <w:ind w:left="2880" w:hanging="360"/>
      </w:pPr>
      <w:rPr>
        <w:rFonts w:ascii="Symbol" w:hAnsi="Symbol"/>
      </w:rPr>
    </w:lvl>
    <w:lvl w:ilvl="4" w:tplc="CE6E0616">
      <w:start w:val="1"/>
      <w:numFmt w:val="bullet"/>
      <w:lvlText w:val="o"/>
      <w:lvlJc w:val="left"/>
      <w:pPr>
        <w:tabs>
          <w:tab w:val="num" w:pos="3600"/>
        </w:tabs>
        <w:ind w:left="3600" w:hanging="360"/>
      </w:pPr>
      <w:rPr>
        <w:rFonts w:ascii="Courier New" w:hAnsi="Courier New"/>
      </w:rPr>
    </w:lvl>
    <w:lvl w:ilvl="5" w:tplc="DE7E0D8E">
      <w:start w:val="1"/>
      <w:numFmt w:val="bullet"/>
      <w:lvlText w:val=""/>
      <w:lvlJc w:val="left"/>
      <w:pPr>
        <w:tabs>
          <w:tab w:val="num" w:pos="4320"/>
        </w:tabs>
        <w:ind w:left="4320" w:hanging="360"/>
      </w:pPr>
      <w:rPr>
        <w:rFonts w:ascii="Wingdings" w:hAnsi="Wingdings"/>
      </w:rPr>
    </w:lvl>
    <w:lvl w:ilvl="6" w:tplc="4A924BEE">
      <w:start w:val="1"/>
      <w:numFmt w:val="bullet"/>
      <w:lvlText w:val=""/>
      <w:lvlJc w:val="left"/>
      <w:pPr>
        <w:tabs>
          <w:tab w:val="num" w:pos="5040"/>
        </w:tabs>
        <w:ind w:left="5040" w:hanging="360"/>
      </w:pPr>
      <w:rPr>
        <w:rFonts w:ascii="Symbol" w:hAnsi="Symbol"/>
      </w:rPr>
    </w:lvl>
    <w:lvl w:ilvl="7" w:tplc="4D029626">
      <w:start w:val="1"/>
      <w:numFmt w:val="bullet"/>
      <w:lvlText w:val="o"/>
      <w:lvlJc w:val="left"/>
      <w:pPr>
        <w:tabs>
          <w:tab w:val="num" w:pos="5760"/>
        </w:tabs>
        <w:ind w:left="5760" w:hanging="360"/>
      </w:pPr>
      <w:rPr>
        <w:rFonts w:ascii="Courier New" w:hAnsi="Courier New"/>
      </w:rPr>
    </w:lvl>
    <w:lvl w:ilvl="8" w:tplc="BE94E5BE">
      <w:start w:val="1"/>
      <w:numFmt w:val="bullet"/>
      <w:lvlText w:val=""/>
      <w:lvlJc w:val="left"/>
      <w:pPr>
        <w:tabs>
          <w:tab w:val="num" w:pos="6480"/>
        </w:tabs>
        <w:ind w:left="6480" w:hanging="360"/>
      </w:pPr>
      <w:rPr>
        <w:rFonts w:ascii="Wingdings" w:hAnsi="Wingdings"/>
      </w:rPr>
    </w:lvl>
  </w:abstractNum>
  <w:abstractNum w:abstractNumId="52" w15:restartNumberingAfterBreak="0">
    <w:nsid w:val="7BE95D8C"/>
    <w:multiLevelType w:val="hybridMultilevel"/>
    <w:tmpl w:val="7BE95D8C"/>
    <w:lvl w:ilvl="0" w:tplc="CF2A2A8E">
      <w:start w:val="1"/>
      <w:numFmt w:val="bullet"/>
      <w:lvlText w:val=""/>
      <w:lvlJc w:val="left"/>
      <w:pPr>
        <w:ind w:left="720" w:hanging="360"/>
      </w:pPr>
      <w:rPr>
        <w:rFonts w:ascii="Symbol" w:hAnsi="Symbol"/>
      </w:rPr>
    </w:lvl>
    <w:lvl w:ilvl="1" w:tplc="F564BF2A">
      <w:start w:val="1"/>
      <w:numFmt w:val="bullet"/>
      <w:lvlText w:val="o"/>
      <w:lvlJc w:val="left"/>
      <w:pPr>
        <w:tabs>
          <w:tab w:val="num" w:pos="1440"/>
        </w:tabs>
        <w:ind w:left="1440" w:hanging="360"/>
      </w:pPr>
      <w:rPr>
        <w:rFonts w:ascii="Courier New" w:hAnsi="Courier New"/>
      </w:rPr>
    </w:lvl>
    <w:lvl w:ilvl="2" w:tplc="5F4E8B96">
      <w:start w:val="1"/>
      <w:numFmt w:val="bullet"/>
      <w:lvlText w:val=""/>
      <w:lvlJc w:val="left"/>
      <w:pPr>
        <w:tabs>
          <w:tab w:val="num" w:pos="2160"/>
        </w:tabs>
        <w:ind w:left="2160" w:hanging="360"/>
      </w:pPr>
      <w:rPr>
        <w:rFonts w:ascii="Wingdings" w:hAnsi="Wingdings"/>
      </w:rPr>
    </w:lvl>
    <w:lvl w:ilvl="3" w:tplc="8476391A">
      <w:start w:val="1"/>
      <w:numFmt w:val="bullet"/>
      <w:lvlText w:val=""/>
      <w:lvlJc w:val="left"/>
      <w:pPr>
        <w:tabs>
          <w:tab w:val="num" w:pos="2880"/>
        </w:tabs>
        <w:ind w:left="2880" w:hanging="360"/>
      </w:pPr>
      <w:rPr>
        <w:rFonts w:ascii="Symbol" w:hAnsi="Symbol"/>
      </w:rPr>
    </w:lvl>
    <w:lvl w:ilvl="4" w:tplc="1A708062">
      <w:start w:val="1"/>
      <w:numFmt w:val="bullet"/>
      <w:lvlText w:val="o"/>
      <w:lvlJc w:val="left"/>
      <w:pPr>
        <w:tabs>
          <w:tab w:val="num" w:pos="3600"/>
        </w:tabs>
        <w:ind w:left="3600" w:hanging="360"/>
      </w:pPr>
      <w:rPr>
        <w:rFonts w:ascii="Courier New" w:hAnsi="Courier New"/>
      </w:rPr>
    </w:lvl>
    <w:lvl w:ilvl="5" w:tplc="8FC4D18E">
      <w:start w:val="1"/>
      <w:numFmt w:val="bullet"/>
      <w:lvlText w:val=""/>
      <w:lvlJc w:val="left"/>
      <w:pPr>
        <w:tabs>
          <w:tab w:val="num" w:pos="4320"/>
        </w:tabs>
        <w:ind w:left="4320" w:hanging="360"/>
      </w:pPr>
      <w:rPr>
        <w:rFonts w:ascii="Wingdings" w:hAnsi="Wingdings"/>
      </w:rPr>
    </w:lvl>
    <w:lvl w:ilvl="6" w:tplc="ED92BEF0">
      <w:start w:val="1"/>
      <w:numFmt w:val="bullet"/>
      <w:lvlText w:val=""/>
      <w:lvlJc w:val="left"/>
      <w:pPr>
        <w:tabs>
          <w:tab w:val="num" w:pos="5040"/>
        </w:tabs>
        <w:ind w:left="5040" w:hanging="360"/>
      </w:pPr>
      <w:rPr>
        <w:rFonts w:ascii="Symbol" w:hAnsi="Symbol"/>
      </w:rPr>
    </w:lvl>
    <w:lvl w:ilvl="7" w:tplc="83EA2596">
      <w:start w:val="1"/>
      <w:numFmt w:val="bullet"/>
      <w:lvlText w:val="o"/>
      <w:lvlJc w:val="left"/>
      <w:pPr>
        <w:tabs>
          <w:tab w:val="num" w:pos="5760"/>
        </w:tabs>
        <w:ind w:left="5760" w:hanging="360"/>
      </w:pPr>
      <w:rPr>
        <w:rFonts w:ascii="Courier New" w:hAnsi="Courier New"/>
      </w:rPr>
    </w:lvl>
    <w:lvl w:ilvl="8" w:tplc="59D82A1C">
      <w:start w:val="1"/>
      <w:numFmt w:val="bullet"/>
      <w:lvlText w:val=""/>
      <w:lvlJc w:val="left"/>
      <w:pPr>
        <w:tabs>
          <w:tab w:val="num" w:pos="6480"/>
        </w:tabs>
        <w:ind w:left="6480" w:hanging="360"/>
      </w:pPr>
      <w:rPr>
        <w:rFonts w:ascii="Wingdings" w:hAnsi="Wingdings"/>
      </w:rPr>
    </w:lvl>
  </w:abstractNum>
  <w:abstractNum w:abstractNumId="53" w15:restartNumberingAfterBreak="0">
    <w:nsid w:val="7BE95D8D"/>
    <w:multiLevelType w:val="hybridMultilevel"/>
    <w:tmpl w:val="7BE95D8D"/>
    <w:lvl w:ilvl="0" w:tplc="93A225E8">
      <w:start w:val="1"/>
      <w:numFmt w:val="bullet"/>
      <w:lvlText w:val=""/>
      <w:lvlJc w:val="left"/>
      <w:pPr>
        <w:ind w:left="720" w:hanging="360"/>
      </w:pPr>
      <w:rPr>
        <w:rFonts w:ascii="Symbol" w:hAnsi="Symbol"/>
      </w:rPr>
    </w:lvl>
    <w:lvl w:ilvl="1" w:tplc="95A0BF50">
      <w:start w:val="1"/>
      <w:numFmt w:val="bullet"/>
      <w:lvlText w:val="o"/>
      <w:lvlJc w:val="left"/>
      <w:pPr>
        <w:tabs>
          <w:tab w:val="num" w:pos="1440"/>
        </w:tabs>
        <w:ind w:left="1440" w:hanging="360"/>
      </w:pPr>
      <w:rPr>
        <w:rFonts w:ascii="Courier New" w:hAnsi="Courier New"/>
      </w:rPr>
    </w:lvl>
    <w:lvl w:ilvl="2" w:tplc="03D8D380">
      <w:start w:val="1"/>
      <w:numFmt w:val="bullet"/>
      <w:lvlText w:val=""/>
      <w:lvlJc w:val="left"/>
      <w:pPr>
        <w:tabs>
          <w:tab w:val="num" w:pos="2160"/>
        </w:tabs>
        <w:ind w:left="2160" w:hanging="360"/>
      </w:pPr>
      <w:rPr>
        <w:rFonts w:ascii="Wingdings" w:hAnsi="Wingdings"/>
      </w:rPr>
    </w:lvl>
    <w:lvl w:ilvl="3" w:tplc="55BC6A60">
      <w:start w:val="1"/>
      <w:numFmt w:val="bullet"/>
      <w:lvlText w:val=""/>
      <w:lvlJc w:val="left"/>
      <w:pPr>
        <w:tabs>
          <w:tab w:val="num" w:pos="2880"/>
        </w:tabs>
        <w:ind w:left="2880" w:hanging="360"/>
      </w:pPr>
      <w:rPr>
        <w:rFonts w:ascii="Symbol" w:hAnsi="Symbol"/>
      </w:rPr>
    </w:lvl>
    <w:lvl w:ilvl="4" w:tplc="6FD844A0">
      <w:start w:val="1"/>
      <w:numFmt w:val="bullet"/>
      <w:lvlText w:val="o"/>
      <w:lvlJc w:val="left"/>
      <w:pPr>
        <w:tabs>
          <w:tab w:val="num" w:pos="3600"/>
        </w:tabs>
        <w:ind w:left="3600" w:hanging="360"/>
      </w:pPr>
      <w:rPr>
        <w:rFonts w:ascii="Courier New" w:hAnsi="Courier New"/>
      </w:rPr>
    </w:lvl>
    <w:lvl w:ilvl="5" w:tplc="3D04219E">
      <w:start w:val="1"/>
      <w:numFmt w:val="bullet"/>
      <w:lvlText w:val=""/>
      <w:lvlJc w:val="left"/>
      <w:pPr>
        <w:tabs>
          <w:tab w:val="num" w:pos="4320"/>
        </w:tabs>
        <w:ind w:left="4320" w:hanging="360"/>
      </w:pPr>
      <w:rPr>
        <w:rFonts w:ascii="Wingdings" w:hAnsi="Wingdings"/>
      </w:rPr>
    </w:lvl>
    <w:lvl w:ilvl="6" w:tplc="10A035D6">
      <w:start w:val="1"/>
      <w:numFmt w:val="bullet"/>
      <w:lvlText w:val=""/>
      <w:lvlJc w:val="left"/>
      <w:pPr>
        <w:tabs>
          <w:tab w:val="num" w:pos="5040"/>
        </w:tabs>
        <w:ind w:left="5040" w:hanging="360"/>
      </w:pPr>
      <w:rPr>
        <w:rFonts w:ascii="Symbol" w:hAnsi="Symbol"/>
      </w:rPr>
    </w:lvl>
    <w:lvl w:ilvl="7" w:tplc="CDF0F532">
      <w:start w:val="1"/>
      <w:numFmt w:val="bullet"/>
      <w:lvlText w:val="o"/>
      <w:lvlJc w:val="left"/>
      <w:pPr>
        <w:tabs>
          <w:tab w:val="num" w:pos="5760"/>
        </w:tabs>
        <w:ind w:left="5760" w:hanging="360"/>
      </w:pPr>
      <w:rPr>
        <w:rFonts w:ascii="Courier New" w:hAnsi="Courier New"/>
      </w:rPr>
    </w:lvl>
    <w:lvl w:ilvl="8" w:tplc="291EE32E">
      <w:start w:val="1"/>
      <w:numFmt w:val="bullet"/>
      <w:lvlText w:val=""/>
      <w:lvlJc w:val="left"/>
      <w:pPr>
        <w:tabs>
          <w:tab w:val="num" w:pos="6480"/>
        </w:tabs>
        <w:ind w:left="6480" w:hanging="360"/>
      </w:pPr>
      <w:rPr>
        <w:rFonts w:ascii="Wingdings" w:hAnsi="Wingdings"/>
      </w:rPr>
    </w:lvl>
  </w:abstractNum>
  <w:abstractNum w:abstractNumId="54" w15:restartNumberingAfterBreak="0">
    <w:nsid w:val="7BE95D8E"/>
    <w:multiLevelType w:val="hybridMultilevel"/>
    <w:tmpl w:val="7BE95D8E"/>
    <w:lvl w:ilvl="0" w:tplc="89F01D3A">
      <w:start w:val="1"/>
      <w:numFmt w:val="bullet"/>
      <w:lvlText w:val=""/>
      <w:lvlJc w:val="left"/>
      <w:pPr>
        <w:ind w:left="720" w:hanging="360"/>
      </w:pPr>
      <w:rPr>
        <w:rFonts w:ascii="Symbol" w:hAnsi="Symbol"/>
      </w:rPr>
    </w:lvl>
    <w:lvl w:ilvl="1" w:tplc="B75AA5F4">
      <w:start w:val="1"/>
      <w:numFmt w:val="bullet"/>
      <w:lvlText w:val="o"/>
      <w:lvlJc w:val="left"/>
      <w:pPr>
        <w:tabs>
          <w:tab w:val="num" w:pos="1440"/>
        </w:tabs>
        <w:ind w:left="1440" w:hanging="360"/>
      </w:pPr>
      <w:rPr>
        <w:rFonts w:ascii="Courier New" w:hAnsi="Courier New"/>
      </w:rPr>
    </w:lvl>
    <w:lvl w:ilvl="2" w:tplc="0D664B90">
      <w:start w:val="1"/>
      <w:numFmt w:val="bullet"/>
      <w:lvlText w:val=""/>
      <w:lvlJc w:val="left"/>
      <w:pPr>
        <w:tabs>
          <w:tab w:val="num" w:pos="2160"/>
        </w:tabs>
        <w:ind w:left="2160" w:hanging="360"/>
      </w:pPr>
      <w:rPr>
        <w:rFonts w:ascii="Wingdings" w:hAnsi="Wingdings"/>
      </w:rPr>
    </w:lvl>
    <w:lvl w:ilvl="3" w:tplc="4BAA31FE">
      <w:start w:val="1"/>
      <w:numFmt w:val="bullet"/>
      <w:lvlText w:val=""/>
      <w:lvlJc w:val="left"/>
      <w:pPr>
        <w:tabs>
          <w:tab w:val="num" w:pos="2880"/>
        </w:tabs>
        <w:ind w:left="2880" w:hanging="360"/>
      </w:pPr>
      <w:rPr>
        <w:rFonts w:ascii="Symbol" w:hAnsi="Symbol"/>
      </w:rPr>
    </w:lvl>
    <w:lvl w:ilvl="4" w:tplc="595EC2A8">
      <w:start w:val="1"/>
      <w:numFmt w:val="bullet"/>
      <w:lvlText w:val="o"/>
      <w:lvlJc w:val="left"/>
      <w:pPr>
        <w:tabs>
          <w:tab w:val="num" w:pos="3600"/>
        </w:tabs>
        <w:ind w:left="3600" w:hanging="360"/>
      </w:pPr>
      <w:rPr>
        <w:rFonts w:ascii="Courier New" w:hAnsi="Courier New"/>
      </w:rPr>
    </w:lvl>
    <w:lvl w:ilvl="5" w:tplc="5D307D58">
      <w:start w:val="1"/>
      <w:numFmt w:val="bullet"/>
      <w:lvlText w:val=""/>
      <w:lvlJc w:val="left"/>
      <w:pPr>
        <w:tabs>
          <w:tab w:val="num" w:pos="4320"/>
        </w:tabs>
        <w:ind w:left="4320" w:hanging="360"/>
      </w:pPr>
      <w:rPr>
        <w:rFonts w:ascii="Wingdings" w:hAnsi="Wingdings"/>
      </w:rPr>
    </w:lvl>
    <w:lvl w:ilvl="6" w:tplc="0FF69B08">
      <w:start w:val="1"/>
      <w:numFmt w:val="bullet"/>
      <w:lvlText w:val=""/>
      <w:lvlJc w:val="left"/>
      <w:pPr>
        <w:tabs>
          <w:tab w:val="num" w:pos="5040"/>
        </w:tabs>
        <w:ind w:left="5040" w:hanging="360"/>
      </w:pPr>
      <w:rPr>
        <w:rFonts w:ascii="Symbol" w:hAnsi="Symbol"/>
      </w:rPr>
    </w:lvl>
    <w:lvl w:ilvl="7" w:tplc="2DA09E1C">
      <w:start w:val="1"/>
      <w:numFmt w:val="bullet"/>
      <w:lvlText w:val="o"/>
      <w:lvlJc w:val="left"/>
      <w:pPr>
        <w:tabs>
          <w:tab w:val="num" w:pos="5760"/>
        </w:tabs>
        <w:ind w:left="5760" w:hanging="360"/>
      </w:pPr>
      <w:rPr>
        <w:rFonts w:ascii="Courier New" w:hAnsi="Courier New"/>
      </w:rPr>
    </w:lvl>
    <w:lvl w:ilvl="8" w:tplc="43EAFE74">
      <w:start w:val="1"/>
      <w:numFmt w:val="bullet"/>
      <w:lvlText w:val=""/>
      <w:lvlJc w:val="left"/>
      <w:pPr>
        <w:tabs>
          <w:tab w:val="num" w:pos="6480"/>
        </w:tabs>
        <w:ind w:left="6480" w:hanging="360"/>
      </w:pPr>
      <w:rPr>
        <w:rFonts w:ascii="Wingdings" w:hAnsi="Wingdings"/>
      </w:rPr>
    </w:lvl>
  </w:abstractNum>
  <w:abstractNum w:abstractNumId="55" w15:restartNumberingAfterBreak="0">
    <w:nsid w:val="7BE95D8F"/>
    <w:multiLevelType w:val="hybridMultilevel"/>
    <w:tmpl w:val="7BE95D8F"/>
    <w:lvl w:ilvl="0" w:tplc="99BEBECA">
      <w:start w:val="1"/>
      <w:numFmt w:val="bullet"/>
      <w:lvlText w:val=""/>
      <w:lvlJc w:val="left"/>
      <w:pPr>
        <w:ind w:left="720" w:hanging="360"/>
      </w:pPr>
      <w:rPr>
        <w:rFonts w:ascii="Symbol" w:hAnsi="Symbol"/>
      </w:rPr>
    </w:lvl>
    <w:lvl w:ilvl="1" w:tplc="0756DDD2">
      <w:start w:val="1"/>
      <w:numFmt w:val="bullet"/>
      <w:lvlText w:val="o"/>
      <w:lvlJc w:val="left"/>
      <w:pPr>
        <w:tabs>
          <w:tab w:val="num" w:pos="1440"/>
        </w:tabs>
        <w:ind w:left="1440" w:hanging="360"/>
      </w:pPr>
      <w:rPr>
        <w:rFonts w:ascii="Courier New" w:hAnsi="Courier New"/>
      </w:rPr>
    </w:lvl>
    <w:lvl w:ilvl="2" w:tplc="67F0CCB8">
      <w:start w:val="1"/>
      <w:numFmt w:val="bullet"/>
      <w:lvlText w:val=""/>
      <w:lvlJc w:val="left"/>
      <w:pPr>
        <w:tabs>
          <w:tab w:val="num" w:pos="2160"/>
        </w:tabs>
        <w:ind w:left="2160" w:hanging="360"/>
      </w:pPr>
      <w:rPr>
        <w:rFonts w:ascii="Wingdings" w:hAnsi="Wingdings"/>
      </w:rPr>
    </w:lvl>
    <w:lvl w:ilvl="3" w:tplc="3ADA41FC">
      <w:start w:val="1"/>
      <w:numFmt w:val="bullet"/>
      <w:lvlText w:val=""/>
      <w:lvlJc w:val="left"/>
      <w:pPr>
        <w:tabs>
          <w:tab w:val="num" w:pos="2880"/>
        </w:tabs>
        <w:ind w:left="2880" w:hanging="360"/>
      </w:pPr>
      <w:rPr>
        <w:rFonts w:ascii="Symbol" w:hAnsi="Symbol"/>
      </w:rPr>
    </w:lvl>
    <w:lvl w:ilvl="4" w:tplc="DD78CAD8">
      <w:start w:val="1"/>
      <w:numFmt w:val="bullet"/>
      <w:lvlText w:val="o"/>
      <w:lvlJc w:val="left"/>
      <w:pPr>
        <w:tabs>
          <w:tab w:val="num" w:pos="3600"/>
        </w:tabs>
        <w:ind w:left="3600" w:hanging="360"/>
      </w:pPr>
      <w:rPr>
        <w:rFonts w:ascii="Courier New" w:hAnsi="Courier New"/>
      </w:rPr>
    </w:lvl>
    <w:lvl w:ilvl="5" w:tplc="6C80EB56">
      <w:start w:val="1"/>
      <w:numFmt w:val="bullet"/>
      <w:lvlText w:val=""/>
      <w:lvlJc w:val="left"/>
      <w:pPr>
        <w:tabs>
          <w:tab w:val="num" w:pos="4320"/>
        </w:tabs>
        <w:ind w:left="4320" w:hanging="360"/>
      </w:pPr>
      <w:rPr>
        <w:rFonts w:ascii="Wingdings" w:hAnsi="Wingdings"/>
      </w:rPr>
    </w:lvl>
    <w:lvl w:ilvl="6" w:tplc="EDE4D7B2">
      <w:start w:val="1"/>
      <w:numFmt w:val="bullet"/>
      <w:lvlText w:val=""/>
      <w:lvlJc w:val="left"/>
      <w:pPr>
        <w:tabs>
          <w:tab w:val="num" w:pos="5040"/>
        </w:tabs>
        <w:ind w:left="5040" w:hanging="360"/>
      </w:pPr>
      <w:rPr>
        <w:rFonts w:ascii="Symbol" w:hAnsi="Symbol"/>
      </w:rPr>
    </w:lvl>
    <w:lvl w:ilvl="7" w:tplc="6B561EE4">
      <w:start w:val="1"/>
      <w:numFmt w:val="bullet"/>
      <w:lvlText w:val="o"/>
      <w:lvlJc w:val="left"/>
      <w:pPr>
        <w:tabs>
          <w:tab w:val="num" w:pos="5760"/>
        </w:tabs>
        <w:ind w:left="5760" w:hanging="360"/>
      </w:pPr>
      <w:rPr>
        <w:rFonts w:ascii="Courier New" w:hAnsi="Courier New"/>
      </w:rPr>
    </w:lvl>
    <w:lvl w:ilvl="8" w:tplc="8CDE8EA6">
      <w:start w:val="1"/>
      <w:numFmt w:val="bullet"/>
      <w:lvlText w:val=""/>
      <w:lvlJc w:val="left"/>
      <w:pPr>
        <w:tabs>
          <w:tab w:val="num" w:pos="6480"/>
        </w:tabs>
        <w:ind w:left="6480" w:hanging="360"/>
      </w:pPr>
      <w:rPr>
        <w:rFonts w:ascii="Wingdings" w:hAnsi="Wingdings"/>
      </w:rPr>
    </w:lvl>
  </w:abstractNum>
  <w:abstractNum w:abstractNumId="56" w15:restartNumberingAfterBreak="0">
    <w:nsid w:val="7BE95D90"/>
    <w:multiLevelType w:val="hybridMultilevel"/>
    <w:tmpl w:val="7BE95D90"/>
    <w:lvl w:ilvl="0" w:tplc="AA866A58">
      <w:start w:val="1"/>
      <w:numFmt w:val="bullet"/>
      <w:lvlText w:val=""/>
      <w:lvlJc w:val="left"/>
      <w:pPr>
        <w:ind w:left="720" w:hanging="360"/>
      </w:pPr>
      <w:rPr>
        <w:rFonts w:ascii="Symbol" w:hAnsi="Symbol"/>
      </w:rPr>
    </w:lvl>
    <w:lvl w:ilvl="1" w:tplc="0E38D5A0">
      <w:start w:val="1"/>
      <w:numFmt w:val="bullet"/>
      <w:lvlText w:val="o"/>
      <w:lvlJc w:val="left"/>
      <w:pPr>
        <w:tabs>
          <w:tab w:val="num" w:pos="1440"/>
        </w:tabs>
        <w:ind w:left="1440" w:hanging="360"/>
      </w:pPr>
      <w:rPr>
        <w:rFonts w:ascii="Courier New" w:hAnsi="Courier New"/>
      </w:rPr>
    </w:lvl>
    <w:lvl w:ilvl="2" w:tplc="0D3891B8">
      <w:start w:val="1"/>
      <w:numFmt w:val="bullet"/>
      <w:lvlText w:val=""/>
      <w:lvlJc w:val="left"/>
      <w:pPr>
        <w:tabs>
          <w:tab w:val="num" w:pos="2160"/>
        </w:tabs>
        <w:ind w:left="2160" w:hanging="360"/>
      </w:pPr>
      <w:rPr>
        <w:rFonts w:ascii="Wingdings" w:hAnsi="Wingdings"/>
      </w:rPr>
    </w:lvl>
    <w:lvl w:ilvl="3" w:tplc="EE108524">
      <w:start w:val="1"/>
      <w:numFmt w:val="bullet"/>
      <w:lvlText w:val=""/>
      <w:lvlJc w:val="left"/>
      <w:pPr>
        <w:tabs>
          <w:tab w:val="num" w:pos="2880"/>
        </w:tabs>
        <w:ind w:left="2880" w:hanging="360"/>
      </w:pPr>
      <w:rPr>
        <w:rFonts w:ascii="Symbol" w:hAnsi="Symbol"/>
      </w:rPr>
    </w:lvl>
    <w:lvl w:ilvl="4" w:tplc="366C28C8">
      <w:start w:val="1"/>
      <w:numFmt w:val="bullet"/>
      <w:lvlText w:val="o"/>
      <w:lvlJc w:val="left"/>
      <w:pPr>
        <w:tabs>
          <w:tab w:val="num" w:pos="3600"/>
        </w:tabs>
        <w:ind w:left="3600" w:hanging="360"/>
      </w:pPr>
      <w:rPr>
        <w:rFonts w:ascii="Courier New" w:hAnsi="Courier New"/>
      </w:rPr>
    </w:lvl>
    <w:lvl w:ilvl="5" w:tplc="D4707F6A">
      <w:start w:val="1"/>
      <w:numFmt w:val="bullet"/>
      <w:lvlText w:val=""/>
      <w:lvlJc w:val="left"/>
      <w:pPr>
        <w:tabs>
          <w:tab w:val="num" w:pos="4320"/>
        </w:tabs>
        <w:ind w:left="4320" w:hanging="360"/>
      </w:pPr>
      <w:rPr>
        <w:rFonts w:ascii="Wingdings" w:hAnsi="Wingdings"/>
      </w:rPr>
    </w:lvl>
    <w:lvl w:ilvl="6" w:tplc="9BBC2454">
      <w:start w:val="1"/>
      <w:numFmt w:val="bullet"/>
      <w:lvlText w:val=""/>
      <w:lvlJc w:val="left"/>
      <w:pPr>
        <w:tabs>
          <w:tab w:val="num" w:pos="5040"/>
        </w:tabs>
        <w:ind w:left="5040" w:hanging="360"/>
      </w:pPr>
      <w:rPr>
        <w:rFonts w:ascii="Symbol" w:hAnsi="Symbol"/>
      </w:rPr>
    </w:lvl>
    <w:lvl w:ilvl="7" w:tplc="1108AB9C">
      <w:start w:val="1"/>
      <w:numFmt w:val="bullet"/>
      <w:lvlText w:val="o"/>
      <w:lvlJc w:val="left"/>
      <w:pPr>
        <w:tabs>
          <w:tab w:val="num" w:pos="5760"/>
        </w:tabs>
        <w:ind w:left="5760" w:hanging="360"/>
      </w:pPr>
      <w:rPr>
        <w:rFonts w:ascii="Courier New" w:hAnsi="Courier New"/>
      </w:rPr>
    </w:lvl>
    <w:lvl w:ilvl="8" w:tplc="0CC2E9EC">
      <w:start w:val="1"/>
      <w:numFmt w:val="bullet"/>
      <w:lvlText w:val=""/>
      <w:lvlJc w:val="left"/>
      <w:pPr>
        <w:tabs>
          <w:tab w:val="num" w:pos="6480"/>
        </w:tabs>
        <w:ind w:left="6480" w:hanging="360"/>
      </w:pPr>
      <w:rPr>
        <w:rFonts w:ascii="Wingdings" w:hAnsi="Wingdings"/>
      </w:rPr>
    </w:lvl>
  </w:abstractNum>
  <w:abstractNum w:abstractNumId="57" w15:restartNumberingAfterBreak="0">
    <w:nsid w:val="7BE95D91"/>
    <w:multiLevelType w:val="hybridMultilevel"/>
    <w:tmpl w:val="7BE95D91"/>
    <w:lvl w:ilvl="0" w:tplc="1D8499E0">
      <w:start w:val="1"/>
      <w:numFmt w:val="bullet"/>
      <w:lvlText w:val=""/>
      <w:lvlJc w:val="left"/>
      <w:pPr>
        <w:ind w:left="720" w:hanging="360"/>
      </w:pPr>
      <w:rPr>
        <w:rFonts w:ascii="Symbol" w:hAnsi="Symbol"/>
      </w:rPr>
    </w:lvl>
    <w:lvl w:ilvl="1" w:tplc="AE8847CE">
      <w:start w:val="1"/>
      <w:numFmt w:val="bullet"/>
      <w:lvlText w:val="o"/>
      <w:lvlJc w:val="left"/>
      <w:pPr>
        <w:tabs>
          <w:tab w:val="num" w:pos="1440"/>
        </w:tabs>
        <w:ind w:left="1440" w:hanging="360"/>
      </w:pPr>
      <w:rPr>
        <w:rFonts w:ascii="Courier New" w:hAnsi="Courier New"/>
      </w:rPr>
    </w:lvl>
    <w:lvl w:ilvl="2" w:tplc="34EEE8A0">
      <w:start w:val="1"/>
      <w:numFmt w:val="bullet"/>
      <w:lvlText w:val=""/>
      <w:lvlJc w:val="left"/>
      <w:pPr>
        <w:tabs>
          <w:tab w:val="num" w:pos="2160"/>
        </w:tabs>
        <w:ind w:left="2160" w:hanging="360"/>
      </w:pPr>
      <w:rPr>
        <w:rFonts w:ascii="Wingdings" w:hAnsi="Wingdings"/>
      </w:rPr>
    </w:lvl>
    <w:lvl w:ilvl="3" w:tplc="041E5102">
      <w:start w:val="1"/>
      <w:numFmt w:val="bullet"/>
      <w:lvlText w:val=""/>
      <w:lvlJc w:val="left"/>
      <w:pPr>
        <w:tabs>
          <w:tab w:val="num" w:pos="2880"/>
        </w:tabs>
        <w:ind w:left="2880" w:hanging="360"/>
      </w:pPr>
      <w:rPr>
        <w:rFonts w:ascii="Symbol" w:hAnsi="Symbol"/>
      </w:rPr>
    </w:lvl>
    <w:lvl w:ilvl="4" w:tplc="3612E382">
      <w:start w:val="1"/>
      <w:numFmt w:val="bullet"/>
      <w:lvlText w:val="o"/>
      <w:lvlJc w:val="left"/>
      <w:pPr>
        <w:tabs>
          <w:tab w:val="num" w:pos="3600"/>
        </w:tabs>
        <w:ind w:left="3600" w:hanging="360"/>
      </w:pPr>
      <w:rPr>
        <w:rFonts w:ascii="Courier New" w:hAnsi="Courier New"/>
      </w:rPr>
    </w:lvl>
    <w:lvl w:ilvl="5" w:tplc="B38A341A">
      <w:start w:val="1"/>
      <w:numFmt w:val="bullet"/>
      <w:lvlText w:val=""/>
      <w:lvlJc w:val="left"/>
      <w:pPr>
        <w:tabs>
          <w:tab w:val="num" w:pos="4320"/>
        </w:tabs>
        <w:ind w:left="4320" w:hanging="360"/>
      </w:pPr>
      <w:rPr>
        <w:rFonts w:ascii="Wingdings" w:hAnsi="Wingdings"/>
      </w:rPr>
    </w:lvl>
    <w:lvl w:ilvl="6" w:tplc="49744AA8">
      <w:start w:val="1"/>
      <w:numFmt w:val="bullet"/>
      <w:lvlText w:val=""/>
      <w:lvlJc w:val="left"/>
      <w:pPr>
        <w:tabs>
          <w:tab w:val="num" w:pos="5040"/>
        </w:tabs>
        <w:ind w:left="5040" w:hanging="360"/>
      </w:pPr>
      <w:rPr>
        <w:rFonts w:ascii="Symbol" w:hAnsi="Symbol"/>
      </w:rPr>
    </w:lvl>
    <w:lvl w:ilvl="7" w:tplc="5C300422">
      <w:start w:val="1"/>
      <w:numFmt w:val="bullet"/>
      <w:lvlText w:val="o"/>
      <w:lvlJc w:val="left"/>
      <w:pPr>
        <w:tabs>
          <w:tab w:val="num" w:pos="5760"/>
        </w:tabs>
        <w:ind w:left="5760" w:hanging="360"/>
      </w:pPr>
      <w:rPr>
        <w:rFonts w:ascii="Courier New" w:hAnsi="Courier New"/>
      </w:rPr>
    </w:lvl>
    <w:lvl w:ilvl="8" w:tplc="E77649E6">
      <w:start w:val="1"/>
      <w:numFmt w:val="bullet"/>
      <w:lvlText w:val=""/>
      <w:lvlJc w:val="left"/>
      <w:pPr>
        <w:tabs>
          <w:tab w:val="num" w:pos="6480"/>
        </w:tabs>
        <w:ind w:left="6480" w:hanging="360"/>
      </w:pPr>
      <w:rPr>
        <w:rFonts w:ascii="Wingdings" w:hAnsi="Wingdings"/>
      </w:rPr>
    </w:lvl>
  </w:abstractNum>
  <w:abstractNum w:abstractNumId="58" w15:restartNumberingAfterBreak="0">
    <w:nsid w:val="7BE95D92"/>
    <w:multiLevelType w:val="hybridMultilevel"/>
    <w:tmpl w:val="7BE95D92"/>
    <w:lvl w:ilvl="0" w:tplc="B8AC4A08">
      <w:start w:val="1"/>
      <w:numFmt w:val="bullet"/>
      <w:lvlText w:val=""/>
      <w:lvlJc w:val="left"/>
      <w:pPr>
        <w:ind w:left="720" w:hanging="360"/>
      </w:pPr>
      <w:rPr>
        <w:rFonts w:ascii="Symbol" w:hAnsi="Symbol"/>
      </w:rPr>
    </w:lvl>
    <w:lvl w:ilvl="1" w:tplc="67FCAD66">
      <w:start w:val="1"/>
      <w:numFmt w:val="bullet"/>
      <w:lvlText w:val="o"/>
      <w:lvlJc w:val="left"/>
      <w:pPr>
        <w:tabs>
          <w:tab w:val="num" w:pos="1440"/>
        </w:tabs>
        <w:ind w:left="1440" w:hanging="360"/>
      </w:pPr>
      <w:rPr>
        <w:rFonts w:ascii="Courier New" w:hAnsi="Courier New"/>
      </w:rPr>
    </w:lvl>
    <w:lvl w:ilvl="2" w:tplc="B8C8812C">
      <w:start w:val="1"/>
      <w:numFmt w:val="bullet"/>
      <w:lvlText w:val=""/>
      <w:lvlJc w:val="left"/>
      <w:pPr>
        <w:tabs>
          <w:tab w:val="num" w:pos="2160"/>
        </w:tabs>
        <w:ind w:left="2160" w:hanging="360"/>
      </w:pPr>
      <w:rPr>
        <w:rFonts w:ascii="Wingdings" w:hAnsi="Wingdings"/>
      </w:rPr>
    </w:lvl>
    <w:lvl w:ilvl="3" w:tplc="1E14573C">
      <w:start w:val="1"/>
      <w:numFmt w:val="bullet"/>
      <w:lvlText w:val=""/>
      <w:lvlJc w:val="left"/>
      <w:pPr>
        <w:tabs>
          <w:tab w:val="num" w:pos="2880"/>
        </w:tabs>
        <w:ind w:left="2880" w:hanging="360"/>
      </w:pPr>
      <w:rPr>
        <w:rFonts w:ascii="Symbol" w:hAnsi="Symbol"/>
      </w:rPr>
    </w:lvl>
    <w:lvl w:ilvl="4" w:tplc="0F6AD720">
      <w:start w:val="1"/>
      <w:numFmt w:val="bullet"/>
      <w:lvlText w:val="o"/>
      <w:lvlJc w:val="left"/>
      <w:pPr>
        <w:tabs>
          <w:tab w:val="num" w:pos="3600"/>
        </w:tabs>
        <w:ind w:left="3600" w:hanging="360"/>
      </w:pPr>
      <w:rPr>
        <w:rFonts w:ascii="Courier New" w:hAnsi="Courier New"/>
      </w:rPr>
    </w:lvl>
    <w:lvl w:ilvl="5" w:tplc="615EAD88">
      <w:start w:val="1"/>
      <w:numFmt w:val="bullet"/>
      <w:lvlText w:val=""/>
      <w:lvlJc w:val="left"/>
      <w:pPr>
        <w:tabs>
          <w:tab w:val="num" w:pos="4320"/>
        </w:tabs>
        <w:ind w:left="4320" w:hanging="360"/>
      </w:pPr>
      <w:rPr>
        <w:rFonts w:ascii="Wingdings" w:hAnsi="Wingdings"/>
      </w:rPr>
    </w:lvl>
    <w:lvl w:ilvl="6" w:tplc="CCB85942">
      <w:start w:val="1"/>
      <w:numFmt w:val="bullet"/>
      <w:lvlText w:val=""/>
      <w:lvlJc w:val="left"/>
      <w:pPr>
        <w:tabs>
          <w:tab w:val="num" w:pos="5040"/>
        </w:tabs>
        <w:ind w:left="5040" w:hanging="360"/>
      </w:pPr>
      <w:rPr>
        <w:rFonts w:ascii="Symbol" w:hAnsi="Symbol"/>
      </w:rPr>
    </w:lvl>
    <w:lvl w:ilvl="7" w:tplc="CB063584">
      <w:start w:val="1"/>
      <w:numFmt w:val="bullet"/>
      <w:lvlText w:val="o"/>
      <w:lvlJc w:val="left"/>
      <w:pPr>
        <w:tabs>
          <w:tab w:val="num" w:pos="5760"/>
        </w:tabs>
        <w:ind w:left="5760" w:hanging="360"/>
      </w:pPr>
      <w:rPr>
        <w:rFonts w:ascii="Courier New" w:hAnsi="Courier New"/>
      </w:rPr>
    </w:lvl>
    <w:lvl w:ilvl="8" w:tplc="4FDC2CE2">
      <w:start w:val="1"/>
      <w:numFmt w:val="bullet"/>
      <w:lvlText w:val=""/>
      <w:lvlJc w:val="left"/>
      <w:pPr>
        <w:tabs>
          <w:tab w:val="num" w:pos="6480"/>
        </w:tabs>
        <w:ind w:left="6480" w:hanging="360"/>
      </w:pPr>
      <w:rPr>
        <w:rFonts w:ascii="Wingdings" w:hAnsi="Wingdings"/>
      </w:rPr>
    </w:lvl>
  </w:abstractNum>
  <w:abstractNum w:abstractNumId="59" w15:restartNumberingAfterBreak="0">
    <w:nsid w:val="7BE95D93"/>
    <w:multiLevelType w:val="hybridMultilevel"/>
    <w:tmpl w:val="7BE95D93"/>
    <w:lvl w:ilvl="0" w:tplc="927C2804">
      <w:start w:val="1"/>
      <w:numFmt w:val="bullet"/>
      <w:lvlText w:val=""/>
      <w:lvlJc w:val="left"/>
      <w:pPr>
        <w:ind w:left="720" w:hanging="360"/>
      </w:pPr>
      <w:rPr>
        <w:rFonts w:ascii="Symbol" w:hAnsi="Symbol"/>
      </w:rPr>
    </w:lvl>
    <w:lvl w:ilvl="1" w:tplc="9D74D3BA">
      <w:start w:val="1"/>
      <w:numFmt w:val="bullet"/>
      <w:lvlText w:val="o"/>
      <w:lvlJc w:val="left"/>
      <w:pPr>
        <w:tabs>
          <w:tab w:val="num" w:pos="1440"/>
        </w:tabs>
        <w:ind w:left="1440" w:hanging="360"/>
      </w:pPr>
      <w:rPr>
        <w:rFonts w:ascii="Courier New" w:hAnsi="Courier New"/>
      </w:rPr>
    </w:lvl>
    <w:lvl w:ilvl="2" w:tplc="FF90F1D8">
      <w:start w:val="1"/>
      <w:numFmt w:val="bullet"/>
      <w:lvlText w:val=""/>
      <w:lvlJc w:val="left"/>
      <w:pPr>
        <w:tabs>
          <w:tab w:val="num" w:pos="2160"/>
        </w:tabs>
        <w:ind w:left="2160" w:hanging="360"/>
      </w:pPr>
      <w:rPr>
        <w:rFonts w:ascii="Wingdings" w:hAnsi="Wingdings"/>
      </w:rPr>
    </w:lvl>
    <w:lvl w:ilvl="3" w:tplc="844A7E08">
      <w:start w:val="1"/>
      <w:numFmt w:val="bullet"/>
      <w:lvlText w:val=""/>
      <w:lvlJc w:val="left"/>
      <w:pPr>
        <w:tabs>
          <w:tab w:val="num" w:pos="2880"/>
        </w:tabs>
        <w:ind w:left="2880" w:hanging="360"/>
      </w:pPr>
      <w:rPr>
        <w:rFonts w:ascii="Symbol" w:hAnsi="Symbol"/>
      </w:rPr>
    </w:lvl>
    <w:lvl w:ilvl="4" w:tplc="6D60812E">
      <w:start w:val="1"/>
      <w:numFmt w:val="bullet"/>
      <w:lvlText w:val="o"/>
      <w:lvlJc w:val="left"/>
      <w:pPr>
        <w:tabs>
          <w:tab w:val="num" w:pos="3600"/>
        </w:tabs>
        <w:ind w:left="3600" w:hanging="360"/>
      </w:pPr>
      <w:rPr>
        <w:rFonts w:ascii="Courier New" w:hAnsi="Courier New"/>
      </w:rPr>
    </w:lvl>
    <w:lvl w:ilvl="5" w:tplc="24BA7376">
      <w:start w:val="1"/>
      <w:numFmt w:val="bullet"/>
      <w:lvlText w:val=""/>
      <w:lvlJc w:val="left"/>
      <w:pPr>
        <w:tabs>
          <w:tab w:val="num" w:pos="4320"/>
        </w:tabs>
        <w:ind w:left="4320" w:hanging="360"/>
      </w:pPr>
      <w:rPr>
        <w:rFonts w:ascii="Wingdings" w:hAnsi="Wingdings"/>
      </w:rPr>
    </w:lvl>
    <w:lvl w:ilvl="6" w:tplc="12104F5E">
      <w:start w:val="1"/>
      <w:numFmt w:val="bullet"/>
      <w:lvlText w:val=""/>
      <w:lvlJc w:val="left"/>
      <w:pPr>
        <w:tabs>
          <w:tab w:val="num" w:pos="5040"/>
        </w:tabs>
        <w:ind w:left="5040" w:hanging="360"/>
      </w:pPr>
      <w:rPr>
        <w:rFonts w:ascii="Symbol" w:hAnsi="Symbol"/>
      </w:rPr>
    </w:lvl>
    <w:lvl w:ilvl="7" w:tplc="5F060518">
      <w:start w:val="1"/>
      <w:numFmt w:val="bullet"/>
      <w:lvlText w:val="o"/>
      <w:lvlJc w:val="left"/>
      <w:pPr>
        <w:tabs>
          <w:tab w:val="num" w:pos="5760"/>
        </w:tabs>
        <w:ind w:left="5760" w:hanging="360"/>
      </w:pPr>
      <w:rPr>
        <w:rFonts w:ascii="Courier New" w:hAnsi="Courier New"/>
      </w:rPr>
    </w:lvl>
    <w:lvl w:ilvl="8" w:tplc="EA4C100C">
      <w:start w:val="1"/>
      <w:numFmt w:val="bullet"/>
      <w:lvlText w:val=""/>
      <w:lvlJc w:val="left"/>
      <w:pPr>
        <w:tabs>
          <w:tab w:val="num" w:pos="6480"/>
        </w:tabs>
        <w:ind w:left="6480" w:hanging="360"/>
      </w:pPr>
      <w:rPr>
        <w:rFonts w:ascii="Wingdings" w:hAnsi="Wingdings"/>
      </w:rPr>
    </w:lvl>
  </w:abstractNum>
  <w:abstractNum w:abstractNumId="60" w15:restartNumberingAfterBreak="0">
    <w:nsid w:val="7BE95D94"/>
    <w:multiLevelType w:val="hybridMultilevel"/>
    <w:tmpl w:val="7BE95D94"/>
    <w:lvl w:ilvl="0" w:tplc="5C06D228">
      <w:start w:val="1"/>
      <w:numFmt w:val="bullet"/>
      <w:lvlText w:val=""/>
      <w:lvlJc w:val="left"/>
      <w:pPr>
        <w:ind w:left="720" w:hanging="360"/>
      </w:pPr>
      <w:rPr>
        <w:rFonts w:ascii="Symbol" w:hAnsi="Symbol"/>
      </w:rPr>
    </w:lvl>
    <w:lvl w:ilvl="1" w:tplc="D5AE31F0">
      <w:start w:val="1"/>
      <w:numFmt w:val="bullet"/>
      <w:lvlText w:val="o"/>
      <w:lvlJc w:val="left"/>
      <w:pPr>
        <w:tabs>
          <w:tab w:val="num" w:pos="1440"/>
        </w:tabs>
        <w:ind w:left="1440" w:hanging="360"/>
      </w:pPr>
      <w:rPr>
        <w:rFonts w:ascii="Courier New" w:hAnsi="Courier New"/>
      </w:rPr>
    </w:lvl>
    <w:lvl w:ilvl="2" w:tplc="35848250">
      <w:start w:val="1"/>
      <w:numFmt w:val="bullet"/>
      <w:lvlText w:val=""/>
      <w:lvlJc w:val="left"/>
      <w:pPr>
        <w:tabs>
          <w:tab w:val="num" w:pos="2160"/>
        </w:tabs>
        <w:ind w:left="2160" w:hanging="360"/>
      </w:pPr>
      <w:rPr>
        <w:rFonts w:ascii="Wingdings" w:hAnsi="Wingdings"/>
      </w:rPr>
    </w:lvl>
    <w:lvl w:ilvl="3" w:tplc="D3248364">
      <w:start w:val="1"/>
      <w:numFmt w:val="bullet"/>
      <w:lvlText w:val=""/>
      <w:lvlJc w:val="left"/>
      <w:pPr>
        <w:tabs>
          <w:tab w:val="num" w:pos="2880"/>
        </w:tabs>
        <w:ind w:left="2880" w:hanging="360"/>
      </w:pPr>
      <w:rPr>
        <w:rFonts w:ascii="Symbol" w:hAnsi="Symbol"/>
      </w:rPr>
    </w:lvl>
    <w:lvl w:ilvl="4" w:tplc="3AE49D50">
      <w:start w:val="1"/>
      <w:numFmt w:val="bullet"/>
      <w:lvlText w:val="o"/>
      <w:lvlJc w:val="left"/>
      <w:pPr>
        <w:tabs>
          <w:tab w:val="num" w:pos="3600"/>
        </w:tabs>
        <w:ind w:left="3600" w:hanging="360"/>
      </w:pPr>
      <w:rPr>
        <w:rFonts w:ascii="Courier New" w:hAnsi="Courier New"/>
      </w:rPr>
    </w:lvl>
    <w:lvl w:ilvl="5" w:tplc="B17C90E6">
      <w:start w:val="1"/>
      <w:numFmt w:val="bullet"/>
      <w:lvlText w:val=""/>
      <w:lvlJc w:val="left"/>
      <w:pPr>
        <w:tabs>
          <w:tab w:val="num" w:pos="4320"/>
        </w:tabs>
        <w:ind w:left="4320" w:hanging="360"/>
      </w:pPr>
      <w:rPr>
        <w:rFonts w:ascii="Wingdings" w:hAnsi="Wingdings"/>
      </w:rPr>
    </w:lvl>
    <w:lvl w:ilvl="6" w:tplc="40C4219A">
      <w:start w:val="1"/>
      <w:numFmt w:val="bullet"/>
      <w:lvlText w:val=""/>
      <w:lvlJc w:val="left"/>
      <w:pPr>
        <w:tabs>
          <w:tab w:val="num" w:pos="5040"/>
        </w:tabs>
        <w:ind w:left="5040" w:hanging="360"/>
      </w:pPr>
      <w:rPr>
        <w:rFonts w:ascii="Symbol" w:hAnsi="Symbol"/>
      </w:rPr>
    </w:lvl>
    <w:lvl w:ilvl="7" w:tplc="74D229AE">
      <w:start w:val="1"/>
      <w:numFmt w:val="bullet"/>
      <w:lvlText w:val="o"/>
      <w:lvlJc w:val="left"/>
      <w:pPr>
        <w:tabs>
          <w:tab w:val="num" w:pos="5760"/>
        </w:tabs>
        <w:ind w:left="5760" w:hanging="360"/>
      </w:pPr>
      <w:rPr>
        <w:rFonts w:ascii="Courier New" w:hAnsi="Courier New"/>
      </w:rPr>
    </w:lvl>
    <w:lvl w:ilvl="8" w:tplc="6B1EE668">
      <w:start w:val="1"/>
      <w:numFmt w:val="bullet"/>
      <w:lvlText w:val=""/>
      <w:lvlJc w:val="left"/>
      <w:pPr>
        <w:tabs>
          <w:tab w:val="num" w:pos="6480"/>
        </w:tabs>
        <w:ind w:left="6480" w:hanging="360"/>
      </w:pPr>
      <w:rPr>
        <w:rFonts w:ascii="Wingdings" w:hAnsi="Wingdings"/>
      </w:rPr>
    </w:lvl>
  </w:abstractNum>
  <w:num w:numId="1">
    <w:abstractNumId w:val="24"/>
  </w:num>
  <w:num w:numId="2">
    <w:abstractNumId w:val="11"/>
  </w:num>
  <w:num w:numId="3">
    <w:abstractNumId w:val="29"/>
  </w:num>
  <w:num w:numId="4">
    <w:abstractNumId w:val="28"/>
  </w:num>
  <w:num w:numId="5">
    <w:abstractNumId w:val="22"/>
  </w:num>
  <w:num w:numId="6">
    <w:abstractNumId w:val="35"/>
  </w:num>
  <w:num w:numId="7">
    <w:abstractNumId w:val="38"/>
  </w:num>
  <w:num w:numId="8">
    <w:abstractNumId w:val="37"/>
  </w:num>
  <w:num w:numId="9">
    <w:abstractNumId w:val="39"/>
  </w:num>
  <w:num w:numId="10">
    <w:abstractNumId w:val="17"/>
  </w:num>
  <w:num w:numId="11">
    <w:abstractNumId w:val="16"/>
  </w:num>
  <w:num w:numId="12">
    <w:abstractNumId w:val="30"/>
  </w:num>
  <w:num w:numId="13">
    <w:abstractNumId w:val="18"/>
  </w:num>
  <w:num w:numId="14">
    <w:abstractNumId w:val="25"/>
  </w:num>
  <w:num w:numId="15">
    <w:abstractNumId w:val="31"/>
  </w:num>
  <w:num w:numId="16">
    <w:abstractNumId w:val="1"/>
  </w:num>
  <w:num w:numId="17">
    <w:abstractNumId w:val="0"/>
  </w:num>
  <w:num w:numId="18">
    <w:abstractNumId w:val="13"/>
  </w:num>
  <w:num w:numId="19">
    <w:abstractNumId w:val="7"/>
  </w:num>
  <w:num w:numId="20">
    <w:abstractNumId w:val="6"/>
  </w:num>
  <w:num w:numId="21">
    <w:abstractNumId w:val="32"/>
  </w:num>
  <w:num w:numId="22">
    <w:abstractNumId w:val="34"/>
  </w:num>
  <w:num w:numId="23">
    <w:abstractNumId w:val="33"/>
  </w:num>
  <w:num w:numId="24">
    <w:abstractNumId w:val="36"/>
  </w:num>
  <w:num w:numId="25">
    <w:abstractNumId w:val="10"/>
  </w:num>
  <w:num w:numId="26">
    <w:abstractNumId w:val="19"/>
  </w:num>
  <w:num w:numId="27">
    <w:abstractNumId w:val="21"/>
  </w:num>
  <w:num w:numId="28">
    <w:abstractNumId w:val="20"/>
  </w:num>
  <w:num w:numId="29">
    <w:abstractNumId w:val="3"/>
  </w:num>
  <w:num w:numId="30">
    <w:abstractNumId w:val="23"/>
  </w:num>
  <w:num w:numId="31">
    <w:abstractNumId w:val="5"/>
  </w:num>
  <w:num w:numId="32">
    <w:abstractNumId w:val="2"/>
  </w:num>
  <w:num w:numId="33">
    <w:abstractNumId w:val="31"/>
    <w:lvlOverride w:ilvl="0">
      <w:lvl w:ilvl="0">
        <w:start w:val="2"/>
        <w:numFmt w:val="decimal"/>
        <w:lvlText w:val="%1."/>
        <w:lvlJc w:val="left"/>
        <w:pPr>
          <w:tabs>
            <w:tab w:val="num" w:pos="992"/>
          </w:tabs>
          <w:ind w:left="992" w:hanging="850"/>
        </w:pPr>
        <w:rPr>
          <w:rFonts w:hint="default"/>
        </w:rPr>
      </w:lvl>
    </w:lvlOverride>
    <w:lvlOverride w:ilvl="1">
      <w:lvl w:ilvl="1">
        <w:start w:val="1"/>
        <w:numFmt w:val="decimal"/>
        <w:lvlText w:val="%1.%2."/>
        <w:lvlJc w:val="left"/>
        <w:pPr>
          <w:tabs>
            <w:tab w:val="num" w:pos="850"/>
          </w:tabs>
          <w:ind w:left="850" w:hanging="850"/>
        </w:pPr>
        <w:rPr>
          <w:rFonts w:hint="default"/>
        </w:rPr>
      </w:lvl>
    </w:lvlOverride>
    <w:lvlOverride w:ilvl="2">
      <w:lvl w:ilvl="2">
        <w:start w:val="1"/>
        <w:numFmt w:val="decimal"/>
        <w:lvlText w:val="%1.%2.%3."/>
        <w:lvlJc w:val="left"/>
        <w:pPr>
          <w:tabs>
            <w:tab w:val="num" w:pos="850"/>
          </w:tabs>
          <w:ind w:left="850" w:hanging="850"/>
        </w:pPr>
        <w:rPr>
          <w:rFonts w:hint="default"/>
          <w:b/>
        </w:rPr>
      </w:lvl>
    </w:lvlOverride>
    <w:lvlOverride w:ilvl="3">
      <w:lvl w:ilvl="3">
        <w:start w:val="1"/>
        <w:numFmt w:val="decimal"/>
        <w:lvlText w:val="%1.%2.%3.%4."/>
        <w:lvlJc w:val="left"/>
        <w:pPr>
          <w:tabs>
            <w:tab w:val="num" w:pos="850"/>
          </w:tabs>
          <w:ind w:left="850" w:hanging="850"/>
        </w:pPr>
        <w:rPr>
          <w:rFonts w:hint="default"/>
        </w:rPr>
      </w:lvl>
    </w:lvlOverride>
    <w:lvlOverride w:ilvl="4">
      <w:lvl w:ilvl="4">
        <w:start w:val="1"/>
        <w:numFmt w:val="lowerLetter"/>
        <w:lvlText w:val="(%5)"/>
        <w:lvlJc w:val="left"/>
        <w:pPr>
          <w:tabs>
            <w:tab w:val="num" w:pos="1800"/>
          </w:tabs>
          <w:ind w:left="1800" w:hanging="360"/>
        </w:pPr>
        <w:rPr>
          <w:rFonts w:hint="default"/>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2520"/>
          </w:tabs>
          <w:ind w:left="252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34">
    <w:abstractNumId w:val="27"/>
  </w:num>
  <w:num w:numId="35">
    <w:abstractNumId w:val="14"/>
  </w:num>
  <w:num w:numId="36">
    <w:abstractNumId w:val="31"/>
    <w:lvlOverride w:ilvl="0">
      <w:startOverride w:val="7"/>
      <w:lvl w:ilvl="0">
        <w:start w:val="7"/>
        <w:numFmt w:val="decimal"/>
        <w:lvlText w:val="%1."/>
        <w:lvlJc w:val="left"/>
        <w:pPr>
          <w:tabs>
            <w:tab w:val="num" w:pos="992"/>
          </w:tabs>
          <w:ind w:left="992" w:hanging="850"/>
        </w:pPr>
        <w:rPr>
          <w:rFonts w:hint="default"/>
        </w:rPr>
      </w:lvl>
    </w:lvlOverride>
    <w:lvlOverride w:ilvl="1">
      <w:startOverride w:val="1"/>
      <w:lvl w:ilvl="1">
        <w:start w:val="1"/>
        <w:numFmt w:val="decimal"/>
        <w:lvlText w:val="%1.%2."/>
        <w:lvlJc w:val="left"/>
        <w:pPr>
          <w:tabs>
            <w:tab w:val="num" w:pos="850"/>
          </w:tabs>
          <w:ind w:left="850" w:hanging="850"/>
        </w:pPr>
        <w:rPr>
          <w:rFonts w:hint="default"/>
        </w:rPr>
      </w:lvl>
    </w:lvlOverride>
    <w:lvlOverride w:ilvl="2">
      <w:startOverride w:val="1"/>
      <w:lvl w:ilvl="2">
        <w:start w:val="1"/>
        <w:numFmt w:val="decimal"/>
        <w:lvlText w:val="%1.%2.%3."/>
        <w:lvlJc w:val="left"/>
        <w:pPr>
          <w:tabs>
            <w:tab w:val="num" w:pos="850"/>
          </w:tabs>
          <w:ind w:left="850" w:hanging="850"/>
        </w:pPr>
        <w:rPr>
          <w:rFonts w:hint="default"/>
          <w:b/>
        </w:rPr>
      </w:lvl>
    </w:lvlOverride>
    <w:lvlOverride w:ilvl="3">
      <w:startOverride w:val="1"/>
      <w:lvl w:ilvl="3">
        <w:start w:val="1"/>
        <w:numFmt w:val="decimal"/>
        <w:lvlText w:val="%1.%2.%3.%4."/>
        <w:lvlJc w:val="left"/>
        <w:pPr>
          <w:tabs>
            <w:tab w:val="num" w:pos="850"/>
          </w:tabs>
          <w:ind w:left="850" w:hanging="850"/>
        </w:pPr>
        <w:rPr>
          <w:rFonts w:hint="default"/>
        </w:rPr>
      </w:lvl>
    </w:lvlOverride>
    <w:lvlOverride w:ilvl="4">
      <w:startOverride w:val="1"/>
      <w:lvl w:ilvl="4">
        <w:start w:val="1"/>
        <w:numFmt w:val="lowerLetter"/>
        <w:lvlText w:val="(%5)"/>
        <w:lvlJc w:val="left"/>
        <w:pPr>
          <w:tabs>
            <w:tab w:val="num" w:pos="1800"/>
          </w:tabs>
          <w:ind w:left="1800" w:hanging="360"/>
        </w:pPr>
        <w:rPr>
          <w:rFonts w:hint="default"/>
        </w:rPr>
      </w:lvl>
    </w:lvlOverride>
    <w:lvlOverride w:ilvl="5">
      <w:startOverride w:val="1"/>
      <w:lvl w:ilvl="5">
        <w:start w:val="1"/>
        <w:numFmt w:val="lowerRoman"/>
        <w:lvlText w:val="(%6)"/>
        <w:lvlJc w:val="left"/>
        <w:pPr>
          <w:tabs>
            <w:tab w:val="num" w:pos="2160"/>
          </w:tabs>
          <w:ind w:left="2160" w:hanging="360"/>
        </w:pPr>
        <w:rPr>
          <w:rFonts w:hint="default"/>
        </w:rPr>
      </w:lvl>
    </w:lvlOverride>
    <w:lvlOverride w:ilvl="6">
      <w:startOverride w:val="1"/>
      <w:lvl w:ilvl="6">
        <w:start w:val="1"/>
        <w:numFmt w:val="decimal"/>
        <w:lvlText w:val="%7."/>
        <w:lvlJc w:val="left"/>
        <w:pPr>
          <w:tabs>
            <w:tab w:val="num" w:pos="2520"/>
          </w:tabs>
          <w:ind w:left="2520" w:hanging="360"/>
        </w:pPr>
        <w:rPr>
          <w:rFonts w:hint="default"/>
        </w:rPr>
      </w:lvl>
    </w:lvlOverride>
    <w:lvlOverride w:ilvl="7">
      <w:startOverride w:val="1"/>
      <w:lvl w:ilvl="7">
        <w:start w:val="1"/>
        <w:numFmt w:val="lowerLetter"/>
        <w:lvlText w:val="%8."/>
        <w:lvlJc w:val="left"/>
        <w:pPr>
          <w:tabs>
            <w:tab w:val="num" w:pos="2880"/>
          </w:tabs>
          <w:ind w:left="2880" w:hanging="360"/>
        </w:pPr>
        <w:rPr>
          <w:rFonts w:hint="default"/>
        </w:rPr>
      </w:lvl>
    </w:lvlOverride>
    <w:lvlOverride w:ilvl="8">
      <w:startOverride w:val="1"/>
      <w:lvl w:ilvl="8">
        <w:start w:val="1"/>
        <w:numFmt w:val="lowerRoman"/>
        <w:lvlText w:val="%9."/>
        <w:lvlJc w:val="left"/>
        <w:pPr>
          <w:tabs>
            <w:tab w:val="num" w:pos="3240"/>
          </w:tabs>
          <w:ind w:left="3240" w:hanging="360"/>
        </w:pPr>
        <w:rPr>
          <w:rFonts w:hint="default"/>
        </w:rPr>
      </w:lvl>
    </w:lvlOverride>
  </w:num>
  <w:num w:numId="37">
    <w:abstractNumId w:val="15"/>
  </w:num>
  <w:num w:numId="38">
    <w:abstractNumId w:val="40"/>
  </w:num>
  <w:num w:numId="39">
    <w:abstractNumId w:val="41"/>
  </w:num>
  <w:num w:numId="40">
    <w:abstractNumId w:val="42"/>
  </w:num>
  <w:num w:numId="41">
    <w:abstractNumId w:val="43"/>
  </w:num>
  <w:num w:numId="42">
    <w:abstractNumId w:val="44"/>
  </w:num>
  <w:num w:numId="43">
    <w:abstractNumId w:val="45"/>
  </w:num>
  <w:num w:numId="44">
    <w:abstractNumId w:val="46"/>
  </w:num>
  <w:num w:numId="45">
    <w:abstractNumId w:val="47"/>
  </w:num>
  <w:num w:numId="46">
    <w:abstractNumId w:val="48"/>
  </w:num>
  <w:num w:numId="47">
    <w:abstractNumId w:val="49"/>
  </w:num>
  <w:num w:numId="48">
    <w:abstractNumId w:val="50"/>
  </w:num>
  <w:num w:numId="49">
    <w:abstractNumId w:val="51"/>
  </w:num>
  <w:num w:numId="50">
    <w:abstractNumId w:val="52"/>
  </w:num>
  <w:num w:numId="51">
    <w:abstractNumId w:val="53"/>
  </w:num>
  <w:num w:numId="52">
    <w:abstractNumId w:val="54"/>
  </w:num>
  <w:num w:numId="53">
    <w:abstractNumId w:val="55"/>
  </w:num>
  <w:num w:numId="54">
    <w:abstractNumId w:val="56"/>
  </w:num>
  <w:num w:numId="55">
    <w:abstractNumId w:val="57"/>
  </w:num>
  <w:num w:numId="56">
    <w:abstractNumId w:val="58"/>
  </w:num>
  <w:num w:numId="57">
    <w:abstractNumId w:val="59"/>
  </w:num>
  <w:num w:numId="58">
    <w:abstractNumId w:val="60"/>
  </w:num>
  <w:num w:numId="59">
    <w:abstractNumId w:val="4"/>
  </w:num>
  <w:num w:numId="60">
    <w:abstractNumId w:val="26"/>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 w:name="LW_LANGUE" w:val="PL"/>
  </w:docVars>
  <w:rsids>
    <w:rsidRoot w:val="005643CD"/>
    <w:rsid w:val="0000136E"/>
    <w:rsid w:val="00012225"/>
    <w:rsid w:val="0001723F"/>
    <w:rsid w:val="00020791"/>
    <w:rsid w:val="00020D45"/>
    <w:rsid w:val="00024594"/>
    <w:rsid w:val="000265B0"/>
    <w:rsid w:val="000349B7"/>
    <w:rsid w:val="00035B9C"/>
    <w:rsid w:val="00040967"/>
    <w:rsid w:val="00046E2A"/>
    <w:rsid w:val="00053478"/>
    <w:rsid w:val="000555B4"/>
    <w:rsid w:val="00061661"/>
    <w:rsid w:val="000647CA"/>
    <w:rsid w:val="00076114"/>
    <w:rsid w:val="000808A3"/>
    <w:rsid w:val="0008149E"/>
    <w:rsid w:val="00092FD6"/>
    <w:rsid w:val="00094173"/>
    <w:rsid w:val="00096365"/>
    <w:rsid w:val="00096CDA"/>
    <w:rsid w:val="000A3B64"/>
    <w:rsid w:val="000A679B"/>
    <w:rsid w:val="000C0BA9"/>
    <w:rsid w:val="000C0FEB"/>
    <w:rsid w:val="000E051A"/>
    <w:rsid w:val="00131004"/>
    <w:rsid w:val="001323D0"/>
    <w:rsid w:val="00135E0B"/>
    <w:rsid w:val="00136029"/>
    <w:rsid w:val="00145E2A"/>
    <w:rsid w:val="00154CD6"/>
    <w:rsid w:val="00154F4D"/>
    <w:rsid w:val="0019155C"/>
    <w:rsid w:val="0019232D"/>
    <w:rsid w:val="00193055"/>
    <w:rsid w:val="001A1933"/>
    <w:rsid w:val="001A1A94"/>
    <w:rsid w:val="001A423C"/>
    <w:rsid w:val="001A4AC5"/>
    <w:rsid w:val="001C4484"/>
    <w:rsid w:val="001C4D4E"/>
    <w:rsid w:val="001C6064"/>
    <w:rsid w:val="001C6826"/>
    <w:rsid w:val="001E682E"/>
    <w:rsid w:val="001F14F7"/>
    <w:rsid w:val="00203AAA"/>
    <w:rsid w:val="002124FC"/>
    <w:rsid w:val="00224619"/>
    <w:rsid w:val="002341D0"/>
    <w:rsid w:val="00235FB7"/>
    <w:rsid w:val="00240A4D"/>
    <w:rsid w:val="002444C3"/>
    <w:rsid w:val="0024468B"/>
    <w:rsid w:val="002467D3"/>
    <w:rsid w:val="0025187E"/>
    <w:rsid w:val="00260E02"/>
    <w:rsid w:val="00264B90"/>
    <w:rsid w:val="0026582B"/>
    <w:rsid w:val="00280DCC"/>
    <w:rsid w:val="00282119"/>
    <w:rsid w:val="0029142A"/>
    <w:rsid w:val="00292464"/>
    <w:rsid w:val="002A1502"/>
    <w:rsid w:val="002A33D9"/>
    <w:rsid w:val="002A5DB6"/>
    <w:rsid w:val="002B2FB6"/>
    <w:rsid w:val="002B6F87"/>
    <w:rsid w:val="002C592F"/>
    <w:rsid w:val="002C6A18"/>
    <w:rsid w:val="002D412E"/>
    <w:rsid w:val="002E06F3"/>
    <w:rsid w:val="002E7197"/>
    <w:rsid w:val="002F3B5D"/>
    <w:rsid w:val="002F51E5"/>
    <w:rsid w:val="00300A01"/>
    <w:rsid w:val="0032408D"/>
    <w:rsid w:val="00331A05"/>
    <w:rsid w:val="00334430"/>
    <w:rsid w:val="00355203"/>
    <w:rsid w:val="003579A1"/>
    <w:rsid w:val="00363F8D"/>
    <w:rsid w:val="00376B28"/>
    <w:rsid w:val="00383FA1"/>
    <w:rsid w:val="00384433"/>
    <w:rsid w:val="00393B43"/>
    <w:rsid w:val="00393D27"/>
    <w:rsid w:val="003A2776"/>
    <w:rsid w:val="003B3135"/>
    <w:rsid w:val="003C0F39"/>
    <w:rsid w:val="003C434D"/>
    <w:rsid w:val="003C6DF1"/>
    <w:rsid w:val="003D4F6D"/>
    <w:rsid w:val="003E5F85"/>
    <w:rsid w:val="003E637B"/>
    <w:rsid w:val="003E7115"/>
    <w:rsid w:val="003E726F"/>
    <w:rsid w:val="003F04E4"/>
    <w:rsid w:val="003F312A"/>
    <w:rsid w:val="0041582B"/>
    <w:rsid w:val="00421A8C"/>
    <w:rsid w:val="004330F7"/>
    <w:rsid w:val="00434D73"/>
    <w:rsid w:val="0043607F"/>
    <w:rsid w:val="00441C3E"/>
    <w:rsid w:val="00443E24"/>
    <w:rsid w:val="00451438"/>
    <w:rsid w:val="00470F82"/>
    <w:rsid w:val="0047688D"/>
    <w:rsid w:val="00496701"/>
    <w:rsid w:val="00497523"/>
    <w:rsid w:val="004B241D"/>
    <w:rsid w:val="004B3E22"/>
    <w:rsid w:val="004C3260"/>
    <w:rsid w:val="004D6897"/>
    <w:rsid w:val="004E1FDD"/>
    <w:rsid w:val="004E2C3C"/>
    <w:rsid w:val="004E54FE"/>
    <w:rsid w:val="004F4721"/>
    <w:rsid w:val="00501B5A"/>
    <w:rsid w:val="00501DA0"/>
    <w:rsid w:val="00501F99"/>
    <w:rsid w:val="00506B9C"/>
    <w:rsid w:val="0051119B"/>
    <w:rsid w:val="00525572"/>
    <w:rsid w:val="0052634B"/>
    <w:rsid w:val="00526EEC"/>
    <w:rsid w:val="005272C2"/>
    <w:rsid w:val="00530285"/>
    <w:rsid w:val="00534668"/>
    <w:rsid w:val="0053468B"/>
    <w:rsid w:val="005600A1"/>
    <w:rsid w:val="00562C60"/>
    <w:rsid w:val="005643CD"/>
    <w:rsid w:val="005933D2"/>
    <w:rsid w:val="005A1CA2"/>
    <w:rsid w:val="005A6EF8"/>
    <w:rsid w:val="005B18FF"/>
    <w:rsid w:val="005C1759"/>
    <w:rsid w:val="005C1C0E"/>
    <w:rsid w:val="005C3EC9"/>
    <w:rsid w:val="005C48A0"/>
    <w:rsid w:val="005C75F4"/>
    <w:rsid w:val="005E1DEE"/>
    <w:rsid w:val="005E3257"/>
    <w:rsid w:val="005F10A8"/>
    <w:rsid w:val="005F4919"/>
    <w:rsid w:val="005F69E9"/>
    <w:rsid w:val="005F6C78"/>
    <w:rsid w:val="00601E29"/>
    <w:rsid w:val="00605312"/>
    <w:rsid w:val="00612651"/>
    <w:rsid w:val="00626299"/>
    <w:rsid w:val="00632B32"/>
    <w:rsid w:val="00635EC6"/>
    <w:rsid w:val="00636EE1"/>
    <w:rsid w:val="006477CC"/>
    <w:rsid w:val="00651510"/>
    <w:rsid w:val="00651D0D"/>
    <w:rsid w:val="006537DC"/>
    <w:rsid w:val="00656874"/>
    <w:rsid w:val="00665F81"/>
    <w:rsid w:val="00673320"/>
    <w:rsid w:val="00681475"/>
    <w:rsid w:val="00686513"/>
    <w:rsid w:val="00696324"/>
    <w:rsid w:val="006A0BCE"/>
    <w:rsid w:val="006B2EC1"/>
    <w:rsid w:val="006B7AA1"/>
    <w:rsid w:val="006C3A4F"/>
    <w:rsid w:val="006C47D8"/>
    <w:rsid w:val="006C5893"/>
    <w:rsid w:val="006E04F8"/>
    <w:rsid w:val="006F36BD"/>
    <w:rsid w:val="006F611F"/>
    <w:rsid w:val="007056FA"/>
    <w:rsid w:val="00712618"/>
    <w:rsid w:val="00716640"/>
    <w:rsid w:val="00716FAF"/>
    <w:rsid w:val="00721C7F"/>
    <w:rsid w:val="007228BB"/>
    <w:rsid w:val="00740D74"/>
    <w:rsid w:val="007477B4"/>
    <w:rsid w:val="00751387"/>
    <w:rsid w:val="00753287"/>
    <w:rsid w:val="007662F4"/>
    <w:rsid w:val="00772438"/>
    <w:rsid w:val="007732A8"/>
    <w:rsid w:val="00776DD9"/>
    <w:rsid w:val="00784A51"/>
    <w:rsid w:val="00785519"/>
    <w:rsid w:val="00785D8B"/>
    <w:rsid w:val="00785F4A"/>
    <w:rsid w:val="00786DF0"/>
    <w:rsid w:val="00797952"/>
    <w:rsid w:val="007A7BCB"/>
    <w:rsid w:val="007C3041"/>
    <w:rsid w:val="007C32E3"/>
    <w:rsid w:val="007C3A6B"/>
    <w:rsid w:val="007D0631"/>
    <w:rsid w:val="007D1048"/>
    <w:rsid w:val="007E126C"/>
    <w:rsid w:val="007F057E"/>
    <w:rsid w:val="007F2E23"/>
    <w:rsid w:val="00800EF3"/>
    <w:rsid w:val="00802E85"/>
    <w:rsid w:val="00802EB5"/>
    <w:rsid w:val="00825E46"/>
    <w:rsid w:val="00842532"/>
    <w:rsid w:val="00845B64"/>
    <w:rsid w:val="0085753F"/>
    <w:rsid w:val="008624D7"/>
    <w:rsid w:val="008668C2"/>
    <w:rsid w:val="0087203A"/>
    <w:rsid w:val="00872CF4"/>
    <w:rsid w:val="0087734D"/>
    <w:rsid w:val="00882024"/>
    <w:rsid w:val="00885F0E"/>
    <w:rsid w:val="00887147"/>
    <w:rsid w:val="0089499E"/>
    <w:rsid w:val="008B154C"/>
    <w:rsid w:val="008B4892"/>
    <w:rsid w:val="008B5B17"/>
    <w:rsid w:val="008B7DEB"/>
    <w:rsid w:val="008C04A5"/>
    <w:rsid w:val="008C1246"/>
    <w:rsid w:val="008C2BD7"/>
    <w:rsid w:val="008C5CFA"/>
    <w:rsid w:val="008D382F"/>
    <w:rsid w:val="008D51D0"/>
    <w:rsid w:val="008E275E"/>
    <w:rsid w:val="008E3442"/>
    <w:rsid w:val="008E457C"/>
    <w:rsid w:val="008E4C74"/>
    <w:rsid w:val="008F0A0F"/>
    <w:rsid w:val="008F4198"/>
    <w:rsid w:val="0090303F"/>
    <w:rsid w:val="00913BF5"/>
    <w:rsid w:val="009143B4"/>
    <w:rsid w:val="00920B4D"/>
    <w:rsid w:val="00920F74"/>
    <w:rsid w:val="00932504"/>
    <w:rsid w:val="0094129D"/>
    <w:rsid w:val="00951D72"/>
    <w:rsid w:val="00963FAE"/>
    <w:rsid w:val="00966248"/>
    <w:rsid w:val="00977763"/>
    <w:rsid w:val="00977F41"/>
    <w:rsid w:val="00981D0C"/>
    <w:rsid w:val="009924E7"/>
    <w:rsid w:val="009936C0"/>
    <w:rsid w:val="009937DA"/>
    <w:rsid w:val="00994702"/>
    <w:rsid w:val="00997947"/>
    <w:rsid w:val="009A2413"/>
    <w:rsid w:val="009A4FB1"/>
    <w:rsid w:val="009A51C8"/>
    <w:rsid w:val="009A5808"/>
    <w:rsid w:val="009C3005"/>
    <w:rsid w:val="009C5874"/>
    <w:rsid w:val="009C5CD5"/>
    <w:rsid w:val="009C6F09"/>
    <w:rsid w:val="009D0B94"/>
    <w:rsid w:val="009D7F18"/>
    <w:rsid w:val="009E1ED9"/>
    <w:rsid w:val="009E24C0"/>
    <w:rsid w:val="009E5061"/>
    <w:rsid w:val="009E7DF6"/>
    <w:rsid w:val="009F10BE"/>
    <w:rsid w:val="009F273A"/>
    <w:rsid w:val="009F3013"/>
    <w:rsid w:val="00A040FE"/>
    <w:rsid w:val="00A07B0B"/>
    <w:rsid w:val="00A11A16"/>
    <w:rsid w:val="00A25F85"/>
    <w:rsid w:val="00A46F45"/>
    <w:rsid w:val="00A54604"/>
    <w:rsid w:val="00A7518A"/>
    <w:rsid w:val="00A75FB2"/>
    <w:rsid w:val="00A82BBD"/>
    <w:rsid w:val="00A859BA"/>
    <w:rsid w:val="00A912D3"/>
    <w:rsid w:val="00A91FB2"/>
    <w:rsid w:val="00A92B39"/>
    <w:rsid w:val="00AA1917"/>
    <w:rsid w:val="00AA2071"/>
    <w:rsid w:val="00AA50AC"/>
    <w:rsid w:val="00AB4DE0"/>
    <w:rsid w:val="00AB51B2"/>
    <w:rsid w:val="00AB7ABC"/>
    <w:rsid w:val="00AC3BC0"/>
    <w:rsid w:val="00AC570A"/>
    <w:rsid w:val="00AD04B0"/>
    <w:rsid w:val="00AD1925"/>
    <w:rsid w:val="00AE443E"/>
    <w:rsid w:val="00B0109F"/>
    <w:rsid w:val="00B05D34"/>
    <w:rsid w:val="00B126B3"/>
    <w:rsid w:val="00B226C6"/>
    <w:rsid w:val="00B24533"/>
    <w:rsid w:val="00B268D3"/>
    <w:rsid w:val="00B27C43"/>
    <w:rsid w:val="00B33AAE"/>
    <w:rsid w:val="00B36AD0"/>
    <w:rsid w:val="00B376BD"/>
    <w:rsid w:val="00B50750"/>
    <w:rsid w:val="00B52842"/>
    <w:rsid w:val="00B52CDD"/>
    <w:rsid w:val="00B63272"/>
    <w:rsid w:val="00B80177"/>
    <w:rsid w:val="00BA47B4"/>
    <w:rsid w:val="00BB181F"/>
    <w:rsid w:val="00BB2C6D"/>
    <w:rsid w:val="00BB7115"/>
    <w:rsid w:val="00BC7D65"/>
    <w:rsid w:val="00BE06D6"/>
    <w:rsid w:val="00BE1A1C"/>
    <w:rsid w:val="00BE2F0F"/>
    <w:rsid w:val="00BF682D"/>
    <w:rsid w:val="00C10AE1"/>
    <w:rsid w:val="00C11C12"/>
    <w:rsid w:val="00C15429"/>
    <w:rsid w:val="00C16604"/>
    <w:rsid w:val="00C2219E"/>
    <w:rsid w:val="00C24262"/>
    <w:rsid w:val="00C3185A"/>
    <w:rsid w:val="00C35954"/>
    <w:rsid w:val="00C35D17"/>
    <w:rsid w:val="00C378B2"/>
    <w:rsid w:val="00C40F08"/>
    <w:rsid w:val="00C57C82"/>
    <w:rsid w:val="00C61193"/>
    <w:rsid w:val="00C617AA"/>
    <w:rsid w:val="00C64E77"/>
    <w:rsid w:val="00C7344F"/>
    <w:rsid w:val="00C7475F"/>
    <w:rsid w:val="00C83EDB"/>
    <w:rsid w:val="00C902C0"/>
    <w:rsid w:val="00C95968"/>
    <w:rsid w:val="00CA0FB4"/>
    <w:rsid w:val="00CA409F"/>
    <w:rsid w:val="00CA486D"/>
    <w:rsid w:val="00CC0B7A"/>
    <w:rsid w:val="00CC2601"/>
    <w:rsid w:val="00CC2A91"/>
    <w:rsid w:val="00CD4FC0"/>
    <w:rsid w:val="00CD7A34"/>
    <w:rsid w:val="00CE4603"/>
    <w:rsid w:val="00CE4BC7"/>
    <w:rsid w:val="00CE6243"/>
    <w:rsid w:val="00CF3103"/>
    <w:rsid w:val="00D0301C"/>
    <w:rsid w:val="00D04F43"/>
    <w:rsid w:val="00D050FE"/>
    <w:rsid w:val="00D066A4"/>
    <w:rsid w:val="00D21E3A"/>
    <w:rsid w:val="00D27135"/>
    <w:rsid w:val="00D4605F"/>
    <w:rsid w:val="00D5077A"/>
    <w:rsid w:val="00D5173B"/>
    <w:rsid w:val="00D61A92"/>
    <w:rsid w:val="00D662C0"/>
    <w:rsid w:val="00D81FD8"/>
    <w:rsid w:val="00D87DAA"/>
    <w:rsid w:val="00D9190F"/>
    <w:rsid w:val="00DA0454"/>
    <w:rsid w:val="00DA2CD2"/>
    <w:rsid w:val="00DA3B6B"/>
    <w:rsid w:val="00DB25B8"/>
    <w:rsid w:val="00DC1938"/>
    <w:rsid w:val="00DC4EC8"/>
    <w:rsid w:val="00DD0A72"/>
    <w:rsid w:val="00DD11BF"/>
    <w:rsid w:val="00DD2742"/>
    <w:rsid w:val="00DE0B35"/>
    <w:rsid w:val="00DF0D6A"/>
    <w:rsid w:val="00DF3589"/>
    <w:rsid w:val="00DF38CE"/>
    <w:rsid w:val="00E04CA1"/>
    <w:rsid w:val="00E05058"/>
    <w:rsid w:val="00E05217"/>
    <w:rsid w:val="00E0796D"/>
    <w:rsid w:val="00E11D4E"/>
    <w:rsid w:val="00E2200B"/>
    <w:rsid w:val="00E34BCA"/>
    <w:rsid w:val="00E352CA"/>
    <w:rsid w:val="00E452ED"/>
    <w:rsid w:val="00E505CB"/>
    <w:rsid w:val="00E50D6A"/>
    <w:rsid w:val="00E61062"/>
    <w:rsid w:val="00E65051"/>
    <w:rsid w:val="00E70F05"/>
    <w:rsid w:val="00E75E68"/>
    <w:rsid w:val="00E81C33"/>
    <w:rsid w:val="00E82A60"/>
    <w:rsid w:val="00E82B68"/>
    <w:rsid w:val="00E86267"/>
    <w:rsid w:val="00E94987"/>
    <w:rsid w:val="00EA592E"/>
    <w:rsid w:val="00EA5B31"/>
    <w:rsid w:val="00EA7BCC"/>
    <w:rsid w:val="00EC7CD7"/>
    <w:rsid w:val="00ED0DE3"/>
    <w:rsid w:val="00ED27A3"/>
    <w:rsid w:val="00EE26D8"/>
    <w:rsid w:val="00EE7BC4"/>
    <w:rsid w:val="00EF5FAD"/>
    <w:rsid w:val="00F022AC"/>
    <w:rsid w:val="00F05543"/>
    <w:rsid w:val="00F10C44"/>
    <w:rsid w:val="00F20807"/>
    <w:rsid w:val="00F27BF0"/>
    <w:rsid w:val="00F37C23"/>
    <w:rsid w:val="00F433EE"/>
    <w:rsid w:val="00F53019"/>
    <w:rsid w:val="00F6016A"/>
    <w:rsid w:val="00F66B1A"/>
    <w:rsid w:val="00F66DE9"/>
    <w:rsid w:val="00F70AEC"/>
    <w:rsid w:val="00F924F6"/>
    <w:rsid w:val="00F94992"/>
    <w:rsid w:val="00FA2966"/>
    <w:rsid w:val="00FB0E5E"/>
    <w:rsid w:val="00FC27D2"/>
    <w:rsid w:val="00FC6A8D"/>
    <w:rsid w:val="00FF4A10"/>
  </w:rsids>
  <m:mathPr>
    <m:mathFont m:val="Cambria Math"/>
    <m:brkBin m:val="before"/>
    <m:brkBinSub m:val="--"/>
    <m:smallFrac m:val="0"/>
    <m:dispDef/>
    <m:lMargin m:val="0"/>
    <m:rMargin m:val="0"/>
    <m:defJc m:val="centerGroup"/>
    <m:wrapRight/>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88894B"/>
  <w15:docId w15:val="{50CD2531-75E9-48FD-9B29-9BB4C8DDC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semiHidden="1" w:unhideWhenUsed="1" w:qFormat="1"/>
    <w:lsdException w:name="Title" w:qFormat="1"/>
    <w:lsdException w:name="Signature" w:uiPriority="99"/>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5643CD"/>
    <w:pPr>
      <w:spacing w:before="120" w:after="120"/>
      <w:jc w:val="both"/>
    </w:pPr>
    <w:rPr>
      <w:sz w:val="24"/>
      <w:szCs w:val="24"/>
      <w:lang w:val="en-GB"/>
    </w:rPr>
  </w:style>
  <w:style w:type="paragraph" w:styleId="Nagwek1">
    <w:name w:val="heading 1"/>
    <w:basedOn w:val="Normalny"/>
    <w:next w:val="Normalny"/>
    <w:link w:val="Nagwek1Znak"/>
    <w:qFormat/>
    <w:rsid w:val="008B4892"/>
    <w:pPr>
      <w:keepNext/>
      <w:numPr>
        <w:numId w:val="34"/>
      </w:numPr>
      <w:spacing w:before="360"/>
      <w:outlineLvl w:val="0"/>
    </w:pPr>
    <w:rPr>
      <w:b/>
      <w:bCs/>
      <w:smallCaps/>
      <w:szCs w:val="32"/>
    </w:rPr>
  </w:style>
  <w:style w:type="paragraph" w:styleId="Nagwek2">
    <w:name w:val="heading 2"/>
    <w:basedOn w:val="Normalny"/>
    <w:next w:val="Normalny"/>
    <w:link w:val="Nagwek2Znak"/>
    <w:qFormat/>
    <w:rsid w:val="005643CD"/>
    <w:pPr>
      <w:keepNext/>
      <w:outlineLvl w:val="1"/>
    </w:pPr>
    <w:rPr>
      <w:b/>
      <w:bCs/>
      <w:iCs/>
      <w:szCs w:val="28"/>
    </w:rPr>
  </w:style>
  <w:style w:type="paragraph" w:styleId="Nagwek3">
    <w:name w:val="heading 3"/>
    <w:basedOn w:val="Normalny"/>
    <w:next w:val="Normalny"/>
    <w:link w:val="Nagwek3Znak"/>
    <w:qFormat/>
    <w:rsid w:val="005643CD"/>
    <w:pPr>
      <w:keepNext/>
      <w:outlineLvl w:val="2"/>
    </w:pPr>
    <w:rPr>
      <w:bCs/>
      <w:i/>
      <w:szCs w:val="26"/>
    </w:rPr>
  </w:style>
  <w:style w:type="paragraph" w:styleId="Nagwek4">
    <w:name w:val="heading 4"/>
    <w:basedOn w:val="Normalny"/>
    <w:next w:val="Normalny"/>
    <w:link w:val="Nagwek4Znak"/>
    <w:qFormat/>
    <w:rsid w:val="004E2C3C"/>
    <w:pPr>
      <w:keepNext/>
      <w:outlineLvl w:val="3"/>
    </w:pPr>
    <w:rPr>
      <w:bCs/>
      <w:szCs w:val="28"/>
    </w:rPr>
  </w:style>
  <w:style w:type="paragraph" w:styleId="Nagwek5">
    <w:name w:val="heading 5"/>
    <w:basedOn w:val="Normalny"/>
    <w:next w:val="Normalny"/>
    <w:link w:val="Nagwek5Znak"/>
    <w:qFormat/>
    <w:rsid w:val="008C5CFA"/>
    <w:pPr>
      <w:spacing w:before="240" w:after="60"/>
      <w:ind w:left="1008" w:hanging="1008"/>
      <w:jc w:val="left"/>
      <w:outlineLvl w:val="4"/>
    </w:pPr>
    <w:rPr>
      <w:rFonts w:ascii="Arial" w:hAnsi="Arial"/>
      <w:sz w:val="22"/>
      <w:szCs w:val="20"/>
    </w:rPr>
  </w:style>
  <w:style w:type="paragraph" w:styleId="Nagwek6">
    <w:name w:val="heading 6"/>
    <w:basedOn w:val="Normalny"/>
    <w:next w:val="Normalny"/>
    <w:link w:val="Nagwek6Znak"/>
    <w:qFormat/>
    <w:rsid w:val="008C5CFA"/>
    <w:pPr>
      <w:spacing w:before="240" w:after="60"/>
      <w:ind w:left="1152" w:hanging="1152"/>
      <w:jc w:val="left"/>
      <w:outlineLvl w:val="5"/>
    </w:pPr>
    <w:rPr>
      <w:rFonts w:ascii="Arial" w:hAnsi="Arial"/>
      <w:i/>
      <w:sz w:val="22"/>
      <w:szCs w:val="20"/>
    </w:rPr>
  </w:style>
  <w:style w:type="paragraph" w:styleId="Nagwek7">
    <w:name w:val="heading 7"/>
    <w:basedOn w:val="Normalny"/>
    <w:next w:val="Normalny"/>
    <w:link w:val="Nagwek7Znak"/>
    <w:qFormat/>
    <w:rsid w:val="008C5CFA"/>
    <w:pPr>
      <w:spacing w:before="240" w:after="60"/>
      <w:ind w:left="1296" w:hanging="1296"/>
      <w:jc w:val="left"/>
      <w:outlineLvl w:val="6"/>
    </w:pPr>
    <w:rPr>
      <w:rFonts w:ascii="Arial" w:hAnsi="Arial"/>
      <w:sz w:val="20"/>
      <w:szCs w:val="20"/>
    </w:rPr>
  </w:style>
  <w:style w:type="paragraph" w:styleId="Nagwek8">
    <w:name w:val="heading 8"/>
    <w:basedOn w:val="Normalny"/>
    <w:next w:val="Normalny"/>
    <w:link w:val="Nagwek8Znak"/>
    <w:qFormat/>
    <w:rsid w:val="008C5CFA"/>
    <w:pPr>
      <w:spacing w:before="240" w:after="60"/>
      <w:ind w:left="1440" w:hanging="1440"/>
      <w:jc w:val="left"/>
      <w:outlineLvl w:val="7"/>
    </w:pPr>
    <w:rPr>
      <w:rFonts w:ascii="Arial" w:hAnsi="Arial"/>
      <w:i/>
      <w:sz w:val="20"/>
      <w:szCs w:val="20"/>
    </w:rPr>
  </w:style>
  <w:style w:type="paragraph" w:styleId="Nagwek9">
    <w:name w:val="heading 9"/>
    <w:basedOn w:val="Normalny"/>
    <w:next w:val="Normalny"/>
    <w:link w:val="Nagwek9Znak"/>
    <w:qFormat/>
    <w:rsid w:val="008C5CFA"/>
    <w:pPr>
      <w:spacing w:before="240" w:after="60"/>
      <w:ind w:left="1584" w:hanging="1584"/>
      <w:jc w:val="left"/>
      <w:outlineLvl w:val="8"/>
    </w:pPr>
    <w:rPr>
      <w:rFonts w:ascii="Arial" w:hAnsi="Arial"/>
      <w:i/>
      <w:sz w:val="18"/>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Accompagnant">
    <w:name w:val="Accompagnant"/>
    <w:basedOn w:val="Normalny"/>
    <w:next w:val="Normalny"/>
    <w:rsid w:val="005643CD"/>
    <w:pPr>
      <w:spacing w:before="0" w:after="240"/>
      <w:jc w:val="center"/>
    </w:pPr>
    <w:rPr>
      <w:b/>
      <w:i/>
    </w:rPr>
  </w:style>
  <w:style w:type="paragraph" w:customStyle="1" w:styleId="AccompagnantPagedecouverture">
    <w:name w:val="Accompagnant (Page de couverture)"/>
    <w:basedOn w:val="Accompagnant"/>
    <w:next w:val="Normalny"/>
    <w:rsid w:val="005643CD"/>
  </w:style>
  <w:style w:type="character" w:customStyle="1" w:styleId="Added">
    <w:name w:val="Added"/>
    <w:rsid w:val="005643CD"/>
    <w:rPr>
      <w:b/>
      <w:u w:val="single"/>
      <w:shd w:val="clear" w:color="auto" w:fill="auto"/>
    </w:rPr>
  </w:style>
  <w:style w:type="paragraph" w:customStyle="1" w:styleId="Address">
    <w:name w:val="Address"/>
    <w:basedOn w:val="Normalny"/>
    <w:next w:val="Normalny"/>
    <w:rsid w:val="005643CD"/>
    <w:pPr>
      <w:keepLines/>
      <w:spacing w:line="360" w:lineRule="auto"/>
      <w:ind w:left="3402"/>
      <w:jc w:val="left"/>
    </w:pPr>
  </w:style>
  <w:style w:type="paragraph" w:customStyle="1" w:styleId="Annexetitre">
    <w:name w:val="Annexe titre"/>
    <w:basedOn w:val="Normalny"/>
    <w:next w:val="Normalny"/>
    <w:rsid w:val="005643CD"/>
    <w:pPr>
      <w:jc w:val="center"/>
    </w:pPr>
    <w:rPr>
      <w:b/>
      <w:u w:val="single"/>
    </w:rPr>
  </w:style>
  <w:style w:type="paragraph" w:customStyle="1" w:styleId="Annexetitreexpos">
    <w:name w:val="Annexe titre (exposé)"/>
    <w:basedOn w:val="Normalny"/>
    <w:next w:val="Normalny"/>
    <w:rsid w:val="005643CD"/>
    <w:pPr>
      <w:jc w:val="center"/>
    </w:pPr>
    <w:rPr>
      <w:b/>
      <w:u w:val="single"/>
    </w:rPr>
  </w:style>
  <w:style w:type="paragraph" w:customStyle="1" w:styleId="Annexetitrefichefinancire">
    <w:name w:val="Annexe titre (fiche financière)"/>
    <w:basedOn w:val="Normalny"/>
    <w:next w:val="Normalny"/>
    <w:rsid w:val="005643CD"/>
    <w:pPr>
      <w:jc w:val="center"/>
    </w:pPr>
    <w:rPr>
      <w:b/>
      <w:u w:val="single"/>
    </w:rPr>
  </w:style>
  <w:style w:type="paragraph" w:customStyle="1" w:styleId="Applicationdirecte">
    <w:name w:val="Application directe"/>
    <w:basedOn w:val="Normalny"/>
    <w:next w:val="Normalny"/>
    <w:rsid w:val="005643CD"/>
    <w:pPr>
      <w:spacing w:before="480"/>
    </w:pPr>
  </w:style>
  <w:style w:type="paragraph" w:customStyle="1" w:styleId="Avertissementtitre">
    <w:name w:val="Avertissement titre"/>
    <w:basedOn w:val="Normalny"/>
    <w:next w:val="Normalny"/>
    <w:rsid w:val="005643CD"/>
    <w:pPr>
      <w:keepNext/>
      <w:spacing w:before="480"/>
    </w:pPr>
    <w:rPr>
      <w:u w:val="single"/>
    </w:rPr>
  </w:style>
  <w:style w:type="paragraph" w:customStyle="1" w:styleId="Bullet0">
    <w:name w:val="Bullet 0"/>
    <w:basedOn w:val="Normalny"/>
    <w:rsid w:val="005643CD"/>
    <w:pPr>
      <w:numPr>
        <w:numId w:val="1"/>
      </w:numPr>
    </w:pPr>
  </w:style>
  <w:style w:type="paragraph" w:customStyle="1" w:styleId="Bullet1">
    <w:name w:val="Bullet 1"/>
    <w:basedOn w:val="Normalny"/>
    <w:rsid w:val="005643CD"/>
    <w:pPr>
      <w:numPr>
        <w:numId w:val="2"/>
      </w:numPr>
    </w:pPr>
  </w:style>
  <w:style w:type="paragraph" w:customStyle="1" w:styleId="Bullet2">
    <w:name w:val="Bullet 2"/>
    <w:basedOn w:val="Normalny"/>
    <w:rsid w:val="005643CD"/>
    <w:pPr>
      <w:numPr>
        <w:numId w:val="3"/>
      </w:numPr>
    </w:pPr>
  </w:style>
  <w:style w:type="paragraph" w:customStyle="1" w:styleId="Bullet3">
    <w:name w:val="Bullet 3"/>
    <w:basedOn w:val="Normalny"/>
    <w:rsid w:val="005643CD"/>
    <w:pPr>
      <w:numPr>
        <w:numId w:val="4"/>
      </w:numPr>
    </w:pPr>
  </w:style>
  <w:style w:type="paragraph" w:customStyle="1" w:styleId="Bullet4">
    <w:name w:val="Bullet 4"/>
    <w:basedOn w:val="Normalny"/>
    <w:rsid w:val="005643CD"/>
    <w:pPr>
      <w:numPr>
        <w:numId w:val="5"/>
      </w:numPr>
    </w:pPr>
  </w:style>
  <w:style w:type="paragraph" w:customStyle="1" w:styleId="ChapterTitle">
    <w:name w:val="ChapterTitle"/>
    <w:basedOn w:val="Normalny"/>
    <w:next w:val="Normalny"/>
    <w:rsid w:val="005643CD"/>
    <w:pPr>
      <w:keepNext/>
      <w:spacing w:after="360"/>
      <w:jc w:val="center"/>
    </w:pPr>
    <w:rPr>
      <w:b/>
      <w:sz w:val="32"/>
    </w:rPr>
  </w:style>
  <w:style w:type="paragraph" w:customStyle="1" w:styleId="Confidence">
    <w:name w:val="Confidence"/>
    <w:basedOn w:val="Normalny"/>
    <w:next w:val="Normalny"/>
    <w:rsid w:val="005643CD"/>
    <w:pPr>
      <w:spacing w:before="360"/>
      <w:jc w:val="center"/>
    </w:pPr>
  </w:style>
  <w:style w:type="paragraph" w:customStyle="1" w:styleId="Confidentialit">
    <w:name w:val="Confidentialité"/>
    <w:basedOn w:val="Normalny"/>
    <w:next w:val="Normalny"/>
    <w:rsid w:val="005643CD"/>
    <w:pPr>
      <w:spacing w:before="240" w:after="240"/>
      <w:ind w:left="5103"/>
    </w:pPr>
    <w:rPr>
      <w:u w:val="single"/>
    </w:rPr>
  </w:style>
  <w:style w:type="paragraph" w:customStyle="1" w:styleId="Considrant">
    <w:name w:val="Considérant"/>
    <w:basedOn w:val="Normalny"/>
    <w:rsid w:val="005643CD"/>
    <w:pPr>
      <w:numPr>
        <w:numId w:val="6"/>
      </w:numPr>
    </w:pPr>
  </w:style>
  <w:style w:type="paragraph" w:customStyle="1" w:styleId="Corrigendum">
    <w:name w:val="Corrigendum"/>
    <w:basedOn w:val="Normalny"/>
    <w:next w:val="Normalny"/>
    <w:rsid w:val="005643CD"/>
    <w:pPr>
      <w:spacing w:before="0" w:after="240"/>
      <w:jc w:val="left"/>
    </w:pPr>
  </w:style>
  <w:style w:type="paragraph" w:customStyle="1" w:styleId="Datedadoption">
    <w:name w:val="Date d'adoption"/>
    <w:basedOn w:val="Normalny"/>
    <w:next w:val="Normalny"/>
    <w:rsid w:val="005643CD"/>
    <w:pPr>
      <w:spacing w:before="360" w:after="0"/>
      <w:jc w:val="center"/>
    </w:pPr>
    <w:rPr>
      <w:b/>
    </w:rPr>
  </w:style>
  <w:style w:type="paragraph" w:customStyle="1" w:styleId="DatedadoptionPagedecouverture">
    <w:name w:val="Date d'adoption (Page de couverture)"/>
    <w:basedOn w:val="Datedadoption"/>
    <w:next w:val="Normalny"/>
    <w:rsid w:val="005643CD"/>
  </w:style>
  <w:style w:type="character" w:customStyle="1" w:styleId="Deleted">
    <w:name w:val="Deleted"/>
    <w:rsid w:val="005643CD"/>
    <w:rPr>
      <w:strike/>
      <w:shd w:val="clear" w:color="auto" w:fill="auto"/>
    </w:rPr>
  </w:style>
  <w:style w:type="paragraph" w:customStyle="1" w:styleId="Emission">
    <w:name w:val="Emission"/>
    <w:basedOn w:val="Normalny"/>
    <w:next w:val="Normalny"/>
    <w:rsid w:val="005643CD"/>
    <w:pPr>
      <w:spacing w:before="0" w:after="0"/>
      <w:ind w:left="5103"/>
      <w:jc w:val="left"/>
    </w:pPr>
  </w:style>
  <w:style w:type="paragraph" w:customStyle="1" w:styleId="Exposdesmotifstitre">
    <w:name w:val="Exposé des motifs titre"/>
    <w:basedOn w:val="Normalny"/>
    <w:next w:val="Normalny"/>
    <w:rsid w:val="005643CD"/>
    <w:pPr>
      <w:jc w:val="center"/>
    </w:pPr>
    <w:rPr>
      <w:b/>
      <w:u w:val="single"/>
    </w:rPr>
  </w:style>
  <w:style w:type="paragraph" w:customStyle="1" w:styleId="Fait">
    <w:name w:val="Fait à"/>
    <w:basedOn w:val="Normalny"/>
    <w:next w:val="Normalny"/>
    <w:rsid w:val="005643CD"/>
    <w:pPr>
      <w:keepNext/>
      <w:spacing w:after="0"/>
    </w:pPr>
  </w:style>
  <w:style w:type="paragraph" w:customStyle="1" w:styleId="Fichefinanciretitre">
    <w:name w:val="Fiche financière titre"/>
    <w:basedOn w:val="Normalny"/>
    <w:next w:val="Normalny"/>
    <w:rsid w:val="005643CD"/>
    <w:pPr>
      <w:jc w:val="center"/>
    </w:pPr>
    <w:rPr>
      <w:b/>
      <w:u w:val="single"/>
    </w:rPr>
  </w:style>
  <w:style w:type="paragraph" w:styleId="Stopka">
    <w:name w:val="footer"/>
    <w:basedOn w:val="Normalny"/>
    <w:link w:val="StopkaZnak"/>
    <w:uiPriority w:val="99"/>
    <w:rsid w:val="005643CD"/>
    <w:pPr>
      <w:tabs>
        <w:tab w:val="center" w:pos="4535"/>
        <w:tab w:val="right" w:pos="9071"/>
        <w:tab w:val="right" w:pos="9921"/>
      </w:tabs>
      <w:spacing w:before="360" w:after="0"/>
      <w:ind w:left="-850" w:right="-850"/>
      <w:jc w:val="left"/>
    </w:pPr>
  </w:style>
  <w:style w:type="paragraph" w:customStyle="1" w:styleId="FooterLandscape">
    <w:name w:val="FooterLandscape"/>
    <w:basedOn w:val="Normalny"/>
    <w:rsid w:val="005643CD"/>
    <w:pPr>
      <w:tabs>
        <w:tab w:val="center" w:pos="7285"/>
        <w:tab w:val="center" w:pos="10913"/>
        <w:tab w:val="right" w:pos="15137"/>
      </w:tabs>
      <w:spacing w:before="360" w:after="0"/>
      <w:ind w:left="-567" w:right="-567"/>
      <w:jc w:val="left"/>
    </w:pPr>
  </w:style>
  <w:style w:type="character" w:styleId="Odwoanieprzypisudolnego">
    <w:name w:val="footnote reference"/>
    <w:semiHidden/>
    <w:rsid w:val="005643CD"/>
    <w:rPr>
      <w:shd w:val="clear" w:color="auto" w:fill="auto"/>
      <w:vertAlign w:val="superscript"/>
    </w:rPr>
  </w:style>
  <w:style w:type="paragraph" w:styleId="Tekstprzypisudolnego">
    <w:name w:val="footnote text"/>
    <w:basedOn w:val="Normalny"/>
    <w:link w:val="TekstprzypisudolnegoZnak"/>
    <w:semiHidden/>
    <w:rsid w:val="005643CD"/>
    <w:pPr>
      <w:spacing w:before="0" w:after="0"/>
      <w:ind w:left="720" w:hanging="720"/>
    </w:pPr>
    <w:rPr>
      <w:sz w:val="20"/>
      <w:szCs w:val="20"/>
    </w:rPr>
  </w:style>
  <w:style w:type="paragraph" w:customStyle="1" w:styleId="Formuledadoption">
    <w:name w:val="Formule d'adoption"/>
    <w:basedOn w:val="Normalny"/>
    <w:next w:val="Normalny"/>
    <w:rsid w:val="005643CD"/>
    <w:pPr>
      <w:keepNext/>
    </w:pPr>
  </w:style>
  <w:style w:type="paragraph" w:styleId="Nagwek">
    <w:name w:val="header"/>
    <w:basedOn w:val="Normalny"/>
    <w:link w:val="NagwekZnak"/>
    <w:uiPriority w:val="99"/>
    <w:rsid w:val="005643CD"/>
    <w:pPr>
      <w:tabs>
        <w:tab w:val="center" w:pos="4535"/>
        <w:tab w:val="right" w:pos="9071"/>
      </w:tabs>
    </w:pPr>
  </w:style>
  <w:style w:type="paragraph" w:customStyle="1" w:styleId="HeaderLandscape">
    <w:name w:val="HeaderLandscape"/>
    <w:basedOn w:val="Normalny"/>
    <w:rsid w:val="005643CD"/>
    <w:pPr>
      <w:tabs>
        <w:tab w:val="center" w:pos="7285"/>
        <w:tab w:val="right" w:pos="14003"/>
      </w:tabs>
    </w:pPr>
  </w:style>
  <w:style w:type="paragraph" w:customStyle="1" w:styleId="Institutionquiagit">
    <w:name w:val="Institution qui agit"/>
    <w:basedOn w:val="Normalny"/>
    <w:next w:val="Normalny"/>
    <w:rsid w:val="005643CD"/>
    <w:pPr>
      <w:keepNext/>
      <w:spacing w:before="600"/>
    </w:pPr>
  </w:style>
  <w:style w:type="paragraph" w:customStyle="1" w:styleId="Institutionquisigne">
    <w:name w:val="Institution qui signe"/>
    <w:basedOn w:val="Normalny"/>
    <w:next w:val="Normalny"/>
    <w:rsid w:val="005643CD"/>
    <w:pPr>
      <w:keepNext/>
      <w:tabs>
        <w:tab w:val="left" w:pos="4252"/>
      </w:tabs>
      <w:spacing w:before="720" w:after="0"/>
    </w:pPr>
    <w:rPr>
      <w:i/>
    </w:rPr>
  </w:style>
  <w:style w:type="paragraph" w:customStyle="1" w:styleId="Languesfaisantfoi">
    <w:name w:val="Langues faisant foi"/>
    <w:basedOn w:val="Normalny"/>
    <w:next w:val="Normalny"/>
    <w:rsid w:val="005643CD"/>
    <w:pPr>
      <w:spacing w:before="360" w:after="0"/>
      <w:jc w:val="center"/>
    </w:pPr>
  </w:style>
  <w:style w:type="paragraph" w:customStyle="1" w:styleId="IntrtEEE">
    <w:name w:val="Intérêt EEE"/>
    <w:basedOn w:val="Languesfaisantfoi"/>
    <w:next w:val="Normalny"/>
    <w:rsid w:val="005643CD"/>
    <w:pPr>
      <w:spacing w:after="240"/>
    </w:pPr>
  </w:style>
  <w:style w:type="paragraph" w:customStyle="1" w:styleId="IntrtEEEPagedecouverture">
    <w:name w:val="Intérêt EEE (Page de couverture)"/>
    <w:basedOn w:val="IntrtEEE"/>
    <w:next w:val="Normalny"/>
    <w:rsid w:val="005643CD"/>
  </w:style>
  <w:style w:type="paragraph" w:customStyle="1" w:styleId="Langue">
    <w:name w:val="Langue"/>
    <w:basedOn w:val="Normalny"/>
    <w:next w:val="Normalny"/>
    <w:rsid w:val="005643CD"/>
    <w:pPr>
      <w:framePr w:wrap="around" w:vAnchor="page" w:hAnchor="text" w:xAlign="center" w:y="14741"/>
      <w:spacing w:before="0" w:after="600"/>
      <w:jc w:val="center"/>
    </w:pPr>
    <w:rPr>
      <w:b/>
      <w:caps/>
    </w:rPr>
  </w:style>
  <w:style w:type="paragraph" w:customStyle="1" w:styleId="LanguesfaisantfoiPagedecouverture">
    <w:name w:val="Langues faisant foi (Page de couverture)"/>
    <w:basedOn w:val="Normalny"/>
    <w:next w:val="Normalny"/>
    <w:rsid w:val="005643CD"/>
    <w:pPr>
      <w:spacing w:before="360" w:after="0"/>
      <w:jc w:val="center"/>
    </w:pPr>
  </w:style>
  <w:style w:type="paragraph" w:customStyle="1" w:styleId="ManualConsidrant">
    <w:name w:val="Manual Considérant"/>
    <w:basedOn w:val="Normalny"/>
    <w:rsid w:val="005643CD"/>
    <w:pPr>
      <w:ind w:left="709" w:hanging="709"/>
    </w:pPr>
  </w:style>
  <w:style w:type="paragraph" w:customStyle="1" w:styleId="ManualHeading1">
    <w:name w:val="Manual Heading 1"/>
    <w:basedOn w:val="Normalny"/>
    <w:next w:val="Normalny"/>
    <w:rsid w:val="005643CD"/>
    <w:pPr>
      <w:keepNext/>
      <w:tabs>
        <w:tab w:val="left" w:pos="850"/>
      </w:tabs>
      <w:spacing w:before="360"/>
      <w:ind w:left="850" w:hanging="850"/>
      <w:outlineLvl w:val="0"/>
    </w:pPr>
    <w:rPr>
      <w:b/>
      <w:smallCaps/>
    </w:rPr>
  </w:style>
  <w:style w:type="paragraph" w:customStyle="1" w:styleId="ManualHeading2">
    <w:name w:val="Manual Heading 2"/>
    <w:basedOn w:val="Normalny"/>
    <w:next w:val="Normalny"/>
    <w:qFormat/>
    <w:rsid w:val="005643CD"/>
    <w:pPr>
      <w:keepNext/>
      <w:tabs>
        <w:tab w:val="left" w:pos="850"/>
      </w:tabs>
      <w:ind w:left="850" w:hanging="850"/>
      <w:outlineLvl w:val="1"/>
    </w:pPr>
    <w:rPr>
      <w:b/>
    </w:rPr>
  </w:style>
  <w:style w:type="paragraph" w:customStyle="1" w:styleId="ManualHeading3">
    <w:name w:val="Manual Heading 3"/>
    <w:basedOn w:val="Normalny"/>
    <w:next w:val="Normalny"/>
    <w:qFormat/>
    <w:rsid w:val="005643CD"/>
    <w:pPr>
      <w:keepNext/>
      <w:tabs>
        <w:tab w:val="left" w:pos="850"/>
      </w:tabs>
      <w:ind w:left="850" w:hanging="850"/>
      <w:outlineLvl w:val="2"/>
    </w:pPr>
    <w:rPr>
      <w:i/>
    </w:rPr>
  </w:style>
  <w:style w:type="paragraph" w:customStyle="1" w:styleId="ManualHeading4">
    <w:name w:val="Manual Heading 4"/>
    <w:basedOn w:val="Normalny"/>
    <w:next w:val="Normalny"/>
    <w:rsid w:val="005643CD"/>
    <w:pPr>
      <w:keepNext/>
      <w:tabs>
        <w:tab w:val="left" w:pos="850"/>
      </w:tabs>
      <w:ind w:left="850" w:hanging="850"/>
      <w:outlineLvl w:val="3"/>
    </w:pPr>
  </w:style>
  <w:style w:type="paragraph" w:customStyle="1" w:styleId="ManualNumPar1">
    <w:name w:val="Manual NumPar 1"/>
    <w:basedOn w:val="Normalny"/>
    <w:next w:val="Normalny"/>
    <w:link w:val="ManualNumPar1Char"/>
    <w:rsid w:val="005643CD"/>
    <w:pPr>
      <w:ind w:left="850" w:hanging="850"/>
    </w:pPr>
  </w:style>
  <w:style w:type="paragraph" w:customStyle="1" w:styleId="ManualNumPar2">
    <w:name w:val="Manual NumPar 2"/>
    <w:basedOn w:val="Normalny"/>
    <w:next w:val="Normalny"/>
    <w:rsid w:val="005643CD"/>
    <w:pPr>
      <w:ind w:left="850" w:hanging="850"/>
    </w:pPr>
  </w:style>
  <w:style w:type="paragraph" w:customStyle="1" w:styleId="ManualNumPar3">
    <w:name w:val="Manual NumPar 3"/>
    <w:basedOn w:val="Normalny"/>
    <w:next w:val="Normalny"/>
    <w:rsid w:val="005643CD"/>
    <w:pPr>
      <w:ind w:left="850" w:hanging="850"/>
    </w:pPr>
  </w:style>
  <w:style w:type="paragraph" w:customStyle="1" w:styleId="ManualNumPar4">
    <w:name w:val="Manual NumPar 4"/>
    <w:basedOn w:val="Normalny"/>
    <w:next w:val="Normalny"/>
    <w:rsid w:val="005643CD"/>
    <w:pPr>
      <w:ind w:left="850" w:hanging="850"/>
    </w:pPr>
  </w:style>
  <w:style w:type="character" w:customStyle="1" w:styleId="Marker">
    <w:name w:val="Marker"/>
    <w:rsid w:val="005643CD"/>
    <w:rPr>
      <w:color w:val="0000FF"/>
      <w:shd w:val="clear" w:color="auto" w:fill="auto"/>
    </w:rPr>
  </w:style>
  <w:style w:type="character" w:customStyle="1" w:styleId="Marker1">
    <w:name w:val="Marker1"/>
    <w:rsid w:val="005643CD"/>
    <w:rPr>
      <w:color w:val="008000"/>
      <w:shd w:val="clear" w:color="auto" w:fill="auto"/>
    </w:rPr>
  </w:style>
  <w:style w:type="character" w:customStyle="1" w:styleId="Marker2">
    <w:name w:val="Marker2"/>
    <w:rsid w:val="005643CD"/>
    <w:rPr>
      <w:color w:val="FF0000"/>
      <w:shd w:val="clear" w:color="auto" w:fill="auto"/>
    </w:rPr>
  </w:style>
  <w:style w:type="paragraph" w:customStyle="1" w:styleId="Nomdelinstitution">
    <w:name w:val="Nom de l'institution"/>
    <w:basedOn w:val="Normalny"/>
    <w:next w:val="Emission"/>
    <w:rsid w:val="005643CD"/>
    <w:pPr>
      <w:spacing w:before="0" w:after="0"/>
      <w:jc w:val="left"/>
    </w:pPr>
    <w:rPr>
      <w:rFonts w:ascii="Arial" w:hAnsi="Arial" w:cs="Arial"/>
    </w:rPr>
  </w:style>
  <w:style w:type="paragraph" w:customStyle="1" w:styleId="NormalCentered">
    <w:name w:val="Normal Centered"/>
    <w:basedOn w:val="Normalny"/>
    <w:rsid w:val="005643CD"/>
    <w:pPr>
      <w:jc w:val="center"/>
    </w:pPr>
  </w:style>
  <w:style w:type="paragraph" w:customStyle="1" w:styleId="NormalLeft">
    <w:name w:val="Normal Left"/>
    <w:basedOn w:val="Normalny"/>
    <w:rsid w:val="005643CD"/>
    <w:pPr>
      <w:jc w:val="left"/>
    </w:pPr>
  </w:style>
  <w:style w:type="paragraph" w:customStyle="1" w:styleId="NormalRight">
    <w:name w:val="Normal Right"/>
    <w:basedOn w:val="Normalny"/>
    <w:rsid w:val="005643CD"/>
    <w:pPr>
      <w:jc w:val="right"/>
    </w:pPr>
  </w:style>
  <w:style w:type="paragraph" w:customStyle="1" w:styleId="NumPar1">
    <w:name w:val="NumPar 1"/>
    <w:basedOn w:val="Normalny"/>
    <w:next w:val="Normalny"/>
    <w:rsid w:val="005643CD"/>
    <w:pPr>
      <w:numPr>
        <w:numId w:val="8"/>
      </w:numPr>
    </w:pPr>
  </w:style>
  <w:style w:type="paragraph" w:customStyle="1" w:styleId="NumPar2">
    <w:name w:val="NumPar 2"/>
    <w:basedOn w:val="Normalny"/>
    <w:next w:val="Normalny"/>
    <w:rsid w:val="005643CD"/>
    <w:pPr>
      <w:numPr>
        <w:ilvl w:val="1"/>
        <w:numId w:val="8"/>
      </w:numPr>
    </w:pPr>
  </w:style>
  <w:style w:type="paragraph" w:customStyle="1" w:styleId="NumPar3">
    <w:name w:val="NumPar 3"/>
    <w:basedOn w:val="Normalny"/>
    <w:next w:val="Normalny"/>
    <w:rsid w:val="005643CD"/>
    <w:pPr>
      <w:numPr>
        <w:ilvl w:val="2"/>
        <w:numId w:val="8"/>
      </w:numPr>
    </w:pPr>
  </w:style>
  <w:style w:type="paragraph" w:customStyle="1" w:styleId="NumPar4">
    <w:name w:val="NumPar 4"/>
    <w:basedOn w:val="Normalny"/>
    <w:next w:val="Normalny"/>
    <w:rsid w:val="005643CD"/>
    <w:pPr>
      <w:numPr>
        <w:ilvl w:val="3"/>
        <w:numId w:val="8"/>
      </w:numPr>
    </w:pPr>
  </w:style>
  <w:style w:type="paragraph" w:customStyle="1" w:styleId="Objetacteprincipal">
    <w:name w:val="Objet acte principal"/>
    <w:basedOn w:val="Normalny"/>
    <w:next w:val="Normalny"/>
    <w:rsid w:val="005643CD"/>
    <w:pPr>
      <w:spacing w:before="0" w:after="360"/>
      <w:jc w:val="center"/>
    </w:pPr>
    <w:rPr>
      <w:b/>
    </w:rPr>
  </w:style>
  <w:style w:type="paragraph" w:customStyle="1" w:styleId="ObjetacteprincipalPagedecouverture">
    <w:name w:val="Objet acte principal (Page de couverture)"/>
    <w:basedOn w:val="Objetacteprincipal"/>
    <w:next w:val="Normalny"/>
    <w:rsid w:val="005643CD"/>
  </w:style>
  <w:style w:type="paragraph" w:customStyle="1" w:styleId="Objetexterne">
    <w:name w:val="Objet externe"/>
    <w:basedOn w:val="Normalny"/>
    <w:next w:val="Normalny"/>
    <w:rsid w:val="005643CD"/>
    <w:rPr>
      <w:i/>
      <w:caps/>
    </w:rPr>
  </w:style>
  <w:style w:type="paragraph" w:customStyle="1" w:styleId="Pagedecouverture">
    <w:name w:val="Page de couverture"/>
    <w:basedOn w:val="Normalny"/>
    <w:next w:val="Normalny"/>
    <w:rsid w:val="005643CD"/>
  </w:style>
  <w:style w:type="paragraph" w:customStyle="1" w:styleId="PartTitle">
    <w:name w:val="PartTitle"/>
    <w:basedOn w:val="Normalny"/>
    <w:next w:val="ChapterTitle"/>
    <w:rsid w:val="005643CD"/>
    <w:pPr>
      <w:keepNext/>
      <w:pageBreakBefore/>
      <w:spacing w:after="360"/>
      <w:jc w:val="center"/>
    </w:pPr>
    <w:rPr>
      <w:b/>
      <w:sz w:val="36"/>
    </w:rPr>
  </w:style>
  <w:style w:type="paragraph" w:customStyle="1" w:styleId="Personnequisigne">
    <w:name w:val="Personne qui signe"/>
    <w:basedOn w:val="Normalny"/>
    <w:next w:val="Institutionquisigne"/>
    <w:rsid w:val="005643CD"/>
    <w:pPr>
      <w:tabs>
        <w:tab w:val="left" w:pos="4252"/>
      </w:tabs>
      <w:spacing w:before="0" w:after="0"/>
      <w:jc w:val="left"/>
    </w:pPr>
    <w:rPr>
      <w:i/>
    </w:rPr>
  </w:style>
  <w:style w:type="paragraph" w:customStyle="1" w:styleId="Point0">
    <w:name w:val="Point 0"/>
    <w:basedOn w:val="Normalny"/>
    <w:rsid w:val="005643CD"/>
    <w:pPr>
      <w:ind w:left="850" w:hanging="850"/>
    </w:pPr>
  </w:style>
  <w:style w:type="paragraph" w:customStyle="1" w:styleId="Point0letter">
    <w:name w:val="Point 0 (letter)"/>
    <w:basedOn w:val="Normalny"/>
    <w:rsid w:val="005643CD"/>
    <w:pPr>
      <w:numPr>
        <w:ilvl w:val="1"/>
        <w:numId w:val="9"/>
      </w:numPr>
    </w:pPr>
  </w:style>
  <w:style w:type="paragraph" w:customStyle="1" w:styleId="Point0number">
    <w:name w:val="Point 0 (number)"/>
    <w:basedOn w:val="Normalny"/>
    <w:rsid w:val="005643CD"/>
    <w:pPr>
      <w:numPr>
        <w:numId w:val="9"/>
      </w:numPr>
    </w:pPr>
  </w:style>
  <w:style w:type="paragraph" w:customStyle="1" w:styleId="Point1">
    <w:name w:val="Point 1"/>
    <w:basedOn w:val="Normalny"/>
    <w:rsid w:val="005643CD"/>
    <w:pPr>
      <w:ind w:left="1417" w:hanging="567"/>
    </w:pPr>
  </w:style>
  <w:style w:type="paragraph" w:customStyle="1" w:styleId="Point1letter">
    <w:name w:val="Point 1 (letter)"/>
    <w:basedOn w:val="Normalny"/>
    <w:rsid w:val="005643CD"/>
    <w:pPr>
      <w:numPr>
        <w:ilvl w:val="3"/>
        <w:numId w:val="9"/>
      </w:numPr>
    </w:pPr>
  </w:style>
  <w:style w:type="paragraph" w:customStyle="1" w:styleId="Point1number">
    <w:name w:val="Point 1 (number)"/>
    <w:basedOn w:val="Normalny"/>
    <w:rsid w:val="005643CD"/>
    <w:pPr>
      <w:numPr>
        <w:ilvl w:val="2"/>
        <w:numId w:val="9"/>
      </w:numPr>
    </w:pPr>
  </w:style>
  <w:style w:type="paragraph" w:customStyle="1" w:styleId="Point2">
    <w:name w:val="Point 2"/>
    <w:basedOn w:val="Normalny"/>
    <w:rsid w:val="005643CD"/>
    <w:pPr>
      <w:ind w:left="1984" w:hanging="567"/>
    </w:pPr>
  </w:style>
  <w:style w:type="paragraph" w:customStyle="1" w:styleId="Point2letter">
    <w:name w:val="Point 2 (letter)"/>
    <w:basedOn w:val="Normalny"/>
    <w:rsid w:val="005643CD"/>
    <w:pPr>
      <w:numPr>
        <w:ilvl w:val="5"/>
        <w:numId w:val="9"/>
      </w:numPr>
    </w:pPr>
  </w:style>
  <w:style w:type="paragraph" w:customStyle="1" w:styleId="Point2number">
    <w:name w:val="Point 2 (number)"/>
    <w:basedOn w:val="Normalny"/>
    <w:rsid w:val="005643CD"/>
    <w:pPr>
      <w:numPr>
        <w:ilvl w:val="4"/>
        <w:numId w:val="9"/>
      </w:numPr>
    </w:pPr>
  </w:style>
  <w:style w:type="paragraph" w:customStyle="1" w:styleId="Point3">
    <w:name w:val="Point 3"/>
    <w:basedOn w:val="Normalny"/>
    <w:rsid w:val="005643CD"/>
    <w:pPr>
      <w:ind w:left="2551" w:hanging="567"/>
    </w:pPr>
  </w:style>
  <w:style w:type="paragraph" w:customStyle="1" w:styleId="Point3letter">
    <w:name w:val="Point 3 (letter)"/>
    <w:basedOn w:val="Normalny"/>
    <w:rsid w:val="005643CD"/>
    <w:pPr>
      <w:numPr>
        <w:ilvl w:val="7"/>
        <w:numId w:val="9"/>
      </w:numPr>
    </w:pPr>
  </w:style>
  <w:style w:type="paragraph" w:customStyle="1" w:styleId="Point3number">
    <w:name w:val="Point 3 (number)"/>
    <w:basedOn w:val="Normalny"/>
    <w:rsid w:val="005643CD"/>
    <w:pPr>
      <w:numPr>
        <w:ilvl w:val="6"/>
        <w:numId w:val="9"/>
      </w:numPr>
    </w:pPr>
  </w:style>
  <w:style w:type="paragraph" w:customStyle="1" w:styleId="Point4">
    <w:name w:val="Point 4"/>
    <w:basedOn w:val="Normalny"/>
    <w:rsid w:val="005643CD"/>
    <w:pPr>
      <w:ind w:left="3118" w:hanging="567"/>
    </w:pPr>
  </w:style>
  <w:style w:type="paragraph" w:customStyle="1" w:styleId="Point4letter">
    <w:name w:val="Point 4 (letter)"/>
    <w:basedOn w:val="Normalny"/>
    <w:rsid w:val="005643CD"/>
    <w:pPr>
      <w:numPr>
        <w:ilvl w:val="8"/>
        <w:numId w:val="9"/>
      </w:numPr>
    </w:pPr>
  </w:style>
  <w:style w:type="paragraph" w:customStyle="1" w:styleId="PointDouble0">
    <w:name w:val="PointDouble 0"/>
    <w:basedOn w:val="Normalny"/>
    <w:rsid w:val="005643CD"/>
    <w:pPr>
      <w:tabs>
        <w:tab w:val="left" w:pos="850"/>
      </w:tabs>
      <w:ind w:left="1417" w:hanging="1417"/>
    </w:pPr>
  </w:style>
  <w:style w:type="paragraph" w:customStyle="1" w:styleId="PointDouble1">
    <w:name w:val="PointDouble 1"/>
    <w:basedOn w:val="Normalny"/>
    <w:rsid w:val="005643CD"/>
    <w:pPr>
      <w:tabs>
        <w:tab w:val="left" w:pos="1417"/>
      </w:tabs>
      <w:ind w:left="1984" w:hanging="1134"/>
    </w:pPr>
  </w:style>
  <w:style w:type="paragraph" w:customStyle="1" w:styleId="PointDouble2">
    <w:name w:val="PointDouble 2"/>
    <w:basedOn w:val="Normalny"/>
    <w:rsid w:val="005643CD"/>
    <w:pPr>
      <w:tabs>
        <w:tab w:val="left" w:pos="1984"/>
      </w:tabs>
      <w:ind w:left="2551" w:hanging="1134"/>
    </w:pPr>
  </w:style>
  <w:style w:type="paragraph" w:customStyle="1" w:styleId="PointDouble3">
    <w:name w:val="PointDouble 3"/>
    <w:basedOn w:val="Normalny"/>
    <w:rsid w:val="005643CD"/>
    <w:pPr>
      <w:tabs>
        <w:tab w:val="left" w:pos="2551"/>
      </w:tabs>
      <w:ind w:left="3118" w:hanging="1134"/>
    </w:pPr>
  </w:style>
  <w:style w:type="paragraph" w:customStyle="1" w:styleId="PointDouble4">
    <w:name w:val="PointDouble 4"/>
    <w:basedOn w:val="Normalny"/>
    <w:rsid w:val="005643CD"/>
    <w:pPr>
      <w:tabs>
        <w:tab w:val="left" w:pos="3118"/>
      </w:tabs>
      <w:ind w:left="3685" w:hanging="1134"/>
    </w:pPr>
  </w:style>
  <w:style w:type="paragraph" w:customStyle="1" w:styleId="PointTriple0">
    <w:name w:val="PointTriple 0"/>
    <w:basedOn w:val="Normalny"/>
    <w:rsid w:val="005643CD"/>
    <w:pPr>
      <w:tabs>
        <w:tab w:val="left" w:pos="850"/>
        <w:tab w:val="left" w:pos="1417"/>
      </w:tabs>
      <w:ind w:left="1984" w:hanging="1984"/>
    </w:pPr>
  </w:style>
  <w:style w:type="paragraph" w:customStyle="1" w:styleId="PointTriple1">
    <w:name w:val="PointTriple 1"/>
    <w:basedOn w:val="Normalny"/>
    <w:rsid w:val="005643CD"/>
    <w:pPr>
      <w:tabs>
        <w:tab w:val="left" w:pos="1417"/>
        <w:tab w:val="left" w:pos="1984"/>
      </w:tabs>
      <w:ind w:left="2551" w:hanging="1701"/>
    </w:pPr>
  </w:style>
  <w:style w:type="paragraph" w:customStyle="1" w:styleId="PointTriple2">
    <w:name w:val="PointTriple 2"/>
    <w:basedOn w:val="Normalny"/>
    <w:rsid w:val="005643CD"/>
    <w:pPr>
      <w:tabs>
        <w:tab w:val="left" w:pos="1984"/>
        <w:tab w:val="left" w:pos="2551"/>
      </w:tabs>
      <w:ind w:left="3118" w:hanging="1701"/>
    </w:pPr>
  </w:style>
  <w:style w:type="paragraph" w:customStyle="1" w:styleId="PointTriple3">
    <w:name w:val="PointTriple 3"/>
    <w:basedOn w:val="Normalny"/>
    <w:rsid w:val="005643CD"/>
    <w:pPr>
      <w:tabs>
        <w:tab w:val="left" w:pos="2551"/>
        <w:tab w:val="left" w:pos="3118"/>
      </w:tabs>
      <w:ind w:left="3685" w:hanging="1701"/>
    </w:pPr>
  </w:style>
  <w:style w:type="paragraph" w:customStyle="1" w:styleId="PointTriple4">
    <w:name w:val="PointTriple 4"/>
    <w:basedOn w:val="Normalny"/>
    <w:rsid w:val="005643CD"/>
    <w:pPr>
      <w:tabs>
        <w:tab w:val="left" w:pos="3118"/>
        <w:tab w:val="left" w:pos="3685"/>
      </w:tabs>
      <w:ind w:left="4252" w:hanging="1701"/>
    </w:pPr>
  </w:style>
  <w:style w:type="paragraph" w:customStyle="1" w:styleId="QuotedNumPar">
    <w:name w:val="Quoted NumPar"/>
    <w:basedOn w:val="Normalny"/>
    <w:rsid w:val="005643CD"/>
    <w:pPr>
      <w:ind w:left="1417" w:hanging="567"/>
    </w:pPr>
  </w:style>
  <w:style w:type="paragraph" w:customStyle="1" w:styleId="QuotedText">
    <w:name w:val="Quoted Text"/>
    <w:basedOn w:val="Normalny"/>
    <w:rsid w:val="005643CD"/>
    <w:pPr>
      <w:ind w:left="1417"/>
    </w:pPr>
  </w:style>
  <w:style w:type="paragraph" w:customStyle="1" w:styleId="Rfrencecroise">
    <w:name w:val="Référence croisée"/>
    <w:basedOn w:val="Normalny"/>
    <w:rsid w:val="005643CD"/>
    <w:pPr>
      <w:spacing w:before="0" w:after="0"/>
      <w:jc w:val="center"/>
    </w:pPr>
  </w:style>
  <w:style w:type="paragraph" w:customStyle="1" w:styleId="Rfrenceinstitutionnelle">
    <w:name w:val="Référence institutionnelle"/>
    <w:basedOn w:val="Normalny"/>
    <w:next w:val="Confidentialit"/>
    <w:rsid w:val="005643CD"/>
    <w:pPr>
      <w:spacing w:before="0" w:after="240"/>
      <w:ind w:left="5103"/>
      <w:jc w:val="left"/>
    </w:pPr>
  </w:style>
  <w:style w:type="paragraph" w:customStyle="1" w:styleId="Rfrenceinterinstitutionnelle">
    <w:name w:val="Référence interinstitutionnelle"/>
    <w:basedOn w:val="Normalny"/>
    <w:next w:val="Normalny"/>
    <w:rsid w:val="005643CD"/>
    <w:pPr>
      <w:spacing w:before="0" w:after="0"/>
      <w:ind w:left="5103"/>
      <w:jc w:val="left"/>
    </w:pPr>
  </w:style>
  <w:style w:type="paragraph" w:customStyle="1" w:styleId="RfrenceinterinstitutionnellePagedecouverture">
    <w:name w:val="Référence interinstitutionnelle (Page de couverture)"/>
    <w:basedOn w:val="Rfrenceinterinstitutionnelle"/>
    <w:next w:val="Confidentialit"/>
    <w:rsid w:val="005643CD"/>
  </w:style>
  <w:style w:type="paragraph" w:customStyle="1" w:styleId="Rfrenceinterne">
    <w:name w:val="Référence interne"/>
    <w:basedOn w:val="Normalny"/>
    <w:next w:val="Rfrenceinterinstitutionnelle"/>
    <w:rsid w:val="005643CD"/>
    <w:pPr>
      <w:spacing w:before="0" w:after="0"/>
      <w:ind w:left="5103"/>
      <w:jc w:val="left"/>
    </w:pPr>
  </w:style>
  <w:style w:type="paragraph" w:customStyle="1" w:styleId="SectionTitle">
    <w:name w:val="SectionTitle"/>
    <w:basedOn w:val="Normalny"/>
    <w:next w:val="Nagwek1"/>
    <w:rsid w:val="005643CD"/>
    <w:pPr>
      <w:keepNext/>
      <w:spacing w:after="360"/>
      <w:jc w:val="center"/>
    </w:pPr>
    <w:rPr>
      <w:b/>
      <w:smallCaps/>
      <w:sz w:val="28"/>
    </w:rPr>
  </w:style>
  <w:style w:type="paragraph" w:customStyle="1" w:styleId="Sous-titreobjet">
    <w:name w:val="Sous-titre objet"/>
    <w:basedOn w:val="Normalny"/>
    <w:rsid w:val="005643CD"/>
    <w:pPr>
      <w:spacing w:before="0" w:after="0"/>
      <w:jc w:val="center"/>
    </w:pPr>
    <w:rPr>
      <w:b/>
    </w:rPr>
  </w:style>
  <w:style w:type="paragraph" w:customStyle="1" w:styleId="Sous-titreobjetPagedecouverture">
    <w:name w:val="Sous-titre objet (Page de couverture)"/>
    <w:basedOn w:val="Sous-titreobjet"/>
    <w:rsid w:val="005643CD"/>
  </w:style>
  <w:style w:type="paragraph" w:customStyle="1" w:styleId="Statut">
    <w:name w:val="Statut"/>
    <w:basedOn w:val="Normalny"/>
    <w:next w:val="Normalny"/>
    <w:rsid w:val="005643CD"/>
    <w:pPr>
      <w:spacing w:before="360" w:after="0"/>
      <w:jc w:val="center"/>
    </w:pPr>
  </w:style>
  <w:style w:type="paragraph" w:customStyle="1" w:styleId="StatutPagedecouverture">
    <w:name w:val="Statut (Page de couverture)"/>
    <w:basedOn w:val="Statut"/>
    <w:next w:val="Normalny"/>
    <w:rsid w:val="005643CD"/>
  </w:style>
  <w:style w:type="paragraph" w:customStyle="1" w:styleId="Supertitre">
    <w:name w:val="Supertitre"/>
    <w:basedOn w:val="Normalny"/>
    <w:next w:val="Normalny"/>
    <w:rsid w:val="005643CD"/>
    <w:pPr>
      <w:spacing w:before="0" w:after="600"/>
      <w:jc w:val="center"/>
    </w:pPr>
    <w:rPr>
      <w:b/>
    </w:rPr>
  </w:style>
  <w:style w:type="paragraph" w:customStyle="1" w:styleId="TableTitle">
    <w:name w:val="Table Title"/>
    <w:basedOn w:val="Normalny"/>
    <w:next w:val="Normalny"/>
    <w:rsid w:val="005643CD"/>
    <w:pPr>
      <w:jc w:val="center"/>
    </w:pPr>
    <w:rPr>
      <w:b/>
    </w:rPr>
  </w:style>
  <w:style w:type="paragraph" w:customStyle="1" w:styleId="Text1">
    <w:name w:val="Text 1"/>
    <w:basedOn w:val="Normalny"/>
    <w:link w:val="Text1Char"/>
    <w:rsid w:val="005643CD"/>
    <w:pPr>
      <w:ind w:left="850"/>
    </w:pPr>
  </w:style>
  <w:style w:type="paragraph" w:customStyle="1" w:styleId="Text2">
    <w:name w:val="Text 2"/>
    <w:basedOn w:val="Normalny"/>
    <w:rsid w:val="005643CD"/>
    <w:pPr>
      <w:ind w:left="1417"/>
    </w:pPr>
  </w:style>
  <w:style w:type="paragraph" w:customStyle="1" w:styleId="Text3">
    <w:name w:val="Text 3"/>
    <w:basedOn w:val="Normalny"/>
    <w:rsid w:val="005643CD"/>
    <w:pPr>
      <w:ind w:left="1984"/>
    </w:pPr>
  </w:style>
  <w:style w:type="paragraph" w:customStyle="1" w:styleId="Text4">
    <w:name w:val="Text 4"/>
    <w:basedOn w:val="Normalny"/>
    <w:rsid w:val="005643CD"/>
    <w:pPr>
      <w:ind w:left="2551"/>
    </w:pPr>
  </w:style>
  <w:style w:type="paragraph" w:customStyle="1" w:styleId="Tiret0">
    <w:name w:val="Tiret 0"/>
    <w:basedOn w:val="Point0"/>
    <w:rsid w:val="005643CD"/>
    <w:pPr>
      <w:numPr>
        <w:numId w:val="10"/>
      </w:numPr>
    </w:pPr>
  </w:style>
  <w:style w:type="paragraph" w:customStyle="1" w:styleId="Tiret1">
    <w:name w:val="Tiret 1"/>
    <w:basedOn w:val="Point1"/>
    <w:rsid w:val="005643CD"/>
    <w:pPr>
      <w:numPr>
        <w:numId w:val="11"/>
      </w:numPr>
    </w:pPr>
  </w:style>
  <w:style w:type="paragraph" w:customStyle="1" w:styleId="Tiret2">
    <w:name w:val="Tiret 2"/>
    <w:basedOn w:val="Point2"/>
    <w:rsid w:val="005643CD"/>
    <w:pPr>
      <w:numPr>
        <w:numId w:val="12"/>
      </w:numPr>
    </w:pPr>
  </w:style>
  <w:style w:type="paragraph" w:customStyle="1" w:styleId="Tiret3">
    <w:name w:val="Tiret 3"/>
    <w:basedOn w:val="Point3"/>
    <w:rsid w:val="005643CD"/>
    <w:pPr>
      <w:numPr>
        <w:numId w:val="13"/>
      </w:numPr>
    </w:pPr>
  </w:style>
  <w:style w:type="paragraph" w:customStyle="1" w:styleId="Tiret4">
    <w:name w:val="Tiret 4"/>
    <w:basedOn w:val="Point4"/>
    <w:rsid w:val="005643CD"/>
    <w:pPr>
      <w:numPr>
        <w:numId w:val="14"/>
      </w:numPr>
    </w:pPr>
  </w:style>
  <w:style w:type="paragraph" w:customStyle="1" w:styleId="Titrearticle">
    <w:name w:val="Titre article"/>
    <w:basedOn w:val="Normalny"/>
    <w:next w:val="Normalny"/>
    <w:rsid w:val="005643CD"/>
    <w:pPr>
      <w:keepNext/>
      <w:spacing w:before="360"/>
      <w:jc w:val="center"/>
    </w:pPr>
    <w:rPr>
      <w:i/>
    </w:rPr>
  </w:style>
  <w:style w:type="paragraph" w:customStyle="1" w:styleId="Titreobjet">
    <w:name w:val="Titre objet"/>
    <w:basedOn w:val="Normalny"/>
    <w:next w:val="Sous-titreobjet"/>
    <w:rsid w:val="005643CD"/>
    <w:pPr>
      <w:spacing w:before="360" w:after="360"/>
      <w:jc w:val="center"/>
    </w:pPr>
    <w:rPr>
      <w:b/>
    </w:rPr>
  </w:style>
  <w:style w:type="paragraph" w:customStyle="1" w:styleId="TitreobjetPagedecouverture">
    <w:name w:val="Titre objet (Page de couverture)"/>
    <w:basedOn w:val="Titreobjet"/>
    <w:next w:val="Sous-titreobjetPagedecouverture"/>
    <w:rsid w:val="005643CD"/>
  </w:style>
  <w:style w:type="paragraph" w:styleId="Spistreci1">
    <w:name w:val="toc 1"/>
    <w:basedOn w:val="Normalny"/>
    <w:next w:val="Nagwek2"/>
    <w:link w:val="Spistreci1Znak"/>
    <w:autoRedefine/>
    <w:uiPriority w:val="39"/>
    <w:rsid w:val="00D27135"/>
    <w:pPr>
      <w:jc w:val="left"/>
    </w:pPr>
    <w:rPr>
      <w:rFonts w:ascii="Times New Roman Bold" w:hAnsi="Times New Roman Bold"/>
      <w:b/>
      <w:bCs/>
      <w:sz w:val="20"/>
      <w:szCs w:val="20"/>
    </w:rPr>
  </w:style>
  <w:style w:type="paragraph" w:styleId="Spistreci2">
    <w:name w:val="toc 2"/>
    <w:basedOn w:val="Normalny"/>
    <w:next w:val="Normalny"/>
    <w:uiPriority w:val="39"/>
    <w:rsid w:val="00D27135"/>
    <w:pPr>
      <w:spacing w:before="0" w:after="0"/>
      <w:ind w:left="240"/>
      <w:jc w:val="left"/>
    </w:pPr>
    <w:rPr>
      <w:sz w:val="20"/>
      <w:szCs w:val="20"/>
    </w:rPr>
  </w:style>
  <w:style w:type="paragraph" w:styleId="Spistreci3">
    <w:name w:val="toc 3"/>
    <w:basedOn w:val="Normalny"/>
    <w:next w:val="Normalny"/>
    <w:uiPriority w:val="39"/>
    <w:rsid w:val="00D27135"/>
    <w:pPr>
      <w:spacing w:before="0" w:after="0"/>
      <w:ind w:left="480"/>
      <w:jc w:val="left"/>
    </w:pPr>
    <w:rPr>
      <w:i/>
      <w:iCs/>
      <w:sz w:val="20"/>
      <w:szCs w:val="20"/>
    </w:rPr>
  </w:style>
  <w:style w:type="paragraph" w:styleId="Spistreci4">
    <w:name w:val="toc 4"/>
    <w:basedOn w:val="Normalny"/>
    <w:next w:val="Normalny"/>
    <w:uiPriority w:val="39"/>
    <w:rsid w:val="00D27135"/>
    <w:pPr>
      <w:spacing w:before="0" w:after="0"/>
      <w:ind w:left="720"/>
      <w:jc w:val="left"/>
    </w:pPr>
    <w:rPr>
      <w:sz w:val="20"/>
      <w:szCs w:val="18"/>
    </w:rPr>
  </w:style>
  <w:style w:type="paragraph" w:styleId="Spistreci5">
    <w:name w:val="toc 5"/>
    <w:basedOn w:val="Normalny"/>
    <w:next w:val="Normalny"/>
    <w:uiPriority w:val="39"/>
    <w:rsid w:val="005643CD"/>
    <w:pPr>
      <w:spacing w:before="0" w:after="0"/>
      <w:ind w:left="960"/>
      <w:jc w:val="left"/>
    </w:pPr>
    <w:rPr>
      <w:rFonts w:ascii="Calibri" w:hAnsi="Calibri"/>
      <w:sz w:val="18"/>
      <w:szCs w:val="18"/>
    </w:rPr>
  </w:style>
  <w:style w:type="paragraph" w:styleId="Spistreci6">
    <w:name w:val="toc 6"/>
    <w:basedOn w:val="Normalny"/>
    <w:next w:val="Normalny"/>
    <w:uiPriority w:val="39"/>
    <w:rsid w:val="005643CD"/>
    <w:pPr>
      <w:spacing w:before="0" w:after="0"/>
      <w:ind w:left="1200"/>
      <w:jc w:val="left"/>
    </w:pPr>
    <w:rPr>
      <w:rFonts w:ascii="Calibri" w:hAnsi="Calibri"/>
      <w:sz w:val="18"/>
      <w:szCs w:val="18"/>
    </w:rPr>
  </w:style>
  <w:style w:type="paragraph" w:styleId="Spistreci7">
    <w:name w:val="toc 7"/>
    <w:basedOn w:val="Normalny"/>
    <w:next w:val="Normalny"/>
    <w:uiPriority w:val="39"/>
    <w:rsid w:val="005643CD"/>
    <w:pPr>
      <w:spacing w:before="0" w:after="0"/>
      <w:ind w:left="1440"/>
      <w:jc w:val="left"/>
    </w:pPr>
    <w:rPr>
      <w:rFonts w:ascii="Calibri" w:hAnsi="Calibri"/>
      <w:sz w:val="18"/>
      <w:szCs w:val="18"/>
    </w:rPr>
  </w:style>
  <w:style w:type="paragraph" w:styleId="Spistreci8">
    <w:name w:val="toc 8"/>
    <w:basedOn w:val="Normalny"/>
    <w:next w:val="Normalny"/>
    <w:uiPriority w:val="39"/>
    <w:rsid w:val="005643CD"/>
    <w:pPr>
      <w:spacing w:before="0" w:after="0"/>
      <w:ind w:left="1680"/>
      <w:jc w:val="left"/>
    </w:pPr>
    <w:rPr>
      <w:rFonts w:ascii="Calibri" w:hAnsi="Calibri"/>
      <w:sz w:val="18"/>
      <w:szCs w:val="18"/>
    </w:rPr>
  </w:style>
  <w:style w:type="paragraph" w:styleId="Spistreci9">
    <w:name w:val="toc 9"/>
    <w:basedOn w:val="Normalny"/>
    <w:next w:val="Normalny"/>
    <w:uiPriority w:val="39"/>
    <w:rsid w:val="00CE4BC7"/>
    <w:pPr>
      <w:spacing w:before="0" w:after="0"/>
      <w:ind w:left="1922"/>
      <w:jc w:val="left"/>
    </w:pPr>
    <w:rPr>
      <w:sz w:val="18"/>
      <w:szCs w:val="18"/>
    </w:rPr>
  </w:style>
  <w:style w:type="paragraph" w:styleId="Nagwekspisutreci">
    <w:name w:val="TOC Heading"/>
    <w:basedOn w:val="Normalny"/>
    <w:next w:val="Normalny"/>
    <w:uiPriority w:val="39"/>
    <w:qFormat/>
    <w:rsid w:val="005643CD"/>
    <w:pPr>
      <w:spacing w:after="240"/>
      <w:jc w:val="center"/>
    </w:pPr>
    <w:rPr>
      <w:b/>
      <w:sz w:val="28"/>
    </w:rPr>
  </w:style>
  <w:style w:type="paragraph" w:customStyle="1" w:styleId="Typeacteprincipal">
    <w:name w:val="Type acte principal"/>
    <w:basedOn w:val="Normalny"/>
    <w:next w:val="Objetacteprincipal"/>
    <w:rsid w:val="005643CD"/>
    <w:pPr>
      <w:spacing w:before="0" w:after="240"/>
      <w:jc w:val="center"/>
    </w:pPr>
    <w:rPr>
      <w:b/>
    </w:rPr>
  </w:style>
  <w:style w:type="paragraph" w:customStyle="1" w:styleId="TypeacteprincipalPagedecouverture">
    <w:name w:val="Type acte principal (Page de couverture)"/>
    <w:basedOn w:val="Typeacteprincipal"/>
    <w:next w:val="ObjetacteprincipalPagedecouverture"/>
    <w:rsid w:val="005643CD"/>
  </w:style>
  <w:style w:type="paragraph" w:customStyle="1" w:styleId="Typedudocument">
    <w:name w:val="Type du document"/>
    <w:basedOn w:val="Normalny"/>
    <w:next w:val="Titreobjet"/>
    <w:rsid w:val="005643CD"/>
    <w:pPr>
      <w:spacing w:before="360" w:after="0"/>
      <w:jc w:val="center"/>
    </w:pPr>
    <w:rPr>
      <w:b/>
    </w:rPr>
  </w:style>
  <w:style w:type="paragraph" w:customStyle="1" w:styleId="TypedudocumentPagedecouverture">
    <w:name w:val="Type du document (Page de couverture)"/>
    <w:basedOn w:val="Typedudocument"/>
    <w:next w:val="TitreobjetPagedecouverture"/>
    <w:rsid w:val="005643CD"/>
  </w:style>
  <w:style w:type="paragraph" w:customStyle="1" w:styleId="Volume">
    <w:name w:val="Volume"/>
    <w:basedOn w:val="Normalny"/>
    <w:next w:val="Confidentialit"/>
    <w:rsid w:val="005643CD"/>
    <w:pPr>
      <w:spacing w:before="0" w:after="240"/>
      <w:ind w:left="5103"/>
      <w:jc w:val="left"/>
    </w:pPr>
  </w:style>
  <w:style w:type="character" w:customStyle="1" w:styleId="Nagwek5Znak">
    <w:name w:val="Nagłówek 5 Znak"/>
    <w:link w:val="Nagwek5"/>
    <w:rsid w:val="008C5CFA"/>
    <w:rPr>
      <w:rFonts w:ascii="Arial" w:hAnsi="Arial"/>
      <w:sz w:val="22"/>
      <w:shd w:val="clear" w:color="auto" w:fill="auto"/>
      <w:lang w:val="en-GB"/>
    </w:rPr>
  </w:style>
  <w:style w:type="character" w:customStyle="1" w:styleId="Nagwek6Znak">
    <w:name w:val="Nagłówek 6 Znak"/>
    <w:link w:val="Nagwek6"/>
    <w:rsid w:val="008C5CFA"/>
    <w:rPr>
      <w:rFonts w:ascii="Arial" w:hAnsi="Arial"/>
      <w:i/>
      <w:sz w:val="22"/>
      <w:shd w:val="clear" w:color="auto" w:fill="auto"/>
      <w:lang w:val="en-GB"/>
    </w:rPr>
  </w:style>
  <w:style w:type="character" w:customStyle="1" w:styleId="Nagwek7Znak">
    <w:name w:val="Nagłówek 7 Znak"/>
    <w:link w:val="Nagwek7"/>
    <w:rsid w:val="008C5CFA"/>
    <w:rPr>
      <w:rFonts w:ascii="Arial" w:hAnsi="Arial"/>
      <w:shd w:val="clear" w:color="auto" w:fill="auto"/>
      <w:lang w:val="en-GB"/>
    </w:rPr>
  </w:style>
  <w:style w:type="character" w:customStyle="1" w:styleId="Nagwek8Znak">
    <w:name w:val="Nagłówek 8 Znak"/>
    <w:link w:val="Nagwek8"/>
    <w:rsid w:val="008C5CFA"/>
    <w:rPr>
      <w:rFonts w:ascii="Arial" w:hAnsi="Arial"/>
      <w:i/>
      <w:shd w:val="clear" w:color="auto" w:fill="auto"/>
      <w:lang w:val="en-GB"/>
    </w:rPr>
  </w:style>
  <w:style w:type="character" w:customStyle="1" w:styleId="Nagwek9Znak">
    <w:name w:val="Nagłówek 9 Znak"/>
    <w:link w:val="Nagwek9"/>
    <w:rsid w:val="008C5CFA"/>
    <w:rPr>
      <w:rFonts w:ascii="Arial" w:hAnsi="Arial"/>
      <w:i/>
      <w:sz w:val="18"/>
      <w:shd w:val="clear" w:color="auto" w:fill="auto"/>
      <w:lang w:val="en-GB"/>
    </w:rPr>
  </w:style>
  <w:style w:type="paragraph" w:customStyle="1" w:styleId="AddressTL">
    <w:name w:val="AddressTL"/>
    <w:basedOn w:val="Normalny"/>
    <w:next w:val="Normalny"/>
    <w:rsid w:val="008C5CFA"/>
    <w:pPr>
      <w:spacing w:before="0" w:after="720"/>
      <w:jc w:val="left"/>
    </w:pPr>
    <w:rPr>
      <w:szCs w:val="20"/>
    </w:rPr>
  </w:style>
  <w:style w:type="paragraph" w:customStyle="1" w:styleId="AddressTR">
    <w:name w:val="AddressTR"/>
    <w:basedOn w:val="Normalny"/>
    <w:next w:val="Normalny"/>
    <w:rsid w:val="008C5CFA"/>
    <w:pPr>
      <w:spacing w:before="0" w:after="720"/>
      <w:ind w:left="5103"/>
      <w:jc w:val="left"/>
    </w:pPr>
    <w:rPr>
      <w:szCs w:val="20"/>
    </w:rPr>
  </w:style>
  <w:style w:type="paragraph" w:styleId="Tekstblokowy">
    <w:name w:val="Block Text"/>
    <w:basedOn w:val="Normalny"/>
    <w:rsid w:val="008C5CFA"/>
    <w:pPr>
      <w:spacing w:before="0" w:after="60"/>
      <w:ind w:left="1440" w:right="1440"/>
      <w:jc w:val="left"/>
    </w:pPr>
    <w:rPr>
      <w:szCs w:val="20"/>
    </w:rPr>
  </w:style>
  <w:style w:type="paragraph" w:styleId="Tekstpodstawowy">
    <w:name w:val="Body Text"/>
    <w:basedOn w:val="Normalny"/>
    <w:link w:val="TekstpodstawowyZnak"/>
    <w:rsid w:val="008C5CFA"/>
    <w:pPr>
      <w:spacing w:before="0" w:after="60"/>
      <w:jc w:val="left"/>
    </w:pPr>
    <w:rPr>
      <w:szCs w:val="20"/>
    </w:rPr>
  </w:style>
  <w:style w:type="character" w:customStyle="1" w:styleId="TekstpodstawowyZnak">
    <w:name w:val="Tekst podstawowy Znak"/>
    <w:link w:val="Tekstpodstawowy"/>
    <w:rsid w:val="008C5CFA"/>
    <w:rPr>
      <w:sz w:val="24"/>
      <w:shd w:val="clear" w:color="auto" w:fill="auto"/>
      <w:lang w:val="en-GB"/>
    </w:rPr>
  </w:style>
  <w:style w:type="paragraph" w:styleId="Tekstpodstawowy2">
    <w:name w:val="Body Text 2"/>
    <w:basedOn w:val="Normalny"/>
    <w:link w:val="Tekstpodstawowy2Znak"/>
    <w:rsid w:val="008C5CFA"/>
    <w:pPr>
      <w:spacing w:before="0" w:after="60" w:line="480" w:lineRule="auto"/>
      <w:jc w:val="left"/>
    </w:pPr>
    <w:rPr>
      <w:szCs w:val="20"/>
    </w:rPr>
  </w:style>
  <w:style w:type="character" w:customStyle="1" w:styleId="Tekstpodstawowy2Znak">
    <w:name w:val="Tekst podstawowy 2 Znak"/>
    <w:link w:val="Tekstpodstawowy2"/>
    <w:rsid w:val="008C5CFA"/>
    <w:rPr>
      <w:sz w:val="24"/>
      <w:shd w:val="clear" w:color="auto" w:fill="auto"/>
      <w:lang w:val="en-GB"/>
    </w:rPr>
  </w:style>
  <w:style w:type="paragraph" w:styleId="Tekstpodstawowy3">
    <w:name w:val="Body Text 3"/>
    <w:basedOn w:val="Normalny"/>
    <w:link w:val="Tekstpodstawowy3Znak"/>
    <w:rsid w:val="008C5CFA"/>
    <w:pPr>
      <w:spacing w:before="0" w:after="60"/>
      <w:jc w:val="left"/>
    </w:pPr>
    <w:rPr>
      <w:sz w:val="16"/>
      <w:szCs w:val="20"/>
    </w:rPr>
  </w:style>
  <w:style w:type="character" w:customStyle="1" w:styleId="Tekstpodstawowy3Znak">
    <w:name w:val="Tekst podstawowy 3 Znak"/>
    <w:link w:val="Tekstpodstawowy3"/>
    <w:rsid w:val="008C5CFA"/>
    <w:rPr>
      <w:sz w:val="16"/>
      <w:shd w:val="clear" w:color="auto" w:fill="auto"/>
      <w:lang w:val="en-GB"/>
    </w:rPr>
  </w:style>
  <w:style w:type="paragraph" w:styleId="Tekstpodstawowyzwciciem">
    <w:name w:val="Body Text First Indent"/>
    <w:basedOn w:val="Tekstpodstawowy"/>
    <w:link w:val="TekstpodstawowyzwciciemZnak"/>
    <w:rsid w:val="008C5CFA"/>
    <w:pPr>
      <w:ind w:firstLine="210"/>
    </w:pPr>
  </w:style>
  <w:style w:type="character" w:customStyle="1" w:styleId="TekstpodstawowyzwciciemZnak">
    <w:name w:val="Tekst podstawowy z wcięciem Znak"/>
    <w:basedOn w:val="TekstpodstawowyZnak"/>
    <w:link w:val="Tekstpodstawowyzwciciem"/>
    <w:rsid w:val="008C5CFA"/>
    <w:rPr>
      <w:sz w:val="24"/>
      <w:shd w:val="clear" w:color="auto" w:fill="auto"/>
      <w:lang w:val="en-GB"/>
    </w:rPr>
  </w:style>
  <w:style w:type="paragraph" w:styleId="Tekstpodstawowywcity">
    <w:name w:val="Body Text Indent"/>
    <w:basedOn w:val="Normalny"/>
    <w:link w:val="TekstpodstawowywcityZnak"/>
    <w:rsid w:val="008C5CFA"/>
    <w:pPr>
      <w:spacing w:before="0" w:after="60"/>
      <w:ind w:left="283"/>
      <w:jc w:val="left"/>
    </w:pPr>
    <w:rPr>
      <w:szCs w:val="20"/>
    </w:rPr>
  </w:style>
  <w:style w:type="character" w:customStyle="1" w:styleId="TekstpodstawowywcityZnak">
    <w:name w:val="Tekst podstawowy wcięty Znak"/>
    <w:link w:val="Tekstpodstawowywcity"/>
    <w:rsid w:val="008C5CFA"/>
    <w:rPr>
      <w:sz w:val="24"/>
      <w:shd w:val="clear" w:color="auto" w:fill="auto"/>
      <w:lang w:val="en-GB"/>
    </w:rPr>
  </w:style>
  <w:style w:type="paragraph" w:styleId="Tekstpodstawowyzwciciem2">
    <w:name w:val="Body Text First Indent 2"/>
    <w:basedOn w:val="Tekstpodstawowywcity"/>
    <w:link w:val="Tekstpodstawowyzwciciem2Znak"/>
    <w:rsid w:val="008C5CFA"/>
    <w:pPr>
      <w:ind w:firstLine="210"/>
    </w:pPr>
  </w:style>
  <w:style w:type="character" w:customStyle="1" w:styleId="Tekstpodstawowyzwciciem2Znak">
    <w:name w:val="Tekst podstawowy z wcięciem 2 Znak"/>
    <w:basedOn w:val="TekstpodstawowywcityZnak"/>
    <w:link w:val="Tekstpodstawowyzwciciem2"/>
    <w:rsid w:val="008C5CFA"/>
    <w:rPr>
      <w:sz w:val="24"/>
      <w:shd w:val="clear" w:color="auto" w:fill="auto"/>
      <w:lang w:val="en-GB"/>
    </w:rPr>
  </w:style>
  <w:style w:type="paragraph" w:styleId="Tekstpodstawowywcity2">
    <w:name w:val="Body Text Indent 2"/>
    <w:basedOn w:val="Normalny"/>
    <w:link w:val="Tekstpodstawowywcity2Znak"/>
    <w:rsid w:val="008C5CFA"/>
    <w:pPr>
      <w:spacing w:before="0" w:after="60" w:line="480" w:lineRule="auto"/>
      <w:ind w:left="283"/>
      <w:jc w:val="left"/>
    </w:pPr>
    <w:rPr>
      <w:szCs w:val="20"/>
    </w:rPr>
  </w:style>
  <w:style w:type="character" w:customStyle="1" w:styleId="Tekstpodstawowywcity2Znak">
    <w:name w:val="Tekst podstawowy wcięty 2 Znak"/>
    <w:link w:val="Tekstpodstawowywcity2"/>
    <w:rsid w:val="008C5CFA"/>
    <w:rPr>
      <w:sz w:val="24"/>
      <w:shd w:val="clear" w:color="auto" w:fill="auto"/>
      <w:lang w:val="en-GB"/>
    </w:rPr>
  </w:style>
  <w:style w:type="paragraph" w:styleId="Tekstpodstawowywcity3">
    <w:name w:val="Body Text Indent 3"/>
    <w:basedOn w:val="Normalny"/>
    <w:link w:val="Tekstpodstawowywcity3Znak"/>
    <w:rsid w:val="008C5CFA"/>
    <w:pPr>
      <w:spacing w:before="0" w:after="60"/>
      <w:ind w:left="283"/>
      <w:jc w:val="left"/>
    </w:pPr>
    <w:rPr>
      <w:sz w:val="16"/>
      <w:szCs w:val="20"/>
    </w:rPr>
  </w:style>
  <w:style w:type="character" w:customStyle="1" w:styleId="Tekstpodstawowywcity3Znak">
    <w:name w:val="Tekst podstawowy wcięty 3 Znak"/>
    <w:link w:val="Tekstpodstawowywcity3"/>
    <w:rsid w:val="008C5CFA"/>
    <w:rPr>
      <w:sz w:val="16"/>
      <w:shd w:val="clear" w:color="auto" w:fill="auto"/>
      <w:lang w:val="en-GB"/>
    </w:rPr>
  </w:style>
  <w:style w:type="paragraph" w:styleId="Legenda">
    <w:name w:val="caption"/>
    <w:basedOn w:val="Normalny"/>
    <w:next w:val="Normalny"/>
    <w:qFormat/>
    <w:rsid w:val="008C5CFA"/>
    <w:pPr>
      <w:spacing w:before="60" w:after="60"/>
      <w:jc w:val="left"/>
    </w:pPr>
    <w:rPr>
      <w:b/>
      <w:szCs w:val="20"/>
    </w:rPr>
  </w:style>
  <w:style w:type="paragraph" w:styleId="Zwrotpoegnalny">
    <w:name w:val="Closing"/>
    <w:basedOn w:val="Normalny"/>
    <w:next w:val="Podpis"/>
    <w:link w:val="ZwrotpoegnalnyZnak"/>
    <w:rsid w:val="008C5CFA"/>
    <w:pPr>
      <w:tabs>
        <w:tab w:val="left" w:pos="5103"/>
      </w:tabs>
      <w:spacing w:before="240" w:after="240"/>
      <w:ind w:left="5103"/>
      <w:jc w:val="left"/>
    </w:pPr>
    <w:rPr>
      <w:szCs w:val="20"/>
    </w:rPr>
  </w:style>
  <w:style w:type="character" w:customStyle="1" w:styleId="ZwrotpoegnalnyZnak">
    <w:name w:val="Zwrot pożegnalny Znak"/>
    <w:link w:val="Zwrotpoegnalny"/>
    <w:rsid w:val="008C5CFA"/>
    <w:rPr>
      <w:sz w:val="24"/>
      <w:shd w:val="clear" w:color="auto" w:fill="auto"/>
      <w:lang w:val="en-GB"/>
    </w:rPr>
  </w:style>
  <w:style w:type="paragraph" w:styleId="Podpis">
    <w:name w:val="Signature"/>
    <w:basedOn w:val="Normalny"/>
    <w:next w:val="Contact"/>
    <w:link w:val="PodpisZnak"/>
    <w:uiPriority w:val="99"/>
    <w:rsid w:val="008C5CFA"/>
    <w:pPr>
      <w:tabs>
        <w:tab w:val="left" w:pos="5103"/>
      </w:tabs>
      <w:spacing w:before="1200" w:after="0"/>
      <w:ind w:left="5103"/>
      <w:jc w:val="center"/>
    </w:pPr>
    <w:rPr>
      <w:szCs w:val="20"/>
    </w:rPr>
  </w:style>
  <w:style w:type="character" w:customStyle="1" w:styleId="PodpisZnak">
    <w:name w:val="Podpis Znak"/>
    <w:link w:val="Podpis"/>
    <w:uiPriority w:val="99"/>
    <w:rsid w:val="008C5CFA"/>
    <w:rPr>
      <w:sz w:val="24"/>
      <w:shd w:val="clear" w:color="auto" w:fill="auto"/>
      <w:lang w:val="en-GB"/>
    </w:rPr>
  </w:style>
  <w:style w:type="paragraph" w:customStyle="1" w:styleId="Enclosures">
    <w:name w:val="Enclosures"/>
    <w:basedOn w:val="Normalny"/>
    <w:next w:val="Participants"/>
    <w:rsid w:val="008C5CFA"/>
    <w:pPr>
      <w:keepNext/>
      <w:keepLines/>
      <w:tabs>
        <w:tab w:val="left" w:pos="5670"/>
      </w:tabs>
      <w:spacing w:before="480" w:after="0"/>
      <w:ind w:left="1985" w:hanging="1985"/>
      <w:jc w:val="left"/>
    </w:pPr>
    <w:rPr>
      <w:szCs w:val="20"/>
    </w:rPr>
  </w:style>
  <w:style w:type="paragraph" w:customStyle="1" w:styleId="Participants">
    <w:name w:val="Participants"/>
    <w:basedOn w:val="Normalny"/>
    <w:next w:val="Copies"/>
    <w:rsid w:val="008C5CFA"/>
    <w:pPr>
      <w:tabs>
        <w:tab w:val="left" w:pos="2552"/>
        <w:tab w:val="left" w:pos="2835"/>
        <w:tab w:val="left" w:pos="5670"/>
        <w:tab w:val="left" w:pos="6379"/>
        <w:tab w:val="left" w:pos="6804"/>
      </w:tabs>
      <w:spacing w:before="480" w:after="0"/>
      <w:ind w:left="1985" w:hanging="1985"/>
      <w:jc w:val="left"/>
    </w:pPr>
    <w:rPr>
      <w:szCs w:val="20"/>
    </w:rPr>
  </w:style>
  <w:style w:type="paragraph" w:customStyle="1" w:styleId="Copies">
    <w:name w:val="Copies"/>
    <w:basedOn w:val="Normalny"/>
    <w:next w:val="Normalny"/>
    <w:rsid w:val="008C5CFA"/>
    <w:pPr>
      <w:tabs>
        <w:tab w:val="left" w:pos="2552"/>
        <w:tab w:val="left" w:pos="2835"/>
        <w:tab w:val="left" w:pos="5670"/>
        <w:tab w:val="left" w:pos="6379"/>
        <w:tab w:val="left" w:pos="6804"/>
      </w:tabs>
      <w:spacing w:before="480" w:after="0"/>
      <w:ind w:left="1985" w:hanging="1985"/>
      <w:jc w:val="left"/>
    </w:pPr>
    <w:rPr>
      <w:szCs w:val="20"/>
    </w:rPr>
  </w:style>
  <w:style w:type="paragraph" w:styleId="Tekstkomentarza">
    <w:name w:val="annotation text"/>
    <w:basedOn w:val="Normalny"/>
    <w:link w:val="TekstkomentarzaZnak"/>
    <w:rsid w:val="008C5CFA"/>
    <w:pPr>
      <w:spacing w:before="0" w:after="240"/>
      <w:jc w:val="left"/>
    </w:pPr>
    <w:rPr>
      <w:sz w:val="20"/>
      <w:szCs w:val="20"/>
    </w:rPr>
  </w:style>
  <w:style w:type="character" w:customStyle="1" w:styleId="TekstkomentarzaZnak">
    <w:name w:val="Tekst komentarza Znak"/>
    <w:link w:val="Tekstkomentarza"/>
    <w:rsid w:val="008C5CFA"/>
    <w:rPr>
      <w:shd w:val="clear" w:color="auto" w:fill="auto"/>
      <w:lang w:val="en-GB"/>
    </w:rPr>
  </w:style>
  <w:style w:type="paragraph" w:styleId="Data">
    <w:name w:val="Date"/>
    <w:basedOn w:val="Normalny"/>
    <w:next w:val="References"/>
    <w:link w:val="DataZnak"/>
    <w:rsid w:val="008C5CFA"/>
    <w:pPr>
      <w:spacing w:before="0" w:after="0"/>
      <w:ind w:left="5103" w:right="-567"/>
      <w:jc w:val="left"/>
    </w:pPr>
    <w:rPr>
      <w:szCs w:val="20"/>
    </w:rPr>
  </w:style>
  <w:style w:type="character" w:customStyle="1" w:styleId="DataZnak">
    <w:name w:val="Data Znak"/>
    <w:link w:val="Data"/>
    <w:rsid w:val="008C5CFA"/>
    <w:rPr>
      <w:sz w:val="24"/>
      <w:shd w:val="clear" w:color="auto" w:fill="auto"/>
      <w:lang w:val="en-GB"/>
    </w:rPr>
  </w:style>
  <w:style w:type="paragraph" w:customStyle="1" w:styleId="References">
    <w:name w:val="References"/>
    <w:basedOn w:val="Normalny"/>
    <w:next w:val="AddressTR"/>
    <w:rsid w:val="008C5CFA"/>
    <w:pPr>
      <w:spacing w:before="0" w:after="240"/>
      <w:ind w:left="5103"/>
      <w:jc w:val="left"/>
    </w:pPr>
    <w:rPr>
      <w:sz w:val="20"/>
      <w:szCs w:val="20"/>
    </w:rPr>
  </w:style>
  <w:style w:type="paragraph" w:styleId="Mapadokumentu">
    <w:name w:val="Document Map"/>
    <w:basedOn w:val="Normalny"/>
    <w:link w:val="MapadokumentuZnak"/>
    <w:rsid w:val="008C5CFA"/>
    <w:pPr>
      <w:shd w:val="clear" w:color="auto" w:fill="000080"/>
      <w:spacing w:before="0" w:after="240"/>
      <w:jc w:val="left"/>
    </w:pPr>
    <w:rPr>
      <w:rFonts w:ascii="Tahoma" w:hAnsi="Tahoma"/>
      <w:szCs w:val="20"/>
    </w:rPr>
  </w:style>
  <w:style w:type="character" w:customStyle="1" w:styleId="MapadokumentuZnak">
    <w:name w:val="Mapa dokumentu Znak"/>
    <w:link w:val="Mapadokumentu"/>
    <w:rsid w:val="008C5CFA"/>
    <w:rPr>
      <w:rFonts w:ascii="Tahoma" w:hAnsi="Tahoma"/>
      <w:sz w:val="24"/>
      <w:shd w:val="clear" w:color="auto" w:fill="000080"/>
      <w:lang w:val="en-GB"/>
    </w:rPr>
  </w:style>
  <w:style w:type="paragraph" w:customStyle="1" w:styleId="DoubSign">
    <w:name w:val="DoubSign"/>
    <w:basedOn w:val="Normalny"/>
    <w:next w:val="Contact"/>
    <w:rsid w:val="008C5CFA"/>
    <w:pPr>
      <w:tabs>
        <w:tab w:val="left" w:pos="5103"/>
      </w:tabs>
      <w:spacing w:before="1200" w:after="0"/>
      <w:jc w:val="left"/>
    </w:pPr>
    <w:rPr>
      <w:szCs w:val="20"/>
    </w:rPr>
  </w:style>
  <w:style w:type="paragraph" w:styleId="Tekstprzypisukocowego">
    <w:name w:val="endnote text"/>
    <w:basedOn w:val="Normalny"/>
    <w:link w:val="TekstprzypisukocowegoZnak"/>
    <w:rsid w:val="008C5CFA"/>
    <w:pPr>
      <w:spacing w:before="0" w:after="240"/>
      <w:jc w:val="left"/>
    </w:pPr>
    <w:rPr>
      <w:sz w:val="20"/>
      <w:szCs w:val="20"/>
    </w:rPr>
  </w:style>
  <w:style w:type="character" w:customStyle="1" w:styleId="TekstprzypisukocowegoZnak">
    <w:name w:val="Tekst przypisu końcowego Znak"/>
    <w:link w:val="Tekstprzypisukocowego"/>
    <w:rsid w:val="008C5CFA"/>
    <w:rPr>
      <w:shd w:val="clear" w:color="auto" w:fill="auto"/>
      <w:lang w:val="en-GB"/>
    </w:rPr>
  </w:style>
  <w:style w:type="paragraph" w:styleId="Adresnakopercie">
    <w:name w:val="envelope address"/>
    <w:basedOn w:val="Normalny"/>
    <w:rsid w:val="008C5CFA"/>
    <w:pPr>
      <w:framePr w:w="7920" w:h="1980" w:hRule="exact" w:hSpace="180" w:wrap="auto" w:hAnchor="page" w:xAlign="center" w:yAlign="bottom"/>
      <w:spacing w:before="0" w:after="0"/>
      <w:jc w:val="left"/>
    </w:pPr>
    <w:rPr>
      <w:szCs w:val="20"/>
    </w:rPr>
  </w:style>
  <w:style w:type="paragraph" w:styleId="Adreszwrotnynakopercie">
    <w:name w:val="envelope return"/>
    <w:basedOn w:val="Normalny"/>
    <w:rsid w:val="008C5CFA"/>
    <w:pPr>
      <w:spacing w:before="0" w:after="0"/>
      <w:jc w:val="left"/>
    </w:pPr>
    <w:rPr>
      <w:sz w:val="20"/>
      <w:szCs w:val="20"/>
    </w:rPr>
  </w:style>
  <w:style w:type="paragraph" w:styleId="Indeks1">
    <w:name w:val="index 1"/>
    <w:basedOn w:val="Normalny"/>
    <w:next w:val="Normalny"/>
    <w:autoRedefine/>
    <w:rsid w:val="008C5CFA"/>
    <w:pPr>
      <w:spacing w:before="0" w:after="240"/>
      <w:ind w:left="240" w:hanging="240"/>
      <w:jc w:val="left"/>
    </w:pPr>
    <w:rPr>
      <w:szCs w:val="20"/>
    </w:rPr>
  </w:style>
  <w:style w:type="paragraph" w:styleId="Indeks2">
    <w:name w:val="index 2"/>
    <w:basedOn w:val="Normalny"/>
    <w:next w:val="Normalny"/>
    <w:autoRedefine/>
    <w:rsid w:val="008C5CFA"/>
    <w:pPr>
      <w:spacing w:before="0" w:after="240"/>
      <w:ind w:left="480" w:hanging="240"/>
      <w:jc w:val="left"/>
    </w:pPr>
    <w:rPr>
      <w:szCs w:val="20"/>
    </w:rPr>
  </w:style>
  <w:style w:type="paragraph" w:styleId="Indeks3">
    <w:name w:val="index 3"/>
    <w:basedOn w:val="Normalny"/>
    <w:next w:val="Normalny"/>
    <w:autoRedefine/>
    <w:rsid w:val="008C5CFA"/>
    <w:pPr>
      <w:spacing w:before="0" w:after="240"/>
      <w:ind w:left="720" w:hanging="240"/>
      <w:jc w:val="left"/>
    </w:pPr>
    <w:rPr>
      <w:szCs w:val="20"/>
    </w:rPr>
  </w:style>
  <w:style w:type="paragraph" w:styleId="Indeks4">
    <w:name w:val="index 4"/>
    <w:basedOn w:val="Normalny"/>
    <w:next w:val="Normalny"/>
    <w:autoRedefine/>
    <w:rsid w:val="008C5CFA"/>
    <w:pPr>
      <w:spacing w:before="0" w:after="240"/>
      <w:ind w:left="960" w:hanging="240"/>
      <w:jc w:val="left"/>
    </w:pPr>
    <w:rPr>
      <w:szCs w:val="20"/>
    </w:rPr>
  </w:style>
  <w:style w:type="paragraph" w:styleId="Indeks5">
    <w:name w:val="index 5"/>
    <w:basedOn w:val="Normalny"/>
    <w:next w:val="Normalny"/>
    <w:autoRedefine/>
    <w:rsid w:val="008C5CFA"/>
    <w:pPr>
      <w:spacing w:before="0" w:after="240"/>
      <w:ind w:left="1200" w:hanging="240"/>
      <w:jc w:val="left"/>
    </w:pPr>
    <w:rPr>
      <w:szCs w:val="20"/>
    </w:rPr>
  </w:style>
  <w:style w:type="paragraph" w:styleId="Indeks6">
    <w:name w:val="index 6"/>
    <w:basedOn w:val="Normalny"/>
    <w:next w:val="Normalny"/>
    <w:autoRedefine/>
    <w:rsid w:val="008C5CFA"/>
    <w:pPr>
      <w:spacing w:before="0" w:after="240"/>
      <w:ind w:left="1440" w:hanging="240"/>
      <w:jc w:val="left"/>
    </w:pPr>
    <w:rPr>
      <w:szCs w:val="20"/>
    </w:rPr>
  </w:style>
  <w:style w:type="paragraph" w:styleId="Indeks7">
    <w:name w:val="index 7"/>
    <w:basedOn w:val="Normalny"/>
    <w:next w:val="Normalny"/>
    <w:autoRedefine/>
    <w:rsid w:val="008C5CFA"/>
    <w:pPr>
      <w:spacing w:before="0" w:after="240"/>
      <w:ind w:left="1680" w:hanging="240"/>
      <w:jc w:val="left"/>
    </w:pPr>
    <w:rPr>
      <w:szCs w:val="20"/>
    </w:rPr>
  </w:style>
  <w:style w:type="paragraph" w:styleId="Indeks8">
    <w:name w:val="index 8"/>
    <w:basedOn w:val="Normalny"/>
    <w:next w:val="Normalny"/>
    <w:autoRedefine/>
    <w:rsid w:val="008C5CFA"/>
    <w:pPr>
      <w:spacing w:before="0" w:after="240"/>
      <w:ind w:left="1920" w:hanging="240"/>
      <w:jc w:val="left"/>
    </w:pPr>
    <w:rPr>
      <w:szCs w:val="20"/>
    </w:rPr>
  </w:style>
  <w:style w:type="paragraph" w:styleId="Indeks9">
    <w:name w:val="index 9"/>
    <w:basedOn w:val="Normalny"/>
    <w:next w:val="Normalny"/>
    <w:autoRedefine/>
    <w:rsid w:val="008C5CFA"/>
    <w:pPr>
      <w:spacing w:before="0" w:after="240"/>
      <w:ind w:left="2160" w:hanging="240"/>
      <w:jc w:val="left"/>
    </w:pPr>
    <w:rPr>
      <w:szCs w:val="20"/>
    </w:rPr>
  </w:style>
  <w:style w:type="paragraph" w:styleId="Nagwekindeksu">
    <w:name w:val="index heading"/>
    <w:basedOn w:val="Normalny"/>
    <w:next w:val="Indeks1"/>
    <w:rsid w:val="008C5CFA"/>
    <w:pPr>
      <w:spacing w:before="0" w:after="240"/>
      <w:jc w:val="left"/>
    </w:pPr>
    <w:rPr>
      <w:rFonts w:ascii="Arial" w:hAnsi="Arial"/>
      <w:b/>
      <w:szCs w:val="20"/>
    </w:rPr>
  </w:style>
  <w:style w:type="paragraph" w:styleId="Lista">
    <w:name w:val="List"/>
    <w:basedOn w:val="Normalny"/>
    <w:rsid w:val="008C5CFA"/>
    <w:pPr>
      <w:spacing w:before="0" w:after="240"/>
      <w:ind w:left="283" w:hanging="283"/>
      <w:jc w:val="left"/>
    </w:pPr>
    <w:rPr>
      <w:szCs w:val="20"/>
    </w:rPr>
  </w:style>
  <w:style w:type="paragraph" w:styleId="Lista2">
    <w:name w:val="List 2"/>
    <w:basedOn w:val="Normalny"/>
    <w:rsid w:val="008C5CFA"/>
    <w:pPr>
      <w:spacing w:before="0" w:after="240"/>
      <w:ind w:left="566" w:hanging="283"/>
      <w:jc w:val="left"/>
    </w:pPr>
    <w:rPr>
      <w:szCs w:val="20"/>
    </w:rPr>
  </w:style>
  <w:style w:type="paragraph" w:styleId="Lista3">
    <w:name w:val="List 3"/>
    <w:basedOn w:val="Normalny"/>
    <w:rsid w:val="008C5CFA"/>
    <w:pPr>
      <w:spacing w:before="0" w:after="240"/>
      <w:ind w:left="849" w:hanging="283"/>
      <w:jc w:val="left"/>
    </w:pPr>
    <w:rPr>
      <w:szCs w:val="20"/>
    </w:rPr>
  </w:style>
  <w:style w:type="paragraph" w:styleId="Lista4">
    <w:name w:val="List 4"/>
    <w:basedOn w:val="Normalny"/>
    <w:rsid w:val="008C5CFA"/>
    <w:pPr>
      <w:spacing w:before="0" w:after="240"/>
      <w:ind w:left="1132" w:hanging="283"/>
      <w:jc w:val="left"/>
    </w:pPr>
    <w:rPr>
      <w:szCs w:val="20"/>
    </w:rPr>
  </w:style>
  <w:style w:type="paragraph" w:styleId="Lista5">
    <w:name w:val="List 5"/>
    <w:basedOn w:val="Normalny"/>
    <w:rsid w:val="008C5CFA"/>
    <w:pPr>
      <w:spacing w:before="0" w:after="240"/>
      <w:ind w:left="1415" w:hanging="283"/>
      <w:jc w:val="left"/>
    </w:pPr>
    <w:rPr>
      <w:szCs w:val="20"/>
    </w:rPr>
  </w:style>
  <w:style w:type="paragraph" w:styleId="Listapunktowana">
    <w:name w:val="List Bullet"/>
    <w:basedOn w:val="Normalny"/>
    <w:rsid w:val="008C5CFA"/>
    <w:pPr>
      <w:numPr>
        <w:numId w:val="32"/>
      </w:numPr>
      <w:tabs>
        <w:tab w:val="clear" w:pos="360"/>
        <w:tab w:val="num" w:pos="567"/>
      </w:tabs>
      <w:spacing w:before="0" w:after="240"/>
      <w:ind w:left="567" w:hanging="283"/>
      <w:jc w:val="left"/>
    </w:pPr>
    <w:rPr>
      <w:szCs w:val="20"/>
    </w:rPr>
  </w:style>
  <w:style w:type="paragraph" w:styleId="Listapunktowana2">
    <w:name w:val="List Bullet 2"/>
    <w:basedOn w:val="Text2"/>
    <w:rsid w:val="008C5CFA"/>
    <w:pPr>
      <w:numPr>
        <w:numId w:val="18"/>
      </w:numPr>
      <w:spacing w:before="0" w:after="240"/>
      <w:jc w:val="left"/>
    </w:pPr>
    <w:rPr>
      <w:szCs w:val="20"/>
    </w:rPr>
  </w:style>
  <w:style w:type="paragraph" w:styleId="Listapunktowana3">
    <w:name w:val="List Bullet 3"/>
    <w:basedOn w:val="Text3"/>
    <w:rsid w:val="008C5CFA"/>
    <w:pPr>
      <w:numPr>
        <w:numId w:val="19"/>
      </w:numPr>
      <w:spacing w:before="0" w:after="240"/>
      <w:jc w:val="left"/>
    </w:pPr>
    <w:rPr>
      <w:szCs w:val="20"/>
    </w:rPr>
  </w:style>
  <w:style w:type="paragraph" w:styleId="Listapunktowana4">
    <w:name w:val="List Bullet 4"/>
    <w:basedOn w:val="Text4"/>
    <w:rsid w:val="008C5CFA"/>
    <w:pPr>
      <w:numPr>
        <w:numId w:val="20"/>
      </w:numPr>
      <w:spacing w:before="0" w:after="240"/>
      <w:jc w:val="left"/>
    </w:pPr>
    <w:rPr>
      <w:szCs w:val="20"/>
    </w:rPr>
  </w:style>
  <w:style w:type="paragraph" w:styleId="Listapunktowana5">
    <w:name w:val="List Bullet 5"/>
    <w:basedOn w:val="Normalny"/>
    <w:autoRedefine/>
    <w:rsid w:val="008C5CFA"/>
    <w:pPr>
      <w:numPr>
        <w:numId w:val="16"/>
      </w:numPr>
      <w:spacing w:before="0" w:after="240"/>
      <w:jc w:val="left"/>
    </w:pPr>
    <w:rPr>
      <w:szCs w:val="20"/>
    </w:rPr>
  </w:style>
  <w:style w:type="paragraph" w:styleId="Lista-kontynuacja">
    <w:name w:val="List Continue"/>
    <w:basedOn w:val="Normalny"/>
    <w:rsid w:val="008C5CFA"/>
    <w:pPr>
      <w:spacing w:before="0" w:after="60"/>
      <w:ind w:left="283"/>
      <w:jc w:val="left"/>
    </w:pPr>
    <w:rPr>
      <w:szCs w:val="20"/>
    </w:rPr>
  </w:style>
  <w:style w:type="paragraph" w:styleId="Lista-kontynuacja2">
    <w:name w:val="List Continue 2"/>
    <w:basedOn w:val="Normalny"/>
    <w:rsid w:val="008C5CFA"/>
    <w:pPr>
      <w:spacing w:before="0" w:after="60"/>
      <w:ind w:left="566"/>
      <w:jc w:val="left"/>
    </w:pPr>
    <w:rPr>
      <w:szCs w:val="20"/>
    </w:rPr>
  </w:style>
  <w:style w:type="paragraph" w:styleId="Lista-kontynuacja3">
    <w:name w:val="List Continue 3"/>
    <w:basedOn w:val="Normalny"/>
    <w:rsid w:val="008C5CFA"/>
    <w:pPr>
      <w:spacing w:before="0" w:after="60"/>
      <w:ind w:left="849"/>
      <w:jc w:val="left"/>
    </w:pPr>
    <w:rPr>
      <w:szCs w:val="20"/>
    </w:rPr>
  </w:style>
  <w:style w:type="paragraph" w:styleId="Lista-kontynuacja4">
    <w:name w:val="List Continue 4"/>
    <w:basedOn w:val="Normalny"/>
    <w:rsid w:val="008C5CFA"/>
    <w:pPr>
      <w:spacing w:before="0" w:after="60"/>
      <w:ind w:left="1132"/>
      <w:jc w:val="left"/>
    </w:pPr>
    <w:rPr>
      <w:szCs w:val="20"/>
    </w:rPr>
  </w:style>
  <w:style w:type="paragraph" w:styleId="Lista-kontynuacja5">
    <w:name w:val="List Continue 5"/>
    <w:basedOn w:val="Normalny"/>
    <w:rsid w:val="008C5CFA"/>
    <w:pPr>
      <w:spacing w:before="0" w:after="60"/>
      <w:ind w:left="1415"/>
      <w:jc w:val="left"/>
    </w:pPr>
    <w:rPr>
      <w:szCs w:val="20"/>
    </w:rPr>
  </w:style>
  <w:style w:type="paragraph" w:styleId="Listanumerowana">
    <w:name w:val="List Number"/>
    <w:basedOn w:val="Normalny"/>
    <w:rsid w:val="008C5CFA"/>
    <w:pPr>
      <w:numPr>
        <w:numId w:val="26"/>
      </w:numPr>
      <w:spacing w:before="0" w:after="240"/>
      <w:jc w:val="left"/>
    </w:pPr>
    <w:rPr>
      <w:szCs w:val="20"/>
    </w:rPr>
  </w:style>
  <w:style w:type="paragraph" w:styleId="Listanumerowana2">
    <w:name w:val="List Number 2"/>
    <w:basedOn w:val="Text2"/>
    <w:rsid w:val="008C5CFA"/>
    <w:pPr>
      <w:numPr>
        <w:numId w:val="28"/>
      </w:numPr>
      <w:spacing w:before="0" w:after="240"/>
      <w:jc w:val="left"/>
    </w:pPr>
    <w:rPr>
      <w:szCs w:val="20"/>
    </w:rPr>
  </w:style>
  <w:style w:type="paragraph" w:styleId="Listanumerowana3">
    <w:name w:val="List Number 3"/>
    <w:basedOn w:val="Text3"/>
    <w:rsid w:val="008C5CFA"/>
    <w:pPr>
      <w:numPr>
        <w:numId w:val="29"/>
      </w:numPr>
      <w:spacing w:before="0" w:after="240"/>
      <w:jc w:val="left"/>
    </w:pPr>
    <w:rPr>
      <w:szCs w:val="20"/>
    </w:rPr>
  </w:style>
  <w:style w:type="paragraph" w:styleId="Listanumerowana4">
    <w:name w:val="List Number 4"/>
    <w:basedOn w:val="Text4"/>
    <w:rsid w:val="008C5CFA"/>
    <w:pPr>
      <w:numPr>
        <w:numId w:val="30"/>
      </w:numPr>
      <w:spacing w:before="0" w:after="240"/>
      <w:jc w:val="left"/>
    </w:pPr>
    <w:rPr>
      <w:szCs w:val="20"/>
    </w:rPr>
  </w:style>
  <w:style w:type="paragraph" w:styleId="Listanumerowana5">
    <w:name w:val="List Number 5"/>
    <w:basedOn w:val="Normalny"/>
    <w:rsid w:val="008C5CFA"/>
    <w:pPr>
      <w:numPr>
        <w:numId w:val="17"/>
      </w:numPr>
      <w:spacing w:before="0" w:after="240"/>
      <w:jc w:val="left"/>
    </w:pPr>
    <w:rPr>
      <w:szCs w:val="20"/>
    </w:rPr>
  </w:style>
  <w:style w:type="paragraph" w:styleId="Tekstmakra">
    <w:name w:val="macro"/>
    <w:link w:val="TekstmakraZnak"/>
    <w:rsid w:val="008C5CFA"/>
    <w:pPr>
      <w:tabs>
        <w:tab w:val="left" w:pos="480"/>
        <w:tab w:val="left" w:pos="960"/>
        <w:tab w:val="left" w:pos="1440"/>
        <w:tab w:val="left" w:pos="1920"/>
        <w:tab w:val="left" w:pos="2400"/>
        <w:tab w:val="left" w:pos="2880"/>
        <w:tab w:val="left" w:pos="3360"/>
        <w:tab w:val="left" w:pos="3840"/>
        <w:tab w:val="left" w:pos="4320"/>
      </w:tabs>
      <w:spacing w:before="60" w:after="240"/>
      <w:jc w:val="both"/>
    </w:pPr>
    <w:rPr>
      <w:rFonts w:ascii="Courier New" w:hAnsi="Courier New"/>
      <w:lang w:val="en-GB"/>
    </w:rPr>
  </w:style>
  <w:style w:type="character" w:customStyle="1" w:styleId="TekstmakraZnak">
    <w:name w:val="Tekst makra Znak"/>
    <w:link w:val="Tekstmakra"/>
    <w:rsid w:val="008C5CFA"/>
    <w:rPr>
      <w:rFonts w:ascii="Courier New" w:hAnsi="Courier New"/>
      <w:shd w:val="clear" w:color="auto" w:fill="auto"/>
      <w:lang w:val="en-GB"/>
    </w:rPr>
  </w:style>
  <w:style w:type="paragraph" w:styleId="Nagwekwiadomoci">
    <w:name w:val="Message Header"/>
    <w:basedOn w:val="Normalny"/>
    <w:link w:val="NagwekwiadomociZnak"/>
    <w:rsid w:val="008C5CFA"/>
    <w:pPr>
      <w:pBdr>
        <w:top w:val="single" w:sz="6" w:space="1" w:color="auto"/>
        <w:left w:val="single" w:sz="6" w:space="1" w:color="auto"/>
        <w:bottom w:val="single" w:sz="6" w:space="1" w:color="auto"/>
        <w:right w:val="single" w:sz="6" w:space="1" w:color="auto"/>
      </w:pBdr>
      <w:shd w:val="pct20" w:color="auto" w:fill="auto"/>
      <w:spacing w:before="0" w:after="240"/>
      <w:ind w:left="1134" w:hanging="1134"/>
      <w:jc w:val="left"/>
    </w:pPr>
    <w:rPr>
      <w:rFonts w:ascii="Arial" w:hAnsi="Arial"/>
      <w:szCs w:val="20"/>
    </w:rPr>
  </w:style>
  <w:style w:type="character" w:customStyle="1" w:styleId="NagwekwiadomociZnak">
    <w:name w:val="Nagłówek wiadomości Znak"/>
    <w:link w:val="Nagwekwiadomoci"/>
    <w:rsid w:val="008C5CFA"/>
    <w:rPr>
      <w:rFonts w:ascii="Arial" w:hAnsi="Arial"/>
      <w:sz w:val="24"/>
      <w:shd w:val="pct20" w:color="auto" w:fill="auto"/>
      <w:lang w:val="en-GB"/>
    </w:rPr>
  </w:style>
  <w:style w:type="paragraph" w:styleId="Wcicienormalne">
    <w:name w:val="Normal Indent"/>
    <w:basedOn w:val="Normalny"/>
    <w:rsid w:val="008C5CFA"/>
    <w:pPr>
      <w:spacing w:before="0" w:after="240"/>
      <w:ind w:left="720"/>
      <w:jc w:val="left"/>
    </w:pPr>
    <w:rPr>
      <w:szCs w:val="20"/>
    </w:rPr>
  </w:style>
  <w:style w:type="paragraph" w:styleId="Nagweknotatki">
    <w:name w:val="Note Heading"/>
    <w:basedOn w:val="Normalny"/>
    <w:next w:val="Normalny"/>
    <w:link w:val="NagweknotatkiZnak"/>
    <w:rsid w:val="008C5CFA"/>
    <w:pPr>
      <w:spacing w:before="0" w:after="240"/>
      <w:jc w:val="left"/>
    </w:pPr>
    <w:rPr>
      <w:szCs w:val="20"/>
    </w:rPr>
  </w:style>
  <w:style w:type="character" w:customStyle="1" w:styleId="NagweknotatkiZnak">
    <w:name w:val="Nagłówek notatki Znak"/>
    <w:link w:val="Nagweknotatki"/>
    <w:rsid w:val="008C5CFA"/>
    <w:rPr>
      <w:sz w:val="24"/>
      <w:shd w:val="clear" w:color="auto" w:fill="auto"/>
      <w:lang w:val="en-GB"/>
    </w:rPr>
  </w:style>
  <w:style w:type="paragraph" w:customStyle="1" w:styleId="NoteHead">
    <w:name w:val="NoteHead"/>
    <w:basedOn w:val="Normalny"/>
    <w:next w:val="Subject"/>
    <w:rsid w:val="008C5CFA"/>
    <w:pPr>
      <w:spacing w:before="720" w:after="720"/>
      <w:jc w:val="center"/>
    </w:pPr>
    <w:rPr>
      <w:b/>
      <w:smallCaps/>
      <w:szCs w:val="20"/>
    </w:rPr>
  </w:style>
  <w:style w:type="paragraph" w:customStyle="1" w:styleId="Subject">
    <w:name w:val="Subject"/>
    <w:basedOn w:val="Normalny"/>
    <w:next w:val="Normalny"/>
    <w:rsid w:val="008C5CFA"/>
    <w:pPr>
      <w:spacing w:before="0" w:after="480"/>
      <w:ind w:left="1531" w:hanging="1531"/>
      <w:jc w:val="left"/>
    </w:pPr>
    <w:rPr>
      <w:b/>
      <w:szCs w:val="20"/>
    </w:rPr>
  </w:style>
  <w:style w:type="paragraph" w:customStyle="1" w:styleId="NoteList">
    <w:name w:val="NoteList"/>
    <w:basedOn w:val="Normalny"/>
    <w:next w:val="Subject"/>
    <w:rsid w:val="008C5CFA"/>
    <w:pPr>
      <w:tabs>
        <w:tab w:val="left" w:pos="5823"/>
      </w:tabs>
      <w:spacing w:before="720" w:after="720"/>
      <w:ind w:left="5104" w:hanging="3119"/>
      <w:jc w:val="left"/>
    </w:pPr>
    <w:rPr>
      <w:b/>
      <w:smallCaps/>
      <w:szCs w:val="20"/>
    </w:rPr>
  </w:style>
  <w:style w:type="paragraph" w:styleId="Zwykytekst">
    <w:name w:val="Plain Text"/>
    <w:basedOn w:val="Normalny"/>
    <w:link w:val="ZwykytekstZnak"/>
    <w:rsid w:val="008C5CFA"/>
    <w:pPr>
      <w:spacing w:before="0" w:after="240"/>
      <w:jc w:val="left"/>
    </w:pPr>
    <w:rPr>
      <w:rFonts w:ascii="Courier New" w:hAnsi="Courier New"/>
      <w:sz w:val="20"/>
      <w:szCs w:val="20"/>
    </w:rPr>
  </w:style>
  <w:style w:type="character" w:customStyle="1" w:styleId="ZwykytekstZnak">
    <w:name w:val="Zwykły tekst Znak"/>
    <w:link w:val="Zwykytekst"/>
    <w:rsid w:val="008C5CFA"/>
    <w:rPr>
      <w:rFonts w:ascii="Courier New" w:hAnsi="Courier New"/>
      <w:shd w:val="clear" w:color="auto" w:fill="auto"/>
      <w:lang w:val="en-GB"/>
    </w:rPr>
  </w:style>
  <w:style w:type="paragraph" w:styleId="Zwrotgrzecznociowy">
    <w:name w:val="Salutation"/>
    <w:basedOn w:val="Normalny"/>
    <w:next w:val="Normalny"/>
    <w:link w:val="ZwrotgrzecznociowyZnak"/>
    <w:rsid w:val="008C5CFA"/>
    <w:pPr>
      <w:spacing w:before="0" w:after="240"/>
      <w:jc w:val="left"/>
    </w:pPr>
    <w:rPr>
      <w:szCs w:val="20"/>
    </w:rPr>
  </w:style>
  <w:style w:type="character" w:customStyle="1" w:styleId="ZwrotgrzecznociowyZnak">
    <w:name w:val="Zwrot grzecznościowy Znak"/>
    <w:link w:val="Zwrotgrzecznociowy"/>
    <w:rsid w:val="008C5CFA"/>
    <w:rPr>
      <w:sz w:val="24"/>
      <w:shd w:val="clear" w:color="auto" w:fill="auto"/>
      <w:lang w:val="en-GB"/>
    </w:rPr>
  </w:style>
  <w:style w:type="paragraph" w:styleId="Podtytu">
    <w:name w:val="Subtitle"/>
    <w:basedOn w:val="Normalny"/>
    <w:link w:val="PodtytuZnak"/>
    <w:qFormat/>
    <w:rsid w:val="008C5CFA"/>
    <w:pPr>
      <w:spacing w:before="0" w:after="60"/>
      <w:jc w:val="center"/>
      <w:outlineLvl w:val="1"/>
    </w:pPr>
    <w:rPr>
      <w:rFonts w:ascii="Arial" w:hAnsi="Arial"/>
      <w:szCs w:val="20"/>
    </w:rPr>
  </w:style>
  <w:style w:type="character" w:customStyle="1" w:styleId="PodtytuZnak">
    <w:name w:val="Podtytuł Znak"/>
    <w:link w:val="Podtytu"/>
    <w:rsid w:val="008C5CFA"/>
    <w:rPr>
      <w:rFonts w:ascii="Arial" w:hAnsi="Arial"/>
      <w:sz w:val="24"/>
      <w:shd w:val="clear" w:color="auto" w:fill="auto"/>
      <w:lang w:val="en-GB"/>
    </w:rPr>
  </w:style>
  <w:style w:type="paragraph" w:styleId="Wykazrde">
    <w:name w:val="table of authorities"/>
    <w:basedOn w:val="Normalny"/>
    <w:next w:val="Normalny"/>
    <w:rsid w:val="008C5CFA"/>
    <w:pPr>
      <w:spacing w:before="0" w:after="240"/>
      <w:ind w:left="240" w:hanging="240"/>
      <w:jc w:val="left"/>
    </w:pPr>
    <w:rPr>
      <w:szCs w:val="20"/>
    </w:rPr>
  </w:style>
  <w:style w:type="paragraph" w:styleId="Spisilustracji">
    <w:name w:val="table of figures"/>
    <w:basedOn w:val="Normalny"/>
    <w:next w:val="Normalny"/>
    <w:rsid w:val="008C5CFA"/>
    <w:pPr>
      <w:spacing w:before="0" w:after="240"/>
      <w:ind w:left="480" w:hanging="480"/>
      <w:jc w:val="left"/>
    </w:pPr>
    <w:rPr>
      <w:szCs w:val="20"/>
    </w:rPr>
  </w:style>
  <w:style w:type="paragraph" w:styleId="Tytu">
    <w:name w:val="Title"/>
    <w:basedOn w:val="Normalny"/>
    <w:link w:val="TytuZnak"/>
    <w:qFormat/>
    <w:rsid w:val="008C5CFA"/>
    <w:pPr>
      <w:spacing w:before="240" w:after="60"/>
      <w:jc w:val="center"/>
      <w:outlineLvl w:val="0"/>
    </w:pPr>
    <w:rPr>
      <w:rFonts w:ascii="Arial" w:hAnsi="Arial"/>
      <w:b/>
      <w:kern w:val="28"/>
      <w:sz w:val="32"/>
      <w:szCs w:val="20"/>
    </w:rPr>
  </w:style>
  <w:style w:type="character" w:customStyle="1" w:styleId="TytuZnak">
    <w:name w:val="Tytuł Znak"/>
    <w:link w:val="Tytu"/>
    <w:rsid w:val="008C5CFA"/>
    <w:rPr>
      <w:rFonts w:ascii="Arial" w:hAnsi="Arial"/>
      <w:b/>
      <w:kern w:val="28"/>
      <w:sz w:val="32"/>
      <w:shd w:val="clear" w:color="auto" w:fill="auto"/>
      <w:lang w:val="en-GB"/>
    </w:rPr>
  </w:style>
  <w:style w:type="paragraph" w:styleId="Nagwekwykazurde">
    <w:name w:val="toa heading"/>
    <w:basedOn w:val="Normalny"/>
    <w:next w:val="Normalny"/>
    <w:rsid w:val="008C5CFA"/>
    <w:pPr>
      <w:spacing w:before="60" w:after="240"/>
      <w:jc w:val="left"/>
    </w:pPr>
    <w:rPr>
      <w:rFonts w:ascii="Arial" w:hAnsi="Arial"/>
      <w:b/>
      <w:szCs w:val="20"/>
    </w:rPr>
  </w:style>
  <w:style w:type="paragraph" w:customStyle="1" w:styleId="YReferences">
    <w:name w:val="YReferences"/>
    <w:basedOn w:val="Normalny"/>
    <w:next w:val="Normalny"/>
    <w:rsid w:val="008C5CFA"/>
    <w:pPr>
      <w:spacing w:before="0" w:after="480"/>
      <w:ind w:left="1531" w:hanging="1531"/>
      <w:jc w:val="left"/>
    </w:pPr>
    <w:rPr>
      <w:szCs w:val="20"/>
    </w:rPr>
  </w:style>
  <w:style w:type="paragraph" w:customStyle="1" w:styleId="ListBullet1">
    <w:name w:val="List Bullet 1"/>
    <w:basedOn w:val="Text1"/>
    <w:rsid w:val="008C5CFA"/>
    <w:pPr>
      <w:tabs>
        <w:tab w:val="num" w:pos="765"/>
      </w:tabs>
      <w:spacing w:before="0" w:after="240"/>
      <w:ind w:left="765" w:hanging="283"/>
      <w:jc w:val="left"/>
    </w:pPr>
    <w:rPr>
      <w:szCs w:val="20"/>
    </w:rPr>
  </w:style>
  <w:style w:type="paragraph" w:customStyle="1" w:styleId="ListDash">
    <w:name w:val="List Dash"/>
    <w:basedOn w:val="Normalny"/>
    <w:rsid w:val="008C5CFA"/>
    <w:pPr>
      <w:numPr>
        <w:numId w:val="21"/>
      </w:numPr>
      <w:spacing w:before="0" w:after="240"/>
      <w:jc w:val="left"/>
    </w:pPr>
    <w:rPr>
      <w:szCs w:val="20"/>
    </w:rPr>
  </w:style>
  <w:style w:type="paragraph" w:customStyle="1" w:styleId="ListDash1">
    <w:name w:val="List Dash 1"/>
    <w:basedOn w:val="Text1"/>
    <w:rsid w:val="008C5CFA"/>
    <w:pPr>
      <w:numPr>
        <w:numId w:val="22"/>
      </w:numPr>
      <w:spacing w:before="0" w:after="240"/>
      <w:jc w:val="left"/>
    </w:pPr>
    <w:rPr>
      <w:szCs w:val="20"/>
    </w:rPr>
  </w:style>
  <w:style w:type="paragraph" w:customStyle="1" w:styleId="ListDash2">
    <w:name w:val="List Dash 2"/>
    <w:basedOn w:val="Text2"/>
    <w:rsid w:val="008C5CFA"/>
    <w:pPr>
      <w:numPr>
        <w:numId w:val="23"/>
      </w:numPr>
      <w:spacing w:before="0" w:after="240"/>
      <w:jc w:val="left"/>
    </w:pPr>
    <w:rPr>
      <w:szCs w:val="20"/>
    </w:rPr>
  </w:style>
  <w:style w:type="paragraph" w:customStyle="1" w:styleId="ListDash3">
    <w:name w:val="List Dash 3"/>
    <w:basedOn w:val="Text3"/>
    <w:rsid w:val="008C5CFA"/>
    <w:pPr>
      <w:numPr>
        <w:numId w:val="24"/>
      </w:numPr>
      <w:spacing w:before="0" w:after="240"/>
      <w:jc w:val="left"/>
    </w:pPr>
    <w:rPr>
      <w:szCs w:val="20"/>
    </w:rPr>
  </w:style>
  <w:style w:type="paragraph" w:customStyle="1" w:styleId="ListDash4">
    <w:name w:val="List Dash 4"/>
    <w:basedOn w:val="Text4"/>
    <w:rsid w:val="008C5CFA"/>
    <w:pPr>
      <w:numPr>
        <w:numId w:val="25"/>
      </w:numPr>
      <w:spacing w:before="0" w:after="240"/>
      <w:jc w:val="left"/>
    </w:pPr>
    <w:rPr>
      <w:szCs w:val="20"/>
    </w:rPr>
  </w:style>
  <w:style w:type="paragraph" w:customStyle="1" w:styleId="ListNumberLevel2">
    <w:name w:val="List Number (Level 2)"/>
    <w:basedOn w:val="Normalny"/>
    <w:rsid w:val="008C5CFA"/>
    <w:pPr>
      <w:numPr>
        <w:ilvl w:val="1"/>
        <w:numId w:val="26"/>
      </w:numPr>
      <w:spacing w:before="0" w:after="240"/>
      <w:jc w:val="left"/>
    </w:pPr>
    <w:rPr>
      <w:szCs w:val="20"/>
    </w:rPr>
  </w:style>
  <w:style w:type="paragraph" w:customStyle="1" w:styleId="ListNumberLevel3">
    <w:name w:val="List Number (Level 3)"/>
    <w:basedOn w:val="Normalny"/>
    <w:rsid w:val="008C5CFA"/>
    <w:pPr>
      <w:numPr>
        <w:ilvl w:val="2"/>
        <w:numId w:val="26"/>
      </w:numPr>
      <w:spacing w:before="0" w:after="240"/>
      <w:jc w:val="left"/>
    </w:pPr>
    <w:rPr>
      <w:szCs w:val="20"/>
    </w:rPr>
  </w:style>
  <w:style w:type="paragraph" w:customStyle="1" w:styleId="ListNumberLevel4">
    <w:name w:val="List Number (Level 4)"/>
    <w:basedOn w:val="Normalny"/>
    <w:rsid w:val="008C5CFA"/>
    <w:pPr>
      <w:numPr>
        <w:ilvl w:val="3"/>
        <w:numId w:val="26"/>
      </w:numPr>
      <w:spacing w:before="0" w:after="240"/>
      <w:jc w:val="left"/>
    </w:pPr>
    <w:rPr>
      <w:szCs w:val="20"/>
    </w:rPr>
  </w:style>
  <w:style w:type="paragraph" w:customStyle="1" w:styleId="ListNumber1">
    <w:name w:val="List Number 1"/>
    <w:basedOn w:val="Text1"/>
    <w:rsid w:val="008C5CFA"/>
    <w:pPr>
      <w:numPr>
        <w:numId w:val="27"/>
      </w:numPr>
      <w:spacing w:before="0" w:after="240"/>
      <w:jc w:val="left"/>
    </w:pPr>
    <w:rPr>
      <w:szCs w:val="20"/>
    </w:rPr>
  </w:style>
  <w:style w:type="paragraph" w:customStyle="1" w:styleId="ListNumber1Level2">
    <w:name w:val="List Number 1 (Level 2)"/>
    <w:basedOn w:val="Text1"/>
    <w:rsid w:val="008C5CFA"/>
    <w:pPr>
      <w:numPr>
        <w:ilvl w:val="1"/>
        <w:numId w:val="27"/>
      </w:numPr>
      <w:spacing w:before="0" w:after="240"/>
      <w:jc w:val="left"/>
    </w:pPr>
    <w:rPr>
      <w:szCs w:val="20"/>
    </w:rPr>
  </w:style>
  <w:style w:type="paragraph" w:customStyle="1" w:styleId="ListNumber1Level3">
    <w:name w:val="List Number 1 (Level 3)"/>
    <w:basedOn w:val="Text1"/>
    <w:rsid w:val="008C5CFA"/>
    <w:pPr>
      <w:numPr>
        <w:ilvl w:val="2"/>
        <w:numId w:val="27"/>
      </w:numPr>
      <w:spacing w:before="0" w:after="240"/>
      <w:jc w:val="left"/>
    </w:pPr>
    <w:rPr>
      <w:szCs w:val="20"/>
    </w:rPr>
  </w:style>
  <w:style w:type="paragraph" w:customStyle="1" w:styleId="ListNumber1Level4">
    <w:name w:val="List Number 1 (Level 4)"/>
    <w:basedOn w:val="Text1"/>
    <w:rsid w:val="008C5CFA"/>
    <w:pPr>
      <w:numPr>
        <w:ilvl w:val="3"/>
        <w:numId w:val="27"/>
      </w:numPr>
      <w:spacing w:before="0" w:after="240"/>
      <w:jc w:val="left"/>
    </w:pPr>
    <w:rPr>
      <w:szCs w:val="20"/>
    </w:rPr>
  </w:style>
  <w:style w:type="paragraph" w:customStyle="1" w:styleId="ListNumber2Level2">
    <w:name w:val="List Number 2 (Level 2)"/>
    <w:basedOn w:val="Text2"/>
    <w:rsid w:val="008C5CFA"/>
    <w:pPr>
      <w:numPr>
        <w:ilvl w:val="1"/>
        <w:numId w:val="28"/>
      </w:numPr>
      <w:spacing w:before="0" w:after="240"/>
      <w:jc w:val="left"/>
    </w:pPr>
    <w:rPr>
      <w:szCs w:val="20"/>
    </w:rPr>
  </w:style>
  <w:style w:type="paragraph" w:customStyle="1" w:styleId="ListNumber2Level3">
    <w:name w:val="List Number 2 (Level 3)"/>
    <w:basedOn w:val="Text2"/>
    <w:rsid w:val="008C5CFA"/>
    <w:pPr>
      <w:numPr>
        <w:ilvl w:val="2"/>
        <w:numId w:val="28"/>
      </w:numPr>
      <w:spacing w:before="0" w:after="240"/>
      <w:jc w:val="left"/>
    </w:pPr>
    <w:rPr>
      <w:szCs w:val="20"/>
    </w:rPr>
  </w:style>
  <w:style w:type="paragraph" w:customStyle="1" w:styleId="ListNumber2Level4">
    <w:name w:val="List Number 2 (Level 4)"/>
    <w:basedOn w:val="Text2"/>
    <w:rsid w:val="008C5CFA"/>
    <w:pPr>
      <w:numPr>
        <w:ilvl w:val="3"/>
        <w:numId w:val="28"/>
      </w:numPr>
      <w:spacing w:before="0" w:after="240"/>
      <w:ind w:left="3901" w:hanging="703"/>
      <w:jc w:val="left"/>
    </w:pPr>
    <w:rPr>
      <w:szCs w:val="20"/>
    </w:rPr>
  </w:style>
  <w:style w:type="paragraph" w:customStyle="1" w:styleId="ListNumber3Level2">
    <w:name w:val="List Number 3 (Level 2)"/>
    <w:basedOn w:val="Text3"/>
    <w:rsid w:val="008C5CFA"/>
    <w:pPr>
      <w:numPr>
        <w:ilvl w:val="1"/>
        <w:numId w:val="29"/>
      </w:numPr>
      <w:spacing w:before="0" w:after="240"/>
      <w:jc w:val="left"/>
    </w:pPr>
    <w:rPr>
      <w:szCs w:val="20"/>
    </w:rPr>
  </w:style>
  <w:style w:type="paragraph" w:customStyle="1" w:styleId="ListNumber3Level3">
    <w:name w:val="List Number 3 (Level 3)"/>
    <w:basedOn w:val="Text3"/>
    <w:rsid w:val="008C5CFA"/>
    <w:pPr>
      <w:numPr>
        <w:ilvl w:val="2"/>
        <w:numId w:val="29"/>
      </w:numPr>
      <w:spacing w:before="0" w:after="240"/>
      <w:jc w:val="left"/>
    </w:pPr>
    <w:rPr>
      <w:szCs w:val="20"/>
    </w:rPr>
  </w:style>
  <w:style w:type="paragraph" w:customStyle="1" w:styleId="ListNumber3Level4">
    <w:name w:val="List Number 3 (Level 4)"/>
    <w:basedOn w:val="Text3"/>
    <w:rsid w:val="008C5CFA"/>
    <w:pPr>
      <w:numPr>
        <w:ilvl w:val="3"/>
        <w:numId w:val="29"/>
      </w:numPr>
      <w:spacing w:before="0" w:after="240"/>
      <w:jc w:val="left"/>
    </w:pPr>
    <w:rPr>
      <w:szCs w:val="20"/>
    </w:rPr>
  </w:style>
  <w:style w:type="paragraph" w:customStyle="1" w:styleId="ListNumber4Level2">
    <w:name w:val="List Number 4 (Level 2)"/>
    <w:basedOn w:val="Text4"/>
    <w:rsid w:val="008C5CFA"/>
    <w:pPr>
      <w:numPr>
        <w:ilvl w:val="1"/>
        <w:numId w:val="30"/>
      </w:numPr>
      <w:spacing w:before="0" w:after="240"/>
      <w:jc w:val="left"/>
    </w:pPr>
    <w:rPr>
      <w:szCs w:val="20"/>
    </w:rPr>
  </w:style>
  <w:style w:type="paragraph" w:customStyle="1" w:styleId="ListNumber4Level3">
    <w:name w:val="List Number 4 (Level 3)"/>
    <w:basedOn w:val="Text4"/>
    <w:rsid w:val="008C5CFA"/>
    <w:pPr>
      <w:numPr>
        <w:ilvl w:val="2"/>
        <w:numId w:val="30"/>
      </w:numPr>
      <w:spacing w:before="0" w:after="240"/>
      <w:jc w:val="left"/>
    </w:pPr>
    <w:rPr>
      <w:szCs w:val="20"/>
    </w:rPr>
  </w:style>
  <w:style w:type="paragraph" w:customStyle="1" w:styleId="ListNumber4Level4">
    <w:name w:val="List Number 4 (Level 4)"/>
    <w:basedOn w:val="Text4"/>
    <w:rsid w:val="008C5CFA"/>
    <w:pPr>
      <w:numPr>
        <w:ilvl w:val="3"/>
        <w:numId w:val="30"/>
      </w:numPr>
      <w:spacing w:before="0" w:after="240"/>
      <w:jc w:val="left"/>
    </w:pPr>
    <w:rPr>
      <w:szCs w:val="20"/>
    </w:rPr>
  </w:style>
  <w:style w:type="paragraph" w:customStyle="1" w:styleId="Contact">
    <w:name w:val="Contact"/>
    <w:basedOn w:val="Normalny"/>
    <w:next w:val="Enclosures"/>
    <w:rsid w:val="008C5CFA"/>
    <w:pPr>
      <w:spacing w:before="480" w:after="0"/>
      <w:ind w:left="567" w:hanging="567"/>
      <w:jc w:val="left"/>
    </w:pPr>
    <w:rPr>
      <w:szCs w:val="20"/>
    </w:rPr>
  </w:style>
  <w:style w:type="paragraph" w:customStyle="1" w:styleId="DisclaimerNotice">
    <w:name w:val="Disclaimer Notice"/>
    <w:basedOn w:val="Normalny"/>
    <w:next w:val="AddressTR"/>
    <w:rsid w:val="008C5CFA"/>
    <w:pPr>
      <w:spacing w:before="0" w:after="240"/>
      <w:ind w:left="5103"/>
      <w:jc w:val="left"/>
    </w:pPr>
    <w:rPr>
      <w:i/>
      <w:sz w:val="20"/>
      <w:szCs w:val="20"/>
    </w:rPr>
  </w:style>
  <w:style w:type="paragraph" w:customStyle="1" w:styleId="Disclaimer">
    <w:name w:val="Disclaimer"/>
    <w:basedOn w:val="Normalny"/>
    <w:rsid w:val="008C5CFA"/>
    <w:pPr>
      <w:keepLines/>
      <w:pBdr>
        <w:top w:val="single" w:sz="4" w:space="1" w:color="auto"/>
      </w:pBdr>
      <w:spacing w:before="480" w:after="0"/>
      <w:jc w:val="left"/>
    </w:pPr>
    <w:rPr>
      <w:i/>
      <w:szCs w:val="20"/>
    </w:rPr>
  </w:style>
  <w:style w:type="character" w:styleId="UyteHipercze">
    <w:name w:val="FollowedHyperlink"/>
    <w:rsid w:val="008C5CFA"/>
    <w:rPr>
      <w:color w:val="800080"/>
      <w:u w:val="single"/>
    </w:rPr>
  </w:style>
  <w:style w:type="paragraph" w:customStyle="1" w:styleId="DisclaimerSJ">
    <w:name w:val="Disclaimer_SJ"/>
    <w:basedOn w:val="Normalny"/>
    <w:next w:val="Normalny"/>
    <w:rsid w:val="008C5CFA"/>
    <w:pPr>
      <w:spacing w:before="0" w:after="0"/>
      <w:jc w:val="left"/>
    </w:pPr>
    <w:rPr>
      <w:rFonts w:ascii="Arial" w:hAnsi="Arial"/>
      <w:b/>
      <w:sz w:val="16"/>
      <w:szCs w:val="20"/>
    </w:rPr>
  </w:style>
  <w:style w:type="paragraph" w:styleId="NormalnyWeb">
    <w:name w:val="Normal (Web)"/>
    <w:basedOn w:val="Normalny"/>
    <w:rsid w:val="008C5CFA"/>
    <w:pPr>
      <w:suppressAutoHyphens/>
      <w:spacing w:before="100" w:after="100"/>
      <w:jc w:val="left"/>
    </w:pPr>
    <w:rPr>
      <w:lang w:eastAsia="ar-SA"/>
    </w:rPr>
  </w:style>
  <w:style w:type="character" w:customStyle="1" w:styleId="Nagwek1Znak">
    <w:name w:val="Nagłówek 1 Znak"/>
    <w:link w:val="Nagwek1"/>
    <w:rsid w:val="008C5CFA"/>
    <w:rPr>
      <w:b/>
      <w:bCs/>
      <w:smallCaps/>
      <w:sz w:val="24"/>
      <w:szCs w:val="32"/>
      <w:lang w:val="en-GB"/>
    </w:rPr>
  </w:style>
  <w:style w:type="character" w:customStyle="1" w:styleId="Text1Char">
    <w:name w:val="Text 1 Char"/>
    <w:link w:val="Text1"/>
    <w:locked/>
    <w:rsid w:val="008C5CFA"/>
    <w:rPr>
      <w:sz w:val="24"/>
      <w:szCs w:val="24"/>
      <w:lang w:val="en-GB"/>
    </w:rPr>
  </w:style>
  <w:style w:type="table" w:styleId="Tabela-Siatka">
    <w:name w:val="Table Grid"/>
    <w:basedOn w:val="Standardowy"/>
    <w:uiPriority w:val="59"/>
    <w:rsid w:val="008C5C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nualNumPar1Char">
    <w:name w:val="Manual NumPar 1 Char"/>
    <w:link w:val="ManualNumPar1"/>
    <w:rsid w:val="008C5CFA"/>
    <w:rPr>
      <w:sz w:val="24"/>
      <w:szCs w:val="24"/>
      <w:lang w:val="en-GB"/>
    </w:rPr>
  </w:style>
  <w:style w:type="character" w:styleId="Numerstrony">
    <w:name w:val="page number"/>
    <w:rsid w:val="008C5CFA"/>
  </w:style>
  <w:style w:type="paragraph" w:styleId="Tekstdymka">
    <w:name w:val="Balloon Text"/>
    <w:basedOn w:val="Normalny"/>
    <w:link w:val="TekstdymkaZnak"/>
    <w:rsid w:val="008C5CFA"/>
    <w:pPr>
      <w:spacing w:before="0" w:after="240"/>
      <w:jc w:val="left"/>
    </w:pPr>
    <w:rPr>
      <w:rFonts w:ascii="Tahoma" w:hAnsi="Tahoma" w:cs="Tahoma"/>
      <w:sz w:val="16"/>
      <w:szCs w:val="16"/>
    </w:rPr>
  </w:style>
  <w:style w:type="character" w:customStyle="1" w:styleId="TekstdymkaZnak">
    <w:name w:val="Tekst dymka Znak"/>
    <w:link w:val="Tekstdymka"/>
    <w:rsid w:val="008C5CFA"/>
    <w:rPr>
      <w:rFonts w:ascii="Tahoma" w:hAnsi="Tahoma" w:cs="Tahoma"/>
      <w:sz w:val="16"/>
      <w:szCs w:val="16"/>
      <w:shd w:val="clear" w:color="auto" w:fill="auto"/>
      <w:lang w:val="en-GB"/>
    </w:rPr>
  </w:style>
  <w:style w:type="paragraph" w:customStyle="1" w:styleId="StyleHeading3BoldNotItalic">
    <w:name w:val="Style Heading 3 + Bold Not Italic"/>
    <w:basedOn w:val="Nagwek3"/>
    <w:autoRedefine/>
    <w:rsid w:val="008C5CFA"/>
    <w:pPr>
      <w:spacing w:before="0" w:after="240"/>
      <w:ind w:left="720" w:hanging="720"/>
      <w:jc w:val="left"/>
    </w:pPr>
    <w:rPr>
      <w:rFonts w:ascii="Times New Roman Bold" w:hAnsi="Times New Roman Bold"/>
      <w:b/>
      <w:i w:val="0"/>
      <w:noProof/>
      <w:szCs w:val="20"/>
    </w:rPr>
  </w:style>
  <w:style w:type="character" w:styleId="Odwoaniedokomentarza">
    <w:name w:val="annotation reference"/>
    <w:rsid w:val="008C5CFA"/>
    <w:rPr>
      <w:sz w:val="16"/>
      <w:szCs w:val="16"/>
    </w:rPr>
  </w:style>
  <w:style w:type="paragraph" w:styleId="Tematkomentarza">
    <w:name w:val="annotation subject"/>
    <w:basedOn w:val="Tekstkomentarza"/>
    <w:next w:val="Tekstkomentarza"/>
    <w:link w:val="TematkomentarzaZnak"/>
    <w:rsid w:val="008C5CFA"/>
    <w:rPr>
      <w:b/>
      <w:bCs/>
    </w:rPr>
  </w:style>
  <w:style w:type="character" w:customStyle="1" w:styleId="TematkomentarzaZnak">
    <w:name w:val="Temat komentarza Znak"/>
    <w:link w:val="Tematkomentarza"/>
    <w:rsid w:val="008C5CFA"/>
    <w:rPr>
      <w:b/>
      <w:bCs/>
      <w:shd w:val="clear" w:color="auto" w:fill="auto"/>
      <w:lang w:val="en-GB"/>
    </w:rPr>
  </w:style>
  <w:style w:type="paragraph" w:customStyle="1" w:styleId="Annextitle">
    <w:name w:val="Annex title"/>
    <w:basedOn w:val="Normalny"/>
    <w:autoRedefine/>
    <w:rsid w:val="008C5CFA"/>
    <w:pPr>
      <w:spacing w:before="60" w:after="240"/>
      <w:jc w:val="left"/>
    </w:pPr>
    <w:rPr>
      <w:rFonts w:ascii="Times New Roman Bold" w:hAnsi="Times New Roman Bold"/>
      <w:iCs/>
      <w:smallCaps/>
      <w:lang w:eastAsia="en-GB"/>
    </w:rPr>
  </w:style>
  <w:style w:type="character" w:customStyle="1" w:styleId="TekstprzypisudolnegoZnak">
    <w:name w:val="Tekst przypisu dolnego Znak"/>
    <w:link w:val="Tekstprzypisudolnego"/>
    <w:semiHidden/>
    <w:rsid w:val="008C5CFA"/>
    <w:rPr>
      <w:lang w:val="en-GB"/>
    </w:rPr>
  </w:style>
  <w:style w:type="paragraph" w:styleId="Poprawka">
    <w:name w:val="Revision"/>
    <w:hidden/>
    <w:uiPriority w:val="99"/>
    <w:semiHidden/>
    <w:rsid w:val="008C5CFA"/>
    <w:pPr>
      <w:spacing w:before="60" w:after="60"/>
    </w:pPr>
    <w:rPr>
      <w:sz w:val="24"/>
      <w:lang w:val="en-GB"/>
    </w:rPr>
  </w:style>
  <w:style w:type="character" w:styleId="Odwoanieprzypisukocowego">
    <w:name w:val="endnote reference"/>
    <w:rsid w:val="008C5CFA"/>
    <w:rPr>
      <w:vertAlign w:val="superscript"/>
    </w:rPr>
  </w:style>
  <w:style w:type="paragraph" w:styleId="Akapitzlist">
    <w:name w:val="List Paragraph"/>
    <w:basedOn w:val="Normalny"/>
    <w:uiPriority w:val="34"/>
    <w:qFormat/>
    <w:rsid w:val="008C5CFA"/>
    <w:pPr>
      <w:spacing w:before="0" w:after="240"/>
      <w:ind w:left="720"/>
      <w:jc w:val="left"/>
    </w:pPr>
    <w:rPr>
      <w:szCs w:val="20"/>
    </w:rPr>
  </w:style>
  <w:style w:type="paragraph" w:customStyle="1" w:styleId="StyleHeading1Hanging085cm">
    <w:name w:val="Style Heading 1 + Hanging:  0.85 cm"/>
    <w:basedOn w:val="Nagwek1"/>
    <w:autoRedefine/>
    <w:rsid w:val="008C5CFA"/>
    <w:pPr>
      <w:numPr>
        <w:numId w:val="0"/>
      </w:numPr>
      <w:spacing w:after="240"/>
      <w:jc w:val="left"/>
    </w:pPr>
    <w:rPr>
      <w:bCs w:val="0"/>
      <w:szCs w:val="24"/>
      <w:lang w:val="fr-BE"/>
    </w:rPr>
  </w:style>
  <w:style w:type="paragraph" w:customStyle="1" w:styleId="StyleHeading1Left0cm">
    <w:name w:val="Style Heading 1 + Left:  0 cm"/>
    <w:basedOn w:val="Nagwek1"/>
    <w:autoRedefine/>
    <w:rsid w:val="008C5CFA"/>
    <w:pPr>
      <w:numPr>
        <w:numId w:val="31"/>
      </w:numPr>
      <w:spacing w:after="240"/>
      <w:jc w:val="left"/>
    </w:pPr>
    <w:rPr>
      <w:rFonts w:ascii="Times New Roman Bold" w:hAnsi="Times New Roman Bold"/>
      <w:bCs w:val="0"/>
      <w:szCs w:val="24"/>
      <w:lang w:val="fr-BE"/>
    </w:rPr>
  </w:style>
  <w:style w:type="character" w:customStyle="1" w:styleId="NagwekZnak">
    <w:name w:val="Nagłówek Znak"/>
    <w:link w:val="Nagwek"/>
    <w:uiPriority w:val="99"/>
    <w:rsid w:val="008C5CFA"/>
    <w:rPr>
      <w:sz w:val="24"/>
      <w:szCs w:val="24"/>
      <w:lang w:val="en-GB"/>
    </w:rPr>
  </w:style>
  <w:style w:type="character" w:customStyle="1" w:styleId="StopkaZnak">
    <w:name w:val="Stopka Znak"/>
    <w:link w:val="Stopka"/>
    <w:uiPriority w:val="99"/>
    <w:rsid w:val="008C5CFA"/>
    <w:rPr>
      <w:sz w:val="24"/>
      <w:szCs w:val="24"/>
      <w:lang w:val="en-GB"/>
    </w:rPr>
  </w:style>
  <w:style w:type="character" w:customStyle="1" w:styleId="CharacterStyle2">
    <w:name w:val="Character Style 2"/>
    <w:uiPriority w:val="99"/>
    <w:rsid w:val="008C5CFA"/>
    <w:rPr>
      <w:sz w:val="20"/>
      <w:szCs w:val="20"/>
    </w:rPr>
  </w:style>
  <w:style w:type="character" w:customStyle="1" w:styleId="Nagwek2Znak">
    <w:name w:val="Nagłówek 2 Znak"/>
    <w:link w:val="Nagwek2"/>
    <w:rsid w:val="008C5CFA"/>
    <w:rPr>
      <w:b/>
      <w:bCs/>
      <w:iCs/>
      <w:sz w:val="24"/>
      <w:szCs w:val="28"/>
      <w:lang w:val="en-GB"/>
    </w:rPr>
  </w:style>
  <w:style w:type="paragraph" w:customStyle="1" w:styleId="Style1">
    <w:name w:val="Style1"/>
    <w:basedOn w:val="Text1"/>
    <w:link w:val="Style1Char"/>
    <w:qFormat/>
    <w:rsid w:val="008C5CFA"/>
    <w:pPr>
      <w:spacing w:before="60" w:after="60"/>
      <w:ind w:left="0"/>
      <w:jc w:val="left"/>
    </w:pPr>
  </w:style>
  <w:style w:type="character" w:customStyle="1" w:styleId="Style1Char">
    <w:name w:val="Style1 Char"/>
    <w:link w:val="Style1"/>
    <w:rsid w:val="008C5CFA"/>
  </w:style>
  <w:style w:type="paragraph" w:customStyle="1" w:styleId="Style2">
    <w:name w:val="Style2"/>
    <w:basedOn w:val="Text1"/>
    <w:link w:val="Style2Char"/>
    <w:qFormat/>
    <w:rsid w:val="008C5CFA"/>
    <w:pPr>
      <w:spacing w:before="60" w:after="60"/>
      <w:ind w:left="0"/>
      <w:jc w:val="left"/>
    </w:pPr>
  </w:style>
  <w:style w:type="character" w:customStyle="1" w:styleId="Style2Char">
    <w:name w:val="Style2 Char"/>
    <w:link w:val="Style2"/>
    <w:rsid w:val="008C5CFA"/>
  </w:style>
  <w:style w:type="character" w:customStyle="1" w:styleId="Nagwek3Znak">
    <w:name w:val="Nagłówek 3 Znak"/>
    <w:link w:val="Nagwek3"/>
    <w:rsid w:val="008C5CFA"/>
    <w:rPr>
      <w:bCs/>
      <w:i/>
      <w:sz w:val="24"/>
      <w:szCs w:val="26"/>
      <w:lang w:val="en-GB"/>
    </w:rPr>
  </w:style>
  <w:style w:type="character" w:customStyle="1" w:styleId="Nagwek4Znak">
    <w:name w:val="Nagłówek 4 Znak"/>
    <w:link w:val="Nagwek4"/>
    <w:rsid w:val="008C5CFA"/>
    <w:rPr>
      <w:bCs/>
      <w:sz w:val="24"/>
      <w:szCs w:val="28"/>
      <w:lang w:val="en-GB"/>
    </w:rPr>
  </w:style>
  <w:style w:type="character" w:styleId="Hipercze">
    <w:name w:val="Hyperlink"/>
    <w:uiPriority w:val="99"/>
    <w:unhideWhenUsed/>
    <w:rsid w:val="00E61062"/>
    <w:rPr>
      <w:color w:val="0563C1"/>
      <w:u w:val="single"/>
      <w:shd w:val="clear" w:color="auto" w:fill="auto"/>
    </w:rPr>
  </w:style>
  <w:style w:type="character" w:customStyle="1" w:styleId="Spistreci1Znak">
    <w:name w:val="Spis treści 1 Znak"/>
    <w:link w:val="Spistreci1"/>
    <w:uiPriority w:val="39"/>
    <w:rsid w:val="00D27135"/>
    <w:rPr>
      <w:rFonts w:ascii="Times New Roman Bold" w:hAnsi="Times New Roman Bold"/>
      <w:b/>
      <w:bCs/>
      <w:lang w:val="en-GB"/>
    </w:rPr>
  </w:style>
  <w:style w:type="paragraph" w:customStyle="1" w:styleId="Header0">
    <w:name w:val="Header_0"/>
    <w:basedOn w:val="Normalny"/>
    <w:link w:val="HeaderChar0"/>
    <w:uiPriority w:val="99"/>
    <w:rsid w:val="005643CD"/>
    <w:pPr>
      <w:tabs>
        <w:tab w:val="center" w:pos="4535"/>
        <w:tab w:val="right" w:pos="9071"/>
      </w:tabs>
    </w:pPr>
  </w:style>
  <w:style w:type="character" w:customStyle="1" w:styleId="HeaderChar0">
    <w:name w:val="Header Char_0"/>
    <w:link w:val="Header0"/>
    <w:uiPriority w:val="99"/>
    <w:rsid w:val="00BB7115"/>
    <w:rPr>
      <w:sz w:val="24"/>
      <w:szCs w:val="24"/>
      <w:lang w:val="en-GB"/>
    </w:rPr>
  </w:style>
  <w:style w:type="paragraph" w:customStyle="1" w:styleId="Heading10">
    <w:name w:val="Heading 1_0"/>
    <w:basedOn w:val="Normalny"/>
    <w:next w:val="Normal0"/>
    <w:qFormat/>
    <w:rsid w:val="005643CD"/>
    <w:pPr>
      <w:keepNext/>
      <w:numPr>
        <w:numId w:val="7"/>
      </w:numPr>
      <w:spacing w:before="360"/>
      <w:outlineLvl w:val="0"/>
    </w:pPr>
    <w:rPr>
      <w:b/>
      <w:bCs/>
      <w:smallCaps/>
      <w:szCs w:val="32"/>
    </w:rPr>
  </w:style>
  <w:style w:type="paragraph" w:customStyle="1" w:styleId="Normal0">
    <w:name w:val="Normal_0"/>
    <w:qFormat/>
    <w:rsid w:val="005643CD"/>
    <w:pPr>
      <w:spacing w:before="120" w:after="120"/>
      <w:jc w:val="both"/>
    </w:pPr>
    <w:rPr>
      <w:sz w:val="24"/>
      <w:szCs w:val="24"/>
      <w:lang w:val="en-GB"/>
    </w:rPr>
  </w:style>
  <w:style w:type="paragraph" w:customStyle="1" w:styleId="Header1">
    <w:name w:val="Header_1"/>
    <w:basedOn w:val="Normalny"/>
    <w:rsid w:val="005643CD"/>
    <w:pPr>
      <w:tabs>
        <w:tab w:val="center" w:pos="4535"/>
        <w:tab w:val="right" w:pos="9071"/>
      </w:tabs>
    </w:pPr>
  </w:style>
  <w:style w:type="character" w:styleId="Nierozpoznanawzmianka">
    <w:name w:val="Unresolved Mention"/>
    <w:basedOn w:val="Domylnaczcionkaakapitu"/>
    <w:uiPriority w:val="99"/>
    <w:semiHidden/>
    <w:unhideWhenUsed/>
    <w:rsid w:val="007F2E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encoding w:val="windows-125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footer" Target="footer16.xml"/><Relationship Id="rId3" Type="http://schemas.openxmlformats.org/officeDocument/2006/relationships/styles" Target="styles.xml"/><Relationship Id="rId21" Type="http://schemas.openxmlformats.org/officeDocument/2006/relationships/footer" Target="footer7.xml"/><Relationship Id="rId34" Type="http://schemas.openxmlformats.org/officeDocument/2006/relationships/header" Target="header14.xml"/><Relationship Id="rId42" Type="http://schemas.openxmlformats.org/officeDocument/2006/relationships/header" Target="header18.xm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footer" Target="footer13.xml"/><Relationship Id="rId38" Type="http://schemas.openxmlformats.org/officeDocument/2006/relationships/header" Target="header16.xm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footer" Target="footer11.xml"/><Relationship Id="rId41" Type="http://schemas.openxmlformats.org/officeDocument/2006/relationships/footer" Target="footer1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header" Target="header17.xml"/><Relationship Id="rId45" Type="http://schemas.openxmlformats.org/officeDocument/2006/relationships/footer" Target="footer19.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header" Target="header11.xml"/><Relationship Id="rId36" Type="http://schemas.openxmlformats.org/officeDocument/2006/relationships/header" Target="header15.xml"/><Relationship Id="rId10" Type="http://schemas.openxmlformats.org/officeDocument/2006/relationships/header" Target="header2.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header" Target="header19.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footer" Target="footer10.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D6B346-D379-4FB7-AF69-F6A5571FF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225</Pages>
  <Words>78197</Words>
  <Characters>484302</Characters>
  <Application>Microsoft Office Word</Application>
  <DocSecurity>0</DocSecurity>
  <Lines>4035</Lines>
  <Paragraphs>1122</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561377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SFC 2014</dc:creator>
  <cp:lastModifiedBy>Bryła, Katarzyna</cp:lastModifiedBy>
  <cp:revision>10</cp:revision>
  <dcterms:created xsi:type="dcterms:W3CDTF">2020-07-23T08:03:00Z</dcterms:created>
  <dcterms:modified xsi:type="dcterms:W3CDTF">2020-11-20T09:44:00Z</dcterms:modified>
</cp:coreProperties>
</file>